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90"/>
        <w:ind w:left="0"/>
      </w:pPr>
    </w:p>
    <w:p>
      <w:pPr>
        <w:spacing w:line="240" w:lineRule="auto"/>
        <w:ind w:left="735" w:right="0" w:firstLine="0"/>
        <w:rPr>
          <w:sz w:val="20"/>
        </w:rPr>
      </w:pPr>
      <w:bookmarkStart w:name="Page 1" w:id="1"/>
      <w:bookmarkEnd w:id="1"/>
      <w:r>
        <w:rPr/>
      </w:r>
      <w:r>
        <w:rPr>
          <w:sz w:val="20"/>
        </w:rPr>
        <mc:AlternateContent>
          <mc:Choice Requires="wps">
            <w:drawing>
              <wp:inline distT="0" distB="0" distL="0" distR="0">
                <wp:extent cx="2724150" cy="647700"/>
                <wp:effectExtent l="0" t="0" r="0" b="0"/>
                <wp:docPr id="1" name="Group 1"/>
                <wp:cNvGraphicFramePr>
                  <a:graphicFrameLocks/>
                </wp:cNvGraphicFramePr>
                <a:graphic>
                  <a:graphicData uri="http://schemas.microsoft.com/office/word/2010/wordprocessingGroup">
                    <wpg:wgp>
                      <wpg:cNvPr id="1" name="Group 1"/>
                      <wpg:cNvGrpSpPr/>
                      <wpg:grpSpPr>
                        <a:xfrm>
                          <a:off x="0" y="0"/>
                          <a:ext cx="2724150" cy="647700"/>
                          <a:chExt cx="2724150" cy="647700"/>
                        </a:xfrm>
                      </wpg:grpSpPr>
                      <pic:pic>
                        <pic:nvPicPr>
                          <pic:cNvPr id="2" name="Image 2"/>
                          <pic:cNvPicPr/>
                        </pic:nvPicPr>
                        <pic:blipFill>
                          <a:blip r:embed="rId5" cstate="print"/>
                          <a:stretch>
                            <a:fillRect/>
                          </a:stretch>
                        </pic:blipFill>
                        <pic:spPr>
                          <a:xfrm>
                            <a:off x="0" y="2642"/>
                            <a:ext cx="256526" cy="153211"/>
                          </a:xfrm>
                          <a:prstGeom prst="rect">
                            <a:avLst/>
                          </a:prstGeom>
                        </pic:spPr>
                      </pic:pic>
                      <pic:pic>
                        <pic:nvPicPr>
                          <pic:cNvPr id="3" name="Image 3"/>
                          <pic:cNvPicPr/>
                        </pic:nvPicPr>
                        <pic:blipFill>
                          <a:blip r:embed="rId6" cstate="print"/>
                          <a:stretch>
                            <a:fillRect/>
                          </a:stretch>
                        </pic:blipFill>
                        <pic:spPr>
                          <a:xfrm>
                            <a:off x="276505" y="41655"/>
                            <a:ext cx="86997" cy="110540"/>
                          </a:xfrm>
                          <a:prstGeom prst="rect">
                            <a:avLst/>
                          </a:prstGeom>
                        </pic:spPr>
                      </pic:pic>
                      <pic:pic>
                        <pic:nvPicPr>
                          <pic:cNvPr id="4" name="Image 4"/>
                          <pic:cNvPicPr/>
                        </pic:nvPicPr>
                        <pic:blipFill>
                          <a:blip r:embed="rId7" cstate="print"/>
                          <a:stretch>
                            <a:fillRect/>
                          </a:stretch>
                        </pic:blipFill>
                        <pic:spPr>
                          <a:xfrm>
                            <a:off x="382929" y="2642"/>
                            <a:ext cx="101584" cy="152196"/>
                          </a:xfrm>
                          <a:prstGeom prst="rect">
                            <a:avLst/>
                          </a:prstGeom>
                        </pic:spPr>
                      </pic:pic>
                      <pic:pic>
                        <pic:nvPicPr>
                          <pic:cNvPr id="5" name="Image 5"/>
                          <pic:cNvPicPr/>
                        </pic:nvPicPr>
                        <pic:blipFill>
                          <a:blip r:embed="rId8" cstate="print"/>
                          <a:stretch>
                            <a:fillRect/>
                          </a:stretch>
                        </pic:blipFill>
                        <pic:spPr>
                          <a:xfrm>
                            <a:off x="504677" y="41655"/>
                            <a:ext cx="211489" cy="134722"/>
                          </a:xfrm>
                          <a:prstGeom prst="rect">
                            <a:avLst/>
                          </a:prstGeom>
                        </pic:spPr>
                      </pic:pic>
                      <wps:wsp>
                        <wps:cNvPr id="6" name="Graphic 6"/>
                        <wps:cNvSpPr/>
                        <wps:spPr>
                          <a:xfrm>
                            <a:off x="792569" y="6304"/>
                            <a:ext cx="532130" cy="148590"/>
                          </a:xfrm>
                          <a:custGeom>
                            <a:avLst/>
                            <a:gdLst/>
                            <a:ahLst/>
                            <a:cxnLst/>
                            <a:rect l="l" t="t" r="r" b="b"/>
                            <a:pathLst>
                              <a:path w="532130" h="148590">
                                <a:moveTo>
                                  <a:pt x="78867" y="33159"/>
                                </a:moveTo>
                                <a:lnTo>
                                  <a:pt x="77431" y="27025"/>
                                </a:lnTo>
                                <a:lnTo>
                                  <a:pt x="77025" y="25260"/>
                                </a:lnTo>
                                <a:lnTo>
                                  <a:pt x="69634" y="12128"/>
                                </a:lnTo>
                                <a:lnTo>
                                  <a:pt x="64554" y="7353"/>
                                </a:lnTo>
                                <a:lnTo>
                                  <a:pt x="58153" y="4406"/>
                                </a:lnTo>
                                <a:lnTo>
                                  <a:pt x="54483" y="3136"/>
                                </a:lnTo>
                                <a:lnTo>
                                  <a:pt x="54483" y="36652"/>
                                </a:lnTo>
                                <a:lnTo>
                                  <a:pt x="54483" y="45580"/>
                                </a:lnTo>
                                <a:lnTo>
                                  <a:pt x="39585" y="57099"/>
                                </a:lnTo>
                                <a:lnTo>
                                  <a:pt x="25120" y="57099"/>
                                </a:lnTo>
                                <a:lnTo>
                                  <a:pt x="25120" y="27025"/>
                                </a:lnTo>
                                <a:lnTo>
                                  <a:pt x="40170" y="27025"/>
                                </a:lnTo>
                                <a:lnTo>
                                  <a:pt x="45593" y="28003"/>
                                </a:lnTo>
                                <a:lnTo>
                                  <a:pt x="48488" y="29933"/>
                                </a:lnTo>
                                <a:lnTo>
                                  <a:pt x="52476" y="32512"/>
                                </a:lnTo>
                                <a:lnTo>
                                  <a:pt x="54483" y="36652"/>
                                </a:lnTo>
                                <a:lnTo>
                                  <a:pt x="54483" y="3136"/>
                                </a:lnTo>
                                <a:lnTo>
                                  <a:pt x="52590" y="2476"/>
                                </a:lnTo>
                                <a:lnTo>
                                  <a:pt x="45516" y="1104"/>
                                </a:lnTo>
                                <a:lnTo>
                                  <a:pt x="36918" y="279"/>
                                </a:lnTo>
                                <a:lnTo>
                                  <a:pt x="26809" y="0"/>
                                </a:lnTo>
                                <a:lnTo>
                                  <a:pt x="0" y="0"/>
                                </a:lnTo>
                                <a:lnTo>
                                  <a:pt x="0" y="145897"/>
                                </a:lnTo>
                                <a:lnTo>
                                  <a:pt x="25120" y="145897"/>
                                </a:lnTo>
                                <a:lnTo>
                                  <a:pt x="25120" y="84124"/>
                                </a:lnTo>
                                <a:lnTo>
                                  <a:pt x="34036" y="83985"/>
                                </a:lnTo>
                                <a:lnTo>
                                  <a:pt x="71564" y="67767"/>
                                </a:lnTo>
                                <a:lnTo>
                                  <a:pt x="76949" y="56591"/>
                                </a:lnTo>
                                <a:lnTo>
                                  <a:pt x="77038" y="56362"/>
                                </a:lnTo>
                                <a:lnTo>
                                  <a:pt x="78409" y="49695"/>
                                </a:lnTo>
                                <a:lnTo>
                                  <a:pt x="78867" y="42367"/>
                                </a:lnTo>
                                <a:lnTo>
                                  <a:pt x="78867" y="33159"/>
                                </a:lnTo>
                                <a:close/>
                              </a:path>
                              <a:path w="532130" h="148590">
                                <a:moveTo>
                                  <a:pt x="199110" y="91846"/>
                                </a:moveTo>
                                <a:lnTo>
                                  <a:pt x="190487" y="60756"/>
                                </a:lnTo>
                                <a:lnTo>
                                  <a:pt x="188480" y="57454"/>
                                </a:lnTo>
                                <a:lnTo>
                                  <a:pt x="184035" y="51955"/>
                                </a:lnTo>
                                <a:lnTo>
                                  <a:pt x="178930" y="47129"/>
                                </a:lnTo>
                                <a:lnTo>
                                  <a:pt x="174180" y="43738"/>
                                </a:lnTo>
                                <a:lnTo>
                                  <a:pt x="174180" y="82677"/>
                                </a:lnTo>
                                <a:lnTo>
                                  <a:pt x="174129" y="101257"/>
                                </a:lnTo>
                                <a:lnTo>
                                  <a:pt x="171615" y="108673"/>
                                </a:lnTo>
                                <a:lnTo>
                                  <a:pt x="166509" y="114541"/>
                                </a:lnTo>
                                <a:lnTo>
                                  <a:pt x="161290" y="120434"/>
                                </a:lnTo>
                                <a:lnTo>
                                  <a:pt x="154876" y="123393"/>
                                </a:lnTo>
                                <a:lnTo>
                                  <a:pt x="139636" y="123393"/>
                                </a:lnTo>
                                <a:lnTo>
                                  <a:pt x="133172" y="120434"/>
                                </a:lnTo>
                                <a:lnTo>
                                  <a:pt x="123139" y="108851"/>
                                </a:lnTo>
                                <a:lnTo>
                                  <a:pt x="120611" y="101257"/>
                                </a:lnTo>
                                <a:lnTo>
                                  <a:pt x="120650" y="82677"/>
                                </a:lnTo>
                                <a:lnTo>
                                  <a:pt x="123164" y="75361"/>
                                </a:lnTo>
                                <a:lnTo>
                                  <a:pt x="133324" y="63665"/>
                                </a:lnTo>
                                <a:lnTo>
                                  <a:pt x="139700" y="60756"/>
                                </a:lnTo>
                                <a:lnTo>
                                  <a:pt x="155181" y="60756"/>
                                </a:lnTo>
                                <a:lnTo>
                                  <a:pt x="161645" y="63665"/>
                                </a:lnTo>
                                <a:lnTo>
                                  <a:pt x="171653" y="75184"/>
                                </a:lnTo>
                                <a:lnTo>
                                  <a:pt x="174180" y="82677"/>
                                </a:lnTo>
                                <a:lnTo>
                                  <a:pt x="174180" y="43738"/>
                                </a:lnTo>
                                <a:lnTo>
                                  <a:pt x="146989" y="35356"/>
                                </a:lnTo>
                                <a:lnTo>
                                  <a:pt x="137642" y="36271"/>
                                </a:lnTo>
                                <a:lnTo>
                                  <a:pt x="105549" y="58928"/>
                                </a:lnTo>
                                <a:lnTo>
                                  <a:pt x="96050" y="92049"/>
                                </a:lnTo>
                                <a:lnTo>
                                  <a:pt x="96977" y="103378"/>
                                </a:lnTo>
                                <a:lnTo>
                                  <a:pt x="99720" y="113576"/>
                                </a:lnTo>
                                <a:lnTo>
                                  <a:pt x="99783" y="113817"/>
                                </a:lnTo>
                                <a:lnTo>
                                  <a:pt x="127482" y="144424"/>
                                </a:lnTo>
                                <a:lnTo>
                                  <a:pt x="147091" y="148539"/>
                                </a:lnTo>
                                <a:lnTo>
                                  <a:pt x="154114" y="148069"/>
                                </a:lnTo>
                                <a:lnTo>
                                  <a:pt x="188442" y="126593"/>
                                </a:lnTo>
                                <a:lnTo>
                                  <a:pt x="199097" y="92049"/>
                                </a:lnTo>
                                <a:lnTo>
                                  <a:pt x="199110" y="91846"/>
                                </a:lnTo>
                                <a:close/>
                              </a:path>
                              <a:path w="532130" h="148590">
                                <a:moveTo>
                                  <a:pt x="352729" y="37998"/>
                                </a:moveTo>
                                <a:lnTo>
                                  <a:pt x="328714" y="37998"/>
                                </a:lnTo>
                                <a:lnTo>
                                  <a:pt x="308952" y="98691"/>
                                </a:lnTo>
                                <a:lnTo>
                                  <a:pt x="288112" y="37998"/>
                                </a:lnTo>
                                <a:lnTo>
                                  <a:pt x="273304" y="37998"/>
                                </a:lnTo>
                                <a:lnTo>
                                  <a:pt x="252056" y="99402"/>
                                </a:lnTo>
                                <a:lnTo>
                                  <a:pt x="232181" y="37998"/>
                                </a:lnTo>
                                <a:lnTo>
                                  <a:pt x="208292" y="37998"/>
                                </a:lnTo>
                                <a:lnTo>
                                  <a:pt x="243573" y="145897"/>
                                </a:lnTo>
                                <a:lnTo>
                                  <a:pt x="259016" y="145897"/>
                                </a:lnTo>
                                <a:lnTo>
                                  <a:pt x="280504" y="84391"/>
                                </a:lnTo>
                                <a:lnTo>
                                  <a:pt x="301625" y="145897"/>
                                </a:lnTo>
                                <a:lnTo>
                                  <a:pt x="317233" y="145897"/>
                                </a:lnTo>
                                <a:lnTo>
                                  <a:pt x="352729" y="37998"/>
                                </a:lnTo>
                                <a:close/>
                              </a:path>
                              <a:path w="532130" h="148590">
                                <a:moveTo>
                                  <a:pt x="465086" y="94449"/>
                                </a:moveTo>
                                <a:lnTo>
                                  <a:pt x="464185" y="81775"/>
                                </a:lnTo>
                                <a:lnTo>
                                  <a:pt x="463384" y="78435"/>
                                </a:lnTo>
                                <a:lnTo>
                                  <a:pt x="461467" y="70408"/>
                                </a:lnTo>
                                <a:lnTo>
                                  <a:pt x="457034" y="60591"/>
                                </a:lnTo>
                                <a:lnTo>
                                  <a:pt x="456933" y="60350"/>
                                </a:lnTo>
                                <a:lnTo>
                                  <a:pt x="455612" y="58521"/>
                                </a:lnTo>
                                <a:lnTo>
                                  <a:pt x="450634" y="51650"/>
                                </a:lnTo>
                                <a:lnTo>
                                  <a:pt x="442823" y="44513"/>
                                </a:lnTo>
                                <a:lnTo>
                                  <a:pt x="440524" y="43205"/>
                                </a:lnTo>
                                <a:lnTo>
                                  <a:pt x="440524" y="78435"/>
                                </a:lnTo>
                                <a:lnTo>
                                  <a:pt x="387146" y="78435"/>
                                </a:lnTo>
                                <a:lnTo>
                                  <a:pt x="389915" y="71894"/>
                                </a:lnTo>
                                <a:lnTo>
                                  <a:pt x="392925" y="67322"/>
                                </a:lnTo>
                                <a:lnTo>
                                  <a:pt x="401370" y="60591"/>
                                </a:lnTo>
                                <a:lnTo>
                                  <a:pt x="407365" y="58521"/>
                                </a:lnTo>
                                <a:lnTo>
                                  <a:pt x="420573" y="58521"/>
                                </a:lnTo>
                                <a:lnTo>
                                  <a:pt x="426110" y="60350"/>
                                </a:lnTo>
                                <a:lnTo>
                                  <a:pt x="435686" y="67741"/>
                                </a:lnTo>
                                <a:lnTo>
                                  <a:pt x="438886" y="72542"/>
                                </a:lnTo>
                                <a:lnTo>
                                  <a:pt x="440524" y="78435"/>
                                </a:lnTo>
                                <a:lnTo>
                                  <a:pt x="440524" y="43205"/>
                                </a:lnTo>
                                <a:lnTo>
                                  <a:pt x="433933" y="39433"/>
                                </a:lnTo>
                                <a:lnTo>
                                  <a:pt x="423976" y="36372"/>
                                </a:lnTo>
                                <a:lnTo>
                                  <a:pt x="412940" y="35356"/>
                                </a:lnTo>
                                <a:lnTo>
                                  <a:pt x="402488" y="36372"/>
                                </a:lnTo>
                                <a:lnTo>
                                  <a:pt x="370332" y="60350"/>
                                </a:lnTo>
                                <a:lnTo>
                                  <a:pt x="362204" y="92557"/>
                                </a:lnTo>
                                <a:lnTo>
                                  <a:pt x="363118" y="104076"/>
                                </a:lnTo>
                                <a:lnTo>
                                  <a:pt x="365709" y="114096"/>
                                </a:lnTo>
                                <a:lnTo>
                                  <a:pt x="365823" y="114579"/>
                                </a:lnTo>
                                <a:lnTo>
                                  <a:pt x="393268" y="144551"/>
                                </a:lnTo>
                                <a:lnTo>
                                  <a:pt x="414134" y="148539"/>
                                </a:lnTo>
                                <a:lnTo>
                                  <a:pt x="421297" y="148183"/>
                                </a:lnTo>
                                <a:lnTo>
                                  <a:pt x="458254" y="124841"/>
                                </a:lnTo>
                                <a:lnTo>
                                  <a:pt x="437629" y="114096"/>
                                </a:lnTo>
                                <a:lnTo>
                                  <a:pt x="432447" y="118770"/>
                                </a:lnTo>
                                <a:lnTo>
                                  <a:pt x="426796" y="122097"/>
                                </a:lnTo>
                                <a:lnTo>
                                  <a:pt x="420649" y="124104"/>
                                </a:lnTo>
                                <a:lnTo>
                                  <a:pt x="413334" y="124841"/>
                                </a:lnTo>
                                <a:lnTo>
                                  <a:pt x="406565" y="124841"/>
                                </a:lnTo>
                                <a:lnTo>
                                  <a:pt x="400075" y="122504"/>
                                </a:lnTo>
                                <a:lnTo>
                                  <a:pt x="390220" y="113385"/>
                                </a:lnTo>
                                <a:lnTo>
                                  <a:pt x="387172" y="107251"/>
                                </a:lnTo>
                                <a:lnTo>
                                  <a:pt x="386029" y="99568"/>
                                </a:lnTo>
                                <a:lnTo>
                                  <a:pt x="464997" y="99568"/>
                                </a:lnTo>
                                <a:lnTo>
                                  <a:pt x="465086" y="94449"/>
                                </a:lnTo>
                                <a:close/>
                              </a:path>
                              <a:path w="532130" h="148590">
                                <a:moveTo>
                                  <a:pt x="531990" y="38138"/>
                                </a:moveTo>
                                <a:lnTo>
                                  <a:pt x="528497" y="36271"/>
                                </a:lnTo>
                                <a:lnTo>
                                  <a:pt x="525183" y="35356"/>
                                </a:lnTo>
                                <a:lnTo>
                                  <a:pt x="517550" y="35356"/>
                                </a:lnTo>
                                <a:lnTo>
                                  <a:pt x="513422" y="36741"/>
                                </a:lnTo>
                                <a:lnTo>
                                  <a:pt x="505879" y="42303"/>
                                </a:lnTo>
                                <a:lnTo>
                                  <a:pt x="502856" y="46367"/>
                                </a:lnTo>
                                <a:lnTo>
                                  <a:pt x="500583" y="51714"/>
                                </a:lnTo>
                                <a:lnTo>
                                  <a:pt x="500583" y="37998"/>
                                </a:lnTo>
                                <a:lnTo>
                                  <a:pt x="479336" y="37998"/>
                                </a:lnTo>
                                <a:lnTo>
                                  <a:pt x="479336" y="145897"/>
                                </a:lnTo>
                                <a:lnTo>
                                  <a:pt x="503910" y="145897"/>
                                </a:lnTo>
                                <a:lnTo>
                                  <a:pt x="503809" y="97129"/>
                                </a:lnTo>
                                <a:lnTo>
                                  <a:pt x="504063" y="86779"/>
                                </a:lnTo>
                                <a:lnTo>
                                  <a:pt x="513511" y="59131"/>
                                </a:lnTo>
                                <a:lnTo>
                                  <a:pt x="519112" y="59131"/>
                                </a:lnTo>
                                <a:lnTo>
                                  <a:pt x="521487" y="59918"/>
                                </a:lnTo>
                                <a:lnTo>
                                  <a:pt x="524344" y="61506"/>
                                </a:lnTo>
                                <a:lnTo>
                                  <a:pt x="531990" y="38138"/>
                                </a:lnTo>
                                <a:close/>
                              </a:path>
                            </a:pathLst>
                          </a:custGeom>
                          <a:solidFill>
                            <a:srgbClr val="231F20"/>
                          </a:solidFill>
                        </wps:spPr>
                        <wps:bodyPr wrap="square" lIns="0" tIns="0" rIns="0" bIns="0" rtlCol="0">
                          <a:prstTxWarp prst="textNoShape">
                            <a:avLst/>
                          </a:prstTxWarp>
                          <a:noAutofit/>
                        </wps:bodyPr>
                      </wps:wsp>
                      <pic:pic>
                        <pic:nvPicPr>
                          <pic:cNvPr id="7" name="Image 7"/>
                          <pic:cNvPicPr/>
                        </pic:nvPicPr>
                        <pic:blipFill>
                          <a:blip r:embed="rId9" cstate="print"/>
                          <a:stretch>
                            <a:fillRect/>
                          </a:stretch>
                        </pic:blipFill>
                        <pic:spPr>
                          <a:xfrm>
                            <a:off x="1383969" y="41655"/>
                            <a:ext cx="101588" cy="113183"/>
                          </a:xfrm>
                          <a:prstGeom prst="rect">
                            <a:avLst/>
                          </a:prstGeom>
                        </pic:spPr>
                      </pic:pic>
                      <pic:pic>
                        <pic:nvPicPr>
                          <pic:cNvPr id="8" name="Image 8"/>
                          <pic:cNvPicPr/>
                        </pic:nvPicPr>
                        <pic:blipFill>
                          <a:blip r:embed="rId10" cstate="print"/>
                          <a:stretch>
                            <a:fillRect/>
                          </a:stretch>
                        </pic:blipFill>
                        <pic:spPr>
                          <a:xfrm>
                            <a:off x="1510341" y="41655"/>
                            <a:ext cx="86993" cy="110540"/>
                          </a:xfrm>
                          <a:prstGeom prst="rect">
                            <a:avLst/>
                          </a:prstGeom>
                        </pic:spPr>
                      </pic:pic>
                      <pic:pic>
                        <pic:nvPicPr>
                          <pic:cNvPr id="9" name="Image 9"/>
                          <pic:cNvPicPr/>
                        </pic:nvPicPr>
                        <pic:blipFill>
                          <a:blip r:embed="rId11" cstate="print"/>
                          <a:stretch>
                            <a:fillRect/>
                          </a:stretch>
                        </pic:blipFill>
                        <pic:spPr>
                          <a:xfrm>
                            <a:off x="1616760" y="2642"/>
                            <a:ext cx="101584" cy="152196"/>
                          </a:xfrm>
                          <a:prstGeom prst="rect">
                            <a:avLst/>
                          </a:prstGeom>
                        </pic:spPr>
                      </pic:pic>
                      <pic:pic>
                        <pic:nvPicPr>
                          <pic:cNvPr id="10" name="Image 10"/>
                          <pic:cNvPicPr/>
                        </pic:nvPicPr>
                        <pic:blipFill>
                          <a:blip r:embed="rId12" cstate="print"/>
                          <a:stretch>
                            <a:fillRect/>
                          </a:stretch>
                        </pic:blipFill>
                        <pic:spPr>
                          <a:xfrm>
                            <a:off x="79474" y="252644"/>
                            <a:ext cx="200962" cy="148539"/>
                          </a:xfrm>
                          <a:prstGeom prst="rect">
                            <a:avLst/>
                          </a:prstGeom>
                        </pic:spPr>
                      </pic:pic>
                      <pic:pic>
                        <pic:nvPicPr>
                          <pic:cNvPr id="11" name="Image 11"/>
                          <pic:cNvPicPr/>
                        </pic:nvPicPr>
                        <pic:blipFill>
                          <a:blip r:embed="rId13" cstate="print"/>
                          <a:stretch>
                            <a:fillRect/>
                          </a:stretch>
                        </pic:blipFill>
                        <pic:spPr>
                          <a:xfrm>
                            <a:off x="303927" y="0"/>
                            <a:ext cx="2419739" cy="647528"/>
                          </a:xfrm>
                          <a:prstGeom prst="rect">
                            <a:avLst/>
                          </a:prstGeom>
                        </pic:spPr>
                      </pic:pic>
                    </wpg:wgp>
                  </a:graphicData>
                </a:graphic>
              </wp:inline>
            </w:drawing>
          </mc:Choice>
          <mc:Fallback>
            <w:pict>
              <v:group style="width:214.5pt;height:51pt;mso-position-horizontal-relative:char;mso-position-vertical-relative:line" id="docshapegroup1" coordorigin="0,0" coordsize="4290,1020">
                <v:shape style="position:absolute;left:0;top:4;width:404;height:242" type="#_x0000_t75" id="docshape2" stroked="false">
                  <v:imagedata r:id="rId5" o:title=""/>
                </v:shape>
                <v:shape style="position:absolute;left:435;top:65;width:137;height:175" type="#_x0000_t75" id="docshape3" stroked="false">
                  <v:imagedata r:id="rId6" o:title=""/>
                </v:shape>
                <v:shape style="position:absolute;left:603;top:4;width:160;height:240" type="#_x0000_t75" id="docshape4" stroked="false">
                  <v:imagedata r:id="rId7" o:title=""/>
                </v:shape>
                <v:shape style="position:absolute;left:794;top:65;width:334;height:213" type="#_x0000_t75" id="docshape5" stroked="false">
                  <v:imagedata r:id="rId8" o:title=""/>
                </v:shape>
                <v:shape style="position:absolute;left:1248;top:9;width:838;height:234" id="docshape6" coordorigin="1248,10" coordsize="838,234" path="m1372,62l1370,52,1369,50,1358,29,1350,22,1340,17,1334,15,1334,68,1334,82,1333,86,1331,90,1328,93,1325,96,1321,98,1317,99,1310,100,1288,100,1288,52,1311,52,1320,54,1325,57,1331,61,1334,68,1334,15,1331,14,1320,12,1306,10,1290,10,1248,10,1248,240,1288,240,1288,142,1302,142,1313,142,1323,140,1330,139,1343,135,1353,127,1361,117,1366,108,1369,100,1369,99,1369,99,1372,88,1372,77,1372,62xm1562,155l1561,143,1559,132,1556,121,1551,110,1548,106,1545,100,1538,92,1530,84,1522,79,1522,140,1522,169,1518,181,1510,190,1502,200,1492,204,1468,204,1458,200,1442,181,1438,169,1438,140,1442,129,1458,110,1468,106,1493,106,1503,110,1518,128,1522,140,1522,79,1521,78,1511,72,1501,69,1490,66,1480,66,1465,67,1451,71,1438,79,1426,89,1414,103,1406,118,1401,136,1399,155,1399,155,1401,173,1405,189,1405,189,1413,204,1423,218,1435,229,1449,237,1464,242,1480,244,1491,243,1501,241,1511,237,1521,232,1530,226,1538,218,1545,209,1548,204,1551,200,1555,189,1556,189,1559,178,1561,166,1562,155,1562,155xm1804,70l1766,70,1735,165,1702,70,1679,70,1645,166,1614,70,1576,70,1632,240,1656,240,1690,143,1723,240,1748,240,1804,70xm1981,159l1979,139,1978,133,1975,121,1968,105,1968,105,1966,102,1958,91,1946,80,1942,78,1942,133,1858,133,1862,123,1867,116,1880,105,1890,102,1910,102,1919,105,1934,117,1939,124,1942,133,1942,78,1932,72,1916,67,1898,66,1882,67,1867,72,1853,80,1841,91,1831,105,1824,120,1820,137,1819,156,1820,174,1824,190,1824,190,1831,205,1841,219,1854,230,1867,238,1883,242,1900,244,1912,243,1922,242,1932,239,1941,235,1949,230,1956,223,1963,215,1970,207,1937,190,1929,197,1920,202,1911,205,1899,207,1888,207,1878,203,1863,188,1858,179,1856,167,1980,167,1981,159xm2086,70l2080,67,2075,66,2063,66,2057,68,2045,77,2040,83,2036,91,2036,70,2003,70,2003,240,2042,240,2042,163,2042,147,2043,133,2045,123,2048,115,2052,107,2057,103,2066,103,2069,104,2074,107,2086,70xe" filled="true" fillcolor="#231f20" stroked="false">
                  <v:path arrowok="t"/>
                  <v:fill type="solid"/>
                </v:shape>
                <v:shape style="position:absolute;left:2179;top:65;width:160;height:179" type="#_x0000_t75" id="docshape7" stroked="false">
                  <v:imagedata r:id="rId9" o:title=""/>
                </v:shape>
                <v:shape style="position:absolute;left:2378;top:65;width:137;height:175" type="#_x0000_t75" id="docshape8" stroked="false">
                  <v:imagedata r:id="rId10" o:title=""/>
                </v:shape>
                <v:shape style="position:absolute;left:2546;top:4;width:160;height:240" type="#_x0000_t75" id="docshape9" stroked="false">
                  <v:imagedata r:id="rId11" o:title=""/>
                </v:shape>
                <v:shape style="position:absolute;left:125;top:397;width:317;height:234" type="#_x0000_t75" id="docshape10" stroked="false">
                  <v:imagedata r:id="rId12" o:title=""/>
                </v:shape>
                <v:shape style="position:absolute;left:478;top:0;width:3811;height:1020" type="#_x0000_t75" id="docshape11" stroked="false">
                  <v:imagedata r:id="rId13" o:title=""/>
                </v:shape>
              </v:group>
            </w:pict>
          </mc:Fallback>
        </mc:AlternateContent>
      </w:r>
      <w:r>
        <w:rPr>
          <w:sz w:val="20"/>
        </w:rPr>
      </w:r>
    </w:p>
    <w:p>
      <w:pPr>
        <w:spacing w:after="0" w:line="240" w:lineRule="auto"/>
        <w:rPr>
          <w:sz w:val="20"/>
        </w:rPr>
        <w:sectPr>
          <w:type w:val="continuous"/>
          <w:pgSz w:w="7920" w:h="12240"/>
          <w:pgMar w:top="1380" w:bottom="280" w:left="1080" w:right="1080"/>
        </w:sectPr>
      </w:pPr>
    </w:p>
    <w:p>
      <w:pPr>
        <w:pStyle w:val="BodyText"/>
        <w:spacing w:before="4"/>
        <w:ind w:left="0"/>
        <w:rPr>
          <w:sz w:val="17"/>
        </w:rPr>
      </w:pPr>
    </w:p>
    <w:p>
      <w:pPr>
        <w:pStyle w:val="BodyText"/>
        <w:spacing w:after="0"/>
        <w:rPr>
          <w:sz w:val="17"/>
        </w:rPr>
        <w:sectPr>
          <w:pgSz w:w="7920" w:h="12240"/>
          <w:pgMar w:top="1380" w:bottom="280" w:left="1080" w:right="1080"/>
        </w:sectPr>
      </w:pPr>
    </w:p>
    <w:p>
      <w:pPr>
        <w:pStyle w:val="BodyText"/>
        <w:spacing w:before="2"/>
        <w:ind w:left="0"/>
        <w:rPr>
          <w:sz w:val="8"/>
        </w:rPr>
      </w:pPr>
      <w:r>
        <w:rPr>
          <w:sz w:val="8"/>
        </w:rPr>
        <mc:AlternateContent>
          <mc:Choice Requires="wps">
            <w:drawing>
              <wp:anchor distT="0" distB="0" distL="0" distR="0" allowOverlap="1" layoutInCell="1" locked="0" behindDoc="1" simplePos="0" relativeHeight="482758144">
                <wp:simplePos x="0" y="0"/>
                <wp:positionH relativeFrom="page">
                  <wp:posOffset>885372</wp:posOffset>
                </wp:positionH>
                <wp:positionV relativeFrom="page">
                  <wp:posOffset>936241</wp:posOffset>
                </wp:positionV>
                <wp:extent cx="883285" cy="214629"/>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883285" cy="214629"/>
                          <a:chExt cx="883285" cy="214629"/>
                        </a:xfrm>
                      </wpg:grpSpPr>
                      <pic:pic>
                        <pic:nvPicPr>
                          <pic:cNvPr id="13" name="Image 13"/>
                          <pic:cNvPicPr/>
                        </pic:nvPicPr>
                        <pic:blipFill>
                          <a:blip r:embed="rId14" cstate="print"/>
                          <a:stretch>
                            <a:fillRect/>
                          </a:stretch>
                        </pic:blipFill>
                        <pic:spPr>
                          <a:xfrm>
                            <a:off x="0" y="0"/>
                            <a:ext cx="170115" cy="188902"/>
                          </a:xfrm>
                          <a:prstGeom prst="rect">
                            <a:avLst/>
                          </a:prstGeom>
                        </pic:spPr>
                      </pic:pic>
                      <pic:pic>
                        <pic:nvPicPr>
                          <pic:cNvPr id="14" name="Image 14"/>
                          <pic:cNvPicPr/>
                        </pic:nvPicPr>
                        <pic:blipFill>
                          <a:blip r:embed="rId15" cstate="print"/>
                          <a:stretch>
                            <a:fillRect/>
                          </a:stretch>
                        </pic:blipFill>
                        <pic:spPr>
                          <a:xfrm>
                            <a:off x="189431" y="48102"/>
                            <a:ext cx="126846" cy="139547"/>
                          </a:xfrm>
                          <a:prstGeom prst="rect">
                            <a:avLst/>
                          </a:prstGeom>
                        </pic:spPr>
                      </pic:pic>
                      <pic:pic>
                        <pic:nvPicPr>
                          <pic:cNvPr id="15" name="Image 15"/>
                          <pic:cNvPicPr/>
                        </pic:nvPicPr>
                        <pic:blipFill>
                          <a:blip r:embed="rId16" cstate="print"/>
                          <a:stretch>
                            <a:fillRect/>
                          </a:stretch>
                        </pic:blipFill>
                        <pic:spPr>
                          <a:xfrm>
                            <a:off x="340909" y="48102"/>
                            <a:ext cx="107257" cy="136288"/>
                          </a:xfrm>
                          <a:prstGeom prst="rect">
                            <a:avLst/>
                          </a:prstGeom>
                        </pic:spPr>
                      </pic:pic>
                      <pic:pic>
                        <pic:nvPicPr>
                          <pic:cNvPr id="16" name="Image 16"/>
                          <pic:cNvPicPr/>
                        </pic:nvPicPr>
                        <pic:blipFill>
                          <a:blip r:embed="rId17" cstate="print"/>
                          <a:stretch>
                            <a:fillRect/>
                          </a:stretch>
                        </pic:blipFill>
                        <pic:spPr>
                          <a:xfrm>
                            <a:off x="472118" y="0"/>
                            <a:ext cx="125251" cy="187650"/>
                          </a:xfrm>
                          <a:prstGeom prst="rect">
                            <a:avLst/>
                          </a:prstGeom>
                        </pic:spPr>
                      </pic:pic>
                      <pic:pic>
                        <pic:nvPicPr>
                          <pic:cNvPr id="17" name="Image 17"/>
                          <pic:cNvPicPr/>
                        </pic:nvPicPr>
                        <pic:blipFill>
                          <a:blip r:embed="rId18" cstate="print"/>
                          <a:stretch>
                            <a:fillRect/>
                          </a:stretch>
                        </pic:blipFill>
                        <pic:spPr>
                          <a:xfrm>
                            <a:off x="622231" y="48102"/>
                            <a:ext cx="260747" cy="166100"/>
                          </a:xfrm>
                          <a:prstGeom prst="rect">
                            <a:avLst/>
                          </a:prstGeom>
                        </pic:spPr>
                      </pic:pic>
                    </wpg:wgp>
                  </a:graphicData>
                </a:graphic>
              </wp:anchor>
            </w:drawing>
          </mc:Choice>
          <mc:Fallback>
            <w:pict>
              <v:group style="position:absolute;margin-left:69.714401pt;margin-top:73.719803pt;width:69.55pt;height:16.9pt;mso-position-horizontal-relative:page;mso-position-vertical-relative:page;z-index:-20558336" id="docshapegroup12" coordorigin="1394,1474" coordsize="1391,338">
                <v:shape style="position:absolute;left:1394;top:1474;width:268;height:298" type="#_x0000_t75" id="docshape13" stroked="false">
                  <v:imagedata r:id="rId14" o:title=""/>
                </v:shape>
                <v:shape style="position:absolute;left:1692;top:1550;width:200;height:220" type="#_x0000_t75" id="docshape14" stroked="false">
                  <v:imagedata r:id="rId15" o:title=""/>
                </v:shape>
                <v:shape style="position:absolute;left:1931;top:1550;width:169;height:215" type="#_x0000_t75" id="docshape15" stroked="false">
                  <v:imagedata r:id="rId16" o:title=""/>
                </v:shape>
                <v:shape style="position:absolute;left:2137;top:1474;width:198;height:296" type="#_x0000_t75" id="docshape16" stroked="false">
                  <v:imagedata r:id="rId17" o:title=""/>
                </v:shape>
                <v:shape style="position:absolute;left:2374;top:1550;width:411;height:262" type="#_x0000_t75" id="docshape17" stroked="false">
                  <v:imagedata r:id="rId18" o:title=""/>
                </v:shape>
                <w10:wrap type="none"/>
              </v:group>
            </w:pict>
          </mc:Fallback>
        </mc:AlternateContent>
      </w:r>
      <w:r>
        <w:rPr>
          <w:sz w:val="8"/>
        </w:rPr>
        <mc:AlternateContent>
          <mc:Choice Requires="wps">
            <w:drawing>
              <wp:anchor distT="0" distB="0" distL="0" distR="0" allowOverlap="1" layoutInCell="1" locked="0" behindDoc="1" simplePos="0" relativeHeight="482758656">
                <wp:simplePos x="0" y="0"/>
                <wp:positionH relativeFrom="page">
                  <wp:posOffset>983358</wp:posOffset>
                </wp:positionH>
                <wp:positionV relativeFrom="page">
                  <wp:posOffset>932986</wp:posOffset>
                </wp:positionV>
                <wp:extent cx="3260725" cy="74231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3260725" cy="742315"/>
                          <a:chExt cx="3260725" cy="742315"/>
                        </a:xfrm>
                      </wpg:grpSpPr>
                      <pic:pic>
                        <pic:nvPicPr>
                          <pic:cNvPr id="19" name="Image 19"/>
                          <pic:cNvPicPr/>
                        </pic:nvPicPr>
                        <pic:blipFill>
                          <a:blip r:embed="rId19" cstate="print"/>
                          <a:stretch>
                            <a:fillRect/>
                          </a:stretch>
                        </pic:blipFill>
                        <pic:spPr>
                          <a:xfrm>
                            <a:off x="2118080" y="7766"/>
                            <a:ext cx="97240" cy="179880"/>
                          </a:xfrm>
                          <a:prstGeom prst="rect">
                            <a:avLst/>
                          </a:prstGeom>
                        </pic:spPr>
                      </pic:pic>
                      <pic:pic>
                        <pic:nvPicPr>
                          <pic:cNvPr id="20" name="Image 20"/>
                          <pic:cNvPicPr/>
                        </pic:nvPicPr>
                        <pic:blipFill>
                          <a:blip r:embed="rId20" cstate="print"/>
                          <a:stretch>
                            <a:fillRect/>
                          </a:stretch>
                        </pic:blipFill>
                        <pic:spPr>
                          <a:xfrm>
                            <a:off x="2236952" y="0"/>
                            <a:ext cx="471286" cy="190905"/>
                          </a:xfrm>
                          <a:prstGeom prst="rect">
                            <a:avLst/>
                          </a:prstGeom>
                        </pic:spPr>
                      </pic:pic>
                      <pic:pic>
                        <pic:nvPicPr>
                          <pic:cNvPr id="21" name="Image 21"/>
                          <pic:cNvPicPr/>
                        </pic:nvPicPr>
                        <pic:blipFill>
                          <a:blip r:embed="rId21" cstate="print"/>
                          <a:stretch>
                            <a:fillRect/>
                          </a:stretch>
                        </pic:blipFill>
                        <pic:spPr>
                          <a:xfrm>
                            <a:off x="2731733" y="51357"/>
                            <a:ext cx="198316" cy="139547"/>
                          </a:xfrm>
                          <a:prstGeom prst="rect">
                            <a:avLst/>
                          </a:prstGeom>
                        </pic:spPr>
                      </pic:pic>
                      <pic:pic>
                        <pic:nvPicPr>
                          <pic:cNvPr id="22" name="Image 22"/>
                          <pic:cNvPicPr/>
                        </pic:nvPicPr>
                        <pic:blipFill>
                          <a:blip r:embed="rId22" cstate="print"/>
                          <a:stretch>
                            <a:fillRect/>
                          </a:stretch>
                        </pic:blipFill>
                        <pic:spPr>
                          <a:xfrm>
                            <a:off x="2957640" y="3255"/>
                            <a:ext cx="302460" cy="232995"/>
                          </a:xfrm>
                          <a:prstGeom prst="rect">
                            <a:avLst/>
                          </a:prstGeom>
                        </pic:spPr>
                      </pic:pic>
                      <pic:pic>
                        <pic:nvPicPr>
                          <pic:cNvPr id="23" name="Image 23"/>
                          <pic:cNvPicPr/>
                        </pic:nvPicPr>
                        <pic:blipFill>
                          <a:blip r:embed="rId23" cstate="print"/>
                          <a:stretch>
                            <a:fillRect/>
                          </a:stretch>
                        </pic:blipFill>
                        <pic:spPr>
                          <a:xfrm>
                            <a:off x="0" y="283349"/>
                            <a:ext cx="247769" cy="183139"/>
                          </a:xfrm>
                          <a:prstGeom prst="rect">
                            <a:avLst/>
                          </a:prstGeom>
                        </pic:spPr>
                      </pic:pic>
                      <pic:pic>
                        <pic:nvPicPr>
                          <pic:cNvPr id="24" name="Image 24"/>
                          <pic:cNvPicPr/>
                        </pic:nvPicPr>
                        <pic:blipFill>
                          <a:blip r:embed="rId24" cstate="print"/>
                          <a:stretch>
                            <a:fillRect/>
                          </a:stretch>
                        </pic:blipFill>
                        <pic:spPr>
                          <a:xfrm>
                            <a:off x="276724" y="275583"/>
                            <a:ext cx="2749561" cy="466488"/>
                          </a:xfrm>
                          <a:prstGeom prst="rect">
                            <a:avLst/>
                          </a:prstGeom>
                        </pic:spPr>
                      </pic:pic>
                      <wps:wsp>
                        <wps:cNvPr id="25" name="Graphic 25"/>
                        <wps:cNvSpPr/>
                        <wps:spPr>
                          <a:xfrm>
                            <a:off x="3045894" y="278847"/>
                            <a:ext cx="131445" cy="187960"/>
                          </a:xfrm>
                          <a:custGeom>
                            <a:avLst/>
                            <a:gdLst/>
                            <a:ahLst/>
                            <a:cxnLst/>
                            <a:rect l="l" t="t" r="r" b="b"/>
                            <a:pathLst>
                              <a:path w="131445" h="187960">
                                <a:moveTo>
                                  <a:pt x="29603" y="0"/>
                                </a:moveTo>
                                <a:lnTo>
                                  <a:pt x="0" y="0"/>
                                </a:lnTo>
                                <a:lnTo>
                                  <a:pt x="6159" y="61633"/>
                                </a:lnTo>
                                <a:lnTo>
                                  <a:pt x="23456" y="61633"/>
                                </a:lnTo>
                                <a:lnTo>
                                  <a:pt x="29603" y="0"/>
                                </a:lnTo>
                                <a:close/>
                              </a:path>
                              <a:path w="131445" h="187960">
                                <a:moveTo>
                                  <a:pt x="131445" y="137502"/>
                                </a:moveTo>
                                <a:lnTo>
                                  <a:pt x="100812" y="103886"/>
                                </a:lnTo>
                                <a:lnTo>
                                  <a:pt x="84912" y="95161"/>
                                </a:lnTo>
                                <a:lnTo>
                                  <a:pt x="81876" y="93116"/>
                                </a:lnTo>
                                <a:lnTo>
                                  <a:pt x="79438" y="90106"/>
                                </a:lnTo>
                                <a:lnTo>
                                  <a:pt x="78828" y="88480"/>
                                </a:lnTo>
                                <a:lnTo>
                                  <a:pt x="78828" y="84340"/>
                                </a:lnTo>
                                <a:lnTo>
                                  <a:pt x="79781" y="82384"/>
                                </a:lnTo>
                                <a:lnTo>
                                  <a:pt x="83654" y="79209"/>
                                </a:lnTo>
                                <a:lnTo>
                                  <a:pt x="86309" y="78409"/>
                                </a:lnTo>
                                <a:lnTo>
                                  <a:pt x="95910" y="78409"/>
                                </a:lnTo>
                                <a:lnTo>
                                  <a:pt x="102819" y="82588"/>
                                </a:lnTo>
                                <a:lnTo>
                                  <a:pt x="110413" y="90944"/>
                                </a:lnTo>
                                <a:lnTo>
                                  <a:pt x="129159" y="70192"/>
                                </a:lnTo>
                                <a:lnTo>
                                  <a:pt x="124345" y="63093"/>
                                </a:lnTo>
                                <a:lnTo>
                                  <a:pt x="118503" y="57619"/>
                                </a:lnTo>
                                <a:lnTo>
                                  <a:pt x="104648" y="50012"/>
                                </a:lnTo>
                                <a:lnTo>
                                  <a:pt x="97282" y="48094"/>
                                </a:lnTo>
                                <a:lnTo>
                                  <a:pt x="89420" y="48094"/>
                                </a:lnTo>
                                <a:lnTo>
                                  <a:pt x="52908" y="71551"/>
                                </a:lnTo>
                                <a:lnTo>
                                  <a:pt x="50139" y="86131"/>
                                </a:lnTo>
                                <a:lnTo>
                                  <a:pt x="51981" y="97815"/>
                                </a:lnTo>
                                <a:lnTo>
                                  <a:pt x="57480" y="108470"/>
                                </a:lnTo>
                                <a:lnTo>
                                  <a:pt x="66662" y="118110"/>
                                </a:lnTo>
                                <a:lnTo>
                                  <a:pt x="79514" y="126720"/>
                                </a:lnTo>
                                <a:lnTo>
                                  <a:pt x="98577" y="137210"/>
                                </a:lnTo>
                                <a:lnTo>
                                  <a:pt x="102971" y="142214"/>
                                </a:lnTo>
                                <a:lnTo>
                                  <a:pt x="102971" y="150101"/>
                                </a:lnTo>
                                <a:lnTo>
                                  <a:pt x="101765" y="152527"/>
                                </a:lnTo>
                                <a:lnTo>
                                  <a:pt x="96862" y="156781"/>
                                </a:lnTo>
                                <a:lnTo>
                                  <a:pt x="93599" y="157835"/>
                                </a:lnTo>
                                <a:lnTo>
                                  <a:pt x="85902" y="157835"/>
                                </a:lnTo>
                                <a:lnTo>
                                  <a:pt x="81648" y="156413"/>
                                </a:lnTo>
                                <a:lnTo>
                                  <a:pt x="72047" y="150812"/>
                                </a:lnTo>
                                <a:lnTo>
                                  <a:pt x="67868" y="147104"/>
                                </a:lnTo>
                                <a:lnTo>
                                  <a:pt x="64300" y="142544"/>
                                </a:lnTo>
                                <a:lnTo>
                                  <a:pt x="45593" y="164934"/>
                                </a:lnTo>
                                <a:lnTo>
                                  <a:pt x="54152" y="174879"/>
                                </a:lnTo>
                                <a:lnTo>
                                  <a:pt x="64046" y="181978"/>
                                </a:lnTo>
                                <a:lnTo>
                                  <a:pt x="75285" y="186232"/>
                                </a:lnTo>
                                <a:lnTo>
                                  <a:pt x="87833" y="187642"/>
                                </a:lnTo>
                                <a:lnTo>
                                  <a:pt x="97294" y="186905"/>
                                </a:lnTo>
                                <a:lnTo>
                                  <a:pt x="128485" y="162560"/>
                                </a:lnTo>
                                <a:lnTo>
                                  <a:pt x="131445" y="146354"/>
                                </a:lnTo>
                                <a:lnTo>
                                  <a:pt x="131445" y="137502"/>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77.429802pt;margin-top:73.463501pt;width:256.75pt;height:58.45pt;mso-position-horizontal-relative:page;mso-position-vertical-relative:page;z-index:-20557824" id="docshapegroup18" coordorigin="1549,1469" coordsize="5135,1169">
                <v:shape style="position:absolute;left:4884;top:1481;width:154;height:284" type="#_x0000_t75" id="docshape19" stroked="false">
                  <v:imagedata r:id="rId19" o:title=""/>
                </v:shape>
                <v:shape style="position:absolute;left:5071;top:1469;width:743;height:301" type="#_x0000_t75" id="docshape20" stroked="false">
                  <v:imagedata r:id="rId20" o:title=""/>
                </v:shape>
                <v:shape style="position:absolute;left:5850;top:1550;width:313;height:220" type="#_x0000_t75" id="docshape21" stroked="false">
                  <v:imagedata r:id="rId21" o:title=""/>
                </v:shape>
                <v:shape style="position:absolute;left:6206;top:1474;width:477;height:367" type="#_x0000_t75" id="docshape22" stroked="false">
                  <v:imagedata r:id="rId22" o:title=""/>
                </v:shape>
                <v:shape style="position:absolute;left:1548;top:1915;width:391;height:289" type="#_x0000_t75" id="docshape23" stroked="false">
                  <v:imagedata r:id="rId23" o:title=""/>
                </v:shape>
                <v:shape style="position:absolute;left:1984;top:1903;width:4331;height:735" type="#_x0000_t75" id="docshape24" stroked="false">
                  <v:imagedata r:id="rId24" o:title=""/>
                </v:shape>
                <v:shape style="position:absolute;left:6345;top:1908;width:207;height:296" id="docshape25" coordorigin="6345,1908" coordsize="207,296" path="m6392,1908l6345,1908,6355,2005,6382,2005,6392,1908xm6552,2125l6549,2113,6542,2102,6536,2095,6527,2087,6517,2079,6504,2072,6479,2058,6474,2055,6470,2050,6469,2048,6469,2041,6471,2038,6477,2033,6481,2032,6496,2032,6507,2038,6519,2052,6549,2019,6541,2008,6532,1999,6510,1987,6498,1984,6486,1984,6473,1985,6461,1989,6451,1994,6442,2002,6434,2011,6429,2021,6425,2032,6424,2044,6427,2062,6436,2079,6450,2094,6471,2108,6501,2124,6507,2132,6507,2145,6506,2149,6498,2155,6493,2157,6481,2157,6474,2155,6459,2146,6452,2140,6447,2133,6417,2168,6431,2184,6446,2195,6464,2202,6484,2204,6499,2203,6512,2199,6524,2193,6534,2185,6542,2175,6548,2164,6551,2152,6552,2139,6552,2125xe" filled="true" fillcolor="#231f20" stroked="false">
                  <v:path arrowok="t"/>
                  <v:fill type="solid"/>
                </v:shape>
                <w10:wrap type="none"/>
              </v:group>
            </w:pict>
          </mc:Fallback>
        </mc:AlternateContent>
      </w:r>
    </w:p>
    <w:p>
      <w:pPr>
        <w:spacing w:line="240" w:lineRule="auto"/>
        <w:ind w:left="1853" w:right="0" w:firstLine="0"/>
        <w:jc w:val="left"/>
        <w:rPr>
          <w:sz w:val="20"/>
        </w:rPr>
      </w:pPr>
      <w:bookmarkStart w:name="Page 3" w:id="2"/>
      <w:bookmarkEnd w:id="2"/>
      <w:r>
        <w:rPr/>
      </w:r>
      <w:r>
        <w:rPr>
          <w:sz w:val="20"/>
        </w:rPr>
        <mc:AlternateContent>
          <mc:Choice Requires="wps">
            <w:drawing>
              <wp:inline distT="0" distB="0" distL="0" distR="0">
                <wp:extent cx="655955" cy="183515"/>
                <wp:effectExtent l="0" t="0" r="0" b="6985"/>
                <wp:docPr id="26" name="Group 26"/>
                <wp:cNvGraphicFramePr>
                  <a:graphicFrameLocks/>
                </wp:cNvGraphicFramePr>
                <a:graphic>
                  <a:graphicData uri="http://schemas.microsoft.com/office/word/2010/wordprocessingGroup">
                    <wpg:wgp>
                      <wpg:cNvPr id="26" name="Group 26"/>
                      <wpg:cNvGrpSpPr/>
                      <wpg:grpSpPr>
                        <a:xfrm>
                          <a:off x="0" y="0"/>
                          <a:ext cx="655955" cy="183515"/>
                          <a:chExt cx="655955" cy="183515"/>
                        </a:xfrm>
                      </wpg:grpSpPr>
                      <pic:pic>
                        <pic:nvPicPr>
                          <pic:cNvPr id="27" name="Image 27"/>
                          <pic:cNvPicPr/>
                        </pic:nvPicPr>
                        <pic:blipFill>
                          <a:blip r:embed="rId25" cstate="print"/>
                          <a:stretch>
                            <a:fillRect/>
                          </a:stretch>
                        </pic:blipFill>
                        <pic:spPr>
                          <a:xfrm>
                            <a:off x="0" y="0"/>
                            <a:ext cx="97240" cy="179880"/>
                          </a:xfrm>
                          <a:prstGeom prst="rect">
                            <a:avLst/>
                          </a:prstGeom>
                        </pic:spPr>
                      </pic:pic>
                      <wps:wsp>
                        <wps:cNvPr id="28" name="Graphic 28"/>
                        <wps:cNvSpPr/>
                        <wps:spPr>
                          <a:xfrm>
                            <a:off x="118414" y="43598"/>
                            <a:ext cx="537845" cy="139700"/>
                          </a:xfrm>
                          <a:custGeom>
                            <a:avLst/>
                            <a:gdLst/>
                            <a:ahLst/>
                            <a:cxnLst/>
                            <a:rect l="l" t="t" r="r" b="b"/>
                            <a:pathLst>
                              <a:path w="537845" h="139700">
                                <a:moveTo>
                                  <a:pt x="127063" y="69735"/>
                                </a:moveTo>
                                <a:lnTo>
                                  <a:pt x="116446" y="31318"/>
                                </a:lnTo>
                                <a:lnTo>
                                  <a:pt x="96329" y="10325"/>
                                </a:lnTo>
                                <a:lnTo>
                                  <a:pt x="96329" y="69735"/>
                                </a:lnTo>
                                <a:lnTo>
                                  <a:pt x="95719" y="77965"/>
                                </a:lnTo>
                                <a:lnTo>
                                  <a:pt x="69888" y="107810"/>
                                </a:lnTo>
                                <a:lnTo>
                                  <a:pt x="63144" y="108483"/>
                                </a:lnTo>
                                <a:lnTo>
                                  <a:pt x="56324" y="107810"/>
                                </a:lnTo>
                                <a:lnTo>
                                  <a:pt x="30873" y="77965"/>
                                </a:lnTo>
                                <a:lnTo>
                                  <a:pt x="30302" y="69900"/>
                                </a:lnTo>
                                <a:lnTo>
                                  <a:pt x="30289" y="69735"/>
                                </a:lnTo>
                                <a:lnTo>
                                  <a:pt x="50292" y="34010"/>
                                </a:lnTo>
                                <a:lnTo>
                                  <a:pt x="63271" y="31318"/>
                                </a:lnTo>
                                <a:lnTo>
                                  <a:pt x="70205" y="31991"/>
                                </a:lnTo>
                                <a:lnTo>
                                  <a:pt x="95758" y="61683"/>
                                </a:lnTo>
                                <a:lnTo>
                                  <a:pt x="96329" y="69735"/>
                                </a:lnTo>
                                <a:lnTo>
                                  <a:pt x="96329" y="10325"/>
                                </a:lnTo>
                                <a:lnTo>
                                  <a:pt x="62814" y="0"/>
                                </a:lnTo>
                                <a:lnTo>
                                  <a:pt x="51295" y="1130"/>
                                </a:lnTo>
                                <a:lnTo>
                                  <a:pt x="11722" y="29057"/>
                                </a:lnTo>
                                <a:lnTo>
                                  <a:pt x="12" y="69735"/>
                                </a:lnTo>
                                <a:lnTo>
                                  <a:pt x="0" y="69900"/>
                                </a:lnTo>
                                <a:lnTo>
                                  <a:pt x="1155" y="83858"/>
                                </a:lnTo>
                                <a:lnTo>
                                  <a:pt x="4533" y="96443"/>
                                </a:lnTo>
                                <a:lnTo>
                                  <a:pt x="4610" y="96735"/>
                                </a:lnTo>
                                <a:lnTo>
                                  <a:pt x="28117" y="128130"/>
                                </a:lnTo>
                                <a:lnTo>
                                  <a:pt x="62928" y="139547"/>
                                </a:lnTo>
                                <a:lnTo>
                                  <a:pt x="71589" y="138963"/>
                                </a:lnTo>
                                <a:lnTo>
                                  <a:pt x="108496" y="119329"/>
                                </a:lnTo>
                                <a:lnTo>
                                  <a:pt x="116293" y="108534"/>
                                </a:lnTo>
                                <a:lnTo>
                                  <a:pt x="118567" y="104762"/>
                                </a:lnTo>
                                <a:lnTo>
                                  <a:pt x="122288" y="96443"/>
                                </a:lnTo>
                                <a:lnTo>
                                  <a:pt x="124942" y="87820"/>
                                </a:lnTo>
                                <a:lnTo>
                                  <a:pt x="126542" y="78892"/>
                                </a:lnTo>
                                <a:lnTo>
                                  <a:pt x="127063" y="69900"/>
                                </a:lnTo>
                                <a:lnTo>
                                  <a:pt x="127063" y="69735"/>
                                </a:lnTo>
                                <a:close/>
                              </a:path>
                              <a:path w="537845" h="139700">
                                <a:moveTo>
                                  <a:pt x="316458" y="3251"/>
                                </a:moveTo>
                                <a:lnTo>
                                  <a:pt x="286854" y="3251"/>
                                </a:lnTo>
                                <a:lnTo>
                                  <a:pt x="262496" y="78079"/>
                                </a:lnTo>
                                <a:lnTo>
                                  <a:pt x="236804" y="3251"/>
                                </a:lnTo>
                                <a:lnTo>
                                  <a:pt x="218541" y="3251"/>
                                </a:lnTo>
                                <a:lnTo>
                                  <a:pt x="192354" y="78955"/>
                                </a:lnTo>
                                <a:lnTo>
                                  <a:pt x="167830" y="3251"/>
                                </a:lnTo>
                                <a:lnTo>
                                  <a:pt x="138379" y="3251"/>
                                </a:lnTo>
                                <a:lnTo>
                                  <a:pt x="181876" y="136283"/>
                                </a:lnTo>
                                <a:lnTo>
                                  <a:pt x="200926" y="136283"/>
                                </a:lnTo>
                                <a:lnTo>
                                  <a:pt x="227418" y="60464"/>
                                </a:lnTo>
                                <a:lnTo>
                                  <a:pt x="253453" y="136283"/>
                                </a:lnTo>
                                <a:lnTo>
                                  <a:pt x="272707" y="136283"/>
                                </a:lnTo>
                                <a:lnTo>
                                  <a:pt x="316458" y="3251"/>
                                </a:lnTo>
                                <a:close/>
                              </a:path>
                              <a:path w="537845" h="139700">
                                <a:moveTo>
                                  <a:pt x="455002" y="72859"/>
                                </a:moveTo>
                                <a:lnTo>
                                  <a:pt x="453885" y="57238"/>
                                </a:lnTo>
                                <a:lnTo>
                                  <a:pt x="452894" y="53111"/>
                                </a:lnTo>
                                <a:lnTo>
                                  <a:pt x="450532" y="43218"/>
                                </a:lnTo>
                                <a:lnTo>
                                  <a:pt x="444944" y="30810"/>
                                </a:lnTo>
                                <a:lnTo>
                                  <a:pt x="443318" y="28562"/>
                                </a:lnTo>
                                <a:lnTo>
                                  <a:pt x="437184" y="20078"/>
                                </a:lnTo>
                                <a:lnTo>
                                  <a:pt x="427558" y="11290"/>
                                </a:lnTo>
                                <a:lnTo>
                                  <a:pt x="424713" y="9664"/>
                                </a:lnTo>
                                <a:lnTo>
                                  <a:pt x="424713" y="53111"/>
                                </a:lnTo>
                                <a:lnTo>
                                  <a:pt x="358902" y="53111"/>
                                </a:lnTo>
                                <a:lnTo>
                                  <a:pt x="362318" y="45046"/>
                                </a:lnTo>
                                <a:lnTo>
                                  <a:pt x="366026" y="39420"/>
                                </a:lnTo>
                                <a:lnTo>
                                  <a:pt x="376428" y="31102"/>
                                </a:lnTo>
                                <a:lnTo>
                                  <a:pt x="383832" y="28562"/>
                                </a:lnTo>
                                <a:lnTo>
                                  <a:pt x="400113" y="28562"/>
                                </a:lnTo>
                                <a:lnTo>
                                  <a:pt x="406946" y="30810"/>
                                </a:lnTo>
                                <a:lnTo>
                                  <a:pt x="418757" y="39916"/>
                                </a:lnTo>
                                <a:lnTo>
                                  <a:pt x="422694" y="45847"/>
                                </a:lnTo>
                                <a:lnTo>
                                  <a:pt x="424713" y="53111"/>
                                </a:lnTo>
                                <a:lnTo>
                                  <a:pt x="424713" y="9664"/>
                                </a:lnTo>
                                <a:lnTo>
                                  <a:pt x="416598" y="5016"/>
                                </a:lnTo>
                                <a:lnTo>
                                  <a:pt x="404304" y="1257"/>
                                </a:lnTo>
                                <a:lnTo>
                                  <a:pt x="390702" y="0"/>
                                </a:lnTo>
                                <a:lnTo>
                                  <a:pt x="377812" y="1257"/>
                                </a:lnTo>
                                <a:lnTo>
                                  <a:pt x="338162" y="30810"/>
                                </a:lnTo>
                                <a:lnTo>
                                  <a:pt x="328155" y="70523"/>
                                </a:lnTo>
                                <a:lnTo>
                                  <a:pt x="329272" y="84721"/>
                                </a:lnTo>
                                <a:lnTo>
                                  <a:pt x="345998" y="119837"/>
                                </a:lnTo>
                                <a:lnTo>
                                  <a:pt x="392188" y="139547"/>
                                </a:lnTo>
                                <a:lnTo>
                                  <a:pt x="401015" y="139103"/>
                                </a:lnTo>
                                <a:lnTo>
                                  <a:pt x="436105" y="123291"/>
                                </a:lnTo>
                                <a:lnTo>
                                  <a:pt x="446570" y="110312"/>
                                </a:lnTo>
                                <a:lnTo>
                                  <a:pt x="421144" y="97078"/>
                                </a:lnTo>
                                <a:lnTo>
                                  <a:pt x="414756" y="102831"/>
                                </a:lnTo>
                                <a:lnTo>
                                  <a:pt x="407784" y="106946"/>
                                </a:lnTo>
                                <a:lnTo>
                                  <a:pt x="400215" y="109410"/>
                                </a:lnTo>
                                <a:lnTo>
                                  <a:pt x="391172" y="110312"/>
                                </a:lnTo>
                                <a:lnTo>
                                  <a:pt x="382866" y="110312"/>
                                </a:lnTo>
                                <a:lnTo>
                                  <a:pt x="374840" y="107429"/>
                                </a:lnTo>
                                <a:lnTo>
                                  <a:pt x="362699" y="96202"/>
                                </a:lnTo>
                                <a:lnTo>
                                  <a:pt x="358940" y="88646"/>
                                </a:lnTo>
                                <a:lnTo>
                                  <a:pt x="357530" y="79171"/>
                                </a:lnTo>
                                <a:lnTo>
                                  <a:pt x="454888" y="79171"/>
                                </a:lnTo>
                                <a:lnTo>
                                  <a:pt x="455002" y="72859"/>
                                </a:lnTo>
                                <a:close/>
                              </a:path>
                              <a:path w="537845" h="139700">
                                <a:moveTo>
                                  <a:pt x="537476" y="3416"/>
                                </a:moveTo>
                                <a:lnTo>
                                  <a:pt x="533184" y="1130"/>
                                </a:lnTo>
                                <a:lnTo>
                                  <a:pt x="529082" y="0"/>
                                </a:lnTo>
                                <a:lnTo>
                                  <a:pt x="519671" y="0"/>
                                </a:lnTo>
                                <a:lnTo>
                                  <a:pt x="514591" y="1714"/>
                                </a:lnTo>
                                <a:lnTo>
                                  <a:pt x="505282" y="8559"/>
                                </a:lnTo>
                                <a:lnTo>
                                  <a:pt x="501573" y="13576"/>
                                </a:lnTo>
                                <a:lnTo>
                                  <a:pt x="498754" y="20167"/>
                                </a:lnTo>
                                <a:lnTo>
                                  <a:pt x="498754" y="3251"/>
                                </a:lnTo>
                                <a:lnTo>
                                  <a:pt x="472567" y="3251"/>
                                </a:lnTo>
                                <a:lnTo>
                                  <a:pt x="472567" y="136283"/>
                                </a:lnTo>
                                <a:lnTo>
                                  <a:pt x="502856" y="136283"/>
                                </a:lnTo>
                                <a:lnTo>
                                  <a:pt x="502742" y="76161"/>
                                </a:lnTo>
                                <a:lnTo>
                                  <a:pt x="503047" y="63398"/>
                                </a:lnTo>
                                <a:lnTo>
                                  <a:pt x="514705" y="29311"/>
                                </a:lnTo>
                                <a:lnTo>
                                  <a:pt x="521614" y="29311"/>
                                </a:lnTo>
                                <a:lnTo>
                                  <a:pt x="524535" y="30276"/>
                                </a:lnTo>
                                <a:lnTo>
                                  <a:pt x="528066" y="32232"/>
                                </a:lnTo>
                                <a:lnTo>
                                  <a:pt x="537476" y="341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style="width:51.65pt;height:14.45pt;mso-position-horizontal-relative:char;mso-position-vertical-relative:line" id="docshapegroup26" coordorigin="0,0" coordsize="1033,289">
                <v:shape style="position:absolute;left:0;top:0;width:154;height:284" type="#_x0000_t75" id="docshape27" stroked="false">
                  <v:imagedata r:id="rId25" o:title=""/>
                </v:shape>
                <v:shape style="position:absolute;left:186;top:68;width:847;height:220" id="docshape28" coordorigin="186,69" coordsize="847,220" path="m387,178l386,166,386,164,383,150,379,137,373,124,370,118,366,112,357,101,347,91,338,85,338,178,337,191,334,203,330,213,324,221,323,223,315,230,309,234,306,235,297,238,286,239,275,238,265,235,257,230,249,223,242,213,238,203,235,191,234,179,234,178,235,166,238,154,243,144,249,135,257,128,266,122,275,119,286,118,297,119,307,122,316,128,323,134,324,135,330,144,335,154,337,164,337,166,338,178,338,85,336,83,324,77,312,72,299,70,285,69,267,70,250,76,234,85,219,97,205,114,195,134,189,155,187,178,186,179,188,201,194,221,194,221,203,240,216,257,231,270,248,280,266,286,286,288,299,287,312,285,324,280,337,274,348,266,357,257,366,246,370,240,373,234,379,221,383,207,386,193,387,179,387,178xm685,74l638,74,600,192,559,74,531,74,489,193,451,74,404,74,473,283,503,283,545,164,586,283,616,283,685,74xm903,183l901,159,900,152,896,137,887,117,885,114,875,100,860,86,855,84,855,152,752,152,757,140,763,131,779,118,791,114,817,114,827,117,846,132,852,141,855,152,855,84,843,77,823,71,802,69,781,71,763,77,746,86,731,100,719,117,710,136,705,157,703,180,705,202,710,222,719,241,731,257,746,271,764,281,783,286,804,288,818,288,831,286,843,282,854,277,864,271,873,263,882,253,890,242,850,222,840,231,829,237,817,241,803,242,789,242,777,238,758,220,752,208,750,193,903,193,903,183xm1033,74l1026,70,1020,69,1005,69,997,71,982,82,976,90,972,100,972,74,931,74,931,283,978,283,978,189,979,168,980,152,982,139,986,130,991,120,997,115,1008,115,1013,116,1018,119,1033,74xe" filled="true" fillcolor="#231f20" stroked="false">
                  <v:path arrowok="t"/>
                  <v:fill type="solid"/>
                </v:shape>
              </v:group>
            </w:pict>
          </mc:Fallback>
        </mc:AlternateContent>
      </w:r>
      <w:r>
        <w:rPr>
          <w:sz w:val="20"/>
        </w:rPr>
      </w:r>
      <w:r>
        <w:rPr>
          <w:spacing w:val="53"/>
          <w:sz w:val="20"/>
        </w:rPr>
        <w:t> </w:t>
      </w:r>
      <w:r>
        <w:rPr>
          <w:spacing w:val="53"/>
          <w:sz w:val="20"/>
        </w:rPr>
        <mc:AlternateContent>
          <mc:Choice Requires="wps">
            <w:drawing>
              <wp:inline distT="0" distB="0" distL="0" distR="0">
                <wp:extent cx="412750" cy="187960"/>
                <wp:effectExtent l="0" t="0" r="0" b="2539"/>
                <wp:docPr id="29" name="Group 29"/>
                <wp:cNvGraphicFramePr>
                  <a:graphicFrameLocks/>
                </wp:cNvGraphicFramePr>
                <a:graphic>
                  <a:graphicData uri="http://schemas.microsoft.com/office/word/2010/wordprocessingGroup">
                    <wpg:wgp>
                      <wpg:cNvPr id="29" name="Group 29"/>
                      <wpg:cNvGrpSpPr/>
                      <wpg:grpSpPr>
                        <a:xfrm>
                          <a:off x="0" y="0"/>
                          <a:ext cx="412750" cy="187960"/>
                          <a:chExt cx="412750" cy="187960"/>
                        </a:xfrm>
                      </wpg:grpSpPr>
                      <pic:pic>
                        <pic:nvPicPr>
                          <pic:cNvPr id="30" name="Image 30"/>
                          <pic:cNvPicPr/>
                        </pic:nvPicPr>
                        <pic:blipFill>
                          <a:blip r:embed="rId26" cstate="print"/>
                          <a:stretch>
                            <a:fillRect/>
                          </a:stretch>
                        </pic:blipFill>
                        <pic:spPr>
                          <a:xfrm>
                            <a:off x="0" y="48102"/>
                            <a:ext cx="125251" cy="139547"/>
                          </a:xfrm>
                          <a:prstGeom prst="rect">
                            <a:avLst/>
                          </a:prstGeom>
                        </pic:spPr>
                      </pic:pic>
                      <pic:pic>
                        <pic:nvPicPr>
                          <pic:cNvPr id="31" name="Image 31"/>
                          <pic:cNvPicPr/>
                        </pic:nvPicPr>
                        <pic:blipFill>
                          <a:blip r:embed="rId27" cstate="print"/>
                          <a:stretch>
                            <a:fillRect/>
                          </a:stretch>
                        </pic:blipFill>
                        <pic:spPr>
                          <a:xfrm>
                            <a:off x="155804" y="48102"/>
                            <a:ext cx="107259" cy="136288"/>
                          </a:xfrm>
                          <a:prstGeom prst="rect">
                            <a:avLst/>
                          </a:prstGeom>
                        </pic:spPr>
                      </pic:pic>
                      <pic:pic>
                        <pic:nvPicPr>
                          <pic:cNvPr id="32" name="Image 32"/>
                          <pic:cNvPicPr/>
                        </pic:nvPicPr>
                        <pic:blipFill>
                          <a:blip r:embed="rId28" cstate="print"/>
                          <a:stretch>
                            <a:fillRect/>
                          </a:stretch>
                        </pic:blipFill>
                        <pic:spPr>
                          <a:xfrm>
                            <a:off x="287013" y="0"/>
                            <a:ext cx="125251" cy="187650"/>
                          </a:xfrm>
                          <a:prstGeom prst="rect">
                            <a:avLst/>
                          </a:prstGeom>
                        </pic:spPr>
                      </pic:pic>
                    </wpg:wgp>
                  </a:graphicData>
                </a:graphic>
              </wp:inline>
            </w:drawing>
          </mc:Choice>
          <mc:Fallback>
            <w:pict>
              <v:group style="width:32.5pt;height:14.8pt;mso-position-horizontal-relative:char;mso-position-vertical-relative:line" id="docshapegroup29" coordorigin="0,0" coordsize="650,296">
                <v:shape style="position:absolute;left:0;top:75;width:198;height:220" type="#_x0000_t75" id="docshape30" stroked="false">
                  <v:imagedata r:id="rId26" o:title=""/>
                </v:shape>
                <v:shape style="position:absolute;left:245;top:75;width:169;height:215" type="#_x0000_t75" id="docshape31" stroked="false">
                  <v:imagedata r:id="rId27" o:title=""/>
                </v:shape>
                <v:shape style="position:absolute;left:452;top:0;width:198;height:296" type="#_x0000_t75" id="docshape32" stroked="false">
                  <v:imagedata r:id="rId28" o:title=""/>
                </v:shape>
              </v:group>
            </w:pict>
          </mc:Fallback>
        </mc:AlternateContent>
      </w:r>
      <w:r>
        <w:rPr>
          <w:spacing w:val="53"/>
          <w:sz w:val="20"/>
        </w:rPr>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38"/>
        <w:ind w:left="0"/>
      </w:pPr>
      <w:r>
        <w:rPr/>
        <mc:AlternateContent>
          <mc:Choice Requires="wps">
            <w:drawing>
              <wp:anchor distT="0" distB="0" distL="0" distR="0" allowOverlap="1" layoutInCell="1" locked="0" behindDoc="1" simplePos="0" relativeHeight="487589376">
                <wp:simplePos x="0" y="0"/>
                <wp:positionH relativeFrom="page">
                  <wp:posOffset>2188904</wp:posOffset>
                </wp:positionH>
                <wp:positionV relativeFrom="paragraph">
                  <wp:posOffset>185927</wp:posOffset>
                </wp:positionV>
                <wp:extent cx="653415" cy="168275"/>
                <wp:effectExtent l="0" t="0" r="0" b="0"/>
                <wp:wrapTopAndBottom/>
                <wp:docPr id="33" name="Group 33"/>
                <wp:cNvGraphicFramePr>
                  <a:graphicFrameLocks/>
                </wp:cNvGraphicFramePr>
                <a:graphic>
                  <a:graphicData uri="http://schemas.microsoft.com/office/word/2010/wordprocessingGroup">
                    <wpg:wgp>
                      <wpg:cNvPr id="33" name="Group 33"/>
                      <wpg:cNvGrpSpPr/>
                      <wpg:grpSpPr>
                        <a:xfrm>
                          <a:off x="0" y="0"/>
                          <a:ext cx="653415" cy="168275"/>
                          <a:chExt cx="653415" cy="168275"/>
                        </a:xfrm>
                      </wpg:grpSpPr>
                      <pic:pic>
                        <pic:nvPicPr>
                          <pic:cNvPr id="34" name="Image 34"/>
                          <pic:cNvPicPr/>
                        </pic:nvPicPr>
                        <pic:blipFill>
                          <a:blip r:embed="rId29" cstate="print"/>
                          <a:stretch>
                            <a:fillRect/>
                          </a:stretch>
                        </pic:blipFill>
                        <pic:spPr>
                          <a:xfrm>
                            <a:off x="0" y="0"/>
                            <a:ext cx="86636" cy="165049"/>
                          </a:xfrm>
                          <a:prstGeom prst="rect">
                            <a:avLst/>
                          </a:prstGeom>
                        </pic:spPr>
                      </pic:pic>
                      <pic:pic>
                        <pic:nvPicPr>
                          <pic:cNvPr id="35" name="Image 35"/>
                          <pic:cNvPicPr/>
                        </pic:nvPicPr>
                        <pic:blipFill>
                          <a:blip r:embed="rId30" cstate="print"/>
                          <a:stretch>
                            <a:fillRect/>
                          </a:stretch>
                        </pic:blipFill>
                        <pic:spPr>
                          <a:xfrm>
                            <a:off x="108813" y="0"/>
                            <a:ext cx="82979" cy="167109"/>
                          </a:xfrm>
                          <a:prstGeom prst="rect">
                            <a:avLst/>
                          </a:prstGeom>
                        </pic:spPr>
                      </pic:pic>
                      <pic:pic>
                        <pic:nvPicPr>
                          <pic:cNvPr id="36" name="Image 36"/>
                          <pic:cNvPicPr/>
                        </pic:nvPicPr>
                        <pic:blipFill>
                          <a:blip r:embed="rId31" cstate="print"/>
                          <a:stretch>
                            <a:fillRect/>
                          </a:stretch>
                        </pic:blipFill>
                        <pic:spPr>
                          <a:xfrm>
                            <a:off x="224942" y="0"/>
                            <a:ext cx="200440" cy="168249"/>
                          </a:xfrm>
                          <a:prstGeom prst="rect">
                            <a:avLst/>
                          </a:prstGeom>
                        </pic:spPr>
                      </pic:pic>
                      <pic:pic>
                        <pic:nvPicPr>
                          <pic:cNvPr id="37" name="Image 37"/>
                          <pic:cNvPicPr/>
                        </pic:nvPicPr>
                        <pic:blipFill>
                          <a:blip r:embed="rId32" cstate="print"/>
                          <a:stretch>
                            <a:fillRect/>
                          </a:stretch>
                        </pic:blipFill>
                        <pic:spPr>
                          <a:xfrm>
                            <a:off x="455828" y="48005"/>
                            <a:ext cx="149734" cy="119103"/>
                          </a:xfrm>
                          <a:prstGeom prst="rect">
                            <a:avLst/>
                          </a:prstGeom>
                        </pic:spPr>
                      </pic:pic>
                      <wps:wsp>
                        <wps:cNvPr id="38" name="Graphic 38"/>
                        <wps:cNvSpPr/>
                        <wps:spPr>
                          <a:xfrm>
                            <a:off x="630660" y="49604"/>
                            <a:ext cx="22225" cy="115570"/>
                          </a:xfrm>
                          <a:custGeom>
                            <a:avLst/>
                            <a:gdLst/>
                            <a:ahLst/>
                            <a:cxnLst/>
                            <a:rect l="l" t="t" r="r" b="b"/>
                            <a:pathLst>
                              <a:path w="22225" h="115570">
                                <a:moveTo>
                                  <a:pt x="22212" y="91681"/>
                                </a:moveTo>
                                <a:lnTo>
                                  <a:pt x="0" y="91681"/>
                                </a:lnTo>
                                <a:lnTo>
                                  <a:pt x="0" y="115455"/>
                                </a:lnTo>
                                <a:lnTo>
                                  <a:pt x="22212" y="115455"/>
                                </a:lnTo>
                                <a:lnTo>
                                  <a:pt x="22212" y="91681"/>
                                </a:lnTo>
                                <a:close/>
                              </a:path>
                              <a:path w="22225" h="115570">
                                <a:moveTo>
                                  <a:pt x="22212" y="0"/>
                                </a:moveTo>
                                <a:lnTo>
                                  <a:pt x="0" y="0"/>
                                </a:lnTo>
                                <a:lnTo>
                                  <a:pt x="0" y="24663"/>
                                </a:lnTo>
                                <a:lnTo>
                                  <a:pt x="22212" y="24663"/>
                                </a:lnTo>
                                <a:lnTo>
                                  <a:pt x="22212"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172.354706pt;margin-top:14.639949pt;width:51.45pt;height:13.25pt;mso-position-horizontal-relative:page;mso-position-vertical-relative:paragraph;z-index:-15727104;mso-wrap-distance-left:0;mso-wrap-distance-right:0" id="docshapegroup33" coordorigin="3447,293" coordsize="1029,265">
                <v:shape style="position:absolute;left:3447;top:292;width:137;height:260" type="#_x0000_t75" id="docshape34" stroked="false">
                  <v:imagedata r:id="rId29" o:title=""/>
                </v:shape>
                <v:shape style="position:absolute;left:3618;top:292;width:131;height:264" type="#_x0000_t75" id="docshape35" stroked="false">
                  <v:imagedata r:id="rId30" o:title=""/>
                </v:shape>
                <v:shape style="position:absolute;left:3801;top:292;width:316;height:265" type="#_x0000_t75" id="docshape36" stroked="false">
                  <v:imagedata r:id="rId31" o:title=""/>
                </v:shape>
                <v:shape style="position:absolute;left:4164;top:368;width:236;height:188" type="#_x0000_t75" id="docshape37" stroked="false">
                  <v:imagedata r:id="rId32" o:title=""/>
                </v:shape>
                <v:shape style="position:absolute;left:4440;top:370;width:35;height:182" id="docshape38" coordorigin="4440,371" coordsize="35,182" path="m4475,515l4440,515,4440,553,4475,553,4475,515xm4475,371l4440,371,4440,410,4475,410,4475,371xe" filled="true" fillcolor="#231f20"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89888">
                <wp:simplePos x="0" y="0"/>
                <wp:positionH relativeFrom="page">
                  <wp:posOffset>1800414</wp:posOffset>
                </wp:positionH>
                <wp:positionV relativeFrom="paragraph">
                  <wp:posOffset>469124</wp:posOffset>
                </wp:positionV>
                <wp:extent cx="368300" cy="165100"/>
                <wp:effectExtent l="0" t="0" r="0" b="0"/>
                <wp:wrapTopAndBottom/>
                <wp:docPr id="39" name="Group 39"/>
                <wp:cNvGraphicFramePr>
                  <a:graphicFrameLocks/>
                </wp:cNvGraphicFramePr>
                <a:graphic>
                  <a:graphicData uri="http://schemas.microsoft.com/office/word/2010/wordprocessingGroup">
                    <wpg:wgp>
                      <wpg:cNvPr id="39" name="Group 39"/>
                      <wpg:cNvGrpSpPr/>
                      <wpg:grpSpPr>
                        <a:xfrm>
                          <a:off x="0" y="0"/>
                          <a:ext cx="368300" cy="165100"/>
                          <a:chExt cx="368300" cy="165100"/>
                        </a:xfrm>
                      </wpg:grpSpPr>
                      <pic:pic>
                        <pic:nvPicPr>
                          <pic:cNvPr id="40" name="Image 40"/>
                          <pic:cNvPicPr/>
                        </pic:nvPicPr>
                        <pic:blipFill>
                          <a:blip r:embed="rId33" cstate="print"/>
                          <a:stretch>
                            <a:fillRect/>
                          </a:stretch>
                        </pic:blipFill>
                        <pic:spPr>
                          <a:xfrm>
                            <a:off x="0" y="0"/>
                            <a:ext cx="102373" cy="165049"/>
                          </a:xfrm>
                          <a:prstGeom prst="rect">
                            <a:avLst/>
                          </a:prstGeom>
                        </pic:spPr>
                      </pic:pic>
                      <wps:wsp>
                        <wps:cNvPr id="41" name="Graphic 41"/>
                        <wps:cNvSpPr/>
                        <wps:spPr>
                          <a:xfrm>
                            <a:off x="137796" y="11"/>
                            <a:ext cx="230504" cy="165100"/>
                          </a:xfrm>
                          <a:custGeom>
                            <a:avLst/>
                            <a:gdLst/>
                            <a:ahLst/>
                            <a:cxnLst/>
                            <a:rect l="l" t="t" r="r" b="b"/>
                            <a:pathLst>
                              <a:path w="230504" h="165100">
                                <a:moveTo>
                                  <a:pt x="55321" y="48806"/>
                                </a:moveTo>
                                <a:lnTo>
                                  <a:pt x="53606" y="48221"/>
                                </a:lnTo>
                                <a:lnTo>
                                  <a:pt x="41186" y="48221"/>
                                </a:lnTo>
                                <a:lnTo>
                                  <a:pt x="34975" y="49568"/>
                                </a:lnTo>
                                <a:lnTo>
                                  <a:pt x="26479" y="54813"/>
                                </a:lnTo>
                                <a:lnTo>
                                  <a:pt x="22783" y="59969"/>
                                </a:lnTo>
                                <a:lnTo>
                                  <a:pt x="19659" y="67551"/>
                                </a:lnTo>
                                <a:lnTo>
                                  <a:pt x="19659" y="49593"/>
                                </a:lnTo>
                                <a:lnTo>
                                  <a:pt x="0" y="49593"/>
                                </a:lnTo>
                                <a:lnTo>
                                  <a:pt x="342" y="58864"/>
                                </a:lnTo>
                                <a:lnTo>
                                  <a:pt x="457" y="165049"/>
                                </a:lnTo>
                                <a:lnTo>
                                  <a:pt x="20116" y="165049"/>
                                </a:lnTo>
                                <a:lnTo>
                                  <a:pt x="20116" y="84988"/>
                                </a:lnTo>
                                <a:lnTo>
                                  <a:pt x="22326" y="78854"/>
                                </a:lnTo>
                                <a:lnTo>
                                  <a:pt x="31203" y="69799"/>
                                </a:lnTo>
                                <a:lnTo>
                                  <a:pt x="37566" y="67551"/>
                                </a:lnTo>
                                <a:lnTo>
                                  <a:pt x="45948" y="67551"/>
                                </a:lnTo>
                                <a:lnTo>
                                  <a:pt x="55321" y="68199"/>
                                </a:lnTo>
                                <a:lnTo>
                                  <a:pt x="55321" y="48806"/>
                                </a:lnTo>
                                <a:close/>
                              </a:path>
                              <a:path w="230504" h="165100">
                                <a:moveTo>
                                  <a:pt x="82753" y="141274"/>
                                </a:moveTo>
                                <a:lnTo>
                                  <a:pt x="60540" y="141274"/>
                                </a:lnTo>
                                <a:lnTo>
                                  <a:pt x="60540" y="165049"/>
                                </a:lnTo>
                                <a:lnTo>
                                  <a:pt x="82753" y="165049"/>
                                </a:lnTo>
                                <a:lnTo>
                                  <a:pt x="82753" y="141274"/>
                                </a:lnTo>
                                <a:close/>
                              </a:path>
                              <a:path w="230504" h="165100">
                                <a:moveTo>
                                  <a:pt x="219227" y="0"/>
                                </a:moveTo>
                                <a:lnTo>
                                  <a:pt x="197700" y="0"/>
                                </a:lnTo>
                                <a:lnTo>
                                  <a:pt x="164592" y="79768"/>
                                </a:lnTo>
                                <a:lnTo>
                                  <a:pt x="132130" y="0"/>
                                </a:lnTo>
                                <a:lnTo>
                                  <a:pt x="108585" y="0"/>
                                </a:lnTo>
                                <a:lnTo>
                                  <a:pt x="153162" y="98336"/>
                                </a:lnTo>
                                <a:lnTo>
                                  <a:pt x="153162" y="165049"/>
                                </a:lnTo>
                                <a:lnTo>
                                  <a:pt x="173926" y="165049"/>
                                </a:lnTo>
                                <a:lnTo>
                                  <a:pt x="173926" y="98755"/>
                                </a:lnTo>
                                <a:lnTo>
                                  <a:pt x="219227" y="0"/>
                                </a:lnTo>
                                <a:close/>
                              </a:path>
                              <a:path w="230504" h="165100">
                                <a:moveTo>
                                  <a:pt x="229971" y="141274"/>
                                </a:moveTo>
                                <a:lnTo>
                                  <a:pt x="207759" y="141274"/>
                                </a:lnTo>
                                <a:lnTo>
                                  <a:pt x="207759" y="165049"/>
                                </a:lnTo>
                                <a:lnTo>
                                  <a:pt x="229971" y="165049"/>
                                </a:lnTo>
                                <a:lnTo>
                                  <a:pt x="229971" y="141274"/>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141.764893pt;margin-top:36.93895pt;width:29pt;height:13pt;mso-position-horizontal-relative:page;mso-position-vertical-relative:paragraph;z-index:-15726592;mso-wrap-distance-left:0;mso-wrap-distance-right:0" id="docshapegroup39" coordorigin="2835,739" coordsize="580,260">
                <v:shape style="position:absolute;left:2835;top:738;width:162;height:260" type="#_x0000_t75" id="docshape40" stroked="false">
                  <v:imagedata r:id="rId33" o:title=""/>
                </v:shape>
                <v:shape style="position:absolute;left:3052;top:738;width:363;height:260" id="docshape41" coordorigin="3052,739" coordsize="363,260" path="m3139,816l3137,815,3117,815,3107,817,3094,825,3088,833,3083,845,3083,817,3052,817,3053,831,3053,999,3084,999,3084,873,3087,863,3101,849,3111,845,3125,845,3139,846,3139,816xm3183,961l3148,961,3148,999,3183,999,3183,961xm3398,739l3364,739,3312,864,3260,739,3223,739,3294,894,3294,999,3326,999,3326,894,3398,739xm3414,961l3379,961,3379,999,3414,999,3414,961xe" filled="true" fillcolor="#231f20"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90400">
                <wp:simplePos x="0" y="0"/>
                <wp:positionH relativeFrom="page">
                  <wp:posOffset>2247098</wp:posOffset>
                </wp:positionH>
                <wp:positionV relativeFrom="paragraph">
                  <wp:posOffset>466151</wp:posOffset>
                </wp:positionV>
                <wp:extent cx="675640" cy="170815"/>
                <wp:effectExtent l="0" t="0" r="0" b="0"/>
                <wp:wrapTopAndBottom/>
                <wp:docPr id="42" name="Group 42"/>
                <wp:cNvGraphicFramePr>
                  <a:graphicFrameLocks/>
                </wp:cNvGraphicFramePr>
                <a:graphic>
                  <a:graphicData uri="http://schemas.microsoft.com/office/word/2010/wordprocessingGroup">
                    <wpg:wgp>
                      <wpg:cNvPr id="42" name="Group 42"/>
                      <wpg:cNvGrpSpPr/>
                      <wpg:grpSpPr>
                        <a:xfrm>
                          <a:off x="0" y="0"/>
                          <a:ext cx="675640" cy="170815"/>
                          <a:chExt cx="675640" cy="170815"/>
                        </a:xfrm>
                      </wpg:grpSpPr>
                      <pic:pic>
                        <pic:nvPicPr>
                          <pic:cNvPr id="43" name="Image 43"/>
                          <pic:cNvPicPr/>
                        </pic:nvPicPr>
                        <pic:blipFill>
                          <a:blip r:embed="rId34" cstate="print"/>
                          <a:stretch>
                            <a:fillRect/>
                          </a:stretch>
                        </pic:blipFill>
                        <pic:spPr>
                          <a:xfrm>
                            <a:off x="0" y="0"/>
                            <a:ext cx="370601" cy="170539"/>
                          </a:xfrm>
                          <a:prstGeom prst="rect">
                            <a:avLst/>
                          </a:prstGeom>
                        </pic:spPr>
                      </pic:pic>
                      <wps:wsp>
                        <wps:cNvPr id="44" name="Graphic 44"/>
                        <wps:cNvSpPr/>
                        <wps:spPr>
                          <a:xfrm>
                            <a:off x="405389" y="51206"/>
                            <a:ext cx="55880" cy="116839"/>
                          </a:xfrm>
                          <a:custGeom>
                            <a:avLst/>
                            <a:gdLst/>
                            <a:ahLst/>
                            <a:cxnLst/>
                            <a:rect l="l" t="t" r="r" b="b"/>
                            <a:pathLst>
                              <a:path w="55880" h="116839">
                                <a:moveTo>
                                  <a:pt x="53602" y="0"/>
                                </a:moveTo>
                                <a:lnTo>
                                  <a:pt x="41183" y="0"/>
                                </a:lnTo>
                                <a:lnTo>
                                  <a:pt x="34973" y="1336"/>
                                </a:lnTo>
                                <a:lnTo>
                                  <a:pt x="26476" y="6591"/>
                                </a:lnTo>
                                <a:lnTo>
                                  <a:pt x="22779" y="11736"/>
                                </a:lnTo>
                                <a:lnTo>
                                  <a:pt x="19659" y="19317"/>
                                </a:lnTo>
                                <a:lnTo>
                                  <a:pt x="19659" y="1371"/>
                                </a:lnTo>
                                <a:lnTo>
                                  <a:pt x="0" y="1371"/>
                                </a:lnTo>
                                <a:lnTo>
                                  <a:pt x="341" y="10631"/>
                                </a:lnTo>
                                <a:lnTo>
                                  <a:pt x="457" y="116815"/>
                                </a:lnTo>
                                <a:lnTo>
                                  <a:pt x="20116" y="116815"/>
                                </a:lnTo>
                                <a:lnTo>
                                  <a:pt x="20116" y="36766"/>
                                </a:lnTo>
                                <a:lnTo>
                                  <a:pt x="22322" y="30632"/>
                                </a:lnTo>
                                <a:lnTo>
                                  <a:pt x="31200" y="21567"/>
                                </a:lnTo>
                                <a:lnTo>
                                  <a:pt x="37565" y="19317"/>
                                </a:lnTo>
                                <a:lnTo>
                                  <a:pt x="45946" y="19317"/>
                                </a:lnTo>
                                <a:lnTo>
                                  <a:pt x="55321" y="19965"/>
                                </a:lnTo>
                                <a:lnTo>
                                  <a:pt x="55321" y="572"/>
                                </a:lnTo>
                                <a:lnTo>
                                  <a:pt x="53602" y="0"/>
                                </a:lnTo>
                                <a:close/>
                              </a:path>
                            </a:pathLst>
                          </a:custGeom>
                          <a:solidFill>
                            <a:srgbClr val="231F20"/>
                          </a:solidFill>
                        </wps:spPr>
                        <wps:bodyPr wrap="square" lIns="0" tIns="0" rIns="0" bIns="0" rtlCol="0">
                          <a:prstTxWarp prst="textNoShape">
                            <a:avLst/>
                          </a:prstTxWarp>
                          <a:noAutofit/>
                        </wps:bodyPr>
                      </wps:wsp>
                      <pic:pic>
                        <pic:nvPicPr>
                          <pic:cNvPr id="45" name="Image 45"/>
                          <pic:cNvPicPr/>
                        </pic:nvPicPr>
                        <pic:blipFill>
                          <a:blip r:embed="rId35" cstate="print"/>
                          <a:stretch>
                            <a:fillRect/>
                          </a:stretch>
                        </pic:blipFill>
                        <pic:spPr>
                          <a:xfrm>
                            <a:off x="480369" y="50292"/>
                            <a:ext cx="82295" cy="117730"/>
                          </a:xfrm>
                          <a:prstGeom prst="rect">
                            <a:avLst/>
                          </a:prstGeom>
                        </pic:spPr>
                      </pic:pic>
                      <pic:pic>
                        <pic:nvPicPr>
                          <pic:cNvPr id="46" name="Image 46"/>
                          <pic:cNvPicPr/>
                        </pic:nvPicPr>
                        <pic:blipFill>
                          <a:blip r:embed="rId36" cstate="print"/>
                          <a:stretch>
                            <a:fillRect/>
                          </a:stretch>
                        </pic:blipFill>
                        <pic:spPr>
                          <a:xfrm>
                            <a:off x="593755" y="50064"/>
                            <a:ext cx="81572" cy="120474"/>
                          </a:xfrm>
                          <a:prstGeom prst="rect">
                            <a:avLst/>
                          </a:prstGeom>
                        </pic:spPr>
                      </pic:pic>
                    </wpg:wgp>
                  </a:graphicData>
                </a:graphic>
              </wp:anchor>
            </w:drawing>
          </mc:Choice>
          <mc:Fallback>
            <w:pict>
              <v:group style="position:absolute;margin-left:176.936905pt;margin-top:36.704849pt;width:53.2pt;height:13.45pt;mso-position-horizontal-relative:page;mso-position-vertical-relative:paragraph;z-index:-15726080;mso-wrap-distance-left:0;mso-wrap-distance-right:0" id="docshapegroup42" coordorigin="3539,734" coordsize="1064,269">
                <v:shape style="position:absolute;left:3538;top:734;width:584;height:269" type="#_x0000_t75" id="docshape43" stroked="false">
                  <v:imagedata r:id="rId34" o:title=""/>
                </v:shape>
                <v:shape style="position:absolute;left:4177;top:814;width:88;height:184" id="docshape44" coordorigin="4177,815" coordsize="88,184" path="m4262,815l4242,815,4232,817,4219,825,4213,833,4208,845,4208,817,4177,817,4178,831,4178,999,4209,999,4209,873,4212,863,4226,849,4236,845,4250,845,4264,846,4264,816,4262,815xe" filled="true" fillcolor="#231f20" stroked="false">
                  <v:path arrowok="t"/>
                  <v:fill type="solid"/>
                </v:shape>
                <v:shape style="position:absolute;left:4295;top:813;width:130;height:186" type="#_x0000_t75" id="docshape45" stroked="false">
                  <v:imagedata r:id="rId35" o:title=""/>
                </v:shape>
                <v:shape style="position:absolute;left:4473;top:812;width:129;height:190" type="#_x0000_t75" id="docshape46" stroked="false">
                  <v:imagedata r:id="rId36" o:title=""/>
                </v:shape>
                <w10:wrap type="topAndBottom"/>
              </v:group>
            </w:pict>
          </mc:Fallback>
        </mc:AlternateContent>
      </w:r>
      <w:r>
        <w:rPr/>
        <mc:AlternateContent>
          <mc:Choice Requires="wps">
            <w:drawing>
              <wp:anchor distT="0" distB="0" distL="0" distR="0" allowOverlap="1" layoutInCell="1" locked="0" behindDoc="1" simplePos="0" relativeHeight="487590912">
                <wp:simplePos x="0" y="0"/>
                <wp:positionH relativeFrom="page">
                  <wp:posOffset>3004571</wp:posOffset>
                </wp:positionH>
                <wp:positionV relativeFrom="paragraph">
                  <wp:posOffset>466151</wp:posOffset>
                </wp:positionV>
                <wp:extent cx="226060" cy="170815"/>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226060" cy="170815"/>
                          <a:chExt cx="226060" cy="170815"/>
                        </a:xfrm>
                      </wpg:grpSpPr>
                      <pic:pic>
                        <pic:nvPicPr>
                          <pic:cNvPr id="48" name="Image 48"/>
                          <pic:cNvPicPr/>
                        </pic:nvPicPr>
                        <pic:blipFill>
                          <a:blip r:embed="rId37" cstate="print"/>
                          <a:stretch>
                            <a:fillRect/>
                          </a:stretch>
                        </pic:blipFill>
                        <pic:spPr>
                          <a:xfrm>
                            <a:off x="0" y="0"/>
                            <a:ext cx="99708" cy="170539"/>
                          </a:xfrm>
                          <a:prstGeom prst="rect">
                            <a:avLst/>
                          </a:prstGeom>
                        </pic:spPr>
                      </pic:pic>
                      <wps:wsp>
                        <wps:cNvPr id="49" name="Graphic 49"/>
                        <wps:cNvSpPr/>
                        <wps:spPr>
                          <a:xfrm>
                            <a:off x="130563" y="2984"/>
                            <a:ext cx="95250" cy="165100"/>
                          </a:xfrm>
                          <a:custGeom>
                            <a:avLst/>
                            <a:gdLst/>
                            <a:ahLst/>
                            <a:cxnLst/>
                            <a:rect l="l" t="t" r="r" b="b"/>
                            <a:pathLst>
                              <a:path w="95250" h="165100">
                                <a:moveTo>
                                  <a:pt x="55321" y="48806"/>
                                </a:moveTo>
                                <a:lnTo>
                                  <a:pt x="53606" y="48221"/>
                                </a:lnTo>
                                <a:lnTo>
                                  <a:pt x="41186" y="48221"/>
                                </a:lnTo>
                                <a:lnTo>
                                  <a:pt x="34975" y="49568"/>
                                </a:lnTo>
                                <a:lnTo>
                                  <a:pt x="26479" y="54813"/>
                                </a:lnTo>
                                <a:lnTo>
                                  <a:pt x="22783" y="59969"/>
                                </a:lnTo>
                                <a:lnTo>
                                  <a:pt x="19659" y="67551"/>
                                </a:lnTo>
                                <a:lnTo>
                                  <a:pt x="19659" y="49593"/>
                                </a:lnTo>
                                <a:lnTo>
                                  <a:pt x="0" y="49593"/>
                                </a:lnTo>
                                <a:lnTo>
                                  <a:pt x="342" y="58864"/>
                                </a:lnTo>
                                <a:lnTo>
                                  <a:pt x="457" y="165049"/>
                                </a:lnTo>
                                <a:lnTo>
                                  <a:pt x="20116" y="165049"/>
                                </a:lnTo>
                                <a:lnTo>
                                  <a:pt x="20116" y="84988"/>
                                </a:lnTo>
                                <a:lnTo>
                                  <a:pt x="22326" y="78854"/>
                                </a:lnTo>
                                <a:lnTo>
                                  <a:pt x="31203" y="69799"/>
                                </a:lnTo>
                                <a:lnTo>
                                  <a:pt x="37566" y="67551"/>
                                </a:lnTo>
                                <a:lnTo>
                                  <a:pt x="45948" y="67551"/>
                                </a:lnTo>
                                <a:lnTo>
                                  <a:pt x="55321" y="68199"/>
                                </a:lnTo>
                                <a:lnTo>
                                  <a:pt x="55321" y="48806"/>
                                </a:lnTo>
                                <a:close/>
                              </a:path>
                              <a:path w="95250" h="165100">
                                <a:moveTo>
                                  <a:pt x="94183" y="49593"/>
                                </a:moveTo>
                                <a:lnTo>
                                  <a:pt x="74523" y="49593"/>
                                </a:lnTo>
                                <a:lnTo>
                                  <a:pt x="74523" y="165049"/>
                                </a:lnTo>
                                <a:lnTo>
                                  <a:pt x="94183" y="165049"/>
                                </a:lnTo>
                                <a:lnTo>
                                  <a:pt x="94183" y="49593"/>
                                </a:lnTo>
                                <a:close/>
                              </a:path>
                              <a:path w="95250" h="165100">
                                <a:moveTo>
                                  <a:pt x="94945" y="0"/>
                                </a:moveTo>
                                <a:lnTo>
                                  <a:pt x="73837" y="0"/>
                                </a:lnTo>
                                <a:lnTo>
                                  <a:pt x="73837" y="20193"/>
                                </a:lnTo>
                                <a:lnTo>
                                  <a:pt x="94945" y="20193"/>
                                </a:lnTo>
                                <a:lnTo>
                                  <a:pt x="94945"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236.580399pt;margin-top:36.704849pt;width:17.8pt;height:13.45pt;mso-position-horizontal-relative:page;mso-position-vertical-relative:paragraph;z-index:-15725568;mso-wrap-distance-left:0;mso-wrap-distance-right:0" id="docshapegroup47" coordorigin="4732,734" coordsize="356,269">
                <v:shape style="position:absolute;left:4731;top:734;width:158;height:269" type="#_x0000_t75" id="docshape48" stroked="false">
                  <v:imagedata r:id="rId37" o:title=""/>
                </v:shape>
                <v:shape style="position:absolute;left:4937;top:738;width:150;height:260" id="docshape49" coordorigin="4937,739" coordsize="150,260" path="m5024,816l5022,815,5002,815,4992,817,4979,825,4973,833,4968,845,4968,817,4937,817,4938,831,4938,999,4969,999,4969,873,4972,863,4986,849,4996,845,5010,845,5024,846,5024,816xm5086,817l5055,817,5055,999,5086,999,5086,817xm5087,739l5054,739,5054,771,5087,771,5087,739xe" filled="true" fillcolor="#231f20"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91424">
                <wp:simplePos x="0" y="0"/>
                <wp:positionH relativeFrom="page">
                  <wp:posOffset>1659102</wp:posOffset>
                </wp:positionH>
                <wp:positionV relativeFrom="paragraph">
                  <wp:posOffset>752323</wp:posOffset>
                </wp:positionV>
                <wp:extent cx="220979" cy="165100"/>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220979" cy="165100"/>
                          <a:chExt cx="220979" cy="165100"/>
                        </a:xfrm>
                      </wpg:grpSpPr>
                      <pic:pic>
                        <pic:nvPicPr>
                          <pic:cNvPr id="51" name="Image 51"/>
                          <pic:cNvPicPr/>
                        </pic:nvPicPr>
                        <pic:blipFill>
                          <a:blip r:embed="rId38" cstate="print"/>
                          <a:stretch>
                            <a:fillRect/>
                          </a:stretch>
                        </pic:blipFill>
                        <pic:spPr>
                          <a:xfrm>
                            <a:off x="0" y="0"/>
                            <a:ext cx="102373" cy="165049"/>
                          </a:xfrm>
                          <a:prstGeom prst="rect">
                            <a:avLst/>
                          </a:prstGeom>
                        </pic:spPr>
                      </pic:pic>
                      <wps:wsp>
                        <wps:cNvPr id="52" name="Graphic 52"/>
                        <wps:cNvSpPr/>
                        <wps:spPr>
                          <a:xfrm>
                            <a:off x="137807" y="48231"/>
                            <a:ext cx="83185" cy="116839"/>
                          </a:xfrm>
                          <a:custGeom>
                            <a:avLst/>
                            <a:gdLst/>
                            <a:ahLst/>
                            <a:cxnLst/>
                            <a:rect l="l" t="t" r="r" b="b"/>
                            <a:pathLst>
                              <a:path w="83185" h="116839">
                                <a:moveTo>
                                  <a:pt x="55321" y="584"/>
                                </a:moveTo>
                                <a:lnTo>
                                  <a:pt x="53594" y="0"/>
                                </a:lnTo>
                                <a:lnTo>
                                  <a:pt x="41173" y="0"/>
                                </a:lnTo>
                                <a:lnTo>
                                  <a:pt x="34963" y="1346"/>
                                </a:lnTo>
                                <a:lnTo>
                                  <a:pt x="26479" y="6591"/>
                                </a:lnTo>
                                <a:lnTo>
                                  <a:pt x="22771" y="11747"/>
                                </a:lnTo>
                                <a:lnTo>
                                  <a:pt x="19659" y="19329"/>
                                </a:lnTo>
                                <a:lnTo>
                                  <a:pt x="19659" y="1371"/>
                                </a:lnTo>
                                <a:lnTo>
                                  <a:pt x="0" y="1371"/>
                                </a:lnTo>
                                <a:lnTo>
                                  <a:pt x="342" y="10642"/>
                                </a:lnTo>
                                <a:lnTo>
                                  <a:pt x="457" y="116827"/>
                                </a:lnTo>
                                <a:lnTo>
                                  <a:pt x="20116" y="116827"/>
                                </a:lnTo>
                                <a:lnTo>
                                  <a:pt x="20116" y="36766"/>
                                </a:lnTo>
                                <a:lnTo>
                                  <a:pt x="22313" y="30632"/>
                                </a:lnTo>
                                <a:lnTo>
                                  <a:pt x="31191" y="21577"/>
                                </a:lnTo>
                                <a:lnTo>
                                  <a:pt x="37566" y="19329"/>
                                </a:lnTo>
                                <a:lnTo>
                                  <a:pt x="45935" y="19329"/>
                                </a:lnTo>
                                <a:lnTo>
                                  <a:pt x="55321" y="19977"/>
                                </a:lnTo>
                                <a:lnTo>
                                  <a:pt x="55321" y="584"/>
                                </a:lnTo>
                                <a:close/>
                              </a:path>
                              <a:path w="83185" h="116839">
                                <a:moveTo>
                                  <a:pt x="82740" y="93052"/>
                                </a:moveTo>
                                <a:lnTo>
                                  <a:pt x="60528" y="93052"/>
                                </a:lnTo>
                                <a:lnTo>
                                  <a:pt x="60528" y="116827"/>
                                </a:lnTo>
                                <a:lnTo>
                                  <a:pt x="82740" y="116827"/>
                                </a:lnTo>
                                <a:lnTo>
                                  <a:pt x="82740" y="93052"/>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130.638pt;margin-top:59.238049pt;width:17.4pt;height:13pt;mso-position-horizontal-relative:page;mso-position-vertical-relative:paragraph;z-index:-15725056;mso-wrap-distance-left:0;mso-wrap-distance-right:0" id="docshapegroup50" coordorigin="2613,1185" coordsize="348,260">
                <v:shape style="position:absolute;left:2612;top:1184;width:162;height:260" type="#_x0000_t75" id="docshape51" stroked="false">
                  <v:imagedata r:id="rId38" o:title=""/>
                </v:shape>
                <v:shape style="position:absolute;left:2829;top:1260;width:131;height:184" id="docshape52" coordorigin="2830,1261" coordsize="131,184" path="m2917,1262l2914,1261,2895,1261,2885,1263,2871,1271,2866,1279,2861,1291,2861,1263,2830,1263,2830,1277,2831,1445,2861,1445,2861,1319,2865,1309,2879,1295,2889,1291,2902,1291,2917,1292,2917,1262xm2960,1407l2925,1407,2925,1445,2960,1445,2960,1407xe" filled="true" fillcolor="#231f20"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91936">
                <wp:simplePos x="0" y="0"/>
                <wp:positionH relativeFrom="page">
                  <wp:posOffset>1963371</wp:posOffset>
                </wp:positionH>
                <wp:positionV relativeFrom="paragraph">
                  <wp:posOffset>752323</wp:posOffset>
                </wp:positionV>
                <wp:extent cx="801370" cy="168275"/>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801370" cy="168275"/>
                          <a:chExt cx="801370" cy="168275"/>
                        </a:xfrm>
                      </wpg:grpSpPr>
                      <wps:wsp>
                        <wps:cNvPr id="54" name="Graphic 54"/>
                        <wps:cNvSpPr/>
                        <wps:spPr>
                          <a:xfrm>
                            <a:off x="-2" y="9"/>
                            <a:ext cx="145415" cy="165100"/>
                          </a:xfrm>
                          <a:custGeom>
                            <a:avLst/>
                            <a:gdLst/>
                            <a:ahLst/>
                            <a:cxnLst/>
                            <a:rect l="l" t="t" r="r" b="b"/>
                            <a:pathLst>
                              <a:path w="145415" h="165100">
                                <a:moveTo>
                                  <a:pt x="106527" y="165049"/>
                                </a:moveTo>
                                <a:lnTo>
                                  <a:pt x="42976" y="74561"/>
                                </a:lnTo>
                                <a:lnTo>
                                  <a:pt x="103174" y="0"/>
                                </a:lnTo>
                                <a:lnTo>
                                  <a:pt x="79400" y="0"/>
                                </a:lnTo>
                                <a:lnTo>
                                  <a:pt x="20993" y="72542"/>
                                </a:lnTo>
                                <a:lnTo>
                                  <a:pt x="20993" y="0"/>
                                </a:lnTo>
                                <a:lnTo>
                                  <a:pt x="0" y="0"/>
                                </a:lnTo>
                                <a:lnTo>
                                  <a:pt x="0" y="165049"/>
                                </a:lnTo>
                                <a:lnTo>
                                  <a:pt x="20993" y="165049"/>
                                </a:lnTo>
                                <a:lnTo>
                                  <a:pt x="20993" y="78905"/>
                                </a:lnTo>
                                <a:lnTo>
                                  <a:pt x="79629" y="165049"/>
                                </a:lnTo>
                                <a:lnTo>
                                  <a:pt x="106527" y="165049"/>
                                </a:lnTo>
                                <a:close/>
                              </a:path>
                              <a:path w="145415" h="165100">
                                <a:moveTo>
                                  <a:pt x="145008" y="141274"/>
                                </a:moveTo>
                                <a:lnTo>
                                  <a:pt x="122796" y="141274"/>
                                </a:lnTo>
                                <a:lnTo>
                                  <a:pt x="122796" y="165049"/>
                                </a:lnTo>
                                <a:lnTo>
                                  <a:pt x="145008" y="165049"/>
                                </a:lnTo>
                                <a:lnTo>
                                  <a:pt x="145008" y="141274"/>
                                </a:lnTo>
                                <a:close/>
                              </a:path>
                            </a:pathLst>
                          </a:custGeom>
                          <a:solidFill>
                            <a:srgbClr val="231F20"/>
                          </a:solidFill>
                        </wps:spPr>
                        <wps:bodyPr wrap="square" lIns="0" tIns="0" rIns="0" bIns="0" rtlCol="0">
                          <a:prstTxWarp prst="textNoShape">
                            <a:avLst/>
                          </a:prstTxWarp>
                          <a:noAutofit/>
                        </wps:bodyPr>
                      </wps:wsp>
                      <pic:pic>
                        <pic:nvPicPr>
                          <pic:cNvPr id="55" name="Image 55"/>
                          <pic:cNvPicPr/>
                        </pic:nvPicPr>
                        <pic:blipFill>
                          <a:blip r:embed="rId39" cstate="print"/>
                          <a:stretch>
                            <a:fillRect/>
                          </a:stretch>
                        </pic:blipFill>
                        <pic:spPr>
                          <a:xfrm>
                            <a:off x="185701" y="0"/>
                            <a:ext cx="206844" cy="167792"/>
                          </a:xfrm>
                          <a:prstGeom prst="rect">
                            <a:avLst/>
                          </a:prstGeom>
                        </pic:spPr>
                      </pic:pic>
                      <pic:pic>
                        <pic:nvPicPr>
                          <pic:cNvPr id="56" name="Image 56"/>
                          <pic:cNvPicPr/>
                        </pic:nvPicPr>
                        <pic:blipFill>
                          <a:blip r:embed="rId35" cstate="print"/>
                          <a:stretch>
                            <a:fillRect/>
                          </a:stretch>
                        </pic:blipFill>
                        <pic:spPr>
                          <a:xfrm>
                            <a:off x="422988" y="47317"/>
                            <a:ext cx="82295" cy="117731"/>
                          </a:xfrm>
                          <a:prstGeom prst="rect">
                            <a:avLst/>
                          </a:prstGeom>
                        </pic:spPr>
                      </pic:pic>
                      <pic:pic>
                        <pic:nvPicPr>
                          <pic:cNvPr id="57" name="Image 57"/>
                          <pic:cNvPicPr/>
                        </pic:nvPicPr>
                        <pic:blipFill>
                          <a:blip r:embed="rId40" cstate="print"/>
                          <a:stretch>
                            <a:fillRect/>
                          </a:stretch>
                        </pic:blipFill>
                        <pic:spPr>
                          <a:xfrm>
                            <a:off x="537745" y="0"/>
                            <a:ext cx="263080" cy="167565"/>
                          </a:xfrm>
                          <a:prstGeom prst="rect">
                            <a:avLst/>
                          </a:prstGeom>
                        </pic:spPr>
                      </pic:pic>
                    </wpg:wgp>
                  </a:graphicData>
                </a:graphic>
              </wp:anchor>
            </w:drawing>
          </mc:Choice>
          <mc:Fallback>
            <w:pict>
              <v:group style="position:absolute;margin-left:154.596207pt;margin-top:59.238049pt;width:63.1pt;height:13.25pt;mso-position-horizontal-relative:page;mso-position-vertical-relative:paragraph;z-index:-15724544;mso-wrap-distance-left:0;mso-wrap-distance-right:0" id="docshapegroup53" coordorigin="3092,1185" coordsize="1262,265">
                <v:shape style="position:absolute;left:3091;top:1184;width:229;height:260" id="docshape54" coordorigin="3092,1185" coordsize="229,260" path="m3260,1445l3160,1302,3254,1185,3217,1185,3125,1299,3125,1185,3092,1185,3092,1445,3125,1445,3125,1309,3217,1445,3260,1445xm3320,1407l3285,1407,3285,1445,3320,1445,3320,1407xe" filled="true" fillcolor="#231f20" stroked="false">
                  <v:path arrowok="t"/>
                  <v:fill type="solid"/>
                </v:shape>
                <v:shape style="position:absolute;left:3384;top:1184;width:326;height:265" type="#_x0000_t75" id="docshape55" stroked="false">
                  <v:imagedata r:id="rId39" o:title=""/>
                </v:shape>
                <v:shape style="position:absolute;left:3758;top:1259;width:130;height:186" type="#_x0000_t75" id="docshape56" stroked="false">
                  <v:imagedata r:id="rId35" o:title=""/>
                </v:shape>
                <v:shape style="position:absolute;left:3938;top:1184;width:415;height:264" type="#_x0000_t75" id="docshape57" stroked="false">
                  <v:imagedata r:id="rId40" o:title=""/>
                </v:shape>
                <w10:wrap type="topAndBottom"/>
              </v:group>
            </w:pict>
          </mc:Fallback>
        </mc:AlternateContent>
      </w:r>
      <w:r>
        <w:rPr/>
        <mc:AlternateContent>
          <mc:Choice Requires="wps">
            <w:drawing>
              <wp:anchor distT="0" distB="0" distL="0" distR="0" allowOverlap="1" layoutInCell="1" locked="0" behindDoc="1" simplePos="0" relativeHeight="487592448">
                <wp:simplePos x="0" y="0"/>
                <wp:positionH relativeFrom="page">
                  <wp:posOffset>2828433</wp:posOffset>
                </wp:positionH>
                <wp:positionV relativeFrom="paragraph">
                  <wp:posOffset>749348</wp:posOffset>
                </wp:positionV>
                <wp:extent cx="542290" cy="170815"/>
                <wp:effectExtent l="0" t="0" r="0" b="0"/>
                <wp:wrapTopAndBottom/>
                <wp:docPr id="58" name="Group 58"/>
                <wp:cNvGraphicFramePr>
                  <a:graphicFrameLocks/>
                </wp:cNvGraphicFramePr>
                <a:graphic>
                  <a:graphicData uri="http://schemas.microsoft.com/office/word/2010/wordprocessingGroup">
                    <wpg:wgp>
                      <wpg:cNvPr id="58" name="Group 58"/>
                      <wpg:cNvGrpSpPr/>
                      <wpg:grpSpPr>
                        <a:xfrm>
                          <a:off x="0" y="0"/>
                          <a:ext cx="542290" cy="170815"/>
                          <a:chExt cx="542290" cy="170815"/>
                        </a:xfrm>
                      </wpg:grpSpPr>
                      <pic:pic>
                        <pic:nvPicPr>
                          <pic:cNvPr id="59" name="Image 59"/>
                          <pic:cNvPicPr/>
                        </pic:nvPicPr>
                        <pic:blipFill>
                          <a:blip r:embed="rId41" cstate="print"/>
                          <a:stretch>
                            <a:fillRect/>
                          </a:stretch>
                        </pic:blipFill>
                        <pic:spPr>
                          <a:xfrm>
                            <a:off x="0" y="0"/>
                            <a:ext cx="99708" cy="170539"/>
                          </a:xfrm>
                          <a:prstGeom prst="rect">
                            <a:avLst/>
                          </a:prstGeom>
                        </pic:spPr>
                      </pic:pic>
                      <pic:pic>
                        <pic:nvPicPr>
                          <pic:cNvPr id="60" name="Image 60"/>
                          <pic:cNvPicPr/>
                        </pic:nvPicPr>
                        <pic:blipFill>
                          <a:blip r:embed="rId42" cstate="print"/>
                          <a:stretch>
                            <a:fillRect/>
                          </a:stretch>
                        </pic:blipFill>
                        <pic:spPr>
                          <a:xfrm>
                            <a:off x="128512" y="2974"/>
                            <a:ext cx="198691" cy="167565"/>
                          </a:xfrm>
                          <a:prstGeom prst="rect">
                            <a:avLst/>
                          </a:prstGeom>
                        </pic:spPr>
                      </pic:pic>
                      <pic:pic>
                        <pic:nvPicPr>
                          <pic:cNvPr id="61" name="Image 61"/>
                          <pic:cNvPicPr/>
                        </pic:nvPicPr>
                        <pic:blipFill>
                          <a:blip r:embed="rId43" cstate="print"/>
                          <a:stretch>
                            <a:fillRect/>
                          </a:stretch>
                        </pic:blipFill>
                        <pic:spPr>
                          <a:xfrm>
                            <a:off x="352771" y="50980"/>
                            <a:ext cx="80009" cy="119101"/>
                          </a:xfrm>
                          <a:prstGeom prst="rect">
                            <a:avLst/>
                          </a:prstGeom>
                        </pic:spPr>
                      </pic:pic>
                      <pic:pic>
                        <pic:nvPicPr>
                          <pic:cNvPr id="62" name="Image 62"/>
                          <pic:cNvPicPr/>
                        </pic:nvPicPr>
                        <pic:blipFill>
                          <a:blip r:embed="rId44" cstate="print"/>
                          <a:stretch>
                            <a:fillRect/>
                          </a:stretch>
                        </pic:blipFill>
                        <pic:spPr>
                          <a:xfrm>
                            <a:off x="459715" y="2974"/>
                            <a:ext cx="81950" cy="165049"/>
                          </a:xfrm>
                          <a:prstGeom prst="rect">
                            <a:avLst/>
                          </a:prstGeom>
                        </pic:spPr>
                      </pic:pic>
                    </wpg:wgp>
                  </a:graphicData>
                </a:graphic>
              </wp:anchor>
            </w:drawing>
          </mc:Choice>
          <mc:Fallback>
            <w:pict>
              <v:group style="position:absolute;margin-left:222.711304pt;margin-top:59.003849pt;width:42.7pt;height:13.45pt;mso-position-horizontal-relative:page;mso-position-vertical-relative:paragraph;z-index:-15724032;mso-wrap-distance-left:0;mso-wrap-distance-right:0" id="docshapegroup58" coordorigin="4454,1180" coordsize="854,269">
                <v:shape style="position:absolute;left:4454;top:1180;width:158;height:269" type="#_x0000_t75" id="docshape59" stroked="false">
                  <v:imagedata r:id="rId41" o:title=""/>
                </v:shape>
                <v:shape style="position:absolute;left:4656;top:1184;width:313;height:264" type="#_x0000_t75" id="docshape60" stroked="false">
                  <v:imagedata r:id="rId42" o:title=""/>
                </v:shape>
                <v:shape style="position:absolute;left:5009;top:1260;width:126;height:188" type="#_x0000_t75" id="docshape61" stroked="false">
                  <v:imagedata r:id="rId43" o:title=""/>
                </v:shape>
                <v:shape style="position:absolute;left:5178;top:1184;width:130;height:260" type="#_x0000_t75" id="docshape62" stroked="false">
                  <v:imagedata r:id="rId44" o:title=""/>
                </v:shape>
                <w10:wrap type="topAndBottom"/>
              </v:group>
            </w:pict>
          </mc:Fallback>
        </mc:AlternateContent>
      </w:r>
    </w:p>
    <w:p>
      <w:pPr>
        <w:pStyle w:val="BodyText"/>
        <w:spacing w:before="2"/>
        <w:ind w:left="0"/>
        <w:rPr>
          <w:sz w:val="13"/>
        </w:rPr>
      </w:pPr>
    </w:p>
    <w:p>
      <w:pPr>
        <w:pStyle w:val="BodyText"/>
        <w:spacing w:before="3"/>
        <w:ind w:left="0"/>
        <w:rPr>
          <w:sz w:val="13"/>
        </w:rPr>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42"/>
        <w:ind w:left="0"/>
      </w:pPr>
      <w:r>
        <w:rPr/>
        <mc:AlternateContent>
          <mc:Choice Requires="wps">
            <w:drawing>
              <wp:anchor distT="0" distB="0" distL="0" distR="0" allowOverlap="1" layoutInCell="1" locked="0" behindDoc="1" simplePos="0" relativeHeight="487592960">
                <wp:simplePos x="0" y="0"/>
                <wp:positionH relativeFrom="page">
                  <wp:posOffset>2315765</wp:posOffset>
                </wp:positionH>
                <wp:positionV relativeFrom="paragraph">
                  <wp:posOffset>188517</wp:posOffset>
                </wp:positionV>
                <wp:extent cx="370205" cy="640715"/>
                <wp:effectExtent l="0" t="0" r="0" b="0"/>
                <wp:wrapTopAndBottom/>
                <wp:docPr id="63" name="Group 63"/>
                <wp:cNvGraphicFramePr>
                  <a:graphicFrameLocks/>
                </wp:cNvGraphicFramePr>
                <a:graphic>
                  <a:graphicData uri="http://schemas.microsoft.com/office/word/2010/wordprocessingGroup">
                    <wpg:wgp>
                      <wpg:cNvPr id="63" name="Group 63"/>
                      <wpg:cNvGrpSpPr/>
                      <wpg:grpSpPr>
                        <a:xfrm>
                          <a:off x="0" y="0"/>
                          <a:ext cx="370205" cy="640715"/>
                          <a:chExt cx="370205" cy="640715"/>
                        </a:xfrm>
                      </wpg:grpSpPr>
                      <wps:wsp>
                        <wps:cNvPr id="64" name="Graphic 64"/>
                        <wps:cNvSpPr/>
                        <wps:spPr>
                          <a:xfrm>
                            <a:off x="-8" y="129028"/>
                            <a:ext cx="349250" cy="511175"/>
                          </a:xfrm>
                          <a:custGeom>
                            <a:avLst/>
                            <a:gdLst/>
                            <a:ahLst/>
                            <a:cxnLst/>
                            <a:rect l="l" t="t" r="r" b="b"/>
                            <a:pathLst>
                              <a:path w="349250" h="511175">
                                <a:moveTo>
                                  <a:pt x="349034" y="82448"/>
                                </a:moveTo>
                                <a:lnTo>
                                  <a:pt x="342760" y="38735"/>
                                </a:lnTo>
                                <a:lnTo>
                                  <a:pt x="341083" y="35026"/>
                                </a:lnTo>
                                <a:lnTo>
                                  <a:pt x="340753" y="34277"/>
                                </a:lnTo>
                                <a:lnTo>
                                  <a:pt x="342696" y="22174"/>
                                </a:lnTo>
                                <a:lnTo>
                                  <a:pt x="342696" y="11696"/>
                                </a:lnTo>
                                <a:lnTo>
                                  <a:pt x="342696" y="3416"/>
                                </a:lnTo>
                                <a:lnTo>
                                  <a:pt x="324256" y="3416"/>
                                </a:lnTo>
                                <a:lnTo>
                                  <a:pt x="324256" y="10198"/>
                                </a:lnTo>
                                <a:lnTo>
                                  <a:pt x="321310" y="10198"/>
                                </a:lnTo>
                                <a:lnTo>
                                  <a:pt x="317576" y="11328"/>
                                </a:lnTo>
                                <a:lnTo>
                                  <a:pt x="316166" y="11328"/>
                                </a:lnTo>
                                <a:lnTo>
                                  <a:pt x="310705" y="11696"/>
                                </a:lnTo>
                                <a:lnTo>
                                  <a:pt x="204673" y="11696"/>
                                </a:lnTo>
                                <a:lnTo>
                                  <a:pt x="214896" y="9779"/>
                                </a:lnTo>
                                <a:lnTo>
                                  <a:pt x="219252" y="7035"/>
                                </a:lnTo>
                                <a:lnTo>
                                  <a:pt x="214896" y="4305"/>
                                </a:lnTo>
                                <a:lnTo>
                                  <a:pt x="202984" y="2057"/>
                                </a:lnTo>
                                <a:lnTo>
                                  <a:pt x="191008" y="1041"/>
                                </a:lnTo>
                                <a:lnTo>
                                  <a:pt x="191008" y="239979"/>
                                </a:lnTo>
                                <a:lnTo>
                                  <a:pt x="190830" y="239890"/>
                                </a:lnTo>
                                <a:lnTo>
                                  <a:pt x="190830" y="283171"/>
                                </a:lnTo>
                                <a:lnTo>
                                  <a:pt x="190779" y="295910"/>
                                </a:lnTo>
                                <a:lnTo>
                                  <a:pt x="190563" y="334822"/>
                                </a:lnTo>
                                <a:lnTo>
                                  <a:pt x="160388" y="344817"/>
                                </a:lnTo>
                                <a:lnTo>
                                  <a:pt x="153238" y="344563"/>
                                </a:lnTo>
                                <a:lnTo>
                                  <a:pt x="145084" y="343814"/>
                                </a:lnTo>
                                <a:lnTo>
                                  <a:pt x="136169" y="342557"/>
                                </a:lnTo>
                                <a:lnTo>
                                  <a:pt x="127177" y="340893"/>
                                </a:lnTo>
                                <a:lnTo>
                                  <a:pt x="126733" y="340893"/>
                                </a:lnTo>
                                <a:lnTo>
                                  <a:pt x="126898" y="336346"/>
                                </a:lnTo>
                                <a:lnTo>
                                  <a:pt x="126961" y="334822"/>
                                </a:lnTo>
                                <a:lnTo>
                                  <a:pt x="127050" y="332346"/>
                                </a:lnTo>
                                <a:lnTo>
                                  <a:pt x="127279" y="323545"/>
                                </a:lnTo>
                                <a:lnTo>
                                  <a:pt x="127393" y="315823"/>
                                </a:lnTo>
                                <a:lnTo>
                                  <a:pt x="127457" y="247713"/>
                                </a:lnTo>
                                <a:lnTo>
                                  <a:pt x="132727" y="250774"/>
                                </a:lnTo>
                                <a:lnTo>
                                  <a:pt x="138557" y="253911"/>
                                </a:lnTo>
                                <a:lnTo>
                                  <a:pt x="144945" y="257136"/>
                                </a:lnTo>
                                <a:lnTo>
                                  <a:pt x="164896" y="266712"/>
                                </a:lnTo>
                                <a:lnTo>
                                  <a:pt x="175704" y="272592"/>
                                </a:lnTo>
                                <a:lnTo>
                                  <a:pt x="184353" y="278079"/>
                                </a:lnTo>
                                <a:lnTo>
                                  <a:pt x="190830" y="283171"/>
                                </a:lnTo>
                                <a:lnTo>
                                  <a:pt x="190830" y="239890"/>
                                </a:lnTo>
                                <a:lnTo>
                                  <a:pt x="186651" y="237744"/>
                                </a:lnTo>
                                <a:lnTo>
                                  <a:pt x="181648" y="235331"/>
                                </a:lnTo>
                                <a:lnTo>
                                  <a:pt x="176009" y="232752"/>
                                </a:lnTo>
                                <a:lnTo>
                                  <a:pt x="162433" y="226237"/>
                                </a:lnTo>
                                <a:lnTo>
                                  <a:pt x="131178" y="203060"/>
                                </a:lnTo>
                                <a:lnTo>
                                  <a:pt x="128282" y="195529"/>
                                </a:lnTo>
                                <a:lnTo>
                                  <a:pt x="128282" y="186537"/>
                                </a:lnTo>
                                <a:lnTo>
                                  <a:pt x="128866" y="180200"/>
                                </a:lnTo>
                                <a:lnTo>
                                  <a:pt x="128930" y="179489"/>
                                </a:lnTo>
                                <a:lnTo>
                                  <a:pt x="163461" y="154482"/>
                                </a:lnTo>
                                <a:lnTo>
                                  <a:pt x="169189" y="154673"/>
                                </a:lnTo>
                                <a:lnTo>
                                  <a:pt x="175755" y="155244"/>
                                </a:lnTo>
                                <a:lnTo>
                                  <a:pt x="182981" y="156197"/>
                                </a:lnTo>
                                <a:lnTo>
                                  <a:pt x="190677" y="157530"/>
                                </a:lnTo>
                                <a:lnTo>
                                  <a:pt x="190766" y="167627"/>
                                </a:lnTo>
                                <a:lnTo>
                                  <a:pt x="190893" y="180200"/>
                                </a:lnTo>
                                <a:lnTo>
                                  <a:pt x="191008" y="239979"/>
                                </a:lnTo>
                                <a:lnTo>
                                  <a:pt x="191008" y="1041"/>
                                </a:lnTo>
                                <a:lnTo>
                                  <a:pt x="190487" y="1003"/>
                                </a:lnTo>
                                <a:lnTo>
                                  <a:pt x="190487" y="139001"/>
                                </a:lnTo>
                                <a:lnTo>
                                  <a:pt x="178765" y="138722"/>
                                </a:lnTo>
                                <a:lnTo>
                                  <a:pt x="168757" y="138582"/>
                                </a:lnTo>
                                <a:lnTo>
                                  <a:pt x="165265" y="138582"/>
                                </a:lnTo>
                                <a:lnTo>
                                  <a:pt x="154787" y="139077"/>
                                </a:lnTo>
                                <a:lnTo>
                                  <a:pt x="145021" y="140601"/>
                                </a:lnTo>
                                <a:lnTo>
                                  <a:pt x="135978" y="143129"/>
                                </a:lnTo>
                                <a:lnTo>
                                  <a:pt x="127647" y="146659"/>
                                </a:lnTo>
                                <a:lnTo>
                                  <a:pt x="128587" y="126377"/>
                                </a:lnTo>
                                <a:lnTo>
                                  <a:pt x="141414" y="84048"/>
                                </a:lnTo>
                                <a:lnTo>
                                  <a:pt x="160705" y="77571"/>
                                </a:lnTo>
                                <a:lnTo>
                                  <a:pt x="159956" y="77571"/>
                                </a:lnTo>
                                <a:lnTo>
                                  <a:pt x="174675" y="76720"/>
                                </a:lnTo>
                                <a:lnTo>
                                  <a:pt x="175196" y="76720"/>
                                </a:lnTo>
                                <a:lnTo>
                                  <a:pt x="175196" y="60820"/>
                                </a:lnTo>
                                <a:lnTo>
                                  <a:pt x="175196" y="53784"/>
                                </a:lnTo>
                                <a:lnTo>
                                  <a:pt x="136055" y="56565"/>
                                </a:lnTo>
                                <a:lnTo>
                                  <a:pt x="105181" y="60820"/>
                                </a:lnTo>
                                <a:lnTo>
                                  <a:pt x="105600" y="59880"/>
                                </a:lnTo>
                                <a:lnTo>
                                  <a:pt x="140182" y="36118"/>
                                </a:lnTo>
                                <a:lnTo>
                                  <a:pt x="175234" y="35026"/>
                                </a:lnTo>
                                <a:lnTo>
                                  <a:pt x="189534" y="35026"/>
                                </a:lnTo>
                                <a:lnTo>
                                  <a:pt x="189585" y="41490"/>
                                </a:lnTo>
                                <a:lnTo>
                                  <a:pt x="189699" y="53035"/>
                                </a:lnTo>
                                <a:lnTo>
                                  <a:pt x="189776" y="61709"/>
                                </a:lnTo>
                                <a:lnTo>
                                  <a:pt x="189903" y="74485"/>
                                </a:lnTo>
                                <a:lnTo>
                                  <a:pt x="189992" y="84582"/>
                                </a:lnTo>
                                <a:lnTo>
                                  <a:pt x="190119" y="97917"/>
                                </a:lnTo>
                                <a:lnTo>
                                  <a:pt x="190233" y="110121"/>
                                </a:lnTo>
                                <a:lnTo>
                                  <a:pt x="190296" y="116446"/>
                                </a:lnTo>
                                <a:lnTo>
                                  <a:pt x="190385" y="126377"/>
                                </a:lnTo>
                                <a:lnTo>
                                  <a:pt x="190487" y="139001"/>
                                </a:lnTo>
                                <a:lnTo>
                                  <a:pt x="190487" y="1003"/>
                                </a:lnTo>
                                <a:lnTo>
                                  <a:pt x="185331" y="558"/>
                                </a:lnTo>
                                <a:lnTo>
                                  <a:pt x="163703" y="0"/>
                                </a:lnTo>
                                <a:lnTo>
                                  <a:pt x="142074" y="558"/>
                                </a:lnTo>
                                <a:lnTo>
                                  <a:pt x="124421" y="2057"/>
                                </a:lnTo>
                                <a:lnTo>
                                  <a:pt x="112509" y="4305"/>
                                </a:lnTo>
                                <a:lnTo>
                                  <a:pt x="108153" y="7035"/>
                                </a:lnTo>
                                <a:lnTo>
                                  <a:pt x="112509" y="9779"/>
                                </a:lnTo>
                                <a:lnTo>
                                  <a:pt x="120942" y="11366"/>
                                </a:lnTo>
                                <a:lnTo>
                                  <a:pt x="119748" y="11328"/>
                                </a:lnTo>
                                <a:lnTo>
                                  <a:pt x="112776" y="10858"/>
                                </a:lnTo>
                                <a:lnTo>
                                  <a:pt x="108369" y="10198"/>
                                </a:lnTo>
                                <a:lnTo>
                                  <a:pt x="105613" y="10198"/>
                                </a:lnTo>
                                <a:lnTo>
                                  <a:pt x="105613" y="3416"/>
                                </a:lnTo>
                                <a:lnTo>
                                  <a:pt x="87172" y="3416"/>
                                </a:lnTo>
                                <a:lnTo>
                                  <a:pt x="87172" y="23812"/>
                                </a:lnTo>
                                <a:lnTo>
                                  <a:pt x="88265" y="34277"/>
                                </a:lnTo>
                                <a:lnTo>
                                  <a:pt x="88201" y="35026"/>
                                </a:lnTo>
                                <a:lnTo>
                                  <a:pt x="87045" y="39230"/>
                                </a:lnTo>
                                <a:lnTo>
                                  <a:pt x="86487" y="41490"/>
                                </a:lnTo>
                                <a:lnTo>
                                  <a:pt x="85051" y="46913"/>
                                </a:lnTo>
                                <a:lnTo>
                                  <a:pt x="83743" y="53035"/>
                                </a:lnTo>
                                <a:lnTo>
                                  <a:pt x="82550" y="59880"/>
                                </a:lnTo>
                                <a:lnTo>
                                  <a:pt x="58242" y="56565"/>
                                </a:lnTo>
                                <a:lnTo>
                                  <a:pt x="19570" y="53784"/>
                                </a:lnTo>
                                <a:lnTo>
                                  <a:pt x="19570" y="76720"/>
                                </a:lnTo>
                                <a:lnTo>
                                  <a:pt x="20053" y="76720"/>
                                </a:lnTo>
                                <a:lnTo>
                                  <a:pt x="33705" y="77571"/>
                                </a:lnTo>
                                <a:lnTo>
                                  <a:pt x="65163" y="116446"/>
                                </a:lnTo>
                                <a:lnTo>
                                  <a:pt x="66840" y="140601"/>
                                </a:lnTo>
                                <a:lnTo>
                                  <a:pt x="66967" y="146659"/>
                                </a:lnTo>
                                <a:lnTo>
                                  <a:pt x="67068" y="151815"/>
                                </a:lnTo>
                                <a:lnTo>
                                  <a:pt x="67183" y="157530"/>
                                </a:lnTo>
                                <a:lnTo>
                                  <a:pt x="67310" y="315823"/>
                                </a:lnTo>
                                <a:lnTo>
                                  <a:pt x="61112" y="310400"/>
                                </a:lnTo>
                                <a:lnTo>
                                  <a:pt x="56921" y="304228"/>
                                </a:lnTo>
                                <a:lnTo>
                                  <a:pt x="55816" y="297281"/>
                                </a:lnTo>
                                <a:lnTo>
                                  <a:pt x="41935" y="297281"/>
                                </a:lnTo>
                                <a:lnTo>
                                  <a:pt x="42265" y="308698"/>
                                </a:lnTo>
                                <a:lnTo>
                                  <a:pt x="42316" y="310400"/>
                                </a:lnTo>
                                <a:lnTo>
                                  <a:pt x="42430" y="314388"/>
                                </a:lnTo>
                                <a:lnTo>
                                  <a:pt x="42545" y="315823"/>
                                </a:lnTo>
                                <a:lnTo>
                                  <a:pt x="44450" y="329755"/>
                                </a:lnTo>
                                <a:lnTo>
                                  <a:pt x="39712" y="340893"/>
                                </a:lnTo>
                                <a:lnTo>
                                  <a:pt x="38481" y="345668"/>
                                </a:lnTo>
                                <a:lnTo>
                                  <a:pt x="37338" y="351967"/>
                                </a:lnTo>
                                <a:lnTo>
                                  <a:pt x="50406" y="355422"/>
                                </a:lnTo>
                                <a:lnTo>
                                  <a:pt x="52006" y="350875"/>
                                </a:lnTo>
                                <a:lnTo>
                                  <a:pt x="52070" y="350685"/>
                                </a:lnTo>
                                <a:lnTo>
                                  <a:pt x="52158" y="350215"/>
                                </a:lnTo>
                                <a:lnTo>
                                  <a:pt x="52349" y="349885"/>
                                </a:lnTo>
                                <a:lnTo>
                                  <a:pt x="53860" y="349313"/>
                                </a:lnTo>
                                <a:lnTo>
                                  <a:pt x="67310" y="350875"/>
                                </a:lnTo>
                                <a:lnTo>
                                  <a:pt x="67310" y="369316"/>
                                </a:lnTo>
                                <a:lnTo>
                                  <a:pt x="62699" y="410591"/>
                                </a:lnTo>
                                <a:lnTo>
                                  <a:pt x="43294" y="458952"/>
                                </a:lnTo>
                                <a:lnTo>
                                  <a:pt x="0" y="491058"/>
                                </a:lnTo>
                                <a:lnTo>
                                  <a:pt x="9550" y="511098"/>
                                </a:lnTo>
                                <a:lnTo>
                                  <a:pt x="49415" y="495579"/>
                                </a:lnTo>
                                <a:lnTo>
                                  <a:pt x="96367" y="454761"/>
                                </a:lnTo>
                                <a:lnTo>
                                  <a:pt x="118872" y="405041"/>
                                </a:lnTo>
                                <a:lnTo>
                                  <a:pt x="125514" y="360438"/>
                                </a:lnTo>
                                <a:lnTo>
                                  <a:pt x="125615" y="359244"/>
                                </a:lnTo>
                                <a:lnTo>
                                  <a:pt x="125666" y="358673"/>
                                </a:lnTo>
                                <a:lnTo>
                                  <a:pt x="125768" y="357619"/>
                                </a:lnTo>
                                <a:lnTo>
                                  <a:pt x="144843" y="359575"/>
                                </a:lnTo>
                                <a:lnTo>
                                  <a:pt x="152603" y="360210"/>
                                </a:lnTo>
                                <a:lnTo>
                                  <a:pt x="158064" y="360438"/>
                                </a:lnTo>
                                <a:lnTo>
                                  <a:pt x="164985" y="360210"/>
                                </a:lnTo>
                                <a:lnTo>
                                  <a:pt x="166243" y="360210"/>
                                </a:lnTo>
                                <a:lnTo>
                                  <a:pt x="175133" y="359244"/>
                                </a:lnTo>
                                <a:lnTo>
                                  <a:pt x="183007" y="357759"/>
                                </a:lnTo>
                                <a:lnTo>
                                  <a:pt x="183489" y="357619"/>
                                </a:lnTo>
                                <a:lnTo>
                                  <a:pt x="190449" y="355663"/>
                                </a:lnTo>
                                <a:lnTo>
                                  <a:pt x="190360" y="369011"/>
                                </a:lnTo>
                                <a:lnTo>
                                  <a:pt x="190258" y="383933"/>
                                </a:lnTo>
                                <a:lnTo>
                                  <a:pt x="190195" y="394271"/>
                                </a:lnTo>
                                <a:lnTo>
                                  <a:pt x="190068" y="410591"/>
                                </a:lnTo>
                                <a:lnTo>
                                  <a:pt x="189941" y="426834"/>
                                </a:lnTo>
                                <a:lnTo>
                                  <a:pt x="189915" y="430225"/>
                                </a:lnTo>
                                <a:lnTo>
                                  <a:pt x="188150" y="470331"/>
                                </a:lnTo>
                                <a:lnTo>
                                  <a:pt x="147764" y="491540"/>
                                </a:lnTo>
                                <a:lnTo>
                                  <a:pt x="147764" y="508977"/>
                                </a:lnTo>
                                <a:lnTo>
                                  <a:pt x="151587" y="508977"/>
                                </a:lnTo>
                                <a:lnTo>
                                  <a:pt x="157175" y="508685"/>
                                </a:lnTo>
                                <a:lnTo>
                                  <a:pt x="172161" y="507758"/>
                                </a:lnTo>
                                <a:lnTo>
                                  <a:pt x="177838" y="508050"/>
                                </a:lnTo>
                                <a:lnTo>
                                  <a:pt x="179933" y="507758"/>
                                </a:lnTo>
                                <a:lnTo>
                                  <a:pt x="214680" y="502958"/>
                                </a:lnTo>
                                <a:lnTo>
                                  <a:pt x="250545" y="508101"/>
                                </a:lnTo>
                                <a:lnTo>
                                  <a:pt x="253542" y="508977"/>
                                </a:lnTo>
                                <a:lnTo>
                                  <a:pt x="281736" y="508977"/>
                                </a:lnTo>
                                <a:lnTo>
                                  <a:pt x="281736" y="502958"/>
                                </a:lnTo>
                                <a:lnTo>
                                  <a:pt x="281736" y="491540"/>
                                </a:lnTo>
                                <a:lnTo>
                                  <a:pt x="267677" y="490880"/>
                                </a:lnTo>
                                <a:lnTo>
                                  <a:pt x="239928" y="459613"/>
                                </a:lnTo>
                                <a:lnTo>
                                  <a:pt x="239306" y="410591"/>
                                </a:lnTo>
                                <a:lnTo>
                                  <a:pt x="239179" y="391096"/>
                                </a:lnTo>
                                <a:lnTo>
                                  <a:pt x="239141" y="383933"/>
                                </a:lnTo>
                                <a:lnTo>
                                  <a:pt x="239039" y="369011"/>
                                </a:lnTo>
                                <a:lnTo>
                                  <a:pt x="238975" y="355663"/>
                                </a:lnTo>
                                <a:lnTo>
                                  <a:pt x="238950" y="349313"/>
                                </a:lnTo>
                                <a:lnTo>
                                  <a:pt x="238937" y="344817"/>
                                </a:lnTo>
                                <a:lnTo>
                                  <a:pt x="238810" y="315175"/>
                                </a:lnTo>
                                <a:lnTo>
                                  <a:pt x="238683" y="283171"/>
                                </a:lnTo>
                                <a:lnTo>
                                  <a:pt x="238582" y="247713"/>
                                </a:lnTo>
                                <a:lnTo>
                                  <a:pt x="238556" y="239979"/>
                                </a:lnTo>
                                <a:lnTo>
                                  <a:pt x="238455" y="174713"/>
                                </a:lnTo>
                                <a:lnTo>
                                  <a:pt x="246875" y="180200"/>
                                </a:lnTo>
                                <a:lnTo>
                                  <a:pt x="252742" y="186791"/>
                                </a:lnTo>
                                <a:lnTo>
                                  <a:pt x="253771" y="194487"/>
                                </a:lnTo>
                                <a:lnTo>
                                  <a:pt x="268452" y="194487"/>
                                </a:lnTo>
                                <a:lnTo>
                                  <a:pt x="267741" y="180200"/>
                                </a:lnTo>
                                <a:lnTo>
                                  <a:pt x="267716" y="179489"/>
                                </a:lnTo>
                                <a:lnTo>
                                  <a:pt x="267601" y="177165"/>
                                </a:lnTo>
                                <a:lnTo>
                                  <a:pt x="267309" y="174713"/>
                                </a:lnTo>
                                <a:lnTo>
                                  <a:pt x="265963" y="163499"/>
                                </a:lnTo>
                                <a:lnTo>
                                  <a:pt x="265938" y="163283"/>
                                </a:lnTo>
                                <a:lnTo>
                                  <a:pt x="269481" y="154673"/>
                                </a:lnTo>
                                <a:lnTo>
                                  <a:pt x="269557" y="154482"/>
                                </a:lnTo>
                                <a:lnTo>
                                  <a:pt x="269951" y="153530"/>
                                </a:lnTo>
                                <a:lnTo>
                                  <a:pt x="270471" y="151815"/>
                                </a:lnTo>
                                <a:lnTo>
                                  <a:pt x="271018" y="149047"/>
                                </a:lnTo>
                                <a:lnTo>
                                  <a:pt x="271221" y="147396"/>
                                </a:lnTo>
                                <a:lnTo>
                                  <a:pt x="271348" y="146659"/>
                                </a:lnTo>
                                <a:lnTo>
                                  <a:pt x="271729" y="144589"/>
                                </a:lnTo>
                                <a:lnTo>
                                  <a:pt x="271805" y="144157"/>
                                </a:lnTo>
                                <a:lnTo>
                                  <a:pt x="271907" y="143598"/>
                                </a:lnTo>
                                <a:lnTo>
                                  <a:pt x="257898" y="139992"/>
                                </a:lnTo>
                                <a:lnTo>
                                  <a:pt x="257898" y="144157"/>
                                </a:lnTo>
                                <a:lnTo>
                                  <a:pt x="256514" y="144589"/>
                                </a:lnTo>
                                <a:lnTo>
                                  <a:pt x="240969" y="141490"/>
                                </a:lnTo>
                                <a:lnTo>
                                  <a:pt x="239839" y="141325"/>
                                </a:lnTo>
                                <a:lnTo>
                                  <a:pt x="238455" y="141173"/>
                                </a:lnTo>
                                <a:lnTo>
                                  <a:pt x="238455" y="139077"/>
                                </a:lnTo>
                                <a:lnTo>
                                  <a:pt x="238455" y="74485"/>
                                </a:lnTo>
                                <a:lnTo>
                                  <a:pt x="239496" y="47231"/>
                                </a:lnTo>
                                <a:lnTo>
                                  <a:pt x="239560" y="45504"/>
                                </a:lnTo>
                                <a:lnTo>
                                  <a:pt x="239674" y="42608"/>
                                </a:lnTo>
                                <a:lnTo>
                                  <a:pt x="239788" y="39420"/>
                                </a:lnTo>
                                <a:lnTo>
                                  <a:pt x="239915" y="36118"/>
                                </a:lnTo>
                                <a:lnTo>
                                  <a:pt x="239966" y="35026"/>
                                </a:lnTo>
                                <a:lnTo>
                                  <a:pt x="255765" y="35026"/>
                                </a:lnTo>
                                <a:lnTo>
                                  <a:pt x="285496" y="37998"/>
                                </a:lnTo>
                                <a:lnTo>
                                  <a:pt x="307746" y="46913"/>
                                </a:lnTo>
                                <a:lnTo>
                                  <a:pt x="322427" y="61709"/>
                                </a:lnTo>
                                <a:lnTo>
                                  <a:pt x="329590" y="82448"/>
                                </a:lnTo>
                                <a:lnTo>
                                  <a:pt x="349034" y="82448"/>
                                </a:lnTo>
                                <a:close/>
                              </a:path>
                            </a:pathLst>
                          </a:custGeom>
                          <a:solidFill>
                            <a:srgbClr val="231F20"/>
                          </a:solidFill>
                        </wps:spPr>
                        <wps:bodyPr wrap="square" lIns="0" tIns="0" rIns="0" bIns="0" rtlCol="0">
                          <a:prstTxWarp prst="textNoShape">
                            <a:avLst/>
                          </a:prstTxWarp>
                          <a:noAutofit/>
                        </wps:bodyPr>
                      </wps:wsp>
                      <pic:pic>
                        <pic:nvPicPr>
                          <pic:cNvPr id="65" name="Image 65"/>
                          <pic:cNvPicPr/>
                        </pic:nvPicPr>
                        <pic:blipFill>
                          <a:blip r:embed="rId45" cstate="print"/>
                          <a:stretch>
                            <a:fillRect/>
                          </a:stretch>
                        </pic:blipFill>
                        <pic:spPr>
                          <a:xfrm>
                            <a:off x="116283" y="0"/>
                            <a:ext cx="253644" cy="143776"/>
                          </a:xfrm>
                          <a:prstGeom prst="rect">
                            <a:avLst/>
                          </a:prstGeom>
                        </pic:spPr>
                      </pic:pic>
                    </wpg:wgp>
                  </a:graphicData>
                </a:graphic>
              </wp:anchor>
            </w:drawing>
          </mc:Choice>
          <mc:Fallback>
            <w:pict>
              <v:group style="position:absolute;margin-left:182.343704pt;margin-top:14.843889pt;width:29.15pt;height:50.45pt;mso-position-horizontal-relative:page;mso-position-vertical-relative:paragraph;z-index:-15723520;mso-wrap-distance-left:0;mso-wrap-distance-right:0" id="docshapegroup63" coordorigin="3647,297" coordsize="583,1009">
                <v:shape style="position:absolute;left:3646;top:500;width:550;height:805" id="docshape64" coordorigin="3647,500" coordsize="550,805" path="m4197,630l4187,561,4184,555,4183,554,4187,535,4187,518,4187,505,4158,505,4158,516,4153,516,4147,518,4145,518,4136,518,3969,518,3985,515,3992,511,3985,507,3967,503,3948,502,3948,878,3947,878,3947,946,3947,966,3947,1027,3899,1043,3888,1043,3875,1042,3861,1040,3847,1037,3846,1037,3847,1030,3847,1027,3847,1023,3847,1010,3847,997,3848,890,3856,895,3865,900,3875,905,3907,920,3924,929,3937,938,3947,946,3947,878,3941,874,3933,871,3924,867,3903,856,3853,820,3849,808,3849,794,3850,784,3850,783,3904,743,3913,744,3924,745,3935,746,3947,748,3947,764,3947,784,3948,878,3948,502,3947,502,3947,719,3928,719,3913,718,3907,718,3891,719,3875,721,3861,725,3848,731,3849,699,3870,632,3900,622,3899,622,3922,621,3923,621,3923,596,3923,585,3861,589,3813,596,3813,594,3868,557,3923,555,3945,555,3945,565,3946,584,3946,597,3946,617,3946,633,3946,654,3946,673,3947,683,3947,699,3947,719,3947,502,3939,501,3905,500,3871,501,3843,503,3824,507,3817,511,3824,515,3837,518,3835,518,3824,517,3818,516,3813,516,3813,505,3784,505,3784,538,3786,554,3786,555,3784,562,3783,565,3781,574,3779,584,3777,594,3739,589,3678,585,3678,621,3678,621,3700,622,3749,683,3752,721,3752,731,3752,739,3753,748,3753,997,3743,989,3737,979,3735,968,3713,968,3713,986,3714,989,3714,995,3714,997,3717,1019,3709,1037,3707,1044,3706,1054,3726,1060,3729,1053,3729,1052,3729,1052,3729,1051,3732,1050,3753,1053,3753,1082,3746,1147,3715,1223,3647,1273,3662,1305,3725,1281,3799,1216,3834,1138,3845,1068,3845,1066,3845,1065,3845,1063,3875,1066,3887,1067,3896,1068,3907,1067,3909,1067,3923,1066,3935,1063,3936,1063,3947,1060,3947,1081,3946,1105,3946,1121,3946,1147,3946,1172,3946,1178,3943,1241,3880,1274,3880,1302,3886,1302,3894,1301,3918,1300,3927,1300,3930,1300,3985,1292,4041,1300,4046,1302,4091,1302,4091,1292,4091,1274,4068,1273,4025,1224,4024,1147,4024,1116,4023,1105,4023,1081,4023,1060,4023,1050,4023,1043,4023,996,4023,946,4023,890,4023,878,4022,775,4036,784,4045,794,4047,806,4070,806,4069,784,4068,783,4068,779,4068,775,4066,758,4066,757,4071,744,4071,743,4072,742,4073,739,4074,735,4074,732,4074,731,4075,728,4075,727,4075,726,4053,721,4053,727,4051,728,4026,723,4025,723,4022,722,4022,719,4022,617,4024,574,4024,572,4024,567,4024,562,4025,557,4025,555,4050,555,4096,560,4132,574,4155,597,4166,630,4197,630xe" filled="true" fillcolor="#231f20" stroked="false">
                  <v:path arrowok="t"/>
                  <v:fill type="solid"/>
                </v:shape>
                <v:shape style="position:absolute;left:3830;top:296;width:400;height:227" type="#_x0000_t75" id="docshape65" stroked="false">
                  <v:imagedata r:id="rId45" o:title=""/>
                </v:shape>
                <w10:wrap type="topAndBottom"/>
              </v:group>
            </w:pict>
          </mc:Fallback>
        </mc:AlternateContent>
      </w:r>
      <w:r>
        <w:rPr/>
        <mc:AlternateContent>
          <mc:Choice Requires="wps">
            <w:drawing>
              <wp:anchor distT="0" distB="0" distL="0" distR="0" allowOverlap="1" layoutInCell="1" locked="0" behindDoc="1" simplePos="0" relativeHeight="487593472">
                <wp:simplePos x="0" y="0"/>
                <wp:positionH relativeFrom="page">
                  <wp:posOffset>1557046</wp:posOffset>
                </wp:positionH>
                <wp:positionV relativeFrom="paragraph">
                  <wp:posOffset>924638</wp:posOffset>
                </wp:positionV>
                <wp:extent cx="488315" cy="315595"/>
                <wp:effectExtent l="0" t="0" r="0" b="0"/>
                <wp:wrapTopAndBottom/>
                <wp:docPr id="66" name="Group 66"/>
                <wp:cNvGraphicFramePr>
                  <a:graphicFrameLocks/>
                </wp:cNvGraphicFramePr>
                <a:graphic>
                  <a:graphicData uri="http://schemas.microsoft.com/office/word/2010/wordprocessingGroup">
                    <wpg:wgp>
                      <wpg:cNvPr id="66" name="Group 66"/>
                      <wpg:cNvGrpSpPr/>
                      <wpg:grpSpPr>
                        <a:xfrm>
                          <a:off x="0" y="0"/>
                          <a:ext cx="488315" cy="315595"/>
                          <a:chExt cx="488315" cy="315595"/>
                        </a:xfrm>
                      </wpg:grpSpPr>
                      <wps:wsp>
                        <wps:cNvPr id="67" name="Graphic 67"/>
                        <wps:cNvSpPr/>
                        <wps:spPr>
                          <a:xfrm>
                            <a:off x="0" y="10529"/>
                            <a:ext cx="127635" cy="304800"/>
                          </a:xfrm>
                          <a:custGeom>
                            <a:avLst/>
                            <a:gdLst/>
                            <a:ahLst/>
                            <a:cxnLst/>
                            <a:rect l="l" t="t" r="r" b="b"/>
                            <a:pathLst>
                              <a:path w="127635" h="304800">
                                <a:moveTo>
                                  <a:pt x="127062" y="0"/>
                                </a:moveTo>
                                <a:lnTo>
                                  <a:pt x="9881" y="0"/>
                                </a:lnTo>
                                <a:lnTo>
                                  <a:pt x="9881" y="15968"/>
                                </a:lnTo>
                                <a:lnTo>
                                  <a:pt x="19396" y="15968"/>
                                </a:lnTo>
                                <a:lnTo>
                                  <a:pt x="26600" y="16765"/>
                                </a:lnTo>
                                <a:lnTo>
                                  <a:pt x="50782" y="56062"/>
                                </a:lnTo>
                                <a:lnTo>
                                  <a:pt x="50782" y="182911"/>
                                </a:lnTo>
                                <a:lnTo>
                                  <a:pt x="48463" y="225371"/>
                                </a:lnTo>
                                <a:lnTo>
                                  <a:pt x="34850" y="261734"/>
                                </a:lnTo>
                                <a:lnTo>
                                  <a:pt x="0" y="290847"/>
                                </a:lnTo>
                                <a:lnTo>
                                  <a:pt x="8150" y="304440"/>
                                </a:lnTo>
                                <a:lnTo>
                                  <a:pt x="46630" y="285753"/>
                                </a:lnTo>
                                <a:lnTo>
                                  <a:pt x="75252" y="257319"/>
                                </a:lnTo>
                                <a:lnTo>
                                  <a:pt x="87838" y="212155"/>
                                </a:lnTo>
                                <a:lnTo>
                                  <a:pt x="88949" y="181212"/>
                                </a:lnTo>
                                <a:lnTo>
                                  <a:pt x="88949" y="55723"/>
                                </a:lnTo>
                                <a:lnTo>
                                  <a:pt x="89462" y="44967"/>
                                </a:lnTo>
                                <a:lnTo>
                                  <a:pt x="116525" y="17381"/>
                                </a:lnTo>
                                <a:lnTo>
                                  <a:pt x="127062" y="15968"/>
                                </a:lnTo>
                                <a:lnTo>
                                  <a:pt x="127062" y="0"/>
                                </a:lnTo>
                                <a:close/>
                              </a:path>
                            </a:pathLst>
                          </a:custGeom>
                          <a:solidFill>
                            <a:srgbClr val="231F20"/>
                          </a:solidFill>
                        </wps:spPr>
                        <wps:bodyPr wrap="square" lIns="0" tIns="0" rIns="0" bIns="0" rtlCol="0">
                          <a:prstTxWarp prst="textNoShape">
                            <a:avLst/>
                          </a:prstTxWarp>
                          <a:noAutofit/>
                        </wps:bodyPr>
                      </wps:wsp>
                      <pic:pic>
                        <pic:nvPicPr>
                          <pic:cNvPr id="68" name="Image 68"/>
                          <pic:cNvPicPr/>
                        </pic:nvPicPr>
                        <pic:blipFill>
                          <a:blip r:embed="rId46" cstate="print"/>
                          <a:stretch>
                            <a:fillRect/>
                          </a:stretch>
                        </pic:blipFill>
                        <pic:spPr>
                          <a:xfrm>
                            <a:off x="120175" y="0"/>
                            <a:ext cx="367830" cy="258565"/>
                          </a:xfrm>
                          <a:prstGeom prst="rect">
                            <a:avLst/>
                          </a:prstGeom>
                        </pic:spPr>
                      </pic:pic>
                    </wpg:wgp>
                  </a:graphicData>
                </a:graphic>
              </wp:anchor>
            </w:drawing>
          </mc:Choice>
          <mc:Fallback>
            <w:pict>
              <v:group style="position:absolute;margin-left:122.602097pt;margin-top:72.80619pt;width:38.450pt;height:24.85pt;mso-position-horizontal-relative:page;mso-position-vertical-relative:paragraph;z-index:-15723008;mso-wrap-distance-left:0;mso-wrap-distance-right:0" id="docshapegroup66" coordorigin="2452,1456" coordsize="769,497">
                <v:shape style="position:absolute;left:2452;top:1472;width:201;height:480" id="docshape67" coordorigin="2452,1473" coordsize="201,480" path="m2652,1473l2468,1473,2468,1498,2483,1498,2494,1499,2532,1561,2532,1761,2528,1828,2507,1885,2452,1931,2465,1952,2525,1923,2571,1878,2590,1807,2592,1758,2592,1560,2593,1544,2636,1500,2652,1498,2652,1473xe" filled="true" fillcolor="#231f20" stroked="false">
                  <v:path arrowok="t"/>
                  <v:fill type="solid"/>
                </v:shape>
                <v:shape style="position:absolute;left:2641;top:1456;width:580;height:408" type="#_x0000_t75" id="docshape68" stroked="false">
                  <v:imagedata r:id="rId46" o:title=""/>
                </v:shape>
                <w10:wrap type="topAndBottom"/>
              </v:group>
            </w:pict>
          </mc:Fallback>
        </mc:AlternateContent>
      </w:r>
      <w:r>
        <w:rPr/>
        <w:drawing>
          <wp:anchor distT="0" distB="0" distL="0" distR="0" allowOverlap="1" layoutInCell="1" locked="0" behindDoc="1" simplePos="0" relativeHeight="487593984">
            <wp:simplePos x="0" y="0"/>
            <wp:positionH relativeFrom="page">
              <wp:posOffset>2139415</wp:posOffset>
            </wp:positionH>
            <wp:positionV relativeFrom="paragraph">
              <wp:posOffset>920220</wp:posOffset>
            </wp:positionV>
            <wp:extent cx="1577211" cy="261937"/>
            <wp:effectExtent l="0" t="0" r="0" b="0"/>
            <wp:wrapTopAndBottom/>
            <wp:docPr id="69" name="Image 69"/>
            <wp:cNvGraphicFramePr>
              <a:graphicFrameLocks/>
            </wp:cNvGraphicFramePr>
            <a:graphic>
              <a:graphicData uri="http://schemas.openxmlformats.org/drawingml/2006/picture">
                <pic:pic>
                  <pic:nvPicPr>
                    <pic:cNvPr id="69" name="Image 69"/>
                    <pic:cNvPicPr/>
                  </pic:nvPicPr>
                  <pic:blipFill>
                    <a:blip r:embed="rId47" cstate="print"/>
                    <a:stretch>
                      <a:fillRect/>
                    </a:stretch>
                  </pic:blipFill>
                  <pic:spPr>
                    <a:xfrm>
                      <a:off x="0" y="0"/>
                      <a:ext cx="1577211" cy="261937"/>
                    </a:xfrm>
                    <a:prstGeom prst="rect">
                      <a:avLst/>
                    </a:prstGeom>
                  </pic:spPr>
                </pic:pic>
              </a:graphicData>
            </a:graphic>
          </wp:anchor>
        </w:drawing>
      </w:r>
      <w:r>
        <w:rPr/>
        <w:drawing>
          <wp:anchor distT="0" distB="0" distL="0" distR="0" allowOverlap="1" layoutInCell="1" locked="0" behindDoc="1" simplePos="0" relativeHeight="487594496">
            <wp:simplePos x="0" y="0"/>
            <wp:positionH relativeFrom="page">
              <wp:posOffset>2162177</wp:posOffset>
            </wp:positionH>
            <wp:positionV relativeFrom="paragraph">
              <wp:posOffset>1285961</wp:posOffset>
            </wp:positionV>
            <wp:extent cx="994969" cy="144684"/>
            <wp:effectExtent l="0" t="0" r="0" b="0"/>
            <wp:wrapTopAndBottom/>
            <wp:docPr id="70" name="Image 70"/>
            <wp:cNvGraphicFramePr>
              <a:graphicFrameLocks/>
            </wp:cNvGraphicFramePr>
            <a:graphic>
              <a:graphicData uri="http://schemas.openxmlformats.org/drawingml/2006/picture">
                <pic:pic>
                  <pic:nvPicPr>
                    <pic:cNvPr id="70" name="Image 70"/>
                    <pic:cNvPicPr/>
                  </pic:nvPicPr>
                  <pic:blipFill>
                    <a:blip r:embed="rId48" cstate="print"/>
                    <a:stretch>
                      <a:fillRect/>
                    </a:stretch>
                  </pic:blipFill>
                  <pic:spPr>
                    <a:xfrm>
                      <a:off x="0" y="0"/>
                      <a:ext cx="994969" cy="144684"/>
                    </a:xfrm>
                    <a:prstGeom prst="rect">
                      <a:avLst/>
                    </a:prstGeom>
                  </pic:spPr>
                </pic:pic>
              </a:graphicData>
            </a:graphic>
          </wp:anchor>
        </w:drawing>
      </w:r>
    </w:p>
    <w:p>
      <w:pPr>
        <w:pStyle w:val="BodyText"/>
        <w:spacing w:before="5"/>
        <w:ind w:left="0"/>
        <w:rPr>
          <w:sz w:val="10"/>
        </w:rPr>
      </w:pPr>
    </w:p>
    <w:p>
      <w:pPr>
        <w:pStyle w:val="BodyText"/>
        <w:spacing w:before="3"/>
        <w:ind w:left="0"/>
        <w:rPr>
          <w:sz w:val="4"/>
        </w:rPr>
      </w:pPr>
    </w:p>
    <w:p>
      <w:pPr>
        <w:pStyle w:val="BodyText"/>
        <w:spacing w:after="0"/>
        <w:rPr>
          <w:sz w:val="4"/>
        </w:rPr>
        <w:sectPr>
          <w:pgSz w:w="7920" w:h="12240"/>
          <w:pgMar w:top="1380" w:bottom="280" w:left="1080" w:right="1080"/>
        </w:sectPr>
      </w:pPr>
    </w:p>
    <w:p>
      <w:pPr>
        <w:spacing w:line="240" w:lineRule="auto"/>
        <w:ind w:left="1773" w:right="0" w:firstLine="0"/>
        <w:rPr>
          <w:sz w:val="20"/>
        </w:rPr>
      </w:pPr>
      <w:bookmarkStart w:name="Page 4" w:id="3"/>
      <w:bookmarkEnd w:id="3"/>
      <w:r>
        <w:rPr/>
      </w:r>
      <w:r>
        <w:rPr>
          <w:sz w:val="20"/>
        </w:rPr>
        <mc:AlternateContent>
          <mc:Choice Requires="wps">
            <w:drawing>
              <wp:inline distT="0" distB="0" distL="0" distR="0">
                <wp:extent cx="1325880" cy="1086485"/>
                <wp:effectExtent l="0" t="0" r="0" b="8890"/>
                <wp:docPr id="71" name="Group 71"/>
                <wp:cNvGraphicFramePr>
                  <a:graphicFrameLocks/>
                </wp:cNvGraphicFramePr>
                <a:graphic>
                  <a:graphicData uri="http://schemas.microsoft.com/office/word/2010/wordprocessingGroup">
                    <wpg:wgp>
                      <wpg:cNvPr id="71" name="Group 71"/>
                      <wpg:cNvGrpSpPr/>
                      <wpg:grpSpPr>
                        <a:xfrm>
                          <a:off x="0" y="0"/>
                          <a:ext cx="1325880" cy="1086485"/>
                          <a:chExt cx="1325880" cy="1086485"/>
                        </a:xfrm>
                      </wpg:grpSpPr>
                      <pic:pic>
                        <pic:nvPicPr>
                          <pic:cNvPr id="72" name="Image 72"/>
                          <pic:cNvPicPr/>
                        </pic:nvPicPr>
                        <pic:blipFill>
                          <a:blip r:embed="rId49" cstate="print"/>
                          <a:stretch>
                            <a:fillRect/>
                          </a:stretch>
                        </pic:blipFill>
                        <pic:spPr>
                          <a:xfrm>
                            <a:off x="0" y="724143"/>
                            <a:ext cx="116290" cy="163673"/>
                          </a:xfrm>
                          <a:prstGeom prst="rect">
                            <a:avLst/>
                          </a:prstGeom>
                        </pic:spPr>
                      </pic:pic>
                      <pic:pic>
                        <pic:nvPicPr>
                          <pic:cNvPr id="73" name="Image 73"/>
                          <pic:cNvPicPr/>
                        </pic:nvPicPr>
                        <pic:blipFill>
                          <a:blip r:embed="rId50" cstate="print"/>
                          <a:stretch>
                            <a:fillRect/>
                          </a:stretch>
                        </pic:blipFill>
                        <pic:spPr>
                          <a:xfrm>
                            <a:off x="140906" y="769176"/>
                            <a:ext cx="100163" cy="121611"/>
                          </a:xfrm>
                          <a:prstGeom prst="rect">
                            <a:avLst/>
                          </a:prstGeom>
                        </pic:spPr>
                      </pic:pic>
                      <pic:pic>
                        <pic:nvPicPr>
                          <pic:cNvPr id="74" name="Image 74"/>
                          <pic:cNvPicPr/>
                        </pic:nvPicPr>
                        <pic:blipFill>
                          <a:blip r:embed="rId51" cstate="print"/>
                          <a:stretch>
                            <a:fillRect/>
                          </a:stretch>
                        </pic:blipFill>
                        <pic:spPr>
                          <a:xfrm>
                            <a:off x="269683" y="724143"/>
                            <a:ext cx="107300" cy="166644"/>
                          </a:xfrm>
                          <a:prstGeom prst="rect">
                            <a:avLst/>
                          </a:prstGeom>
                        </pic:spPr>
                      </pic:pic>
                      <wps:wsp>
                        <wps:cNvPr id="75" name="Graphic 75"/>
                        <wps:cNvSpPr/>
                        <wps:spPr>
                          <a:xfrm>
                            <a:off x="400582" y="724143"/>
                            <a:ext cx="29209" cy="163830"/>
                          </a:xfrm>
                          <a:custGeom>
                            <a:avLst/>
                            <a:gdLst/>
                            <a:ahLst/>
                            <a:cxnLst/>
                            <a:rect l="l" t="t" r="r" b="b"/>
                            <a:pathLst>
                              <a:path w="29209" h="163830">
                                <a:moveTo>
                                  <a:pt x="29070" y="0"/>
                                </a:moveTo>
                                <a:lnTo>
                                  <a:pt x="0" y="0"/>
                                </a:lnTo>
                                <a:lnTo>
                                  <a:pt x="0" y="163673"/>
                                </a:lnTo>
                                <a:lnTo>
                                  <a:pt x="29070" y="163673"/>
                                </a:lnTo>
                                <a:lnTo>
                                  <a:pt x="29070" y="0"/>
                                </a:lnTo>
                                <a:close/>
                              </a:path>
                            </a:pathLst>
                          </a:custGeom>
                          <a:solidFill>
                            <a:srgbClr val="231F20"/>
                          </a:solidFill>
                        </wps:spPr>
                        <wps:bodyPr wrap="square" lIns="0" tIns="0" rIns="0" bIns="0" rtlCol="0">
                          <a:prstTxWarp prst="textNoShape">
                            <a:avLst/>
                          </a:prstTxWarp>
                          <a:noAutofit/>
                        </wps:bodyPr>
                      </wps:wsp>
                      <pic:pic>
                        <pic:nvPicPr>
                          <pic:cNvPr id="76" name="Image 76"/>
                          <pic:cNvPicPr/>
                        </pic:nvPicPr>
                        <pic:blipFill>
                          <a:blip r:embed="rId52" cstate="print"/>
                          <a:stretch>
                            <a:fillRect/>
                          </a:stretch>
                        </pic:blipFill>
                        <pic:spPr>
                          <a:xfrm>
                            <a:off x="107805" y="724143"/>
                            <a:ext cx="1217515" cy="361922"/>
                          </a:xfrm>
                          <a:prstGeom prst="rect">
                            <a:avLst/>
                          </a:prstGeom>
                        </pic:spPr>
                      </pic:pic>
                      <wps:wsp>
                        <wps:cNvPr id="77" name="Graphic 77"/>
                        <wps:cNvSpPr/>
                        <wps:spPr>
                          <a:xfrm>
                            <a:off x="422621" y="141825"/>
                            <a:ext cx="374015" cy="544195"/>
                          </a:xfrm>
                          <a:custGeom>
                            <a:avLst/>
                            <a:gdLst/>
                            <a:ahLst/>
                            <a:cxnLst/>
                            <a:rect l="l" t="t" r="r" b="b"/>
                            <a:pathLst>
                              <a:path w="374015" h="544195">
                                <a:moveTo>
                                  <a:pt x="255871" y="370382"/>
                                </a:moveTo>
                                <a:lnTo>
                                  <a:pt x="57679" y="370382"/>
                                </a:lnTo>
                                <a:lnTo>
                                  <a:pt x="72075" y="372052"/>
                                </a:lnTo>
                                <a:lnTo>
                                  <a:pt x="72075" y="391806"/>
                                </a:lnTo>
                                <a:lnTo>
                                  <a:pt x="67144" y="436003"/>
                                </a:lnTo>
                                <a:lnTo>
                                  <a:pt x="46351" y="487784"/>
                                </a:lnTo>
                                <a:lnTo>
                                  <a:pt x="18144" y="513690"/>
                                </a:lnTo>
                                <a:lnTo>
                                  <a:pt x="0" y="522154"/>
                                </a:lnTo>
                                <a:lnTo>
                                  <a:pt x="10223" y="543624"/>
                                </a:lnTo>
                                <a:lnTo>
                                  <a:pt x="49658" y="528672"/>
                                </a:lnTo>
                                <a:lnTo>
                                  <a:pt x="84869" y="504134"/>
                                </a:lnTo>
                                <a:lnTo>
                                  <a:pt x="117329" y="458606"/>
                                </a:lnTo>
                                <a:lnTo>
                                  <a:pt x="129661" y="419450"/>
                                </a:lnTo>
                                <a:lnTo>
                                  <a:pt x="134513" y="381018"/>
                                </a:lnTo>
                                <a:lnTo>
                                  <a:pt x="134567" y="380405"/>
                                </a:lnTo>
                                <a:lnTo>
                                  <a:pt x="134668" y="379274"/>
                                </a:lnTo>
                                <a:lnTo>
                                  <a:pt x="196477" y="379274"/>
                                </a:lnTo>
                                <a:lnTo>
                                  <a:pt x="203932" y="377176"/>
                                </a:lnTo>
                                <a:lnTo>
                                  <a:pt x="255905" y="377176"/>
                                </a:lnTo>
                                <a:lnTo>
                                  <a:pt x="255871" y="370382"/>
                                </a:lnTo>
                                <a:close/>
                              </a:path>
                              <a:path w="374015" h="544195">
                                <a:moveTo>
                                  <a:pt x="255905" y="377176"/>
                                </a:moveTo>
                                <a:lnTo>
                                  <a:pt x="203932" y="377176"/>
                                </a:lnTo>
                                <a:lnTo>
                                  <a:pt x="203394" y="453386"/>
                                </a:lnTo>
                                <a:lnTo>
                                  <a:pt x="203342" y="458606"/>
                                </a:lnTo>
                                <a:lnTo>
                                  <a:pt x="201468" y="499965"/>
                                </a:lnTo>
                                <a:lnTo>
                                  <a:pt x="167708" y="522444"/>
                                </a:lnTo>
                                <a:lnTo>
                                  <a:pt x="158222" y="522683"/>
                                </a:lnTo>
                                <a:lnTo>
                                  <a:pt x="158222" y="541354"/>
                                </a:lnTo>
                                <a:lnTo>
                                  <a:pt x="162319" y="541354"/>
                                </a:lnTo>
                                <a:lnTo>
                                  <a:pt x="168300" y="541047"/>
                                </a:lnTo>
                                <a:lnTo>
                                  <a:pt x="184341" y="540049"/>
                                </a:lnTo>
                                <a:lnTo>
                                  <a:pt x="192681" y="540049"/>
                                </a:lnTo>
                                <a:lnTo>
                                  <a:pt x="229881" y="534906"/>
                                </a:lnTo>
                                <a:lnTo>
                                  <a:pt x="301675" y="534906"/>
                                </a:lnTo>
                                <a:lnTo>
                                  <a:pt x="301675" y="522683"/>
                                </a:lnTo>
                                <a:lnTo>
                                  <a:pt x="261785" y="510325"/>
                                </a:lnTo>
                                <a:lnTo>
                                  <a:pt x="256559" y="470358"/>
                                </a:lnTo>
                                <a:lnTo>
                                  <a:pt x="256123" y="419450"/>
                                </a:lnTo>
                                <a:lnTo>
                                  <a:pt x="255929" y="382045"/>
                                </a:lnTo>
                                <a:lnTo>
                                  <a:pt x="255905" y="377176"/>
                                </a:lnTo>
                                <a:close/>
                              </a:path>
                              <a:path w="374015" h="544195">
                                <a:moveTo>
                                  <a:pt x="301675" y="534906"/>
                                </a:moveTo>
                                <a:lnTo>
                                  <a:pt x="229881" y="534906"/>
                                </a:lnTo>
                                <a:lnTo>
                                  <a:pt x="268290" y="540414"/>
                                </a:lnTo>
                                <a:lnTo>
                                  <a:pt x="271494" y="541354"/>
                                </a:lnTo>
                                <a:lnTo>
                                  <a:pt x="301675" y="541354"/>
                                </a:lnTo>
                                <a:lnTo>
                                  <a:pt x="301675" y="534906"/>
                                </a:lnTo>
                                <a:close/>
                              </a:path>
                              <a:path w="374015" h="544195">
                                <a:moveTo>
                                  <a:pt x="192681" y="540049"/>
                                </a:moveTo>
                                <a:lnTo>
                                  <a:pt x="184341" y="540049"/>
                                </a:lnTo>
                                <a:lnTo>
                                  <a:pt x="191515" y="540414"/>
                                </a:lnTo>
                                <a:lnTo>
                                  <a:pt x="190045" y="540414"/>
                                </a:lnTo>
                                <a:lnTo>
                                  <a:pt x="192681" y="540049"/>
                                </a:lnTo>
                                <a:close/>
                              </a:path>
                              <a:path w="374015" h="544195">
                                <a:moveTo>
                                  <a:pt x="196477" y="379274"/>
                                </a:moveTo>
                                <a:lnTo>
                                  <a:pt x="134668" y="379274"/>
                                </a:lnTo>
                                <a:lnTo>
                                  <a:pt x="155098" y="381371"/>
                                </a:lnTo>
                                <a:lnTo>
                                  <a:pt x="163399" y="382045"/>
                                </a:lnTo>
                                <a:lnTo>
                                  <a:pt x="169254" y="382297"/>
                                </a:lnTo>
                                <a:lnTo>
                                  <a:pt x="176663" y="382045"/>
                                </a:lnTo>
                                <a:lnTo>
                                  <a:pt x="178007" y="382045"/>
                                </a:lnTo>
                                <a:lnTo>
                                  <a:pt x="187534" y="381018"/>
                                </a:lnTo>
                                <a:lnTo>
                                  <a:pt x="195968" y="379417"/>
                                </a:lnTo>
                                <a:lnTo>
                                  <a:pt x="196477" y="379274"/>
                                </a:lnTo>
                                <a:close/>
                              </a:path>
                              <a:path w="374015" h="544195">
                                <a:moveTo>
                                  <a:pt x="59756" y="314665"/>
                                </a:moveTo>
                                <a:lnTo>
                                  <a:pt x="44902" y="314665"/>
                                </a:lnTo>
                                <a:lnTo>
                                  <a:pt x="45258" y="326885"/>
                                </a:lnTo>
                                <a:lnTo>
                                  <a:pt x="45311" y="328719"/>
                                </a:lnTo>
                                <a:lnTo>
                                  <a:pt x="45436" y="332980"/>
                                </a:lnTo>
                                <a:lnTo>
                                  <a:pt x="45555" y="334523"/>
                                </a:lnTo>
                                <a:lnTo>
                                  <a:pt x="47588" y="349444"/>
                                </a:lnTo>
                                <a:lnTo>
                                  <a:pt x="42523" y="361360"/>
                                </a:lnTo>
                                <a:lnTo>
                                  <a:pt x="41201" y="366480"/>
                                </a:lnTo>
                                <a:lnTo>
                                  <a:pt x="39984" y="373222"/>
                                </a:lnTo>
                                <a:lnTo>
                                  <a:pt x="53978" y="376923"/>
                                </a:lnTo>
                                <a:lnTo>
                                  <a:pt x="55683" y="372052"/>
                                </a:lnTo>
                                <a:lnTo>
                                  <a:pt x="55753" y="371854"/>
                                </a:lnTo>
                                <a:lnTo>
                                  <a:pt x="55853" y="371346"/>
                                </a:lnTo>
                                <a:lnTo>
                                  <a:pt x="56055" y="370991"/>
                                </a:lnTo>
                                <a:lnTo>
                                  <a:pt x="57679" y="370382"/>
                                </a:lnTo>
                                <a:lnTo>
                                  <a:pt x="255871" y="370382"/>
                                </a:lnTo>
                                <a:lnTo>
                                  <a:pt x="255848" y="365569"/>
                                </a:lnTo>
                                <a:lnTo>
                                  <a:pt x="171738" y="365569"/>
                                </a:lnTo>
                                <a:lnTo>
                                  <a:pt x="164085" y="365300"/>
                                </a:lnTo>
                                <a:lnTo>
                                  <a:pt x="155359" y="364493"/>
                                </a:lnTo>
                                <a:lnTo>
                                  <a:pt x="145815" y="363149"/>
                                </a:lnTo>
                                <a:lnTo>
                                  <a:pt x="136193" y="361360"/>
                                </a:lnTo>
                                <a:lnTo>
                                  <a:pt x="135705" y="361360"/>
                                </a:lnTo>
                                <a:lnTo>
                                  <a:pt x="135887" y="356494"/>
                                </a:lnTo>
                                <a:lnTo>
                                  <a:pt x="135947" y="354869"/>
                                </a:lnTo>
                                <a:lnTo>
                                  <a:pt x="136046" y="352217"/>
                                </a:lnTo>
                                <a:lnTo>
                                  <a:pt x="136289" y="342787"/>
                                </a:lnTo>
                                <a:lnTo>
                                  <a:pt x="136411" y="334523"/>
                                </a:lnTo>
                                <a:lnTo>
                                  <a:pt x="72075" y="334523"/>
                                </a:lnTo>
                                <a:lnTo>
                                  <a:pt x="65440" y="328719"/>
                                </a:lnTo>
                                <a:lnTo>
                                  <a:pt x="60947" y="322094"/>
                                </a:lnTo>
                                <a:lnTo>
                                  <a:pt x="59756" y="314665"/>
                                </a:lnTo>
                                <a:close/>
                              </a:path>
                              <a:path w="374015" h="544195">
                                <a:moveTo>
                                  <a:pt x="255468" y="261593"/>
                                </a:moveTo>
                                <a:lnTo>
                                  <a:pt x="136483" y="261593"/>
                                </a:lnTo>
                                <a:lnTo>
                                  <a:pt x="142118" y="264862"/>
                                </a:lnTo>
                                <a:lnTo>
                                  <a:pt x="148361" y="268223"/>
                                </a:lnTo>
                                <a:lnTo>
                                  <a:pt x="155209" y="271675"/>
                                </a:lnTo>
                                <a:lnTo>
                                  <a:pt x="176566" y="281933"/>
                                </a:lnTo>
                                <a:lnTo>
                                  <a:pt x="188148" y="288230"/>
                                </a:lnTo>
                                <a:lnTo>
                                  <a:pt x="197408" y="294107"/>
                                </a:lnTo>
                                <a:lnTo>
                                  <a:pt x="204346" y="299562"/>
                                </a:lnTo>
                                <a:lnTo>
                                  <a:pt x="204282" y="313082"/>
                                </a:lnTo>
                                <a:lnTo>
                                  <a:pt x="204062" y="354869"/>
                                </a:lnTo>
                                <a:lnTo>
                                  <a:pt x="171738" y="365569"/>
                                </a:lnTo>
                                <a:lnTo>
                                  <a:pt x="255848" y="365569"/>
                                </a:lnTo>
                                <a:lnTo>
                                  <a:pt x="255740" y="340854"/>
                                </a:lnTo>
                                <a:lnTo>
                                  <a:pt x="255637" y="313082"/>
                                </a:lnTo>
                                <a:lnTo>
                                  <a:pt x="255527" y="281933"/>
                                </a:lnTo>
                                <a:lnTo>
                                  <a:pt x="255468" y="261593"/>
                                </a:lnTo>
                                <a:close/>
                              </a:path>
                              <a:path w="374015" h="544195">
                                <a:moveTo>
                                  <a:pt x="187068" y="78488"/>
                                </a:moveTo>
                                <a:lnTo>
                                  <a:pt x="21446" y="78488"/>
                                </a:lnTo>
                                <a:lnTo>
                                  <a:pt x="36083" y="79399"/>
                                </a:lnTo>
                                <a:lnTo>
                                  <a:pt x="48112" y="82216"/>
                                </a:lnTo>
                                <a:lnTo>
                                  <a:pt x="69774" y="121023"/>
                                </a:lnTo>
                                <a:lnTo>
                                  <a:pt x="71529" y="144835"/>
                                </a:lnTo>
                                <a:lnTo>
                                  <a:pt x="71637" y="150094"/>
                                </a:lnTo>
                                <a:lnTo>
                                  <a:pt x="71757" y="155930"/>
                                </a:lnTo>
                                <a:lnTo>
                                  <a:pt x="71856" y="160732"/>
                                </a:lnTo>
                                <a:lnTo>
                                  <a:pt x="71980" y="166782"/>
                                </a:lnTo>
                                <a:lnTo>
                                  <a:pt x="72075" y="334523"/>
                                </a:lnTo>
                                <a:lnTo>
                                  <a:pt x="136411" y="334523"/>
                                </a:lnTo>
                                <a:lnTo>
                                  <a:pt x="136483" y="261593"/>
                                </a:lnTo>
                                <a:lnTo>
                                  <a:pt x="255468" y="261593"/>
                                </a:lnTo>
                                <a:lnTo>
                                  <a:pt x="255444" y="253306"/>
                                </a:lnTo>
                                <a:lnTo>
                                  <a:pt x="204533" y="253306"/>
                                </a:lnTo>
                                <a:lnTo>
                                  <a:pt x="199864" y="250908"/>
                                </a:lnTo>
                                <a:lnTo>
                                  <a:pt x="194511" y="248324"/>
                                </a:lnTo>
                                <a:lnTo>
                                  <a:pt x="188470" y="245563"/>
                                </a:lnTo>
                                <a:lnTo>
                                  <a:pt x="173926" y="238594"/>
                                </a:lnTo>
                                <a:lnTo>
                                  <a:pt x="142562" y="215121"/>
                                </a:lnTo>
                                <a:lnTo>
                                  <a:pt x="137364" y="196077"/>
                                </a:lnTo>
                                <a:lnTo>
                                  <a:pt x="138059" y="188530"/>
                                </a:lnTo>
                                <a:lnTo>
                                  <a:pt x="167326" y="162315"/>
                                </a:lnTo>
                                <a:lnTo>
                                  <a:pt x="175035" y="161754"/>
                                </a:lnTo>
                                <a:lnTo>
                                  <a:pt x="288647" y="161754"/>
                                </a:lnTo>
                                <a:lnTo>
                                  <a:pt x="289068" y="160732"/>
                                </a:lnTo>
                                <a:lnTo>
                                  <a:pt x="289619" y="158899"/>
                                </a:lnTo>
                                <a:lnTo>
                                  <a:pt x="290210" y="155930"/>
                                </a:lnTo>
                                <a:lnTo>
                                  <a:pt x="290426" y="154162"/>
                                </a:lnTo>
                                <a:lnTo>
                                  <a:pt x="290567" y="153377"/>
                                </a:lnTo>
                                <a:lnTo>
                                  <a:pt x="136685" y="153377"/>
                                </a:lnTo>
                                <a:lnTo>
                                  <a:pt x="137684" y="131660"/>
                                </a:lnTo>
                                <a:lnTo>
                                  <a:pt x="145684" y="92429"/>
                                </a:lnTo>
                                <a:lnTo>
                                  <a:pt x="172081" y="79399"/>
                                </a:lnTo>
                                <a:lnTo>
                                  <a:pt x="171264" y="79399"/>
                                </a:lnTo>
                                <a:lnTo>
                                  <a:pt x="187068" y="78488"/>
                                </a:lnTo>
                                <a:close/>
                              </a:path>
                              <a:path w="374015" h="544195">
                                <a:moveTo>
                                  <a:pt x="288647" y="161754"/>
                                </a:moveTo>
                                <a:lnTo>
                                  <a:pt x="175035" y="161754"/>
                                </a:lnTo>
                                <a:lnTo>
                                  <a:pt x="181161" y="161959"/>
                                </a:lnTo>
                                <a:lnTo>
                                  <a:pt x="188193" y="162571"/>
                                </a:lnTo>
                                <a:lnTo>
                                  <a:pt x="195931" y="163590"/>
                                </a:lnTo>
                                <a:lnTo>
                                  <a:pt x="204177" y="165016"/>
                                </a:lnTo>
                                <a:lnTo>
                                  <a:pt x="204230" y="170679"/>
                                </a:lnTo>
                                <a:lnTo>
                                  <a:pt x="204333" y="181781"/>
                                </a:lnTo>
                                <a:lnTo>
                                  <a:pt x="204438" y="193116"/>
                                </a:lnTo>
                                <a:lnTo>
                                  <a:pt x="204533" y="253306"/>
                                </a:lnTo>
                                <a:lnTo>
                                  <a:pt x="255444" y="253306"/>
                                </a:lnTo>
                                <a:lnTo>
                                  <a:pt x="255337" y="183423"/>
                                </a:lnTo>
                                <a:lnTo>
                                  <a:pt x="286228" y="183423"/>
                                </a:lnTo>
                                <a:lnTo>
                                  <a:pt x="284793" y="171406"/>
                                </a:lnTo>
                                <a:lnTo>
                                  <a:pt x="284767" y="171187"/>
                                </a:lnTo>
                                <a:lnTo>
                                  <a:pt x="288563" y="161959"/>
                                </a:lnTo>
                                <a:lnTo>
                                  <a:pt x="288647" y="161754"/>
                                </a:lnTo>
                                <a:close/>
                              </a:path>
                              <a:path w="374015" h="544195">
                                <a:moveTo>
                                  <a:pt x="286228" y="183423"/>
                                </a:moveTo>
                                <a:lnTo>
                                  <a:pt x="255337" y="183423"/>
                                </a:lnTo>
                                <a:lnTo>
                                  <a:pt x="261551" y="188047"/>
                                </a:lnTo>
                                <a:lnTo>
                                  <a:pt x="266509" y="193116"/>
                                </a:lnTo>
                                <a:lnTo>
                                  <a:pt x="269981" y="198633"/>
                                </a:lnTo>
                                <a:lnTo>
                                  <a:pt x="271738" y="204598"/>
                                </a:lnTo>
                                <a:lnTo>
                                  <a:pt x="287455" y="204598"/>
                                </a:lnTo>
                                <a:lnTo>
                                  <a:pt x="286663" y="188530"/>
                                </a:lnTo>
                                <a:lnTo>
                                  <a:pt x="286541" y="186041"/>
                                </a:lnTo>
                                <a:lnTo>
                                  <a:pt x="286228" y="183423"/>
                                </a:lnTo>
                                <a:close/>
                              </a:path>
                              <a:path w="374015" h="544195">
                                <a:moveTo>
                                  <a:pt x="187164" y="144835"/>
                                </a:moveTo>
                                <a:lnTo>
                                  <a:pt x="174577" y="144835"/>
                                </a:lnTo>
                                <a:lnTo>
                                  <a:pt x="165740" y="145262"/>
                                </a:lnTo>
                                <a:lnTo>
                                  <a:pt x="155287" y="146887"/>
                                </a:lnTo>
                                <a:lnTo>
                                  <a:pt x="145602" y="149593"/>
                                </a:lnTo>
                                <a:lnTo>
                                  <a:pt x="136685" y="153377"/>
                                </a:lnTo>
                                <a:lnTo>
                                  <a:pt x="290567" y="153377"/>
                                </a:lnTo>
                                <a:lnTo>
                                  <a:pt x="290965" y="151160"/>
                                </a:lnTo>
                                <a:lnTo>
                                  <a:pt x="274679" y="151160"/>
                                </a:lnTo>
                                <a:lnTo>
                                  <a:pt x="258029" y="147840"/>
                                </a:lnTo>
                                <a:lnTo>
                                  <a:pt x="256816" y="147671"/>
                                </a:lnTo>
                                <a:lnTo>
                                  <a:pt x="255337" y="147510"/>
                                </a:lnTo>
                                <a:lnTo>
                                  <a:pt x="255337" y="145262"/>
                                </a:lnTo>
                                <a:lnTo>
                                  <a:pt x="207839" y="145262"/>
                                </a:lnTo>
                                <a:lnTo>
                                  <a:pt x="187164" y="144835"/>
                                </a:lnTo>
                                <a:close/>
                              </a:path>
                              <a:path w="374015" h="544195">
                                <a:moveTo>
                                  <a:pt x="276148" y="146243"/>
                                </a:moveTo>
                                <a:lnTo>
                                  <a:pt x="276148" y="150703"/>
                                </a:lnTo>
                                <a:lnTo>
                                  <a:pt x="274679" y="151160"/>
                                </a:lnTo>
                                <a:lnTo>
                                  <a:pt x="290965" y="151160"/>
                                </a:lnTo>
                                <a:lnTo>
                                  <a:pt x="291047" y="150703"/>
                                </a:lnTo>
                                <a:lnTo>
                                  <a:pt x="291156" y="150094"/>
                                </a:lnTo>
                                <a:lnTo>
                                  <a:pt x="276148" y="146243"/>
                                </a:lnTo>
                                <a:close/>
                              </a:path>
                              <a:path w="374015" h="544195">
                                <a:moveTo>
                                  <a:pt x="256946" y="33846"/>
                                </a:moveTo>
                                <a:lnTo>
                                  <a:pt x="202949" y="33846"/>
                                </a:lnTo>
                                <a:lnTo>
                                  <a:pt x="203071" y="46910"/>
                                </a:lnTo>
                                <a:lnTo>
                                  <a:pt x="203198" y="60446"/>
                                </a:lnTo>
                                <a:lnTo>
                                  <a:pt x="203301" y="71481"/>
                                </a:lnTo>
                                <a:lnTo>
                                  <a:pt x="203375" y="79399"/>
                                </a:lnTo>
                                <a:lnTo>
                                  <a:pt x="203497" y="92429"/>
                                </a:lnTo>
                                <a:lnTo>
                                  <a:pt x="203578" y="101180"/>
                                </a:lnTo>
                                <a:lnTo>
                                  <a:pt x="203701" y="114259"/>
                                </a:lnTo>
                                <a:lnTo>
                                  <a:pt x="203764" y="121023"/>
                                </a:lnTo>
                                <a:lnTo>
                                  <a:pt x="203863" y="131660"/>
                                </a:lnTo>
                                <a:lnTo>
                                  <a:pt x="203973" y="143375"/>
                                </a:lnTo>
                                <a:lnTo>
                                  <a:pt x="203990" y="145262"/>
                                </a:lnTo>
                                <a:lnTo>
                                  <a:pt x="255337" y="145262"/>
                                </a:lnTo>
                                <a:lnTo>
                                  <a:pt x="255337" y="76089"/>
                                </a:lnTo>
                                <a:lnTo>
                                  <a:pt x="256448" y="46910"/>
                                </a:lnTo>
                                <a:lnTo>
                                  <a:pt x="256519" y="45064"/>
                                </a:lnTo>
                                <a:lnTo>
                                  <a:pt x="256637" y="41955"/>
                                </a:lnTo>
                                <a:lnTo>
                                  <a:pt x="256682" y="40763"/>
                                </a:lnTo>
                                <a:lnTo>
                                  <a:pt x="256795" y="37810"/>
                                </a:lnTo>
                                <a:lnTo>
                                  <a:pt x="256901" y="35013"/>
                                </a:lnTo>
                                <a:lnTo>
                                  <a:pt x="256946" y="33846"/>
                                </a:lnTo>
                                <a:close/>
                              </a:path>
                              <a:path w="374015" h="544195">
                                <a:moveTo>
                                  <a:pt x="365238" y="33846"/>
                                </a:moveTo>
                                <a:lnTo>
                                  <a:pt x="273872" y="33846"/>
                                </a:lnTo>
                                <a:lnTo>
                                  <a:pt x="305716" y="37020"/>
                                </a:lnTo>
                                <a:lnTo>
                                  <a:pt x="329539" y="46565"/>
                                </a:lnTo>
                                <a:lnTo>
                                  <a:pt x="345252" y="62407"/>
                                </a:lnTo>
                                <a:lnTo>
                                  <a:pt x="352919" y="84621"/>
                                </a:lnTo>
                                <a:lnTo>
                                  <a:pt x="373740" y="84621"/>
                                </a:lnTo>
                                <a:lnTo>
                                  <a:pt x="373657" y="81960"/>
                                </a:lnTo>
                                <a:lnTo>
                                  <a:pt x="373549" y="78488"/>
                                </a:lnTo>
                                <a:lnTo>
                                  <a:pt x="372968" y="71481"/>
                                </a:lnTo>
                                <a:lnTo>
                                  <a:pt x="371983" y="63606"/>
                                </a:lnTo>
                                <a:lnTo>
                                  <a:pt x="370420" y="53920"/>
                                </a:lnTo>
                                <a:lnTo>
                                  <a:pt x="368901" y="45064"/>
                                </a:lnTo>
                                <a:lnTo>
                                  <a:pt x="367023" y="37810"/>
                                </a:lnTo>
                                <a:lnTo>
                                  <a:pt x="365238" y="33846"/>
                                </a:lnTo>
                                <a:close/>
                              </a:path>
                              <a:path w="374015" h="544195">
                                <a:moveTo>
                                  <a:pt x="20955" y="53920"/>
                                </a:moveTo>
                                <a:lnTo>
                                  <a:pt x="20955" y="78488"/>
                                </a:lnTo>
                                <a:lnTo>
                                  <a:pt x="187599" y="78488"/>
                                </a:lnTo>
                                <a:lnTo>
                                  <a:pt x="187599" y="61459"/>
                                </a:lnTo>
                                <a:lnTo>
                                  <a:pt x="112626" y="61459"/>
                                </a:lnTo>
                                <a:lnTo>
                                  <a:pt x="113072" y="60446"/>
                                </a:lnTo>
                                <a:lnTo>
                                  <a:pt x="88390" y="60446"/>
                                </a:lnTo>
                                <a:lnTo>
                                  <a:pt x="62362" y="56901"/>
                                </a:lnTo>
                                <a:lnTo>
                                  <a:pt x="20955" y="53920"/>
                                </a:lnTo>
                                <a:close/>
                              </a:path>
                              <a:path w="374015" h="544195">
                                <a:moveTo>
                                  <a:pt x="187599" y="53920"/>
                                </a:moveTo>
                                <a:lnTo>
                                  <a:pt x="145684" y="56901"/>
                                </a:lnTo>
                                <a:lnTo>
                                  <a:pt x="112626" y="61459"/>
                                </a:lnTo>
                                <a:lnTo>
                                  <a:pt x="187599" y="61459"/>
                                </a:lnTo>
                                <a:lnTo>
                                  <a:pt x="187599" y="53920"/>
                                </a:lnTo>
                                <a:close/>
                              </a:path>
                              <a:path w="374015" h="544195">
                                <a:moveTo>
                                  <a:pt x="113089" y="0"/>
                                </a:moveTo>
                                <a:lnTo>
                                  <a:pt x="93343" y="0"/>
                                </a:lnTo>
                                <a:lnTo>
                                  <a:pt x="93343" y="21826"/>
                                </a:lnTo>
                                <a:lnTo>
                                  <a:pt x="94511" y="33040"/>
                                </a:lnTo>
                                <a:lnTo>
                                  <a:pt x="94443" y="33846"/>
                                </a:lnTo>
                                <a:lnTo>
                                  <a:pt x="93210" y="38347"/>
                                </a:lnTo>
                                <a:lnTo>
                                  <a:pt x="92605" y="40763"/>
                                </a:lnTo>
                                <a:lnTo>
                                  <a:pt x="91072" y="46565"/>
                                </a:lnTo>
                                <a:lnTo>
                                  <a:pt x="89675" y="53117"/>
                                </a:lnTo>
                                <a:lnTo>
                                  <a:pt x="88390" y="60446"/>
                                </a:lnTo>
                                <a:lnTo>
                                  <a:pt x="113072" y="60446"/>
                                </a:lnTo>
                                <a:lnTo>
                                  <a:pt x="116173" y="53412"/>
                                </a:lnTo>
                                <a:lnTo>
                                  <a:pt x="120376" y="46910"/>
                                </a:lnTo>
                                <a:lnTo>
                                  <a:pt x="166594" y="34137"/>
                                </a:lnTo>
                                <a:lnTo>
                                  <a:pt x="187638" y="33846"/>
                                </a:lnTo>
                                <a:lnTo>
                                  <a:pt x="365238" y="33846"/>
                                </a:lnTo>
                                <a:lnTo>
                                  <a:pt x="364874" y="33040"/>
                                </a:lnTo>
                                <a:lnTo>
                                  <a:pt x="366958" y="20081"/>
                                </a:lnTo>
                                <a:lnTo>
                                  <a:pt x="366958" y="8863"/>
                                </a:lnTo>
                                <a:lnTo>
                                  <a:pt x="141868" y="8863"/>
                                </a:lnTo>
                                <a:lnTo>
                                  <a:pt x="128227" y="8460"/>
                                </a:lnTo>
                                <a:lnTo>
                                  <a:pt x="120754" y="7956"/>
                                </a:lnTo>
                                <a:lnTo>
                                  <a:pt x="116046" y="7250"/>
                                </a:lnTo>
                                <a:lnTo>
                                  <a:pt x="113089" y="7250"/>
                                </a:lnTo>
                                <a:lnTo>
                                  <a:pt x="113089" y="0"/>
                                </a:lnTo>
                                <a:close/>
                              </a:path>
                              <a:path w="374015" h="544195">
                                <a:moveTo>
                                  <a:pt x="366958" y="0"/>
                                </a:moveTo>
                                <a:lnTo>
                                  <a:pt x="347212" y="0"/>
                                </a:lnTo>
                                <a:lnTo>
                                  <a:pt x="347212" y="7250"/>
                                </a:lnTo>
                                <a:lnTo>
                                  <a:pt x="344055" y="7250"/>
                                </a:lnTo>
                                <a:lnTo>
                                  <a:pt x="340494" y="8326"/>
                                </a:lnTo>
                                <a:lnTo>
                                  <a:pt x="332704" y="8863"/>
                                </a:lnTo>
                                <a:lnTo>
                                  <a:pt x="366958" y="8863"/>
                                </a:lnTo>
                                <a:lnTo>
                                  <a:pt x="366958" y="0"/>
                                </a:lnTo>
                                <a:close/>
                              </a:path>
                            </a:pathLst>
                          </a:custGeom>
                          <a:solidFill>
                            <a:srgbClr val="231F20"/>
                          </a:solidFill>
                        </wps:spPr>
                        <wps:bodyPr wrap="square" lIns="0" tIns="0" rIns="0" bIns="0" rtlCol="0">
                          <a:prstTxWarp prst="textNoShape">
                            <a:avLst/>
                          </a:prstTxWarp>
                          <a:noAutofit/>
                        </wps:bodyPr>
                      </wps:wsp>
                      <pic:pic>
                        <pic:nvPicPr>
                          <pic:cNvPr id="78" name="Image 78"/>
                          <pic:cNvPicPr/>
                        </pic:nvPicPr>
                        <pic:blipFill>
                          <a:blip r:embed="rId53" cstate="print"/>
                          <a:stretch>
                            <a:fillRect/>
                          </a:stretch>
                        </pic:blipFill>
                        <pic:spPr>
                          <a:xfrm>
                            <a:off x="538426" y="0"/>
                            <a:ext cx="280316" cy="153958"/>
                          </a:xfrm>
                          <a:prstGeom prst="rect">
                            <a:avLst/>
                          </a:prstGeom>
                        </pic:spPr>
                      </pic:pic>
                    </wpg:wgp>
                  </a:graphicData>
                </a:graphic>
              </wp:inline>
            </w:drawing>
          </mc:Choice>
          <mc:Fallback>
            <w:pict>
              <v:group style="width:104.4pt;height:85.55pt;mso-position-horizontal-relative:char;mso-position-vertical-relative:line" id="docshapegroup69" coordorigin="0,0" coordsize="2088,1711">
                <v:shape style="position:absolute;left:0;top:1140;width:184;height:258" type="#_x0000_t75" id="docshape70" stroked="false">
                  <v:imagedata r:id="rId49" o:title=""/>
                </v:shape>
                <v:shape style="position:absolute;left:221;top:1211;width:158;height:192" type="#_x0000_t75" id="docshape71" stroked="false">
                  <v:imagedata r:id="rId50" o:title=""/>
                </v:shape>
                <v:shape style="position:absolute;left:424;top:1140;width:169;height:263" type="#_x0000_t75" id="docshape72" stroked="false">
                  <v:imagedata r:id="rId51" o:title=""/>
                </v:shape>
                <v:rect style="position:absolute;left:630;top:1140;width:46;height:258" id="docshape73" filled="true" fillcolor="#231f20" stroked="false">
                  <v:fill type="solid"/>
                </v:rect>
                <v:shape style="position:absolute;left:169;top:1140;width:1918;height:570" type="#_x0000_t75" id="docshape74" stroked="false">
                  <v:imagedata r:id="rId52" o:title=""/>
                </v:shape>
                <v:shape style="position:absolute;left:665;top:223;width:589;height:857" id="docshape75" coordorigin="666,223" coordsize="589,857" path="m1068,807l756,807,779,809,779,840,776,877,771,910,764,939,754,964,739,992,718,1014,694,1032,666,1046,682,1079,695,1076,696,1075,708,1072,719,1068,728,1064,736,1060,744,1056,753,1050,764,1044,799,1017,828,984,850,946,866,901,870,884,873,865,876,844,877,825,877,823,877,822,878,821,975,821,987,817,1069,817,1068,807xm1069,817l987,817,986,937,986,946,986,964,985,976,985,984,985,993,983,1011,979,1025,972,1035,963,1040,954,1043,943,1045,930,1046,915,1046,915,1076,921,1076,931,1075,956,1074,969,1074,1028,1066,1141,1066,1141,1046,1117,1045,1098,1042,1085,1036,1078,1027,1072,1012,1070,993,1070,984,1070,964,1069,956,1069,910,1069,884,1069,865,1069,825,1069,817xm1141,1066l1028,1066,1088,1074,1093,1076,1141,1076,1141,1066xm969,1074l956,1074,967,1074,965,1074,969,1074xm975,821l878,821,910,824,923,825,932,825,944,825,946,825,961,823,974,821,975,821xm760,719l736,719,737,738,737,741,737,748,737,750,740,774,733,792,730,800,729,811,751,817,753,809,753,809,754,808,754,808,756,807,1068,807,1068,799,936,799,924,799,910,797,895,795,880,792,879,792,880,785,880,782,880,778,880,763,880,750,779,750,769,741,762,731,760,719xm1068,635l880,635,889,640,899,646,910,651,944,667,962,677,976,687,987,695,987,716,987,748,987,782,986,783,985,784,984,785,974,791,962,795,950,798,936,799,1068,799,1068,760,1068,716,1068,667,1068,635xm960,347l699,347,722,348,741,353,755,360,765,371,771,388,775,414,778,449,778,451,778,460,779,469,779,476,779,486,779,750,880,750,880,635,1068,635,1068,622,988,622,980,618,972,614,962,610,939,599,921,589,906,579,896,570,890,562,886,553,883,543,882,532,883,520,886,510,892,500,899,492,908,486,918,482,929,479,941,478,1120,478,1121,476,1122,474,1123,469,1123,466,1123,465,881,465,882,431,885,403,889,383,895,369,904,359,918,352,937,348,935,348,960,347xm1120,478l941,478,951,478,962,479,974,481,987,483,987,492,987,510,987,527,988,622,1068,622,1068,512,1116,512,1114,493,1114,493,1120,478,1120,478xm1116,512l1068,512,1077,519,1085,527,1091,536,1093,546,1118,546,1117,520,1117,516,1116,512xm960,451l940,451,927,452,910,455,895,459,881,465,1123,465,1124,461,1098,461,1072,456,1070,456,1068,456,1068,452,993,452,960,451xm1100,454l1100,461,1098,461,1124,461,1124,461,1124,460,1100,454xm1070,277l985,277,985,297,986,319,986,336,986,348,986,369,986,383,986,403,986,414,987,431,987,449,987,452,1068,452,1068,343,1069,297,1070,294,1070,289,1070,288,1070,283,1070,278,1070,277xm1241,277l1097,277,1147,282,1185,297,1209,322,1221,357,1254,357,1254,352,1254,347,1253,336,1251,324,1249,308,1246,294,1244,283,1241,277xm699,308l699,347,961,347,961,320,843,320,844,319,805,319,764,313,699,308xm961,308l895,313,843,320,961,320,961,308xm844,223l813,223,813,258,814,275,814,277,812,284,811,288,809,297,807,307,805,319,844,319,848,307,855,297,863,289,871,284,883,281,902,278,928,277,961,277,1241,277,1240,275,1243,255,1243,237,889,237,867,237,856,236,848,235,844,235,844,223xm1243,223l1212,223,1212,235,1207,235,1202,236,1189,237,1243,237,1243,223xe" filled="true" fillcolor="#231f20" stroked="false">
                  <v:path arrowok="t"/>
                  <v:fill type="solid"/>
                </v:shape>
                <v:shape style="position:absolute;left:847;top:0;width:442;height:243" type="#_x0000_t75" id="docshape76" stroked="false">
                  <v:imagedata r:id="rId53" o:title=""/>
                </v:shape>
              </v:group>
            </w:pict>
          </mc:Fallback>
        </mc:AlternateContent>
      </w:r>
      <w:r>
        <w:rPr>
          <w:sz w:val="20"/>
        </w:rPr>
      </w:r>
    </w:p>
    <w:p>
      <w:pPr>
        <w:pStyle w:val="BodyText"/>
        <w:spacing w:before="6"/>
        <w:ind w:left="0"/>
        <w:rPr>
          <w:sz w:val="3"/>
        </w:rPr>
      </w:pPr>
      <w:r>
        <w:rPr>
          <w:sz w:val="3"/>
        </w:rPr>
        <mc:AlternateContent>
          <mc:Choice Requires="wps">
            <w:drawing>
              <wp:anchor distT="0" distB="0" distL="0" distR="0" allowOverlap="1" layoutInCell="1" locked="0" behindDoc="1" simplePos="0" relativeHeight="487596544">
                <wp:simplePos x="0" y="0"/>
                <wp:positionH relativeFrom="page">
                  <wp:posOffset>1463972</wp:posOffset>
                </wp:positionH>
                <wp:positionV relativeFrom="paragraph">
                  <wp:posOffset>41070</wp:posOffset>
                </wp:positionV>
                <wp:extent cx="2007235" cy="627380"/>
                <wp:effectExtent l="0" t="0" r="0" b="0"/>
                <wp:wrapTopAndBottom/>
                <wp:docPr id="79" name="Group 79"/>
                <wp:cNvGraphicFramePr>
                  <a:graphicFrameLocks/>
                </wp:cNvGraphicFramePr>
                <a:graphic>
                  <a:graphicData uri="http://schemas.microsoft.com/office/word/2010/wordprocessingGroup">
                    <wpg:wgp>
                      <wpg:cNvPr id="79" name="Group 79"/>
                      <wpg:cNvGrpSpPr/>
                      <wpg:grpSpPr>
                        <a:xfrm>
                          <a:off x="0" y="0"/>
                          <a:ext cx="2007235" cy="627380"/>
                          <a:chExt cx="2007235" cy="627380"/>
                        </a:xfrm>
                      </wpg:grpSpPr>
                      <pic:pic>
                        <pic:nvPicPr>
                          <pic:cNvPr id="80" name="Image 80"/>
                          <pic:cNvPicPr/>
                        </pic:nvPicPr>
                        <pic:blipFill>
                          <a:blip r:embed="rId54" cstate="print"/>
                          <a:stretch>
                            <a:fillRect/>
                          </a:stretch>
                        </pic:blipFill>
                        <pic:spPr>
                          <a:xfrm>
                            <a:off x="664293" y="2743"/>
                            <a:ext cx="198381" cy="167101"/>
                          </a:xfrm>
                          <a:prstGeom prst="rect">
                            <a:avLst/>
                          </a:prstGeom>
                        </pic:spPr>
                      </pic:pic>
                      <pic:pic>
                        <pic:nvPicPr>
                          <pic:cNvPr id="81" name="Image 81"/>
                          <pic:cNvPicPr/>
                        </pic:nvPicPr>
                        <pic:blipFill>
                          <a:blip r:embed="rId55" cstate="print"/>
                          <a:stretch>
                            <a:fillRect/>
                          </a:stretch>
                        </pic:blipFill>
                        <pic:spPr>
                          <a:xfrm>
                            <a:off x="886510" y="2743"/>
                            <a:ext cx="83985" cy="167101"/>
                          </a:xfrm>
                          <a:prstGeom prst="rect">
                            <a:avLst/>
                          </a:prstGeom>
                        </pic:spPr>
                      </pic:pic>
                      <wps:wsp>
                        <wps:cNvPr id="82" name="Graphic 82"/>
                        <wps:cNvSpPr/>
                        <wps:spPr>
                          <a:xfrm>
                            <a:off x="995370" y="2745"/>
                            <a:ext cx="89535" cy="165100"/>
                          </a:xfrm>
                          <a:custGeom>
                            <a:avLst/>
                            <a:gdLst/>
                            <a:ahLst/>
                            <a:cxnLst/>
                            <a:rect l="l" t="t" r="r" b="b"/>
                            <a:pathLst>
                              <a:path w="89535" h="165100">
                                <a:moveTo>
                                  <a:pt x="29959" y="0"/>
                                </a:moveTo>
                                <a:lnTo>
                                  <a:pt x="0" y="0"/>
                                </a:lnTo>
                                <a:lnTo>
                                  <a:pt x="0" y="165049"/>
                                </a:lnTo>
                                <a:lnTo>
                                  <a:pt x="29959" y="165049"/>
                                </a:lnTo>
                                <a:lnTo>
                                  <a:pt x="29959" y="0"/>
                                </a:lnTo>
                                <a:close/>
                              </a:path>
                              <a:path w="89535" h="165100">
                                <a:moveTo>
                                  <a:pt x="88912" y="49606"/>
                                </a:moveTo>
                                <a:lnTo>
                                  <a:pt x="58953" y="49606"/>
                                </a:lnTo>
                                <a:lnTo>
                                  <a:pt x="58953" y="165049"/>
                                </a:lnTo>
                                <a:lnTo>
                                  <a:pt x="88912" y="165049"/>
                                </a:lnTo>
                                <a:lnTo>
                                  <a:pt x="88912" y="49606"/>
                                </a:lnTo>
                                <a:close/>
                              </a:path>
                              <a:path w="89535" h="165100">
                                <a:moveTo>
                                  <a:pt x="88912" y="0"/>
                                </a:moveTo>
                                <a:lnTo>
                                  <a:pt x="58953" y="0"/>
                                </a:lnTo>
                                <a:lnTo>
                                  <a:pt x="58953" y="26098"/>
                                </a:lnTo>
                                <a:lnTo>
                                  <a:pt x="88912" y="26098"/>
                                </a:lnTo>
                                <a:lnTo>
                                  <a:pt x="88912" y="0"/>
                                </a:lnTo>
                                <a:close/>
                              </a:path>
                            </a:pathLst>
                          </a:custGeom>
                          <a:solidFill>
                            <a:srgbClr val="231F20"/>
                          </a:solidFill>
                        </wps:spPr>
                        <wps:bodyPr wrap="square" lIns="0" tIns="0" rIns="0" bIns="0" rtlCol="0">
                          <a:prstTxWarp prst="textNoShape">
                            <a:avLst/>
                          </a:prstTxWarp>
                          <a:noAutofit/>
                        </wps:bodyPr>
                      </wps:wsp>
                      <pic:pic>
                        <pic:nvPicPr>
                          <pic:cNvPr id="83" name="Image 83"/>
                          <pic:cNvPicPr/>
                        </pic:nvPicPr>
                        <pic:blipFill>
                          <a:blip r:embed="rId56" cstate="print"/>
                          <a:stretch>
                            <a:fillRect/>
                          </a:stretch>
                        </pic:blipFill>
                        <pic:spPr>
                          <a:xfrm>
                            <a:off x="1108833" y="50519"/>
                            <a:ext cx="85981" cy="118868"/>
                          </a:xfrm>
                          <a:prstGeom prst="rect">
                            <a:avLst/>
                          </a:prstGeom>
                        </pic:spPr>
                      </pic:pic>
                      <pic:pic>
                        <pic:nvPicPr>
                          <pic:cNvPr id="84" name="Image 84"/>
                          <pic:cNvPicPr/>
                        </pic:nvPicPr>
                        <pic:blipFill>
                          <a:blip r:embed="rId57" cstate="print"/>
                          <a:stretch>
                            <a:fillRect/>
                          </a:stretch>
                        </pic:blipFill>
                        <pic:spPr>
                          <a:xfrm>
                            <a:off x="1213877" y="2743"/>
                            <a:ext cx="200538" cy="167101"/>
                          </a:xfrm>
                          <a:prstGeom prst="rect">
                            <a:avLst/>
                          </a:prstGeom>
                        </pic:spPr>
                      </pic:pic>
                      <pic:pic>
                        <pic:nvPicPr>
                          <pic:cNvPr id="85" name="Image 85"/>
                          <pic:cNvPicPr/>
                        </pic:nvPicPr>
                        <pic:blipFill>
                          <a:blip r:embed="rId58" cstate="print"/>
                          <a:stretch>
                            <a:fillRect/>
                          </a:stretch>
                        </pic:blipFill>
                        <pic:spPr>
                          <a:xfrm>
                            <a:off x="1438321" y="49377"/>
                            <a:ext cx="87466" cy="121381"/>
                          </a:xfrm>
                          <a:prstGeom prst="rect">
                            <a:avLst/>
                          </a:prstGeom>
                        </pic:spPr>
                      </pic:pic>
                      <pic:pic>
                        <pic:nvPicPr>
                          <pic:cNvPr id="86" name="Image 86"/>
                          <pic:cNvPicPr/>
                        </pic:nvPicPr>
                        <pic:blipFill>
                          <a:blip r:embed="rId59" cstate="print"/>
                          <a:stretch>
                            <a:fillRect/>
                          </a:stretch>
                        </pic:blipFill>
                        <pic:spPr>
                          <a:xfrm>
                            <a:off x="1546974" y="50062"/>
                            <a:ext cx="182322" cy="119555"/>
                          </a:xfrm>
                          <a:prstGeom prst="rect">
                            <a:avLst/>
                          </a:prstGeom>
                        </pic:spPr>
                      </pic:pic>
                      <pic:pic>
                        <pic:nvPicPr>
                          <pic:cNvPr id="87" name="Image 87"/>
                          <pic:cNvPicPr/>
                        </pic:nvPicPr>
                        <pic:blipFill>
                          <a:blip r:embed="rId60" cstate="print"/>
                          <a:stretch>
                            <a:fillRect/>
                          </a:stretch>
                        </pic:blipFill>
                        <pic:spPr>
                          <a:xfrm>
                            <a:off x="0" y="0"/>
                            <a:ext cx="2006845" cy="627030"/>
                          </a:xfrm>
                          <a:prstGeom prst="rect">
                            <a:avLst/>
                          </a:prstGeom>
                        </pic:spPr>
                      </pic:pic>
                    </wpg:wgp>
                  </a:graphicData>
                </a:graphic>
              </wp:anchor>
            </w:drawing>
          </mc:Choice>
          <mc:Fallback>
            <w:pict>
              <v:group style="position:absolute;margin-left:115.273399pt;margin-top:3.23390pt;width:158.050pt;height:49.4pt;mso-position-horizontal-relative:page;mso-position-vertical-relative:paragraph;z-index:-15719936;mso-wrap-distance-left:0;mso-wrap-distance-right:0" id="docshapegroup77" coordorigin="2305,65" coordsize="3161,988">
                <v:shape style="position:absolute;left:3351;top:69;width:313;height:264" type="#_x0000_t75" id="docshape78" stroked="false">
                  <v:imagedata r:id="rId54" o:title=""/>
                </v:shape>
                <v:shape style="position:absolute;left:3701;top:69;width:133;height:264" type="#_x0000_t75" id="docshape79" stroked="false">
                  <v:imagedata r:id="rId55" o:title=""/>
                </v:shape>
                <v:shape style="position:absolute;left:3872;top:69;width:141;height:260" id="docshape80" coordorigin="3873,69" coordsize="141,260" path="m3920,69l3873,69,3873,329,3920,329,3920,69xm4013,147l3966,147,3966,329,4013,329,4013,147xm4013,69l3966,69,3966,110,4013,110,4013,69xe" filled="true" fillcolor="#231f20" stroked="false">
                  <v:path arrowok="t"/>
                  <v:fill type="solid"/>
                </v:shape>
                <v:shape style="position:absolute;left:4051;top:144;width:136;height:188" type="#_x0000_t75" id="docshape81" stroked="false">
                  <v:imagedata r:id="rId56" o:title=""/>
                </v:shape>
                <v:shape style="position:absolute;left:4217;top:69;width:316;height:264" type="#_x0000_t75" id="docshape82" stroked="false">
                  <v:imagedata r:id="rId57" o:title=""/>
                </v:shape>
                <v:shape style="position:absolute;left:4570;top:142;width:138;height:192" type="#_x0000_t75" id="docshape83" stroked="false">
                  <v:imagedata r:id="rId58" o:title=""/>
                </v:shape>
                <v:shape style="position:absolute;left:4741;top:143;width:288;height:189" type="#_x0000_t75" id="docshape84" stroked="false">
                  <v:imagedata r:id="rId59" o:title=""/>
                </v:shape>
                <v:shape style="position:absolute;left:2305;top:64;width:3161;height:988" type="#_x0000_t75" id="docshape85" stroked="false">
                  <v:imagedata r:id="rId60" o:title=""/>
                </v:shape>
                <w10:wrap type="topAndBottom"/>
              </v:group>
            </w:pict>
          </mc:Fallback>
        </mc:AlternateContent>
      </w:r>
    </w:p>
    <w:p>
      <w:pPr>
        <w:pStyle w:val="BodyText"/>
        <w:ind w:left="0"/>
      </w:pPr>
    </w:p>
    <w:p>
      <w:pPr>
        <w:pStyle w:val="BodyText"/>
        <w:spacing w:before="48"/>
        <w:ind w:left="0"/>
      </w:pPr>
      <w:r>
        <w:rPr/>
        <w:drawing>
          <wp:anchor distT="0" distB="0" distL="0" distR="0" allowOverlap="1" layoutInCell="1" locked="0" behindDoc="1" simplePos="0" relativeHeight="487597056">
            <wp:simplePos x="0" y="0"/>
            <wp:positionH relativeFrom="page">
              <wp:posOffset>1569322</wp:posOffset>
            </wp:positionH>
            <wp:positionV relativeFrom="paragraph">
              <wp:posOffset>191955</wp:posOffset>
            </wp:positionV>
            <wp:extent cx="2004290" cy="442912"/>
            <wp:effectExtent l="0" t="0" r="0" b="0"/>
            <wp:wrapTopAndBottom/>
            <wp:docPr id="88" name="Image 88"/>
            <wp:cNvGraphicFramePr>
              <a:graphicFrameLocks/>
            </wp:cNvGraphicFramePr>
            <a:graphic>
              <a:graphicData uri="http://schemas.openxmlformats.org/drawingml/2006/picture">
                <pic:pic>
                  <pic:nvPicPr>
                    <pic:cNvPr id="88" name="Image 88"/>
                    <pic:cNvPicPr/>
                  </pic:nvPicPr>
                  <pic:blipFill>
                    <a:blip r:embed="rId61" cstate="print"/>
                    <a:stretch>
                      <a:fillRect/>
                    </a:stretch>
                  </pic:blipFill>
                  <pic:spPr>
                    <a:xfrm>
                      <a:off x="0" y="0"/>
                      <a:ext cx="2004290" cy="442912"/>
                    </a:xfrm>
                    <a:prstGeom prst="rect">
                      <a:avLst/>
                    </a:prstGeom>
                  </pic:spPr>
                </pic:pic>
              </a:graphicData>
            </a:graphic>
          </wp:anchor>
        </w:drawing>
      </w:r>
      <w:r>
        <w:rPr/>
        <mc:AlternateContent>
          <mc:Choice Requires="wps">
            <w:drawing>
              <wp:anchor distT="0" distB="0" distL="0" distR="0" allowOverlap="1" layoutInCell="1" locked="0" behindDoc="1" simplePos="0" relativeHeight="487597568">
                <wp:simplePos x="0" y="0"/>
                <wp:positionH relativeFrom="page">
                  <wp:posOffset>2303611</wp:posOffset>
                </wp:positionH>
                <wp:positionV relativeFrom="paragraph">
                  <wp:posOffset>828658</wp:posOffset>
                </wp:positionV>
                <wp:extent cx="410209" cy="106045"/>
                <wp:effectExtent l="0" t="0" r="0" b="0"/>
                <wp:wrapTopAndBottom/>
                <wp:docPr id="89" name="Group 89"/>
                <wp:cNvGraphicFramePr>
                  <a:graphicFrameLocks/>
                </wp:cNvGraphicFramePr>
                <a:graphic>
                  <a:graphicData uri="http://schemas.microsoft.com/office/word/2010/wordprocessingGroup">
                    <wpg:wgp>
                      <wpg:cNvPr id="89" name="Group 89"/>
                      <wpg:cNvGrpSpPr/>
                      <wpg:grpSpPr>
                        <a:xfrm>
                          <a:off x="0" y="0"/>
                          <a:ext cx="410209" cy="106045"/>
                          <a:chExt cx="410209" cy="106045"/>
                        </a:xfrm>
                      </wpg:grpSpPr>
                      <pic:pic>
                        <pic:nvPicPr>
                          <pic:cNvPr id="90" name="Image 90"/>
                          <pic:cNvPicPr/>
                        </pic:nvPicPr>
                        <pic:blipFill>
                          <a:blip r:embed="rId62" cstate="print"/>
                          <a:stretch>
                            <a:fillRect/>
                          </a:stretch>
                        </pic:blipFill>
                        <pic:spPr>
                          <a:xfrm>
                            <a:off x="0" y="0"/>
                            <a:ext cx="120347" cy="104861"/>
                          </a:xfrm>
                          <a:prstGeom prst="rect">
                            <a:avLst/>
                          </a:prstGeom>
                        </pic:spPr>
                      </pic:pic>
                      <pic:pic>
                        <pic:nvPicPr>
                          <pic:cNvPr id="91" name="Image 91"/>
                          <pic:cNvPicPr/>
                        </pic:nvPicPr>
                        <pic:blipFill>
                          <a:blip r:embed="rId63" cstate="print"/>
                          <a:stretch>
                            <a:fillRect/>
                          </a:stretch>
                        </pic:blipFill>
                        <pic:spPr>
                          <a:xfrm>
                            <a:off x="141149" y="0"/>
                            <a:ext cx="125748" cy="105577"/>
                          </a:xfrm>
                          <a:prstGeom prst="rect">
                            <a:avLst/>
                          </a:prstGeom>
                        </pic:spPr>
                      </pic:pic>
                      <pic:pic>
                        <pic:nvPicPr>
                          <pic:cNvPr id="92" name="Image 92"/>
                          <pic:cNvPicPr/>
                        </pic:nvPicPr>
                        <pic:blipFill>
                          <a:blip r:embed="rId64" cstate="print"/>
                          <a:stretch>
                            <a:fillRect/>
                          </a:stretch>
                        </pic:blipFill>
                        <pic:spPr>
                          <a:xfrm>
                            <a:off x="286026" y="30124"/>
                            <a:ext cx="123653" cy="74736"/>
                          </a:xfrm>
                          <a:prstGeom prst="rect">
                            <a:avLst/>
                          </a:prstGeom>
                        </pic:spPr>
                      </pic:pic>
                    </wpg:wgp>
                  </a:graphicData>
                </a:graphic>
              </wp:anchor>
            </w:drawing>
          </mc:Choice>
          <mc:Fallback>
            <w:pict>
              <v:group style="position:absolute;margin-left:181.386703pt;margin-top:65.248680pt;width:32.3pt;height:8.35pt;mso-position-horizontal-relative:page;mso-position-vertical-relative:paragraph;z-index:-15718912;mso-wrap-distance-left:0;mso-wrap-distance-right:0" id="docshapegroup86" coordorigin="3628,1305" coordsize="646,167">
                <v:shape style="position:absolute;left:3627;top:1304;width:190;height:166" type="#_x0000_t75" id="docshape87" stroked="false">
                  <v:imagedata r:id="rId62" o:title=""/>
                </v:shape>
                <v:shape style="position:absolute;left:3850;top:1304;width:199;height:167" type="#_x0000_t75" id="docshape88" stroked="false">
                  <v:imagedata r:id="rId63" o:title=""/>
                </v:shape>
                <v:shape style="position:absolute;left:4078;top:1352;width:195;height:118" type="#_x0000_t75" id="docshape89" stroked="false">
                  <v:imagedata r:id="rId64" o:title=""/>
                </v:shape>
                <w10:wrap type="topAndBottom"/>
              </v:group>
            </w:pict>
          </mc:Fallback>
        </mc:AlternateContent>
      </w:r>
      <w:r>
        <w:rPr/>
        <mc:AlternateContent>
          <mc:Choice Requires="wps">
            <w:drawing>
              <wp:anchor distT="0" distB="0" distL="0" distR="0" allowOverlap="1" layoutInCell="1" locked="0" behindDoc="1" simplePos="0" relativeHeight="487598080">
                <wp:simplePos x="0" y="0"/>
                <wp:positionH relativeFrom="page">
                  <wp:posOffset>2032905</wp:posOffset>
                </wp:positionH>
                <wp:positionV relativeFrom="paragraph">
                  <wp:posOffset>1006361</wp:posOffset>
                </wp:positionV>
                <wp:extent cx="281940" cy="104139"/>
                <wp:effectExtent l="0" t="0" r="0" b="0"/>
                <wp:wrapTopAndBottom/>
                <wp:docPr id="93" name="Group 93"/>
                <wp:cNvGraphicFramePr>
                  <a:graphicFrameLocks/>
                </wp:cNvGraphicFramePr>
                <a:graphic>
                  <a:graphicData uri="http://schemas.microsoft.com/office/word/2010/wordprocessingGroup">
                    <wpg:wgp>
                      <wpg:cNvPr id="93" name="Group 93"/>
                      <wpg:cNvGrpSpPr/>
                      <wpg:grpSpPr>
                        <a:xfrm>
                          <a:off x="0" y="0"/>
                          <a:ext cx="281940" cy="104139"/>
                          <a:chExt cx="281940" cy="104139"/>
                        </a:xfrm>
                      </wpg:grpSpPr>
                      <pic:pic>
                        <pic:nvPicPr>
                          <pic:cNvPr id="94" name="Image 94"/>
                          <pic:cNvPicPr/>
                        </pic:nvPicPr>
                        <pic:blipFill>
                          <a:blip r:embed="rId65" cstate="print"/>
                          <a:stretch>
                            <a:fillRect/>
                          </a:stretch>
                        </pic:blipFill>
                        <pic:spPr>
                          <a:xfrm>
                            <a:off x="0" y="0"/>
                            <a:ext cx="64120" cy="103568"/>
                          </a:xfrm>
                          <a:prstGeom prst="rect">
                            <a:avLst/>
                          </a:prstGeom>
                        </pic:spPr>
                      </pic:pic>
                      <wps:wsp>
                        <wps:cNvPr id="95" name="Graphic 95"/>
                        <wps:cNvSpPr/>
                        <wps:spPr>
                          <a:xfrm>
                            <a:off x="86470" y="7"/>
                            <a:ext cx="195580" cy="104139"/>
                          </a:xfrm>
                          <a:custGeom>
                            <a:avLst/>
                            <a:gdLst/>
                            <a:ahLst/>
                            <a:cxnLst/>
                            <a:rect l="l" t="t" r="r" b="b"/>
                            <a:pathLst>
                              <a:path w="195580" h="104139">
                                <a:moveTo>
                                  <a:pt x="34709" y="30619"/>
                                </a:moveTo>
                                <a:lnTo>
                                  <a:pt x="33629" y="30264"/>
                                </a:lnTo>
                                <a:lnTo>
                                  <a:pt x="25844" y="30264"/>
                                </a:lnTo>
                                <a:lnTo>
                                  <a:pt x="21945" y="31102"/>
                                </a:lnTo>
                                <a:lnTo>
                                  <a:pt x="16611" y="34404"/>
                                </a:lnTo>
                                <a:lnTo>
                                  <a:pt x="14300" y="37630"/>
                                </a:lnTo>
                                <a:lnTo>
                                  <a:pt x="12331" y="42392"/>
                                </a:lnTo>
                                <a:lnTo>
                                  <a:pt x="12331" y="31127"/>
                                </a:lnTo>
                                <a:lnTo>
                                  <a:pt x="0" y="31127"/>
                                </a:lnTo>
                                <a:lnTo>
                                  <a:pt x="215" y="36931"/>
                                </a:lnTo>
                                <a:lnTo>
                                  <a:pt x="279" y="103568"/>
                                </a:lnTo>
                                <a:lnTo>
                                  <a:pt x="12623" y="103568"/>
                                </a:lnTo>
                                <a:lnTo>
                                  <a:pt x="12623" y="53340"/>
                                </a:lnTo>
                                <a:lnTo>
                                  <a:pt x="14008" y="49491"/>
                                </a:lnTo>
                                <a:lnTo>
                                  <a:pt x="19570" y="43802"/>
                                </a:lnTo>
                                <a:lnTo>
                                  <a:pt x="23571" y="42392"/>
                                </a:lnTo>
                                <a:lnTo>
                                  <a:pt x="28829" y="42392"/>
                                </a:lnTo>
                                <a:lnTo>
                                  <a:pt x="34709" y="42799"/>
                                </a:lnTo>
                                <a:lnTo>
                                  <a:pt x="34709" y="30619"/>
                                </a:lnTo>
                                <a:close/>
                              </a:path>
                              <a:path w="195580" h="104139">
                                <a:moveTo>
                                  <a:pt x="59842" y="88646"/>
                                </a:moveTo>
                                <a:lnTo>
                                  <a:pt x="45897" y="88646"/>
                                </a:lnTo>
                                <a:lnTo>
                                  <a:pt x="45897" y="103568"/>
                                </a:lnTo>
                                <a:lnTo>
                                  <a:pt x="59842" y="103568"/>
                                </a:lnTo>
                                <a:lnTo>
                                  <a:pt x="59842" y="88646"/>
                                </a:lnTo>
                                <a:close/>
                              </a:path>
                              <a:path w="195580" h="104139">
                                <a:moveTo>
                                  <a:pt x="171310" y="0"/>
                                </a:moveTo>
                                <a:lnTo>
                                  <a:pt x="157810" y="0"/>
                                </a:lnTo>
                                <a:lnTo>
                                  <a:pt x="137033" y="50063"/>
                                </a:lnTo>
                                <a:lnTo>
                                  <a:pt x="116662" y="0"/>
                                </a:lnTo>
                                <a:lnTo>
                                  <a:pt x="101892" y="0"/>
                                </a:lnTo>
                                <a:lnTo>
                                  <a:pt x="129857" y="61709"/>
                                </a:lnTo>
                                <a:lnTo>
                                  <a:pt x="129857" y="103568"/>
                                </a:lnTo>
                                <a:lnTo>
                                  <a:pt x="142887" y="103568"/>
                                </a:lnTo>
                                <a:lnTo>
                                  <a:pt x="142887" y="61963"/>
                                </a:lnTo>
                                <a:lnTo>
                                  <a:pt x="171310" y="0"/>
                                </a:lnTo>
                                <a:close/>
                              </a:path>
                              <a:path w="195580" h="104139">
                                <a:moveTo>
                                  <a:pt x="195300" y="88646"/>
                                </a:moveTo>
                                <a:lnTo>
                                  <a:pt x="181356" y="88646"/>
                                </a:lnTo>
                                <a:lnTo>
                                  <a:pt x="181356" y="103568"/>
                                </a:lnTo>
                                <a:lnTo>
                                  <a:pt x="195300" y="103568"/>
                                </a:lnTo>
                                <a:lnTo>
                                  <a:pt x="195300" y="88646"/>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160.071304pt;margin-top:79.241074pt;width:22.2pt;height:8.2pt;mso-position-horizontal-relative:page;mso-position-vertical-relative:paragraph;z-index:-15718400;mso-wrap-distance-left:0;mso-wrap-distance-right:0" id="docshapegroup90" coordorigin="3201,1585" coordsize="444,164">
                <v:shape style="position:absolute;left:3201;top:1584;width:101;height:164" type="#_x0000_t75" id="docshape91" stroked="false">
                  <v:imagedata r:id="rId65" o:title=""/>
                </v:shape>
                <v:shape style="position:absolute;left:3337;top:1584;width:308;height:164" id="docshape92" coordorigin="3338,1585" coordsize="308,164" path="m3392,1633l3391,1632,3378,1632,3372,1634,3364,1639,3360,1644,3357,1652,3357,1634,3338,1634,3338,1643,3338,1748,3357,1748,3357,1669,3360,1663,3368,1654,3375,1652,3383,1652,3392,1652,3392,1633xm3432,1724l3410,1724,3410,1748,3432,1748,3432,1724xm3607,1585l3586,1585,3553,1664,3521,1585,3498,1585,3542,1682,3542,1748,3563,1748,3563,1682,3607,1585xm3645,1724l3623,1724,3623,1748,3645,1748,3645,1724xe" filled="true" fillcolor="#231f20"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98592">
                <wp:simplePos x="0" y="0"/>
                <wp:positionH relativeFrom="page">
                  <wp:posOffset>2364188</wp:posOffset>
                </wp:positionH>
                <wp:positionV relativeFrom="paragraph">
                  <wp:posOffset>1004496</wp:posOffset>
                </wp:positionV>
                <wp:extent cx="426720" cy="107314"/>
                <wp:effectExtent l="0" t="0" r="0" b="0"/>
                <wp:wrapTopAndBottom/>
                <wp:docPr id="96" name="Group 96"/>
                <wp:cNvGraphicFramePr>
                  <a:graphicFrameLocks/>
                </wp:cNvGraphicFramePr>
                <a:graphic>
                  <a:graphicData uri="http://schemas.microsoft.com/office/word/2010/wordprocessingGroup">
                    <wpg:wgp>
                      <wpg:cNvPr id="96" name="Group 96"/>
                      <wpg:cNvGrpSpPr/>
                      <wpg:grpSpPr>
                        <a:xfrm>
                          <a:off x="0" y="0"/>
                          <a:ext cx="426720" cy="107314"/>
                          <a:chExt cx="426720" cy="107314"/>
                        </a:xfrm>
                      </wpg:grpSpPr>
                      <pic:pic>
                        <pic:nvPicPr>
                          <pic:cNvPr id="97" name="Image 97"/>
                          <pic:cNvPicPr/>
                        </pic:nvPicPr>
                        <pic:blipFill>
                          <a:blip r:embed="rId66" cstate="print"/>
                          <a:stretch>
                            <a:fillRect/>
                          </a:stretch>
                        </pic:blipFill>
                        <pic:spPr>
                          <a:xfrm>
                            <a:off x="0" y="0"/>
                            <a:ext cx="235414" cy="107010"/>
                          </a:xfrm>
                          <a:prstGeom prst="rect">
                            <a:avLst/>
                          </a:prstGeom>
                        </pic:spPr>
                      </pic:pic>
                      <pic:pic>
                        <pic:nvPicPr>
                          <pic:cNvPr id="98" name="Image 98"/>
                          <pic:cNvPicPr/>
                        </pic:nvPicPr>
                        <pic:blipFill>
                          <a:blip r:embed="rId67" cstate="print"/>
                          <a:stretch>
                            <a:fillRect/>
                          </a:stretch>
                        </pic:blipFill>
                        <pic:spPr>
                          <a:xfrm>
                            <a:off x="257241" y="31558"/>
                            <a:ext cx="98694" cy="73875"/>
                          </a:xfrm>
                          <a:prstGeom prst="rect">
                            <a:avLst/>
                          </a:prstGeom>
                        </pic:spPr>
                      </pic:pic>
                      <wps:wsp>
                        <wps:cNvPr id="99" name="Graphic 99"/>
                        <wps:cNvSpPr/>
                        <wps:spPr>
                          <a:xfrm>
                            <a:off x="375443" y="31414"/>
                            <a:ext cx="51435" cy="76200"/>
                          </a:xfrm>
                          <a:custGeom>
                            <a:avLst/>
                            <a:gdLst/>
                            <a:ahLst/>
                            <a:cxnLst/>
                            <a:rect l="l" t="t" r="r" b="b"/>
                            <a:pathLst>
                              <a:path w="51435" h="76200">
                                <a:moveTo>
                                  <a:pt x="47837" y="8989"/>
                                </a:moveTo>
                                <a:lnTo>
                                  <a:pt x="30275" y="8989"/>
                                </a:lnTo>
                                <a:lnTo>
                                  <a:pt x="32990" y="10017"/>
                                </a:lnTo>
                                <a:lnTo>
                                  <a:pt x="37007" y="14489"/>
                                </a:lnTo>
                                <a:lnTo>
                                  <a:pt x="38012" y="18074"/>
                                </a:lnTo>
                                <a:lnTo>
                                  <a:pt x="38012" y="29119"/>
                                </a:lnTo>
                                <a:lnTo>
                                  <a:pt x="32990" y="29119"/>
                                </a:lnTo>
                                <a:lnTo>
                                  <a:pt x="24954" y="29460"/>
                                </a:lnTo>
                                <a:lnTo>
                                  <a:pt x="0" y="44419"/>
                                </a:lnTo>
                                <a:lnTo>
                                  <a:pt x="0" y="60486"/>
                                </a:lnTo>
                                <a:lnTo>
                                  <a:pt x="1622" y="65793"/>
                                </a:lnTo>
                                <a:lnTo>
                                  <a:pt x="1695" y="66033"/>
                                </a:lnTo>
                                <a:lnTo>
                                  <a:pt x="8463" y="73684"/>
                                </a:lnTo>
                                <a:lnTo>
                                  <a:pt x="13315" y="75595"/>
                                </a:lnTo>
                                <a:lnTo>
                                  <a:pt x="24335" y="75595"/>
                                </a:lnTo>
                                <a:lnTo>
                                  <a:pt x="28136" y="74616"/>
                                </a:lnTo>
                                <a:lnTo>
                                  <a:pt x="34019" y="70742"/>
                                </a:lnTo>
                                <a:lnTo>
                                  <a:pt x="36385" y="67683"/>
                                </a:lnTo>
                                <a:lnTo>
                                  <a:pt x="37079" y="66033"/>
                                </a:lnTo>
                                <a:lnTo>
                                  <a:pt x="37180" y="65793"/>
                                </a:lnTo>
                                <a:lnTo>
                                  <a:pt x="19889" y="65793"/>
                                </a:lnTo>
                                <a:lnTo>
                                  <a:pt x="17045" y="64669"/>
                                </a:lnTo>
                                <a:lnTo>
                                  <a:pt x="12934" y="60130"/>
                                </a:lnTo>
                                <a:lnTo>
                                  <a:pt x="11904" y="56875"/>
                                </a:lnTo>
                                <a:lnTo>
                                  <a:pt x="11904" y="47458"/>
                                </a:lnTo>
                                <a:lnTo>
                                  <a:pt x="13506" y="43703"/>
                                </a:lnTo>
                                <a:lnTo>
                                  <a:pt x="16710" y="41385"/>
                                </a:lnTo>
                                <a:lnTo>
                                  <a:pt x="19889" y="39041"/>
                                </a:lnTo>
                                <a:lnTo>
                                  <a:pt x="25155" y="38014"/>
                                </a:lnTo>
                                <a:lnTo>
                                  <a:pt x="49844" y="38014"/>
                                </a:lnTo>
                                <a:lnTo>
                                  <a:pt x="49799" y="14345"/>
                                </a:lnTo>
                                <a:lnTo>
                                  <a:pt x="47837" y="8989"/>
                                </a:lnTo>
                                <a:close/>
                              </a:path>
                              <a:path w="51435" h="76200">
                                <a:moveTo>
                                  <a:pt x="49914" y="63474"/>
                                </a:moveTo>
                                <a:lnTo>
                                  <a:pt x="38444" y="63474"/>
                                </a:lnTo>
                                <a:lnTo>
                                  <a:pt x="38564" y="65793"/>
                                </a:lnTo>
                                <a:lnTo>
                                  <a:pt x="38662" y="67683"/>
                                </a:lnTo>
                                <a:lnTo>
                                  <a:pt x="38739" y="69166"/>
                                </a:lnTo>
                                <a:lnTo>
                                  <a:pt x="38865" y="71582"/>
                                </a:lnTo>
                                <a:lnTo>
                                  <a:pt x="38991" y="74019"/>
                                </a:lnTo>
                                <a:lnTo>
                                  <a:pt x="51184" y="74019"/>
                                </a:lnTo>
                                <a:lnTo>
                                  <a:pt x="50731" y="71582"/>
                                </a:lnTo>
                                <a:lnTo>
                                  <a:pt x="50370" y="69166"/>
                                </a:lnTo>
                                <a:lnTo>
                                  <a:pt x="50075" y="66033"/>
                                </a:lnTo>
                                <a:lnTo>
                                  <a:pt x="50052" y="65793"/>
                                </a:lnTo>
                                <a:lnTo>
                                  <a:pt x="49946" y="64669"/>
                                </a:lnTo>
                                <a:lnTo>
                                  <a:pt x="49914" y="63474"/>
                                </a:lnTo>
                                <a:close/>
                              </a:path>
                              <a:path w="51435" h="76200">
                                <a:moveTo>
                                  <a:pt x="49844" y="38014"/>
                                </a:moveTo>
                                <a:lnTo>
                                  <a:pt x="38012" y="38014"/>
                                </a:lnTo>
                                <a:lnTo>
                                  <a:pt x="38080" y="39041"/>
                                </a:lnTo>
                                <a:lnTo>
                                  <a:pt x="38155" y="50184"/>
                                </a:lnTo>
                                <a:lnTo>
                                  <a:pt x="36888" y="55824"/>
                                </a:lnTo>
                                <a:lnTo>
                                  <a:pt x="31748" y="63788"/>
                                </a:lnTo>
                                <a:lnTo>
                                  <a:pt x="28162" y="65793"/>
                                </a:lnTo>
                                <a:lnTo>
                                  <a:pt x="37180" y="65793"/>
                                </a:lnTo>
                                <a:lnTo>
                                  <a:pt x="38155" y="63474"/>
                                </a:lnTo>
                                <a:lnTo>
                                  <a:pt x="49914" y="63474"/>
                                </a:lnTo>
                                <a:lnTo>
                                  <a:pt x="49844" y="38014"/>
                                </a:lnTo>
                                <a:close/>
                              </a:path>
                              <a:path w="51435" h="76200">
                                <a:moveTo>
                                  <a:pt x="34138" y="0"/>
                                </a:moveTo>
                                <a:lnTo>
                                  <a:pt x="18072" y="0"/>
                                </a:lnTo>
                                <a:lnTo>
                                  <a:pt x="11977" y="1795"/>
                                </a:lnTo>
                                <a:lnTo>
                                  <a:pt x="3937" y="8989"/>
                                </a:lnTo>
                                <a:lnTo>
                                  <a:pt x="1918" y="14345"/>
                                </a:lnTo>
                                <a:lnTo>
                                  <a:pt x="1826" y="16473"/>
                                </a:lnTo>
                                <a:lnTo>
                                  <a:pt x="1720" y="21948"/>
                                </a:lnTo>
                                <a:lnTo>
                                  <a:pt x="14464" y="21948"/>
                                </a:lnTo>
                                <a:lnTo>
                                  <a:pt x="14360" y="18074"/>
                                </a:lnTo>
                                <a:lnTo>
                                  <a:pt x="14320" y="16473"/>
                                </a:lnTo>
                                <a:lnTo>
                                  <a:pt x="15346" y="13963"/>
                                </a:lnTo>
                                <a:lnTo>
                                  <a:pt x="19292" y="10017"/>
                                </a:lnTo>
                                <a:lnTo>
                                  <a:pt x="19067" y="10017"/>
                                </a:lnTo>
                                <a:lnTo>
                                  <a:pt x="22057" y="8989"/>
                                </a:lnTo>
                                <a:lnTo>
                                  <a:pt x="47837" y="8989"/>
                                </a:lnTo>
                                <a:lnTo>
                                  <a:pt x="40045" y="1795"/>
                                </a:lnTo>
                                <a:lnTo>
                                  <a:pt x="34138"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186.156601pt;margin-top:79.094177pt;width:33.6pt;height:8.450pt;mso-position-horizontal-relative:page;mso-position-vertical-relative:paragraph;z-index:-15717888;mso-wrap-distance-left:0;mso-wrap-distance-right:0" id="docshapegroup93" coordorigin="3723,1582" coordsize="672,169">
                <v:shape style="position:absolute;left:3723;top:1581;width:371;height:169" type="#_x0000_t75" id="docshape94" stroked="false">
                  <v:imagedata r:id="rId66" o:title=""/>
                </v:shape>
                <v:shape style="position:absolute;left:4128;top:1631;width:156;height:117" type="#_x0000_t75" id="docshape95" stroked="false">
                  <v:imagedata r:id="rId67" o:title=""/>
                </v:shape>
                <v:shape style="position:absolute;left:4314;top:1631;width:81;height:120" id="docshape96" coordorigin="4314,1631" coordsize="81,120" path="m4390,1646l4362,1646,4366,1647,4373,1654,4374,1660,4374,1677,4366,1677,4354,1678,4343,1679,4334,1682,4327,1686,4319,1692,4314,1701,4314,1727,4317,1735,4317,1735,4328,1747,4335,1750,4353,1750,4359,1749,4368,1743,4372,1738,4373,1735,4373,1735,4346,1735,4341,1733,4335,1726,4333,1721,4333,1706,4336,1700,4341,1697,4346,1693,4354,1691,4393,1691,4393,1654,4390,1646xm4393,1731l4375,1731,4375,1735,4375,1738,4375,1740,4376,1744,4376,1748,4395,1748,4394,1744,4394,1740,4393,1735,4393,1735,4393,1733,4393,1731xm4393,1691l4374,1691,4374,1693,4374,1710,4372,1719,4364,1732,4359,1735,4373,1735,4374,1731,4393,1731,4393,1691xm4368,1631l4343,1631,4333,1634,4321,1646,4317,1654,4317,1657,4317,1666,4337,1666,4337,1660,4337,1657,4339,1653,4345,1647,4344,1647,4349,1646,4390,1646,4377,1634,4368,1631xe" filled="true" fillcolor="#231f20"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99104">
                <wp:simplePos x="0" y="0"/>
                <wp:positionH relativeFrom="page">
                  <wp:posOffset>2842361</wp:posOffset>
                </wp:positionH>
                <wp:positionV relativeFrom="paragraph">
                  <wp:posOffset>1004502</wp:posOffset>
                </wp:positionV>
                <wp:extent cx="141605" cy="107314"/>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141605" cy="107314"/>
                        </a:xfrm>
                        <a:custGeom>
                          <a:avLst/>
                          <a:gdLst/>
                          <a:ahLst/>
                          <a:cxnLst/>
                          <a:rect l="l" t="t" r="r" b="b"/>
                          <a:pathLst>
                            <a:path w="141605" h="107314">
                              <a:moveTo>
                                <a:pt x="62560" y="73494"/>
                              </a:moveTo>
                              <a:lnTo>
                                <a:pt x="27457" y="43230"/>
                              </a:lnTo>
                              <a:lnTo>
                                <a:pt x="23190" y="40335"/>
                              </a:lnTo>
                              <a:lnTo>
                                <a:pt x="17348" y="33832"/>
                              </a:lnTo>
                              <a:lnTo>
                                <a:pt x="15887" y="30264"/>
                              </a:lnTo>
                              <a:lnTo>
                                <a:pt x="15887" y="21640"/>
                              </a:lnTo>
                              <a:lnTo>
                                <a:pt x="17322" y="17957"/>
                              </a:lnTo>
                              <a:lnTo>
                                <a:pt x="23139" y="12788"/>
                              </a:lnTo>
                              <a:lnTo>
                                <a:pt x="27152" y="11480"/>
                              </a:lnTo>
                              <a:lnTo>
                                <a:pt x="37579" y="11480"/>
                              </a:lnTo>
                              <a:lnTo>
                                <a:pt x="41503" y="12928"/>
                              </a:lnTo>
                              <a:lnTo>
                                <a:pt x="46634" y="18719"/>
                              </a:lnTo>
                              <a:lnTo>
                                <a:pt x="47929" y="23050"/>
                              </a:lnTo>
                              <a:lnTo>
                                <a:pt x="47929" y="30264"/>
                              </a:lnTo>
                              <a:lnTo>
                                <a:pt x="61722" y="30264"/>
                              </a:lnTo>
                              <a:lnTo>
                                <a:pt x="61722" y="27952"/>
                              </a:lnTo>
                              <a:lnTo>
                                <a:pt x="61722" y="18694"/>
                              </a:lnTo>
                              <a:lnTo>
                                <a:pt x="59334" y="11734"/>
                              </a:lnTo>
                              <a:lnTo>
                                <a:pt x="49745" y="2349"/>
                              </a:lnTo>
                              <a:lnTo>
                                <a:pt x="42710" y="0"/>
                              </a:lnTo>
                              <a:lnTo>
                                <a:pt x="23787" y="0"/>
                              </a:lnTo>
                              <a:lnTo>
                                <a:pt x="16230" y="2489"/>
                              </a:lnTo>
                              <a:lnTo>
                                <a:pt x="5181" y="12484"/>
                              </a:lnTo>
                              <a:lnTo>
                                <a:pt x="2425" y="19177"/>
                              </a:lnTo>
                              <a:lnTo>
                                <a:pt x="2425" y="32854"/>
                              </a:lnTo>
                              <a:lnTo>
                                <a:pt x="40500" y="64452"/>
                              </a:lnTo>
                              <a:lnTo>
                                <a:pt x="44386" y="67373"/>
                              </a:lnTo>
                              <a:lnTo>
                                <a:pt x="48120" y="73253"/>
                              </a:lnTo>
                              <a:lnTo>
                                <a:pt x="49047" y="76200"/>
                              </a:lnTo>
                              <a:lnTo>
                                <a:pt x="49047" y="84137"/>
                              </a:lnTo>
                              <a:lnTo>
                                <a:pt x="47383" y="88125"/>
                              </a:lnTo>
                              <a:lnTo>
                                <a:pt x="40640" y="94145"/>
                              </a:lnTo>
                              <a:lnTo>
                                <a:pt x="36245" y="95656"/>
                              </a:lnTo>
                              <a:lnTo>
                                <a:pt x="25552" y="95656"/>
                              </a:lnTo>
                              <a:lnTo>
                                <a:pt x="21247" y="94005"/>
                              </a:lnTo>
                              <a:lnTo>
                                <a:pt x="14668" y="87414"/>
                              </a:lnTo>
                              <a:lnTo>
                                <a:pt x="13017" y="82740"/>
                              </a:lnTo>
                              <a:lnTo>
                                <a:pt x="13017" y="73736"/>
                              </a:lnTo>
                              <a:lnTo>
                                <a:pt x="0" y="73736"/>
                              </a:lnTo>
                              <a:lnTo>
                                <a:pt x="0" y="87337"/>
                              </a:lnTo>
                              <a:lnTo>
                                <a:pt x="2603" y="94602"/>
                              </a:lnTo>
                              <a:lnTo>
                                <a:pt x="13068" y="104521"/>
                              </a:lnTo>
                              <a:lnTo>
                                <a:pt x="20650" y="107010"/>
                              </a:lnTo>
                              <a:lnTo>
                                <a:pt x="40106" y="107010"/>
                              </a:lnTo>
                              <a:lnTo>
                                <a:pt x="47853" y="104521"/>
                              </a:lnTo>
                              <a:lnTo>
                                <a:pt x="59613" y="94526"/>
                              </a:lnTo>
                              <a:lnTo>
                                <a:pt x="62560" y="87718"/>
                              </a:lnTo>
                              <a:lnTo>
                                <a:pt x="62560" y="73494"/>
                              </a:lnTo>
                              <a:close/>
                            </a:path>
                            <a:path w="141605" h="107314">
                              <a:moveTo>
                                <a:pt x="116636" y="32486"/>
                              </a:moveTo>
                              <a:lnTo>
                                <a:pt x="115557" y="32131"/>
                              </a:lnTo>
                              <a:lnTo>
                                <a:pt x="107772" y="32131"/>
                              </a:lnTo>
                              <a:lnTo>
                                <a:pt x="103873" y="32969"/>
                              </a:lnTo>
                              <a:lnTo>
                                <a:pt x="98539" y="36271"/>
                              </a:lnTo>
                              <a:lnTo>
                                <a:pt x="96227" y="39497"/>
                              </a:lnTo>
                              <a:lnTo>
                                <a:pt x="94259" y="44259"/>
                              </a:lnTo>
                              <a:lnTo>
                                <a:pt x="94259" y="32994"/>
                              </a:lnTo>
                              <a:lnTo>
                                <a:pt x="81927" y="32994"/>
                              </a:lnTo>
                              <a:lnTo>
                                <a:pt x="82143" y="38798"/>
                              </a:lnTo>
                              <a:lnTo>
                                <a:pt x="82207" y="105435"/>
                              </a:lnTo>
                              <a:lnTo>
                                <a:pt x="94551" y="105435"/>
                              </a:lnTo>
                              <a:lnTo>
                                <a:pt x="94551" y="55206"/>
                              </a:lnTo>
                              <a:lnTo>
                                <a:pt x="95935" y="51358"/>
                              </a:lnTo>
                              <a:lnTo>
                                <a:pt x="101498" y="45669"/>
                              </a:lnTo>
                              <a:lnTo>
                                <a:pt x="105498" y="44259"/>
                              </a:lnTo>
                              <a:lnTo>
                                <a:pt x="110756" y="44259"/>
                              </a:lnTo>
                              <a:lnTo>
                                <a:pt x="116636" y="44665"/>
                              </a:lnTo>
                              <a:lnTo>
                                <a:pt x="116636" y="32486"/>
                              </a:lnTo>
                              <a:close/>
                            </a:path>
                            <a:path w="141605" h="107314">
                              <a:moveTo>
                                <a:pt x="141020" y="32994"/>
                              </a:moveTo>
                              <a:lnTo>
                                <a:pt x="128689" y="32994"/>
                              </a:lnTo>
                              <a:lnTo>
                                <a:pt x="128689" y="105435"/>
                              </a:lnTo>
                              <a:lnTo>
                                <a:pt x="141020" y="105435"/>
                              </a:lnTo>
                              <a:lnTo>
                                <a:pt x="141020" y="32994"/>
                              </a:lnTo>
                              <a:close/>
                            </a:path>
                            <a:path w="141605" h="107314">
                              <a:moveTo>
                                <a:pt x="141503" y="1866"/>
                              </a:moveTo>
                              <a:lnTo>
                                <a:pt x="128257" y="1866"/>
                              </a:lnTo>
                              <a:lnTo>
                                <a:pt x="128257" y="14541"/>
                              </a:lnTo>
                              <a:lnTo>
                                <a:pt x="141503" y="14541"/>
                              </a:lnTo>
                              <a:lnTo>
                                <a:pt x="141503" y="1866"/>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223.808014pt;margin-top:79.094658pt;width:11.15pt;height:8.450pt;mso-position-horizontal-relative:page;mso-position-vertical-relative:paragraph;z-index:-15717376;mso-wrap-distance-left:0;mso-wrap-distance-right:0" id="docshape97" coordorigin="4476,1582" coordsize="223,169" path="m4575,1698l4573,1690,4565,1678,4560,1673,4545,1663,4537,1658,4519,1650,4513,1645,4503,1635,4501,1630,4501,1616,4503,1610,4513,1602,4519,1600,4535,1600,4542,1602,4550,1611,4552,1618,4552,1630,4573,1630,4573,1626,4573,1611,4570,1600,4555,1586,4543,1582,4514,1582,4502,1586,4484,1602,4480,1612,4480,1634,4482,1641,4490,1654,4496,1659,4513,1670,4521,1674,4540,1683,4546,1688,4552,1697,4553,1702,4553,1714,4551,1721,4540,1730,4533,1733,4516,1733,4510,1730,4499,1720,4497,1712,4497,1698,4476,1698,4476,1719,4480,1731,4497,1746,4509,1750,4539,1750,4552,1746,4570,1731,4575,1720,4575,1698xm4660,1633l4658,1632,4646,1632,4640,1634,4631,1639,4628,1644,4625,1652,4625,1634,4605,1634,4606,1643,4606,1748,4625,1748,4625,1669,4627,1663,4636,1654,4642,1652,4651,1652,4660,1652,4660,1633xm4698,1634l4679,1634,4679,1748,4698,1748,4698,1634xm4699,1585l4678,1585,4678,1605,4699,1605,4699,1585xe" filled="true" fillcolor="#231f20"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99616">
                <wp:simplePos x="0" y="0"/>
                <wp:positionH relativeFrom="page">
                  <wp:posOffset>1953197</wp:posOffset>
                </wp:positionH>
                <wp:positionV relativeFrom="paragraph">
                  <wp:posOffset>1184065</wp:posOffset>
                </wp:positionV>
                <wp:extent cx="146685" cy="104139"/>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146685" cy="104139"/>
                          <a:chExt cx="146685" cy="104139"/>
                        </a:xfrm>
                      </wpg:grpSpPr>
                      <pic:pic>
                        <pic:nvPicPr>
                          <pic:cNvPr id="102" name="Image 102"/>
                          <pic:cNvPicPr/>
                        </pic:nvPicPr>
                        <pic:blipFill>
                          <a:blip r:embed="rId68" cstate="print"/>
                          <a:stretch>
                            <a:fillRect/>
                          </a:stretch>
                        </pic:blipFill>
                        <pic:spPr>
                          <a:xfrm>
                            <a:off x="0" y="0"/>
                            <a:ext cx="64120" cy="103567"/>
                          </a:xfrm>
                          <a:prstGeom prst="rect">
                            <a:avLst/>
                          </a:prstGeom>
                        </pic:spPr>
                      </pic:pic>
                      <wps:wsp>
                        <wps:cNvPr id="103" name="Graphic 103"/>
                        <wps:cNvSpPr/>
                        <wps:spPr>
                          <a:xfrm>
                            <a:off x="86460" y="30279"/>
                            <a:ext cx="60325" cy="73660"/>
                          </a:xfrm>
                          <a:custGeom>
                            <a:avLst/>
                            <a:gdLst/>
                            <a:ahLst/>
                            <a:cxnLst/>
                            <a:rect l="l" t="t" r="r" b="b"/>
                            <a:pathLst>
                              <a:path w="60325" h="73660">
                                <a:moveTo>
                                  <a:pt x="34721" y="355"/>
                                </a:moveTo>
                                <a:lnTo>
                                  <a:pt x="33642" y="0"/>
                                </a:lnTo>
                                <a:lnTo>
                                  <a:pt x="25844" y="0"/>
                                </a:lnTo>
                                <a:lnTo>
                                  <a:pt x="21958" y="825"/>
                                </a:lnTo>
                                <a:lnTo>
                                  <a:pt x="16624" y="4127"/>
                                </a:lnTo>
                                <a:lnTo>
                                  <a:pt x="14300" y="7353"/>
                                </a:lnTo>
                                <a:lnTo>
                                  <a:pt x="12344" y="12115"/>
                                </a:lnTo>
                                <a:lnTo>
                                  <a:pt x="12344" y="850"/>
                                </a:lnTo>
                                <a:lnTo>
                                  <a:pt x="0" y="850"/>
                                </a:lnTo>
                                <a:lnTo>
                                  <a:pt x="215" y="6667"/>
                                </a:lnTo>
                                <a:lnTo>
                                  <a:pt x="292" y="73291"/>
                                </a:lnTo>
                                <a:lnTo>
                                  <a:pt x="12636" y="73291"/>
                                </a:lnTo>
                                <a:lnTo>
                                  <a:pt x="12636" y="23063"/>
                                </a:lnTo>
                                <a:lnTo>
                                  <a:pt x="14020" y="19215"/>
                                </a:lnTo>
                                <a:lnTo>
                                  <a:pt x="19583" y="13525"/>
                                </a:lnTo>
                                <a:lnTo>
                                  <a:pt x="23583" y="12115"/>
                                </a:lnTo>
                                <a:lnTo>
                                  <a:pt x="28841" y="12115"/>
                                </a:lnTo>
                                <a:lnTo>
                                  <a:pt x="34721" y="12522"/>
                                </a:lnTo>
                                <a:lnTo>
                                  <a:pt x="34721" y="355"/>
                                </a:lnTo>
                                <a:close/>
                              </a:path>
                              <a:path w="60325" h="73660">
                                <a:moveTo>
                                  <a:pt x="59855" y="58381"/>
                                </a:moveTo>
                                <a:lnTo>
                                  <a:pt x="45910" y="58381"/>
                                </a:lnTo>
                                <a:lnTo>
                                  <a:pt x="45910" y="73291"/>
                                </a:lnTo>
                                <a:lnTo>
                                  <a:pt x="59855" y="73291"/>
                                </a:lnTo>
                                <a:lnTo>
                                  <a:pt x="59855" y="58381"/>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153.795105pt;margin-top:93.233475pt;width:11.55pt;height:8.2pt;mso-position-horizontal-relative:page;mso-position-vertical-relative:paragraph;z-index:-15716864;mso-wrap-distance-left:0;mso-wrap-distance-right:0" id="docshapegroup98" coordorigin="3076,1865" coordsize="231,164">
                <v:shape style="position:absolute;left:3075;top:1864;width:101;height:164" type="#_x0000_t75" id="docshape99" stroked="false">
                  <v:imagedata r:id="rId68" o:title=""/>
                </v:shape>
                <v:shape style="position:absolute;left:3212;top:1912;width:95;height:116" id="docshape100" coordorigin="3212,1912" coordsize="95,116" path="m3267,1913l3265,1912,3253,1912,3247,1914,3238,1919,3235,1924,3232,1931,3232,1914,3212,1914,3212,1923,3213,2028,3232,2028,3232,1949,3234,1943,3243,1934,3249,1931,3257,1931,3267,1932,3267,1913xm3306,2004l3284,2004,3284,2028,3306,2028,3306,2004xe" filled="true" fillcolor="#231f20"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600128">
                <wp:simplePos x="0" y="0"/>
                <wp:positionH relativeFrom="page">
                  <wp:posOffset>2152036</wp:posOffset>
                </wp:positionH>
                <wp:positionV relativeFrom="paragraph">
                  <wp:posOffset>1182199</wp:posOffset>
                </wp:positionV>
                <wp:extent cx="911225" cy="107314"/>
                <wp:effectExtent l="0" t="0" r="0" b="0"/>
                <wp:wrapTopAndBottom/>
                <wp:docPr id="104" name="Group 104"/>
                <wp:cNvGraphicFramePr>
                  <a:graphicFrameLocks/>
                </wp:cNvGraphicFramePr>
                <a:graphic>
                  <a:graphicData uri="http://schemas.microsoft.com/office/word/2010/wordprocessingGroup">
                    <wpg:wgp>
                      <wpg:cNvPr id="104" name="Group 104"/>
                      <wpg:cNvGrpSpPr/>
                      <wpg:grpSpPr>
                        <a:xfrm>
                          <a:off x="0" y="0"/>
                          <a:ext cx="911225" cy="107314"/>
                          <a:chExt cx="911225" cy="107314"/>
                        </a:xfrm>
                      </wpg:grpSpPr>
                      <wps:wsp>
                        <wps:cNvPr id="105" name="Graphic 105"/>
                        <wps:cNvSpPr/>
                        <wps:spPr>
                          <a:xfrm>
                            <a:off x="-8" y="1867"/>
                            <a:ext cx="91440" cy="104139"/>
                          </a:xfrm>
                          <a:custGeom>
                            <a:avLst/>
                            <a:gdLst/>
                            <a:ahLst/>
                            <a:cxnLst/>
                            <a:rect l="l" t="t" r="r" b="b"/>
                            <a:pathLst>
                              <a:path w="91440" h="104139">
                                <a:moveTo>
                                  <a:pt x="66852" y="103568"/>
                                </a:moveTo>
                                <a:lnTo>
                                  <a:pt x="26974" y="46786"/>
                                </a:lnTo>
                                <a:lnTo>
                                  <a:pt x="64744" y="0"/>
                                </a:lnTo>
                                <a:lnTo>
                                  <a:pt x="49822" y="0"/>
                                </a:lnTo>
                                <a:lnTo>
                                  <a:pt x="13169" y="45529"/>
                                </a:lnTo>
                                <a:lnTo>
                                  <a:pt x="13169" y="0"/>
                                </a:lnTo>
                                <a:lnTo>
                                  <a:pt x="0" y="0"/>
                                </a:lnTo>
                                <a:lnTo>
                                  <a:pt x="0" y="103568"/>
                                </a:lnTo>
                                <a:lnTo>
                                  <a:pt x="13169" y="103568"/>
                                </a:lnTo>
                                <a:lnTo>
                                  <a:pt x="13169" y="49517"/>
                                </a:lnTo>
                                <a:lnTo>
                                  <a:pt x="49961" y="103568"/>
                                </a:lnTo>
                                <a:lnTo>
                                  <a:pt x="66852" y="103568"/>
                                </a:lnTo>
                                <a:close/>
                              </a:path>
                              <a:path w="91440" h="104139">
                                <a:moveTo>
                                  <a:pt x="90995" y="88658"/>
                                </a:moveTo>
                                <a:lnTo>
                                  <a:pt x="77050" y="88658"/>
                                </a:lnTo>
                                <a:lnTo>
                                  <a:pt x="77050" y="103568"/>
                                </a:lnTo>
                                <a:lnTo>
                                  <a:pt x="90995" y="103568"/>
                                </a:lnTo>
                                <a:lnTo>
                                  <a:pt x="90995" y="88658"/>
                                </a:lnTo>
                                <a:close/>
                              </a:path>
                            </a:pathLst>
                          </a:custGeom>
                          <a:solidFill>
                            <a:srgbClr val="231F20"/>
                          </a:solidFill>
                        </wps:spPr>
                        <wps:bodyPr wrap="square" lIns="0" tIns="0" rIns="0" bIns="0" rtlCol="0">
                          <a:prstTxWarp prst="textNoShape">
                            <a:avLst/>
                          </a:prstTxWarp>
                          <a:noAutofit/>
                        </wps:bodyPr>
                      </wps:wsp>
                      <pic:pic>
                        <pic:nvPicPr>
                          <pic:cNvPr id="106" name="Image 106"/>
                          <pic:cNvPicPr/>
                        </pic:nvPicPr>
                        <pic:blipFill>
                          <a:blip r:embed="rId69" cstate="print"/>
                          <a:stretch>
                            <a:fillRect/>
                          </a:stretch>
                        </pic:blipFill>
                        <pic:spPr>
                          <a:xfrm>
                            <a:off x="133757" y="1865"/>
                            <a:ext cx="140577" cy="105288"/>
                          </a:xfrm>
                          <a:prstGeom prst="rect">
                            <a:avLst/>
                          </a:prstGeom>
                        </pic:spPr>
                      </pic:pic>
                      <wps:wsp>
                        <wps:cNvPr id="107" name="Graphic 107"/>
                        <wps:cNvSpPr/>
                        <wps:spPr>
                          <a:xfrm>
                            <a:off x="293436" y="31558"/>
                            <a:ext cx="52069" cy="74295"/>
                          </a:xfrm>
                          <a:custGeom>
                            <a:avLst/>
                            <a:gdLst/>
                            <a:ahLst/>
                            <a:cxnLst/>
                            <a:rect l="l" t="t" r="r" b="b"/>
                            <a:pathLst>
                              <a:path w="52069" h="74295">
                                <a:moveTo>
                                  <a:pt x="38826" y="0"/>
                                </a:moveTo>
                                <a:lnTo>
                                  <a:pt x="27280" y="0"/>
                                </a:lnTo>
                                <a:lnTo>
                                  <a:pt x="23479" y="812"/>
                                </a:lnTo>
                                <a:lnTo>
                                  <a:pt x="17406" y="4017"/>
                                </a:lnTo>
                                <a:lnTo>
                                  <a:pt x="14775" y="6814"/>
                                </a:lnTo>
                                <a:lnTo>
                                  <a:pt x="12553" y="10781"/>
                                </a:lnTo>
                                <a:lnTo>
                                  <a:pt x="12553" y="1436"/>
                                </a:lnTo>
                                <a:lnTo>
                                  <a:pt x="0" y="1436"/>
                                </a:lnTo>
                                <a:lnTo>
                                  <a:pt x="288" y="10759"/>
                                </a:lnTo>
                                <a:lnTo>
                                  <a:pt x="288" y="73874"/>
                                </a:lnTo>
                                <a:lnTo>
                                  <a:pt x="12697" y="73874"/>
                                </a:lnTo>
                                <a:lnTo>
                                  <a:pt x="12697" y="21898"/>
                                </a:lnTo>
                                <a:lnTo>
                                  <a:pt x="13964" y="17379"/>
                                </a:lnTo>
                                <a:lnTo>
                                  <a:pt x="19029" y="11043"/>
                                </a:lnTo>
                                <a:lnTo>
                                  <a:pt x="22665" y="9467"/>
                                </a:lnTo>
                                <a:lnTo>
                                  <a:pt x="31344" y="9467"/>
                                </a:lnTo>
                                <a:lnTo>
                                  <a:pt x="34307" y="10688"/>
                                </a:lnTo>
                                <a:lnTo>
                                  <a:pt x="38300" y="15587"/>
                                </a:lnTo>
                                <a:lnTo>
                                  <a:pt x="39305" y="19533"/>
                                </a:lnTo>
                                <a:lnTo>
                                  <a:pt x="39305" y="73874"/>
                                </a:lnTo>
                                <a:lnTo>
                                  <a:pt x="51642" y="73874"/>
                                </a:lnTo>
                                <a:lnTo>
                                  <a:pt x="51642" y="23237"/>
                                </a:lnTo>
                                <a:lnTo>
                                  <a:pt x="51642" y="15252"/>
                                </a:lnTo>
                                <a:lnTo>
                                  <a:pt x="50087" y="9395"/>
                                </a:lnTo>
                                <a:lnTo>
                                  <a:pt x="43869" y="1889"/>
                                </a:lnTo>
                                <a:lnTo>
                                  <a:pt x="38826" y="0"/>
                                </a:lnTo>
                                <a:close/>
                              </a:path>
                            </a:pathLst>
                          </a:custGeom>
                          <a:solidFill>
                            <a:srgbClr val="231F20"/>
                          </a:solidFill>
                        </wps:spPr>
                        <wps:bodyPr wrap="square" lIns="0" tIns="0" rIns="0" bIns="0" rtlCol="0">
                          <a:prstTxWarp prst="textNoShape">
                            <a:avLst/>
                          </a:prstTxWarp>
                          <a:noAutofit/>
                        </wps:bodyPr>
                      </wps:wsp>
                      <pic:pic>
                        <pic:nvPicPr>
                          <pic:cNvPr id="108" name="Image 108"/>
                          <pic:cNvPicPr/>
                        </pic:nvPicPr>
                        <pic:blipFill>
                          <a:blip r:embed="rId70" cstate="print"/>
                          <a:stretch>
                            <a:fillRect/>
                          </a:stretch>
                        </pic:blipFill>
                        <pic:spPr>
                          <a:xfrm>
                            <a:off x="365447" y="1865"/>
                            <a:ext cx="165080" cy="105144"/>
                          </a:xfrm>
                          <a:prstGeom prst="rect">
                            <a:avLst/>
                          </a:prstGeom>
                        </pic:spPr>
                      </pic:pic>
                      <pic:pic>
                        <pic:nvPicPr>
                          <pic:cNvPr id="109" name="Image 109"/>
                          <pic:cNvPicPr/>
                        </pic:nvPicPr>
                        <pic:blipFill>
                          <a:blip r:embed="rId71" cstate="print"/>
                          <a:stretch>
                            <a:fillRect/>
                          </a:stretch>
                        </pic:blipFill>
                        <pic:spPr>
                          <a:xfrm>
                            <a:off x="570838" y="0"/>
                            <a:ext cx="339893" cy="107010"/>
                          </a:xfrm>
                          <a:prstGeom prst="rect">
                            <a:avLst/>
                          </a:prstGeom>
                        </pic:spPr>
                      </pic:pic>
                    </wpg:wgp>
                  </a:graphicData>
                </a:graphic>
              </wp:anchor>
            </w:drawing>
          </mc:Choice>
          <mc:Fallback>
            <w:pict>
              <v:group style="position:absolute;margin-left:169.451706pt;margin-top:93.086578pt;width:71.75pt;height:8.450pt;mso-position-horizontal-relative:page;mso-position-vertical-relative:paragraph;z-index:-15716352;mso-wrap-distance-left:0;mso-wrap-distance-right:0" id="docshapegroup101" coordorigin="3389,1862" coordsize="1435,169">
                <v:shape style="position:absolute;left:3389;top:1864;width:144;height:164" id="docshape102" coordorigin="3389,1865" coordsize="144,164" path="m3494,2028l3432,1938,3491,1865,3467,1865,3410,1936,3410,1865,3389,1865,3389,2028,3410,2028,3410,1943,3468,2028,3494,2028xm3532,2004l3510,2004,3510,2028,3532,2028,3532,2004xe" filled="true" fillcolor="#231f20" stroked="false">
                  <v:path arrowok="t"/>
                  <v:fill type="solid"/>
                </v:shape>
                <v:shape style="position:absolute;left:3599;top:1864;width:222;height:166" type="#_x0000_t75" id="docshape103" stroked="false">
                  <v:imagedata r:id="rId69" o:title=""/>
                </v:shape>
                <v:shape style="position:absolute;left:3851;top:1911;width:82;height:117" id="docshape104" coordorigin="3851,1911" coordsize="82,117" path="m3912,1911l3894,1911,3888,1913,3879,1918,3874,1922,3871,1928,3871,1914,3851,1914,3852,1928,3852,2028,3871,2028,3871,1946,3873,1939,3881,1929,3887,1926,3901,1926,3905,1928,3911,1936,3913,1942,3913,2028,3932,2028,3932,1948,3932,1935,3930,1926,3920,1914,3912,1911xe" filled="true" fillcolor="#231f20" stroked="false">
                  <v:path arrowok="t"/>
                  <v:fill type="solid"/>
                </v:shape>
                <v:shape style="position:absolute;left:3964;top:1864;width:260;height:166" type="#_x0000_t75" id="docshape105" stroked="false">
                  <v:imagedata r:id="rId70" o:title=""/>
                </v:shape>
                <v:shape style="position:absolute;left:4288;top:1861;width:536;height:169" type="#_x0000_t75" id="docshape106" stroked="false">
                  <v:imagedata r:id="rId71" o:title=""/>
                </v:shape>
                <w10:wrap type="topAndBottom"/>
              </v:group>
            </w:pict>
          </mc:Fallback>
        </mc:AlternateContent>
      </w:r>
    </w:p>
    <w:p>
      <w:pPr>
        <w:pStyle w:val="BodyText"/>
        <w:spacing w:before="51"/>
        <w:ind w:left="0"/>
      </w:pPr>
    </w:p>
    <w:p>
      <w:pPr>
        <w:pStyle w:val="BodyText"/>
        <w:spacing w:before="6"/>
        <w:ind w:left="0"/>
        <w:rPr>
          <w:sz w:val="7"/>
        </w:rPr>
      </w:pPr>
    </w:p>
    <w:p>
      <w:pPr>
        <w:pStyle w:val="BodyText"/>
        <w:spacing w:before="6"/>
        <w:ind w:left="0"/>
        <w:rPr>
          <w:sz w:val="7"/>
        </w:rPr>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94"/>
        <w:ind w:left="0"/>
      </w:pPr>
      <w:r>
        <w:rPr/>
        <w:drawing>
          <wp:anchor distT="0" distB="0" distL="0" distR="0" allowOverlap="1" layoutInCell="1" locked="0" behindDoc="1" simplePos="0" relativeHeight="487600640">
            <wp:simplePos x="0" y="0"/>
            <wp:positionH relativeFrom="page">
              <wp:posOffset>1760853</wp:posOffset>
            </wp:positionH>
            <wp:positionV relativeFrom="paragraph">
              <wp:posOffset>221321</wp:posOffset>
            </wp:positionV>
            <wp:extent cx="1404440" cy="533400"/>
            <wp:effectExtent l="0" t="0" r="0" b="0"/>
            <wp:wrapTopAndBottom/>
            <wp:docPr id="110" name="Image 110"/>
            <wp:cNvGraphicFramePr>
              <a:graphicFrameLocks/>
            </wp:cNvGraphicFramePr>
            <a:graphic>
              <a:graphicData uri="http://schemas.openxmlformats.org/drawingml/2006/picture">
                <pic:pic>
                  <pic:nvPicPr>
                    <pic:cNvPr id="110" name="Image 110"/>
                    <pic:cNvPicPr/>
                  </pic:nvPicPr>
                  <pic:blipFill>
                    <a:blip r:embed="rId72" cstate="print"/>
                    <a:stretch>
                      <a:fillRect/>
                    </a:stretch>
                  </pic:blipFill>
                  <pic:spPr>
                    <a:xfrm>
                      <a:off x="0" y="0"/>
                      <a:ext cx="1404440" cy="533400"/>
                    </a:xfrm>
                    <a:prstGeom prst="rect">
                      <a:avLst/>
                    </a:prstGeom>
                  </pic:spPr>
                </pic:pic>
              </a:graphicData>
            </a:graphic>
          </wp:anchor>
        </w:drawing>
      </w:r>
      <w:r>
        <w:rPr/>
        <mc:AlternateContent>
          <mc:Choice Requires="wps">
            <w:drawing>
              <wp:anchor distT="0" distB="0" distL="0" distR="0" allowOverlap="1" layoutInCell="1" locked="0" behindDoc="1" simplePos="0" relativeHeight="487601152">
                <wp:simplePos x="0" y="0"/>
                <wp:positionH relativeFrom="page">
                  <wp:posOffset>1193608</wp:posOffset>
                </wp:positionH>
                <wp:positionV relativeFrom="paragraph">
                  <wp:posOffset>956077</wp:posOffset>
                </wp:positionV>
                <wp:extent cx="2543810" cy="542290"/>
                <wp:effectExtent l="0" t="0" r="0" b="0"/>
                <wp:wrapTopAndBottom/>
                <wp:docPr id="111" name="Group 111"/>
                <wp:cNvGraphicFramePr>
                  <a:graphicFrameLocks/>
                </wp:cNvGraphicFramePr>
                <a:graphic>
                  <a:graphicData uri="http://schemas.microsoft.com/office/word/2010/wordprocessingGroup">
                    <wpg:wgp>
                      <wpg:cNvPr id="111" name="Group 111"/>
                      <wpg:cNvGrpSpPr/>
                      <wpg:grpSpPr>
                        <a:xfrm>
                          <a:off x="0" y="0"/>
                          <a:ext cx="2543810" cy="542290"/>
                          <a:chExt cx="2543810" cy="542290"/>
                        </a:xfrm>
                      </wpg:grpSpPr>
                      <wps:wsp>
                        <wps:cNvPr id="112" name="Graphic 112"/>
                        <wps:cNvSpPr/>
                        <wps:spPr>
                          <a:xfrm>
                            <a:off x="806886" y="0"/>
                            <a:ext cx="11430" cy="91440"/>
                          </a:xfrm>
                          <a:custGeom>
                            <a:avLst/>
                            <a:gdLst/>
                            <a:ahLst/>
                            <a:cxnLst/>
                            <a:rect l="l" t="t" r="r" b="b"/>
                            <a:pathLst>
                              <a:path w="11430" h="91440">
                                <a:moveTo>
                                  <a:pt x="11173" y="0"/>
                                </a:moveTo>
                                <a:lnTo>
                                  <a:pt x="0" y="0"/>
                                </a:lnTo>
                                <a:lnTo>
                                  <a:pt x="0" y="90929"/>
                                </a:lnTo>
                                <a:lnTo>
                                  <a:pt x="11173" y="90929"/>
                                </a:lnTo>
                                <a:lnTo>
                                  <a:pt x="11173" y="0"/>
                                </a:lnTo>
                                <a:close/>
                              </a:path>
                            </a:pathLst>
                          </a:custGeom>
                          <a:solidFill>
                            <a:srgbClr val="231F20"/>
                          </a:solidFill>
                        </wps:spPr>
                        <wps:bodyPr wrap="square" lIns="0" tIns="0" rIns="0" bIns="0" rtlCol="0">
                          <a:prstTxWarp prst="textNoShape">
                            <a:avLst/>
                          </a:prstTxWarp>
                          <a:noAutofit/>
                        </wps:bodyPr>
                      </wps:wsp>
                      <pic:pic>
                        <pic:nvPicPr>
                          <pic:cNvPr id="113" name="Image 113"/>
                          <pic:cNvPicPr/>
                        </pic:nvPicPr>
                        <pic:blipFill>
                          <a:blip r:embed="rId73" cstate="print"/>
                          <a:stretch>
                            <a:fillRect/>
                          </a:stretch>
                        </pic:blipFill>
                        <pic:spPr>
                          <a:xfrm>
                            <a:off x="0" y="0"/>
                            <a:ext cx="2543660" cy="541828"/>
                          </a:xfrm>
                          <a:prstGeom prst="rect">
                            <a:avLst/>
                          </a:prstGeom>
                        </pic:spPr>
                      </pic:pic>
                    </wpg:wgp>
                  </a:graphicData>
                </a:graphic>
              </wp:anchor>
            </w:drawing>
          </mc:Choice>
          <mc:Fallback>
            <w:pict>
              <v:group style="position:absolute;margin-left:93.984901pt;margin-top:75.281693pt;width:200.3pt;height:42.7pt;mso-position-horizontal-relative:page;mso-position-vertical-relative:paragraph;z-index:-15715328;mso-wrap-distance-left:0;mso-wrap-distance-right:0" id="docshapegroup107" coordorigin="1880,1506" coordsize="4006,854">
                <v:rect style="position:absolute;left:3150;top:1505;width:18;height:144" id="docshape108" filled="true" fillcolor="#231f20" stroked="false">
                  <v:fill type="solid"/>
                </v:rect>
                <v:shape style="position:absolute;left:1879;top:1505;width:4006;height:854" type="#_x0000_t75" id="docshape109" stroked="false">
                  <v:imagedata r:id="rId73" o:title=""/>
                </v:shape>
                <w10:wrap type="topAndBottom"/>
              </v:group>
            </w:pict>
          </mc:Fallback>
        </mc:AlternateContent>
      </w:r>
      <w:r>
        <w:rPr/>
        <mc:AlternateContent>
          <mc:Choice Requires="wps">
            <w:drawing>
              <wp:anchor distT="0" distB="0" distL="0" distR="0" allowOverlap="1" layoutInCell="1" locked="0" behindDoc="1" simplePos="0" relativeHeight="487601664">
                <wp:simplePos x="0" y="0"/>
                <wp:positionH relativeFrom="page">
                  <wp:posOffset>820987</wp:posOffset>
                </wp:positionH>
                <wp:positionV relativeFrom="paragraph">
                  <wp:posOffset>1720209</wp:posOffset>
                </wp:positionV>
                <wp:extent cx="2439670" cy="25146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2439670" cy="251460"/>
                          <a:chExt cx="2439670" cy="251460"/>
                        </a:xfrm>
                      </wpg:grpSpPr>
                      <wps:wsp>
                        <wps:cNvPr id="115" name="Graphic 115"/>
                        <wps:cNvSpPr/>
                        <wps:spPr>
                          <a:xfrm>
                            <a:off x="-8" y="131838"/>
                            <a:ext cx="213995" cy="93980"/>
                          </a:xfrm>
                          <a:custGeom>
                            <a:avLst/>
                            <a:gdLst/>
                            <a:ahLst/>
                            <a:cxnLst/>
                            <a:rect l="l" t="t" r="r" b="b"/>
                            <a:pathLst>
                              <a:path w="213995" h="93980">
                                <a:moveTo>
                                  <a:pt x="70396" y="22034"/>
                                </a:moveTo>
                                <a:lnTo>
                                  <a:pt x="69481" y="17843"/>
                                </a:lnTo>
                                <a:lnTo>
                                  <a:pt x="66014" y="10807"/>
                                </a:lnTo>
                                <a:lnTo>
                                  <a:pt x="65747" y="10261"/>
                                </a:lnTo>
                                <a:lnTo>
                                  <a:pt x="63271" y="7302"/>
                                </a:lnTo>
                                <a:lnTo>
                                  <a:pt x="57785" y="3530"/>
                                </a:lnTo>
                                <a:lnTo>
                                  <a:pt x="57785" y="23126"/>
                                </a:lnTo>
                                <a:lnTo>
                                  <a:pt x="57785" y="32308"/>
                                </a:lnTo>
                                <a:lnTo>
                                  <a:pt x="56134" y="36423"/>
                                </a:lnTo>
                                <a:lnTo>
                                  <a:pt x="49504" y="42303"/>
                                </a:lnTo>
                                <a:lnTo>
                                  <a:pt x="43929" y="43764"/>
                                </a:lnTo>
                                <a:lnTo>
                                  <a:pt x="12230" y="43764"/>
                                </a:lnTo>
                                <a:lnTo>
                                  <a:pt x="12230" y="10807"/>
                                </a:lnTo>
                                <a:lnTo>
                                  <a:pt x="41313" y="10807"/>
                                </a:lnTo>
                                <a:lnTo>
                                  <a:pt x="57785" y="23126"/>
                                </a:lnTo>
                                <a:lnTo>
                                  <a:pt x="57785" y="3530"/>
                                </a:lnTo>
                                <a:lnTo>
                                  <a:pt x="57137" y="3073"/>
                                </a:lnTo>
                                <a:lnTo>
                                  <a:pt x="53340" y="1638"/>
                                </a:lnTo>
                                <a:lnTo>
                                  <a:pt x="48818" y="889"/>
                                </a:lnTo>
                                <a:lnTo>
                                  <a:pt x="45580" y="304"/>
                                </a:lnTo>
                                <a:lnTo>
                                  <a:pt x="40906" y="0"/>
                                </a:lnTo>
                                <a:lnTo>
                                  <a:pt x="0" y="0"/>
                                </a:lnTo>
                                <a:lnTo>
                                  <a:pt x="0" y="92151"/>
                                </a:lnTo>
                                <a:lnTo>
                                  <a:pt x="12230" y="92151"/>
                                </a:lnTo>
                                <a:lnTo>
                                  <a:pt x="12230" y="54571"/>
                                </a:lnTo>
                                <a:lnTo>
                                  <a:pt x="35864" y="54571"/>
                                </a:lnTo>
                                <a:lnTo>
                                  <a:pt x="70396" y="34404"/>
                                </a:lnTo>
                                <a:lnTo>
                                  <a:pt x="70396" y="22034"/>
                                </a:lnTo>
                                <a:close/>
                              </a:path>
                              <a:path w="213995" h="93980">
                                <a:moveTo>
                                  <a:pt x="138214" y="25361"/>
                                </a:moveTo>
                                <a:lnTo>
                                  <a:pt x="126885" y="25361"/>
                                </a:lnTo>
                                <a:lnTo>
                                  <a:pt x="126885" y="66751"/>
                                </a:lnTo>
                                <a:lnTo>
                                  <a:pt x="126263" y="71107"/>
                                </a:lnTo>
                                <a:lnTo>
                                  <a:pt x="123799" y="77076"/>
                                </a:lnTo>
                                <a:lnTo>
                                  <a:pt x="121704" y="79451"/>
                                </a:lnTo>
                                <a:lnTo>
                                  <a:pt x="115785" y="82931"/>
                                </a:lnTo>
                                <a:lnTo>
                                  <a:pt x="112610" y="83781"/>
                                </a:lnTo>
                                <a:lnTo>
                                  <a:pt x="105829" y="83781"/>
                                </a:lnTo>
                                <a:lnTo>
                                  <a:pt x="95491" y="68211"/>
                                </a:lnTo>
                                <a:lnTo>
                                  <a:pt x="95491" y="25361"/>
                                </a:lnTo>
                                <a:lnTo>
                                  <a:pt x="84162" y="25361"/>
                                </a:lnTo>
                                <a:lnTo>
                                  <a:pt x="84162" y="71488"/>
                                </a:lnTo>
                                <a:lnTo>
                                  <a:pt x="84404" y="75018"/>
                                </a:lnTo>
                                <a:lnTo>
                                  <a:pt x="102997" y="93560"/>
                                </a:lnTo>
                                <a:lnTo>
                                  <a:pt x="115824" y="93560"/>
                                </a:lnTo>
                                <a:lnTo>
                                  <a:pt x="122859" y="89789"/>
                                </a:lnTo>
                                <a:lnTo>
                                  <a:pt x="128054" y="82219"/>
                                </a:lnTo>
                                <a:lnTo>
                                  <a:pt x="128054" y="92151"/>
                                </a:lnTo>
                                <a:lnTo>
                                  <a:pt x="138214" y="92151"/>
                                </a:lnTo>
                                <a:lnTo>
                                  <a:pt x="138214" y="25361"/>
                                </a:lnTo>
                                <a:close/>
                              </a:path>
                              <a:path w="213995" h="93980">
                                <a:moveTo>
                                  <a:pt x="213779" y="52946"/>
                                </a:moveTo>
                                <a:lnTo>
                                  <a:pt x="213118" y="48412"/>
                                </a:lnTo>
                                <a:lnTo>
                                  <a:pt x="211759" y="44208"/>
                                </a:lnTo>
                                <a:lnTo>
                                  <a:pt x="210439" y="39979"/>
                                </a:lnTo>
                                <a:lnTo>
                                  <a:pt x="208572" y="36385"/>
                                </a:lnTo>
                                <a:lnTo>
                                  <a:pt x="206070" y="33210"/>
                                </a:lnTo>
                                <a:lnTo>
                                  <a:pt x="205816" y="32880"/>
                                </a:lnTo>
                                <a:lnTo>
                                  <a:pt x="203835" y="30403"/>
                                </a:lnTo>
                                <a:lnTo>
                                  <a:pt x="202196" y="29133"/>
                                </a:lnTo>
                                <a:lnTo>
                                  <a:pt x="202196" y="49987"/>
                                </a:lnTo>
                                <a:lnTo>
                                  <a:pt x="202196" y="67183"/>
                                </a:lnTo>
                                <a:lnTo>
                                  <a:pt x="200393" y="73571"/>
                                </a:lnTo>
                                <a:lnTo>
                                  <a:pt x="193205" y="82156"/>
                                </a:lnTo>
                                <a:lnTo>
                                  <a:pt x="188950" y="84302"/>
                                </a:lnTo>
                                <a:lnTo>
                                  <a:pt x="177914" y="84302"/>
                                </a:lnTo>
                                <a:lnTo>
                                  <a:pt x="176999" y="83743"/>
                                </a:lnTo>
                                <a:lnTo>
                                  <a:pt x="173113" y="81381"/>
                                </a:lnTo>
                                <a:lnTo>
                                  <a:pt x="167386" y="72009"/>
                                </a:lnTo>
                                <a:lnTo>
                                  <a:pt x="166293" y="66243"/>
                                </a:lnTo>
                                <a:lnTo>
                                  <a:pt x="166331" y="49987"/>
                                </a:lnTo>
                                <a:lnTo>
                                  <a:pt x="168021" y="44208"/>
                                </a:lnTo>
                                <a:lnTo>
                                  <a:pt x="168097" y="43929"/>
                                </a:lnTo>
                                <a:lnTo>
                                  <a:pt x="175285" y="35356"/>
                                </a:lnTo>
                                <a:lnTo>
                                  <a:pt x="179552" y="33210"/>
                                </a:lnTo>
                                <a:lnTo>
                                  <a:pt x="189395" y="33210"/>
                                </a:lnTo>
                                <a:lnTo>
                                  <a:pt x="193636" y="35356"/>
                                </a:lnTo>
                                <a:lnTo>
                                  <a:pt x="200482" y="43561"/>
                                </a:lnTo>
                                <a:lnTo>
                                  <a:pt x="202196" y="49987"/>
                                </a:lnTo>
                                <a:lnTo>
                                  <a:pt x="202196" y="29133"/>
                                </a:lnTo>
                                <a:lnTo>
                                  <a:pt x="200825" y="28054"/>
                                </a:lnTo>
                                <a:lnTo>
                                  <a:pt x="193497" y="24752"/>
                                </a:lnTo>
                                <a:lnTo>
                                  <a:pt x="189585" y="23939"/>
                                </a:lnTo>
                                <a:lnTo>
                                  <a:pt x="178066" y="23939"/>
                                </a:lnTo>
                                <a:lnTo>
                                  <a:pt x="171983" y="26924"/>
                                </a:lnTo>
                                <a:lnTo>
                                  <a:pt x="167195" y="32880"/>
                                </a:lnTo>
                                <a:lnTo>
                                  <a:pt x="167195" y="0"/>
                                </a:lnTo>
                                <a:lnTo>
                                  <a:pt x="155867" y="0"/>
                                </a:lnTo>
                                <a:lnTo>
                                  <a:pt x="155867" y="92151"/>
                                </a:lnTo>
                                <a:lnTo>
                                  <a:pt x="166420" y="92151"/>
                                </a:lnTo>
                                <a:lnTo>
                                  <a:pt x="166420" y="83743"/>
                                </a:lnTo>
                                <a:lnTo>
                                  <a:pt x="170903" y="90284"/>
                                </a:lnTo>
                                <a:lnTo>
                                  <a:pt x="177088" y="93560"/>
                                </a:lnTo>
                                <a:lnTo>
                                  <a:pt x="192874" y="93560"/>
                                </a:lnTo>
                                <a:lnTo>
                                  <a:pt x="199644" y="90449"/>
                                </a:lnTo>
                                <a:lnTo>
                                  <a:pt x="205232" y="84302"/>
                                </a:lnTo>
                                <a:lnTo>
                                  <a:pt x="213741" y="58254"/>
                                </a:lnTo>
                                <a:lnTo>
                                  <a:pt x="213779" y="52946"/>
                                </a:lnTo>
                                <a:close/>
                              </a:path>
                            </a:pathLst>
                          </a:custGeom>
                          <a:solidFill>
                            <a:srgbClr val="231F20"/>
                          </a:solidFill>
                        </wps:spPr>
                        <wps:bodyPr wrap="square" lIns="0" tIns="0" rIns="0" bIns="0" rtlCol="0">
                          <a:prstTxWarp prst="textNoShape">
                            <a:avLst/>
                          </a:prstTxWarp>
                          <a:noAutofit/>
                        </wps:bodyPr>
                      </wps:wsp>
                      <pic:pic>
                        <pic:nvPicPr>
                          <pic:cNvPr id="116" name="Image 116"/>
                          <pic:cNvPicPr/>
                        </pic:nvPicPr>
                        <pic:blipFill>
                          <a:blip r:embed="rId74" cstate="print"/>
                          <a:stretch>
                            <a:fillRect/>
                          </a:stretch>
                        </pic:blipFill>
                        <pic:spPr>
                          <a:xfrm>
                            <a:off x="227314" y="0"/>
                            <a:ext cx="2183046" cy="251006"/>
                          </a:xfrm>
                          <a:prstGeom prst="rect">
                            <a:avLst/>
                          </a:prstGeom>
                        </pic:spPr>
                      </pic:pic>
                      <wps:wsp>
                        <wps:cNvPr id="117" name="Graphic 117"/>
                        <wps:cNvSpPr/>
                        <wps:spPr>
                          <a:xfrm>
                            <a:off x="2425931" y="211112"/>
                            <a:ext cx="13970" cy="31750"/>
                          </a:xfrm>
                          <a:custGeom>
                            <a:avLst/>
                            <a:gdLst/>
                            <a:ahLst/>
                            <a:cxnLst/>
                            <a:rect l="l" t="t" r="r" b="b"/>
                            <a:pathLst>
                              <a:path w="13970" h="31750">
                                <a:moveTo>
                                  <a:pt x="13641" y="0"/>
                                </a:moveTo>
                                <a:lnTo>
                                  <a:pt x="774" y="0"/>
                                </a:lnTo>
                                <a:lnTo>
                                  <a:pt x="774" y="12868"/>
                                </a:lnTo>
                                <a:lnTo>
                                  <a:pt x="7185" y="12868"/>
                                </a:lnTo>
                                <a:lnTo>
                                  <a:pt x="7056" y="16689"/>
                                </a:lnTo>
                                <a:lnTo>
                                  <a:pt x="6416" y="19604"/>
                                </a:lnTo>
                                <a:lnTo>
                                  <a:pt x="4161" y="23658"/>
                                </a:lnTo>
                                <a:lnTo>
                                  <a:pt x="2401" y="25203"/>
                                </a:lnTo>
                                <a:lnTo>
                                  <a:pt x="0" y="26254"/>
                                </a:lnTo>
                                <a:lnTo>
                                  <a:pt x="3088" y="31142"/>
                                </a:lnTo>
                                <a:lnTo>
                                  <a:pt x="6757" y="29555"/>
                                </a:lnTo>
                                <a:lnTo>
                                  <a:pt x="9439" y="27283"/>
                                </a:lnTo>
                                <a:lnTo>
                                  <a:pt x="12805" y="21447"/>
                                </a:lnTo>
                                <a:lnTo>
                                  <a:pt x="13641" y="17611"/>
                                </a:lnTo>
                                <a:lnTo>
                                  <a:pt x="13641"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64.644699pt;margin-top:135.449585pt;width:192.1pt;height:19.8pt;mso-position-horizontal-relative:page;mso-position-vertical-relative:paragraph;z-index:-15714816;mso-wrap-distance-left:0;mso-wrap-distance-right:0" id="docshapegroup110" coordorigin="1293,2709" coordsize="3842,396">
                <v:shape style="position:absolute;left:1292;top:2916;width:337;height:148" id="docshape111" coordorigin="1293,2917" coordsize="337,148" path="m1404,2951l1402,2945,1397,2934,1396,2933,1393,2928,1384,2922,1384,2953,1384,2967,1381,2974,1371,2983,1362,2986,1312,2986,1312,2934,1358,2934,1364,2934,1367,2935,1372,2936,1376,2939,1382,2948,1384,2953,1384,2922,1383,2921,1377,2919,1370,2918,1365,2917,1357,2917,1293,2917,1293,3062,1312,3062,1312,3003,1349,3003,1364,3002,1375,2999,1385,2995,1392,2990,1396,2986,1400,2981,1404,2971,1404,2951xm1511,2957l1493,2957,1493,3022,1492,3029,1488,3038,1485,3042,1475,3047,1470,3049,1460,3049,1455,3047,1448,3042,1445,3038,1444,3030,1443,3024,1443,2957,1425,2957,1425,3029,1426,3035,1428,3043,1429,3048,1435,3055,1439,3058,1449,3063,1455,3064,1475,3064,1486,3058,1495,3046,1495,3062,1511,3062,1511,2957xm1630,3000l1629,2993,1626,2986,1624,2980,1621,2974,1617,2969,1617,2968,1614,2964,1611,2962,1611,2995,1611,3022,1608,3032,1597,3046,1590,3049,1573,3049,1572,3048,1566,3045,1556,3030,1555,3021,1555,2995,1557,2986,1558,2986,1569,2972,1576,2969,1591,2969,1598,2972,1609,2985,1611,2995,1611,2962,1609,2961,1598,2956,1591,2954,1573,2954,1564,2959,1556,2968,1556,2917,1538,2917,1538,3062,1555,3062,1555,3048,1562,3059,1572,3064,1597,3064,1607,3059,1616,3049,1616,3049,1622,3041,1626,3031,1629,3021,1629,3020,1629,3008,1630,3000xe" filled="true" fillcolor="#231f20" stroked="false">
                  <v:path arrowok="t"/>
                  <v:fill type="solid"/>
                </v:shape>
                <v:shape style="position:absolute;left:1650;top:2709;width:3438;height:396" type="#_x0000_t75" id="docshape112" stroked="false">
                  <v:imagedata r:id="rId74" o:title=""/>
                </v:shape>
                <v:shape style="position:absolute;left:5113;top:3041;width:22;height:50" id="docshape113" coordorigin="5113,3041" coordsize="22,50" path="m5135,3041l5114,3041,5114,3062,5125,3062,5124,3068,5123,3072,5120,3079,5117,3081,5113,3083,5118,3090,5124,3088,5128,3084,5133,3075,5135,3069,5135,3041xe" filled="true" fillcolor="#231f20"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602176">
                <wp:simplePos x="0" y="0"/>
                <wp:positionH relativeFrom="page">
                  <wp:posOffset>3317659</wp:posOffset>
                </wp:positionH>
                <wp:positionV relativeFrom="paragraph">
                  <wp:posOffset>1851661</wp:posOffset>
                </wp:positionV>
                <wp:extent cx="740410" cy="94615"/>
                <wp:effectExtent l="0" t="0" r="0" b="0"/>
                <wp:wrapTopAndBottom/>
                <wp:docPr id="118" name="Group 118"/>
                <wp:cNvGraphicFramePr>
                  <a:graphicFrameLocks/>
                </wp:cNvGraphicFramePr>
                <a:graphic>
                  <a:graphicData uri="http://schemas.microsoft.com/office/word/2010/wordprocessingGroup">
                    <wpg:wgp>
                      <wpg:cNvPr id="118" name="Group 118"/>
                      <wpg:cNvGrpSpPr/>
                      <wpg:grpSpPr>
                        <a:xfrm>
                          <a:off x="0" y="0"/>
                          <a:ext cx="740410" cy="94615"/>
                          <a:chExt cx="740410" cy="94615"/>
                        </a:xfrm>
                      </wpg:grpSpPr>
                      <pic:pic>
                        <pic:nvPicPr>
                          <pic:cNvPr id="119" name="Image 119"/>
                          <pic:cNvPicPr/>
                        </pic:nvPicPr>
                        <pic:blipFill>
                          <a:blip r:embed="rId75" cstate="print"/>
                          <a:stretch>
                            <a:fillRect/>
                          </a:stretch>
                        </pic:blipFill>
                        <pic:spPr>
                          <a:xfrm>
                            <a:off x="0" y="0"/>
                            <a:ext cx="374087" cy="93944"/>
                          </a:xfrm>
                          <a:prstGeom prst="rect">
                            <a:avLst/>
                          </a:prstGeom>
                        </pic:spPr>
                      </pic:pic>
                      <wps:wsp>
                        <wps:cNvPr id="120" name="Graphic 120"/>
                        <wps:cNvSpPr/>
                        <wps:spPr>
                          <a:xfrm>
                            <a:off x="402145" y="0"/>
                            <a:ext cx="34290" cy="92710"/>
                          </a:xfrm>
                          <a:custGeom>
                            <a:avLst/>
                            <a:gdLst/>
                            <a:ahLst/>
                            <a:cxnLst/>
                            <a:rect l="l" t="t" r="r" b="b"/>
                            <a:pathLst>
                              <a:path w="34290" h="92710">
                                <a:moveTo>
                                  <a:pt x="33972" y="0"/>
                                </a:moveTo>
                                <a:lnTo>
                                  <a:pt x="26682" y="0"/>
                                </a:lnTo>
                                <a:lnTo>
                                  <a:pt x="24706" y="3987"/>
                                </a:lnTo>
                                <a:lnTo>
                                  <a:pt x="21341" y="8084"/>
                                </a:lnTo>
                                <a:lnTo>
                                  <a:pt x="11861" y="16559"/>
                                </a:lnTo>
                                <a:lnTo>
                                  <a:pt x="6324" y="20162"/>
                                </a:lnTo>
                                <a:lnTo>
                                  <a:pt x="0" y="23121"/>
                                </a:lnTo>
                                <a:lnTo>
                                  <a:pt x="0" y="34058"/>
                                </a:lnTo>
                                <a:lnTo>
                                  <a:pt x="22647" y="20419"/>
                                </a:lnTo>
                                <a:lnTo>
                                  <a:pt x="22647" y="92529"/>
                                </a:lnTo>
                                <a:lnTo>
                                  <a:pt x="33972" y="92529"/>
                                </a:lnTo>
                                <a:lnTo>
                                  <a:pt x="33972" y="0"/>
                                </a:lnTo>
                                <a:close/>
                              </a:path>
                            </a:pathLst>
                          </a:custGeom>
                          <a:solidFill>
                            <a:srgbClr val="231F20"/>
                          </a:solidFill>
                        </wps:spPr>
                        <wps:bodyPr wrap="square" lIns="0" tIns="0" rIns="0" bIns="0" rtlCol="0">
                          <a:prstTxWarp prst="textNoShape">
                            <a:avLst/>
                          </a:prstTxWarp>
                          <a:noAutofit/>
                        </wps:bodyPr>
                      </wps:wsp>
                      <pic:pic>
                        <pic:nvPicPr>
                          <pic:cNvPr id="121" name="Image 121"/>
                          <pic:cNvPicPr/>
                        </pic:nvPicPr>
                        <pic:blipFill>
                          <a:blip r:embed="rId76" cstate="print"/>
                          <a:stretch>
                            <a:fillRect/>
                          </a:stretch>
                        </pic:blipFill>
                        <pic:spPr>
                          <a:xfrm>
                            <a:off x="465227" y="0"/>
                            <a:ext cx="275079" cy="94075"/>
                          </a:xfrm>
                          <a:prstGeom prst="rect">
                            <a:avLst/>
                          </a:prstGeom>
                        </pic:spPr>
                      </pic:pic>
                    </wpg:wgp>
                  </a:graphicData>
                </a:graphic>
              </wp:anchor>
            </w:drawing>
          </mc:Choice>
          <mc:Fallback>
            <w:pict>
              <v:group style="position:absolute;margin-left:261.233002pt;margin-top:145.800095pt;width:58.3pt;height:7.45pt;mso-position-horizontal-relative:page;mso-position-vertical-relative:paragraph;z-index:-15714304;mso-wrap-distance-left:0;mso-wrap-distance-right:0" id="docshapegroup114" coordorigin="5225,2916" coordsize="1166,149">
                <v:shape style="position:absolute;left:5224;top:2916;width:590;height:148" type="#_x0000_t75" id="docshape115" stroked="false">
                  <v:imagedata r:id="rId75" o:title=""/>
                </v:shape>
                <v:shape style="position:absolute;left:5857;top:2916;width:54;height:146" id="docshape116" coordorigin="5858,2916" coordsize="54,146" path="m5911,2916l5900,2916,5897,2922,5892,2929,5877,2942,5868,2948,5858,2952,5858,2970,5894,2948,5894,3062,5911,3062,5911,2916xe" filled="true" fillcolor="#231f20" stroked="false">
                  <v:path arrowok="t"/>
                  <v:fill type="solid"/>
                </v:shape>
                <v:shape style="position:absolute;left:5957;top:2916;width:434;height:149" type="#_x0000_t75" id="docshape117" stroked="false">
                  <v:imagedata r:id="rId76" o:title=""/>
                </v:shape>
                <w10:wrap type="topAndBottom"/>
              </v:group>
            </w:pict>
          </mc:Fallback>
        </mc:AlternateContent>
      </w:r>
    </w:p>
    <w:p>
      <w:pPr>
        <w:pStyle w:val="BodyText"/>
        <w:spacing w:before="63"/>
        <w:ind w:left="0"/>
      </w:pPr>
    </w:p>
    <w:p>
      <w:pPr>
        <w:pStyle w:val="BodyText"/>
        <w:spacing w:before="96"/>
        <w:ind w:left="0"/>
      </w:pPr>
    </w:p>
    <w:p>
      <w:pPr>
        <w:pStyle w:val="BodyText"/>
        <w:spacing w:after="0"/>
        <w:sectPr>
          <w:pgSz w:w="7920" w:h="12240"/>
          <w:pgMar w:top="660" w:bottom="280" w:left="1080" w:right="1080"/>
        </w:sectPr>
      </w:pPr>
    </w:p>
    <w:p>
      <w:pPr>
        <w:pStyle w:val="BodyText"/>
        <w:ind w:left="0"/>
        <w:rPr>
          <w:sz w:val="32"/>
        </w:rPr>
      </w:pPr>
    </w:p>
    <w:p>
      <w:pPr>
        <w:pStyle w:val="BodyText"/>
        <w:ind w:left="0"/>
        <w:rPr>
          <w:sz w:val="32"/>
        </w:rPr>
      </w:pPr>
    </w:p>
    <w:p>
      <w:pPr>
        <w:pStyle w:val="BodyText"/>
        <w:ind w:left="0"/>
        <w:rPr>
          <w:sz w:val="32"/>
        </w:rPr>
      </w:pPr>
    </w:p>
    <w:p>
      <w:pPr>
        <w:pStyle w:val="BodyText"/>
        <w:ind w:left="0"/>
        <w:rPr>
          <w:sz w:val="32"/>
        </w:rPr>
      </w:pPr>
    </w:p>
    <w:p>
      <w:pPr>
        <w:pStyle w:val="BodyText"/>
        <w:ind w:left="0"/>
        <w:rPr>
          <w:sz w:val="32"/>
        </w:rPr>
      </w:pPr>
    </w:p>
    <w:p>
      <w:pPr>
        <w:pStyle w:val="BodyText"/>
        <w:ind w:left="0"/>
        <w:rPr>
          <w:sz w:val="32"/>
        </w:rPr>
      </w:pPr>
    </w:p>
    <w:p>
      <w:pPr>
        <w:pStyle w:val="BodyText"/>
        <w:spacing w:before="32"/>
        <w:ind w:left="0"/>
        <w:rPr>
          <w:sz w:val="32"/>
        </w:rPr>
      </w:pPr>
    </w:p>
    <w:p>
      <w:pPr>
        <w:pStyle w:val="Heading1"/>
        <w:tabs>
          <w:tab w:pos="2212" w:val="left" w:leader="none"/>
          <w:tab w:pos="5759" w:val="left" w:leader="none"/>
        </w:tabs>
        <w:rPr>
          <w:rFonts w:ascii="Verdana"/>
        </w:rPr>
      </w:pPr>
      <w:r>
        <w:rPr>
          <w:rFonts w:ascii="Verdana"/>
        </w:rPr>
        <mc:AlternateContent>
          <mc:Choice Requires="wps">
            <w:drawing>
              <wp:anchor distT="0" distB="0" distL="0" distR="0" allowOverlap="1" layoutInCell="1" locked="0" behindDoc="0" simplePos="0" relativeHeight="15743488">
                <wp:simplePos x="0" y="0"/>
                <wp:positionH relativeFrom="page">
                  <wp:posOffset>2057400</wp:posOffset>
                </wp:positionH>
                <wp:positionV relativeFrom="paragraph">
                  <wp:posOffset>306462</wp:posOffset>
                </wp:positionV>
                <wp:extent cx="3657600" cy="7620"/>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24.130934pt;width:288.000009pt;height:.600014pt;mso-position-horizontal-relative:page;mso-position-vertical-relative:paragraph;z-index:15743488" id="docshape118" filled="true" fillcolor="#000000" stroked="false">
                <v:fill type="solid"/>
                <w10:wrap type="none"/>
              </v:rect>
            </w:pict>
          </mc:Fallback>
        </mc:AlternateContent>
      </w:r>
      <w:r>
        <w:rPr>
          <w:rFonts w:ascii="Times New Roman"/>
          <w:b w:val="0"/>
          <w:u w:val="single"/>
        </w:rPr>
        <w:tab/>
      </w:r>
      <w:r>
        <w:rPr>
          <w:rFonts w:ascii="Verdana"/>
          <w:spacing w:val="-2"/>
          <w:w w:val="95"/>
          <w:u w:val="single"/>
        </w:rPr>
        <w:t>Contents</w:t>
      </w:r>
      <w:r>
        <w:rPr>
          <w:rFonts w:ascii="Verdana"/>
          <w:u w:val="single"/>
        </w:rPr>
        <w:tab/>
      </w:r>
    </w:p>
    <w:sdt>
      <w:sdtPr>
        <w:docPartObj>
          <w:docPartGallery w:val="Table of Contents"/>
          <w:docPartUnique/>
        </w:docPartObj>
      </w:sdtPr>
      <w:sdtEndPr/>
      <w:sdtContent>
        <w:p>
          <w:pPr>
            <w:pStyle w:val="TOC5"/>
            <w:tabs>
              <w:tab w:pos="7047" w:val="left" w:leader="none"/>
            </w:tabs>
          </w:pPr>
          <w:hyperlink w:history="true" w:anchor="_TOC_250003">
            <w:r>
              <w:rPr>
                <w:spacing w:val="-2"/>
              </w:rPr>
              <w:t>Foreword</w:t>
            </w:r>
            <w:r>
              <w:rPr>
                <w:i w:val="0"/>
              </w:rPr>
              <w:tab/>
            </w:r>
            <w:r>
              <w:rPr>
                <w:spacing w:val="-5"/>
              </w:rPr>
              <w:t>ix</w:t>
            </w:r>
          </w:hyperlink>
        </w:p>
        <w:p>
          <w:pPr>
            <w:pStyle w:val="TOC2"/>
            <w:numPr>
              <w:ilvl w:val="0"/>
              <w:numId w:val="1"/>
            </w:numPr>
            <w:tabs>
              <w:tab w:pos="2025" w:val="left" w:leader="none"/>
            </w:tabs>
            <w:spacing w:line="231" w:lineRule="exact" w:before="57" w:after="0"/>
            <w:ind w:left="2025" w:right="0" w:hanging="427"/>
            <w:jc w:val="left"/>
          </w:pPr>
          <w:r>
            <w:rPr>
              <w:spacing w:val="-4"/>
            </w:rPr>
            <w:t>The</w:t>
          </w:r>
          <w:r>
            <w:rPr>
              <w:spacing w:val="3"/>
            </w:rPr>
            <w:t> </w:t>
          </w:r>
          <w:r>
            <w:rPr>
              <w:spacing w:val="-4"/>
            </w:rPr>
            <w:t>Great</w:t>
          </w:r>
          <w:r>
            <w:rPr>
              <w:spacing w:val="3"/>
            </w:rPr>
            <w:t> </w:t>
          </w:r>
          <w:r>
            <w:rPr>
              <w:spacing w:val="-4"/>
            </w:rPr>
            <w:t>Carpet</w:t>
          </w:r>
          <w:r>
            <w:rPr>
              <w:spacing w:val="3"/>
            </w:rPr>
            <w:t> </w:t>
          </w:r>
          <w:r>
            <w:rPr>
              <w:spacing w:val="-4"/>
            </w:rPr>
            <w:t>Game:</w:t>
          </w:r>
          <w:r>
            <w:rPr>
              <w:spacing w:val="2"/>
            </w:rPr>
            <w:t> </w:t>
          </w:r>
          <w:r>
            <w:rPr>
              <w:spacing w:val="-4"/>
            </w:rPr>
            <w:t>Politics,</w:t>
          </w:r>
          <w:r>
            <w:rPr>
              <w:spacing w:val="4"/>
            </w:rPr>
            <w:t> </w:t>
          </w:r>
          <w:r>
            <w:rPr>
              <w:spacing w:val="-4"/>
            </w:rPr>
            <w:t>Performance,</w:t>
          </w:r>
          <w:r>
            <w:rPr>
              <w:spacing w:val="3"/>
            </w:rPr>
            <w:t> </w:t>
          </w:r>
          <w:r>
            <w:rPr>
              <w:spacing w:val="-5"/>
            </w:rPr>
            <w:t>and</w:t>
          </w:r>
        </w:p>
        <w:p>
          <w:pPr>
            <w:pStyle w:val="TOC6"/>
            <w:tabs>
              <w:tab w:pos="7108" w:val="left" w:leader="none"/>
            </w:tabs>
            <w:spacing w:line="231" w:lineRule="exact"/>
            <w:rPr>
              <w:rFonts w:ascii="Cambria" w:hAnsi="Cambria"/>
              <w:b w:val="0"/>
              <w:i w:val="0"/>
              <w:sz w:val="20"/>
            </w:rPr>
          </w:pPr>
          <w:r>
            <w:rPr>
              <w:rFonts w:ascii="Cambria" w:hAnsi="Cambria"/>
              <w:b w:val="0"/>
              <w:i w:val="0"/>
              <w:spacing w:val="-2"/>
              <w:sz w:val="20"/>
            </w:rPr>
            <w:t>Passion</w:t>
          </w:r>
          <w:r>
            <w:rPr>
              <w:rFonts w:ascii="Cambria" w:hAnsi="Cambria"/>
              <w:b w:val="0"/>
              <w:i w:val="0"/>
              <w:spacing w:val="-1"/>
              <w:sz w:val="20"/>
            </w:rPr>
            <w:t> </w:t>
          </w:r>
          <w:r>
            <w:rPr>
              <w:rFonts w:ascii="Cambria" w:hAnsi="Cambria"/>
              <w:b w:val="0"/>
              <w:i w:val="0"/>
              <w:spacing w:val="-2"/>
              <w:sz w:val="20"/>
            </w:rPr>
            <w:t>in</w:t>
          </w:r>
          <w:r>
            <w:rPr>
              <w:rFonts w:ascii="Cambria" w:hAnsi="Cambria"/>
              <w:b w:val="0"/>
              <w:i w:val="0"/>
              <w:spacing w:val="-8"/>
              <w:sz w:val="20"/>
            </w:rPr>
            <w:t> </w:t>
          </w:r>
          <w:r>
            <w:rPr>
              <w:rFonts w:ascii="Cambria" w:hAnsi="Cambria"/>
              <w:b w:val="0"/>
              <w:i w:val="0"/>
              <w:spacing w:val="-2"/>
              <w:sz w:val="20"/>
            </w:rPr>
            <w:t>Antony</w:t>
          </w:r>
          <w:r>
            <w:rPr>
              <w:rFonts w:ascii="Cambria" w:hAnsi="Cambria"/>
              <w:b w:val="0"/>
              <w:i w:val="0"/>
              <w:sz w:val="20"/>
            </w:rPr>
            <w:t> </w:t>
          </w:r>
          <w:r>
            <w:rPr>
              <w:rFonts w:ascii="Cambria" w:hAnsi="Cambria"/>
              <w:b w:val="0"/>
              <w:i w:val="0"/>
              <w:spacing w:val="-2"/>
              <w:sz w:val="20"/>
            </w:rPr>
            <w:t>and</w:t>
          </w:r>
          <w:r>
            <w:rPr>
              <w:rFonts w:ascii="Cambria" w:hAnsi="Cambria"/>
              <w:b w:val="0"/>
              <w:i w:val="0"/>
              <w:spacing w:val="2"/>
              <w:sz w:val="20"/>
            </w:rPr>
            <w:t> </w:t>
          </w:r>
          <w:r>
            <w:rPr>
              <w:rFonts w:ascii="Cambria" w:hAnsi="Cambria"/>
              <w:b w:val="0"/>
              <w:i w:val="0"/>
              <w:spacing w:val="-2"/>
              <w:sz w:val="20"/>
            </w:rPr>
            <w:t>Cleopatra</w:t>
          </w:r>
          <w:r>
            <w:rPr>
              <w:i w:val="0"/>
              <w:spacing w:val="-2"/>
              <w:sz w:val="20"/>
            </w:rPr>
            <w:t>—Mohit</w:t>
          </w:r>
          <w:r>
            <w:rPr>
              <w:i w:val="0"/>
              <w:spacing w:val="-4"/>
              <w:sz w:val="20"/>
            </w:rPr>
            <w:t> </w:t>
          </w:r>
          <w:r>
            <w:rPr>
              <w:i w:val="0"/>
              <w:spacing w:val="-2"/>
              <w:sz w:val="20"/>
            </w:rPr>
            <w:t>Ul</w:t>
          </w:r>
          <w:r>
            <w:rPr>
              <w:i w:val="0"/>
              <w:spacing w:val="-10"/>
              <w:sz w:val="20"/>
            </w:rPr>
            <w:t> </w:t>
          </w:r>
          <w:r>
            <w:rPr>
              <w:i w:val="0"/>
              <w:spacing w:val="-4"/>
              <w:sz w:val="20"/>
            </w:rPr>
            <w:t>Alam</w:t>
          </w:r>
          <w:r>
            <w:rPr>
              <w:b w:val="0"/>
              <w:i w:val="0"/>
              <w:sz w:val="20"/>
            </w:rPr>
            <w:tab/>
          </w:r>
          <w:r>
            <w:rPr>
              <w:rFonts w:ascii="Cambria" w:hAnsi="Cambria"/>
              <w:b w:val="0"/>
              <w:i w:val="0"/>
              <w:spacing w:val="-10"/>
              <w:sz w:val="20"/>
            </w:rPr>
            <w:t>1</w:t>
          </w:r>
        </w:p>
        <w:p>
          <w:pPr>
            <w:pStyle w:val="TOC2"/>
            <w:numPr>
              <w:ilvl w:val="0"/>
              <w:numId w:val="1"/>
            </w:numPr>
            <w:tabs>
              <w:tab w:pos="2025" w:val="left" w:leader="none"/>
            </w:tabs>
            <w:spacing w:line="232" w:lineRule="auto" w:before="57" w:after="0"/>
            <w:ind w:left="2025" w:right="2429" w:hanging="428"/>
            <w:jc w:val="left"/>
          </w:pPr>
          <w:r>
            <w:rPr>
              <w:spacing w:val="-4"/>
            </w:rPr>
            <w:t>The</w:t>
          </w:r>
          <w:r>
            <w:rPr>
              <w:spacing w:val="6"/>
            </w:rPr>
            <w:t> </w:t>
          </w:r>
          <w:r>
            <w:rPr>
              <w:spacing w:val="-4"/>
            </w:rPr>
            <w:t>Timeless</w:t>
          </w:r>
          <w:r>
            <w:rPr>
              <w:spacing w:val="7"/>
            </w:rPr>
            <w:t> </w:t>
          </w:r>
          <w:r>
            <w:rPr>
              <w:spacing w:val="-4"/>
            </w:rPr>
            <w:t>Beauty</w:t>
          </w:r>
          <w:r>
            <w:rPr>
              <w:spacing w:val="4"/>
            </w:rPr>
            <w:t> </w:t>
          </w:r>
          <w:r>
            <w:rPr>
              <w:spacing w:val="-4"/>
            </w:rPr>
            <w:t>of</w:t>
          </w:r>
          <w:r>
            <w:rPr>
              <w:spacing w:val="7"/>
            </w:rPr>
            <w:t> </w:t>
          </w:r>
          <w:r>
            <w:rPr>
              <w:spacing w:val="-4"/>
            </w:rPr>
            <w:t>Shakespeare:</w:t>
          </w:r>
          <w:r>
            <w:rPr>
              <w:spacing w:val="7"/>
            </w:rPr>
            <w:t> </w:t>
          </w:r>
          <w:r>
            <w:rPr>
              <w:spacing w:val="-4"/>
            </w:rPr>
            <w:t>Universality,</w:t>
          </w:r>
          <w:r>
            <w:rPr/>
            <w:t> Language,</w:t>
          </w:r>
          <w:r>
            <w:rPr>
              <w:spacing w:val="28"/>
            </w:rPr>
            <w:t> </w:t>
          </w:r>
          <w:r>
            <w:rPr/>
            <w:t>and</w:t>
          </w:r>
          <w:r>
            <w:rPr>
              <w:spacing w:val="32"/>
            </w:rPr>
            <w:t> </w:t>
          </w:r>
          <w:r>
            <w:rPr/>
            <w:t>the</w:t>
          </w:r>
          <w:r>
            <w:rPr>
              <w:spacing w:val="28"/>
            </w:rPr>
            <w:t> </w:t>
          </w:r>
          <w:r>
            <w:rPr/>
            <w:t>Human</w:t>
          </w:r>
          <w:r>
            <w:rPr>
              <w:spacing w:val="28"/>
            </w:rPr>
            <w:t> </w:t>
          </w:r>
          <w:r>
            <w:rPr/>
            <w:t>Condition</w:t>
          </w:r>
        </w:p>
        <w:p>
          <w:pPr>
            <w:pStyle w:val="TOC4"/>
            <w:tabs>
              <w:tab w:pos="7019" w:val="left" w:leader="none"/>
            </w:tabs>
            <w:rPr>
              <w:rFonts w:ascii="Cambria" w:hAnsi="Cambria"/>
              <w:b w:val="0"/>
            </w:rPr>
          </w:pPr>
          <w:r>
            <w:rPr>
              <w:spacing w:val="-4"/>
            </w:rPr>
            <w:t>—Dr.</w:t>
          </w:r>
          <w:r>
            <w:rPr>
              <w:spacing w:val="-2"/>
            </w:rPr>
            <w:t> </w:t>
          </w:r>
          <w:r>
            <w:rPr>
              <w:spacing w:val="-4"/>
            </w:rPr>
            <w:t>E. Ram</w:t>
          </w:r>
          <w:r>
            <w:rPr>
              <w:spacing w:val="-8"/>
            </w:rPr>
            <w:t> </w:t>
          </w:r>
          <w:r>
            <w:rPr>
              <w:spacing w:val="-4"/>
            </w:rPr>
            <w:t>Bhaskar</w:t>
          </w:r>
          <w:r>
            <w:rPr>
              <w:spacing w:val="-5"/>
            </w:rPr>
            <w:t> </w:t>
          </w:r>
          <w:r>
            <w:rPr>
              <w:spacing w:val="-4"/>
            </w:rPr>
            <w:t>Raju;</w:t>
          </w:r>
          <w:r>
            <w:rPr/>
            <w:t> </w:t>
          </w:r>
          <w:r>
            <w:rPr>
              <w:spacing w:val="-4"/>
            </w:rPr>
            <w:t>Dr.</w:t>
          </w:r>
          <w:r>
            <w:rPr>
              <w:spacing w:val="-6"/>
            </w:rPr>
            <w:t> </w:t>
          </w:r>
          <w:r>
            <w:rPr>
              <w:spacing w:val="-4"/>
            </w:rPr>
            <w:t>T.</w:t>
          </w:r>
          <w:r>
            <w:rPr>
              <w:spacing w:val="-1"/>
            </w:rPr>
            <w:t> </w:t>
          </w:r>
          <w:r>
            <w:rPr>
              <w:spacing w:val="-4"/>
            </w:rPr>
            <w:t>Kalpana</w:t>
          </w:r>
          <w:r>
            <w:rPr>
              <w:b w:val="0"/>
            </w:rPr>
            <w:tab/>
          </w:r>
          <w:r>
            <w:rPr>
              <w:rFonts w:ascii="Cambria" w:hAnsi="Cambria"/>
              <w:b w:val="0"/>
              <w:spacing w:val="-5"/>
            </w:rPr>
            <w:t>25</w:t>
          </w:r>
        </w:p>
        <w:p>
          <w:pPr>
            <w:pStyle w:val="TOC2"/>
            <w:numPr>
              <w:ilvl w:val="0"/>
              <w:numId w:val="1"/>
            </w:numPr>
            <w:tabs>
              <w:tab w:pos="2025" w:val="left" w:leader="none"/>
            </w:tabs>
            <w:spacing w:line="232" w:lineRule="auto" w:before="56" w:after="0"/>
            <w:ind w:left="2025" w:right="2365" w:hanging="428"/>
            <w:jc w:val="left"/>
          </w:pPr>
          <w:r>
            <w:rPr/>
            <w:t>Psychological Suffering</w:t>
          </w:r>
          <w:r>
            <w:rPr>
              <w:spacing w:val="10"/>
            </w:rPr>
            <w:t> </w:t>
          </w:r>
          <w:r>
            <w:rPr/>
            <w:t>and</w:t>
          </w:r>
          <w:r>
            <w:rPr>
              <w:spacing w:val="10"/>
            </w:rPr>
            <w:t> </w:t>
          </w:r>
          <w:r>
            <w:rPr/>
            <w:t>Gendered</w:t>
          </w:r>
          <w:r>
            <w:rPr>
              <w:spacing w:val="11"/>
            </w:rPr>
            <w:t> </w:t>
          </w:r>
          <w:r>
            <w:rPr/>
            <w:t>Power: </w:t>
          </w:r>
          <w:r>
            <w:rPr>
              <w:spacing w:val="-4"/>
            </w:rPr>
            <w:t>Women’s</w:t>
          </w:r>
          <w:r>
            <w:rPr>
              <w:spacing w:val="9"/>
            </w:rPr>
            <w:t> </w:t>
          </w:r>
          <w:r>
            <w:rPr>
              <w:spacing w:val="-4"/>
            </w:rPr>
            <w:t>Mental</w:t>
          </w:r>
          <w:r>
            <w:rPr>
              <w:spacing w:val="10"/>
            </w:rPr>
            <w:t> </w:t>
          </w:r>
          <w:r>
            <w:rPr>
              <w:spacing w:val="-4"/>
            </w:rPr>
            <w:t>Health</w:t>
          </w:r>
          <w:r>
            <w:rPr>
              <w:spacing w:val="8"/>
            </w:rPr>
            <w:t> </w:t>
          </w:r>
          <w:r>
            <w:rPr>
              <w:spacing w:val="-4"/>
            </w:rPr>
            <w:t>in</w:t>
          </w:r>
          <w:r>
            <w:rPr>
              <w:spacing w:val="10"/>
            </w:rPr>
            <w:t> </w:t>
          </w:r>
          <w:r>
            <w:rPr>
              <w:spacing w:val="-4"/>
            </w:rPr>
            <w:t>Shakespearean</w:t>
          </w:r>
          <w:r>
            <w:rPr>
              <w:spacing w:val="8"/>
            </w:rPr>
            <w:t> </w:t>
          </w:r>
          <w:r>
            <w:rPr>
              <w:spacing w:val="-4"/>
            </w:rPr>
            <w:t>Tragedy</w:t>
          </w:r>
        </w:p>
        <w:p>
          <w:pPr>
            <w:pStyle w:val="TOC4"/>
            <w:tabs>
              <w:tab w:pos="7019" w:val="left" w:leader="none"/>
            </w:tabs>
            <w:rPr>
              <w:rFonts w:ascii="Cambria" w:hAnsi="Cambria"/>
              <w:b w:val="0"/>
            </w:rPr>
          </w:pPr>
          <w:r>
            <w:rPr>
              <w:spacing w:val="-2"/>
            </w:rPr>
            <w:t>—P.</w:t>
          </w:r>
          <w:r>
            <w:rPr>
              <w:spacing w:val="-7"/>
            </w:rPr>
            <w:t> </w:t>
          </w:r>
          <w:r>
            <w:rPr>
              <w:spacing w:val="-2"/>
            </w:rPr>
            <w:t>Esther</w:t>
          </w:r>
          <w:r>
            <w:rPr>
              <w:spacing w:val="-7"/>
            </w:rPr>
            <w:t> </w:t>
          </w:r>
          <w:r>
            <w:rPr>
              <w:spacing w:val="-2"/>
            </w:rPr>
            <w:t>Sudha</w:t>
          </w:r>
          <w:r>
            <w:rPr>
              <w:spacing w:val="-4"/>
            </w:rPr>
            <w:t> Rani</w:t>
          </w:r>
          <w:r>
            <w:rPr>
              <w:b w:val="0"/>
            </w:rPr>
            <w:tab/>
          </w:r>
          <w:r>
            <w:rPr>
              <w:rFonts w:ascii="Cambria" w:hAnsi="Cambria"/>
              <w:b w:val="0"/>
              <w:spacing w:val="-5"/>
            </w:rPr>
            <w:t>33</w:t>
          </w:r>
        </w:p>
        <w:p>
          <w:pPr>
            <w:pStyle w:val="TOC2"/>
            <w:numPr>
              <w:ilvl w:val="0"/>
              <w:numId w:val="1"/>
            </w:numPr>
            <w:tabs>
              <w:tab w:pos="2025" w:val="left" w:leader="none"/>
            </w:tabs>
            <w:spacing w:line="232" w:lineRule="auto" w:before="57" w:after="0"/>
            <w:ind w:left="2025" w:right="1981" w:hanging="428"/>
            <w:jc w:val="left"/>
          </w:pPr>
          <w:r>
            <w:rPr/>
            <w:t>Caged Voices and Subtle</w:t>
          </w:r>
          <w:r>
            <w:rPr>
              <w:spacing w:val="7"/>
            </w:rPr>
            <w:t> </w:t>
          </w:r>
          <w:r>
            <w:rPr/>
            <w:t>Rebellions: Gendered Power </w:t>
          </w:r>
          <w:r>
            <w:rPr>
              <w:spacing w:val="-4"/>
            </w:rPr>
            <w:t>Structures</w:t>
          </w:r>
          <w:r>
            <w:rPr>
              <w:spacing w:val="3"/>
            </w:rPr>
            <w:t> </w:t>
          </w:r>
          <w:r>
            <w:rPr>
              <w:spacing w:val="-4"/>
            </w:rPr>
            <w:t>in</w:t>
          </w:r>
          <w:r>
            <w:rPr>
              <w:spacing w:val="3"/>
            </w:rPr>
            <w:t> </w:t>
          </w:r>
          <w:r>
            <w:rPr>
              <w:spacing w:val="-4"/>
            </w:rPr>
            <w:t>Shakespearean</w:t>
          </w:r>
          <w:r>
            <w:rPr>
              <w:spacing w:val="5"/>
            </w:rPr>
            <w:t> </w:t>
          </w:r>
          <w:r>
            <w:rPr>
              <w:spacing w:val="-4"/>
            </w:rPr>
            <w:t>Drama</w:t>
          </w:r>
          <w:r>
            <w:rPr>
              <w:spacing w:val="4"/>
            </w:rPr>
            <w:t> </w:t>
          </w:r>
          <w:r>
            <w:rPr>
              <w:spacing w:val="-4"/>
            </w:rPr>
            <w:t>in</w:t>
          </w:r>
          <w:r>
            <w:rPr>
              <w:spacing w:val="4"/>
            </w:rPr>
            <w:t> </w:t>
          </w:r>
          <w:r>
            <w:rPr>
              <w:spacing w:val="-4"/>
            </w:rPr>
            <w:t>the</w:t>
          </w:r>
          <w:r>
            <w:rPr>
              <w:spacing w:val="4"/>
            </w:rPr>
            <w:t> </w:t>
          </w:r>
          <w:r>
            <w:rPr>
              <w:spacing w:val="-4"/>
            </w:rPr>
            <w:t>#</w:t>
          </w:r>
          <w:r>
            <w:rPr>
              <w:spacing w:val="7"/>
            </w:rPr>
            <w:t> </w:t>
          </w:r>
          <w:r>
            <w:rPr>
              <w:spacing w:val="-4"/>
            </w:rPr>
            <w:t>MeToo</w:t>
          </w:r>
          <w:r>
            <w:rPr>
              <w:spacing w:val="5"/>
            </w:rPr>
            <w:t> </w:t>
          </w:r>
          <w:r>
            <w:rPr>
              <w:spacing w:val="-4"/>
            </w:rPr>
            <w:t>Era</w:t>
          </w:r>
        </w:p>
        <w:p>
          <w:pPr>
            <w:pStyle w:val="TOC4"/>
            <w:tabs>
              <w:tab w:pos="7019" w:val="left" w:leader="none"/>
            </w:tabs>
            <w:rPr>
              <w:rFonts w:ascii="Cambria" w:hAnsi="Cambria"/>
              <w:b w:val="0"/>
            </w:rPr>
          </w:pPr>
          <w:hyperlink w:history="true" w:anchor="_TOC_250002">
            <w:r>
              <w:rPr>
                <w:spacing w:val="-6"/>
              </w:rPr>
              <w:t>—Dr.</w:t>
            </w:r>
            <w:r>
              <w:rPr>
                <w:spacing w:val="-2"/>
              </w:rPr>
              <w:t> </w:t>
            </w:r>
            <w:r>
              <w:rPr>
                <w:spacing w:val="-6"/>
              </w:rPr>
              <w:t>Sumana</w:t>
            </w:r>
            <w:r>
              <w:rPr>
                <w:spacing w:val="-1"/>
              </w:rPr>
              <w:t> </w:t>
            </w:r>
            <w:r>
              <w:rPr>
                <w:spacing w:val="-6"/>
              </w:rPr>
              <w:t>Mukherjee</w:t>
            </w:r>
            <w:r>
              <w:rPr>
                <w:b w:val="0"/>
              </w:rPr>
              <w:tab/>
            </w:r>
            <w:r>
              <w:rPr>
                <w:rFonts w:ascii="Cambria" w:hAnsi="Cambria"/>
                <w:b w:val="0"/>
                <w:spacing w:val="-5"/>
              </w:rPr>
              <w:t>41</w:t>
            </w:r>
          </w:hyperlink>
        </w:p>
        <w:p>
          <w:pPr>
            <w:pStyle w:val="TOC3"/>
            <w:numPr>
              <w:ilvl w:val="0"/>
              <w:numId w:val="1"/>
            </w:numPr>
            <w:tabs>
              <w:tab w:pos="2025" w:val="left" w:leader="none"/>
              <w:tab w:pos="7019" w:val="left" w:leader="none"/>
            </w:tabs>
            <w:spacing w:line="232" w:lineRule="auto" w:before="57" w:after="0"/>
            <w:ind w:left="2025" w:right="1439" w:hanging="428"/>
            <w:jc w:val="left"/>
            <w:rPr>
              <w:b w:val="0"/>
              <w:i w:val="0"/>
              <w:sz w:val="20"/>
            </w:rPr>
          </w:pPr>
          <w:r>
            <w:rPr>
              <w:b w:val="0"/>
              <w:i w:val="0"/>
              <w:sz w:val="20"/>
            </w:rPr>
            <w:t>The</w:t>
          </w:r>
          <w:r>
            <w:rPr>
              <w:b w:val="0"/>
              <w:i w:val="0"/>
              <w:spacing w:val="14"/>
              <w:sz w:val="20"/>
            </w:rPr>
            <w:t> </w:t>
          </w:r>
          <w:r>
            <w:rPr>
              <w:b w:val="0"/>
              <w:i w:val="0"/>
              <w:sz w:val="20"/>
            </w:rPr>
            <w:t>‘Loyal’ Elizabethan Women in</w:t>
          </w:r>
          <w:r>
            <w:rPr>
              <w:b w:val="0"/>
              <w:i w:val="0"/>
              <w:spacing w:val="13"/>
              <w:sz w:val="20"/>
            </w:rPr>
            <w:t> </w:t>
          </w:r>
          <w:r>
            <w:rPr>
              <w:b w:val="0"/>
              <w:i w:val="0"/>
              <w:sz w:val="20"/>
            </w:rPr>
            <w:t>Shakespeare’s</w:t>
          </w:r>
          <w:r>
            <w:rPr>
              <w:b w:val="0"/>
              <w:i w:val="0"/>
              <w:spacing w:val="13"/>
              <w:sz w:val="20"/>
            </w:rPr>
            <w:t> </w:t>
          </w:r>
          <w:r>
            <w:rPr>
              <w:b w:val="0"/>
              <w:i w:val="0"/>
              <w:sz w:val="20"/>
            </w:rPr>
            <w:t>Select Tragedies</w:t>
          </w:r>
          <w:r>
            <w:rPr>
              <w:rFonts w:ascii="Times New Roman" w:hAnsi="Times New Roman"/>
              <w:i w:val="0"/>
              <w:sz w:val="20"/>
            </w:rPr>
            <w:t>—Dr. Prerana Sinha</w:t>
          </w:r>
          <w:r>
            <w:rPr>
              <w:rFonts w:ascii="Times New Roman" w:hAnsi="Times New Roman"/>
              <w:b w:val="0"/>
              <w:i w:val="0"/>
              <w:sz w:val="20"/>
            </w:rPr>
            <w:tab/>
          </w:r>
          <w:r>
            <w:rPr>
              <w:b w:val="0"/>
              <w:i w:val="0"/>
              <w:spacing w:val="-26"/>
              <w:sz w:val="20"/>
            </w:rPr>
            <w:t>52</w:t>
          </w:r>
        </w:p>
        <w:p>
          <w:pPr>
            <w:pStyle w:val="TOC2"/>
            <w:numPr>
              <w:ilvl w:val="0"/>
              <w:numId w:val="1"/>
            </w:numPr>
            <w:tabs>
              <w:tab w:pos="2025" w:val="left" w:leader="none"/>
              <w:tab w:pos="7019" w:val="left" w:leader="none"/>
            </w:tabs>
            <w:spacing w:line="232" w:lineRule="auto" w:before="59" w:after="0"/>
            <w:ind w:left="2025" w:right="1439" w:hanging="428"/>
            <w:jc w:val="left"/>
          </w:pPr>
          <w:r>
            <w:rPr/>
            <w:t>Silence,</w:t>
          </w:r>
          <w:r>
            <w:rPr>
              <w:spacing w:val="25"/>
            </w:rPr>
            <w:t> </w:t>
          </w:r>
          <w:r>
            <w:rPr/>
            <w:t>Speech,</w:t>
          </w:r>
          <w:r>
            <w:rPr>
              <w:spacing w:val="28"/>
            </w:rPr>
            <w:t> </w:t>
          </w:r>
          <w:r>
            <w:rPr/>
            <w:t>and</w:t>
          </w:r>
          <w:r>
            <w:rPr>
              <w:spacing w:val="26"/>
            </w:rPr>
            <w:t> </w:t>
          </w:r>
          <w:r>
            <w:rPr/>
            <w:t>Revenge:</w:t>
          </w:r>
          <w:r>
            <w:rPr>
              <w:spacing w:val="25"/>
            </w:rPr>
            <w:t> </w:t>
          </w:r>
          <w:r>
            <w:rPr/>
            <w:t>Women’s</w:t>
          </w:r>
          <w:r>
            <w:rPr>
              <w:spacing w:val="25"/>
            </w:rPr>
            <w:t> </w:t>
          </w:r>
          <w:r>
            <w:rPr/>
            <w:t>Responses</w:t>
          </w:r>
          <w:r>
            <w:rPr>
              <w:spacing w:val="26"/>
            </w:rPr>
            <w:t> </w:t>
          </w:r>
          <w:r>
            <w:rPr/>
            <w:t>to Violence in Shakespeare’s Plays</w:t>
          </w:r>
          <w:r>
            <w:rPr>
              <w:rFonts w:ascii="Times New Roman" w:hAnsi="Times New Roman"/>
              <w:b/>
            </w:rPr>
            <w:t>—Dr. Nabarun Ghosh</w:t>
          </w:r>
          <w:r>
            <w:rPr>
              <w:rFonts w:ascii="Times New Roman" w:hAnsi="Times New Roman"/>
            </w:rPr>
            <w:tab/>
          </w:r>
          <w:r>
            <w:rPr>
              <w:spacing w:val="-26"/>
            </w:rPr>
            <w:t>63</w:t>
          </w:r>
        </w:p>
        <w:p>
          <w:pPr>
            <w:pStyle w:val="TOC3"/>
            <w:numPr>
              <w:ilvl w:val="0"/>
              <w:numId w:val="1"/>
            </w:numPr>
            <w:tabs>
              <w:tab w:pos="2025" w:val="left" w:leader="none"/>
            </w:tabs>
            <w:spacing w:line="232" w:lineRule="auto" w:before="61" w:after="0"/>
            <w:ind w:left="2025" w:right="1934" w:hanging="428"/>
            <w:jc w:val="left"/>
            <w:rPr>
              <w:rFonts w:ascii="Times New Roman" w:hAnsi="Times New Roman"/>
              <w:i w:val="0"/>
              <w:sz w:val="20"/>
            </w:rPr>
          </w:pPr>
          <w:r>
            <w:rPr>
              <w:b w:val="0"/>
              <w:i w:val="0"/>
              <w:spacing w:val="-4"/>
              <w:sz w:val="20"/>
            </w:rPr>
            <w:t>Reclaiming</w:t>
          </w:r>
          <w:r>
            <w:rPr>
              <w:b w:val="0"/>
              <w:i w:val="0"/>
              <w:sz w:val="20"/>
            </w:rPr>
            <w:t> </w:t>
          </w:r>
          <w:r>
            <w:rPr>
              <w:b w:val="0"/>
              <w:i w:val="0"/>
              <w:spacing w:val="-4"/>
              <w:sz w:val="20"/>
            </w:rPr>
            <w:t>Voice</w:t>
          </w:r>
          <w:r>
            <w:rPr>
              <w:b w:val="0"/>
              <w:i w:val="0"/>
              <w:sz w:val="20"/>
            </w:rPr>
            <w:t> </w:t>
          </w:r>
          <w:r>
            <w:rPr>
              <w:b w:val="0"/>
              <w:i w:val="0"/>
              <w:spacing w:val="-4"/>
              <w:sz w:val="20"/>
            </w:rPr>
            <w:t>and Agency:</w:t>
          </w:r>
          <w:r>
            <w:rPr>
              <w:b w:val="0"/>
              <w:i w:val="0"/>
              <w:sz w:val="20"/>
            </w:rPr>
            <w:t> </w:t>
          </w:r>
          <w:r>
            <w:rPr>
              <w:b w:val="0"/>
              <w:i w:val="0"/>
              <w:spacing w:val="-4"/>
              <w:sz w:val="20"/>
            </w:rPr>
            <w:t>Re-reading</w:t>
          </w:r>
          <w:r>
            <w:rPr>
              <w:b w:val="0"/>
              <w:i w:val="0"/>
              <w:sz w:val="20"/>
            </w:rPr>
            <w:t> </w:t>
          </w:r>
          <w:r>
            <w:rPr>
              <w:b w:val="0"/>
              <w:i w:val="0"/>
              <w:spacing w:val="-4"/>
              <w:sz w:val="20"/>
            </w:rPr>
            <w:t>Shakespeare’s</w:t>
          </w:r>
          <w:r>
            <w:rPr>
              <w:b w:val="0"/>
              <w:i w:val="0"/>
              <w:spacing w:val="-2"/>
              <w:sz w:val="20"/>
            </w:rPr>
            <w:t> Women</w:t>
          </w:r>
          <w:r>
            <w:rPr>
              <w:b w:val="0"/>
              <w:i w:val="0"/>
              <w:spacing w:val="-10"/>
              <w:sz w:val="20"/>
            </w:rPr>
            <w:t> </w:t>
          </w:r>
          <w:r>
            <w:rPr>
              <w:b w:val="0"/>
              <w:i w:val="0"/>
              <w:spacing w:val="-2"/>
              <w:sz w:val="20"/>
            </w:rPr>
            <w:t>in</w:t>
          </w:r>
          <w:r>
            <w:rPr>
              <w:b w:val="0"/>
              <w:i w:val="0"/>
              <w:spacing w:val="-9"/>
              <w:sz w:val="20"/>
            </w:rPr>
            <w:t> </w:t>
          </w:r>
          <w:r>
            <w:rPr>
              <w:b w:val="0"/>
              <w:i w:val="0"/>
              <w:spacing w:val="-2"/>
              <w:sz w:val="20"/>
            </w:rPr>
            <w:t>the</w:t>
          </w:r>
          <w:r>
            <w:rPr>
              <w:b w:val="0"/>
              <w:i w:val="0"/>
              <w:spacing w:val="-9"/>
              <w:sz w:val="20"/>
            </w:rPr>
            <w:t> </w:t>
          </w:r>
          <w:r>
            <w:rPr>
              <w:b w:val="0"/>
              <w:i w:val="0"/>
              <w:spacing w:val="-2"/>
              <w:sz w:val="20"/>
            </w:rPr>
            <w:t>#</w:t>
          </w:r>
          <w:r>
            <w:rPr>
              <w:b w:val="0"/>
              <w:i w:val="0"/>
              <w:spacing w:val="-8"/>
              <w:sz w:val="20"/>
            </w:rPr>
            <w:t> </w:t>
          </w:r>
          <w:r>
            <w:rPr>
              <w:b w:val="0"/>
              <w:i w:val="0"/>
              <w:spacing w:val="-2"/>
              <w:sz w:val="20"/>
            </w:rPr>
            <w:t>Me</w:t>
          </w:r>
          <w:r>
            <w:rPr>
              <w:b w:val="0"/>
              <w:i w:val="0"/>
              <w:spacing w:val="-9"/>
              <w:sz w:val="20"/>
            </w:rPr>
            <w:t> </w:t>
          </w:r>
          <w:r>
            <w:rPr>
              <w:b w:val="0"/>
              <w:i w:val="0"/>
              <w:spacing w:val="-2"/>
              <w:sz w:val="20"/>
            </w:rPr>
            <w:t>Too</w:t>
          </w:r>
          <w:r>
            <w:rPr>
              <w:b w:val="0"/>
              <w:i w:val="0"/>
              <w:spacing w:val="-8"/>
              <w:sz w:val="20"/>
            </w:rPr>
            <w:t> </w:t>
          </w:r>
          <w:r>
            <w:rPr>
              <w:b w:val="0"/>
              <w:i w:val="0"/>
              <w:spacing w:val="-2"/>
              <w:sz w:val="20"/>
            </w:rPr>
            <w:t>Era</w:t>
          </w:r>
          <w:r>
            <w:rPr>
              <w:rFonts w:ascii="Times New Roman" w:hAnsi="Times New Roman"/>
              <w:i w:val="0"/>
              <w:spacing w:val="-2"/>
              <w:sz w:val="20"/>
            </w:rPr>
            <w:t>—Dr.</w:t>
          </w:r>
          <w:r>
            <w:rPr>
              <w:rFonts w:ascii="Times New Roman" w:hAnsi="Times New Roman"/>
              <w:i w:val="0"/>
              <w:spacing w:val="-11"/>
              <w:sz w:val="20"/>
            </w:rPr>
            <w:t> </w:t>
          </w:r>
          <w:r>
            <w:rPr>
              <w:rFonts w:ascii="Times New Roman" w:hAnsi="Times New Roman"/>
              <w:i w:val="0"/>
              <w:spacing w:val="-2"/>
              <w:sz w:val="20"/>
            </w:rPr>
            <w:t>Uppala</w:t>
          </w:r>
          <w:r>
            <w:rPr>
              <w:rFonts w:ascii="Times New Roman" w:hAnsi="Times New Roman"/>
              <w:i w:val="0"/>
              <w:spacing w:val="-10"/>
              <w:sz w:val="20"/>
            </w:rPr>
            <w:t> </w:t>
          </w:r>
          <w:r>
            <w:rPr>
              <w:rFonts w:ascii="Times New Roman" w:hAnsi="Times New Roman"/>
              <w:i w:val="0"/>
              <w:spacing w:val="-2"/>
              <w:sz w:val="20"/>
            </w:rPr>
            <w:t>Ramamurthy;</w:t>
          </w:r>
        </w:p>
        <w:p>
          <w:pPr>
            <w:pStyle w:val="TOC4"/>
            <w:tabs>
              <w:tab w:pos="7019" w:val="left" w:leader="none"/>
            </w:tabs>
            <w:rPr>
              <w:rFonts w:ascii="Cambria"/>
              <w:b w:val="0"/>
            </w:rPr>
          </w:pPr>
          <w:hyperlink w:history="true" w:anchor="_TOC_250001">
            <w:r>
              <w:rPr>
                <w:spacing w:val="-6"/>
              </w:rPr>
              <w:t>Dr.</w:t>
            </w:r>
            <w:r>
              <w:rPr>
                <w:spacing w:val="-12"/>
              </w:rPr>
              <w:t> </w:t>
            </w:r>
            <w:r>
              <w:rPr>
                <w:spacing w:val="-6"/>
              </w:rPr>
              <w:t>Syed</w:t>
            </w:r>
            <w:r>
              <w:rPr>
                <w:spacing w:val="-12"/>
              </w:rPr>
              <w:t> </w:t>
            </w:r>
            <w:r>
              <w:rPr>
                <w:spacing w:val="-6"/>
              </w:rPr>
              <w:t>Mujahid</w:t>
            </w:r>
            <w:r>
              <w:rPr>
                <w:b w:val="0"/>
              </w:rPr>
              <w:tab/>
            </w:r>
            <w:r>
              <w:rPr>
                <w:rFonts w:ascii="Cambria"/>
                <w:b w:val="0"/>
                <w:spacing w:val="-5"/>
              </w:rPr>
              <w:t>76</w:t>
            </w:r>
          </w:hyperlink>
        </w:p>
        <w:p>
          <w:pPr>
            <w:pStyle w:val="TOC2"/>
            <w:numPr>
              <w:ilvl w:val="0"/>
              <w:numId w:val="1"/>
            </w:numPr>
            <w:tabs>
              <w:tab w:pos="2025" w:val="left" w:leader="none"/>
            </w:tabs>
            <w:spacing w:line="232" w:lineRule="auto" w:before="57" w:after="0"/>
            <w:ind w:left="2025" w:right="2189" w:hanging="428"/>
            <w:jc w:val="left"/>
          </w:pPr>
          <w:r>
            <w:rPr/>
            <w:t>Voices</w:t>
          </w:r>
          <w:r>
            <w:rPr>
              <w:spacing w:val="21"/>
            </w:rPr>
            <w:t> </w:t>
          </w:r>
          <w:r>
            <w:rPr/>
            <w:t>in</w:t>
          </w:r>
          <w:r>
            <w:rPr>
              <w:spacing w:val="23"/>
            </w:rPr>
            <w:t> </w:t>
          </w:r>
          <w:r>
            <w:rPr/>
            <w:t>the</w:t>
          </w:r>
          <w:r>
            <w:rPr>
              <w:spacing w:val="22"/>
            </w:rPr>
            <w:t> </w:t>
          </w:r>
          <w:r>
            <w:rPr/>
            <w:t>Margins:</w:t>
          </w:r>
          <w:r>
            <w:rPr>
              <w:spacing w:val="25"/>
            </w:rPr>
            <w:t> </w:t>
          </w:r>
          <w:r>
            <w:rPr/>
            <w:t>Power, Agency,</w:t>
          </w:r>
          <w:r>
            <w:rPr>
              <w:spacing w:val="25"/>
            </w:rPr>
            <w:t> </w:t>
          </w:r>
          <w:r>
            <w:rPr/>
            <w:t>and </w:t>
          </w:r>
          <w:r>
            <w:rPr>
              <w:spacing w:val="-6"/>
            </w:rPr>
            <w:t>Representation</w:t>
          </w:r>
          <w:r>
            <w:rPr>
              <w:spacing w:val="16"/>
            </w:rPr>
            <w:t> </w:t>
          </w:r>
          <w:r>
            <w:rPr>
              <w:spacing w:val="-6"/>
            </w:rPr>
            <w:t>of</w:t>
          </w:r>
          <w:r>
            <w:rPr>
              <w:spacing w:val="16"/>
            </w:rPr>
            <w:t> </w:t>
          </w:r>
          <w:r>
            <w:rPr>
              <w:spacing w:val="-6"/>
            </w:rPr>
            <w:t>Women</w:t>
          </w:r>
          <w:r>
            <w:rPr>
              <w:spacing w:val="16"/>
            </w:rPr>
            <w:t> </w:t>
          </w:r>
          <w:r>
            <w:rPr>
              <w:spacing w:val="-6"/>
            </w:rPr>
            <w:t>in</w:t>
          </w:r>
          <w:r>
            <w:rPr>
              <w:spacing w:val="17"/>
            </w:rPr>
            <w:t> </w:t>
          </w:r>
          <w:r>
            <w:rPr>
              <w:spacing w:val="-6"/>
            </w:rPr>
            <w:t>Shakespeare’s</w:t>
          </w:r>
          <w:r>
            <w:rPr>
              <w:spacing w:val="17"/>
            </w:rPr>
            <w:t> </w:t>
          </w:r>
          <w:r>
            <w:rPr>
              <w:spacing w:val="-6"/>
            </w:rPr>
            <w:t>Historical</w:t>
          </w:r>
        </w:p>
        <w:p>
          <w:pPr>
            <w:pStyle w:val="TOC6"/>
            <w:tabs>
              <w:tab w:pos="7019" w:val="left" w:leader="none"/>
            </w:tabs>
            <w:rPr>
              <w:rFonts w:ascii="Cambria" w:hAnsi="Cambria"/>
              <w:b w:val="0"/>
              <w:i w:val="0"/>
              <w:sz w:val="20"/>
            </w:rPr>
          </w:pPr>
          <w:r>
            <w:rPr>
              <w:rFonts w:ascii="Cambria" w:hAnsi="Cambria"/>
              <w:b w:val="0"/>
              <w:i w:val="0"/>
              <w:spacing w:val="-2"/>
              <w:sz w:val="20"/>
            </w:rPr>
            <w:t>Plays</w:t>
          </w:r>
          <w:r>
            <w:rPr>
              <w:i w:val="0"/>
              <w:spacing w:val="-2"/>
              <w:sz w:val="20"/>
            </w:rPr>
            <w:t>—A.</w:t>
          </w:r>
          <w:r>
            <w:rPr>
              <w:i w:val="0"/>
              <w:spacing w:val="-19"/>
              <w:sz w:val="20"/>
            </w:rPr>
            <w:t> </w:t>
          </w:r>
          <w:r>
            <w:rPr>
              <w:i w:val="0"/>
              <w:spacing w:val="-2"/>
              <w:sz w:val="20"/>
            </w:rPr>
            <w:t>Akila;</w:t>
          </w:r>
          <w:r>
            <w:rPr>
              <w:i w:val="0"/>
              <w:spacing w:val="-9"/>
              <w:sz w:val="20"/>
            </w:rPr>
            <w:t> </w:t>
          </w:r>
          <w:r>
            <w:rPr>
              <w:i w:val="0"/>
              <w:spacing w:val="-2"/>
              <w:sz w:val="20"/>
            </w:rPr>
            <w:t>R.</w:t>
          </w:r>
          <w:r>
            <w:rPr>
              <w:i w:val="0"/>
              <w:spacing w:val="-10"/>
              <w:sz w:val="20"/>
            </w:rPr>
            <w:t> </w:t>
          </w:r>
          <w:r>
            <w:rPr>
              <w:i w:val="0"/>
              <w:spacing w:val="-2"/>
              <w:sz w:val="20"/>
            </w:rPr>
            <w:t>Sudevan</w:t>
          </w:r>
          <w:r>
            <w:rPr>
              <w:b w:val="0"/>
              <w:i w:val="0"/>
              <w:sz w:val="20"/>
            </w:rPr>
            <w:tab/>
          </w:r>
          <w:r>
            <w:rPr>
              <w:rFonts w:ascii="Cambria" w:hAnsi="Cambria"/>
              <w:b w:val="0"/>
              <w:i w:val="0"/>
              <w:spacing w:val="-5"/>
              <w:sz w:val="20"/>
            </w:rPr>
            <w:t>83</w:t>
          </w:r>
        </w:p>
        <w:p>
          <w:pPr>
            <w:pStyle w:val="TOC2"/>
            <w:numPr>
              <w:ilvl w:val="0"/>
              <w:numId w:val="1"/>
            </w:numPr>
            <w:tabs>
              <w:tab w:pos="2025" w:val="left" w:leader="none"/>
            </w:tabs>
            <w:spacing w:line="232" w:lineRule="auto" w:before="57" w:after="0"/>
            <w:ind w:left="2025" w:right="1994" w:hanging="428"/>
            <w:jc w:val="left"/>
          </w:pPr>
          <w:r>
            <w:rPr>
              <w:spacing w:val="-2"/>
            </w:rPr>
            <w:t>Silenced</w:t>
          </w:r>
          <w:r>
            <w:rPr>
              <w:spacing w:val="-5"/>
            </w:rPr>
            <w:t> </w:t>
          </w:r>
          <w:r>
            <w:rPr>
              <w:spacing w:val="-2"/>
            </w:rPr>
            <w:t>Voices</w:t>
          </w:r>
          <w:r>
            <w:rPr>
              <w:spacing w:val="-3"/>
            </w:rPr>
            <w:t> </w:t>
          </w:r>
          <w:r>
            <w:rPr>
              <w:spacing w:val="-2"/>
            </w:rPr>
            <w:t>and Ethical</w:t>
          </w:r>
          <w:r>
            <w:rPr>
              <w:spacing w:val="-3"/>
            </w:rPr>
            <w:t> </w:t>
          </w:r>
          <w:r>
            <w:rPr>
              <w:spacing w:val="-2"/>
            </w:rPr>
            <w:t>Injustice:</w:t>
          </w:r>
          <w:r>
            <w:rPr>
              <w:spacing w:val="-9"/>
            </w:rPr>
            <w:t> </w:t>
          </w:r>
          <w:r>
            <w:rPr>
              <w:spacing w:val="-2"/>
            </w:rPr>
            <w:t>A</w:t>
          </w:r>
          <w:r>
            <w:rPr>
              <w:spacing w:val="-9"/>
            </w:rPr>
            <w:t> </w:t>
          </w:r>
          <w:r>
            <w:rPr>
              <w:spacing w:val="-2"/>
            </w:rPr>
            <w:t>Feminist</w:t>
          </w:r>
          <w:r>
            <w:rPr>
              <w:spacing w:val="-5"/>
            </w:rPr>
            <w:t> </w:t>
          </w:r>
          <w:r>
            <w:rPr>
              <w:spacing w:val="-2"/>
            </w:rPr>
            <w:t>Ethical </w:t>
          </w:r>
          <w:r>
            <w:rPr/>
            <w:t>Study</w:t>
          </w:r>
          <w:r>
            <w:rPr>
              <w:spacing w:val="21"/>
            </w:rPr>
            <w:t> </w:t>
          </w:r>
          <w:r>
            <w:rPr/>
            <w:t>of</w:t>
          </w:r>
          <w:r>
            <w:rPr>
              <w:spacing w:val="19"/>
            </w:rPr>
            <w:t> </w:t>
          </w:r>
          <w:r>
            <w:rPr/>
            <w:t>Desdemona</w:t>
          </w:r>
          <w:r>
            <w:rPr>
              <w:spacing w:val="23"/>
            </w:rPr>
            <w:t> </w:t>
          </w:r>
          <w:r>
            <w:rPr/>
            <w:t>In</w:t>
          </w:r>
          <w:r>
            <w:rPr>
              <w:spacing w:val="19"/>
            </w:rPr>
            <w:t> </w:t>
          </w:r>
          <w:r>
            <w:rPr/>
            <w:t>Shakespeare’s</w:t>
          </w:r>
          <w:r>
            <w:rPr>
              <w:spacing w:val="22"/>
            </w:rPr>
            <w:t> </w:t>
          </w:r>
          <w:r>
            <w:rPr/>
            <w:t>Othello</w:t>
          </w:r>
        </w:p>
        <w:p>
          <w:pPr>
            <w:pStyle w:val="TOC6"/>
            <w:tabs>
              <w:tab w:pos="7019" w:val="left" w:leader="none"/>
            </w:tabs>
            <w:rPr>
              <w:rFonts w:ascii="Cambria" w:hAnsi="Cambria"/>
              <w:b w:val="0"/>
              <w:i w:val="0"/>
              <w:sz w:val="20"/>
            </w:rPr>
          </w:pPr>
          <w:r>
            <w:rPr>
              <w:i w:val="0"/>
              <w:spacing w:val="-4"/>
              <w:sz w:val="20"/>
            </w:rPr>
            <w:t>—T.</w:t>
          </w:r>
          <w:r>
            <w:rPr>
              <w:i w:val="0"/>
              <w:spacing w:val="-7"/>
              <w:sz w:val="20"/>
            </w:rPr>
            <w:t> </w:t>
          </w:r>
          <w:r>
            <w:rPr>
              <w:i w:val="0"/>
              <w:spacing w:val="-4"/>
              <w:sz w:val="20"/>
            </w:rPr>
            <w:t>Prakash</w:t>
          </w:r>
          <w:r>
            <w:rPr>
              <w:b w:val="0"/>
              <w:i w:val="0"/>
              <w:sz w:val="20"/>
            </w:rPr>
            <w:tab/>
          </w:r>
          <w:r>
            <w:rPr>
              <w:rFonts w:ascii="Cambria" w:hAnsi="Cambria"/>
              <w:b w:val="0"/>
              <w:i w:val="0"/>
              <w:spacing w:val="-5"/>
              <w:sz w:val="20"/>
            </w:rPr>
            <w:t>89</w:t>
          </w:r>
        </w:p>
        <w:p>
          <w:pPr>
            <w:pStyle w:val="TOC1"/>
            <w:numPr>
              <w:ilvl w:val="0"/>
              <w:numId w:val="1"/>
            </w:numPr>
            <w:tabs>
              <w:tab w:pos="2025" w:val="left" w:leader="none"/>
            </w:tabs>
            <w:spacing w:line="232" w:lineRule="auto" w:before="56" w:after="0"/>
            <w:ind w:left="2025" w:right="1946" w:hanging="519"/>
            <w:jc w:val="left"/>
          </w:pPr>
          <w:r>
            <w:rPr>
              <w:spacing w:val="-4"/>
            </w:rPr>
            <w:t>The</w:t>
          </w:r>
          <w:r>
            <w:rPr>
              <w:spacing w:val="-3"/>
            </w:rPr>
            <w:t> </w:t>
          </w:r>
          <w:r>
            <w:rPr>
              <w:spacing w:val="-4"/>
            </w:rPr>
            <w:t>Shakespearean</w:t>
          </w:r>
          <w:r>
            <w:rPr>
              <w:spacing w:val="-3"/>
            </w:rPr>
            <w:t> </w:t>
          </w:r>
          <w:r>
            <w:rPr>
              <w:spacing w:val="-4"/>
            </w:rPr>
            <w:t>Mirror:</w:t>
          </w:r>
          <w:r>
            <w:rPr>
              <w:spacing w:val="-7"/>
            </w:rPr>
            <w:t> </w:t>
          </w:r>
          <w:r>
            <w:rPr>
              <w:spacing w:val="-4"/>
            </w:rPr>
            <w:t>Analyzing</w:t>
          </w:r>
          <w:r>
            <w:rPr>
              <w:spacing w:val="-3"/>
            </w:rPr>
            <w:t> </w:t>
          </w:r>
          <w:r>
            <w:rPr>
              <w:spacing w:val="-4"/>
            </w:rPr>
            <w:t>Gender,</w:t>
          </w:r>
          <w:r>
            <w:rPr>
              <w:spacing w:val="-2"/>
            </w:rPr>
            <w:t> </w:t>
          </w:r>
          <w:r>
            <w:rPr>
              <w:spacing w:val="-4"/>
            </w:rPr>
            <w:t>Patriarchy</w:t>
          </w:r>
          <w:r>
            <w:rPr/>
            <w:t> and</w:t>
          </w:r>
          <w:r>
            <w:rPr>
              <w:spacing w:val="19"/>
            </w:rPr>
            <w:t> </w:t>
          </w:r>
          <w:r>
            <w:rPr/>
            <w:t>Intersectionality</w:t>
          </w:r>
          <w:r>
            <w:rPr>
              <w:spacing w:val="14"/>
            </w:rPr>
            <w:t> </w:t>
          </w:r>
          <w:r>
            <w:rPr/>
            <w:t>in</w:t>
          </w:r>
          <w:r>
            <w:rPr>
              <w:spacing w:val="14"/>
            </w:rPr>
            <w:t> </w:t>
          </w:r>
          <w:r>
            <w:rPr/>
            <w:t>the</w:t>
          </w:r>
          <w:r>
            <w:rPr>
              <w:spacing w:val="17"/>
            </w:rPr>
            <w:t> </w:t>
          </w:r>
          <w:r>
            <w:rPr/>
            <w:t>#</w:t>
          </w:r>
          <w:r>
            <w:rPr>
              <w:spacing w:val="17"/>
            </w:rPr>
            <w:t> </w:t>
          </w:r>
          <w:r>
            <w:rPr/>
            <w:t>MeToo</w:t>
          </w:r>
          <w:r>
            <w:rPr>
              <w:spacing w:val="19"/>
            </w:rPr>
            <w:t> </w:t>
          </w:r>
          <w:r>
            <w:rPr/>
            <w:t>Era</w:t>
          </w:r>
        </w:p>
        <w:p>
          <w:pPr>
            <w:pStyle w:val="TOC4"/>
            <w:tabs>
              <w:tab w:pos="7019" w:val="left" w:leader="none"/>
            </w:tabs>
            <w:rPr>
              <w:rFonts w:ascii="Cambria" w:hAnsi="Cambria"/>
              <w:b w:val="0"/>
            </w:rPr>
          </w:pPr>
          <w:hyperlink w:history="true" w:anchor="_TOC_250000">
            <w:r>
              <w:rPr>
                <w:spacing w:val="-6"/>
              </w:rPr>
              <w:t>—Radhika</w:t>
            </w:r>
            <w:r>
              <w:rPr>
                <w:spacing w:val="-22"/>
              </w:rPr>
              <w:t> </w:t>
            </w:r>
            <w:r>
              <w:rPr>
                <w:spacing w:val="-6"/>
              </w:rPr>
              <w:t>Gangeddula</w:t>
            </w:r>
            <w:r>
              <w:rPr>
                <w:b w:val="0"/>
              </w:rPr>
              <w:tab/>
            </w:r>
            <w:r>
              <w:rPr>
                <w:rFonts w:ascii="Cambria" w:hAnsi="Cambria"/>
                <w:b w:val="0"/>
                <w:spacing w:val="-5"/>
              </w:rPr>
              <w:t>94</w:t>
            </w:r>
          </w:hyperlink>
        </w:p>
      </w:sdtContent>
    </w:sdt>
    <w:p>
      <w:pPr>
        <w:pStyle w:val="ListParagraph"/>
        <w:numPr>
          <w:ilvl w:val="0"/>
          <w:numId w:val="1"/>
        </w:numPr>
        <w:tabs>
          <w:tab w:pos="2026" w:val="left" w:leader="none"/>
        </w:tabs>
        <w:spacing w:line="231" w:lineRule="exact" w:before="52" w:after="0"/>
        <w:ind w:left="2026" w:right="0" w:hanging="519"/>
        <w:jc w:val="left"/>
        <w:rPr>
          <w:rFonts w:ascii="Cambria" w:hAnsi="Cambria"/>
          <w:sz w:val="20"/>
        </w:rPr>
      </w:pPr>
      <w:r>
        <w:rPr>
          <w:rFonts w:ascii="Cambria" w:hAnsi="Cambria"/>
          <w:spacing w:val="-4"/>
          <w:sz w:val="20"/>
        </w:rPr>
        <w:t>Women</w:t>
      </w:r>
      <w:r>
        <w:rPr>
          <w:rFonts w:ascii="Cambria" w:hAnsi="Cambria"/>
          <w:spacing w:val="2"/>
          <w:sz w:val="20"/>
        </w:rPr>
        <w:t> </w:t>
      </w:r>
      <w:r>
        <w:rPr>
          <w:rFonts w:ascii="Cambria" w:hAnsi="Cambria"/>
          <w:spacing w:val="-4"/>
          <w:sz w:val="20"/>
        </w:rPr>
        <w:t>in</w:t>
      </w:r>
      <w:r>
        <w:rPr>
          <w:rFonts w:ascii="Cambria" w:hAnsi="Cambria"/>
          <w:spacing w:val="3"/>
          <w:sz w:val="20"/>
        </w:rPr>
        <w:t> </w:t>
      </w:r>
      <w:r>
        <w:rPr>
          <w:rFonts w:ascii="Cambria" w:hAnsi="Cambria"/>
          <w:spacing w:val="-4"/>
          <w:sz w:val="20"/>
        </w:rPr>
        <w:t>Shakespeare’s</w:t>
      </w:r>
      <w:r>
        <w:rPr>
          <w:rFonts w:ascii="Cambria" w:hAnsi="Cambria"/>
          <w:spacing w:val="2"/>
          <w:sz w:val="20"/>
        </w:rPr>
        <w:t> </w:t>
      </w:r>
      <w:r>
        <w:rPr>
          <w:rFonts w:ascii="Cambria" w:hAnsi="Cambria"/>
          <w:spacing w:val="-4"/>
          <w:sz w:val="20"/>
        </w:rPr>
        <w:t>Historical</w:t>
      </w:r>
      <w:r>
        <w:rPr>
          <w:rFonts w:ascii="Cambria" w:hAnsi="Cambria"/>
          <w:spacing w:val="4"/>
          <w:sz w:val="20"/>
        </w:rPr>
        <w:t> </w:t>
      </w:r>
      <w:r>
        <w:rPr>
          <w:rFonts w:ascii="Cambria" w:hAnsi="Cambria"/>
          <w:spacing w:val="-4"/>
          <w:sz w:val="20"/>
        </w:rPr>
        <w:t>Plays:</w:t>
      </w:r>
      <w:r>
        <w:rPr>
          <w:rFonts w:ascii="Cambria" w:hAnsi="Cambria"/>
          <w:spacing w:val="4"/>
          <w:sz w:val="20"/>
        </w:rPr>
        <w:t> </w:t>
      </w:r>
      <w:r>
        <w:rPr>
          <w:rFonts w:ascii="Cambria" w:hAnsi="Cambria"/>
          <w:spacing w:val="-4"/>
          <w:sz w:val="20"/>
        </w:rPr>
        <w:t>Power,</w:t>
      </w:r>
    </w:p>
    <w:p>
      <w:pPr>
        <w:spacing w:line="231" w:lineRule="exact" w:before="0"/>
        <w:ind w:left="2025" w:right="0" w:firstLine="0"/>
        <w:jc w:val="left"/>
        <w:rPr>
          <w:rFonts w:ascii="Cambria" w:hAnsi="Cambria"/>
          <w:sz w:val="20"/>
        </w:rPr>
      </w:pPr>
      <w:r>
        <w:rPr>
          <w:rFonts w:ascii="Cambria" w:hAnsi="Cambria"/>
          <w:spacing w:val="-2"/>
          <w:sz w:val="20"/>
        </w:rPr>
        <w:t>Resistance,</w:t>
      </w:r>
      <w:r>
        <w:rPr>
          <w:rFonts w:ascii="Cambria" w:hAnsi="Cambria"/>
          <w:spacing w:val="-5"/>
          <w:sz w:val="20"/>
        </w:rPr>
        <w:t> </w:t>
      </w:r>
      <w:r>
        <w:rPr>
          <w:rFonts w:ascii="Cambria" w:hAnsi="Cambria"/>
          <w:spacing w:val="-2"/>
          <w:sz w:val="20"/>
        </w:rPr>
        <w:t>and</w:t>
      </w:r>
      <w:r>
        <w:rPr>
          <w:rFonts w:ascii="Cambria" w:hAnsi="Cambria"/>
          <w:sz w:val="20"/>
        </w:rPr>
        <w:t> </w:t>
      </w:r>
      <w:r>
        <w:rPr>
          <w:rFonts w:ascii="Cambria" w:hAnsi="Cambria"/>
          <w:spacing w:val="-2"/>
          <w:sz w:val="20"/>
        </w:rPr>
        <w:t>the</w:t>
      </w:r>
      <w:r>
        <w:rPr>
          <w:rFonts w:ascii="Cambria" w:hAnsi="Cambria"/>
          <w:spacing w:val="-1"/>
          <w:sz w:val="20"/>
        </w:rPr>
        <w:t> </w:t>
      </w:r>
      <w:r>
        <w:rPr>
          <w:rFonts w:ascii="Cambria" w:hAnsi="Cambria"/>
          <w:spacing w:val="-2"/>
          <w:sz w:val="20"/>
        </w:rPr>
        <w:t>Role</w:t>
      </w:r>
      <w:r>
        <w:rPr>
          <w:rFonts w:ascii="Cambria" w:hAnsi="Cambria"/>
          <w:spacing w:val="-1"/>
          <w:sz w:val="20"/>
        </w:rPr>
        <w:t> </w:t>
      </w:r>
      <w:r>
        <w:rPr>
          <w:rFonts w:ascii="Cambria" w:hAnsi="Cambria"/>
          <w:spacing w:val="-2"/>
          <w:sz w:val="20"/>
        </w:rPr>
        <w:t>of Gender</w:t>
      </w:r>
      <w:r>
        <w:rPr>
          <w:b/>
          <w:spacing w:val="-2"/>
          <w:sz w:val="20"/>
        </w:rPr>
        <w:t>—Dr.</w:t>
      </w:r>
      <w:r>
        <w:rPr>
          <w:b/>
          <w:spacing w:val="-10"/>
          <w:sz w:val="20"/>
        </w:rPr>
        <w:t> </w:t>
      </w:r>
      <w:r>
        <w:rPr>
          <w:b/>
          <w:spacing w:val="-2"/>
          <w:sz w:val="20"/>
        </w:rPr>
        <w:t>Amanpreet</w:t>
      </w:r>
      <w:r>
        <w:rPr>
          <w:b/>
          <w:spacing w:val="-7"/>
          <w:sz w:val="20"/>
        </w:rPr>
        <w:t> </w:t>
      </w:r>
      <w:r>
        <w:rPr>
          <w:b/>
          <w:spacing w:val="-2"/>
          <w:sz w:val="20"/>
        </w:rPr>
        <w:t>Kaur</w:t>
      </w:r>
      <w:r>
        <w:rPr>
          <w:b/>
          <w:spacing w:val="-6"/>
          <w:sz w:val="20"/>
        </w:rPr>
        <w:t> </w:t>
      </w:r>
      <w:r>
        <w:rPr>
          <w:rFonts w:ascii="Cambria" w:hAnsi="Cambria"/>
          <w:spacing w:val="-5"/>
          <w:sz w:val="20"/>
        </w:rPr>
        <w:t>102</w:t>
      </w:r>
    </w:p>
    <w:p>
      <w:pPr>
        <w:spacing w:after="0" w:line="231" w:lineRule="exact"/>
        <w:jc w:val="left"/>
        <w:rPr>
          <w:rFonts w:ascii="Cambria" w:hAnsi="Cambria"/>
          <w:sz w:val="20"/>
        </w:rPr>
        <w:sectPr>
          <w:pgSz w:w="12240" w:h="15840"/>
          <w:pgMar w:top="1820" w:bottom="280" w:left="1800" w:right="1800"/>
        </w:sectPr>
      </w:pPr>
    </w:p>
    <w:p>
      <w:pPr>
        <w:pStyle w:val="BodyText"/>
        <w:ind w:left="0"/>
        <w:rPr>
          <w:rFonts w:ascii="Cambria"/>
        </w:rPr>
      </w:pPr>
    </w:p>
    <w:p>
      <w:pPr>
        <w:pStyle w:val="BodyText"/>
        <w:ind w:left="0"/>
        <w:rPr>
          <w:rFonts w:ascii="Cambria"/>
        </w:rPr>
      </w:pPr>
    </w:p>
    <w:p>
      <w:pPr>
        <w:pStyle w:val="BodyText"/>
        <w:ind w:left="0"/>
        <w:rPr>
          <w:rFonts w:ascii="Cambria"/>
        </w:rPr>
      </w:pPr>
    </w:p>
    <w:p>
      <w:pPr>
        <w:pStyle w:val="BodyText"/>
        <w:spacing w:before="113"/>
        <w:ind w:left="0"/>
        <w:rPr>
          <w:rFonts w:ascii="Cambria"/>
        </w:rPr>
      </w:pPr>
    </w:p>
    <w:p>
      <w:pPr>
        <w:spacing w:before="0"/>
        <w:ind w:left="46" w:right="0" w:firstLine="0"/>
        <w:jc w:val="center"/>
        <w:rPr>
          <w:i/>
          <w:sz w:val="20"/>
        </w:rPr>
      </w:pPr>
      <w:r>
        <w:rPr>
          <w:i/>
          <w:spacing w:val="-4"/>
          <w:sz w:val="20"/>
        </w:rPr>
        <w:t>(vi)</w:t>
      </w:r>
    </w:p>
    <w:p>
      <w:pPr>
        <w:pStyle w:val="ListParagraph"/>
        <w:numPr>
          <w:ilvl w:val="0"/>
          <w:numId w:val="2"/>
        </w:numPr>
        <w:tabs>
          <w:tab w:pos="2025" w:val="left" w:leader="none"/>
        </w:tabs>
        <w:spacing w:line="244" w:lineRule="auto" w:before="179" w:after="0"/>
        <w:ind w:left="2025" w:right="2354" w:hanging="519"/>
        <w:jc w:val="left"/>
        <w:rPr>
          <w:rFonts w:ascii="Cambria" w:hAnsi="Cambria"/>
          <w:sz w:val="20"/>
        </w:rPr>
      </w:pPr>
      <w:r>
        <w:rPr>
          <w:rFonts w:ascii="Cambria" w:hAnsi="Cambria"/>
          <w:sz w:val="20"/>
        </w:rPr>
        <w:t>Silence, Speech, and Sovereignty: Re-examining </w:t>
      </w:r>
      <w:r>
        <w:rPr>
          <w:rFonts w:ascii="Cambria" w:hAnsi="Cambria"/>
          <w:spacing w:val="-4"/>
          <w:sz w:val="20"/>
        </w:rPr>
        <w:t>Shakespeare’s</w:t>
      </w:r>
      <w:r>
        <w:rPr>
          <w:rFonts w:ascii="Cambria" w:hAnsi="Cambria"/>
          <w:spacing w:val="13"/>
          <w:sz w:val="20"/>
        </w:rPr>
        <w:t> </w:t>
      </w:r>
      <w:r>
        <w:rPr>
          <w:rFonts w:ascii="Cambria" w:hAnsi="Cambria"/>
          <w:spacing w:val="-4"/>
          <w:sz w:val="20"/>
        </w:rPr>
        <w:t>Women</w:t>
      </w:r>
      <w:r>
        <w:rPr>
          <w:rFonts w:ascii="Cambria" w:hAnsi="Cambria"/>
          <w:spacing w:val="13"/>
          <w:sz w:val="20"/>
        </w:rPr>
        <w:t> </w:t>
      </w:r>
      <w:r>
        <w:rPr>
          <w:rFonts w:ascii="Cambria" w:hAnsi="Cambria"/>
          <w:spacing w:val="-4"/>
          <w:sz w:val="20"/>
        </w:rPr>
        <w:t>through</w:t>
      </w:r>
      <w:r>
        <w:rPr>
          <w:rFonts w:ascii="Cambria" w:hAnsi="Cambria"/>
          <w:spacing w:val="14"/>
          <w:sz w:val="20"/>
        </w:rPr>
        <w:t> </w:t>
      </w:r>
      <w:r>
        <w:rPr>
          <w:rFonts w:ascii="Cambria" w:hAnsi="Cambria"/>
          <w:spacing w:val="-4"/>
          <w:sz w:val="20"/>
        </w:rPr>
        <w:t>the</w:t>
      </w:r>
      <w:r>
        <w:rPr>
          <w:rFonts w:ascii="Cambria" w:hAnsi="Cambria"/>
          <w:spacing w:val="15"/>
          <w:sz w:val="20"/>
        </w:rPr>
        <w:t> </w:t>
      </w:r>
      <w:r>
        <w:rPr>
          <w:rFonts w:ascii="Cambria" w:hAnsi="Cambria"/>
          <w:spacing w:val="-4"/>
          <w:sz w:val="20"/>
        </w:rPr>
        <w:t>#</w:t>
      </w:r>
      <w:r>
        <w:rPr>
          <w:rFonts w:ascii="Cambria" w:hAnsi="Cambria"/>
          <w:spacing w:val="17"/>
          <w:sz w:val="20"/>
        </w:rPr>
        <w:t> </w:t>
      </w:r>
      <w:r>
        <w:rPr>
          <w:rFonts w:ascii="Cambria" w:hAnsi="Cambria"/>
          <w:spacing w:val="-4"/>
          <w:sz w:val="20"/>
        </w:rPr>
        <w:t>Me</w:t>
      </w:r>
      <w:r>
        <w:rPr>
          <w:rFonts w:ascii="Cambria" w:hAnsi="Cambria"/>
          <w:spacing w:val="14"/>
          <w:sz w:val="20"/>
        </w:rPr>
        <w:t> </w:t>
      </w:r>
      <w:r>
        <w:rPr>
          <w:rFonts w:ascii="Cambria" w:hAnsi="Cambria"/>
          <w:spacing w:val="-4"/>
          <w:sz w:val="20"/>
        </w:rPr>
        <w:t>Too</w:t>
      </w:r>
      <w:r>
        <w:rPr>
          <w:rFonts w:ascii="Cambria" w:hAnsi="Cambria"/>
          <w:spacing w:val="16"/>
          <w:sz w:val="20"/>
        </w:rPr>
        <w:t> </w:t>
      </w:r>
      <w:r>
        <w:rPr>
          <w:rFonts w:ascii="Cambria" w:hAnsi="Cambria"/>
          <w:spacing w:val="-4"/>
          <w:sz w:val="20"/>
        </w:rPr>
        <w:t>Lens</w:t>
      </w:r>
    </w:p>
    <w:p>
      <w:pPr>
        <w:pStyle w:val="Heading6"/>
        <w:tabs>
          <w:tab w:pos="6931" w:val="left" w:leader="none"/>
        </w:tabs>
        <w:spacing w:before="2"/>
        <w:ind w:left="2025"/>
        <w:rPr>
          <w:rFonts w:ascii="Cambria" w:hAnsi="Cambria"/>
          <w:b w:val="0"/>
        </w:rPr>
      </w:pPr>
      <w:r>
        <w:rPr>
          <w:spacing w:val="-2"/>
        </w:rPr>
        <w:t>—Shaik</w:t>
      </w:r>
      <w:r>
        <w:rPr>
          <w:spacing w:val="-12"/>
        </w:rPr>
        <w:t> </w:t>
      </w:r>
      <w:r>
        <w:rPr>
          <w:spacing w:val="-2"/>
        </w:rPr>
        <w:t>N</w:t>
      </w:r>
      <w:r>
        <w:rPr>
          <w:spacing w:val="-9"/>
        </w:rPr>
        <w:t> </w:t>
      </w:r>
      <w:r>
        <w:rPr>
          <w:spacing w:val="-2"/>
        </w:rPr>
        <w:t>Khajarasool</w:t>
      </w:r>
      <w:r>
        <w:rPr>
          <w:b w:val="0"/>
        </w:rPr>
        <w:tab/>
      </w:r>
      <w:r>
        <w:rPr>
          <w:rFonts w:ascii="Cambria" w:hAnsi="Cambria"/>
          <w:b w:val="0"/>
          <w:spacing w:val="-5"/>
        </w:rPr>
        <w:t>113</w:t>
      </w:r>
    </w:p>
    <w:p>
      <w:pPr>
        <w:pStyle w:val="ListParagraph"/>
        <w:numPr>
          <w:ilvl w:val="0"/>
          <w:numId w:val="2"/>
        </w:numPr>
        <w:tabs>
          <w:tab w:pos="2025" w:val="left" w:leader="none"/>
          <w:tab w:pos="6931" w:val="left" w:leader="none"/>
        </w:tabs>
        <w:spacing w:line="244" w:lineRule="auto" w:before="63" w:after="0"/>
        <w:ind w:left="2025" w:right="1436" w:hanging="519"/>
        <w:jc w:val="left"/>
        <w:rPr>
          <w:rFonts w:ascii="Cambria" w:hAnsi="Cambria"/>
          <w:sz w:val="20"/>
        </w:rPr>
      </w:pPr>
      <w:r>
        <w:rPr>
          <w:rFonts w:ascii="Cambria" w:hAnsi="Cambria"/>
          <w:sz w:val="20"/>
        </w:rPr>
        <w:t>Madness</w:t>
      </w:r>
      <w:r>
        <w:rPr>
          <w:rFonts w:ascii="Cambria" w:hAnsi="Cambria"/>
          <w:spacing w:val="23"/>
          <w:sz w:val="20"/>
        </w:rPr>
        <w:t> </w:t>
      </w:r>
      <w:r>
        <w:rPr>
          <w:rFonts w:ascii="Cambria" w:hAnsi="Cambria"/>
          <w:sz w:val="20"/>
        </w:rPr>
        <w:t>as A Social</w:t>
      </w:r>
      <w:r>
        <w:rPr>
          <w:rFonts w:ascii="Cambria" w:hAnsi="Cambria"/>
          <w:spacing w:val="23"/>
          <w:sz w:val="20"/>
        </w:rPr>
        <w:t> </w:t>
      </w:r>
      <w:r>
        <w:rPr>
          <w:rFonts w:ascii="Cambria" w:hAnsi="Cambria"/>
          <w:sz w:val="20"/>
        </w:rPr>
        <w:t>Construction:</w:t>
      </w:r>
      <w:r>
        <w:rPr>
          <w:rFonts w:ascii="Cambria" w:hAnsi="Cambria"/>
          <w:spacing w:val="20"/>
          <w:sz w:val="20"/>
        </w:rPr>
        <w:t> </w:t>
      </w:r>
      <w:r>
        <w:rPr>
          <w:rFonts w:ascii="Cambria" w:hAnsi="Cambria"/>
          <w:sz w:val="20"/>
        </w:rPr>
        <w:t>Trauma,</w:t>
      </w:r>
      <w:r>
        <w:rPr>
          <w:rFonts w:ascii="Cambria" w:hAnsi="Cambria"/>
          <w:spacing w:val="25"/>
          <w:sz w:val="20"/>
        </w:rPr>
        <w:t> </w:t>
      </w:r>
      <w:r>
        <w:rPr>
          <w:rFonts w:ascii="Cambria" w:hAnsi="Cambria"/>
          <w:sz w:val="20"/>
        </w:rPr>
        <w:t>Guilt</w:t>
      </w:r>
      <w:r>
        <w:rPr>
          <w:rFonts w:ascii="Cambria" w:hAnsi="Cambria"/>
          <w:spacing w:val="22"/>
          <w:sz w:val="20"/>
        </w:rPr>
        <w:t> </w:t>
      </w:r>
      <w:r>
        <w:rPr>
          <w:rFonts w:ascii="Cambria" w:hAnsi="Cambria"/>
          <w:sz w:val="20"/>
        </w:rPr>
        <w:t>and Psychological</w:t>
      </w:r>
      <w:r>
        <w:rPr>
          <w:rFonts w:ascii="Cambria" w:hAnsi="Cambria"/>
          <w:spacing w:val="7"/>
          <w:sz w:val="20"/>
        </w:rPr>
        <w:t> </w:t>
      </w:r>
      <w:r>
        <w:rPr>
          <w:rFonts w:ascii="Cambria" w:hAnsi="Cambria"/>
          <w:sz w:val="20"/>
        </w:rPr>
        <w:t>Breakdown</w:t>
      </w:r>
      <w:r>
        <w:rPr>
          <w:rFonts w:ascii="Cambria" w:hAnsi="Cambria"/>
          <w:spacing w:val="7"/>
          <w:sz w:val="20"/>
        </w:rPr>
        <w:t> </w:t>
      </w:r>
      <w:r>
        <w:rPr>
          <w:rFonts w:ascii="Cambria" w:hAnsi="Cambria"/>
          <w:sz w:val="20"/>
        </w:rPr>
        <w:t>of</w:t>
      </w:r>
      <w:r>
        <w:rPr>
          <w:rFonts w:ascii="Cambria" w:hAnsi="Cambria"/>
          <w:spacing w:val="5"/>
          <w:sz w:val="20"/>
        </w:rPr>
        <w:t> </w:t>
      </w:r>
      <w:r>
        <w:rPr>
          <w:rFonts w:ascii="Cambria" w:hAnsi="Cambria"/>
          <w:sz w:val="20"/>
        </w:rPr>
        <w:t>Women</w:t>
      </w:r>
      <w:r>
        <w:rPr>
          <w:rFonts w:ascii="Cambria" w:hAnsi="Cambria"/>
          <w:spacing w:val="7"/>
          <w:sz w:val="20"/>
        </w:rPr>
        <w:t> </w:t>
      </w:r>
      <w:r>
        <w:rPr>
          <w:rFonts w:ascii="Cambria" w:hAnsi="Cambria"/>
          <w:sz w:val="20"/>
        </w:rPr>
        <w:t>in</w:t>
      </w:r>
      <w:r>
        <w:rPr>
          <w:rFonts w:ascii="Cambria" w:hAnsi="Cambria"/>
          <w:spacing w:val="7"/>
          <w:sz w:val="20"/>
        </w:rPr>
        <w:t> </w:t>
      </w:r>
      <w:r>
        <w:rPr>
          <w:rFonts w:ascii="Cambria" w:hAnsi="Cambria"/>
          <w:sz w:val="20"/>
        </w:rPr>
        <w:t>Shakespeare’s</w:t>
      </w:r>
      <w:r>
        <w:rPr>
          <w:rFonts w:ascii="Cambria" w:hAnsi="Cambria"/>
          <w:sz w:val="20"/>
        </w:rPr>
        <w:t> Plays</w:t>
      </w:r>
      <w:r>
        <w:rPr>
          <w:b/>
          <w:sz w:val="20"/>
        </w:rPr>
        <w:t>—Sandhya</w:t>
      </w:r>
      <w:r>
        <w:rPr>
          <w:b/>
          <w:spacing w:val="-9"/>
          <w:sz w:val="20"/>
        </w:rPr>
        <w:t> </w:t>
      </w:r>
      <w:r>
        <w:rPr>
          <w:b/>
          <w:sz w:val="20"/>
        </w:rPr>
        <w:t>Rani</w:t>
      </w:r>
      <w:r>
        <w:rPr>
          <w:b/>
          <w:spacing w:val="-10"/>
          <w:sz w:val="20"/>
        </w:rPr>
        <w:t> </w:t>
      </w:r>
      <w:r>
        <w:rPr>
          <w:b/>
          <w:sz w:val="20"/>
        </w:rPr>
        <w:t>Kandanala</w:t>
      </w:r>
      <w:r>
        <w:rPr>
          <w:sz w:val="20"/>
        </w:rPr>
        <w:tab/>
      </w:r>
      <w:r>
        <w:rPr>
          <w:rFonts w:ascii="Cambria" w:hAnsi="Cambria"/>
          <w:spacing w:val="-24"/>
          <w:sz w:val="20"/>
        </w:rPr>
        <w:t>117</w:t>
      </w:r>
    </w:p>
    <w:p>
      <w:pPr>
        <w:pStyle w:val="ListParagraph"/>
        <w:numPr>
          <w:ilvl w:val="0"/>
          <w:numId w:val="2"/>
        </w:numPr>
        <w:tabs>
          <w:tab w:pos="2025" w:val="left" w:leader="none"/>
        </w:tabs>
        <w:spacing w:line="240" w:lineRule="auto" w:before="55" w:after="0"/>
        <w:ind w:left="2025" w:right="2111" w:hanging="519"/>
        <w:jc w:val="left"/>
        <w:rPr>
          <w:rFonts w:ascii="Cambria"/>
          <w:sz w:val="20"/>
        </w:rPr>
      </w:pPr>
      <w:r>
        <w:rPr>
          <w:rFonts w:ascii="Cambria"/>
          <w:spacing w:val="-2"/>
          <w:sz w:val="20"/>
        </w:rPr>
        <w:t>Eco-Feminist Ethics in The Selected Works of William </w:t>
      </w:r>
      <w:r>
        <w:rPr>
          <w:rFonts w:ascii="Cambria"/>
          <w:spacing w:val="-4"/>
          <w:sz w:val="20"/>
        </w:rPr>
        <w:t>Shakespeare</w:t>
      </w:r>
      <w:r>
        <w:rPr>
          <w:rFonts w:ascii="Cambria"/>
          <w:spacing w:val="14"/>
          <w:sz w:val="20"/>
        </w:rPr>
        <w:t> </w:t>
      </w:r>
      <w:r>
        <w:rPr>
          <w:rFonts w:ascii="Cambria"/>
          <w:spacing w:val="-4"/>
          <w:sz w:val="20"/>
        </w:rPr>
        <w:t>and</w:t>
      </w:r>
      <w:r>
        <w:rPr>
          <w:rFonts w:ascii="Cambria"/>
          <w:sz w:val="20"/>
        </w:rPr>
        <w:t> </w:t>
      </w:r>
      <w:r>
        <w:rPr>
          <w:rFonts w:ascii="Cambria"/>
          <w:spacing w:val="-4"/>
          <w:sz w:val="20"/>
        </w:rPr>
        <w:t>Amitav</w:t>
      </w:r>
      <w:r>
        <w:rPr>
          <w:rFonts w:ascii="Cambria"/>
          <w:spacing w:val="13"/>
          <w:sz w:val="20"/>
        </w:rPr>
        <w:t> </w:t>
      </w:r>
      <w:r>
        <w:rPr>
          <w:rFonts w:ascii="Cambria"/>
          <w:spacing w:val="-4"/>
          <w:sz w:val="20"/>
        </w:rPr>
        <w:t>Ghosh:</w:t>
      </w:r>
      <w:r>
        <w:rPr>
          <w:rFonts w:ascii="Cambria"/>
          <w:sz w:val="20"/>
        </w:rPr>
        <w:t> </w:t>
      </w:r>
      <w:r>
        <w:rPr>
          <w:rFonts w:ascii="Cambria"/>
          <w:spacing w:val="-4"/>
          <w:sz w:val="20"/>
        </w:rPr>
        <w:t>A</w:t>
      </w:r>
      <w:r>
        <w:rPr>
          <w:rFonts w:ascii="Cambria"/>
          <w:sz w:val="20"/>
        </w:rPr>
        <w:t> </w:t>
      </w:r>
      <w:r>
        <w:rPr>
          <w:rFonts w:ascii="Cambria"/>
          <w:spacing w:val="-4"/>
          <w:sz w:val="20"/>
        </w:rPr>
        <w:t>Comparative</w:t>
      </w:r>
      <w:r>
        <w:rPr>
          <w:rFonts w:ascii="Cambria"/>
          <w:spacing w:val="15"/>
          <w:sz w:val="20"/>
        </w:rPr>
        <w:t> </w:t>
      </w:r>
      <w:r>
        <w:rPr>
          <w:rFonts w:ascii="Cambria"/>
          <w:spacing w:val="-4"/>
          <w:sz w:val="20"/>
        </w:rPr>
        <w:t>Study</w:t>
      </w:r>
    </w:p>
    <w:p>
      <w:pPr>
        <w:pStyle w:val="Heading6"/>
        <w:tabs>
          <w:tab w:pos="6931" w:val="left" w:leader="none"/>
        </w:tabs>
        <w:spacing w:line="231" w:lineRule="exact" w:before="0"/>
        <w:ind w:left="2025"/>
        <w:rPr>
          <w:rFonts w:ascii="Cambria" w:hAnsi="Cambria"/>
          <w:b w:val="0"/>
        </w:rPr>
      </w:pPr>
      <w:r>
        <w:rPr>
          <w:spacing w:val="-4"/>
        </w:rPr>
        <w:t>—Sushanta</w:t>
      </w:r>
      <w:r>
        <w:rPr>
          <w:spacing w:val="-6"/>
        </w:rPr>
        <w:t> </w:t>
      </w:r>
      <w:r>
        <w:rPr>
          <w:spacing w:val="-4"/>
        </w:rPr>
        <w:t>Kumar Mahalik</w:t>
      </w:r>
      <w:r>
        <w:rPr>
          <w:b w:val="0"/>
        </w:rPr>
        <w:tab/>
      </w:r>
      <w:r>
        <w:rPr>
          <w:rFonts w:ascii="Cambria" w:hAnsi="Cambria"/>
          <w:b w:val="0"/>
          <w:spacing w:val="-5"/>
        </w:rPr>
        <w:t>131</w:t>
      </w:r>
    </w:p>
    <w:p>
      <w:pPr>
        <w:pStyle w:val="ListParagraph"/>
        <w:numPr>
          <w:ilvl w:val="0"/>
          <w:numId w:val="2"/>
        </w:numPr>
        <w:tabs>
          <w:tab w:pos="2025" w:val="left" w:leader="none"/>
        </w:tabs>
        <w:spacing w:line="240" w:lineRule="auto" w:before="54" w:after="0"/>
        <w:ind w:left="2025" w:right="2534" w:hanging="519"/>
        <w:jc w:val="left"/>
        <w:rPr>
          <w:rFonts w:ascii="Cambria" w:hAnsi="Cambria"/>
          <w:sz w:val="20"/>
        </w:rPr>
      </w:pPr>
      <w:r>
        <w:rPr>
          <w:rFonts w:ascii="Cambria" w:hAnsi="Cambria"/>
          <w:sz w:val="20"/>
        </w:rPr>
        <w:t>Voices</w:t>
      </w:r>
      <w:r>
        <w:rPr>
          <w:rFonts w:ascii="Cambria" w:hAnsi="Cambria"/>
          <w:spacing w:val="-1"/>
          <w:sz w:val="20"/>
        </w:rPr>
        <w:t> </w:t>
      </w:r>
      <w:r>
        <w:rPr>
          <w:rFonts w:ascii="Cambria" w:hAnsi="Cambria"/>
          <w:sz w:val="20"/>
        </w:rPr>
        <w:t>in</w:t>
      </w:r>
      <w:r>
        <w:rPr>
          <w:rFonts w:ascii="Cambria" w:hAnsi="Cambria"/>
          <w:spacing w:val="2"/>
          <w:sz w:val="20"/>
        </w:rPr>
        <w:t> </w:t>
      </w:r>
      <w:r>
        <w:rPr>
          <w:rFonts w:ascii="Cambria" w:hAnsi="Cambria"/>
          <w:sz w:val="20"/>
        </w:rPr>
        <w:t>Silence:</w:t>
      </w:r>
      <w:r>
        <w:rPr>
          <w:rFonts w:ascii="Cambria" w:hAnsi="Cambria"/>
          <w:spacing w:val="-7"/>
          <w:sz w:val="20"/>
        </w:rPr>
        <w:t> </w:t>
      </w:r>
      <w:r>
        <w:rPr>
          <w:rFonts w:ascii="Cambria" w:hAnsi="Cambria"/>
          <w:sz w:val="20"/>
        </w:rPr>
        <w:t>A</w:t>
      </w:r>
      <w:r>
        <w:rPr>
          <w:rFonts w:ascii="Cambria" w:hAnsi="Cambria"/>
          <w:spacing w:val="-6"/>
          <w:sz w:val="20"/>
        </w:rPr>
        <w:t> </w:t>
      </w:r>
      <w:r>
        <w:rPr>
          <w:rFonts w:ascii="Cambria" w:hAnsi="Cambria"/>
          <w:sz w:val="20"/>
        </w:rPr>
        <w:t>Feminist</w:t>
      </w:r>
      <w:r>
        <w:rPr>
          <w:rFonts w:ascii="Cambria" w:hAnsi="Cambria"/>
          <w:spacing w:val="1"/>
          <w:sz w:val="20"/>
        </w:rPr>
        <w:t> </w:t>
      </w:r>
      <w:r>
        <w:rPr>
          <w:rFonts w:ascii="Cambria" w:hAnsi="Cambria"/>
          <w:sz w:val="20"/>
        </w:rPr>
        <w:t>Study</w:t>
      </w:r>
      <w:r>
        <w:rPr>
          <w:rFonts w:ascii="Cambria" w:hAnsi="Cambria"/>
          <w:spacing w:val="1"/>
          <w:sz w:val="20"/>
        </w:rPr>
        <w:t> </w:t>
      </w:r>
      <w:r>
        <w:rPr>
          <w:rFonts w:ascii="Cambria" w:hAnsi="Cambria"/>
          <w:sz w:val="20"/>
        </w:rPr>
        <w:t>of Language, </w:t>
      </w:r>
      <w:r>
        <w:rPr>
          <w:rFonts w:ascii="Cambria" w:hAnsi="Cambria"/>
          <w:spacing w:val="-4"/>
          <w:sz w:val="20"/>
        </w:rPr>
        <w:t>Power,</w:t>
      </w:r>
      <w:r>
        <w:rPr>
          <w:rFonts w:ascii="Cambria" w:hAnsi="Cambria"/>
          <w:spacing w:val="4"/>
          <w:sz w:val="20"/>
        </w:rPr>
        <w:t> </w:t>
      </w:r>
      <w:r>
        <w:rPr>
          <w:rFonts w:ascii="Cambria" w:hAnsi="Cambria"/>
          <w:spacing w:val="-4"/>
          <w:sz w:val="20"/>
        </w:rPr>
        <w:t>and</w:t>
      </w:r>
      <w:r>
        <w:rPr>
          <w:rFonts w:ascii="Cambria" w:hAnsi="Cambria"/>
          <w:spacing w:val="5"/>
          <w:sz w:val="20"/>
        </w:rPr>
        <w:t> </w:t>
      </w:r>
      <w:r>
        <w:rPr>
          <w:rFonts w:ascii="Cambria" w:hAnsi="Cambria"/>
          <w:spacing w:val="-4"/>
          <w:sz w:val="20"/>
        </w:rPr>
        <w:t>Suppression</w:t>
      </w:r>
      <w:r>
        <w:rPr>
          <w:rFonts w:ascii="Cambria" w:hAnsi="Cambria"/>
          <w:spacing w:val="5"/>
          <w:sz w:val="20"/>
        </w:rPr>
        <w:t> </w:t>
      </w:r>
      <w:r>
        <w:rPr>
          <w:rFonts w:ascii="Cambria" w:hAnsi="Cambria"/>
          <w:spacing w:val="-4"/>
          <w:sz w:val="20"/>
        </w:rPr>
        <w:t>in</w:t>
      </w:r>
      <w:r>
        <w:rPr>
          <w:rFonts w:ascii="Cambria" w:hAnsi="Cambria"/>
          <w:spacing w:val="3"/>
          <w:sz w:val="20"/>
        </w:rPr>
        <w:t> </w:t>
      </w:r>
      <w:r>
        <w:rPr>
          <w:rFonts w:ascii="Cambria" w:hAnsi="Cambria"/>
          <w:spacing w:val="-4"/>
          <w:sz w:val="20"/>
        </w:rPr>
        <w:t>Shakespeare’s</w:t>
      </w:r>
      <w:r>
        <w:rPr>
          <w:rFonts w:ascii="Cambria" w:hAnsi="Cambria"/>
          <w:spacing w:val="4"/>
          <w:sz w:val="20"/>
        </w:rPr>
        <w:t> </w:t>
      </w:r>
      <w:r>
        <w:rPr>
          <w:rFonts w:ascii="Cambria" w:hAnsi="Cambria"/>
          <w:spacing w:val="-4"/>
          <w:sz w:val="20"/>
        </w:rPr>
        <w:t>Female</w:t>
      </w:r>
    </w:p>
    <w:p>
      <w:pPr>
        <w:tabs>
          <w:tab w:pos="6931" w:val="left" w:leader="none"/>
        </w:tabs>
        <w:spacing w:line="231" w:lineRule="exact" w:before="0"/>
        <w:ind w:left="2025" w:right="0" w:firstLine="0"/>
        <w:jc w:val="left"/>
        <w:rPr>
          <w:rFonts w:ascii="Cambria" w:hAnsi="Cambria"/>
          <w:sz w:val="20"/>
        </w:rPr>
      </w:pPr>
      <w:r>
        <w:rPr>
          <w:rFonts w:ascii="Cambria" w:hAnsi="Cambria"/>
          <w:spacing w:val="-4"/>
          <w:sz w:val="20"/>
        </w:rPr>
        <w:t>Characters</w:t>
      </w:r>
      <w:r>
        <w:rPr>
          <w:b/>
          <w:spacing w:val="-4"/>
          <w:sz w:val="20"/>
        </w:rPr>
        <w:t>—H.</w:t>
      </w:r>
      <w:r>
        <w:rPr>
          <w:b/>
          <w:spacing w:val="-3"/>
          <w:sz w:val="20"/>
        </w:rPr>
        <w:t> </w:t>
      </w:r>
      <w:r>
        <w:rPr>
          <w:b/>
          <w:spacing w:val="-4"/>
          <w:sz w:val="20"/>
        </w:rPr>
        <w:t>B. Razia</w:t>
      </w:r>
      <w:r>
        <w:rPr>
          <w:b/>
          <w:spacing w:val="-3"/>
          <w:sz w:val="20"/>
        </w:rPr>
        <w:t> </w:t>
      </w:r>
      <w:r>
        <w:rPr>
          <w:b/>
          <w:spacing w:val="-4"/>
          <w:sz w:val="20"/>
        </w:rPr>
        <w:t>Sultana</w:t>
      </w:r>
      <w:r>
        <w:rPr>
          <w:sz w:val="20"/>
        </w:rPr>
        <w:tab/>
      </w:r>
      <w:r>
        <w:rPr>
          <w:rFonts w:ascii="Cambria" w:hAnsi="Cambria"/>
          <w:spacing w:val="-5"/>
          <w:sz w:val="20"/>
        </w:rPr>
        <w:t>148</w:t>
      </w:r>
    </w:p>
    <w:p>
      <w:pPr>
        <w:pStyle w:val="ListParagraph"/>
        <w:numPr>
          <w:ilvl w:val="0"/>
          <w:numId w:val="2"/>
        </w:numPr>
        <w:tabs>
          <w:tab w:pos="2025" w:val="left" w:leader="none"/>
          <w:tab w:pos="6931" w:val="left" w:leader="none"/>
        </w:tabs>
        <w:spacing w:line="235" w:lineRule="auto" w:before="60" w:after="0"/>
        <w:ind w:left="2025" w:right="1436" w:hanging="519"/>
        <w:jc w:val="left"/>
        <w:rPr>
          <w:rFonts w:ascii="Cambria" w:hAnsi="Cambria"/>
          <w:sz w:val="20"/>
        </w:rPr>
      </w:pPr>
      <w:r>
        <w:rPr>
          <w:rFonts w:ascii="Cambria" w:hAnsi="Cambria"/>
          <w:sz w:val="20"/>
        </w:rPr>
        <w:t>Power</w:t>
      </w:r>
      <w:r>
        <w:rPr>
          <w:rFonts w:ascii="Cambria" w:hAnsi="Cambria"/>
          <w:spacing w:val="15"/>
          <w:sz w:val="20"/>
        </w:rPr>
        <w:t> </w:t>
      </w:r>
      <w:r>
        <w:rPr>
          <w:rFonts w:ascii="Cambria" w:hAnsi="Cambria"/>
          <w:sz w:val="20"/>
        </w:rPr>
        <w:t>and</w:t>
      </w:r>
      <w:r>
        <w:rPr>
          <w:rFonts w:ascii="Cambria" w:hAnsi="Cambria"/>
          <w:spacing w:val="16"/>
          <w:sz w:val="20"/>
        </w:rPr>
        <w:t> </w:t>
      </w:r>
      <w:r>
        <w:rPr>
          <w:rFonts w:ascii="Cambria" w:hAnsi="Cambria"/>
          <w:sz w:val="20"/>
        </w:rPr>
        <w:t>Marginalisation:</w:t>
      </w:r>
      <w:r>
        <w:rPr>
          <w:rFonts w:ascii="Cambria" w:hAnsi="Cambria"/>
          <w:spacing w:val="11"/>
          <w:sz w:val="20"/>
        </w:rPr>
        <w:t> </w:t>
      </w:r>
      <w:r>
        <w:rPr>
          <w:rFonts w:ascii="Cambria" w:hAnsi="Cambria"/>
          <w:sz w:val="20"/>
        </w:rPr>
        <w:t>Women</w:t>
      </w:r>
      <w:r>
        <w:rPr>
          <w:rFonts w:ascii="Cambria" w:hAnsi="Cambria"/>
          <w:spacing w:val="13"/>
          <w:sz w:val="20"/>
        </w:rPr>
        <w:t> </w:t>
      </w:r>
      <w:r>
        <w:rPr>
          <w:rFonts w:ascii="Cambria" w:hAnsi="Cambria"/>
          <w:sz w:val="20"/>
        </w:rPr>
        <w:t>as</w:t>
      </w:r>
      <w:r>
        <w:rPr>
          <w:rFonts w:ascii="Cambria" w:hAnsi="Cambria"/>
          <w:spacing w:val="13"/>
          <w:sz w:val="20"/>
        </w:rPr>
        <w:t> </w:t>
      </w:r>
      <w:r>
        <w:rPr>
          <w:rFonts w:ascii="Cambria" w:hAnsi="Cambria"/>
          <w:sz w:val="20"/>
        </w:rPr>
        <w:t>“Other”</w:t>
      </w:r>
      <w:r>
        <w:rPr>
          <w:rFonts w:ascii="Cambria" w:hAnsi="Cambria"/>
          <w:spacing w:val="12"/>
          <w:sz w:val="20"/>
        </w:rPr>
        <w:t> </w:t>
      </w:r>
      <w:r>
        <w:rPr>
          <w:rFonts w:ascii="Cambria" w:hAnsi="Cambria"/>
          <w:sz w:val="20"/>
        </w:rPr>
        <w:t>in Shakespeare</w:t>
      </w:r>
      <w:r>
        <w:rPr>
          <w:b/>
          <w:sz w:val="20"/>
        </w:rPr>
        <w:t>—Dr. B. Prathima</w:t>
      </w:r>
      <w:r>
        <w:rPr>
          <w:sz w:val="20"/>
        </w:rPr>
        <w:tab/>
      </w:r>
      <w:r>
        <w:rPr>
          <w:rFonts w:ascii="Cambria" w:hAnsi="Cambria"/>
          <w:spacing w:val="-24"/>
          <w:sz w:val="20"/>
        </w:rPr>
        <w:t>155</w:t>
      </w:r>
    </w:p>
    <w:p>
      <w:pPr>
        <w:pStyle w:val="ListParagraph"/>
        <w:numPr>
          <w:ilvl w:val="0"/>
          <w:numId w:val="2"/>
        </w:numPr>
        <w:tabs>
          <w:tab w:pos="2026" w:val="left" w:leader="none"/>
        </w:tabs>
        <w:spacing w:line="234" w:lineRule="exact" w:before="57" w:after="0"/>
        <w:ind w:left="2026" w:right="0" w:hanging="519"/>
        <w:jc w:val="left"/>
        <w:rPr>
          <w:rFonts w:ascii="Cambria" w:hAnsi="Cambria"/>
          <w:sz w:val="20"/>
        </w:rPr>
      </w:pPr>
      <w:r>
        <w:rPr>
          <w:rFonts w:ascii="Cambria" w:hAnsi="Cambria"/>
          <w:spacing w:val="-4"/>
          <w:sz w:val="20"/>
        </w:rPr>
        <w:t>Revisiting</w:t>
      </w:r>
      <w:r>
        <w:rPr>
          <w:rFonts w:ascii="Cambria" w:hAnsi="Cambria"/>
          <w:spacing w:val="11"/>
          <w:sz w:val="20"/>
        </w:rPr>
        <w:t> </w:t>
      </w:r>
      <w:r>
        <w:rPr>
          <w:rFonts w:ascii="Cambria" w:hAnsi="Cambria"/>
          <w:spacing w:val="-4"/>
          <w:sz w:val="20"/>
        </w:rPr>
        <w:t>Shakespeare’s</w:t>
      </w:r>
      <w:r>
        <w:rPr>
          <w:rFonts w:ascii="Cambria" w:hAnsi="Cambria"/>
          <w:spacing w:val="11"/>
          <w:sz w:val="20"/>
        </w:rPr>
        <w:t> </w:t>
      </w:r>
      <w:r>
        <w:rPr>
          <w:rFonts w:ascii="Cambria" w:hAnsi="Cambria"/>
          <w:spacing w:val="-4"/>
          <w:sz w:val="20"/>
        </w:rPr>
        <w:t>Women:</w:t>
      </w:r>
      <w:r>
        <w:rPr>
          <w:rFonts w:ascii="Cambria" w:hAnsi="Cambria"/>
          <w:spacing w:val="12"/>
          <w:sz w:val="20"/>
        </w:rPr>
        <w:t> </w:t>
      </w:r>
      <w:r>
        <w:rPr>
          <w:rFonts w:ascii="Cambria" w:hAnsi="Cambria"/>
          <w:spacing w:val="-4"/>
          <w:sz w:val="20"/>
        </w:rPr>
        <w:t>Traces</w:t>
      </w:r>
      <w:r>
        <w:rPr>
          <w:rFonts w:ascii="Cambria" w:hAnsi="Cambria"/>
          <w:spacing w:val="12"/>
          <w:sz w:val="20"/>
        </w:rPr>
        <w:t> </w:t>
      </w:r>
      <w:r>
        <w:rPr>
          <w:rFonts w:ascii="Cambria" w:hAnsi="Cambria"/>
          <w:spacing w:val="-4"/>
          <w:sz w:val="20"/>
        </w:rPr>
        <w:t>of</w:t>
      </w:r>
      <w:r>
        <w:rPr>
          <w:rFonts w:ascii="Cambria" w:hAnsi="Cambria"/>
          <w:spacing w:val="11"/>
          <w:sz w:val="20"/>
        </w:rPr>
        <w:t> </w:t>
      </w:r>
      <w:r>
        <w:rPr>
          <w:rFonts w:ascii="Cambria" w:hAnsi="Cambria"/>
          <w:spacing w:val="-4"/>
          <w:sz w:val="20"/>
        </w:rPr>
        <w:t>Fluidity</w:t>
      </w:r>
    </w:p>
    <w:p>
      <w:pPr>
        <w:tabs>
          <w:tab w:pos="6931" w:val="left" w:leader="none"/>
        </w:tabs>
        <w:spacing w:line="234" w:lineRule="exact" w:before="0"/>
        <w:ind w:left="2025" w:right="0" w:firstLine="0"/>
        <w:jc w:val="left"/>
        <w:rPr>
          <w:rFonts w:ascii="Cambria" w:hAnsi="Cambria"/>
          <w:sz w:val="20"/>
        </w:rPr>
      </w:pPr>
      <w:r>
        <w:rPr>
          <w:rFonts w:ascii="Cambria" w:hAnsi="Cambria"/>
          <w:spacing w:val="-6"/>
          <w:sz w:val="20"/>
        </w:rPr>
        <w:t>and</w:t>
      </w:r>
      <w:r>
        <w:rPr>
          <w:rFonts w:ascii="Cambria" w:hAnsi="Cambria"/>
          <w:spacing w:val="-7"/>
          <w:sz w:val="20"/>
        </w:rPr>
        <w:t> </w:t>
      </w:r>
      <w:r>
        <w:rPr>
          <w:rFonts w:ascii="Cambria" w:hAnsi="Cambria"/>
          <w:spacing w:val="-6"/>
          <w:sz w:val="20"/>
        </w:rPr>
        <w:t>Form</w:t>
      </w:r>
      <w:r>
        <w:rPr>
          <w:b/>
          <w:spacing w:val="-6"/>
          <w:sz w:val="20"/>
        </w:rPr>
        <w:t>—Aishwarya</w:t>
      </w:r>
      <w:r>
        <w:rPr>
          <w:b/>
          <w:spacing w:val="-16"/>
          <w:sz w:val="20"/>
        </w:rPr>
        <w:t> </w:t>
      </w:r>
      <w:r>
        <w:rPr>
          <w:b/>
          <w:spacing w:val="-6"/>
          <w:sz w:val="20"/>
        </w:rPr>
        <w:t>Vedula</w:t>
      </w:r>
      <w:r>
        <w:rPr>
          <w:sz w:val="20"/>
        </w:rPr>
        <w:tab/>
      </w:r>
      <w:r>
        <w:rPr>
          <w:rFonts w:ascii="Cambria" w:hAnsi="Cambria"/>
          <w:spacing w:val="-5"/>
          <w:sz w:val="20"/>
        </w:rPr>
        <w:t>166</w:t>
      </w:r>
    </w:p>
    <w:p>
      <w:pPr>
        <w:pStyle w:val="ListParagraph"/>
        <w:numPr>
          <w:ilvl w:val="0"/>
          <w:numId w:val="2"/>
        </w:numPr>
        <w:tabs>
          <w:tab w:pos="2026" w:val="left" w:leader="none"/>
        </w:tabs>
        <w:spacing w:line="232" w:lineRule="exact" w:before="56" w:after="0"/>
        <w:ind w:left="2026" w:right="0" w:hanging="519"/>
        <w:jc w:val="left"/>
        <w:rPr>
          <w:rFonts w:ascii="Cambria"/>
          <w:sz w:val="20"/>
        </w:rPr>
      </w:pPr>
      <w:r>
        <w:rPr>
          <w:rFonts w:ascii="Cambria"/>
          <w:spacing w:val="-4"/>
          <w:sz w:val="20"/>
        </w:rPr>
        <w:t>Juxtaposing</w:t>
      </w:r>
      <w:r>
        <w:rPr>
          <w:rFonts w:ascii="Cambria"/>
          <w:spacing w:val="14"/>
          <w:sz w:val="20"/>
        </w:rPr>
        <w:t> </w:t>
      </w:r>
      <w:r>
        <w:rPr>
          <w:rFonts w:ascii="Cambria"/>
          <w:spacing w:val="-4"/>
          <w:sz w:val="20"/>
        </w:rPr>
        <w:t>Female</w:t>
      </w:r>
      <w:r>
        <w:rPr>
          <w:rFonts w:ascii="Cambria"/>
          <w:spacing w:val="18"/>
          <w:sz w:val="20"/>
        </w:rPr>
        <w:t> </w:t>
      </w:r>
      <w:r>
        <w:rPr>
          <w:rFonts w:ascii="Cambria"/>
          <w:spacing w:val="-4"/>
          <w:sz w:val="20"/>
        </w:rPr>
        <w:t>Characters</w:t>
      </w:r>
      <w:r>
        <w:rPr>
          <w:rFonts w:ascii="Cambria"/>
          <w:spacing w:val="15"/>
          <w:sz w:val="20"/>
        </w:rPr>
        <w:t> </w:t>
      </w:r>
      <w:r>
        <w:rPr>
          <w:rFonts w:ascii="Cambria"/>
          <w:spacing w:val="-4"/>
          <w:sz w:val="20"/>
        </w:rPr>
        <w:t>in</w:t>
      </w:r>
      <w:r>
        <w:rPr>
          <w:rFonts w:ascii="Cambria"/>
          <w:spacing w:val="16"/>
          <w:sz w:val="20"/>
        </w:rPr>
        <w:t> </w:t>
      </w:r>
      <w:r>
        <w:rPr>
          <w:rFonts w:ascii="Cambria"/>
          <w:spacing w:val="-4"/>
          <w:sz w:val="20"/>
        </w:rPr>
        <w:t>Macbeth</w:t>
      </w:r>
      <w:r>
        <w:rPr>
          <w:rFonts w:ascii="Cambria"/>
          <w:spacing w:val="15"/>
          <w:sz w:val="20"/>
        </w:rPr>
        <w:t> </w:t>
      </w:r>
      <w:r>
        <w:rPr>
          <w:rFonts w:ascii="Cambria"/>
          <w:spacing w:val="-5"/>
          <w:sz w:val="20"/>
        </w:rPr>
        <w:t>and</w:t>
      </w:r>
    </w:p>
    <w:p>
      <w:pPr>
        <w:tabs>
          <w:tab w:pos="6931" w:val="left" w:leader="none"/>
        </w:tabs>
        <w:spacing w:line="232" w:lineRule="exact" w:before="0"/>
        <w:ind w:left="2025" w:right="0" w:firstLine="0"/>
        <w:jc w:val="left"/>
        <w:rPr>
          <w:rFonts w:ascii="Cambria" w:hAnsi="Cambria"/>
          <w:sz w:val="20"/>
        </w:rPr>
      </w:pPr>
      <w:r>
        <w:rPr>
          <w:rFonts w:ascii="Cambria" w:hAnsi="Cambria"/>
          <w:spacing w:val="-2"/>
          <w:sz w:val="20"/>
        </w:rPr>
        <w:t>The</w:t>
      </w:r>
      <w:r>
        <w:rPr>
          <w:rFonts w:ascii="Cambria" w:hAnsi="Cambria"/>
          <w:spacing w:val="-5"/>
          <w:sz w:val="20"/>
        </w:rPr>
        <w:t> </w:t>
      </w:r>
      <w:r>
        <w:rPr>
          <w:rFonts w:ascii="Cambria" w:hAnsi="Cambria"/>
          <w:spacing w:val="-2"/>
          <w:sz w:val="20"/>
        </w:rPr>
        <w:t>Merchant of</w:t>
      </w:r>
      <w:r>
        <w:rPr>
          <w:rFonts w:ascii="Cambria" w:hAnsi="Cambria"/>
          <w:spacing w:val="-7"/>
          <w:sz w:val="20"/>
        </w:rPr>
        <w:t> </w:t>
      </w:r>
      <w:r>
        <w:rPr>
          <w:rFonts w:ascii="Cambria" w:hAnsi="Cambria"/>
          <w:spacing w:val="-2"/>
          <w:sz w:val="20"/>
        </w:rPr>
        <w:t>Venice</w:t>
      </w:r>
      <w:r>
        <w:rPr>
          <w:b/>
          <w:spacing w:val="-2"/>
          <w:sz w:val="20"/>
        </w:rPr>
        <w:t>—Dr.</w:t>
      </w:r>
      <w:r>
        <w:rPr>
          <w:b/>
          <w:spacing w:val="-8"/>
          <w:sz w:val="20"/>
        </w:rPr>
        <w:t> </w:t>
      </w:r>
      <w:r>
        <w:rPr>
          <w:b/>
          <w:spacing w:val="-2"/>
          <w:sz w:val="20"/>
        </w:rPr>
        <w:t>P.</w:t>
      </w:r>
      <w:r>
        <w:rPr>
          <w:b/>
          <w:spacing w:val="-10"/>
          <w:sz w:val="20"/>
        </w:rPr>
        <w:t> </w:t>
      </w:r>
      <w:r>
        <w:rPr>
          <w:b/>
          <w:spacing w:val="-2"/>
          <w:sz w:val="20"/>
        </w:rPr>
        <w:t>Kiruthika;</w:t>
      </w:r>
      <w:r>
        <w:rPr>
          <w:b/>
          <w:spacing w:val="-8"/>
          <w:sz w:val="20"/>
        </w:rPr>
        <w:t> </w:t>
      </w:r>
      <w:r>
        <w:rPr>
          <w:b/>
          <w:spacing w:val="-2"/>
          <w:sz w:val="20"/>
        </w:rPr>
        <w:t>Dr.T.</w:t>
      </w:r>
      <w:r>
        <w:rPr>
          <w:b/>
          <w:spacing w:val="-8"/>
          <w:sz w:val="20"/>
        </w:rPr>
        <w:t> </w:t>
      </w:r>
      <w:r>
        <w:rPr>
          <w:b/>
          <w:spacing w:val="-2"/>
          <w:sz w:val="20"/>
        </w:rPr>
        <w:t>Geetha</w:t>
      </w:r>
      <w:r>
        <w:rPr>
          <w:sz w:val="20"/>
        </w:rPr>
        <w:tab/>
      </w:r>
      <w:r>
        <w:rPr>
          <w:rFonts w:ascii="Cambria" w:hAnsi="Cambria"/>
          <w:spacing w:val="-5"/>
          <w:sz w:val="20"/>
        </w:rPr>
        <w:t>183</w:t>
      </w:r>
    </w:p>
    <w:p>
      <w:pPr>
        <w:pStyle w:val="ListParagraph"/>
        <w:numPr>
          <w:ilvl w:val="0"/>
          <w:numId w:val="2"/>
        </w:numPr>
        <w:tabs>
          <w:tab w:pos="2025" w:val="left" w:leader="none"/>
          <w:tab w:pos="6931" w:val="left" w:leader="none"/>
        </w:tabs>
        <w:spacing w:line="240" w:lineRule="auto" w:before="56" w:after="0"/>
        <w:ind w:left="2025" w:right="1436" w:hanging="519"/>
        <w:jc w:val="left"/>
        <w:rPr>
          <w:rFonts w:ascii="Cambria" w:hAnsi="Cambria"/>
          <w:sz w:val="20"/>
        </w:rPr>
      </w:pPr>
      <w:r>
        <w:rPr>
          <w:rFonts w:ascii="Cambria" w:hAnsi="Cambria"/>
          <w:sz w:val="20"/>
        </w:rPr>
        <w:t>Beyond</w:t>
      </w:r>
      <w:r>
        <w:rPr>
          <w:rFonts w:ascii="Cambria" w:hAnsi="Cambria"/>
          <w:spacing w:val="13"/>
          <w:sz w:val="20"/>
        </w:rPr>
        <w:t> </w:t>
      </w:r>
      <w:r>
        <w:rPr>
          <w:rFonts w:ascii="Cambria" w:hAnsi="Cambria"/>
          <w:sz w:val="20"/>
        </w:rPr>
        <w:t>Kings</w:t>
      </w:r>
      <w:r>
        <w:rPr>
          <w:rFonts w:ascii="Cambria" w:hAnsi="Cambria"/>
          <w:spacing w:val="11"/>
          <w:sz w:val="20"/>
        </w:rPr>
        <w:t> </w:t>
      </w:r>
      <w:r>
        <w:rPr>
          <w:rFonts w:ascii="Cambria" w:hAnsi="Cambria"/>
          <w:sz w:val="20"/>
        </w:rPr>
        <w:t>and</w:t>
      </w:r>
      <w:r>
        <w:rPr>
          <w:rFonts w:ascii="Cambria" w:hAnsi="Cambria"/>
          <w:spacing w:val="11"/>
          <w:sz w:val="20"/>
        </w:rPr>
        <w:t> </w:t>
      </w:r>
      <w:r>
        <w:rPr>
          <w:rFonts w:ascii="Cambria" w:hAnsi="Cambria"/>
          <w:sz w:val="20"/>
        </w:rPr>
        <w:t>Wars:</w:t>
      </w:r>
      <w:r>
        <w:rPr>
          <w:rFonts w:ascii="Cambria" w:hAnsi="Cambria"/>
          <w:spacing w:val="14"/>
          <w:sz w:val="20"/>
        </w:rPr>
        <w:t> </w:t>
      </w:r>
      <w:r>
        <w:rPr>
          <w:rFonts w:ascii="Cambria" w:hAnsi="Cambria"/>
          <w:sz w:val="20"/>
        </w:rPr>
        <w:t>Re-examining Women</w:t>
      </w:r>
      <w:r>
        <w:rPr>
          <w:rFonts w:ascii="Cambria" w:hAnsi="Cambria"/>
          <w:spacing w:val="13"/>
          <w:sz w:val="20"/>
        </w:rPr>
        <w:t> </w:t>
      </w:r>
      <w:r>
        <w:rPr>
          <w:rFonts w:ascii="Cambria" w:hAnsi="Cambria"/>
          <w:sz w:val="20"/>
        </w:rPr>
        <w:t>in Shakespeare’s Historical Plays</w:t>
      </w:r>
      <w:r>
        <w:rPr>
          <w:b/>
          <w:sz w:val="20"/>
        </w:rPr>
        <w:t>—Boddupalli Bhavani</w:t>
      </w:r>
      <w:r>
        <w:rPr>
          <w:sz w:val="20"/>
        </w:rPr>
        <w:tab/>
      </w:r>
      <w:r>
        <w:rPr>
          <w:rFonts w:ascii="Cambria" w:hAnsi="Cambria"/>
          <w:spacing w:val="-24"/>
          <w:sz w:val="20"/>
        </w:rPr>
        <w:t>188</w:t>
      </w:r>
    </w:p>
    <w:p>
      <w:pPr>
        <w:pStyle w:val="ListParagraph"/>
        <w:numPr>
          <w:ilvl w:val="0"/>
          <w:numId w:val="2"/>
        </w:numPr>
        <w:tabs>
          <w:tab w:pos="2025" w:val="left" w:leader="none"/>
          <w:tab w:pos="6931" w:val="left" w:leader="none"/>
        </w:tabs>
        <w:spacing w:line="235" w:lineRule="auto" w:before="58" w:after="0"/>
        <w:ind w:left="2025" w:right="1436" w:hanging="519"/>
        <w:jc w:val="left"/>
        <w:rPr>
          <w:rFonts w:ascii="Cambria" w:hAnsi="Cambria"/>
          <w:sz w:val="20"/>
        </w:rPr>
      </w:pPr>
      <w:r>
        <w:rPr>
          <w:rFonts w:ascii="Cambria" w:hAnsi="Cambria"/>
          <w:sz w:val="20"/>
        </w:rPr>
        <w:t>Revisiting Shakespeare’s “Bad</w:t>
      </w:r>
      <w:r>
        <w:rPr>
          <w:rFonts w:ascii="Cambria" w:hAnsi="Cambria"/>
          <w:spacing w:val="19"/>
          <w:sz w:val="20"/>
        </w:rPr>
        <w:t> </w:t>
      </w:r>
      <w:r>
        <w:rPr>
          <w:rFonts w:ascii="Cambria" w:hAnsi="Cambria"/>
          <w:sz w:val="20"/>
        </w:rPr>
        <w:t>Women”: A Female Perspective</w:t>
      </w:r>
      <w:r>
        <w:rPr>
          <w:b/>
          <w:sz w:val="20"/>
        </w:rPr>
        <w:t>—Ramesh Chandra Pradhani</w:t>
      </w:r>
      <w:r>
        <w:rPr>
          <w:sz w:val="20"/>
        </w:rPr>
        <w:tab/>
      </w:r>
      <w:r>
        <w:rPr>
          <w:rFonts w:ascii="Cambria" w:hAnsi="Cambria"/>
          <w:spacing w:val="-24"/>
          <w:sz w:val="20"/>
        </w:rPr>
        <w:t>196</w:t>
      </w:r>
    </w:p>
    <w:p>
      <w:pPr>
        <w:pStyle w:val="ListParagraph"/>
        <w:numPr>
          <w:ilvl w:val="0"/>
          <w:numId w:val="2"/>
        </w:numPr>
        <w:tabs>
          <w:tab w:pos="2025" w:val="left" w:leader="none"/>
          <w:tab w:pos="6931" w:val="left" w:leader="none"/>
        </w:tabs>
        <w:spacing w:line="240" w:lineRule="auto" w:before="57" w:after="0"/>
        <w:ind w:left="2025" w:right="1436" w:hanging="519"/>
        <w:jc w:val="left"/>
        <w:rPr>
          <w:rFonts w:ascii="Cambria" w:hAnsi="Cambria"/>
          <w:sz w:val="20"/>
        </w:rPr>
      </w:pPr>
      <w:r>
        <w:rPr>
          <w:rFonts w:ascii="Cambria" w:hAnsi="Cambria"/>
          <w:sz w:val="20"/>
        </w:rPr>
        <w:t>Silenced</w:t>
      </w:r>
      <w:r>
        <w:rPr>
          <w:rFonts w:ascii="Cambria" w:hAnsi="Cambria"/>
          <w:spacing w:val="10"/>
          <w:sz w:val="20"/>
        </w:rPr>
        <w:t> </w:t>
      </w:r>
      <w:r>
        <w:rPr>
          <w:rFonts w:ascii="Cambria" w:hAnsi="Cambria"/>
          <w:sz w:val="20"/>
        </w:rPr>
        <w:t>Then,</w:t>
      </w:r>
      <w:r>
        <w:rPr>
          <w:rFonts w:ascii="Cambria" w:hAnsi="Cambria"/>
          <w:spacing w:val="8"/>
          <w:sz w:val="20"/>
        </w:rPr>
        <w:t> </w:t>
      </w:r>
      <w:r>
        <w:rPr>
          <w:rFonts w:ascii="Cambria" w:hAnsi="Cambria"/>
          <w:sz w:val="20"/>
        </w:rPr>
        <w:t>Speaking</w:t>
      </w:r>
      <w:r>
        <w:rPr>
          <w:rFonts w:ascii="Cambria" w:hAnsi="Cambria"/>
          <w:spacing w:val="8"/>
          <w:sz w:val="20"/>
        </w:rPr>
        <w:t> </w:t>
      </w:r>
      <w:r>
        <w:rPr>
          <w:rFonts w:ascii="Cambria" w:hAnsi="Cambria"/>
          <w:sz w:val="20"/>
        </w:rPr>
        <w:t>Now:</w:t>
      </w:r>
      <w:r>
        <w:rPr>
          <w:rFonts w:ascii="Cambria" w:hAnsi="Cambria"/>
          <w:spacing w:val="10"/>
          <w:sz w:val="20"/>
        </w:rPr>
        <w:t> </w:t>
      </w:r>
      <w:r>
        <w:rPr>
          <w:rFonts w:ascii="Cambria" w:hAnsi="Cambria"/>
          <w:sz w:val="20"/>
        </w:rPr>
        <w:t>Shakespeare</w:t>
      </w:r>
      <w:r>
        <w:rPr>
          <w:rFonts w:ascii="Cambria" w:hAnsi="Cambria"/>
          <w:spacing w:val="8"/>
          <w:sz w:val="20"/>
        </w:rPr>
        <w:t> </w:t>
      </w:r>
      <w:r>
        <w:rPr>
          <w:rFonts w:ascii="Cambria" w:hAnsi="Cambria"/>
          <w:sz w:val="20"/>
        </w:rPr>
        <w:t>and</w:t>
      </w:r>
      <w:r>
        <w:rPr>
          <w:rFonts w:ascii="Cambria" w:hAnsi="Cambria"/>
          <w:spacing w:val="10"/>
          <w:sz w:val="20"/>
        </w:rPr>
        <w:t> </w:t>
      </w:r>
      <w:r>
        <w:rPr>
          <w:rFonts w:ascii="Cambria" w:hAnsi="Cambria"/>
          <w:sz w:val="20"/>
        </w:rPr>
        <w:t>Heroines Through</w:t>
      </w:r>
      <w:r>
        <w:rPr>
          <w:rFonts w:ascii="Cambria" w:hAnsi="Cambria"/>
          <w:spacing w:val="40"/>
          <w:sz w:val="20"/>
        </w:rPr>
        <w:t> </w:t>
      </w:r>
      <w:r>
        <w:rPr>
          <w:rFonts w:ascii="Cambria" w:hAnsi="Cambria"/>
          <w:sz w:val="20"/>
        </w:rPr>
        <w:t>the</w:t>
      </w:r>
      <w:r>
        <w:rPr>
          <w:rFonts w:ascii="Cambria" w:hAnsi="Cambria"/>
          <w:spacing w:val="40"/>
          <w:sz w:val="20"/>
        </w:rPr>
        <w:t> </w:t>
      </w:r>
      <w:r>
        <w:rPr>
          <w:rFonts w:ascii="Cambria" w:hAnsi="Cambria"/>
          <w:sz w:val="20"/>
        </w:rPr>
        <w:t>#Me</w:t>
      </w:r>
      <w:r>
        <w:rPr>
          <w:rFonts w:ascii="Cambria" w:hAnsi="Cambria"/>
          <w:spacing w:val="40"/>
          <w:sz w:val="20"/>
        </w:rPr>
        <w:t> </w:t>
      </w:r>
      <w:r>
        <w:rPr>
          <w:rFonts w:ascii="Cambria" w:hAnsi="Cambria"/>
          <w:sz w:val="20"/>
        </w:rPr>
        <w:t>Too</w:t>
      </w:r>
      <w:r>
        <w:rPr>
          <w:rFonts w:ascii="Cambria" w:hAnsi="Cambria"/>
          <w:spacing w:val="40"/>
          <w:sz w:val="20"/>
        </w:rPr>
        <w:t> </w:t>
      </w:r>
      <w:r>
        <w:rPr>
          <w:rFonts w:ascii="Cambria" w:hAnsi="Cambria"/>
          <w:sz w:val="20"/>
        </w:rPr>
        <w:t>Lens</w:t>
      </w:r>
      <w:r>
        <w:rPr>
          <w:b/>
          <w:sz w:val="20"/>
        </w:rPr>
        <w:t>—Sadguna Jannu</w:t>
      </w:r>
      <w:r>
        <w:rPr>
          <w:sz w:val="20"/>
        </w:rPr>
        <w:tab/>
      </w:r>
      <w:r>
        <w:rPr>
          <w:rFonts w:ascii="Cambria" w:hAnsi="Cambria"/>
          <w:spacing w:val="-24"/>
          <w:sz w:val="20"/>
        </w:rPr>
        <w:t>214</w:t>
      </w:r>
    </w:p>
    <w:p>
      <w:pPr>
        <w:pStyle w:val="ListParagraph"/>
        <w:numPr>
          <w:ilvl w:val="0"/>
          <w:numId w:val="2"/>
        </w:numPr>
        <w:tabs>
          <w:tab w:pos="2025" w:val="left" w:leader="none"/>
        </w:tabs>
        <w:spacing w:line="237" w:lineRule="auto" w:before="56" w:after="0"/>
        <w:ind w:left="2025" w:right="1800" w:hanging="519"/>
        <w:jc w:val="left"/>
        <w:rPr>
          <w:b/>
          <w:sz w:val="20"/>
        </w:rPr>
      </w:pPr>
      <w:r>
        <w:rPr>
          <w:rFonts w:ascii="Cambria" w:hAnsi="Cambria"/>
          <w:sz w:val="20"/>
        </w:rPr>
        <w:t>Shadows</w:t>
      </w:r>
      <w:r>
        <w:rPr>
          <w:rFonts w:ascii="Cambria" w:hAnsi="Cambria"/>
          <w:spacing w:val="25"/>
          <w:sz w:val="20"/>
        </w:rPr>
        <w:t> </w:t>
      </w:r>
      <w:r>
        <w:rPr>
          <w:rFonts w:ascii="Cambria" w:hAnsi="Cambria"/>
          <w:sz w:val="20"/>
        </w:rPr>
        <w:t>of</w:t>
      </w:r>
      <w:r>
        <w:rPr>
          <w:rFonts w:ascii="Cambria" w:hAnsi="Cambria"/>
          <w:spacing w:val="22"/>
          <w:sz w:val="20"/>
        </w:rPr>
        <w:t> </w:t>
      </w:r>
      <w:r>
        <w:rPr>
          <w:rFonts w:ascii="Cambria" w:hAnsi="Cambria"/>
          <w:sz w:val="20"/>
        </w:rPr>
        <w:t>the</w:t>
      </w:r>
      <w:r>
        <w:rPr>
          <w:rFonts w:ascii="Cambria" w:hAnsi="Cambria"/>
          <w:spacing w:val="22"/>
          <w:sz w:val="20"/>
        </w:rPr>
        <w:t> </w:t>
      </w:r>
      <w:r>
        <w:rPr>
          <w:rFonts w:ascii="Cambria" w:hAnsi="Cambria"/>
          <w:sz w:val="20"/>
        </w:rPr>
        <w:t>Tragic</w:t>
      </w:r>
      <w:r>
        <w:rPr>
          <w:rFonts w:ascii="Cambria" w:hAnsi="Cambria"/>
          <w:spacing w:val="25"/>
          <w:sz w:val="20"/>
        </w:rPr>
        <w:t> </w:t>
      </w:r>
      <w:r>
        <w:rPr>
          <w:rFonts w:ascii="Cambria" w:hAnsi="Cambria"/>
          <w:sz w:val="20"/>
        </w:rPr>
        <w:t>Hero:</w:t>
      </w:r>
      <w:r>
        <w:rPr>
          <w:rFonts w:ascii="Cambria" w:hAnsi="Cambria"/>
          <w:spacing w:val="25"/>
          <w:sz w:val="20"/>
        </w:rPr>
        <w:t> </w:t>
      </w:r>
      <w:r>
        <w:rPr>
          <w:rFonts w:ascii="Cambria" w:hAnsi="Cambria"/>
          <w:sz w:val="20"/>
        </w:rPr>
        <w:t>Female Agency</w:t>
      </w:r>
      <w:r>
        <w:rPr>
          <w:rFonts w:ascii="Cambria" w:hAnsi="Cambria"/>
          <w:spacing w:val="22"/>
          <w:sz w:val="20"/>
        </w:rPr>
        <w:t> </w:t>
      </w:r>
      <w:r>
        <w:rPr>
          <w:rFonts w:ascii="Cambria" w:hAnsi="Cambria"/>
          <w:sz w:val="20"/>
        </w:rPr>
        <w:t>and </w:t>
      </w:r>
      <w:r>
        <w:rPr>
          <w:rFonts w:ascii="Cambria" w:hAnsi="Cambria"/>
          <w:spacing w:val="-4"/>
          <w:sz w:val="20"/>
        </w:rPr>
        <w:t>Psychological</w:t>
      </w:r>
      <w:r>
        <w:rPr>
          <w:rFonts w:ascii="Cambria" w:hAnsi="Cambria"/>
          <w:spacing w:val="9"/>
          <w:sz w:val="20"/>
        </w:rPr>
        <w:t> </w:t>
      </w:r>
      <w:r>
        <w:rPr>
          <w:rFonts w:ascii="Cambria" w:hAnsi="Cambria"/>
          <w:spacing w:val="-4"/>
          <w:sz w:val="20"/>
        </w:rPr>
        <w:t>Collapse</w:t>
      </w:r>
      <w:r>
        <w:rPr>
          <w:rFonts w:ascii="Cambria" w:hAnsi="Cambria"/>
          <w:spacing w:val="12"/>
          <w:sz w:val="20"/>
        </w:rPr>
        <w:t> </w:t>
      </w:r>
      <w:r>
        <w:rPr>
          <w:rFonts w:ascii="Cambria" w:hAnsi="Cambria"/>
          <w:spacing w:val="-4"/>
          <w:sz w:val="20"/>
        </w:rPr>
        <w:t>in</w:t>
      </w:r>
      <w:r>
        <w:rPr>
          <w:rFonts w:ascii="Cambria" w:hAnsi="Cambria"/>
          <w:spacing w:val="9"/>
          <w:sz w:val="20"/>
        </w:rPr>
        <w:t> </w:t>
      </w:r>
      <w:r>
        <w:rPr>
          <w:rFonts w:ascii="Cambria" w:hAnsi="Cambria"/>
          <w:spacing w:val="-4"/>
          <w:sz w:val="20"/>
        </w:rPr>
        <w:t>Shakespeare’s</w:t>
      </w:r>
      <w:r>
        <w:rPr>
          <w:rFonts w:ascii="Cambria" w:hAnsi="Cambria"/>
          <w:spacing w:val="11"/>
          <w:sz w:val="20"/>
        </w:rPr>
        <w:t> </w:t>
      </w:r>
      <w:r>
        <w:rPr>
          <w:rFonts w:ascii="Cambria" w:hAnsi="Cambria"/>
          <w:spacing w:val="-4"/>
          <w:sz w:val="20"/>
        </w:rPr>
        <w:t>Hamlet</w:t>
      </w:r>
      <w:r>
        <w:rPr>
          <w:rFonts w:ascii="Cambria" w:hAnsi="Cambria"/>
          <w:spacing w:val="8"/>
          <w:sz w:val="20"/>
        </w:rPr>
        <w:t> </w:t>
      </w:r>
      <w:r>
        <w:rPr>
          <w:rFonts w:ascii="Cambria" w:hAnsi="Cambria"/>
          <w:spacing w:val="-4"/>
          <w:sz w:val="20"/>
        </w:rPr>
        <w:t>and</w:t>
      </w:r>
      <w:r>
        <w:rPr>
          <w:rFonts w:ascii="Cambria" w:hAnsi="Cambria"/>
          <w:spacing w:val="13"/>
          <w:sz w:val="20"/>
        </w:rPr>
        <w:t> </w:t>
      </w:r>
      <w:r>
        <w:rPr>
          <w:rFonts w:ascii="Cambria" w:hAnsi="Cambria"/>
          <w:spacing w:val="-4"/>
          <w:sz w:val="20"/>
        </w:rPr>
        <w:t>Sarat</w:t>
      </w:r>
      <w:r>
        <w:rPr>
          <w:rFonts w:ascii="Cambria" w:hAnsi="Cambria"/>
          <w:sz w:val="20"/>
        </w:rPr>
        <w:t> Chandra</w:t>
      </w:r>
      <w:r>
        <w:rPr>
          <w:rFonts w:ascii="Cambria" w:hAnsi="Cambria"/>
          <w:spacing w:val="25"/>
          <w:sz w:val="20"/>
        </w:rPr>
        <w:t> </w:t>
      </w:r>
      <w:r>
        <w:rPr>
          <w:rFonts w:ascii="Cambria" w:hAnsi="Cambria"/>
          <w:sz w:val="20"/>
        </w:rPr>
        <w:t>Chattopadhyay’s</w:t>
      </w:r>
      <w:r>
        <w:rPr>
          <w:rFonts w:ascii="Cambria" w:hAnsi="Cambria"/>
          <w:spacing w:val="24"/>
          <w:sz w:val="20"/>
        </w:rPr>
        <w:t> </w:t>
      </w:r>
      <w:r>
        <w:rPr>
          <w:rFonts w:ascii="Cambria" w:hAnsi="Cambria"/>
          <w:sz w:val="20"/>
        </w:rPr>
        <w:t>Devdas</w:t>
      </w:r>
      <w:r>
        <w:rPr>
          <w:b/>
          <w:sz w:val="20"/>
        </w:rPr>
        <w:t>—Shreya</w:t>
      </w:r>
      <w:r>
        <w:rPr>
          <w:b/>
          <w:spacing w:val="22"/>
          <w:sz w:val="20"/>
        </w:rPr>
        <w:t> </w:t>
      </w:r>
      <w:r>
        <w:rPr>
          <w:b/>
          <w:sz w:val="20"/>
        </w:rPr>
        <w:t>Geetey;</w:t>
      </w:r>
    </w:p>
    <w:p>
      <w:pPr>
        <w:pStyle w:val="Heading6"/>
        <w:tabs>
          <w:tab w:pos="6931" w:val="left" w:leader="none"/>
        </w:tabs>
        <w:spacing w:line="232" w:lineRule="exact" w:before="0"/>
        <w:ind w:left="2025"/>
        <w:rPr>
          <w:rFonts w:ascii="Cambria"/>
          <w:b w:val="0"/>
        </w:rPr>
      </w:pPr>
      <w:r>
        <w:rPr/>
        <w:t>Dr.</w:t>
      </w:r>
      <w:r>
        <w:rPr>
          <w:spacing w:val="-10"/>
        </w:rPr>
        <w:t> </w:t>
      </w:r>
      <w:r>
        <w:rPr/>
        <w:t>Brijesh</w:t>
      </w:r>
      <w:r>
        <w:rPr>
          <w:spacing w:val="-9"/>
        </w:rPr>
        <w:t> </w:t>
      </w:r>
      <w:r>
        <w:rPr/>
        <w:t>Verma;</w:t>
      </w:r>
      <w:r>
        <w:rPr>
          <w:spacing w:val="-7"/>
        </w:rPr>
        <w:t> </w:t>
      </w:r>
      <w:r>
        <w:rPr/>
        <w:t>Dr.</w:t>
      </w:r>
      <w:r>
        <w:rPr>
          <w:spacing w:val="-8"/>
        </w:rPr>
        <w:t> </w:t>
      </w:r>
      <w:r>
        <w:rPr/>
        <w:t>Sunita</w:t>
      </w:r>
      <w:r>
        <w:rPr>
          <w:spacing w:val="-9"/>
        </w:rPr>
        <w:t> </w:t>
      </w:r>
      <w:r>
        <w:rPr/>
        <w:t>N.</w:t>
      </w:r>
      <w:r>
        <w:rPr>
          <w:spacing w:val="-9"/>
        </w:rPr>
        <w:t> </w:t>
      </w:r>
      <w:r>
        <w:rPr>
          <w:spacing w:val="-2"/>
        </w:rPr>
        <w:t>Thapak</w:t>
      </w:r>
      <w:r>
        <w:rPr>
          <w:b w:val="0"/>
        </w:rPr>
        <w:tab/>
      </w:r>
      <w:r>
        <w:rPr>
          <w:rFonts w:ascii="Cambria"/>
          <w:b w:val="0"/>
          <w:spacing w:val="-5"/>
        </w:rPr>
        <w:t>223</w:t>
      </w:r>
    </w:p>
    <w:p>
      <w:pPr>
        <w:pStyle w:val="ListParagraph"/>
        <w:numPr>
          <w:ilvl w:val="0"/>
          <w:numId w:val="2"/>
        </w:numPr>
        <w:tabs>
          <w:tab w:pos="2026" w:val="left" w:leader="none"/>
        </w:tabs>
        <w:spacing w:line="232" w:lineRule="exact" w:before="56" w:after="0"/>
        <w:ind w:left="2026" w:right="0" w:hanging="519"/>
        <w:jc w:val="left"/>
        <w:rPr>
          <w:rFonts w:ascii="Cambria" w:hAnsi="Cambria"/>
          <w:sz w:val="20"/>
        </w:rPr>
      </w:pPr>
      <w:r>
        <w:rPr>
          <w:rFonts w:ascii="Cambria" w:hAnsi="Cambria"/>
          <w:spacing w:val="-4"/>
          <w:sz w:val="20"/>
        </w:rPr>
        <w:t>Gender,</w:t>
      </w:r>
      <w:r>
        <w:rPr>
          <w:rFonts w:ascii="Cambria" w:hAnsi="Cambria"/>
          <w:spacing w:val="10"/>
          <w:sz w:val="20"/>
        </w:rPr>
        <w:t> </w:t>
      </w:r>
      <w:r>
        <w:rPr>
          <w:rFonts w:ascii="Cambria" w:hAnsi="Cambria"/>
          <w:spacing w:val="-4"/>
          <w:sz w:val="20"/>
        </w:rPr>
        <w:t>Space</w:t>
      </w:r>
      <w:r>
        <w:rPr>
          <w:rFonts w:ascii="Cambria" w:hAnsi="Cambria"/>
          <w:spacing w:val="11"/>
          <w:sz w:val="20"/>
        </w:rPr>
        <w:t> </w:t>
      </w:r>
      <w:r>
        <w:rPr>
          <w:rFonts w:ascii="Cambria" w:hAnsi="Cambria"/>
          <w:spacing w:val="-4"/>
          <w:sz w:val="20"/>
        </w:rPr>
        <w:t>and</w:t>
      </w:r>
      <w:r>
        <w:rPr>
          <w:rFonts w:ascii="Cambria" w:hAnsi="Cambria"/>
          <w:spacing w:val="10"/>
          <w:sz w:val="20"/>
        </w:rPr>
        <w:t> </w:t>
      </w:r>
      <w:r>
        <w:rPr>
          <w:rFonts w:ascii="Cambria" w:hAnsi="Cambria"/>
          <w:spacing w:val="-4"/>
          <w:sz w:val="20"/>
        </w:rPr>
        <w:t>Power</w:t>
      </w:r>
      <w:r>
        <w:rPr>
          <w:rFonts w:ascii="Cambria" w:hAnsi="Cambria"/>
          <w:spacing w:val="12"/>
          <w:sz w:val="20"/>
        </w:rPr>
        <w:t> </w:t>
      </w:r>
      <w:r>
        <w:rPr>
          <w:rFonts w:ascii="Cambria" w:hAnsi="Cambria"/>
          <w:spacing w:val="-4"/>
          <w:sz w:val="20"/>
        </w:rPr>
        <w:t>In</w:t>
      </w:r>
      <w:r>
        <w:rPr>
          <w:rFonts w:ascii="Cambria" w:hAnsi="Cambria"/>
          <w:spacing w:val="9"/>
          <w:sz w:val="20"/>
        </w:rPr>
        <w:t> </w:t>
      </w:r>
      <w:r>
        <w:rPr>
          <w:rFonts w:ascii="Cambria" w:hAnsi="Cambria"/>
          <w:spacing w:val="-4"/>
          <w:sz w:val="20"/>
        </w:rPr>
        <w:t>Shakespeare’s</w:t>
      </w:r>
      <w:r>
        <w:rPr>
          <w:rFonts w:ascii="Cambria" w:hAnsi="Cambria"/>
          <w:spacing w:val="10"/>
          <w:sz w:val="20"/>
        </w:rPr>
        <w:t> </w:t>
      </w:r>
      <w:r>
        <w:rPr>
          <w:rFonts w:ascii="Cambria" w:hAnsi="Cambria"/>
          <w:spacing w:val="-4"/>
          <w:sz w:val="20"/>
        </w:rPr>
        <w:t>Plays</w:t>
      </w:r>
    </w:p>
    <w:p>
      <w:pPr>
        <w:pStyle w:val="Heading6"/>
        <w:tabs>
          <w:tab w:pos="6931" w:val="left" w:leader="none"/>
        </w:tabs>
        <w:spacing w:line="232" w:lineRule="exact" w:before="0"/>
        <w:ind w:left="2025"/>
        <w:rPr>
          <w:rFonts w:ascii="Cambria" w:hAnsi="Cambria"/>
          <w:b w:val="0"/>
        </w:rPr>
      </w:pPr>
      <w:r>
        <w:rPr/>
        <w:t>—J</w:t>
      </w:r>
      <w:r>
        <w:rPr>
          <w:spacing w:val="19"/>
        </w:rPr>
        <w:t> </w:t>
      </w:r>
      <w:r>
        <w:rPr/>
        <w:t>Y</w:t>
      </w:r>
      <w:r>
        <w:rPr>
          <w:spacing w:val="18"/>
        </w:rPr>
        <w:t> </w:t>
      </w:r>
      <w:r>
        <w:rPr/>
        <w:t>Nissi</w:t>
      </w:r>
      <w:r>
        <w:rPr>
          <w:spacing w:val="19"/>
        </w:rPr>
        <w:t> </w:t>
      </w:r>
      <w:r>
        <w:rPr>
          <w:spacing w:val="-2"/>
        </w:rPr>
        <w:t>Niharika</w:t>
      </w:r>
      <w:r>
        <w:rPr>
          <w:b w:val="0"/>
        </w:rPr>
        <w:tab/>
      </w:r>
      <w:r>
        <w:rPr>
          <w:rFonts w:ascii="Cambria" w:hAnsi="Cambria"/>
          <w:b w:val="0"/>
          <w:spacing w:val="-5"/>
        </w:rPr>
        <w:t>241</w:t>
      </w:r>
    </w:p>
    <w:p>
      <w:pPr>
        <w:pStyle w:val="ListParagraph"/>
        <w:numPr>
          <w:ilvl w:val="0"/>
          <w:numId w:val="2"/>
        </w:numPr>
        <w:tabs>
          <w:tab w:pos="2025" w:val="left" w:leader="none"/>
          <w:tab w:pos="6931" w:val="left" w:leader="none"/>
        </w:tabs>
        <w:spacing w:line="244" w:lineRule="auto" w:before="61" w:after="0"/>
        <w:ind w:left="2025" w:right="1436" w:hanging="519"/>
        <w:jc w:val="left"/>
        <w:rPr>
          <w:rFonts w:ascii="Cambria" w:hAnsi="Cambria"/>
          <w:sz w:val="20"/>
        </w:rPr>
      </w:pPr>
      <w:r>
        <w:rPr>
          <w:rFonts w:ascii="Cambria" w:hAnsi="Cambria"/>
          <w:spacing w:val="-2"/>
          <w:sz w:val="20"/>
        </w:rPr>
        <w:t>Reimagining</w:t>
      </w:r>
      <w:r>
        <w:rPr>
          <w:rFonts w:ascii="Cambria" w:hAnsi="Cambria"/>
          <w:spacing w:val="21"/>
          <w:sz w:val="20"/>
        </w:rPr>
        <w:t> </w:t>
      </w:r>
      <w:r>
        <w:rPr>
          <w:rFonts w:ascii="Cambria" w:hAnsi="Cambria"/>
          <w:spacing w:val="-2"/>
          <w:sz w:val="20"/>
        </w:rPr>
        <w:t>Shakespeare’s</w:t>
      </w:r>
      <w:r>
        <w:rPr>
          <w:rFonts w:ascii="Cambria" w:hAnsi="Cambria"/>
          <w:spacing w:val="20"/>
          <w:sz w:val="20"/>
        </w:rPr>
        <w:t> </w:t>
      </w:r>
      <w:r>
        <w:rPr>
          <w:rFonts w:ascii="Cambria" w:hAnsi="Cambria"/>
          <w:spacing w:val="-2"/>
          <w:sz w:val="20"/>
        </w:rPr>
        <w:t>Women:</w:t>
      </w:r>
      <w:r>
        <w:rPr>
          <w:rFonts w:ascii="Cambria" w:hAnsi="Cambria"/>
          <w:spacing w:val="11"/>
          <w:sz w:val="20"/>
        </w:rPr>
        <w:t> </w:t>
      </w:r>
      <w:r>
        <w:rPr>
          <w:rFonts w:ascii="Cambria" w:hAnsi="Cambria"/>
          <w:spacing w:val="-2"/>
          <w:sz w:val="20"/>
        </w:rPr>
        <w:t>Adaptations</w:t>
      </w:r>
      <w:r>
        <w:rPr>
          <w:rFonts w:ascii="Cambria" w:hAnsi="Cambria"/>
          <w:spacing w:val="21"/>
          <w:sz w:val="20"/>
        </w:rPr>
        <w:t> </w:t>
      </w:r>
      <w:r>
        <w:rPr>
          <w:rFonts w:ascii="Cambria" w:hAnsi="Cambria"/>
          <w:spacing w:val="-2"/>
          <w:sz w:val="20"/>
        </w:rPr>
        <w:t>and </w:t>
      </w:r>
      <w:r>
        <w:rPr>
          <w:rFonts w:ascii="Cambria" w:hAnsi="Cambria"/>
          <w:w w:val="90"/>
          <w:sz w:val="20"/>
        </w:rPr>
        <w:t>Appropriation</w:t>
      </w:r>
      <w:r>
        <w:rPr>
          <w:b/>
          <w:w w:val="90"/>
          <w:sz w:val="20"/>
        </w:rPr>
        <w:t>—</w:t>
      </w:r>
      <w:r>
        <w:rPr>
          <w:b/>
          <w:spacing w:val="-2"/>
          <w:sz w:val="20"/>
        </w:rPr>
        <w:t>R.S.Potukuchi</w:t>
      </w:r>
      <w:r>
        <w:rPr>
          <w:sz w:val="20"/>
        </w:rPr>
        <w:tab/>
      </w:r>
      <w:r>
        <w:rPr>
          <w:rFonts w:ascii="Cambria" w:hAnsi="Cambria"/>
          <w:spacing w:val="-19"/>
          <w:w w:val="95"/>
          <w:sz w:val="20"/>
        </w:rPr>
        <w:t>253</w:t>
      </w:r>
    </w:p>
    <w:p>
      <w:pPr>
        <w:pStyle w:val="ListParagraph"/>
        <w:numPr>
          <w:ilvl w:val="0"/>
          <w:numId w:val="2"/>
        </w:numPr>
        <w:tabs>
          <w:tab w:pos="2025" w:val="left" w:leader="none"/>
          <w:tab w:pos="6931" w:val="left" w:leader="none"/>
        </w:tabs>
        <w:spacing w:line="244" w:lineRule="auto" w:before="59" w:after="0"/>
        <w:ind w:left="2025" w:right="1436" w:hanging="519"/>
        <w:jc w:val="left"/>
        <w:rPr>
          <w:rFonts w:ascii="Cambria" w:hAnsi="Cambria"/>
          <w:sz w:val="20"/>
        </w:rPr>
      </w:pPr>
      <w:r>
        <w:rPr>
          <w:rFonts w:ascii="Cambria" w:hAnsi="Cambria"/>
          <w:spacing w:val="-2"/>
          <w:sz w:val="20"/>
        </w:rPr>
        <w:t>Feminist</w:t>
      </w:r>
      <w:r>
        <w:rPr>
          <w:rFonts w:ascii="Cambria" w:hAnsi="Cambria"/>
          <w:spacing w:val="18"/>
          <w:sz w:val="20"/>
        </w:rPr>
        <w:t> </w:t>
      </w:r>
      <w:r>
        <w:rPr>
          <w:rFonts w:ascii="Cambria" w:hAnsi="Cambria"/>
          <w:spacing w:val="-2"/>
          <w:sz w:val="20"/>
        </w:rPr>
        <w:t>Resistance</w:t>
      </w:r>
      <w:r>
        <w:rPr>
          <w:rFonts w:ascii="Cambria" w:hAnsi="Cambria"/>
          <w:spacing w:val="21"/>
          <w:sz w:val="20"/>
        </w:rPr>
        <w:t> </w:t>
      </w:r>
      <w:r>
        <w:rPr>
          <w:rFonts w:ascii="Cambria" w:hAnsi="Cambria"/>
          <w:spacing w:val="-2"/>
          <w:sz w:val="20"/>
        </w:rPr>
        <w:t>in</w:t>
      </w:r>
      <w:r>
        <w:rPr>
          <w:rFonts w:ascii="Cambria" w:hAnsi="Cambria"/>
          <w:spacing w:val="17"/>
          <w:sz w:val="20"/>
        </w:rPr>
        <w:t> </w:t>
      </w:r>
      <w:r>
        <w:rPr>
          <w:rFonts w:ascii="Cambria" w:hAnsi="Cambria"/>
          <w:spacing w:val="-2"/>
          <w:sz w:val="20"/>
        </w:rPr>
        <w:t>Shakespearean</w:t>
      </w:r>
      <w:r>
        <w:rPr>
          <w:rFonts w:ascii="Cambria" w:hAnsi="Cambria"/>
          <w:spacing w:val="18"/>
          <w:sz w:val="20"/>
        </w:rPr>
        <w:t> </w:t>
      </w:r>
      <w:r>
        <w:rPr>
          <w:rFonts w:ascii="Cambria" w:hAnsi="Cambria"/>
          <w:spacing w:val="-2"/>
          <w:sz w:val="20"/>
        </w:rPr>
        <w:t>Tragedies: </w:t>
      </w:r>
      <w:r>
        <w:rPr>
          <w:rFonts w:ascii="Cambria" w:hAnsi="Cambria"/>
          <w:sz w:val="20"/>
        </w:rPr>
        <w:t>Reconfiguring</w:t>
      </w:r>
      <w:r>
        <w:rPr>
          <w:rFonts w:ascii="Cambria" w:hAnsi="Cambria"/>
          <w:spacing w:val="-9"/>
          <w:sz w:val="20"/>
        </w:rPr>
        <w:t> </w:t>
      </w:r>
      <w:r>
        <w:rPr>
          <w:rFonts w:ascii="Cambria" w:hAnsi="Cambria"/>
          <w:sz w:val="20"/>
        </w:rPr>
        <w:t>Agency, Silence, and Power</w:t>
      </w:r>
      <w:r>
        <w:rPr>
          <w:b/>
          <w:sz w:val="20"/>
        </w:rPr>
        <w:t>—Ravulapati Ujwala;</w:t>
      </w:r>
      <w:r>
        <w:rPr>
          <w:b/>
          <w:spacing w:val="-10"/>
          <w:sz w:val="20"/>
        </w:rPr>
        <w:t> </w:t>
      </w:r>
      <w:r>
        <w:rPr>
          <w:b/>
          <w:sz w:val="20"/>
        </w:rPr>
        <w:t>Ravulapati</w:t>
      </w:r>
      <w:r>
        <w:rPr>
          <w:b/>
          <w:spacing w:val="-17"/>
          <w:sz w:val="20"/>
        </w:rPr>
        <w:t> </w:t>
      </w:r>
      <w:r>
        <w:rPr>
          <w:b/>
          <w:sz w:val="20"/>
        </w:rPr>
        <w:t>Venkaiah</w:t>
      </w:r>
      <w:r>
        <w:rPr>
          <w:sz w:val="20"/>
        </w:rPr>
        <w:tab/>
      </w:r>
      <w:r>
        <w:rPr>
          <w:rFonts w:ascii="Cambria" w:hAnsi="Cambria"/>
          <w:spacing w:val="-24"/>
          <w:sz w:val="20"/>
        </w:rPr>
        <w:t>265</w:t>
      </w:r>
    </w:p>
    <w:p>
      <w:pPr>
        <w:pStyle w:val="ListParagraph"/>
        <w:numPr>
          <w:ilvl w:val="0"/>
          <w:numId w:val="2"/>
        </w:numPr>
        <w:tabs>
          <w:tab w:pos="2025" w:val="left" w:leader="none"/>
        </w:tabs>
        <w:spacing w:line="244" w:lineRule="auto" w:before="61" w:after="0"/>
        <w:ind w:left="2025" w:right="2443" w:hanging="519"/>
        <w:jc w:val="left"/>
        <w:rPr>
          <w:rFonts w:ascii="Cambria"/>
          <w:sz w:val="20"/>
        </w:rPr>
      </w:pPr>
      <w:r>
        <w:rPr>
          <w:rFonts w:ascii="Cambria"/>
          <w:spacing w:val="-6"/>
          <w:sz w:val="20"/>
        </w:rPr>
        <w:t>Teaching</w:t>
      </w:r>
      <w:r>
        <w:rPr>
          <w:rFonts w:ascii="Cambria"/>
          <w:spacing w:val="11"/>
          <w:sz w:val="20"/>
        </w:rPr>
        <w:t> </w:t>
      </w:r>
      <w:r>
        <w:rPr>
          <w:rFonts w:ascii="Cambria"/>
          <w:spacing w:val="-6"/>
          <w:sz w:val="20"/>
        </w:rPr>
        <w:t>Gender</w:t>
      </w:r>
      <w:r>
        <w:rPr>
          <w:rFonts w:ascii="Cambria"/>
          <w:spacing w:val="11"/>
          <w:sz w:val="20"/>
        </w:rPr>
        <w:t> </w:t>
      </w:r>
      <w:r>
        <w:rPr>
          <w:rFonts w:ascii="Cambria"/>
          <w:spacing w:val="-6"/>
          <w:sz w:val="20"/>
        </w:rPr>
        <w:t>and</w:t>
      </w:r>
      <w:r>
        <w:rPr>
          <w:rFonts w:ascii="Cambria"/>
          <w:spacing w:val="14"/>
          <w:sz w:val="20"/>
        </w:rPr>
        <w:t> </w:t>
      </w:r>
      <w:r>
        <w:rPr>
          <w:rFonts w:ascii="Cambria"/>
          <w:spacing w:val="-6"/>
          <w:sz w:val="20"/>
        </w:rPr>
        <w:t>Power</w:t>
      </w:r>
      <w:r>
        <w:rPr>
          <w:rFonts w:ascii="Cambria"/>
          <w:spacing w:val="10"/>
          <w:sz w:val="20"/>
        </w:rPr>
        <w:t> </w:t>
      </w:r>
      <w:r>
        <w:rPr>
          <w:rFonts w:ascii="Cambria"/>
          <w:spacing w:val="-6"/>
          <w:sz w:val="20"/>
        </w:rPr>
        <w:t>through</w:t>
      </w:r>
      <w:r>
        <w:rPr>
          <w:rFonts w:ascii="Cambria"/>
          <w:spacing w:val="11"/>
          <w:sz w:val="20"/>
        </w:rPr>
        <w:t> </w:t>
      </w:r>
      <w:r>
        <w:rPr>
          <w:rFonts w:ascii="Cambria"/>
          <w:spacing w:val="-6"/>
          <w:sz w:val="20"/>
        </w:rPr>
        <w:t>Shakespeare:</w:t>
      </w:r>
      <w:r>
        <w:rPr>
          <w:rFonts w:ascii="Cambria"/>
          <w:spacing w:val="-2"/>
          <w:sz w:val="20"/>
        </w:rPr>
        <w:t> A Critical</w:t>
      </w:r>
      <w:r>
        <w:rPr>
          <w:rFonts w:ascii="Cambria"/>
          <w:spacing w:val="8"/>
          <w:sz w:val="20"/>
        </w:rPr>
        <w:t> </w:t>
      </w:r>
      <w:r>
        <w:rPr>
          <w:rFonts w:ascii="Cambria"/>
          <w:spacing w:val="-2"/>
          <w:sz w:val="20"/>
        </w:rPr>
        <w:t>Pedagogy</w:t>
      </w:r>
      <w:r>
        <w:rPr>
          <w:rFonts w:ascii="Cambria"/>
          <w:sz w:val="20"/>
        </w:rPr>
        <w:t> </w:t>
      </w:r>
      <w:r>
        <w:rPr>
          <w:rFonts w:ascii="Cambria"/>
          <w:spacing w:val="-2"/>
          <w:sz w:val="20"/>
        </w:rPr>
        <w:t>of</w:t>
      </w:r>
      <w:r>
        <w:rPr>
          <w:rFonts w:ascii="Cambria"/>
          <w:spacing w:val="8"/>
          <w:sz w:val="20"/>
        </w:rPr>
        <w:t> </w:t>
      </w:r>
      <w:r>
        <w:rPr>
          <w:rFonts w:ascii="Cambria"/>
          <w:spacing w:val="-2"/>
          <w:sz w:val="20"/>
        </w:rPr>
        <w:t>Representation,</w:t>
      </w:r>
      <w:r>
        <w:rPr>
          <w:rFonts w:ascii="Cambria"/>
          <w:spacing w:val="7"/>
          <w:sz w:val="20"/>
        </w:rPr>
        <w:t> </w:t>
      </w:r>
      <w:r>
        <w:rPr>
          <w:rFonts w:ascii="Cambria"/>
          <w:spacing w:val="-2"/>
          <w:sz w:val="20"/>
        </w:rPr>
        <w:t>Voice,</w:t>
      </w:r>
      <w:r>
        <w:rPr>
          <w:rFonts w:ascii="Cambria"/>
          <w:spacing w:val="8"/>
          <w:sz w:val="20"/>
        </w:rPr>
        <w:t> </w:t>
      </w:r>
      <w:r>
        <w:rPr>
          <w:rFonts w:ascii="Cambria"/>
          <w:spacing w:val="-2"/>
          <w:sz w:val="20"/>
        </w:rPr>
        <w:t>and</w:t>
      </w:r>
    </w:p>
    <w:p>
      <w:pPr>
        <w:tabs>
          <w:tab w:pos="6931" w:val="left" w:leader="none"/>
        </w:tabs>
        <w:spacing w:before="1"/>
        <w:ind w:left="2025" w:right="0" w:firstLine="0"/>
        <w:jc w:val="left"/>
        <w:rPr>
          <w:rFonts w:ascii="Cambria" w:hAnsi="Cambria"/>
          <w:sz w:val="20"/>
        </w:rPr>
      </w:pPr>
      <w:r>
        <w:rPr>
          <w:rFonts w:ascii="Cambria" w:hAnsi="Cambria"/>
          <w:spacing w:val="-4"/>
          <w:sz w:val="20"/>
        </w:rPr>
        <w:t>Authority</w:t>
      </w:r>
      <w:r>
        <w:rPr>
          <w:b/>
          <w:spacing w:val="-4"/>
          <w:sz w:val="20"/>
        </w:rPr>
        <w:t>—V</w:t>
      </w:r>
      <w:r>
        <w:rPr>
          <w:b/>
          <w:spacing w:val="-7"/>
          <w:sz w:val="20"/>
        </w:rPr>
        <w:t> </w:t>
      </w:r>
      <w:r>
        <w:rPr>
          <w:b/>
          <w:spacing w:val="-4"/>
          <w:sz w:val="20"/>
        </w:rPr>
        <w:t>Ramya</w:t>
      </w:r>
      <w:r>
        <w:rPr>
          <w:b/>
          <w:spacing w:val="-5"/>
          <w:sz w:val="20"/>
        </w:rPr>
        <w:t> </w:t>
      </w:r>
      <w:r>
        <w:rPr>
          <w:b/>
          <w:spacing w:val="-4"/>
          <w:sz w:val="20"/>
        </w:rPr>
        <w:t>Santoshi</w:t>
      </w:r>
      <w:r>
        <w:rPr>
          <w:sz w:val="20"/>
        </w:rPr>
        <w:tab/>
      </w:r>
      <w:r>
        <w:rPr>
          <w:rFonts w:ascii="Cambria" w:hAnsi="Cambria"/>
          <w:spacing w:val="-5"/>
          <w:sz w:val="20"/>
        </w:rPr>
        <w:t>274</w:t>
      </w:r>
    </w:p>
    <w:p>
      <w:pPr>
        <w:spacing w:after="0"/>
        <w:jc w:val="left"/>
        <w:rPr>
          <w:rFonts w:ascii="Cambria" w:hAnsi="Cambria"/>
          <w:sz w:val="20"/>
        </w:rPr>
        <w:sectPr>
          <w:pgSz w:w="12240" w:h="15840"/>
          <w:pgMar w:top="1820" w:bottom="280" w:left="1800" w:right="1800"/>
        </w:sectPr>
      </w:pPr>
    </w:p>
    <w:p>
      <w:pPr>
        <w:pStyle w:val="BodyText"/>
        <w:ind w:left="0"/>
        <w:rPr>
          <w:rFonts w:ascii="Cambria"/>
        </w:rPr>
      </w:pPr>
    </w:p>
    <w:p>
      <w:pPr>
        <w:pStyle w:val="BodyText"/>
        <w:ind w:left="0"/>
        <w:rPr>
          <w:rFonts w:ascii="Cambria"/>
        </w:rPr>
      </w:pPr>
    </w:p>
    <w:p>
      <w:pPr>
        <w:pStyle w:val="BodyText"/>
        <w:ind w:left="0"/>
        <w:rPr>
          <w:rFonts w:ascii="Cambria"/>
        </w:rPr>
      </w:pPr>
    </w:p>
    <w:p>
      <w:pPr>
        <w:pStyle w:val="BodyText"/>
        <w:spacing w:before="113"/>
        <w:ind w:left="0"/>
        <w:rPr>
          <w:rFonts w:ascii="Cambria"/>
        </w:rPr>
      </w:pPr>
    </w:p>
    <w:p>
      <w:pPr>
        <w:spacing w:before="0"/>
        <w:ind w:left="91" w:right="0" w:firstLine="0"/>
        <w:jc w:val="center"/>
        <w:rPr>
          <w:i/>
          <w:sz w:val="20"/>
        </w:rPr>
      </w:pPr>
      <w:r>
        <w:rPr>
          <w:i/>
          <w:spacing w:val="-2"/>
          <w:sz w:val="20"/>
        </w:rPr>
        <w:t>(vii)</w:t>
      </w:r>
    </w:p>
    <w:p>
      <w:pPr>
        <w:pStyle w:val="ListParagraph"/>
        <w:numPr>
          <w:ilvl w:val="0"/>
          <w:numId w:val="3"/>
        </w:numPr>
        <w:tabs>
          <w:tab w:pos="2025" w:val="left" w:leader="none"/>
        </w:tabs>
        <w:spacing w:line="244" w:lineRule="auto" w:before="179" w:after="0"/>
        <w:ind w:left="2025" w:right="2009" w:hanging="519"/>
        <w:jc w:val="left"/>
        <w:rPr>
          <w:rFonts w:ascii="Cambria"/>
          <w:sz w:val="20"/>
        </w:rPr>
      </w:pPr>
      <w:r>
        <w:rPr>
          <w:rFonts w:ascii="Cambria"/>
          <w:spacing w:val="-4"/>
          <w:sz w:val="20"/>
        </w:rPr>
        <w:t>Epistemic</w:t>
      </w:r>
      <w:r>
        <w:rPr>
          <w:rFonts w:ascii="Cambria"/>
          <w:spacing w:val="-1"/>
          <w:sz w:val="20"/>
        </w:rPr>
        <w:t> </w:t>
      </w:r>
      <w:r>
        <w:rPr>
          <w:rFonts w:ascii="Cambria"/>
          <w:spacing w:val="-4"/>
          <w:sz w:val="20"/>
        </w:rPr>
        <w:t>Injustice,</w:t>
      </w:r>
      <w:r>
        <w:rPr>
          <w:rFonts w:ascii="Cambria"/>
          <w:sz w:val="20"/>
        </w:rPr>
        <w:t> </w:t>
      </w:r>
      <w:r>
        <w:rPr>
          <w:rFonts w:ascii="Cambria"/>
          <w:spacing w:val="-4"/>
          <w:sz w:val="20"/>
        </w:rPr>
        <w:t>Gendered</w:t>
      </w:r>
      <w:r>
        <w:rPr>
          <w:rFonts w:ascii="Cambria"/>
          <w:sz w:val="20"/>
        </w:rPr>
        <w:t> </w:t>
      </w:r>
      <w:r>
        <w:rPr>
          <w:rFonts w:ascii="Cambria"/>
          <w:spacing w:val="-4"/>
          <w:sz w:val="20"/>
        </w:rPr>
        <w:t>Silencing,</w:t>
      </w:r>
      <w:r>
        <w:rPr>
          <w:rFonts w:ascii="Cambria"/>
          <w:sz w:val="20"/>
        </w:rPr>
        <w:t> </w:t>
      </w:r>
      <w:r>
        <w:rPr>
          <w:rFonts w:ascii="Cambria"/>
          <w:spacing w:val="-4"/>
          <w:sz w:val="20"/>
        </w:rPr>
        <w:t>and</w:t>
      </w:r>
      <w:r>
        <w:rPr>
          <w:rFonts w:ascii="Cambria"/>
          <w:spacing w:val="-2"/>
          <w:sz w:val="20"/>
        </w:rPr>
        <w:t> </w:t>
      </w:r>
      <w:r>
        <w:rPr>
          <w:rFonts w:ascii="Cambria"/>
          <w:spacing w:val="-4"/>
          <w:sz w:val="20"/>
        </w:rPr>
        <w:t>Testimony:</w:t>
      </w:r>
      <w:r>
        <w:rPr>
          <w:rFonts w:ascii="Cambria"/>
          <w:sz w:val="20"/>
        </w:rPr>
        <w:t> Desdemona</w:t>
      </w:r>
      <w:r>
        <w:rPr>
          <w:rFonts w:ascii="Cambria"/>
          <w:spacing w:val="16"/>
          <w:sz w:val="20"/>
        </w:rPr>
        <w:t> </w:t>
      </w:r>
      <w:r>
        <w:rPr>
          <w:rFonts w:ascii="Cambria"/>
          <w:sz w:val="20"/>
        </w:rPr>
        <w:t>and</w:t>
      </w:r>
      <w:r>
        <w:rPr>
          <w:rFonts w:ascii="Cambria"/>
          <w:spacing w:val="16"/>
          <w:sz w:val="20"/>
        </w:rPr>
        <w:t> </w:t>
      </w:r>
      <w:r>
        <w:rPr>
          <w:rFonts w:ascii="Cambria"/>
          <w:sz w:val="20"/>
        </w:rPr>
        <w:t>Ophelia</w:t>
      </w:r>
      <w:r>
        <w:rPr>
          <w:rFonts w:ascii="Cambria"/>
          <w:spacing w:val="18"/>
          <w:sz w:val="20"/>
        </w:rPr>
        <w:t> </w:t>
      </w:r>
      <w:r>
        <w:rPr>
          <w:rFonts w:ascii="Cambria"/>
          <w:sz w:val="20"/>
        </w:rPr>
        <w:t>in</w:t>
      </w:r>
      <w:r>
        <w:rPr>
          <w:rFonts w:ascii="Cambria"/>
          <w:spacing w:val="18"/>
          <w:sz w:val="20"/>
        </w:rPr>
        <w:t> </w:t>
      </w:r>
      <w:r>
        <w:rPr>
          <w:rFonts w:ascii="Cambria"/>
          <w:sz w:val="20"/>
        </w:rPr>
        <w:t>the</w:t>
      </w:r>
      <w:r>
        <w:rPr>
          <w:rFonts w:ascii="Cambria"/>
          <w:spacing w:val="16"/>
          <w:sz w:val="20"/>
        </w:rPr>
        <w:t> </w:t>
      </w:r>
      <w:r>
        <w:rPr>
          <w:rFonts w:ascii="Cambria"/>
          <w:sz w:val="20"/>
        </w:rPr>
        <w:t>#MeToo</w:t>
      </w:r>
      <w:r>
        <w:rPr>
          <w:rFonts w:ascii="Cambria"/>
          <w:spacing w:val="18"/>
          <w:sz w:val="20"/>
        </w:rPr>
        <w:t> </w:t>
      </w:r>
      <w:r>
        <w:rPr>
          <w:rFonts w:ascii="Cambria"/>
          <w:sz w:val="20"/>
        </w:rPr>
        <w:t>Era</w:t>
      </w:r>
    </w:p>
    <w:p>
      <w:pPr>
        <w:pStyle w:val="Heading6"/>
        <w:tabs>
          <w:tab w:pos="6928" w:val="left" w:leader="none"/>
        </w:tabs>
        <w:spacing w:before="2"/>
        <w:ind w:left="2025"/>
        <w:rPr>
          <w:rFonts w:ascii="Cambria" w:hAnsi="Cambria"/>
          <w:b w:val="0"/>
        </w:rPr>
      </w:pPr>
      <w:r>
        <w:rPr>
          <w:spacing w:val="-6"/>
        </w:rPr>
        <w:t>—Dr.</w:t>
      </w:r>
      <w:r>
        <w:rPr>
          <w:spacing w:val="-19"/>
        </w:rPr>
        <w:t> </w:t>
      </w:r>
      <w:r>
        <w:rPr>
          <w:spacing w:val="-6"/>
        </w:rPr>
        <w:t>CVS</w:t>
      </w:r>
      <w:r>
        <w:rPr>
          <w:spacing w:val="-15"/>
        </w:rPr>
        <w:t> </w:t>
      </w:r>
      <w:r>
        <w:rPr>
          <w:spacing w:val="-6"/>
        </w:rPr>
        <w:t>Ravindranath</w:t>
      </w:r>
      <w:r>
        <w:rPr>
          <w:b w:val="0"/>
        </w:rPr>
        <w:tab/>
      </w:r>
      <w:r>
        <w:rPr>
          <w:rFonts w:ascii="Cambria" w:hAnsi="Cambria"/>
          <w:b w:val="0"/>
          <w:spacing w:val="-5"/>
        </w:rPr>
        <w:t>282</w:t>
      </w:r>
    </w:p>
    <w:p>
      <w:pPr>
        <w:pStyle w:val="ListParagraph"/>
        <w:numPr>
          <w:ilvl w:val="0"/>
          <w:numId w:val="3"/>
        </w:numPr>
        <w:tabs>
          <w:tab w:pos="2025" w:val="left" w:leader="none"/>
        </w:tabs>
        <w:spacing w:line="244" w:lineRule="auto" w:before="63" w:after="0"/>
        <w:ind w:left="2025" w:right="2024" w:hanging="519"/>
        <w:jc w:val="left"/>
        <w:rPr>
          <w:rFonts w:ascii="Cambria"/>
          <w:sz w:val="20"/>
        </w:rPr>
      </w:pPr>
      <w:r>
        <w:rPr>
          <w:rFonts w:ascii="Cambria"/>
          <w:spacing w:val="-4"/>
          <w:sz w:val="20"/>
        </w:rPr>
        <w:t>Voices</w:t>
      </w:r>
      <w:r>
        <w:rPr>
          <w:rFonts w:ascii="Cambria"/>
          <w:sz w:val="20"/>
        </w:rPr>
        <w:t> </w:t>
      </w:r>
      <w:r>
        <w:rPr>
          <w:rFonts w:ascii="Cambria"/>
          <w:spacing w:val="-4"/>
          <w:sz w:val="20"/>
        </w:rPr>
        <w:t>that</w:t>
      </w:r>
      <w:r>
        <w:rPr>
          <w:rFonts w:ascii="Cambria"/>
          <w:spacing w:val="8"/>
          <w:sz w:val="20"/>
        </w:rPr>
        <w:t> </w:t>
      </w:r>
      <w:r>
        <w:rPr>
          <w:rFonts w:ascii="Cambria"/>
          <w:spacing w:val="-4"/>
          <w:sz w:val="20"/>
        </w:rPr>
        <w:t>Break</w:t>
      </w:r>
      <w:r>
        <w:rPr>
          <w:rFonts w:ascii="Cambria"/>
          <w:sz w:val="20"/>
        </w:rPr>
        <w:t> </w:t>
      </w:r>
      <w:r>
        <w:rPr>
          <w:rFonts w:ascii="Cambria"/>
          <w:spacing w:val="-4"/>
          <w:sz w:val="20"/>
        </w:rPr>
        <w:t>and</w:t>
      </w:r>
      <w:r>
        <w:rPr>
          <w:rFonts w:ascii="Cambria"/>
          <w:sz w:val="20"/>
        </w:rPr>
        <w:t> </w:t>
      </w:r>
      <w:r>
        <w:rPr>
          <w:rFonts w:ascii="Cambria"/>
          <w:spacing w:val="-4"/>
          <w:sz w:val="20"/>
        </w:rPr>
        <w:t>Voices</w:t>
      </w:r>
      <w:r>
        <w:rPr>
          <w:rFonts w:ascii="Cambria"/>
          <w:sz w:val="20"/>
        </w:rPr>
        <w:t> </w:t>
      </w:r>
      <w:r>
        <w:rPr>
          <w:rFonts w:ascii="Cambria"/>
          <w:spacing w:val="-4"/>
          <w:sz w:val="20"/>
        </w:rPr>
        <w:t>that</w:t>
      </w:r>
      <w:r>
        <w:rPr>
          <w:rFonts w:ascii="Cambria"/>
          <w:spacing w:val="8"/>
          <w:sz w:val="20"/>
        </w:rPr>
        <w:t> </w:t>
      </w:r>
      <w:r>
        <w:rPr>
          <w:rFonts w:ascii="Cambria"/>
          <w:spacing w:val="-4"/>
          <w:sz w:val="20"/>
        </w:rPr>
        <w:t>Bend: A Comparative</w:t>
      </w:r>
      <w:r>
        <w:rPr>
          <w:rFonts w:ascii="Cambria"/>
          <w:sz w:val="20"/>
        </w:rPr>
        <w:t> Study</w:t>
      </w:r>
      <w:r>
        <w:rPr>
          <w:rFonts w:ascii="Cambria"/>
          <w:spacing w:val="10"/>
          <w:sz w:val="20"/>
        </w:rPr>
        <w:t> </w:t>
      </w:r>
      <w:r>
        <w:rPr>
          <w:rFonts w:ascii="Cambria"/>
          <w:sz w:val="20"/>
        </w:rPr>
        <w:t>of</w:t>
      </w:r>
      <w:r>
        <w:rPr>
          <w:rFonts w:ascii="Cambria"/>
          <w:spacing w:val="11"/>
          <w:sz w:val="20"/>
        </w:rPr>
        <w:t> </w:t>
      </w:r>
      <w:r>
        <w:rPr>
          <w:rFonts w:ascii="Cambria"/>
          <w:sz w:val="20"/>
        </w:rPr>
        <w:t>Ophelia</w:t>
      </w:r>
      <w:r>
        <w:rPr>
          <w:rFonts w:ascii="Cambria"/>
          <w:spacing w:val="15"/>
          <w:sz w:val="20"/>
        </w:rPr>
        <w:t> </w:t>
      </w:r>
      <w:r>
        <w:rPr>
          <w:rFonts w:ascii="Cambria"/>
          <w:sz w:val="20"/>
        </w:rPr>
        <w:t>and</w:t>
      </w:r>
      <w:r>
        <w:rPr>
          <w:rFonts w:ascii="Cambria"/>
          <w:spacing w:val="13"/>
          <w:sz w:val="20"/>
        </w:rPr>
        <w:t> </w:t>
      </w:r>
      <w:r>
        <w:rPr>
          <w:rFonts w:ascii="Cambria"/>
          <w:sz w:val="20"/>
        </w:rPr>
        <w:t>Desdemona</w:t>
      </w:r>
      <w:r>
        <w:rPr>
          <w:rFonts w:ascii="Cambria"/>
          <w:spacing w:val="12"/>
          <w:sz w:val="20"/>
        </w:rPr>
        <w:t> </w:t>
      </w:r>
      <w:r>
        <w:rPr>
          <w:rFonts w:ascii="Cambria"/>
          <w:sz w:val="20"/>
        </w:rPr>
        <w:t>in</w:t>
      </w:r>
      <w:r>
        <w:rPr>
          <w:rFonts w:ascii="Cambria"/>
          <w:spacing w:val="12"/>
          <w:sz w:val="20"/>
        </w:rPr>
        <w:t> </w:t>
      </w:r>
      <w:r>
        <w:rPr>
          <w:rFonts w:ascii="Cambria"/>
          <w:sz w:val="20"/>
        </w:rPr>
        <w:t>the</w:t>
      </w:r>
      <w:r>
        <w:rPr>
          <w:rFonts w:ascii="Cambria"/>
          <w:spacing w:val="15"/>
          <w:sz w:val="20"/>
        </w:rPr>
        <w:t> </w:t>
      </w:r>
      <w:r>
        <w:rPr>
          <w:rFonts w:ascii="Cambria"/>
          <w:sz w:val="20"/>
        </w:rPr>
        <w:t>#MeToo</w:t>
      </w:r>
      <w:r>
        <w:rPr>
          <w:rFonts w:ascii="Cambria"/>
          <w:spacing w:val="13"/>
          <w:sz w:val="20"/>
        </w:rPr>
        <w:t> </w:t>
      </w:r>
      <w:r>
        <w:rPr>
          <w:rFonts w:ascii="Cambria"/>
          <w:sz w:val="20"/>
        </w:rPr>
        <w:t>Era</w:t>
      </w:r>
    </w:p>
    <w:p>
      <w:pPr>
        <w:tabs>
          <w:tab w:pos="6928" w:val="left" w:leader="none"/>
        </w:tabs>
        <w:spacing w:before="2"/>
        <w:ind w:left="2025" w:right="0" w:firstLine="0"/>
        <w:jc w:val="left"/>
        <w:rPr>
          <w:rFonts w:ascii="Cambria" w:hAnsi="Cambria"/>
          <w:sz w:val="20"/>
        </w:rPr>
      </w:pPr>
      <w:r>
        <w:rPr>
          <w:b/>
          <w:spacing w:val="-2"/>
          <w:sz w:val="20"/>
        </w:rPr>
        <w:t>—Balendu</w:t>
      </w:r>
      <w:r>
        <w:rPr>
          <w:b/>
          <w:sz w:val="20"/>
        </w:rPr>
        <w:t> </w:t>
      </w:r>
      <w:r>
        <w:rPr>
          <w:b/>
          <w:spacing w:val="-4"/>
          <w:sz w:val="20"/>
        </w:rPr>
        <w:t>Singh</w:t>
      </w:r>
      <w:r>
        <w:rPr>
          <w:sz w:val="20"/>
        </w:rPr>
        <w:tab/>
      </w:r>
      <w:r>
        <w:rPr>
          <w:rFonts w:ascii="Cambria" w:hAnsi="Cambria"/>
          <w:spacing w:val="-5"/>
          <w:sz w:val="20"/>
        </w:rPr>
        <w:t>290</w:t>
      </w:r>
    </w:p>
    <w:p>
      <w:pPr>
        <w:pStyle w:val="ListParagraph"/>
        <w:numPr>
          <w:ilvl w:val="0"/>
          <w:numId w:val="3"/>
        </w:numPr>
        <w:tabs>
          <w:tab w:pos="2025" w:val="left" w:leader="none"/>
        </w:tabs>
        <w:spacing w:line="244" w:lineRule="auto" w:before="63" w:after="0"/>
        <w:ind w:left="2025" w:right="2460" w:hanging="519"/>
        <w:jc w:val="left"/>
        <w:rPr>
          <w:rFonts w:ascii="Cambria" w:hAnsi="Cambria"/>
          <w:sz w:val="20"/>
        </w:rPr>
      </w:pPr>
      <w:r>
        <w:rPr>
          <w:rFonts w:ascii="Cambria" w:hAnsi="Cambria"/>
          <w:spacing w:val="-2"/>
          <w:sz w:val="20"/>
        </w:rPr>
        <w:t>The</w:t>
      </w:r>
      <w:r>
        <w:rPr>
          <w:rFonts w:ascii="Cambria" w:hAnsi="Cambria"/>
          <w:spacing w:val="6"/>
          <w:sz w:val="20"/>
        </w:rPr>
        <w:t> </w:t>
      </w:r>
      <w:r>
        <w:rPr>
          <w:rFonts w:ascii="Cambria" w:hAnsi="Cambria"/>
          <w:spacing w:val="-2"/>
          <w:sz w:val="20"/>
        </w:rPr>
        <w:t>Transgressive</w:t>
      </w:r>
      <w:r>
        <w:rPr>
          <w:rFonts w:ascii="Cambria" w:hAnsi="Cambria"/>
          <w:spacing w:val="9"/>
          <w:sz w:val="20"/>
        </w:rPr>
        <w:t> </w:t>
      </w:r>
      <w:r>
        <w:rPr>
          <w:rFonts w:ascii="Cambria" w:hAnsi="Cambria"/>
          <w:spacing w:val="-2"/>
          <w:sz w:val="20"/>
        </w:rPr>
        <w:t>Stage:</w:t>
      </w:r>
      <w:r>
        <w:rPr>
          <w:rFonts w:ascii="Cambria" w:hAnsi="Cambria"/>
          <w:spacing w:val="-1"/>
          <w:sz w:val="20"/>
        </w:rPr>
        <w:t> </w:t>
      </w:r>
      <w:r>
        <w:rPr>
          <w:rFonts w:ascii="Cambria" w:hAnsi="Cambria"/>
          <w:spacing w:val="-2"/>
          <w:sz w:val="20"/>
        </w:rPr>
        <w:t>A</w:t>
      </w:r>
      <w:r>
        <w:rPr>
          <w:rFonts w:ascii="Cambria" w:hAnsi="Cambria"/>
          <w:spacing w:val="2"/>
          <w:sz w:val="20"/>
        </w:rPr>
        <w:t> </w:t>
      </w:r>
      <w:r>
        <w:rPr>
          <w:rFonts w:ascii="Cambria" w:hAnsi="Cambria"/>
          <w:spacing w:val="-2"/>
          <w:sz w:val="20"/>
        </w:rPr>
        <w:t>Study</w:t>
      </w:r>
      <w:r>
        <w:rPr>
          <w:rFonts w:ascii="Cambria" w:hAnsi="Cambria"/>
          <w:spacing w:val="7"/>
          <w:sz w:val="20"/>
        </w:rPr>
        <w:t> </w:t>
      </w:r>
      <w:r>
        <w:rPr>
          <w:rFonts w:ascii="Cambria" w:hAnsi="Cambria"/>
          <w:spacing w:val="-2"/>
          <w:sz w:val="20"/>
        </w:rPr>
        <w:t>of</w:t>
      </w:r>
      <w:r>
        <w:rPr>
          <w:rFonts w:ascii="Cambria" w:hAnsi="Cambria"/>
          <w:spacing w:val="7"/>
          <w:sz w:val="20"/>
        </w:rPr>
        <w:t> </w:t>
      </w:r>
      <w:r>
        <w:rPr>
          <w:rFonts w:ascii="Cambria" w:hAnsi="Cambria"/>
          <w:spacing w:val="-2"/>
          <w:sz w:val="20"/>
        </w:rPr>
        <w:t>Performance </w:t>
      </w:r>
      <w:r>
        <w:rPr>
          <w:rFonts w:ascii="Cambria" w:hAnsi="Cambria"/>
          <w:sz w:val="20"/>
        </w:rPr>
        <w:t>and</w:t>
      </w:r>
      <w:r>
        <w:rPr>
          <w:rFonts w:ascii="Cambria" w:hAnsi="Cambria"/>
          <w:spacing w:val="10"/>
          <w:sz w:val="20"/>
        </w:rPr>
        <w:t> </w:t>
      </w:r>
      <w:r>
        <w:rPr>
          <w:rFonts w:ascii="Cambria" w:hAnsi="Cambria"/>
          <w:sz w:val="20"/>
        </w:rPr>
        <w:t>Critical</w:t>
      </w:r>
      <w:r>
        <w:rPr>
          <w:rFonts w:ascii="Cambria" w:hAnsi="Cambria"/>
          <w:spacing w:val="10"/>
          <w:sz w:val="20"/>
        </w:rPr>
        <w:t> </w:t>
      </w:r>
      <w:r>
        <w:rPr>
          <w:rFonts w:ascii="Cambria" w:hAnsi="Cambria"/>
          <w:sz w:val="20"/>
        </w:rPr>
        <w:t>Reception</w:t>
      </w:r>
      <w:r>
        <w:rPr>
          <w:rFonts w:ascii="Cambria" w:hAnsi="Cambria"/>
          <w:spacing w:val="8"/>
          <w:sz w:val="20"/>
        </w:rPr>
        <w:t> </w:t>
      </w:r>
      <w:r>
        <w:rPr>
          <w:rFonts w:ascii="Cambria" w:hAnsi="Cambria"/>
          <w:sz w:val="20"/>
        </w:rPr>
        <w:t>of</w:t>
      </w:r>
      <w:r>
        <w:rPr>
          <w:rFonts w:ascii="Cambria" w:hAnsi="Cambria"/>
          <w:spacing w:val="10"/>
          <w:sz w:val="20"/>
        </w:rPr>
        <w:t> </w:t>
      </w:r>
      <w:r>
        <w:rPr>
          <w:rFonts w:ascii="Cambria" w:hAnsi="Cambria"/>
          <w:sz w:val="20"/>
        </w:rPr>
        <w:t>Shakespeare’s</w:t>
      </w:r>
      <w:r>
        <w:rPr>
          <w:rFonts w:ascii="Cambria" w:hAnsi="Cambria"/>
          <w:spacing w:val="7"/>
          <w:sz w:val="20"/>
        </w:rPr>
        <w:t> </w:t>
      </w:r>
      <w:r>
        <w:rPr>
          <w:rFonts w:ascii="Cambria" w:hAnsi="Cambria"/>
          <w:sz w:val="20"/>
        </w:rPr>
        <w:t>Women</w:t>
      </w:r>
    </w:p>
    <w:p>
      <w:pPr>
        <w:pStyle w:val="Heading6"/>
        <w:tabs>
          <w:tab w:pos="6928" w:val="left" w:leader="none"/>
        </w:tabs>
        <w:spacing w:before="1"/>
        <w:ind w:left="2025"/>
        <w:rPr>
          <w:rFonts w:ascii="Cambria" w:hAnsi="Cambria"/>
          <w:b w:val="0"/>
        </w:rPr>
      </w:pPr>
      <w:r>
        <w:rPr>
          <w:spacing w:val="-6"/>
        </w:rPr>
        <w:t>—N.</w:t>
      </w:r>
      <w:r>
        <w:rPr>
          <w:spacing w:val="-14"/>
        </w:rPr>
        <w:t> </w:t>
      </w:r>
      <w:r>
        <w:rPr>
          <w:spacing w:val="-6"/>
        </w:rPr>
        <w:t>Uma</w:t>
      </w:r>
      <w:r>
        <w:rPr>
          <w:spacing w:val="-14"/>
        </w:rPr>
        <w:t> </w:t>
      </w:r>
      <w:r>
        <w:rPr>
          <w:spacing w:val="-6"/>
        </w:rPr>
        <w:t>Subrahmanyeswari</w:t>
      </w:r>
      <w:r>
        <w:rPr>
          <w:b w:val="0"/>
        </w:rPr>
        <w:tab/>
      </w:r>
      <w:r>
        <w:rPr>
          <w:rFonts w:ascii="Cambria" w:hAnsi="Cambria"/>
          <w:b w:val="0"/>
          <w:spacing w:val="-5"/>
        </w:rPr>
        <w:t>296</w:t>
      </w:r>
    </w:p>
    <w:p>
      <w:pPr>
        <w:pStyle w:val="ListParagraph"/>
        <w:numPr>
          <w:ilvl w:val="0"/>
          <w:numId w:val="3"/>
        </w:numPr>
        <w:tabs>
          <w:tab w:pos="2025" w:val="left" w:leader="none"/>
        </w:tabs>
        <w:spacing w:line="244" w:lineRule="auto" w:before="64" w:after="0"/>
        <w:ind w:left="2025" w:right="1800" w:hanging="519"/>
        <w:jc w:val="left"/>
        <w:rPr>
          <w:rFonts w:ascii="Cambria" w:hAnsi="Cambria"/>
          <w:sz w:val="20"/>
        </w:rPr>
      </w:pPr>
      <w:r>
        <w:rPr>
          <w:rFonts w:ascii="Cambria" w:hAnsi="Cambria"/>
          <w:sz w:val="20"/>
        </w:rPr>
        <w:t>Women’s</w:t>
      </w:r>
      <w:r>
        <w:rPr>
          <w:rFonts w:ascii="Cambria" w:hAnsi="Cambria"/>
          <w:spacing w:val="15"/>
          <w:sz w:val="20"/>
        </w:rPr>
        <w:t> </w:t>
      </w:r>
      <w:r>
        <w:rPr>
          <w:rFonts w:ascii="Cambria" w:hAnsi="Cambria"/>
          <w:sz w:val="20"/>
        </w:rPr>
        <w:t>Stereotypes</w:t>
      </w:r>
      <w:r>
        <w:rPr>
          <w:rFonts w:ascii="Cambria" w:hAnsi="Cambria"/>
          <w:spacing w:val="16"/>
          <w:sz w:val="20"/>
        </w:rPr>
        <w:t> </w:t>
      </w:r>
      <w:r>
        <w:rPr>
          <w:rFonts w:ascii="Cambria" w:hAnsi="Cambria"/>
          <w:sz w:val="20"/>
        </w:rPr>
        <w:t>and</w:t>
      </w:r>
      <w:r>
        <w:rPr>
          <w:rFonts w:ascii="Cambria" w:hAnsi="Cambria"/>
          <w:spacing w:val="15"/>
          <w:sz w:val="20"/>
        </w:rPr>
        <w:t> </w:t>
      </w:r>
      <w:r>
        <w:rPr>
          <w:rFonts w:ascii="Cambria" w:hAnsi="Cambria"/>
          <w:sz w:val="20"/>
        </w:rPr>
        <w:t>Tropes</w:t>
      </w:r>
      <w:r>
        <w:rPr>
          <w:rFonts w:ascii="Cambria" w:hAnsi="Cambria"/>
          <w:spacing w:val="15"/>
          <w:sz w:val="20"/>
        </w:rPr>
        <w:t> </w:t>
      </w:r>
      <w:r>
        <w:rPr>
          <w:rFonts w:ascii="Cambria" w:hAnsi="Cambria"/>
          <w:sz w:val="20"/>
        </w:rPr>
        <w:t>in</w:t>
      </w:r>
      <w:r>
        <w:rPr>
          <w:rFonts w:ascii="Cambria" w:hAnsi="Cambria"/>
          <w:spacing w:val="15"/>
          <w:sz w:val="20"/>
        </w:rPr>
        <w:t> </w:t>
      </w:r>
      <w:r>
        <w:rPr>
          <w:rFonts w:ascii="Cambria" w:hAnsi="Cambria"/>
          <w:sz w:val="20"/>
        </w:rPr>
        <w:t>Shakespeare’s </w:t>
      </w:r>
      <w:r>
        <w:rPr>
          <w:rFonts w:ascii="Cambria" w:hAnsi="Cambria"/>
          <w:spacing w:val="-2"/>
          <w:sz w:val="20"/>
        </w:rPr>
        <w:t>Macbeth</w:t>
      </w:r>
      <w:r>
        <w:rPr>
          <w:rFonts w:ascii="Cambria" w:hAnsi="Cambria"/>
          <w:spacing w:val="14"/>
          <w:sz w:val="20"/>
        </w:rPr>
        <w:t> </w:t>
      </w:r>
      <w:r>
        <w:rPr>
          <w:rFonts w:ascii="Cambria" w:hAnsi="Cambria"/>
          <w:spacing w:val="-2"/>
          <w:sz w:val="20"/>
        </w:rPr>
        <w:t>through</w:t>
      </w:r>
      <w:r>
        <w:rPr>
          <w:rFonts w:ascii="Cambria" w:hAnsi="Cambria"/>
          <w:spacing w:val="14"/>
          <w:sz w:val="20"/>
        </w:rPr>
        <w:t> </w:t>
      </w:r>
      <w:r>
        <w:rPr>
          <w:rFonts w:ascii="Cambria" w:hAnsi="Cambria"/>
          <w:spacing w:val="-2"/>
          <w:sz w:val="20"/>
        </w:rPr>
        <w:t>the</w:t>
      </w:r>
      <w:r>
        <w:rPr>
          <w:rFonts w:ascii="Cambria" w:hAnsi="Cambria"/>
          <w:spacing w:val="16"/>
          <w:sz w:val="20"/>
        </w:rPr>
        <w:t> </w:t>
      </w:r>
      <w:r>
        <w:rPr>
          <w:rFonts w:ascii="Cambria" w:hAnsi="Cambria"/>
          <w:spacing w:val="-2"/>
          <w:sz w:val="20"/>
        </w:rPr>
        <w:t>Lens</w:t>
      </w:r>
      <w:r>
        <w:rPr>
          <w:rFonts w:ascii="Cambria" w:hAnsi="Cambria"/>
          <w:spacing w:val="13"/>
          <w:sz w:val="20"/>
        </w:rPr>
        <w:t> </w:t>
      </w:r>
      <w:r>
        <w:rPr>
          <w:rFonts w:ascii="Cambria" w:hAnsi="Cambria"/>
          <w:spacing w:val="-2"/>
          <w:sz w:val="20"/>
        </w:rPr>
        <w:t>of</w:t>
      </w:r>
      <w:r>
        <w:rPr>
          <w:rFonts w:ascii="Cambria" w:hAnsi="Cambria"/>
          <w:spacing w:val="14"/>
          <w:sz w:val="20"/>
        </w:rPr>
        <w:t> </w:t>
      </w:r>
      <w:r>
        <w:rPr>
          <w:rFonts w:ascii="Cambria" w:hAnsi="Cambria"/>
          <w:spacing w:val="-2"/>
          <w:sz w:val="20"/>
        </w:rPr>
        <w:t>the</w:t>
      </w:r>
      <w:r>
        <w:rPr>
          <w:rFonts w:ascii="Cambria" w:hAnsi="Cambria"/>
          <w:spacing w:val="16"/>
          <w:sz w:val="20"/>
        </w:rPr>
        <w:t> </w:t>
      </w:r>
      <w:r>
        <w:rPr>
          <w:rFonts w:ascii="Cambria" w:hAnsi="Cambria"/>
          <w:spacing w:val="-2"/>
          <w:sz w:val="20"/>
        </w:rPr>
        <w:t>Collective</w:t>
      </w:r>
      <w:r>
        <w:rPr>
          <w:rFonts w:ascii="Cambria" w:hAnsi="Cambria"/>
          <w:spacing w:val="15"/>
          <w:sz w:val="20"/>
        </w:rPr>
        <w:t> </w:t>
      </w:r>
      <w:r>
        <w:rPr>
          <w:rFonts w:ascii="Cambria" w:hAnsi="Cambria"/>
          <w:spacing w:val="-2"/>
          <w:sz w:val="20"/>
        </w:rPr>
        <w:t>Unconscious</w:t>
      </w:r>
    </w:p>
    <w:p>
      <w:pPr>
        <w:pStyle w:val="Heading6"/>
        <w:tabs>
          <w:tab w:pos="6928" w:val="left" w:leader="none"/>
        </w:tabs>
        <w:spacing w:before="1"/>
        <w:ind w:left="2025"/>
        <w:rPr>
          <w:rFonts w:ascii="Cambria" w:hAnsi="Cambria"/>
          <w:b w:val="0"/>
        </w:rPr>
      </w:pPr>
      <w:r>
        <w:rPr>
          <w:spacing w:val="-2"/>
        </w:rPr>
        <w:t>—Kanjarla</w:t>
      </w:r>
      <w:r>
        <w:rPr>
          <w:spacing w:val="-6"/>
        </w:rPr>
        <w:t> </w:t>
      </w:r>
      <w:r>
        <w:rPr>
          <w:spacing w:val="-2"/>
        </w:rPr>
        <w:t>Srujana;</w:t>
      </w:r>
      <w:r>
        <w:rPr>
          <w:spacing w:val="-10"/>
        </w:rPr>
        <w:t> </w:t>
      </w:r>
      <w:r>
        <w:rPr>
          <w:spacing w:val="-2"/>
        </w:rPr>
        <w:t>Dr.</w:t>
      </w:r>
      <w:r>
        <w:rPr>
          <w:spacing w:val="-7"/>
        </w:rPr>
        <w:t> </w:t>
      </w:r>
      <w:r>
        <w:rPr>
          <w:spacing w:val="-2"/>
        </w:rPr>
        <w:t>Babi</w:t>
      </w:r>
      <w:r>
        <w:rPr>
          <w:spacing w:val="-10"/>
        </w:rPr>
        <w:t> </w:t>
      </w:r>
      <w:r>
        <w:rPr>
          <w:spacing w:val="-4"/>
        </w:rPr>
        <w:t>Duli</w:t>
      </w:r>
      <w:r>
        <w:rPr>
          <w:b w:val="0"/>
        </w:rPr>
        <w:tab/>
      </w:r>
      <w:r>
        <w:rPr>
          <w:rFonts w:ascii="Cambria" w:hAnsi="Cambria"/>
          <w:b w:val="0"/>
          <w:spacing w:val="-5"/>
        </w:rPr>
        <w:t>300</w:t>
      </w:r>
    </w:p>
    <w:p>
      <w:pPr>
        <w:pStyle w:val="ListParagraph"/>
        <w:numPr>
          <w:ilvl w:val="0"/>
          <w:numId w:val="3"/>
        </w:numPr>
        <w:tabs>
          <w:tab w:pos="2026" w:val="left" w:leader="none"/>
        </w:tabs>
        <w:spacing w:line="240" w:lineRule="auto" w:before="66" w:after="0"/>
        <w:ind w:left="2026" w:right="0" w:hanging="519"/>
        <w:jc w:val="left"/>
        <w:rPr>
          <w:rFonts w:ascii="Cambria"/>
          <w:sz w:val="20"/>
        </w:rPr>
      </w:pPr>
      <w:r>
        <w:rPr>
          <w:rFonts w:ascii="Cambria"/>
          <w:spacing w:val="-2"/>
          <w:sz w:val="20"/>
        </w:rPr>
        <w:t>The</w:t>
      </w:r>
      <w:r>
        <w:rPr>
          <w:rFonts w:ascii="Cambria"/>
          <w:spacing w:val="3"/>
          <w:sz w:val="20"/>
        </w:rPr>
        <w:t> </w:t>
      </w:r>
      <w:r>
        <w:rPr>
          <w:rFonts w:ascii="Cambria"/>
          <w:spacing w:val="-2"/>
          <w:sz w:val="20"/>
        </w:rPr>
        <w:t>Politics</w:t>
      </w:r>
      <w:r>
        <w:rPr>
          <w:rFonts w:ascii="Cambria"/>
          <w:spacing w:val="2"/>
          <w:sz w:val="20"/>
        </w:rPr>
        <w:t> </w:t>
      </w:r>
      <w:r>
        <w:rPr>
          <w:rFonts w:ascii="Cambria"/>
          <w:spacing w:val="-2"/>
          <w:sz w:val="20"/>
        </w:rPr>
        <w:t>of</w:t>
      </w:r>
      <w:r>
        <w:rPr>
          <w:rFonts w:ascii="Cambria"/>
          <w:spacing w:val="2"/>
          <w:sz w:val="20"/>
        </w:rPr>
        <w:t> </w:t>
      </w:r>
      <w:r>
        <w:rPr>
          <w:rFonts w:ascii="Cambria"/>
          <w:spacing w:val="-2"/>
          <w:sz w:val="20"/>
        </w:rPr>
        <w:t>Silence:</w:t>
      </w:r>
      <w:r>
        <w:rPr>
          <w:rFonts w:ascii="Cambria"/>
          <w:spacing w:val="3"/>
          <w:sz w:val="20"/>
        </w:rPr>
        <w:t> </w:t>
      </w:r>
      <w:r>
        <w:rPr>
          <w:rFonts w:ascii="Cambria"/>
          <w:spacing w:val="-2"/>
          <w:sz w:val="20"/>
        </w:rPr>
        <w:t>Re-reading</w:t>
      </w:r>
      <w:r>
        <w:rPr>
          <w:rFonts w:ascii="Cambria"/>
          <w:spacing w:val="2"/>
          <w:sz w:val="20"/>
        </w:rPr>
        <w:t> </w:t>
      </w:r>
      <w:r>
        <w:rPr>
          <w:rFonts w:ascii="Cambria"/>
          <w:spacing w:val="-2"/>
          <w:sz w:val="20"/>
        </w:rPr>
        <w:t>Desdemona</w:t>
      </w:r>
      <w:r>
        <w:rPr>
          <w:rFonts w:ascii="Cambria"/>
          <w:spacing w:val="4"/>
          <w:sz w:val="20"/>
        </w:rPr>
        <w:t> </w:t>
      </w:r>
      <w:r>
        <w:rPr>
          <w:rFonts w:ascii="Cambria"/>
          <w:spacing w:val="-5"/>
          <w:sz w:val="20"/>
        </w:rPr>
        <w:t>and</w:t>
      </w:r>
    </w:p>
    <w:p>
      <w:pPr>
        <w:pStyle w:val="BodyText"/>
        <w:tabs>
          <w:tab w:pos="6928" w:val="left" w:leader="none"/>
        </w:tabs>
        <w:spacing w:before="5"/>
        <w:ind w:left="2025"/>
        <w:rPr>
          <w:rFonts w:ascii="Cambria" w:hAnsi="Cambria"/>
        </w:rPr>
      </w:pPr>
      <w:r>
        <w:rPr>
          <w:rFonts w:ascii="Cambria" w:hAnsi="Cambria"/>
          <w:spacing w:val="-4"/>
        </w:rPr>
        <w:t>Ophelia</w:t>
      </w:r>
      <w:r>
        <w:rPr>
          <w:rFonts w:ascii="Cambria" w:hAnsi="Cambria"/>
          <w:spacing w:val="7"/>
        </w:rPr>
        <w:t> </w:t>
      </w:r>
      <w:r>
        <w:rPr>
          <w:rFonts w:ascii="Cambria" w:hAnsi="Cambria"/>
          <w:spacing w:val="-4"/>
        </w:rPr>
        <w:t>in</w:t>
      </w:r>
      <w:r>
        <w:rPr>
          <w:rFonts w:ascii="Cambria" w:hAnsi="Cambria"/>
          <w:spacing w:val="5"/>
        </w:rPr>
        <w:t> </w:t>
      </w:r>
      <w:r>
        <w:rPr>
          <w:rFonts w:ascii="Cambria" w:hAnsi="Cambria"/>
          <w:spacing w:val="-4"/>
        </w:rPr>
        <w:t>the</w:t>
      </w:r>
      <w:r>
        <w:rPr>
          <w:rFonts w:ascii="Cambria" w:hAnsi="Cambria"/>
          <w:spacing w:val="9"/>
        </w:rPr>
        <w:t> </w:t>
      </w:r>
      <w:r>
        <w:rPr>
          <w:rFonts w:ascii="Cambria" w:hAnsi="Cambria"/>
          <w:spacing w:val="-4"/>
        </w:rPr>
        <w:t>#MeToo</w:t>
      </w:r>
      <w:r>
        <w:rPr>
          <w:rFonts w:ascii="Cambria" w:hAnsi="Cambria"/>
          <w:spacing w:val="7"/>
        </w:rPr>
        <w:t> </w:t>
      </w:r>
      <w:r>
        <w:rPr>
          <w:rFonts w:ascii="Cambria" w:hAnsi="Cambria"/>
          <w:spacing w:val="-4"/>
        </w:rPr>
        <w:t>Era</w:t>
      </w:r>
      <w:r>
        <w:rPr>
          <w:b/>
          <w:spacing w:val="-4"/>
        </w:rPr>
        <w:t>—Preety</w:t>
      </w:r>
      <w:r>
        <w:rPr/>
        <w:tab/>
      </w:r>
      <w:r>
        <w:rPr>
          <w:rFonts w:ascii="Cambria" w:hAnsi="Cambria"/>
          <w:spacing w:val="-5"/>
        </w:rPr>
        <w:t>307</w:t>
      </w:r>
    </w:p>
    <w:p>
      <w:pPr>
        <w:pStyle w:val="ListParagraph"/>
        <w:numPr>
          <w:ilvl w:val="0"/>
          <w:numId w:val="3"/>
        </w:numPr>
        <w:tabs>
          <w:tab w:pos="2025" w:val="left" w:leader="none"/>
        </w:tabs>
        <w:spacing w:line="244" w:lineRule="auto" w:before="63" w:after="0"/>
        <w:ind w:left="2025" w:right="2610" w:hanging="519"/>
        <w:jc w:val="left"/>
        <w:rPr>
          <w:rFonts w:ascii="Cambria" w:hAnsi="Cambria"/>
          <w:sz w:val="20"/>
        </w:rPr>
      </w:pPr>
      <w:r>
        <w:rPr>
          <w:rFonts w:ascii="Cambria" w:hAnsi="Cambria"/>
          <w:spacing w:val="-6"/>
          <w:sz w:val="20"/>
        </w:rPr>
        <w:t>Shakespeare’s</w:t>
      </w:r>
      <w:r>
        <w:rPr>
          <w:rFonts w:ascii="Cambria" w:hAnsi="Cambria"/>
          <w:spacing w:val="5"/>
          <w:sz w:val="20"/>
        </w:rPr>
        <w:t> </w:t>
      </w:r>
      <w:r>
        <w:rPr>
          <w:rFonts w:ascii="Cambria" w:hAnsi="Cambria"/>
          <w:spacing w:val="-6"/>
          <w:sz w:val="20"/>
        </w:rPr>
        <w:t>Representation</w:t>
      </w:r>
      <w:r>
        <w:rPr>
          <w:rFonts w:ascii="Cambria" w:hAnsi="Cambria"/>
          <w:spacing w:val="7"/>
          <w:sz w:val="20"/>
        </w:rPr>
        <w:t> </w:t>
      </w:r>
      <w:r>
        <w:rPr>
          <w:rFonts w:ascii="Cambria" w:hAnsi="Cambria"/>
          <w:spacing w:val="-6"/>
          <w:sz w:val="20"/>
        </w:rPr>
        <w:t>of</w:t>
      </w:r>
      <w:r>
        <w:rPr>
          <w:rFonts w:ascii="Cambria" w:hAnsi="Cambria"/>
          <w:spacing w:val="4"/>
          <w:sz w:val="20"/>
        </w:rPr>
        <w:t> </w:t>
      </w:r>
      <w:r>
        <w:rPr>
          <w:rFonts w:ascii="Cambria" w:hAnsi="Cambria"/>
          <w:spacing w:val="-6"/>
          <w:sz w:val="20"/>
        </w:rPr>
        <w:t>Women:</w:t>
      </w:r>
      <w:r>
        <w:rPr>
          <w:rFonts w:ascii="Cambria" w:hAnsi="Cambria"/>
          <w:spacing w:val="8"/>
          <w:sz w:val="20"/>
        </w:rPr>
        <w:t> </w:t>
      </w:r>
      <w:r>
        <w:rPr>
          <w:rFonts w:ascii="Cambria" w:hAnsi="Cambria"/>
          <w:spacing w:val="-6"/>
          <w:sz w:val="20"/>
        </w:rPr>
        <w:t>Power,</w:t>
      </w:r>
      <w:r>
        <w:rPr>
          <w:rFonts w:ascii="Cambria" w:hAnsi="Cambria"/>
          <w:sz w:val="20"/>
        </w:rPr>
        <w:t> Witchcraft,</w:t>
      </w:r>
      <w:r>
        <w:rPr>
          <w:rFonts w:ascii="Cambria" w:hAnsi="Cambria"/>
          <w:spacing w:val="33"/>
          <w:sz w:val="20"/>
        </w:rPr>
        <w:t> </w:t>
      </w:r>
      <w:r>
        <w:rPr>
          <w:rFonts w:ascii="Cambria" w:hAnsi="Cambria"/>
          <w:sz w:val="20"/>
        </w:rPr>
        <w:t>and</w:t>
      </w:r>
      <w:r>
        <w:rPr>
          <w:rFonts w:ascii="Cambria" w:hAnsi="Cambria"/>
          <w:spacing w:val="33"/>
          <w:sz w:val="20"/>
        </w:rPr>
        <w:t> </w:t>
      </w:r>
      <w:r>
        <w:rPr>
          <w:rFonts w:ascii="Cambria" w:hAnsi="Cambria"/>
          <w:sz w:val="20"/>
        </w:rPr>
        <w:t>Domesticity</w:t>
      </w:r>
      <w:r>
        <w:rPr>
          <w:rFonts w:ascii="Cambria" w:hAnsi="Cambria"/>
          <w:spacing w:val="29"/>
          <w:sz w:val="20"/>
        </w:rPr>
        <w:t> </w:t>
      </w:r>
      <w:r>
        <w:rPr>
          <w:rFonts w:ascii="Cambria" w:hAnsi="Cambria"/>
          <w:sz w:val="20"/>
        </w:rPr>
        <w:t>in</w:t>
      </w:r>
      <w:r>
        <w:rPr>
          <w:rFonts w:ascii="Cambria" w:hAnsi="Cambria"/>
          <w:spacing w:val="31"/>
          <w:sz w:val="20"/>
        </w:rPr>
        <w:t> </w:t>
      </w:r>
      <w:r>
        <w:rPr>
          <w:rFonts w:ascii="Cambria" w:hAnsi="Cambria"/>
          <w:sz w:val="20"/>
        </w:rPr>
        <w:t>“Macbeth”</w:t>
      </w:r>
    </w:p>
    <w:p>
      <w:pPr>
        <w:pStyle w:val="Heading6"/>
        <w:tabs>
          <w:tab w:pos="6928" w:val="left" w:leader="none"/>
        </w:tabs>
        <w:spacing w:before="2"/>
        <w:ind w:left="2025"/>
        <w:rPr>
          <w:rFonts w:ascii="Cambria" w:hAnsi="Cambria"/>
          <w:b w:val="0"/>
        </w:rPr>
      </w:pPr>
      <w:r>
        <w:rPr>
          <w:spacing w:val="-4"/>
        </w:rPr>
        <w:t>—Dr.</w:t>
      </w:r>
      <w:r>
        <w:rPr>
          <w:spacing w:val="-13"/>
        </w:rPr>
        <w:t> </w:t>
      </w:r>
      <w:r>
        <w:rPr>
          <w:spacing w:val="-4"/>
        </w:rPr>
        <w:t>Kobaku</w:t>
      </w:r>
      <w:r>
        <w:rPr>
          <w:spacing w:val="-16"/>
        </w:rPr>
        <w:t> </w:t>
      </w:r>
      <w:r>
        <w:rPr>
          <w:spacing w:val="-4"/>
        </w:rPr>
        <w:t>Rama</w:t>
      </w:r>
      <w:r>
        <w:rPr>
          <w:spacing w:val="-12"/>
        </w:rPr>
        <w:t> </w:t>
      </w:r>
      <w:r>
        <w:rPr>
          <w:spacing w:val="-4"/>
        </w:rPr>
        <w:t>Krishna</w:t>
      </w:r>
      <w:r>
        <w:rPr>
          <w:spacing w:val="-12"/>
        </w:rPr>
        <w:t> </w:t>
      </w:r>
      <w:r>
        <w:rPr>
          <w:spacing w:val="-4"/>
        </w:rPr>
        <w:t>Reddy</w:t>
      </w:r>
      <w:r>
        <w:rPr>
          <w:b w:val="0"/>
        </w:rPr>
        <w:tab/>
      </w:r>
      <w:r>
        <w:rPr>
          <w:rFonts w:ascii="Cambria" w:hAnsi="Cambria"/>
          <w:b w:val="0"/>
          <w:spacing w:val="-5"/>
        </w:rPr>
        <w:t>317</w:t>
      </w:r>
    </w:p>
    <w:p>
      <w:pPr>
        <w:pStyle w:val="ListParagraph"/>
        <w:numPr>
          <w:ilvl w:val="0"/>
          <w:numId w:val="3"/>
        </w:numPr>
        <w:tabs>
          <w:tab w:pos="2025" w:val="left" w:leader="none"/>
        </w:tabs>
        <w:spacing w:line="244" w:lineRule="auto" w:before="63" w:after="0"/>
        <w:ind w:left="2025" w:right="1935" w:hanging="519"/>
        <w:jc w:val="left"/>
        <w:rPr>
          <w:rFonts w:ascii="Cambria" w:hAnsi="Cambria"/>
          <w:sz w:val="20"/>
        </w:rPr>
      </w:pPr>
      <w:r>
        <w:rPr>
          <w:rFonts w:ascii="Cambria" w:hAnsi="Cambria"/>
          <w:spacing w:val="-4"/>
          <w:sz w:val="20"/>
        </w:rPr>
        <w:t>Grief</w:t>
      </w:r>
      <w:r>
        <w:rPr>
          <w:rFonts w:ascii="Cambria" w:hAnsi="Cambria"/>
          <w:sz w:val="20"/>
        </w:rPr>
        <w:t> </w:t>
      </w:r>
      <w:r>
        <w:rPr>
          <w:rFonts w:ascii="Cambria" w:hAnsi="Cambria"/>
          <w:spacing w:val="-4"/>
          <w:sz w:val="20"/>
        </w:rPr>
        <w:t>and</w:t>
      </w:r>
      <w:r>
        <w:rPr>
          <w:rFonts w:ascii="Cambria" w:hAnsi="Cambria"/>
          <w:spacing w:val="4"/>
          <w:sz w:val="20"/>
        </w:rPr>
        <w:t> </w:t>
      </w:r>
      <w:r>
        <w:rPr>
          <w:rFonts w:ascii="Cambria" w:hAnsi="Cambria"/>
          <w:spacing w:val="-4"/>
          <w:sz w:val="20"/>
        </w:rPr>
        <w:t>Mourning</w:t>
      </w:r>
      <w:r>
        <w:rPr>
          <w:rFonts w:ascii="Cambria" w:hAnsi="Cambria"/>
          <w:sz w:val="20"/>
        </w:rPr>
        <w:t> </w:t>
      </w:r>
      <w:r>
        <w:rPr>
          <w:rFonts w:ascii="Cambria" w:hAnsi="Cambria"/>
          <w:spacing w:val="-4"/>
          <w:sz w:val="20"/>
        </w:rPr>
        <w:t>in</w:t>
      </w:r>
      <w:r>
        <w:rPr>
          <w:rFonts w:ascii="Cambria" w:hAnsi="Cambria"/>
          <w:sz w:val="20"/>
        </w:rPr>
        <w:t> </w:t>
      </w:r>
      <w:r>
        <w:rPr>
          <w:rFonts w:ascii="Cambria" w:hAnsi="Cambria"/>
          <w:spacing w:val="-4"/>
          <w:sz w:val="20"/>
        </w:rPr>
        <w:t>Shakespeare’s</w:t>
      </w:r>
      <w:r>
        <w:rPr>
          <w:rFonts w:ascii="Cambria" w:hAnsi="Cambria"/>
          <w:spacing w:val="3"/>
          <w:sz w:val="20"/>
        </w:rPr>
        <w:t> </w:t>
      </w:r>
      <w:r>
        <w:rPr>
          <w:rFonts w:ascii="Cambria" w:hAnsi="Cambria"/>
          <w:spacing w:val="-4"/>
          <w:sz w:val="20"/>
        </w:rPr>
        <w:t>Female</w:t>
      </w:r>
      <w:r>
        <w:rPr>
          <w:rFonts w:ascii="Cambria" w:hAnsi="Cambria"/>
          <w:sz w:val="20"/>
        </w:rPr>
        <w:t> </w:t>
      </w:r>
      <w:r>
        <w:rPr>
          <w:rFonts w:ascii="Cambria" w:hAnsi="Cambria"/>
          <w:spacing w:val="-4"/>
          <w:sz w:val="20"/>
        </w:rPr>
        <w:t>Characters:</w:t>
      </w:r>
      <w:r>
        <w:rPr>
          <w:rFonts w:ascii="Cambria" w:hAnsi="Cambria"/>
          <w:sz w:val="20"/>
        </w:rPr>
        <w:t> A Study</w:t>
      </w:r>
      <w:r>
        <w:rPr>
          <w:rFonts w:ascii="Cambria" w:hAnsi="Cambria"/>
          <w:spacing w:val="25"/>
          <w:sz w:val="20"/>
        </w:rPr>
        <w:t> </w:t>
      </w:r>
      <w:r>
        <w:rPr>
          <w:rFonts w:ascii="Cambria" w:hAnsi="Cambria"/>
          <w:sz w:val="20"/>
        </w:rPr>
        <w:t>of Hamlet,</w:t>
      </w:r>
      <w:r>
        <w:rPr>
          <w:rFonts w:ascii="Cambria" w:hAnsi="Cambria"/>
          <w:spacing w:val="25"/>
          <w:sz w:val="20"/>
        </w:rPr>
        <w:t> </w:t>
      </w:r>
      <w:r>
        <w:rPr>
          <w:rFonts w:ascii="Cambria" w:hAnsi="Cambria"/>
          <w:sz w:val="20"/>
        </w:rPr>
        <w:t>Othello,</w:t>
      </w:r>
      <w:r>
        <w:rPr>
          <w:rFonts w:ascii="Cambria" w:hAnsi="Cambria"/>
          <w:spacing w:val="27"/>
          <w:sz w:val="20"/>
        </w:rPr>
        <w:t> </w:t>
      </w:r>
      <w:r>
        <w:rPr>
          <w:rFonts w:ascii="Cambria" w:hAnsi="Cambria"/>
          <w:sz w:val="20"/>
        </w:rPr>
        <w:t>and</w:t>
      </w:r>
      <w:r>
        <w:rPr>
          <w:rFonts w:ascii="Cambria" w:hAnsi="Cambria"/>
          <w:spacing w:val="25"/>
          <w:sz w:val="20"/>
        </w:rPr>
        <w:t> </w:t>
      </w:r>
      <w:r>
        <w:rPr>
          <w:rFonts w:ascii="Cambria" w:hAnsi="Cambria"/>
          <w:sz w:val="20"/>
        </w:rPr>
        <w:t>The</w:t>
      </w:r>
      <w:r>
        <w:rPr>
          <w:rFonts w:ascii="Cambria" w:hAnsi="Cambria"/>
          <w:spacing w:val="26"/>
          <w:sz w:val="20"/>
        </w:rPr>
        <w:t> </w:t>
      </w:r>
      <w:r>
        <w:rPr>
          <w:rFonts w:ascii="Cambria" w:hAnsi="Cambria"/>
          <w:sz w:val="20"/>
        </w:rPr>
        <w:t>Rape</w:t>
      </w:r>
      <w:r>
        <w:rPr>
          <w:rFonts w:ascii="Cambria" w:hAnsi="Cambria"/>
          <w:spacing w:val="27"/>
          <w:sz w:val="20"/>
        </w:rPr>
        <w:t> </w:t>
      </w:r>
      <w:r>
        <w:rPr>
          <w:rFonts w:ascii="Cambria" w:hAnsi="Cambria"/>
          <w:sz w:val="20"/>
        </w:rPr>
        <w:t>of Lucrece</w:t>
      </w:r>
    </w:p>
    <w:p>
      <w:pPr>
        <w:pStyle w:val="Heading6"/>
        <w:tabs>
          <w:tab w:pos="6928" w:val="left" w:leader="none"/>
        </w:tabs>
        <w:spacing w:before="2"/>
        <w:ind w:left="2025"/>
        <w:rPr>
          <w:rFonts w:ascii="Cambria" w:hAnsi="Cambria"/>
          <w:b w:val="0"/>
        </w:rPr>
      </w:pPr>
      <w:r>
        <w:rPr>
          <w:spacing w:val="-4"/>
        </w:rPr>
        <w:t>—Dr.</w:t>
      </w:r>
      <w:r>
        <w:rPr>
          <w:spacing w:val="-13"/>
        </w:rPr>
        <w:t> </w:t>
      </w:r>
      <w:r>
        <w:rPr>
          <w:spacing w:val="-4"/>
        </w:rPr>
        <w:t>Ramesh</w:t>
      </w:r>
      <w:r>
        <w:rPr>
          <w:spacing w:val="-16"/>
        </w:rPr>
        <w:t> </w:t>
      </w:r>
      <w:r>
        <w:rPr>
          <w:spacing w:val="-4"/>
        </w:rPr>
        <w:t>Baburao</w:t>
      </w:r>
      <w:r>
        <w:rPr>
          <w:spacing w:val="-15"/>
        </w:rPr>
        <w:t> </w:t>
      </w:r>
      <w:r>
        <w:rPr>
          <w:spacing w:val="-4"/>
        </w:rPr>
        <w:t>Ghegadmal</w:t>
      </w:r>
      <w:r>
        <w:rPr>
          <w:b w:val="0"/>
        </w:rPr>
        <w:tab/>
      </w:r>
      <w:r>
        <w:rPr>
          <w:rFonts w:ascii="Cambria" w:hAnsi="Cambria"/>
          <w:b w:val="0"/>
          <w:spacing w:val="-5"/>
        </w:rPr>
        <w:t>327</w:t>
      </w:r>
    </w:p>
    <w:p>
      <w:pPr>
        <w:pStyle w:val="ListParagraph"/>
        <w:numPr>
          <w:ilvl w:val="0"/>
          <w:numId w:val="3"/>
        </w:numPr>
        <w:tabs>
          <w:tab w:pos="2025" w:val="left" w:leader="none"/>
        </w:tabs>
        <w:spacing w:line="244" w:lineRule="auto" w:before="63" w:after="0"/>
        <w:ind w:left="2025" w:right="2160" w:hanging="519"/>
        <w:jc w:val="left"/>
        <w:rPr>
          <w:rFonts w:ascii="Cambria" w:hAnsi="Cambria"/>
          <w:sz w:val="20"/>
        </w:rPr>
      </w:pPr>
      <w:r>
        <w:rPr>
          <w:rFonts w:ascii="Cambria" w:hAnsi="Cambria"/>
          <w:spacing w:val="-2"/>
          <w:sz w:val="20"/>
        </w:rPr>
        <w:t>“From Katherina</w:t>
      </w:r>
      <w:r>
        <w:rPr>
          <w:rFonts w:ascii="Cambria" w:hAnsi="Cambria"/>
          <w:sz w:val="20"/>
        </w:rPr>
        <w:t> </w:t>
      </w:r>
      <w:r>
        <w:rPr>
          <w:rFonts w:ascii="Cambria" w:hAnsi="Cambria"/>
          <w:spacing w:val="-2"/>
          <w:sz w:val="20"/>
        </w:rPr>
        <w:t>to</w:t>
      </w:r>
      <w:r>
        <w:rPr>
          <w:rFonts w:ascii="Cambria" w:hAnsi="Cambria"/>
          <w:sz w:val="20"/>
        </w:rPr>
        <w:t> </w:t>
      </w:r>
      <w:r>
        <w:rPr>
          <w:rFonts w:ascii="Cambria" w:hAnsi="Cambria"/>
          <w:spacing w:val="-2"/>
          <w:sz w:val="20"/>
        </w:rPr>
        <w:t>Kanthapura: Gender,</w:t>
      </w:r>
      <w:r>
        <w:rPr>
          <w:rFonts w:ascii="Cambria" w:hAnsi="Cambria"/>
          <w:sz w:val="20"/>
        </w:rPr>
        <w:t> </w:t>
      </w:r>
      <w:r>
        <w:rPr>
          <w:rFonts w:ascii="Cambria" w:hAnsi="Cambria"/>
          <w:spacing w:val="-2"/>
          <w:sz w:val="20"/>
        </w:rPr>
        <w:t>Power,</w:t>
      </w:r>
      <w:r>
        <w:rPr>
          <w:rFonts w:ascii="Cambria" w:hAnsi="Cambria"/>
          <w:sz w:val="20"/>
        </w:rPr>
        <w:t> </w:t>
      </w:r>
      <w:r>
        <w:rPr>
          <w:rFonts w:ascii="Cambria" w:hAnsi="Cambria"/>
          <w:spacing w:val="-2"/>
          <w:sz w:val="20"/>
        </w:rPr>
        <w:t>and </w:t>
      </w:r>
      <w:r>
        <w:rPr>
          <w:rFonts w:ascii="Cambria" w:hAnsi="Cambria"/>
          <w:spacing w:val="-4"/>
          <w:sz w:val="20"/>
        </w:rPr>
        <w:t>Patriarchy</w:t>
      </w:r>
      <w:r>
        <w:rPr>
          <w:rFonts w:ascii="Cambria" w:hAnsi="Cambria"/>
          <w:spacing w:val="4"/>
          <w:sz w:val="20"/>
        </w:rPr>
        <w:t> </w:t>
      </w:r>
      <w:r>
        <w:rPr>
          <w:rFonts w:ascii="Cambria" w:hAnsi="Cambria"/>
          <w:spacing w:val="-4"/>
          <w:sz w:val="20"/>
        </w:rPr>
        <w:t>in</w:t>
      </w:r>
      <w:r>
        <w:rPr>
          <w:rFonts w:ascii="Cambria" w:hAnsi="Cambria"/>
          <w:spacing w:val="7"/>
          <w:sz w:val="20"/>
        </w:rPr>
        <w:t> </w:t>
      </w:r>
      <w:r>
        <w:rPr>
          <w:rFonts w:ascii="Cambria" w:hAnsi="Cambria"/>
          <w:spacing w:val="-4"/>
          <w:sz w:val="20"/>
        </w:rPr>
        <w:t>Gandhi,</w:t>
      </w:r>
      <w:r>
        <w:rPr>
          <w:rFonts w:ascii="Cambria" w:hAnsi="Cambria"/>
          <w:spacing w:val="7"/>
          <w:sz w:val="20"/>
        </w:rPr>
        <w:t> </w:t>
      </w:r>
      <w:r>
        <w:rPr>
          <w:rFonts w:ascii="Cambria" w:hAnsi="Cambria"/>
          <w:spacing w:val="-4"/>
          <w:sz w:val="20"/>
        </w:rPr>
        <w:t>Shakespeare,</w:t>
      </w:r>
      <w:r>
        <w:rPr>
          <w:rFonts w:ascii="Cambria" w:hAnsi="Cambria"/>
          <w:spacing w:val="9"/>
          <w:sz w:val="20"/>
        </w:rPr>
        <w:t> </w:t>
      </w:r>
      <w:r>
        <w:rPr>
          <w:rFonts w:ascii="Cambria" w:hAnsi="Cambria"/>
          <w:spacing w:val="-4"/>
          <w:sz w:val="20"/>
        </w:rPr>
        <w:t>and</w:t>
      </w:r>
      <w:r>
        <w:rPr>
          <w:rFonts w:ascii="Cambria" w:hAnsi="Cambria"/>
          <w:spacing w:val="7"/>
          <w:sz w:val="20"/>
        </w:rPr>
        <w:t> </w:t>
      </w:r>
      <w:r>
        <w:rPr>
          <w:rFonts w:ascii="Cambria" w:hAnsi="Cambria"/>
          <w:spacing w:val="-4"/>
          <w:sz w:val="20"/>
        </w:rPr>
        <w:t>Indian</w:t>
      </w:r>
      <w:r>
        <w:rPr>
          <w:rFonts w:ascii="Cambria" w:hAnsi="Cambria"/>
          <w:spacing w:val="7"/>
          <w:sz w:val="20"/>
        </w:rPr>
        <w:t> </w:t>
      </w:r>
      <w:r>
        <w:rPr>
          <w:rFonts w:ascii="Cambria" w:hAnsi="Cambria"/>
          <w:spacing w:val="-4"/>
          <w:sz w:val="20"/>
        </w:rPr>
        <w:t>Novels</w:t>
      </w:r>
    </w:p>
    <w:p>
      <w:pPr>
        <w:tabs>
          <w:tab w:pos="6928" w:val="left" w:leader="none"/>
        </w:tabs>
        <w:spacing w:before="2"/>
        <w:ind w:left="2025" w:right="0" w:firstLine="0"/>
        <w:jc w:val="left"/>
        <w:rPr>
          <w:rFonts w:ascii="Cambria" w:hAnsi="Cambria"/>
          <w:sz w:val="20"/>
        </w:rPr>
      </w:pPr>
      <w:r>
        <w:rPr>
          <w:rFonts w:ascii="Cambria" w:hAnsi="Cambria"/>
          <w:sz w:val="20"/>
        </w:rPr>
        <w:t>in</w:t>
      </w:r>
      <w:r>
        <w:rPr>
          <w:rFonts w:ascii="Cambria" w:hAnsi="Cambria"/>
          <w:spacing w:val="2"/>
          <w:sz w:val="20"/>
        </w:rPr>
        <w:t> </w:t>
      </w:r>
      <w:r>
        <w:rPr>
          <w:rFonts w:ascii="Cambria" w:hAnsi="Cambria"/>
          <w:sz w:val="20"/>
        </w:rPr>
        <w:t>the</w:t>
      </w:r>
      <w:r>
        <w:rPr>
          <w:rFonts w:ascii="Cambria" w:hAnsi="Cambria"/>
          <w:spacing w:val="2"/>
          <w:sz w:val="20"/>
        </w:rPr>
        <w:t> </w:t>
      </w:r>
      <w:r>
        <w:rPr>
          <w:rFonts w:ascii="Cambria" w:hAnsi="Cambria"/>
          <w:sz w:val="20"/>
        </w:rPr>
        <w:t>#MeToo</w:t>
      </w:r>
      <w:r>
        <w:rPr>
          <w:rFonts w:ascii="Cambria" w:hAnsi="Cambria"/>
          <w:spacing w:val="5"/>
          <w:sz w:val="20"/>
        </w:rPr>
        <w:t> </w:t>
      </w:r>
      <w:r>
        <w:rPr>
          <w:rFonts w:ascii="Cambria" w:hAnsi="Cambria"/>
          <w:sz w:val="20"/>
        </w:rPr>
        <w:t>Era”</w:t>
      </w:r>
      <w:r>
        <w:rPr>
          <w:b/>
          <w:sz w:val="20"/>
        </w:rPr>
        <w:t>—Dr.</w:t>
      </w:r>
      <w:r>
        <w:rPr>
          <w:b/>
          <w:spacing w:val="-2"/>
          <w:sz w:val="20"/>
        </w:rPr>
        <w:t> </w:t>
      </w:r>
      <w:r>
        <w:rPr>
          <w:b/>
          <w:sz w:val="20"/>
        </w:rPr>
        <w:t>S</w:t>
      </w:r>
      <w:r>
        <w:rPr>
          <w:b/>
          <w:spacing w:val="-4"/>
          <w:sz w:val="20"/>
        </w:rPr>
        <w:t> </w:t>
      </w:r>
      <w:r>
        <w:rPr>
          <w:b/>
          <w:sz w:val="20"/>
        </w:rPr>
        <w:t>Feroz</w:t>
      </w:r>
      <w:r>
        <w:rPr>
          <w:b/>
          <w:spacing w:val="-2"/>
          <w:sz w:val="20"/>
        </w:rPr>
        <w:t> </w:t>
      </w:r>
      <w:r>
        <w:rPr>
          <w:b/>
          <w:spacing w:val="-4"/>
          <w:sz w:val="20"/>
        </w:rPr>
        <w:t>Begum</w:t>
      </w:r>
      <w:r>
        <w:rPr>
          <w:sz w:val="20"/>
        </w:rPr>
        <w:tab/>
      </w:r>
      <w:r>
        <w:rPr>
          <w:rFonts w:ascii="Cambria" w:hAnsi="Cambria"/>
          <w:spacing w:val="-5"/>
          <w:sz w:val="20"/>
        </w:rPr>
        <w:t>339</w:t>
      </w:r>
    </w:p>
    <w:p>
      <w:pPr>
        <w:pStyle w:val="ListParagraph"/>
        <w:numPr>
          <w:ilvl w:val="0"/>
          <w:numId w:val="3"/>
        </w:numPr>
        <w:tabs>
          <w:tab w:pos="2026" w:val="left" w:leader="none"/>
        </w:tabs>
        <w:spacing w:line="240" w:lineRule="auto" w:before="63" w:after="0"/>
        <w:ind w:left="2026" w:right="0" w:hanging="519"/>
        <w:jc w:val="left"/>
        <w:rPr>
          <w:rFonts w:ascii="Cambria" w:hAnsi="Cambria"/>
          <w:sz w:val="20"/>
        </w:rPr>
      </w:pPr>
      <w:r>
        <w:rPr>
          <w:rFonts w:ascii="Cambria" w:hAnsi="Cambria"/>
          <w:spacing w:val="-4"/>
          <w:sz w:val="20"/>
        </w:rPr>
        <w:t>Women</w:t>
      </w:r>
      <w:r>
        <w:rPr>
          <w:rFonts w:ascii="Cambria" w:hAnsi="Cambria"/>
          <w:spacing w:val="12"/>
          <w:sz w:val="20"/>
        </w:rPr>
        <w:t> </w:t>
      </w:r>
      <w:r>
        <w:rPr>
          <w:rFonts w:ascii="Cambria" w:hAnsi="Cambria"/>
          <w:spacing w:val="-4"/>
          <w:sz w:val="20"/>
        </w:rPr>
        <w:t>and</w:t>
      </w:r>
      <w:r>
        <w:rPr>
          <w:rFonts w:ascii="Cambria" w:hAnsi="Cambria"/>
          <w:spacing w:val="16"/>
          <w:sz w:val="20"/>
        </w:rPr>
        <w:t> </w:t>
      </w:r>
      <w:r>
        <w:rPr>
          <w:rFonts w:ascii="Cambria" w:hAnsi="Cambria"/>
          <w:spacing w:val="-4"/>
          <w:sz w:val="20"/>
        </w:rPr>
        <w:t>Mental</w:t>
      </w:r>
      <w:r>
        <w:rPr>
          <w:rFonts w:ascii="Cambria" w:hAnsi="Cambria"/>
          <w:spacing w:val="14"/>
          <w:sz w:val="20"/>
        </w:rPr>
        <w:t> </w:t>
      </w:r>
      <w:r>
        <w:rPr>
          <w:rFonts w:ascii="Cambria" w:hAnsi="Cambria"/>
          <w:spacing w:val="-4"/>
          <w:sz w:val="20"/>
        </w:rPr>
        <w:t>Health</w:t>
      </w:r>
      <w:r>
        <w:rPr>
          <w:rFonts w:ascii="Cambria" w:hAnsi="Cambria"/>
          <w:spacing w:val="13"/>
          <w:sz w:val="20"/>
        </w:rPr>
        <w:t> </w:t>
      </w:r>
      <w:r>
        <w:rPr>
          <w:rFonts w:ascii="Cambria" w:hAnsi="Cambria"/>
          <w:spacing w:val="-4"/>
          <w:sz w:val="20"/>
        </w:rPr>
        <w:t>in</w:t>
      </w:r>
      <w:r>
        <w:rPr>
          <w:rFonts w:ascii="Cambria" w:hAnsi="Cambria"/>
          <w:spacing w:val="14"/>
          <w:sz w:val="20"/>
        </w:rPr>
        <w:t> </w:t>
      </w:r>
      <w:r>
        <w:rPr>
          <w:rFonts w:ascii="Cambria" w:hAnsi="Cambria"/>
          <w:spacing w:val="-4"/>
          <w:sz w:val="20"/>
        </w:rPr>
        <w:t>Shakespeare’s</w:t>
      </w:r>
      <w:r>
        <w:rPr>
          <w:rFonts w:ascii="Cambria" w:hAnsi="Cambria"/>
          <w:spacing w:val="14"/>
          <w:sz w:val="20"/>
        </w:rPr>
        <w:t> </w:t>
      </w:r>
      <w:r>
        <w:rPr>
          <w:rFonts w:ascii="Cambria" w:hAnsi="Cambria"/>
          <w:spacing w:val="-4"/>
          <w:sz w:val="20"/>
        </w:rPr>
        <w:t>Plays</w:t>
      </w:r>
    </w:p>
    <w:p>
      <w:pPr>
        <w:pStyle w:val="Heading6"/>
        <w:tabs>
          <w:tab w:pos="6928" w:val="left" w:leader="none"/>
        </w:tabs>
        <w:spacing w:before="5"/>
        <w:ind w:left="2025"/>
        <w:rPr>
          <w:rFonts w:ascii="Cambria" w:hAnsi="Cambria"/>
          <w:b w:val="0"/>
        </w:rPr>
      </w:pPr>
      <w:r>
        <w:rPr>
          <w:spacing w:val="-6"/>
        </w:rPr>
        <w:t>—Dr.</w:t>
      </w:r>
      <w:r>
        <w:rPr>
          <w:spacing w:val="-11"/>
        </w:rPr>
        <w:t> </w:t>
      </w:r>
      <w:r>
        <w:rPr>
          <w:spacing w:val="-6"/>
        </w:rPr>
        <w:t>K.</w:t>
      </w:r>
      <w:r>
        <w:rPr>
          <w:spacing w:val="-13"/>
        </w:rPr>
        <w:t> </w:t>
      </w:r>
      <w:r>
        <w:rPr>
          <w:spacing w:val="-6"/>
        </w:rPr>
        <w:t>N.</w:t>
      </w:r>
      <w:r>
        <w:rPr>
          <w:spacing w:val="-8"/>
        </w:rPr>
        <w:t> </w:t>
      </w:r>
      <w:r>
        <w:rPr>
          <w:spacing w:val="-6"/>
        </w:rPr>
        <w:t>Umadevi</w:t>
      </w:r>
      <w:r>
        <w:rPr>
          <w:b w:val="0"/>
        </w:rPr>
        <w:tab/>
      </w:r>
      <w:r>
        <w:rPr>
          <w:rFonts w:ascii="Cambria" w:hAnsi="Cambria"/>
          <w:b w:val="0"/>
          <w:spacing w:val="-5"/>
        </w:rPr>
        <w:t>348</w:t>
      </w:r>
    </w:p>
    <w:p>
      <w:pPr>
        <w:pStyle w:val="ListParagraph"/>
        <w:numPr>
          <w:ilvl w:val="0"/>
          <w:numId w:val="3"/>
        </w:numPr>
        <w:tabs>
          <w:tab w:pos="2025" w:val="left" w:leader="none"/>
          <w:tab w:pos="6928" w:val="left" w:leader="none"/>
        </w:tabs>
        <w:spacing w:line="244" w:lineRule="auto" w:before="66" w:after="0"/>
        <w:ind w:left="2025" w:right="1438" w:hanging="519"/>
        <w:jc w:val="left"/>
        <w:rPr>
          <w:rFonts w:ascii="Cambria" w:hAnsi="Cambria"/>
          <w:sz w:val="20"/>
        </w:rPr>
      </w:pPr>
      <w:r>
        <w:rPr>
          <w:rFonts w:ascii="Cambria" w:hAnsi="Cambria"/>
          <w:sz w:val="20"/>
        </w:rPr>
        <w:t>Women</w:t>
      </w:r>
      <w:r>
        <w:rPr>
          <w:rFonts w:ascii="Cambria" w:hAnsi="Cambria"/>
          <w:spacing w:val="17"/>
          <w:sz w:val="20"/>
        </w:rPr>
        <w:t> </w:t>
      </w:r>
      <w:r>
        <w:rPr>
          <w:rFonts w:ascii="Cambria" w:hAnsi="Cambria"/>
          <w:sz w:val="20"/>
        </w:rPr>
        <w:t>and</w:t>
      </w:r>
      <w:r>
        <w:rPr>
          <w:rFonts w:ascii="Cambria" w:hAnsi="Cambria"/>
          <w:spacing w:val="20"/>
          <w:sz w:val="20"/>
        </w:rPr>
        <w:t> </w:t>
      </w:r>
      <w:r>
        <w:rPr>
          <w:rFonts w:ascii="Cambria" w:hAnsi="Cambria"/>
          <w:sz w:val="20"/>
        </w:rPr>
        <w:t>Mental</w:t>
      </w:r>
      <w:r>
        <w:rPr>
          <w:rFonts w:ascii="Cambria" w:hAnsi="Cambria"/>
          <w:spacing w:val="18"/>
          <w:sz w:val="20"/>
        </w:rPr>
        <w:t> </w:t>
      </w:r>
      <w:r>
        <w:rPr>
          <w:rFonts w:ascii="Cambria" w:hAnsi="Cambria"/>
          <w:sz w:val="20"/>
        </w:rPr>
        <w:t>Health</w:t>
      </w:r>
      <w:r>
        <w:rPr>
          <w:rFonts w:ascii="Cambria" w:hAnsi="Cambria"/>
          <w:spacing w:val="17"/>
          <w:sz w:val="20"/>
        </w:rPr>
        <w:t> </w:t>
      </w:r>
      <w:r>
        <w:rPr>
          <w:rFonts w:ascii="Cambria" w:hAnsi="Cambria"/>
          <w:sz w:val="20"/>
        </w:rPr>
        <w:t>in</w:t>
      </w:r>
      <w:r>
        <w:rPr>
          <w:rFonts w:ascii="Cambria" w:hAnsi="Cambria"/>
          <w:spacing w:val="17"/>
          <w:sz w:val="20"/>
        </w:rPr>
        <w:t> </w:t>
      </w:r>
      <w:r>
        <w:rPr>
          <w:rFonts w:ascii="Cambria" w:hAnsi="Cambria"/>
          <w:sz w:val="20"/>
        </w:rPr>
        <w:t>Shakespeare’s</w:t>
      </w:r>
      <w:r>
        <w:rPr>
          <w:rFonts w:ascii="Cambria" w:hAnsi="Cambria"/>
          <w:spacing w:val="17"/>
          <w:sz w:val="20"/>
        </w:rPr>
        <w:t> </w:t>
      </w:r>
      <w:r>
        <w:rPr>
          <w:rFonts w:ascii="Cambria" w:hAnsi="Cambria"/>
          <w:sz w:val="20"/>
        </w:rPr>
        <w:t>Plays: A Comprehensive Critical Analysis</w:t>
      </w:r>
      <w:r>
        <w:rPr>
          <w:b/>
          <w:sz w:val="20"/>
        </w:rPr>
        <w:t>—B. Sreedevi</w:t>
      </w:r>
      <w:r>
        <w:rPr>
          <w:sz w:val="20"/>
        </w:rPr>
        <w:tab/>
      </w:r>
      <w:r>
        <w:rPr>
          <w:rFonts w:ascii="Cambria" w:hAnsi="Cambria"/>
          <w:spacing w:val="-24"/>
          <w:sz w:val="20"/>
        </w:rPr>
        <w:t>360</w:t>
      </w:r>
    </w:p>
    <w:p>
      <w:pPr>
        <w:pStyle w:val="ListParagraph"/>
        <w:numPr>
          <w:ilvl w:val="0"/>
          <w:numId w:val="3"/>
        </w:numPr>
        <w:tabs>
          <w:tab w:pos="2026" w:val="left" w:leader="none"/>
        </w:tabs>
        <w:spacing w:line="240" w:lineRule="auto" w:before="59" w:after="0"/>
        <w:ind w:left="2026" w:right="0" w:hanging="519"/>
        <w:jc w:val="left"/>
        <w:rPr>
          <w:rFonts w:ascii="Cambria" w:hAnsi="Cambria"/>
          <w:sz w:val="20"/>
        </w:rPr>
      </w:pPr>
      <w:r>
        <w:rPr>
          <w:rFonts w:ascii="Cambria" w:hAnsi="Cambria"/>
          <w:spacing w:val="-6"/>
          <w:sz w:val="20"/>
        </w:rPr>
        <w:t>Shakespeare’s</w:t>
      </w:r>
      <w:r>
        <w:rPr>
          <w:rFonts w:ascii="Cambria" w:hAnsi="Cambria"/>
          <w:spacing w:val="6"/>
          <w:sz w:val="20"/>
        </w:rPr>
        <w:t> </w:t>
      </w:r>
      <w:r>
        <w:rPr>
          <w:rFonts w:ascii="Cambria" w:hAnsi="Cambria"/>
          <w:spacing w:val="-6"/>
          <w:sz w:val="20"/>
        </w:rPr>
        <w:t>Female</w:t>
      </w:r>
      <w:r>
        <w:rPr>
          <w:rFonts w:ascii="Cambria" w:hAnsi="Cambria"/>
          <w:spacing w:val="8"/>
          <w:sz w:val="20"/>
        </w:rPr>
        <w:t> </w:t>
      </w:r>
      <w:r>
        <w:rPr>
          <w:rFonts w:ascii="Cambria" w:hAnsi="Cambria"/>
          <w:spacing w:val="-6"/>
          <w:sz w:val="20"/>
        </w:rPr>
        <w:t>Character</w:t>
      </w:r>
    </w:p>
    <w:p>
      <w:pPr>
        <w:pStyle w:val="Heading6"/>
        <w:tabs>
          <w:tab w:pos="6928" w:val="left" w:leader="none"/>
        </w:tabs>
        <w:spacing w:before="6"/>
        <w:ind w:left="2025"/>
        <w:rPr>
          <w:rFonts w:ascii="Cambria" w:hAnsi="Cambria"/>
          <w:b w:val="0"/>
        </w:rPr>
      </w:pPr>
      <w:r>
        <w:rPr>
          <w:spacing w:val="-2"/>
        </w:rPr>
        <w:t>—Dr.</w:t>
      </w:r>
      <w:r>
        <w:rPr>
          <w:spacing w:val="-10"/>
        </w:rPr>
        <w:t> </w:t>
      </w:r>
      <w:r>
        <w:rPr>
          <w:spacing w:val="-2"/>
        </w:rPr>
        <w:t>S.</w:t>
      </w:r>
      <w:r>
        <w:rPr>
          <w:spacing w:val="-11"/>
        </w:rPr>
        <w:t> </w:t>
      </w:r>
      <w:r>
        <w:rPr>
          <w:spacing w:val="-2"/>
        </w:rPr>
        <w:t>G.</w:t>
      </w:r>
      <w:r>
        <w:rPr>
          <w:spacing w:val="-9"/>
        </w:rPr>
        <w:t> </w:t>
      </w:r>
      <w:r>
        <w:rPr>
          <w:spacing w:val="-2"/>
        </w:rPr>
        <w:t>Dhanalakshmi</w:t>
      </w:r>
      <w:r>
        <w:rPr>
          <w:spacing w:val="-10"/>
        </w:rPr>
        <w:t> </w:t>
      </w:r>
      <w:r>
        <w:rPr>
          <w:spacing w:val="-4"/>
        </w:rPr>
        <w:t>Devi</w:t>
      </w:r>
      <w:r>
        <w:rPr>
          <w:b w:val="0"/>
        </w:rPr>
        <w:tab/>
      </w:r>
      <w:r>
        <w:rPr>
          <w:rFonts w:ascii="Cambria" w:hAnsi="Cambria"/>
          <w:b w:val="0"/>
          <w:spacing w:val="-5"/>
        </w:rPr>
        <w:t>367</w:t>
      </w:r>
    </w:p>
    <w:p>
      <w:pPr>
        <w:pStyle w:val="ListParagraph"/>
        <w:numPr>
          <w:ilvl w:val="0"/>
          <w:numId w:val="3"/>
        </w:numPr>
        <w:tabs>
          <w:tab w:pos="2025" w:val="left" w:leader="none"/>
        </w:tabs>
        <w:spacing w:line="244" w:lineRule="auto" w:before="63" w:after="0"/>
        <w:ind w:left="2025" w:right="2475" w:hanging="519"/>
        <w:jc w:val="left"/>
        <w:rPr>
          <w:rFonts w:ascii="Cambria"/>
          <w:sz w:val="20"/>
        </w:rPr>
      </w:pPr>
      <w:r>
        <w:rPr>
          <w:rFonts w:ascii="Cambria"/>
          <w:spacing w:val="-2"/>
          <w:sz w:val="20"/>
        </w:rPr>
        <w:t>A</w:t>
      </w:r>
      <w:r>
        <w:rPr>
          <w:rFonts w:ascii="Cambria"/>
          <w:sz w:val="20"/>
        </w:rPr>
        <w:t> </w:t>
      </w:r>
      <w:r>
        <w:rPr>
          <w:rFonts w:ascii="Cambria"/>
          <w:spacing w:val="-2"/>
          <w:sz w:val="20"/>
        </w:rPr>
        <w:t>Critical</w:t>
      </w:r>
      <w:r>
        <w:rPr>
          <w:rFonts w:ascii="Cambria"/>
          <w:sz w:val="20"/>
        </w:rPr>
        <w:t> </w:t>
      </w:r>
      <w:r>
        <w:rPr>
          <w:rFonts w:ascii="Cambria"/>
          <w:spacing w:val="-2"/>
          <w:sz w:val="20"/>
        </w:rPr>
        <w:t>Study of</w:t>
      </w:r>
      <w:r>
        <w:rPr>
          <w:rFonts w:ascii="Cambria"/>
          <w:sz w:val="20"/>
        </w:rPr>
        <w:t> </w:t>
      </w:r>
      <w:r>
        <w:rPr>
          <w:rFonts w:ascii="Cambria"/>
          <w:spacing w:val="-2"/>
          <w:sz w:val="20"/>
        </w:rPr>
        <w:t>the</w:t>
      </w:r>
      <w:r>
        <w:rPr>
          <w:rFonts w:ascii="Cambria"/>
          <w:sz w:val="20"/>
        </w:rPr>
        <w:t> </w:t>
      </w:r>
      <w:r>
        <w:rPr>
          <w:rFonts w:ascii="Cambria"/>
          <w:spacing w:val="-2"/>
          <w:sz w:val="20"/>
        </w:rPr>
        <w:t>Power</w:t>
      </w:r>
      <w:r>
        <w:rPr>
          <w:rFonts w:ascii="Cambria"/>
          <w:spacing w:val="6"/>
          <w:sz w:val="20"/>
        </w:rPr>
        <w:t> </w:t>
      </w:r>
      <w:r>
        <w:rPr>
          <w:rFonts w:ascii="Cambria"/>
          <w:spacing w:val="-2"/>
          <w:sz w:val="20"/>
        </w:rPr>
        <w:t>Politics</w:t>
      </w:r>
      <w:r>
        <w:rPr>
          <w:rFonts w:ascii="Cambria"/>
          <w:sz w:val="20"/>
        </w:rPr>
        <w:t> </w:t>
      </w:r>
      <w:r>
        <w:rPr>
          <w:rFonts w:ascii="Cambria"/>
          <w:spacing w:val="-2"/>
          <w:sz w:val="20"/>
        </w:rPr>
        <w:t>and</w:t>
      </w:r>
      <w:r>
        <w:rPr>
          <w:rFonts w:ascii="Cambria"/>
          <w:spacing w:val="7"/>
          <w:sz w:val="20"/>
        </w:rPr>
        <w:t> </w:t>
      </w:r>
      <w:r>
        <w:rPr>
          <w:rFonts w:ascii="Cambria"/>
          <w:spacing w:val="-2"/>
          <w:sz w:val="20"/>
        </w:rPr>
        <w:t>Gender </w:t>
      </w:r>
      <w:r>
        <w:rPr>
          <w:rFonts w:ascii="Cambria"/>
          <w:sz w:val="20"/>
        </w:rPr>
        <w:t>Dynamics in the</w:t>
      </w:r>
      <w:r>
        <w:rPr>
          <w:rFonts w:ascii="Cambria"/>
          <w:spacing w:val="14"/>
          <w:sz w:val="20"/>
        </w:rPr>
        <w:t> </w:t>
      </w:r>
      <w:r>
        <w:rPr>
          <w:rFonts w:ascii="Cambria"/>
          <w:sz w:val="20"/>
        </w:rPr>
        <w:t>Plays</w:t>
      </w:r>
      <w:r>
        <w:rPr>
          <w:rFonts w:ascii="Cambria"/>
          <w:spacing w:val="14"/>
          <w:sz w:val="20"/>
        </w:rPr>
        <w:t> </w:t>
      </w:r>
      <w:r>
        <w:rPr>
          <w:rFonts w:ascii="Cambria"/>
          <w:sz w:val="20"/>
        </w:rPr>
        <w:t>of William Shakespeare</w:t>
      </w:r>
    </w:p>
    <w:p>
      <w:pPr>
        <w:pStyle w:val="Heading6"/>
        <w:tabs>
          <w:tab w:pos="6928" w:val="left" w:leader="none"/>
        </w:tabs>
        <w:spacing w:before="2"/>
        <w:ind w:left="2025"/>
        <w:rPr>
          <w:rFonts w:ascii="Cambria" w:hAnsi="Cambria"/>
          <w:b w:val="0"/>
        </w:rPr>
      </w:pPr>
      <w:r>
        <w:rPr>
          <w:spacing w:val="-6"/>
        </w:rPr>
        <w:t>—Dr.</w:t>
      </w:r>
      <w:r>
        <w:rPr>
          <w:spacing w:val="-10"/>
        </w:rPr>
        <w:t> </w:t>
      </w:r>
      <w:r>
        <w:rPr>
          <w:spacing w:val="-6"/>
        </w:rPr>
        <w:t>Kalpana</w:t>
      </w:r>
      <w:r>
        <w:rPr>
          <w:spacing w:val="-10"/>
        </w:rPr>
        <w:t> </w:t>
      </w:r>
      <w:r>
        <w:rPr>
          <w:spacing w:val="-6"/>
        </w:rPr>
        <w:t>Mohanrao</w:t>
      </w:r>
      <w:r>
        <w:rPr>
          <w:spacing w:val="-13"/>
        </w:rPr>
        <w:t> </w:t>
      </w:r>
      <w:r>
        <w:rPr>
          <w:spacing w:val="-6"/>
        </w:rPr>
        <w:t>Wankhade</w:t>
      </w:r>
      <w:r>
        <w:rPr>
          <w:b w:val="0"/>
        </w:rPr>
        <w:tab/>
      </w:r>
      <w:r>
        <w:rPr>
          <w:rFonts w:ascii="Cambria" w:hAnsi="Cambria"/>
          <w:b w:val="0"/>
          <w:spacing w:val="-5"/>
        </w:rPr>
        <w:t>372</w:t>
      </w:r>
    </w:p>
    <w:p>
      <w:pPr>
        <w:pStyle w:val="ListParagraph"/>
        <w:numPr>
          <w:ilvl w:val="0"/>
          <w:numId w:val="3"/>
        </w:numPr>
        <w:tabs>
          <w:tab w:pos="2025" w:val="left" w:leader="none"/>
        </w:tabs>
        <w:spacing w:line="244" w:lineRule="auto" w:before="63" w:after="0"/>
        <w:ind w:left="2025" w:right="2368" w:hanging="519"/>
        <w:jc w:val="left"/>
        <w:rPr>
          <w:rFonts w:ascii="Cambria" w:hAnsi="Cambria"/>
          <w:sz w:val="20"/>
        </w:rPr>
      </w:pPr>
      <w:r>
        <w:rPr>
          <w:rFonts w:ascii="Cambria" w:hAnsi="Cambria"/>
          <w:spacing w:val="-2"/>
          <w:sz w:val="20"/>
        </w:rPr>
        <w:t>Between</w:t>
      </w:r>
      <w:r>
        <w:rPr>
          <w:rFonts w:ascii="Cambria" w:hAnsi="Cambria"/>
          <w:spacing w:val="8"/>
          <w:sz w:val="20"/>
        </w:rPr>
        <w:t> </w:t>
      </w:r>
      <w:r>
        <w:rPr>
          <w:rFonts w:ascii="Cambria" w:hAnsi="Cambria"/>
          <w:spacing w:val="-2"/>
          <w:sz w:val="20"/>
        </w:rPr>
        <w:t>Joy</w:t>
      </w:r>
      <w:r>
        <w:rPr>
          <w:rFonts w:ascii="Cambria" w:hAnsi="Cambria"/>
          <w:spacing w:val="5"/>
          <w:sz w:val="20"/>
        </w:rPr>
        <w:t> </w:t>
      </w:r>
      <w:r>
        <w:rPr>
          <w:rFonts w:ascii="Cambria" w:hAnsi="Cambria"/>
          <w:spacing w:val="-2"/>
          <w:sz w:val="20"/>
        </w:rPr>
        <w:t>and</w:t>
      </w:r>
      <w:r>
        <w:rPr>
          <w:rFonts w:ascii="Cambria" w:hAnsi="Cambria"/>
          <w:spacing w:val="11"/>
          <w:sz w:val="20"/>
        </w:rPr>
        <w:t> </w:t>
      </w:r>
      <w:r>
        <w:rPr>
          <w:rFonts w:ascii="Cambria" w:hAnsi="Cambria"/>
          <w:spacing w:val="-2"/>
          <w:sz w:val="20"/>
        </w:rPr>
        <w:t>Ruin:</w:t>
      </w:r>
      <w:r>
        <w:rPr>
          <w:rFonts w:ascii="Cambria" w:hAnsi="Cambria"/>
          <w:spacing w:val="5"/>
          <w:sz w:val="20"/>
        </w:rPr>
        <w:t> </w:t>
      </w:r>
      <w:r>
        <w:rPr>
          <w:rFonts w:ascii="Cambria" w:hAnsi="Cambria"/>
          <w:spacing w:val="-2"/>
          <w:sz w:val="20"/>
        </w:rPr>
        <w:t>The</w:t>
      </w:r>
      <w:r>
        <w:rPr>
          <w:rFonts w:ascii="Cambria" w:hAnsi="Cambria"/>
          <w:spacing w:val="9"/>
          <w:sz w:val="20"/>
        </w:rPr>
        <w:t> </w:t>
      </w:r>
      <w:r>
        <w:rPr>
          <w:rFonts w:ascii="Cambria" w:hAnsi="Cambria"/>
          <w:spacing w:val="-2"/>
          <w:sz w:val="20"/>
        </w:rPr>
        <w:t>Role</w:t>
      </w:r>
      <w:r>
        <w:rPr>
          <w:rFonts w:ascii="Cambria" w:hAnsi="Cambria"/>
          <w:spacing w:val="9"/>
          <w:sz w:val="20"/>
        </w:rPr>
        <w:t> </w:t>
      </w:r>
      <w:r>
        <w:rPr>
          <w:rFonts w:ascii="Cambria" w:hAnsi="Cambria"/>
          <w:spacing w:val="-2"/>
          <w:sz w:val="20"/>
        </w:rPr>
        <w:t>of</w:t>
      </w:r>
      <w:r>
        <w:rPr>
          <w:rFonts w:ascii="Cambria" w:hAnsi="Cambria"/>
          <w:sz w:val="20"/>
        </w:rPr>
        <w:t> </w:t>
      </w:r>
      <w:r>
        <w:rPr>
          <w:rFonts w:ascii="Cambria" w:hAnsi="Cambria"/>
          <w:spacing w:val="-2"/>
          <w:sz w:val="20"/>
        </w:rPr>
        <w:t>Women</w:t>
      </w:r>
      <w:r>
        <w:rPr>
          <w:rFonts w:ascii="Cambria" w:hAnsi="Cambria"/>
          <w:spacing w:val="8"/>
          <w:sz w:val="20"/>
        </w:rPr>
        <w:t> </w:t>
      </w:r>
      <w:r>
        <w:rPr>
          <w:rFonts w:ascii="Cambria" w:hAnsi="Cambria"/>
          <w:spacing w:val="-2"/>
          <w:sz w:val="20"/>
        </w:rPr>
        <w:t>Under </w:t>
      </w:r>
      <w:r>
        <w:rPr>
          <w:rFonts w:ascii="Cambria" w:hAnsi="Cambria"/>
          <w:sz w:val="20"/>
        </w:rPr>
        <w:t>the</w:t>
      </w:r>
      <w:r>
        <w:rPr>
          <w:rFonts w:ascii="Cambria" w:hAnsi="Cambria"/>
          <w:spacing w:val="24"/>
          <w:sz w:val="20"/>
        </w:rPr>
        <w:t> </w:t>
      </w:r>
      <w:r>
        <w:rPr>
          <w:rFonts w:ascii="Cambria" w:hAnsi="Cambria"/>
          <w:sz w:val="20"/>
        </w:rPr>
        <w:t>Hands</w:t>
      </w:r>
      <w:r>
        <w:rPr>
          <w:rFonts w:ascii="Cambria" w:hAnsi="Cambria"/>
          <w:spacing w:val="23"/>
          <w:sz w:val="20"/>
        </w:rPr>
        <w:t> </w:t>
      </w:r>
      <w:r>
        <w:rPr>
          <w:rFonts w:ascii="Cambria" w:hAnsi="Cambria"/>
          <w:sz w:val="20"/>
        </w:rPr>
        <w:t>of</w:t>
      </w:r>
      <w:r>
        <w:rPr>
          <w:rFonts w:ascii="Cambria" w:hAnsi="Cambria"/>
          <w:spacing w:val="19"/>
          <w:sz w:val="20"/>
        </w:rPr>
        <w:t> </w:t>
      </w:r>
      <w:r>
        <w:rPr>
          <w:rFonts w:ascii="Cambria" w:hAnsi="Cambria"/>
          <w:sz w:val="20"/>
        </w:rPr>
        <w:t>Fate</w:t>
      </w:r>
      <w:r>
        <w:rPr>
          <w:rFonts w:ascii="Cambria" w:hAnsi="Cambria"/>
          <w:spacing w:val="23"/>
          <w:sz w:val="20"/>
        </w:rPr>
        <w:t> </w:t>
      </w:r>
      <w:r>
        <w:rPr>
          <w:rFonts w:ascii="Cambria" w:hAnsi="Cambria"/>
          <w:sz w:val="20"/>
        </w:rPr>
        <w:t>in</w:t>
      </w:r>
      <w:r>
        <w:rPr>
          <w:rFonts w:ascii="Cambria" w:hAnsi="Cambria"/>
          <w:spacing w:val="23"/>
          <w:sz w:val="20"/>
        </w:rPr>
        <w:t> </w:t>
      </w:r>
      <w:r>
        <w:rPr>
          <w:rFonts w:ascii="Cambria" w:hAnsi="Cambria"/>
          <w:sz w:val="20"/>
        </w:rPr>
        <w:t>Shakespeare’s</w:t>
      </w:r>
      <w:r>
        <w:rPr>
          <w:rFonts w:ascii="Cambria" w:hAnsi="Cambria"/>
          <w:spacing w:val="22"/>
          <w:sz w:val="20"/>
        </w:rPr>
        <w:t> </w:t>
      </w:r>
      <w:r>
        <w:rPr>
          <w:rFonts w:ascii="Cambria" w:hAnsi="Cambria"/>
          <w:sz w:val="20"/>
        </w:rPr>
        <w:t>Works</w:t>
      </w:r>
    </w:p>
    <w:p>
      <w:pPr>
        <w:pStyle w:val="Heading6"/>
        <w:tabs>
          <w:tab w:pos="6928" w:val="left" w:leader="none"/>
        </w:tabs>
        <w:spacing w:before="1"/>
        <w:ind w:left="2025"/>
        <w:rPr>
          <w:rFonts w:ascii="Cambria" w:hAnsi="Cambria"/>
          <w:b w:val="0"/>
        </w:rPr>
      </w:pPr>
      <w:r>
        <w:rPr>
          <w:spacing w:val="-4"/>
        </w:rPr>
        <w:t>—N.</w:t>
      </w:r>
      <w:r>
        <w:rPr>
          <w:spacing w:val="-18"/>
        </w:rPr>
        <w:t> </w:t>
      </w:r>
      <w:r>
        <w:rPr>
          <w:spacing w:val="-4"/>
        </w:rPr>
        <w:t>Abbenaya;</w:t>
      </w:r>
      <w:r>
        <w:rPr>
          <w:spacing w:val="-11"/>
        </w:rPr>
        <w:t> </w:t>
      </w:r>
      <w:r>
        <w:rPr>
          <w:spacing w:val="-4"/>
        </w:rPr>
        <w:t>Dr.</w:t>
      </w:r>
      <w:r>
        <w:rPr>
          <w:spacing w:val="-9"/>
        </w:rPr>
        <w:t> </w:t>
      </w:r>
      <w:r>
        <w:rPr>
          <w:spacing w:val="-4"/>
        </w:rPr>
        <w:t>B.</w:t>
      </w:r>
      <w:r>
        <w:rPr>
          <w:spacing w:val="-8"/>
        </w:rPr>
        <w:t> </w:t>
      </w:r>
      <w:r>
        <w:rPr>
          <w:spacing w:val="-4"/>
        </w:rPr>
        <w:t>Lakshmikantham</w:t>
      </w:r>
      <w:r>
        <w:rPr>
          <w:b w:val="0"/>
        </w:rPr>
        <w:tab/>
      </w:r>
      <w:r>
        <w:rPr>
          <w:rFonts w:ascii="Cambria" w:hAnsi="Cambria"/>
          <w:b w:val="0"/>
          <w:spacing w:val="-5"/>
        </w:rPr>
        <w:t>385</w:t>
      </w:r>
    </w:p>
    <w:p>
      <w:pPr>
        <w:pStyle w:val="ListParagraph"/>
        <w:numPr>
          <w:ilvl w:val="0"/>
          <w:numId w:val="3"/>
        </w:numPr>
        <w:tabs>
          <w:tab w:pos="2026" w:val="left" w:leader="none"/>
        </w:tabs>
        <w:spacing w:line="240" w:lineRule="auto" w:before="63" w:after="0"/>
        <w:ind w:left="2026" w:right="0" w:hanging="519"/>
        <w:jc w:val="left"/>
        <w:rPr>
          <w:rFonts w:ascii="Cambria"/>
          <w:sz w:val="20"/>
        </w:rPr>
      </w:pPr>
      <w:r>
        <w:rPr>
          <w:rFonts w:ascii="Cambria"/>
          <w:spacing w:val="-2"/>
          <w:sz w:val="20"/>
        </w:rPr>
        <w:t>Women</w:t>
      </w:r>
      <w:r>
        <w:rPr>
          <w:rFonts w:ascii="Cambria"/>
          <w:spacing w:val="10"/>
          <w:sz w:val="20"/>
        </w:rPr>
        <w:t> </w:t>
      </w:r>
      <w:r>
        <w:rPr>
          <w:rFonts w:ascii="Cambria"/>
          <w:spacing w:val="-2"/>
          <w:sz w:val="20"/>
        </w:rPr>
        <w:t>and</w:t>
      </w:r>
      <w:r>
        <w:rPr>
          <w:rFonts w:ascii="Cambria"/>
          <w:spacing w:val="13"/>
          <w:sz w:val="20"/>
        </w:rPr>
        <w:t> </w:t>
      </w:r>
      <w:r>
        <w:rPr>
          <w:rFonts w:ascii="Cambria"/>
          <w:spacing w:val="-2"/>
          <w:sz w:val="20"/>
        </w:rPr>
        <w:t>Mental</w:t>
      </w:r>
      <w:r>
        <w:rPr>
          <w:rFonts w:ascii="Cambria"/>
          <w:spacing w:val="10"/>
          <w:sz w:val="20"/>
        </w:rPr>
        <w:t> </w:t>
      </w:r>
      <w:r>
        <w:rPr>
          <w:rFonts w:ascii="Cambria"/>
          <w:spacing w:val="-2"/>
          <w:sz w:val="20"/>
        </w:rPr>
        <w:t>Health</w:t>
      </w:r>
      <w:r>
        <w:rPr>
          <w:rFonts w:ascii="Cambria"/>
          <w:spacing w:val="10"/>
          <w:sz w:val="20"/>
        </w:rPr>
        <w:t> </w:t>
      </w:r>
      <w:r>
        <w:rPr>
          <w:rFonts w:ascii="Cambria"/>
          <w:spacing w:val="-2"/>
          <w:sz w:val="20"/>
        </w:rPr>
        <w:t>in</w:t>
      </w:r>
      <w:r>
        <w:rPr>
          <w:rFonts w:ascii="Cambria"/>
          <w:spacing w:val="10"/>
          <w:sz w:val="20"/>
        </w:rPr>
        <w:t> </w:t>
      </w:r>
      <w:r>
        <w:rPr>
          <w:rFonts w:ascii="Cambria"/>
          <w:spacing w:val="-2"/>
          <w:sz w:val="20"/>
        </w:rPr>
        <w:t>Select</w:t>
      </w:r>
      <w:r>
        <w:rPr>
          <w:rFonts w:ascii="Cambria"/>
          <w:spacing w:val="10"/>
          <w:sz w:val="20"/>
        </w:rPr>
        <w:t> </w:t>
      </w:r>
      <w:r>
        <w:rPr>
          <w:rFonts w:ascii="Cambria"/>
          <w:spacing w:val="-2"/>
          <w:sz w:val="20"/>
        </w:rPr>
        <w:t>Shakespearean</w:t>
      </w:r>
    </w:p>
    <w:p>
      <w:pPr>
        <w:tabs>
          <w:tab w:pos="6928" w:val="left" w:leader="none"/>
        </w:tabs>
        <w:spacing w:before="6"/>
        <w:ind w:left="2025" w:right="0" w:firstLine="0"/>
        <w:jc w:val="left"/>
        <w:rPr>
          <w:rFonts w:ascii="Cambria" w:hAnsi="Cambria"/>
          <w:sz w:val="20"/>
        </w:rPr>
      </w:pPr>
      <w:r>
        <w:rPr>
          <w:rFonts w:ascii="Cambria" w:hAnsi="Cambria"/>
          <w:spacing w:val="-6"/>
          <w:sz w:val="20"/>
        </w:rPr>
        <w:t>Plays:</w:t>
      </w:r>
      <w:r>
        <w:rPr>
          <w:rFonts w:ascii="Cambria" w:hAnsi="Cambria"/>
          <w:spacing w:val="-12"/>
          <w:sz w:val="20"/>
        </w:rPr>
        <w:t> </w:t>
      </w:r>
      <w:r>
        <w:rPr>
          <w:rFonts w:ascii="Cambria" w:hAnsi="Cambria"/>
          <w:spacing w:val="-6"/>
          <w:sz w:val="20"/>
        </w:rPr>
        <w:t>An</w:t>
      </w:r>
      <w:r>
        <w:rPr>
          <w:rFonts w:ascii="Cambria" w:hAnsi="Cambria"/>
          <w:sz w:val="20"/>
        </w:rPr>
        <w:t> </w:t>
      </w:r>
      <w:r>
        <w:rPr>
          <w:rFonts w:ascii="Cambria" w:hAnsi="Cambria"/>
          <w:spacing w:val="-6"/>
          <w:sz w:val="20"/>
        </w:rPr>
        <w:t>Exploration</w:t>
      </w:r>
      <w:r>
        <w:rPr>
          <w:b/>
          <w:spacing w:val="-6"/>
          <w:sz w:val="20"/>
        </w:rPr>
        <w:t>—Akshay</w:t>
      </w:r>
      <w:r>
        <w:rPr>
          <w:b/>
          <w:spacing w:val="2"/>
          <w:sz w:val="20"/>
        </w:rPr>
        <w:t> </w:t>
      </w:r>
      <w:r>
        <w:rPr>
          <w:b/>
          <w:spacing w:val="-6"/>
          <w:sz w:val="20"/>
        </w:rPr>
        <w:t>Dada</w:t>
      </w:r>
      <w:r>
        <w:rPr>
          <w:b/>
          <w:sz w:val="20"/>
        </w:rPr>
        <w:t> </w:t>
      </w:r>
      <w:r>
        <w:rPr>
          <w:b/>
          <w:spacing w:val="-6"/>
          <w:sz w:val="20"/>
        </w:rPr>
        <w:t>Dhalawade</w:t>
      </w:r>
      <w:r>
        <w:rPr>
          <w:sz w:val="20"/>
        </w:rPr>
        <w:tab/>
      </w:r>
      <w:r>
        <w:rPr>
          <w:rFonts w:ascii="Cambria" w:hAnsi="Cambria"/>
          <w:spacing w:val="-5"/>
          <w:sz w:val="20"/>
        </w:rPr>
        <w:t>399</w:t>
      </w:r>
    </w:p>
    <w:p>
      <w:pPr>
        <w:spacing w:after="0"/>
        <w:jc w:val="left"/>
        <w:rPr>
          <w:rFonts w:ascii="Cambria" w:hAnsi="Cambria"/>
          <w:sz w:val="20"/>
        </w:rPr>
        <w:sectPr>
          <w:pgSz w:w="12240" w:h="15840"/>
          <w:pgMar w:top="1820" w:bottom="280" w:left="1800" w:right="1800"/>
        </w:sectPr>
      </w:pPr>
    </w:p>
    <w:p>
      <w:pPr>
        <w:pStyle w:val="BodyText"/>
        <w:ind w:left="0"/>
        <w:rPr>
          <w:rFonts w:ascii="Cambria"/>
        </w:rPr>
      </w:pPr>
    </w:p>
    <w:p>
      <w:pPr>
        <w:pStyle w:val="BodyText"/>
        <w:ind w:left="0"/>
        <w:rPr>
          <w:rFonts w:ascii="Cambria"/>
        </w:rPr>
      </w:pPr>
    </w:p>
    <w:p>
      <w:pPr>
        <w:pStyle w:val="BodyText"/>
        <w:ind w:left="0"/>
        <w:rPr>
          <w:rFonts w:ascii="Cambria"/>
        </w:rPr>
      </w:pPr>
    </w:p>
    <w:p>
      <w:pPr>
        <w:pStyle w:val="BodyText"/>
        <w:spacing w:before="100"/>
        <w:ind w:left="0"/>
        <w:rPr>
          <w:rFonts w:ascii="Cambria"/>
        </w:rPr>
      </w:pPr>
    </w:p>
    <w:p>
      <w:pPr>
        <w:spacing w:before="1"/>
        <w:ind w:left="47" w:right="0" w:firstLine="0"/>
        <w:jc w:val="center"/>
        <w:rPr>
          <w:i/>
          <w:sz w:val="20"/>
        </w:rPr>
      </w:pPr>
      <w:r>
        <w:rPr>
          <w:i/>
          <w:spacing w:val="-2"/>
          <w:sz w:val="20"/>
        </w:rPr>
        <w:t>(viii)</w:t>
      </w:r>
    </w:p>
    <w:p>
      <w:pPr>
        <w:pStyle w:val="ListParagraph"/>
        <w:numPr>
          <w:ilvl w:val="0"/>
          <w:numId w:val="4"/>
        </w:numPr>
        <w:tabs>
          <w:tab w:pos="2025" w:val="left" w:leader="none"/>
        </w:tabs>
        <w:spacing w:line="244" w:lineRule="auto" w:before="191" w:after="0"/>
        <w:ind w:left="2025" w:right="1961" w:hanging="519"/>
        <w:jc w:val="left"/>
        <w:rPr>
          <w:rFonts w:ascii="Cambria" w:hAnsi="Cambria"/>
          <w:sz w:val="20"/>
        </w:rPr>
      </w:pPr>
      <w:r>
        <w:rPr>
          <w:rFonts w:ascii="Cambria" w:hAnsi="Cambria"/>
          <w:spacing w:val="-4"/>
          <w:sz w:val="20"/>
        </w:rPr>
        <w:t>Gender,</w:t>
      </w:r>
      <w:r>
        <w:rPr>
          <w:rFonts w:ascii="Cambria" w:hAnsi="Cambria"/>
          <w:sz w:val="20"/>
        </w:rPr>
        <w:t> </w:t>
      </w:r>
      <w:r>
        <w:rPr>
          <w:rFonts w:ascii="Cambria" w:hAnsi="Cambria"/>
          <w:spacing w:val="-4"/>
          <w:sz w:val="20"/>
        </w:rPr>
        <w:t>Power,</w:t>
      </w:r>
      <w:r>
        <w:rPr>
          <w:rFonts w:ascii="Cambria" w:hAnsi="Cambria"/>
          <w:sz w:val="20"/>
        </w:rPr>
        <w:t> </w:t>
      </w:r>
      <w:r>
        <w:rPr>
          <w:rFonts w:ascii="Cambria" w:hAnsi="Cambria"/>
          <w:spacing w:val="-4"/>
          <w:sz w:val="20"/>
        </w:rPr>
        <w:t>and</w:t>
      </w:r>
      <w:r>
        <w:rPr>
          <w:rFonts w:ascii="Cambria" w:hAnsi="Cambria"/>
          <w:spacing w:val="5"/>
          <w:sz w:val="20"/>
        </w:rPr>
        <w:t> </w:t>
      </w:r>
      <w:r>
        <w:rPr>
          <w:rFonts w:ascii="Cambria" w:hAnsi="Cambria"/>
          <w:spacing w:val="-4"/>
          <w:sz w:val="20"/>
        </w:rPr>
        <w:t>Patriarchy in</w:t>
      </w:r>
      <w:r>
        <w:rPr>
          <w:rFonts w:ascii="Cambria" w:hAnsi="Cambria"/>
          <w:sz w:val="20"/>
        </w:rPr>
        <w:t> </w:t>
      </w:r>
      <w:r>
        <w:rPr>
          <w:rFonts w:ascii="Cambria" w:hAnsi="Cambria"/>
          <w:spacing w:val="-4"/>
          <w:sz w:val="20"/>
        </w:rPr>
        <w:t>Shakespeare’s</w:t>
      </w:r>
      <w:r>
        <w:rPr>
          <w:rFonts w:ascii="Cambria" w:hAnsi="Cambria"/>
          <w:sz w:val="20"/>
        </w:rPr>
        <w:t> </w:t>
      </w:r>
      <w:r>
        <w:rPr>
          <w:rFonts w:ascii="Cambria" w:hAnsi="Cambria"/>
          <w:spacing w:val="-4"/>
          <w:sz w:val="20"/>
        </w:rPr>
        <w:t>Plays:</w:t>
      </w:r>
      <w:r>
        <w:rPr>
          <w:rFonts w:ascii="Cambria" w:hAnsi="Cambria"/>
          <w:spacing w:val="-5"/>
          <w:sz w:val="20"/>
        </w:rPr>
        <w:t> </w:t>
      </w:r>
      <w:r>
        <w:rPr>
          <w:rFonts w:ascii="Cambria" w:hAnsi="Cambria"/>
          <w:spacing w:val="-4"/>
          <w:sz w:val="20"/>
        </w:rPr>
        <w:t>A</w:t>
      </w:r>
      <w:r>
        <w:rPr>
          <w:rFonts w:ascii="Cambria" w:hAnsi="Cambria"/>
          <w:sz w:val="20"/>
        </w:rPr>
        <w:t> Comparative</w:t>
      </w:r>
      <w:r>
        <w:rPr>
          <w:rFonts w:ascii="Cambria" w:hAnsi="Cambria"/>
          <w:spacing w:val="27"/>
          <w:sz w:val="20"/>
        </w:rPr>
        <w:t> </w:t>
      </w:r>
      <w:r>
        <w:rPr>
          <w:rFonts w:ascii="Cambria" w:hAnsi="Cambria"/>
          <w:sz w:val="20"/>
        </w:rPr>
        <w:t>Study</w:t>
      </w:r>
      <w:r>
        <w:rPr>
          <w:rFonts w:ascii="Cambria" w:hAnsi="Cambria"/>
          <w:spacing w:val="26"/>
          <w:sz w:val="20"/>
        </w:rPr>
        <w:t> </w:t>
      </w:r>
      <w:r>
        <w:rPr>
          <w:rFonts w:ascii="Cambria" w:hAnsi="Cambria"/>
          <w:sz w:val="20"/>
        </w:rPr>
        <w:t>in The</w:t>
      </w:r>
      <w:r>
        <w:rPr>
          <w:rFonts w:ascii="Cambria" w:hAnsi="Cambria"/>
          <w:spacing w:val="28"/>
          <w:sz w:val="20"/>
        </w:rPr>
        <w:t> </w:t>
      </w:r>
      <w:r>
        <w:rPr>
          <w:rFonts w:ascii="Cambria" w:hAnsi="Cambria"/>
          <w:sz w:val="20"/>
        </w:rPr>
        <w:t>Era</w:t>
      </w:r>
      <w:r>
        <w:rPr>
          <w:rFonts w:ascii="Cambria" w:hAnsi="Cambria"/>
          <w:spacing w:val="26"/>
          <w:sz w:val="20"/>
        </w:rPr>
        <w:t> </w:t>
      </w:r>
      <w:r>
        <w:rPr>
          <w:rFonts w:ascii="Cambria" w:hAnsi="Cambria"/>
          <w:sz w:val="20"/>
        </w:rPr>
        <w:t>of</w:t>
      </w:r>
      <w:r>
        <w:rPr>
          <w:rFonts w:ascii="Cambria" w:hAnsi="Cambria"/>
          <w:spacing w:val="27"/>
          <w:sz w:val="20"/>
        </w:rPr>
        <w:t> </w:t>
      </w:r>
      <w:r>
        <w:rPr>
          <w:rFonts w:ascii="Cambria" w:hAnsi="Cambria"/>
          <w:sz w:val="20"/>
        </w:rPr>
        <w:t>Me</w:t>
      </w:r>
      <w:r>
        <w:rPr>
          <w:rFonts w:ascii="Cambria" w:hAnsi="Cambria"/>
          <w:spacing w:val="25"/>
          <w:sz w:val="20"/>
        </w:rPr>
        <w:t> </w:t>
      </w:r>
      <w:r>
        <w:rPr>
          <w:rFonts w:ascii="Cambria" w:hAnsi="Cambria"/>
          <w:sz w:val="20"/>
        </w:rPr>
        <w:t>Too</w:t>
      </w:r>
    </w:p>
    <w:p>
      <w:pPr>
        <w:pStyle w:val="Heading6"/>
        <w:tabs>
          <w:tab w:pos="6931" w:val="left" w:leader="none"/>
        </w:tabs>
        <w:spacing w:before="2"/>
        <w:ind w:left="2025"/>
        <w:rPr>
          <w:rFonts w:ascii="Cambria" w:hAnsi="Cambria"/>
          <w:b w:val="0"/>
        </w:rPr>
      </w:pPr>
      <w:r>
        <w:rPr>
          <w:spacing w:val="-4"/>
        </w:rPr>
        <w:t>—Dr. Ch.</w:t>
      </w:r>
      <w:r>
        <w:rPr/>
        <w:t> </w:t>
      </w:r>
      <w:r>
        <w:rPr>
          <w:spacing w:val="-4"/>
        </w:rPr>
        <w:t>Bhogachandra</w:t>
      </w:r>
      <w:r>
        <w:rPr>
          <w:spacing w:val="-3"/>
        </w:rPr>
        <w:t> </w:t>
      </w:r>
      <w:r>
        <w:rPr>
          <w:spacing w:val="-4"/>
        </w:rPr>
        <w:t>Vittal</w:t>
      </w:r>
      <w:r>
        <w:rPr>
          <w:b w:val="0"/>
        </w:rPr>
        <w:tab/>
      </w:r>
      <w:r>
        <w:rPr>
          <w:rFonts w:ascii="Cambria" w:hAnsi="Cambria"/>
          <w:b w:val="0"/>
          <w:spacing w:val="-5"/>
        </w:rPr>
        <w:t>411</w:t>
      </w:r>
    </w:p>
    <w:p>
      <w:pPr>
        <w:pStyle w:val="ListParagraph"/>
        <w:numPr>
          <w:ilvl w:val="0"/>
          <w:numId w:val="4"/>
        </w:numPr>
        <w:tabs>
          <w:tab w:pos="2026" w:val="left" w:leader="none"/>
        </w:tabs>
        <w:spacing w:line="240" w:lineRule="auto" w:before="63" w:after="0"/>
        <w:ind w:left="2026" w:right="0" w:hanging="519"/>
        <w:jc w:val="left"/>
        <w:rPr>
          <w:rFonts w:ascii="Cambria" w:hAnsi="Cambria"/>
          <w:sz w:val="20"/>
        </w:rPr>
      </w:pPr>
      <w:r>
        <w:rPr>
          <w:rFonts w:ascii="Cambria" w:hAnsi="Cambria"/>
          <w:spacing w:val="-4"/>
          <w:sz w:val="20"/>
        </w:rPr>
        <w:t>‘Examining</w:t>
      </w:r>
      <w:r>
        <w:rPr>
          <w:rFonts w:ascii="Cambria" w:hAnsi="Cambria"/>
          <w:spacing w:val="-5"/>
          <w:sz w:val="20"/>
        </w:rPr>
        <w:t> </w:t>
      </w:r>
      <w:r>
        <w:rPr>
          <w:rFonts w:ascii="Cambria" w:hAnsi="Cambria"/>
          <w:spacing w:val="-4"/>
          <w:sz w:val="20"/>
        </w:rPr>
        <w:t>Gender</w:t>
      </w:r>
      <w:r>
        <w:rPr>
          <w:rFonts w:ascii="Cambria" w:hAnsi="Cambria"/>
          <w:spacing w:val="-3"/>
          <w:sz w:val="20"/>
        </w:rPr>
        <w:t> </w:t>
      </w:r>
      <w:r>
        <w:rPr>
          <w:rFonts w:ascii="Cambria" w:hAnsi="Cambria"/>
          <w:spacing w:val="-4"/>
          <w:sz w:val="20"/>
        </w:rPr>
        <w:t>Vices</w:t>
      </w:r>
      <w:r>
        <w:rPr>
          <w:rFonts w:ascii="Cambria" w:hAnsi="Cambria"/>
          <w:spacing w:val="-3"/>
          <w:sz w:val="20"/>
        </w:rPr>
        <w:t> </w:t>
      </w:r>
      <w:r>
        <w:rPr>
          <w:rFonts w:ascii="Cambria" w:hAnsi="Cambria"/>
          <w:spacing w:val="-4"/>
          <w:sz w:val="20"/>
        </w:rPr>
        <w:t>in</w:t>
      </w:r>
      <w:r>
        <w:rPr>
          <w:rFonts w:ascii="Cambria" w:hAnsi="Cambria"/>
          <w:spacing w:val="-1"/>
          <w:sz w:val="20"/>
        </w:rPr>
        <w:t> </w:t>
      </w:r>
      <w:r>
        <w:rPr>
          <w:rFonts w:ascii="Cambria" w:hAnsi="Cambria"/>
          <w:spacing w:val="-4"/>
          <w:sz w:val="20"/>
        </w:rPr>
        <w:t>Elizabethan</w:t>
      </w:r>
      <w:r>
        <w:rPr>
          <w:rFonts w:ascii="Cambria" w:hAnsi="Cambria"/>
          <w:spacing w:val="-3"/>
          <w:sz w:val="20"/>
        </w:rPr>
        <w:t> </w:t>
      </w:r>
      <w:r>
        <w:rPr>
          <w:rFonts w:ascii="Cambria" w:hAnsi="Cambria"/>
          <w:spacing w:val="-4"/>
          <w:sz w:val="20"/>
        </w:rPr>
        <w:t>Drama</w:t>
      </w:r>
      <w:r>
        <w:rPr>
          <w:rFonts w:ascii="Cambria" w:hAnsi="Cambria"/>
          <w:spacing w:val="-2"/>
          <w:sz w:val="20"/>
        </w:rPr>
        <w:t> </w:t>
      </w:r>
      <w:r>
        <w:rPr>
          <w:rFonts w:ascii="Cambria" w:hAnsi="Cambria"/>
          <w:spacing w:val="-5"/>
          <w:sz w:val="20"/>
        </w:rPr>
        <w:t>and</w:t>
      </w:r>
    </w:p>
    <w:p>
      <w:pPr>
        <w:tabs>
          <w:tab w:pos="6931" w:val="left" w:leader="none"/>
        </w:tabs>
        <w:spacing w:before="6"/>
        <w:ind w:left="2025" w:right="0" w:firstLine="0"/>
        <w:jc w:val="left"/>
        <w:rPr>
          <w:rFonts w:ascii="Cambria" w:hAnsi="Cambria"/>
          <w:sz w:val="20"/>
        </w:rPr>
      </w:pPr>
      <w:r>
        <w:rPr>
          <w:rFonts w:ascii="Cambria" w:hAnsi="Cambria"/>
          <w:spacing w:val="-6"/>
          <w:sz w:val="20"/>
        </w:rPr>
        <w:t>Millennium</w:t>
      </w:r>
      <w:r>
        <w:rPr>
          <w:rFonts w:ascii="Cambria" w:hAnsi="Cambria"/>
          <w:spacing w:val="7"/>
          <w:sz w:val="20"/>
        </w:rPr>
        <w:t> </w:t>
      </w:r>
      <w:r>
        <w:rPr>
          <w:rFonts w:ascii="Cambria" w:hAnsi="Cambria"/>
          <w:spacing w:val="-6"/>
          <w:sz w:val="20"/>
        </w:rPr>
        <w:t>Media’</w:t>
      </w:r>
      <w:r>
        <w:rPr>
          <w:b/>
          <w:spacing w:val="-6"/>
          <w:sz w:val="20"/>
        </w:rPr>
        <w:t>—Sangeetha</w:t>
      </w:r>
      <w:r>
        <w:rPr>
          <w:b/>
          <w:spacing w:val="13"/>
          <w:sz w:val="20"/>
        </w:rPr>
        <w:t> </w:t>
      </w:r>
      <w:r>
        <w:rPr>
          <w:b/>
          <w:spacing w:val="-6"/>
          <w:sz w:val="20"/>
        </w:rPr>
        <w:t>Dayanand</w:t>
      </w:r>
      <w:r>
        <w:rPr>
          <w:sz w:val="20"/>
        </w:rPr>
        <w:tab/>
      </w:r>
      <w:r>
        <w:rPr>
          <w:rFonts w:ascii="Cambria" w:hAnsi="Cambria"/>
          <w:spacing w:val="-5"/>
          <w:sz w:val="20"/>
        </w:rPr>
        <w:t>416</w:t>
      </w:r>
    </w:p>
    <w:p>
      <w:pPr>
        <w:pStyle w:val="ListParagraph"/>
        <w:numPr>
          <w:ilvl w:val="0"/>
          <w:numId w:val="4"/>
        </w:numPr>
        <w:tabs>
          <w:tab w:pos="2025" w:val="left" w:leader="none"/>
        </w:tabs>
        <w:spacing w:line="244" w:lineRule="auto" w:before="63" w:after="0"/>
        <w:ind w:left="2025" w:right="2533" w:hanging="519"/>
        <w:jc w:val="left"/>
        <w:rPr>
          <w:rFonts w:ascii="Cambria"/>
          <w:sz w:val="20"/>
        </w:rPr>
      </w:pPr>
      <w:r>
        <w:rPr>
          <w:rFonts w:ascii="Cambria"/>
          <w:spacing w:val="-2"/>
          <w:sz w:val="20"/>
        </w:rPr>
        <w:t>Shakespeare</w:t>
      </w:r>
      <w:r>
        <w:rPr>
          <w:rFonts w:ascii="Cambria"/>
          <w:spacing w:val="7"/>
          <w:sz w:val="20"/>
        </w:rPr>
        <w:t> </w:t>
      </w:r>
      <w:r>
        <w:rPr>
          <w:rFonts w:ascii="Cambria"/>
          <w:spacing w:val="-2"/>
          <w:sz w:val="20"/>
        </w:rPr>
        <w:t>in</w:t>
      </w:r>
      <w:r>
        <w:rPr>
          <w:rFonts w:ascii="Cambria"/>
          <w:spacing w:val="6"/>
          <w:sz w:val="20"/>
        </w:rPr>
        <w:t> </w:t>
      </w:r>
      <w:r>
        <w:rPr>
          <w:rFonts w:ascii="Cambria"/>
          <w:spacing w:val="-2"/>
          <w:sz w:val="20"/>
        </w:rPr>
        <w:t>Indian</w:t>
      </w:r>
      <w:r>
        <w:rPr>
          <w:rFonts w:ascii="Cambria"/>
          <w:spacing w:val="5"/>
          <w:sz w:val="20"/>
        </w:rPr>
        <w:t> </w:t>
      </w:r>
      <w:r>
        <w:rPr>
          <w:rFonts w:ascii="Cambria"/>
          <w:spacing w:val="-2"/>
          <w:sz w:val="20"/>
        </w:rPr>
        <w:t>Theatre:</w:t>
      </w:r>
      <w:r>
        <w:rPr>
          <w:rFonts w:ascii="Cambria"/>
          <w:spacing w:val="-3"/>
          <w:sz w:val="20"/>
        </w:rPr>
        <w:t> </w:t>
      </w:r>
      <w:r>
        <w:rPr>
          <w:rFonts w:ascii="Cambria"/>
          <w:spacing w:val="-2"/>
          <w:sz w:val="20"/>
        </w:rPr>
        <w:t>A Rich</w:t>
      </w:r>
      <w:r>
        <w:rPr>
          <w:rFonts w:ascii="Cambria"/>
          <w:spacing w:val="6"/>
          <w:sz w:val="20"/>
        </w:rPr>
        <w:t> </w:t>
      </w:r>
      <w:r>
        <w:rPr>
          <w:rFonts w:ascii="Cambria"/>
          <w:spacing w:val="-2"/>
          <w:sz w:val="20"/>
        </w:rPr>
        <w:t>Legacy</w:t>
      </w:r>
      <w:r>
        <w:rPr>
          <w:rFonts w:ascii="Cambria"/>
          <w:spacing w:val="5"/>
          <w:sz w:val="20"/>
        </w:rPr>
        <w:t> </w:t>
      </w:r>
      <w:r>
        <w:rPr>
          <w:rFonts w:ascii="Cambria"/>
          <w:spacing w:val="-2"/>
          <w:sz w:val="20"/>
        </w:rPr>
        <w:t>of </w:t>
      </w:r>
      <w:r>
        <w:rPr>
          <w:rFonts w:ascii="Cambria"/>
          <w:sz w:val="20"/>
        </w:rPr>
        <w:t>Adaptation</w:t>
      </w:r>
      <w:r>
        <w:rPr>
          <w:rFonts w:ascii="Cambria"/>
          <w:spacing w:val="29"/>
          <w:sz w:val="20"/>
        </w:rPr>
        <w:t> </w:t>
      </w:r>
      <w:r>
        <w:rPr>
          <w:rFonts w:ascii="Cambria"/>
          <w:sz w:val="20"/>
        </w:rPr>
        <w:t>and</w:t>
      </w:r>
      <w:r>
        <w:rPr>
          <w:rFonts w:ascii="Cambria"/>
          <w:spacing w:val="31"/>
          <w:sz w:val="20"/>
        </w:rPr>
        <w:t> </w:t>
      </w:r>
      <w:r>
        <w:rPr>
          <w:rFonts w:ascii="Cambria"/>
          <w:sz w:val="20"/>
        </w:rPr>
        <w:t>Indigenization</w:t>
      </w:r>
    </w:p>
    <w:p>
      <w:pPr>
        <w:pStyle w:val="Heading6"/>
        <w:tabs>
          <w:tab w:pos="6931" w:val="left" w:leader="none"/>
        </w:tabs>
        <w:spacing w:before="1"/>
        <w:ind w:left="2025"/>
        <w:rPr>
          <w:rFonts w:ascii="Cambria" w:hAnsi="Cambria"/>
          <w:b w:val="0"/>
        </w:rPr>
      </w:pPr>
      <w:r>
        <w:rPr>
          <w:spacing w:val="-2"/>
        </w:rPr>
        <w:t>—Dr.</w:t>
      </w:r>
      <w:r>
        <w:rPr>
          <w:spacing w:val="-1"/>
        </w:rPr>
        <w:t> </w:t>
      </w:r>
      <w:r>
        <w:rPr>
          <w:spacing w:val="-2"/>
        </w:rPr>
        <w:t>Ramesh</w:t>
      </w:r>
      <w:r>
        <w:rPr>
          <w:spacing w:val="-5"/>
        </w:rPr>
        <w:t> </w:t>
      </w:r>
      <w:r>
        <w:rPr>
          <w:spacing w:val="-2"/>
        </w:rPr>
        <w:t>Chandra</w:t>
      </w:r>
      <w:r>
        <w:rPr>
          <w:spacing w:val="-1"/>
        </w:rPr>
        <w:t> </w:t>
      </w:r>
      <w:r>
        <w:rPr>
          <w:spacing w:val="-2"/>
        </w:rPr>
        <w:t>Srikanth Nerella</w:t>
      </w:r>
      <w:r>
        <w:rPr>
          <w:b w:val="0"/>
        </w:rPr>
        <w:tab/>
      </w:r>
      <w:r>
        <w:rPr>
          <w:rFonts w:ascii="Cambria" w:hAnsi="Cambria"/>
          <w:b w:val="0"/>
          <w:spacing w:val="-5"/>
        </w:rPr>
        <w:t>442</w:t>
      </w:r>
    </w:p>
    <w:p>
      <w:pPr>
        <w:pStyle w:val="ListParagraph"/>
        <w:numPr>
          <w:ilvl w:val="0"/>
          <w:numId w:val="4"/>
        </w:numPr>
        <w:tabs>
          <w:tab w:pos="2026" w:val="left" w:leader="none"/>
        </w:tabs>
        <w:spacing w:line="240" w:lineRule="auto" w:before="63" w:after="0"/>
        <w:ind w:left="2026" w:right="0" w:hanging="519"/>
        <w:jc w:val="left"/>
        <w:rPr>
          <w:rFonts w:ascii="Cambria"/>
          <w:sz w:val="20"/>
        </w:rPr>
      </w:pPr>
      <w:r>
        <w:rPr>
          <w:rFonts w:ascii="Cambria"/>
          <w:spacing w:val="-2"/>
          <w:sz w:val="20"/>
        </w:rPr>
        <w:t>The</w:t>
      </w:r>
      <w:r>
        <w:rPr>
          <w:rFonts w:ascii="Cambria"/>
          <w:spacing w:val="4"/>
          <w:sz w:val="20"/>
        </w:rPr>
        <w:t> </w:t>
      </w:r>
      <w:r>
        <w:rPr>
          <w:rFonts w:ascii="Cambria"/>
          <w:spacing w:val="-2"/>
          <w:sz w:val="20"/>
        </w:rPr>
        <w:t>Waste</w:t>
      </w:r>
      <w:r>
        <w:rPr>
          <w:rFonts w:ascii="Cambria"/>
          <w:spacing w:val="8"/>
          <w:sz w:val="20"/>
        </w:rPr>
        <w:t> </w:t>
      </w:r>
      <w:r>
        <w:rPr>
          <w:rFonts w:ascii="Cambria"/>
          <w:spacing w:val="-2"/>
          <w:sz w:val="20"/>
        </w:rPr>
        <w:t>of</w:t>
      </w:r>
      <w:r>
        <w:rPr>
          <w:rFonts w:ascii="Cambria"/>
          <w:spacing w:val="5"/>
          <w:sz w:val="20"/>
        </w:rPr>
        <w:t> </w:t>
      </w:r>
      <w:r>
        <w:rPr>
          <w:rFonts w:ascii="Cambria"/>
          <w:spacing w:val="-2"/>
          <w:sz w:val="20"/>
        </w:rPr>
        <w:t>Shame:</w:t>
      </w:r>
      <w:r>
        <w:rPr>
          <w:rFonts w:ascii="Cambria"/>
          <w:spacing w:val="5"/>
          <w:sz w:val="20"/>
        </w:rPr>
        <w:t> </w:t>
      </w:r>
      <w:r>
        <w:rPr>
          <w:rFonts w:ascii="Cambria"/>
          <w:spacing w:val="-2"/>
          <w:sz w:val="20"/>
        </w:rPr>
        <w:t>From</w:t>
      </w:r>
      <w:r>
        <w:rPr>
          <w:rFonts w:ascii="Cambria"/>
          <w:spacing w:val="-4"/>
          <w:sz w:val="20"/>
        </w:rPr>
        <w:t> </w:t>
      </w:r>
      <w:r>
        <w:rPr>
          <w:rFonts w:ascii="Cambria"/>
          <w:spacing w:val="-2"/>
          <w:sz w:val="20"/>
        </w:rPr>
        <w:t>Archetypal</w:t>
      </w:r>
      <w:r>
        <w:rPr>
          <w:rFonts w:ascii="Cambria"/>
          <w:spacing w:val="6"/>
          <w:sz w:val="20"/>
        </w:rPr>
        <w:t> </w:t>
      </w:r>
      <w:r>
        <w:rPr>
          <w:rFonts w:ascii="Cambria"/>
          <w:spacing w:val="-2"/>
          <w:sz w:val="20"/>
        </w:rPr>
        <w:t>Desire</w:t>
      </w:r>
      <w:r>
        <w:rPr>
          <w:rFonts w:ascii="Cambria"/>
          <w:spacing w:val="5"/>
          <w:sz w:val="20"/>
        </w:rPr>
        <w:t> </w:t>
      </w:r>
      <w:r>
        <w:rPr>
          <w:rFonts w:ascii="Cambria"/>
          <w:spacing w:val="-5"/>
          <w:sz w:val="20"/>
        </w:rPr>
        <w:t>to</w:t>
      </w:r>
    </w:p>
    <w:p>
      <w:pPr>
        <w:tabs>
          <w:tab w:pos="6931" w:val="left" w:leader="none"/>
        </w:tabs>
        <w:spacing w:before="6"/>
        <w:ind w:left="2025" w:right="0" w:firstLine="0"/>
        <w:jc w:val="left"/>
        <w:rPr>
          <w:rFonts w:ascii="Cambria" w:hAnsi="Cambria"/>
          <w:sz w:val="20"/>
        </w:rPr>
      </w:pPr>
      <w:r>
        <w:rPr>
          <w:rFonts w:ascii="Cambria" w:hAnsi="Cambria"/>
          <w:spacing w:val="2"/>
          <w:w w:val="90"/>
          <w:sz w:val="20"/>
        </w:rPr>
        <w:t>Feminist</w:t>
      </w:r>
      <w:r>
        <w:rPr>
          <w:rFonts w:ascii="Cambria" w:hAnsi="Cambria"/>
          <w:spacing w:val="-6"/>
          <w:w w:val="90"/>
          <w:sz w:val="20"/>
        </w:rPr>
        <w:t> </w:t>
      </w:r>
      <w:r>
        <w:rPr>
          <w:rFonts w:ascii="Cambria" w:hAnsi="Cambria"/>
          <w:spacing w:val="2"/>
          <w:w w:val="90"/>
          <w:sz w:val="20"/>
        </w:rPr>
        <w:t>Accountability</w:t>
      </w:r>
      <w:r>
        <w:rPr>
          <w:b/>
          <w:spacing w:val="2"/>
          <w:w w:val="90"/>
          <w:sz w:val="20"/>
        </w:rPr>
        <w:t>—G.</w:t>
      </w:r>
      <w:r>
        <w:rPr>
          <w:b/>
          <w:spacing w:val="-2"/>
          <w:sz w:val="20"/>
        </w:rPr>
        <w:t> </w:t>
      </w:r>
      <w:r>
        <w:rPr>
          <w:b/>
          <w:spacing w:val="-2"/>
          <w:w w:val="90"/>
          <w:sz w:val="20"/>
        </w:rPr>
        <w:t>Hannah</w:t>
      </w:r>
      <w:r>
        <w:rPr>
          <w:sz w:val="20"/>
        </w:rPr>
        <w:tab/>
      </w:r>
      <w:r>
        <w:rPr>
          <w:rFonts w:ascii="Cambria" w:hAnsi="Cambria"/>
          <w:spacing w:val="-5"/>
          <w:sz w:val="20"/>
        </w:rPr>
        <w:t>455</w:t>
      </w:r>
    </w:p>
    <w:p>
      <w:pPr>
        <w:pStyle w:val="ListParagraph"/>
        <w:numPr>
          <w:ilvl w:val="0"/>
          <w:numId w:val="4"/>
        </w:numPr>
        <w:tabs>
          <w:tab w:pos="2025" w:val="left" w:leader="none"/>
          <w:tab w:pos="6931" w:val="left" w:leader="none"/>
        </w:tabs>
        <w:spacing w:line="244" w:lineRule="auto" w:before="66" w:after="0"/>
        <w:ind w:left="2025" w:right="1436" w:hanging="519"/>
        <w:jc w:val="left"/>
        <w:rPr>
          <w:rFonts w:ascii="Cambria" w:hAnsi="Cambria"/>
          <w:sz w:val="20"/>
        </w:rPr>
      </w:pPr>
      <w:r>
        <w:rPr>
          <w:rFonts w:ascii="Cambria" w:hAnsi="Cambria"/>
          <w:sz w:val="20"/>
        </w:rPr>
        <w:t>Revisiting</w:t>
      </w:r>
      <w:r>
        <w:rPr>
          <w:rFonts w:ascii="Cambria" w:hAnsi="Cambria"/>
          <w:spacing w:val="16"/>
          <w:sz w:val="20"/>
        </w:rPr>
        <w:t> </w:t>
      </w:r>
      <w:r>
        <w:rPr>
          <w:rFonts w:ascii="Cambria" w:hAnsi="Cambria"/>
          <w:sz w:val="20"/>
        </w:rPr>
        <w:t>Shakespeare’s</w:t>
      </w:r>
      <w:r>
        <w:rPr>
          <w:rFonts w:ascii="Cambria" w:hAnsi="Cambria"/>
          <w:spacing w:val="15"/>
          <w:sz w:val="20"/>
        </w:rPr>
        <w:t> </w:t>
      </w:r>
      <w:r>
        <w:rPr>
          <w:rFonts w:ascii="Cambria" w:hAnsi="Cambria"/>
          <w:sz w:val="20"/>
        </w:rPr>
        <w:t>“Bad</w:t>
      </w:r>
      <w:r>
        <w:rPr>
          <w:rFonts w:ascii="Cambria" w:hAnsi="Cambria"/>
          <w:spacing w:val="18"/>
          <w:sz w:val="20"/>
        </w:rPr>
        <w:t> </w:t>
      </w:r>
      <w:r>
        <w:rPr>
          <w:rFonts w:ascii="Cambria" w:hAnsi="Cambria"/>
          <w:sz w:val="20"/>
        </w:rPr>
        <w:t>Women”: A Feminist Perspective</w:t>
      </w:r>
      <w:r>
        <w:rPr>
          <w:b/>
          <w:sz w:val="20"/>
        </w:rPr>
        <w:t>—Chelikani Mrudula,</w:t>
      </w:r>
      <w:r>
        <w:rPr>
          <w:b/>
          <w:spacing w:val="-1"/>
          <w:sz w:val="20"/>
        </w:rPr>
        <w:t> </w:t>
      </w:r>
      <w:r>
        <w:rPr>
          <w:b/>
          <w:sz w:val="20"/>
        </w:rPr>
        <w:t>Jonnada Rambabu</w:t>
      </w:r>
      <w:r>
        <w:rPr>
          <w:sz w:val="20"/>
        </w:rPr>
        <w:tab/>
      </w:r>
      <w:r>
        <w:rPr>
          <w:rFonts w:ascii="Cambria" w:hAnsi="Cambria"/>
          <w:spacing w:val="-24"/>
          <w:sz w:val="20"/>
        </w:rPr>
        <w:t>463</w:t>
      </w:r>
    </w:p>
    <w:p>
      <w:pPr>
        <w:pStyle w:val="ListParagraph"/>
        <w:numPr>
          <w:ilvl w:val="0"/>
          <w:numId w:val="4"/>
        </w:numPr>
        <w:tabs>
          <w:tab w:pos="2026" w:val="left" w:leader="none"/>
        </w:tabs>
        <w:spacing w:line="240" w:lineRule="auto" w:before="59" w:after="0"/>
        <w:ind w:left="2026" w:right="0" w:hanging="519"/>
        <w:jc w:val="left"/>
        <w:rPr>
          <w:rFonts w:ascii="Cambria"/>
          <w:sz w:val="20"/>
        </w:rPr>
      </w:pPr>
      <w:r>
        <w:rPr>
          <w:rFonts w:ascii="Cambria"/>
          <w:spacing w:val="-6"/>
          <w:sz w:val="20"/>
        </w:rPr>
        <w:t>The</w:t>
      </w:r>
      <w:r>
        <w:rPr>
          <w:rFonts w:ascii="Cambria"/>
          <w:spacing w:val="15"/>
          <w:sz w:val="20"/>
        </w:rPr>
        <w:t> </w:t>
      </w:r>
      <w:r>
        <w:rPr>
          <w:rFonts w:ascii="Cambria"/>
          <w:spacing w:val="-6"/>
          <w:sz w:val="20"/>
        </w:rPr>
        <w:t>Relationship</w:t>
      </w:r>
      <w:r>
        <w:rPr>
          <w:rFonts w:ascii="Cambria"/>
          <w:spacing w:val="16"/>
          <w:sz w:val="20"/>
        </w:rPr>
        <w:t> </w:t>
      </w:r>
      <w:r>
        <w:rPr>
          <w:rFonts w:ascii="Cambria"/>
          <w:spacing w:val="-6"/>
          <w:sz w:val="20"/>
        </w:rPr>
        <w:t>between</w:t>
      </w:r>
      <w:r>
        <w:rPr>
          <w:rFonts w:ascii="Cambria"/>
          <w:spacing w:val="11"/>
          <w:sz w:val="20"/>
        </w:rPr>
        <w:t> </w:t>
      </w:r>
      <w:r>
        <w:rPr>
          <w:rFonts w:ascii="Cambria"/>
          <w:spacing w:val="-6"/>
          <w:sz w:val="20"/>
        </w:rPr>
        <w:t>Gender</w:t>
      </w:r>
      <w:r>
        <w:rPr>
          <w:rFonts w:ascii="Cambria"/>
          <w:spacing w:val="15"/>
          <w:sz w:val="20"/>
        </w:rPr>
        <w:t> </w:t>
      </w:r>
      <w:r>
        <w:rPr>
          <w:rFonts w:ascii="Cambria"/>
          <w:spacing w:val="-6"/>
          <w:sz w:val="20"/>
        </w:rPr>
        <w:t>and</w:t>
      </w:r>
      <w:r>
        <w:rPr>
          <w:rFonts w:ascii="Cambria"/>
          <w:spacing w:val="16"/>
          <w:sz w:val="20"/>
        </w:rPr>
        <w:t> </w:t>
      </w:r>
      <w:r>
        <w:rPr>
          <w:rFonts w:ascii="Cambria"/>
          <w:spacing w:val="-6"/>
          <w:sz w:val="20"/>
        </w:rPr>
        <w:t>Power</w:t>
      </w:r>
      <w:r>
        <w:rPr>
          <w:rFonts w:ascii="Cambria"/>
          <w:spacing w:val="15"/>
          <w:sz w:val="20"/>
        </w:rPr>
        <w:t> </w:t>
      </w:r>
      <w:r>
        <w:rPr>
          <w:rFonts w:ascii="Cambria"/>
          <w:spacing w:val="-6"/>
          <w:sz w:val="20"/>
        </w:rPr>
        <w:t>in</w:t>
      </w:r>
    </w:p>
    <w:p>
      <w:pPr>
        <w:tabs>
          <w:tab w:pos="6931" w:val="left" w:leader="none"/>
        </w:tabs>
        <w:spacing w:before="5"/>
        <w:ind w:left="2025" w:right="0" w:firstLine="0"/>
        <w:jc w:val="left"/>
        <w:rPr>
          <w:rFonts w:ascii="Cambria" w:hAnsi="Cambria"/>
          <w:sz w:val="20"/>
        </w:rPr>
      </w:pPr>
      <w:r>
        <w:rPr>
          <w:rFonts w:ascii="Cambria" w:hAnsi="Cambria"/>
          <w:spacing w:val="-6"/>
          <w:sz w:val="20"/>
        </w:rPr>
        <w:t>Shakespeare’s</w:t>
      </w:r>
      <w:r>
        <w:rPr>
          <w:rFonts w:ascii="Cambria" w:hAnsi="Cambria"/>
          <w:spacing w:val="7"/>
          <w:sz w:val="20"/>
        </w:rPr>
        <w:t> </w:t>
      </w:r>
      <w:r>
        <w:rPr>
          <w:rFonts w:ascii="Cambria" w:hAnsi="Cambria"/>
          <w:spacing w:val="-6"/>
          <w:sz w:val="20"/>
        </w:rPr>
        <w:t>Plays</w:t>
      </w:r>
      <w:r>
        <w:rPr>
          <w:b/>
          <w:spacing w:val="-6"/>
          <w:sz w:val="20"/>
        </w:rPr>
        <w:t>—Anitha</w:t>
      </w:r>
      <w:r>
        <w:rPr>
          <w:b/>
          <w:spacing w:val="5"/>
          <w:sz w:val="20"/>
        </w:rPr>
        <w:t> </w:t>
      </w:r>
      <w:r>
        <w:rPr>
          <w:b/>
          <w:spacing w:val="-6"/>
          <w:sz w:val="20"/>
        </w:rPr>
        <w:t>Pawar;</w:t>
      </w:r>
      <w:r>
        <w:rPr>
          <w:b/>
          <w:spacing w:val="5"/>
          <w:sz w:val="20"/>
        </w:rPr>
        <w:t> </w:t>
      </w:r>
      <w:r>
        <w:rPr>
          <w:b/>
          <w:spacing w:val="-6"/>
          <w:sz w:val="20"/>
        </w:rPr>
        <w:t>Dr.P.Samata</w:t>
      </w:r>
      <w:r>
        <w:rPr>
          <w:sz w:val="20"/>
        </w:rPr>
        <w:tab/>
      </w:r>
      <w:r>
        <w:rPr>
          <w:rFonts w:ascii="Cambria" w:hAnsi="Cambria"/>
          <w:spacing w:val="-5"/>
          <w:sz w:val="20"/>
        </w:rPr>
        <w:t>469</w:t>
      </w:r>
    </w:p>
    <w:p>
      <w:pPr>
        <w:pStyle w:val="ListParagraph"/>
        <w:numPr>
          <w:ilvl w:val="0"/>
          <w:numId w:val="4"/>
        </w:numPr>
        <w:tabs>
          <w:tab w:pos="2025" w:val="left" w:leader="none"/>
          <w:tab w:pos="6931" w:val="left" w:leader="none"/>
        </w:tabs>
        <w:spacing w:line="244" w:lineRule="auto" w:before="63" w:after="0"/>
        <w:ind w:left="2025" w:right="1436" w:hanging="519"/>
        <w:jc w:val="left"/>
        <w:rPr>
          <w:rFonts w:ascii="Cambria" w:hAnsi="Cambria"/>
          <w:sz w:val="20"/>
        </w:rPr>
      </w:pPr>
      <w:r>
        <w:rPr>
          <w:rFonts w:ascii="Cambria" w:hAnsi="Cambria"/>
          <w:spacing w:val="-2"/>
          <w:sz w:val="20"/>
        </w:rPr>
        <w:t>Re-reading</w:t>
      </w:r>
      <w:r>
        <w:rPr>
          <w:rFonts w:ascii="Cambria" w:hAnsi="Cambria"/>
          <w:spacing w:val="20"/>
          <w:sz w:val="20"/>
        </w:rPr>
        <w:t> </w:t>
      </w:r>
      <w:r>
        <w:rPr>
          <w:rFonts w:ascii="Cambria" w:hAnsi="Cambria"/>
          <w:spacing w:val="-2"/>
          <w:sz w:val="20"/>
        </w:rPr>
        <w:t>Shakespearean</w:t>
      </w:r>
      <w:r>
        <w:rPr>
          <w:rFonts w:ascii="Cambria" w:hAnsi="Cambria"/>
          <w:spacing w:val="20"/>
          <w:sz w:val="20"/>
        </w:rPr>
        <w:t> </w:t>
      </w:r>
      <w:r>
        <w:rPr>
          <w:rFonts w:ascii="Cambria" w:hAnsi="Cambria"/>
          <w:spacing w:val="-2"/>
          <w:sz w:val="20"/>
        </w:rPr>
        <w:t>Tragedy</w:t>
      </w:r>
      <w:r>
        <w:rPr>
          <w:rFonts w:ascii="Cambria" w:hAnsi="Cambria"/>
          <w:spacing w:val="20"/>
          <w:sz w:val="20"/>
        </w:rPr>
        <w:t> </w:t>
      </w:r>
      <w:r>
        <w:rPr>
          <w:rFonts w:ascii="Cambria" w:hAnsi="Cambria"/>
          <w:spacing w:val="-2"/>
          <w:sz w:val="20"/>
        </w:rPr>
        <w:t>through</w:t>
      </w:r>
      <w:r>
        <w:rPr>
          <w:rFonts w:ascii="Cambria" w:hAnsi="Cambria"/>
          <w:spacing w:val="20"/>
          <w:sz w:val="20"/>
        </w:rPr>
        <w:t> </w:t>
      </w:r>
      <w:r>
        <w:rPr>
          <w:rFonts w:ascii="Cambria" w:hAnsi="Cambria"/>
          <w:spacing w:val="-2"/>
          <w:sz w:val="20"/>
        </w:rPr>
        <w:t>Buddhist </w:t>
      </w:r>
      <w:r>
        <w:rPr>
          <w:rFonts w:ascii="Cambria" w:hAnsi="Cambria"/>
          <w:sz w:val="20"/>
        </w:rPr>
        <w:t>Philosophy:</w:t>
      </w:r>
      <w:r>
        <w:rPr>
          <w:rFonts w:ascii="Cambria" w:hAnsi="Cambria"/>
          <w:spacing w:val="6"/>
          <w:sz w:val="20"/>
        </w:rPr>
        <w:t> </w:t>
      </w:r>
      <w:r>
        <w:rPr>
          <w:rFonts w:ascii="Cambria" w:hAnsi="Cambria"/>
          <w:sz w:val="20"/>
        </w:rPr>
        <w:t>Suffering,</w:t>
      </w:r>
      <w:r>
        <w:rPr>
          <w:rFonts w:ascii="Cambria" w:hAnsi="Cambria"/>
          <w:spacing w:val="7"/>
          <w:sz w:val="20"/>
        </w:rPr>
        <w:t> </w:t>
      </w:r>
      <w:r>
        <w:rPr>
          <w:rFonts w:ascii="Cambria" w:hAnsi="Cambria"/>
          <w:sz w:val="20"/>
        </w:rPr>
        <w:t>Impermanence,</w:t>
      </w:r>
      <w:r>
        <w:rPr>
          <w:rFonts w:ascii="Cambria" w:hAnsi="Cambria"/>
          <w:spacing w:val="6"/>
          <w:sz w:val="20"/>
        </w:rPr>
        <w:t> </w:t>
      </w:r>
      <w:r>
        <w:rPr>
          <w:rFonts w:ascii="Cambria" w:hAnsi="Cambria"/>
          <w:sz w:val="20"/>
        </w:rPr>
        <w:t>and</w:t>
      </w:r>
      <w:r>
        <w:rPr>
          <w:rFonts w:ascii="Cambria" w:hAnsi="Cambria"/>
          <w:spacing w:val="7"/>
          <w:sz w:val="20"/>
        </w:rPr>
        <w:t> </w:t>
      </w:r>
      <w:r>
        <w:rPr>
          <w:rFonts w:ascii="Cambria" w:hAnsi="Cambria"/>
          <w:sz w:val="20"/>
        </w:rPr>
        <w:t>the</w:t>
      </w:r>
      <w:r>
        <w:rPr>
          <w:rFonts w:ascii="Cambria" w:hAnsi="Cambria"/>
          <w:spacing w:val="7"/>
          <w:sz w:val="20"/>
        </w:rPr>
        <w:t> </w:t>
      </w:r>
      <w:r>
        <w:rPr>
          <w:rFonts w:ascii="Cambria" w:hAnsi="Cambria"/>
          <w:sz w:val="20"/>
        </w:rPr>
        <w:t>Ethics</w:t>
      </w:r>
      <w:r>
        <w:rPr>
          <w:rFonts w:ascii="Cambria" w:hAnsi="Cambria"/>
          <w:spacing w:val="6"/>
          <w:sz w:val="20"/>
        </w:rPr>
        <w:t> </w:t>
      </w:r>
      <w:r>
        <w:rPr>
          <w:rFonts w:ascii="Cambria" w:hAnsi="Cambria"/>
          <w:sz w:val="20"/>
        </w:rPr>
        <w:t>of Desire—</w:t>
      </w:r>
      <w:r>
        <w:rPr>
          <w:b/>
          <w:sz w:val="20"/>
        </w:rPr>
        <w:t>Le Hong Linh</w:t>
      </w:r>
      <w:r>
        <w:rPr>
          <w:sz w:val="20"/>
        </w:rPr>
        <w:tab/>
      </w:r>
      <w:r>
        <w:rPr>
          <w:rFonts w:ascii="Cambria" w:hAnsi="Cambria"/>
          <w:spacing w:val="-24"/>
          <w:sz w:val="20"/>
        </w:rPr>
        <w:t>478</w:t>
      </w:r>
    </w:p>
    <w:p>
      <w:pPr>
        <w:pStyle w:val="ListParagraph"/>
        <w:numPr>
          <w:ilvl w:val="0"/>
          <w:numId w:val="4"/>
        </w:numPr>
        <w:tabs>
          <w:tab w:pos="2026" w:val="left" w:leader="none"/>
        </w:tabs>
        <w:spacing w:line="240" w:lineRule="auto" w:before="61" w:after="0"/>
        <w:ind w:left="2026" w:right="0" w:hanging="519"/>
        <w:jc w:val="left"/>
        <w:rPr>
          <w:rFonts w:ascii="Cambria" w:hAnsi="Cambria"/>
          <w:sz w:val="20"/>
        </w:rPr>
      </w:pPr>
      <w:r>
        <w:rPr>
          <w:rFonts w:ascii="Cambria" w:hAnsi="Cambria"/>
          <w:spacing w:val="-4"/>
          <w:sz w:val="20"/>
        </w:rPr>
        <w:t>Women</w:t>
      </w:r>
      <w:r>
        <w:rPr>
          <w:rFonts w:ascii="Cambria" w:hAnsi="Cambria"/>
          <w:spacing w:val="12"/>
          <w:sz w:val="20"/>
        </w:rPr>
        <w:t> </w:t>
      </w:r>
      <w:r>
        <w:rPr>
          <w:rFonts w:ascii="Cambria" w:hAnsi="Cambria"/>
          <w:spacing w:val="-4"/>
          <w:sz w:val="20"/>
        </w:rPr>
        <w:t>and</w:t>
      </w:r>
      <w:r>
        <w:rPr>
          <w:rFonts w:ascii="Cambria" w:hAnsi="Cambria"/>
          <w:spacing w:val="16"/>
          <w:sz w:val="20"/>
        </w:rPr>
        <w:t> </w:t>
      </w:r>
      <w:r>
        <w:rPr>
          <w:rFonts w:ascii="Cambria" w:hAnsi="Cambria"/>
          <w:spacing w:val="-4"/>
          <w:sz w:val="20"/>
        </w:rPr>
        <w:t>Mental</w:t>
      </w:r>
      <w:r>
        <w:rPr>
          <w:rFonts w:ascii="Cambria" w:hAnsi="Cambria"/>
          <w:spacing w:val="14"/>
          <w:sz w:val="20"/>
        </w:rPr>
        <w:t> </w:t>
      </w:r>
      <w:r>
        <w:rPr>
          <w:rFonts w:ascii="Cambria" w:hAnsi="Cambria"/>
          <w:spacing w:val="-4"/>
          <w:sz w:val="20"/>
        </w:rPr>
        <w:t>Health</w:t>
      </w:r>
      <w:r>
        <w:rPr>
          <w:rFonts w:ascii="Cambria" w:hAnsi="Cambria"/>
          <w:spacing w:val="13"/>
          <w:sz w:val="20"/>
        </w:rPr>
        <w:t> </w:t>
      </w:r>
      <w:r>
        <w:rPr>
          <w:rFonts w:ascii="Cambria" w:hAnsi="Cambria"/>
          <w:spacing w:val="-4"/>
          <w:sz w:val="20"/>
        </w:rPr>
        <w:t>in</w:t>
      </w:r>
      <w:r>
        <w:rPr>
          <w:rFonts w:ascii="Cambria" w:hAnsi="Cambria"/>
          <w:spacing w:val="14"/>
          <w:sz w:val="20"/>
        </w:rPr>
        <w:t> </w:t>
      </w:r>
      <w:r>
        <w:rPr>
          <w:rFonts w:ascii="Cambria" w:hAnsi="Cambria"/>
          <w:spacing w:val="-4"/>
          <w:sz w:val="20"/>
        </w:rPr>
        <w:t>Shakespeare’s</w:t>
      </w:r>
      <w:r>
        <w:rPr>
          <w:rFonts w:ascii="Cambria" w:hAnsi="Cambria"/>
          <w:spacing w:val="14"/>
          <w:sz w:val="20"/>
        </w:rPr>
        <w:t> </w:t>
      </w:r>
      <w:r>
        <w:rPr>
          <w:rFonts w:ascii="Cambria" w:hAnsi="Cambria"/>
          <w:spacing w:val="-4"/>
          <w:sz w:val="20"/>
        </w:rPr>
        <w:t>Plays</w:t>
      </w:r>
    </w:p>
    <w:p>
      <w:pPr>
        <w:pStyle w:val="Heading6"/>
        <w:tabs>
          <w:tab w:pos="6931" w:val="left" w:leader="none"/>
        </w:tabs>
        <w:spacing w:before="5"/>
        <w:ind w:left="2025"/>
        <w:rPr>
          <w:rFonts w:ascii="Cambria" w:hAnsi="Cambria"/>
          <w:b w:val="0"/>
        </w:rPr>
      </w:pPr>
      <w:r>
        <w:rPr>
          <w:spacing w:val="-4"/>
        </w:rPr>
        <w:t>—M.</w:t>
      </w:r>
      <w:r>
        <w:rPr>
          <w:spacing w:val="-17"/>
        </w:rPr>
        <w:t> </w:t>
      </w:r>
      <w:r>
        <w:rPr>
          <w:spacing w:val="-4"/>
        </w:rPr>
        <w:t>Lalitha</w:t>
      </w:r>
      <w:r>
        <w:rPr>
          <w:spacing w:val="-14"/>
        </w:rPr>
        <w:t> </w:t>
      </w:r>
      <w:r>
        <w:rPr>
          <w:spacing w:val="-4"/>
        </w:rPr>
        <w:t>Ramya</w:t>
      </w:r>
      <w:r>
        <w:rPr>
          <w:b w:val="0"/>
        </w:rPr>
        <w:tab/>
      </w:r>
      <w:r>
        <w:rPr>
          <w:rFonts w:ascii="Cambria" w:hAnsi="Cambria"/>
          <w:b w:val="0"/>
          <w:spacing w:val="-5"/>
        </w:rPr>
        <w:t>488</w:t>
      </w:r>
    </w:p>
    <w:p>
      <w:pPr>
        <w:pStyle w:val="Heading6"/>
        <w:spacing w:after="0"/>
        <w:rPr>
          <w:rFonts w:ascii="Cambria" w:hAnsi="Cambria"/>
          <w:b w:val="0"/>
        </w:rPr>
        <w:sectPr>
          <w:pgSz w:w="12240" w:h="15840"/>
          <w:pgMar w:top="1820" w:bottom="280" w:left="1800" w:right="1800"/>
        </w:sectPr>
      </w:pPr>
    </w:p>
    <w:p>
      <w:pPr>
        <w:pStyle w:val="BodyText"/>
        <w:ind w:left="0"/>
        <w:rPr>
          <w:rFonts w:ascii="Cambria"/>
          <w:sz w:val="32"/>
        </w:rPr>
      </w:pPr>
    </w:p>
    <w:p>
      <w:pPr>
        <w:pStyle w:val="BodyText"/>
        <w:ind w:left="0"/>
        <w:rPr>
          <w:rFonts w:ascii="Cambria"/>
          <w:sz w:val="32"/>
        </w:rPr>
      </w:pPr>
    </w:p>
    <w:p>
      <w:pPr>
        <w:pStyle w:val="BodyText"/>
        <w:ind w:left="0"/>
        <w:rPr>
          <w:rFonts w:ascii="Cambria"/>
          <w:sz w:val="32"/>
        </w:rPr>
      </w:pPr>
    </w:p>
    <w:p>
      <w:pPr>
        <w:pStyle w:val="BodyText"/>
        <w:ind w:left="0"/>
        <w:rPr>
          <w:rFonts w:ascii="Cambria"/>
          <w:sz w:val="32"/>
        </w:rPr>
      </w:pPr>
    </w:p>
    <w:p>
      <w:pPr>
        <w:pStyle w:val="BodyText"/>
        <w:ind w:left="0"/>
        <w:rPr>
          <w:rFonts w:ascii="Cambria"/>
          <w:sz w:val="32"/>
        </w:rPr>
      </w:pPr>
    </w:p>
    <w:p>
      <w:pPr>
        <w:pStyle w:val="BodyText"/>
        <w:ind w:left="0"/>
        <w:rPr>
          <w:rFonts w:ascii="Cambria"/>
          <w:sz w:val="32"/>
        </w:rPr>
      </w:pPr>
    </w:p>
    <w:p>
      <w:pPr>
        <w:pStyle w:val="BodyText"/>
        <w:ind w:left="0"/>
        <w:rPr>
          <w:rFonts w:ascii="Cambria"/>
          <w:sz w:val="32"/>
        </w:rPr>
      </w:pPr>
    </w:p>
    <w:p>
      <w:pPr>
        <w:pStyle w:val="Heading1"/>
        <w:tabs>
          <w:tab w:pos="2174" w:val="left" w:leader="none"/>
          <w:tab w:pos="5759" w:val="left" w:leader="none"/>
        </w:tabs>
        <w:spacing w:before="1"/>
        <w:rPr>
          <w:rFonts w:ascii="Verdana"/>
        </w:rPr>
      </w:pPr>
      <w:bookmarkStart w:name="_TOC_250003" w:id="4"/>
      <w:r>
        <w:rPr>
          <w:rFonts w:ascii="Times New Roman"/>
          <w:b w:val="0"/>
          <w:u w:val="single"/>
        </w:rPr>
        <w:tab/>
      </w:r>
      <w:r>
        <w:rPr>
          <w:rFonts w:ascii="Verdana"/>
          <w:spacing w:val="-2"/>
          <w:w w:val="90"/>
          <w:u w:val="single"/>
        </w:rPr>
        <w:t>Foreword</w:t>
      </w:r>
      <w:bookmarkEnd w:id="4"/>
      <w:r>
        <w:rPr>
          <w:rFonts w:ascii="Verdana"/>
          <w:u w:val="single"/>
        </w:rPr>
        <w:tab/>
      </w:r>
    </w:p>
    <w:p>
      <w:pPr>
        <w:pStyle w:val="BodyText"/>
        <w:spacing w:before="8"/>
        <w:ind w:left="0"/>
        <w:rPr>
          <w:rFonts w:ascii="Verdana"/>
          <w:b/>
          <w:sz w:val="5"/>
        </w:rPr>
      </w:pPr>
      <w:r>
        <w:rPr>
          <w:rFonts w:ascii="Verdana"/>
          <w:b/>
          <w:sz w:val="5"/>
        </w:rPr>
        <mc:AlternateContent>
          <mc:Choice Requires="wps">
            <w:drawing>
              <wp:anchor distT="0" distB="0" distL="0" distR="0" allowOverlap="1" layoutInCell="1" locked="0" behindDoc="1" simplePos="0" relativeHeight="487603200">
                <wp:simplePos x="0" y="0"/>
                <wp:positionH relativeFrom="page">
                  <wp:posOffset>2057400</wp:posOffset>
                </wp:positionH>
                <wp:positionV relativeFrom="paragraph">
                  <wp:posOffset>59436</wp:posOffset>
                </wp:positionV>
                <wp:extent cx="3657600" cy="762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680018pt;width:288.000009pt;height:.59999pt;mso-position-horizontal-relative:page;mso-position-vertical-relative:paragraph;z-index:-15713280;mso-wrap-distance-left:0;mso-wrap-distance-right:0" id="docshape119" filled="true" fillcolor="#000000" stroked="false">
                <v:fill type="solid"/>
                <w10:wrap type="topAndBottom"/>
              </v:rect>
            </w:pict>
          </mc:Fallback>
        </mc:AlternateContent>
      </w:r>
    </w:p>
    <w:p>
      <w:pPr>
        <w:pStyle w:val="BodyText"/>
        <w:spacing w:before="71"/>
        <w:ind w:left="0"/>
        <w:rPr>
          <w:rFonts w:ascii="Verdana"/>
          <w:b/>
          <w:sz w:val="32"/>
        </w:rPr>
      </w:pPr>
    </w:p>
    <w:p>
      <w:pPr>
        <w:pStyle w:val="BodyText"/>
        <w:spacing w:line="244" w:lineRule="auto"/>
        <w:ind w:right="1437" w:firstLine="432"/>
        <w:jc w:val="both"/>
        <w:rPr>
          <w:rFonts w:ascii="Cambria" w:hAnsi="Cambria"/>
        </w:rPr>
      </w:pPr>
      <w:r>
        <w:rPr>
          <w:rFonts w:ascii="Cambria" w:hAnsi="Cambria"/>
        </w:rPr>
        <w:t>It</w:t>
      </w:r>
      <w:r>
        <w:rPr>
          <w:rFonts w:ascii="Cambria" w:hAnsi="Cambria"/>
          <w:spacing w:val="-6"/>
        </w:rPr>
        <w:t> </w:t>
      </w:r>
      <w:r>
        <w:rPr>
          <w:rFonts w:ascii="Cambria" w:hAnsi="Cambria"/>
        </w:rPr>
        <w:t>gives</w:t>
      </w:r>
      <w:r>
        <w:rPr>
          <w:rFonts w:ascii="Cambria" w:hAnsi="Cambria"/>
          <w:spacing w:val="-5"/>
        </w:rPr>
        <w:t> </w:t>
      </w:r>
      <w:r>
        <w:rPr>
          <w:rFonts w:ascii="Cambria" w:hAnsi="Cambria"/>
        </w:rPr>
        <w:t>me</w:t>
      </w:r>
      <w:r>
        <w:rPr>
          <w:rFonts w:ascii="Cambria" w:hAnsi="Cambria"/>
          <w:spacing w:val="-5"/>
        </w:rPr>
        <w:t> </w:t>
      </w:r>
      <w:r>
        <w:rPr>
          <w:rFonts w:ascii="Cambria" w:hAnsi="Cambria"/>
        </w:rPr>
        <w:t>immense</w:t>
      </w:r>
      <w:r>
        <w:rPr>
          <w:rFonts w:ascii="Cambria" w:hAnsi="Cambria"/>
          <w:spacing w:val="-4"/>
        </w:rPr>
        <w:t> </w:t>
      </w:r>
      <w:r>
        <w:rPr>
          <w:rFonts w:ascii="Cambria" w:hAnsi="Cambria"/>
        </w:rPr>
        <w:t>pleasure</w:t>
      </w:r>
      <w:r>
        <w:rPr>
          <w:rFonts w:ascii="Cambria" w:hAnsi="Cambria"/>
          <w:spacing w:val="-5"/>
        </w:rPr>
        <w:t> </w:t>
      </w:r>
      <w:r>
        <w:rPr>
          <w:rFonts w:ascii="Cambria" w:hAnsi="Cambria"/>
        </w:rPr>
        <w:t>to</w:t>
      </w:r>
      <w:r>
        <w:rPr>
          <w:rFonts w:ascii="Cambria" w:hAnsi="Cambria"/>
          <w:spacing w:val="-5"/>
        </w:rPr>
        <w:t> </w:t>
      </w:r>
      <w:r>
        <w:rPr>
          <w:rFonts w:ascii="Cambria" w:hAnsi="Cambria"/>
        </w:rPr>
        <w:t>present</w:t>
      </w:r>
      <w:r>
        <w:rPr>
          <w:rFonts w:ascii="Cambria" w:hAnsi="Cambria"/>
          <w:spacing w:val="-5"/>
        </w:rPr>
        <w:t> </w:t>
      </w:r>
      <w:r>
        <w:rPr>
          <w:rFonts w:ascii="Cambria" w:hAnsi="Cambria"/>
        </w:rPr>
        <w:t>this</w:t>
      </w:r>
      <w:r>
        <w:rPr>
          <w:rFonts w:ascii="Cambria" w:hAnsi="Cambria"/>
          <w:spacing w:val="-6"/>
        </w:rPr>
        <w:t> </w:t>
      </w:r>
      <w:r>
        <w:rPr>
          <w:rFonts w:ascii="Cambria" w:hAnsi="Cambria"/>
        </w:rPr>
        <w:t>edited</w:t>
      </w:r>
      <w:r>
        <w:rPr>
          <w:rFonts w:ascii="Cambria" w:hAnsi="Cambria"/>
          <w:spacing w:val="-4"/>
        </w:rPr>
        <w:t> </w:t>
      </w:r>
      <w:r>
        <w:rPr>
          <w:rFonts w:ascii="Cambria" w:hAnsi="Cambria"/>
        </w:rPr>
        <w:t>volume</w:t>
      </w:r>
      <w:r>
        <w:rPr>
          <w:rFonts w:ascii="Cambria" w:hAnsi="Cambria"/>
          <w:spacing w:val="-6"/>
        </w:rPr>
        <w:t> </w:t>
      </w:r>
      <w:r>
        <w:rPr>
          <w:rFonts w:ascii="Cambria" w:hAnsi="Cambria"/>
        </w:rPr>
        <w:t>on Shakespeare studies, a thoughtful</w:t>
      </w:r>
      <w:r>
        <w:rPr>
          <w:rFonts w:ascii="Cambria" w:hAnsi="Cambria"/>
          <w:spacing w:val="-1"/>
        </w:rPr>
        <w:t> </w:t>
      </w:r>
      <w:r>
        <w:rPr>
          <w:rFonts w:ascii="Cambria" w:hAnsi="Cambria"/>
        </w:rPr>
        <w:t>and timely</w:t>
      </w:r>
      <w:r>
        <w:rPr>
          <w:rFonts w:ascii="Cambria" w:hAnsi="Cambria"/>
          <w:spacing w:val="-1"/>
        </w:rPr>
        <w:t> </w:t>
      </w:r>
      <w:r>
        <w:rPr>
          <w:rFonts w:ascii="Cambria" w:hAnsi="Cambria"/>
        </w:rPr>
        <w:t>collection</w:t>
      </w:r>
      <w:r>
        <w:rPr>
          <w:rFonts w:ascii="Cambria" w:hAnsi="Cambria"/>
          <w:spacing w:val="-1"/>
        </w:rPr>
        <w:t> </w:t>
      </w:r>
      <w:r>
        <w:rPr>
          <w:rFonts w:ascii="Cambria" w:hAnsi="Cambria"/>
        </w:rPr>
        <w:t>of scholarly essays that revisit the Bard’s works through contemporary critical perspectives. Shakespeare’s writings continue to transcend time, geography, and culture because they engage with enduring human </w:t>
      </w:r>
      <w:r>
        <w:rPr>
          <w:rFonts w:ascii="Cambria" w:hAnsi="Cambria"/>
          <w:spacing w:val="-6"/>
        </w:rPr>
        <w:t>concerns—love,</w:t>
      </w:r>
      <w:r>
        <w:rPr>
          <w:rFonts w:ascii="Cambria" w:hAnsi="Cambria"/>
        </w:rPr>
        <w:t> </w:t>
      </w:r>
      <w:r>
        <w:rPr>
          <w:rFonts w:ascii="Cambria" w:hAnsi="Cambria"/>
          <w:spacing w:val="-6"/>
        </w:rPr>
        <w:t>ambition,</w:t>
      </w:r>
      <w:r>
        <w:rPr>
          <w:rFonts w:ascii="Cambria" w:hAnsi="Cambria"/>
        </w:rPr>
        <w:t> </w:t>
      </w:r>
      <w:r>
        <w:rPr>
          <w:rFonts w:ascii="Cambria" w:hAnsi="Cambria"/>
          <w:spacing w:val="-6"/>
        </w:rPr>
        <w:t>betrayal,</w:t>
      </w:r>
      <w:r>
        <w:rPr>
          <w:rFonts w:ascii="Cambria" w:hAnsi="Cambria"/>
        </w:rPr>
        <w:t> </w:t>
      </w:r>
      <w:r>
        <w:rPr>
          <w:rFonts w:ascii="Cambria" w:hAnsi="Cambria"/>
          <w:spacing w:val="-6"/>
        </w:rPr>
        <w:t>power,</w:t>
      </w:r>
      <w:r>
        <w:rPr>
          <w:rFonts w:ascii="Cambria" w:hAnsi="Cambria"/>
        </w:rPr>
        <w:t> </w:t>
      </w:r>
      <w:r>
        <w:rPr>
          <w:rFonts w:ascii="Cambria" w:hAnsi="Cambria"/>
          <w:spacing w:val="-6"/>
        </w:rPr>
        <w:t>suffering,</w:t>
      </w:r>
      <w:r>
        <w:rPr>
          <w:rFonts w:ascii="Cambria" w:hAnsi="Cambria"/>
        </w:rPr>
        <w:t> </w:t>
      </w:r>
      <w:r>
        <w:rPr>
          <w:rFonts w:ascii="Cambria" w:hAnsi="Cambria"/>
          <w:spacing w:val="-6"/>
        </w:rPr>
        <w:t>identity,</w:t>
      </w:r>
      <w:r>
        <w:rPr>
          <w:rFonts w:ascii="Cambria" w:hAnsi="Cambria"/>
        </w:rPr>
        <w:t> </w:t>
      </w:r>
      <w:r>
        <w:rPr>
          <w:rFonts w:ascii="Cambria" w:hAnsi="Cambria"/>
          <w:spacing w:val="-6"/>
        </w:rPr>
        <w:t>morality,</w:t>
      </w:r>
      <w:r>
        <w:rPr>
          <w:rFonts w:ascii="Cambria" w:hAnsi="Cambria"/>
          <w:spacing w:val="-2"/>
        </w:rPr>
        <w:t> and</w:t>
      </w:r>
      <w:r>
        <w:rPr>
          <w:rFonts w:ascii="Cambria" w:hAnsi="Cambria"/>
          <w:spacing w:val="-6"/>
        </w:rPr>
        <w:t> </w:t>
      </w:r>
      <w:r>
        <w:rPr>
          <w:rFonts w:ascii="Cambria" w:hAnsi="Cambria"/>
          <w:spacing w:val="-2"/>
        </w:rPr>
        <w:t>resistance.</w:t>
      </w:r>
      <w:r>
        <w:rPr>
          <w:rFonts w:ascii="Cambria" w:hAnsi="Cambria"/>
          <w:spacing w:val="-5"/>
        </w:rPr>
        <w:t> </w:t>
      </w:r>
      <w:r>
        <w:rPr>
          <w:rFonts w:ascii="Cambria" w:hAnsi="Cambria"/>
          <w:spacing w:val="-2"/>
        </w:rPr>
        <w:t>This</w:t>
      </w:r>
      <w:r>
        <w:rPr>
          <w:rFonts w:ascii="Cambria" w:hAnsi="Cambria"/>
          <w:spacing w:val="-6"/>
        </w:rPr>
        <w:t> </w:t>
      </w:r>
      <w:r>
        <w:rPr>
          <w:rFonts w:ascii="Cambria" w:hAnsi="Cambria"/>
          <w:spacing w:val="-2"/>
        </w:rPr>
        <w:t>volume</w:t>
      </w:r>
      <w:r>
        <w:rPr>
          <w:rFonts w:ascii="Cambria" w:hAnsi="Cambria"/>
          <w:spacing w:val="-6"/>
        </w:rPr>
        <w:t> </w:t>
      </w:r>
      <w:r>
        <w:rPr>
          <w:rFonts w:ascii="Cambria" w:hAnsi="Cambria"/>
          <w:spacing w:val="-2"/>
        </w:rPr>
        <w:t>demonstrates</w:t>
      </w:r>
      <w:r>
        <w:rPr>
          <w:rFonts w:ascii="Cambria" w:hAnsi="Cambria"/>
          <w:spacing w:val="-6"/>
        </w:rPr>
        <w:t> </w:t>
      </w:r>
      <w:r>
        <w:rPr>
          <w:rFonts w:ascii="Cambria" w:hAnsi="Cambria"/>
          <w:spacing w:val="-2"/>
        </w:rPr>
        <w:t>how</w:t>
      </w:r>
      <w:r>
        <w:rPr>
          <w:rFonts w:ascii="Cambria" w:hAnsi="Cambria"/>
          <w:spacing w:val="-7"/>
        </w:rPr>
        <w:t> </w:t>
      </w:r>
      <w:r>
        <w:rPr>
          <w:rFonts w:ascii="Cambria" w:hAnsi="Cambria"/>
          <w:spacing w:val="-2"/>
        </w:rPr>
        <w:t>Shakespeare</w:t>
      </w:r>
      <w:r>
        <w:rPr>
          <w:rFonts w:ascii="Cambria" w:hAnsi="Cambria"/>
          <w:spacing w:val="-6"/>
        </w:rPr>
        <w:t> </w:t>
      </w:r>
      <w:r>
        <w:rPr>
          <w:rFonts w:ascii="Cambria" w:hAnsi="Cambria"/>
          <w:spacing w:val="-2"/>
        </w:rPr>
        <w:t>remains </w:t>
      </w:r>
      <w:r>
        <w:rPr>
          <w:rFonts w:ascii="Cambria" w:hAnsi="Cambria"/>
          <w:spacing w:val="-6"/>
        </w:rPr>
        <w:t>profoundly relevant</w:t>
      </w:r>
      <w:r>
        <w:rPr>
          <w:rFonts w:ascii="Cambria" w:hAnsi="Cambria"/>
          <w:spacing w:val="-5"/>
        </w:rPr>
        <w:t> </w:t>
      </w:r>
      <w:r>
        <w:rPr>
          <w:rFonts w:ascii="Cambria" w:hAnsi="Cambria"/>
          <w:spacing w:val="-6"/>
        </w:rPr>
        <w:t>in</w:t>
      </w:r>
      <w:r>
        <w:rPr>
          <w:rFonts w:ascii="Cambria" w:hAnsi="Cambria"/>
          <w:spacing w:val="-5"/>
        </w:rPr>
        <w:t> </w:t>
      </w:r>
      <w:r>
        <w:rPr>
          <w:rFonts w:ascii="Cambria" w:hAnsi="Cambria"/>
          <w:spacing w:val="-6"/>
        </w:rPr>
        <w:t>the</w:t>
      </w:r>
      <w:r>
        <w:rPr>
          <w:rFonts w:ascii="Cambria" w:hAnsi="Cambria"/>
          <w:spacing w:val="-5"/>
        </w:rPr>
        <w:t> </w:t>
      </w:r>
      <w:r>
        <w:rPr>
          <w:rFonts w:ascii="Cambria" w:hAnsi="Cambria"/>
          <w:spacing w:val="-6"/>
        </w:rPr>
        <w:t>twenty-first</w:t>
      </w:r>
      <w:r>
        <w:rPr>
          <w:rFonts w:ascii="Cambria" w:hAnsi="Cambria"/>
          <w:spacing w:val="-5"/>
        </w:rPr>
        <w:t> </w:t>
      </w:r>
      <w:r>
        <w:rPr>
          <w:rFonts w:ascii="Cambria" w:hAnsi="Cambria"/>
          <w:spacing w:val="-6"/>
        </w:rPr>
        <w:t>century,</w:t>
      </w:r>
      <w:r>
        <w:rPr>
          <w:rFonts w:ascii="Cambria" w:hAnsi="Cambria"/>
          <w:spacing w:val="-5"/>
        </w:rPr>
        <w:t> </w:t>
      </w:r>
      <w:r>
        <w:rPr>
          <w:rFonts w:ascii="Cambria" w:hAnsi="Cambria"/>
          <w:spacing w:val="-6"/>
        </w:rPr>
        <w:t>especially</w:t>
      </w:r>
      <w:r>
        <w:rPr>
          <w:rFonts w:ascii="Cambria" w:hAnsi="Cambria"/>
          <w:spacing w:val="-5"/>
        </w:rPr>
        <w:t> </w:t>
      </w:r>
      <w:r>
        <w:rPr>
          <w:rFonts w:ascii="Cambria" w:hAnsi="Cambria"/>
          <w:spacing w:val="-6"/>
        </w:rPr>
        <w:t>in</w:t>
      </w:r>
      <w:r>
        <w:rPr>
          <w:rFonts w:ascii="Cambria" w:hAnsi="Cambria"/>
          <w:spacing w:val="-5"/>
        </w:rPr>
        <w:t> </w:t>
      </w:r>
      <w:r>
        <w:rPr>
          <w:rFonts w:ascii="Cambria" w:hAnsi="Cambria"/>
          <w:spacing w:val="-6"/>
        </w:rPr>
        <w:t>discussions</w:t>
      </w:r>
      <w:r>
        <w:rPr>
          <w:rFonts w:ascii="Cambria" w:hAnsi="Cambria"/>
        </w:rPr>
        <w:t> </w:t>
      </w:r>
      <w:r>
        <w:rPr>
          <w:rFonts w:ascii="Cambria" w:hAnsi="Cambria"/>
          <w:w w:val="90"/>
        </w:rPr>
        <w:t>surrounding</w:t>
      </w:r>
      <w:r>
        <w:rPr>
          <w:rFonts w:ascii="Cambria" w:hAnsi="Cambria"/>
          <w:spacing w:val="25"/>
        </w:rPr>
        <w:t> </w:t>
      </w:r>
      <w:r>
        <w:rPr>
          <w:rFonts w:ascii="Cambria" w:hAnsi="Cambria"/>
          <w:w w:val="90"/>
        </w:rPr>
        <w:t>gender,</w:t>
      </w:r>
      <w:r>
        <w:rPr>
          <w:rFonts w:ascii="Cambria" w:hAnsi="Cambria"/>
          <w:spacing w:val="27"/>
        </w:rPr>
        <w:t> </w:t>
      </w:r>
      <w:r>
        <w:rPr>
          <w:rFonts w:ascii="Cambria" w:hAnsi="Cambria"/>
          <w:w w:val="90"/>
        </w:rPr>
        <w:t>power</w:t>
      </w:r>
      <w:r>
        <w:rPr>
          <w:rFonts w:ascii="Cambria" w:hAnsi="Cambria"/>
          <w:spacing w:val="26"/>
        </w:rPr>
        <w:t> </w:t>
      </w:r>
      <w:r>
        <w:rPr>
          <w:rFonts w:ascii="Cambria" w:hAnsi="Cambria"/>
          <w:w w:val="90"/>
        </w:rPr>
        <w:t>relations,</w:t>
      </w:r>
      <w:r>
        <w:rPr>
          <w:rFonts w:ascii="Cambria" w:hAnsi="Cambria"/>
          <w:spacing w:val="25"/>
        </w:rPr>
        <w:t> </w:t>
      </w:r>
      <w:r>
        <w:rPr>
          <w:rFonts w:ascii="Cambria" w:hAnsi="Cambria"/>
          <w:w w:val="90"/>
        </w:rPr>
        <w:t>representation,</w:t>
      </w:r>
      <w:r>
        <w:rPr>
          <w:rFonts w:ascii="Cambria" w:hAnsi="Cambria"/>
          <w:spacing w:val="25"/>
        </w:rPr>
        <w:t> </w:t>
      </w:r>
      <w:r>
        <w:rPr>
          <w:rFonts w:ascii="Cambria" w:hAnsi="Cambria"/>
          <w:w w:val="90"/>
        </w:rPr>
        <w:t>and</w:t>
      </w:r>
      <w:r>
        <w:rPr>
          <w:rFonts w:ascii="Cambria" w:hAnsi="Cambria"/>
          <w:spacing w:val="29"/>
        </w:rPr>
        <w:t> </w:t>
      </w:r>
      <w:r>
        <w:rPr>
          <w:rFonts w:ascii="Cambria" w:hAnsi="Cambria"/>
          <w:w w:val="90"/>
        </w:rPr>
        <w:t>social</w:t>
      </w:r>
      <w:r>
        <w:rPr>
          <w:rFonts w:ascii="Cambria" w:hAnsi="Cambria"/>
          <w:spacing w:val="24"/>
        </w:rPr>
        <w:t> </w:t>
      </w:r>
      <w:r>
        <w:rPr>
          <w:rFonts w:ascii="Cambria" w:hAnsi="Cambria"/>
          <w:spacing w:val="-2"/>
          <w:w w:val="90"/>
        </w:rPr>
        <w:t>justice.</w:t>
      </w:r>
    </w:p>
    <w:p>
      <w:pPr>
        <w:pStyle w:val="BodyText"/>
        <w:spacing w:line="244" w:lineRule="auto" w:before="65"/>
        <w:ind w:right="1439" w:firstLine="432"/>
        <w:jc w:val="both"/>
        <w:rPr>
          <w:rFonts w:ascii="Cambria" w:hAnsi="Cambria"/>
        </w:rPr>
      </w:pPr>
      <w:r>
        <w:rPr>
          <w:rFonts w:ascii="Cambria" w:hAnsi="Cambria"/>
          <w:spacing w:val="-2"/>
        </w:rPr>
        <w:t>The</w:t>
      </w:r>
      <w:r>
        <w:rPr>
          <w:rFonts w:ascii="Cambria" w:hAnsi="Cambria"/>
          <w:spacing w:val="-10"/>
        </w:rPr>
        <w:t> </w:t>
      </w:r>
      <w:r>
        <w:rPr>
          <w:rFonts w:ascii="Cambria" w:hAnsi="Cambria"/>
          <w:spacing w:val="-2"/>
        </w:rPr>
        <w:t>scholarly</w:t>
      </w:r>
      <w:r>
        <w:rPr>
          <w:rFonts w:ascii="Cambria" w:hAnsi="Cambria"/>
          <w:spacing w:val="-9"/>
        </w:rPr>
        <w:t> </w:t>
      </w:r>
      <w:r>
        <w:rPr>
          <w:rFonts w:ascii="Cambria" w:hAnsi="Cambria"/>
          <w:spacing w:val="-2"/>
        </w:rPr>
        <w:t>papers</w:t>
      </w:r>
      <w:r>
        <w:rPr>
          <w:rFonts w:ascii="Cambria" w:hAnsi="Cambria"/>
          <w:spacing w:val="-9"/>
        </w:rPr>
        <w:t> </w:t>
      </w:r>
      <w:r>
        <w:rPr>
          <w:rFonts w:ascii="Cambria" w:hAnsi="Cambria"/>
          <w:spacing w:val="-2"/>
        </w:rPr>
        <w:t>included</w:t>
      </w:r>
      <w:r>
        <w:rPr>
          <w:rFonts w:ascii="Cambria" w:hAnsi="Cambria"/>
          <w:spacing w:val="-9"/>
        </w:rPr>
        <w:t> </w:t>
      </w:r>
      <w:r>
        <w:rPr>
          <w:rFonts w:ascii="Cambria" w:hAnsi="Cambria"/>
          <w:spacing w:val="-2"/>
        </w:rPr>
        <w:t>in</w:t>
      </w:r>
      <w:r>
        <w:rPr>
          <w:rFonts w:ascii="Cambria" w:hAnsi="Cambria"/>
          <w:spacing w:val="-9"/>
        </w:rPr>
        <w:t> </w:t>
      </w:r>
      <w:r>
        <w:rPr>
          <w:rFonts w:ascii="Cambria" w:hAnsi="Cambria"/>
          <w:spacing w:val="-2"/>
        </w:rPr>
        <w:t>this</w:t>
      </w:r>
      <w:r>
        <w:rPr>
          <w:rFonts w:ascii="Cambria" w:hAnsi="Cambria"/>
          <w:spacing w:val="-9"/>
        </w:rPr>
        <w:t> </w:t>
      </w:r>
      <w:r>
        <w:rPr>
          <w:rFonts w:ascii="Cambria" w:hAnsi="Cambria"/>
          <w:spacing w:val="-2"/>
        </w:rPr>
        <w:t>collection</w:t>
      </w:r>
      <w:r>
        <w:rPr>
          <w:rFonts w:ascii="Cambria" w:hAnsi="Cambria"/>
          <w:spacing w:val="-9"/>
        </w:rPr>
        <w:t> </w:t>
      </w:r>
      <w:r>
        <w:rPr>
          <w:rFonts w:ascii="Cambria" w:hAnsi="Cambria"/>
          <w:spacing w:val="-2"/>
        </w:rPr>
        <w:t>offer</w:t>
      </w:r>
      <w:r>
        <w:rPr>
          <w:rFonts w:ascii="Cambria" w:hAnsi="Cambria"/>
          <w:spacing w:val="-9"/>
        </w:rPr>
        <w:t> </w:t>
      </w:r>
      <w:r>
        <w:rPr>
          <w:rFonts w:ascii="Cambria" w:hAnsi="Cambria"/>
          <w:spacing w:val="-2"/>
        </w:rPr>
        <w:t>diverse</w:t>
      </w:r>
      <w:r>
        <w:rPr>
          <w:rFonts w:ascii="Cambria" w:hAnsi="Cambria"/>
          <w:spacing w:val="-9"/>
        </w:rPr>
        <w:t> </w:t>
      </w:r>
      <w:r>
        <w:rPr>
          <w:rFonts w:ascii="Cambria" w:hAnsi="Cambria"/>
          <w:spacing w:val="-2"/>
        </w:rPr>
        <w:t>and </w:t>
      </w:r>
      <w:r>
        <w:rPr>
          <w:rFonts w:ascii="Cambria" w:hAnsi="Cambria"/>
        </w:rPr>
        <w:t>intellectually</w:t>
      </w:r>
      <w:r>
        <w:rPr>
          <w:rFonts w:ascii="Cambria" w:hAnsi="Cambria"/>
          <w:spacing w:val="-12"/>
        </w:rPr>
        <w:t> </w:t>
      </w:r>
      <w:r>
        <w:rPr>
          <w:rFonts w:ascii="Cambria" w:hAnsi="Cambria"/>
        </w:rPr>
        <w:t>stimulating</w:t>
      </w:r>
      <w:r>
        <w:rPr>
          <w:rFonts w:ascii="Cambria" w:hAnsi="Cambria"/>
          <w:spacing w:val="-11"/>
        </w:rPr>
        <w:t> </w:t>
      </w:r>
      <w:r>
        <w:rPr>
          <w:rFonts w:ascii="Cambria" w:hAnsi="Cambria"/>
        </w:rPr>
        <w:t>interpretations</w:t>
      </w:r>
      <w:r>
        <w:rPr>
          <w:rFonts w:ascii="Cambria" w:hAnsi="Cambria"/>
          <w:spacing w:val="-11"/>
        </w:rPr>
        <w:t> </w:t>
      </w:r>
      <w:r>
        <w:rPr>
          <w:rFonts w:ascii="Cambria" w:hAnsi="Cambria"/>
        </w:rPr>
        <w:t>of</w:t>
      </w:r>
      <w:r>
        <w:rPr>
          <w:rFonts w:ascii="Cambria" w:hAnsi="Cambria"/>
          <w:spacing w:val="-11"/>
        </w:rPr>
        <w:t> </w:t>
      </w:r>
      <w:r>
        <w:rPr>
          <w:rFonts w:ascii="Cambria" w:hAnsi="Cambria"/>
        </w:rPr>
        <w:t>Shakespeare’s</w:t>
      </w:r>
      <w:r>
        <w:rPr>
          <w:rFonts w:ascii="Cambria" w:hAnsi="Cambria"/>
          <w:spacing w:val="-11"/>
        </w:rPr>
        <w:t> </w:t>
      </w:r>
      <w:r>
        <w:rPr>
          <w:rFonts w:ascii="Cambria" w:hAnsi="Cambria"/>
        </w:rPr>
        <w:t>plays</w:t>
      </w:r>
      <w:r>
        <w:rPr>
          <w:rFonts w:ascii="Cambria" w:hAnsi="Cambria"/>
          <w:spacing w:val="-11"/>
        </w:rPr>
        <w:t> </w:t>
      </w:r>
      <w:r>
        <w:rPr>
          <w:rFonts w:ascii="Cambria" w:hAnsi="Cambria"/>
        </w:rPr>
        <w:t>and characters. A significant strength of the volume lies in its critical engagement with women’s voices in Shakespearean drama and the </w:t>
      </w:r>
      <w:r>
        <w:rPr>
          <w:rFonts w:ascii="Cambria" w:hAnsi="Cambria"/>
          <w:spacing w:val="-6"/>
        </w:rPr>
        <w:t>renewed</w:t>
      </w:r>
      <w:r>
        <w:rPr>
          <w:rFonts w:ascii="Cambria" w:hAnsi="Cambria"/>
        </w:rPr>
        <w:t> </w:t>
      </w:r>
      <w:r>
        <w:rPr>
          <w:rFonts w:ascii="Cambria" w:hAnsi="Cambria"/>
          <w:spacing w:val="-6"/>
        </w:rPr>
        <w:t>examination</w:t>
      </w:r>
      <w:r>
        <w:rPr>
          <w:rFonts w:ascii="Cambria" w:hAnsi="Cambria"/>
          <w:spacing w:val="-1"/>
        </w:rPr>
        <w:t> </w:t>
      </w:r>
      <w:r>
        <w:rPr>
          <w:rFonts w:ascii="Cambria" w:hAnsi="Cambria"/>
          <w:spacing w:val="-6"/>
        </w:rPr>
        <w:t>of</w:t>
      </w:r>
      <w:r>
        <w:rPr>
          <w:rFonts w:ascii="Cambria" w:hAnsi="Cambria"/>
        </w:rPr>
        <w:t> </w:t>
      </w:r>
      <w:r>
        <w:rPr>
          <w:rFonts w:ascii="Cambria" w:hAnsi="Cambria"/>
          <w:spacing w:val="-6"/>
        </w:rPr>
        <w:t>female</w:t>
      </w:r>
      <w:r>
        <w:rPr>
          <w:rFonts w:ascii="Cambria" w:hAnsi="Cambria"/>
        </w:rPr>
        <w:t> </w:t>
      </w:r>
      <w:r>
        <w:rPr>
          <w:rFonts w:ascii="Cambria" w:hAnsi="Cambria"/>
          <w:spacing w:val="-6"/>
        </w:rPr>
        <w:t>agency</w:t>
      </w:r>
      <w:r>
        <w:rPr>
          <w:rFonts w:ascii="Cambria" w:hAnsi="Cambria"/>
          <w:spacing w:val="-1"/>
        </w:rPr>
        <w:t> </w:t>
      </w:r>
      <w:r>
        <w:rPr>
          <w:rFonts w:ascii="Cambria" w:hAnsi="Cambria"/>
          <w:spacing w:val="-6"/>
        </w:rPr>
        <w:t>through</w:t>
      </w:r>
      <w:r>
        <w:rPr>
          <w:rFonts w:ascii="Cambria" w:hAnsi="Cambria"/>
          <w:spacing w:val="-1"/>
        </w:rPr>
        <w:t> </w:t>
      </w:r>
      <w:r>
        <w:rPr>
          <w:rFonts w:ascii="Cambria" w:hAnsi="Cambria"/>
          <w:spacing w:val="-6"/>
        </w:rPr>
        <w:t>feminist,</w:t>
      </w:r>
      <w:r>
        <w:rPr>
          <w:rFonts w:ascii="Cambria" w:hAnsi="Cambria"/>
        </w:rPr>
        <w:t> </w:t>
      </w:r>
      <w:r>
        <w:rPr>
          <w:rFonts w:ascii="Cambria" w:hAnsi="Cambria"/>
          <w:spacing w:val="-6"/>
        </w:rPr>
        <w:t>psychological,</w:t>
      </w:r>
      <w:r>
        <w:rPr>
          <w:rFonts w:ascii="Cambria" w:hAnsi="Cambria"/>
        </w:rPr>
        <w:t> </w:t>
      </w:r>
      <w:r>
        <w:rPr>
          <w:rFonts w:ascii="Cambria" w:hAnsi="Cambria"/>
          <w:spacing w:val="-4"/>
        </w:rPr>
        <w:t>ethical,</w:t>
      </w:r>
      <w:r>
        <w:rPr>
          <w:rFonts w:ascii="Cambria" w:hAnsi="Cambria"/>
          <w:spacing w:val="-4"/>
        </w:rPr>
        <w:t> eco-feminist,</w:t>
      </w:r>
      <w:r>
        <w:rPr>
          <w:rFonts w:ascii="Cambria" w:hAnsi="Cambria"/>
          <w:spacing w:val="-4"/>
        </w:rPr>
        <w:t> and</w:t>
      </w:r>
      <w:r>
        <w:rPr>
          <w:rFonts w:ascii="Cambria" w:hAnsi="Cambria"/>
          <w:spacing w:val="-4"/>
        </w:rPr>
        <w:t> socio-political</w:t>
      </w:r>
      <w:r>
        <w:rPr>
          <w:rFonts w:ascii="Cambria" w:hAnsi="Cambria"/>
          <w:spacing w:val="-4"/>
        </w:rPr>
        <w:t> frameworks.</w:t>
      </w:r>
      <w:r>
        <w:rPr>
          <w:rFonts w:ascii="Cambria" w:hAnsi="Cambria"/>
          <w:spacing w:val="-4"/>
        </w:rPr>
        <w:t> The</w:t>
      </w:r>
      <w:r>
        <w:rPr>
          <w:rFonts w:ascii="Cambria" w:hAnsi="Cambria"/>
          <w:spacing w:val="-4"/>
        </w:rPr>
        <w:t> contributors</w:t>
      </w:r>
      <w:r>
        <w:rPr>
          <w:rFonts w:ascii="Cambria" w:hAnsi="Cambria"/>
        </w:rPr>
        <w:t> </w:t>
      </w:r>
      <w:r>
        <w:rPr>
          <w:rFonts w:ascii="Cambria" w:hAnsi="Cambria"/>
          <w:w w:val="90"/>
        </w:rPr>
        <w:t>explore the silences, sufferings, resistance, and resilience of Shakespeare’s</w:t>
      </w:r>
      <w:r>
        <w:rPr>
          <w:rFonts w:ascii="Cambria" w:hAnsi="Cambria"/>
        </w:rPr>
        <w:t> </w:t>
      </w:r>
      <w:r>
        <w:rPr>
          <w:rFonts w:ascii="Cambria" w:hAnsi="Cambria"/>
          <w:w w:val="90"/>
        </w:rPr>
        <w:t>women,</w:t>
      </w:r>
      <w:r>
        <w:rPr>
          <w:rFonts w:ascii="Cambria" w:hAnsi="Cambria"/>
          <w:spacing w:val="-1"/>
          <w:w w:val="90"/>
        </w:rPr>
        <w:t> </w:t>
      </w:r>
      <w:r>
        <w:rPr>
          <w:rFonts w:ascii="Cambria" w:hAnsi="Cambria"/>
          <w:w w:val="90"/>
        </w:rPr>
        <w:t>connecting Elizabethan</w:t>
      </w:r>
      <w:r>
        <w:rPr>
          <w:rFonts w:ascii="Cambria" w:hAnsi="Cambria"/>
          <w:spacing w:val="-3"/>
          <w:w w:val="90"/>
        </w:rPr>
        <w:t> </w:t>
      </w:r>
      <w:r>
        <w:rPr>
          <w:rFonts w:ascii="Cambria" w:hAnsi="Cambria"/>
          <w:w w:val="90"/>
        </w:rPr>
        <w:t>contexts with contemporary</w:t>
      </w:r>
      <w:r>
        <w:rPr>
          <w:rFonts w:ascii="Cambria" w:hAnsi="Cambria"/>
          <w:spacing w:val="-3"/>
          <w:w w:val="90"/>
        </w:rPr>
        <w:t> </w:t>
      </w:r>
      <w:r>
        <w:rPr>
          <w:rFonts w:ascii="Cambria" w:hAnsi="Cambria"/>
          <w:w w:val="90"/>
        </w:rPr>
        <w:t>realities such</w:t>
      </w:r>
      <w:r>
        <w:rPr>
          <w:rFonts w:ascii="Cambria" w:hAnsi="Cambria"/>
        </w:rPr>
        <w:t> </w:t>
      </w:r>
      <w:r>
        <w:rPr>
          <w:rFonts w:ascii="Cambria" w:hAnsi="Cambria"/>
          <w:spacing w:val="-6"/>
        </w:rPr>
        <w:t>as</w:t>
      </w:r>
      <w:r>
        <w:rPr>
          <w:rFonts w:ascii="Cambria" w:hAnsi="Cambria"/>
          <w:spacing w:val="-4"/>
        </w:rPr>
        <w:t> </w:t>
      </w:r>
      <w:r>
        <w:rPr>
          <w:rFonts w:ascii="Cambria" w:hAnsi="Cambria"/>
          <w:spacing w:val="-6"/>
        </w:rPr>
        <w:t>the</w:t>
      </w:r>
      <w:r>
        <w:rPr>
          <w:rFonts w:ascii="Cambria" w:hAnsi="Cambria"/>
          <w:spacing w:val="-4"/>
        </w:rPr>
        <w:t> </w:t>
      </w:r>
      <w:r>
        <w:rPr>
          <w:rFonts w:ascii="Cambria" w:hAnsi="Cambria"/>
          <w:spacing w:val="-6"/>
        </w:rPr>
        <w:t>#MeToo</w:t>
      </w:r>
      <w:r>
        <w:rPr>
          <w:rFonts w:ascii="Cambria" w:hAnsi="Cambria"/>
          <w:spacing w:val="-1"/>
        </w:rPr>
        <w:t> </w:t>
      </w:r>
      <w:r>
        <w:rPr>
          <w:rFonts w:ascii="Cambria" w:hAnsi="Cambria"/>
          <w:spacing w:val="-6"/>
        </w:rPr>
        <w:t>movement,</w:t>
      </w:r>
      <w:r>
        <w:rPr>
          <w:rFonts w:ascii="Cambria" w:hAnsi="Cambria"/>
          <w:spacing w:val="-2"/>
        </w:rPr>
        <w:t> </w:t>
      </w:r>
      <w:r>
        <w:rPr>
          <w:rFonts w:ascii="Cambria" w:hAnsi="Cambria"/>
          <w:spacing w:val="-6"/>
        </w:rPr>
        <w:t>gendered</w:t>
      </w:r>
      <w:r>
        <w:rPr>
          <w:rFonts w:ascii="Cambria" w:hAnsi="Cambria"/>
          <w:spacing w:val="-1"/>
        </w:rPr>
        <w:t> </w:t>
      </w:r>
      <w:r>
        <w:rPr>
          <w:rFonts w:ascii="Cambria" w:hAnsi="Cambria"/>
          <w:spacing w:val="-6"/>
        </w:rPr>
        <w:t>violence,</w:t>
      </w:r>
      <w:r>
        <w:rPr>
          <w:rFonts w:ascii="Cambria" w:hAnsi="Cambria"/>
          <w:spacing w:val="-4"/>
        </w:rPr>
        <w:t> </w:t>
      </w:r>
      <w:r>
        <w:rPr>
          <w:rFonts w:ascii="Cambria" w:hAnsi="Cambria"/>
          <w:spacing w:val="-6"/>
        </w:rPr>
        <w:t>intersectionality,</w:t>
      </w:r>
      <w:r>
        <w:rPr>
          <w:rFonts w:ascii="Cambria" w:hAnsi="Cambria"/>
          <w:spacing w:val="-2"/>
        </w:rPr>
        <w:t> </w:t>
      </w:r>
      <w:r>
        <w:rPr>
          <w:rFonts w:ascii="Cambria" w:hAnsi="Cambria"/>
          <w:spacing w:val="-6"/>
        </w:rPr>
        <w:t>trauma,</w:t>
      </w:r>
      <w:r>
        <w:rPr>
          <w:rFonts w:ascii="Cambria" w:hAnsi="Cambria"/>
        </w:rPr>
        <w:t> and marginalisation.</w:t>
      </w:r>
    </w:p>
    <w:p>
      <w:pPr>
        <w:pStyle w:val="BodyText"/>
        <w:spacing w:line="244" w:lineRule="auto" w:before="66"/>
        <w:ind w:right="1435" w:firstLine="432"/>
        <w:jc w:val="both"/>
        <w:rPr>
          <w:rFonts w:ascii="Cambria" w:hAnsi="Cambria"/>
        </w:rPr>
      </w:pPr>
      <w:r>
        <w:rPr>
          <w:rFonts w:ascii="Cambria" w:hAnsi="Cambria"/>
        </w:rPr>
        <w:t>This collection also reflects the dynamic nature of literary </w:t>
      </w:r>
      <w:r>
        <w:rPr>
          <w:rFonts w:ascii="Cambria" w:hAnsi="Cambria"/>
          <w:w w:val="90"/>
        </w:rPr>
        <w:t>scholarship. The contributors, coming from varied academic backgrounds,</w:t>
      </w:r>
      <w:r>
        <w:rPr>
          <w:rFonts w:ascii="Cambria" w:hAnsi="Cambria"/>
        </w:rPr>
        <w:t> </w:t>
      </w:r>
      <w:r>
        <w:rPr>
          <w:rFonts w:ascii="Cambria" w:hAnsi="Cambria"/>
          <w:spacing w:val="-2"/>
        </w:rPr>
        <w:t>have</w:t>
      </w:r>
      <w:r>
        <w:rPr>
          <w:rFonts w:ascii="Cambria" w:hAnsi="Cambria"/>
          <w:spacing w:val="-6"/>
        </w:rPr>
        <w:t> </w:t>
      </w:r>
      <w:r>
        <w:rPr>
          <w:rFonts w:ascii="Cambria" w:hAnsi="Cambria"/>
          <w:spacing w:val="-2"/>
        </w:rPr>
        <w:t>approached</w:t>
      </w:r>
      <w:r>
        <w:rPr>
          <w:rFonts w:ascii="Cambria" w:hAnsi="Cambria"/>
          <w:spacing w:val="-5"/>
        </w:rPr>
        <w:t> </w:t>
      </w:r>
      <w:r>
        <w:rPr>
          <w:rFonts w:ascii="Cambria" w:hAnsi="Cambria"/>
          <w:spacing w:val="-2"/>
        </w:rPr>
        <w:t>Shakespeare</w:t>
      </w:r>
      <w:r>
        <w:rPr>
          <w:rFonts w:ascii="Cambria" w:hAnsi="Cambria"/>
          <w:spacing w:val="-5"/>
        </w:rPr>
        <w:t> </w:t>
      </w:r>
      <w:r>
        <w:rPr>
          <w:rFonts w:ascii="Cambria" w:hAnsi="Cambria"/>
          <w:spacing w:val="-2"/>
        </w:rPr>
        <w:t>not</w:t>
      </w:r>
      <w:r>
        <w:rPr>
          <w:rFonts w:ascii="Cambria" w:hAnsi="Cambria"/>
          <w:spacing w:val="-6"/>
        </w:rPr>
        <w:t> </w:t>
      </w:r>
      <w:r>
        <w:rPr>
          <w:rFonts w:ascii="Cambria" w:hAnsi="Cambria"/>
          <w:spacing w:val="-2"/>
        </w:rPr>
        <w:t>as</w:t>
      </w:r>
      <w:r>
        <w:rPr>
          <w:rFonts w:ascii="Cambria" w:hAnsi="Cambria"/>
          <w:spacing w:val="-6"/>
        </w:rPr>
        <w:t> </w:t>
      </w:r>
      <w:r>
        <w:rPr>
          <w:rFonts w:ascii="Cambria" w:hAnsi="Cambria"/>
          <w:spacing w:val="-2"/>
        </w:rPr>
        <w:t>a</w:t>
      </w:r>
      <w:r>
        <w:rPr>
          <w:rFonts w:ascii="Cambria" w:hAnsi="Cambria"/>
          <w:spacing w:val="-4"/>
        </w:rPr>
        <w:t> </w:t>
      </w:r>
      <w:r>
        <w:rPr>
          <w:rFonts w:ascii="Cambria" w:hAnsi="Cambria"/>
          <w:spacing w:val="-2"/>
        </w:rPr>
        <w:t>distant</w:t>
      </w:r>
      <w:r>
        <w:rPr>
          <w:rFonts w:ascii="Cambria" w:hAnsi="Cambria"/>
          <w:spacing w:val="-6"/>
        </w:rPr>
        <w:t> </w:t>
      </w:r>
      <w:r>
        <w:rPr>
          <w:rFonts w:ascii="Cambria" w:hAnsi="Cambria"/>
          <w:spacing w:val="-2"/>
        </w:rPr>
        <w:t>canonical</w:t>
      </w:r>
      <w:r>
        <w:rPr>
          <w:rFonts w:ascii="Cambria" w:hAnsi="Cambria"/>
          <w:spacing w:val="-6"/>
        </w:rPr>
        <w:t> </w:t>
      </w:r>
      <w:r>
        <w:rPr>
          <w:rFonts w:ascii="Cambria" w:hAnsi="Cambria"/>
          <w:spacing w:val="-2"/>
        </w:rPr>
        <w:t>figure</w:t>
      </w:r>
      <w:r>
        <w:rPr>
          <w:rFonts w:ascii="Cambria" w:hAnsi="Cambria"/>
          <w:spacing w:val="-5"/>
        </w:rPr>
        <w:t> </w:t>
      </w:r>
      <w:r>
        <w:rPr>
          <w:rFonts w:ascii="Cambria" w:hAnsi="Cambria"/>
          <w:spacing w:val="-2"/>
        </w:rPr>
        <w:t>but</w:t>
      </w:r>
      <w:r>
        <w:rPr>
          <w:rFonts w:ascii="Cambria" w:hAnsi="Cambria"/>
          <w:spacing w:val="-6"/>
        </w:rPr>
        <w:t> </w:t>
      </w:r>
      <w:r>
        <w:rPr>
          <w:rFonts w:ascii="Cambria" w:hAnsi="Cambria"/>
          <w:spacing w:val="-2"/>
        </w:rPr>
        <w:t>as </w:t>
      </w:r>
      <w:r>
        <w:rPr>
          <w:rFonts w:ascii="Cambria" w:hAnsi="Cambria"/>
          <w:spacing w:val="-6"/>
        </w:rPr>
        <w:t>a</w:t>
      </w:r>
      <w:r>
        <w:rPr>
          <w:rFonts w:ascii="Cambria" w:hAnsi="Cambria"/>
        </w:rPr>
        <w:t> </w:t>
      </w:r>
      <w:r>
        <w:rPr>
          <w:rFonts w:ascii="Cambria" w:hAnsi="Cambria"/>
          <w:spacing w:val="-6"/>
        </w:rPr>
        <w:t>living</w:t>
      </w:r>
      <w:r>
        <w:rPr>
          <w:rFonts w:ascii="Cambria" w:hAnsi="Cambria"/>
        </w:rPr>
        <w:t> </w:t>
      </w:r>
      <w:r>
        <w:rPr>
          <w:rFonts w:ascii="Cambria" w:hAnsi="Cambria"/>
          <w:spacing w:val="-6"/>
        </w:rPr>
        <w:t>cultural</w:t>
      </w:r>
      <w:r>
        <w:rPr>
          <w:rFonts w:ascii="Cambria" w:hAnsi="Cambria"/>
        </w:rPr>
        <w:t> </w:t>
      </w:r>
      <w:r>
        <w:rPr>
          <w:rFonts w:ascii="Cambria" w:hAnsi="Cambria"/>
          <w:spacing w:val="-6"/>
        </w:rPr>
        <w:t>force</w:t>
      </w:r>
      <w:r>
        <w:rPr>
          <w:rFonts w:ascii="Cambria" w:hAnsi="Cambria"/>
        </w:rPr>
        <w:t> </w:t>
      </w:r>
      <w:r>
        <w:rPr>
          <w:rFonts w:ascii="Cambria" w:hAnsi="Cambria"/>
          <w:spacing w:val="-6"/>
        </w:rPr>
        <w:t>whose</w:t>
      </w:r>
      <w:r>
        <w:rPr>
          <w:rFonts w:ascii="Cambria" w:hAnsi="Cambria"/>
        </w:rPr>
        <w:t> </w:t>
      </w:r>
      <w:r>
        <w:rPr>
          <w:rFonts w:ascii="Cambria" w:hAnsi="Cambria"/>
          <w:spacing w:val="-6"/>
        </w:rPr>
        <w:t>works</w:t>
      </w:r>
      <w:r>
        <w:rPr>
          <w:rFonts w:ascii="Cambria" w:hAnsi="Cambria"/>
        </w:rPr>
        <w:t> </w:t>
      </w:r>
      <w:r>
        <w:rPr>
          <w:rFonts w:ascii="Cambria" w:hAnsi="Cambria"/>
          <w:spacing w:val="-6"/>
        </w:rPr>
        <w:t>continue</w:t>
      </w:r>
      <w:r>
        <w:rPr>
          <w:rFonts w:ascii="Cambria" w:hAnsi="Cambria"/>
        </w:rPr>
        <w:t> </w:t>
      </w:r>
      <w:r>
        <w:rPr>
          <w:rFonts w:ascii="Cambria" w:hAnsi="Cambria"/>
          <w:spacing w:val="-6"/>
        </w:rPr>
        <w:t>to</w:t>
      </w:r>
      <w:r>
        <w:rPr>
          <w:rFonts w:ascii="Cambria" w:hAnsi="Cambria"/>
        </w:rPr>
        <w:t> </w:t>
      </w:r>
      <w:r>
        <w:rPr>
          <w:rFonts w:ascii="Cambria" w:hAnsi="Cambria"/>
          <w:spacing w:val="-6"/>
        </w:rPr>
        <w:t>inspire</w:t>
      </w:r>
      <w:r>
        <w:rPr>
          <w:rFonts w:ascii="Cambria" w:hAnsi="Cambria"/>
        </w:rPr>
        <w:t> </w:t>
      </w:r>
      <w:r>
        <w:rPr>
          <w:rFonts w:ascii="Cambria" w:hAnsi="Cambria"/>
          <w:spacing w:val="-6"/>
        </w:rPr>
        <w:t>reinterpretation</w:t>
      </w:r>
      <w:r>
        <w:rPr>
          <w:rFonts w:ascii="Cambria" w:hAnsi="Cambria"/>
          <w:spacing w:val="-2"/>
        </w:rPr>
        <w:t> and</w:t>
      </w:r>
      <w:r>
        <w:rPr>
          <w:rFonts w:ascii="Cambria" w:hAnsi="Cambria"/>
          <w:spacing w:val="-10"/>
        </w:rPr>
        <w:t> </w:t>
      </w:r>
      <w:r>
        <w:rPr>
          <w:rFonts w:ascii="Cambria" w:hAnsi="Cambria"/>
          <w:spacing w:val="-2"/>
        </w:rPr>
        <w:t>debate.</w:t>
      </w:r>
      <w:r>
        <w:rPr>
          <w:rFonts w:ascii="Cambria" w:hAnsi="Cambria"/>
          <w:spacing w:val="-9"/>
        </w:rPr>
        <w:t> </w:t>
      </w:r>
      <w:r>
        <w:rPr>
          <w:rFonts w:ascii="Cambria" w:hAnsi="Cambria"/>
          <w:spacing w:val="-2"/>
        </w:rPr>
        <w:t>The</w:t>
      </w:r>
      <w:r>
        <w:rPr>
          <w:rFonts w:ascii="Cambria" w:hAnsi="Cambria"/>
          <w:spacing w:val="-9"/>
        </w:rPr>
        <w:t> </w:t>
      </w:r>
      <w:r>
        <w:rPr>
          <w:rFonts w:ascii="Cambria" w:hAnsi="Cambria"/>
          <w:spacing w:val="-2"/>
        </w:rPr>
        <w:t>essays</w:t>
      </w:r>
      <w:r>
        <w:rPr>
          <w:rFonts w:ascii="Cambria" w:hAnsi="Cambria"/>
          <w:spacing w:val="-9"/>
        </w:rPr>
        <w:t> </w:t>
      </w:r>
      <w:r>
        <w:rPr>
          <w:rFonts w:ascii="Cambria" w:hAnsi="Cambria"/>
          <w:spacing w:val="-2"/>
        </w:rPr>
        <w:t>move</w:t>
      </w:r>
      <w:r>
        <w:rPr>
          <w:rFonts w:ascii="Cambria" w:hAnsi="Cambria"/>
          <w:spacing w:val="-9"/>
        </w:rPr>
        <w:t> </w:t>
      </w:r>
      <w:r>
        <w:rPr>
          <w:rFonts w:ascii="Cambria" w:hAnsi="Cambria"/>
          <w:spacing w:val="-2"/>
        </w:rPr>
        <w:t>beyond</w:t>
      </w:r>
      <w:r>
        <w:rPr>
          <w:rFonts w:ascii="Cambria" w:hAnsi="Cambria"/>
          <w:spacing w:val="-9"/>
        </w:rPr>
        <w:t> </w:t>
      </w:r>
      <w:r>
        <w:rPr>
          <w:rFonts w:ascii="Cambria" w:hAnsi="Cambria"/>
          <w:spacing w:val="-2"/>
        </w:rPr>
        <w:t>conventional</w:t>
      </w:r>
      <w:r>
        <w:rPr>
          <w:rFonts w:ascii="Cambria" w:hAnsi="Cambria"/>
          <w:spacing w:val="-9"/>
        </w:rPr>
        <w:t> </w:t>
      </w:r>
      <w:r>
        <w:rPr>
          <w:rFonts w:ascii="Cambria" w:hAnsi="Cambria"/>
          <w:spacing w:val="-2"/>
        </w:rPr>
        <w:t>readings</w:t>
      </w:r>
      <w:r>
        <w:rPr>
          <w:rFonts w:ascii="Cambria" w:hAnsi="Cambria"/>
          <w:spacing w:val="-9"/>
        </w:rPr>
        <w:t> </w:t>
      </w:r>
      <w:r>
        <w:rPr>
          <w:rFonts w:ascii="Cambria" w:hAnsi="Cambria"/>
          <w:spacing w:val="-2"/>
        </w:rPr>
        <w:t>and</w:t>
      </w:r>
      <w:r>
        <w:rPr>
          <w:rFonts w:ascii="Cambria" w:hAnsi="Cambria"/>
          <w:spacing w:val="-9"/>
        </w:rPr>
        <w:t> </w:t>
      </w:r>
      <w:r>
        <w:rPr>
          <w:rFonts w:ascii="Cambria" w:hAnsi="Cambria"/>
          <w:spacing w:val="-2"/>
        </w:rPr>
        <w:t>open </w:t>
      </w:r>
      <w:r>
        <w:rPr>
          <w:rFonts w:ascii="Cambria" w:hAnsi="Cambria"/>
        </w:rPr>
        <w:t>new avenues for understanding the complexities of language, performance,</w:t>
      </w:r>
      <w:r>
        <w:rPr>
          <w:rFonts w:ascii="Cambria" w:hAnsi="Cambria"/>
          <w:spacing w:val="-10"/>
        </w:rPr>
        <w:t> </w:t>
      </w:r>
      <w:r>
        <w:rPr>
          <w:rFonts w:ascii="Cambria" w:hAnsi="Cambria"/>
        </w:rPr>
        <w:t>patriarchy,</w:t>
      </w:r>
      <w:r>
        <w:rPr>
          <w:rFonts w:ascii="Cambria" w:hAnsi="Cambria"/>
          <w:spacing w:val="-10"/>
        </w:rPr>
        <w:t> </w:t>
      </w:r>
      <w:r>
        <w:rPr>
          <w:rFonts w:ascii="Cambria" w:hAnsi="Cambria"/>
        </w:rPr>
        <w:t>voice,</w:t>
      </w:r>
      <w:r>
        <w:rPr>
          <w:rFonts w:ascii="Cambria" w:hAnsi="Cambria"/>
          <w:spacing w:val="-10"/>
        </w:rPr>
        <w:t> </w:t>
      </w:r>
      <w:r>
        <w:rPr>
          <w:rFonts w:ascii="Cambria" w:hAnsi="Cambria"/>
        </w:rPr>
        <w:t>ethics,</w:t>
      </w:r>
      <w:r>
        <w:rPr>
          <w:rFonts w:ascii="Cambria" w:hAnsi="Cambria"/>
          <w:spacing w:val="-8"/>
        </w:rPr>
        <w:t> </w:t>
      </w:r>
      <w:r>
        <w:rPr>
          <w:rFonts w:ascii="Cambria" w:hAnsi="Cambria"/>
        </w:rPr>
        <w:t>and</w:t>
      </w:r>
      <w:r>
        <w:rPr>
          <w:rFonts w:ascii="Cambria" w:hAnsi="Cambria"/>
          <w:spacing w:val="-10"/>
        </w:rPr>
        <w:t> </w:t>
      </w:r>
      <w:r>
        <w:rPr>
          <w:rFonts w:ascii="Cambria" w:hAnsi="Cambria"/>
        </w:rPr>
        <w:t>identity</w:t>
      </w:r>
      <w:r>
        <w:rPr>
          <w:rFonts w:ascii="Cambria" w:hAnsi="Cambria"/>
          <w:spacing w:val="-11"/>
        </w:rPr>
        <w:t> </w:t>
      </w:r>
      <w:r>
        <w:rPr>
          <w:rFonts w:ascii="Cambria" w:hAnsi="Cambria"/>
        </w:rPr>
        <w:t>in</w:t>
      </w:r>
      <w:r>
        <w:rPr>
          <w:rFonts w:ascii="Cambria" w:hAnsi="Cambria"/>
          <w:spacing w:val="-10"/>
        </w:rPr>
        <w:t> </w:t>
      </w:r>
      <w:r>
        <w:rPr>
          <w:rFonts w:ascii="Cambria" w:hAnsi="Cambria"/>
        </w:rPr>
        <w:t>Shakespeare’s </w:t>
      </w:r>
      <w:r>
        <w:rPr>
          <w:rFonts w:ascii="Cambria" w:hAnsi="Cambria"/>
          <w:spacing w:val="-2"/>
        </w:rPr>
        <w:t>works.</w:t>
      </w:r>
    </w:p>
    <w:p>
      <w:pPr>
        <w:pStyle w:val="BodyText"/>
        <w:spacing w:line="244" w:lineRule="auto" w:before="65"/>
        <w:ind w:right="1437" w:firstLine="432"/>
        <w:jc w:val="both"/>
        <w:rPr>
          <w:rFonts w:ascii="Cambria"/>
        </w:rPr>
      </w:pPr>
      <w:r>
        <w:rPr>
          <w:rFonts w:ascii="Cambria"/>
          <w:w w:val="90"/>
        </w:rPr>
        <w:t>What makes this volume particularly valuable is its interdisciplinary</w:t>
      </w:r>
      <w:r>
        <w:rPr>
          <w:rFonts w:ascii="Cambria"/>
        </w:rPr>
        <w:t> spirit</w:t>
      </w:r>
      <w:r>
        <w:rPr>
          <w:rFonts w:ascii="Cambria"/>
          <w:spacing w:val="-2"/>
        </w:rPr>
        <w:t> </w:t>
      </w:r>
      <w:r>
        <w:rPr>
          <w:rFonts w:ascii="Cambria"/>
        </w:rPr>
        <w:t>and</w:t>
      </w:r>
      <w:r>
        <w:rPr>
          <w:rFonts w:ascii="Cambria"/>
          <w:spacing w:val="-1"/>
        </w:rPr>
        <w:t> </w:t>
      </w:r>
      <w:r>
        <w:rPr>
          <w:rFonts w:ascii="Cambria"/>
        </w:rPr>
        <w:t>critical</w:t>
      </w:r>
      <w:r>
        <w:rPr>
          <w:rFonts w:ascii="Cambria"/>
          <w:spacing w:val="-2"/>
        </w:rPr>
        <w:t> </w:t>
      </w:r>
      <w:r>
        <w:rPr>
          <w:rFonts w:ascii="Cambria"/>
        </w:rPr>
        <w:t>relevance.</w:t>
      </w:r>
      <w:r>
        <w:rPr>
          <w:rFonts w:ascii="Cambria"/>
          <w:spacing w:val="-2"/>
        </w:rPr>
        <w:t> </w:t>
      </w:r>
      <w:r>
        <w:rPr>
          <w:rFonts w:ascii="Cambria"/>
        </w:rPr>
        <w:t>It successfully</w:t>
      </w:r>
      <w:r>
        <w:rPr>
          <w:rFonts w:ascii="Cambria"/>
          <w:spacing w:val="-3"/>
        </w:rPr>
        <w:t> </w:t>
      </w:r>
      <w:r>
        <w:rPr>
          <w:rFonts w:ascii="Cambria"/>
        </w:rPr>
        <w:t>bridges</w:t>
      </w:r>
      <w:r>
        <w:rPr>
          <w:rFonts w:ascii="Cambria"/>
          <w:spacing w:val="-2"/>
        </w:rPr>
        <w:t> </w:t>
      </w:r>
      <w:r>
        <w:rPr>
          <w:rFonts w:ascii="Cambria"/>
        </w:rPr>
        <w:t>classical</w:t>
      </w:r>
      <w:r>
        <w:rPr>
          <w:rFonts w:ascii="Cambria"/>
          <w:spacing w:val="-2"/>
        </w:rPr>
        <w:t> </w:t>
      </w:r>
      <w:r>
        <w:rPr>
          <w:rFonts w:ascii="Cambria"/>
        </w:rPr>
        <w:t>literary </w:t>
      </w:r>
      <w:r>
        <w:rPr>
          <w:rFonts w:ascii="Cambria"/>
          <w:spacing w:val="-2"/>
        </w:rPr>
        <w:t>studies</w:t>
      </w:r>
      <w:r>
        <w:rPr>
          <w:rFonts w:ascii="Cambria"/>
          <w:spacing w:val="-3"/>
        </w:rPr>
        <w:t> </w:t>
      </w:r>
      <w:r>
        <w:rPr>
          <w:rFonts w:ascii="Cambria"/>
          <w:spacing w:val="-2"/>
        </w:rPr>
        <w:t>with</w:t>
      </w:r>
      <w:r>
        <w:rPr>
          <w:rFonts w:ascii="Cambria"/>
          <w:spacing w:val="-3"/>
        </w:rPr>
        <w:t> </w:t>
      </w:r>
      <w:r>
        <w:rPr>
          <w:rFonts w:ascii="Cambria"/>
          <w:spacing w:val="-2"/>
        </w:rPr>
        <w:t>present-day</w:t>
      </w:r>
      <w:r>
        <w:rPr>
          <w:rFonts w:ascii="Cambria"/>
          <w:spacing w:val="-5"/>
        </w:rPr>
        <w:t> </w:t>
      </w:r>
      <w:r>
        <w:rPr>
          <w:rFonts w:ascii="Cambria"/>
          <w:spacing w:val="-2"/>
        </w:rPr>
        <w:t>concerns,</w:t>
      </w:r>
      <w:r>
        <w:rPr>
          <w:rFonts w:ascii="Cambria"/>
          <w:spacing w:val="-3"/>
        </w:rPr>
        <w:t> </w:t>
      </w:r>
      <w:r>
        <w:rPr>
          <w:rFonts w:ascii="Cambria"/>
          <w:spacing w:val="-2"/>
        </w:rPr>
        <w:t>enabling</w:t>
      </w:r>
      <w:r>
        <w:rPr>
          <w:rFonts w:ascii="Cambria"/>
          <w:spacing w:val="-2"/>
        </w:rPr>
        <w:t> readers</w:t>
      </w:r>
      <w:r>
        <w:rPr>
          <w:rFonts w:ascii="Cambria"/>
          <w:spacing w:val="-4"/>
        </w:rPr>
        <w:t> </w:t>
      </w:r>
      <w:r>
        <w:rPr>
          <w:rFonts w:ascii="Cambria"/>
          <w:spacing w:val="-2"/>
        </w:rPr>
        <w:t>to</w:t>
      </w:r>
      <w:r>
        <w:rPr>
          <w:rFonts w:ascii="Cambria"/>
          <w:spacing w:val="-2"/>
        </w:rPr>
        <w:t> recognise</w:t>
      </w:r>
      <w:r>
        <w:rPr>
          <w:rFonts w:ascii="Cambria"/>
          <w:spacing w:val="-3"/>
        </w:rPr>
        <w:t> </w:t>
      </w:r>
      <w:r>
        <w:rPr>
          <w:rFonts w:ascii="Cambria"/>
          <w:spacing w:val="-2"/>
        </w:rPr>
        <w:t>the </w:t>
      </w:r>
      <w:r>
        <w:rPr>
          <w:rFonts w:ascii="Cambria"/>
          <w:spacing w:val="-6"/>
        </w:rPr>
        <w:t>continued</w:t>
      </w:r>
      <w:r>
        <w:rPr>
          <w:rFonts w:ascii="Cambria"/>
          <w:spacing w:val="15"/>
        </w:rPr>
        <w:t> </w:t>
      </w:r>
      <w:r>
        <w:rPr>
          <w:rFonts w:ascii="Cambria"/>
          <w:spacing w:val="-6"/>
        </w:rPr>
        <w:t>significance</w:t>
      </w:r>
      <w:r>
        <w:rPr>
          <w:rFonts w:ascii="Cambria"/>
          <w:spacing w:val="11"/>
        </w:rPr>
        <w:t> </w:t>
      </w:r>
      <w:r>
        <w:rPr>
          <w:rFonts w:ascii="Cambria"/>
          <w:spacing w:val="-6"/>
        </w:rPr>
        <w:t>of</w:t>
      </w:r>
      <w:r>
        <w:rPr>
          <w:rFonts w:ascii="Cambria"/>
          <w:spacing w:val="12"/>
        </w:rPr>
        <w:t> </w:t>
      </w:r>
      <w:r>
        <w:rPr>
          <w:rFonts w:ascii="Cambria"/>
          <w:spacing w:val="-6"/>
        </w:rPr>
        <w:t>Shakespeare</w:t>
      </w:r>
      <w:r>
        <w:rPr>
          <w:rFonts w:ascii="Cambria"/>
          <w:spacing w:val="13"/>
        </w:rPr>
        <w:t> </w:t>
      </w:r>
      <w:r>
        <w:rPr>
          <w:rFonts w:ascii="Cambria"/>
          <w:spacing w:val="-6"/>
        </w:rPr>
        <w:t>in</w:t>
      </w:r>
      <w:r>
        <w:rPr>
          <w:rFonts w:ascii="Cambria"/>
          <w:spacing w:val="12"/>
        </w:rPr>
        <w:t> </w:t>
      </w:r>
      <w:r>
        <w:rPr>
          <w:rFonts w:ascii="Cambria"/>
          <w:spacing w:val="-6"/>
        </w:rPr>
        <w:t>contemporary</w:t>
      </w:r>
      <w:r>
        <w:rPr>
          <w:rFonts w:ascii="Cambria"/>
          <w:spacing w:val="9"/>
        </w:rPr>
        <w:t> </w:t>
      </w:r>
      <w:r>
        <w:rPr>
          <w:rFonts w:ascii="Cambria"/>
          <w:spacing w:val="-6"/>
        </w:rPr>
        <w:t>discourse.</w:t>
      </w:r>
      <w:r>
        <w:rPr>
          <w:rFonts w:ascii="Cambria"/>
          <w:spacing w:val="14"/>
        </w:rPr>
        <w:t> </w:t>
      </w:r>
      <w:r>
        <w:rPr>
          <w:rFonts w:ascii="Cambria"/>
          <w:spacing w:val="-6"/>
        </w:rPr>
        <w:t>The</w:t>
      </w:r>
    </w:p>
    <w:p>
      <w:pPr>
        <w:pStyle w:val="BodyText"/>
        <w:spacing w:after="0" w:line="244" w:lineRule="auto"/>
        <w:jc w:val="both"/>
        <w:rPr>
          <w:rFonts w:ascii="Cambria"/>
        </w:rPr>
        <w:sectPr>
          <w:pgSz w:w="12240" w:h="15840"/>
          <w:pgMar w:top="1820" w:bottom="280" w:left="1800" w:right="1800"/>
        </w:sectPr>
      </w:pPr>
    </w:p>
    <w:p>
      <w:pPr>
        <w:pStyle w:val="BodyText"/>
        <w:ind w:left="0"/>
        <w:rPr>
          <w:rFonts w:ascii="Cambria"/>
        </w:rPr>
      </w:pPr>
    </w:p>
    <w:p>
      <w:pPr>
        <w:pStyle w:val="BodyText"/>
        <w:ind w:left="0"/>
        <w:rPr>
          <w:rFonts w:ascii="Cambria"/>
        </w:rPr>
      </w:pPr>
    </w:p>
    <w:p>
      <w:pPr>
        <w:pStyle w:val="BodyText"/>
        <w:ind w:left="0"/>
        <w:rPr>
          <w:rFonts w:ascii="Cambria"/>
        </w:rPr>
      </w:pPr>
    </w:p>
    <w:p>
      <w:pPr>
        <w:pStyle w:val="BodyText"/>
        <w:spacing w:before="113"/>
        <w:ind w:left="0"/>
        <w:rPr>
          <w:rFonts w:ascii="Cambria"/>
        </w:rPr>
      </w:pPr>
    </w:p>
    <w:p>
      <w:pPr>
        <w:spacing w:before="0"/>
        <w:ind w:left="49" w:right="0" w:firstLine="0"/>
        <w:jc w:val="center"/>
        <w:rPr>
          <w:i/>
          <w:sz w:val="20"/>
        </w:rPr>
      </w:pPr>
      <w:r>
        <w:rPr>
          <w:i/>
          <w:spacing w:val="-5"/>
          <w:sz w:val="20"/>
        </w:rPr>
        <w:t>(x)</w:t>
      </w:r>
    </w:p>
    <w:p>
      <w:pPr>
        <w:pStyle w:val="BodyText"/>
        <w:spacing w:line="244" w:lineRule="auto" w:before="220"/>
        <w:ind w:right="1440"/>
        <w:jc w:val="both"/>
        <w:rPr>
          <w:rFonts w:ascii="Cambria"/>
        </w:rPr>
      </w:pPr>
      <w:r>
        <w:rPr>
          <w:rFonts w:ascii="Cambria"/>
          <w:spacing w:val="-4"/>
        </w:rPr>
        <w:t>essays</w:t>
      </w:r>
      <w:r>
        <w:rPr>
          <w:rFonts w:ascii="Cambria"/>
          <w:spacing w:val="-8"/>
        </w:rPr>
        <w:t> </w:t>
      </w:r>
      <w:r>
        <w:rPr>
          <w:rFonts w:ascii="Cambria"/>
          <w:spacing w:val="-4"/>
        </w:rPr>
        <w:t>encourage</w:t>
      </w:r>
      <w:r>
        <w:rPr>
          <w:rFonts w:ascii="Cambria"/>
          <w:spacing w:val="-7"/>
        </w:rPr>
        <w:t> </w:t>
      </w:r>
      <w:r>
        <w:rPr>
          <w:rFonts w:ascii="Cambria"/>
          <w:spacing w:val="-4"/>
        </w:rPr>
        <w:t>readers</w:t>
      </w:r>
      <w:r>
        <w:rPr>
          <w:rFonts w:ascii="Cambria"/>
          <w:spacing w:val="-7"/>
        </w:rPr>
        <w:t> </w:t>
      </w:r>
      <w:r>
        <w:rPr>
          <w:rFonts w:ascii="Cambria"/>
          <w:spacing w:val="-4"/>
        </w:rPr>
        <w:t>to</w:t>
      </w:r>
      <w:r>
        <w:rPr>
          <w:rFonts w:ascii="Cambria"/>
          <w:spacing w:val="-7"/>
        </w:rPr>
        <w:t> </w:t>
      </w:r>
      <w:r>
        <w:rPr>
          <w:rFonts w:ascii="Cambria"/>
          <w:spacing w:val="-4"/>
        </w:rPr>
        <w:t>engage</w:t>
      </w:r>
      <w:r>
        <w:rPr>
          <w:rFonts w:ascii="Cambria"/>
          <w:spacing w:val="-7"/>
        </w:rPr>
        <w:t> </w:t>
      </w:r>
      <w:r>
        <w:rPr>
          <w:rFonts w:ascii="Cambria"/>
          <w:spacing w:val="-4"/>
        </w:rPr>
        <w:t>critically</w:t>
      </w:r>
      <w:r>
        <w:rPr>
          <w:rFonts w:ascii="Cambria"/>
          <w:spacing w:val="-7"/>
        </w:rPr>
        <w:t> </w:t>
      </w:r>
      <w:r>
        <w:rPr>
          <w:rFonts w:ascii="Cambria"/>
          <w:spacing w:val="-4"/>
        </w:rPr>
        <w:t>with</w:t>
      </w:r>
      <w:r>
        <w:rPr>
          <w:rFonts w:ascii="Cambria"/>
          <w:spacing w:val="-7"/>
        </w:rPr>
        <w:t> </w:t>
      </w:r>
      <w:r>
        <w:rPr>
          <w:rFonts w:ascii="Cambria"/>
          <w:spacing w:val="-4"/>
        </w:rPr>
        <w:t>inherited</w:t>
      </w:r>
      <w:r>
        <w:rPr>
          <w:rFonts w:ascii="Cambria"/>
          <w:spacing w:val="-7"/>
        </w:rPr>
        <w:t> </w:t>
      </w:r>
      <w:r>
        <w:rPr>
          <w:rFonts w:ascii="Cambria"/>
          <w:spacing w:val="-4"/>
        </w:rPr>
        <w:t>narratives</w:t>
      </w:r>
      <w:r>
        <w:rPr>
          <w:rFonts w:ascii="Cambria"/>
        </w:rPr>
        <w:t> </w:t>
      </w:r>
      <w:r>
        <w:rPr>
          <w:rFonts w:ascii="Cambria"/>
          <w:spacing w:val="-4"/>
        </w:rPr>
        <w:t>and</w:t>
      </w:r>
      <w:r>
        <w:rPr>
          <w:rFonts w:ascii="Cambria"/>
          <w:spacing w:val="-4"/>
        </w:rPr>
        <w:t> to</w:t>
      </w:r>
      <w:r>
        <w:rPr>
          <w:rFonts w:ascii="Cambria"/>
          <w:spacing w:val="-4"/>
        </w:rPr>
        <w:t> reconsider</w:t>
      </w:r>
      <w:r>
        <w:rPr>
          <w:rFonts w:ascii="Cambria"/>
          <w:spacing w:val="-6"/>
        </w:rPr>
        <w:t> </w:t>
      </w:r>
      <w:r>
        <w:rPr>
          <w:rFonts w:ascii="Cambria"/>
          <w:spacing w:val="-4"/>
        </w:rPr>
        <w:t>the</w:t>
      </w:r>
      <w:r>
        <w:rPr>
          <w:rFonts w:ascii="Cambria"/>
          <w:spacing w:val="-5"/>
        </w:rPr>
        <w:t> </w:t>
      </w:r>
      <w:r>
        <w:rPr>
          <w:rFonts w:ascii="Cambria"/>
          <w:spacing w:val="-4"/>
        </w:rPr>
        <w:t>representation</w:t>
      </w:r>
      <w:r>
        <w:rPr>
          <w:rFonts w:ascii="Cambria"/>
          <w:spacing w:val="-6"/>
        </w:rPr>
        <w:t> </w:t>
      </w:r>
      <w:r>
        <w:rPr>
          <w:rFonts w:ascii="Cambria"/>
          <w:spacing w:val="-4"/>
        </w:rPr>
        <w:t>of</w:t>
      </w:r>
      <w:r>
        <w:rPr>
          <w:rFonts w:ascii="Cambria"/>
          <w:spacing w:val="-6"/>
        </w:rPr>
        <w:t> </w:t>
      </w:r>
      <w:r>
        <w:rPr>
          <w:rFonts w:ascii="Cambria"/>
          <w:spacing w:val="-4"/>
        </w:rPr>
        <w:t>women,</w:t>
      </w:r>
      <w:r>
        <w:rPr>
          <w:rFonts w:ascii="Cambria"/>
          <w:spacing w:val="-6"/>
        </w:rPr>
        <w:t> </w:t>
      </w:r>
      <w:r>
        <w:rPr>
          <w:rFonts w:ascii="Cambria"/>
          <w:spacing w:val="-4"/>
        </w:rPr>
        <w:t>power</w:t>
      </w:r>
      <w:r>
        <w:rPr>
          <w:rFonts w:ascii="Cambria"/>
          <w:spacing w:val="-4"/>
        </w:rPr>
        <w:t> structures,</w:t>
      </w:r>
      <w:r>
        <w:rPr>
          <w:rFonts w:ascii="Cambria"/>
          <w:spacing w:val="-5"/>
        </w:rPr>
        <w:t> </w:t>
      </w:r>
      <w:r>
        <w:rPr>
          <w:rFonts w:ascii="Cambria"/>
          <w:spacing w:val="-4"/>
        </w:rPr>
        <w:t>and</w:t>
      </w:r>
      <w:r>
        <w:rPr>
          <w:rFonts w:ascii="Cambria"/>
        </w:rPr>
        <w:t> social</w:t>
      </w:r>
      <w:r>
        <w:rPr>
          <w:rFonts w:ascii="Cambria"/>
          <w:spacing w:val="6"/>
        </w:rPr>
        <w:t> </w:t>
      </w:r>
      <w:r>
        <w:rPr>
          <w:rFonts w:ascii="Cambria"/>
        </w:rPr>
        <w:t>hierarchies</w:t>
      </w:r>
      <w:r>
        <w:rPr>
          <w:rFonts w:ascii="Cambria"/>
          <w:spacing w:val="3"/>
        </w:rPr>
        <w:t> </w:t>
      </w:r>
      <w:r>
        <w:rPr>
          <w:rFonts w:ascii="Cambria"/>
        </w:rPr>
        <w:t>in</w:t>
      </w:r>
      <w:r>
        <w:rPr>
          <w:rFonts w:ascii="Cambria"/>
          <w:spacing w:val="5"/>
        </w:rPr>
        <w:t> </w:t>
      </w:r>
      <w:r>
        <w:rPr>
          <w:rFonts w:ascii="Cambria"/>
        </w:rPr>
        <w:t>literature</w:t>
      </w:r>
      <w:r>
        <w:rPr>
          <w:rFonts w:ascii="Cambria"/>
          <w:spacing w:val="4"/>
        </w:rPr>
        <w:t> </w:t>
      </w:r>
      <w:r>
        <w:rPr>
          <w:rFonts w:ascii="Cambria"/>
        </w:rPr>
        <w:t>and</w:t>
      </w:r>
      <w:r>
        <w:rPr>
          <w:rFonts w:ascii="Cambria"/>
          <w:spacing w:val="7"/>
        </w:rPr>
        <w:t> </w:t>
      </w:r>
      <w:r>
        <w:rPr>
          <w:rFonts w:ascii="Cambria"/>
        </w:rPr>
        <w:t>society.</w:t>
      </w:r>
    </w:p>
    <w:p>
      <w:pPr>
        <w:pStyle w:val="BodyText"/>
        <w:spacing w:line="244" w:lineRule="auto" w:before="60"/>
        <w:ind w:right="1438" w:firstLine="432"/>
        <w:jc w:val="both"/>
        <w:rPr>
          <w:rFonts w:ascii="Cambria"/>
        </w:rPr>
      </w:pPr>
      <w:r>
        <w:rPr>
          <w:rFonts w:ascii="Cambria"/>
          <w:w w:val="90"/>
        </w:rPr>
        <w:t>I appreciate the dedication and scholarly commitment of the editors,</w:t>
      </w:r>
      <w:r>
        <w:rPr>
          <w:rFonts w:ascii="Cambria"/>
        </w:rPr>
        <w:t> </w:t>
      </w:r>
      <w:r>
        <w:rPr>
          <w:rFonts w:ascii="Cambria"/>
          <w:spacing w:val="-2"/>
        </w:rPr>
        <w:t>contributors,</w:t>
      </w:r>
      <w:r>
        <w:rPr>
          <w:rFonts w:ascii="Cambria"/>
          <w:spacing w:val="-6"/>
        </w:rPr>
        <w:t> </w:t>
      </w:r>
      <w:r>
        <w:rPr>
          <w:rFonts w:ascii="Cambria"/>
          <w:spacing w:val="-2"/>
        </w:rPr>
        <w:t>and</w:t>
      </w:r>
      <w:r>
        <w:rPr>
          <w:rFonts w:ascii="Cambria"/>
          <w:spacing w:val="-5"/>
        </w:rPr>
        <w:t> </w:t>
      </w:r>
      <w:r>
        <w:rPr>
          <w:rFonts w:ascii="Cambria"/>
          <w:spacing w:val="-2"/>
        </w:rPr>
        <w:t>organisers</w:t>
      </w:r>
      <w:r>
        <w:rPr>
          <w:rFonts w:ascii="Cambria"/>
          <w:spacing w:val="-7"/>
        </w:rPr>
        <w:t> </w:t>
      </w:r>
      <w:r>
        <w:rPr>
          <w:rFonts w:ascii="Cambria"/>
          <w:spacing w:val="-2"/>
        </w:rPr>
        <w:t>who</w:t>
      </w:r>
      <w:r>
        <w:rPr>
          <w:rFonts w:ascii="Cambria"/>
          <w:spacing w:val="-6"/>
        </w:rPr>
        <w:t> </w:t>
      </w:r>
      <w:r>
        <w:rPr>
          <w:rFonts w:ascii="Cambria"/>
          <w:spacing w:val="-2"/>
        </w:rPr>
        <w:t>have</w:t>
      </w:r>
      <w:r>
        <w:rPr>
          <w:rFonts w:ascii="Cambria"/>
          <w:spacing w:val="-6"/>
        </w:rPr>
        <w:t> </w:t>
      </w:r>
      <w:r>
        <w:rPr>
          <w:rFonts w:ascii="Cambria"/>
          <w:spacing w:val="-2"/>
        </w:rPr>
        <w:t>worked</w:t>
      </w:r>
      <w:r>
        <w:rPr>
          <w:rFonts w:ascii="Cambria"/>
          <w:spacing w:val="-7"/>
        </w:rPr>
        <w:t> </w:t>
      </w:r>
      <w:r>
        <w:rPr>
          <w:rFonts w:ascii="Cambria"/>
          <w:spacing w:val="-2"/>
        </w:rPr>
        <w:t>diligently</w:t>
      </w:r>
      <w:r>
        <w:rPr>
          <w:rFonts w:ascii="Cambria"/>
          <w:spacing w:val="-8"/>
        </w:rPr>
        <w:t> </w:t>
      </w:r>
      <w:r>
        <w:rPr>
          <w:rFonts w:ascii="Cambria"/>
          <w:spacing w:val="-2"/>
        </w:rPr>
        <w:t>to</w:t>
      </w:r>
      <w:r>
        <w:rPr>
          <w:rFonts w:ascii="Cambria"/>
          <w:spacing w:val="-5"/>
        </w:rPr>
        <w:t> </w:t>
      </w:r>
      <w:r>
        <w:rPr>
          <w:rFonts w:ascii="Cambria"/>
          <w:spacing w:val="-2"/>
        </w:rPr>
        <w:t>bring</w:t>
      </w:r>
      <w:r>
        <w:rPr>
          <w:rFonts w:ascii="Cambria"/>
          <w:spacing w:val="-7"/>
        </w:rPr>
        <w:t> </w:t>
      </w:r>
      <w:r>
        <w:rPr>
          <w:rFonts w:ascii="Cambria"/>
          <w:spacing w:val="-2"/>
        </w:rPr>
        <w:t>out </w:t>
      </w:r>
      <w:r>
        <w:rPr>
          <w:rFonts w:ascii="Cambria"/>
          <w:w w:val="90"/>
        </w:rPr>
        <w:t>this meaningful academic publication. Their collective effort has resulted</w:t>
      </w:r>
      <w:r>
        <w:rPr>
          <w:rFonts w:ascii="Cambria"/>
          <w:spacing w:val="40"/>
        </w:rPr>
        <w:t> </w:t>
      </w:r>
      <w:r>
        <w:rPr>
          <w:rFonts w:ascii="Cambria"/>
        </w:rPr>
        <w:t>in a volume that will benefit researchers, teachers, students, and Shakespeare enthusiasts alike. I am confident that this book will </w:t>
      </w:r>
      <w:r>
        <w:rPr>
          <w:rFonts w:ascii="Cambria"/>
          <w:w w:val="90"/>
        </w:rPr>
        <w:t>contribute significantly to ongoing Shakespearean scholarship and inspire</w:t>
      </w:r>
      <w:r>
        <w:rPr>
          <w:rFonts w:ascii="Cambria"/>
        </w:rPr>
        <w:t> </w:t>
      </w:r>
      <w:r>
        <w:rPr>
          <w:rFonts w:ascii="Cambria"/>
          <w:w w:val="90"/>
        </w:rPr>
        <w:t>further critical inquiry into literature, gender, and culture. I congratulate</w:t>
      </w:r>
      <w:r>
        <w:rPr>
          <w:rFonts w:ascii="Cambria"/>
        </w:rPr>
        <w:t> </w:t>
      </w:r>
      <w:r>
        <w:rPr>
          <w:rFonts w:ascii="Cambria"/>
          <w:spacing w:val="-6"/>
        </w:rPr>
        <w:t>everyone associated</w:t>
      </w:r>
      <w:r>
        <w:rPr>
          <w:rFonts w:ascii="Cambria"/>
          <w:spacing w:val="-5"/>
        </w:rPr>
        <w:t> </w:t>
      </w:r>
      <w:r>
        <w:rPr>
          <w:rFonts w:ascii="Cambria"/>
          <w:spacing w:val="-6"/>
        </w:rPr>
        <w:t>with</w:t>
      </w:r>
      <w:r>
        <w:rPr>
          <w:rFonts w:ascii="Cambria"/>
          <w:spacing w:val="-5"/>
        </w:rPr>
        <w:t> </w:t>
      </w:r>
      <w:r>
        <w:rPr>
          <w:rFonts w:ascii="Cambria"/>
          <w:spacing w:val="-6"/>
        </w:rPr>
        <w:t>this</w:t>
      </w:r>
      <w:r>
        <w:rPr>
          <w:rFonts w:ascii="Cambria"/>
          <w:spacing w:val="-5"/>
        </w:rPr>
        <w:t> </w:t>
      </w:r>
      <w:r>
        <w:rPr>
          <w:rFonts w:ascii="Cambria"/>
          <w:spacing w:val="-6"/>
        </w:rPr>
        <w:t>endeavour</w:t>
      </w:r>
      <w:r>
        <w:rPr>
          <w:rFonts w:ascii="Cambria"/>
          <w:spacing w:val="-5"/>
        </w:rPr>
        <w:t> </w:t>
      </w:r>
      <w:r>
        <w:rPr>
          <w:rFonts w:ascii="Cambria"/>
          <w:spacing w:val="-6"/>
        </w:rPr>
        <w:t>and</w:t>
      </w:r>
      <w:r>
        <w:rPr>
          <w:rFonts w:ascii="Cambria"/>
          <w:spacing w:val="-5"/>
        </w:rPr>
        <w:t> </w:t>
      </w:r>
      <w:r>
        <w:rPr>
          <w:rFonts w:ascii="Cambria"/>
          <w:spacing w:val="-6"/>
        </w:rPr>
        <w:t>wish</w:t>
      </w:r>
      <w:r>
        <w:rPr>
          <w:rFonts w:ascii="Cambria"/>
          <w:spacing w:val="-5"/>
        </w:rPr>
        <w:t> </w:t>
      </w:r>
      <w:r>
        <w:rPr>
          <w:rFonts w:ascii="Cambria"/>
          <w:spacing w:val="-6"/>
        </w:rPr>
        <w:t>this</w:t>
      </w:r>
      <w:r>
        <w:rPr>
          <w:rFonts w:ascii="Cambria"/>
          <w:spacing w:val="-5"/>
        </w:rPr>
        <w:t> </w:t>
      </w:r>
      <w:r>
        <w:rPr>
          <w:rFonts w:ascii="Cambria"/>
          <w:spacing w:val="-6"/>
        </w:rPr>
        <w:t>publication</w:t>
      </w:r>
      <w:r>
        <w:rPr>
          <w:rFonts w:ascii="Cambria"/>
          <w:spacing w:val="-5"/>
        </w:rPr>
        <w:t> </w:t>
      </w:r>
      <w:r>
        <w:rPr>
          <w:rFonts w:ascii="Cambria"/>
          <w:spacing w:val="-6"/>
        </w:rPr>
        <w:t>wide</w:t>
      </w:r>
      <w:r>
        <w:rPr>
          <w:rFonts w:ascii="Cambria"/>
        </w:rPr>
        <w:t> readership</w:t>
      </w:r>
      <w:r>
        <w:rPr>
          <w:rFonts w:ascii="Cambria"/>
          <w:spacing w:val="23"/>
        </w:rPr>
        <w:t> </w:t>
      </w:r>
      <w:r>
        <w:rPr>
          <w:rFonts w:ascii="Cambria"/>
        </w:rPr>
        <w:t>and</w:t>
      </w:r>
      <w:r>
        <w:rPr>
          <w:rFonts w:ascii="Cambria"/>
          <w:spacing w:val="25"/>
        </w:rPr>
        <w:t> </w:t>
      </w:r>
      <w:r>
        <w:rPr>
          <w:rFonts w:ascii="Cambria"/>
        </w:rPr>
        <w:t>academic</w:t>
      </w:r>
      <w:r>
        <w:rPr>
          <w:rFonts w:ascii="Cambria"/>
          <w:spacing w:val="23"/>
        </w:rPr>
        <w:t> </w:t>
      </w:r>
      <w:r>
        <w:rPr>
          <w:rFonts w:ascii="Cambria"/>
        </w:rPr>
        <w:t>success.</w:t>
      </w:r>
    </w:p>
    <w:p>
      <w:pPr>
        <w:pStyle w:val="Heading3"/>
        <w:spacing w:before="163"/>
        <w:rPr>
          <w:rFonts w:ascii="Verdana"/>
        </w:rPr>
      </w:pPr>
      <w:r>
        <w:rPr>
          <w:rFonts w:ascii="Verdana"/>
          <w:spacing w:val="-2"/>
          <w:w w:val="85"/>
        </w:rPr>
        <w:t>BLURB</w:t>
      </w:r>
    </w:p>
    <w:p>
      <w:pPr>
        <w:pStyle w:val="BodyText"/>
        <w:spacing w:line="247" w:lineRule="auto" w:before="72"/>
        <w:ind w:right="1438" w:firstLine="432"/>
        <w:jc w:val="both"/>
        <w:rPr>
          <w:rFonts w:ascii="Cambria" w:hAnsi="Cambria"/>
        </w:rPr>
      </w:pPr>
      <w:r>
        <w:rPr>
          <w:rFonts w:ascii="Cambria" w:hAnsi="Cambria"/>
          <w:spacing w:val="-4"/>
        </w:rPr>
        <w:t>This</w:t>
      </w:r>
      <w:r>
        <w:rPr>
          <w:rFonts w:ascii="Cambria" w:hAnsi="Cambria"/>
          <w:spacing w:val="-7"/>
        </w:rPr>
        <w:t> </w:t>
      </w:r>
      <w:r>
        <w:rPr>
          <w:rFonts w:ascii="Cambria" w:hAnsi="Cambria"/>
          <w:spacing w:val="-4"/>
        </w:rPr>
        <w:t>edited</w:t>
      </w:r>
      <w:r>
        <w:rPr>
          <w:rFonts w:ascii="Cambria" w:hAnsi="Cambria"/>
          <w:spacing w:val="-5"/>
        </w:rPr>
        <w:t> </w:t>
      </w:r>
      <w:r>
        <w:rPr>
          <w:rFonts w:ascii="Cambria" w:hAnsi="Cambria"/>
          <w:spacing w:val="-4"/>
        </w:rPr>
        <w:t>volume</w:t>
      </w:r>
      <w:r>
        <w:rPr>
          <w:rFonts w:ascii="Cambria" w:hAnsi="Cambria"/>
          <w:spacing w:val="-5"/>
        </w:rPr>
        <w:t> </w:t>
      </w:r>
      <w:r>
        <w:rPr>
          <w:rFonts w:ascii="Cambria" w:hAnsi="Cambria"/>
          <w:spacing w:val="-4"/>
        </w:rPr>
        <w:t>offers</w:t>
      </w:r>
      <w:r>
        <w:rPr>
          <w:rFonts w:ascii="Cambria" w:hAnsi="Cambria"/>
          <w:spacing w:val="-7"/>
        </w:rPr>
        <w:t> </w:t>
      </w:r>
      <w:r>
        <w:rPr>
          <w:rFonts w:ascii="Cambria" w:hAnsi="Cambria"/>
          <w:spacing w:val="-4"/>
        </w:rPr>
        <w:t>a</w:t>
      </w:r>
      <w:r>
        <w:rPr>
          <w:rFonts w:ascii="Cambria" w:hAnsi="Cambria"/>
          <w:spacing w:val="-6"/>
        </w:rPr>
        <w:t> </w:t>
      </w:r>
      <w:r>
        <w:rPr>
          <w:rFonts w:ascii="Cambria" w:hAnsi="Cambria"/>
          <w:spacing w:val="-4"/>
        </w:rPr>
        <w:t>rich</w:t>
      </w:r>
      <w:r>
        <w:rPr>
          <w:rFonts w:ascii="Cambria" w:hAnsi="Cambria"/>
          <w:spacing w:val="-8"/>
        </w:rPr>
        <w:t> </w:t>
      </w:r>
      <w:r>
        <w:rPr>
          <w:rFonts w:ascii="Cambria" w:hAnsi="Cambria"/>
          <w:spacing w:val="-4"/>
        </w:rPr>
        <w:t>and</w:t>
      </w:r>
      <w:r>
        <w:rPr>
          <w:rFonts w:ascii="Cambria" w:hAnsi="Cambria"/>
          <w:spacing w:val="-6"/>
        </w:rPr>
        <w:t> </w:t>
      </w:r>
      <w:r>
        <w:rPr>
          <w:rFonts w:ascii="Cambria" w:hAnsi="Cambria"/>
          <w:spacing w:val="-4"/>
        </w:rPr>
        <w:t>contemporary</w:t>
      </w:r>
      <w:r>
        <w:rPr>
          <w:rFonts w:ascii="Cambria" w:hAnsi="Cambria"/>
          <w:spacing w:val="-8"/>
        </w:rPr>
        <w:t> </w:t>
      </w:r>
      <w:r>
        <w:rPr>
          <w:rFonts w:ascii="Cambria" w:hAnsi="Cambria"/>
          <w:spacing w:val="-4"/>
        </w:rPr>
        <w:t>exploration</w:t>
      </w:r>
      <w:r>
        <w:rPr>
          <w:rFonts w:ascii="Cambria" w:hAnsi="Cambria"/>
          <w:spacing w:val="-6"/>
        </w:rPr>
        <w:t> </w:t>
      </w:r>
      <w:r>
        <w:rPr>
          <w:rFonts w:ascii="Cambria" w:hAnsi="Cambria"/>
          <w:spacing w:val="-4"/>
        </w:rPr>
        <w:t>of</w:t>
      </w:r>
      <w:r>
        <w:rPr>
          <w:rFonts w:ascii="Cambria" w:hAnsi="Cambria"/>
        </w:rPr>
        <w:t> William Shakespeare’s works through the lens of gender, power, psychology,</w:t>
      </w:r>
      <w:r>
        <w:rPr>
          <w:rFonts w:ascii="Cambria" w:hAnsi="Cambria"/>
          <w:spacing w:val="-8"/>
        </w:rPr>
        <w:t> </w:t>
      </w:r>
      <w:r>
        <w:rPr>
          <w:rFonts w:ascii="Cambria" w:hAnsi="Cambria"/>
        </w:rPr>
        <w:t>ethics,</w:t>
      </w:r>
      <w:r>
        <w:rPr>
          <w:rFonts w:ascii="Cambria" w:hAnsi="Cambria"/>
          <w:spacing w:val="-8"/>
        </w:rPr>
        <w:t> </w:t>
      </w:r>
      <w:r>
        <w:rPr>
          <w:rFonts w:ascii="Cambria" w:hAnsi="Cambria"/>
        </w:rPr>
        <w:t>and</w:t>
      </w:r>
      <w:r>
        <w:rPr>
          <w:rFonts w:ascii="Cambria" w:hAnsi="Cambria"/>
          <w:spacing w:val="-7"/>
        </w:rPr>
        <w:t> </w:t>
      </w:r>
      <w:r>
        <w:rPr>
          <w:rFonts w:ascii="Cambria" w:hAnsi="Cambria"/>
        </w:rPr>
        <w:t>cultural</w:t>
      </w:r>
      <w:r>
        <w:rPr>
          <w:rFonts w:ascii="Cambria" w:hAnsi="Cambria"/>
          <w:spacing w:val="-9"/>
        </w:rPr>
        <w:t> </w:t>
      </w:r>
      <w:r>
        <w:rPr>
          <w:rFonts w:ascii="Cambria" w:hAnsi="Cambria"/>
        </w:rPr>
        <w:t>resistance.</w:t>
      </w:r>
      <w:r>
        <w:rPr>
          <w:rFonts w:ascii="Cambria" w:hAnsi="Cambria"/>
          <w:spacing w:val="-8"/>
        </w:rPr>
        <w:t> </w:t>
      </w:r>
      <w:r>
        <w:rPr>
          <w:rFonts w:ascii="Cambria" w:hAnsi="Cambria"/>
        </w:rPr>
        <w:t>Bringing</w:t>
      </w:r>
      <w:r>
        <w:rPr>
          <w:rFonts w:ascii="Cambria" w:hAnsi="Cambria"/>
          <w:spacing w:val="-8"/>
        </w:rPr>
        <w:t> </w:t>
      </w:r>
      <w:r>
        <w:rPr>
          <w:rFonts w:ascii="Cambria" w:hAnsi="Cambria"/>
        </w:rPr>
        <w:t>together</w:t>
      </w:r>
      <w:r>
        <w:rPr>
          <w:rFonts w:ascii="Cambria" w:hAnsi="Cambria"/>
          <w:spacing w:val="-8"/>
        </w:rPr>
        <w:t> </w:t>
      </w:r>
      <w:r>
        <w:rPr>
          <w:rFonts w:ascii="Cambria" w:hAnsi="Cambria"/>
        </w:rPr>
        <w:t>a</w:t>
      </w:r>
      <w:r>
        <w:rPr>
          <w:rFonts w:ascii="Cambria" w:hAnsi="Cambria"/>
          <w:spacing w:val="-8"/>
        </w:rPr>
        <w:t> </w:t>
      </w:r>
      <w:r>
        <w:rPr>
          <w:rFonts w:ascii="Cambria" w:hAnsi="Cambria"/>
        </w:rPr>
        <w:t>wide </w:t>
      </w:r>
      <w:r>
        <w:rPr>
          <w:rFonts w:ascii="Cambria" w:hAnsi="Cambria"/>
          <w:spacing w:val="-4"/>
        </w:rPr>
        <w:t>range</w:t>
      </w:r>
      <w:r>
        <w:rPr>
          <w:rFonts w:ascii="Cambria" w:hAnsi="Cambria"/>
          <w:spacing w:val="-8"/>
        </w:rPr>
        <w:t> </w:t>
      </w:r>
      <w:r>
        <w:rPr>
          <w:rFonts w:ascii="Cambria" w:hAnsi="Cambria"/>
          <w:spacing w:val="-4"/>
        </w:rPr>
        <w:t>of</w:t>
      </w:r>
      <w:r>
        <w:rPr>
          <w:rFonts w:ascii="Cambria" w:hAnsi="Cambria"/>
          <w:spacing w:val="-7"/>
        </w:rPr>
        <w:t> </w:t>
      </w:r>
      <w:r>
        <w:rPr>
          <w:rFonts w:ascii="Cambria" w:hAnsi="Cambria"/>
          <w:spacing w:val="-4"/>
        </w:rPr>
        <w:t>scholarly</w:t>
      </w:r>
      <w:r>
        <w:rPr>
          <w:rFonts w:ascii="Cambria" w:hAnsi="Cambria"/>
          <w:spacing w:val="-7"/>
        </w:rPr>
        <w:t> </w:t>
      </w:r>
      <w:r>
        <w:rPr>
          <w:rFonts w:ascii="Cambria" w:hAnsi="Cambria"/>
          <w:spacing w:val="-4"/>
        </w:rPr>
        <w:t>papers,</w:t>
      </w:r>
      <w:r>
        <w:rPr>
          <w:rFonts w:ascii="Cambria" w:hAnsi="Cambria"/>
          <w:spacing w:val="-7"/>
        </w:rPr>
        <w:t> </w:t>
      </w:r>
      <w:r>
        <w:rPr>
          <w:rFonts w:ascii="Cambria" w:hAnsi="Cambria"/>
          <w:spacing w:val="-4"/>
        </w:rPr>
        <w:t>the</w:t>
      </w:r>
      <w:r>
        <w:rPr>
          <w:rFonts w:ascii="Cambria" w:hAnsi="Cambria"/>
          <w:spacing w:val="-7"/>
        </w:rPr>
        <w:t> </w:t>
      </w:r>
      <w:r>
        <w:rPr>
          <w:rFonts w:ascii="Cambria" w:hAnsi="Cambria"/>
          <w:spacing w:val="-4"/>
        </w:rPr>
        <w:t>book</w:t>
      </w:r>
      <w:r>
        <w:rPr>
          <w:rFonts w:ascii="Cambria" w:hAnsi="Cambria"/>
          <w:spacing w:val="-7"/>
        </w:rPr>
        <w:t> </w:t>
      </w:r>
      <w:r>
        <w:rPr>
          <w:rFonts w:ascii="Cambria" w:hAnsi="Cambria"/>
          <w:spacing w:val="-4"/>
        </w:rPr>
        <w:t>re-examines</w:t>
      </w:r>
      <w:r>
        <w:rPr>
          <w:rFonts w:ascii="Cambria" w:hAnsi="Cambria"/>
          <w:spacing w:val="-7"/>
        </w:rPr>
        <w:t> </w:t>
      </w:r>
      <w:r>
        <w:rPr>
          <w:rFonts w:ascii="Cambria" w:hAnsi="Cambria"/>
          <w:spacing w:val="-4"/>
        </w:rPr>
        <w:t>Shakespeare’s</w:t>
      </w:r>
      <w:r>
        <w:rPr>
          <w:rFonts w:ascii="Cambria" w:hAnsi="Cambria"/>
          <w:spacing w:val="-7"/>
        </w:rPr>
        <w:t> </w:t>
      </w:r>
      <w:r>
        <w:rPr>
          <w:rFonts w:ascii="Cambria" w:hAnsi="Cambria"/>
          <w:spacing w:val="-4"/>
        </w:rPr>
        <w:t>women</w:t>
      </w:r>
      <w:r>
        <w:rPr>
          <w:rFonts w:ascii="Cambria" w:hAnsi="Cambria"/>
        </w:rPr>
        <w:t> </w:t>
      </w:r>
      <w:r>
        <w:rPr>
          <w:rFonts w:ascii="Cambria" w:hAnsi="Cambria"/>
          <w:w w:val="90"/>
        </w:rPr>
        <w:t>and their representation in relation to patriarchy, trauma, agency, silence,</w:t>
      </w:r>
      <w:r>
        <w:rPr>
          <w:rFonts w:ascii="Cambria" w:hAnsi="Cambria"/>
        </w:rPr>
        <w:t> identity,</w:t>
      </w:r>
      <w:r>
        <w:rPr>
          <w:rFonts w:ascii="Cambria" w:hAnsi="Cambria"/>
          <w:spacing w:val="37"/>
        </w:rPr>
        <w:t> </w:t>
      </w:r>
      <w:r>
        <w:rPr>
          <w:rFonts w:ascii="Cambria" w:hAnsi="Cambria"/>
        </w:rPr>
        <w:t>and</w:t>
      </w:r>
      <w:r>
        <w:rPr>
          <w:rFonts w:ascii="Cambria" w:hAnsi="Cambria"/>
          <w:spacing w:val="37"/>
        </w:rPr>
        <w:t> </w:t>
      </w:r>
      <w:r>
        <w:rPr>
          <w:rFonts w:ascii="Cambria" w:hAnsi="Cambria"/>
        </w:rPr>
        <w:t>social</w:t>
      </w:r>
      <w:r>
        <w:rPr>
          <w:rFonts w:ascii="Cambria" w:hAnsi="Cambria"/>
          <w:spacing w:val="35"/>
        </w:rPr>
        <w:t> </w:t>
      </w:r>
      <w:r>
        <w:rPr>
          <w:rFonts w:ascii="Cambria" w:hAnsi="Cambria"/>
        </w:rPr>
        <w:t>justice.</w:t>
      </w:r>
    </w:p>
    <w:p>
      <w:pPr>
        <w:pStyle w:val="BodyText"/>
        <w:spacing w:line="244" w:lineRule="auto" w:before="50"/>
        <w:ind w:right="1437" w:firstLine="432"/>
        <w:jc w:val="both"/>
        <w:rPr>
          <w:rFonts w:ascii="Cambria" w:hAnsi="Cambria"/>
        </w:rPr>
      </w:pPr>
      <w:r>
        <w:rPr>
          <w:rFonts w:ascii="Cambria" w:hAnsi="Cambria"/>
        </w:rPr>
        <w:t>The collection engages critically with themes such as feminist </w:t>
      </w:r>
      <w:r>
        <w:rPr>
          <w:rFonts w:ascii="Cambria" w:hAnsi="Cambria"/>
          <w:spacing w:val="-2"/>
        </w:rPr>
        <w:t>resistance,</w:t>
      </w:r>
      <w:r>
        <w:rPr>
          <w:rFonts w:ascii="Cambria" w:hAnsi="Cambria"/>
          <w:spacing w:val="-7"/>
        </w:rPr>
        <w:t> </w:t>
      </w:r>
      <w:r>
        <w:rPr>
          <w:rFonts w:ascii="Cambria" w:hAnsi="Cambria"/>
          <w:spacing w:val="-2"/>
        </w:rPr>
        <w:t>women’s</w:t>
      </w:r>
      <w:r>
        <w:rPr>
          <w:rFonts w:ascii="Cambria" w:hAnsi="Cambria"/>
          <w:spacing w:val="-9"/>
        </w:rPr>
        <w:t> </w:t>
      </w:r>
      <w:r>
        <w:rPr>
          <w:rFonts w:ascii="Cambria" w:hAnsi="Cambria"/>
          <w:spacing w:val="-2"/>
        </w:rPr>
        <w:t>mental</w:t>
      </w:r>
      <w:r>
        <w:rPr>
          <w:rFonts w:ascii="Cambria" w:hAnsi="Cambria"/>
          <w:spacing w:val="-8"/>
        </w:rPr>
        <w:t> </w:t>
      </w:r>
      <w:r>
        <w:rPr>
          <w:rFonts w:ascii="Cambria" w:hAnsi="Cambria"/>
          <w:spacing w:val="-2"/>
        </w:rPr>
        <w:t>health,</w:t>
      </w:r>
      <w:r>
        <w:rPr>
          <w:rFonts w:ascii="Cambria" w:hAnsi="Cambria"/>
          <w:spacing w:val="-7"/>
        </w:rPr>
        <w:t> </w:t>
      </w:r>
      <w:r>
        <w:rPr>
          <w:rFonts w:ascii="Cambria" w:hAnsi="Cambria"/>
          <w:spacing w:val="-2"/>
        </w:rPr>
        <w:t>ethical</w:t>
      </w:r>
      <w:r>
        <w:rPr>
          <w:rFonts w:ascii="Cambria" w:hAnsi="Cambria"/>
          <w:spacing w:val="-9"/>
        </w:rPr>
        <w:t> </w:t>
      </w:r>
      <w:r>
        <w:rPr>
          <w:rFonts w:ascii="Cambria" w:hAnsi="Cambria"/>
          <w:spacing w:val="-2"/>
        </w:rPr>
        <w:t>injustice,</w:t>
      </w:r>
      <w:r>
        <w:rPr>
          <w:rFonts w:ascii="Cambria" w:hAnsi="Cambria"/>
          <w:spacing w:val="-8"/>
        </w:rPr>
        <w:t> </w:t>
      </w:r>
      <w:r>
        <w:rPr>
          <w:rFonts w:ascii="Cambria" w:hAnsi="Cambria"/>
          <w:spacing w:val="-2"/>
        </w:rPr>
        <w:t>intersectionality, </w:t>
      </w:r>
      <w:r>
        <w:rPr>
          <w:rFonts w:ascii="Cambria" w:hAnsi="Cambria"/>
          <w:spacing w:val="-4"/>
        </w:rPr>
        <w:t>eco-feminism,</w:t>
      </w:r>
      <w:r>
        <w:rPr>
          <w:rFonts w:ascii="Cambria" w:hAnsi="Cambria"/>
          <w:spacing w:val="-6"/>
        </w:rPr>
        <w:t> </w:t>
      </w:r>
      <w:r>
        <w:rPr>
          <w:rFonts w:ascii="Cambria" w:hAnsi="Cambria"/>
          <w:spacing w:val="-4"/>
        </w:rPr>
        <w:t>performance</w:t>
      </w:r>
      <w:r>
        <w:rPr>
          <w:rFonts w:ascii="Cambria" w:hAnsi="Cambria"/>
          <w:spacing w:val="-6"/>
        </w:rPr>
        <w:t> </w:t>
      </w:r>
      <w:r>
        <w:rPr>
          <w:rFonts w:ascii="Cambria" w:hAnsi="Cambria"/>
          <w:spacing w:val="-4"/>
        </w:rPr>
        <w:t>studies,</w:t>
      </w:r>
      <w:r>
        <w:rPr>
          <w:rFonts w:ascii="Cambria" w:hAnsi="Cambria"/>
          <w:spacing w:val="-7"/>
        </w:rPr>
        <w:t> </w:t>
      </w:r>
      <w:r>
        <w:rPr>
          <w:rFonts w:ascii="Cambria" w:hAnsi="Cambria"/>
          <w:spacing w:val="-4"/>
        </w:rPr>
        <w:t>and</w:t>
      </w:r>
      <w:r>
        <w:rPr>
          <w:rFonts w:ascii="Cambria" w:hAnsi="Cambria"/>
          <w:spacing w:val="-6"/>
        </w:rPr>
        <w:t> </w:t>
      </w:r>
      <w:r>
        <w:rPr>
          <w:rFonts w:ascii="Cambria" w:hAnsi="Cambria"/>
          <w:spacing w:val="-4"/>
        </w:rPr>
        <w:t>the</w:t>
      </w:r>
      <w:r>
        <w:rPr>
          <w:rFonts w:ascii="Cambria" w:hAnsi="Cambria"/>
          <w:spacing w:val="-7"/>
        </w:rPr>
        <w:t> </w:t>
      </w:r>
      <w:r>
        <w:rPr>
          <w:rFonts w:ascii="Cambria" w:hAnsi="Cambria"/>
          <w:spacing w:val="-4"/>
        </w:rPr>
        <w:t>#MeToo</w:t>
      </w:r>
      <w:r>
        <w:rPr>
          <w:rFonts w:ascii="Cambria" w:hAnsi="Cambria"/>
          <w:spacing w:val="-5"/>
        </w:rPr>
        <w:t> </w:t>
      </w:r>
      <w:r>
        <w:rPr>
          <w:rFonts w:ascii="Cambria" w:hAnsi="Cambria"/>
          <w:spacing w:val="-4"/>
        </w:rPr>
        <w:t>movement.</w:t>
      </w:r>
      <w:r>
        <w:rPr>
          <w:rFonts w:ascii="Cambria" w:hAnsi="Cambria"/>
          <w:spacing w:val="-7"/>
        </w:rPr>
        <w:t> </w:t>
      </w:r>
      <w:r>
        <w:rPr>
          <w:rFonts w:ascii="Cambria" w:hAnsi="Cambria"/>
          <w:spacing w:val="-4"/>
        </w:rPr>
        <w:t>From</w:t>
      </w:r>
      <w:r>
        <w:rPr>
          <w:rFonts w:ascii="Cambria" w:hAnsi="Cambria"/>
        </w:rPr>
        <w:t> Desdemona and Ophelia to Lady Macbeth and the women of </w:t>
      </w:r>
      <w:r>
        <w:rPr>
          <w:rFonts w:ascii="Cambria" w:hAnsi="Cambria"/>
          <w:spacing w:val="-2"/>
        </w:rPr>
        <w:t>Shakespeare’s</w:t>
      </w:r>
      <w:r>
        <w:rPr>
          <w:rFonts w:ascii="Cambria" w:hAnsi="Cambria"/>
          <w:spacing w:val="-8"/>
        </w:rPr>
        <w:t> </w:t>
      </w:r>
      <w:r>
        <w:rPr>
          <w:rFonts w:ascii="Cambria" w:hAnsi="Cambria"/>
          <w:spacing w:val="-2"/>
        </w:rPr>
        <w:t>historical</w:t>
      </w:r>
      <w:r>
        <w:rPr>
          <w:rFonts w:ascii="Cambria" w:hAnsi="Cambria"/>
          <w:spacing w:val="-9"/>
        </w:rPr>
        <w:t> </w:t>
      </w:r>
      <w:r>
        <w:rPr>
          <w:rFonts w:ascii="Cambria" w:hAnsi="Cambria"/>
          <w:spacing w:val="-2"/>
        </w:rPr>
        <w:t>plays,</w:t>
      </w:r>
      <w:r>
        <w:rPr>
          <w:rFonts w:ascii="Cambria" w:hAnsi="Cambria"/>
          <w:spacing w:val="-8"/>
        </w:rPr>
        <w:t> </w:t>
      </w:r>
      <w:r>
        <w:rPr>
          <w:rFonts w:ascii="Cambria" w:hAnsi="Cambria"/>
          <w:spacing w:val="-2"/>
        </w:rPr>
        <w:t>the</w:t>
      </w:r>
      <w:r>
        <w:rPr>
          <w:rFonts w:ascii="Cambria" w:hAnsi="Cambria"/>
          <w:spacing w:val="-9"/>
        </w:rPr>
        <w:t> </w:t>
      </w:r>
      <w:r>
        <w:rPr>
          <w:rFonts w:ascii="Cambria" w:hAnsi="Cambria"/>
          <w:spacing w:val="-2"/>
        </w:rPr>
        <w:t>essays</w:t>
      </w:r>
      <w:r>
        <w:rPr>
          <w:rFonts w:ascii="Cambria" w:hAnsi="Cambria"/>
          <w:spacing w:val="-8"/>
        </w:rPr>
        <w:t> </w:t>
      </w:r>
      <w:r>
        <w:rPr>
          <w:rFonts w:ascii="Cambria" w:hAnsi="Cambria"/>
          <w:spacing w:val="-2"/>
        </w:rPr>
        <w:t>uncover</w:t>
      </w:r>
      <w:r>
        <w:rPr>
          <w:rFonts w:ascii="Cambria" w:hAnsi="Cambria"/>
          <w:spacing w:val="-9"/>
        </w:rPr>
        <w:t> </w:t>
      </w:r>
      <w:r>
        <w:rPr>
          <w:rFonts w:ascii="Cambria" w:hAnsi="Cambria"/>
          <w:spacing w:val="-2"/>
        </w:rPr>
        <w:t>the</w:t>
      </w:r>
      <w:r>
        <w:rPr>
          <w:rFonts w:ascii="Cambria" w:hAnsi="Cambria"/>
          <w:spacing w:val="-9"/>
        </w:rPr>
        <w:t> </w:t>
      </w:r>
      <w:r>
        <w:rPr>
          <w:rFonts w:ascii="Cambria" w:hAnsi="Cambria"/>
          <w:spacing w:val="-2"/>
        </w:rPr>
        <w:t>complexities</w:t>
      </w:r>
      <w:r>
        <w:rPr>
          <w:rFonts w:ascii="Cambria" w:hAnsi="Cambria"/>
          <w:spacing w:val="-9"/>
        </w:rPr>
        <w:t> </w:t>
      </w:r>
      <w:r>
        <w:rPr>
          <w:rFonts w:ascii="Cambria" w:hAnsi="Cambria"/>
          <w:spacing w:val="-2"/>
        </w:rPr>
        <w:t>of </w:t>
      </w:r>
      <w:r>
        <w:rPr>
          <w:rFonts w:ascii="Cambria" w:hAnsi="Cambria"/>
          <w:spacing w:val="-6"/>
        </w:rPr>
        <w:t>female</w:t>
      </w:r>
      <w:r>
        <w:rPr>
          <w:rFonts w:ascii="Cambria" w:hAnsi="Cambria"/>
        </w:rPr>
        <w:t> </w:t>
      </w:r>
      <w:r>
        <w:rPr>
          <w:rFonts w:ascii="Cambria" w:hAnsi="Cambria"/>
          <w:spacing w:val="-6"/>
        </w:rPr>
        <w:t>voices</w:t>
      </w:r>
      <w:r>
        <w:rPr>
          <w:rFonts w:ascii="Cambria" w:hAnsi="Cambria"/>
        </w:rPr>
        <w:t> </w:t>
      </w:r>
      <w:r>
        <w:rPr>
          <w:rFonts w:ascii="Cambria" w:hAnsi="Cambria"/>
          <w:spacing w:val="-6"/>
        </w:rPr>
        <w:t>that</w:t>
      </w:r>
      <w:r>
        <w:rPr>
          <w:rFonts w:ascii="Cambria" w:hAnsi="Cambria"/>
        </w:rPr>
        <w:t> </w:t>
      </w:r>
      <w:r>
        <w:rPr>
          <w:rFonts w:ascii="Cambria" w:hAnsi="Cambria"/>
          <w:spacing w:val="-6"/>
        </w:rPr>
        <w:t>were</w:t>
      </w:r>
      <w:r>
        <w:rPr>
          <w:rFonts w:ascii="Cambria" w:hAnsi="Cambria"/>
        </w:rPr>
        <w:t> </w:t>
      </w:r>
      <w:r>
        <w:rPr>
          <w:rFonts w:ascii="Cambria" w:hAnsi="Cambria"/>
          <w:spacing w:val="-6"/>
        </w:rPr>
        <w:t>often</w:t>
      </w:r>
      <w:r>
        <w:rPr>
          <w:rFonts w:ascii="Cambria" w:hAnsi="Cambria"/>
        </w:rPr>
        <w:t> </w:t>
      </w:r>
      <w:r>
        <w:rPr>
          <w:rFonts w:ascii="Cambria" w:hAnsi="Cambria"/>
          <w:spacing w:val="-6"/>
        </w:rPr>
        <w:t>silenced,</w:t>
      </w:r>
      <w:r>
        <w:rPr>
          <w:rFonts w:ascii="Cambria" w:hAnsi="Cambria"/>
        </w:rPr>
        <w:t> </w:t>
      </w:r>
      <w:r>
        <w:rPr>
          <w:rFonts w:ascii="Cambria" w:hAnsi="Cambria"/>
          <w:spacing w:val="-6"/>
        </w:rPr>
        <w:t>marginalised,</w:t>
      </w:r>
      <w:r>
        <w:rPr>
          <w:rFonts w:ascii="Cambria" w:hAnsi="Cambria"/>
        </w:rPr>
        <w:t> </w:t>
      </w:r>
      <w:r>
        <w:rPr>
          <w:rFonts w:ascii="Cambria" w:hAnsi="Cambria"/>
          <w:spacing w:val="-6"/>
        </w:rPr>
        <w:t>or</w:t>
      </w:r>
      <w:r>
        <w:rPr>
          <w:rFonts w:ascii="Cambria" w:hAnsi="Cambria"/>
        </w:rPr>
        <w:t> </w:t>
      </w:r>
      <w:r>
        <w:rPr>
          <w:rFonts w:ascii="Cambria" w:hAnsi="Cambria"/>
          <w:spacing w:val="-6"/>
        </w:rPr>
        <w:t>misunderstood</w:t>
      </w:r>
      <w:r>
        <w:rPr>
          <w:rFonts w:ascii="Cambria" w:hAnsi="Cambria"/>
          <w:spacing w:val="-2"/>
        </w:rPr>
        <w:t> within</w:t>
      </w:r>
      <w:r>
        <w:rPr>
          <w:rFonts w:ascii="Cambria" w:hAnsi="Cambria"/>
          <w:spacing w:val="2"/>
        </w:rPr>
        <w:t> </w:t>
      </w:r>
      <w:r>
        <w:rPr>
          <w:rFonts w:ascii="Cambria" w:hAnsi="Cambria"/>
          <w:spacing w:val="-2"/>
        </w:rPr>
        <w:t>traditional</w:t>
      </w:r>
      <w:r>
        <w:rPr>
          <w:rFonts w:ascii="Cambria" w:hAnsi="Cambria"/>
          <w:spacing w:val="3"/>
        </w:rPr>
        <w:t> </w:t>
      </w:r>
      <w:r>
        <w:rPr>
          <w:rFonts w:ascii="Cambria" w:hAnsi="Cambria"/>
          <w:spacing w:val="-2"/>
        </w:rPr>
        <w:t>interpretations.</w:t>
      </w:r>
    </w:p>
    <w:p>
      <w:pPr>
        <w:pStyle w:val="BodyText"/>
        <w:spacing w:line="244" w:lineRule="auto" w:before="64"/>
        <w:ind w:right="1436" w:firstLine="432"/>
        <w:jc w:val="both"/>
        <w:rPr>
          <w:rFonts w:ascii="Cambria"/>
        </w:rPr>
      </w:pPr>
      <w:r>
        <w:rPr>
          <w:rFonts w:ascii="Cambria"/>
          <w:spacing w:val="-2"/>
          <w:w w:val="90"/>
        </w:rPr>
        <w:t>Combining</w:t>
      </w:r>
      <w:r>
        <w:rPr>
          <w:rFonts w:ascii="Cambria"/>
          <w:spacing w:val="-4"/>
          <w:w w:val="90"/>
        </w:rPr>
        <w:t> </w:t>
      </w:r>
      <w:r>
        <w:rPr>
          <w:rFonts w:ascii="Cambria"/>
          <w:spacing w:val="-2"/>
          <w:w w:val="90"/>
        </w:rPr>
        <w:t>classicals</w:t>
      </w:r>
      <w:r>
        <w:rPr>
          <w:rFonts w:ascii="Cambria"/>
          <w:spacing w:val="-5"/>
          <w:w w:val="90"/>
        </w:rPr>
        <w:t> </w:t>
      </w:r>
      <w:r>
        <w:rPr>
          <w:rFonts w:ascii="Cambria"/>
          <w:spacing w:val="-2"/>
          <w:w w:val="90"/>
        </w:rPr>
        <w:t>literary</w:t>
      </w:r>
      <w:r>
        <w:rPr>
          <w:rFonts w:ascii="Cambria"/>
          <w:spacing w:val="-5"/>
          <w:w w:val="90"/>
        </w:rPr>
        <w:t> </w:t>
      </w:r>
      <w:r>
        <w:rPr>
          <w:rFonts w:ascii="Cambria"/>
          <w:spacing w:val="-2"/>
          <w:w w:val="90"/>
        </w:rPr>
        <w:t>analysis</w:t>
      </w:r>
      <w:r>
        <w:rPr>
          <w:rFonts w:ascii="Cambria"/>
          <w:spacing w:val="-4"/>
        </w:rPr>
        <w:t> </w:t>
      </w:r>
      <w:r>
        <w:rPr>
          <w:rFonts w:ascii="Cambria"/>
          <w:spacing w:val="-2"/>
          <w:w w:val="90"/>
        </w:rPr>
        <w:t>with</w:t>
      </w:r>
      <w:r>
        <w:rPr>
          <w:rFonts w:ascii="Cambria"/>
          <w:spacing w:val="-3"/>
          <w:w w:val="90"/>
        </w:rPr>
        <w:t> </w:t>
      </w:r>
      <w:r>
        <w:rPr>
          <w:rFonts w:ascii="Cambria"/>
          <w:spacing w:val="-2"/>
          <w:w w:val="90"/>
        </w:rPr>
        <w:t>modern</w:t>
      </w:r>
      <w:r>
        <w:rPr>
          <w:rFonts w:ascii="Cambria"/>
          <w:spacing w:val="-5"/>
          <w:w w:val="90"/>
        </w:rPr>
        <w:t> </w:t>
      </w:r>
      <w:r>
        <w:rPr>
          <w:rFonts w:ascii="Cambria"/>
          <w:spacing w:val="-2"/>
          <w:w w:val="90"/>
        </w:rPr>
        <w:t>critical</w:t>
      </w:r>
      <w:r>
        <w:rPr>
          <w:rFonts w:ascii="Cambria"/>
          <w:spacing w:val="-3"/>
        </w:rPr>
        <w:t> </w:t>
      </w:r>
      <w:r>
        <w:rPr>
          <w:rFonts w:ascii="Cambria"/>
          <w:spacing w:val="-2"/>
          <w:w w:val="90"/>
        </w:rPr>
        <w:t>approaches,</w:t>
      </w:r>
      <w:r>
        <w:rPr>
          <w:rFonts w:ascii="Cambria"/>
          <w:spacing w:val="-2"/>
        </w:rPr>
        <w:t> </w:t>
      </w:r>
      <w:r>
        <w:rPr>
          <w:rFonts w:ascii="Cambria"/>
        </w:rPr>
        <w:t>this volume highlights the enduring relevance of Shakespeare in contemporary</w:t>
      </w:r>
      <w:r>
        <w:rPr>
          <w:rFonts w:ascii="Cambria"/>
          <w:spacing w:val="-8"/>
        </w:rPr>
        <w:t> </w:t>
      </w:r>
      <w:r>
        <w:rPr>
          <w:rFonts w:ascii="Cambria"/>
        </w:rPr>
        <w:t>academic</w:t>
      </w:r>
      <w:r>
        <w:rPr>
          <w:rFonts w:ascii="Cambria"/>
          <w:spacing w:val="-6"/>
        </w:rPr>
        <w:t> </w:t>
      </w:r>
      <w:r>
        <w:rPr>
          <w:rFonts w:ascii="Cambria"/>
        </w:rPr>
        <w:t>and</w:t>
      </w:r>
      <w:r>
        <w:rPr>
          <w:rFonts w:ascii="Cambria"/>
          <w:spacing w:val="-5"/>
        </w:rPr>
        <w:t> </w:t>
      </w:r>
      <w:r>
        <w:rPr>
          <w:rFonts w:ascii="Cambria"/>
        </w:rPr>
        <w:t>social</w:t>
      </w:r>
      <w:r>
        <w:rPr>
          <w:rFonts w:ascii="Cambria"/>
          <w:spacing w:val="-6"/>
        </w:rPr>
        <w:t> </w:t>
      </w:r>
      <w:r>
        <w:rPr>
          <w:rFonts w:ascii="Cambria"/>
        </w:rPr>
        <w:t>discourse.</w:t>
      </w:r>
      <w:r>
        <w:rPr>
          <w:rFonts w:ascii="Cambria"/>
          <w:spacing w:val="-6"/>
        </w:rPr>
        <w:t> </w:t>
      </w:r>
      <w:r>
        <w:rPr>
          <w:rFonts w:ascii="Cambria"/>
        </w:rPr>
        <w:t>It</w:t>
      </w:r>
      <w:r>
        <w:rPr>
          <w:rFonts w:ascii="Cambria"/>
          <w:spacing w:val="-7"/>
        </w:rPr>
        <w:t> </w:t>
      </w:r>
      <w:r>
        <w:rPr>
          <w:rFonts w:ascii="Cambria"/>
        </w:rPr>
        <w:t>serves</w:t>
      </w:r>
      <w:r>
        <w:rPr>
          <w:rFonts w:ascii="Cambria"/>
          <w:spacing w:val="-7"/>
        </w:rPr>
        <w:t> </w:t>
      </w:r>
      <w:r>
        <w:rPr>
          <w:rFonts w:ascii="Cambria"/>
        </w:rPr>
        <w:t>as</w:t>
      </w:r>
      <w:r>
        <w:rPr>
          <w:rFonts w:ascii="Cambria"/>
          <w:spacing w:val="-7"/>
        </w:rPr>
        <w:t> </w:t>
      </w:r>
      <w:r>
        <w:rPr>
          <w:rFonts w:ascii="Cambria"/>
        </w:rPr>
        <w:t>a</w:t>
      </w:r>
      <w:r>
        <w:rPr>
          <w:rFonts w:ascii="Cambria"/>
          <w:spacing w:val="-6"/>
        </w:rPr>
        <w:t> </w:t>
      </w:r>
      <w:r>
        <w:rPr>
          <w:rFonts w:ascii="Cambria"/>
        </w:rPr>
        <w:t>valuable </w:t>
      </w:r>
      <w:r>
        <w:rPr>
          <w:rFonts w:ascii="Cambria"/>
          <w:spacing w:val="-4"/>
        </w:rPr>
        <w:t>resource</w:t>
      </w:r>
      <w:r>
        <w:rPr>
          <w:rFonts w:ascii="Cambria"/>
          <w:spacing w:val="-4"/>
        </w:rPr>
        <w:t> for</w:t>
      </w:r>
      <w:r>
        <w:rPr>
          <w:rFonts w:ascii="Cambria"/>
          <w:spacing w:val="-4"/>
        </w:rPr>
        <w:t> researchers,</w:t>
      </w:r>
      <w:r>
        <w:rPr>
          <w:rFonts w:ascii="Cambria"/>
          <w:spacing w:val="-4"/>
        </w:rPr>
        <w:t> teachers,</w:t>
      </w:r>
      <w:r>
        <w:rPr>
          <w:rFonts w:ascii="Cambria"/>
          <w:spacing w:val="-4"/>
        </w:rPr>
        <w:t> students,</w:t>
      </w:r>
      <w:r>
        <w:rPr>
          <w:rFonts w:ascii="Cambria"/>
          <w:spacing w:val="-4"/>
        </w:rPr>
        <w:t> and</w:t>
      </w:r>
      <w:r>
        <w:rPr>
          <w:rFonts w:ascii="Cambria"/>
          <w:spacing w:val="-4"/>
        </w:rPr>
        <w:t> readers</w:t>
      </w:r>
      <w:r>
        <w:rPr>
          <w:rFonts w:ascii="Cambria"/>
          <w:spacing w:val="-4"/>
        </w:rPr>
        <w:t> interested</w:t>
      </w:r>
      <w:r>
        <w:rPr>
          <w:rFonts w:ascii="Cambria"/>
          <w:spacing w:val="-4"/>
        </w:rPr>
        <w:t> in</w:t>
      </w:r>
      <w:r>
        <w:rPr>
          <w:rFonts w:ascii="Cambria"/>
          <w:spacing w:val="9"/>
        </w:rPr>
        <w:t> Shakespeare</w:t>
      </w:r>
      <w:r>
        <w:rPr>
          <w:rFonts w:ascii="Cambria"/>
          <w:spacing w:val="9"/>
        </w:rPr>
        <w:t> studies,</w:t>
      </w:r>
      <w:r>
        <w:rPr>
          <w:rFonts w:ascii="Cambria"/>
          <w:spacing w:val="9"/>
        </w:rPr>
        <w:t> </w:t>
      </w:r>
      <w:r>
        <w:rPr>
          <w:rFonts w:ascii="Cambria"/>
        </w:rPr>
        <w:t>feminist </w:t>
      </w:r>
      <w:r>
        <w:rPr>
          <w:rFonts w:ascii="Cambria"/>
          <w:spacing w:val="9"/>
        </w:rPr>
        <w:t>criticism,</w:t>
      </w:r>
      <w:r>
        <w:rPr>
          <w:rFonts w:ascii="Cambria"/>
          <w:spacing w:val="9"/>
        </w:rPr>
        <w:t> cultural</w:t>
      </w:r>
      <w:r>
        <w:rPr>
          <w:rFonts w:ascii="Cambria"/>
          <w:spacing w:val="9"/>
        </w:rPr>
        <w:t> studies,</w:t>
      </w:r>
      <w:r>
        <w:rPr>
          <w:rFonts w:ascii="Cambria"/>
          <w:spacing w:val="9"/>
        </w:rPr>
        <w:t> </w:t>
      </w:r>
      <w:r>
        <w:rPr>
          <w:rFonts w:ascii="Cambria"/>
        </w:rPr>
        <w:t>and </w:t>
      </w:r>
      <w:r>
        <w:rPr>
          <w:rFonts w:ascii="Cambria"/>
          <w:spacing w:val="-2"/>
        </w:rPr>
        <w:t>interdisciplinary literary</w:t>
      </w:r>
      <w:r>
        <w:rPr>
          <w:rFonts w:ascii="Cambria"/>
        </w:rPr>
        <w:t> </w:t>
      </w:r>
      <w:r>
        <w:rPr>
          <w:rFonts w:ascii="Cambria"/>
          <w:spacing w:val="-2"/>
        </w:rPr>
        <w:t>scholarship.</w:t>
      </w:r>
    </w:p>
    <w:p>
      <w:pPr>
        <w:pStyle w:val="BodyText"/>
        <w:spacing w:line="244" w:lineRule="auto" w:before="63"/>
        <w:ind w:right="1438" w:firstLine="432"/>
        <w:jc w:val="both"/>
        <w:rPr>
          <w:rFonts w:ascii="Cambria" w:hAnsi="Cambria"/>
        </w:rPr>
      </w:pPr>
      <w:r>
        <w:rPr>
          <w:rFonts w:ascii="Cambria" w:hAnsi="Cambria"/>
        </w:rPr>
        <w:t>Insightful,</w:t>
      </w:r>
      <w:r>
        <w:rPr>
          <w:rFonts w:ascii="Cambria" w:hAnsi="Cambria"/>
          <w:spacing w:val="-2"/>
        </w:rPr>
        <w:t> </w:t>
      </w:r>
      <w:r>
        <w:rPr>
          <w:rFonts w:ascii="Cambria" w:hAnsi="Cambria"/>
        </w:rPr>
        <w:t>thought-provoking,</w:t>
      </w:r>
      <w:r>
        <w:rPr>
          <w:rFonts w:ascii="Cambria" w:hAnsi="Cambria"/>
          <w:spacing w:val="-2"/>
        </w:rPr>
        <w:t> </w:t>
      </w:r>
      <w:r>
        <w:rPr>
          <w:rFonts w:ascii="Cambria" w:hAnsi="Cambria"/>
        </w:rPr>
        <w:t>and</w:t>
      </w:r>
      <w:r>
        <w:rPr>
          <w:rFonts w:ascii="Cambria" w:hAnsi="Cambria"/>
          <w:spacing w:val="-2"/>
        </w:rPr>
        <w:t> </w:t>
      </w:r>
      <w:r>
        <w:rPr>
          <w:rFonts w:ascii="Cambria" w:hAnsi="Cambria"/>
        </w:rPr>
        <w:t>academically</w:t>
      </w:r>
      <w:r>
        <w:rPr>
          <w:rFonts w:ascii="Cambria" w:hAnsi="Cambria"/>
          <w:spacing w:val="-3"/>
        </w:rPr>
        <w:t> </w:t>
      </w:r>
      <w:r>
        <w:rPr>
          <w:rFonts w:ascii="Cambria" w:hAnsi="Cambria"/>
        </w:rPr>
        <w:t>engaging,</w:t>
      </w:r>
      <w:r>
        <w:rPr>
          <w:rFonts w:ascii="Cambria" w:hAnsi="Cambria"/>
          <w:spacing w:val="-2"/>
        </w:rPr>
        <w:t> </w:t>
      </w:r>
      <w:r>
        <w:rPr>
          <w:rFonts w:ascii="Cambria" w:hAnsi="Cambria"/>
        </w:rPr>
        <w:t>this book reaffirms Shakespeare’s timeless ability to speak to changing </w:t>
      </w:r>
      <w:r>
        <w:rPr>
          <w:rFonts w:ascii="Cambria" w:hAnsi="Cambria"/>
          <w:spacing w:val="-2"/>
        </w:rPr>
        <w:t>generations</w:t>
      </w:r>
      <w:r>
        <w:rPr>
          <w:rFonts w:ascii="Cambria" w:hAnsi="Cambria"/>
          <w:spacing w:val="23"/>
        </w:rPr>
        <w:t> </w:t>
      </w:r>
      <w:r>
        <w:rPr>
          <w:rFonts w:ascii="Cambria" w:hAnsi="Cambria"/>
          <w:spacing w:val="-2"/>
        </w:rPr>
        <w:t>and</w:t>
      </w:r>
      <w:r>
        <w:rPr>
          <w:rFonts w:ascii="Cambria" w:hAnsi="Cambria"/>
          <w:spacing w:val="26"/>
        </w:rPr>
        <w:t> </w:t>
      </w:r>
      <w:r>
        <w:rPr>
          <w:rFonts w:ascii="Cambria" w:hAnsi="Cambria"/>
          <w:spacing w:val="-2"/>
        </w:rPr>
        <w:t>contemporary</w:t>
      </w:r>
      <w:r>
        <w:rPr>
          <w:rFonts w:ascii="Cambria" w:hAnsi="Cambria"/>
          <w:spacing w:val="22"/>
        </w:rPr>
        <w:t> </w:t>
      </w:r>
      <w:r>
        <w:rPr>
          <w:rFonts w:ascii="Cambria" w:hAnsi="Cambria"/>
          <w:spacing w:val="-2"/>
        </w:rPr>
        <w:t>global</w:t>
      </w:r>
      <w:r>
        <w:rPr>
          <w:rFonts w:ascii="Cambria" w:hAnsi="Cambria"/>
          <w:spacing w:val="25"/>
        </w:rPr>
        <w:t> </w:t>
      </w:r>
      <w:r>
        <w:rPr>
          <w:rFonts w:ascii="Cambria" w:hAnsi="Cambria"/>
          <w:spacing w:val="-2"/>
        </w:rPr>
        <w:t>concerns.</w:t>
      </w:r>
    </w:p>
    <w:p>
      <w:pPr>
        <w:pStyle w:val="BodyText"/>
        <w:spacing w:after="0" w:line="244" w:lineRule="auto"/>
        <w:jc w:val="both"/>
        <w:rPr>
          <w:rFonts w:ascii="Cambria" w:hAnsi="Cambria"/>
        </w:rPr>
        <w:sectPr>
          <w:pgSz w:w="12240" w:h="15840"/>
          <w:pgMar w:top="1820" w:bottom="280" w:left="1800" w:right="1800"/>
        </w:sectPr>
      </w:pPr>
    </w:p>
    <w:p>
      <w:pPr>
        <w:pStyle w:val="BodyText"/>
        <w:ind w:left="0"/>
        <w:rPr>
          <w:rFonts w:ascii="Cambria"/>
        </w:rPr>
      </w:pPr>
      <w:r>
        <w:rPr>
          <w:rFonts w:ascii="Cambria"/>
        </w:rPr>
        <mc:AlternateContent>
          <mc:Choice Requires="wps">
            <w:drawing>
              <wp:anchor distT="0" distB="0" distL="0" distR="0" allowOverlap="1" layoutInCell="1" locked="0" behindDoc="1" simplePos="0" relativeHeight="482768384">
                <wp:simplePos x="0" y="0"/>
                <wp:positionH relativeFrom="page">
                  <wp:posOffset>2057400</wp:posOffset>
                </wp:positionH>
                <wp:positionV relativeFrom="page">
                  <wp:posOffset>1788723</wp:posOffset>
                </wp:positionV>
                <wp:extent cx="3647440" cy="14033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3647440" cy="140335"/>
                        </a:xfrm>
                        <a:prstGeom prst="rect">
                          <a:avLst/>
                        </a:prstGeom>
                      </wps:spPr>
                      <wps:txbx>
                        <w:txbxContent>
                          <w:p>
                            <w:pPr>
                              <w:tabs>
                                <w:tab w:pos="5743" w:val="right" w:leader="none"/>
                              </w:tabs>
                              <w:spacing w:line="219" w:lineRule="exact" w:before="0"/>
                              <w:ind w:left="0" w:right="0" w:firstLine="0"/>
                              <w:jc w:val="left"/>
                              <w:rPr>
                                <w:rFonts w:ascii="Verdana"/>
                                <w:sz w:val="18"/>
                              </w:rPr>
                            </w:pP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10"/>
                                <w:sz w:val="18"/>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62pt;margin-top:140.844391pt;width:287.2pt;height:11.05pt;mso-position-horizontal-relative:page;mso-position-vertical-relative:page;z-index:-20548096" type="#_x0000_t202" id="docshape120" filled="false" stroked="false">
                <v:textbox inset="0,0,0,0">
                  <w:txbxContent>
                    <w:p>
                      <w:pPr>
                        <w:tabs>
                          <w:tab w:pos="5743" w:val="right" w:leader="none"/>
                        </w:tabs>
                        <w:spacing w:line="219" w:lineRule="exact" w:before="0"/>
                        <w:ind w:left="0" w:right="0" w:firstLine="0"/>
                        <w:jc w:val="left"/>
                        <w:rPr>
                          <w:rFonts w:ascii="Verdana"/>
                          <w:sz w:val="18"/>
                        </w:rPr>
                      </w:pP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10"/>
                          <w:sz w:val="18"/>
                        </w:rPr>
                        <w:t>1</w:t>
                      </w:r>
                    </w:p>
                  </w:txbxContent>
                </v:textbox>
                <w10:wrap type="none"/>
              </v:shape>
            </w:pict>
          </mc:Fallback>
        </mc:AlternateContent>
      </w:r>
    </w:p>
    <w:p>
      <w:pPr>
        <w:pStyle w:val="BodyText"/>
        <w:spacing w:before="207"/>
        <w:ind w:left="0"/>
        <w:rPr>
          <w:rFonts w:ascii="Cambria"/>
        </w:rPr>
      </w:pPr>
    </w:p>
    <w:p>
      <w:pPr>
        <w:spacing w:line="240" w:lineRule="auto"/>
        <w:ind w:left="1101" w:right="0" w:firstLine="0"/>
        <w:rPr>
          <w:rFonts w:ascii="Cambria"/>
          <w:sz w:val="20"/>
        </w:rPr>
      </w:pPr>
      <w:r>
        <w:rPr>
          <w:rFonts w:ascii="Cambria"/>
          <w:sz w:val="20"/>
        </w:rPr>
        <mc:AlternateContent>
          <mc:Choice Requires="wps">
            <w:drawing>
              <wp:inline distT="0" distB="0" distL="0" distR="0">
                <wp:extent cx="4043679" cy="699770"/>
                <wp:effectExtent l="0" t="0" r="0" b="0"/>
                <wp:docPr id="125" name="Group 125"/>
                <wp:cNvGraphicFramePr>
                  <a:graphicFrameLocks/>
                </wp:cNvGraphicFramePr>
                <a:graphic>
                  <a:graphicData uri="http://schemas.microsoft.com/office/word/2010/wordprocessingGroup">
                    <wpg:wgp>
                      <wpg:cNvPr id="125" name="Group 125"/>
                      <wpg:cNvGrpSpPr/>
                      <wpg:grpSpPr>
                        <a:xfrm>
                          <a:off x="0" y="0"/>
                          <a:ext cx="4043679" cy="699770"/>
                          <a:chExt cx="4043679" cy="699770"/>
                        </a:xfrm>
                      </wpg:grpSpPr>
                      <wps:wsp>
                        <wps:cNvPr id="126" name="Graphic 126"/>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121" coordorigin="0,0" coordsize="6368,1102">
                <v:rect style="position:absolute;left:0;top:0;width:6368;height:1102" id="docshape122" filled="true" fillcolor="#ffffff" stroked="false">
                  <v:fill type="solid"/>
                </v:rect>
              </v:group>
            </w:pict>
          </mc:Fallback>
        </mc:AlternateContent>
      </w:r>
      <w:r>
        <w:rPr>
          <w:rFonts w:ascii="Cambria"/>
          <w:sz w:val="20"/>
        </w:rPr>
      </w:r>
    </w:p>
    <w:p>
      <w:pPr>
        <w:pStyle w:val="BodyText"/>
        <w:spacing w:before="171"/>
        <w:ind w:left="0"/>
        <w:rPr>
          <w:rFonts w:ascii="Cambria"/>
        </w:rPr>
      </w:pPr>
      <w:r>
        <w:rPr>
          <w:rFonts w:ascii="Cambria"/>
        </w:rPr>
        <mc:AlternateContent>
          <mc:Choice Requires="wps">
            <w:drawing>
              <wp:anchor distT="0" distB="0" distL="0" distR="0" allowOverlap="1" layoutInCell="1" locked="0" behindDoc="1" simplePos="0" relativeHeight="487604224">
                <wp:simplePos x="0" y="0"/>
                <wp:positionH relativeFrom="page">
                  <wp:posOffset>3511295</wp:posOffset>
                </wp:positionH>
                <wp:positionV relativeFrom="paragraph">
                  <wp:posOffset>272923</wp:posOffset>
                </wp:positionV>
                <wp:extent cx="728980" cy="655320"/>
                <wp:effectExtent l="0" t="0" r="0" b="0"/>
                <wp:wrapTopAndBottom/>
                <wp:docPr id="127" name="Group 127"/>
                <wp:cNvGraphicFramePr>
                  <a:graphicFrameLocks/>
                </wp:cNvGraphicFramePr>
                <a:graphic>
                  <a:graphicData uri="http://schemas.microsoft.com/office/word/2010/wordprocessingGroup">
                    <wpg:wgp>
                      <wpg:cNvPr id="127" name="Group 127"/>
                      <wpg:cNvGrpSpPr/>
                      <wpg:grpSpPr>
                        <a:xfrm>
                          <a:off x="0" y="0"/>
                          <a:ext cx="728980" cy="655320"/>
                          <a:chExt cx="728980" cy="655320"/>
                        </a:xfrm>
                      </wpg:grpSpPr>
                      <pic:pic>
                        <pic:nvPicPr>
                          <pic:cNvPr id="128" name="Image 128"/>
                          <pic:cNvPicPr/>
                        </pic:nvPicPr>
                        <pic:blipFill>
                          <a:blip r:embed="rId77" cstate="print"/>
                          <a:stretch>
                            <a:fillRect/>
                          </a:stretch>
                        </pic:blipFill>
                        <pic:spPr>
                          <a:xfrm>
                            <a:off x="0" y="0"/>
                            <a:ext cx="728472" cy="655320"/>
                          </a:xfrm>
                          <a:prstGeom prst="rect">
                            <a:avLst/>
                          </a:prstGeom>
                        </pic:spPr>
                      </pic:pic>
                      <wps:wsp>
                        <wps:cNvPr id="129" name="Textbox 129"/>
                        <wps:cNvSpPr txBox="1"/>
                        <wps:spPr>
                          <a:xfrm>
                            <a:off x="0" y="0"/>
                            <a:ext cx="728980" cy="655320"/>
                          </a:xfrm>
                          <a:prstGeom prst="rect">
                            <a:avLst/>
                          </a:prstGeom>
                        </wps:spPr>
                        <wps:txbx>
                          <w:txbxContent>
                            <w:p>
                              <w:pPr>
                                <w:spacing w:before="364"/>
                                <w:ind w:left="83" w:right="60" w:firstLine="0"/>
                                <w:jc w:val="center"/>
                                <w:rPr>
                                  <w:rFonts w:ascii="Tahoma"/>
                                  <w:b/>
                                  <w:sz w:val="36"/>
                                </w:rPr>
                              </w:pPr>
                              <w:r>
                                <w:rPr>
                                  <w:rFonts w:ascii="Tahoma"/>
                                  <w:b/>
                                  <w:spacing w:val="-10"/>
                                  <w:w w:val="95"/>
                                  <w:sz w:val="36"/>
                                </w:rPr>
                                <w:t>1</w:t>
                              </w:r>
                            </w:p>
                          </w:txbxContent>
                        </wps:txbx>
                        <wps:bodyPr wrap="square" lIns="0" tIns="0" rIns="0" bIns="0" rtlCol="0">
                          <a:noAutofit/>
                        </wps:bodyPr>
                      </wps:wsp>
                    </wpg:wgp>
                  </a:graphicData>
                </a:graphic>
              </wp:anchor>
            </w:drawing>
          </mc:Choice>
          <mc:Fallback>
            <w:pict>
              <v:group style="position:absolute;margin-left:276.47998pt;margin-top:21.490002pt;width:57.4pt;height:51.6pt;mso-position-horizontal-relative:page;mso-position-vertical-relative:paragraph;z-index:-15712256;mso-wrap-distance-left:0;mso-wrap-distance-right:0" id="docshapegroup123" coordorigin="5530,430" coordsize="1148,1032">
                <v:shape style="position:absolute;left:5529;top:429;width:1148;height:1032" type="#_x0000_t75" id="docshape124" stroked="false">
                  <v:imagedata r:id="rId77" o:title=""/>
                </v:shape>
                <v:shape style="position:absolute;left:5529;top:429;width:1148;height:1032" type="#_x0000_t202" id="docshape125" filled="false" stroked="false">
                  <v:textbox inset="0,0,0,0">
                    <w:txbxContent>
                      <w:p>
                        <w:pPr>
                          <w:spacing w:before="364"/>
                          <w:ind w:left="83" w:right="60" w:firstLine="0"/>
                          <w:jc w:val="center"/>
                          <w:rPr>
                            <w:rFonts w:ascii="Tahoma"/>
                            <w:b/>
                            <w:sz w:val="36"/>
                          </w:rPr>
                        </w:pPr>
                        <w:r>
                          <w:rPr>
                            <w:rFonts w:ascii="Tahoma"/>
                            <w:b/>
                            <w:spacing w:val="-10"/>
                            <w:w w:val="95"/>
                            <w:sz w:val="36"/>
                          </w:rPr>
                          <w:t>1</w:t>
                        </w:r>
                      </w:p>
                    </w:txbxContent>
                  </v:textbox>
                  <w10:wrap type="none"/>
                </v:shape>
                <w10:wrap type="topAndBottom"/>
              </v:group>
            </w:pict>
          </mc:Fallback>
        </mc:AlternateContent>
      </w:r>
    </w:p>
    <w:p>
      <w:pPr>
        <w:pStyle w:val="Heading1"/>
        <w:spacing w:line="211" w:lineRule="auto" w:before="20"/>
        <w:ind w:left="1461" w:right="1478" w:hanging="2"/>
        <w:rPr>
          <w:rFonts w:ascii="Cambria"/>
          <w:i/>
        </w:rPr>
      </w:pPr>
      <w:r>
        <w:rPr/>
        <w:t>The Great Carpet Game: Politics, Performance,</w:t>
      </w:r>
      <w:r>
        <w:rPr>
          <w:spacing w:val="-8"/>
        </w:rPr>
        <w:t> </w:t>
      </w:r>
      <w:r>
        <w:rPr/>
        <w:t>and</w:t>
      </w:r>
      <w:r>
        <w:rPr>
          <w:spacing w:val="-8"/>
        </w:rPr>
        <w:t> </w:t>
      </w:r>
      <w:r>
        <w:rPr/>
        <w:t>Passion</w:t>
      </w:r>
      <w:r>
        <w:rPr>
          <w:spacing w:val="-6"/>
        </w:rPr>
        <w:t> </w:t>
      </w:r>
      <w:r>
        <w:rPr/>
        <w:t>in</w:t>
      </w:r>
      <w:r>
        <w:rPr>
          <w:spacing w:val="-2"/>
        </w:rPr>
        <w:t> </w:t>
      </w:r>
      <w:r>
        <w:rPr>
          <w:rFonts w:ascii="Cambria"/>
          <w:i/>
        </w:rPr>
        <w:t>Antony</w:t>
      </w:r>
    </w:p>
    <w:p>
      <w:pPr>
        <w:pStyle w:val="Heading2"/>
        <w:tabs>
          <w:tab w:pos="1739" w:val="left" w:leader="none"/>
          <w:tab w:pos="5759" w:val="left" w:leader="none"/>
        </w:tabs>
        <w:ind w:right="12"/>
        <w:rPr>
          <w:u w:val="none"/>
        </w:rPr>
      </w:pPr>
      <w:r>
        <w:rPr>
          <w:rFonts w:ascii="Times New Roman"/>
          <w:b w:val="0"/>
          <w:i w:val="0"/>
          <w:u w:val="single"/>
        </w:rPr>
        <w:tab/>
      </w:r>
      <w:r>
        <w:rPr>
          <w:w w:val="110"/>
          <w:u w:val="single"/>
        </w:rPr>
        <w:t>and</w:t>
      </w:r>
      <w:r>
        <w:rPr>
          <w:spacing w:val="24"/>
          <w:w w:val="110"/>
          <w:u w:val="single"/>
        </w:rPr>
        <w:t> </w:t>
      </w:r>
      <w:r>
        <w:rPr>
          <w:spacing w:val="-2"/>
          <w:w w:val="110"/>
          <w:u w:val="single"/>
        </w:rPr>
        <w:t>Cleopatra</w:t>
      </w:r>
      <w:r>
        <w:rPr>
          <w:u w:val="single"/>
        </w:rPr>
        <w:tab/>
      </w:r>
    </w:p>
    <w:p>
      <w:pPr>
        <w:pStyle w:val="BodyText"/>
        <w:spacing w:before="7"/>
        <w:ind w:left="0"/>
        <w:rPr>
          <w:rFonts w:ascii="Cambria"/>
          <w:b/>
          <w:i/>
          <w:sz w:val="5"/>
        </w:rPr>
      </w:pPr>
      <w:r>
        <w:rPr>
          <w:rFonts w:ascii="Cambria"/>
          <w:b/>
          <w:i/>
          <w:sz w:val="5"/>
        </w:rPr>
        <mc:AlternateContent>
          <mc:Choice Requires="wps">
            <w:drawing>
              <wp:anchor distT="0" distB="0" distL="0" distR="0" allowOverlap="1" layoutInCell="1" locked="0" behindDoc="1" simplePos="0" relativeHeight="487604736">
                <wp:simplePos x="0" y="0"/>
                <wp:positionH relativeFrom="page">
                  <wp:posOffset>2052828</wp:posOffset>
                </wp:positionH>
                <wp:positionV relativeFrom="paragraph">
                  <wp:posOffset>57384</wp:posOffset>
                </wp:positionV>
                <wp:extent cx="3657600" cy="7620"/>
                <wp:effectExtent l="0" t="0" r="0" b="0"/>
                <wp:wrapTopAndBottom/>
                <wp:docPr id="130" name="Graphic 130"/>
                <wp:cNvGraphicFramePr>
                  <a:graphicFrameLocks/>
                </wp:cNvGraphicFramePr>
                <a:graphic>
                  <a:graphicData uri="http://schemas.microsoft.com/office/word/2010/wordprocessingShape">
                    <wps:wsp>
                      <wps:cNvPr id="130" name="Graphic 130"/>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1.640015pt;margin-top:4.518445pt;width:288.000021pt;height:.600014pt;mso-position-horizontal-relative:page;mso-position-vertical-relative:paragraph;z-index:-15711744;mso-wrap-distance-left:0;mso-wrap-distance-right:0" id="docshape126" filled="true" fillcolor="#000000" stroked="false">
                <v:fill type="solid"/>
                <w10:wrap type="topAndBottom"/>
              </v:rect>
            </w:pict>
          </mc:Fallback>
        </mc:AlternateContent>
      </w:r>
    </w:p>
    <w:p>
      <w:pPr>
        <w:pStyle w:val="BodyText"/>
        <w:spacing w:before="26"/>
        <w:ind w:left="0"/>
        <w:rPr>
          <w:rFonts w:ascii="Cambria"/>
          <w:b/>
          <w:i/>
          <w:sz w:val="32"/>
        </w:rPr>
      </w:pPr>
    </w:p>
    <w:p>
      <w:pPr>
        <w:spacing w:line="304" w:lineRule="auto" w:before="0"/>
        <w:ind w:left="1432" w:right="1446" w:firstLine="4320"/>
        <w:jc w:val="right"/>
        <w:rPr>
          <w:sz w:val="20"/>
        </w:rPr>
      </w:pPr>
      <w:r>
        <w:rPr>
          <w:b/>
          <w:i/>
          <w:sz w:val="22"/>
        </w:rPr>
        <w:t>Mohit</w:t>
      </w:r>
      <w:r>
        <w:rPr>
          <w:b/>
          <w:i/>
          <w:spacing w:val="20"/>
          <w:sz w:val="22"/>
        </w:rPr>
        <w:t> </w:t>
      </w:r>
      <w:r>
        <w:rPr>
          <w:b/>
          <w:i/>
          <w:sz w:val="22"/>
        </w:rPr>
        <w:t>Ul </w:t>
      </w:r>
      <w:r>
        <w:rPr>
          <w:b/>
          <w:i/>
          <w:sz w:val="22"/>
        </w:rPr>
        <w:t>Alam </w:t>
      </w:r>
      <w:r>
        <w:rPr>
          <w:b/>
          <w:sz w:val="20"/>
        </w:rPr>
        <w:t>Professor</w:t>
      </w:r>
      <w:r>
        <w:rPr>
          <w:b/>
          <w:spacing w:val="37"/>
          <w:sz w:val="20"/>
        </w:rPr>
        <w:t> </w:t>
      </w:r>
      <w:r>
        <w:rPr>
          <w:b/>
          <w:sz w:val="20"/>
        </w:rPr>
        <w:t>Mohit</w:t>
      </w:r>
      <w:r>
        <w:rPr>
          <w:b/>
          <w:spacing w:val="40"/>
          <w:sz w:val="20"/>
        </w:rPr>
        <w:t> </w:t>
      </w:r>
      <w:r>
        <w:rPr>
          <w:b/>
          <w:sz w:val="20"/>
        </w:rPr>
        <w:t>Ul</w:t>
      </w:r>
      <w:r>
        <w:rPr>
          <w:b/>
          <w:spacing w:val="25"/>
          <w:sz w:val="20"/>
        </w:rPr>
        <w:t> </w:t>
      </w:r>
      <w:r>
        <w:rPr>
          <w:b/>
          <w:sz w:val="20"/>
        </w:rPr>
        <w:t>Alam</w:t>
      </w:r>
      <w:r>
        <w:rPr>
          <w:b/>
          <w:spacing w:val="35"/>
          <w:sz w:val="20"/>
        </w:rPr>
        <w:t> </w:t>
      </w:r>
      <w:r>
        <w:rPr>
          <w:sz w:val="20"/>
        </w:rPr>
        <w:t>holds</w:t>
      </w:r>
      <w:r>
        <w:rPr>
          <w:spacing w:val="38"/>
          <w:sz w:val="20"/>
        </w:rPr>
        <w:t> </w:t>
      </w:r>
      <w:r>
        <w:rPr>
          <w:sz w:val="20"/>
        </w:rPr>
        <w:t>a</w:t>
      </w:r>
      <w:r>
        <w:rPr>
          <w:spacing w:val="40"/>
          <w:sz w:val="20"/>
        </w:rPr>
        <w:t> </w:t>
      </w:r>
      <w:r>
        <w:rPr>
          <w:sz w:val="20"/>
        </w:rPr>
        <w:t>PhD</w:t>
      </w:r>
      <w:r>
        <w:rPr>
          <w:spacing w:val="38"/>
          <w:sz w:val="20"/>
        </w:rPr>
        <w:t> </w:t>
      </w:r>
      <w:r>
        <w:rPr>
          <w:sz w:val="20"/>
        </w:rPr>
        <w:t>in</w:t>
      </w:r>
      <w:r>
        <w:rPr>
          <w:spacing w:val="40"/>
          <w:sz w:val="20"/>
        </w:rPr>
        <w:t> </w:t>
      </w:r>
      <w:r>
        <w:rPr>
          <w:sz w:val="20"/>
        </w:rPr>
        <w:t>Shakespeare</w:t>
      </w:r>
      <w:r>
        <w:rPr>
          <w:spacing w:val="40"/>
          <w:sz w:val="20"/>
        </w:rPr>
        <w:t> </w:t>
      </w:r>
      <w:r>
        <w:rPr>
          <w:sz w:val="20"/>
        </w:rPr>
        <w:t>and</w:t>
      </w:r>
      <w:r>
        <w:rPr>
          <w:spacing w:val="40"/>
          <w:sz w:val="20"/>
        </w:rPr>
        <w:t> </w:t>
      </w:r>
      <w:r>
        <w:rPr>
          <w:sz w:val="20"/>
        </w:rPr>
        <w:t>has been</w:t>
      </w:r>
      <w:r>
        <w:rPr>
          <w:spacing w:val="55"/>
          <w:sz w:val="20"/>
        </w:rPr>
        <w:t> </w:t>
      </w:r>
      <w:r>
        <w:rPr>
          <w:sz w:val="20"/>
        </w:rPr>
        <w:t>publishing</w:t>
      </w:r>
      <w:r>
        <w:rPr>
          <w:spacing w:val="55"/>
          <w:sz w:val="20"/>
        </w:rPr>
        <w:t> </w:t>
      </w:r>
      <w:r>
        <w:rPr>
          <w:sz w:val="20"/>
        </w:rPr>
        <w:t>essays</w:t>
      </w:r>
      <w:r>
        <w:rPr>
          <w:spacing w:val="57"/>
          <w:sz w:val="20"/>
        </w:rPr>
        <w:t> </w:t>
      </w:r>
      <w:r>
        <w:rPr>
          <w:sz w:val="20"/>
        </w:rPr>
        <w:t>on</w:t>
      </w:r>
      <w:r>
        <w:rPr>
          <w:spacing w:val="57"/>
          <w:sz w:val="20"/>
        </w:rPr>
        <w:t> </w:t>
      </w:r>
      <w:r>
        <w:rPr>
          <w:sz w:val="20"/>
        </w:rPr>
        <w:t>his</w:t>
      </w:r>
      <w:r>
        <w:rPr>
          <w:spacing w:val="57"/>
          <w:sz w:val="20"/>
        </w:rPr>
        <w:t> </w:t>
      </w:r>
      <w:r>
        <w:rPr>
          <w:sz w:val="20"/>
        </w:rPr>
        <w:t>works</w:t>
      </w:r>
      <w:r>
        <w:rPr>
          <w:spacing w:val="57"/>
          <w:sz w:val="20"/>
        </w:rPr>
        <w:t> </w:t>
      </w:r>
      <w:r>
        <w:rPr>
          <w:sz w:val="20"/>
        </w:rPr>
        <w:t>quite</w:t>
      </w:r>
      <w:r>
        <w:rPr>
          <w:spacing w:val="58"/>
          <w:sz w:val="20"/>
        </w:rPr>
        <w:t> </w:t>
      </w:r>
      <w:r>
        <w:rPr>
          <w:sz w:val="20"/>
        </w:rPr>
        <w:t>regularly.</w:t>
      </w:r>
      <w:r>
        <w:rPr>
          <w:spacing w:val="59"/>
          <w:sz w:val="20"/>
        </w:rPr>
        <w:t> </w:t>
      </w:r>
      <w:r>
        <w:rPr>
          <w:sz w:val="20"/>
        </w:rPr>
        <w:t>His</w:t>
      </w:r>
      <w:r>
        <w:rPr>
          <w:spacing w:val="57"/>
          <w:sz w:val="20"/>
        </w:rPr>
        <w:t> </w:t>
      </w:r>
      <w:r>
        <w:rPr>
          <w:sz w:val="20"/>
        </w:rPr>
        <w:t>book,</w:t>
      </w:r>
      <w:r>
        <w:rPr>
          <w:spacing w:val="57"/>
          <w:sz w:val="20"/>
        </w:rPr>
        <w:t> </w:t>
      </w:r>
      <w:r>
        <w:rPr>
          <w:spacing w:val="-10"/>
          <w:sz w:val="20"/>
        </w:rPr>
        <w:t>a</w:t>
      </w:r>
    </w:p>
    <w:p>
      <w:pPr>
        <w:pStyle w:val="BodyText"/>
        <w:spacing w:line="210" w:lineRule="exact"/>
        <w:ind w:left="1432"/>
        <w:jc w:val="both"/>
        <w:rPr>
          <w:i/>
        </w:rPr>
      </w:pPr>
      <w:r>
        <w:rPr/>
        <w:t>compilation</w:t>
      </w:r>
      <w:r>
        <w:rPr>
          <w:spacing w:val="24"/>
        </w:rPr>
        <w:t> </w:t>
      </w:r>
      <w:r>
        <w:rPr/>
        <w:t>of</w:t>
      </w:r>
      <w:r>
        <w:rPr>
          <w:spacing w:val="28"/>
        </w:rPr>
        <w:t> </w:t>
      </w:r>
      <w:r>
        <w:rPr/>
        <w:t>11</w:t>
      </w:r>
      <w:r>
        <w:rPr>
          <w:spacing w:val="29"/>
        </w:rPr>
        <w:t> </w:t>
      </w:r>
      <w:r>
        <w:rPr/>
        <w:t>of</w:t>
      </w:r>
      <w:r>
        <w:rPr>
          <w:spacing w:val="27"/>
        </w:rPr>
        <w:t> </w:t>
      </w:r>
      <w:r>
        <w:rPr/>
        <w:t>his</w:t>
      </w:r>
      <w:r>
        <w:rPr>
          <w:spacing w:val="26"/>
        </w:rPr>
        <w:t> </w:t>
      </w:r>
      <w:r>
        <w:rPr/>
        <w:t>essays</w:t>
      </w:r>
      <w:r>
        <w:rPr>
          <w:spacing w:val="29"/>
        </w:rPr>
        <w:t> </w:t>
      </w:r>
      <w:r>
        <w:rPr/>
        <w:t>on</w:t>
      </w:r>
      <w:r>
        <w:rPr>
          <w:spacing w:val="24"/>
        </w:rPr>
        <w:t> </w:t>
      </w:r>
      <w:r>
        <w:rPr/>
        <w:t>Shakespeare,</w:t>
      </w:r>
      <w:r>
        <w:rPr>
          <w:spacing w:val="28"/>
        </w:rPr>
        <w:t> </w:t>
      </w:r>
      <w:r>
        <w:rPr/>
        <w:t>entitled</w:t>
      </w:r>
      <w:r>
        <w:rPr>
          <w:spacing w:val="31"/>
        </w:rPr>
        <w:t> </w:t>
      </w:r>
      <w:r>
        <w:rPr>
          <w:i/>
        </w:rPr>
        <w:t>The</w:t>
      </w:r>
      <w:r>
        <w:rPr>
          <w:i/>
          <w:spacing w:val="26"/>
        </w:rPr>
        <w:t> </w:t>
      </w:r>
      <w:r>
        <w:rPr>
          <w:i/>
        </w:rPr>
        <w:t>Star</w:t>
      </w:r>
      <w:r>
        <w:rPr>
          <w:i/>
          <w:spacing w:val="28"/>
        </w:rPr>
        <w:t> </w:t>
      </w:r>
      <w:r>
        <w:rPr>
          <w:i/>
          <w:spacing w:val="-5"/>
        </w:rPr>
        <w:t>to</w:t>
      </w:r>
    </w:p>
    <w:p>
      <w:pPr>
        <w:pStyle w:val="BodyText"/>
        <w:spacing w:line="280" w:lineRule="auto" w:before="39"/>
        <w:ind w:left="1432" w:right="1445"/>
        <w:jc w:val="both"/>
      </w:pPr>
      <w:r>
        <w:rPr>
          <w:i/>
        </w:rPr>
        <w:t>Every Wandering Bark: Essays on Shakespeare, </w:t>
      </w:r>
      <w:r>
        <w:rPr/>
        <w:t>is published in April 2026</w:t>
      </w:r>
      <w:r>
        <w:rPr>
          <w:spacing w:val="-13"/>
        </w:rPr>
        <w:t> </w:t>
      </w:r>
      <w:r>
        <w:rPr/>
        <w:t>by</w:t>
      </w:r>
      <w:r>
        <w:rPr>
          <w:spacing w:val="-12"/>
        </w:rPr>
        <w:t> </w:t>
      </w:r>
      <w:r>
        <w:rPr/>
        <w:t>the</w:t>
      </w:r>
      <w:r>
        <w:rPr>
          <w:spacing w:val="-13"/>
        </w:rPr>
        <w:t> </w:t>
      </w:r>
      <w:r>
        <w:rPr/>
        <w:t>University</w:t>
      </w:r>
      <w:r>
        <w:rPr>
          <w:spacing w:val="-12"/>
        </w:rPr>
        <w:t> </w:t>
      </w:r>
      <w:r>
        <w:rPr/>
        <w:t>Press</w:t>
      </w:r>
      <w:r>
        <w:rPr>
          <w:spacing w:val="-13"/>
        </w:rPr>
        <w:t> </w:t>
      </w:r>
      <w:r>
        <w:rPr/>
        <w:t>Limited</w:t>
      </w:r>
      <w:r>
        <w:rPr>
          <w:spacing w:val="-12"/>
        </w:rPr>
        <w:t> </w:t>
      </w:r>
      <w:r>
        <w:rPr/>
        <w:t>(UPL),</w:t>
      </w:r>
      <w:r>
        <w:rPr>
          <w:spacing w:val="-12"/>
        </w:rPr>
        <w:t> </w:t>
      </w:r>
      <w:r>
        <w:rPr/>
        <w:t>Dhaka.</w:t>
      </w:r>
      <w:r>
        <w:rPr>
          <w:spacing w:val="-11"/>
        </w:rPr>
        <w:t> </w:t>
      </w:r>
      <w:r>
        <w:rPr/>
        <w:t>He</w:t>
      </w:r>
      <w:r>
        <w:rPr>
          <w:spacing w:val="-11"/>
        </w:rPr>
        <w:t> </w:t>
      </w:r>
      <w:r>
        <w:rPr/>
        <w:t>has</w:t>
      </w:r>
      <w:r>
        <w:rPr>
          <w:spacing w:val="-13"/>
        </w:rPr>
        <w:t> </w:t>
      </w:r>
      <w:r>
        <w:rPr/>
        <w:t>so</w:t>
      </w:r>
      <w:r>
        <w:rPr>
          <w:spacing w:val="-11"/>
        </w:rPr>
        <w:t> </w:t>
      </w:r>
      <w:r>
        <w:rPr/>
        <w:t>far</w:t>
      </w:r>
      <w:r>
        <w:rPr>
          <w:spacing w:val="-11"/>
        </w:rPr>
        <w:t> </w:t>
      </w:r>
      <w:r>
        <w:rPr/>
        <w:t>edited </w:t>
      </w:r>
      <w:r>
        <w:rPr>
          <w:spacing w:val="-2"/>
        </w:rPr>
        <w:t>in</w:t>
      </w:r>
      <w:r>
        <w:rPr>
          <w:spacing w:val="-7"/>
        </w:rPr>
        <w:t> </w:t>
      </w:r>
      <w:r>
        <w:rPr>
          <w:spacing w:val="-2"/>
        </w:rPr>
        <w:t>English</w:t>
      </w:r>
      <w:r>
        <w:rPr>
          <w:spacing w:val="-7"/>
        </w:rPr>
        <w:t> </w:t>
      </w:r>
      <w:r>
        <w:rPr>
          <w:spacing w:val="-2"/>
        </w:rPr>
        <w:t>with</w:t>
      </w:r>
      <w:r>
        <w:rPr>
          <w:spacing w:val="-9"/>
        </w:rPr>
        <w:t> </w:t>
      </w:r>
      <w:r>
        <w:rPr>
          <w:spacing w:val="-2"/>
        </w:rPr>
        <w:t>introductions</w:t>
      </w:r>
      <w:r>
        <w:rPr>
          <w:spacing w:val="-7"/>
        </w:rPr>
        <w:t> </w:t>
      </w:r>
      <w:r>
        <w:rPr>
          <w:spacing w:val="-2"/>
        </w:rPr>
        <w:t>and</w:t>
      </w:r>
      <w:r>
        <w:rPr>
          <w:spacing w:val="-4"/>
        </w:rPr>
        <w:t> </w:t>
      </w:r>
      <w:r>
        <w:rPr>
          <w:spacing w:val="-2"/>
        </w:rPr>
        <w:t>annotations</w:t>
      </w:r>
      <w:r>
        <w:rPr>
          <w:spacing w:val="-7"/>
        </w:rPr>
        <w:t> </w:t>
      </w:r>
      <w:r>
        <w:rPr>
          <w:spacing w:val="-2"/>
        </w:rPr>
        <w:t>three</w:t>
      </w:r>
      <w:r>
        <w:rPr>
          <w:spacing w:val="-9"/>
        </w:rPr>
        <w:t> </w:t>
      </w:r>
      <w:r>
        <w:rPr>
          <w:spacing w:val="-2"/>
        </w:rPr>
        <w:t>plays</w:t>
      </w:r>
      <w:r>
        <w:rPr>
          <w:spacing w:val="-7"/>
        </w:rPr>
        <w:t> </w:t>
      </w:r>
      <w:r>
        <w:rPr>
          <w:spacing w:val="-2"/>
        </w:rPr>
        <w:t>by</w:t>
      </w:r>
      <w:r>
        <w:rPr>
          <w:spacing w:val="-9"/>
        </w:rPr>
        <w:t> </w:t>
      </w:r>
      <w:r>
        <w:rPr>
          <w:spacing w:val="-2"/>
        </w:rPr>
        <w:t>Shakespeare, </w:t>
      </w:r>
      <w:r>
        <w:rPr>
          <w:i/>
        </w:rPr>
        <w:t>As You Like It, Hamlet, and Macbeth, </w:t>
      </w:r>
      <w:r>
        <w:rPr/>
        <w:t>respectively, from Albatross Classics,</w:t>
      </w:r>
      <w:r>
        <w:rPr>
          <w:spacing w:val="-3"/>
        </w:rPr>
        <w:t> </w:t>
      </w:r>
      <w:r>
        <w:rPr/>
        <w:t>Dhaka,</w:t>
      </w:r>
      <w:r>
        <w:rPr>
          <w:spacing w:val="-2"/>
        </w:rPr>
        <w:t> </w:t>
      </w:r>
      <w:r>
        <w:rPr/>
        <w:t>and</w:t>
      </w:r>
      <w:r>
        <w:rPr>
          <w:spacing w:val="-2"/>
        </w:rPr>
        <w:t> </w:t>
      </w:r>
      <w:r>
        <w:rPr/>
        <w:t>has</w:t>
      </w:r>
      <w:r>
        <w:rPr>
          <w:spacing w:val="-3"/>
        </w:rPr>
        <w:t> </w:t>
      </w:r>
      <w:r>
        <w:rPr/>
        <w:t>published</w:t>
      </w:r>
      <w:r>
        <w:rPr>
          <w:spacing w:val="-3"/>
        </w:rPr>
        <w:t> </w:t>
      </w:r>
      <w:r>
        <w:rPr/>
        <w:t>ten</w:t>
      </w:r>
      <w:r>
        <w:rPr>
          <w:spacing w:val="-5"/>
        </w:rPr>
        <w:t> </w:t>
      </w:r>
      <w:r>
        <w:rPr/>
        <w:t>plays</w:t>
      </w:r>
      <w:r>
        <w:rPr>
          <w:spacing w:val="-2"/>
        </w:rPr>
        <w:t> </w:t>
      </w:r>
      <w:r>
        <w:rPr/>
        <w:t>by</w:t>
      </w:r>
      <w:r>
        <w:rPr>
          <w:spacing w:val="-7"/>
        </w:rPr>
        <w:t> </w:t>
      </w:r>
      <w:r>
        <w:rPr/>
        <w:t>Shakespeare</w:t>
      </w:r>
      <w:r>
        <w:rPr>
          <w:spacing w:val="-3"/>
        </w:rPr>
        <w:t> </w:t>
      </w:r>
      <w:r>
        <w:rPr/>
        <w:t>in</w:t>
      </w:r>
      <w:r>
        <w:rPr>
          <w:spacing w:val="-5"/>
        </w:rPr>
        <w:t> </w:t>
      </w:r>
      <w:r>
        <w:rPr/>
        <w:t>Bengali prose translation. Besides, he recently</w:t>
      </w:r>
      <w:r>
        <w:rPr>
          <w:spacing w:val="-3"/>
        </w:rPr>
        <w:t> </w:t>
      </w:r>
      <w:r>
        <w:rPr/>
        <w:t>published his autobiography, </w:t>
      </w:r>
      <w:r>
        <w:rPr>
          <w:i/>
        </w:rPr>
        <w:t>My Life</w:t>
      </w:r>
      <w:r>
        <w:rPr>
          <w:i/>
          <w:spacing w:val="-2"/>
        </w:rPr>
        <w:t> </w:t>
      </w:r>
      <w:r>
        <w:rPr>
          <w:i/>
        </w:rPr>
        <w:t>Plus</w:t>
      </w:r>
      <w:r>
        <w:rPr>
          <w:i/>
          <w:spacing w:val="-3"/>
        </w:rPr>
        <w:t> </w:t>
      </w:r>
      <w:r>
        <w:rPr>
          <w:i/>
        </w:rPr>
        <w:t>Minus</w:t>
      </w:r>
      <w:r>
        <w:rPr/>
        <w:t>,</w:t>
      </w:r>
      <w:r>
        <w:rPr>
          <w:spacing w:val="-2"/>
        </w:rPr>
        <w:t> </w:t>
      </w:r>
      <w:r>
        <w:rPr/>
        <w:t>with</w:t>
      </w:r>
      <w:r>
        <w:rPr>
          <w:spacing w:val="-3"/>
        </w:rPr>
        <w:t> </w:t>
      </w:r>
      <w:r>
        <w:rPr/>
        <w:t>Gripper.</w:t>
      </w:r>
      <w:r>
        <w:rPr>
          <w:spacing w:val="-2"/>
        </w:rPr>
        <w:t> </w:t>
      </w:r>
      <w:r>
        <w:rPr/>
        <w:t>Mark,</w:t>
      </w:r>
      <w:r>
        <w:rPr>
          <w:spacing w:val="-2"/>
        </w:rPr>
        <w:t> </w:t>
      </w:r>
      <w:r>
        <w:rPr/>
        <w:t>Dhaka</w:t>
      </w:r>
      <w:r>
        <w:rPr>
          <w:spacing w:val="-1"/>
        </w:rPr>
        <w:t> </w:t>
      </w:r>
      <w:r>
        <w:rPr/>
        <w:t>in</w:t>
      </w:r>
      <w:r>
        <w:rPr>
          <w:spacing w:val="-2"/>
        </w:rPr>
        <w:t> </w:t>
      </w:r>
      <w:r>
        <w:rPr/>
        <w:t>November</w:t>
      </w:r>
      <w:r>
        <w:rPr>
          <w:spacing w:val="-2"/>
        </w:rPr>
        <w:t> </w:t>
      </w:r>
      <w:r>
        <w:rPr/>
        <w:t>2025.</w:t>
      </w:r>
      <w:r>
        <w:rPr>
          <w:spacing w:val="-12"/>
        </w:rPr>
        <w:t> </w:t>
      </w:r>
      <w:r>
        <w:rPr/>
        <w:t>And</w:t>
      </w:r>
      <w:r>
        <w:rPr>
          <w:spacing w:val="-2"/>
        </w:rPr>
        <w:t> </w:t>
      </w:r>
      <w:r>
        <w:rPr/>
        <w:t>in February 2026, Gripper.Mark Publication has also published his translation of </w:t>
      </w:r>
      <w:r>
        <w:rPr>
          <w:i/>
        </w:rPr>
        <w:t>Mohua, </w:t>
      </w:r>
      <w:r>
        <w:rPr/>
        <w:t>a Bengali folk drama into English verse. He is currently the Dean of Arts at Premier University, Chattogram. He was </w:t>
      </w:r>
      <w:r>
        <w:rPr>
          <w:spacing w:val="-2"/>
        </w:rPr>
        <w:t>the</w:t>
      </w:r>
      <w:r>
        <w:rPr>
          <w:spacing w:val="-5"/>
        </w:rPr>
        <w:t> </w:t>
      </w:r>
      <w:r>
        <w:rPr>
          <w:spacing w:val="-2"/>
        </w:rPr>
        <w:t>Vice</w:t>
      </w:r>
      <w:r>
        <w:rPr>
          <w:spacing w:val="-4"/>
        </w:rPr>
        <w:t> </w:t>
      </w:r>
      <w:r>
        <w:rPr>
          <w:spacing w:val="-2"/>
        </w:rPr>
        <w:t>Chancellor</w:t>
      </w:r>
      <w:r>
        <w:rPr>
          <w:spacing w:val="-4"/>
        </w:rPr>
        <w:t> </w:t>
      </w:r>
      <w:r>
        <w:rPr>
          <w:spacing w:val="-2"/>
        </w:rPr>
        <w:t>of</w:t>
      </w:r>
      <w:r>
        <w:rPr>
          <w:spacing w:val="-6"/>
        </w:rPr>
        <w:t> </w:t>
      </w:r>
      <w:r>
        <w:rPr>
          <w:spacing w:val="-2"/>
        </w:rPr>
        <w:t>Jatiya</w:t>
      </w:r>
      <w:r>
        <w:rPr>
          <w:spacing w:val="-4"/>
        </w:rPr>
        <w:t> </w:t>
      </w:r>
      <w:r>
        <w:rPr>
          <w:spacing w:val="-2"/>
        </w:rPr>
        <w:t>Kabi</w:t>
      </w:r>
      <w:r>
        <w:rPr>
          <w:spacing w:val="-5"/>
        </w:rPr>
        <w:t> </w:t>
      </w:r>
      <w:r>
        <w:rPr>
          <w:spacing w:val="-2"/>
        </w:rPr>
        <w:t>Kazi</w:t>
      </w:r>
      <w:r>
        <w:rPr>
          <w:spacing w:val="-8"/>
        </w:rPr>
        <w:t> </w:t>
      </w:r>
      <w:r>
        <w:rPr>
          <w:spacing w:val="-2"/>
        </w:rPr>
        <w:t>Nazrul</w:t>
      </w:r>
      <w:r>
        <w:rPr>
          <w:spacing w:val="-5"/>
        </w:rPr>
        <w:t> </w:t>
      </w:r>
      <w:r>
        <w:rPr>
          <w:spacing w:val="-2"/>
        </w:rPr>
        <w:t>Islam</w:t>
      </w:r>
      <w:r>
        <w:rPr>
          <w:spacing w:val="-7"/>
        </w:rPr>
        <w:t> </w:t>
      </w:r>
      <w:r>
        <w:rPr>
          <w:spacing w:val="-2"/>
        </w:rPr>
        <w:t>University,</w:t>
      </w:r>
      <w:r>
        <w:rPr>
          <w:spacing w:val="-8"/>
        </w:rPr>
        <w:t> </w:t>
      </w:r>
      <w:r>
        <w:rPr>
          <w:spacing w:val="-2"/>
        </w:rPr>
        <w:t>Trishal, </w:t>
      </w:r>
      <w:r>
        <w:rPr/>
        <w:t>Mymensingh,</w:t>
      </w:r>
      <w:r>
        <w:rPr>
          <w:spacing w:val="-13"/>
        </w:rPr>
        <w:t> </w:t>
      </w:r>
      <w:r>
        <w:rPr/>
        <w:t>for</w:t>
      </w:r>
      <w:r>
        <w:rPr>
          <w:spacing w:val="-12"/>
        </w:rPr>
        <w:t> </w:t>
      </w:r>
      <w:r>
        <w:rPr/>
        <w:t>a</w:t>
      </w:r>
      <w:r>
        <w:rPr>
          <w:spacing w:val="-13"/>
        </w:rPr>
        <w:t> </w:t>
      </w:r>
      <w:r>
        <w:rPr/>
        <w:t>full</w:t>
      </w:r>
      <w:r>
        <w:rPr>
          <w:spacing w:val="-12"/>
        </w:rPr>
        <w:t> </w:t>
      </w:r>
      <w:r>
        <w:rPr/>
        <w:t>tenure</w:t>
      </w:r>
      <w:r>
        <w:rPr>
          <w:spacing w:val="-13"/>
        </w:rPr>
        <w:t> </w:t>
      </w:r>
      <w:r>
        <w:rPr/>
        <w:t>from</w:t>
      </w:r>
      <w:r>
        <w:rPr>
          <w:spacing w:val="-12"/>
        </w:rPr>
        <w:t> </w:t>
      </w:r>
      <w:r>
        <w:rPr/>
        <w:t>2013</w:t>
      </w:r>
      <w:r>
        <w:rPr>
          <w:spacing w:val="-13"/>
        </w:rPr>
        <w:t> </w:t>
      </w:r>
      <w:r>
        <w:rPr/>
        <w:t>to</w:t>
      </w:r>
      <w:r>
        <w:rPr>
          <w:spacing w:val="-12"/>
        </w:rPr>
        <w:t> </w:t>
      </w:r>
      <w:r>
        <w:rPr/>
        <w:t>2017.</w:t>
      </w:r>
      <w:r>
        <w:rPr>
          <w:spacing w:val="-13"/>
        </w:rPr>
        <w:t> </w:t>
      </w:r>
      <w:r>
        <w:rPr/>
        <w:t>He</w:t>
      </w:r>
      <w:r>
        <w:rPr>
          <w:spacing w:val="-12"/>
        </w:rPr>
        <w:t> </w:t>
      </w:r>
      <w:r>
        <w:rPr/>
        <w:t>has</w:t>
      </w:r>
      <w:r>
        <w:rPr>
          <w:spacing w:val="-13"/>
        </w:rPr>
        <w:t> </w:t>
      </w:r>
      <w:r>
        <w:rPr/>
        <w:t>published</w:t>
      </w:r>
      <w:r>
        <w:rPr>
          <w:spacing w:val="-12"/>
        </w:rPr>
        <w:t> </w:t>
      </w:r>
      <w:r>
        <w:rPr/>
        <w:t>more than fifty books, ranging widely from poetry and fiction to critical essays, books on learning English, and a book on cricket. One of his books, Galpe Galpe Ingreji Shekha (Learning English through fiction), was awarded the Ekushey</w:t>
      </w:r>
      <w:r>
        <w:rPr>
          <w:spacing w:val="-4"/>
        </w:rPr>
        <w:t> </w:t>
      </w:r>
      <w:r>
        <w:rPr/>
        <w:t>Puroshker by</w:t>
      </w:r>
      <w:r>
        <w:rPr>
          <w:spacing w:val="-4"/>
        </w:rPr>
        <w:t> </w:t>
      </w:r>
      <w:r>
        <w:rPr/>
        <w:t>Chittagong University</w:t>
      </w:r>
      <w:r>
        <w:rPr>
          <w:spacing w:val="-2"/>
        </w:rPr>
        <w:t> </w:t>
      </w:r>
      <w:r>
        <w:rPr/>
        <w:t>in 1996. He was awarded the literary award by the Chittagong City Corporation </w:t>
      </w:r>
      <w:r>
        <w:rPr>
          <w:spacing w:val="-4"/>
        </w:rPr>
        <w:t>in 2015. In the same year, Ravindra-Bharati University, Kolkata, conferred </w:t>
      </w:r>
      <w:r>
        <w:rPr/>
        <w:t>him the honour of ‘eminent</w:t>
      </w:r>
      <w:r>
        <w:rPr>
          <w:spacing w:val="40"/>
        </w:rPr>
        <w:t> </w:t>
      </w:r>
      <w:r>
        <w:rPr/>
        <w:t>teacher’.</w:t>
      </w:r>
    </w:p>
    <w:p>
      <w:pPr>
        <w:pStyle w:val="BodyText"/>
        <w:spacing w:after="0" w:line="280"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5747072">
                <wp:simplePos x="0" y="0"/>
                <wp:positionH relativeFrom="page">
                  <wp:posOffset>2057400</wp:posOffset>
                </wp:positionH>
                <wp:positionV relativeFrom="paragraph">
                  <wp:posOffset>226097</wp:posOffset>
                </wp:positionV>
                <wp:extent cx="3657600" cy="12700"/>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5747072" id="docshape127" filled="true" fillcolor="#000000" stroked="false">
                <v:fill type="solid"/>
                <w10:wrap type="none"/>
              </v:rect>
            </w:pict>
          </mc:Fallback>
        </mc:AlternateContent>
      </w:r>
      <w:r>
        <w:rPr>
          <w:rFonts w:ascii="Verdana"/>
          <w:spacing w:val="-10"/>
          <w:w w:val="95"/>
          <w:sz w:val="18"/>
        </w:rPr>
        <w:t>2</w:t>
      </w:r>
    </w:p>
    <w:p>
      <w:pPr>
        <w:pStyle w:val="BodyText"/>
        <w:spacing w:before="10"/>
        <w:ind w:left="0"/>
        <w:rPr>
          <w:rFonts w:ascii="Verdana"/>
          <w:sz w:val="18"/>
        </w:rPr>
      </w:pPr>
    </w:p>
    <w:p>
      <w:pPr>
        <w:pStyle w:val="Heading3"/>
        <w:spacing w:before="1"/>
      </w:pPr>
      <w:r>
        <w:rPr>
          <w:spacing w:val="-2"/>
          <w:w w:val="90"/>
        </w:rPr>
        <w:t>ABSTRACT:</w:t>
      </w:r>
    </w:p>
    <w:p>
      <w:pPr>
        <w:spacing w:before="100"/>
        <w:ind w:left="1440"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2619" w:space="261"/>
            <w:col w:w="5760"/>
          </w:cols>
        </w:sectPr>
      </w:pPr>
    </w:p>
    <w:p>
      <w:pPr>
        <w:pStyle w:val="BodyText"/>
        <w:spacing w:line="271" w:lineRule="auto" w:before="87"/>
        <w:ind w:right="1438" w:firstLine="432"/>
        <w:jc w:val="both"/>
      </w:pPr>
      <w:r>
        <w:rPr/>
        <w:t>Enobarbus informs Pompey that Apollodorus carried “A certain queen to Caesar in a mattress” (</w:t>
      </w:r>
      <w:r>
        <w:rPr>
          <w:i/>
        </w:rPr>
        <w:t>AC</w:t>
      </w:r>
      <w:r>
        <w:rPr/>
        <w:t>, 2.6.70)</w:t>
      </w:r>
      <w:r>
        <w:rPr>
          <w:vertAlign w:val="superscript"/>
        </w:rPr>
        <w:t>1</w:t>
      </w:r>
      <w:r>
        <w:rPr>
          <w:vertAlign w:val="baseline"/>
        </w:rPr>
        <w:t>. The carpet itself forms a leitmotif in the subregion of the play. It is both an object to hide a political intention of seduction, and after it is unrolled, when Cleopatra materializes herself out of it, it takes the transcended role of a symbol that ushers in an age of intense interplay between craft, policy, and strategy on the one hand, and love, deception, and the unreality of everything solid on the other. My paper argues that, like the covering property of the carpet, Shakespeare uses the Plutarchian moralistic version</w:t>
      </w:r>
      <w:r>
        <w:rPr>
          <w:spacing w:val="-13"/>
          <w:vertAlign w:val="baseline"/>
        </w:rPr>
        <w:t> </w:t>
      </w:r>
      <w:r>
        <w:rPr>
          <w:vertAlign w:val="baseline"/>
        </w:rPr>
        <w:t>to</w:t>
      </w:r>
      <w:r>
        <w:rPr>
          <w:spacing w:val="-12"/>
          <w:vertAlign w:val="baseline"/>
        </w:rPr>
        <w:t> </w:t>
      </w:r>
      <w:r>
        <w:rPr>
          <w:vertAlign w:val="baseline"/>
        </w:rPr>
        <w:t>advance</w:t>
      </w:r>
      <w:r>
        <w:rPr>
          <w:spacing w:val="-13"/>
          <w:vertAlign w:val="baseline"/>
        </w:rPr>
        <w:t> </w:t>
      </w:r>
      <w:r>
        <w:rPr>
          <w:vertAlign w:val="baseline"/>
        </w:rPr>
        <w:t>reason,</w:t>
      </w:r>
      <w:r>
        <w:rPr>
          <w:spacing w:val="-12"/>
          <w:vertAlign w:val="baseline"/>
        </w:rPr>
        <w:t> </w:t>
      </w:r>
      <w:r>
        <w:rPr>
          <w:vertAlign w:val="baseline"/>
        </w:rPr>
        <w:t>order,</w:t>
      </w:r>
      <w:r>
        <w:rPr>
          <w:spacing w:val="-13"/>
          <w:vertAlign w:val="baseline"/>
        </w:rPr>
        <w:t> </w:t>
      </w:r>
      <w:r>
        <w:rPr>
          <w:vertAlign w:val="baseline"/>
        </w:rPr>
        <w:t>discipline,</w:t>
      </w:r>
      <w:r>
        <w:rPr>
          <w:spacing w:val="-12"/>
          <w:vertAlign w:val="baseline"/>
        </w:rPr>
        <w:t> </w:t>
      </w:r>
      <w:r>
        <w:rPr>
          <w:vertAlign w:val="baseline"/>
        </w:rPr>
        <w:t>and</w:t>
      </w:r>
      <w:r>
        <w:rPr>
          <w:spacing w:val="-13"/>
          <w:vertAlign w:val="baseline"/>
        </w:rPr>
        <w:t> </w:t>
      </w:r>
      <w:r>
        <w:rPr>
          <w:vertAlign w:val="baseline"/>
        </w:rPr>
        <w:t>war</w:t>
      </w:r>
      <w:r>
        <w:rPr>
          <w:spacing w:val="-12"/>
          <w:vertAlign w:val="baseline"/>
        </w:rPr>
        <w:t> </w:t>
      </w:r>
      <w:r>
        <w:rPr>
          <w:vertAlign w:val="baseline"/>
        </w:rPr>
        <w:t>as</w:t>
      </w:r>
      <w:r>
        <w:rPr>
          <w:spacing w:val="-13"/>
          <w:vertAlign w:val="baseline"/>
        </w:rPr>
        <w:t> </w:t>
      </w:r>
      <w:r>
        <w:rPr>
          <w:vertAlign w:val="baseline"/>
        </w:rPr>
        <w:t>the</w:t>
      </w:r>
      <w:r>
        <w:rPr>
          <w:spacing w:val="-12"/>
          <w:vertAlign w:val="baseline"/>
        </w:rPr>
        <w:t> </w:t>
      </w:r>
      <w:r>
        <w:rPr>
          <w:vertAlign w:val="baseline"/>
        </w:rPr>
        <w:t>combinations that work materially for an empire, but like the Cleopatra inside the carpet, the performances of both Antony and Cleopatra far outdo the </w:t>
      </w:r>
      <w:r>
        <w:rPr>
          <w:spacing w:val="-2"/>
          <w:vertAlign w:val="baseline"/>
        </w:rPr>
        <w:t>attempted</w:t>
      </w:r>
      <w:r>
        <w:rPr>
          <w:spacing w:val="-11"/>
          <w:vertAlign w:val="baseline"/>
        </w:rPr>
        <w:t> </w:t>
      </w:r>
      <w:r>
        <w:rPr>
          <w:spacing w:val="-2"/>
          <w:vertAlign w:val="baseline"/>
        </w:rPr>
        <w:t>controlling</w:t>
      </w:r>
      <w:r>
        <w:rPr>
          <w:spacing w:val="-10"/>
          <w:vertAlign w:val="baseline"/>
        </w:rPr>
        <w:t> </w:t>
      </w:r>
      <w:r>
        <w:rPr>
          <w:spacing w:val="-2"/>
          <w:vertAlign w:val="baseline"/>
        </w:rPr>
        <w:t>measures</w:t>
      </w:r>
      <w:r>
        <w:rPr>
          <w:spacing w:val="-11"/>
          <w:vertAlign w:val="baseline"/>
        </w:rPr>
        <w:t> </w:t>
      </w:r>
      <w:r>
        <w:rPr>
          <w:spacing w:val="-2"/>
          <w:vertAlign w:val="baseline"/>
        </w:rPr>
        <w:t>of</w:t>
      </w:r>
      <w:r>
        <w:rPr>
          <w:spacing w:val="-9"/>
          <w:vertAlign w:val="baseline"/>
        </w:rPr>
        <w:t> </w:t>
      </w:r>
      <w:r>
        <w:rPr>
          <w:spacing w:val="-2"/>
          <w:vertAlign w:val="baseline"/>
        </w:rPr>
        <w:t>Octavius.</w:t>
      </w:r>
      <w:r>
        <w:rPr>
          <w:spacing w:val="-2"/>
          <w:vertAlign w:val="superscript"/>
        </w:rPr>
        <w:t>2</w:t>
      </w:r>
      <w:r>
        <w:rPr>
          <w:spacing w:val="-9"/>
          <w:vertAlign w:val="baseline"/>
        </w:rPr>
        <w:t> </w:t>
      </w:r>
      <w:r>
        <w:rPr>
          <w:spacing w:val="-2"/>
          <w:vertAlign w:val="baseline"/>
        </w:rPr>
        <w:t>That</w:t>
      </w:r>
      <w:r>
        <w:rPr>
          <w:spacing w:val="-9"/>
          <w:vertAlign w:val="baseline"/>
        </w:rPr>
        <w:t> </w:t>
      </w:r>
      <w:r>
        <w:rPr>
          <w:spacing w:val="-2"/>
          <w:vertAlign w:val="baseline"/>
        </w:rPr>
        <w:t>is,</w:t>
      </w:r>
      <w:r>
        <w:rPr>
          <w:spacing w:val="-11"/>
          <w:vertAlign w:val="baseline"/>
        </w:rPr>
        <w:t> </w:t>
      </w:r>
      <w:r>
        <w:rPr>
          <w:spacing w:val="-2"/>
          <w:vertAlign w:val="baseline"/>
        </w:rPr>
        <w:t>the</w:t>
      </w:r>
      <w:r>
        <w:rPr>
          <w:spacing w:val="-8"/>
          <w:vertAlign w:val="baseline"/>
        </w:rPr>
        <w:t> </w:t>
      </w:r>
      <w:r>
        <w:rPr>
          <w:spacing w:val="-2"/>
          <w:vertAlign w:val="baseline"/>
        </w:rPr>
        <w:t>material</w:t>
      </w:r>
      <w:r>
        <w:rPr>
          <w:spacing w:val="-9"/>
          <w:vertAlign w:val="baseline"/>
        </w:rPr>
        <w:t> </w:t>
      </w:r>
      <w:r>
        <w:rPr>
          <w:spacing w:val="-2"/>
          <w:vertAlign w:val="baseline"/>
        </w:rPr>
        <w:t>purpose </w:t>
      </w:r>
      <w:r>
        <w:rPr>
          <w:vertAlign w:val="baseline"/>
        </w:rPr>
        <w:t>of</w:t>
      </w:r>
      <w:r>
        <w:rPr>
          <w:spacing w:val="7"/>
          <w:vertAlign w:val="baseline"/>
        </w:rPr>
        <w:t> </w:t>
      </w:r>
      <w:r>
        <w:rPr>
          <w:vertAlign w:val="baseline"/>
        </w:rPr>
        <w:t>the</w:t>
      </w:r>
      <w:r>
        <w:rPr>
          <w:spacing w:val="6"/>
          <w:vertAlign w:val="baseline"/>
        </w:rPr>
        <w:t> </w:t>
      </w:r>
      <w:r>
        <w:rPr>
          <w:vertAlign w:val="baseline"/>
        </w:rPr>
        <w:t>carpet</w:t>
      </w:r>
      <w:r>
        <w:rPr>
          <w:spacing w:val="8"/>
          <w:vertAlign w:val="baseline"/>
        </w:rPr>
        <w:t> </w:t>
      </w:r>
      <w:r>
        <w:rPr>
          <w:vertAlign w:val="baseline"/>
        </w:rPr>
        <w:t>to</w:t>
      </w:r>
      <w:r>
        <w:rPr>
          <w:spacing w:val="6"/>
          <w:vertAlign w:val="baseline"/>
        </w:rPr>
        <w:t> </w:t>
      </w:r>
      <w:r>
        <w:rPr>
          <w:vertAlign w:val="baseline"/>
        </w:rPr>
        <w:t>hide</w:t>
      </w:r>
      <w:r>
        <w:rPr>
          <w:spacing w:val="9"/>
          <w:vertAlign w:val="baseline"/>
        </w:rPr>
        <w:t> </w:t>
      </w:r>
      <w:r>
        <w:rPr>
          <w:vertAlign w:val="baseline"/>
        </w:rPr>
        <w:t>passion</w:t>
      </w:r>
      <w:r>
        <w:rPr>
          <w:spacing w:val="7"/>
          <w:vertAlign w:val="baseline"/>
        </w:rPr>
        <w:t> </w:t>
      </w:r>
      <w:r>
        <w:rPr>
          <w:vertAlign w:val="baseline"/>
        </w:rPr>
        <w:t>is</w:t>
      </w:r>
      <w:r>
        <w:rPr>
          <w:spacing w:val="7"/>
          <w:vertAlign w:val="baseline"/>
        </w:rPr>
        <w:t> </w:t>
      </w:r>
      <w:r>
        <w:rPr>
          <w:vertAlign w:val="baseline"/>
        </w:rPr>
        <w:t>defeated</w:t>
      </w:r>
      <w:r>
        <w:rPr>
          <w:spacing w:val="8"/>
          <w:vertAlign w:val="baseline"/>
        </w:rPr>
        <w:t> </w:t>
      </w:r>
      <w:r>
        <w:rPr>
          <w:vertAlign w:val="baseline"/>
        </w:rPr>
        <w:t>by</w:t>
      </w:r>
      <w:r>
        <w:rPr>
          <w:spacing w:val="2"/>
          <w:vertAlign w:val="baseline"/>
        </w:rPr>
        <w:t> </w:t>
      </w:r>
      <w:r>
        <w:rPr>
          <w:vertAlign w:val="baseline"/>
        </w:rPr>
        <w:t>the</w:t>
      </w:r>
      <w:r>
        <w:rPr>
          <w:spacing w:val="6"/>
          <w:vertAlign w:val="baseline"/>
        </w:rPr>
        <w:t> </w:t>
      </w:r>
      <w:r>
        <w:rPr>
          <w:vertAlign w:val="baseline"/>
        </w:rPr>
        <w:t>passion</w:t>
      </w:r>
      <w:r>
        <w:rPr>
          <w:spacing w:val="7"/>
          <w:vertAlign w:val="baseline"/>
        </w:rPr>
        <w:t> </w:t>
      </w:r>
      <w:r>
        <w:rPr>
          <w:vertAlign w:val="baseline"/>
        </w:rPr>
        <w:t>released</w:t>
      </w:r>
      <w:r>
        <w:rPr>
          <w:spacing w:val="8"/>
          <w:vertAlign w:val="baseline"/>
        </w:rPr>
        <w:t> </w:t>
      </w:r>
      <w:r>
        <w:rPr>
          <w:vertAlign w:val="baseline"/>
        </w:rPr>
        <w:t>by</w:t>
      </w:r>
      <w:r>
        <w:rPr>
          <w:spacing w:val="5"/>
          <w:vertAlign w:val="baseline"/>
        </w:rPr>
        <w:t> </w:t>
      </w:r>
      <w:r>
        <w:rPr>
          <w:spacing w:val="-4"/>
          <w:vertAlign w:val="baseline"/>
        </w:rPr>
        <w:t>this</w:t>
      </w:r>
    </w:p>
    <w:p>
      <w:pPr>
        <w:pStyle w:val="BodyText"/>
        <w:ind w:left="0"/>
      </w:pPr>
    </w:p>
    <w:p>
      <w:pPr>
        <w:pStyle w:val="BodyText"/>
        <w:spacing w:before="94"/>
        <w:ind w:left="0"/>
      </w:pPr>
      <w:r>
        <w:rPr/>
        <mc:AlternateContent>
          <mc:Choice Requires="wps">
            <w:drawing>
              <wp:anchor distT="0" distB="0" distL="0" distR="0" allowOverlap="1" layoutInCell="1" locked="0" behindDoc="1" simplePos="0" relativeHeight="487605760">
                <wp:simplePos x="0" y="0"/>
                <wp:positionH relativeFrom="page">
                  <wp:posOffset>2057400</wp:posOffset>
                </wp:positionH>
                <wp:positionV relativeFrom="paragraph">
                  <wp:posOffset>221138</wp:posOffset>
                </wp:positionV>
                <wp:extent cx="3657600" cy="12700"/>
                <wp:effectExtent l="0" t="0" r="0" b="0"/>
                <wp:wrapTopAndBottom/>
                <wp:docPr id="132" name="Graphic 132"/>
                <wp:cNvGraphicFramePr>
                  <a:graphicFrameLocks/>
                </wp:cNvGraphicFramePr>
                <a:graphic>
                  <a:graphicData uri="http://schemas.microsoft.com/office/word/2010/wordprocessingShape">
                    <wps:wsp>
                      <wps:cNvPr id="132" name="Graphic 132"/>
                      <wps:cNvSpPr/>
                      <wps:spPr>
                        <a:xfrm>
                          <a:off x="0" y="0"/>
                          <a:ext cx="3657600" cy="12700"/>
                        </a:xfrm>
                        <a:custGeom>
                          <a:avLst/>
                          <a:gdLst/>
                          <a:ahLst/>
                          <a:cxnLst/>
                          <a:rect l="l" t="t" r="r" b="b"/>
                          <a:pathLst>
                            <a:path w="3657600" h="12700">
                              <a:moveTo>
                                <a:pt x="0" y="0"/>
                              </a:moveTo>
                              <a:lnTo>
                                <a:pt x="3657600" y="0"/>
                              </a:lnTo>
                              <a:lnTo>
                                <a:pt x="3657600" y="12192"/>
                              </a:lnTo>
                              <a:lnTo>
                                <a:pt x="0" y="12192"/>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412516pt;width:288.000009pt;height:.960022pt;mso-position-horizontal-relative:page;mso-position-vertical-relative:paragraph;z-index:-15710720;mso-wrap-distance-left:0;mso-wrap-distance-right:0" id="docshape128" filled="true" fillcolor="#000000" stroked="false">
                <v:fill type="solid"/>
                <w10:wrap type="topAndBottom"/>
              </v:rect>
            </w:pict>
          </mc:Fallback>
        </mc:AlternateContent>
      </w:r>
    </w:p>
    <w:p>
      <w:pPr>
        <w:spacing w:line="249" w:lineRule="auto" w:before="38"/>
        <w:ind w:left="1440" w:right="1438" w:firstLine="0"/>
        <w:jc w:val="both"/>
        <w:rPr>
          <w:sz w:val="18"/>
        </w:rPr>
      </w:pPr>
      <w:r>
        <w:rPr>
          <w:sz w:val="18"/>
          <w:vertAlign w:val="superscript"/>
        </w:rPr>
        <w:t>1</w:t>
      </w:r>
      <w:r>
        <w:rPr>
          <w:spacing w:val="-3"/>
          <w:sz w:val="18"/>
          <w:vertAlign w:val="baseline"/>
        </w:rPr>
        <w:t> </w:t>
      </w:r>
      <w:r>
        <w:rPr>
          <w:sz w:val="18"/>
          <w:vertAlign w:val="baseline"/>
        </w:rPr>
        <w:t>All quotations from Shakespeare’s works are from this edition: </w:t>
      </w:r>
      <w:r>
        <w:rPr>
          <w:i/>
          <w:sz w:val="18"/>
          <w:vertAlign w:val="baseline"/>
        </w:rPr>
        <w:t>The Arden Shakespeare: Complete Works: Revised Edition, </w:t>
      </w:r>
      <w:r>
        <w:rPr>
          <w:sz w:val="18"/>
          <w:vertAlign w:val="baseline"/>
        </w:rPr>
        <w:t>edited by Richard Proudfoot, Ann Thompson and David Scott Kastan; Consultant Editor Harold Jenkins, published</w:t>
      </w:r>
      <w:r>
        <w:rPr>
          <w:spacing w:val="20"/>
          <w:sz w:val="18"/>
          <w:vertAlign w:val="baseline"/>
        </w:rPr>
        <w:t> </w:t>
      </w:r>
      <w:r>
        <w:rPr>
          <w:sz w:val="18"/>
          <w:vertAlign w:val="baseline"/>
        </w:rPr>
        <w:t>by Thomas Nelson</w:t>
      </w:r>
      <w:r>
        <w:rPr>
          <w:spacing w:val="20"/>
          <w:sz w:val="18"/>
          <w:vertAlign w:val="baseline"/>
        </w:rPr>
        <w:t> </w:t>
      </w:r>
      <w:r>
        <w:rPr>
          <w:sz w:val="18"/>
          <w:vertAlign w:val="baseline"/>
        </w:rPr>
        <w:t>and</w:t>
      </w:r>
      <w:r>
        <w:rPr>
          <w:spacing w:val="20"/>
          <w:sz w:val="18"/>
          <w:vertAlign w:val="baseline"/>
        </w:rPr>
        <w:t> </w:t>
      </w:r>
      <w:r>
        <w:rPr>
          <w:sz w:val="18"/>
          <w:vertAlign w:val="baseline"/>
        </w:rPr>
        <w:t>Sons Limited,</w:t>
      </w:r>
      <w:r>
        <w:rPr>
          <w:spacing w:val="20"/>
          <w:sz w:val="18"/>
          <w:vertAlign w:val="baseline"/>
        </w:rPr>
        <w:t> </w:t>
      </w:r>
      <w:r>
        <w:rPr>
          <w:sz w:val="18"/>
          <w:vertAlign w:val="baseline"/>
        </w:rPr>
        <w:t>1998. And</w:t>
      </w:r>
      <w:r>
        <w:rPr>
          <w:spacing w:val="20"/>
          <w:sz w:val="18"/>
          <w:vertAlign w:val="baseline"/>
        </w:rPr>
        <w:t> </w:t>
      </w:r>
      <w:r>
        <w:rPr>
          <w:sz w:val="18"/>
          <w:vertAlign w:val="baseline"/>
        </w:rPr>
        <w:t>the text</w:t>
      </w:r>
      <w:r>
        <w:rPr>
          <w:spacing w:val="20"/>
          <w:sz w:val="18"/>
          <w:vertAlign w:val="baseline"/>
        </w:rPr>
        <w:t> </w:t>
      </w:r>
      <w:r>
        <w:rPr>
          <w:sz w:val="18"/>
          <w:vertAlign w:val="baseline"/>
        </w:rPr>
        <w:t>is edited by</w:t>
      </w:r>
      <w:r>
        <w:rPr>
          <w:spacing w:val="40"/>
          <w:sz w:val="18"/>
          <w:vertAlign w:val="baseline"/>
        </w:rPr>
        <w:t> </w:t>
      </w:r>
      <w:r>
        <w:rPr>
          <w:sz w:val="18"/>
          <w:vertAlign w:val="baseline"/>
        </w:rPr>
        <w:t>John</w:t>
      </w:r>
      <w:r>
        <w:rPr>
          <w:spacing w:val="40"/>
          <w:sz w:val="18"/>
          <w:vertAlign w:val="baseline"/>
        </w:rPr>
        <w:t> </w:t>
      </w:r>
      <w:r>
        <w:rPr>
          <w:sz w:val="18"/>
          <w:vertAlign w:val="baseline"/>
        </w:rPr>
        <w:t>Wilders.</w:t>
      </w:r>
    </w:p>
    <w:p>
      <w:pPr>
        <w:spacing w:line="254" w:lineRule="auto" w:before="61"/>
        <w:ind w:left="1440" w:right="1434" w:firstLine="0"/>
        <w:jc w:val="both"/>
        <w:rPr>
          <w:sz w:val="18"/>
        </w:rPr>
      </w:pPr>
      <w:r>
        <w:rPr>
          <w:sz w:val="18"/>
          <w:vertAlign w:val="superscript"/>
        </w:rPr>
        <w:t>2</w:t>
      </w:r>
      <w:r>
        <w:rPr>
          <w:sz w:val="18"/>
          <w:vertAlign w:val="baseline"/>
        </w:rPr>
        <w:t> “</w:t>
      </w:r>
      <w:r>
        <w:rPr>
          <w:i/>
          <w:sz w:val="18"/>
          <w:vertAlign w:val="baseline"/>
        </w:rPr>
        <w:t>Antony and Cleopatra </w:t>
      </w:r>
      <w:r>
        <w:rPr>
          <w:sz w:val="18"/>
          <w:vertAlign w:val="baseline"/>
        </w:rPr>
        <w:t>is based on historical events, and Shakespeare based his play on existing sources describing these events, primarily Sir Thomas North’s 1579 translation of </w:t>
      </w:r>
      <w:r>
        <w:rPr>
          <w:i/>
          <w:sz w:val="18"/>
          <w:vertAlign w:val="baseline"/>
        </w:rPr>
        <w:t>The Lives of the Noble Grecians and Romans </w:t>
      </w:r>
      <w:r>
        <w:rPr>
          <w:sz w:val="18"/>
          <w:vertAlign w:val="baseline"/>
        </w:rPr>
        <w:t>by</w:t>
      </w:r>
      <w:r>
        <w:rPr>
          <w:spacing w:val="80"/>
          <w:sz w:val="18"/>
          <w:vertAlign w:val="baseline"/>
        </w:rPr>
        <w:t> </w:t>
      </w:r>
      <w:r>
        <w:rPr>
          <w:sz w:val="18"/>
          <w:vertAlign w:val="baseline"/>
        </w:rPr>
        <w:t>the Greek biographer Plutarch (46-127 C. E.). Shakespeare used many of the incidents Plutarch reported, as shown by the following partial list of parallel events</w:t>
      </w:r>
      <w:r>
        <w:rPr>
          <w:spacing w:val="40"/>
          <w:sz w:val="18"/>
          <w:vertAlign w:val="baseline"/>
        </w:rPr>
        <w:t> </w:t>
      </w:r>
      <w:r>
        <w:rPr>
          <w:sz w:val="18"/>
          <w:vertAlign w:val="baseline"/>
        </w:rPr>
        <w:t>compiled</w:t>
      </w:r>
      <w:r>
        <w:rPr>
          <w:spacing w:val="40"/>
          <w:sz w:val="18"/>
          <w:vertAlign w:val="baseline"/>
        </w:rPr>
        <w:t> </w:t>
      </w:r>
      <w:r>
        <w:rPr>
          <w:sz w:val="18"/>
          <w:vertAlign w:val="baseline"/>
        </w:rPr>
        <w:t>by the</w:t>
      </w:r>
      <w:r>
        <w:rPr>
          <w:spacing w:val="40"/>
          <w:sz w:val="18"/>
          <w:vertAlign w:val="baseline"/>
        </w:rPr>
        <w:t> </w:t>
      </w:r>
      <w:r>
        <w:rPr>
          <w:sz w:val="18"/>
          <w:vertAlign w:val="baseline"/>
        </w:rPr>
        <w:t>scholar</w:t>
      </w:r>
      <w:r>
        <w:rPr>
          <w:spacing w:val="40"/>
          <w:sz w:val="18"/>
          <w:vertAlign w:val="baseline"/>
        </w:rPr>
        <w:t> </w:t>
      </w:r>
      <w:r>
        <w:rPr>
          <w:sz w:val="18"/>
          <w:vertAlign w:val="baseline"/>
        </w:rPr>
        <w:t>David</w:t>
      </w:r>
      <w:r>
        <w:rPr>
          <w:spacing w:val="40"/>
          <w:sz w:val="18"/>
          <w:vertAlign w:val="baseline"/>
        </w:rPr>
        <w:t> </w:t>
      </w:r>
      <w:r>
        <w:rPr>
          <w:sz w:val="18"/>
          <w:vertAlign w:val="baseline"/>
        </w:rPr>
        <w:t>Bevington:</w:t>
      </w:r>
    </w:p>
    <w:p>
      <w:pPr>
        <w:pStyle w:val="ListParagraph"/>
        <w:numPr>
          <w:ilvl w:val="0"/>
          <w:numId w:val="5"/>
        </w:numPr>
        <w:tabs>
          <w:tab w:pos="2160" w:val="left" w:leader="none"/>
        </w:tabs>
        <w:spacing w:line="240" w:lineRule="auto" w:before="69" w:after="0"/>
        <w:ind w:left="2160" w:right="0" w:hanging="240"/>
        <w:jc w:val="both"/>
        <w:rPr>
          <w:sz w:val="19"/>
        </w:rPr>
      </w:pPr>
      <w:r>
        <w:rPr>
          <w:sz w:val="19"/>
        </w:rPr>
        <w:t>eight</w:t>
      </w:r>
      <w:r>
        <w:rPr>
          <w:spacing w:val="43"/>
          <w:sz w:val="19"/>
        </w:rPr>
        <w:t> </w:t>
      </w:r>
      <w:r>
        <w:rPr>
          <w:sz w:val="19"/>
        </w:rPr>
        <w:t>wild</w:t>
      </w:r>
      <w:r>
        <w:rPr>
          <w:spacing w:val="47"/>
          <w:sz w:val="19"/>
        </w:rPr>
        <w:t> </w:t>
      </w:r>
      <w:r>
        <w:rPr>
          <w:sz w:val="19"/>
        </w:rPr>
        <w:t>boars</w:t>
      </w:r>
      <w:r>
        <w:rPr>
          <w:spacing w:val="41"/>
          <w:sz w:val="19"/>
        </w:rPr>
        <w:t> </w:t>
      </w:r>
      <w:r>
        <w:rPr>
          <w:sz w:val="19"/>
        </w:rPr>
        <w:t>roasted</w:t>
      </w:r>
      <w:r>
        <w:rPr>
          <w:spacing w:val="45"/>
          <w:sz w:val="19"/>
        </w:rPr>
        <w:t> </w:t>
      </w:r>
      <w:r>
        <w:rPr>
          <w:sz w:val="19"/>
        </w:rPr>
        <w:t>whole</w:t>
      </w:r>
      <w:r>
        <w:rPr>
          <w:spacing w:val="42"/>
          <w:sz w:val="19"/>
        </w:rPr>
        <w:t> </w:t>
      </w:r>
      <w:r>
        <w:rPr>
          <w:sz w:val="19"/>
        </w:rPr>
        <w:t>for</w:t>
      </w:r>
      <w:r>
        <w:rPr>
          <w:spacing w:val="43"/>
          <w:sz w:val="19"/>
        </w:rPr>
        <w:t> </w:t>
      </w:r>
      <w:r>
        <w:rPr>
          <w:sz w:val="19"/>
        </w:rPr>
        <w:t>only</w:t>
      </w:r>
      <w:r>
        <w:rPr>
          <w:spacing w:val="37"/>
          <w:sz w:val="19"/>
        </w:rPr>
        <w:t> </w:t>
      </w:r>
      <w:r>
        <w:rPr>
          <w:sz w:val="19"/>
        </w:rPr>
        <w:t>12</w:t>
      </w:r>
      <w:r>
        <w:rPr>
          <w:spacing w:val="45"/>
          <w:sz w:val="19"/>
        </w:rPr>
        <w:t> </w:t>
      </w:r>
      <w:r>
        <w:rPr>
          <w:sz w:val="19"/>
        </w:rPr>
        <w:t>guests</w:t>
      </w:r>
      <w:r>
        <w:rPr>
          <w:spacing w:val="43"/>
          <w:sz w:val="19"/>
        </w:rPr>
        <w:t> </w:t>
      </w:r>
      <w:r>
        <w:rPr>
          <w:spacing w:val="-2"/>
          <w:sz w:val="19"/>
        </w:rPr>
        <w:t>(2.2.)</w:t>
      </w:r>
    </w:p>
    <w:p>
      <w:pPr>
        <w:pStyle w:val="ListParagraph"/>
        <w:numPr>
          <w:ilvl w:val="0"/>
          <w:numId w:val="5"/>
        </w:numPr>
        <w:tabs>
          <w:tab w:pos="2160" w:val="left" w:leader="none"/>
        </w:tabs>
        <w:spacing w:line="261" w:lineRule="auto" w:before="77" w:after="0"/>
        <w:ind w:left="2160" w:right="1444" w:hanging="240"/>
        <w:jc w:val="both"/>
        <w:rPr>
          <w:sz w:val="19"/>
        </w:rPr>
      </w:pPr>
      <w:r>
        <w:rPr>
          <w:sz w:val="19"/>
        </w:rPr>
        <w:t>Cleopatra</w:t>
      </w:r>
      <w:r>
        <w:rPr>
          <w:spacing w:val="39"/>
          <w:sz w:val="19"/>
        </w:rPr>
        <w:t> </w:t>
      </w:r>
      <w:r>
        <w:rPr>
          <w:sz w:val="19"/>
        </w:rPr>
        <w:t>teasing</w:t>
      </w:r>
      <w:r>
        <w:rPr>
          <w:spacing w:val="32"/>
          <w:sz w:val="19"/>
        </w:rPr>
        <w:t> </w:t>
      </w:r>
      <w:r>
        <w:rPr>
          <w:sz w:val="19"/>
        </w:rPr>
        <w:t>Antony</w:t>
      </w:r>
      <w:r>
        <w:rPr>
          <w:spacing w:val="34"/>
          <w:sz w:val="19"/>
        </w:rPr>
        <w:t> </w:t>
      </w:r>
      <w:r>
        <w:rPr>
          <w:sz w:val="19"/>
        </w:rPr>
        <w:t>by</w:t>
      </w:r>
      <w:r>
        <w:rPr>
          <w:spacing w:val="36"/>
          <w:sz w:val="19"/>
        </w:rPr>
        <w:t> </w:t>
      </w:r>
      <w:r>
        <w:rPr>
          <w:sz w:val="19"/>
        </w:rPr>
        <w:t>causing</w:t>
      </w:r>
      <w:r>
        <w:rPr>
          <w:spacing w:val="37"/>
          <w:sz w:val="19"/>
        </w:rPr>
        <w:t> </w:t>
      </w:r>
      <w:r>
        <w:rPr>
          <w:sz w:val="19"/>
        </w:rPr>
        <w:t>an</w:t>
      </w:r>
      <w:r>
        <w:rPr>
          <w:spacing w:val="40"/>
          <w:sz w:val="19"/>
        </w:rPr>
        <w:t> </w:t>
      </w:r>
      <w:r>
        <w:rPr>
          <w:sz w:val="19"/>
        </w:rPr>
        <w:t>old</w:t>
      </w:r>
      <w:r>
        <w:rPr>
          <w:spacing w:val="40"/>
          <w:sz w:val="19"/>
        </w:rPr>
        <w:t> </w:t>
      </w:r>
      <w:r>
        <w:rPr>
          <w:sz w:val="19"/>
        </w:rPr>
        <w:t>dried</w:t>
      </w:r>
      <w:r>
        <w:rPr>
          <w:spacing w:val="40"/>
          <w:sz w:val="19"/>
        </w:rPr>
        <w:t> </w:t>
      </w:r>
      <w:r>
        <w:rPr>
          <w:sz w:val="19"/>
        </w:rPr>
        <w:t>salt</w:t>
      </w:r>
      <w:r>
        <w:rPr>
          <w:spacing w:val="39"/>
          <w:sz w:val="19"/>
        </w:rPr>
        <w:t> </w:t>
      </w:r>
      <w:r>
        <w:rPr>
          <w:sz w:val="19"/>
        </w:rPr>
        <w:t>fish</w:t>
      </w:r>
      <w:r>
        <w:rPr>
          <w:spacing w:val="40"/>
          <w:sz w:val="19"/>
        </w:rPr>
        <w:t> </w:t>
      </w:r>
      <w:r>
        <w:rPr>
          <w:sz w:val="19"/>
        </w:rPr>
        <w:t>to be</w:t>
      </w:r>
      <w:r>
        <w:rPr>
          <w:spacing w:val="40"/>
          <w:sz w:val="19"/>
        </w:rPr>
        <w:t> </w:t>
      </w:r>
      <w:r>
        <w:rPr>
          <w:sz w:val="19"/>
        </w:rPr>
        <w:t>placed</w:t>
      </w:r>
      <w:r>
        <w:rPr>
          <w:spacing w:val="40"/>
          <w:sz w:val="19"/>
        </w:rPr>
        <w:t> </w:t>
      </w:r>
      <w:r>
        <w:rPr>
          <w:sz w:val="19"/>
        </w:rPr>
        <w:t>on</w:t>
      </w:r>
      <w:r>
        <w:rPr>
          <w:spacing w:val="40"/>
          <w:sz w:val="19"/>
        </w:rPr>
        <w:t> </w:t>
      </w:r>
      <w:r>
        <w:rPr>
          <w:sz w:val="19"/>
        </w:rPr>
        <w:t>his</w:t>
      </w:r>
      <w:r>
        <w:rPr>
          <w:spacing w:val="40"/>
          <w:sz w:val="19"/>
        </w:rPr>
        <w:t> </w:t>
      </w:r>
      <w:r>
        <w:rPr>
          <w:sz w:val="19"/>
        </w:rPr>
        <w:t>fishing</w:t>
      </w:r>
      <w:r>
        <w:rPr>
          <w:spacing w:val="40"/>
          <w:sz w:val="19"/>
        </w:rPr>
        <w:t> </w:t>
      </w:r>
      <w:r>
        <w:rPr>
          <w:sz w:val="19"/>
        </w:rPr>
        <w:t>line</w:t>
      </w:r>
      <w:r>
        <w:rPr>
          <w:spacing w:val="40"/>
          <w:sz w:val="19"/>
        </w:rPr>
        <w:t> </w:t>
      </w:r>
      <w:r>
        <w:rPr>
          <w:sz w:val="19"/>
        </w:rPr>
        <w:t>(3.5.)</w:t>
      </w:r>
    </w:p>
    <w:p>
      <w:pPr>
        <w:pStyle w:val="ListParagraph"/>
        <w:numPr>
          <w:ilvl w:val="0"/>
          <w:numId w:val="5"/>
        </w:numPr>
        <w:tabs>
          <w:tab w:pos="2160" w:val="left" w:leader="none"/>
        </w:tabs>
        <w:spacing w:line="261" w:lineRule="auto" w:before="56" w:after="0"/>
        <w:ind w:left="2160" w:right="1439" w:hanging="240"/>
        <w:jc w:val="both"/>
        <w:rPr>
          <w:sz w:val="19"/>
        </w:rPr>
      </w:pPr>
      <w:r>
        <w:rPr>
          <w:sz w:val="19"/>
        </w:rPr>
        <w:t>Menas</w:t>
      </w:r>
      <w:r>
        <w:rPr>
          <w:spacing w:val="40"/>
          <w:sz w:val="19"/>
        </w:rPr>
        <w:t> </w:t>
      </w:r>
      <w:r>
        <w:rPr>
          <w:sz w:val="19"/>
        </w:rPr>
        <w:t>suggesting</w:t>
      </w:r>
      <w:r>
        <w:rPr>
          <w:spacing w:val="40"/>
          <w:sz w:val="19"/>
        </w:rPr>
        <w:t> </w:t>
      </w:r>
      <w:r>
        <w:rPr>
          <w:sz w:val="19"/>
        </w:rPr>
        <w:t>to</w:t>
      </w:r>
      <w:r>
        <w:rPr>
          <w:spacing w:val="40"/>
          <w:sz w:val="19"/>
        </w:rPr>
        <w:t> </w:t>
      </w:r>
      <w:r>
        <w:rPr>
          <w:sz w:val="19"/>
        </w:rPr>
        <w:t>Pompey</w:t>
      </w:r>
      <w:r>
        <w:rPr>
          <w:spacing w:val="40"/>
          <w:sz w:val="19"/>
        </w:rPr>
        <w:t> </w:t>
      </w:r>
      <w:r>
        <w:rPr>
          <w:sz w:val="19"/>
        </w:rPr>
        <w:t>that</w:t>
      </w:r>
      <w:r>
        <w:rPr>
          <w:spacing w:val="40"/>
          <w:sz w:val="19"/>
        </w:rPr>
        <w:t> </w:t>
      </w:r>
      <w:r>
        <w:rPr>
          <w:sz w:val="19"/>
        </w:rPr>
        <w:t>they</w:t>
      </w:r>
      <w:r>
        <w:rPr>
          <w:spacing w:val="40"/>
          <w:sz w:val="19"/>
        </w:rPr>
        <w:t> </w:t>
      </w:r>
      <w:r>
        <w:rPr>
          <w:sz w:val="19"/>
        </w:rPr>
        <w:t>cut</w:t>
      </w:r>
      <w:r>
        <w:rPr>
          <w:spacing w:val="40"/>
          <w:sz w:val="19"/>
        </w:rPr>
        <w:t> </w:t>
      </w:r>
      <w:r>
        <w:rPr>
          <w:sz w:val="19"/>
        </w:rPr>
        <w:t>the</w:t>
      </w:r>
      <w:r>
        <w:rPr>
          <w:spacing w:val="40"/>
          <w:sz w:val="19"/>
        </w:rPr>
        <w:t> </w:t>
      </w:r>
      <w:r>
        <w:rPr>
          <w:sz w:val="19"/>
        </w:rPr>
        <w:t>anchor</w:t>
      </w:r>
      <w:r>
        <w:rPr>
          <w:spacing w:val="40"/>
          <w:sz w:val="19"/>
        </w:rPr>
        <w:t> </w:t>
      </w:r>
      <w:r>
        <w:rPr>
          <w:sz w:val="19"/>
        </w:rPr>
        <w:t>cable with their opponents, Caesar, Antony, and Lepidus still aboard </w:t>
      </w:r>
      <w:r>
        <w:rPr>
          <w:spacing w:val="-2"/>
          <w:sz w:val="19"/>
        </w:rPr>
        <w:t>(2.7.)</w:t>
      </w:r>
    </w:p>
    <w:p>
      <w:pPr>
        <w:pStyle w:val="ListParagraph"/>
        <w:numPr>
          <w:ilvl w:val="0"/>
          <w:numId w:val="5"/>
        </w:numPr>
        <w:tabs>
          <w:tab w:pos="2160" w:val="left" w:leader="none"/>
        </w:tabs>
        <w:spacing w:line="261" w:lineRule="auto" w:before="59" w:after="0"/>
        <w:ind w:left="2160" w:right="1441" w:hanging="240"/>
        <w:jc w:val="both"/>
        <w:rPr>
          <w:sz w:val="19"/>
        </w:rPr>
      </w:pPr>
      <w:r>
        <w:rPr>
          <w:sz w:val="19"/>
        </w:rPr>
        <w:t>Cleopatra’s sudden changes from weeping to laughing and her willingness to be flattered by those who tell her Antony has married</w:t>
      </w:r>
      <w:r>
        <w:rPr>
          <w:spacing w:val="40"/>
          <w:sz w:val="19"/>
        </w:rPr>
        <w:t> </w:t>
      </w:r>
      <w:r>
        <w:rPr>
          <w:sz w:val="19"/>
        </w:rPr>
        <w:t>Octavia</w:t>
      </w:r>
      <w:r>
        <w:rPr>
          <w:spacing w:val="40"/>
          <w:sz w:val="19"/>
        </w:rPr>
        <w:t> </w:t>
      </w:r>
      <w:r>
        <w:rPr>
          <w:sz w:val="19"/>
        </w:rPr>
        <w:t>solely</w:t>
      </w:r>
      <w:r>
        <w:rPr>
          <w:spacing w:val="40"/>
          <w:sz w:val="19"/>
        </w:rPr>
        <w:t> </w:t>
      </w:r>
      <w:r>
        <w:rPr>
          <w:sz w:val="19"/>
        </w:rPr>
        <w:t>out</w:t>
      </w:r>
      <w:r>
        <w:rPr>
          <w:spacing w:val="40"/>
          <w:sz w:val="19"/>
        </w:rPr>
        <w:t> </w:t>
      </w:r>
      <w:r>
        <w:rPr>
          <w:sz w:val="19"/>
        </w:rPr>
        <w:t>of</w:t>
      </w:r>
      <w:r>
        <w:rPr>
          <w:spacing w:val="40"/>
          <w:sz w:val="19"/>
        </w:rPr>
        <w:t> </w:t>
      </w:r>
      <w:r>
        <w:rPr>
          <w:sz w:val="19"/>
        </w:rPr>
        <w:t>necessity</w:t>
      </w:r>
      <w:r>
        <w:rPr>
          <w:spacing w:val="40"/>
          <w:sz w:val="19"/>
        </w:rPr>
        <w:t> </w:t>
      </w:r>
      <w:r>
        <w:rPr>
          <w:sz w:val="19"/>
        </w:rPr>
        <w:t>(3.3.)</w:t>
      </w:r>
    </w:p>
    <w:p>
      <w:pPr>
        <w:pStyle w:val="ListParagraph"/>
        <w:spacing w:after="0" w:line="261" w:lineRule="auto"/>
        <w:jc w:val="both"/>
        <w:rPr>
          <w:sz w:val="19"/>
        </w:rPr>
        <w:sectPr>
          <w:type w:val="continuous"/>
          <w:pgSz w:w="12240" w:h="15840"/>
          <w:pgMar w:top="1380" w:bottom="280" w:left="1800" w:right="1800"/>
        </w:sectPr>
      </w:pPr>
    </w:p>
    <w:p>
      <w:pPr>
        <w:tabs>
          <w:tab w:pos="7183"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06784">
                <wp:simplePos x="0" y="0"/>
                <wp:positionH relativeFrom="page">
                  <wp:posOffset>2065020</wp:posOffset>
                </wp:positionH>
                <wp:positionV relativeFrom="paragraph">
                  <wp:posOffset>795020</wp:posOffset>
                </wp:positionV>
                <wp:extent cx="3657600" cy="1270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709696;mso-wrap-distance-left:0;mso-wrap-distance-right:0" id="docshape129" filled="true" fillcolor="#000000" stroked="false">
                <v:fill type="solid"/>
                <w10:wrap type="topAndBottom"/>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10"/>
          <w:sz w:val="18"/>
        </w:rPr>
        <w:t>3</w:t>
      </w:r>
    </w:p>
    <w:p>
      <w:pPr>
        <w:pStyle w:val="BodyText"/>
        <w:spacing w:line="249" w:lineRule="auto" w:before="192"/>
        <w:ind w:right="1437"/>
      </w:pPr>
      <w:r>
        <w:rPr/>
        <w:t>very</w:t>
      </w:r>
      <w:r>
        <w:rPr>
          <w:spacing w:val="-13"/>
        </w:rPr>
        <w:t> </w:t>
      </w:r>
      <w:r>
        <w:rPr/>
        <w:t>carpet.</w:t>
      </w:r>
      <w:r>
        <w:rPr>
          <w:spacing w:val="-9"/>
        </w:rPr>
        <w:t> </w:t>
      </w:r>
      <w:r>
        <w:rPr/>
        <w:t>The</w:t>
      </w:r>
      <w:r>
        <w:rPr>
          <w:spacing w:val="-8"/>
        </w:rPr>
        <w:t> </w:t>
      </w:r>
      <w:r>
        <w:rPr/>
        <w:t>solid</w:t>
      </w:r>
      <w:r>
        <w:rPr>
          <w:spacing w:val="-9"/>
        </w:rPr>
        <w:t> </w:t>
      </w:r>
      <w:r>
        <w:rPr/>
        <w:t>texture</w:t>
      </w:r>
      <w:r>
        <w:rPr>
          <w:spacing w:val="-11"/>
        </w:rPr>
        <w:t> </w:t>
      </w:r>
      <w:r>
        <w:rPr/>
        <w:t>of</w:t>
      </w:r>
      <w:r>
        <w:rPr>
          <w:spacing w:val="-10"/>
        </w:rPr>
        <w:t> </w:t>
      </w:r>
      <w:r>
        <w:rPr/>
        <w:t>the</w:t>
      </w:r>
      <w:r>
        <w:rPr>
          <w:spacing w:val="-11"/>
        </w:rPr>
        <w:t> </w:t>
      </w:r>
      <w:r>
        <w:rPr/>
        <w:t>carpet</w:t>
      </w:r>
      <w:r>
        <w:rPr>
          <w:spacing w:val="-8"/>
        </w:rPr>
        <w:t> </w:t>
      </w:r>
      <w:r>
        <w:rPr/>
        <w:t>is</w:t>
      </w:r>
      <w:r>
        <w:rPr>
          <w:spacing w:val="-9"/>
        </w:rPr>
        <w:t> </w:t>
      </w:r>
      <w:r>
        <w:rPr/>
        <w:t>diluted</w:t>
      </w:r>
      <w:r>
        <w:rPr>
          <w:spacing w:val="-10"/>
        </w:rPr>
        <w:t> </w:t>
      </w:r>
      <w:r>
        <w:rPr/>
        <w:t>by</w:t>
      </w:r>
      <w:r>
        <w:rPr>
          <w:spacing w:val="-12"/>
        </w:rPr>
        <w:t> </w:t>
      </w:r>
      <w:r>
        <w:rPr/>
        <w:t>the</w:t>
      </w:r>
      <w:r>
        <w:rPr>
          <w:spacing w:val="-8"/>
        </w:rPr>
        <w:t> </w:t>
      </w:r>
      <w:r>
        <w:rPr/>
        <w:t>inner</w:t>
      </w:r>
      <w:r>
        <w:rPr>
          <w:spacing w:val="-7"/>
        </w:rPr>
        <w:t> </w:t>
      </w:r>
      <w:r>
        <w:rPr/>
        <w:t>passion it</w:t>
      </w:r>
      <w:r>
        <w:rPr>
          <w:spacing w:val="32"/>
        </w:rPr>
        <w:t> </w:t>
      </w:r>
      <w:r>
        <w:rPr/>
        <w:t>releases,</w:t>
      </w:r>
      <w:r>
        <w:rPr>
          <w:spacing w:val="34"/>
        </w:rPr>
        <w:t> </w:t>
      </w:r>
      <w:r>
        <w:rPr/>
        <w:t>and</w:t>
      </w:r>
      <w:r>
        <w:rPr>
          <w:spacing w:val="34"/>
        </w:rPr>
        <w:t> </w:t>
      </w:r>
      <w:r>
        <w:rPr/>
        <w:t>everything</w:t>
      </w:r>
      <w:r>
        <w:rPr>
          <w:spacing w:val="32"/>
        </w:rPr>
        <w:t> </w:t>
      </w:r>
      <w:r>
        <w:rPr/>
        <w:t>has</w:t>
      </w:r>
      <w:r>
        <w:rPr>
          <w:spacing w:val="32"/>
        </w:rPr>
        <w:t> </w:t>
      </w:r>
      <w:r>
        <w:rPr/>
        <w:t>to</w:t>
      </w:r>
      <w:r>
        <w:rPr>
          <w:spacing w:val="34"/>
        </w:rPr>
        <w:t> </w:t>
      </w:r>
      <w:r>
        <w:rPr/>
        <w:t>be</w:t>
      </w:r>
      <w:r>
        <w:rPr>
          <w:spacing w:val="33"/>
        </w:rPr>
        <w:t> </w:t>
      </w:r>
      <w:r>
        <w:rPr/>
        <w:t>set</w:t>
      </w:r>
      <w:r>
        <w:rPr>
          <w:spacing w:val="32"/>
        </w:rPr>
        <w:t> </w:t>
      </w:r>
      <w:r>
        <w:rPr/>
        <w:t>anew,</w:t>
      </w:r>
      <w:r>
        <w:rPr>
          <w:spacing w:val="34"/>
        </w:rPr>
        <w:t> </w:t>
      </w:r>
      <w:r>
        <w:rPr/>
        <w:t>as</w:t>
      </w:r>
      <w:r>
        <w:rPr>
          <w:spacing w:val="32"/>
        </w:rPr>
        <w:t> </w:t>
      </w:r>
      <w:r>
        <w:rPr/>
        <w:t>passion</w:t>
      </w:r>
      <w:r>
        <w:rPr>
          <w:spacing w:val="36"/>
        </w:rPr>
        <w:t> </w:t>
      </w:r>
      <w:r>
        <w:rPr/>
        <w:t>demands.</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08"/>
        <w:ind w:left="0"/>
      </w:pPr>
      <w:r>
        <w:rPr/>
        <mc:AlternateContent>
          <mc:Choice Requires="wps">
            <w:drawing>
              <wp:anchor distT="0" distB="0" distL="0" distR="0" allowOverlap="1" layoutInCell="1" locked="0" behindDoc="1" simplePos="0" relativeHeight="487607296">
                <wp:simplePos x="0" y="0"/>
                <wp:positionH relativeFrom="page">
                  <wp:posOffset>2042160</wp:posOffset>
                </wp:positionH>
                <wp:positionV relativeFrom="paragraph">
                  <wp:posOffset>230323</wp:posOffset>
                </wp:positionV>
                <wp:extent cx="3688079" cy="6350"/>
                <wp:effectExtent l="0" t="0" r="0" b="0"/>
                <wp:wrapTopAndBottom/>
                <wp:docPr id="134" name="Graphic 134"/>
                <wp:cNvGraphicFramePr>
                  <a:graphicFrameLocks/>
                </wp:cNvGraphicFramePr>
                <a:graphic>
                  <a:graphicData uri="http://schemas.microsoft.com/office/word/2010/wordprocessingShape">
                    <wps:wsp>
                      <wps:cNvPr id="134" name="Graphic 134"/>
                      <wps:cNvSpPr/>
                      <wps:spPr>
                        <a:xfrm>
                          <a:off x="0" y="0"/>
                          <a:ext cx="3688079" cy="6350"/>
                        </a:xfrm>
                        <a:custGeom>
                          <a:avLst/>
                          <a:gdLst/>
                          <a:ahLst/>
                          <a:cxnLst/>
                          <a:rect l="l" t="t" r="r" b="b"/>
                          <a:pathLst>
                            <a:path w="3688079" h="6350">
                              <a:moveTo>
                                <a:pt x="0" y="0"/>
                              </a:moveTo>
                              <a:lnTo>
                                <a:pt x="3688079" y="0"/>
                              </a:lnTo>
                              <a:lnTo>
                                <a:pt x="3688079" y="6095"/>
                              </a:lnTo>
                              <a:lnTo>
                                <a:pt x="0" y="6095"/>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0.800003pt;margin-top:18.135712pt;width:290.399995pt;height:.479988pt;mso-position-horizontal-relative:page;mso-position-vertical-relative:paragraph;z-index:-15709184;mso-wrap-distance-left:0;mso-wrap-distance-right:0" id="docshape130" filled="true" fillcolor="#000000" stroked="false">
                <v:fill type="solid"/>
                <w10:wrap type="topAndBottom"/>
              </v:rect>
            </w:pict>
          </mc:Fallback>
        </mc:AlternateContent>
      </w:r>
    </w:p>
    <w:p>
      <w:pPr>
        <w:pStyle w:val="ListParagraph"/>
        <w:numPr>
          <w:ilvl w:val="0"/>
          <w:numId w:val="5"/>
        </w:numPr>
        <w:tabs>
          <w:tab w:pos="2160" w:val="left" w:leader="none"/>
        </w:tabs>
        <w:spacing w:line="240" w:lineRule="auto" w:before="154" w:after="0"/>
        <w:ind w:left="2160" w:right="0" w:hanging="240"/>
        <w:jc w:val="left"/>
        <w:rPr>
          <w:sz w:val="19"/>
        </w:rPr>
      </w:pPr>
      <w:r>
        <w:rPr>
          <w:sz w:val="19"/>
        </w:rPr>
        <w:t>Octavius’s</w:t>
      </w:r>
      <w:r>
        <w:rPr>
          <w:spacing w:val="52"/>
          <w:sz w:val="19"/>
        </w:rPr>
        <w:t> </w:t>
      </w:r>
      <w:r>
        <w:rPr>
          <w:sz w:val="19"/>
        </w:rPr>
        <w:t>tenderness</w:t>
      </w:r>
      <w:r>
        <w:rPr>
          <w:spacing w:val="54"/>
          <w:sz w:val="19"/>
        </w:rPr>
        <w:t> </w:t>
      </w:r>
      <w:r>
        <w:rPr>
          <w:sz w:val="19"/>
        </w:rPr>
        <w:t>for</w:t>
      </w:r>
      <w:r>
        <w:rPr>
          <w:spacing w:val="50"/>
          <w:sz w:val="19"/>
        </w:rPr>
        <w:t> </w:t>
      </w:r>
      <w:r>
        <w:rPr>
          <w:sz w:val="19"/>
        </w:rPr>
        <w:t>his</w:t>
      </w:r>
      <w:r>
        <w:rPr>
          <w:spacing w:val="51"/>
          <w:sz w:val="19"/>
        </w:rPr>
        <w:t> </w:t>
      </w:r>
      <w:r>
        <w:rPr>
          <w:sz w:val="19"/>
        </w:rPr>
        <w:t>sister</w:t>
      </w:r>
      <w:r>
        <w:rPr>
          <w:spacing w:val="49"/>
          <w:sz w:val="19"/>
        </w:rPr>
        <w:t> </w:t>
      </w:r>
      <w:r>
        <w:rPr>
          <w:spacing w:val="-2"/>
          <w:sz w:val="19"/>
        </w:rPr>
        <w:t>(4.6.)</w:t>
      </w:r>
    </w:p>
    <w:p>
      <w:pPr>
        <w:pStyle w:val="ListParagraph"/>
        <w:numPr>
          <w:ilvl w:val="0"/>
          <w:numId w:val="5"/>
        </w:numPr>
        <w:tabs>
          <w:tab w:pos="2160" w:val="left" w:leader="none"/>
        </w:tabs>
        <w:spacing w:line="261" w:lineRule="auto" w:before="79" w:after="0"/>
        <w:ind w:left="2160" w:right="1440" w:hanging="240"/>
        <w:jc w:val="left"/>
        <w:rPr>
          <w:sz w:val="19"/>
        </w:rPr>
      </w:pPr>
      <w:r>
        <w:rPr>
          <w:sz w:val="19"/>
        </w:rPr>
        <w:t>Antony’s</w:t>
      </w:r>
      <w:r>
        <w:rPr>
          <w:spacing w:val="40"/>
          <w:sz w:val="19"/>
        </w:rPr>
        <w:t> </w:t>
      </w:r>
      <w:r>
        <w:rPr>
          <w:sz w:val="19"/>
        </w:rPr>
        <w:t>disregarding</w:t>
      </w:r>
      <w:r>
        <w:rPr>
          <w:spacing w:val="40"/>
          <w:sz w:val="19"/>
        </w:rPr>
        <w:t> </w:t>
      </w:r>
      <w:r>
        <w:rPr>
          <w:sz w:val="19"/>
        </w:rPr>
        <w:t>the</w:t>
      </w:r>
      <w:r>
        <w:rPr>
          <w:spacing w:val="40"/>
          <w:sz w:val="19"/>
        </w:rPr>
        <w:t> </w:t>
      </w:r>
      <w:r>
        <w:rPr>
          <w:sz w:val="19"/>
        </w:rPr>
        <w:t>advice</w:t>
      </w:r>
      <w:r>
        <w:rPr>
          <w:spacing w:val="40"/>
          <w:sz w:val="19"/>
        </w:rPr>
        <w:t> </w:t>
      </w:r>
      <w:r>
        <w:rPr>
          <w:sz w:val="19"/>
        </w:rPr>
        <w:t>of</w:t>
      </w:r>
      <w:r>
        <w:rPr>
          <w:spacing w:val="40"/>
          <w:sz w:val="19"/>
        </w:rPr>
        <w:t> </w:t>
      </w:r>
      <w:r>
        <w:rPr>
          <w:sz w:val="19"/>
        </w:rPr>
        <w:t>a</w:t>
      </w:r>
      <w:r>
        <w:rPr>
          <w:spacing w:val="40"/>
          <w:sz w:val="19"/>
        </w:rPr>
        <w:t> </w:t>
      </w:r>
      <w:r>
        <w:rPr>
          <w:sz w:val="19"/>
        </w:rPr>
        <w:t>valiant</w:t>
      </w:r>
      <w:r>
        <w:rPr>
          <w:spacing w:val="40"/>
          <w:sz w:val="19"/>
        </w:rPr>
        <w:t> </w:t>
      </w:r>
      <w:r>
        <w:rPr>
          <w:sz w:val="19"/>
        </w:rPr>
        <w:t>captain</w:t>
      </w:r>
      <w:r>
        <w:rPr>
          <w:spacing w:val="40"/>
          <w:sz w:val="19"/>
        </w:rPr>
        <w:t> </w:t>
      </w:r>
      <w:r>
        <w:rPr>
          <w:sz w:val="19"/>
        </w:rPr>
        <w:t>not</w:t>
      </w:r>
      <w:r>
        <w:rPr>
          <w:spacing w:val="40"/>
          <w:sz w:val="19"/>
        </w:rPr>
        <w:t> </w:t>
      </w:r>
      <w:r>
        <w:rPr>
          <w:sz w:val="19"/>
        </w:rPr>
        <w:t>to fight</w:t>
      </w:r>
      <w:r>
        <w:rPr>
          <w:spacing w:val="40"/>
          <w:sz w:val="19"/>
        </w:rPr>
        <w:t> </w:t>
      </w:r>
      <w:r>
        <w:rPr>
          <w:sz w:val="19"/>
        </w:rPr>
        <w:t>at</w:t>
      </w:r>
      <w:r>
        <w:rPr>
          <w:spacing w:val="40"/>
          <w:sz w:val="19"/>
        </w:rPr>
        <w:t> </w:t>
      </w:r>
      <w:r>
        <w:rPr>
          <w:sz w:val="19"/>
        </w:rPr>
        <w:t>sea</w:t>
      </w:r>
      <w:r>
        <w:rPr>
          <w:spacing w:val="40"/>
          <w:sz w:val="19"/>
        </w:rPr>
        <w:t> </w:t>
      </w:r>
      <w:r>
        <w:rPr>
          <w:sz w:val="19"/>
        </w:rPr>
        <w:t>(3.7.)</w:t>
      </w:r>
    </w:p>
    <w:p>
      <w:pPr>
        <w:pStyle w:val="ListParagraph"/>
        <w:numPr>
          <w:ilvl w:val="0"/>
          <w:numId w:val="5"/>
        </w:numPr>
        <w:tabs>
          <w:tab w:pos="2160" w:val="left" w:leader="none"/>
        </w:tabs>
        <w:spacing w:line="240" w:lineRule="auto" w:before="56" w:after="0"/>
        <w:ind w:left="2160" w:right="0" w:hanging="240"/>
        <w:jc w:val="left"/>
        <w:rPr>
          <w:sz w:val="19"/>
        </w:rPr>
      </w:pPr>
      <w:r>
        <w:rPr>
          <w:sz w:val="19"/>
        </w:rPr>
        <w:t>the</w:t>
      </w:r>
      <w:r>
        <w:rPr>
          <w:spacing w:val="31"/>
          <w:sz w:val="19"/>
        </w:rPr>
        <w:t> </w:t>
      </w:r>
      <w:r>
        <w:rPr>
          <w:sz w:val="19"/>
        </w:rPr>
        <w:t>ill-omened</w:t>
      </w:r>
      <w:r>
        <w:rPr>
          <w:spacing w:val="35"/>
          <w:sz w:val="19"/>
        </w:rPr>
        <w:t> </w:t>
      </w:r>
      <w:r>
        <w:rPr>
          <w:sz w:val="19"/>
        </w:rPr>
        <w:t>nesting</w:t>
      </w:r>
      <w:r>
        <w:rPr>
          <w:spacing w:val="32"/>
          <w:sz w:val="19"/>
        </w:rPr>
        <w:t> </w:t>
      </w:r>
      <w:r>
        <w:rPr>
          <w:sz w:val="19"/>
        </w:rPr>
        <w:t>of</w:t>
      </w:r>
      <w:r>
        <w:rPr>
          <w:spacing w:val="37"/>
          <w:sz w:val="19"/>
        </w:rPr>
        <w:t> </w:t>
      </w:r>
      <w:r>
        <w:rPr>
          <w:sz w:val="19"/>
        </w:rPr>
        <w:t>swallows</w:t>
      </w:r>
      <w:r>
        <w:rPr>
          <w:spacing w:val="34"/>
          <w:sz w:val="19"/>
        </w:rPr>
        <w:t> </w:t>
      </w:r>
      <w:r>
        <w:rPr>
          <w:sz w:val="19"/>
        </w:rPr>
        <w:t>in</w:t>
      </w:r>
      <w:r>
        <w:rPr>
          <w:spacing w:val="37"/>
          <w:sz w:val="19"/>
        </w:rPr>
        <w:t> </w:t>
      </w:r>
      <w:r>
        <w:rPr>
          <w:sz w:val="19"/>
        </w:rPr>
        <w:t>Cleopatra’s</w:t>
      </w:r>
      <w:r>
        <w:rPr>
          <w:spacing w:val="33"/>
          <w:sz w:val="19"/>
        </w:rPr>
        <w:t> </w:t>
      </w:r>
      <w:r>
        <w:rPr>
          <w:sz w:val="19"/>
        </w:rPr>
        <w:t>sails</w:t>
      </w:r>
      <w:r>
        <w:rPr>
          <w:spacing w:val="35"/>
          <w:sz w:val="19"/>
        </w:rPr>
        <w:t> </w:t>
      </w:r>
      <w:r>
        <w:rPr>
          <w:spacing w:val="-2"/>
          <w:sz w:val="19"/>
        </w:rPr>
        <w:t>(4.12.)</w:t>
      </w:r>
    </w:p>
    <w:p>
      <w:pPr>
        <w:pStyle w:val="ListParagraph"/>
        <w:numPr>
          <w:ilvl w:val="0"/>
          <w:numId w:val="5"/>
        </w:numPr>
        <w:tabs>
          <w:tab w:pos="2160" w:val="left" w:leader="none"/>
        </w:tabs>
        <w:spacing w:line="261" w:lineRule="auto" w:before="79" w:after="0"/>
        <w:ind w:left="2160" w:right="1442" w:hanging="240"/>
        <w:jc w:val="left"/>
        <w:rPr>
          <w:sz w:val="19"/>
        </w:rPr>
      </w:pPr>
      <w:r>
        <w:rPr>
          <w:sz w:val="19"/>
        </w:rPr>
        <w:t>Antony’s</w:t>
      </w:r>
      <w:r>
        <w:rPr>
          <w:spacing w:val="28"/>
          <w:sz w:val="19"/>
        </w:rPr>
        <w:t> </w:t>
      </w:r>
      <w:r>
        <w:rPr>
          <w:sz w:val="19"/>
        </w:rPr>
        <w:t>jealous</w:t>
      </w:r>
      <w:r>
        <w:rPr>
          <w:spacing w:val="28"/>
          <w:sz w:val="19"/>
        </w:rPr>
        <w:t> </w:t>
      </w:r>
      <w:r>
        <w:rPr>
          <w:sz w:val="19"/>
        </w:rPr>
        <w:t>reaction</w:t>
      </w:r>
      <w:r>
        <w:rPr>
          <w:spacing w:val="28"/>
          <w:sz w:val="19"/>
        </w:rPr>
        <w:t> </w:t>
      </w:r>
      <w:r>
        <w:rPr>
          <w:sz w:val="19"/>
        </w:rPr>
        <w:t>to</w:t>
      </w:r>
      <w:r>
        <w:rPr>
          <w:spacing w:val="29"/>
          <w:sz w:val="19"/>
        </w:rPr>
        <w:t> </w:t>
      </w:r>
      <w:r>
        <w:rPr>
          <w:sz w:val="19"/>
        </w:rPr>
        <w:t>the</w:t>
      </w:r>
      <w:r>
        <w:rPr>
          <w:spacing w:val="28"/>
          <w:sz w:val="19"/>
        </w:rPr>
        <w:t> </w:t>
      </w:r>
      <w:r>
        <w:rPr>
          <w:sz w:val="19"/>
        </w:rPr>
        <w:t>embassy</w:t>
      </w:r>
      <w:r>
        <w:rPr>
          <w:spacing w:val="22"/>
          <w:sz w:val="19"/>
        </w:rPr>
        <w:t> </w:t>
      </w:r>
      <w:r>
        <w:rPr>
          <w:sz w:val="19"/>
        </w:rPr>
        <w:t>of</w:t>
      </w:r>
      <w:r>
        <w:rPr>
          <w:spacing w:val="27"/>
          <w:sz w:val="19"/>
        </w:rPr>
        <w:t> </w:t>
      </w:r>
      <w:r>
        <w:rPr>
          <w:sz w:val="19"/>
        </w:rPr>
        <w:t>the</w:t>
      </w:r>
      <w:r>
        <w:rPr>
          <w:spacing w:val="28"/>
          <w:sz w:val="19"/>
        </w:rPr>
        <w:t> </w:t>
      </w:r>
      <w:r>
        <w:rPr>
          <w:sz w:val="19"/>
        </w:rPr>
        <w:t>young</w:t>
      </w:r>
      <w:r>
        <w:rPr>
          <w:spacing w:val="24"/>
          <w:sz w:val="19"/>
        </w:rPr>
        <w:t> </w:t>
      </w:r>
      <w:r>
        <w:rPr>
          <w:sz w:val="19"/>
        </w:rPr>
        <w:t>Thidias </w:t>
      </w:r>
      <w:r>
        <w:rPr>
          <w:spacing w:val="-2"/>
          <w:sz w:val="19"/>
        </w:rPr>
        <w:t>(3.13.)</w:t>
      </w:r>
    </w:p>
    <w:p>
      <w:pPr>
        <w:pStyle w:val="ListParagraph"/>
        <w:numPr>
          <w:ilvl w:val="0"/>
          <w:numId w:val="5"/>
        </w:numPr>
        <w:tabs>
          <w:tab w:pos="2160" w:val="left" w:leader="none"/>
        </w:tabs>
        <w:spacing w:line="240" w:lineRule="auto" w:before="57" w:after="0"/>
        <w:ind w:left="2160" w:right="0" w:hanging="240"/>
        <w:jc w:val="left"/>
        <w:rPr>
          <w:sz w:val="19"/>
        </w:rPr>
      </w:pPr>
      <w:r>
        <w:rPr>
          <w:sz w:val="19"/>
        </w:rPr>
        <w:t>the</w:t>
      </w:r>
      <w:r>
        <w:rPr>
          <w:spacing w:val="44"/>
          <w:sz w:val="19"/>
        </w:rPr>
        <w:t> </w:t>
      </w:r>
      <w:r>
        <w:rPr>
          <w:sz w:val="19"/>
        </w:rPr>
        <w:t>suicide</w:t>
      </w:r>
      <w:r>
        <w:rPr>
          <w:spacing w:val="47"/>
          <w:sz w:val="19"/>
        </w:rPr>
        <w:t> </w:t>
      </w:r>
      <w:r>
        <w:rPr>
          <w:sz w:val="19"/>
        </w:rPr>
        <w:t>of</w:t>
      </w:r>
      <w:r>
        <w:rPr>
          <w:spacing w:val="39"/>
          <w:sz w:val="19"/>
        </w:rPr>
        <w:t> </w:t>
      </w:r>
      <w:r>
        <w:rPr>
          <w:sz w:val="19"/>
        </w:rPr>
        <w:t>Antony’s</w:t>
      </w:r>
      <w:r>
        <w:rPr>
          <w:spacing w:val="45"/>
          <w:sz w:val="19"/>
        </w:rPr>
        <w:t> </w:t>
      </w:r>
      <w:r>
        <w:rPr>
          <w:sz w:val="19"/>
        </w:rPr>
        <w:t>servant</w:t>
      </w:r>
      <w:r>
        <w:rPr>
          <w:spacing w:val="47"/>
          <w:sz w:val="19"/>
        </w:rPr>
        <w:t> </w:t>
      </w:r>
      <w:r>
        <w:rPr>
          <w:sz w:val="19"/>
        </w:rPr>
        <w:t>Eros</w:t>
      </w:r>
      <w:r>
        <w:rPr>
          <w:spacing w:val="45"/>
          <w:sz w:val="19"/>
        </w:rPr>
        <w:t> </w:t>
      </w:r>
      <w:r>
        <w:rPr>
          <w:spacing w:val="-2"/>
          <w:sz w:val="19"/>
        </w:rPr>
        <w:t>(4.14.)</w:t>
      </w:r>
    </w:p>
    <w:p>
      <w:pPr>
        <w:pStyle w:val="ListParagraph"/>
        <w:numPr>
          <w:ilvl w:val="0"/>
          <w:numId w:val="5"/>
        </w:numPr>
        <w:tabs>
          <w:tab w:pos="2160" w:val="left" w:leader="none"/>
        </w:tabs>
        <w:spacing w:line="261" w:lineRule="auto" w:before="79" w:after="0"/>
        <w:ind w:left="2160" w:right="1438" w:hanging="240"/>
        <w:jc w:val="both"/>
        <w:rPr>
          <w:sz w:val="19"/>
        </w:rPr>
      </w:pPr>
      <w:r>
        <w:rPr>
          <w:sz w:val="19"/>
        </w:rPr>
        <w:t>Cleopatra’s difficulty in lifting Antony up to her monument</w:t>
      </w:r>
      <w:r>
        <w:rPr>
          <w:spacing w:val="40"/>
          <w:sz w:val="19"/>
        </w:rPr>
        <w:t> </w:t>
      </w:r>
      <w:r>
        <w:rPr>
          <w:spacing w:val="-2"/>
          <w:sz w:val="19"/>
        </w:rPr>
        <w:t>(4.15.)</w:t>
      </w:r>
    </w:p>
    <w:p>
      <w:pPr>
        <w:pStyle w:val="ListParagraph"/>
        <w:numPr>
          <w:ilvl w:val="0"/>
          <w:numId w:val="5"/>
        </w:numPr>
        <w:tabs>
          <w:tab w:pos="2160" w:val="left" w:leader="none"/>
        </w:tabs>
        <w:spacing w:line="261" w:lineRule="auto" w:before="56" w:after="0"/>
        <w:ind w:left="2160" w:right="1438" w:hanging="240"/>
        <w:jc w:val="both"/>
        <w:rPr>
          <w:sz w:val="19"/>
        </w:rPr>
      </w:pPr>
      <w:r>
        <w:rPr>
          <w:sz w:val="19"/>
        </w:rPr>
        <w:t>Antony’s warning that </w:t>
      </w:r>
      <w:r>
        <w:rPr>
          <w:spacing w:val="9"/>
          <w:sz w:val="19"/>
        </w:rPr>
        <w:t>Cleopatra</w:t>
      </w:r>
      <w:r>
        <w:rPr>
          <w:spacing w:val="9"/>
          <w:sz w:val="19"/>
        </w:rPr>
        <w:t> should</w:t>
      </w:r>
      <w:r>
        <w:rPr>
          <w:spacing w:val="9"/>
          <w:sz w:val="19"/>
        </w:rPr>
        <w:t> </w:t>
      </w:r>
      <w:r>
        <w:rPr>
          <w:sz w:val="19"/>
        </w:rPr>
        <w:t>trust none but Proculeius</w:t>
      </w:r>
      <w:r>
        <w:rPr>
          <w:spacing w:val="40"/>
          <w:sz w:val="19"/>
        </w:rPr>
        <w:t> </w:t>
      </w:r>
      <w:r>
        <w:rPr>
          <w:sz w:val="19"/>
        </w:rPr>
        <w:t>(4.15)</w:t>
      </w:r>
    </w:p>
    <w:p>
      <w:pPr>
        <w:pStyle w:val="ListParagraph"/>
        <w:numPr>
          <w:ilvl w:val="0"/>
          <w:numId w:val="5"/>
        </w:numPr>
        <w:tabs>
          <w:tab w:pos="2160" w:val="left" w:leader="none"/>
        </w:tabs>
        <w:spacing w:line="261" w:lineRule="auto" w:before="59" w:after="0"/>
        <w:ind w:left="2160" w:right="1437" w:hanging="240"/>
        <w:jc w:val="both"/>
        <w:rPr>
          <w:sz w:val="19"/>
        </w:rPr>
      </w:pPr>
      <w:r>
        <w:rPr>
          <w:sz w:val="19"/>
        </w:rPr>
        <w:t>Cleopatra’s apparent effort to conceal the true amount of her wealth,</w:t>
      </w:r>
      <w:r>
        <w:rPr>
          <w:spacing w:val="40"/>
          <w:sz w:val="19"/>
        </w:rPr>
        <w:t> </w:t>
      </w:r>
      <w:r>
        <w:rPr>
          <w:sz w:val="19"/>
        </w:rPr>
        <w:t>which</w:t>
      </w:r>
      <w:r>
        <w:rPr>
          <w:spacing w:val="40"/>
          <w:sz w:val="19"/>
        </w:rPr>
        <w:t> </w:t>
      </w:r>
      <w:r>
        <w:rPr>
          <w:sz w:val="19"/>
        </w:rPr>
        <w:t>is</w:t>
      </w:r>
      <w:r>
        <w:rPr>
          <w:spacing w:val="40"/>
          <w:sz w:val="19"/>
        </w:rPr>
        <w:t> </w:t>
      </w:r>
      <w:r>
        <w:rPr>
          <w:sz w:val="19"/>
        </w:rPr>
        <w:t>really</w:t>
      </w:r>
      <w:r>
        <w:rPr>
          <w:spacing w:val="40"/>
          <w:sz w:val="19"/>
        </w:rPr>
        <w:t> </w:t>
      </w:r>
      <w:r>
        <w:rPr>
          <w:sz w:val="19"/>
        </w:rPr>
        <w:t>a</w:t>
      </w:r>
      <w:r>
        <w:rPr>
          <w:spacing w:val="40"/>
          <w:sz w:val="19"/>
        </w:rPr>
        <w:t> </w:t>
      </w:r>
      <w:r>
        <w:rPr>
          <w:sz w:val="19"/>
        </w:rPr>
        <w:t>ruse</w:t>
      </w:r>
      <w:r>
        <w:rPr>
          <w:spacing w:val="40"/>
          <w:sz w:val="19"/>
        </w:rPr>
        <w:t> </w:t>
      </w:r>
      <w:r>
        <w:rPr>
          <w:sz w:val="19"/>
        </w:rPr>
        <w:t>to</w:t>
      </w:r>
      <w:r>
        <w:rPr>
          <w:spacing w:val="40"/>
          <w:sz w:val="19"/>
        </w:rPr>
        <w:t> </w:t>
      </w:r>
      <w:r>
        <w:rPr>
          <w:sz w:val="19"/>
        </w:rPr>
        <w:t>convince</w:t>
      </w:r>
      <w:r>
        <w:rPr>
          <w:spacing w:val="40"/>
          <w:sz w:val="19"/>
        </w:rPr>
        <w:t> </w:t>
      </w:r>
      <w:r>
        <w:rPr>
          <w:sz w:val="19"/>
        </w:rPr>
        <w:t>Caesar</w:t>
      </w:r>
      <w:r>
        <w:rPr>
          <w:spacing w:val="40"/>
          <w:sz w:val="19"/>
        </w:rPr>
        <w:t> </w:t>
      </w:r>
      <w:r>
        <w:rPr>
          <w:sz w:val="19"/>
        </w:rPr>
        <w:t>that</w:t>
      </w:r>
      <w:r>
        <w:rPr>
          <w:spacing w:val="40"/>
          <w:sz w:val="19"/>
        </w:rPr>
        <w:t> </w:t>
      </w:r>
      <w:r>
        <w:rPr>
          <w:sz w:val="19"/>
        </w:rPr>
        <w:t>she desires</w:t>
      </w:r>
      <w:r>
        <w:rPr>
          <w:spacing w:val="40"/>
          <w:sz w:val="19"/>
        </w:rPr>
        <w:t> </w:t>
      </w:r>
      <w:r>
        <w:rPr>
          <w:sz w:val="19"/>
        </w:rPr>
        <w:t>to</w:t>
      </w:r>
      <w:r>
        <w:rPr>
          <w:spacing w:val="40"/>
          <w:sz w:val="19"/>
        </w:rPr>
        <w:t> </w:t>
      </w:r>
      <w:r>
        <w:rPr>
          <w:sz w:val="19"/>
        </w:rPr>
        <w:t>live</w:t>
      </w:r>
      <w:r>
        <w:rPr>
          <w:spacing w:val="40"/>
          <w:sz w:val="19"/>
        </w:rPr>
        <w:t> </w:t>
      </w:r>
      <w:r>
        <w:rPr>
          <w:sz w:val="19"/>
        </w:rPr>
        <w:t>(5.2)</w:t>
      </w:r>
    </w:p>
    <w:p>
      <w:pPr>
        <w:pStyle w:val="ListParagraph"/>
        <w:numPr>
          <w:ilvl w:val="0"/>
          <w:numId w:val="5"/>
        </w:numPr>
        <w:tabs>
          <w:tab w:pos="2160" w:val="left" w:leader="none"/>
        </w:tabs>
        <w:spacing w:line="240" w:lineRule="auto" w:before="56" w:after="0"/>
        <w:ind w:left="2160" w:right="0" w:hanging="240"/>
        <w:jc w:val="both"/>
        <w:rPr>
          <w:sz w:val="19"/>
        </w:rPr>
      </w:pPr>
      <w:r>
        <w:rPr>
          <w:sz w:val="19"/>
        </w:rPr>
        <w:t>Cleopatra’s</w:t>
      </w:r>
      <w:r>
        <w:rPr>
          <w:spacing w:val="25"/>
          <w:sz w:val="19"/>
        </w:rPr>
        <w:t> </w:t>
      </w:r>
      <w:r>
        <w:rPr>
          <w:sz w:val="19"/>
        </w:rPr>
        <w:t>death</w:t>
      </w:r>
      <w:r>
        <w:rPr>
          <w:spacing w:val="27"/>
          <w:sz w:val="19"/>
        </w:rPr>
        <w:t> </w:t>
      </w:r>
      <w:r>
        <w:rPr>
          <w:sz w:val="19"/>
        </w:rPr>
        <w:t>“attired</w:t>
      </w:r>
      <w:r>
        <w:rPr>
          <w:spacing w:val="25"/>
          <w:sz w:val="19"/>
        </w:rPr>
        <w:t> </w:t>
      </w:r>
      <w:r>
        <w:rPr>
          <w:sz w:val="19"/>
        </w:rPr>
        <w:t>and</w:t>
      </w:r>
      <w:r>
        <w:rPr>
          <w:spacing w:val="26"/>
          <w:sz w:val="19"/>
        </w:rPr>
        <w:t> </w:t>
      </w:r>
      <w:r>
        <w:rPr>
          <w:sz w:val="19"/>
        </w:rPr>
        <w:t>araied</w:t>
      </w:r>
      <w:r>
        <w:rPr>
          <w:spacing w:val="25"/>
          <w:sz w:val="19"/>
        </w:rPr>
        <w:t> </w:t>
      </w:r>
      <w:r>
        <w:rPr>
          <w:sz w:val="19"/>
        </w:rPr>
        <w:t>in</w:t>
      </w:r>
      <w:r>
        <w:rPr>
          <w:spacing w:val="27"/>
          <w:sz w:val="19"/>
        </w:rPr>
        <w:t> </w:t>
      </w:r>
      <w:r>
        <w:rPr>
          <w:sz w:val="19"/>
        </w:rPr>
        <w:t>her</w:t>
      </w:r>
      <w:r>
        <w:rPr>
          <w:spacing w:val="24"/>
          <w:sz w:val="19"/>
        </w:rPr>
        <w:t> </w:t>
      </w:r>
      <w:r>
        <w:rPr>
          <w:sz w:val="19"/>
        </w:rPr>
        <w:t>royall</w:t>
      </w:r>
      <w:r>
        <w:rPr>
          <w:spacing w:val="25"/>
          <w:sz w:val="19"/>
        </w:rPr>
        <w:t> </w:t>
      </w:r>
      <w:r>
        <w:rPr>
          <w:sz w:val="19"/>
        </w:rPr>
        <w:t>robes”</w:t>
      </w:r>
      <w:r>
        <w:rPr>
          <w:spacing w:val="25"/>
          <w:sz w:val="19"/>
        </w:rPr>
        <w:t> </w:t>
      </w:r>
      <w:r>
        <w:rPr>
          <w:spacing w:val="-2"/>
          <w:sz w:val="19"/>
        </w:rPr>
        <w:t>(5.2.)</w:t>
      </w:r>
    </w:p>
    <w:p>
      <w:pPr>
        <w:pStyle w:val="ListParagraph"/>
        <w:numPr>
          <w:ilvl w:val="0"/>
          <w:numId w:val="5"/>
        </w:numPr>
        <w:tabs>
          <w:tab w:pos="2160" w:val="left" w:leader="none"/>
        </w:tabs>
        <w:spacing w:line="261" w:lineRule="auto" w:before="79" w:after="0"/>
        <w:ind w:left="2160" w:right="1440" w:hanging="240"/>
        <w:jc w:val="both"/>
        <w:rPr>
          <w:sz w:val="19"/>
        </w:rPr>
      </w:pPr>
      <w:r>
        <w:rPr>
          <w:sz w:val="19"/>
        </w:rPr>
        <w:t>Cleopatra’s study of sweet means of death (5.2).” In </w:t>
      </w:r>
      <w:r>
        <w:rPr>
          <w:i/>
          <w:sz w:val="19"/>
        </w:rPr>
        <w:t>Harold Bloom’s Shakespeare Through the Ages: Antony and Cleopatra: Edited with an introduction by Harold Bloom, Volume Editor: Neil Heims</w:t>
      </w:r>
      <w:r>
        <w:rPr>
          <w:i/>
          <w:spacing w:val="40"/>
          <w:sz w:val="19"/>
        </w:rPr>
        <w:t> </w:t>
      </w:r>
      <w:r>
        <w:rPr>
          <w:sz w:val="19"/>
        </w:rPr>
        <w:t>(New Delhi: Viva Books, 2010), pp.47-48.</w:t>
      </w:r>
    </w:p>
    <w:p>
      <w:pPr>
        <w:pStyle w:val="ListParagraph"/>
        <w:spacing w:after="0" w:line="261" w:lineRule="auto"/>
        <w:jc w:val="both"/>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07808">
                <wp:simplePos x="0" y="0"/>
                <wp:positionH relativeFrom="page">
                  <wp:posOffset>2057400</wp:posOffset>
                </wp:positionH>
                <wp:positionV relativeFrom="paragraph">
                  <wp:posOffset>162604</wp:posOffset>
                </wp:positionV>
                <wp:extent cx="3657600" cy="12700"/>
                <wp:effectExtent l="0" t="0" r="0" b="0"/>
                <wp:wrapTopAndBottom/>
                <wp:docPr id="135" name="Graphic 135"/>
                <wp:cNvGraphicFramePr>
                  <a:graphicFrameLocks/>
                </wp:cNvGraphicFramePr>
                <a:graphic>
                  <a:graphicData uri="http://schemas.microsoft.com/office/word/2010/wordprocessingShape">
                    <wps:wsp>
                      <wps:cNvPr id="135" name="Graphic 13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708672;mso-wrap-distance-left:0;mso-wrap-distance-right:0" id="docshape131" filled="true" fillcolor="#000000" stroked="false">
                <v:fill type="solid"/>
                <w10:wrap type="topAndBottom"/>
              </v:rect>
            </w:pict>
          </mc:Fallback>
        </mc:AlternateContent>
      </w:r>
      <w:r>
        <w:rPr>
          <w:rFonts w:ascii="Verdana"/>
          <w:spacing w:val="-10"/>
          <w:sz w:val="18"/>
        </w:rPr>
        <w:t>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7" w:lineRule="auto" w:before="187"/>
        <w:ind w:right="1438" w:firstLine="432"/>
        <w:jc w:val="both"/>
      </w:pPr>
      <w:r>
        <w:rPr/>
        <w:t>In</w:t>
      </w:r>
      <w:r>
        <w:rPr>
          <w:spacing w:val="-6"/>
        </w:rPr>
        <w:t> </w:t>
      </w:r>
      <w:r>
        <w:rPr/>
        <w:t>my</w:t>
      </w:r>
      <w:r>
        <w:rPr>
          <w:spacing w:val="-9"/>
        </w:rPr>
        <w:t> </w:t>
      </w:r>
      <w:r>
        <w:rPr/>
        <w:t>exploration</w:t>
      </w:r>
      <w:r>
        <w:rPr>
          <w:spacing w:val="-7"/>
        </w:rPr>
        <w:t> </w:t>
      </w:r>
      <w:r>
        <w:rPr/>
        <w:t>of</w:t>
      </w:r>
      <w:r>
        <w:rPr>
          <w:spacing w:val="-6"/>
        </w:rPr>
        <w:t> </w:t>
      </w:r>
      <w:r>
        <w:rPr/>
        <w:t>what</w:t>
      </w:r>
      <w:r>
        <w:rPr>
          <w:spacing w:val="-6"/>
        </w:rPr>
        <w:t> </w:t>
      </w:r>
      <w:r>
        <w:rPr/>
        <w:t>I</w:t>
      </w:r>
      <w:r>
        <w:rPr>
          <w:spacing w:val="-4"/>
        </w:rPr>
        <w:t> </w:t>
      </w:r>
      <w:r>
        <w:rPr/>
        <w:t>have</w:t>
      </w:r>
      <w:r>
        <w:rPr>
          <w:spacing w:val="-6"/>
        </w:rPr>
        <w:t> </w:t>
      </w:r>
      <w:r>
        <w:rPr/>
        <w:t>said</w:t>
      </w:r>
      <w:r>
        <w:rPr>
          <w:spacing w:val="-4"/>
        </w:rPr>
        <w:t> </w:t>
      </w:r>
      <w:r>
        <w:rPr/>
        <w:t>in</w:t>
      </w:r>
      <w:r>
        <w:rPr>
          <w:spacing w:val="-6"/>
        </w:rPr>
        <w:t> </w:t>
      </w:r>
      <w:r>
        <w:rPr/>
        <w:t>the</w:t>
      </w:r>
      <w:r>
        <w:rPr>
          <w:spacing w:val="-5"/>
        </w:rPr>
        <w:t> </w:t>
      </w:r>
      <w:r>
        <w:rPr/>
        <w:t>abstract</w:t>
      </w:r>
      <w:r>
        <w:rPr>
          <w:spacing w:val="-7"/>
        </w:rPr>
        <w:t> </w:t>
      </w:r>
      <w:r>
        <w:rPr/>
        <w:t>that</w:t>
      </w:r>
      <w:r>
        <w:rPr>
          <w:spacing w:val="-6"/>
        </w:rPr>
        <w:t> </w:t>
      </w:r>
      <w:r>
        <w:rPr/>
        <w:t>the</w:t>
      </w:r>
      <w:r>
        <w:rPr>
          <w:spacing w:val="-6"/>
        </w:rPr>
        <w:t> </w:t>
      </w:r>
      <w:r>
        <w:rPr/>
        <w:t>carpet both</w:t>
      </w:r>
      <w:r>
        <w:rPr>
          <w:spacing w:val="-6"/>
        </w:rPr>
        <w:t> </w:t>
      </w:r>
      <w:r>
        <w:rPr/>
        <w:t>hides</w:t>
      </w:r>
      <w:r>
        <w:rPr>
          <w:spacing w:val="-9"/>
        </w:rPr>
        <w:t> </w:t>
      </w:r>
      <w:r>
        <w:rPr/>
        <w:t>passion</w:t>
      </w:r>
      <w:r>
        <w:rPr>
          <w:spacing w:val="-6"/>
        </w:rPr>
        <w:t> </w:t>
      </w:r>
      <w:r>
        <w:rPr/>
        <w:t>and</w:t>
      </w:r>
      <w:r>
        <w:rPr>
          <w:spacing w:val="-4"/>
        </w:rPr>
        <w:t> </w:t>
      </w:r>
      <w:r>
        <w:rPr/>
        <w:t>releases</w:t>
      </w:r>
      <w:r>
        <w:rPr>
          <w:spacing w:val="-6"/>
        </w:rPr>
        <w:t> </w:t>
      </w:r>
      <w:r>
        <w:rPr/>
        <w:t>it,</w:t>
      </w:r>
      <w:r>
        <w:rPr>
          <w:spacing w:val="-8"/>
        </w:rPr>
        <w:t> </w:t>
      </w:r>
      <w:r>
        <w:rPr/>
        <w:t>I</w:t>
      </w:r>
      <w:r>
        <w:rPr>
          <w:spacing w:val="-4"/>
        </w:rPr>
        <w:t> </w:t>
      </w:r>
      <w:r>
        <w:rPr/>
        <w:t>see</w:t>
      </w:r>
      <w:r>
        <w:rPr>
          <w:spacing w:val="-6"/>
        </w:rPr>
        <w:t> </w:t>
      </w:r>
      <w:r>
        <w:rPr/>
        <w:t>a</w:t>
      </w:r>
      <w:r>
        <w:rPr>
          <w:spacing w:val="-5"/>
        </w:rPr>
        <w:t> </w:t>
      </w:r>
      <w:r>
        <w:rPr/>
        <w:t>further</w:t>
      </w:r>
      <w:r>
        <w:rPr>
          <w:spacing w:val="-8"/>
        </w:rPr>
        <w:t> </w:t>
      </w:r>
      <w:r>
        <w:rPr/>
        <w:t>connection</w:t>
      </w:r>
      <w:r>
        <w:rPr>
          <w:spacing w:val="-6"/>
        </w:rPr>
        <w:t> </w:t>
      </w:r>
      <w:r>
        <w:rPr/>
        <w:t>developing, which may be stated thus: in the play of </w:t>
      </w:r>
      <w:r>
        <w:rPr>
          <w:i/>
        </w:rPr>
        <w:t>Antony and Cleopatra </w:t>
      </w:r>
      <w:r>
        <w:rPr/>
        <w:t>(1606; 1623)</w:t>
      </w:r>
      <w:r>
        <w:rPr>
          <w:vertAlign w:val="superscript"/>
        </w:rPr>
        <w:t>3</w:t>
      </w:r>
      <w:r>
        <w:rPr>
          <w:i/>
          <w:vertAlign w:val="baseline"/>
        </w:rPr>
        <w:t>,</w:t>
      </w:r>
      <w:r>
        <w:rPr>
          <w:i/>
          <w:spacing w:val="-13"/>
          <w:vertAlign w:val="baseline"/>
        </w:rPr>
        <w:t> </w:t>
      </w:r>
      <w:r>
        <w:rPr>
          <w:vertAlign w:val="baseline"/>
        </w:rPr>
        <w:t>the</w:t>
      </w:r>
      <w:r>
        <w:rPr>
          <w:spacing w:val="-12"/>
          <w:vertAlign w:val="baseline"/>
        </w:rPr>
        <w:t> </w:t>
      </w:r>
      <w:r>
        <w:rPr>
          <w:vertAlign w:val="baseline"/>
        </w:rPr>
        <w:t>material</w:t>
      </w:r>
      <w:r>
        <w:rPr>
          <w:spacing w:val="-13"/>
          <w:vertAlign w:val="baseline"/>
        </w:rPr>
        <w:t> </w:t>
      </w:r>
      <w:r>
        <w:rPr>
          <w:vertAlign w:val="baseline"/>
        </w:rPr>
        <w:t>world</w:t>
      </w:r>
      <w:r>
        <w:rPr>
          <w:spacing w:val="-12"/>
          <w:vertAlign w:val="baseline"/>
        </w:rPr>
        <w:t> </w:t>
      </w:r>
      <w:r>
        <w:rPr>
          <w:vertAlign w:val="baseline"/>
        </w:rPr>
        <w:t>seems</w:t>
      </w:r>
      <w:r>
        <w:rPr>
          <w:spacing w:val="-12"/>
          <w:vertAlign w:val="baseline"/>
        </w:rPr>
        <w:t> </w:t>
      </w:r>
      <w:r>
        <w:rPr>
          <w:vertAlign w:val="baseline"/>
        </w:rPr>
        <w:t>to</w:t>
      </w:r>
      <w:r>
        <w:rPr>
          <w:spacing w:val="-10"/>
          <w:vertAlign w:val="baseline"/>
        </w:rPr>
        <w:t> </w:t>
      </w:r>
      <w:r>
        <w:rPr>
          <w:vertAlign w:val="baseline"/>
        </w:rPr>
        <w:t>be</w:t>
      </w:r>
      <w:r>
        <w:rPr>
          <w:spacing w:val="-11"/>
          <w:vertAlign w:val="baseline"/>
        </w:rPr>
        <w:t> </w:t>
      </w:r>
      <w:r>
        <w:rPr>
          <w:vertAlign w:val="baseline"/>
        </w:rPr>
        <w:t>dissolving</w:t>
      </w:r>
      <w:r>
        <w:rPr>
          <w:spacing w:val="-13"/>
          <w:vertAlign w:val="baseline"/>
        </w:rPr>
        <w:t> </w:t>
      </w:r>
      <w:r>
        <w:rPr>
          <w:vertAlign w:val="baseline"/>
        </w:rPr>
        <w:t>in</w:t>
      </w:r>
      <w:r>
        <w:rPr>
          <w:spacing w:val="-12"/>
          <w:vertAlign w:val="baseline"/>
        </w:rPr>
        <w:t> </w:t>
      </w:r>
      <w:r>
        <w:rPr>
          <w:vertAlign w:val="baseline"/>
        </w:rPr>
        <w:t>the</w:t>
      </w:r>
      <w:r>
        <w:rPr>
          <w:spacing w:val="-12"/>
          <w:vertAlign w:val="baseline"/>
        </w:rPr>
        <w:t> </w:t>
      </w:r>
      <w:r>
        <w:rPr>
          <w:vertAlign w:val="baseline"/>
        </w:rPr>
        <w:t>passionate</w:t>
      </w:r>
      <w:r>
        <w:rPr>
          <w:spacing w:val="-13"/>
          <w:vertAlign w:val="baseline"/>
        </w:rPr>
        <w:t> </w:t>
      </w:r>
      <w:r>
        <w:rPr>
          <w:vertAlign w:val="baseline"/>
        </w:rPr>
        <w:t>world of love created by both protagonists, Antony and Cleopatra, but at the same</w:t>
      </w:r>
      <w:r>
        <w:rPr>
          <w:spacing w:val="-3"/>
          <w:vertAlign w:val="baseline"/>
        </w:rPr>
        <w:t> </w:t>
      </w:r>
      <w:r>
        <w:rPr>
          <w:vertAlign w:val="baseline"/>
        </w:rPr>
        <w:t>time, what</w:t>
      </w:r>
      <w:r>
        <w:rPr>
          <w:spacing w:val="-4"/>
          <w:vertAlign w:val="baseline"/>
        </w:rPr>
        <w:t> </w:t>
      </w:r>
      <w:r>
        <w:rPr>
          <w:vertAlign w:val="baseline"/>
        </w:rPr>
        <w:t>I have observed</w:t>
      </w:r>
      <w:r>
        <w:rPr>
          <w:spacing w:val="-2"/>
          <w:vertAlign w:val="baseline"/>
        </w:rPr>
        <w:t> </w:t>
      </w:r>
      <w:r>
        <w:rPr>
          <w:vertAlign w:val="baseline"/>
        </w:rPr>
        <w:t>is</w:t>
      </w:r>
      <w:r>
        <w:rPr>
          <w:spacing w:val="-4"/>
          <w:vertAlign w:val="baseline"/>
        </w:rPr>
        <w:t> </w:t>
      </w:r>
      <w:r>
        <w:rPr>
          <w:vertAlign w:val="baseline"/>
        </w:rPr>
        <w:t>that</w:t>
      </w:r>
      <w:r>
        <w:rPr>
          <w:spacing w:val="-2"/>
          <w:vertAlign w:val="baseline"/>
        </w:rPr>
        <w:t> </w:t>
      </w:r>
      <w:r>
        <w:rPr>
          <w:vertAlign w:val="baseline"/>
        </w:rPr>
        <w:t>in</w:t>
      </w:r>
      <w:r>
        <w:rPr>
          <w:spacing w:val="-4"/>
          <w:vertAlign w:val="baseline"/>
        </w:rPr>
        <w:t> </w:t>
      </w:r>
      <w:r>
        <w:rPr>
          <w:vertAlign w:val="baseline"/>
        </w:rPr>
        <w:t>the play</w:t>
      </w:r>
      <w:r>
        <w:rPr>
          <w:spacing w:val="-6"/>
          <w:vertAlign w:val="baseline"/>
        </w:rPr>
        <w:t> </w:t>
      </w:r>
      <w:r>
        <w:rPr>
          <w:vertAlign w:val="baseline"/>
        </w:rPr>
        <w:t>there</w:t>
      </w:r>
      <w:r>
        <w:rPr>
          <w:spacing w:val="-2"/>
          <w:vertAlign w:val="baseline"/>
        </w:rPr>
        <w:t> </w:t>
      </w:r>
      <w:r>
        <w:rPr>
          <w:vertAlign w:val="baseline"/>
        </w:rPr>
        <w:t>is a</w:t>
      </w:r>
      <w:r>
        <w:rPr>
          <w:spacing w:val="-4"/>
          <w:vertAlign w:val="baseline"/>
        </w:rPr>
        <w:t> </w:t>
      </w:r>
      <w:r>
        <w:rPr>
          <w:vertAlign w:val="baseline"/>
        </w:rPr>
        <w:t>continuous attachment</w:t>
      </w:r>
      <w:r>
        <w:rPr>
          <w:spacing w:val="-13"/>
          <w:vertAlign w:val="baseline"/>
        </w:rPr>
        <w:t> </w:t>
      </w:r>
      <w:r>
        <w:rPr>
          <w:vertAlign w:val="baseline"/>
        </w:rPr>
        <w:t>of</w:t>
      </w:r>
      <w:r>
        <w:rPr>
          <w:spacing w:val="-12"/>
          <w:vertAlign w:val="baseline"/>
        </w:rPr>
        <w:t> </w:t>
      </w:r>
      <w:r>
        <w:rPr>
          <w:vertAlign w:val="baseline"/>
        </w:rPr>
        <w:t>the</w:t>
      </w:r>
      <w:r>
        <w:rPr>
          <w:spacing w:val="-13"/>
          <w:vertAlign w:val="baseline"/>
        </w:rPr>
        <w:t> </w:t>
      </w:r>
      <w:r>
        <w:rPr>
          <w:vertAlign w:val="baseline"/>
        </w:rPr>
        <w:t>material</w:t>
      </w:r>
      <w:r>
        <w:rPr>
          <w:spacing w:val="-12"/>
          <w:vertAlign w:val="baseline"/>
        </w:rPr>
        <w:t> </w:t>
      </w:r>
      <w:r>
        <w:rPr>
          <w:vertAlign w:val="baseline"/>
        </w:rPr>
        <w:t>world</w:t>
      </w:r>
      <w:r>
        <w:rPr>
          <w:spacing w:val="-13"/>
          <w:vertAlign w:val="baseline"/>
        </w:rPr>
        <w:t> </w:t>
      </w:r>
      <w:r>
        <w:rPr>
          <w:vertAlign w:val="baseline"/>
        </w:rPr>
        <w:t>with</w:t>
      </w:r>
      <w:r>
        <w:rPr>
          <w:spacing w:val="-12"/>
          <w:vertAlign w:val="baseline"/>
        </w:rPr>
        <w:t> </w:t>
      </w:r>
      <w:r>
        <w:rPr>
          <w:vertAlign w:val="baseline"/>
        </w:rPr>
        <w:t>the</w:t>
      </w:r>
      <w:r>
        <w:rPr>
          <w:spacing w:val="-13"/>
          <w:vertAlign w:val="baseline"/>
        </w:rPr>
        <w:t> </w:t>
      </w:r>
      <w:r>
        <w:rPr>
          <w:vertAlign w:val="baseline"/>
        </w:rPr>
        <w:t>present</w:t>
      </w:r>
      <w:r>
        <w:rPr>
          <w:spacing w:val="-12"/>
          <w:vertAlign w:val="baseline"/>
        </w:rPr>
        <w:t> </w:t>
      </w:r>
      <w:r>
        <w:rPr>
          <w:vertAlign w:val="baseline"/>
        </w:rPr>
        <w:t>time</w:t>
      </w:r>
      <w:r>
        <w:rPr>
          <w:spacing w:val="-13"/>
          <w:vertAlign w:val="baseline"/>
        </w:rPr>
        <w:t> </w:t>
      </w:r>
      <w:r>
        <w:rPr>
          <w:vertAlign w:val="baseline"/>
        </w:rPr>
        <w:t>and</w:t>
      </w:r>
      <w:r>
        <w:rPr>
          <w:spacing w:val="-12"/>
          <w:vertAlign w:val="baseline"/>
        </w:rPr>
        <w:t> </w:t>
      </w:r>
      <w:r>
        <w:rPr>
          <w:vertAlign w:val="baseline"/>
        </w:rPr>
        <w:t>the</w:t>
      </w:r>
      <w:r>
        <w:rPr>
          <w:spacing w:val="-13"/>
          <w:vertAlign w:val="baseline"/>
        </w:rPr>
        <w:t> </w:t>
      </w:r>
      <w:r>
        <w:rPr>
          <w:vertAlign w:val="baseline"/>
        </w:rPr>
        <w:t>passionate world with the past time. And thereby Shakespeare had to tackle a difficult but familiar dramatic strategy, which he had earlier applied to the historical tragedy </w:t>
      </w:r>
      <w:r>
        <w:rPr>
          <w:i/>
          <w:vertAlign w:val="baseline"/>
        </w:rPr>
        <w:t>Richard II </w:t>
      </w:r>
      <w:r>
        <w:rPr>
          <w:vertAlign w:val="baseline"/>
        </w:rPr>
        <w:t>(1597), nearly nine years earlier. The strategy</w:t>
      </w:r>
      <w:r>
        <w:rPr>
          <w:spacing w:val="-1"/>
          <w:vertAlign w:val="baseline"/>
        </w:rPr>
        <w:t> </w:t>
      </w:r>
      <w:r>
        <w:rPr>
          <w:vertAlign w:val="baseline"/>
        </w:rPr>
        <w:t>is</w:t>
      </w:r>
      <w:r>
        <w:rPr>
          <w:spacing w:val="-1"/>
          <w:vertAlign w:val="baseline"/>
        </w:rPr>
        <w:t> </w:t>
      </w:r>
      <w:r>
        <w:rPr>
          <w:vertAlign w:val="baseline"/>
        </w:rPr>
        <w:t>simple but deft enough</w:t>
      </w:r>
      <w:r>
        <w:rPr>
          <w:spacing w:val="-3"/>
          <w:vertAlign w:val="baseline"/>
        </w:rPr>
        <w:t> </w:t>
      </w:r>
      <w:r>
        <w:rPr>
          <w:vertAlign w:val="baseline"/>
        </w:rPr>
        <w:t>to draw</w:t>
      </w:r>
      <w:r>
        <w:rPr>
          <w:spacing w:val="-3"/>
          <w:vertAlign w:val="baseline"/>
        </w:rPr>
        <w:t> </w:t>
      </w:r>
      <w:r>
        <w:rPr>
          <w:vertAlign w:val="baseline"/>
        </w:rPr>
        <w:t>upon</w:t>
      </w:r>
      <w:r>
        <w:rPr>
          <w:spacing w:val="-1"/>
          <w:vertAlign w:val="baseline"/>
        </w:rPr>
        <w:t> </w:t>
      </w:r>
      <w:r>
        <w:rPr>
          <w:vertAlign w:val="baseline"/>
        </w:rPr>
        <w:t>the</w:t>
      </w:r>
      <w:r>
        <w:rPr>
          <w:spacing w:val="-3"/>
          <w:vertAlign w:val="baseline"/>
        </w:rPr>
        <w:t> </w:t>
      </w:r>
      <w:r>
        <w:rPr>
          <w:vertAlign w:val="baseline"/>
        </w:rPr>
        <w:t>Bard’s</w:t>
      </w:r>
      <w:r>
        <w:rPr>
          <w:spacing w:val="-1"/>
          <w:vertAlign w:val="baseline"/>
        </w:rPr>
        <w:t> </w:t>
      </w:r>
      <w:r>
        <w:rPr>
          <w:vertAlign w:val="baseline"/>
        </w:rPr>
        <w:t>finest poetic reserves, and it embodies Shakespeare’s dramatic skill in heightening the status of a fallen hero. In the characterization of Richard II, Shakespeare invested him with great psychological depth, expressed in sublime poetry, such as the passages “And tell sad stories of the death of</w:t>
      </w:r>
      <w:r>
        <w:rPr>
          <w:spacing w:val="-3"/>
          <w:vertAlign w:val="baseline"/>
        </w:rPr>
        <w:t> </w:t>
      </w:r>
      <w:r>
        <w:rPr>
          <w:vertAlign w:val="baseline"/>
        </w:rPr>
        <w:t>kings”</w:t>
      </w:r>
      <w:r>
        <w:rPr>
          <w:spacing w:val="-1"/>
          <w:vertAlign w:val="baseline"/>
        </w:rPr>
        <w:t> </w:t>
      </w:r>
      <w:r>
        <w:rPr>
          <w:vertAlign w:val="baseline"/>
        </w:rPr>
        <w:t>(3.2.156</w:t>
      </w:r>
      <w:r>
        <w:rPr>
          <w:spacing w:val="-1"/>
          <w:vertAlign w:val="baseline"/>
        </w:rPr>
        <w:t> </w:t>
      </w:r>
      <w:r>
        <w:rPr>
          <w:vertAlign w:val="baseline"/>
        </w:rPr>
        <w:t>ff)</w:t>
      </w:r>
      <w:r>
        <w:rPr>
          <w:spacing w:val="-1"/>
          <w:vertAlign w:val="baseline"/>
        </w:rPr>
        <w:t> </w:t>
      </w:r>
      <w:r>
        <w:rPr>
          <w:vertAlign w:val="baseline"/>
        </w:rPr>
        <w:t>and the prison speech,</w:t>
      </w:r>
      <w:r>
        <w:rPr>
          <w:spacing w:val="-1"/>
          <w:vertAlign w:val="baseline"/>
        </w:rPr>
        <w:t> </w:t>
      </w:r>
      <w:r>
        <w:rPr>
          <w:vertAlign w:val="baseline"/>
        </w:rPr>
        <w:t>“I</w:t>
      </w:r>
      <w:r>
        <w:rPr>
          <w:spacing w:val="-3"/>
          <w:vertAlign w:val="baseline"/>
        </w:rPr>
        <w:t> </w:t>
      </w:r>
      <w:r>
        <w:rPr>
          <w:vertAlign w:val="baseline"/>
        </w:rPr>
        <w:t>have been</w:t>
      </w:r>
      <w:r>
        <w:rPr>
          <w:spacing w:val="-3"/>
          <w:vertAlign w:val="baseline"/>
        </w:rPr>
        <w:t> </w:t>
      </w:r>
      <w:r>
        <w:rPr>
          <w:vertAlign w:val="baseline"/>
        </w:rPr>
        <w:t>studying</w:t>
      </w:r>
      <w:r>
        <w:rPr>
          <w:spacing w:val="-3"/>
          <w:vertAlign w:val="baseline"/>
        </w:rPr>
        <w:t> </w:t>
      </w:r>
      <w:r>
        <w:rPr>
          <w:vertAlign w:val="baseline"/>
        </w:rPr>
        <w:t>how I may compare” (5.5.1ff), attest to. And correspondingly, Richard II’s opponent, Prince Bolingbroke, that is, Henry IV’s character, is drawn </w:t>
      </w:r>
      <w:r>
        <w:rPr>
          <w:spacing w:val="-2"/>
          <w:vertAlign w:val="baseline"/>
        </w:rPr>
        <w:t>with</w:t>
      </w:r>
      <w:r>
        <w:rPr>
          <w:spacing w:val="-7"/>
          <w:vertAlign w:val="baseline"/>
        </w:rPr>
        <w:t> </w:t>
      </w:r>
      <w:r>
        <w:rPr>
          <w:spacing w:val="-2"/>
          <w:vertAlign w:val="baseline"/>
        </w:rPr>
        <w:t>little</w:t>
      </w:r>
      <w:r>
        <w:rPr>
          <w:spacing w:val="-4"/>
          <w:vertAlign w:val="baseline"/>
        </w:rPr>
        <w:t> </w:t>
      </w:r>
      <w:r>
        <w:rPr>
          <w:spacing w:val="-2"/>
          <w:vertAlign w:val="baseline"/>
        </w:rPr>
        <w:t>psychological</w:t>
      </w:r>
      <w:r>
        <w:rPr>
          <w:spacing w:val="-7"/>
          <w:vertAlign w:val="baseline"/>
        </w:rPr>
        <w:t> </w:t>
      </w:r>
      <w:r>
        <w:rPr>
          <w:spacing w:val="-2"/>
          <w:vertAlign w:val="baseline"/>
        </w:rPr>
        <w:t>depth.</w:t>
      </w:r>
      <w:r>
        <w:rPr>
          <w:spacing w:val="-10"/>
          <w:vertAlign w:val="baseline"/>
        </w:rPr>
        <w:t> </w:t>
      </w:r>
      <w:r>
        <w:rPr>
          <w:spacing w:val="-2"/>
          <w:vertAlign w:val="baseline"/>
        </w:rPr>
        <w:t>We</w:t>
      </w:r>
      <w:r>
        <w:rPr>
          <w:spacing w:val="-4"/>
          <w:vertAlign w:val="baseline"/>
        </w:rPr>
        <w:t> </w:t>
      </w:r>
      <w:r>
        <w:rPr>
          <w:spacing w:val="-2"/>
          <w:vertAlign w:val="baseline"/>
        </w:rPr>
        <w:t>understand</w:t>
      </w:r>
      <w:r>
        <w:rPr>
          <w:spacing w:val="-7"/>
          <w:vertAlign w:val="baseline"/>
        </w:rPr>
        <w:t> </w:t>
      </w:r>
      <w:r>
        <w:rPr>
          <w:spacing w:val="-2"/>
          <w:vertAlign w:val="baseline"/>
        </w:rPr>
        <w:t>his</w:t>
      </w:r>
      <w:r>
        <w:rPr>
          <w:spacing w:val="-7"/>
          <w:vertAlign w:val="baseline"/>
        </w:rPr>
        <w:t> </w:t>
      </w:r>
      <w:r>
        <w:rPr>
          <w:spacing w:val="-2"/>
          <w:vertAlign w:val="baseline"/>
        </w:rPr>
        <w:t>motive,</w:t>
      </w:r>
      <w:r>
        <w:rPr>
          <w:spacing w:val="-7"/>
          <w:vertAlign w:val="baseline"/>
        </w:rPr>
        <w:t> </w:t>
      </w:r>
      <w:r>
        <w:rPr>
          <w:spacing w:val="-2"/>
          <w:vertAlign w:val="baseline"/>
        </w:rPr>
        <w:t>his</w:t>
      </w:r>
      <w:r>
        <w:rPr>
          <w:spacing w:val="-7"/>
          <w:vertAlign w:val="baseline"/>
        </w:rPr>
        <w:t> </w:t>
      </w:r>
      <w:r>
        <w:rPr>
          <w:spacing w:val="-2"/>
          <w:vertAlign w:val="baseline"/>
        </w:rPr>
        <w:t>deceptions, </w:t>
      </w:r>
      <w:r>
        <w:rPr>
          <w:vertAlign w:val="baseline"/>
        </w:rPr>
        <w:t>his act of usurpation, and his causality, but we are not drawn to take</w:t>
      </w:r>
      <w:r>
        <w:rPr>
          <w:spacing w:val="40"/>
          <w:vertAlign w:val="baseline"/>
        </w:rPr>
        <w:t> </w:t>
      </w:r>
      <w:r>
        <w:rPr>
          <w:vertAlign w:val="baseline"/>
        </w:rPr>
        <w:t>him to our hearts, as he has not created any appeal to us. In the same </w:t>
      </w:r>
      <w:r>
        <w:rPr>
          <w:spacing w:val="-2"/>
          <w:vertAlign w:val="baseline"/>
        </w:rPr>
        <w:t>way,</w:t>
      </w:r>
      <w:r>
        <w:rPr>
          <w:spacing w:val="-9"/>
          <w:vertAlign w:val="baseline"/>
        </w:rPr>
        <w:t> </w:t>
      </w:r>
      <w:r>
        <w:rPr>
          <w:spacing w:val="-2"/>
          <w:vertAlign w:val="baseline"/>
        </w:rPr>
        <w:t>in</w:t>
      </w:r>
      <w:r>
        <w:rPr>
          <w:spacing w:val="-3"/>
          <w:vertAlign w:val="baseline"/>
        </w:rPr>
        <w:t> </w:t>
      </w:r>
      <w:r>
        <w:rPr>
          <w:i/>
          <w:spacing w:val="-2"/>
          <w:vertAlign w:val="baseline"/>
        </w:rPr>
        <w:t>Antony and</w:t>
      </w:r>
      <w:r>
        <w:rPr>
          <w:i/>
          <w:spacing w:val="-5"/>
          <w:vertAlign w:val="baseline"/>
        </w:rPr>
        <w:t> </w:t>
      </w:r>
      <w:r>
        <w:rPr>
          <w:i/>
          <w:spacing w:val="-2"/>
          <w:vertAlign w:val="baseline"/>
        </w:rPr>
        <w:t>Cleopatra, </w:t>
      </w:r>
      <w:r>
        <w:rPr>
          <w:spacing w:val="-2"/>
          <w:vertAlign w:val="baseline"/>
        </w:rPr>
        <w:t>the</w:t>
      </w:r>
      <w:r>
        <w:rPr>
          <w:spacing w:val="-3"/>
          <w:vertAlign w:val="baseline"/>
        </w:rPr>
        <w:t> </w:t>
      </w:r>
      <w:r>
        <w:rPr>
          <w:spacing w:val="-2"/>
          <w:vertAlign w:val="baseline"/>
        </w:rPr>
        <w:t>protagonists’</w:t>
      </w:r>
      <w:r>
        <w:rPr>
          <w:spacing w:val="-11"/>
          <w:vertAlign w:val="baseline"/>
        </w:rPr>
        <w:t> </w:t>
      </w:r>
      <w:r>
        <w:rPr>
          <w:spacing w:val="-2"/>
          <w:vertAlign w:val="baseline"/>
        </w:rPr>
        <w:t>common</w:t>
      </w:r>
      <w:r>
        <w:rPr>
          <w:spacing w:val="-6"/>
          <w:vertAlign w:val="baseline"/>
        </w:rPr>
        <w:t> </w:t>
      </w:r>
      <w:r>
        <w:rPr>
          <w:spacing w:val="-2"/>
          <w:vertAlign w:val="baseline"/>
        </w:rPr>
        <w:t>rival, Octavius, </w:t>
      </w:r>
      <w:r>
        <w:rPr>
          <w:vertAlign w:val="baseline"/>
        </w:rPr>
        <w:t>upholding</w:t>
      </w:r>
      <w:r>
        <w:rPr>
          <w:spacing w:val="-7"/>
          <w:vertAlign w:val="baseline"/>
        </w:rPr>
        <w:t> </w:t>
      </w:r>
      <w:r>
        <w:rPr>
          <w:vertAlign w:val="baseline"/>
        </w:rPr>
        <w:t>the</w:t>
      </w:r>
      <w:r>
        <w:rPr>
          <w:spacing w:val="-8"/>
          <w:vertAlign w:val="baseline"/>
        </w:rPr>
        <w:t> </w:t>
      </w:r>
      <w:r>
        <w:rPr>
          <w:vertAlign w:val="baseline"/>
        </w:rPr>
        <w:t>Roman</w:t>
      </w:r>
      <w:r>
        <w:rPr>
          <w:spacing w:val="-7"/>
          <w:vertAlign w:val="baseline"/>
        </w:rPr>
        <w:t> </w:t>
      </w:r>
      <w:r>
        <w:rPr>
          <w:vertAlign w:val="baseline"/>
        </w:rPr>
        <w:t>virtues,</w:t>
      </w:r>
      <w:r>
        <w:rPr>
          <w:spacing w:val="-9"/>
          <w:vertAlign w:val="baseline"/>
        </w:rPr>
        <w:t> </w:t>
      </w:r>
      <w:r>
        <w:rPr>
          <w:vertAlign w:val="baseline"/>
        </w:rPr>
        <w:t>acts</w:t>
      </w:r>
      <w:r>
        <w:rPr>
          <w:spacing w:val="-7"/>
          <w:vertAlign w:val="baseline"/>
        </w:rPr>
        <w:t> </w:t>
      </w:r>
      <w:r>
        <w:rPr>
          <w:vertAlign w:val="baseline"/>
        </w:rPr>
        <w:t>like</w:t>
      </w:r>
      <w:r>
        <w:rPr>
          <w:spacing w:val="-6"/>
          <w:vertAlign w:val="baseline"/>
        </w:rPr>
        <w:t> </w:t>
      </w:r>
      <w:r>
        <w:rPr>
          <w:vertAlign w:val="baseline"/>
        </w:rPr>
        <w:t>Bolingbroke</w:t>
      </w:r>
      <w:r>
        <w:rPr>
          <w:spacing w:val="-9"/>
          <w:vertAlign w:val="baseline"/>
        </w:rPr>
        <w:t> </w:t>
      </w:r>
      <w:r>
        <w:rPr>
          <w:vertAlign w:val="baseline"/>
        </w:rPr>
        <w:t>and</w:t>
      </w:r>
      <w:r>
        <w:rPr>
          <w:spacing w:val="-5"/>
          <w:vertAlign w:val="baseline"/>
        </w:rPr>
        <w:t> </w:t>
      </w:r>
      <w:r>
        <w:rPr>
          <w:vertAlign w:val="baseline"/>
        </w:rPr>
        <w:t>cannot</w:t>
      </w:r>
      <w:r>
        <w:rPr>
          <w:spacing w:val="-10"/>
          <w:vertAlign w:val="baseline"/>
        </w:rPr>
        <w:t> </w:t>
      </w:r>
      <w:r>
        <w:rPr>
          <w:vertAlign w:val="baseline"/>
        </w:rPr>
        <w:t>steal</w:t>
      </w:r>
      <w:r>
        <w:rPr>
          <w:spacing w:val="-7"/>
          <w:vertAlign w:val="baseline"/>
        </w:rPr>
        <w:t> </w:t>
      </w:r>
      <w:r>
        <w:rPr>
          <w:vertAlign w:val="baseline"/>
        </w:rPr>
        <w:t>our hearts.</w:t>
      </w:r>
      <w:r>
        <w:rPr>
          <w:spacing w:val="40"/>
          <w:vertAlign w:val="baseline"/>
        </w:rPr>
        <w:t> </w:t>
      </w:r>
      <w:r>
        <w:rPr>
          <w:vertAlign w:val="baseline"/>
        </w:rPr>
        <w:t>Bradley’s</w:t>
      </w:r>
      <w:r>
        <w:rPr>
          <w:spacing w:val="40"/>
          <w:vertAlign w:val="baseline"/>
        </w:rPr>
        <w:t> </w:t>
      </w:r>
      <w:r>
        <w:rPr>
          <w:vertAlign w:val="baseline"/>
        </w:rPr>
        <w:t>comment</w:t>
      </w:r>
      <w:r>
        <w:rPr>
          <w:spacing w:val="40"/>
          <w:vertAlign w:val="baseline"/>
        </w:rPr>
        <w:t> </w:t>
      </w:r>
      <w:r>
        <w:rPr>
          <w:vertAlign w:val="baseline"/>
        </w:rPr>
        <w:t>is</w:t>
      </w:r>
      <w:r>
        <w:rPr>
          <w:spacing w:val="40"/>
          <w:vertAlign w:val="baseline"/>
        </w:rPr>
        <w:t> </w:t>
      </w:r>
      <w:r>
        <w:rPr>
          <w:vertAlign w:val="baseline"/>
        </w:rPr>
        <w:t>apt</w:t>
      </w:r>
      <w:r>
        <w:rPr>
          <w:spacing w:val="40"/>
          <w:vertAlign w:val="baseline"/>
        </w:rPr>
        <w:t> </w:t>
      </w:r>
      <w:r>
        <w:rPr>
          <w:vertAlign w:val="baseline"/>
        </w:rPr>
        <w:t>to</w:t>
      </w:r>
      <w:r>
        <w:rPr>
          <w:spacing w:val="40"/>
          <w:vertAlign w:val="baseline"/>
        </w:rPr>
        <w:t> </w:t>
      </w:r>
      <w:r>
        <w:rPr>
          <w:vertAlign w:val="baseline"/>
        </w:rPr>
        <w:t>be</w:t>
      </w:r>
      <w:r>
        <w:rPr>
          <w:spacing w:val="40"/>
          <w:vertAlign w:val="baseline"/>
        </w:rPr>
        <w:t> </w:t>
      </w:r>
      <w:r>
        <w:rPr>
          <w:vertAlign w:val="baseline"/>
        </w:rPr>
        <w:t>quoted:</w:t>
      </w:r>
    </w:p>
    <w:p>
      <w:pPr>
        <w:spacing w:before="34"/>
        <w:ind w:left="2160" w:right="2157" w:firstLine="0"/>
        <w:jc w:val="both"/>
        <w:rPr>
          <w:i/>
          <w:sz w:val="20"/>
        </w:rPr>
      </w:pPr>
      <w:r>
        <w:rPr>
          <w:i/>
          <w:sz w:val="20"/>
        </w:rPr>
        <w:t>Shakespeare, I think, took little interest in the character of Octavius, and he has not made it wholly clear. It is not distinct in Plutarch’s ‘Life of Antony’; and I have not found traces that the poet studied closely the ‘Life of Octavius’ included in North’s volume. To Shakespeare he is one of those men, like Bolingbroke and Ulysses, who have plenty of ‘judgment’</w:t>
      </w:r>
      <w:r>
        <w:rPr>
          <w:i/>
          <w:spacing w:val="40"/>
          <w:sz w:val="20"/>
        </w:rPr>
        <w:t> </w:t>
      </w:r>
      <w:r>
        <w:rPr>
          <w:i/>
          <w:sz w:val="20"/>
        </w:rPr>
        <w:t>and not much</w:t>
      </w:r>
      <w:r>
        <w:rPr>
          <w:i/>
          <w:spacing w:val="40"/>
          <w:sz w:val="20"/>
        </w:rPr>
        <w:t> </w:t>
      </w:r>
      <w:r>
        <w:rPr>
          <w:i/>
          <w:sz w:val="20"/>
        </w:rPr>
        <w:t>‘blood’.</w:t>
      </w:r>
      <w:r>
        <w:rPr>
          <w:i/>
          <w:sz w:val="20"/>
          <w:vertAlign w:val="superscript"/>
        </w:rPr>
        <w:t>4</w:t>
      </w:r>
    </w:p>
    <w:p>
      <w:pPr>
        <w:pStyle w:val="BodyText"/>
        <w:spacing w:before="160"/>
        <w:ind w:left="0"/>
        <w:rPr>
          <w:i/>
        </w:rPr>
      </w:pPr>
      <w:r>
        <w:rPr>
          <w:i/>
        </w:rPr>
        <mc:AlternateContent>
          <mc:Choice Requires="wps">
            <w:drawing>
              <wp:anchor distT="0" distB="0" distL="0" distR="0" allowOverlap="1" layoutInCell="1" locked="0" behindDoc="1" simplePos="0" relativeHeight="487608320">
                <wp:simplePos x="0" y="0"/>
                <wp:positionH relativeFrom="page">
                  <wp:posOffset>2057400</wp:posOffset>
                </wp:positionH>
                <wp:positionV relativeFrom="paragraph">
                  <wp:posOffset>262915</wp:posOffset>
                </wp:positionV>
                <wp:extent cx="3657600" cy="12700"/>
                <wp:effectExtent l="0" t="0" r="0" b="0"/>
                <wp:wrapTopAndBottom/>
                <wp:docPr id="136" name="Graphic 136"/>
                <wp:cNvGraphicFramePr>
                  <a:graphicFrameLocks/>
                </wp:cNvGraphicFramePr>
                <a:graphic>
                  <a:graphicData uri="http://schemas.microsoft.com/office/word/2010/wordprocessingShape">
                    <wps:wsp>
                      <wps:cNvPr id="136" name="Graphic 13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20.701977pt;width:288.000009pt;height:.959976pt;mso-position-horizontal-relative:page;mso-position-vertical-relative:paragraph;z-index:-15708160;mso-wrap-distance-left:0;mso-wrap-distance-right:0" id="docshape132" filled="true" fillcolor="#000000" stroked="false">
                <v:fill type="solid"/>
                <w10:wrap type="topAndBottom"/>
              </v:rect>
            </w:pict>
          </mc:Fallback>
        </mc:AlternateContent>
      </w:r>
    </w:p>
    <w:p>
      <w:pPr>
        <w:spacing w:line="249" w:lineRule="auto" w:before="220"/>
        <w:ind w:left="1440" w:right="1441" w:firstLine="0"/>
        <w:jc w:val="both"/>
        <w:rPr>
          <w:sz w:val="18"/>
        </w:rPr>
      </w:pPr>
      <w:r>
        <w:rPr>
          <w:sz w:val="18"/>
          <w:vertAlign w:val="superscript"/>
        </w:rPr>
        <w:t>3</w:t>
      </w:r>
      <w:r>
        <w:rPr>
          <w:sz w:val="18"/>
          <w:vertAlign w:val="baseline"/>
        </w:rPr>
        <w:t> John Wilders puts the date in the range between 1604 and 1608, with the holidays of 1606-1607 as the most likely period for the play to have been written.</w:t>
      </w:r>
      <w:r>
        <w:rPr>
          <w:spacing w:val="40"/>
          <w:sz w:val="18"/>
          <w:vertAlign w:val="baseline"/>
        </w:rPr>
        <w:t> </w:t>
      </w:r>
      <w:r>
        <w:rPr>
          <w:sz w:val="18"/>
          <w:vertAlign w:val="baseline"/>
        </w:rPr>
        <w:t>(“Introduction,</w:t>
      </w:r>
      <w:r>
        <w:rPr>
          <w:spacing w:val="40"/>
          <w:sz w:val="18"/>
          <w:vertAlign w:val="baseline"/>
        </w:rPr>
        <w:t> </w:t>
      </w:r>
      <w:r>
        <w:rPr>
          <w:sz w:val="18"/>
          <w:vertAlign w:val="baseline"/>
        </w:rPr>
        <w:t>p.</w:t>
      </w:r>
      <w:r>
        <w:rPr>
          <w:spacing w:val="40"/>
          <w:sz w:val="18"/>
          <w:vertAlign w:val="baseline"/>
        </w:rPr>
        <w:t> </w:t>
      </w:r>
      <w:r>
        <w:rPr>
          <w:sz w:val="18"/>
          <w:vertAlign w:val="baseline"/>
        </w:rPr>
        <w:t>74)</w:t>
      </w:r>
    </w:p>
    <w:p>
      <w:pPr>
        <w:spacing w:line="249" w:lineRule="auto" w:before="60"/>
        <w:ind w:left="1440" w:right="1438" w:firstLine="0"/>
        <w:jc w:val="both"/>
        <w:rPr>
          <w:sz w:val="18"/>
        </w:rPr>
      </w:pPr>
      <w:r>
        <w:rPr>
          <w:sz w:val="18"/>
          <w:vertAlign w:val="superscript"/>
        </w:rPr>
        <w:t>4</w:t>
      </w:r>
      <w:r>
        <w:rPr>
          <w:spacing w:val="-4"/>
          <w:sz w:val="18"/>
          <w:vertAlign w:val="baseline"/>
        </w:rPr>
        <w:t> </w:t>
      </w:r>
      <w:r>
        <w:rPr>
          <w:sz w:val="18"/>
          <w:vertAlign w:val="baseline"/>
        </w:rPr>
        <w:t>“1909—A.</w:t>
      </w:r>
      <w:r>
        <w:rPr>
          <w:spacing w:val="-6"/>
          <w:sz w:val="18"/>
          <w:vertAlign w:val="baseline"/>
        </w:rPr>
        <w:t> </w:t>
      </w:r>
      <w:r>
        <w:rPr>
          <w:sz w:val="18"/>
          <w:vertAlign w:val="baseline"/>
        </w:rPr>
        <w:t>C.</w:t>
      </w:r>
      <w:r>
        <w:rPr>
          <w:spacing w:val="-5"/>
          <w:sz w:val="18"/>
          <w:vertAlign w:val="baseline"/>
        </w:rPr>
        <w:t> </w:t>
      </w:r>
      <w:r>
        <w:rPr>
          <w:sz w:val="18"/>
          <w:vertAlign w:val="baseline"/>
        </w:rPr>
        <w:t>Bradley.</w:t>
      </w:r>
      <w:r>
        <w:rPr>
          <w:spacing w:val="-5"/>
          <w:sz w:val="18"/>
          <w:vertAlign w:val="baseline"/>
        </w:rPr>
        <w:t> </w:t>
      </w:r>
      <w:r>
        <w:rPr>
          <w:sz w:val="18"/>
          <w:vertAlign w:val="baseline"/>
        </w:rPr>
        <w:t>From</w:t>
      </w:r>
      <w:r>
        <w:rPr>
          <w:spacing w:val="-11"/>
          <w:sz w:val="18"/>
          <w:vertAlign w:val="baseline"/>
        </w:rPr>
        <w:t> </w:t>
      </w:r>
      <w:r>
        <w:rPr>
          <w:sz w:val="18"/>
          <w:vertAlign w:val="baseline"/>
        </w:rPr>
        <w:t>“Shakespeare’s</w:t>
      </w:r>
      <w:r>
        <w:rPr>
          <w:spacing w:val="-2"/>
          <w:sz w:val="18"/>
          <w:vertAlign w:val="baseline"/>
        </w:rPr>
        <w:t> </w:t>
      </w:r>
      <w:r>
        <w:rPr>
          <w:i/>
          <w:sz w:val="18"/>
          <w:vertAlign w:val="baseline"/>
        </w:rPr>
        <w:t>Antony</w:t>
      </w:r>
      <w:r>
        <w:rPr>
          <w:i/>
          <w:spacing w:val="-6"/>
          <w:sz w:val="18"/>
          <w:vertAlign w:val="baseline"/>
        </w:rPr>
        <w:t> </w:t>
      </w:r>
      <w:r>
        <w:rPr>
          <w:i/>
          <w:sz w:val="18"/>
          <w:vertAlign w:val="baseline"/>
        </w:rPr>
        <w:t>and</w:t>
      </w:r>
      <w:r>
        <w:rPr>
          <w:i/>
          <w:spacing w:val="-5"/>
          <w:sz w:val="18"/>
          <w:vertAlign w:val="baseline"/>
        </w:rPr>
        <w:t> </w:t>
      </w:r>
      <w:r>
        <w:rPr>
          <w:i/>
          <w:sz w:val="18"/>
          <w:vertAlign w:val="baseline"/>
        </w:rPr>
        <w:t>Cleopatra,”</w:t>
      </w:r>
      <w:r>
        <w:rPr>
          <w:i/>
          <w:spacing w:val="-3"/>
          <w:sz w:val="18"/>
          <w:vertAlign w:val="baseline"/>
        </w:rPr>
        <w:t> </w:t>
      </w:r>
      <w:r>
        <w:rPr>
          <w:sz w:val="18"/>
          <w:vertAlign w:val="baseline"/>
        </w:rPr>
        <w:t>(</w:t>
      </w:r>
      <w:r>
        <w:rPr>
          <w:i/>
          <w:sz w:val="18"/>
          <w:vertAlign w:val="baseline"/>
        </w:rPr>
        <w:t>Oxford Lectures on Poetry</w:t>
      </w:r>
      <w:r>
        <w:rPr>
          <w:sz w:val="18"/>
          <w:vertAlign w:val="baseline"/>
        </w:rPr>
        <w:t>),” in </w:t>
      </w:r>
      <w:r>
        <w:rPr>
          <w:i/>
          <w:sz w:val="18"/>
          <w:vertAlign w:val="baseline"/>
        </w:rPr>
        <w:t>Harold Bloom’s Shakespeare Through the Ages: Antony and Cleopatra: Edited with an introduction by Harold Bloom, Volume Editor:</w:t>
      </w:r>
      <w:r>
        <w:rPr>
          <w:i/>
          <w:spacing w:val="40"/>
          <w:sz w:val="18"/>
          <w:vertAlign w:val="baseline"/>
        </w:rPr>
        <w:t> </w:t>
      </w:r>
      <w:r>
        <w:rPr>
          <w:i/>
          <w:sz w:val="18"/>
          <w:vertAlign w:val="baseline"/>
        </w:rPr>
        <w:t>Neil</w:t>
      </w:r>
      <w:r>
        <w:rPr>
          <w:i/>
          <w:spacing w:val="40"/>
          <w:sz w:val="18"/>
          <w:vertAlign w:val="baseline"/>
        </w:rPr>
        <w:t> </w:t>
      </w:r>
      <w:r>
        <w:rPr>
          <w:i/>
          <w:sz w:val="18"/>
          <w:vertAlign w:val="baseline"/>
        </w:rPr>
        <w:t>Heims</w:t>
      </w:r>
      <w:r>
        <w:rPr>
          <w:i/>
          <w:spacing w:val="40"/>
          <w:sz w:val="18"/>
          <w:vertAlign w:val="baseline"/>
        </w:rPr>
        <w:t> </w:t>
      </w:r>
      <w:r>
        <w:rPr>
          <w:sz w:val="18"/>
          <w:vertAlign w:val="baseline"/>
        </w:rPr>
        <w:t>(New Delhi:</w:t>
      </w:r>
      <w:r>
        <w:rPr>
          <w:spacing w:val="40"/>
          <w:sz w:val="18"/>
          <w:vertAlign w:val="baseline"/>
        </w:rPr>
        <w:t> </w:t>
      </w:r>
      <w:r>
        <w:rPr>
          <w:sz w:val="18"/>
          <w:vertAlign w:val="baseline"/>
        </w:rPr>
        <w:t>Viva</w:t>
      </w:r>
      <w:r>
        <w:rPr>
          <w:spacing w:val="40"/>
          <w:sz w:val="18"/>
          <w:vertAlign w:val="baseline"/>
        </w:rPr>
        <w:t> </w:t>
      </w:r>
      <w:r>
        <w:rPr>
          <w:sz w:val="18"/>
          <w:vertAlign w:val="baseline"/>
        </w:rPr>
        <w:t>Books,</w:t>
      </w:r>
      <w:r>
        <w:rPr>
          <w:spacing w:val="40"/>
          <w:sz w:val="18"/>
          <w:vertAlign w:val="baseline"/>
        </w:rPr>
        <w:t> </w:t>
      </w:r>
      <w:r>
        <w:rPr>
          <w:sz w:val="18"/>
          <w:vertAlign w:val="baseline"/>
        </w:rPr>
        <w:t>2010),</w:t>
      </w:r>
      <w:r>
        <w:rPr>
          <w:spacing w:val="40"/>
          <w:sz w:val="18"/>
          <w:vertAlign w:val="baseline"/>
        </w:rPr>
        <w:t> </w:t>
      </w:r>
      <w:r>
        <w:rPr>
          <w:sz w:val="18"/>
          <w:vertAlign w:val="baseline"/>
        </w:rPr>
        <w:t>pp.97-98.</w:t>
      </w:r>
    </w:p>
    <w:p>
      <w:pPr>
        <w:spacing w:after="0" w:line="249" w:lineRule="auto"/>
        <w:jc w:val="both"/>
        <w:rPr>
          <w:sz w:val="18"/>
        </w:rPr>
        <w:sectPr>
          <w:pgSz w:w="12240" w:h="15840"/>
          <w:pgMar w:top="1820" w:bottom="280" w:left="1800" w:right="1800"/>
        </w:sectPr>
      </w:pPr>
    </w:p>
    <w:p>
      <w:pPr>
        <w:tabs>
          <w:tab w:pos="7183"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08832">
                <wp:simplePos x="0" y="0"/>
                <wp:positionH relativeFrom="page">
                  <wp:posOffset>2065020</wp:posOffset>
                </wp:positionH>
                <wp:positionV relativeFrom="paragraph">
                  <wp:posOffset>795020</wp:posOffset>
                </wp:positionV>
                <wp:extent cx="3657600" cy="12700"/>
                <wp:effectExtent l="0" t="0" r="0" b="0"/>
                <wp:wrapTopAndBottom/>
                <wp:docPr id="137" name="Graphic 137"/>
                <wp:cNvGraphicFramePr>
                  <a:graphicFrameLocks/>
                </wp:cNvGraphicFramePr>
                <a:graphic>
                  <a:graphicData uri="http://schemas.microsoft.com/office/word/2010/wordprocessingShape">
                    <wps:wsp>
                      <wps:cNvPr id="137" name="Graphic 13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707648;mso-wrap-distance-left:0;mso-wrap-distance-right:0" id="docshape133" filled="true" fillcolor="#000000" stroked="false">
                <v:fill type="solid"/>
                <w10:wrap type="topAndBottom"/>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10"/>
          <w:sz w:val="18"/>
        </w:rPr>
        <w:t>5</w:t>
      </w:r>
    </w:p>
    <w:p>
      <w:pPr>
        <w:pStyle w:val="BodyText"/>
        <w:spacing w:line="249" w:lineRule="auto" w:before="192"/>
        <w:ind w:right="1440" w:firstLine="432"/>
        <w:jc w:val="both"/>
      </w:pPr>
      <w:r>
        <w:rPr/>
        <w:t>But the point is, even though Octavius is shaded off not to be at par</w:t>
      </w:r>
      <w:r>
        <w:rPr>
          <w:spacing w:val="-13"/>
        </w:rPr>
        <w:t> </w:t>
      </w:r>
      <w:r>
        <w:rPr/>
        <w:t>with</w:t>
      </w:r>
      <w:r>
        <w:rPr>
          <w:spacing w:val="-12"/>
        </w:rPr>
        <w:t> </w:t>
      </w:r>
      <w:r>
        <w:rPr/>
        <w:t>either</w:t>
      </w:r>
      <w:r>
        <w:rPr>
          <w:spacing w:val="-13"/>
        </w:rPr>
        <w:t> </w:t>
      </w:r>
      <w:r>
        <w:rPr/>
        <w:t>Antony</w:t>
      </w:r>
      <w:r>
        <w:rPr>
          <w:spacing w:val="-12"/>
        </w:rPr>
        <w:t> </w:t>
      </w:r>
      <w:r>
        <w:rPr/>
        <w:t>or</w:t>
      </w:r>
      <w:r>
        <w:rPr>
          <w:spacing w:val="-13"/>
        </w:rPr>
        <w:t> </w:t>
      </w:r>
      <w:r>
        <w:rPr/>
        <w:t>Cleopatra,</w:t>
      </w:r>
      <w:r>
        <w:rPr>
          <w:spacing w:val="-11"/>
        </w:rPr>
        <w:t> </w:t>
      </w:r>
      <w:r>
        <w:rPr/>
        <w:t>but</w:t>
      </w:r>
      <w:r>
        <w:rPr>
          <w:spacing w:val="-12"/>
        </w:rPr>
        <w:t> </w:t>
      </w:r>
      <w:r>
        <w:rPr/>
        <w:t>their</w:t>
      </w:r>
      <w:r>
        <w:rPr>
          <w:spacing w:val="-10"/>
        </w:rPr>
        <w:t> </w:t>
      </w:r>
      <w:r>
        <w:rPr/>
        <w:t>actions,</w:t>
      </w:r>
      <w:r>
        <w:rPr>
          <w:spacing w:val="-9"/>
        </w:rPr>
        <w:t> </w:t>
      </w:r>
      <w:r>
        <w:rPr/>
        <w:t>which</w:t>
      </w:r>
      <w:r>
        <w:rPr>
          <w:spacing w:val="-13"/>
        </w:rPr>
        <w:t> </w:t>
      </w:r>
      <w:r>
        <w:rPr/>
        <w:t>glorify</w:t>
      </w:r>
      <w:r>
        <w:rPr>
          <w:spacing w:val="-12"/>
        </w:rPr>
        <w:t> </w:t>
      </w:r>
      <w:r>
        <w:rPr/>
        <w:t>their status to a heroic height are totally time specific, confined to the past,</w:t>
      </w:r>
      <w:r>
        <w:rPr>
          <w:spacing w:val="40"/>
        </w:rPr>
        <w:t> </w:t>
      </w:r>
      <w:r>
        <w:rPr/>
        <w:t>as opposed to their continuous failed actions, which we can see taken</w:t>
      </w:r>
      <w:r>
        <w:rPr>
          <w:spacing w:val="80"/>
        </w:rPr>
        <w:t> </w:t>
      </w:r>
      <w:r>
        <w:rPr/>
        <w:t>in the present time, and which are anything but heroic. So, the tragic status</w:t>
      </w:r>
      <w:r>
        <w:rPr>
          <w:spacing w:val="-7"/>
        </w:rPr>
        <w:t> </w:t>
      </w:r>
      <w:r>
        <w:rPr/>
        <w:t>we</w:t>
      </w:r>
      <w:r>
        <w:rPr>
          <w:spacing w:val="-3"/>
        </w:rPr>
        <w:t> </w:t>
      </w:r>
      <w:r>
        <w:rPr/>
        <w:t>acknowledge</w:t>
      </w:r>
      <w:r>
        <w:rPr>
          <w:spacing w:val="-7"/>
        </w:rPr>
        <w:t> </w:t>
      </w:r>
      <w:r>
        <w:rPr/>
        <w:t>for</w:t>
      </w:r>
      <w:r>
        <w:rPr>
          <w:spacing w:val="-4"/>
        </w:rPr>
        <w:t> </w:t>
      </w:r>
      <w:r>
        <w:rPr/>
        <w:t>Richard</w:t>
      </w:r>
      <w:r>
        <w:rPr>
          <w:spacing w:val="-6"/>
        </w:rPr>
        <w:t> </w:t>
      </w:r>
      <w:r>
        <w:rPr/>
        <w:t>II</w:t>
      </w:r>
      <w:r>
        <w:rPr>
          <w:spacing w:val="-6"/>
        </w:rPr>
        <w:t> </w:t>
      </w:r>
      <w:r>
        <w:rPr/>
        <w:t>is</w:t>
      </w:r>
      <w:r>
        <w:rPr>
          <w:spacing w:val="-6"/>
        </w:rPr>
        <w:t> </w:t>
      </w:r>
      <w:r>
        <w:rPr/>
        <w:t>surely</w:t>
      </w:r>
      <w:r>
        <w:rPr>
          <w:spacing w:val="-11"/>
        </w:rPr>
        <w:t> </w:t>
      </w:r>
      <w:r>
        <w:rPr/>
        <w:t>not</w:t>
      </w:r>
      <w:r>
        <w:rPr>
          <w:spacing w:val="-4"/>
        </w:rPr>
        <w:t> </w:t>
      </w:r>
      <w:r>
        <w:rPr/>
        <w:t>what</w:t>
      </w:r>
      <w:r>
        <w:rPr>
          <w:spacing w:val="-7"/>
        </w:rPr>
        <w:t> </w:t>
      </w:r>
      <w:r>
        <w:rPr/>
        <w:t>we</w:t>
      </w:r>
      <w:r>
        <w:rPr>
          <w:spacing w:val="-5"/>
        </w:rPr>
        <w:t> </w:t>
      </w:r>
      <w:r>
        <w:rPr/>
        <w:t>can</w:t>
      </w:r>
      <w:r>
        <w:rPr>
          <w:spacing w:val="-7"/>
        </w:rPr>
        <w:t> </w:t>
      </w:r>
      <w:r>
        <w:rPr/>
        <w:t>attribute to</w:t>
      </w:r>
      <w:r>
        <w:rPr>
          <w:spacing w:val="40"/>
        </w:rPr>
        <w:t> </w:t>
      </w:r>
      <w:r>
        <w:rPr/>
        <w:t>Antony</w:t>
      </w:r>
      <w:r>
        <w:rPr>
          <w:spacing w:val="40"/>
        </w:rPr>
        <w:t> </w:t>
      </w:r>
      <w:r>
        <w:rPr/>
        <w:t>and</w:t>
      </w:r>
      <w:r>
        <w:rPr>
          <w:spacing w:val="40"/>
        </w:rPr>
        <w:t> </w:t>
      </w:r>
      <w:r>
        <w:rPr/>
        <w:t>Cleopatra.</w:t>
      </w:r>
    </w:p>
    <w:p>
      <w:pPr>
        <w:pStyle w:val="BodyText"/>
        <w:spacing w:line="249" w:lineRule="auto" w:before="64"/>
        <w:ind w:right="1439" w:firstLine="432"/>
        <w:jc w:val="both"/>
      </w:pPr>
      <w:r>
        <w:rPr/>
        <w:t>Both Antony and Cleopatra have traditionally been viewed in criticism as lacking in introspective power, and Shakespeare is said to have made up for this lack by investing his best poetry, which has led</w:t>
      </w:r>
      <w:r>
        <w:rPr>
          <w:spacing w:val="40"/>
        </w:rPr>
        <w:t> </w:t>
      </w:r>
      <w:r>
        <w:rPr/>
        <w:t>to</w:t>
      </w:r>
      <w:r>
        <w:rPr>
          <w:spacing w:val="-5"/>
        </w:rPr>
        <w:t> </w:t>
      </w:r>
      <w:r>
        <w:rPr/>
        <w:t>the</w:t>
      </w:r>
      <w:r>
        <w:rPr>
          <w:spacing w:val="-6"/>
        </w:rPr>
        <w:t> </w:t>
      </w:r>
      <w:r>
        <w:rPr/>
        <w:t>claim</w:t>
      </w:r>
      <w:r>
        <w:rPr>
          <w:spacing w:val="-10"/>
        </w:rPr>
        <w:t> </w:t>
      </w:r>
      <w:r>
        <w:rPr/>
        <w:t>that</w:t>
      </w:r>
      <w:r>
        <w:rPr>
          <w:spacing w:val="-10"/>
        </w:rPr>
        <w:t> </w:t>
      </w:r>
      <w:r>
        <w:rPr/>
        <w:t>the</w:t>
      </w:r>
      <w:r>
        <w:rPr>
          <w:spacing w:val="-7"/>
        </w:rPr>
        <w:t> </w:t>
      </w:r>
      <w:r>
        <w:rPr/>
        <w:t>play</w:t>
      </w:r>
      <w:r>
        <w:rPr>
          <w:spacing w:val="-11"/>
        </w:rPr>
        <w:t> </w:t>
      </w:r>
      <w:r>
        <w:rPr/>
        <w:t>is</w:t>
      </w:r>
      <w:r>
        <w:rPr>
          <w:spacing w:val="-7"/>
        </w:rPr>
        <w:t> </w:t>
      </w:r>
      <w:r>
        <w:rPr/>
        <w:t>less</w:t>
      </w:r>
      <w:r>
        <w:rPr>
          <w:spacing w:val="-7"/>
        </w:rPr>
        <w:t> </w:t>
      </w:r>
      <w:r>
        <w:rPr/>
        <w:t>of</w:t>
      </w:r>
      <w:r>
        <w:rPr>
          <w:spacing w:val="-9"/>
        </w:rPr>
        <w:t> </w:t>
      </w:r>
      <w:r>
        <w:rPr/>
        <w:t>a</w:t>
      </w:r>
      <w:r>
        <w:rPr>
          <w:spacing w:val="-6"/>
        </w:rPr>
        <w:t> </w:t>
      </w:r>
      <w:r>
        <w:rPr/>
        <w:t>drama</w:t>
      </w:r>
      <w:r>
        <w:rPr>
          <w:spacing w:val="-6"/>
        </w:rPr>
        <w:t> </w:t>
      </w:r>
      <w:r>
        <w:rPr/>
        <w:t>than</w:t>
      </w:r>
      <w:r>
        <w:rPr>
          <w:spacing w:val="-11"/>
        </w:rPr>
        <w:t> </w:t>
      </w:r>
      <w:r>
        <w:rPr/>
        <w:t>a</w:t>
      </w:r>
      <w:r>
        <w:rPr>
          <w:spacing w:val="-6"/>
        </w:rPr>
        <w:t> </w:t>
      </w:r>
      <w:r>
        <w:rPr/>
        <w:t>lyrical</w:t>
      </w:r>
      <w:r>
        <w:rPr>
          <w:spacing w:val="-7"/>
        </w:rPr>
        <w:t> </w:t>
      </w:r>
      <w:r>
        <w:rPr/>
        <w:t>poem.</w:t>
      </w:r>
      <w:r>
        <w:rPr>
          <w:spacing w:val="-7"/>
        </w:rPr>
        <w:t> </w:t>
      </w:r>
      <w:r>
        <w:rPr/>
        <w:t>But</w:t>
      </w:r>
      <w:r>
        <w:rPr>
          <w:spacing w:val="-8"/>
        </w:rPr>
        <w:t> </w:t>
      </w:r>
      <w:r>
        <w:rPr/>
        <w:t>what I</w:t>
      </w:r>
      <w:r>
        <w:rPr>
          <w:spacing w:val="-13"/>
        </w:rPr>
        <w:t> </w:t>
      </w:r>
      <w:r>
        <w:rPr/>
        <w:t>want</w:t>
      </w:r>
      <w:r>
        <w:rPr>
          <w:spacing w:val="-12"/>
        </w:rPr>
        <w:t> </w:t>
      </w:r>
      <w:r>
        <w:rPr/>
        <w:t>to</w:t>
      </w:r>
      <w:r>
        <w:rPr>
          <w:spacing w:val="-13"/>
        </w:rPr>
        <w:t> </w:t>
      </w:r>
      <w:r>
        <w:rPr/>
        <w:t>add</w:t>
      </w:r>
      <w:r>
        <w:rPr>
          <w:spacing w:val="-12"/>
        </w:rPr>
        <w:t> </w:t>
      </w:r>
      <w:r>
        <w:rPr/>
        <w:t>to</w:t>
      </w:r>
      <w:r>
        <w:rPr>
          <w:spacing w:val="-11"/>
        </w:rPr>
        <w:t> </w:t>
      </w:r>
      <w:r>
        <w:rPr/>
        <w:t>this</w:t>
      </w:r>
      <w:r>
        <w:rPr>
          <w:spacing w:val="-11"/>
        </w:rPr>
        <w:t> </w:t>
      </w:r>
      <w:r>
        <w:rPr/>
        <w:t>critically</w:t>
      </w:r>
      <w:r>
        <w:rPr>
          <w:spacing w:val="-13"/>
        </w:rPr>
        <w:t> </w:t>
      </w:r>
      <w:r>
        <w:rPr/>
        <w:t>established</w:t>
      </w:r>
      <w:r>
        <w:rPr>
          <w:spacing w:val="-11"/>
        </w:rPr>
        <w:t> </w:t>
      </w:r>
      <w:r>
        <w:rPr/>
        <w:t>reading</w:t>
      </w:r>
      <w:r>
        <w:rPr>
          <w:spacing w:val="-13"/>
        </w:rPr>
        <w:t> </w:t>
      </w:r>
      <w:r>
        <w:rPr/>
        <w:t>is</w:t>
      </w:r>
      <w:r>
        <w:rPr>
          <w:spacing w:val="-12"/>
        </w:rPr>
        <w:t> </w:t>
      </w:r>
      <w:r>
        <w:rPr/>
        <w:t>that</w:t>
      </w:r>
      <w:r>
        <w:rPr>
          <w:spacing w:val="-13"/>
        </w:rPr>
        <w:t> </w:t>
      </w:r>
      <w:r>
        <w:rPr/>
        <w:t>this</w:t>
      </w:r>
      <w:r>
        <w:rPr>
          <w:spacing w:val="-12"/>
        </w:rPr>
        <w:t> </w:t>
      </w:r>
      <w:r>
        <w:rPr/>
        <w:t>employment of great poetry does a disservice rather than help the drama to sustain the great sense of loss we usually feel as we watch or read the great tragedies like </w:t>
      </w:r>
      <w:r>
        <w:rPr>
          <w:i/>
        </w:rPr>
        <w:t>Hamlet, King Lear, </w:t>
      </w:r>
      <w:r>
        <w:rPr/>
        <w:t>and so on. Instead of feeling a sense of loss, we would rather become aware of how Shakespeare had tried</w:t>
      </w:r>
      <w:r>
        <w:rPr>
          <w:spacing w:val="80"/>
        </w:rPr>
        <w:t> </w:t>
      </w:r>
      <w:r>
        <w:rPr/>
        <w:t>in order to make up for the inability to create a sense of loss, or, let us say, the painful tragic effect, by continuously trying to glorify the actions taken by both protagonists in the past and the expectation that those actions for their boldness or courage would still resonate in the present time in the same verve. But we become aware that this attempt to</w:t>
      </w:r>
      <w:r>
        <w:rPr>
          <w:spacing w:val="18"/>
        </w:rPr>
        <w:t> </w:t>
      </w:r>
      <w:r>
        <w:rPr/>
        <w:t>revitalize</w:t>
      </w:r>
      <w:r>
        <w:rPr>
          <w:spacing w:val="17"/>
        </w:rPr>
        <w:t> </w:t>
      </w:r>
      <w:r>
        <w:rPr/>
        <w:t>the</w:t>
      </w:r>
      <w:r>
        <w:rPr>
          <w:spacing w:val="17"/>
        </w:rPr>
        <w:t> </w:t>
      </w:r>
      <w:r>
        <w:rPr/>
        <w:t>present</w:t>
      </w:r>
      <w:r>
        <w:rPr>
          <w:spacing w:val="15"/>
        </w:rPr>
        <w:t> </w:t>
      </w:r>
      <w:r>
        <w:rPr/>
        <w:t>with</w:t>
      </w:r>
      <w:r>
        <w:rPr>
          <w:spacing w:val="18"/>
        </w:rPr>
        <w:t> </w:t>
      </w:r>
      <w:r>
        <w:rPr/>
        <w:t>the</w:t>
      </w:r>
      <w:r>
        <w:rPr>
          <w:spacing w:val="16"/>
        </w:rPr>
        <w:t> </w:t>
      </w:r>
      <w:r>
        <w:rPr/>
        <w:t>glory of</w:t>
      </w:r>
      <w:r>
        <w:rPr>
          <w:spacing w:val="14"/>
        </w:rPr>
        <w:t> </w:t>
      </w:r>
      <w:r>
        <w:rPr/>
        <w:t>the</w:t>
      </w:r>
      <w:r>
        <w:rPr>
          <w:spacing w:val="18"/>
        </w:rPr>
        <w:t> </w:t>
      </w:r>
      <w:r>
        <w:rPr/>
        <w:t>past</w:t>
      </w:r>
      <w:r>
        <w:rPr>
          <w:spacing w:val="16"/>
        </w:rPr>
        <w:t> </w:t>
      </w:r>
      <w:r>
        <w:rPr/>
        <w:t>fails,</w:t>
      </w:r>
      <w:r>
        <w:rPr>
          <w:spacing w:val="18"/>
        </w:rPr>
        <w:t> </w:t>
      </w:r>
      <w:r>
        <w:rPr/>
        <w:t>and</w:t>
      </w:r>
      <w:r>
        <w:rPr>
          <w:spacing w:val="18"/>
        </w:rPr>
        <w:t> </w:t>
      </w:r>
      <w:r>
        <w:rPr/>
        <w:t>the</w:t>
      </w:r>
      <w:r>
        <w:rPr>
          <w:spacing w:val="19"/>
        </w:rPr>
        <w:t> </w:t>
      </w:r>
      <w:r>
        <w:rPr/>
        <w:t>result is that we feel a comic kind of supplement trying to pass itself off as intensely</w:t>
      </w:r>
      <w:r>
        <w:rPr>
          <w:spacing w:val="40"/>
        </w:rPr>
        <w:t> </w:t>
      </w:r>
      <w:r>
        <w:rPr/>
        <w:t>tragic.</w:t>
      </w:r>
    </w:p>
    <w:p>
      <w:pPr>
        <w:pStyle w:val="BodyText"/>
        <w:spacing w:line="249" w:lineRule="auto" w:before="71"/>
        <w:ind w:right="1439" w:firstLine="432"/>
        <w:jc w:val="both"/>
      </w:pPr>
      <w:r>
        <w:rPr/>
        <w:t>So, we discuss</w:t>
      </w:r>
      <w:r>
        <w:rPr>
          <w:spacing w:val="-2"/>
        </w:rPr>
        <w:t> </w:t>
      </w:r>
      <w:r>
        <w:rPr/>
        <w:t>the play</w:t>
      </w:r>
      <w:r>
        <w:rPr>
          <w:spacing w:val="-2"/>
        </w:rPr>
        <w:t> </w:t>
      </w:r>
      <w:r>
        <w:rPr/>
        <w:t>by</w:t>
      </w:r>
      <w:r>
        <w:rPr>
          <w:spacing w:val="-4"/>
        </w:rPr>
        <w:t> </w:t>
      </w:r>
      <w:r>
        <w:rPr/>
        <w:t>outlining the process. There are clearly four</w:t>
      </w:r>
      <w:r>
        <w:rPr>
          <w:spacing w:val="40"/>
        </w:rPr>
        <w:t> </w:t>
      </w:r>
      <w:r>
        <w:rPr/>
        <w:t>movements</w:t>
      </w:r>
      <w:r>
        <w:rPr>
          <w:spacing w:val="40"/>
        </w:rPr>
        <w:t> </w:t>
      </w:r>
      <w:r>
        <w:rPr/>
        <w:t>in</w:t>
      </w:r>
      <w:r>
        <w:rPr>
          <w:spacing w:val="40"/>
        </w:rPr>
        <w:t> </w:t>
      </w:r>
      <w:r>
        <w:rPr/>
        <w:t>the</w:t>
      </w:r>
      <w:r>
        <w:rPr>
          <w:spacing w:val="40"/>
        </w:rPr>
        <w:t> </w:t>
      </w:r>
      <w:r>
        <w:rPr/>
        <w:t>action</w:t>
      </w:r>
      <w:r>
        <w:rPr>
          <w:spacing w:val="40"/>
        </w:rPr>
        <w:t> </w:t>
      </w:r>
      <w:r>
        <w:rPr/>
        <w:t>to</w:t>
      </w:r>
      <w:r>
        <w:rPr>
          <w:spacing w:val="40"/>
        </w:rPr>
        <w:t> </w:t>
      </w:r>
      <w:r>
        <w:rPr/>
        <w:t>note.</w:t>
      </w:r>
    </w:p>
    <w:p>
      <w:pPr>
        <w:pStyle w:val="ListParagraph"/>
        <w:numPr>
          <w:ilvl w:val="0"/>
          <w:numId w:val="6"/>
        </w:numPr>
        <w:tabs>
          <w:tab w:pos="2157" w:val="left" w:leader="none"/>
          <w:tab w:pos="2160" w:val="left" w:leader="none"/>
        </w:tabs>
        <w:spacing w:line="261" w:lineRule="auto" w:before="69" w:after="0"/>
        <w:ind w:left="2160" w:right="1439" w:hanging="269"/>
        <w:jc w:val="both"/>
        <w:rPr>
          <w:sz w:val="20"/>
        </w:rPr>
      </w:pPr>
      <w:r>
        <w:rPr>
          <w:sz w:val="20"/>
        </w:rPr>
        <w:t>The character of</w:t>
      </w:r>
      <w:r>
        <w:rPr>
          <w:spacing w:val="-6"/>
          <w:sz w:val="20"/>
        </w:rPr>
        <w:t> </w:t>
      </w:r>
      <w:r>
        <w:rPr>
          <w:sz w:val="20"/>
        </w:rPr>
        <w:t>Antony is often magnified by referring to his past</w:t>
      </w:r>
      <w:r>
        <w:rPr>
          <w:spacing w:val="40"/>
          <w:sz w:val="20"/>
        </w:rPr>
        <w:t> </w:t>
      </w:r>
      <w:r>
        <w:rPr>
          <w:sz w:val="20"/>
        </w:rPr>
        <w:t>glories.</w:t>
      </w:r>
    </w:p>
    <w:p>
      <w:pPr>
        <w:pStyle w:val="ListParagraph"/>
        <w:numPr>
          <w:ilvl w:val="0"/>
          <w:numId w:val="6"/>
        </w:numPr>
        <w:tabs>
          <w:tab w:pos="2157" w:val="left" w:leader="none"/>
          <w:tab w:pos="2160" w:val="left" w:leader="none"/>
        </w:tabs>
        <w:spacing w:line="261" w:lineRule="auto" w:before="55" w:after="0"/>
        <w:ind w:left="2160" w:right="1441" w:hanging="315"/>
        <w:jc w:val="both"/>
        <w:rPr>
          <w:sz w:val="20"/>
        </w:rPr>
      </w:pPr>
      <w:r>
        <w:rPr>
          <w:sz w:val="20"/>
        </w:rPr>
        <w:t>And, equally, he is condemned for his actions in the present time. In this movement, he is seen as failing to understand the value</w:t>
      </w:r>
      <w:r>
        <w:rPr>
          <w:spacing w:val="-3"/>
          <w:sz w:val="20"/>
        </w:rPr>
        <w:t> </w:t>
      </w:r>
      <w:r>
        <w:rPr>
          <w:sz w:val="20"/>
        </w:rPr>
        <w:t>of</w:t>
      </w:r>
      <w:r>
        <w:rPr>
          <w:spacing w:val="-4"/>
          <w:sz w:val="20"/>
        </w:rPr>
        <w:t> </w:t>
      </w:r>
      <w:r>
        <w:rPr>
          <w:sz w:val="20"/>
        </w:rPr>
        <w:t>the political-material</w:t>
      </w:r>
      <w:r>
        <w:rPr>
          <w:spacing w:val="-4"/>
          <w:sz w:val="20"/>
        </w:rPr>
        <w:t> </w:t>
      </w:r>
      <w:r>
        <w:rPr>
          <w:sz w:val="20"/>
        </w:rPr>
        <w:t>world.</w:t>
      </w:r>
      <w:r>
        <w:rPr>
          <w:spacing w:val="-1"/>
          <w:sz w:val="20"/>
        </w:rPr>
        <w:t> </w:t>
      </w:r>
      <w:r>
        <w:rPr>
          <w:sz w:val="20"/>
        </w:rPr>
        <w:t>He</w:t>
      </w:r>
      <w:r>
        <w:rPr>
          <w:spacing w:val="-1"/>
          <w:sz w:val="20"/>
        </w:rPr>
        <w:t> </w:t>
      </w:r>
      <w:r>
        <w:rPr>
          <w:sz w:val="20"/>
        </w:rPr>
        <w:t>appears</w:t>
      </w:r>
      <w:r>
        <w:rPr>
          <w:spacing w:val="-4"/>
          <w:sz w:val="20"/>
        </w:rPr>
        <w:t> </w:t>
      </w:r>
      <w:r>
        <w:rPr>
          <w:sz w:val="20"/>
        </w:rPr>
        <w:t>to</w:t>
      </w:r>
      <w:r>
        <w:rPr>
          <w:spacing w:val="-1"/>
          <w:sz w:val="20"/>
        </w:rPr>
        <w:t> </w:t>
      </w:r>
      <w:r>
        <w:rPr>
          <w:sz w:val="20"/>
        </w:rPr>
        <w:t>be</w:t>
      </w:r>
      <w:r>
        <w:rPr>
          <w:spacing w:val="-3"/>
          <w:sz w:val="20"/>
        </w:rPr>
        <w:t> </w:t>
      </w:r>
      <w:r>
        <w:rPr>
          <w:sz w:val="20"/>
        </w:rPr>
        <w:t>a model of</w:t>
      </w:r>
      <w:r>
        <w:rPr>
          <w:spacing w:val="40"/>
          <w:sz w:val="20"/>
        </w:rPr>
        <w:t> </w:t>
      </w:r>
      <w:r>
        <w:rPr>
          <w:sz w:val="20"/>
        </w:rPr>
        <w:t>vainglorious</w:t>
      </w:r>
      <w:r>
        <w:rPr>
          <w:spacing w:val="40"/>
          <w:sz w:val="20"/>
        </w:rPr>
        <w:t> </w:t>
      </w:r>
      <w:r>
        <w:rPr>
          <w:sz w:val="20"/>
        </w:rPr>
        <w:t>attitude.</w:t>
      </w:r>
    </w:p>
    <w:p>
      <w:pPr>
        <w:pStyle w:val="ListParagraph"/>
        <w:numPr>
          <w:ilvl w:val="0"/>
          <w:numId w:val="6"/>
        </w:numPr>
        <w:tabs>
          <w:tab w:pos="2157" w:val="left" w:leader="none"/>
          <w:tab w:pos="2160" w:val="left" w:leader="none"/>
        </w:tabs>
        <w:spacing w:line="261" w:lineRule="auto" w:before="56" w:after="0"/>
        <w:ind w:left="2160" w:right="1439" w:hanging="360"/>
        <w:jc w:val="both"/>
        <w:rPr>
          <w:sz w:val="20"/>
        </w:rPr>
      </w:pPr>
      <w:r>
        <w:rPr>
          <w:sz w:val="20"/>
        </w:rPr>
        <w:t>Unlike</w:t>
      </w:r>
      <w:r>
        <w:rPr>
          <w:spacing w:val="-13"/>
          <w:sz w:val="20"/>
        </w:rPr>
        <w:t> </w:t>
      </w:r>
      <w:r>
        <w:rPr>
          <w:sz w:val="20"/>
        </w:rPr>
        <w:t>Antony,</w:t>
      </w:r>
      <w:r>
        <w:rPr>
          <w:spacing w:val="-4"/>
          <w:sz w:val="20"/>
        </w:rPr>
        <w:t> </w:t>
      </w:r>
      <w:r>
        <w:rPr>
          <w:sz w:val="20"/>
        </w:rPr>
        <w:t>Cleopatra</w:t>
      </w:r>
      <w:r>
        <w:rPr>
          <w:spacing w:val="-4"/>
          <w:sz w:val="20"/>
        </w:rPr>
        <w:t> </w:t>
      </w:r>
      <w:r>
        <w:rPr>
          <w:sz w:val="20"/>
        </w:rPr>
        <w:t>is</w:t>
      </w:r>
      <w:r>
        <w:rPr>
          <w:spacing w:val="-3"/>
          <w:sz w:val="20"/>
        </w:rPr>
        <w:t> </w:t>
      </w:r>
      <w:r>
        <w:rPr>
          <w:sz w:val="20"/>
        </w:rPr>
        <w:t>willing</w:t>
      </w:r>
      <w:r>
        <w:rPr>
          <w:spacing w:val="-6"/>
          <w:sz w:val="20"/>
        </w:rPr>
        <w:t> </w:t>
      </w:r>
      <w:r>
        <w:rPr>
          <w:sz w:val="20"/>
        </w:rPr>
        <w:t>to</w:t>
      </w:r>
      <w:r>
        <w:rPr>
          <w:spacing w:val="-1"/>
          <w:sz w:val="20"/>
        </w:rPr>
        <w:t> </w:t>
      </w:r>
      <w:r>
        <w:rPr>
          <w:sz w:val="20"/>
        </w:rPr>
        <w:t>value</w:t>
      </w:r>
      <w:r>
        <w:rPr>
          <w:spacing w:val="-3"/>
          <w:sz w:val="20"/>
        </w:rPr>
        <w:t> </w:t>
      </w:r>
      <w:r>
        <w:rPr>
          <w:sz w:val="20"/>
        </w:rPr>
        <w:t>the</w:t>
      </w:r>
      <w:r>
        <w:rPr>
          <w:spacing w:val="-4"/>
          <w:sz w:val="20"/>
        </w:rPr>
        <w:t> </w:t>
      </w:r>
      <w:r>
        <w:rPr>
          <w:sz w:val="20"/>
        </w:rPr>
        <w:t>presentness</w:t>
      </w:r>
      <w:r>
        <w:rPr>
          <w:spacing w:val="-6"/>
          <w:sz w:val="20"/>
        </w:rPr>
        <w:t> </w:t>
      </w:r>
      <w:r>
        <w:rPr>
          <w:sz w:val="20"/>
        </w:rPr>
        <w:t>of the present, though she also sees their emotive world worthier than</w:t>
      </w:r>
      <w:r>
        <w:rPr>
          <w:spacing w:val="-2"/>
          <w:sz w:val="20"/>
        </w:rPr>
        <w:t> </w:t>
      </w:r>
      <w:r>
        <w:rPr>
          <w:sz w:val="20"/>
        </w:rPr>
        <w:t>their physical world. In</w:t>
      </w:r>
      <w:r>
        <w:rPr>
          <w:spacing w:val="-2"/>
          <w:sz w:val="20"/>
        </w:rPr>
        <w:t> </w:t>
      </w:r>
      <w:r>
        <w:rPr>
          <w:sz w:val="20"/>
        </w:rPr>
        <w:t>this, however, she seems</w:t>
      </w:r>
      <w:r>
        <w:rPr>
          <w:spacing w:val="-2"/>
          <w:sz w:val="20"/>
        </w:rPr>
        <w:t> </w:t>
      </w:r>
      <w:r>
        <w:rPr>
          <w:sz w:val="20"/>
        </w:rPr>
        <w:t>to adopt a patronizing attitude, as if she understands why Antony is failing yet still chooses not to make him</w:t>
      </w:r>
      <w:r>
        <w:rPr>
          <w:spacing w:val="-1"/>
          <w:sz w:val="20"/>
        </w:rPr>
        <w:t> </w:t>
      </w:r>
      <w:r>
        <w:rPr>
          <w:sz w:val="20"/>
        </w:rPr>
        <w:t>aware</w:t>
      </w:r>
      <w:r>
        <w:rPr>
          <w:spacing w:val="-1"/>
          <w:sz w:val="20"/>
        </w:rPr>
        <w:t> </w:t>
      </w:r>
      <w:r>
        <w:rPr>
          <w:sz w:val="20"/>
        </w:rPr>
        <w:t>of it, out</w:t>
      </w:r>
      <w:r>
        <w:rPr>
          <w:spacing w:val="-1"/>
          <w:sz w:val="20"/>
        </w:rPr>
        <w:t> </w:t>
      </w:r>
      <w:r>
        <w:rPr>
          <w:sz w:val="20"/>
        </w:rPr>
        <w:t>of her love for him.</w:t>
      </w:r>
    </w:p>
    <w:p>
      <w:pPr>
        <w:pStyle w:val="ListParagraph"/>
        <w:spacing w:after="0" w:line="261" w:lineRule="auto"/>
        <w:jc w:val="both"/>
        <w:rPr>
          <w:sz w:val="20"/>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09344">
                <wp:simplePos x="0" y="0"/>
                <wp:positionH relativeFrom="page">
                  <wp:posOffset>2057400</wp:posOffset>
                </wp:positionH>
                <wp:positionV relativeFrom="paragraph">
                  <wp:posOffset>162604</wp:posOffset>
                </wp:positionV>
                <wp:extent cx="3657600" cy="12700"/>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707136;mso-wrap-distance-left:0;mso-wrap-distance-right:0" id="docshape134" filled="true" fillcolor="#000000" stroked="false">
                <v:fill type="solid"/>
                <w10:wrap type="topAndBottom"/>
              </v:rect>
            </w:pict>
          </mc:Fallback>
        </mc:AlternateContent>
      </w:r>
      <w:r>
        <w:rPr>
          <w:rFonts w:ascii="Verdana"/>
          <w:spacing w:val="-10"/>
          <w:sz w:val="18"/>
        </w:rPr>
        <w:t>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6"/>
        </w:numPr>
        <w:tabs>
          <w:tab w:pos="2158" w:val="left" w:leader="none"/>
          <w:tab w:pos="2160" w:val="left" w:leader="none"/>
        </w:tabs>
        <w:spacing w:line="261" w:lineRule="auto" w:before="199" w:after="0"/>
        <w:ind w:left="2160" w:right="1439" w:hanging="360"/>
        <w:jc w:val="both"/>
        <w:rPr>
          <w:sz w:val="20"/>
        </w:rPr>
      </w:pPr>
      <w:r>
        <w:rPr>
          <w:sz w:val="20"/>
        </w:rPr>
        <w:t>The commenting group of characters, of which Enobarbus is the chief articulator, through whom the Egyptian beauties and pleasures are imported, is still basically playing a role to indirectly support the</w:t>
      </w:r>
      <w:r>
        <w:rPr>
          <w:spacing w:val="40"/>
          <w:sz w:val="20"/>
        </w:rPr>
        <w:t> </w:t>
      </w:r>
      <w:r>
        <w:rPr>
          <w:sz w:val="20"/>
        </w:rPr>
        <w:t>Roman view.</w:t>
      </w:r>
    </w:p>
    <w:p>
      <w:pPr>
        <w:pStyle w:val="BodyText"/>
        <w:spacing w:before="42"/>
        <w:ind w:right="1437" w:firstLine="432"/>
        <w:jc w:val="both"/>
      </w:pPr>
      <w:r>
        <w:rPr/>
        <w:t>In the first scene, at Alexandria, Philo’s comment makes a clear distinction between Antony’s past and present. Antony’s eyes, which “glowed like plated Mars</w:t>
      </w:r>
      <w:r>
        <w:rPr>
          <w:vertAlign w:val="superscript"/>
        </w:rPr>
        <w:t>5</w:t>
      </w:r>
      <w:r>
        <w:rPr>
          <w:vertAlign w:val="baseline"/>
        </w:rPr>
        <w:t>, now bend, now turn / . . . Upon a tawny front”</w:t>
      </w:r>
      <w:r>
        <w:rPr>
          <w:spacing w:val="-2"/>
          <w:vertAlign w:val="baseline"/>
        </w:rPr>
        <w:t> </w:t>
      </w:r>
      <w:r>
        <w:rPr>
          <w:vertAlign w:val="baseline"/>
        </w:rPr>
        <w:t>(1.1.1-6),</w:t>
      </w:r>
      <w:r>
        <w:rPr>
          <w:spacing w:val="-3"/>
          <w:vertAlign w:val="baseline"/>
        </w:rPr>
        <w:t> </w:t>
      </w:r>
      <w:r>
        <w:rPr>
          <w:vertAlign w:val="baseline"/>
        </w:rPr>
        <w:t>which</w:t>
      </w:r>
      <w:r>
        <w:rPr>
          <w:spacing w:val="-1"/>
          <w:vertAlign w:val="baseline"/>
        </w:rPr>
        <w:t> </w:t>
      </w:r>
      <w:r>
        <w:rPr>
          <w:vertAlign w:val="baseline"/>
        </w:rPr>
        <w:t>is</w:t>
      </w:r>
      <w:r>
        <w:rPr>
          <w:spacing w:val="-3"/>
          <w:vertAlign w:val="baseline"/>
        </w:rPr>
        <w:t> </w:t>
      </w:r>
      <w:r>
        <w:rPr>
          <w:vertAlign w:val="baseline"/>
        </w:rPr>
        <w:t>Cleopatra.</w:t>
      </w:r>
      <w:r>
        <w:rPr>
          <w:vertAlign w:val="superscript"/>
        </w:rPr>
        <w:t>6</w:t>
      </w:r>
      <w:r>
        <w:rPr>
          <w:spacing w:val="-4"/>
          <w:vertAlign w:val="baseline"/>
        </w:rPr>
        <w:t> </w:t>
      </w:r>
      <w:r>
        <w:rPr>
          <w:vertAlign w:val="baseline"/>
        </w:rPr>
        <w:t>Traditionally, in</w:t>
      </w:r>
      <w:r>
        <w:rPr>
          <w:spacing w:val="-2"/>
          <w:vertAlign w:val="baseline"/>
        </w:rPr>
        <w:t> </w:t>
      </w:r>
      <w:r>
        <w:rPr>
          <w:i/>
          <w:vertAlign w:val="baseline"/>
        </w:rPr>
        <w:t>AC</w:t>
      </w:r>
      <w:r>
        <w:rPr>
          <w:i/>
          <w:spacing w:val="-3"/>
          <w:vertAlign w:val="baseline"/>
        </w:rPr>
        <w:t> </w:t>
      </w:r>
      <w:r>
        <w:rPr>
          <w:vertAlign w:val="baseline"/>
        </w:rPr>
        <w:t>criticism,</w:t>
      </w:r>
      <w:r>
        <w:rPr>
          <w:spacing w:val="-1"/>
          <w:vertAlign w:val="baseline"/>
        </w:rPr>
        <w:t> </w:t>
      </w:r>
      <w:r>
        <w:rPr>
          <w:vertAlign w:val="baseline"/>
        </w:rPr>
        <w:t>this view is held as Roman, as opposed to the Egyptian view. And almost like a play within a play as the staging of the love exchanges between </w:t>
      </w:r>
      <w:r>
        <w:rPr>
          <w:spacing w:val="-2"/>
          <w:vertAlign w:val="baseline"/>
        </w:rPr>
        <w:t>Antony</w:t>
      </w:r>
      <w:r>
        <w:rPr>
          <w:spacing w:val="-11"/>
          <w:vertAlign w:val="baseline"/>
        </w:rPr>
        <w:t> </w:t>
      </w:r>
      <w:r>
        <w:rPr>
          <w:spacing w:val="-2"/>
          <w:vertAlign w:val="baseline"/>
        </w:rPr>
        <w:t>and</w:t>
      </w:r>
      <w:r>
        <w:rPr>
          <w:spacing w:val="-10"/>
          <w:vertAlign w:val="baseline"/>
        </w:rPr>
        <w:t> </w:t>
      </w:r>
      <w:r>
        <w:rPr>
          <w:spacing w:val="-2"/>
          <w:vertAlign w:val="baseline"/>
        </w:rPr>
        <w:t>Cleopatra</w:t>
      </w:r>
      <w:r>
        <w:rPr>
          <w:spacing w:val="-11"/>
          <w:vertAlign w:val="baseline"/>
        </w:rPr>
        <w:t> </w:t>
      </w:r>
      <w:r>
        <w:rPr>
          <w:spacing w:val="-2"/>
          <w:vertAlign w:val="baseline"/>
        </w:rPr>
        <w:t>unfolds</w:t>
      </w:r>
      <w:r>
        <w:rPr>
          <w:spacing w:val="-10"/>
          <w:vertAlign w:val="baseline"/>
        </w:rPr>
        <w:t> </w:t>
      </w:r>
      <w:r>
        <w:rPr>
          <w:spacing w:val="-2"/>
          <w:vertAlign w:val="baseline"/>
        </w:rPr>
        <w:t>before</w:t>
      </w:r>
      <w:r>
        <w:rPr>
          <w:spacing w:val="-11"/>
          <w:vertAlign w:val="baseline"/>
        </w:rPr>
        <w:t> </w:t>
      </w:r>
      <w:r>
        <w:rPr>
          <w:spacing w:val="-2"/>
          <w:vertAlign w:val="baseline"/>
        </w:rPr>
        <w:t>Philo</w:t>
      </w:r>
      <w:r>
        <w:rPr>
          <w:spacing w:val="-10"/>
          <w:vertAlign w:val="baseline"/>
        </w:rPr>
        <w:t> </w:t>
      </w:r>
      <w:r>
        <w:rPr>
          <w:spacing w:val="-2"/>
          <w:vertAlign w:val="baseline"/>
        </w:rPr>
        <w:t>and</w:t>
      </w:r>
      <w:r>
        <w:rPr>
          <w:spacing w:val="-11"/>
          <w:vertAlign w:val="baseline"/>
        </w:rPr>
        <w:t> </w:t>
      </w:r>
      <w:r>
        <w:rPr>
          <w:spacing w:val="-2"/>
          <w:vertAlign w:val="baseline"/>
        </w:rPr>
        <w:t>Demetrius’s</w:t>
      </w:r>
      <w:r>
        <w:rPr>
          <w:spacing w:val="-10"/>
          <w:vertAlign w:val="baseline"/>
        </w:rPr>
        <w:t> </w:t>
      </w:r>
      <w:r>
        <w:rPr>
          <w:spacing w:val="-2"/>
          <w:vertAlign w:val="baseline"/>
        </w:rPr>
        <w:t>eyes,</w:t>
      </w:r>
      <w:r>
        <w:rPr>
          <w:spacing w:val="-11"/>
          <w:vertAlign w:val="baseline"/>
        </w:rPr>
        <w:t> </w:t>
      </w:r>
      <w:r>
        <w:rPr>
          <w:spacing w:val="-2"/>
          <w:vertAlign w:val="baseline"/>
        </w:rPr>
        <w:t>Antony, </w:t>
      </w:r>
      <w:r>
        <w:rPr>
          <w:vertAlign w:val="baseline"/>
        </w:rPr>
        <w:t>to their great shock, utters by hugging Cleopatra, “Let Rome in Tiber melt”</w:t>
      </w:r>
      <w:r>
        <w:rPr>
          <w:vertAlign w:val="superscript"/>
        </w:rPr>
        <w:t>7</w:t>
      </w:r>
      <w:r>
        <w:rPr>
          <w:spacing w:val="-3"/>
          <w:vertAlign w:val="baseline"/>
        </w:rPr>
        <w:t> </w:t>
      </w:r>
      <w:r>
        <w:rPr>
          <w:vertAlign w:val="baseline"/>
        </w:rPr>
        <w:t>and Cleopatra “is</w:t>
      </w:r>
      <w:r>
        <w:rPr>
          <w:spacing w:val="-3"/>
          <w:vertAlign w:val="baseline"/>
        </w:rPr>
        <w:t> </w:t>
      </w:r>
      <w:r>
        <w:rPr>
          <w:vertAlign w:val="baseline"/>
        </w:rPr>
        <w:t>my</w:t>
      </w:r>
      <w:r>
        <w:rPr>
          <w:spacing w:val="-5"/>
          <w:vertAlign w:val="baseline"/>
        </w:rPr>
        <w:t> </w:t>
      </w:r>
      <w:r>
        <w:rPr>
          <w:vertAlign w:val="baseline"/>
        </w:rPr>
        <w:t>space,” compared</w:t>
      </w:r>
      <w:r>
        <w:rPr>
          <w:spacing w:val="-3"/>
          <w:vertAlign w:val="baseline"/>
        </w:rPr>
        <w:t> </w:t>
      </w:r>
      <w:r>
        <w:rPr>
          <w:vertAlign w:val="baseline"/>
        </w:rPr>
        <w:t>to which</w:t>
      </w:r>
      <w:r>
        <w:rPr>
          <w:spacing w:val="-3"/>
          <w:vertAlign w:val="baseline"/>
        </w:rPr>
        <w:t> </w:t>
      </w:r>
      <w:r>
        <w:rPr>
          <w:vertAlign w:val="baseline"/>
        </w:rPr>
        <w:t>“Kingdoms</w:t>
      </w:r>
      <w:r>
        <w:rPr>
          <w:spacing w:val="-3"/>
          <w:vertAlign w:val="baseline"/>
        </w:rPr>
        <w:t> </w:t>
      </w:r>
      <w:r>
        <w:rPr>
          <w:vertAlign w:val="baseline"/>
        </w:rPr>
        <w:t>are clay,” and “The nobleness of life / Is to do thus,” and, let us imagine,</w:t>
      </w:r>
      <w:r>
        <w:rPr>
          <w:spacing w:val="80"/>
          <w:vertAlign w:val="baseline"/>
        </w:rPr>
        <w:t> </w:t>
      </w:r>
      <w:r>
        <w:rPr>
          <w:vertAlign w:val="baseline"/>
        </w:rPr>
        <w:t>he plants a kiss on Cleopatra’s lips, and claims that they “stand up peerless”</w:t>
      </w:r>
      <w:r>
        <w:rPr>
          <w:spacing w:val="-17"/>
          <w:vertAlign w:val="baseline"/>
        </w:rPr>
        <w:t> </w:t>
      </w:r>
      <w:r>
        <w:rPr>
          <w:vertAlign w:val="baseline"/>
        </w:rPr>
        <w:t>(1.1.34-41).</w:t>
      </w:r>
    </w:p>
    <w:p>
      <w:pPr>
        <w:pStyle w:val="BodyText"/>
        <w:spacing w:before="58"/>
        <w:ind w:right="1441" w:firstLine="432"/>
        <w:jc w:val="both"/>
      </w:pPr>
      <w:r>
        <w:rPr/>
        <w:t>With</w:t>
      </w:r>
      <w:r>
        <w:rPr>
          <w:spacing w:val="-13"/>
        </w:rPr>
        <w:t> </w:t>
      </w:r>
      <w:r>
        <w:rPr/>
        <w:t>our</w:t>
      </w:r>
      <w:r>
        <w:rPr>
          <w:spacing w:val="-12"/>
        </w:rPr>
        <w:t> </w:t>
      </w:r>
      <w:r>
        <w:rPr/>
        <w:t>idea</w:t>
      </w:r>
      <w:r>
        <w:rPr>
          <w:spacing w:val="-13"/>
        </w:rPr>
        <w:t> </w:t>
      </w:r>
      <w:r>
        <w:rPr/>
        <w:t>of</w:t>
      </w:r>
      <w:r>
        <w:rPr>
          <w:spacing w:val="-12"/>
        </w:rPr>
        <w:t> </w:t>
      </w:r>
      <w:r>
        <w:rPr/>
        <w:t>the</w:t>
      </w:r>
      <w:r>
        <w:rPr>
          <w:spacing w:val="-13"/>
        </w:rPr>
        <w:t> </w:t>
      </w:r>
      <w:r>
        <w:rPr/>
        <w:t>carpet</w:t>
      </w:r>
      <w:r>
        <w:rPr>
          <w:vertAlign w:val="superscript"/>
        </w:rPr>
        <w:t>8</w:t>
      </w:r>
      <w:r>
        <w:rPr>
          <w:spacing w:val="-12"/>
          <w:vertAlign w:val="baseline"/>
        </w:rPr>
        <w:t> </w:t>
      </w:r>
      <w:r>
        <w:rPr>
          <w:vertAlign w:val="baseline"/>
        </w:rPr>
        <w:t>being</w:t>
      </w:r>
      <w:r>
        <w:rPr>
          <w:spacing w:val="-13"/>
          <w:vertAlign w:val="baseline"/>
        </w:rPr>
        <w:t> </w:t>
      </w:r>
      <w:r>
        <w:rPr>
          <w:vertAlign w:val="baseline"/>
        </w:rPr>
        <w:t>diluted,</w:t>
      </w:r>
      <w:r>
        <w:rPr>
          <w:spacing w:val="-12"/>
          <w:vertAlign w:val="baseline"/>
        </w:rPr>
        <w:t> </w:t>
      </w:r>
      <w:r>
        <w:rPr>
          <w:vertAlign w:val="baseline"/>
        </w:rPr>
        <w:t>the</w:t>
      </w:r>
      <w:r>
        <w:rPr>
          <w:spacing w:val="-13"/>
          <w:vertAlign w:val="baseline"/>
        </w:rPr>
        <w:t> </w:t>
      </w:r>
      <w:r>
        <w:rPr>
          <w:vertAlign w:val="baseline"/>
        </w:rPr>
        <w:t>liquification</w:t>
      </w:r>
      <w:r>
        <w:rPr>
          <w:spacing w:val="-12"/>
          <w:vertAlign w:val="baseline"/>
        </w:rPr>
        <w:t> </w:t>
      </w:r>
      <w:r>
        <w:rPr>
          <w:vertAlign w:val="baseline"/>
        </w:rPr>
        <w:t>of</w:t>
      </w:r>
      <w:r>
        <w:rPr>
          <w:spacing w:val="-13"/>
          <w:vertAlign w:val="baseline"/>
        </w:rPr>
        <w:t> </w:t>
      </w:r>
      <w:r>
        <w:rPr>
          <w:vertAlign w:val="baseline"/>
        </w:rPr>
        <w:t>Rome into the Tiber suggests that passion would rule over reason. The same liquefying motive is also expressed by Cleopatra in 2. 2.78-79: “Melt Egypt</w:t>
      </w:r>
      <w:r>
        <w:rPr>
          <w:spacing w:val="39"/>
          <w:vertAlign w:val="baseline"/>
        </w:rPr>
        <w:t> </w:t>
      </w:r>
      <w:r>
        <w:rPr>
          <w:vertAlign w:val="baseline"/>
        </w:rPr>
        <w:t>into</w:t>
      </w:r>
      <w:r>
        <w:rPr>
          <w:spacing w:val="40"/>
          <w:vertAlign w:val="baseline"/>
        </w:rPr>
        <w:t> </w:t>
      </w:r>
      <w:r>
        <w:rPr>
          <w:vertAlign w:val="baseline"/>
        </w:rPr>
        <w:t>Nile,</w:t>
      </w:r>
      <w:r>
        <w:rPr>
          <w:spacing w:val="39"/>
          <w:vertAlign w:val="baseline"/>
        </w:rPr>
        <w:t> </w:t>
      </w:r>
      <w:r>
        <w:rPr>
          <w:vertAlign w:val="baseline"/>
        </w:rPr>
        <w:t>and</w:t>
      </w:r>
      <w:r>
        <w:rPr>
          <w:spacing w:val="39"/>
          <w:vertAlign w:val="baseline"/>
        </w:rPr>
        <w:t> </w:t>
      </w:r>
      <w:r>
        <w:rPr>
          <w:vertAlign w:val="baseline"/>
        </w:rPr>
        <w:t>kindly</w:t>
      </w:r>
      <w:r>
        <w:rPr>
          <w:spacing w:val="35"/>
          <w:vertAlign w:val="baseline"/>
        </w:rPr>
        <w:t> </w:t>
      </w:r>
      <w:r>
        <w:rPr>
          <w:vertAlign w:val="baseline"/>
        </w:rPr>
        <w:t>creatures</w:t>
      </w:r>
      <w:r>
        <w:rPr>
          <w:spacing w:val="39"/>
          <w:vertAlign w:val="baseline"/>
        </w:rPr>
        <w:t> </w:t>
      </w:r>
      <w:r>
        <w:rPr>
          <w:vertAlign w:val="baseline"/>
        </w:rPr>
        <w:t>/</w:t>
      </w:r>
      <w:r>
        <w:rPr>
          <w:spacing w:val="39"/>
          <w:vertAlign w:val="baseline"/>
        </w:rPr>
        <w:t> </w:t>
      </w:r>
      <w:r>
        <w:rPr>
          <w:vertAlign w:val="baseline"/>
        </w:rPr>
        <w:t>Turn</w:t>
      </w:r>
      <w:r>
        <w:rPr>
          <w:spacing w:val="37"/>
          <w:vertAlign w:val="baseline"/>
        </w:rPr>
        <w:t> </w:t>
      </w:r>
      <w:r>
        <w:rPr>
          <w:vertAlign w:val="baseline"/>
        </w:rPr>
        <w:t>all</w:t>
      </w:r>
      <w:r>
        <w:rPr>
          <w:spacing w:val="40"/>
          <w:vertAlign w:val="baseline"/>
        </w:rPr>
        <w:t> </w:t>
      </w:r>
      <w:r>
        <w:rPr>
          <w:vertAlign w:val="baseline"/>
        </w:rPr>
        <w:t>to</w:t>
      </w:r>
      <w:r>
        <w:rPr>
          <w:spacing w:val="39"/>
          <w:vertAlign w:val="baseline"/>
        </w:rPr>
        <w:t> </w:t>
      </w:r>
      <w:r>
        <w:rPr>
          <w:vertAlign w:val="baseline"/>
        </w:rPr>
        <w:t>serpents.”</w:t>
      </w:r>
    </w:p>
    <w:p>
      <w:pPr>
        <w:pStyle w:val="BodyText"/>
        <w:spacing w:before="8"/>
        <w:ind w:left="0"/>
        <w:rPr>
          <w:sz w:val="15"/>
        </w:rPr>
      </w:pPr>
      <w:r>
        <w:rPr>
          <w:sz w:val="15"/>
        </w:rPr>
        <mc:AlternateContent>
          <mc:Choice Requires="wps">
            <w:drawing>
              <wp:anchor distT="0" distB="0" distL="0" distR="0" allowOverlap="1" layoutInCell="1" locked="0" behindDoc="1" simplePos="0" relativeHeight="487609856">
                <wp:simplePos x="0" y="0"/>
                <wp:positionH relativeFrom="page">
                  <wp:posOffset>2057400</wp:posOffset>
                </wp:positionH>
                <wp:positionV relativeFrom="paragraph">
                  <wp:posOffset>130173</wp:posOffset>
                </wp:positionV>
                <wp:extent cx="3649979" cy="13970"/>
                <wp:effectExtent l="0" t="0" r="0" b="0"/>
                <wp:wrapTopAndBottom/>
                <wp:docPr id="139" name="Graphic 139"/>
                <wp:cNvGraphicFramePr>
                  <a:graphicFrameLocks/>
                </wp:cNvGraphicFramePr>
                <a:graphic>
                  <a:graphicData uri="http://schemas.microsoft.com/office/word/2010/wordprocessingShape">
                    <wps:wsp>
                      <wps:cNvPr id="139" name="Graphic 139"/>
                      <wps:cNvSpPr/>
                      <wps:spPr>
                        <a:xfrm>
                          <a:off x="0" y="0"/>
                          <a:ext cx="3649979" cy="13970"/>
                        </a:xfrm>
                        <a:custGeom>
                          <a:avLst/>
                          <a:gdLst/>
                          <a:ahLst/>
                          <a:cxnLst/>
                          <a:rect l="l" t="t" r="r" b="b"/>
                          <a:pathLst>
                            <a:path w="3649979" h="13970">
                              <a:moveTo>
                                <a:pt x="0" y="0"/>
                              </a:moveTo>
                              <a:lnTo>
                                <a:pt x="3649980" y="0"/>
                              </a:lnTo>
                              <a:lnTo>
                                <a:pt x="3649980" y="13716"/>
                              </a:lnTo>
                              <a:lnTo>
                                <a:pt x="0" y="13716"/>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0.249909pt;width:287.400018pt;height:1.080002pt;mso-position-horizontal-relative:page;mso-position-vertical-relative:paragraph;z-index:-15706624;mso-wrap-distance-left:0;mso-wrap-distance-right:0" id="docshape135" filled="true" fillcolor="#000000" stroked="false">
                <v:fill type="solid"/>
                <w10:wrap type="topAndBottom"/>
              </v:rect>
            </w:pict>
          </mc:Fallback>
        </mc:AlternateContent>
      </w:r>
    </w:p>
    <w:p>
      <w:pPr>
        <w:spacing w:before="134"/>
        <w:ind w:left="1440" w:right="1441" w:firstLine="0"/>
        <w:jc w:val="both"/>
        <w:rPr>
          <w:sz w:val="18"/>
        </w:rPr>
      </w:pPr>
      <w:r>
        <w:rPr>
          <w:sz w:val="18"/>
          <w:vertAlign w:val="superscript"/>
        </w:rPr>
        <w:t>5</w:t>
      </w:r>
      <w:r>
        <w:rPr>
          <w:sz w:val="18"/>
          <w:vertAlign w:val="baseline"/>
        </w:rPr>
        <w:t> The myth of Mars and Venus is reconstructed. Mars the god of war is</w:t>
      </w:r>
      <w:r>
        <w:rPr>
          <w:spacing w:val="80"/>
          <w:sz w:val="18"/>
          <w:vertAlign w:val="baseline"/>
        </w:rPr>
        <w:t> </w:t>
      </w:r>
      <w:r>
        <w:rPr>
          <w:sz w:val="18"/>
          <w:vertAlign w:val="baseline"/>
        </w:rPr>
        <w:t>Antony,</w:t>
      </w:r>
      <w:r>
        <w:rPr>
          <w:spacing w:val="40"/>
          <w:sz w:val="18"/>
          <w:vertAlign w:val="baseline"/>
        </w:rPr>
        <w:t> </w:t>
      </w:r>
      <w:r>
        <w:rPr>
          <w:sz w:val="18"/>
          <w:vertAlign w:val="baseline"/>
        </w:rPr>
        <w:t>who</w:t>
      </w:r>
      <w:r>
        <w:rPr>
          <w:spacing w:val="40"/>
          <w:sz w:val="18"/>
          <w:vertAlign w:val="baseline"/>
        </w:rPr>
        <w:t> </w:t>
      </w:r>
      <w:r>
        <w:rPr>
          <w:sz w:val="18"/>
          <w:vertAlign w:val="baseline"/>
        </w:rPr>
        <w:t>has</w:t>
      </w:r>
      <w:r>
        <w:rPr>
          <w:spacing w:val="40"/>
          <w:sz w:val="18"/>
          <w:vertAlign w:val="baseline"/>
        </w:rPr>
        <w:t> </w:t>
      </w:r>
      <w:r>
        <w:rPr>
          <w:sz w:val="18"/>
          <w:vertAlign w:val="baseline"/>
        </w:rPr>
        <w:t>taken</w:t>
      </w:r>
      <w:r>
        <w:rPr>
          <w:spacing w:val="40"/>
          <w:sz w:val="18"/>
          <w:vertAlign w:val="baseline"/>
        </w:rPr>
        <w:t> </w:t>
      </w:r>
      <w:r>
        <w:rPr>
          <w:sz w:val="18"/>
          <w:vertAlign w:val="baseline"/>
        </w:rPr>
        <w:t>Cleopatra</w:t>
      </w:r>
      <w:r>
        <w:rPr>
          <w:spacing w:val="40"/>
          <w:sz w:val="18"/>
          <w:vertAlign w:val="baseline"/>
        </w:rPr>
        <w:t> </w:t>
      </w:r>
      <w:r>
        <w:rPr>
          <w:sz w:val="18"/>
          <w:vertAlign w:val="baseline"/>
        </w:rPr>
        <w:t>(Venus)</w:t>
      </w:r>
      <w:r>
        <w:rPr>
          <w:spacing w:val="40"/>
          <w:sz w:val="18"/>
          <w:vertAlign w:val="baseline"/>
        </w:rPr>
        <w:t> </w:t>
      </w:r>
      <w:r>
        <w:rPr>
          <w:sz w:val="18"/>
          <w:vertAlign w:val="baseline"/>
        </w:rPr>
        <w:t>as</w:t>
      </w:r>
      <w:r>
        <w:rPr>
          <w:spacing w:val="40"/>
          <w:sz w:val="18"/>
          <w:vertAlign w:val="baseline"/>
        </w:rPr>
        <w:t> </w:t>
      </w:r>
      <w:r>
        <w:rPr>
          <w:sz w:val="18"/>
          <w:vertAlign w:val="baseline"/>
        </w:rPr>
        <w:t>his</w:t>
      </w:r>
      <w:r>
        <w:rPr>
          <w:spacing w:val="40"/>
          <w:sz w:val="18"/>
          <w:vertAlign w:val="baseline"/>
        </w:rPr>
        <w:t> </w:t>
      </w:r>
      <w:r>
        <w:rPr>
          <w:sz w:val="18"/>
          <w:vertAlign w:val="baseline"/>
        </w:rPr>
        <w:t>consort.</w:t>
      </w:r>
    </w:p>
    <w:p>
      <w:pPr>
        <w:spacing w:before="59"/>
        <w:ind w:left="1440" w:right="1440" w:firstLine="0"/>
        <w:jc w:val="both"/>
        <w:rPr>
          <w:sz w:val="18"/>
        </w:rPr>
      </w:pPr>
      <w:r>
        <w:rPr>
          <w:sz w:val="18"/>
          <w:vertAlign w:val="superscript"/>
        </w:rPr>
        <w:t>6</w:t>
      </w:r>
      <w:r>
        <w:rPr>
          <w:sz w:val="18"/>
          <w:vertAlign w:val="baseline"/>
        </w:rPr>
        <w:t> Robert Hapgood, “Hearing Shakespeare: Sound and Meaning in ‘Antony and Cleopatra’”:</w:t>
      </w:r>
      <w:r>
        <w:rPr>
          <w:spacing w:val="-12"/>
          <w:sz w:val="18"/>
          <w:vertAlign w:val="baseline"/>
        </w:rPr>
        <w:t> </w:t>
      </w:r>
      <w:r>
        <w:rPr>
          <w:sz w:val="18"/>
          <w:vertAlign w:val="baseline"/>
        </w:rPr>
        <w:t>“Philo’s</w:t>
      </w:r>
      <w:r>
        <w:rPr>
          <w:spacing w:val="-8"/>
          <w:sz w:val="18"/>
          <w:vertAlign w:val="baseline"/>
        </w:rPr>
        <w:t> </w:t>
      </w:r>
      <w:r>
        <w:rPr>
          <w:sz w:val="18"/>
          <w:vertAlign w:val="baseline"/>
        </w:rPr>
        <w:t>opening</w:t>
      </w:r>
      <w:r>
        <w:rPr>
          <w:spacing w:val="-12"/>
          <w:sz w:val="18"/>
          <w:vertAlign w:val="baseline"/>
        </w:rPr>
        <w:t> </w:t>
      </w:r>
      <w:r>
        <w:rPr>
          <w:sz w:val="18"/>
          <w:vertAlign w:val="baseline"/>
        </w:rPr>
        <w:t>speech</w:t>
      </w:r>
      <w:r>
        <w:rPr>
          <w:spacing w:val="-8"/>
          <w:sz w:val="18"/>
          <w:vertAlign w:val="baseline"/>
        </w:rPr>
        <w:t> </w:t>
      </w:r>
      <w:r>
        <w:rPr>
          <w:sz w:val="18"/>
          <w:vertAlign w:val="baseline"/>
        </w:rPr>
        <w:t>illustrates</w:t>
      </w:r>
      <w:r>
        <w:rPr>
          <w:spacing w:val="-11"/>
          <w:sz w:val="18"/>
          <w:vertAlign w:val="baseline"/>
        </w:rPr>
        <w:t> </w:t>
      </w:r>
      <w:r>
        <w:rPr>
          <w:sz w:val="18"/>
          <w:vertAlign w:val="baseline"/>
        </w:rPr>
        <w:t>one</w:t>
      </w:r>
      <w:r>
        <w:rPr>
          <w:spacing w:val="-9"/>
          <w:sz w:val="18"/>
          <w:vertAlign w:val="baseline"/>
        </w:rPr>
        <w:t> </w:t>
      </w:r>
      <w:r>
        <w:rPr>
          <w:sz w:val="18"/>
          <w:vertAlign w:val="baseline"/>
        </w:rPr>
        <w:t>of</w:t>
      </w:r>
      <w:r>
        <w:rPr>
          <w:spacing w:val="-12"/>
          <w:sz w:val="18"/>
          <w:vertAlign w:val="baseline"/>
        </w:rPr>
        <w:t> </w:t>
      </w:r>
      <w:r>
        <w:rPr>
          <w:sz w:val="18"/>
          <w:vertAlign w:val="baseline"/>
        </w:rPr>
        <w:t>the</w:t>
      </w:r>
      <w:r>
        <w:rPr>
          <w:spacing w:val="-11"/>
          <w:sz w:val="18"/>
          <w:vertAlign w:val="baseline"/>
        </w:rPr>
        <w:t> </w:t>
      </w:r>
      <w:r>
        <w:rPr>
          <w:sz w:val="18"/>
          <w:vertAlign w:val="baseline"/>
        </w:rPr>
        <w:t>play’s</w:t>
      </w:r>
      <w:r>
        <w:rPr>
          <w:spacing w:val="-10"/>
          <w:sz w:val="18"/>
          <w:vertAlign w:val="baseline"/>
        </w:rPr>
        <w:t> </w:t>
      </w:r>
      <w:r>
        <w:rPr>
          <w:sz w:val="18"/>
          <w:vertAlign w:val="baseline"/>
        </w:rPr>
        <w:t>most</w:t>
      </w:r>
      <w:r>
        <w:rPr>
          <w:spacing w:val="-9"/>
          <w:sz w:val="18"/>
          <w:vertAlign w:val="baseline"/>
        </w:rPr>
        <w:t> </w:t>
      </w:r>
      <w:r>
        <w:rPr>
          <w:sz w:val="18"/>
          <w:vertAlign w:val="baseline"/>
        </w:rPr>
        <w:t>important polarities: rhapsodic praise for Antony he was versus acrid dispraise for</w:t>
      </w:r>
      <w:r>
        <w:rPr>
          <w:spacing w:val="80"/>
          <w:sz w:val="18"/>
          <w:vertAlign w:val="baseline"/>
        </w:rPr>
        <w:t> </w:t>
      </w:r>
      <w:r>
        <w:rPr>
          <w:sz w:val="18"/>
          <w:vertAlign w:val="baseline"/>
        </w:rPr>
        <w:t>Antony</w:t>
      </w:r>
      <w:r>
        <w:rPr>
          <w:spacing w:val="40"/>
          <w:sz w:val="18"/>
          <w:vertAlign w:val="baseline"/>
        </w:rPr>
        <w:t> </w:t>
      </w:r>
      <w:r>
        <w:rPr>
          <w:sz w:val="18"/>
          <w:vertAlign w:val="baseline"/>
        </w:rPr>
        <w:t>for</w:t>
      </w:r>
      <w:r>
        <w:rPr>
          <w:spacing w:val="40"/>
          <w:sz w:val="18"/>
          <w:vertAlign w:val="baseline"/>
        </w:rPr>
        <w:t> </w:t>
      </w:r>
      <w:r>
        <w:rPr>
          <w:sz w:val="18"/>
          <w:vertAlign w:val="baseline"/>
        </w:rPr>
        <w:t>what</w:t>
      </w:r>
      <w:r>
        <w:rPr>
          <w:spacing w:val="40"/>
          <w:sz w:val="18"/>
          <w:vertAlign w:val="baseline"/>
        </w:rPr>
        <w:t> </w:t>
      </w:r>
      <w:r>
        <w:rPr>
          <w:sz w:val="18"/>
          <w:vertAlign w:val="baseline"/>
        </w:rPr>
        <w:t>he</w:t>
      </w:r>
      <w:r>
        <w:rPr>
          <w:spacing w:val="40"/>
          <w:sz w:val="18"/>
          <w:vertAlign w:val="baseline"/>
        </w:rPr>
        <w:t> </w:t>
      </w:r>
      <w:r>
        <w:rPr>
          <w:sz w:val="18"/>
          <w:vertAlign w:val="baseline"/>
        </w:rPr>
        <w:t>is.”</w:t>
      </w:r>
      <w:r>
        <w:rPr>
          <w:spacing w:val="40"/>
          <w:sz w:val="18"/>
          <w:vertAlign w:val="baseline"/>
        </w:rPr>
        <w:t> </w:t>
      </w:r>
      <w:r>
        <w:rPr>
          <w:i/>
          <w:sz w:val="18"/>
          <w:vertAlign w:val="baseline"/>
        </w:rPr>
        <w:t>Shakespeare</w:t>
      </w:r>
      <w:r>
        <w:rPr>
          <w:i/>
          <w:spacing w:val="40"/>
          <w:sz w:val="18"/>
          <w:vertAlign w:val="baseline"/>
        </w:rPr>
        <w:t> </w:t>
      </w:r>
      <w:r>
        <w:rPr>
          <w:i/>
          <w:sz w:val="18"/>
          <w:vertAlign w:val="baseline"/>
        </w:rPr>
        <w:t>Survey,</w:t>
      </w:r>
      <w:r>
        <w:rPr>
          <w:i/>
          <w:spacing w:val="40"/>
          <w:sz w:val="18"/>
          <w:vertAlign w:val="baseline"/>
        </w:rPr>
        <w:t> </w:t>
      </w:r>
      <w:r>
        <w:rPr>
          <w:sz w:val="18"/>
          <w:vertAlign w:val="baseline"/>
        </w:rPr>
        <w:t>24</w:t>
      </w:r>
      <w:r>
        <w:rPr>
          <w:spacing w:val="40"/>
          <w:sz w:val="18"/>
          <w:vertAlign w:val="baseline"/>
        </w:rPr>
        <w:t> </w:t>
      </w:r>
      <w:r>
        <w:rPr>
          <w:sz w:val="18"/>
          <w:vertAlign w:val="baseline"/>
        </w:rPr>
        <w:t>(1971),</w:t>
      </w:r>
      <w:r>
        <w:rPr>
          <w:spacing w:val="40"/>
          <w:sz w:val="18"/>
          <w:vertAlign w:val="baseline"/>
        </w:rPr>
        <w:t> </w:t>
      </w:r>
      <w:r>
        <w:rPr>
          <w:sz w:val="18"/>
          <w:vertAlign w:val="baseline"/>
        </w:rPr>
        <w:t>p.</w:t>
      </w:r>
      <w:r>
        <w:rPr>
          <w:spacing w:val="40"/>
          <w:sz w:val="18"/>
          <w:vertAlign w:val="baseline"/>
        </w:rPr>
        <w:t> </w:t>
      </w:r>
      <w:r>
        <w:rPr>
          <w:sz w:val="18"/>
          <w:vertAlign w:val="baseline"/>
        </w:rPr>
        <w:t>6.</w:t>
      </w:r>
    </w:p>
    <w:p>
      <w:pPr>
        <w:spacing w:before="62"/>
        <w:ind w:left="1440" w:right="0" w:firstLine="0"/>
        <w:jc w:val="both"/>
        <w:rPr>
          <w:sz w:val="18"/>
        </w:rPr>
      </w:pPr>
      <w:r>
        <w:rPr>
          <w:sz w:val="18"/>
          <w:vertAlign w:val="superscript"/>
        </w:rPr>
        <w:t>7</w:t>
      </w:r>
      <w:r>
        <w:rPr>
          <w:spacing w:val="24"/>
          <w:sz w:val="18"/>
          <w:vertAlign w:val="baseline"/>
        </w:rPr>
        <w:t> </w:t>
      </w:r>
      <w:r>
        <w:rPr>
          <w:sz w:val="18"/>
          <w:vertAlign w:val="baseline"/>
        </w:rPr>
        <w:t>Cleopatra</w:t>
      </w:r>
      <w:r>
        <w:rPr>
          <w:spacing w:val="25"/>
          <w:sz w:val="18"/>
          <w:vertAlign w:val="baseline"/>
        </w:rPr>
        <w:t> </w:t>
      </w:r>
      <w:r>
        <w:rPr>
          <w:sz w:val="18"/>
          <w:vertAlign w:val="baseline"/>
        </w:rPr>
        <w:t>will</w:t>
      </w:r>
      <w:r>
        <w:rPr>
          <w:spacing w:val="25"/>
          <w:sz w:val="18"/>
          <w:vertAlign w:val="baseline"/>
        </w:rPr>
        <w:t> </w:t>
      </w:r>
      <w:r>
        <w:rPr>
          <w:sz w:val="18"/>
          <w:vertAlign w:val="baseline"/>
        </w:rPr>
        <w:t>soon</w:t>
      </w:r>
      <w:r>
        <w:rPr>
          <w:spacing w:val="25"/>
          <w:sz w:val="18"/>
          <w:vertAlign w:val="baseline"/>
        </w:rPr>
        <w:t> </w:t>
      </w:r>
      <w:r>
        <w:rPr>
          <w:sz w:val="18"/>
          <w:vertAlign w:val="baseline"/>
        </w:rPr>
        <w:t>complement</w:t>
      </w:r>
      <w:r>
        <w:rPr>
          <w:spacing w:val="27"/>
          <w:sz w:val="18"/>
          <w:vertAlign w:val="baseline"/>
        </w:rPr>
        <w:t> </w:t>
      </w:r>
      <w:r>
        <w:rPr>
          <w:sz w:val="18"/>
          <w:vertAlign w:val="baseline"/>
        </w:rPr>
        <w:t>it</w:t>
      </w:r>
      <w:r>
        <w:rPr>
          <w:spacing w:val="25"/>
          <w:sz w:val="18"/>
          <w:vertAlign w:val="baseline"/>
        </w:rPr>
        <w:t> </w:t>
      </w:r>
      <w:r>
        <w:rPr>
          <w:sz w:val="18"/>
          <w:vertAlign w:val="baseline"/>
        </w:rPr>
        <w:t>in</w:t>
      </w:r>
      <w:r>
        <w:rPr>
          <w:spacing w:val="27"/>
          <w:sz w:val="18"/>
          <w:vertAlign w:val="baseline"/>
        </w:rPr>
        <w:t> </w:t>
      </w:r>
      <w:r>
        <w:rPr>
          <w:sz w:val="18"/>
          <w:vertAlign w:val="baseline"/>
        </w:rPr>
        <w:t>her</w:t>
      </w:r>
      <w:r>
        <w:rPr>
          <w:spacing w:val="24"/>
          <w:sz w:val="18"/>
          <w:vertAlign w:val="baseline"/>
        </w:rPr>
        <w:t> </w:t>
      </w:r>
      <w:r>
        <w:rPr>
          <w:spacing w:val="-2"/>
          <w:sz w:val="18"/>
          <w:vertAlign w:val="baseline"/>
        </w:rPr>
        <w:t>speech.</w:t>
      </w:r>
    </w:p>
    <w:p>
      <w:pPr>
        <w:spacing w:before="60"/>
        <w:ind w:left="1440" w:right="1438" w:firstLine="0"/>
        <w:jc w:val="both"/>
        <w:rPr>
          <w:sz w:val="18"/>
        </w:rPr>
      </w:pPr>
      <w:r>
        <w:rPr>
          <w:sz w:val="18"/>
          <w:vertAlign w:val="superscript"/>
        </w:rPr>
        <w:t>8</w:t>
      </w:r>
      <w:r>
        <w:rPr>
          <w:spacing w:val="20"/>
          <w:sz w:val="18"/>
          <w:vertAlign w:val="baseline"/>
        </w:rPr>
        <w:t> </w:t>
      </w:r>
      <w:r>
        <w:rPr>
          <w:sz w:val="18"/>
          <w:vertAlign w:val="baseline"/>
        </w:rPr>
        <w:t>In</w:t>
      </w:r>
      <w:r>
        <w:rPr>
          <w:spacing w:val="19"/>
          <w:sz w:val="18"/>
          <w:vertAlign w:val="baseline"/>
        </w:rPr>
        <w:t> </w:t>
      </w:r>
      <w:r>
        <w:rPr>
          <w:sz w:val="18"/>
          <w:vertAlign w:val="baseline"/>
        </w:rPr>
        <w:t>Plutarch,</w:t>
      </w:r>
      <w:r>
        <w:rPr>
          <w:spacing w:val="21"/>
          <w:sz w:val="18"/>
          <w:vertAlign w:val="baseline"/>
        </w:rPr>
        <w:t> </w:t>
      </w:r>
      <w:r>
        <w:rPr>
          <w:sz w:val="18"/>
          <w:vertAlign w:val="baseline"/>
        </w:rPr>
        <w:t>it</w:t>
      </w:r>
      <w:r>
        <w:rPr>
          <w:spacing w:val="21"/>
          <w:sz w:val="18"/>
          <w:vertAlign w:val="baseline"/>
        </w:rPr>
        <w:t> </w:t>
      </w:r>
      <w:r>
        <w:rPr>
          <w:sz w:val="18"/>
          <w:vertAlign w:val="baseline"/>
        </w:rPr>
        <w:t>is</w:t>
      </w:r>
      <w:r>
        <w:rPr>
          <w:spacing w:val="19"/>
          <w:sz w:val="18"/>
          <w:vertAlign w:val="baseline"/>
        </w:rPr>
        <w:t> </w:t>
      </w:r>
      <w:r>
        <w:rPr>
          <w:sz w:val="18"/>
          <w:vertAlign w:val="baseline"/>
        </w:rPr>
        <w:t>a</w:t>
      </w:r>
      <w:r>
        <w:rPr>
          <w:spacing w:val="17"/>
          <w:sz w:val="18"/>
          <w:vertAlign w:val="baseline"/>
        </w:rPr>
        <w:t> </w:t>
      </w:r>
      <w:r>
        <w:rPr>
          <w:sz w:val="18"/>
          <w:vertAlign w:val="baseline"/>
        </w:rPr>
        <w:t>sack,</w:t>
      </w:r>
      <w:r>
        <w:rPr>
          <w:spacing w:val="19"/>
          <w:sz w:val="18"/>
          <w:vertAlign w:val="baseline"/>
        </w:rPr>
        <w:t> </w:t>
      </w:r>
      <w:r>
        <w:rPr>
          <w:sz w:val="18"/>
          <w:vertAlign w:val="baseline"/>
        </w:rPr>
        <w:t>and</w:t>
      </w:r>
      <w:r>
        <w:rPr>
          <w:spacing w:val="21"/>
          <w:sz w:val="18"/>
          <w:vertAlign w:val="baseline"/>
        </w:rPr>
        <w:t> </w:t>
      </w:r>
      <w:r>
        <w:rPr>
          <w:sz w:val="18"/>
          <w:vertAlign w:val="baseline"/>
        </w:rPr>
        <w:t>in</w:t>
      </w:r>
      <w:r>
        <w:rPr>
          <w:spacing w:val="21"/>
          <w:sz w:val="18"/>
          <w:vertAlign w:val="baseline"/>
        </w:rPr>
        <w:t> </w:t>
      </w:r>
      <w:r>
        <w:rPr>
          <w:sz w:val="18"/>
          <w:vertAlign w:val="baseline"/>
        </w:rPr>
        <w:t>the</w:t>
      </w:r>
      <w:r>
        <w:rPr>
          <w:spacing w:val="17"/>
          <w:sz w:val="18"/>
          <w:vertAlign w:val="baseline"/>
        </w:rPr>
        <w:t> </w:t>
      </w:r>
      <w:r>
        <w:rPr>
          <w:sz w:val="18"/>
          <w:vertAlign w:val="baseline"/>
        </w:rPr>
        <w:t>1963</w:t>
      </w:r>
      <w:r>
        <w:rPr>
          <w:spacing w:val="21"/>
          <w:sz w:val="18"/>
          <w:vertAlign w:val="baseline"/>
        </w:rPr>
        <w:t> </w:t>
      </w:r>
      <w:r>
        <w:rPr>
          <w:sz w:val="18"/>
          <w:vertAlign w:val="baseline"/>
        </w:rPr>
        <w:t>movie,</w:t>
      </w:r>
      <w:r>
        <w:rPr>
          <w:spacing w:val="22"/>
          <w:sz w:val="18"/>
          <w:vertAlign w:val="baseline"/>
        </w:rPr>
        <w:t> </w:t>
      </w:r>
      <w:r>
        <w:rPr>
          <w:i/>
          <w:sz w:val="18"/>
          <w:vertAlign w:val="baseline"/>
        </w:rPr>
        <w:t>Cleopatra</w:t>
      </w:r>
      <w:r>
        <w:rPr>
          <w:sz w:val="18"/>
          <w:vertAlign w:val="baseline"/>
        </w:rPr>
        <w:t>,</w:t>
      </w:r>
      <w:r>
        <w:rPr>
          <w:spacing w:val="21"/>
          <w:sz w:val="18"/>
          <w:vertAlign w:val="baseline"/>
        </w:rPr>
        <w:t> </w:t>
      </w:r>
      <w:r>
        <w:rPr>
          <w:sz w:val="18"/>
          <w:vertAlign w:val="baseline"/>
        </w:rPr>
        <w:t>it</w:t>
      </w:r>
      <w:r>
        <w:rPr>
          <w:spacing w:val="21"/>
          <w:sz w:val="18"/>
          <w:vertAlign w:val="baseline"/>
        </w:rPr>
        <w:t> </w:t>
      </w:r>
      <w:r>
        <w:rPr>
          <w:sz w:val="18"/>
          <w:vertAlign w:val="baseline"/>
        </w:rPr>
        <w:t>is</w:t>
      </w:r>
      <w:r>
        <w:rPr>
          <w:spacing w:val="19"/>
          <w:sz w:val="18"/>
          <w:vertAlign w:val="baseline"/>
        </w:rPr>
        <w:t> </w:t>
      </w:r>
      <w:r>
        <w:rPr>
          <w:sz w:val="18"/>
          <w:vertAlign w:val="baseline"/>
        </w:rPr>
        <w:t>a</w:t>
      </w:r>
      <w:r>
        <w:rPr>
          <w:spacing w:val="19"/>
          <w:sz w:val="18"/>
          <w:vertAlign w:val="baseline"/>
        </w:rPr>
        <w:t> </w:t>
      </w:r>
      <w:r>
        <w:rPr>
          <w:sz w:val="18"/>
          <w:vertAlign w:val="baseline"/>
        </w:rPr>
        <w:t>rug,</w:t>
      </w:r>
      <w:r>
        <w:rPr>
          <w:spacing w:val="21"/>
          <w:sz w:val="18"/>
          <w:vertAlign w:val="baseline"/>
        </w:rPr>
        <w:t> </w:t>
      </w:r>
      <w:r>
        <w:rPr>
          <w:sz w:val="18"/>
          <w:vertAlign w:val="baseline"/>
        </w:rPr>
        <w:t>and in Shakespeare’s play, </w:t>
      </w:r>
      <w:r>
        <w:rPr>
          <w:i/>
          <w:sz w:val="18"/>
          <w:vertAlign w:val="baseline"/>
        </w:rPr>
        <w:t>Antony and Cleopatra, </w:t>
      </w:r>
      <w:r>
        <w:rPr>
          <w:sz w:val="18"/>
          <w:vertAlign w:val="baseline"/>
        </w:rPr>
        <w:t>it is a mattress. So, taking advantage of this generic coding, I have used the term “carpet,” as it seems to me</w:t>
      </w:r>
      <w:r>
        <w:rPr>
          <w:spacing w:val="38"/>
          <w:sz w:val="18"/>
          <w:vertAlign w:val="baseline"/>
        </w:rPr>
        <w:t> </w:t>
      </w:r>
      <w:r>
        <w:rPr>
          <w:sz w:val="18"/>
          <w:vertAlign w:val="baseline"/>
        </w:rPr>
        <w:t>a</w:t>
      </w:r>
      <w:r>
        <w:rPr>
          <w:spacing w:val="40"/>
          <w:sz w:val="18"/>
          <w:vertAlign w:val="baseline"/>
        </w:rPr>
        <w:t> </w:t>
      </w:r>
      <w:r>
        <w:rPr>
          <w:sz w:val="18"/>
          <w:vertAlign w:val="baseline"/>
        </w:rPr>
        <w:t>more</w:t>
      </w:r>
      <w:r>
        <w:rPr>
          <w:spacing w:val="36"/>
          <w:sz w:val="18"/>
          <w:vertAlign w:val="baseline"/>
        </w:rPr>
        <w:t> </w:t>
      </w:r>
      <w:r>
        <w:rPr>
          <w:sz w:val="18"/>
          <w:vertAlign w:val="baseline"/>
        </w:rPr>
        <w:t>agreeable</w:t>
      </w:r>
      <w:r>
        <w:rPr>
          <w:spacing w:val="40"/>
          <w:sz w:val="18"/>
          <w:vertAlign w:val="baseline"/>
        </w:rPr>
        <w:t> </w:t>
      </w:r>
      <w:r>
        <w:rPr>
          <w:sz w:val="18"/>
          <w:vertAlign w:val="baseline"/>
        </w:rPr>
        <w:t>way</w:t>
      </w:r>
      <w:r>
        <w:rPr>
          <w:spacing w:val="34"/>
          <w:sz w:val="18"/>
          <w:vertAlign w:val="baseline"/>
        </w:rPr>
        <w:t> </w:t>
      </w:r>
      <w:r>
        <w:rPr>
          <w:sz w:val="18"/>
          <w:vertAlign w:val="baseline"/>
        </w:rPr>
        <w:t>to</w:t>
      </w:r>
      <w:r>
        <w:rPr>
          <w:spacing w:val="40"/>
          <w:sz w:val="18"/>
          <w:vertAlign w:val="baseline"/>
        </w:rPr>
        <w:t> </w:t>
      </w:r>
      <w:r>
        <w:rPr>
          <w:sz w:val="18"/>
          <w:vertAlign w:val="baseline"/>
        </w:rPr>
        <w:t>capture</w:t>
      </w:r>
      <w:r>
        <w:rPr>
          <w:spacing w:val="36"/>
          <w:sz w:val="18"/>
          <w:vertAlign w:val="baseline"/>
        </w:rPr>
        <w:t> </w:t>
      </w:r>
      <w:r>
        <w:rPr>
          <w:sz w:val="18"/>
          <w:vertAlign w:val="baseline"/>
        </w:rPr>
        <w:t>the</w:t>
      </w:r>
      <w:r>
        <w:rPr>
          <w:spacing w:val="40"/>
          <w:sz w:val="18"/>
          <w:vertAlign w:val="baseline"/>
        </w:rPr>
        <w:t> </w:t>
      </w:r>
      <w:r>
        <w:rPr>
          <w:sz w:val="18"/>
          <w:vertAlign w:val="baseline"/>
        </w:rPr>
        <w:t>drama</w:t>
      </w:r>
      <w:r>
        <w:rPr>
          <w:spacing w:val="38"/>
          <w:sz w:val="18"/>
          <w:vertAlign w:val="baseline"/>
        </w:rPr>
        <w:t> </w:t>
      </w:r>
      <w:r>
        <w:rPr>
          <w:sz w:val="18"/>
          <w:vertAlign w:val="baseline"/>
        </w:rPr>
        <w:t>of</w:t>
      </w:r>
      <w:r>
        <w:rPr>
          <w:spacing w:val="40"/>
          <w:sz w:val="18"/>
          <w:vertAlign w:val="baseline"/>
        </w:rPr>
        <w:t> </w:t>
      </w:r>
      <w:r>
        <w:rPr>
          <w:sz w:val="18"/>
          <w:vertAlign w:val="baseline"/>
        </w:rPr>
        <w:t>the</w:t>
      </w:r>
      <w:r>
        <w:rPr>
          <w:spacing w:val="36"/>
          <w:sz w:val="18"/>
          <w:vertAlign w:val="baseline"/>
        </w:rPr>
        <w:t> </w:t>
      </w:r>
      <w:r>
        <w:rPr>
          <w:sz w:val="18"/>
          <w:vertAlign w:val="baseline"/>
        </w:rPr>
        <w:t>moment.</w:t>
      </w:r>
    </w:p>
    <w:p>
      <w:pPr>
        <w:spacing w:before="62"/>
        <w:ind w:left="1440" w:right="1439" w:firstLine="0"/>
        <w:jc w:val="both"/>
        <w:rPr>
          <w:sz w:val="18"/>
        </w:rPr>
      </w:pPr>
      <w:r>
        <w:rPr>
          <w:sz w:val="18"/>
        </w:rPr>
        <w:t>“Taking just one of her courtiers, Apollodorous the Sicilian, she [Cleopatra] boarded</w:t>
      </w:r>
      <w:r>
        <w:rPr>
          <w:spacing w:val="23"/>
          <w:sz w:val="18"/>
        </w:rPr>
        <w:t> </w:t>
      </w:r>
      <w:r>
        <w:rPr>
          <w:sz w:val="18"/>
        </w:rPr>
        <w:t>a small boat</w:t>
      </w:r>
      <w:r>
        <w:rPr>
          <w:spacing w:val="23"/>
          <w:sz w:val="18"/>
        </w:rPr>
        <w:t> </w:t>
      </w:r>
      <w:r>
        <w:rPr>
          <w:sz w:val="18"/>
        </w:rPr>
        <w:t>and</w:t>
      </w:r>
      <w:r>
        <w:rPr>
          <w:spacing w:val="23"/>
          <w:sz w:val="18"/>
        </w:rPr>
        <w:t> </w:t>
      </w:r>
      <w:r>
        <w:rPr>
          <w:sz w:val="18"/>
        </w:rPr>
        <w:t>landed</w:t>
      </w:r>
      <w:r>
        <w:rPr>
          <w:spacing w:val="23"/>
          <w:sz w:val="18"/>
        </w:rPr>
        <w:t> </w:t>
      </w:r>
      <w:r>
        <w:rPr>
          <w:sz w:val="18"/>
        </w:rPr>
        <w:t>near the palace at dusk.</w:t>
      </w:r>
      <w:r>
        <w:rPr>
          <w:spacing w:val="23"/>
          <w:sz w:val="18"/>
        </w:rPr>
        <w:t> </w:t>
      </w:r>
      <w:r>
        <w:rPr>
          <w:sz w:val="18"/>
        </w:rPr>
        <w:t>Unable to</w:t>
      </w:r>
      <w:r>
        <w:rPr>
          <w:spacing w:val="24"/>
          <w:sz w:val="18"/>
        </w:rPr>
        <w:t> </w:t>
      </w:r>
      <w:r>
        <w:rPr>
          <w:sz w:val="18"/>
        </w:rPr>
        <w:t>think of any other way to enter unnoticed, she lay down full length in a bed-linen sack, and</w:t>
      </w:r>
      <w:r>
        <w:rPr>
          <w:spacing w:val="-1"/>
          <w:sz w:val="18"/>
        </w:rPr>
        <w:t> </w:t>
      </w:r>
      <w:r>
        <w:rPr>
          <w:sz w:val="18"/>
        </w:rPr>
        <w:t>Apollodorous tied the sack up with a strap and carried it through the gates to Caesar. Caesar, it is said, was</w:t>
      </w:r>
      <w:r>
        <w:rPr>
          <w:spacing w:val="-4"/>
          <w:sz w:val="18"/>
        </w:rPr>
        <w:t> </w:t>
      </w:r>
      <w:r>
        <w:rPr>
          <w:sz w:val="18"/>
        </w:rPr>
        <w:t>immediately</w:t>
      </w:r>
      <w:r>
        <w:rPr>
          <w:spacing w:val="-4"/>
          <w:sz w:val="18"/>
        </w:rPr>
        <w:t> </w:t>
      </w:r>
      <w:r>
        <w:rPr>
          <w:sz w:val="18"/>
        </w:rPr>
        <w:t>taken with this trick</w:t>
      </w:r>
      <w:r>
        <w:rPr>
          <w:spacing w:val="-2"/>
          <w:sz w:val="18"/>
        </w:rPr>
        <w:t> </w:t>
      </w:r>
      <w:r>
        <w:rPr>
          <w:sz w:val="18"/>
        </w:rPr>
        <w:t>of</w:t>
      </w:r>
      <w:r>
        <w:rPr>
          <w:spacing w:val="-3"/>
          <w:sz w:val="18"/>
        </w:rPr>
        <w:t> </w:t>
      </w:r>
      <w:r>
        <w:rPr>
          <w:sz w:val="18"/>
        </w:rPr>
        <w:t>Cleopatra, and the coquettish impression it made and, becoming more so through further getting to know her and her charm, resolved to re-establish her on the throne with her brother. (Plutarch, </w:t>
      </w:r>
      <w:r>
        <w:rPr>
          <w:i/>
          <w:sz w:val="18"/>
        </w:rPr>
        <w:t>Caesar, </w:t>
      </w:r>
      <w:r>
        <w:rPr>
          <w:sz w:val="18"/>
        </w:rPr>
        <w:t>ch. 49). Quoted from </w:t>
      </w:r>
      <w:r>
        <w:rPr>
          <w:i/>
          <w:sz w:val="18"/>
        </w:rPr>
        <w:t>Cleopatra of Egypt: From History to Myth, </w:t>
      </w:r>
      <w:r>
        <w:rPr>
          <w:sz w:val="18"/>
        </w:rPr>
        <w:t>Edited by Susan Walker and Peter Higgs (Princeton University</w:t>
      </w:r>
      <w:r>
        <w:rPr>
          <w:spacing w:val="40"/>
          <w:sz w:val="18"/>
        </w:rPr>
        <w:t> </w:t>
      </w:r>
      <w:r>
        <w:rPr>
          <w:sz w:val="18"/>
        </w:rPr>
        <w:t>Press,</w:t>
      </w:r>
      <w:r>
        <w:rPr>
          <w:spacing w:val="40"/>
          <w:sz w:val="18"/>
        </w:rPr>
        <w:t> </w:t>
      </w:r>
      <w:r>
        <w:rPr>
          <w:sz w:val="18"/>
        </w:rPr>
        <w:t>2001,</w:t>
      </w:r>
      <w:r>
        <w:rPr>
          <w:spacing w:val="40"/>
          <w:sz w:val="18"/>
        </w:rPr>
        <w:t> </w:t>
      </w:r>
      <w:r>
        <w:rPr>
          <w:sz w:val="18"/>
        </w:rPr>
        <w:t>p.</w:t>
      </w:r>
      <w:r>
        <w:rPr>
          <w:spacing w:val="40"/>
          <w:sz w:val="18"/>
        </w:rPr>
        <w:t> </w:t>
      </w:r>
      <w:r>
        <w:rPr>
          <w:sz w:val="18"/>
        </w:rPr>
        <w:t>24).</w:t>
      </w:r>
    </w:p>
    <w:p>
      <w:pPr>
        <w:spacing w:after="0"/>
        <w:jc w:val="both"/>
        <w:rPr>
          <w:sz w:val="18"/>
        </w:rPr>
        <w:sectPr>
          <w:pgSz w:w="12240" w:h="15840"/>
          <w:pgMar w:top="1820" w:bottom="280" w:left="1800" w:right="1800"/>
        </w:sectPr>
      </w:pPr>
    </w:p>
    <w:p>
      <w:pPr>
        <w:tabs>
          <w:tab w:pos="7183"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10368">
                <wp:simplePos x="0" y="0"/>
                <wp:positionH relativeFrom="page">
                  <wp:posOffset>2065020</wp:posOffset>
                </wp:positionH>
                <wp:positionV relativeFrom="paragraph">
                  <wp:posOffset>795020</wp:posOffset>
                </wp:positionV>
                <wp:extent cx="3657600" cy="12700"/>
                <wp:effectExtent l="0" t="0" r="0" b="0"/>
                <wp:wrapTopAndBottom/>
                <wp:docPr id="140" name="Graphic 140"/>
                <wp:cNvGraphicFramePr>
                  <a:graphicFrameLocks/>
                </wp:cNvGraphicFramePr>
                <a:graphic>
                  <a:graphicData uri="http://schemas.microsoft.com/office/word/2010/wordprocessingShape">
                    <wps:wsp>
                      <wps:cNvPr id="140" name="Graphic 14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706112;mso-wrap-distance-left:0;mso-wrap-distance-right:0" id="docshape136" filled="true" fillcolor="#000000" stroked="false">
                <v:fill type="solid"/>
                <w10:wrap type="topAndBottom"/>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10"/>
          <w:sz w:val="18"/>
        </w:rPr>
        <w:t>7</w:t>
      </w:r>
    </w:p>
    <w:p>
      <w:pPr>
        <w:pStyle w:val="BodyText"/>
        <w:spacing w:line="249" w:lineRule="auto" w:before="192"/>
        <w:ind w:right="1438"/>
        <w:jc w:val="both"/>
      </w:pPr>
      <w:r>
        <w:rPr/>
        <w:t>A little later, she says to the Messenger who has brought the news of Antony’s marriage to Octavia that his message has filled her with disgust</w:t>
      </w:r>
      <w:r>
        <w:rPr>
          <w:spacing w:val="20"/>
        </w:rPr>
        <w:t> </w:t>
      </w:r>
      <w:r>
        <w:rPr/>
        <w:t>and</w:t>
      </w:r>
      <w:r>
        <w:rPr>
          <w:spacing w:val="22"/>
        </w:rPr>
        <w:t> </w:t>
      </w:r>
      <w:r>
        <w:rPr/>
        <w:t>she</w:t>
      </w:r>
      <w:r>
        <w:rPr>
          <w:spacing w:val="22"/>
        </w:rPr>
        <w:t> </w:t>
      </w:r>
      <w:r>
        <w:rPr/>
        <w:t>wishes</w:t>
      </w:r>
      <w:r>
        <w:rPr>
          <w:spacing w:val="21"/>
        </w:rPr>
        <w:t> </w:t>
      </w:r>
      <w:r>
        <w:rPr/>
        <w:t>the</w:t>
      </w:r>
      <w:r>
        <w:rPr>
          <w:spacing w:val="22"/>
        </w:rPr>
        <w:t> </w:t>
      </w:r>
      <w:r>
        <w:rPr/>
        <w:t>half</w:t>
      </w:r>
      <w:r>
        <w:rPr>
          <w:spacing w:val="18"/>
        </w:rPr>
        <w:t> </w:t>
      </w:r>
      <w:r>
        <w:rPr/>
        <w:t>of</w:t>
      </w:r>
      <w:r>
        <w:rPr>
          <w:spacing w:val="19"/>
        </w:rPr>
        <w:t> </w:t>
      </w:r>
      <w:r>
        <w:rPr/>
        <w:t>“Egypt</w:t>
      </w:r>
      <w:r>
        <w:rPr>
          <w:spacing w:val="23"/>
        </w:rPr>
        <w:t> </w:t>
      </w:r>
      <w:r>
        <w:rPr/>
        <w:t>were</w:t>
      </w:r>
      <w:r>
        <w:rPr>
          <w:spacing w:val="22"/>
        </w:rPr>
        <w:t> </w:t>
      </w:r>
      <w:r>
        <w:rPr/>
        <w:t>submerged</w:t>
      </w:r>
      <w:r>
        <w:rPr>
          <w:spacing w:val="20"/>
        </w:rPr>
        <w:t> </w:t>
      </w:r>
      <w:r>
        <w:rPr/>
        <w:t>and</w:t>
      </w:r>
      <w:r>
        <w:rPr>
          <w:spacing w:val="24"/>
        </w:rPr>
        <w:t> </w:t>
      </w:r>
      <w:r>
        <w:rPr>
          <w:spacing w:val="-4"/>
        </w:rPr>
        <w:t>made</w:t>
      </w:r>
    </w:p>
    <w:p>
      <w:pPr>
        <w:pStyle w:val="BodyText"/>
        <w:spacing w:line="249" w:lineRule="auto" w:before="3"/>
        <w:ind w:right="1436"/>
        <w:jc w:val="both"/>
      </w:pPr>
      <w:r>
        <w:rPr/>
        <w:t>/ A cistern for scaled snakes!” (2.2.94-95), as Harold Fisch comments that “Cleopatra joins in mythic union the principle of love and death: she represents the </w:t>
      </w:r>
      <w:r>
        <w:rPr>
          <w:i/>
        </w:rPr>
        <w:t>Liebestod</w:t>
      </w:r>
      <w:r>
        <w:rPr/>
        <w:t>, the downward drag of nature into unconsciousness and death.”</w:t>
      </w:r>
      <w:r>
        <w:rPr>
          <w:vertAlign w:val="superscript"/>
        </w:rPr>
        <w:t>9</w:t>
      </w:r>
      <w:r>
        <w:rPr>
          <w:vertAlign w:val="baseline"/>
        </w:rPr>
        <w:t> These liquefying speeches, though they demand that the solidity of the world melt into water, differ in their implications.</w:t>
      </w:r>
      <w:r>
        <w:rPr>
          <w:spacing w:val="-4"/>
          <w:vertAlign w:val="baseline"/>
        </w:rPr>
        <w:t> </w:t>
      </w:r>
      <w:r>
        <w:rPr>
          <w:vertAlign w:val="baseline"/>
        </w:rPr>
        <w:t>Antony’s is a total submersion of the political reality into the sea of love, but Cleopatra’s is the reaction she feels at the loss of love.</w:t>
      </w:r>
      <w:r>
        <w:rPr>
          <w:spacing w:val="-13"/>
          <w:vertAlign w:val="baseline"/>
        </w:rPr>
        <w:t> </w:t>
      </w:r>
      <w:r>
        <w:rPr>
          <w:vertAlign w:val="baseline"/>
        </w:rPr>
        <w:t>She</w:t>
      </w:r>
      <w:r>
        <w:rPr>
          <w:spacing w:val="-12"/>
          <w:vertAlign w:val="baseline"/>
        </w:rPr>
        <w:t> </w:t>
      </w:r>
      <w:r>
        <w:rPr>
          <w:vertAlign w:val="baseline"/>
        </w:rPr>
        <w:t>had</w:t>
      </w:r>
      <w:r>
        <w:rPr>
          <w:spacing w:val="-13"/>
          <w:vertAlign w:val="baseline"/>
        </w:rPr>
        <w:t> </w:t>
      </w:r>
      <w:r>
        <w:rPr>
          <w:vertAlign w:val="baseline"/>
        </w:rPr>
        <w:t>already</w:t>
      </w:r>
      <w:r>
        <w:rPr>
          <w:spacing w:val="-12"/>
          <w:vertAlign w:val="baseline"/>
        </w:rPr>
        <w:t> </w:t>
      </w:r>
      <w:r>
        <w:rPr>
          <w:vertAlign w:val="baseline"/>
        </w:rPr>
        <w:t>expressed</w:t>
      </w:r>
      <w:r>
        <w:rPr>
          <w:spacing w:val="-13"/>
          <w:vertAlign w:val="baseline"/>
        </w:rPr>
        <w:t> </w:t>
      </w:r>
      <w:r>
        <w:rPr>
          <w:vertAlign w:val="baseline"/>
        </w:rPr>
        <w:t>her</w:t>
      </w:r>
      <w:r>
        <w:rPr>
          <w:spacing w:val="-12"/>
          <w:vertAlign w:val="baseline"/>
        </w:rPr>
        <w:t> </w:t>
      </w:r>
      <w:r>
        <w:rPr>
          <w:vertAlign w:val="baseline"/>
        </w:rPr>
        <w:t>bitterness</w:t>
      </w:r>
      <w:r>
        <w:rPr>
          <w:spacing w:val="-13"/>
          <w:vertAlign w:val="baseline"/>
        </w:rPr>
        <w:t> </w:t>
      </w:r>
      <w:r>
        <w:rPr>
          <w:vertAlign w:val="baseline"/>
        </w:rPr>
        <w:t>by</w:t>
      </w:r>
      <w:r>
        <w:rPr>
          <w:spacing w:val="-12"/>
          <w:vertAlign w:val="baseline"/>
        </w:rPr>
        <w:t> </w:t>
      </w:r>
      <w:r>
        <w:rPr>
          <w:vertAlign w:val="baseline"/>
        </w:rPr>
        <w:t>striking</w:t>
      </w:r>
      <w:r>
        <w:rPr>
          <w:spacing w:val="-13"/>
          <w:vertAlign w:val="baseline"/>
        </w:rPr>
        <w:t> </w:t>
      </w:r>
      <w:r>
        <w:rPr>
          <w:vertAlign w:val="baseline"/>
        </w:rPr>
        <w:t>the</w:t>
      </w:r>
      <w:r>
        <w:rPr>
          <w:spacing w:val="-12"/>
          <w:vertAlign w:val="baseline"/>
        </w:rPr>
        <w:t> </w:t>
      </w:r>
      <w:r>
        <w:rPr>
          <w:vertAlign w:val="baseline"/>
        </w:rPr>
        <w:t>Messenger. But</w:t>
      </w:r>
      <w:r>
        <w:rPr>
          <w:spacing w:val="-10"/>
          <w:vertAlign w:val="baseline"/>
        </w:rPr>
        <w:t> </w:t>
      </w:r>
      <w:r>
        <w:rPr>
          <w:vertAlign w:val="baseline"/>
        </w:rPr>
        <w:t>now</w:t>
      </w:r>
      <w:r>
        <w:rPr>
          <w:spacing w:val="-11"/>
          <w:vertAlign w:val="baseline"/>
        </w:rPr>
        <w:t> </w:t>
      </w:r>
      <w:r>
        <w:rPr>
          <w:vertAlign w:val="baseline"/>
        </w:rPr>
        <w:t>she</w:t>
      </w:r>
      <w:r>
        <w:rPr>
          <w:spacing w:val="-9"/>
          <w:vertAlign w:val="baseline"/>
        </w:rPr>
        <w:t> </w:t>
      </w:r>
      <w:r>
        <w:rPr>
          <w:vertAlign w:val="baseline"/>
        </w:rPr>
        <w:t>will</w:t>
      </w:r>
      <w:r>
        <w:rPr>
          <w:spacing w:val="-8"/>
          <w:vertAlign w:val="baseline"/>
        </w:rPr>
        <w:t> </w:t>
      </w:r>
      <w:r>
        <w:rPr>
          <w:vertAlign w:val="baseline"/>
        </w:rPr>
        <w:t>enquire</w:t>
      </w:r>
      <w:r>
        <w:rPr>
          <w:spacing w:val="-9"/>
          <w:vertAlign w:val="baseline"/>
        </w:rPr>
        <w:t> </w:t>
      </w:r>
      <w:r>
        <w:rPr>
          <w:vertAlign w:val="baseline"/>
        </w:rPr>
        <w:t>of</w:t>
      </w:r>
      <w:r>
        <w:rPr>
          <w:spacing w:val="-11"/>
          <w:vertAlign w:val="baseline"/>
        </w:rPr>
        <w:t> </w:t>
      </w:r>
      <w:r>
        <w:rPr>
          <w:vertAlign w:val="baseline"/>
        </w:rPr>
        <w:t>a</w:t>
      </w:r>
      <w:r>
        <w:rPr>
          <w:spacing w:val="-7"/>
          <w:vertAlign w:val="baseline"/>
        </w:rPr>
        <w:t> </w:t>
      </w:r>
      <w:r>
        <w:rPr>
          <w:vertAlign w:val="baseline"/>
        </w:rPr>
        <w:t>basic</w:t>
      </w:r>
      <w:r>
        <w:rPr>
          <w:spacing w:val="-9"/>
          <w:vertAlign w:val="baseline"/>
        </w:rPr>
        <w:t> </w:t>
      </w:r>
      <w:r>
        <w:rPr>
          <w:vertAlign w:val="baseline"/>
        </w:rPr>
        <w:t>need</w:t>
      </w:r>
      <w:r>
        <w:rPr>
          <w:spacing w:val="-10"/>
          <w:vertAlign w:val="baseline"/>
        </w:rPr>
        <w:t> </w:t>
      </w:r>
      <w:r>
        <w:rPr>
          <w:vertAlign w:val="baseline"/>
        </w:rPr>
        <w:t>in</w:t>
      </w:r>
      <w:r>
        <w:rPr>
          <w:spacing w:val="-8"/>
          <w:vertAlign w:val="baseline"/>
        </w:rPr>
        <w:t> </w:t>
      </w:r>
      <w:r>
        <w:rPr>
          <w:vertAlign w:val="baseline"/>
        </w:rPr>
        <w:t>love:</w:t>
      </w:r>
      <w:r>
        <w:rPr>
          <w:spacing w:val="-11"/>
          <w:vertAlign w:val="baseline"/>
        </w:rPr>
        <w:t> </w:t>
      </w:r>
      <w:r>
        <w:rPr>
          <w:vertAlign w:val="baseline"/>
        </w:rPr>
        <w:t>a</w:t>
      </w:r>
      <w:r>
        <w:rPr>
          <w:spacing w:val="-7"/>
          <w:vertAlign w:val="baseline"/>
        </w:rPr>
        <w:t> </w:t>
      </w:r>
      <w:r>
        <w:rPr>
          <w:vertAlign w:val="baseline"/>
        </w:rPr>
        <w:t>comparative</w:t>
      </w:r>
      <w:r>
        <w:rPr>
          <w:spacing w:val="-11"/>
          <w:vertAlign w:val="baseline"/>
        </w:rPr>
        <w:t> </w:t>
      </w:r>
      <w:r>
        <w:rPr>
          <w:vertAlign w:val="baseline"/>
        </w:rPr>
        <w:t>aesthetic chart: how does Octavia stand beside her? To Iras, she says, “Bid you Alexas / Bring the word how tall she is” (2.5.117-118). From her interrogation</w:t>
      </w:r>
      <w:r>
        <w:rPr>
          <w:spacing w:val="-6"/>
          <w:vertAlign w:val="baseline"/>
        </w:rPr>
        <w:t> </w:t>
      </w:r>
      <w:r>
        <w:rPr>
          <w:vertAlign w:val="baseline"/>
        </w:rPr>
        <w:t>of</w:t>
      </w:r>
      <w:r>
        <w:rPr>
          <w:spacing w:val="-6"/>
          <w:vertAlign w:val="baseline"/>
        </w:rPr>
        <w:t> </w:t>
      </w:r>
      <w:r>
        <w:rPr>
          <w:vertAlign w:val="baseline"/>
        </w:rPr>
        <w:t>the</w:t>
      </w:r>
      <w:r>
        <w:rPr>
          <w:spacing w:val="-3"/>
          <w:vertAlign w:val="baseline"/>
        </w:rPr>
        <w:t> </w:t>
      </w:r>
      <w:r>
        <w:rPr>
          <w:vertAlign w:val="baseline"/>
        </w:rPr>
        <w:t>Messenger</w:t>
      </w:r>
      <w:r>
        <w:rPr>
          <w:spacing w:val="-4"/>
          <w:vertAlign w:val="baseline"/>
        </w:rPr>
        <w:t> </w:t>
      </w:r>
      <w:r>
        <w:rPr>
          <w:vertAlign w:val="baseline"/>
        </w:rPr>
        <w:t>(who</w:t>
      </w:r>
      <w:r>
        <w:rPr>
          <w:spacing w:val="-1"/>
          <w:vertAlign w:val="baseline"/>
        </w:rPr>
        <w:t> </w:t>
      </w:r>
      <w:r>
        <w:rPr>
          <w:vertAlign w:val="baseline"/>
        </w:rPr>
        <w:t>actually</w:t>
      </w:r>
      <w:r>
        <w:rPr>
          <w:spacing w:val="-8"/>
          <w:vertAlign w:val="baseline"/>
        </w:rPr>
        <w:t> </w:t>
      </w:r>
      <w:r>
        <w:rPr>
          <w:vertAlign w:val="baseline"/>
        </w:rPr>
        <w:t>understood</w:t>
      </w:r>
      <w:r>
        <w:rPr>
          <w:spacing w:val="-2"/>
          <w:vertAlign w:val="baseline"/>
        </w:rPr>
        <w:t> </w:t>
      </w:r>
      <w:r>
        <w:rPr>
          <w:vertAlign w:val="baseline"/>
        </w:rPr>
        <w:t>how</w:t>
      </w:r>
      <w:r>
        <w:rPr>
          <w:spacing w:val="-9"/>
          <w:vertAlign w:val="baseline"/>
        </w:rPr>
        <w:t> </w:t>
      </w:r>
      <w:r>
        <w:rPr>
          <w:vertAlign w:val="baseline"/>
        </w:rPr>
        <w:t>to</w:t>
      </w:r>
      <w:r>
        <w:rPr>
          <w:spacing w:val="-1"/>
          <w:vertAlign w:val="baseline"/>
        </w:rPr>
        <w:t> </w:t>
      </w:r>
      <w:r>
        <w:rPr>
          <w:vertAlign w:val="baseline"/>
        </w:rPr>
        <w:t>placate the queen by answering what she would like to hear, not what he actually had to report), she comes to know that Octavia is shorter than her, “dwarfish” (3.3.16)</w:t>
      </w:r>
      <w:r>
        <w:rPr>
          <w:vertAlign w:val="superscript"/>
        </w:rPr>
        <w:t>10</w:t>
      </w:r>
      <w:r>
        <w:rPr>
          <w:vertAlign w:val="baseline"/>
        </w:rPr>
        <w:t>, “low-voiced” (3.3.13), which Cleopatra comfortably</w:t>
      </w:r>
      <w:r>
        <w:rPr>
          <w:spacing w:val="-6"/>
          <w:vertAlign w:val="baseline"/>
        </w:rPr>
        <w:t> </w:t>
      </w:r>
      <w:r>
        <w:rPr>
          <w:vertAlign w:val="baseline"/>
        </w:rPr>
        <w:t>defines</w:t>
      </w:r>
      <w:r>
        <w:rPr>
          <w:spacing w:val="-6"/>
          <w:vertAlign w:val="baseline"/>
        </w:rPr>
        <w:t> </w:t>
      </w:r>
      <w:r>
        <w:rPr>
          <w:vertAlign w:val="baseline"/>
        </w:rPr>
        <w:t>as</w:t>
      </w:r>
      <w:r>
        <w:rPr>
          <w:spacing w:val="-4"/>
          <w:vertAlign w:val="baseline"/>
        </w:rPr>
        <w:t> </w:t>
      </w:r>
      <w:r>
        <w:rPr>
          <w:vertAlign w:val="baseline"/>
        </w:rPr>
        <w:t>“Dull</w:t>
      </w:r>
      <w:r>
        <w:rPr>
          <w:spacing w:val="-4"/>
          <w:vertAlign w:val="baseline"/>
        </w:rPr>
        <w:t> </w:t>
      </w:r>
      <w:r>
        <w:rPr>
          <w:vertAlign w:val="baseline"/>
        </w:rPr>
        <w:t>of</w:t>
      </w:r>
      <w:r>
        <w:rPr>
          <w:spacing w:val="-6"/>
          <w:vertAlign w:val="baseline"/>
        </w:rPr>
        <w:t> </w:t>
      </w:r>
      <w:r>
        <w:rPr>
          <w:vertAlign w:val="baseline"/>
        </w:rPr>
        <w:t>tongue”</w:t>
      </w:r>
      <w:r>
        <w:rPr>
          <w:spacing w:val="-4"/>
          <w:vertAlign w:val="baseline"/>
        </w:rPr>
        <w:t> </w:t>
      </w:r>
      <w:r>
        <w:rPr>
          <w:vertAlign w:val="baseline"/>
        </w:rPr>
        <w:t>(3.3.16),</w:t>
      </w:r>
      <w:r>
        <w:rPr>
          <w:spacing w:val="-3"/>
          <w:vertAlign w:val="baseline"/>
        </w:rPr>
        <w:t> </w:t>
      </w:r>
      <w:r>
        <w:rPr>
          <w:vertAlign w:val="baseline"/>
        </w:rPr>
        <w:t>and,</w:t>
      </w:r>
      <w:r>
        <w:rPr>
          <w:spacing w:val="-3"/>
          <w:vertAlign w:val="baseline"/>
        </w:rPr>
        <w:t> </w:t>
      </w:r>
      <w:r>
        <w:rPr>
          <w:vertAlign w:val="baseline"/>
        </w:rPr>
        <w:t>as</w:t>
      </w:r>
      <w:r>
        <w:rPr>
          <w:spacing w:val="-6"/>
          <w:vertAlign w:val="baseline"/>
        </w:rPr>
        <w:t> </w:t>
      </w:r>
      <w:r>
        <w:rPr>
          <w:vertAlign w:val="baseline"/>
        </w:rPr>
        <w:t>the</w:t>
      </w:r>
      <w:r>
        <w:rPr>
          <w:spacing w:val="-3"/>
          <w:vertAlign w:val="baseline"/>
        </w:rPr>
        <w:t> </w:t>
      </w:r>
      <w:r>
        <w:rPr>
          <w:vertAlign w:val="baseline"/>
        </w:rPr>
        <w:t>Messenger reports:</w:t>
      </w:r>
      <w:r>
        <w:rPr>
          <w:spacing w:val="-2"/>
          <w:vertAlign w:val="baseline"/>
        </w:rPr>
        <w:t> </w:t>
      </w:r>
      <w:r>
        <w:rPr>
          <w:vertAlign w:val="baseline"/>
        </w:rPr>
        <w:t>“She</w:t>
      </w:r>
      <w:r>
        <w:rPr>
          <w:spacing w:val="-3"/>
          <w:vertAlign w:val="baseline"/>
        </w:rPr>
        <w:t> </w:t>
      </w:r>
      <w:r>
        <w:rPr>
          <w:vertAlign w:val="baseline"/>
        </w:rPr>
        <w:t>creeps”</w:t>
      </w:r>
      <w:r>
        <w:rPr>
          <w:spacing w:val="-2"/>
          <w:vertAlign w:val="baseline"/>
        </w:rPr>
        <w:t> </w:t>
      </w:r>
      <w:r>
        <w:rPr>
          <w:vertAlign w:val="baseline"/>
        </w:rPr>
        <w:t>like</w:t>
      </w:r>
      <w:r>
        <w:rPr>
          <w:spacing w:val="-3"/>
          <w:vertAlign w:val="baseline"/>
        </w:rPr>
        <w:t> </w:t>
      </w:r>
      <w:r>
        <w:rPr>
          <w:vertAlign w:val="baseline"/>
        </w:rPr>
        <w:t>“A</w:t>
      </w:r>
      <w:r>
        <w:rPr>
          <w:spacing w:val="-5"/>
          <w:vertAlign w:val="baseline"/>
        </w:rPr>
        <w:t> </w:t>
      </w:r>
      <w:r>
        <w:rPr>
          <w:vertAlign w:val="baseline"/>
        </w:rPr>
        <w:t>statue rather</w:t>
      </w:r>
      <w:r>
        <w:rPr>
          <w:spacing w:val="-1"/>
          <w:vertAlign w:val="baseline"/>
        </w:rPr>
        <w:t> </w:t>
      </w:r>
      <w:r>
        <w:rPr>
          <w:vertAlign w:val="baseline"/>
        </w:rPr>
        <w:t>than</w:t>
      </w:r>
      <w:r>
        <w:rPr>
          <w:spacing w:val="-3"/>
          <w:vertAlign w:val="baseline"/>
        </w:rPr>
        <w:t> </w:t>
      </w:r>
      <w:r>
        <w:rPr>
          <w:vertAlign w:val="baseline"/>
        </w:rPr>
        <w:t>a</w:t>
      </w:r>
      <w:r>
        <w:rPr>
          <w:spacing w:val="-2"/>
          <w:vertAlign w:val="baseline"/>
        </w:rPr>
        <w:t> </w:t>
      </w:r>
      <w:r>
        <w:rPr>
          <w:vertAlign w:val="baseline"/>
        </w:rPr>
        <w:t>breather”</w:t>
      </w:r>
      <w:r>
        <w:rPr>
          <w:spacing w:val="-3"/>
          <w:vertAlign w:val="baseline"/>
        </w:rPr>
        <w:t> </w:t>
      </w:r>
      <w:r>
        <w:rPr>
          <w:vertAlign w:val="baseline"/>
        </w:rPr>
        <w:t>(3.3.21), she draws in a breath of satisfaction.</w:t>
      </w:r>
      <w:r>
        <w:rPr>
          <w:spacing w:val="-5"/>
          <w:vertAlign w:val="baseline"/>
        </w:rPr>
        <w:t> </w:t>
      </w:r>
      <w:r>
        <w:rPr>
          <w:vertAlign w:val="baseline"/>
        </w:rPr>
        <w:t>And further, when Cleopatra asks him about</w:t>
      </w:r>
      <w:r>
        <w:rPr>
          <w:spacing w:val="-13"/>
          <w:vertAlign w:val="baseline"/>
        </w:rPr>
        <w:t> </w:t>
      </w:r>
      <w:r>
        <w:rPr>
          <w:vertAlign w:val="baseline"/>
        </w:rPr>
        <w:t>Octavia’s</w:t>
      </w:r>
      <w:r>
        <w:rPr>
          <w:spacing w:val="-12"/>
          <w:vertAlign w:val="baseline"/>
        </w:rPr>
        <w:t> </w:t>
      </w:r>
      <w:r>
        <w:rPr>
          <w:vertAlign w:val="baseline"/>
        </w:rPr>
        <w:t>age</w:t>
      </w:r>
      <w:r>
        <w:rPr>
          <w:vertAlign w:val="superscript"/>
        </w:rPr>
        <w:t>11</w:t>
      </w:r>
      <w:r>
        <w:rPr>
          <w:vertAlign w:val="baseline"/>
        </w:rPr>
        <w:t>,</w:t>
      </w:r>
      <w:r>
        <w:rPr>
          <w:spacing w:val="-13"/>
          <w:vertAlign w:val="baseline"/>
        </w:rPr>
        <w:t> </w:t>
      </w:r>
      <w:r>
        <w:rPr>
          <w:vertAlign w:val="baseline"/>
        </w:rPr>
        <w:t>the</w:t>
      </w:r>
      <w:r>
        <w:rPr>
          <w:spacing w:val="-12"/>
          <w:vertAlign w:val="baseline"/>
        </w:rPr>
        <w:t> </w:t>
      </w:r>
      <w:r>
        <w:rPr>
          <w:vertAlign w:val="baseline"/>
        </w:rPr>
        <w:t>Messenger,</w:t>
      </w:r>
      <w:r>
        <w:rPr>
          <w:spacing w:val="-13"/>
          <w:vertAlign w:val="baseline"/>
        </w:rPr>
        <w:t> </w:t>
      </w:r>
      <w:r>
        <w:rPr>
          <w:vertAlign w:val="baseline"/>
        </w:rPr>
        <w:t>thinking</w:t>
      </w:r>
      <w:r>
        <w:rPr>
          <w:spacing w:val="-12"/>
          <w:vertAlign w:val="baseline"/>
        </w:rPr>
        <w:t> </w:t>
      </w:r>
      <w:r>
        <w:rPr>
          <w:vertAlign w:val="baseline"/>
        </w:rPr>
        <w:t>that</w:t>
      </w:r>
      <w:r>
        <w:rPr>
          <w:spacing w:val="-13"/>
          <w:vertAlign w:val="baseline"/>
        </w:rPr>
        <w:t> </w:t>
      </w:r>
      <w:r>
        <w:rPr>
          <w:vertAlign w:val="baseline"/>
        </w:rPr>
        <w:t>she</w:t>
      </w:r>
      <w:r>
        <w:rPr>
          <w:spacing w:val="-12"/>
          <w:vertAlign w:val="baseline"/>
        </w:rPr>
        <w:t> </w:t>
      </w:r>
      <w:r>
        <w:rPr>
          <w:vertAlign w:val="baseline"/>
        </w:rPr>
        <w:t>might</w:t>
      </w:r>
      <w:r>
        <w:rPr>
          <w:spacing w:val="-13"/>
          <w:vertAlign w:val="baseline"/>
        </w:rPr>
        <w:t> </w:t>
      </w:r>
      <w:r>
        <w:rPr>
          <w:vertAlign w:val="baseline"/>
        </w:rPr>
        <w:t>be</w:t>
      </w:r>
      <w:r>
        <w:rPr>
          <w:spacing w:val="-12"/>
          <w:vertAlign w:val="baseline"/>
        </w:rPr>
        <w:t> </w:t>
      </w:r>
      <w:r>
        <w:rPr>
          <w:vertAlign w:val="baseline"/>
        </w:rPr>
        <w:t>younger than the queen, avoids a direct reply, but instead says that she is a widow,</w:t>
      </w:r>
      <w:r>
        <w:rPr>
          <w:spacing w:val="28"/>
          <w:vertAlign w:val="baseline"/>
        </w:rPr>
        <w:t> </w:t>
      </w:r>
      <w:r>
        <w:rPr>
          <w:vertAlign w:val="baseline"/>
        </w:rPr>
        <w:t>which apparently pleases</w:t>
      </w:r>
      <w:r>
        <w:rPr>
          <w:spacing w:val="26"/>
          <w:vertAlign w:val="baseline"/>
        </w:rPr>
        <w:t> </w:t>
      </w:r>
      <w:r>
        <w:rPr>
          <w:vertAlign w:val="baseline"/>
        </w:rPr>
        <w:t>Cleopatra. The</w:t>
      </w:r>
      <w:r>
        <w:rPr>
          <w:spacing w:val="27"/>
          <w:vertAlign w:val="baseline"/>
        </w:rPr>
        <w:t> </w:t>
      </w:r>
      <w:r>
        <w:rPr>
          <w:vertAlign w:val="baseline"/>
        </w:rPr>
        <w:t>interview ends</w:t>
      </w:r>
      <w:r>
        <w:rPr>
          <w:spacing w:val="26"/>
          <w:vertAlign w:val="baseline"/>
        </w:rPr>
        <w:t> </w:t>
      </w:r>
      <w:r>
        <w:rPr>
          <w:vertAlign w:val="baseline"/>
        </w:rPr>
        <w:t>with</w:t>
      </w:r>
    </w:p>
    <w:p>
      <w:pPr>
        <w:pStyle w:val="BodyText"/>
        <w:ind w:left="0"/>
      </w:pPr>
    </w:p>
    <w:p>
      <w:pPr>
        <w:pStyle w:val="BodyText"/>
        <w:spacing w:before="84"/>
        <w:ind w:left="0"/>
      </w:pPr>
      <w:r>
        <w:rPr/>
        <mc:AlternateContent>
          <mc:Choice Requires="wps">
            <w:drawing>
              <wp:anchor distT="0" distB="0" distL="0" distR="0" allowOverlap="1" layoutInCell="1" locked="0" behindDoc="1" simplePos="0" relativeHeight="487610880">
                <wp:simplePos x="0" y="0"/>
                <wp:positionH relativeFrom="page">
                  <wp:posOffset>2057400</wp:posOffset>
                </wp:positionH>
                <wp:positionV relativeFrom="paragraph">
                  <wp:posOffset>215078</wp:posOffset>
                </wp:positionV>
                <wp:extent cx="3657600" cy="12700"/>
                <wp:effectExtent l="0" t="0" r="0" b="0"/>
                <wp:wrapTopAndBottom/>
                <wp:docPr id="141" name="Graphic 141"/>
                <wp:cNvGraphicFramePr>
                  <a:graphicFrameLocks/>
                </wp:cNvGraphicFramePr>
                <a:graphic>
                  <a:graphicData uri="http://schemas.microsoft.com/office/word/2010/wordprocessingShape">
                    <wps:wsp>
                      <wps:cNvPr id="141" name="Graphic 141"/>
                      <wps:cNvSpPr/>
                      <wps:spPr>
                        <a:xfrm>
                          <a:off x="0" y="0"/>
                          <a:ext cx="3657600" cy="12700"/>
                        </a:xfrm>
                        <a:custGeom>
                          <a:avLst/>
                          <a:gdLst/>
                          <a:ahLst/>
                          <a:cxnLst/>
                          <a:rect l="l" t="t" r="r" b="b"/>
                          <a:pathLst>
                            <a:path w="3657600" h="12700">
                              <a:moveTo>
                                <a:pt x="0" y="0"/>
                              </a:moveTo>
                              <a:lnTo>
                                <a:pt x="3657600" y="0"/>
                              </a:lnTo>
                              <a:lnTo>
                                <a:pt x="3657600" y="12192"/>
                              </a:lnTo>
                              <a:lnTo>
                                <a:pt x="0" y="12192"/>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6.935354pt;width:288.000009pt;height:.960022pt;mso-position-horizontal-relative:page;mso-position-vertical-relative:paragraph;z-index:-15705600;mso-wrap-distance-left:0;mso-wrap-distance-right:0" id="docshape137" filled="true" fillcolor="#000000" stroked="false">
                <v:fill type="solid"/>
                <w10:wrap type="topAndBottom"/>
              </v:rect>
            </w:pict>
          </mc:Fallback>
        </mc:AlternateContent>
      </w:r>
    </w:p>
    <w:p>
      <w:pPr>
        <w:spacing w:line="249" w:lineRule="auto" w:before="62"/>
        <w:ind w:left="1440" w:right="1438" w:firstLine="0"/>
        <w:jc w:val="both"/>
        <w:rPr>
          <w:sz w:val="18"/>
        </w:rPr>
      </w:pPr>
      <w:r>
        <w:rPr>
          <w:sz w:val="18"/>
        </w:rPr>
        <w:t>From</w:t>
      </w:r>
      <w:r>
        <w:rPr>
          <w:spacing w:val="-12"/>
          <w:sz w:val="18"/>
        </w:rPr>
        <w:t> </w:t>
      </w:r>
      <w:r>
        <w:rPr>
          <w:sz w:val="18"/>
        </w:rPr>
        <w:t>the</w:t>
      </w:r>
      <w:r>
        <w:rPr>
          <w:spacing w:val="-11"/>
          <w:sz w:val="18"/>
        </w:rPr>
        <w:t> </w:t>
      </w:r>
      <w:r>
        <w:rPr>
          <w:sz w:val="18"/>
        </w:rPr>
        <w:t>fact</w:t>
      </w:r>
      <w:r>
        <w:rPr>
          <w:spacing w:val="-10"/>
          <w:sz w:val="18"/>
        </w:rPr>
        <w:t> </w:t>
      </w:r>
      <w:r>
        <w:rPr>
          <w:sz w:val="18"/>
        </w:rPr>
        <w:t>that</w:t>
      </w:r>
      <w:r>
        <w:rPr>
          <w:spacing w:val="-9"/>
          <w:sz w:val="18"/>
        </w:rPr>
        <w:t> </w:t>
      </w:r>
      <w:r>
        <w:rPr>
          <w:sz w:val="18"/>
        </w:rPr>
        <w:t>she</w:t>
      </w:r>
      <w:r>
        <w:rPr>
          <w:spacing w:val="-9"/>
          <w:sz w:val="18"/>
        </w:rPr>
        <w:t> </w:t>
      </w:r>
      <w:r>
        <w:rPr>
          <w:sz w:val="18"/>
        </w:rPr>
        <w:t>could</w:t>
      </w:r>
      <w:r>
        <w:rPr>
          <w:spacing w:val="-9"/>
          <w:sz w:val="18"/>
        </w:rPr>
        <w:t> </w:t>
      </w:r>
      <w:r>
        <w:rPr>
          <w:sz w:val="18"/>
        </w:rPr>
        <w:t>have</w:t>
      </w:r>
      <w:r>
        <w:rPr>
          <w:spacing w:val="-11"/>
          <w:sz w:val="18"/>
        </w:rPr>
        <w:t> </w:t>
      </w:r>
      <w:r>
        <w:rPr>
          <w:sz w:val="18"/>
        </w:rPr>
        <w:t>been</w:t>
      </w:r>
      <w:r>
        <w:rPr>
          <w:spacing w:val="-9"/>
          <w:sz w:val="18"/>
        </w:rPr>
        <w:t> </w:t>
      </w:r>
      <w:r>
        <w:rPr>
          <w:sz w:val="18"/>
        </w:rPr>
        <w:t>carried</w:t>
      </w:r>
      <w:r>
        <w:rPr>
          <w:spacing w:val="-9"/>
          <w:sz w:val="18"/>
        </w:rPr>
        <w:t> </w:t>
      </w:r>
      <w:r>
        <w:rPr>
          <w:sz w:val="18"/>
        </w:rPr>
        <w:t>in</w:t>
      </w:r>
      <w:r>
        <w:rPr>
          <w:spacing w:val="-7"/>
          <w:sz w:val="18"/>
        </w:rPr>
        <w:t> </w:t>
      </w:r>
      <w:r>
        <w:rPr>
          <w:sz w:val="18"/>
        </w:rPr>
        <w:t>a</w:t>
      </w:r>
      <w:r>
        <w:rPr>
          <w:spacing w:val="-11"/>
          <w:sz w:val="18"/>
        </w:rPr>
        <w:t> </w:t>
      </w:r>
      <w:r>
        <w:rPr>
          <w:sz w:val="18"/>
        </w:rPr>
        <w:t>sack,</w:t>
      </w:r>
      <w:r>
        <w:rPr>
          <w:spacing w:val="-9"/>
          <w:sz w:val="18"/>
        </w:rPr>
        <w:t> </w:t>
      </w:r>
      <w:r>
        <w:rPr>
          <w:sz w:val="18"/>
        </w:rPr>
        <w:t>Guy</w:t>
      </w:r>
      <w:r>
        <w:rPr>
          <w:spacing w:val="-12"/>
          <w:sz w:val="18"/>
        </w:rPr>
        <w:t> </w:t>
      </w:r>
      <w:r>
        <w:rPr>
          <w:sz w:val="18"/>
        </w:rPr>
        <w:t>Weill</w:t>
      </w:r>
      <w:r>
        <w:rPr>
          <w:spacing w:val="-8"/>
          <w:sz w:val="18"/>
        </w:rPr>
        <w:t> </w:t>
      </w:r>
      <w:r>
        <w:rPr>
          <w:sz w:val="18"/>
        </w:rPr>
        <w:t>Goudchaux’s assessment of Cleopatra’s aesthetics is quite interesting: “Numismatists know that the coins never portray Cleopatra as a whole figure. We may suppose that she was petite from the tale that in 48 BC Apollodorous Siculus, the queen’s </w:t>
      </w:r>
      <w:r>
        <w:rPr>
          <w:i/>
          <w:sz w:val="18"/>
        </w:rPr>
        <w:t>philos</w:t>
      </w:r>
      <w:r>
        <w:rPr>
          <w:i/>
          <w:spacing w:val="-6"/>
          <w:sz w:val="18"/>
        </w:rPr>
        <w:t> </w:t>
      </w:r>
      <w:r>
        <w:rPr>
          <w:sz w:val="18"/>
        </w:rPr>
        <w:t>(high-ranking</w:t>
      </w:r>
      <w:r>
        <w:rPr>
          <w:spacing w:val="-9"/>
          <w:sz w:val="18"/>
        </w:rPr>
        <w:t> </w:t>
      </w:r>
      <w:r>
        <w:rPr>
          <w:sz w:val="18"/>
        </w:rPr>
        <w:t>confidant),</w:t>
      </w:r>
      <w:r>
        <w:rPr>
          <w:spacing w:val="-7"/>
          <w:sz w:val="18"/>
        </w:rPr>
        <w:t> </w:t>
      </w:r>
      <w:r>
        <w:rPr>
          <w:sz w:val="18"/>
        </w:rPr>
        <w:t>managed</w:t>
      </w:r>
      <w:r>
        <w:rPr>
          <w:spacing w:val="-6"/>
          <w:sz w:val="18"/>
        </w:rPr>
        <w:t> </w:t>
      </w:r>
      <w:r>
        <w:rPr>
          <w:sz w:val="18"/>
        </w:rPr>
        <w:t>to</w:t>
      </w:r>
      <w:r>
        <w:rPr>
          <w:spacing w:val="-6"/>
          <w:sz w:val="18"/>
        </w:rPr>
        <w:t> </w:t>
      </w:r>
      <w:r>
        <w:rPr>
          <w:sz w:val="18"/>
        </w:rPr>
        <w:t>carry</w:t>
      </w:r>
      <w:r>
        <w:rPr>
          <w:spacing w:val="-11"/>
          <w:sz w:val="18"/>
        </w:rPr>
        <w:t> </w:t>
      </w:r>
      <w:r>
        <w:rPr>
          <w:sz w:val="18"/>
        </w:rPr>
        <w:t>her</w:t>
      </w:r>
      <w:r>
        <w:rPr>
          <w:spacing w:val="-7"/>
          <w:sz w:val="18"/>
        </w:rPr>
        <w:t> </w:t>
      </w:r>
      <w:r>
        <w:rPr>
          <w:sz w:val="18"/>
        </w:rPr>
        <w:t>wrapped</w:t>
      </w:r>
      <w:r>
        <w:rPr>
          <w:spacing w:val="-7"/>
          <w:sz w:val="18"/>
        </w:rPr>
        <w:t> </w:t>
      </w:r>
      <w:r>
        <w:rPr>
          <w:sz w:val="18"/>
        </w:rPr>
        <w:t>in</w:t>
      </w:r>
      <w:r>
        <w:rPr>
          <w:spacing w:val="-5"/>
          <w:sz w:val="18"/>
        </w:rPr>
        <w:t> </w:t>
      </w:r>
      <w:r>
        <w:rPr>
          <w:sz w:val="18"/>
        </w:rPr>
        <w:t>a</w:t>
      </w:r>
      <w:r>
        <w:rPr>
          <w:spacing w:val="-9"/>
          <w:sz w:val="18"/>
        </w:rPr>
        <w:t> </w:t>
      </w:r>
      <w:r>
        <w:rPr>
          <w:sz w:val="18"/>
        </w:rPr>
        <w:t>bedroll</w:t>
      </w:r>
      <w:r>
        <w:rPr>
          <w:spacing w:val="-7"/>
          <w:sz w:val="18"/>
        </w:rPr>
        <w:t> </w:t>
      </w:r>
      <w:r>
        <w:rPr>
          <w:sz w:val="18"/>
        </w:rPr>
        <w:t>from a boat up to the room of the palace where Caesar had his general headquarters. She surely had to be a fine healthy woman to give birth to four children (three boys and one girl). Finally, we should note that from Cicero’s correspondence, censured by Octavian, we can infer that the queen had a miscarriage in the month following Caesar’s death.</w:t>
      </w:r>
    </w:p>
    <w:p>
      <w:pPr>
        <w:spacing w:line="249" w:lineRule="auto" w:before="65"/>
        <w:ind w:left="1440" w:right="1439" w:firstLine="0"/>
        <w:jc w:val="both"/>
        <w:rPr>
          <w:sz w:val="18"/>
        </w:rPr>
      </w:pPr>
      <w:r>
        <w:rPr>
          <w:sz w:val="18"/>
        </w:rPr>
        <w:t>“Many know the remark of Pascal, who also had quite a prominent nose: ‘If Cleopatra’s nose were shorter, the shape of the world would have been different” (Guy Weill Goudchaux, “Was Cleopatra beautiful?: The conflicting answers of numismatics,”</w:t>
      </w:r>
      <w:r>
        <w:rPr>
          <w:spacing w:val="40"/>
          <w:sz w:val="18"/>
        </w:rPr>
        <w:t> </w:t>
      </w:r>
      <w:r>
        <w:rPr>
          <w:sz w:val="18"/>
        </w:rPr>
        <w:t>in</w:t>
      </w:r>
      <w:r>
        <w:rPr>
          <w:spacing w:val="40"/>
          <w:sz w:val="18"/>
        </w:rPr>
        <w:t> </w:t>
      </w:r>
      <w:r>
        <w:rPr>
          <w:i/>
          <w:sz w:val="18"/>
        </w:rPr>
        <w:t>Cleopatra</w:t>
      </w:r>
      <w:r>
        <w:rPr>
          <w:i/>
          <w:spacing w:val="40"/>
          <w:sz w:val="18"/>
        </w:rPr>
        <w:t> </w:t>
      </w:r>
      <w:r>
        <w:rPr>
          <w:i/>
          <w:sz w:val="18"/>
        </w:rPr>
        <w:t>of</w:t>
      </w:r>
      <w:r>
        <w:rPr>
          <w:i/>
          <w:spacing w:val="40"/>
          <w:sz w:val="18"/>
        </w:rPr>
        <w:t> </w:t>
      </w:r>
      <w:r>
        <w:rPr>
          <w:i/>
          <w:sz w:val="18"/>
        </w:rPr>
        <w:t>Egypt,</w:t>
      </w:r>
      <w:r>
        <w:rPr>
          <w:i/>
          <w:spacing w:val="40"/>
          <w:sz w:val="18"/>
        </w:rPr>
        <w:t> </w:t>
      </w:r>
      <w:r>
        <w:rPr>
          <w:sz w:val="18"/>
        </w:rPr>
        <w:t>p.</w:t>
      </w:r>
      <w:r>
        <w:rPr>
          <w:spacing w:val="40"/>
          <w:sz w:val="18"/>
        </w:rPr>
        <w:t> </w:t>
      </w:r>
      <w:r>
        <w:rPr>
          <w:sz w:val="18"/>
        </w:rPr>
        <w:t>214.</w:t>
      </w:r>
    </w:p>
    <w:p>
      <w:pPr>
        <w:spacing w:after="0" w:line="249" w:lineRule="auto"/>
        <w:jc w:val="both"/>
        <w:rPr>
          <w:sz w:val="18"/>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11392">
                <wp:simplePos x="0" y="0"/>
                <wp:positionH relativeFrom="page">
                  <wp:posOffset>2057400</wp:posOffset>
                </wp:positionH>
                <wp:positionV relativeFrom="paragraph">
                  <wp:posOffset>162604</wp:posOffset>
                </wp:positionV>
                <wp:extent cx="3657600" cy="12700"/>
                <wp:effectExtent l="0" t="0" r="0" b="0"/>
                <wp:wrapTopAndBottom/>
                <wp:docPr id="142" name="Graphic 142"/>
                <wp:cNvGraphicFramePr>
                  <a:graphicFrameLocks/>
                </wp:cNvGraphicFramePr>
                <a:graphic>
                  <a:graphicData uri="http://schemas.microsoft.com/office/word/2010/wordprocessingShape">
                    <wps:wsp>
                      <wps:cNvPr id="142" name="Graphic 14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705088;mso-wrap-distance-left:0;mso-wrap-distance-right:0" id="docshape138" filled="true" fillcolor="#000000" stroked="false">
                <v:fill type="solid"/>
                <w10:wrap type="topAndBottom"/>
              </v:rect>
            </w:pict>
          </mc:Fallback>
        </mc:AlternateContent>
      </w:r>
      <w:r>
        <w:rPr>
          <w:rFonts w:ascii="Verdana"/>
          <w:spacing w:val="-10"/>
          <w:sz w:val="18"/>
        </w:rPr>
        <w:t>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2"/>
        <w:jc w:val="both"/>
      </w:pPr>
      <w:r>
        <w:rPr/>
        <w:t>further satisfaction for Cleopatra as Octavia’s face is “Round, even to faultiness” (3.3.30), and her hair is “Brown” (3.3.32).</w:t>
      </w:r>
    </w:p>
    <w:p>
      <w:pPr>
        <w:pStyle w:val="BodyText"/>
        <w:ind w:left="0"/>
      </w:pPr>
    </w:p>
    <w:p>
      <w:pPr>
        <w:pStyle w:val="BodyText"/>
        <w:ind w:left="0"/>
      </w:pPr>
    </w:p>
    <w:p>
      <w:pPr>
        <w:pStyle w:val="BodyText"/>
        <w:ind w:left="0"/>
      </w:pPr>
    </w:p>
    <w:p>
      <w:pPr>
        <w:pStyle w:val="BodyText"/>
        <w:ind w:left="0"/>
      </w:pPr>
    </w:p>
    <w:p>
      <w:pPr>
        <w:pStyle w:val="BodyText"/>
        <w:spacing w:before="80"/>
        <w:ind w:left="0"/>
      </w:pPr>
      <w:r>
        <w:rPr/>
        <mc:AlternateContent>
          <mc:Choice Requires="wps">
            <w:drawing>
              <wp:anchor distT="0" distB="0" distL="0" distR="0" allowOverlap="1" layoutInCell="1" locked="0" behindDoc="1" simplePos="0" relativeHeight="487611904">
                <wp:simplePos x="0" y="0"/>
                <wp:positionH relativeFrom="page">
                  <wp:posOffset>2057400</wp:posOffset>
                </wp:positionH>
                <wp:positionV relativeFrom="paragraph">
                  <wp:posOffset>212419</wp:posOffset>
                </wp:positionV>
                <wp:extent cx="3649979" cy="12700"/>
                <wp:effectExtent l="0" t="0" r="0" b="0"/>
                <wp:wrapTopAndBottom/>
                <wp:docPr id="143" name="Graphic 143"/>
                <wp:cNvGraphicFramePr>
                  <a:graphicFrameLocks/>
                </wp:cNvGraphicFramePr>
                <a:graphic>
                  <a:graphicData uri="http://schemas.microsoft.com/office/word/2010/wordprocessingShape">
                    <wps:wsp>
                      <wps:cNvPr id="143" name="Graphic 143"/>
                      <wps:cNvSpPr/>
                      <wps:spPr>
                        <a:xfrm>
                          <a:off x="0" y="0"/>
                          <a:ext cx="3649979" cy="12700"/>
                        </a:xfrm>
                        <a:custGeom>
                          <a:avLst/>
                          <a:gdLst/>
                          <a:ahLst/>
                          <a:cxnLst/>
                          <a:rect l="l" t="t" r="r" b="b"/>
                          <a:pathLst>
                            <a:path w="3649979" h="12700">
                              <a:moveTo>
                                <a:pt x="0" y="0"/>
                              </a:moveTo>
                              <a:lnTo>
                                <a:pt x="3649980" y="0"/>
                              </a:lnTo>
                              <a:lnTo>
                                <a:pt x="364998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6.725935pt;width:287.400018pt;height:.959999pt;mso-position-horizontal-relative:page;mso-position-vertical-relative:paragraph;z-index:-15704576;mso-wrap-distance-left:0;mso-wrap-distance-right:0" id="docshape139" filled="true" fillcolor="#000000" stroked="false">
                <v:fill type="solid"/>
                <w10:wrap type="topAndBottom"/>
              </v:rect>
            </w:pict>
          </mc:Fallback>
        </mc:AlternateContent>
      </w:r>
    </w:p>
    <w:p>
      <w:pPr>
        <w:spacing w:line="266" w:lineRule="auto" w:before="168"/>
        <w:ind w:left="1440" w:right="1439" w:firstLine="0"/>
        <w:jc w:val="both"/>
        <w:rPr>
          <w:sz w:val="18"/>
        </w:rPr>
      </w:pPr>
      <w:r>
        <w:rPr>
          <w:sz w:val="18"/>
        </w:rPr>
        <w:t>Mary</w:t>
      </w:r>
      <w:r>
        <w:rPr>
          <w:spacing w:val="-2"/>
          <w:sz w:val="18"/>
        </w:rPr>
        <w:t> </w:t>
      </w:r>
      <w:r>
        <w:rPr>
          <w:sz w:val="18"/>
        </w:rPr>
        <w:t>Hamer, in her essay, “The myth of Cleopatra since the Renaissance,” has found, though a</w:t>
      </w:r>
      <w:r>
        <w:rPr>
          <w:spacing w:val="-1"/>
          <w:sz w:val="18"/>
        </w:rPr>
        <w:t> </w:t>
      </w:r>
      <w:r>
        <w:rPr>
          <w:sz w:val="18"/>
        </w:rPr>
        <w:t>little far-flung,</w:t>
      </w:r>
      <w:r>
        <w:rPr>
          <w:spacing w:val="-1"/>
          <w:sz w:val="18"/>
        </w:rPr>
        <w:t> </w:t>
      </w:r>
      <w:r>
        <w:rPr>
          <w:sz w:val="18"/>
        </w:rPr>
        <w:t>the element of</w:t>
      </w:r>
      <w:r>
        <w:rPr>
          <w:spacing w:val="-2"/>
          <w:sz w:val="18"/>
        </w:rPr>
        <w:t> </w:t>
      </w:r>
      <w:r>
        <w:rPr>
          <w:sz w:val="18"/>
        </w:rPr>
        <w:t>women’s</w:t>
      </w:r>
      <w:r>
        <w:rPr>
          <w:spacing w:val="-1"/>
          <w:sz w:val="18"/>
        </w:rPr>
        <w:t> </w:t>
      </w:r>
      <w:r>
        <w:rPr>
          <w:sz w:val="18"/>
        </w:rPr>
        <w:t>declaration to be</w:t>
      </w:r>
      <w:r>
        <w:rPr>
          <w:spacing w:val="-3"/>
          <w:sz w:val="18"/>
        </w:rPr>
        <w:t> </w:t>
      </w:r>
      <w:r>
        <w:rPr>
          <w:sz w:val="18"/>
        </w:rPr>
        <w:t>at par with men in this act of Cleopatra. We quote the relevant passage from her</w:t>
      </w:r>
      <w:r>
        <w:rPr>
          <w:spacing w:val="40"/>
          <w:sz w:val="18"/>
        </w:rPr>
        <w:t> </w:t>
      </w:r>
      <w:r>
        <w:rPr>
          <w:sz w:val="18"/>
        </w:rPr>
        <w:t>essay: “It is toward the close of the nineteenth century, as some women began to get access to an education more like the one offered to men, that the relation between Caesar and Cleopatra began to move back into view, as though once the</w:t>
      </w:r>
      <w:r>
        <w:rPr>
          <w:spacing w:val="-3"/>
          <w:sz w:val="18"/>
        </w:rPr>
        <w:t> </w:t>
      </w:r>
      <w:r>
        <w:rPr>
          <w:sz w:val="18"/>
        </w:rPr>
        <w:t>structures</w:t>
      </w:r>
      <w:r>
        <w:rPr>
          <w:spacing w:val="-4"/>
          <w:sz w:val="18"/>
        </w:rPr>
        <w:t> </w:t>
      </w:r>
      <w:r>
        <w:rPr>
          <w:sz w:val="18"/>
        </w:rPr>
        <w:t>that underpinned</w:t>
      </w:r>
      <w:r>
        <w:rPr>
          <w:spacing w:val="-1"/>
          <w:sz w:val="18"/>
        </w:rPr>
        <w:t> </w:t>
      </w:r>
      <w:r>
        <w:rPr>
          <w:sz w:val="18"/>
        </w:rPr>
        <w:t>the</w:t>
      </w:r>
      <w:r>
        <w:rPr>
          <w:spacing w:val="-3"/>
          <w:sz w:val="18"/>
        </w:rPr>
        <w:t> </w:t>
      </w:r>
      <w:r>
        <w:rPr>
          <w:sz w:val="18"/>
        </w:rPr>
        <w:t>social</w:t>
      </w:r>
      <w:r>
        <w:rPr>
          <w:spacing w:val="-3"/>
          <w:sz w:val="18"/>
        </w:rPr>
        <w:t> </w:t>
      </w:r>
      <w:r>
        <w:rPr>
          <w:sz w:val="18"/>
        </w:rPr>
        <w:t>order</w:t>
      </w:r>
      <w:r>
        <w:rPr>
          <w:spacing w:val="-1"/>
          <w:sz w:val="18"/>
        </w:rPr>
        <w:t> </w:t>
      </w:r>
      <w:r>
        <w:rPr>
          <w:sz w:val="18"/>
        </w:rPr>
        <w:t>began</w:t>
      </w:r>
      <w:r>
        <w:rPr>
          <w:spacing w:val="-3"/>
          <w:sz w:val="18"/>
        </w:rPr>
        <w:t> </w:t>
      </w:r>
      <w:r>
        <w:rPr>
          <w:sz w:val="18"/>
        </w:rPr>
        <w:t>to shift,</w:t>
      </w:r>
      <w:r>
        <w:rPr>
          <w:spacing w:val="-3"/>
          <w:sz w:val="18"/>
        </w:rPr>
        <w:t> </w:t>
      </w:r>
      <w:r>
        <w:rPr>
          <w:sz w:val="18"/>
        </w:rPr>
        <w:t>new</w:t>
      </w:r>
      <w:r>
        <w:rPr>
          <w:spacing w:val="-3"/>
          <w:sz w:val="18"/>
        </w:rPr>
        <w:t> </w:t>
      </w:r>
      <w:r>
        <w:rPr>
          <w:sz w:val="18"/>
        </w:rPr>
        <w:t>images</w:t>
      </w:r>
      <w:r>
        <w:rPr>
          <w:spacing w:val="-2"/>
          <w:sz w:val="18"/>
        </w:rPr>
        <w:t> </w:t>
      </w:r>
      <w:r>
        <w:rPr>
          <w:sz w:val="18"/>
        </w:rPr>
        <w:t>were thrown up in the minds of artists. It was the story of the twenty-year-old Cleopatra who had herself smuggled into Caesar’s presence in a carpet that became a symbol of that relationship, as in the picture by Jean Gerome. The image</w:t>
      </w:r>
      <w:r>
        <w:rPr>
          <w:spacing w:val="-5"/>
          <w:sz w:val="18"/>
        </w:rPr>
        <w:t> </w:t>
      </w:r>
      <w:r>
        <w:rPr>
          <w:sz w:val="18"/>
        </w:rPr>
        <w:t>was</w:t>
      </w:r>
      <w:r>
        <w:rPr>
          <w:spacing w:val="-7"/>
          <w:sz w:val="18"/>
        </w:rPr>
        <w:t> </w:t>
      </w:r>
      <w:r>
        <w:rPr>
          <w:sz w:val="18"/>
        </w:rPr>
        <w:t>taken</w:t>
      </w:r>
      <w:r>
        <w:rPr>
          <w:spacing w:val="-5"/>
          <w:sz w:val="18"/>
        </w:rPr>
        <w:t> </w:t>
      </w:r>
      <w:r>
        <w:rPr>
          <w:sz w:val="18"/>
        </w:rPr>
        <w:t>up</w:t>
      </w:r>
      <w:r>
        <w:rPr>
          <w:spacing w:val="-4"/>
          <w:sz w:val="18"/>
        </w:rPr>
        <w:t> </w:t>
      </w:r>
      <w:r>
        <w:rPr>
          <w:sz w:val="18"/>
        </w:rPr>
        <w:t>by</w:t>
      </w:r>
      <w:r>
        <w:rPr>
          <w:spacing w:val="-9"/>
          <w:sz w:val="18"/>
        </w:rPr>
        <w:t> </w:t>
      </w:r>
      <w:r>
        <w:rPr>
          <w:sz w:val="18"/>
        </w:rPr>
        <w:t>George</w:t>
      </w:r>
      <w:r>
        <w:rPr>
          <w:spacing w:val="-5"/>
          <w:sz w:val="18"/>
        </w:rPr>
        <w:t> </w:t>
      </w:r>
      <w:r>
        <w:rPr>
          <w:sz w:val="18"/>
        </w:rPr>
        <w:t>Bernard</w:t>
      </w:r>
      <w:r>
        <w:rPr>
          <w:spacing w:val="-4"/>
          <w:sz w:val="18"/>
        </w:rPr>
        <w:t> </w:t>
      </w:r>
      <w:r>
        <w:rPr>
          <w:sz w:val="18"/>
        </w:rPr>
        <w:t>Shaw</w:t>
      </w:r>
      <w:r>
        <w:rPr>
          <w:spacing w:val="-9"/>
          <w:sz w:val="18"/>
        </w:rPr>
        <w:t> </w:t>
      </w:r>
      <w:r>
        <w:rPr>
          <w:sz w:val="18"/>
        </w:rPr>
        <w:t>in</w:t>
      </w:r>
      <w:r>
        <w:rPr>
          <w:spacing w:val="-4"/>
          <w:sz w:val="18"/>
        </w:rPr>
        <w:t> </w:t>
      </w:r>
      <w:r>
        <w:rPr>
          <w:sz w:val="18"/>
        </w:rPr>
        <w:t>his</w:t>
      </w:r>
      <w:r>
        <w:rPr>
          <w:spacing w:val="-5"/>
          <w:sz w:val="18"/>
        </w:rPr>
        <w:t> </w:t>
      </w:r>
      <w:r>
        <w:rPr>
          <w:sz w:val="18"/>
        </w:rPr>
        <w:t>play</w:t>
      </w:r>
      <w:r>
        <w:rPr>
          <w:spacing w:val="-6"/>
          <w:sz w:val="18"/>
        </w:rPr>
        <w:t> </w:t>
      </w:r>
      <w:r>
        <w:rPr>
          <w:i/>
          <w:sz w:val="18"/>
        </w:rPr>
        <w:t>Caesar</w:t>
      </w:r>
      <w:r>
        <w:rPr>
          <w:i/>
          <w:spacing w:val="-5"/>
          <w:sz w:val="18"/>
        </w:rPr>
        <w:t> </w:t>
      </w:r>
      <w:r>
        <w:rPr>
          <w:i/>
          <w:sz w:val="18"/>
        </w:rPr>
        <w:t>and</w:t>
      </w:r>
      <w:r>
        <w:rPr>
          <w:i/>
          <w:spacing w:val="-4"/>
          <w:sz w:val="18"/>
        </w:rPr>
        <w:t> </w:t>
      </w:r>
      <w:r>
        <w:rPr>
          <w:i/>
          <w:sz w:val="18"/>
        </w:rPr>
        <w:t>Cleopatra, </w:t>
      </w:r>
      <w:r>
        <w:rPr>
          <w:sz w:val="18"/>
        </w:rPr>
        <w:t>and by Cecil B. DeMille in his movie of 1934. In a world in which young women were increasingly pressing to share the lives lived by men outside the home the story of</w:t>
      </w:r>
      <w:r>
        <w:rPr>
          <w:spacing w:val="-1"/>
          <w:sz w:val="18"/>
        </w:rPr>
        <w:t> </w:t>
      </w:r>
      <w:r>
        <w:rPr>
          <w:sz w:val="18"/>
        </w:rPr>
        <w:t>the bold girl who forces her way into the world of men came as</w:t>
      </w:r>
      <w:r>
        <w:rPr>
          <w:spacing w:val="-1"/>
          <w:sz w:val="18"/>
        </w:rPr>
        <w:t> </w:t>
      </w:r>
      <w:r>
        <w:rPr>
          <w:sz w:val="18"/>
        </w:rPr>
        <w:t>a reminder</w:t>
      </w:r>
      <w:r>
        <w:rPr>
          <w:spacing w:val="-1"/>
          <w:sz w:val="18"/>
        </w:rPr>
        <w:t> </w:t>
      </w:r>
      <w:r>
        <w:rPr>
          <w:sz w:val="18"/>
        </w:rPr>
        <w:t>that Octavian’s disdainful withdrawal might not be</w:t>
      </w:r>
      <w:r>
        <w:rPr>
          <w:spacing w:val="-1"/>
          <w:sz w:val="18"/>
        </w:rPr>
        <w:t> </w:t>
      </w:r>
      <w:r>
        <w:rPr>
          <w:sz w:val="18"/>
        </w:rPr>
        <w:t>the last word: Caesar</w:t>
      </w:r>
      <w:r>
        <w:rPr>
          <w:spacing w:val="-2"/>
          <w:sz w:val="18"/>
        </w:rPr>
        <w:t> </w:t>
      </w:r>
      <w:r>
        <w:rPr>
          <w:sz w:val="18"/>
        </w:rPr>
        <w:t>may</w:t>
      </w:r>
      <w:r>
        <w:rPr>
          <w:spacing w:val="-5"/>
          <w:sz w:val="18"/>
        </w:rPr>
        <w:t> </w:t>
      </w:r>
      <w:r>
        <w:rPr>
          <w:sz w:val="18"/>
        </w:rPr>
        <w:t>register</w:t>
      </w:r>
      <w:r>
        <w:rPr>
          <w:spacing w:val="-2"/>
          <w:sz w:val="18"/>
        </w:rPr>
        <w:t> </w:t>
      </w:r>
      <w:r>
        <w:rPr>
          <w:sz w:val="18"/>
        </w:rPr>
        <w:t>surprise</w:t>
      </w:r>
      <w:r>
        <w:rPr>
          <w:spacing w:val="-2"/>
          <w:sz w:val="18"/>
        </w:rPr>
        <w:t> </w:t>
      </w:r>
      <w:r>
        <w:rPr>
          <w:sz w:val="18"/>
        </w:rPr>
        <w:t>and alarm</w:t>
      </w:r>
      <w:r>
        <w:rPr>
          <w:spacing w:val="-3"/>
          <w:sz w:val="18"/>
        </w:rPr>
        <w:t> </w:t>
      </w:r>
      <w:r>
        <w:rPr>
          <w:sz w:val="18"/>
        </w:rPr>
        <w:t>at</w:t>
      </w:r>
      <w:r>
        <w:rPr>
          <w:spacing w:val="-4"/>
          <w:sz w:val="18"/>
        </w:rPr>
        <w:t> </w:t>
      </w:r>
      <w:r>
        <w:rPr>
          <w:sz w:val="18"/>
        </w:rPr>
        <w:t>the</w:t>
      </w:r>
      <w:r>
        <w:rPr>
          <w:spacing w:val="-2"/>
          <w:sz w:val="18"/>
        </w:rPr>
        <w:t> </w:t>
      </w:r>
      <w:r>
        <w:rPr>
          <w:sz w:val="18"/>
        </w:rPr>
        <w:t>arrival</w:t>
      </w:r>
      <w:r>
        <w:rPr>
          <w:spacing w:val="-1"/>
          <w:sz w:val="18"/>
        </w:rPr>
        <w:t> </w:t>
      </w:r>
      <w:r>
        <w:rPr>
          <w:sz w:val="18"/>
        </w:rPr>
        <w:t>of</w:t>
      </w:r>
      <w:r>
        <w:rPr>
          <w:spacing w:val="-2"/>
          <w:sz w:val="18"/>
        </w:rPr>
        <w:t> </w:t>
      </w:r>
      <w:r>
        <w:rPr>
          <w:sz w:val="18"/>
        </w:rPr>
        <w:t>Cleopatra, in her</w:t>
      </w:r>
      <w:r>
        <w:rPr>
          <w:spacing w:val="-2"/>
          <w:sz w:val="18"/>
        </w:rPr>
        <w:t> </w:t>
      </w:r>
      <w:r>
        <w:rPr>
          <w:sz w:val="18"/>
        </w:rPr>
        <w:t>refusal to be left out and in her courage.” (Mary Hamer, “The myth of Cleopatra since the Renaissance,” in</w:t>
      </w:r>
      <w:r>
        <w:rPr>
          <w:spacing w:val="40"/>
          <w:sz w:val="18"/>
        </w:rPr>
        <w:t> </w:t>
      </w:r>
      <w:r>
        <w:rPr>
          <w:i/>
          <w:sz w:val="18"/>
        </w:rPr>
        <w:t>Cleopatra of Egypt, </w:t>
      </w:r>
      <w:r>
        <w:rPr>
          <w:sz w:val="18"/>
        </w:rPr>
        <w:t>p. 309).</w:t>
      </w:r>
    </w:p>
    <w:p>
      <w:pPr>
        <w:spacing w:line="266" w:lineRule="auto" w:before="62"/>
        <w:ind w:left="1440" w:right="1437" w:firstLine="0"/>
        <w:jc w:val="both"/>
        <w:rPr>
          <w:sz w:val="18"/>
        </w:rPr>
      </w:pPr>
      <w:r>
        <w:rPr>
          <w:sz w:val="18"/>
          <w:vertAlign w:val="superscript"/>
        </w:rPr>
        <w:t>9</w:t>
      </w:r>
      <w:r>
        <w:rPr>
          <w:sz w:val="18"/>
          <w:vertAlign w:val="baseline"/>
        </w:rPr>
        <w:t> Harold Fisch, “’Antony and Cleopatra’: The Limits of Mythology,” </w:t>
      </w:r>
      <w:r>
        <w:rPr>
          <w:i/>
          <w:sz w:val="18"/>
          <w:vertAlign w:val="baseline"/>
        </w:rPr>
        <w:t>Shakespeare</w:t>
      </w:r>
      <w:r>
        <w:rPr>
          <w:i/>
          <w:spacing w:val="40"/>
          <w:sz w:val="18"/>
          <w:vertAlign w:val="baseline"/>
        </w:rPr>
        <w:t> </w:t>
      </w:r>
      <w:r>
        <w:rPr>
          <w:i/>
          <w:sz w:val="18"/>
          <w:vertAlign w:val="baseline"/>
        </w:rPr>
        <w:t>Survey,</w:t>
      </w:r>
      <w:r>
        <w:rPr>
          <w:i/>
          <w:spacing w:val="40"/>
          <w:sz w:val="18"/>
          <w:vertAlign w:val="baseline"/>
        </w:rPr>
        <w:t> </w:t>
      </w:r>
      <w:r>
        <w:rPr>
          <w:sz w:val="18"/>
          <w:vertAlign w:val="baseline"/>
        </w:rPr>
        <w:t>23</w:t>
      </w:r>
      <w:r>
        <w:rPr>
          <w:spacing w:val="40"/>
          <w:sz w:val="18"/>
          <w:vertAlign w:val="baseline"/>
        </w:rPr>
        <w:t> </w:t>
      </w:r>
      <w:r>
        <w:rPr>
          <w:sz w:val="18"/>
          <w:vertAlign w:val="baseline"/>
        </w:rPr>
        <w:t>(1970),</w:t>
      </w:r>
      <w:r>
        <w:rPr>
          <w:spacing w:val="40"/>
          <w:sz w:val="18"/>
          <w:vertAlign w:val="baseline"/>
        </w:rPr>
        <w:t> </w:t>
      </w:r>
      <w:r>
        <w:rPr>
          <w:sz w:val="18"/>
          <w:vertAlign w:val="baseline"/>
        </w:rPr>
        <w:t>p.</w:t>
      </w:r>
      <w:r>
        <w:rPr>
          <w:spacing w:val="40"/>
          <w:sz w:val="18"/>
          <w:vertAlign w:val="baseline"/>
        </w:rPr>
        <w:t> </w:t>
      </w:r>
      <w:r>
        <w:rPr>
          <w:sz w:val="18"/>
          <w:vertAlign w:val="baseline"/>
        </w:rPr>
        <w:t>60.</w:t>
      </w:r>
    </w:p>
    <w:p>
      <w:pPr>
        <w:spacing w:line="266" w:lineRule="auto" w:before="59"/>
        <w:ind w:left="1440" w:right="1440" w:firstLine="0"/>
        <w:jc w:val="both"/>
        <w:rPr>
          <w:sz w:val="18"/>
        </w:rPr>
      </w:pPr>
      <w:r>
        <w:rPr>
          <w:sz w:val="18"/>
          <w:vertAlign w:val="superscript"/>
        </w:rPr>
        <w:t>10</w:t>
      </w:r>
      <w:r>
        <w:rPr>
          <w:spacing w:val="-1"/>
          <w:sz w:val="18"/>
          <w:vertAlign w:val="baseline"/>
        </w:rPr>
        <w:t> </w:t>
      </w:r>
      <w:r>
        <w:rPr>
          <w:sz w:val="18"/>
          <w:vertAlign w:val="baseline"/>
        </w:rPr>
        <w:t>Traditionally,</w:t>
      </w:r>
      <w:r>
        <w:rPr>
          <w:spacing w:val="-2"/>
          <w:sz w:val="18"/>
          <w:vertAlign w:val="baseline"/>
        </w:rPr>
        <w:t> </w:t>
      </w:r>
      <w:r>
        <w:rPr>
          <w:sz w:val="18"/>
          <w:vertAlign w:val="baseline"/>
        </w:rPr>
        <w:t>height has</w:t>
      </w:r>
      <w:r>
        <w:rPr>
          <w:spacing w:val="-4"/>
          <w:sz w:val="18"/>
          <w:vertAlign w:val="baseline"/>
        </w:rPr>
        <w:t> </w:t>
      </w:r>
      <w:r>
        <w:rPr>
          <w:sz w:val="18"/>
          <w:vertAlign w:val="baseline"/>
        </w:rPr>
        <w:t>been</w:t>
      </w:r>
      <w:r>
        <w:rPr>
          <w:spacing w:val="-1"/>
          <w:sz w:val="18"/>
          <w:vertAlign w:val="baseline"/>
        </w:rPr>
        <w:t> </w:t>
      </w:r>
      <w:r>
        <w:rPr>
          <w:sz w:val="18"/>
          <w:vertAlign w:val="baseline"/>
        </w:rPr>
        <w:t>one</w:t>
      </w:r>
      <w:r>
        <w:rPr>
          <w:spacing w:val="-4"/>
          <w:sz w:val="18"/>
          <w:vertAlign w:val="baseline"/>
        </w:rPr>
        <w:t> </w:t>
      </w:r>
      <w:r>
        <w:rPr>
          <w:sz w:val="18"/>
          <w:vertAlign w:val="baseline"/>
        </w:rPr>
        <w:t>of</w:t>
      </w:r>
      <w:r>
        <w:rPr>
          <w:spacing w:val="-3"/>
          <w:sz w:val="18"/>
          <w:vertAlign w:val="baseline"/>
        </w:rPr>
        <w:t> </w:t>
      </w:r>
      <w:r>
        <w:rPr>
          <w:sz w:val="18"/>
          <w:vertAlign w:val="baseline"/>
        </w:rPr>
        <w:t>the</w:t>
      </w:r>
      <w:r>
        <w:rPr>
          <w:spacing w:val="-2"/>
          <w:sz w:val="18"/>
          <w:vertAlign w:val="baseline"/>
        </w:rPr>
        <w:t> </w:t>
      </w:r>
      <w:r>
        <w:rPr>
          <w:sz w:val="18"/>
          <w:vertAlign w:val="baseline"/>
        </w:rPr>
        <w:t>criteria</w:t>
      </w:r>
      <w:r>
        <w:rPr>
          <w:spacing w:val="-4"/>
          <w:sz w:val="18"/>
          <w:vertAlign w:val="baseline"/>
        </w:rPr>
        <w:t> </w:t>
      </w:r>
      <w:r>
        <w:rPr>
          <w:sz w:val="18"/>
          <w:vertAlign w:val="baseline"/>
        </w:rPr>
        <w:t>in judging</w:t>
      </w:r>
      <w:r>
        <w:rPr>
          <w:spacing w:val="-4"/>
          <w:sz w:val="18"/>
          <w:vertAlign w:val="baseline"/>
        </w:rPr>
        <w:t> </w:t>
      </w:r>
      <w:r>
        <w:rPr>
          <w:sz w:val="18"/>
          <w:vertAlign w:val="baseline"/>
        </w:rPr>
        <w:t>human</w:t>
      </w:r>
      <w:r>
        <w:rPr>
          <w:spacing w:val="-1"/>
          <w:sz w:val="18"/>
          <w:vertAlign w:val="baseline"/>
        </w:rPr>
        <w:t> </w:t>
      </w:r>
      <w:r>
        <w:rPr>
          <w:sz w:val="18"/>
          <w:vertAlign w:val="baseline"/>
        </w:rPr>
        <w:t>aesthetics. In </w:t>
      </w:r>
      <w:r>
        <w:rPr>
          <w:i/>
          <w:sz w:val="18"/>
          <w:vertAlign w:val="baseline"/>
        </w:rPr>
        <w:t>A Midsummer Night’s Dream</w:t>
      </w:r>
      <w:r>
        <w:rPr>
          <w:sz w:val="18"/>
          <w:vertAlign w:val="baseline"/>
        </w:rPr>
        <w:t>, the quarrel between Hermia and Helena centres on the height of the two girls. Hermia, being the shorter one, is much offended when Helena, very</w:t>
      </w:r>
      <w:r>
        <w:rPr>
          <w:spacing w:val="-1"/>
          <w:sz w:val="18"/>
          <w:vertAlign w:val="baseline"/>
        </w:rPr>
        <w:t> </w:t>
      </w:r>
      <w:r>
        <w:rPr>
          <w:sz w:val="18"/>
          <w:vertAlign w:val="baseline"/>
        </w:rPr>
        <w:t>innocently, uses such terms as</w:t>
      </w:r>
      <w:r>
        <w:rPr>
          <w:spacing w:val="-1"/>
          <w:sz w:val="18"/>
          <w:vertAlign w:val="baseline"/>
        </w:rPr>
        <w:t> </w:t>
      </w:r>
      <w:r>
        <w:rPr>
          <w:sz w:val="18"/>
          <w:vertAlign w:val="baseline"/>
        </w:rPr>
        <w:t>“puppet” (3.2.258), “lower”</w:t>
      </w:r>
      <w:r>
        <w:rPr>
          <w:spacing w:val="33"/>
          <w:sz w:val="18"/>
          <w:vertAlign w:val="baseline"/>
        </w:rPr>
        <w:t> </w:t>
      </w:r>
      <w:r>
        <w:rPr>
          <w:sz w:val="18"/>
          <w:vertAlign w:val="baseline"/>
        </w:rPr>
        <w:t>(3.2.304),</w:t>
      </w:r>
      <w:r>
        <w:rPr>
          <w:spacing w:val="35"/>
          <w:sz w:val="18"/>
          <w:vertAlign w:val="baseline"/>
        </w:rPr>
        <w:t> </w:t>
      </w:r>
      <w:r>
        <w:rPr>
          <w:sz w:val="18"/>
          <w:vertAlign w:val="baseline"/>
        </w:rPr>
        <w:t>“little”</w:t>
      </w:r>
      <w:r>
        <w:rPr>
          <w:spacing w:val="33"/>
          <w:sz w:val="18"/>
          <w:vertAlign w:val="baseline"/>
        </w:rPr>
        <w:t> </w:t>
      </w:r>
      <w:r>
        <w:rPr>
          <w:sz w:val="18"/>
          <w:vertAlign w:val="baseline"/>
        </w:rPr>
        <w:t>(3.2.325),</w:t>
      </w:r>
      <w:r>
        <w:rPr>
          <w:spacing w:val="35"/>
          <w:sz w:val="18"/>
          <w:vertAlign w:val="baseline"/>
        </w:rPr>
        <w:t> </w:t>
      </w:r>
      <w:r>
        <w:rPr>
          <w:sz w:val="18"/>
          <w:vertAlign w:val="baseline"/>
        </w:rPr>
        <w:t>and</w:t>
      </w:r>
      <w:r>
        <w:rPr>
          <w:spacing w:val="35"/>
          <w:sz w:val="18"/>
          <w:vertAlign w:val="baseline"/>
        </w:rPr>
        <w:t> </w:t>
      </w:r>
      <w:r>
        <w:rPr>
          <w:sz w:val="18"/>
          <w:vertAlign w:val="baseline"/>
        </w:rPr>
        <w:t>Lysander</w:t>
      </w:r>
      <w:r>
        <w:rPr>
          <w:spacing w:val="33"/>
          <w:sz w:val="18"/>
          <w:vertAlign w:val="baseline"/>
        </w:rPr>
        <w:t> </w:t>
      </w:r>
      <w:r>
        <w:rPr>
          <w:sz w:val="18"/>
          <w:vertAlign w:val="baseline"/>
        </w:rPr>
        <w:t>utters</w:t>
      </w:r>
      <w:r>
        <w:rPr>
          <w:spacing w:val="33"/>
          <w:sz w:val="18"/>
          <w:vertAlign w:val="baseline"/>
        </w:rPr>
        <w:t> </w:t>
      </w:r>
      <w:r>
        <w:rPr>
          <w:sz w:val="18"/>
          <w:vertAlign w:val="baseline"/>
        </w:rPr>
        <w:t>“dwarf”</w:t>
      </w:r>
      <w:r>
        <w:rPr>
          <w:spacing w:val="34"/>
          <w:sz w:val="18"/>
          <w:vertAlign w:val="baseline"/>
        </w:rPr>
        <w:t> </w:t>
      </w:r>
      <w:r>
        <w:rPr>
          <w:sz w:val="18"/>
          <w:vertAlign w:val="baseline"/>
        </w:rPr>
        <w:t>(3.2.318).</w:t>
      </w:r>
    </w:p>
    <w:p>
      <w:pPr>
        <w:spacing w:line="266" w:lineRule="auto" w:before="58"/>
        <w:ind w:left="1440" w:right="1438" w:firstLine="0"/>
        <w:jc w:val="both"/>
        <w:rPr>
          <w:sz w:val="18"/>
        </w:rPr>
      </w:pPr>
      <w:r>
        <w:rPr>
          <w:sz w:val="18"/>
          <w:vertAlign w:val="superscript"/>
        </w:rPr>
        <w:t>11</w:t>
      </w:r>
      <w:r>
        <w:rPr>
          <w:sz w:val="18"/>
          <w:vertAlign w:val="baseline"/>
        </w:rPr>
        <w:t> Another traditional aesthetic aspect like height. The younger, the better aesthetically. Cleopatra was born in 69 BCE. When she met Antony at the</w:t>
      </w:r>
      <w:r>
        <w:rPr>
          <w:spacing w:val="40"/>
          <w:sz w:val="18"/>
          <w:vertAlign w:val="baseline"/>
        </w:rPr>
        <w:t> </w:t>
      </w:r>
      <w:r>
        <w:rPr>
          <w:sz w:val="18"/>
          <w:vertAlign w:val="baseline"/>
        </w:rPr>
        <w:t>River Cydnus in 41 BCE, she was 28 years old. Antony was born in 83 BCE,</w:t>
      </w:r>
      <w:r>
        <w:rPr>
          <w:spacing w:val="40"/>
          <w:sz w:val="18"/>
          <w:vertAlign w:val="baseline"/>
        </w:rPr>
        <w:t> </w:t>
      </w:r>
      <w:r>
        <w:rPr>
          <w:sz w:val="18"/>
          <w:vertAlign w:val="baseline"/>
        </w:rPr>
        <w:t>so he was 42 years old at the Cydnus meeting. Octavia was born in the same year as Cleopatra, that is, 69 BCE, and when she was chosen to marry</w:t>
      </w:r>
      <w:r>
        <w:rPr>
          <w:spacing w:val="-5"/>
          <w:sz w:val="18"/>
          <w:vertAlign w:val="baseline"/>
        </w:rPr>
        <w:t> </w:t>
      </w:r>
      <w:r>
        <w:rPr>
          <w:sz w:val="18"/>
          <w:vertAlign w:val="baseline"/>
        </w:rPr>
        <w:t>Antony in</w:t>
      </w:r>
      <w:r>
        <w:rPr>
          <w:spacing w:val="34"/>
          <w:sz w:val="18"/>
          <w:vertAlign w:val="baseline"/>
        </w:rPr>
        <w:t> </w:t>
      </w:r>
      <w:r>
        <w:rPr>
          <w:sz w:val="18"/>
          <w:vertAlign w:val="baseline"/>
        </w:rPr>
        <w:t>40</w:t>
      </w:r>
      <w:r>
        <w:rPr>
          <w:spacing w:val="35"/>
          <w:sz w:val="18"/>
          <w:vertAlign w:val="baseline"/>
        </w:rPr>
        <w:t> </w:t>
      </w:r>
      <w:r>
        <w:rPr>
          <w:sz w:val="18"/>
          <w:vertAlign w:val="baseline"/>
        </w:rPr>
        <w:t>BCE,</w:t>
      </w:r>
      <w:r>
        <w:rPr>
          <w:spacing w:val="34"/>
          <w:sz w:val="18"/>
          <w:vertAlign w:val="baseline"/>
        </w:rPr>
        <w:t> </w:t>
      </w:r>
      <w:r>
        <w:rPr>
          <w:sz w:val="18"/>
          <w:vertAlign w:val="baseline"/>
        </w:rPr>
        <w:t>she was 29</w:t>
      </w:r>
      <w:r>
        <w:rPr>
          <w:spacing w:val="34"/>
          <w:sz w:val="18"/>
          <w:vertAlign w:val="baseline"/>
        </w:rPr>
        <w:t> </w:t>
      </w:r>
      <w:r>
        <w:rPr>
          <w:sz w:val="18"/>
          <w:vertAlign w:val="baseline"/>
        </w:rPr>
        <w:t>years old. And</w:t>
      </w:r>
      <w:r>
        <w:rPr>
          <w:spacing w:val="34"/>
          <w:sz w:val="18"/>
          <w:vertAlign w:val="baseline"/>
        </w:rPr>
        <w:t> </w:t>
      </w:r>
      <w:r>
        <w:rPr>
          <w:sz w:val="18"/>
          <w:vertAlign w:val="baseline"/>
        </w:rPr>
        <w:t>the</w:t>
      </w:r>
      <w:r>
        <w:rPr>
          <w:spacing w:val="33"/>
          <w:sz w:val="18"/>
          <w:vertAlign w:val="baseline"/>
        </w:rPr>
        <w:t> </w:t>
      </w:r>
      <w:r>
        <w:rPr>
          <w:sz w:val="18"/>
          <w:vertAlign w:val="baseline"/>
        </w:rPr>
        <w:t>Messenger</w:t>
      </w:r>
      <w:r>
        <w:rPr>
          <w:spacing w:val="31"/>
          <w:sz w:val="18"/>
          <w:vertAlign w:val="baseline"/>
        </w:rPr>
        <w:t> </w:t>
      </w:r>
      <w:r>
        <w:rPr>
          <w:sz w:val="18"/>
          <w:vertAlign w:val="baseline"/>
        </w:rPr>
        <w:t>says</w:t>
      </w:r>
      <w:r>
        <w:rPr>
          <w:spacing w:val="34"/>
          <w:sz w:val="18"/>
          <w:vertAlign w:val="baseline"/>
        </w:rPr>
        <w:t> </w:t>
      </w:r>
      <w:r>
        <w:rPr>
          <w:sz w:val="18"/>
          <w:vertAlign w:val="baseline"/>
        </w:rPr>
        <w:t>that</w:t>
      </w:r>
      <w:r>
        <w:rPr>
          <w:spacing w:val="34"/>
          <w:sz w:val="18"/>
          <w:vertAlign w:val="baseline"/>
        </w:rPr>
        <w:t> </w:t>
      </w:r>
      <w:r>
        <w:rPr>
          <w:sz w:val="18"/>
          <w:vertAlign w:val="baseline"/>
        </w:rPr>
        <w:t>Octavia</w:t>
      </w:r>
      <w:r>
        <w:rPr>
          <w:spacing w:val="31"/>
          <w:sz w:val="18"/>
          <w:vertAlign w:val="baseline"/>
        </w:rPr>
        <w:t> </w:t>
      </w:r>
      <w:r>
        <w:rPr>
          <w:sz w:val="18"/>
          <w:vertAlign w:val="baseline"/>
        </w:rPr>
        <w:t>is thirty</w:t>
      </w:r>
      <w:r>
        <w:rPr>
          <w:spacing w:val="40"/>
          <w:sz w:val="18"/>
          <w:vertAlign w:val="baseline"/>
        </w:rPr>
        <w:t> </w:t>
      </w:r>
      <w:r>
        <w:rPr>
          <w:sz w:val="18"/>
          <w:vertAlign w:val="baseline"/>
        </w:rPr>
        <w:t>years</w:t>
      </w:r>
      <w:r>
        <w:rPr>
          <w:spacing w:val="40"/>
          <w:sz w:val="18"/>
          <w:vertAlign w:val="baseline"/>
        </w:rPr>
        <w:t> </w:t>
      </w:r>
      <w:r>
        <w:rPr>
          <w:sz w:val="18"/>
          <w:vertAlign w:val="baseline"/>
        </w:rPr>
        <w:t>old:</w:t>
      </w:r>
      <w:r>
        <w:rPr>
          <w:spacing w:val="40"/>
          <w:sz w:val="18"/>
          <w:vertAlign w:val="baseline"/>
        </w:rPr>
        <w:t> </w:t>
      </w:r>
      <w:r>
        <w:rPr>
          <w:sz w:val="18"/>
          <w:vertAlign w:val="baseline"/>
        </w:rPr>
        <w:t>“And</w:t>
      </w:r>
      <w:r>
        <w:rPr>
          <w:spacing w:val="40"/>
          <w:sz w:val="18"/>
          <w:vertAlign w:val="baseline"/>
        </w:rPr>
        <w:t> </w:t>
      </w:r>
      <w:r>
        <w:rPr>
          <w:sz w:val="18"/>
          <w:vertAlign w:val="baseline"/>
        </w:rPr>
        <w:t>I</w:t>
      </w:r>
      <w:r>
        <w:rPr>
          <w:spacing w:val="40"/>
          <w:sz w:val="18"/>
          <w:vertAlign w:val="baseline"/>
        </w:rPr>
        <w:t> </w:t>
      </w:r>
      <w:r>
        <w:rPr>
          <w:sz w:val="18"/>
          <w:vertAlign w:val="baseline"/>
        </w:rPr>
        <w:t>do</w:t>
      </w:r>
      <w:r>
        <w:rPr>
          <w:spacing w:val="40"/>
          <w:sz w:val="18"/>
          <w:vertAlign w:val="baseline"/>
        </w:rPr>
        <w:t> </w:t>
      </w:r>
      <w:r>
        <w:rPr>
          <w:sz w:val="18"/>
          <w:vertAlign w:val="baseline"/>
        </w:rPr>
        <w:t>think</w:t>
      </w:r>
      <w:r>
        <w:rPr>
          <w:spacing w:val="40"/>
          <w:sz w:val="18"/>
          <w:vertAlign w:val="baseline"/>
        </w:rPr>
        <w:t> </w:t>
      </w:r>
      <w:r>
        <w:rPr>
          <w:sz w:val="18"/>
          <w:vertAlign w:val="baseline"/>
        </w:rPr>
        <w:t>she’s</w:t>
      </w:r>
      <w:r>
        <w:rPr>
          <w:spacing w:val="40"/>
          <w:sz w:val="18"/>
          <w:vertAlign w:val="baseline"/>
        </w:rPr>
        <w:t> </w:t>
      </w:r>
      <w:r>
        <w:rPr>
          <w:sz w:val="18"/>
          <w:vertAlign w:val="baseline"/>
        </w:rPr>
        <w:t>thirty”</w:t>
      </w:r>
      <w:r>
        <w:rPr>
          <w:spacing w:val="40"/>
          <w:sz w:val="18"/>
          <w:vertAlign w:val="baseline"/>
        </w:rPr>
        <w:t> </w:t>
      </w:r>
      <w:r>
        <w:rPr>
          <w:sz w:val="18"/>
          <w:vertAlign w:val="baseline"/>
        </w:rPr>
        <w:t>(3.3.28).</w:t>
      </w:r>
    </w:p>
    <w:p>
      <w:pPr>
        <w:spacing w:after="0" w:line="266" w:lineRule="auto"/>
        <w:jc w:val="both"/>
        <w:rPr>
          <w:sz w:val="18"/>
        </w:rPr>
        <w:sectPr>
          <w:pgSz w:w="12240" w:h="15840"/>
          <w:pgMar w:top="1820" w:bottom="280" w:left="1800" w:right="1800"/>
        </w:sectPr>
      </w:pPr>
    </w:p>
    <w:p>
      <w:pPr>
        <w:tabs>
          <w:tab w:pos="7183"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12416">
                <wp:simplePos x="0" y="0"/>
                <wp:positionH relativeFrom="page">
                  <wp:posOffset>2065020</wp:posOffset>
                </wp:positionH>
                <wp:positionV relativeFrom="paragraph">
                  <wp:posOffset>795020</wp:posOffset>
                </wp:positionV>
                <wp:extent cx="3657600" cy="12700"/>
                <wp:effectExtent l="0" t="0" r="0" b="0"/>
                <wp:wrapTopAndBottom/>
                <wp:docPr id="144" name="Graphic 144"/>
                <wp:cNvGraphicFramePr>
                  <a:graphicFrameLocks/>
                </wp:cNvGraphicFramePr>
                <a:graphic>
                  <a:graphicData uri="http://schemas.microsoft.com/office/word/2010/wordprocessingShape">
                    <wps:wsp>
                      <wps:cNvPr id="144" name="Graphic 14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704064;mso-wrap-distance-left:0;mso-wrap-distance-right:0" id="docshape140" filled="true" fillcolor="#000000" stroked="false">
                <v:fill type="solid"/>
                <w10:wrap type="topAndBottom"/>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10"/>
          <w:sz w:val="18"/>
        </w:rPr>
        <w:t>9</w:t>
      </w:r>
    </w:p>
    <w:p>
      <w:pPr>
        <w:pStyle w:val="BodyText"/>
        <w:spacing w:line="230" w:lineRule="auto" w:before="185"/>
        <w:ind w:right="1438" w:firstLine="432"/>
        <w:jc w:val="both"/>
      </w:pPr>
      <w:r>
        <w:rPr>
          <w:spacing w:val="10"/>
        </w:rPr>
        <w:t>Considering</w:t>
      </w:r>
      <w:r>
        <w:rPr>
          <w:spacing w:val="10"/>
        </w:rPr>
        <w:t> </w:t>
      </w:r>
      <w:r>
        <w:rPr/>
        <w:t>these two </w:t>
      </w:r>
      <w:r>
        <w:rPr>
          <w:spacing w:val="10"/>
        </w:rPr>
        <w:t>situations,</w:t>
      </w:r>
      <w:r>
        <w:rPr>
          <w:spacing w:val="10"/>
        </w:rPr>
        <w:t> </w:t>
      </w:r>
      <w:r>
        <w:rPr/>
        <w:t>Antony’s </w:t>
      </w:r>
      <w:r>
        <w:rPr>
          <w:spacing w:val="9"/>
        </w:rPr>
        <w:t>refusing</w:t>
      </w:r>
      <w:r>
        <w:rPr>
          <w:spacing w:val="9"/>
        </w:rPr>
        <w:t> </w:t>
      </w:r>
      <w:r>
        <w:rPr/>
        <w:t>the messengers from Rome and Cleopatra’s receiving her own messenger from Rome, we find that in the present moment, Antony is given over</w:t>
      </w:r>
      <w:r>
        <w:rPr>
          <w:spacing w:val="40"/>
        </w:rPr>
        <w:t> </w:t>
      </w:r>
      <w:r>
        <w:rPr/>
        <w:t>to</w:t>
      </w:r>
      <w:r>
        <w:rPr>
          <w:spacing w:val="-3"/>
        </w:rPr>
        <w:t> </w:t>
      </w:r>
      <w:r>
        <w:rPr/>
        <w:t>pleasures</w:t>
      </w:r>
      <w:r>
        <w:rPr>
          <w:spacing w:val="-3"/>
        </w:rPr>
        <w:t> </w:t>
      </w:r>
      <w:r>
        <w:rPr/>
        <w:t>sans</w:t>
      </w:r>
      <w:r>
        <w:rPr>
          <w:spacing w:val="-5"/>
        </w:rPr>
        <w:t> </w:t>
      </w:r>
      <w:r>
        <w:rPr/>
        <w:t>reality.</w:t>
      </w:r>
      <w:r>
        <w:rPr>
          <w:spacing w:val="-1"/>
        </w:rPr>
        <w:t> </w:t>
      </w:r>
      <w:r>
        <w:rPr/>
        <w:t>His</w:t>
      </w:r>
      <w:r>
        <w:rPr>
          <w:spacing w:val="-5"/>
        </w:rPr>
        <w:t> </w:t>
      </w:r>
      <w:r>
        <w:rPr/>
        <w:t>ruling</w:t>
      </w:r>
      <w:r>
        <w:rPr>
          <w:spacing w:val="-3"/>
        </w:rPr>
        <w:t> </w:t>
      </w:r>
      <w:r>
        <w:rPr/>
        <w:t>god</w:t>
      </w:r>
      <w:r>
        <w:rPr>
          <w:spacing w:val="-3"/>
        </w:rPr>
        <w:t> </w:t>
      </w:r>
      <w:r>
        <w:rPr/>
        <w:t>is</w:t>
      </w:r>
      <w:r>
        <w:rPr>
          <w:spacing w:val="-1"/>
        </w:rPr>
        <w:t> </w:t>
      </w:r>
      <w:r>
        <w:rPr/>
        <w:t>no</w:t>
      </w:r>
      <w:r>
        <w:rPr>
          <w:spacing w:val="-3"/>
        </w:rPr>
        <w:t> </w:t>
      </w:r>
      <w:r>
        <w:rPr/>
        <w:t>longer Mars,</w:t>
      </w:r>
      <w:r>
        <w:rPr>
          <w:spacing w:val="-3"/>
        </w:rPr>
        <w:t> </w:t>
      </w:r>
      <w:r>
        <w:rPr/>
        <w:t>but</w:t>
      </w:r>
      <w:r>
        <w:rPr>
          <w:spacing w:val="-2"/>
        </w:rPr>
        <w:t> </w:t>
      </w:r>
      <w:r>
        <w:rPr/>
        <w:t>Bacchus, the god of wine.</w:t>
      </w:r>
      <w:r>
        <w:rPr>
          <w:spacing w:val="-6"/>
        </w:rPr>
        <w:t> </w:t>
      </w:r>
      <w:r>
        <w:rPr/>
        <w:t>Antony’s utterance raises our eyebrows, but Cleopatra turns her present moment into rhetorical ploys to gain from the present </w:t>
      </w:r>
      <w:r>
        <w:rPr>
          <w:spacing w:val="-2"/>
        </w:rPr>
        <w:t>situation.</w:t>
      </w:r>
      <w:r>
        <w:rPr>
          <w:spacing w:val="-11"/>
        </w:rPr>
        <w:t> </w:t>
      </w:r>
      <w:r>
        <w:rPr>
          <w:spacing w:val="-2"/>
        </w:rPr>
        <w:t>Then,</w:t>
      </w:r>
      <w:r>
        <w:rPr>
          <w:spacing w:val="-8"/>
        </w:rPr>
        <w:t> </w:t>
      </w:r>
      <w:r>
        <w:rPr>
          <w:spacing w:val="-2"/>
        </w:rPr>
        <w:t>after</w:t>
      </w:r>
      <w:r>
        <w:rPr>
          <w:spacing w:val="-9"/>
        </w:rPr>
        <w:t> </w:t>
      </w:r>
      <w:r>
        <w:rPr>
          <w:spacing w:val="-2"/>
        </w:rPr>
        <w:t>she</w:t>
      </w:r>
      <w:r>
        <w:rPr>
          <w:spacing w:val="-9"/>
        </w:rPr>
        <w:t> </w:t>
      </w:r>
      <w:r>
        <w:rPr>
          <w:spacing w:val="-2"/>
        </w:rPr>
        <w:t>has</w:t>
      </w:r>
      <w:r>
        <w:rPr>
          <w:spacing w:val="-9"/>
        </w:rPr>
        <w:t> </w:t>
      </w:r>
      <w:r>
        <w:rPr>
          <w:spacing w:val="-2"/>
        </w:rPr>
        <w:t>rewarded</w:t>
      </w:r>
      <w:r>
        <w:rPr>
          <w:spacing w:val="-6"/>
        </w:rPr>
        <w:t> </w:t>
      </w:r>
      <w:r>
        <w:rPr>
          <w:spacing w:val="-2"/>
        </w:rPr>
        <w:t>the</w:t>
      </w:r>
      <w:r>
        <w:rPr>
          <w:spacing w:val="-9"/>
        </w:rPr>
        <w:t> </w:t>
      </w:r>
      <w:r>
        <w:rPr>
          <w:spacing w:val="-2"/>
        </w:rPr>
        <w:t>Messenger</w:t>
      </w:r>
      <w:r>
        <w:rPr>
          <w:spacing w:val="-9"/>
        </w:rPr>
        <w:t> </w:t>
      </w:r>
      <w:r>
        <w:rPr>
          <w:spacing w:val="-2"/>
        </w:rPr>
        <w:t>with</w:t>
      </w:r>
      <w:r>
        <w:rPr>
          <w:spacing w:val="-11"/>
        </w:rPr>
        <w:t> </w:t>
      </w:r>
      <w:r>
        <w:rPr>
          <w:spacing w:val="-2"/>
        </w:rPr>
        <w:t>gold</w:t>
      </w:r>
      <w:r>
        <w:rPr>
          <w:spacing w:val="-8"/>
        </w:rPr>
        <w:t> </w:t>
      </w:r>
      <w:r>
        <w:rPr>
          <w:spacing w:val="-2"/>
        </w:rPr>
        <w:t>(“There’s </w:t>
      </w:r>
      <w:r>
        <w:rPr/>
        <w:t>gold for thee” (3.3.33)), she confirms: “Why</w:t>
      </w:r>
      <w:r>
        <w:rPr>
          <w:spacing w:val="-2"/>
        </w:rPr>
        <w:t> </w:t>
      </w:r>
      <w:r>
        <w:rPr/>
        <w:t>methinks by</w:t>
      </w:r>
      <w:r>
        <w:rPr>
          <w:spacing w:val="-3"/>
        </w:rPr>
        <w:t> </w:t>
      </w:r>
      <w:r>
        <w:rPr/>
        <w:t>him</w:t>
      </w:r>
      <w:r>
        <w:rPr>
          <w:spacing w:val="-2"/>
        </w:rPr>
        <w:t> </w:t>
      </w:r>
      <w:r>
        <w:rPr/>
        <w:t>[by</w:t>
      </w:r>
      <w:r>
        <w:rPr>
          <w:spacing w:val="-3"/>
        </w:rPr>
        <w:t> </w:t>
      </w:r>
      <w:r>
        <w:rPr/>
        <w:t>what she has learned from the Messenger], / This creature’s [Octavia is] no such</w:t>
      </w:r>
      <w:r>
        <w:rPr>
          <w:spacing w:val="-8"/>
        </w:rPr>
        <w:t> </w:t>
      </w:r>
      <w:r>
        <w:rPr/>
        <w:t>thing”</w:t>
      </w:r>
      <w:r>
        <w:rPr>
          <w:spacing w:val="-4"/>
        </w:rPr>
        <w:t> </w:t>
      </w:r>
      <w:r>
        <w:rPr/>
        <w:t>(3.3.39).</w:t>
      </w:r>
      <w:r>
        <w:rPr>
          <w:spacing w:val="-13"/>
        </w:rPr>
        <w:t> </w:t>
      </w:r>
      <w:r>
        <w:rPr/>
        <w:t>And,</w:t>
      </w:r>
      <w:r>
        <w:rPr>
          <w:spacing w:val="-2"/>
        </w:rPr>
        <w:t> </w:t>
      </w:r>
      <w:r>
        <w:rPr/>
        <w:t>a</w:t>
      </w:r>
      <w:r>
        <w:rPr>
          <w:spacing w:val="-3"/>
        </w:rPr>
        <w:t> </w:t>
      </w:r>
      <w:r>
        <w:rPr/>
        <w:t>few</w:t>
      </w:r>
      <w:r>
        <w:rPr>
          <w:spacing w:val="-8"/>
        </w:rPr>
        <w:t> </w:t>
      </w:r>
      <w:r>
        <w:rPr/>
        <w:t>lines</w:t>
      </w:r>
      <w:r>
        <w:rPr>
          <w:spacing w:val="-4"/>
        </w:rPr>
        <w:t> </w:t>
      </w:r>
      <w:r>
        <w:rPr/>
        <w:t>ago,</w:t>
      </w:r>
      <w:r>
        <w:rPr>
          <w:spacing w:val="-4"/>
        </w:rPr>
        <w:t> </w:t>
      </w:r>
      <w:r>
        <w:rPr/>
        <w:t>she</w:t>
      </w:r>
      <w:r>
        <w:rPr>
          <w:spacing w:val="-3"/>
        </w:rPr>
        <w:t> </w:t>
      </w:r>
      <w:r>
        <w:rPr/>
        <w:t>uttered</w:t>
      </w:r>
      <w:r>
        <w:rPr>
          <w:spacing w:val="-3"/>
        </w:rPr>
        <w:t> </w:t>
      </w:r>
      <w:r>
        <w:rPr/>
        <w:t>prophetically</w:t>
      </w:r>
      <w:r>
        <w:rPr>
          <w:spacing w:val="-6"/>
        </w:rPr>
        <w:t> </w:t>
      </w:r>
      <w:r>
        <w:rPr/>
        <w:t>that “He [Antony] cannot like her long” (3.3.14). Then Cleopatra reiterates her conviction in herself by saying, “The man hath seen some majesty, and should know” (3.3.41). The man she refers to is obviously the Messenger.</w:t>
      </w:r>
      <w:r>
        <w:rPr>
          <w:spacing w:val="-5"/>
        </w:rPr>
        <w:t> </w:t>
      </w:r>
      <w:r>
        <w:rPr/>
        <w:t>But</w:t>
      </w:r>
      <w:r>
        <w:rPr>
          <w:spacing w:val="-3"/>
        </w:rPr>
        <w:t> </w:t>
      </w:r>
      <w:r>
        <w:rPr/>
        <w:t>can</w:t>
      </w:r>
      <w:r>
        <w:rPr>
          <w:spacing w:val="-7"/>
        </w:rPr>
        <w:t> </w:t>
      </w:r>
      <w:r>
        <w:rPr/>
        <w:t>it</w:t>
      </w:r>
      <w:r>
        <w:rPr>
          <w:spacing w:val="-3"/>
        </w:rPr>
        <w:t> </w:t>
      </w:r>
      <w:r>
        <w:rPr/>
        <w:t>not</w:t>
      </w:r>
      <w:r>
        <w:rPr>
          <w:spacing w:val="-3"/>
        </w:rPr>
        <w:t> </w:t>
      </w:r>
      <w:r>
        <w:rPr/>
        <w:t>be</w:t>
      </w:r>
      <w:r>
        <w:rPr>
          <w:spacing w:val="-13"/>
        </w:rPr>
        <w:t> </w:t>
      </w:r>
      <w:r>
        <w:rPr/>
        <w:t>Antony</w:t>
      </w:r>
      <w:r>
        <w:rPr>
          <w:spacing w:val="-6"/>
        </w:rPr>
        <w:t> </w:t>
      </w:r>
      <w:r>
        <w:rPr/>
        <w:t>as</w:t>
      </w:r>
      <w:r>
        <w:rPr>
          <w:spacing w:val="-5"/>
        </w:rPr>
        <w:t> </w:t>
      </w:r>
      <w:r>
        <w:rPr/>
        <w:t>well?</w:t>
      </w:r>
      <w:r>
        <w:rPr>
          <w:spacing w:val="-13"/>
        </w:rPr>
        <w:t> </w:t>
      </w:r>
      <w:r>
        <w:rPr/>
        <w:t>Antony</w:t>
      </w:r>
      <w:r>
        <w:rPr>
          <w:spacing w:val="-6"/>
        </w:rPr>
        <w:t> </w:t>
      </w:r>
      <w:r>
        <w:rPr/>
        <w:t>himself</w:t>
      </w:r>
      <w:r>
        <w:rPr>
          <w:spacing w:val="-5"/>
        </w:rPr>
        <w:t> </w:t>
      </w:r>
      <w:r>
        <w:rPr/>
        <w:t>was</w:t>
      </w:r>
      <w:r>
        <w:rPr>
          <w:spacing w:val="-5"/>
        </w:rPr>
        <w:t> </w:t>
      </w:r>
      <w:r>
        <w:rPr/>
        <w:t>much enomoured</w:t>
      </w:r>
      <w:r>
        <w:rPr>
          <w:spacing w:val="-8"/>
        </w:rPr>
        <w:t> </w:t>
      </w:r>
      <w:r>
        <w:rPr/>
        <w:t>of</w:t>
      </w:r>
      <w:r>
        <w:rPr>
          <w:spacing w:val="-11"/>
        </w:rPr>
        <w:t> </w:t>
      </w:r>
      <w:r>
        <w:rPr/>
        <w:t>the</w:t>
      </w:r>
      <w:r>
        <w:rPr>
          <w:spacing w:val="-8"/>
        </w:rPr>
        <w:t> </w:t>
      </w:r>
      <w:r>
        <w:rPr/>
        <w:t>queen’s</w:t>
      </w:r>
      <w:r>
        <w:rPr>
          <w:spacing w:val="-11"/>
        </w:rPr>
        <w:t> </w:t>
      </w:r>
      <w:r>
        <w:rPr/>
        <w:t>extraordinary</w:t>
      </w:r>
      <w:r>
        <w:rPr>
          <w:spacing w:val="-11"/>
        </w:rPr>
        <w:t> </w:t>
      </w:r>
      <w:r>
        <w:rPr/>
        <w:t>ploys,</w:t>
      </w:r>
      <w:r>
        <w:rPr>
          <w:spacing w:val="-8"/>
        </w:rPr>
        <w:t> </w:t>
      </w:r>
      <w:r>
        <w:rPr/>
        <w:t>infinitely</w:t>
      </w:r>
      <w:r>
        <w:rPr>
          <w:spacing w:val="-12"/>
        </w:rPr>
        <w:t> </w:t>
      </w:r>
      <w:r>
        <w:rPr/>
        <w:t>creative</w:t>
      </w:r>
      <w:r>
        <w:rPr>
          <w:spacing w:val="-7"/>
        </w:rPr>
        <w:t> </w:t>
      </w:r>
      <w:r>
        <w:rPr/>
        <w:t>pranks and games</w:t>
      </w:r>
      <w:r>
        <w:rPr>
          <w:spacing w:val="-3"/>
        </w:rPr>
        <w:t> </w:t>
      </w:r>
      <w:r>
        <w:rPr/>
        <w:t>like</w:t>
      </w:r>
      <w:r>
        <w:rPr>
          <w:spacing w:val="-5"/>
        </w:rPr>
        <w:t> </w:t>
      </w:r>
      <w:r>
        <w:rPr/>
        <w:t>the</w:t>
      </w:r>
      <w:r>
        <w:rPr>
          <w:spacing w:val="-1"/>
        </w:rPr>
        <w:t> </w:t>
      </w:r>
      <w:r>
        <w:rPr/>
        <w:t>angling</w:t>
      </w:r>
      <w:r>
        <w:rPr>
          <w:spacing w:val="-3"/>
        </w:rPr>
        <w:t> </w:t>
      </w:r>
      <w:r>
        <w:rPr/>
        <w:t>sport</w:t>
      </w:r>
      <w:r>
        <w:rPr>
          <w:spacing w:val="-1"/>
        </w:rPr>
        <w:t> </w:t>
      </w:r>
      <w:r>
        <w:rPr/>
        <w:t>when</w:t>
      </w:r>
      <w:r>
        <w:rPr>
          <w:spacing w:val="-3"/>
        </w:rPr>
        <w:t> </w:t>
      </w:r>
      <w:r>
        <w:rPr/>
        <w:t>she,</w:t>
      </w:r>
      <w:r>
        <w:rPr>
          <w:spacing w:val="-1"/>
        </w:rPr>
        <w:t> </w:t>
      </w:r>
      <w:r>
        <w:rPr/>
        <w:t>to</w:t>
      </w:r>
      <w:r>
        <w:rPr>
          <w:spacing w:val="-1"/>
        </w:rPr>
        <w:t> </w:t>
      </w:r>
      <w:r>
        <w:rPr/>
        <w:t>befool</w:t>
      </w:r>
      <w:r>
        <w:rPr>
          <w:spacing w:val="-13"/>
        </w:rPr>
        <w:t> </w:t>
      </w:r>
      <w:r>
        <w:rPr/>
        <w:t>Antony,</w:t>
      </w:r>
      <w:r>
        <w:rPr>
          <w:spacing w:val="-1"/>
        </w:rPr>
        <w:t> </w:t>
      </w:r>
      <w:r>
        <w:rPr/>
        <w:t>employed a diver to “hang a salt fish on his [Antony’s] hook, which he / With fervency drew up” (2.5.17-18), or went through the transvestic fun: “I drunk</w:t>
      </w:r>
      <w:r>
        <w:rPr>
          <w:spacing w:val="16"/>
        </w:rPr>
        <w:t> </w:t>
      </w:r>
      <w:r>
        <w:rPr/>
        <w:t>him</w:t>
      </w:r>
      <w:r>
        <w:rPr>
          <w:spacing w:val="18"/>
        </w:rPr>
        <w:t> </w:t>
      </w:r>
      <w:r>
        <w:rPr/>
        <w:t>to</w:t>
      </w:r>
      <w:r>
        <w:rPr>
          <w:spacing w:val="19"/>
        </w:rPr>
        <w:t> </w:t>
      </w:r>
      <w:r>
        <w:rPr/>
        <w:t>his</w:t>
      </w:r>
      <w:r>
        <w:rPr>
          <w:spacing w:val="17"/>
        </w:rPr>
        <w:t> </w:t>
      </w:r>
      <w:r>
        <w:rPr/>
        <w:t>bed,</w:t>
      </w:r>
      <w:r>
        <w:rPr>
          <w:spacing w:val="19"/>
        </w:rPr>
        <w:t> </w:t>
      </w:r>
      <w:r>
        <w:rPr/>
        <w:t>/</w:t>
      </w:r>
      <w:r>
        <w:rPr>
          <w:spacing w:val="20"/>
        </w:rPr>
        <w:t> </w:t>
      </w:r>
      <w:r>
        <w:rPr/>
        <w:t>Then</w:t>
      </w:r>
      <w:r>
        <w:rPr>
          <w:spacing w:val="17"/>
        </w:rPr>
        <w:t> </w:t>
      </w:r>
      <w:r>
        <w:rPr/>
        <w:t>put</w:t>
      </w:r>
      <w:r>
        <w:rPr>
          <w:spacing w:val="18"/>
        </w:rPr>
        <w:t> </w:t>
      </w:r>
      <w:r>
        <w:rPr/>
        <w:t>my</w:t>
      </w:r>
      <w:r>
        <w:rPr>
          <w:spacing w:val="15"/>
        </w:rPr>
        <w:t> </w:t>
      </w:r>
      <w:r>
        <w:rPr/>
        <w:t>tires</w:t>
      </w:r>
      <w:r>
        <w:rPr>
          <w:spacing w:val="15"/>
        </w:rPr>
        <w:t> </w:t>
      </w:r>
      <w:r>
        <w:rPr/>
        <w:t>and</w:t>
      </w:r>
      <w:r>
        <w:rPr>
          <w:spacing w:val="17"/>
        </w:rPr>
        <w:t> </w:t>
      </w:r>
      <w:r>
        <w:rPr/>
        <w:t>mantles</w:t>
      </w:r>
      <w:r>
        <w:rPr>
          <w:spacing w:val="17"/>
        </w:rPr>
        <w:t> </w:t>
      </w:r>
      <w:r>
        <w:rPr/>
        <w:t>on</w:t>
      </w:r>
      <w:r>
        <w:rPr>
          <w:spacing w:val="19"/>
        </w:rPr>
        <w:t> </w:t>
      </w:r>
      <w:r>
        <w:rPr/>
        <w:t>him,</w:t>
      </w:r>
      <w:r>
        <w:rPr>
          <w:spacing w:val="19"/>
        </w:rPr>
        <w:t> </w:t>
      </w:r>
      <w:r>
        <w:rPr>
          <w:spacing w:val="-2"/>
        </w:rPr>
        <w:t>whilst</w:t>
      </w:r>
    </w:p>
    <w:p>
      <w:pPr>
        <w:pStyle w:val="BodyText"/>
        <w:spacing w:line="208" w:lineRule="exact"/>
        <w:jc w:val="both"/>
      </w:pPr>
      <w:r>
        <w:rPr/>
        <w:t>/</w:t>
      </w:r>
      <w:r>
        <w:rPr>
          <w:spacing w:val="5"/>
        </w:rPr>
        <w:t> </w:t>
      </w:r>
      <w:r>
        <w:rPr/>
        <w:t>I</w:t>
      </w:r>
      <w:r>
        <w:rPr>
          <w:spacing w:val="12"/>
        </w:rPr>
        <w:t> </w:t>
      </w:r>
      <w:r>
        <w:rPr/>
        <w:t>wore</w:t>
      </w:r>
      <w:r>
        <w:rPr>
          <w:spacing w:val="6"/>
        </w:rPr>
        <w:t> </w:t>
      </w:r>
      <w:r>
        <w:rPr/>
        <w:t>his</w:t>
      </w:r>
      <w:r>
        <w:rPr>
          <w:spacing w:val="6"/>
        </w:rPr>
        <w:t> </w:t>
      </w:r>
      <w:r>
        <w:rPr/>
        <w:t>sword</w:t>
      </w:r>
      <w:r>
        <w:rPr>
          <w:spacing w:val="9"/>
        </w:rPr>
        <w:t> </w:t>
      </w:r>
      <w:r>
        <w:rPr/>
        <w:t>Philippan”</w:t>
      </w:r>
      <w:r>
        <w:rPr>
          <w:spacing w:val="7"/>
        </w:rPr>
        <w:t> </w:t>
      </w:r>
      <w:r>
        <w:rPr/>
        <w:t>(21-</w:t>
      </w:r>
      <w:r>
        <w:rPr>
          <w:spacing w:val="-4"/>
        </w:rPr>
        <w:t>23).</w:t>
      </w:r>
    </w:p>
    <w:p>
      <w:pPr>
        <w:pStyle w:val="BodyText"/>
        <w:spacing w:line="230" w:lineRule="auto" w:before="54"/>
        <w:ind w:right="1438" w:firstLine="432"/>
        <w:jc w:val="both"/>
      </w:pPr>
      <w:r>
        <w:rPr/>
        <w:t>With these fascinating exploits, if we add Enobarbus’s famous ekphrastic</w:t>
      </w:r>
      <w:r>
        <w:rPr>
          <w:spacing w:val="-2"/>
        </w:rPr>
        <w:t> </w:t>
      </w:r>
      <w:r>
        <w:rPr/>
        <w:t>and encomiastic</w:t>
      </w:r>
      <w:r>
        <w:rPr>
          <w:spacing w:val="-2"/>
        </w:rPr>
        <w:t> </w:t>
      </w:r>
      <w:r>
        <w:rPr/>
        <w:t>“The</w:t>
      </w:r>
      <w:r>
        <w:rPr>
          <w:spacing w:val="-4"/>
        </w:rPr>
        <w:t> </w:t>
      </w:r>
      <w:r>
        <w:rPr/>
        <w:t>barge</w:t>
      </w:r>
      <w:r>
        <w:rPr>
          <w:spacing w:val="-3"/>
        </w:rPr>
        <w:t> </w:t>
      </w:r>
      <w:r>
        <w:rPr/>
        <w:t>she</w:t>
      </w:r>
      <w:r>
        <w:rPr>
          <w:spacing w:val="-1"/>
        </w:rPr>
        <w:t> </w:t>
      </w:r>
      <w:r>
        <w:rPr/>
        <w:t>sat</w:t>
      </w:r>
      <w:r>
        <w:rPr>
          <w:spacing w:val="-2"/>
        </w:rPr>
        <w:t> </w:t>
      </w:r>
      <w:r>
        <w:rPr/>
        <w:t>in”</w:t>
      </w:r>
      <w:r>
        <w:rPr>
          <w:spacing w:val="-2"/>
        </w:rPr>
        <w:t> </w:t>
      </w:r>
      <w:r>
        <w:rPr/>
        <w:t>(2.2.201</w:t>
      </w:r>
      <w:r>
        <w:rPr>
          <w:spacing w:val="-1"/>
        </w:rPr>
        <w:t> </w:t>
      </w:r>
      <w:r>
        <w:rPr/>
        <w:t>ff)</w:t>
      </w:r>
      <w:r>
        <w:rPr>
          <w:spacing w:val="-1"/>
        </w:rPr>
        <w:t> </w:t>
      </w:r>
      <w:r>
        <w:rPr/>
        <w:t>speech</w:t>
      </w:r>
      <w:r>
        <w:rPr>
          <w:vertAlign w:val="superscript"/>
        </w:rPr>
        <w:t>12</w:t>
      </w:r>
      <w:r>
        <w:rPr>
          <w:vertAlign w:val="baseline"/>
        </w:rPr>
        <w:t>, </w:t>
      </w:r>
      <w:r>
        <w:rPr>
          <w:spacing w:val="-4"/>
          <w:vertAlign w:val="baseline"/>
        </w:rPr>
        <w:t>visualizing</w:t>
      </w:r>
      <w:r>
        <w:rPr>
          <w:spacing w:val="-6"/>
          <w:vertAlign w:val="baseline"/>
        </w:rPr>
        <w:t> </w:t>
      </w:r>
      <w:r>
        <w:rPr>
          <w:spacing w:val="-4"/>
          <w:vertAlign w:val="baseline"/>
        </w:rPr>
        <w:t>in memorable</w:t>
      </w:r>
      <w:r>
        <w:rPr>
          <w:spacing w:val="-9"/>
          <w:vertAlign w:val="baseline"/>
        </w:rPr>
        <w:t> </w:t>
      </w:r>
      <w:r>
        <w:rPr>
          <w:spacing w:val="-4"/>
          <w:vertAlign w:val="baseline"/>
        </w:rPr>
        <w:t>poetry</w:t>
      </w:r>
      <w:r>
        <w:rPr>
          <w:spacing w:val="-8"/>
          <w:vertAlign w:val="baseline"/>
        </w:rPr>
        <w:t> </w:t>
      </w:r>
      <w:r>
        <w:rPr>
          <w:spacing w:val="-4"/>
          <w:vertAlign w:val="baseline"/>
        </w:rPr>
        <w:t>the</w:t>
      </w:r>
      <w:r>
        <w:rPr>
          <w:spacing w:val="-6"/>
          <w:vertAlign w:val="baseline"/>
        </w:rPr>
        <w:t> </w:t>
      </w:r>
      <w:r>
        <w:rPr>
          <w:spacing w:val="-4"/>
          <w:vertAlign w:val="baseline"/>
        </w:rPr>
        <w:t>lovers’</w:t>
      </w:r>
      <w:r>
        <w:rPr>
          <w:spacing w:val="-6"/>
          <w:vertAlign w:val="baseline"/>
        </w:rPr>
        <w:t> </w:t>
      </w:r>
      <w:r>
        <w:rPr>
          <w:spacing w:val="-4"/>
          <w:vertAlign w:val="baseline"/>
        </w:rPr>
        <w:t>famous meeting</w:t>
      </w:r>
      <w:r>
        <w:rPr>
          <w:spacing w:val="-9"/>
          <w:vertAlign w:val="baseline"/>
        </w:rPr>
        <w:t> </w:t>
      </w:r>
      <w:r>
        <w:rPr>
          <w:spacing w:val="-4"/>
          <w:vertAlign w:val="baseline"/>
        </w:rPr>
        <w:t>at the Cydnus, </w:t>
      </w:r>
      <w:r>
        <w:rPr>
          <w:vertAlign w:val="baseline"/>
        </w:rPr>
        <w:t>Cleopatra</w:t>
      </w:r>
      <w:r>
        <w:rPr>
          <w:spacing w:val="-2"/>
          <w:vertAlign w:val="baseline"/>
        </w:rPr>
        <w:t> </w:t>
      </w:r>
      <w:r>
        <w:rPr>
          <w:vertAlign w:val="baseline"/>
        </w:rPr>
        <w:t>lying</w:t>
      </w:r>
      <w:r>
        <w:rPr>
          <w:spacing w:val="-4"/>
          <w:vertAlign w:val="baseline"/>
        </w:rPr>
        <w:t> </w:t>
      </w:r>
      <w:r>
        <w:rPr>
          <w:vertAlign w:val="baseline"/>
        </w:rPr>
        <w:t>“In</w:t>
      </w:r>
      <w:r>
        <w:rPr>
          <w:spacing w:val="-4"/>
          <w:vertAlign w:val="baseline"/>
        </w:rPr>
        <w:t> </w:t>
      </w:r>
      <w:r>
        <w:rPr>
          <w:vertAlign w:val="baseline"/>
        </w:rPr>
        <w:t>her</w:t>
      </w:r>
      <w:r>
        <w:rPr>
          <w:spacing w:val="-2"/>
          <w:vertAlign w:val="baseline"/>
        </w:rPr>
        <w:t> </w:t>
      </w:r>
      <w:r>
        <w:rPr>
          <w:vertAlign w:val="baseline"/>
        </w:rPr>
        <w:t>pavilion”</w:t>
      </w:r>
      <w:r>
        <w:rPr>
          <w:spacing w:val="-2"/>
          <w:vertAlign w:val="baseline"/>
        </w:rPr>
        <w:t> </w:t>
      </w:r>
      <w:r>
        <w:rPr>
          <w:vertAlign w:val="baseline"/>
        </w:rPr>
        <w:t>with</w:t>
      </w:r>
      <w:r>
        <w:rPr>
          <w:spacing w:val="-1"/>
          <w:vertAlign w:val="baseline"/>
        </w:rPr>
        <w:t> </w:t>
      </w:r>
      <w:r>
        <w:rPr>
          <w:vertAlign w:val="baseline"/>
        </w:rPr>
        <w:t>“cloth-of-gold</w:t>
      </w:r>
      <w:r>
        <w:rPr>
          <w:spacing w:val="-2"/>
          <w:vertAlign w:val="baseline"/>
        </w:rPr>
        <w:t> </w:t>
      </w:r>
      <w:r>
        <w:rPr>
          <w:vertAlign w:val="baseline"/>
        </w:rPr>
        <w:t>of</w:t>
      </w:r>
      <w:r>
        <w:rPr>
          <w:spacing w:val="-4"/>
          <w:vertAlign w:val="baseline"/>
        </w:rPr>
        <w:t> </w:t>
      </w:r>
      <w:r>
        <w:rPr>
          <w:vertAlign w:val="baseline"/>
        </w:rPr>
        <w:t>tissue,”</w:t>
      </w:r>
      <w:r>
        <w:rPr>
          <w:spacing w:val="-2"/>
          <w:vertAlign w:val="baseline"/>
        </w:rPr>
        <w:t> </w:t>
      </w:r>
      <w:r>
        <w:rPr>
          <w:vertAlign w:val="baseline"/>
        </w:rPr>
        <w:t>on,</w:t>
      </w:r>
      <w:r>
        <w:rPr>
          <w:spacing w:val="-2"/>
          <w:vertAlign w:val="baseline"/>
        </w:rPr>
        <w:t> </w:t>
      </w:r>
      <w:r>
        <w:rPr>
          <w:vertAlign w:val="baseline"/>
        </w:rPr>
        <w:t>and thus “O’erpicturing that Venus where we see / The fancy outwork nature”</w:t>
      </w:r>
      <w:r>
        <w:rPr>
          <w:spacing w:val="-13"/>
          <w:vertAlign w:val="baseline"/>
        </w:rPr>
        <w:t> </w:t>
      </w:r>
      <w:r>
        <w:rPr>
          <w:vertAlign w:val="baseline"/>
        </w:rPr>
        <w:t>(2.2.208-211),</w:t>
      </w:r>
      <w:r>
        <w:rPr>
          <w:spacing w:val="-12"/>
          <w:vertAlign w:val="baseline"/>
        </w:rPr>
        <w:t> </w:t>
      </w:r>
      <w:r>
        <w:rPr>
          <w:vertAlign w:val="baseline"/>
        </w:rPr>
        <w:t>and</w:t>
      </w:r>
      <w:r>
        <w:rPr>
          <w:spacing w:val="-13"/>
          <w:vertAlign w:val="baseline"/>
        </w:rPr>
        <w:t> </w:t>
      </w:r>
      <w:r>
        <w:rPr>
          <w:vertAlign w:val="baseline"/>
        </w:rPr>
        <w:t>Antony’s</w:t>
      </w:r>
      <w:r>
        <w:rPr>
          <w:spacing w:val="-12"/>
          <w:vertAlign w:val="baseline"/>
        </w:rPr>
        <w:t> </w:t>
      </w:r>
      <w:r>
        <w:rPr>
          <w:vertAlign w:val="baseline"/>
        </w:rPr>
        <w:t>being</w:t>
      </w:r>
      <w:r>
        <w:rPr>
          <w:spacing w:val="-13"/>
          <w:vertAlign w:val="baseline"/>
        </w:rPr>
        <w:t> </w:t>
      </w:r>
      <w:r>
        <w:rPr>
          <w:vertAlign w:val="baseline"/>
        </w:rPr>
        <w:t>invited</w:t>
      </w:r>
      <w:r>
        <w:rPr>
          <w:spacing w:val="-12"/>
          <w:vertAlign w:val="baseline"/>
        </w:rPr>
        <w:t> </w:t>
      </w:r>
      <w:r>
        <w:rPr>
          <w:vertAlign w:val="baseline"/>
        </w:rPr>
        <w:t>by</w:t>
      </w:r>
      <w:r>
        <w:rPr>
          <w:spacing w:val="-13"/>
          <w:vertAlign w:val="baseline"/>
        </w:rPr>
        <w:t> </w:t>
      </w:r>
      <w:r>
        <w:rPr>
          <w:vertAlign w:val="baseline"/>
        </w:rPr>
        <w:t>Cleopatra</w:t>
      </w:r>
      <w:r>
        <w:rPr>
          <w:spacing w:val="-12"/>
          <w:vertAlign w:val="baseline"/>
        </w:rPr>
        <w:t> </w:t>
      </w:r>
      <w:r>
        <w:rPr>
          <w:vertAlign w:val="baseline"/>
        </w:rPr>
        <w:t>to</w:t>
      </w:r>
      <w:r>
        <w:rPr>
          <w:spacing w:val="-13"/>
          <w:vertAlign w:val="baseline"/>
        </w:rPr>
        <w:t> </w:t>
      </w:r>
      <w:r>
        <w:rPr>
          <w:vertAlign w:val="baseline"/>
        </w:rPr>
        <w:t>be</w:t>
      </w:r>
      <w:r>
        <w:rPr>
          <w:spacing w:val="-12"/>
          <w:vertAlign w:val="baseline"/>
        </w:rPr>
        <w:t> </w:t>
      </w:r>
      <w:r>
        <w:rPr>
          <w:vertAlign w:val="baseline"/>
        </w:rPr>
        <w:t>her </w:t>
      </w:r>
      <w:r>
        <w:rPr>
          <w:spacing w:val="-6"/>
          <w:vertAlign w:val="baseline"/>
        </w:rPr>
        <w:t>guest,</w:t>
      </w:r>
      <w:r>
        <w:rPr>
          <w:spacing w:val="-11"/>
          <w:vertAlign w:val="baseline"/>
        </w:rPr>
        <w:t> </w:t>
      </w:r>
      <w:r>
        <w:rPr>
          <w:spacing w:val="-6"/>
          <w:vertAlign w:val="baseline"/>
        </w:rPr>
        <w:t>and</w:t>
      </w:r>
      <w:r>
        <w:rPr>
          <w:spacing w:val="-5"/>
          <w:vertAlign w:val="baseline"/>
        </w:rPr>
        <w:t> </w:t>
      </w:r>
      <w:r>
        <w:rPr>
          <w:spacing w:val="-6"/>
          <w:vertAlign w:val="baseline"/>
        </w:rPr>
        <w:t>in</w:t>
      </w:r>
      <w:r>
        <w:rPr>
          <w:spacing w:val="-8"/>
          <w:vertAlign w:val="baseline"/>
        </w:rPr>
        <w:t> </w:t>
      </w:r>
      <w:r>
        <w:rPr>
          <w:spacing w:val="-6"/>
          <w:vertAlign w:val="baseline"/>
        </w:rPr>
        <w:t>response,</w:t>
      </w:r>
      <w:r>
        <w:rPr>
          <w:spacing w:val="-18"/>
          <w:vertAlign w:val="baseline"/>
        </w:rPr>
        <w:t> </w:t>
      </w:r>
      <w:r>
        <w:rPr>
          <w:spacing w:val="-6"/>
          <w:vertAlign w:val="baseline"/>
        </w:rPr>
        <w:t>Antony’s</w:t>
      </w:r>
      <w:r>
        <w:rPr>
          <w:spacing w:val="-10"/>
          <w:vertAlign w:val="baseline"/>
        </w:rPr>
        <w:t> </w:t>
      </w:r>
      <w:r>
        <w:rPr>
          <w:spacing w:val="-6"/>
          <w:vertAlign w:val="baseline"/>
        </w:rPr>
        <w:t>having</w:t>
      </w:r>
      <w:r>
        <w:rPr>
          <w:spacing w:val="-13"/>
          <w:vertAlign w:val="baseline"/>
        </w:rPr>
        <w:t> </w:t>
      </w:r>
      <w:r>
        <w:rPr>
          <w:spacing w:val="-6"/>
          <w:vertAlign w:val="baseline"/>
        </w:rPr>
        <w:t>been</w:t>
      </w:r>
      <w:r>
        <w:rPr>
          <w:spacing w:val="-10"/>
          <w:vertAlign w:val="baseline"/>
        </w:rPr>
        <w:t> </w:t>
      </w:r>
      <w:r>
        <w:rPr>
          <w:spacing w:val="-6"/>
          <w:vertAlign w:val="baseline"/>
        </w:rPr>
        <w:t>“barbered</w:t>
      </w:r>
      <w:r>
        <w:rPr>
          <w:spacing w:val="-5"/>
          <w:vertAlign w:val="baseline"/>
        </w:rPr>
        <w:t> </w:t>
      </w:r>
      <w:r>
        <w:rPr>
          <w:spacing w:val="-6"/>
          <w:vertAlign w:val="baseline"/>
        </w:rPr>
        <w:t>ten times”</w:t>
      </w:r>
      <w:r>
        <w:rPr>
          <w:spacing w:val="-7"/>
          <w:vertAlign w:val="baseline"/>
        </w:rPr>
        <w:t> </w:t>
      </w:r>
      <w:r>
        <w:rPr>
          <w:spacing w:val="-6"/>
          <w:vertAlign w:val="baseline"/>
        </w:rPr>
        <w:t>(2.2.234),</w:t>
      </w:r>
    </w:p>
    <w:p>
      <w:pPr>
        <w:pStyle w:val="BodyText"/>
        <w:spacing w:before="19"/>
        <w:ind w:left="0"/>
      </w:pPr>
      <w:r>
        <w:rPr/>
        <mc:AlternateContent>
          <mc:Choice Requires="wps">
            <w:drawing>
              <wp:anchor distT="0" distB="0" distL="0" distR="0" allowOverlap="1" layoutInCell="1" locked="0" behindDoc="1" simplePos="0" relativeHeight="487612928">
                <wp:simplePos x="0" y="0"/>
                <wp:positionH relativeFrom="page">
                  <wp:posOffset>2049780</wp:posOffset>
                </wp:positionH>
                <wp:positionV relativeFrom="paragraph">
                  <wp:posOffset>173367</wp:posOffset>
                </wp:positionV>
                <wp:extent cx="3651885" cy="12700"/>
                <wp:effectExtent l="0" t="0" r="0" b="0"/>
                <wp:wrapTopAndBottom/>
                <wp:docPr id="145" name="Graphic 145"/>
                <wp:cNvGraphicFramePr>
                  <a:graphicFrameLocks/>
                </wp:cNvGraphicFramePr>
                <a:graphic>
                  <a:graphicData uri="http://schemas.microsoft.com/office/word/2010/wordprocessingShape">
                    <wps:wsp>
                      <wps:cNvPr id="145" name="Graphic 145"/>
                      <wps:cNvSpPr/>
                      <wps:spPr>
                        <a:xfrm>
                          <a:off x="0" y="0"/>
                          <a:ext cx="3651885" cy="12700"/>
                        </a:xfrm>
                        <a:custGeom>
                          <a:avLst/>
                          <a:gdLst/>
                          <a:ahLst/>
                          <a:cxnLst/>
                          <a:rect l="l" t="t" r="r" b="b"/>
                          <a:pathLst>
                            <a:path w="3651885" h="12700">
                              <a:moveTo>
                                <a:pt x="0" y="0"/>
                              </a:moveTo>
                              <a:lnTo>
                                <a:pt x="3651504" y="0"/>
                              </a:lnTo>
                              <a:lnTo>
                                <a:pt x="3651504" y="12192"/>
                              </a:lnTo>
                              <a:lnTo>
                                <a:pt x="0" y="12192"/>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1.400009pt;margin-top:13.650968pt;width:287.520009pt;height:.960022pt;mso-position-horizontal-relative:page;mso-position-vertical-relative:paragraph;z-index:-15703552;mso-wrap-distance-left:0;mso-wrap-distance-right:0" id="docshape141" filled="true" fillcolor="#000000" stroked="false">
                <v:fill type="solid"/>
                <w10:wrap type="topAndBottom"/>
              </v:rect>
            </w:pict>
          </mc:Fallback>
        </mc:AlternateContent>
      </w:r>
    </w:p>
    <w:p>
      <w:pPr>
        <w:spacing w:line="230" w:lineRule="auto" w:before="42"/>
        <w:ind w:left="1440" w:right="1439" w:firstLine="0"/>
        <w:jc w:val="both"/>
        <w:rPr>
          <w:sz w:val="18"/>
        </w:rPr>
      </w:pPr>
      <w:r>
        <w:rPr>
          <w:sz w:val="18"/>
          <w:vertAlign w:val="superscript"/>
        </w:rPr>
        <w:t>12</w:t>
      </w:r>
      <w:r>
        <w:rPr>
          <w:sz w:val="18"/>
          <w:vertAlign w:val="baseline"/>
        </w:rPr>
        <w:t> “If we read Plutarch’s description and keep in mind Egyptian practices, we may</w:t>
      </w:r>
      <w:r>
        <w:rPr>
          <w:spacing w:val="-4"/>
          <w:sz w:val="18"/>
          <w:vertAlign w:val="baseline"/>
        </w:rPr>
        <w:t> </w:t>
      </w:r>
      <w:r>
        <w:rPr>
          <w:sz w:val="18"/>
          <w:vertAlign w:val="baseline"/>
        </w:rPr>
        <w:t>understand that the</w:t>
      </w:r>
      <w:r>
        <w:rPr>
          <w:spacing w:val="-2"/>
          <w:sz w:val="18"/>
          <w:vertAlign w:val="baseline"/>
        </w:rPr>
        <w:t> </w:t>
      </w:r>
      <w:r>
        <w:rPr>
          <w:sz w:val="18"/>
          <w:vertAlign w:val="baseline"/>
        </w:rPr>
        <w:t>queen arrived in a</w:t>
      </w:r>
      <w:r>
        <w:rPr>
          <w:spacing w:val="-2"/>
          <w:sz w:val="18"/>
          <w:vertAlign w:val="baseline"/>
        </w:rPr>
        <w:t> </w:t>
      </w:r>
      <w:r>
        <w:rPr>
          <w:sz w:val="18"/>
          <w:vertAlign w:val="baseline"/>
        </w:rPr>
        <w:t>sort of</w:t>
      </w:r>
      <w:r>
        <w:rPr>
          <w:spacing w:val="-2"/>
          <w:sz w:val="18"/>
          <w:vertAlign w:val="baseline"/>
        </w:rPr>
        <w:t> </w:t>
      </w:r>
      <w:r>
        <w:rPr>
          <w:sz w:val="18"/>
          <w:vertAlign w:val="baseline"/>
        </w:rPr>
        <w:t>vessel</w:t>
      </w:r>
      <w:r>
        <w:rPr>
          <w:spacing w:val="-1"/>
          <w:sz w:val="18"/>
          <w:vertAlign w:val="baseline"/>
        </w:rPr>
        <w:t> </w:t>
      </w:r>
      <w:r>
        <w:rPr>
          <w:sz w:val="18"/>
          <w:vertAlign w:val="baseline"/>
        </w:rPr>
        <w:t>turned tabernacle. The River Cydnus took the place of the Nile and Tarsus that of Memphis and Thebes. The queen appeared as Aphrodite-Isis coming to meet her consort, Dionysos.</w:t>
      </w:r>
      <w:r>
        <w:rPr>
          <w:spacing w:val="27"/>
          <w:sz w:val="18"/>
          <w:vertAlign w:val="baseline"/>
        </w:rPr>
        <w:t> </w:t>
      </w:r>
      <w:r>
        <w:rPr>
          <w:sz w:val="18"/>
          <w:vertAlign w:val="baseline"/>
        </w:rPr>
        <w:t>Plutarch</w:t>
      </w:r>
      <w:r>
        <w:rPr>
          <w:spacing w:val="27"/>
          <w:sz w:val="18"/>
          <w:vertAlign w:val="baseline"/>
        </w:rPr>
        <w:t> </w:t>
      </w:r>
      <w:r>
        <w:rPr>
          <w:sz w:val="18"/>
          <w:vertAlign w:val="baseline"/>
        </w:rPr>
        <w:t>tells</w:t>
      </w:r>
      <w:r>
        <w:rPr>
          <w:spacing w:val="25"/>
          <w:sz w:val="18"/>
          <w:vertAlign w:val="baseline"/>
        </w:rPr>
        <w:t> </w:t>
      </w:r>
      <w:r>
        <w:rPr>
          <w:sz w:val="18"/>
          <w:vertAlign w:val="baseline"/>
        </w:rPr>
        <w:t>us</w:t>
      </w:r>
      <w:r>
        <w:rPr>
          <w:spacing w:val="27"/>
          <w:sz w:val="18"/>
          <w:vertAlign w:val="baseline"/>
        </w:rPr>
        <w:t> </w:t>
      </w:r>
      <w:r>
        <w:rPr>
          <w:sz w:val="18"/>
          <w:vertAlign w:val="baseline"/>
        </w:rPr>
        <w:t>that</w:t>
      </w:r>
      <w:r>
        <w:rPr>
          <w:spacing w:val="23"/>
          <w:sz w:val="18"/>
          <w:vertAlign w:val="baseline"/>
        </w:rPr>
        <w:t> </w:t>
      </w:r>
      <w:r>
        <w:rPr>
          <w:sz w:val="18"/>
          <w:vertAlign w:val="baseline"/>
        </w:rPr>
        <w:t>Cleopatra</w:t>
      </w:r>
      <w:r>
        <w:rPr>
          <w:spacing w:val="25"/>
          <w:sz w:val="18"/>
          <w:vertAlign w:val="baseline"/>
        </w:rPr>
        <w:t> </w:t>
      </w:r>
      <w:r>
        <w:rPr>
          <w:sz w:val="18"/>
          <w:vertAlign w:val="baseline"/>
        </w:rPr>
        <w:t>‘was</w:t>
      </w:r>
      <w:r>
        <w:rPr>
          <w:spacing w:val="24"/>
          <w:sz w:val="18"/>
          <w:vertAlign w:val="baseline"/>
        </w:rPr>
        <w:t> </w:t>
      </w:r>
      <w:r>
        <w:rPr>
          <w:sz w:val="18"/>
          <w:vertAlign w:val="baseline"/>
        </w:rPr>
        <w:t>under</w:t>
      </w:r>
      <w:r>
        <w:rPr>
          <w:spacing w:val="25"/>
          <w:sz w:val="18"/>
          <w:vertAlign w:val="baseline"/>
        </w:rPr>
        <w:t> </w:t>
      </w:r>
      <w:r>
        <w:rPr>
          <w:sz w:val="18"/>
          <w:vertAlign w:val="baseline"/>
        </w:rPr>
        <w:t>a</w:t>
      </w:r>
      <w:r>
        <w:rPr>
          <w:spacing w:val="25"/>
          <w:sz w:val="18"/>
          <w:vertAlign w:val="baseline"/>
        </w:rPr>
        <w:t> </w:t>
      </w:r>
      <w:r>
        <w:rPr>
          <w:sz w:val="18"/>
          <w:vertAlign w:val="baseline"/>
        </w:rPr>
        <w:t>canopy</w:t>
      </w:r>
      <w:r>
        <w:rPr>
          <w:spacing w:val="23"/>
          <w:sz w:val="18"/>
          <w:vertAlign w:val="baseline"/>
        </w:rPr>
        <w:t> </w:t>
      </w:r>
      <w:r>
        <w:rPr>
          <w:sz w:val="18"/>
          <w:vertAlign w:val="baseline"/>
        </w:rPr>
        <w:t>embroidered in gold and presented herself as painters often depicted Aphrodite’. Her most beautiful women were dressed to represent the Nereids and Graces. The influence of Augustus’ propaganda is such that the reader having a traditional Judaeo-Christian background might well imagine a bordello Venus on her to meet a future client, Mark Antony. The ship had a golden stern, crimson sails and</w:t>
      </w:r>
      <w:r>
        <w:rPr>
          <w:spacing w:val="3"/>
          <w:sz w:val="18"/>
          <w:vertAlign w:val="baseline"/>
        </w:rPr>
        <w:t> </w:t>
      </w:r>
      <w:r>
        <w:rPr>
          <w:sz w:val="18"/>
          <w:vertAlign w:val="baseline"/>
        </w:rPr>
        <w:t>silver</w:t>
      </w:r>
      <w:r>
        <w:rPr>
          <w:spacing w:val="2"/>
          <w:sz w:val="18"/>
          <w:vertAlign w:val="baseline"/>
        </w:rPr>
        <w:t> </w:t>
      </w:r>
      <w:r>
        <w:rPr>
          <w:sz w:val="18"/>
          <w:vertAlign w:val="baseline"/>
        </w:rPr>
        <w:t>oars.</w:t>
      </w:r>
      <w:r>
        <w:rPr>
          <w:spacing w:val="4"/>
          <w:sz w:val="18"/>
          <w:vertAlign w:val="baseline"/>
        </w:rPr>
        <w:t> </w:t>
      </w:r>
      <w:r>
        <w:rPr>
          <w:sz w:val="18"/>
          <w:vertAlign w:val="baseline"/>
        </w:rPr>
        <w:t>Numerous</w:t>
      </w:r>
      <w:r>
        <w:rPr>
          <w:spacing w:val="2"/>
          <w:sz w:val="18"/>
          <w:vertAlign w:val="baseline"/>
        </w:rPr>
        <w:t> </w:t>
      </w:r>
      <w:r>
        <w:rPr>
          <w:sz w:val="18"/>
          <w:vertAlign w:val="baseline"/>
        </w:rPr>
        <w:t>perfumes</w:t>
      </w:r>
      <w:r>
        <w:rPr>
          <w:spacing w:val="3"/>
          <w:sz w:val="18"/>
          <w:vertAlign w:val="baseline"/>
        </w:rPr>
        <w:t> </w:t>
      </w:r>
      <w:r>
        <w:rPr>
          <w:sz w:val="18"/>
          <w:vertAlign w:val="baseline"/>
        </w:rPr>
        <w:t>were</w:t>
      </w:r>
      <w:r>
        <w:rPr>
          <w:spacing w:val="-2"/>
          <w:sz w:val="18"/>
          <w:vertAlign w:val="baseline"/>
        </w:rPr>
        <w:t> </w:t>
      </w:r>
      <w:r>
        <w:rPr>
          <w:sz w:val="18"/>
          <w:vertAlign w:val="baseline"/>
        </w:rPr>
        <w:t>disbursed</w:t>
      </w:r>
      <w:r>
        <w:rPr>
          <w:spacing w:val="3"/>
          <w:sz w:val="18"/>
          <w:vertAlign w:val="baseline"/>
        </w:rPr>
        <w:t> </w:t>
      </w:r>
      <w:r>
        <w:rPr>
          <w:sz w:val="18"/>
          <w:vertAlign w:val="baseline"/>
        </w:rPr>
        <w:t>on</w:t>
      </w:r>
      <w:r>
        <w:rPr>
          <w:spacing w:val="3"/>
          <w:sz w:val="18"/>
          <w:vertAlign w:val="baseline"/>
        </w:rPr>
        <w:t> </w:t>
      </w:r>
      <w:r>
        <w:rPr>
          <w:sz w:val="18"/>
          <w:vertAlign w:val="baseline"/>
        </w:rPr>
        <w:t>both</w:t>
      </w:r>
      <w:r>
        <w:rPr>
          <w:spacing w:val="4"/>
          <w:sz w:val="18"/>
          <w:vertAlign w:val="baseline"/>
        </w:rPr>
        <w:t> </w:t>
      </w:r>
      <w:r>
        <w:rPr>
          <w:sz w:val="18"/>
          <w:vertAlign w:val="baseline"/>
        </w:rPr>
        <w:t>banks</w:t>
      </w:r>
      <w:r>
        <w:rPr>
          <w:spacing w:val="3"/>
          <w:sz w:val="18"/>
          <w:vertAlign w:val="baseline"/>
        </w:rPr>
        <w:t> </w:t>
      </w:r>
      <w:r>
        <w:rPr>
          <w:sz w:val="18"/>
          <w:vertAlign w:val="baseline"/>
        </w:rPr>
        <w:t>of</w:t>
      </w:r>
      <w:r>
        <w:rPr>
          <w:spacing w:val="2"/>
          <w:sz w:val="18"/>
          <w:vertAlign w:val="baseline"/>
        </w:rPr>
        <w:t> </w:t>
      </w:r>
      <w:r>
        <w:rPr>
          <w:sz w:val="18"/>
          <w:vertAlign w:val="baseline"/>
        </w:rPr>
        <w:t>the</w:t>
      </w:r>
      <w:r>
        <w:rPr>
          <w:spacing w:val="2"/>
          <w:sz w:val="18"/>
          <w:vertAlign w:val="baseline"/>
        </w:rPr>
        <w:t> </w:t>
      </w:r>
      <w:r>
        <w:rPr>
          <w:spacing w:val="-2"/>
          <w:sz w:val="18"/>
          <w:vertAlign w:val="baseline"/>
        </w:rPr>
        <w:t>river.</w:t>
      </w:r>
    </w:p>
    <w:p>
      <w:pPr>
        <w:spacing w:line="230" w:lineRule="auto" w:before="0"/>
        <w:ind w:left="1440" w:right="1438" w:firstLine="0"/>
        <w:jc w:val="both"/>
        <w:rPr>
          <w:sz w:val="18"/>
        </w:rPr>
      </w:pPr>
      <w:r>
        <w:rPr>
          <w:sz w:val="18"/>
        </w:rPr>
        <w:t>. . and the ship was followed by</w:t>
      </w:r>
      <w:r>
        <w:rPr>
          <w:spacing w:val="-1"/>
          <w:sz w:val="18"/>
        </w:rPr>
        <w:t> </w:t>
      </w:r>
      <w:r>
        <w:rPr>
          <w:sz w:val="18"/>
        </w:rPr>
        <w:t>many people on both banks’, as had happened many times along the Nile</w:t>
      </w:r>
      <w:r>
        <w:rPr>
          <w:spacing w:val="80"/>
          <w:sz w:val="18"/>
        </w:rPr>
        <w:t> </w:t>
      </w:r>
      <w:r>
        <w:rPr>
          <w:sz w:val="18"/>
        </w:rPr>
        <w:t>Cleopatra’s ship sailed to the ‘sound of a flute’, which had been Ptolemy</w:t>
      </w:r>
      <w:r>
        <w:rPr>
          <w:spacing w:val="-1"/>
          <w:sz w:val="18"/>
        </w:rPr>
        <w:t> </w:t>
      </w:r>
      <w:r>
        <w:rPr>
          <w:sz w:val="18"/>
        </w:rPr>
        <w:t>XII’s favourite instrument as well as that of followers of Isis. There were numerous lights. Plutarch wrote a seven-line paragraph to describe the system of illumination, again to be ascribed to the tradition of the cult</w:t>
      </w:r>
      <w:r>
        <w:rPr>
          <w:spacing w:val="-7"/>
          <w:sz w:val="18"/>
        </w:rPr>
        <w:t> </w:t>
      </w:r>
      <w:r>
        <w:rPr>
          <w:sz w:val="18"/>
        </w:rPr>
        <w:t>of</w:t>
      </w:r>
      <w:r>
        <w:rPr>
          <w:spacing w:val="-8"/>
          <w:sz w:val="18"/>
        </w:rPr>
        <w:t> </w:t>
      </w:r>
      <w:r>
        <w:rPr>
          <w:sz w:val="18"/>
        </w:rPr>
        <w:t>Isis</w:t>
      </w:r>
      <w:r>
        <w:rPr>
          <w:spacing w:val="-7"/>
          <w:sz w:val="18"/>
        </w:rPr>
        <w:t> </w:t>
      </w:r>
      <w:r>
        <w:rPr>
          <w:sz w:val="18"/>
        </w:rPr>
        <w:t>(Plutarch,</w:t>
      </w:r>
      <w:r>
        <w:rPr>
          <w:spacing w:val="-3"/>
          <w:sz w:val="18"/>
        </w:rPr>
        <w:t> </w:t>
      </w:r>
      <w:r>
        <w:rPr>
          <w:i/>
          <w:sz w:val="18"/>
        </w:rPr>
        <w:t>Life</w:t>
      </w:r>
      <w:r>
        <w:rPr>
          <w:i/>
          <w:spacing w:val="-8"/>
          <w:sz w:val="18"/>
        </w:rPr>
        <w:t> </w:t>
      </w:r>
      <w:r>
        <w:rPr>
          <w:i/>
          <w:sz w:val="18"/>
        </w:rPr>
        <w:t>of</w:t>
      </w:r>
      <w:r>
        <w:rPr>
          <w:i/>
          <w:spacing w:val="-7"/>
          <w:sz w:val="18"/>
        </w:rPr>
        <w:t> </w:t>
      </w:r>
      <w:r>
        <w:rPr>
          <w:i/>
          <w:sz w:val="18"/>
        </w:rPr>
        <w:t>Antony,</w:t>
      </w:r>
      <w:r>
        <w:rPr>
          <w:i/>
          <w:spacing w:val="-6"/>
          <w:sz w:val="18"/>
        </w:rPr>
        <w:t> </w:t>
      </w:r>
      <w:r>
        <w:rPr>
          <w:sz w:val="18"/>
        </w:rPr>
        <w:t>26,</w:t>
      </w:r>
      <w:r>
        <w:rPr>
          <w:spacing w:val="-6"/>
          <w:sz w:val="18"/>
        </w:rPr>
        <w:t> </w:t>
      </w:r>
      <w:r>
        <w:rPr>
          <w:sz w:val="18"/>
        </w:rPr>
        <w:t>7)).”</w:t>
      </w:r>
      <w:r>
        <w:rPr>
          <w:spacing w:val="-5"/>
          <w:sz w:val="18"/>
        </w:rPr>
        <w:t> </w:t>
      </w:r>
      <w:r>
        <w:rPr>
          <w:sz w:val="18"/>
        </w:rPr>
        <w:t>(From</w:t>
      </w:r>
      <w:r>
        <w:rPr>
          <w:spacing w:val="-10"/>
          <w:sz w:val="18"/>
        </w:rPr>
        <w:t> </w:t>
      </w:r>
      <w:r>
        <w:rPr>
          <w:i/>
          <w:sz w:val="18"/>
        </w:rPr>
        <w:t>Cleopatra</w:t>
      </w:r>
      <w:r>
        <w:rPr>
          <w:i/>
          <w:spacing w:val="-6"/>
          <w:sz w:val="18"/>
        </w:rPr>
        <w:t> </w:t>
      </w:r>
      <w:r>
        <w:rPr>
          <w:i/>
          <w:sz w:val="18"/>
        </w:rPr>
        <w:t>of</w:t>
      </w:r>
      <w:r>
        <w:rPr>
          <w:i/>
          <w:spacing w:val="-5"/>
          <w:sz w:val="18"/>
        </w:rPr>
        <w:t> </w:t>
      </w:r>
      <w:r>
        <w:rPr>
          <w:i/>
          <w:sz w:val="18"/>
        </w:rPr>
        <w:t>Egypt</w:t>
      </w:r>
      <w:r>
        <w:rPr>
          <w:sz w:val="18"/>
        </w:rPr>
        <w:t>,</w:t>
      </w:r>
      <w:r>
        <w:rPr>
          <w:spacing w:val="-7"/>
          <w:sz w:val="18"/>
        </w:rPr>
        <w:t> </w:t>
      </w:r>
      <w:r>
        <w:rPr>
          <w:sz w:val="18"/>
        </w:rPr>
        <w:t>p.</w:t>
      </w:r>
      <w:r>
        <w:rPr>
          <w:spacing w:val="-7"/>
          <w:sz w:val="18"/>
        </w:rPr>
        <w:t> </w:t>
      </w:r>
      <w:r>
        <w:rPr>
          <w:spacing w:val="-4"/>
          <w:sz w:val="18"/>
        </w:rPr>
        <w:t>137)</w:t>
      </w:r>
    </w:p>
    <w:p>
      <w:pPr>
        <w:spacing w:after="0" w:line="230" w:lineRule="auto"/>
        <w:jc w:val="both"/>
        <w:rPr>
          <w:sz w:val="18"/>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13440">
                <wp:simplePos x="0" y="0"/>
                <wp:positionH relativeFrom="page">
                  <wp:posOffset>2057400</wp:posOffset>
                </wp:positionH>
                <wp:positionV relativeFrom="paragraph">
                  <wp:posOffset>162604</wp:posOffset>
                </wp:positionV>
                <wp:extent cx="3657600" cy="12700"/>
                <wp:effectExtent l="0" t="0" r="0" b="0"/>
                <wp:wrapTopAndBottom/>
                <wp:docPr id="146" name="Graphic 146"/>
                <wp:cNvGraphicFramePr>
                  <a:graphicFrameLocks/>
                </wp:cNvGraphicFramePr>
                <a:graphic>
                  <a:graphicData uri="http://schemas.microsoft.com/office/word/2010/wordprocessingShape">
                    <wps:wsp>
                      <wps:cNvPr id="146" name="Graphic 14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703040;mso-wrap-distance-left:0;mso-wrap-distance-right:0" id="docshape142" filled="true" fillcolor="#000000" stroked="false">
                <v:fill type="solid"/>
                <w10:wrap type="topAndBottom"/>
              </v:rect>
            </w:pict>
          </mc:Fallback>
        </mc:AlternateContent>
      </w:r>
      <w:r>
        <w:rPr>
          <w:rFonts w:ascii="Verdana"/>
          <w:spacing w:val="-5"/>
          <w:sz w:val="18"/>
        </w:rPr>
        <w:t>10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192" w:lineRule="auto" w:before="191"/>
        <w:ind w:right="1439"/>
        <w:jc w:val="both"/>
      </w:pPr>
      <w:r>
        <w:rPr/>
        <w:t>we understand that Antony had paid his heart “For what his eyes eat only”</w:t>
      </w:r>
      <w:r>
        <w:rPr>
          <w:spacing w:val="-10"/>
        </w:rPr>
        <w:t> </w:t>
      </w:r>
      <w:r>
        <w:rPr/>
        <w:t>(2.2.236).</w:t>
      </w:r>
      <w:r>
        <w:rPr>
          <w:vertAlign w:val="superscript"/>
        </w:rPr>
        <w:t>13</w:t>
      </w:r>
      <w:r>
        <w:rPr>
          <w:spacing w:val="-9"/>
          <w:vertAlign w:val="baseline"/>
        </w:rPr>
        <w:t> </w:t>
      </w:r>
      <w:r>
        <w:rPr>
          <w:vertAlign w:val="baseline"/>
        </w:rPr>
        <w:t>That</w:t>
      </w:r>
      <w:r>
        <w:rPr>
          <w:spacing w:val="-4"/>
          <w:vertAlign w:val="baseline"/>
        </w:rPr>
        <w:t> </w:t>
      </w:r>
      <w:r>
        <w:rPr>
          <w:vertAlign w:val="baseline"/>
        </w:rPr>
        <w:t>is,</w:t>
      </w:r>
      <w:r>
        <w:rPr>
          <w:spacing w:val="-13"/>
          <w:vertAlign w:val="baseline"/>
        </w:rPr>
        <w:t> </w:t>
      </w:r>
      <w:r>
        <w:rPr>
          <w:vertAlign w:val="baseline"/>
        </w:rPr>
        <w:t>Antony</w:t>
      </w:r>
      <w:r>
        <w:rPr>
          <w:spacing w:val="-9"/>
          <w:vertAlign w:val="baseline"/>
        </w:rPr>
        <w:t> </w:t>
      </w:r>
      <w:r>
        <w:rPr>
          <w:vertAlign w:val="baseline"/>
        </w:rPr>
        <w:t>has</w:t>
      </w:r>
      <w:r>
        <w:rPr>
          <w:spacing w:val="-8"/>
          <w:vertAlign w:val="baseline"/>
        </w:rPr>
        <w:t> </w:t>
      </w:r>
      <w:r>
        <w:rPr>
          <w:vertAlign w:val="baseline"/>
        </w:rPr>
        <w:t>given</w:t>
      </w:r>
      <w:r>
        <w:rPr>
          <w:spacing w:val="-6"/>
          <w:vertAlign w:val="baseline"/>
        </w:rPr>
        <w:t> </w:t>
      </w:r>
      <w:r>
        <w:rPr>
          <w:vertAlign w:val="baseline"/>
        </w:rPr>
        <w:t>over</w:t>
      </w:r>
      <w:r>
        <w:rPr>
          <w:spacing w:val="-6"/>
          <w:vertAlign w:val="baseline"/>
        </w:rPr>
        <w:t> </w:t>
      </w:r>
      <w:r>
        <w:rPr>
          <w:vertAlign w:val="baseline"/>
        </w:rPr>
        <w:t>his</w:t>
      </w:r>
      <w:r>
        <w:rPr>
          <w:spacing w:val="-8"/>
          <w:vertAlign w:val="baseline"/>
        </w:rPr>
        <w:t> </w:t>
      </w:r>
      <w:r>
        <w:rPr>
          <w:vertAlign w:val="baseline"/>
        </w:rPr>
        <w:t>inward</w:t>
      </w:r>
      <w:r>
        <w:rPr>
          <w:spacing w:val="-8"/>
          <w:vertAlign w:val="baseline"/>
        </w:rPr>
        <w:t> </w:t>
      </w:r>
      <w:r>
        <w:rPr>
          <w:vertAlign w:val="baseline"/>
        </w:rPr>
        <w:t>being</w:t>
      </w:r>
      <w:r>
        <w:rPr>
          <w:spacing w:val="-6"/>
          <w:vertAlign w:val="baseline"/>
        </w:rPr>
        <w:t> </w:t>
      </w:r>
      <w:r>
        <w:rPr>
          <w:vertAlign w:val="baseline"/>
        </w:rPr>
        <w:t>to</w:t>
      </w:r>
      <w:r>
        <w:rPr>
          <w:spacing w:val="-6"/>
          <w:vertAlign w:val="baseline"/>
        </w:rPr>
        <w:t> </w:t>
      </w:r>
      <w:r>
        <w:rPr>
          <w:vertAlign w:val="baseline"/>
        </w:rPr>
        <w:t>the outward</w:t>
      </w:r>
      <w:r>
        <w:rPr>
          <w:spacing w:val="-13"/>
          <w:vertAlign w:val="baseline"/>
        </w:rPr>
        <w:t> </w:t>
      </w:r>
      <w:r>
        <w:rPr>
          <w:vertAlign w:val="baseline"/>
        </w:rPr>
        <w:t>show</w:t>
      </w:r>
      <w:r>
        <w:rPr>
          <w:spacing w:val="-11"/>
          <w:vertAlign w:val="baseline"/>
        </w:rPr>
        <w:t> </w:t>
      </w:r>
      <w:r>
        <w:rPr>
          <w:vertAlign w:val="baseline"/>
        </w:rPr>
        <w:t>of</w:t>
      </w:r>
      <w:r>
        <w:rPr>
          <w:spacing w:val="-11"/>
          <w:vertAlign w:val="baseline"/>
        </w:rPr>
        <w:t> </w:t>
      </w:r>
      <w:r>
        <w:rPr>
          <w:vertAlign w:val="baseline"/>
        </w:rPr>
        <w:t>the</w:t>
      </w:r>
      <w:r>
        <w:rPr>
          <w:spacing w:val="-9"/>
          <w:vertAlign w:val="baseline"/>
        </w:rPr>
        <w:t> </w:t>
      </w:r>
      <w:r>
        <w:rPr>
          <w:vertAlign w:val="baseline"/>
        </w:rPr>
        <w:t>feast.</w:t>
      </w:r>
      <w:r>
        <w:rPr>
          <w:spacing w:val="-7"/>
          <w:vertAlign w:val="baseline"/>
        </w:rPr>
        <w:t> </w:t>
      </w:r>
      <w:r>
        <w:rPr>
          <w:vertAlign w:val="baseline"/>
        </w:rPr>
        <w:t>Here,</w:t>
      </w:r>
      <w:r>
        <w:rPr>
          <w:spacing w:val="-9"/>
          <w:vertAlign w:val="baseline"/>
        </w:rPr>
        <w:t> </w:t>
      </w:r>
      <w:r>
        <w:rPr>
          <w:vertAlign w:val="baseline"/>
        </w:rPr>
        <w:t>the</w:t>
      </w:r>
      <w:r>
        <w:rPr>
          <w:spacing w:val="-9"/>
          <w:vertAlign w:val="baseline"/>
        </w:rPr>
        <w:t> </w:t>
      </w:r>
      <w:r>
        <w:rPr>
          <w:vertAlign w:val="baseline"/>
        </w:rPr>
        <w:t>implication</w:t>
      </w:r>
      <w:r>
        <w:rPr>
          <w:spacing w:val="-9"/>
          <w:vertAlign w:val="baseline"/>
        </w:rPr>
        <w:t> </w:t>
      </w:r>
      <w:r>
        <w:rPr>
          <w:vertAlign w:val="baseline"/>
        </w:rPr>
        <w:t>should</w:t>
      </w:r>
      <w:r>
        <w:rPr>
          <w:spacing w:val="-9"/>
          <w:vertAlign w:val="baseline"/>
        </w:rPr>
        <w:t> </w:t>
      </w:r>
      <w:r>
        <w:rPr>
          <w:vertAlign w:val="baseline"/>
        </w:rPr>
        <w:t>be</w:t>
      </w:r>
      <w:r>
        <w:rPr>
          <w:spacing w:val="-9"/>
          <w:vertAlign w:val="baseline"/>
        </w:rPr>
        <w:t> </w:t>
      </w:r>
      <w:r>
        <w:rPr>
          <w:vertAlign w:val="baseline"/>
        </w:rPr>
        <w:t>that</w:t>
      </w:r>
      <w:r>
        <w:rPr>
          <w:spacing w:val="-13"/>
          <w:vertAlign w:val="baseline"/>
        </w:rPr>
        <w:t> </w:t>
      </w:r>
      <w:r>
        <w:rPr>
          <w:vertAlign w:val="baseline"/>
        </w:rPr>
        <w:t>Antony’s heart is segregated from Rome and melted into the fascinating features of the Egyptian Queen Cleopatra VII Philopator. Now that, back in Rome, Antony had married Octavia, Menenius, the Roman soldier, objectifies the situation by saying that Antony will have to leave this magical</w:t>
      </w:r>
      <w:r>
        <w:rPr>
          <w:spacing w:val="-11"/>
          <w:vertAlign w:val="baseline"/>
        </w:rPr>
        <w:t> </w:t>
      </w:r>
      <w:r>
        <w:rPr>
          <w:vertAlign w:val="baseline"/>
        </w:rPr>
        <w:t>Cleopatra:</w:t>
      </w:r>
      <w:r>
        <w:rPr>
          <w:spacing w:val="-8"/>
          <w:vertAlign w:val="baseline"/>
        </w:rPr>
        <w:t> </w:t>
      </w:r>
      <w:r>
        <w:rPr>
          <w:vertAlign w:val="baseline"/>
        </w:rPr>
        <w:t>“Now,</w:t>
      </w:r>
      <w:r>
        <w:rPr>
          <w:spacing w:val="-13"/>
          <w:vertAlign w:val="baseline"/>
        </w:rPr>
        <w:t> </w:t>
      </w:r>
      <w:r>
        <w:rPr>
          <w:vertAlign w:val="baseline"/>
        </w:rPr>
        <w:t>Antony</w:t>
      </w:r>
      <w:r>
        <w:rPr>
          <w:spacing w:val="-11"/>
          <w:vertAlign w:val="baseline"/>
        </w:rPr>
        <w:t> </w:t>
      </w:r>
      <w:r>
        <w:rPr>
          <w:vertAlign w:val="baseline"/>
        </w:rPr>
        <w:t>must</w:t>
      </w:r>
      <w:r>
        <w:rPr>
          <w:spacing w:val="-6"/>
          <w:vertAlign w:val="baseline"/>
        </w:rPr>
        <w:t> </w:t>
      </w:r>
      <w:r>
        <w:rPr>
          <w:vertAlign w:val="baseline"/>
        </w:rPr>
        <w:t>leave</w:t>
      </w:r>
      <w:r>
        <w:rPr>
          <w:spacing w:val="-7"/>
          <w:vertAlign w:val="baseline"/>
        </w:rPr>
        <w:t> </w:t>
      </w:r>
      <w:r>
        <w:rPr>
          <w:vertAlign w:val="baseline"/>
        </w:rPr>
        <w:t>her</w:t>
      </w:r>
      <w:r>
        <w:rPr>
          <w:spacing w:val="-6"/>
          <w:vertAlign w:val="baseline"/>
        </w:rPr>
        <w:t> </w:t>
      </w:r>
      <w:r>
        <w:rPr>
          <w:vertAlign w:val="baseline"/>
        </w:rPr>
        <w:t>utterly”</w:t>
      </w:r>
      <w:r>
        <w:rPr>
          <w:spacing w:val="-7"/>
          <w:vertAlign w:val="baseline"/>
        </w:rPr>
        <w:t> </w:t>
      </w:r>
      <w:r>
        <w:rPr>
          <w:vertAlign w:val="baseline"/>
        </w:rPr>
        <w:t>(2.2.243).</w:t>
      </w:r>
      <w:r>
        <w:rPr>
          <w:spacing w:val="-6"/>
          <w:vertAlign w:val="baseline"/>
        </w:rPr>
        <w:t> </w:t>
      </w:r>
      <w:r>
        <w:rPr>
          <w:vertAlign w:val="baseline"/>
        </w:rPr>
        <w:t>But Enobarbus,</w:t>
      </w:r>
      <w:r>
        <w:rPr>
          <w:spacing w:val="-6"/>
          <w:vertAlign w:val="baseline"/>
        </w:rPr>
        <w:t> </w:t>
      </w:r>
      <w:r>
        <w:rPr>
          <w:vertAlign w:val="baseline"/>
        </w:rPr>
        <w:t>already</w:t>
      </w:r>
      <w:r>
        <w:rPr>
          <w:spacing w:val="-10"/>
          <w:vertAlign w:val="baseline"/>
        </w:rPr>
        <w:t> </w:t>
      </w:r>
      <w:r>
        <w:rPr>
          <w:vertAlign w:val="baseline"/>
        </w:rPr>
        <w:t>infected</w:t>
      </w:r>
      <w:r>
        <w:rPr>
          <w:spacing w:val="-5"/>
          <w:vertAlign w:val="baseline"/>
        </w:rPr>
        <w:t> </w:t>
      </w:r>
      <w:r>
        <w:rPr>
          <w:vertAlign w:val="baseline"/>
        </w:rPr>
        <w:t>by</w:t>
      </w:r>
      <w:r>
        <w:rPr>
          <w:spacing w:val="-6"/>
          <w:vertAlign w:val="baseline"/>
        </w:rPr>
        <w:t> </w:t>
      </w:r>
      <w:r>
        <w:rPr>
          <w:vertAlign w:val="baseline"/>
        </w:rPr>
        <w:t>the</w:t>
      </w:r>
      <w:r>
        <w:rPr>
          <w:spacing w:val="-6"/>
          <w:vertAlign w:val="baseline"/>
        </w:rPr>
        <w:t> </w:t>
      </w:r>
      <w:r>
        <w:rPr>
          <w:vertAlign w:val="baseline"/>
        </w:rPr>
        <w:t>Cleopatra</w:t>
      </w:r>
      <w:r>
        <w:rPr>
          <w:spacing w:val="-6"/>
          <w:vertAlign w:val="baseline"/>
        </w:rPr>
        <w:t> </w:t>
      </w:r>
      <w:r>
        <w:rPr>
          <w:vertAlign w:val="baseline"/>
        </w:rPr>
        <w:t>magic,</w:t>
      </w:r>
      <w:r>
        <w:rPr>
          <w:spacing w:val="-3"/>
          <w:vertAlign w:val="baseline"/>
        </w:rPr>
        <w:t> </w:t>
      </w:r>
      <w:r>
        <w:rPr>
          <w:vertAlign w:val="baseline"/>
        </w:rPr>
        <w:t>rebuts</w:t>
      </w:r>
      <w:r>
        <w:rPr>
          <w:spacing w:val="-6"/>
          <w:vertAlign w:val="baseline"/>
        </w:rPr>
        <w:t> </w:t>
      </w:r>
      <w:r>
        <w:rPr>
          <w:vertAlign w:val="baseline"/>
        </w:rPr>
        <w:t>him</w:t>
      </w:r>
      <w:r>
        <w:rPr>
          <w:spacing w:val="-7"/>
          <w:vertAlign w:val="baseline"/>
        </w:rPr>
        <w:t> </w:t>
      </w:r>
      <w:r>
        <w:rPr>
          <w:vertAlign w:val="baseline"/>
        </w:rPr>
        <w:t>at</w:t>
      </w:r>
      <w:r>
        <w:rPr>
          <w:spacing w:val="-4"/>
          <w:vertAlign w:val="baseline"/>
        </w:rPr>
        <w:t> </w:t>
      </w:r>
      <w:r>
        <w:rPr>
          <w:vertAlign w:val="baseline"/>
        </w:rPr>
        <w:t>once: “Never! He will not. / Age cannot wither her, nor custom stale / Her infinite</w:t>
      </w:r>
      <w:r>
        <w:rPr>
          <w:spacing w:val="-4"/>
          <w:vertAlign w:val="baseline"/>
        </w:rPr>
        <w:t> </w:t>
      </w:r>
      <w:r>
        <w:rPr>
          <w:vertAlign w:val="baseline"/>
        </w:rPr>
        <w:t>variety”</w:t>
      </w:r>
      <w:r>
        <w:rPr>
          <w:spacing w:val="-1"/>
          <w:vertAlign w:val="baseline"/>
        </w:rPr>
        <w:t> </w:t>
      </w:r>
      <w:r>
        <w:rPr>
          <w:vertAlign w:val="baseline"/>
        </w:rPr>
        <w:t>(2.2.244-246).</w:t>
      </w:r>
    </w:p>
    <w:p>
      <w:pPr>
        <w:pStyle w:val="BodyText"/>
        <w:spacing w:line="192" w:lineRule="auto" w:before="57"/>
        <w:ind w:right="1439" w:firstLine="432"/>
        <w:jc w:val="both"/>
      </w:pPr>
      <w:r>
        <w:rPr>
          <w:spacing w:val="-2"/>
        </w:rPr>
        <w:t>But</w:t>
      </w:r>
      <w:r>
        <w:rPr>
          <w:spacing w:val="-11"/>
        </w:rPr>
        <w:t> </w:t>
      </w:r>
      <w:r>
        <w:rPr>
          <w:spacing w:val="-2"/>
        </w:rPr>
        <w:t>Antony’s</w:t>
      </w:r>
      <w:r>
        <w:rPr>
          <w:spacing w:val="-8"/>
        </w:rPr>
        <w:t> </w:t>
      </w:r>
      <w:r>
        <w:rPr>
          <w:spacing w:val="-2"/>
        </w:rPr>
        <w:t>attempt</w:t>
      </w:r>
      <w:r>
        <w:rPr>
          <w:spacing w:val="-5"/>
        </w:rPr>
        <w:t> </w:t>
      </w:r>
      <w:r>
        <w:rPr>
          <w:spacing w:val="-2"/>
        </w:rPr>
        <w:t>to dilute</w:t>
      </w:r>
      <w:r>
        <w:rPr>
          <w:spacing w:val="-3"/>
        </w:rPr>
        <w:t> </w:t>
      </w:r>
      <w:r>
        <w:rPr>
          <w:spacing w:val="-2"/>
        </w:rPr>
        <w:t>the</w:t>
      </w:r>
      <w:r>
        <w:rPr>
          <w:spacing w:val="-6"/>
        </w:rPr>
        <w:t> </w:t>
      </w:r>
      <w:r>
        <w:rPr>
          <w:spacing w:val="-2"/>
        </w:rPr>
        <w:t>physicality</w:t>
      </w:r>
      <w:r>
        <w:rPr>
          <w:spacing w:val="-7"/>
        </w:rPr>
        <w:t> </w:t>
      </w:r>
      <w:r>
        <w:rPr>
          <w:spacing w:val="-2"/>
        </w:rPr>
        <w:t>of</w:t>
      </w:r>
      <w:r>
        <w:rPr>
          <w:spacing w:val="-7"/>
        </w:rPr>
        <w:t> </w:t>
      </w:r>
      <w:r>
        <w:rPr>
          <w:spacing w:val="-2"/>
        </w:rPr>
        <w:t>the empire</w:t>
      </w:r>
      <w:r>
        <w:rPr>
          <w:spacing w:val="-6"/>
        </w:rPr>
        <w:t> </w:t>
      </w:r>
      <w:r>
        <w:rPr>
          <w:spacing w:val="-2"/>
        </w:rPr>
        <w:t>through </w:t>
      </w:r>
      <w:r>
        <w:rPr/>
        <w:t>the passionate planting of a hot kiss or by embracing his beloved’s</w:t>
      </w:r>
      <w:r>
        <w:rPr>
          <w:spacing w:val="40"/>
        </w:rPr>
        <w:t> </w:t>
      </w:r>
      <w:r>
        <w:rPr/>
        <w:t>body as the world begins a dangerous movement that needs to be continuously supported by such currently available impetus. But these love-freighted actions</w:t>
      </w:r>
      <w:r>
        <w:rPr>
          <w:spacing w:val="-1"/>
        </w:rPr>
        <w:t> </w:t>
      </w:r>
      <w:r>
        <w:rPr/>
        <w:t>are</w:t>
      </w:r>
      <w:r>
        <w:rPr>
          <w:spacing w:val="-1"/>
        </w:rPr>
        <w:t> </w:t>
      </w:r>
      <w:r>
        <w:rPr/>
        <w:t>few</w:t>
      </w:r>
      <w:r>
        <w:rPr>
          <w:spacing w:val="-4"/>
        </w:rPr>
        <w:t> </w:t>
      </w:r>
      <w:r>
        <w:rPr/>
        <w:t>and</w:t>
      </w:r>
      <w:r>
        <w:rPr>
          <w:spacing w:val="-1"/>
        </w:rPr>
        <w:t> </w:t>
      </w:r>
      <w:r>
        <w:rPr/>
        <w:t>far between, and thus, the</w:t>
      </w:r>
      <w:r>
        <w:rPr>
          <w:spacing w:val="-1"/>
        </w:rPr>
        <w:t> </w:t>
      </w:r>
      <w:r>
        <w:rPr/>
        <w:t>passionate conviction of Antony that his love for Cleopatra is all-embracing a universe (“Then must thou needs find out new heaven, new earth” (1.1.17) becomes a limping one with time. In fact, in Cleopatra’s great romanticization of</w:t>
      </w:r>
      <w:r>
        <w:rPr>
          <w:spacing w:val="-5"/>
        </w:rPr>
        <w:t> </w:t>
      </w:r>
      <w:r>
        <w:rPr/>
        <w:t>Antony, as we will show later in this essay, we find references to the past that, in the present context of Actium-centered worries, seem to lack the verve.</w:t>
      </w:r>
    </w:p>
    <w:p>
      <w:pPr>
        <w:pStyle w:val="BodyText"/>
        <w:spacing w:line="192" w:lineRule="auto" w:before="59"/>
        <w:ind w:right="1440" w:firstLine="432"/>
        <w:jc w:val="both"/>
      </w:pPr>
      <w:r>
        <w:rPr/>
        <w:t>It is not that Antony is going without some inner conflict, which he is not, as is evident in such utterances as, “These strong Egyptian fetters</w:t>
      </w:r>
      <w:r>
        <w:rPr>
          <w:spacing w:val="-9"/>
        </w:rPr>
        <w:t> </w:t>
      </w:r>
      <w:r>
        <w:rPr/>
        <w:t>I</w:t>
      </w:r>
      <w:r>
        <w:rPr>
          <w:spacing w:val="-8"/>
        </w:rPr>
        <w:t> </w:t>
      </w:r>
      <w:r>
        <w:rPr/>
        <w:t>must</w:t>
      </w:r>
      <w:r>
        <w:rPr>
          <w:spacing w:val="-8"/>
        </w:rPr>
        <w:t> </w:t>
      </w:r>
      <w:r>
        <w:rPr/>
        <w:t>break</w:t>
      </w:r>
      <w:r>
        <w:rPr>
          <w:spacing w:val="-9"/>
        </w:rPr>
        <w:t> </w:t>
      </w:r>
      <w:r>
        <w:rPr/>
        <w:t>/</w:t>
      </w:r>
      <w:r>
        <w:rPr>
          <w:spacing w:val="-9"/>
        </w:rPr>
        <w:t> </w:t>
      </w:r>
      <w:r>
        <w:rPr/>
        <w:t>Or</w:t>
      </w:r>
      <w:r>
        <w:rPr>
          <w:spacing w:val="-6"/>
        </w:rPr>
        <w:t> </w:t>
      </w:r>
      <w:r>
        <w:rPr/>
        <w:t>lose</w:t>
      </w:r>
      <w:r>
        <w:rPr>
          <w:spacing w:val="-7"/>
        </w:rPr>
        <w:t> </w:t>
      </w:r>
      <w:r>
        <w:rPr/>
        <w:t>myself</w:t>
      </w:r>
      <w:r>
        <w:rPr>
          <w:spacing w:val="-9"/>
        </w:rPr>
        <w:t> </w:t>
      </w:r>
      <w:r>
        <w:rPr/>
        <w:t>in</w:t>
      </w:r>
      <w:r>
        <w:rPr>
          <w:spacing w:val="-9"/>
        </w:rPr>
        <w:t> </w:t>
      </w:r>
      <w:r>
        <w:rPr/>
        <w:t>dotage”</w:t>
      </w:r>
      <w:r>
        <w:rPr>
          <w:spacing w:val="-8"/>
        </w:rPr>
        <w:t> </w:t>
      </w:r>
      <w:r>
        <w:rPr/>
        <w:t>(1.2.122-123),</w:t>
      </w:r>
      <w:r>
        <w:rPr>
          <w:spacing w:val="-8"/>
        </w:rPr>
        <w:t> </w:t>
      </w:r>
      <w:r>
        <w:rPr/>
        <w:t>or</w:t>
      </w:r>
      <w:r>
        <w:rPr>
          <w:spacing w:val="-6"/>
        </w:rPr>
        <w:t> </w:t>
      </w:r>
      <w:r>
        <w:rPr/>
        <w:t>“I</w:t>
      </w:r>
      <w:r>
        <w:rPr>
          <w:spacing w:val="-11"/>
        </w:rPr>
        <w:t> </w:t>
      </w:r>
      <w:r>
        <w:rPr/>
        <w:t>must from</w:t>
      </w:r>
      <w:r>
        <w:rPr>
          <w:spacing w:val="-7"/>
        </w:rPr>
        <w:t> </w:t>
      </w:r>
      <w:r>
        <w:rPr/>
        <w:t>this</w:t>
      </w:r>
      <w:r>
        <w:rPr>
          <w:spacing w:val="-8"/>
        </w:rPr>
        <w:t> </w:t>
      </w:r>
      <w:r>
        <w:rPr/>
        <w:t>enchanting</w:t>
      </w:r>
      <w:r>
        <w:rPr>
          <w:spacing w:val="-10"/>
        </w:rPr>
        <w:t> </w:t>
      </w:r>
      <w:r>
        <w:rPr/>
        <w:t>queen</w:t>
      </w:r>
      <w:r>
        <w:rPr>
          <w:spacing w:val="-10"/>
        </w:rPr>
        <w:t> </w:t>
      </w:r>
      <w:r>
        <w:rPr/>
        <w:t>break</w:t>
      </w:r>
      <w:r>
        <w:rPr>
          <w:spacing w:val="-9"/>
        </w:rPr>
        <w:t> </w:t>
      </w:r>
      <w:r>
        <w:rPr/>
        <w:t>off”</w:t>
      </w:r>
      <w:r>
        <w:rPr>
          <w:spacing w:val="-5"/>
        </w:rPr>
        <w:t> </w:t>
      </w:r>
      <w:r>
        <w:rPr/>
        <w:t>(1.2.135),</w:t>
      </w:r>
      <w:r>
        <w:rPr>
          <w:spacing w:val="-6"/>
        </w:rPr>
        <w:t> </w:t>
      </w:r>
      <w:r>
        <w:rPr/>
        <w:t>but</w:t>
      </w:r>
      <w:r>
        <w:rPr>
          <w:spacing w:val="-9"/>
        </w:rPr>
        <w:t> </w:t>
      </w:r>
      <w:r>
        <w:rPr/>
        <w:t>a</w:t>
      </w:r>
      <w:r>
        <w:rPr>
          <w:spacing w:val="-7"/>
        </w:rPr>
        <w:t> </w:t>
      </w:r>
      <w:r>
        <w:rPr/>
        <w:t>conversation</w:t>
      </w:r>
      <w:r>
        <w:rPr>
          <w:spacing w:val="-8"/>
        </w:rPr>
        <w:t> </w:t>
      </w:r>
      <w:r>
        <w:rPr>
          <w:spacing w:val="-4"/>
        </w:rPr>
        <w:t>with</w:t>
      </w:r>
    </w:p>
    <w:p>
      <w:pPr>
        <w:pStyle w:val="BodyText"/>
        <w:spacing w:before="10"/>
        <w:ind w:left="0"/>
        <w:rPr>
          <w:sz w:val="16"/>
        </w:rPr>
      </w:pPr>
      <w:r>
        <w:rPr>
          <w:sz w:val="16"/>
        </w:rPr>
        <mc:AlternateContent>
          <mc:Choice Requires="wps">
            <w:drawing>
              <wp:anchor distT="0" distB="0" distL="0" distR="0" allowOverlap="1" layoutInCell="1" locked="0" behindDoc="1" simplePos="0" relativeHeight="487613952">
                <wp:simplePos x="0" y="0"/>
                <wp:positionH relativeFrom="page">
                  <wp:posOffset>2049780</wp:posOffset>
                </wp:positionH>
                <wp:positionV relativeFrom="paragraph">
                  <wp:posOffset>138561</wp:posOffset>
                </wp:positionV>
                <wp:extent cx="3649979" cy="12700"/>
                <wp:effectExtent l="0" t="0" r="0" b="0"/>
                <wp:wrapTopAndBottom/>
                <wp:docPr id="147" name="Graphic 147"/>
                <wp:cNvGraphicFramePr>
                  <a:graphicFrameLocks/>
                </wp:cNvGraphicFramePr>
                <a:graphic>
                  <a:graphicData uri="http://schemas.microsoft.com/office/word/2010/wordprocessingShape">
                    <wps:wsp>
                      <wps:cNvPr id="147" name="Graphic 147"/>
                      <wps:cNvSpPr/>
                      <wps:spPr>
                        <a:xfrm>
                          <a:off x="0" y="0"/>
                          <a:ext cx="3649979" cy="12700"/>
                        </a:xfrm>
                        <a:custGeom>
                          <a:avLst/>
                          <a:gdLst/>
                          <a:ahLst/>
                          <a:cxnLst/>
                          <a:rect l="l" t="t" r="r" b="b"/>
                          <a:pathLst>
                            <a:path w="3649979" h="12700">
                              <a:moveTo>
                                <a:pt x="0" y="0"/>
                              </a:moveTo>
                              <a:lnTo>
                                <a:pt x="3649980" y="0"/>
                              </a:lnTo>
                              <a:lnTo>
                                <a:pt x="3649980" y="12192"/>
                              </a:lnTo>
                              <a:lnTo>
                                <a:pt x="0" y="12192"/>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1.400009pt;margin-top:10.910319pt;width:287.400029pt;height:.960022pt;mso-position-horizontal-relative:page;mso-position-vertical-relative:paragraph;z-index:-15702528;mso-wrap-distance-left:0;mso-wrap-distance-right:0" id="docshape143" filled="true" fillcolor="#000000" stroked="false">
                <v:fill type="solid"/>
                <w10:wrap type="topAndBottom"/>
              </v:rect>
            </w:pict>
          </mc:Fallback>
        </mc:AlternateContent>
      </w:r>
    </w:p>
    <w:p>
      <w:pPr>
        <w:spacing w:line="192" w:lineRule="auto" w:before="67"/>
        <w:ind w:left="1440" w:right="1441" w:firstLine="0"/>
        <w:jc w:val="both"/>
        <w:rPr>
          <w:sz w:val="18"/>
        </w:rPr>
      </w:pPr>
      <w:r>
        <w:rPr>
          <w:sz w:val="18"/>
          <w:vertAlign w:val="superscript"/>
        </w:rPr>
        <w:t>13</w:t>
      </w:r>
      <w:r>
        <w:rPr>
          <w:sz w:val="18"/>
          <w:vertAlign w:val="baseline"/>
        </w:rPr>
        <w:t> “In addition to gathering incidents from North’s translation, Shakespeare sometimes even incorporated North’s phrasing into his verse. In one of the</w:t>
      </w:r>
      <w:r>
        <w:rPr>
          <w:spacing w:val="40"/>
          <w:sz w:val="18"/>
          <w:vertAlign w:val="baseline"/>
        </w:rPr>
        <w:t> </w:t>
      </w:r>
      <w:r>
        <w:rPr>
          <w:sz w:val="18"/>
          <w:vertAlign w:val="baseline"/>
        </w:rPr>
        <w:t>most interesting examples of transformation, Shakespeare used the following passage</w:t>
      </w:r>
      <w:r>
        <w:rPr>
          <w:spacing w:val="40"/>
          <w:sz w:val="18"/>
          <w:vertAlign w:val="baseline"/>
        </w:rPr>
        <w:t> </w:t>
      </w:r>
      <w:r>
        <w:rPr>
          <w:sz w:val="18"/>
          <w:vertAlign w:val="baseline"/>
        </w:rPr>
        <w:t>from North,</w:t>
      </w:r>
      <w:r>
        <w:rPr>
          <w:spacing w:val="40"/>
          <w:sz w:val="18"/>
          <w:vertAlign w:val="baseline"/>
        </w:rPr>
        <w:t> </w:t>
      </w:r>
      <w:r>
        <w:rPr>
          <w:sz w:val="18"/>
          <w:vertAlign w:val="baseline"/>
        </w:rPr>
        <w:t>describing Antony</w:t>
      </w:r>
      <w:r>
        <w:rPr>
          <w:spacing w:val="40"/>
          <w:sz w:val="18"/>
          <w:vertAlign w:val="baseline"/>
        </w:rPr>
        <w:t> </w:t>
      </w:r>
      <w:r>
        <w:rPr>
          <w:sz w:val="18"/>
          <w:vertAlign w:val="baseline"/>
        </w:rPr>
        <w:t>and</w:t>
      </w:r>
      <w:r>
        <w:rPr>
          <w:spacing w:val="40"/>
          <w:sz w:val="18"/>
          <w:vertAlign w:val="baseline"/>
        </w:rPr>
        <w:t> </w:t>
      </w:r>
      <w:r>
        <w:rPr>
          <w:sz w:val="18"/>
          <w:vertAlign w:val="baseline"/>
        </w:rPr>
        <w:t>Cleopatra’s</w:t>
      </w:r>
      <w:r>
        <w:rPr>
          <w:spacing w:val="40"/>
          <w:sz w:val="18"/>
          <w:vertAlign w:val="baseline"/>
        </w:rPr>
        <w:t> </w:t>
      </w:r>
      <w:r>
        <w:rPr>
          <w:sz w:val="18"/>
          <w:vertAlign w:val="baseline"/>
        </w:rPr>
        <w:t>first</w:t>
      </w:r>
      <w:r>
        <w:rPr>
          <w:spacing w:val="40"/>
          <w:sz w:val="18"/>
          <w:vertAlign w:val="baseline"/>
        </w:rPr>
        <w:t> </w:t>
      </w:r>
      <w:r>
        <w:rPr>
          <w:sz w:val="18"/>
          <w:vertAlign w:val="baseline"/>
        </w:rPr>
        <w:t>meeting:</w:t>
      </w:r>
    </w:p>
    <w:p>
      <w:pPr>
        <w:spacing w:line="199" w:lineRule="auto" w:before="60"/>
        <w:ind w:left="2160" w:right="2157" w:firstLine="0"/>
        <w:jc w:val="both"/>
        <w:rPr>
          <w:i/>
          <w:sz w:val="18"/>
        </w:rPr>
      </w:pPr>
      <w:r>
        <w:rPr>
          <w:i/>
          <w:sz w:val="18"/>
        </w:rPr>
        <w:t>‘She disdained to sit forward otherwise, but to take her barge in the river of Cydnus, the poope whereof was of gold,</w:t>
      </w:r>
      <w:r>
        <w:rPr>
          <w:i/>
          <w:spacing w:val="-1"/>
          <w:sz w:val="18"/>
        </w:rPr>
        <w:t> </w:t>
      </w:r>
      <w:r>
        <w:rPr>
          <w:i/>
          <w:sz w:val="18"/>
        </w:rPr>
        <w:t>the</w:t>
      </w:r>
      <w:r>
        <w:rPr>
          <w:i/>
          <w:spacing w:val="-4"/>
          <w:sz w:val="18"/>
        </w:rPr>
        <w:t> </w:t>
      </w:r>
      <w:r>
        <w:rPr>
          <w:i/>
          <w:sz w:val="18"/>
        </w:rPr>
        <w:t>sails</w:t>
      </w:r>
      <w:r>
        <w:rPr>
          <w:i/>
          <w:spacing w:val="-1"/>
          <w:sz w:val="18"/>
        </w:rPr>
        <w:t> </w:t>
      </w:r>
      <w:r>
        <w:rPr>
          <w:i/>
          <w:sz w:val="18"/>
        </w:rPr>
        <w:t>of</w:t>
      </w:r>
      <w:r>
        <w:rPr>
          <w:i/>
          <w:spacing w:val="-4"/>
          <w:sz w:val="18"/>
        </w:rPr>
        <w:t> </w:t>
      </w:r>
      <w:r>
        <w:rPr>
          <w:i/>
          <w:sz w:val="18"/>
        </w:rPr>
        <w:t>purple,</w:t>
      </w:r>
      <w:r>
        <w:rPr>
          <w:i/>
          <w:spacing w:val="-1"/>
          <w:sz w:val="18"/>
        </w:rPr>
        <w:t> </w:t>
      </w:r>
      <w:r>
        <w:rPr>
          <w:i/>
          <w:sz w:val="18"/>
        </w:rPr>
        <w:t>and</w:t>
      </w:r>
      <w:r>
        <w:rPr>
          <w:i/>
          <w:spacing w:val="-2"/>
          <w:sz w:val="18"/>
        </w:rPr>
        <w:t> </w:t>
      </w:r>
      <w:r>
        <w:rPr>
          <w:i/>
          <w:sz w:val="18"/>
        </w:rPr>
        <w:t>the</w:t>
      </w:r>
      <w:r>
        <w:rPr>
          <w:i/>
          <w:spacing w:val="-2"/>
          <w:sz w:val="18"/>
        </w:rPr>
        <w:t> </w:t>
      </w:r>
      <w:r>
        <w:rPr>
          <w:i/>
          <w:sz w:val="18"/>
        </w:rPr>
        <w:t>owers</w:t>
      </w:r>
      <w:r>
        <w:rPr>
          <w:i/>
          <w:spacing w:val="-3"/>
          <w:sz w:val="18"/>
        </w:rPr>
        <w:t> </w:t>
      </w:r>
      <w:r>
        <w:rPr>
          <w:i/>
          <w:sz w:val="18"/>
        </w:rPr>
        <w:t>of</w:t>
      </w:r>
      <w:r>
        <w:rPr>
          <w:i/>
          <w:spacing w:val="-1"/>
          <w:sz w:val="18"/>
        </w:rPr>
        <w:t> </w:t>
      </w:r>
      <w:r>
        <w:rPr>
          <w:i/>
          <w:sz w:val="18"/>
        </w:rPr>
        <w:t>silver,</w:t>
      </w:r>
      <w:r>
        <w:rPr>
          <w:i/>
          <w:spacing w:val="-2"/>
          <w:sz w:val="18"/>
        </w:rPr>
        <w:t> </w:t>
      </w:r>
      <w:r>
        <w:rPr>
          <w:i/>
          <w:sz w:val="18"/>
        </w:rPr>
        <w:t>which</w:t>
      </w:r>
      <w:r>
        <w:rPr>
          <w:i/>
          <w:spacing w:val="-1"/>
          <w:sz w:val="18"/>
        </w:rPr>
        <w:t> </w:t>
      </w:r>
      <w:r>
        <w:rPr>
          <w:i/>
          <w:sz w:val="18"/>
        </w:rPr>
        <w:t>kept stroke in rowing after the sounds of the musicke of flutes, howboyes, citherns, viols, and such other instruments as they played upon in the barge. And now for the person of her selfe: she</w:t>
      </w:r>
      <w:r>
        <w:rPr>
          <w:i/>
          <w:spacing w:val="17"/>
          <w:sz w:val="18"/>
        </w:rPr>
        <w:t> </w:t>
      </w:r>
      <w:r>
        <w:rPr>
          <w:i/>
          <w:sz w:val="18"/>
        </w:rPr>
        <w:t>was layed</w:t>
      </w:r>
      <w:r>
        <w:rPr>
          <w:i/>
          <w:spacing w:val="19"/>
          <w:sz w:val="18"/>
        </w:rPr>
        <w:t> </w:t>
      </w:r>
      <w:r>
        <w:rPr>
          <w:i/>
          <w:sz w:val="18"/>
        </w:rPr>
        <w:t>under a</w:t>
      </w:r>
      <w:r>
        <w:rPr>
          <w:i/>
          <w:spacing w:val="19"/>
          <w:sz w:val="18"/>
        </w:rPr>
        <w:t> </w:t>
      </w:r>
      <w:r>
        <w:rPr>
          <w:i/>
          <w:sz w:val="18"/>
        </w:rPr>
        <w:t>pavilion</w:t>
      </w:r>
      <w:r>
        <w:rPr>
          <w:i/>
          <w:spacing w:val="17"/>
          <w:sz w:val="18"/>
        </w:rPr>
        <w:t> </w:t>
      </w:r>
      <w:r>
        <w:rPr>
          <w:i/>
          <w:sz w:val="18"/>
        </w:rPr>
        <w:t>of</w:t>
      </w:r>
      <w:r>
        <w:rPr>
          <w:i/>
          <w:spacing w:val="17"/>
          <w:sz w:val="18"/>
        </w:rPr>
        <w:t> </w:t>
      </w:r>
      <w:r>
        <w:rPr>
          <w:i/>
          <w:sz w:val="18"/>
        </w:rPr>
        <w:t>cloth</w:t>
      </w:r>
      <w:r>
        <w:rPr>
          <w:i/>
          <w:spacing w:val="17"/>
          <w:sz w:val="18"/>
        </w:rPr>
        <w:t> </w:t>
      </w:r>
      <w:r>
        <w:rPr>
          <w:i/>
          <w:sz w:val="18"/>
        </w:rPr>
        <w:t>of</w:t>
      </w:r>
      <w:r>
        <w:rPr>
          <w:i/>
          <w:spacing w:val="17"/>
          <w:sz w:val="18"/>
        </w:rPr>
        <w:t> </w:t>
      </w:r>
      <w:r>
        <w:rPr>
          <w:i/>
          <w:sz w:val="18"/>
        </w:rPr>
        <w:t>gold of tissue, apparelled and attired like the goddess Venus, commonly drawen in picture: and hard by her, on either hand of her, pretie faire boyes apparelled as painters doe set forth god Cupide, with litle fannes in their hands, with the which they fanned wind upon her. Her Ladies and gentlewomen also, the fairest of them were apparelled like </w:t>
      </w:r>
      <w:r>
        <w:rPr>
          <w:i/>
          <w:spacing w:val="-2"/>
          <w:sz w:val="18"/>
        </w:rPr>
        <w:t>the</w:t>
      </w:r>
      <w:r>
        <w:rPr>
          <w:i/>
          <w:spacing w:val="-10"/>
          <w:sz w:val="18"/>
        </w:rPr>
        <w:t> </w:t>
      </w:r>
      <w:r>
        <w:rPr>
          <w:i/>
          <w:spacing w:val="-2"/>
          <w:sz w:val="18"/>
        </w:rPr>
        <w:t>nymphes</w:t>
      </w:r>
      <w:r>
        <w:rPr>
          <w:i/>
          <w:spacing w:val="-9"/>
          <w:sz w:val="18"/>
        </w:rPr>
        <w:t> </w:t>
      </w:r>
      <w:r>
        <w:rPr>
          <w:i/>
          <w:spacing w:val="-2"/>
          <w:sz w:val="18"/>
        </w:rPr>
        <w:t>Nereides</w:t>
      </w:r>
      <w:r>
        <w:rPr>
          <w:i/>
          <w:spacing w:val="-9"/>
          <w:sz w:val="18"/>
        </w:rPr>
        <w:t> </w:t>
      </w:r>
      <w:r>
        <w:rPr>
          <w:i/>
          <w:spacing w:val="-2"/>
          <w:sz w:val="18"/>
        </w:rPr>
        <w:t>(which</w:t>
      </w:r>
      <w:r>
        <w:rPr>
          <w:i/>
          <w:spacing w:val="-5"/>
          <w:sz w:val="18"/>
        </w:rPr>
        <w:t> </w:t>
      </w:r>
      <w:r>
        <w:rPr>
          <w:i/>
          <w:spacing w:val="-2"/>
          <w:sz w:val="18"/>
        </w:rPr>
        <w:t>are</w:t>
      </w:r>
      <w:r>
        <w:rPr>
          <w:i/>
          <w:spacing w:val="-8"/>
          <w:sz w:val="18"/>
        </w:rPr>
        <w:t> </w:t>
      </w:r>
      <w:r>
        <w:rPr>
          <w:i/>
          <w:spacing w:val="-2"/>
          <w:sz w:val="18"/>
        </w:rPr>
        <w:t>the</w:t>
      </w:r>
      <w:r>
        <w:rPr>
          <w:i/>
          <w:spacing w:val="-10"/>
          <w:sz w:val="18"/>
        </w:rPr>
        <w:t> </w:t>
      </w:r>
      <w:r>
        <w:rPr>
          <w:i/>
          <w:spacing w:val="-2"/>
          <w:sz w:val="18"/>
        </w:rPr>
        <w:t>mermaids</w:t>
      </w:r>
      <w:r>
        <w:rPr>
          <w:i/>
          <w:spacing w:val="-4"/>
          <w:sz w:val="18"/>
        </w:rPr>
        <w:t> </w:t>
      </w:r>
      <w:r>
        <w:rPr>
          <w:i/>
          <w:spacing w:val="-2"/>
          <w:sz w:val="18"/>
        </w:rPr>
        <w:t>of</w:t>
      </w:r>
      <w:r>
        <w:rPr>
          <w:i/>
          <w:spacing w:val="-10"/>
          <w:sz w:val="18"/>
        </w:rPr>
        <w:t> </w:t>
      </w:r>
      <w:r>
        <w:rPr>
          <w:i/>
          <w:spacing w:val="-2"/>
          <w:sz w:val="18"/>
        </w:rPr>
        <w:t>the</w:t>
      </w:r>
      <w:r>
        <w:rPr>
          <w:i/>
          <w:spacing w:val="-8"/>
          <w:sz w:val="18"/>
        </w:rPr>
        <w:t> </w:t>
      </w:r>
      <w:r>
        <w:rPr>
          <w:i/>
          <w:spacing w:val="-2"/>
          <w:sz w:val="18"/>
        </w:rPr>
        <w:t>waters) </w:t>
      </w:r>
      <w:r>
        <w:rPr>
          <w:i/>
          <w:sz w:val="18"/>
        </w:rPr>
        <w:t>and</w:t>
      </w:r>
      <w:r>
        <w:rPr>
          <w:i/>
          <w:spacing w:val="-7"/>
          <w:sz w:val="18"/>
        </w:rPr>
        <w:t> </w:t>
      </w:r>
      <w:r>
        <w:rPr>
          <w:i/>
          <w:sz w:val="18"/>
        </w:rPr>
        <w:t>like</w:t>
      </w:r>
      <w:r>
        <w:rPr>
          <w:i/>
          <w:spacing w:val="-11"/>
          <w:sz w:val="18"/>
        </w:rPr>
        <w:t> </w:t>
      </w:r>
      <w:r>
        <w:rPr>
          <w:i/>
          <w:sz w:val="18"/>
        </w:rPr>
        <w:t>the</w:t>
      </w:r>
      <w:r>
        <w:rPr>
          <w:i/>
          <w:spacing w:val="-9"/>
          <w:sz w:val="18"/>
        </w:rPr>
        <w:t> </w:t>
      </w:r>
      <w:r>
        <w:rPr>
          <w:i/>
          <w:sz w:val="18"/>
        </w:rPr>
        <w:t>Graces,</w:t>
      </w:r>
      <w:r>
        <w:rPr>
          <w:i/>
          <w:spacing w:val="-9"/>
          <w:sz w:val="18"/>
        </w:rPr>
        <w:t> </w:t>
      </w:r>
      <w:r>
        <w:rPr>
          <w:i/>
          <w:sz w:val="18"/>
        </w:rPr>
        <w:t>some</w:t>
      </w:r>
      <w:r>
        <w:rPr>
          <w:i/>
          <w:spacing w:val="-9"/>
          <w:sz w:val="18"/>
        </w:rPr>
        <w:t> </w:t>
      </w:r>
      <w:r>
        <w:rPr>
          <w:i/>
          <w:sz w:val="18"/>
        </w:rPr>
        <w:t>stearing</w:t>
      </w:r>
      <w:r>
        <w:rPr>
          <w:i/>
          <w:spacing w:val="-7"/>
          <w:sz w:val="18"/>
        </w:rPr>
        <w:t> </w:t>
      </w:r>
      <w:r>
        <w:rPr>
          <w:i/>
          <w:sz w:val="18"/>
        </w:rPr>
        <w:t>the</w:t>
      </w:r>
      <w:r>
        <w:rPr>
          <w:i/>
          <w:spacing w:val="-7"/>
          <w:sz w:val="18"/>
        </w:rPr>
        <w:t> </w:t>
      </w:r>
      <w:r>
        <w:rPr>
          <w:i/>
          <w:sz w:val="18"/>
        </w:rPr>
        <w:t>helme,</w:t>
      </w:r>
      <w:r>
        <w:rPr>
          <w:i/>
          <w:spacing w:val="-11"/>
          <w:sz w:val="18"/>
        </w:rPr>
        <w:t> </w:t>
      </w:r>
      <w:r>
        <w:rPr>
          <w:i/>
          <w:sz w:val="18"/>
        </w:rPr>
        <w:t>others</w:t>
      </w:r>
      <w:r>
        <w:rPr>
          <w:i/>
          <w:spacing w:val="-7"/>
          <w:sz w:val="18"/>
        </w:rPr>
        <w:t> </w:t>
      </w:r>
      <w:r>
        <w:rPr>
          <w:i/>
          <w:sz w:val="18"/>
        </w:rPr>
        <w:t>trading tending the tackle and ropes of the barge, out of the which there came a wonderfull passing sweete savor of perfumes, that perfumed the wharfes side.” (</w:t>
      </w:r>
      <w:r>
        <w:rPr>
          <w:sz w:val="18"/>
        </w:rPr>
        <w:t>Harold Bloom’s Shakespeare Through the Ages: Antony and Cleopatra: Edited with an introduction by Harold Bloom, Volume Editor:</w:t>
      </w:r>
      <w:r>
        <w:rPr>
          <w:spacing w:val="4"/>
          <w:sz w:val="18"/>
        </w:rPr>
        <w:t> </w:t>
      </w:r>
      <w:r>
        <w:rPr>
          <w:sz w:val="18"/>
        </w:rPr>
        <w:t>Neil</w:t>
      </w:r>
      <w:r>
        <w:rPr>
          <w:spacing w:val="8"/>
          <w:sz w:val="18"/>
        </w:rPr>
        <w:t> </w:t>
      </w:r>
      <w:r>
        <w:rPr>
          <w:sz w:val="18"/>
        </w:rPr>
        <w:t>Heims</w:t>
      </w:r>
      <w:r>
        <w:rPr>
          <w:spacing w:val="5"/>
          <w:sz w:val="18"/>
        </w:rPr>
        <w:t> </w:t>
      </w:r>
      <w:r>
        <w:rPr>
          <w:i/>
          <w:sz w:val="18"/>
        </w:rPr>
        <w:t>(New</w:t>
      </w:r>
      <w:r>
        <w:rPr>
          <w:i/>
          <w:spacing w:val="3"/>
          <w:sz w:val="18"/>
        </w:rPr>
        <w:t> </w:t>
      </w:r>
      <w:r>
        <w:rPr>
          <w:i/>
          <w:sz w:val="18"/>
        </w:rPr>
        <w:t>Delhi:</w:t>
      </w:r>
      <w:r>
        <w:rPr>
          <w:i/>
          <w:spacing w:val="6"/>
          <w:sz w:val="18"/>
        </w:rPr>
        <w:t> </w:t>
      </w:r>
      <w:r>
        <w:rPr>
          <w:i/>
          <w:sz w:val="18"/>
        </w:rPr>
        <w:t>Viva</w:t>
      </w:r>
      <w:r>
        <w:rPr>
          <w:i/>
          <w:spacing w:val="5"/>
          <w:sz w:val="18"/>
        </w:rPr>
        <w:t> </w:t>
      </w:r>
      <w:r>
        <w:rPr>
          <w:i/>
          <w:sz w:val="18"/>
        </w:rPr>
        <w:t>Books,</w:t>
      </w:r>
      <w:r>
        <w:rPr>
          <w:i/>
          <w:spacing w:val="4"/>
          <w:sz w:val="18"/>
        </w:rPr>
        <w:t> </w:t>
      </w:r>
      <w:r>
        <w:rPr>
          <w:i/>
          <w:sz w:val="18"/>
        </w:rPr>
        <w:t>2010),</w:t>
      </w:r>
      <w:r>
        <w:rPr>
          <w:i/>
          <w:spacing w:val="6"/>
          <w:sz w:val="18"/>
        </w:rPr>
        <w:t> </w:t>
      </w:r>
      <w:r>
        <w:rPr>
          <w:i/>
          <w:sz w:val="18"/>
        </w:rPr>
        <w:t>p.</w:t>
      </w:r>
      <w:r>
        <w:rPr>
          <w:i/>
          <w:spacing w:val="4"/>
          <w:sz w:val="18"/>
        </w:rPr>
        <w:t> </w:t>
      </w:r>
      <w:r>
        <w:rPr>
          <w:i/>
          <w:spacing w:val="-4"/>
          <w:sz w:val="18"/>
        </w:rPr>
        <w:t>48.)</w:t>
      </w:r>
    </w:p>
    <w:p>
      <w:pPr>
        <w:spacing w:after="0" w:line="199" w:lineRule="auto"/>
        <w:jc w:val="both"/>
        <w:rPr>
          <w:i/>
          <w:sz w:val="18"/>
        </w:rPr>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14464">
                <wp:simplePos x="0" y="0"/>
                <wp:positionH relativeFrom="page">
                  <wp:posOffset>2065020</wp:posOffset>
                </wp:positionH>
                <wp:positionV relativeFrom="paragraph">
                  <wp:posOffset>795020</wp:posOffset>
                </wp:positionV>
                <wp:extent cx="3657600" cy="12700"/>
                <wp:effectExtent l="0" t="0" r="0" b="0"/>
                <wp:wrapTopAndBottom/>
                <wp:docPr id="148" name="Graphic 148"/>
                <wp:cNvGraphicFramePr>
                  <a:graphicFrameLocks/>
                </wp:cNvGraphicFramePr>
                <a:graphic>
                  <a:graphicData uri="http://schemas.microsoft.com/office/word/2010/wordprocessingShape">
                    <wps:wsp>
                      <wps:cNvPr id="148" name="Graphic 14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702016;mso-wrap-distance-left:0;mso-wrap-distance-right:0" id="docshape144" filled="true" fillcolor="#000000" stroked="false">
                <v:fill type="solid"/>
                <w10:wrap type="topAndBottom"/>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5"/>
          <w:sz w:val="18"/>
        </w:rPr>
        <w:t>11</w:t>
      </w:r>
    </w:p>
    <w:p>
      <w:pPr>
        <w:pStyle w:val="BodyText"/>
        <w:spacing w:line="208" w:lineRule="auto" w:before="188"/>
        <w:ind w:right="1439" w:firstLine="432"/>
        <w:jc w:val="both"/>
      </w:pPr>
      <w:r>
        <w:rPr/>
        <w:t>Enobarbus blows this determination into the air.</w:t>
      </w:r>
      <w:r>
        <w:rPr>
          <w:spacing w:val="-5"/>
        </w:rPr>
        <w:t> </w:t>
      </w:r>
      <w:r>
        <w:rPr/>
        <w:t>After the famous sartorial analogy, by which Enobarbus convinces him that wives are replaceable as clothes (1.2.144 ff), Antony mutely suggests that his presence in Rome is urgent, as his recently dead wife, Fulvia, had started a bad business with Octavius. But Enobarbus, almost echoing what was in Antony’s mind, says that his business (meaning the love entanglement) with</w:t>
      </w:r>
      <w:r>
        <w:rPr>
          <w:spacing w:val="-1"/>
        </w:rPr>
        <w:t> </w:t>
      </w:r>
      <w:r>
        <w:rPr/>
        <w:t>Cleopatra</w:t>
      </w:r>
      <w:r>
        <w:rPr>
          <w:spacing w:val="-1"/>
        </w:rPr>
        <w:t> </w:t>
      </w:r>
      <w:r>
        <w:rPr/>
        <w:t>cannot</w:t>
      </w:r>
      <w:r>
        <w:rPr>
          <w:spacing w:val="-1"/>
        </w:rPr>
        <w:t> </w:t>
      </w:r>
      <w:r>
        <w:rPr/>
        <w:t>brook</w:t>
      </w:r>
      <w:r>
        <w:rPr>
          <w:spacing w:val="-1"/>
        </w:rPr>
        <w:t> </w:t>
      </w:r>
      <w:r>
        <w:rPr/>
        <w:t>his</w:t>
      </w:r>
      <w:r>
        <w:rPr>
          <w:spacing w:val="-1"/>
        </w:rPr>
        <w:t> </w:t>
      </w:r>
      <w:r>
        <w:rPr/>
        <w:t>absence,</w:t>
      </w:r>
      <w:r>
        <w:rPr>
          <w:spacing w:val="-1"/>
        </w:rPr>
        <w:t> </w:t>
      </w:r>
      <w:r>
        <w:rPr/>
        <w:t>“which</w:t>
      </w:r>
      <w:r>
        <w:rPr>
          <w:spacing w:val="-1"/>
        </w:rPr>
        <w:t> </w:t>
      </w:r>
      <w:r>
        <w:rPr/>
        <w:t>wholly depends on your abode” (1.2.182).</w:t>
      </w:r>
    </w:p>
    <w:p>
      <w:pPr>
        <w:pStyle w:val="BodyText"/>
        <w:spacing w:line="208" w:lineRule="auto" w:before="57"/>
        <w:ind w:right="1440" w:firstLine="432"/>
        <w:jc w:val="both"/>
      </w:pPr>
      <w:r>
        <w:rPr/>
        <w:t>Antony, however, realizes that the solidity of Rome cannot be sunk</w:t>
      </w:r>
      <w:r>
        <w:rPr>
          <w:spacing w:val="-5"/>
        </w:rPr>
        <w:t> </w:t>
      </w:r>
      <w:r>
        <w:rPr/>
        <w:t>in</w:t>
      </w:r>
      <w:r>
        <w:rPr>
          <w:spacing w:val="-7"/>
        </w:rPr>
        <w:t> </w:t>
      </w:r>
      <w:r>
        <w:rPr/>
        <w:t>Tiber,</w:t>
      </w:r>
      <w:r>
        <w:rPr>
          <w:spacing w:val="-5"/>
        </w:rPr>
        <w:t> </w:t>
      </w:r>
      <w:r>
        <w:rPr/>
        <w:t>as</w:t>
      </w:r>
      <w:r>
        <w:rPr>
          <w:spacing w:val="-5"/>
        </w:rPr>
        <w:t> </w:t>
      </w:r>
      <w:r>
        <w:rPr/>
        <w:t>“Our</w:t>
      </w:r>
      <w:r>
        <w:rPr>
          <w:spacing w:val="-4"/>
        </w:rPr>
        <w:t> </w:t>
      </w:r>
      <w:r>
        <w:rPr/>
        <w:t>Italy</w:t>
      </w:r>
      <w:r>
        <w:rPr>
          <w:spacing w:val="-7"/>
        </w:rPr>
        <w:t> </w:t>
      </w:r>
      <w:r>
        <w:rPr/>
        <w:t>/</w:t>
      </w:r>
      <w:r>
        <w:rPr>
          <w:spacing w:val="-4"/>
        </w:rPr>
        <w:t> </w:t>
      </w:r>
      <w:r>
        <w:rPr/>
        <w:t>Shines</w:t>
      </w:r>
      <w:r>
        <w:rPr>
          <w:spacing w:val="-5"/>
        </w:rPr>
        <w:t> </w:t>
      </w:r>
      <w:r>
        <w:rPr/>
        <w:t>o’er</w:t>
      </w:r>
      <w:r>
        <w:rPr>
          <w:spacing w:val="-5"/>
        </w:rPr>
        <w:t> </w:t>
      </w:r>
      <w:r>
        <w:rPr/>
        <w:t>with</w:t>
      </w:r>
      <w:r>
        <w:rPr>
          <w:spacing w:val="-5"/>
        </w:rPr>
        <w:t> </w:t>
      </w:r>
      <w:r>
        <w:rPr/>
        <w:t>civil</w:t>
      </w:r>
      <w:r>
        <w:rPr>
          <w:spacing w:val="-5"/>
        </w:rPr>
        <w:t> </w:t>
      </w:r>
      <w:r>
        <w:rPr/>
        <w:t>swords”</w:t>
      </w:r>
      <w:r>
        <w:rPr>
          <w:spacing w:val="-3"/>
        </w:rPr>
        <w:t> </w:t>
      </w:r>
      <w:r>
        <w:rPr/>
        <w:t>(1.3.45-46), and despite Cleopatra’s great efforts to retain him to her by stage managing her mood swings (“If you find him sad, / Say I am dancing:</w:t>
      </w:r>
      <w:r>
        <w:rPr>
          <w:spacing w:val="40"/>
        </w:rPr>
        <w:t> </w:t>
      </w:r>
      <w:r>
        <w:rPr/>
        <w:t>if in mirth, report, / That I am sudden sick” (1.3.4-5), calling</w:t>
      </w:r>
      <w:r>
        <w:rPr>
          <w:spacing w:val="-7"/>
        </w:rPr>
        <w:t> </w:t>
      </w:r>
      <w:r>
        <w:rPr/>
        <w:t>Antony a </w:t>
      </w:r>
      <w:r>
        <w:rPr>
          <w:spacing w:val="-4"/>
        </w:rPr>
        <w:t>dissembler</w:t>
      </w:r>
      <w:r>
        <w:rPr>
          <w:spacing w:val="-9"/>
        </w:rPr>
        <w:t> </w:t>
      </w:r>
      <w:r>
        <w:rPr>
          <w:spacing w:val="-4"/>
        </w:rPr>
        <w:t>(“excellent</w:t>
      </w:r>
      <w:r>
        <w:rPr>
          <w:spacing w:val="-8"/>
        </w:rPr>
        <w:t> </w:t>
      </w:r>
      <w:r>
        <w:rPr>
          <w:spacing w:val="-4"/>
        </w:rPr>
        <w:t>dissembling”</w:t>
      </w:r>
      <w:r>
        <w:rPr>
          <w:spacing w:val="-9"/>
        </w:rPr>
        <w:t> </w:t>
      </w:r>
      <w:r>
        <w:rPr>
          <w:spacing w:val="-4"/>
        </w:rPr>
        <w:t>(1.3.80),</w:t>
      </w:r>
      <w:r>
        <w:rPr>
          <w:spacing w:val="-8"/>
        </w:rPr>
        <w:t> </w:t>
      </w:r>
      <w:r>
        <w:rPr>
          <w:spacing w:val="-4"/>
        </w:rPr>
        <w:t>“O</w:t>
      </w:r>
      <w:r>
        <w:rPr>
          <w:spacing w:val="-9"/>
        </w:rPr>
        <w:t> </w:t>
      </w:r>
      <w:r>
        <w:rPr>
          <w:spacing w:val="-4"/>
        </w:rPr>
        <w:t>well-divided</w:t>
      </w:r>
      <w:r>
        <w:rPr>
          <w:spacing w:val="-8"/>
        </w:rPr>
        <w:t> </w:t>
      </w:r>
      <w:r>
        <w:rPr>
          <w:spacing w:val="-4"/>
        </w:rPr>
        <w:t>disposition!” </w:t>
      </w:r>
      <w:r>
        <w:rPr/>
        <w:t>(1.5.56), Antony does leave Alexandria with the pledge to Cleopatra, almost in the tone of Donne’s famous ‘compass imagery’ that “Our separation so abides and flies” (1.3.104) that his going means staying, and</w:t>
      </w:r>
      <w:r>
        <w:rPr>
          <w:spacing w:val="40"/>
        </w:rPr>
        <w:t> </w:t>
      </w:r>
      <w:r>
        <w:rPr/>
        <w:t>Cleopatra’s</w:t>
      </w:r>
      <w:r>
        <w:rPr>
          <w:spacing w:val="40"/>
        </w:rPr>
        <w:t> </w:t>
      </w:r>
      <w:r>
        <w:rPr/>
        <w:t>staying</w:t>
      </w:r>
      <w:r>
        <w:rPr>
          <w:spacing w:val="40"/>
        </w:rPr>
        <w:t> </w:t>
      </w:r>
      <w:r>
        <w:rPr/>
        <w:t>means</w:t>
      </w:r>
      <w:r>
        <w:rPr>
          <w:spacing w:val="40"/>
        </w:rPr>
        <w:t> </w:t>
      </w:r>
      <w:r>
        <w:rPr/>
        <w:t>her</w:t>
      </w:r>
      <w:r>
        <w:rPr>
          <w:spacing w:val="40"/>
        </w:rPr>
        <w:t> </w:t>
      </w:r>
      <w:r>
        <w:rPr/>
        <w:t>going</w:t>
      </w:r>
      <w:r>
        <w:rPr>
          <w:spacing w:val="40"/>
        </w:rPr>
        <w:t> </w:t>
      </w:r>
      <w:r>
        <w:rPr/>
        <w:t>with</w:t>
      </w:r>
      <w:r>
        <w:rPr>
          <w:spacing w:val="40"/>
        </w:rPr>
        <w:t> </w:t>
      </w:r>
      <w:r>
        <w:rPr/>
        <w:t>him.</w:t>
      </w:r>
    </w:p>
    <w:p>
      <w:pPr>
        <w:pStyle w:val="BodyText"/>
        <w:spacing w:line="208" w:lineRule="auto" w:before="56"/>
        <w:ind w:right="1441" w:firstLine="432"/>
        <w:jc w:val="both"/>
      </w:pPr>
      <w:r>
        <w:rPr/>
        <w:t>From</w:t>
      </w:r>
      <w:r>
        <w:rPr>
          <w:spacing w:val="-3"/>
        </w:rPr>
        <w:t> </w:t>
      </w:r>
      <w:r>
        <w:rPr/>
        <w:t>this sense</w:t>
      </w:r>
      <w:r>
        <w:rPr>
          <w:spacing w:val="-1"/>
        </w:rPr>
        <w:t> </w:t>
      </w:r>
      <w:r>
        <w:rPr/>
        <w:t>of</w:t>
      </w:r>
      <w:r>
        <w:rPr>
          <w:spacing w:val="-2"/>
        </w:rPr>
        <w:t> </w:t>
      </w:r>
      <w:r>
        <w:rPr/>
        <w:t>a dialectical</w:t>
      </w:r>
      <w:r>
        <w:rPr>
          <w:spacing w:val="-1"/>
        </w:rPr>
        <w:t> </w:t>
      </w:r>
      <w:r>
        <w:rPr/>
        <w:t>unity</w:t>
      </w:r>
      <w:r>
        <w:rPr>
          <w:spacing w:val="-4"/>
        </w:rPr>
        <w:t> </w:t>
      </w:r>
      <w:r>
        <w:rPr/>
        <w:t>of going</w:t>
      </w:r>
      <w:r>
        <w:rPr>
          <w:spacing w:val="-2"/>
        </w:rPr>
        <w:t> </w:t>
      </w:r>
      <w:r>
        <w:rPr/>
        <w:t>and staying of</w:t>
      </w:r>
      <w:r>
        <w:rPr>
          <w:spacing w:val="-2"/>
        </w:rPr>
        <w:t> </w:t>
      </w:r>
      <w:r>
        <w:rPr/>
        <w:t>love, Antony softly admits that his war call depends on Cleopatra’s nodding, as</w:t>
      </w:r>
      <w:r>
        <w:rPr>
          <w:spacing w:val="-13"/>
        </w:rPr>
        <w:t> </w:t>
      </w:r>
      <w:r>
        <w:rPr/>
        <w:t>he</w:t>
      </w:r>
      <w:r>
        <w:rPr>
          <w:spacing w:val="-12"/>
        </w:rPr>
        <w:t> </w:t>
      </w:r>
      <w:r>
        <w:rPr/>
        <w:t>said</w:t>
      </w:r>
      <w:r>
        <w:rPr>
          <w:spacing w:val="-13"/>
        </w:rPr>
        <w:t> </w:t>
      </w:r>
      <w:r>
        <w:rPr/>
        <w:t>to</w:t>
      </w:r>
      <w:r>
        <w:rPr>
          <w:spacing w:val="-12"/>
        </w:rPr>
        <w:t> </w:t>
      </w:r>
      <w:r>
        <w:rPr/>
        <w:t>Enobarbus</w:t>
      </w:r>
      <w:r>
        <w:rPr>
          <w:spacing w:val="-13"/>
        </w:rPr>
        <w:t> </w:t>
      </w:r>
      <w:r>
        <w:rPr/>
        <w:t>earlier,</w:t>
      </w:r>
      <w:r>
        <w:rPr>
          <w:spacing w:val="-12"/>
        </w:rPr>
        <w:t> </w:t>
      </w:r>
      <w:r>
        <w:rPr/>
        <w:t>“I</w:t>
      </w:r>
      <w:r>
        <w:rPr>
          <w:spacing w:val="-13"/>
        </w:rPr>
        <w:t> </w:t>
      </w:r>
      <w:r>
        <w:rPr/>
        <w:t>shall</w:t>
      </w:r>
      <w:r>
        <w:rPr>
          <w:spacing w:val="-12"/>
        </w:rPr>
        <w:t> </w:t>
      </w:r>
      <w:r>
        <w:rPr/>
        <w:t>break</w:t>
      </w:r>
      <w:r>
        <w:rPr>
          <w:spacing w:val="-13"/>
        </w:rPr>
        <w:t> </w:t>
      </w:r>
      <w:r>
        <w:rPr/>
        <w:t>the</w:t>
      </w:r>
      <w:r>
        <w:rPr>
          <w:spacing w:val="-12"/>
        </w:rPr>
        <w:t> </w:t>
      </w:r>
      <w:r>
        <w:rPr/>
        <w:t>cause</w:t>
      </w:r>
      <w:r>
        <w:rPr>
          <w:spacing w:val="-13"/>
        </w:rPr>
        <w:t> </w:t>
      </w:r>
      <w:r>
        <w:rPr/>
        <w:t>of</w:t>
      </w:r>
      <w:r>
        <w:rPr>
          <w:spacing w:val="-12"/>
        </w:rPr>
        <w:t> </w:t>
      </w:r>
      <w:r>
        <w:rPr/>
        <w:t>our</w:t>
      </w:r>
      <w:r>
        <w:rPr>
          <w:spacing w:val="-13"/>
        </w:rPr>
        <w:t> </w:t>
      </w:r>
      <w:r>
        <w:rPr/>
        <w:t>expedience to the Queen /</w:t>
      </w:r>
      <w:r>
        <w:rPr>
          <w:spacing w:val="-9"/>
        </w:rPr>
        <w:t> </w:t>
      </w:r>
      <w:r>
        <w:rPr/>
        <w:t>And get her leave to part” (1.2.184-185), but, in this, we can find an element in alignment with our argument that the physical reality of the world is being made soft and spongy by the amorous development of their love.</w:t>
      </w:r>
    </w:p>
    <w:p>
      <w:pPr>
        <w:pStyle w:val="BodyText"/>
        <w:spacing w:line="201" w:lineRule="auto" w:before="62"/>
        <w:ind w:right="1436" w:firstLine="432"/>
        <w:jc w:val="both"/>
      </w:pPr>
      <w:r>
        <w:rPr/>
        <w:t>Caesar’s</w:t>
      </w:r>
      <w:r>
        <w:rPr>
          <w:vertAlign w:val="superscript"/>
        </w:rPr>
        <w:t>14</w:t>
      </w:r>
      <w:r>
        <w:rPr>
          <w:vertAlign w:val="baseline"/>
        </w:rPr>
        <w:t> series of accusations, which may be synecdochically expressed</w:t>
      </w:r>
      <w:r>
        <w:rPr>
          <w:spacing w:val="-13"/>
          <w:vertAlign w:val="baseline"/>
        </w:rPr>
        <w:t> </w:t>
      </w:r>
      <w:r>
        <w:rPr>
          <w:vertAlign w:val="baseline"/>
        </w:rPr>
        <w:t>by</w:t>
      </w:r>
      <w:r>
        <w:rPr>
          <w:spacing w:val="-12"/>
          <w:vertAlign w:val="baseline"/>
        </w:rPr>
        <w:t> </w:t>
      </w:r>
      <w:r>
        <w:rPr>
          <w:vertAlign w:val="baseline"/>
        </w:rPr>
        <w:t>the</w:t>
      </w:r>
      <w:r>
        <w:rPr>
          <w:spacing w:val="-13"/>
          <w:vertAlign w:val="baseline"/>
        </w:rPr>
        <w:t> </w:t>
      </w:r>
      <w:r>
        <w:rPr>
          <w:vertAlign w:val="baseline"/>
        </w:rPr>
        <w:t>horror</w:t>
      </w:r>
      <w:r>
        <w:rPr>
          <w:spacing w:val="-12"/>
          <w:vertAlign w:val="baseline"/>
        </w:rPr>
        <w:t> </w:t>
      </w:r>
      <w:r>
        <w:rPr>
          <w:vertAlign w:val="baseline"/>
        </w:rPr>
        <w:t>of</w:t>
      </w:r>
      <w:r>
        <w:rPr>
          <w:spacing w:val="-13"/>
          <w:vertAlign w:val="baseline"/>
        </w:rPr>
        <w:t> </w:t>
      </w:r>
      <w:r>
        <w:rPr>
          <w:vertAlign w:val="baseline"/>
        </w:rPr>
        <w:t>transsexuality</w:t>
      </w:r>
      <w:r>
        <w:rPr>
          <w:spacing w:val="-12"/>
          <w:vertAlign w:val="baseline"/>
        </w:rPr>
        <w:t> </w:t>
      </w:r>
      <w:r>
        <w:rPr>
          <w:vertAlign w:val="baseline"/>
        </w:rPr>
        <w:t>between</w:t>
      </w:r>
      <w:r>
        <w:rPr>
          <w:spacing w:val="-13"/>
          <w:vertAlign w:val="baseline"/>
        </w:rPr>
        <w:t> </w:t>
      </w:r>
      <w:r>
        <w:rPr>
          <w:vertAlign w:val="baseline"/>
        </w:rPr>
        <w:t>Antony</w:t>
      </w:r>
      <w:r>
        <w:rPr>
          <w:spacing w:val="-12"/>
          <w:vertAlign w:val="baseline"/>
        </w:rPr>
        <w:t> </w:t>
      </w:r>
      <w:r>
        <w:rPr>
          <w:vertAlign w:val="baseline"/>
        </w:rPr>
        <w:t>and</w:t>
      </w:r>
      <w:r>
        <w:rPr>
          <w:spacing w:val="-13"/>
          <w:vertAlign w:val="baseline"/>
        </w:rPr>
        <w:t> </w:t>
      </w:r>
      <w:r>
        <w:rPr>
          <w:vertAlign w:val="baseline"/>
        </w:rPr>
        <w:t>Cleopatra: Antony “is not more manlike / Than Cleopatra, nor the Queen of Ptolemy / More womanly than he” (1.4.5-7); or,</w:t>
      </w:r>
      <w:r>
        <w:rPr>
          <w:spacing w:val="-1"/>
          <w:vertAlign w:val="baseline"/>
        </w:rPr>
        <w:t> </w:t>
      </w:r>
      <w:r>
        <w:rPr>
          <w:vertAlign w:val="baseline"/>
        </w:rPr>
        <w:t>Antony “tumble[s] on the</w:t>
      </w:r>
      <w:r>
        <w:rPr>
          <w:spacing w:val="-13"/>
          <w:vertAlign w:val="baseline"/>
        </w:rPr>
        <w:t> </w:t>
      </w:r>
      <w:r>
        <w:rPr>
          <w:vertAlign w:val="baseline"/>
        </w:rPr>
        <w:t>bed</w:t>
      </w:r>
      <w:r>
        <w:rPr>
          <w:spacing w:val="-9"/>
          <w:vertAlign w:val="baseline"/>
        </w:rPr>
        <w:t> </w:t>
      </w:r>
      <w:r>
        <w:rPr>
          <w:vertAlign w:val="baseline"/>
        </w:rPr>
        <w:t>of</w:t>
      </w:r>
      <w:r>
        <w:rPr>
          <w:spacing w:val="-13"/>
          <w:vertAlign w:val="baseline"/>
        </w:rPr>
        <w:t> </w:t>
      </w:r>
      <w:r>
        <w:rPr>
          <w:vertAlign w:val="baseline"/>
        </w:rPr>
        <w:t>Ptolemy,</w:t>
      </w:r>
      <w:r>
        <w:rPr>
          <w:spacing w:val="-9"/>
          <w:vertAlign w:val="baseline"/>
        </w:rPr>
        <w:t> </w:t>
      </w:r>
      <w:r>
        <w:rPr>
          <w:vertAlign w:val="baseline"/>
        </w:rPr>
        <w:t>/</w:t>
      </w:r>
      <w:r>
        <w:rPr>
          <w:spacing w:val="-13"/>
          <w:vertAlign w:val="baseline"/>
        </w:rPr>
        <w:t> </w:t>
      </w:r>
      <w:r>
        <w:rPr>
          <w:vertAlign w:val="baseline"/>
        </w:rPr>
        <w:t>To</w:t>
      </w:r>
      <w:r>
        <w:rPr>
          <w:spacing w:val="-11"/>
          <w:vertAlign w:val="baseline"/>
        </w:rPr>
        <w:t> </w:t>
      </w:r>
      <w:r>
        <w:rPr>
          <w:vertAlign w:val="baseline"/>
        </w:rPr>
        <w:t>give</w:t>
      </w:r>
      <w:r>
        <w:rPr>
          <w:spacing w:val="-11"/>
          <w:vertAlign w:val="baseline"/>
        </w:rPr>
        <w:t> </w:t>
      </w:r>
      <w:r>
        <w:rPr>
          <w:vertAlign w:val="baseline"/>
        </w:rPr>
        <w:t>a</w:t>
      </w:r>
      <w:r>
        <w:rPr>
          <w:spacing w:val="-10"/>
          <w:vertAlign w:val="baseline"/>
        </w:rPr>
        <w:t> </w:t>
      </w:r>
      <w:r>
        <w:rPr>
          <w:vertAlign w:val="baseline"/>
        </w:rPr>
        <w:t>kingdom</w:t>
      </w:r>
      <w:r>
        <w:rPr>
          <w:spacing w:val="-13"/>
          <w:vertAlign w:val="baseline"/>
        </w:rPr>
        <w:t> </w:t>
      </w:r>
      <w:r>
        <w:rPr>
          <w:vertAlign w:val="baseline"/>
        </w:rPr>
        <w:t>for</w:t>
      </w:r>
      <w:r>
        <w:rPr>
          <w:spacing w:val="-9"/>
          <w:vertAlign w:val="baseline"/>
        </w:rPr>
        <w:t> </w:t>
      </w:r>
      <w:r>
        <w:rPr>
          <w:vertAlign w:val="baseline"/>
        </w:rPr>
        <w:t>a</w:t>
      </w:r>
      <w:r>
        <w:rPr>
          <w:spacing w:val="-11"/>
          <w:vertAlign w:val="baseline"/>
        </w:rPr>
        <w:t> </w:t>
      </w:r>
      <w:r>
        <w:rPr>
          <w:vertAlign w:val="baseline"/>
        </w:rPr>
        <w:t>mirth”</w:t>
      </w:r>
      <w:r>
        <w:rPr>
          <w:spacing w:val="-11"/>
          <w:vertAlign w:val="baseline"/>
        </w:rPr>
        <w:t> </w:t>
      </w:r>
      <w:r>
        <w:rPr>
          <w:vertAlign w:val="baseline"/>
        </w:rPr>
        <w:t>(1.4.17-18),</w:t>
      </w:r>
      <w:r>
        <w:rPr>
          <w:spacing w:val="-11"/>
          <w:vertAlign w:val="baseline"/>
        </w:rPr>
        <w:t> </w:t>
      </w:r>
      <w:r>
        <w:rPr>
          <w:vertAlign w:val="baseline"/>
        </w:rPr>
        <w:t>may</w:t>
      </w:r>
      <w:r>
        <w:rPr>
          <w:spacing w:val="-13"/>
          <w:vertAlign w:val="baseline"/>
        </w:rPr>
        <w:t> </w:t>
      </w:r>
      <w:r>
        <w:rPr>
          <w:vertAlign w:val="baseline"/>
        </w:rPr>
        <w:t>all be a part of his subtle diplomacy of sustaining the hate campaign against</w:t>
      </w:r>
      <w:r>
        <w:rPr>
          <w:spacing w:val="-13"/>
          <w:vertAlign w:val="baseline"/>
        </w:rPr>
        <w:t> </w:t>
      </w:r>
      <w:r>
        <w:rPr>
          <w:vertAlign w:val="baseline"/>
        </w:rPr>
        <w:t>Antony,</w:t>
      </w:r>
      <w:r>
        <w:rPr>
          <w:spacing w:val="-12"/>
          <w:vertAlign w:val="baseline"/>
        </w:rPr>
        <w:t> </w:t>
      </w:r>
      <w:r>
        <w:rPr>
          <w:vertAlign w:val="baseline"/>
        </w:rPr>
        <w:t>as</w:t>
      </w:r>
      <w:r>
        <w:rPr>
          <w:spacing w:val="-13"/>
          <w:vertAlign w:val="baseline"/>
        </w:rPr>
        <w:t> </w:t>
      </w:r>
      <w:r>
        <w:rPr>
          <w:vertAlign w:val="baseline"/>
        </w:rPr>
        <w:t>Gordon</w:t>
      </w:r>
      <w:r>
        <w:rPr>
          <w:spacing w:val="-12"/>
          <w:vertAlign w:val="baseline"/>
        </w:rPr>
        <w:t> </w:t>
      </w:r>
      <w:r>
        <w:rPr>
          <w:vertAlign w:val="baseline"/>
        </w:rPr>
        <w:t>P.</w:t>
      </w:r>
      <w:r>
        <w:rPr>
          <w:spacing w:val="-11"/>
          <w:vertAlign w:val="baseline"/>
        </w:rPr>
        <w:t> </w:t>
      </w:r>
      <w:r>
        <w:rPr>
          <w:vertAlign w:val="baseline"/>
        </w:rPr>
        <w:t>Jones</w:t>
      </w:r>
      <w:r>
        <w:rPr>
          <w:spacing w:val="-11"/>
          <w:vertAlign w:val="baseline"/>
        </w:rPr>
        <w:t> </w:t>
      </w:r>
      <w:r>
        <w:rPr>
          <w:vertAlign w:val="baseline"/>
        </w:rPr>
        <w:t>remarks:</w:t>
      </w:r>
      <w:r>
        <w:rPr>
          <w:spacing w:val="-10"/>
          <w:vertAlign w:val="baseline"/>
        </w:rPr>
        <w:t> </w:t>
      </w:r>
      <w:r>
        <w:rPr>
          <w:vertAlign w:val="baseline"/>
        </w:rPr>
        <w:t>“.</w:t>
      </w:r>
      <w:r>
        <w:rPr>
          <w:spacing w:val="-11"/>
          <w:vertAlign w:val="baseline"/>
        </w:rPr>
        <w:t> </w:t>
      </w:r>
      <w:r>
        <w:rPr>
          <w:vertAlign w:val="baseline"/>
        </w:rPr>
        <w:t>.</w:t>
      </w:r>
      <w:r>
        <w:rPr>
          <w:spacing w:val="-11"/>
          <w:vertAlign w:val="baseline"/>
        </w:rPr>
        <w:t> </w:t>
      </w:r>
      <w:r>
        <w:rPr>
          <w:vertAlign w:val="baseline"/>
        </w:rPr>
        <w:t>.</w:t>
      </w:r>
      <w:r>
        <w:rPr>
          <w:spacing w:val="-8"/>
          <w:vertAlign w:val="baseline"/>
        </w:rPr>
        <w:t> </w:t>
      </w:r>
      <w:r>
        <w:rPr>
          <w:vertAlign w:val="baseline"/>
        </w:rPr>
        <w:t>Shakespeare</w:t>
      </w:r>
      <w:r>
        <w:rPr>
          <w:spacing w:val="-10"/>
          <w:vertAlign w:val="baseline"/>
        </w:rPr>
        <w:t> </w:t>
      </w:r>
      <w:r>
        <w:rPr>
          <w:vertAlign w:val="baseline"/>
        </w:rPr>
        <w:t>contrived a prominently-located piece of theatrical cross-dressing in order to establish efficiently and conclusively the unmanning of Antony by the power of love.”</w:t>
      </w:r>
      <w:r>
        <w:rPr>
          <w:vertAlign w:val="superscript"/>
        </w:rPr>
        <w:t>15</w:t>
      </w:r>
      <w:r>
        <w:rPr>
          <w:vertAlign w:val="baseline"/>
        </w:rPr>
        <w:t> However, Caesar’s diatribe continues as to include a past</w:t>
      </w:r>
      <w:r>
        <w:rPr>
          <w:spacing w:val="20"/>
          <w:vertAlign w:val="baseline"/>
        </w:rPr>
        <w:t> </w:t>
      </w:r>
      <w:r>
        <w:rPr>
          <w:vertAlign w:val="baseline"/>
        </w:rPr>
        <w:t>feat</w:t>
      </w:r>
      <w:r>
        <w:rPr>
          <w:spacing w:val="23"/>
          <w:vertAlign w:val="baseline"/>
        </w:rPr>
        <w:t> </w:t>
      </w:r>
      <w:r>
        <w:rPr>
          <w:vertAlign w:val="baseline"/>
        </w:rPr>
        <w:t>of</w:t>
      </w:r>
      <w:r>
        <w:rPr>
          <w:spacing w:val="8"/>
          <w:vertAlign w:val="baseline"/>
        </w:rPr>
        <w:t> </w:t>
      </w:r>
      <w:r>
        <w:rPr>
          <w:vertAlign w:val="baseline"/>
        </w:rPr>
        <w:t>Antony’s</w:t>
      </w:r>
      <w:r>
        <w:rPr>
          <w:spacing w:val="22"/>
          <w:vertAlign w:val="baseline"/>
        </w:rPr>
        <w:t> </w:t>
      </w:r>
      <w:r>
        <w:rPr>
          <w:vertAlign w:val="baseline"/>
        </w:rPr>
        <w:t>of</w:t>
      </w:r>
      <w:r>
        <w:rPr>
          <w:spacing w:val="20"/>
          <w:vertAlign w:val="baseline"/>
        </w:rPr>
        <w:t> </w:t>
      </w:r>
      <w:r>
        <w:rPr>
          <w:vertAlign w:val="baseline"/>
        </w:rPr>
        <w:t>which</w:t>
      </w:r>
      <w:r>
        <w:rPr>
          <w:spacing w:val="21"/>
          <w:vertAlign w:val="baseline"/>
        </w:rPr>
        <w:t> </w:t>
      </w:r>
      <w:r>
        <w:rPr>
          <w:vertAlign w:val="baseline"/>
        </w:rPr>
        <w:t>he</w:t>
      </w:r>
      <w:r>
        <w:rPr>
          <w:spacing w:val="22"/>
          <w:vertAlign w:val="baseline"/>
        </w:rPr>
        <w:t> </w:t>
      </w:r>
      <w:r>
        <w:rPr>
          <w:vertAlign w:val="baseline"/>
        </w:rPr>
        <w:t>is</w:t>
      </w:r>
      <w:r>
        <w:rPr>
          <w:spacing w:val="23"/>
          <w:vertAlign w:val="baseline"/>
        </w:rPr>
        <w:t> </w:t>
      </w:r>
      <w:r>
        <w:rPr>
          <w:vertAlign w:val="baseline"/>
        </w:rPr>
        <w:t>presently</w:t>
      </w:r>
      <w:r>
        <w:rPr>
          <w:spacing w:val="17"/>
          <w:vertAlign w:val="baseline"/>
        </w:rPr>
        <w:t> </w:t>
      </w:r>
      <w:r>
        <w:rPr>
          <w:vertAlign w:val="baseline"/>
        </w:rPr>
        <w:t>a</w:t>
      </w:r>
      <w:r>
        <w:rPr>
          <w:spacing w:val="23"/>
          <w:vertAlign w:val="baseline"/>
        </w:rPr>
        <w:t> </w:t>
      </w:r>
      <w:r>
        <w:rPr>
          <w:vertAlign w:val="baseline"/>
        </w:rPr>
        <w:t>shadow</w:t>
      </w:r>
      <w:r>
        <w:rPr>
          <w:spacing w:val="19"/>
          <w:vertAlign w:val="baseline"/>
        </w:rPr>
        <w:t> </w:t>
      </w:r>
      <w:r>
        <w:rPr>
          <w:vertAlign w:val="baseline"/>
        </w:rPr>
        <w:t>of:</w:t>
      </w:r>
      <w:r>
        <w:rPr>
          <w:spacing w:val="23"/>
          <w:vertAlign w:val="baseline"/>
        </w:rPr>
        <w:t> </w:t>
      </w:r>
      <w:r>
        <w:rPr>
          <w:spacing w:val="-2"/>
          <w:vertAlign w:val="baseline"/>
        </w:rPr>
        <w:t>“Antony,</w:t>
      </w:r>
    </w:p>
    <w:p>
      <w:pPr>
        <w:pStyle w:val="BodyText"/>
        <w:spacing w:line="204" w:lineRule="auto" w:before="7"/>
        <w:ind w:right="1438"/>
        <w:jc w:val="both"/>
      </w:pPr>
      <w:r>
        <w:rPr/>
        <w:t>/ Leave thy lascivious wassails! When though once / Was beaten from Modena,” Antony went through much hardship, hunger being his constant company, and he was forced to “drink / The stale of horses</w:t>
      </w:r>
      <w:r>
        <w:rPr>
          <w:spacing w:val="40"/>
        </w:rPr>
        <w:t> </w:t>
      </w:r>
      <w:r>
        <w:rPr/>
        <w:t>and</w:t>
      </w:r>
      <w:r>
        <w:rPr>
          <w:spacing w:val="40"/>
        </w:rPr>
        <w:t> </w:t>
      </w:r>
      <w:r>
        <w:rPr/>
        <w:t>the</w:t>
      </w:r>
      <w:r>
        <w:rPr>
          <w:spacing w:val="40"/>
        </w:rPr>
        <w:t> </w:t>
      </w:r>
      <w:r>
        <w:rPr/>
        <w:t>gilded</w:t>
      </w:r>
      <w:r>
        <w:rPr>
          <w:spacing w:val="40"/>
        </w:rPr>
        <w:t> </w:t>
      </w:r>
      <w:r>
        <w:rPr/>
        <w:t>puddle,</w:t>
      </w:r>
      <w:r>
        <w:rPr>
          <w:spacing w:val="40"/>
        </w:rPr>
        <w:t> </w:t>
      </w:r>
      <w:r>
        <w:rPr/>
        <w:t>/</w:t>
      </w:r>
      <w:r>
        <w:rPr>
          <w:spacing w:val="40"/>
        </w:rPr>
        <w:t> </w:t>
      </w:r>
      <w:r>
        <w:rPr/>
        <w:t>Which</w:t>
      </w:r>
    </w:p>
    <w:p>
      <w:pPr>
        <w:pStyle w:val="BodyText"/>
        <w:spacing w:before="4"/>
        <w:ind w:left="0"/>
        <w:rPr>
          <w:sz w:val="16"/>
        </w:rPr>
      </w:pPr>
      <w:r>
        <w:rPr>
          <w:sz w:val="16"/>
        </w:rPr>
        <mc:AlternateContent>
          <mc:Choice Requires="wps">
            <w:drawing>
              <wp:anchor distT="0" distB="0" distL="0" distR="0" allowOverlap="1" layoutInCell="1" locked="0" behindDoc="1" simplePos="0" relativeHeight="487614976">
                <wp:simplePos x="0" y="0"/>
                <wp:positionH relativeFrom="page">
                  <wp:posOffset>2066544</wp:posOffset>
                </wp:positionH>
                <wp:positionV relativeFrom="paragraph">
                  <wp:posOffset>134728</wp:posOffset>
                </wp:positionV>
                <wp:extent cx="3649979" cy="13970"/>
                <wp:effectExtent l="0" t="0" r="0" b="0"/>
                <wp:wrapTopAndBottom/>
                <wp:docPr id="149" name="Graphic 149"/>
                <wp:cNvGraphicFramePr>
                  <a:graphicFrameLocks/>
                </wp:cNvGraphicFramePr>
                <a:graphic>
                  <a:graphicData uri="http://schemas.microsoft.com/office/word/2010/wordprocessingShape">
                    <wps:wsp>
                      <wps:cNvPr id="149" name="Graphic 149"/>
                      <wps:cNvSpPr/>
                      <wps:spPr>
                        <a:xfrm>
                          <a:off x="0" y="0"/>
                          <a:ext cx="3649979" cy="13970"/>
                        </a:xfrm>
                        <a:custGeom>
                          <a:avLst/>
                          <a:gdLst/>
                          <a:ahLst/>
                          <a:cxnLst/>
                          <a:rect l="l" t="t" r="r" b="b"/>
                          <a:pathLst>
                            <a:path w="3649979" h="13970">
                              <a:moveTo>
                                <a:pt x="0" y="0"/>
                              </a:moveTo>
                              <a:lnTo>
                                <a:pt x="3649979" y="0"/>
                              </a:lnTo>
                              <a:lnTo>
                                <a:pt x="3649979" y="13716"/>
                              </a:lnTo>
                              <a:lnTo>
                                <a:pt x="0" y="13716"/>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720016pt;margin-top:10.608575pt;width:287.399983pt;height:1.080002pt;mso-position-horizontal-relative:page;mso-position-vertical-relative:paragraph;z-index:-15701504;mso-wrap-distance-left:0;mso-wrap-distance-right:0" id="docshape145" filled="true" fillcolor="#000000" stroked="false">
                <v:fill type="solid"/>
                <w10:wrap type="topAndBottom"/>
              </v:rect>
            </w:pict>
          </mc:Fallback>
        </mc:AlternateContent>
      </w:r>
    </w:p>
    <w:p>
      <w:pPr>
        <w:spacing w:line="208" w:lineRule="auto" w:before="38"/>
        <w:ind w:left="1440" w:right="1442" w:firstLine="0"/>
        <w:jc w:val="both"/>
        <w:rPr>
          <w:sz w:val="18"/>
        </w:rPr>
      </w:pPr>
      <w:r>
        <w:rPr>
          <w:sz w:val="18"/>
          <w:vertAlign w:val="superscript"/>
        </w:rPr>
        <w:t>14</w:t>
      </w:r>
      <w:r>
        <w:rPr>
          <w:sz w:val="18"/>
          <w:vertAlign w:val="baseline"/>
        </w:rPr>
        <w:t> “Octavian was very unlike his great-uncle Caesar. Aware that Republican feeling</w:t>
      </w:r>
      <w:r>
        <w:rPr>
          <w:spacing w:val="-7"/>
          <w:sz w:val="18"/>
          <w:vertAlign w:val="baseline"/>
        </w:rPr>
        <w:t> </w:t>
      </w:r>
      <w:r>
        <w:rPr>
          <w:sz w:val="18"/>
          <w:vertAlign w:val="baseline"/>
        </w:rPr>
        <w:t>was</w:t>
      </w:r>
      <w:r>
        <w:rPr>
          <w:spacing w:val="-7"/>
          <w:sz w:val="18"/>
          <w:vertAlign w:val="baseline"/>
        </w:rPr>
        <w:t> </w:t>
      </w:r>
      <w:r>
        <w:rPr>
          <w:sz w:val="18"/>
          <w:vertAlign w:val="baseline"/>
        </w:rPr>
        <w:t>strong</w:t>
      </w:r>
      <w:r>
        <w:rPr>
          <w:spacing w:val="-8"/>
          <w:sz w:val="18"/>
          <w:vertAlign w:val="baseline"/>
        </w:rPr>
        <w:t> </w:t>
      </w:r>
      <w:r>
        <w:rPr>
          <w:sz w:val="18"/>
          <w:vertAlign w:val="baseline"/>
        </w:rPr>
        <w:t>and</w:t>
      </w:r>
      <w:r>
        <w:rPr>
          <w:spacing w:val="-4"/>
          <w:sz w:val="18"/>
          <w:vertAlign w:val="baseline"/>
        </w:rPr>
        <w:t> </w:t>
      </w:r>
      <w:r>
        <w:rPr>
          <w:sz w:val="18"/>
          <w:vertAlign w:val="baseline"/>
        </w:rPr>
        <w:t>wanting</w:t>
      </w:r>
      <w:r>
        <w:rPr>
          <w:spacing w:val="-7"/>
          <w:sz w:val="18"/>
          <w:vertAlign w:val="baseline"/>
        </w:rPr>
        <w:t> </w:t>
      </w:r>
      <w:r>
        <w:rPr>
          <w:sz w:val="18"/>
          <w:vertAlign w:val="baseline"/>
        </w:rPr>
        <w:t>senatorial</w:t>
      </w:r>
      <w:r>
        <w:rPr>
          <w:spacing w:val="-7"/>
          <w:sz w:val="18"/>
          <w:vertAlign w:val="baseline"/>
        </w:rPr>
        <w:t> </w:t>
      </w:r>
      <w:r>
        <w:rPr>
          <w:sz w:val="18"/>
          <w:vertAlign w:val="baseline"/>
        </w:rPr>
        <w:t>support,</w:t>
      </w:r>
      <w:r>
        <w:rPr>
          <w:spacing w:val="-4"/>
          <w:sz w:val="18"/>
          <w:vertAlign w:val="baseline"/>
        </w:rPr>
        <w:t> </w:t>
      </w:r>
      <w:r>
        <w:rPr>
          <w:sz w:val="18"/>
          <w:vertAlign w:val="baseline"/>
        </w:rPr>
        <w:t>Octavian</w:t>
      </w:r>
      <w:r>
        <w:rPr>
          <w:spacing w:val="-7"/>
          <w:sz w:val="18"/>
          <w:vertAlign w:val="baseline"/>
        </w:rPr>
        <w:t> </w:t>
      </w:r>
      <w:r>
        <w:rPr>
          <w:sz w:val="18"/>
          <w:vertAlign w:val="baseline"/>
        </w:rPr>
        <w:t>cultivated</w:t>
      </w:r>
      <w:r>
        <w:rPr>
          <w:spacing w:val="-4"/>
          <w:sz w:val="18"/>
          <w:vertAlign w:val="baseline"/>
        </w:rPr>
        <w:t> </w:t>
      </w:r>
      <w:r>
        <w:rPr>
          <w:sz w:val="18"/>
          <w:vertAlign w:val="baseline"/>
        </w:rPr>
        <w:t>an</w:t>
      </w:r>
      <w:r>
        <w:rPr>
          <w:spacing w:val="-7"/>
          <w:sz w:val="18"/>
          <w:vertAlign w:val="baseline"/>
        </w:rPr>
        <w:t> </w:t>
      </w:r>
      <w:r>
        <w:rPr>
          <w:sz w:val="18"/>
          <w:vertAlign w:val="baseline"/>
        </w:rPr>
        <w:t>image of traditional Roman </w:t>
      </w:r>
      <w:r>
        <w:rPr>
          <w:i/>
          <w:sz w:val="18"/>
          <w:vertAlign w:val="baseline"/>
        </w:rPr>
        <w:t>virtus, </w:t>
      </w:r>
      <w:r>
        <w:rPr>
          <w:sz w:val="18"/>
          <w:vertAlign w:val="baseline"/>
        </w:rPr>
        <w:t>which roughly translates as courage, virtue and probity.”</w:t>
      </w:r>
      <w:r>
        <w:rPr>
          <w:spacing w:val="40"/>
          <w:sz w:val="18"/>
          <w:vertAlign w:val="baseline"/>
        </w:rPr>
        <w:t> </w:t>
      </w:r>
      <w:r>
        <w:rPr>
          <w:sz w:val="18"/>
          <w:vertAlign w:val="baseline"/>
        </w:rPr>
        <w:t>(</w:t>
      </w:r>
      <w:r>
        <w:rPr>
          <w:i/>
          <w:sz w:val="18"/>
          <w:vertAlign w:val="baseline"/>
        </w:rPr>
        <w:t>Ancient</w:t>
      </w:r>
      <w:r>
        <w:rPr>
          <w:i/>
          <w:spacing w:val="40"/>
          <w:sz w:val="18"/>
          <w:vertAlign w:val="baseline"/>
        </w:rPr>
        <w:t> </w:t>
      </w:r>
      <w:r>
        <w:rPr>
          <w:i/>
          <w:sz w:val="18"/>
          <w:vertAlign w:val="baseline"/>
        </w:rPr>
        <w:t>Rome,</w:t>
      </w:r>
      <w:r>
        <w:rPr>
          <w:i/>
          <w:spacing w:val="40"/>
          <w:sz w:val="18"/>
          <w:vertAlign w:val="baseline"/>
        </w:rPr>
        <w:t> </w:t>
      </w:r>
      <w:r>
        <w:rPr>
          <w:sz w:val="18"/>
          <w:vertAlign w:val="baseline"/>
        </w:rPr>
        <w:t>p.</w:t>
      </w:r>
      <w:r>
        <w:rPr>
          <w:spacing w:val="40"/>
          <w:sz w:val="18"/>
          <w:vertAlign w:val="baseline"/>
        </w:rPr>
        <w:t> </w:t>
      </w:r>
      <w:r>
        <w:rPr>
          <w:sz w:val="18"/>
          <w:vertAlign w:val="baseline"/>
        </w:rPr>
        <w:t>66).</w:t>
      </w:r>
    </w:p>
    <w:p>
      <w:pPr>
        <w:spacing w:line="208" w:lineRule="auto" w:before="58"/>
        <w:ind w:left="1440" w:right="1437" w:firstLine="0"/>
        <w:jc w:val="both"/>
        <w:rPr>
          <w:sz w:val="18"/>
        </w:rPr>
      </w:pPr>
      <w:r>
        <w:rPr>
          <w:sz w:val="18"/>
          <w:vertAlign w:val="superscript"/>
        </w:rPr>
        <w:t>15</w:t>
      </w:r>
      <w:r>
        <w:rPr>
          <w:sz w:val="18"/>
          <w:vertAlign w:val="baseline"/>
        </w:rPr>
        <w:t> Gordon P. Jones, “The ‘Strumpet’s Fool’ in </w:t>
      </w:r>
      <w:r>
        <w:rPr>
          <w:i/>
          <w:sz w:val="18"/>
          <w:vertAlign w:val="baseline"/>
        </w:rPr>
        <w:t>Antony and Cleopatra,</w:t>
      </w:r>
      <w:r>
        <w:rPr>
          <w:sz w:val="18"/>
          <w:vertAlign w:val="baseline"/>
        </w:rPr>
        <w:t>” </w:t>
      </w:r>
      <w:r>
        <w:rPr>
          <w:i/>
          <w:sz w:val="18"/>
          <w:vertAlign w:val="baseline"/>
        </w:rPr>
        <w:t>Shakespeare</w:t>
      </w:r>
      <w:r>
        <w:rPr>
          <w:i/>
          <w:spacing w:val="40"/>
          <w:sz w:val="18"/>
          <w:vertAlign w:val="baseline"/>
        </w:rPr>
        <w:t> </w:t>
      </w:r>
      <w:r>
        <w:rPr>
          <w:i/>
          <w:sz w:val="18"/>
          <w:vertAlign w:val="baseline"/>
        </w:rPr>
        <w:t>Quarterly,</w:t>
      </w:r>
      <w:r>
        <w:rPr>
          <w:i/>
          <w:spacing w:val="40"/>
          <w:sz w:val="18"/>
          <w:vertAlign w:val="baseline"/>
        </w:rPr>
        <w:t> </w:t>
      </w:r>
      <w:r>
        <w:rPr>
          <w:sz w:val="18"/>
          <w:vertAlign w:val="baseline"/>
        </w:rPr>
        <w:t>34</w:t>
      </w:r>
      <w:r>
        <w:rPr>
          <w:spacing w:val="40"/>
          <w:sz w:val="18"/>
          <w:vertAlign w:val="baseline"/>
        </w:rPr>
        <w:t> </w:t>
      </w:r>
      <w:r>
        <w:rPr>
          <w:sz w:val="18"/>
          <w:vertAlign w:val="baseline"/>
        </w:rPr>
        <w:t>(1983),</w:t>
      </w:r>
      <w:r>
        <w:rPr>
          <w:spacing w:val="40"/>
          <w:sz w:val="18"/>
          <w:vertAlign w:val="baseline"/>
        </w:rPr>
        <w:t> </w:t>
      </w:r>
      <w:r>
        <w:rPr>
          <w:sz w:val="18"/>
          <w:vertAlign w:val="baseline"/>
        </w:rPr>
        <w:t>p.</w:t>
      </w:r>
      <w:r>
        <w:rPr>
          <w:spacing w:val="40"/>
          <w:sz w:val="18"/>
          <w:vertAlign w:val="baseline"/>
        </w:rPr>
        <w:t> </w:t>
      </w:r>
      <w:r>
        <w:rPr>
          <w:sz w:val="18"/>
          <w:vertAlign w:val="baseline"/>
        </w:rPr>
        <w:t>67.</w:t>
      </w:r>
    </w:p>
    <w:p>
      <w:pPr>
        <w:spacing w:after="0" w:line="208" w:lineRule="auto"/>
        <w:jc w:val="both"/>
        <w:rPr>
          <w:sz w:val="18"/>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15488">
                <wp:simplePos x="0" y="0"/>
                <wp:positionH relativeFrom="page">
                  <wp:posOffset>2057400</wp:posOffset>
                </wp:positionH>
                <wp:positionV relativeFrom="paragraph">
                  <wp:posOffset>162604</wp:posOffset>
                </wp:positionV>
                <wp:extent cx="3657600" cy="12700"/>
                <wp:effectExtent l="0" t="0" r="0" b="0"/>
                <wp:wrapTopAndBottom/>
                <wp:docPr id="150" name="Graphic 150"/>
                <wp:cNvGraphicFramePr>
                  <a:graphicFrameLocks/>
                </wp:cNvGraphicFramePr>
                <a:graphic>
                  <a:graphicData uri="http://schemas.microsoft.com/office/word/2010/wordprocessingShape">
                    <wps:wsp>
                      <wps:cNvPr id="150" name="Graphic 15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700992;mso-wrap-distance-left:0;mso-wrap-distance-right:0" id="docshape146" filled="true" fillcolor="#000000" stroked="false">
                <v:fill type="solid"/>
                <w10:wrap type="topAndBottom"/>
              </v:rect>
            </w:pict>
          </mc:Fallback>
        </mc:AlternateContent>
      </w:r>
      <w:r>
        <w:rPr>
          <w:rFonts w:ascii="Verdana"/>
          <w:spacing w:val="-5"/>
          <w:sz w:val="18"/>
        </w:rPr>
        <w:t>12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08" w:lineRule="auto" w:before="188"/>
        <w:ind w:right="1441"/>
        <w:jc w:val="both"/>
      </w:pPr>
      <w:r>
        <w:rPr/>
        <w:t>beasts would cough at,” and “On the Alps, / . . . thou didst eat strange flesh / Which some did die to look on” (1.4. 56-72).</w:t>
      </w:r>
    </w:p>
    <w:p>
      <w:pPr>
        <w:pStyle w:val="BodyText"/>
        <w:spacing w:line="208" w:lineRule="auto" w:before="58"/>
        <w:ind w:right="1439" w:firstLine="432"/>
        <w:jc w:val="both"/>
      </w:pPr>
      <w:r>
        <w:rPr>
          <w:spacing w:val="-2"/>
        </w:rPr>
        <w:t>This</w:t>
      </w:r>
      <w:r>
        <w:rPr>
          <w:spacing w:val="-10"/>
        </w:rPr>
        <w:t> </w:t>
      </w:r>
      <w:r>
        <w:rPr>
          <w:spacing w:val="-2"/>
        </w:rPr>
        <w:t>description of</w:t>
      </w:r>
      <w:r>
        <w:rPr>
          <w:spacing w:val="-11"/>
        </w:rPr>
        <w:t> </w:t>
      </w:r>
      <w:r>
        <w:rPr>
          <w:spacing w:val="-2"/>
        </w:rPr>
        <w:t>Antony’s enduring</w:t>
      </w:r>
      <w:r>
        <w:rPr>
          <w:spacing w:val="-5"/>
        </w:rPr>
        <w:t> </w:t>
      </w:r>
      <w:r>
        <w:rPr>
          <w:spacing w:val="-2"/>
        </w:rPr>
        <w:t>physical hardships,</w:t>
      </w:r>
      <w:r>
        <w:rPr>
          <w:spacing w:val="-3"/>
        </w:rPr>
        <w:t> </w:t>
      </w:r>
      <w:r>
        <w:rPr>
          <w:spacing w:val="-2"/>
        </w:rPr>
        <w:t>however, </w:t>
      </w:r>
      <w:r>
        <w:rPr/>
        <w:t>refers to his glorious, chivalrous past, which wounds “thine honour” (1.4.70)</w:t>
      </w:r>
      <w:r>
        <w:rPr>
          <w:spacing w:val="-8"/>
        </w:rPr>
        <w:t> </w:t>
      </w:r>
      <w:r>
        <w:rPr/>
        <w:t>now.</w:t>
      </w:r>
      <w:r>
        <w:rPr>
          <w:spacing w:val="-8"/>
        </w:rPr>
        <w:t> </w:t>
      </w:r>
      <w:r>
        <w:rPr/>
        <w:t>Caesar</w:t>
      </w:r>
      <w:r>
        <w:rPr>
          <w:spacing w:val="-8"/>
        </w:rPr>
        <w:t> </w:t>
      </w:r>
      <w:r>
        <w:rPr/>
        <w:t>has</w:t>
      </w:r>
      <w:r>
        <w:rPr>
          <w:spacing w:val="-9"/>
        </w:rPr>
        <w:t> </w:t>
      </w:r>
      <w:r>
        <w:rPr/>
        <w:t>started</w:t>
      </w:r>
      <w:r>
        <w:rPr>
          <w:spacing w:val="-8"/>
        </w:rPr>
        <w:t> </w:t>
      </w:r>
      <w:r>
        <w:rPr/>
        <w:t>a</w:t>
      </w:r>
      <w:r>
        <w:rPr>
          <w:spacing w:val="-9"/>
        </w:rPr>
        <w:t> </w:t>
      </w:r>
      <w:r>
        <w:rPr/>
        <w:t>movement,</w:t>
      </w:r>
      <w:r>
        <w:rPr>
          <w:spacing w:val="-6"/>
        </w:rPr>
        <w:t> </w:t>
      </w:r>
      <w:r>
        <w:rPr/>
        <w:t>a</w:t>
      </w:r>
      <w:r>
        <w:rPr>
          <w:spacing w:val="-9"/>
        </w:rPr>
        <w:t> </w:t>
      </w:r>
      <w:r>
        <w:rPr/>
        <w:t>fabricated</w:t>
      </w:r>
      <w:r>
        <w:rPr>
          <w:spacing w:val="-8"/>
        </w:rPr>
        <w:t> </w:t>
      </w:r>
      <w:r>
        <w:rPr/>
        <w:t>one,</w:t>
      </w:r>
      <w:r>
        <w:rPr>
          <w:spacing w:val="-9"/>
        </w:rPr>
        <w:t> </w:t>
      </w:r>
      <w:r>
        <w:rPr/>
        <w:t>but</w:t>
      </w:r>
      <w:r>
        <w:rPr>
          <w:spacing w:val="-8"/>
        </w:rPr>
        <w:t> </w:t>
      </w:r>
      <w:r>
        <w:rPr/>
        <w:t>it</w:t>
      </w:r>
      <w:r>
        <w:rPr>
          <w:spacing w:val="-9"/>
        </w:rPr>
        <w:t> </w:t>
      </w:r>
      <w:r>
        <w:rPr/>
        <w:t>has caught</w:t>
      </w:r>
      <w:r>
        <w:rPr>
          <w:spacing w:val="19"/>
        </w:rPr>
        <w:t> </w:t>
      </w:r>
      <w:r>
        <w:rPr/>
        <w:t>fire, and on the</w:t>
      </w:r>
      <w:r>
        <w:rPr>
          <w:spacing w:val="18"/>
        </w:rPr>
        <w:t> </w:t>
      </w:r>
      <w:r>
        <w:rPr/>
        <w:t>sea,</w:t>
      </w:r>
      <w:r>
        <w:rPr>
          <w:spacing w:val="19"/>
        </w:rPr>
        <w:t> </w:t>
      </w:r>
      <w:r>
        <w:rPr/>
        <w:t>even Pompey believes that Antony is</w:t>
      </w:r>
      <w:r>
        <w:rPr>
          <w:spacing w:val="19"/>
        </w:rPr>
        <w:t> </w:t>
      </w:r>
      <w:r>
        <w:rPr/>
        <w:t>still in Egypt: “Mark Antony / In Egypt sits at dinner, and will make / No wars without doors” (2.1.11-13). The phrase “without doors,” meaning an escape route, which may be unthinkable on Antony’s part, but Pompey says it because he has bought Caesar’s story of Antony’s becoming</w:t>
      </w:r>
      <w:r>
        <w:rPr>
          <w:spacing w:val="26"/>
        </w:rPr>
        <w:t> </w:t>
      </w:r>
      <w:r>
        <w:rPr/>
        <w:t>a</w:t>
      </w:r>
      <w:r>
        <w:rPr>
          <w:spacing w:val="31"/>
        </w:rPr>
        <w:t> </w:t>
      </w:r>
      <w:r>
        <w:rPr/>
        <w:t>degenerate</w:t>
      </w:r>
      <w:r>
        <w:rPr>
          <w:spacing w:val="32"/>
        </w:rPr>
        <w:t> </w:t>
      </w:r>
      <w:r>
        <w:rPr/>
        <w:t>captain</w:t>
      </w:r>
      <w:r>
        <w:rPr>
          <w:spacing w:val="28"/>
        </w:rPr>
        <w:t> </w:t>
      </w:r>
      <w:r>
        <w:rPr/>
        <w:t>given</w:t>
      </w:r>
      <w:r>
        <w:rPr>
          <w:spacing w:val="29"/>
        </w:rPr>
        <w:t> </w:t>
      </w:r>
      <w:r>
        <w:rPr/>
        <w:t>over</w:t>
      </w:r>
      <w:r>
        <w:rPr>
          <w:spacing w:val="30"/>
        </w:rPr>
        <w:t> </w:t>
      </w:r>
      <w:r>
        <w:rPr/>
        <w:t>to</w:t>
      </w:r>
      <w:r>
        <w:rPr>
          <w:spacing w:val="30"/>
        </w:rPr>
        <w:t> </w:t>
      </w:r>
      <w:r>
        <w:rPr/>
        <w:t>“lascivious</w:t>
      </w:r>
      <w:r>
        <w:rPr>
          <w:spacing w:val="29"/>
        </w:rPr>
        <w:t> </w:t>
      </w:r>
      <w:r>
        <w:rPr>
          <w:spacing w:val="-2"/>
        </w:rPr>
        <w:t>wassails”.</w:t>
      </w:r>
      <w:r>
        <w:rPr>
          <w:spacing w:val="-2"/>
          <w:vertAlign w:val="superscript"/>
        </w:rPr>
        <w:t>16</w:t>
      </w:r>
    </w:p>
    <w:p>
      <w:pPr>
        <w:pStyle w:val="BodyText"/>
        <w:spacing w:line="208" w:lineRule="auto" w:before="57"/>
        <w:ind w:right="1438" w:firstLine="432"/>
        <w:jc w:val="both"/>
      </w:pPr>
      <w:r>
        <w:rPr/>
        <w:t>But it is also the actual situation Antony is presently in. Caesar complains that “When rioting in Alexandria,” Antony “Did pocket up my letters, and with taunts / Did gibe my missive out of audience” (2.2.77-79).</w:t>
      </w:r>
      <w:r>
        <w:rPr>
          <w:spacing w:val="-1"/>
        </w:rPr>
        <w:t> </w:t>
      </w:r>
      <w:r>
        <w:rPr/>
        <w:t>He</w:t>
      </w:r>
      <w:r>
        <w:rPr>
          <w:spacing w:val="-1"/>
        </w:rPr>
        <w:t> </w:t>
      </w:r>
      <w:r>
        <w:rPr/>
        <w:t>is</w:t>
      </w:r>
      <w:r>
        <w:rPr>
          <w:spacing w:val="-3"/>
        </w:rPr>
        <w:t> </w:t>
      </w:r>
      <w:r>
        <w:rPr/>
        <w:t>an</w:t>
      </w:r>
      <w:r>
        <w:rPr>
          <w:spacing w:val="-3"/>
        </w:rPr>
        <w:t> </w:t>
      </w:r>
      <w:r>
        <w:rPr/>
        <w:t>oath-breaker,</w:t>
      </w:r>
      <w:r>
        <w:rPr>
          <w:spacing w:val="-1"/>
        </w:rPr>
        <w:t> </w:t>
      </w:r>
      <w:r>
        <w:rPr/>
        <w:t>as</w:t>
      </w:r>
      <w:r>
        <w:rPr>
          <w:spacing w:val="-1"/>
        </w:rPr>
        <w:t> </w:t>
      </w:r>
      <w:r>
        <w:rPr/>
        <w:t>Caesar accuses</w:t>
      </w:r>
      <w:r>
        <w:rPr>
          <w:spacing w:val="-3"/>
        </w:rPr>
        <w:t> </w:t>
      </w:r>
      <w:r>
        <w:rPr/>
        <w:t>him</w:t>
      </w:r>
      <w:r>
        <w:rPr>
          <w:spacing w:val="-3"/>
        </w:rPr>
        <w:t> </w:t>
      </w:r>
      <w:r>
        <w:rPr/>
        <w:t>further:</w:t>
      </w:r>
      <w:r>
        <w:rPr>
          <w:spacing w:val="-1"/>
        </w:rPr>
        <w:t> </w:t>
      </w:r>
      <w:r>
        <w:rPr/>
        <w:t>“You have broken / The article of your oath, which you shall never / Have tongue</w:t>
      </w:r>
      <w:r>
        <w:rPr>
          <w:spacing w:val="-13"/>
        </w:rPr>
        <w:t> </w:t>
      </w:r>
      <w:r>
        <w:rPr/>
        <w:t>to</w:t>
      </w:r>
      <w:r>
        <w:rPr>
          <w:spacing w:val="-12"/>
        </w:rPr>
        <w:t> </w:t>
      </w:r>
      <w:r>
        <w:rPr/>
        <w:t>charge</w:t>
      </w:r>
      <w:r>
        <w:rPr>
          <w:spacing w:val="-13"/>
        </w:rPr>
        <w:t> </w:t>
      </w:r>
      <w:r>
        <w:rPr/>
        <w:t>me</w:t>
      </w:r>
      <w:r>
        <w:rPr>
          <w:spacing w:val="-12"/>
        </w:rPr>
        <w:t> </w:t>
      </w:r>
      <w:r>
        <w:rPr/>
        <w:t>with”</w:t>
      </w:r>
      <w:r>
        <w:rPr>
          <w:spacing w:val="-13"/>
        </w:rPr>
        <w:t> </w:t>
      </w:r>
      <w:r>
        <w:rPr/>
        <w:t>(2.2.86-88).</w:t>
      </w:r>
      <w:r>
        <w:rPr>
          <w:spacing w:val="-12"/>
        </w:rPr>
        <w:t> </w:t>
      </w:r>
      <w:r>
        <w:rPr/>
        <w:t>How?</w:t>
      </w:r>
      <w:r>
        <w:rPr>
          <w:spacing w:val="-13"/>
        </w:rPr>
        <w:t> </w:t>
      </w:r>
      <w:r>
        <w:rPr/>
        <w:t>As</w:t>
      </w:r>
      <w:r>
        <w:rPr>
          <w:spacing w:val="-12"/>
        </w:rPr>
        <w:t> </w:t>
      </w:r>
      <w:r>
        <w:rPr/>
        <w:t>Caesar</w:t>
      </w:r>
      <w:r>
        <w:rPr>
          <w:spacing w:val="-13"/>
        </w:rPr>
        <w:t> </w:t>
      </w:r>
      <w:r>
        <w:rPr/>
        <w:t>continues,</w:t>
      </w:r>
      <w:r>
        <w:rPr>
          <w:spacing w:val="-12"/>
        </w:rPr>
        <w:t> </w:t>
      </w:r>
      <w:r>
        <w:rPr/>
        <w:t>when Antony’s brother and his late wife Fulvia raised war upon him,</w:t>
      </w:r>
      <w:r>
        <w:rPr>
          <w:spacing w:val="-5"/>
        </w:rPr>
        <w:t> </w:t>
      </w:r>
      <w:r>
        <w:rPr/>
        <w:t>Antony was supposed “To lend me arms and aid when I required them, / The which you both denied” (2.2.94-95).</w:t>
      </w:r>
      <w:r>
        <w:rPr>
          <w:spacing w:val="-7"/>
        </w:rPr>
        <w:t> </w:t>
      </w:r>
      <w:r>
        <w:rPr/>
        <w:t>Antony is admissive of the blame, as he says, “Neglected, rather” (2.2.95).</w:t>
      </w:r>
    </w:p>
    <w:p>
      <w:pPr>
        <w:pStyle w:val="BodyText"/>
        <w:spacing w:line="208" w:lineRule="auto" w:before="56"/>
        <w:ind w:right="1441" w:firstLine="432"/>
        <w:jc w:val="both"/>
      </w:pPr>
      <w:r>
        <w:rPr/>
        <w:t>Caesar’s language is well-crafted, full of nuances directing our attention to the two selves of</w:t>
      </w:r>
      <w:r>
        <w:rPr>
          <w:spacing w:val="-8"/>
        </w:rPr>
        <w:t> </w:t>
      </w:r>
      <w:r>
        <w:rPr/>
        <w:t>Antony’s, the one he highlighted with the ‘Modena’</w:t>
      </w:r>
      <w:r>
        <w:rPr>
          <w:spacing w:val="-13"/>
        </w:rPr>
        <w:t> </w:t>
      </w:r>
      <w:r>
        <w:rPr/>
        <w:t>speech,</w:t>
      </w:r>
      <w:r>
        <w:rPr>
          <w:spacing w:val="-12"/>
        </w:rPr>
        <w:t> </w:t>
      </w:r>
      <w:r>
        <w:rPr/>
        <w:t>and</w:t>
      </w:r>
      <w:r>
        <w:rPr>
          <w:spacing w:val="-13"/>
        </w:rPr>
        <w:t> </w:t>
      </w:r>
      <w:r>
        <w:rPr/>
        <w:t>the</w:t>
      </w:r>
      <w:r>
        <w:rPr>
          <w:spacing w:val="-12"/>
        </w:rPr>
        <w:t> </w:t>
      </w:r>
      <w:r>
        <w:rPr/>
        <w:t>one</w:t>
      </w:r>
      <w:r>
        <w:rPr>
          <w:spacing w:val="-9"/>
        </w:rPr>
        <w:t> </w:t>
      </w:r>
      <w:r>
        <w:rPr/>
        <w:t>where</w:t>
      </w:r>
      <w:r>
        <w:rPr>
          <w:spacing w:val="-13"/>
        </w:rPr>
        <w:t> </w:t>
      </w:r>
      <w:r>
        <w:rPr/>
        <w:t>Antony</w:t>
      </w:r>
      <w:r>
        <w:rPr>
          <w:spacing w:val="-11"/>
        </w:rPr>
        <w:t> </w:t>
      </w:r>
      <w:r>
        <w:rPr/>
        <w:t>is</w:t>
      </w:r>
      <w:r>
        <w:rPr>
          <w:spacing w:val="-10"/>
        </w:rPr>
        <w:t> </w:t>
      </w:r>
      <w:r>
        <w:rPr/>
        <w:t>on</w:t>
      </w:r>
      <w:r>
        <w:rPr>
          <w:spacing w:val="-10"/>
        </w:rPr>
        <w:t> </w:t>
      </w:r>
      <w:r>
        <w:rPr/>
        <w:t>the</w:t>
      </w:r>
      <w:r>
        <w:rPr>
          <w:spacing w:val="-9"/>
        </w:rPr>
        <w:t> </w:t>
      </w:r>
      <w:r>
        <w:rPr/>
        <w:t>verge</w:t>
      </w:r>
      <w:r>
        <w:rPr>
          <w:spacing w:val="-10"/>
        </w:rPr>
        <w:t> </w:t>
      </w:r>
      <w:r>
        <w:rPr/>
        <w:t>of</w:t>
      </w:r>
      <w:r>
        <w:rPr>
          <w:spacing w:val="-11"/>
        </w:rPr>
        <w:t> </w:t>
      </w:r>
      <w:r>
        <w:rPr/>
        <w:t>admitting his slackness on military and diplomatic duties: “ . . . when poisoned hours had bound me up / From mine own knowledge” (2.2.96-97).</w:t>
      </w:r>
    </w:p>
    <w:p>
      <w:pPr>
        <w:pStyle w:val="BodyText"/>
        <w:spacing w:line="208" w:lineRule="auto" w:before="58"/>
        <w:ind w:right="1440" w:firstLine="432"/>
        <w:jc w:val="both"/>
      </w:pPr>
      <w:r>
        <w:rPr/>
        <w:t>Agrippa’s proposal for Octavia’s marriage to Antony to hold the two</w:t>
      </w:r>
      <w:r>
        <w:rPr>
          <w:spacing w:val="-4"/>
        </w:rPr>
        <w:t> </w:t>
      </w:r>
      <w:r>
        <w:rPr/>
        <w:t>rivals</w:t>
      </w:r>
      <w:r>
        <w:rPr>
          <w:spacing w:val="-5"/>
        </w:rPr>
        <w:t> </w:t>
      </w:r>
      <w:r>
        <w:rPr/>
        <w:t>“in</w:t>
      </w:r>
      <w:r>
        <w:rPr>
          <w:spacing w:val="-4"/>
        </w:rPr>
        <w:t> </w:t>
      </w:r>
      <w:r>
        <w:rPr/>
        <w:t>perpetual</w:t>
      </w:r>
      <w:r>
        <w:rPr>
          <w:spacing w:val="-5"/>
        </w:rPr>
        <w:t> </w:t>
      </w:r>
      <w:r>
        <w:rPr/>
        <w:t>amity”</w:t>
      </w:r>
      <w:r>
        <w:rPr>
          <w:spacing w:val="-3"/>
        </w:rPr>
        <w:t> </w:t>
      </w:r>
      <w:r>
        <w:rPr/>
        <w:t>(2.2.132)</w:t>
      </w:r>
      <w:r>
        <w:rPr>
          <w:spacing w:val="-4"/>
        </w:rPr>
        <w:t> </w:t>
      </w:r>
      <w:r>
        <w:rPr/>
        <w:t>is</w:t>
      </w:r>
      <w:r>
        <w:rPr>
          <w:spacing w:val="-5"/>
        </w:rPr>
        <w:t> </w:t>
      </w:r>
      <w:r>
        <w:rPr/>
        <w:t>the</w:t>
      </w:r>
      <w:r>
        <w:rPr>
          <w:spacing w:val="-4"/>
        </w:rPr>
        <w:t> </w:t>
      </w:r>
      <w:r>
        <w:rPr/>
        <w:t>solid</w:t>
      </w:r>
      <w:r>
        <w:rPr>
          <w:spacing w:val="-2"/>
        </w:rPr>
        <w:t> </w:t>
      </w:r>
      <w:r>
        <w:rPr/>
        <w:t>game</w:t>
      </w:r>
      <w:r>
        <w:rPr>
          <w:spacing w:val="-5"/>
        </w:rPr>
        <w:t> </w:t>
      </w:r>
      <w:r>
        <w:rPr/>
        <w:t>the</w:t>
      </w:r>
      <w:r>
        <w:rPr>
          <w:spacing w:val="-4"/>
        </w:rPr>
        <w:t> </w:t>
      </w:r>
      <w:r>
        <w:rPr/>
        <w:t>emerging Roman empire aspires its formidable generals to be a</w:t>
      </w:r>
    </w:p>
    <w:p>
      <w:pPr>
        <w:pStyle w:val="BodyText"/>
        <w:spacing w:before="4"/>
        <w:ind w:left="0"/>
        <w:rPr>
          <w:sz w:val="16"/>
        </w:rPr>
      </w:pPr>
      <w:r>
        <w:rPr>
          <w:sz w:val="16"/>
        </w:rPr>
        <mc:AlternateContent>
          <mc:Choice Requires="wps">
            <w:drawing>
              <wp:anchor distT="0" distB="0" distL="0" distR="0" allowOverlap="1" layoutInCell="1" locked="0" behindDoc="1" simplePos="0" relativeHeight="487616000">
                <wp:simplePos x="0" y="0"/>
                <wp:positionH relativeFrom="page">
                  <wp:posOffset>2042160</wp:posOffset>
                </wp:positionH>
                <wp:positionV relativeFrom="paragraph">
                  <wp:posOffset>134996</wp:posOffset>
                </wp:positionV>
                <wp:extent cx="3686810" cy="12700"/>
                <wp:effectExtent l="0" t="0" r="0" b="0"/>
                <wp:wrapTopAndBottom/>
                <wp:docPr id="151" name="Graphic 151"/>
                <wp:cNvGraphicFramePr>
                  <a:graphicFrameLocks/>
                </wp:cNvGraphicFramePr>
                <a:graphic>
                  <a:graphicData uri="http://schemas.microsoft.com/office/word/2010/wordprocessingShape">
                    <wps:wsp>
                      <wps:cNvPr id="151" name="Graphic 151"/>
                      <wps:cNvSpPr/>
                      <wps:spPr>
                        <a:xfrm>
                          <a:off x="0" y="0"/>
                          <a:ext cx="3686810" cy="12700"/>
                        </a:xfrm>
                        <a:custGeom>
                          <a:avLst/>
                          <a:gdLst/>
                          <a:ahLst/>
                          <a:cxnLst/>
                          <a:rect l="l" t="t" r="r" b="b"/>
                          <a:pathLst>
                            <a:path w="3686810" h="12700">
                              <a:moveTo>
                                <a:pt x="0" y="0"/>
                              </a:moveTo>
                              <a:lnTo>
                                <a:pt x="3686556" y="0"/>
                              </a:lnTo>
                              <a:lnTo>
                                <a:pt x="3686556"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0.800003pt;margin-top:10.62965pt;width:290.280015pt;height:.959976pt;mso-position-horizontal-relative:page;mso-position-vertical-relative:paragraph;z-index:-15700480;mso-wrap-distance-left:0;mso-wrap-distance-right:0" id="docshape147" filled="true" fillcolor="#000000" stroked="false">
                <v:fill type="solid"/>
                <w10:wrap type="topAndBottom"/>
              </v:rect>
            </w:pict>
          </mc:Fallback>
        </mc:AlternateContent>
      </w:r>
    </w:p>
    <w:p>
      <w:pPr>
        <w:spacing w:line="208" w:lineRule="auto" w:before="69"/>
        <w:ind w:left="1440" w:right="1437" w:firstLine="0"/>
        <w:jc w:val="both"/>
        <w:rPr>
          <w:sz w:val="18"/>
        </w:rPr>
      </w:pPr>
      <w:r>
        <w:rPr>
          <w:sz w:val="18"/>
          <w:vertAlign w:val="superscript"/>
        </w:rPr>
        <w:t>16</w:t>
      </w:r>
      <w:r>
        <w:rPr>
          <w:sz w:val="18"/>
          <w:vertAlign w:val="baseline"/>
        </w:rPr>
        <w:t> Laura Quinney, in her essay, “Enter a Messenger,” deftly explains Caesar’s bureaucratic mindset: “To Caesar and his messenger-agents belongs the sterile impersonality of the bureaucrat. Caesar adopts the role of the faceless and efficient administrator, who consolidates his power of skillfully deploying a legion of methodical operatives. This political style originates in, and fufills, Caesar’s brilliant imperialist imagination, by which Antony is scourged and defeated,</w:t>
      </w:r>
      <w:r>
        <w:rPr>
          <w:spacing w:val="22"/>
          <w:sz w:val="18"/>
          <w:vertAlign w:val="baseline"/>
        </w:rPr>
        <w:t> </w:t>
      </w:r>
      <w:r>
        <w:rPr>
          <w:sz w:val="18"/>
          <w:vertAlign w:val="baseline"/>
        </w:rPr>
        <w:t>as</w:t>
      </w:r>
      <w:r>
        <w:rPr>
          <w:spacing w:val="22"/>
          <w:sz w:val="18"/>
          <w:vertAlign w:val="baseline"/>
        </w:rPr>
        <w:t> </w:t>
      </w:r>
      <w:r>
        <w:rPr>
          <w:sz w:val="18"/>
          <w:vertAlign w:val="baseline"/>
        </w:rPr>
        <w:t>it</w:t>
      </w:r>
      <w:r>
        <w:rPr>
          <w:spacing w:val="22"/>
          <w:sz w:val="18"/>
          <w:vertAlign w:val="baseline"/>
        </w:rPr>
        <w:t> </w:t>
      </w:r>
      <w:r>
        <w:rPr>
          <w:sz w:val="18"/>
          <w:vertAlign w:val="baseline"/>
        </w:rPr>
        <w:t>is,</w:t>
      </w:r>
      <w:r>
        <w:rPr>
          <w:spacing w:val="25"/>
          <w:sz w:val="18"/>
          <w:vertAlign w:val="baseline"/>
        </w:rPr>
        <w:t> </w:t>
      </w:r>
      <w:r>
        <w:rPr>
          <w:sz w:val="18"/>
          <w:vertAlign w:val="baseline"/>
        </w:rPr>
        <w:t>in</w:t>
      </w:r>
      <w:r>
        <w:rPr>
          <w:spacing w:val="22"/>
          <w:sz w:val="18"/>
          <w:vertAlign w:val="baseline"/>
        </w:rPr>
        <w:t> </w:t>
      </w:r>
      <w:r>
        <w:rPr>
          <w:sz w:val="18"/>
          <w:vertAlign w:val="baseline"/>
        </w:rPr>
        <w:t>turn,</w:t>
      </w:r>
      <w:r>
        <w:rPr>
          <w:spacing w:val="23"/>
          <w:sz w:val="18"/>
          <w:vertAlign w:val="baseline"/>
        </w:rPr>
        <w:t> </w:t>
      </w:r>
      <w:r>
        <w:rPr>
          <w:sz w:val="18"/>
          <w:vertAlign w:val="baseline"/>
        </w:rPr>
        <w:t>a</w:t>
      </w:r>
      <w:r>
        <w:rPr>
          <w:spacing w:val="20"/>
          <w:sz w:val="18"/>
          <w:vertAlign w:val="baseline"/>
        </w:rPr>
        <w:t> </w:t>
      </w:r>
      <w:r>
        <w:rPr>
          <w:sz w:val="18"/>
          <w:vertAlign w:val="baseline"/>
        </w:rPr>
        <w:t>symptom</w:t>
      </w:r>
      <w:r>
        <w:rPr>
          <w:spacing w:val="18"/>
          <w:sz w:val="18"/>
          <w:vertAlign w:val="baseline"/>
        </w:rPr>
        <w:t> </w:t>
      </w:r>
      <w:r>
        <w:rPr>
          <w:sz w:val="18"/>
          <w:vertAlign w:val="baseline"/>
        </w:rPr>
        <w:t>of Antony’s</w:t>
      </w:r>
      <w:r>
        <w:rPr>
          <w:spacing w:val="20"/>
          <w:sz w:val="18"/>
          <w:vertAlign w:val="baseline"/>
        </w:rPr>
        <w:t> </w:t>
      </w:r>
      <w:r>
        <w:rPr>
          <w:sz w:val="18"/>
          <w:vertAlign w:val="baseline"/>
        </w:rPr>
        <w:t>failure</w:t>
      </w:r>
      <w:r>
        <w:rPr>
          <w:spacing w:val="22"/>
          <w:sz w:val="18"/>
          <w:vertAlign w:val="baseline"/>
        </w:rPr>
        <w:t> </w:t>
      </w:r>
      <w:r>
        <w:rPr>
          <w:sz w:val="18"/>
          <w:vertAlign w:val="baseline"/>
        </w:rPr>
        <w:t>that</w:t>
      </w:r>
      <w:r>
        <w:rPr>
          <w:spacing w:val="22"/>
          <w:sz w:val="18"/>
          <w:vertAlign w:val="baseline"/>
        </w:rPr>
        <w:t> </w:t>
      </w:r>
      <w:r>
        <w:rPr>
          <w:sz w:val="18"/>
          <w:vertAlign w:val="baseline"/>
        </w:rPr>
        <w:t>he</w:t>
      </w:r>
      <w:r>
        <w:rPr>
          <w:spacing w:val="22"/>
          <w:sz w:val="18"/>
          <w:vertAlign w:val="baseline"/>
        </w:rPr>
        <w:t> </w:t>
      </w:r>
      <w:r>
        <w:rPr>
          <w:sz w:val="18"/>
          <w:vertAlign w:val="baseline"/>
        </w:rPr>
        <w:t>should</w:t>
      </w:r>
      <w:r>
        <w:rPr>
          <w:spacing w:val="23"/>
          <w:sz w:val="18"/>
          <w:vertAlign w:val="baseline"/>
        </w:rPr>
        <w:t> </w:t>
      </w:r>
      <w:r>
        <w:rPr>
          <w:sz w:val="18"/>
          <w:vertAlign w:val="baseline"/>
        </w:rPr>
        <w:t>find the other anonymity in his rapport with the messenger. Unlike Antony, Caesar pursues a canny utilitarianism in his relationship to the messengers. . . .</w:t>
      </w:r>
      <w:r>
        <w:rPr>
          <w:spacing w:val="40"/>
          <w:sz w:val="18"/>
          <w:vertAlign w:val="baseline"/>
        </w:rPr>
        <w:t> </w:t>
      </w:r>
      <w:r>
        <w:rPr>
          <w:sz w:val="18"/>
          <w:vertAlign w:val="baseline"/>
        </w:rPr>
        <w:t>Through a network of messengers which operates as an information police, Caesar supervises the terrain of expanding empire and accelerating political conflict. In this panoptical extension of himself, he is made preternaturally ubiquitous, disseminated across myriad points of reconnaissance, along which, ‘every hour’, the news flies.” (“1988—Laura Quinney. “Enter a Messenger,” from </w:t>
      </w:r>
      <w:r>
        <w:rPr>
          <w:i/>
          <w:sz w:val="18"/>
          <w:vertAlign w:val="baseline"/>
        </w:rPr>
        <w:t>William Shakespeare’s </w:t>
      </w:r>
      <w:r>
        <w:rPr>
          <w:sz w:val="18"/>
          <w:vertAlign w:val="baseline"/>
        </w:rPr>
        <w:t>“Antony and Cleopatra,” in </w:t>
      </w:r>
      <w:r>
        <w:rPr>
          <w:i/>
          <w:sz w:val="18"/>
          <w:vertAlign w:val="baseline"/>
        </w:rPr>
        <w:t>Harold Bloom’s Shakespeare Through the Ages: Antony and Cleopatra: Edited with an introduction by Harold Bloom, Volume Editor: Neil Heims </w:t>
      </w:r>
      <w:r>
        <w:rPr>
          <w:sz w:val="18"/>
          <w:vertAlign w:val="baseline"/>
        </w:rPr>
        <w:t>(New Delhi: Viva Books,</w:t>
      </w:r>
      <w:r>
        <w:rPr>
          <w:spacing w:val="40"/>
          <w:sz w:val="18"/>
          <w:vertAlign w:val="baseline"/>
        </w:rPr>
        <w:t> </w:t>
      </w:r>
      <w:r>
        <w:rPr>
          <w:sz w:val="18"/>
          <w:vertAlign w:val="baseline"/>
        </w:rPr>
        <w:t>2010),</w:t>
      </w:r>
      <w:r>
        <w:rPr>
          <w:spacing w:val="40"/>
          <w:sz w:val="18"/>
          <w:vertAlign w:val="baseline"/>
        </w:rPr>
        <w:t> </w:t>
      </w:r>
      <w:r>
        <w:rPr>
          <w:sz w:val="18"/>
          <w:vertAlign w:val="baseline"/>
        </w:rPr>
        <w:t>p.249.</w:t>
      </w:r>
    </w:p>
    <w:p>
      <w:pPr>
        <w:spacing w:after="0" w:line="208" w:lineRule="auto"/>
        <w:jc w:val="both"/>
        <w:rPr>
          <w:sz w:val="18"/>
        </w:rPr>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16512">
                <wp:simplePos x="0" y="0"/>
                <wp:positionH relativeFrom="page">
                  <wp:posOffset>2065020</wp:posOffset>
                </wp:positionH>
                <wp:positionV relativeFrom="paragraph">
                  <wp:posOffset>795020</wp:posOffset>
                </wp:positionV>
                <wp:extent cx="3657600" cy="12700"/>
                <wp:effectExtent l="0" t="0" r="0" b="0"/>
                <wp:wrapTopAndBottom/>
                <wp:docPr id="152" name="Graphic 152"/>
                <wp:cNvGraphicFramePr>
                  <a:graphicFrameLocks/>
                </wp:cNvGraphicFramePr>
                <a:graphic>
                  <a:graphicData uri="http://schemas.microsoft.com/office/word/2010/wordprocessingShape">
                    <wps:wsp>
                      <wps:cNvPr id="152" name="Graphic 15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99968;mso-wrap-distance-left:0;mso-wrap-distance-right:0" id="docshape148" filled="true" fillcolor="#000000" stroked="false">
                <v:fill type="solid"/>
                <w10:wrap type="topAndBottom"/>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5"/>
          <w:sz w:val="18"/>
        </w:rPr>
        <w:t>13</w:t>
      </w:r>
    </w:p>
    <w:p>
      <w:pPr>
        <w:pStyle w:val="BodyText"/>
        <w:spacing w:line="208" w:lineRule="auto" w:before="188"/>
        <w:ind w:right="1441"/>
        <w:jc w:val="both"/>
      </w:pPr>
      <w:r>
        <w:rPr>
          <w:spacing w:val="-2"/>
        </w:rPr>
        <w:t>part</w:t>
      </w:r>
      <w:r>
        <w:rPr>
          <w:spacing w:val="-7"/>
        </w:rPr>
        <w:t> </w:t>
      </w:r>
      <w:r>
        <w:rPr>
          <w:spacing w:val="-2"/>
        </w:rPr>
        <w:t>of.</w:t>
      </w:r>
      <w:r>
        <w:rPr>
          <w:spacing w:val="-10"/>
        </w:rPr>
        <w:t> </w:t>
      </w:r>
      <w:r>
        <w:rPr>
          <w:spacing w:val="-2"/>
        </w:rPr>
        <w:t>This</w:t>
      </w:r>
      <w:r>
        <w:rPr>
          <w:spacing w:val="-6"/>
        </w:rPr>
        <w:t> </w:t>
      </w:r>
      <w:r>
        <w:rPr>
          <w:spacing w:val="-2"/>
        </w:rPr>
        <w:t>is,</w:t>
      </w:r>
      <w:r>
        <w:rPr>
          <w:spacing w:val="-6"/>
        </w:rPr>
        <w:t> </w:t>
      </w:r>
      <w:r>
        <w:rPr>
          <w:spacing w:val="-2"/>
        </w:rPr>
        <w:t>however,</w:t>
      </w:r>
      <w:r>
        <w:rPr>
          <w:spacing w:val="-6"/>
        </w:rPr>
        <w:t> </w:t>
      </w:r>
      <w:r>
        <w:rPr>
          <w:spacing w:val="-2"/>
        </w:rPr>
        <w:t>a</w:t>
      </w:r>
      <w:r>
        <w:rPr>
          <w:spacing w:val="-6"/>
        </w:rPr>
        <w:t> </w:t>
      </w:r>
      <w:r>
        <w:rPr>
          <w:spacing w:val="-2"/>
        </w:rPr>
        <w:t>marriage</w:t>
      </w:r>
      <w:r>
        <w:rPr>
          <w:spacing w:val="-6"/>
        </w:rPr>
        <w:t> </w:t>
      </w:r>
      <w:r>
        <w:rPr>
          <w:spacing w:val="-2"/>
        </w:rPr>
        <w:t>of</w:t>
      </w:r>
      <w:r>
        <w:rPr>
          <w:spacing w:val="-8"/>
        </w:rPr>
        <w:t> </w:t>
      </w:r>
      <w:r>
        <w:rPr>
          <w:spacing w:val="-2"/>
        </w:rPr>
        <w:t>convenience,</w:t>
      </w:r>
      <w:r>
        <w:rPr>
          <w:spacing w:val="-6"/>
        </w:rPr>
        <w:t> </w:t>
      </w:r>
      <w:r>
        <w:rPr>
          <w:spacing w:val="-2"/>
        </w:rPr>
        <w:t>an</w:t>
      </w:r>
      <w:r>
        <w:rPr>
          <w:spacing w:val="-8"/>
        </w:rPr>
        <w:t> </w:t>
      </w:r>
      <w:r>
        <w:rPr>
          <w:spacing w:val="-2"/>
        </w:rPr>
        <w:t>enforced</w:t>
      </w:r>
      <w:r>
        <w:rPr>
          <w:spacing w:val="-6"/>
        </w:rPr>
        <w:t> </w:t>
      </w:r>
      <w:r>
        <w:rPr>
          <w:spacing w:val="-2"/>
        </w:rPr>
        <w:t>political </w:t>
      </w:r>
      <w:r>
        <w:rPr/>
        <w:t>move</w:t>
      </w:r>
      <w:r>
        <w:rPr>
          <w:spacing w:val="-1"/>
        </w:rPr>
        <w:t> </w:t>
      </w:r>
      <w:r>
        <w:rPr/>
        <w:t>in</w:t>
      </w:r>
      <w:r>
        <w:rPr>
          <w:spacing w:val="-4"/>
        </w:rPr>
        <w:t> </w:t>
      </w:r>
      <w:r>
        <w:rPr/>
        <w:t>the</w:t>
      </w:r>
      <w:r>
        <w:rPr>
          <w:spacing w:val="-2"/>
        </w:rPr>
        <w:t> </w:t>
      </w:r>
      <w:r>
        <w:rPr/>
        <w:t>guise</w:t>
      </w:r>
      <w:r>
        <w:rPr>
          <w:spacing w:val="-1"/>
        </w:rPr>
        <w:t> </w:t>
      </w:r>
      <w:r>
        <w:rPr/>
        <w:t>of</w:t>
      </w:r>
      <w:r>
        <w:rPr>
          <w:spacing w:val="-4"/>
        </w:rPr>
        <w:t> </w:t>
      </w:r>
      <w:r>
        <w:rPr/>
        <w:t>matrimony,</w:t>
      </w:r>
      <w:r>
        <w:rPr>
          <w:spacing w:val="-2"/>
        </w:rPr>
        <w:t> </w:t>
      </w:r>
      <w:r>
        <w:rPr/>
        <w:t>and Enobarbus,</w:t>
      </w:r>
      <w:r>
        <w:rPr>
          <w:spacing w:val="-2"/>
        </w:rPr>
        <w:t> </w:t>
      </w:r>
      <w:r>
        <w:rPr/>
        <w:t>rightly</w:t>
      </w:r>
      <w:r>
        <w:rPr>
          <w:spacing w:val="-4"/>
        </w:rPr>
        <w:t> </w:t>
      </w:r>
      <w:r>
        <w:rPr/>
        <w:t>says</w:t>
      </w:r>
      <w:r>
        <w:rPr>
          <w:spacing w:val="-2"/>
        </w:rPr>
        <w:t> </w:t>
      </w:r>
      <w:r>
        <w:rPr/>
        <w:t>that</w:t>
      </w:r>
      <w:r>
        <w:rPr>
          <w:spacing w:val="-2"/>
        </w:rPr>
        <w:t> </w:t>
      </w:r>
      <w:r>
        <w:rPr/>
        <w:t>“their amity</w:t>
      </w:r>
      <w:r>
        <w:rPr>
          <w:spacing w:val="-10"/>
        </w:rPr>
        <w:t> </w:t>
      </w:r>
      <w:r>
        <w:rPr/>
        <w:t>shall</w:t>
      </w:r>
      <w:r>
        <w:rPr>
          <w:spacing w:val="-9"/>
        </w:rPr>
        <w:t> </w:t>
      </w:r>
      <w:r>
        <w:rPr/>
        <w:t>prove</w:t>
      </w:r>
      <w:r>
        <w:rPr>
          <w:spacing w:val="-7"/>
        </w:rPr>
        <w:t> </w:t>
      </w:r>
      <w:r>
        <w:rPr/>
        <w:t>the</w:t>
      </w:r>
      <w:r>
        <w:rPr>
          <w:spacing w:val="-8"/>
        </w:rPr>
        <w:t> </w:t>
      </w:r>
      <w:r>
        <w:rPr/>
        <w:t>immediate</w:t>
      </w:r>
      <w:r>
        <w:rPr>
          <w:spacing w:val="-10"/>
        </w:rPr>
        <w:t> </w:t>
      </w:r>
      <w:r>
        <w:rPr/>
        <w:t>author</w:t>
      </w:r>
      <w:r>
        <w:rPr>
          <w:spacing w:val="-6"/>
        </w:rPr>
        <w:t> </w:t>
      </w:r>
      <w:r>
        <w:rPr/>
        <w:t>of</w:t>
      </w:r>
      <w:r>
        <w:rPr>
          <w:spacing w:val="-8"/>
        </w:rPr>
        <w:t> </w:t>
      </w:r>
      <w:r>
        <w:rPr/>
        <w:t>their</w:t>
      </w:r>
      <w:r>
        <w:rPr>
          <w:spacing w:val="-8"/>
        </w:rPr>
        <w:t> </w:t>
      </w:r>
      <w:r>
        <w:rPr/>
        <w:t>variance”</w:t>
      </w:r>
      <w:r>
        <w:rPr>
          <w:spacing w:val="-7"/>
        </w:rPr>
        <w:t> </w:t>
      </w:r>
      <w:r>
        <w:rPr/>
        <w:t>(2.6.131-</w:t>
      </w:r>
      <w:r>
        <w:rPr>
          <w:spacing w:val="-2"/>
        </w:rPr>
        <w:t>132).</w:t>
      </w:r>
    </w:p>
    <w:p>
      <w:pPr>
        <w:pStyle w:val="BodyText"/>
        <w:spacing w:line="230" w:lineRule="auto" w:before="55"/>
        <w:ind w:right="1437" w:firstLine="432"/>
        <w:jc w:val="both"/>
      </w:pPr>
      <w:r>
        <w:rPr/>
        <w:t>The character of Enobarbus better explains our thesis than any other does. We have said that the play’s events go by the famous</w:t>
      </w:r>
      <w:r>
        <w:rPr>
          <w:spacing w:val="80"/>
        </w:rPr>
        <w:t> </w:t>
      </w:r>
      <w:r>
        <w:rPr/>
        <w:t>divide</w:t>
      </w:r>
      <w:r>
        <w:rPr>
          <w:spacing w:val="-2"/>
        </w:rPr>
        <w:t> </w:t>
      </w:r>
      <w:r>
        <w:rPr/>
        <w:t>between</w:t>
      </w:r>
      <w:r>
        <w:rPr>
          <w:spacing w:val="-3"/>
        </w:rPr>
        <w:t> </w:t>
      </w:r>
      <w:r>
        <w:rPr/>
        <w:t>Rome</w:t>
      </w:r>
      <w:r>
        <w:rPr>
          <w:spacing w:val="-3"/>
        </w:rPr>
        <w:t> </w:t>
      </w:r>
      <w:r>
        <w:rPr/>
        <w:t>and Egypt, and</w:t>
      </w:r>
      <w:r>
        <w:rPr>
          <w:spacing w:val="-1"/>
        </w:rPr>
        <w:t> </w:t>
      </w:r>
      <w:r>
        <w:rPr/>
        <w:t>that</w:t>
      </w:r>
      <w:r>
        <w:rPr>
          <w:spacing w:val="-1"/>
        </w:rPr>
        <w:t> </w:t>
      </w:r>
      <w:r>
        <w:rPr/>
        <w:t>the</w:t>
      </w:r>
      <w:r>
        <w:rPr>
          <w:spacing w:val="-2"/>
        </w:rPr>
        <w:t> </w:t>
      </w:r>
      <w:r>
        <w:rPr/>
        <w:t>solid empirical</w:t>
      </w:r>
      <w:r>
        <w:rPr>
          <w:spacing w:val="-1"/>
        </w:rPr>
        <w:t> </w:t>
      </w:r>
      <w:r>
        <w:rPr/>
        <w:t>ambitions are objectified through the thisness of the present time, of which the convenient marriage is a part. But the Egyptian emotional world is no less powerful,</w:t>
      </w:r>
      <w:r>
        <w:rPr>
          <w:spacing w:val="40"/>
        </w:rPr>
        <w:t> </w:t>
      </w:r>
      <w:r>
        <w:rPr/>
        <w:t>which makes</w:t>
      </w:r>
      <w:r>
        <w:rPr>
          <w:spacing w:val="40"/>
        </w:rPr>
        <w:t> </w:t>
      </w:r>
      <w:r>
        <w:rPr/>
        <w:t>Enobarbus’s</w:t>
      </w:r>
      <w:r>
        <w:rPr>
          <w:spacing w:val="40"/>
        </w:rPr>
        <w:t> </w:t>
      </w:r>
      <w:r>
        <w:rPr/>
        <w:t>conviction seem justified.</w:t>
      </w:r>
    </w:p>
    <w:p>
      <w:pPr>
        <w:pStyle w:val="BodyText"/>
        <w:spacing w:line="230" w:lineRule="auto" w:before="53"/>
        <w:ind w:right="1440" w:firstLine="432"/>
        <w:jc w:val="both"/>
      </w:pPr>
      <w:r>
        <w:rPr/>
        <w:t>However, Enobarbus’s conviction comes from his realization that </w:t>
      </w:r>
      <w:r>
        <w:rPr>
          <w:spacing w:val="-4"/>
        </w:rPr>
        <w:t>Antony</w:t>
      </w:r>
      <w:r>
        <w:rPr>
          <w:spacing w:val="-8"/>
        </w:rPr>
        <w:t> </w:t>
      </w:r>
      <w:r>
        <w:rPr>
          <w:spacing w:val="-4"/>
        </w:rPr>
        <w:t>will</w:t>
      </w:r>
      <w:r>
        <w:rPr>
          <w:spacing w:val="-6"/>
        </w:rPr>
        <w:t> </w:t>
      </w:r>
      <w:r>
        <w:rPr>
          <w:spacing w:val="-4"/>
        </w:rPr>
        <w:t>leave “Octavia” who “is</w:t>
      </w:r>
      <w:r>
        <w:rPr>
          <w:spacing w:val="-5"/>
        </w:rPr>
        <w:t> </w:t>
      </w:r>
      <w:r>
        <w:rPr>
          <w:spacing w:val="-4"/>
        </w:rPr>
        <w:t>of</w:t>
      </w:r>
      <w:r>
        <w:rPr>
          <w:spacing w:val="-5"/>
        </w:rPr>
        <w:t> </w:t>
      </w:r>
      <w:r>
        <w:rPr>
          <w:spacing w:val="-4"/>
        </w:rPr>
        <w:t>a holy, cold</w:t>
      </w:r>
      <w:r>
        <w:rPr>
          <w:spacing w:val="-5"/>
        </w:rPr>
        <w:t> </w:t>
      </w:r>
      <w:r>
        <w:rPr>
          <w:spacing w:val="-4"/>
        </w:rPr>
        <w:t>and still conversation” </w:t>
      </w:r>
      <w:r>
        <w:rPr/>
        <w:t>(2.6.124-125), (Or, as the Messenger manages his tongue to please Cleopatra, when he is asked to compare between herself and Octavia: “She creeps” and “A statue than a breather” (3.3.818, 21)) not because the politically</w:t>
      </w:r>
      <w:r>
        <w:rPr>
          <w:spacing w:val="-4"/>
        </w:rPr>
        <w:t> </w:t>
      </w:r>
      <w:r>
        <w:rPr/>
        <w:t>motivated marriage has</w:t>
      </w:r>
      <w:r>
        <w:rPr>
          <w:spacing w:val="-4"/>
        </w:rPr>
        <w:t> </w:t>
      </w:r>
      <w:r>
        <w:rPr/>
        <w:t>anything</w:t>
      </w:r>
      <w:r>
        <w:rPr>
          <w:spacing w:val="-1"/>
        </w:rPr>
        <w:t> </w:t>
      </w:r>
      <w:r>
        <w:rPr/>
        <w:t>undue</w:t>
      </w:r>
      <w:r>
        <w:rPr>
          <w:spacing w:val="-1"/>
        </w:rPr>
        <w:t> </w:t>
      </w:r>
      <w:r>
        <w:rPr/>
        <w:t>in</w:t>
      </w:r>
      <w:r>
        <w:rPr>
          <w:spacing w:val="-1"/>
        </w:rPr>
        <w:t> </w:t>
      </w:r>
      <w:r>
        <w:rPr/>
        <w:t>it,</w:t>
      </w:r>
      <w:r>
        <w:rPr>
          <w:spacing w:val="-1"/>
        </w:rPr>
        <w:t> </w:t>
      </w:r>
      <w:r>
        <w:rPr/>
        <w:t>but</w:t>
      </w:r>
      <w:r>
        <w:rPr>
          <w:spacing w:val="-1"/>
        </w:rPr>
        <w:t> </w:t>
      </w:r>
      <w:r>
        <w:rPr/>
        <w:t>because Antony is</w:t>
      </w:r>
      <w:r>
        <w:rPr>
          <w:spacing w:val="40"/>
        </w:rPr>
        <w:t> </w:t>
      </w:r>
      <w:r>
        <w:rPr/>
        <w:t>simply unable</w:t>
      </w:r>
      <w:r>
        <w:rPr>
          <w:spacing w:val="40"/>
        </w:rPr>
        <w:t> </w:t>
      </w:r>
      <w:r>
        <w:rPr/>
        <w:t>to</w:t>
      </w:r>
      <w:r>
        <w:rPr>
          <w:spacing w:val="40"/>
        </w:rPr>
        <w:t> </w:t>
      </w:r>
      <w:r>
        <w:rPr/>
        <w:t>resist</w:t>
      </w:r>
      <w:r>
        <w:rPr>
          <w:spacing w:val="40"/>
        </w:rPr>
        <w:t> </w:t>
      </w:r>
      <w:r>
        <w:rPr/>
        <w:t>Cleopatra’s</w:t>
      </w:r>
      <w:r>
        <w:rPr>
          <w:spacing w:val="40"/>
        </w:rPr>
        <w:t> </w:t>
      </w:r>
      <w:r>
        <w:rPr/>
        <w:t>allurement.</w:t>
      </w:r>
    </w:p>
    <w:p>
      <w:pPr>
        <w:pStyle w:val="BodyText"/>
        <w:spacing w:line="216" w:lineRule="auto" w:before="56"/>
        <w:ind w:right="1438" w:firstLine="432"/>
        <w:jc w:val="both"/>
      </w:pPr>
      <w:r>
        <w:rPr/>
        <w:t>And</w:t>
      </w:r>
      <w:r>
        <w:rPr>
          <w:spacing w:val="-7"/>
        </w:rPr>
        <w:t> </w:t>
      </w:r>
      <w:r>
        <w:rPr/>
        <w:t>in</w:t>
      </w:r>
      <w:r>
        <w:rPr>
          <w:spacing w:val="-10"/>
        </w:rPr>
        <w:t> </w:t>
      </w:r>
      <w:r>
        <w:rPr/>
        <w:t>Enobarbus’s</w:t>
      </w:r>
      <w:r>
        <w:rPr>
          <w:spacing w:val="-8"/>
        </w:rPr>
        <w:t> </w:t>
      </w:r>
      <w:r>
        <w:rPr/>
        <w:t>fascinating</w:t>
      </w:r>
      <w:r>
        <w:rPr>
          <w:spacing w:val="-10"/>
        </w:rPr>
        <w:t> </w:t>
      </w:r>
      <w:r>
        <w:rPr/>
        <w:t>descriptions</w:t>
      </w:r>
      <w:r>
        <w:rPr>
          <w:spacing w:val="-8"/>
        </w:rPr>
        <w:t> </w:t>
      </w:r>
      <w:r>
        <w:rPr/>
        <w:t>of</w:t>
      </w:r>
      <w:r>
        <w:rPr>
          <w:spacing w:val="-8"/>
        </w:rPr>
        <w:t> </w:t>
      </w:r>
      <w:r>
        <w:rPr/>
        <w:t>the</w:t>
      </w:r>
      <w:r>
        <w:rPr>
          <w:spacing w:val="-9"/>
        </w:rPr>
        <w:t> </w:t>
      </w:r>
      <w:r>
        <w:rPr/>
        <w:t>Cleopatra</w:t>
      </w:r>
      <w:r>
        <w:rPr>
          <w:spacing w:val="-8"/>
        </w:rPr>
        <w:t> </w:t>
      </w:r>
      <w:r>
        <w:rPr/>
        <w:t>show to his Roman friends, who had never visited Alexandria, come across like a travel company’s menu to attract visitors. Following his boss, Antony’s tautological description of the crocodile to Lepidus (“It is shaped, sir, like itself, and it is as broad as it has breadth” (2.7.42 ff.), Enobarbus, shunning tautology, excites his listeners, by adding to Maecenas’s query whether it was true that “Eight wild boars roasted </w:t>
      </w:r>
      <w:r>
        <w:rPr>
          <w:spacing w:val="-2"/>
        </w:rPr>
        <w:t>whole</w:t>
      </w:r>
      <w:r>
        <w:rPr>
          <w:spacing w:val="-8"/>
        </w:rPr>
        <w:t> </w:t>
      </w:r>
      <w:r>
        <w:rPr>
          <w:spacing w:val="-2"/>
        </w:rPr>
        <w:t>at</w:t>
      </w:r>
      <w:r>
        <w:rPr>
          <w:spacing w:val="-8"/>
        </w:rPr>
        <w:t> </w:t>
      </w:r>
      <w:r>
        <w:rPr>
          <w:spacing w:val="-2"/>
        </w:rPr>
        <w:t>a</w:t>
      </w:r>
      <w:r>
        <w:rPr>
          <w:spacing w:val="-8"/>
        </w:rPr>
        <w:t> </w:t>
      </w:r>
      <w:r>
        <w:rPr>
          <w:spacing w:val="-2"/>
        </w:rPr>
        <w:t>breakfast”</w:t>
      </w:r>
      <w:r>
        <w:rPr>
          <w:spacing w:val="-6"/>
        </w:rPr>
        <w:t> </w:t>
      </w:r>
      <w:r>
        <w:rPr>
          <w:spacing w:val="-2"/>
        </w:rPr>
        <w:t>for</w:t>
      </w:r>
      <w:r>
        <w:rPr>
          <w:spacing w:val="-6"/>
        </w:rPr>
        <w:t> </w:t>
      </w:r>
      <w:r>
        <w:rPr>
          <w:spacing w:val="-2"/>
        </w:rPr>
        <w:t>only</w:t>
      </w:r>
      <w:r>
        <w:rPr>
          <w:spacing w:val="-10"/>
        </w:rPr>
        <w:t> </w:t>
      </w:r>
      <w:r>
        <w:rPr>
          <w:spacing w:val="-2"/>
        </w:rPr>
        <w:t>“twelve</w:t>
      </w:r>
      <w:r>
        <w:rPr>
          <w:spacing w:val="-8"/>
        </w:rPr>
        <w:t> </w:t>
      </w:r>
      <w:r>
        <w:rPr>
          <w:spacing w:val="-2"/>
        </w:rPr>
        <w:t>persons”</w:t>
      </w:r>
      <w:r>
        <w:rPr>
          <w:spacing w:val="-6"/>
        </w:rPr>
        <w:t> </w:t>
      </w:r>
      <w:r>
        <w:rPr>
          <w:spacing w:val="-2"/>
        </w:rPr>
        <w:t>(2.2.189-190),</w:t>
      </w:r>
      <w:r>
        <w:rPr>
          <w:spacing w:val="-6"/>
        </w:rPr>
        <w:t> </w:t>
      </w:r>
      <w:r>
        <w:rPr>
          <w:spacing w:val="-2"/>
        </w:rPr>
        <w:t>Enobarbus </w:t>
      </w:r>
      <w:r>
        <w:rPr/>
        <w:t>bins</w:t>
      </w:r>
      <w:r>
        <w:rPr>
          <w:spacing w:val="-12"/>
        </w:rPr>
        <w:t> </w:t>
      </w:r>
      <w:r>
        <w:rPr/>
        <w:t>it</w:t>
      </w:r>
      <w:r>
        <w:rPr>
          <w:spacing w:val="-11"/>
        </w:rPr>
        <w:t> </w:t>
      </w:r>
      <w:r>
        <w:rPr/>
        <w:t>by</w:t>
      </w:r>
      <w:r>
        <w:rPr>
          <w:spacing w:val="-13"/>
        </w:rPr>
        <w:t> </w:t>
      </w:r>
      <w:r>
        <w:rPr/>
        <w:t>confirming</w:t>
      </w:r>
      <w:r>
        <w:rPr>
          <w:spacing w:val="-12"/>
        </w:rPr>
        <w:t> </w:t>
      </w:r>
      <w:r>
        <w:rPr/>
        <w:t>that</w:t>
      </w:r>
      <w:r>
        <w:rPr>
          <w:spacing w:val="-9"/>
        </w:rPr>
        <w:t> </w:t>
      </w:r>
      <w:r>
        <w:rPr/>
        <w:t>it</w:t>
      </w:r>
      <w:r>
        <w:rPr>
          <w:spacing w:val="-9"/>
        </w:rPr>
        <w:t> </w:t>
      </w:r>
      <w:r>
        <w:rPr/>
        <w:t>“was</w:t>
      </w:r>
      <w:r>
        <w:rPr>
          <w:spacing w:val="-13"/>
        </w:rPr>
        <w:t> </w:t>
      </w:r>
      <w:r>
        <w:rPr/>
        <w:t>but</w:t>
      </w:r>
      <w:r>
        <w:rPr>
          <w:spacing w:val="-8"/>
        </w:rPr>
        <w:t> </w:t>
      </w:r>
      <w:r>
        <w:rPr/>
        <w:t>as</w:t>
      </w:r>
      <w:r>
        <w:rPr>
          <w:spacing w:val="-13"/>
        </w:rPr>
        <w:t> </w:t>
      </w:r>
      <w:r>
        <w:rPr/>
        <w:t>a</w:t>
      </w:r>
      <w:r>
        <w:rPr>
          <w:spacing w:val="-7"/>
        </w:rPr>
        <w:t> </w:t>
      </w:r>
      <w:r>
        <w:rPr/>
        <w:t>fly</w:t>
      </w:r>
      <w:r>
        <w:rPr>
          <w:spacing w:val="-11"/>
        </w:rPr>
        <w:t> </w:t>
      </w:r>
      <w:r>
        <w:rPr/>
        <w:t>by</w:t>
      </w:r>
      <w:r>
        <w:rPr>
          <w:spacing w:val="-13"/>
        </w:rPr>
        <w:t> </w:t>
      </w:r>
      <w:r>
        <w:rPr/>
        <w:t>an</w:t>
      </w:r>
      <w:r>
        <w:rPr>
          <w:spacing w:val="-10"/>
        </w:rPr>
        <w:t> </w:t>
      </w:r>
      <w:r>
        <w:rPr/>
        <w:t>eagle”</w:t>
      </w:r>
      <w:r>
        <w:rPr>
          <w:spacing w:val="-11"/>
        </w:rPr>
        <w:t> </w:t>
      </w:r>
      <w:r>
        <w:rPr/>
        <w:t>(2.2.191).</w:t>
      </w:r>
      <w:r>
        <w:rPr>
          <w:spacing w:val="-9"/>
        </w:rPr>
        <w:t> </w:t>
      </w:r>
      <w:r>
        <w:rPr/>
        <w:t>That is, the eight-boar feast was merely a fraction of the extravaganza that goes</w:t>
      </w:r>
      <w:r>
        <w:rPr>
          <w:spacing w:val="40"/>
        </w:rPr>
        <w:t> </w:t>
      </w:r>
      <w:r>
        <w:rPr/>
        <w:t>on</w:t>
      </w:r>
      <w:r>
        <w:rPr>
          <w:spacing w:val="40"/>
        </w:rPr>
        <w:t> </w:t>
      </w:r>
      <w:r>
        <w:rPr/>
        <w:t>in</w:t>
      </w:r>
      <w:r>
        <w:rPr>
          <w:spacing w:val="40"/>
        </w:rPr>
        <w:t> </w:t>
      </w:r>
      <w:r>
        <w:rPr/>
        <w:t>Egypt.</w:t>
      </w:r>
    </w:p>
    <w:p>
      <w:pPr>
        <w:pStyle w:val="BodyText"/>
        <w:spacing w:line="216" w:lineRule="auto" w:before="71"/>
        <w:ind w:right="1440" w:firstLine="432"/>
        <w:jc w:val="both"/>
      </w:pPr>
      <w:r>
        <w:rPr/>
        <w:t>But</w:t>
      </w:r>
      <w:r>
        <w:rPr>
          <w:spacing w:val="-7"/>
        </w:rPr>
        <w:t> </w:t>
      </w:r>
      <w:r>
        <w:rPr/>
        <w:t>the</w:t>
      </w:r>
      <w:r>
        <w:rPr>
          <w:spacing w:val="-7"/>
        </w:rPr>
        <w:t> </w:t>
      </w:r>
      <w:r>
        <w:rPr/>
        <w:t>peace</w:t>
      </w:r>
      <w:r>
        <w:rPr>
          <w:spacing w:val="-5"/>
        </w:rPr>
        <w:t> </w:t>
      </w:r>
      <w:r>
        <w:rPr/>
        <w:t>efforts</w:t>
      </w:r>
      <w:r>
        <w:rPr>
          <w:spacing w:val="-7"/>
        </w:rPr>
        <w:t> </w:t>
      </w:r>
      <w:r>
        <w:rPr/>
        <w:t>expected</w:t>
      </w:r>
      <w:r>
        <w:rPr>
          <w:spacing w:val="-6"/>
        </w:rPr>
        <w:t> </w:t>
      </w:r>
      <w:r>
        <w:rPr/>
        <w:t>to</w:t>
      </w:r>
      <w:r>
        <w:rPr>
          <w:spacing w:val="-4"/>
        </w:rPr>
        <w:t> </w:t>
      </w:r>
      <w:r>
        <w:rPr/>
        <w:t>be</w:t>
      </w:r>
      <w:r>
        <w:rPr>
          <w:spacing w:val="-6"/>
        </w:rPr>
        <w:t> </w:t>
      </w:r>
      <w:r>
        <w:rPr/>
        <w:t>solemnized</w:t>
      </w:r>
      <w:r>
        <w:rPr>
          <w:spacing w:val="-6"/>
        </w:rPr>
        <w:t> </w:t>
      </w:r>
      <w:r>
        <w:rPr/>
        <w:t>through</w:t>
      </w:r>
      <w:r>
        <w:rPr>
          <w:spacing w:val="-6"/>
        </w:rPr>
        <w:t> </w:t>
      </w:r>
      <w:r>
        <w:rPr/>
        <w:t>connubial happiness</w:t>
      </w:r>
      <w:r>
        <w:rPr>
          <w:spacing w:val="-2"/>
        </w:rPr>
        <w:t> </w:t>
      </w:r>
      <w:r>
        <w:rPr/>
        <w:t>fell apart as news from</w:t>
      </w:r>
      <w:r>
        <w:rPr>
          <w:spacing w:val="-13"/>
        </w:rPr>
        <w:t> </w:t>
      </w:r>
      <w:r>
        <w:rPr/>
        <w:t>Alexandria makes Caesar fume at the famous</w:t>
      </w:r>
      <w:r>
        <w:rPr>
          <w:spacing w:val="-13"/>
        </w:rPr>
        <w:t> </w:t>
      </w:r>
      <w:r>
        <w:rPr/>
        <w:t>donations</w:t>
      </w:r>
      <w:r>
        <w:rPr>
          <w:spacing w:val="-12"/>
        </w:rPr>
        <w:t> </w:t>
      </w:r>
      <w:r>
        <w:rPr/>
        <w:t>staged</w:t>
      </w:r>
      <w:r>
        <w:rPr>
          <w:spacing w:val="-13"/>
        </w:rPr>
        <w:t> </w:t>
      </w:r>
      <w:r>
        <w:rPr/>
        <w:t>by</w:t>
      </w:r>
      <w:r>
        <w:rPr>
          <w:spacing w:val="-12"/>
        </w:rPr>
        <w:t> </w:t>
      </w:r>
      <w:r>
        <w:rPr/>
        <w:t>Antony</w:t>
      </w:r>
      <w:r>
        <w:rPr>
          <w:spacing w:val="-13"/>
        </w:rPr>
        <w:t> </w:t>
      </w:r>
      <w:r>
        <w:rPr/>
        <w:t>“I’th’</w:t>
      </w:r>
      <w:r>
        <w:rPr>
          <w:spacing w:val="-12"/>
        </w:rPr>
        <w:t> </w:t>
      </w:r>
      <w:r>
        <w:rPr/>
        <w:t>market-place”</w:t>
      </w:r>
      <w:r>
        <w:rPr>
          <w:spacing w:val="-13"/>
        </w:rPr>
        <w:t> </w:t>
      </w:r>
      <w:r>
        <w:rPr/>
        <w:t>(3.6.13),</w:t>
      </w:r>
      <w:r>
        <w:rPr>
          <w:spacing w:val="-12"/>
        </w:rPr>
        <w:t> </w:t>
      </w:r>
      <w:r>
        <w:rPr/>
        <w:t>where “Cleopatra and himself in chairs of gold” and divided the Afro-Asian part</w:t>
      </w:r>
      <w:r>
        <w:rPr>
          <w:vertAlign w:val="superscript"/>
        </w:rPr>
        <w:t>17</w:t>
      </w:r>
      <w:r>
        <w:rPr>
          <w:vertAlign w:val="baseline"/>
        </w:rPr>
        <w:t> of Rome among</w:t>
      </w:r>
      <w:r>
        <w:rPr>
          <w:spacing w:val="-2"/>
          <w:vertAlign w:val="baseline"/>
        </w:rPr>
        <w:t> </w:t>
      </w:r>
      <w:r>
        <w:rPr>
          <w:vertAlign w:val="baseline"/>
        </w:rPr>
        <w:t>their children: “His sons he there proclaimed the </w:t>
      </w:r>
      <w:r>
        <w:rPr>
          <w:spacing w:val="-4"/>
          <w:vertAlign w:val="baseline"/>
        </w:rPr>
        <w:t>kings</w:t>
      </w:r>
      <w:r>
        <w:rPr>
          <w:spacing w:val="-9"/>
          <w:vertAlign w:val="baseline"/>
        </w:rPr>
        <w:t> </w:t>
      </w:r>
      <w:r>
        <w:rPr>
          <w:spacing w:val="-4"/>
          <w:vertAlign w:val="baseline"/>
        </w:rPr>
        <w:t>of</w:t>
      </w:r>
      <w:r>
        <w:rPr>
          <w:spacing w:val="-8"/>
          <w:vertAlign w:val="baseline"/>
        </w:rPr>
        <w:t> </w:t>
      </w:r>
      <w:r>
        <w:rPr>
          <w:spacing w:val="-4"/>
          <w:vertAlign w:val="baseline"/>
        </w:rPr>
        <w:t>kings:</w:t>
      </w:r>
      <w:r>
        <w:rPr>
          <w:spacing w:val="-9"/>
          <w:vertAlign w:val="baseline"/>
        </w:rPr>
        <w:t> </w:t>
      </w:r>
      <w:r>
        <w:rPr>
          <w:spacing w:val="-4"/>
          <w:vertAlign w:val="baseline"/>
        </w:rPr>
        <w:t>/</w:t>
      </w:r>
      <w:r>
        <w:rPr>
          <w:spacing w:val="-8"/>
          <w:vertAlign w:val="baseline"/>
        </w:rPr>
        <w:t> </w:t>
      </w:r>
      <w:r>
        <w:rPr>
          <w:spacing w:val="-4"/>
          <w:vertAlign w:val="baseline"/>
        </w:rPr>
        <w:t>Great</w:t>
      </w:r>
      <w:r>
        <w:rPr>
          <w:spacing w:val="-9"/>
          <w:vertAlign w:val="baseline"/>
        </w:rPr>
        <w:t> </w:t>
      </w:r>
      <w:r>
        <w:rPr>
          <w:spacing w:val="-4"/>
          <w:vertAlign w:val="baseline"/>
        </w:rPr>
        <w:t>Media,</w:t>
      </w:r>
      <w:r>
        <w:rPr>
          <w:spacing w:val="-7"/>
          <w:vertAlign w:val="baseline"/>
        </w:rPr>
        <w:t> </w:t>
      </w:r>
      <w:r>
        <w:rPr>
          <w:spacing w:val="-4"/>
          <w:vertAlign w:val="baseline"/>
        </w:rPr>
        <w:t>Parthia</w:t>
      </w:r>
      <w:r>
        <w:rPr>
          <w:spacing w:val="-8"/>
          <w:vertAlign w:val="baseline"/>
        </w:rPr>
        <w:t> </w:t>
      </w:r>
      <w:r>
        <w:rPr>
          <w:spacing w:val="-4"/>
          <w:vertAlign w:val="baseline"/>
        </w:rPr>
        <w:t>and</w:t>
      </w:r>
      <w:r>
        <w:rPr>
          <w:spacing w:val="-9"/>
          <w:vertAlign w:val="baseline"/>
        </w:rPr>
        <w:t> </w:t>
      </w:r>
      <w:r>
        <w:rPr>
          <w:spacing w:val="-4"/>
          <w:vertAlign w:val="baseline"/>
        </w:rPr>
        <w:t>Armenia</w:t>
      </w:r>
      <w:r>
        <w:rPr>
          <w:spacing w:val="-3"/>
          <w:vertAlign w:val="baseline"/>
        </w:rPr>
        <w:t> </w:t>
      </w:r>
      <w:r>
        <w:rPr>
          <w:spacing w:val="-4"/>
          <w:vertAlign w:val="baseline"/>
        </w:rPr>
        <w:t>/</w:t>
      </w:r>
      <w:r>
        <w:rPr>
          <w:spacing w:val="-7"/>
          <w:vertAlign w:val="baseline"/>
        </w:rPr>
        <w:t> </w:t>
      </w:r>
      <w:r>
        <w:rPr>
          <w:spacing w:val="-4"/>
          <w:vertAlign w:val="baseline"/>
        </w:rPr>
        <w:t>He</w:t>
      </w:r>
      <w:r>
        <w:rPr>
          <w:spacing w:val="-9"/>
          <w:vertAlign w:val="baseline"/>
        </w:rPr>
        <w:t> </w:t>
      </w:r>
      <w:r>
        <w:rPr>
          <w:spacing w:val="-4"/>
          <w:vertAlign w:val="baseline"/>
        </w:rPr>
        <w:t>gave</w:t>
      </w:r>
      <w:r>
        <w:rPr>
          <w:spacing w:val="-3"/>
          <w:vertAlign w:val="baseline"/>
        </w:rPr>
        <w:t> </w:t>
      </w:r>
      <w:r>
        <w:rPr>
          <w:spacing w:val="-4"/>
          <w:vertAlign w:val="baseline"/>
        </w:rPr>
        <w:t>to</w:t>
      </w:r>
      <w:r>
        <w:rPr>
          <w:spacing w:val="-9"/>
          <w:vertAlign w:val="baseline"/>
        </w:rPr>
        <w:t> </w:t>
      </w:r>
      <w:r>
        <w:rPr>
          <w:spacing w:val="-4"/>
          <w:vertAlign w:val="baseline"/>
        </w:rPr>
        <w:t>Alexander, </w:t>
      </w:r>
      <w:r>
        <w:rPr>
          <w:vertAlign w:val="baseline"/>
        </w:rPr>
        <w:t>to Ptolemy he assigned / Syria, Cilicia and Phenicia” (3.6.13-16).</w:t>
      </w:r>
      <w:r>
        <w:rPr>
          <w:vertAlign w:val="superscript"/>
        </w:rPr>
        <w:t>18</w:t>
      </w:r>
    </w:p>
    <w:p>
      <w:pPr>
        <w:pStyle w:val="BodyText"/>
        <w:spacing w:before="13"/>
        <w:ind w:left="0"/>
      </w:pPr>
      <w:r>
        <w:rPr/>
        <mc:AlternateContent>
          <mc:Choice Requires="wps">
            <w:drawing>
              <wp:anchor distT="0" distB="0" distL="0" distR="0" allowOverlap="1" layoutInCell="1" locked="0" behindDoc="1" simplePos="0" relativeHeight="487617024">
                <wp:simplePos x="0" y="0"/>
                <wp:positionH relativeFrom="page">
                  <wp:posOffset>2057400</wp:posOffset>
                </wp:positionH>
                <wp:positionV relativeFrom="paragraph">
                  <wp:posOffset>169742</wp:posOffset>
                </wp:positionV>
                <wp:extent cx="3686810" cy="12700"/>
                <wp:effectExtent l="0" t="0" r="0" b="0"/>
                <wp:wrapTopAndBottom/>
                <wp:docPr id="153" name="Graphic 153"/>
                <wp:cNvGraphicFramePr>
                  <a:graphicFrameLocks/>
                </wp:cNvGraphicFramePr>
                <a:graphic>
                  <a:graphicData uri="http://schemas.microsoft.com/office/word/2010/wordprocessingShape">
                    <wps:wsp>
                      <wps:cNvPr id="153" name="Graphic 153"/>
                      <wps:cNvSpPr/>
                      <wps:spPr>
                        <a:xfrm>
                          <a:off x="0" y="0"/>
                          <a:ext cx="3686810" cy="12700"/>
                        </a:xfrm>
                        <a:custGeom>
                          <a:avLst/>
                          <a:gdLst/>
                          <a:ahLst/>
                          <a:cxnLst/>
                          <a:rect l="l" t="t" r="r" b="b"/>
                          <a:pathLst>
                            <a:path w="3686810" h="12700">
                              <a:moveTo>
                                <a:pt x="0" y="0"/>
                              </a:moveTo>
                              <a:lnTo>
                                <a:pt x="3686555" y="0"/>
                              </a:lnTo>
                              <a:lnTo>
                                <a:pt x="3686555"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3.365587pt;width:290.279992pt;height:.959976pt;mso-position-horizontal-relative:page;mso-position-vertical-relative:paragraph;z-index:-15699456;mso-wrap-distance-left:0;mso-wrap-distance-right:0" id="docshape149" filled="true" fillcolor="#000000" stroked="false">
                <v:fill type="solid"/>
                <w10:wrap type="topAndBottom"/>
              </v:rect>
            </w:pict>
          </mc:Fallback>
        </mc:AlternateContent>
      </w:r>
    </w:p>
    <w:p>
      <w:pPr>
        <w:spacing w:line="208" w:lineRule="auto" w:before="38"/>
        <w:ind w:left="1440" w:right="1442" w:firstLine="0"/>
        <w:jc w:val="both"/>
        <w:rPr>
          <w:sz w:val="18"/>
        </w:rPr>
      </w:pPr>
      <w:r>
        <w:rPr>
          <w:sz w:val="18"/>
          <w:vertAlign w:val="superscript"/>
        </w:rPr>
        <w:t>17</w:t>
      </w:r>
      <w:r>
        <w:rPr>
          <w:sz w:val="18"/>
          <w:vertAlign w:val="baseline"/>
        </w:rPr>
        <w:t> After the victory at Phillippi (42 BC) the Roman republic was divided with Antony becoming the ruler of Egypt and other Asian kingdoms, and Caesar having</w:t>
      </w:r>
      <w:r>
        <w:rPr>
          <w:spacing w:val="40"/>
          <w:sz w:val="18"/>
          <w:vertAlign w:val="baseline"/>
        </w:rPr>
        <w:t> </w:t>
      </w:r>
      <w:r>
        <w:rPr>
          <w:sz w:val="18"/>
          <w:vertAlign w:val="baseline"/>
        </w:rPr>
        <w:t>to</w:t>
      </w:r>
      <w:r>
        <w:rPr>
          <w:spacing w:val="40"/>
          <w:sz w:val="18"/>
          <w:vertAlign w:val="baseline"/>
        </w:rPr>
        <w:t> </w:t>
      </w:r>
      <w:r>
        <w:rPr>
          <w:sz w:val="18"/>
          <w:vertAlign w:val="baseline"/>
        </w:rPr>
        <w:t>rule</w:t>
      </w:r>
      <w:r>
        <w:rPr>
          <w:spacing w:val="40"/>
          <w:sz w:val="18"/>
          <w:vertAlign w:val="baseline"/>
        </w:rPr>
        <w:t> </w:t>
      </w:r>
      <w:r>
        <w:rPr>
          <w:sz w:val="18"/>
          <w:vertAlign w:val="baseline"/>
        </w:rPr>
        <w:t>from</w:t>
      </w:r>
      <w:r>
        <w:rPr>
          <w:spacing w:val="40"/>
          <w:sz w:val="18"/>
          <w:vertAlign w:val="baseline"/>
        </w:rPr>
        <w:t> </w:t>
      </w:r>
      <w:r>
        <w:rPr>
          <w:sz w:val="18"/>
          <w:vertAlign w:val="baseline"/>
        </w:rPr>
        <w:t>Rome</w:t>
      </w:r>
      <w:r>
        <w:rPr>
          <w:spacing w:val="40"/>
          <w:sz w:val="18"/>
          <w:vertAlign w:val="baseline"/>
        </w:rPr>
        <w:t> </w:t>
      </w:r>
      <w:r>
        <w:rPr>
          <w:sz w:val="18"/>
          <w:vertAlign w:val="baseline"/>
        </w:rPr>
        <w:t>the</w:t>
      </w:r>
      <w:r>
        <w:rPr>
          <w:spacing w:val="40"/>
          <w:sz w:val="18"/>
          <w:vertAlign w:val="baseline"/>
        </w:rPr>
        <w:t> </w:t>
      </w:r>
      <w:r>
        <w:rPr>
          <w:sz w:val="18"/>
          <w:vertAlign w:val="baseline"/>
        </w:rPr>
        <w:t>western</w:t>
      </w:r>
      <w:r>
        <w:rPr>
          <w:spacing w:val="40"/>
          <w:sz w:val="18"/>
          <w:vertAlign w:val="baseline"/>
        </w:rPr>
        <w:t> </w:t>
      </w:r>
      <w:r>
        <w:rPr>
          <w:sz w:val="18"/>
          <w:vertAlign w:val="baseline"/>
        </w:rPr>
        <w:t>part.</w:t>
      </w:r>
    </w:p>
    <w:p>
      <w:pPr>
        <w:spacing w:line="208" w:lineRule="auto" w:before="58"/>
        <w:ind w:left="1440" w:right="1439" w:firstLine="0"/>
        <w:jc w:val="both"/>
        <w:rPr>
          <w:sz w:val="18"/>
        </w:rPr>
      </w:pPr>
      <w:r>
        <w:rPr>
          <w:sz w:val="18"/>
          <w:vertAlign w:val="superscript"/>
        </w:rPr>
        <w:t>18</w:t>
      </w:r>
      <w:r>
        <w:rPr>
          <w:sz w:val="18"/>
          <w:vertAlign w:val="baseline"/>
        </w:rPr>
        <w:t> “At the so-called ‘donations of Alexandria’ in 34 BC Cleopatra herself appears</w:t>
      </w:r>
      <w:r>
        <w:rPr>
          <w:spacing w:val="-1"/>
          <w:sz w:val="18"/>
          <w:vertAlign w:val="baseline"/>
        </w:rPr>
        <w:t> </w:t>
      </w:r>
      <w:r>
        <w:rPr>
          <w:sz w:val="18"/>
          <w:vertAlign w:val="baseline"/>
        </w:rPr>
        <w:t>as</w:t>
      </w:r>
      <w:r>
        <w:rPr>
          <w:spacing w:val="-1"/>
          <w:sz w:val="18"/>
          <w:vertAlign w:val="baseline"/>
        </w:rPr>
        <w:t> </w:t>
      </w:r>
      <w:r>
        <w:rPr>
          <w:sz w:val="18"/>
          <w:vertAlign w:val="baseline"/>
        </w:rPr>
        <w:t>Isis; she</w:t>
      </w:r>
      <w:r>
        <w:rPr>
          <w:spacing w:val="-3"/>
          <w:sz w:val="18"/>
          <w:vertAlign w:val="baseline"/>
        </w:rPr>
        <w:t> </w:t>
      </w:r>
      <w:r>
        <w:rPr>
          <w:sz w:val="18"/>
          <w:vertAlign w:val="baseline"/>
        </w:rPr>
        <w:t>and</w:t>
      </w:r>
      <w:r>
        <w:rPr>
          <w:spacing w:val="-7"/>
          <w:sz w:val="18"/>
          <w:vertAlign w:val="baseline"/>
        </w:rPr>
        <w:t> </w:t>
      </w:r>
      <w:r>
        <w:rPr>
          <w:sz w:val="18"/>
          <w:vertAlign w:val="baseline"/>
        </w:rPr>
        <w:t>Antony</w:t>
      </w:r>
      <w:r>
        <w:rPr>
          <w:spacing w:val="-3"/>
          <w:sz w:val="18"/>
          <w:vertAlign w:val="baseline"/>
        </w:rPr>
        <w:t> </w:t>
      </w:r>
      <w:r>
        <w:rPr>
          <w:sz w:val="18"/>
          <w:vertAlign w:val="baseline"/>
        </w:rPr>
        <w:t>took</w:t>
      </w:r>
      <w:r>
        <w:rPr>
          <w:spacing w:val="-1"/>
          <w:sz w:val="18"/>
          <w:vertAlign w:val="baseline"/>
        </w:rPr>
        <w:t> </w:t>
      </w:r>
      <w:r>
        <w:rPr>
          <w:sz w:val="18"/>
          <w:vertAlign w:val="baseline"/>
        </w:rPr>
        <w:t>their places</w:t>
      </w:r>
      <w:r>
        <w:rPr>
          <w:spacing w:val="-1"/>
          <w:sz w:val="18"/>
          <w:vertAlign w:val="baseline"/>
        </w:rPr>
        <w:t> </w:t>
      </w:r>
      <w:r>
        <w:rPr>
          <w:sz w:val="18"/>
          <w:vertAlign w:val="baseline"/>
        </w:rPr>
        <w:t>on</w:t>
      </w:r>
      <w:r>
        <w:rPr>
          <w:spacing w:val="-1"/>
          <w:sz w:val="18"/>
          <w:vertAlign w:val="baseline"/>
        </w:rPr>
        <w:t> </w:t>
      </w:r>
      <w:r>
        <w:rPr>
          <w:sz w:val="18"/>
          <w:vertAlign w:val="baseline"/>
        </w:rPr>
        <w:t>high thrones;</w:t>
      </w:r>
      <w:r>
        <w:rPr>
          <w:spacing w:val="-1"/>
          <w:sz w:val="18"/>
          <w:vertAlign w:val="baseline"/>
        </w:rPr>
        <w:t> </w:t>
      </w:r>
      <w:r>
        <w:rPr>
          <w:sz w:val="18"/>
          <w:vertAlign w:val="baseline"/>
        </w:rPr>
        <w:t>their children were paraded in the national dress of the kingdoms they were marked out to rule,</w:t>
      </w:r>
      <w:r>
        <w:rPr>
          <w:spacing w:val="-12"/>
          <w:sz w:val="18"/>
          <w:vertAlign w:val="baseline"/>
        </w:rPr>
        <w:t> </w:t>
      </w:r>
      <w:r>
        <w:rPr>
          <w:sz w:val="18"/>
          <w:vertAlign w:val="baseline"/>
        </w:rPr>
        <w:t>Alexander</w:t>
      </w:r>
      <w:r>
        <w:rPr>
          <w:spacing w:val="-11"/>
          <w:sz w:val="18"/>
          <w:vertAlign w:val="baseline"/>
        </w:rPr>
        <w:t> </w:t>
      </w:r>
      <w:r>
        <w:rPr>
          <w:sz w:val="18"/>
          <w:vertAlign w:val="baseline"/>
        </w:rPr>
        <w:t>Helios</w:t>
      </w:r>
      <w:r>
        <w:rPr>
          <w:spacing w:val="-9"/>
          <w:sz w:val="18"/>
          <w:vertAlign w:val="baseline"/>
        </w:rPr>
        <w:t> </w:t>
      </w:r>
      <w:r>
        <w:rPr>
          <w:sz w:val="18"/>
          <w:vertAlign w:val="baseline"/>
        </w:rPr>
        <w:t>in</w:t>
      </w:r>
      <w:r>
        <w:rPr>
          <w:spacing w:val="-5"/>
          <w:sz w:val="18"/>
          <w:vertAlign w:val="baseline"/>
        </w:rPr>
        <w:t> </w:t>
      </w:r>
      <w:r>
        <w:rPr>
          <w:sz w:val="18"/>
          <w:vertAlign w:val="baseline"/>
        </w:rPr>
        <w:t>the</w:t>
      </w:r>
      <w:r>
        <w:rPr>
          <w:spacing w:val="-5"/>
          <w:sz w:val="18"/>
          <w:vertAlign w:val="baseline"/>
        </w:rPr>
        <w:t> </w:t>
      </w:r>
      <w:r>
        <w:rPr>
          <w:sz w:val="18"/>
          <w:vertAlign w:val="baseline"/>
        </w:rPr>
        <w:t>costume</w:t>
      </w:r>
      <w:r>
        <w:rPr>
          <w:spacing w:val="-9"/>
          <w:sz w:val="18"/>
          <w:vertAlign w:val="baseline"/>
        </w:rPr>
        <w:t> </w:t>
      </w:r>
      <w:r>
        <w:rPr>
          <w:sz w:val="18"/>
          <w:vertAlign w:val="baseline"/>
        </w:rPr>
        <w:t>and</w:t>
      </w:r>
      <w:r>
        <w:rPr>
          <w:spacing w:val="-4"/>
          <w:sz w:val="18"/>
          <w:vertAlign w:val="baseline"/>
        </w:rPr>
        <w:t> </w:t>
      </w:r>
      <w:r>
        <w:rPr>
          <w:sz w:val="18"/>
          <w:vertAlign w:val="baseline"/>
        </w:rPr>
        <w:t>headdress</w:t>
      </w:r>
      <w:r>
        <w:rPr>
          <w:spacing w:val="-9"/>
          <w:sz w:val="18"/>
          <w:vertAlign w:val="baseline"/>
        </w:rPr>
        <w:t> </w:t>
      </w:r>
      <w:r>
        <w:rPr>
          <w:sz w:val="18"/>
          <w:vertAlign w:val="baseline"/>
        </w:rPr>
        <w:t>of</w:t>
      </w:r>
      <w:r>
        <w:rPr>
          <w:spacing w:val="-10"/>
          <w:sz w:val="18"/>
          <w:vertAlign w:val="baseline"/>
        </w:rPr>
        <w:t> </w:t>
      </w:r>
      <w:r>
        <w:rPr>
          <w:sz w:val="18"/>
          <w:vertAlign w:val="baseline"/>
        </w:rPr>
        <w:t>Media,</w:t>
      </w:r>
      <w:r>
        <w:rPr>
          <w:spacing w:val="-5"/>
          <w:sz w:val="18"/>
          <w:vertAlign w:val="baseline"/>
        </w:rPr>
        <w:t> </w:t>
      </w:r>
      <w:r>
        <w:rPr>
          <w:sz w:val="18"/>
          <w:vertAlign w:val="baseline"/>
        </w:rPr>
        <w:t>Cleopatra</w:t>
      </w:r>
      <w:r>
        <w:rPr>
          <w:spacing w:val="-9"/>
          <w:sz w:val="18"/>
          <w:vertAlign w:val="baseline"/>
        </w:rPr>
        <w:t> </w:t>
      </w:r>
      <w:r>
        <w:rPr>
          <w:sz w:val="18"/>
          <w:vertAlign w:val="baseline"/>
        </w:rPr>
        <w:t>Selene in that of Cyrene, Ptolemy Philadelphus in the cloak and cap of Macedonia.” (Christopher Pelling, “Anything truth can do, we can do better: the Cleopatra legend,” in </w:t>
      </w:r>
      <w:r>
        <w:rPr>
          <w:i/>
          <w:sz w:val="18"/>
          <w:vertAlign w:val="baseline"/>
        </w:rPr>
        <w:t>Cleopatra of Egypt, </w:t>
      </w:r>
      <w:r>
        <w:rPr>
          <w:sz w:val="18"/>
          <w:vertAlign w:val="baseline"/>
        </w:rPr>
        <w:t>p. 292.</w:t>
      </w:r>
    </w:p>
    <w:p>
      <w:pPr>
        <w:spacing w:after="0" w:line="208" w:lineRule="auto"/>
        <w:jc w:val="both"/>
        <w:rPr>
          <w:sz w:val="18"/>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17536">
                <wp:simplePos x="0" y="0"/>
                <wp:positionH relativeFrom="page">
                  <wp:posOffset>2057400</wp:posOffset>
                </wp:positionH>
                <wp:positionV relativeFrom="paragraph">
                  <wp:posOffset>162604</wp:posOffset>
                </wp:positionV>
                <wp:extent cx="3657600" cy="12700"/>
                <wp:effectExtent l="0" t="0" r="0" b="0"/>
                <wp:wrapTopAndBottom/>
                <wp:docPr id="154" name="Graphic 154"/>
                <wp:cNvGraphicFramePr>
                  <a:graphicFrameLocks/>
                </wp:cNvGraphicFramePr>
                <a:graphic>
                  <a:graphicData uri="http://schemas.microsoft.com/office/word/2010/wordprocessingShape">
                    <wps:wsp>
                      <wps:cNvPr id="154" name="Graphic 15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98944;mso-wrap-distance-left:0;mso-wrap-distance-right:0" id="docshape150" filled="true" fillcolor="#000000" stroked="false">
                <v:fill type="solid"/>
                <w10:wrap type="topAndBottom"/>
              </v:rect>
            </w:pict>
          </mc:Fallback>
        </mc:AlternateContent>
      </w:r>
      <w:r>
        <w:rPr>
          <w:rFonts w:ascii="Verdana"/>
          <w:spacing w:val="-5"/>
          <w:sz w:val="18"/>
        </w:rPr>
        <w:t>14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08" w:lineRule="auto" w:before="188"/>
        <w:ind w:right="1437" w:firstLine="432"/>
        <w:jc w:val="both"/>
      </w:pPr>
      <w:r>
        <w:rPr/>
        <w:t>On top of this disgruntlement, Caesar’s sister Octavia, who is </w:t>
      </w:r>
      <w:r>
        <w:rPr>
          <w:spacing w:val="-4"/>
        </w:rPr>
        <w:t>Antony’s</w:t>
      </w:r>
      <w:r>
        <w:rPr>
          <w:spacing w:val="-9"/>
        </w:rPr>
        <w:t> </w:t>
      </w:r>
      <w:r>
        <w:rPr>
          <w:spacing w:val="-4"/>
        </w:rPr>
        <w:t>wife,</w:t>
      </w:r>
      <w:r>
        <w:rPr>
          <w:spacing w:val="-8"/>
        </w:rPr>
        <w:t> </w:t>
      </w:r>
      <w:r>
        <w:rPr>
          <w:spacing w:val="-4"/>
        </w:rPr>
        <w:t>comes</w:t>
      </w:r>
      <w:r>
        <w:rPr>
          <w:spacing w:val="-9"/>
        </w:rPr>
        <w:t> </w:t>
      </w:r>
      <w:r>
        <w:rPr>
          <w:spacing w:val="-4"/>
        </w:rPr>
        <w:t>from</w:t>
      </w:r>
      <w:r>
        <w:rPr>
          <w:spacing w:val="-8"/>
        </w:rPr>
        <w:t> </w:t>
      </w:r>
      <w:r>
        <w:rPr>
          <w:spacing w:val="-4"/>
        </w:rPr>
        <w:t>Athens</w:t>
      </w:r>
      <w:r>
        <w:rPr>
          <w:spacing w:val="-9"/>
        </w:rPr>
        <w:t> </w:t>
      </w:r>
      <w:r>
        <w:rPr>
          <w:spacing w:val="-4"/>
        </w:rPr>
        <w:t>like</w:t>
      </w:r>
      <w:r>
        <w:rPr>
          <w:spacing w:val="-8"/>
        </w:rPr>
        <w:t> </w:t>
      </w:r>
      <w:r>
        <w:rPr>
          <w:spacing w:val="-4"/>
        </w:rPr>
        <w:t>“A</w:t>
      </w:r>
      <w:r>
        <w:rPr>
          <w:spacing w:val="-9"/>
        </w:rPr>
        <w:t> </w:t>
      </w:r>
      <w:r>
        <w:rPr>
          <w:spacing w:val="-4"/>
        </w:rPr>
        <w:t>market</w:t>
      </w:r>
      <w:r>
        <w:rPr>
          <w:spacing w:val="-8"/>
        </w:rPr>
        <w:t> </w:t>
      </w:r>
      <w:r>
        <w:rPr>
          <w:spacing w:val="-4"/>
        </w:rPr>
        <w:t>maid</w:t>
      </w:r>
      <w:r>
        <w:rPr>
          <w:spacing w:val="-9"/>
        </w:rPr>
        <w:t> </w:t>
      </w:r>
      <w:r>
        <w:rPr>
          <w:spacing w:val="-4"/>
        </w:rPr>
        <w:t>to</w:t>
      </w:r>
      <w:r>
        <w:rPr>
          <w:spacing w:val="-8"/>
        </w:rPr>
        <w:t> </w:t>
      </w:r>
      <w:r>
        <w:rPr>
          <w:spacing w:val="-4"/>
        </w:rPr>
        <w:t>Rome”</w:t>
      </w:r>
      <w:r>
        <w:rPr>
          <w:spacing w:val="-9"/>
        </w:rPr>
        <w:t> </w:t>
      </w:r>
      <w:r>
        <w:rPr>
          <w:spacing w:val="-4"/>
        </w:rPr>
        <w:t>(3.6.52). </w:t>
      </w:r>
      <w:r>
        <w:rPr/>
        <w:t>Caesar, with his superior information network, outdoes Octavia’s knowledge by almost gleefully telling her that</w:t>
      </w:r>
      <w:r>
        <w:rPr>
          <w:spacing w:val="-7"/>
        </w:rPr>
        <w:t> </w:t>
      </w:r>
      <w:r>
        <w:rPr/>
        <w:t>Antony is not in</w:t>
      </w:r>
      <w:r>
        <w:rPr>
          <w:spacing w:val="-7"/>
        </w:rPr>
        <w:t> </w:t>
      </w:r>
      <w:r>
        <w:rPr/>
        <w:t>Athens, but</w:t>
      </w:r>
      <w:r>
        <w:rPr>
          <w:spacing w:val="-9"/>
        </w:rPr>
        <w:t> </w:t>
      </w:r>
      <w:r>
        <w:rPr/>
        <w:t>in</w:t>
      </w:r>
      <w:r>
        <w:rPr>
          <w:spacing w:val="-15"/>
        </w:rPr>
        <w:t> </w:t>
      </w:r>
      <w:r>
        <w:rPr/>
        <w:t>Alexandria</w:t>
      </w:r>
      <w:r>
        <w:rPr>
          <w:spacing w:val="-6"/>
        </w:rPr>
        <w:t> </w:t>
      </w:r>
      <w:r>
        <w:rPr/>
        <w:t>as</w:t>
      </w:r>
      <w:r>
        <w:rPr>
          <w:spacing w:val="-5"/>
        </w:rPr>
        <w:t> </w:t>
      </w:r>
      <w:r>
        <w:rPr/>
        <w:t>“Cleopatra</w:t>
      </w:r>
      <w:r>
        <w:rPr>
          <w:spacing w:val="-7"/>
        </w:rPr>
        <w:t> </w:t>
      </w:r>
      <w:r>
        <w:rPr/>
        <w:t>hath</w:t>
      </w:r>
      <w:r>
        <w:rPr>
          <w:spacing w:val="-6"/>
        </w:rPr>
        <w:t> </w:t>
      </w:r>
      <w:r>
        <w:rPr/>
        <w:t>/</w:t>
      </w:r>
      <w:r>
        <w:rPr>
          <w:spacing w:val="-7"/>
        </w:rPr>
        <w:t> </w:t>
      </w:r>
      <w:r>
        <w:rPr/>
        <w:t>Nodded</w:t>
      </w:r>
      <w:r>
        <w:rPr>
          <w:spacing w:val="-3"/>
        </w:rPr>
        <w:t> </w:t>
      </w:r>
      <w:r>
        <w:rPr/>
        <w:t>him</w:t>
      </w:r>
      <w:r>
        <w:rPr>
          <w:spacing w:val="-9"/>
        </w:rPr>
        <w:t> </w:t>
      </w:r>
      <w:r>
        <w:rPr/>
        <w:t>to</w:t>
      </w:r>
      <w:r>
        <w:rPr>
          <w:spacing w:val="-5"/>
        </w:rPr>
        <w:t> </w:t>
      </w:r>
      <w:r>
        <w:rPr/>
        <w:t>her”</w:t>
      </w:r>
      <w:r>
        <w:rPr>
          <w:spacing w:val="-5"/>
        </w:rPr>
        <w:t> </w:t>
      </w:r>
      <w:r>
        <w:rPr/>
        <w:t>(3.6.66-</w:t>
      </w:r>
      <w:r>
        <w:rPr>
          <w:spacing w:val="-2"/>
        </w:rPr>
        <w:t>67)</w:t>
      </w:r>
      <w:r>
        <w:rPr>
          <w:spacing w:val="-2"/>
          <w:vertAlign w:val="superscript"/>
        </w:rPr>
        <w:t>19</w:t>
      </w:r>
      <w:r>
        <w:rPr>
          <w:spacing w:val="-2"/>
          <w:vertAlign w:val="baseline"/>
        </w:rPr>
        <w:t>.</w:t>
      </w:r>
    </w:p>
    <w:p>
      <w:pPr>
        <w:pStyle w:val="BodyText"/>
        <w:spacing w:line="208" w:lineRule="auto" w:before="58"/>
        <w:ind w:right="1439" w:firstLine="432"/>
        <w:jc w:val="both"/>
      </w:pPr>
      <w:r>
        <w:rPr/>
        <w:t>Now, not only in the Roman eye, Enobarbus, who is, in a way, charmed by</w:t>
      </w:r>
      <w:r>
        <w:rPr>
          <w:spacing w:val="-5"/>
        </w:rPr>
        <w:t> </w:t>
      </w:r>
      <w:r>
        <w:rPr/>
        <w:t>the</w:t>
      </w:r>
      <w:r>
        <w:rPr>
          <w:spacing w:val="-3"/>
        </w:rPr>
        <w:t> </w:t>
      </w:r>
      <w:r>
        <w:rPr/>
        <w:t>Egyptian</w:t>
      </w:r>
      <w:r>
        <w:rPr>
          <w:spacing w:val="-3"/>
        </w:rPr>
        <w:t> </w:t>
      </w:r>
      <w:r>
        <w:rPr/>
        <w:t>queen</w:t>
      </w:r>
      <w:r>
        <w:rPr>
          <w:spacing w:val="-3"/>
        </w:rPr>
        <w:t> </w:t>
      </w:r>
      <w:r>
        <w:rPr/>
        <w:t>too,</w:t>
      </w:r>
      <w:r>
        <w:rPr>
          <w:spacing w:val="-1"/>
        </w:rPr>
        <w:t> </w:t>
      </w:r>
      <w:r>
        <w:rPr/>
        <w:t>finds</w:t>
      </w:r>
      <w:r>
        <w:rPr>
          <w:spacing w:val="-1"/>
        </w:rPr>
        <w:t> </w:t>
      </w:r>
      <w:r>
        <w:rPr/>
        <w:t>the nodding</w:t>
      </w:r>
      <w:r>
        <w:rPr>
          <w:spacing w:val="-5"/>
        </w:rPr>
        <w:t> </w:t>
      </w:r>
      <w:r>
        <w:rPr/>
        <w:t>to curb</w:t>
      </w:r>
      <w:r>
        <w:rPr>
          <w:spacing w:val="-10"/>
        </w:rPr>
        <w:t> </w:t>
      </w:r>
      <w:r>
        <w:rPr/>
        <w:t>Antony’s military power to its destruction. In a heated dispute with Cleopatra about</w:t>
      </w:r>
      <w:r>
        <w:rPr>
          <w:spacing w:val="-8"/>
        </w:rPr>
        <w:t> </w:t>
      </w:r>
      <w:r>
        <w:rPr/>
        <w:t>her</w:t>
      </w:r>
      <w:r>
        <w:rPr>
          <w:spacing w:val="-2"/>
        </w:rPr>
        <w:t> </w:t>
      </w:r>
      <w:r>
        <w:rPr/>
        <w:t>willingness</w:t>
      </w:r>
      <w:r>
        <w:rPr>
          <w:spacing w:val="-4"/>
        </w:rPr>
        <w:t> </w:t>
      </w:r>
      <w:r>
        <w:rPr/>
        <w:t>to</w:t>
      </w:r>
      <w:r>
        <w:rPr>
          <w:spacing w:val="-2"/>
        </w:rPr>
        <w:t> </w:t>
      </w:r>
      <w:r>
        <w:rPr/>
        <w:t>join</w:t>
      </w:r>
      <w:r>
        <w:rPr>
          <w:spacing w:val="-4"/>
        </w:rPr>
        <w:t> </w:t>
      </w:r>
      <w:r>
        <w:rPr/>
        <w:t>the</w:t>
      </w:r>
      <w:r>
        <w:rPr>
          <w:spacing w:val="-4"/>
        </w:rPr>
        <w:t> </w:t>
      </w:r>
      <w:r>
        <w:rPr/>
        <w:t>Battle</w:t>
      </w:r>
      <w:r>
        <w:rPr>
          <w:spacing w:val="-5"/>
        </w:rPr>
        <w:t> </w:t>
      </w:r>
      <w:r>
        <w:rPr/>
        <w:t>of</w:t>
      </w:r>
      <w:r>
        <w:rPr>
          <w:spacing w:val="-13"/>
        </w:rPr>
        <w:t> </w:t>
      </w:r>
      <w:r>
        <w:rPr/>
        <w:t>Actium</w:t>
      </w:r>
      <w:r>
        <w:rPr>
          <w:vertAlign w:val="superscript"/>
        </w:rPr>
        <w:t>20</w:t>
      </w:r>
      <w:r>
        <w:rPr>
          <w:vertAlign w:val="baseline"/>
        </w:rPr>
        <w:t>,</w:t>
      </w:r>
      <w:r>
        <w:rPr>
          <w:spacing w:val="-3"/>
          <w:vertAlign w:val="baseline"/>
        </w:rPr>
        <w:t> </w:t>
      </w:r>
      <w:r>
        <w:rPr>
          <w:vertAlign w:val="baseline"/>
        </w:rPr>
        <w:t>Enobarbus</w:t>
      </w:r>
      <w:r>
        <w:rPr>
          <w:spacing w:val="-6"/>
          <w:vertAlign w:val="baseline"/>
        </w:rPr>
        <w:t> </w:t>
      </w:r>
      <w:r>
        <w:rPr>
          <w:vertAlign w:val="baseline"/>
        </w:rPr>
        <w:t>cautions </w:t>
      </w:r>
      <w:r>
        <w:rPr>
          <w:spacing w:val="-2"/>
          <w:vertAlign w:val="baseline"/>
        </w:rPr>
        <w:t>her</w:t>
      </w:r>
      <w:r>
        <w:rPr>
          <w:spacing w:val="-9"/>
          <w:vertAlign w:val="baseline"/>
        </w:rPr>
        <w:t> </w:t>
      </w:r>
      <w:r>
        <w:rPr>
          <w:spacing w:val="-2"/>
          <w:vertAlign w:val="baseline"/>
        </w:rPr>
        <w:t>in</w:t>
      </w:r>
      <w:r>
        <w:rPr>
          <w:spacing w:val="-9"/>
          <w:vertAlign w:val="baseline"/>
        </w:rPr>
        <w:t> </w:t>
      </w:r>
      <w:r>
        <w:rPr>
          <w:spacing w:val="-2"/>
          <w:vertAlign w:val="baseline"/>
        </w:rPr>
        <w:t>an</w:t>
      </w:r>
      <w:r>
        <w:rPr>
          <w:spacing w:val="-9"/>
          <w:vertAlign w:val="baseline"/>
        </w:rPr>
        <w:t> </w:t>
      </w:r>
      <w:r>
        <w:rPr>
          <w:spacing w:val="-2"/>
          <w:vertAlign w:val="baseline"/>
        </w:rPr>
        <w:t>unambiguous</w:t>
      </w:r>
      <w:r>
        <w:rPr>
          <w:spacing w:val="-7"/>
          <w:vertAlign w:val="baseline"/>
        </w:rPr>
        <w:t> </w:t>
      </w:r>
      <w:r>
        <w:rPr>
          <w:spacing w:val="-2"/>
          <w:vertAlign w:val="baseline"/>
        </w:rPr>
        <w:t>voice,</w:t>
      </w:r>
      <w:r>
        <w:rPr>
          <w:spacing w:val="-7"/>
          <w:vertAlign w:val="baseline"/>
        </w:rPr>
        <w:t> </w:t>
      </w:r>
      <w:r>
        <w:rPr>
          <w:spacing w:val="-2"/>
          <w:vertAlign w:val="baseline"/>
        </w:rPr>
        <w:t>“Your</w:t>
      </w:r>
      <w:r>
        <w:rPr>
          <w:spacing w:val="-7"/>
          <w:vertAlign w:val="baseline"/>
        </w:rPr>
        <w:t> </w:t>
      </w:r>
      <w:r>
        <w:rPr>
          <w:spacing w:val="-2"/>
          <w:vertAlign w:val="baseline"/>
        </w:rPr>
        <w:t>presence</w:t>
      </w:r>
      <w:r>
        <w:rPr>
          <w:spacing w:val="-6"/>
          <w:vertAlign w:val="baseline"/>
        </w:rPr>
        <w:t> </w:t>
      </w:r>
      <w:r>
        <w:rPr>
          <w:spacing w:val="-2"/>
          <w:vertAlign w:val="baseline"/>
        </w:rPr>
        <w:t>needs</w:t>
      </w:r>
      <w:r>
        <w:rPr>
          <w:spacing w:val="-9"/>
          <w:vertAlign w:val="baseline"/>
        </w:rPr>
        <w:t> </w:t>
      </w:r>
      <w:r>
        <w:rPr>
          <w:spacing w:val="-2"/>
          <w:vertAlign w:val="baseline"/>
        </w:rPr>
        <w:t>must</w:t>
      </w:r>
      <w:r>
        <w:rPr>
          <w:spacing w:val="-6"/>
          <w:vertAlign w:val="baseline"/>
        </w:rPr>
        <w:t> </w:t>
      </w:r>
      <w:r>
        <w:rPr>
          <w:spacing w:val="-2"/>
          <w:vertAlign w:val="baseline"/>
        </w:rPr>
        <w:t>puzzle</w:t>
      </w:r>
      <w:r>
        <w:rPr>
          <w:spacing w:val="-11"/>
          <w:vertAlign w:val="baseline"/>
        </w:rPr>
        <w:t> </w:t>
      </w:r>
      <w:r>
        <w:rPr>
          <w:spacing w:val="-2"/>
          <w:vertAlign w:val="baseline"/>
        </w:rPr>
        <w:t>Antony” </w:t>
      </w:r>
      <w:r>
        <w:rPr>
          <w:vertAlign w:val="baseline"/>
        </w:rPr>
        <w:t>(3.7.10 ff), as she has already robbed him of his heart, brain, and time, and “What should not then be spared” (3.7.12). Further, as Enobarbus fumes against the queen, Antony “is already / Traduced for levity, and it’s said in Rome / That Photinus, an eunuch and your maids / Manage this</w:t>
      </w:r>
      <w:r>
        <w:rPr>
          <w:spacing w:val="-1"/>
          <w:vertAlign w:val="baseline"/>
        </w:rPr>
        <w:t> </w:t>
      </w:r>
      <w:r>
        <w:rPr>
          <w:vertAlign w:val="baseline"/>
        </w:rPr>
        <w:t>war”</w:t>
      </w:r>
      <w:r>
        <w:rPr>
          <w:spacing w:val="-1"/>
          <w:vertAlign w:val="baseline"/>
        </w:rPr>
        <w:t> </w:t>
      </w:r>
      <w:r>
        <w:rPr>
          <w:vertAlign w:val="baseline"/>
        </w:rPr>
        <w:t>(3.7.12-15).</w:t>
      </w:r>
    </w:p>
    <w:p>
      <w:pPr>
        <w:pStyle w:val="BodyText"/>
        <w:spacing w:line="208" w:lineRule="auto" w:before="56"/>
        <w:ind w:right="1440" w:firstLine="432"/>
        <w:jc w:val="both"/>
      </w:pPr>
      <w:r>
        <w:rPr/>
        <w:t>But</w:t>
      </w:r>
      <w:r>
        <w:rPr>
          <w:spacing w:val="-1"/>
        </w:rPr>
        <w:t> </w:t>
      </w:r>
      <w:r>
        <w:rPr/>
        <w:t>Cleopatra,</w:t>
      </w:r>
      <w:r>
        <w:rPr>
          <w:spacing w:val="-2"/>
        </w:rPr>
        <w:t> </w:t>
      </w:r>
      <w:r>
        <w:rPr/>
        <w:t>incensed</w:t>
      </w:r>
      <w:r>
        <w:rPr>
          <w:spacing w:val="-1"/>
        </w:rPr>
        <w:t> </w:t>
      </w:r>
      <w:r>
        <w:rPr/>
        <w:t>by</w:t>
      </w:r>
      <w:r>
        <w:rPr>
          <w:spacing w:val="-2"/>
        </w:rPr>
        <w:t> </w:t>
      </w:r>
      <w:r>
        <w:rPr/>
        <w:t>the</w:t>
      </w:r>
      <w:r>
        <w:rPr>
          <w:spacing w:val="-1"/>
        </w:rPr>
        <w:t> </w:t>
      </w:r>
      <w:r>
        <w:rPr/>
        <w:t>well-known</w:t>
      </w:r>
      <w:r>
        <w:rPr>
          <w:spacing w:val="-2"/>
        </w:rPr>
        <w:t> </w:t>
      </w:r>
      <w:r>
        <w:rPr/>
        <w:t>hate campaign</w:t>
      </w:r>
      <w:r>
        <w:rPr>
          <w:spacing w:val="-1"/>
        </w:rPr>
        <w:t> </w:t>
      </w:r>
      <w:r>
        <w:rPr/>
        <w:t>against her and Antony in Rome, utters another speech of the dilution of the solidity of the political Rome: “Sink Rome and their tongues rot / That speak against us” (3.7.15-16), and persists in her decision, as “the </w:t>
      </w:r>
      <w:r>
        <w:rPr>
          <w:spacing w:val="-2"/>
        </w:rPr>
        <w:t>president</w:t>
      </w:r>
      <w:r>
        <w:rPr>
          <w:spacing w:val="-7"/>
        </w:rPr>
        <w:t> </w:t>
      </w:r>
      <w:r>
        <w:rPr>
          <w:spacing w:val="-2"/>
        </w:rPr>
        <w:t>of</w:t>
      </w:r>
      <w:r>
        <w:rPr>
          <w:spacing w:val="-7"/>
        </w:rPr>
        <w:t> </w:t>
      </w:r>
      <w:r>
        <w:rPr>
          <w:spacing w:val="-2"/>
        </w:rPr>
        <w:t>my</w:t>
      </w:r>
      <w:r>
        <w:rPr>
          <w:spacing w:val="-11"/>
        </w:rPr>
        <w:t> </w:t>
      </w:r>
      <w:r>
        <w:rPr>
          <w:spacing w:val="-2"/>
        </w:rPr>
        <w:t>kingdom”</w:t>
      </w:r>
      <w:r>
        <w:rPr>
          <w:spacing w:val="-6"/>
        </w:rPr>
        <w:t> </w:t>
      </w:r>
      <w:r>
        <w:rPr>
          <w:spacing w:val="-2"/>
        </w:rPr>
        <w:t>(3.7.17)</w:t>
      </w:r>
      <w:r>
        <w:rPr>
          <w:spacing w:val="-7"/>
        </w:rPr>
        <w:t> </w:t>
      </w:r>
      <w:r>
        <w:rPr>
          <w:spacing w:val="-2"/>
        </w:rPr>
        <w:t>“will</w:t>
      </w:r>
      <w:r>
        <w:rPr>
          <w:spacing w:val="-7"/>
        </w:rPr>
        <w:t> </w:t>
      </w:r>
      <w:r>
        <w:rPr>
          <w:spacing w:val="-2"/>
        </w:rPr>
        <w:t>appear</w:t>
      </w:r>
      <w:r>
        <w:rPr>
          <w:spacing w:val="-7"/>
        </w:rPr>
        <w:t> </w:t>
      </w:r>
      <w:r>
        <w:rPr>
          <w:spacing w:val="-2"/>
        </w:rPr>
        <w:t>there</w:t>
      </w:r>
      <w:r>
        <w:rPr>
          <w:spacing w:val="-7"/>
        </w:rPr>
        <w:t> </w:t>
      </w:r>
      <w:r>
        <w:rPr>
          <w:spacing w:val="-2"/>
        </w:rPr>
        <w:t>for</w:t>
      </w:r>
      <w:r>
        <w:rPr>
          <w:spacing w:val="-4"/>
        </w:rPr>
        <w:t> </w:t>
      </w:r>
      <w:r>
        <w:rPr>
          <w:spacing w:val="-2"/>
        </w:rPr>
        <w:t>a</w:t>
      </w:r>
      <w:r>
        <w:rPr>
          <w:spacing w:val="-4"/>
        </w:rPr>
        <w:t> </w:t>
      </w:r>
      <w:r>
        <w:rPr>
          <w:spacing w:val="-2"/>
        </w:rPr>
        <w:t>man”</w:t>
      </w:r>
      <w:r>
        <w:rPr>
          <w:spacing w:val="-4"/>
        </w:rPr>
        <w:t> </w:t>
      </w:r>
      <w:r>
        <w:rPr>
          <w:spacing w:val="-2"/>
        </w:rPr>
        <w:t>(3.7.18), </w:t>
      </w:r>
      <w:r>
        <w:rPr/>
        <w:t>and she “will not stay behind” (3.7.19).</w:t>
      </w:r>
    </w:p>
    <w:p>
      <w:pPr>
        <w:pStyle w:val="BodyText"/>
        <w:spacing w:line="208" w:lineRule="auto" w:before="57"/>
        <w:ind w:right="1440" w:firstLine="432"/>
        <w:jc w:val="both"/>
      </w:pPr>
      <w:r>
        <w:rPr/>
        <w:t>At this stage, Cleopatra’s earlier reminiscence of their favourite pastime of transvestism (“I drunk him to bed, / Then put my tires and mantles</w:t>
      </w:r>
      <w:r>
        <w:rPr>
          <w:spacing w:val="-1"/>
        </w:rPr>
        <w:t> </w:t>
      </w:r>
      <w:r>
        <w:rPr/>
        <w:t>on</w:t>
      </w:r>
      <w:r>
        <w:rPr>
          <w:spacing w:val="-1"/>
        </w:rPr>
        <w:t> </w:t>
      </w:r>
      <w:r>
        <w:rPr/>
        <w:t>him, whilst /</w:t>
      </w:r>
      <w:r>
        <w:rPr>
          <w:spacing w:val="-2"/>
        </w:rPr>
        <w:t> </w:t>
      </w:r>
      <w:r>
        <w:rPr/>
        <w:t>I wore his sword Philippan” (2.5.21-23) recurs in a horrifyingly realistic turnout immediately before the fatal battle </w:t>
      </w:r>
      <w:r>
        <w:rPr>
          <w:spacing w:val="-2"/>
        </w:rPr>
        <w:t>begins.</w:t>
      </w:r>
    </w:p>
    <w:p>
      <w:pPr>
        <w:pStyle w:val="BodyText"/>
        <w:spacing w:before="2"/>
        <w:ind w:left="0"/>
      </w:pPr>
      <w:r>
        <w:rPr/>
        <mc:AlternateContent>
          <mc:Choice Requires="wps">
            <w:drawing>
              <wp:anchor distT="0" distB="0" distL="0" distR="0" allowOverlap="1" layoutInCell="1" locked="0" behindDoc="1" simplePos="0" relativeHeight="487618048">
                <wp:simplePos x="0" y="0"/>
                <wp:positionH relativeFrom="page">
                  <wp:posOffset>2057400</wp:posOffset>
                </wp:positionH>
                <wp:positionV relativeFrom="paragraph">
                  <wp:posOffset>162840</wp:posOffset>
                </wp:positionV>
                <wp:extent cx="3657600" cy="12700"/>
                <wp:effectExtent l="0" t="0" r="0" b="0"/>
                <wp:wrapTopAndBottom/>
                <wp:docPr id="155" name="Graphic 155"/>
                <wp:cNvGraphicFramePr>
                  <a:graphicFrameLocks/>
                </wp:cNvGraphicFramePr>
                <a:graphic>
                  <a:graphicData uri="http://schemas.microsoft.com/office/word/2010/wordprocessingShape">
                    <wps:wsp>
                      <wps:cNvPr id="155" name="Graphic 155"/>
                      <wps:cNvSpPr/>
                      <wps:spPr>
                        <a:xfrm>
                          <a:off x="0" y="0"/>
                          <a:ext cx="3657600" cy="12700"/>
                        </a:xfrm>
                        <a:custGeom>
                          <a:avLst/>
                          <a:gdLst/>
                          <a:ahLst/>
                          <a:cxnLst/>
                          <a:rect l="l" t="t" r="r" b="b"/>
                          <a:pathLst>
                            <a:path w="3657600" h="12700">
                              <a:moveTo>
                                <a:pt x="0" y="0"/>
                              </a:moveTo>
                              <a:lnTo>
                                <a:pt x="3657600" y="0"/>
                              </a:lnTo>
                              <a:lnTo>
                                <a:pt x="3657600" y="12192"/>
                              </a:lnTo>
                              <a:lnTo>
                                <a:pt x="0" y="12192"/>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22084pt;width:288.000009pt;height:.960022pt;mso-position-horizontal-relative:page;mso-position-vertical-relative:paragraph;z-index:-15698432;mso-wrap-distance-left:0;mso-wrap-distance-right:0" id="docshape151" filled="true" fillcolor="#000000" stroked="false">
                <v:fill type="solid"/>
                <w10:wrap type="topAndBottom"/>
              </v:rect>
            </w:pict>
          </mc:Fallback>
        </mc:AlternateContent>
      </w:r>
    </w:p>
    <w:p>
      <w:pPr>
        <w:spacing w:line="208" w:lineRule="auto" w:before="86"/>
        <w:ind w:left="1440" w:right="1438" w:firstLine="0"/>
        <w:jc w:val="both"/>
        <w:rPr>
          <w:sz w:val="18"/>
        </w:rPr>
      </w:pPr>
      <w:r>
        <w:rPr>
          <w:sz w:val="18"/>
          <w:vertAlign w:val="superscript"/>
        </w:rPr>
        <w:t>19</w:t>
      </w:r>
      <w:r>
        <w:rPr>
          <w:sz w:val="18"/>
          <w:vertAlign w:val="baseline"/>
        </w:rPr>
        <w:t> “Deeply offended by this snub, Octavian began planning war and in 32 BC read out what he said was</w:t>
      </w:r>
      <w:r>
        <w:rPr>
          <w:spacing w:val="-5"/>
          <w:sz w:val="18"/>
          <w:vertAlign w:val="baseline"/>
        </w:rPr>
        <w:t> </w:t>
      </w:r>
      <w:r>
        <w:rPr>
          <w:sz w:val="18"/>
          <w:vertAlign w:val="baseline"/>
        </w:rPr>
        <w:t>Antony’s will. In a ceremony in</w:t>
      </w:r>
      <w:r>
        <w:rPr>
          <w:spacing w:val="-3"/>
          <w:sz w:val="18"/>
          <w:vertAlign w:val="baseline"/>
        </w:rPr>
        <w:t> </w:t>
      </w:r>
      <w:r>
        <w:rPr>
          <w:sz w:val="18"/>
          <w:vertAlign w:val="baseline"/>
        </w:rPr>
        <w:t>Alexandria,</w:t>
      </w:r>
      <w:r>
        <w:rPr>
          <w:spacing w:val="-3"/>
          <w:sz w:val="18"/>
          <w:vertAlign w:val="baseline"/>
        </w:rPr>
        <w:t> </w:t>
      </w:r>
      <w:r>
        <w:rPr>
          <w:sz w:val="18"/>
          <w:vertAlign w:val="baseline"/>
        </w:rPr>
        <w:t>Antony </w:t>
      </w:r>
      <w:r>
        <w:rPr>
          <w:spacing w:val="-2"/>
          <w:sz w:val="18"/>
          <w:vertAlign w:val="baseline"/>
        </w:rPr>
        <w:t>gave</w:t>
      </w:r>
      <w:r>
        <w:rPr>
          <w:spacing w:val="-10"/>
          <w:sz w:val="18"/>
          <w:vertAlign w:val="baseline"/>
        </w:rPr>
        <w:t> </w:t>
      </w:r>
      <w:r>
        <w:rPr>
          <w:spacing w:val="-2"/>
          <w:sz w:val="18"/>
          <w:vertAlign w:val="baseline"/>
        </w:rPr>
        <w:t>many</w:t>
      </w:r>
      <w:r>
        <w:rPr>
          <w:spacing w:val="-9"/>
          <w:sz w:val="18"/>
          <w:vertAlign w:val="baseline"/>
        </w:rPr>
        <w:t> </w:t>
      </w:r>
      <w:r>
        <w:rPr>
          <w:spacing w:val="-2"/>
          <w:sz w:val="18"/>
          <w:vertAlign w:val="baseline"/>
        </w:rPr>
        <w:t>sub-kingdoms</w:t>
      </w:r>
      <w:r>
        <w:rPr>
          <w:spacing w:val="-9"/>
          <w:sz w:val="18"/>
          <w:vertAlign w:val="baseline"/>
        </w:rPr>
        <w:t> </w:t>
      </w:r>
      <w:r>
        <w:rPr>
          <w:spacing w:val="-2"/>
          <w:sz w:val="18"/>
          <w:vertAlign w:val="baseline"/>
        </w:rPr>
        <w:t>to</w:t>
      </w:r>
      <w:r>
        <w:rPr>
          <w:spacing w:val="-5"/>
          <w:sz w:val="18"/>
          <w:vertAlign w:val="baseline"/>
        </w:rPr>
        <w:t> </w:t>
      </w:r>
      <w:r>
        <w:rPr>
          <w:spacing w:val="-2"/>
          <w:sz w:val="18"/>
          <w:vertAlign w:val="baseline"/>
        </w:rPr>
        <w:t>Cleopatra’s</w:t>
      </w:r>
      <w:r>
        <w:rPr>
          <w:spacing w:val="-4"/>
          <w:sz w:val="18"/>
          <w:vertAlign w:val="baseline"/>
        </w:rPr>
        <w:t> </w:t>
      </w:r>
      <w:r>
        <w:rPr>
          <w:spacing w:val="-2"/>
          <w:sz w:val="18"/>
          <w:vertAlign w:val="baseline"/>
        </w:rPr>
        <w:t>children</w:t>
      </w:r>
      <w:r>
        <w:rPr>
          <w:spacing w:val="-3"/>
          <w:sz w:val="18"/>
          <w:vertAlign w:val="baseline"/>
        </w:rPr>
        <w:t> </w:t>
      </w:r>
      <w:r>
        <w:rPr>
          <w:spacing w:val="-2"/>
          <w:sz w:val="18"/>
          <w:vertAlign w:val="baseline"/>
        </w:rPr>
        <w:t>by</w:t>
      </w:r>
      <w:r>
        <w:rPr>
          <w:spacing w:val="-10"/>
          <w:sz w:val="18"/>
          <w:vertAlign w:val="baseline"/>
        </w:rPr>
        <w:t> </w:t>
      </w:r>
      <w:r>
        <w:rPr>
          <w:spacing w:val="-2"/>
          <w:sz w:val="18"/>
          <w:vertAlign w:val="baseline"/>
        </w:rPr>
        <w:t>Caesar</w:t>
      </w:r>
      <w:r>
        <w:rPr>
          <w:spacing w:val="-3"/>
          <w:sz w:val="18"/>
          <w:vertAlign w:val="baseline"/>
        </w:rPr>
        <w:t> </w:t>
      </w:r>
      <w:r>
        <w:rPr>
          <w:spacing w:val="-2"/>
          <w:sz w:val="18"/>
          <w:vertAlign w:val="baseline"/>
        </w:rPr>
        <w:t>and</w:t>
      </w:r>
      <w:r>
        <w:rPr>
          <w:spacing w:val="-3"/>
          <w:sz w:val="18"/>
          <w:vertAlign w:val="baseline"/>
        </w:rPr>
        <w:t> </w:t>
      </w:r>
      <w:r>
        <w:rPr>
          <w:spacing w:val="-2"/>
          <w:sz w:val="18"/>
          <w:vertAlign w:val="baseline"/>
        </w:rPr>
        <w:t>himself,</w:t>
      </w:r>
      <w:r>
        <w:rPr>
          <w:spacing w:val="-4"/>
          <w:sz w:val="18"/>
          <w:vertAlign w:val="baseline"/>
        </w:rPr>
        <w:t> </w:t>
      </w:r>
      <w:r>
        <w:rPr>
          <w:spacing w:val="-2"/>
          <w:sz w:val="18"/>
          <w:vertAlign w:val="baseline"/>
        </w:rPr>
        <w:t>although </w:t>
      </w:r>
      <w:r>
        <w:rPr>
          <w:sz w:val="18"/>
          <w:vertAlign w:val="baseline"/>
        </w:rPr>
        <w:t>confirming</w:t>
      </w:r>
      <w:r>
        <w:rPr>
          <w:spacing w:val="40"/>
          <w:sz w:val="18"/>
          <w:vertAlign w:val="baseline"/>
        </w:rPr>
        <w:t> </w:t>
      </w:r>
      <w:r>
        <w:rPr>
          <w:sz w:val="18"/>
          <w:vertAlign w:val="baseline"/>
        </w:rPr>
        <w:t>Pompey’s</w:t>
      </w:r>
      <w:r>
        <w:rPr>
          <w:spacing w:val="40"/>
          <w:sz w:val="18"/>
          <w:vertAlign w:val="baseline"/>
        </w:rPr>
        <w:t> </w:t>
      </w:r>
      <w:r>
        <w:rPr>
          <w:sz w:val="18"/>
          <w:vertAlign w:val="baseline"/>
        </w:rPr>
        <w:t>eastern</w:t>
      </w:r>
      <w:r>
        <w:rPr>
          <w:spacing w:val="40"/>
          <w:sz w:val="18"/>
          <w:vertAlign w:val="baseline"/>
        </w:rPr>
        <w:t> </w:t>
      </w:r>
      <w:r>
        <w:rPr>
          <w:sz w:val="18"/>
          <w:vertAlign w:val="baseline"/>
        </w:rPr>
        <w:t>settlement.”</w:t>
      </w:r>
      <w:r>
        <w:rPr>
          <w:spacing w:val="40"/>
          <w:sz w:val="18"/>
          <w:vertAlign w:val="baseline"/>
        </w:rPr>
        <w:t> </w:t>
      </w:r>
      <w:r>
        <w:rPr>
          <w:sz w:val="18"/>
          <w:vertAlign w:val="baseline"/>
        </w:rPr>
        <w:t>(</w:t>
      </w:r>
      <w:r>
        <w:rPr>
          <w:i/>
          <w:sz w:val="18"/>
          <w:vertAlign w:val="baseline"/>
        </w:rPr>
        <w:t>Ancient</w:t>
      </w:r>
      <w:r>
        <w:rPr>
          <w:i/>
          <w:spacing w:val="40"/>
          <w:sz w:val="18"/>
          <w:vertAlign w:val="baseline"/>
        </w:rPr>
        <w:t> </w:t>
      </w:r>
      <w:r>
        <w:rPr>
          <w:i/>
          <w:sz w:val="18"/>
          <w:vertAlign w:val="baseline"/>
        </w:rPr>
        <w:t>Rome,</w:t>
      </w:r>
      <w:r>
        <w:rPr>
          <w:i/>
          <w:spacing w:val="40"/>
          <w:sz w:val="18"/>
          <w:vertAlign w:val="baseline"/>
        </w:rPr>
        <w:t> </w:t>
      </w:r>
      <w:r>
        <w:rPr>
          <w:sz w:val="18"/>
          <w:vertAlign w:val="baseline"/>
        </w:rPr>
        <w:t>p.</w:t>
      </w:r>
      <w:r>
        <w:rPr>
          <w:spacing w:val="40"/>
          <w:sz w:val="18"/>
          <w:vertAlign w:val="baseline"/>
        </w:rPr>
        <w:t> </w:t>
      </w:r>
      <w:r>
        <w:rPr>
          <w:sz w:val="18"/>
          <w:vertAlign w:val="baseline"/>
        </w:rPr>
        <w:t>51).</w:t>
      </w:r>
    </w:p>
    <w:p>
      <w:pPr>
        <w:spacing w:line="208" w:lineRule="auto" w:before="58"/>
        <w:ind w:left="1440" w:right="1437" w:firstLine="0"/>
        <w:jc w:val="both"/>
        <w:rPr>
          <w:sz w:val="18"/>
        </w:rPr>
      </w:pPr>
      <w:r>
        <w:rPr>
          <w:sz w:val="18"/>
          <w:vertAlign w:val="superscript"/>
        </w:rPr>
        <w:t>20</w:t>
      </w:r>
      <w:r>
        <w:rPr>
          <w:sz w:val="18"/>
          <w:vertAlign w:val="baseline"/>
        </w:rPr>
        <w:t> “Despite Octavian’s lurid propaganda campaign, Antony was still popular with his own troops. He also had Cleopatra’s wealth, which could give him a fleet, as well as promises of support from many eastern client kings, including Herod the Great. Octavian had the recruiting grounds of Italy, and a very good general in his friend Agrippa. Once again the rivals converged on Greece, Agrippa slipping across the Adriatic in the winter of 31 BC, followed by Octavian in the spring. But Antony made a mistake when he took Cleopatra </w:t>
      </w:r>
      <w:r>
        <w:rPr>
          <w:spacing w:val="-2"/>
          <w:sz w:val="18"/>
          <w:vertAlign w:val="baseline"/>
        </w:rPr>
        <w:t>with</w:t>
      </w:r>
      <w:r>
        <w:rPr>
          <w:spacing w:val="-10"/>
          <w:sz w:val="18"/>
          <w:vertAlign w:val="baseline"/>
        </w:rPr>
        <w:t> </w:t>
      </w:r>
      <w:r>
        <w:rPr>
          <w:spacing w:val="-2"/>
          <w:sz w:val="18"/>
          <w:vertAlign w:val="baseline"/>
        </w:rPr>
        <w:t>him</w:t>
      </w:r>
      <w:r>
        <w:rPr>
          <w:spacing w:val="-9"/>
          <w:sz w:val="18"/>
          <w:vertAlign w:val="baseline"/>
        </w:rPr>
        <w:t> </w:t>
      </w:r>
      <w:r>
        <w:rPr>
          <w:spacing w:val="-2"/>
          <w:sz w:val="18"/>
          <w:vertAlign w:val="baseline"/>
        </w:rPr>
        <w:t>to</w:t>
      </w:r>
      <w:r>
        <w:rPr>
          <w:spacing w:val="-9"/>
          <w:sz w:val="18"/>
          <w:vertAlign w:val="baseline"/>
        </w:rPr>
        <w:t> </w:t>
      </w:r>
      <w:r>
        <w:rPr>
          <w:spacing w:val="-2"/>
          <w:sz w:val="18"/>
          <w:vertAlign w:val="baseline"/>
        </w:rPr>
        <w:t>western</w:t>
      </w:r>
      <w:r>
        <w:rPr>
          <w:spacing w:val="-9"/>
          <w:sz w:val="18"/>
          <w:vertAlign w:val="baseline"/>
        </w:rPr>
        <w:t> </w:t>
      </w:r>
      <w:r>
        <w:rPr>
          <w:spacing w:val="-2"/>
          <w:sz w:val="18"/>
          <w:vertAlign w:val="baseline"/>
        </w:rPr>
        <w:t>Greece.</w:t>
      </w:r>
      <w:r>
        <w:rPr>
          <w:spacing w:val="-10"/>
          <w:sz w:val="18"/>
          <w:vertAlign w:val="baseline"/>
        </w:rPr>
        <w:t> </w:t>
      </w:r>
      <w:r>
        <w:rPr>
          <w:spacing w:val="-2"/>
          <w:sz w:val="18"/>
          <w:vertAlign w:val="baseline"/>
        </w:rPr>
        <w:t>His</w:t>
      </w:r>
      <w:r>
        <w:rPr>
          <w:spacing w:val="-9"/>
          <w:sz w:val="18"/>
          <w:vertAlign w:val="baseline"/>
        </w:rPr>
        <w:t> </w:t>
      </w:r>
      <w:r>
        <w:rPr>
          <w:spacing w:val="-2"/>
          <w:sz w:val="18"/>
          <w:vertAlign w:val="baseline"/>
        </w:rPr>
        <w:t>own</w:t>
      </w:r>
      <w:r>
        <w:rPr>
          <w:spacing w:val="-9"/>
          <w:sz w:val="18"/>
          <w:vertAlign w:val="baseline"/>
        </w:rPr>
        <w:t> </w:t>
      </w:r>
      <w:r>
        <w:rPr>
          <w:spacing w:val="-2"/>
          <w:sz w:val="18"/>
          <w:vertAlign w:val="baseline"/>
        </w:rPr>
        <w:t>man</w:t>
      </w:r>
      <w:r>
        <w:rPr>
          <w:spacing w:val="-9"/>
          <w:sz w:val="18"/>
          <w:vertAlign w:val="baseline"/>
        </w:rPr>
        <w:t> </w:t>
      </w:r>
      <w:r>
        <w:rPr>
          <w:spacing w:val="-2"/>
          <w:sz w:val="18"/>
          <w:vertAlign w:val="baseline"/>
        </w:rPr>
        <w:t>began</w:t>
      </w:r>
      <w:r>
        <w:rPr>
          <w:spacing w:val="-10"/>
          <w:sz w:val="18"/>
          <w:vertAlign w:val="baseline"/>
        </w:rPr>
        <w:t> </w:t>
      </w:r>
      <w:r>
        <w:rPr>
          <w:spacing w:val="-2"/>
          <w:sz w:val="18"/>
          <w:vertAlign w:val="baseline"/>
        </w:rPr>
        <w:t>to</w:t>
      </w:r>
      <w:r>
        <w:rPr>
          <w:spacing w:val="-9"/>
          <w:sz w:val="18"/>
          <w:vertAlign w:val="baseline"/>
        </w:rPr>
        <w:t> </w:t>
      </w:r>
      <w:r>
        <w:rPr>
          <w:spacing w:val="-2"/>
          <w:sz w:val="18"/>
          <w:vertAlign w:val="baseline"/>
        </w:rPr>
        <w:t>believe</w:t>
      </w:r>
      <w:r>
        <w:rPr>
          <w:spacing w:val="-9"/>
          <w:sz w:val="18"/>
          <w:vertAlign w:val="baseline"/>
        </w:rPr>
        <w:t> </w:t>
      </w:r>
      <w:r>
        <w:rPr>
          <w:spacing w:val="-2"/>
          <w:sz w:val="18"/>
          <w:vertAlign w:val="baseline"/>
        </w:rPr>
        <w:t>Octavina’s</w:t>
      </w:r>
      <w:r>
        <w:rPr>
          <w:spacing w:val="-9"/>
          <w:sz w:val="18"/>
          <w:vertAlign w:val="baseline"/>
        </w:rPr>
        <w:t> </w:t>
      </w:r>
      <w:r>
        <w:rPr>
          <w:spacing w:val="-2"/>
          <w:sz w:val="18"/>
          <w:vertAlign w:val="baseline"/>
        </w:rPr>
        <w:t>propaganda </w:t>
      </w:r>
      <w:r>
        <w:rPr>
          <w:sz w:val="18"/>
          <w:vertAlign w:val="baseline"/>
        </w:rPr>
        <w:t>about their general and began to desert. The final battle took place on 2 September</w:t>
      </w:r>
      <w:r>
        <w:rPr>
          <w:spacing w:val="-6"/>
          <w:sz w:val="18"/>
          <w:vertAlign w:val="baseline"/>
        </w:rPr>
        <w:t> </w:t>
      </w:r>
      <w:r>
        <w:rPr>
          <w:sz w:val="18"/>
          <w:vertAlign w:val="baseline"/>
        </w:rPr>
        <w:t>31</w:t>
      </w:r>
      <w:r>
        <w:rPr>
          <w:spacing w:val="-4"/>
          <w:sz w:val="18"/>
          <w:vertAlign w:val="baseline"/>
        </w:rPr>
        <w:t> </w:t>
      </w:r>
      <w:r>
        <w:rPr>
          <w:sz w:val="18"/>
          <w:vertAlign w:val="baseline"/>
        </w:rPr>
        <w:t>BC</w:t>
      </w:r>
      <w:r>
        <w:rPr>
          <w:spacing w:val="-4"/>
          <w:sz w:val="18"/>
          <w:vertAlign w:val="baseline"/>
        </w:rPr>
        <w:t> </w:t>
      </w:r>
      <w:r>
        <w:rPr>
          <w:sz w:val="18"/>
          <w:vertAlign w:val="baseline"/>
        </w:rPr>
        <w:t>when</w:t>
      </w:r>
      <w:r>
        <w:rPr>
          <w:spacing w:val="-12"/>
          <w:sz w:val="18"/>
          <w:vertAlign w:val="baseline"/>
        </w:rPr>
        <w:t> </w:t>
      </w:r>
      <w:r>
        <w:rPr>
          <w:sz w:val="18"/>
          <w:vertAlign w:val="baseline"/>
        </w:rPr>
        <w:t>Antony</w:t>
      </w:r>
      <w:r>
        <w:rPr>
          <w:spacing w:val="-6"/>
          <w:sz w:val="18"/>
          <w:vertAlign w:val="baseline"/>
        </w:rPr>
        <w:t> </w:t>
      </w:r>
      <w:r>
        <w:rPr>
          <w:sz w:val="18"/>
          <w:vertAlign w:val="baseline"/>
        </w:rPr>
        <w:t>led</w:t>
      </w:r>
      <w:r>
        <w:rPr>
          <w:spacing w:val="-5"/>
          <w:sz w:val="18"/>
          <w:vertAlign w:val="baseline"/>
        </w:rPr>
        <w:t> </w:t>
      </w:r>
      <w:r>
        <w:rPr>
          <w:sz w:val="18"/>
          <w:vertAlign w:val="baseline"/>
        </w:rPr>
        <w:t>his</w:t>
      </w:r>
      <w:r>
        <w:rPr>
          <w:spacing w:val="-2"/>
          <w:sz w:val="18"/>
          <w:vertAlign w:val="baseline"/>
        </w:rPr>
        <w:t> </w:t>
      </w:r>
      <w:r>
        <w:rPr>
          <w:sz w:val="18"/>
          <w:vertAlign w:val="baseline"/>
        </w:rPr>
        <w:t>fleet</w:t>
      </w:r>
      <w:r>
        <w:rPr>
          <w:spacing w:val="-5"/>
          <w:sz w:val="18"/>
          <w:vertAlign w:val="baseline"/>
        </w:rPr>
        <w:t> </w:t>
      </w:r>
      <w:r>
        <w:rPr>
          <w:sz w:val="18"/>
          <w:vertAlign w:val="baseline"/>
        </w:rPr>
        <w:t>in</w:t>
      </w:r>
      <w:r>
        <w:rPr>
          <w:spacing w:val="-4"/>
          <w:sz w:val="18"/>
          <w:vertAlign w:val="baseline"/>
        </w:rPr>
        <w:t> </w:t>
      </w:r>
      <w:r>
        <w:rPr>
          <w:sz w:val="18"/>
          <w:vertAlign w:val="baseline"/>
        </w:rPr>
        <w:t>an</w:t>
      </w:r>
      <w:r>
        <w:rPr>
          <w:spacing w:val="-2"/>
          <w:sz w:val="18"/>
          <w:vertAlign w:val="baseline"/>
        </w:rPr>
        <w:t> </w:t>
      </w:r>
      <w:r>
        <w:rPr>
          <w:sz w:val="18"/>
          <w:vertAlign w:val="baseline"/>
        </w:rPr>
        <w:t>attempted</w:t>
      </w:r>
      <w:r>
        <w:rPr>
          <w:spacing w:val="-5"/>
          <w:sz w:val="18"/>
          <w:vertAlign w:val="baseline"/>
        </w:rPr>
        <w:t> </w:t>
      </w:r>
      <w:r>
        <w:rPr>
          <w:sz w:val="18"/>
          <w:vertAlign w:val="baseline"/>
        </w:rPr>
        <w:t>breakout.</w:t>
      </w:r>
      <w:r>
        <w:rPr>
          <w:spacing w:val="-11"/>
          <w:sz w:val="18"/>
          <w:vertAlign w:val="baseline"/>
        </w:rPr>
        <w:t> </w:t>
      </w:r>
      <w:r>
        <w:rPr>
          <w:sz w:val="18"/>
          <w:vertAlign w:val="baseline"/>
        </w:rPr>
        <w:t>Although he had many quinqueremes and more troops, Antony’s fleet was defeated by Agrippa’s, which used smaller, swifter Liburnian galleys.</w:t>
      </w:r>
      <w:r>
        <w:rPr>
          <w:spacing w:val="-5"/>
          <w:sz w:val="18"/>
          <w:vertAlign w:val="baseline"/>
        </w:rPr>
        <w:t> </w:t>
      </w:r>
      <w:r>
        <w:rPr>
          <w:sz w:val="18"/>
          <w:vertAlign w:val="baseline"/>
        </w:rPr>
        <w:t>Antony broke off the battle following Cleopatra’s flight to Egypt. Many of his supporters then surrendered. The following year, Antony and Cleopatra committed suicide when the Caesarian troops entered Alexandria, so ending the last Roman civil war</w:t>
      </w:r>
      <w:r>
        <w:rPr>
          <w:spacing w:val="-5"/>
          <w:sz w:val="18"/>
          <w:vertAlign w:val="baseline"/>
        </w:rPr>
        <w:t> </w:t>
      </w:r>
      <w:r>
        <w:rPr>
          <w:sz w:val="18"/>
          <w:vertAlign w:val="baseline"/>
        </w:rPr>
        <w:t>for</w:t>
      </w:r>
      <w:r>
        <w:rPr>
          <w:spacing w:val="-3"/>
          <w:sz w:val="18"/>
          <w:vertAlign w:val="baseline"/>
        </w:rPr>
        <w:t> </w:t>
      </w:r>
      <w:r>
        <w:rPr>
          <w:sz w:val="18"/>
          <w:vertAlign w:val="baseline"/>
        </w:rPr>
        <w:t>a</w:t>
      </w:r>
      <w:r>
        <w:rPr>
          <w:spacing w:val="-5"/>
          <w:sz w:val="18"/>
          <w:vertAlign w:val="baseline"/>
        </w:rPr>
        <w:t> </w:t>
      </w:r>
      <w:r>
        <w:rPr>
          <w:sz w:val="18"/>
          <w:vertAlign w:val="baseline"/>
        </w:rPr>
        <w:t>century.”</w:t>
      </w:r>
      <w:r>
        <w:rPr>
          <w:spacing w:val="-1"/>
          <w:sz w:val="18"/>
          <w:vertAlign w:val="baseline"/>
        </w:rPr>
        <w:t> </w:t>
      </w:r>
      <w:r>
        <w:rPr>
          <w:sz w:val="18"/>
          <w:vertAlign w:val="baseline"/>
        </w:rPr>
        <w:t>(</w:t>
      </w:r>
      <w:r>
        <w:rPr>
          <w:i/>
          <w:sz w:val="18"/>
          <w:vertAlign w:val="baseline"/>
        </w:rPr>
        <w:t>Ancient</w:t>
      </w:r>
      <w:r>
        <w:rPr>
          <w:i/>
          <w:spacing w:val="-3"/>
          <w:sz w:val="18"/>
          <w:vertAlign w:val="baseline"/>
        </w:rPr>
        <w:t> </w:t>
      </w:r>
      <w:r>
        <w:rPr>
          <w:i/>
          <w:sz w:val="18"/>
          <w:vertAlign w:val="baseline"/>
        </w:rPr>
        <w:t>Rome,</w:t>
      </w:r>
      <w:r>
        <w:rPr>
          <w:i/>
          <w:spacing w:val="-1"/>
          <w:sz w:val="18"/>
          <w:vertAlign w:val="baseline"/>
        </w:rPr>
        <w:t> </w:t>
      </w:r>
      <w:r>
        <w:rPr>
          <w:sz w:val="18"/>
          <w:vertAlign w:val="baseline"/>
        </w:rPr>
        <w:t>Nigel</w:t>
      </w:r>
      <w:r>
        <w:rPr>
          <w:spacing w:val="-3"/>
          <w:sz w:val="18"/>
          <w:vertAlign w:val="baseline"/>
        </w:rPr>
        <w:t> </w:t>
      </w:r>
      <w:r>
        <w:rPr>
          <w:sz w:val="18"/>
          <w:vertAlign w:val="baseline"/>
        </w:rPr>
        <w:t>Rodgers;</w:t>
      </w:r>
      <w:r>
        <w:rPr>
          <w:spacing w:val="-5"/>
          <w:sz w:val="18"/>
          <w:vertAlign w:val="baseline"/>
        </w:rPr>
        <w:t> </w:t>
      </w:r>
      <w:r>
        <w:rPr>
          <w:sz w:val="18"/>
          <w:vertAlign w:val="baseline"/>
        </w:rPr>
        <w:t>Consultant:</w:t>
      </w:r>
      <w:r>
        <w:rPr>
          <w:spacing w:val="-1"/>
          <w:sz w:val="18"/>
          <w:vertAlign w:val="baseline"/>
        </w:rPr>
        <w:t> </w:t>
      </w:r>
      <w:r>
        <w:rPr>
          <w:sz w:val="18"/>
          <w:vertAlign w:val="baseline"/>
        </w:rPr>
        <w:t>Dr</w:t>
      </w:r>
      <w:r>
        <w:rPr>
          <w:spacing w:val="-5"/>
          <w:sz w:val="18"/>
          <w:vertAlign w:val="baseline"/>
        </w:rPr>
        <w:t> </w:t>
      </w:r>
      <w:r>
        <w:rPr>
          <w:sz w:val="18"/>
          <w:vertAlign w:val="baseline"/>
        </w:rPr>
        <w:t>Hazel</w:t>
      </w:r>
      <w:r>
        <w:rPr>
          <w:spacing w:val="-1"/>
          <w:sz w:val="18"/>
          <w:vertAlign w:val="baseline"/>
        </w:rPr>
        <w:t> </w:t>
      </w:r>
      <w:r>
        <w:rPr>
          <w:sz w:val="18"/>
          <w:vertAlign w:val="baseline"/>
        </w:rPr>
        <w:t>Dodge FSA; printed in</w:t>
      </w:r>
      <w:r>
        <w:rPr>
          <w:spacing w:val="40"/>
          <w:sz w:val="18"/>
          <w:vertAlign w:val="baseline"/>
        </w:rPr>
        <w:t> </w:t>
      </w:r>
      <w:r>
        <w:rPr>
          <w:sz w:val="18"/>
          <w:vertAlign w:val="baseline"/>
        </w:rPr>
        <w:t>China, publication</w:t>
      </w:r>
      <w:r>
        <w:rPr>
          <w:spacing w:val="40"/>
          <w:sz w:val="18"/>
          <w:vertAlign w:val="baseline"/>
        </w:rPr>
        <w:t> </w:t>
      </w:r>
      <w:r>
        <w:rPr>
          <w:sz w:val="18"/>
          <w:vertAlign w:val="baseline"/>
        </w:rPr>
        <w:t>year</w:t>
      </w:r>
      <w:r>
        <w:rPr>
          <w:spacing w:val="40"/>
          <w:sz w:val="18"/>
          <w:vertAlign w:val="baseline"/>
        </w:rPr>
        <w:t> </w:t>
      </w:r>
      <w:r>
        <w:rPr>
          <w:sz w:val="18"/>
          <w:vertAlign w:val="baseline"/>
        </w:rPr>
        <w:t>missing. Page, 193.)</w:t>
      </w:r>
    </w:p>
    <w:p>
      <w:pPr>
        <w:spacing w:after="0" w:line="208" w:lineRule="auto"/>
        <w:jc w:val="both"/>
        <w:rPr>
          <w:sz w:val="18"/>
        </w:rPr>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18560">
                <wp:simplePos x="0" y="0"/>
                <wp:positionH relativeFrom="page">
                  <wp:posOffset>2065020</wp:posOffset>
                </wp:positionH>
                <wp:positionV relativeFrom="paragraph">
                  <wp:posOffset>795020</wp:posOffset>
                </wp:positionV>
                <wp:extent cx="3657600" cy="12700"/>
                <wp:effectExtent l="0" t="0" r="0" b="0"/>
                <wp:wrapTopAndBottom/>
                <wp:docPr id="156" name="Graphic 156"/>
                <wp:cNvGraphicFramePr>
                  <a:graphicFrameLocks/>
                </wp:cNvGraphicFramePr>
                <a:graphic>
                  <a:graphicData uri="http://schemas.microsoft.com/office/word/2010/wordprocessingShape">
                    <wps:wsp>
                      <wps:cNvPr id="156" name="Graphic 15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97920;mso-wrap-distance-left:0;mso-wrap-distance-right:0" id="docshape152" filled="true" fillcolor="#000000" stroked="false">
                <v:fill type="solid"/>
                <w10:wrap type="topAndBottom"/>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5"/>
          <w:sz w:val="18"/>
        </w:rPr>
        <w:t>15</w:t>
      </w:r>
    </w:p>
    <w:p>
      <w:pPr>
        <w:pStyle w:val="BodyText"/>
        <w:spacing w:line="230" w:lineRule="auto" w:before="185"/>
        <w:ind w:right="1439" w:firstLine="432"/>
        <w:jc w:val="both"/>
      </w:pPr>
      <w:r>
        <w:rPr/>
        <w:t>Antony’s</w:t>
      </w:r>
      <w:r>
        <w:rPr>
          <w:spacing w:val="-5"/>
        </w:rPr>
        <w:t> </w:t>
      </w:r>
      <w:r>
        <w:rPr/>
        <w:t>quality</w:t>
      </w:r>
      <w:r>
        <w:rPr>
          <w:spacing w:val="-9"/>
        </w:rPr>
        <w:t> </w:t>
      </w:r>
      <w:r>
        <w:rPr/>
        <w:t>as</w:t>
      </w:r>
      <w:r>
        <w:rPr>
          <w:spacing w:val="-7"/>
        </w:rPr>
        <w:t> </w:t>
      </w:r>
      <w:r>
        <w:rPr/>
        <w:t>a</w:t>
      </w:r>
      <w:r>
        <w:rPr>
          <w:spacing w:val="-6"/>
        </w:rPr>
        <w:t> </w:t>
      </w:r>
      <w:r>
        <w:rPr/>
        <w:t>military</w:t>
      </w:r>
      <w:r>
        <w:rPr>
          <w:spacing w:val="-9"/>
        </w:rPr>
        <w:t> </w:t>
      </w:r>
      <w:r>
        <w:rPr/>
        <w:t>leader</w:t>
      </w:r>
      <w:r>
        <w:rPr>
          <w:spacing w:val="-5"/>
        </w:rPr>
        <w:t> </w:t>
      </w:r>
      <w:r>
        <w:rPr/>
        <w:t>is</w:t>
      </w:r>
      <w:r>
        <w:rPr>
          <w:spacing w:val="-7"/>
        </w:rPr>
        <w:t> </w:t>
      </w:r>
      <w:r>
        <w:rPr/>
        <w:t>subdued</w:t>
      </w:r>
      <w:r>
        <w:rPr>
          <w:spacing w:val="-5"/>
        </w:rPr>
        <w:t> </w:t>
      </w:r>
      <w:r>
        <w:rPr/>
        <w:t>by</w:t>
      </w:r>
      <w:r>
        <w:rPr>
          <w:spacing w:val="-9"/>
        </w:rPr>
        <w:t> </w:t>
      </w:r>
      <w:r>
        <w:rPr/>
        <w:t>Cleopatra,</w:t>
      </w:r>
      <w:r>
        <w:rPr>
          <w:spacing w:val="-4"/>
        </w:rPr>
        <w:t> </w:t>
      </w:r>
      <w:r>
        <w:rPr/>
        <w:t>who had the illusion of possessing a strong navy, and decisively speaks that they will fight by the sea: “By sea—what else?” (3.7.28).</w:t>
      </w:r>
      <w:r>
        <w:rPr>
          <w:spacing w:val="-2"/>
        </w:rPr>
        <w:t> </w:t>
      </w:r>
      <w:r>
        <w:rPr/>
        <w:t>And</w:t>
      </w:r>
      <w:r>
        <w:rPr>
          <w:spacing w:val="-4"/>
        </w:rPr>
        <w:t> </w:t>
      </w:r>
      <w:r>
        <w:rPr/>
        <w:t>Antony, who, following the Roman tradition of</w:t>
      </w:r>
      <w:r>
        <w:rPr>
          <w:spacing w:val="-1"/>
        </w:rPr>
        <w:t> </w:t>
      </w:r>
      <w:r>
        <w:rPr/>
        <w:t>having a strong land force, does take a strategically wrong decision, defying Canidius and Enobarbus’s well-judged</w:t>
      </w:r>
      <w:r>
        <w:rPr>
          <w:spacing w:val="-4"/>
        </w:rPr>
        <w:t> </w:t>
      </w:r>
      <w:r>
        <w:rPr/>
        <w:t>counseling,</w:t>
      </w:r>
      <w:r>
        <w:rPr>
          <w:spacing w:val="-4"/>
        </w:rPr>
        <w:t> </w:t>
      </w:r>
      <w:r>
        <w:rPr/>
        <w:t>and</w:t>
      </w:r>
      <w:r>
        <w:rPr>
          <w:spacing w:val="-3"/>
        </w:rPr>
        <w:t> </w:t>
      </w:r>
      <w:r>
        <w:rPr/>
        <w:t>later</w:t>
      </w:r>
      <w:r>
        <w:rPr>
          <w:spacing w:val="-4"/>
        </w:rPr>
        <w:t> </w:t>
      </w:r>
      <w:r>
        <w:rPr/>
        <w:t>on</w:t>
      </w:r>
      <w:r>
        <w:rPr>
          <w:spacing w:val="-6"/>
        </w:rPr>
        <w:t> </w:t>
      </w:r>
      <w:r>
        <w:rPr/>
        <w:t>a</w:t>
      </w:r>
      <w:r>
        <w:rPr>
          <w:spacing w:val="-5"/>
        </w:rPr>
        <w:t> </w:t>
      </w:r>
      <w:r>
        <w:rPr/>
        <w:t>common</w:t>
      </w:r>
      <w:r>
        <w:rPr>
          <w:spacing w:val="-6"/>
        </w:rPr>
        <w:t> </w:t>
      </w:r>
      <w:r>
        <w:rPr/>
        <w:t>soldier’s</w:t>
      </w:r>
      <w:r>
        <w:rPr>
          <w:spacing w:val="-6"/>
        </w:rPr>
        <w:t> </w:t>
      </w:r>
      <w:r>
        <w:rPr/>
        <w:t>opinion,</w:t>
      </w:r>
      <w:r>
        <w:rPr>
          <w:spacing w:val="-6"/>
        </w:rPr>
        <w:t> </w:t>
      </w:r>
      <w:r>
        <w:rPr/>
        <w:t>not</w:t>
      </w:r>
      <w:r>
        <w:rPr>
          <w:spacing w:val="-4"/>
        </w:rPr>
        <w:t> </w:t>
      </w:r>
      <w:r>
        <w:rPr/>
        <w:t>to fight on the sea but on the land, echoes Cleopatra when he reiterates</w:t>
      </w:r>
      <w:r>
        <w:rPr>
          <w:spacing w:val="80"/>
        </w:rPr>
        <w:t> </w:t>
      </w:r>
      <w:r>
        <w:rPr/>
        <w:t>his</w:t>
      </w:r>
      <w:r>
        <w:rPr>
          <w:spacing w:val="39"/>
        </w:rPr>
        <w:t> </w:t>
      </w:r>
      <w:r>
        <w:rPr/>
        <w:t>decision</w:t>
      </w:r>
      <w:r>
        <w:rPr>
          <w:spacing w:val="37"/>
        </w:rPr>
        <w:t> </w:t>
      </w:r>
      <w:r>
        <w:rPr/>
        <w:t>to</w:t>
      </w:r>
      <w:r>
        <w:rPr>
          <w:spacing w:val="40"/>
        </w:rPr>
        <w:t> </w:t>
      </w:r>
      <w:r>
        <w:rPr/>
        <w:t>fight</w:t>
      </w:r>
      <w:r>
        <w:rPr>
          <w:spacing w:val="39"/>
        </w:rPr>
        <w:t> </w:t>
      </w:r>
      <w:r>
        <w:rPr/>
        <w:t>on</w:t>
      </w:r>
      <w:r>
        <w:rPr>
          <w:spacing w:val="37"/>
        </w:rPr>
        <w:t> </w:t>
      </w:r>
      <w:r>
        <w:rPr/>
        <w:t>the</w:t>
      </w:r>
      <w:r>
        <w:rPr>
          <w:spacing w:val="37"/>
        </w:rPr>
        <w:t> </w:t>
      </w:r>
      <w:r>
        <w:rPr/>
        <w:t>sea:</w:t>
      </w:r>
      <w:r>
        <w:rPr>
          <w:spacing w:val="37"/>
        </w:rPr>
        <w:t> </w:t>
      </w:r>
      <w:r>
        <w:rPr/>
        <w:t>“By</w:t>
      </w:r>
      <w:r>
        <w:rPr>
          <w:spacing w:val="35"/>
        </w:rPr>
        <w:t> </w:t>
      </w:r>
      <w:r>
        <w:rPr/>
        <w:t>sea,</w:t>
      </w:r>
      <w:r>
        <w:rPr>
          <w:spacing w:val="40"/>
        </w:rPr>
        <w:t> </w:t>
      </w:r>
      <w:r>
        <w:rPr/>
        <w:t>by</w:t>
      </w:r>
      <w:r>
        <w:rPr>
          <w:spacing w:val="35"/>
        </w:rPr>
        <w:t> </w:t>
      </w:r>
      <w:r>
        <w:rPr/>
        <w:t>sea”</w:t>
      </w:r>
      <w:r>
        <w:rPr>
          <w:spacing w:val="39"/>
        </w:rPr>
        <w:t> </w:t>
      </w:r>
      <w:r>
        <w:rPr/>
        <w:t>(3.7.40).</w:t>
      </w:r>
    </w:p>
    <w:p>
      <w:pPr>
        <w:pStyle w:val="BodyText"/>
        <w:spacing w:line="230" w:lineRule="auto" w:before="51"/>
        <w:ind w:right="1440" w:firstLine="432"/>
        <w:jc w:val="both"/>
      </w:pPr>
      <w:r>
        <w:rPr/>
        <w:t>The Battle of</w:t>
      </w:r>
      <w:r>
        <w:rPr>
          <w:spacing w:val="-11"/>
        </w:rPr>
        <w:t> </w:t>
      </w:r>
      <w:r>
        <w:rPr/>
        <w:t>Actium</w:t>
      </w:r>
      <w:r>
        <w:rPr>
          <w:spacing w:val="-4"/>
        </w:rPr>
        <w:t> </w:t>
      </w:r>
      <w:r>
        <w:rPr/>
        <w:t>was</w:t>
      </w:r>
      <w:r>
        <w:rPr>
          <w:spacing w:val="-1"/>
        </w:rPr>
        <w:t> </w:t>
      </w:r>
      <w:r>
        <w:rPr/>
        <w:t>won</w:t>
      </w:r>
      <w:r>
        <w:rPr>
          <w:spacing w:val="-1"/>
        </w:rPr>
        <w:t> </w:t>
      </w:r>
      <w:r>
        <w:rPr/>
        <w:t>by</w:t>
      </w:r>
      <w:r>
        <w:rPr>
          <w:spacing w:val="-4"/>
        </w:rPr>
        <w:t> </w:t>
      </w:r>
      <w:r>
        <w:rPr/>
        <w:t>Caesar, which</w:t>
      </w:r>
      <w:r>
        <w:rPr>
          <w:spacing w:val="-3"/>
        </w:rPr>
        <w:t> </w:t>
      </w:r>
      <w:r>
        <w:rPr/>
        <w:t>is</w:t>
      </w:r>
      <w:r>
        <w:rPr>
          <w:spacing w:val="-1"/>
        </w:rPr>
        <w:t> </w:t>
      </w:r>
      <w:r>
        <w:rPr/>
        <w:t>part</w:t>
      </w:r>
      <w:r>
        <w:rPr>
          <w:spacing w:val="-1"/>
        </w:rPr>
        <w:t> </w:t>
      </w:r>
      <w:r>
        <w:rPr/>
        <w:t>of</w:t>
      </w:r>
      <w:r>
        <w:rPr>
          <w:spacing w:val="-3"/>
        </w:rPr>
        <w:t> </w:t>
      </w:r>
      <w:r>
        <w:rPr/>
        <w:t>history, but in Shakespeare’s treatment, the nature of the defeat is dramatized through a reversal</w:t>
      </w:r>
      <w:r>
        <w:rPr>
          <w:spacing w:val="18"/>
        </w:rPr>
        <w:t> </w:t>
      </w:r>
      <w:r>
        <w:rPr/>
        <w:t>of roles, probably an extension of</w:t>
      </w:r>
      <w:r>
        <w:rPr>
          <w:spacing w:val="18"/>
        </w:rPr>
        <w:t> </w:t>
      </w:r>
      <w:r>
        <w:rPr/>
        <w:t>their pastime, as</w:t>
      </w:r>
      <w:r>
        <w:rPr>
          <w:spacing w:val="80"/>
        </w:rPr>
        <w:t> </w:t>
      </w:r>
      <w:r>
        <w:rPr/>
        <w:t>is explicitly described by Scarus:</w:t>
      </w:r>
    </w:p>
    <w:p>
      <w:pPr>
        <w:spacing w:before="48"/>
        <w:ind w:left="2160" w:right="0" w:firstLine="0"/>
        <w:jc w:val="left"/>
        <w:rPr>
          <w:i/>
          <w:sz w:val="20"/>
        </w:rPr>
      </w:pPr>
      <w:r>
        <w:rPr>
          <w:i/>
          <w:sz w:val="20"/>
        </w:rPr>
        <w:t>She</w:t>
      </w:r>
      <w:r>
        <w:rPr>
          <w:i/>
          <w:spacing w:val="37"/>
          <w:sz w:val="20"/>
        </w:rPr>
        <w:t> </w:t>
      </w:r>
      <w:r>
        <w:rPr>
          <w:i/>
          <w:sz w:val="20"/>
        </w:rPr>
        <w:t>once</w:t>
      </w:r>
      <w:r>
        <w:rPr>
          <w:i/>
          <w:spacing w:val="35"/>
          <w:sz w:val="20"/>
        </w:rPr>
        <w:t> </w:t>
      </w:r>
      <w:r>
        <w:rPr>
          <w:i/>
          <w:sz w:val="20"/>
        </w:rPr>
        <w:t>being</w:t>
      </w:r>
      <w:r>
        <w:rPr>
          <w:i/>
          <w:spacing w:val="39"/>
          <w:sz w:val="20"/>
        </w:rPr>
        <w:t> </w:t>
      </w:r>
      <w:r>
        <w:rPr>
          <w:i/>
          <w:spacing w:val="-2"/>
          <w:sz w:val="20"/>
        </w:rPr>
        <w:t>loofed,</w:t>
      </w:r>
    </w:p>
    <w:p>
      <w:pPr>
        <w:spacing w:before="48"/>
        <w:ind w:left="2160" w:right="0" w:firstLine="0"/>
        <w:jc w:val="left"/>
        <w:rPr>
          <w:i/>
          <w:sz w:val="20"/>
        </w:rPr>
      </w:pPr>
      <w:r>
        <w:rPr>
          <w:i/>
          <w:sz w:val="20"/>
        </w:rPr>
        <w:t>The</w:t>
      </w:r>
      <w:r>
        <w:rPr>
          <w:i/>
          <w:spacing w:val="28"/>
          <w:sz w:val="20"/>
        </w:rPr>
        <w:t> </w:t>
      </w:r>
      <w:r>
        <w:rPr>
          <w:i/>
          <w:sz w:val="20"/>
        </w:rPr>
        <w:t>noble</w:t>
      </w:r>
      <w:r>
        <w:rPr>
          <w:i/>
          <w:spacing w:val="29"/>
          <w:sz w:val="20"/>
        </w:rPr>
        <w:t> </w:t>
      </w:r>
      <w:r>
        <w:rPr>
          <w:i/>
          <w:sz w:val="20"/>
        </w:rPr>
        <w:t>ruin</w:t>
      </w:r>
      <w:r>
        <w:rPr>
          <w:i/>
          <w:spacing w:val="29"/>
          <w:sz w:val="20"/>
        </w:rPr>
        <w:t> </w:t>
      </w:r>
      <w:r>
        <w:rPr>
          <w:i/>
          <w:sz w:val="20"/>
        </w:rPr>
        <w:t>of</w:t>
      </w:r>
      <w:r>
        <w:rPr>
          <w:i/>
          <w:spacing w:val="29"/>
          <w:sz w:val="20"/>
        </w:rPr>
        <w:t> </w:t>
      </w:r>
      <w:r>
        <w:rPr>
          <w:i/>
          <w:sz w:val="20"/>
        </w:rPr>
        <w:t>her</w:t>
      </w:r>
      <w:r>
        <w:rPr>
          <w:i/>
          <w:spacing w:val="27"/>
          <w:sz w:val="20"/>
        </w:rPr>
        <w:t> </w:t>
      </w:r>
      <w:r>
        <w:rPr>
          <w:i/>
          <w:sz w:val="20"/>
        </w:rPr>
        <w:t>magic,</w:t>
      </w:r>
      <w:r>
        <w:rPr>
          <w:i/>
          <w:spacing w:val="27"/>
          <w:sz w:val="20"/>
        </w:rPr>
        <w:t> </w:t>
      </w:r>
      <w:r>
        <w:rPr>
          <w:i/>
          <w:spacing w:val="-2"/>
          <w:sz w:val="20"/>
        </w:rPr>
        <w:t>Antony,</w:t>
      </w:r>
    </w:p>
    <w:p>
      <w:pPr>
        <w:spacing w:line="230" w:lineRule="auto" w:before="56"/>
        <w:ind w:left="2160" w:right="2159" w:firstLine="0"/>
        <w:jc w:val="left"/>
        <w:rPr>
          <w:i/>
          <w:sz w:val="20"/>
        </w:rPr>
      </w:pPr>
      <w:r>
        <w:rPr>
          <w:i/>
          <w:sz w:val="20"/>
        </w:rPr>
        <w:t>Claps</w:t>
      </w:r>
      <w:r>
        <w:rPr>
          <w:i/>
          <w:spacing w:val="36"/>
          <w:sz w:val="20"/>
        </w:rPr>
        <w:t> </w:t>
      </w:r>
      <w:r>
        <w:rPr>
          <w:i/>
          <w:sz w:val="20"/>
        </w:rPr>
        <w:t>on</w:t>
      </w:r>
      <w:r>
        <w:rPr>
          <w:i/>
          <w:spacing w:val="40"/>
          <w:sz w:val="20"/>
        </w:rPr>
        <w:t> </w:t>
      </w:r>
      <w:r>
        <w:rPr>
          <w:i/>
          <w:sz w:val="20"/>
        </w:rPr>
        <w:t>his</w:t>
      </w:r>
      <w:r>
        <w:rPr>
          <w:i/>
          <w:spacing w:val="36"/>
          <w:sz w:val="20"/>
        </w:rPr>
        <w:t> </w:t>
      </w:r>
      <w:r>
        <w:rPr>
          <w:i/>
          <w:sz w:val="20"/>
        </w:rPr>
        <w:t>sea-wing</w:t>
      </w:r>
      <w:r>
        <w:rPr>
          <w:i/>
          <w:spacing w:val="40"/>
          <w:sz w:val="20"/>
        </w:rPr>
        <w:t> </w:t>
      </w:r>
      <w:r>
        <w:rPr>
          <w:i/>
          <w:sz w:val="20"/>
        </w:rPr>
        <w:t>and,</w:t>
      </w:r>
      <w:r>
        <w:rPr>
          <w:i/>
          <w:spacing w:val="40"/>
          <w:sz w:val="20"/>
        </w:rPr>
        <w:t> </w:t>
      </w:r>
      <w:r>
        <w:rPr>
          <w:i/>
          <w:sz w:val="20"/>
        </w:rPr>
        <w:t>like</w:t>
      </w:r>
      <w:r>
        <w:rPr>
          <w:i/>
          <w:spacing w:val="40"/>
          <w:sz w:val="20"/>
        </w:rPr>
        <w:t> </w:t>
      </w:r>
      <w:r>
        <w:rPr>
          <w:i/>
          <w:sz w:val="20"/>
        </w:rPr>
        <w:t>a</w:t>
      </w:r>
      <w:r>
        <w:rPr>
          <w:i/>
          <w:spacing w:val="40"/>
          <w:sz w:val="20"/>
        </w:rPr>
        <w:t> </w:t>
      </w:r>
      <w:r>
        <w:rPr>
          <w:i/>
          <w:sz w:val="20"/>
        </w:rPr>
        <w:t>doting</w:t>
      </w:r>
      <w:r>
        <w:rPr>
          <w:i/>
          <w:spacing w:val="40"/>
          <w:sz w:val="20"/>
        </w:rPr>
        <w:t> </w:t>
      </w:r>
      <w:r>
        <w:rPr>
          <w:i/>
          <w:sz w:val="20"/>
        </w:rPr>
        <w:t>mallard, Leaving</w:t>
      </w:r>
      <w:r>
        <w:rPr>
          <w:i/>
          <w:spacing w:val="40"/>
          <w:sz w:val="20"/>
        </w:rPr>
        <w:t> </w:t>
      </w:r>
      <w:r>
        <w:rPr>
          <w:i/>
          <w:sz w:val="20"/>
        </w:rPr>
        <w:t>the</w:t>
      </w:r>
      <w:r>
        <w:rPr>
          <w:i/>
          <w:spacing w:val="40"/>
          <w:sz w:val="20"/>
        </w:rPr>
        <w:t> </w:t>
      </w:r>
      <w:r>
        <w:rPr>
          <w:i/>
          <w:sz w:val="20"/>
        </w:rPr>
        <w:t>fight</w:t>
      </w:r>
      <w:r>
        <w:rPr>
          <w:i/>
          <w:spacing w:val="40"/>
          <w:sz w:val="20"/>
        </w:rPr>
        <w:t> </w:t>
      </w:r>
      <w:r>
        <w:rPr>
          <w:i/>
          <w:sz w:val="20"/>
        </w:rPr>
        <w:t>in</w:t>
      </w:r>
      <w:r>
        <w:rPr>
          <w:i/>
          <w:spacing w:val="40"/>
          <w:sz w:val="20"/>
        </w:rPr>
        <w:t> </w:t>
      </w:r>
      <w:r>
        <w:rPr>
          <w:i/>
          <w:sz w:val="20"/>
        </w:rPr>
        <w:t>height,</w:t>
      </w:r>
      <w:r>
        <w:rPr>
          <w:i/>
          <w:spacing w:val="40"/>
          <w:sz w:val="20"/>
        </w:rPr>
        <w:t> </w:t>
      </w:r>
      <w:r>
        <w:rPr>
          <w:i/>
          <w:sz w:val="20"/>
        </w:rPr>
        <w:t>flies</w:t>
      </w:r>
      <w:r>
        <w:rPr>
          <w:i/>
          <w:spacing w:val="40"/>
          <w:sz w:val="20"/>
        </w:rPr>
        <w:t> </w:t>
      </w:r>
      <w:r>
        <w:rPr>
          <w:i/>
          <w:sz w:val="20"/>
        </w:rPr>
        <w:t>after</w:t>
      </w:r>
      <w:r>
        <w:rPr>
          <w:i/>
          <w:spacing w:val="40"/>
          <w:sz w:val="20"/>
        </w:rPr>
        <w:t> </w:t>
      </w:r>
      <w:r>
        <w:rPr>
          <w:i/>
          <w:sz w:val="20"/>
        </w:rPr>
        <w:t>her.</w:t>
      </w:r>
    </w:p>
    <w:p>
      <w:pPr>
        <w:spacing w:line="290" w:lineRule="auto" w:before="48"/>
        <w:ind w:left="2160" w:right="2764" w:firstLine="0"/>
        <w:jc w:val="left"/>
        <w:rPr>
          <w:i/>
          <w:sz w:val="20"/>
        </w:rPr>
      </w:pPr>
      <w:r>
        <w:rPr>
          <w:i/>
          <w:sz w:val="20"/>
        </w:rPr>
        <w:t>I</w:t>
      </w:r>
      <w:r>
        <w:rPr>
          <w:i/>
          <w:spacing w:val="40"/>
          <w:sz w:val="20"/>
        </w:rPr>
        <w:t> </w:t>
      </w:r>
      <w:r>
        <w:rPr>
          <w:i/>
          <w:sz w:val="20"/>
        </w:rPr>
        <w:t>never</w:t>
      </w:r>
      <w:r>
        <w:rPr>
          <w:i/>
          <w:spacing w:val="40"/>
          <w:sz w:val="20"/>
        </w:rPr>
        <w:t> </w:t>
      </w:r>
      <w:r>
        <w:rPr>
          <w:i/>
          <w:sz w:val="20"/>
        </w:rPr>
        <w:t>saw</w:t>
      </w:r>
      <w:r>
        <w:rPr>
          <w:i/>
          <w:spacing w:val="40"/>
          <w:sz w:val="20"/>
        </w:rPr>
        <w:t> </w:t>
      </w:r>
      <w:r>
        <w:rPr>
          <w:i/>
          <w:sz w:val="20"/>
        </w:rPr>
        <w:t>an</w:t>
      </w:r>
      <w:r>
        <w:rPr>
          <w:i/>
          <w:spacing w:val="40"/>
          <w:sz w:val="20"/>
        </w:rPr>
        <w:t> </w:t>
      </w:r>
      <w:r>
        <w:rPr>
          <w:i/>
          <w:sz w:val="20"/>
        </w:rPr>
        <w:t>action</w:t>
      </w:r>
      <w:r>
        <w:rPr>
          <w:i/>
          <w:spacing w:val="40"/>
          <w:sz w:val="20"/>
        </w:rPr>
        <w:t> </w:t>
      </w:r>
      <w:r>
        <w:rPr>
          <w:i/>
          <w:sz w:val="20"/>
        </w:rPr>
        <w:t>of</w:t>
      </w:r>
      <w:r>
        <w:rPr>
          <w:i/>
          <w:spacing w:val="40"/>
          <w:sz w:val="20"/>
        </w:rPr>
        <w:t> </w:t>
      </w:r>
      <w:r>
        <w:rPr>
          <w:i/>
          <w:sz w:val="20"/>
        </w:rPr>
        <w:t>such</w:t>
      </w:r>
      <w:r>
        <w:rPr>
          <w:i/>
          <w:spacing w:val="40"/>
          <w:sz w:val="20"/>
        </w:rPr>
        <w:t> </w:t>
      </w:r>
      <w:r>
        <w:rPr>
          <w:i/>
          <w:sz w:val="20"/>
        </w:rPr>
        <w:t>shame. Experience,</w:t>
      </w:r>
      <w:r>
        <w:rPr>
          <w:i/>
          <w:spacing w:val="20"/>
          <w:sz w:val="20"/>
        </w:rPr>
        <w:t> </w:t>
      </w:r>
      <w:r>
        <w:rPr>
          <w:i/>
          <w:sz w:val="20"/>
        </w:rPr>
        <w:t>manhood,</w:t>
      </w:r>
      <w:r>
        <w:rPr>
          <w:i/>
          <w:spacing w:val="22"/>
          <w:sz w:val="20"/>
        </w:rPr>
        <w:t> </w:t>
      </w:r>
      <w:r>
        <w:rPr>
          <w:i/>
          <w:sz w:val="20"/>
        </w:rPr>
        <w:t>honour,</w:t>
      </w:r>
      <w:r>
        <w:rPr>
          <w:i/>
          <w:spacing w:val="20"/>
          <w:sz w:val="20"/>
        </w:rPr>
        <w:t> </w:t>
      </w:r>
      <w:r>
        <w:rPr>
          <w:i/>
          <w:sz w:val="20"/>
        </w:rPr>
        <w:t>ne’er</w:t>
      </w:r>
      <w:r>
        <w:rPr>
          <w:i/>
          <w:spacing w:val="20"/>
          <w:sz w:val="20"/>
        </w:rPr>
        <w:t> </w:t>
      </w:r>
      <w:r>
        <w:rPr>
          <w:i/>
          <w:sz w:val="20"/>
        </w:rPr>
        <w:t>before Did</w:t>
      </w:r>
      <w:r>
        <w:rPr>
          <w:i/>
          <w:spacing w:val="40"/>
          <w:sz w:val="20"/>
        </w:rPr>
        <w:t> </w:t>
      </w:r>
      <w:r>
        <w:rPr>
          <w:i/>
          <w:sz w:val="20"/>
        </w:rPr>
        <w:t>violate</w:t>
      </w:r>
      <w:r>
        <w:rPr>
          <w:i/>
          <w:spacing w:val="40"/>
          <w:sz w:val="20"/>
        </w:rPr>
        <w:t> </w:t>
      </w:r>
      <w:r>
        <w:rPr>
          <w:i/>
          <w:sz w:val="20"/>
        </w:rPr>
        <w:t>so</w:t>
      </w:r>
      <w:r>
        <w:rPr>
          <w:i/>
          <w:spacing w:val="40"/>
          <w:sz w:val="20"/>
        </w:rPr>
        <w:t> </w:t>
      </w:r>
      <w:r>
        <w:rPr>
          <w:i/>
          <w:sz w:val="20"/>
        </w:rPr>
        <w:t>itself.”</w:t>
      </w:r>
      <w:r>
        <w:rPr>
          <w:i/>
          <w:spacing w:val="40"/>
          <w:sz w:val="20"/>
        </w:rPr>
        <w:t> </w:t>
      </w:r>
      <w:r>
        <w:rPr>
          <w:i/>
          <w:sz w:val="20"/>
        </w:rPr>
        <w:t>(3.10.18-24)</w:t>
      </w:r>
    </w:p>
    <w:p>
      <w:pPr>
        <w:pStyle w:val="BodyText"/>
        <w:spacing w:line="230" w:lineRule="auto" w:before="8"/>
        <w:ind w:right="1438" w:firstLine="432"/>
        <w:jc w:val="both"/>
      </w:pPr>
      <w:r>
        <w:rPr>
          <w:spacing w:val="-4"/>
        </w:rPr>
        <w:t>This drastically</w:t>
      </w:r>
      <w:r>
        <w:rPr>
          <w:spacing w:val="-6"/>
        </w:rPr>
        <w:t> </w:t>
      </w:r>
      <w:r>
        <w:rPr>
          <w:spacing w:val="-4"/>
        </w:rPr>
        <w:t>significant image of the “doting mallard”</w:t>
      </w:r>
      <w:r>
        <w:rPr/>
        <w:t> </w:t>
      </w:r>
      <w:r>
        <w:rPr>
          <w:spacing w:val="-4"/>
        </w:rPr>
        <w:t>symbolizes </w:t>
      </w:r>
      <w:r>
        <w:rPr/>
        <w:t>Antony’s fall not only through the desertion of trusted generals like Canidius to Caesar’s camp (“To Caesar will I render / My legions and </w:t>
      </w:r>
      <w:r>
        <w:rPr>
          <w:spacing w:val="-2"/>
        </w:rPr>
        <w:t>my</w:t>
      </w:r>
      <w:r>
        <w:rPr>
          <w:spacing w:val="-10"/>
        </w:rPr>
        <w:t> </w:t>
      </w:r>
      <w:r>
        <w:rPr>
          <w:spacing w:val="-2"/>
        </w:rPr>
        <w:t>horse”</w:t>
      </w:r>
      <w:r>
        <w:rPr>
          <w:spacing w:val="-8"/>
        </w:rPr>
        <w:t> </w:t>
      </w:r>
      <w:r>
        <w:rPr>
          <w:spacing w:val="-2"/>
        </w:rPr>
        <w:t>(3.10.33-34)),</w:t>
      </w:r>
      <w:r>
        <w:rPr>
          <w:spacing w:val="-10"/>
        </w:rPr>
        <w:t> </w:t>
      </w:r>
      <w:r>
        <w:rPr>
          <w:spacing w:val="-2"/>
        </w:rPr>
        <w:t>and</w:t>
      </w:r>
      <w:r>
        <w:rPr>
          <w:spacing w:val="-6"/>
        </w:rPr>
        <w:t> </w:t>
      </w:r>
      <w:r>
        <w:rPr>
          <w:spacing w:val="-2"/>
        </w:rPr>
        <w:t>much</w:t>
      </w:r>
      <w:r>
        <w:rPr>
          <w:spacing w:val="-8"/>
        </w:rPr>
        <w:t> </w:t>
      </w:r>
      <w:r>
        <w:rPr>
          <w:spacing w:val="-2"/>
        </w:rPr>
        <w:t>later</w:t>
      </w:r>
      <w:r>
        <w:rPr>
          <w:spacing w:val="-6"/>
        </w:rPr>
        <w:t> </w:t>
      </w:r>
      <w:r>
        <w:rPr>
          <w:spacing w:val="-2"/>
        </w:rPr>
        <w:t>Enobarbus,</w:t>
      </w:r>
      <w:r>
        <w:rPr>
          <w:spacing w:val="-8"/>
        </w:rPr>
        <w:t> </w:t>
      </w:r>
      <w:r>
        <w:rPr>
          <w:spacing w:val="-2"/>
        </w:rPr>
        <w:t>not</w:t>
      </w:r>
      <w:r>
        <w:rPr>
          <w:spacing w:val="-10"/>
        </w:rPr>
        <w:t> </w:t>
      </w:r>
      <w:r>
        <w:rPr>
          <w:spacing w:val="-2"/>
        </w:rPr>
        <w:t>to</w:t>
      </w:r>
      <w:r>
        <w:rPr>
          <w:spacing w:val="-6"/>
        </w:rPr>
        <w:t> </w:t>
      </w:r>
      <w:r>
        <w:rPr>
          <w:spacing w:val="-2"/>
        </w:rPr>
        <w:t>Caesar’s</w:t>
      </w:r>
      <w:r>
        <w:rPr>
          <w:spacing w:val="-8"/>
        </w:rPr>
        <w:t> </w:t>
      </w:r>
      <w:r>
        <w:rPr>
          <w:spacing w:val="-2"/>
        </w:rPr>
        <w:t>camp </w:t>
      </w:r>
      <w:r>
        <w:rPr/>
        <w:t>but to the path of self-annihilation (“A master-leaver” (4.9.25)),</w:t>
      </w:r>
      <w:r>
        <w:rPr>
          <w:vertAlign w:val="superscript"/>
        </w:rPr>
        <w:t>21</w:t>
      </w:r>
      <w:r>
        <w:rPr>
          <w:vertAlign w:val="baseline"/>
        </w:rPr>
        <w:t> but also</w:t>
      </w:r>
      <w:r>
        <w:rPr>
          <w:spacing w:val="40"/>
          <w:vertAlign w:val="baseline"/>
        </w:rPr>
        <w:t> </w:t>
      </w:r>
      <w:r>
        <w:rPr>
          <w:vertAlign w:val="baseline"/>
        </w:rPr>
        <w:t>through</w:t>
      </w:r>
      <w:r>
        <w:rPr>
          <w:spacing w:val="40"/>
          <w:vertAlign w:val="baseline"/>
        </w:rPr>
        <w:t> </w:t>
      </w:r>
      <w:r>
        <w:rPr>
          <w:vertAlign w:val="baseline"/>
        </w:rPr>
        <w:t>the</w:t>
      </w:r>
      <w:r>
        <w:rPr>
          <w:spacing w:val="40"/>
          <w:vertAlign w:val="baseline"/>
        </w:rPr>
        <w:t> </w:t>
      </w:r>
      <w:r>
        <w:rPr>
          <w:vertAlign w:val="baseline"/>
        </w:rPr>
        <w:t>belittling</w:t>
      </w:r>
      <w:r>
        <w:rPr>
          <w:spacing w:val="40"/>
          <w:vertAlign w:val="baseline"/>
        </w:rPr>
        <w:t> </w:t>
      </w:r>
      <w:r>
        <w:rPr>
          <w:vertAlign w:val="baseline"/>
        </w:rPr>
        <w:t>of</w:t>
      </w:r>
      <w:r>
        <w:rPr>
          <w:spacing w:val="40"/>
          <w:vertAlign w:val="baseline"/>
        </w:rPr>
        <w:t> </w:t>
      </w:r>
      <w:r>
        <w:rPr>
          <w:vertAlign w:val="baseline"/>
        </w:rPr>
        <w:t>Caesar</w:t>
      </w:r>
      <w:r>
        <w:rPr>
          <w:spacing w:val="40"/>
          <w:vertAlign w:val="baseline"/>
        </w:rPr>
        <w:t> </w:t>
      </w:r>
      <w:r>
        <w:rPr>
          <w:vertAlign w:val="baseline"/>
        </w:rPr>
        <w:t>on</w:t>
      </w:r>
      <w:r>
        <w:rPr>
          <w:spacing w:val="40"/>
          <w:vertAlign w:val="baseline"/>
        </w:rPr>
        <w:t> </w:t>
      </w:r>
      <w:r>
        <w:rPr>
          <w:vertAlign w:val="baseline"/>
        </w:rPr>
        <w:t>a</w:t>
      </w:r>
      <w:r>
        <w:rPr>
          <w:spacing w:val="40"/>
          <w:vertAlign w:val="baseline"/>
        </w:rPr>
        <w:t> </w:t>
      </w:r>
      <w:r>
        <w:rPr>
          <w:vertAlign w:val="baseline"/>
        </w:rPr>
        <w:t>wrong</w:t>
      </w:r>
      <w:r>
        <w:rPr>
          <w:spacing w:val="40"/>
          <w:vertAlign w:val="baseline"/>
        </w:rPr>
        <w:t> </w:t>
      </w:r>
      <w:r>
        <w:rPr>
          <w:vertAlign w:val="baseline"/>
        </w:rPr>
        <w:t>perception.</w:t>
      </w:r>
    </w:p>
    <w:p>
      <w:pPr>
        <w:pStyle w:val="BodyText"/>
        <w:spacing w:before="11"/>
        <w:ind w:left="0"/>
        <w:rPr>
          <w:sz w:val="14"/>
        </w:rPr>
      </w:pPr>
      <w:r>
        <w:rPr>
          <w:sz w:val="14"/>
        </w:rPr>
        <mc:AlternateContent>
          <mc:Choice Requires="wps">
            <w:drawing>
              <wp:anchor distT="0" distB="0" distL="0" distR="0" allowOverlap="1" layoutInCell="1" locked="0" behindDoc="1" simplePos="0" relativeHeight="487619072">
                <wp:simplePos x="0" y="0"/>
                <wp:positionH relativeFrom="page">
                  <wp:posOffset>2057400</wp:posOffset>
                </wp:positionH>
                <wp:positionV relativeFrom="paragraph">
                  <wp:posOffset>124450</wp:posOffset>
                </wp:positionV>
                <wp:extent cx="3657600" cy="12700"/>
                <wp:effectExtent l="0" t="0" r="0" b="0"/>
                <wp:wrapTopAndBottom/>
                <wp:docPr id="157" name="Graphic 157"/>
                <wp:cNvGraphicFramePr>
                  <a:graphicFrameLocks/>
                </wp:cNvGraphicFramePr>
                <a:graphic>
                  <a:graphicData uri="http://schemas.microsoft.com/office/word/2010/wordprocessingShape">
                    <wps:wsp>
                      <wps:cNvPr id="157" name="Graphic 15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9.799257pt;width:288.000009pt;height:.959977pt;mso-position-horizontal-relative:page;mso-position-vertical-relative:paragraph;z-index:-15697408;mso-wrap-distance-left:0;mso-wrap-distance-right:0" id="docshape153" filled="true" fillcolor="#000000" stroked="false">
                <v:fill type="solid"/>
                <w10:wrap type="topAndBottom"/>
              </v:rect>
            </w:pict>
          </mc:Fallback>
        </mc:AlternateContent>
      </w:r>
    </w:p>
    <w:p>
      <w:pPr>
        <w:spacing w:line="208" w:lineRule="auto" w:before="81"/>
        <w:ind w:left="1440" w:right="1436" w:firstLine="0"/>
        <w:jc w:val="both"/>
        <w:rPr>
          <w:sz w:val="18"/>
        </w:rPr>
      </w:pPr>
      <w:r>
        <w:rPr>
          <w:sz w:val="18"/>
          <w:vertAlign w:val="superscript"/>
        </w:rPr>
        <w:t>21</w:t>
      </w:r>
      <w:r>
        <w:rPr>
          <w:sz w:val="18"/>
          <w:vertAlign w:val="baseline"/>
        </w:rPr>
        <w:t> G. Wilson Knight on Enobarbus’s desertion, which he endorses with a pinch of salt: “Enobarbus’s desertion is more than a personal disloyalty. It is a</w:t>
      </w:r>
      <w:r>
        <w:rPr>
          <w:spacing w:val="80"/>
          <w:sz w:val="18"/>
          <w:vertAlign w:val="baseline"/>
        </w:rPr>
        <w:t> </w:t>
      </w:r>
      <w:r>
        <w:rPr>
          <w:sz w:val="18"/>
          <w:vertAlign w:val="baseline"/>
        </w:rPr>
        <w:t>symbol of the protagonist’ tottering romance</w:t>
      </w:r>
      <w:r>
        <w:rPr>
          <w:spacing w:val="80"/>
          <w:sz w:val="18"/>
          <w:vertAlign w:val="baseline"/>
        </w:rPr>
        <w:t> </w:t>
      </w:r>
      <w:r>
        <w:rPr>
          <w:sz w:val="18"/>
          <w:vertAlign w:val="baseline"/>
        </w:rPr>
        <w:t>He believes the evidence of his eyes, and it is hard to blame him. Here the rightness of his course depends largely on whether his judgment of Cleopatra’s integrity is sound. But there is no doubt of her treachery: he is emotionally excused. Moreover,</w:t>
      </w:r>
      <w:r>
        <w:rPr>
          <w:spacing w:val="-6"/>
          <w:sz w:val="18"/>
          <w:vertAlign w:val="baseline"/>
        </w:rPr>
        <w:t> </w:t>
      </w:r>
      <w:r>
        <w:rPr>
          <w:sz w:val="18"/>
          <w:vertAlign w:val="baseline"/>
        </w:rPr>
        <w:t>Antony’s rash conduct, kissing away all chances of success for the sake of an unprincipled</w:t>
      </w:r>
      <w:r>
        <w:rPr>
          <w:spacing w:val="40"/>
          <w:sz w:val="18"/>
          <w:vertAlign w:val="baseline"/>
        </w:rPr>
        <w:t> </w:t>
      </w:r>
      <w:r>
        <w:rPr>
          <w:sz w:val="18"/>
          <w:vertAlign w:val="baseline"/>
        </w:rPr>
        <w:t>and disloyal woman, will ruin not only himself but his followers. What duty binds a follower to a madman? He is rationally excused. But events, as always in this play, press Enobarbus on to realization of his true self. He deserts. He finds</w:t>
      </w:r>
      <w:r>
        <w:rPr>
          <w:spacing w:val="-5"/>
          <w:sz w:val="18"/>
          <w:vertAlign w:val="baseline"/>
        </w:rPr>
        <w:t> </w:t>
      </w:r>
      <w:r>
        <w:rPr>
          <w:sz w:val="18"/>
          <w:vertAlign w:val="baseline"/>
        </w:rPr>
        <w:t>deserters</w:t>
      </w:r>
      <w:r>
        <w:rPr>
          <w:spacing w:val="-4"/>
          <w:sz w:val="18"/>
          <w:vertAlign w:val="baseline"/>
        </w:rPr>
        <w:t> </w:t>
      </w:r>
      <w:r>
        <w:rPr>
          <w:sz w:val="18"/>
          <w:vertAlign w:val="baseline"/>
        </w:rPr>
        <w:t>coldly</w:t>
      </w:r>
      <w:r>
        <w:rPr>
          <w:spacing w:val="-6"/>
          <w:sz w:val="18"/>
          <w:vertAlign w:val="baseline"/>
        </w:rPr>
        <w:t> </w:t>
      </w:r>
      <w:r>
        <w:rPr>
          <w:sz w:val="18"/>
          <w:vertAlign w:val="baseline"/>
        </w:rPr>
        <w:t>received</w:t>
      </w:r>
      <w:r>
        <w:rPr>
          <w:spacing w:val="-5"/>
          <w:sz w:val="18"/>
          <w:vertAlign w:val="baseline"/>
        </w:rPr>
        <w:t> </w:t>
      </w:r>
      <w:r>
        <w:rPr>
          <w:sz w:val="18"/>
          <w:vertAlign w:val="baseline"/>
        </w:rPr>
        <w:t>by</w:t>
      </w:r>
      <w:r>
        <w:rPr>
          <w:spacing w:val="-8"/>
          <w:sz w:val="18"/>
          <w:vertAlign w:val="baseline"/>
        </w:rPr>
        <w:t> </w:t>
      </w:r>
      <w:r>
        <w:rPr>
          <w:sz w:val="18"/>
          <w:vertAlign w:val="baseline"/>
        </w:rPr>
        <w:t>Caesar.</w:t>
      </w:r>
      <w:r>
        <w:rPr>
          <w:spacing w:val="-10"/>
          <w:sz w:val="18"/>
          <w:vertAlign w:val="baseline"/>
        </w:rPr>
        <w:t> </w:t>
      </w:r>
      <w:r>
        <w:rPr>
          <w:sz w:val="18"/>
          <w:vertAlign w:val="baseline"/>
        </w:rPr>
        <w:t>Alexas</w:t>
      </w:r>
      <w:r>
        <w:rPr>
          <w:spacing w:val="-4"/>
          <w:sz w:val="18"/>
          <w:vertAlign w:val="baseline"/>
        </w:rPr>
        <w:t> </w:t>
      </w:r>
      <w:r>
        <w:rPr>
          <w:sz w:val="18"/>
          <w:vertAlign w:val="baseline"/>
        </w:rPr>
        <w:t>was</w:t>
      </w:r>
      <w:r>
        <w:rPr>
          <w:spacing w:val="-6"/>
          <w:sz w:val="18"/>
          <w:vertAlign w:val="baseline"/>
        </w:rPr>
        <w:t> </w:t>
      </w:r>
      <w:r>
        <w:rPr>
          <w:sz w:val="18"/>
          <w:vertAlign w:val="baseline"/>
        </w:rPr>
        <w:t>hanged</w:t>
      </w:r>
      <w:r>
        <w:rPr>
          <w:spacing w:val="-5"/>
          <w:sz w:val="18"/>
          <w:vertAlign w:val="baseline"/>
        </w:rPr>
        <w:t> </w:t>
      </w:r>
      <w:r>
        <w:rPr>
          <w:sz w:val="18"/>
          <w:vertAlign w:val="baseline"/>
        </w:rPr>
        <w:t>(4.6.16).</w:t>
      </w:r>
      <w:r>
        <w:rPr>
          <w:spacing w:val="-5"/>
          <w:sz w:val="18"/>
          <w:vertAlign w:val="baseline"/>
        </w:rPr>
        <w:t> </w:t>
      </w:r>
      <w:r>
        <w:rPr>
          <w:sz w:val="18"/>
          <w:vertAlign w:val="baseline"/>
        </w:rPr>
        <w:t>Canidius and others</w:t>
      </w:r>
      <w:r>
        <w:rPr>
          <w:spacing w:val="-1"/>
          <w:sz w:val="18"/>
          <w:vertAlign w:val="baseline"/>
        </w:rPr>
        <w:t> </w:t>
      </w:r>
      <w:r>
        <w:rPr>
          <w:sz w:val="18"/>
          <w:vertAlign w:val="baseline"/>
        </w:rPr>
        <w:t>have ‘no honourable</w:t>
      </w:r>
      <w:r>
        <w:rPr>
          <w:spacing w:val="-1"/>
          <w:sz w:val="18"/>
          <w:vertAlign w:val="baseline"/>
        </w:rPr>
        <w:t> </w:t>
      </w:r>
      <w:r>
        <w:rPr>
          <w:sz w:val="18"/>
          <w:vertAlign w:val="baseline"/>
        </w:rPr>
        <w:t>trust’ (4.6.18).</w:t>
      </w:r>
      <w:r>
        <w:rPr>
          <w:spacing w:val="-1"/>
          <w:sz w:val="18"/>
          <w:vertAlign w:val="baseline"/>
        </w:rPr>
        <w:t> </w:t>
      </w:r>
      <w:r>
        <w:rPr>
          <w:sz w:val="18"/>
          <w:vertAlign w:val="baseline"/>
        </w:rPr>
        <w:t>Now</w:t>
      </w:r>
      <w:r>
        <w:rPr>
          <w:spacing w:val="-1"/>
          <w:sz w:val="18"/>
          <w:vertAlign w:val="baseline"/>
        </w:rPr>
        <w:t> </w:t>
      </w:r>
      <w:r>
        <w:rPr>
          <w:sz w:val="18"/>
          <w:vertAlign w:val="baseline"/>
        </w:rPr>
        <w:t>he</w:t>
      </w:r>
      <w:r>
        <w:rPr>
          <w:spacing w:val="-1"/>
          <w:sz w:val="18"/>
          <w:vertAlign w:val="baseline"/>
        </w:rPr>
        <w:t> </w:t>
      </w:r>
      <w:r>
        <w:rPr>
          <w:sz w:val="18"/>
          <w:vertAlign w:val="baseline"/>
        </w:rPr>
        <w:t>knows</w:t>
      </w:r>
      <w:r>
        <w:rPr>
          <w:spacing w:val="-1"/>
          <w:sz w:val="18"/>
          <w:vertAlign w:val="baseline"/>
        </w:rPr>
        <w:t> </w:t>
      </w:r>
      <w:r>
        <w:rPr>
          <w:sz w:val="18"/>
          <w:vertAlign w:val="baseline"/>
        </w:rPr>
        <w:t>his fault: ‘I</w:t>
      </w:r>
      <w:r>
        <w:rPr>
          <w:spacing w:val="-1"/>
          <w:sz w:val="18"/>
          <w:vertAlign w:val="baseline"/>
        </w:rPr>
        <w:t> </w:t>
      </w:r>
      <w:r>
        <w:rPr>
          <w:sz w:val="18"/>
          <w:vertAlign w:val="baseline"/>
        </w:rPr>
        <w:t>have done ill / Of which I do accuse myself so sorely, / That I will joy no more’ (4.6.18).” “1931— G. Wilson Knight. “The Diadem of Love: An Essay on </w:t>
      </w:r>
      <w:r>
        <w:rPr>
          <w:i/>
          <w:sz w:val="18"/>
          <w:vertAlign w:val="baseline"/>
        </w:rPr>
        <w:t>Antony and Cleopatra,” </w:t>
      </w:r>
      <w:r>
        <w:rPr>
          <w:sz w:val="18"/>
          <w:vertAlign w:val="baseline"/>
        </w:rPr>
        <w:t>from </w:t>
      </w:r>
      <w:r>
        <w:rPr>
          <w:i/>
          <w:sz w:val="18"/>
          <w:vertAlign w:val="baseline"/>
        </w:rPr>
        <w:t>The Imperial Theme: Further Interpretations of Shakespeare’s Tragedies Incuding the Roman Plays,” </w:t>
      </w:r>
      <w:r>
        <w:rPr>
          <w:sz w:val="18"/>
          <w:vertAlign w:val="baseline"/>
        </w:rPr>
        <w:t>in </w:t>
      </w:r>
      <w:r>
        <w:rPr>
          <w:i/>
          <w:sz w:val="18"/>
          <w:vertAlign w:val="baseline"/>
        </w:rPr>
        <w:t>Harold Bloom’s Shakespeare Through the Ages: Antony and Cleopatra: Edited with an introduction by Harold Bloom, Volume Editor: Neil Heims </w:t>
      </w:r>
      <w:r>
        <w:rPr>
          <w:sz w:val="18"/>
          <w:vertAlign w:val="baseline"/>
        </w:rPr>
        <w:t>(New Delhi: Viva Books,</w:t>
      </w:r>
      <w:r>
        <w:rPr>
          <w:spacing w:val="40"/>
          <w:sz w:val="18"/>
          <w:vertAlign w:val="baseline"/>
        </w:rPr>
        <w:t> </w:t>
      </w:r>
      <w:r>
        <w:rPr>
          <w:sz w:val="18"/>
          <w:vertAlign w:val="baseline"/>
        </w:rPr>
        <w:t>2010),</w:t>
      </w:r>
      <w:r>
        <w:rPr>
          <w:spacing w:val="40"/>
          <w:sz w:val="18"/>
          <w:vertAlign w:val="baseline"/>
        </w:rPr>
        <w:t> </w:t>
      </w:r>
      <w:r>
        <w:rPr>
          <w:sz w:val="18"/>
          <w:vertAlign w:val="baseline"/>
        </w:rPr>
        <w:t>p.</w:t>
      </w:r>
      <w:r>
        <w:rPr>
          <w:spacing w:val="40"/>
          <w:sz w:val="18"/>
          <w:vertAlign w:val="baseline"/>
        </w:rPr>
        <w:t> </w:t>
      </w:r>
      <w:r>
        <w:rPr>
          <w:sz w:val="18"/>
          <w:vertAlign w:val="baseline"/>
        </w:rPr>
        <w:t>117.</w:t>
      </w:r>
    </w:p>
    <w:p>
      <w:pPr>
        <w:spacing w:after="0" w:line="208" w:lineRule="auto"/>
        <w:jc w:val="both"/>
        <w:rPr>
          <w:sz w:val="18"/>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19584">
                <wp:simplePos x="0" y="0"/>
                <wp:positionH relativeFrom="page">
                  <wp:posOffset>2057400</wp:posOffset>
                </wp:positionH>
                <wp:positionV relativeFrom="paragraph">
                  <wp:posOffset>162604</wp:posOffset>
                </wp:positionV>
                <wp:extent cx="3657600" cy="12700"/>
                <wp:effectExtent l="0" t="0" r="0" b="0"/>
                <wp:wrapTopAndBottom/>
                <wp:docPr id="158" name="Graphic 158"/>
                <wp:cNvGraphicFramePr>
                  <a:graphicFrameLocks/>
                </wp:cNvGraphicFramePr>
                <a:graphic>
                  <a:graphicData uri="http://schemas.microsoft.com/office/word/2010/wordprocessingShape">
                    <wps:wsp>
                      <wps:cNvPr id="158" name="Graphic 15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96896;mso-wrap-distance-left:0;mso-wrap-distance-right:0" id="docshape154" filled="true" fillcolor="#000000" stroked="false">
                <v:fill type="solid"/>
                <w10:wrap type="topAndBottom"/>
              </v:rect>
            </w:pict>
          </mc:Fallback>
        </mc:AlternateContent>
      </w:r>
      <w:r>
        <w:rPr>
          <w:rFonts w:ascii="Verdana"/>
          <w:spacing w:val="-5"/>
          <w:sz w:val="18"/>
        </w:rPr>
        <w:t>16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08" w:lineRule="auto" w:before="188"/>
        <w:ind w:right="1439" w:firstLine="432"/>
        <w:jc w:val="both"/>
      </w:pPr>
      <w:r>
        <w:rPr/>
        <w:t>Referring to his famous victory</w:t>
      </w:r>
      <w:r>
        <w:rPr>
          <w:spacing w:val="-2"/>
        </w:rPr>
        <w:t> </w:t>
      </w:r>
      <w:r>
        <w:rPr/>
        <w:t>at the Battle of Philippi (42 BCE) against Brutus and Cassius, where Caesar fought like a mere novice compared</w:t>
      </w:r>
      <w:r>
        <w:rPr>
          <w:spacing w:val="-7"/>
        </w:rPr>
        <w:t> </w:t>
      </w:r>
      <w:r>
        <w:rPr/>
        <w:t>to</w:t>
      </w:r>
      <w:r>
        <w:rPr>
          <w:spacing w:val="-8"/>
        </w:rPr>
        <w:t> </w:t>
      </w:r>
      <w:r>
        <w:rPr/>
        <w:t>his</w:t>
      </w:r>
      <w:r>
        <w:rPr>
          <w:spacing w:val="-8"/>
        </w:rPr>
        <w:t> </w:t>
      </w:r>
      <w:r>
        <w:rPr/>
        <w:t>superior</w:t>
      </w:r>
      <w:r>
        <w:rPr>
          <w:spacing w:val="-8"/>
        </w:rPr>
        <w:t> </w:t>
      </w:r>
      <w:r>
        <w:rPr/>
        <w:t>military</w:t>
      </w:r>
      <w:r>
        <w:rPr>
          <w:spacing w:val="-13"/>
        </w:rPr>
        <w:t> </w:t>
      </w:r>
      <w:r>
        <w:rPr/>
        <w:t>skills</w:t>
      </w:r>
      <w:r>
        <w:rPr>
          <w:spacing w:val="-8"/>
        </w:rPr>
        <w:t> </w:t>
      </w:r>
      <w:r>
        <w:rPr/>
        <w:t>(“He</w:t>
      </w:r>
      <w:r>
        <w:rPr>
          <w:spacing w:val="-8"/>
        </w:rPr>
        <w:t> </w:t>
      </w:r>
      <w:r>
        <w:rPr/>
        <w:t>at</w:t>
      </w:r>
      <w:r>
        <w:rPr>
          <w:spacing w:val="-11"/>
        </w:rPr>
        <w:t> </w:t>
      </w:r>
      <w:r>
        <w:rPr/>
        <w:t>Philippi</w:t>
      </w:r>
      <w:r>
        <w:rPr>
          <w:spacing w:val="-8"/>
        </w:rPr>
        <w:t> </w:t>
      </w:r>
      <w:r>
        <w:rPr/>
        <w:t>kept</w:t>
      </w:r>
      <w:r>
        <w:rPr>
          <w:spacing w:val="-8"/>
        </w:rPr>
        <w:t> </w:t>
      </w:r>
      <w:r>
        <w:rPr/>
        <w:t>/</w:t>
      </w:r>
      <w:r>
        <w:rPr>
          <w:spacing w:val="-10"/>
        </w:rPr>
        <w:t> </w:t>
      </w:r>
      <w:r>
        <w:rPr/>
        <w:t>His</w:t>
      </w:r>
      <w:r>
        <w:rPr>
          <w:spacing w:val="-8"/>
        </w:rPr>
        <w:t> </w:t>
      </w:r>
      <w:r>
        <w:rPr/>
        <w:t>sword e’en like a dancer” (3.11.35-36), Antony again does the mistake of glorifying</w:t>
      </w:r>
      <w:r>
        <w:rPr>
          <w:spacing w:val="15"/>
        </w:rPr>
        <w:t> </w:t>
      </w:r>
      <w:r>
        <w:rPr/>
        <w:t>a</w:t>
      </w:r>
      <w:r>
        <w:rPr>
          <w:spacing w:val="19"/>
        </w:rPr>
        <w:t> </w:t>
      </w:r>
      <w:r>
        <w:rPr/>
        <w:t>past</w:t>
      </w:r>
      <w:r>
        <w:rPr>
          <w:spacing w:val="16"/>
        </w:rPr>
        <w:t> </w:t>
      </w:r>
      <w:r>
        <w:rPr/>
        <w:t>event,</w:t>
      </w:r>
      <w:r>
        <w:rPr>
          <w:spacing w:val="19"/>
        </w:rPr>
        <w:t> </w:t>
      </w:r>
      <w:r>
        <w:rPr/>
        <w:t>which</w:t>
      </w:r>
      <w:r>
        <w:rPr>
          <w:spacing w:val="15"/>
        </w:rPr>
        <w:t> </w:t>
      </w:r>
      <w:r>
        <w:rPr/>
        <w:t>we</w:t>
      </w:r>
      <w:r>
        <w:rPr>
          <w:spacing w:val="18"/>
        </w:rPr>
        <w:t> </w:t>
      </w:r>
      <w:r>
        <w:rPr/>
        <w:t>have</w:t>
      </w:r>
      <w:r>
        <w:rPr>
          <w:spacing w:val="16"/>
        </w:rPr>
        <w:t> </w:t>
      </w:r>
      <w:r>
        <w:rPr/>
        <w:t>been</w:t>
      </w:r>
      <w:r>
        <w:rPr>
          <w:spacing w:val="17"/>
        </w:rPr>
        <w:t> </w:t>
      </w:r>
      <w:r>
        <w:rPr/>
        <w:t>saying</w:t>
      </w:r>
      <w:r>
        <w:rPr>
          <w:spacing w:val="14"/>
        </w:rPr>
        <w:t> </w:t>
      </w:r>
      <w:r>
        <w:rPr/>
        <w:t>as</w:t>
      </w:r>
      <w:r>
        <w:rPr>
          <w:spacing w:val="17"/>
        </w:rPr>
        <w:t> </w:t>
      </w:r>
      <w:r>
        <w:rPr/>
        <w:t>having</w:t>
      </w:r>
      <w:r>
        <w:rPr>
          <w:spacing w:val="15"/>
        </w:rPr>
        <w:t> </w:t>
      </w:r>
      <w:r>
        <w:rPr/>
        <w:t>formed a pattern of this play. Antony not only denies the universal fact that today’s</w:t>
      </w:r>
      <w:r>
        <w:rPr>
          <w:spacing w:val="-12"/>
        </w:rPr>
        <w:t> </w:t>
      </w:r>
      <w:r>
        <w:rPr/>
        <w:t>inexperienced</w:t>
      </w:r>
      <w:r>
        <w:rPr>
          <w:spacing w:val="-11"/>
        </w:rPr>
        <w:t> </w:t>
      </w:r>
      <w:r>
        <w:rPr/>
        <w:t>soldier</w:t>
      </w:r>
      <w:r>
        <w:rPr>
          <w:spacing w:val="-8"/>
        </w:rPr>
        <w:t> </w:t>
      </w:r>
      <w:r>
        <w:rPr/>
        <w:t>will</w:t>
      </w:r>
      <w:r>
        <w:rPr>
          <w:spacing w:val="-10"/>
        </w:rPr>
        <w:t> </w:t>
      </w:r>
      <w:r>
        <w:rPr/>
        <w:t>one</w:t>
      </w:r>
      <w:r>
        <w:rPr>
          <w:spacing w:val="-9"/>
        </w:rPr>
        <w:t> </w:t>
      </w:r>
      <w:r>
        <w:rPr/>
        <w:t>day</w:t>
      </w:r>
      <w:r>
        <w:rPr>
          <w:spacing w:val="-13"/>
        </w:rPr>
        <w:t> </w:t>
      </w:r>
      <w:r>
        <w:rPr/>
        <w:t>grow</w:t>
      </w:r>
      <w:r>
        <w:rPr>
          <w:spacing w:val="-12"/>
        </w:rPr>
        <w:t> </w:t>
      </w:r>
      <w:r>
        <w:rPr/>
        <w:t>into</w:t>
      </w:r>
      <w:r>
        <w:rPr>
          <w:spacing w:val="-8"/>
        </w:rPr>
        <w:t> </w:t>
      </w:r>
      <w:r>
        <w:rPr/>
        <w:t>an</w:t>
      </w:r>
      <w:r>
        <w:rPr>
          <w:spacing w:val="-11"/>
        </w:rPr>
        <w:t> </w:t>
      </w:r>
      <w:r>
        <w:rPr/>
        <w:t>able</w:t>
      </w:r>
      <w:r>
        <w:rPr>
          <w:spacing w:val="-11"/>
        </w:rPr>
        <w:t> </w:t>
      </w:r>
      <w:r>
        <w:rPr/>
        <w:t>general,</w:t>
      </w:r>
      <w:r>
        <w:rPr>
          <w:spacing w:val="-10"/>
        </w:rPr>
        <w:t> </w:t>
      </w:r>
      <w:r>
        <w:rPr/>
        <w:t>but also makes the mistake (as Enobarbus says, “Antony . . . that would make his will / Lord of his reason” (3.13.3-4)) of throwing a challenge to Caesar to fight a duel with him, which Enobarbus rightly punctures as politically imbecilic: “Yes, like enough high-battled Caesar will / Unstate his happiness, and be staged to th’ show / Against a sworder” because</w:t>
      </w:r>
      <w:r>
        <w:rPr>
          <w:spacing w:val="-13"/>
        </w:rPr>
        <w:t> </w:t>
      </w:r>
      <w:r>
        <w:rPr/>
        <w:t>“men’s</w:t>
      </w:r>
      <w:r>
        <w:rPr>
          <w:spacing w:val="-10"/>
        </w:rPr>
        <w:t> </w:t>
      </w:r>
      <w:r>
        <w:rPr/>
        <w:t>judgments</w:t>
      </w:r>
      <w:r>
        <w:rPr>
          <w:spacing w:val="-8"/>
        </w:rPr>
        <w:t> </w:t>
      </w:r>
      <w:r>
        <w:rPr/>
        <w:t>are</w:t>
      </w:r>
      <w:r>
        <w:rPr>
          <w:spacing w:val="-7"/>
        </w:rPr>
        <w:t> </w:t>
      </w:r>
      <w:r>
        <w:rPr/>
        <w:t>/</w:t>
      </w:r>
      <w:r>
        <w:rPr>
          <w:spacing w:val="-12"/>
        </w:rPr>
        <w:t> </w:t>
      </w:r>
      <w:r>
        <w:rPr/>
        <w:t>A</w:t>
      </w:r>
      <w:r>
        <w:rPr>
          <w:spacing w:val="-13"/>
        </w:rPr>
        <w:t> </w:t>
      </w:r>
      <w:r>
        <w:rPr/>
        <w:t>parcel</w:t>
      </w:r>
      <w:r>
        <w:rPr>
          <w:spacing w:val="-8"/>
        </w:rPr>
        <w:t> </w:t>
      </w:r>
      <w:r>
        <w:rPr/>
        <w:t>of</w:t>
      </w:r>
      <w:r>
        <w:rPr>
          <w:spacing w:val="-6"/>
        </w:rPr>
        <w:t> </w:t>
      </w:r>
      <w:r>
        <w:rPr/>
        <w:t>their</w:t>
      </w:r>
      <w:r>
        <w:rPr>
          <w:spacing w:val="-7"/>
        </w:rPr>
        <w:t> </w:t>
      </w:r>
      <w:r>
        <w:rPr/>
        <w:t>fortunes”</w:t>
      </w:r>
      <w:r>
        <w:rPr>
          <w:spacing w:val="-3"/>
        </w:rPr>
        <w:t> </w:t>
      </w:r>
      <w:r>
        <w:rPr/>
        <w:t>(3.13.29-</w:t>
      </w:r>
      <w:r>
        <w:rPr>
          <w:spacing w:val="-4"/>
        </w:rPr>
        <w:t>32).</w:t>
      </w:r>
    </w:p>
    <w:p>
      <w:pPr>
        <w:pStyle w:val="BodyText"/>
        <w:spacing w:line="211" w:lineRule="auto" w:before="54"/>
        <w:ind w:right="1439" w:firstLine="432"/>
        <w:jc w:val="both"/>
      </w:pPr>
      <w:r>
        <w:rPr/>
        <w:t>Andrew Fichter’s comment falls in line with our argument of Antony’s</w:t>
      </w:r>
      <w:r>
        <w:rPr>
          <w:spacing w:val="40"/>
        </w:rPr>
        <w:t> </w:t>
      </w:r>
      <w:r>
        <w:rPr/>
        <w:t>failing</w:t>
      </w:r>
      <w:r>
        <w:rPr>
          <w:spacing w:val="40"/>
        </w:rPr>
        <w:t> </w:t>
      </w:r>
      <w:r>
        <w:rPr/>
        <w:t>in</w:t>
      </w:r>
      <w:r>
        <w:rPr>
          <w:spacing w:val="40"/>
        </w:rPr>
        <w:t> </w:t>
      </w:r>
      <w:r>
        <w:rPr/>
        <w:t>commonsense:</w:t>
      </w:r>
    </w:p>
    <w:p>
      <w:pPr>
        <w:pStyle w:val="BodyText"/>
        <w:spacing w:line="208" w:lineRule="auto" w:before="55"/>
        <w:ind w:right="1436" w:firstLine="432"/>
        <w:jc w:val="both"/>
      </w:pPr>
      <w:r>
        <w:rPr/>
        <w:t>Antony’s actions are in form if not in substance the material of </w:t>
      </w:r>
      <w:r>
        <w:rPr>
          <w:spacing w:val="-2"/>
        </w:rPr>
        <w:t>comedy—he</w:t>
      </w:r>
      <w:r>
        <w:rPr>
          <w:spacing w:val="-7"/>
        </w:rPr>
        <w:t> </w:t>
      </w:r>
      <w:r>
        <w:rPr>
          <w:spacing w:val="-2"/>
        </w:rPr>
        <w:t>flies</w:t>
      </w:r>
      <w:r>
        <w:rPr>
          <w:spacing w:val="-6"/>
        </w:rPr>
        <w:t> </w:t>
      </w:r>
      <w:r>
        <w:rPr>
          <w:spacing w:val="-2"/>
        </w:rPr>
        <w:t>into</w:t>
      </w:r>
      <w:r>
        <w:rPr>
          <w:spacing w:val="-6"/>
        </w:rPr>
        <w:t> </w:t>
      </w:r>
      <w:r>
        <w:rPr>
          <w:spacing w:val="-2"/>
        </w:rPr>
        <w:t>a</w:t>
      </w:r>
      <w:r>
        <w:rPr>
          <w:spacing w:val="-5"/>
        </w:rPr>
        <w:t> </w:t>
      </w:r>
      <w:r>
        <w:rPr>
          <w:spacing w:val="-2"/>
        </w:rPr>
        <w:t>jealous</w:t>
      </w:r>
      <w:r>
        <w:rPr>
          <w:spacing w:val="-9"/>
        </w:rPr>
        <w:t> </w:t>
      </w:r>
      <w:r>
        <w:rPr>
          <w:spacing w:val="-2"/>
        </w:rPr>
        <w:t>rage</w:t>
      </w:r>
      <w:r>
        <w:rPr>
          <w:spacing w:val="-5"/>
        </w:rPr>
        <w:t> </w:t>
      </w:r>
      <w:r>
        <w:rPr>
          <w:spacing w:val="-2"/>
        </w:rPr>
        <w:t>at</w:t>
      </w:r>
      <w:r>
        <w:rPr>
          <w:spacing w:val="-9"/>
        </w:rPr>
        <w:t> </w:t>
      </w:r>
      <w:r>
        <w:rPr>
          <w:spacing w:val="-2"/>
        </w:rPr>
        <w:t>seeing</w:t>
      </w:r>
      <w:r>
        <w:rPr>
          <w:spacing w:val="-6"/>
        </w:rPr>
        <w:t> </w:t>
      </w:r>
      <w:r>
        <w:rPr>
          <w:spacing w:val="-2"/>
        </w:rPr>
        <w:t>a</w:t>
      </w:r>
      <w:r>
        <w:rPr>
          <w:spacing w:val="-6"/>
        </w:rPr>
        <w:t> </w:t>
      </w:r>
      <w:r>
        <w:rPr>
          <w:spacing w:val="-2"/>
        </w:rPr>
        <w:t>messenger</w:t>
      </w:r>
      <w:r>
        <w:rPr>
          <w:spacing w:val="-4"/>
        </w:rPr>
        <w:t> </w:t>
      </w:r>
      <w:r>
        <w:rPr>
          <w:spacing w:val="-2"/>
        </w:rPr>
        <w:t>from</w:t>
      </w:r>
      <w:r>
        <w:rPr>
          <w:spacing w:val="-11"/>
        </w:rPr>
        <w:t> </w:t>
      </w:r>
      <w:r>
        <w:rPr>
          <w:spacing w:val="-2"/>
        </w:rPr>
        <w:t>Octavius </w:t>
      </w:r>
      <w:r>
        <w:rPr/>
        <w:t>kiss Cleopatra’s hand, ironically mistaking Cleopatar’s gesture of compliance</w:t>
      </w:r>
      <w:r>
        <w:rPr>
          <w:spacing w:val="-13"/>
        </w:rPr>
        <w:t> </w:t>
      </w:r>
      <w:r>
        <w:rPr/>
        <w:t>with</w:t>
      </w:r>
      <w:r>
        <w:rPr>
          <w:spacing w:val="-12"/>
        </w:rPr>
        <w:t> </w:t>
      </w:r>
      <w:r>
        <w:rPr/>
        <w:t>Octavius</w:t>
      </w:r>
      <w:r>
        <w:rPr>
          <w:spacing w:val="-13"/>
        </w:rPr>
        <w:t> </w:t>
      </w:r>
      <w:r>
        <w:rPr/>
        <w:t>(to</w:t>
      </w:r>
      <w:r>
        <w:rPr>
          <w:spacing w:val="-12"/>
        </w:rPr>
        <w:t> </w:t>
      </w:r>
      <w:r>
        <w:rPr/>
        <w:t>which</w:t>
      </w:r>
      <w:r>
        <w:rPr>
          <w:spacing w:val="-13"/>
        </w:rPr>
        <w:t> </w:t>
      </w:r>
      <w:r>
        <w:rPr/>
        <w:t>he</w:t>
      </w:r>
      <w:r>
        <w:rPr>
          <w:spacing w:val="-12"/>
        </w:rPr>
        <w:t> </w:t>
      </w:r>
      <w:r>
        <w:rPr/>
        <w:t>might</w:t>
      </w:r>
      <w:r>
        <w:rPr>
          <w:spacing w:val="-13"/>
        </w:rPr>
        <w:t> </w:t>
      </w:r>
      <w:r>
        <w:rPr/>
        <w:t>more</w:t>
      </w:r>
      <w:r>
        <w:rPr>
          <w:spacing w:val="-12"/>
        </w:rPr>
        <w:t> </w:t>
      </w:r>
      <w:r>
        <w:rPr/>
        <w:t>justifiably</w:t>
      </w:r>
      <w:r>
        <w:rPr>
          <w:spacing w:val="-13"/>
        </w:rPr>
        <w:t> </w:t>
      </w:r>
      <w:r>
        <w:rPr/>
        <w:t>object)</w:t>
      </w:r>
      <w:r>
        <w:rPr>
          <w:spacing w:val="-12"/>
        </w:rPr>
        <w:t> </w:t>
      </w:r>
      <w:r>
        <w:rPr/>
        <w:t>for flirtation with the messenger; he follows Cleopatra’s retreat from battle ‘like</w:t>
      </w:r>
      <w:r>
        <w:rPr>
          <w:spacing w:val="-3"/>
        </w:rPr>
        <w:t> </w:t>
      </w:r>
      <w:r>
        <w:rPr/>
        <w:t>a</w:t>
      </w:r>
      <w:r>
        <w:rPr>
          <w:spacing w:val="-7"/>
        </w:rPr>
        <w:t> </w:t>
      </w:r>
      <w:r>
        <w:rPr/>
        <w:t>doting</w:t>
      </w:r>
      <w:r>
        <w:rPr>
          <w:spacing w:val="-5"/>
        </w:rPr>
        <w:t> </w:t>
      </w:r>
      <w:r>
        <w:rPr/>
        <w:t>mallard’,</w:t>
      </w:r>
      <w:r>
        <w:rPr>
          <w:spacing w:val="-5"/>
        </w:rPr>
        <w:t> </w:t>
      </w:r>
      <w:r>
        <w:rPr/>
        <w:t>then</w:t>
      </w:r>
      <w:r>
        <w:rPr>
          <w:spacing w:val="-7"/>
        </w:rPr>
        <w:t> </w:t>
      </w:r>
      <w:r>
        <w:rPr/>
        <w:t>vacillates</w:t>
      </w:r>
      <w:r>
        <w:rPr>
          <w:spacing w:val="-5"/>
        </w:rPr>
        <w:t> </w:t>
      </w:r>
      <w:r>
        <w:rPr/>
        <w:t>between</w:t>
      </w:r>
      <w:r>
        <w:rPr>
          <w:spacing w:val="-5"/>
        </w:rPr>
        <w:t> </w:t>
      </w:r>
      <w:r>
        <w:rPr/>
        <w:t>self-pity</w:t>
      </w:r>
      <w:r>
        <w:rPr>
          <w:spacing w:val="-7"/>
        </w:rPr>
        <w:t> </w:t>
      </w:r>
      <w:r>
        <w:rPr/>
        <w:t>and</w:t>
      </w:r>
      <w:r>
        <w:rPr>
          <w:spacing w:val="-5"/>
        </w:rPr>
        <w:t> </w:t>
      </w:r>
      <w:r>
        <w:rPr/>
        <w:t>heroic</w:t>
      </w:r>
      <w:r>
        <w:rPr>
          <w:spacing w:val="-5"/>
        </w:rPr>
        <w:t> </w:t>
      </w:r>
      <w:r>
        <w:rPr/>
        <w:t>rant. He becomes, as</w:t>
      </w:r>
      <w:r>
        <w:rPr>
          <w:spacing w:val="-11"/>
        </w:rPr>
        <w:t> </w:t>
      </w:r>
      <w:r>
        <w:rPr/>
        <w:t>Adelman has</w:t>
      </w:r>
      <w:r>
        <w:rPr>
          <w:spacing w:val="-2"/>
        </w:rPr>
        <w:t> </w:t>
      </w:r>
      <w:r>
        <w:rPr/>
        <w:t>observed, the comic, effeminate Hercules of the Omphale myth rather than the ‘Herculean Roman’ of heroic </w:t>
      </w:r>
      <w:r>
        <w:rPr>
          <w:spacing w:val="-2"/>
        </w:rPr>
        <w:t>tradition:</w:t>
      </w:r>
      <w:r>
        <w:rPr>
          <w:spacing w:val="-5"/>
        </w:rPr>
        <w:t> </w:t>
      </w:r>
      <w:r>
        <w:rPr>
          <w:spacing w:val="-2"/>
        </w:rPr>
        <w:t>“So</w:t>
      </w:r>
      <w:r>
        <w:rPr>
          <w:spacing w:val="-4"/>
        </w:rPr>
        <w:t> </w:t>
      </w:r>
      <w:r>
        <w:rPr>
          <w:spacing w:val="-2"/>
        </w:rPr>
        <w:t>our</w:t>
      </w:r>
      <w:r>
        <w:rPr/>
        <w:t> </w:t>
      </w:r>
      <w:r>
        <w:rPr>
          <w:spacing w:val="-2"/>
        </w:rPr>
        <w:t>leader’s</w:t>
      </w:r>
      <w:r>
        <w:rPr>
          <w:spacing w:val="-6"/>
        </w:rPr>
        <w:t> </w:t>
      </w:r>
      <w:r>
        <w:rPr>
          <w:spacing w:val="-2"/>
        </w:rPr>
        <w:t>led,</w:t>
      </w:r>
      <w:r>
        <w:rPr>
          <w:spacing w:val="-5"/>
        </w:rPr>
        <w:t> </w:t>
      </w:r>
      <w:r>
        <w:rPr>
          <w:spacing w:val="-2"/>
        </w:rPr>
        <w:t>/</w:t>
      </w:r>
      <w:r>
        <w:rPr>
          <w:spacing w:val="-18"/>
        </w:rPr>
        <w:t> </w:t>
      </w:r>
      <w:r>
        <w:rPr>
          <w:spacing w:val="-2"/>
        </w:rPr>
        <w:t>And</w:t>
      </w:r>
      <w:r>
        <w:rPr>
          <w:spacing w:val="-4"/>
        </w:rPr>
        <w:t> </w:t>
      </w:r>
      <w:r>
        <w:rPr>
          <w:spacing w:val="-2"/>
        </w:rPr>
        <w:t>we</w:t>
      </w:r>
      <w:r>
        <w:rPr>
          <w:spacing w:val="-5"/>
        </w:rPr>
        <w:t> </w:t>
      </w:r>
      <w:r>
        <w:rPr>
          <w:spacing w:val="-2"/>
        </w:rPr>
        <w:t>are women’s</w:t>
      </w:r>
      <w:r>
        <w:rPr>
          <w:spacing w:val="-7"/>
        </w:rPr>
        <w:t> </w:t>
      </w:r>
      <w:r>
        <w:rPr>
          <w:spacing w:val="-2"/>
        </w:rPr>
        <w:t>men.”</w:t>
      </w:r>
      <w:r>
        <w:rPr>
          <w:spacing w:val="-4"/>
        </w:rPr>
        <w:t> </w:t>
      </w:r>
      <w:r>
        <w:rPr>
          <w:spacing w:val="-2"/>
        </w:rPr>
        <w:t>(3.7.69-70)</w:t>
      </w:r>
      <w:r>
        <w:rPr>
          <w:spacing w:val="-2"/>
          <w:vertAlign w:val="superscript"/>
        </w:rPr>
        <w:t>22</w:t>
      </w:r>
    </w:p>
    <w:p>
      <w:pPr>
        <w:pStyle w:val="BodyText"/>
        <w:spacing w:line="208" w:lineRule="auto" w:before="59"/>
        <w:ind w:right="1439" w:firstLine="432"/>
        <w:jc w:val="both"/>
      </w:pPr>
      <w:r>
        <w:rPr/>
        <w:t>Edward Dowden made an effective comment on</w:t>
      </w:r>
      <w:r>
        <w:rPr>
          <w:spacing w:val="-1"/>
        </w:rPr>
        <w:t> </w:t>
      </w:r>
      <w:r>
        <w:rPr/>
        <w:t>Antony’s falling fortune a long time ago</w:t>
      </w:r>
      <w:r>
        <w:rPr>
          <w:spacing w:val="39"/>
        </w:rPr>
        <w:t> </w:t>
      </w:r>
      <w:r>
        <w:rPr/>
        <w:t>(1875), which we</w:t>
      </w:r>
      <w:r>
        <w:rPr>
          <w:spacing w:val="38"/>
        </w:rPr>
        <w:t> </w:t>
      </w:r>
      <w:r>
        <w:rPr/>
        <w:t>cannot resist quoting:</w:t>
      </w:r>
    </w:p>
    <w:p>
      <w:pPr>
        <w:spacing w:line="208" w:lineRule="auto" w:before="56"/>
        <w:ind w:left="2160" w:right="2158" w:firstLine="0"/>
        <w:jc w:val="both"/>
        <w:rPr>
          <w:i/>
          <w:sz w:val="20"/>
        </w:rPr>
      </w:pPr>
      <w:r>
        <w:rPr>
          <w:i/>
          <w:sz w:val="20"/>
        </w:rPr>
        <w:t>The pathos of </w:t>
      </w:r>
      <w:r>
        <w:rPr>
          <w:sz w:val="20"/>
        </w:rPr>
        <w:t>Antony and Cleopatra </w:t>
      </w:r>
      <w:r>
        <w:rPr>
          <w:i/>
          <w:sz w:val="20"/>
        </w:rPr>
        <w:t>resembles the pathos of </w:t>
      </w:r>
      <w:r>
        <w:rPr>
          <w:sz w:val="20"/>
        </w:rPr>
        <w:t>Macbeth. </w:t>
      </w:r>
      <w:r>
        <w:rPr>
          <w:i/>
          <w:sz w:val="20"/>
        </w:rPr>
        <w:t>But Shakespeare like Dante allows the soul of the perjurer and murderer to drop into a lower, blacker, and more lonely circle of Hell than the soul of the man who has sinned through voluptuous self-indulgence. Yet none the less Antony is daily dropping away farther</w:t>
      </w:r>
      <w:r>
        <w:rPr>
          <w:i/>
          <w:spacing w:val="-1"/>
          <w:sz w:val="20"/>
        </w:rPr>
        <w:t> </w:t>
      </w:r>
      <w:r>
        <w:rPr>
          <w:i/>
          <w:sz w:val="20"/>
        </w:rPr>
        <w:t>from all that is sound, strong, and enduring. His judgment wanes with his fortune. He challenges to a combat with swords his clear-sighted and unimpassioned rival into whose hands the empire of the world is about to fall. He abandons</w:t>
      </w:r>
      <w:r>
        <w:rPr>
          <w:i/>
          <w:spacing w:val="40"/>
          <w:sz w:val="20"/>
        </w:rPr>
        <w:t> </w:t>
      </w:r>
      <w:r>
        <w:rPr>
          <w:i/>
          <w:sz w:val="20"/>
        </w:rPr>
        <w:t>himself</w:t>
      </w:r>
      <w:r>
        <w:rPr>
          <w:i/>
          <w:spacing w:val="40"/>
          <w:sz w:val="20"/>
        </w:rPr>
        <w:t> </w:t>
      </w:r>
      <w:r>
        <w:rPr>
          <w:i/>
          <w:sz w:val="20"/>
        </w:rPr>
        <w:t>to</w:t>
      </w:r>
      <w:r>
        <w:rPr>
          <w:i/>
          <w:spacing w:val="40"/>
          <w:sz w:val="20"/>
        </w:rPr>
        <w:t> </w:t>
      </w:r>
      <w:r>
        <w:rPr>
          <w:i/>
          <w:sz w:val="20"/>
        </w:rPr>
        <w:t>senseless</w:t>
      </w:r>
      <w:r>
        <w:rPr>
          <w:i/>
          <w:spacing w:val="40"/>
          <w:sz w:val="20"/>
        </w:rPr>
        <w:t> </w:t>
      </w:r>
      <w:r>
        <w:rPr>
          <w:i/>
          <w:sz w:val="20"/>
        </w:rPr>
        <w:t>exasperation</w:t>
      </w:r>
      <w:r>
        <w:rPr>
          <w:i/>
          <w:spacing w:val="80"/>
          <w:sz w:val="20"/>
        </w:rPr>
        <w:t> </w:t>
      </w:r>
      <w:r>
        <w:rPr>
          <w:i/>
          <w:sz w:val="20"/>
          <w:vertAlign w:val="superscript"/>
        </w:rPr>
        <w:t>23</w:t>
      </w:r>
    </w:p>
    <w:p>
      <w:pPr>
        <w:pStyle w:val="BodyText"/>
        <w:ind w:left="0"/>
        <w:rPr>
          <w:i/>
        </w:rPr>
      </w:pPr>
    </w:p>
    <w:p>
      <w:pPr>
        <w:pStyle w:val="BodyText"/>
        <w:spacing w:before="136"/>
        <w:ind w:left="0"/>
        <w:rPr>
          <w:i/>
        </w:rPr>
      </w:pPr>
      <w:r>
        <w:rPr>
          <w:i/>
        </w:rPr>
        <mc:AlternateContent>
          <mc:Choice Requires="wps">
            <w:drawing>
              <wp:anchor distT="0" distB="0" distL="0" distR="0" allowOverlap="1" layoutInCell="1" locked="0" behindDoc="1" simplePos="0" relativeHeight="487620096">
                <wp:simplePos x="0" y="0"/>
                <wp:positionH relativeFrom="page">
                  <wp:posOffset>2057400</wp:posOffset>
                </wp:positionH>
                <wp:positionV relativeFrom="paragraph">
                  <wp:posOffset>247818</wp:posOffset>
                </wp:positionV>
                <wp:extent cx="3657600" cy="12700"/>
                <wp:effectExtent l="0" t="0" r="0" b="0"/>
                <wp:wrapTopAndBottom/>
                <wp:docPr id="159" name="Graphic 159"/>
                <wp:cNvGraphicFramePr>
                  <a:graphicFrameLocks/>
                </wp:cNvGraphicFramePr>
                <a:graphic>
                  <a:graphicData uri="http://schemas.microsoft.com/office/word/2010/wordprocessingShape">
                    <wps:wsp>
                      <wps:cNvPr id="159" name="Graphic 15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9.513306pt;width:288.000009pt;height:.959976pt;mso-position-horizontal-relative:page;mso-position-vertical-relative:paragraph;z-index:-15696384;mso-wrap-distance-left:0;mso-wrap-distance-right:0" id="docshape155" filled="true" fillcolor="#000000" stroked="false">
                <v:fill type="solid"/>
                <w10:wrap type="topAndBottom"/>
              </v:rect>
            </w:pict>
          </mc:Fallback>
        </mc:AlternateContent>
      </w:r>
    </w:p>
    <w:p>
      <w:pPr>
        <w:spacing w:line="208" w:lineRule="auto" w:before="137"/>
        <w:ind w:left="1440" w:right="1442" w:firstLine="0"/>
        <w:jc w:val="both"/>
        <w:rPr>
          <w:sz w:val="18"/>
        </w:rPr>
      </w:pPr>
      <w:r>
        <w:rPr>
          <w:sz w:val="18"/>
          <w:vertAlign w:val="superscript"/>
        </w:rPr>
        <w:t>22</w:t>
      </w:r>
      <w:r>
        <w:rPr>
          <w:sz w:val="18"/>
          <w:vertAlign w:val="baseline"/>
        </w:rPr>
        <w:t> Andrew</w:t>
      </w:r>
      <w:r>
        <w:rPr>
          <w:spacing w:val="20"/>
          <w:sz w:val="18"/>
          <w:vertAlign w:val="baseline"/>
        </w:rPr>
        <w:t> </w:t>
      </w:r>
      <w:r>
        <w:rPr>
          <w:sz w:val="18"/>
          <w:vertAlign w:val="baseline"/>
        </w:rPr>
        <w:t>Fichter,</w:t>
      </w:r>
      <w:r>
        <w:rPr>
          <w:spacing w:val="22"/>
          <w:sz w:val="18"/>
          <w:vertAlign w:val="baseline"/>
        </w:rPr>
        <w:t> </w:t>
      </w:r>
      <w:r>
        <w:rPr>
          <w:sz w:val="18"/>
          <w:vertAlign w:val="baseline"/>
        </w:rPr>
        <w:t>“’Antony</w:t>
      </w:r>
      <w:r>
        <w:rPr>
          <w:spacing w:val="19"/>
          <w:sz w:val="18"/>
          <w:vertAlign w:val="baseline"/>
        </w:rPr>
        <w:t> </w:t>
      </w:r>
      <w:r>
        <w:rPr>
          <w:sz w:val="18"/>
          <w:vertAlign w:val="baseline"/>
        </w:rPr>
        <w:t>and</w:t>
      </w:r>
      <w:r>
        <w:rPr>
          <w:spacing w:val="20"/>
          <w:sz w:val="18"/>
          <w:vertAlign w:val="baseline"/>
        </w:rPr>
        <w:t> </w:t>
      </w:r>
      <w:r>
        <w:rPr>
          <w:sz w:val="18"/>
          <w:vertAlign w:val="baseline"/>
        </w:rPr>
        <w:t>Cleopatra’:</w:t>
      </w:r>
      <w:r>
        <w:rPr>
          <w:spacing w:val="22"/>
          <w:sz w:val="18"/>
          <w:vertAlign w:val="baseline"/>
        </w:rPr>
        <w:t> </w:t>
      </w:r>
      <w:r>
        <w:rPr>
          <w:sz w:val="18"/>
          <w:vertAlign w:val="baseline"/>
        </w:rPr>
        <w:t>‘The</w:t>
      </w:r>
      <w:r>
        <w:rPr>
          <w:spacing w:val="19"/>
          <w:sz w:val="18"/>
          <w:vertAlign w:val="baseline"/>
        </w:rPr>
        <w:t> </w:t>
      </w:r>
      <w:r>
        <w:rPr>
          <w:sz w:val="18"/>
          <w:vertAlign w:val="baseline"/>
        </w:rPr>
        <w:t>time</w:t>
      </w:r>
      <w:r>
        <w:rPr>
          <w:spacing w:val="22"/>
          <w:sz w:val="18"/>
          <w:vertAlign w:val="baseline"/>
        </w:rPr>
        <w:t> </w:t>
      </w:r>
      <w:r>
        <w:rPr>
          <w:sz w:val="18"/>
          <w:vertAlign w:val="baseline"/>
        </w:rPr>
        <w:t>of universal</w:t>
      </w:r>
      <w:r>
        <w:rPr>
          <w:spacing w:val="22"/>
          <w:sz w:val="18"/>
          <w:vertAlign w:val="baseline"/>
        </w:rPr>
        <w:t> </w:t>
      </w:r>
      <w:r>
        <w:rPr>
          <w:sz w:val="18"/>
          <w:vertAlign w:val="baseline"/>
        </w:rPr>
        <w:t>peace’,” in</w:t>
      </w:r>
      <w:r>
        <w:rPr>
          <w:spacing w:val="40"/>
          <w:sz w:val="18"/>
          <w:vertAlign w:val="baseline"/>
        </w:rPr>
        <w:t> </w:t>
      </w:r>
      <w:r>
        <w:rPr>
          <w:i/>
          <w:sz w:val="18"/>
          <w:vertAlign w:val="baseline"/>
        </w:rPr>
        <w:t>Shakespeare</w:t>
      </w:r>
      <w:r>
        <w:rPr>
          <w:i/>
          <w:spacing w:val="40"/>
          <w:sz w:val="18"/>
          <w:vertAlign w:val="baseline"/>
        </w:rPr>
        <w:t> </w:t>
      </w:r>
      <w:r>
        <w:rPr>
          <w:i/>
          <w:sz w:val="18"/>
          <w:vertAlign w:val="baseline"/>
        </w:rPr>
        <w:t>Survey,</w:t>
      </w:r>
      <w:r>
        <w:rPr>
          <w:i/>
          <w:spacing w:val="40"/>
          <w:sz w:val="18"/>
          <w:vertAlign w:val="baseline"/>
        </w:rPr>
        <w:t> </w:t>
      </w:r>
      <w:r>
        <w:rPr>
          <w:sz w:val="18"/>
          <w:vertAlign w:val="baseline"/>
        </w:rPr>
        <w:t>33</w:t>
      </w:r>
      <w:r>
        <w:rPr>
          <w:spacing w:val="40"/>
          <w:sz w:val="18"/>
          <w:vertAlign w:val="baseline"/>
        </w:rPr>
        <w:t> </w:t>
      </w:r>
      <w:r>
        <w:rPr>
          <w:sz w:val="18"/>
          <w:vertAlign w:val="baseline"/>
        </w:rPr>
        <w:t>(1980),</w:t>
      </w:r>
      <w:r>
        <w:rPr>
          <w:spacing w:val="40"/>
          <w:sz w:val="18"/>
          <w:vertAlign w:val="baseline"/>
        </w:rPr>
        <w:t> </w:t>
      </w:r>
      <w:r>
        <w:rPr>
          <w:sz w:val="18"/>
          <w:vertAlign w:val="baseline"/>
        </w:rPr>
        <w:t>p.</w:t>
      </w:r>
      <w:r>
        <w:rPr>
          <w:spacing w:val="40"/>
          <w:sz w:val="18"/>
          <w:vertAlign w:val="baseline"/>
        </w:rPr>
        <w:t> </w:t>
      </w:r>
      <w:r>
        <w:rPr>
          <w:sz w:val="18"/>
          <w:vertAlign w:val="baseline"/>
        </w:rPr>
        <w:t>104.</w:t>
      </w:r>
    </w:p>
    <w:p>
      <w:pPr>
        <w:spacing w:line="208" w:lineRule="auto" w:before="57"/>
        <w:ind w:left="1440" w:right="1434" w:firstLine="0"/>
        <w:jc w:val="both"/>
        <w:rPr>
          <w:sz w:val="18"/>
        </w:rPr>
      </w:pPr>
      <w:r>
        <w:rPr>
          <w:sz w:val="18"/>
          <w:vertAlign w:val="superscript"/>
        </w:rPr>
        <w:t>23</w:t>
      </w:r>
      <w:r>
        <w:rPr>
          <w:sz w:val="18"/>
          <w:vertAlign w:val="baseline"/>
        </w:rPr>
        <w:t> “1875 – Edward Dowden. From </w:t>
      </w:r>
      <w:r>
        <w:rPr>
          <w:i/>
          <w:sz w:val="18"/>
          <w:vertAlign w:val="baseline"/>
        </w:rPr>
        <w:t>Shakespeare: A Critical Study of His Mind </w:t>
      </w:r>
      <w:r>
        <w:rPr>
          <w:i/>
          <w:spacing w:val="-2"/>
          <w:sz w:val="18"/>
          <w:vertAlign w:val="baseline"/>
        </w:rPr>
        <w:t>and</w:t>
      </w:r>
      <w:r>
        <w:rPr>
          <w:i/>
          <w:spacing w:val="-10"/>
          <w:sz w:val="18"/>
          <w:vertAlign w:val="baseline"/>
        </w:rPr>
        <w:t> </w:t>
      </w:r>
      <w:r>
        <w:rPr>
          <w:i/>
          <w:spacing w:val="-2"/>
          <w:sz w:val="18"/>
          <w:vertAlign w:val="baseline"/>
        </w:rPr>
        <w:t>Art</w:t>
      </w:r>
      <w:r>
        <w:rPr>
          <w:i/>
          <w:spacing w:val="-9"/>
          <w:sz w:val="18"/>
          <w:vertAlign w:val="baseline"/>
        </w:rPr>
        <w:t> </w:t>
      </w:r>
      <w:r>
        <w:rPr>
          <w:spacing w:val="-2"/>
          <w:sz w:val="18"/>
          <w:vertAlign w:val="baseline"/>
        </w:rPr>
        <w:t>in</w:t>
      </w:r>
      <w:r>
        <w:rPr>
          <w:spacing w:val="-9"/>
          <w:sz w:val="18"/>
          <w:vertAlign w:val="baseline"/>
        </w:rPr>
        <w:t> </w:t>
      </w:r>
      <w:r>
        <w:rPr>
          <w:i/>
          <w:spacing w:val="-2"/>
          <w:sz w:val="18"/>
          <w:vertAlign w:val="baseline"/>
        </w:rPr>
        <w:t>Harold</w:t>
      </w:r>
      <w:r>
        <w:rPr>
          <w:i/>
          <w:spacing w:val="-9"/>
          <w:sz w:val="18"/>
          <w:vertAlign w:val="baseline"/>
        </w:rPr>
        <w:t> </w:t>
      </w:r>
      <w:r>
        <w:rPr>
          <w:i/>
          <w:spacing w:val="-2"/>
          <w:sz w:val="18"/>
          <w:vertAlign w:val="baseline"/>
        </w:rPr>
        <w:t>Bloom’s</w:t>
      </w:r>
      <w:r>
        <w:rPr>
          <w:i/>
          <w:spacing w:val="-10"/>
          <w:sz w:val="18"/>
          <w:vertAlign w:val="baseline"/>
        </w:rPr>
        <w:t> </w:t>
      </w:r>
      <w:r>
        <w:rPr>
          <w:i/>
          <w:spacing w:val="-2"/>
          <w:sz w:val="18"/>
          <w:vertAlign w:val="baseline"/>
        </w:rPr>
        <w:t>Shakespeare</w:t>
      </w:r>
      <w:r>
        <w:rPr>
          <w:i/>
          <w:spacing w:val="-9"/>
          <w:sz w:val="18"/>
          <w:vertAlign w:val="baseline"/>
        </w:rPr>
        <w:t> </w:t>
      </w:r>
      <w:r>
        <w:rPr>
          <w:i/>
          <w:spacing w:val="-2"/>
          <w:sz w:val="18"/>
          <w:vertAlign w:val="baseline"/>
        </w:rPr>
        <w:t>Through</w:t>
      </w:r>
      <w:r>
        <w:rPr>
          <w:i/>
          <w:spacing w:val="-9"/>
          <w:sz w:val="18"/>
          <w:vertAlign w:val="baseline"/>
        </w:rPr>
        <w:t> </w:t>
      </w:r>
      <w:r>
        <w:rPr>
          <w:i/>
          <w:spacing w:val="-2"/>
          <w:sz w:val="18"/>
          <w:vertAlign w:val="baseline"/>
        </w:rPr>
        <w:t>the</w:t>
      </w:r>
      <w:r>
        <w:rPr>
          <w:i/>
          <w:spacing w:val="-9"/>
          <w:sz w:val="18"/>
          <w:vertAlign w:val="baseline"/>
        </w:rPr>
        <w:t> </w:t>
      </w:r>
      <w:r>
        <w:rPr>
          <w:i/>
          <w:spacing w:val="-2"/>
          <w:sz w:val="18"/>
          <w:vertAlign w:val="baseline"/>
        </w:rPr>
        <w:t>Ages:</w:t>
      </w:r>
      <w:r>
        <w:rPr>
          <w:i/>
          <w:spacing w:val="-10"/>
          <w:sz w:val="18"/>
          <w:vertAlign w:val="baseline"/>
        </w:rPr>
        <w:t> </w:t>
      </w:r>
      <w:r>
        <w:rPr>
          <w:i/>
          <w:spacing w:val="-2"/>
          <w:sz w:val="18"/>
          <w:vertAlign w:val="baseline"/>
        </w:rPr>
        <w:t>Antony</w:t>
      </w:r>
      <w:r>
        <w:rPr>
          <w:i/>
          <w:spacing w:val="-9"/>
          <w:sz w:val="18"/>
          <w:vertAlign w:val="baseline"/>
        </w:rPr>
        <w:t> </w:t>
      </w:r>
      <w:r>
        <w:rPr>
          <w:i/>
          <w:spacing w:val="-2"/>
          <w:sz w:val="18"/>
          <w:vertAlign w:val="baseline"/>
        </w:rPr>
        <w:t>and</w:t>
      </w:r>
      <w:r>
        <w:rPr>
          <w:i/>
          <w:spacing w:val="-9"/>
          <w:sz w:val="18"/>
          <w:vertAlign w:val="baseline"/>
        </w:rPr>
        <w:t> </w:t>
      </w:r>
      <w:r>
        <w:rPr>
          <w:i/>
          <w:spacing w:val="-2"/>
          <w:sz w:val="18"/>
          <w:vertAlign w:val="baseline"/>
        </w:rPr>
        <w:t>Cleopatra: </w:t>
      </w:r>
      <w:r>
        <w:rPr>
          <w:i/>
          <w:sz w:val="18"/>
          <w:vertAlign w:val="baseline"/>
        </w:rPr>
        <w:t>Edited</w:t>
      </w:r>
      <w:r>
        <w:rPr>
          <w:i/>
          <w:spacing w:val="-7"/>
          <w:sz w:val="18"/>
          <w:vertAlign w:val="baseline"/>
        </w:rPr>
        <w:t> </w:t>
      </w:r>
      <w:r>
        <w:rPr>
          <w:i/>
          <w:sz w:val="18"/>
          <w:vertAlign w:val="baseline"/>
        </w:rPr>
        <w:t>with</w:t>
      </w:r>
      <w:r>
        <w:rPr>
          <w:i/>
          <w:spacing w:val="-2"/>
          <w:sz w:val="18"/>
          <w:vertAlign w:val="baseline"/>
        </w:rPr>
        <w:t> </w:t>
      </w:r>
      <w:r>
        <w:rPr>
          <w:i/>
          <w:sz w:val="18"/>
          <w:vertAlign w:val="baseline"/>
        </w:rPr>
        <w:t>an</w:t>
      </w:r>
      <w:r>
        <w:rPr>
          <w:i/>
          <w:spacing w:val="-7"/>
          <w:sz w:val="18"/>
          <w:vertAlign w:val="baseline"/>
        </w:rPr>
        <w:t> </w:t>
      </w:r>
      <w:r>
        <w:rPr>
          <w:i/>
          <w:sz w:val="18"/>
          <w:vertAlign w:val="baseline"/>
        </w:rPr>
        <w:t>introduction</w:t>
      </w:r>
      <w:r>
        <w:rPr>
          <w:i/>
          <w:spacing w:val="-4"/>
          <w:sz w:val="18"/>
          <w:vertAlign w:val="baseline"/>
        </w:rPr>
        <w:t> </w:t>
      </w:r>
      <w:r>
        <w:rPr>
          <w:i/>
          <w:sz w:val="18"/>
          <w:vertAlign w:val="baseline"/>
        </w:rPr>
        <w:t>by</w:t>
      </w:r>
      <w:r>
        <w:rPr>
          <w:i/>
          <w:spacing w:val="-7"/>
          <w:sz w:val="18"/>
          <w:vertAlign w:val="baseline"/>
        </w:rPr>
        <w:t> </w:t>
      </w:r>
      <w:r>
        <w:rPr>
          <w:i/>
          <w:sz w:val="18"/>
          <w:vertAlign w:val="baseline"/>
        </w:rPr>
        <w:t>Harold</w:t>
      </w:r>
      <w:r>
        <w:rPr>
          <w:i/>
          <w:spacing w:val="-4"/>
          <w:sz w:val="18"/>
          <w:vertAlign w:val="baseline"/>
        </w:rPr>
        <w:t> </w:t>
      </w:r>
      <w:r>
        <w:rPr>
          <w:i/>
          <w:sz w:val="18"/>
          <w:vertAlign w:val="baseline"/>
        </w:rPr>
        <w:t>Bloom,</w:t>
      </w:r>
      <w:r>
        <w:rPr>
          <w:i/>
          <w:spacing w:val="-7"/>
          <w:sz w:val="18"/>
          <w:vertAlign w:val="baseline"/>
        </w:rPr>
        <w:t> </w:t>
      </w:r>
      <w:r>
        <w:rPr>
          <w:i/>
          <w:sz w:val="18"/>
          <w:vertAlign w:val="baseline"/>
        </w:rPr>
        <w:t>Volume</w:t>
      </w:r>
      <w:r>
        <w:rPr>
          <w:i/>
          <w:spacing w:val="-7"/>
          <w:sz w:val="18"/>
          <w:vertAlign w:val="baseline"/>
        </w:rPr>
        <w:t> </w:t>
      </w:r>
      <w:r>
        <w:rPr>
          <w:i/>
          <w:sz w:val="18"/>
          <w:vertAlign w:val="baseline"/>
        </w:rPr>
        <w:t>Editor:</w:t>
      </w:r>
      <w:r>
        <w:rPr>
          <w:i/>
          <w:spacing w:val="-7"/>
          <w:sz w:val="18"/>
          <w:vertAlign w:val="baseline"/>
        </w:rPr>
        <w:t> </w:t>
      </w:r>
      <w:r>
        <w:rPr>
          <w:i/>
          <w:sz w:val="18"/>
          <w:vertAlign w:val="baseline"/>
        </w:rPr>
        <w:t>Neil</w:t>
      </w:r>
      <w:r>
        <w:rPr>
          <w:i/>
          <w:spacing w:val="-6"/>
          <w:sz w:val="18"/>
          <w:vertAlign w:val="baseline"/>
        </w:rPr>
        <w:t> </w:t>
      </w:r>
      <w:r>
        <w:rPr>
          <w:i/>
          <w:sz w:val="18"/>
          <w:vertAlign w:val="baseline"/>
        </w:rPr>
        <w:t>Heims</w:t>
      </w:r>
      <w:r>
        <w:rPr>
          <w:i/>
          <w:spacing w:val="-3"/>
          <w:sz w:val="18"/>
          <w:vertAlign w:val="baseline"/>
        </w:rPr>
        <w:t> </w:t>
      </w:r>
      <w:r>
        <w:rPr>
          <w:sz w:val="18"/>
          <w:vertAlign w:val="baseline"/>
        </w:rPr>
        <w:t>(New Delhi: Viva Books,</w:t>
      </w:r>
      <w:r>
        <w:rPr>
          <w:spacing w:val="40"/>
          <w:sz w:val="18"/>
          <w:vertAlign w:val="baseline"/>
        </w:rPr>
        <w:t> </w:t>
      </w:r>
      <w:r>
        <w:rPr>
          <w:sz w:val="18"/>
          <w:vertAlign w:val="baseline"/>
        </w:rPr>
        <w:t>2010), p.72.</w:t>
      </w:r>
    </w:p>
    <w:p>
      <w:pPr>
        <w:spacing w:after="0" w:line="208" w:lineRule="auto"/>
        <w:jc w:val="both"/>
        <w:rPr>
          <w:sz w:val="18"/>
        </w:rPr>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20608">
                <wp:simplePos x="0" y="0"/>
                <wp:positionH relativeFrom="page">
                  <wp:posOffset>2065020</wp:posOffset>
                </wp:positionH>
                <wp:positionV relativeFrom="paragraph">
                  <wp:posOffset>795020</wp:posOffset>
                </wp:positionV>
                <wp:extent cx="3657600" cy="12700"/>
                <wp:effectExtent l="0" t="0" r="0" b="0"/>
                <wp:wrapTopAndBottom/>
                <wp:docPr id="160" name="Graphic 160"/>
                <wp:cNvGraphicFramePr>
                  <a:graphicFrameLocks/>
                </wp:cNvGraphicFramePr>
                <a:graphic>
                  <a:graphicData uri="http://schemas.microsoft.com/office/word/2010/wordprocessingShape">
                    <wps:wsp>
                      <wps:cNvPr id="160" name="Graphic 16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95872;mso-wrap-distance-left:0;mso-wrap-distance-right:0" id="docshape156" filled="true" fillcolor="#000000" stroked="false">
                <v:fill type="solid"/>
                <w10:wrap type="topAndBottom"/>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5"/>
          <w:sz w:val="18"/>
        </w:rPr>
        <w:t>17</w:t>
      </w:r>
    </w:p>
    <w:p>
      <w:pPr>
        <w:pStyle w:val="BodyText"/>
        <w:spacing w:line="218" w:lineRule="auto" w:before="187"/>
        <w:ind w:right="1438" w:firstLine="432"/>
        <w:jc w:val="both"/>
      </w:pPr>
      <w:r>
        <w:rPr/>
        <w:t>The</w:t>
      </w:r>
      <w:r>
        <w:rPr>
          <w:spacing w:val="-4"/>
        </w:rPr>
        <w:t> </w:t>
      </w:r>
      <w:r>
        <w:rPr/>
        <w:t>sword,</w:t>
      </w:r>
      <w:r>
        <w:rPr>
          <w:spacing w:val="-5"/>
        </w:rPr>
        <w:t> </w:t>
      </w:r>
      <w:r>
        <w:rPr/>
        <w:t>a</w:t>
      </w:r>
      <w:r>
        <w:rPr>
          <w:spacing w:val="-4"/>
        </w:rPr>
        <w:t> </w:t>
      </w:r>
      <w:r>
        <w:rPr/>
        <w:t>solid</w:t>
      </w:r>
      <w:r>
        <w:rPr>
          <w:spacing w:val="-3"/>
        </w:rPr>
        <w:t> </w:t>
      </w:r>
      <w:r>
        <w:rPr/>
        <w:t>metallic</w:t>
      </w:r>
      <w:r>
        <w:rPr>
          <w:spacing w:val="-6"/>
        </w:rPr>
        <w:t> </w:t>
      </w:r>
      <w:r>
        <w:rPr/>
        <w:t>phallic</w:t>
      </w:r>
      <w:r>
        <w:rPr>
          <w:spacing w:val="-4"/>
        </w:rPr>
        <w:t> </w:t>
      </w:r>
      <w:r>
        <w:rPr/>
        <w:t>image</w:t>
      </w:r>
      <w:r>
        <w:rPr>
          <w:spacing w:val="-5"/>
        </w:rPr>
        <w:t> </w:t>
      </w:r>
      <w:r>
        <w:rPr/>
        <w:t>of</w:t>
      </w:r>
      <w:r>
        <w:rPr>
          <w:spacing w:val="-5"/>
        </w:rPr>
        <w:t> </w:t>
      </w:r>
      <w:r>
        <w:rPr/>
        <w:t>durable</w:t>
      </w:r>
      <w:r>
        <w:rPr>
          <w:spacing w:val="-6"/>
        </w:rPr>
        <w:t> </w:t>
      </w:r>
      <w:r>
        <w:rPr/>
        <w:t>manhood,</w:t>
      </w:r>
      <w:r>
        <w:rPr>
          <w:spacing w:val="-3"/>
        </w:rPr>
        <w:t> </w:t>
      </w:r>
      <w:r>
        <w:rPr/>
        <w:t>has already been acknowledged by Antony as being “made weak by my affection”</w:t>
      </w:r>
      <w:r>
        <w:rPr>
          <w:spacing w:val="4"/>
        </w:rPr>
        <w:t> </w:t>
      </w:r>
      <w:r>
        <w:rPr/>
        <w:t>(3.11.67),</w:t>
      </w:r>
      <w:r>
        <w:rPr>
          <w:spacing w:val="9"/>
        </w:rPr>
        <w:t> </w:t>
      </w:r>
      <w:r>
        <w:rPr/>
        <w:t>and</w:t>
      </w:r>
      <w:r>
        <w:rPr>
          <w:spacing w:val="8"/>
        </w:rPr>
        <w:t> </w:t>
      </w:r>
      <w:r>
        <w:rPr/>
        <w:t>ultimately</w:t>
      </w:r>
      <w:r>
        <w:rPr>
          <w:spacing w:val="3"/>
        </w:rPr>
        <w:t> </w:t>
      </w:r>
      <w:r>
        <w:rPr/>
        <w:t>loses</w:t>
      </w:r>
      <w:r>
        <w:rPr>
          <w:spacing w:val="6"/>
        </w:rPr>
        <w:t> </w:t>
      </w:r>
      <w:r>
        <w:rPr/>
        <w:t>its</w:t>
      </w:r>
      <w:r>
        <w:rPr>
          <w:spacing w:val="5"/>
        </w:rPr>
        <w:t> </w:t>
      </w:r>
      <w:r>
        <w:rPr/>
        <w:t>power</w:t>
      </w:r>
      <w:r>
        <w:rPr>
          <w:spacing w:val="7"/>
        </w:rPr>
        <w:t> </w:t>
      </w:r>
      <w:r>
        <w:rPr/>
        <w:t>to</w:t>
      </w:r>
      <w:r>
        <w:rPr>
          <w:spacing w:val="8"/>
        </w:rPr>
        <w:t> </w:t>
      </w:r>
      <w:r>
        <w:rPr/>
        <w:t>terminate</w:t>
      </w:r>
      <w:r>
        <w:rPr>
          <w:spacing w:val="5"/>
        </w:rPr>
        <w:t> </w:t>
      </w:r>
      <w:r>
        <w:rPr>
          <w:spacing w:val="-2"/>
        </w:rPr>
        <w:t>things.</w:t>
      </w:r>
    </w:p>
    <w:p>
      <w:pPr>
        <w:pStyle w:val="BodyText"/>
        <w:spacing w:line="218" w:lineRule="auto" w:before="61"/>
        <w:ind w:right="1438" w:firstLine="432"/>
        <w:jc w:val="both"/>
      </w:pPr>
      <w:r>
        <w:rPr/>
        <w:t>But Shakespeare stages the drama</w:t>
      </w:r>
      <w:r>
        <w:rPr>
          <w:spacing w:val="-2"/>
        </w:rPr>
        <w:t> </w:t>
      </w:r>
      <w:r>
        <w:rPr/>
        <w:t>of</w:t>
      </w:r>
      <w:r>
        <w:rPr>
          <w:spacing w:val="-2"/>
        </w:rPr>
        <w:t> </w:t>
      </w:r>
      <w:r>
        <w:rPr/>
        <w:t>the sword succumbing</w:t>
      </w:r>
      <w:r>
        <w:rPr>
          <w:spacing w:val="-2"/>
        </w:rPr>
        <w:t> </w:t>
      </w:r>
      <w:r>
        <w:rPr/>
        <w:t>to the melting process through a series of actions in which</w:t>
      </w:r>
      <w:r>
        <w:rPr>
          <w:spacing w:val="-4"/>
        </w:rPr>
        <w:t> </w:t>
      </w:r>
      <w:r>
        <w:rPr/>
        <w:t>Antony shows his gradual loss of command. After Caesar turns down his offer of a duel, he sarcastically remarks that Cleopatra should now “To the boy Caesar send this grizzled head” (3.1318). This joke, however, a few moments later</w:t>
      </w:r>
      <w:r>
        <w:rPr>
          <w:spacing w:val="-3"/>
        </w:rPr>
        <w:t> </w:t>
      </w:r>
      <w:r>
        <w:rPr/>
        <w:t>turns</w:t>
      </w:r>
      <w:r>
        <w:rPr>
          <w:spacing w:val="-3"/>
        </w:rPr>
        <w:t> </w:t>
      </w:r>
      <w:r>
        <w:rPr/>
        <w:t>into</w:t>
      </w:r>
      <w:r>
        <w:rPr>
          <w:spacing w:val="-1"/>
        </w:rPr>
        <w:t> </w:t>
      </w:r>
      <w:r>
        <w:rPr/>
        <w:t>a</w:t>
      </w:r>
      <w:r>
        <w:rPr>
          <w:spacing w:val="-3"/>
        </w:rPr>
        <w:t> </w:t>
      </w:r>
      <w:r>
        <w:rPr/>
        <w:t>real</w:t>
      </w:r>
      <w:r>
        <w:rPr>
          <w:spacing w:val="-4"/>
        </w:rPr>
        <w:t> </w:t>
      </w:r>
      <w:r>
        <w:rPr/>
        <w:t>accusation</w:t>
      </w:r>
      <w:r>
        <w:rPr>
          <w:spacing w:val="-3"/>
        </w:rPr>
        <w:t> </w:t>
      </w:r>
      <w:r>
        <w:rPr/>
        <w:t>when</w:t>
      </w:r>
      <w:r>
        <w:rPr>
          <w:spacing w:val="-4"/>
        </w:rPr>
        <w:t> </w:t>
      </w:r>
      <w:r>
        <w:rPr/>
        <w:t>he enters</w:t>
      </w:r>
      <w:r>
        <w:rPr>
          <w:spacing w:val="-4"/>
        </w:rPr>
        <w:t> </w:t>
      </w:r>
      <w:r>
        <w:rPr/>
        <w:t>the</w:t>
      </w:r>
      <w:r>
        <w:rPr>
          <w:spacing w:val="-1"/>
        </w:rPr>
        <w:t> </w:t>
      </w:r>
      <w:r>
        <w:rPr/>
        <w:t>stage</w:t>
      </w:r>
      <w:r>
        <w:rPr>
          <w:spacing w:val="-4"/>
        </w:rPr>
        <w:t> </w:t>
      </w:r>
      <w:r>
        <w:rPr/>
        <w:t>at</w:t>
      </w:r>
      <w:r>
        <w:rPr>
          <w:spacing w:val="-1"/>
        </w:rPr>
        <w:t> </w:t>
      </w:r>
      <w:r>
        <w:rPr/>
        <w:t>the</w:t>
      </w:r>
      <w:r>
        <w:rPr>
          <w:spacing w:val="-4"/>
        </w:rPr>
        <w:t> </w:t>
      </w:r>
      <w:r>
        <w:rPr/>
        <w:t>moment of Thidias, the messenger from Caesar kissing Cleopatra’s hand. He accuses Cleopatra, for whom he left his pillow “unpressed in Rome” </w:t>
      </w:r>
      <w:r>
        <w:rPr>
          <w:spacing w:val="-6"/>
        </w:rPr>
        <w:t>(3.13.111),</w:t>
      </w:r>
      <w:r>
        <w:rPr>
          <w:spacing w:val="-7"/>
        </w:rPr>
        <w:t> </w:t>
      </w:r>
      <w:r>
        <w:rPr>
          <w:spacing w:val="-6"/>
        </w:rPr>
        <w:t>of allowing</w:t>
      </w:r>
      <w:r>
        <w:rPr>
          <w:spacing w:val="-7"/>
        </w:rPr>
        <w:t> </w:t>
      </w:r>
      <w:r>
        <w:rPr>
          <w:spacing w:val="-6"/>
        </w:rPr>
        <w:t>her hand,</w:t>
      </w:r>
      <w:r>
        <w:rPr>
          <w:spacing w:val="-7"/>
        </w:rPr>
        <w:t> </w:t>
      </w:r>
      <w:r>
        <w:rPr>
          <w:spacing w:val="-6"/>
        </w:rPr>
        <w:t>which is</w:t>
      </w:r>
      <w:r>
        <w:rPr>
          <w:spacing w:val="-7"/>
        </w:rPr>
        <w:t> </w:t>
      </w:r>
      <w:r>
        <w:rPr>
          <w:spacing w:val="-6"/>
        </w:rPr>
        <w:t>Antony’s “playfellow”</w:t>
      </w:r>
      <w:r>
        <w:rPr>
          <w:spacing w:val="-2"/>
        </w:rPr>
        <w:t> </w:t>
      </w:r>
      <w:r>
        <w:rPr>
          <w:spacing w:val="-6"/>
        </w:rPr>
        <w:t>(3.13.130), </w:t>
      </w:r>
      <w:r>
        <w:rPr/>
        <w:t>to be soiled by the kiss of “a fellow that will take rewards / And say ‘God quit you’” (3.13.128-129). Antony orders Thidias to be whipped and sends him back to Caesar as a gesture of showing how Caesar stands</w:t>
      </w:r>
      <w:r>
        <w:rPr>
          <w:spacing w:val="-3"/>
        </w:rPr>
        <w:t> </w:t>
      </w:r>
      <w:r>
        <w:rPr/>
        <w:t>in relation</w:t>
      </w:r>
      <w:r>
        <w:rPr>
          <w:spacing w:val="-3"/>
        </w:rPr>
        <w:t> </w:t>
      </w:r>
      <w:r>
        <w:rPr/>
        <w:t>to him:</w:t>
      </w:r>
      <w:r>
        <w:rPr>
          <w:spacing w:val="-1"/>
        </w:rPr>
        <w:t> </w:t>
      </w:r>
      <w:r>
        <w:rPr/>
        <w:t>“For he seems</w:t>
      </w:r>
      <w:r>
        <w:rPr>
          <w:spacing w:val="-3"/>
        </w:rPr>
        <w:t> </w:t>
      </w:r>
      <w:r>
        <w:rPr/>
        <w:t>/ Proud and disdainful,</w:t>
      </w:r>
      <w:r>
        <w:rPr>
          <w:spacing w:val="-1"/>
        </w:rPr>
        <w:t> </w:t>
      </w:r>
      <w:r>
        <w:rPr/>
        <w:t>harping on what I am, / Not what he knew I was” (3.13.146-148).</w:t>
      </w:r>
    </w:p>
    <w:p>
      <w:pPr>
        <w:pStyle w:val="BodyText"/>
        <w:spacing w:line="218" w:lineRule="auto" w:before="68"/>
        <w:ind w:right="1438" w:firstLine="432"/>
        <w:jc w:val="both"/>
      </w:pPr>
      <w:r>
        <w:rPr/>
        <w:t>So,</w:t>
      </w:r>
      <w:r>
        <w:rPr>
          <w:spacing w:val="-13"/>
        </w:rPr>
        <w:t> </w:t>
      </w:r>
      <w:r>
        <w:rPr/>
        <w:t>Antony’s</w:t>
      </w:r>
      <w:r>
        <w:rPr>
          <w:spacing w:val="-5"/>
        </w:rPr>
        <w:t> </w:t>
      </w:r>
      <w:r>
        <w:rPr/>
        <w:t>“I</w:t>
      </w:r>
      <w:r>
        <w:rPr>
          <w:spacing w:val="-3"/>
        </w:rPr>
        <w:t> </w:t>
      </w:r>
      <w:r>
        <w:rPr/>
        <w:t>am”</w:t>
      </w:r>
      <w:r>
        <w:rPr>
          <w:spacing w:val="-5"/>
        </w:rPr>
        <w:t> </w:t>
      </w:r>
      <w:r>
        <w:rPr/>
        <w:t>versus</w:t>
      </w:r>
      <w:r>
        <w:rPr>
          <w:spacing w:val="-6"/>
        </w:rPr>
        <w:t> </w:t>
      </w:r>
      <w:r>
        <w:rPr/>
        <w:t>“I</w:t>
      </w:r>
      <w:r>
        <w:rPr>
          <w:spacing w:val="-4"/>
        </w:rPr>
        <w:t> </w:t>
      </w:r>
      <w:r>
        <w:rPr/>
        <w:t>was”</w:t>
      </w:r>
      <w:r>
        <w:rPr>
          <w:spacing w:val="-4"/>
        </w:rPr>
        <w:t> </w:t>
      </w:r>
      <w:r>
        <w:rPr/>
        <w:t>conforms</w:t>
      </w:r>
      <w:r>
        <w:rPr>
          <w:spacing w:val="-6"/>
        </w:rPr>
        <w:t> </w:t>
      </w:r>
      <w:r>
        <w:rPr/>
        <w:t>to</w:t>
      </w:r>
      <w:r>
        <w:rPr>
          <w:spacing w:val="-3"/>
        </w:rPr>
        <w:t> </w:t>
      </w:r>
      <w:r>
        <w:rPr/>
        <w:t>our</w:t>
      </w:r>
      <w:r>
        <w:rPr>
          <w:spacing w:val="-4"/>
        </w:rPr>
        <w:t> </w:t>
      </w:r>
      <w:r>
        <w:rPr/>
        <w:t>argument</w:t>
      </w:r>
      <w:r>
        <w:rPr>
          <w:spacing w:val="-4"/>
        </w:rPr>
        <w:t> </w:t>
      </w:r>
      <w:r>
        <w:rPr/>
        <w:t>that he prefers to or is forced to live in his past glories, and from this point onward, our third point mentioned above about Cleopatra’s having taken a patronizing attitude to indulge Antony in his delusions so that</w:t>
      </w:r>
      <w:r>
        <w:rPr>
          <w:spacing w:val="40"/>
        </w:rPr>
        <w:t> </w:t>
      </w:r>
      <w:r>
        <w:rPr/>
        <w:t>he</w:t>
      </w:r>
      <w:r>
        <w:rPr>
          <w:spacing w:val="-3"/>
        </w:rPr>
        <w:t> </w:t>
      </w:r>
      <w:r>
        <w:rPr/>
        <w:t>is</w:t>
      </w:r>
      <w:r>
        <w:rPr>
          <w:spacing w:val="-7"/>
        </w:rPr>
        <w:t> </w:t>
      </w:r>
      <w:r>
        <w:rPr/>
        <w:t>not</w:t>
      </w:r>
      <w:r>
        <w:rPr>
          <w:spacing w:val="-5"/>
        </w:rPr>
        <w:t> </w:t>
      </w:r>
      <w:r>
        <w:rPr/>
        <w:t>hurt</w:t>
      </w:r>
      <w:r>
        <w:rPr>
          <w:spacing w:val="-5"/>
        </w:rPr>
        <w:t> </w:t>
      </w:r>
      <w:r>
        <w:rPr/>
        <w:t>takes</w:t>
      </w:r>
      <w:r>
        <w:rPr>
          <w:spacing w:val="-6"/>
        </w:rPr>
        <w:t> </w:t>
      </w:r>
      <w:r>
        <w:rPr/>
        <w:t>on</w:t>
      </w:r>
      <w:r>
        <w:rPr>
          <w:spacing w:val="-7"/>
        </w:rPr>
        <w:t> </w:t>
      </w:r>
      <w:r>
        <w:rPr/>
        <w:t>her</w:t>
      </w:r>
      <w:r>
        <w:rPr>
          <w:spacing w:val="-4"/>
        </w:rPr>
        <w:t> </w:t>
      </w:r>
      <w:r>
        <w:rPr/>
        <w:t>desired</w:t>
      </w:r>
      <w:r>
        <w:rPr>
          <w:spacing w:val="-4"/>
        </w:rPr>
        <w:t> </w:t>
      </w:r>
      <w:r>
        <w:rPr/>
        <w:t>movement</w:t>
      </w:r>
      <w:r>
        <w:rPr>
          <w:spacing w:val="-6"/>
        </w:rPr>
        <w:t> </w:t>
      </w:r>
      <w:r>
        <w:rPr/>
        <w:t>now.</w:t>
      </w:r>
      <w:r>
        <w:rPr>
          <w:spacing w:val="-9"/>
        </w:rPr>
        <w:t> </w:t>
      </w:r>
      <w:r>
        <w:rPr/>
        <w:t>The</w:t>
      </w:r>
      <w:r>
        <w:rPr>
          <w:spacing w:val="-5"/>
        </w:rPr>
        <w:t> </w:t>
      </w:r>
      <w:r>
        <w:rPr/>
        <w:t>whipped</w:t>
      </w:r>
      <w:r>
        <w:rPr>
          <w:spacing w:val="-6"/>
        </w:rPr>
        <w:t> </w:t>
      </w:r>
      <w:r>
        <w:rPr/>
        <w:t>Thidias had already been kissed by Cleopatra on the hand—which was of course</w:t>
      </w:r>
      <w:r>
        <w:rPr>
          <w:spacing w:val="18"/>
        </w:rPr>
        <w:t> </w:t>
      </w:r>
      <w:r>
        <w:rPr/>
        <w:t>not</w:t>
      </w:r>
      <w:r>
        <w:rPr>
          <w:spacing w:val="20"/>
        </w:rPr>
        <w:t> </w:t>
      </w:r>
      <w:r>
        <w:rPr/>
        <w:t>seen</w:t>
      </w:r>
      <w:r>
        <w:rPr>
          <w:spacing w:val="20"/>
        </w:rPr>
        <w:t> </w:t>
      </w:r>
      <w:r>
        <w:rPr/>
        <w:t>by Antony,</w:t>
      </w:r>
      <w:r>
        <w:rPr>
          <w:spacing w:val="18"/>
        </w:rPr>
        <w:t> </w:t>
      </w:r>
      <w:r>
        <w:rPr/>
        <w:t>as</w:t>
      </w:r>
      <w:r>
        <w:rPr>
          <w:spacing w:val="20"/>
        </w:rPr>
        <w:t> </w:t>
      </w:r>
      <w:r>
        <w:rPr/>
        <w:t>he</w:t>
      </w:r>
      <w:r>
        <w:rPr>
          <w:spacing w:val="18"/>
        </w:rPr>
        <w:t> </w:t>
      </w:r>
      <w:r>
        <w:rPr/>
        <w:t>did</w:t>
      </w:r>
      <w:r>
        <w:rPr>
          <w:spacing w:val="20"/>
        </w:rPr>
        <w:t> </w:t>
      </w:r>
      <w:r>
        <w:rPr/>
        <w:t>not</w:t>
      </w:r>
      <w:r>
        <w:rPr>
          <w:spacing w:val="22"/>
        </w:rPr>
        <w:t> </w:t>
      </w:r>
      <w:r>
        <w:rPr/>
        <w:t>enter</w:t>
      </w:r>
      <w:r>
        <w:rPr>
          <w:spacing w:val="19"/>
        </w:rPr>
        <w:t> </w:t>
      </w:r>
      <w:r>
        <w:rPr/>
        <w:t>the</w:t>
      </w:r>
      <w:r>
        <w:rPr>
          <w:spacing w:val="18"/>
        </w:rPr>
        <w:t> </w:t>
      </w:r>
      <w:r>
        <w:rPr/>
        <w:t>stage</w:t>
      </w:r>
      <w:r>
        <w:rPr>
          <w:spacing w:val="23"/>
        </w:rPr>
        <w:t> </w:t>
      </w:r>
      <w:r>
        <w:rPr/>
        <w:t>at</w:t>
      </w:r>
      <w:r>
        <w:rPr>
          <w:spacing w:val="18"/>
        </w:rPr>
        <w:t> </w:t>
      </w:r>
      <w:r>
        <w:rPr/>
        <w:t>that</w:t>
      </w:r>
      <w:r>
        <w:rPr>
          <w:spacing w:val="20"/>
        </w:rPr>
        <w:t> </w:t>
      </w:r>
      <w:r>
        <w:rPr/>
        <w:t>point of time—and she did it because what she understood, which Antony fails to do, is that the messenger carried full delegated authority from Caesar, the winner: “Most kind messenger, / Say</w:t>
      </w:r>
      <w:r>
        <w:rPr>
          <w:spacing w:val="-2"/>
        </w:rPr>
        <w:t> </w:t>
      </w:r>
      <w:r>
        <w:rPr/>
        <w:t>to great Caesar this in deputation: / I kiss his conquering hand” (3.13.77-79). It shows her to know</w:t>
      </w:r>
      <w:r>
        <w:rPr>
          <w:spacing w:val="-2"/>
        </w:rPr>
        <w:t> </w:t>
      </w:r>
      <w:r>
        <w:rPr/>
        <w:t>how</w:t>
      </w:r>
      <w:r>
        <w:rPr>
          <w:spacing w:val="-2"/>
        </w:rPr>
        <w:t> </w:t>
      </w:r>
      <w:r>
        <w:rPr/>
        <w:t>to be politically correct in a given</w:t>
      </w:r>
      <w:r>
        <w:rPr>
          <w:spacing w:val="-2"/>
        </w:rPr>
        <w:t> </w:t>
      </w:r>
      <w:r>
        <w:rPr/>
        <w:t>situation that goes against Antony’s</w:t>
      </w:r>
      <w:r>
        <w:rPr>
          <w:spacing w:val="40"/>
        </w:rPr>
        <w:t> </w:t>
      </w:r>
      <w:r>
        <w:rPr/>
        <w:t>misjudgments.</w:t>
      </w:r>
    </w:p>
    <w:p>
      <w:pPr>
        <w:pStyle w:val="BodyText"/>
        <w:spacing w:line="218" w:lineRule="auto" w:before="68"/>
        <w:ind w:right="1436" w:firstLine="432"/>
        <w:jc w:val="both"/>
      </w:pPr>
      <w:r>
        <w:rPr/>
        <w:t>Antony’s next action, a desperate attempt to regain a victory against the odds not only puzzles Cleopatra: “What does he mean?” (4.2.23), but, in the process of indulgence, she yet helps him to arm, though comically misplacing the armaments on his body: “Is not this buckled well?” (4.3.11). As he leaves for the last battle of his life, Cleopatra, almost penitently, recognizes the pitifulness of the whole venture:</w:t>
      </w:r>
      <w:r>
        <w:rPr>
          <w:spacing w:val="-7"/>
        </w:rPr>
        <w:t> </w:t>
      </w:r>
      <w:r>
        <w:rPr/>
        <w:t>“He</w:t>
      </w:r>
      <w:r>
        <w:rPr>
          <w:spacing w:val="-6"/>
        </w:rPr>
        <w:t> </w:t>
      </w:r>
      <w:r>
        <w:rPr/>
        <w:t>goes</w:t>
      </w:r>
      <w:r>
        <w:rPr>
          <w:spacing w:val="-7"/>
        </w:rPr>
        <w:t> </w:t>
      </w:r>
      <w:r>
        <w:rPr/>
        <w:t>forth</w:t>
      </w:r>
      <w:r>
        <w:rPr>
          <w:spacing w:val="-7"/>
        </w:rPr>
        <w:t> </w:t>
      </w:r>
      <w:r>
        <w:rPr/>
        <w:t>gallantly.</w:t>
      </w:r>
      <w:r>
        <w:rPr>
          <w:spacing w:val="-7"/>
        </w:rPr>
        <w:t> </w:t>
      </w:r>
      <w:r>
        <w:rPr/>
        <w:t>That</w:t>
      </w:r>
      <w:r>
        <w:rPr>
          <w:spacing w:val="-6"/>
        </w:rPr>
        <w:t> </w:t>
      </w:r>
      <w:r>
        <w:rPr/>
        <w:t>he</w:t>
      </w:r>
      <w:r>
        <w:rPr>
          <w:spacing w:val="-4"/>
        </w:rPr>
        <w:t> </w:t>
      </w:r>
      <w:r>
        <w:rPr/>
        <w:t>and</w:t>
      </w:r>
      <w:r>
        <w:rPr>
          <w:spacing w:val="-5"/>
        </w:rPr>
        <w:t> </w:t>
      </w:r>
      <w:r>
        <w:rPr/>
        <w:t>Caesar</w:t>
      </w:r>
      <w:r>
        <w:rPr>
          <w:spacing w:val="-7"/>
        </w:rPr>
        <w:t> </w:t>
      </w:r>
      <w:r>
        <w:rPr/>
        <w:t>might</w:t>
      </w:r>
      <w:r>
        <w:rPr>
          <w:spacing w:val="-7"/>
        </w:rPr>
        <w:t> </w:t>
      </w:r>
      <w:r>
        <w:rPr/>
        <w:t>/</w:t>
      </w:r>
      <w:r>
        <w:rPr>
          <w:spacing w:val="-9"/>
        </w:rPr>
        <w:t> </w:t>
      </w:r>
      <w:r>
        <w:rPr/>
        <w:t>Determine this</w:t>
      </w:r>
      <w:r>
        <w:rPr>
          <w:spacing w:val="40"/>
        </w:rPr>
        <w:t> </w:t>
      </w:r>
      <w:r>
        <w:rPr/>
        <w:t>great</w:t>
      </w:r>
      <w:r>
        <w:rPr>
          <w:spacing w:val="36"/>
        </w:rPr>
        <w:t> </w:t>
      </w:r>
      <w:r>
        <w:rPr/>
        <w:t>war</w:t>
      </w:r>
      <w:r>
        <w:rPr>
          <w:spacing w:val="40"/>
        </w:rPr>
        <w:t> </w:t>
      </w:r>
      <w:r>
        <w:rPr/>
        <w:t>in</w:t>
      </w:r>
      <w:r>
        <w:rPr>
          <w:spacing w:val="37"/>
        </w:rPr>
        <w:t> </w:t>
      </w:r>
      <w:r>
        <w:rPr/>
        <w:t>single</w:t>
      </w:r>
      <w:r>
        <w:rPr>
          <w:spacing w:val="38"/>
        </w:rPr>
        <w:t> </w:t>
      </w:r>
      <w:r>
        <w:rPr/>
        <w:t>fight!</w:t>
      </w:r>
      <w:r>
        <w:rPr>
          <w:spacing w:val="38"/>
        </w:rPr>
        <w:t> </w:t>
      </w:r>
      <w:r>
        <w:rPr/>
        <w:t>/</w:t>
      </w:r>
      <w:r>
        <w:rPr>
          <w:spacing w:val="35"/>
        </w:rPr>
        <w:t> </w:t>
      </w:r>
      <w:r>
        <w:rPr/>
        <w:t>Then Antony</w:t>
      </w:r>
      <w:r>
        <w:rPr>
          <w:spacing w:val="35"/>
        </w:rPr>
        <w:t> </w:t>
      </w:r>
      <w:r>
        <w:rPr/>
        <w:t>but</w:t>
      </w:r>
      <w:r>
        <w:rPr>
          <w:spacing w:val="35"/>
        </w:rPr>
        <w:t> </w:t>
      </w:r>
      <w:r>
        <w:rPr/>
        <w:t>now”</w:t>
      </w:r>
      <w:r>
        <w:rPr>
          <w:spacing w:val="37"/>
        </w:rPr>
        <w:t> </w:t>
      </w:r>
      <w:r>
        <w:rPr/>
        <w:t>(4.4.36-38).</w:t>
      </w:r>
    </w:p>
    <w:p>
      <w:pPr>
        <w:pStyle w:val="BodyText"/>
        <w:spacing w:line="218" w:lineRule="auto" w:before="63"/>
        <w:ind w:right="1442" w:firstLine="432"/>
        <w:jc w:val="both"/>
      </w:pPr>
      <w:r>
        <w:rPr/>
        <w:t>Cleopatra’s realization of the gap between Antony’s ‘then’ and ‘now’, however, is a little tinged with irony. Perhaps</w:t>
      </w:r>
      <w:r>
        <w:rPr>
          <w:spacing w:val="-1"/>
        </w:rPr>
        <w:t> </w:t>
      </w:r>
      <w:r>
        <w:rPr/>
        <w:t>Antony’s present downward journey is partly contributed to by Cleopatra’s indefatigable charms.</w:t>
      </w:r>
      <w:r>
        <w:rPr>
          <w:spacing w:val="-4"/>
        </w:rPr>
        <w:t> </w:t>
      </w:r>
      <w:r>
        <w:rPr/>
        <w:t>But</w:t>
      </w:r>
      <w:r>
        <w:rPr>
          <w:spacing w:val="-4"/>
        </w:rPr>
        <w:t> </w:t>
      </w:r>
      <w:r>
        <w:rPr/>
        <w:t>then</w:t>
      </w:r>
      <w:r>
        <w:rPr>
          <w:spacing w:val="-13"/>
        </w:rPr>
        <w:t> </w:t>
      </w:r>
      <w:r>
        <w:rPr/>
        <w:t>Antony</w:t>
      </w:r>
      <w:r>
        <w:rPr>
          <w:spacing w:val="-7"/>
        </w:rPr>
        <w:t> </w:t>
      </w:r>
      <w:r>
        <w:rPr/>
        <w:t>returns</w:t>
      </w:r>
      <w:r>
        <w:rPr>
          <w:spacing w:val="-2"/>
        </w:rPr>
        <w:t> </w:t>
      </w:r>
      <w:r>
        <w:rPr/>
        <w:t>from</w:t>
      </w:r>
      <w:r>
        <w:rPr>
          <w:spacing w:val="-6"/>
        </w:rPr>
        <w:t> </w:t>
      </w:r>
      <w:r>
        <w:rPr/>
        <w:t>the</w:t>
      </w:r>
      <w:r>
        <w:rPr>
          <w:spacing w:val="-2"/>
        </w:rPr>
        <w:t> </w:t>
      </w:r>
      <w:r>
        <w:rPr/>
        <w:t>battlefield</w:t>
      </w:r>
      <w:r>
        <w:rPr>
          <w:spacing w:val="-4"/>
        </w:rPr>
        <w:t> </w:t>
      </w:r>
      <w:r>
        <w:rPr/>
        <w:t>with</w:t>
      </w:r>
      <w:r>
        <w:rPr>
          <w:spacing w:val="-2"/>
        </w:rPr>
        <w:t> </w:t>
      </w:r>
      <w:r>
        <w:rPr/>
        <w:t>a</w:t>
      </w:r>
      <w:r>
        <w:rPr>
          <w:spacing w:val="-4"/>
        </w:rPr>
        <w:t> </w:t>
      </w:r>
      <w:r>
        <w:rPr/>
        <w:t>victory, and Cleopatra and Antony embrace each other with Cleopatra attributing a valorous speech to</w:t>
      </w:r>
      <w:r>
        <w:rPr>
          <w:spacing w:val="-6"/>
        </w:rPr>
        <w:t> </w:t>
      </w:r>
      <w:r>
        <w:rPr/>
        <w:t>Antony: “Lord of lords! / O infinite virtue! Come’st thou smiling from / The world’s great snare uncaught” (4.8.16-18).</w:t>
      </w:r>
    </w:p>
    <w:p>
      <w:pPr>
        <w:pStyle w:val="BodyText"/>
        <w:spacing w:after="0" w:line="218"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21120">
                <wp:simplePos x="0" y="0"/>
                <wp:positionH relativeFrom="page">
                  <wp:posOffset>2057400</wp:posOffset>
                </wp:positionH>
                <wp:positionV relativeFrom="paragraph">
                  <wp:posOffset>162604</wp:posOffset>
                </wp:positionV>
                <wp:extent cx="3657600" cy="12700"/>
                <wp:effectExtent l="0" t="0" r="0" b="0"/>
                <wp:wrapTopAndBottom/>
                <wp:docPr id="161" name="Graphic 161"/>
                <wp:cNvGraphicFramePr>
                  <a:graphicFrameLocks/>
                </wp:cNvGraphicFramePr>
                <a:graphic>
                  <a:graphicData uri="http://schemas.microsoft.com/office/word/2010/wordprocessingShape">
                    <wps:wsp>
                      <wps:cNvPr id="161" name="Graphic 16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95360;mso-wrap-distance-left:0;mso-wrap-distance-right:0" id="docshape157" filled="true" fillcolor="#000000" stroked="false">
                <v:fill type="solid"/>
                <w10:wrap type="topAndBottom"/>
              </v:rect>
            </w:pict>
          </mc:Fallback>
        </mc:AlternateContent>
      </w:r>
      <w:r>
        <w:rPr>
          <w:rFonts w:ascii="Verdana"/>
          <w:spacing w:val="-5"/>
          <w:sz w:val="18"/>
        </w:rPr>
        <w:t>18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13" w:lineRule="auto" w:before="189"/>
        <w:ind w:right="1439" w:firstLine="432"/>
        <w:jc w:val="both"/>
      </w:pPr>
      <w:r>
        <w:rPr/>
        <w:t>But from our superior knowledge of ancient Roman history, we know,</w:t>
      </w:r>
      <w:r>
        <w:rPr>
          <w:spacing w:val="-10"/>
        </w:rPr>
        <w:t> </w:t>
      </w:r>
      <w:r>
        <w:rPr/>
        <w:t>which</w:t>
      </w:r>
      <w:r>
        <w:rPr>
          <w:spacing w:val="-8"/>
        </w:rPr>
        <w:t> </w:t>
      </w:r>
      <w:r>
        <w:rPr/>
        <w:t>is</w:t>
      </w:r>
      <w:r>
        <w:rPr>
          <w:spacing w:val="-10"/>
        </w:rPr>
        <w:t> </w:t>
      </w:r>
      <w:r>
        <w:rPr/>
        <w:t>unknown</w:t>
      </w:r>
      <w:r>
        <w:rPr>
          <w:spacing w:val="-8"/>
        </w:rPr>
        <w:t> </w:t>
      </w:r>
      <w:r>
        <w:rPr/>
        <w:t>to</w:t>
      </w:r>
      <w:r>
        <w:rPr>
          <w:spacing w:val="-8"/>
        </w:rPr>
        <w:t> </w:t>
      </w:r>
      <w:r>
        <w:rPr/>
        <w:t>the</w:t>
      </w:r>
      <w:r>
        <w:rPr>
          <w:spacing w:val="-10"/>
        </w:rPr>
        <w:t> </w:t>
      </w:r>
      <w:r>
        <w:rPr/>
        <w:t>dramatized</w:t>
      </w:r>
      <w:r>
        <w:rPr>
          <w:spacing w:val="-6"/>
        </w:rPr>
        <w:t> </w:t>
      </w:r>
      <w:r>
        <w:rPr/>
        <w:t>character</w:t>
      </w:r>
      <w:r>
        <w:rPr>
          <w:spacing w:val="-8"/>
        </w:rPr>
        <w:t> </w:t>
      </w:r>
      <w:r>
        <w:rPr/>
        <w:t>Cleopatra,</w:t>
      </w:r>
      <w:r>
        <w:rPr>
          <w:spacing w:val="-6"/>
        </w:rPr>
        <w:t> </w:t>
      </w:r>
      <w:r>
        <w:rPr/>
        <w:t>that</w:t>
      </w:r>
      <w:r>
        <w:rPr>
          <w:spacing w:val="-10"/>
        </w:rPr>
        <w:t> </w:t>
      </w:r>
      <w:r>
        <w:rPr/>
        <w:t>this battle was pretty much a kind of scurry conducted at the gate of the</w:t>
      </w:r>
      <w:r>
        <w:rPr>
          <w:spacing w:val="40"/>
        </w:rPr>
        <w:t> </w:t>
      </w:r>
      <w:r>
        <w:rPr/>
        <w:t>city, having no impact on the general fortune of the battle, which favoured</w:t>
      </w:r>
      <w:r>
        <w:rPr>
          <w:spacing w:val="40"/>
        </w:rPr>
        <w:t> </w:t>
      </w:r>
      <w:r>
        <w:rPr/>
        <w:t>Caesar.</w:t>
      </w:r>
    </w:p>
    <w:p>
      <w:pPr>
        <w:pStyle w:val="BodyText"/>
        <w:spacing w:line="216" w:lineRule="auto" w:before="62"/>
        <w:ind w:right="1441" w:firstLine="432"/>
        <w:jc w:val="both"/>
      </w:pPr>
      <w:r>
        <w:rPr/>
        <w:t>And it seems that Cleopatra’s glorification of</w:t>
      </w:r>
      <w:r>
        <w:rPr>
          <w:spacing w:val="-7"/>
        </w:rPr>
        <w:t> </w:t>
      </w:r>
      <w:r>
        <w:rPr/>
        <w:t>Antony</w:t>
      </w:r>
      <w:r>
        <w:rPr>
          <w:spacing w:val="-1"/>
        </w:rPr>
        <w:t> </w:t>
      </w:r>
      <w:r>
        <w:rPr/>
        <w:t>here sounds more like a condescending attitude, which is not supported by the</w:t>
      </w:r>
      <w:r>
        <w:rPr>
          <w:spacing w:val="40"/>
        </w:rPr>
        <w:t> </w:t>
      </w:r>
      <w:r>
        <w:rPr/>
        <w:t>actual</w:t>
      </w:r>
      <w:r>
        <w:rPr>
          <w:spacing w:val="40"/>
        </w:rPr>
        <w:t> </w:t>
      </w:r>
      <w:r>
        <w:rPr/>
        <w:t>events</w:t>
      </w:r>
      <w:r>
        <w:rPr>
          <w:spacing w:val="40"/>
        </w:rPr>
        <w:t> </w:t>
      </w:r>
      <w:r>
        <w:rPr/>
        <w:t>the</w:t>
      </w:r>
      <w:r>
        <w:rPr>
          <w:spacing w:val="40"/>
        </w:rPr>
        <w:t> </w:t>
      </w:r>
      <w:r>
        <w:rPr/>
        <w:t>play</w:t>
      </w:r>
      <w:r>
        <w:rPr>
          <w:spacing w:val="38"/>
        </w:rPr>
        <w:t> </w:t>
      </w:r>
      <w:r>
        <w:rPr/>
        <w:t>has</w:t>
      </w:r>
      <w:r>
        <w:rPr>
          <w:spacing w:val="40"/>
        </w:rPr>
        <w:t> </w:t>
      </w:r>
      <w:r>
        <w:rPr/>
        <w:t>chosen</w:t>
      </w:r>
      <w:r>
        <w:rPr>
          <w:spacing w:val="40"/>
        </w:rPr>
        <w:t> </w:t>
      </w:r>
      <w:r>
        <w:rPr/>
        <w:t>to</w:t>
      </w:r>
      <w:r>
        <w:rPr>
          <w:spacing w:val="40"/>
        </w:rPr>
        <w:t> </w:t>
      </w:r>
      <w:r>
        <w:rPr/>
        <w:t>dramatize</w:t>
      </w:r>
      <w:r>
        <w:rPr>
          <w:spacing w:val="40"/>
        </w:rPr>
        <w:t> </w:t>
      </w:r>
      <w:r>
        <w:rPr/>
        <w:t>from</w:t>
      </w:r>
      <w:r>
        <w:rPr>
          <w:spacing w:val="40"/>
        </w:rPr>
        <w:t> </w:t>
      </w:r>
      <w:r>
        <w:rPr/>
        <w:t>history.</w:t>
      </w:r>
    </w:p>
    <w:p>
      <w:pPr>
        <w:pStyle w:val="BodyText"/>
        <w:spacing w:line="216" w:lineRule="auto" w:before="55"/>
        <w:ind w:right="1440" w:firstLine="432"/>
        <w:jc w:val="both"/>
      </w:pPr>
      <w:r>
        <w:rPr/>
        <w:t>Later on, when Antony himself reports to us about the crucial defeat in the battle: “All is lost! / This foul Egyptian hath betrayed me” (4.12.9-10), added to the fact of desertion by his compatriots (“The hearts / That spanieled me at heels, to whom I gave / Their wishes, do discandy, melt their sweets / On blossoming Caesar” (4.12.20-23), we realize that as his anger earlier was unjustly vented on Thidias, he is again at the old game, blaming others, particularly Cleopatra for his misfortune: “Betrayed I am. / O this false soul of Egypt!” (4.12.24-25). Later to Eros,</w:t>
      </w:r>
      <w:r>
        <w:rPr>
          <w:spacing w:val="-11"/>
        </w:rPr>
        <w:t> </w:t>
      </w:r>
      <w:r>
        <w:rPr/>
        <w:t>Antony</w:t>
      </w:r>
      <w:r>
        <w:rPr>
          <w:spacing w:val="-6"/>
        </w:rPr>
        <w:t> </w:t>
      </w:r>
      <w:r>
        <w:rPr/>
        <w:t>ventilates</w:t>
      </w:r>
      <w:r>
        <w:rPr>
          <w:spacing w:val="-2"/>
        </w:rPr>
        <w:t> </w:t>
      </w:r>
      <w:r>
        <w:rPr/>
        <w:t>his bitter rage at</w:t>
      </w:r>
      <w:r>
        <w:rPr>
          <w:spacing w:val="-2"/>
        </w:rPr>
        <w:t> </w:t>
      </w:r>
      <w:r>
        <w:rPr/>
        <w:t>Cleopatra because</w:t>
      </w:r>
      <w:r>
        <w:rPr>
          <w:spacing w:val="-1"/>
        </w:rPr>
        <w:t> </w:t>
      </w:r>
      <w:r>
        <w:rPr/>
        <w:t>she has “Packed cards with Caesar” (4.14.19).</w:t>
      </w:r>
    </w:p>
    <w:p>
      <w:pPr>
        <w:pStyle w:val="BodyText"/>
        <w:spacing w:line="216" w:lineRule="auto" w:before="47"/>
        <w:ind w:right="1437" w:firstLine="432"/>
        <w:jc w:val="both"/>
      </w:pPr>
      <w:r>
        <w:rPr/>
        <w:t>Cleopatra’s</w:t>
      </w:r>
      <w:r>
        <w:rPr>
          <w:spacing w:val="-13"/>
        </w:rPr>
        <w:t> </w:t>
      </w:r>
      <w:r>
        <w:rPr/>
        <w:t>ever</w:t>
      </w:r>
      <w:r>
        <w:rPr>
          <w:spacing w:val="-12"/>
        </w:rPr>
        <w:t> </w:t>
      </w:r>
      <w:r>
        <w:rPr/>
        <w:t>ploy-oriented</w:t>
      </w:r>
      <w:r>
        <w:rPr>
          <w:spacing w:val="-13"/>
        </w:rPr>
        <w:t> </w:t>
      </w:r>
      <w:r>
        <w:rPr/>
        <w:t>creative</w:t>
      </w:r>
      <w:r>
        <w:rPr>
          <w:spacing w:val="-12"/>
        </w:rPr>
        <w:t> </w:t>
      </w:r>
      <w:r>
        <w:rPr/>
        <w:t>mind</w:t>
      </w:r>
      <w:r>
        <w:rPr>
          <w:spacing w:val="-13"/>
        </w:rPr>
        <w:t> </w:t>
      </w:r>
      <w:r>
        <w:rPr/>
        <w:t>takes</w:t>
      </w:r>
      <w:r>
        <w:rPr>
          <w:spacing w:val="-12"/>
        </w:rPr>
        <w:t> </w:t>
      </w:r>
      <w:r>
        <w:rPr/>
        <w:t>this</w:t>
      </w:r>
      <w:r>
        <w:rPr>
          <w:spacing w:val="-13"/>
        </w:rPr>
        <w:t> </w:t>
      </w:r>
      <w:r>
        <w:rPr/>
        <w:t>advice</w:t>
      </w:r>
      <w:r>
        <w:rPr>
          <w:spacing w:val="-12"/>
        </w:rPr>
        <w:t> </w:t>
      </w:r>
      <w:r>
        <w:rPr/>
        <w:t>from her maid, Charmian, that to placate Antony, she should go “To th’ monument / There</w:t>
      </w:r>
      <w:r>
        <w:rPr>
          <w:spacing w:val="-1"/>
        </w:rPr>
        <w:t> </w:t>
      </w:r>
      <w:r>
        <w:rPr/>
        <w:t>lock yourself up and send him</w:t>
      </w:r>
      <w:r>
        <w:rPr>
          <w:spacing w:val="-1"/>
        </w:rPr>
        <w:t> </w:t>
      </w:r>
      <w:r>
        <w:rPr/>
        <w:t>a word you are dead” </w:t>
      </w:r>
      <w:r>
        <w:rPr>
          <w:spacing w:val="-2"/>
        </w:rPr>
        <w:t>(4.13.10).</w:t>
      </w:r>
    </w:p>
    <w:p>
      <w:pPr>
        <w:pStyle w:val="BodyText"/>
        <w:spacing w:line="216" w:lineRule="auto" w:before="56"/>
        <w:ind w:right="1438" w:firstLine="432"/>
        <w:jc w:val="both"/>
      </w:pPr>
      <w:r>
        <w:rPr/>
        <w:t>Imitating the plot of </w:t>
      </w:r>
      <w:r>
        <w:rPr>
          <w:i/>
        </w:rPr>
        <w:t>Romeo and Juliet </w:t>
      </w:r>
      <w:r>
        <w:rPr/>
        <w:t>that he had written about nine years ago, 1597, where of the two star-crossed lovers, the male partner, Romeo, first kills himself on a mistaken notion that Juliet is dead, who actually revives, after the potion’s drug effect is gone, only to discover the dead body of Romeo beside her, and follows the same path of suicide, in the same way, Charmian’s trick misfires. Mardian </w:t>
      </w:r>
      <w:r>
        <w:rPr>
          <w:spacing w:val="-2"/>
        </w:rPr>
        <w:t>carries</w:t>
      </w:r>
      <w:r>
        <w:rPr>
          <w:spacing w:val="-5"/>
        </w:rPr>
        <w:t> </w:t>
      </w:r>
      <w:r>
        <w:rPr>
          <w:spacing w:val="-2"/>
        </w:rPr>
        <w:t>the</w:t>
      </w:r>
      <w:r>
        <w:rPr>
          <w:spacing w:val="-7"/>
        </w:rPr>
        <w:t> </w:t>
      </w:r>
      <w:r>
        <w:rPr>
          <w:spacing w:val="-2"/>
        </w:rPr>
        <w:t>false</w:t>
      </w:r>
      <w:r>
        <w:rPr>
          <w:spacing w:val="-3"/>
        </w:rPr>
        <w:t> </w:t>
      </w:r>
      <w:r>
        <w:rPr>
          <w:spacing w:val="-2"/>
        </w:rPr>
        <w:t>news</w:t>
      </w:r>
      <w:r>
        <w:rPr>
          <w:spacing w:val="-7"/>
        </w:rPr>
        <w:t> </w:t>
      </w:r>
      <w:r>
        <w:rPr>
          <w:spacing w:val="-2"/>
        </w:rPr>
        <w:t>to</w:t>
      </w:r>
      <w:r>
        <w:rPr>
          <w:spacing w:val="-15"/>
        </w:rPr>
        <w:t> </w:t>
      </w:r>
      <w:r>
        <w:rPr>
          <w:spacing w:val="-2"/>
        </w:rPr>
        <w:t>Antony,</w:t>
      </w:r>
      <w:r>
        <w:rPr>
          <w:spacing w:val="-5"/>
        </w:rPr>
        <w:t> </w:t>
      </w:r>
      <w:r>
        <w:rPr>
          <w:spacing w:val="-2"/>
        </w:rPr>
        <w:t>and he</w:t>
      </w:r>
      <w:r>
        <w:rPr>
          <w:spacing w:val="-4"/>
        </w:rPr>
        <w:t> </w:t>
      </w:r>
      <w:r>
        <w:rPr>
          <w:spacing w:val="-2"/>
        </w:rPr>
        <w:t>immediately</w:t>
      </w:r>
      <w:r>
        <w:rPr>
          <w:spacing w:val="-8"/>
        </w:rPr>
        <w:t> </w:t>
      </w:r>
      <w:r>
        <w:rPr>
          <w:spacing w:val="-2"/>
        </w:rPr>
        <w:t>decides</w:t>
      </w:r>
      <w:r>
        <w:rPr>
          <w:spacing w:val="-7"/>
        </w:rPr>
        <w:t> </w:t>
      </w:r>
      <w:r>
        <w:rPr>
          <w:spacing w:val="-2"/>
        </w:rPr>
        <w:t>to</w:t>
      </w:r>
      <w:r>
        <w:rPr>
          <w:spacing w:val="-5"/>
        </w:rPr>
        <w:t> </w:t>
      </w:r>
      <w:r>
        <w:rPr>
          <w:spacing w:val="-2"/>
        </w:rPr>
        <w:t>“o’ertake</w:t>
      </w:r>
    </w:p>
    <w:p>
      <w:pPr>
        <w:pStyle w:val="BodyText"/>
        <w:spacing w:line="216" w:lineRule="auto"/>
        <w:ind w:right="1440"/>
        <w:jc w:val="both"/>
      </w:pPr>
      <w:r>
        <w:rPr>
          <w:spacing w:val="-2"/>
        </w:rPr>
        <w:t>.</w:t>
      </w:r>
      <w:r>
        <w:rPr>
          <w:spacing w:val="-7"/>
        </w:rPr>
        <w:t> </w:t>
      </w:r>
      <w:r>
        <w:rPr>
          <w:spacing w:val="-2"/>
        </w:rPr>
        <w:t>.</w:t>
      </w:r>
      <w:r>
        <w:rPr>
          <w:spacing w:val="-7"/>
        </w:rPr>
        <w:t> </w:t>
      </w:r>
      <w:r>
        <w:rPr>
          <w:spacing w:val="-2"/>
        </w:rPr>
        <w:t>.</w:t>
      </w:r>
      <w:r>
        <w:rPr>
          <w:spacing w:val="-7"/>
        </w:rPr>
        <w:t> </w:t>
      </w:r>
      <w:r>
        <w:rPr>
          <w:spacing w:val="-2"/>
        </w:rPr>
        <w:t>Cleopatra”</w:t>
      </w:r>
      <w:r>
        <w:rPr>
          <w:spacing w:val="-7"/>
        </w:rPr>
        <w:t> </w:t>
      </w:r>
      <w:r>
        <w:rPr>
          <w:spacing w:val="-2"/>
        </w:rPr>
        <w:t>(4.14.55).</w:t>
      </w:r>
      <w:r>
        <w:rPr>
          <w:spacing w:val="-5"/>
        </w:rPr>
        <w:t> </w:t>
      </w:r>
      <w:r>
        <w:rPr>
          <w:spacing w:val="-2"/>
        </w:rPr>
        <w:t>Upon</w:t>
      </w:r>
      <w:r>
        <w:rPr>
          <w:spacing w:val="-9"/>
        </w:rPr>
        <w:t> </w:t>
      </w:r>
      <w:r>
        <w:rPr>
          <w:spacing w:val="-2"/>
        </w:rPr>
        <w:t>this</w:t>
      </w:r>
      <w:r>
        <w:rPr>
          <w:spacing w:val="-5"/>
        </w:rPr>
        <w:t> </w:t>
      </w:r>
      <w:r>
        <w:rPr>
          <w:spacing w:val="-2"/>
        </w:rPr>
        <w:t>Leslie</w:t>
      </w:r>
      <w:r>
        <w:rPr>
          <w:spacing w:val="-9"/>
        </w:rPr>
        <w:t> </w:t>
      </w:r>
      <w:r>
        <w:rPr>
          <w:spacing w:val="-2"/>
        </w:rPr>
        <w:t>Thompson’s</w:t>
      </w:r>
      <w:r>
        <w:rPr>
          <w:spacing w:val="-9"/>
        </w:rPr>
        <w:t> </w:t>
      </w:r>
      <w:r>
        <w:rPr>
          <w:spacing w:val="-2"/>
        </w:rPr>
        <w:t>comment</w:t>
      </w:r>
      <w:r>
        <w:rPr>
          <w:spacing w:val="-5"/>
        </w:rPr>
        <w:t> </w:t>
      </w:r>
      <w:r>
        <w:rPr>
          <w:spacing w:val="-2"/>
        </w:rPr>
        <w:t>is</w:t>
      </w:r>
      <w:r>
        <w:rPr>
          <w:spacing w:val="-9"/>
        </w:rPr>
        <w:t> </w:t>
      </w:r>
      <w:r>
        <w:rPr>
          <w:spacing w:val="-2"/>
        </w:rPr>
        <w:t>worth quoting:</w:t>
      </w:r>
    </w:p>
    <w:p>
      <w:pPr>
        <w:spacing w:line="208" w:lineRule="auto" w:before="50"/>
        <w:ind w:left="2160" w:right="2160" w:firstLine="0"/>
        <w:jc w:val="both"/>
        <w:rPr>
          <w:i/>
          <w:sz w:val="20"/>
        </w:rPr>
      </w:pPr>
      <w:r>
        <w:rPr>
          <w:i/>
          <w:sz w:val="20"/>
        </w:rPr>
        <w:t>When he is told that Cleopatra is dead, Antony vows to</w:t>
      </w:r>
      <w:r>
        <w:rPr>
          <w:i/>
          <w:spacing w:val="-3"/>
          <w:sz w:val="20"/>
        </w:rPr>
        <w:t> </w:t>
      </w:r>
      <w:r>
        <w:rPr>
          <w:i/>
          <w:sz w:val="20"/>
        </w:rPr>
        <w:t>‘o’ertake</w:t>
      </w:r>
      <w:r>
        <w:rPr>
          <w:i/>
          <w:spacing w:val="-3"/>
          <w:sz w:val="20"/>
        </w:rPr>
        <w:t> </w:t>
      </w:r>
      <w:r>
        <w:rPr>
          <w:i/>
          <w:sz w:val="20"/>
        </w:rPr>
        <w:t>(4.15.44)</w:t>
      </w:r>
      <w:r>
        <w:rPr>
          <w:i/>
          <w:spacing w:val="-5"/>
          <w:sz w:val="20"/>
        </w:rPr>
        <w:t> </w:t>
      </w:r>
      <w:r>
        <w:rPr>
          <w:i/>
          <w:sz w:val="20"/>
        </w:rPr>
        <w:t>her</w:t>
      </w:r>
      <w:r>
        <w:rPr>
          <w:i/>
          <w:spacing w:val="-3"/>
          <w:sz w:val="20"/>
        </w:rPr>
        <w:t> </w:t>
      </w:r>
      <w:r>
        <w:rPr>
          <w:i/>
          <w:sz w:val="20"/>
        </w:rPr>
        <w:t>by</w:t>
      </w:r>
      <w:r>
        <w:rPr>
          <w:i/>
          <w:spacing w:val="-3"/>
          <w:sz w:val="20"/>
        </w:rPr>
        <w:t> </w:t>
      </w:r>
      <w:r>
        <w:rPr>
          <w:i/>
          <w:sz w:val="20"/>
        </w:rPr>
        <w:t>the</w:t>
      </w:r>
      <w:r>
        <w:rPr>
          <w:i/>
          <w:spacing w:val="-4"/>
          <w:sz w:val="20"/>
        </w:rPr>
        <w:t> </w:t>
      </w:r>
      <w:r>
        <w:rPr>
          <w:i/>
          <w:sz w:val="20"/>
        </w:rPr>
        <w:t>only possible means: suicide.</w:t>
      </w:r>
      <w:r>
        <w:rPr>
          <w:i/>
          <w:spacing w:val="40"/>
          <w:sz w:val="20"/>
        </w:rPr>
        <w:t> </w:t>
      </w:r>
      <w:r>
        <w:rPr>
          <w:i/>
          <w:sz w:val="20"/>
        </w:rPr>
        <w:t>But</w:t>
      </w:r>
      <w:r>
        <w:rPr>
          <w:i/>
          <w:spacing w:val="40"/>
          <w:sz w:val="20"/>
        </w:rPr>
        <w:t> </w:t>
      </w:r>
      <w:r>
        <w:rPr>
          <w:i/>
          <w:sz w:val="20"/>
        </w:rPr>
        <w:t>this</w:t>
      </w:r>
      <w:r>
        <w:rPr>
          <w:i/>
          <w:spacing w:val="40"/>
          <w:sz w:val="20"/>
        </w:rPr>
        <w:t> </w:t>
      </w:r>
      <w:r>
        <w:rPr>
          <w:i/>
          <w:sz w:val="20"/>
        </w:rPr>
        <w:t>sequence</w:t>
      </w:r>
      <w:r>
        <w:rPr>
          <w:i/>
          <w:spacing w:val="40"/>
          <w:sz w:val="20"/>
        </w:rPr>
        <w:t> </w:t>
      </w:r>
      <w:r>
        <w:rPr>
          <w:i/>
          <w:sz w:val="20"/>
        </w:rPr>
        <w:t>is</w:t>
      </w:r>
      <w:r>
        <w:rPr>
          <w:i/>
          <w:spacing w:val="40"/>
          <w:sz w:val="20"/>
        </w:rPr>
        <w:t> </w:t>
      </w:r>
      <w:r>
        <w:rPr>
          <w:i/>
          <w:sz w:val="20"/>
        </w:rPr>
        <w:t>not</w:t>
      </w:r>
    </w:p>
    <w:p>
      <w:pPr>
        <w:spacing w:line="208" w:lineRule="auto" w:before="58"/>
        <w:ind w:left="2160" w:right="2159" w:firstLine="0"/>
        <w:jc w:val="both"/>
        <w:rPr>
          <w:i/>
          <w:sz w:val="20"/>
        </w:rPr>
      </w:pPr>
      <w:r>
        <w:rPr>
          <w:i/>
          <w:sz w:val="20"/>
        </w:rPr>
        <w:t>complete: Cleopatra is alive and the dying Antony asks to be taken to her for the ritual embrace of reconciliation. When he dies they are separated physically for</w:t>
      </w:r>
      <w:r>
        <w:rPr>
          <w:i/>
          <w:spacing w:val="-5"/>
          <w:sz w:val="20"/>
        </w:rPr>
        <w:t> </w:t>
      </w:r>
      <w:r>
        <w:rPr>
          <w:i/>
          <w:sz w:val="20"/>
        </w:rPr>
        <w:t>the</w:t>
      </w:r>
      <w:r>
        <w:rPr>
          <w:i/>
          <w:spacing w:val="-3"/>
          <w:sz w:val="20"/>
        </w:rPr>
        <w:t> </w:t>
      </w:r>
      <w:r>
        <w:rPr>
          <w:i/>
          <w:sz w:val="20"/>
        </w:rPr>
        <w:t>last</w:t>
      </w:r>
      <w:r>
        <w:rPr>
          <w:i/>
          <w:spacing w:val="-2"/>
          <w:sz w:val="20"/>
        </w:rPr>
        <w:t> </w:t>
      </w:r>
      <w:r>
        <w:rPr>
          <w:i/>
          <w:sz w:val="20"/>
        </w:rPr>
        <w:t>time</w:t>
      </w:r>
      <w:r>
        <w:rPr>
          <w:i/>
          <w:spacing w:val="-4"/>
          <w:sz w:val="20"/>
        </w:rPr>
        <w:t> </w:t>
      </w:r>
      <w:r>
        <w:rPr>
          <w:i/>
          <w:sz w:val="20"/>
        </w:rPr>
        <w:t>but,</w:t>
      </w:r>
      <w:r>
        <w:rPr>
          <w:i/>
          <w:spacing w:val="-1"/>
          <w:sz w:val="20"/>
        </w:rPr>
        <w:t> </w:t>
      </w:r>
      <w:r>
        <w:rPr>
          <w:i/>
          <w:sz w:val="20"/>
        </w:rPr>
        <w:t>also</w:t>
      </w:r>
      <w:r>
        <w:rPr>
          <w:i/>
          <w:spacing w:val="-1"/>
          <w:sz w:val="20"/>
        </w:rPr>
        <w:t> </w:t>
      </w:r>
      <w:r>
        <w:rPr>
          <w:i/>
          <w:sz w:val="20"/>
        </w:rPr>
        <w:t>for</w:t>
      </w:r>
      <w:r>
        <w:rPr>
          <w:i/>
          <w:spacing w:val="-3"/>
          <w:sz w:val="20"/>
        </w:rPr>
        <w:t> </w:t>
      </w:r>
      <w:r>
        <w:rPr>
          <w:i/>
          <w:sz w:val="20"/>
        </w:rPr>
        <w:t>the</w:t>
      </w:r>
      <w:r>
        <w:rPr>
          <w:i/>
          <w:spacing w:val="-5"/>
          <w:sz w:val="20"/>
        </w:rPr>
        <w:t> </w:t>
      </w:r>
      <w:r>
        <w:rPr>
          <w:i/>
          <w:sz w:val="20"/>
        </w:rPr>
        <w:t>final</w:t>
      </w:r>
      <w:r>
        <w:rPr>
          <w:i/>
          <w:spacing w:val="-2"/>
          <w:sz w:val="20"/>
        </w:rPr>
        <w:t> </w:t>
      </w:r>
      <w:r>
        <w:rPr>
          <w:i/>
          <w:sz w:val="20"/>
        </w:rPr>
        <w:t>time, it is Cleopatra who will make the movement towards Antony to finish the sequence and the play by dying herself</w:t>
      </w:r>
      <w:r>
        <w:rPr>
          <w:i/>
          <w:spacing w:val="40"/>
          <w:sz w:val="20"/>
        </w:rPr>
        <w:t> </w:t>
      </w:r>
      <w:r>
        <w:rPr>
          <w:i/>
          <w:sz w:val="20"/>
        </w:rPr>
        <w:t>and</w:t>
      </w:r>
      <w:r>
        <w:rPr>
          <w:i/>
          <w:spacing w:val="40"/>
          <w:sz w:val="20"/>
        </w:rPr>
        <w:t> </w:t>
      </w:r>
      <w:r>
        <w:rPr>
          <w:i/>
          <w:sz w:val="20"/>
        </w:rPr>
        <w:t>joining</w:t>
      </w:r>
      <w:r>
        <w:rPr>
          <w:i/>
          <w:spacing w:val="40"/>
          <w:sz w:val="20"/>
        </w:rPr>
        <w:t> </w:t>
      </w:r>
      <w:r>
        <w:rPr>
          <w:i/>
          <w:sz w:val="20"/>
        </w:rPr>
        <w:t>him</w:t>
      </w:r>
      <w:r>
        <w:rPr>
          <w:i/>
          <w:spacing w:val="40"/>
          <w:sz w:val="20"/>
        </w:rPr>
        <w:t> </w:t>
      </w:r>
      <w:r>
        <w:rPr>
          <w:i/>
          <w:sz w:val="20"/>
        </w:rPr>
        <w:t>in</w:t>
      </w:r>
      <w:r>
        <w:rPr>
          <w:i/>
          <w:spacing w:val="40"/>
          <w:sz w:val="20"/>
        </w:rPr>
        <w:t> </w:t>
      </w:r>
      <w:r>
        <w:rPr>
          <w:i/>
          <w:sz w:val="20"/>
        </w:rPr>
        <w:t>the</w:t>
      </w:r>
      <w:r>
        <w:rPr>
          <w:i/>
          <w:spacing w:val="40"/>
          <w:sz w:val="20"/>
        </w:rPr>
        <w:t> </w:t>
      </w:r>
      <w:r>
        <w:rPr>
          <w:i/>
          <w:sz w:val="20"/>
        </w:rPr>
        <w:t>world</w:t>
      </w:r>
      <w:r>
        <w:rPr>
          <w:i/>
          <w:spacing w:val="40"/>
          <w:sz w:val="20"/>
        </w:rPr>
        <w:t> </w:t>
      </w:r>
      <w:r>
        <w:rPr>
          <w:i/>
          <w:sz w:val="20"/>
        </w:rPr>
        <w:t>of</w:t>
      </w:r>
      <w:r>
        <w:rPr>
          <w:i/>
          <w:spacing w:val="40"/>
          <w:sz w:val="20"/>
        </w:rPr>
        <w:t> </w:t>
      </w:r>
      <w:r>
        <w:rPr>
          <w:i/>
          <w:sz w:val="20"/>
        </w:rPr>
        <w:t>myth.</w:t>
      </w:r>
      <w:r>
        <w:rPr>
          <w:i/>
          <w:sz w:val="20"/>
          <w:vertAlign w:val="superscript"/>
        </w:rPr>
        <w:t>24</w:t>
      </w:r>
    </w:p>
    <w:p>
      <w:pPr>
        <w:pStyle w:val="BodyText"/>
        <w:ind w:left="0"/>
        <w:rPr>
          <w:i/>
        </w:rPr>
      </w:pPr>
    </w:p>
    <w:p>
      <w:pPr>
        <w:pStyle w:val="BodyText"/>
        <w:spacing w:before="80"/>
        <w:ind w:left="0"/>
        <w:rPr>
          <w:i/>
        </w:rPr>
      </w:pPr>
      <w:r>
        <w:rPr>
          <w:i/>
        </w:rPr>
        <mc:AlternateContent>
          <mc:Choice Requires="wps">
            <w:drawing>
              <wp:anchor distT="0" distB="0" distL="0" distR="0" allowOverlap="1" layoutInCell="1" locked="0" behindDoc="1" simplePos="0" relativeHeight="487621632">
                <wp:simplePos x="0" y="0"/>
                <wp:positionH relativeFrom="page">
                  <wp:posOffset>2057400</wp:posOffset>
                </wp:positionH>
                <wp:positionV relativeFrom="paragraph">
                  <wp:posOffset>212365</wp:posOffset>
                </wp:positionV>
                <wp:extent cx="3657600" cy="13970"/>
                <wp:effectExtent l="0" t="0" r="0" b="0"/>
                <wp:wrapTopAndBottom/>
                <wp:docPr id="162" name="Graphic 162"/>
                <wp:cNvGraphicFramePr>
                  <a:graphicFrameLocks/>
                </wp:cNvGraphicFramePr>
                <a:graphic>
                  <a:graphicData uri="http://schemas.microsoft.com/office/word/2010/wordprocessingShape">
                    <wps:wsp>
                      <wps:cNvPr id="162" name="Graphic 162"/>
                      <wps:cNvSpPr/>
                      <wps:spPr>
                        <a:xfrm>
                          <a:off x="0" y="0"/>
                          <a:ext cx="3657600" cy="13970"/>
                        </a:xfrm>
                        <a:custGeom>
                          <a:avLst/>
                          <a:gdLst/>
                          <a:ahLst/>
                          <a:cxnLst/>
                          <a:rect l="l" t="t" r="r" b="b"/>
                          <a:pathLst>
                            <a:path w="3657600" h="13970">
                              <a:moveTo>
                                <a:pt x="0" y="0"/>
                              </a:moveTo>
                              <a:lnTo>
                                <a:pt x="3657600" y="0"/>
                              </a:lnTo>
                              <a:lnTo>
                                <a:pt x="3657600" y="13716"/>
                              </a:lnTo>
                              <a:lnTo>
                                <a:pt x="0" y="13716"/>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6.721682pt;width:288.000009pt;height:1.080002pt;mso-position-horizontal-relative:page;mso-position-vertical-relative:paragraph;z-index:-15694848;mso-wrap-distance-left:0;mso-wrap-distance-right:0" id="docshape158" filled="true" fillcolor="#000000" stroked="false">
                <v:fill type="solid"/>
                <w10:wrap type="topAndBottom"/>
              </v:rect>
            </w:pict>
          </mc:Fallback>
        </mc:AlternateContent>
      </w:r>
    </w:p>
    <w:p>
      <w:pPr>
        <w:spacing w:line="249" w:lineRule="auto" w:before="26"/>
        <w:ind w:left="1440" w:right="1437" w:firstLine="0"/>
        <w:jc w:val="left"/>
        <w:rPr>
          <w:sz w:val="18"/>
        </w:rPr>
      </w:pPr>
      <w:r>
        <w:rPr>
          <w:sz w:val="18"/>
          <w:vertAlign w:val="superscript"/>
        </w:rPr>
        <w:t>24</w:t>
      </w:r>
      <w:r>
        <w:rPr>
          <w:spacing w:val="-6"/>
          <w:sz w:val="18"/>
          <w:vertAlign w:val="baseline"/>
        </w:rPr>
        <w:t> </w:t>
      </w:r>
      <w:r>
        <w:rPr>
          <w:sz w:val="18"/>
          <w:vertAlign w:val="baseline"/>
        </w:rPr>
        <w:t>Leslie</w:t>
      </w:r>
      <w:r>
        <w:rPr>
          <w:spacing w:val="-8"/>
          <w:sz w:val="18"/>
          <w:vertAlign w:val="baseline"/>
        </w:rPr>
        <w:t> </w:t>
      </w:r>
      <w:r>
        <w:rPr>
          <w:sz w:val="18"/>
          <w:vertAlign w:val="baseline"/>
        </w:rPr>
        <w:t>Thompson,</w:t>
      </w:r>
      <w:r>
        <w:rPr>
          <w:spacing w:val="-3"/>
          <w:sz w:val="18"/>
          <w:vertAlign w:val="baseline"/>
        </w:rPr>
        <w:t> </w:t>
      </w:r>
      <w:r>
        <w:rPr>
          <w:sz w:val="18"/>
          <w:vertAlign w:val="baseline"/>
        </w:rPr>
        <w:t>“</w:t>
      </w:r>
      <w:r>
        <w:rPr>
          <w:i/>
          <w:sz w:val="18"/>
          <w:vertAlign w:val="baseline"/>
        </w:rPr>
        <w:t>Antony</w:t>
      </w:r>
      <w:r>
        <w:rPr>
          <w:i/>
          <w:spacing w:val="-5"/>
          <w:sz w:val="18"/>
          <w:vertAlign w:val="baseline"/>
        </w:rPr>
        <w:t> </w:t>
      </w:r>
      <w:r>
        <w:rPr>
          <w:i/>
          <w:sz w:val="18"/>
          <w:vertAlign w:val="baseline"/>
        </w:rPr>
        <w:t>and</w:t>
      </w:r>
      <w:r>
        <w:rPr>
          <w:i/>
          <w:spacing w:val="-5"/>
          <w:sz w:val="18"/>
          <w:vertAlign w:val="baseline"/>
        </w:rPr>
        <w:t> </w:t>
      </w:r>
      <w:r>
        <w:rPr>
          <w:i/>
          <w:sz w:val="18"/>
          <w:vertAlign w:val="baseline"/>
        </w:rPr>
        <w:t>Cleopatra,</w:t>
      </w:r>
      <w:r>
        <w:rPr>
          <w:i/>
          <w:spacing w:val="-2"/>
          <w:sz w:val="18"/>
          <w:vertAlign w:val="baseline"/>
        </w:rPr>
        <w:t> </w:t>
      </w:r>
      <w:r>
        <w:rPr>
          <w:sz w:val="18"/>
          <w:vertAlign w:val="baseline"/>
        </w:rPr>
        <w:t>Act</w:t>
      </w:r>
      <w:r>
        <w:rPr>
          <w:spacing w:val="-4"/>
          <w:sz w:val="18"/>
          <w:vertAlign w:val="baseline"/>
        </w:rPr>
        <w:t> </w:t>
      </w:r>
      <w:r>
        <w:rPr>
          <w:sz w:val="18"/>
          <w:vertAlign w:val="baseline"/>
        </w:rPr>
        <w:t>4</w:t>
      </w:r>
      <w:r>
        <w:rPr>
          <w:spacing w:val="-5"/>
          <w:sz w:val="18"/>
          <w:vertAlign w:val="baseline"/>
        </w:rPr>
        <w:t> </w:t>
      </w:r>
      <w:r>
        <w:rPr>
          <w:sz w:val="18"/>
          <w:vertAlign w:val="baseline"/>
        </w:rPr>
        <w:t>Scene</w:t>
      </w:r>
      <w:r>
        <w:rPr>
          <w:spacing w:val="-5"/>
          <w:sz w:val="18"/>
          <w:vertAlign w:val="baseline"/>
        </w:rPr>
        <w:t> </w:t>
      </w:r>
      <w:r>
        <w:rPr>
          <w:sz w:val="18"/>
          <w:vertAlign w:val="baseline"/>
        </w:rPr>
        <w:t>16:</w:t>
      </w:r>
      <w:r>
        <w:rPr>
          <w:spacing w:val="-3"/>
          <w:sz w:val="18"/>
          <w:vertAlign w:val="baseline"/>
        </w:rPr>
        <w:t> </w:t>
      </w:r>
      <w:r>
        <w:rPr>
          <w:sz w:val="18"/>
          <w:vertAlign w:val="baseline"/>
        </w:rPr>
        <w:t>‘A</w:t>
      </w:r>
      <w:r>
        <w:rPr>
          <w:spacing w:val="-15"/>
          <w:sz w:val="18"/>
          <w:vertAlign w:val="baseline"/>
        </w:rPr>
        <w:t> </w:t>
      </w:r>
      <w:r>
        <w:rPr>
          <w:sz w:val="18"/>
          <w:vertAlign w:val="baseline"/>
        </w:rPr>
        <w:t>Heavy</w:t>
      </w:r>
      <w:r>
        <w:rPr>
          <w:spacing w:val="-8"/>
          <w:sz w:val="18"/>
          <w:vertAlign w:val="baseline"/>
        </w:rPr>
        <w:t> </w:t>
      </w:r>
      <w:r>
        <w:rPr>
          <w:sz w:val="18"/>
          <w:vertAlign w:val="baseline"/>
        </w:rPr>
        <w:t>Sight’,” </w:t>
      </w:r>
      <w:r>
        <w:rPr>
          <w:i/>
          <w:sz w:val="18"/>
          <w:vertAlign w:val="baseline"/>
        </w:rPr>
        <w:t>Shakespeare</w:t>
      </w:r>
      <w:r>
        <w:rPr>
          <w:i/>
          <w:spacing w:val="40"/>
          <w:sz w:val="18"/>
          <w:vertAlign w:val="baseline"/>
        </w:rPr>
        <w:t> </w:t>
      </w:r>
      <w:r>
        <w:rPr>
          <w:i/>
          <w:sz w:val="18"/>
          <w:vertAlign w:val="baseline"/>
        </w:rPr>
        <w:t>Survey</w:t>
      </w:r>
      <w:r>
        <w:rPr>
          <w:sz w:val="18"/>
          <w:vertAlign w:val="baseline"/>
        </w:rPr>
        <w:t>,</w:t>
      </w:r>
      <w:r>
        <w:rPr>
          <w:spacing w:val="40"/>
          <w:sz w:val="18"/>
          <w:vertAlign w:val="baseline"/>
        </w:rPr>
        <w:t> </w:t>
      </w:r>
      <w:r>
        <w:rPr>
          <w:sz w:val="18"/>
          <w:vertAlign w:val="baseline"/>
        </w:rPr>
        <w:t>41</w:t>
      </w:r>
      <w:r>
        <w:rPr>
          <w:spacing w:val="40"/>
          <w:sz w:val="18"/>
          <w:vertAlign w:val="baseline"/>
        </w:rPr>
        <w:t> </w:t>
      </w:r>
      <w:r>
        <w:rPr>
          <w:sz w:val="18"/>
          <w:vertAlign w:val="baseline"/>
        </w:rPr>
        <w:t>(1988),</w:t>
      </w:r>
      <w:r>
        <w:rPr>
          <w:spacing w:val="40"/>
          <w:sz w:val="18"/>
          <w:vertAlign w:val="baseline"/>
        </w:rPr>
        <w:t> </w:t>
      </w:r>
      <w:r>
        <w:rPr>
          <w:sz w:val="18"/>
          <w:vertAlign w:val="baseline"/>
        </w:rPr>
        <w:t>p.</w:t>
      </w:r>
      <w:r>
        <w:rPr>
          <w:spacing w:val="40"/>
          <w:sz w:val="18"/>
          <w:vertAlign w:val="baseline"/>
        </w:rPr>
        <w:t> </w:t>
      </w:r>
      <w:r>
        <w:rPr>
          <w:sz w:val="18"/>
          <w:vertAlign w:val="baseline"/>
        </w:rPr>
        <w:t>81.</w:t>
      </w:r>
    </w:p>
    <w:p>
      <w:pPr>
        <w:spacing w:after="0" w:line="249" w:lineRule="auto"/>
        <w:jc w:val="left"/>
        <w:rPr>
          <w:sz w:val="18"/>
        </w:rPr>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22144">
                <wp:simplePos x="0" y="0"/>
                <wp:positionH relativeFrom="page">
                  <wp:posOffset>2065020</wp:posOffset>
                </wp:positionH>
                <wp:positionV relativeFrom="paragraph">
                  <wp:posOffset>795020</wp:posOffset>
                </wp:positionV>
                <wp:extent cx="3657600" cy="12700"/>
                <wp:effectExtent l="0" t="0" r="0" b="0"/>
                <wp:wrapTopAndBottom/>
                <wp:docPr id="163" name="Graphic 163"/>
                <wp:cNvGraphicFramePr>
                  <a:graphicFrameLocks/>
                </wp:cNvGraphicFramePr>
                <a:graphic>
                  <a:graphicData uri="http://schemas.microsoft.com/office/word/2010/wordprocessingShape">
                    <wps:wsp>
                      <wps:cNvPr id="163" name="Graphic 16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94336;mso-wrap-distance-left:0;mso-wrap-distance-right:0" id="docshape159" filled="true" fillcolor="#000000" stroked="false">
                <v:fill type="solid"/>
                <w10:wrap type="topAndBottom"/>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5"/>
          <w:sz w:val="18"/>
        </w:rPr>
        <w:t>19</w:t>
      </w:r>
    </w:p>
    <w:p>
      <w:pPr>
        <w:pStyle w:val="BodyText"/>
        <w:spacing w:line="261" w:lineRule="auto" w:before="199"/>
        <w:ind w:right="1440" w:firstLine="432"/>
        <w:jc w:val="both"/>
      </w:pPr>
      <w:r>
        <w:rPr/>
        <w:t>But misfortunes do not come alone. In committing suicide, he has to follow the Roman custom, which is for a loyal attendant to hold the sword</w:t>
      </w:r>
      <w:r>
        <w:rPr>
          <w:spacing w:val="-2"/>
        </w:rPr>
        <w:t> </w:t>
      </w:r>
      <w:r>
        <w:rPr/>
        <w:t>erect</w:t>
      </w:r>
      <w:r>
        <w:rPr>
          <w:spacing w:val="-6"/>
        </w:rPr>
        <w:t> </w:t>
      </w:r>
      <w:r>
        <w:rPr/>
        <w:t>and</w:t>
      </w:r>
      <w:r>
        <w:rPr>
          <w:spacing w:val="-2"/>
        </w:rPr>
        <w:t> </w:t>
      </w:r>
      <w:r>
        <w:rPr/>
        <w:t>then</w:t>
      </w:r>
      <w:r>
        <w:rPr>
          <w:spacing w:val="-4"/>
        </w:rPr>
        <w:t> </w:t>
      </w:r>
      <w:r>
        <w:rPr/>
        <w:t>the</w:t>
      </w:r>
      <w:r>
        <w:rPr>
          <w:spacing w:val="-6"/>
        </w:rPr>
        <w:t> </w:t>
      </w:r>
      <w:r>
        <w:rPr/>
        <w:t>general</w:t>
      </w:r>
      <w:r>
        <w:rPr>
          <w:spacing w:val="-2"/>
        </w:rPr>
        <w:t> </w:t>
      </w:r>
      <w:r>
        <w:rPr/>
        <w:t>to jump on</w:t>
      </w:r>
      <w:r>
        <w:rPr>
          <w:spacing w:val="-6"/>
        </w:rPr>
        <w:t> </w:t>
      </w:r>
      <w:r>
        <w:rPr/>
        <w:t>it.</w:t>
      </w:r>
      <w:r>
        <w:rPr>
          <w:spacing w:val="-2"/>
        </w:rPr>
        <w:t> </w:t>
      </w:r>
      <w:r>
        <w:rPr/>
        <w:t>But</w:t>
      </w:r>
      <w:r>
        <w:rPr>
          <w:spacing w:val="-2"/>
        </w:rPr>
        <w:t> </w:t>
      </w:r>
      <w:r>
        <w:rPr/>
        <w:t>Eros,</w:t>
      </w:r>
      <w:r>
        <w:rPr>
          <w:spacing w:val="-13"/>
        </w:rPr>
        <w:t> </w:t>
      </w:r>
      <w:r>
        <w:rPr/>
        <w:t>Antony’s</w:t>
      </w:r>
      <w:r>
        <w:rPr>
          <w:spacing w:val="-2"/>
        </w:rPr>
        <w:t> </w:t>
      </w:r>
      <w:r>
        <w:rPr/>
        <w:t>most loyal servant, kills himself rather than</w:t>
      </w:r>
      <w:r>
        <w:rPr>
          <w:spacing w:val="-3"/>
        </w:rPr>
        <w:t> </w:t>
      </w:r>
      <w:r>
        <w:rPr/>
        <w:t>Antony, and then</w:t>
      </w:r>
      <w:r>
        <w:rPr>
          <w:spacing w:val="-3"/>
        </w:rPr>
        <w:t> </w:t>
      </w:r>
      <w:r>
        <w:rPr/>
        <w:t>Antony jumps on his great Philippian sword only to get frustrated by seeing that he could not</w:t>
      </w:r>
      <w:r>
        <w:rPr>
          <w:spacing w:val="-3"/>
        </w:rPr>
        <w:t> </w:t>
      </w:r>
      <w:r>
        <w:rPr/>
        <w:t>kill</w:t>
      </w:r>
      <w:r>
        <w:rPr>
          <w:spacing w:val="-2"/>
        </w:rPr>
        <w:t> </w:t>
      </w:r>
      <w:r>
        <w:rPr/>
        <w:t>himself:</w:t>
      </w:r>
      <w:r>
        <w:rPr>
          <w:spacing w:val="-2"/>
        </w:rPr>
        <w:t> </w:t>
      </w:r>
      <w:r>
        <w:rPr/>
        <w:t>“How?</w:t>
      </w:r>
      <w:r>
        <w:rPr>
          <w:spacing w:val="-1"/>
        </w:rPr>
        <w:t> </w:t>
      </w:r>
      <w:r>
        <w:rPr/>
        <w:t>Not</w:t>
      </w:r>
      <w:r>
        <w:rPr>
          <w:spacing w:val="-2"/>
        </w:rPr>
        <w:t> </w:t>
      </w:r>
      <w:r>
        <w:rPr/>
        <w:t>dead? Not</w:t>
      </w:r>
      <w:r>
        <w:rPr>
          <w:spacing w:val="-2"/>
        </w:rPr>
        <w:t> </w:t>
      </w:r>
      <w:r>
        <w:rPr/>
        <w:t>dead?”</w:t>
      </w:r>
      <w:r>
        <w:rPr>
          <w:spacing w:val="-2"/>
        </w:rPr>
        <w:t> </w:t>
      </w:r>
      <w:r>
        <w:rPr/>
        <w:t>(4.14.104).</w:t>
      </w:r>
      <w:r>
        <w:rPr>
          <w:spacing w:val="-3"/>
        </w:rPr>
        <w:t> </w:t>
      </w:r>
      <w:r>
        <w:rPr/>
        <w:t>He</w:t>
      </w:r>
      <w:r>
        <w:rPr>
          <w:spacing w:val="-2"/>
        </w:rPr>
        <w:t> </w:t>
      </w:r>
      <w:r>
        <w:rPr/>
        <w:t>got only</w:t>
      </w:r>
      <w:r>
        <w:rPr>
          <w:spacing w:val="-13"/>
        </w:rPr>
        <w:t> </w:t>
      </w:r>
      <w:r>
        <w:rPr/>
        <w:t>severely</w:t>
      </w:r>
      <w:r>
        <w:rPr>
          <w:spacing w:val="-12"/>
        </w:rPr>
        <w:t> </w:t>
      </w:r>
      <w:r>
        <w:rPr/>
        <w:t>wounded.</w:t>
      </w:r>
      <w:r>
        <w:rPr>
          <w:spacing w:val="-11"/>
        </w:rPr>
        <w:t> </w:t>
      </w:r>
      <w:r>
        <w:rPr/>
        <w:t>Symbolically</w:t>
      </w:r>
      <w:r>
        <w:rPr>
          <w:spacing w:val="-13"/>
        </w:rPr>
        <w:t> </w:t>
      </w:r>
      <w:r>
        <w:rPr/>
        <w:t>speaking,</w:t>
      </w:r>
      <w:r>
        <w:rPr>
          <w:spacing w:val="-11"/>
        </w:rPr>
        <w:t> </w:t>
      </w:r>
      <w:r>
        <w:rPr/>
        <w:t>the</w:t>
      </w:r>
      <w:r>
        <w:rPr>
          <w:spacing w:val="-13"/>
        </w:rPr>
        <w:t> </w:t>
      </w:r>
      <w:r>
        <w:rPr/>
        <w:t>failed</w:t>
      </w:r>
      <w:r>
        <w:rPr>
          <w:spacing w:val="-9"/>
        </w:rPr>
        <w:t> </w:t>
      </w:r>
      <w:r>
        <w:rPr/>
        <w:t>sword</w:t>
      </w:r>
      <w:r>
        <w:rPr>
          <w:spacing w:val="-10"/>
        </w:rPr>
        <w:t> </w:t>
      </w:r>
      <w:r>
        <w:rPr/>
        <w:t>implies his</w:t>
      </w:r>
      <w:r>
        <w:rPr>
          <w:spacing w:val="40"/>
        </w:rPr>
        <w:t> </w:t>
      </w:r>
      <w:r>
        <w:rPr/>
        <w:t>deficient</w:t>
      </w:r>
      <w:r>
        <w:rPr>
          <w:spacing w:val="40"/>
        </w:rPr>
        <w:t> </w:t>
      </w:r>
      <w:r>
        <w:rPr/>
        <w:t>manhood.</w:t>
      </w:r>
    </w:p>
    <w:p>
      <w:pPr>
        <w:pStyle w:val="BodyText"/>
        <w:spacing w:line="261" w:lineRule="auto" w:before="52"/>
        <w:ind w:right="1437" w:firstLine="432"/>
        <w:jc w:val="both"/>
      </w:pPr>
      <w:r>
        <w:rPr/>
        <w:t>Antony’s wounded body is heaped up on Cleopatra’s monument, where</w:t>
      </w:r>
      <w:r>
        <w:rPr>
          <w:spacing w:val="-13"/>
        </w:rPr>
        <w:t> </w:t>
      </w:r>
      <w:r>
        <w:rPr/>
        <w:t>Antony</w:t>
      </w:r>
      <w:r>
        <w:rPr>
          <w:spacing w:val="-12"/>
        </w:rPr>
        <w:t> </w:t>
      </w:r>
      <w:r>
        <w:rPr/>
        <w:t>succumbs</w:t>
      </w:r>
      <w:r>
        <w:rPr>
          <w:spacing w:val="-9"/>
        </w:rPr>
        <w:t> </w:t>
      </w:r>
      <w:r>
        <w:rPr/>
        <w:t>to</w:t>
      </w:r>
      <w:r>
        <w:rPr>
          <w:spacing w:val="-7"/>
        </w:rPr>
        <w:t> </w:t>
      </w:r>
      <w:r>
        <w:rPr/>
        <w:t>his</w:t>
      </w:r>
      <w:r>
        <w:rPr>
          <w:spacing w:val="-9"/>
        </w:rPr>
        <w:t> </w:t>
      </w:r>
      <w:r>
        <w:rPr/>
        <w:t>injury</w:t>
      </w:r>
      <w:r>
        <w:rPr>
          <w:spacing w:val="-10"/>
        </w:rPr>
        <w:t> </w:t>
      </w:r>
      <w:r>
        <w:rPr/>
        <w:t>on</w:t>
      </w:r>
      <w:r>
        <w:rPr>
          <w:spacing w:val="-9"/>
        </w:rPr>
        <w:t> </w:t>
      </w:r>
      <w:r>
        <w:rPr/>
        <w:t>a</w:t>
      </w:r>
      <w:r>
        <w:rPr>
          <w:spacing w:val="-9"/>
        </w:rPr>
        <w:t> </w:t>
      </w:r>
      <w:r>
        <w:rPr/>
        <w:t>last</w:t>
      </w:r>
      <w:r>
        <w:rPr>
          <w:spacing w:val="-6"/>
        </w:rPr>
        <w:t> </w:t>
      </w:r>
      <w:r>
        <w:rPr/>
        <w:t>kiss</w:t>
      </w:r>
      <w:r>
        <w:rPr>
          <w:spacing w:val="-9"/>
        </w:rPr>
        <w:t> </w:t>
      </w:r>
      <w:r>
        <w:rPr/>
        <w:t>from</w:t>
      </w:r>
      <w:r>
        <w:rPr>
          <w:spacing w:val="-9"/>
        </w:rPr>
        <w:t> </w:t>
      </w:r>
      <w:r>
        <w:rPr/>
        <w:t>Cleopatra.</w:t>
      </w:r>
      <w:r>
        <w:rPr>
          <w:spacing w:val="-9"/>
        </w:rPr>
        <w:t> </w:t>
      </w:r>
      <w:r>
        <w:rPr/>
        <w:t>Here again,</w:t>
      </w:r>
      <w:r>
        <w:rPr>
          <w:spacing w:val="-4"/>
        </w:rPr>
        <w:t> </w:t>
      </w:r>
      <w:r>
        <w:rPr/>
        <w:t>Cleopatra</w:t>
      </w:r>
      <w:r>
        <w:rPr>
          <w:spacing w:val="-6"/>
        </w:rPr>
        <w:t> </w:t>
      </w:r>
      <w:r>
        <w:rPr/>
        <w:t>is</w:t>
      </w:r>
      <w:r>
        <w:rPr>
          <w:spacing w:val="-6"/>
        </w:rPr>
        <w:t> </w:t>
      </w:r>
      <w:r>
        <w:rPr/>
        <w:t>given</w:t>
      </w:r>
      <w:r>
        <w:rPr>
          <w:spacing w:val="-6"/>
        </w:rPr>
        <w:t> </w:t>
      </w:r>
      <w:r>
        <w:rPr/>
        <w:t>a</w:t>
      </w:r>
      <w:r>
        <w:rPr>
          <w:spacing w:val="-6"/>
        </w:rPr>
        <w:t> </w:t>
      </w:r>
      <w:r>
        <w:rPr/>
        <w:t>speech</w:t>
      </w:r>
      <w:r>
        <w:rPr>
          <w:spacing w:val="-8"/>
        </w:rPr>
        <w:t> </w:t>
      </w:r>
      <w:r>
        <w:rPr/>
        <w:t>which,</w:t>
      </w:r>
      <w:r>
        <w:rPr>
          <w:spacing w:val="-4"/>
        </w:rPr>
        <w:t> </w:t>
      </w:r>
      <w:r>
        <w:rPr/>
        <w:t>like</w:t>
      </w:r>
      <w:r>
        <w:rPr>
          <w:spacing w:val="-5"/>
        </w:rPr>
        <w:t> </w:t>
      </w:r>
      <w:r>
        <w:rPr/>
        <w:t>her</w:t>
      </w:r>
      <w:r>
        <w:rPr>
          <w:spacing w:val="-4"/>
        </w:rPr>
        <w:t> </w:t>
      </w:r>
      <w:r>
        <w:rPr/>
        <w:t>utterance</w:t>
      </w:r>
      <w:r>
        <w:rPr>
          <w:spacing w:val="-5"/>
        </w:rPr>
        <w:t> </w:t>
      </w:r>
      <w:r>
        <w:rPr/>
        <w:t>of</w:t>
      </w:r>
      <w:r>
        <w:rPr>
          <w:spacing w:val="-6"/>
        </w:rPr>
        <w:t> </w:t>
      </w:r>
      <w:r>
        <w:rPr/>
        <w:t>the</w:t>
      </w:r>
      <w:r>
        <w:rPr>
          <w:spacing w:val="-6"/>
        </w:rPr>
        <w:t> </w:t>
      </w:r>
      <w:r>
        <w:rPr/>
        <w:t>“Lord of lords” speech, does seem to me to be overblown, not supported by enough</w:t>
      </w:r>
      <w:r>
        <w:rPr>
          <w:spacing w:val="40"/>
        </w:rPr>
        <w:t> </w:t>
      </w:r>
      <w:r>
        <w:rPr/>
        <w:t>girth</w:t>
      </w:r>
      <w:r>
        <w:rPr>
          <w:spacing w:val="40"/>
        </w:rPr>
        <w:t> </w:t>
      </w:r>
      <w:r>
        <w:rPr/>
        <w:t>from Antony:</w:t>
      </w:r>
    </w:p>
    <w:p>
      <w:pPr>
        <w:spacing w:before="54"/>
        <w:ind w:left="2160" w:right="0" w:firstLine="0"/>
        <w:jc w:val="both"/>
        <w:rPr>
          <w:i/>
          <w:sz w:val="20"/>
        </w:rPr>
      </w:pPr>
      <w:r>
        <w:rPr>
          <w:i/>
          <w:sz w:val="20"/>
        </w:rPr>
        <w:t>“Noblest</w:t>
      </w:r>
      <w:r>
        <w:rPr>
          <w:i/>
          <w:spacing w:val="20"/>
          <w:sz w:val="20"/>
        </w:rPr>
        <w:t> </w:t>
      </w:r>
      <w:r>
        <w:rPr>
          <w:i/>
          <w:sz w:val="20"/>
        </w:rPr>
        <w:t>of</w:t>
      </w:r>
      <w:r>
        <w:rPr>
          <w:i/>
          <w:spacing w:val="24"/>
          <w:sz w:val="20"/>
        </w:rPr>
        <w:t> </w:t>
      </w:r>
      <w:r>
        <w:rPr>
          <w:i/>
          <w:sz w:val="20"/>
        </w:rPr>
        <w:t>men,</w:t>
      </w:r>
      <w:r>
        <w:rPr>
          <w:i/>
          <w:spacing w:val="22"/>
          <w:sz w:val="20"/>
        </w:rPr>
        <w:t> </w:t>
      </w:r>
      <w:r>
        <w:rPr>
          <w:i/>
          <w:sz w:val="20"/>
        </w:rPr>
        <w:t>woo’t</w:t>
      </w:r>
      <w:r>
        <w:rPr>
          <w:i/>
          <w:spacing w:val="23"/>
          <w:sz w:val="20"/>
        </w:rPr>
        <w:t> </w:t>
      </w:r>
      <w:r>
        <w:rPr>
          <w:i/>
          <w:spacing w:val="-4"/>
          <w:sz w:val="20"/>
        </w:rPr>
        <w:t>die?</w:t>
      </w:r>
    </w:p>
    <w:p>
      <w:pPr>
        <w:spacing w:line="261" w:lineRule="auto" w:before="80"/>
        <w:ind w:left="2160" w:right="2161" w:firstLine="0"/>
        <w:jc w:val="both"/>
        <w:rPr>
          <w:i/>
          <w:sz w:val="20"/>
        </w:rPr>
      </w:pPr>
      <w:r>
        <w:rPr>
          <w:i/>
          <w:sz w:val="20"/>
        </w:rPr>
        <w:t>Hast thou no care of me? Shall I abide In this dull world which in thy absence is No better than a sty?</w:t>
      </w:r>
      <w:r>
        <w:rPr>
          <w:i/>
          <w:spacing w:val="80"/>
          <w:sz w:val="20"/>
        </w:rPr>
        <w:t> </w:t>
      </w:r>
      <w:r>
        <w:rPr>
          <w:i/>
          <w:sz w:val="20"/>
        </w:rPr>
        <w:t>O see, my women,</w:t>
      </w:r>
    </w:p>
    <w:p>
      <w:pPr>
        <w:spacing w:line="264" w:lineRule="auto" w:before="54"/>
        <w:ind w:left="2160" w:right="2159" w:firstLine="0"/>
        <w:jc w:val="both"/>
        <w:rPr>
          <w:i/>
          <w:sz w:val="20"/>
        </w:rPr>
      </w:pPr>
      <w:r>
        <w:rPr>
          <w:i/>
          <w:sz w:val="20"/>
        </w:rPr>
        <w:t>The crown o’th’ earth doth melt! My lord! [Antony </w:t>
      </w:r>
      <w:r>
        <w:rPr>
          <w:i/>
          <w:spacing w:val="-2"/>
          <w:sz w:val="20"/>
        </w:rPr>
        <w:t>dies]</w:t>
      </w:r>
    </w:p>
    <w:p>
      <w:pPr>
        <w:spacing w:before="54"/>
        <w:ind w:left="2160" w:right="0" w:firstLine="0"/>
        <w:jc w:val="both"/>
        <w:rPr>
          <w:i/>
          <w:sz w:val="20"/>
        </w:rPr>
      </w:pPr>
      <w:r>
        <w:rPr>
          <w:i/>
          <w:sz w:val="20"/>
        </w:rPr>
        <w:t>O</w:t>
      </w:r>
      <w:r>
        <w:rPr>
          <w:i/>
          <w:spacing w:val="29"/>
          <w:sz w:val="20"/>
        </w:rPr>
        <w:t> </w:t>
      </w:r>
      <w:r>
        <w:rPr>
          <w:i/>
          <w:sz w:val="20"/>
        </w:rPr>
        <w:t>withered</w:t>
      </w:r>
      <w:r>
        <w:rPr>
          <w:i/>
          <w:spacing w:val="30"/>
          <w:sz w:val="20"/>
        </w:rPr>
        <w:t> </w:t>
      </w:r>
      <w:r>
        <w:rPr>
          <w:i/>
          <w:sz w:val="20"/>
        </w:rPr>
        <w:t>is</w:t>
      </w:r>
      <w:r>
        <w:rPr>
          <w:i/>
          <w:spacing w:val="29"/>
          <w:sz w:val="20"/>
        </w:rPr>
        <w:t> </w:t>
      </w:r>
      <w:r>
        <w:rPr>
          <w:i/>
          <w:sz w:val="20"/>
        </w:rPr>
        <w:t>the</w:t>
      </w:r>
      <w:r>
        <w:rPr>
          <w:i/>
          <w:spacing w:val="31"/>
          <w:sz w:val="20"/>
        </w:rPr>
        <w:t> </w:t>
      </w:r>
      <w:r>
        <w:rPr>
          <w:i/>
          <w:sz w:val="20"/>
        </w:rPr>
        <w:t>garland</w:t>
      </w:r>
      <w:r>
        <w:rPr>
          <w:i/>
          <w:spacing w:val="31"/>
          <w:sz w:val="20"/>
        </w:rPr>
        <w:t> </w:t>
      </w:r>
      <w:r>
        <w:rPr>
          <w:i/>
          <w:sz w:val="20"/>
        </w:rPr>
        <w:t>of</w:t>
      </w:r>
      <w:r>
        <w:rPr>
          <w:i/>
          <w:spacing w:val="31"/>
          <w:sz w:val="20"/>
        </w:rPr>
        <w:t> </w:t>
      </w:r>
      <w:r>
        <w:rPr>
          <w:i/>
          <w:sz w:val="20"/>
        </w:rPr>
        <w:t>the</w:t>
      </w:r>
      <w:r>
        <w:rPr>
          <w:i/>
          <w:spacing w:val="32"/>
          <w:sz w:val="20"/>
        </w:rPr>
        <w:t> </w:t>
      </w:r>
      <w:r>
        <w:rPr>
          <w:i/>
          <w:spacing w:val="-4"/>
          <w:sz w:val="20"/>
        </w:rPr>
        <w:t>war,</w:t>
      </w:r>
    </w:p>
    <w:p>
      <w:pPr>
        <w:spacing w:before="77"/>
        <w:ind w:left="2160" w:right="0" w:firstLine="0"/>
        <w:jc w:val="both"/>
        <w:rPr>
          <w:i/>
          <w:sz w:val="20"/>
        </w:rPr>
      </w:pPr>
      <w:r>
        <w:rPr>
          <w:i/>
          <w:sz w:val="20"/>
        </w:rPr>
        <w:t>The</w:t>
      </w:r>
      <w:r>
        <w:rPr>
          <w:i/>
          <w:spacing w:val="25"/>
          <w:sz w:val="20"/>
        </w:rPr>
        <w:t> </w:t>
      </w:r>
      <w:r>
        <w:rPr>
          <w:i/>
          <w:sz w:val="20"/>
        </w:rPr>
        <w:t>soldier’s</w:t>
      </w:r>
      <w:r>
        <w:rPr>
          <w:i/>
          <w:spacing w:val="28"/>
          <w:sz w:val="20"/>
        </w:rPr>
        <w:t> </w:t>
      </w:r>
      <w:r>
        <w:rPr>
          <w:i/>
          <w:sz w:val="20"/>
        </w:rPr>
        <w:t>poll</w:t>
      </w:r>
      <w:r>
        <w:rPr>
          <w:i/>
          <w:spacing w:val="28"/>
          <w:sz w:val="20"/>
        </w:rPr>
        <w:t> </w:t>
      </w:r>
      <w:r>
        <w:rPr>
          <w:i/>
          <w:sz w:val="20"/>
        </w:rPr>
        <w:t>is</w:t>
      </w:r>
      <w:r>
        <w:rPr>
          <w:i/>
          <w:spacing w:val="28"/>
          <w:sz w:val="20"/>
        </w:rPr>
        <w:t> </w:t>
      </w:r>
      <w:r>
        <w:rPr>
          <w:i/>
          <w:sz w:val="20"/>
        </w:rPr>
        <w:t>fallen;</w:t>
      </w:r>
      <w:r>
        <w:rPr>
          <w:i/>
          <w:spacing w:val="25"/>
          <w:sz w:val="20"/>
        </w:rPr>
        <w:t> </w:t>
      </w:r>
      <w:r>
        <w:rPr>
          <w:i/>
          <w:sz w:val="20"/>
        </w:rPr>
        <w:t>young</w:t>
      </w:r>
      <w:r>
        <w:rPr>
          <w:i/>
          <w:spacing w:val="30"/>
          <w:sz w:val="20"/>
        </w:rPr>
        <w:t> </w:t>
      </w:r>
      <w:r>
        <w:rPr>
          <w:i/>
          <w:sz w:val="20"/>
        </w:rPr>
        <w:t>boys</w:t>
      </w:r>
      <w:r>
        <w:rPr>
          <w:i/>
          <w:spacing w:val="28"/>
          <w:sz w:val="20"/>
        </w:rPr>
        <w:t> </w:t>
      </w:r>
      <w:r>
        <w:rPr>
          <w:i/>
          <w:sz w:val="20"/>
        </w:rPr>
        <w:t>and</w:t>
      </w:r>
      <w:r>
        <w:rPr>
          <w:i/>
          <w:spacing w:val="29"/>
          <w:sz w:val="20"/>
        </w:rPr>
        <w:t> </w:t>
      </w:r>
      <w:r>
        <w:rPr>
          <w:i/>
          <w:spacing w:val="-2"/>
          <w:sz w:val="20"/>
        </w:rPr>
        <w:t>girls</w:t>
      </w:r>
    </w:p>
    <w:p>
      <w:pPr>
        <w:spacing w:line="261" w:lineRule="auto" w:before="79"/>
        <w:ind w:left="2160" w:right="2161" w:firstLine="0"/>
        <w:jc w:val="both"/>
        <w:rPr>
          <w:i/>
          <w:sz w:val="20"/>
        </w:rPr>
      </w:pPr>
      <w:r>
        <w:rPr>
          <w:i/>
          <w:sz w:val="20"/>
        </w:rPr>
        <w:t>Are level now with men; the odds is gone And there</w:t>
      </w:r>
      <w:r>
        <w:rPr>
          <w:i/>
          <w:spacing w:val="80"/>
          <w:sz w:val="20"/>
        </w:rPr>
        <w:t> </w:t>
      </w:r>
      <w:r>
        <w:rPr>
          <w:i/>
          <w:sz w:val="20"/>
        </w:rPr>
        <w:t>is</w:t>
      </w:r>
      <w:r>
        <w:rPr>
          <w:i/>
          <w:spacing w:val="-13"/>
          <w:sz w:val="20"/>
        </w:rPr>
        <w:t> </w:t>
      </w:r>
      <w:r>
        <w:rPr>
          <w:i/>
          <w:sz w:val="20"/>
        </w:rPr>
        <w:t>nothing</w:t>
      </w:r>
      <w:r>
        <w:rPr>
          <w:i/>
          <w:spacing w:val="-12"/>
          <w:sz w:val="20"/>
        </w:rPr>
        <w:t> </w:t>
      </w:r>
      <w:r>
        <w:rPr>
          <w:i/>
          <w:sz w:val="20"/>
        </w:rPr>
        <w:t>left</w:t>
      </w:r>
      <w:r>
        <w:rPr>
          <w:i/>
          <w:spacing w:val="-13"/>
          <w:sz w:val="20"/>
        </w:rPr>
        <w:t> </w:t>
      </w:r>
      <w:r>
        <w:rPr>
          <w:i/>
          <w:sz w:val="20"/>
        </w:rPr>
        <w:t>remarkable</w:t>
      </w:r>
      <w:r>
        <w:rPr>
          <w:i/>
          <w:spacing w:val="-12"/>
          <w:sz w:val="20"/>
        </w:rPr>
        <w:t> </w:t>
      </w:r>
      <w:r>
        <w:rPr>
          <w:i/>
          <w:sz w:val="20"/>
        </w:rPr>
        <w:t>Beneath</w:t>
      </w:r>
      <w:r>
        <w:rPr>
          <w:i/>
          <w:spacing w:val="-13"/>
          <w:sz w:val="20"/>
        </w:rPr>
        <w:t> </w:t>
      </w:r>
      <w:r>
        <w:rPr>
          <w:i/>
          <w:sz w:val="20"/>
        </w:rPr>
        <w:t>the</w:t>
      </w:r>
      <w:r>
        <w:rPr>
          <w:i/>
          <w:spacing w:val="-12"/>
          <w:sz w:val="20"/>
        </w:rPr>
        <w:t> </w:t>
      </w:r>
      <w:r>
        <w:rPr>
          <w:i/>
          <w:sz w:val="20"/>
        </w:rPr>
        <w:t>visiting</w:t>
      </w:r>
      <w:r>
        <w:rPr>
          <w:i/>
          <w:spacing w:val="-13"/>
          <w:sz w:val="20"/>
        </w:rPr>
        <w:t> </w:t>
      </w:r>
      <w:r>
        <w:rPr>
          <w:i/>
          <w:sz w:val="20"/>
        </w:rPr>
        <w:t>moon.” </w:t>
      </w:r>
      <w:r>
        <w:rPr>
          <w:i/>
          <w:spacing w:val="-2"/>
          <w:sz w:val="20"/>
        </w:rPr>
        <w:t>(4.15.61-70)</w:t>
      </w:r>
    </w:p>
    <w:p>
      <w:pPr>
        <w:pStyle w:val="BodyText"/>
        <w:spacing w:line="261" w:lineRule="auto" w:before="55"/>
        <w:ind w:right="1437" w:firstLine="432"/>
        <w:jc w:val="both"/>
      </w:pPr>
      <w:r>
        <w:rPr/>
        <w:t>We understand that a hyperbolical rendition of the effect of Antony’s death is very much in order here, and from Cleopatra’s perspective, she cannot say less. And her priorities have to be acknowledged as of prime importance, because she will travel to “the secret house of death / Ere death dare come to us” (4.5.85-86).</w:t>
      </w:r>
      <w:r>
        <w:rPr>
          <w:spacing w:val="-10"/>
        </w:rPr>
        <w:t> </w:t>
      </w:r>
      <w:r>
        <w:rPr/>
        <w:t>And her choice is “the briefest end” (4.5.95).</w:t>
      </w:r>
    </w:p>
    <w:p>
      <w:pPr>
        <w:pStyle w:val="BodyText"/>
        <w:spacing w:line="261" w:lineRule="auto" w:before="56"/>
        <w:ind w:right="1439" w:firstLine="432"/>
        <w:jc w:val="both"/>
      </w:pPr>
      <w:r>
        <w:rPr/>
        <w:t>In</w:t>
      </w:r>
      <w:r>
        <w:rPr>
          <w:spacing w:val="-6"/>
        </w:rPr>
        <w:t> </w:t>
      </w:r>
      <w:r>
        <w:rPr/>
        <w:t>her</w:t>
      </w:r>
      <w:r>
        <w:rPr>
          <w:spacing w:val="-2"/>
        </w:rPr>
        <w:t> </w:t>
      </w:r>
      <w:r>
        <w:rPr/>
        <w:t>mind,</w:t>
      </w:r>
      <w:r>
        <w:rPr>
          <w:spacing w:val="-4"/>
        </w:rPr>
        <w:t> </w:t>
      </w:r>
      <w:r>
        <w:rPr/>
        <w:t>the</w:t>
      </w:r>
      <w:r>
        <w:rPr>
          <w:spacing w:val="-5"/>
        </w:rPr>
        <w:t> </w:t>
      </w:r>
      <w:r>
        <w:rPr/>
        <w:t>dilution</w:t>
      </w:r>
      <w:r>
        <w:rPr>
          <w:spacing w:val="-4"/>
        </w:rPr>
        <w:t> </w:t>
      </w:r>
      <w:r>
        <w:rPr/>
        <w:t>of</w:t>
      </w:r>
      <w:r>
        <w:rPr>
          <w:spacing w:val="-8"/>
        </w:rPr>
        <w:t> </w:t>
      </w:r>
      <w:r>
        <w:rPr/>
        <w:t>both</w:t>
      </w:r>
      <w:r>
        <w:rPr>
          <w:spacing w:val="-6"/>
        </w:rPr>
        <w:t> </w:t>
      </w:r>
      <w:r>
        <w:rPr/>
        <w:t>Rome</w:t>
      </w:r>
      <w:r>
        <w:rPr>
          <w:spacing w:val="-6"/>
        </w:rPr>
        <w:t> </w:t>
      </w:r>
      <w:r>
        <w:rPr/>
        <w:t>and Egypt,</w:t>
      </w:r>
      <w:r>
        <w:rPr>
          <w:spacing w:val="-4"/>
        </w:rPr>
        <w:t> </w:t>
      </w:r>
      <w:r>
        <w:rPr/>
        <w:t>in</w:t>
      </w:r>
      <w:r>
        <w:rPr>
          <w:spacing w:val="-6"/>
        </w:rPr>
        <w:t> </w:t>
      </w:r>
      <w:r>
        <w:rPr/>
        <w:t>the</w:t>
      </w:r>
      <w:r>
        <w:rPr>
          <w:spacing w:val="-3"/>
        </w:rPr>
        <w:t> </w:t>
      </w:r>
      <w:r>
        <w:rPr/>
        <w:t>Tiber</w:t>
      </w:r>
      <w:r>
        <w:rPr>
          <w:spacing w:val="-4"/>
        </w:rPr>
        <w:t> </w:t>
      </w:r>
      <w:r>
        <w:rPr/>
        <w:t>and </w:t>
      </w:r>
      <w:r>
        <w:rPr>
          <w:spacing w:val="-2"/>
        </w:rPr>
        <w:t>the</w:t>
      </w:r>
      <w:r>
        <w:rPr>
          <w:spacing w:val="-11"/>
        </w:rPr>
        <w:t> </w:t>
      </w:r>
      <w:r>
        <w:rPr>
          <w:spacing w:val="-2"/>
        </w:rPr>
        <w:t>Nile,</w:t>
      </w:r>
      <w:r>
        <w:rPr>
          <w:spacing w:val="-10"/>
        </w:rPr>
        <w:t> </w:t>
      </w:r>
      <w:r>
        <w:rPr>
          <w:spacing w:val="-2"/>
        </w:rPr>
        <w:t>respectively,</w:t>
      </w:r>
      <w:r>
        <w:rPr>
          <w:spacing w:val="-11"/>
        </w:rPr>
        <w:t> </w:t>
      </w:r>
      <w:r>
        <w:rPr>
          <w:spacing w:val="-2"/>
        </w:rPr>
        <w:t>is</w:t>
      </w:r>
      <w:r>
        <w:rPr>
          <w:spacing w:val="-10"/>
        </w:rPr>
        <w:t> </w:t>
      </w:r>
      <w:r>
        <w:rPr>
          <w:spacing w:val="-2"/>
        </w:rPr>
        <w:t>making</w:t>
      </w:r>
      <w:r>
        <w:rPr>
          <w:spacing w:val="-11"/>
        </w:rPr>
        <w:t> </w:t>
      </w:r>
      <w:r>
        <w:rPr>
          <w:spacing w:val="-2"/>
        </w:rPr>
        <w:t>a</w:t>
      </w:r>
      <w:r>
        <w:rPr>
          <w:spacing w:val="-10"/>
        </w:rPr>
        <w:t> </w:t>
      </w:r>
      <w:r>
        <w:rPr>
          <w:spacing w:val="-2"/>
        </w:rPr>
        <w:t>further</w:t>
      </w:r>
      <w:r>
        <w:rPr>
          <w:spacing w:val="-11"/>
        </w:rPr>
        <w:t> </w:t>
      </w:r>
      <w:r>
        <w:rPr>
          <w:spacing w:val="-2"/>
        </w:rPr>
        <w:t>reduction,</w:t>
      </w:r>
      <w:r>
        <w:rPr>
          <w:spacing w:val="-10"/>
        </w:rPr>
        <w:t> </w:t>
      </w:r>
      <w:r>
        <w:rPr>
          <w:spacing w:val="-2"/>
        </w:rPr>
        <w:t>where</w:t>
      </w:r>
      <w:r>
        <w:rPr>
          <w:spacing w:val="-11"/>
        </w:rPr>
        <w:t> </w:t>
      </w:r>
      <w:r>
        <w:rPr>
          <w:spacing w:val="-2"/>
        </w:rPr>
        <w:t>Caesar</w:t>
      </w:r>
      <w:r>
        <w:rPr>
          <w:spacing w:val="-10"/>
        </w:rPr>
        <w:t> </w:t>
      </w:r>
      <w:r>
        <w:rPr>
          <w:spacing w:val="-2"/>
        </w:rPr>
        <w:t>appears </w:t>
      </w:r>
      <w:r>
        <w:rPr/>
        <w:t>to be the object to be melted: “’Tis paltry to be Caesar. Not being Fortune,</w:t>
      </w:r>
      <w:r>
        <w:rPr>
          <w:spacing w:val="-9"/>
        </w:rPr>
        <w:t> </w:t>
      </w:r>
      <w:r>
        <w:rPr/>
        <w:t>he’s</w:t>
      </w:r>
      <w:r>
        <w:rPr>
          <w:spacing w:val="-7"/>
        </w:rPr>
        <w:t> </w:t>
      </w:r>
      <w:r>
        <w:rPr/>
        <w:t>but</w:t>
      </w:r>
      <w:r>
        <w:rPr>
          <w:spacing w:val="-4"/>
        </w:rPr>
        <w:t> </w:t>
      </w:r>
      <w:r>
        <w:rPr/>
        <w:t>Fortune’s</w:t>
      </w:r>
      <w:r>
        <w:rPr>
          <w:spacing w:val="-4"/>
        </w:rPr>
        <w:t> </w:t>
      </w:r>
      <w:r>
        <w:rPr/>
        <w:t>knave,</w:t>
      </w:r>
      <w:r>
        <w:rPr>
          <w:spacing w:val="-5"/>
        </w:rPr>
        <w:t> </w:t>
      </w:r>
      <w:r>
        <w:rPr/>
        <w:t>/</w:t>
      </w:r>
      <w:r>
        <w:rPr>
          <w:spacing w:val="-13"/>
        </w:rPr>
        <w:t> </w:t>
      </w:r>
      <w:r>
        <w:rPr/>
        <w:t>A</w:t>
      </w:r>
      <w:r>
        <w:rPr>
          <w:spacing w:val="-12"/>
        </w:rPr>
        <w:t> </w:t>
      </w:r>
      <w:r>
        <w:rPr/>
        <w:t>minister</w:t>
      </w:r>
      <w:r>
        <w:rPr>
          <w:spacing w:val="-5"/>
        </w:rPr>
        <w:t> </w:t>
      </w:r>
      <w:r>
        <w:rPr/>
        <w:t>of</w:t>
      </w:r>
      <w:r>
        <w:rPr>
          <w:spacing w:val="-5"/>
        </w:rPr>
        <w:t> </w:t>
      </w:r>
      <w:r>
        <w:rPr/>
        <w:t>her</w:t>
      </w:r>
      <w:r>
        <w:rPr>
          <w:spacing w:val="-4"/>
        </w:rPr>
        <w:t> </w:t>
      </w:r>
      <w:r>
        <w:rPr/>
        <w:t>will”</w:t>
      </w:r>
      <w:r>
        <w:rPr>
          <w:spacing w:val="-7"/>
        </w:rPr>
        <w:t> </w:t>
      </w:r>
      <w:r>
        <w:rPr/>
        <w:t>(5.2.2-4).</w:t>
      </w:r>
      <w:r>
        <w:rPr>
          <w:spacing w:val="-13"/>
        </w:rPr>
        <w:t> </w:t>
      </w:r>
      <w:r>
        <w:rPr/>
        <w:t>As against</w:t>
      </w:r>
      <w:r>
        <w:rPr>
          <w:spacing w:val="-2"/>
        </w:rPr>
        <w:t> </w:t>
      </w:r>
      <w:r>
        <w:rPr/>
        <w:t>this</w:t>
      </w:r>
      <w:r>
        <w:rPr>
          <w:spacing w:val="-2"/>
        </w:rPr>
        <w:t> </w:t>
      </w:r>
      <w:r>
        <w:rPr/>
        <w:t>pitiable</w:t>
      </w:r>
      <w:r>
        <w:rPr>
          <w:spacing w:val="-1"/>
        </w:rPr>
        <w:t> </w:t>
      </w:r>
      <w:r>
        <w:rPr/>
        <w:t>image</w:t>
      </w:r>
      <w:r>
        <w:rPr>
          <w:spacing w:val="-1"/>
        </w:rPr>
        <w:t> </w:t>
      </w:r>
      <w:r>
        <w:rPr/>
        <w:t>of</w:t>
      </w:r>
      <w:r>
        <w:rPr>
          <w:spacing w:val="-2"/>
        </w:rPr>
        <w:t> </w:t>
      </w:r>
      <w:r>
        <w:rPr/>
        <w:t>Caesar, she</w:t>
      </w:r>
      <w:r>
        <w:rPr>
          <w:spacing w:val="-2"/>
        </w:rPr>
        <w:t> </w:t>
      </w:r>
      <w:r>
        <w:rPr/>
        <w:t>formulates</w:t>
      </w:r>
      <w:r>
        <w:rPr>
          <w:spacing w:val="-4"/>
        </w:rPr>
        <w:t> </w:t>
      </w:r>
      <w:r>
        <w:rPr/>
        <w:t>another hyperbolic image</w:t>
      </w:r>
      <w:r>
        <w:rPr>
          <w:spacing w:val="40"/>
        </w:rPr>
        <w:t> </w:t>
      </w:r>
      <w:r>
        <w:rPr/>
        <w:t>of Antony</w:t>
      </w:r>
      <w:r>
        <w:rPr>
          <w:spacing w:val="35"/>
        </w:rPr>
        <w:t> </w:t>
      </w:r>
      <w:r>
        <w:rPr/>
        <w:t>that</w:t>
      </w:r>
      <w:r>
        <w:rPr>
          <w:spacing w:val="40"/>
        </w:rPr>
        <w:t> </w:t>
      </w:r>
      <w:r>
        <w:rPr/>
        <w:t>somehow</w:t>
      </w:r>
      <w:r>
        <w:rPr>
          <w:spacing w:val="35"/>
        </w:rPr>
        <w:t> </w:t>
      </w:r>
      <w:r>
        <w:rPr/>
        <w:t>seems</w:t>
      </w:r>
      <w:r>
        <w:rPr>
          <w:spacing w:val="40"/>
        </w:rPr>
        <w:t> </w:t>
      </w:r>
      <w:r>
        <w:rPr/>
        <w:t>to</w:t>
      </w:r>
      <w:r>
        <w:rPr>
          <w:spacing w:val="40"/>
        </w:rPr>
        <w:t> </w:t>
      </w:r>
      <w:r>
        <w:rPr/>
        <w:t>me</w:t>
      </w:r>
      <w:r>
        <w:rPr>
          <w:spacing w:val="40"/>
        </w:rPr>
        <w:t> </w:t>
      </w:r>
      <w:r>
        <w:rPr/>
        <w:t>to</w:t>
      </w:r>
      <w:r>
        <w:rPr>
          <w:spacing w:val="40"/>
        </w:rPr>
        <w:t> </w:t>
      </w:r>
      <w:r>
        <w:rPr/>
        <w:t>be</w:t>
      </w:r>
      <w:r>
        <w:rPr>
          <w:spacing w:val="40"/>
        </w:rPr>
        <w:t> </w:t>
      </w:r>
      <w:r>
        <w:rPr/>
        <w:t>forced:</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22656">
                <wp:simplePos x="0" y="0"/>
                <wp:positionH relativeFrom="page">
                  <wp:posOffset>2057400</wp:posOffset>
                </wp:positionH>
                <wp:positionV relativeFrom="paragraph">
                  <wp:posOffset>162604</wp:posOffset>
                </wp:positionV>
                <wp:extent cx="3657600" cy="12700"/>
                <wp:effectExtent l="0" t="0" r="0" b="0"/>
                <wp:wrapTopAndBottom/>
                <wp:docPr id="164" name="Graphic 164"/>
                <wp:cNvGraphicFramePr>
                  <a:graphicFrameLocks/>
                </wp:cNvGraphicFramePr>
                <a:graphic>
                  <a:graphicData uri="http://schemas.microsoft.com/office/word/2010/wordprocessingShape">
                    <wps:wsp>
                      <wps:cNvPr id="164" name="Graphic 16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93824;mso-wrap-distance-left:0;mso-wrap-distance-right:0" id="docshape160" filled="true" fillcolor="#000000" stroked="false">
                <v:fill type="solid"/>
                <w10:wrap type="topAndBottom"/>
              </v:rect>
            </w:pict>
          </mc:Fallback>
        </mc:AlternateContent>
      </w:r>
      <w:r>
        <w:rPr>
          <w:rFonts w:ascii="Verdana"/>
          <w:spacing w:val="-5"/>
          <w:sz w:val="18"/>
        </w:rPr>
        <w:t>20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line="218" w:lineRule="auto" w:before="187"/>
        <w:ind w:left="2160" w:right="2161" w:firstLine="0"/>
        <w:jc w:val="both"/>
        <w:rPr>
          <w:i/>
          <w:sz w:val="20"/>
        </w:rPr>
      </w:pPr>
      <w:r>
        <w:rPr>
          <w:i/>
          <w:sz w:val="20"/>
        </w:rPr>
        <w:t>“His legs bestrid the ocean; his reared arm Crested the world; his voice was propertied As all the tuned spheres,</w:t>
      </w:r>
      <w:r>
        <w:rPr>
          <w:i/>
          <w:spacing w:val="40"/>
          <w:sz w:val="20"/>
        </w:rPr>
        <w:t> </w:t>
      </w:r>
      <w:r>
        <w:rPr>
          <w:i/>
          <w:sz w:val="20"/>
        </w:rPr>
        <w:t>and</w:t>
      </w:r>
      <w:r>
        <w:rPr>
          <w:i/>
          <w:spacing w:val="40"/>
          <w:sz w:val="20"/>
        </w:rPr>
        <w:t> </w:t>
      </w:r>
      <w:r>
        <w:rPr>
          <w:i/>
          <w:sz w:val="20"/>
        </w:rPr>
        <w:t>that</w:t>
      </w:r>
      <w:r>
        <w:rPr>
          <w:i/>
          <w:spacing w:val="40"/>
          <w:sz w:val="20"/>
        </w:rPr>
        <w:t> </w:t>
      </w:r>
      <w:r>
        <w:rPr>
          <w:i/>
          <w:sz w:val="20"/>
        </w:rPr>
        <w:t>to</w:t>
      </w:r>
      <w:r>
        <w:rPr>
          <w:i/>
          <w:spacing w:val="40"/>
          <w:sz w:val="20"/>
        </w:rPr>
        <w:t> </w:t>
      </w:r>
      <w:r>
        <w:rPr>
          <w:i/>
          <w:sz w:val="20"/>
        </w:rPr>
        <w:t>friends;</w:t>
      </w:r>
    </w:p>
    <w:p>
      <w:pPr>
        <w:spacing w:line="218" w:lineRule="auto" w:before="61"/>
        <w:ind w:left="2160" w:right="2161" w:firstLine="0"/>
        <w:jc w:val="both"/>
        <w:rPr>
          <w:i/>
          <w:sz w:val="20"/>
        </w:rPr>
      </w:pPr>
      <w:r>
        <w:rPr>
          <w:i/>
          <w:sz w:val="20"/>
        </w:rPr>
        <w:t>But when he meant to quail and shake the orb, He was</w:t>
      </w:r>
      <w:r>
        <w:rPr>
          <w:i/>
          <w:spacing w:val="40"/>
          <w:sz w:val="20"/>
        </w:rPr>
        <w:t> </w:t>
      </w:r>
      <w:r>
        <w:rPr>
          <w:i/>
          <w:sz w:val="20"/>
        </w:rPr>
        <w:t>as</w:t>
      </w:r>
      <w:r>
        <w:rPr>
          <w:i/>
          <w:spacing w:val="40"/>
          <w:sz w:val="20"/>
        </w:rPr>
        <w:t> </w:t>
      </w:r>
      <w:r>
        <w:rPr>
          <w:i/>
          <w:sz w:val="20"/>
        </w:rPr>
        <w:t>rattling</w:t>
      </w:r>
      <w:r>
        <w:rPr>
          <w:i/>
          <w:spacing w:val="40"/>
          <w:sz w:val="20"/>
        </w:rPr>
        <w:t> </w:t>
      </w:r>
      <w:r>
        <w:rPr>
          <w:i/>
          <w:sz w:val="20"/>
        </w:rPr>
        <w:t>thunder.</w:t>
      </w:r>
      <w:r>
        <w:rPr>
          <w:i/>
          <w:spacing w:val="40"/>
          <w:sz w:val="20"/>
        </w:rPr>
        <w:t> </w:t>
      </w:r>
      <w:r>
        <w:rPr>
          <w:i/>
          <w:sz w:val="20"/>
        </w:rPr>
        <w:t>For</w:t>
      </w:r>
      <w:r>
        <w:rPr>
          <w:i/>
          <w:spacing w:val="40"/>
          <w:sz w:val="20"/>
        </w:rPr>
        <w:t> </w:t>
      </w:r>
      <w:r>
        <w:rPr>
          <w:i/>
          <w:sz w:val="20"/>
        </w:rPr>
        <w:t>his</w:t>
      </w:r>
      <w:r>
        <w:rPr>
          <w:i/>
          <w:spacing w:val="40"/>
          <w:sz w:val="20"/>
        </w:rPr>
        <w:t> </w:t>
      </w:r>
      <w:r>
        <w:rPr>
          <w:i/>
          <w:sz w:val="20"/>
        </w:rPr>
        <w:t>bounty,</w:t>
      </w:r>
    </w:p>
    <w:p>
      <w:pPr>
        <w:spacing w:line="218" w:lineRule="auto" w:before="59"/>
        <w:ind w:left="2160" w:right="2160" w:firstLine="0"/>
        <w:jc w:val="both"/>
        <w:rPr>
          <w:i/>
          <w:sz w:val="20"/>
        </w:rPr>
      </w:pPr>
      <w:r>
        <w:rPr>
          <w:i/>
          <w:sz w:val="20"/>
        </w:rPr>
        <w:t>There</w:t>
      </w:r>
      <w:r>
        <w:rPr>
          <w:i/>
          <w:spacing w:val="-3"/>
          <w:sz w:val="20"/>
        </w:rPr>
        <w:t> </w:t>
      </w:r>
      <w:r>
        <w:rPr>
          <w:i/>
          <w:sz w:val="20"/>
        </w:rPr>
        <w:t>was</w:t>
      </w:r>
      <w:r>
        <w:rPr>
          <w:i/>
          <w:spacing w:val="-4"/>
          <w:sz w:val="20"/>
        </w:rPr>
        <w:t> </w:t>
      </w:r>
      <w:r>
        <w:rPr>
          <w:i/>
          <w:sz w:val="20"/>
        </w:rPr>
        <w:t>no</w:t>
      </w:r>
      <w:r>
        <w:rPr>
          <w:i/>
          <w:spacing w:val="-3"/>
          <w:sz w:val="20"/>
        </w:rPr>
        <w:t> </w:t>
      </w:r>
      <w:r>
        <w:rPr>
          <w:i/>
          <w:sz w:val="20"/>
        </w:rPr>
        <w:t>winter</w:t>
      </w:r>
      <w:r>
        <w:rPr>
          <w:i/>
          <w:spacing w:val="-4"/>
          <w:sz w:val="20"/>
        </w:rPr>
        <w:t> </w:t>
      </w:r>
      <w:r>
        <w:rPr>
          <w:i/>
          <w:sz w:val="20"/>
        </w:rPr>
        <w:t>in’t,</w:t>
      </w:r>
      <w:r>
        <w:rPr>
          <w:i/>
          <w:spacing w:val="-3"/>
          <w:sz w:val="20"/>
        </w:rPr>
        <w:t> </w:t>
      </w:r>
      <w:r>
        <w:rPr>
          <w:i/>
          <w:sz w:val="20"/>
        </w:rPr>
        <w:t>an</w:t>
      </w:r>
      <w:r>
        <w:rPr>
          <w:i/>
          <w:spacing w:val="-3"/>
          <w:sz w:val="20"/>
        </w:rPr>
        <w:t> </w:t>
      </w:r>
      <w:r>
        <w:rPr>
          <w:i/>
          <w:sz w:val="20"/>
        </w:rPr>
        <w:t>autumn</w:t>
      </w:r>
      <w:r>
        <w:rPr>
          <w:i/>
          <w:spacing w:val="-3"/>
          <w:sz w:val="20"/>
        </w:rPr>
        <w:t> </w:t>
      </w:r>
      <w:r>
        <w:rPr>
          <w:i/>
          <w:sz w:val="20"/>
        </w:rPr>
        <w:t>it</w:t>
      </w:r>
      <w:r>
        <w:rPr>
          <w:i/>
          <w:spacing w:val="-3"/>
          <w:sz w:val="20"/>
        </w:rPr>
        <w:t> </w:t>
      </w:r>
      <w:r>
        <w:rPr>
          <w:i/>
          <w:sz w:val="20"/>
        </w:rPr>
        <w:t>was</w:t>
      </w:r>
      <w:r>
        <w:rPr>
          <w:i/>
          <w:spacing w:val="-3"/>
          <w:sz w:val="20"/>
        </w:rPr>
        <w:t> </w:t>
      </w:r>
      <w:r>
        <w:rPr>
          <w:i/>
          <w:sz w:val="20"/>
        </w:rPr>
        <w:t>That</w:t>
      </w:r>
      <w:r>
        <w:rPr>
          <w:i/>
          <w:spacing w:val="-4"/>
          <w:sz w:val="20"/>
        </w:rPr>
        <w:t> </w:t>
      </w:r>
      <w:r>
        <w:rPr>
          <w:i/>
          <w:sz w:val="20"/>
        </w:rPr>
        <w:t>grew the more by reaping. His delights Were dolphin-like; they showed his back above The element they lived</w:t>
      </w:r>
      <w:r>
        <w:rPr>
          <w:i/>
          <w:spacing w:val="40"/>
          <w:sz w:val="20"/>
        </w:rPr>
        <w:t> </w:t>
      </w:r>
      <w:r>
        <w:rPr>
          <w:i/>
          <w:sz w:val="20"/>
        </w:rPr>
        <w:t>in.</w:t>
      </w:r>
      <w:r>
        <w:rPr>
          <w:i/>
          <w:spacing w:val="40"/>
          <w:sz w:val="20"/>
        </w:rPr>
        <w:t> </w:t>
      </w:r>
      <w:r>
        <w:rPr>
          <w:i/>
          <w:sz w:val="20"/>
        </w:rPr>
        <w:t>In</w:t>
      </w:r>
      <w:r>
        <w:rPr>
          <w:i/>
          <w:spacing w:val="40"/>
          <w:sz w:val="20"/>
        </w:rPr>
        <w:t> </w:t>
      </w:r>
      <w:r>
        <w:rPr>
          <w:i/>
          <w:sz w:val="20"/>
        </w:rPr>
        <w:t>his</w:t>
      </w:r>
      <w:r>
        <w:rPr>
          <w:i/>
          <w:spacing w:val="40"/>
          <w:sz w:val="20"/>
        </w:rPr>
        <w:t> </w:t>
      </w:r>
      <w:r>
        <w:rPr>
          <w:i/>
          <w:sz w:val="20"/>
        </w:rPr>
        <w:t>livery</w:t>
      </w:r>
    </w:p>
    <w:p>
      <w:pPr>
        <w:spacing w:line="280" w:lineRule="auto" w:before="44"/>
        <w:ind w:left="2160" w:right="2160" w:firstLine="0"/>
        <w:jc w:val="both"/>
        <w:rPr>
          <w:i/>
          <w:sz w:val="20"/>
        </w:rPr>
      </w:pPr>
      <w:r>
        <w:rPr>
          <w:i/>
          <w:spacing w:val="-2"/>
          <w:sz w:val="20"/>
        </w:rPr>
        <w:t>Walked</w:t>
      </w:r>
      <w:r>
        <w:rPr>
          <w:i/>
          <w:spacing w:val="-8"/>
          <w:sz w:val="20"/>
        </w:rPr>
        <w:t> </w:t>
      </w:r>
      <w:r>
        <w:rPr>
          <w:i/>
          <w:spacing w:val="-2"/>
          <w:sz w:val="20"/>
        </w:rPr>
        <w:t>crowns</w:t>
      </w:r>
      <w:r>
        <w:rPr>
          <w:i/>
          <w:spacing w:val="-8"/>
          <w:sz w:val="20"/>
        </w:rPr>
        <w:t> </w:t>
      </w:r>
      <w:r>
        <w:rPr>
          <w:i/>
          <w:spacing w:val="-2"/>
          <w:sz w:val="20"/>
        </w:rPr>
        <w:t>and</w:t>
      </w:r>
      <w:r>
        <w:rPr>
          <w:i/>
          <w:spacing w:val="-8"/>
          <w:sz w:val="20"/>
        </w:rPr>
        <w:t> </w:t>
      </w:r>
      <w:r>
        <w:rPr>
          <w:i/>
          <w:spacing w:val="-2"/>
          <w:sz w:val="20"/>
        </w:rPr>
        <w:t>crownets;</w:t>
      </w:r>
      <w:r>
        <w:rPr>
          <w:i/>
          <w:spacing w:val="-8"/>
          <w:sz w:val="20"/>
        </w:rPr>
        <w:t> </w:t>
      </w:r>
      <w:r>
        <w:rPr>
          <w:i/>
          <w:spacing w:val="-2"/>
          <w:sz w:val="20"/>
        </w:rPr>
        <w:t>realms</w:t>
      </w:r>
      <w:r>
        <w:rPr>
          <w:i/>
          <w:spacing w:val="-8"/>
          <w:sz w:val="20"/>
        </w:rPr>
        <w:t> </w:t>
      </w:r>
      <w:r>
        <w:rPr>
          <w:i/>
          <w:spacing w:val="-2"/>
          <w:sz w:val="20"/>
        </w:rPr>
        <w:t>and</w:t>
      </w:r>
      <w:r>
        <w:rPr>
          <w:i/>
          <w:spacing w:val="-6"/>
          <w:sz w:val="20"/>
        </w:rPr>
        <w:t> </w:t>
      </w:r>
      <w:r>
        <w:rPr>
          <w:i/>
          <w:spacing w:val="-2"/>
          <w:sz w:val="20"/>
        </w:rPr>
        <w:t>islands</w:t>
      </w:r>
      <w:r>
        <w:rPr>
          <w:i/>
          <w:spacing w:val="-8"/>
          <w:sz w:val="20"/>
        </w:rPr>
        <w:t> </w:t>
      </w:r>
      <w:r>
        <w:rPr>
          <w:i/>
          <w:spacing w:val="-2"/>
          <w:sz w:val="20"/>
        </w:rPr>
        <w:t>were </w:t>
      </w:r>
      <w:r>
        <w:rPr>
          <w:i/>
          <w:sz w:val="20"/>
        </w:rPr>
        <w:t>As</w:t>
      </w:r>
      <w:r>
        <w:rPr>
          <w:i/>
          <w:spacing w:val="40"/>
          <w:sz w:val="20"/>
        </w:rPr>
        <w:t> </w:t>
      </w:r>
      <w:r>
        <w:rPr>
          <w:i/>
          <w:sz w:val="20"/>
        </w:rPr>
        <w:t>plates</w:t>
      </w:r>
      <w:r>
        <w:rPr>
          <w:i/>
          <w:spacing w:val="40"/>
          <w:sz w:val="20"/>
        </w:rPr>
        <w:t> </w:t>
      </w:r>
      <w:r>
        <w:rPr>
          <w:i/>
          <w:sz w:val="20"/>
        </w:rPr>
        <w:t>dropped</w:t>
      </w:r>
      <w:r>
        <w:rPr>
          <w:i/>
          <w:spacing w:val="40"/>
          <w:sz w:val="20"/>
        </w:rPr>
        <w:t> </w:t>
      </w:r>
      <w:r>
        <w:rPr>
          <w:i/>
          <w:sz w:val="20"/>
        </w:rPr>
        <w:t>from</w:t>
      </w:r>
      <w:r>
        <w:rPr>
          <w:i/>
          <w:spacing w:val="40"/>
          <w:sz w:val="20"/>
        </w:rPr>
        <w:t> </w:t>
      </w:r>
      <w:r>
        <w:rPr>
          <w:i/>
          <w:sz w:val="20"/>
        </w:rPr>
        <w:t>his</w:t>
      </w:r>
      <w:r>
        <w:rPr>
          <w:i/>
          <w:spacing w:val="40"/>
          <w:sz w:val="20"/>
        </w:rPr>
        <w:t> </w:t>
      </w:r>
      <w:r>
        <w:rPr>
          <w:i/>
          <w:sz w:val="20"/>
        </w:rPr>
        <w:t>pocket”</w:t>
      </w:r>
      <w:r>
        <w:rPr>
          <w:i/>
          <w:spacing w:val="40"/>
          <w:sz w:val="20"/>
        </w:rPr>
        <w:t> </w:t>
      </w:r>
      <w:r>
        <w:rPr>
          <w:i/>
          <w:sz w:val="20"/>
        </w:rPr>
        <w:t>(5.2.81-91).</w:t>
      </w:r>
    </w:p>
    <w:p>
      <w:pPr>
        <w:spacing w:line="227" w:lineRule="exact" w:before="0"/>
        <w:ind w:left="2160" w:right="0" w:firstLine="0"/>
        <w:jc w:val="left"/>
        <w:rPr>
          <w:i/>
          <w:sz w:val="20"/>
        </w:rPr>
      </w:pPr>
      <w:r>
        <w:rPr>
          <w:i/>
          <w:sz w:val="20"/>
        </w:rPr>
        <w:t>And</w:t>
      </w:r>
      <w:r>
        <w:rPr>
          <w:i/>
          <w:spacing w:val="44"/>
          <w:sz w:val="20"/>
        </w:rPr>
        <w:t> </w:t>
      </w:r>
      <w:r>
        <w:rPr>
          <w:i/>
          <w:spacing w:val="-2"/>
          <w:sz w:val="20"/>
        </w:rPr>
        <w:t>again:</w:t>
      </w:r>
    </w:p>
    <w:p>
      <w:pPr>
        <w:spacing w:line="219" w:lineRule="exact" w:before="39"/>
        <w:ind w:left="2160" w:right="0" w:firstLine="0"/>
        <w:jc w:val="left"/>
        <w:rPr>
          <w:i/>
          <w:sz w:val="20"/>
        </w:rPr>
      </w:pPr>
      <w:r>
        <w:rPr>
          <w:i/>
          <w:sz w:val="20"/>
        </w:rPr>
        <w:t>“</w:t>
      </w:r>
      <w:r>
        <w:rPr>
          <w:i/>
          <w:spacing w:val="16"/>
          <w:sz w:val="20"/>
        </w:rPr>
        <w:t> </w:t>
      </w:r>
      <w:r>
        <w:rPr>
          <w:i/>
          <w:sz w:val="20"/>
        </w:rPr>
        <w:t>.</w:t>
      </w:r>
      <w:r>
        <w:rPr>
          <w:i/>
          <w:spacing w:val="16"/>
          <w:sz w:val="20"/>
        </w:rPr>
        <w:t> </w:t>
      </w:r>
      <w:r>
        <w:rPr>
          <w:i/>
          <w:sz w:val="20"/>
        </w:rPr>
        <w:t>.</w:t>
      </w:r>
      <w:r>
        <w:rPr>
          <w:i/>
          <w:spacing w:val="18"/>
          <w:sz w:val="20"/>
        </w:rPr>
        <w:t> </w:t>
      </w:r>
      <w:r>
        <w:rPr>
          <w:i/>
          <w:spacing w:val="-10"/>
          <w:sz w:val="20"/>
        </w:rPr>
        <w:t>.</w:t>
      </w:r>
    </w:p>
    <w:p>
      <w:pPr>
        <w:spacing w:line="219" w:lineRule="exact" w:before="0"/>
        <w:ind w:left="2160" w:right="0" w:firstLine="0"/>
        <w:jc w:val="left"/>
        <w:rPr>
          <w:i/>
          <w:sz w:val="20"/>
        </w:rPr>
      </w:pPr>
      <w:r>
        <w:rPr>
          <w:i/>
          <w:sz w:val="20"/>
        </w:rPr>
        <w:t>Nature</w:t>
      </w:r>
      <w:r>
        <w:rPr>
          <w:i/>
          <w:spacing w:val="28"/>
          <w:sz w:val="20"/>
        </w:rPr>
        <w:t> </w:t>
      </w:r>
      <w:r>
        <w:rPr>
          <w:i/>
          <w:sz w:val="20"/>
        </w:rPr>
        <w:t>wants</w:t>
      </w:r>
      <w:r>
        <w:rPr>
          <w:i/>
          <w:spacing w:val="27"/>
          <w:sz w:val="20"/>
        </w:rPr>
        <w:t> </w:t>
      </w:r>
      <w:r>
        <w:rPr>
          <w:i/>
          <w:spacing w:val="-2"/>
          <w:sz w:val="20"/>
        </w:rPr>
        <w:t>stuff</w:t>
      </w:r>
    </w:p>
    <w:p>
      <w:pPr>
        <w:spacing w:line="218" w:lineRule="auto" w:before="55"/>
        <w:ind w:left="2160" w:right="2162" w:firstLine="0"/>
        <w:jc w:val="both"/>
        <w:rPr>
          <w:i/>
          <w:sz w:val="20"/>
        </w:rPr>
      </w:pPr>
      <w:r>
        <w:rPr>
          <w:i/>
          <w:sz w:val="20"/>
        </w:rPr>
        <w:t>To vie strange forms with fancy; yet to imagine An </w:t>
      </w:r>
      <w:r>
        <w:rPr>
          <w:i/>
          <w:spacing w:val="-2"/>
          <w:sz w:val="20"/>
        </w:rPr>
        <w:t>Antony</w:t>
      </w:r>
      <w:r>
        <w:rPr>
          <w:i/>
          <w:spacing w:val="-5"/>
          <w:sz w:val="20"/>
        </w:rPr>
        <w:t> </w:t>
      </w:r>
      <w:r>
        <w:rPr>
          <w:i/>
          <w:spacing w:val="-2"/>
          <w:sz w:val="20"/>
        </w:rPr>
        <w:t>were</w:t>
      </w:r>
      <w:r>
        <w:rPr>
          <w:i/>
          <w:spacing w:val="-5"/>
          <w:sz w:val="20"/>
        </w:rPr>
        <w:t> </w:t>
      </w:r>
      <w:r>
        <w:rPr>
          <w:i/>
          <w:spacing w:val="-2"/>
          <w:sz w:val="20"/>
        </w:rPr>
        <w:t>nature’s</w:t>
      </w:r>
      <w:r>
        <w:rPr>
          <w:i/>
          <w:spacing w:val="-8"/>
          <w:sz w:val="20"/>
        </w:rPr>
        <w:t> </w:t>
      </w:r>
      <w:r>
        <w:rPr>
          <w:i/>
          <w:spacing w:val="-2"/>
          <w:sz w:val="20"/>
        </w:rPr>
        <w:t>piece</w:t>
      </w:r>
      <w:r>
        <w:rPr>
          <w:i/>
          <w:spacing w:val="-6"/>
          <w:sz w:val="20"/>
        </w:rPr>
        <w:t> </w:t>
      </w:r>
      <w:r>
        <w:rPr>
          <w:i/>
          <w:spacing w:val="-2"/>
          <w:sz w:val="20"/>
        </w:rPr>
        <w:t>‘gainst</w:t>
      </w:r>
      <w:r>
        <w:rPr>
          <w:i/>
          <w:spacing w:val="-7"/>
          <w:sz w:val="20"/>
        </w:rPr>
        <w:t> </w:t>
      </w:r>
      <w:r>
        <w:rPr>
          <w:i/>
          <w:spacing w:val="-2"/>
          <w:sz w:val="20"/>
        </w:rPr>
        <w:t>fancy,</w:t>
      </w:r>
      <w:r>
        <w:rPr>
          <w:i/>
          <w:spacing w:val="-6"/>
          <w:sz w:val="20"/>
        </w:rPr>
        <w:t> </w:t>
      </w:r>
      <w:r>
        <w:rPr>
          <w:i/>
          <w:spacing w:val="-2"/>
          <w:sz w:val="20"/>
        </w:rPr>
        <w:t>Condemning </w:t>
      </w:r>
      <w:r>
        <w:rPr>
          <w:i/>
          <w:sz w:val="20"/>
        </w:rPr>
        <w:t>shadows</w:t>
      </w:r>
      <w:r>
        <w:rPr>
          <w:i/>
          <w:spacing w:val="40"/>
          <w:sz w:val="20"/>
        </w:rPr>
        <w:t> </w:t>
      </w:r>
      <w:r>
        <w:rPr>
          <w:i/>
          <w:sz w:val="20"/>
        </w:rPr>
        <w:t>quite”</w:t>
      </w:r>
      <w:r>
        <w:rPr>
          <w:i/>
          <w:spacing w:val="40"/>
          <w:sz w:val="20"/>
        </w:rPr>
        <w:t> </w:t>
      </w:r>
      <w:r>
        <w:rPr>
          <w:i/>
          <w:sz w:val="20"/>
        </w:rPr>
        <w:t>(5.2.96-99).</w:t>
      </w:r>
    </w:p>
    <w:p>
      <w:pPr>
        <w:pStyle w:val="BodyText"/>
        <w:spacing w:line="249" w:lineRule="auto" w:before="66"/>
        <w:ind w:right="1439" w:firstLine="432"/>
        <w:jc w:val="both"/>
      </w:pPr>
      <w:r>
        <w:rPr/>
        <w:t>In</w:t>
      </w:r>
      <w:r>
        <w:rPr>
          <w:spacing w:val="-6"/>
        </w:rPr>
        <w:t> </w:t>
      </w:r>
      <w:r>
        <w:rPr/>
        <w:t>the</w:t>
      </w:r>
      <w:r>
        <w:rPr>
          <w:spacing w:val="-8"/>
        </w:rPr>
        <w:t> </w:t>
      </w:r>
      <w:r>
        <w:rPr/>
        <w:t>play</w:t>
      </w:r>
      <w:r>
        <w:rPr>
          <w:spacing w:val="-8"/>
        </w:rPr>
        <w:t> </w:t>
      </w:r>
      <w:r>
        <w:rPr/>
        <w:t>itself,</w:t>
      </w:r>
      <w:r>
        <w:rPr>
          <w:spacing w:val="-6"/>
        </w:rPr>
        <w:t> </w:t>
      </w:r>
      <w:r>
        <w:rPr/>
        <w:t>none</w:t>
      </w:r>
      <w:r>
        <w:rPr>
          <w:spacing w:val="-8"/>
        </w:rPr>
        <w:t> </w:t>
      </w:r>
      <w:r>
        <w:rPr/>
        <w:t>of</w:t>
      </w:r>
      <w:r>
        <w:rPr>
          <w:spacing w:val="-6"/>
        </w:rPr>
        <w:t> </w:t>
      </w:r>
      <w:r>
        <w:rPr/>
        <w:t>the</w:t>
      </w:r>
      <w:r>
        <w:rPr>
          <w:spacing w:val="-8"/>
        </w:rPr>
        <w:t> </w:t>
      </w:r>
      <w:r>
        <w:rPr/>
        <w:t>above</w:t>
      </w:r>
      <w:r>
        <w:rPr>
          <w:spacing w:val="-3"/>
        </w:rPr>
        <w:t> </w:t>
      </w:r>
      <w:r>
        <w:rPr/>
        <w:t>glorifications</w:t>
      </w:r>
      <w:r>
        <w:rPr>
          <w:spacing w:val="-6"/>
        </w:rPr>
        <w:t> </w:t>
      </w:r>
      <w:r>
        <w:rPr/>
        <w:t>can</w:t>
      </w:r>
      <w:r>
        <w:rPr>
          <w:spacing w:val="-9"/>
        </w:rPr>
        <w:t> </w:t>
      </w:r>
      <w:r>
        <w:rPr/>
        <w:t>be</w:t>
      </w:r>
      <w:r>
        <w:rPr>
          <w:spacing w:val="-5"/>
        </w:rPr>
        <w:t> </w:t>
      </w:r>
      <w:r>
        <w:rPr/>
        <w:t>supported by actions, except for the one regarding Antony’s bounty, which had</w:t>
      </w:r>
      <w:r>
        <w:rPr>
          <w:spacing w:val="80"/>
        </w:rPr>
        <w:t> </w:t>
      </w:r>
      <w:r>
        <w:rPr/>
        <w:t>no winter in it, as is evident in the Soldier’s declaration of Antony’s sending to the deserter Enobarbus “all thy treasure, with / His bounty overplus”</w:t>
      </w:r>
      <w:r>
        <w:rPr>
          <w:spacing w:val="-17"/>
        </w:rPr>
        <w:t> </w:t>
      </w:r>
      <w:r>
        <w:rPr/>
        <w:t>(4.6.22-23).</w:t>
      </w:r>
      <w:r>
        <w:rPr>
          <w:vertAlign w:val="superscript"/>
        </w:rPr>
        <w:t>25</w:t>
      </w:r>
    </w:p>
    <w:p>
      <w:pPr>
        <w:pStyle w:val="BodyText"/>
        <w:spacing w:line="220" w:lineRule="auto" w:before="58"/>
        <w:ind w:right="1441" w:firstLine="432"/>
        <w:jc w:val="both"/>
      </w:pPr>
      <w:r>
        <w:rPr/>
        <w:t>But Caesar, the wary</w:t>
      </w:r>
      <w:r>
        <w:rPr>
          <w:spacing w:val="-1"/>
        </w:rPr>
        <w:t> </w:t>
      </w:r>
      <w:r>
        <w:rPr/>
        <w:t>victor, sends Proculeius to read her mind, to whom she candidly confesses that she would shun the idea of being shown to “the shouting varletry / Of censuring Rome” (5.2.55-56) and would</w:t>
      </w:r>
      <w:r>
        <w:rPr>
          <w:spacing w:val="3"/>
        </w:rPr>
        <w:t> </w:t>
      </w:r>
      <w:r>
        <w:rPr/>
        <w:t>“Rather</w:t>
      </w:r>
      <w:r>
        <w:rPr>
          <w:spacing w:val="3"/>
        </w:rPr>
        <w:t> </w:t>
      </w:r>
      <w:r>
        <w:rPr/>
        <w:t>a</w:t>
      </w:r>
      <w:r>
        <w:rPr>
          <w:spacing w:val="1"/>
        </w:rPr>
        <w:t> </w:t>
      </w:r>
      <w:r>
        <w:rPr/>
        <w:t>ditch in Egypt</w:t>
      </w:r>
      <w:r>
        <w:rPr>
          <w:spacing w:val="2"/>
        </w:rPr>
        <w:t> </w:t>
      </w:r>
      <w:r>
        <w:rPr/>
        <w:t>/</w:t>
      </w:r>
      <w:r>
        <w:rPr>
          <w:spacing w:val="3"/>
        </w:rPr>
        <w:t> </w:t>
      </w:r>
      <w:r>
        <w:rPr/>
        <w:t>Be</w:t>
      </w:r>
      <w:r>
        <w:rPr>
          <w:spacing w:val="3"/>
        </w:rPr>
        <w:t> </w:t>
      </w:r>
      <w:r>
        <w:rPr/>
        <w:t>gentle</w:t>
      </w:r>
      <w:r>
        <w:rPr>
          <w:spacing w:val="2"/>
        </w:rPr>
        <w:t> </w:t>
      </w:r>
      <w:r>
        <w:rPr/>
        <w:t>grave</w:t>
      </w:r>
      <w:r>
        <w:rPr>
          <w:spacing w:val="3"/>
        </w:rPr>
        <w:t> </w:t>
      </w:r>
      <w:r>
        <w:rPr/>
        <w:t>unto</w:t>
      </w:r>
      <w:r>
        <w:rPr>
          <w:spacing w:val="3"/>
        </w:rPr>
        <w:t> </w:t>
      </w:r>
      <w:r>
        <w:rPr/>
        <w:t>me”</w:t>
      </w:r>
      <w:r>
        <w:rPr>
          <w:spacing w:val="2"/>
        </w:rPr>
        <w:t> </w:t>
      </w:r>
      <w:r>
        <w:rPr/>
        <w:t>(5.2.56-</w:t>
      </w:r>
      <w:r>
        <w:rPr>
          <w:spacing w:val="-4"/>
        </w:rPr>
        <w:t>57).</w:t>
      </w:r>
    </w:p>
    <w:p>
      <w:pPr>
        <w:pStyle w:val="BodyText"/>
        <w:spacing w:line="220" w:lineRule="auto" w:before="61"/>
        <w:ind w:right="1439" w:firstLine="432"/>
        <w:jc w:val="both"/>
      </w:pPr>
      <w:r>
        <w:rPr/>
        <w:t>But</w:t>
      </w:r>
      <w:r>
        <w:rPr>
          <w:spacing w:val="-2"/>
        </w:rPr>
        <w:t> </w:t>
      </w:r>
      <w:r>
        <w:rPr/>
        <w:t>as</w:t>
      </w:r>
      <w:r>
        <w:rPr>
          <w:spacing w:val="-4"/>
        </w:rPr>
        <w:t> </w:t>
      </w:r>
      <w:r>
        <w:rPr/>
        <w:t>Proculeius</w:t>
      </w:r>
      <w:r>
        <w:rPr>
          <w:spacing w:val="-2"/>
        </w:rPr>
        <w:t> </w:t>
      </w:r>
      <w:r>
        <w:rPr/>
        <w:t>leaves</w:t>
      </w:r>
      <w:r>
        <w:rPr>
          <w:spacing w:val="-4"/>
        </w:rPr>
        <w:t> </w:t>
      </w:r>
      <w:r>
        <w:rPr/>
        <w:t>her,</w:t>
      </w:r>
      <w:r>
        <w:rPr>
          <w:spacing w:val="-4"/>
        </w:rPr>
        <w:t> </w:t>
      </w:r>
      <w:r>
        <w:rPr/>
        <w:t>she</w:t>
      </w:r>
      <w:r>
        <w:rPr>
          <w:spacing w:val="-1"/>
        </w:rPr>
        <w:t> </w:t>
      </w:r>
      <w:r>
        <w:rPr/>
        <w:t>becomes</w:t>
      </w:r>
      <w:r>
        <w:rPr>
          <w:spacing w:val="-4"/>
        </w:rPr>
        <w:t> </w:t>
      </w:r>
      <w:r>
        <w:rPr/>
        <w:t>more</w:t>
      </w:r>
      <w:r>
        <w:rPr>
          <w:spacing w:val="-3"/>
        </w:rPr>
        <w:t> </w:t>
      </w:r>
      <w:r>
        <w:rPr/>
        <w:t>thorough</w:t>
      </w:r>
      <w:r>
        <w:rPr>
          <w:spacing w:val="-4"/>
        </w:rPr>
        <w:t> </w:t>
      </w:r>
      <w:r>
        <w:rPr/>
        <w:t>with</w:t>
      </w:r>
      <w:r>
        <w:rPr>
          <w:spacing w:val="-4"/>
        </w:rPr>
        <w:t> </w:t>
      </w:r>
      <w:r>
        <w:rPr/>
        <w:t>her planning for suicide. And to delude Caesar about her intention, she stage-manages the Seleucus scene, giving Caesar the impression that she has kept her treasure undeclared to express her unwillingness to </w:t>
      </w:r>
      <w:r>
        <w:rPr>
          <w:spacing w:val="-2"/>
        </w:rPr>
        <w:t>commit</w:t>
      </w:r>
      <w:r>
        <w:rPr>
          <w:spacing w:val="-4"/>
        </w:rPr>
        <w:t> </w:t>
      </w:r>
      <w:r>
        <w:rPr>
          <w:spacing w:val="-2"/>
        </w:rPr>
        <w:t>suicide.</w:t>
      </w:r>
      <w:r>
        <w:rPr>
          <w:spacing w:val="-4"/>
        </w:rPr>
        <w:t> </w:t>
      </w:r>
      <w:r>
        <w:rPr>
          <w:spacing w:val="-2"/>
        </w:rPr>
        <w:t>She</w:t>
      </w:r>
      <w:r>
        <w:rPr>
          <w:spacing w:val="-6"/>
        </w:rPr>
        <w:t> </w:t>
      </w:r>
      <w:r>
        <w:rPr>
          <w:spacing w:val="-2"/>
        </w:rPr>
        <w:t>can</w:t>
      </w:r>
      <w:r>
        <w:rPr>
          <w:spacing w:val="-6"/>
        </w:rPr>
        <w:t> </w:t>
      </w:r>
      <w:r>
        <w:rPr>
          <w:spacing w:val="-2"/>
        </w:rPr>
        <w:t>see</w:t>
      </w:r>
      <w:r>
        <w:rPr>
          <w:spacing w:val="-6"/>
        </w:rPr>
        <w:t> </w:t>
      </w:r>
      <w:r>
        <w:rPr>
          <w:spacing w:val="-2"/>
        </w:rPr>
        <w:t>through</w:t>
      </w:r>
      <w:r>
        <w:rPr>
          <w:spacing w:val="-6"/>
        </w:rPr>
        <w:t> </w:t>
      </w:r>
      <w:r>
        <w:rPr>
          <w:spacing w:val="-2"/>
        </w:rPr>
        <w:t>Caesar’s</w:t>
      </w:r>
      <w:r>
        <w:rPr>
          <w:spacing w:val="-6"/>
        </w:rPr>
        <w:t> </w:t>
      </w:r>
      <w:r>
        <w:rPr>
          <w:spacing w:val="-2"/>
        </w:rPr>
        <w:t>false</w:t>
      </w:r>
      <w:r>
        <w:rPr>
          <w:spacing w:val="-5"/>
        </w:rPr>
        <w:t> </w:t>
      </w:r>
      <w:r>
        <w:rPr>
          <w:spacing w:val="-2"/>
        </w:rPr>
        <w:t>promise</w:t>
      </w:r>
      <w:r>
        <w:rPr>
          <w:spacing w:val="-5"/>
        </w:rPr>
        <w:t> </w:t>
      </w:r>
      <w:r>
        <w:rPr>
          <w:spacing w:val="-2"/>
        </w:rPr>
        <w:t>and</w:t>
      </w:r>
      <w:r>
        <w:rPr>
          <w:spacing w:val="-4"/>
        </w:rPr>
        <w:t> </w:t>
      </w:r>
      <w:r>
        <w:rPr>
          <w:spacing w:val="-2"/>
        </w:rPr>
        <w:t>shudders </w:t>
      </w:r>
      <w:r>
        <w:rPr/>
        <w:t>at the idea of being taken to Rome as a prisoner, and to be paraded in the streets of Rome as a prime bargain for Caesar, where the “quick comedians / Extemporally will stage us and present / Our Alexandrian revels;</w:t>
      </w:r>
      <w:r>
        <w:rPr>
          <w:spacing w:val="-5"/>
        </w:rPr>
        <w:t> </w:t>
      </w:r>
      <w:r>
        <w:rPr/>
        <w:t>Antony / Shall be brought drunken forth; and I shall see / Some squeaking Cleopatra boy my greatness / I’th’ posture of a whore” </w:t>
      </w:r>
      <w:r>
        <w:rPr>
          <w:spacing w:val="-2"/>
        </w:rPr>
        <w:t>(5.2.215-220).</w:t>
      </w:r>
    </w:p>
    <w:p>
      <w:pPr>
        <w:pStyle w:val="BodyText"/>
        <w:spacing w:before="86"/>
        <w:ind w:left="0"/>
      </w:pPr>
      <w:r>
        <w:rPr/>
        <mc:AlternateContent>
          <mc:Choice Requires="wps">
            <w:drawing>
              <wp:anchor distT="0" distB="0" distL="0" distR="0" allowOverlap="1" layoutInCell="1" locked="0" behindDoc="1" simplePos="0" relativeHeight="487623168">
                <wp:simplePos x="0" y="0"/>
                <wp:positionH relativeFrom="page">
                  <wp:posOffset>2057400</wp:posOffset>
                </wp:positionH>
                <wp:positionV relativeFrom="paragraph">
                  <wp:posOffset>216042</wp:posOffset>
                </wp:positionV>
                <wp:extent cx="3657600" cy="13970"/>
                <wp:effectExtent l="0" t="0" r="0" b="0"/>
                <wp:wrapTopAndBottom/>
                <wp:docPr id="165" name="Graphic 165"/>
                <wp:cNvGraphicFramePr>
                  <a:graphicFrameLocks/>
                </wp:cNvGraphicFramePr>
                <a:graphic>
                  <a:graphicData uri="http://schemas.microsoft.com/office/word/2010/wordprocessingShape">
                    <wps:wsp>
                      <wps:cNvPr id="165" name="Graphic 165"/>
                      <wps:cNvSpPr/>
                      <wps:spPr>
                        <a:xfrm>
                          <a:off x="0" y="0"/>
                          <a:ext cx="3657600" cy="13970"/>
                        </a:xfrm>
                        <a:custGeom>
                          <a:avLst/>
                          <a:gdLst/>
                          <a:ahLst/>
                          <a:cxnLst/>
                          <a:rect l="l" t="t" r="r" b="b"/>
                          <a:pathLst>
                            <a:path w="3657600" h="13970">
                              <a:moveTo>
                                <a:pt x="0" y="0"/>
                              </a:moveTo>
                              <a:lnTo>
                                <a:pt x="3657600" y="0"/>
                              </a:lnTo>
                              <a:lnTo>
                                <a:pt x="3657600" y="13716"/>
                              </a:lnTo>
                              <a:lnTo>
                                <a:pt x="0" y="13716"/>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011209pt;width:288.000009pt;height:1.080002pt;mso-position-horizontal-relative:page;mso-position-vertical-relative:paragraph;z-index:-15693312;mso-wrap-distance-left:0;mso-wrap-distance-right:0" id="docshape161" filled="true" fillcolor="#000000" stroked="false">
                <v:fill type="solid"/>
                <w10:wrap type="topAndBottom"/>
              </v:rect>
            </w:pict>
          </mc:Fallback>
        </mc:AlternateContent>
      </w:r>
    </w:p>
    <w:p>
      <w:pPr>
        <w:spacing w:line="249" w:lineRule="auto" w:before="0"/>
        <w:ind w:left="1440" w:right="1441" w:firstLine="0"/>
        <w:jc w:val="both"/>
        <w:rPr>
          <w:sz w:val="18"/>
        </w:rPr>
      </w:pPr>
      <w:r>
        <w:rPr>
          <w:sz w:val="18"/>
          <w:vertAlign w:val="superscript"/>
        </w:rPr>
        <w:t>25</w:t>
      </w:r>
      <w:r>
        <w:rPr>
          <w:sz w:val="18"/>
          <w:vertAlign w:val="baseline"/>
        </w:rPr>
        <w:t> “. . . Mark Antony did not possess either the charisma of Alexnader or the </w:t>
      </w:r>
      <w:r>
        <w:rPr>
          <w:spacing w:val="-2"/>
          <w:sz w:val="18"/>
          <w:vertAlign w:val="baseline"/>
        </w:rPr>
        <w:t>Roman soldiers of</w:t>
      </w:r>
      <w:r>
        <w:rPr>
          <w:spacing w:val="-3"/>
          <w:sz w:val="18"/>
          <w:vertAlign w:val="baseline"/>
        </w:rPr>
        <w:t> </w:t>
      </w:r>
      <w:r>
        <w:rPr>
          <w:spacing w:val="-2"/>
          <w:sz w:val="18"/>
          <w:vertAlign w:val="baseline"/>
        </w:rPr>
        <w:t>Caesar.” (Guy</w:t>
      </w:r>
      <w:r>
        <w:rPr>
          <w:spacing w:val="-9"/>
          <w:sz w:val="18"/>
          <w:vertAlign w:val="baseline"/>
        </w:rPr>
        <w:t> </w:t>
      </w:r>
      <w:r>
        <w:rPr>
          <w:spacing w:val="-2"/>
          <w:sz w:val="18"/>
          <w:vertAlign w:val="baseline"/>
        </w:rPr>
        <w:t>Weill Goudchaux, “Cleopatra’s subtle religious </w:t>
      </w:r>
      <w:r>
        <w:rPr>
          <w:sz w:val="18"/>
          <w:vertAlign w:val="baseline"/>
        </w:rPr>
        <w:t>strategy,” in</w:t>
      </w:r>
      <w:r>
        <w:rPr>
          <w:spacing w:val="40"/>
          <w:sz w:val="18"/>
          <w:vertAlign w:val="baseline"/>
        </w:rPr>
        <w:t> </w:t>
      </w:r>
      <w:r>
        <w:rPr>
          <w:i/>
          <w:sz w:val="18"/>
          <w:vertAlign w:val="baseline"/>
        </w:rPr>
        <w:t>Cleopatra</w:t>
      </w:r>
      <w:r>
        <w:rPr>
          <w:i/>
          <w:spacing w:val="40"/>
          <w:sz w:val="18"/>
          <w:vertAlign w:val="baseline"/>
        </w:rPr>
        <w:t> </w:t>
      </w:r>
      <w:r>
        <w:rPr>
          <w:i/>
          <w:sz w:val="18"/>
          <w:vertAlign w:val="baseline"/>
        </w:rPr>
        <w:t>of</w:t>
      </w:r>
      <w:r>
        <w:rPr>
          <w:i/>
          <w:spacing w:val="40"/>
          <w:sz w:val="18"/>
          <w:vertAlign w:val="baseline"/>
        </w:rPr>
        <w:t> </w:t>
      </w:r>
      <w:r>
        <w:rPr>
          <w:i/>
          <w:sz w:val="18"/>
          <w:vertAlign w:val="baseline"/>
        </w:rPr>
        <w:t>Egypt</w:t>
      </w:r>
      <w:r>
        <w:rPr>
          <w:sz w:val="18"/>
          <w:vertAlign w:val="baseline"/>
        </w:rPr>
        <w:t>,</w:t>
      </w:r>
      <w:r>
        <w:rPr>
          <w:spacing w:val="40"/>
          <w:sz w:val="18"/>
          <w:vertAlign w:val="baseline"/>
        </w:rPr>
        <w:t> </w:t>
      </w:r>
      <w:r>
        <w:rPr>
          <w:sz w:val="18"/>
          <w:vertAlign w:val="baseline"/>
        </w:rPr>
        <w:t>p.</w:t>
      </w:r>
      <w:r>
        <w:rPr>
          <w:spacing w:val="40"/>
          <w:sz w:val="18"/>
          <w:vertAlign w:val="baseline"/>
        </w:rPr>
        <w:t> </w:t>
      </w:r>
      <w:r>
        <w:rPr>
          <w:sz w:val="18"/>
          <w:vertAlign w:val="baseline"/>
        </w:rPr>
        <w:t>139).</w:t>
      </w:r>
    </w:p>
    <w:p>
      <w:pPr>
        <w:spacing w:after="0" w:line="249" w:lineRule="auto"/>
        <w:jc w:val="both"/>
        <w:rPr>
          <w:sz w:val="18"/>
        </w:rPr>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23680">
                <wp:simplePos x="0" y="0"/>
                <wp:positionH relativeFrom="page">
                  <wp:posOffset>2065020</wp:posOffset>
                </wp:positionH>
                <wp:positionV relativeFrom="paragraph">
                  <wp:posOffset>795020</wp:posOffset>
                </wp:positionV>
                <wp:extent cx="3657600" cy="12700"/>
                <wp:effectExtent l="0" t="0" r="0" b="0"/>
                <wp:wrapTopAndBottom/>
                <wp:docPr id="166" name="Graphic 166"/>
                <wp:cNvGraphicFramePr>
                  <a:graphicFrameLocks/>
                </wp:cNvGraphicFramePr>
                <a:graphic>
                  <a:graphicData uri="http://schemas.microsoft.com/office/word/2010/wordprocessingShape">
                    <wps:wsp>
                      <wps:cNvPr id="166" name="Graphic 16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92800;mso-wrap-distance-left:0;mso-wrap-distance-right:0" id="docshape162" filled="true" fillcolor="#000000" stroked="false">
                <v:fill type="solid"/>
                <w10:wrap type="topAndBottom"/>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5"/>
          <w:sz w:val="18"/>
        </w:rPr>
        <w:t>21</w:t>
      </w:r>
    </w:p>
    <w:p>
      <w:pPr>
        <w:pStyle w:val="BodyText"/>
        <w:spacing w:line="249" w:lineRule="auto" w:before="192"/>
        <w:ind w:right="1438" w:firstLine="432"/>
        <w:jc w:val="both"/>
      </w:pPr>
      <w:r>
        <w:rPr/>
        <w:t>She does not want to be boyed. The last phase of her life is sublimely appealing. She must meet Antony in the afterlife, so she dresses up as a bride and utters “Husband, I come! / Now to that name my courage prove my title” (5.2.286-287), and heightens her status by speaking</w:t>
      </w:r>
      <w:r>
        <w:rPr>
          <w:spacing w:val="11"/>
        </w:rPr>
        <w:t> </w:t>
      </w:r>
      <w:r>
        <w:rPr/>
        <w:t>these</w:t>
      </w:r>
      <w:r>
        <w:rPr>
          <w:spacing w:val="11"/>
        </w:rPr>
        <w:t> </w:t>
      </w:r>
      <w:r>
        <w:rPr/>
        <w:t>memorable</w:t>
      </w:r>
      <w:r>
        <w:rPr>
          <w:spacing w:val="14"/>
        </w:rPr>
        <w:t> </w:t>
      </w:r>
      <w:r>
        <w:rPr/>
        <w:t>lines,</w:t>
      </w:r>
      <w:r>
        <w:rPr>
          <w:spacing w:val="11"/>
        </w:rPr>
        <w:t> </w:t>
      </w:r>
      <w:r>
        <w:rPr/>
        <w:t>“I</w:t>
      </w:r>
      <w:r>
        <w:rPr>
          <w:spacing w:val="12"/>
        </w:rPr>
        <w:t> </w:t>
      </w:r>
      <w:r>
        <w:rPr/>
        <w:t>am</w:t>
      </w:r>
      <w:r>
        <w:rPr>
          <w:spacing w:val="8"/>
        </w:rPr>
        <w:t> </w:t>
      </w:r>
      <w:r>
        <w:rPr/>
        <w:t>fire</w:t>
      </w:r>
      <w:r>
        <w:rPr>
          <w:spacing w:val="12"/>
        </w:rPr>
        <w:t> </w:t>
      </w:r>
      <w:r>
        <w:rPr/>
        <w:t>and</w:t>
      </w:r>
      <w:r>
        <w:rPr>
          <w:spacing w:val="13"/>
        </w:rPr>
        <w:t> </w:t>
      </w:r>
      <w:r>
        <w:rPr/>
        <w:t>air;</w:t>
      </w:r>
      <w:r>
        <w:rPr>
          <w:spacing w:val="13"/>
        </w:rPr>
        <w:t> </w:t>
      </w:r>
      <w:r>
        <w:rPr/>
        <w:t>my</w:t>
      </w:r>
      <w:r>
        <w:rPr>
          <w:spacing w:val="9"/>
        </w:rPr>
        <w:t> </w:t>
      </w:r>
      <w:r>
        <w:rPr/>
        <w:t>other</w:t>
      </w:r>
      <w:r>
        <w:rPr>
          <w:spacing w:val="11"/>
        </w:rPr>
        <w:t> </w:t>
      </w:r>
      <w:r>
        <w:rPr>
          <w:spacing w:val="-2"/>
        </w:rPr>
        <w:t>elements</w:t>
      </w:r>
    </w:p>
    <w:p>
      <w:pPr>
        <w:pStyle w:val="BodyText"/>
        <w:spacing w:before="4"/>
        <w:jc w:val="both"/>
      </w:pPr>
      <w:r>
        <w:rPr/>
        <w:t>/</w:t>
      </w:r>
      <w:r>
        <w:rPr>
          <w:spacing w:val="5"/>
        </w:rPr>
        <w:t> </w:t>
      </w:r>
      <w:r>
        <w:rPr/>
        <w:t>I</w:t>
      </w:r>
      <w:r>
        <w:rPr>
          <w:spacing w:val="9"/>
        </w:rPr>
        <w:t> </w:t>
      </w:r>
      <w:r>
        <w:rPr/>
        <w:t>give</w:t>
      </w:r>
      <w:r>
        <w:rPr>
          <w:spacing w:val="6"/>
        </w:rPr>
        <w:t> </w:t>
      </w:r>
      <w:r>
        <w:rPr/>
        <w:t>to</w:t>
      </w:r>
      <w:r>
        <w:rPr>
          <w:spacing w:val="12"/>
        </w:rPr>
        <w:t> </w:t>
      </w:r>
      <w:r>
        <w:rPr/>
        <w:t>baser</w:t>
      </w:r>
      <w:r>
        <w:rPr>
          <w:spacing w:val="7"/>
        </w:rPr>
        <w:t> </w:t>
      </w:r>
      <w:r>
        <w:rPr/>
        <w:t>life”</w:t>
      </w:r>
      <w:r>
        <w:rPr>
          <w:spacing w:val="7"/>
        </w:rPr>
        <w:t> </w:t>
      </w:r>
      <w:r>
        <w:rPr/>
        <w:t>(288-</w:t>
      </w:r>
      <w:r>
        <w:rPr>
          <w:spacing w:val="-2"/>
        </w:rPr>
        <w:t>289).</w:t>
      </w:r>
      <w:r>
        <w:rPr>
          <w:spacing w:val="-2"/>
          <w:vertAlign w:val="superscript"/>
        </w:rPr>
        <w:t>26</w:t>
      </w:r>
    </w:p>
    <w:p>
      <w:pPr>
        <w:pStyle w:val="BodyText"/>
        <w:ind w:left="0"/>
      </w:pPr>
    </w:p>
    <w:p>
      <w:pPr>
        <w:pStyle w:val="BodyText"/>
        <w:spacing w:before="111"/>
        <w:ind w:left="0"/>
      </w:pPr>
      <w:r>
        <w:rPr/>
        <mc:AlternateContent>
          <mc:Choice Requires="wps">
            <w:drawing>
              <wp:anchor distT="0" distB="0" distL="0" distR="0" allowOverlap="1" layoutInCell="1" locked="0" behindDoc="1" simplePos="0" relativeHeight="487624192">
                <wp:simplePos x="0" y="0"/>
                <wp:positionH relativeFrom="page">
                  <wp:posOffset>2057400</wp:posOffset>
                </wp:positionH>
                <wp:positionV relativeFrom="paragraph">
                  <wp:posOffset>232245</wp:posOffset>
                </wp:positionV>
                <wp:extent cx="3657600" cy="12700"/>
                <wp:effectExtent l="0" t="0" r="0" b="0"/>
                <wp:wrapTopAndBottom/>
                <wp:docPr id="167" name="Graphic 167"/>
                <wp:cNvGraphicFramePr>
                  <a:graphicFrameLocks/>
                </wp:cNvGraphicFramePr>
                <a:graphic>
                  <a:graphicData uri="http://schemas.microsoft.com/office/word/2010/wordprocessingShape">
                    <wps:wsp>
                      <wps:cNvPr id="167" name="Graphic 16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8.287043pt;width:288.000009pt;height:.959999pt;mso-position-horizontal-relative:page;mso-position-vertical-relative:paragraph;z-index:-15692288;mso-wrap-distance-left:0;mso-wrap-distance-right:0" id="docshape163" filled="true" fillcolor="#000000" stroked="false">
                <v:fill type="solid"/>
                <w10:wrap type="topAndBottom"/>
              </v:rect>
            </w:pict>
          </mc:Fallback>
        </mc:AlternateContent>
      </w:r>
    </w:p>
    <w:p>
      <w:pPr>
        <w:spacing w:line="249" w:lineRule="auto" w:before="50"/>
        <w:ind w:left="1440" w:right="1440" w:firstLine="0"/>
        <w:jc w:val="both"/>
        <w:rPr>
          <w:sz w:val="18"/>
        </w:rPr>
      </w:pPr>
      <w:r>
        <w:rPr>
          <w:sz w:val="18"/>
          <w:vertAlign w:val="superscript"/>
        </w:rPr>
        <w:t>26</w:t>
      </w:r>
      <w:r>
        <w:rPr>
          <w:sz w:val="18"/>
          <w:vertAlign w:val="baseline"/>
        </w:rPr>
        <w:t> In two remarkable passages, Christopher Pellng, in his essay, “Anything</w:t>
      </w:r>
      <w:r>
        <w:rPr>
          <w:spacing w:val="80"/>
          <w:sz w:val="18"/>
          <w:vertAlign w:val="baseline"/>
        </w:rPr>
        <w:t> </w:t>
      </w:r>
      <w:r>
        <w:rPr>
          <w:sz w:val="18"/>
          <w:vertAlign w:val="baseline"/>
        </w:rPr>
        <w:t>truth can do, we can do better: the Cleopatra legend,” refers to two Latin poets who</w:t>
      </w:r>
      <w:r>
        <w:rPr>
          <w:spacing w:val="40"/>
          <w:sz w:val="18"/>
          <w:vertAlign w:val="baseline"/>
        </w:rPr>
        <w:t> </w:t>
      </w:r>
      <w:r>
        <w:rPr>
          <w:sz w:val="18"/>
          <w:vertAlign w:val="baseline"/>
        </w:rPr>
        <w:t>were</w:t>
      </w:r>
      <w:r>
        <w:rPr>
          <w:spacing w:val="38"/>
          <w:sz w:val="18"/>
          <w:vertAlign w:val="baseline"/>
        </w:rPr>
        <w:t> </w:t>
      </w:r>
      <w:r>
        <w:rPr>
          <w:sz w:val="18"/>
          <w:vertAlign w:val="baseline"/>
        </w:rPr>
        <w:t>impacted</w:t>
      </w:r>
      <w:r>
        <w:rPr>
          <w:spacing w:val="40"/>
          <w:sz w:val="18"/>
          <w:vertAlign w:val="baseline"/>
        </w:rPr>
        <w:t> </w:t>
      </w:r>
      <w:r>
        <w:rPr>
          <w:sz w:val="18"/>
          <w:vertAlign w:val="baseline"/>
        </w:rPr>
        <w:t>by</w:t>
      </w:r>
      <w:r>
        <w:rPr>
          <w:spacing w:val="38"/>
          <w:sz w:val="18"/>
          <w:vertAlign w:val="baseline"/>
        </w:rPr>
        <w:t> </w:t>
      </w:r>
      <w:r>
        <w:rPr>
          <w:sz w:val="18"/>
          <w:vertAlign w:val="baseline"/>
        </w:rPr>
        <w:t>the</w:t>
      </w:r>
      <w:r>
        <w:rPr>
          <w:spacing w:val="40"/>
          <w:sz w:val="18"/>
          <w:vertAlign w:val="baseline"/>
        </w:rPr>
        <w:t> </w:t>
      </w:r>
      <w:r>
        <w:rPr>
          <w:sz w:val="18"/>
          <w:vertAlign w:val="baseline"/>
        </w:rPr>
        <w:t>Cleopatra</w:t>
      </w:r>
      <w:r>
        <w:rPr>
          <w:spacing w:val="40"/>
          <w:sz w:val="18"/>
          <w:vertAlign w:val="baseline"/>
        </w:rPr>
        <w:t> </w:t>
      </w:r>
      <w:r>
        <w:rPr>
          <w:sz w:val="18"/>
          <w:vertAlign w:val="baseline"/>
        </w:rPr>
        <w:t>legend.</w:t>
      </w:r>
      <w:r>
        <w:rPr>
          <w:spacing w:val="40"/>
          <w:sz w:val="18"/>
          <w:vertAlign w:val="baseline"/>
        </w:rPr>
        <w:t> </w:t>
      </w:r>
      <w:r>
        <w:rPr>
          <w:sz w:val="18"/>
          <w:vertAlign w:val="baseline"/>
        </w:rPr>
        <w:t>He</w:t>
      </w:r>
      <w:r>
        <w:rPr>
          <w:spacing w:val="40"/>
          <w:sz w:val="18"/>
          <w:vertAlign w:val="baseline"/>
        </w:rPr>
        <w:t> </w:t>
      </w:r>
      <w:r>
        <w:rPr>
          <w:sz w:val="18"/>
          <w:vertAlign w:val="baseline"/>
        </w:rPr>
        <w:t>first</w:t>
      </w:r>
      <w:r>
        <w:rPr>
          <w:spacing w:val="40"/>
          <w:sz w:val="18"/>
          <w:vertAlign w:val="baseline"/>
        </w:rPr>
        <w:t> </w:t>
      </w:r>
      <w:r>
        <w:rPr>
          <w:sz w:val="18"/>
          <w:vertAlign w:val="baseline"/>
        </w:rPr>
        <w:t>refers</w:t>
      </w:r>
      <w:r>
        <w:rPr>
          <w:spacing w:val="40"/>
          <w:sz w:val="18"/>
          <w:vertAlign w:val="baseline"/>
        </w:rPr>
        <w:t> </w:t>
      </w:r>
      <w:r>
        <w:rPr>
          <w:sz w:val="18"/>
          <w:vertAlign w:val="baseline"/>
        </w:rPr>
        <w:t>to</w:t>
      </w:r>
      <w:r>
        <w:rPr>
          <w:spacing w:val="40"/>
          <w:sz w:val="18"/>
          <w:vertAlign w:val="baseline"/>
        </w:rPr>
        <w:t> </w:t>
      </w:r>
      <w:r>
        <w:rPr>
          <w:sz w:val="18"/>
          <w:vertAlign w:val="baseline"/>
        </w:rPr>
        <w:t>Horace:</w:t>
      </w:r>
    </w:p>
    <w:p>
      <w:pPr>
        <w:spacing w:line="249" w:lineRule="auto" w:before="62"/>
        <w:ind w:left="1440" w:right="1439" w:firstLine="0"/>
        <w:jc w:val="both"/>
        <w:rPr>
          <w:sz w:val="18"/>
        </w:rPr>
      </w:pPr>
      <w:r>
        <w:rPr>
          <w:sz w:val="18"/>
        </w:rPr>
        <w:t>“Roman poetry</w:t>
      </w:r>
      <w:r>
        <w:rPr>
          <w:spacing w:val="-2"/>
          <w:sz w:val="18"/>
        </w:rPr>
        <w:t> </w:t>
      </w:r>
      <w:r>
        <w:rPr>
          <w:sz w:val="18"/>
        </w:rPr>
        <w:t>too begins to show</w:t>
      </w:r>
      <w:r>
        <w:rPr>
          <w:spacing w:val="-2"/>
          <w:sz w:val="18"/>
        </w:rPr>
        <w:t> </w:t>
      </w:r>
      <w:r>
        <w:rPr>
          <w:sz w:val="18"/>
        </w:rPr>
        <w:t>something</w:t>
      </w:r>
      <w:r>
        <w:rPr>
          <w:spacing w:val="-2"/>
          <w:sz w:val="18"/>
        </w:rPr>
        <w:t> </w:t>
      </w:r>
      <w:r>
        <w:rPr>
          <w:sz w:val="18"/>
        </w:rPr>
        <w:t>more</w:t>
      </w:r>
      <w:r>
        <w:rPr>
          <w:spacing w:val="-2"/>
          <w:sz w:val="18"/>
        </w:rPr>
        <w:t> </w:t>
      </w:r>
      <w:r>
        <w:rPr>
          <w:sz w:val="18"/>
        </w:rPr>
        <w:t>subtle</w:t>
      </w:r>
      <w:r>
        <w:rPr>
          <w:spacing w:val="-2"/>
          <w:sz w:val="18"/>
        </w:rPr>
        <w:t> </w:t>
      </w:r>
      <w:r>
        <w:rPr>
          <w:sz w:val="18"/>
        </w:rPr>
        <w:t>towards the</w:t>
      </w:r>
      <w:r>
        <w:rPr>
          <w:spacing w:val="-2"/>
          <w:sz w:val="18"/>
        </w:rPr>
        <w:t> </w:t>
      </w:r>
      <w:r>
        <w:rPr>
          <w:sz w:val="18"/>
        </w:rPr>
        <w:t>defeated Cleopatra. A year or so later Horace treated her in </w:t>
      </w:r>
      <w:r>
        <w:rPr>
          <w:i/>
          <w:sz w:val="18"/>
        </w:rPr>
        <w:t>Odes </w:t>
      </w:r>
      <w:r>
        <w:rPr>
          <w:sz w:val="18"/>
        </w:rPr>
        <w:t>1.37, and the tone is different</w:t>
      </w:r>
      <w:r>
        <w:rPr>
          <w:spacing w:val="40"/>
          <w:sz w:val="18"/>
        </w:rPr>
        <w:t> </w:t>
      </w:r>
      <w:r>
        <w:rPr>
          <w:sz w:val="18"/>
        </w:rPr>
        <w:t>.</w:t>
      </w:r>
      <w:r>
        <w:rPr>
          <w:spacing w:val="40"/>
          <w:sz w:val="18"/>
        </w:rPr>
        <w:t> </w:t>
      </w:r>
      <w:r>
        <w:rPr>
          <w:sz w:val="18"/>
        </w:rPr>
        <w:t>.</w:t>
      </w:r>
      <w:r>
        <w:rPr>
          <w:spacing w:val="40"/>
          <w:sz w:val="18"/>
        </w:rPr>
        <w:t> </w:t>
      </w:r>
      <w:r>
        <w:rPr>
          <w:sz w:val="18"/>
        </w:rPr>
        <w:t>.</w:t>
      </w:r>
    </w:p>
    <w:p>
      <w:pPr>
        <w:spacing w:line="249" w:lineRule="auto" w:before="60"/>
        <w:ind w:left="2160" w:right="2162" w:firstLine="0"/>
        <w:jc w:val="both"/>
        <w:rPr>
          <w:i/>
          <w:sz w:val="18"/>
        </w:rPr>
      </w:pPr>
      <w:r>
        <w:rPr>
          <w:i/>
          <w:sz w:val="18"/>
        </w:rPr>
        <w:t>She sought to die more nobly; she did not fear the sword, woman-like, nor sought to hurry her fleet to secret shores; she brought herself to view her fallen palace with tranquil </w:t>
      </w:r>
      <w:r>
        <w:rPr>
          <w:i/>
          <w:spacing w:val="-2"/>
          <w:sz w:val="18"/>
        </w:rPr>
        <w:t>face,</w:t>
      </w:r>
    </w:p>
    <w:p>
      <w:pPr>
        <w:spacing w:before="61"/>
        <w:ind w:left="2160" w:right="0" w:firstLine="0"/>
        <w:jc w:val="both"/>
        <w:rPr>
          <w:i/>
          <w:sz w:val="18"/>
        </w:rPr>
      </w:pPr>
      <w:r>
        <w:rPr>
          <w:i/>
          <w:sz w:val="18"/>
        </w:rPr>
        <w:t>to</w:t>
      </w:r>
      <w:r>
        <w:rPr>
          <w:i/>
          <w:spacing w:val="16"/>
          <w:sz w:val="18"/>
        </w:rPr>
        <w:t> </w:t>
      </w:r>
      <w:r>
        <w:rPr>
          <w:i/>
          <w:sz w:val="18"/>
        </w:rPr>
        <w:t>handle</w:t>
      </w:r>
      <w:r>
        <w:rPr>
          <w:i/>
          <w:spacing w:val="15"/>
          <w:sz w:val="18"/>
        </w:rPr>
        <w:t> </w:t>
      </w:r>
      <w:r>
        <w:rPr>
          <w:i/>
          <w:sz w:val="18"/>
        </w:rPr>
        <w:t>the</w:t>
      </w:r>
      <w:r>
        <w:rPr>
          <w:i/>
          <w:spacing w:val="15"/>
          <w:sz w:val="18"/>
        </w:rPr>
        <w:t> </w:t>
      </w:r>
      <w:r>
        <w:rPr>
          <w:i/>
          <w:sz w:val="18"/>
        </w:rPr>
        <w:t>fierce</w:t>
      </w:r>
      <w:r>
        <w:rPr>
          <w:i/>
          <w:spacing w:val="15"/>
          <w:sz w:val="18"/>
        </w:rPr>
        <w:t> </w:t>
      </w:r>
      <w:r>
        <w:rPr>
          <w:i/>
          <w:sz w:val="18"/>
        </w:rPr>
        <w:t>serpents</w:t>
      </w:r>
      <w:r>
        <w:rPr>
          <w:i/>
          <w:spacing w:val="15"/>
          <w:sz w:val="18"/>
        </w:rPr>
        <w:t> </w:t>
      </w:r>
      <w:r>
        <w:rPr>
          <w:i/>
          <w:sz w:val="18"/>
        </w:rPr>
        <w:t>bravely,</w:t>
      </w:r>
      <w:r>
        <w:rPr>
          <w:i/>
          <w:spacing w:val="15"/>
          <w:sz w:val="18"/>
        </w:rPr>
        <w:t> </w:t>
      </w:r>
      <w:r>
        <w:rPr>
          <w:i/>
          <w:sz w:val="18"/>
        </w:rPr>
        <w:t>to</w:t>
      </w:r>
      <w:r>
        <w:rPr>
          <w:i/>
          <w:spacing w:val="17"/>
          <w:sz w:val="18"/>
        </w:rPr>
        <w:t> </w:t>
      </w:r>
      <w:r>
        <w:rPr>
          <w:i/>
          <w:spacing w:val="-4"/>
          <w:sz w:val="18"/>
        </w:rPr>
        <w:t>drain</w:t>
      </w:r>
    </w:p>
    <w:p>
      <w:pPr>
        <w:spacing w:line="249" w:lineRule="auto" w:before="66"/>
        <w:ind w:left="2160" w:right="2162" w:firstLine="0"/>
        <w:jc w:val="both"/>
        <w:rPr>
          <w:i/>
          <w:sz w:val="18"/>
        </w:rPr>
      </w:pPr>
      <w:r>
        <w:rPr>
          <w:i/>
          <w:sz w:val="18"/>
        </w:rPr>
        <w:t>the</w:t>
      </w:r>
      <w:r>
        <w:rPr>
          <w:i/>
          <w:spacing w:val="-5"/>
          <w:sz w:val="18"/>
        </w:rPr>
        <w:t> </w:t>
      </w:r>
      <w:r>
        <w:rPr>
          <w:i/>
          <w:sz w:val="18"/>
        </w:rPr>
        <w:t>black</w:t>
      </w:r>
      <w:r>
        <w:rPr>
          <w:i/>
          <w:spacing w:val="-3"/>
          <w:sz w:val="18"/>
        </w:rPr>
        <w:t> </w:t>
      </w:r>
      <w:r>
        <w:rPr>
          <w:i/>
          <w:sz w:val="18"/>
        </w:rPr>
        <w:t>poison</w:t>
      </w:r>
      <w:r>
        <w:rPr>
          <w:i/>
          <w:spacing w:val="-3"/>
          <w:sz w:val="18"/>
        </w:rPr>
        <w:t> </w:t>
      </w:r>
      <w:r>
        <w:rPr>
          <w:i/>
          <w:sz w:val="18"/>
        </w:rPr>
        <w:t>in her</w:t>
      </w:r>
      <w:r>
        <w:rPr>
          <w:i/>
          <w:spacing w:val="-4"/>
          <w:sz w:val="18"/>
        </w:rPr>
        <w:t> </w:t>
      </w:r>
      <w:r>
        <w:rPr>
          <w:i/>
          <w:sz w:val="18"/>
        </w:rPr>
        <w:t>body, fierce</w:t>
      </w:r>
      <w:r>
        <w:rPr>
          <w:i/>
          <w:spacing w:val="-5"/>
          <w:sz w:val="18"/>
        </w:rPr>
        <w:t> </w:t>
      </w:r>
      <w:r>
        <w:rPr>
          <w:i/>
          <w:sz w:val="18"/>
        </w:rPr>
        <w:t>in her</w:t>
      </w:r>
      <w:r>
        <w:rPr>
          <w:i/>
          <w:spacing w:val="-5"/>
          <w:sz w:val="18"/>
        </w:rPr>
        <w:t> </w:t>
      </w:r>
      <w:r>
        <w:rPr>
          <w:i/>
          <w:sz w:val="18"/>
        </w:rPr>
        <w:t>calculated</w:t>
      </w:r>
      <w:r>
        <w:rPr>
          <w:i/>
          <w:spacing w:val="-1"/>
          <w:sz w:val="18"/>
        </w:rPr>
        <w:t> </w:t>
      </w:r>
      <w:r>
        <w:rPr>
          <w:i/>
          <w:sz w:val="18"/>
        </w:rPr>
        <w:t>death, grudging to be led by the cruel galleys</w:t>
      </w:r>
    </w:p>
    <w:p>
      <w:pPr>
        <w:spacing w:before="59"/>
        <w:ind w:left="2160" w:right="0" w:firstLine="0"/>
        <w:jc w:val="both"/>
        <w:rPr>
          <w:i/>
          <w:sz w:val="18"/>
        </w:rPr>
      </w:pPr>
      <w:r>
        <w:rPr>
          <w:i/>
          <w:sz w:val="18"/>
        </w:rPr>
        <w:t>of</w:t>
      </w:r>
      <w:r>
        <w:rPr>
          <w:i/>
          <w:spacing w:val="22"/>
          <w:sz w:val="18"/>
        </w:rPr>
        <w:t> </w:t>
      </w:r>
      <w:r>
        <w:rPr>
          <w:i/>
          <w:sz w:val="18"/>
        </w:rPr>
        <w:t>the</w:t>
      </w:r>
      <w:r>
        <w:rPr>
          <w:i/>
          <w:spacing w:val="21"/>
          <w:sz w:val="18"/>
        </w:rPr>
        <w:t> </w:t>
      </w:r>
      <w:r>
        <w:rPr>
          <w:i/>
          <w:sz w:val="18"/>
        </w:rPr>
        <w:t>Liburnians,</w:t>
      </w:r>
      <w:r>
        <w:rPr>
          <w:i/>
          <w:spacing w:val="23"/>
          <w:sz w:val="18"/>
        </w:rPr>
        <w:t> </w:t>
      </w:r>
      <w:r>
        <w:rPr>
          <w:i/>
          <w:sz w:val="18"/>
        </w:rPr>
        <w:t>a</w:t>
      </w:r>
      <w:r>
        <w:rPr>
          <w:i/>
          <w:spacing w:val="25"/>
          <w:sz w:val="18"/>
        </w:rPr>
        <w:t> </w:t>
      </w:r>
      <w:r>
        <w:rPr>
          <w:i/>
          <w:sz w:val="18"/>
        </w:rPr>
        <w:t>queen</w:t>
      </w:r>
      <w:r>
        <w:rPr>
          <w:i/>
          <w:spacing w:val="24"/>
          <w:sz w:val="18"/>
        </w:rPr>
        <w:t> </w:t>
      </w:r>
      <w:r>
        <w:rPr>
          <w:i/>
          <w:sz w:val="18"/>
        </w:rPr>
        <w:t>no</w:t>
      </w:r>
      <w:r>
        <w:rPr>
          <w:i/>
          <w:spacing w:val="24"/>
          <w:sz w:val="18"/>
        </w:rPr>
        <w:t> </w:t>
      </w:r>
      <w:r>
        <w:rPr>
          <w:i/>
          <w:spacing w:val="-2"/>
          <w:sz w:val="18"/>
        </w:rPr>
        <w:t>more,</w:t>
      </w:r>
    </w:p>
    <w:p>
      <w:pPr>
        <w:spacing w:before="69"/>
        <w:ind w:left="2160" w:right="0" w:firstLine="0"/>
        <w:jc w:val="both"/>
        <w:rPr>
          <w:i/>
          <w:sz w:val="18"/>
        </w:rPr>
      </w:pPr>
      <w:r>
        <w:rPr>
          <w:i/>
          <w:sz w:val="18"/>
        </w:rPr>
        <w:t>to</w:t>
      </w:r>
      <w:r>
        <w:rPr>
          <w:i/>
          <w:spacing w:val="25"/>
          <w:sz w:val="18"/>
        </w:rPr>
        <w:t> </w:t>
      </w:r>
      <w:r>
        <w:rPr>
          <w:i/>
          <w:sz w:val="18"/>
        </w:rPr>
        <w:t>a</w:t>
      </w:r>
      <w:r>
        <w:rPr>
          <w:i/>
          <w:spacing w:val="27"/>
          <w:sz w:val="18"/>
        </w:rPr>
        <w:t> </w:t>
      </w:r>
      <w:r>
        <w:rPr>
          <w:i/>
          <w:sz w:val="18"/>
        </w:rPr>
        <w:t>proud</w:t>
      </w:r>
      <w:r>
        <w:rPr>
          <w:i/>
          <w:spacing w:val="26"/>
          <w:sz w:val="18"/>
        </w:rPr>
        <w:t> </w:t>
      </w:r>
      <w:r>
        <w:rPr>
          <w:i/>
          <w:sz w:val="18"/>
        </w:rPr>
        <w:t>triumph.</w:t>
      </w:r>
      <w:r>
        <w:rPr>
          <w:i/>
          <w:spacing w:val="27"/>
          <w:sz w:val="18"/>
        </w:rPr>
        <w:t> </w:t>
      </w:r>
      <w:r>
        <w:rPr>
          <w:i/>
          <w:sz w:val="18"/>
        </w:rPr>
        <w:t>No</w:t>
      </w:r>
      <w:r>
        <w:rPr>
          <w:i/>
          <w:spacing w:val="26"/>
          <w:sz w:val="18"/>
        </w:rPr>
        <w:t> </w:t>
      </w:r>
      <w:r>
        <w:rPr>
          <w:i/>
          <w:sz w:val="18"/>
        </w:rPr>
        <w:t>humble</w:t>
      </w:r>
      <w:r>
        <w:rPr>
          <w:i/>
          <w:spacing w:val="25"/>
          <w:sz w:val="18"/>
        </w:rPr>
        <w:t> </w:t>
      </w:r>
      <w:r>
        <w:rPr>
          <w:i/>
          <w:sz w:val="18"/>
        </w:rPr>
        <w:t>woman</w:t>
      </w:r>
      <w:r>
        <w:rPr>
          <w:i/>
          <w:spacing w:val="26"/>
          <w:sz w:val="18"/>
        </w:rPr>
        <w:t> </w:t>
      </w:r>
      <w:r>
        <w:rPr>
          <w:i/>
          <w:sz w:val="18"/>
        </w:rPr>
        <w:t>she.</w:t>
      </w:r>
      <w:r>
        <w:rPr>
          <w:i/>
          <w:spacing w:val="25"/>
          <w:sz w:val="18"/>
        </w:rPr>
        <w:t> </w:t>
      </w:r>
      <w:r>
        <w:rPr>
          <w:i/>
          <w:spacing w:val="-10"/>
          <w:sz w:val="18"/>
        </w:rPr>
        <w:t>“</w:t>
      </w:r>
    </w:p>
    <w:p>
      <w:pPr>
        <w:spacing w:line="316" w:lineRule="auto" w:before="67"/>
        <w:ind w:left="2160" w:right="2159" w:firstLine="0"/>
        <w:jc w:val="left"/>
        <w:rPr>
          <w:i/>
          <w:sz w:val="18"/>
        </w:rPr>
      </w:pPr>
      <w:r>
        <w:rPr>
          <w:i/>
          <w:sz w:val="18"/>
        </w:rPr>
        <w:t>Then</w:t>
      </w:r>
      <w:r>
        <w:rPr>
          <w:i/>
          <w:spacing w:val="18"/>
          <w:sz w:val="18"/>
        </w:rPr>
        <w:t> </w:t>
      </w:r>
      <w:r>
        <w:rPr>
          <w:i/>
          <w:sz w:val="18"/>
        </w:rPr>
        <w:t>he</w:t>
      </w:r>
      <w:r>
        <w:rPr>
          <w:i/>
          <w:spacing w:val="19"/>
          <w:sz w:val="18"/>
        </w:rPr>
        <w:t> </w:t>
      </w:r>
      <w:r>
        <w:rPr>
          <w:i/>
          <w:sz w:val="18"/>
        </w:rPr>
        <w:t>quotes a</w:t>
      </w:r>
      <w:r>
        <w:rPr>
          <w:i/>
          <w:spacing w:val="21"/>
          <w:sz w:val="18"/>
        </w:rPr>
        <w:t> </w:t>
      </w:r>
      <w:r>
        <w:rPr>
          <w:i/>
          <w:sz w:val="18"/>
        </w:rPr>
        <w:t>verse from</w:t>
      </w:r>
      <w:r>
        <w:rPr>
          <w:i/>
          <w:spacing w:val="19"/>
          <w:sz w:val="18"/>
        </w:rPr>
        <w:t> </w:t>
      </w:r>
      <w:r>
        <w:rPr>
          <w:i/>
          <w:sz w:val="18"/>
        </w:rPr>
        <w:t>Virgil,</w:t>
      </w:r>
      <w:r>
        <w:rPr>
          <w:i/>
          <w:spacing w:val="20"/>
          <w:sz w:val="18"/>
        </w:rPr>
        <w:t> </w:t>
      </w:r>
      <w:r>
        <w:rPr>
          <w:sz w:val="18"/>
        </w:rPr>
        <w:t>Aeneid</w:t>
      </w:r>
      <w:r>
        <w:rPr>
          <w:spacing w:val="21"/>
          <w:sz w:val="18"/>
        </w:rPr>
        <w:t> </w:t>
      </w:r>
      <w:r>
        <w:rPr>
          <w:i/>
          <w:sz w:val="18"/>
        </w:rPr>
        <w:t>8.709-13: “Vulcan had placed</w:t>
      </w:r>
      <w:r>
        <w:rPr>
          <w:i/>
          <w:spacing w:val="40"/>
          <w:sz w:val="18"/>
        </w:rPr>
        <w:t> </w:t>
      </w:r>
      <w:r>
        <w:rPr>
          <w:i/>
          <w:sz w:val="18"/>
        </w:rPr>
        <w:t>her there amid the slaughter,</w:t>
      </w:r>
    </w:p>
    <w:p>
      <w:pPr>
        <w:spacing w:before="1"/>
        <w:ind w:left="2160" w:right="0" w:firstLine="0"/>
        <w:jc w:val="left"/>
        <w:rPr>
          <w:i/>
          <w:sz w:val="18"/>
        </w:rPr>
      </w:pPr>
      <w:r>
        <w:rPr>
          <w:i/>
          <w:sz w:val="18"/>
        </w:rPr>
        <w:t>pale</w:t>
      </w:r>
      <w:r>
        <w:rPr>
          <w:i/>
          <w:spacing w:val="21"/>
          <w:sz w:val="18"/>
        </w:rPr>
        <w:t> </w:t>
      </w:r>
      <w:r>
        <w:rPr>
          <w:i/>
          <w:sz w:val="18"/>
        </w:rPr>
        <w:t>at</w:t>
      </w:r>
      <w:r>
        <w:rPr>
          <w:i/>
          <w:spacing w:val="23"/>
          <w:sz w:val="18"/>
        </w:rPr>
        <w:t> </w:t>
      </w:r>
      <w:r>
        <w:rPr>
          <w:i/>
          <w:sz w:val="18"/>
        </w:rPr>
        <w:t>her</w:t>
      </w:r>
      <w:r>
        <w:rPr>
          <w:i/>
          <w:spacing w:val="17"/>
          <w:sz w:val="18"/>
        </w:rPr>
        <w:t> </w:t>
      </w:r>
      <w:r>
        <w:rPr>
          <w:i/>
          <w:sz w:val="18"/>
        </w:rPr>
        <w:t>coming</w:t>
      </w:r>
      <w:r>
        <w:rPr>
          <w:i/>
          <w:spacing w:val="24"/>
          <w:sz w:val="18"/>
        </w:rPr>
        <w:t> </w:t>
      </w:r>
      <w:r>
        <w:rPr>
          <w:i/>
          <w:sz w:val="18"/>
        </w:rPr>
        <w:t>death,</w:t>
      </w:r>
      <w:r>
        <w:rPr>
          <w:i/>
          <w:spacing w:val="23"/>
          <w:sz w:val="18"/>
        </w:rPr>
        <w:t> </w:t>
      </w:r>
      <w:r>
        <w:rPr>
          <w:i/>
          <w:sz w:val="18"/>
        </w:rPr>
        <w:t>borne</w:t>
      </w:r>
      <w:r>
        <w:rPr>
          <w:i/>
          <w:spacing w:val="21"/>
          <w:sz w:val="18"/>
        </w:rPr>
        <w:t> </w:t>
      </w:r>
      <w:r>
        <w:rPr>
          <w:i/>
          <w:sz w:val="18"/>
        </w:rPr>
        <w:t>by</w:t>
      </w:r>
      <w:r>
        <w:rPr>
          <w:i/>
          <w:spacing w:val="21"/>
          <w:sz w:val="18"/>
        </w:rPr>
        <w:t> </w:t>
      </w:r>
      <w:r>
        <w:rPr>
          <w:i/>
          <w:sz w:val="18"/>
        </w:rPr>
        <w:t>the</w:t>
      </w:r>
      <w:r>
        <w:rPr>
          <w:i/>
          <w:spacing w:val="19"/>
          <w:sz w:val="18"/>
        </w:rPr>
        <w:t> </w:t>
      </w:r>
      <w:r>
        <w:rPr>
          <w:i/>
          <w:sz w:val="18"/>
        </w:rPr>
        <w:t>waves</w:t>
      </w:r>
      <w:r>
        <w:rPr>
          <w:i/>
          <w:spacing w:val="22"/>
          <w:sz w:val="18"/>
        </w:rPr>
        <w:t> </w:t>
      </w:r>
      <w:r>
        <w:rPr>
          <w:i/>
          <w:sz w:val="18"/>
        </w:rPr>
        <w:t>and</w:t>
      </w:r>
      <w:r>
        <w:rPr>
          <w:i/>
          <w:spacing w:val="24"/>
          <w:sz w:val="18"/>
        </w:rPr>
        <w:t> </w:t>
      </w:r>
      <w:r>
        <w:rPr>
          <w:i/>
          <w:spacing w:val="-4"/>
          <w:sz w:val="18"/>
        </w:rPr>
        <w:t>wind;</w:t>
      </w:r>
    </w:p>
    <w:p>
      <w:pPr>
        <w:spacing w:line="249" w:lineRule="auto" w:before="66"/>
        <w:ind w:left="2160" w:right="2159" w:firstLine="0"/>
        <w:jc w:val="left"/>
        <w:rPr>
          <w:i/>
          <w:sz w:val="18"/>
        </w:rPr>
      </w:pPr>
      <w:r>
        <w:rPr>
          <w:i/>
          <w:sz w:val="18"/>
        </w:rPr>
        <w:t>before</w:t>
      </w:r>
      <w:r>
        <w:rPr>
          <w:i/>
          <w:spacing w:val="-11"/>
          <w:sz w:val="18"/>
        </w:rPr>
        <w:t> </w:t>
      </w:r>
      <w:r>
        <w:rPr>
          <w:i/>
          <w:sz w:val="18"/>
        </w:rPr>
        <w:t>the</w:t>
      </w:r>
      <w:r>
        <w:rPr>
          <w:i/>
          <w:spacing w:val="-12"/>
          <w:sz w:val="18"/>
        </w:rPr>
        <w:t> </w:t>
      </w:r>
      <w:r>
        <w:rPr>
          <w:i/>
          <w:sz w:val="18"/>
        </w:rPr>
        <w:t>Nile,</w:t>
      </w:r>
      <w:r>
        <w:rPr>
          <w:i/>
          <w:spacing w:val="-9"/>
          <w:sz w:val="18"/>
        </w:rPr>
        <w:t> </w:t>
      </w:r>
      <w:r>
        <w:rPr>
          <w:i/>
          <w:sz w:val="18"/>
        </w:rPr>
        <w:t>all</w:t>
      </w:r>
      <w:r>
        <w:rPr>
          <w:i/>
          <w:spacing w:val="-12"/>
          <w:sz w:val="18"/>
        </w:rPr>
        <w:t> </w:t>
      </w:r>
      <w:r>
        <w:rPr>
          <w:i/>
          <w:sz w:val="18"/>
        </w:rPr>
        <w:t>its</w:t>
      </w:r>
      <w:r>
        <w:rPr>
          <w:i/>
          <w:spacing w:val="-7"/>
          <w:sz w:val="18"/>
        </w:rPr>
        <w:t> </w:t>
      </w:r>
      <w:r>
        <w:rPr>
          <w:i/>
          <w:sz w:val="18"/>
        </w:rPr>
        <w:t>great</w:t>
      </w:r>
      <w:r>
        <w:rPr>
          <w:i/>
          <w:spacing w:val="-12"/>
          <w:sz w:val="18"/>
        </w:rPr>
        <w:t> </w:t>
      </w:r>
      <w:r>
        <w:rPr>
          <w:i/>
          <w:sz w:val="18"/>
        </w:rPr>
        <w:t>length</w:t>
      </w:r>
      <w:r>
        <w:rPr>
          <w:i/>
          <w:spacing w:val="-7"/>
          <w:sz w:val="18"/>
        </w:rPr>
        <w:t> </w:t>
      </w:r>
      <w:r>
        <w:rPr>
          <w:i/>
          <w:sz w:val="18"/>
        </w:rPr>
        <w:t>mourning,</w:t>
      </w:r>
      <w:r>
        <w:rPr>
          <w:i/>
          <w:spacing w:val="-10"/>
          <w:sz w:val="18"/>
        </w:rPr>
        <w:t> </w:t>
      </w:r>
      <w:r>
        <w:rPr>
          <w:i/>
          <w:sz w:val="18"/>
        </w:rPr>
        <w:t>throwing</w:t>
      </w:r>
      <w:r>
        <w:rPr>
          <w:i/>
          <w:spacing w:val="-8"/>
          <w:sz w:val="18"/>
        </w:rPr>
        <w:t> </w:t>
      </w:r>
      <w:r>
        <w:rPr>
          <w:i/>
          <w:sz w:val="18"/>
        </w:rPr>
        <w:t>open its folds, calling the conquered host,</w:t>
      </w:r>
    </w:p>
    <w:p>
      <w:pPr>
        <w:spacing w:before="59"/>
        <w:ind w:left="2160" w:right="0" w:firstLine="0"/>
        <w:jc w:val="left"/>
        <w:rPr>
          <w:i/>
          <w:sz w:val="18"/>
        </w:rPr>
      </w:pPr>
      <w:r>
        <w:rPr>
          <w:i/>
          <w:sz w:val="18"/>
        </w:rPr>
        <w:t>with all its</w:t>
      </w:r>
      <w:r>
        <w:rPr>
          <w:i/>
          <w:spacing w:val="-4"/>
          <w:sz w:val="18"/>
        </w:rPr>
        <w:t> </w:t>
      </w:r>
      <w:r>
        <w:rPr>
          <w:i/>
          <w:sz w:val="18"/>
        </w:rPr>
        <w:t>garb,</w:t>
      </w:r>
      <w:r>
        <w:rPr>
          <w:i/>
          <w:spacing w:val="-1"/>
          <w:sz w:val="18"/>
        </w:rPr>
        <w:t> </w:t>
      </w:r>
      <w:r>
        <w:rPr>
          <w:i/>
          <w:sz w:val="18"/>
        </w:rPr>
        <w:t>to</w:t>
      </w:r>
      <w:r>
        <w:rPr>
          <w:i/>
          <w:spacing w:val="-1"/>
          <w:sz w:val="18"/>
        </w:rPr>
        <w:t> </w:t>
      </w:r>
      <w:r>
        <w:rPr>
          <w:i/>
          <w:sz w:val="18"/>
        </w:rPr>
        <w:t>its</w:t>
      </w:r>
      <w:r>
        <w:rPr>
          <w:i/>
          <w:spacing w:val="-2"/>
          <w:sz w:val="18"/>
        </w:rPr>
        <w:t> </w:t>
      </w:r>
      <w:r>
        <w:rPr>
          <w:i/>
          <w:sz w:val="18"/>
        </w:rPr>
        <w:t>dark</w:t>
      </w:r>
      <w:r>
        <w:rPr>
          <w:i/>
          <w:spacing w:val="-3"/>
          <w:sz w:val="18"/>
        </w:rPr>
        <w:t> </w:t>
      </w:r>
      <w:r>
        <w:rPr>
          <w:i/>
          <w:sz w:val="18"/>
        </w:rPr>
        <w:t>bosom</w:t>
      </w:r>
      <w:r>
        <w:rPr>
          <w:i/>
          <w:spacing w:val="-3"/>
          <w:sz w:val="18"/>
        </w:rPr>
        <w:t> </w:t>
      </w:r>
      <w:r>
        <w:rPr>
          <w:i/>
          <w:sz w:val="18"/>
        </w:rPr>
        <w:t>and</w:t>
      </w:r>
      <w:r>
        <w:rPr>
          <w:i/>
          <w:spacing w:val="-3"/>
          <w:sz w:val="18"/>
        </w:rPr>
        <w:t> </w:t>
      </w:r>
      <w:r>
        <w:rPr>
          <w:i/>
          <w:sz w:val="18"/>
        </w:rPr>
        <w:t>its</w:t>
      </w:r>
      <w:r>
        <w:rPr>
          <w:i/>
          <w:spacing w:val="-1"/>
          <w:sz w:val="18"/>
        </w:rPr>
        <w:t> </w:t>
      </w:r>
      <w:r>
        <w:rPr>
          <w:i/>
          <w:sz w:val="18"/>
        </w:rPr>
        <w:t>hidden </w:t>
      </w:r>
      <w:r>
        <w:rPr>
          <w:i/>
          <w:spacing w:val="-2"/>
          <w:sz w:val="18"/>
        </w:rPr>
        <w:t>streams.”</w:t>
      </w:r>
    </w:p>
    <w:p>
      <w:pPr>
        <w:spacing w:line="249" w:lineRule="auto" w:before="69"/>
        <w:ind w:left="1440" w:right="1440" w:firstLine="0"/>
        <w:jc w:val="both"/>
        <w:rPr>
          <w:i/>
          <w:sz w:val="18"/>
        </w:rPr>
      </w:pPr>
      <w:r>
        <w:rPr>
          <w:sz w:val="18"/>
        </w:rPr>
        <w:t>Then</w:t>
      </w:r>
      <w:r>
        <w:rPr>
          <w:spacing w:val="-11"/>
          <w:sz w:val="18"/>
        </w:rPr>
        <w:t> </w:t>
      </w:r>
      <w:r>
        <w:rPr>
          <w:sz w:val="18"/>
        </w:rPr>
        <w:t>Pelling</w:t>
      </w:r>
      <w:r>
        <w:rPr>
          <w:spacing w:val="-8"/>
          <w:sz w:val="18"/>
        </w:rPr>
        <w:t> </w:t>
      </w:r>
      <w:r>
        <w:rPr>
          <w:sz w:val="18"/>
        </w:rPr>
        <w:t>comments</w:t>
      </w:r>
      <w:r>
        <w:rPr>
          <w:spacing w:val="-11"/>
          <w:sz w:val="18"/>
        </w:rPr>
        <w:t> </w:t>
      </w:r>
      <w:r>
        <w:rPr>
          <w:sz w:val="18"/>
        </w:rPr>
        <w:t>on</w:t>
      </w:r>
      <w:r>
        <w:rPr>
          <w:spacing w:val="-8"/>
          <w:sz w:val="18"/>
        </w:rPr>
        <w:t> </w:t>
      </w:r>
      <w:r>
        <w:rPr>
          <w:sz w:val="18"/>
        </w:rPr>
        <w:t>Virgil’s</w:t>
      </w:r>
      <w:r>
        <w:rPr>
          <w:spacing w:val="-9"/>
          <w:sz w:val="18"/>
        </w:rPr>
        <w:t> </w:t>
      </w:r>
      <w:r>
        <w:rPr>
          <w:sz w:val="18"/>
        </w:rPr>
        <w:t>poem</w:t>
      </w:r>
      <w:r>
        <w:rPr>
          <w:spacing w:val="-12"/>
          <w:sz w:val="18"/>
        </w:rPr>
        <w:t> </w:t>
      </w:r>
      <w:r>
        <w:rPr>
          <w:sz w:val="18"/>
        </w:rPr>
        <w:t>to</w:t>
      </w:r>
      <w:r>
        <w:rPr>
          <w:spacing w:val="-6"/>
          <w:sz w:val="18"/>
        </w:rPr>
        <w:t> </w:t>
      </w:r>
      <w:r>
        <w:rPr>
          <w:sz w:val="18"/>
        </w:rPr>
        <w:t>show</w:t>
      </w:r>
      <w:r>
        <w:rPr>
          <w:spacing w:val="-12"/>
          <w:sz w:val="18"/>
        </w:rPr>
        <w:t> </w:t>
      </w:r>
      <w:r>
        <w:rPr>
          <w:sz w:val="18"/>
        </w:rPr>
        <w:t>how</w:t>
      </w:r>
      <w:r>
        <w:rPr>
          <w:spacing w:val="-10"/>
          <w:sz w:val="18"/>
        </w:rPr>
        <w:t> </w:t>
      </w:r>
      <w:r>
        <w:rPr>
          <w:sz w:val="18"/>
        </w:rPr>
        <w:t>a</w:t>
      </w:r>
      <w:r>
        <w:rPr>
          <w:spacing w:val="-11"/>
          <w:sz w:val="18"/>
        </w:rPr>
        <w:t> </w:t>
      </w:r>
      <w:r>
        <w:rPr>
          <w:sz w:val="18"/>
        </w:rPr>
        <w:t>defeated</w:t>
      </w:r>
      <w:r>
        <w:rPr>
          <w:spacing w:val="-7"/>
          <w:sz w:val="18"/>
        </w:rPr>
        <w:t> </w:t>
      </w:r>
      <w:r>
        <w:rPr>
          <w:sz w:val="18"/>
        </w:rPr>
        <w:t>monarch</w:t>
      </w:r>
      <w:r>
        <w:rPr>
          <w:spacing w:val="-9"/>
          <w:sz w:val="18"/>
        </w:rPr>
        <w:t> </w:t>
      </w:r>
      <w:r>
        <w:rPr>
          <w:sz w:val="18"/>
        </w:rPr>
        <w:t>gains in stature, almost echoing Cleopatra’s: “’T’s paltry</w:t>
      </w:r>
      <w:r>
        <w:rPr>
          <w:spacing w:val="-2"/>
          <w:sz w:val="18"/>
        </w:rPr>
        <w:t> </w:t>
      </w:r>
      <w:r>
        <w:rPr>
          <w:sz w:val="18"/>
        </w:rPr>
        <w:t>to be</w:t>
      </w:r>
      <w:r>
        <w:rPr>
          <w:spacing w:val="-2"/>
          <w:sz w:val="18"/>
        </w:rPr>
        <w:t> </w:t>
      </w:r>
      <w:r>
        <w:rPr>
          <w:sz w:val="18"/>
        </w:rPr>
        <w:t>Caesar” (5.2.2): “This is more than Roman triumphalism. There is harmony here of queen, country, and people, and a stress on the nation’s mourning and their queen’s fear. The phrase ‘pale at her coming death’ also echoes an earlier passage where it was Dido</w:t>
      </w:r>
      <w:r>
        <w:rPr>
          <w:spacing w:val="-1"/>
          <w:sz w:val="18"/>
        </w:rPr>
        <w:t> </w:t>
      </w:r>
      <w:r>
        <w:rPr>
          <w:sz w:val="18"/>
        </w:rPr>
        <w:t>who</w:t>
      </w:r>
      <w:r>
        <w:rPr>
          <w:spacing w:val="-1"/>
          <w:sz w:val="18"/>
        </w:rPr>
        <w:t> </w:t>
      </w:r>
      <w:r>
        <w:rPr>
          <w:sz w:val="18"/>
        </w:rPr>
        <w:t>showed</w:t>
      </w:r>
      <w:r>
        <w:rPr>
          <w:spacing w:val="-3"/>
          <w:sz w:val="18"/>
        </w:rPr>
        <w:t> </w:t>
      </w:r>
      <w:r>
        <w:rPr>
          <w:sz w:val="18"/>
        </w:rPr>
        <w:t>‘pallor</w:t>
      </w:r>
      <w:r>
        <w:rPr>
          <w:spacing w:val="-3"/>
          <w:sz w:val="18"/>
        </w:rPr>
        <w:t> </w:t>
      </w:r>
      <w:r>
        <w:rPr>
          <w:sz w:val="18"/>
        </w:rPr>
        <w:t>at</w:t>
      </w:r>
      <w:r>
        <w:rPr>
          <w:spacing w:val="-1"/>
          <w:sz w:val="18"/>
        </w:rPr>
        <w:t> </w:t>
      </w:r>
      <w:r>
        <w:rPr>
          <w:sz w:val="18"/>
        </w:rPr>
        <w:t>her</w:t>
      </w:r>
      <w:r>
        <w:rPr>
          <w:spacing w:val="-3"/>
          <w:sz w:val="18"/>
        </w:rPr>
        <w:t> </w:t>
      </w:r>
      <w:r>
        <w:rPr>
          <w:sz w:val="18"/>
        </w:rPr>
        <w:t>coming</w:t>
      </w:r>
      <w:r>
        <w:rPr>
          <w:spacing w:val="-1"/>
          <w:sz w:val="18"/>
        </w:rPr>
        <w:t> </w:t>
      </w:r>
      <w:r>
        <w:rPr>
          <w:sz w:val="18"/>
        </w:rPr>
        <w:t>death’</w:t>
      </w:r>
      <w:r>
        <w:rPr>
          <w:spacing w:val="-1"/>
          <w:sz w:val="18"/>
        </w:rPr>
        <w:t> </w:t>
      </w:r>
      <w:r>
        <w:rPr>
          <w:sz w:val="18"/>
        </w:rPr>
        <w:t>(4.643),</w:t>
      </w:r>
      <w:r>
        <w:rPr>
          <w:spacing w:val="-3"/>
          <w:sz w:val="18"/>
        </w:rPr>
        <w:t> </w:t>
      </w:r>
      <w:r>
        <w:rPr>
          <w:sz w:val="18"/>
        </w:rPr>
        <w:t>and</w:t>
      </w:r>
      <w:r>
        <w:rPr>
          <w:spacing w:val="-1"/>
          <w:sz w:val="18"/>
        </w:rPr>
        <w:t> </w:t>
      </w:r>
      <w:r>
        <w:rPr>
          <w:sz w:val="18"/>
        </w:rPr>
        <w:t>once</w:t>
      </w:r>
      <w:r>
        <w:rPr>
          <w:spacing w:val="-3"/>
          <w:sz w:val="18"/>
        </w:rPr>
        <w:t> </w:t>
      </w:r>
      <w:r>
        <w:rPr>
          <w:sz w:val="18"/>
        </w:rPr>
        <w:t>again</w:t>
      </w:r>
      <w:r>
        <w:rPr>
          <w:spacing w:val="-1"/>
          <w:sz w:val="18"/>
        </w:rPr>
        <w:t> </w:t>
      </w:r>
      <w:r>
        <w:rPr>
          <w:sz w:val="18"/>
        </w:rPr>
        <w:t>we</w:t>
      </w:r>
      <w:r>
        <w:rPr>
          <w:spacing w:val="-3"/>
          <w:sz w:val="18"/>
        </w:rPr>
        <w:t> </w:t>
      </w:r>
      <w:r>
        <w:rPr>
          <w:sz w:val="18"/>
        </w:rPr>
        <w:t>have the blurring of past into present: Cleopatra blurs into Dido, another beautiful queen from</w:t>
      </w:r>
      <w:r>
        <w:rPr>
          <w:spacing w:val="-3"/>
          <w:sz w:val="18"/>
        </w:rPr>
        <w:t> </w:t>
      </w:r>
      <w:r>
        <w:rPr>
          <w:sz w:val="18"/>
        </w:rPr>
        <w:t>Africa, another challenge to a Roman hero and another alternative to a</w:t>
      </w:r>
      <w:r>
        <w:rPr>
          <w:spacing w:val="-5"/>
          <w:sz w:val="18"/>
        </w:rPr>
        <w:t> </w:t>
      </w:r>
      <w:r>
        <w:rPr>
          <w:sz w:val="18"/>
        </w:rPr>
        <w:t>Roman</w:t>
      </w:r>
      <w:r>
        <w:rPr>
          <w:spacing w:val="-1"/>
          <w:sz w:val="18"/>
        </w:rPr>
        <w:t> </w:t>
      </w:r>
      <w:r>
        <w:rPr>
          <w:sz w:val="18"/>
        </w:rPr>
        <w:t>path</w:t>
      </w:r>
      <w:r>
        <w:rPr>
          <w:spacing w:val="-3"/>
          <w:sz w:val="18"/>
        </w:rPr>
        <w:t> </w:t>
      </w:r>
      <w:r>
        <w:rPr>
          <w:sz w:val="18"/>
        </w:rPr>
        <w:t>of</w:t>
      </w:r>
      <w:r>
        <w:rPr>
          <w:spacing w:val="-3"/>
          <w:sz w:val="18"/>
        </w:rPr>
        <w:t> </w:t>
      </w:r>
      <w:r>
        <w:rPr>
          <w:sz w:val="18"/>
        </w:rPr>
        <w:t>fighting</w:t>
      </w:r>
      <w:r>
        <w:rPr>
          <w:spacing w:val="-3"/>
          <w:sz w:val="18"/>
        </w:rPr>
        <w:t> </w:t>
      </w:r>
      <w:r>
        <w:rPr>
          <w:sz w:val="18"/>
        </w:rPr>
        <w:t>and</w:t>
      </w:r>
      <w:r>
        <w:rPr>
          <w:spacing w:val="-3"/>
          <w:sz w:val="18"/>
        </w:rPr>
        <w:t> </w:t>
      </w:r>
      <w:r>
        <w:rPr>
          <w:sz w:val="18"/>
        </w:rPr>
        <w:t>achievement.”</w:t>
      </w:r>
      <w:r>
        <w:rPr>
          <w:spacing w:val="-3"/>
          <w:sz w:val="18"/>
        </w:rPr>
        <w:t> </w:t>
      </w:r>
      <w:r>
        <w:rPr>
          <w:sz w:val="18"/>
        </w:rPr>
        <w:t>(Christopher</w:t>
      </w:r>
      <w:r>
        <w:rPr>
          <w:spacing w:val="-5"/>
          <w:sz w:val="18"/>
        </w:rPr>
        <w:t> </w:t>
      </w:r>
      <w:r>
        <w:rPr>
          <w:sz w:val="18"/>
        </w:rPr>
        <w:t>Pelling,</w:t>
      </w:r>
      <w:r>
        <w:rPr>
          <w:spacing w:val="-1"/>
          <w:sz w:val="18"/>
        </w:rPr>
        <w:t> </w:t>
      </w:r>
      <w:r>
        <w:rPr>
          <w:sz w:val="18"/>
        </w:rPr>
        <w:t>“Anything truth</w:t>
      </w:r>
      <w:r>
        <w:rPr>
          <w:spacing w:val="15"/>
          <w:sz w:val="18"/>
        </w:rPr>
        <w:t> </w:t>
      </w:r>
      <w:r>
        <w:rPr>
          <w:sz w:val="18"/>
        </w:rPr>
        <w:t>can</w:t>
      </w:r>
      <w:r>
        <w:rPr>
          <w:spacing w:val="16"/>
          <w:sz w:val="18"/>
        </w:rPr>
        <w:t> </w:t>
      </w:r>
      <w:r>
        <w:rPr>
          <w:sz w:val="18"/>
        </w:rPr>
        <w:t>do,</w:t>
      </w:r>
      <w:r>
        <w:rPr>
          <w:spacing w:val="16"/>
          <w:sz w:val="18"/>
        </w:rPr>
        <w:t> </w:t>
      </w:r>
      <w:r>
        <w:rPr>
          <w:sz w:val="18"/>
        </w:rPr>
        <w:t>we</w:t>
      </w:r>
      <w:r>
        <w:rPr>
          <w:spacing w:val="16"/>
          <w:sz w:val="18"/>
        </w:rPr>
        <w:t> </w:t>
      </w:r>
      <w:r>
        <w:rPr>
          <w:sz w:val="18"/>
        </w:rPr>
        <w:t>can</w:t>
      </w:r>
      <w:r>
        <w:rPr>
          <w:spacing w:val="14"/>
          <w:sz w:val="18"/>
        </w:rPr>
        <w:t> </w:t>
      </w:r>
      <w:r>
        <w:rPr>
          <w:sz w:val="18"/>
        </w:rPr>
        <w:t>do</w:t>
      </w:r>
      <w:r>
        <w:rPr>
          <w:spacing w:val="18"/>
          <w:sz w:val="18"/>
        </w:rPr>
        <w:t> </w:t>
      </w:r>
      <w:r>
        <w:rPr>
          <w:sz w:val="18"/>
        </w:rPr>
        <w:t>better:</w:t>
      </w:r>
      <w:r>
        <w:rPr>
          <w:spacing w:val="14"/>
          <w:sz w:val="18"/>
        </w:rPr>
        <w:t> </w:t>
      </w:r>
      <w:r>
        <w:rPr>
          <w:sz w:val="18"/>
        </w:rPr>
        <w:t>the</w:t>
      </w:r>
      <w:r>
        <w:rPr>
          <w:spacing w:val="14"/>
          <w:sz w:val="18"/>
        </w:rPr>
        <w:t> </w:t>
      </w:r>
      <w:r>
        <w:rPr>
          <w:sz w:val="18"/>
        </w:rPr>
        <w:t>Cleopatra</w:t>
      </w:r>
      <w:r>
        <w:rPr>
          <w:spacing w:val="13"/>
          <w:sz w:val="18"/>
        </w:rPr>
        <w:t> </w:t>
      </w:r>
      <w:r>
        <w:rPr>
          <w:sz w:val="18"/>
        </w:rPr>
        <w:t>legend,”</w:t>
      </w:r>
      <w:r>
        <w:rPr>
          <w:spacing w:val="14"/>
          <w:sz w:val="18"/>
        </w:rPr>
        <w:t> </w:t>
      </w:r>
      <w:r>
        <w:rPr>
          <w:sz w:val="18"/>
        </w:rPr>
        <w:t>in</w:t>
      </w:r>
      <w:r>
        <w:rPr>
          <w:spacing w:val="20"/>
          <w:sz w:val="18"/>
        </w:rPr>
        <w:t> </w:t>
      </w:r>
      <w:r>
        <w:rPr>
          <w:i/>
          <w:sz w:val="18"/>
        </w:rPr>
        <w:t>Cleopatra</w:t>
      </w:r>
      <w:r>
        <w:rPr>
          <w:i/>
          <w:spacing w:val="18"/>
          <w:sz w:val="18"/>
        </w:rPr>
        <w:t> </w:t>
      </w:r>
      <w:r>
        <w:rPr>
          <w:i/>
          <w:sz w:val="18"/>
        </w:rPr>
        <w:t>of</w:t>
      </w:r>
      <w:r>
        <w:rPr>
          <w:i/>
          <w:spacing w:val="16"/>
          <w:sz w:val="18"/>
        </w:rPr>
        <w:t> </w:t>
      </w:r>
      <w:r>
        <w:rPr>
          <w:i/>
          <w:spacing w:val="-2"/>
          <w:sz w:val="18"/>
        </w:rPr>
        <w:t>Egypt,</w:t>
      </w:r>
    </w:p>
    <w:p>
      <w:pPr>
        <w:spacing w:before="8"/>
        <w:ind w:left="1440" w:right="0" w:firstLine="0"/>
        <w:jc w:val="both"/>
        <w:rPr>
          <w:sz w:val="18"/>
        </w:rPr>
      </w:pPr>
      <w:r>
        <w:rPr>
          <w:sz w:val="18"/>
        </w:rPr>
        <w:t>pp.</w:t>
      </w:r>
      <w:r>
        <w:rPr>
          <w:spacing w:val="47"/>
          <w:sz w:val="18"/>
        </w:rPr>
        <w:t> </w:t>
      </w:r>
      <w:r>
        <w:rPr>
          <w:sz w:val="18"/>
        </w:rPr>
        <w:t>295-</w:t>
      </w:r>
      <w:r>
        <w:rPr>
          <w:spacing w:val="-2"/>
          <w:sz w:val="18"/>
        </w:rPr>
        <w:t>296.)</w:t>
      </w:r>
    </w:p>
    <w:p>
      <w:pPr>
        <w:spacing w:after="0"/>
        <w:jc w:val="both"/>
        <w:rPr>
          <w:sz w:val="18"/>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24704">
                <wp:simplePos x="0" y="0"/>
                <wp:positionH relativeFrom="page">
                  <wp:posOffset>2057400</wp:posOffset>
                </wp:positionH>
                <wp:positionV relativeFrom="paragraph">
                  <wp:posOffset>162604</wp:posOffset>
                </wp:positionV>
                <wp:extent cx="3657600" cy="12700"/>
                <wp:effectExtent l="0" t="0" r="0" b="0"/>
                <wp:wrapTopAndBottom/>
                <wp:docPr id="168" name="Graphic 168"/>
                <wp:cNvGraphicFramePr>
                  <a:graphicFrameLocks/>
                </wp:cNvGraphicFramePr>
                <a:graphic>
                  <a:graphicData uri="http://schemas.microsoft.com/office/word/2010/wordprocessingShape">
                    <wps:wsp>
                      <wps:cNvPr id="168" name="Graphic 16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91776;mso-wrap-distance-left:0;mso-wrap-distance-right:0" id="docshape164" filled="true" fillcolor="#000000" stroked="false">
                <v:fill type="solid"/>
                <w10:wrap type="topAndBottom"/>
              </v:rect>
            </w:pict>
          </mc:Fallback>
        </mc:AlternateContent>
      </w:r>
      <w:r>
        <w:rPr>
          <w:rFonts w:ascii="Verdana"/>
          <w:spacing w:val="-5"/>
          <w:sz w:val="18"/>
        </w:rPr>
        <w:t>22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30" w:lineRule="auto" w:before="185"/>
        <w:ind w:right="1438" w:firstLine="432"/>
        <w:jc w:val="both"/>
      </w:pPr>
      <w:r>
        <w:rPr/>
        <w:t>After this spiritual ascension, she asks for the pair of asps, which she applies to each of her breasts: “Come, thou mortal wretch, / With thy sharp teeth this knot intrinsicate / Of life at once untie” (5.2.303-305). She gleefully imagines the snakes to be talking snakes and </w:t>
      </w:r>
      <w:r>
        <w:rPr>
          <w:spacing w:val="-2"/>
        </w:rPr>
        <w:t>announcing</w:t>
      </w:r>
      <w:r>
        <w:rPr>
          <w:spacing w:val="-3"/>
        </w:rPr>
        <w:t> </w:t>
      </w:r>
      <w:r>
        <w:rPr>
          <w:spacing w:val="-2"/>
        </w:rPr>
        <w:t>that</w:t>
      </w:r>
      <w:r>
        <w:rPr>
          <w:spacing w:val="-1"/>
        </w:rPr>
        <w:t> </w:t>
      </w:r>
      <w:r>
        <w:rPr>
          <w:spacing w:val="-2"/>
        </w:rPr>
        <w:t>they</w:t>
      </w:r>
      <w:r>
        <w:rPr>
          <w:spacing w:val="-5"/>
        </w:rPr>
        <w:t> </w:t>
      </w:r>
      <w:r>
        <w:rPr>
          <w:spacing w:val="-2"/>
        </w:rPr>
        <w:t>“call</w:t>
      </w:r>
      <w:r>
        <w:rPr/>
        <w:t> </w:t>
      </w:r>
      <w:r>
        <w:rPr>
          <w:spacing w:val="-2"/>
        </w:rPr>
        <w:t>great</w:t>
      </w:r>
      <w:r>
        <w:rPr>
          <w:spacing w:val="-1"/>
        </w:rPr>
        <w:t> </w:t>
      </w:r>
      <w:r>
        <w:rPr>
          <w:spacing w:val="-2"/>
        </w:rPr>
        <w:t>Caesar</w:t>
      </w:r>
      <w:r>
        <w:rPr/>
        <w:t> </w:t>
      </w:r>
      <w:r>
        <w:rPr>
          <w:spacing w:val="-2"/>
        </w:rPr>
        <w:t>ass /</w:t>
      </w:r>
      <w:r>
        <w:rPr/>
        <w:t> </w:t>
      </w:r>
      <w:r>
        <w:rPr>
          <w:spacing w:val="-2"/>
        </w:rPr>
        <w:t>Unpolicied”</w:t>
      </w:r>
      <w:r>
        <w:rPr>
          <w:spacing w:val="1"/>
        </w:rPr>
        <w:t> </w:t>
      </w:r>
      <w:r>
        <w:rPr>
          <w:spacing w:val="-2"/>
        </w:rPr>
        <w:t>(5.2306-307).</w:t>
      </w:r>
      <w:r>
        <w:rPr>
          <w:spacing w:val="-2"/>
          <w:vertAlign w:val="superscript"/>
        </w:rPr>
        <w:t>27</w:t>
      </w:r>
    </w:p>
    <w:p>
      <w:pPr>
        <w:pStyle w:val="BodyText"/>
        <w:spacing w:line="230" w:lineRule="auto" w:before="53"/>
        <w:ind w:right="1438" w:firstLine="432"/>
        <w:jc w:val="both"/>
      </w:pPr>
      <w:r>
        <w:rPr>
          <w:spacing w:val="-2"/>
        </w:rPr>
        <w:t>Critics</w:t>
      </w:r>
      <w:r>
        <w:rPr>
          <w:spacing w:val="-5"/>
        </w:rPr>
        <w:t> </w:t>
      </w:r>
      <w:r>
        <w:rPr>
          <w:spacing w:val="-2"/>
        </w:rPr>
        <w:t>have variously</w:t>
      </w:r>
      <w:r>
        <w:rPr>
          <w:spacing w:val="-7"/>
        </w:rPr>
        <w:t> </w:t>
      </w:r>
      <w:r>
        <w:rPr>
          <w:spacing w:val="-2"/>
        </w:rPr>
        <w:t>responded to Cleopatra’s</w:t>
      </w:r>
      <w:r>
        <w:rPr>
          <w:spacing w:val="-5"/>
        </w:rPr>
        <w:t> </w:t>
      </w:r>
      <w:r>
        <w:rPr>
          <w:spacing w:val="-2"/>
        </w:rPr>
        <w:t>Isis-like</w:t>
      </w:r>
      <w:r>
        <w:rPr>
          <w:spacing w:val="-7"/>
        </w:rPr>
        <w:t> </w:t>
      </w:r>
      <w:r>
        <w:rPr>
          <w:spacing w:val="-2"/>
        </w:rPr>
        <w:t>conformity </w:t>
      </w:r>
      <w:r>
        <w:rPr/>
        <w:t>to home care. But as we have been arguing that some poor action has been attempted by Shakespeare to cover up with beautiful poetry, a quotation</w:t>
      </w:r>
      <w:r>
        <w:rPr>
          <w:spacing w:val="17"/>
        </w:rPr>
        <w:t> </w:t>
      </w:r>
      <w:r>
        <w:rPr/>
        <w:t>from</w:t>
      </w:r>
      <w:r>
        <w:rPr>
          <w:spacing w:val="15"/>
        </w:rPr>
        <w:t> </w:t>
      </w:r>
      <w:r>
        <w:rPr/>
        <w:t>J.</w:t>
      </w:r>
      <w:r>
        <w:rPr>
          <w:spacing w:val="21"/>
        </w:rPr>
        <w:t> </w:t>
      </w:r>
      <w:r>
        <w:rPr/>
        <w:t>M.</w:t>
      </w:r>
      <w:r>
        <w:rPr>
          <w:spacing w:val="19"/>
        </w:rPr>
        <w:t> </w:t>
      </w:r>
      <w:r>
        <w:rPr/>
        <w:t>Stuart</w:t>
      </w:r>
      <w:r>
        <w:rPr>
          <w:spacing w:val="21"/>
        </w:rPr>
        <w:t> </w:t>
      </w:r>
      <w:r>
        <w:rPr/>
        <w:t>shows</w:t>
      </w:r>
      <w:r>
        <w:rPr>
          <w:spacing w:val="15"/>
        </w:rPr>
        <w:t> </w:t>
      </w:r>
      <w:r>
        <w:rPr/>
        <w:t>how</w:t>
      </w:r>
      <w:r>
        <w:rPr>
          <w:spacing w:val="18"/>
        </w:rPr>
        <w:t> </w:t>
      </w:r>
      <w:r>
        <w:rPr/>
        <w:t>easy</w:t>
      </w:r>
      <w:r>
        <w:rPr>
          <w:spacing w:val="17"/>
        </w:rPr>
        <w:t> </w:t>
      </w:r>
      <w:r>
        <w:rPr/>
        <w:t>it</w:t>
      </w:r>
      <w:r>
        <w:rPr>
          <w:spacing w:val="18"/>
        </w:rPr>
        <w:t> </w:t>
      </w:r>
      <w:r>
        <w:rPr/>
        <w:t>is</w:t>
      </w:r>
      <w:r>
        <w:rPr>
          <w:spacing w:val="19"/>
        </w:rPr>
        <w:t> </w:t>
      </w:r>
      <w:r>
        <w:rPr/>
        <w:t>to</w:t>
      </w:r>
      <w:r>
        <w:rPr>
          <w:spacing w:val="19"/>
        </w:rPr>
        <w:t> </w:t>
      </w:r>
      <w:r>
        <w:rPr/>
        <w:t>fall</w:t>
      </w:r>
      <w:r>
        <w:rPr>
          <w:spacing w:val="20"/>
        </w:rPr>
        <w:t> </w:t>
      </w:r>
      <w:r>
        <w:rPr/>
        <w:t>into</w:t>
      </w:r>
      <w:r>
        <w:rPr>
          <w:spacing w:val="17"/>
        </w:rPr>
        <w:t> </w:t>
      </w:r>
      <w:r>
        <w:rPr/>
        <w:t>the</w:t>
      </w:r>
      <w:r>
        <w:rPr>
          <w:spacing w:val="20"/>
        </w:rPr>
        <w:t> </w:t>
      </w:r>
      <w:r>
        <w:rPr>
          <w:spacing w:val="-2"/>
        </w:rPr>
        <w:t>trap:</w:t>
      </w:r>
    </w:p>
    <w:p>
      <w:pPr>
        <w:pStyle w:val="BodyText"/>
        <w:spacing w:line="230" w:lineRule="auto" w:before="55"/>
        <w:ind w:right="1439" w:firstLine="432"/>
        <w:jc w:val="both"/>
      </w:pPr>
      <w:r>
        <w:rPr/>
        <w:t>Cleopatra has appeared a wanton, sunk beyond recall in a barren dream</w:t>
      </w:r>
      <w:r>
        <w:rPr>
          <w:spacing w:val="-1"/>
        </w:rPr>
        <w:t> </w:t>
      </w:r>
      <w:r>
        <w:rPr/>
        <w:t>of sense; and only</w:t>
      </w:r>
      <w:r>
        <w:rPr>
          <w:spacing w:val="-2"/>
        </w:rPr>
        <w:t> </w:t>
      </w:r>
      <w:r>
        <w:rPr/>
        <w:t>her poetry has spoken of something else.</w:t>
      </w:r>
      <w:r>
        <w:rPr>
          <w:spacing w:val="-7"/>
        </w:rPr>
        <w:t> </w:t>
      </w:r>
      <w:r>
        <w:rPr/>
        <w:t>And yet</w:t>
      </w:r>
      <w:r>
        <w:rPr>
          <w:spacing w:val="-13"/>
        </w:rPr>
        <w:t> </w:t>
      </w:r>
      <w:r>
        <w:rPr/>
        <w:t>this</w:t>
      </w:r>
      <w:r>
        <w:rPr>
          <w:spacing w:val="-10"/>
        </w:rPr>
        <w:t> </w:t>
      </w:r>
      <w:r>
        <w:rPr/>
        <w:t>something</w:t>
      </w:r>
      <w:r>
        <w:rPr>
          <w:spacing w:val="-13"/>
        </w:rPr>
        <w:t> </w:t>
      </w:r>
      <w:r>
        <w:rPr/>
        <w:t>else</w:t>
      </w:r>
      <w:r>
        <w:rPr>
          <w:spacing w:val="-11"/>
        </w:rPr>
        <w:t> </w:t>
      </w:r>
      <w:r>
        <w:rPr/>
        <w:t>was</w:t>
      </w:r>
      <w:r>
        <w:rPr>
          <w:spacing w:val="-10"/>
        </w:rPr>
        <w:t> </w:t>
      </w:r>
      <w:r>
        <w:rPr/>
        <w:t>the</w:t>
      </w:r>
      <w:r>
        <w:rPr>
          <w:spacing w:val="-13"/>
        </w:rPr>
        <w:t> </w:t>
      </w:r>
      <w:r>
        <w:rPr/>
        <w:t>truth</w:t>
      </w:r>
      <w:r>
        <w:rPr>
          <w:spacing w:val="-11"/>
        </w:rPr>
        <w:t> </w:t>
      </w:r>
      <w:r>
        <w:rPr/>
        <w:t>of</w:t>
      </w:r>
      <w:r>
        <w:rPr>
          <w:spacing w:val="-10"/>
        </w:rPr>
        <w:t> </w:t>
      </w:r>
      <w:r>
        <w:rPr/>
        <w:t>her;</w:t>
      </w:r>
      <w:r>
        <w:rPr>
          <w:spacing w:val="-13"/>
        </w:rPr>
        <w:t> </w:t>
      </w:r>
      <w:r>
        <w:rPr/>
        <w:t>through</w:t>
      </w:r>
      <w:r>
        <w:rPr>
          <w:spacing w:val="-12"/>
        </w:rPr>
        <w:t> </w:t>
      </w:r>
      <w:r>
        <w:rPr/>
        <w:t>her</w:t>
      </w:r>
      <w:r>
        <w:rPr>
          <w:spacing w:val="-10"/>
        </w:rPr>
        <w:t> </w:t>
      </w:r>
      <w:r>
        <w:rPr/>
        <w:t>sterile</w:t>
      </w:r>
      <w:r>
        <w:rPr>
          <w:spacing w:val="-11"/>
        </w:rPr>
        <w:t> </w:t>
      </w:r>
      <w:r>
        <w:rPr/>
        <w:t>sensuality there</w:t>
      </w:r>
      <w:r>
        <w:rPr>
          <w:spacing w:val="25"/>
        </w:rPr>
        <w:t> </w:t>
      </w:r>
      <w:r>
        <w:rPr/>
        <w:t>has</w:t>
      </w:r>
      <w:r>
        <w:rPr>
          <w:spacing w:val="22"/>
        </w:rPr>
        <w:t> </w:t>
      </w:r>
      <w:r>
        <w:rPr/>
        <w:t>subterraneously</w:t>
      </w:r>
      <w:r>
        <w:rPr>
          <w:spacing w:val="22"/>
        </w:rPr>
        <w:t> </w:t>
      </w:r>
      <w:r>
        <w:rPr/>
        <w:t>run</w:t>
      </w:r>
      <w:r>
        <w:rPr>
          <w:spacing w:val="24"/>
        </w:rPr>
        <w:t> </w:t>
      </w:r>
      <w:r>
        <w:rPr/>
        <w:t>the</w:t>
      </w:r>
      <w:r>
        <w:rPr>
          <w:spacing w:val="25"/>
        </w:rPr>
        <w:t> </w:t>
      </w:r>
      <w:r>
        <w:rPr/>
        <w:t>quickening</w:t>
      </w:r>
      <w:r>
        <w:rPr>
          <w:spacing w:val="26"/>
        </w:rPr>
        <w:t> </w:t>
      </w:r>
      <w:r>
        <w:rPr/>
        <w:t>stream;</w:t>
      </w:r>
      <w:r>
        <w:rPr>
          <w:spacing w:val="24"/>
        </w:rPr>
        <w:t> </w:t>
      </w:r>
      <w:r>
        <w:rPr/>
        <w:t>and</w:t>
      </w:r>
      <w:r>
        <w:rPr>
          <w:spacing w:val="26"/>
        </w:rPr>
        <w:t> </w:t>
      </w:r>
      <w:r>
        <w:rPr/>
        <w:t>here</w:t>
      </w:r>
      <w:r>
        <w:rPr>
          <w:spacing w:val="24"/>
        </w:rPr>
        <w:t> </w:t>
      </w:r>
      <w:r>
        <w:rPr/>
        <w:t>at</w:t>
      </w:r>
      <w:r>
        <w:rPr>
          <w:spacing w:val="24"/>
        </w:rPr>
        <w:t> </w:t>
      </w:r>
      <w:r>
        <w:rPr/>
        <w:t>last is her monument—to our feeling vast and oppressive as the Ptolemies’ pyramids—like</w:t>
      </w:r>
      <w:r>
        <w:rPr>
          <w:spacing w:val="-10"/>
        </w:rPr>
        <w:t> </w:t>
      </w:r>
      <w:r>
        <w:rPr/>
        <w:t>water</w:t>
      </w:r>
      <w:r>
        <w:rPr>
          <w:spacing w:val="-7"/>
        </w:rPr>
        <w:t> </w:t>
      </w:r>
      <w:r>
        <w:rPr/>
        <w:t>cleaving</w:t>
      </w:r>
      <w:r>
        <w:rPr>
          <w:spacing w:val="-9"/>
        </w:rPr>
        <w:t> </w:t>
      </w:r>
      <w:r>
        <w:rPr/>
        <w:t>the</w:t>
      </w:r>
      <w:r>
        <w:rPr>
          <w:spacing w:val="-8"/>
        </w:rPr>
        <w:t> </w:t>
      </w:r>
      <w:r>
        <w:rPr/>
        <w:t>rock,</w:t>
      </w:r>
      <w:r>
        <w:rPr>
          <w:spacing w:val="-9"/>
        </w:rPr>
        <w:t> </w:t>
      </w:r>
      <w:r>
        <w:rPr/>
        <w:t>her</w:t>
      </w:r>
      <w:r>
        <w:rPr>
          <w:spacing w:val="-7"/>
        </w:rPr>
        <w:t> </w:t>
      </w:r>
      <w:r>
        <w:rPr/>
        <w:t>womanhood</w:t>
      </w:r>
      <w:r>
        <w:rPr>
          <w:spacing w:val="-7"/>
        </w:rPr>
        <w:t> </w:t>
      </w:r>
      <w:r>
        <w:rPr/>
        <w:t>discloses</w:t>
      </w:r>
      <w:r>
        <w:rPr>
          <w:spacing w:val="-9"/>
        </w:rPr>
        <w:t> </w:t>
      </w:r>
      <w:r>
        <w:rPr/>
        <w:t>itself in a</w:t>
      </w:r>
      <w:r>
        <w:rPr>
          <w:spacing w:val="22"/>
        </w:rPr>
        <w:t> </w:t>
      </w:r>
      <w:r>
        <w:rPr/>
        <w:t>mature and</w:t>
      </w:r>
      <w:r>
        <w:rPr>
          <w:spacing w:val="23"/>
        </w:rPr>
        <w:t> </w:t>
      </w:r>
      <w:r>
        <w:rPr/>
        <w:t>final splendour: “Husband, I come . . .</w:t>
      </w:r>
      <w:r>
        <w:rPr>
          <w:spacing w:val="23"/>
        </w:rPr>
        <w:t> </w:t>
      </w:r>
      <w:r>
        <w:rPr/>
        <w:t>“ (5.2.286).</w:t>
      </w:r>
      <w:r>
        <w:rPr>
          <w:vertAlign w:val="superscript"/>
        </w:rPr>
        <w:t>28</w:t>
      </w:r>
    </w:p>
    <w:p>
      <w:pPr>
        <w:pStyle w:val="BodyText"/>
        <w:spacing w:line="230" w:lineRule="auto" w:before="53"/>
        <w:ind w:right="1437" w:firstLine="432"/>
        <w:jc w:val="both"/>
      </w:pPr>
      <w:r>
        <w:rPr/>
        <w:t>In our essay, we have observed that there is a great sense of</w:t>
      </w:r>
      <w:r>
        <w:rPr>
          <w:spacing w:val="40"/>
        </w:rPr>
        <w:t> </w:t>
      </w:r>
      <w:r>
        <w:rPr/>
        <w:t>‘being</w:t>
      </w:r>
      <w:r>
        <w:rPr>
          <w:spacing w:val="-9"/>
        </w:rPr>
        <w:t> </w:t>
      </w:r>
      <w:r>
        <w:rPr/>
        <w:t>in</w:t>
      </w:r>
      <w:r>
        <w:rPr>
          <w:spacing w:val="-7"/>
        </w:rPr>
        <w:t> </w:t>
      </w:r>
      <w:r>
        <w:rPr/>
        <w:t>spite</w:t>
      </w:r>
      <w:r>
        <w:rPr>
          <w:spacing w:val="-4"/>
        </w:rPr>
        <w:t> </w:t>
      </w:r>
      <w:r>
        <w:rPr/>
        <w:t>of’</w:t>
      </w:r>
      <w:r>
        <w:rPr>
          <w:spacing w:val="-13"/>
        </w:rPr>
        <w:t> </w:t>
      </w:r>
      <w:r>
        <w:rPr/>
        <w:t>in</w:t>
      </w:r>
      <w:r>
        <w:rPr>
          <w:spacing w:val="-4"/>
        </w:rPr>
        <w:t> </w:t>
      </w:r>
      <w:r>
        <w:rPr/>
        <w:t>this</w:t>
      </w:r>
      <w:r>
        <w:rPr>
          <w:spacing w:val="-7"/>
        </w:rPr>
        <w:t> </w:t>
      </w:r>
      <w:r>
        <w:rPr/>
        <w:t>play.</w:t>
      </w:r>
      <w:r>
        <w:rPr>
          <w:spacing w:val="-3"/>
        </w:rPr>
        <w:t> </w:t>
      </w:r>
      <w:r>
        <w:rPr/>
        <w:t>Perhaps</w:t>
      </w:r>
      <w:r>
        <w:rPr>
          <w:spacing w:val="-3"/>
        </w:rPr>
        <w:t> </w:t>
      </w:r>
      <w:r>
        <w:rPr/>
        <w:t>it</w:t>
      </w:r>
      <w:r>
        <w:rPr>
          <w:spacing w:val="-5"/>
        </w:rPr>
        <w:t> </w:t>
      </w:r>
      <w:r>
        <w:rPr/>
        <w:t>is</w:t>
      </w:r>
      <w:r>
        <w:rPr>
          <w:spacing w:val="-3"/>
        </w:rPr>
        <w:t> </w:t>
      </w:r>
      <w:r>
        <w:rPr/>
        <w:t>an</w:t>
      </w:r>
      <w:r>
        <w:rPr>
          <w:spacing w:val="-5"/>
        </w:rPr>
        <w:t> </w:t>
      </w:r>
      <w:r>
        <w:rPr/>
        <w:t>echo</w:t>
      </w:r>
      <w:r>
        <w:rPr>
          <w:spacing w:val="-3"/>
        </w:rPr>
        <w:t> </w:t>
      </w:r>
      <w:r>
        <w:rPr/>
        <w:t>of</w:t>
      </w:r>
      <w:r>
        <w:rPr>
          <w:spacing w:val="-7"/>
        </w:rPr>
        <w:t> </w:t>
      </w:r>
      <w:r>
        <w:rPr/>
        <w:t>Bradley’s</w:t>
      </w:r>
      <w:r>
        <w:rPr>
          <w:spacing w:val="-5"/>
        </w:rPr>
        <w:t> </w:t>
      </w:r>
      <w:r>
        <w:rPr/>
        <w:t>famous discussion of the split between head and heart in the play, and our favouring the heart in spite of the logical victory of the head. The feeling</w:t>
      </w:r>
      <w:r>
        <w:rPr>
          <w:spacing w:val="-2"/>
        </w:rPr>
        <w:t> </w:t>
      </w:r>
      <w:r>
        <w:rPr/>
        <w:t>ingrained in the play’s texture is that love’s transcendent power prevails over the utilitarianism of the political world. Great critics over the</w:t>
      </w:r>
      <w:r>
        <w:rPr>
          <w:spacing w:val="29"/>
        </w:rPr>
        <w:t> </w:t>
      </w:r>
      <w:r>
        <w:rPr/>
        <w:t>centuries</w:t>
      </w:r>
      <w:r>
        <w:rPr>
          <w:spacing w:val="29"/>
        </w:rPr>
        <w:t> </w:t>
      </w:r>
      <w:r>
        <w:rPr/>
        <w:t>have</w:t>
      </w:r>
      <w:r>
        <w:rPr>
          <w:spacing w:val="30"/>
        </w:rPr>
        <w:t> </w:t>
      </w:r>
      <w:r>
        <w:rPr/>
        <w:t>been</w:t>
      </w:r>
      <w:r>
        <w:rPr>
          <w:spacing w:val="29"/>
        </w:rPr>
        <w:t> </w:t>
      </w:r>
      <w:r>
        <w:rPr/>
        <w:t>awed</w:t>
      </w:r>
      <w:r>
        <w:rPr>
          <w:spacing w:val="31"/>
        </w:rPr>
        <w:t> </w:t>
      </w:r>
      <w:r>
        <w:rPr/>
        <w:t>by the</w:t>
      </w:r>
      <w:r>
        <w:rPr>
          <w:spacing w:val="30"/>
        </w:rPr>
        <w:t> </w:t>
      </w:r>
      <w:r>
        <w:rPr/>
        <w:t>spirit</w:t>
      </w:r>
      <w:r>
        <w:rPr>
          <w:spacing w:val="31"/>
        </w:rPr>
        <w:t> </w:t>
      </w:r>
      <w:r>
        <w:rPr/>
        <w:t>and</w:t>
      </w:r>
      <w:r>
        <w:rPr>
          <w:spacing w:val="31"/>
        </w:rPr>
        <w:t> </w:t>
      </w:r>
      <w:r>
        <w:rPr/>
        <w:t>power</w:t>
      </w:r>
      <w:r>
        <w:rPr>
          <w:spacing w:val="29"/>
        </w:rPr>
        <w:t> </w:t>
      </w:r>
      <w:r>
        <w:rPr/>
        <w:t>of</w:t>
      </w:r>
      <w:r>
        <w:rPr>
          <w:spacing w:val="30"/>
        </w:rPr>
        <w:t> </w:t>
      </w:r>
      <w:r>
        <w:rPr/>
        <w:t>poetry that has been the medium of transcendence. And personally speaking, though</w:t>
      </w:r>
      <w:r>
        <w:rPr>
          <w:spacing w:val="20"/>
        </w:rPr>
        <w:t> </w:t>
      </w:r>
      <w:r>
        <w:rPr/>
        <w:t>I</w:t>
      </w:r>
      <w:r>
        <w:rPr>
          <w:spacing w:val="23"/>
        </w:rPr>
        <w:t> </w:t>
      </w:r>
      <w:r>
        <w:rPr/>
        <w:t>have</w:t>
      </w:r>
      <w:r>
        <w:rPr>
          <w:spacing w:val="21"/>
        </w:rPr>
        <w:t> </w:t>
      </w:r>
      <w:r>
        <w:rPr/>
        <w:t>been</w:t>
      </w:r>
      <w:r>
        <w:rPr>
          <w:spacing w:val="20"/>
        </w:rPr>
        <w:t> </w:t>
      </w:r>
      <w:r>
        <w:rPr/>
        <w:t>a</w:t>
      </w:r>
      <w:r>
        <w:rPr>
          <w:spacing w:val="20"/>
        </w:rPr>
        <w:t> </w:t>
      </w:r>
      <w:r>
        <w:rPr/>
        <w:t>great</w:t>
      </w:r>
      <w:r>
        <w:rPr>
          <w:spacing w:val="21"/>
        </w:rPr>
        <w:t> </w:t>
      </w:r>
      <w:r>
        <w:rPr/>
        <w:t>admirer</w:t>
      </w:r>
      <w:r>
        <w:rPr>
          <w:spacing w:val="24"/>
        </w:rPr>
        <w:t> </w:t>
      </w:r>
      <w:r>
        <w:rPr/>
        <w:t>of</w:t>
      </w:r>
      <w:r>
        <w:rPr>
          <w:spacing w:val="20"/>
        </w:rPr>
        <w:t> </w:t>
      </w:r>
      <w:r>
        <w:rPr/>
        <w:t>this</w:t>
      </w:r>
      <w:r>
        <w:rPr>
          <w:spacing w:val="20"/>
        </w:rPr>
        <w:t> </w:t>
      </w:r>
      <w:r>
        <w:rPr/>
        <w:t>play,</w:t>
      </w:r>
      <w:r>
        <w:rPr>
          <w:spacing w:val="20"/>
        </w:rPr>
        <w:t> </w:t>
      </w:r>
      <w:r>
        <w:rPr/>
        <w:t>and</w:t>
      </w:r>
      <w:r>
        <w:rPr>
          <w:spacing w:val="22"/>
        </w:rPr>
        <w:t> </w:t>
      </w:r>
      <w:r>
        <w:rPr/>
        <w:t>had</w:t>
      </w:r>
      <w:r>
        <w:rPr>
          <w:spacing w:val="22"/>
        </w:rPr>
        <w:t> </w:t>
      </w:r>
      <w:r>
        <w:rPr/>
        <w:t>brought</w:t>
      </w:r>
      <w:r>
        <w:rPr>
          <w:spacing w:val="20"/>
        </w:rPr>
        <w:t> </w:t>
      </w:r>
      <w:r>
        <w:rPr/>
        <w:t>out a</w:t>
      </w:r>
      <w:r>
        <w:rPr>
          <w:spacing w:val="25"/>
        </w:rPr>
        <w:t> </w:t>
      </w:r>
      <w:r>
        <w:rPr/>
        <w:t>prose</w:t>
      </w:r>
      <w:r>
        <w:rPr>
          <w:spacing w:val="22"/>
        </w:rPr>
        <w:t> </w:t>
      </w:r>
      <w:r>
        <w:rPr/>
        <w:t>translation</w:t>
      </w:r>
      <w:r>
        <w:rPr>
          <w:spacing w:val="24"/>
        </w:rPr>
        <w:t> </w:t>
      </w:r>
      <w:r>
        <w:rPr/>
        <w:t>of</w:t>
      </w:r>
      <w:r>
        <w:rPr>
          <w:spacing w:val="24"/>
        </w:rPr>
        <w:t> </w:t>
      </w:r>
      <w:r>
        <w:rPr/>
        <w:t>this</w:t>
      </w:r>
      <w:r>
        <w:rPr>
          <w:spacing w:val="26"/>
        </w:rPr>
        <w:t> </w:t>
      </w:r>
      <w:r>
        <w:rPr/>
        <w:t>play</w:t>
      </w:r>
      <w:r>
        <w:rPr>
          <w:spacing w:val="22"/>
        </w:rPr>
        <w:t> </w:t>
      </w:r>
      <w:r>
        <w:rPr/>
        <w:t>about</w:t>
      </w:r>
      <w:r>
        <w:rPr>
          <w:spacing w:val="26"/>
        </w:rPr>
        <w:t> </w:t>
      </w:r>
      <w:r>
        <w:rPr/>
        <w:t>a</w:t>
      </w:r>
      <w:r>
        <w:rPr>
          <w:spacing w:val="25"/>
        </w:rPr>
        <w:t> </w:t>
      </w:r>
      <w:r>
        <w:rPr/>
        <w:t>decade</w:t>
      </w:r>
      <w:r>
        <w:rPr>
          <w:spacing w:val="27"/>
        </w:rPr>
        <w:t> </w:t>
      </w:r>
      <w:r>
        <w:rPr/>
        <w:t>ago,</w:t>
      </w:r>
      <w:r>
        <w:rPr>
          <w:spacing w:val="24"/>
        </w:rPr>
        <w:t> </w:t>
      </w:r>
      <w:r>
        <w:rPr/>
        <w:t>I</w:t>
      </w:r>
      <w:r>
        <w:rPr>
          <w:spacing w:val="29"/>
        </w:rPr>
        <w:t> </w:t>
      </w:r>
      <w:r>
        <w:rPr/>
        <w:t>have</w:t>
      </w:r>
      <w:r>
        <w:rPr>
          <w:spacing w:val="25"/>
        </w:rPr>
        <w:t> </w:t>
      </w:r>
      <w:r>
        <w:rPr/>
        <w:t>presently, in the rereading of this play for this paper, become aware that Shakespeare perhaps was conscious that the great pair of lovers in the last phase of their lives had pursued actions that could be ascribed as neither tragic</w:t>
      </w:r>
      <w:r>
        <w:rPr>
          <w:spacing w:val="40"/>
        </w:rPr>
        <w:t> </w:t>
      </w:r>
      <w:r>
        <w:rPr/>
        <w:t>nor</w:t>
      </w:r>
      <w:r>
        <w:rPr>
          <w:spacing w:val="40"/>
        </w:rPr>
        <w:t> </w:t>
      </w:r>
      <w:r>
        <w:rPr/>
        <w:t>heroic.</w:t>
      </w:r>
    </w:p>
    <w:p>
      <w:pPr>
        <w:pStyle w:val="BodyText"/>
        <w:ind w:left="0"/>
      </w:pPr>
    </w:p>
    <w:p>
      <w:pPr>
        <w:pStyle w:val="BodyText"/>
        <w:spacing w:before="97"/>
        <w:ind w:left="0"/>
      </w:pPr>
      <w:r>
        <w:rPr/>
        <mc:AlternateContent>
          <mc:Choice Requires="wps">
            <w:drawing>
              <wp:anchor distT="0" distB="0" distL="0" distR="0" allowOverlap="1" layoutInCell="1" locked="0" behindDoc="1" simplePos="0" relativeHeight="487625216">
                <wp:simplePos x="0" y="0"/>
                <wp:positionH relativeFrom="page">
                  <wp:posOffset>2042160</wp:posOffset>
                </wp:positionH>
                <wp:positionV relativeFrom="paragraph">
                  <wp:posOffset>222873</wp:posOffset>
                </wp:positionV>
                <wp:extent cx="3665220" cy="12700"/>
                <wp:effectExtent l="0" t="0" r="0" b="0"/>
                <wp:wrapTopAndBottom/>
                <wp:docPr id="169" name="Graphic 169"/>
                <wp:cNvGraphicFramePr>
                  <a:graphicFrameLocks/>
                </wp:cNvGraphicFramePr>
                <a:graphic>
                  <a:graphicData uri="http://schemas.microsoft.com/office/word/2010/wordprocessingShape">
                    <wps:wsp>
                      <wps:cNvPr id="169" name="Graphic 169"/>
                      <wps:cNvSpPr/>
                      <wps:spPr>
                        <a:xfrm>
                          <a:off x="0" y="0"/>
                          <a:ext cx="3665220" cy="12700"/>
                        </a:xfrm>
                        <a:custGeom>
                          <a:avLst/>
                          <a:gdLst/>
                          <a:ahLst/>
                          <a:cxnLst/>
                          <a:rect l="l" t="t" r="r" b="b"/>
                          <a:pathLst>
                            <a:path w="3665220" h="12700">
                              <a:moveTo>
                                <a:pt x="0" y="0"/>
                              </a:moveTo>
                              <a:lnTo>
                                <a:pt x="3665220" y="0"/>
                              </a:lnTo>
                              <a:lnTo>
                                <a:pt x="366522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0.800003pt;margin-top:17.549112pt;width:288.600022pt;height:.959977pt;mso-position-horizontal-relative:page;mso-position-vertical-relative:paragraph;z-index:-15691264;mso-wrap-distance-left:0;mso-wrap-distance-right:0" id="docshape165" filled="true" fillcolor="#000000" stroked="false">
                <v:fill type="solid"/>
                <w10:wrap type="topAndBottom"/>
              </v:rect>
            </w:pict>
          </mc:Fallback>
        </mc:AlternateContent>
      </w:r>
    </w:p>
    <w:p>
      <w:pPr>
        <w:spacing w:line="249" w:lineRule="auto" w:before="52"/>
        <w:ind w:left="1440" w:right="1438" w:firstLine="0"/>
        <w:jc w:val="both"/>
        <w:rPr>
          <w:sz w:val="18"/>
        </w:rPr>
      </w:pPr>
      <w:r>
        <w:rPr>
          <w:sz w:val="18"/>
          <w:vertAlign w:val="superscript"/>
        </w:rPr>
        <w:t>27</w:t>
      </w:r>
      <w:r>
        <w:rPr>
          <w:sz w:val="18"/>
          <w:vertAlign w:val="baseline"/>
        </w:rPr>
        <w:t> “After Octavian’s victory over Cleopatra, Egypt, which had become an important province, was transformed into the most important source of wheat for</w:t>
      </w:r>
      <w:r>
        <w:rPr>
          <w:spacing w:val="25"/>
          <w:sz w:val="18"/>
          <w:vertAlign w:val="baseline"/>
        </w:rPr>
        <w:t> </w:t>
      </w:r>
      <w:r>
        <w:rPr>
          <w:sz w:val="18"/>
          <w:vertAlign w:val="baseline"/>
        </w:rPr>
        <w:t>Rome,</w:t>
      </w:r>
      <w:r>
        <w:rPr>
          <w:spacing w:val="27"/>
          <w:sz w:val="18"/>
          <w:vertAlign w:val="baseline"/>
        </w:rPr>
        <w:t> </w:t>
      </w:r>
      <w:r>
        <w:rPr>
          <w:sz w:val="18"/>
          <w:vertAlign w:val="baseline"/>
        </w:rPr>
        <w:t>to</w:t>
      </w:r>
      <w:r>
        <w:rPr>
          <w:spacing w:val="29"/>
          <w:sz w:val="18"/>
          <w:vertAlign w:val="baseline"/>
        </w:rPr>
        <w:t> </w:t>
      </w:r>
      <w:r>
        <w:rPr>
          <w:sz w:val="18"/>
          <w:vertAlign w:val="baseline"/>
        </w:rPr>
        <w:t>the</w:t>
      </w:r>
      <w:r>
        <w:rPr>
          <w:spacing w:val="25"/>
          <w:sz w:val="18"/>
          <w:vertAlign w:val="baseline"/>
        </w:rPr>
        <w:t> </w:t>
      </w:r>
      <w:r>
        <w:rPr>
          <w:sz w:val="18"/>
          <w:vertAlign w:val="baseline"/>
        </w:rPr>
        <w:t>point</w:t>
      </w:r>
      <w:r>
        <w:rPr>
          <w:spacing w:val="25"/>
          <w:sz w:val="18"/>
          <w:vertAlign w:val="baseline"/>
        </w:rPr>
        <w:t> </w:t>
      </w:r>
      <w:r>
        <w:rPr>
          <w:sz w:val="18"/>
          <w:vertAlign w:val="baseline"/>
        </w:rPr>
        <w:t>that</w:t>
      </w:r>
      <w:r>
        <w:rPr>
          <w:spacing w:val="25"/>
          <w:sz w:val="18"/>
          <w:vertAlign w:val="baseline"/>
        </w:rPr>
        <w:t> </w:t>
      </w:r>
      <w:r>
        <w:rPr>
          <w:sz w:val="18"/>
          <w:vertAlign w:val="baseline"/>
        </w:rPr>
        <w:t>imposing</w:t>
      </w:r>
      <w:r>
        <w:rPr>
          <w:spacing w:val="27"/>
          <w:sz w:val="18"/>
          <w:vertAlign w:val="baseline"/>
        </w:rPr>
        <w:t> </w:t>
      </w:r>
      <w:r>
        <w:rPr>
          <w:sz w:val="18"/>
          <w:vertAlign w:val="baseline"/>
        </w:rPr>
        <w:t>commercial</w:t>
      </w:r>
      <w:r>
        <w:rPr>
          <w:spacing w:val="25"/>
          <w:sz w:val="18"/>
          <w:vertAlign w:val="baseline"/>
        </w:rPr>
        <w:t> </w:t>
      </w:r>
      <w:r>
        <w:rPr>
          <w:sz w:val="18"/>
          <w:vertAlign w:val="baseline"/>
        </w:rPr>
        <w:t>fleets</w:t>
      </w:r>
      <w:r>
        <w:rPr>
          <w:spacing w:val="25"/>
          <w:sz w:val="18"/>
          <w:vertAlign w:val="baseline"/>
        </w:rPr>
        <w:t> </w:t>
      </w:r>
      <w:r>
        <w:rPr>
          <w:sz w:val="18"/>
          <w:vertAlign w:val="baseline"/>
        </w:rPr>
        <w:t>of</w:t>
      </w:r>
      <w:r>
        <w:rPr>
          <w:spacing w:val="25"/>
          <w:sz w:val="18"/>
          <w:vertAlign w:val="baseline"/>
        </w:rPr>
        <w:t> </w:t>
      </w:r>
      <w:r>
        <w:rPr>
          <w:sz w:val="18"/>
          <w:vertAlign w:val="baseline"/>
        </w:rPr>
        <w:t>almost</w:t>
      </w:r>
      <w:r>
        <w:rPr>
          <w:spacing w:val="29"/>
          <w:sz w:val="18"/>
          <w:vertAlign w:val="baseline"/>
        </w:rPr>
        <w:t> </w:t>
      </w:r>
      <w:r>
        <w:rPr>
          <w:sz w:val="18"/>
          <w:vertAlign w:val="baseline"/>
        </w:rPr>
        <w:t>500</w:t>
      </w:r>
      <w:r>
        <w:rPr>
          <w:spacing w:val="27"/>
          <w:sz w:val="18"/>
          <w:vertAlign w:val="baseline"/>
        </w:rPr>
        <w:t> </w:t>
      </w:r>
      <w:r>
        <w:rPr>
          <w:sz w:val="18"/>
          <w:vertAlign w:val="baseline"/>
        </w:rPr>
        <w:t>ships at a time were sailing across the Mediterranean Sea to bring wheat from Alexandria to Puteoli, at that time the principal port for Rome, before it was gradually replaced by the port at Ostia, planned by Claudius and completed during the reign of Trajan,” (Carla Alfano, “Egyptian Influences in Italy,” in </w:t>
      </w:r>
      <w:r>
        <w:rPr>
          <w:i/>
          <w:sz w:val="18"/>
          <w:vertAlign w:val="baseline"/>
        </w:rPr>
        <w:t>Cleopatra of Egypt</w:t>
      </w:r>
      <w:r>
        <w:rPr>
          <w:sz w:val="18"/>
          <w:vertAlign w:val="baseline"/>
        </w:rPr>
        <w:t>, p.</w:t>
      </w:r>
      <w:r>
        <w:rPr>
          <w:spacing w:val="40"/>
          <w:sz w:val="18"/>
          <w:vertAlign w:val="baseline"/>
        </w:rPr>
        <w:t> </w:t>
      </w:r>
      <w:r>
        <w:rPr>
          <w:sz w:val="18"/>
          <w:vertAlign w:val="baseline"/>
        </w:rPr>
        <w:t>280.)</w:t>
      </w:r>
    </w:p>
    <w:p>
      <w:pPr>
        <w:spacing w:line="249" w:lineRule="auto" w:before="64"/>
        <w:ind w:left="1440" w:right="1438" w:firstLine="0"/>
        <w:jc w:val="both"/>
        <w:rPr>
          <w:sz w:val="18"/>
        </w:rPr>
      </w:pPr>
      <w:r>
        <w:rPr>
          <w:sz w:val="18"/>
          <w:vertAlign w:val="superscript"/>
        </w:rPr>
        <w:t>28</w:t>
      </w:r>
      <w:r>
        <w:rPr>
          <w:spacing w:val="-12"/>
          <w:sz w:val="18"/>
          <w:vertAlign w:val="baseline"/>
        </w:rPr>
        <w:t> </w:t>
      </w:r>
      <w:r>
        <w:rPr>
          <w:sz w:val="18"/>
          <w:vertAlign w:val="baseline"/>
        </w:rPr>
        <w:t>Quoted</w:t>
      </w:r>
      <w:r>
        <w:rPr>
          <w:spacing w:val="-11"/>
          <w:sz w:val="18"/>
          <w:vertAlign w:val="baseline"/>
        </w:rPr>
        <w:t> </w:t>
      </w:r>
      <w:r>
        <w:rPr>
          <w:sz w:val="18"/>
          <w:vertAlign w:val="baseline"/>
        </w:rPr>
        <w:t>by</w:t>
      </w:r>
      <w:r>
        <w:rPr>
          <w:spacing w:val="-11"/>
          <w:sz w:val="18"/>
          <w:vertAlign w:val="baseline"/>
        </w:rPr>
        <w:t> </w:t>
      </w:r>
      <w:r>
        <w:rPr>
          <w:sz w:val="18"/>
          <w:vertAlign w:val="baseline"/>
        </w:rPr>
        <w:t>Daniel</w:t>
      </w:r>
      <w:r>
        <w:rPr>
          <w:spacing w:val="-11"/>
          <w:sz w:val="18"/>
          <w:vertAlign w:val="baseline"/>
        </w:rPr>
        <w:t> </w:t>
      </w:r>
      <w:r>
        <w:rPr>
          <w:sz w:val="18"/>
          <w:vertAlign w:val="baseline"/>
        </w:rPr>
        <w:t>Stempel,</w:t>
      </w:r>
      <w:r>
        <w:rPr>
          <w:spacing w:val="-12"/>
          <w:sz w:val="18"/>
          <w:vertAlign w:val="baseline"/>
        </w:rPr>
        <w:t> </w:t>
      </w:r>
      <w:r>
        <w:rPr>
          <w:sz w:val="18"/>
          <w:vertAlign w:val="baseline"/>
        </w:rPr>
        <w:t>“Transmigration</w:t>
      </w:r>
      <w:r>
        <w:rPr>
          <w:spacing w:val="-11"/>
          <w:sz w:val="18"/>
          <w:vertAlign w:val="baseline"/>
        </w:rPr>
        <w:t> </w:t>
      </w:r>
      <w:r>
        <w:rPr>
          <w:sz w:val="18"/>
          <w:vertAlign w:val="baseline"/>
        </w:rPr>
        <w:t>of</w:t>
      </w:r>
      <w:r>
        <w:rPr>
          <w:spacing w:val="-11"/>
          <w:sz w:val="18"/>
          <w:vertAlign w:val="baseline"/>
        </w:rPr>
        <w:t> </w:t>
      </w:r>
      <w:r>
        <w:rPr>
          <w:sz w:val="18"/>
          <w:vertAlign w:val="baseline"/>
        </w:rPr>
        <w:t>the</w:t>
      </w:r>
      <w:r>
        <w:rPr>
          <w:spacing w:val="-11"/>
          <w:sz w:val="18"/>
          <w:vertAlign w:val="baseline"/>
        </w:rPr>
        <w:t> </w:t>
      </w:r>
      <w:r>
        <w:rPr>
          <w:sz w:val="18"/>
          <w:vertAlign w:val="baseline"/>
        </w:rPr>
        <w:t>Crocodile,”</w:t>
      </w:r>
      <w:r>
        <w:rPr>
          <w:spacing w:val="-12"/>
          <w:sz w:val="18"/>
          <w:vertAlign w:val="baseline"/>
        </w:rPr>
        <w:t> </w:t>
      </w:r>
      <w:r>
        <w:rPr>
          <w:sz w:val="18"/>
          <w:vertAlign w:val="baseline"/>
        </w:rPr>
        <w:t>in</w:t>
      </w:r>
      <w:r>
        <w:rPr>
          <w:spacing w:val="-11"/>
          <w:sz w:val="18"/>
          <w:vertAlign w:val="baseline"/>
        </w:rPr>
        <w:t> </w:t>
      </w:r>
      <w:r>
        <w:rPr>
          <w:i/>
          <w:sz w:val="18"/>
          <w:vertAlign w:val="baseline"/>
        </w:rPr>
        <w:t>Shakespeare Quarterly</w:t>
      </w:r>
      <w:r>
        <w:rPr>
          <w:sz w:val="18"/>
          <w:vertAlign w:val="baseline"/>
        </w:rPr>
        <w:t>,</w:t>
      </w:r>
      <w:r>
        <w:rPr>
          <w:spacing w:val="40"/>
          <w:sz w:val="18"/>
          <w:vertAlign w:val="baseline"/>
        </w:rPr>
        <w:t> </w:t>
      </w:r>
      <w:r>
        <w:rPr>
          <w:sz w:val="18"/>
          <w:vertAlign w:val="baseline"/>
        </w:rPr>
        <w:t>7</w:t>
      </w:r>
      <w:r>
        <w:rPr>
          <w:spacing w:val="40"/>
          <w:sz w:val="18"/>
          <w:vertAlign w:val="baseline"/>
        </w:rPr>
        <w:t> </w:t>
      </w:r>
      <w:r>
        <w:rPr>
          <w:sz w:val="18"/>
          <w:vertAlign w:val="baseline"/>
        </w:rPr>
        <w:t>(1956),</w:t>
      </w:r>
      <w:r>
        <w:rPr>
          <w:spacing w:val="40"/>
          <w:sz w:val="18"/>
          <w:vertAlign w:val="baseline"/>
        </w:rPr>
        <w:t> </w:t>
      </w:r>
      <w:r>
        <w:rPr>
          <w:sz w:val="18"/>
          <w:vertAlign w:val="baseline"/>
        </w:rPr>
        <w:t>p.</w:t>
      </w:r>
      <w:r>
        <w:rPr>
          <w:spacing w:val="40"/>
          <w:sz w:val="18"/>
          <w:vertAlign w:val="baseline"/>
        </w:rPr>
        <w:t> </w:t>
      </w:r>
      <w:r>
        <w:rPr>
          <w:sz w:val="18"/>
          <w:vertAlign w:val="baseline"/>
        </w:rPr>
        <w:t>61.</w:t>
      </w:r>
    </w:p>
    <w:p>
      <w:pPr>
        <w:spacing w:after="0" w:line="249" w:lineRule="auto"/>
        <w:jc w:val="both"/>
        <w:rPr>
          <w:sz w:val="18"/>
        </w:rPr>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5766528">
                <wp:simplePos x="0" y="0"/>
                <wp:positionH relativeFrom="page">
                  <wp:posOffset>2065020</wp:posOffset>
                </wp:positionH>
                <wp:positionV relativeFrom="paragraph">
                  <wp:posOffset>795020</wp:posOffset>
                </wp:positionV>
                <wp:extent cx="3657600" cy="12700"/>
                <wp:effectExtent l="0" t="0" r="0" b="0"/>
                <wp:wrapNone/>
                <wp:docPr id="170" name="Graphic 170"/>
                <wp:cNvGraphicFramePr>
                  <a:graphicFrameLocks/>
                </wp:cNvGraphicFramePr>
                <a:graphic>
                  <a:graphicData uri="http://schemas.microsoft.com/office/word/2010/wordprocessingShape">
                    <wps:wsp>
                      <wps:cNvPr id="170" name="Graphic 17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766528" id="docshape166" filled="true" fillcolor="#000000" stroked="false">
                <v:fill type="solid"/>
                <w10:wrap type="none"/>
              </v:rect>
            </w:pict>
          </mc:Fallback>
        </mc:AlternateContent>
      </w:r>
      <w:r>
        <w:rPr>
          <w:rFonts w:ascii="Verdana"/>
          <w:sz w:val="18"/>
        </w:rPr>
        <w:t>The</w:t>
      </w:r>
      <w:r>
        <w:rPr>
          <w:rFonts w:ascii="Verdana"/>
          <w:spacing w:val="3"/>
          <w:sz w:val="18"/>
        </w:rPr>
        <w:t> </w:t>
      </w:r>
      <w:r>
        <w:rPr>
          <w:rFonts w:ascii="Verdana"/>
          <w:sz w:val="18"/>
        </w:rPr>
        <w:t>Great</w:t>
      </w:r>
      <w:r>
        <w:rPr>
          <w:rFonts w:ascii="Verdana"/>
          <w:spacing w:val="1"/>
          <w:sz w:val="18"/>
        </w:rPr>
        <w:t> </w:t>
      </w:r>
      <w:r>
        <w:rPr>
          <w:rFonts w:ascii="Verdana"/>
          <w:sz w:val="18"/>
        </w:rPr>
        <w:t>Carpet1</w:t>
      </w:r>
      <w:r>
        <w:rPr>
          <w:rFonts w:ascii="Verdana"/>
          <w:spacing w:val="5"/>
          <w:sz w:val="18"/>
        </w:rPr>
        <w:t> </w:t>
      </w:r>
      <w:r>
        <w:rPr>
          <w:rFonts w:ascii="Verdana"/>
          <w:sz w:val="18"/>
        </w:rPr>
        <w:t>Game:</w:t>
      </w:r>
      <w:r>
        <w:rPr>
          <w:rFonts w:ascii="Verdana"/>
          <w:spacing w:val="1"/>
          <w:sz w:val="18"/>
        </w:rPr>
        <w:t> </w:t>
      </w:r>
      <w:r>
        <w:rPr>
          <w:rFonts w:ascii="Verdana"/>
          <w:sz w:val="18"/>
        </w:rPr>
        <w:t>Politics,</w:t>
      </w:r>
      <w:r>
        <w:rPr>
          <w:rFonts w:ascii="Verdana"/>
          <w:spacing w:val="3"/>
          <w:sz w:val="18"/>
        </w:rPr>
        <w:t> </w:t>
      </w:r>
      <w:r>
        <w:rPr>
          <w:rFonts w:ascii="Verdana"/>
          <w:sz w:val="18"/>
        </w:rPr>
        <w:t>Performance,</w:t>
      </w:r>
      <w:r>
        <w:rPr>
          <w:rFonts w:ascii="Verdana"/>
          <w:spacing w:val="2"/>
          <w:sz w:val="18"/>
        </w:rPr>
        <w:t> </w:t>
      </w:r>
      <w:r>
        <w:rPr>
          <w:rFonts w:ascii="Verdana"/>
          <w:sz w:val="18"/>
        </w:rPr>
        <w:t>and</w:t>
      </w:r>
      <w:r>
        <w:rPr>
          <w:rFonts w:ascii="Verdana"/>
          <w:spacing w:val="3"/>
          <w:sz w:val="18"/>
        </w:rPr>
        <w:t> </w:t>
      </w:r>
      <w:r>
        <w:rPr>
          <w:rFonts w:ascii="Verdana"/>
          <w:spacing w:val="-5"/>
          <w:sz w:val="18"/>
        </w:rPr>
        <w:t>...</w:t>
      </w:r>
      <w:r>
        <w:rPr>
          <w:sz w:val="18"/>
        </w:rPr>
        <w:tab/>
      </w:r>
      <w:r>
        <w:rPr>
          <w:rFonts w:ascii="Verdana"/>
          <w:spacing w:val="-5"/>
          <w:sz w:val="18"/>
        </w:rPr>
        <w:t>23</w:t>
      </w:r>
    </w:p>
    <w:p>
      <w:pPr>
        <w:pStyle w:val="BodyText"/>
        <w:spacing w:line="249" w:lineRule="auto" w:before="249"/>
        <w:ind w:right="1438" w:firstLine="432"/>
        <w:jc w:val="both"/>
      </w:pPr>
      <w:r>
        <w:rPr/>
        <w:t>We have shown in our essay the places where Shakespeare found little tragic or heroic material, but had beefed up his efforts with his natural poetic verve. This explains the ‘in spite of being’ feeling I went through as I reread the play. We have also shown that the particular onus falls on Antony, and his glorious past-ridden thoughts had not</w:t>
      </w:r>
      <w:r>
        <w:rPr>
          <w:spacing w:val="40"/>
        </w:rPr>
        <w:t> </w:t>
      </w:r>
      <w:r>
        <w:rPr/>
        <w:t>only made him incapable of being objective in encountering his adversities, but also the certain stigma that historically goes along with the reputation of Cleopatra, that she is a femme fatale, cannot but be</w:t>
      </w:r>
      <w:r>
        <w:rPr>
          <w:spacing w:val="40"/>
        </w:rPr>
        <w:t> </w:t>
      </w:r>
      <w:r>
        <w:rPr/>
        <w:t>felt</w:t>
      </w:r>
      <w:r>
        <w:rPr>
          <w:spacing w:val="40"/>
        </w:rPr>
        <w:t> </w:t>
      </w:r>
      <w:r>
        <w:rPr/>
        <w:t>as we</w:t>
      </w:r>
      <w:r>
        <w:rPr>
          <w:spacing w:val="40"/>
        </w:rPr>
        <w:t> </w:t>
      </w:r>
      <w:r>
        <w:rPr/>
        <w:t>read</w:t>
      </w:r>
      <w:r>
        <w:rPr>
          <w:spacing w:val="40"/>
        </w:rPr>
        <w:t> </w:t>
      </w:r>
      <w:r>
        <w:rPr/>
        <w:t>the play.</w:t>
      </w:r>
    </w:p>
    <w:p>
      <w:pPr>
        <w:pStyle w:val="BodyText"/>
        <w:spacing w:line="249" w:lineRule="auto" w:before="65"/>
        <w:ind w:right="1439" w:firstLine="432"/>
        <w:jc w:val="both"/>
      </w:pPr>
      <w:r>
        <w:rPr/>
        <w:t>It is not that we yearn for a kind of ‘rejection of Falstaff’</w:t>
      </w:r>
      <w:r>
        <w:rPr>
          <w:spacing w:val="-4"/>
        </w:rPr>
        <w:t> </w:t>
      </w:r>
      <w:r>
        <w:rPr/>
        <w:t>type of </w:t>
      </w:r>
      <w:r>
        <w:rPr>
          <w:spacing w:val="-2"/>
        </w:rPr>
        <w:t>attitude</w:t>
      </w:r>
      <w:r>
        <w:rPr>
          <w:spacing w:val="-11"/>
        </w:rPr>
        <w:t> </w:t>
      </w:r>
      <w:r>
        <w:rPr>
          <w:spacing w:val="-2"/>
        </w:rPr>
        <w:t>from</w:t>
      </w:r>
      <w:r>
        <w:rPr>
          <w:spacing w:val="-10"/>
        </w:rPr>
        <w:t> </w:t>
      </w:r>
      <w:r>
        <w:rPr>
          <w:spacing w:val="-2"/>
        </w:rPr>
        <w:t>Antony,</w:t>
      </w:r>
      <w:r>
        <w:rPr>
          <w:spacing w:val="-11"/>
        </w:rPr>
        <w:t> </w:t>
      </w:r>
      <w:r>
        <w:rPr>
          <w:spacing w:val="-2"/>
        </w:rPr>
        <w:t>but</w:t>
      </w:r>
      <w:r>
        <w:rPr>
          <w:spacing w:val="-10"/>
        </w:rPr>
        <w:t> </w:t>
      </w:r>
      <w:r>
        <w:rPr>
          <w:spacing w:val="-2"/>
        </w:rPr>
        <w:t>it</w:t>
      </w:r>
      <w:r>
        <w:rPr>
          <w:spacing w:val="-11"/>
        </w:rPr>
        <w:t> </w:t>
      </w:r>
      <w:r>
        <w:rPr>
          <w:spacing w:val="-2"/>
        </w:rPr>
        <w:t>is</w:t>
      </w:r>
      <w:r>
        <w:rPr>
          <w:spacing w:val="-10"/>
        </w:rPr>
        <w:t> </w:t>
      </w:r>
      <w:r>
        <w:rPr>
          <w:spacing w:val="-2"/>
        </w:rPr>
        <w:t>that</w:t>
      </w:r>
      <w:r>
        <w:rPr>
          <w:spacing w:val="-11"/>
        </w:rPr>
        <w:t> </w:t>
      </w:r>
      <w:r>
        <w:rPr>
          <w:spacing w:val="-2"/>
        </w:rPr>
        <w:t>the</w:t>
      </w:r>
      <w:r>
        <w:rPr>
          <w:spacing w:val="-10"/>
        </w:rPr>
        <w:t> </w:t>
      </w:r>
      <w:r>
        <w:rPr>
          <w:spacing w:val="-2"/>
        </w:rPr>
        <w:t>very</w:t>
      </w:r>
      <w:r>
        <w:rPr>
          <w:spacing w:val="-11"/>
        </w:rPr>
        <w:t> </w:t>
      </w:r>
      <w:r>
        <w:rPr>
          <w:spacing w:val="-2"/>
        </w:rPr>
        <w:t>historical</w:t>
      </w:r>
      <w:r>
        <w:rPr>
          <w:spacing w:val="-10"/>
        </w:rPr>
        <w:t> </w:t>
      </w:r>
      <w:r>
        <w:rPr>
          <w:spacing w:val="-2"/>
        </w:rPr>
        <w:t>material</w:t>
      </w:r>
      <w:r>
        <w:rPr>
          <w:spacing w:val="-11"/>
        </w:rPr>
        <w:t> </w:t>
      </w:r>
      <w:r>
        <w:rPr>
          <w:spacing w:val="-2"/>
        </w:rPr>
        <w:t>Shakespeare </w:t>
      </w:r>
      <w:r>
        <w:rPr/>
        <w:t>was</w:t>
      </w:r>
      <w:r>
        <w:rPr>
          <w:spacing w:val="-1"/>
        </w:rPr>
        <w:t> </w:t>
      </w:r>
      <w:r>
        <w:rPr/>
        <w:t>dramatizing fell short of</w:t>
      </w:r>
      <w:r>
        <w:rPr>
          <w:spacing w:val="-1"/>
        </w:rPr>
        <w:t> </w:t>
      </w:r>
      <w:r>
        <w:rPr/>
        <w:t>the dramatic. </w:t>
      </w:r>
      <w:r>
        <w:rPr>
          <w:i/>
        </w:rPr>
        <w:t>Antony and Cleopatra</w:t>
      </w:r>
      <w:r>
        <w:rPr/>
        <w:t>, thus, appears to me to be a rare, exceptional play, in which Shakespeare </w:t>
      </w:r>
      <w:r>
        <w:rPr>
          <w:spacing w:val="-2"/>
        </w:rPr>
        <w:t>succumbed</w:t>
      </w:r>
      <w:r>
        <w:rPr>
          <w:spacing w:val="-11"/>
        </w:rPr>
        <w:t> </w:t>
      </w:r>
      <w:r>
        <w:rPr>
          <w:spacing w:val="-2"/>
        </w:rPr>
        <w:t>to</w:t>
      </w:r>
      <w:r>
        <w:rPr>
          <w:spacing w:val="-10"/>
        </w:rPr>
        <w:t> </w:t>
      </w:r>
      <w:r>
        <w:rPr>
          <w:spacing w:val="-2"/>
        </w:rPr>
        <w:t>historical</w:t>
      </w:r>
      <w:r>
        <w:rPr>
          <w:spacing w:val="-11"/>
        </w:rPr>
        <w:t> </w:t>
      </w:r>
      <w:r>
        <w:rPr>
          <w:spacing w:val="-2"/>
        </w:rPr>
        <w:t>necessity,</w:t>
      </w:r>
      <w:r>
        <w:rPr>
          <w:spacing w:val="-10"/>
        </w:rPr>
        <w:t> </w:t>
      </w:r>
      <w:r>
        <w:rPr>
          <w:spacing w:val="-2"/>
        </w:rPr>
        <w:t>which</w:t>
      </w:r>
      <w:r>
        <w:rPr>
          <w:spacing w:val="-11"/>
        </w:rPr>
        <w:t> </w:t>
      </w:r>
      <w:r>
        <w:rPr>
          <w:spacing w:val="-2"/>
        </w:rPr>
        <w:t>is</w:t>
      </w:r>
      <w:r>
        <w:rPr>
          <w:spacing w:val="-10"/>
        </w:rPr>
        <w:t> </w:t>
      </w:r>
      <w:r>
        <w:rPr>
          <w:spacing w:val="-2"/>
        </w:rPr>
        <w:t>that</w:t>
      </w:r>
      <w:r>
        <w:rPr>
          <w:spacing w:val="-11"/>
        </w:rPr>
        <w:t> </w:t>
      </w:r>
      <w:r>
        <w:rPr>
          <w:spacing w:val="-2"/>
        </w:rPr>
        <w:t>practical</w:t>
      </w:r>
      <w:r>
        <w:rPr>
          <w:spacing w:val="-10"/>
        </w:rPr>
        <w:t> </w:t>
      </w:r>
      <w:r>
        <w:rPr>
          <w:spacing w:val="-2"/>
        </w:rPr>
        <w:t>material</w:t>
      </w:r>
      <w:r>
        <w:rPr>
          <w:spacing w:val="-11"/>
        </w:rPr>
        <w:t> </w:t>
      </w:r>
      <w:r>
        <w:rPr>
          <w:spacing w:val="-2"/>
        </w:rPr>
        <w:t>political </w:t>
      </w:r>
      <w:r>
        <w:rPr/>
        <w:t>sense must win, or the moral responsibilities cannot be shed off. The head</w:t>
      </w:r>
      <w:r>
        <w:rPr>
          <w:spacing w:val="-2"/>
        </w:rPr>
        <w:t> </w:t>
      </w:r>
      <w:r>
        <w:rPr/>
        <w:t>must</w:t>
      </w:r>
      <w:r>
        <w:rPr>
          <w:spacing w:val="-2"/>
        </w:rPr>
        <w:t> </w:t>
      </w:r>
      <w:r>
        <w:rPr/>
        <w:t>win</w:t>
      </w:r>
      <w:r>
        <w:rPr>
          <w:spacing w:val="-4"/>
        </w:rPr>
        <w:t> </w:t>
      </w:r>
      <w:r>
        <w:rPr/>
        <w:t>against</w:t>
      </w:r>
      <w:r>
        <w:rPr>
          <w:spacing w:val="-2"/>
        </w:rPr>
        <w:t> </w:t>
      </w:r>
      <w:r>
        <w:rPr/>
        <w:t>the</w:t>
      </w:r>
      <w:r>
        <w:rPr>
          <w:spacing w:val="-1"/>
        </w:rPr>
        <w:t> </w:t>
      </w:r>
      <w:r>
        <w:rPr/>
        <w:t>heart.</w:t>
      </w:r>
      <w:r>
        <w:rPr>
          <w:spacing w:val="-2"/>
        </w:rPr>
        <w:t> </w:t>
      </w:r>
      <w:r>
        <w:rPr/>
        <w:t>It</w:t>
      </w:r>
      <w:r>
        <w:rPr>
          <w:spacing w:val="-6"/>
        </w:rPr>
        <w:t> </w:t>
      </w:r>
      <w:r>
        <w:rPr/>
        <w:t>is</w:t>
      </w:r>
      <w:r>
        <w:rPr>
          <w:spacing w:val="-4"/>
        </w:rPr>
        <w:t> </w:t>
      </w:r>
      <w:r>
        <w:rPr/>
        <w:t>a</w:t>
      </w:r>
      <w:r>
        <w:rPr>
          <w:spacing w:val="-1"/>
        </w:rPr>
        <w:t> </w:t>
      </w:r>
      <w:r>
        <w:rPr/>
        <w:t>great</w:t>
      </w:r>
      <w:r>
        <w:rPr>
          <w:spacing w:val="-4"/>
        </w:rPr>
        <w:t> </w:t>
      </w:r>
      <w:r>
        <w:rPr/>
        <w:t>play</w:t>
      </w:r>
      <w:r>
        <w:rPr>
          <w:spacing w:val="-8"/>
        </w:rPr>
        <w:t> </w:t>
      </w:r>
      <w:r>
        <w:rPr/>
        <w:t>that</w:t>
      </w:r>
      <w:r>
        <w:rPr>
          <w:spacing w:val="-4"/>
        </w:rPr>
        <w:t> </w:t>
      </w:r>
      <w:r>
        <w:rPr/>
        <w:t>perhaps</w:t>
      </w:r>
      <w:r>
        <w:rPr>
          <w:spacing w:val="-2"/>
        </w:rPr>
        <w:t> </w:t>
      </w:r>
      <w:r>
        <w:rPr/>
        <w:t>has</w:t>
      </w:r>
      <w:r>
        <w:rPr>
          <w:spacing w:val="-4"/>
        </w:rPr>
        <w:t> </w:t>
      </w:r>
      <w:r>
        <w:rPr/>
        <w:t>failed </w:t>
      </w:r>
      <w:r>
        <w:rPr>
          <w:spacing w:val="-2"/>
        </w:rPr>
        <w:t>greatly.</w:t>
      </w:r>
    </w:p>
    <w:p>
      <w:pPr>
        <w:pStyle w:val="BodyText"/>
        <w:spacing w:before="64"/>
        <w:ind w:left="432"/>
        <w:jc w:val="center"/>
      </w:pPr>
      <w:r>
        <w:rPr/>
        <w:t>=The</w:t>
      </w:r>
      <w:r>
        <w:rPr>
          <w:spacing w:val="2"/>
        </w:rPr>
        <w:t> </w:t>
      </w:r>
      <w:r>
        <w:rPr>
          <w:spacing w:val="-4"/>
        </w:rPr>
        <w:t>End=</w:t>
      </w:r>
    </w:p>
    <w:p>
      <w:pPr>
        <w:pStyle w:val="Heading3"/>
        <w:spacing w:before="163"/>
      </w:pPr>
      <w:r>
        <w:rPr>
          <w:w w:val="90"/>
        </w:rPr>
        <w:t>WORKS</w:t>
      </w:r>
      <w:r>
        <w:rPr>
          <w:spacing w:val="6"/>
        </w:rPr>
        <w:t> </w:t>
      </w:r>
      <w:r>
        <w:rPr>
          <w:spacing w:val="-2"/>
          <w:w w:val="95"/>
        </w:rPr>
        <w:t>CITED</w:t>
      </w:r>
    </w:p>
    <w:p>
      <w:pPr>
        <w:spacing w:line="261" w:lineRule="auto" w:before="85"/>
        <w:ind w:left="2160" w:right="1437" w:hanging="720"/>
        <w:jc w:val="left"/>
        <w:rPr>
          <w:sz w:val="19"/>
        </w:rPr>
      </w:pPr>
      <w:r>
        <w:rPr>
          <w:position w:val="6"/>
          <w:sz w:val="11"/>
        </w:rPr>
        <w:t>1</w:t>
      </w:r>
      <w:r>
        <w:rPr>
          <w:spacing w:val="40"/>
          <w:position w:val="6"/>
          <w:sz w:val="11"/>
        </w:rPr>
        <w:t> </w:t>
      </w:r>
      <w:r>
        <w:rPr>
          <w:i/>
          <w:sz w:val="19"/>
        </w:rPr>
        <w:t>Cleopatra</w:t>
      </w:r>
      <w:r>
        <w:rPr>
          <w:i/>
          <w:spacing w:val="40"/>
          <w:sz w:val="19"/>
        </w:rPr>
        <w:t> </w:t>
      </w:r>
      <w:r>
        <w:rPr>
          <w:i/>
          <w:sz w:val="19"/>
        </w:rPr>
        <w:t>of</w:t>
      </w:r>
      <w:r>
        <w:rPr>
          <w:i/>
          <w:spacing w:val="40"/>
          <w:sz w:val="19"/>
        </w:rPr>
        <w:t> </w:t>
      </w:r>
      <w:r>
        <w:rPr>
          <w:i/>
          <w:sz w:val="19"/>
        </w:rPr>
        <w:t>Egypt:</w:t>
      </w:r>
      <w:r>
        <w:rPr>
          <w:i/>
          <w:spacing w:val="39"/>
          <w:sz w:val="19"/>
        </w:rPr>
        <w:t> </w:t>
      </w:r>
      <w:r>
        <w:rPr>
          <w:i/>
          <w:sz w:val="19"/>
        </w:rPr>
        <w:t>From</w:t>
      </w:r>
      <w:r>
        <w:rPr>
          <w:i/>
          <w:spacing w:val="37"/>
          <w:sz w:val="19"/>
        </w:rPr>
        <w:t> </w:t>
      </w:r>
      <w:r>
        <w:rPr>
          <w:i/>
          <w:sz w:val="19"/>
        </w:rPr>
        <w:t>History</w:t>
      </w:r>
      <w:r>
        <w:rPr>
          <w:i/>
          <w:spacing w:val="40"/>
          <w:sz w:val="19"/>
        </w:rPr>
        <w:t> </w:t>
      </w:r>
      <w:r>
        <w:rPr>
          <w:i/>
          <w:sz w:val="19"/>
        </w:rPr>
        <w:t>to</w:t>
      </w:r>
      <w:r>
        <w:rPr>
          <w:i/>
          <w:spacing w:val="40"/>
          <w:sz w:val="19"/>
        </w:rPr>
        <w:t> </w:t>
      </w:r>
      <w:r>
        <w:rPr>
          <w:i/>
          <w:sz w:val="19"/>
        </w:rPr>
        <w:t>Myth,</w:t>
      </w:r>
      <w:r>
        <w:rPr>
          <w:i/>
          <w:spacing w:val="40"/>
          <w:sz w:val="19"/>
        </w:rPr>
        <w:t> </w:t>
      </w:r>
      <w:r>
        <w:rPr>
          <w:sz w:val="19"/>
        </w:rPr>
        <w:t>Edited</w:t>
      </w:r>
      <w:r>
        <w:rPr>
          <w:spacing w:val="40"/>
          <w:sz w:val="19"/>
        </w:rPr>
        <w:t> </w:t>
      </w:r>
      <w:r>
        <w:rPr>
          <w:sz w:val="19"/>
        </w:rPr>
        <w:t>by</w:t>
      </w:r>
      <w:r>
        <w:rPr>
          <w:spacing w:val="35"/>
          <w:sz w:val="19"/>
        </w:rPr>
        <w:t> </w:t>
      </w:r>
      <w:r>
        <w:rPr>
          <w:sz w:val="19"/>
        </w:rPr>
        <w:t>Susan</w:t>
      </w:r>
      <w:r>
        <w:rPr>
          <w:spacing w:val="37"/>
          <w:sz w:val="19"/>
        </w:rPr>
        <w:t> </w:t>
      </w:r>
      <w:r>
        <w:rPr>
          <w:sz w:val="19"/>
        </w:rPr>
        <w:t>Walker and</w:t>
      </w:r>
      <w:r>
        <w:rPr>
          <w:spacing w:val="40"/>
          <w:sz w:val="19"/>
        </w:rPr>
        <w:t> </w:t>
      </w:r>
      <w:r>
        <w:rPr>
          <w:sz w:val="19"/>
        </w:rPr>
        <w:t>Peter</w:t>
      </w:r>
      <w:r>
        <w:rPr>
          <w:spacing w:val="40"/>
          <w:sz w:val="19"/>
        </w:rPr>
        <w:t> </w:t>
      </w:r>
      <w:r>
        <w:rPr>
          <w:sz w:val="19"/>
        </w:rPr>
        <w:t>Higgs</w:t>
      </w:r>
      <w:r>
        <w:rPr>
          <w:spacing w:val="40"/>
          <w:sz w:val="19"/>
        </w:rPr>
        <w:t> </w:t>
      </w:r>
      <w:r>
        <w:rPr>
          <w:sz w:val="19"/>
        </w:rPr>
        <w:t>(Princeton</w:t>
      </w:r>
      <w:r>
        <w:rPr>
          <w:spacing w:val="40"/>
          <w:sz w:val="19"/>
        </w:rPr>
        <w:t> </w:t>
      </w:r>
      <w:r>
        <w:rPr>
          <w:sz w:val="19"/>
        </w:rPr>
        <w:t>University</w:t>
      </w:r>
      <w:r>
        <w:rPr>
          <w:spacing w:val="40"/>
          <w:sz w:val="19"/>
        </w:rPr>
        <w:t> </w:t>
      </w:r>
      <w:r>
        <w:rPr>
          <w:sz w:val="19"/>
        </w:rPr>
        <w:t>Press,</w:t>
      </w:r>
      <w:r>
        <w:rPr>
          <w:spacing w:val="40"/>
          <w:sz w:val="19"/>
        </w:rPr>
        <w:t> </w:t>
      </w:r>
      <w:r>
        <w:rPr>
          <w:sz w:val="19"/>
        </w:rPr>
        <w:t>2001.</w:t>
      </w:r>
    </w:p>
    <w:p>
      <w:pPr>
        <w:spacing w:line="261" w:lineRule="auto" w:before="56"/>
        <w:ind w:left="2160" w:right="1437" w:hanging="720"/>
        <w:jc w:val="left"/>
        <w:rPr>
          <w:sz w:val="19"/>
        </w:rPr>
      </w:pPr>
      <w:r>
        <w:rPr>
          <w:sz w:val="19"/>
        </w:rPr>
        <w:t>—Guy</w:t>
      </w:r>
      <w:r>
        <w:rPr>
          <w:spacing w:val="40"/>
          <w:sz w:val="19"/>
        </w:rPr>
        <w:t> </w:t>
      </w:r>
      <w:r>
        <w:rPr>
          <w:sz w:val="19"/>
        </w:rPr>
        <w:t>Weill</w:t>
      </w:r>
      <w:r>
        <w:rPr>
          <w:spacing w:val="40"/>
          <w:sz w:val="19"/>
        </w:rPr>
        <w:t> </w:t>
      </w:r>
      <w:r>
        <w:rPr>
          <w:sz w:val="19"/>
        </w:rPr>
        <w:t>Goudchaux,</w:t>
      </w:r>
      <w:r>
        <w:rPr>
          <w:spacing w:val="40"/>
          <w:sz w:val="19"/>
        </w:rPr>
        <w:t> </w:t>
      </w:r>
      <w:r>
        <w:rPr>
          <w:sz w:val="19"/>
        </w:rPr>
        <w:t>“Was</w:t>
      </w:r>
      <w:r>
        <w:rPr>
          <w:spacing w:val="40"/>
          <w:sz w:val="19"/>
        </w:rPr>
        <w:t> </w:t>
      </w:r>
      <w:r>
        <w:rPr>
          <w:sz w:val="19"/>
        </w:rPr>
        <w:t>Cleopatra</w:t>
      </w:r>
      <w:r>
        <w:rPr>
          <w:spacing w:val="40"/>
          <w:sz w:val="19"/>
        </w:rPr>
        <w:t> </w:t>
      </w:r>
      <w:r>
        <w:rPr>
          <w:sz w:val="19"/>
        </w:rPr>
        <w:t>beautiful?:</w:t>
      </w:r>
      <w:r>
        <w:rPr>
          <w:spacing w:val="40"/>
          <w:sz w:val="19"/>
        </w:rPr>
        <w:t> </w:t>
      </w:r>
      <w:r>
        <w:rPr>
          <w:sz w:val="19"/>
        </w:rPr>
        <w:t>The</w:t>
      </w:r>
      <w:r>
        <w:rPr>
          <w:spacing w:val="40"/>
          <w:sz w:val="19"/>
        </w:rPr>
        <w:t> </w:t>
      </w:r>
      <w:r>
        <w:rPr>
          <w:sz w:val="19"/>
        </w:rPr>
        <w:t>conflicting answers</w:t>
      </w:r>
      <w:r>
        <w:rPr>
          <w:spacing w:val="40"/>
          <w:sz w:val="19"/>
        </w:rPr>
        <w:t> </w:t>
      </w:r>
      <w:r>
        <w:rPr>
          <w:sz w:val="19"/>
        </w:rPr>
        <w:t>of</w:t>
      </w:r>
      <w:r>
        <w:rPr>
          <w:spacing w:val="40"/>
          <w:sz w:val="19"/>
        </w:rPr>
        <w:t> </w:t>
      </w:r>
      <w:r>
        <w:rPr>
          <w:sz w:val="19"/>
        </w:rPr>
        <w:t>numismatics.”</w:t>
      </w:r>
    </w:p>
    <w:p>
      <w:pPr>
        <w:spacing w:before="59"/>
        <w:ind w:left="1440" w:right="0" w:firstLine="0"/>
        <w:jc w:val="left"/>
        <w:rPr>
          <w:sz w:val="19"/>
        </w:rPr>
      </w:pPr>
      <w:r>
        <w:rPr>
          <w:sz w:val="19"/>
        </w:rPr>
        <w:t>—Mary</w:t>
      </w:r>
      <w:r>
        <w:rPr>
          <w:spacing w:val="41"/>
          <w:sz w:val="19"/>
        </w:rPr>
        <w:t> </w:t>
      </w:r>
      <w:r>
        <w:rPr>
          <w:sz w:val="19"/>
        </w:rPr>
        <w:t>Hamer,</w:t>
      </w:r>
      <w:r>
        <w:rPr>
          <w:spacing w:val="45"/>
          <w:sz w:val="19"/>
        </w:rPr>
        <w:t> </w:t>
      </w:r>
      <w:r>
        <w:rPr>
          <w:sz w:val="19"/>
        </w:rPr>
        <w:t>“The</w:t>
      </w:r>
      <w:r>
        <w:rPr>
          <w:spacing w:val="47"/>
          <w:sz w:val="19"/>
        </w:rPr>
        <w:t> </w:t>
      </w:r>
      <w:r>
        <w:rPr>
          <w:sz w:val="19"/>
        </w:rPr>
        <w:t>myth</w:t>
      </w:r>
      <w:r>
        <w:rPr>
          <w:spacing w:val="49"/>
          <w:sz w:val="19"/>
        </w:rPr>
        <w:t> </w:t>
      </w:r>
      <w:r>
        <w:rPr>
          <w:sz w:val="19"/>
        </w:rPr>
        <w:t>of</w:t>
      </w:r>
      <w:r>
        <w:rPr>
          <w:spacing w:val="48"/>
          <w:sz w:val="19"/>
        </w:rPr>
        <w:t> </w:t>
      </w:r>
      <w:r>
        <w:rPr>
          <w:sz w:val="19"/>
        </w:rPr>
        <w:t>Cleopatra</w:t>
      </w:r>
      <w:r>
        <w:rPr>
          <w:spacing w:val="45"/>
          <w:sz w:val="19"/>
        </w:rPr>
        <w:t> </w:t>
      </w:r>
      <w:r>
        <w:rPr>
          <w:sz w:val="19"/>
        </w:rPr>
        <w:t>since</w:t>
      </w:r>
      <w:r>
        <w:rPr>
          <w:spacing w:val="45"/>
          <w:sz w:val="19"/>
        </w:rPr>
        <w:t> </w:t>
      </w:r>
      <w:r>
        <w:rPr>
          <w:sz w:val="19"/>
        </w:rPr>
        <w:t>the</w:t>
      </w:r>
      <w:r>
        <w:rPr>
          <w:spacing w:val="48"/>
          <w:sz w:val="19"/>
        </w:rPr>
        <w:t> </w:t>
      </w:r>
      <w:r>
        <w:rPr>
          <w:spacing w:val="-2"/>
          <w:sz w:val="19"/>
        </w:rPr>
        <w:t>Renaissance.”</w:t>
      </w:r>
    </w:p>
    <w:p>
      <w:pPr>
        <w:spacing w:line="261" w:lineRule="auto" w:before="77"/>
        <w:ind w:left="2160" w:right="1437" w:hanging="720"/>
        <w:jc w:val="left"/>
        <w:rPr>
          <w:sz w:val="19"/>
        </w:rPr>
      </w:pPr>
      <w:r>
        <w:rPr>
          <w:sz w:val="19"/>
        </w:rPr>
        <w:t>—Christopher</w:t>
      </w:r>
      <w:r>
        <w:rPr>
          <w:spacing w:val="40"/>
          <w:sz w:val="19"/>
        </w:rPr>
        <w:t> </w:t>
      </w:r>
      <w:r>
        <w:rPr>
          <w:sz w:val="19"/>
        </w:rPr>
        <w:t>Pelling,</w:t>
      </w:r>
      <w:r>
        <w:rPr>
          <w:spacing w:val="40"/>
          <w:sz w:val="19"/>
        </w:rPr>
        <w:t> </w:t>
      </w:r>
      <w:r>
        <w:rPr>
          <w:sz w:val="19"/>
        </w:rPr>
        <w:t>“Anything</w:t>
      </w:r>
      <w:r>
        <w:rPr>
          <w:spacing w:val="40"/>
          <w:sz w:val="19"/>
        </w:rPr>
        <w:t> </w:t>
      </w:r>
      <w:r>
        <w:rPr>
          <w:sz w:val="19"/>
        </w:rPr>
        <w:t>truth</w:t>
      </w:r>
      <w:r>
        <w:rPr>
          <w:spacing w:val="40"/>
          <w:sz w:val="19"/>
        </w:rPr>
        <w:t> </w:t>
      </w:r>
      <w:r>
        <w:rPr>
          <w:sz w:val="19"/>
        </w:rPr>
        <w:t>can</w:t>
      </w:r>
      <w:r>
        <w:rPr>
          <w:spacing w:val="40"/>
          <w:sz w:val="19"/>
        </w:rPr>
        <w:t> </w:t>
      </w:r>
      <w:r>
        <w:rPr>
          <w:sz w:val="19"/>
        </w:rPr>
        <w:t>do,</w:t>
      </w:r>
      <w:r>
        <w:rPr>
          <w:spacing w:val="40"/>
          <w:sz w:val="19"/>
        </w:rPr>
        <w:t> </w:t>
      </w:r>
      <w:r>
        <w:rPr>
          <w:sz w:val="19"/>
        </w:rPr>
        <w:t>we</w:t>
      </w:r>
      <w:r>
        <w:rPr>
          <w:spacing w:val="40"/>
          <w:sz w:val="19"/>
        </w:rPr>
        <w:t> </w:t>
      </w:r>
      <w:r>
        <w:rPr>
          <w:sz w:val="19"/>
        </w:rPr>
        <w:t>can</w:t>
      </w:r>
      <w:r>
        <w:rPr>
          <w:spacing w:val="40"/>
          <w:sz w:val="19"/>
        </w:rPr>
        <w:t> </w:t>
      </w:r>
      <w:r>
        <w:rPr>
          <w:sz w:val="19"/>
        </w:rPr>
        <w:t>do</w:t>
      </w:r>
      <w:r>
        <w:rPr>
          <w:spacing w:val="40"/>
          <w:sz w:val="19"/>
        </w:rPr>
        <w:t> </w:t>
      </w:r>
      <w:r>
        <w:rPr>
          <w:sz w:val="19"/>
        </w:rPr>
        <w:t>better:</w:t>
      </w:r>
      <w:r>
        <w:rPr>
          <w:spacing w:val="40"/>
          <w:sz w:val="19"/>
        </w:rPr>
        <w:t> </w:t>
      </w:r>
      <w:r>
        <w:rPr>
          <w:sz w:val="19"/>
        </w:rPr>
        <w:t>the Cleopatra</w:t>
      </w:r>
      <w:r>
        <w:rPr>
          <w:spacing w:val="40"/>
          <w:sz w:val="19"/>
        </w:rPr>
        <w:t> </w:t>
      </w:r>
      <w:r>
        <w:rPr>
          <w:sz w:val="19"/>
        </w:rPr>
        <w:t>legend.”</w:t>
      </w:r>
    </w:p>
    <w:p>
      <w:pPr>
        <w:spacing w:before="57"/>
        <w:ind w:left="1440" w:right="0" w:firstLine="0"/>
        <w:jc w:val="left"/>
        <w:rPr>
          <w:sz w:val="19"/>
        </w:rPr>
      </w:pPr>
      <w:r>
        <w:rPr>
          <w:sz w:val="19"/>
        </w:rPr>
        <w:t>—Carla</w:t>
      </w:r>
      <w:r>
        <w:rPr>
          <w:spacing w:val="36"/>
          <w:sz w:val="19"/>
        </w:rPr>
        <w:t> </w:t>
      </w:r>
      <w:r>
        <w:rPr>
          <w:sz w:val="19"/>
        </w:rPr>
        <w:t>Alfano,</w:t>
      </w:r>
      <w:r>
        <w:rPr>
          <w:spacing w:val="46"/>
          <w:sz w:val="19"/>
        </w:rPr>
        <w:t> </w:t>
      </w:r>
      <w:r>
        <w:rPr>
          <w:sz w:val="19"/>
        </w:rPr>
        <w:t>“Egyptian</w:t>
      </w:r>
      <w:r>
        <w:rPr>
          <w:spacing w:val="45"/>
          <w:sz w:val="19"/>
        </w:rPr>
        <w:t> </w:t>
      </w:r>
      <w:r>
        <w:rPr>
          <w:sz w:val="19"/>
        </w:rPr>
        <w:t>Influences</w:t>
      </w:r>
      <w:r>
        <w:rPr>
          <w:spacing w:val="45"/>
          <w:sz w:val="19"/>
        </w:rPr>
        <w:t> </w:t>
      </w:r>
      <w:r>
        <w:rPr>
          <w:sz w:val="19"/>
        </w:rPr>
        <w:t>in</w:t>
      </w:r>
      <w:r>
        <w:rPr>
          <w:spacing w:val="49"/>
          <w:sz w:val="19"/>
        </w:rPr>
        <w:t> </w:t>
      </w:r>
      <w:r>
        <w:rPr>
          <w:spacing w:val="-2"/>
          <w:sz w:val="19"/>
        </w:rPr>
        <w:t>Italy.”</w:t>
      </w:r>
    </w:p>
    <w:p>
      <w:pPr>
        <w:spacing w:line="261" w:lineRule="auto" w:before="79"/>
        <w:ind w:left="2160" w:right="1431" w:hanging="720"/>
        <w:jc w:val="both"/>
        <w:rPr>
          <w:sz w:val="19"/>
        </w:rPr>
      </w:pPr>
      <w:r>
        <w:rPr>
          <w:position w:val="6"/>
          <w:sz w:val="11"/>
        </w:rPr>
        <w:t>2</w:t>
      </w:r>
      <w:r>
        <w:rPr>
          <w:spacing w:val="40"/>
          <w:position w:val="6"/>
          <w:sz w:val="11"/>
        </w:rPr>
        <w:t> </w:t>
      </w:r>
      <w:r>
        <w:rPr>
          <w:i/>
          <w:sz w:val="19"/>
        </w:rPr>
        <w:t>The Arden Shakespeare: Complete Works: Revised Edition, </w:t>
      </w:r>
      <w:r>
        <w:rPr>
          <w:sz w:val="19"/>
        </w:rPr>
        <w:t>edited by Richard Proudfoot, Ann Thompson and David Scott Kastan; Consultant Editor Harold Jenkins, published by Thomas Nelson and</w:t>
      </w:r>
      <w:r>
        <w:rPr>
          <w:spacing w:val="11"/>
          <w:sz w:val="19"/>
        </w:rPr>
        <w:t> </w:t>
      </w:r>
      <w:r>
        <w:rPr>
          <w:sz w:val="19"/>
        </w:rPr>
        <w:t>Sons</w:t>
      </w:r>
      <w:r>
        <w:rPr>
          <w:spacing w:val="13"/>
          <w:sz w:val="19"/>
        </w:rPr>
        <w:t> </w:t>
      </w:r>
      <w:r>
        <w:rPr>
          <w:sz w:val="19"/>
        </w:rPr>
        <w:t>Limited,</w:t>
      </w:r>
      <w:r>
        <w:rPr>
          <w:spacing w:val="11"/>
          <w:sz w:val="19"/>
        </w:rPr>
        <w:t> </w:t>
      </w:r>
      <w:r>
        <w:rPr>
          <w:sz w:val="19"/>
        </w:rPr>
        <w:t>1998.</w:t>
      </w:r>
      <w:r>
        <w:rPr>
          <w:spacing w:val="5"/>
          <w:sz w:val="19"/>
        </w:rPr>
        <w:t> </w:t>
      </w:r>
      <w:r>
        <w:rPr>
          <w:sz w:val="19"/>
        </w:rPr>
        <w:t>And</w:t>
      </w:r>
      <w:r>
        <w:rPr>
          <w:spacing w:val="13"/>
          <w:sz w:val="19"/>
        </w:rPr>
        <w:t> </w:t>
      </w:r>
      <w:r>
        <w:rPr>
          <w:sz w:val="19"/>
        </w:rPr>
        <w:t>the</w:t>
      </w:r>
      <w:r>
        <w:rPr>
          <w:spacing w:val="13"/>
          <w:sz w:val="19"/>
        </w:rPr>
        <w:t> </w:t>
      </w:r>
      <w:r>
        <w:rPr>
          <w:sz w:val="19"/>
        </w:rPr>
        <w:t>text</w:t>
      </w:r>
      <w:r>
        <w:rPr>
          <w:spacing w:val="11"/>
          <w:sz w:val="19"/>
        </w:rPr>
        <w:t> </w:t>
      </w:r>
      <w:r>
        <w:rPr>
          <w:sz w:val="19"/>
        </w:rPr>
        <w:t>is</w:t>
      </w:r>
      <w:r>
        <w:rPr>
          <w:spacing w:val="15"/>
          <w:sz w:val="19"/>
        </w:rPr>
        <w:t> </w:t>
      </w:r>
      <w:r>
        <w:rPr>
          <w:sz w:val="19"/>
        </w:rPr>
        <w:t>edited</w:t>
      </w:r>
      <w:r>
        <w:rPr>
          <w:spacing w:val="13"/>
          <w:sz w:val="19"/>
        </w:rPr>
        <w:t> </w:t>
      </w:r>
      <w:r>
        <w:rPr>
          <w:sz w:val="19"/>
        </w:rPr>
        <w:t>by</w:t>
      </w:r>
      <w:r>
        <w:rPr>
          <w:spacing w:val="8"/>
          <w:sz w:val="19"/>
        </w:rPr>
        <w:t> </w:t>
      </w:r>
      <w:r>
        <w:rPr>
          <w:sz w:val="19"/>
        </w:rPr>
        <w:t>John</w:t>
      </w:r>
      <w:r>
        <w:rPr>
          <w:spacing w:val="13"/>
          <w:sz w:val="19"/>
        </w:rPr>
        <w:t> </w:t>
      </w:r>
      <w:r>
        <w:rPr>
          <w:spacing w:val="-2"/>
          <w:sz w:val="19"/>
        </w:rPr>
        <w:t>Wilders.</w:t>
      </w:r>
    </w:p>
    <w:p>
      <w:pPr>
        <w:spacing w:line="261" w:lineRule="auto" w:before="57"/>
        <w:ind w:left="2160" w:right="1438" w:hanging="720"/>
        <w:jc w:val="both"/>
        <w:rPr>
          <w:sz w:val="19"/>
        </w:rPr>
      </w:pPr>
      <w:r>
        <w:rPr>
          <w:position w:val="6"/>
          <w:sz w:val="11"/>
        </w:rPr>
        <w:t>3</w:t>
      </w:r>
      <w:r>
        <w:rPr>
          <w:spacing w:val="40"/>
          <w:position w:val="6"/>
          <w:sz w:val="11"/>
        </w:rPr>
        <w:t> </w:t>
      </w:r>
      <w:r>
        <w:rPr>
          <w:i/>
          <w:sz w:val="19"/>
        </w:rPr>
        <w:t>Harold Bloom’s </w:t>
      </w:r>
      <w:r>
        <w:rPr>
          <w:i/>
          <w:spacing w:val="10"/>
          <w:sz w:val="19"/>
        </w:rPr>
        <w:t>Shakespeare</w:t>
      </w:r>
      <w:r>
        <w:rPr>
          <w:i/>
          <w:spacing w:val="10"/>
          <w:sz w:val="19"/>
        </w:rPr>
        <w:t> Through</w:t>
      </w:r>
      <w:r>
        <w:rPr>
          <w:i/>
          <w:spacing w:val="10"/>
          <w:sz w:val="19"/>
        </w:rPr>
        <w:t> </w:t>
      </w:r>
      <w:r>
        <w:rPr>
          <w:i/>
          <w:sz w:val="19"/>
        </w:rPr>
        <w:t>the </w:t>
      </w:r>
      <w:r>
        <w:rPr>
          <w:i/>
          <w:spacing w:val="9"/>
          <w:sz w:val="19"/>
        </w:rPr>
        <w:t>Ages:</w:t>
      </w:r>
      <w:r>
        <w:rPr>
          <w:i/>
          <w:spacing w:val="9"/>
          <w:sz w:val="19"/>
        </w:rPr>
        <w:t> </w:t>
      </w:r>
      <w:r>
        <w:rPr>
          <w:i/>
          <w:spacing w:val="10"/>
          <w:sz w:val="19"/>
        </w:rPr>
        <w:t>Antony</w:t>
      </w:r>
      <w:r>
        <w:rPr>
          <w:i/>
          <w:spacing w:val="10"/>
          <w:sz w:val="19"/>
        </w:rPr>
        <w:t> </w:t>
      </w:r>
      <w:r>
        <w:rPr>
          <w:i/>
          <w:sz w:val="19"/>
        </w:rPr>
        <w:t>and Cleopatra: Edited with an introduction by Harold Bloom,</w:t>
      </w:r>
      <w:r>
        <w:rPr>
          <w:i/>
          <w:spacing w:val="80"/>
          <w:sz w:val="19"/>
        </w:rPr>
        <w:t> </w:t>
      </w:r>
      <w:r>
        <w:rPr>
          <w:i/>
          <w:sz w:val="19"/>
        </w:rPr>
        <w:t>Volume</w:t>
      </w:r>
      <w:r>
        <w:rPr>
          <w:i/>
          <w:spacing w:val="40"/>
          <w:sz w:val="19"/>
        </w:rPr>
        <w:t> </w:t>
      </w:r>
      <w:r>
        <w:rPr>
          <w:i/>
          <w:sz w:val="19"/>
        </w:rPr>
        <w:t>Editor:</w:t>
      </w:r>
      <w:r>
        <w:rPr>
          <w:i/>
          <w:spacing w:val="40"/>
          <w:sz w:val="19"/>
        </w:rPr>
        <w:t> </w:t>
      </w:r>
      <w:r>
        <w:rPr>
          <w:i/>
          <w:sz w:val="19"/>
        </w:rPr>
        <w:t>Neil</w:t>
      </w:r>
      <w:r>
        <w:rPr>
          <w:i/>
          <w:spacing w:val="40"/>
          <w:sz w:val="19"/>
        </w:rPr>
        <w:t> </w:t>
      </w:r>
      <w:r>
        <w:rPr>
          <w:i/>
          <w:sz w:val="19"/>
        </w:rPr>
        <w:t>Heims</w:t>
      </w:r>
      <w:r>
        <w:rPr>
          <w:i/>
          <w:spacing w:val="40"/>
          <w:sz w:val="19"/>
        </w:rPr>
        <w:t> </w:t>
      </w:r>
      <w:r>
        <w:rPr>
          <w:sz w:val="19"/>
        </w:rPr>
        <w:t>(New</w:t>
      </w:r>
      <w:r>
        <w:rPr>
          <w:spacing w:val="40"/>
          <w:sz w:val="19"/>
        </w:rPr>
        <w:t> </w:t>
      </w:r>
      <w:r>
        <w:rPr>
          <w:sz w:val="19"/>
        </w:rPr>
        <w:t>Delhi:</w:t>
      </w:r>
      <w:r>
        <w:rPr>
          <w:spacing w:val="40"/>
          <w:sz w:val="19"/>
        </w:rPr>
        <w:t> </w:t>
      </w:r>
      <w:r>
        <w:rPr>
          <w:sz w:val="19"/>
        </w:rPr>
        <w:t>Viva</w:t>
      </w:r>
      <w:r>
        <w:rPr>
          <w:spacing w:val="40"/>
          <w:sz w:val="19"/>
        </w:rPr>
        <w:t> </w:t>
      </w:r>
      <w:r>
        <w:rPr>
          <w:sz w:val="19"/>
        </w:rPr>
        <w:t>Books,</w:t>
      </w:r>
      <w:r>
        <w:rPr>
          <w:spacing w:val="40"/>
          <w:sz w:val="19"/>
        </w:rPr>
        <w:t> </w:t>
      </w:r>
      <w:r>
        <w:rPr>
          <w:sz w:val="19"/>
        </w:rPr>
        <w:t>2010).</w:t>
      </w:r>
    </w:p>
    <w:p>
      <w:pPr>
        <w:spacing w:before="56"/>
        <w:ind w:left="1440" w:right="0" w:firstLine="0"/>
        <w:jc w:val="both"/>
        <w:rPr>
          <w:i/>
          <w:sz w:val="19"/>
        </w:rPr>
      </w:pPr>
      <w:r>
        <w:rPr>
          <w:sz w:val="19"/>
        </w:rPr>
        <w:t>“1909—A.</w:t>
      </w:r>
      <w:r>
        <w:rPr>
          <w:spacing w:val="49"/>
          <w:sz w:val="19"/>
        </w:rPr>
        <w:t> </w:t>
      </w:r>
      <w:r>
        <w:rPr>
          <w:sz w:val="19"/>
        </w:rPr>
        <w:t>C.</w:t>
      </w:r>
      <w:r>
        <w:rPr>
          <w:spacing w:val="50"/>
          <w:sz w:val="19"/>
        </w:rPr>
        <w:t> </w:t>
      </w:r>
      <w:r>
        <w:rPr>
          <w:sz w:val="19"/>
        </w:rPr>
        <w:t>Bradley.</w:t>
      </w:r>
      <w:r>
        <w:rPr>
          <w:spacing w:val="53"/>
          <w:sz w:val="19"/>
        </w:rPr>
        <w:t> </w:t>
      </w:r>
      <w:r>
        <w:rPr>
          <w:sz w:val="19"/>
        </w:rPr>
        <w:t>From</w:t>
      </w:r>
      <w:r>
        <w:rPr>
          <w:spacing w:val="52"/>
          <w:sz w:val="19"/>
        </w:rPr>
        <w:t> </w:t>
      </w:r>
      <w:r>
        <w:rPr>
          <w:sz w:val="19"/>
        </w:rPr>
        <w:t>“Shakespeare’s</w:t>
      </w:r>
      <w:r>
        <w:rPr>
          <w:spacing w:val="54"/>
          <w:sz w:val="19"/>
        </w:rPr>
        <w:t> </w:t>
      </w:r>
      <w:r>
        <w:rPr>
          <w:i/>
          <w:sz w:val="19"/>
        </w:rPr>
        <w:t>Antony</w:t>
      </w:r>
      <w:r>
        <w:rPr>
          <w:i/>
          <w:spacing w:val="52"/>
          <w:sz w:val="19"/>
        </w:rPr>
        <w:t> </w:t>
      </w:r>
      <w:r>
        <w:rPr>
          <w:i/>
          <w:sz w:val="19"/>
        </w:rPr>
        <w:t>and</w:t>
      </w:r>
      <w:r>
        <w:rPr>
          <w:i/>
          <w:spacing w:val="54"/>
          <w:sz w:val="19"/>
        </w:rPr>
        <w:t> </w:t>
      </w:r>
      <w:r>
        <w:rPr>
          <w:i/>
          <w:spacing w:val="-2"/>
          <w:sz w:val="19"/>
        </w:rPr>
        <w:t>Cleopatra,”</w:t>
      </w:r>
    </w:p>
    <w:p>
      <w:pPr>
        <w:spacing w:before="20"/>
        <w:ind w:left="0" w:right="1843" w:firstLine="0"/>
        <w:jc w:val="center"/>
        <w:rPr>
          <w:sz w:val="19"/>
        </w:rPr>
      </w:pPr>
      <w:r>
        <w:rPr>
          <w:sz w:val="19"/>
        </w:rPr>
        <w:t>(</w:t>
      </w:r>
      <w:r>
        <w:rPr>
          <w:i/>
          <w:sz w:val="19"/>
        </w:rPr>
        <w:t>Oxford</w:t>
      </w:r>
      <w:r>
        <w:rPr>
          <w:i/>
          <w:spacing w:val="54"/>
          <w:sz w:val="19"/>
        </w:rPr>
        <w:t> </w:t>
      </w:r>
      <w:r>
        <w:rPr>
          <w:i/>
          <w:sz w:val="19"/>
        </w:rPr>
        <w:t>Lectures</w:t>
      </w:r>
      <w:r>
        <w:rPr>
          <w:i/>
          <w:spacing w:val="52"/>
          <w:sz w:val="19"/>
        </w:rPr>
        <w:t> </w:t>
      </w:r>
      <w:r>
        <w:rPr>
          <w:i/>
          <w:sz w:val="19"/>
        </w:rPr>
        <w:t>on</w:t>
      </w:r>
      <w:r>
        <w:rPr>
          <w:i/>
          <w:spacing w:val="50"/>
          <w:sz w:val="19"/>
        </w:rPr>
        <w:t> </w:t>
      </w:r>
      <w:r>
        <w:rPr>
          <w:i/>
          <w:spacing w:val="-2"/>
          <w:sz w:val="19"/>
        </w:rPr>
        <w:t>Poetry</w:t>
      </w:r>
      <w:r>
        <w:rPr>
          <w:spacing w:val="-2"/>
          <w:sz w:val="19"/>
        </w:rPr>
        <w:t>).”</w:t>
      </w:r>
    </w:p>
    <w:p>
      <w:pPr>
        <w:spacing w:before="79"/>
        <w:ind w:left="0" w:right="1754" w:firstLine="0"/>
        <w:jc w:val="center"/>
        <w:rPr>
          <w:sz w:val="19"/>
        </w:rPr>
      </w:pPr>
      <w:r>
        <w:rPr>
          <w:sz w:val="19"/>
        </w:rPr>
        <w:t>—</w:t>
      </w:r>
      <w:r>
        <w:rPr>
          <w:spacing w:val="42"/>
          <w:sz w:val="19"/>
        </w:rPr>
        <w:t> </w:t>
      </w:r>
      <w:r>
        <w:rPr>
          <w:sz w:val="19"/>
        </w:rPr>
        <w:t>“1988—Laura</w:t>
      </w:r>
      <w:r>
        <w:rPr>
          <w:spacing w:val="44"/>
          <w:sz w:val="19"/>
        </w:rPr>
        <w:t> </w:t>
      </w:r>
      <w:r>
        <w:rPr>
          <w:sz w:val="19"/>
        </w:rPr>
        <w:t>Quinney.</w:t>
      </w:r>
      <w:r>
        <w:rPr>
          <w:spacing w:val="44"/>
          <w:sz w:val="19"/>
        </w:rPr>
        <w:t> </w:t>
      </w:r>
      <w:r>
        <w:rPr>
          <w:sz w:val="19"/>
        </w:rPr>
        <w:t>“Enter</w:t>
      </w:r>
      <w:r>
        <w:rPr>
          <w:spacing w:val="43"/>
          <w:sz w:val="19"/>
        </w:rPr>
        <w:t> </w:t>
      </w:r>
      <w:r>
        <w:rPr>
          <w:sz w:val="19"/>
        </w:rPr>
        <w:t>a</w:t>
      </w:r>
      <w:r>
        <w:rPr>
          <w:spacing w:val="42"/>
          <w:sz w:val="19"/>
        </w:rPr>
        <w:t> </w:t>
      </w:r>
      <w:r>
        <w:rPr>
          <w:spacing w:val="-2"/>
          <w:sz w:val="19"/>
        </w:rPr>
        <w:t>Messenger.”</w:t>
      </w:r>
    </w:p>
    <w:p>
      <w:pPr>
        <w:spacing w:after="0"/>
        <w:jc w:val="center"/>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26240">
                <wp:simplePos x="0" y="0"/>
                <wp:positionH relativeFrom="page">
                  <wp:posOffset>2057400</wp:posOffset>
                </wp:positionH>
                <wp:positionV relativeFrom="paragraph">
                  <wp:posOffset>162604</wp:posOffset>
                </wp:positionV>
                <wp:extent cx="3657600" cy="12700"/>
                <wp:effectExtent l="0" t="0" r="0" b="0"/>
                <wp:wrapTopAndBottom/>
                <wp:docPr id="171" name="Graphic 171"/>
                <wp:cNvGraphicFramePr>
                  <a:graphicFrameLocks/>
                </wp:cNvGraphicFramePr>
                <a:graphic>
                  <a:graphicData uri="http://schemas.microsoft.com/office/word/2010/wordprocessingShape">
                    <wps:wsp>
                      <wps:cNvPr id="171" name="Graphic 17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90240;mso-wrap-distance-left:0;mso-wrap-distance-right:0" id="docshape167" filled="true" fillcolor="#000000" stroked="false">
                <v:fill type="solid"/>
                <w10:wrap type="topAndBottom"/>
              </v:rect>
            </w:pict>
          </mc:Fallback>
        </mc:AlternateContent>
      </w:r>
      <w:r>
        <w:rPr>
          <w:rFonts w:ascii="Verdana"/>
          <w:spacing w:val="-5"/>
          <w:sz w:val="18"/>
        </w:rPr>
        <w:t>24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line="261" w:lineRule="auto" w:before="199"/>
        <w:ind w:left="2160" w:right="1438" w:hanging="720"/>
        <w:jc w:val="both"/>
        <w:rPr>
          <w:i/>
          <w:sz w:val="19"/>
        </w:rPr>
      </w:pPr>
      <w:r>
        <w:rPr>
          <w:sz w:val="19"/>
        </w:rPr>
        <w:t>—G. Wilson Knight. “The Diadem of Love: An Essay on </w:t>
      </w:r>
      <w:r>
        <w:rPr>
          <w:i/>
          <w:sz w:val="19"/>
        </w:rPr>
        <w:t>Antony and Cleopatra,” </w:t>
      </w:r>
      <w:r>
        <w:rPr>
          <w:sz w:val="19"/>
        </w:rPr>
        <w:t>from </w:t>
      </w:r>
      <w:r>
        <w:rPr>
          <w:i/>
          <w:sz w:val="19"/>
        </w:rPr>
        <w:t>The Imperial Theme: Further Interpretations</w:t>
      </w:r>
      <w:r>
        <w:rPr>
          <w:i/>
          <w:spacing w:val="80"/>
          <w:sz w:val="19"/>
        </w:rPr>
        <w:t> </w:t>
      </w:r>
      <w:r>
        <w:rPr>
          <w:i/>
          <w:sz w:val="19"/>
        </w:rPr>
        <w:t>of </w:t>
      </w:r>
      <w:r>
        <w:rPr>
          <w:i/>
          <w:spacing w:val="9"/>
          <w:sz w:val="19"/>
        </w:rPr>
        <w:t>Shakespeare’s</w:t>
      </w:r>
      <w:r>
        <w:rPr>
          <w:i/>
          <w:spacing w:val="9"/>
          <w:sz w:val="19"/>
        </w:rPr>
        <w:t> Tragedies</w:t>
      </w:r>
      <w:r>
        <w:rPr>
          <w:i/>
          <w:spacing w:val="9"/>
          <w:sz w:val="19"/>
        </w:rPr>
        <w:t> </w:t>
      </w:r>
      <w:r>
        <w:rPr>
          <w:i/>
          <w:spacing w:val="10"/>
          <w:sz w:val="19"/>
        </w:rPr>
        <w:t>Including</w:t>
      </w:r>
      <w:r>
        <w:rPr>
          <w:i/>
          <w:spacing w:val="10"/>
          <w:sz w:val="19"/>
        </w:rPr>
        <w:t> </w:t>
      </w:r>
      <w:r>
        <w:rPr>
          <w:i/>
          <w:sz w:val="19"/>
        </w:rPr>
        <w:t>the </w:t>
      </w:r>
      <w:r>
        <w:rPr>
          <w:i/>
          <w:spacing w:val="9"/>
          <w:sz w:val="19"/>
        </w:rPr>
        <w:t>Roman </w:t>
      </w:r>
      <w:r>
        <w:rPr>
          <w:i/>
          <w:spacing w:val="-2"/>
          <w:sz w:val="19"/>
        </w:rPr>
        <w:t>Plays,”(1931)</w:t>
      </w:r>
    </w:p>
    <w:p>
      <w:pPr>
        <w:spacing w:line="261" w:lineRule="auto" w:before="58"/>
        <w:ind w:left="2160" w:right="1442" w:hanging="720"/>
        <w:jc w:val="both"/>
        <w:rPr>
          <w:sz w:val="19"/>
        </w:rPr>
      </w:pPr>
      <w:r>
        <w:rPr>
          <w:sz w:val="19"/>
        </w:rPr>
        <w:t>—”1875 – Edward Dowden. From </w:t>
      </w:r>
      <w:r>
        <w:rPr>
          <w:i/>
          <w:sz w:val="19"/>
        </w:rPr>
        <w:t>Shakespeare: A Critical Study of His Mind</w:t>
      </w:r>
      <w:r>
        <w:rPr>
          <w:i/>
          <w:spacing w:val="40"/>
          <w:sz w:val="19"/>
        </w:rPr>
        <w:t> </w:t>
      </w:r>
      <w:r>
        <w:rPr>
          <w:i/>
          <w:sz w:val="19"/>
        </w:rPr>
        <w:t>and</w:t>
      </w:r>
      <w:r>
        <w:rPr>
          <w:i/>
          <w:spacing w:val="40"/>
          <w:sz w:val="19"/>
        </w:rPr>
        <w:t> </w:t>
      </w:r>
      <w:r>
        <w:rPr>
          <w:i/>
          <w:sz w:val="19"/>
        </w:rPr>
        <w:t>Art</w:t>
      </w:r>
      <w:r>
        <w:rPr>
          <w:sz w:val="19"/>
        </w:rPr>
        <w:t>.”</w:t>
      </w:r>
    </w:p>
    <w:p>
      <w:pPr>
        <w:spacing w:line="261" w:lineRule="auto" w:before="56"/>
        <w:ind w:left="2160" w:right="1437" w:hanging="720"/>
        <w:jc w:val="left"/>
        <w:rPr>
          <w:sz w:val="19"/>
        </w:rPr>
      </w:pPr>
      <w:r>
        <w:rPr>
          <w:position w:val="6"/>
          <w:sz w:val="11"/>
        </w:rPr>
        <w:t>4</w:t>
      </w:r>
      <w:r>
        <w:rPr>
          <w:spacing w:val="26"/>
          <w:position w:val="6"/>
          <w:sz w:val="11"/>
        </w:rPr>
        <w:t> </w:t>
      </w:r>
      <w:r>
        <w:rPr>
          <w:i/>
          <w:sz w:val="19"/>
        </w:rPr>
        <w:t>Shakespeare Survey, </w:t>
      </w:r>
      <w:r>
        <w:rPr>
          <w:sz w:val="19"/>
        </w:rPr>
        <w:t>24 (1971), Robert Hapgood, “Hearing Shakespeare: Sound</w:t>
      </w:r>
      <w:r>
        <w:rPr>
          <w:spacing w:val="40"/>
          <w:sz w:val="19"/>
        </w:rPr>
        <w:t> </w:t>
      </w:r>
      <w:r>
        <w:rPr>
          <w:sz w:val="19"/>
        </w:rPr>
        <w:t>and</w:t>
      </w:r>
      <w:r>
        <w:rPr>
          <w:spacing w:val="40"/>
          <w:sz w:val="19"/>
        </w:rPr>
        <w:t> </w:t>
      </w:r>
      <w:r>
        <w:rPr>
          <w:sz w:val="19"/>
        </w:rPr>
        <w:t>Meaning</w:t>
      </w:r>
      <w:r>
        <w:rPr>
          <w:spacing w:val="40"/>
          <w:sz w:val="19"/>
        </w:rPr>
        <w:t> </w:t>
      </w:r>
      <w:r>
        <w:rPr>
          <w:sz w:val="19"/>
        </w:rPr>
        <w:t>in</w:t>
      </w:r>
      <w:r>
        <w:rPr>
          <w:spacing w:val="40"/>
          <w:sz w:val="19"/>
        </w:rPr>
        <w:t> </w:t>
      </w:r>
      <w:r>
        <w:rPr>
          <w:sz w:val="19"/>
        </w:rPr>
        <w:t>‘Antony</w:t>
      </w:r>
      <w:r>
        <w:rPr>
          <w:spacing w:val="40"/>
          <w:sz w:val="19"/>
        </w:rPr>
        <w:t> </w:t>
      </w:r>
      <w:r>
        <w:rPr>
          <w:sz w:val="19"/>
        </w:rPr>
        <w:t>and</w:t>
      </w:r>
      <w:r>
        <w:rPr>
          <w:spacing w:val="40"/>
          <w:sz w:val="19"/>
        </w:rPr>
        <w:t> </w:t>
      </w:r>
      <w:r>
        <w:rPr>
          <w:sz w:val="19"/>
        </w:rPr>
        <w:t>Cleopatra’”.</w:t>
      </w:r>
    </w:p>
    <w:p>
      <w:pPr>
        <w:spacing w:line="261" w:lineRule="auto" w:before="59"/>
        <w:ind w:left="2160" w:right="1437" w:hanging="720"/>
        <w:jc w:val="left"/>
        <w:rPr>
          <w:sz w:val="19"/>
        </w:rPr>
      </w:pPr>
      <w:r>
        <w:rPr>
          <w:position w:val="6"/>
          <w:sz w:val="11"/>
        </w:rPr>
        <w:t>5</w:t>
      </w:r>
      <w:r>
        <w:rPr>
          <w:spacing w:val="34"/>
          <w:position w:val="6"/>
          <w:sz w:val="11"/>
        </w:rPr>
        <w:t> </w:t>
      </w:r>
      <w:r>
        <w:rPr>
          <w:i/>
          <w:sz w:val="19"/>
        </w:rPr>
        <w:t>Shakespeare Survey, </w:t>
      </w:r>
      <w:r>
        <w:rPr>
          <w:sz w:val="19"/>
        </w:rPr>
        <w:t>23 (1970): Harold Fisch, “’Antony and Cleopatra’: The</w:t>
      </w:r>
      <w:r>
        <w:rPr>
          <w:spacing w:val="40"/>
          <w:sz w:val="19"/>
        </w:rPr>
        <w:t> </w:t>
      </w:r>
      <w:r>
        <w:rPr>
          <w:sz w:val="19"/>
        </w:rPr>
        <w:t>Limits</w:t>
      </w:r>
      <w:r>
        <w:rPr>
          <w:spacing w:val="40"/>
          <w:sz w:val="19"/>
        </w:rPr>
        <w:t> </w:t>
      </w:r>
      <w:r>
        <w:rPr>
          <w:sz w:val="19"/>
        </w:rPr>
        <w:t>of</w:t>
      </w:r>
      <w:r>
        <w:rPr>
          <w:spacing w:val="40"/>
          <w:sz w:val="19"/>
        </w:rPr>
        <w:t> </w:t>
      </w:r>
      <w:r>
        <w:rPr>
          <w:sz w:val="19"/>
        </w:rPr>
        <w:t>Mythology’”</w:t>
      </w:r>
    </w:p>
    <w:p>
      <w:pPr>
        <w:spacing w:before="57"/>
        <w:ind w:left="1440" w:right="0" w:firstLine="0"/>
        <w:jc w:val="left"/>
        <w:rPr>
          <w:sz w:val="19"/>
        </w:rPr>
      </w:pPr>
      <w:r>
        <w:rPr>
          <w:position w:val="6"/>
          <w:sz w:val="11"/>
        </w:rPr>
        <w:t>6</w:t>
      </w:r>
      <w:r>
        <w:rPr>
          <w:spacing w:val="56"/>
          <w:position w:val="6"/>
          <w:sz w:val="11"/>
        </w:rPr>
        <w:t> </w:t>
      </w:r>
      <w:r>
        <w:rPr>
          <w:sz w:val="19"/>
        </w:rPr>
        <w:t>Plutarch,</w:t>
      </w:r>
      <w:r>
        <w:rPr>
          <w:spacing w:val="38"/>
          <w:sz w:val="19"/>
        </w:rPr>
        <w:t> </w:t>
      </w:r>
      <w:r>
        <w:rPr>
          <w:i/>
          <w:sz w:val="19"/>
        </w:rPr>
        <w:t>Life</w:t>
      </w:r>
      <w:r>
        <w:rPr>
          <w:i/>
          <w:spacing w:val="39"/>
          <w:sz w:val="19"/>
        </w:rPr>
        <w:t> </w:t>
      </w:r>
      <w:r>
        <w:rPr>
          <w:i/>
          <w:sz w:val="19"/>
        </w:rPr>
        <w:t>of</w:t>
      </w:r>
      <w:r>
        <w:rPr>
          <w:i/>
          <w:spacing w:val="33"/>
          <w:sz w:val="19"/>
        </w:rPr>
        <w:t> </w:t>
      </w:r>
      <w:r>
        <w:rPr>
          <w:i/>
          <w:sz w:val="19"/>
        </w:rPr>
        <w:t>Antony,</w:t>
      </w:r>
      <w:r>
        <w:rPr>
          <w:i/>
          <w:spacing w:val="41"/>
          <w:sz w:val="19"/>
        </w:rPr>
        <w:t> </w:t>
      </w:r>
      <w:r>
        <w:rPr>
          <w:sz w:val="19"/>
        </w:rPr>
        <w:t>26,</w:t>
      </w:r>
      <w:r>
        <w:rPr>
          <w:spacing w:val="37"/>
          <w:sz w:val="19"/>
        </w:rPr>
        <w:t> </w:t>
      </w:r>
      <w:r>
        <w:rPr>
          <w:sz w:val="19"/>
        </w:rPr>
        <w:t>7)).”</w:t>
      </w:r>
      <w:r>
        <w:rPr>
          <w:spacing w:val="36"/>
          <w:sz w:val="19"/>
        </w:rPr>
        <w:t> </w:t>
      </w:r>
      <w:r>
        <w:rPr>
          <w:sz w:val="19"/>
        </w:rPr>
        <w:t>(From</w:t>
      </w:r>
      <w:r>
        <w:rPr>
          <w:spacing w:val="38"/>
          <w:sz w:val="19"/>
        </w:rPr>
        <w:t> </w:t>
      </w:r>
      <w:r>
        <w:rPr>
          <w:i/>
          <w:sz w:val="19"/>
        </w:rPr>
        <w:t>Cleopatra</w:t>
      </w:r>
      <w:r>
        <w:rPr>
          <w:i/>
          <w:spacing w:val="38"/>
          <w:sz w:val="19"/>
        </w:rPr>
        <w:t> </w:t>
      </w:r>
      <w:r>
        <w:rPr>
          <w:i/>
          <w:sz w:val="19"/>
        </w:rPr>
        <w:t>of</w:t>
      </w:r>
      <w:r>
        <w:rPr>
          <w:i/>
          <w:spacing w:val="38"/>
          <w:sz w:val="19"/>
        </w:rPr>
        <w:t> </w:t>
      </w:r>
      <w:r>
        <w:rPr>
          <w:i/>
          <w:spacing w:val="-2"/>
          <w:sz w:val="19"/>
        </w:rPr>
        <w:t>Egypt</w:t>
      </w:r>
      <w:r>
        <w:rPr>
          <w:spacing w:val="-2"/>
          <w:sz w:val="19"/>
        </w:rPr>
        <w:t>)</w:t>
      </w:r>
    </w:p>
    <w:p>
      <w:pPr>
        <w:spacing w:line="261" w:lineRule="auto" w:before="79"/>
        <w:ind w:left="2160" w:right="1437" w:hanging="720"/>
        <w:jc w:val="left"/>
        <w:rPr>
          <w:sz w:val="19"/>
        </w:rPr>
      </w:pPr>
      <w:r>
        <w:rPr>
          <w:position w:val="6"/>
          <w:sz w:val="11"/>
        </w:rPr>
        <w:t>7</w:t>
      </w:r>
      <w:r>
        <w:rPr>
          <w:spacing w:val="80"/>
          <w:position w:val="6"/>
          <w:sz w:val="11"/>
        </w:rPr>
        <w:t> </w:t>
      </w:r>
      <w:r>
        <w:rPr>
          <w:i/>
          <w:sz w:val="19"/>
        </w:rPr>
        <w:t>Ancient</w:t>
      </w:r>
      <w:r>
        <w:rPr>
          <w:i/>
          <w:spacing w:val="40"/>
          <w:sz w:val="19"/>
        </w:rPr>
        <w:t> </w:t>
      </w:r>
      <w:r>
        <w:rPr>
          <w:i/>
          <w:sz w:val="19"/>
        </w:rPr>
        <w:t>Rome,</w:t>
      </w:r>
      <w:r>
        <w:rPr>
          <w:i/>
          <w:spacing w:val="40"/>
          <w:sz w:val="19"/>
        </w:rPr>
        <w:t> </w:t>
      </w:r>
      <w:r>
        <w:rPr>
          <w:sz w:val="19"/>
        </w:rPr>
        <w:t>Nigel</w:t>
      </w:r>
      <w:r>
        <w:rPr>
          <w:spacing w:val="40"/>
          <w:sz w:val="19"/>
        </w:rPr>
        <w:t> </w:t>
      </w:r>
      <w:r>
        <w:rPr>
          <w:sz w:val="19"/>
        </w:rPr>
        <w:t>Rodgers,</w:t>
      </w:r>
      <w:r>
        <w:rPr>
          <w:spacing w:val="40"/>
          <w:sz w:val="19"/>
        </w:rPr>
        <w:t> </w:t>
      </w:r>
      <w:r>
        <w:rPr>
          <w:sz w:val="19"/>
        </w:rPr>
        <w:t>Consultant:</w:t>
      </w:r>
      <w:r>
        <w:rPr>
          <w:spacing w:val="40"/>
          <w:sz w:val="19"/>
        </w:rPr>
        <w:t> </w:t>
      </w:r>
      <w:r>
        <w:rPr>
          <w:sz w:val="19"/>
        </w:rPr>
        <w:t>Dr.</w:t>
      </w:r>
      <w:r>
        <w:rPr>
          <w:spacing w:val="40"/>
          <w:sz w:val="19"/>
        </w:rPr>
        <w:t> </w:t>
      </w:r>
      <w:r>
        <w:rPr>
          <w:sz w:val="19"/>
        </w:rPr>
        <w:t>Hazel</w:t>
      </w:r>
      <w:r>
        <w:rPr>
          <w:spacing w:val="40"/>
          <w:sz w:val="19"/>
        </w:rPr>
        <w:t> </w:t>
      </w:r>
      <w:r>
        <w:rPr>
          <w:sz w:val="19"/>
        </w:rPr>
        <w:t>Dodge</w:t>
      </w:r>
      <w:r>
        <w:rPr>
          <w:spacing w:val="40"/>
          <w:sz w:val="19"/>
        </w:rPr>
        <w:t> </w:t>
      </w:r>
      <w:r>
        <w:rPr>
          <w:sz w:val="19"/>
        </w:rPr>
        <w:t>FSA.</w:t>
      </w:r>
      <w:r>
        <w:rPr>
          <w:spacing w:val="40"/>
          <w:sz w:val="19"/>
        </w:rPr>
        <w:t> </w:t>
      </w:r>
      <w:r>
        <w:rPr>
          <w:sz w:val="19"/>
        </w:rPr>
        <w:t>(Printed</w:t>
      </w:r>
      <w:r>
        <w:rPr>
          <w:spacing w:val="40"/>
          <w:sz w:val="19"/>
        </w:rPr>
        <w:t> </w:t>
      </w:r>
      <w:r>
        <w:rPr>
          <w:sz w:val="19"/>
        </w:rPr>
        <w:t>in</w:t>
      </w:r>
      <w:r>
        <w:rPr>
          <w:spacing w:val="40"/>
          <w:sz w:val="19"/>
        </w:rPr>
        <w:t> </w:t>
      </w:r>
      <w:r>
        <w:rPr>
          <w:sz w:val="19"/>
        </w:rPr>
        <w:t>China,</w:t>
      </w:r>
      <w:r>
        <w:rPr>
          <w:spacing w:val="40"/>
          <w:sz w:val="19"/>
        </w:rPr>
        <w:t> </w:t>
      </w:r>
      <w:r>
        <w:rPr>
          <w:sz w:val="19"/>
        </w:rPr>
        <w:t>Publication</w:t>
      </w:r>
      <w:r>
        <w:rPr>
          <w:spacing w:val="40"/>
          <w:sz w:val="19"/>
        </w:rPr>
        <w:t> </w:t>
      </w:r>
      <w:r>
        <w:rPr>
          <w:sz w:val="19"/>
        </w:rPr>
        <w:t>year</w:t>
      </w:r>
      <w:r>
        <w:rPr>
          <w:spacing w:val="40"/>
          <w:sz w:val="19"/>
        </w:rPr>
        <w:t> </w:t>
      </w:r>
      <w:r>
        <w:rPr>
          <w:sz w:val="19"/>
        </w:rPr>
        <w:t>missing).</w:t>
      </w:r>
    </w:p>
    <w:p>
      <w:pPr>
        <w:spacing w:line="261" w:lineRule="auto" w:before="56"/>
        <w:ind w:left="2160" w:right="1437" w:hanging="720"/>
        <w:jc w:val="left"/>
        <w:rPr>
          <w:i/>
          <w:sz w:val="19"/>
        </w:rPr>
      </w:pPr>
      <w:r>
        <w:rPr>
          <w:position w:val="6"/>
          <w:sz w:val="11"/>
        </w:rPr>
        <w:t>8</w:t>
      </w:r>
      <w:r>
        <w:rPr>
          <w:spacing w:val="40"/>
          <w:position w:val="6"/>
          <w:sz w:val="11"/>
        </w:rPr>
        <w:t> </w:t>
      </w:r>
      <w:r>
        <w:rPr>
          <w:i/>
          <w:sz w:val="19"/>
        </w:rPr>
        <w:t>Shakespeare</w:t>
      </w:r>
      <w:r>
        <w:rPr>
          <w:i/>
          <w:spacing w:val="27"/>
          <w:sz w:val="19"/>
        </w:rPr>
        <w:t> </w:t>
      </w:r>
      <w:r>
        <w:rPr>
          <w:i/>
          <w:sz w:val="19"/>
        </w:rPr>
        <w:t>Quarterly,</w:t>
      </w:r>
      <w:r>
        <w:rPr>
          <w:i/>
          <w:spacing w:val="28"/>
          <w:sz w:val="19"/>
        </w:rPr>
        <w:t> </w:t>
      </w:r>
      <w:r>
        <w:rPr>
          <w:sz w:val="19"/>
        </w:rPr>
        <w:t>34</w:t>
      </w:r>
      <w:r>
        <w:rPr>
          <w:spacing w:val="28"/>
          <w:sz w:val="19"/>
        </w:rPr>
        <w:t> </w:t>
      </w:r>
      <w:r>
        <w:rPr>
          <w:sz w:val="19"/>
        </w:rPr>
        <w:t>(1983):</w:t>
      </w:r>
      <w:r>
        <w:rPr>
          <w:spacing w:val="25"/>
          <w:sz w:val="19"/>
        </w:rPr>
        <w:t> </w:t>
      </w:r>
      <w:r>
        <w:rPr>
          <w:sz w:val="19"/>
        </w:rPr>
        <w:t>Gordon</w:t>
      </w:r>
      <w:r>
        <w:rPr>
          <w:spacing w:val="28"/>
          <w:sz w:val="19"/>
        </w:rPr>
        <w:t> </w:t>
      </w:r>
      <w:r>
        <w:rPr>
          <w:sz w:val="19"/>
        </w:rPr>
        <w:t>P.</w:t>
      </w:r>
      <w:r>
        <w:rPr>
          <w:spacing w:val="28"/>
          <w:sz w:val="19"/>
        </w:rPr>
        <w:t> </w:t>
      </w:r>
      <w:r>
        <w:rPr>
          <w:sz w:val="19"/>
        </w:rPr>
        <w:t>Jones,</w:t>
      </w:r>
      <w:r>
        <w:rPr>
          <w:spacing w:val="28"/>
          <w:sz w:val="19"/>
        </w:rPr>
        <w:t> </w:t>
      </w:r>
      <w:r>
        <w:rPr>
          <w:sz w:val="19"/>
        </w:rPr>
        <w:t>“The</w:t>
      </w:r>
      <w:r>
        <w:rPr>
          <w:spacing w:val="26"/>
          <w:sz w:val="19"/>
        </w:rPr>
        <w:t> </w:t>
      </w:r>
      <w:r>
        <w:rPr>
          <w:sz w:val="19"/>
        </w:rPr>
        <w:t>‘Strumpet’s Fool’</w:t>
      </w:r>
      <w:r>
        <w:rPr>
          <w:spacing w:val="40"/>
          <w:sz w:val="19"/>
        </w:rPr>
        <w:t> </w:t>
      </w:r>
      <w:r>
        <w:rPr>
          <w:sz w:val="19"/>
        </w:rPr>
        <w:t>in</w:t>
      </w:r>
      <w:r>
        <w:rPr>
          <w:spacing w:val="40"/>
          <w:sz w:val="19"/>
        </w:rPr>
        <w:t> </w:t>
      </w:r>
      <w:r>
        <w:rPr>
          <w:i/>
          <w:sz w:val="19"/>
        </w:rPr>
        <w:t>Antony</w:t>
      </w:r>
      <w:r>
        <w:rPr>
          <w:i/>
          <w:spacing w:val="40"/>
          <w:sz w:val="19"/>
        </w:rPr>
        <w:t> </w:t>
      </w:r>
      <w:r>
        <w:rPr>
          <w:i/>
          <w:sz w:val="19"/>
        </w:rPr>
        <w:t>and</w:t>
      </w:r>
      <w:r>
        <w:rPr>
          <w:i/>
          <w:spacing w:val="40"/>
          <w:sz w:val="19"/>
        </w:rPr>
        <w:t> </w:t>
      </w:r>
      <w:r>
        <w:rPr>
          <w:i/>
          <w:sz w:val="19"/>
        </w:rPr>
        <w:t>Cleopatra.”</w:t>
      </w:r>
    </w:p>
    <w:p>
      <w:pPr>
        <w:spacing w:line="261" w:lineRule="auto" w:before="59"/>
        <w:ind w:left="2160" w:right="1437" w:hanging="720"/>
        <w:jc w:val="left"/>
        <w:rPr>
          <w:sz w:val="19"/>
        </w:rPr>
      </w:pPr>
      <w:r>
        <w:rPr>
          <w:position w:val="6"/>
          <w:sz w:val="11"/>
        </w:rPr>
        <w:t>9</w:t>
      </w:r>
      <w:r>
        <w:rPr>
          <w:spacing w:val="80"/>
          <w:w w:val="150"/>
          <w:position w:val="6"/>
          <w:sz w:val="11"/>
        </w:rPr>
        <w:t> </w:t>
      </w:r>
      <w:r>
        <w:rPr>
          <w:i/>
          <w:sz w:val="19"/>
        </w:rPr>
        <w:t>Shakespeare</w:t>
      </w:r>
      <w:r>
        <w:rPr>
          <w:i/>
          <w:spacing w:val="80"/>
          <w:sz w:val="19"/>
        </w:rPr>
        <w:t> </w:t>
      </w:r>
      <w:r>
        <w:rPr>
          <w:i/>
          <w:sz w:val="19"/>
        </w:rPr>
        <w:t>Survey,</w:t>
      </w:r>
      <w:r>
        <w:rPr>
          <w:i/>
          <w:spacing w:val="80"/>
          <w:sz w:val="19"/>
        </w:rPr>
        <w:t> </w:t>
      </w:r>
      <w:r>
        <w:rPr>
          <w:sz w:val="19"/>
        </w:rPr>
        <w:t>33</w:t>
      </w:r>
      <w:r>
        <w:rPr>
          <w:spacing w:val="80"/>
          <w:sz w:val="19"/>
        </w:rPr>
        <w:t> </w:t>
      </w:r>
      <w:r>
        <w:rPr>
          <w:sz w:val="19"/>
        </w:rPr>
        <w:t>(1980):</w:t>
      </w:r>
      <w:r>
        <w:rPr>
          <w:spacing w:val="80"/>
          <w:sz w:val="19"/>
        </w:rPr>
        <w:t> </w:t>
      </w:r>
      <w:r>
        <w:rPr>
          <w:sz w:val="19"/>
        </w:rPr>
        <w:t>Andrew</w:t>
      </w:r>
      <w:r>
        <w:rPr>
          <w:spacing w:val="80"/>
          <w:sz w:val="19"/>
        </w:rPr>
        <w:t> </w:t>
      </w:r>
      <w:r>
        <w:rPr>
          <w:sz w:val="19"/>
        </w:rPr>
        <w:t>Fichter,</w:t>
      </w:r>
      <w:r>
        <w:rPr>
          <w:spacing w:val="80"/>
          <w:sz w:val="19"/>
        </w:rPr>
        <w:t> </w:t>
      </w:r>
      <w:r>
        <w:rPr>
          <w:sz w:val="19"/>
        </w:rPr>
        <w:t>“’Antony</w:t>
      </w:r>
      <w:r>
        <w:rPr>
          <w:spacing w:val="80"/>
          <w:sz w:val="19"/>
        </w:rPr>
        <w:t> </w:t>
      </w:r>
      <w:r>
        <w:rPr>
          <w:sz w:val="19"/>
        </w:rPr>
        <w:t>and Cleopatra’:</w:t>
      </w:r>
      <w:r>
        <w:rPr>
          <w:spacing w:val="40"/>
          <w:sz w:val="19"/>
        </w:rPr>
        <w:t> </w:t>
      </w:r>
      <w:r>
        <w:rPr>
          <w:sz w:val="19"/>
        </w:rPr>
        <w:t>‘The</w:t>
      </w:r>
      <w:r>
        <w:rPr>
          <w:spacing w:val="40"/>
          <w:sz w:val="19"/>
        </w:rPr>
        <w:t> </w:t>
      </w:r>
      <w:r>
        <w:rPr>
          <w:sz w:val="19"/>
        </w:rPr>
        <w:t>time</w:t>
      </w:r>
      <w:r>
        <w:rPr>
          <w:spacing w:val="40"/>
          <w:sz w:val="19"/>
        </w:rPr>
        <w:t> </w:t>
      </w:r>
      <w:r>
        <w:rPr>
          <w:sz w:val="19"/>
        </w:rPr>
        <w:t>of</w:t>
      </w:r>
      <w:r>
        <w:rPr>
          <w:spacing w:val="40"/>
          <w:sz w:val="19"/>
        </w:rPr>
        <w:t> </w:t>
      </w:r>
      <w:r>
        <w:rPr>
          <w:sz w:val="19"/>
        </w:rPr>
        <w:t>universal</w:t>
      </w:r>
      <w:r>
        <w:rPr>
          <w:spacing w:val="40"/>
          <w:sz w:val="19"/>
        </w:rPr>
        <w:t> </w:t>
      </w:r>
      <w:r>
        <w:rPr>
          <w:sz w:val="19"/>
        </w:rPr>
        <w:t>peace’.”</w:t>
      </w:r>
    </w:p>
    <w:p>
      <w:pPr>
        <w:spacing w:line="261" w:lineRule="auto" w:before="57"/>
        <w:ind w:left="2160" w:right="1437" w:hanging="720"/>
        <w:jc w:val="left"/>
        <w:rPr>
          <w:sz w:val="19"/>
        </w:rPr>
      </w:pPr>
      <w:r>
        <w:rPr>
          <w:position w:val="6"/>
          <w:sz w:val="11"/>
        </w:rPr>
        <w:t>10</w:t>
      </w:r>
      <w:r>
        <w:rPr>
          <w:spacing w:val="80"/>
          <w:position w:val="6"/>
          <w:sz w:val="11"/>
        </w:rPr>
        <w:t> </w:t>
      </w:r>
      <w:r>
        <w:rPr>
          <w:i/>
          <w:sz w:val="19"/>
        </w:rPr>
        <w:t>Shakespeare</w:t>
      </w:r>
      <w:r>
        <w:rPr>
          <w:i/>
          <w:spacing w:val="80"/>
          <w:sz w:val="19"/>
        </w:rPr>
        <w:t> </w:t>
      </w:r>
      <w:r>
        <w:rPr>
          <w:i/>
          <w:sz w:val="19"/>
        </w:rPr>
        <w:t>Survey</w:t>
      </w:r>
      <w:r>
        <w:rPr>
          <w:sz w:val="19"/>
        </w:rPr>
        <w:t>,</w:t>
      </w:r>
      <w:r>
        <w:rPr>
          <w:spacing w:val="80"/>
          <w:sz w:val="19"/>
        </w:rPr>
        <w:t> </w:t>
      </w:r>
      <w:r>
        <w:rPr>
          <w:sz w:val="19"/>
        </w:rPr>
        <w:t>41</w:t>
      </w:r>
      <w:r>
        <w:rPr>
          <w:spacing w:val="80"/>
          <w:sz w:val="19"/>
        </w:rPr>
        <w:t> </w:t>
      </w:r>
      <w:r>
        <w:rPr>
          <w:sz w:val="19"/>
        </w:rPr>
        <w:t>(1988):</w:t>
      </w:r>
      <w:r>
        <w:rPr>
          <w:spacing w:val="80"/>
          <w:sz w:val="19"/>
        </w:rPr>
        <w:t> </w:t>
      </w:r>
      <w:r>
        <w:rPr>
          <w:sz w:val="19"/>
        </w:rPr>
        <w:t>Leslie</w:t>
      </w:r>
      <w:r>
        <w:rPr>
          <w:spacing w:val="80"/>
          <w:sz w:val="19"/>
        </w:rPr>
        <w:t> </w:t>
      </w:r>
      <w:r>
        <w:rPr>
          <w:sz w:val="19"/>
        </w:rPr>
        <w:t>Thompson,</w:t>
      </w:r>
      <w:r>
        <w:rPr>
          <w:spacing w:val="80"/>
          <w:sz w:val="19"/>
        </w:rPr>
        <w:t> </w:t>
      </w:r>
      <w:r>
        <w:rPr>
          <w:sz w:val="19"/>
        </w:rPr>
        <w:t>“</w:t>
      </w:r>
      <w:r>
        <w:rPr>
          <w:i/>
          <w:sz w:val="19"/>
        </w:rPr>
        <w:t>Antony</w:t>
      </w:r>
      <w:r>
        <w:rPr>
          <w:i/>
          <w:spacing w:val="80"/>
          <w:sz w:val="19"/>
        </w:rPr>
        <w:t> </w:t>
      </w:r>
      <w:r>
        <w:rPr>
          <w:i/>
          <w:sz w:val="19"/>
        </w:rPr>
        <w:t>and Cleopatra,</w:t>
      </w:r>
      <w:r>
        <w:rPr>
          <w:i/>
          <w:spacing w:val="40"/>
          <w:sz w:val="19"/>
        </w:rPr>
        <w:t> </w:t>
      </w:r>
      <w:r>
        <w:rPr>
          <w:sz w:val="19"/>
        </w:rPr>
        <w:t>Act</w:t>
      </w:r>
      <w:r>
        <w:rPr>
          <w:spacing w:val="40"/>
          <w:sz w:val="19"/>
        </w:rPr>
        <w:t> </w:t>
      </w:r>
      <w:r>
        <w:rPr>
          <w:sz w:val="19"/>
        </w:rPr>
        <w:t>4</w:t>
      </w:r>
      <w:r>
        <w:rPr>
          <w:spacing w:val="40"/>
          <w:sz w:val="19"/>
        </w:rPr>
        <w:t> </w:t>
      </w:r>
      <w:r>
        <w:rPr>
          <w:sz w:val="19"/>
        </w:rPr>
        <w:t>Scene</w:t>
      </w:r>
      <w:r>
        <w:rPr>
          <w:spacing w:val="40"/>
          <w:sz w:val="19"/>
        </w:rPr>
        <w:t> </w:t>
      </w:r>
      <w:r>
        <w:rPr>
          <w:sz w:val="19"/>
        </w:rPr>
        <w:t>16:</w:t>
      </w:r>
      <w:r>
        <w:rPr>
          <w:spacing w:val="40"/>
          <w:sz w:val="19"/>
        </w:rPr>
        <w:t> </w:t>
      </w:r>
      <w:r>
        <w:rPr>
          <w:sz w:val="19"/>
        </w:rPr>
        <w:t>‘A</w:t>
      </w:r>
      <w:r>
        <w:rPr>
          <w:spacing w:val="40"/>
          <w:sz w:val="19"/>
        </w:rPr>
        <w:t> </w:t>
      </w:r>
      <w:r>
        <w:rPr>
          <w:sz w:val="19"/>
        </w:rPr>
        <w:t>Heavy</w:t>
      </w:r>
      <w:r>
        <w:rPr>
          <w:spacing w:val="40"/>
          <w:sz w:val="19"/>
        </w:rPr>
        <w:t> </w:t>
      </w:r>
      <w:r>
        <w:rPr>
          <w:sz w:val="19"/>
        </w:rPr>
        <w:t>Sight’.”</w:t>
      </w:r>
    </w:p>
    <w:p>
      <w:pPr>
        <w:spacing w:line="261" w:lineRule="auto" w:before="59"/>
        <w:ind w:left="2160" w:right="1437" w:hanging="720"/>
        <w:jc w:val="left"/>
        <w:rPr>
          <w:sz w:val="19"/>
        </w:rPr>
      </w:pPr>
      <w:r>
        <w:rPr>
          <w:position w:val="6"/>
          <w:sz w:val="11"/>
        </w:rPr>
        <w:t>11</w:t>
      </w:r>
      <w:r>
        <w:rPr>
          <w:spacing w:val="80"/>
          <w:w w:val="150"/>
          <w:position w:val="6"/>
          <w:sz w:val="11"/>
        </w:rPr>
        <w:t> </w:t>
      </w:r>
      <w:r>
        <w:rPr>
          <w:i/>
          <w:sz w:val="19"/>
        </w:rPr>
        <w:t>Shakespeare</w:t>
      </w:r>
      <w:r>
        <w:rPr>
          <w:i/>
          <w:spacing w:val="80"/>
          <w:sz w:val="19"/>
        </w:rPr>
        <w:t> </w:t>
      </w:r>
      <w:r>
        <w:rPr>
          <w:i/>
          <w:sz w:val="19"/>
        </w:rPr>
        <w:t>Quarterly</w:t>
      </w:r>
      <w:r>
        <w:rPr>
          <w:sz w:val="19"/>
        </w:rPr>
        <w:t>,</w:t>
      </w:r>
      <w:r>
        <w:rPr>
          <w:spacing w:val="80"/>
          <w:sz w:val="19"/>
        </w:rPr>
        <w:t> </w:t>
      </w:r>
      <w:r>
        <w:rPr>
          <w:sz w:val="19"/>
        </w:rPr>
        <w:t>7</w:t>
      </w:r>
      <w:r>
        <w:rPr>
          <w:spacing w:val="80"/>
          <w:w w:val="150"/>
          <w:sz w:val="19"/>
        </w:rPr>
        <w:t> </w:t>
      </w:r>
      <w:r>
        <w:rPr>
          <w:sz w:val="19"/>
        </w:rPr>
        <w:t>(1956):</w:t>
      </w:r>
      <w:r>
        <w:rPr>
          <w:spacing w:val="80"/>
          <w:sz w:val="19"/>
        </w:rPr>
        <w:t> </w:t>
      </w:r>
      <w:r>
        <w:rPr>
          <w:sz w:val="19"/>
        </w:rPr>
        <w:t>Quoted</w:t>
      </w:r>
      <w:r>
        <w:rPr>
          <w:spacing w:val="80"/>
          <w:sz w:val="19"/>
        </w:rPr>
        <w:t> </w:t>
      </w:r>
      <w:r>
        <w:rPr>
          <w:sz w:val="19"/>
        </w:rPr>
        <w:t>by</w:t>
      </w:r>
      <w:r>
        <w:rPr>
          <w:spacing w:val="80"/>
          <w:sz w:val="19"/>
        </w:rPr>
        <w:t> </w:t>
      </w:r>
      <w:r>
        <w:rPr>
          <w:sz w:val="19"/>
        </w:rPr>
        <w:t>Daniel</w:t>
      </w:r>
      <w:r>
        <w:rPr>
          <w:spacing w:val="80"/>
          <w:sz w:val="19"/>
        </w:rPr>
        <w:t> </w:t>
      </w:r>
      <w:r>
        <w:rPr>
          <w:sz w:val="19"/>
        </w:rPr>
        <w:t>Stempel,</w:t>
      </w:r>
      <w:r>
        <w:rPr>
          <w:spacing w:val="40"/>
          <w:sz w:val="19"/>
        </w:rPr>
        <w:t> </w:t>
      </w:r>
      <w:r>
        <w:rPr>
          <w:sz w:val="19"/>
        </w:rPr>
        <w:t>“Transmigration</w:t>
      </w:r>
      <w:r>
        <w:rPr>
          <w:spacing w:val="40"/>
          <w:sz w:val="19"/>
        </w:rPr>
        <w:t> </w:t>
      </w:r>
      <w:r>
        <w:rPr>
          <w:sz w:val="19"/>
        </w:rPr>
        <w:t>of</w:t>
      </w:r>
      <w:r>
        <w:rPr>
          <w:spacing w:val="40"/>
          <w:sz w:val="19"/>
        </w:rPr>
        <w:t> </w:t>
      </w:r>
      <w:r>
        <w:rPr>
          <w:sz w:val="19"/>
        </w:rPr>
        <w:t>the</w:t>
      </w:r>
      <w:r>
        <w:rPr>
          <w:spacing w:val="40"/>
          <w:sz w:val="19"/>
        </w:rPr>
        <w:t> </w:t>
      </w:r>
      <w:r>
        <w:rPr>
          <w:sz w:val="19"/>
        </w:rPr>
        <w:t>Crocodile.”</w:t>
      </w:r>
    </w:p>
    <w:p>
      <w:pPr>
        <w:spacing w:after="0" w:line="261"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791424">
                <wp:simplePos x="0" y="0"/>
                <wp:positionH relativeFrom="page">
                  <wp:posOffset>2057400</wp:posOffset>
                </wp:positionH>
                <wp:positionV relativeFrom="page">
                  <wp:posOffset>1788723</wp:posOffset>
                </wp:positionV>
                <wp:extent cx="3654425" cy="140335"/>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3654425" cy="140335"/>
                        </a:xfrm>
                        <a:prstGeom prst="rect">
                          <a:avLst/>
                        </a:prstGeom>
                      </wps:spPr>
                      <wps:txbx>
                        <w:txbxContent>
                          <w:p>
                            <w:pPr>
                              <w:tabs>
                                <w:tab w:pos="5754" w:val="right" w:leader="none"/>
                              </w:tabs>
                              <w:spacing w:line="219" w:lineRule="exact" w:before="0"/>
                              <w:ind w:left="0" w:right="0" w:firstLine="0"/>
                              <w:jc w:val="left"/>
                              <w:rPr>
                                <w:rFonts w:ascii="Verdana"/>
                                <w:sz w:val="18"/>
                              </w:rPr>
                            </w:pPr>
                            <w:r>
                              <w:rPr>
                                <w:rFonts w:ascii="Verdana"/>
                                <w:spacing w:val="-4"/>
                                <w:sz w:val="18"/>
                              </w:rPr>
                              <w:t>The</w:t>
                            </w:r>
                            <w:r>
                              <w:rPr>
                                <w:rFonts w:ascii="Verdana"/>
                                <w:spacing w:val="10"/>
                                <w:sz w:val="18"/>
                              </w:rPr>
                              <w:t> </w:t>
                            </w:r>
                            <w:r>
                              <w:rPr>
                                <w:rFonts w:ascii="Verdana"/>
                                <w:spacing w:val="-4"/>
                                <w:sz w:val="18"/>
                              </w:rPr>
                              <w:t>Timeless</w:t>
                            </w:r>
                            <w:r>
                              <w:rPr>
                                <w:rFonts w:ascii="Verdana"/>
                                <w:spacing w:val="8"/>
                                <w:sz w:val="18"/>
                              </w:rPr>
                              <w:t> </w:t>
                            </w:r>
                            <w:r>
                              <w:rPr>
                                <w:rFonts w:ascii="Verdana"/>
                                <w:spacing w:val="-4"/>
                                <w:sz w:val="18"/>
                              </w:rPr>
                              <w:t>Beauty</w:t>
                            </w:r>
                            <w:r>
                              <w:rPr>
                                <w:rFonts w:ascii="Verdana"/>
                                <w:spacing w:val="12"/>
                                <w:sz w:val="18"/>
                              </w:rPr>
                              <w:t> </w:t>
                            </w:r>
                            <w:r>
                              <w:rPr>
                                <w:rFonts w:ascii="Verdana"/>
                                <w:spacing w:val="-4"/>
                                <w:sz w:val="18"/>
                              </w:rPr>
                              <w:t>of</w:t>
                            </w:r>
                            <w:r>
                              <w:rPr>
                                <w:rFonts w:ascii="Verdana"/>
                                <w:spacing w:val="11"/>
                                <w:sz w:val="18"/>
                              </w:rPr>
                              <w:t> </w:t>
                            </w:r>
                            <w:r>
                              <w:rPr>
                                <w:rFonts w:ascii="Verdana"/>
                                <w:spacing w:val="-4"/>
                                <w:sz w:val="18"/>
                              </w:rPr>
                              <w:t>Shakespeare:</w:t>
                            </w:r>
                            <w:r>
                              <w:rPr>
                                <w:rFonts w:ascii="Verdana"/>
                                <w:spacing w:val="7"/>
                                <w:sz w:val="18"/>
                              </w:rPr>
                              <w:t> </w:t>
                            </w:r>
                            <w:r>
                              <w:rPr>
                                <w:rFonts w:ascii="Verdana"/>
                                <w:spacing w:val="-4"/>
                                <w:sz w:val="18"/>
                              </w:rPr>
                              <w:t>Universality...</w:t>
                            </w:r>
                            <w:r>
                              <w:rPr>
                                <w:sz w:val="18"/>
                              </w:rPr>
                              <w:tab/>
                            </w:r>
                            <w:r>
                              <w:rPr>
                                <w:rFonts w:ascii="Verdana"/>
                                <w:spacing w:val="-5"/>
                                <w:sz w:val="18"/>
                              </w:rPr>
                              <w:t>25</w:t>
                            </w:r>
                          </w:p>
                        </w:txbxContent>
                      </wps:txbx>
                      <wps:bodyPr wrap="square" lIns="0" tIns="0" rIns="0" bIns="0" rtlCol="0">
                        <a:noAutofit/>
                      </wps:bodyPr>
                    </wps:wsp>
                  </a:graphicData>
                </a:graphic>
              </wp:anchor>
            </w:drawing>
          </mc:Choice>
          <mc:Fallback>
            <w:pict>
              <v:shape style="position:absolute;margin-left:162pt;margin-top:140.844391pt;width:287.75pt;height:11.05pt;mso-position-horizontal-relative:page;mso-position-vertical-relative:page;z-index:-20525056" type="#_x0000_t202" id="docshape168" filled="false" stroked="false">
                <v:textbox inset="0,0,0,0">
                  <w:txbxContent>
                    <w:p>
                      <w:pPr>
                        <w:tabs>
                          <w:tab w:pos="5754" w:val="right" w:leader="none"/>
                        </w:tabs>
                        <w:spacing w:line="219" w:lineRule="exact" w:before="0"/>
                        <w:ind w:left="0" w:right="0" w:firstLine="0"/>
                        <w:jc w:val="left"/>
                        <w:rPr>
                          <w:rFonts w:ascii="Verdana"/>
                          <w:sz w:val="18"/>
                        </w:rPr>
                      </w:pPr>
                      <w:r>
                        <w:rPr>
                          <w:rFonts w:ascii="Verdana"/>
                          <w:spacing w:val="-4"/>
                          <w:sz w:val="18"/>
                        </w:rPr>
                        <w:t>The</w:t>
                      </w:r>
                      <w:r>
                        <w:rPr>
                          <w:rFonts w:ascii="Verdana"/>
                          <w:spacing w:val="10"/>
                          <w:sz w:val="18"/>
                        </w:rPr>
                        <w:t> </w:t>
                      </w:r>
                      <w:r>
                        <w:rPr>
                          <w:rFonts w:ascii="Verdana"/>
                          <w:spacing w:val="-4"/>
                          <w:sz w:val="18"/>
                        </w:rPr>
                        <w:t>Timeless</w:t>
                      </w:r>
                      <w:r>
                        <w:rPr>
                          <w:rFonts w:ascii="Verdana"/>
                          <w:spacing w:val="8"/>
                          <w:sz w:val="18"/>
                        </w:rPr>
                        <w:t> </w:t>
                      </w:r>
                      <w:r>
                        <w:rPr>
                          <w:rFonts w:ascii="Verdana"/>
                          <w:spacing w:val="-4"/>
                          <w:sz w:val="18"/>
                        </w:rPr>
                        <w:t>Beauty</w:t>
                      </w:r>
                      <w:r>
                        <w:rPr>
                          <w:rFonts w:ascii="Verdana"/>
                          <w:spacing w:val="12"/>
                          <w:sz w:val="18"/>
                        </w:rPr>
                        <w:t> </w:t>
                      </w:r>
                      <w:r>
                        <w:rPr>
                          <w:rFonts w:ascii="Verdana"/>
                          <w:spacing w:val="-4"/>
                          <w:sz w:val="18"/>
                        </w:rPr>
                        <w:t>of</w:t>
                      </w:r>
                      <w:r>
                        <w:rPr>
                          <w:rFonts w:ascii="Verdana"/>
                          <w:spacing w:val="11"/>
                          <w:sz w:val="18"/>
                        </w:rPr>
                        <w:t> </w:t>
                      </w:r>
                      <w:r>
                        <w:rPr>
                          <w:rFonts w:ascii="Verdana"/>
                          <w:spacing w:val="-4"/>
                          <w:sz w:val="18"/>
                        </w:rPr>
                        <w:t>Shakespeare:</w:t>
                      </w:r>
                      <w:r>
                        <w:rPr>
                          <w:rFonts w:ascii="Verdana"/>
                          <w:spacing w:val="7"/>
                          <w:sz w:val="18"/>
                        </w:rPr>
                        <w:t> </w:t>
                      </w:r>
                      <w:r>
                        <w:rPr>
                          <w:rFonts w:ascii="Verdana"/>
                          <w:spacing w:val="-4"/>
                          <w:sz w:val="18"/>
                        </w:rPr>
                        <w:t>Universality...</w:t>
                      </w:r>
                      <w:r>
                        <w:rPr>
                          <w:sz w:val="18"/>
                        </w:rPr>
                        <w:tab/>
                      </w:r>
                      <w:r>
                        <w:rPr>
                          <w:rFonts w:ascii="Verdana"/>
                          <w:spacing w:val="-5"/>
                          <w:sz w:val="18"/>
                        </w:rPr>
                        <w:t>25</w:t>
                      </w:r>
                    </w:p>
                  </w:txbxContent>
                </v:textbox>
                <w10:wrap type="none"/>
              </v:shape>
            </w:pict>
          </mc:Fallback>
        </mc:AlternateContent>
      </w:r>
    </w:p>
    <w:p>
      <w:pPr>
        <w:pStyle w:val="BodyText"/>
        <w:ind w:left="0"/>
      </w:pPr>
    </w:p>
    <w:p>
      <w:pPr>
        <w:pStyle w:val="BodyText"/>
        <w:spacing w:before="29"/>
        <w:ind w:left="0"/>
      </w:pPr>
    </w:p>
    <w:p>
      <w:pPr>
        <w:spacing w:line="240" w:lineRule="auto"/>
        <w:ind w:left="1101" w:right="0" w:firstLine="0"/>
        <w:rPr>
          <w:sz w:val="20"/>
        </w:rPr>
      </w:pPr>
      <w:r>
        <w:rPr>
          <w:sz w:val="20"/>
        </w:rPr>
        <mc:AlternateContent>
          <mc:Choice Requires="wps">
            <w:drawing>
              <wp:inline distT="0" distB="0" distL="0" distR="0">
                <wp:extent cx="4043679" cy="699770"/>
                <wp:effectExtent l="0" t="0" r="0" b="0"/>
                <wp:docPr id="173" name="Group 173"/>
                <wp:cNvGraphicFramePr>
                  <a:graphicFrameLocks/>
                </wp:cNvGraphicFramePr>
                <a:graphic>
                  <a:graphicData uri="http://schemas.microsoft.com/office/word/2010/wordprocessingGroup">
                    <wpg:wgp>
                      <wpg:cNvPr id="173" name="Group 173"/>
                      <wpg:cNvGrpSpPr/>
                      <wpg:grpSpPr>
                        <a:xfrm>
                          <a:off x="0" y="0"/>
                          <a:ext cx="4043679" cy="699770"/>
                          <a:chExt cx="4043679" cy="699770"/>
                        </a:xfrm>
                      </wpg:grpSpPr>
                      <wps:wsp>
                        <wps:cNvPr id="174" name="Graphic 174"/>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169" coordorigin="0,0" coordsize="6368,1102">
                <v:rect style="position:absolute;left:0;top:0;width:6368;height:1102" id="docshape170"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27264">
                <wp:simplePos x="0" y="0"/>
                <wp:positionH relativeFrom="page">
                  <wp:posOffset>3511295</wp:posOffset>
                </wp:positionH>
                <wp:positionV relativeFrom="paragraph">
                  <wp:posOffset>272922</wp:posOffset>
                </wp:positionV>
                <wp:extent cx="728980" cy="655320"/>
                <wp:effectExtent l="0" t="0" r="0" b="0"/>
                <wp:wrapTopAndBottom/>
                <wp:docPr id="175" name="Group 175"/>
                <wp:cNvGraphicFramePr>
                  <a:graphicFrameLocks/>
                </wp:cNvGraphicFramePr>
                <a:graphic>
                  <a:graphicData uri="http://schemas.microsoft.com/office/word/2010/wordprocessingGroup">
                    <wpg:wgp>
                      <wpg:cNvPr id="175" name="Group 175"/>
                      <wpg:cNvGrpSpPr/>
                      <wpg:grpSpPr>
                        <a:xfrm>
                          <a:off x="0" y="0"/>
                          <a:ext cx="728980" cy="655320"/>
                          <a:chExt cx="728980" cy="655320"/>
                        </a:xfrm>
                      </wpg:grpSpPr>
                      <pic:pic>
                        <pic:nvPicPr>
                          <pic:cNvPr id="176" name="Image 176"/>
                          <pic:cNvPicPr/>
                        </pic:nvPicPr>
                        <pic:blipFill>
                          <a:blip r:embed="rId78" cstate="print"/>
                          <a:stretch>
                            <a:fillRect/>
                          </a:stretch>
                        </pic:blipFill>
                        <pic:spPr>
                          <a:xfrm>
                            <a:off x="0" y="0"/>
                            <a:ext cx="728472" cy="655320"/>
                          </a:xfrm>
                          <a:prstGeom prst="rect">
                            <a:avLst/>
                          </a:prstGeom>
                        </pic:spPr>
                      </pic:pic>
                      <wps:wsp>
                        <wps:cNvPr id="177" name="Textbox 177"/>
                        <wps:cNvSpPr txBox="1"/>
                        <wps:spPr>
                          <a:xfrm>
                            <a:off x="0" y="0"/>
                            <a:ext cx="728980" cy="655320"/>
                          </a:xfrm>
                          <a:prstGeom prst="rect">
                            <a:avLst/>
                          </a:prstGeom>
                        </wps:spPr>
                        <wps:txbx>
                          <w:txbxContent>
                            <w:p>
                              <w:pPr>
                                <w:spacing w:before="357"/>
                                <w:ind w:left="102" w:right="60" w:firstLine="0"/>
                                <w:jc w:val="center"/>
                                <w:rPr>
                                  <w:rFonts w:ascii="Tahoma"/>
                                  <w:b/>
                                  <w:sz w:val="36"/>
                                </w:rPr>
                              </w:pPr>
                              <w:r>
                                <w:rPr>
                                  <w:rFonts w:ascii="Tahoma"/>
                                  <w:b/>
                                  <w:spacing w:val="-10"/>
                                  <w:w w:val="95"/>
                                  <w:sz w:val="36"/>
                                </w:rPr>
                                <w:t>2</w:t>
                              </w:r>
                            </w:p>
                          </w:txbxContent>
                        </wps:txbx>
                        <wps:bodyPr wrap="square" lIns="0" tIns="0" rIns="0" bIns="0" rtlCol="0">
                          <a:noAutofit/>
                        </wps:bodyPr>
                      </wps:wsp>
                    </wpg:wgp>
                  </a:graphicData>
                </a:graphic>
              </wp:anchor>
            </w:drawing>
          </mc:Choice>
          <mc:Fallback>
            <w:pict>
              <v:group style="position:absolute;margin-left:276.47998pt;margin-top:21.489992pt;width:57.4pt;height:51.6pt;mso-position-horizontal-relative:page;mso-position-vertical-relative:paragraph;z-index:-15689216;mso-wrap-distance-left:0;mso-wrap-distance-right:0" id="docshapegroup171" coordorigin="5530,430" coordsize="1148,1032">
                <v:shape style="position:absolute;left:5529;top:429;width:1148;height:1032" type="#_x0000_t75" id="docshape172" stroked="false">
                  <v:imagedata r:id="rId78" o:title=""/>
                </v:shape>
                <v:shape style="position:absolute;left:5529;top:429;width:1148;height:1032" type="#_x0000_t202" id="docshape173" filled="false" stroked="false">
                  <v:textbox inset="0,0,0,0">
                    <w:txbxContent>
                      <w:p>
                        <w:pPr>
                          <w:spacing w:before="357"/>
                          <w:ind w:left="102" w:right="60" w:firstLine="0"/>
                          <w:jc w:val="center"/>
                          <w:rPr>
                            <w:rFonts w:ascii="Tahoma"/>
                            <w:b/>
                            <w:sz w:val="36"/>
                          </w:rPr>
                        </w:pPr>
                        <w:r>
                          <w:rPr>
                            <w:rFonts w:ascii="Tahoma"/>
                            <w:b/>
                            <w:spacing w:val="-10"/>
                            <w:w w:val="95"/>
                            <w:sz w:val="36"/>
                          </w:rPr>
                          <w:t>2</w:t>
                        </w:r>
                      </w:p>
                    </w:txbxContent>
                  </v:textbox>
                  <w10:wrap type="none"/>
                </v:shape>
                <w10:wrap type="topAndBottom"/>
              </v:group>
            </w:pict>
          </mc:Fallback>
        </mc:AlternateContent>
      </w:r>
    </w:p>
    <w:p>
      <w:pPr>
        <w:pStyle w:val="Heading1"/>
        <w:spacing w:line="211" w:lineRule="auto" w:before="11"/>
        <w:ind w:left="1352" w:right="1359"/>
      </w:pPr>
      <w:r>
        <w:rPr>
          <w:spacing w:val="-8"/>
        </w:rPr>
        <w:t>The</w:t>
      </w:r>
      <w:r>
        <w:rPr>
          <w:spacing w:val="-14"/>
        </w:rPr>
        <w:t> </w:t>
      </w:r>
      <w:r>
        <w:rPr>
          <w:spacing w:val="-8"/>
        </w:rPr>
        <w:t>Timeless</w:t>
      </w:r>
      <w:r>
        <w:rPr>
          <w:spacing w:val="-14"/>
        </w:rPr>
        <w:t> </w:t>
      </w:r>
      <w:r>
        <w:rPr>
          <w:spacing w:val="-8"/>
        </w:rPr>
        <w:t>Beauty</w:t>
      </w:r>
      <w:r>
        <w:rPr>
          <w:spacing w:val="-12"/>
        </w:rPr>
        <w:t> </w:t>
      </w:r>
      <w:r>
        <w:rPr>
          <w:spacing w:val="-8"/>
        </w:rPr>
        <w:t>of</w:t>
      </w:r>
      <w:r>
        <w:rPr>
          <w:spacing w:val="-16"/>
        </w:rPr>
        <w:t> </w:t>
      </w:r>
      <w:r>
        <w:rPr>
          <w:spacing w:val="-8"/>
        </w:rPr>
        <w:t>Shakespeare: </w:t>
      </w:r>
      <w:r>
        <w:rPr/>
        <w:t>Universality, Language, and the</w:t>
      </w:r>
    </w:p>
    <w:p>
      <w:pPr>
        <w:tabs>
          <w:tab w:pos="1523" w:val="left" w:leader="none"/>
          <w:tab w:pos="5759" w:val="left" w:leader="none"/>
        </w:tabs>
        <w:spacing w:line="347" w:lineRule="exact" w:before="0"/>
        <w:ind w:left="0" w:right="0" w:firstLine="0"/>
        <w:jc w:val="center"/>
        <w:rPr>
          <w:rFonts w:ascii="Tahoma"/>
          <w:b/>
          <w:sz w:val="32"/>
        </w:rPr>
      </w:pPr>
      <w:r>
        <w:rPr>
          <w:sz w:val="32"/>
          <w:u w:val="single"/>
        </w:rPr>
        <w:tab/>
      </w:r>
      <w:r>
        <w:rPr>
          <w:rFonts w:ascii="Tahoma"/>
          <w:b/>
          <w:spacing w:val="-5"/>
          <w:sz w:val="32"/>
          <w:u w:val="single"/>
        </w:rPr>
        <w:t>Human</w:t>
      </w:r>
      <w:r>
        <w:rPr>
          <w:rFonts w:ascii="Tahoma"/>
          <w:b/>
          <w:spacing w:val="-14"/>
          <w:sz w:val="32"/>
          <w:u w:val="single"/>
        </w:rPr>
        <w:t> </w:t>
      </w:r>
      <w:r>
        <w:rPr>
          <w:rFonts w:ascii="Tahoma"/>
          <w:b/>
          <w:spacing w:val="-2"/>
          <w:sz w:val="32"/>
          <w:u w:val="single"/>
        </w:rPr>
        <w:t>Condition</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627776">
                <wp:simplePos x="0" y="0"/>
                <wp:positionH relativeFrom="page">
                  <wp:posOffset>2057400</wp:posOffset>
                </wp:positionH>
                <wp:positionV relativeFrom="paragraph">
                  <wp:posOffset>60178</wp:posOffset>
                </wp:positionV>
                <wp:extent cx="3657600" cy="7620"/>
                <wp:effectExtent l="0" t="0" r="0" b="0"/>
                <wp:wrapTopAndBottom/>
                <wp:docPr id="178" name="Graphic 178"/>
                <wp:cNvGraphicFramePr>
                  <a:graphicFrameLocks/>
                </wp:cNvGraphicFramePr>
                <a:graphic>
                  <a:graphicData uri="http://schemas.microsoft.com/office/word/2010/wordprocessingShape">
                    <wps:wsp>
                      <wps:cNvPr id="178" name="Graphic 178"/>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38456pt;width:288.000009pt;height:.599991pt;mso-position-horizontal-relative:page;mso-position-vertical-relative:paragraph;z-index:-15688704;mso-wrap-distance-left:0;mso-wrap-distance-right:0" id="docshape174"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9"/>
        <w:jc w:val="right"/>
        <w:rPr>
          <w:rFonts w:ascii="Times New Roman"/>
        </w:rPr>
      </w:pPr>
      <w:r>
        <w:rPr>
          <w:rFonts w:ascii="Times New Roman"/>
        </w:rPr>
        <w:t>Dr.</w:t>
      </w:r>
      <w:r>
        <w:rPr>
          <w:rFonts w:ascii="Times New Roman"/>
          <w:spacing w:val="50"/>
        </w:rPr>
        <w:t> </w:t>
      </w:r>
      <w:r>
        <w:rPr>
          <w:rFonts w:ascii="Times New Roman"/>
        </w:rPr>
        <w:t>E.</w:t>
      </w:r>
      <w:r>
        <w:rPr>
          <w:rFonts w:ascii="Times New Roman"/>
          <w:spacing w:val="52"/>
        </w:rPr>
        <w:t> </w:t>
      </w:r>
      <w:r>
        <w:rPr>
          <w:rFonts w:ascii="Times New Roman"/>
        </w:rPr>
        <w:t>Ram</w:t>
      </w:r>
      <w:r>
        <w:rPr>
          <w:rFonts w:ascii="Times New Roman"/>
          <w:spacing w:val="53"/>
        </w:rPr>
        <w:t> </w:t>
      </w:r>
      <w:r>
        <w:rPr>
          <w:rFonts w:ascii="Times New Roman"/>
        </w:rPr>
        <w:t>Bhaskar</w:t>
      </w:r>
      <w:r>
        <w:rPr>
          <w:rFonts w:ascii="Times New Roman"/>
          <w:spacing w:val="53"/>
        </w:rPr>
        <w:t> </w:t>
      </w:r>
      <w:r>
        <w:rPr>
          <w:rFonts w:ascii="Times New Roman"/>
          <w:spacing w:val="-4"/>
        </w:rPr>
        <w:t>Raju</w:t>
      </w:r>
    </w:p>
    <w:p>
      <w:pPr>
        <w:spacing w:line="249" w:lineRule="auto" w:before="15"/>
        <w:ind w:left="1485" w:right="1435" w:firstLine="1125"/>
        <w:jc w:val="right"/>
        <w:rPr>
          <w:i/>
          <w:sz w:val="19"/>
        </w:rPr>
      </w:pPr>
      <w:r>
        <w:rPr>
          <w:i/>
          <w:sz w:val="19"/>
        </w:rPr>
        <w:t>Corresponding</w:t>
      </w:r>
      <w:r>
        <w:rPr>
          <w:i/>
          <w:spacing w:val="40"/>
          <w:sz w:val="19"/>
        </w:rPr>
        <w:t> </w:t>
      </w:r>
      <w:r>
        <w:rPr>
          <w:i/>
          <w:sz w:val="19"/>
        </w:rPr>
        <w:t>Author,</w:t>
      </w:r>
      <w:r>
        <w:rPr>
          <w:i/>
          <w:spacing w:val="40"/>
          <w:sz w:val="19"/>
        </w:rPr>
        <w:t> </w:t>
      </w:r>
      <w:r>
        <w:rPr>
          <w:i/>
          <w:sz w:val="19"/>
        </w:rPr>
        <w:t>Associate</w:t>
      </w:r>
      <w:r>
        <w:rPr>
          <w:i/>
          <w:spacing w:val="40"/>
          <w:sz w:val="19"/>
        </w:rPr>
        <w:t> </w:t>
      </w:r>
      <w:r>
        <w:rPr>
          <w:i/>
          <w:sz w:val="19"/>
        </w:rPr>
        <w:t>Professor</w:t>
      </w:r>
      <w:r>
        <w:rPr>
          <w:i/>
          <w:spacing w:val="40"/>
          <w:sz w:val="19"/>
        </w:rPr>
        <w:t> </w:t>
      </w:r>
      <w:r>
        <w:rPr>
          <w:i/>
          <w:sz w:val="19"/>
        </w:rPr>
        <w:t>of</w:t>
      </w:r>
      <w:r>
        <w:rPr>
          <w:i/>
          <w:spacing w:val="40"/>
          <w:sz w:val="19"/>
        </w:rPr>
        <w:t> </w:t>
      </w:r>
      <w:r>
        <w:rPr>
          <w:i/>
          <w:sz w:val="19"/>
        </w:rPr>
        <w:t>English, Kakatiya</w:t>
      </w:r>
      <w:r>
        <w:rPr>
          <w:i/>
          <w:spacing w:val="79"/>
          <w:sz w:val="19"/>
        </w:rPr>
        <w:t> </w:t>
      </w:r>
      <w:r>
        <w:rPr>
          <w:i/>
          <w:sz w:val="19"/>
        </w:rPr>
        <w:t>Government</w:t>
      </w:r>
      <w:r>
        <w:rPr>
          <w:i/>
          <w:spacing w:val="59"/>
          <w:w w:val="150"/>
          <w:sz w:val="19"/>
        </w:rPr>
        <w:t> </w:t>
      </w:r>
      <w:r>
        <w:rPr>
          <w:i/>
          <w:sz w:val="19"/>
        </w:rPr>
        <w:t>College</w:t>
      </w:r>
      <w:r>
        <w:rPr>
          <w:i/>
          <w:spacing w:val="58"/>
          <w:w w:val="150"/>
          <w:sz w:val="19"/>
        </w:rPr>
        <w:t> </w:t>
      </w:r>
      <w:r>
        <w:rPr>
          <w:i/>
          <w:sz w:val="19"/>
        </w:rPr>
        <w:t>(A),</w:t>
      </w:r>
      <w:r>
        <w:rPr>
          <w:i/>
          <w:spacing w:val="60"/>
          <w:w w:val="150"/>
          <w:sz w:val="19"/>
        </w:rPr>
        <w:t> </w:t>
      </w:r>
      <w:r>
        <w:rPr>
          <w:i/>
          <w:sz w:val="19"/>
        </w:rPr>
        <w:t>Hanumakonda,</w:t>
      </w:r>
      <w:r>
        <w:rPr>
          <w:i/>
          <w:spacing w:val="57"/>
          <w:w w:val="150"/>
          <w:sz w:val="19"/>
        </w:rPr>
        <w:t> </w:t>
      </w:r>
      <w:r>
        <w:rPr>
          <w:i/>
          <w:sz w:val="19"/>
        </w:rPr>
        <w:t>Telangana</w:t>
      </w:r>
      <w:r>
        <w:rPr>
          <w:i/>
          <w:spacing w:val="60"/>
          <w:w w:val="150"/>
          <w:sz w:val="19"/>
        </w:rPr>
        <w:t> </w:t>
      </w:r>
      <w:r>
        <w:rPr>
          <w:i/>
          <w:spacing w:val="-2"/>
          <w:sz w:val="19"/>
        </w:rPr>
        <w:t>State</w:t>
      </w:r>
    </w:p>
    <w:p>
      <w:pPr>
        <w:spacing w:line="252" w:lineRule="auto" w:before="214"/>
        <w:ind w:left="1905" w:right="1435" w:firstLine="3825"/>
        <w:jc w:val="right"/>
        <w:rPr>
          <w:i/>
          <w:sz w:val="19"/>
        </w:rPr>
      </w:pPr>
      <w:r>
        <w:rPr>
          <w:b/>
          <w:i/>
          <w:sz w:val="22"/>
        </w:rPr>
        <w:t>Dr.</w:t>
      </w:r>
      <w:r>
        <w:rPr>
          <w:b/>
          <w:i/>
          <w:spacing w:val="32"/>
          <w:sz w:val="22"/>
        </w:rPr>
        <w:t> </w:t>
      </w:r>
      <w:r>
        <w:rPr>
          <w:b/>
          <w:i/>
          <w:sz w:val="22"/>
        </w:rPr>
        <w:t>T.</w:t>
      </w:r>
      <w:r>
        <w:rPr>
          <w:b/>
          <w:i/>
          <w:spacing w:val="33"/>
          <w:sz w:val="22"/>
        </w:rPr>
        <w:t> </w:t>
      </w:r>
      <w:r>
        <w:rPr>
          <w:b/>
          <w:i/>
          <w:sz w:val="22"/>
        </w:rPr>
        <w:t>Kalpana </w:t>
      </w:r>
      <w:r>
        <w:rPr>
          <w:i/>
          <w:sz w:val="19"/>
        </w:rPr>
        <w:t>Co-Author,</w:t>
      </w:r>
      <w:r>
        <w:rPr>
          <w:i/>
          <w:spacing w:val="40"/>
          <w:sz w:val="19"/>
        </w:rPr>
        <w:t> </w:t>
      </w:r>
      <w:r>
        <w:rPr>
          <w:i/>
          <w:sz w:val="19"/>
        </w:rPr>
        <w:t>Associate</w:t>
      </w:r>
      <w:r>
        <w:rPr>
          <w:i/>
          <w:spacing w:val="40"/>
          <w:sz w:val="19"/>
        </w:rPr>
        <w:t> </w:t>
      </w:r>
      <w:r>
        <w:rPr>
          <w:i/>
          <w:sz w:val="19"/>
        </w:rPr>
        <w:t>Professor</w:t>
      </w:r>
      <w:r>
        <w:rPr>
          <w:i/>
          <w:spacing w:val="40"/>
          <w:sz w:val="19"/>
        </w:rPr>
        <w:t> </w:t>
      </w:r>
      <w:r>
        <w:rPr>
          <w:i/>
          <w:sz w:val="19"/>
        </w:rPr>
        <w:t>of</w:t>
      </w:r>
      <w:r>
        <w:rPr>
          <w:i/>
          <w:spacing w:val="40"/>
          <w:sz w:val="19"/>
        </w:rPr>
        <w:t> </w:t>
      </w:r>
      <w:r>
        <w:rPr>
          <w:i/>
          <w:sz w:val="19"/>
        </w:rPr>
        <w:t>English,</w:t>
      </w:r>
      <w:r>
        <w:rPr>
          <w:i/>
          <w:spacing w:val="40"/>
          <w:sz w:val="19"/>
        </w:rPr>
        <w:t> </w:t>
      </w:r>
      <w:r>
        <w:rPr>
          <w:i/>
          <w:sz w:val="19"/>
        </w:rPr>
        <w:t>Government</w:t>
      </w:r>
      <w:r>
        <w:rPr>
          <w:i/>
          <w:spacing w:val="40"/>
          <w:sz w:val="19"/>
        </w:rPr>
        <w:t> </w:t>
      </w:r>
      <w:r>
        <w:rPr>
          <w:i/>
          <w:sz w:val="19"/>
        </w:rPr>
        <w:t>Degree College,</w:t>
      </w:r>
      <w:r>
        <w:rPr>
          <w:i/>
          <w:spacing w:val="80"/>
          <w:sz w:val="19"/>
        </w:rPr>
        <w:t> </w:t>
      </w:r>
      <w:r>
        <w:rPr>
          <w:i/>
          <w:sz w:val="19"/>
        </w:rPr>
        <w:t>Parkal,</w:t>
      </w:r>
      <w:r>
        <w:rPr>
          <w:i/>
          <w:spacing w:val="80"/>
          <w:sz w:val="19"/>
        </w:rPr>
        <w:t> </w:t>
      </w:r>
      <w:r>
        <w:rPr>
          <w:i/>
          <w:sz w:val="19"/>
        </w:rPr>
        <w:t>Dist.</w:t>
      </w:r>
      <w:r>
        <w:rPr>
          <w:i/>
          <w:spacing w:val="80"/>
          <w:sz w:val="19"/>
        </w:rPr>
        <w:t> </w:t>
      </w:r>
      <w:r>
        <w:rPr>
          <w:i/>
          <w:sz w:val="19"/>
        </w:rPr>
        <w:t>Hanamkonda,</w:t>
      </w:r>
      <w:r>
        <w:rPr>
          <w:i/>
          <w:spacing w:val="80"/>
          <w:sz w:val="19"/>
        </w:rPr>
        <w:t> </w:t>
      </w:r>
      <w:r>
        <w:rPr>
          <w:i/>
          <w:sz w:val="19"/>
        </w:rPr>
        <w:t>Telangana</w:t>
      </w:r>
      <w:r>
        <w:rPr>
          <w:i/>
          <w:spacing w:val="80"/>
          <w:sz w:val="19"/>
        </w:rPr>
        <w:t> </w:t>
      </w:r>
      <w:r>
        <w:rPr>
          <w:i/>
          <w:sz w:val="19"/>
        </w:rPr>
        <w:t>State</w:t>
      </w:r>
    </w:p>
    <w:p>
      <w:pPr>
        <w:pStyle w:val="BodyText"/>
        <w:spacing w:before="150"/>
        <w:ind w:left="0"/>
        <w:rPr>
          <w:i/>
          <w:sz w:val="19"/>
        </w:rPr>
      </w:pPr>
    </w:p>
    <w:p>
      <w:pPr>
        <w:pStyle w:val="Heading3"/>
        <w:spacing w:before="1"/>
      </w:pPr>
      <w:r>
        <w:rPr>
          <w:spacing w:val="-2"/>
        </w:rPr>
        <w:t>ABSTRACT</w:t>
      </w:r>
    </w:p>
    <w:p>
      <w:pPr>
        <w:pStyle w:val="BodyText"/>
        <w:spacing w:line="249" w:lineRule="auto" w:before="75"/>
        <w:ind w:right="1438" w:firstLine="432"/>
        <w:jc w:val="both"/>
      </w:pPr>
      <w:r>
        <w:rPr/>
        <w:t>William Shakespeare’s universality is a complex, multifaceted phenomenon attributed to his unparalleled ability to depict universal human experiences. Intellectual criticism of Shakespeare’s “timeless beauty”</w:t>
      </w:r>
      <w:r>
        <w:rPr>
          <w:spacing w:val="-10"/>
        </w:rPr>
        <w:t> </w:t>
      </w:r>
      <w:r>
        <w:rPr/>
        <w:t>often</w:t>
      </w:r>
      <w:r>
        <w:rPr>
          <w:spacing w:val="-11"/>
        </w:rPr>
        <w:t> </w:t>
      </w:r>
      <w:r>
        <w:rPr/>
        <w:t>grapples</w:t>
      </w:r>
      <w:r>
        <w:rPr>
          <w:spacing w:val="-10"/>
        </w:rPr>
        <w:t> </w:t>
      </w:r>
      <w:r>
        <w:rPr/>
        <w:t>with</w:t>
      </w:r>
      <w:r>
        <w:rPr>
          <w:spacing w:val="-13"/>
        </w:rPr>
        <w:t> </w:t>
      </w:r>
      <w:r>
        <w:rPr/>
        <w:t>the</w:t>
      </w:r>
      <w:r>
        <w:rPr>
          <w:spacing w:val="-11"/>
        </w:rPr>
        <w:t> </w:t>
      </w:r>
      <w:r>
        <w:rPr/>
        <w:t>tension</w:t>
      </w:r>
      <w:r>
        <w:rPr>
          <w:spacing w:val="-11"/>
        </w:rPr>
        <w:t> </w:t>
      </w:r>
      <w:r>
        <w:rPr/>
        <w:t>between</w:t>
      </w:r>
      <w:r>
        <w:rPr>
          <w:spacing w:val="-10"/>
        </w:rPr>
        <w:t> </w:t>
      </w:r>
      <w:r>
        <w:rPr/>
        <w:t>his</w:t>
      </w:r>
      <w:r>
        <w:rPr>
          <w:spacing w:val="-11"/>
        </w:rPr>
        <w:t> </w:t>
      </w:r>
      <w:r>
        <w:rPr/>
        <w:t>historical</w:t>
      </w:r>
      <w:r>
        <w:rPr>
          <w:spacing w:val="-10"/>
        </w:rPr>
        <w:t> </w:t>
      </w:r>
      <w:r>
        <w:rPr/>
        <w:t>specificity and</w:t>
      </w:r>
      <w:r>
        <w:rPr>
          <w:spacing w:val="34"/>
        </w:rPr>
        <w:t> </w:t>
      </w:r>
      <w:r>
        <w:rPr/>
        <w:t>his</w:t>
      </w:r>
      <w:r>
        <w:rPr>
          <w:spacing w:val="32"/>
        </w:rPr>
        <w:t> </w:t>
      </w:r>
      <w:r>
        <w:rPr/>
        <w:t>enduring aesthetic</w:t>
      </w:r>
      <w:r>
        <w:rPr>
          <w:spacing w:val="34"/>
        </w:rPr>
        <w:t> </w:t>
      </w:r>
      <w:r>
        <w:rPr/>
        <w:t>appeal.</w:t>
      </w:r>
      <w:r>
        <w:rPr>
          <w:spacing w:val="32"/>
        </w:rPr>
        <w:t> </w:t>
      </w:r>
      <w:r>
        <w:rPr/>
        <w:t>Critics</w:t>
      </w:r>
      <w:r>
        <w:rPr>
          <w:spacing w:val="34"/>
        </w:rPr>
        <w:t> </w:t>
      </w:r>
      <w:r>
        <w:rPr/>
        <w:t>suggest</w:t>
      </w:r>
      <w:r>
        <w:rPr>
          <w:spacing w:val="32"/>
        </w:rPr>
        <w:t> </w:t>
      </w:r>
      <w:r>
        <w:rPr/>
        <w:t>that</w:t>
      </w:r>
      <w:r>
        <w:rPr>
          <w:spacing w:val="34"/>
        </w:rPr>
        <w:t> </w:t>
      </w:r>
      <w:r>
        <w:rPr/>
        <w:t>this beauty</w:t>
      </w:r>
      <w:r>
        <w:rPr>
          <w:spacing w:val="32"/>
        </w:rPr>
        <w:t> </w:t>
      </w:r>
      <w:r>
        <w:rPr/>
        <w:t>is not a static, ethereal quality, but rather a dynamic interaction between </w:t>
      </w:r>
      <w:r>
        <w:rPr>
          <w:spacing w:val="-2"/>
        </w:rPr>
        <w:t>the</w:t>
      </w:r>
      <w:r>
        <w:rPr>
          <w:spacing w:val="-6"/>
        </w:rPr>
        <w:t> </w:t>
      </w:r>
      <w:r>
        <w:rPr>
          <w:spacing w:val="-2"/>
        </w:rPr>
        <w:t>text</w:t>
      </w:r>
      <w:r>
        <w:rPr>
          <w:spacing w:val="-4"/>
        </w:rPr>
        <w:t> </w:t>
      </w:r>
      <w:r>
        <w:rPr>
          <w:spacing w:val="-2"/>
        </w:rPr>
        <w:t>and</w:t>
      </w:r>
      <w:r>
        <w:rPr>
          <w:spacing w:val="-6"/>
        </w:rPr>
        <w:t> </w:t>
      </w:r>
      <w:r>
        <w:rPr>
          <w:spacing w:val="-2"/>
        </w:rPr>
        <w:t>the</w:t>
      </w:r>
      <w:r>
        <w:rPr>
          <w:spacing w:val="-6"/>
        </w:rPr>
        <w:t> </w:t>
      </w:r>
      <w:r>
        <w:rPr>
          <w:spacing w:val="-2"/>
        </w:rPr>
        <w:t>evolving</w:t>
      </w:r>
      <w:r>
        <w:rPr>
          <w:spacing w:val="-9"/>
        </w:rPr>
        <w:t> </w:t>
      </w:r>
      <w:r>
        <w:rPr>
          <w:spacing w:val="-2"/>
        </w:rPr>
        <w:t>human</w:t>
      </w:r>
      <w:r>
        <w:rPr>
          <w:spacing w:val="-6"/>
        </w:rPr>
        <w:t> </w:t>
      </w:r>
      <w:r>
        <w:rPr>
          <w:spacing w:val="-2"/>
        </w:rPr>
        <w:t>psyche.</w:t>
      </w:r>
      <w:r>
        <w:rPr>
          <w:spacing w:val="-6"/>
        </w:rPr>
        <w:t> </w:t>
      </w:r>
      <w:r>
        <w:rPr>
          <w:spacing w:val="-2"/>
        </w:rPr>
        <w:t>This</w:t>
      </w:r>
      <w:r>
        <w:rPr>
          <w:spacing w:val="-6"/>
        </w:rPr>
        <w:t> </w:t>
      </w:r>
      <w:r>
        <w:rPr>
          <w:spacing w:val="-2"/>
        </w:rPr>
        <w:t>paper</w:t>
      </w:r>
      <w:r>
        <w:rPr>
          <w:spacing w:val="-6"/>
        </w:rPr>
        <w:t> </w:t>
      </w:r>
      <w:r>
        <w:rPr>
          <w:spacing w:val="-2"/>
        </w:rPr>
        <w:t>explores</w:t>
      </w:r>
      <w:r>
        <w:rPr>
          <w:spacing w:val="-6"/>
        </w:rPr>
        <w:t> </w:t>
      </w:r>
      <w:r>
        <w:rPr>
          <w:spacing w:val="-2"/>
        </w:rPr>
        <w:t>the</w:t>
      </w:r>
      <w:r>
        <w:rPr>
          <w:spacing w:val="-6"/>
        </w:rPr>
        <w:t> </w:t>
      </w:r>
      <w:r>
        <w:rPr>
          <w:spacing w:val="-2"/>
        </w:rPr>
        <w:t>enduring </w:t>
      </w:r>
      <w:r>
        <w:rPr/>
        <w:t>relevance of his works, arguing that his celebrated “timelessness” is rooted not in a sanitised detachment from reality, but in an unflinching mastery</w:t>
      </w:r>
      <w:r>
        <w:rPr>
          <w:spacing w:val="-8"/>
        </w:rPr>
        <w:t> </w:t>
      </w:r>
      <w:r>
        <w:rPr/>
        <w:t>of</w:t>
      </w:r>
      <w:r>
        <w:rPr>
          <w:spacing w:val="-6"/>
        </w:rPr>
        <w:t> </w:t>
      </w:r>
      <w:r>
        <w:rPr/>
        <w:t>the</w:t>
      </w:r>
      <w:r>
        <w:rPr>
          <w:spacing w:val="-1"/>
        </w:rPr>
        <w:t> </w:t>
      </w:r>
      <w:r>
        <w:rPr/>
        <w:t>chaotic,</w:t>
      </w:r>
      <w:r>
        <w:rPr>
          <w:spacing w:val="-4"/>
        </w:rPr>
        <w:t> </w:t>
      </w:r>
      <w:r>
        <w:rPr/>
        <w:t>visceral</w:t>
      </w:r>
      <w:r>
        <w:rPr>
          <w:spacing w:val="-6"/>
        </w:rPr>
        <w:t> </w:t>
      </w:r>
      <w:r>
        <w:rPr/>
        <w:t>environment</w:t>
      </w:r>
      <w:r>
        <w:rPr>
          <w:spacing w:val="-4"/>
        </w:rPr>
        <w:t> </w:t>
      </w:r>
      <w:r>
        <w:rPr/>
        <w:t>of</w:t>
      </w:r>
      <w:r>
        <w:rPr>
          <w:spacing w:val="-4"/>
        </w:rPr>
        <w:t> </w:t>
      </w:r>
      <w:r>
        <w:rPr/>
        <w:t>1590s</w:t>
      </w:r>
      <w:r>
        <w:rPr>
          <w:spacing w:val="-6"/>
        </w:rPr>
        <w:t> </w:t>
      </w:r>
      <w:r>
        <w:rPr/>
        <w:t>London.</w:t>
      </w:r>
      <w:r>
        <w:rPr>
          <w:spacing w:val="-4"/>
        </w:rPr>
        <w:t> </w:t>
      </w:r>
      <w:r>
        <w:rPr/>
        <w:t>Through profound linguistic innovation, the creation of multi-dimensional psychological anti-heroes, and the design of adaptable, “open-source” </w:t>
      </w:r>
      <w:r>
        <w:rPr>
          <w:spacing w:val="-2"/>
        </w:rPr>
        <w:t>theatrical</w:t>
      </w:r>
      <w:r>
        <w:rPr>
          <w:spacing w:val="-11"/>
        </w:rPr>
        <w:t> </w:t>
      </w:r>
      <w:r>
        <w:rPr>
          <w:spacing w:val="-2"/>
        </w:rPr>
        <w:t>blueprints,</w:t>
      </w:r>
      <w:r>
        <w:rPr>
          <w:spacing w:val="-10"/>
        </w:rPr>
        <w:t> </w:t>
      </w:r>
      <w:r>
        <w:rPr>
          <w:spacing w:val="-2"/>
        </w:rPr>
        <w:t>Shakespeare</w:t>
      </w:r>
      <w:r>
        <w:rPr>
          <w:spacing w:val="-9"/>
        </w:rPr>
        <w:t> </w:t>
      </w:r>
      <w:r>
        <w:rPr>
          <w:spacing w:val="-2"/>
        </w:rPr>
        <w:t>mapped</w:t>
      </w:r>
      <w:r>
        <w:rPr>
          <w:spacing w:val="-6"/>
        </w:rPr>
        <w:t> </w:t>
      </w:r>
      <w:r>
        <w:rPr>
          <w:spacing w:val="-2"/>
        </w:rPr>
        <w:t>the</w:t>
      </w:r>
      <w:r>
        <w:rPr>
          <w:spacing w:val="-9"/>
        </w:rPr>
        <w:t> </w:t>
      </w:r>
      <w:r>
        <w:rPr>
          <w:spacing w:val="-2"/>
        </w:rPr>
        <w:t>human</w:t>
      </w:r>
      <w:r>
        <w:rPr>
          <w:spacing w:val="-11"/>
        </w:rPr>
        <w:t> </w:t>
      </w:r>
      <w:r>
        <w:rPr>
          <w:spacing w:val="-2"/>
        </w:rPr>
        <w:t>genome</w:t>
      </w:r>
      <w:r>
        <w:rPr>
          <w:spacing w:val="-9"/>
        </w:rPr>
        <w:t> </w:t>
      </w:r>
      <w:r>
        <w:rPr>
          <w:spacing w:val="-2"/>
        </w:rPr>
        <w:t>of</w:t>
      </w:r>
      <w:r>
        <w:rPr>
          <w:spacing w:val="-11"/>
        </w:rPr>
        <w:t> </w:t>
      </w:r>
      <w:r>
        <w:rPr>
          <w:spacing w:val="-2"/>
        </w:rPr>
        <w:t>emotion. </w:t>
      </w:r>
      <w:r>
        <w:rPr/>
        <w:t>This research demonstrates that Shakespeare’s works continue to serve as a vital empathy machine and an indispensable survival manual for navigating</w:t>
      </w:r>
      <w:r>
        <w:rPr>
          <w:spacing w:val="14"/>
        </w:rPr>
        <w:t> </w:t>
      </w:r>
      <w:r>
        <w:rPr/>
        <w:t>the</w:t>
      </w:r>
      <w:r>
        <w:rPr>
          <w:spacing w:val="13"/>
        </w:rPr>
        <w:t> </w:t>
      </w:r>
      <w:r>
        <w:rPr/>
        <w:t>human</w:t>
      </w:r>
      <w:r>
        <w:rPr>
          <w:spacing w:val="12"/>
        </w:rPr>
        <w:t> </w:t>
      </w:r>
      <w:r>
        <w:rPr/>
        <w:t>condition.</w:t>
      </w:r>
      <w:r>
        <w:rPr>
          <w:spacing w:val="14"/>
        </w:rPr>
        <w:t> </w:t>
      </w:r>
      <w:r>
        <w:rPr/>
        <w:t>The</w:t>
      </w:r>
      <w:r>
        <w:rPr>
          <w:spacing w:val="13"/>
        </w:rPr>
        <w:t> </w:t>
      </w:r>
      <w:r>
        <w:rPr/>
        <w:t>study</w:t>
      </w:r>
      <w:r>
        <w:rPr>
          <w:spacing w:val="12"/>
        </w:rPr>
        <w:t> </w:t>
      </w:r>
      <w:r>
        <w:rPr/>
        <w:t>concludes</w:t>
      </w:r>
      <w:r>
        <w:rPr>
          <w:spacing w:val="14"/>
        </w:rPr>
        <w:t> </w:t>
      </w:r>
      <w:r>
        <w:rPr/>
        <w:t>that</w:t>
      </w:r>
      <w:r>
        <w:rPr>
          <w:spacing w:val="12"/>
        </w:rPr>
        <w:t> </w:t>
      </w:r>
      <w:r>
        <w:rPr/>
        <w:t>his</w:t>
      </w:r>
      <w:r>
        <w:rPr>
          <w:spacing w:val="14"/>
        </w:rPr>
        <w:t> </w:t>
      </w:r>
      <w:r>
        <w:rPr>
          <w:spacing w:val="-2"/>
        </w:rPr>
        <w:t>survival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28800">
                <wp:simplePos x="0" y="0"/>
                <wp:positionH relativeFrom="page">
                  <wp:posOffset>2057400</wp:posOffset>
                </wp:positionH>
                <wp:positionV relativeFrom="paragraph">
                  <wp:posOffset>162604</wp:posOffset>
                </wp:positionV>
                <wp:extent cx="3657600" cy="12700"/>
                <wp:effectExtent l="0" t="0" r="0" b="0"/>
                <wp:wrapTopAndBottom/>
                <wp:docPr id="179" name="Graphic 179"/>
                <wp:cNvGraphicFramePr>
                  <a:graphicFrameLocks/>
                </wp:cNvGraphicFramePr>
                <a:graphic>
                  <a:graphicData uri="http://schemas.microsoft.com/office/word/2010/wordprocessingShape">
                    <wps:wsp>
                      <wps:cNvPr id="179" name="Graphic 17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87680;mso-wrap-distance-left:0;mso-wrap-distance-right:0" id="docshape175" filled="true" fillcolor="#000000" stroked="false">
                <v:fill type="solid"/>
                <w10:wrap type="topAndBottom"/>
              </v:rect>
            </w:pict>
          </mc:Fallback>
        </mc:AlternateContent>
      </w:r>
      <w:r>
        <w:rPr>
          <w:rFonts w:ascii="Verdana"/>
          <w:spacing w:val="-5"/>
          <w:sz w:val="18"/>
        </w:rPr>
        <w:t>26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spacing w:val="-2"/>
        </w:rPr>
        <w:t>across</w:t>
      </w:r>
      <w:r>
        <w:rPr>
          <w:spacing w:val="-6"/>
        </w:rPr>
        <w:t> </w:t>
      </w:r>
      <w:r>
        <w:rPr>
          <w:spacing w:val="-2"/>
        </w:rPr>
        <w:t>four</w:t>
      </w:r>
      <w:r>
        <w:rPr>
          <w:spacing w:val="-6"/>
        </w:rPr>
        <w:t> </w:t>
      </w:r>
      <w:r>
        <w:rPr>
          <w:spacing w:val="-2"/>
        </w:rPr>
        <w:t>centuries</w:t>
      </w:r>
      <w:r>
        <w:rPr>
          <w:spacing w:val="-8"/>
        </w:rPr>
        <w:t> </w:t>
      </w:r>
      <w:r>
        <w:rPr>
          <w:spacing w:val="-2"/>
        </w:rPr>
        <w:t>is</w:t>
      </w:r>
      <w:r>
        <w:rPr>
          <w:spacing w:val="-6"/>
        </w:rPr>
        <w:t> </w:t>
      </w:r>
      <w:r>
        <w:rPr>
          <w:spacing w:val="-2"/>
        </w:rPr>
        <w:t>predicated</w:t>
      </w:r>
      <w:r>
        <w:rPr>
          <w:spacing w:val="-6"/>
        </w:rPr>
        <w:t> </w:t>
      </w:r>
      <w:r>
        <w:rPr>
          <w:spacing w:val="-2"/>
        </w:rPr>
        <w:t>on</w:t>
      </w:r>
      <w:r>
        <w:rPr>
          <w:spacing w:val="-6"/>
        </w:rPr>
        <w:t> </w:t>
      </w:r>
      <w:r>
        <w:rPr>
          <w:spacing w:val="-2"/>
        </w:rPr>
        <w:t>his</w:t>
      </w:r>
      <w:r>
        <w:rPr>
          <w:spacing w:val="-6"/>
        </w:rPr>
        <w:t> </w:t>
      </w:r>
      <w:r>
        <w:rPr>
          <w:spacing w:val="-2"/>
        </w:rPr>
        <w:t>ability</w:t>
      </w:r>
      <w:r>
        <w:rPr>
          <w:spacing w:val="-8"/>
        </w:rPr>
        <w:t> </w:t>
      </w:r>
      <w:r>
        <w:rPr>
          <w:spacing w:val="-2"/>
        </w:rPr>
        <w:t>to</w:t>
      </w:r>
      <w:r>
        <w:rPr>
          <w:spacing w:val="-8"/>
        </w:rPr>
        <w:t> </w:t>
      </w:r>
      <w:r>
        <w:rPr>
          <w:spacing w:val="-2"/>
        </w:rPr>
        <w:t>provide</w:t>
      </w:r>
      <w:r>
        <w:rPr>
          <w:spacing w:val="-6"/>
        </w:rPr>
        <w:t> </w:t>
      </w:r>
      <w:r>
        <w:rPr>
          <w:spacing w:val="-2"/>
        </w:rPr>
        <w:t>an</w:t>
      </w:r>
      <w:r>
        <w:rPr>
          <w:spacing w:val="-6"/>
        </w:rPr>
        <w:t> </w:t>
      </w:r>
      <w:r>
        <w:rPr>
          <w:spacing w:val="-2"/>
        </w:rPr>
        <w:t>“instruction </w:t>
      </w:r>
      <w:r>
        <w:rPr/>
        <w:t>manual”</w:t>
      </w:r>
      <w:r>
        <w:rPr>
          <w:spacing w:val="7"/>
        </w:rPr>
        <w:t> </w:t>
      </w:r>
      <w:r>
        <w:rPr/>
        <w:t>for</w:t>
      </w:r>
      <w:r>
        <w:rPr>
          <w:spacing w:val="8"/>
        </w:rPr>
        <w:t> </w:t>
      </w:r>
      <w:r>
        <w:rPr/>
        <w:t>the</w:t>
      </w:r>
      <w:r>
        <w:rPr>
          <w:spacing w:val="6"/>
        </w:rPr>
        <w:t> </w:t>
      </w:r>
      <w:r>
        <w:rPr/>
        <w:t>messy</w:t>
      </w:r>
      <w:r>
        <w:rPr>
          <w:spacing w:val="5"/>
        </w:rPr>
        <w:t> </w:t>
      </w:r>
      <w:r>
        <w:rPr/>
        <w:t>and</w:t>
      </w:r>
      <w:r>
        <w:rPr>
          <w:spacing w:val="10"/>
        </w:rPr>
        <w:t> </w:t>
      </w:r>
      <w:r>
        <w:rPr/>
        <w:t>terrifying</w:t>
      </w:r>
      <w:r>
        <w:rPr>
          <w:spacing w:val="6"/>
        </w:rPr>
        <w:t> </w:t>
      </w:r>
      <w:r>
        <w:rPr/>
        <w:t>realities</w:t>
      </w:r>
      <w:r>
        <w:rPr>
          <w:spacing w:val="6"/>
        </w:rPr>
        <w:t> </w:t>
      </w:r>
      <w:r>
        <w:rPr/>
        <w:t>of</w:t>
      </w:r>
      <w:r>
        <w:rPr>
          <w:spacing w:val="6"/>
        </w:rPr>
        <w:t> </w:t>
      </w:r>
      <w:r>
        <w:rPr/>
        <w:t>human</w:t>
      </w:r>
      <w:r>
        <w:rPr>
          <w:spacing w:val="6"/>
        </w:rPr>
        <w:t> </w:t>
      </w:r>
      <w:r>
        <w:rPr>
          <w:spacing w:val="-2"/>
        </w:rPr>
        <w:t>consciousness.</w:t>
      </w:r>
    </w:p>
    <w:p>
      <w:pPr>
        <w:pStyle w:val="BodyText"/>
        <w:spacing w:line="249" w:lineRule="auto" w:before="59"/>
        <w:ind w:right="1441" w:firstLine="432"/>
        <w:jc w:val="both"/>
      </w:pPr>
      <w:r>
        <w:rPr>
          <w:b/>
          <w:spacing w:val="-2"/>
        </w:rPr>
        <w:t>(Keywords:</w:t>
      </w:r>
      <w:r>
        <w:rPr>
          <w:b/>
          <w:spacing w:val="-4"/>
        </w:rPr>
        <w:t> </w:t>
      </w:r>
      <w:r>
        <w:rPr>
          <w:spacing w:val="-2"/>
        </w:rPr>
        <w:t>William</w:t>
      </w:r>
      <w:r>
        <w:rPr>
          <w:spacing w:val="-10"/>
        </w:rPr>
        <w:t> </w:t>
      </w:r>
      <w:r>
        <w:rPr>
          <w:spacing w:val="-2"/>
        </w:rPr>
        <w:t>Shakespeare,</w:t>
      </w:r>
      <w:r>
        <w:rPr>
          <w:spacing w:val="-9"/>
        </w:rPr>
        <w:t> </w:t>
      </w:r>
      <w:r>
        <w:rPr>
          <w:spacing w:val="-2"/>
        </w:rPr>
        <w:t>Universality,</w:t>
      </w:r>
      <w:r>
        <w:rPr>
          <w:spacing w:val="-4"/>
        </w:rPr>
        <w:t> </w:t>
      </w:r>
      <w:r>
        <w:rPr>
          <w:spacing w:val="-2"/>
        </w:rPr>
        <w:t>Human</w:t>
      </w:r>
      <w:r>
        <w:rPr>
          <w:spacing w:val="-7"/>
        </w:rPr>
        <w:t> </w:t>
      </w:r>
      <w:r>
        <w:rPr>
          <w:spacing w:val="-2"/>
        </w:rPr>
        <w:t>Condition, </w:t>
      </w:r>
      <w:r>
        <w:rPr/>
        <w:t>Elizabethan Era, Feminist Literary Criticism, Theatrical Adaptation, Linguistic Innovation, New Historicism)</w:t>
      </w:r>
    </w:p>
    <w:p>
      <w:pPr>
        <w:spacing w:line="309" w:lineRule="auto" w:before="60"/>
        <w:ind w:left="2160" w:right="2401" w:firstLine="0"/>
        <w:jc w:val="left"/>
        <w:rPr>
          <w:i/>
          <w:sz w:val="20"/>
        </w:rPr>
      </w:pPr>
      <w:r>
        <w:rPr>
          <w:i/>
          <w:sz w:val="20"/>
        </w:rPr>
        <w:t>“What’s</w:t>
      </w:r>
      <w:r>
        <w:rPr>
          <w:i/>
          <w:spacing w:val="20"/>
          <w:sz w:val="20"/>
        </w:rPr>
        <w:t> </w:t>
      </w:r>
      <w:r>
        <w:rPr>
          <w:i/>
          <w:sz w:val="20"/>
        </w:rPr>
        <w:t>in</w:t>
      </w:r>
      <w:r>
        <w:rPr>
          <w:i/>
          <w:spacing w:val="24"/>
          <w:sz w:val="20"/>
        </w:rPr>
        <w:t> </w:t>
      </w:r>
      <w:r>
        <w:rPr>
          <w:i/>
          <w:sz w:val="20"/>
        </w:rPr>
        <w:t>a</w:t>
      </w:r>
      <w:r>
        <w:rPr>
          <w:i/>
          <w:spacing w:val="24"/>
          <w:sz w:val="20"/>
        </w:rPr>
        <w:t> </w:t>
      </w:r>
      <w:r>
        <w:rPr>
          <w:i/>
          <w:sz w:val="20"/>
        </w:rPr>
        <w:t>name?</w:t>
      </w:r>
      <w:r>
        <w:rPr>
          <w:i/>
          <w:spacing w:val="22"/>
          <w:sz w:val="20"/>
        </w:rPr>
        <w:t> </w:t>
      </w:r>
      <w:r>
        <w:rPr>
          <w:i/>
          <w:sz w:val="20"/>
        </w:rPr>
        <w:t>That</w:t>
      </w:r>
      <w:r>
        <w:rPr>
          <w:i/>
          <w:spacing w:val="18"/>
          <w:sz w:val="20"/>
        </w:rPr>
        <w:t> </w:t>
      </w:r>
      <w:r>
        <w:rPr>
          <w:i/>
          <w:sz w:val="20"/>
        </w:rPr>
        <w:t>which</w:t>
      </w:r>
      <w:r>
        <w:rPr>
          <w:i/>
          <w:spacing w:val="24"/>
          <w:sz w:val="20"/>
        </w:rPr>
        <w:t> </w:t>
      </w:r>
      <w:r>
        <w:rPr>
          <w:i/>
          <w:sz w:val="20"/>
        </w:rPr>
        <w:t>we</w:t>
      </w:r>
      <w:r>
        <w:rPr>
          <w:i/>
          <w:spacing w:val="23"/>
          <w:sz w:val="20"/>
        </w:rPr>
        <w:t> </w:t>
      </w:r>
      <w:r>
        <w:rPr>
          <w:i/>
          <w:sz w:val="20"/>
        </w:rPr>
        <w:t>call</w:t>
      </w:r>
      <w:r>
        <w:rPr>
          <w:i/>
          <w:spacing w:val="22"/>
          <w:sz w:val="20"/>
        </w:rPr>
        <w:t> </w:t>
      </w:r>
      <w:r>
        <w:rPr>
          <w:i/>
          <w:sz w:val="20"/>
        </w:rPr>
        <w:t>a</w:t>
      </w:r>
      <w:r>
        <w:rPr>
          <w:i/>
          <w:spacing w:val="24"/>
          <w:sz w:val="20"/>
        </w:rPr>
        <w:t> </w:t>
      </w:r>
      <w:r>
        <w:rPr>
          <w:i/>
          <w:sz w:val="20"/>
        </w:rPr>
        <w:t>rose By</w:t>
      </w:r>
      <w:r>
        <w:rPr>
          <w:i/>
          <w:spacing w:val="40"/>
          <w:sz w:val="20"/>
        </w:rPr>
        <w:t> </w:t>
      </w:r>
      <w:r>
        <w:rPr>
          <w:i/>
          <w:sz w:val="20"/>
        </w:rPr>
        <w:t>any</w:t>
      </w:r>
      <w:r>
        <w:rPr>
          <w:i/>
          <w:spacing w:val="40"/>
          <w:sz w:val="20"/>
        </w:rPr>
        <w:t> </w:t>
      </w:r>
      <w:r>
        <w:rPr>
          <w:i/>
          <w:sz w:val="20"/>
        </w:rPr>
        <w:t>other</w:t>
      </w:r>
      <w:r>
        <w:rPr>
          <w:i/>
          <w:spacing w:val="40"/>
          <w:sz w:val="20"/>
        </w:rPr>
        <w:t> </w:t>
      </w:r>
      <w:r>
        <w:rPr>
          <w:i/>
          <w:sz w:val="20"/>
        </w:rPr>
        <w:t>word</w:t>
      </w:r>
      <w:r>
        <w:rPr>
          <w:i/>
          <w:spacing w:val="40"/>
          <w:sz w:val="20"/>
        </w:rPr>
        <w:t> </w:t>
      </w:r>
      <w:r>
        <w:rPr>
          <w:i/>
          <w:sz w:val="20"/>
        </w:rPr>
        <w:t>would</w:t>
      </w:r>
      <w:r>
        <w:rPr>
          <w:i/>
          <w:spacing w:val="40"/>
          <w:sz w:val="20"/>
        </w:rPr>
        <w:t> </w:t>
      </w:r>
      <w:r>
        <w:rPr>
          <w:i/>
          <w:sz w:val="20"/>
        </w:rPr>
        <w:t>smell</w:t>
      </w:r>
      <w:r>
        <w:rPr>
          <w:i/>
          <w:spacing w:val="40"/>
          <w:sz w:val="20"/>
        </w:rPr>
        <w:t> </w:t>
      </w:r>
      <w:r>
        <w:rPr>
          <w:i/>
          <w:sz w:val="20"/>
        </w:rPr>
        <w:t>as</w:t>
      </w:r>
      <w:r>
        <w:rPr>
          <w:i/>
          <w:spacing w:val="40"/>
          <w:sz w:val="20"/>
        </w:rPr>
        <w:t> </w:t>
      </w:r>
      <w:r>
        <w:rPr>
          <w:i/>
          <w:sz w:val="20"/>
        </w:rPr>
        <w:t>sweet.”</w:t>
      </w:r>
    </w:p>
    <w:p>
      <w:pPr>
        <w:spacing w:line="249" w:lineRule="auto" w:before="5"/>
        <w:ind w:left="2160" w:right="2159" w:firstLine="0"/>
        <w:jc w:val="left"/>
        <w:rPr>
          <w:i/>
          <w:sz w:val="20"/>
        </w:rPr>
      </w:pPr>
      <w:r>
        <w:rPr>
          <w:i/>
          <w:sz w:val="20"/>
        </w:rPr>
        <w:t>—</w:t>
      </w:r>
      <w:r>
        <w:rPr>
          <w:i/>
          <w:spacing w:val="39"/>
          <w:sz w:val="20"/>
        </w:rPr>
        <w:t> </w:t>
      </w:r>
      <w:r>
        <w:rPr>
          <w:i/>
          <w:sz w:val="20"/>
        </w:rPr>
        <w:t>William</w:t>
      </w:r>
      <w:r>
        <w:rPr>
          <w:i/>
          <w:spacing w:val="39"/>
          <w:sz w:val="20"/>
        </w:rPr>
        <w:t> </w:t>
      </w:r>
      <w:r>
        <w:rPr>
          <w:i/>
          <w:sz w:val="20"/>
        </w:rPr>
        <w:t>Shakespeare,</w:t>
      </w:r>
      <w:r>
        <w:rPr>
          <w:i/>
          <w:spacing w:val="40"/>
          <w:sz w:val="20"/>
        </w:rPr>
        <w:t> </w:t>
      </w:r>
      <w:r>
        <w:rPr>
          <w:sz w:val="20"/>
        </w:rPr>
        <w:t>Romeo</w:t>
      </w:r>
      <w:r>
        <w:rPr>
          <w:spacing w:val="39"/>
          <w:sz w:val="20"/>
        </w:rPr>
        <w:t> </w:t>
      </w:r>
      <w:r>
        <w:rPr>
          <w:sz w:val="20"/>
        </w:rPr>
        <w:t>and</w:t>
      </w:r>
      <w:r>
        <w:rPr>
          <w:spacing w:val="40"/>
          <w:sz w:val="20"/>
        </w:rPr>
        <w:t> </w:t>
      </w:r>
      <w:r>
        <w:rPr>
          <w:sz w:val="20"/>
        </w:rPr>
        <w:t>Juliet</w:t>
      </w:r>
      <w:r>
        <w:rPr>
          <w:spacing w:val="37"/>
          <w:sz w:val="20"/>
        </w:rPr>
        <w:t> </w:t>
      </w:r>
      <w:r>
        <w:rPr>
          <w:i/>
          <w:sz w:val="20"/>
        </w:rPr>
        <w:t>(Act</w:t>
      </w:r>
      <w:r>
        <w:rPr>
          <w:i/>
          <w:spacing w:val="39"/>
          <w:sz w:val="20"/>
        </w:rPr>
        <w:t> </w:t>
      </w:r>
      <w:r>
        <w:rPr>
          <w:i/>
          <w:sz w:val="20"/>
        </w:rPr>
        <w:t>2, Scene</w:t>
      </w:r>
      <w:r>
        <w:rPr>
          <w:i/>
          <w:spacing w:val="40"/>
          <w:sz w:val="20"/>
        </w:rPr>
        <w:t> </w:t>
      </w:r>
      <w:r>
        <w:rPr>
          <w:i/>
          <w:sz w:val="20"/>
        </w:rPr>
        <w:t>2)</w:t>
      </w:r>
    </w:p>
    <w:p>
      <w:pPr>
        <w:pStyle w:val="Heading5"/>
        <w:numPr>
          <w:ilvl w:val="0"/>
          <w:numId w:val="7"/>
        </w:numPr>
        <w:tabs>
          <w:tab w:pos="1756" w:val="left" w:leader="none"/>
        </w:tabs>
        <w:spacing w:line="240" w:lineRule="auto" w:before="109" w:after="0"/>
        <w:ind w:left="1756" w:right="0" w:hanging="316"/>
        <w:jc w:val="left"/>
      </w:pPr>
      <w:r>
        <w:rPr>
          <w:spacing w:val="-2"/>
        </w:rPr>
        <w:t>Introduction</w:t>
      </w:r>
    </w:p>
    <w:p>
      <w:pPr>
        <w:pStyle w:val="BodyText"/>
        <w:spacing w:line="247" w:lineRule="auto" w:before="66"/>
        <w:ind w:right="1436" w:firstLine="432"/>
        <w:jc w:val="both"/>
      </w:pPr>
      <w:r>
        <w:rPr/>
        <w:t>The investigation into “The Timeless Beauty of Shakespeare” offers a remarkably rich topic that demands analysis from multiple </w:t>
      </w:r>
      <w:r>
        <w:rPr>
          <w:spacing w:val="-2"/>
        </w:rPr>
        <w:t>critical</w:t>
      </w:r>
      <w:r>
        <w:rPr>
          <w:spacing w:val="-8"/>
        </w:rPr>
        <w:t> </w:t>
      </w:r>
      <w:r>
        <w:rPr>
          <w:spacing w:val="-2"/>
        </w:rPr>
        <w:t>angles.</w:t>
      </w:r>
      <w:r>
        <w:rPr>
          <w:spacing w:val="-8"/>
        </w:rPr>
        <w:t> </w:t>
      </w:r>
      <w:r>
        <w:rPr>
          <w:spacing w:val="-2"/>
        </w:rPr>
        <w:t>In</w:t>
      </w:r>
      <w:r>
        <w:rPr>
          <w:spacing w:val="-10"/>
        </w:rPr>
        <w:t> </w:t>
      </w:r>
      <w:r>
        <w:rPr>
          <w:spacing w:val="-2"/>
        </w:rPr>
        <w:t>1623,</w:t>
      </w:r>
      <w:r>
        <w:rPr>
          <w:spacing w:val="-6"/>
        </w:rPr>
        <w:t> </w:t>
      </w:r>
      <w:r>
        <w:rPr>
          <w:spacing w:val="-2"/>
        </w:rPr>
        <w:t>Ben</w:t>
      </w:r>
      <w:r>
        <w:rPr>
          <w:spacing w:val="-6"/>
        </w:rPr>
        <w:t> </w:t>
      </w:r>
      <w:r>
        <w:rPr>
          <w:spacing w:val="-2"/>
        </w:rPr>
        <w:t>Jonson</w:t>
      </w:r>
      <w:r>
        <w:rPr>
          <w:spacing w:val="-8"/>
        </w:rPr>
        <w:t> </w:t>
      </w:r>
      <w:r>
        <w:rPr>
          <w:spacing w:val="-2"/>
        </w:rPr>
        <w:t>famously</w:t>
      </w:r>
      <w:r>
        <w:rPr>
          <w:spacing w:val="-11"/>
        </w:rPr>
        <w:t> </w:t>
      </w:r>
      <w:r>
        <w:rPr>
          <w:spacing w:val="-2"/>
        </w:rPr>
        <w:t>eulogised</w:t>
      </w:r>
      <w:r>
        <w:rPr>
          <w:spacing w:val="-8"/>
        </w:rPr>
        <w:t> </w:t>
      </w:r>
      <w:r>
        <w:rPr>
          <w:spacing w:val="-2"/>
        </w:rPr>
        <w:t>his</w:t>
      </w:r>
      <w:r>
        <w:rPr>
          <w:spacing w:val="-6"/>
        </w:rPr>
        <w:t> </w:t>
      </w:r>
      <w:r>
        <w:rPr>
          <w:spacing w:val="-2"/>
        </w:rPr>
        <w:t>contemporary </w:t>
      </w:r>
      <w:r>
        <w:rPr/>
        <w:t>in the </w:t>
      </w:r>
      <w:r>
        <w:rPr>
          <w:i/>
        </w:rPr>
        <w:t>First Folio</w:t>
      </w:r>
      <w:r>
        <w:rPr/>
        <w:t>, declaring: “He was not of an age, but for all time!” (Jonson:</w:t>
      </w:r>
      <w:r>
        <w:rPr>
          <w:spacing w:val="-10"/>
        </w:rPr>
        <w:t> </w:t>
      </w:r>
      <w:r>
        <w:rPr/>
        <w:t>1623).</w:t>
      </w:r>
      <w:r>
        <w:rPr>
          <w:spacing w:val="-9"/>
        </w:rPr>
        <w:t> </w:t>
      </w:r>
      <w:r>
        <w:rPr/>
        <w:t>While</w:t>
      </w:r>
      <w:r>
        <w:rPr>
          <w:spacing w:val="-10"/>
        </w:rPr>
        <w:t> </w:t>
      </w:r>
      <w:r>
        <w:rPr/>
        <w:t>this</w:t>
      </w:r>
      <w:r>
        <w:rPr>
          <w:spacing w:val="-10"/>
        </w:rPr>
        <w:t> </w:t>
      </w:r>
      <w:r>
        <w:rPr/>
        <w:t>is</w:t>
      </w:r>
      <w:r>
        <w:rPr>
          <w:spacing w:val="-10"/>
        </w:rPr>
        <w:t> </w:t>
      </w:r>
      <w:r>
        <w:rPr/>
        <w:t>arguably</w:t>
      </w:r>
      <w:r>
        <w:rPr>
          <w:spacing w:val="-10"/>
        </w:rPr>
        <w:t> </w:t>
      </w:r>
      <w:r>
        <w:rPr/>
        <w:t>the</w:t>
      </w:r>
      <w:r>
        <w:rPr>
          <w:spacing w:val="-10"/>
        </w:rPr>
        <w:t> </w:t>
      </w:r>
      <w:r>
        <w:rPr/>
        <w:t>most</w:t>
      </w:r>
      <w:r>
        <w:rPr>
          <w:spacing w:val="-10"/>
        </w:rPr>
        <w:t> </w:t>
      </w:r>
      <w:r>
        <w:rPr/>
        <w:t>famous</w:t>
      </w:r>
      <w:r>
        <w:rPr>
          <w:spacing w:val="-12"/>
        </w:rPr>
        <w:t> </w:t>
      </w:r>
      <w:r>
        <w:rPr/>
        <w:t>tribute</w:t>
      </w:r>
      <w:r>
        <w:rPr>
          <w:spacing w:val="-9"/>
        </w:rPr>
        <w:t> </w:t>
      </w:r>
      <w:r>
        <w:rPr/>
        <w:t>in</w:t>
      </w:r>
      <w:r>
        <w:rPr>
          <w:spacing w:val="-12"/>
        </w:rPr>
        <w:t> </w:t>
      </w:r>
      <w:r>
        <w:rPr/>
        <w:t>literary </w:t>
      </w:r>
      <w:r>
        <w:rPr>
          <w:spacing w:val="-2"/>
        </w:rPr>
        <w:t>history,</w:t>
      </w:r>
      <w:r>
        <w:rPr>
          <w:spacing w:val="-7"/>
        </w:rPr>
        <w:t> </w:t>
      </w:r>
      <w:r>
        <w:rPr>
          <w:spacing w:val="-2"/>
        </w:rPr>
        <w:t>it</w:t>
      </w:r>
      <w:r>
        <w:rPr>
          <w:spacing w:val="-7"/>
        </w:rPr>
        <w:t> </w:t>
      </w:r>
      <w:r>
        <w:rPr>
          <w:spacing w:val="-2"/>
        </w:rPr>
        <w:t>operates</w:t>
      </w:r>
      <w:r>
        <w:rPr>
          <w:spacing w:val="-9"/>
        </w:rPr>
        <w:t> </w:t>
      </w:r>
      <w:r>
        <w:rPr>
          <w:spacing w:val="-2"/>
        </w:rPr>
        <w:t>as</w:t>
      </w:r>
      <w:r>
        <w:rPr>
          <w:spacing w:val="-9"/>
        </w:rPr>
        <w:t> </w:t>
      </w:r>
      <w:r>
        <w:rPr>
          <w:spacing w:val="-2"/>
        </w:rPr>
        <w:t>a</w:t>
      </w:r>
      <w:r>
        <w:rPr>
          <w:spacing w:val="-7"/>
        </w:rPr>
        <w:t> </w:t>
      </w:r>
      <w:r>
        <w:rPr>
          <w:spacing w:val="-2"/>
        </w:rPr>
        <w:t>conceptual</w:t>
      </w:r>
      <w:r>
        <w:rPr>
          <w:spacing w:val="-7"/>
        </w:rPr>
        <w:t> </w:t>
      </w:r>
      <w:r>
        <w:rPr>
          <w:spacing w:val="-2"/>
        </w:rPr>
        <w:t>trap</w:t>
      </w:r>
      <w:r>
        <w:rPr>
          <w:spacing w:val="-9"/>
        </w:rPr>
        <w:t> </w:t>
      </w:r>
      <w:r>
        <w:rPr>
          <w:spacing w:val="-2"/>
        </w:rPr>
        <w:t>(Jonson:</w:t>
      </w:r>
      <w:r>
        <w:rPr>
          <w:spacing w:val="-10"/>
        </w:rPr>
        <w:t> </w:t>
      </w:r>
      <w:r>
        <w:rPr>
          <w:spacing w:val="-2"/>
        </w:rPr>
        <w:t>1623).</w:t>
      </w:r>
      <w:r>
        <w:rPr>
          <w:spacing w:val="-4"/>
        </w:rPr>
        <w:t> </w:t>
      </w:r>
      <w:r>
        <w:rPr>
          <w:spacing w:val="-2"/>
        </w:rPr>
        <w:t>Modern</w:t>
      </w:r>
      <w:r>
        <w:rPr>
          <w:spacing w:val="-9"/>
        </w:rPr>
        <w:t> </w:t>
      </w:r>
      <w:r>
        <w:rPr>
          <w:spacing w:val="-2"/>
        </w:rPr>
        <w:t>pedagogy often</w:t>
      </w:r>
      <w:r>
        <w:rPr>
          <w:spacing w:val="-11"/>
        </w:rPr>
        <w:t> </w:t>
      </w:r>
      <w:r>
        <w:rPr>
          <w:spacing w:val="-2"/>
        </w:rPr>
        <w:t>misinterprets</w:t>
      </w:r>
      <w:r>
        <w:rPr>
          <w:spacing w:val="-10"/>
        </w:rPr>
        <w:t> </w:t>
      </w:r>
      <w:r>
        <w:rPr>
          <w:spacing w:val="-2"/>
        </w:rPr>
        <w:t>“timeless</w:t>
      </w:r>
      <w:r>
        <w:rPr>
          <w:spacing w:val="-11"/>
        </w:rPr>
        <w:t> </w:t>
      </w:r>
      <w:r>
        <w:rPr>
          <w:spacing w:val="-2"/>
        </w:rPr>
        <w:t>beauty”</w:t>
      </w:r>
      <w:r>
        <w:rPr>
          <w:spacing w:val="-10"/>
        </w:rPr>
        <w:t> </w:t>
      </w:r>
      <w:r>
        <w:rPr>
          <w:spacing w:val="-2"/>
        </w:rPr>
        <w:t>as</w:t>
      </w:r>
      <w:r>
        <w:rPr>
          <w:spacing w:val="-11"/>
        </w:rPr>
        <w:t> </w:t>
      </w:r>
      <w:r>
        <w:rPr>
          <w:spacing w:val="-2"/>
        </w:rPr>
        <w:t>high-brow</w:t>
      </w:r>
      <w:r>
        <w:rPr>
          <w:spacing w:val="-10"/>
        </w:rPr>
        <w:t> </w:t>
      </w:r>
      <w:r>
        <w:rPr>
          <w:spacing w:val="-2"/>
        </w:rPr>
        <w:t>art</w:t>
      </w:r>
      <w:r>
        <w:rPr>
          <w:spacing w:val="-11"/>
        </w:rPr>
        <w:t> </w:t>
      </w:r>
      <w:r>
        <w:rPr>
          <w:spacing w:val="-2"/>
        </w:rPr>
        <w:t>sealed</w:t>
      </w:r>
      <w:r>
        <w:rPr>
          <w:spacing w:val="-10"/>
        </w:rPr>
        <w:t> </w:t>
      </w:r>
      <w:r>
        <w:rPr>
          <w:spacing w:val="-2"/>
        </w:rPr>
        <w:t>in</w:t>
      </w:r>
      <w:r>
        <w:rPr>
          <w:spacing w:val="-11"/>
        </w:rPr>
        <w:t> </w:t>
      </w:r>
      <w:r>
        <w:rPr>
          <w:spacing w:val="-2"/>
        </w:rPr>
        <w:t>a</w:t>
      </w:r>
      <w:r>
        <w:rPr>
          <w:spacing w:val="-10"/>
        </w:rPr>
        <w:t> </w:t>
      </w:r>
      <w:r>
        <w:rPr>
          <w:spacing w:val="-2"/>
        </w:rPr>
        <w:t>vacuum, </w:t>
      </w:r>
      <w:r>
        <w:rPr/>
        <w:t>disconnected from the sweat, commerce, and messiness of the real world (Greenblatt: 2004).</w:t>
      </w:r>
    </w:p>
    <w:p>
      <w:pPr>
        <w:pStyle w:val="BodyText"/>
        <w:spacing w:line="247" w:lineRule="auto" w:before="50"/>
        <w:ind w:right="1439" w:firstLine="432"/>
        <w:jc w:val="both"/>
      </w:pPr>
      <w:r>
        <w:rPr/>
        <w:t>However,</w:t>
      </w:r>
      <w:r>
        <w:rPr>
          <w:spacing w:val="-13"/>
        </w:rPr>
        <w:t> </w:t>
      </w:r>
      <w:r>
        <w:rPr/>
        <w:t>true</w:t>
      </w:r>
      <w:r>
        <w:rPr>
          <w:spacing w:val="-12"/>
        </w:rPr>
        <w:t> </w:t>
      </w:r>
      <w:r>
        <w:rPr/>
        <w:t>timelessness</w:t>
      </w:r>
      <w:r>
        <w:rPr>
          <w:spacing w:val="-13"/>
        </w:rPr>
        <w:t> </w:t>
      </w:r>
      <w:r>
        <w:rPr/>
        <w:t>in</w:t>
      </w:r>
      <w:r>
        <w:rPr>
          <w:spacing w:val="-12"/>
        </w:rPr>
        <w:t> </w:t>
      </w:r>
      <w:r>
        <w:rPr/>
        <w:t>literature</w:t>
      </w:r>
      <w:r>
        <w:rPr>
          <w:spacing w:val="-12"/>
        </w:rPr>
        <w:t> </w:t>
      </w:r>
      <w:r>
        <w:rPr/>
        <w:t>is</w:t>
      </w:r>
      <w:r>
        <w:rPr>
          <w:spacing w:val="-13"/>
        </w:rPr>
        <w:t> </w:t>
      </w:r>
      <w:r>
        <w:rPr/>
        <w:t>the</w:t>
      </w:r>
      <w:r>
        <w:rPr>
          <w:spacing w:val="-12"/>
        </w:rPr>
        <w:t> </w:t>
      </w:r>
      <w:r>
        <w:rPr/>
        <w:t>absolute,</w:t>
      </w:r>
      <w:r>
        <w:rPr>
          <w:spacing w:val="-12"/>
        </w:rPr>
        <w:t> </w:t>
      </w:r>
      <w:r>
        <w:rPr/>
        <w:t>unflinching </w:t>
      </w:r>
      <w:r>
        <w:rPr>
          <w:spacing w:val="-2"/>
        </w:rPr>
        <w:t>mastery</w:t>
      </w:r>
      <w:r>
        <w:rPr>
          <w:spacing w:val="-9"/>
        </w:rPr>
        <w:t> </w:t>
      </w:r>
      <w:r>
        <w:rPr>
          <w:spacing w:val="-2"/>
        </w:rPr>
        <w:t>of</w:t>
      </w:r>
      <w:r>
        <w:rPr>
          <w:spacing w:val="-7"/>
        </w:rPr>
        <w:t> </w:t>
      </w:r>
      <w:r>
        <w:rPr>
          <w:spacing w:val="-2"/>
        </w:rPr>
        <w:t>reality.</w:t>
      </w:r>
      <w:r>
        <w:rPr>
          <w:spacing w:val="-4"/>
        </w:rPr>
        <w:t> </w:t>
      </w:r>
      <w:r>
        <w:rPr>
          <w:spacing w:val="-2"/>
        </w:rPr>
        <w:t>Shakespeare</w:t>
      </w:r>
      <w:r>
        <w:rPr>
          <w:spacing w:val="-4"/>
        </w:rPr>
        <w:t> </w:t>
      </w:r>
      <w:r>
        <w:rPr>
          <w:spacing w:val="-2"/>
        </w:rPr>
        <w:t>did</w:t>
      </w:r>
      <w:r>
        <w:rPr>
          <w:spacing w:val="-4"/>
        </w:rPr>
        <w:t> </w:t>
      </w:r>
      <w:r>
        <w:rPr>
          <w:spacing w:val="-2"/>
        </w:rPr>
        <w:t>not</w:t>
      </w:r>
      <w:r>
        <w:rPr>
          <w:spacing w:val="-4"/>
        </w:rPr>
        <w:t> </w:t>
      </w:r>
      <w:r>
        <w:rPr>
          <w:spacing w:val="-2"/>
        </w:rPr>
        <w:t>write</w:t>
      </w:r>
      <w:r>
        <w:rPr>
          <w:spacing w:val="-6"/>
        </w:rPr>
        <w:t> </w:t>
      </w:r>
      <w:r>
        <w:rPr>
          <w:spacing w:val="-2"/>
        </w:rPr>
        <w:t>in</w:t>
      </w:r>
      <w:r>
        <w:rPr>
          <w:spacing w:val="-7"/>
        </w:rPr>
        <w:t> </w:t>
      </w:r>
      <w:r>
        <w:rPr>
          <w:spacing w:val="-2"/>
        </w:rPr>
        <w:t>a</w:t>
      </w:r>
      <w:r>
        <w:rPr>
          <w:spacing w:val="-6"/>
        </w:rPr>
        <w:t> </w:t>
      </w:r>
      <w:r>
        <w:rPr>
          <w:spacing w:val="-2"/>
        </w:rPr>
        <w:t>quiet,</w:t>
      </w:r>
      <w:r>
        <w:rPr>
          <w:spacing w:val="-4"/>
        </w:rPr>
        <w:t> </w:t>
      </w:r>
      <w:r>
        <w:rPr>
          <w:spacing w:val="-2"/>
        </w:rPr>
        <w:t>isolated</w:t>
      </w:r>
      <w:r>
        <w:rPr>
          <w:spacing w:val="-4"/>
        </w:rPr>
        <w:t> </w:t>
      </w:r>
      <w:r>
        <w:rPr>
          <w:spacing w:val="-2"/>
        </w:rPr>
        <w:t>academic </w:t>
      </w:r>
      <w:r>
        <w:rPr/>
        <w:t>tower; he wrote in the sensory assault of 1590s London (Greenblatt: 2004). By absorbing the precarious, terrifying, and electric reality of Elizabethan London—characterised by the stench of open sewers, the sight of severed heads on iron spikes, and the constant shadow of the </w:t>
      </w:r>
      <w:r>
        <w:rPr>
          <w:spacing w:val="-2"/>
        </w:rPr>
        <w:t>Bubonic</w:t>
      </w:r>
      <w:r>
        <w:rPr>
          <w:spacing w:val="-4"/>
        </w:rPr>
        <w:t> </w:t>
      </w:r>
      <w:r>
        <w:rPr>
          <w:spacing w:val="-2"/>
        </w:rPr>
        <w:t>Plague—he translated</w:t>
      </w:r>
      <w:r>
        <w:rPr>
          <w:spacing w:val="-4"/>
        </w:rPr>
        <w:t> </w:t>
      </w:r>
      <w:r>
        <w:rPr>
          <w:spacing w:val="-2"/>
        </w:rPr>
        <w:t>acute Elizabethan</w:t>
      </w:r>
      <w:r>
        <w:rPr>
          <w:spacing w:val="-4"/>
        </w:rPr>
        <w:t> </w:t>
      </w:r>
      <w:r>
        <w:rPr>
          <w:spacing w:val="-2"/>
        </w:rPr>
        <w:t>anxieties into universal </w:t>
      </w:r>
      <w:r>
        <w:rPr/>
        <w:t>human truths (Greenblatt: 2004). This paper explores that Shakespeare survived his own era precisely because he was so deeply rooted in the “filth and the glory” of it (Greenblatt: 2004).</w:t>
      </w:r>
    </w:p>
    <w:p>
      <w:pPr>
        <w:pStyle w:val="Heading5"/>
        <w:numPr>
          <w:ilvl w:val="0"/>
          <w:numId w:val="7"/>
        </w:numPr>
        <w:tabs>
          <w:tab w:pos="1756" w:val="left" w:leader="none"/>
        </w:tabs>
        <w:spacing w:line="240" w:lineRule="auto" w:before="100" w:after="0"/>
        <w:ind w:left="1756" w:right="0" w:hanging="316"/>
        <w:jc w:val="left"/>
      </w:pPr>
      <w:r>
        <w:rPr>
          <w:w w:val="105"/>
        </w:rPr>
        <w:t>Research</w:t>
      </w:r>
      <w:r>
        <w:rPr>
          <w:spacing w:val="35"/>
          <w:w w:val="105"/>
        </w:rPr>
        <w:t>  </w:t>
      </w:r>
      <w:r>
        <w:rPr>
          <w:spacing w:val="-2"/>
          <w:w w:val="105"/>
        </w:rPr>
        <w:t>Statement</w:t>
      </w:r>
    </w:p>
    <w:p>
      <w:pPr>
        <w:pStyle w:val="BodyText"/>
        <w:spacing w:line="247" w:lineRule="auto" w:before="67"/>
        <w:ind w:right="1437" w:firstLine="432"/>
        <w:jc w:val="both"/>
      </w:pPr>
      <w:r>
        <w:rPr/>
        <w:t>The primary problem this study addresses is the perceived disconnect between Shakespeare’s 16th-century origins and his 21st-century relevance. Many modern audiences view his work as an “academic requirement,” a “400-year-old relic,” or a text “too hard to understand”. This research seeks to prove that Shakespeare’s dramas grasp realities that define social constructs and human consciousness across boundaries of time and space, acting as an “open-source code” for</w:t>
      </w:r>
      <w:r>
        <w:rPr>
          <w:spacing w:val="40"/>
        </w:rPr>
        <w:t> </w:t>
      </w:r>
      <w:r>
        <w:rPr/>
        <w:t>the</w:t>
      </w:r>
      <w:r>
        <w:rPr>
          <w:spacing w:val="40"/>
        </w:rPr>
        <w:t> </w:t>
      </w:r>
      <w:r>
        <w:rPr/>
        <w:t>human</w:t>
      </w:r>
      <w:r>
        <w:rPr>
          <w:spacing w:val="40"/>
        </w:rPr>
        <w:t> </w:t>
      </w:r>
      <w:r>
        <w:rPr/>
        <w:t>soul</w:t>
      </w:r>
      <w:r>
        <w:rPr>
          <w:spacing w:val="40"/>
        </w:rPr>
        <w:t> </w:t>
      </w:r>
      <w:r>
        <w:rPr/>
        <w:t>rather</w:t>
      </w:r>
      <w:r>
        <w:rPr>
          <w:spacing w:val="40"/>
        </w:rPr>
        <w:t> </w:t>
      </w:r>
      <w:r>
        <w:rPr/>
        <w:t>than</w:t>
      </w:r>
      <w:r>
        <w:rPr>
          <w:spacing w:val="40"/>
        </w:rPr>
        <w:t> </w:t>
      </w:r>
      <w:r>
        <w:rPr/>
        <w:t>a</w:t>
      </w:r>
      <w:r>
        <w:rPr>
          <w:spacing w:val="40"/>
        </w:rPr>
        <w:t> </w:t>
      </w:r>
      <w:r>
        <w:rPr/>
        <w:t>static</w:t>
      </w:r>
      <w:r>
        <w:rPr>
          <w:spacing w:val="40"/>
        </w:rPr>
        <w:t> </w:t>
      </w:r>
      <w:r>
        <w:rPr/>
        <w:t>museum</w:t>
      </w:r>
      <w:r>
        <w:rPr>
          <w:spacing w:val="38"/>
        </w:rPr>
        <w:t> </w:t>
      </w:r>
      <w:r>
        <w:rPr/>
        <w:t>piece.</w:t>
      </w:r>
    </w:p>
    <w:p>
      <w:pPr>
        <w:pStyle w:val="BodyText"/>
        <w:spacing w:after="0" w:line="247"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981"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29312">
                <wp:simplePos x="0" y="0"/>
                <wp:positionH relativeFrom="page">
                  <wp:posOffset>2065020</wp:posOffset>
                </wp:positionH>
                <wp:positionV relativeFrom="paragraph">
                  <wp:posOffset>162604</wp:posOffset>
                </wp:positionV>
                <wp:extent cx="3657600" cy="12700"/>
                <wp:effectExtent l="0" t="0" r="0" b="0"/>
                <wp:wrapTopAndBottom/>
                <wp:docPr id="180" name="Graphic 180"/>
                <wp:cNvGraphicFramePr>
                  <a:graphicFrameLocks/>
                </wp:cNvGraphicFramePr>
                <a:graphic>
                  <a:graphicData uri="http://schemas.microsoft.com/office/word/2010/wordprocessingShape">
                    <wps:wsp>
                      <wps:cNvPr id="180" name="Graphic 18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87168;mso-wrap-distance-left:0;mso-wrap-distance-right:0" id="docshape176" filled="true" fillcolor="#000000" stroked="false">
                <v:fill type="solid"/>
                <w10:wrap type="topAndBottom"/>
              </v:rect>
            </w:pict>
          </mc:Fallback>
        </mc:AlternateContent>
      </w:r>
      <w:r>
        <w:rPr>
          <w:rFonts w:ascii="Verdana"/>
          <w:spacing w:val="-4"/>
          <w:sz w:val="18"/>
        </w:rPr>
        <w:t>The</w:t>
      </w:r>
      <w:r>
        <w:rPr>
          <w:rFonts w:ascii="Verdana"/>
          <w:spacing w:val="10"/>
          <w:sz w:val="18"/>
        </w:rPr>
        <w:t> </w:t>
      </w:r>
      <w:r>
        <w:rPr>
          <w:rFonts w:ascii="Verdana"/>
          <w:spacing w:val="-4"/>
          <w:sz w:val="18"/>
        </w:rPr>
        <w:t>Timeless</w:t>
      </w:r>
      <w:r>
        <w:rPr>
          <w:rFonts w:ascii="Verdana"/>
          <w:spacing w:val="8"/>
          <w:sz w:val="18"/>
        </w:rPr>
        <w:t> </w:t>
      </w:r>
      <w:r>
        <w:rPr>
          <w:rFonts w:ascii="Verdana"/>
          <w:spacing w:val="-4"/>
          <w:sz w:val="18"/>
        </w:rPr>
        <w:t>Beauty</w:t>
      </w:r>
      <w:r>
        <w:rPr>
          <w:rFonts w:ascii="Verdana"/>
          <w:spacing w:val="12"/>
          <w:sz w:val="18"/>
        </w:rPr>
        <w:t> </w:t>
      </w:r>
      <w:r>
        <w:rPr>
          <w:rFonts w:ascii="Verdana"/>
          <w:spacing w:val="-4"/>
          <w:sz w:val="18"/>
        </w:rPr>
        <w:t>of</w:t>
      </w:r>
      <w:r>
        <w:rPr>
          <w:rFonts w:ascii="Verdana"/>
          <w:spacing w:val="11"/>
          <w:sz w:val="18"/>
        </w:rPr>
        <w:t> </w:t>
      </w:r>
      <w:r>
        <w:rPr>
          <w:rFonts w:ascii="Verdana"/>
          <w:spacing w:val="-4"/>
          <w:sz w:val="18"/>
        </w:rPr>
        <w:t>Shakespeare:</w:t>
      </w:r>
      <w:r>
        <w:rPr>
          <w:rFonts w:ascii="Verdana"/>
          <w:spacing w:val="7"/>
          <w:sz w:val="18"/>
        </w:rPr>
        <w:t> </w:t>
      </w:r>
      <w:r>
        <w:rPr>
          <w:rFonts w:ascii="Verdana"/>
          <w:spacing w:val="-4"/>
          <w:sz w:val="18"/>
        </w:rPr>
        <w:t>Universality...</w:t>
      </w:r>
      <w:r>
        <w:rPr>
          <w:sz w:val="18"/>
        </w:rPr>
        <w:tab/>
      </w:r>
      <w:r>
        <w:rPr>
          <w:rFonts w:ascii="Verdana"/>
          <w:spacing w:val="-5"/>
          <w:sz w:val="18"/>
        </w:rPr>
        <w:t>27</w:t>
      </w:r>
    </w:p>
    <w:p>
      <w:pPr>
        <w:pStyle w:val="Heading5"/>
        <w:numPr>
          <w:ilvl w:val="0"/>
          <w:numId w:val="7"/>
        </w:numPr>
        <w:tabs>
          <w:tab w:pos="1756" w:val="left" w:leader="none"/>
        </w:tabs>
        <w:spacing w:line="240" w:lineRule="auto" w:before="184" w:after="0"/>
        <w:ind w:left="1756" w:right="0" w:hanging="316"/>
        <w:jc w:val="left"/>
      </w:pPr>
      <w:r>
        <w:rPr/>
        <w:t>Literature</w:t>
      </w:r>
      <w:r>
        <w:rPr>
          <w:spacing w:val="52"/>
        </w:rPr>
        <w:t> </w:t>
      </w:r>
      <w:r>
        <w:rPr>
          <w:spacing w:val="-2"/>
        </w:rPr>
        <w:t>Review</w:t>
      </w:r>
    </w:p>
    <w:p>
      <w:pPr>
        <w:pStyle w:val="BodyText"/>
        <w:spacing w:line="249" w:lineRule="auto" w:before="72"/>
        <w:ind w:right="1439" w:firstLine="432"/>
        <w:jc w:val="both"/>
      </w:pPr>
      <w:r>
        <w:rPr/>
        <w:t>Literary circles consistently return to specific passages in the Shakespearean canon because they distil the core concerns of human </w:t>
      </w:r>
      <w:r>
        <w:rPr>
          <w:spacing w:val="-2"/>
        </w:rPr>
        <w:t>existence.</w:t>
      </w:r>
      <w:r>
        <w:rPr>
          <w:spacing w:val="-5"/>
        </w:rPr>
        <w:t> </w:t>
      </w:r>
      <w:r>
        <w:rPr>
          <w:spacing w:val="-2"/>
        </w:rPr>
        <w:t>In</w:t>
      </w:r>
      <w:r>
        <w:rPr>
          <w:spacing w:val="-8"/>
        </w:rPr>
        <w:t> </w:t>
      </w:r>
      <w:r>
        <w:rPr>
          <w:spacing w:val="-2"/>
        </w:rPr>
        <w:t>the</w:t>
      </w:r>
      <w:r>
        <w:rPr>
          <w:spacing w:val="-8"/>
        </w:rPr>
        <w:t> </w:t>
      </w:r>
      <w:r>
        <w:rPr>
          <w:spacing w:val="-2"/>
        </w:rPr>
        <w:t>Romantic</w:t>
      </w:r>
      <w:r>
        <w:rPr>
          <w:spacing w:val="-5"/>
        </w:rPr>
        <w:t> </w:t>
      </w:r>
      <w:r>
        <w:rPr>
          <w:spacing w:val="-2"/>
        </w:rPr>
        <w:t>era,</w:t>
      </w:r>
      <w:r>
        <w:rPr>
          <w:spacing w:val="-8"/>
        </w:rPr>
        <w:t> </w:t>
      </w:r>
      <w:r>
        <w:rPr>
          <w:spacing w:val="-2"/>
        </w:rPr>
        <w:t>Samuel</w:t>
      </w:r>
      <w:r>
        <w:rPr>
          <w:spacing w:val="-10"/>
        </w:rPr>
        <w:t> </w:t>
      </w:r>
      <w:r>
        <w:rPr>
          <w:spacing w:val="-2"/>
        </w:rPr>
        <w:t>Taylor</w:t>
      </w:r>
      <w:r>
        <w:rPr>
          <w:spacing w:val="-8"/>
        </w:rPr>
        <w:t> </w:t>
      </w:r>
      <w:r>
        <w:rPr>
          <w:spacing w:val="-2"/>
        </w:rPr>
        <w:t>Coleridge</w:t>
      </w:r>
      <w:r>
        <w:rPr>
          <w:spacing w:val="-5"/>
        </w:rPr>
        <w:t> </w:t>
      </w:r>
      <w:r>
        <w:rPr>
          <w:spacing w:val="-2"/>
        </w:rPr>
        <w:t>(1914)</w:t>
      </w:r>
      <w:r>
        <w:rPr>
          <w:spacing w:val="-8"/>
        </w:rPr>
        <w:t> </w:t>
      </w:r>
      <w:r>
        <w:rPr>
          <w:spacing w:val="-2"/>
        </w:rPr>
        <w:t>observed </w:t>
      </w:r>
      <w:r>
        <w:rPr/>
        <w:t>that</w:t>
      </w:r>
      <w:r>
        <w:rPr>
          <w:spacing w:val="18"/>
        </w:rPr>
        <w:t> </w:t>
      </w:r>
      <w:r>
        <w:rPr/>
        <w:t>the</w:t>
      </w:r>
      <w:r>
        <w:rPr>
          <w:spacing w:val="22"/>
        </w:rPr>
        <w:t> </w:t>
      </w:r>
      <w:r>
        <w:rPr/>
        <w:t>plays</w:t>
      </w:r>
      <w:r>
        <w:rPr>
          <w:spacing w:val="18"/>
        </w:rPr>
        <w:t> </w:t>
      </w:r>
      <w:r>
        <w:rPr/>
        <w:t>act</w:t>
      </w:r>
      <w:r>
        <w:rPr>
          <w:spacing w:val="18"/>
        </w:rPr>
        <w:t> </w:t>
      </w:r>
      <w:r>
        <w:rPr/>
        <w:t>as</w:t>
      </w:r>
      <w:r>
        <w:rPr>
          <w:spacing w:val="20"/>
        </w:rPr>
        <w:t> </w:t>
      </w:r>
      <w:r>
        <w:rPr/>
        <w:t>a</w:t>
      </w:r>
      <w:r>
        <w:rPr>
          <w:spacing w:val="19"/>
        </w:rPr>
        <w:t> </w:t>
      </w:r>
      <w:r>
        <w:rPr/>
        <w:t>“mirror</w:t>
      </w:r>
      <w:r>
        <w:rPr>
          <w:spacing w:val="18"/>
        </w:rPr>
        <w:t> </w:t>
      </w:r>
      <w:r>
        <w:rPr/>
        <w:t>in</w:t>
      </w:r>
      <w:r>
        <w:rPr>
          <w:spacing w:val="18"/>
        </w:rPr>
        <w:t> </w:t>
      </w:r>
      <w:r>
        <w:rPr/>
        <w:t>which</w:t>
      </w:r>
      <w:r>
        <w:rPr>
          <w:spacing w:val="20"/>
        </w:rPr>
        <w:t> </w:t>
      </w:r>
      <w:r>
        <w:rPr/>
        <w:t>everyone</w:t>
      </w:r>
      <w:r>
        <w:rPr>
          <w:spacing w:val="19"/>
        </w:rPr>
        <w:t> </w:t>
      </w:r>
      <w:r>
        <w:rPr/>
        <w:t>can see</w:t>
      </w:r>
      <w:r>
        <w:rPr>
          <w:spacing w:val="22"/>
        </w:rPr>
        <w:t> </w:t>
      </w:r>
      <w:r>
        <w:rPr/>
        <w:t>a</w:t>
      </w:r>
      <w:r>
        <w:rPr>
          <w:spacing w:val="18"/>
        </w:rPr>
        <w:t> </w:t>
      </w:r>
      <w:r>
        <w:rPr/>
        <w:t>reflection of the life he leads and the society he lives in”. Harold Bloom (1998) </w:t>
      </w:r>
      <w:r>
        <w:rPr>
          <w:spacing w:val="-2"/>
        </w:rPr>
        <w:t>expanded</w:t>
      </w:r>
      <w:r>
        <w:rPr>
          <w:spacing w:val="-3"/>
        </w:rPr>
        <w:t> </w:t>
      </w:r>
      <w:r>
        <w:rPr>
          <w:spacing w:val="-2"/>
        </w:rPr>
        <w:t>this,</w:t>
      </w:r>
      <w:r>
        <w:rPr>
          <w:spacing w:val="-7"/>
        </w:rPr>
        <w:t> </w:t>
      </w:r>
      <w:r>
        <w:rPr>
          <w:spacing w:val="-2"/>
        </w:rPr>
        <w:t>characterising</w:t>
      </w:r>
      <w:r>
        <w:rPr>
          <w:spacing w:val="-5"/>
        </w:rPr>
        <w:t> </w:t>
      </w:r>
      <w:r>
        <w:rPr>
          <w:spacing w:val="-2"/>
        </w:rPr>
        <w:t>Shakespeare</w:t>
      </w:r>
      <w:r>
        <w:rPr>
          <w:spacing w:val="-5"/>
        </w:rPr>
        <w:t> </w:t>
      </w:r>
      <w:r>
        <w:rPr>
          <w:spacing w:val="-2"/>
        </w:rPr>
        <w:t>as</w:t>
      </w:r>
      <w:r>
        <w:rPr>
          <w:spacing w:val="-5"/>
        </w:rPr>
        <w:t> </w:t>
      </w:r>
      <w:r>
        <w:rPr>
          <w:spacing w:val="-2"/>
        </w:rPr>
        <w:t>the</w:t>
      </w:r>
      <w:r>
        <w:rPr>
          <w:spacing w:val="-5"/>
        </w:rPr>
        <w:t> </w:t>
      </w:r>
      <w:r>
        <w:rPr>
          <w:spacing w:val="-2"/>
        </w:rPr>
        <w:t>“inventor</w:t>
      </w:r>
      <w:r>
        <w:rPr>
          <w:spacing w:val="-3"/>
        </w:rPr>
        <w:t> </w:t>
      </w:r>
      <w:r>
        <w:rPr>
          <w:spacing w:val="-2"/>
        </w:rPr>
        <w:t>of</w:t>
      </w:r>
      <w:r>
        <w:rPr>
          <w:spacing w:val="-7"/>
        </w:rPr>
        <w:t> </w:t>
      </w:r>
      <w:r>
        <w:rPr>
          <w:spacing w:val="-2"/>
        </w:rPr>
        <w:t>the</w:t>
      </w:r>
      <w:r>
        <w:rPr>
          <w:spacing w:val="-3"/>
        </w:rPr>
        <w:t> </w:t>
      </w:r>
      <w:r>
        <w:rPr>
          <w:spacing w:val="-2"/>
        </w:rPr>
        <w:t>human” </w:t>
      </w:r>
      <w:r>
        <w:rPr/>
        <w:t>and arguing that his universality lies in his unique insight into the</w:t>
      </w:r>
      <w:r>
        <w:rPr>
          <w:spacing w:val="40"/>
        </w:rPr>
        <w:t> </w:t>
      </w:r>
      <w:r>
        <w:rPr/>
        <w:t>nature</w:t>
      </w:r>
      <w:r>
        <w:rPr>
          <w:spacing w:val="40"/>
        </w:rPr>
        <w:t> </w:t>
      </w:r>
      <w:r>
        <w:rPr/>
        <w:t>of</w:t>
      </w:r>
      <w:r>
        <w:rPr>
          <w:spacing w:val="40"/>
        </w:rPr>
        <w:t> </w:t>
      </w:r>
      <w:r>
        <w:rPr/>
        <w:t>human</w:t>
      </w:r>
      <w:r>
        <w:rPr>
          <w:spacing w:val="40"/>
        </w:rPr>
        <w:t> </w:t>
      </w:r>
      <w:r>
        <w:rPr/>
        <w:t>personality.</w:t>
      </w:r>
    </w:p>
    <w:p>
      <w:pPr>
        <w:pStyle w:val="BodyText"/>
        <w:spacing w:line="249" w:lineRule="auto" w:before="64"/>
        <w:ind w:right="1438" w:firstLine="432"/>
        <w:jc w:val="both"/>
      </w:pPr>
      <w:r>
        <w:rPr/>
        <w:t>Samuel</w:t>
      </w:r>
      <w:r>
        <w:rPr>
          <w:spacing w:val="-4"/>
        </w:rPr>
        <w:t> </w:t>
      </w:r>
      <w:r>
        <w:rPr/>
        <w:t>Johnson</w:t>
      </w:r>
      <w:r>
        <w:rPr>
          <w:spacing w:val="-5"/>
        </w:rPr>
        <w:t> </w:t>
      </w:r>
      <w:r>
        <w:rPr/>
        <w:t>(1765)</w:t>
      </w:r>
      <w:r>
        <w:rPr>
          <w:spacing w:val="-2"/>
        </w:rPr>
        <w:t> </w:t>
      </w:r>
      <w:r>
        <w:rPr/>
        <w:t>praised</w:t>
      </w:r>
      <w:r>
        <w:rPr>
          <w:spacing w:val="-2"/>
        </w:rPr>
        <w:t> </w:t>
      </w:r>
      <w:r>
        <w:rPr/>
        <w:t>Shakespeare’s</w:t>
      </w:r>
      <w:r>
        <w:rPr>
          <w:spacing w:val="-3"/>
        </w:rPr>
        <w:t> </w:t>
      </w:r>
      <w:r>
        <w:rPr/>
        <w:t>realism,</w:t>
      </w:r>
      <w:r>
        <w:rPr>
          <w:spacing w:val="-3"/>
        </w:rPr>
        <w:t> </w:t>
      </w:r>
      <w:r>
        <w:rPr/>
        <w:t>noting</w:t>
      </w:r>
      <w:r>
        <w:rPr>
          <w:spacing w:val="-3"/>
        </w:rPr>
        <w:t> </w:t>
      </w:r>
      <w:r>
        <w:rPr/>
        <w:t>that his scenes are occupied only by men who act and speak as the reader thinks they would themselves have spoken. Modernist Virginia Woolf (1929) emphasised that his work is “forgivable, even lovable” because he is not a perfectionist, allowing readers to find personal meaning within</w:t>
      </w:r>
      <w:r>
        <w:rPr>
          <w:spacing w:val="-13"/>
        </w:rPr>
        <w:t> </w:t>
      </w:r>
      <w:r>
        <w:rPr/>
        <w:t>the</w:t>
      </w:r>
      <w:r>
        <w:rPr>
          <w:spacing w:val="-12"/>
        </w:rPr>
        <w:t> </w:t>
      </w:r>
      <w:r>
        <w:rPr/>
        <w:t>text.</w:t>
      </w:r>
      <w:r>
        <w:rPr>
          <w:spacing w:val="-13"/>
        </w:rPr>
        <w:t> </w:t>
      </w:r>
      <w:r>
        <w:rPr/>
        <w:t>A.C.</w:t>
      </w:r>
      <w:r>
        <w:rPr>
          <w:spacing w:val="-12"/>
        </w:rPr>
        <w:t> </w:t>
      </w:r>
      <w:r>
        <w:rPr/>
        <w:t>Bradley’s</w:t>
      </w:r>
      <w:r>
        <w:rPr>
          <w:spacing w:val="-13"/>
        </w:rPr>
        <w:t> </w:t>
      </w:r>
      <w:r>
        <w:rPr/>
        <w:t>influential</w:t>
      </w:r>
      <w:r>
        <w:rPr>
          <w:spacing w:val="-12"/>
        </w:rPr>
        <w:t> </w:t>
      </w:r>
      <w:r>
        <w:rPr/>
        <w:t>scholarship</w:t>
      </w:r>
      <w:r>
        <w:rPr>
          <w:spacing w:val="-13"/>
        </w:rPr>
        <w:t> </w:t>
      </w:r>
      <w:r>
        <w:rPr/>
        <w:t>further</w:t>
      </w:r>
      <w:r>
        <w:rPr>
          <w:spacing w:val="-12"/>
        </w:rPr>
        <w:t> </w:t>
      </w:r>
      <w:r>
        <w:rPr/>
        <w:t>highlighted that his characters are living, breathing men and women rather than mere personifications of abstract qualities (Bradley: 1904).</w:t>
      </w:r>
    </w:p>
    <w:p>
      <w:pPr>
        <w:pStyle w:val="BodyText"/>
        <w:spacing w:line="252" w:lineRule="auto" w:before="64"/>
        <w:ind w:right="1440" w:firstLine="432"/>
        <w:jc w:val="both"/>
      </w:pPr>
      <w:r>
        <w:rPr/>
        <w:t>Feminist criticism has further enlivened the study</w:t>
      </w:r>
      <w:r>
        <w:rPr>
          <w:spacing w:val="-2"/>
        </w:rPr>
        <w:t> </w:t>
      </w:r>
      <w:r>
        <w:rPr/>
        <w:t>of gender roles. As</w:t>
      </w:r>
      <w:r>
        <w:rPr>
          <w:spacing w:val="-10"/>
        </w:rPr>
        <w:t> </w:t>
      </w:r>
      <w:r>
        <w:rPr/>
        <w:t>critic</w:t>
      </w:r>
      <w:r>
        <w:rPr>
          <w:spacing w:val="-7"/>
        </w:rPr>
        <w:t> </w:t>
      </w:r>
      <w:r>
        <w:rPr/>
        <w:t>Chris</w:t>
      </w:r>
      <w:r>
        <w:rPr>
          <w:spacing w:val="-10"/>
        </w:rPr>
        <w:t> </w:t>
      </w:r>
      <w:r>
        <w:rPr/>
        <w:t>Power</w:t>
      </w:r>
      <w:r>
        <w:rPr>
          <w:spacing w:val="-8"/>
        </w:rPr>
        <w:t> </w:t>
      </w:r>
      <w:r>
        <w:rPr/>
        <w:t>(2016)</w:t>
      </w:r>
      <w:r>
        <w:rPr>
          <w:spacing w:val="-8"/>
        </w:rPr>
        <w:t> </w:t>
      </w:r>
      <w:r>
        <w:rPr/>
        <w:t>notes,</w:t>
      </w:r>
      <w:r>
        <w:rPr>
          <w:spacing w:val="-6"/>
        </w:rPr>
        <w:t> </w:t>
      </w:r>
      <w:r>
        <w:rPr/>
        <w:t>“The</w:t>
      </w:r>
      <w:r>
        <w:rPr>
          <w:spacing w:val="-10"/>
        </w:rPr>
        <w:t> </w:t>
      </w:r>
      <w:r>
        <w:rPr/>
        <w:t>presence</w:t>
      </w:r>
      <w:r>
        <w:rPr>
          <w:spacing w:val="-9"/>
        </w:rPr>
        <w:t> </w:t>
      </w:r>
      <w:r>
        <w:rPr/>
        <w:t>of</w:t>
      </w:r>
      <w:r>
        <w:rPr>
          <w:spacing w:val="-11"/>
        </w:rPr>
        <w:t> </w:t>
      </w:r>
      <w:r>
        <w:rPr/>
        <w:t>women</w:t>
      </w:r>
      <w:r>
        <w:rPr>
          <w:spacing w:val="-8"/>
        </w:rPr>
        <w:t> </w:t>
      </w:r>
      <w:r>
        <w:rPr/>
        <w:t>has</w:t>
      </w:r>
      <w:r>
        <w:rPr>
          <w:spacing w:val="-10"/>
        </w:rPr>
        <w:t> </w:t>
      </w:r>
      <w:r>
        <w:rPr/>
        <w:t>always enlivened Shakespearean theatre”. Phyllis Rackin (2005) argues that female characters were more complex than was typical for their time, acting as “active agents who shape their own destinies”. Lisa Hopkins (2008) adds that characters like Cleopatra represent a universal truth regarding</w:t>
      </w:r>
      <w:r>
        <w:rPr>
          <w:spacing w:val="40"/>
        </w:rPr>
        <w:t> </w:t>
      </w:r>
      <w:r>
        <w:rPr/>
        <w:t>the</w:t>
      </w:r>
      <w:r>
        <w:rPr>
          <w:spacing w:val="40"/>
        </w:rPr>
        <w:t> </w:t>
      </w:r>
      <w:r>
        <w:rPr/>
        <w:t>vulnerability</w:t>
      </w:r>
      <w:r>
        <w:rPr>
          <w:spacing w:val="40"/>
        </w:rPr>
        <w:t> </w:t>
      </w:r>
      <w:r>
        <w:rPr/>
        <w:t>of</w:t>
      </w:r>
      <w:r>
        <w:rPr>
          <w:spacing w:val="40"/>
        </w:rPr>
        <w:t> </w:t>
      </w:r>
      <w:r>
        <w:rPr/>
        <w:t>strong,</w:t>
      </w:r>
      <w:r>
        <w:rPr>
          <w:spacing w:val="40"/>
        </w:rPr>
        <w:t> </w:t>
      </w:r>
      <w:r>
        <w:rPr/>
        <w:t>independent</w:t>
      </w:r>
      <w:r>
        <w:rPr>
          <w:spacing w:val="40"/>
        </w:rPr>
        <w:t> </w:t>
      </w:r>
      <w:r>
        <w:rPr/>
        <w:t>women.</w:t>
      </w:r>
    </w:p>
    <w:p>
      <w:pPr>
        <w:pStyle w:val="Heading5"/>
        <w:numPr>
          <w:ilvl w:val="0"/>
          <w:numId w:val="7"/>
        </w:numPr>
        <w:tabs>
          <w:tab w:pos="1758" w:val="left" w:leader="none"/>
        </w:tabs>
        <w:spacing w:line="240" w:lineRule="auto" w:before="97" w:after="0"/>
        <w:ind w:left="1758" w:right="0" w:hanging="318"/>
        <w:jc w:val="left"/>
      </w:pPr>
      <w:r>
        <w:rPr/>
        <w:t>Theoretical</w:t>
      </w:r>
      <w:r>
        <w:rPr>
          <w:spacing w:val="43"/>
        </w:rPr>
        <w:t>  </w:t>
      </w:r>
      <w:r>
        <w:rPr>
          <w:spacing w:val="-2"/>
        </w:rPr>
        <w:t>Framework</w:t>
      </w:r>
    </w:p>
    <w:p>
      <w:pPr>
        <w:pStyle w:val="BodyText"/>
        <w:spacing w:line="249" w:lineRule="auto" w:before="74"/>
        <w:ind w:right="1437" w:firstLine="432"/>
        <w:jc w:val="both"/>
      </w:pPr>
      <w:r>
        <w:rPr/>
        <w:t>This research utilises a New Historicist framework to anchor Shakespeare’s texts within the socio-political and material realities of 1590s</w:t>
      </w:r>
      <w:r>
        <w:rPr>
          <w:spacing w:val="-9"/>
        </w:rPr>
        <w:t> </w:t>
      </w:r>
      <w:r>
        <w:rPr/>
        <w:t>London</w:t>
      </w:r>
      <w:r>
        <w:rPr>
          <w:spacing w:val="-11"/>
        </w:rPr>
        <w:t> </w:t>
      </w:r>
      <w:r>
        <w:rPr/>
        <w:t>(Greenblatt:</w:t>
      </w:r>
      <w:r>
        <w:rPr>
          <w:spacing w:val="-8"/>
        </w:rPr>
        <w:t> </w:t>
      </w:r>
      <w:r>
        <w:rPr/>
        <w:t>2004).</w:t>
      </w:r>
      <w:r>
        <w:rPr>
          <w:spacing w:val="-6"/>
        </w:rPr>
        <w:t> </w:t>
      </w:r>
      <w:r>
        <w:rPr/>
        <w:t>Drawing</w:t>
      </w:r>
      <w:r>
        <w:rPr>
          <w:spacing w:val="-9"/>
        </w:rPr>
        <w:t> </w:t>
      </w:r>
      <w:r>
        <w:rPr/>
        <w:t>on</w:t>
      </w:r>
      <w:r>
        <w:rPr>
          <w:spacing w:val="-9"/>
        </w:rPr>
        <w:t> </w:t>
      </w:r>
      <w:r>
        <w:rPr/>
        <w:t>Greenblatt’s</w:t>
      </w:r>
      <w:r>
        <w:rPr>
          <w:spacing w:val="-9"/>
        </w:rPr>
        <w:t> </w:t>
      </w:r>
      <w:r>
        <w:rPr/>
        <w:t>scholarship, the paper treats the plays as permeable products that absorbed the “blood, political anxiety, and the plague” of the era. Additionally, the analysis integrates Feminist Literary Criticism to evaluate the agency and subversion of gender roles (Rackin, 2005). Finally, elements of Cognitive and Linguistic Theory are applied to examine how the plays function as an “empathy machine” through physiological meter and linguistic innovation (Crystal: 2008).</w:t>
      </w:r>
    </w:p>
    <w:p>
      <w:pPr>
        <w:pStyle w:val="Heading5"/>
        <w:numPr>
          <w:ilvl w:val="0"/>
          <w:numId w:val="7"/>
        </w:numPr>
        <w:tabs>
          <w:tab w:pos="1758" w:val="left" w:leader="none"/>
        </w:tabs>
        <w:spacing w:line="240" w:lineRule="auto" w:before="116" w:after="0"/>
        <w:ind w:left="1758" w:right="0" w:hanging="318"/>
        <w:jc w:val="left"/>
      </w:pPr>
      <w:r>
        <w:rPr>
          <w:w w:val="110"/>
        </w:rPr>
        <w:t>Research</w:t>
      </w:r>
      <w:r>
        <w:rPr>
          <w:spacing w:val="63"/>
          <w:w w:val="150"/>
        </w:rPr>
        <w:t> </w:t>
      </w:r>
      <w:r>
        <w:rPr>
          <w:spacing w:val="-2"/>
          <w:w w:val="110"/>
        </w:rPr>
        <w:t>Methodology</w:t>
      </w:r>
    </w:p>
    <w:p>
      <w:pPr>
        <w:pStyle w:val="BodyText"/>
        <w:spacing w:line="249" w:lineRule="auto" w:before="71"/>
        <w:ind w:right="1440" w:firstLine="432"/>
        <w:jc w:val="both"/>
      </w:pPr>
      <w:r>
        <w:rPr/>
        <w:t>The</w:t>
      </w:r>
      <w:r>
        <w:rPr>
          <w:spacing w:val="-1"/>
        </w:rPr>
        <w:t> </w:t>
      </w:r>
      <w:r>
        <w:rPr/>
        <w:t>methodology</w:t>
      </w:r>
      <w:r>
        <w:rPr>
          <w:spacing w:val="-3"/>
        </w:rPr>
        <w:t> </w:t>
      </w:r>
      <w:r>
        <w:rPr/>
        <w:t>employed is a</w:t>
      </w:r>
      <w:r>
        <w:rPr>
          <w:spacing w:val="-1"/>
        </w:rPr>
        <w:t> </w:t>
      </w:r>
      <w:r>
        <w:rPr/>
        <w:t>qualitative textual</w:t>
      </w:r>
      <w:r>
        <w:rPr>
          <w:spacing w:val="-2"/>
        </w:rPr>
        <w:t> </w:t>
      </w:r>
      <w:r>
        <w:rPr/>
        <w:t>and contextual analysis.</w:t>
      </w:r>
      <w:r>
        <w:rPr>
          <w:spacing w:val="40"/>
        </w:rPr>
        <w:t> </w:t>
      </w:r>
      <w:r>
        <w:rPr/>
        <w:t>This</w:t>
      </w:r>
      <w:r>
        <w:rPr>
          <w:spacing w:val="40"/>
        </w:rPr>
        <w:t> </w:t>
      </w:r>
      <w:r>
        <w:rPr/>
        <w:t>involves: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29824">
                <wp:simplePos x="0" y="0"/>
                <wp:positionH relativeFrom="page">
                  <wp:posOffset>2057400</wp:posOffset>
                </wp:positionH>
                <wp:positionV relativeFrom="paragraph">
                  <wp:posOffset>162604</wp:posOffset>
                </wp:positionV>
                <wp:extent cx="3657600" cy="12700"/>
                <wp:effectExtent l="0" t="0" r="0" b="0"/>
                <wp:wrapTopAndBottom/>
                <wp:docPr id="181" name="Graphic 181"/>
                <wp:cNvGraphicFramePr>
                  <a:graphicFrameLocks/>
                </wp:cNvGraphicFramePr>
                <a:graphic>
                  <a:graphicData uri="http://schemas.microsoft.com/office/word/2010/wordprocessingShape">
                    <wps:wsp>
                      <wps:cNvPr id="181" name="Graphic 18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86656;mso-wrap-distance-left:0;mso-wrap-distance-right:0" id="docshape177" filled="true" fillcolor="#000000" stroked="false">
                <v:fill type="solid"/>
                <w10:wrap type="topAndBottom"/>
              </v:rect>
            </w:pict>
          </mc:Fallback>
        </mc:AlternateContent>
      </w:r>
      <w:r>
        <w:rPr>
          <w:rFonts w:ascii="Verdana"/>
          <w:spacing w:val="-5"/>
          <w:sz w:val="18"/>
        </w:rPr>
        <w:t>28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216"/>
        <w:ind w:right="1438" w:firstLine="432"/>
        <w:jc w:val="both"/>
      </w:pPr>
      <w:r>
        <w:rPr/>
        <w:t>Historical Reconstruction: Mapping the sensory and political </w:t>
      </w:r>
      <w:r>
        <w:rPr>
          <w:spacing w:val="-2"/>
        </w:rPr>
        <w:t>environment</w:t>
      </w:r>
      <w:r>
        <w:rPr>
          <w:spacing w:val="-6"/>
        </w:rPr>
        <w:t> </w:t>
      </w:r>
      <w:r>
        <w:rPr>
          <w:spacing w:val="-2"/>
        </w:rPr>
        <w:t>of</w:t>
      </w:r>
      <w:r>
        <w:rPr>
          <w:spacing w:val="-4"/>
        </w:rPr>
        <w:t> </w:t>
      </w:r>
      <w:r>
        <w:rPr>
          <w:spacing w:val="-2"/>
        </w:rPr>
        <w:t>1590s</w:t>
      </w:r>
      <w:r>
        <w:rPr>
          <w:spacing w:val="-7"/>
        </w:rPr>
        <w:t> </w:t>
      </w:r>
      <w:r>
        <w:rPr>
          <w:spacing w:val="-2"/>
        </w:rPr>
        <w:t>London</w:t>
      </w:r>
      <w:r>
        <w:rPr>
          <w:spacing w:val="-4"/>
        </w:rPr>
        <w:t> </w:t>
      </w:r>
      <w:r>
        <w:rPr>
          <w:spacing w:val="-2"/>
        </w:rPr>
        <w:t>to</w:t>
      </w:r>
      <w:r>
        <w:rPr>
          <w:spacing w:val="-4"/>
        </w:rPr>
        <w:t> </w:t>
      </w:r>
      <w:r>
        <w:rPr>
          <w:spacing w:val="-2"/>
        </w:rPr>
        <w:t>explain the</w:t>
      </w:r>
      <w:r>
        <w:rPr>
          <w:spacing w:val="-7"/>
        </w:rPr>
        <w:t> </w:t>
      </w:r>
      <w:r>
        <w:rPr>
          <w:spacing w:val="-2"/>
        </w:rPr>
        <w:t>“alchemy”</w:t>
      </w:r>
      <w:r>
        <w:rPr>
          <w:spacing w:val="-3"/>
        </w:rPr>
        <w:t> </w:t>
      </w:r>
      <w:r>
        <w:rPr>
          <w:spacing w:val="-2"/>
        </w:rPr>
        <w:t>of</w:t>
      </w:r>
      <w:r>
        <w:rPr>
          <w:spacing w:val="-7"/>
        </w:rPr>
        <w:t> </w:t>
      </w:r>
      <w:r>
        <w:rPr>
          <w:spacing w:val="-2"/>
        </w:rPr>
        <w:t>Shakespeare’s </w:t>
      </w:r>
      <w:r>
        <w:rPr/>
        <w:t>creative process (Greenblatt: 2004).</w:t>
      </w:r>
    </w:p>
    <w:p>
      <w:pPr>
        <w:pStyle w:val="ListParagraph"/>
        <w:numPr>
          <w:ilvl w:val="0"/>
          <w:numId w:val="8"/>
        </w:numPr>
        <w:tabs>
          <w:tab w:pos="2160" w:val="left" w:leader="none"/>
        </w:tabs>
        <w:spacing w:line="268" w:lineRule="auto" w:before="72" w:after="0"/>
        <w:ind w:left="2160" w:right="1441" w:hanging="240"/>
        <w:jc w:val="both"/>
        <w:rPr>
          <w:sz w:val="20"/>
        </w:rPr>
      </w:pPr>
      <w:r>
        <w:rPr>
          <w:sz w:val="20"/>
        </w:rPr>
        <w:t>Linguistic Deconstruction: Analysing Shakespeare’s coinage of over 1,700 words and his use of iambic pentameter as a physiological tool (Crystal: 2008).</w:t>
      </w:r>
    </w:p>
    <w:p>
      <w:pPr>
        <w:pStyle w:val="ListParagraph"/>
        <w:numPr>
          <w:ilvl w:val="0"/>
          <w:numId w:val="8"/>
        </w:numPr>
        <w:tabs>
          <w:tab w:pos="2160" w:val="left" w:leader="none"/>
        </w:tabs>
        <w:spacing w:line="268" w:lineRule="auto" w:before="58" w:after="0"/>
        <w:ind w:left="2160" w:right="1433" w:hanging="240"/>
        <w:jc w:val="both"/>
        <w:rPr>
          <w:sz w:val="20"/>
        </w:rPr>
      </w:pPr>
      <w:r>
        <w:rPr>
          <w:sz w:val="20"/>
        </w:rPr>
        <w:t>Comparative Reception Study: Examining global adaptations (e.g., Kurosawa, Bollywood) and historical usage (e.g., the Robben Island Bible) to prove structural </w:t>
      </w:r>
      <w:r>
        <w:rPr>
          <w:spacing w:val="9"/>
          <w:sz w:val="20"/>
        </w:rPr>
        <w:t>adaptability </w:t>
      </w:r>
      <w:r>
        <w:rPr>
          <w:sz w:val="20"/>
        </w:rPr>
        <w:t>(Schalkwyk:</w:t>
      </w:r>
      <w:r>
        <w:rPr>
          <w:spacing w:val="-16"/>
          <w:sz w:val="20"/>
        </w:rPr>
        <w:t> </w:t>
      </w:r>
      <w:r>
        <w:rPr>
          <w:sz w:val="20"/>
        </w:rPr>
        <w:t>2013).</w:t>
      </w:r>
    </w:p>
    <w:p>
      <w:pPr>
        <w:pStyle w:val="Heading5"/>
        <w:numPr>
          <w:ilvl w:val="0"/>
          <w:numId w:val="7"/>
        </w:numPr>
        <w:tabs>
          <w:tab w:pos="1758" w:val="left" w:leader="none"/>
        </w:tabs>
        <w:spacing w:line="240" w:lineRule="auto" w:before="111" w:after="0"/>
        <w:ind w:left="1758" w:right="0" w:hanging="318"/>
        <w:jc w:val="left"/>
      </w:pPr>
      <w:r>
        <w:rPr>
          <w:spacing w:val="-2"/>
        </w:rPr>
        <w:t>Discussion</w:t>
      </w:r>
    </w:p>
    <w:p>
      <w:pPr>
        <w:spacing w:line="264" w:lineRule="auto" w:before="143"/>
        <w:ind w:left="1440" w:right="1437" w:firstLine="0"/>
        <w:jc w:val="left"/>
        <w:rPr>
          <w:rFonts w:ascii="Cambria"/>
          <w:b/>
          <w:i/>
          <w:sz w:val="22"/>
        </w:rPr>
      </w:pPr>
      <w:r>
        <w:rPr>
          <w:rFonts w:ascii="Cambria"/>
          <w:b/>
          <w:i/>
          <w:w w:val="105"/>
          <w:sz w:val="22"/>
        </w:rPr>
        <w:t>The</w:t>
      </w:r>
      <w:r>
        <w:rPr>
          <w:rFonts w:ascii="Cambria"/>
          <w:b/>
          <w:i/>
          <w:spacing w:val="80"/>
          <w:w w:val="105"/>
          <w:sz w:val="22"/>
        </w:rPr>
        <w:t> </w:t>
      </w:r>
      <w:r>
        <w:rPr>
          <w:rFonts w:ascii="Cambria"/>
          <w:b/>
          <w:i/>
          <w:w w:val="105"/>
          <w:sz w:val="22"/>
        </w:rPr>
        <w:t>Alchemy</w:t>
      </w:r>
      <w:r>
        <w:rPr>
          <w:rFonts w:ascii="Cambria"/>
          <w:b/>
          <w:i/>
          <w:spacing w:val="80"/>
          <w:w w:val="105"/>
          <w:sz w:val="22"/>
        </w:rPr>
        <w:t> </w:t>
      </w:r>
      <w:r>
        <w:rPr>
          <w:rFonts w:ascii="Cambria"/>
          <w:b/>
          <w:i/>
          <w:w w:val="105"/>
          <w:sz w:val="22"/>
        </w:rPr>
        <w:t>of</w:t>
      </w:r>
      <w:r>
        <w:rPr>
          <w:rFonts w:ascii="Cambria"/>
          <w:b/>
          <w:i/>
          <w:spacing w:val="80"/>
          <w:w w:val="105"/>
          <w:sz w:val="22"/>
        </w:rPr>
        <w:t> </w:t>
      </w:r>
      <w:r>
        <w:rPr>
          <w:rFonts w:ascii="Cambria"/>
          <w:b/>
          <w:i/>
          <w:w w:val="105"/>
          <w:sz w:val="22"/>
        </w:rPr>
        <w:t>Language,</w:t>
      </w:r>
      <w:r>
        <w:rPr>
          <w:rFonts w:ascii="Cambria"/>
          <w:b/>
          <w:i/>
          <w:spacing w:val="80"/>
          <w:w w:val="105"/>
          <w:sz w:val="22"/>
        </w:rPr>
        <w:t> </w:t>
      </w:r>
      <w:r>
        <w:rPr>
          <w:rFonts w:ascii="Cambria"/>
          <w:b/>
          <w:i/>
          <w:w w:val="105"/>
          <w:sz w:val="22"/>
        </w:rPr>
        <w:t>Biological</w:t>
      </w:r>
      <w:r>
        <w:rPr>
          <w:rFonts w:ascii="Cambria"/>
          <w:b/>
          <w:i/>
          <w:spacing w:val="80"/>
          <w:w w:val="105"/>
          <w:sz w:val="22"/>
        </w:rPr>
        <w:t> </w:t>
      </w:r>
      <w:r>
        <w:rPr>
          <w:rFonts w:ascii="Cambria"/>
          <w:b/>
          <w:i/>
          <w:w w:val="105"/>
          <w:sz w:val="22"/>
        </w:rPr>
        <w:t>Rhythm,</w:t>
      </w:r>
      <w:r>
        <w:rPr>
          <w:rFonts w:ascii="Cambria"/>
          <w:b/>
          <w:i/>
          <w:spacing w:val="80"/>
          <w:w w:val="105"/>
          <w:sz w:val="22"/>
        </w:rPr>
        <w:t> </w:t>
      </w:r>
      <w:r>
        <w:rPr>
          <w:rFonts w:ascii="Cambria"/>
          <w:b/>
          <w:i/>
          <w:w w:val="105"/>
          <w:sz w:val="22"/>
        </w:rPr>
        <w:t>and Acoustic</w:t>
      </w:r>
      <w:r>
        <w:rPr>
          <w:rFonts w:ascii="Cambria"/>
          <w:b/>
          <w:i/>
          <w:spacing w:val="40"/>
          <w:w w:val="105"/>
          <w:sz w:val="22"/>
        </w:rPr>
        <w:t> </w:t>
      </w:r>
      <w:r>
        <w:rPr>
          <w:rFonts w:ascii="Cambria"/>
          <w:b/>
          <w:i/>
          <w:w w:val="105"/>
          <w:sz w:val="22"/>
        </w:rPr>
        <w:t>Warfare</w:t>
      </w:r>
    </w:p>
    <w:p>
      <w:pPr>
        <w:pStyle w:val="BodyText"/>
        <w:spacing w:line="268" w:lineRule="auto" w:before="62"/>
        <w:ind w:right="1441" w:firstLine="432"/>
        <w:jc w:val="both"/>
      </w:pPr>
      <w:r>
        <w:rPr/>
        <w:t>Shakespeare initiated a “linguistic Big Bang” by coining or first recording</w:t>
      </w:r>
      <w:r>
        <w:rPr>
          <w:spacing w:val="-5"/>
        </w:rPr>
        <w:t> </w:t>
      </w:r>
      <w:r>
        <w:rPr/>
        <w:t>over</w:t>
      </w:r>
      <w:r>
        <w:rPr>
          <w:spacing w:val="-5"/>
        </w:rPr>
        <w:t> </w:t>
      </w:r>
      <w:r>
        <w:rPr/>
        <w:t>1,700</w:t>
      </w:r>
      <w:r>
        <w:rPr>
          <w:spacing w:val="-2"/>
        </w:rPr>
        <w:t> </w:t>
      </w:r>
      <w:r>
        <w:rPr/>
        <w:t>words.</w:t>
      </w:r>
      <w:r>
        <w:rPr>
          <w:spacing w:val="-4"/>
        </w:rPr>
        <w:t> </w:t>
      </w:r>
      <w:r>
        <w:rPr/>
        <w:t>When</w:t>
      </w:r>
      <w:r>
        <w:rPr>
          <w:spacing w:val="-7"/>
        </w:rPr>
        <w:t> </w:t>
      </w:r>
      <w:r>
        <w:rPr/>
        <w:t>existing</w:t>
      </w:r>
      <w:r>
        <w:rPr>
          <w:spacing w:val="-5"/>
        </w:rPr>
        <w:t> </w:t>
      </w:r>
      <w:r>
        <w:rPr/>
        <w:t>vocabulary</w:t>
      </w:r>
      <w:r>
        <w:rPr>
          <w:spacing w:val="-7"/>
        </w:rPr>
        <w:t> </w:t>
      </w:r>
      <w:r>
        <w:rPr/>
        <w:t>failed</w:t>
      </w:r>
      <w:r>
        <w:rPr>
          <w:spacing w:val="-5"/>
        </w:rPr>
        <w:t> </w:t>
      </w:r>
      <w:r>
        <w:rPr/>
        <w:t>to</w:t>
      </w:r>
      <w:r>
        <w:rPr>
          <w:spacing w:val="-4"/>
        </w:rPr>
        <w:t> </w:t>
      </w:r>
      <w:r>
        <w:rPr/>
        <w:t>capture the isolating ache of modern life, he invented the word “lonely”; to describe a cold, calculated political murder, he created “assassination”. David Crystal (2008) notes that Shakespeare shows us how to “dare to do things with the language” by bending and breaking rules in the service of the poetic</w:t>
      </w:r>
      <w:r>
        <w:rPr>
          <w:spacing w:val="40"/>
        </w:rPr>
        <w:t> </w:t>
      </w:r>
      <w:r>
        <w:rPr/>
        <w:t>imagination.</w:t>
      </w:r>
    </w:p>
    <w:p>
      <w:pPr>
        <w:pStyle w:val="BodyText"/>
        <w:spacing w:line="268" w:lineRule="auto" w:before="62"/>
        <w:ind w:right="1437" w:firstLine="432"/>
        <w:jc w:val="both"/>
      </w:pPr>
      <w:r>
        <w:rPr/>
        <w:t>Beyond vocabulary, his use of iambic pentameter mimics the biological</w:t>
      </w:r>
      <w:r>
        <w:rPr>
          <w:spacing w:val="-13"/>
        </w:rPr>
        <w:t> </w:t>
      </w:r>
      <w:r>
        <w:rPr/>
        <w:t>rhythm</w:t>
      </w:r>
      <w:r>
        <w:rPr>
          <w:spacing w:val="-12"/>
        </w:rPr>
        <w:t> </w:t>
      </w:r>
      <w:r>
        <w:rPr/>
        <w:t>of</w:t>
      </w:r>
      <w:r>
        <w:rPr>
          <w:spacing w:val="-13"/>
        </w:rPr>
        <w:t> </w:t>
      </w:r>
      <w:r>
        <w:rPr/>
        <w:t>the</w:t>
      </w:r>
      <w:r>
        <w:rPr>
          <w:spacing w:val="-12"/>
        </w:rPr>
        <w:t> </w:t>
      </w:r>
      <w:r>
        <w:rPr/>
        <w:t>human</w:t>
      </w:r>
      <w:r>
        <w:rPr>
          <w:spacing w:val="-13"/>
        </w:rPr>
        <w:t> </w:t>
      </w:r>
      <w:r>
        <w:rPr/>
        <w:t>heartbeat—ten</w:t>
      </w:r>
      <w:r>
        <w:rPr>
          <w:spacing w:val="-12"/>
        </w:rPr>
        <w:t> </w:t>
      </w:r>
      <w:r>
        <w:rPr/>
        <w:t>syllables,</w:t>
      </w:r>
      <w:r>
        <w:rPr>
          <w:spacing w:val="-13"/>
        </w:rPr>
        <w:t> </w:t>
      </w:r>
      <w:r>
        <w:rPr/>
        <w:t>five</w:t>
      </w:r>
      <w:r>
        <w:rPr>
          <w:spacing w:val="-12"/>
        </w:rPr>
        <w:t> </w:t>
      </w:r>
      <w:r>
        <w:rPr/>
        <w:t>heartbeats. This was not a rigid academic rule but a tool for mastery of physiology (Crystal, 2008). When a character experiences trauma, Shakespeare intentionally breaks the meter, forcing the actor’s lungs and heart to panic</w:t>
      </w:r>
      <w:r>
        <w:rPr>
          <w:spacing w:val="40"/>
        </w:rPr>
        <w:t> </w:t>
      </w:r>
      <w:r>
        <w:rPr/>
        <w:t>on</w:t>
      </w:r>
      <w:r>
        <w:rPr>
          <w:spacing w:val="40"/>
        </w:rPr>
        <w:t> </w:t>
      </w:r>
      <w:r>
        <w:rPr/>
        <w:t>stage</w:t>
      </w:r>
      <w:r>
        <w:rPr>
          <w:spacing w:val="40"/>
        </w:rPr>
        <w:t> </w:t>
      </w:r>
      <w:r>
        <w:rPr/>
        <w:t>physically.</w:t>
      </w:r>
    </w:p>
    <w:p>
      <w:pPr>
        <w:pStyle w:val="BodyText"/>
        <w:spacing w:line="268" w:lineRule="auto" w:before="60"/>
        <w:ind w:right="1438" w:firstLine="432"/>
        <w:jc w:val="both"/>
      </w:pPr>
      <w:r>
        <w:rPr/>
        <w:t>Furthermore, Shakespeare utilised “acoustic warfare” to engage his audience. He was the heavyweight champion of the intellectual roast, weaponising the alphabet through “plosives”—hard B, P, and K sounds that required the actor to strike the opponent with consonants.</w:t>
      </w:r>
      <w:r>
        <w:rPr>
          <w:spacing w:val="80"/>
        </w:rPr>
        <w:t> </w:t>
      </w:r>
      <w:r>
        <w:rPr/>
        <w:t>A</w:t>
      </w:r>
      <w:r>
        <w:rPr>
          <w:spacing w:val="-2"/>
        </w:rPr>
        <w:t> </w:t>
      </w:r>
      <w:r>
        <w:rPr/>
        <w:t>character</w:t>
      </w:r>
      <w:r>
        <w:rPr>
          <w:spacing w:val="-2"/>
        </w:rPr>
        <w:t> </w:t>
      </w:r>
      <w:r>
        <w:rPr/>
        <w:t>might declare, “Thou</w:t>
      </w:r>
      <w:r>
        <w:rPr>
          <w:spacing w:val="-3"/>
        </w:rPr>
        <w:t> </w:t>
      </w:r>
      <w:r>
        <w:rPr/>
        <w:t>art</w:t>
      </w:r>
      <w:r>
        <w:rPr>
          <w:spacing w:val="-1"/>
        </w:rPr>
        <w:t> </w:t>
      </w:r>
      <w:r>
        <w:rPr/>
        <w:t>a boil,</w:t>
      </w:r>
      <w:r>
        <w:rPr>
          <w:spacing w:val="-2"/>
        </w:rPr>
        <w:t> </w:t>
      </w:r>
      <w:r>
        <w:rPr/>
        <w:t>a plague sore,</w:t>
      </w:r>
      <w:r>
        <w:rPr>
          <w:spacing w:val="-2"/>
        </w:rPr>
        <w:t> </w:t>
      </w:r>
      <w:r>
        <w:rPr/>
        <w:t>an</w:t>
      </w:r>
      <w:r>
        <w:rPr>
          <w:spacing w:val="-2"/>
        </w:rPr>
        <w:t> </w:t>
      </w:r>
      <w:r>
        <w:rPr/>
        <w:t>embossed carbuncle in my corrupted blood”, using the physical sounds of letters as ammunition. He built a linguistic cathedral vast enough to house</w:t>
      </w:r>
      <w:r>
        <w:rPr>
          <w:spacing w:val="40"/>
        </w:rPr>
        <w:t> </w:t>
      </w:r>
      <w:r>
        <w:rPr/>
        <w:t>both transcendent</w:t>
      </w:r>
      <w:r>
        <w:rPr>
          <w:spacing w:val="40"/>
        </w:rPr>
        <w:t> </w:t>
      </w:r>
      <w:r>
        <w:rPr/>
        <w:t>questions about</w:t>
      </w:r>
      <w:r>
        <w:rPr>
          <w:spacing w:val="40"/>
        </w:rPr>
        <w:t> </w:t>
      </w:r>
      <w:r>
        <w:rPr/>
        <w:t>the</w:t>
      </w:r>
      <w:r>
        <w:rPr>
          <w:spacing w:val="40"/>
        </w:rPr>
        <w:t> </w:t>
      </w:r>
      <w:r>
        <w:rPr/>
        <w:t>soul</w:t>
      </w:r>
      <w:r>
        <w:rPr>
          <w:spacing w:val="40"/>
        </w:rPr>
        <w:t> </w:t>
      </w:r>
      <w:r>
        <w:rPr/>
        <w:t>and</w:t>
      </w:r>
      <w:r>
        <w:rPr>
          <w:spacing w:val="40"/>
        </w:rPr>
        <w:t> </w:t>
      </w:r>
      <w:r>
        <w:rPr/>
        <w:t>the</w:t>
      </w:r>
      <w:r>
        <w:rPr>
          <w:spacing w:val="40"/>
        </w:rPr>
        <w:t> </w:t>
      </w:r>
      <w:r>
        <w:rPr/>
        <w:t>most visceral insults</w:t>
      </w:r>
      <w:r>
        <w:rPr>
          <w:spacing w:val="40"/>
        </w:rPr>
        <w:t> </w:t>
      </w:r>
      <w:r>
        <w:rPr/>
        <w:t>of</w:t>
      </w:r>
      <w:r>
        <w:rPr>
          <w:spacing w:val="40"/>
        </w:rPr>
        <w:t> </w:t>
      </w:r>
      <w:r>
        <w:rPr/>
        <w:t>the</w:t>
      </w:r>
      <w:r>
        <w:rPr>
          <w:spacing w:val="40"/>
        </w:rPr>
        <w:t> </w:t>
      </w:r>
      <w:r>
        <w:rPr/>
        <w:t>16th</w:t>
      </w:r>
      <w:r>
        <w:rPr>
          <w:spacing w:val="40"/>
        </w:rPr>
        <w:t> </w:t>
      </w:r>
      <w:r>
        <w:rPr/>
        <w:t>century.</w:t>
      </w:r>
    </w:p>
    <w:p>
      <w:pPr>
        <w:pStyle w:val="BodyText"/>
        <w:spacing w:after="0" w:line="268"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30336">
                <wp:simplePos x="0" y="0"/>
                <wp:positionH relativeFrom="page">
                  <wp:posOffset>2065020</wp:posOffset>
                </wp:positionH>
                <wp:positionV relativeFrom="paragraph">
                  <wp:posOffset>795020</wp:posOffset>
                </wp:positionV>
                <wp:extent cx="3657600" cy="12700"/>
                <wp:effectExtent l="0" t="0" r="0" b="0"/>
                <wp:wrapTopAndBottom/>
                <wp:docPr id="182" name="Graphic 182"/>
                <wp:cNvGraphicFramePr>
                  <a:graphicFrameLocks/>
                </wp:cNvGraphicFramePr>
                <a:graphic>
                  <a:graphicData uri="http://schemas.microsoft.com/office/word/2010/wordprocessingShape">
                    <wps:wsp>
                      <wps:cNvPr id="182" name="Graphic 18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86144;mso-wrap-distance-left:0;mso-wrap-distance-right:0" id="docshape178" filled="true" fillcolor="#000000" stroked="false">
                <v:fill type="solid"/>
                <w10:wrap type="topAndBottom"/>
              </v:rect>
            </w:pict>
          </mc:Fallback>
        </mc:AlternateContent>
      </w:r>
      <w:r>
        <w:rPr>
          <w:rFonts w:ascii="Verdana"/>
          <w:spacing w:val="-4"/>
          <w:sz w:val="18"/>
        </w:rPr>
        <w:t>The</w:t>
      </w:r>
      <w:r>
        <w:rPr>
          <w:rFonts w:ascii="Verdana"/>
          <w:spacing w:val="10"/>
          <w:sz w:val="18"/>
        </w:rPr>
        <w:t> </w:t>
      </w:r>
      <w:r>
        <w:rPr>
          <w:rFonts w:ascii="Verdana"/>
          <w:spacing w:val="-4"/>
          <w:sz w:val="18"/>
        </w:rPr>
        <w:t>Timeless</w:t>
      </w:r>
      <w:r>
        <w:rPr>
          <w:rFonts w:ascii="Verdana"/>
          <w:spacing w:val="8"/>
          <w:sz w:val="18"/>
        </w:rPr>
        <w:t> </w:t>
      </w:r>
      <w:r>
        <w:rPr>
          <w:rFonts w:ascii="Verdana"/>
          <w:spacing w:val="-4"/>
          <w:sz w:val="18"/>
        </w:rPr>
        <w:t>Beauty</w:t>
      </w:r>
      <w:r>
        <w:rPr>
          <w:rFonts w:ascii="Verdana"/>
          <w:spacing w:val="12"/>
          <w:sz w:val="18"/>
        </w:rPr>
        <w:t> </w:t>
      </w:r>
      <w:r>
        <w:rPr>
          <w:rFonts w:ascii="Verdana"/>
          <w:spacing w:val="-4"/>
          <w:sz w:val="18"/>
        </w:rPr>
        <w:t>of</w:t>
      </w:r>
      <w:r>
        <w:rPr>
          <w:rFonts w:ascii="Verdana"/>
          <w:spacing w:val="11"/>
          <w:sz w:val="18"/>
        </w:rPr>
        <w:t> </w:t>
      </w:r>
      <w:r>
        <w:rPr>
          <w:rFonts w:ascii="Verdana"/>
          <w:spacing w:val="-4"/>
          <w:sz w:val="18"/>
        </w:rPr>
        <w:t>Shakespeare:</w:t>
      </w:r>
      <w:r>
        <w:rPr>
          <w:rFonts w:ascii="Verdana"/>
          <w:spacing w:val="7"/>
          <w:sz w:val="18"/>
        </w:rPr>
        <w:t> </w:t>
      </w:r>
      <w:r>
        <w:rPr>
          <w:rFonts w:ascii="Verdana"/>
          <w:spacing w:val="-4"/>
          <w:sz w:val="18"/>
        </w:rPr>
        <w:t>Universality...</w:t>
      </w:r>
      <w:r>
        <w:rPr>
          <w:sz w:val="18"/>
        </w:rPr>
        <w:tab/>
      </w:r>
      <w:r>
        <w:rPr>
          <w:rFonts w:ascii="Verdana"/>
          <w:spacing w:val="-5"/>
          <w:sz w:val="18"/>
        </w:rPr>
        <w:t>29</w:t>
      </w:r>
    </w:p>
    <w:p>
      <w:pPr>
        <w:pStyle w:val="Heading3"/>
        <w:ind w:right="1437"/>
      </w:pPr>
      <w:r>
        <w:rPr>
          <w:w w:val="90"/>
        </w:rPr>
        <w:t>PHILOSOPHICAL</w:t>
      </w:r>
      <w:r>
        <w:rPr>
          <w:spacing w:val="40"/>
        </w:rPr>
        <w:t> </w:t>
      </w:r>
      <w:r>
        <w:rPr>
          <w:w w:val="90"/>
        </w:rPr>
        <w:t>EXPLORATION:</w:t>
      </w:r>
      <w:r>
        <w:rPr>
          <w:spacing w:val="40"/>
        </w:rPr>
        <w:t> </w:t>
      </w:r>
      <w:r>
        <w:rPr>
          <w:w w:val="90"/>
        </w:rPr>
        <w:t>EXCERPTS</w:t>
      </w:r>
      <w:r>
        <w:rPr>
          <w:spacing w:val="40"/>
        </w:rPr>
        <w:t> </w:t>
      </w:r>
      <w:r>
        <w:rPr>
          <w:w w:val="90"/>
        </w:rPr>
        <w:t>ON</w:t>
      </w:r>
      <w:r>
        <w:rPr>
          <w:spacing w:val="40"/>
        </w:rPr>
        <w:t> </w:t>
      </w:r>
      <w:r>
        <w:rPr>
          <w:w w:val="90"/>
        </w:rPr>
        <w:t>THE </w:t>
      </w:r>
      <w:r>
        <w:rPr/>
        <w:t>HUMAN PSYCHE</w:t>
      </w:r>
    </w:p>
    <w:p>
      <w:pPr>
        <w:pStyle w:val="BodyText"/>
        <w:spacing w:line="249" w:lineRule="auto" w:before="74"/>
        <w:ind w:right="1442" w:firstLine="432"/>
        <w:jc w:val="both"/>
      </w:pPr>
      <w:r>
        <w:rPr/>
        <w:t>Shakespeare’s enduring relevance is cemented by his profound exploration of specific existential concerns:</w:t>
      </w:r>
    </w:p>
    <w:p>
      <w:pPr>
        <w:pStyle w:val="ListParagraph"/>
        <w:numPr>
          <w:ilvl w:val="0"/>
          <w:numId w:val="9"/>
        </w:numPr>
        <w:tabs>
          <w:tab w:pos="2160" w:val="left" w:leader="none"/>
        </w:tabs>
        <w:spacing w:line="261" w:lineRule="auto" w:before="66" w:after="0"/>
        <w:ind w:left="2160" w:right="1438" w:hanging="240"/>
        <w:jc w:val="both"/>
        <w:rPr>
          <w:sz w:val="20"/>
        </w:rPr>
      </w:pPr>
      <w:r>
        <w:rPr>
          <w:sz w:val="20"/>
        </w:rPr>
        <w:t>The Burden of Consciousness: In </w:t>
      </w:r>
      <w:r>
        <w:rPr>
          <w:i/>
          <w:sz w:val="20"/>
        </w:rPr>
        <w:t>Hamlet</w:t>
      </w:r>
      <w:r>
        <w:rPr>
          <w:sz w:val="20"/>
        </w:rPr>
        <w:t>, the protagonist </w:t>
      </w:r>
      <w:r>
        <w:rPr>
          <w:spacing w:val="-2"/>
          <w:sz w:val="20"/>
        </w:rPr>
        <w:t>wrestles</w:t>
      </w:r>
      <w:r>
        <w:rPr>
          <w:spacing w:val="-11"/>
          <w:sz w:val="20"/>
        </w:rPr>
        <w:t> </w:t>
      </w:r>
      <w:r>
        <w:rPr>
          <w:spacing w:val="-2"/>
          <w:sz w:val="20"/>
        </w:rPr>
        <w:t>with</w:t>
      </w:r>
      <w:r>
        <w:rPr>
          <w:spacing w:val="-8"/>
          <w:sz w:val="20"/>
        </w:rPr>
        <w:t> </w:t>
      </w:r>
      <w:r>
        <w:rPr>
          <w:spacing w:val="-2"/>
          <w:sz w:val="20"/>
        </w:rPr>
        <w:t>mortality:</w:t>
      </w:r>
      <w:r>
        <w:rPr>
          <w:spacing w:val="-10"/>
          <w:sz w:val="20"/>
        </w:rPr>
        <w:t> </w:t>
      </w:r>
      <w:r>
        <w:rPr>
          <w:spacing w:val="-2"/>
          <w:sz w:val="20"/>
        </w:rPr>
        <w:t>“To</w:t>
      </w:r>
      <w:r>
        <w:rPr>
          <w:spacing w:val="-6"/>
          <w:sz w:val="20"/>
        </w:rPr>
        <w:t> </w:t>
      </w:r>
      <w:r>
        <w:rPr>
          <w:spacing w:val="-2"/>
          <w:sz w:val="20"/>
        </w:rPr>
        <w:t>be,</w:t>
      </w:r>
      <w:r>
        <w:rPr>
          <w:spacing w:val="-9"/>
          <w:sz w:val="20"/>
        </w:rPr>
        <w:t> </w:t>
      </w:r>
      <w:r>
        <w:rPr>
          <w:spacing w:val="-2"/>
          <w:sz w:val="20"/>
        </w:rPr>
        <w:t>or</w:t>
      </w:r>
      <w:r>
        <w:rPr>
          <w:spacing w:val="-9"/>
          <w:sz w:val="20"/>
        </w:rPr>
        <w:t> </w:t>
      </w:r>
      <w:r>
        <w:rPr>
          <w:spacing w:val="-2"/>
          <w:sz w:val="20"/>
        </w:rPr>
        <w:t>not</w:t>
      </w:r>
      <w:r>
        <w:rPr>
          <w:spacing w:val="-6"/>
          <w:sz w:val="20"/>
        </w:rPr>
        <w:t> </w:t>
      </w:r>
      <w:r>
        <w:rPr>
          <w:spacing w:val="-2"/>
          <w:sz w:val="20"/>
        </w:rPr>
        <w:t>to</w:t>
      </w:r>
      <w:r>
        <w:rPr>
          <w:spacing w:val="-6"/>
          <w:sz w:val="20"/>
        </w:rPr>
        <w:t> </w:t>
      </w:r>
      <w:r>
        <w:rPr>
          <w:spacing w:val="-2"/>
          <w:sz w:val="20"/>
        </w:rPr>
        <w:t>be,</w:t>
      </w:r>
      <w:r>
        <w:rPr>
          <w:spacing w:val="-6"/>
          <w:sz w:val="20"/>
        </w:rPr>
        <w:t> </w:t>
      </w:r>
      <w:r>
        <w:rPr>
          <w:spacing w:val="-2"/>
          <w:sz w:val="20"/>
        </w:rPr>
        <w:t>that</w:t>
      </w:r>
      <w:r>
        <w:rPr>
          <w:spacing w:val="-11"/>
          <w:sz w:val="20"/>
        </w:rPr>
        <w:t> </w:t>
      </w:r>
      <w:r>
        <w:rPr>
          <w:spacing w:val="-2"/>
          <w:sz w:val="20"/>
        </w:rPr>
        <w:t>is</w:t>
      </w:r>
      <w:r>
        <w:rPr>
          <w:spacing w:val="-8"/>
          <w:sz w:val="20"/>
        </w:rPr>
        <w:t> </w:t>
      </w:r>
      <w:r>
        <w:rPr>
          <w:spacing w:val="-2"/>
          <w:sz w:val="20"/>
        </w:rPr>
        <w:t>the</w:t>
      </w:r>
      <w:r>
        <w:rPr>
          <w:spacing w:val="-11"/>
          <w:sz w:val="20"/>
        </w:rPr>
        <w:t> </w:t>
      </w:r>
      <w:r>
        <w:rPr>
          <w:spacing w:val="-2"/>
          <w:sz w:val="20"/>
        </w:rPr>
        <w:t>question” </w:t>
      </w:r>
      <w:r>
        <w:rPr>
          <w:sz w:val="20"/>
        </w:rPr>
        <w:t>(Shakespeare: 1603). This encapsulates the “tragic paralysis” born</w:t>
      </w:r>
      <w:r>
        <w:rPr>
          <w:spacing w:val="40"/>
          <w:sz w:val="20"/>
        </w:rPr>
        <w:t> </w:t>
      </w:r>
      <w:r>
        <w:rPr>
          <w:sz w:val="20"/>
        </w:rPr>
        <w:t>of</w:t>
      </w:r>
      <w:r>
        <w:rPr>
          <w:spacing w:val="40"/>
          <w:sz w:val="20"/>
        </w:rPr>
        <w:t> </w:t>
      </w:r>
      <w:r>
        <w:rPr>
          <w:sz w:val="20"/>
        </w:rPr>
        <w:t>overthinking.</w:t>
      </w:r>
    </w:p>
    <w:p>
      <w:pPr>
        <w:pStyle w:val="ListParagraph"/>
        <w:numPr>
          <w:ilvl w:val="0"/>
          <w:numId w:val="9"/>
        </w:numPr>
        <w:tabs>
          <w:tab w:pos="2160" w:val="left" w:leader="none"/>
        </w:tabs>
        <w:spacing w:line="261" w:lineRule="auto" w:before="56" w:after="0"/>
        <w:ind w:left="2160" w:right="1437" w:hanging="240"/>
        <w:jc w:val="both"/>
        <w:rPr>
          <w:sz w:val="20"/>
        </w:rPr>
      </w:pPr>
      <w:r>
        <w:rPr>
          <w:sz w:val="20"/>
        </w:rPr>
        <w:t>The Illusion of Meaning: Macbeth’s reflection that life is </w:t>
      </w:r>
      <w:r>
        <w:rPr>
          <w:i/>
          <w:sz w:val="20"/>
        </w:rPr>
        <w:t>a “walking shadow, a poor player / That struts and frets his</w:t>
      </w:r>
      <w:r>
        <w:rPr>
          <w:i/>
          <w:spacing w:val="40"/>
          <w:sz w:val="20"/>
        </w:rPr>
        <w:t> </w:t>
      </w:r>
      <w:r>
        <w:rPr>
          <w:i/>
          <w:sz w:val="20"/>
        </w:rPr>
        <w:t>hour upon the stage” </w:t>
      </w:r>
      <w:r>
        <w:rPr>
          <w:sz w:val="20"/>
        </w:rPr>
        <w:t>utilises metatheatre to highlight that existence may be brief and devoid of cosmic meaning (Shakespeare:</w:t>
      </w:r>
      <w:r>
        <w:rPr>
          <w:spacing w:val="-14"/>
          <w:sz w:val="20"/>
        </w:rPr>
        <w:t> </w:t>
      </w:r>
      <w:r>
        <w:rPr>
          <w:sz w:val="20"/>
        </w:rPr>
        <w:t>1606).</w:t>
      </w:r>
    </w:p>
    <w:p>
      <w:pPr>
        <w:pStyle w:val="ListParagraph"/>
        <w:numPr>
          <w:ilvl w:val="0"/>
          <w:numId w:val="9"/>
        </w:numPr>
        <w:tabs>
          <w:tab w:pos="2160" w:val="left" w:leader="none"/>
        </w:tabs>
        <w:spacing w:line="261" w:lineRule="auto" w:before="54" w:after="0"/>
        <w:ind w:left="2160" w:right="1438" w:hanging="240"/>
        <w:jc w:val="both"/>
        <w:rPr>
          <w:sz w:val="20"/>
        </w:rPr>
      </w:pPr>
      <w:r>
        <w:rPr>
          <w:sz w:val="20"/>
        </w:rPr>
        <w:t>The</w:t>
      </w:r>
      <w:r>
        <w:rPr>
          <w:spacing w:val="-3"/>
          <w:sz w:val="20"/>
        </w:rPr>
        <w:t> </w:t>
      </w:r>
      <w:r>
        <w:rPr>
          <w:sz w:val="20"/>
        </w:rPr>
        <w:t>Performance</w:t>
      </w:r>
      <w:r>
        <w:rPr>
          <w:spacing w:val="-1"/>
          <w:sz w:val="20"/>
        </w:rPr>
        <w:t> </w:t>
      </w:r>
      <w:r>
        <w:rPr>
          <w:sz w:val="20"/>
        </w:rPr>
        <w:t>of</w:t>
      </w:r>
      <w:r>
        <w:rPr>
          <w:spacing w:val="-4"/>
          <w:sz w:val="20"/>
        </w:rPr>
        <w:t> </w:t>
      </w:r>
      <w:r>
        <w:rPr>
          <w:sz w:val="20"/>
        </w:rPr>
        <w:t>Identity:</w:t>
      </w:r>
      <w:r>
        <w:rPr>
          <w:spacing w:val="-2"/>
          <w:sz w:val="20"/>
        </w:rPr>
        <w:t> </w:t>
      </w:r>
      <w:r>
        <w:rPr>
          <w:sz w:val="20"/>
        </w:rPr>
        <w:t>Spoken</w:t>
      </w:r>
      <w:r>
        <w:rPr>
          <w:spacing w:val="-2"/>
          <w:sz w:val="20"/>
        </w:rPr>
        <w:t> </w:t>
      </w:r>
      <w:r>
        <w:rPr>
          <w:sz w:val="20"/>
        </w:rPr>
        <w:t>by</w:t>
      </w:r>
      <w:r>
        <w:rPr>
          <w:spacing w:val="-5"/>
          <w:sz w:val="20"/>
        </w:rPr>
        <w:t> </w:t>
      </w:r>
      <w:r>
        <w:rPr>
          <w:sz w:val="20"/>
        </w:rPr>
        <w:t>Jaques</w:t>
      </w:r>
      <w:r>
        <w:rPr>
          <w:spacing w:val="-4"/>
          <w:sz w:val="20"/>
        </w:rPr>
        <w:t> </w:t>
      </w:r>
      <w:r>
        <w:rPr>
          <w:sz w:val="20"/>
        </w:rPr>
        <w:t>in </w:t>
      </w:r>
      <w:r>
        <w:rPr>
          <w:i/>
          <w:sz w:val="20"/>
        </w:rPr>
        <w:t>As</w:t>
      </w:r>
      <w:r>
        <w:rPr>
          <w:i/>
          <w:spacing w:val="-4"/>
          <w:sz w:val="20"/>
        </w:rPr>
        <w:t> </w:t>
      </w:r>
      <w:r>
        <w:rPr>
          <w:i/>
          <w:sz w:val="20"/>
        </w:rPr>
        <w:t>You Like It</w:t>
      </w:r>
      <w:r>
        <w:rPr>
          <w:sz w:val="20"/>
        </w:rPr>
        <w:t>, the </w:t>
      </w:r>
      <w:r>
        <w:rPr>
          <w:i/>
          <w:sz w:val="20"/>
        </w:rPr>
        <w:t>“All the world’s a stage” </w:t>
      </w:r>
      <w:r>
        <w:rPr>
          <w:sz w:val="20"/>
        </w:rPr>
        <w:t>monologue captures the concept</w:t>
      </w:r>
      <w:r>
        <w:rPr>
          <w:spacing w:val="26"/>
          <w:sz w:val="20"/>
        </w:rPr>
        <w:t> </w:t>
      </w:r>
      <w:r>
        <w:rPr>
          <w:sz w:val="20"/>
        </w:rPr>
        <w:t>of</w:t>
      </w:r>
      <w:r>
        <w:rPr>
          <w:spacing w:val="25"/>
          <w:sz w:val="20"/>
        </w:rPr>
        <w:t> </w:t>
      </w:r>
      <w:r>
        <w:rPr>
          <w:i/>
          <w:sz w:val="20"/>
        </w:rPr>
        <w:t>the</w:t>
      </w:r>
      <w:r>
        <w:rPr>
          <w:i/>
          <w:spacing w:val="26"/>
          <w:sz w:val="20"/>
        </w:rPr>
        <w:t> </w:t>
      </w:r>
      <w:r>
        <w:rPr>
          <w:i/>
          <w:sz w:val="20"/>
        </w:rPr>
        <w:t>theatrum</w:t>
      </w:r>
      <w:r>
        <w:rPr>
          <w:i/>
          <w:spacing w:val="26"/>
          <w:sz w:val="20"/>
        </w:rPr>
        <w:t> </w:t>
      </w:r>
      <w:r>
        <w:rPr>
          <w:i/>
          <w:sz w:val="20"/>
        </w:rPr>
        <w:t>mundi,</w:t>
      </w:r>
      <w:r>
        <w:rPr>
          <w:i/>
          <w:spacing w:val="30"/>
          <w:sz w:val="20"/>
        </w:rPr>
        <w:t> </w:t>
      </w:r>
      <w:r>
        <w:rPr>
          <w:i/>
          <w:sz w:val="20"/>
        </w:rPr>
        <w:t>in</w:t>
      </w:r>
      <w:r>
        <w:rPr>
          <w:i/>
          <w:spacing w:val="28"/>
          <w:sz w:val="20"/>
        </w:rPr>
        <w:t> </w:t>
      </w:r>
      <w:r>
        <w:rPr>
          <w:i/>
          <w:sz w:val="20"/>
        </w:rPr>
        <w:t>which</w:t>
      </w:r>
      <w:r>
        <w:rPr>
          <w:i/>
          <w:spacing w:val="29"/>
          <w:sz w:val="20"/>
        </w:rPr>
        <w:t> </w:t>
      </w:r>
      <w:r>
        <w:rPr>
          <w:sz w:val="20"/>
        </w:rPr>
        <w:t>identity</w:t>
      </w:r>
      <w:r>
        <w:rPr>
          <w:spacing w:val="23"/>
          <w:sz w:val="20"/>
        </w:rPr>
        <w:t> </w:t>
      </w:r>
      <w:r>
        <w:rPr>
          <w:sz w:val="20"/>
        </w:rPr>
        <w:t>is</w:t>
      </w:r>
      <w:r>
        <w:rPr>
          <w:spacing w:val="28"/>
          <w:sz w:val="20"/>
        </w:rPr>
        <w:t> </w:t>
      </w:r>
      <w:r>
        <w:rPr>
          <w:sz w:val="20"/>
        </w:rPr>
        <w:t>a</w:t>
      </w:r>
      <w:r>
        <w:rPr>
          <w:spacing w:val="27"/>
          <w:sz w:val="20"/>
        </w:rPr>
        <w:t> </w:t>
      </w:r>
      <w:r>
        <w:rPr>
          <w:sz w:val="20"/>
        </w:rPr>
        <w:t>series of socially constructed roles performed throughout the life </w:t>
      </w:r>
      <w:r>
        <w:rPr>
          <w:spacing w:val="-2"/>
          <w:sz w:val="20"/>
        </w:rPr>
        <w:t>cycle.</w:t>
      </w:r>
    </w:p>
    <w:p>
      <w:pPr>
        <w:pStyle w:val="ListParagraph"/>
        <w:numPr>
          <w:ilvl w:val="0"/>
          <w:numId w:val="9"/>
        </w:numPr>
        <w:tabs>
          <w:tab w:pos="2160" w:val="left" w:leader="none"/>
        </w:tabs>
        <w:spacing w:line="261" w:lineRule="auto" w:before="55" w:after="0"/>
        <w:ind w:left="2160" w:right="1437" w:hanging="240"/>
        <w:jc w:val="both"/>
        <w:rPr>
          <w:sz w:val="20"/>
        </w:rPr>
      </w:pPr>
      <w:r>
        <w:rPr>
          <w:sz w:val="20"/>
        </w:rPr>
        <w:t>Cosmic Indifference: In </w:t>
      </w:r>
      <w:r>
        <w:rPr>
          <w:i/>
          <w:sz w:val="20"/>
        </w:rPr>
        <w:t>King Lear</w:t>
      </w:r>
      <w:r>
        <w:rPr>
          <w:sz w:val="20"/>
        </w:rPr>
        <w:t>, the comparison</w:t>
      </w:r>
      <w:r>
        <w:rPr>
          <w:spacing w:val="-1"/>
          <w:sz w:val="20"/>
        </w:rPr>
        <w:t> </w:t>
      </w:r>
      <w:r>
        <w:rPr>
          <w:sz w:val="20"/>
        </w:rPr>
        <w:t>of humans to flies—</w:t>
      </w:r>
      <w:r>
        <w:rPr>
          <w:i/>
          <w:sz w:val="20"/>
        </w:rPr>
        <w:t>”As flies to wanton boys are we to th’ gods; / They kill us for their sport”</w:t>
      </w:r>
      <w:r>
        <w:rPr>
          <w:sz w:val="20"/>
        </w:rPr>
        <w:t>—strips away the idea of a benevolent </w:t>
      </w:r>
      <w:r>
        <w:rPr>
          <w:spacing w:val="-2"/>
          <w:sz w:val="20"/>
        </w:rPr>
        <w:t>universe.</w:t>
      </w:r>
    </w:p>
    <w:p>
      <w:pPr>
        <w:pStyle w:val="ListParagraph"/>
        <w:numPr>
          <w:ilvl w:val="0"/>
          <w:numId w:val="9"/>
        </w:numPr>
        <w:tabs>
          <w:tab w:pos="2160" w:val="left" w:leader="none"/>
        </w:tabs>
        <w:spacing w:line="261" w:lineRule="auto" w:before="56" w:after="0"/>
        <w:ind w:left="2160" w:right="1438" w:hanging="240"/>
        <w:jc w:val="both"/>
        <w:rPr>
          <w:sz w:val="20"/>
        </w:rPr>
      </w:pPr>
      <w:r>
        <w:rPr>
          <w:sz w:val="20"/>
        </w:rPr>
        <w:t>Language and Essence: Juliet’s lament in </w:t>
      </w:r>
      <w:r>
        <w:rPr>
          <w:i/>
          <w:sz w:val="20"/>
        </w:rPr>
        <w:t>Romeo and Juliet</w:t>
      </w:r>
      <w:r>
        <w:rPr>
          <w:sz w:val="20"/>
        </w:rPr>
        <w:t>, “</w:t>
      </w:r>
      <w:r>
        <w:rPr>
          <w:i/>
          <w:sz w:val="20"/>
        </w:rPr>
        <w:t>What’s in a name? That which we call a rose / By any other word would smell as sweet</w:t>
      </w:r>
      <w:r>
        <w:rPr>
          <w:sz w:val="20"/>
        </w:rPr>
        <w:t>”, questions whether social labels destroy</w:t>
      </w:r>
      <w:r>
        <w:rPr>
          <w:spacing w:val="40"/>
          <w:sz w:val="20"/>
        </w:rPr>
        <w:t> </w:t>
      </w:r>
      <w:r>
        <w:rPr>
          <w:sz w:val="20"/>
        </w:rPr>
        <w:t>genuine</w:t>
      </w:r>
      <w:r>
        <w:rPr>
          <w:spacing w:val="40"/>
          <w:sz w:val="20"/>
        </w:rPr>
        <w:t> </w:t>
      </w:r>
      <w:r>
        <w:rPr>
          <w:sz w:val="20"/>
        </w:rPr>
        <w:t>human</w:t>
      </w:r>
      <w:r>
        <w:rPr>
          <w:spacing w:val="40"/>
          <w:sz w:val="20"/>
        </w:rPr>
        <w:t> </w:t>
      </w:r>
      <w:r>
        <w:rPr>
          <w:sz w:val="20"/>
        </w:rPr>
        <w:t>connection.</w:t>
      </w:r>
    </w:p>
    <w:p>
      <w:pPr>
        <w:pStyle w:val="ListParagraph"/>
        <w:numPr>
          <w:ilvl w:val="0"/>
          <w:numId w:val="9"/>
        </w:numPr>
        <w:tabs>
          <w:tab w:pos="2160" w:val="left" w:leader="none"/>
        </w:tabs>
        <w:spacing w:line="261" w:lineRule="auto" w:before="55" w:after="0"/>
        <w:ind w:left="2160" w:right="1437" w:hanging="240"/>
        <w:jc w:val="both"/>
        <w:rPr>
          <w:sz w:val="20"/>
        </w:rPr>
      </w:pPr>
      <w:r>
        <w:rPr>
          <w:sz w:val="20"/>
        </w:rPr>
        <w:t>The</w:t>
      </w:r>
      <w:r>
        <w:rPr>
          <w:spacing w:val="-1"/>
          <w:sz w:val="20"/>
        </w:rPr>
        <w:t> </w:t>
      </w:r>
      <w:r>
        <w:rPr>
          <w:sz w:val="20"/>
        </w:rPr>
        <w:t>Duality</w:t>
      </w:r>
      <w:r>
        <w:rPr>
          <w:spacing w:val="-2"/>
          <w:sz w:val="20"/>
        </w:rPr>
        <w:t> </w:t>
      </w:r>
      <w:r>
        <w:rPr>
          <w:sz w:val="20"/>
        </w:rPr>
        <w:t>of</w:t>
      </w:r>
      <w:r>
        <w:rPr>
          <w:spacing w:val="-4"/>
          <w:sz w:val="20"/>
        </w:rPr>
        <w:t> </w:t>
      </w:r>
      <w:r>
        <w:rPr>
          <w:sz w:val="20"/>
        </w:rPr>
        <w:t>Human</w:t>
      </w:r>
      <w:r>
        <w:rPr>
          <w:spacing w:val="-4"/>
          <w:sz w:val="20"/>
        </w:rPr>
        <w:t> </w:t>
      </w:r>
      <w:r>
        <w:rPr>
          <w:sz w:val="20"/>
        </w:rPr>
        <w:t>Nature: Hamlet’s</w:t>
      </w:r>
      <w:r>
        <w:rPr>
          <w:spacing w:val="-4"/>
          <w:sz w:val="20"/>
        </w:rPr>
        <w:t> </w:t>
      </w:r>
      <w:r>
        <w:rPr>
          <w:sz w:val="20"/>
        </w:rPr>
        <w:t>prose passage,</w:t>
      </w:r>
      <w:r>
        <w:rPr>
          <w:spacing w:val="-2"/>
          <w:sz w:val="20"/>
        </w:rPr>
        <w:t> </w:t>
      </w:r>
      <w:r>
        <w:rPr>
          <w:sz w:val="20"/>
        </w:rPr>
        <w:t>“</w:t>
      </w:r>
      <w:r>
        <w:rPr>
          <w:i/>
          <w:sz w:val="20"/>
        </w:rPr>
        <w:t>What a piece of work is a man!</w:t>
      </w:r>
      <w:r>
        <w:rPr>
          <w:sz w:val="20"/>
        </w:rPr>
        <w:t>”, maps the stark psychological realism of depression, where one intellectually recognises the beauty</w:t>
      </w:r>
      <w:r>
        <w:rPr>
          <w:spacing w:val="-13"/>
          <w:sz w:val="20"/>
        </w:rPr>
        <w:t> </w:t>
      </w:r>
      <w:r>
        <w:rPr>
          <w:sz w:val="20"/>
        </w:rPr>
        <w:t>of</w:t>
      </w:r>
      <w:r>
        <w:rPr>
          <w:spacing w:val="-12"/>
          <w:sz w:val="20"/>
        </w:rPr>
        <w:t> </w:t>
      </w:r>
      <w:r>
        <w:rPr>
          <w:sz w:val="20"/>
        </w:rPr>
        <w:t>the</w:t>
      </w:r>
      <w:r>
        <w:rPr>
          <w:spacing w:val="-13"/>
          <w:sz w:val="20"/>
        </w:rPr>
        <w:t> </w:t>
      </w:r>
      <w:r>
        <w:rPr>
          <w:sz w:val="20"/>
        </w:rPr>
        <w:t>world</w:t>
      </w:r>
      <w:r>
        <w:rPr>
          <w:spacing w:val="-12"/>
          <w:sz w:val="20"/>
        </w:rPr>
        <w:t> </w:t>
      </w:r>
      <w:r>
        <w:rPr>
          <w:sz w:val="20"/>
        </w:rPr>
        <w:t>while</w:t>
      </w:r>
      <w:r>
        <w:rPr>
          <w:spacing w:val="-13"/>
          <w:sz w:val="20"/>
        </w:rPr>
        <w:t> </w:t>
      </w:r>
      <w:r>
        <w:rPr>
          <w:sz w:val="20"/>
        </w:rPr>
        <w:t>remaining</w:t>
      </w:r>
      <w:r>
        <w:rPr>
          <w:spacing w:val="-12"/>
          <w:sz w:val="20"/>
        </w:rPr>
        <w:t> </w:t>
      </w:r>
      <w:r>
        <w:rPr>
          <w:sz w:val="20"/>
        </w:rPr>
        <w:t>emotionally</w:t>
      </w:r>
      <w:r>
        <w:rPr>
          <w:spacing w:val="-13"/>
          <w:sz w:val="20"/>
        </w:rPr>
        <w:t> </w:t>
      </w:r>
      <w:r>
        <w:rPr>
          <w:sz w:val="20"/>
        </w:rPr>
        <w:t>divorced</w:t>
      </w:r>
      <w:r>
        <w:rPr>
          <w:spacing w:val="-12"/>
          <w:sz w:val="20"/>
        </w:rPr>
        <w:t> </w:t>
      </w:r>
      <w:r>
        <w:rPr>
          <w:sz w:val="20"/>
        </w:rPr>
        <w:t>from </w:t>
      </w:r>
      <w:r>
        <w:rPr>
          <w:spacing w:val="-4"/>
          <w:sz w:val="20"/>
        </w:rPr>
        <w:t>it.</w:t>
      </w:r>
    </w:p>
    <w:p>
      <w:pPr>
        <w:pStyle w:val="Heading3"/>
        <w:spacing w:before="143"/>
      </w:pPr>
      <w:r>
        <w:rPr>
          <w:spacing w:val="-2"/>
          <w:w w:val="90"/>
        </w:rPr>
        <w:t>CHARACTER</w:t>
      </w:r>
      <w:r>
        <w:rPr>
          <w:spacing w:val="-16"/>
          <w:w w:val="90"/>
        </w:rPr>
        <w:t> </w:t>
      </w:r>
      <w:r>
        <w:rPr>
          <w:spacing w:val="-2"/>
          <w:w w:val="90"/>
        </w:rPr>
        <w:t>COMPLEXITY</w:t>
      </w:r>
      <w:r>
        <w:rPr>
          <w:spacing w:val="-17"/>
          <w:w w:val="90"/>
        </w:rPr>
        <w:t> </w:t>
      </w:r>
      <w:r>
        <w:rPr>
          <w:spacing w:val="-2"/>
          <w:w w:val="90"/>
        </w:rPr>
        <w:t>AND</w:t>
      </w:r>
      <w:r>
        <w:rPr>
          <w:spacing w:val="-20"/>
          <w:w w:val="90"/>
        </w:rPr>
        <w:t> </w:t>
      </w:r>
      <w:r>
        <w:rPr>
          <w:spacing w:val="-2"/>
          <w:w w:val="90"/>
        </w:rPr>
        <w:t>THE</w:t>
      </w:r>
      <w:r>
        <w:rPr>
          <w:spacing w:val="-19"/>
          <w:w w:val="90"/>
        </w:rPr>
        <w:t> </w:t>
      </w:r>
      <w:r>
        <w:rPr>
          <w:spacing w:val="-2"/>
          <w:w w:val="90"/>
        </w:rPr>
        <w:t>EMPATHY</w:t>
      </w:r>
      <w:r>
        <w:rPr>
          <w:spacing w:val="-17"/>
          <w:w w:val="90"/>
        </w:rPr>
        <w:t> </w:t>
      </w:r>
      <w:r>
        <w:rPr>
          <w:spacing w:val="-2"/>
          <w:w w:val="90"/>
        </w:rPr>
        <w:t>MACHINE</w:t>
      </w:r>
    </w:p>
    <w:p>
      <w:pPr>
        <w:pStyle w:val="BodyText"/>
        <w:spacing w:line="249" w:lineRule="auto" w:before="76"/>
        <w:ind w:right="1438" w:firstLine="432"/>
        <w:jc w:val="both"/>
      </w:pPr>
      <w:r>
        <w:rPr/>
        <w:t>Shakespeare eschewed perfect role models to invent the modern anti-hero (Bloom:</w:t>
      </w:r>
      <w:r>
        <w:rPr>
          <w:spacing w:val="-1"/>
        </w:rPr>
        <w:t> </w:t>
      </w:r>
      <w:r>
        <w:rPr/>
        <w:t>1998). His</w:t>
      </w:r>
      <w:r>
        <w:rPr>
          <w:spacing w:val="-1"/>
        </w:rPr>
        <w:t> </w:t>
      </w:r>
      <w:r>
        <w:rPr/>
        <w:t>monsters are hiding</w:t>
      </w:r>
      <w:r>
        <w:rPr>
          <w:spacing w:val="-3"/>
        </w:rPr>
        <w:t> </w:t>
      </w:r>
      <w:r>
        <w:rPr/>
        <w:t>in the</w:t>
      </w:r>
      <w:r>
        <w:rPr>
          <w:spacing w:val="-2"/>
        </w:rPr>
        <w:t> </w:t>
      </w:r>
      <w:r>
        <w:rPr/>
        <w:t>mirror: </w:t>
      </w:r>
      <w:r>
        <w:rPr>
          <w:i/>
        </w:rPr>
        <w:t>Hamlet </w:t>
      </w:r>
      <w:r>
        <w:rPr/>
        <w:t>is the ultimate portrait of clinical anxiety, while </w:t>
      </w:r>
      <w:r>
        <w:rPr>
          <w:i/>
        </w:rPr>
        <w:t>Macbeth </w:t>
      </w:r>
      <w:r>
        <w:rPr/>
        <w:t>explores the psychological</w:t>
      </w:r>
      <w:r>
        <w:rPr>
          <w:spacing w:val="23"/>
        </w:rPr>
        <w:t> </w:t>
      </w:r>
      <w:r>
        <w:rPr/>
        <w:t>rot</w:t>
      </w:r>
      <w:r>
        <w:rPr>
          <w:spacing w:val="26"/>
        </w:rPr>
        <w:t> </w:t>
      </w:r>
      <w:r>
        <w:rPr/>
        <w:t>of</w:t>
      </w:r>
      <w:r>
        <w:rPr>
          <w:spacing w:val="21"/>
        </w:rPr>
        <w:t> </w:t>
      </w:r>
      <w:r>
        <w:rPr/>
        <w:t>toxic</w:t>
      </w:r>
      <w:r>
        <w:rPr>
          <w:spacing w:val="27"/>
        </w:rPr>
        <w:t> </w:t>
      </w:r>
      <w:r>
        <w:rPr/>
        <w:t>ambition</w:t>
      </w:r>
      <w:r>
        <w:rPr>
          <w:spacing w:val="22"/>
        </w:rPr>
        <w:t> </w:t>
      </w:r>
      <w:r>
        <w:rPr/>
        <w:t>and</w:t>
      </w:r>
      <w:r>
        <w:rPr>
          <w:spacing w:val="25"/>
        </w:rPr>
        <w:t> </w:t>
      </w:r>
      <w:r>
        <w:rPr/>
        <w:t>imposter</w:t>
      </w:r>
      <w:r>
        <w:rPr>
          <w:spacing w:val="25"/>
        </w:rPr>
        <w:t> </w:t>
      </w:r>
      <w:r>
        <w:rPr/>
        <w:t>syndrome.</w:t>
      </w:r>
      <w:r>
        <w:rPr>
          <w:spacing w:val="25"/>
        </w:rPr>
        <w:t> </w:t>
      </w:r>
      <w:r>
        <w:rPr>
          <w:spacing w:val="-2"/>
        </w:rPr>
        <w:t>Through</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30848">
                <wp:simplePos x="0" y="0"/>
                <wp:positionH relativeFrom="page">
                  <wp:posOffset>2057400</wp:posOffset>
                </wp:positionH>
                <wp:positionV relativeFrom="paragraph">
                  <wp:posOffset>162604</wp:posOffset>
                </wp:positionV>
                <wp:extent cx="3657600" cy="12700"/>
                <wp:effectExtent l="0" t="0" r="0" b="0"/>
                <wp:wrapTopAndBottom/>
                <wp:docPr id="183" name="Graphic 183"/>
                <wp:cNvGraphicFramePr>
                  <a:graphicFrameLocks/>
                </wp:cNvGraphicFramePr>
                <a:graphic>
                  <a:graphicData uri="http://schemas.microsoft.com/office/word/2010/wordprocessingShape">
                    <wps:wsp>
                      <wps:cNvPr id="183" name="Graphic 18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85632;mso-wrap-distance-left:0;mso-wrap-distance-right:0" id="docshape179" filled="true" fillcolor="#000000" stroked="false">
                <v:fill type="solid"/>
                <w10:wrap type="topAndBottom"/>
              </v:rect>
            </w:pict>
          </mc:Fallback>
        </mc:AlternateContent>
      </w:r>
      <w:r>
        <w:rPr>
          <w:rFonts w:ascii="Verdana"/>
          <w:spacing w:val="-5"/>
          <w:sz w:val="18"/>
        </w:rPr>
        <w:t>30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characters like Shylock in </w:t>
      </w:r>
      <w:r>
        <w:rPr>
          <w:i/>
        </w:rPr>
        <w:t>The Merchant</w:t>
      </w:r>
      <w:r>
        <w:rPr>
          <w:i/>
          <w:spacing w:val="21"/>
        </w:rPr>
        <w:t> </w:t>
      </w:r>
      <w:r>
        <w:rPr>
          <w:i/>
        </w:rPr>
        <w:t>of Venice</w:t>
      </w:r>
      <w:r>
        <w:rPr/>
        <w:t>, he used</w:t>
      </w:r>
      <w:r>
        <w:rPr>
          <w:spacing w:val="21"/>
        </w:rPr>
        <w:t> </w:t>
      </w:r>
      <w:r>
        <w:rPr/>
        <w:t>the stage</w:t>
      </w:r>
      <w:r>
        <w:rPr>
          <w:spacing w:val="40"/>
        </w:rPr>
        <w:t> </w:t>
      </w:r>
      <w:r>
        <w:rPr/>
        <w:t>as</w:t>
      </w:r>
      <w:r>
        <w:rPr>
          <w:spacing w:val="-8"/>
        </w:rPr>
        <w:t> </w:t>
      </w:r>
      <w:r>
        <w:rPr/>
        <w:t>an</w:t>
      </w:r>
      <w:r>
        <w:rPr>
          <w:spacing w:val="-8"/>
        </w:rPr>
        <w:t> </w:t>
      </w:r>
      <w:r>
        <w:rPr/>
        <w:t>“empathy</w:t>
      </w:r>
      <w:r>
        <w:rPr>
          <w:spacing w:val="-10"/>
        </w:rPr>
        <w:t> </w:t>
      </w:r>
      <w:r>
        <w:rPr/>
        <w:t>machine”.</w:t>
      </w:r>
      <w:r>
        <w:rPr>
          <w:spacing w:val="-10"/>
        </w:rPr>
        <w:t> </w:t>
      </w:r>
      <w:r>
        <w:rPr/>
        <w:t>Shylock’s</w:t>
      </w:r>
      <w:r>
        <w:rPr>
          <w:spacing w:val="-8"/>
        </w:rPr>
        <w:t> </w:t>
      </w:r>
      <w:r>
        <w:rPr/>
        <w:t>impassioned</w:t>
      </w:r>
      <w:r>
        <w:rPr>
          <w:spacing w:val="-6"/>
        </w:rPr>
        <w:t> </w:t>
      </w:r>
      <w:r>
        <w:rPr/>
        <w:t>defence</w:t>
      </w:r>
      <w:r>
        <w:rPr>
          <w:spacing w:val="-6"/>
        </w:rPr>
        <w:t> </w:t>
      </w:r>
      <w:r>
        <w:rPr/>
        <w:t>of</w:t>
      </w:r>
      <w:r>
        <w:rPr>
          <w:spacing w:val="-8"/>
        </w:rPr>
        <w:t> </w:t>
      </w:r>
      <w:r>
        <w:rPr/>
        <w:t>equality—”If you prick us, do we not bleed?”—forced a prejudiced Elizabethan crowd to confront their shared, identical biological and emotional architecture (Shakespeare: 1596).</w:t>
      </w:r>
    </w:p>
    <w:p>
      <w:pPr>
        <w:pStyle w:val="BodyText"/>
        <w:spacing w:line="249" w:lineRule="auto" w:before="62"/>
        <w:ind w:right="1436" w:firstLine="432"/>
        <w:jc w:val="both"/>
      </w:pPr>
      <w:r>
        <w:rPr/>
        <w:t>In the realm of romance, Shakespeare shattered the fairy tale. </w:t>
      </w:r>
      <w:r>
        <w:rPr>
          <w:i/>
        </w:rPr>
        <w:t>Romeo</w:t>
      </w:r>
      <w:r>
        <w:rPr>
          <w:i/>
          <w:spacing w:val="20"/>
        </w:rPr>
        <w:t> </w:t>
      </w:r>
      <w:r>
        <w:rPr>
          <w:i/>
        </w:rPr>
        <w:t>and</w:t>
      </w:r>
      <w:r>
        <w:rPr>
          <w:i/>
          <w:spacing w:val="20"/>
        </w:rPr>
        <w:t> </w:t>
      </w:r>
      <w:r>
        <w:rPr>
          <w:i/>
        </w:rPr>
        <w:t>Juliet</w:t>
      </w:r>
      <w:r>
        <w:rPr>
          <w:i/>
          <w:spacing w:val="20"/>
        </w:rPr>
        <w:t> </w:t>
      </w:r>
      <w:r>
        <w:rPr/>
        <w:t>is</w:t>
      </w:r>
      <w:r>
        <w:rPr>
          <w:spacing w:val="22"/>
        </w:rPr>
        <w:t> </w:t>
      </w:r>
      <w:r>
        <w:rPr/>
        <w:t>not</w:t>
      </w:r>
      <w:r>
        <w:rPr>
          <w:spacing w:val="19"/>
        </w:rPr>
        <w:t> </w:t>
      </w:r>
      <w:r>
        <w:rPr/>
        <w:t>a</w:t>
      </w:r>
      <w:r>
        <w:rPr>
          <w:spacing w:val="21"/>
        </w:rPr>
        <w:t> </w:t>
      </w:r>
      <w:r>
        <w:rPr/>
        <w:t>mature</w:t>
      </w:r>
      <w:r>
        <w:rPr>
          <w:spacing w:val="20"/>
        </w:rPr>
        <w:t> </w:t>
      </w:r>
      <w:r>
        <w:rPr/>
        <w:t>romantic</w:t>
      </w:r>
      <w:r>
        <w:rPr>
          <w:spacing w:val="21"/>
        </w:rPr>
        <w:t> </w:t>
      </w:r>
      <w:r>
        <w:rPr/>
        <w:t>ideal</w:t>
      </w:r>
      <w:r>
        <w:rPr>
          <w:spacing w:val="19"/>
        </w:rPr>
        <w:t> </w:t>
      </w:r>
      <w:r>
        <w:rPr/>
        <w:t>but</w:t>
      </w:r>
      <w:r>
        <w:rPr>
          <w:spacing w:val="20"/>
        </w:rPr>
        <w:t> </w:t>
      </w:r>
      <w:r>
        <w:rPr/>
        <w:t>a</w:t>
      </w:r>
      <w:r>
        <w:rPr>
          <w:spacing w:val="19"/>
        </w:rPr>
        <w:t> </w:t>
      </w:r>
      <w:r>
        <w:rPr/>
        <w:t>warning</w:t>
      </w:r>
      <w:r>
        <w:rPr>
          <w:spacing w:val="20"/>
        </w:rPr>
        <w:t> </w:t>
      </w:r>
      <w:r>
        <w:rPr/>
        <w:t>about a volatile teenage chemical meltdown. For a successful modern partnership, one must look to Beatrice and Benedick in </w:t>
      </w:r>
      <w:r>
        <w:rPr>
          <w:i/>
        </w:rPr>
        <w:t>Much Ado About Nothing</w:t>
      </w:r>
      <w:r>
        <w:rPr/>
        <w:t>, who find love through intellectual parity and the willingness</w:t>
      </w:r>
      <w:r>
        <w:rPr>
          <w:spacing w:val="40"/>
        </w:rPr>
        <w:t> </w:t>
      </w:r>
      <w:r>
        <w:rPr/>
        <w:t>to</w:t>
      </w:r>
      <w:r>
        <w:rPr>
          <w:spacing w:val="40"/>
        </w:rPr>
        <w:t> </w:t>
      </w:r>
      <w:r>
        <w:rPr/>
        <w:t>drop</w:t>
      </w:r>
      <w:r>
        <w:rPr>
          <w:spacing w:val="40"/>
        </w:rPr>
        <w:t> </w:t>
      </w:r>
      <w:r>
        <w:rPr/>
        <w:t>cynical</w:t>
      </w:r>
      <w:r>
        <w:rPr>
          <w:spacing w:val="40"/>
        </w:rPr>
        <w:t> </w:t>
      </w:r>
      <w:r>
        <w:rPr/>
        <w:t>defences.</w:t>
      </w:r>
    </w:p>
    <w:p>
      <w:pPr>
        <w:pStyle w:val="Heading3"/>
        <w:spacing w:before="158"/>
        <w:ind w:right="1441"/>
        <w:jc w:val="both"/>
      </w:pPr>
      <w:r>
        <w:rPr>
          <w:w w:val="85"/>
        </w:rPr>
        <w:t>THE “OPEN-SOURCE” BLUEPRINT AND THE POP CULTURE </w:t>
      </w:r>
      <w:r>
        <w:rPr>
          <w:spacing w:val="-2"/>
        </w:rPr>
        <w:t>SANDBOX</w:t>
      </w:r>
    </w:p>
    <w:p>
      <w:pPr>
        <w:pStyle w:val="BodyText"/>
        <w:spacing w:line="249" w:lineRule="auto" w:before="74"/>
        <w:ind w:right="1440" w:firstLine="432"/>
        <w:jc w:val="both"/>
      </w:pPr>
      <w:r>
        <w:rPr/>
        <w:t>A</w:t>
      </w:r>
      <w:r>
        <w:rPr>
          <w:spacing w:val="-1"/>
        </w:rPr>
        <w:t> </w:t>
      </w:r>
      <w:r>
        <w:rPr/>
        <w:t>vital secret to Shakespeare’s longevity is that his scripts act as an “open-source code” (Schalkwyk: 2013). By utilising minimal stage directions—such</w:t>
      </w:r>
      <w:r>
        <w:rPr>
          <w:spacing w:val="20"/>
        </w:rPr>
        <w:t> </w:t>
      </w:r>
      <w:r>
        <w:rPr/>
        <w:t>as</w:t>
      </w:r>
      <w:r>
        <w:rPr>
          <w:spacing w:val="23"/>
        </w:rPr>
        <w:t> </w:t>
      </w:r>
      <w:r>
        <w:rPr/>
        <w:t>the</w:t>
      </w:r>
      <w:r>
        <w:rPr>
          <w:spacing w:val="21"/>
        </w:rPr>
        <w:t> </w:t>
      </w:r>
      <w:r>
        <w:rPr/>
        <w:t>famous</w:t>
      </w:r>
      <w:r>
        <w:rPr>
          <w:spacing w:val="21"/>
        </w:rPr>
        <w:t> </w:t>
      </w:r>
      <w:r>
        <w:rPr/>
        <w:t>“Exit,</w:t>
      </w:r>
      <w:r>
        <w:rPr>
          <w:spacing w:val="23"/>
        </w:rPr>
        <w:t> </w:t>
      </w:r>
      <w:r>
        <w:rPr/>
        <w:t>pursued</w:t>
      </w:r>
      <w:r>
        <w:rPr>
          <w:spacing w:val="21"/>
        </w:rPr>
        <w:t> </w:t>
      </w:r>
      <w:r>
        <w:rPr/>
        <w:t>by</w:t>
      </w:r>
      <w:r>
        <w:rPr>
          <w:spacing w:val="18"/>
        </w:rPr>
        <w:t> </w:t>
      </w:r>
      <w:r>
        <w:rPr/>
        <w:t>a</w:t>
      </w:r>
      <w:r>
        <w:rPr>
          <w:spacing w:val="24"/>
        </w:rPr>
        <w:t> </w:t>
      </w:r>
      <w:r>
        <w:rPr/>
        <w:t>bear”—he</w:t>
      </w:r>
      <w:r>
        <w:rPr>
          <w:spacing w:val="22"/>
        </w:rPr>
        <w:t> </w:t>
      </w:r>
      <w:r>
        <w:rPr/>
        <w:t>leaves a massive space for every generation to project their own anxieties. Akira Kurosawa’s </w:t>
      </w:r>
      <w:r>
        <w:rPr>
          <w:i/>
        </w:rPr>
        <w:t>Throne of Blood </w:t>
      </w:r>
      <w:r>
        <w:rPr/>
        <w:t>successfully adapted </w:t>
      </w:r>
      <w:r>
        <w:rPr>
          <w:i/>
        </w:rPr>
        <w:t>Macbeth </w:t>
      </w:r>
      <w:r>
        <w:rPr/>
        <w:t>into feudal Japan, proving the play is a universal map of spiritual rot rather than</w:t>
      </w:r>
      <w:r>
        <w:rPr>
          <w:spacing w:val="40"/>
        </w:rPr>
        <w:t> </w:t>
      </w:r>
      <w:r>
        <w:rPr/>
        <w:t>a</w:t>
      </w:r>
      <w:r>
        <w:rPr>
          <w:spacing w:val="40"/>
        </w:rPr>
        <w:t> </w:t>
      </w:r>
      <w:r>
        <w:rPr/>
        <w:t>localised</w:t>
      </w:r>
      <w:r>
        <w:rPr>
          <w:spacing w:val="40"/>
        </w:rPr>
        <w:t> </w:t>
      </w:r>
      <w:r>
        <w:rPr/>
        <w:t>history</w:t>
      </w:r>
      <w:r>
        <w:rPr>
          <w:spacing w:val="40"/>
        </w:rPr>
        <w:t> </w:t>
      </w:r>
      <w:r>
        <w:rPr/>
        <w:t>lesson.</w:t>
      </w:r>
    </w:p>
    <w:p>
      <w:pPr>
        <w:pStyle w:val="BodyText"/>
        <w:spacing w:line="249" w:lineRule="auto" w:before="66"/>
        <w:ind w:right="1436" w:firstLine="432"/>
        <w:jc w:val="both"/>
      </w:pPr>
      <w:r>
        <w:rPr/>
        <w:t>This</w:t>
      </w:r>
      <w:r>
        <w:rPr>
          <w:spacing w:val="-6"/>
        </w:rPr>
        <w:t> </w:t>
      </w:r>
      <w:r>
        <w:rPr/>
        <w:t>structural</w:t>
      </w:r>
      <w:r>
        <w:rPr>
          <w:spacing w:val="-6"/>
        </w:rPr>
        <w:t> </w:t>
      </w:r>
      <w:r>
        <w:rPr/>
        <w:t>“titanium”</w:t>
      </w:r>
      <w:r>
        <w:rPr>
          <w:spacing w:val="-4"/>
        </w:rPr>
        <w:t> </w:t>
      </w:r>
      <w:r>
        <w:rPr/>
        <w:t>allows</w:t>
      </w:r>
      <w:r>
        <w:rPr>
          <w:spacing w:val="-4"/>
        </w:rPr>
        <w:t> </w:t>
      </w:r>
      <w:r>
        <w:rPr/>
        <w:t>Shakespeare</w:t>
      </w:r>
      <w:r>
        <w:rPr>
          <w:spacing w:val="-8"/>
        </w:rPr>
        <w:t> </w:t>
      </w:r>
      <w:r>
        <w:rPr/>
        <w:t>to</w:t>
      </w:r>
      <w:r>
        <w:rPr>
          <w:spacing w:val="-4"/>
        </w:rPr>
        <w:t> </w:t>
      </w:r>
      <w:r>
        <w:rPr/>
        <w:t>thrive</w:t>
      </w:r>
      <w:r>
        <w:rPr>
          <w:spacing w:val="-5"/>
        </w:rPr>
        <w:t> </w:t>
      </w:r>
      <w:r>
        <w:rPr/>
        <w:t>in</w:t>
      </w:r>
      <w:r>
        <w:rPr>
          <w:spacing w:val="-6"/>
        </w:rPr>
        <w:t> </w:t>
      </w:r>
      <w:r>
        <w:rPr/>
        <w:t>the</w:t>
      </w:r>
      <w:r>
        <w:rPr>
          <w:spacing w:val="-6"/>
        </w:rPr>
        <w:t> </w:t>
      </w:r>
      <w:r>
        <w:rPr/>
        <w:t>“pop culture sandbox”. Audiences watching </w:t>
      </w:r>
      <w:r>
        <w:rPr>
          <w:i/>
        </w:rPr>
        <w:t>The Lion King </w:t>
      </w:r>
      <w:r>
        <w:rPr/>
        <w:t>are watching </w:t>
      </w:r>
      <w:r>
        <w:rPr>
          <w:i/>
        </w:rPr>
        <w:t>Hamlet</w:t>
      </w:r>
      <w:r>
        <w:rPr>
          <w:i/>
          <w:spacing w:val="-6"/>
        </w:rPr>
        <w:t> </w:t>
      </w:r>
      <w:r>
        <w:rPr/>
        <w:t>with</w:t>
      </w:r>
      <w:r>
        <w:rPr>
          <w:spacing w:val="-8"/>
        </w:rPr>
        <w:t> </w:t>
      </w:r>
      <w:r>
        <w:rPr/>
        <w:t>lions;</w:t>
      </w:r>
      <w:r>
        <w:rPr>
          <w:spacing w:val="-8"/>
        </w:rPr>
        <w:t> </w:t>
      </w:r>
      <w:r>
        <w:rPr/>
        <w:t>those</w:t>
      </w:r>
      <w:r>
        <w:rPr>
          <w:spacing w:val="-6"/>
        </w:rPr>
        <w:t> </w:t>
      </w:r>
      <w:r>
        <w:rPr/>
        <w:t>watching</w:t>
      </w:r>
      <w:r>
        <w:rPr>
          <w:spacing w:val="-10"/>
        </w:rPr>
        <w:t> </w:t>
      </w:r>
      <w:r>
        <w:rPr/>
        <w:t>HBO’s</w:t>
      </w:r>
      <w:r>
        <w:rPr>
          <w:spacing w:val="-6"/>
        </w:rPr>
        <w:t> </w:t>
      </w:r>
      <w:r>
        <w:rPr>
          <w:i/>
        </w:rPr>
        <w:t>Succession</w:t>
      </w:r>
      <w:r>
        <w:rPr>
          <w:i/>
          <w:spacing w:val="-5"/>
        </w:rPr>
        <w:t> </w:t>
      </w:r>
      <w:r>
        <w:rPr/>
        <w:t>are</w:t>
      </w:r>
      <w:r>
        <w:rPr>
          <w:spacing w:val="-5"/>
        </w:rPr>
        <w:t> </w:t>
      </w:r>
      <w:r>
        <w:rPr/>
        <w:t>witnessing</w:t>
      </w:r>
      <w:r>
        <w:rPr>
          <w:spacing w:val="-8"/>
        </w:rPr>
        <w:t> </w:t>
      </w:r>
      <w:r>
        <w:rPr/>
        <w:t>the structural DNA of </w:t>
      </w:r>
      <w:r>
        <w:rPr>
          <w:i/>
        </w:rPr>
        <w:t>King Lear</w:t>
      </w:r>
      <w:r>
        <w:rPr/>
        <w:t>. The “Robben Island Bible,” signed by Nelson Mandela in an</w:t>
      </w:r>
      <w:r>
        <w:rPr>
          <w:spacing w:val="-6"/>
        </w:rPr>
        <w:t> </w:t>
      </w:r>
      <w:r>
        <w:rPr/>
        <w:t>Apartheid-era prison, remains the ultimate proof that Shakespeare’s words serve as a “shield for sanity” in the face of oppression (Schalkwyk: 2013).</w:t>
      </w:r>
    </w:p>
    <w:p>
      <w:pPr>
        <w:pStyle w:val="Heading5"/>
        <w:spacing w:before="113"/>
        <w:jc w:val="both"/>
      </w:pPr>
      <w:r>
        <w:rPr>
          <w:w w:val="105"/>
        </w:rPr>
        <w:t>Key</w:t>
      </w:r>
      <w:r>
        <w:rPr>
          <w:spacing w:val="29"/>
          <w:w w:val="105"/>
        </w:rPr>
        <w:t>  </w:t>
      </w:r>
      <w:r>
        <w:rPr>
          <w:w w:val="105"/>
        </w:rPr>
        <w:t>Research</w:t>
      </w:r>
      <w:r>
        <w:rPr>
          <w:spacing w:val="31"/>
          <w:w w:val="105"/>
        </w:rPr>
        <w:t>  </w:t>
      </w:r>
      <w:r>
        <w:rPr>
          <w:spacing w:val="-2"/>
          <w:w w:val="105"/>
        </w:rPr>
        <w:t>Findings</w:t>
      </w:r>
    </w:p>
    <w:p>
      <w:pPr>
        <w:pStyle w:val="ListParagraph"/>
        <w:numPr>
          <w:ilvl w:val="0"/>
          <w:numId w:val="10"/>
        </w:numPr>
        <w:tabs>
          <w:tab w:pos="2160" w:val="left" w:leader="none"/>
        </w:tabs>
        <w:spacing w:line="261" w:lineRule="auto" w:before="79" w:after="0"/>
        <w:ind w:left="2160" w:right="1437" w:hanging="240"/>
        <w:jc w:val="both"/>
        <w:rPr>
          <w:sz w:val="20"/>
        </w:rPr>
      </w:pPr>
      <w:r>
        <w:rPr>
          <w:spacing w:val="11"/>
          <w:sz w:val="20"/>
        </w:rPr>
        <w:t>Physiological</w:t>
      </w:r>
      <w:r>
        <w:rPr>
          <w:spacing w:val="11"/>
          <w:sz w:val="20"/>
        </w:rPr>
        <w:t> </w:t>
      </w:r>
      <w:r>
        <w:rPr>
          <w:spacing w:val="10"/>
          <w:sz w:val="20"/>
        </w:rPr>
        <w:t>Impact:</w:t>
      </w:r>
      <w:r>
        <w:rPr>
          <w:spacing w:val="10"/>
          <w:sz w:val="20"/>
        </w:rPr>
        <w:t> Shakespeare’s</w:t>
      </w:r>
      <w:r>
        <w:rPr>
          <w:spacing w:val="10"/>
          <w:sz w:val="20"/>
        </w:rPr>
        <w:t> </w:t>
      </w:r>
      <w:r>
        <w:rPr>
          <w:spacing w:val="9"/>
          <w:sz w:val="20"/>
        </w:rPr>
        <w:t>meter</w:t>
      </w:r>
      <w:r>
        <w:rPr>
          <w:spacing w:val="9"/>
          <w:sz w:val="20"/>
        </w:rPr>
        <w:t> </w:t>
      </w:r>
      <w:r>
        <w:rPr>
          <w:spacing w:val="11"/>
          <w:sz w:val="20"/>
        </w:rPr>
        <w:t>creates</w:t>
      </w:r>
      <w:r>
        <w:rPr>
          <w:spacing w:val="11"/>
          <w:sz w:val="20"/>
        </w:rPr>
        <w:t> </w:t>
      </w:r>
      <w:r>
        <w:rPr>
          <w:sz w:val="20"/>
        </w:rPr>
        <w:t>a physiological connection to the human heartbeat, acting as a literal meter of adrenaline (Crystal: 2008).</w:t>
      </w:r>
    </w:p>
    <w:p>
      <w:pPr>
        <w:pStyle w:val="ListParagraph"/>
        <w:numPr>
          <w:ilvl w:val="0"/>
          <w:numId w:val="10"/>
        </w:numPr>
        <w:tabs>
          <w:tab w:pos="2160" w:val="left" w:leader="none"/>
        </w:tabs>
        <w:spacing w:line="261" w:lineRule="auto" w:before="54" w:after="0"/>
        <w:ind w:left="2160" w:right="1439" w:hanging="240"/>
        <w:jc w:val="both"/>
        <w:rPr>
          <w:sz w:val="20"/>
        </w:rPr>
      </w:pPr>
      <w:r>
        <w:rPr>
          <w:spacing w:val="-2"/>
          <w:sz w:val="20"/>
        </w:rPr>
        <w:t>Subversion</w:t>
      </w:r>
      <w:r>
        <w:rPr>
          <w:spacing w:val="-11"/>
          <w:sz w:val="20"/>
        </w:rPr>
        <w:t> </w:t>
      </w:r>
      <w:r>
        <w:rPr>
          <w:spacing w:val="-2"/>
          <w:sz w:val="20"/>
        </w:rPr>
        <w:t>of</w:t>
      </w:r>
      <w:r>
        <w:rPr>
          <w:spacing w:val="-10"/>
          <w:sz w:val="20"/>
        </w:rPr>
        <w:t> </w:t>
      </w:r>
      <w:r>
        <w:rPr>
          <w:spacing w:val="-2"/>
          <w:sz w:val="20"/>
        </w:rPr>
        <w:t>Archetypes:</w:t>
      </w:r>
      <w:r>
        <w:rPr>
          <w:spacing w:val="-11"/>
          <w:sz w:val="20"/>
        </w:rPr>
        <w:t> </w:t>
      </w:r>
      <w:r>
        <w:rPr>
          <w:spacing w:val="-2"/>
          <w:sz w:val="20"/>
        </w:rPr>
        <w:t>He</w:t>
      </w:r>
      <w:r>
        <w:rPr>
          <w:spacing w:val="-10"/>
          <w:sz w:val="20"/>
        </w:rPr>
        <w:t> </w:t>
      </w:r>
      <w:r>
        <w:rPr>
          <w:spacing w:val="-2"/>
          <w:sz w:val="20"/>
        </w:rPr>
        <w:t>pioneered</w:t>
      </w:r>
      <w:r>
        <w:rPr>
          <w:spacing w:val="-11"/>
          <w:sz w:val="20"/>
        </w:rPr>
        <w:t> </w:t>
      </w:r>
      <w:r>
        <w:rPr>
          <w:spacing w:val="-2"/>
          <w:sz w:val="20"/>
        </w:rPr>
        <w:t>the</w:t>
      </w:r>
      <w:r>
        <w:rPr>
          <w:spacing w:val="-10"/>
          <w:sz w:val="20"/>
        </w:rPr>
        <w:t> </w:t>
      </w:r>
      <w:r>
        <w:rPr>
          <w:spacing w:val="-2"/>
          <w:sz w:val="20"/>
        </w:rPr>
        <w:t>Anti-Hero,</w:t>
      </w:r>
      <w:r>
        <w:rPr>
          <w:spacing w:val="-11"/>
          <w:sz w:val="20"/>
        </w:rPr>
        <w:t> </w:t>
      </w:r>
      <w:r>
        <w:rPr>
          <w:spacing w:val="-2"/>
          <w:sz w:val="20"/>
        </w:rPr>
        <w:t>focusing </w:t>
      </w:r>
      <w:r>
        <w:rPr>
          <w:spacing w:val="-4"/>
          <w:sz w:val="20"/>
        </w:rPr>
        <w:t>on</w:t>
      </w:r>
      <w:r>
        <w:rPr>
          <w:spacing w:val="-6"/>
          <w:sz w:val="20"/>
        </w:rPr>
        <w:t> </w:t>
      </w:r>
      <w:r>
        <w:rPr>
          <w:spacing w:val="-4"/>
          <w:sz w:val="20"/>
        </w:rPr>
        <w:t>complex, flawed individuals who ruin their own lives (Bloom: </w:t>
      </w:r>
      <w:r>
        <w:rPr>
          <w:spacing w:val="-2"/>
          <w:sz w:val="20"/>
        </w:rPr>
        <w:t>1998).</w:t>
      </w:r>
    </w:p>
    <w:p>
      <w:pPr>
        <w:pStyle w:val="ListParagraph"/>
        <w:numPr>
          <w:ilvl w:val="0"/>
          <w:numId w:val="10"/>
        </w:numPr>
        <w:tabs>
          <w:tab w:pos="2160" w:val="left" w:leader="none"/>
        </w:tabs>
        <w:spacing w:line="261" w:lineRule="auto" w:before="57" w:after="0"/>
        <w:ind w:left="2160" w:right="1440" w:hanging="240"/>
        <w:jc w:val="both"/>
        <w:rPr>
          <w:sz w:val="20"/>
        </w:rPr>
      </w:pPr>
      <w:r>
        <w:rPr>
          <w:spacing w:val="-6"/>
          <w:sz w:val="20"/>
        </w:rPr>
        <w:t>Global</w:t>
      </w:r>
      <w:r>
        <w:rPr>
          <w:spacing w:val="-7"/>
          <w:sz w:val="20"/>
        </w:rPr>
        <w:t> </w:t>
      </w:r>
      <w:r>
        <w:rPr>
          <w:spacing w:val="-6"/>
          <w:sz w:val="20"/>
        </w:rPr>
        <w:t>Adaptability:</w:t>
      </w:r>
      <w:r>
        <w:rPr>
          <w:spacing w:val="-2"/>
          <w:sz w:val="20"/>
        </w:rPr>
        <w:t> </w:t>
      </w:r>
      <w:r>
        <w:rPr>
          <w:spacing w:val="-6"/>
          <w:sz w:val="20"/>
        </w:rPr>
        <w:t>Minimal</w:t>
      </w:r>
      <w:r>
        <w:rPr>
          <w:sz w:val="20"/>
        </w:rPr>
        <w:t> </w:t>
      </w:r>
      <w:r>
        <w:rPr>
          <w:spacing w:val="-6"/>
          <w:sz w:val="20"/>
        </w:rPr>
        <w:t>prescriptive</w:t>
      </w:r>
      <w:r>
        <w:rPr>
          <w:sz w:val="20"/>
        </w:rPr>
        <w:t> </w:t>
      </w:r>
      <w:r>
        <w:rPr>
          <w:spacing w:val="-6"/>
          <w:sz w:val="20"/>
        </w:rPr>
        <w:t>detail</w:t>
      </w:r>
      <w:r>
        <w:rPr>
          <w:sz w:val="20"/>
        </w:rPr>
        <w:t> </w:t>
      </w:r>
      <w:r>
        <w:rPr>
          <w:spacing w:val="-6"/>
          <w:sz w:val="20"/>
        </w:rPr>
        <w:t>allows</w:t>
      </w:r>
      <w:r>
        <w:rPr>
          <w:sz w:val="20"/>
        </w:rPr>
        <w:t> </w:t>
      </w:r>
      <w:r>
        <w:rPr>
          <w:spacing w:val="-6"/>
          <w:sz w:val="20"/>
        </w:rPr>
        <w:t>his</w:t>
      </w:r>
      <w:r>
        <w:rPr>
          <w:sz w:val="20"/>
        </w:rPr>
        <w:t> </w:t>
      </w:r>
      <w:r>
        <w:rPr>
          <w:spacing w:val="-6"/>
          <w:sz w:val="20"/>
        </w:rPr>
        <w:t>“open-</w:t>
      </w:r>
      <w:r>
        <w:rPr>
          <w:sz w:val="20"/>
        </w:rPr>
        <w:t>source code” to thrive in diverse cultures from Japan to South Africa (Schalkwyk: 2013).</w:t>
      </w:r>
    </w:p>
    <w:p>
      <w:pPr>
        <w:pStyle w:val="ListParagraph"/>
        <w:spacing w:after="0" w:line="261" w:lineRule="auto"/>
        <w:jc w:val="both"/>
        <w:rPr>
          <w:sz w:val="20"/>
        </w:rPr>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31360">
                <wp:simplePos x="0" y="0"/>
                <wp:positionH relativeFrom="page">
                  <wp:posOffset>2065020</wp:posOffset>
                </wp:positionH>
                <wp:positionV relativeFrom="paragraph">
                  <wp:posOffset>795020</wp:posOffset>
                </wp:positionV>
                <wp:extent cx="3657600" cy="12700"/>
                <wp:effectExtent l="0" t="0" r="0" b="0"/>
                <wp:wrapTopAndBottom/>
                <wp:docPr id="184" name="Graphic 184"/>
                <wp:cNvGraphicFramePr>
                  <a:graphicFrameLocks/>
                </wp:cNvGraphicFramePr>
                <a:graphic>
                  <a:graphicData uri="http://schemas.microsoft.com/office/word/2010/wordprocessingShape">
                    <wps:wsp>
                      <wps:cNvPr id="184" name="Graphic 18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85120;mso-wrap-distance-left:0;mso-wrap-distance-right:0" id="docshape180" filled="true" fillcolor="#000000" stroked="false">
                <v:fill type="solid"/>
                <w10:wrap type="topAndBottom"/>
              </v:rect>
            </w:pict>
          </mc:Fallback>
        </mc:AlternateContent>
      </w:r>
      <w:r>
        <w:rPr>
          <w:rFonts w:ascii="Verdana"/>
          <w:spacing w:val="-4"/>
          <w:sz w:val="18"/>
        </w:rPr>
        <w:t>The</w:t>
      </w:r>
      <w:r>
        <w:rPr>
          <w:rFonts w:ascii="Verdana"/>
          <w:spacing w:val="10"/>
          <w:sz w:val="18"/>
        </w:rPr>
        <w:t> </w:t>
      </w:r>
      <w:r>
        <w:rPr>
          <w:rFonts w:ascii="Verdana"/>
          <w:spacing w:val="-4"/>
          <w:sz w:val="18"/>
        </w:rPr>
        <w:t>Timeless</w:t>
      </w:r>
      <w:r>
        <w:rPr>
          <w:rFonts w:ascii="Verdana"/>
          <w:spacing w:val="8"/>
          <w:sz w:val="18"/>
        </w:rPr>
        <w:t> </w:t>
      </w:r>
      <w:r>
        <w:rPr>
          <w:rFonts w:ascii="Verdana"/>
          <w:spacing w:val="-4"/>
          <w:sz w:val="18"/>
        </w:rPr>
        <w:t>Beauty</w:t>
      </w:r>
      <w:r>
        <w:rPr>
          <w:rFonts w:ascii="Verdana"/>
          <w:spacing w:val="12"/>
          <w:sz w:val="18"/>
        </w:rPr>
        <w:t> </w:t>
      </w:r>
      <w:r>
        <w:rPr>
          <w:rFonts w:ascii="Verdana"/>
          <w:spacing w:val="-4"/>
          <w:sz w:val="18"/>
        </w:rPr>
        <w:t>of</w:t>
      </w:r>
      <w:r>
        <w:rPr>
          <w:rFonts w:ascii="Verdana"/>
          <w:spacing w:val="11"/>
          <w:sz w:val="18"/>
        </w:rPr>
        <w:t> </w:t>
      </w:r>
      <w:r>
        <w:rPr>
          <w:rFonts w:ascii="Verdana"/>
          <w:spacing w:val="-4"/>
          <w:sz w:val="18"/>
        </w:rPr>
        <w:t>Shakespeare:</w:t>
      </w:r>
      <w:r>
        <w:rPr>
          <w:rFonts w:ascii="Verdana"/>
          <w:spacing w:val="7"/>
          <w:sz w:val="18"/>
        </w:rPr>
        <w:t> </w:t>
      </w:r>
      <w:r>
        <w:rPr>
          <w:rFonts w:ascii="Verdana"/>
          <w:spacing w:val="-4"/>
          <w:sz w:val="18"/>
        </w:rPr>
        <w:t>Universality...</w:t>
      </w:r>
      <w:r>
        <w:rPr>
          <w:sz w:val="18"/>
        </w:rPr>
        <w:tab/>
      </w:r>
      <w:r>
        <w:rPr>
          <w:rFonts w:ascii="Verdana"/>
          <w:spacing w:val="-5"/>
          <w:sz w:val="18"/>
        </w:rPr>
        <w:t>31</w:t>
      </w:r>
    </w:p>
    <w:p>
      <w:pPr>
        <w:pStyle w:val="Heading5"/>
        <w:spacing w:before="184"/>
      </w:pPr>
      <w:r>
        <w:rPr>
          <w:w w:val="105"/>
        </w:rPr>
        <w:t>Scope</w:t>
      </w:r>
      <w:r>
        <w:rPr>
          <w:spacing w:val="78"/>
          <w:w w:val="105"/>
        </w:rPr>
        <w:t> </w:t>
      </w:r>
      <w:r>
        <w:rPr>
          <w:w w:val="105"/>
        </w:rPr>
        <w:t>for</w:t>
      </w:r>
      <w:r>
        <w:rPr>
          <w:spacing w:val="77"/>
          <w:w w:val="105"/>
        </w:rPr>
        <w:t> </w:t>
      </w:r>
      <w:r>
        <w:rPr>
          <w:w w:val="105"/>
        </w:rPr>
        <w:t>Future</w:t>
      </w:r>
      <w:r>
        <w:rPr>
          <w:spacing w:val="77"/>
          <w:w w:val="105"/>
        </w:rPr>
        <w:t> </w:t>
      </w:r>
      <w:r>
        <w:rPr>
          <w:spacing w:val="-2"/>
          <w:w w:val="105"/>
        </w:rPr>
        <w:t>Research</w:t>
      </w:r>
    </w:p>
    <w:p>
      <w:pPr>
        <w:pStyle w:val="ListParagraph"/>
        <w:numPr>
          <w:ilvl w:val="0"/>
          <w:numId w:val="10"/>
        </w:numPr>
        <w:tabs>
          <w:tab w:pos="2160" w:val="left" w:leader="none"/>
        </w:tabs>
        <w:spacing w:line="261" w:lineRule="auto" w:before="79" w:after="0"/>
        <w:ind w:left="2160" w:right="1440" w:hanging="240"/>
        <w:jc w:val="both"/>
        <w:rPr>
          <w:sz w:val="20"/>
        </w:rPr>
      </w:pPr>
      <w:r>
        <w:rPr>
          <w:sz w:val="20"/>
        </w:rPr>
        <w:t>The</w:t>
      </w:r>
      <w:r>
        <w:rPr>
          <w:spacing w:val="-10"/>
          <w:sz w:val="20"/>
        </w:rPr>
        <w:t> </w:t>
      </w:r>
      <w:r>
        <w:rPr>
          <w:sz w:val="20"/>
        </w:rPr>
        <w:t>Digital</w:t>
      </w:r>
      <w:r>
        <w:rPr>
          <w:spacing w:val="-13"/>
          <w:sz w:val="20"/>
        </w:rPr>
        <w:t> </w:t>
      </w:r>
      <w:r>
        <w:rPr>
          <w:sz w:val="20"/>
        </w:rPr>
        <w:t>Age:</w:t>
      </w:r>
      <w:r>
        <w:rPr>
          <w:spacing w:val="-7"/>
          <w:sz w:val="20"/>
        </w:rPr>
        <w:t> </w:t>
      </w:r>
      <w:r>
        <w:rPr>
          <w:sz w:val="20"/>
        </w:rPr>
        <w:t>Investigating</w:t>
      </w:r>
      <w:r>
        <w:rPr>
          <w:spacing w:val="-7"/>
          <w:sz w:val="20"/>
        </w:rPr>
        <w:t> </w:t>
      </w:r>
      <w:r>
        <w:rPr>
          <w:sz w:val="20"/>
        </w:rPr>
        <w:t>how</w:t>
      </w:r>
      <w:r>
        <w:rPr>
          <w:spacing w:val="-10"/>
          <w:sz w:val="20"/>
        </w:rPr>
        <w:t> </w:t>
      </w:r>
      <w:r>
        <w:rPr>
          <w:sz w:val="20"/>
        </w:rPr>
        <w:t>the</w:t>
      </w:r>
      <w:r>
        <w:rPr>
          <w:spacing w:val="-6"/>
          <w:sz w:val="20"/>
        </w:rPr>
        <w:t> </w:t>
      </w:r>
      <w:r>
        <w:rPr>
          <w:sz w:val="20"/>
        </w:rPr>
        <w:t>“jeopardising</w:t>
      </w:r>
      <w:r>
        <w:rPr>
          <w:spacing w:val="-9"/>
          <w:sz w:val="20"/>
        </w:rPr>
        <w:t> </w:t>
      </w:r>
      <w:r>
        <w:rPr>
          <w:sz w:val="20"/>
        </w:rPr>
        <w:t>influence posed by the digital age” shapes modern experiences through</w:t>
      </w:r>
      <w:r>
        <w:rPr>
          <w:spacing w:val="80"/>
          <w:sz w:val="20"/>
        </w:rPr>
        <w:t> </w:t>
      </w:r>
      <w:r>
        <w:rPr>
          <w:sz w:val="20"/>
        </w:rPr>
        <w:t>a Shakespearean lens</w:t>
      </w:r>
      <w:r>
        <w:rPr>
          <w:spacing w:val="40"/>
          <w:sz w:val="20"/>
        </w:rPr>
        <w:t> </w:t>
      </w:r>
      <w:r>
        <w:rPr>
          <w:sz w:val="20"/>
        </w:rPr>
        <w:t>of performative</w:t>
      </w:r>
      <w:r>
        <w:rPr>
          <w:spacing w:val="40"/>
          <w:sz w:val="20"/>
        </w:rPr>
        <w:t> </w:t>
      </w:r>
      <w:r>
        <w:rPr>
          <w:sz w:val="20"/>
        </w:rPr>
        <w:t>identity.</w:t>
      </w:r>
    </w:p>
    <w:p>
      <w:pPr>
        <w:pStyle w:val="ListParagraph"/>
        <w:numPr>
          <w:ilvl w:val="0"/>
          <w:numId w:val="10"/>
        </w:numPr>
        <w:tabs>
          <w:tab w:pos="2160" w:val="left" w:leader="none"/>
        </w:tabs>
        <w:spacing w:line="261" w:lineRule="auto" w:before="57" w:after="0"/>
        <w:ind w:left="2160" w:right="1437" w:hanging="240"/>
        <w:jc w:val="both"/>
        <w:rPr>
          <w:sz w:val="20"/>
        </w:rPr>
      </w:pPr>
      <w:r>
        <w:rPr>
          <w:sz w:val="20"/>
        </w:rPr>
        <w:t>Global South Traditions: Further analysing how emerging traditions</w:t>
      </w:r>
      <w:r>
        <w:rPr>
          <w:spacing w:val="-13"/>
          <w:sz w:val="20"/>
        </w:rPr>
        <w:t> </w:t>
      </w:r>
      <w:r>
        <w:rPr>
          <w:sz w:val="20"/>
        </w:rPr>
        <w:t>repurpose</w:t>
      </w:r>
      <w:r>
        <w:rPr>
          <w:spacing w:val="-10"/>
          <w:sz w:val="20"/>
        </w:rPr>
        <w:t> </w:t>
      </w:r>
      <w:r>
        <w:rPr>
          <w:sz w:val="20"/>
        </w:rPr>
        <w:t>his</w:t>
      </w:r>
      <w:r>
        <w:rPr>
          <w:spacing w:val="-13"/>
          <w:sz w:val="20"/>
        </w:rPr>
        <w:t> </w:t>
      </w:r>
      <w:r>
        <w:rPr>
          <w:sz w:val="20"/>
        </w:rPr>
        <w:t>“blueprint”</w:t>
      </w:r>
      <w:r>
        <w:rPr>
          <w:spacing w:val="-10"/>
          <w:sz w:val="20"/>
        </w:rPr>
        <w:t> </w:t>
      </w:r>
      <w:r>
        <w:rPr>
          <w:sz w:val="20"/>
        </w:rPr>
        <w:t>for</w:t>
      </w:r>
      <w:r>
        <w:rPr>
          <w:spacing w:val="-11"/>
          <w:sz w:val="20"/>
        </w:rPr>
        <w:t> </w:t>
      </w:r>
      <w:r>
        <w:rPr>
          <w:sz w:val="20"/>
        </w:rPr>
        <w:t>modern</w:t>
      </w:r>
      <w:r>
        <w:rPr>
          <w:spacing w:val="-11"/>
          <w:sz w:val="20"/>
        </w:rPr>
        <w:t> </w:t>
      </w:r>
      <w:r>
        <w:rPr>
          <w:sz w:val="20"/>
        </w:rPr>
        <w:t>political</w:t>
      </w:r>
      <w:r>
        <w:rPr>
          <w:spacing w:val="-13"/>
          <w:sz w:val="20"/>
        </w:rPr>
        <w:t> </w:t>
      </w:r>
      <w:r>
        <w:rPr>
          <w:sz w:val="20"/>
        </w:rPr>
        <w:t>trauma (Schalkwyk:</w:t>
      </w:r>
      <w:r>
        <w:rPr>
          <w:spacing w:val="-16"/>
          <w:sz w:val="20"/>
        </w:rPr>
        <w:t> </w:t>
      </w:r>
      <w:r>
        <w:rPr>
          <w:sz w:val="20"/>
        </w:rPr>
        <w:t>2013).</w:t>
      </w:r>
    </w:p>
    <w:p>
      <w:pPr>
        <w:pStyle w:val="ListParagraph"/>
        <w:numPr>
          <w:ilvl w:val="0"/>
          <w:numId w:val="10"/>
        </w:numPr>
        <w:tabs>
          <w:tab w:pos="2160" w:val="left" w:leader="none"/>
        </w:tabs>
        <w:spacing w:line="261" w:lineRule="auto" w:before="54" w:after="0"/>
        <w:ind w:left="2160" w:right="1439" w:hanging="240"/>
        <w:jc w:val="both"/>
        <w:rPr>
          <w:sz w:val="20"/>
        </w:rPr>
      </w:pPr>
      <w:r>
        <w:rPr>
          <w:sz w:val="20"/>
        </w:rPr>
        <w:t>Intersectional Evolution: Examining the continuing role of modern criticism in analysing gender roles constructed and reinforced in the canon (Rackin: 2005).</w:t>
      </w:r>
    </w:p>
    <w:p>
      <w:pPr>
        <w:pStyle w:val="Heading3"/>
        <w:spacing w:before="146"/>
      </w:pPr>
      <w:r>
        <w:rPr>
          <w:spacing w:val="-2"/>
        </w:rPr>
        <w:t>CONCLUSION</w:t>
      </w:r>
    </w:p>
    <w:p>
      <w:pPr>
        <w:pStyle w:val="BodyText"/>
        <w:spacing w:line="249" w:lineRule="auto" w:before="75"/>
        <w:ind w:right="1438" w:firstLine="432"/>
        <w:jc w:val="both"/>
      </w:pPr>
      <w:r>
        <w:rPr/>
        <w:t>In conclusion, the central problem of Shakespeare’s potential obsolescence in a modern world is resolved by acknowledging that his “timelessness” results from his radical, unflinching honesty about the human soul. Shakespeare survived for four hundred years because he provided an instruction manual for the messy, beautiful, and terrifying human</w:t>
      </w:r>
      <w:r>
        <w:rPr>
          <w:spacing w:val="-5"/>
        </w:rPr>
        <w:t> </w:t>
      </w:r>
      <w:r>
        <w:rPr/>
        <w:t>condition</w:t>
      </w:r>
      <w:r>
        <w:rPr>
          <w:spacing w:val="-5"/>
        </w:rPr>
        <w:t> </w:t>
      </w:r>
      <w:r>
        <w:rPr/>
        <w:t>(Bloom:</w:t>
      </w:r>
      <w:r>
        <w:rPr>
          <w:spacing w:val="-1"/>
        </w:rPr>
        <w:t> </w:t>
      </w:r>
      <w:r>
        <w:rPr/>
        <w:t>1998).</w:t>
      </w:r>
      <w:r>
        <w:rPr>
          <w:spacing w:val="-3"/>
        </w:rPr>
        <w:t> </w:t>
      </w:r>
      <w:r>
        <w:rPr/>
        <w:t>His</w:t>
      </w:r>
      <w:r>
        <w:rPr>
          <w:spacing w:val="-5"/>
        </w:rPr>
        <w:t> </w:t>
      </w:r>
      <w:r>
        <w:rPr/>
        <w:t>works</w:t>
      </w:r>
      <w:r>
        <w:rPr>
          <w:spacing w:val="-5"/>
        </w:rPr>
        <w:t> </w:t>
      </w:r>
      <w:r>
        <w:rPr/>
        <w:t>are</w:t>
      </w:r>
      <w:r>
        <w:rPr>
          <w:spacing w:val="-5"/>
        </w:rPr>
        <w:t> </w:t>
      </w:r>
      <w:r>
        <w:rPr/>
        <w:t>not</w:t>
      </w:r>
      <w:r>
        <w:rPr>
          <w:spacing w:val="-2"/>
        </w:rPr>
        <w:t> </w:t>
      </w:r>
      <w:r>
        <w:rPr/>
        <w:t>“museum</w:t>
      </w:r>
      <w:r>
        <w:rPr>
          <w:spacing w:val="-6"/>
        </w:rPr>
        <w:t> </w:t>
      </w:r>
      <w:r>
        <w:rPr/>
        <w:t>pieces”</w:t>
      </w:r>
      <w:r>
        <w:rPr>
          <w:spacing w:val="-5"/>
        </w:rPr>
        <w:t> </w:t>
      </w:r>
      <w:r>
        <w:rPr/>
        <w:t>to be observed from a distance; they are functional tools for navigating existence (Greenblatt: 2004).</w:t>
      </w:r>
    </w:p>
    <w:p>
      <w:pPr>
        <w:pStyle w:val="BodyText"/>
        <w:spacing w:line="249" w:lineRule="auto" w:before="64"/>
        <w:ind w:right="1438" w:firstLine="432"/>
        <w:jc w:val="both"/>
      </w:pPr>
      <w:r>
        <w:rPr/>
        <w:t>The</w:t>
      </w:r>
      <w:r>
        <w:rPr>
          <w:spacing w:val="-1"/>
        </w:rPr>
        <w:t> </w:t>
      </w:r>
      <w:r>
        <w:rPr/>
        <w:t>academic</w:t>
      </w:r>
      <w:r>
        <w:rPr>
          <w:spacing w:val="-2"/>
        </w:rPr>
        <w:t> </w:t>
      </w:r>
      <w:r>
        <w:rPr/>
        <w:t>barrier</w:t>
      </w:r>
      <w:r>
        <w:rPr>
          <w:spacing w:val="-1"/>
        </w:rPr>
        <w:t> </w:t>
      </w:r>
      <w:r>
        <w:rPr/>
        <w:t>that</w:t>
      </w:r>
      <w:r>
        <w:rPr>
          <w:spacing w:val="-1"/>
        </w:rPr>
        <w:t> </w:t>
      </w:r>
      <w:r>
        <w:rPr/>
        <w:t>often</w:t>
      </w:r>
      <w:r>
        <w:rPr>
          <w:spacing w:val="-1"/>
        </w:rPr>
        <w:t> </w:t>
      </w:r>
      <w:r>
        <w:rPr/>
        <w:t>alienates</w:t>
      </w:r>
      <w:r>
        <w:rPr>
          <w:spacing w:val="-3"/>
        </w:rPr>
        <w:t> </w:t>
      </w:r>
      <w:r>
        <w:rPr/>
        <w:t>modern</w:t>
      </w:r>
      <w:r>
        <w:rPr>
          <w:spacing w:val="-3"/>
        </w:rPr>
        <w:t> </w:t>
      </w:r>
      <w:r>
        <w:rPr/>
        <w:t>students</w:t>
      </w:r>
      <w:r>
        <w:rPr>
          <w:spacing w:val="-1"/>
        </w:rPr>
        <w:t> </w:t>
      </w:r>
      <w:r>
        <w:rPr/>
        <w:t>must</w:t>
      </w:r>
      <w:r>
        <w:rPr>
          <w:spacing w:val="-3"/>
        </w:rPr>
        <w:t> </w:t>
      </w:r>
      <w:r>
        <w:rPr/>
        <w:t>be dismantled. Shakespeare wrote for the butchers and apprentices, using the mud of 1590s London as a canvas to map universal emotion (Greenblatt:</w:t>
      </w:r>
      <w:r>
        <w:rPr>
          <w:spacing w:val="-9"/>
        </w:rPr>
        <w:t> </w:t>
      </w:r>
      <w:r>
        <w:rPr/>
        <w:t>2004).</w:t>
      </w:r>
      <w:r>
        <w:rPr>
          <w:spacing w:val="-9"/>
        </w:rPr>
        <w:t> </w:t>
      </w:r>
      <w:r>
        <w:rPr/>
        <w:t>By</w:t>
      </w:r>
      <w:r>
        <w:rPr>
          <w:spacing w:val="-13"/>
        </w:rPr>
        <w:t> </w:t>
      </w:r>
      <w:r>
        <w:rPr/>
        <w:t>recognising</w:t>
      </w:r>
      <w:r>
        <w:rPr>
          <w:spacing w:val="-9"/>
        </w:rPr>
        <w:t> </w:t>
      </w:r>
      <w:r>
        <w:rPr/>
        <w:t>his</w:t>
      </w:r>
      <w:r>
        <w:rPr>
          <w:spacing w:val="-9"/>
        </w:rPr>
        <w:t> </w:t>
      </w:r>
      <w:r>
        <w:rPr/>
        <w:t>works</w:t>
      </w:r>
      <w:r>
        <w:rPr>
          <w:spacing w:val="-11"/>
        </w:rPr>
        <w:t> </w:t>
      </w:r>
      <w:r>
        <w:rPr/>
        <w:t>as</w:t>
      </w:r>
      <w:r>
        <w:rPr>
          <w:spacing w:val="-9"/>
        </w:rPr>
        <w:t> </w:t>
      </w:r>
      <w:r>
        <w:rPr/>
        <w:t>“open-source</w:t>
      </w:r>
      <w:r>
        <w:rPr>
          <w:spacing w:val="-9"/>
        </w:rPr>
        <w:t> </w:t>
      </w:r>
      <w:r>
        <w:rPr/>
        <w:t>code,”</w:t>
      </w:r>
      <w:r>
        <w:rPr>
          <w:spacing w:val="-8"/>
        </w:rPr>
        <w:t> </w:t>
      </w:r>
      <w:r>
        <w:rPr/>
        <w:t>we see that his DNA is already embedded in our modern lives—in our arguments, text messages, and love letters (Crystal: 2008). He remains</w:t>
      </w:r>
      <w:r>
        <w:rPr>
          <w:spacing w:val="40"/>
        </w:rPr>
        <w:t> </w:t>
      </w:r>
      <w:r>
        <w:rPr/>
        <w:t>a vital contemporary precisely because, while technology and politics change,</w:t>
      </w:r>
      <w:r>
        <w:rPr>
          <w:spacing w:val="40"/>
        </w:rPr>
        <w:t> </w:t>
      </w:r>
      <w:r>
        <w:rPr/>
        <w:t>the</w:t>
      </w:r>
      <w:r>
        <w:rPr>
          <w:spacing w:val="40"/>
        </w:rPr>
        <w:t> </w:t>
      </w:r>
      <w:r>
        <w:rPr/>
        <w:t>human</w:t>
      </w:r>
      <w:r>
        <w:rPr>
          <w:spacing w:val="40"/>
        </w:rPr>
        <w:t> </w:t>
      </w:r>
      <w:r>
        <w:rPr/>
        <w:t>heart</w:t>
      </w:r>
      <w:r>
        <w:rPr>
          <w:spacing w:val="40"/>
        </w:rPr>
        <w:t> </w:t>
      </w:r>
      <w:r>
        <w:rPr/>
        <w:t>remains</w:t>
      </w:r>
      <w:r>
        <w:rPr>
          <w:spacing w:val="40"/>
        </w:rPr>
        <w:t> </w:t>
      </w:r>
      <w:r>
        <w:rPr/>
        <w:t>unchanged.</w:t>
      </w:r>
    </w:p>
    <w:p>
      <w:pPr>
        <w:pStyle w:val="Heading3"/>
        <w:spacing w:before="162"/>
      </w:pPr>
      <w:r>
        <w:rPr>
          <w:spacing w:val="-2"/>
          <w:w w:val="95"/>
        </w:rPr>
        <w:t>REFERENCES</w:t>
      </w:r>
    </w:p>
    <w:p>
      <w:pPr>
        <w:pStyle w:val="ListParagraph"/>
        <w:numPr>
          <w:ilvl w:val="0"/>
          <w:numId w:val="11"/>
        </w:numPr>
        <w:tabs>
          <w:tab w:pos="2157" w:val="left" w:leader="none"/>
          <w:tab w:pos="2160" w:val="left" w:leader="none"/>
        </w:tabs>
        <w:spacing w:line="261" w:lineRule="auto" w:before="83" w:after="0"/>
        <w:ind w:left="2160" w:right="1438" w:hanging="315"/>
        <w:jc w:val="left"/>
        <w:rPr>
          <w:sz w:val="19"/>
        </w:rPr>
      </w:pPr>
      <w:r>
        <w:rPr>
          <w:sz w:val="19"/>
        </w:rPr>
        <w:t>Bloom,</w:t>
      </w:r>
      <w:r>
        <w:rPr>
          <w:spacing w:val="40"/>
          <w:sz w:val="19"/>
        </w:rPr>
        <w:t> </w:t>
      </w:r>
      <w:r>
        <w:rPr>
          <w:sz w:val="19"/>
        </w:rPr>
        <w:t>Harold.</w:t>
      </w:r>
      <w:r>
        <w:rPr>
          <w:spacing w:val="40"/>
          <w:sz w:val="19"/>
        </w:rPr>
        <w:t> </w:t>
      </w:r>
      <w:r>
        <w:rPr>
          <w:i/>
          <w:sz w:val="19"/>
        </w:rPr>
        <w:t>Shakespeare:</w:t>
      </w:r>
      <w:r>
        <w:rPr>
          <w:i/>
          <w:spacing w:val="40"/>
          <w:sz w:val="19"/>
        </w:rPr>
        <w:t> </w:t>
      </w:r>
      <w:r>
        <w:rPr>
          <w:i/>
          <w:sz w:val="19"/>
        </w:rPr>
        <w:t>The</w:t>
      </w:r>
      <w:r>
        <w:rPr>
          <w:i/>
          <w:spacing w:val="40"/>
          <w:sz w:val="19"/>
        </w:rPr>
        <w:t> </w:t>
      </w:r>
      <w:r>
        <w:rPr>
          <w:i/>
          <w:sz w:val="19"/>
        </w:rPr>
        <w:t>Invention</w:t>
      </w:r>
      <w:r>
        <w:rPr>
          <w:i/>
          <w:spacing w:val="40"/>
          <w:sz w:val="19"/>
        </w:rPr>
        <w:t> </w:t>
      </w:r>
      <w:r>
        <w:rPr>
          <w:i/>
          <w:sz w:val="19"/>
        </w:rPr>
        <w:t>of</w:t>
      </w:r>
      <w:r>
        <w:rPr>
          <w:i/>
          <w:spacing w:val="40"/>
          <w:sz w:val="19"/>
        </w:rPr>
        <w:t> </w:t>
      </w:r>
      <w:r>
        <w:rPr>
          <w:i/>
          <w:sz w:val="19"/>
        </w:rPr>
        <w:t>the</w:t>
      </w:r>
      <w:r>
        <w:rPr>
          <w:i/>
          <w:spacing w:val="40"/>
          <w:sz w:val="19"/>
        </w:rPr>
        <w:t> </w:t>
      </w:r>
      <w:r>
        <w:rPr>
          <w:i/>
          <w:sz w:val="19"/>
        </w:rPr>
        <w:t>Human</w:t>
      </w:r>
      <w:r>
        <w:rPr>
          <w:sz w:val="19"/>
        </w:rPr>
        <w:t>.</w:t>
      </w:r>
      <w:r>
        <w:rPr>
          <w:spacing w:val="80"/>
          <w:sz w:val="19"/>
        </w:rPr>
        <w:t> </w:t>
      </w:r>
      <w:r>
        <w:rPr>
          <w:sz w:val="19"/>
        </w:rPr>
        <w:t>Riverhead</w:t>
      </w:r>
      <w:r>
        <w:rPr>
          <w:spacing w:val="40"/>
          <w:sz w:val="19"/>
        </w:rPr>
        <w:t> </w:t>
      </w:r>
      <w:r>
        <w:rPr>
          <w:sz w:val="19"/>
        </w:rPr>
        <w:t>Books,</w:t>
      </w:r>
      <w:r>
        <w:rPr>
          <w:spacing w:val="40"/>
          <w:sz w:val="19"/>
        </w:rPr>
        <w:t> </w:t>
      </w:r>
      <w:r>
        <w:rPr>
          <w:sz w:val="19"/>
        </w:rPr>
        <w:t>1998.</w:t>
      </w:r>
    </w:p>
    <w:p>
      <w:pPr>
        <w:pStyle w:val="ListParagraph"/>
        <w:numPr>
          <w:ilvl w:val="0"/>
          <w:numId w:val="11"/>
        </w:numPr>
        <w:tabs>
          <w:tab w:pos="2157" w:val="left" w:leader="none"/>
          <w:tab w:pos="2160" w:val="left" w:leader="none"/>
        </w:tabs>
        <w:spacing w:line="261" w:lineRule="auto" w:before="56" w:after="0"/>
        <w:ind w:left="2160" w:right="1440" w:hanging="315"/>
        <w:jc w:val="left"/>
        <w:rPr>
          <w:sz w:val="19"/>
        </w:rPr>
      </w:pPr>
      <w:r>
        <w:rPr>
          <w:sz w:val="19"/>
        </w:rPr>
        <w:t>Bradley,</w:t>
      </w:r>
      <w:r>
        <w:rPr>
          <w:spacing w:val="40"/>
          <w:sz w:val="19"/>
        </w:rPr>
        <w:t> </w:t>
      </w:r>
      <w:r>
        <w:rPr>
          <w:sz w:val="19"/>
        </w:rPr>
        <w:t>A.</w:t>
      </w:r>
      <w:r>
        <w:rPr>
          <w:spacing w:val="40"/>
          <w:sz w:val="19"/>
        </w:rPr>
        <w:t> </w:t>
      </w:r>
      <w:r>
        <w:rPr>
          <w:sz w:val="19"/>
        </w:rPr>
        <w:t>C.</w:t>
      </w:r>
      <w:r>
        <w:rPr>
          <w:spacing w:val="40"/>
          <w:sz w:val="19"/>
        </w:rPr>
        <w:t> </w:t>
      </w:r>
      <w:r>
        <w:rPr>
          <w:i/>
          <w:sz w:val="19"/>
        </w:rPr>
        <w:t>Shakespearean</w:t>
      </w:r>
      <w:r>
        <w:rPr>
          <w:i/>
          <w:spacing w:val="40"/>
          <w:sz w:val="19"/>
        </w:rPr>
        <w:t> </w:t>
      </w:r>
      <w:r>
        <w:rPr>
          <w:i/>
          <w:sz w:val="19"/>
        </w:rPr>
        <w:t>Tragedy:</w:t>
      </w:r>
      <w:r>
        <w:rPr>
          <w:i/>
          <w:spacing w:val="40"/>
          <w:sz w:val="19"/>
        </w:rPr>
        <w:t> </w:t>
      </w:r>
      <w:r>
        <w:rPr>
          <w:i/>
          <w:sz w:val="19"/>
        </w:rPr>
        <w:t>Lectures</w:t>
      </w:r>
      <w:r>
        <w:rPr>
          <w:i/>
          <w:spacing w:val="40"/>
          <w:sz w:val="19"/>
        </w:rPr>
        <w:t> </w:t>
      </w:r>
      <w:r>
        <w:rPr>
          <w:i/>
          <w:sz w:val="19"/>
        </w:rPr>
        <w:t>on</w:t>
      </w:r>
      <w:r>
        <w:rPr>
          <w:i/>
          <w:spacing w:val="40"/>
          <w:sz w:val="19"/>
        </w:rPr>
        <w:t> </w:t>
      </w:r>
      <w:r>
        <w:rPr>
          <w:i/>
          <w:sz w:val="19"/>
        </w:rPr>
        <w:t>Hamlet, Othello,</w:t>
      </w:r>
      <w:r>
        <w:rPr>
          <w:i/>
          <w:spacing w:val="40"/>
          <w:sz w:val="19"/>
        </w:rPr>
        <w:t> </w:t>
      </w:r>
      <w:r>
        <w:rPr>
          <w:i/>
          <w:sz w:val="19"/>
        </w:rPr>
        <w:t>King</w:t>
      </w:r>
      <w:r>
        <w:rPr>
          <w:i/>
          <w:spacing w:val="40"/>
          <w:sz w:val="19"/>
        </w:rPr>
        <w:t> </w:t>
      </w:r>
      <w:r>
        <w:rPr>
          <w:i/>
          <w:sz w:val="19"/>
        </w:rPr>
        <w:t>Lear,</w:t>
      </w:r>
      <w:r>
        <w:rPr>
          <w:i/>
          <w:spacing w:val="40"/>
          <w:sz w:val="19"/>
        </w:rPr>
        <w:t> </w:t>
      </w:r>
      <w:r>
        <w:rPr>
          <w:i/>
          <w:sz w:val="19"/>
        </w:rPr>
        <w:t>Macbeth</w:t>
      </w:r>
      <w:r>
        <w:rPr>
          <w:sz w:val="19"/>
        </w:rPr>
        <w:t>.</w:t>
      </w:r>
      <w:r>
        <w:rPr>
          <w:spacing w:val="40"/>
          <w:sz w:val="19"/>
        </w:rPr>
        <w:t> </w:t>
      </w:r>
      <w:r>
        <w:rPr>
          <w:sz w:val="19"/>
        </w:rPr>
        <w:t>Macmillan</w:t>
      </w:r>
      <w:r>
        <w:rPr>
          <w:spacing w:val="40"/>
          <w:sz w:val="19"/>
        </w:rPr>
        <w:t> </w:t>
      </w:r>
      <w:r>
        <w:rPr>
          <w:sz w:val="19"/>
        </w:rPr>
        <w:t>and</w:t>
      </w:r>
      <w:r>
        <w:rPr>
          <w:spacing w:val="40"/>
          <w:sz w:val="19"/>
        </w:rPr>
        <w:t> </w:t>
      </w:r>
      <w:r>
        <w:rPr>
          <w:sz w:val="19"/>
        </w:rPr>
        <w:t>Co.,</w:t>
      </w:r>
      <w:r>
        <w:rPr>
          <w:spacing w:val="40"/>
          <w:sz w:val="19"/>
        </w:rPr>
        <w:t> </w:t>
      </w:r>
      <w:r>
        <w:rPr>
          <w:sz w:val="19"/>
        </w:rPr>
        <w:t>1904.</w:t>
      </w:r>
    </w:p>
    <w:p>
      <w:pPr>
        <w:pStyle w:val="ListParagraph"/>
        <w:numPr>
          <w:ilvl w:val="0"/>
          <w:numId w:val="11"/>
        </w:numPr>
        <w:tabs>
          <w:tab w:pos="2157" w:val="left" w:leader="none"/>
        </w:tabs>
        <w:spacing w:line="240" w:lineRule="auto" w:before="59" w:after="0"/>
        <w:ind w:left="2157" w:right="0" w:hanging="312"/>
        <w:jc w:val="left"/>
        <w:rPr>
          <w:sz w:val="19"/>
        </w:rPr>
      </w:pPr>
      <w:r>
        <w:rPr>
          <w:sz w:val="19"/>
        </w:rPr>
        <w:t>Coleridge,</w:t>
      </w:r>
      <w:r>
        <w:rPr>
          <w:spacing w:val="6"/>
          <w:sz w:val="19"/>
        </w:rPr>
        <w:t> </w:t>
      </w:r>
      <w:r>
        <w:rPr>
          <w:sz w:val="19"/>
        </w:rPr>
        <w:t>Samuel</w:t>
      </w:r>
      <w:r>
        <w:rPr>
          <w:spacing w:val="5"/>
          <w:sz w:val="19"/>
        </w:rPr>
        <w:t> </w:t>
      </w:r>
      <w:r>
        <w:rPr>
          <w:sz w:val="19"/>
        </w:rPr>
        <w:t>Taylor.</w:t>
      </w:r>
      <w:r>
        <w:rPr>
          <w:spacing w:val="9"/>
          <w:sz w:val="19"/>
        </w:rPr>
        <w:t> </w:t>
      </w:r>
      <w:r>
        <w:rPr>
          <w:i/>
          <w:sz w:val="19"/>
        </w:rPr>
        <w:t>Coleridge’s</w:t>
      </w:r>
      <w:r>
        <w:rPr>
          <w:i/>
          <w:spacing w:val="7"/>
          <w:sz w:val="19"/>
        </w:rPr>
        <w:t> </w:t>
      </w:r>
      <w:r>
        <w:rPr>
          <w:i/>
          <w:sz w:val="19"/>
        </w:rPr>
        <w:t>Lectures</w:t>
      </w:r>
      <w:r>
        <w:rPr>
          <w:i/>
          <w:spacing w:val="10"/>
          <w:sz w:val="19"/>
        </w:rPr>
        <w:t> </w:t>
      </w:r>
      <w:r>
        <w:rPr>
          <w:i/>
          <w:sz w:val="19"/>
        </w:rPr>
        <w:t>on</w:t>
      </w:r>
      <w:r>
        <w:rPr>
          <w:i/>
          <w:spacing w:val="8"/>
          <w:sz w:val="19"/>
        </w:rPr>
        <w:t> </w:t>
      </w:r>
      <w:r>
        <w:rPr>
          <w:i/>
          <w:spacing w:val="-2"/>
          <w:sz w:val="19"/>
        </w:rPr>
        <w:t>Shakespeare</w:t>
      </w:r>
      <w:r>
        <w:rPr>
          <w:spacing w:val="-2"/>
          <w:sz w:val="19"/>
        </w:rPr>
        <w:t>.</w:t>
      </w:r>
    </w:p>
    <w:p>
      <w:pPr>
        <w:spacing w:before="19"/>
        <w:ind w:left="2160" w:right="0" w:firstLine="0"/>
        <w:jc w:val="left"/>
        <w:rPr>
          <w:sz w:val="19"/>
        </w:rPr>
      </w:pPr>
      <w:r>
        <w:rPr>
          <w:sz w:val="19"/>
        </w:rPr>
        <w:t>J.M.</w:t>
      </w:r>
      <w:r>
        <w:rPr>
          <w:spacing w:val="34"/>
          <w:sz w:val="19"/>
        </w:rPr>
        <w:t> </w:t>
      </w:r>
      <w:r>
        <w:rPr>
          <w:sz w:val="19"/>
        </w:rPr>
        <w:t>Dent</w:t>
      </w:r>
      <w:r>
        <w:rPr>
          <w:spacing w:val="30"/>
          <w:sz w:val="19"/>
        </w:rPr>
        <w:t> </w:t>
      </w:r>
      <w:r>
        <w:rPr>
          <w:sz w:val="19"/>
        </w:rPr>
        <w:t>&amp;</w:t>
      </w:r>
      <w:r>
        <w:rPr>
          <w:spacing w:val="33"/>
          <w:sz w:val="19"/>
        </w:rPr>
        <w:t> </w:t>
      </w:r>
      <w:r>
        <w:rPr>
          <w:sz w:val="19"/>
        </w:rPr>
        <w:t>Sons,</w:t>
      </w:r>
      <w:r>
        <w:rPr>
          <w:spacing w:val="34"/>
          <w:sz w:val="19"/>
        </w:rPr>
        <w:t> </w:t>
      </w:r>
      <w:r>
        <w:rPr>
          <w:spacing w:val="-4"/>
          <w:sz w:val="19"/>
        </w:rPr>
        <w:t>1914.</w:t>
      </w:r>
    </w:p>
    <w:p>
      <w:pPr>
        <w:pStyle w:val="ListParagraph"/>
        <w:numPr>
          <w:ilvl w:val="0"/>
          <w:numId w:val="11"/>
        </w:numPr>
        <w:tabs>
          <w:tab w:pos="2157" w:val="left" w:leader="none"/>
          <w:tab w:pos="2160" w:val="left" w:leader="none"/>
        </w:tabs>
        <w:spacing w:line="261" w:lineRule="auto" w:before="77" w:after="0"/>
        <w:ind w:left="2160" w:right="1440" w:hanging="315"/>
        <w:jc w:val="left"/>
        <w:rPr>
          <w:sz w:val="19"/>
        </w:rPr>
      </w:pPr>
      <w:r>
        <w:rPr>
          <w:sz w:val="19"/>
        </w:rPr>
        <w:t>Crystal,</w:t>
      </w:r>
      <w:r>
        <w:rPr>
          <w:spacing w:val="40"/>
          <w:sz w:val="19"/>
        </w:rPr>
        <w:t> </w:t>
      </w:r>
      <w:r>
        <w:rPr>
          <w:sz w:val="19"/>
        </w:rPr>
        <w:t>David.</w:t>
      </w:r>
      <w:r>
        <w:rPr>
          <w:spacing w:val="40"/>
          <w:sz w:val="19"/>
        </w:rPr>
        <w:t> </w:t>
      </w:r>
      <w:r>
        <w:rPr>
          <w:i/>
          <w:sz w:val="19"/>
        </w:rPr>
        <w:t>Think</w:t>
      </w:r>
      <w:r>
        <w:rPr>
          <w:i/>
          <w:spacing w:val="38"/>
          <w:sz w:val="19"/>
        </w:rPr>
        <w:t> </w:t>
      </w:r>
      <w:r>
        <w:rPr>
          <w:i/>
          <w:sz w:val="19"/>
        </w:rPr>
        <w:t>on</w:t>
      </w:r>
      <w:r>
        <w:rPr>
          <w:i/>
          <w:spacing w:val="40"/>
          <w:sz w:val="19"/>
        </w:rPr>
        <w:t> </w:t>
      </w:r>
      <w:r>
        <w:rPr>
          <w:i/>
          <w:sz w:val="19"/>
        </w:rPr>
        <w:t>My</w:t>
      </w:r>
      <w:r>
        <w:rPr>
          <w:i/>
          <w:spacing w:val="39"/>
          <w:sz w:val="19"/>
        </w:rPr>
        <w:t> </w:t>
      </w:r>
      <w:r>
        <w:rPr>
          <w:i/>
          <w:sz w:val="19"/>
        </w:rPr>
        <w:t>Words:</w:t>
      </w:r>
      <w:r>
        <w:rPr>
          <w:i/>
          <w:spacing w:val="38"/>
          <w:sz w:val="19"/>
        </w:rPr>
        <w:t> </w:t>
      </w:r>
      <w:r>
        <w:rPr>
          <w:i/>
          <w:sz w:val="19"/>
        </w:rPr>
        <w:t>Exploring</w:t>
      </w:r>
      <w:r>
        <w:rPr>
          <w:i/>
          <w:spacing w:val="39"/>
          <w:sz w:val="19"/>
        </w:rPr>
        <w:t> </w:t>
      </w:r>
      <w:r>
        <w:rPr>
          <w:i/>
          <w:sz w:val="19"/>
        </w:rPr>
        <w:t>Shakespeare’s Language</w:t>
      </w:r>
      <w:r>
        <w:rPr>
          <w:sz w:val="19"/>
        </w:rPr>
        <w:t>.</w:t>
      </w:r>
      <w:r>
        <w:rPr>
          <w:spacing w:val="40"/>
          <w:sz w:val="19"/>
        </w:rPr>
        <w:t> </w:t>
      </w:r>
      <w:r>
        <w:rPr>
          <w:sz w:val="19"/>
        </w:rPr>
        <w:t>Cambridge</w:t>
      </w:r>
      <w:r>
        <w:rPr>
          <w:spacing w:val="40"/>
          <w:sz w:val="19"/>
        </w:rPr>
        <w:t> </w:t>
      </w:r>
      <w:r>
        <w:rPr>
          <w:sz w:val="19"/>
        </w:rPr>
        <w:t>University</w:t>
      </w:r>
      <w:r>
        <w:rPr>
          <w:spacing w:val="40"/>
          <w:sz w:val="19"/>
        </w:rPr>
        <w:t> </w:t>
      </w:r>
      <w:r>
        <w:rPr>
          <w:sz w:val="19"/>
        </w:rPr>
        <w:t>Press,</w:t>
      </w:r>
      <w:r>
        <w:rPr>
          <w:spacing w:val="40"/>
          <w:sz w:val="19"/>
        </w:rPr>
        <w:t> </w:t>
      </w:r>
      <w:r>
        <w:rPr>
          <w:sz w:val="19"/>
        </w:rPr>
        <w:t>2008.</w:t>
      </w:r>
    </w:p>
    <w:p>
      <w:pPr>
        <w:pStyle w:val="ListParagraph"/>
        <w:spacing w:after="0" w:line="261" w:lineRule="auto"/>
        <w:jc w:val="left"/>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31872">
                <wp:simplePos x="0" y="0"/>
                <wp:positionH relativeFrom="page">
                  <wp:posOffset>2057400</wp:posOffset>
                </wp:positionH>
                <wp:positionV relativeFrom="paragraph">
                  <wp:posOffset>162604</wp:posOffset>
                </wp:positionV>
                <wp:extent cx="3657600" cy="12700"/>
                <wp:effectExtent l="0" t="0" r="0" b="0"/>
                <wp:wrapTopAndBottom/>
                <wp:docPr id="185" name="Graphic 185"/>
                <wp:cNvGraphicFramePr>
                  <a:graphicFrameLocks/>
                </wp:cNvGraphicFramePr>
                <a:graphic>
                  <a:graphicData uri="http://schemas.microsoft.com/office/word/2010/wordprocessingShape">
                    <wps:wsp>
                      <wps:cNvPr id="185" name="Graphic 18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84608;mso-wrap-distance-left:0;mso-wrap-distance-right:0" id="docshape181" filled="true" fillcolor="#000000" stroked="false">
                <v:fill type="solid"/>
                <w10:wrap type="topAndBottom"/>
              </v:rect>
            </w:pict>
          </mc:Fallback>
        </mc:AlternateContent>
      </w:r>
      <w:r>
        <w:rPr>
          <w:rFonts w:ascii="Verdana"/>
          <w:spacing w:val="-5"/>
          <w:sz w:val="18"/>
        </w:rPr>
        <w:t>32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11"/>
        </w:numPr>
        <w:tabs>
          <w:tab w:pos="2157" w:val="left" w:leader="none"/>
          <w:tab w:pos="2160" w:val="left" w:leader="none"/>
        </w:tabs>
        <w:spacing w:line="261" w:lineRule="auto" w:before="199" w:after="0"/>
        <w:ind w:left="2160" w:right="1438" w:hanging="315"/>
        <w:jc w:val="left"/>
        <w:rPr>
          <w:sz w:val="19"/>
        </w:rPr>
      </w:pPr>
      <w:r>
        <w:rPr>
          <w:sz w:val="19"/>
        </w:rPr>
        <w:t>Greenblatt,</w:t>
      </w:r>
      <w:r>
        <w:rPr>
          <w:spacing w:val="80"/>
          <w:sz w:val="19"/>
        </w:rPr>
        <w:t> </w:t>
      </w:r>
      <w:r>
        <w:rPr>
          <w:sz w:val="19"/>
        </w:rPr>
        <w:t>Stephen.</w:t>
      </w:r>
      <w:r>
        <w:rPr>
          <w:spacing w:val="80"/>
          <w:sz w:val="19"/>
        </w:rPr>
        <w:t> </w:t>
      </w:r>
      <w:r>
        <w:rPr>
          <w:i/>
          <w:sz w:val="19"/>
        </w:rPr>
        <w:t>Will</w:t>
      </w:r>
      <w:r>
        <w:rPr>
          <w:i/>
          <w:spacing w:val="80"/>
          <w:sz w:val="19"/>
        </w:rPr>
        <w:t> </w:t>
      </w:r>
      <w:r>
        <w:rPr>
          <w:i/>
          <w:sz w:val="19"/>
        </w:rPr>
        <w:t>in</w:t>
      </w:r>
      <w:r>
        <w:rPr>
          <w:i/>
          <w:spacing w:val="80"/>
          <w:sz w:val="19"/>
        </w:rPr>
        <w:t> </w:t>
      </w:r>
      <w:r>
        <w:rPr>
          <w:i/>
          <w:sz w:val="19"/>
        </w:rPr>
        <w:t>the</w:t>
      </w:r>
      <w:r>
        <w:rPr>
          <w:i/>
          <w:spacing w:val="80"/>
          <w:sz w:val="19"/>
        </w:rPr>
        <w:t> </w:t>
      </w:r>
      <w:r>
        <w:rPr>
          <w:i/>
          <w:sz w:val="19"/>
        </w:rPr>
        <w:t>World:</w:t>
      </w:r>
      <w:r>
        <w:rPr>
          <w:i/>
          <w:spacing w:val="80"/>
          <w:sz w:val="19"/>
        </w:rPr>
        <w:t> </w:t>
      </w:r>
      <w:r>
        <w:rPr>
          <w:i/>
          <w:sz w:val="19"/>
        </w:rPr>
        <w:t>How</w:t>
      </w:r>
      <w:r>
        <w:rPr>
          <w:i/>
          <w:spacing w:val="80"/>
          <w:sz w:val="19"/>
        </w:rPr>
        <w:t> </w:t>
      </w:r>
      <w:r>
        <w:rPr>
          <w:i/>
          <w:sz w:val="19"/>
        </w:rPr>
        <w:t>Shakespeare Became</w:t>
      </w:r>
      <w:r>
        <w:rPr>
          <w:i/>
          <w:spacing w:val="40"/>
          <w:sz w:val="19"/>
        </w:rPr>
        <w:t> </w:t>
      </w:r>
      <w:r>
        <w:rPr>
          <w:i/>
          <w:sz w:val="19"/>
        </w:rPr>
        <w:t>Shakespeare</w:t>
      </w:r>
      <w:r>
        <w:rPr>
          <w:sz w:val="19"/>
        </w:rPr>
        <w:t>.</w:t>
      </w:r>
      <w:r>
        <w:rPr>
          <w:spacing w:val="40"/>
          <w:sz w:val="19"/>
        </w:rPr>
        <w:t> </w:t>
      </w:r>
      <w:r>
        <w:rPr>
          <w:sz w:val="19"/>
        </w:rPr>
        <w:t>W.W.</w:t>
      </w:r>
      <w:r>
        <w:rPr>
          <w:spacing w:val="40"/>
          <w:sz w:val="19"/>
        </w:rPr>
        <w:t> </w:t>
      </w:r>
      <w:r>
        <w:rPr>
          <w:sz w:val="19"/>
        </w:rPr>
        <w:t>Norton</w:t>
      </w:r>
      <w:r>
        <w:rPr>
          <w:spacing w:val="40"/>
          <w:sz w:val="19"/>
        </w:rPr>
        <w:t> </w:t>
      </w:r>
      <w:r>
        <w:rPr>
          <w:sz w:val="19"/>
        </w:rPr>
        <w:t>&amp;</w:t>
      </w:r>
      <w:r>
        <w:rPr>
          <w:spacing w:val="40"/>
          <w:sz w:val="19"/>
        </w:rPr>
        <w:t> </w:t>
      </w:r>
      <w:r>
        <w:rPr>
          <w:sz w:val="19"/>
        </w:rPr>
        <w:t>Company,</w:t>
      </w:r>
      <w:r>
        <w:rPr>
          <w:spacing w:val="40"/>
          <w:sz w:val="19"/>
        </w:rPr>
        <w:t> </w:t>
      </w:r>
      <w:r>
        <w:rPr>
          <w:sz w:val="19"/>
        </w:rPr>
        <w:t>2004.</w:t>
      </w:r>
    </w:p>
    <w:p>
      <w:pPr>
        <w:pStyle w:val="ListParagraph"/>
        <w:numPr>
          <w:ilvl w:val="0"/>
          <w:numId w:val="11"/>
        </w:numPr>
        <w:tabs>
          <w:tab w:pos="2157" w:val="left" w:leader="none"/>
          <w:tab w:pos="2160" w:val="left" w:leader="none"/>
        </w:tabs>
        <w:spacing w:line="264" w:lineRule="auto" w:before="57" w:after="0"/>
        <w:ind w:left="2160" w:right="1443" w:hanging="315"/>
        <w:jc w:val="left"/>
        <w:rPr>
          <w:sz w:val="19"/>
        </w:rPr>
      </w:pPr>
      <w:r>
        <w:rPr>
          <w:sz w:val="19"/>
        </w:rPr>
        <w:t>Hopkins, Lisa. </w:t>
      </w:r>
      <w:r>
        <w:rPr>
          <w:i/>
          <w:sz w:val="19"/>
        </w:rPr>
        <w:t>The Cultural Uses of the Caesars on the English Renaissance</w:t>
      </w:r>
      <w:r>
        <w:rPr>
          <w:i/>
          <w:spacing w:val="40"/>
          <w:sz w:val="19"/>
        </w:rPr>
        <w:t> </w:t>
      </w:r>
      <w:r>
        <w:rPr>
          <w:i/>
          <w:sz w:val="19"/>
        </w:rPr>
        <w:t>Stage</w:t>
      </w:r>
      <w:r>
        <w:rPr>
          <w:sz w:val="19"/>
        </w:rPr>
        <w:t>.</w:t>
      </w:r>
      <w:r>
        <w:rPr>
          <w:spacing w:val="40"/>
          <w:sz w:val="19"/>
        </w:rPr>
        <w:t> </w:t>
      </w:r>
      <w:r>
        <w:rPr>
          <w:sz w:val="19"/>
        </w:rPr>
        <w:t>Ashgate,</w:t>
      </w:r>
      <w:r>
        <w:rPr>
          <w:spacing w:val="40"/>
          <w:sz w:val="19"/>
        </w:rPr>
        <w:t> </w:t>
      </w:r>
      <w:r>
        <w:rPr>
          <w:sz w:val="19"/>
        </w:rPr>
        <w:t>2008.</w:t>
      </w:r>
    </w:p>
    <w:p>
      <w:pPr>
        <w:pStyle w:val="ListParagraph"/>
        <w:numPr>
          <w:ilvl w:val="0"/>
          <w:numId w:val="11"/>
        </w:numPr>
        <w:tabs>
          <w:tab w:pos="2157" w:val="left" w:leader="none"/>
          <w:tab w:pos="2160" w:val="left" w:leader="none"/>
        </w:tabs>
        <w:spacing w:line="261" w:lineRule="auto" w:before="54" w:after="0"/>
        <w:ind w:left="2160" w:right="1438" w:hanging="315"/>
        <w:jc w:val="left"/>
        <w:rPr>
          <w:sz w:val="19"/>
        </w:rPr>
      </w:pPr>
      <w:r>
        <w:rPr>
          <w:sz w:val="19"/>
        </w:rPr>
        <w:t>Johnson,</w:t>
      </w:r>
      <w:r>
        <w:rPr>
          <w:spacing w:val="40"/>
          <w:sz w:val="19"/>
        </w:rPr>
        <w:t> </w:t>
      </w:r>
      <w:r>
        <w:rPr>
          <w:sz w:val="19"/>
        </w:rPr>
        <w:t>Samuel.</w:t>
      </w:r>
      <w:r>
        <w:rPr>
          <w:spacing w:val="40"/>
          <w:sz w:val="19"/>
        </w:rPr>
        <w:t> </w:t>
      </w:r>
      <w:r>
        <w:rPr>
          <w:i/>
          <w:sz w:val="19"/>
        </w:rPr>
        <w:t>Preface</w:t>
      </w:r>
      <w:r>
        <w:rPr>
          <w:i/>
          <w:spacing w:val="40"/>
          <w:sz w:val="19"/>
        </w:rPr>
        <w:t> </w:t>
      </w:r>
      <w:r>
        <w:rPr>
          <w:i/>
          <w:sz w:val="19"/>
        </w:rPr>
        <w:t>to</w:t>
      </w:r>
      <w:r>
        <w:rPr>
          <w:i/>
          <w:spacing w:val="40"/>
          <w:sz w:val="19"/>
        </w:rPr>
        <w:t> </w:t>
      </w:r>
      <w:r>
        <w:rPr>
          <w:i/>
          <w:sz w:val="19"/>
        </w:rPr>
        <w:t>Shakespeare</w:t>
      </w:r>
      <w:r>
        <w:rPr>
          <w:sz w:val="19"/>
        </w:rPr>
        <w:t>.</w:t>
      </w:r>
      <w:r>
        <w:rPr>
          <w:spacing w:val="40"/>
          <w:sz w:val="19"/>
        </w:rPr>
        <w:t> </w:t>
      </w:r>
      <w:r>
        <w:rPr>
          <w:sz w:val="19"/>
        </w:rPr>
        <w:t>J.</w:t>
      </w:r>
      <w:r>
        <w:rPr>
          <w:spacing w:val="40"/>
          <w:sz w:val="19"/>
        </w:rPr>
        <w:t> </w:t>
      </w:r>
      <w:r>
        <w:rPr>
          <w:sz w:val="19"/>
        </w:rPr>
        <w:t>and</w:t>
      </w:r>
      <w:r>
        <w:rPr>
          <w:spacing w:val="40"/>
          <w:sz w:val="19"/>
        </w:rPr>
        <w:t> </w:t>
      </w:r>
      <w:r>
        <w:rPr>
          <w:sz w:val="19"/>
        </w:rPr>
        <w:t>R.</w:t>
      </w:r>
      <w:r>
        <w:rPr>
          <w:spacing w:val="40"/>
          <w:sz w:val="19"/>
        </w:rPr>
        <w:t> </w:t>
      </w:r>
      <w:r>
        <w:rPr>
          <w:sz w:val="19"/>
        </w:rPr>
        <w:t>Tonson, </w:t>
      </w:r>
      <w:r>
        <w:rPr>
          <w:spacing w:val="-2"/>
          <w:sz w:val="19"/>
        </w:rPr>
        <w:t>1765.</w:t>
      </w:r>
    </w:p>
    <w:p>
      <w:pPr>
        <w:pStyle w:val="ListParagraph"/>
        <w:numPr>
          <w:ilvl w:val="0"/>
          <w:numId w:val="11"/>
        </w:numPr>
        <w:tabs>
          <w:tab w:pos="2157" w:val="left" w:leader="none"/>
          <w:tab w:pos="2160" w:val="left" w:leader="none"/>
        </w:tabs>
        <w:spacing w:line="264" w:lineRule="auto" w:before="57" w:after="0"/>
        <w:ind w:left="2160" w:right="1441" w:hanging="315"/>
        <w:jc w:val="left"/>
        <w:rPr>
          <w:sz w:val="19"/>
        </w:rPr>
      </w:pPr>
      <w:r>
        <w:rPr>
          <w:sz w:val="19"/>
        </w:rPr>
        <w:t>Jonson,</w:t>
      </w:r>
      <w:r>
        <w:rPr>
          <w:spacing w:val="27"/>
          <w:sz w:val="19"/>
        </w:rPr>
        <w:t> </w:t>
      </w:r>
      <w:r>
        <w:rPr>
          <w:sz w:val="19"/>
        </w:rPr>
        <w:t>Ben.</w:t>
      </w:r>
      <w:r>
        <w:rPr>
          <w:spacing w:val="27"/>
          <w:sz w:val="19"/>
        </w:rPr>
        <w:t> </w:t>
      </w:r>
      <w:r>
        <w:rPr>
          <w:sz w:val="19"/>
        </w:rPr>
        <w:t>“To</w:t>
      </w:r>
      <w:r>
        <w:rPr>
          <w:spacing w:val="29"/>
          <w:sz w:val="19"/>
        </w:rPr>
        <w:t> </w:t>
      </w:r>
      <w:r>
        <w:rPr>
          <w:sz w:val="19"/>
        </w:rPr>
        <w:t>the</w:t>
      </w:r>
      <w:r>
        <w:rPr>
          <w:spacing w:val="27"/>
          <w:sz w:val="19"/>
        </w:rPr>
        <w:t> </w:t>
      </w:r>
      <w:r>
        <w:rPr>
          <w:sz w:val="19"/>
        </w:rPr>
        <w:t>Memory</w:t>
      </w:r>
      <w:r>
        <w:rPr>
          <w:spacing w:val="22"/>
          <w:sz w:val="19"/>
        </w:rPr>
        <w:t> </w:t>
      </w:r>
      <w:r>
        <w:rPr>
          <w:sz w:val="19"/>
        </w:rPr>
        <w:t>of</w:t>
      </w:r>
      <w:r>
        <w:rPr>
          <w:spacing w:val="30"/>
          <w:sz w:val="19"/>
        </w:rPr>
        <w:t> </w:t>
      </w:r>
      <w:r>
        <w:rPr>
          <w:sz w:val="19"/>
        </w:rPr>
        <w:t>My</w:t>
      </w:r>
      <w:r>
        <w:rPr>
          <w:spacing w:val="22"/>
          <w:sz w:val="19"/>
        </w:rPr>
        <w:t> </w:t>
      </w:r>
      <w:r>
        <w:rPr>
          <w:sz w:val="19"/>
        </w:rPr>
        <w:t>Beloved,</w:t>
      </w:r>
      <w:r>
        <w:rPr>
          <w:spacing w:val="29"/>
          <w:sz w:val="19"/>
        </w:rPr>
        <w:t> </w:t>
      </w:r>
      <w:r>
        <w:rPr>
          <w:sz w:val="19"/>
        </w:rPr>
        <w:t>the Author</w:t>
      </w:r>
      <w:r>
        <w:rPr>
          <w:spacing w:val="25"/>
          <w:sz w:val="19"/>
        </w:rPr>
        <w:t> </w:t>
      </w:r>
      <w:r>
        <w:rPr>
          <w:sz w:val="19"/>
        </w:rPr>
        <w:t>Mr. William</w:t>
      </w:r>
      <w:r>
        <w:rPr>
          <w:spacing w:val="40"/>
          <w:sz w:val="19"/>
        </w:rPr>
        <w:t> </w:t>
      </w:r>
      <w:r>
        <w:rPr>
          <w:sz w:val="19"/>
        </w:rPr>
        <w:t>Shakespeare.”</w:t>
      </w:r>
      <w:r>
        <w:rPr>
          <w:spacing w:val="40"/>
          <w:sz w:val="19"/>
        </w:rPr>
        <w:t> </w:t>
      </w:r>
      <w:r>
        <w:rPr>
          <w:sz w:val="19"/>
        </w:rPr>
        <w:t>First</w:t>
      </w:r>
      <w:r>
        <w:rPr>
          <w:spacing w:val="40"/>
          <w:sz w:val="19"/>
        </w:rPr>
        <w:t> </w:t>
      </w:r>
      <w:r>
        <w:rPr>
          <w:sz w:val="19"/>
        </w:rPr>
        <w:t>Folio,</w:t>
      </w:r>
      <w:r>
        <w:rPr>
          <w:spacing w:val="40"/>
          <w:sz w:val="19"/>
        </w:rPr>
        <w:t> </w:t>
      </w:r>
      <w:r>
        <w:rPr>
          <w:sz w:val="19"/>
        </w:rPr>
        <w:t>1623.</w:t>
      </w:r>
    </w:p>
    <w:p>
      <w:pPr>
        <w:pStyle w:val="ListParagraph"/>
        <w:numPr>
          <w:ilvl w:val="0"/>
          <w:numId w:val="11"/>
        </w:numPr>
        <w:tabs>
          <w:tab w:pos="2157" w:val="left" w:leader="none"/>
          <w:tab w:pos="2160" w:val="left" w:leader="none"/>
        </w:tabs>
        <w:spacing w:line="261" w:lineRule="auto" w:before="54" w:after="0"/>
        <w:ind w:left="2160" w:right="1437" w:hanging="315"/>
        <w:jc w:val="left"/>
        <w:rPr>
          <w:sz w:val="19"/>
        </w:rPr>
      </w:pPr>
      <w:r>
        <w:rPr>
          <w:sz w:val="19"/>
        </w:rPr>
        <w:t>Power,</w:t>
      </w:r>
      <w:r>
        <w:rPr>
          <w:spacing w:val="38"/>
          <w:sz w:val="19"/>
        </w:rPr>
        <w:t> </w:t>
      </w:r>
      <w:r>
        <w:rPr>
          <w:sz w:val="19"/>
        </w:rPr>
        <w:t>Chris.</w:t>
      </w:r>
      <w:r>
        <w:rPr>
          <w:spacing w:val="40"/>
          <w:sz w:val="19"/>
        </w:rPr>
        <w:t> </w:t>
      </w:r>
      <w:r>
        <w:rPr>
          <w:sz w:val="19"/>
        </w:rPr>
        <w:t>“A</w:t>
      </w:r>
      <w:r>
        <w:rPr>
          <w:spacing w:val="27"/>
          <w:sz w:val="19"/>
        </w:rPr>
        <w:t> </w:t>
      </w:r>
      <w:r>
        <w:rPr>
          <w:sz w:val="19"/>
        </w:rPr>
        <w:t>Brief</w:t>
      </w:r>
      <w:r>
        <w:rPr>
          <w:spacing w:val="40"/>
          <w:sz w:val="19"/>
        </w:rPr>
        <w:t> </w:t>
      </w:r>
      <w:r>
        <w:rPr>
          <w:sz w:val="19"/>
        </w:rPr>
        <w:t>Guide</w:t>
      </w:r>
      <w:r>
        <w:rPr>
          <w:spacing w:val="37"/>
          <w:sz w:val="19"/>
        </w:rPr>
        <w:t> </w:t>
      </w:r>
      <w:r>
        <w:rPr>
          <w:sz w:val="19"/>
        </w:rPr>
        <w:t>to</w:t>
      </w:r>
      <w:r>
        <w:rPr>
          <w:spacing w:val="40"/>
          <w:sz w:val="19"/>
        </w:rPr>
        <w:t> </w:t>
      </w:r>
      <w:r>
        <w:rPr>
          <w:sz w:val="19"/>
        </w:rPr>
        <w:t>Shakespeare’s</w:t>
      </w:r>
      <w:r>
        <w:rPr>
          <w:spacing w:val="34"/>
          <w:sz w:val="19"/>
        </w:rPr>
        <w:t> </w:t>
      </w:r>
      <w:r>
        <w:rPr>
          <w:sz w:val="19"/>
        </w:rPr>
        <w:t>Women.”</w:t>
      </w:r>
      <w:r>
        <w:rPr>
          <w:spacing w:val="40"/>
          <w:sz w:val="19"/>
        </w:rPr>
        <w:t> </w:t>
      </w:r>
      <w:r>
        <w:rPr>
          <w:i/>
          <w:sz w:val="19"/>
        </w:rPr>
        <w:t>The British</w:t>
      </w:r>
      <w:r>
        <w:rPr>
          <w:i/>
          <w:spacing w:val="40"/>
          <w:sz w:val="19"/>
        </w:rPr>
        <w:t> </w:t>
      </w:r>
      <w:r>
        <w:rPr>
          <w:i/>
          <w:sz w:val="19"/>
        </w:rPr>
        <w:t>Library</w:t>
      </w:r>
      <w:r>
        <w:rPr>
          <w:sz w:val="19"/>
        </w:rPr>
        <w:t>,</w:t>
      </w:r>
      <w:r>
        <w:rPr>
          <w:spacing w:val="40"/>
          <w:sz w:val="19"/>
        </w:rPr>
        <w:t> </w:t>
      </w:r>
      <w:r>
        <w:rPr>
          <w:sz w:val="19"/>
        </w:rPr>
        <w:t>2016.</w:t>
      </w:r>
    </w:p>
    <w:p>
      <w:pPr>
        <w:pStyle w:val="ListParagraph"/>
        <w:numPr>
          <w:ilvl w:val="0"/>
          <w:numId w:val="11"/>
        </w:numPr>
        <w:tabs>
          <w:tab w:pos="2157" w:val="left" w:leader="none"/>
          <w:tab w:pos="2160" w:val="left" w:leader="none"/>
        </w:tabs>
        <w:spacing w:line="264" w:lineRule="auto" w:before="57" w:after="0"/>
        <w:ind w:left="2160" w:right="1441" w:hanging="406"/>
        <w:jc w:val="left"/>
        <w:rPr>
          <w:sz w:val="19"/>
        </w:rPr>
      </w:pPr>
      <w:r>
        <w:rPr>
          <w:sz w:val="19"/>
        </w:rPr>
        <w:t>Rackin, Phyllis. </w:t>
      </w:r>
      <w:r>
        <w:rPr>
          <w:i/>
          <w:sz w:val="19"/>
        </w:rPr>
        <w:t>Shakespeare’s Women</w:t>
      </w:r>
      <w:r>
        <w:rPr>
          <w:sz w:val="19"/>
        </w:rPr>
        <w:t>. Oxford University Press, </w:t>
      </w:r>
      <w:r>
        <w:rPr>
          <w:spacing w:val="-2"/>
          <w:sz w:val="19"/>
        </w:rPr>
        <w:t>2005.</w:t>
      </w:r>
    </w:p>
    <w:p>
      <w:pPr>
        <w:pStyle w:val="ListParagraph"/>
        <w:numPr>
          <w:ilvl w:val="0"/>
          <w:numId w:val="11"/>
        </w:numPr>
        <w:tabs>
          <w:tab w:pos="2157" w:val="left" w:leader="none"/>
          <w:tab w:pos="2160" w:val="left" w:leader="none"/>
        </w:tabs>
        <w:spacing w:line="261" w:lineRule="auto" w:before="54" w:after="0"/>
        <w:ind w:left="2160" w:right="1439" w:hanging="406"/>
        <w:jc w:val="left"/>
        <w:rPr>
          <w:sz w:val="19"/>
        </w:rPr>
      </w:pPr>
      <w:r>
        <w:rPr>
          <w:sz w:val="19"/>
        </w:rPr>
        <w:t>Schalkwyk,</w:t>
      </w:r>
      <w:r>
        <w:rPr>
          <w:spacing w:val="80"/>
          <w:sz w:val="19"/>
        </w:rPr>
        <w:t> </w:t>
      </w:r>
      <w:r>
        <w:rPr>
          <w:sz w:val="19"/>
        </w:rPr>
        <w:t>David.</w:t>
      </w:r>
      <w:r>
        <w:rPr>
          <w:spacing w:val="80"/>
          <w:sz w:val="19"/>
        </w:rPr>
        <w:t> </w:t>
      </w:r>
      <w:r>
        <w:rPr>
          <w:i/>
          <w:sz w:val="19"/>
        </w:rPr>
        <w:t>Hamlet’s</w:t>
      </w:r>
      <w:r>
        <w:rPr>
          <w:i/>
          <w:spacing w:val="80"/>
          <w:sz w:val="19"/>
        </w:rPr>
        <w:t> </w:t>
      </w:r>
      <w:r>
        <w:rPr>
          <w:i/>
          <w:sz w:val="19"/>
        </w:rPr>
        <w:t>Dreams:</w:t>
      </w:r>
      <w:r>
        <w:rPr>
          <w:i/>
          <w:spacing w:val="80"/>
          <w:sz w:val="19"/>
        </w:rPr>
        <w:t> </w:t>
      </w:r>
      <w:r>
        <w:rPr>
          <w:i/>
          <w:sz w:val="19"/>
        </w:rPr>
        <w:t>The</w:t>
      </w:r>
      <w:r>
        <w:rPr>
          <w:i/>
          <w:spacing w:val="80"/>
          <w:sz w:val="19"/>
        </w:rPr>
        <w:t> </w:t>
      </w:r>
      <w:r>
        <w:rPr>
          <w:i/>
          <w:sz w:val="19"/>
        </w:rPr>
        <w:t>Robben</w:t>
      </w:r>
      <w:r>
        <w:rPr>
          <w:i/>
          <w:spacing w:val="80"/>
          <w:sz w:val="19"/>
        </w:rPr>
        <w:t> </w:t>
      </w:r>
      <w:r>
        <w:rPr>
          <w:i/>
          <w:sz w:val="19"/>
        </w:rPr>
        <w:t>Island Shakespeare</w:t>
      </w:r>
      <w:r>
        <w:rPr>
          <w:sz w:val="19"/>
        </w:rPr>
        <w:t>.</w:t>
      </w:r>
      <w:r>
        <w:rPr>
          <w:spacing w:val="40"/>
          <w:sz w:val="19"/>
        </w:rPr>
        <w:t> </w:t>
      </w:r>
      <w:r>
        <w:rPr>
          <w:sz w:val="19"/>
        </w:rPr>
        <w:t>Bloomsbury,</w:t>
      </w:r>
      <w:r>
        <w:rPr>
          <w:spacing w:val="40"/>
          <w:sz w:val="19"/>
        </w:rPr>
        <w:t> </w:t>
      </w:r>
      <w:r>
        <w:rPr>
          <w:sz w:val="19"/>
        </w:rPr>
        <w:t>2013.</w:t>
      </w:r>
    </w:p>
    <w:p>
      <w:pPr>
        <w:pStyle w:val="ListParagraph"/>
        <w:numPr>
          <w:ilvl w:val="0"/>
          <w:numId w:val="11"/>
        </w:numPr>
        <w:tabs>
          <w:tab w:pos="2157" w:val="left" w:leader="none"/>
          <w:tab w:pos="2160" w:val="left" w:leader="none"/>
        </w:tabs>
        <w:spacing w:line="264" w:lineRule="auto" w:before="57" w:after="0"/>
        <w:ind w:left="2160" w:right="1439" w:hanging="406"/>
        <w:jc w:val="left"/>
        <w:rPr>
          <w:sz w:val="19"/>
        </w:rPr>
      </w:pPr>
      <w:r>
        <w:rPr>
          <w:sz w:val="19"/>
        </w:rPr>
        <w:t>Shakespeare, William.</w:t>
      </w:r>
      <w:r>
        <w:rPr>
          <w:spacing w:val="21"/>
          <w:sz w:val="19"/>
        </w:rPr>
        <w:t> </w:t>
      </w:r>
      <w:r>
        <w:rPr>
          <w:i/>
          <w:sz w:val="19"/>
        </w:rPr>
        <w:t>The Riverside</w:t>
      </w:r>
      <w:r>
        <w:rPr>
          <w:i/>
          <w:spacing w:val="19"/>
          <w:sz w:val="19"/>
        </w:rPr>
        <w:t> </w:t>
      </w:r>
      <w:r>
        <w:rPr>
          <w:i/>
          <w:sz w:val="19"/>
        </w:rPr>
        <w:t>Shakespeare</w:t>
      </w:r>
      <w:r>
        <w:rPr>
          <w:sz w:val="19"/>
        </w:rPr>
        <w:t>.</w:t>
      </w:r>
      <w:r>
        <w:rPr>
          <w:spacing w:val="19"/>
          <w:sz w:val="19"/>
        </w:rPr>
        <w:t> </w:t>
      </w:r>
      <w:r>
        <w:rPr>
          <w:sz w:val="19"/>
        </w:rPr>
        <w:t>Edited</w:t>
      </w:r>
      <w:r>
        <w:rPr>
          <w:spacing w:val="19"/>
          <w:sz w:val="19"/>
        </w:rPr>
        <w:t> </w:t>
      </w:r>
      <w:r>
        <w:rPr>
          <w:sz w:val="19"/>
        </w:rPr>
        <w:t>by G. Blakemore</w:t>
      </w:r>
      <w:r>
        <w:rPr>
          <w:spacing w:val="40"/>
          <w:sz w:val="19"/>
        </w:rPr>
        <w:t> </w:t>
      </w:r>
      <w:r>
        <w:rPr>
          <w:sz w:val="19"/>
        </w:rPr>
        <w:t>Evans,</w:t>
      </w:r>
      <w:r>
        <w:rPr>
          <w:spacing w:val="40"/>
          <w:sz w:val="19"/>
        </w:rPr>
        <w:t> </w:t>
      </w:r>
      <w:r>
        <w:rPr>
          <w:sz w:val="19"/>
        </w:rPr>
        <w:t>2nd</w:t>
      </w:r>
      <w:r>
        <w:rPr>
          <w:spacing w:val="40"/>
          <w:sz w:val="19"/>
        </w:rPr>
        <w:t> </w:t>
      </w:r>
      <w:r>
        <w:rPr>
          <w:sz w:val="19"/>
        </w:rPr>
        <w:t>ed.,</w:t>
      </w:r>
      <w:r>
        <w:rPr>
          <w:spacing w:val="40"/>
          <w:sz w:val="19"/>
        </w:rPr>
        <w:t> </w:t>
      </w:r>
      <w:r>
        <w:rPr>
          <w:sz w:val="19"/>
        </w:rPr>
        <w:t>Houghton</w:t>
      </w:r>
      <w:r>
        <w:rPr>
          <w:spacing w:val="40"/>
          <w:sz w:val="19"/>
        </w:rPr>
        <w:t> </w:t>
      </w:r>
      <w:r>
        <w:rPr>
          <w:sz w:val="19"/>
        </w:rPr>
        <w:t>Mifflin,</w:t>
      </w:r>
      <w:r>
        <w:rPr>
          <w:spacing w:val="40"/>
          <w:sz w:val="19"/>
        </w:rPr>
        <w:t> </w:t>
      </w:r>
      <w:r>
        <w:rPr>
          <w:sz w:val="19"/>
        </w:rPr>
        <w:t>1997.</w:t>
      </w:r>
    </w:p>
    <w:p>
      <w:pPr>
        <w:pStyle w:val="ListParagraph"/>
        <w:numPr>
          <w:ilvl w:val="0"/>
          <w:numId w:val="11"/>
        </w:numPr>
        <w:tabs>
          <w:tab w:pos="2157" w:val="left" w:leader="none"/>
        </w:tabs>
        <w:spacing w:line="240" w:lineRule="auto" w:before="54" w:after="0"/>
        <w:ind w:left="2157" w:right="0" w:hanging="403"/>
        <w:jc w:val="left"/>
        <w:rPr>
          <w:sz w:val="19"/>
        </w:rPr>
      </w:pPr>
      <w:r>
        <w:rPr>
          <w:sz w:val="19"/>
        </w:rPr>
        <w:t>Woolf,</w:t>
      </w:r>
      <w:r>
        <w:rPr>
          <w:spacing w:val="25"/>
          <w:sz w:val="19"/>
        </w:rPr>
        <w:t> </w:t>
      </w:r>
      <w:r>
        <w:rPr>
          <w:sz w:val="19"/>
        </w:rPr>
        <w:t>Virginia.</w:t>
      </w:r>
      <w:r>
        <w:rPr>
          <w:spacing w:val="26"/>
          <w:sz w:val="19"/>
        </w:rPr>
        <w:t> </w:t>
      </w:r>
      <w:r>
        <w:rPr>
          <w:i/>
          <w:sz w:val="19"/>
        </w:rPr>
        <w:t>A</w:t>
      </w:r>
      <w:r>
        <w:rPr>
          <w:i/>
          <w:spacing w:val="24"/>
          <w:sz w:val="19"/>
        </w:rPr>
        <w:t> </w:t>
      </w:r>
      <w:r>
        <w:rPr>
          <w:i/>
          <w:sz w:val="19"/>
        </w:rPr>
        <w:t>Room</w:t>
      </w:r>
      <w:r>
        <w:rPr>
          <w:i/>
          <w:spacing w:val="29"/>
          <w:sz w:val="19"/>
        </w:rPr>
        <w:t> </w:t>
      </w:r>
      <w:r>
        <w:rPr>
          <w:i/>
          <w:sz w:val="19"/>
        </w:rPr>
        <w:t>of</w:t>
      </w:r>
      <w:r>
        <w:rPr>
          <w:i/>
          <w:spacing w:val="27"/>
          <w:sz w:val="19"/>
        </w:rPr>
        <w:t> </w:t>
      </w:r>
      <w:r>
        <w:rPr>
          <w:i/>
          <w:sz w:val="19"/>
        </w:rPr>
        <w:t>One’s</w:t>
      </w:r>
      <w:r>
        <w:rPr>
          <w:i/>
          <w:spacing w:val="29"/>
          <w:sz w:val="19"/>
        </w:rPr>
        <w:t> </w:t>
      </w:r>
      <w:r>
        <w:rPr>
          <w:i/>
          <w:sz w:val="19"/>
        </w:rPr>
        <w:t>Own</w:t>
      </w:r>
      <w:r>
        <w:rPr>
          <w:sz w:val="19"/>
        </w:rPr>
        <w:t>.</w:t>
      </w:r>
      <w:r>
        <w:rPr>
          <w:spacing w:val="29"/>
          <w:sz w:val="19"/>
        </w:rPr>
        <w:t> </w:t>
      </w:r>
      <w:r>
        <w:rPr>
          <w:sz w:val="19"/>
        </w:rPr>
        <w:t>Hogarth</w:t>
      </w:r>
      <w:r>
        <w:rPr>
          <w:spacing w:val="27"/>
          <w:sz w:val="19"/>
        </w:rPr>
        <w:t> </w:t>
      </w:r>
      <w:r>
        <w:rPr>
          <w:sz w:val="19"/>
        </w:rPr>
        <w:t>Press,</w:t>
      </w:r>
      <w:r>
        <w:rPr>
          <w:spacing w:val="29"/>
          <w:sz w:val="19"/>
        </w:rPr>
        <w:t> </w:t>
      </w:r>
      <w:r>
        <w:rPr>
          <w:spacing w:val="-4"/>
          <w:sz w:val="19"/>
        </w:rPr>
        <w:t>1929.</w:t>
      </w:r>
    </w:p>
    <w:p>
      <w:pPr>
        <w:pStyle w:val="ListParagraph"/>
        <w:spacing w:after="0" w:line="240"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797056">
                <wp:simplePos x="0" y="0"/>
                <wp:positionH relativeFrom="page">
                  <wp:posOffset>2057400</wp:posOffset>
                </wp:positionH>
                <wp:positionV relativeFrom="page">
                  <wp:posOffset>1788723</wp:posOffset>
                </wp:positionV>
                <wp:extent cx="3655060" cy="140335"/>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3655060" cy="140335"/>
                        </a:xfrm>
                        <a:prstGeom prst="rect">
                          <a:avLst/>
                        </a:prstGeom>
                      </wps:spPr>
                      <wps:txbx>
                        <w:txbxContent>
                          <w:p>
                            <w:pPr>
                              <w:tabs>
                                <w:tab w:pos="5755" w:val="right" w:leader="none"/>
                              </w:tabs>
                              <w:spacing w:line="219" w:lineRule="exact" w:before="0"/>
                              <w:ind w:left="0" w:right="0" w:firstLine="0"/>
                              <w:jc w:val="left"/>
                              <w:rPr>
                                <w:rFonts w:ascii="Verdana"/>
                                <w:sz w:val="18"/>
                              </w:rPr>
                            </w:pPr>
                            <w:r>
                              <w:rPr>
                                <w:rFonts w:ascii="Verdana"/>
                                <w:sz w:val="18"/>
                              </w:rPr>
                              <w:t>Psychological</w:t>
                            </w:r>
                            <w:r>
                              <w:rPr>
                                <w:rFonts w:ascii="Verdana"/>
                                <w:spacing w:val="13"/>
                                <w:sz w:val="18"/>
                              </w:rPr>
                              <w:t> </w:t>
                            </w:r>
                            <w:r>
                              <w:rPr>
                                <w:rFonts w:ascii="Verdana"/>
                                <w:sz w:val="18"/>
                              </w:rPr>
                              <w:t>Suffering</w:t>
                            </w:r>
                            <w:r>
                              <w:rPr>
                                <w:rFonts w:ascii="Verdana"/>
                                <w:spacing w:val="14"/>
                                <w:sz w:val="18"/>
                              </w:rPr>
                              <w:t> </w:t>
                            </w:r>
                            <w:r>
                              <w:rPr>
                                <w:rFonts w:ascii="Verdana"/>
                                <w:sz w:val="18"/>
                              </w:rPr>
                              <w:t>and</w:t>
                            </w:r>
                            <w:r>
                              <w:rPr>
                                <w:rFonts w:ascii="Verdana"/>
                                <w:spacing w:val="14"/>
                                <w:sz w:val="18"/>
                              </w:rPr>
                              <w:t> </w:t>
                            </w:r>
                            <w:r>
                              <w:rPr>
                                <w:rFonts w:ascii="Verdana"/>
                                <w:sz w:val="18"/>
                              </w:rPr>
                              <w:t>Gendered</w:t>
                            </w:r>
                            <w:r>
                              <w:rPr>
                                <w:rFonts w:ascii="Verdana"/>
                                <w:spacing w:val="15"/>
                                <w:sz w:val="18"/>
                              </w:rPr>
                              <w:t> </w:t>
                            </w:r>
                            <w:r>
                              <w:rPr>
                                <w:rFonts w:ascii="Verdana"/>
                                <w:spacing w:val="-2"/>
                                <w:sz w:val="18"/>
                              </w:rPr>
                              <w:t>Power...</w:t>
                            </w:r>
                            <w:r>
                              <w:rPr>
                                <w:sz w:val="18"/>
                              </w:rPr>
                              <w:tab/>
                            </w:r>
                            <w:r>
                              <w:rPr>
                                <w:rFonts w:ascii="Verdana"/>
                                <w:spacing w:val="-5"/>
                                <w:sz w:val="18"/>
                              </w:rPr>
                              <w:t>33</w:t>
                            </w:r>
                          </w:p>
                        </w:txbxContent>
                      </wps:txbx>
                      <wps:bodyPr wrap="square" lIns="0" tIns="0" rIns="0" bIns="0" rtlCol="0">
                        <a:noAutofit/>
                      </wps:bodyPr>
                    </wps:wsp>
                  </a:graphicData>
                </a:graphic>
              </wp:anchor>
            </w:drawing>
          </mc:Choice>
          <mc:Fallback>
            <w:pict>
              <v:shape style="position:absolute;margin-left:162pt;margin-top:140.844391pt;width:287.8pt;height:11.05pt;mso-position-horizontal-relative:page;mso-position-vertical-relative:page;z-index:-20519424" type="#_x0000_t202" id="docshape182" filled="false" stroked="false">
                <v:textbox inset="0,0,0,0">
                  <w:txbxContent>
                    <w:p>
                      <w:pPr>
                        <w:tabs>
                          <w:tab w:pos="5755" w:val="right" w:leader="none"/>
                        </w:tabs>
                        <w:spacing w:line="219" w:lineRule="exact" w:before="0"/>
                        <w:ind w:left="0" w:right="0" w:firstLine="0"/>
                        <w:jc w:val="left"/>
                        <w:rPr>
                          <w:rFonts w:ascii="Verdana"/>
                          <w:sz w:val="18"/>
                        </w:rPr>
                      </w:pPr>
                      <w:r>
                        <w:rPr>
                          <w:rFonts w:ascii="Verdana"/>
                          <w:sz w:val="18"/>
                        </w:rPr>
                        <w:t>Psychological</w:t>
                      </w:r>
                      <w:r>
                        <w:rPr>
                          <w:rFonts w:ascii="Verdana"/>
                          <w:spacing w:val="13"/>
                          <w:sz w:val="18"/>
                        </w:rPr>
                        <w:t> </w:t>
                      </w:r>
                      <w:r>
                        <w:rPr>
                          <w:rFonts w:ascii="Verdana"/>
                          <w:sz w:val="18"/>
                        </w:rPr>
                        <w:t>Suffering</w:t>
                      </w:r>
                      <w:r>
                        <w:rPr>
                          <w:rFonts w:ascii="Verdana"/>
                          <w:spacing w:val="14"/>
                          <w:sz w:val="18"/>
                        </w:rPr>
                        <w:t> </w:t>
                      </w:r>
                      <w:r>
                        <w:rPr>
                          <w:rFonts w:ascii="Verdana"/>
                          <w:sz w:val="18"/>
                        </w:rPr>
                        <w:t>and</w:t>
                      </w:r>
                      <w:r>
                        <w:rPr>
                          <w:rFonts w:ascii="Verdana"/>
                          <w:spacing w:val="14"/>
                          <w:sz w:val="18"/>
                        </w:rPr>
                        <w:t> </w:t>
                      </w:r>
                      <w:r>
                        <w:rPr>
                          <w:rFonts w:ascii="Verdana"/>
                          <w:sz w:val="18"/>
                        </w:rPr>
                        <w:t>Gendered</w:t>
                      </w:r>
                      <w:r>
                        <w:rPr>
                          <w:rFonts w:ascii="Verdana"/>
                          <w:spacing w:val="15"/>
                          <w:sz w:val="18"/>
                        </w:rPr>
                        <w:t> </w:t>
                      </w:r>
                      <w:r>
                        <w:rPr>
                          <w:rFonts w:ascii="Verdana"/>
                          <w:spacing w:val="-2"/>
                          <w:sz w:val="18"/>
                        </w:rPr>
                        <w:t>Power...</w:t>
                      </w:r>
                      <w:r>
                        <w:rPr>
                          <w:sz w:val="18"/>
                        </w:rPr>
                        <w:tab/>
                      </w:r>
                      <w:r>
                        <w:rPr>
                          <w:rFonts w:ascii="Verdana"/>
                          <w:spacing w:val="-5"/>
                          <w:sz w:val="18"/>
                        </w:rPr>
                        <w:t>33</w:t>
                      </w:r>
                    </w:p>
                  </w:txbxContent>
                </v:textbox>
                <w10:wrap type="none"/>
              </v:shape>
            </w:pict>
          </mc:Fallback>
        </mc:AlternateContent>
      </w:r>
    </w:p>
    <w:p>
      <w:pPr>
        <w:pStyle w:val="BodyText"/>
        <w:ind w:left="0"/>
      </w:pPr>
    </w:p>
    <w:p>
      <w:pPr>
        <w:pStyle w:val="BodyText"/>
        <w:spacing w:before="14" w:after="1"/>
        <w:ind w:left="0"/>
      </w:pPr>
    </w:p>
    <w:p>
      <w:pPr>
        <w:spacing w:line="240" w:lineRule="auto"/>
        <w:ind w:left="1101" w:right="0" w:firstLine="0"/>
        <w:rPr>
          <w:sz w:val="20"/>
        </w:rPr>
      </w:pPr>
      <w:r>
        <w:rPr>
          <w:sz w:val="20"/>
        </w:rPr>
        <mc:AlternateContent>
          <mc:Choice Requires="wps">
            <w:drawing>
              <wp:inline distT="0" distB="0" distL="0" distR="0">
                <wp:extent cx="4043679" cy="699770"/>
                <wp:effectExtent l="0" t="0" r="0" b="0"/>
                <wp:docPr id="187" name="Group 187"/>
                <wp:cNvGraphicFramePr>
                  <a:graphicFrameLocks/>
                </wp:cNvGraphicFramePr>
                <a:graphic>
                  <a:graphicData uri="http://schemas.microsoft.com/office/word/2010/wordprocessingGroup">
                    <wpg:wgp>
                      <wpg:cNvPr id="187" name="Group 187"/>
                      <wpg:cNvGrpSpPr/>
                      <wpg:grpSpPr>
                        <a:xfrm>
                          <a:off x="0" y="0"/>
                          <a:ext cx="4043679" cy="699770"/>
                          <a:chExt cx="4043679" cy="699770"/>
                        </a:xfrm>
                      </wpg:grpSpPr>
                      <wps:wsp>
                        <wps:cNvPr id="188" name="Graphic 188"/>
                        <wps:cNvSpPr/>
                        <wps:spPr>
                          <a:xfrm>
                            <a:off x="0" y="0"/>
                            <a:ext cx="4043679" cy="699770"/>
                          </a:xfrm>
                          <a:custGeom>
                            <a:avLst/>
                            <a:gdLst/>
                            <a:ahLst/>
                            <a:cxnLst/>
                            <a:rect l="l" t="t" r="r" b="b"/>
                            <a:pathLst>
                              <a:path w="4043679" h="699770">
                                <a:moveTo>
                                  <a:pt x="4043171" y="699515"/>
                                </a:moveTo>
                                <a:lnTo>
                                  <a:pt x="0" y="699515"/>
                                </a:lnTo>
                                <a:lnTo>
                                  <a:pt x="0" y="0"/>
                                </a:lnTo>
                                <a:lnTo>
                                  <a:pt x="4043171" y="0"/>
                                </a:lnTo>
                                <a:lnTo>
                                  <a:pt x="4043171" y="699515"/>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183" coordorigin="0,0" coordsize="6368,1102">
                <v:rect style="position:absolute;left:0;top:0;width:6368;height:1102" id="docshape184"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32896">
                <wp:simplePos x="0" y="0"/>
                <wp:positionH relativeFrom="page">
                  <wp:posOffset>3511295</wp:posOffset>
                </wp:positionH>
                <wp:positionV relativeFrom="paragraph">
                  <wp:posOffset>272922</wp:posOffset>
                </wp:positionV>
                <wp:extent cx="728980" cy="654050"/>
                <wp:effectExtent l="0" t="0" r="0" b="0"/>
                <wp:wrapTopAndBottom/>
                <wp:docPr id="189" name="Group 189"/>
                <wp:cNvGraphicFramePr>
                  <a:graphicFrameLocks/>
                </wp:cNvGraphicFramePr>
                <a:graphic>
                  <a:graphicData uri="http://schemas.microsoft.com/office/word/2010/wordprocessingGroup">
                    <wpg:wgp>
                      <wpg:cNvPr id="189" name="Group 189"/>
                      <wpg:cNvGrpSpPr/>
                      <wpg:grpSpPr>
                        <a:xfrm>
                          <a:off x="0" y="0"/>
                          <a:ext cx="728980" cy="654050"/>
                          <a:chExt cx="728980" cy="654050"/>
                        </a:xfrm>
                      </wpg:grpSpPr>
                      <pic:pic>
                        <pic:nvPicPr>
                          <pic:cNvPr id="190" name="Image 190"/>
                          <pic:cNvPicPr/>
                        </pic:nvPicPr>
                        <pic:blipFill>
                          <a:blip r:embed="rId79" cstate="print"/>
                          <a:stretch>
                            <a:fillRect/>
                          </a:stretch>
                        </pic:blipFill>
                        <pic:spPr>
                          <a:xfrm>
                            <a:off x="0" y="0"/>
                            <a:ext cx="728472" cy="653796"/>
                          </a:xfrm>
                          <a:prstGeom prst="rect">
                            <a:avLst/>
                          </a:prstGeom>
                        </pic:spPr>
                      </pic:pic>
                      <wps:wsp>
                        <wps:cNvPr id="191" name="Textbox 191"/>
                        <wps:cNvSpPr txBox="1"/>
                        <wps:spPr>
                          <a:xfrm>
                            <a:off x="0" y="0"/>
                            <a:ext cx="728980" cy="654050"/>
                          </a:xfrm>
                          <a:prstGeom prst="rect">
                            <a:avLst/>
                          </a:prstGeom>
                        </wps:spPr>
                        <wps:txbx>
                          <w:txbxContent>
                            <w:p>
                              <w:pPr>
                                <w:spacing w:before="372"/>
                                <w:ind w:left="102" w:right="60" w:firstLine="0"/>
                                <w:jc w:val="center"/>
                                <w:rPr>
                                  <w:rFonts w:ascii="Tahoma"/>
                                  <w:b/>
                                  <w:sz w:val="36"/>
                                </w:rPr>
                              </w:pPr>
                              <w:r>
                                <w:rPr>
                                  <w:rFonts w:ascii="Tahoma"/>
                                  <w:b/>
                                  <w:spacing w:val="-10"/>
                                  <w:w w:val="95"/>
                                  <w:sz w:val="36"/>
                                </w:rPr>
                                <w:t>3</w:t>
                              </w:r>
                            </w:p>
                          </w:txbxContent>
                        </wps:txbx>
                        <wps:bodyPr wrap="square" lIns="0" tIns="0" rIns="0" bIns="0" rtlCol="0">
                          <a:noAutofit/>
                        </wps:bodyPr>
                      </wps:wsp>
                    </wpg:wgp>
                  </a:graphicData>
                </a:graphic>
              </wp:anchor>
            </w:drawing>
          </mc:Choice>
          <mc:Fallback>
            <w:pict>
              <v:group style="position:absolute;margin-left:276.47998pt;margin-top:21.489992pt;width:57.4pt;height:51.5pt;mso-position-horizontal-relative:page;mso-position-vertical-relative:paragraph;z-index:-15683584;mso-wrap-distance-left:0;mso-wrap-distance-right:0" id="docshapegroup185" coordorigin="5530,430" coordsize="1148,1030">
                <v:shape style="position:absolute;left:5529;top:429;width:1148;height:1030" type="#_x0000_t75" id="docshape186" stroked="false">
                  <v:imagedata r:id="rId79" o:title=""/>
                </v:shape>
                <v:shape style="position:absolute;left:5529;top:429;width:1148;height:1030" type="#_x0000_t202" id="docshape187" filled="false" stroked="false">
                  <v:textbox inset="0,0,0,0">
                    <w:txbxContent>
                      <w:p>
                        <w:pPr>
                          <w:spacing w:before="372"/>
                          <w:ind w:left="102" w:right="60" w:firstLine="0"/>
                          <w:jc w:val="center"/>
                          <w:rPr>
                            <w:rFonts w:ascii="Tahoma"/>
                            <w:b/>
                            <w:sz w:val="36"/>
                          </w:rPr>
                        </w:pPr>
                        <w:r>
                          <w:rPr>
                            <w:rFonts w:ascii="Tahoma"/>
                            <w:b/>
                            <w:spacing w:val="-10"/>
                            <w:w w:val="95"/>
                            <w:sz w:val="36"/>
                          </w:rPr>
                          <w:t>3</w:t>
                        </w:r>
                      </w:p>
                    </w:txbxContent>
                  </v:textbox>
                  <w10:wrap type="none"/>
                </v:shape>
                <w10:wrap type="topAndBottom"/>
              </v:group>
            </w:pict>
          </mc:Fallback>
        </mc:AlternateContent>
      </w:r>
    </w:p>
    <w:p>
      <w:pPr>
        <w:pStyle w:val="Heading1"/>
        <w:spacing w:line="211" w:lineRule="auto" w:before="28"/>
        <w:ind w:left="1598" w:right="1604" w:firstLine="1"/>
      </w:pPr>
      <w:r>
        <w:rPr/>
        <w:t>Psychological Suffering and </w:t>
      </w:r>
      <w:r>
        <w:rPr>
          <w:spacing w:val="-4"/>
        </w:rPr>
        <w:t>Gendered</w:t>
      </w:r>
      <w:r>
        <w:rPr>
          <w:spacing w:val="-17"/>
        </w:rPr>
        <w:t> </w:t>
      </w:r>
      <w:r>
        <w:rPr>
          <w:spacing w:val="-4"/>
        </w:rPr>
        <w:t>Power:</w:t>
      </w:r>
      <w:r>
        <w:rPr>
          <w:spacing w:val="-17"/>
        </w:rPr>
        <w:t> </w:t>
      </w:r>
      <w:r>
        <w:rPr>
          <w:spacing w:val="-4"/>
        </w:rPr>
        <w:t>Women’s</w:t>
      </w:r>
      <w:r>
        <w:rPr>
          <w:spacing w:val="-15"/>
        </w:rPr>
        <w:t> </w:t>
      </w:r>
      <w:r>
        <w:rPr>
          <w:spacing w:val="-4"/>
        </w:rPr>
        <w:t>Mental</w:t>
      </w:r>
    </w:p>
    <w:p>
      <w:pPr>
        <w:tabs>
          <w:tab w:pos="5759" w:val="left" w:leader="none"/>
        </w:tabs>
        <w:spacing w:line="347" w:lineRule="exact" w:before="0"/>
        <w:ind w:left="0" w:right="0" w:firstLine="0"/>
        <w:jc w:val="center"/>
        <w:rPr>
          <w:rFonts w:ascii="Tahoma"/>
          <w:b/>
          <w:sz w:val="32"/>
        </w:rPr>
      </w:pPr>
      <w:r>
        <w:rPr>
          <w:rFonts w:ascii="Tahoma"/>
          <w:b/>
          <w:spacing w:val="51"/>
          <w:w w:val="150"/>
          <w:sz w:val="32"/>
          <w:u w:val="single"/>
        </w:rPr>
        <w:t> </w:t>
      </w:r>
      <w:r>
        <w:rPr>
          <w:rFonts w:ascii="Tahoma"/>
          <w:b/>
          <w:spacing w:val="-2"/>
          <w:sz w:val="32"/>
          <w:u w:val="single"/>
        </w:rPr>
        <w:t>Health</w:t>
      </w:r>
      <w:r>
        <w:rPr>
          <w:rFonts w:ascii="Tahoma"/>
          <w:b/>
          <w:spacing w:val="-3"/>
          <w:sz w:val="32"/>
          <w:u w:val="single"/>
        </w:rPr>
        <w:t> </w:t>
      </w:r>
      <w:r>
        <w:rPr>
          <w:rFonts w:ascii="Tahoma"/>
          <w:b/>
          <w:spacing w:val="-2"/>
          <w:sz w:val="32"/>
          <w:u w:val="single"/>
        </w:rPr>
        <w:t>in</w:t>
      </w:r>
      <w:r>
        <w:rPr>
          <w:rFonts w:ascii="Tahoma"/>
          <w:b/>
          <w:spacing w:val="-3"/>
          <w:sz w:val="32"/>
          <w:u w:val="single"/>
        </w:rPr>
        <w:t> </w:t>
      </w:r>
      <w:r>
        <w:rPr>
          <w:rFonts w:ascii="Tahoma"/>
          <w:b/>
          <w:spacing w:val="-2"/>
          <w:sz w:val="32"/>
          <w:u w:val="single"/>
        </w:rPr>
        <w:t>Shakespearean Tragedy</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633408">
                <wp:simplePos x="0" y="0"/>
                <wp:positionH relativeFrom="page">
                  <wp:posOffset>2057400</wp:posOffset>
                </wp:positionH>
                <wp:positionV relativeFrom="paragraph">
                  <wp:posOffset>60051</wp:posOffset>
                </wp:positionV>
                <wp:extent cx="3657600" cy="7620"/>
                <wp:effectExtent l="0" t="0" r="0" b="0"/>
                <wp:wrapTopAndBottom/>
                <wp:docPr id="192" name="Graphic 192"/>
                <wp:cNvGraphicFramePr>
                  <a:graphicFrameLocks/>
                </wp:cNvGraphicFramePr>
                <a:graphic>
                  <a:graphicData uri="http://schemas.microsoft.com/office/word/2010/wordprocessingShape">
                    <wps:wsp>
                      <wps:cNvPr id="192" name="Graphic 192"/>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6pt;width:288.000009pt;height:.599991pt;mso-position-horizontal-relative:page;mso-position-vertical-relative:paragraph;z-index:-15683072;mso-wrap-distance-left:0;mso-wrap-distance-right:0" id="docshape188" filled="true" fillcolor="#000000" stroked="false">
                <v:fill type="solid"/>
                <w10:wrap type="topAndBottom"/>
              </v:rect>
            </w:pict>
          </mc:Fallback>
        </mc:AlternateContent>
      </w:r>
    </w:p>
    <w:p>
      <w:pPr>
        <w:pStyle w:val="BodyText"/>
        <w:spacing w:before="15"/>
        <w:ind w:left="0"/>
        <w:rPr>
          <w:rFonts w:ascii="Tahoma"/>
          <w:b/>
          <w:sz w:val="32"/>
        </w:rPr>
      </w:pPr>
    </w:p>
    <w:p>
      <w:pPr>
        <w:spacing w:line="252" w:lineRule="auto" w:before="0"/>
        <w:ind w:left="2820" w:right="1438" w:firstLine="2280"/>
        <w:jc w:val="right"/>
        <w:rPr>
          <w:i/>
          <w:sz w:val="19"/>
        </w:rPr>
      </w:pPr>
      <w:r>
        <w:rPr>
          <w:b/>
          <w:i/>
          <w:sz w:val="22"/>
        </w:rPr>
        <w:t>P.</w:t>
      </w:r>
      <w:r>
        <w:rPr>
          <w:b/>
          <w:i/>
          <w:spacing w:val="27"/>
          <w:sz w:val="22"/>
        </w:rPr>
        <w:t> </w:t>
      </w:r>
      <w:r>
        <w:rPr>
          <w:b/>
          <w:i/>
          <w:sz w:val="22"/>
        </w:rPr>
        <w:t>Esther</w:t>
      </w:r>
      <w:r>
        <w:rPr>
          <w:b/>
          <w:i/>
          <w:spacing w:val="25"/>
          <w:sz w:val="22"/>
        </w:rPr>
        <w:t> </w:t>
      </w:r>
      <w:r>
        <w:rPr>
          <w:b/>
          <w:i/>
          <w:sz w:val="22"/>
        </w:rPr>
        <w:t>Sudha</w:t>
      </w:r>
      <w:r>
        <w:rPr>
          <w:b/>
          <w:i/>
          <w:spacing w:val="27"/>
          <w:sz w:val="22"/>
        </w:rPr>
        <w:t> </w:t>
      </w:r>
      <w:r>
        <w:rPr>
          <w:b/>
          <w:i/>
          <w:sz w:val="22"/>
        </w:rPr>
        <w:t>Rani </w:t>
      </w:r>
      <w:r>
        <w:rPr>
          <w:i/>
          <w:sz w:val="19"/>
        </w:rPr>
        <w:t>Department</w:t>
      </w:r>
      <w:r>
        <w:rPr>
          <w:i/>
          <w:spacing w:val="40"/>
          <w:sz w:val="19"/>
        </w:rPr>
        <w:t> </w:t>
      </w:r>
      <w:r>
        <w:rPr>
          <w:i/>
          <w:sz w:val="19"/>
        </w:rPr>
        <w:t>of</w:t>
      </w:r>
      <w:r>
        <w:rPr>
          <w:i/>
          <w:spacing w:val="40"/>
          <w:sz w:val="19"/>
        </w:rPr>
        <w:t> </w:t>
      </w:r>
      <w:r>
        <w:rPr>
          <w:i/>
          <w:sz w:val="19"/>
        </w:rPr>
        <w:t>English,</w:t>
      </w:r>
      <w:r>
        <w:rPr>
          <w:i/>
          <w:spacing w:val="40"/>
          <w:sz w:val="19"/>
        </w:rPr>
        <w:t> </w:t>
      </w:r>
      <w:r>
        <w:rPr>
          <w:i/>
          <w:sz w:val="19"/>
        </w:rPr>
        <w:t>Government</w:t>
      </w:r>
      <w:r>
        <w:rPr>
          <w:i/>
          <w:spacing w:val="40"/>
          <w:sz w:val="19"/>
        </w:rPr>
        <w:t> </w:t>
      </w:r>
      <w:r>
        <w:rPr>
          <w:i/>
          <w:sz w:val="19"/>
        </w:rPr>
        <w:t>Degree</w:t>
      </w:r>
      <w:r>
        <w:rPr>
          <w:i/>
          <w:spacing w:val="40"/>
          <w:sz w:val="19"/>
        </w:rPr>
        <w:t> </w:t>
      </w:r>
      <w:r>
        <w:rPr>
          <w:i/>
          <w:sz w:val="19"/>
        </w:rPr>
        <w:t>College Wardhannapet,</w:t>
      </w:r>
      <w:r>
        <w:rPr>
          <w:i/>
          <w:spacing w:val="40"/>
          <w:sz w:val="19"/>
        </w:rPr>
        <w:t> </w:t>
      </w:r>
      <w:r>
        <w:rPr>
          <w:i/>
          <w:sz w:val="19"/>
        </w:rPr>
        <w:t>Warangal</w:t>
      </w:r>
      <w:r>
        <w:rPr>
          <w:i/>
          <w:spacing w:val="40"/>
          <w:sz w:val="19"/>
        </w:rPr>
        <w:t> </w:t>
      </w:r>
      <w:r>
        <w:rPr>
          <w:i/>
          <w:sz w:val="19"/>
        </w:rPr>
        <w:t>District,</w:t>
      </w:r>
      <w:r>
        <w:rPr>
          <w:i/>
          <w:spacing w:val="40"/>
          <w:sz w:val="19"/>
        </w:rPr>
        <w:t> </w:t>
      </w:r>
      <w:r>
        <w:rPr>
          <w:i/>
          <w:sz w:val="19"/>
        </w:rPr>
        <w:t>Telangana.</w:t>
      </w:r>
    </w:p>
    <w:p>
      <w:pPr>
        <w:pStyle w:val="BodyText"/>
        <w:spacing w:before="151"/>
        <w:ind w:left="0"/>
        <w:rPr>
          <w:i/>
          <w:sz w:val="19"/>
        </w:rPr>
      </w:pPr>
    </w:p>
    <w:p>
      <w:pPr>
        <w:pStyle w:val="Heading3"/>
        <w:spacing w:before="0"/>
      </w:pPr>
      <w:r>
        <w:rPr>
          <w:spacing w:val="-2"/>
        </w:rPr>
        <w:t>ABSTRACT</w:t>
      </w:r>
    </w:p>
    <w:p>
      <w:pPr>
        <w:pStyle w:val="BodyText"/>
        <w:spacing w:line="249" w:lineRule="auto" w:before="75"/>
        <w:ind w:right="1435" w:firstLine="432"/>
        <w:jc w:val="both"/>
      </w:pPr>
      <w:r>
        <w:rPr/>
        <w:t>Mental health began to become a common topic for scholarly interpretation in literary studies in connection to both the nature of male/female relationships and how</w:t>
      </w:r>
      <w:r>
        <w:rPr>
          <w:spacing w:val="-3"/>
        </w:rPr>
        <w:t> </w:t>
      </w:r>
      <w:r>
        <w:rPr/>
        <w:t>society can be viewed as</w:t>
      </w:r>
      <w:r>
        <w:rPr>
          <w:spacing w:val="-1"/>
        </w:rPr>
        <w:t> </w:t>
      </w:r>
      <w:r>
        <w:rPr/>
        <w:t>a structure of</w:t>
      </w:r>
      <w:r>
        <w:rPr>
          <w:spacing w:val="-13"/>
        </w:rPr>
        <w:t> </w:t>
      </w:r>
      <w:r>
        <w:rPr/>
        <w:t>social</w:t>
      </w:r>
      <w:r>
        <w:rPr>
          <w:spacing w:val="-11"/>
        </w:rPr>
        <w:t> </w:t>
      </w:r>
      <w:r>
        <w:rPr/>
        <w:t>power,</w:t>
      </w:r>
      <w:r>
        <w:rPr>
          <w:spacing w:val="-13"/>
        </w:rPr>
        <w:t> </w:t>
      </w:r>
      <w:r>
        <w:rPr/>
        <w:t>where</w:t>
      </w:r>
      <w:r>
        <w:rPr>
          <w:spacing w:val="-9"/>
        </w:rPr>
        <w:t> </w:t>
      </w:r>
      <w:r>
        <w:rPr/>
        <w:t>when</w:t>
      </w:r>
      <w:r>
        <w:rPr>
          <w:spacing w:val="-11"/>
        </w:rPr>
        <w:t> </w:t>
      </w:r>
      <w:r>
        <w:rPr/>
        <w:t>looked</w:t>
      </w:r>
      <w:r>
        <w:rPr>
          <w:spacing w:val="-9"/>
        </w:rPr>
        <w:t> </w:t>
      </w:r>
      <w:r>
        <w:rPr/>
        <w:t>at</w:t>
      </w:r>
      <w:r>
        <w:rPr>
          <w:spacing w:val="-10"/>
        </w:rPr>
        <w:t> </w:t>
      </w:r>
      <w:r>
        <w:rPr/>
        <w:t>through</w:t>
      </w:r>
      <w:r>
        <w:rPr>
          <w:spacing w:val="-13"/>
        </w:rPr>
        <w:t> </w:t>
      </w:r>
      <w:r>
        <w:rPr/>
        <w:t>the</w:t>
      </w:r>
      <w:r>
        <w:rPr>
          <w:spacing w:val="-12"/>
        </w:rPr>
        <w:t> </w:t>
      </w:r>
      <w:r>
        <w:rPr/>
        <w:t>lens</w:t>
      </w:r>
      <w:r>
        <w:rPr>
          <w:spacing w:val="-11"/>
        </w:rPr>
        <w:t> </w:t>
      </w:r>
      <w:r>
        <w:rPr/>
        <w:t>of</w:t>
      </w:r>
      <w:r>
        <w:rPr>
          <w:spacing w:val="-11"/>
        </w:rPr>
        <w:t> </w:t>
      </w:r>
      <w:r>
        <w:rPr/>
        <w:t>Shakespeare’s plays, it is evident that</w:t>
      </w:r>
      <w:r>
        <w:rPr>
          <w:spacing w:val="-2"/>
        </w:rPr>
        <w:t> </w:t>
      </w:r>
      <w:r>
        <w:rPr/>
        <w:t>women clearly</w:t>
      </w:r>
      <w:r>
        <w:rPr>
          <w:spacing w:val="-1"/>
        </w:rPr>
        <w:t> </w:t>
      </w:r>
      <w:r>
        <w:rPr/>
        <w:t>suffer mentally</w:t>
      </w:r>
      <w:r>
        <w:rPr>
          <w:spacing w:val="-1"/>
        </w:rPr>
        <w:t> </w:t>
      </w:r>
      <w:r>
        <w:rPr/>
        <w:t>both emotionally and</w:t>
      </w:r>
      <w:r>
        <w:rPr>
          <w:spacing w:val="-13"/>
        </w:rPr>
        <w:t> </w:t>
      </w:r>
      <w:r>
        <w:rPr/>
        <w:t>psychologically</w:t>
      </w:r>
      <w:r>
        <w:rPr>
          <w:spacing w:val="-12"/>
        </w:rPr>
        <w:t> </w:t>
      </w:r>
      <w:r>
        <w:rPr/>
        <w:t>as</w:t>
      </w:r>
      <w:r>
        <w:rPr>
          <w:spacing w:val="-13"/>
        </w:rPr>
        <w:t> </w:t>
      </w:r>
      <w:r>
        <w:rPr/>
        <w:t>a</w:t>
      </w:r>
      <w:r>
        <w:rPr>
          <w:spacing w:val="-12"/>
        </w:rPr>
        <w:t> </w:t>
      </w:r>
      <w:r>
        <w:rPr/>
        <w:t>result</w:t>
      </w:r>
      <w:r>
        <w:rPr>
          <w:spacing w:val="-13"/>
        </w:rPr>
        <w:t> </w:t>
      </w:r>
      <w:r>
        <w:rPr/>
        <w:t>of</w:t>
      </w:r>
      <w:r>
        <w:rPr>
          <w:spacing w:val="-12"/>
        </w:rPr>
        <w:t> </w:t>
      </w:r>
      <w:r>
        <w:rPr/>
        <w:t>their</w:t>
      </w:r>
      <w:r>
        <w:rPr>
          <w:spacing w:val="-13"/>
        </w:rPr>
        <w:t> </w:t>
      </w:r>
      <w:r>
        <w:rPr/>
        <w:t>status</w:t>
      </w:r>
      <w:r>
        <w:rPr>
          <w:spacing w:val="-12"/>
        </w:rPr>
        <w:t> </w:t>
      </w:r>
      <w:r>
        <w:rPr/>
        <w:t>as</w:t>
      </w:r>
      <w:r>
        <w:rPr>
          <w:spacing w:val="-13"/>
        </w:rPr>
        <w:t> </w:t>
      </w:r>
      <w:r>
        <w:rPr/>
        <w:t>a</w:t>
      </w:r>
      <w:r>
        <w:rPr>
          <w:spacing w:val="-12"/>
        </w:rPr>
        <w:t> </w:t>
      </w:r>
      <w:r>
        <w:rPr/>
        <w:t>member</w:t>
      </w:r>
      <w:r>
        <w:rPr>
          <w:spacing w:val="-13"/>
        </w:rPr>
        <w:t> </w:t>
      </w:r>
      <w:r>
        <w:rPr/>
        <w:t>of</w:t>
      </w:r>
      <w:r>
        <w:rPr>
          <w:spacing w:val="-12"/>
        </w:rPr>
        <w:t> </w:t>
      </w:r>
      <w:r>
        <w:rPr/>
        <w:t>a</w:t>
      </w:r>
      <w:r>
        <w:rPr>
          <w:spacing w:val="-13"/>
        </w:rPr>
        <w:t> </w:t>
      </w:r>
      <w:r>
        <w:rPr/>
        <w:t>patriarchal culture. The examination of women’s mental health in three of Shakespeare’s</w:t>
      </w:r>
      <w:r>
        <w:rPr>
          <w:spacing w:val="-13"/>
        </w:rPr>
        <w:t> </w:t>
      </w:r>
      <w:r>
        <w:rPr/>
        <w:t>major</w:t>
      </w:r>
      <w:r>
        <w:rPr>
          <w:spacing w:val="-12"/>
        </w:rPr>
        <w:t> </w:t>
      </w:r>
      <w:r>
        <w:rPr/>
        <w:t>works</w:t>
      </w:r>
      <w:r>
        <w:rPr>
          <w:spacing w:val="-13"/>
        </w:rPr>
        <w:t> </w:t>
      </w:r>
      <w:r>
        <w:rPr/>
        <w:t>(Hamlet,</w:t>
      </w:r>
      <w:r>
        <w:rPr>
          <w:spacing w:val="-12"/>
        </w:rPr>
        <w:t> </w:t>
      </w:r>
      <w:r>
        <w:rPr/>
        <w:t>Macbeth,</w:t>
      </w:r>
      <w:r>
        <w:rPr>
          <w:spacing w:val="-13"/>
        </w:rPr>
        <w:t> </w:t>
      </w:r>
      <w:r>
        <w:rPr/>
        <w:t>Othello)</w:t>
      </w:r>
      <w:r>
        <w:rPr>
          <w:spacing w:val="-12"/>
        </w:rPr>
        <w:t> </w:t>
      </w:r>
      <w:r>
        <w:rPr/>
        <w:t>will</w:t>
      </w:r>
      <w:r>
        <w:rPr>
          <w:spacing w:val="-13"/>
        </w:rPr>
        <w:t> </w:t>
      </w:r>
      <w:r>
        <w:rPr/>
        <w:t>allow</w:t>
      </w:r>
      <w:r>
        <w:rPr>
          <w:spacing w:val="-12"/>
        </w:rPr>
        <w:t> </w:t>
      </w:r>
      <w:r>
        <w:rPr/>
        <w:t>for</w:t>
      </w:r>
      <w:r>
        <w:rPr>
          <w:spacing w:val="-13"/>
        </w:rPr>
        <w:t> </w:t>
      </w:r>
      <w:r>
        <w:rPr/>
        <w:t>an exploration of</w:t>
      </w:r>
      <w:r>
        <w:rPr>
          <w:spacing w:val="-3"/>
        </w:rPr>
        <w:t> </w:t>
      </w:r>
      <w:r>
        <w:rPr/>
        <w:t>the ways</w:t>
      </w:r>
      <w:r>
        <w:rPr>
          <w:spacing w:val="-3"/>
        </w:rPr>
        <w:t> </w:t>
      </w:r>
      <w:r>
        <w:rPr/>
        <w:t>in which</w:t>
      </w:r>
      <w:r>
        <w:rPr>
          <w:spacing w:val="-3"/>
        </w:rPr>
        <w:t> </w:t>
      </w:r>
      <w:r>
        <w:rPr/>
        <w:t>psychological suffering,</w:t>
      </w:r>
      <w:r>
        <w:rPr>
          <w:spacing w:val="-1"/>
        </w:rPr>
        <w:t> </w:t>
      </w:r>
      <w:r>
        <w:rPr/>
        <w:t>social norms, </w:t>
      </w:r>
      <w:r>
        <w:rPr>
          <w:spacing w:val="-2"/>
        </w:rPr>
        <w:t>emotional</w:t>
      </w:r>
      <w:r>
        <w:rPr>
          <w:spacing w:val="-11"/>
        </w:rPr>
        <w:t> </w:t>
      </w:r>
      <w:r>
        <w:rPr>
          <w:spacing w:val="-2"/>
        </w:rPr>
        <w:t>repression,</w:t>
      </w:r>
      <w:r>
        <w:rPr>
          <w:spacing w:val="-10"/>
        </w:rPr>
        <w:t> </w:t>
      </w:r>
      <w:r>
        <w:rPr>
          <w:spacing w:val="-2"/>
        </w:rPr>
        <w:t>and</w:t>
      </w:r>
      <w:r>
        <w:rPr>
          <w:spacing w:val="-11"/>
        </w:rPr>
        <w:t> </w:t>
      </w:r>
      <w:r>
        <w:rPr>
          <w:spacing w:val="-2"/>
        </w:rPr>
        <w:t>patriarchal</w:t>
      </w:r>
      <w:r>
        <w:rPr>
          <w:spacing w:val="-10"/>
        </w:rPr>
        <w:t> </w:t>
      </w:r>
      <w:r>
        <w:rPr>
          <w:spacing w:val="-2"/>
        </w:rPr>
        <w:t>power</w:t>
      </w:r>
      <w:r>
        <w:rPr>
          <w:spacing w:val="-11"/>
        </w:rPr>
        <w:t> </w:t>
      </w:r>
      <w:r>
        <w:rPr>
          <w:spacing w:val="-2"/>
        </w:rPr>
        <w:t>relations</w:t>
      </w:r>
      <w:r>
        <w:rPr>
          <w:spacing w:val="-10"/>
        </w:rPr>
        <w:t> </w:t>
      </w:r>
      <w:r>
        <w:rPr>
          <w:spacing w:val="-2"/>
        </w:rPr>
        <w:t>impact/affect</w:t>
      </w:r>
      <w:r>
        <w:rPr>
          <w:spacing w:val="-11"/>
        </w:rPr>
        <w:t> </w:t>
      </w:r>
      <w:r>
        <w:rPr>
          <w:spacing w:val="-2"/>
        </w:rPr>
        <w:t>female </w:t>
      </w:r>
      <w:r>
        <w:rPr/>
        <w:t>characters from their patriarchal-created roles; Ophelia, who ends up going mad due to her emotional distress and lack of choice (agency), Lady</w:t>
      </w:r>
      <w:r>
        <w:rPr>
          <w:spacing w:val="-5"/>
        </w:rPr>
        <w:t> </w:t>
      </w:r>
      <w:r>
        <w:rPr/>
        <w:t>Macbeth,</w:t>
      </w:r>
      <w:r>
        <w:rPr>
          <w:spacing w:val="-3"/>
        </w:rPr>
        <w:t> </w:t>
      </w:r>
      <w:r>
        <w:rPr/>
        <w:t>whose</w:t>
      </w:r>
      <w:r>
        <w:rPr>
          <w:spacing w:val="-2"/>
        </w:rPr>
        <w:t> </w:t>
      </w:r>
      <w:r>
        <w:rPr/>
        <w:t>mental</w:t>
      </w:r>
      <w:r>
        <w:rPr>
          <w:spacing w:val="-5"/>
        </w:rPr>
        <w:t> </w:t>
      </w:r>
      <w:r>
        <w:rPr/>
        <w:t>collapse</w:t>
      </w:r>
      <w:r>
        <w:rPr>
          <w:spacing w:val="-1"/>
        </w:rPr>
        <w:t> </w:t>
      </w:r>
      <w:r>
        <w:rPr/>
        <w:t>is</w:t>
      </w:r>
      <w:r>
        <w:rPr>
          <w:spacing w:val="-3"/>
        </w:rPr>
        <w:t> </w:t>
      </w:r>
      <w:r>
        <w:rPr/>
        <w:t>due</w:t>
      </w:r>
      <w:r>
        <w:rPr>
          <w:spacing w:val="-2"/>
        </w:rPr>
        <w:t> </w:t>
      </w:r>
      <w:r>
        <w:rPr/>
        <w:t>to</w:t>
      </w:r>
      <w:r>
        <w:rPr>
          <w:spacing w:val="-2"/>
        </w:rPr>
        <w:t> </w:t>
      </w:r>
      <w:r>
        <w:rPr/>
        <w:t>her</w:t>
      </w:r>
      <w:r>
        <w:rPr>
          <w:spacing w:val="-2"/>
        </w:rPr>
        <w:t> </w:t>
      </w:r>
      <w:r>
        <w:rPr/>
        <w:t>ambitions</w:t>
      </w:r>
      <w:r>
        <w:rPr>
          <w:spacing w:val="-5"/>
        </w:rPr>
        <w:t> </w:t>
      </w:r>
      <w:r>
        <w:rPr/>
        <w:t>and guilt, and Desdemona, whose death lends credence to the way women are impacted (victimized) by male oppression and jealousy.</w:t>
      </w:r>
      <w:r>
        <w:rPr>
          <w:spacing w:val="-7"/>
        </w:rPr>
        <w:t> </w:t>
      </w:r>
      <w:r>
        <w:rPr/>
        <w:t>A</w:t>
      </w:r>
      <w:r>
        <w:rPr>
          <w:spacing w:val="-7"/>
        </w:rPr>
        <w:t> </w:t>
      </w:r>
      <w:r>
        <w:rPr/>
        <w:t>feminist and psychological lens is used to explain how representations of women’s psychological suffering found in the poetry and plays of Shakespeare continue to strongly correlate to contemporary issues regarding the inequitable</w:t>
      </w:r>
      <w:r>
        <w:rPr>
          <w:spacing w:val="-13"/>
        </w:rPr>
        <w:t> </w:t>
      </w:r>
      <w:r>
        <w:rPr/>
        <w:t>distribution</w:t>
      </w:r>
      <w:r>
        <w:rPr>
          <w:spacing w:val="-12"/>
        </w:rPr>
        <w:t> </w:t>
      </w:r>
      <w:r>
        <w:rPr/>
        <w:t>of</w:t>
      </w:r>
      <w:r>
        <w:rPr>
          <w:spacing w:val="-13"/>
        </w:rPr>
        <w:t> </w:t>
      </w:r>
      <w:r>
        <w:rPr/>
        <w:t>gender</w:t>
      </w:r>
      <w:r>
        <w:rPr>
          <w:spacing w:val="-12"/>
        </w:rPr>
        <w:t> </w:t>
      </w:r>
      <w:r>
        <w:rPr/>
        <w:t>power</w:t>
      </w:r>
      <w:r>
        <w:rPr>
          <w:spacing w:val="-13"/>
        </w:rPr>
        <w:t> </w:t>
      </w:r>
      <w:r>
        <w:rPr/>
        <w:t>in</w:t>
      </w:r>
      <w:r>
        <w:rPr>
          <w:spacing w:val="-12"/>
        </w:rPr>
        <w:t> </w:t>
      </w:r>
      <w:r>
        <w:rPr/>
        <w:t>society.</w:t>
      </w:r>
      <w:r>
        <w:rPr>
          <w:spacing w:val="-13"/>
        </w:rPr>
        <w:t> </w:t>
      </w:r>
      <w:r>
        <w:rPr/>
        <w:t>Finally,</w:t>
      </w:r>
      <w:r>
        <w:rPr>
          <w:spacing w:val="-12"/>
        </w:rPr>
        <w:t> </w:t>
      </w:r>
      <w:r>
        <w:rPr/>
        <w:t>the</w:t>
      </w:r>
      <w:r>
        <w:rPr>
          <w:spacing w:val="-13"/>
        </w:rPr>
        <w:t> </w:t>
      </w:r>
      <w:r>
        <w:rPr/>
        <w:t>treatment of</w:t>
      </w:r>
      <w:r>
        <w:rPr>
          <w:spacing w:val="65"/>
        </w:rPr>
        <w:t> </w:t>
      </w:r>
      <w:r>
        <w:rPr/>
        <w:t>psychological</w:t>
      </w:r>
      <w:r>
        <w:rPr>
          <w:spacing w:val="62"/>
        </w:rPr>
        <w:t> </w:t>
      </w:r>
      <w:r>
        <w:rPr/>
        <w:t>suffering</w:t>
      </w:r>
      <w:r>
        <w:rPr>
          <w:spacing w:val="62"/>
        </w:rPr>
        <w:t> </w:t>
      </w:r>
      <w:r>
        <w:rPr/>
        <w:t>in</w:t>
      </w:r>
      <w:r>
        <w:rPr>
          <w:spacing w:val="64"/>
        </w:rPr>
        <w:t> </w:t>
      </w:r>
      <w:r>
        <w:rPr/>
        <w:t>female</w:t>
      </w:r>
      <w:r>
        <w:rPr>
          <w:spacing w:val="67"/>
        </w:rPr>
        <w:t> </w:t>
      </w:r>
      <w:r>
        <w:rPr/>
        <w:t>characters</w:t>
      </w:r>
      <w:r>
        <w:rPr>
          <w:spacing w:val="64"/>
        </w:rPr>
        <w:t> </w:t>
      </w:r>
      <w:r>
        <w:rPr/>
        <w:t>in</w:t>
      </w:r>
      <w:r>
        <w:rPr>
          <w:spacing w:val="66"/>
        </w:rPr>
        <w:t> </w:t>
      </w:r>
      <w:r>
        <w:rPr/>
        <w:t>Shakespeare</w:t>
      </w:r>
      <w:r>
        <w:rPr>
          <w:spacing w:val="68"/>
        </w:rPr>
        <w:t> </w:t>
      </w:r>
      <w:r>
        <w:rPr>
          <w:spacing w:val="-5"/>
        </w:rPr>
        <w:t>is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34432">
                <wp:simplePos x="0" y="0"/>
                <wp:positionH relativeFrom="page">
                  <wp:posOffset>2057400</wp:posOffset>
                </wp:positionH>
                <wp:positionV relativeFrom="paragraph">
                  <wp:posOffset>162604</wp:posOffset>
                </wp:positionV>
                <wp:extent cx="3657600" cy="12700"/>
                <wp:effectExtent l="0" t="0" r="0" b="0"/>
                <wp:wrapTopAndBottom/>
                <wp:docPr id="193" name="Graphic 193"/>
                <wp:cNvGraphicFramePr>
                  <a:graphicFrameLocks/>
                </wp:cNvGraphicFramePr>
                <a:graphic>
                  <a:graphicData uri="http://schemas.microsoft.com/office/word/2010/wordprocessingShape">
                    <wps:wsp>
                      <wps:cNvPr id="193" name="Graphic 19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82048;mso-wrap-distance-left:0;mso-wrap-distance-right:0" id="docshape189" filled="true" fillcolor="#000000" stroked="false">
                <v:fill type="solid"/>
                <w10:wrap type="topAndBottom"/>
              </v:rect>
            </w:pict>
          </mc:Fallback>
        </mc:AlternateContent>
      </w:r>
      <w:r>
        <w:rPr>
          <w:rFonts w:ascii="Verdana"/>
          <w:spacing w:val="-5"/>
          <w:sz w:val="18"/>
        </w:rPr>
        <w:t>34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indicative of the broader issues of gender and emotional wellness that exist</w:t>
      </w:r>
      <w:r>
        <w:rPr>
          <w:spacing w:val="40"/>
        </w:rPr>
        <w:t> </w:t>
      </w:r>
      <w:r>
        <w:rPr/>
        <w:t>today,</w:t>
      </w:r>
      <w:r>
        <w:rPr>
          <w:spacing w:val="40"/>
        </w:rPr>
        <w:t> </w:t>
      </w:r>
      <w:r>
        <w:rPr/>
        <w:t>as</w:t>
      </w:r>
      <w:r>
        <w:rPr>
          <w:spacing w:val="40"/>
        </w:rPr>
        <w:t> </w:t>
      </w:r>
      <w:r>
        <w:rPr/>
        <w:t>evidenced</w:t>
      </w:r>
      <w:r>
        <w:rPr>
          <w:spacing w:val="40"/>
        </w:rPr>
        <w:t> </w:t>
      </w:r>
      <w:r>
        <w:rPr/>
        <w:t>in</w:t>
      </w:r>
      <w:r>
        <w:rPr>
          <w:spacing w:val="40"/>
        </w:rPr>
        <w:t> </w:t>
      </w:r>
      <w:r>
        <w:rPr/>
        <w:t>the</w:t>
      </w:r>
      <w:r>
        <w:rPr>
          <w:spacing w:val="40"/>
        </w:rPr>
        <w:t> </w:t>
      </w:r>
      <w:r>
        <w:rPr/>
        <w:t>analysis</w:t>
      </w:r>
      <w:r>
        <w:rPr>
          <w:spacing w:val="40"/>
        </w:rPr>
        <w:t> </w:t>
      </w:r>
      <w:r>
        <w:rPr/>
        <w:t>in</w:t>
      </w:r>
      <w:r>
        <w:rPr>
          <w:spacing w:val="40"/>
        </w:rPr>
        <w:t> </w:t>
      </w:r>
      <w:r>
        <w:rPr/>
        <w:t>this</w:t>
      </w:r>
      <w:r>
        <w:rPr>
          <w:spacing w:val="40"/>
        </w:rPr>
        <w:t> </w:t>
      </w:r>
      <w:r>
        <w:rPr/>
        <w:t>paper.</w:t>
      </w:r>
    </w:p>
    <w:p>
      <w:pPr>
        <w:pStyle w:val="Heading5"/>
        <w:numPr>
          <w:ilvl w:val="0"/>
          <w:numId w:val="12"/>
        </w:numPr>
        <w:tabs>
          <w:tab w:pos="1756" w:val="left" w:leader="none"/>
        </w:tabs>
        <w:spacing w:line="240" w:lineRule="auto" w:before="109" w:after="0"/>
        <w:ind w:left="1756" w:right="0" w:hanging="316"/>
        <w:jc w:val="left"/>
      </w:pPr>
      <w:r>
        <w:rPr>
          <w:spacing w:val="-2"/>
        </w:rPr>
        <w:t>Introduction</w:t>
      </w:r>
    </w:p>
    <w:p>
      <w:pPr>
        <w:pStyle w:val="BodyText"/>
        <w:spacing w:line="249" w:lineRule="auto" w:before="72"/>
        <w:ind w:right="1439" w:firstLine="432"/>
        <w:jc w:val="both"/>
      </w:pPr>
      <w:r>
        <w:rPr>
          <w:spacing w:val="-6"/>
        </w:rPr>
        <w:t>William Shakespeare’s works</w:t>
      </w:r>
      <w:r>
        <w:rPr/>
        <w:t> </w:t>
      </w:r>
      <w:r>
        <w:rPr>
          <w:spacing w:val="-6"/>
        </w:rPr>
        <w:t>remain</w:t>
      </w:r>
      <w:r>
        <w:rPr/>
        <w:t> </w:t>
      </w:r>
      <w:r>
        <w:rPr>
          <w:spacing w:val="-6"/>
        </w:rPr>
        <w:t>pivotal</w:t>
      </w:r>
      <w:r>
        <w:rPr/>
        <w:t> </w:t>
      </w:r>
      <w:r>
        <w:rPr>
          <w:spacing w:val="-6"/>
        </w:rPr>
        <w:t>to</w:t>
      </w:r>
      <w:r>
        <w:rPr/>
        <w:t> </w:t>
      </w:r>
      <w:r>
        <w:rPr>
          <w:spacing w:val="-6"/>
        </w:rPr>
        <w:t>contemporary English </w:t>
      </w:r>
      <w:r>
        <w:rPr>
          <w:spacing w:val="-4"/>
        </w:rPr>
        <w:t>literature for their deep examination of human</w:t>
      </w:r>
      <w:r>
        <w:rPr>
          <w:spacing w:val="-6"/>
        </w:rPr>
        <w:t> </w:t>
      </w:r>
      <w:r>
        <w:rPr>
          <w:spacing w:val="-4"/>
        </w:rPr>
        <w:t>emotions and psychological </w:t>
      </w:r>
      <w:r>
        <w:rPr/>
        <w:t>complexity. Shakespeare’s tragedies frequently focus on the themes associated with ambition, betrayal, jealousy and moral conflict. The emotional</w:t>
      </w:r>
      <w:r>
        <w:rPr>
          <w:spacing w:val="-8"/>
        </w:rPr>
        <w:t> </w:t>
      </w:r>
      <w:r>
        <w:rPr/>
        <w:t>and</w:t>
      </w:r>
      <w:r>
        <w:rPr>
          <w:spacing w:val="-8"/>
        </w:rPr>
        <w:t> </w:t>
      </w:r>
      <w:r>
        <w:rPr/>
        <w:t>psychological</w:t>
      </w:r>
      <w:r>
        <w:rPr>
          <w:spacing w:val="-10"/>
        </w:rPr>
        <w:t> </w:t>
      </w:r>
      <w:r>
        <w:rPr/>
        <w:t>struggles</w:t>
      </w:r>
      <w:r>
        <w:rPr>
          <w:spacing w:val="-10"/>
        </w:rPr>
        <w:t> </w:t>
      </w:r>
      <w:r>
        <w:rPr/>
        <w:t>that</w:t>
      </w:r>
      <w:r>
        <w:rPr>
          <w:spacing w:val="-10"/>
        </w:rPr>
        <w:t> </w:t>
      </w:r>
      <w:r>
        <w:rPr/>
        <w:t>female</w:t>
      </w:r>
      <w:r>
        <w:rPr>
          <w:spacing w:val="-8"/>
        </w:rPr>
        <w:t> </w:t>
      </w:r>
      <w:r>
        <w:rPr/>
        <w:t>character’s</w:t>
      </w:r>
      <w:r>
        <w:rPr>
          <w:spacing w:val="-10"/>
        </w:rPr>
        <w:t> </w:t>
      </w:r>
      <w:r>
        <w:rPr/>
        <w:t>encounter are</w:t>
      </w:r>
      <w:r>
        <w:rPr>
          <w:spacing w:val="40"/>
        </w:rPr>
        <w:t> </w:t>
      </w:r>
      <w:r>
        <w:rPr/>
        <w:t>an</w:t>
      </w:r>
      <w:r>
        <w:rPr>
          <w:spacing w:val="40"/>
        </w:rPr>
        <w:t> </w:t>
      </w:r>
      <w:r>
        <w:rPr/>
        <w:t>important</w:t>
      </w:r>
      <w:r>
        <w:rPr>
          <w:spacing w:val="40"/>
        </w:rPr>
        <w:t> </w:t>
      </w:r>
      <w:r>
        <w:rPr/>
        <w:t>focus</w:t>
      </w:r>
      <w:r>
        <w:rPr>
          <w:spacing w:val="40"/>
        </w:rPr>
        <w:t> </w:t>
      </w:r>
      <w:r>
        <w:rPr/>
        <w:t>of</w:t>
      </w:r>
      <w:r>
        <w:rPr>
          <w:spacing w:val="40"/>
        </w:rPr>
        <w:t> </w:t>
      </w:r>
      <w:r>
        <w:rPr/>
        <w:t>scholarly research.</w:t>
      </w:r>
    </w:p>
    <w:p>
      <w:pPr>
        <w:pStyle w:val="BodyText"/>
        <w:spacing w:line="249" w:lineRule="auto" w:before="62"/>
        <w:ind w:right="1439" w:firstLine="432"/>
        <w:jc w:val="both"/>
      </w:pPr>
      <w:r>
        <w:rPr>
          <w:spacing w:val="-4"/>
        </w:rPr>
        <w:t>In</w:t>
      </w:r>
      <w:r>
        <w:rPr>
          <w:spacing w:val="-5"/>
        </w:rPr>
        <w:t> </w:t>
      </w:r>
      <w:r>
        <w:rPr>
          <w:spacing w:val="-4"/>
        </w:rPr>
        <w:t>the</w:t>
      </w:r>
      <w:r>
        <w:rPr>
          <w:spacing w:val="-8"/>
        </w:rPr>
        <w:t> </w:t>
      </w:r>
      <w:r>
        <w:rPr>
          <w:spacing w:val="-4"/>
        </w:rPr>
        <w:t>Elizabethan</w:t>
      </w:r>
      <w:r>
        <w:rPr>
          <w:spacing w:val="-8"/>
        </w:rPr>
        <w:t> </w:t>
      </w:r>
      <w:r>
        <w:rPr>
          <w:spacing w:val="-4"/>
        </w:rPr>
        <w:t>socio-cultural environment,</w:t>
      </w:r>
      <w:r>
        <w:rPr/>
        <w:t> </w:t>
      </w:r>
      <w:r>
        <w:rPr>
          <w:spacing w:val="-4"/>
        </w:rPr>
        <w:t>women</w:t>
      </w:r>
      <w:r>
        <w:rPr>
          <w:spacing w:val="-8"/>
        </w:rPr>
        <w:t> </w:t>
      </w:r>
      <w:r>
        <w:rPr>
          <w:spacing w:val="-4"/>
        </w:rPr>
        <w:t>were expected </w:t>
      </w:r>
      <w:r>
        <w:rPr/>
        <w:t>to submit to male authority</w:t>
      </w:r>
      <w:r>
        <w:rPr>
          <w:spacing w:val="-1"/>
        </w:rPr>
        <w:t> </w:t>
      </w:r>
      <w:r>
        <w:rPr/>
        <w:t>and conform to strict social standards; thus, the roles of women were primarily confined to the domestic sphere; moreover,</w:t>
      </w:r>
      <w:r>
        <w:rPr>
          <w:spacing w:val="-2"/>
        </w:rPr>
        <w:t> </w:t>
      </w:r>
      <w:r>
        <w:rPr/>
        <w:t>their voices</w:t>
      </w:r>
      <w:r>
        <w:rPr>
          <w:spacing w:val="-6"/>
        </w:rPr>
        <w:t> </w:t>
      </w:r>
      <w:r>
        <w:rPr/>
        <w:t>were</w:t>
      </w:r>
      <w:r>
        <w:rPr>
          <w:spacing w:val="-1"/>
        </w:rPr>
        <w:t> </w:t>
      </w:r>
      <w:r>
        <w:rPr/>
        <w:t>frequently</w:t>
      </w:r>
      <w:r>
        <w:rPr>
          <w:spacing w:val="-6"/>
        </w:rPr>
        <w:t> </w:t>
      </w:r>
      <w:r>
        <w:rPr/>
        <w:t>suppressed</w:t>
      </w:r>
      <w:r>
        <w:rPr>
          <w:spacing w:val="-2"/>
        </w:rPr>
        <w:t> </w:t>
      </w:r>
      <w:r>
        <w:rPr/>
        <w:t>in</w:t>
      </w:r>
      <w:r>
        <w:rPr>
          <w:spacing w:val="-4"/>
        </w:rPr>
        <w:t> </w:t>
      </w:r>
      <w:r>
        <w:rPr/>
        <w:t>the</w:t>
      </w:r>
      <w:r>
        <w:rPr>
          <w:spacing w:val="-6"/>
        </w:rPr>
        <w:t> </w:t>
      </w:r>
      <w:r>
        <w:rPr/>
        <w:t>arena</w:t>
      </w:r>
      <w:r>
        <w:rPr>
          <w:spacing w:val="-1"/>
        </w:rPr>
        <w:t> </w:t>
      </w:r>
      <w:r>
        <w:rPr/>
        <w:t>of</w:t>
      </w:r>
      <w:r>
        <w:rPr>
          <w:spacing w:val="-4"/>
        </w:rPr>
        <w:t> </w:t>
      </w:r>
      <w:r>
        <w:rPr/>
        <w:t>social and political significance. Shakespeare’s plays document this male-dominated status quo and showcase female characters whose mental and</w:t>
      </w:r>
      <w:r>
        <w:rPr>
          <w:spacing w:val="40"/>
        </w:rPr>
        <w:t> </w:t>
      </w:r>
      <w:r>
        <w:rPr/>
        <w:t>emotional capacity are influenced</w:t>
      </w:r>
      <w:r>
        <w:rPr>
          <w:spacing w:val="40"/>
        </w:rPr>
        <w:t> </w:t>
      </w:r>
      <w:r>
        <w:rPr/>
        <w:t>by patriarchal expectations.</w:t>
      </w:r>
    </w:p>
    <w:p>
      <w:pPr>
        <w:pStyle w:val="BodyText"/>
        <w:spacing w:line="249" w:lineRule="auto" w:before="64"/>
        <w:ind w:right="1437" w:firstLine="432"/>
        <w:jc w:val="both"/>
      </w:pPr>
      <w:r>
        <w:rPr/>
        <w:t>This paper advocates that the psychological abuses endured by women</w:t>
      </w:r>
      <w:r>
        <w:rPr>
          <w:spacing w:val="-5"/>
        </w:rPr>
        <w:t> </w:t>
      </w:r>
      <w:r>
        <w:rPr/>
        <w:t>in</w:t>
      </w:r>
      <w:r>
        <w:rPr>
          <w:spacing w:val="-8"/>
        </w:rPr>
        <w:t> </w:t>
      </w:r>
      <w:r>
        <w:rPr/>
        <w:t>William</w:t>
      </w:r>
      <w:r>
        <w:rPr>
          <w:spacing w:val="-6"/>
        </w:rPr>
        <w:t> </w:t>
      </w:r>
      <w:r>
        <w:rPr/>
        <w:t>Shakespeare’s</w:t>
      </w:r>
      <w:r>
        <w:rPr>
          <w:spacing w:val="-5"/>
        </w:rPr>
        <w:t> </w:t>
      </w:r>
      <w:r>
        <w:rPr/>
        <w:t>tragedies</w:t>
      </w:r>
      <w:r>
        <w:rPr>
          <w:spacing w:val="-3"/>
        </w:rPr>
        <w:t> </w:t>
      </w:r>
      <w:r>
        <w:rPr/>
        <w:t>are</w:t>
      </w:r>
      <w:r>
        <w:rPr>
          <w:spacing w:val="-5"/>
        </w:rPr>
        <w:t> </w:t>
      </w:r>
      <w:r>
        <w:rPr/>
        <w:t>no</w:t>
      </w:r>
      <w:r>
        <w:rPr>
          <w:spacing w:val="-1"/>
        </w:rPr>
        <w:t> </w:t>
      </w:r>
      <w:r>
        <w:rPr/>
        <w:t>more</w:t>
      </w:r>
      <w:r>
        <w:rPr>
          <w:spacing w:val="-4"/>
        </w:rPr>
        <w:t> </w:t>
      </w:r>
      <w:r>
        <w:rPr/>
        <w:t>than</w:t>
      </w:r>
      <w:r>
        <w:rPr>
          <w:spacing w:val="-5"/>
        </w:rPr>
        <w:t> </w:t>
      </w:r>
      <w:r>
        <w:rPr/>
        <w:t>reflections </w:t>
      </w:r>
      <w:r>
        <w:rPr>
          <w:spacing w:val="-2"/>
        </w:rPr>
        <w:t>of</w:t>
      </w:r>
      <w:r>
        <w:rPr>
          <w:spacing w:val="-10"/>
        </w:rPr>
        <w:t> </w:t>
      </w:r>
      <w:r>
        <w:rPr>
          <w:spacing w:val="-2"/>
        </w:rPr>
        <w:t>the</w:t>
      </w:r>
      <w:r>
        <w:rPr>
          <w:spacing w:val="-9"/>
        </w:rPr>
        <w:t> </w:t>
      </w:r>
      <w:r>
        <w:rPr>
          <w:spacing w:val="-2"/>
        </w:rPr>
        <w:t>gendered</w:t>
      </w:r>
      <w:r>
        <w:rPr>
          <w:spacing w:val="-11"/>
        </w:rPr>
        <w:t> </w:t>
      </w:r>
      <w:r>
        <w:rPr>
          <w:spacing w:val="-2"/>
        </w:rPr>
        <w:t>power</w:t>
      </w:r>
      <w:r>
        <w:rPr>
          <w:spacing w:val="-7"/>
        </w:rPr>
        <w:t> </w:t>
      </w:r>
      <w:r>
        <w:rPr>
          <w:spacing w:val="-2"/>
        </w:rPr>
        <w:t>relationship</w:t>
      </w:r>
      <w:r>
        <w:rPr>
          <w:spacing w:val="-7"/>
        </w:rPr>
        <w:t> </w:t>
      </w:r>
      <w:r>
        <w:rPr>
          <w:spacing w:val="-2"/>
        </w:rPr>
        <w:t>embedded</w:t>
      </w:r>
      <w:r>
        <w:rPr>
          <w:spacing w:val="-7"/>
        </w:rPr>
        <w:t> </w:t>
      </w:r>
      <w:r>
        <w:rPr>
          <w:spacing w:val="-2"/>
        </w:rPr>
        <w:t>within</w:t>
      </w:r>
      <w:r>
        <w:rPr>
          <w:spacing w:val="-11"/>
        </w:rPr>
        <w:t> </w:t>
      </w:r>
      <w:r>
        <w:rPr>
          <w:spacing w:val="-2"/>
        </w:rPr>
        <w:t>a</w:t>
      </w:r>
      <w:r>
        <w:rPr>
          <w:spacing w:val="-9"/>
        </w:rPr>
        <w:t> </w:t>
      </w:r>
      <w:r>
        <w:rPr>
          <w:spacing w:val="-2"/>
        </w:rPr>
        <w:t>patriarchal</w:t>
      </w:r>
      <w:r>
        <w:rPr>
          <w:spacing w:val="-9"/>
        </w:rPr>
        <w:t> </w:t>
      </w:r>
      <w:r>
        <w:rPr>
          <w:spacing w:val="-2"/>
        </w:rPr>
        <w:t>system; </w:t>
      </w:r>
      <w:r>
        <w:rPr/>
        <w:t>therefore, reference to the experiences of Ophelia in Hamlet, Lady Macbeth in Macbeth, and Desdemona in Othello demonstrates how a woman’s</w:t>
      </w:r>
      <w:r>
        <w:rPr>
          <w:spacing w:val="-7"/>
        </w:rPr>
        <w:t> </w:t>
      </w:r>
      <w:r>
        <w:rPr/>
        <w:t>emotional</w:t>
      </w:r>
      <w:r>
        <w:rPr>
          <w:spacing w:val="-7"/>
        </w:rPr>
        <w:t> </w:t>
      </w:r>
      <w:r>
        <w:rPr/>
        <w:t>repression,</w:t>
      </w:r>
      <w:r>
        <w:rPr>
          <w:spacing w:val="-7"/>
        </w:rPr>
        <w:t> </w:t>
      </w:r>
      <w:r>
        <w:rPr/>
        <w:t>social</w:t>
      </w:r>
      <w:r>
        <w:rPr>
          <w:spacing w:val="-8"/>
        </w:rPr>
        <w:t> </w:t>
      </w:r>
      <w:r>
        <w:rPr/>
        <w:t>expectations,</w:t>
      </w:r>
      <w:r>
        <w:rPr>
          <w:spacing w:val="-6"/>
        </w:rPr>
        <w:t> </w:t>
      </w:r>
      <w:r>
        <w:rPr/>
        <w:t>and</w:t>
      </w:r>
      <w:r>
        <w:rPr>
          <w:spacing w:val="-6"/>
        </w:rPr>
        <w:t> </w:t>
      </w:r>
      <w:r>
        <w:rPr/>
        <w:t>men’s</w:t>
      </w:r>
      <w:r>
        <w:rPr>
          <w:spacing w:val="-9"/>
        </w:rPr>
        <w:t> </w:t>
      </w:r>
      <w:r>
        <w:rPr/>
        <w:t>authority have</w:t>
      </w:r>
      <w:r>
        <w:rPr>
          <w:spacing w:val="40"/>
        </w:rPr>
        <w:t> </w:t>
      </w:r>
      <w:r>
        <w:rPr/>
        <w:t>compounded</w:t>
      </w:r>
      <w:r>
        <w:rPr>
          <w:spacing w:val="40"/>
        </w:rPr>
        <w:t> </w:t>
      </w:r>
      <w:r>
        <w:rPr/>
        <w:t>psychological</w:t>
      </w:r>
      <w:r>
        <w:rPr>
          <w:spacing w:val="40"/>
        </w:rPr>
        <w:t> </w:t>
      </w:r>
      <w:r>
        <w:rPr/>
        <w:t>suffering</w:t>
      </w:r>
      <w:r>
        <w:rPr>
          <w:spacing w:val="40"/>
        </w:rPr>
        <w:t> </w:t>
      </w:r>
      <w:r>
        <w:rPr/>
        <w:t>for</w:t>
      </w:r>
      <w:r>
        <w:rPr>
          <w:spacing w:val="40"/>
        </w:rPr>
        <w:t> </w:t>
      </w:r>
      <w:r>
        <w:rPr/>
        <w:t>women.</w:t>
      </w:r>
    </w:p>
    <w:p>
      <w:pPr>
        <w:pStyle w:val="Heading5"/>
        <w:numPr>
          <w:ilvl w:val="0"/>
          <w:numId w:val="12"/>
        </w:numPr>
        <w:tabs>
          <w:tab w:pos="1756" w:val="left" w:leader="none"/>
        </w:tabs>
        <w:spacing w:line="240" w:lineRule="auto" w:before="113" w:after="0"/>
        <w:ind w:left="1756" w:right="0" w:hanging="316"/>
        <w:jc w:val="left"/>
      </w:pPr>
      <w:r>
        <w:rPr/>
        <w:t>Literature</w:t>
      </w:r>
      <w:r>
        <w:rPr>
          <w:spacing w:val="52"/>
        </w:rPr>
        <w:t> </w:t>
      </w:r>
      <w:r>
        <w:rPr>
          <w:spacing w:val="-2"/>
        </w:rPr>
        <w:t>Review</w:t>
      </w:r>
    </w:p>
    <w:p>
      <w:pPr>
        <w:pStyle w:val="BodyText"/>
        <w:spacing w:line="249" w:lineRule="auto" w:before="74"/>
        <w:ind w:right="1438" w:firstLine="432"/>
        <w:jc w:val="both"/>
      </w:pPr>
      <w:r>
        <w:rPr/>
        <w:t>In today’s world, there is an increasing interest in feminist and psychological perspectives on Shakespeare’s female characters. Many of Shakespeare’s female characters have been viewed through the lens of emotional pain and oppression caused by patriarchal structures that deny</w:t>
      </w:r>
      <w:r>
        <w:rPr>
          <w:spacing w:val="40"/>
        </w:rPr>
        <w:t> </w:t>
      </w:r>
      <w:r>
        <w:rPr/>
        <w:t>them</w:t>
      </w:r>
      <w:r>
        <w:rPr>
          <w:spacing w:val="40"/>
        </w:rPr>
        <w:t> </w:t>
      </w:r>
      <w:r>
        <w:rPr/>
        <w:t>their</w:t>
      </w:r>
      <w:r>
        <w:rPr>
          <w:spacing w:val="40"/>
        </w:rPr>
        <w:t> </w:t>
      </w:r>
      <w:r>
        <w:rPr/>
        <w:t>independence</w:t>
      </w:r>
      <w:r>
        <w:rPr>
          <w:spacing w:val="40"/>
        </w:rPr>
        <w:t> </w:t>
      </w:r>
      <w:r>
        <w:rPr/>
        <w:t>and</w:t>
      </w:r>
      <w:r>
        <w:rPr>
          <w:spacing w:val="40"/>
        </w:rPr>
        <w:t> </w:t>
      </w:r>
      <w:r>
        <w:rPr/>
        <w:t>suppress</w:t>
      </w:r>
      <w:r>
        <w:rPr>
          <w:spacing w:val="40"/>
        </w:rPr>
        <w:t> </w:t>
      </w:r>
      <w:r>
        <w:rPr/>
        <w:t>their</w:t>
      </w:r>
      <w:r>
        <w:rPr>
          <w:spacing w:val="40"/>
        </w:rPr>
        <w:t> </w:t>
      </w:r>
      <w:r>
        <w:rPr/>
        <w:t>voices.</w:t>
      </w:r>
    </w:p>
    <w:p>
      <w:pPr>
        <w:pStyle w:val="BodyText"/>
        <w:spacing w:line="249" w:lineRule="auto" w:before="61"/>
        <w:ind w:right="1438" w:firstLine="432"/>
        <w:jc w:val="both"/>
      </w:pPr>
      <w:r>
        <w:rPr/>
        <w:t>Elaine Showalter’s feminist critique of female madness in Shakespeare’s plays demonstrates how female insanity serves as a metaphor for contemporary cultural fears about the independence of women and their ability to express themselves emotionally. Her study of Ophelia illustrates that madness can be used as a symbolic medium through</w:t>
      </w:r>
      <w:r>
        <w:rPr>
          <w:spacing w:val="22"/>
        </w:rPr>
        <w:t> </w:t>
      </w:r>
      <w:r>
        <w:rPr/>
        <w:t>which</w:t>
      </w:r>
      <w:r>
        <w:rPr>
          <w:spacing w:val="23"/>
        </w:rPr>
        <w:t> </w:t>
      </w:r>
      <w:r>
        <w:rPr/>
        <w:t>the</w:t>
      </w:r>
      <w:r>
        <w:rPr>
          <w:spacing w:val="25"/>
        </w:rPr>
        <w:t> </w:t>
      </w:r>
      <w:r>
        <w:rPr/>
        <w:t>unsaid</w:t>
      </w:r>
      <w:r>
        <w:rPr>
          <w:spacing w:val="26"/>
        </w:rPr>
        <w:t> </w:t>
      </w:r>
      <w:r>
        <w:rPr/>
        <w:t>emotions</w:t>
      </w:r>
      <w:r>
        <w:rPr>
          <w:spacing w:val="23"/>
        </w:rPr>
        <w:t> </w:t>
      </w:r>
      <w:r>
        <w:rPr/>
        <w:t>of</w:t>
      </w:r>
      <w:r>
        <w:rPr>
          <w:spacing w:val="24"/>
        </w:rPr>
        <w:t> </w:t>
      </w:r>
      <w:r>
        <w:rPr/>
        <w:t>women</w:t>
      </w:r>
      <w:r>
        <w:rPr>
          <w:spacing w:val="23"/>
        </w:rPr>
        <w:t> </w:t>
      </w:r>
      <w:r>
        <w:rPr/>
        <w:t>can</w:t>
      </w:r>
      <w:r>
        <w:rPr>
          <w:spacing w:val="23"/>
        </w:rPr>
        <w:t> </w:t>
      </w:r>
      <w:r>
        <w:rPr/>
        <w:t>be</w:t>
      </w:r>
      <w:r>
        <w:rPr>
          <w:spacing w:val="25"/>
        </w:rPr>
        <w:t> </w:t>
      </w:r>
      <w:r>
        <w:rPr>
          <w:spacing w:val="-2"/>
        </w:rPr>
        <w:t>communicated.</w:t>
      </w:r>
    </w:p>
    <w:p>
      <w:pPr>
        <w:pStyle w:val="BodyText"/>
        <w:spacing w:line="249" w:lineRule="auto" w:before="63"/>
        <w:ind w:right="1441" w:firstLine="432"/>
        <w:jc w:val="both"/>
      </w:pPr>
      <w:r>
        <w:rPr/>
        <w:t>Modern scholarship has also focused on the links between silence and female agency in both the tragic outcomes of Shakespeare’s plays. For</w:t>
      </w:r>
      <w:r>
        <w:rPr>
          <w:spacing w:val="15"/>
        </w:rPr>
        <w:t> </w:t>
      </w:r>
      <w:r>
        <w:rPr/>
        <w:t>instance,</w:t>
      </w:r>
      <w:r>
        <w:rPr>
          <w:spacing w:val="13"/>
        </w:rPr>
        <w:t> </w:t>
      </w:r>
      <w:r>
        <w:rPr/>
        <w:t>J.</w:t>
      </w:r>
      <w:r>
        <w:rPr>
          <w:spacing w:val="15"/>
        </w:rPr>
        <w:t> </w:t>
      </w:r>
      <w:r>
        <w:rPr/>
        <w:t>John</w:t>
      </w:r>
      <w:r>
        <w:rPr>
          <w:spacing w:val="15"/>
        </w:rPr>
        <w:t> </w:t>
      </w:r>
      <w:r>
        <w:rPr/>
        <w:t>Sekar</w:t>
      </w:r>
      <w:r>
        <w:rPr>
          <w:spacing w:val="14"/>
        </w:rPr>
        <w:t> </w:t>
      </w:r>
      <w:r>
        <w:rPr/>
        <w:t>argues</w:t>
      </w:r>
      <w:r>
        <w:rPr>
          <w:spacing w:val="15"/>
        </w:rPr>
        <w:t> </w:t>
      </w:r>
      <w:r>
        <w:rPr/>
        <w:t>that</w:t>
      </w:r>
      <w:r>
        <w:rPr>
          <w:spacing w:val="15"/>
        </w:rPr>
        <w:t> </w:t>
      </w:r>
      <w:r>
        <w:rPr/>
        <w:t>while</w:t>
      </w:r>
      <w:r>
        <w:rPr>
          <w:spacing w:val="16"/>
        </w:rPr>
        <w:t> </w:t>
      </w:r>
      <w:r>
        <w:rPr/>
        <w:t>women</w:t>
      </w:r>
      <w:r>
        <w:rPr>
          <w:spacing w:val="12"/>
        </w:rPr>
        <w:t> </w:t>
      </w:r>
      <w:r>
        <w:rPr/>
        <w:t>in</w:t>
      </w:r>
      <w:r>
        <w:rPr>
          <w:spacing w:val="15"/>
        </w:rPr>
        <w:t> </w:t>
      </w:r>
      <w:r>
        <w:rPr>
          <w:spacing w:val="-2"/>
        </w:rPr>
        <w:t>Shakespeare’s</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34944">
                <wp:simplePos x="0" y="0"/>
                <wp:positionH relativeFrom="page">
                  <wp:posOffset>2065020</wp:posOffset>
                </wp:positionH>
                <wp:positionV relativeFrom="paragraph">
                  <wp:posOffset>795020</wp:posOffset>
                </wp:positionV>
                <wp:extent cx="3657600" cy="12700"/>
                <wp:effectExtent l="0" t="0" r="0" b="0"/>
                <wp:wrapTopAndBottom/>
                <wp:docPr id="194" name="Graphic 194"/>
                <wp:cNvGraphicFramePr>
                  <a:graphicFrameLocks/>
                </wp:cNvGraphicFramePr>
                <a:graphic>
                  <a:graphicData uri="http://schemas.microsoft.com/office/word/2010/wordprocessingShape">
                    <wps:wsp>
                      <wps:cNvPr id="194" name="Graphic 19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81536;mso-wrap-distance-left:0;mso-wrap-distance-right:0" id="docshape190" filled="true" fillcolor="#000000" stroked="false">
                <v:fill type="solid"/>
                <w10:wrap type="topAndBottom"/>
              </v:rect>
            </w:pict>
          </mc:Fallback>
        </mc:AlternateContent>
      </w:r>
      <w:r>
        <w:rPr>
          <w:rFonts w:ascii="Verdana"/>
          <w:sz w:val="18"/>
        </w:rPr>
        <w:t>Psychological</w:t>
      </w:r>
      <w:r>
        <w:rPr>
          <w:rFonts w:ascii="Verdana"/>
          <w:spacing w:val="13"/>
          <w:sz w:val="18"/>
        </w:rPr>
        <w:t> </w:t>
      </w:r>
      <w:r>
        <w:rPr>
          <w:rFonts w:ascii="Verdana"/>
          <w:sz w:val="18"/>
        </w:rPr>
        <w:t>Suffering</w:t>
      </w:r>
      <w:r>
        <w:rPr>
          <w:rFonts w:ascii="Verdana"/>
          <w:spacing w:val="14"/>
          <w:sz w:val="18"/>
        </w:rPr>
        <w:t> </w:t>
      </w:r>
      <w:r>
        <w:rPr>
          <w:rFonts w:ascii="Verdana"/>
          <w:sz w:val="18"/>
        </w:rPr>
        <w:t>and</w:t>
      </w:r>
      <w:r>
        <w:rPr>
          <w:rFonts w:ascii="Verdana"/>
          <w:spacing w:val="14"/>
          <w:sz w:val="18"/>
        </w:rPr>
        <w:t> </w:t>
      </w:r>
      <w:r>
        <w:rPr>
          <w:rFonts w:ascii="Verdana"/>
          <w:sz w:val="18"/>
        </w:rPr>
        <w:t>Gendered</w:t>
      </w:r>
      <w:r>
        <w:rPr>
          <w:rFonts w:ascii="Verdana"/>
          <w:spacing w:val="15"/>
          <w:sz w:val="18"/>
        </w:rPr>
        <w:t> </w:t>
      </w:r>
      <w:r>
        <w:rPr>
          <w:rFonts w:ascii="Verdana"/>
          <w:spacing w:val="-2"/>
          <w:sz w:val="18"/>
        </w:rPr>
        <w:t>Power...</w:t>
      </w:r>
      <w:r>
        <w:rPr>
          <w:sz w:val="18"/>
        </w:rPr>
        <w:tab/>
      </w:r>
      <w:r>
        <w:rPr>
          <w:rFonts w:ascii="Verdana"/>
          <w:spacing w:val="-5"/>
          <w:sz w:val="18"/>
        </w:rPr>
        <w:t>35</w:t>
      </w:r>
    </w:p>
    <w:p>
      <w:pPr>
        <w:pStyle w:val="BodyText"/>
        <w:spacing w:line="249" w:lineRule="auto" w:before="192"/>
        <w:ind w:right="1439"/>
        <w:jc w:val="both"/>
      </w:pPr>
      <w:r>
        <w:rPr/>
        <w:t>tragedies</w:t>
      </w:r>
      <w:r>
        <w:rPr>
          <w:spacing w:val="-11"/>
        </w:rPr>
        <w:t> </w:t>
      </w:r>
      <w:r>
        <w:rPr/>
        <w:t>may</w:t>
      </w:r>
      <w:r>
        <w:rPr>
          <w:spacing w:val="-11"/>
        </w:rPr>
        <w:t> </w:t>
      </w:r>
      <w:r>
        <w:rPr/>
        <w:t>appear</w:t>
      </w:r>
      <w:r>
        <w:rPr>
          <w:spacing w:val="-9"/>
        </w:rPr>
        <w:t> </w:t>
      </w:r>
      <w:r>
        <w:rPr/>
        <w:t>to</w:t>
      </w:r>
      <w:r>
        <w:rPr>
          <w:spacing w:val="-9"/>
        </w:rPr>
        <w:t> </w:t>
      </w:r>
      <w:r>
        <w:rPr/>
        <w:t>be</w:t>
      </w:r>
      <w:r>
        <w:rPr>
          <w:spacing w:val="-8"/>
        </w:rPr>
        <w:t> </w:t>
      </w:r>
      <w:r>
        <w:rPr/>
        <w:t>marginalized</w:t>
      </w:r>
      <w:r>
        <w:rPr>
          <w:spacing w:val="-9"/>
        </w:rPr>
        <w:t> </w:t>
      </w:r>
      <w:r>
        <w:rPr/>
        <w:t>within</w:t>
      </w:r>
      <w:r>
        <w:rPr>
          <w:spacing w:val="-12"/>
        </w:rPr>
        <w:t> </w:t>
      </w:r>
      <w:r>
        <w:rPr/>
        <w:t>the</w:t>
      </w:r>
      <w:r>
        <w:rPr>
          <w:spacing w:val="-9"/>
        </w:rPr>
        <w:t> </w:t>
      </w:r>
      <w:r>
        <w:rPr/>
        <w:t>dominant</w:t>
      </w:r>
      <w:r>
        <w:rPr>
          <w:spacing w:val="-9"/>
        </w:rPr>
        <w:t> </w:t>
      </w:r>
      <w:r>
        <w:rPr/>
        <w:t>patriarchal system, their silence and limited agency contribute significantly to the tragic outcomes of those plays. Sekar argues that characters such as </w:t>
      </w:r>
      <w:r>
        <w:rPr>
          <w:spacing w:val="-2"/>
        </w:rPr>
        <w:t>Lady</w:t>
      </w:r>
      <w:r>
        <w:rPr>
          <w:spacing w:val="-8"/>
        </w:rPr>
        <w:t> </w:t>
      </w:r>
      <w:r>
        <w:rPr>
          <w:spacing w:val="-2"/>
        </w:rPr>
        <w:t>Macbeth</w:t>
      </w:r>
      <w:r>
        <w:rPr>
          <w:spacing w:val="-7"/>
        </w:rPr>
        <w:t> </w:t>
      </w:r>
      <w:r>
        <w:rPr>
          <w:spacing w:val="-2"/>
        </w:rPr>
        <w:t>and Desdemona</w:t>
      </w:r>
      <w:r>
        <w:rPr>
          <w:spacing w:val="-4"/>
        </w:rPr>
        <w:t> </w:t>
      </w:r>
      <w:r>
        <w:rPr>
          <w:spacing w:val="-2"/>
        </w:rPr>
        <w:t>illustrate</w:t>
      </w:r>
      <w:r>
        <w:rPr>
          <w:spacing w:val="-4"/>
        </w:rPr>
        <w:t> </w:t>
      </w:r>
      <w:r>
        <w:rPr>
          <w:spacing w:val="-2"/>
        </w:rPr>
        <w:t>how</w:t>
      </w:r>
      <w:r>
        <w:rPr>
          <w:spacing w:val="-11"/>
        </w:rPr>
        <w:t> </w:t>
      </w:r>
      <w:r>
        <w:rPr>
          <w:spacing w:val="-2"/>
        </w:rPr>
        <w:t>Shakespeare</w:t>
      </w:r>
      <w:r>
        <w:rPr>
          <w:spacing w:val="-3"/>
        </w:rPr>
        <w:t> </w:t>
      </w:r>
      <w:r>
        <w:rPr>
          <w:spacing w:val="-2"/>
        </w:rPr>
        <w:t>places</w:t>
      </w:r>
      <w:r>
        <w:rPr>
          <w:spacing w:val="-5"/>
        </w:rPr>
        <w:t> </w:t>
      </w:r>
      <w:r>
        <w:rPr>
          <w:spacing w:val="-2"/>
        </w:rPr>
        <w:t>women </w:t>
      </w:r>
      <w:r>
        <w:rPr/>
        <w:t>within</w:t>
      </w:r>
      <w:r>
        <w:rPr>
          <w:spacing w:val="-7"/>
        </w:rPr>
        <w:t> </w:t>
      </w:r>
      <w:r>
        <w:rPr/>
        <w:t>two</w:t>
      </w:r>
      <w:r>
        <w:rPr>
          <w:spacing w:val="-5"/>
        </w:rPr>
        <w:t> </w:t>
      </w:r>
      <w:r>
        <w:rPr/>
        <w:t>opposing</w:t>
      </w:r>
      <w:r>
        <w:rPr>
          <w:spacing w:val="-5"/>
        </w:rPr>
        <w:t> </w:t>
      </w:r>
      <w:r>
        <w:rPr/>
        <w:t>forces:</w:t>
      </w:r>
      <w:r>
        <w:rPr>
          <w:spacing w:val="-5"/>
        </w:rPr>
        <w:t> </w:t>
      </w:r>
      <w:r>
        <w:rPr/>
        <w:t>powerless</w:t>
      </w:r>
      <w:r>
        <w:rPr>
          <w:spacing w:val="-7"/>
        </w:rPr>
        <w:t> </w:t>
      </w:r>
      <w:r>
        <w:rPr/>
        <w:t>victims</w:t>
      </w:r>
      <w:r>
        <w:rPr>
          <w:spacing w:val="-7"/>
        </w:rPr>
        <w:t> </w:t>
      </w:r>
      <w:r>
        <w:rPr/>
        <w:t>of</w:t>
      </w:r>
      <w:r>
        <w:rPr>
          <w:spacing w:val="-5"/>
        </w:rPr>
        <w:t> </w:t>
      </w:r>
      <w:r>
        <w:rPr/>
        <w:t>patriarchal</w:t>
      </w:r>
      <w:r>
        <w:rPr>
          <w:spacing w:val="-7"/>
        </w:rPr>
        <w:t> </w:t>
      </w:r>
      <w:r>
        <w:rPr/>
        <w:t>oppression and powerful resistors to that oppression. In addition, Rasheed’s article provided an in-depth look at the complexity of female characters in Shakespearean</w:t>
      </w:r>
      <w:r>
        <w:rPr>
          <w:spacing w:val="-5"/>
        </w:rPr>
        <w:t> </w:t>
      </w:r>
      <w:r>
        <w:rPr/>
        <w:t>tragedy</w:t>
      </w:r>
      <w:r>
        <w:rPr>
          <w:spacing w:val="-5"/>
        </w:rPr>
        <w:t> </w:t>
      </w:r>
      <w:r>
        <w:rPr/>
        <w:t>through</w:t>
      </w:r>
      <w:r>
        <w:rPr>
          <w:spacing w:val="-5"/>
        </w:rPr>
        <w:t> </w:t>
      </w:r>
      <w:r>
        <w:rPr/>
        <w:t>a</w:t>
      </w:r>
      <w:r>
        <w:rPr>
          <w:spacing w:val="-2"/>
        </w:rPr>
        <w:t> </w:t>
      </w:r>
      <w:r>
        <w:rPr/>
        <w:t>study</w:t>
      </w:r>
      <w:r>
        <w:rPr>
          <w:spacing w:val="-7"/>
        </w:rPr>
        <w:t> </w:t>
      </w:r>
      <w:r>
        <w:rPr/>
        <w:t>of</w:t>
      </w:r>
      <w:r>
        <w:rPr>
          <w:spacing w:val="-4"/>
        </w:rPr>
        <w:t> </w:t>
      </w:r>
      <w:r>
        <w:rPr/>
        <w:t>female</w:t>
      </w:r>
      <w:r>
        <w:rPr>
          <w:spacing w:val="-5"/>
        </w:rPr>
        <w:t> </w:t>
      </w:r>
      <w:r>
        <w:rPr/>
        <w:t>characters</w:t>
      </w:r>
      <w:r>
        <w:rPr>
          <w:spacing w:val="-4"/>
        </w:rPr>
        <w:t> </w:t>
      </w:r>
      <w:r>
        <w:rPr/>
        <w:t>in</w:t>
      </w:r>
      <w:r>
        <w:rPr>
          <w:spacing w:val="-5"/>
        </w:rPr>
        <w:t> </w:t>
      </w:r>
      <w:r>
        <w:rPr/>
        <w:t>Macbeth and Hamlet. The women play both active and passive roles, in those</w:t>
      </w:r>
      <w:r>
        <w:rPr>
          <w:spacing w:val="40"/>
        </w:rPr>
        <w:t> </w:t>
      </w:r>
      <w:r>
        <w:rPr/>
        <w:t>two plays acting as agents of influence and victims of patriarchal </w:t>
      </w:r>
      <w:r>
        <w:rPr>
          <w:spacing w:val="-2"/>
        </w:rPr>
        <w:t>expectations.</w:t>
      </w:r>
    </w:p>
    <w:p>
      <w:pPr>
        <w:pStyle w:val="BodyText"/>
        <w:spacing w:line="249" w:lineRule="auto" w:before="67"/>
        <w:ind w:right="1436" w:firstLine="432"/>
        <w:jc w:val="both"/>
      </w:pPr>
      <w:r>
        <w:rPr/>
        <w:t>While previous studies have focused primarily on female agency or patriarchal oppression, this study</w:t>
      </w:r>
      <w:r>
        <w:rPr>
          <w:spacing w:val="-1"/>
        </w:rPr>
        <w:t> </w:t>
      </w:r>
      <w:r>
        <w:rPr/>
        <w:t>provides to existing</w:t>
      </w:r>
      <w:r>
        <w:rPr>
          <w:spacing w:val="-1"/>
        </w:rPr>
        <w:t> </w:t>
      </w:r>
      <w:r>
        <w:rPr/>
        <w:t>scholarship by probing Shakespeare’s female character’s through the combined perspectives</w:t>
      </w:r>
      <w:r>
        <w:rPr>
          <w:spacing w:val="-1"/>
        </w:rPr>
        <w:t> </w:t>
      </w:r>
      <w:r>
        <w:rPr/>
        <w:t>of</w:t>
      </w:r>
      <w:r>
        <w:rPr>
          <w:spacing w:val="-3"/>
        </w:rPr>
        <w:t> </w:t>
      </w:r>
      <w:r>
        <w:rPr/>
        <w:t>feminist</w:t>
      </w:r>
      <w:r>
        <w:rPr>
          <w:spacing w:val="-1"/>
        </w:rPr>
        <w:t> </w:t>
      </w:r>
      <w:r>
        <w:rPr/>
        <w:t>theory</w:t>
      </w:r>
      <w:r>
        <w:rPr>
          <w:spacing w:val="-6"/>
        </w:rPr>
        <w:t> </w:t>
      </w:r>
      <w:r>
        <w:rPr/>
        <w:t>and</w:t>
      </w:r>
      <w:r>
        <w:rPr>
          <w:spacing w:val="-1"/>
        </w:rPr>
        <w:t> </w:t>
      </w:r>
      <w:r>
        <w:rPr/>
        <w:t>psychological</w:t>
      </w:r>
      <w:r>
        <w:rPr>
          <w:spacing w:val="-3"/>
        </w:rPr>
        <w:t> </w:t>
      </w:r>
      <w:r>
        <w:rPr/>
        <w:t>analysis., emphasizes the</w:t>
      </w:r>
      <w:r>
        <w:rPr>
          <w:spacing w:val="-13"/>
        </w:rPr>
        <w:t> </w:t>
      </w:r>
      <w:r>
        <w:rPr/>
        <w:t>relationship</w:t>
      </w:r>
      <w:r>
        <w:rPr>
          <w:spacing w:val="-12"/>
        </w:rPr>
        <w:t> </w:t>
      </w:r>
      <w:r>
        <w:rPr/>
        <w:t>between</w:t>
      </w:r>
      <w:r>
        <w:rPr>
          <w:spacing w:val="-13"/>
        </w:rPr>
        <w:t> </w:t>
      </w:r>
      <w:r>
        <w:rPr/>
        <w:t>gendered</w:t>
      </w:r>
      <w:r>
        <w:rPr>
          <w:spacing w:val="-12"/>
        </w:rPr>
        <w:t> </w:t>
      </w:r>
      <w:r>
        <w:rPr/>
        <w:t>power</w:t>
      </w:r>
      <w:r>
        <w:rPr>
          <w:spacing w:val="-13"/>
        </w:rPr>
        <w:t> </w:t>
      </w:r>
      <w:r>
        <w:rPr/>
        <w:t>structures</w:t>
      </w:r>
      <w:r>
        <w:rPr>
          <w:spacing w:val="-12"/>
        </w:rPr>
        <w:t> </w:t>
      </w:r>
      <w:r>
        <w:rPr/>
        <w:t>and</w:t>
      </w:r>
      <w:r>
        <w:rPr>
          <w:spacing w:val="-13"/>
        </w:rPr>
        <w:t> </w:t>
      </w:r>
      <w:r>
        <w:rPr/>
        <w:t>women’s</w:t>
      </w:r>
      <w:r>
        <w:rPr>
          <w:spacing w:val="-12"/>
        </w:rPr>
        <w:t> </w:t>
      </w:r>
      <w:r>
        <w:rPr/>
        <w:t>mental </w:t>
      </w:r>
      <w:r>
        <w:rPr>
          <w:spacing w:val="-2"/>
        </w:rPr>
        <w:t>health.</w:t>
      </w:r>
      <w:r>
        <w:rPr>
          <w:spacing w:val="-11"/>
        </w:rPr>
        <w:t> </w:t>
      </w:r>
      <w:r>
        <w:rPr>
          <w:spacing w:val="-2"/>
        </w:rPr>
        <w:t>By</w:t>
      </w:r>
      <w:r>
        <w:rPr>
          <w:spacing w:val="-10"/>
        </w:rPr>
        <w:t> </w:t>
      </w:r>
      <w:r>
        <w:rPr>
          <w:spacing w:val="-2"/>
        </w:rPr>
        <w:t>comparing</w:t>
      </w:r>
      <w:r>
        <w:rPr>
          <w:spacing w:val="-11"/>
        </w:rPr>
        <w:t> </w:t>
      </w:r>
      <w:r>
        <w:rPr>
          <w:spacing w:val="-2"/>
        </w:rPr>
        <w:t>the</w:t>
      </w:r>
      <w:r>
        <w:rPr>
          <w:spacing w:val="-10"/>
        </w:rPr>
        <w:t> </w:t>
      </w:r>
      <w:r>
        <w:rPr>
          <w:spacing w:val="-2"/>
        </w:rPr>
        <w:t>psychological</w:t>
      </w:r>
      <w:r>
        <w:rPr>
          <w:spacing w:val="-11"/>
        </w:rPr>
        <w:t> </w:t>
      </w:r>
      <w:r>
        <w:rPr>
          <w:spacing w:val="-2"/>
        </w:rPr>
        <w:t>experiences</w:t>
      </w:r>
      <w:r>
        <w:rPr>
          <w:spacing w:val="-10"/>
        </w:rPr>
        <w:t> </w:t>
      </w:r>
      <w:r>
        <w:rPr>
          <w:spacing w:val="-2"/>
        </w:rPr>
        <w:t>of</w:t>
      </w:r>
      <w:r>
        <w:rPr>
          <w:spacing w:val="-11"/>
        </w:rPr>
        <w:t> </w:t>
      </w:r>
      <w:r>
        <w:rPr>
          <w:spacing w:val="-2"/>
        </w:rPr>
        <w:t>Ophelia</w:t>
      </w:r>
      <w:r>
        <w:rPr>
          <w:spacing w:val="-10"/>
        </w:rPr>
        <w:t> </w:t>
      </w:r>
      <w:r>
        <w:rPr>
          <w:spacing w:val="-2"/>
        </w:rPr>
        <w:t>in</w:t>
      </w:r>
      <w:r>
        <w:rPr>
          <w:spacing w:val="-11"/>
        </w:rPr>
        <w:t> </w:t>
      </w:r>
      <w:r>
        <w:rPr>
          <w:spacing w:val="-2"/>
        </w:rPr>
        <w:t>Hamlet, </w:t>
      </w:r>
      <w:r>
        <w:rPr/>
        <w:t>Lady Macbeth in Macbeth, and Desdemona in Othello, the study demonstrates</w:t>
      </w:r>
      <w:r>
        <w:rPr>
          <w:spacing w:val="-3"/>
        </w:rPr>
        <w:t> </w:t>
      </w:r>
      <w:r>
        <w:rPr/>
        <w:t>how</w:t>
      </w:r>
      <w:r>
        <w:rPr>
          <w:spacing w:val="-5"/>
        </w:rPr>
        <w:t> </w:t>
      </w:r>
      <w:r>
        <w:rPr/>
        <w:t>different</w:t>
      </w:r>
      <w:r>
        <w:rPr>
          <w:spacing w:val="-3"/>
        </w:rPr>
        <w:t> </w:t>
      </w:r>
      <w:r>
        <w:rPr/>
        <w:t>forms</w:t>
      </w:r>
      <w:r>
        <w:rPr>
          <w:spacing w:val="-1"/>
        </w:rPr>
        <w:t> </w:t>
      </w:r>
      <w:r>
        <w:rPr/>
        <w:t>of</w:t>
      </w:r>
      <w:r>
        <w:rPr>
          <w:spacing w:val="-3"/>
        </w:rPr>
        <w:t> </w:t>
      </w:r>
      <w:r>
        <w:rPr/>
        <w:t>emotional</w:t>
      </w:r>
      <w:r>
        <w:rPr>
          <w:spacing w:val="-1"/>
        </w:rPr>
        <w:t> </w:t>
      </w:r>
      <w:r>
        <w:rPr/>
        <w:t>suffering</w:t>
      </w:r>
      <w:r>
        <w:rPr>
          <w:spacing w:val="-5"/>
        </w:rPr>
        <w:t> </w:t>
      </w:r>
      <w:r>
        <w:rPr/>
        <w:t>emerge</w:t>
      </w:r>
      <w:r>
        <w:rPr>
          <w:spacing w:val="-1"/>
        </w:rPr>
        <w:t> </w:t>
      </w:r>
      <w:r>
        <w:rPr/>
        <w:t>within Shakespearean</w:t>
      </w:r>
      <w:r>
        <w:rPr>
          <w:spacing w:val="40"/>
        </w:rPr>
        <w:t> </w:t>
      </w:r>
      <w:r>
        <w:rPr/>
        <w:t>tragedy.</w:t>
      </w:r>
    </w:p>
    <w:p>
      <w:pPr>
        <w:pStyle w:val="Heading5"/>
        <w:numPr>
          <w:ilvl w:val="0"/>
          <w:numId w:val="12"/>
        </w:numPr>
        <w:tabs>
          <w:tab w:pos="1718" w:val="left" w:leader="none"/>
          <w:tab w:pos="1872" w:val="left" w:leader="none"/>
        </w:tabs>
        <w:spacing w:line="240" w:lineRule="auto" w:before="114" w:after="0"/>
        <w:ind w:left="1718" w:right="0" w:hanging="278"/>
        <w:jc w:val="left"/>
      </w:pPr>
      <w:r>
        <w:rPr>
          <w:w w:val="110"/>
        </w:rPr>
        <w:t>Ophelia’s</w:t>
      </w:r>
      <w:r>
        <w:rPr>
          <w:spacing w:val="41"/>
          <w:w w:val="110"/>
        </w:rPr>
        <w:t> </w:t>
      </w:r>
      <w:r>
        <w:rPr>
          <w:w w:val="110"/>
        </w:rPr>
        <w:t>Madness</w:t>
      </w:r>
      <w:r>
        <w:rPr>
          <w:spacing w:val="42"/>
          <w:w w:val="110"/>
        </w:rPr>
        <w:t> </w:t>
      </w:r>
      <w:r>
        <w:rPr>
          <w:w w:val="110"/>
        </w:rPr>
        <w:t>and</w:t>
      </w:r>
      <w:r>
        <w:rPr>
          <w:spacing w:val="42"/>
          <w:w w:val="110"/>
        </w:rPr>
        <w:t> </w:t>
      </w:r>
      <w:r>
        <w:rPr>
          <w:w w:val="110"/>
        </w:rPr>
        <w:t>Psychological</w:t>
      </w:r>
      <w:r>
        <w:rPr>
          <w:spacing w:val="42"/>
          <w:w w:val="110"/>
        </w:rPr>
        <w:t> </w:t>
      </w:r>
      <w:r>
        <w:rPr>
          <w:spacing w:val="-2"/>
          <w:w w:val="110"/>
        </w:rPr>
        <w:t>Breakdown</w:t>
      </w:r>
    </w:p>
    <w:p>
      <w:pPr>
        <w:pStyle w:val="BodyText"/>
        <w:spacing w:line="249" w:lineRule="auto" w:before="72"/>
        <w:ind w:right="1439" w:firstLine="432"/>
        <w:jc w:val="both"/>
      </w:pPr>
      <w:r>
        <w:rPr>
          <w:spacing w:val="-2"/>
        </w:rPr>
        <w:t>Shakespeare’s Ophelia is</w:t>
      </w:r>
      <w:r>
        <w:rPr>
          <w:spacing w:val="-3"/>
        </w:rPr>
        <w:t> </w:t>
      </w:r>
      <w:r>
        <w:rPr>
          <w:spacing w:val="-2"/>
        </w:rPr>
        <w:t>an</w:t>
      </w:r>
      <w:r>
        <w:rPr>
          <w:spacing w:val="-3"/>
        </w:rPr>
        <w:t> </w:t>
      </w:r>
      <w:r>
        <w:rPr>
          <w:spacing w:val="-2"/>
        </w:rPr>
        <w:t>extremely</w:t>
      </w:r>
      <w:r>
        <w:rPr>
          <w:spacing w:val="-5"/>
        </w:rPr>
        <w:t> </w:t>
      </w:r>
      <w:r>
        <w:rPr>
          <w:spacing w:val="-2"/>
        </w:rPr>
        <w:t>impressive representation</w:t>
      </w:r>
      <w:r>
        <w:rPr>
          <w:spacing w:val="-3"/>
        </w:rPr>
        <w:t> </w:t>
      </w:r>
      <w:r>
        <w:rPr>
          <w:spacing w:val="-2"/>
        </w:rPr>
        <w:t>of </w:t>
      </w:r>
      <w:r>
        <w:rPr/>
        <w:t>female emotional instability, and is an extraordinary illustration of the layers of suffering that Ophelia endures as a result of her oppression within a patriarchal structure.</w:t>
      </w:r>
    </w:p>
    <w:p>
      <w:pPr>
        <w:pStyle w:val="BodyText"/>
        <w:spacing w:line="249" w:lineRule="auto" w:before="61"/>
        <w:ind w:right="1437" w:firstLine="432"/>
        <w:jc w:val="both"/>
      </w:pPr>
      <w:r>
        <w:rPr/>
        <w:t>Throughout</w:t>
      </w:r>
      <w:r>
        <w:rPr>
          <w:spacing w:val="-2"/>
        </w:rPr>
        <w:t> </w:t>
      </w:r>
      <w:r>
        <w:rPr/>
        <w:t>Hamlet,</w:t>
      </w:r>
      <w:r>
        <w:rPr>
          <w:spacing w:val="-4"/>
        </w:rPr>
        <w:t> </w:t>
      </w:r>
      <w:r>
        <w:rPr/>
        <w:t>Ophelia</w:t>
      </w:r>
      <w:r>
        <w:rPr>
          <w:spacing w:val="-2"/>
        </w:rPr>
        <w:t> </w:t>
      </w:r>
      <w:r>
        <w:rPr/>
        <w:t>is</w:t>
      </w:r>
      <w:r>
        <w:rPr>
          <w:spacing w:val="-4"/>
        </w:rPr>
        <w:t> </w:t>
      </w:r>
      <w:r>
        <w:rPr/>
        <w:t>required</w:t>
      </w:r>
      <w:r>
        <w:rPr>
          <w:spacing w:val="-4"/>
        </w:rPr>
        <w:t> </w:t>
      </w:r>
      <w:r>
        <w:rPr/>
        <w:t>to</w:t>
      </w:r>
      <w:r>
        <w:rPr>
          <w:spacing w:val="-2"/>
        </w:rPr>
        <w:t> </w:t>
      </w:r>
      <w:r>
        <w:rPr/>
        <w:t>submit</w:t>
      </w:r>
      <w:r>
        <w:rPr>
          <w:spacing w:val="-2"/>
        </w:rPr>
        <w:t> </w:t>
      </w:r>
      <w:r>
        <w:rPr/>
        <w:t>to</w:t>
      </w:r>
      <w:r>
        <w:rPr>
          <w:spacing w:val="-4"/>
        </w:rPr>
        <w:t> </w:t>
      </w:r>
      <w:r>
        <w:rPr/>
        <w:t>the</w:t>
      </w:r>
      <w:r>
        <w:rPr>
          <w:spacing w:val="-1"/>
        </w:rPr>
        <w:t> </w:t>
      </w:r>
      <w:r>
        <w:rPr/>
        <w:t>pressures put</w:t>
      </w:r>
      <w:r>
        <w:rPr>
          <w:spacing w:val="-3"/>
        </w:rPr>
        <w:t> </w:t>
      </w:r>
      <w:r>
        <w:rPr/>
        <w:t>upon</w:t>
      </w:r>
      <w:r>
        <w:rPr>
          <w:spacing w:val="-5"/>
        </w:rPr>
        <w:t> </w:t>
      </w:r>
      <w:r>
        <w:rPr/>
        <w:t>her</w:t>
      </w:r>
      <w:r>
        <w:rPr>
          <w:spacing w:val="-1"/>
        </w:rPr>
        <w:t> </w:t>
      </w:r>
      <w:r>
        <w:rPr/>
        <w:t>by</w:t>
      </w:r>
      <w:r>
        <w:rPr>
          <w:spacing w:val="-6"/>
        </w:rPr>
        <w:t> </w:t>
      </w:r>
      <w:r>
        <w:rPr/>
        <w:t>her</w:t>
      </w:r>
      <w:r>
        <w:rPr>
          <w:spacing w:val="-3"/>
        </w:rPr>
        <w:t> </w:t>
      </w:r>
      <w:r>
        <w:rPr/>
        <w:t>father</w:t>
      </w:r>
      <w:r>
        <w:rPr>
          <w:spacing w:val="-3"/>
        </w:rPr>
        <w:t> </w:t>
      </w:r>
      <w:r>
        <w:rPr/>
        <w:t>Polonius</w:t>
      </w:r>
      <w:r>
        <w:rPr>
          <w:spacing w:val="-5"/>
        </w:rPr>
        <w:t> </w:t>
      </w:r>
      <w:r>
        <w:rPr/>
        <w:t>and</w:t>
      </w:r>
      <w:r>
        <w:rPr>
          <w:spacing w:val="-3"/>
        </w:rPr>
        <w:t> </w:t>
      </w:r>
      <w:r>
        <w:rPr/>
        <w:t>brother</w:t>
      </w:r>
      <w:r>
        <w:rPr>
          <w:spacing w:val="-1"/>
        </w:rPr>
        <w:t> </w:t>
      </w:r>
      <w:r>
        <w:rPr/>
        <w:t>Laertes,</w:t>
      </w:r>
      <w:r>
        <w:rPr>
          <w:spacing w:val="-5"/>
        </w:rPr>
        <w:t> </w:t>
      </w:r>
      <w:r>
        <w:rPr/>
        <w:t>who</w:t>
      </w:r>
      <w:r>
        <w:rPr>
          <w:spacing w:val="-3"/>
        </w:rPr>
        <w:t> </w:t>
      </w:r>
      <w:r>
        <w:rPr/>
        <w:t>constantly instruct her to disregard Hamlet’s love for her and continue to follow her father’s commands. It is clear from the above that women, in the society of the play, have very limited opportunity for exercising their </w:t>
      </w:r>
      <w:r>
        <w:rPr>
          <w:spacing w:val="-2"/>
        </w:rPr>
        <w:t>freedom.</w:t>
      </w:r>
    </w:p>
    <w:p>
      <w:pPr>
        <w:pStyle w:val="BodyText"/>
        <w:spacing w:line="249" w:lineRule="auto" w:before="65"/>
        <w:ind w:right="1438" w:firstLine="432"/>
        <w:jc w:val="both"/>
      </w:pPr>
      <w:r>
        <w:rPr>
          <w:spacing w:val="-4"/>
        </w:rPr>
        <w:t>Ophelia, after initially</w:t>
      </w:r>
      <w:r>
        <w:rPr>
          <w:spacing w:val="-8"/>
        </w:rPr>
        <w:t> </w:t>
      </w:r>
      <w:r>
        <w:rPr>
          <w:spacing w:val="-4"/>
        </w:rPr>
        <w:t>attempting to comply</w:t>
      </w:r>
      <w:r>
        <w:rPr>
          <w:spacing w:val="-5"/>
        </w:rPr>
        <w:t> </w:t>
      </w:r>
      <w:r>
        <w:rPr>
          <w:spacing w:val="-4"/>
        </w:rPr>
        <w:t>with her father’s wishes, </w:t>
      </w:r>
      <w:r>
        <w:rPr/>
        <w:t>experiences</w:t>
      </w:r>
      <w:r>
        <w:rPr>
          <w:spacing w:val="-6"/>
        </w:rPr>
        <w:t> </w:t>
      </w:r>
      <w:r>
        <w:rPr/>
        <w:t>great</w:t>
      </w:r>
      <w:r>
        <w:rPr>
          <w:spacing w:val="-7"/>
        </w:rPr>
        <w:t> </w:t>
      </w:r>
      <w:r>
        <w:rPr/>
        <w:t>emotional</w:t>
      </w:r>
      <w:r>
        <w:rPr>
          <w:spacing w:val="-5"/>
        </w:rPr>
        <w:t> </w:t>
      </w:r>
      <w:r>
        <w:rPr/>
        <w:t>distress</w:t>
      </w:r>
      <w:r>
        <w:rPr>
          <w:spacing w:val="-6"/>
        </w:rPr>
        <w:t> </w:t>
      </w:r>
      <w:r>
        <w:rPr/>
        <w:t>when</w:t>
      </w:r>
      <w:r>
        <w:rPr>
          <w:spacing w:val="-6"/>
        </w:rPr>
        <w:t> </w:t>
      </w:r>
      <w:r>
        <w:rPr/>
        <w:t>Hamlet’s</w:t>
      </w:r>
      <w:r>
        <w:rPr>
          <w:spacing w:val="-8"/>
        </w:rPr>
        <w:t> </w:t>
      </w:r>
      <w:r>
        <w:rPr/>
        <w:t>behaviour</w:t>
      </w:r>
      <w:r>
        <w:rPr>
          <w:spacing w:val="-3"/>
        </w:rPr>
        <w:t> </w:t>
      </w:r>
      <w:r>
        <w:rPr/>
        <w:t>becomes bewildering and he becomes progressively remote from her, and when her father is killed by Hamlet’s accident, he makes her life completely unbearable,</w:t>
      </w:r>
      <w:r>
        <w:rPr>
          <w:spacing w:val="40"/>
        </w:rPr>
        <w:t> </w:t>
      </w:r>
      <w:r>
        <w:rPr/>
        <w:t>as</w:t>
      </w:r>
      <w:r>
        <w:rPr>
          <w:spacing w:val="40"/>
        </w:rPr>
        <w:t> </w:t>
      </w:r>
      <w:r>
        <w:rPr/>
        <w:t>she</w:t>
      </w:r>
      <w:r>
        <w:rPr>
          <w:spacing w:val="40"/>
        </w:rPr>
        <w:t> </w:t>
      </w:r>
      <w:r>
        <w:rPr/>
        <w:t>is</w:t>
      </w:r>
      <w:r>
        <w:rPr>
          <w:spacing w:val="40"/>
        </w:rPr>
        <w:t> </w:t>
      </w:r>
      <w:r>
        <w:rPr/>
        <w:t>utterly</w:t>
      </w:r>
      <w:r>
        <w:rPr>
          <w:spacing w:val="40"/>
        </w:rPr>
        <w:t> </w:t>
      </w:r>
      <w:r>
        <w:rPr/>
        <w:t>shattered</w:t>
      </w:r>
      <w:r>
        <w:rPr>
          <w:spacing w:val="40"/>
        </w:rPr>
        <w:t> </w:t>
      </w:r>
      <w:r>
        <w:rPr/>
        <w:t>by</w:t>
      </w:r>
      <w:r>
        <w:rPr>
          <w:spacing w:val="40"/>
        </w:rPr>
        <w:t> </w:t>
      </w:r>
      <w:r>
        <w:rPr/>
        <w:t>the</w:t>
      </w:r>
      <w:r>
        <w:rPr>
          <w:spacing w:val="40"/>
        </w:rPr>
        <w:t> </w:t>
      </w:r>
      <w:r>
        <w:rPr/>
        <w:t>loss</w:t>
      </w:r>
      <w:r>
        <w:rPr>
          <w:spacing w:val="40"/>
        </w:rPr>
        <w:t> </w:t>
      </w:r>
      <w:r>
        <w:rPr/>
        <w:t>of</w:t>
      </w:r>
      <w:r>
        <w:rPr>
          <w:spacing w:val="40"/>
        </w:rPr>
        <w:t> </w:t>
      </w:r>
      <w:r>
        <w:rPr/>
        <w:t>her</w:t>
      </w:r>
      <w:r>
        <w:rPr>
          <w:spacing w:val="40"/>
        </w:rPr>
        <w:t> </w:t>
      </w:r>
      <w:r>
        <w:rPr/>
        <w:t>father.</w:t>
      </w:r>
    </w:p>
    <w:p>
      <w:pPr>
        <w:pStyle w:val="BodyText"/>
        <w:spacing w:line="249" w:lineRule="auto" w:before="62"/>
        <w:ind w:right="1441" w:firstLine="432"/>
        <w:jc w:val="both"/>
      </w:pPr>
      <w:r>
        <w:rPr/>
        <w:t>Aside from these events, Ophelia is given further evidence of her emotional instability by displaying increasing signs of “madness”. Her speech</w:t>
      </w:r>
      <w:r>
        <w:rPr>
          <w:spacing w:val="-2"/>
        </w:rPr>
        <w:t> </w:t>
      </w:r>
      <w:r>
        <w:rPr/>
        <w:t>has</w:t>
      </w:r>
      <w:r>
        <w:rPr>
          <w:spacing w:val="2"/>
        </w:rPr>
        <w:t> </w:t>
      </w:r>
      <w:r>
        <w:rPr/>
        <w:t>become</w:t>
      </w:r>
      <w:r>
        <w:rPr>
          <w:spacing w:val="1"/>
        </w:rPr>
        <w:t> </w:t>
      </w:r>
      <w:r>
        <w:rPr/>
        <w:t>increasingly</w:t>
      </w:r>
      <w:r>
        <w:rPr>
          <w:spacing w:val="-4"/>
        </w:rPr>
        <w:t> </w:t>
      </w:r>
      <w:r>
        <w:rPr/>
        <w:t>disjointed</w:t>
      </w:r>
      <w:r>
        <w:rPr>
          <w:spacing w:val="4"/>
        </w:rPr>
        <w:t> </w:t>
      </w:r>
      <w:r>
        <w:rPr/>
        <w:t>and</w:t>
      </w:r>
      <w:r>
        <w:rPr>
          <w:spacing w:val="1"/>
        </w:rPr>
        <w:t> </w:t>
      </w:r>
      <w:r>
        <w:rPr/>
        <w:t>contains</w:t>
      </w:r>
      <w:r>
        <w:rPr>
          <w:spacing w:val="2"/>
        </w:rPr>
        <w:t> </w:t>
      </w:r>
      <w:r>
        <w:rPr/>
        <w:t>many</w:t>
      </w:r>
      <w:r>
        <w:rPr>
          <w:spacing w:val="-1"/>
        </w:rPr>
        <w:t> </w:t>
      </w:r>
      <w:r>
        <w:rPr>
          <w:spacing w:val="-2"/>
        </w:rPr>
        <w:t>symbolic</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35456">
                <wp:simplePos x="0" y="0"/>
                <wp:positionH relativeFrom="page">
                  <wp:posOffset>2057400</wp:posOffset>
                </wp:positionH>
                <wp:positionV relativeFrom="paragraph">
                  <wp:posOffset>162604</wp:posOffset>
                </wp:positionV>
                <wp:extent cx="3657600" cy="12700"/>
                <wp:effectExtent l="0" t="0" r="0" b="0"/>
                <wp:wrapTopAndBottom/>
                <wp:docPr id="195" name="Graphic 195"/>
                <wp:cNvGraphicFramePr>
                  <a:graphicFrameLocks/>
                </wp:cNvGraphicFramePr>
                <a:graphic>
                  <a:graphicData uri="http://schemas.microsoft.com/office/word/2010/wordprocessingShape">
                    <wps:wsp>
                      <wps:cNvPr id="195" name="Graphic 19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81024;mso-wrap-distance-left:0;mso-wrap-distance-right:0" id="docshape191" filled="true" fillcolor="#000000" stroked="false">
                <v:fill type="solid"/>
                <w10:wrap type="topAndBottom"/>
              </v:rect>
            </w:pict>
          </mc:Fallback>
        </mc:AlternateContent>
      </w:r>
      <w:r>
        <w:rPr>
          <w:rFonts w:ascii="Verdana"/>
          <w:spacing w:val="-5"/>
          <w:sz w:val="18"/>
        </w:rPr>
        <w:t>36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6"/>
        <w:jc w:val="both"/>
      </w:pPr>
      <w:r>
        <w:rPr/>
        <w:t>references. She is observed singing songs that are clearly related to</w:t>
      </w:r>
      <w:r>
        <w:rPr>
          <w:spacing w:val="40"/>
        </w:rPr>
        <w:t> </w:t>
      </w:r>
      <w:r>
        <w:rPr/>
        <w:t>both lost love and betrayal. One moment that clearly demonstrates her state of mind is when she states, “We know what we are, but we know not what we may</w:t>
      </w:r>
      <w:r>
        <w:rPr>
          <w:spacing w:val="-1"/>
        </w:rPr>
        <w:t> </w:t>
      </w:r>
      <w:r>
        <w:rPr/>
        <w:t>be.” This line displays great emotional instability and confusion.</w:t>
      </w:r>
      <w:r>
        <w:rPr>
          <w:spacing w:val="-4"/>
        </w:rPr>
        <w:t> </w:t>
      </w:r>
      <w:r>
        <w:rPr/>
        <w:t>Another important part is when she says, “I would give you some violets, but they all died when my father died.” The picture of dead</w:t>
      </w:r>
      <w:r>
        <w:rPr>
          <w:spacing w:val="40"/>
        </w:rPr>
        <w:t> </w:t>
      </w:r>
      <w:r>
        <w:rPr/>
        <w:t>flowers</w:t>
      </w:r>
      <w:r>
        <w:rPr>
          <w:spacing w:val="40"/>
        </w:rPr>
        <w:t> </w:t>
      </w:r>
      <w:r>
        <w:rPr/>
        <w:t>stands</w:t>
      </w:r>
      <w:r>
        <w:rPr>
          <w:spacing w:val="40"/>
        </w:rPr>
        <w:t> </w:t>
      </w:r>
      <w:r>
        <w:rPr/>
        <w:t>for</w:t>
      </w:r>
      <w:r>
        <w:rPr>
          <w:spacing w:val="40"/>
        </w:rPr>
        <w:t> </w:t>
      </w:r>
      <w:r>
        <w:rPr/>
        <w:t>sadness</w:t>
      </w:r>
      <w:r>
        <w:rPr>
          <w:spacing w:val="40"/>
        </w:rPr>
        <w:t> </w:t>
      </w:r>
      <w:r>
        <w:rPr/>
        <w:t>and</w:t>
      </w:r>
      <w:r>
        <w:rPr>
          <w:spacing w:val="40"/>
        </w:rPr>
        <w:t> </w:t>
      </w:r>
      <w:r>
        <w:rPr/>
        <w:t>emotional</w:t>
      </w:r>
      <w:r>
        <w:rPr>
          <w:spacing w:val="40"/>
        </w:rPr>
        <w:t> </w:t>
      </w:r>
      <w:r>
        <w:rPr/>
        <w:t>loss.</w:t>
      </w:r>
    </w:p>
    <w:p>
      <w:pPr>
        <w:pStyle w:val="BodyText"/>
        <w:spacing w:line="249" w:lineRule="auto" w:before="64"/>
        <w:ind w:right="1440" w:firstLine="432"/>
        <w:jc w:val="both"/>
      </w:pPr>
      <w:r>
        <w:rPr/>
        <w:t>Ophelia’s insanity may be viewed as a psychological reaction to trauma,</w:t>
      </w:r>
      <w:r>
        <w:rPr>
          <w:spacing w:val="-4"/>
        </w:rPr>
        <w:t> </w:t>
      </w:r>
      <w:r>
        <w:rPr/>
        <w:t>sorrow,</w:t>
      </w:r>
      <w:r>
        <w:rPr>
          <w:spacing w:val="-4"/>
        </w:rPr>
        <w:t> </w:t>
      </w:r>
      <w:r>
        <w:rPr/>
        <w:t>and</w:t>
      </w:r>
      <w:r>
        <w:rPr>
          <w:spacing w:val="-3"/>
        </w:rPr>
        <w:t> </w:t>
      </w:r>
      <w:r>
        <w:rPr/>
        <w:t>suppression.</w:t>
      </w:r>
      <w:r>
        <w:rPr>
          <w:spacing w:val="-4"/>
        </w:rPr>
        <w:t> </w:t>
      </w:r>
      <w:r>
        <w:rPr/>
        <w:t>Shakespeare’s</w:t>
      </w:r>
      <w:r>
        <w:rPr>
          <w:spacing w:val="-3"/>
        </w:rPr>
        <w:t> </w:t>
      </w:r>
      <w:r>
        <w:rPr/>
        <w:t>depiction</w:t>
      </w:r>
      <w:r>
        <w:rPr>
          <w:spacing w:val="-6"/>
        </w:rPr>
        <w:t> </w:t>
      </w:r>
      <w:r>
        <w:rPr/>
        <w:t>of</w:t>
      </w:r>
      <w:r>
        <w:rPr>
          <w:spacing w:val="-6"/>
        </w:rPr>
        <w:t> </w:t>
      </w:r>
      <w:r>
        <w:rPr/>
        <w:t>her</w:t>
      </w:r>
      <w:r>
        <w:rPr>
          <w:spacing w:val="-3"/>
        </w:rPr>
        <w:t> </w:t>
      </w:r>
      <w:r>
        <w:rPr/>
        <w:t>mental deterioration underscores the fragility of women devoid of emotional support</w:t>
      </w:r>
      <w:r>
        <w:rPr>
          <w:spacing w:val="40"/>
        </w:rPr>
        <w:t> </w:t>
      </w:r>
      <w:r>
        <w:rPr/>
        <w:t>and</w:t>
      </w:r>
      <w:r>
        <w:rPr>
          <w:spacing w:val="40"/>
        </w:rPr>
        <w:t> </w:t>
      </w:r>
      <w:r>
        <w:rPr/>
        <w:t>social</w:t>
      </w:r>
      <w:r>
        <w:rPr>
          <w:spacing w:val="40"/>
        </w:rPr>
        <w:t> </w:t>
      </w:r>
      <w:r>
        <w:rPr/>
        <w:t>autonomy.</w:t>
      </w:r>
    </w:p>
    <w:p>
      <w:pPr>
        <w:pStyle w:val="Heading5"/>
        <w:numPr>
          <w:ilvl w:val="0"/>
          <w:numId w:val="12"/>
        </w:numPr>
        <w:tabs>
          <w:tab w:pos="1738" w:val="left" w:leader="none"/>
        </w:tabs>
        <w:spacing w:line="240" w:lineRule="auto" w:before="110" w:after="0"/>
        <w:ind w:left="1738" w:right="0" w:hanging="298"/>
        <w:jc w:val="left"/>
      </w:pPr>
      <w:r>
        <w:rPr>
          <w:w w:val="105"/>
        </w:rPr>
        <w:t>Lady</w:t>
      </w:r>
      <w:r>
        <w:rPr>
          <w:spacing w:val="79"/>
          <w:w w:val="105"/>
        </w:rPr>
        <w:t> </w:t>
      </w:r>
      <w:r>
        <w:rPr>
          <w:w w:val="105"/>
        </w:rPr>
        <w:t>Macbeth</w:t>
      </w:r>
      <w:r>
        <w:rPr>
          <w:spacing w:val="77"/>
          <w:w w:val="105"/>
        </w:rPr>
        <w:t> </w:t>
      </w:r>
      <w:r>
        <w:rPr>
          <w:w w:val="105"/>
        </w:rPr>
        <w:t>and</w:t>
      </w:r>
      <w:r>
        <w:rPr>
          <w:spacing w:val="78"/>
          <w:w w:val="105"/>
        </w:rPr>
        <w:t> </w:t>
      </w:r>
      <w:r>
        <w:rPr>
          <w:w w:val="105"/>
        </w:rPr>
        <w:t>the</w:t>
      </w:r>
      <w:r>
        <w:rPr>
          <w:spacing w:val="77"/>
          <w:w w:val="105"/>
        </w:rPr>
        <w:t> </w:t>
      </w:r>
      <w:r>
        <w:rPr>
          <w:w w:val="105"/>
        </w:rPr>
        <w:t>Burden</w:t>
      </w:r>
      <w:r>
        <w:rPr>
          <w:spacing w:val="58"/>
          <w:w w:val="150"/>
        </w:rPr>
        <w:t> </w:t>
      </w:r>
      <w:r>
        <w:rPr>
          <w:w w:val="105"/>
        </w:rPr>
        <w:t>of</w:t>
      </w:r>
      <w:r>
        <w:rPr>
          <w:spacing w:val="58"/>
          <w:w w:val="150"/>
        </w:rPr>
        <w:t> </w:t>
      </w:r>
      <w:r>
        <w:rPr>
          <w:spacing w:val="-2"/>
          <w:w w:val="105"/>
        </w:rPr>
        <w:t>Guilt</w:t>
      </w:r>
    </w:p>
    <w:p>
      <w:pPr>
        <w:pStyle w:val="BodyText"/>
        <w:spacing w:line="249" w:lineRule="auto" w:before="72"/>
        <w:ind w:right="1441" w:firstLine="432"/>
        <w:jc w:val="both"/>
      </w:pPr>
      <w:r>
        <w:rPr/>
        <w:t>In Shakespeare’s Macbeth, Lady Macbeth is not just a character; she is also a representation of the psychological side of women. When she first shows up in the play, she is ambitious, driven, and ready to challenge</w:t>
      </w:r>
      <w:r>
        <w:rPr>
          <w:spacing w:val="40"/>
        </w:rPr>
        <w:t> </w:t>
      </w:r>
      <w:r>
        <w:rPr/>
        <w:t>the</w:t>
      </w:r>
      <w:r>
        <w:rPr>
          <w:spacing w:val="40"/>
        </w:rPr>
        <w:t> </w:t>
      </w:r>
      <w:r>
        <w:rPr/>
        <w:t>traditional</w:t>
      </w:r>
      <w:r>
        <w:rPr>
          <w:spacing w:val="40"/>
        </w:rPr>
        <w:t> </w:t>
      </w:r>
      <w:r>
        <w:rPr/>
        <w:t>ideas</w:t>
      </w:r>
      <w:r>
        <w:rPr>
          <w:spacing w:val="40"/>
        </w:rPr>
        <w:t> </w:t>
      </w:r>
      <w:r>
        <w:rPr/>
        <w:t>of</w:t>
      </w:r>
      <w:r>
        <w:rPr>
          <w:spacing w:val="40"/>
        </w:rPr>
        <w:t> </w:t>
      </w:r>
      <w:r>
        <w:rPr/>
        <w:t>gender</w:t>
      </w:r>
      <w:r>
        <w:rPr>
          <w:spacing w:val="40"/>
        </w:rPr>
        <w:t> </w:t>
      </w:r>
      <w:r>
        <w:rPr/>
        <w:t>roles.</w:t>
      </w:r>
    </w:p>
    <w:p>
      <w:pPr>
        <w:pStyle w:val="BodyText"/>
        <w:spacing w:line="249" w:lineRule="auto" w:before="61"/>
        <w:ind w:right="1438" w:firstLine="432"/>
        <w:jc w:val="both"/>
      </w:pPr>
      <w:r>
        <w:rPr/>
        <w:t>One of her most famous lines is her plea to supernatural forces: “Come, you spirits that tend on mortal thoughts, unsex me here.” This means that</w:t>
      </w:r>
      <w:r>
        <w:rPr>
          <w:spacing w:val="23"/>
        </w:rPr>
        <w:t> </w:t>
      </w:r>
      <w:r>
        <w:rPr/>
        <w:t>she wants to</w:t>
      </w:r>
      <w:r>
        <w:rPr>
          <w:spacing w:val="25"/>
        </w:rPr>
        <w:t> </w:t>
      </w:r>
      <w:r>
        <w:rPr/>
        <w:t>get rid of the feminine</w:t>
      </w:r>
      <w:r>
        <w:rPr>
          <w:spacing w:val="23"/>
        </w:rPr>
        <w:t> </w:t>
      </w:r>
      <w:r>
        <w:rPr/>
        <w:t>traits that are</w:t>
      </w:r>
      <w:r>
        <w:rPr>
          <w:spacing w:val="23"/>
        </w:rPr>
        <w:t> </w:t>
      </w:r>
      <w:r>
        <w:rPr/>
        <w:t>part of her character so she can gain power. But after Duncan is killed, Lady Macbeth’s mental health gets worse and worse, and she finds it harder and harder to deal with her</w:t>
      </w:r>
      <w:r>
        <w:rPr>
          <w:spacing w:val="-1"/>
        </w:rPr>
        <w:t> </w:t>
      </w:r>
      <w:r>
        <w:rPr/>
        <w:t>guilt.The emotional conflict is</w:t>
      </w:r>
      <w:r>
        <w:rPr>
          <w:spacing w:val="-1"/>
        </w:rPr>
        <w:t> </w:t>
      </w:r>
      <w:r>
        <w:rPr/>
        <w:t>most clear in the scene where she sleepwalks and tries to get rid of imaginary blood on</w:t>
      </w:r>
      <w:r>
        <w:rPr>
          <w:spacing w:val="-3"/>
        </w:rPr>
        <w:t> </w:t>
      </w:r>
      <w:r>
        <w:rPr/>
        <w:t>her hands</w:t>
      </w:r>
      <w:r>
        <w:rPr>
          <w:spacing w:val="-3"/>
        </w:rPr>
        <w:t> </w:t>
      </w:r>
      <w:r>
        <w:rPr/>
        <w:t>by</w:t>
      </w:r>
      <w:r>
        <w:rPr>
          <w:spacing w:val="-3"/>
        </w:rPr>
        <w:t> </w:t>
      </w:r>
      <w:r>
        <w:rPr/>
        <w:t>saying,</w:t>
      </w:r>
      <w:r>
        <w:rPr>
          <w:spacing w:val="-1"/>
        </w:rPr>
        <w:t> </w:t>
      </w:r>
      <w:r>
        <w:rPr/>
        <w:t>“Out, damned</w:t>
      </w:r>
      <w:r>
        <w:rPr>
          <w:spacing w:val="-1"/>
        </w:rPr>
        <w:t> </w:t>
      </w:r>
      <w:r>
        <w:rPr/>
        <w:t>spot!” “Get</w:t>
      </w:r>
      <w:r>
        <w:rPr>
          <w:spacing w:val="-3"/>
        </w:rPr>
        <w:t> </w:t>
      </w:r>
      <w:r>
        <w:rPr/>
        <w:t>out!” I</w:t>
      </w:r>
      <w:r>
        <w:rPr>
          <w:spacing w:val="-1"/>
        </w:rPr>
        <w:t> </w:t>
      </w:r>
      <w:r>
        <w:rPr/>
        <w:t>say.</w:t>
      </w:r>
      <w:r>
        <w:rPr>
          <w:spacing w:val="-1"/>
        </w:rPr>
        <w:t> </w:t>
      </w:r>
      <w:r>
        <w:rPr/>
        <w:t>The</w:t>
      </w:r>
      <w:r>
        <w:rPr>
          <w:spacing w:val="-1"/>
        </w:rPr>
        <w:t> </w:t>
      </w:r>
      <w:r>
        <w:rPr/>
        <w:t>fake blood</w:t>
      </w:r>
      <w:r>
        <w:rPr>
          <w:spacing w:val="40"/>
        </w:rPr>
        <w:t> </w:t>
      </w:r>
      <w:r>
        <w:rPr/>
        <w:t>stands</w:t>
      </w:r>
      <w:r>
        <w:rPr>
          <w:spacing w:val="40"/>
        </w:rPr>
        <w:t> </w:t>
      </w:r>
      <w:r>
        <w:rPr/>
        <w:t>for</w:t>
      </w:r>
      <w:r>
        <w:rPr>
          <w:spacing w:val="40"/>
        </w:rPr>
        <w:t> </w:t>
      </w:r>
      <w:r>
        <w:rPr/>
        <w:t>the</w:t>
      </w:r>
      <w:r>
        <w:rPr>
          <w:spacing w:val="40"/>
        </w:rPr>
        <w:t> </w:t>
      </w:r>
      <w:r>
        <w:rPr/>
        <w:t>guilt</w:t>
      </w:r>
      <w:r>
        <w:rPr>
          <w:spacing w:val="40"/>
        </w:rPr>
        <w:t> </w:t>
      </w:r>
      <w:r>
        <w:rPr/>
        <w:t>that</w:t>
      </w:r>
      <w:r>
        <w:rPr>
          <w:spacing w:val="40"/>
        </w:rPr>
        <w:t> </w:t>
      </w:r>
      <w:r>
        <w:rPr/>
        <w:t>she</w:t>
      </w:r>
      <w:r>
        <w:rPr>
          <w:spacing w:val="40"/>
        </w:rPr>
        <w:t> </w:t>
      </w:r>
      <w:r>
        <w:rPr/>
        <w:t>can’t</w:t>
      </w:r>
      <w:r>
        <w:rPr>
          <w:spacing w:val="40"/>
        </w:rPr>
        <w:t> </w:t>
      </w:r>
      <w:r>
        <w:rPr/>
        <w:t>get</w:t>
      </w:r>
      <w:r>
        <w:rPr>
          <w:spacing w:val="40"/>
        </w:rPr>
        <w:t> </w:t>
      </w:r>
      <w:r>
        <w:rPr/>
        <w:t>away</w:t>
      </w:r>
      <w:r>
        <w:rPr>
          <w:spacing w:val="40"/>
        </w:rPr>
        <w:t> </w:t>
      </w:r>
      <w:r>
        <w:rPr/>
        <w:t>from.</w:t>
      </w:r>
    </w:p>
    <w:p>
      <w:pPr>
        <w:pStyle w:val="BodyText"/>
        <w:spacing w:line="249" w:lineRule="auto" w:before="67"/>
        <w:ind w:right="1435" w:firstLine="432"/>
        <w:jc w:val="both"/>
      </w:pPr>
      <w:r>
        <w:rPr/>
        <w:t>Lady Macbeth’s emotional breakdown at the end of the play shows how having moral conflicts and holding on to guilt can affect your mind. She breaks down because of her own guilt, even though she starts</w:t>
      </w:r>
      <w:r>
        <w:rPr>
          <w:spacing w:val="40"/>
        </w:rPr>
        <w:t> </w:t>
      </w:r>
      <w:r>
        <w:rPr/>
        <w:t>out</w:t>
      </w:r>
      <w:r>
        <w:rPr>
          <w:spacing w:val="40"/>
        </w:rPr>
        <w:t> </w:t>
      </w:r>
      <w:r>
        <w:rPr/>
        <w:t>as</w:t>
      </w:r>
      <w:r>
        <w:rPr>
          <w:spacing w:val="40"/>
        </w:rPr>
        <w:t> </w:t>
      </w:r>
      <w:r>
        <w:rPr/>
        <w:t>a</w:t>
      </w:r>
      <w:r>
        <w:rPr>
          <w:spacing w:val="40"/>
        </w:rPr>
        <w:t> </w:t>
      </w:r>
      <w:r>
        <w:rPr/>
        <w:t>strong</w:t>
      </w:r>
      <w:r>
        <w:rPr>
          <w:spacing w:val="40"/>
        </w:rPr>
        <w:t> </w:t>
      </w:r>
      <w:r>
        <w:rPr/>
        <w:t>and</w:t>
      </w:r>
      <w:r>
        <w:rPr>
          <w:spacing w:val="40"/>
        </w:rPr>
        <w:t> </w:t>
      </w:r>
      <w:r>
        <w:rPr/>
        <w:t>brave</w:t>
      </w:r>
      <w:r>
        <w:rPr>
          <w:spacing w:val="40"/>
        </w:rPr>
        <w:t> </w:t>
      </w:r>
      <w:r>
        <w:rPr/>
        <w:t>person.</w:t>
      </w:r>
    </w:p>
    <w:p>
      <w:pPr>
        <w:pStyle w:val="Heading5"/>
        <w:numPr>
          <w:ilvl w:val="0"/>
          <w:numId w:val="12"/>
        </w:numPr>
        <w:tabs>
          <w:tab w:pos="1747" w:val="left" w:leader="none"/>
        </w:tabs>
        <w:spacing w:line="240" w:lineRule="auto" w:before="111" w:after="0"/>
        <w:ind w:left="1747" w:right="0" w:hanging="307"/>
        <w:jc w:val="left"/>
      </w:pPr>
      <w:r>
        <w:rPr>
          <w:w w:val="105"/>
        </w:rPr>
        <w:t>Desdemona</w:t>
      </w:r>
      <w:r>
        <w:rPr>
          <w:spacing w:val="78"/>
          <w:w w:val="150"/>
        </w:rPr>
        <w:t> </w:t>
      </w:r>
      <w:r>
        <w:rPr>
          <w:w w:val="105"/>
        </w:rPr>
        <w:t>and</w:t>
      </w:r>
      <w:r>
        <w:rPr>
          <w:spacing w:val="26"/>
          <w:w w:val="105"/>
        </w:rPr>
        <w:t>  </w:t>
      </w:r>
      <w:r>
        <w:rPr>
          <w:w w:val="105"/>
        </w:rPr>
        <w:t>Emotional</w:t>
      </w:r>
      <w:r>
        <w:rPr>
          <w:spacing w:val="78"/>
          <w:w w:val="150"/>
        </w:rPr>
        <w:t> </w:t>
      </w:r>
      <w:r>
        <w:rPr>
          <w:spacing w:val="-2"/>
          <w:w w:val="105"/>
        </w:rPr>
        <w:t>Trauma</w:t>
      </w:r>
    </w:p>
    <w:p>
      <w:pPr>
        <w:pStyle w:val="BodyText"/>
        <w:spacing w:line="249" w:lineRule="auto" w:before="71"/>
        <w:ind w:right="1438" w:firstLine="432"/>
        <w:jc w:val="both"/>
      </w:pPr>
      <w:r>
        <w:rPr>
          <w:spacing w:val="-2"/>
        </w:rPr>
        <w:t>In</w:t>
      </w:r>
      <w:r>
        <w:rPr>
          <w:spacing w:val="-10"/>
        </w:rPr>
        <w:t> </w:t>
      </w:r>
      <w:r>
        <w:rPr>
          <w:spacing w:val="-2"/>
        </w:rPr>
        <w:t>Shakespeare’s</w:t>
      </w:r>
      <w:r>
        <w:rPr>
          <w:spacing w:val="-11"/>
        </w:rPr>
        <w:t> </w:t>
      </w:r>
      <w:r>
        <w:rPr>
          <w:spacing w:val="-2"/>
        </w:rPr>
        <w:t>tragedy</w:t>
      </w:r>
      <w:r>
        <w:rPr>
          <w:spacing w:val="-10"/>
        </w:rPr>
        <w:t> </w:t>
      </w:r>
      <w:r>
        <w:rPr>
          <w:spacing w:val="-2"/>
        </w:rPr>
        <w:t>Othello,</w:t>
      </w:r>
      <w:r>
        <w:rPr>
          <w:spacing w:val="-6"/>
        </w:rPr>
        <w:t> </w:t>
      </w:r>
      <w:r>
        <w:rPr>
          <w:spacing w:val="-2"/>
        </w:rPr>
        <w:t>we</w:t>
      </w:r>
      <w:r>
        <w:rPr>
          <w:spacing w:val="-6"/>
        </w:rPr>
        <w:t> </w:t>
      </w:r>
      <w:r>
        <w:rPr>
          <w:spacing w:val="-2"/>
        </w:rPr>
        <w:t>see</w:t>
      </w:r>
      <w:r>
        <w:rPr>
          <w:spacing w:val="-8"/>
        </w:rPr>
        <w:t> </w:t>
      </w:r>
      <w:r>
        <w:rPr>
          <w:spacing w:val="-2"/>
        </w:rPr>
        <w:t>Desdemona</w:t>
      </w:r>
      <w:r>
        <w:rPr>
          <w:spacing w:val="-8"/>
        </w:rPr>
        <w:t> </w:t>
      </w:r>
      <w:r>
        <w:rPr>
          <w:spacing w:val="-2"/>
        </w:rPr>
        <w:t>as</w:t>
      </w:r>
      <w:r>
        <w:rPr>
          <w:spacing w:val="-8"/>
        </w:rPr>
        <w:t> </w:t>
      </w:r>
      <w:r>
        <w:rPr>
          <w:spacing w:val="-2"/>
        </w:rPr>
        <w:t>an</w:t>
      </w:r>
      <w:r>
        <w:rPr>
          <w:spacing w:val="-11"/>
        </w:rPr>
        <w:t> </w:t>
      </w:r>
      <w:r>
        <w:rPr>
          <w:spacing w:val="-2"/>
        </w:rPr>
        <w:t>example </w:t>
      </w:r>
      <w:r>
        <w:rPr/>
        <w:t>of</w:t>
      </w:r>
      <w:r>
        <w:rPr>
          <w:spacing w:val="-11"/>
        </w:rPr>
        <w:t> </w:t>
      </w:r>
      <w:r>
        <w:rPr/>
        <w:t>pure</w:t>
      </w:r>
      <w:r>
        <w:rPr>
          <w:spacing w:val="-8"/>
        </w:rPr>
        <w:t> </w:t>
      </w:r>
      <w:r>
        <w:rPr/>
        <w:t>innocence,</w:t>
      </w:r>
      <w:r>
        <w:rPr>
          <w:spacing w:val="-10"/>
        </w:rPr>
        <w:t> </w:t>
      </w:r>
      <w:r>
        <w:rPr/>
        <w:t>unwavering</w:t>
      </w:r>
      <w:r>
        <w:rPr>
          <w:spacing w:val="-10"/>
        </w:rPr>
        <w:t> </w:t>
      </w:r>
      <w:r>
        <w:rPr/>
        <w:t>loyalty,</w:t>
      </w:r>
      <w:r>
        <w:rPr>
          <w:spacing w:val="-10"/>
        </w:rPr>
        <w:t> </w:t>
      </w:r>
      <w:r>
        <w:rPr/>
        <w:t>and</w:t>
      </w:r>
      <w:r>
        <w:rPr>
          <w:spacing w:val="-7"/>
        </w:rPr>
        <w:t> </w:t>
      </w:r>
      <w:r>
        <w:rPr/>
        <w:t>emotional</w:t>
      </w:r>
      <w:r>
        <w:rPr>
          <w:spacing w:val="-10"/>
        </w:rPr>
        <w:t> </w:t>
      </w:r>
      <w:r>
        <w:rPr/>
        <w:t>vulnerability.</w:t>
      </w:r>
      <w:r>
        <w:rPr>
          <w:spacing w:val="-8"/>
        </w:rPr>
        <w:t> </w:t>
      </w:r>
      <w:r>
        <w:rPr/>
        <w:t>Her marriage to Othello appears at first as an expression of personal independence and choice, yet becomes </w:t>
      </w:r>
      <w:r>
        <w:rPr>
          <w:spacing w:val="9"/>
        </w:rPr>
        <w:t>jeopardized</w:t>
      </w:r>
      <w:r>
        <w:rPr>
          <w:spacing w:val="9"/>
        </w:rPr>
        <w:t> </w:t>
      </w:r>
      <w:r>
        <w:rPr/>
        <w:t>by Iago’s manipulative behavior. Othello begins to have suspicions about Desdemona’s fidelity even though there is no indication that anything </w:t>
      </w:r>
      <w:r>
        <w:rPr>
          <w:spacing w:val="-2"/>
        </w:rPr>
        <w:t>has</w:t>
      </w:r>
      <w:r>
        <w:rPr>
          <w:spacing w:val="-7"/>
        </w:rPr>
        <w:t> </w:t>
      </w:r>
      <w:r>
        <w:rPr>
          <w:spacing w:val="-2"/>
        </w:rPr>
        <w:t>occurred.</w:t>
      </w:r>
      <w:r>
        <w:rPr>
          <w:spacing w:val="-5"/>
        </w:rPr>
        <w:t> </w:t>
      </w:r>
      <w:r>
        <w:rPr>
          <w:spacing w:val="-2"/>
        </w:rPr>
        <w:t>The</w:t>
      </w:r>
      <w:r>
        <w:rPr>
          <w:spacing w:val="-7"/>
        </w:rPr>
        <w:t> </w:t>
      </w:r>
      <w:r>
        <w:rPr>
          <w:spacing w:val="-2"/>
        </w:rPr>
        <w:t>resulting</w:t>
      </w:r>
      <w:r>
        <w:rPr>
          <w:spacing w:val="-7"/>
        </w:rPr>
        <w:t> </w:t>
      </w:r>
      <w:r>
        <w:rPr>
          <w:spacing w:val="-2"/>
        </w:rPr>
        <w:t>emotional</w:t>
      </w:r>
      <w:r>
        <w:rPr>
          <w:spacing w:val="-8"/>
        </w:rPr>
        <w:t> </w:t>
      </w:r>
      <w:r>
        <w:rPr>
          <w:spacing w:val="-2"/>
        </w:rPr>
        <w:t>turmoil</w:t>
      </w:r>
      <w:r>
        <w:rPr>
          <w:spacing w:val="-7"/>
        </w:rPr>
        <w:t> </w:t>
      </w:r>
      <w:r>
        <w:rPr>
          <w:spacing w:val="-2"/>
        </w:rPr>
        <w:t>created</w:t>
      </w:r>
      <w:r>
        <w:rPr>
          <w:spacing w:val="-7"/>
        </w:rPr>
        <w:t> </w:t>
      </w:r>
      <w:r>
        <w:rPr>
          <w:spacing w:val="-2"/>
        </w:rPr>
        <w:t>by</w:t>
      </w:r>
      <w:r>
        <w:rPr>
          <w:spacing w:val="-10"/>
        </w:rPr>
        <w:t> </w:t>
      </w:r>
      <w:r>
        <w:rPr>
          <w:spacing w:val="-2"/>
        </w:rPr>
        <w:t>these</w:t>
      </w:r>
      <w:r>
        <w:rPr>
          <w:spacing w:val="-7"/>
        </w:rPr>
        <w:t> </w:t>
      </w:r>
      <w:r>
        <w:rPr>
          <w:spacing w:val="-2"/>
        </w:rPr>
        <w:t>unfounded </w:t>
      </w:r>
      <w:r>
        <w:rPr/>
        <w:t>accusations</w:t>
      </w:r>
      <w:r>
        <w:rPr>
          <w:spacing w:val="8"/>
        </w:rPr>
        <w:t> </w:t>
      </w:r>
      <w:r>
        <w:rPr/>
        <w:t>places</w:t>
      </w:r>
      <w:r>
        <w:rPr>
          <w:spacing w:val="11"/>
        </w:rPr>
        <w:t> </w:t>
      </w:r>
      <w:r>
        <w:rPr/>
        <w:t>a</w:t>
      </w:r>
      <w:r>
        <w:rPr>
          <w:spacing w:val="11"/>
        </w:rPr>
        <w:t> </w:t>
      </w:r>
      <w:r>
        <w:rPr/>
        <w:t>tremendous</w:t>
      </w:r>
      <w:r>
        <w:rPr>
          <w:spacing w:val="8"/>
        </w:rPr>
        <w:t> </w:t>
      </w:r>
      <w:r>
        <w:rPr/>
        <w:t>amount</w:t>
      </w:r>
      <w:r>
        <w:rPr>
          <w:spacing w:val="12"/>
        </w:rPr>
        <w:t> </w:t>
      </w:r>
      <w:r>
        <w:rPr/>
        <w:t>of</w:t>
      </w:r>
      <w:r>
        <w:rPr>
          <w:spacing w:val="8"/>
        </w:rPr>
        <w:t> </w:t>
      </w:r>
      <w:r>
        <w:rPr/>
        <w:t>pressure</w:t>
      </w:r>
      <w:r>
        <w:rPr>
          <w:spacing w:val="12"/>
        </w:rPr>
        <w:t> </w:t>
      </w:r>
      <w:r>
        <w:rPr/>
        <w:t>on</w:t>
      </w:r>
      <w:r>
        <w:rPr>
          <w:spacing w:val="12"/>
        </w:rPr>
        <w:t> </w:t>
      </w:r>
      <w:r>
        <w:rPr/>
        <w:t>Desdemona</w:t>
      </w:r>
      <w:r>
        <w:rPr>
          <w:spacing w:val="11"/>
        </w:rPr>
        <w:t> </w:t>
      </w:r>
      <w:r>
        <w:rPr>
          <w:spacing w:val="-5"/>
        </w:rPr>
        <w:t>to</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35968">
                <wp:simplePos x="0" y="0"/>
                <wp:positionH relativeFrom="page">
                  <wp:posOffset>2065020</wp:posOffset>
                </wp:positionH>
                <wp:positionV relativeFrom="paragraph">
                  <wp:posOffset>795020</wp:posOffset>
                </wp:positionV>
                <wp:extent cx="3657600" cy="12700"/>
                <wp:effectExtent l="0" t="0" r="0" b="0"/>
                <wp:wrapTopAndBottom/>
                <wp:docPr id="196" name="Graphic 196"/>
                <wp:cNvGraphicFramePr>
                  <a:graphicFrameLocks/>
                </wp:cNvGraphicFramePr>
                <a:graphic>
                  <a:graphicData uri="http://schemas.microsoft.com/office/word/2010/wordprocessingShape">
                    <wps:wsp>
                      <wps:cNvPr id="196" name="Graphic 19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80512;mso-wrap-distance-left:0;mso-wrap-distance-right:0" id="docshape192" filled="true" fillcolor="#000000" stroked="false">
                <v:fill type="solid"/>
                <w10:wrap type="topAndBottom"/>
              </v:rect>
            </w:pict>
          </mc:Fallback>
        </mc:AlternateContent>
      </w:r>
      <w:r>
        <w:rPr>
          <w:rFonts w:ascii="Verdana"/>
          <w:sz w:val="18"/>
        </w:rPr>
        <w:t>Psychological</w:t>
      </w:r>
      <w:r>
        <w:rPr>
          <w:rFonts w:ascii="Verdana"/>
          <w:spacing w:val="13"/>
          <w:sz w:val="18"/>
        </w:rPr>
        <w:t> </w:t>
      </w:r>
      <w:r>
        <w:rPr>
          <w:rFonts w:ascii="Verdana"/>
          <w:sz w:val="18"/>
        </w:rPr>
        <w:t>Suffering</w:t>
      </w:r>
      <w:r>
        <w:rPr>
          <w:rFonts w:ascii="Verdana"/>
          <w:spacing w:val="14"/>
          <w:sz w:val="18"/>
        </w:rPr>
        <w:t> </w:t>
      </w:r>
      <w:r>
        <w:rPr>
          <w:rFonts w:ascii="Verdana"/>
          <w:sz w:val="18"/>
        </w:rPr>
        <w:t>and</w:t>
      </w:r>
      <w:r>
        <w:rPr>
          <w:rFonts w:ascii="Verdana"/>
          <w:spacing w:val="14"/>
          <w:sz w:val="18"/>
        </w:rPr>
        <w:t> </w:t>
      </w:r>
      <w:r>
        <w:rPr>
          <w:rFonts w:ascii="Verdana"/>
          <w:sz w:val="18"/>
        </w:rPr>
        <w:t>Gendered</w:t>
      </w:r>
      <w:r>
        <w:rPr>
          <w:rFonts w:ascii="Verdana"/>
          <w:spacing w:val="15"/>
          <w:sz w:val="18"/>
        </w:rPr>
        <w:t> </w:t>
      </w:r>
      <w:r>
        <w:rPr>
          <w:rFonts w:ascii="Verdana"/>
          <w:spacing w:val="-2"/>
          <w:sz w:val="18"/>
        </w:rPr>
        <w:t>Power...</w:t>
      </w:r>
      <w:r>
        <w:rPr>
          <w:sz w:val="18"/>
        </w:rPr>
        <w:tab/>
      </w:r>
      <w:r>
        <w:rPr>
          <w:rFonts w:ascii="Verdana"/>
          <w:spacing w:val="-5"/>
          <w:sz w:val="18"/>
        </w:rPr>
        <w:t>37</w:t>
      </w:r>
    </w:p>
    <w:p>
      <w:pPr>
        <w:pStyle w:val="BodyText"/>
        <w:spacing w:line="249" w:lineRule="auto" w:before="192"/>
        <w:ind w:right="1438"/>
        <w:jc w:val="both"/>
      </w:pPr>
      <w:r>
        <w:rPr/>
        <w:t>convince</w:t>
      </w:r>
      <w:r>
        <w:rPr>
          <w:spacing w:val="-13"/>
        </w:rPr>
        <w:t> </w:t>
      </w:r>
      <w:r>
        <w:rPr/>
        <w:t>Othello</w:t>
      </w:r>
      <w:r>
        <w:rPr>
          <w:spacing w:val="-12"/>
        </w:rPr>
        <w:t> </w:t>
      </w:r>
      <w:r>
        <w:rPr/>
        <w:t>that</w:t>
      </w:r>
      <w:r>
        <w:rPr>
          <w:spacing w:val="-13"/>
        </w:rPr>
        <w:t> </w:t>
      </w:r>
      <w:r>
        <w:rPr/>
        <w:t>he</w:t>
      </w:r>
      <w:r>
        <w:rPr>
          <w:spacing w:val="-12"/>
        </w:rPr>
        <w:t> </w:t>
      </w:r>
      <w:r>
        <w:rPr/>
        <w:t>is</w:t>
      </w:r>
      <w:r>
        <w:rPr>
          <w:spacing w:val="-13"/>
        </w:rPr>
        <w:t> </w:t>
      </w:r>
      <w:r>
        <w:rPr/>
        <w:t>wrong</w:t>
      </w:r>
      <w:r>
        <w:rPr>
          <w:spacing w:val="-12"/>
        </w:rPr>
        <w:t> </w:t>
      </w:r>
      <w:r>
        <w:rPr/>
        <w:t>for</w:t>
      </w:r>
      <w:r>
        <w:rPr>
          <w:spacing w:val="-13"/>
        </w:rPr>
        <w:t> </w:t>
      </w:r>
      <w:r>
        <w:rPr/>
        <w:t>having</w:t>
      </w:r>
      <w:r>
        <w:rPr>
          <w:spacing w:val="-12"/>
        </w:rPr>
        <w:t> </w:t>
      </w:r>
      <w:r>
        <w:rPr/>
        <w:t>these</w:t>
      </w:r>
      <w:r>
        <w:rPr>
          <w:spacing w:val="-13"/>
        </w:rPr>
        <w:t> </w:t>
      </w:r>
      <w:r>
        <w:rPr/>
        <w:t>feelings.</w:t>
      </w:r>
      <w:r>
        <w:rPr>
          <w:spacing w:val="-12"/>
        </w:rPr>
        <w:t> </w:t>
      </w:r>
      <w:r>
        <w:rPr/>
        <w:t>Nonetheless, Desdemona’s attempts to give Othello the reassurance he seeks are continuously ignored. Earlier in the play, Desdemona states; “My lord, my lord, I believe you are mistaken. Is it possible to love two men at</w:t>
      </w:r>
      <w:r>
        <w:rPr>
          <w:spacing w:val="40"/>
        </w:rPr>
        <w:t> </w:t>
      </w:r>
      <w:r>
        <w:rPr/>
        <w:t>the same time?” Here we see that there is a considerable amount of tension in the relationship between Desdemona as a daughter and Desdemona as a wife. At the time of her final moments in the play, Desdemona refuses to hold Othello responsible for the actions which </w:t>
      </w:r>
      <w:r>
        <w:rPr>
          <w:spacing w:val="-2"/>
        </w:rPr>
        <w:t>have</w:t>
      </w:r>
      <w:r>
        <w:rPr>
          <w:spacing w:val="-9"/>
        </w:rPr>
        <w:t> </w:t>
      </w:r>
      <w:r>
        <w:rPr>
          <w:spacing w:val="-2"/>
        </w:rPr>
        <w:t>led</w:t>
      </w:r>
      <w:r>
        <w:rPr>
          <w:spacing w:val="-6"/>
        </w:rPr>
        <w:t> </w:t>
      </w:r>
      <w:r>
        <w:rPr>
          <w:spacing w:val="-2"/>
        </w:rPr>
        <w:t>to</w:t>
      </w:r>
      <w:r>
        <w:rPr>
          <w:spacing w:val="-6"/>
        </w:rPr>
        <w:t> </w:t>
      </w:r>
      <w:r>
        <w:rPr>
          <w:spacing w:val="-2"/>
        </w:rPr>
        <w:t>her</w:t>
      </w:r>
      <w:r>
        <w:rPr>
          <w:spacing w:val="-6"/>
        </w:rPr>
        <w:t> </w:t>
      </w:r>
      <w:r>
        <w:rPr>
          <w:spacing w:val="-2"/>
        </w:rPr>
        <w:t>demise;</w:t>
      </w:r>
      <w:r>
        <w:rPr>
          <w:spacing w:val="-9"/>
        </w:rPr>
        <w:t> </w:t>
      </w:r>
      <w:r>
        <w:rPr>
          <w:spacing w:val="-2"/>
        </w:rPr>
        <w:t>“Nobody.</w:t>
      </w:r>
      <w:r>
        <w:rPr>
          <w:spacing w:val="-4"/>
        </w:rPr>
        <w:t> </w:t>
      </w:r>
      <w:r>
        <w:rPr>
          <w:spacing w:val="-2"/>
        </w:rPr>
        <w:t>I</w:t>
      </w:r>
      <w:r>
        <w:rPr>
          <w:spacing w:val="-4"/>
        </w:rPr>
        <w:t> </w:t>
      </w:r>
      <w:r>
        <w:rPr>
          <w:spacing w:val="-2"/>
        </w:rPr>
        <w:t>am</w:t>
      </w:r>
      <w:r>
        <w:rPr>
          <w:spacing w:val="-11"/>
        </w:rPr>
        <w:t> </w:t>
      </w:r>
      <w:r>
        <w:rPr>
          <w:spacing w:val="-2"/>
        </w:rPr>
        <w:t>guilty.</w:t>
      </w:r>
      <w:r>
        <w:rPr>
          <w:spacing w:val="-6"/>
        </w:rPr>
        <w:t> </w:t>
      </w:r>
      <w:r>
        <w:rPr>
          <w:spacing w:val="-2"/>
        </w:rPr>
        <w:t>Farewell.”</w:t>
      </w:r>
      <w:r>
        <w:rPr>
          <w:spacing w:val="-9"/>
        </w:rPr>
        <w:t> </w:t>
      </w:r>
      <w:r>
        <w:rPr>
          <w:spacing w:val="-2"/>
        </w:rPr>
        <w:t>This</w:t>
      </w:r>
      <w:r>
        <w:rPr>
          <w:spacing w:val="-9"/>
        </w:rPr>
        <w:t> </w:t>
      </w:r>
      <w:r>
        <w:rPr>
          <w:spacing w:val="-2"/>
        </w:rPr>
        <w:t>devastating </w:t>
      </w:r>
      <w:r>
        <w:rPr/>
        <w:t>remark demonstrates her innocence and shows the oppressive power that existed in the marriage. Through the character of Desdemona, Shakespeare explores the mental consequences of passion, jealousy, mistrust, and patriarchal domination.</w:t>
      </w:r>
    </w:p>
    <w:p>
      <w:pPr>
        <w:pStyle w:val="BodyText"/>
        <w:spacing w:line="249" w:lineRule="auto" w:before="68"/>
        <w:ind w:right="1438" w:firstLine="432"/>
        <w:jc w:val="both"/>
      </w:pPr>
      <w:r>
        <w:rPr/>
        <w:t>Although</w:t>
      </w:r>
      <w:r>
        <w:rPr>
          <w:spacing w:val="-13"/>
        </w:rPr>
        <w:t> </w:t>
      </w:r>
      <w:r>
        <w:rPr/>
        <w:t>these</w:t>
      </w:r>
      <w:r>
        <w:rPr>
          <w:spacing w:val="-12"/>
        </w:rPr>
        <w:t> </w:t>
      </w:r>
      <w:r>
        <w:rPr/>
        <w:t>characters</w:t>
      </w:r>
      <w:r>
        <w:rPr>
          <w:spacing w:val="-13"/>
        </w:rPr>
        <w:t> </w:t>
      </w:r>
      <w:r>
        <w:rPr/>
        <w:t>experience</w:t>
      </w:r>
      <w:r>
        <w:rPr>
          <w:spacing w:val="-12"/>
        </w:rPr>
        <w:t> </w:t>
      </w:r>
      <w:r>
        <w:rPr/>
        <w:t>different</w:t>
      </w:r>
      <w:r>
        <w:rPr>
          <w:spacing w:val="-13"/>
        </w:rPr>
        <w:t> </w:t>
      </w:r>
      <w:r>
        <w:rPr/>
        <w:t>circumstances,</w:t>
      </w:r>
      <w:r>
        <w:rPr>
          <w:spacing w:val="-12"/>
        </w:rPr>
        <w:t> </w:t>
      </w:r>
      <w:r>
        <w:rPr/>
        <w:t>their psychological</w:t>
      </w:r>
      <w:r>
        <w:rPr>
          <w:spacing w:val="-11"/>
        </w:rPr>
        <w:t> </w:t>
      </w:r>
      <w:r>
        <w:rPr/>
        <w:t>suffering</w:t>
      </w:r>
      <w:r>
        <w:rPr>
          <w:spacing w:val="-10"/>
        </w:rPr>
        <w:t> </w:t>
      </w:r>
      <w:r>
        <w:rPr/>
        <w:t>reveals</w:t>
      </w:r>
      <w:r>
        <w:rPr>
          <w:spacing w:val="-11"/>
        </w:rPr>
        <w:t> </w:t>
      </w:r>
      <w:r>
        <w:rPr/>
        <w:t>a</w:t>
      </w:r>
      <w:r>
        <w:rPr>
          <w:spacing w:val="-9"/>
        </w:rPr>
        <w:t> </w:t>
      </w:r>
      <w:r>
        <w:rPr/>
        <w:t>common</w:t>
      </w:r>
      <w:r>
        <w:rPr>
          <w:spacing w:val="-13"/>
        </w:rPr>
        <w:t> </w:t>
      </w:r>
      <w:r>
        <w:rPr/>
        <w:t>pattern</w:t>
      </w:r>
      <w:r>
        <w:rPr>
          <w:spacing w:val="-9"/>
        </w:rPr>
        <w:t> </w:t>
      </w:r>
      <w:r>
        <w:rPr/>
        <w:t>within</w:t>
      </w:r>
      <w:r>
        <w:rPr>
          <w:spacing w:val="-11"/>
        </w:rPr>
        <w:t> </w:t>
      </w:r>
      <w:r>
        <w:rPr/>
        <w:t>Shakespearean </w:t>
      </w:r>
      <w:r>
        <w:rPr>
          <w:spacing w:val="-2"/>
        </w:rPr>
        <w:t>tragedy. Ophelia’s madness</w:t>
      </w:r>
      <w:r>
        <w:rPr>
          <w:spacing w:val="-3"/>
        </w:rPr>
        <w:t> </w:t>
      </w:r>
      <w:r>
        <w:rPr>
          <w:spacing w:val="-2"/>
        </w:rPr>
        <w:t>reflects</w:t>
      </w:r>
      <w:r>
        <w:rPr>
          <w:spacing w:val="-3"/>
        </w:rPr>
        <w:t> </w:t>
      </w:r>
      <w:r>
        <w:rPr>
          <w:spacing w:val="-2"/>
        </w:rPr>
        <w:t>emotional repression and grief,</w:t>
      </w:r>
      <w:r>
        <w:rPr>
          <w:spacing w:val="-3"/>
        </w:rPr>
        <w:t> </w:t>
      </w:r>
      <w:r>
        <w:rPr>
          <w:spacing w:val="-2"/>
        </w:rPr>
        <w:t>Lady </w:t>
      </w:r>
      <w:r>
        <w:rPr/>
        <w:t>Macbeth’s breakdown illustrates the destructive consequences of guilt and ambition, and Desdemona’s tragedy exposes the vulnerability of women subjected to patriarchal suspicion and control. By presenting these distinct forms of suffering, Shakespeare illustrates how gendered power structures shape women’s mental and emotional experiences in multiple ways.</w:t>
      </w:r>
    </w:p>
    <w:p>
      <w:pPr>
        <w:pStyle w:val="Heading5"/>
        <w:numPr>
          <w:ilvl w:val="0"/>
          <w:numId w:val="12"/>
        </w:numPr>
        <w:tabs>
          <w:tab w:pos="1747" w:val="left" w:leader="none"/>
        </w:tabs>
        <w:spacing w:line="240" w:lineRule="auto" w:before="115" w:after="0"/>
        <w:ind w:left="1747" w:right="0" w:hanging="307"/>
        <w:jc w:val="left"/>
      </w:pPr>
      <w:r>
        <w:rPr/>
        <w:t>Patriarchy</w:t>
      </w:r>
      <w:r>
        <w:rPr>
          <w:spacing w:val="32"/>
        </w:rPr>
        <w:t>  </w:t>
      </w:r>
      <w:r>
        <w:rPr/>
        <w:t>and</w:t>
      </w:r>
      <w:r>
        <w:rPr>
          <w:spacing w:val="34"/>
        </w:rPr>
        <w:t>  </w:t>
      </w:r>
      <w:r>
        <w:rPr/>
        <w:t>Women’s</w:t>
      </w:r>
      <w:r>
        <w:rPr>
          <w:spacing w:val="32"/>
        </w:rPr>
        <w:t>  </w:t>
      </w:r>
      <w:r>
        <w:rPr/>
        <w:t>Mental</w:t>
      </w:r>
      <w:r>
        <w:rPr>
          <w:spacing w:val="32"/>
        </w:rPr>
        <w:t>  </w:t>
      </w:r>
      <w:r>
        <w:rPr>
          <w:spacing w:val="-2"/>
        </w:rPr>
        <w:t>Health</w:t>
      </w:r>
    </w:p>
    <w:p>
      <w:pPr>
        <w:pStyle w:val="BodyText"/>
        <w:spacing w:line="249" w:lineRule="auto" w:before="72"/>
        <w:ind w:right="1438" w:firstLine="432"/>
        <w:jc w:val="both"/>
      </w:pPr>
      <w:r>
        <w:rPr/>
        <w:t>Shakespeare indicates how the structure of patriarchal society shapes women’s emotions through the experiences of his three major female</w:t>
      </w:r>
      <w:r>
        <w:rPr>
          <w:spacing w:val="-1"/>
        </w:rPr>
        <w:t> </w:t>
      </w:r>
      <w:r>
        <w:rPr/>
        <w:t>characters: Ophelia,</w:t>
      </w:r>
      <w:r>
        <w:rPr>
          <w:spacing w:val="-1"/>
        </w:rPr>
        <w:t> </w:t>
      </w:r>
      <w:r>
        <w:rPr/>
        <w:t>Lady</w:t>
      </w:r>
      <w:r>
        <w:rPr>
          <w:spacing w:val="-3"/>
        </w:rPr>
        <w:t> </w:t>
      </w:r>
      <w:r>
        <w:rPr/>
        <w:t>Macbeth, and Desdemona.</w:t>
      </w:r>
      <w:r>
        <w:rPr>
          <w:spacing w:val="-3"/>
        </w:rPr>
        <w:t> </w:t>
      </w:r>
      <w:r>
        <w:rPr/>
        <w:t>Women</w:t>
      </w:r>
      <w:r>
        <w:rPr>
          <w:spacing w:val="-1"/>
        </w:rPr>
        <w:t> </w:t>
      </w:r>
      <w:r>
        <w:rPr/>
        <w:t>in many of Shakespeare’s plays have been depicted as obliged to obey their fathers or their husbands or a male ruler. They must fulfil their duties</w:t>
      </w:r>
      <w:r>
        <w:rPr>
          <w:spacing w:val="40"/>
        </w:rPr>
        <w:t> </w:t>
      </w:r>
      <w:r>
        <w:rPr/>
        <w:t>and</w:t>
      </w:r>
      <w:r>
        <w:rPr>
          <w:spacing w:val="40"/>
        </w:rPr>
        <w:t> </w:t>
      </w:r>
      <w:r>
        <w:rPr/>
        <w:t>be</w:t>
      </w:r>
      <w:r>
        <w:rPr>
          <w:spacing w:val="40"/>
        </w:rPr>
        <w:t> </w:t>
      </w:r>
      <w:r>
        <w:rPr/>
        <w:t>submissive</w:t>
      </w:r>
      <w:r>
        <w:rPr>
          <w:spacing w:val="40"/>
        </w:rPr>
        <w:t> </w:t>
      </w:r>
      <w:r>
        <w:rPr/>
        <w:t>to</w:t>
      </w:r>
      <w:r>
        <w:rPr>
          <w:spacing w:val="40"/>
        </w:rPr>
        <w:t> </w:t>
      </w:r>
      <w:r>
        <w:rPr/>
        <w:t>these</w:t>
      </w:r>
      <w:r>
        <w:rPr>
          <w:spacing w:val="40"/>
        </w:rPr>
        <w:t> </w:t>
      </w:r>
      <w:r>
        <w:rPr/>
        <w:t>figures</w:t>
      </w:r>
      <w:r>
        <w:rPr>
          <w:spacing w:val="40"/>
        </w:rPr>
        <w:t> </w:t>
      </w:r>
      <w:r>
        <w:rPr/>
        <w:t>of</w:t>
      </w:r>
      <w:r>
        <w:rPr>
          <w:spacing w:val="40"/>
        </w:rPr>
        <w:t> </w:t>
      </w:r>
      <w:r>
        <w:rPr/>
        <w:t>authority.</w:t>
      </w:r>
    </w:p>
    <w:p>
      <w:pPr>
        <w:pStyle w:val="BodyText"/>
        <w:spacing w:line="249" w:lineRule="auto" w:before="62"/>
        <w:ind w:right="1439" w:firstLine="432"/>
        <w:jc w:val="both"/>
      </w:pPr>
      <w:r>
        <w:rPr/>
        <w:t>These</w:t>
      </w:r>
      <w:r>
        <w:rPr>
          <w:spacing w:val="-1"/>
        </w:rPr>
        <w:t> </w:t>
      </w:r>
      <w:r>
        <w:rPr/>
        <w:t>expectations</w:t>
      </w:r>
      <w:r>
        <w:rPr>
          <w:spacing w:val="-1"/>
        </w:rPr>
        <w:t> </w:t>
      </w:r>
      <w:r>
        <w:rPr/>
        <w:t>limit</w:t>
      </w:r>
      <w:r>
        <w:rPr>
          <w:spacing w:val="-1"/>
        </w:rPr>
        <w:t> </w:t>
      </w:r>
      <w:r>
        <w:rPr/>
        <w:t>the independence</w:t>
      </w:r>
      <w:r>
        <w:rPr>
          <w:spacing w:val="-3"/>
        </w:rPr>
        <w:t> </w:t>
      </w:r>
      <w:r>
        <w:rPr/>
        <w:t>of</w:t>
      </w:r>
      <w:r>
        <w:rPr>
          <w:spacing w:val="-2"/>
        </w:rPr>
        <w:t> </w:t>
      </w:r>
      <w:r>
        <w:rPr/>
        <w:t>women</w:t>
      </w:r>
      <w:r>
        <w:rPr>
          <w:spacing w:val="-2"/>
        </w:rPr>
        <w:t> </w:t>
      </w:r>
      <w:r>
        <w:rPr/>
        <w:t>and result</w:t>
      </w:r>
      <w:r>
        <w:rPr>
          <w:spacing w:val="-1"/>
        </w:rPr>
        <w:t> </w:t>
      </w:r>
      <w:r>
        <w:rPr/>
        <w:t>in emotional repression, which is a significant factor for many of the psychological difficulties that Shakespeare’s female characters face. Feminist critics argue that the experiences of these characters have a direct link to societal factors.</w:t>
      </w:r>
    </w:p>
    <w:p>
      <w:pPr>
        <w:pStyle w:val="BodyText"/>
        <w:spacing w:line="249" w:lineRule="auto" w:before="64"/>
        <w:ind w:right="1439" w:firstLine="432"/>
        <w:jc w:val="both"/>
      </w:pPr>
      <w:r>
        <w:rPr/>
        <w:t>By depicting female characters suffering from madness and emotional trauma due to their inability</w:t>
      </w:r>
      <w:r>
        <w:rPr>
          <w:spacing w:val="-5"/>
        </w:rPr>
        <w:t> </w:t>
      </w:r>
      <w:r>
        <w:rPr/>
        <w:t>to satisfy</w:t>
      </w:r>
      <w:r>
        <w:rPr>
          <w:spacing w:val="-3"/>
        </w:rPr>
        <w:t> </w:t>
      </w:r>
      <w:r>
        <w:rPr/>
        <w:t>the expectations of the patriarchal society governing their lives, Shakespeare illustrates the intricate connection between gender, power, and psychological well-</w:t>
      </w:r>
      <w:r>
        <w:rPr>
          <w:spacing w:val="-2"/>
        </w:rPr>
        <w:t>being.7.</w:t>
      </w:r>
    </w:p>
    <w:p>
      <w:pPr>
        <w:pStyle w:val="BodyText"/>
        <w:spacing w:after="0" w:line="249"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5777280">
                <wp:simplePos x="0" y="0"/>
                <wp:positionH relativeFrom="page">
                  <wp:posOffset>2057400</wp:posOffset>
                </wp:positionH>
                <wp:positionV relativeFrom="paragraph">
                  <wp:posOffset>226097</wp:posOffset>
                </wp:positionV>
                <wp:extent cx="3657600" cy="12700"/>
                <wp:effectExtent l="0" t="0" r="0" b="0"/>
                <wp:wrapNone/>
                <wp:docPr id="197" name="Graphic 197"/>
                <wp:cNvGraphicFramePr>
                  <a:graphicFrameLocks/>
                </wp:cNvGraphicFramePr>
                <a:graphic>
                  <a:graphicData uri="http://schemas.microsoft.com/office/word/2010/wordprocessingShape">
                    <wps:wsp>
                      <wps:cNvPr id="197" name="Graphic 19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5777280" id="docshape193" filled="true" fillcolor="#000000" stroked="false">
                <v:fill type="solid"/>
                <w10:wrap type="none"/>
              </v:rect>
            </w:pict>
          </mc:Fallback>
        </mc:AlternateContent>
      </w:r>
      <w:r>
        <w:rPr>
          <w:rFonts w:ascii="Verdana"/>
          <w:spacing w:val="-5"/>
          <w:w w:val="95"/>
          <w:sz w:val="18"/>
        </w:rPr>
        <w:t>38</w:t>
      </w:r>
    </w:p>
    <w:p>
      <w:pPr>
        <w:pStyle w:val="BodyText"/>
        <w:spacing w:before="10"/>
        <w:ind w:left="0"/>
        <w:rPr>
          <w:rFonts w:ascii="Verdana"/>
          <w:sz w:val="18"/>
        </w:rPr>
      </w:pPr>
    </w:p>
    <w:p>
      <w:pPr>
        <w:pStyle w:val="Heading3"/>
        <w:spacing w:before="1"/>
      </w:pPr>
      <w:r>
        <w:rPr>
          <w:spacing w:val="-9"/>
        </w:rPr>
        <w:t>CONCLUSION</w:t>
      </w:r>
    </w:p>
    <w:p>
      <w:pPr>
        <w:spacing w:before="100"/>
        <w:ind w:left="1327"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2953" w:space="40"/>
            <w:col w:w="5647"/>
          </w:cols>
        </w:sectPr>
      </w:pPr>
    </w:p>
    <w:p>
      <w:pPr>
        <w:pStyle w:val="BodyText"/>
        <w:spacing w:line="261" w:lineRule="auto" w:before="82"/>
        <w:ind w:right="1437" w:firstLine="432"/>
        <w:jc w:val="both"/>
      </w:pPr>
      <w:r>
        <w:rPr/>
        <w:t>Tragedies by</w:t>
      </w:r>
      <w:r>
        <w:rPr>
          <w:spacing w:val="-7"/>
        </w:rPr>
        <w:t> </w:t>
      </w:r>
      <w:r>
        <w:rPr/>
        <w:t>William</w:t>
      </w:r>
      <w:r>
        <w:rPr>
          <w:spacing w:val="-3"/>
        </w:rPr>
        <w:t> </w:t>
      </w:r>
      <w:r>
        <w:rPr/>
        <w:t>Shakespeare</w:t>
      </w:r>
      <w:r>
        <w:rPr>
          <w:spacing w:val="-1"/>
        </w:rPr>
        <w:t> </w:t>
      </w:r>
      <w:r>
        <w:rPr/>
        <w:t>insight into both</w:t>
      </w:r>
      <w:r>
        <w:rPr>
          <w:spacing w:val="-3"/>
        </w:rPr>
        <w:t> </w:t>
      </w:r>
      <w:r>
        <w:rPr/>
        <w:t>the emotional and psychological experiences of female characters in male dominated societies</w:t>
      </w:r>
      <w:r>
        <w:rPr>
          <w:spacing w:val="-4"/>
        </w:rPr>
        <w:t> </w:t>
      </w:r>
      <w:r>
        <w:rPr/>
        <w:t>throughout</w:t>
      </w:r>
      <w:r>
        <w:rPr>
          <w:spacing w:val="-3"/>
        </w:rPr>
        <w:t> </w:t>
      </w:r>
      <w:r>
        <w:rPr/>
        <w:t>his</w:t>
      </w:r>
      <w:r>
        <w:rPr>
          <w:spacing w:val="-3"/>
        </w:rPr>
        <w:t> </w:t>
      </w:r>
      <w:r>
        <w:rPr/>
        <w:t>plays.</w:t>
      </w:r>
      <w:r>
        <w:rPr>
          <w:spacing w:val="-4"/>
        </w:rPr>
        <w:t> </w:t>
      </w:r>
      <w:r>
        <w:rPr/>
        <w:t>Shakespeare’s</w:t>
      </w:r>
      <w:r>
        <w:rPr>
          <w:spacing w:val="-3"/>
        </w:rPr>
        <w:t> </w:t>
      </w:r>
      <w:r>
        <w:rPr/>
        <w:t>female</w:t>
      </w:r>
      <w:r>
        <w:rPr>
          <w:spacing w:val="-3"/>
        </w:rPr>
        <w:t> </w:t>
      </w:r>
      <w:r>
        <w:rPr/>
        <w:t>protagonists-</w:t>
      </w:r>
      <w:r>
        <w:rPr>
          <w:spacing w:val="-4"/>
        </w:rPr>
        <w:t> </w:t>
      </w:r>
      <w:r>
        <w:rPr/>
        <w:t>most notably, Ophelia from Hamlet, Lady Macbeth from Macbeth, and Desdemona</w:t>
      </w:r>
      <w:r>
        <w:rPr>
          <w:spacing w:val="-3"/>
        </w:rPr>
        <w:t> </w:t>
      </w:r>
      <w:r>
        <w:rPr/>
        <w:t>from</w:t>
      </w:r>
      <w:r>
        <w:rPr>
          <w:spacing w:val="-5"/>
        </w:rPr>
        <w:t> </w:t>
      </w:r>
      <w:r>
        <w:rPr/>
        <w:t>Othello</w:t>
      </w:r>
      <w:r>
        <w:rPr>
          <w:spacing w:val="-3"/>
        </w:rPr>
        <w:t> </w:t>
      </w:r>
      <w:r>
        <w:rPr/>
        <w:t>depict</w:t>
      </w:r>
      <w:r>
        <w:rPr>
          <w:spacing w:val="-1"/>
        </w:rPr>
        <w:t> </w:t>
      </w:r>
      <w:r>
        <w:rPr/>
        <w:t>a</w:t>
      </w:r>
      <w:r>
        <w:rPr>
          <w:spacing w:val="-4"/>
        </w:rPr>
        <w:t> </w:t>
      </w:r>
      <w:r>
        <w:rPr/>
        <w:t>complex</w:t>
      </w:r>
      <w:r>
        <w:rPr>
          <w:spacing w:val="-3"/>
        </w:rPr>
        <w:t> </w:t>
      </w:r>
      <w:r>
        <w:rPr/>
        <w:t>range</w:t>
      </w:r>
      <w:r>
        <w:rPr>
          <w:spacing w:val="-4"/>
        </w:rPr>
        <w:t> </w:t>
      </w:r>
      <w:r>
        <w:rPr/>
        <w:t>of</w:t>
      </w:r>
      <w:r>
        <w:rPr>
          <w:spacing w:val="-3"/>
        </w:rPr>
        <w:t> </w:t>
      </w:r>
      <w:r>
        <w:rPr/>
        <w:t>experiences</w:t>
      </w:r>
      <w:r>
        <w:rPr>
          <w:spacing w:val="-4"/>
        </w:rPr>
        <w:t> </w:t>
      </w:r>
      <w:r>
        <w:rPr/>
        <w:t>related to their mental health, including madness, guilt, sorrow, and emotional fragility. By writing about these emotions and struggles, Shakespeare represents how women’s mental well-being is affected negatively by many</w:t>
      </w:r>
      <w:r>
        <w:rPr>
          <w:spacing w:val="-5"/>
        </w:rPr>
        <w:t> </w:t>
      </w:r>
      <w:r>
        <w:rPr/>
        <w:t>factors outside</w:t>
      </w:r>
      <w:r>
        <w:rPr>
          <w:spacing w:val="-2"/>
        </w:rPr>
        <w:t> </w:t>
      </w:r>
      <w:r>
        <w:rPr/>
        <w:t>of</w:t>
      </w:r>
      <w:r>
        <w:rPr>
          <w:spacing w:val="-3"/>
        </w:rPr>
        <w:t> </w:t>
      </w:r>
      <w:r>
        <w:rPr/>
        <w:t>themselves,</w:t>
      </w:r>
      <w:r>
        <w:rPr>
          <w:spacing w:val="-1"/>
        </w:rPr>
        <w:t> </w:t>
      </w:r>
      <w:r>
        <w:rPr/>
        <w:t>such</w:t>
      </w:r>
      <w:r>
        <w:rPr>
          <w:spacing w:val="-1"/>
        </w:rPr>
        <w:t> </w:t>
      </w:r>
      <w:r>
        <w:rPr/>
        <w:t>as</w:t>
      </w:r>
      <w:r>
        <w:rPr>
          <w:spacing w:val="-1"/>
        </w:rPr>
        <w:t> </w:t>
      </w:r>
      <w:r>
        <w:rPr/>
        <w:t>(but</w:t>
      </w:r>
      <w:r>
        <w:rPr>
          <w:spacing w:val="-1"/>
        </w:rPr>
        <w:t> </w:t>
      </w:r>
      <w:r>
        <w:rPr/>
        <w:t>not</w:t>
      </w:r>
      <w:r>
        <w:rPr>
          <w:spacing w:val="-1"/>
        </w:rPr>
        <w:t> </w:t>
      </w:r>
      <w:r>
        <w:rPr/>
        <w:t>limited to) societal expectations, gender inequality, and intrapersonal deficits. Although written hundreds of years ago, his representation of women suffering psychologically continues to provide a wealth of knowledge regarding current</w:t>
      </w:r>
      <w:r>
        <w:rPr>
          <w:spacing w:val="40"/>
        </w:rPr>
        <w:t> </w:t>
      </w:r>
      <w:r>
        <w:rPr/>
        <w:t>gender</w:t>
      </w:r>
      <w:r>
        <w:rPr>
          <w:spacing w:val="40"/>
        </w:rPr>
        <w:t> </w:t>
      </w:r>
      <w:r>
        <w:rPr/>
        <w:t>and</w:t>
      </w:r>
      <w:r>
        <w:rPr>
          <w:spacing w:val="40"/>
        </w:rPr>
        <w:t> </w:t>
      </w:r>
      <w:r>
        <w:rPr/>
        <w:t>mental</w:t>
      </w:r>
      <w:r>
        <w:rPr>
          <w:spacing w:val="40"/>
        </w:rPr>
        <w:t> </w:t>
      </w:r>
      <w:r>
        <w:rPr/>
        <w:t>health</w:t>
      </w:r>
      <w:r>
        <w:rPr>
          <w:spacing w:val="40"/>
        </w:rPr>
        <w:t> </w:t>
      </w:r>
      <w:r>
        <w:rPr/>
        <w:t>issues.</w:t>
      </w:r>
    </w:p>
    <w:p>
      <w:pPr>
        <w:pStyle w:val="BodyText"/>
        <w:spacing w:line="261" w:lineRule="auto" w:before="48"/>
        <w:ind w:right="1437" w:firstLine="432"/>
        <w:jc w:val="both"/>
      </w:pPr>
      <w:r>
        <w:rPr/>
        <w:t>The value of his tragedies as an important contribution to </w:t>
      </w:r>
      <w:r>
        <w:rPr>
          <w:spacing w:val="-2"/>
        </w:rPr>
        <w:t>understanding</w:t>
      </w:r>
      <w:r>
        <w:rPr>
          <w:spacing w:val="-5"/>
        </w:rPr>
        <w:t> </w:t>
      </w:r>
      <w:r>
        <w:rPr>
          <w:spacing w:val="-2"/>
        </w:rPr>
        <w:t>the</w:t>
      </w:r>
      <w:r>
        <w:rPr>
          <w:spacing w:val="-5"/>
        </w:rPr>
        <w:t> </w:t>
      </w:r>
      <w:r>
        <w:rPr>
          <w:spacing w:val="-2"/>
        </w:rPr>
        <w:t>many</w:t>
      </w:r>
      <w:r>
        <w:rPr>
          <w:spacing w:val="-9"/>
        </w:rPr>
        <w:t> </w:t>
      </w:r>
      <w:r>
        <w:rPr>
          <w:spacing w:val="-2"/>
        </w:rPr>
        <w:t>complexities surrounding</w:t>
      </w:r>
      <w:r>
        <w:rPr>
          <w:spacing w:val="-7"/>
        </w:rPr>
        <w:t> </w:t>
      </w:r>
      <w:r>
        <w:rPr>
          <w:spacing w:val="-2"/>
        </w:rPr>
        <w:t>women’s</w:t>
      </w:r>
      <w:r>
        <w:rPr>
          <w:spacing w:val="-5"/>
        </w:rPr>
        <w:t> </w:t>
      </w:r>
      <w:r>
        <w:rPr>
          <w:spacing w:val="-2"/>
        </w:rPr>
        <w:t>experiencing </w:t>
      </w:r>
      <w:r>
        <w:rPr/>
        <w:t>psychological suffering in pre-modern societies can be found in the struggles</w:t>
      </w:r>
      <w:r>
        <w:rPr>
          <w:spacing w:val="-6"/>
        </w:rPr>
        <w:t> </w:t>
      </w:r>
      <w:r>
        <w:rPr/>
        <w:t>exhibited</w:t>
      </w:r>
      <w:r>
        <w:rPr>
          <w:spacing w:val="-2"/>
        </w:rPr>
        <w:t> </w:t>
      </w:r>
      <w:r>
        <w:rPr/>
        <w:t>by</w:t>
      </w:r>
      <w:r>
        <w:rPr>
          <w:spacing w:val="-8"/>
        </w:rPr>
        <w:t> </w:t>
      </w:r>
      <w:r>
        <w:rPr/>
        <w:t>Ophelia</w:t>
      </w:r>
      <w:r>
        <w:rPr>
          <w:spacing w:val="-1"/>
        </w:rPr>
        <w:t> </w:t>
      </w:r>
      <w:r>
        <w:rPr/>
        <w:t>(Hamlet),</w:t>
      </w:r>
      <w:r>
        <w:rPr>
          <w:spacing w:val="-4"/>
        </w:rPr>
        <w:t> </w:t>
      </w:r>
      <w:r>
        <w:rPr/>
        <w:t>Lady</w:t>
      </w:r>
      <w:r>
        <w:rPr>
          <w:spacing w:val="-6"/>
        </w:rPr>
        <w:t> </w:t>
      </w:r>
      <w:r>
        <w:rPr/>
        <w:t>Macbeth</w:t>
      </w:r>
      <w:r>
        <w:rPr>
          <w:spacing w:val="-6"/>
        </w:rPr>
        <w:t> </w:t>
      </w:r>
      <w:r>
        <w:rPr/>
        <w:t>(Macbeth),</w:t>
      </w:r>
      <w:r>
        <w:rPr>
          <w:spacing w:val="-2"/>
        </w:rPr>
        <w:t> </w:t>
      </w:r>
      <w:r>
        <w:rPr/>
        <w:t>and Desdemona (Othello) during their lives, including their struggles with experiencing (i.e., experiencing) madness, guilt, sorrow and emotional fragility. More importantly, the discovery of new evidence supporting this connection between emotion and psychological suffering has </w:t>
      </w:r>
      <w:r>
        <w:rPr>
          <w:spacing w:val="-2"/>
        </w:rPr>
        <w:t>significant</w:t>
      </w:r>
      <w:r>
        <w:rPr>
          <w:spacing w:val="-11"/>
        </w:rPr>
        <w:t> </w:t>
      </w:r>
      <w:r>
        <w:rPr>
          <w:spacing w:val="-2"/>
        </w:rPr>
        <w:t>implications</w:t>
      </w:r>
      <w:r>
        <w:rPr>
          <w:spacing w:val="-10"/>
        </w:rPr>
        <w:t> </w:t>
      </w:r>
      <w:r>
        <w:rPr>
          <w:spacing w:val="-2"/>
        </w:rPr>
        <w:t>for</w:t>
      </w:r>
      <w:r>
        <w:rPr>
          <w:spacing w:val="-11"/>
        </w:rPr>
        <w:t> </w:t>
      </w:r>
      <w:r>
        <w:rPr>
          <w:spacing w:val="-2"/>
        </w:rPr>
        <w:t>current</w:t>
      </w:r>
      <w:r>
        <w:rPr>
          <w:spacing w:val="-10"/>
        </w:rPr>
        <w:t> </w:t>
      </w:r>
      <w:r>
        <w:rPr>
          <w:spacing w:val="-2"/>
        </w:rPr>
        <w:t>discourse</w:t>
      </w:r>
      <w:r>
        <w:rPr>
          <w:spacing w:val="-9"/>
        </w:rPr>
        <w:t> </w:t>
      </w:r>
      <w:r>
        <w:rPr>
          <w:spacing w:val="-2"/>
        </w:rPr>
        <w:t>regarding</w:t>
      </w:r>
      <w:r>
        <w:rPr>
          <w:spacing w:val="-11"/>
        </w:rPr>
        <w:t> </w:t>
      </w:r>
      <w:r>
        <w:rPr>
          <w:spacing w:val="-2"/>
        </w:rPr>
        <w:t>gender</w:t>
      </w:r>
      <w:r>
        <w:rPr>
          <w:spacing w:val="-8"/>
        </w:rPr>
        <w:t> </w:t>
      </w:r>
      <w:r>
        <w:rPr>
          <w:spacing w:val="-2"/>
        </w:rPr>
        <w:t>and</w:t>
      </w:r>
      <w:r>
        <w:rPr>
          <w:spacing w:val="-8"/>
        </w:rPr>
        <w:t> </w:t>
      </w:r>
      <w:r>
        <w:rPr>
          <w:spacing w:val="-2"/>
        </w:rPr>
        <w:t>mental </w:t>
      </w:r>
      <w:r>
        <w:rPr/>
        <w:t>health. Growing quantities of research conducted in the present day demonstrate that emotional Tragedies written by William Shakespeare present insight into both the emotional and psychological experiences</w:t>
      </w:r>
      <w:r>
        <w:rPr>
          <w:spacing w:val="40"/>
        </w:rPr>
        <w:t> </w:t>
      </w:r>
      <w:r>
        <w:rPr/>
        <w:t>of female characters in male-dominated societies throughout his plays. Shakespeare’s</w:t>
      </w:r>
      <w:r>
        <w:rPr>
          <w:spacing w:val="-9"/>
        </w:rPr>
        <w:t> </w:t>
      </w:r>
      <w:r>
        <w:rPr/>
        <w:t>female</w:t>
      </w:r>
      <w:r>
        <w:rPr>
          <w:spacing w:val="-7"/>
        </w:rPr>
        <w:t> </w:t>
      </w:r>
      <w:r>
        <w:rPr/>
        <w:t>protagonists-</w:t>
      </w:r>
      <w:r>
        <w:rPr>
          <w:spacing w:val="-11"/>
        </w:rPr>
        <w:t> </w:t>
      </w:r>
      <w:r>
        <w:rPr/>
        <w:t>most</w:t>
      </w:r>
      <w:r>
        <w:rPr>
          <w:spacing w:val="-9"/>
        </w:rPr>
        <w:t> </w:t>
      </w:r>
      <w:r>
        <w:rPr/>
        <w:t>notably,</w:t>
      </w:r>
      <w:r>
        <w:rPr>
          <w:spacing w:val="-8"/>
        </w:rPr>
        <w:t> </w:t>
      </w:r>
      <w:r>
        <w:rPr/>
        <w:t>Ophelia</w:t>
      </w:r>
      <w:r>
        <w:rPr>
          <w:spacing w:val="-7"/>
        </w:rPr>
        <w:t> </w:t>
      </w:r>
      <w:r>
        <w:rPr/>
        <w:t>from</w:t>
      </w:r>
      <w:r>
        <w:rPr>
          <w:spacing w:val="-11"/>
        </w:rPr>
        <w:t> </w:t>
      </w:r>
      <w:r>
        <w:rPr/>
        <w:t>Hamlet, Lady Macbeth from Macbeth, and Desdemona from Othello - depict a complex range of experiences related to their mental health, including madness, guilt, sorrow, and emotional fragility. By writing about these emotions and struggles, Shakespeare represents how women’s mental well-being</w:t>
      </w:r>
      <w:r>
        <w:rPr>
          <w:spacing w:val="-7"/>
        </w:rPr>
        <w:t> </w:t>
      </w:r>
      <w:r>
        <w:rPr/>
        <w:t>is</w:t>
      </w:r>
      <w:r>
        <w:rPr>
          <w:spacing w:val="-7"/>
        </w:rPr>
        <w:t> </w:t>
      </w:r>
      <w:r>
        <w:rPr/>
        <w:t>affected</w:t>
      </w:r>
      <w:r>
        <w:rPr>
          <w:spacing w:val="-5"/>
        </w:rPr>
        <w:t> </w:t>
      </w:r>
      <w:r>
        <w:rPr/>
        <w:t>negatively</w:t>
      </w:r>
      <w:r>
        <w:rPr>
          <w:spacing w:val="-9"/>
        </w:rPr>
        <w:t> </w:t>
      </w:r>
      <w:r>
        <w:rPr/>
        <w:t>by</w:t>
      </w:r>
      <w:r>
        <w:rPr>
          <w:spacing w:val="-10"/>
        </w:rPr>
        <w:t> </w:t>
      </w:r>
      <w:r>
        <w:rPr/>
        <w:t>many</w:t>
      </w:r>
      <w:r>
        <w:rPr>
          <w:spacing w:val="-10"/>
        </w:rPr>
        <w:t> </w:t>
      </w:r>
      <w:r>
        <w:rPr/>
        <w:t>factors</w:t>
      </w:r>
      <w:r>
        <w:rPr>
          <w:spacing w:val="-7"/>
        </w:rPr>
        <w:t> </w:t>
      </w:r>
      <w:r>
        <w:rPr/>
        <w:t>outside</w:t>
      </w:r>
      <w:r>
        <w:rPr>
          <w:spacing w:val="-7"/>
        </w:rPr>
        <w:t> </w:t>
      </w:r>
      <w:r>
        <w:rPr/>
        <w:t>of</w:t>
      </w:r>
      <w:r>
        <w:rPr>
          <w:spacing w:val="-7"/>
        </w:rPr>
        <w:t> </w:t>
      </w:r>
      <w:r>
        <w:rPr/>
        <w:t>themselves, such</w:t>
      </w:r>
      <w:r>
        <w:rPr>
          <w:spacing w:val="-4"/>
        </w:rPr>
        <w:t> </w:t>
      </w:r>
      <w:r>
        <w:rPr/>
        <w:t>as</w:t>
      </w:r>
      <w:r>
        <w:rPr>
          <w:spacing w:val="-4"/>
        </w:rPr>
        <w:t> </w:t>
      </w:r>
      <w:r>
        <w:rPr/>
        <w:t>(but</w:t>
      </w:r>
      <w:r>
        <w:rPr>
          <w:spacing w:val="-2"/>
        </w:rPr>
        <w:t> </w:t>
      </w:r>
      <w:r>
        <w:rPr/>
        <w:t>not</w:t>
      </w:r>
      <w:r>
        <w:rPr>
          <w:spacing w:val="-3"/>
        </w:rPr>
        <w:t> </w:t>
      </w:r>
      <w:r>
        <w:rPr/>
        <w:t>limited</w:t>
      </w:r>
      <w:r>
        <w:rPr>
          <w:spacing w:val="-2"/>
        </w:rPr>
        <w:t> </w:t>
      </w:r>
      <w:r>
        <w:rPr/>
        <w:t>to) societal</w:t>
      </w:r>
      <w:r>
        <w:rPr>
          <w:spacing w:val="-2"/>
        </w:rPr>
        <w:t> </w:t>
      </w:r>
      <w:r>
        <w:rPr/>
        <w:t>expectations,</w:t>
      </w:r>
      <w:r>
        <w:rPr>
          <w:spacing w:val="-3"/>
        </w:rPr>
        <w:t> </w:t>
      </w:r>
      <w:r>
        <w:rPr/>
        <w:t>gender</w:t>
      </w:r>
      <w:r>
        <w:rPr>
          <w:spacing w:val="-2"/>
        </w:rPr>
        <w:t> </w:t>
      </w:r>
      <w:r>
        <w:rPr/>
        <w:t>inequality,</w:t>
      </w:r>
      <w:r>
        <w:rPr>
          <w:spacing w:val="-3"/>
        </w:rPr>
        <w:t> </w:t>
      </w:r>
      <w:r>
        <w:rPr/>
        <w:t>and intrapersonal deficits. Although written hundreds of years ago, his representation</w:t>
      </w:r>
      <w:r>
        <w:rPr>
          <w:spacing w:val="-5"/>
        </w:rPr>
        <w:t> </w:t>
      </w:r>
      <w:r>
        <w:rPr/>
        <w:t>of</w:t>
      </w:r>
      <w:r>
        <w:rPr>
          <w:spacing w:val="-6"/>
        </w:rPr>
        <w:t> </w:t>
      </w:r>
      <w:r>
        <w:rPr/>
        <w:t>women</w:t>
      </w:r>
      <w:r>
        <w:rPr>
          <w:spacing w:val="-6"/>
        </w:rPr>
        <w:t> </w:t>
      </w:r>
      <w:r>
        <w:rPr/>
        <w:t>suffering</w:t>
      </w:r>
      <w:r>
        <w:rPr>
          <w:spacing w:val="-5"/>
        </w:rPr>
        <w:t> </w:t>
      </w:r>
      <w:r>
        <w:rPr/>
        <w:t>psychologically</w:t>
      </w:r>
      <w:r>
        <w:rPr>
          <w:spacing w:val="-8"/>
        </w:rPr>
        <w:t> </w:t>
      </w:r>
      <w:r>
        <w:rPr/>
        <w:t>continues</w:t>
      </w:r>
      <w:r>
        <w:rPr>
          <w:spacing w:val="-6"/>
        </w:rPr>
        <w:t> </w:t>
      </w:r>
      <w:r>
        <w:rPr/>
        <w:t>to</w:t>
      </w:r>
      <w:r>
        <w:rPr>
          <w:spacing w:val="-5"/>
        </w:rPr>
        <w:t> </w:t>
      </w:r>
      <w:r>
        <w:rPr/>
        <w:t>provide a wealth of knowledge regarding current gender and mental health </w:t>
      </w:r>
      <w:r>
        <w:rPr>
          <w:spacing w:val="-2"/>
        </w:rPr>
        <w:t>issues.</w:t>
      </w:r>
    </w:p>
    <w:p>
      <w:pPr>
        <w:pStyle w:val="BodyText"/>
        <w:spacing w:after="0" w:line="261" w:lineRule="auto"/>
        <w:jc w:val="both"/>
        <w:sectPr>
          <w:type w:val="continuous"/>
          <w:pgSz w:w="12240" w:h="15840"/>
          <w:pgMar w:top="138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36992">
                <wp:simplePos x="0" y="0"/>
                <wp:positionH relativeFrom="page">
                  <wp:posOffset>2065020</wp:posOffset>
                </wp:positionH>
                <wp:positionV relativeFrom="paragraph">
                  <wp:posOffset>795020</wp:posOffset>
                </wp:positionV>
                <wp:extent cx="3657600" cy="12700"/>
                <wp:effectExtent l="0" t="0" r="0" b="0"/>
                <wp:wrapTopAndBottom/>
                <wp:docPr id="198" name="Graphic 198"/>
                <wp:cNvGraphicFramePr>
                  <a:graphicFrameLocks/>
                </wp:cNvGraphicFramePr>
                <a:graphic>
                  <a:graphicData uri="http://schemas.microsoft.com/office/word/2010/wordprocessingShape">
                    <wps:wsp>
                      <wps:cNvPr id="198" name="Graphic 19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79488;mso-wrap-distance-left:0;mso-wrap-distance-right:0" id="docshape194" filled="true" fillcolor="#000000" stroked="false">
                <v:fill type="solid"/>
                <w10:wrap type="topAndBottom"/>
              </v:rect>
            </w:pict>
          </mc:Fallback>
        </mc:AlternateContent>
      </w:r>
      <w:r>
        <w:rPr>
          <w:rFonts w:ascii="Verdana"/>
          <w:sz w:val="18"/>
        </w:rPr>
        <w:t>Psychological</w:t>
      </w:r>
      <w:r>
        <w:rPr>
          <w:rFonts w:ascii="Verdana"/>
          <w:spacing w:val="13"/>
          <w:sz w:val="18"/>
        </w:rPr>
        <w:t> </w:t>
      </w:r>
      <w:r>
        <w:rPr>
          <w:rFonts w:ascii="Verdana"/>
          <w:sz w:val="18"/>
        </w:rPr>
        <w:t>Suffering</w:t>
      </w:r>
      <w:r>
        <w:rPr>
          <w:rFonts w:ascii="Verdana"/>
          <w:spacing w:val="14"/>
          <w:sz w:val="18"/>
        </w:rPr>
        <w:t> </w:t>
      </w:r>
      <w:r>
        <w:rPr>
          <w:rFonts w:ascii="Verdana"/>
          <w:sz w:val="18"/>
        </w:rPr>
        <w:t>and</w:t>
      </w:r>
      <w:r>
        <w:rPr>
          <w:rFonts w:ascii="Verdana"/>
          <w:spacing w:val="14"/>
          <w:sz w:val="18"/>
        </w:rPr>
        <w:t> </w:t>
      </w:r>
      <w:r>
        <w:rPr>
          <w:rFonts w:ascii="Verdana"/>
          <w:sz w:val="18"/>
        </w:rPr>
        <w:t>Gendered</w:t>
      </w:r>
      <w:r>
        <w:rPr>
          <w:rFonts w:ascii="Verdana"/>
          <w:spacing w:val="15"/>
          <w:sz w:val="18"/>
        </w:rPr>
        <w:t> </w:t>
      </w:r>
      <w:r>
        <w:rPr>
          <w:rFonts w:ascii="Verdana"/>
          <w:spacing w:val="-2"/>
          <w:sz w:val="18"/>
        </w:rPr>
        <w:t>Power...</w:t>
      </w:r>
      <w:r>
        <w:rPr>
          <w:sz w:val="18"/>
        </w:rPr>
        <w:tab/>
      </w:r>
      <w:r>
        <w:rPr>
          <w:rFonts w:ascii="Verdana"/>
          <w:spacing w:val="-5"/>
          <w:sz w:val="18"/>
        </w:rPr>
        <w:t>39</w:t>
      </w:r>
    </w:p>
    <w:p>
      <w:pPr>
        <w:pStyle w:val="BodyText"/>
        <w:spacing w:line="266" w:lineRule="auto" w:before="202"/>
        <w:ind w:right="1436" w:firstLine="432"/>
        <w:jc w:val="both"/>
      </w:pPr>
      <w:r>
        <w:rPr/>
        <w:t>The value of his tragedies as an important contribution to </w:t>
      </w:r>
      <w:r>
        <w:rPr>
          <w:spacing w:val="-2"/>
        </w:rPr>
        <w:t>understanding</w:t>
      </w:r>
      <w:r>
        <w:rPr>
          <w:spacing w:val="-4"/>
        </w:rPr>
        <w:t> </w:t>
      </w:r>
      <w:r>
        <w:rPr>
          <w:spacing w:val="-2"/>
        </w:rPr>
        <w:t>the</w:t>
      </w:r>
      <w:r>
        <w:rPr>
          <w:spacing w:val="-4"/>
        </w:rPr>
        <w:t> </w:t>
      </w:r>
      <w:r>
        <w:rPr>
          <w:spacing w:val="-2"/>
        </w:rPr>
        <w:t>many</w:t>
      </w:r>
      <w:r>
        <w:rPr>
          <w:spacing w:val="-9"/>
        </w:rPr>
        <w:t> </w:t>
      </w:r>
      <w:r>
        <w:rPr>
          <w:spacing w:val="-2"/>
        </w:rPr>
        <w:t>complexities surrounding</w:t>
      </w:r>
      <w:r>
        <w:rPr>
          <w:spacing w:val="-7"/>
        </w:rPr>
        <w:t> </w:t>
      </w:r>
      <w:r>
        <w:rPr>
          <w:spacing w:val="-2"/>
        </w:rPr>
        <w:t>women’s</w:t>
      </w:r>
      <w:r>
        <w:rPr>
          <w:spacing w:val="-4"/>
        </w:rPr>
        <w:t> </w:t>
      </w:r>
      <w:r>
        <w:rPr>
          <w:spacing w:val="-2"/>
        </w:rPr>
        <w:t>experiencing </w:t>
      </w:r>
      <w:r>
        <w:rPr/>
        <w:t>psychological suffering in pre-modern societies can be found in the struggles</w:t>
      </w:r>
      <w:r>
        <w:rPr>
          <w:spacing w:val="-6"/>
        </w:rPr>
        <w:t> </w:t>
      </w:r>
      <w:r>
        <w:rPr/>
        <w:t>exhibited</w:t>
      </w:r>
      <w:r>
        <w:rPr>
          <w:spacing w:val="-2"/>
        </w:rPr>
        <w:t> </w:t>
      </w:r>
      <w:r>
        <w:rPr/>
        <w:t>by</w:t>
      </w:r>
      <w:r>
        <w:rPr>
          <w:spacing w:val="-7"/>
        </w:rPr>
        <w:t> </w:t>
      </w:r>
      <w:r>
        <w:rPr/>
        <w:t>Ophelia</w:t>
      </w:r>
      <w:r>
        <w:rPr>
          <w:spacing w:val="-1"/>
        </w:rPr>
        <w:t> </w:t>
      </w:r>
      <w:r>
        <w:rPr/>
        <w:t>(Hamlet),</w:t>
      </w:r>
      <w:r>
        <w:rPr>
          <w:spacing w:val="-4"/>
        </w:rPr>
        <w:t> </w:t>
      </w:r>
      <w:r>
        <w:rPr/>
        <w:t>Lady</w:t>
      </w:r>
      <w:r>
        <w:rPr>
          <w:spacing w:val="-6"/>
        </w:rPr>
        <w:t> </w:t>
      </w:r>
      <w:r>
        <w:rPr/>
        <w:t>Macbeth</w:t>
      </w:r>
      <w:r>
        <w:rPr>
          <w:spacing w:val="-6"/>
        </w:rPr>
        <w:t> </w:t>
      </w:r>
      <w:r>
        <w:rPr/>
        <w:t>(Macbeth),</w:t>
      </w:r>
      <w:r>
        <w:rPr>
          <w:spacing w:val="-2"/>
        </w:rPr>
        <w:t> </w:t>
      </w:r>
      <w:r>
        <w:rPr/>
        <w:t>and Desdemona (Othello) during their lives, including their struggles with experiencing (i.e., experiencing) madness, guilt, sorrow and emotional fragility. More importantly, the discovery of new evidence supporting this connection between emotion and psychological suffering has </w:t>
      </w:r>
      <w:r>
        <w:rPr>
          <w:spacing w:val="-2"/>
        </w:rPr>
        <w:t>significant</w:t>
      </w:r>
      <w:r>
        <w:rPr>
          <w:spacing w:val="-11"/>
        </w:rPr>
        <w:t> </w:t>
      </w:r>
      <w:r>
        <w:rPr>
          <w:spacing w:val="-2"/>
        </w:rPr>
        <w:t>implications</w:t>
      </w:r>
      <w:r>
        <w:rPr>
          <w:spacing w:val="-10"/>
        </w:rPr>
        <w:t> </w:t>
      </w:r>
      <w:r>
        <w:rPr>
          <w:spacing w:val="-2"/>
        </w:rPr>
        <w:t>for</w:t>
      </w:r>
      <w:r>
        <w:rPr>
          <w:spacing w:val="-11"/>
        </w:rPr>
        <w:t> </w:t>
      </w:r>
      <w:r>
        <w:rPr>
          <w:spacing w:val="-2"/>
        </w:rPr>
        <w:t>current</w:t>
      </w:r>
      <w:r>
        <w:rPr>
          <w:spacing w:val="-10"/>
        </w:rPr>
        <w:t> </w:t>
      </w:r>
      <w:r>
        <w:rPr>
          <w:spacing w:val="-2"/>
        </w:rPr>
        <w:t>discourse</w:t>
      </w:r>
      <w:r>
        <w:rPr>
          <w:spacing w:val="-8"/>
        </w:rPr>
        <w:t> </w:t>
      </w:r>
      <w:r>
        <w:rPr>
          <w:spacing w:val="-2"/>
        </w:rPr>
        <w:t>regarding</w:t>
      </w:r>
      <w:r>
        <w:rPr>
          <w:spacing w:val="-11"/>
        </w:rPr>
        <w:t> </w:t>
      </w:r>
      <w:r>
        <w:rPr>
          <w:spacing w:val="-2"/>
        </w:rPr>
        <w:t>gender</w:t>
      </w:r>
      <w:r>
        <w:rPr>
          <w:spacing w:val="-8"/>
        </w:rPr>
        <w:t> </w:t>
      </w:r>
      <w:r>
        <w:rPr>
          <w:spacing w:val="-2"/>
        </w:rPr>
        <w:t>and</w:t>
      </w:r>
      <w:r>
        <w:rPr>
          <w:spacing w:val="-8"/>
        </w:rPr>
        <w:t> </w:t>
      </w:r>
      <w:r>
        <w:rPr>
          <w:spacing w:val="-2"/>
        </w:rPr>
        <w:t>mental </w:t>
      </w:r>
      <w:r>
        <w:rPr/>
        <w:t>health. Growing quantities of research conducted in the present day demonstrate that emotional repression, social pressure, and gender </w:t>
      </w:r>
      <w:r>
        <w:rPr>
          <w:spacing w:val="-4"/>
        </w:rPr>
        <w:t>inequality</w:t>
      </w:r>
      <w:r>
        <w:rPr>
          <w:spacing w:val="-9"/>
        </w:rPr>
        <w:t> </w:t>
      </w:r>
      <w:r>
        <w:rPr>
          <w:spacing w:val="-4"/>
        </w:rPr>
        <w:t>can</w:t>
      </w:r>
      <w:r>
        <w:rPr>
          <w:spacing w:val="-8"/>
        </w:rPr>
        <w:t> </w:t>
      </w:r>
      <w:r>
        <w:rPr>
          <w:spacing w:val="-4"/>
        </w:rPr>
        <w:t>significantly</w:t>
      </w:r>
      <w:r>
        <w:rPr>
          <w:spacing w:val="-9"/>
        </w:rPr>
        <w:t> </w:t>
      </w:r>
      <w:r>
        <w:rPr>
          <w:spacing w:val="-4"/>
        </w:rPr>
        <w:t>influence</w:t>
      </w:r>
      <w:r>
        <w:rPr>
          <w:spacing w:val="-8"/>
        </w:rPr>
        <w:t> </w:t>
      </w:r>
      <w:r>
        <w:rPr>
          <w:spacing w:val="-4"/>
        </w:rPr>
        <w:t>psychological</w:t>
      </w:r>
      <w:r>
        <w:rPr>
          <w:spacing w:val="-9"/>
        </w:rPr>
        <w:t> </w:t>
      </w:r>
      <w:r>
        <w:rPr>
          <w:spacing w:val="-4"/>
        </w:rPr>
        <w:t>well-being,</w:t>
      </w:r>
      <w:r>
        <w:rPr>
          <w:spacing w:val="-8"/>
        </w:rPr>
        <w:t> </w:t>
      </w:r>
      <w:r>
        <w:rPr>
          <w:spacing w:val="-4"/>
        </w:rPr>
        <w:t>particularly </w:t>
      </w:r>
      <w:r>
        <w:rPr/>
        <w:t>among individuals</w:t>
      </w:r>
      <w:r>
        <w:rPr>
          <w:spacing w:val="40"/>
        </w:rPr>
        <w:t> </w:t>
      </w:r>
      <w:r>
        <w:rPr/>
        <w:t>living within restrictive</w:t>
      </w:r>
      <w:r>
        <w:rPr>
          <w:spacing w:val="40"/>
        </w:rPr>
        <w:t> </w:t>
      </w:r>
      <w:r>
        <w:rPr/>
        <w:t>social</w:t>
      </w:r>
      <w:r>
        <w:rPr>
          <w:spacing w:val="40"/>
        </w:rPr>
        <w:t> </w:t>
      </w:r>
      <w:r>
        <w:rPr/>
        <w:t>structures.</w:t>
      </w:r>
    </w:p>
    <w:p>
      <w:pPr>
        <w:pStyle w:val="Heading3"/>
        <w:spacing w:before="166"/>
      </w:pPr>
      <w:r>
        <w:rPr>
          <w:spacing w:val="-2"/>
          <w:w w:val="95"/>
        </w:rPr>
        <w:t>REFERENCES</w:t>
      </w:r>
    </w:p>
    <w:p>
      <w:pPr>
        <w:pStyle w:val="ListParagraph"/>
        <w:numPr>
          <w:ilvl w:val="1"/>
          <w:numId w:val="12"/>
        </w:numPr>
        <w:tabs>
          <w:tab w:pos="2157" w:val="left" w:leader="none"/>
          <w:tab w:pos="2160" w:val="left" w:leader="none"/>
        </w:tabs>
        <w:spacing w:line="268" w:lineRule="auto" w:before="92" w:after="0"/>
        <w:ind w:left="2160" w:right="1437" w:hanging="315"/>
        <w:jc w:val="both"/>
        <w:rPr>
          <w:sz w:val="19"/>
        </w:rPr>
      </w:pPr>
      <w:r>
        <w:rPr>
          <w:sz w:val="19"/>
        </w:rPr>
        <w:t>Sekar, J. John. “Muted Power: A Feminist Reading of Female Agency in Shakespeare’s Tragic Canon.” </w:t>
      </w:r>
      <w:r>
        <w:rPr>
          <w:i/>
          <w:sz w:val="19"/>
        </w:rPr>
        <w:t>Asian Journal of Language,</w:t>
      </w:r>
      <w:r>
        <w:rPr>
          <w:i/>
          <w:spacing w:val="32"/>
          <w:sz w:val="19"/>
        </w:rPr>
        <w:t> </w:t>
      </w:r>
      <w:r>
        <w:rPr>
          <w:i/>
          <w:sz w:val="19"/>
        </w:rPr>
        <w:t>Literature</w:t>
      </w:r>
      <w:r>
        <w:rPr>
          <w:i/>
          <w:spacing w:val="30"/>
          <w:sz w:val="19"/>
        </w:rPr>
        <w:t> </w:t>
      </w:r>
      <w:r>
        <w:rPr>
          <w:i/>
          <w:sz w:val="19"/>
        </w:rPr>
        <w:t>and</w:t>
      </w:r>
      <w:r>
        <w:rPr>
          <w:i/>
          <w:spacing w:val="34"/>
          <w:sz w:val="19"/>
        </w:rPr>
        <w:t> </w:t>
      </w:r>
      <w:r>
        <w:rPr>
          <w:i/>
          <w:sz w:val="19"/>
        </w:rPr>
        <w:t>Culture</w:t>
      </w:r>
      <w:r>
        <w:rPr>
          <w:i/>
          <w:spacing w:val="33"/>
          <w:sz w:val="19"/>
        </w:rPr>
        <w:t> </w:t>
      </w:r>
      <w:r>
        <w:rPr>
          <w:i/>
          <w:sz w:val="19"/>
        </w:rPr>
        <w:t>Studies</w:t>
      </w:r>
      <w:r>
        <w:rPr>
          <w:sz w:val="19"/>
        </w:rPr>
        <w:t>,</w:t>
      </w:r>
      <w:r>
        <w:rPr>
          <w:spacing w:val="32"/>
          <w:sz w:val="19"/>
        </w:rPr>
        <w:t> </w:t>
      </w:r>
      <w:r>
        <w:rPr>
          <w:sz w:val="19"/>
        </w:rPr>
        <w:t>vol.</w:t>
      </w:r>
      <w:r>
        <w:rPr>
          <w:spacing w:val="34"/>
          <w:sz w:val="19"/>
        </w:rPr>
        <w:t> </w:t>
      </w:r>
      <w:r>
        <w:rPr>
          <w:sz w:val="19"/>
        </w:rPr>
        <w:t>8,</w:t>
      </w:r>
      <w:r>
        <w:rPr>
          <w:spacing w:val="32"/>
          <w:sz w:val="19"/>
        </w:rPr>
        <w:t> </w:t>
      </w:r>
      <w:r>
        <w:rPr>
          <w:sz w:val="19"/>
        </w:rPr>
        <w:t>no.</w:t>
      </w:r>
      <w:r>
        <w:rPr>
          <w:spacing w:val="32"/>
          <w:sz w:val="19"/>
        </w:rPr>
        <w:t> </w:t>
      </w:r>
      <w:r>
        <w:rPr>
          <w:sz w:val="19"/>
        </w:rPr>
        <w:t>3,</w:t>
      </w:r>
      <w:r>
        <w:rPr>
          <w:spacing w:val="32"/>
          <w:sz w:val="19"/>
        </w:rPr>
        <w:t> </w:t>
      </w:r>
      <w:r>
        <w:rPr>
          <w:sz w:val="19"/>
        </w:rPr>
        <w:t>2025,</w:t>
      </w:r>
    </w:p>
    <w:p>
      <w:pPr>
        <w:spacing w:line="216" w:lineRule="exact" w:before="0"/>
        <w:ind w:left="2160" w:right="0" w:firstLine="0"/>
        <w:jc w:val="both"/>
        <w:rPr>
          <w:sz w:val="19"/>
        </w:rPr>
      </w:pPr>
      <w:r>
        <w:rPr>
          <w:sz w:val="19"/>
        </w:rPr>
        <w:t>pp.</w:t>
      </w:r>
      <w:r>
        <w:rPr>
          <w:spacing w:val="20"/>
          <w:sz w:val="19"/>
        </w:rPr>
        <w:t> </w:t>
      </w:r>
      <w:r>
        <w:rPr>
          <w:sz w:val="19"/>
        </w:rPr>
        <w:t>825–838.</w:t>
      </w:r>
      <w:r>
        <w:rPr>
          <w:spacing w:val="23"/>
          <w:sz w:val="19"/>
        </w:rPr>
        <w:t> </w:t>
      </w:r>
      <w:hyperlink r:id="rId80">
        <w:r>
          <w:rPr>
            <w:spacing w:val="-2"/>
            <w:sz w:val="19"/>
          </w:rPr>
          <w:t>https://doi.org/10.9734/ajl2c/2025/v8i3287</w:t>
        </w:r>
      </w:hyperlink>
    </w:p>
    <w:p>
      <w:pPr>
        <w:pStyle w:val="ListParagraph"/>
        <w:numPr>
          <w:ilvl w:val="1"/>
          <w:numId w:val="12"/>
        </w:numPr>
        <w:tabs>
          <w:tab w:pos="2157" w:val="left" w:leader="none"/>
        </w:tabs>
        <w:spacing w:line="240" w:lineRule="auto" w:before="84" w:after="0"/>
        <w:ind w:left="2157" w:right="0" w:hanging="312"/>
        <w:jc w:val="both"/>
        <w:rPr>
          <w:sz w:val="19"/>
        </w:rPr>
      </w:pPr>
      <w:r>
        <w:rPr>
          <w:sz w:val="19"/>
        </w:rPr>
        <w:t>Rasheed,</w:t>
      </w:r>
      <w:r>
        <w:rPr>
          <w:spacing w:val="41"/>
          <w:sz w:val="19"/>
        </w:rPr>
        <w:t> </w:t>
      </w:r>
      <w:r>
        <w:rPr>
          <w:sz w:val="19"/>
        </w:rPr>
        <w:t>A.</w:t>
      </w:r>
      <w:r>
        <w:rPr>
          <w:spacing w:val="52"/>
          <w:sz w:val="19"/>
        </w:rPr>
        <w:t> </w:t>
      </w:r>
      <w:r>
        <w:rPr>
          <w:sz w:val="19"/>
        </w:rPr>
        <w:t>H.</w:t>
      </w:r>
      <w:r>
        <w:rPr>
          <w:spacing w:val="41"/>
          <w:sz w:val="19"/>
        </w:rPr>
        <w:t> </w:t>
      </w:r>
      <w:r>
        <w:rPr>
          <w:sz w:val="19"/>
        </w:rPr>
        <w:t>A.,</w:t>
      </w:r>
      <w:r>
        <w:rPr>
          <w:spacing w:val="44"/>
          <w:sz w:val="19"/>
        </w:rPr>
        <w:t> </w:t>
      </w:r>
      <w:r>
        <w:rPr>
          <w:sz w:val="19"/>
        </w:rPr>
        <w:t>Awad,</w:t>
      </w:r>
      <w:r>
        <w:rPr>
          <w:spacing w:val="41"/>
          <w:sz w:val="19"/>
        </w:rPr>
        <w:t> </w:t>
      </w:r>
      <w:r>
        <w:rPr>
          <w:sz w:val="19"/>
        </w:rPr>
        <w:t>A.</w:t>
      </w:r>
      <w:r>
        <w:rPr>
          <w:spacing w:val="40"/>
          <w:sz w:val="19"/>
        </w:rPr>
        <w:t> </w:t>
      </w:r>
      <w:r>
        <w:rPr>
          <w:sz w:val="19"/>
        </w:rPr>
        <w:t>A.</w:t>
      </w:r>
      <w:r>
        <w:rPr>
          <w:spacing w:val="42"/>
          <w:sz w:val="19"/>
        </w:rPr>
        <w:t> </w:t>
      </w:r>
      <w:r>
        <w:rPr>
          <w:sz w:val="19"/>
        </w:rPr>
        <w:t>A.,</w:t>
      </w:r>
      <w:r>
        <w:rPr>
          <w:spacing w:val="51"/>
          <w:sz w:val="19"/>
        </w:rPr>
        <w:t> </w:t>
      </w:r>
      <w:r>
        <w:rPr>
          <w:sz w:val="19"/>
        </w:rPr>
        <w:t>&amp;</w:t>
      </w:r>
      <w:r>
        <w:rPr>
          <w:spacing w:val="50"/>
          <w:sz w:val="19"/>
        </w:rPr>
        <w:t> </w:t>
      </w:r>
      <w:r>
        <w:rPr>
          <w:sz w:val="19"/>
        </w:rPr>
        <w:t>Safr,</w:t>
      </w:r>
      <w:r>
        <w:rPr>
          <w:spacing w:val="51"/>
          <w:sz w:val="19"/>
        </w:rPr>
        <w:t> </w:t>
      </w:r>
      <w:r>
        <w:rPr>
          <w:sz w:val="19"/>
        </w:rPr>
        <w:t>M.</w:t>
      </w:r>
      <w:r>
        <w:rPr>
          <w:spacing w:val="52"/>
          <w:sz w:val="19"/>
        </w:rPr>
        <w:t> </w:t>
      </w:r>
      <w:r>
        <w:rPr>
          <w:sz w:val="19"/>
        </w:rPr>
        <w:t>R.</w:t>
      </w:r>
      <w:r>
        <w:rPr>
          <w:spacing w:val="54"/>
          <w:sz w:val="19"/>
        </w:rPr>
        <w:t> </w:t>
      </w:r>
      <w:r>
        <w:rPr>
          <w:spacing w:val="-2"/>
          <w:sz w:val="19"/>
        </w:rPr>
        <w:t>(2025).</w:t>
      </w:r>
    </w:p>
    <w:p>
      <w:pPr>
        <w:spacing w:line="266" w:lineRule="auto" w:before="26"/>
        <w:ind w:left="2160" w:right="1439" w:firstLine="0"/>
        <w:jc w:val="both"/>
        <w:rPr>
          <w:sz w:val="19"/>
        </w:rPr>
      </w:pPr>
      <w:r>
        <w:rPr>
          <w:i/>
          <w:sz w:val="19"/>
        </w:rPr>
        <w:t>Women’s</w:t>
      </w:r>
      <w:r>
        <w:rPr>
          <w:i/>
          <w:spacing w:val="40"/>
          <w:sz w:val="19"/>
        </w:rPr>
        <w:t> </w:t>
      </w:r>
      <w:r>
        <w:rPr>
          <w:i/>
          <w:sz w:val="19"/>
        </w:rPr>
        <w:t>complexity</w:t>
      </w:r>
      <w:r>
        <w:rPr>
          <w:i/>
          <w:spacing w:val="40"/>
          <w:sz w:val="19"/>
        </w:rPr>
        <w:t> </w:t>
      </w:r>
      <w:r>
        <w:rPr>
          <w:i/>
          <w:sz w:val="19"/>
        </w:rPr>
        <w:t>in</w:t>
      </w:r>
      <w:r>
        <w:rPr>
          <w:i/>
          <w:spacing w:val="40"/>
          <w:sz w:val="19"/>
        </w:rPr>
        <w:t> </w:t>
      </w:r>
      <w:r>
        <w:rPr>
          <w:i/>
          <w:sz w:val="19"/>
        </w:rPr>
        <w:t>Shakespearean</w:t>
      </w:r>
      <w:r>
        <w:rPr>
          <w:i/>
          <w:spacing w:val="40"/>
          <w:sz w:val="19"/>
        </w:rPr>
        <w:t> </w:t>
      </w:r>
      <w:r>
        <w:rPr>
          <w:i/>
          <w:sz w:val="19"/>
        </w:rPr>
        <w:t>tragedy:</w:t>
      </w:r>
      <w:r>
        <w:rPr>
          <w:i/>
          <w:spacing w:val="40"/>
          <w:sz w:val="19"/>
        </w:rPr>
        <w:t> </w:t>
      </w:r>
      <w:r>
        <w:rPr>
          <w:i/>
          <w:sz w:val="19"/>
        </w:rPr>
        <w:t>A</w:t>
      </w:r>
      <w:r>
        <w:rPr>
          <w:i/>
          <w:spacing w:val="40"/>
          <w:sz w:val="19"/>
        </w:rPr>
        <w:t> </w:t>
      </w:r>
      <w:r>
        <w:rPr>
          <w:i/>
          <w:sz w:val="19"/>
        </w:rPr>
        <w:t>case</w:t>
      </w:r>
      <w:r>
        <w:rPr>
          <w:i/>
          <w:spacing w:val="40"/>
          <w:sz w:val="19"/>
        </w:rPr>
        <w:t> </w:t>
      </w:r>
      <w:r>
        <w:rPr>
          <w:i/>
          <w:sz w:val="19"/>
        </w:rPr>
        <w:t>study of</w:t>
      </w:r>
      <w:r>
        <w:rPr>
          <w:i/>
          <w:spacing w:val="-6"/>
          <w:sz w:val="19"/>
        </w:rPr>
        <w:t> </w:t>
      </w:r>
      <w:r>
        <w:rPr>
          <w:i/>
          <w:sz w:val="19"/>
        </w:rPr>
        <w:t>Macbeth</w:t>
      </w:r>
      <w:r>
        <w:rPr>
          <w:i/>
          <w:spacing w:val="-4"/>
          <w:sz w:val="19"/>
        </w:rPr>
        <w:t> </w:t>
      </w:r>
      <w:r>
        <w:rPr>
          <w:i/>
          <w:sz w:val="19"/>
        </w:rPr>
        <w:t>and</w:t>
      </w:r>
      <w:r>
        <w:rPr>
          <w:i/>
          <w:spacing w:val="-4"/>
          <w:sz w:val="19"/>
        </w:rPr>
        <w:t> </w:t>
      </w:r>
      <w:r>
        <w:rPr>
          <w:i/>
          <w:sz w:val="19"/>
        </w:rPr>
        <w:t>Hamlet</w:t>
      </w:r>
      <w:r>
        <w:rPr>
          <w:sz w:val="19"/>
        </w:rPr>
        <w:t>.</w:t>
      </w:r>
      <w:r>
        <w:rPr>
          <w:spacing w:val="-12"/>
          <w:sz w:val="19"/>
        </w:rPr>
        <w:t> </w:t>
      </w:r>
      <w:r>
        <w:rPr>
          <w:sz w:val="19"/>
        </w:rPr>
        <w:t>Acta</w:t>
      </w:r>
      <w:r>
        <w:rPr>
          <w:spacing w:val="-5"/>
          <w:sz w:val="19"/>
        </w:rPr>
        <w:t> </w:t>
      </w:r>
      <w:r>
        <w:rPr>
          <w:sz w:val="19"/>
        </w:rPr>
        <w:t>Globalis</w:t>
      </w:r>
      <w:r>
        <w:rPr>
          <w:spacing w:val="-6"/>
          <w:sz w:val="19"/>
        </w:rPr>
        <w:t> </w:t>
      </w:r>
      <w:r>
        <w:rPr>
          <w:sz w:val="19"/>
        </w:rPr>
        <w:t>Humanitatis</w:t>
      </w:r>
      <w:r>
        <w:rPr>
          <w:spacing w:val="-4"/>
          <w:sz w:val="19"/>
        </w:rPr>
        <w:t> </w:t>
      </w:r>
      <w:r>
        <w:rPr>
          <w:sz w:val="19"/>
        </w:rPr>
        <w:t>et</w:t>
      </w:r>
      <w:r>
        <w:rPr>
          <w:spacing w:val="-6"/>
          <w:sz w:val="19"/>
        </w:rPr>
        <w:t> </w:t>
      </w:r>
      <w:r>
        <w:rPr>
          <w:sz w:val="19"/>
        </w:rPr>
        <w:t>Linguarum, 2(3), 25–40. </w:t>
      </w:r>
      <w:hyperlink r:id="rId81">
        <w:r>
          <w:rPr>
            <w:sz w:val="19"/>
          </w:rPr>
          <w:t>https://doi.org/10.69760/aghel.0250020004</w:t>
        </w:r>
      </w:hyperlink>
    </w:p>
    <w:p>
      <w:pPr>
        <w:pStyle w:val="ListParagraph"/>
        <w:numPr>
          <w:ilvl w:val="1"/>
          <w:numId w:val="12"/>
        </w:numPr>
        <w:tabs>
          <w:tab w:pos="2157" w:val="left" w:leader="none"/>
          <w:tab w:pos="2160" w:val="left" w:leader="none"/>
        </w:tabs>
        <w:spacing w:line="266" w:lineRule="auto" w:before="62" w:after="0"/>
        <w:ind w:left="2160" w:right="1435" w:hanging="315"/>
        <w:jc w:val="both"/>
        <w:rPr>
          <w:sz w:val="19"/>
        </w:rPr>
      </w:pPr>
      <w:r>
        <w:rPr>
          <w:sz w:val="19"/>
        </w:rPr>
        <w:t>Neely, Carol Thomas. </w:t>
      </w:r>
      <w:r>
        <w:rPr>
          <w:i/>
          <w:sz w:val="19"/>
        </w:rPr>
        <w:t>Distracted Subjects: Madness and Gender in Shakespeare and Early Modern Culture</w:t>
      </w:r>
      <w:r>
        <w:rPr>
          <w:sz w:val="19"/>
        </w:rPr>
        <w:t>. Cornell University Press,</w:t>
      </w:r>
      <w:r>
        <w:rPr>
          <w:spacing w:val="40"/>
          <w:sz w:val="19"/>
        </w:rPr>
        <w:t> </w:t>
      </w:r>
      <w:r>
        <w:rPr>
          <w:sz w:val="19"/>
        </w:rPr>
        <w:t>2018.</w:t>
      </w:r>
    </w:p>
    <w:p>
      <w:pPr>
        <w:pStyle w:val="ListParagraph"/>
        <w:numPr>
          <w:ilvl w:val="1"/>
          <w:numId w:val="12"/>
        </w:numPr>
        <w:tabs>
          <w:tab w:pos="2160" w:val="left" w:leader="none"/>
          <w:tab w:pos="2263" w:val="left" w:leader="none"/>
        </w:tabs>
        <w:spacing w:line="268" w:lineRule="auto" w:before="62" w:after="0"/>
        <w:ind w:left="2160" w:right="1438" w:hanging="315"/>
        <w:jc w:val="both"/>
        <w:rPr>
          <w:sz w:val="19"/>
        </w:rPr>
      </w:pPr>
      <w:r>
        <w:rPr>
          <w:sz w:val="19"/>
        </w:rPr>
        <w:tab/>
        <w:t>Findlay, Alison. </w:t>
      </w:r>
      <w:r>
        <w:rPr>
          <w:i/>
          <w:sz w:val="19"/>
        </w:rPr>
        <w:t>Women in Shakespeare: A Dictionary</w:t>
      </w:r>
      <w:r>
        <w:rPr>
          <w:sz w:val="19"/>
        </w:rPr>
        <w:t>. Bloomsbury Academic,</w:t>
      </w:r>
      <w:r>
        <w:rPr>
          <w:spacing w:val="40"/>
          <w:sz w:val="19"/>
        </w:rPr>
        <w:t> </w:t>
      </w:r>
      <w:r>
        <w:rPr>
          <w:sz w:val="19"/>
        </w:rPr>
        <w:t>2014.</w:t>
      </w:r>
    </w:p>
    <w:p>
      <w:pPr>
        <w:pStyle w:val="ListParagraph"/>
        <w:numPr>
          <w:ilvl w:val="1"/>
          <w:numId w:val="12"/>
        </w:numPr>
        <w:tabs>
          <w:tab w:pos="2157" w:val="left" w:leader="none"/>
          <w:tab w:pos="2160" w:val="left" w:leader="none"/>
        </w:tabs>
        <w:spacing w:line="266" w:lineRule="auto" w:before="58" w:after="0"/>
        <w:ind w:left="2160" w:right="1437" w:hanging="315"/>
        <w:jc w:val="both"/>
        <w:rPr>
          <w:sz w:val="19"/>
        </w:rPr>
      </w:pPr>
      <w:r>
        <w:rPr>
          <w:spacing w:val="10"/>
          <w:sz w:val="19"/>
        </w:rPr>
        <w:t>Greenblatt,</w:t>
      </w:r>
      <w:r>
        <w:rPr>
          <w:spacing w:val="10"/>
          <w:sz w:val="19"/>
        </w:rPr>
        <w:t> Stephen.</w:t>
      </w:r>
      <w:r>
        <w:rPr>
          <w:spacing w:val="10"/>
          <w:sz w:val="19"/>
        </w:rPr>
        <w:t> </w:t>
      </w:r>
      <w:r>
        <w:rPr>
          <w:i/>
          <w:spacing w:val="11"/>
          <w:sz w:val="19"/>
        </w:rPr>
        <w:t>Shakespearean</w:t>
      </w:r>
      <w:r>
        <w:rPr>
          <w:i/>
          <w:spacing w:val="11"/>
          <w:sz w:val="19"/>
        </w:rPr>
        <w:t> Negotiations:</w:t>
      </w:r>
      <w:r>
        <w:rPr>
          <w:i/>
          <w:spacing w:val="11"/>
          <w:sz w:val="19"/>
        </w:rPr>
        <w:t> </w:t>
      </w:r>
      <w:r>
        <w:rPr>
          <w:i/>
          <w:sz w:val="19"/>
        </w:rPr>
        <w:t>The Circulation</w:t>
      </w:r>
      <w:r>
        <w:rPr>
          <w:i/>
          <w:spacing w:val="40"/>
          <w:sz w:val="19"/>
        </w:rPr>
        <w:t> </w:t>
      </w:r>
      <w:r>
        <w:rPr>
          <w:i/>
          <w:sz w:val="19"/>
        </w:rPr>
        <w:t>of</w:t>
      </w:r>
      <w:r>
        <w:rPr>
          <w:i/>
          <w:spacing w:val="40"/>
          <w:sz w:val="19"/>
        </w:rPr>
        <w:t> </w:t>
      </w:r>
      <w:r>
        <w:rPr>
          <w:i/>
          <w:sz w:val="19"/>
        </w:rPr>
        <w:t>Social</w:t>
      </w:r>
      <w:r>
        <w:rPr>
          <w:i/>
          <w:spacing w:val="40"/>
          <w:sz w:val="19"/>
        </w:rPr>
        <w:t> </w:t>
      </w:r>
      <w:r>
        <w:rPr>
          <w:i/>
          <w:sz w:val="19"/>
        </w:rPr>
        <w:t>Energy</w:t>
      </w:r>
      <w:r>
        <w:rPr>
          <w:i/>
          <w:spacing w:val="40"/>
          <w:sz w:val="19"/>
        </w:rPr>
        <w:t> </w:t>
      </w:r>
      <w:r>
        <w:rPr>
          <w:i/>
          <w:sz w:val="19"/>
        </w:rPr>
        <w:t>in</w:t>
      </w:r>
      <w:r>
        <w:rPr>
          <w:i/>
          <w:spacing w:val="40"/>
          <w:sz w:val="19"/>
        </w:rPr>
        <w:t> </w:t>
      </w:r>
      <w:r>
        <w:rPr>
          <w:i/>
          <w:sz w:val="19"/>
        </w:rPr>
        <w:t>Renaissance</w:t>
      </w:r>
      <w:r>
        <w:rPr>
          <w:i/>
          <w:spacing w:val="40"/>
          <w:sz w:val="19"/>
        </w:rPr>
        <w:t> </w:t>
      </w:r>
      <w:r>
        <w:rPr>
          <w:i/>
          <w:sz w:val="19"/>
        </w:rPr>
        <w:t>England</w:t>
      </w:r>
      <w:r>
        <w:rPr>
          <w:sz w:val="19"/>
        </w:rPr>
        <w:t>.</w:t>
      </w:r>
      <w:r>
        <w:rPr>
          <w:spacing w:val="40"/>
          <w:sz w:val="19"/>
        </w:rPr>
        <w:t> </w:t>
      </w:r>
      <w:r>
        <w:rPr>
          <w:sz w:val="19"/>
        </w:rPr>
        <w:t>2024.</w:t>
      </w:r>
    </w:p>
    <w:p>
      <w:pPr>
        <w:pStyle w:val="ListParagraph"/>
        <w:numPr>
          <w:ilvl w:val="1"/>
          <w:numId w:val="12"/>
        </w:numPr>
        <w:tabs>
          <w:tab w:pos="2157" w:val="left" w:leader="none"/>
          <w:tab w:pos="2160" w:val="left" w:leader="none"/>
        </w:tabs>
        <w:spacing w:line="268" w:lineRule="auto" w:before="60" w:after="0"/>
        <w:ind w:left="2160" w:right="1438" w:hanging="315"/>
        <w:jc w:val="both"/>
        <w:rPr>
          <w:sz w:val="19"/>
        </w:rPr>
      </w:pPr>
      <w:r>
        <w:rPr>
          <w:sz w:val="19"/>
        </w:rPr>
        <w:t>Habib, Md. Jakaria. “The Role of Gertrude and Ophelia in Shakespeare’s Hamlet: A Feminist Implication.” </w:t>
      </w:r>
      <w:r>
        <w:rPr>
          <w:i/>
          <w:sz w:val="19"/>
        </w:rPr>
        <w:t>Scholars</w:t>
      </w:r>
      <w:r>
        <w:rPr>
          <w:i/>
          <w:spacing w:val="40"/>
          <w:sz w:val="19"/>
        </w:rPr>
        <w:t> </w:t>
      </w:r>
      <w:r>
        <w:rPr>
          <w:i/>
          <w:sz w:val="19"/>
        </w:rPr>
        <w:t>Journal</w:t>
      </w:r>
      <w:r>
        <w:rPr>
          <w:i/>
          <w:spacing w:val="40"/>
          <w:sz w:val="19"/>
        </w:rPr>
        <w:t> </w:t>
      </w:r>
      <w:r>
        <w:rPr>
          <w:i/>
          <w:sz w:val="19"/>
        </w:rPr>
        <w:t>of</w:t>
      </w:r>
      <w:r>
        <w:rPr>
          <w:i/>
          <w:spacing w:val="40"/>
          <w:sz w:val="19"/>
        </w:rPr>
        <w:t> </w:t>
      </w:r>
      <w:r>
        <w:rPr>
          <w:i/>
          <w:sz w:val="19"/>
        </w:rPr>
        <w:t>Arts,</w:t>
      </w:r>
      <w:r>
        <w:rPr>
          <w:i/>
          <w:spacing w:val="40"/>
          <w:sz w:val="19"/>
        </w:rPr>
        <w:t> </w:t>
      </w:r>
      <w:r>
        <w:rPr>
          <w:i/>
          <w:sz w:val="19"/>
        </w:rPr>
        <w:t>Humanities</w:t>
      </w:r>
      <w:r>
        <w:rPr>
          <w:i/>
          <w:spacing w:val="40"/>
          <w:sz w:val="19"/>
        </w:rPr>
        <w:t> </w:t>
      </w:r>
      <w:r>
        <w:rPr>
          <w:i/>
          <w:sz w:val="19"/>
        </w:rPr>
        <w:t>and</w:t>
      </w:r>
      <w:r>
        <w:rPr>
          <w:i/>
          <w:spacing w:val="40"/>
          <w:sz w:val="19"/>
        </w:rPr>
        <w:t> </w:t>
      </w:r>
      <w:r>
        <w:rPr>
          <w:i/>
          <w:sz w:val="19"/>
        </w:rPr>
        <w:t>Social</w:t>
      </w:r>
      <w:r>
        <w:rPr>
          <w:i/>
          <w:spacing w:val="40"/>
          <w:sz w:val="19"/>
        </w:rPr>
        <w:t> </w:t>
      </w:r>
      <w:r>
        <w:rPr>
          <w:i/>
          <w:sz w:val="19"/>
        </w:rPr>
        <w:t>Sciences</w:t>
      </w:r>
      <w:r>
        <w:rPr>
          <w:sz w:val="19"/>
        </w:rPr>
        <w:t>,</w:t>
      </w:r>
      <w:r>
        <w:rPr>
          <w:spacing w:val="40"/>
          <w:sz w:val="19"/>
        </w:rPr>
        <w:t> </w:t>
      </w:r>
      <w:r>
        <w:rPr>
          <w:sz w:val="19"/>
        </w:rPr>
        <w:t>2022.</w:t>
      </w:r>
    </w:p>
    <w:p>
      <w:pPr>
        <w:pStyle w:val="ListParagraph"/>
        <w:numPr>
          <w:ilvl w:val="1"/>
          <w:numId w:val="12"/>
        </w:numPr>
        <w:tabs>
          <w:tab w:pos="2157" w:val="left" w:leader="none"/>
          <w:tab w:pos="2160" w:val="left" w:leader="none"/>
        </w:tabs>
        <w:spacing w:line="268" w:lineRule="auto" w:before="55" w:after="0"/>
        <w:ind w:left="2160" w:right="1438" w:hanging="315"/>
        <w:jc w:val="both"/>
        <w:rPr>
          <w:sz w:val="19"/>
        </w:rPr>
      </w:pPr>
      <w:r>
        <w:rPr>
          <w:sz w:val="19"/>
        </w:rPr>
        <w:t>Rani, Sunita. “Subversion and Conformity: Gender Roles in Shakespearean</w:t>
      </w:r>
      <w:r>
        <w:rPr>
          <w:spacing w:val="40"/>
          <w:sz w:val="19"/>
        </w:rPr>
        <w:t> </w:t>
      </w:r>
      <w:r>
        <w:rPr>
          <w:sz w:val="19"/>
        </w:rPr>
        <w:t>Tragedies.”</w:t>
      </w:r>
      <w:r>
        <w:rPr>
          <w:spacing w:val="40"/>
          <w:sz w:val="19"/>
        </w:rPr>
        <w:t> </w:t>
      </w:r>
      <w:r>
        <w:rPr>
          <w:sz w:val="19"/>
        </w:rPr>
        <w:t>2025.</w:t>
      </w:r>
    </w:p>
    <w:p>
      <w:pPr>
        <w:pStyle w:val="ListParagraph"/>
        <w:numPr>
          <w:ilvl w:val="1"/>
          <w:numId w:val="12"/>
        </w:numPr>
        <w:tabs>
          <w:tab w:pos="2157" w:val="left" w:leader="none"/>
          <w:tab w:pos="2160" w:val="left" w:leader="none"/>
        </w:tabs>
        <w:spacing w:line="261" w:lineRule="auto" w:before="53" w:after="0"/>
        <w:ind w:left="2160" w:right="1438" w:hanging="315"/>
        <w:jc w:val="both"/>
        <w:rPr>
          <w:sz w:val="19"/>
        </w:rPr>
      </w:pPr>
      <w:r>
        <w:rPr>
          <w:sz w:val="19"/>
        </w:rPr>
        <w:t>Gupta, Ankita, and S. K. Tiwari. “Shakespeare’s Women Characters</w:t>
      </w:r>
      <w:r>
        <w:rPr>
          <w:spacing w:val="40"/>
          <w:sz w:val="19"/>
        </w:rPr>
        <w:t> </w:t>
      </w:r>
      <w:r>
        <w:rPr>
          <w:sz w:val="19"/>
        </w:rPr>
        <w:t>as</w:t>
      </w:r>
      <w:r>
        <w:rPr>
          <w:spacing w:val="40"/>
          <w:sz w:val="19"/>
        </w:rPr>
        <w:t> </w:t>
      </w:r>
      <w:r>
        <w:rPr>
          <w:sz w:val="19"/>
        </w:rPr>
        <w:t>a</w:t>
      </w:r>
      <w:r>
        <w:rPr>
          <w:spacing w:val="40"/>
          <w:sz w:val="19"/>
        </w:rPr>
        <w:t> </w:t>
      </w:r>
      <w:r>
        <w:rPr>
          <w:sz w:val="19"/>
        </w:rPr>
        <w:t>Mirror</w:t>
      </w:r>
      <w:r>
        <w:rPr>
          <w:spacing w:val="40"/>
          <w:sz w:val="19"/>
        </w:rPr>
        <w:t> </w:t>
      </w:r>
      <w:r>
        <w:rPr>
          <w:sz w:val="19"/>
        </w:rPr>
        <w:t>of</w:t>
      </w:r>
      <w:r>
        <w:rPr>
          <w:spacing w:val="40"/>
          <w:sz w:val="19"/>
        </w:rPr>
        <w:t> </w:t>
      </w:r>
      <w:r>
        <w:rPr>
          <w:sz w:val="19"/>
        </w:rPr>
        <w:t>Society.”</w:t>
      </w:r>
      <w:r>
        <w:rPr>
          <w:spacing w:val="40"/>
          <w:sz w:val="19"/>
        </w:rPr>
        <w:t> </w:t>
      </w:r>
      <w:r>
        <w:rPr>
          <w:sz w:val="19"/>
        </w:rPr>
        <w:t>2017.</w:t>
      </w:r>
    </w:p>
    <w:p>
      <w:pPr>
        <w:pStyle w:val="ListParagraph"/>
        <w:spacing w:after="0" w:line="261" w:lineRule="auto"/>
        <w:jc w:val="both"/>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37504">
                <wp:simplePos x="0" y="0"/>
                <wp:positionH relativeFrom="page">
                  <wp:posOffset>2057400</wp:posOffset>
                </wp:positionH>
                <wp:positionV relativeFrom="paragraph">
                  <wp:posOffset>162604</wp:posOffset>
                </wp:positionV>
                <wp:extent cx="3657600" cy="12700"/>
                <wp:effectExtent l="0" t="0" r="0" b="0"/>
                <wp:wrapTopAndBottom/>
                <wp:docPr id="199" name="Graphic 199"/>
                <wp:cNvGraphicFramePr>
                  <a:graphicFrameLocks/>
                </wp:cNvGraphicFramePr>
                <a:graphic>
                  <a:graphicData uri="http://schemas.microsoft.com/office/word/2010/wordprocessingShape">
                    <wps:wsp>
                      <wps:cNvPr id="199" name="Graphic 19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78976;mso-wrap-distance-left:0;mso-wrap-distance-right:0" id="docshape195" filled="true" fillcolor="#000000" stroked="false">
                <v:fill type="solid"/>
                <w10:wrap type="topAndBottom"/>
              </v:rect>
            </w:pict>
          </mc:Fallback>
        </mc:AlternateContent>
      </w:r>
      <w:r>
        <w:rPr>
          <w:rFonts w:ascii="Verdana"/>
          <w:spacing w:val="-5"/>
          <w:sz w:val="18"/>
        </w:rPr>
        <w:t>40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1"/>
          <w:numId w:val="12"/>
        </w:numPr>
        <w:tabs>
          <w:tab w:pos="2157" w:val="left" w:leader="none"/>
          <w:tab w:pos="2160" w:val="left" w:leader="none"/>
        </w:tabs>
        <w:spacing w:line="261" w:lineRule="auto" w:before="199" w:after="0"/>
        <w:ind w:left="2160" w:right="1439" w:hanging="315"/>
        <w:jc w:val="left"/>
        <w:rPr>
          <w:sz w:val="19"/>
        </w:rPr>
      </w:pPr>
      <w:r>
        <w:rPr>
          <w:sz w:val="19"/>
        </w:rPr>
        <w:t>Showalter,</w:t>
      </w:r>
      <w:r>
        <w:rPr>
          <w:spacing w:val="40"/>
          <w:sz w:val="19"/>
        </w:rPr>
        <w:t> </w:t>
      </w:r>
      <w:r>
        <w:rPr>
          <w:sz w:val="19"/>
        </w:rPr>
        <w:t>Elaine.</w:t>
      </w:r>
      <w:r>
        <w:rPr>
          <w:spacing w:val="40"/>
          <w:sz w:val="19"/>
        </w:rPr>
        <w:t> </w:t>
      </w:r>
      <w:r>
        <w:rPr>
          <w:sz w:val="19"/>
        </w:rPr>
        <w:t>“Representing</w:t>
      </w:r>
      <w:r>
        <w:rPr>
          <w:spacing w:val="40"/>
          <w:sz w:val="19"/>
        </w:rPr>
        <w:t> </w:t>
      </w:r>
      <w:r>
        <w:rPr>
          <w:sz w:val="19"/>
        </w:rPr>
        <w:t>Ophelia:</w:t>
      </w:r>
      <w:r>
        <w:rPr>
          <w:spacing w:val="40"/>
          <w:sz w:val="19"/>
        </w:rPr>
        <w:t> </w:t>
      </w:r>
      <w:r>
        <w:rPr>
          <w:sz w:val="19"/>
        </w:rPr>
        <w:t>Women,</w:t>
      </w:r>
      <w:r>
        <w:rPr>
          <w:spacing w:val="40"/>
          <w:sz w:val="19"/>
        </w:rPr>
        <w:t> </w:t>
      </w:r>
      <w:r>
        <w:rPr>
          <w:sz w:val="19"/>
        </w:rPr>
        <w:t>Madness, and</w:t>
      </w:r>
      <w:r>
        <w:rPr>
          <w:spacing w:val="40"/>
          <w:sz w:val="19"/>
        </w:rPr>
        <w:t> </w:t>
      </w:r>
      <w:r>
        <w:rPr>
          <w:sz w:val="19"/>
        </w:rPr>
        <w:t>the</w:t>
      </w:r>
      <w:r>
        <w:rPr>
          <w:spacing w:val="40"/>
          <w:sz w:val="19"/>
        </w:rPr>
        <w:t> </w:t>
      </w:r>
      <w:r>
        <w:rPr>
          <w:sz w:val="19"/>
        </w:rPr>
        <w:t>Responsibilities</w:t>
      </w:r>
      <w:r>
        <w:rPr>
          <w:spacing w:val="40"/>
          <w:sz w:val="19"/>
        </w:rPr>
        <w:t> </w:t>
      </w:r>
      <w:r>
        <w:rPr>
          <w:sz w:val="19"/>
        </w:rPr>
        <w:t>of</w:t>
      </w:r>
      <w:r>
        <w:rPr>
          <w:spacing w:val="40"/>
          <w:sz w:val="19"/>
        </w:rPr>
        <w:t> </w:t>
      </w:r>
      <w:r>
        <w:rPr>
          <w:sz w:val="19"/>
        </w:rPr>
        <w:t>Feminist</w:t>
      </w:r>
      <w:r>
        <w:rPr>
          <w:spacing w:val="40"/>
          <w:sz w:val="19"/>
        </w:rPr>
        <w:t> </w:t>
      </w:r>
      <w:r>
        <w:rPr>
          <w:sz w:val="19"/>
        </w:rPr>
        <w:t>Criticism.”</w:t>
      </w:r>
    </w:p>
    <w:p>
      <w:pPr>
        <w:pStyle w:val="ListParagraph"/>
        <w:numPr>
          <w:ilvl w:val="1"/>
          <w:numId w:val="12"/>
        </w:numPr>
        <w:tabs>
          <w:tab w:pos="2157" w:val="left" w:leader="none"/>
          <w:tab w:pos="2160" w:val="left" w:leader="none"/>
        </w:tabs>
        <w:spacing w:line="264" w:lineRule="auto" w:before="57" w:after="0"/>
        <w:ind w:left="2160" w:right="1439" w:hanging="406"/>
        <w:jc w:val="left"/>
        <w:rPr>
          <w:sz w:val="19"/>
        </w:rPr>
      </w:pPr>
      <w:r>
        <w:rPr>
          <w:sz w:val="19"/>
        </w:rPr>
        <w:t>Belsey,</w:t>
      </w:r>
      <w:r>
        <w:rPr>
          <w:spacing w:val="80"/>
          <w:sz w:val="19"/>
        </w:rPr>
        <w:t> </w:t>
      </w:r>
      <w:r>
        <w:rPr>
          <w:sz w:val="19"/>
        </w:rPr>
        <w:t>Catherine.</w:t>
      </w:r>
      <w:r>
        <w:rPr>
          <w:spacing w:val="80"/>
          <w:sz w:val="19"/>
        </w:rPr>
        <w:t> </w:t>
      </w:r>
      <w:r>
        <w:rPr>
          <w:i/>
          <w:sz w:val="19"/>
        </w:rPr>
        <w:t>The</w:t>
      </w:r>
      <w:r>
        <w:rPr>
          <w:i/>
          <w:spacing w:val="80"/>
          <w:sz w:val="19"/>
        </w:rPr>
        <w:t> </w:t>
      </w:r>
      <w:r>
        <w:rPr>
          <w:i/>
          <w:sz w:val="19"/>
        </w:rPr>
        <w:t>Subject</w:t>
      </w:r>
      <w:r>
        <w:rPr>
          <w:i/>
          <w:spacing w:val="80"/>
          <w:sz w:val="19"/>
        </w:rPr>
        <w:t> </w:t>
      </w:r>
      <w:r>
        <w:rPr>
          <w:i/>
          <w:sz w:val="19"/>
        </w:rPr>
        <w:t>of</w:t>
      </w:r>
      <w:r>
        <w:rPr>
          <w:i/>
          <w:spacing w:val="80"/>
          <w:sz w:val="19"/>
        </w:rPr>
        <w:t> </w:t>
      </w:r>
      <w:r>
        <w:rPr>
          <w:i/>
          <w:sz w:val="19"/>
        </w:rPr>
        <w:t>Tragedy:</w:t>
      </w:r>
      <w:r>
        <w:rPr>
          <w:i/>
          <w:spacing w:val="80"/>
          <w:sz w:val="19"/>
        </w:rPr>
        <w:t> </w:t>
      </w:r>
      <w:r>
        <w:rPr>
          <w:i/>
          <w:sz w:val="19"/>
        </w:rPr>
        <w:t>Identity</w:t>
      </w:r>
      <w:r>
        <w:rPr>
          <w:i/>
          <w:spacing w:val="80"/>
          <w:sz w:val="19"/>
        </w:rPr>
        <w:t> </w:t>
      </w:r>
      <w:r>
        <w:rPr>
          <w:i/>
          <w:sz w:val="19"/>
        </w:rPr>
        <w:t>and</w:t>
      </w:r>
      <w:r>
        <w:rPr>
          <w:i/>
          <w:spacing w:val="40"/>
          <w:sz w:val="19"/>
        </w:rPr>
        <w:t> </w:t>
      </w:r>
      <w:r>
        <w:rPr>
          <w:i/>
          <w:sz w:val="19"/>
        </w:rPr>
        <w:t>Difference</w:t>
      </w:r>
      <w:r>
        <w:rPr>
          <w:i/>
          <w:spacing w:val="40"/>
          <w:sz w:val="19"/>
        </w:rPr>
        <w:t> </w:t>
      </w:r>
      <w:r>
        <w:rPr>
          <w:i/>
          <w:sz w:val="19"/>
        </w:rPr>
        <w:t>in</w:t>
      </w:r>
      <w:r>
        <w:rPr>
          <w:i/>
          <w:spacing w:val="40"/>
          <w:sz w:val="19"/>
        </w:rPr>
        <w:t> </w:t>
      </w:r>
      <w:r>
        <w:rPr>
          <w:i/>
          <w:sz w:val="19"/>
        </w:rPr>
        <w:t>Renaissance</w:t>
      </w:r>
      <w:r>
        <w:rPr>
          <w:i/>
          <w:spacing w:val="40"/>
          <w:sz w:val="19"/>
        </w:rPr>
        <w:t> </w:t>
      </w:r>
      <w:r>
        <w:rPr>
          <w:i/>
          <w:sz w:val="19"/>
        </w:rPr>
        <w:t>Drama</w:t>
      </w:r>
      <w:r>
        <w:rPr>
          <w:sz w:val="19"/>
        </w:rPr>
        <w:t>.</w:t>
      </w:r>
    </w:p>
    <w:p>
      <w:pPr>
        <w:pStyle w:val="ListParagraph"/>
        <w:numPr>
          <w:ilvl w:val="1"/>
          <w:numId w:val="12"/>
        </w:numPr>
        <w:tabs>
          <w:tab w:pos="2157" w:val="left" w:leader="none"/>
          <w:tab w:pos="2160" w:val="left" w:leader="none"/>
        </w:tabs>
        <w:spacing w:line="261" w:lineRule="auto" w:before="54" w:after="0"/>
        <w:ind w:left="2160" w:right="1438" w:hanging="406"/>
        <w:jc w:val="left"/>
        <w:rPr>
          <w:sz w:val="19"/>
        </w:rPr>
      </w:pPr>
      <w:r>
        <w:rPr>
          <w:sz w:val="19"/>
        </w:rPr>
        <w:t>Adelman,</w:t>
      </w:r>
      <w:r>
        <w:rPr>
          <w:spacing w:val="40"/>
          <w:sz w:val="19"/>
        </w:rPr>
        <w:t> </w:t>
      </w:r>
      <w:r>
        <w:rPr>
          <w:sz w:val="19"/>
        </w:rPr>
        <w:t>Janet.</w:t>
      </w:r>
      <w:r>
        <w:rPr>
          <w:spacing w:val="40"/>
          <w:sz w:val="19"/>
        </w:rPr>
        <w:t> </w:t>
      </w:r>
      <w:r>
        <w:rPr>
          <w:i/>
          <w:sz w:val="19"/>
        </w:rPr>
        <w:t>Suffocating</w:t>
      </w:r>
      <w:r>
        <w:rPr>
          <w:i/>
          <w:spacing w:val="40"/>
          <w:sz w:val="19"/>
        </w:rPr>
        <w:t> </w:t>
      </w:r>
      <w:r>
        <w:rPr>
          <w:i/>
          <w:sz w:val="19"/>
        </w:rPr>
        <w:t>Mothers:</w:t>
      </w:r>
      <w:r>
        <w:rPr>
          <w:i/>
          <w:spacing w:val="40"/>
          <w:sz w:val="19"/>
        </w:rPr>
        <w:t> </w:t>
      </w:r>
      <w:r>
        <w:rPr>
          <w:i/>
          <w:sz w:val="19"/>
        </w:rPr>
        <w:t>Fantasies</w:t>
      </w:r>
      <w:r>
        <w:rPr>
          <w:i/>
          <w:spacing w:val="40"/>
          <w:sz w:val="19"/>
        </w:rPr>
        <w:t> </w:t>
      </w:r>
      <w:r>
        <w:rPr>
          <w:i/>
          <w:sz w:val="19"/>
        </w:rPr>
        <w:t>of</w:t>
      </w:r>
      <w:r>
        <w:rPr>
          <w:i/>
          <w:spacing w:val="40"/>
          <w:sz w:val="19"/>
        </w:rPr>
        <w:t> </w:t>
      </w:r>
      <w:r>
        <w:rPr>
          <w:i/>
          <w:sz w:val="19"/>
        </w:rPr>
        <w:t>Maternal Origin</w:t>
      </w:r>
      <w:r>
        <w:rPr>
          <w:i/>
          <w:spacing w:val="40"/>
          <w:sz w:val="19"/>
        </w:rPr>
        <w:t> </w:t>
      </w:r>
      <w:r>
        <w:rPr>
          <w:i/>
          <w:sz w:val="19"/>
        </w:rPr>
        <w:t>in</w:t>
      </w:r>
      <w:r>
        <w:rPr>
          <w:i/>
          <w:spacing w:val="40"/>
          <w:sz w:val="19"/>
        </w:rPr>
        <w:t> </w:t>
      </w:r>
      <w:r>
        <w:rPr>
          <w:i/>
          <w:sz w:val="19"/>
        </w:rPr>
        <w:t>Shakespeare’s</w:t>
      </w:r>
      <w:r>
        <w:rPr>
          <w:i/>
          <w:spacing w:val="40"/>
          <w:sz w:val="19"/>
        </w:rPr>
        <w:t> </w:t>
      </w:r>
      <w:r>
        <w:rPr>
          <w:i/>
          <w:sz w:val="19"/>
        </w:rPr>
        <w:t>Plays</w:t>
      </w:r>
      <w:r>
        <w:rPr>
          <w:sz w:val="19"/>
        </w:rPr>
        <w:t>.</w:t>
      </w:r>
    </w:p>
    <w:p>
      <w:pPr>
        <w:pStyle w:val="ListParagraph"/>
        <w:numPr>
          <w:ilvl w:val="1"/>
          <w:numId w:val="12"/>
        </w:numPr>
        <w:tabs>
          <w:tab w:pos="2157" w:val="left" w:leader="none"/>
        </w:tabs>
        <w:spacing w:line="240" w:lineRule="auto" w:before="57" w:after="0"/>
        <w:ind w:left="2157" w:right="0" w:hanging="403"/>
        <w:jc w:val="left"/>
        <w:rPr>
          <w:sz w:val="19"/>
        </w:rPr>
      </w:pPr>
      <w:r>
        <w:rPr>
          <w:sz w:val="19"/>
        </w:rPr>
        <w:t>Callaghan,</w:t>
      </w:r>
      <w:r>
        <w:rPr>
          <w:spacing w:val="58"/>
          <w:sz w:val="19"/>
        </w:rPr>
        <w:t> </w:t>
      </w:r>
      <w:r>
        <w:rPr>
          <w:sz w:val="19"/>
        </w:rPr>
        <w:t>Dympna.</w:t>
      </w:r>
      <w:r>
        <w:rPr>
          <w:spacing w:val="58"/>
          <w:sz w:val="19"/>
        </w:rPr>
        <w:t> </w:t>
      </w:r>
      <w:r>
        <w:rPr>
          <w:i/>
          <w:sz w:val="19"/>
        </w:rPr>
        <w:t>Shakespeare</w:t>
      </w:r>
      <w:r>
        <w:rPr>
          <w:i/>
          <w:spacing w:val="59"/>
          <w:sz w:val="19"/>
        </w:rPr>
        <w:t> </w:t>
      </w:r>
      <w:r>
        <w:rPr>
          <w:i/>
          <w:sz w:val="19"/>
        </w:rPr>
        <w:t>Without</w:t>
      </w:r>
      <w:r>
        <w:rPr>
          <w:i/>
          <w:spacing w:val="58"/>
          <w:sz w:val="19"/>
        </w:rPr>
        <w:t> </w:t>
      </w:r>
      <w:r>
        <w:rPr>
          <w:i/>
          <w:spacing w:val="-2"/>
          <w:sz w:val="19"/>
        </w:rPr>
        <w:t>Women</w:t>
      </w:r>
      <w:r>
        <w:rPr>
          <w:spacing w:val="-2"/>
          <w:sz w:val="19"/>
        </w:rPr>
        <w:t>.</w:t>
      </w:r>
    </w:p>
    <w:p>
      <w:pPr>
        <w:pStyle w:val="ListParagraph"/>
        <w:spacing w:after="0" w:line="240"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02688">
                <wp:simplePos x="0" y="0"/>
                <wp:positionH relativeFrom="page">
                  <wp:posOffset>2057400</wp:posOffset>
                </wp:positionH>
                <wp:positionV relativeFrom="page">
                  <wp:posOffset>1788723</wp:posOffset>
                </wp:positionV>
                <wp:extent cx="3654425" cy="140335"/>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3654425" cy="140335"/>
                        </a:xfrm>
                        <a:prstGeom prst="rect">
                          <a:avLst/>
                        </a:prstGeom>
                      </wps:spPr>
                      <wps:txbx>
                        <w:txbxContent>
                          <w:p>
                            <w:pPr>
                              <w:tabs>
                                <w:tab w:pos="5541" w:val="left" w:leader="none"/>
                              </w:tabs>
                              <w:spacing w:line="219" w:lineRule="exact" w:before="0"/>
                              <w:ind w:left="0" w:right="0" w:firstLine="0"/>
                              <w:jc w:val="left"/>
                              <w:rPr>
                                <w:rFonts w:ascii="Verdana"/>
                                <w:sz w:val="18"/>
                              </w:rPr>
                            </w:pPr>
                            <w:r>
                              <w:rPr>
                                <w:rFonts w:ascii="Verdana"/>
                                <w:sz w:val="18"/>
                              </w:rPr>
                              <w:t>Caged</w:t>
                            </w:r>
                            <w:r>
                              <w:rPr>
                                <w:rFonts w:ascii="Verdana"/>
                                <w:spacing w:val="14"/>
                                <w:sz w:val="18"/>
                              </w:rPr>
                              <w:t> </w:t>
                            </w:r>
                            <w:r>
                              <w:rPr>
                                <w:rFonts w:ascii="Verdana"/>
                                <w:sz w:val="18"/>
                              </w:rPr>
                              <w:t>Voices</w:t>
                            </w:r>
                            <w:r>
                              <w:rPr>
                                <w:rFonts w:ascii="Verdana"/>
                                <w:spacing w:val="16"/>
                                <w:sz w:val="18"/>
                              </w:rPr>
                              <w:t> </w:t>
                            </w:r>
                            <w:r>
                              <w:rPr>
                                <w:rFonts w:ascii="Verdana"/>
                                <w:sz w:val="18"/>
                              </w:rPr>
                              <w:t>and</w:t>
                            </w:r>
                            <w:r>
                              <w:rPr>
                                <w:rFonts w:ascii="Verdana"/>
                                <w:spacing w:val="17"/>
                                <w:sz w:val="18"/>
                              </w:rPr>
                              <w:t> </w:t>
                            </w:r>
                            <w:r>
                              <w:rPr>
                                <w:rFonts w:ascii="Verdana"/>
                                <w:sz w:val="18"/>
                              </w:rPr>
                              <w:t>Subtle</w:t>
                            </w:r>
                            <w:r>
                              <w:rPr>
                                <w:rFonts w:ascii="Verdana"/>
                                <w:spacing w:val="16"/>
                                <w:sz w:val="18"/>
                              </w:rPr>
                              <w:t> </w:t>
                            </w:r>
                            <w:r>
                              <w:rPr>
                                <w:rFonts w:ascii="Verdana"/>
                                <w:sz w:val="18"/>
                              </w:rPr>
                              <w:t>Rebellions:</w:t>
                            </w:r>
                            <w:r>
                              <w:rPr>
                                <w:rFonts w:ascii="Verdana"/>
                                <w:spacing w:val="15"/>
                                <w:sz w:val="18"/>
                              </w:rPr>
                              <w:t> </w:t>
                            </w:r>
                            <w:r>
                              <w:rPr>
                                <w:rFonts w:ascii="Verdana"/>
                                <w:sz w:val="18"/>
                              </w:rPr>
                              <w:t>Gendered</w:t>
                            </w:r>
                            <w:r>
                              <w:rPr>
                                <w:rFonts w:ascii="Verdana"/>
                                <w:spacing w:val="17"/>
                                <w:sz w:val="18"/>
                              </w:rPr>
                              <w:t> </w:t>
                            </w:r>
                            <w:r>
                              <w:rPr>
                                <w:rFonts w:ascii="Verdana"/>
                                <w:sz w:val="18"/>
                              </w:rPr>
                              <w:t>Power</w:t>
                            </w:r>
                            <w:r>
                              <w:rPr>
                                <w:rFonts w:ascii="Verdana"/>
                                <w:spacing w:val="18"/>
                                <w:sz w:val="18"/>
                              </w:rPr>
                              <w:t> </w:t>
                            </w:r>
                            <w:r>
                              <w:rPr>
                                <w:rFonts w:ascii="Verdana"/>
                                <w:spacing w:val="-5"/>
                                <w:sz w:val="18"/>
                              </w:rPr>
                              <w:t>...</w:t>
                            </w:r>
                            <w:r>
                              <w:rPr>
                                <w:rFonts w:ascii="Verdana"/>
                                <w:sz w:val="18"/>
                              </w:rPr>
                              <w:tab/>
                            </w:r>
                            <w:r>
                              <w:rPr>
                                <w:rFonts w:ascii="Verdana"/>
                                <w:spacing w:val="-14"/>
                                <w:sz w:val="18"/>
                              </w:rPr>
                              <w:t>41</w:t>
                            </w:r>
                          </w:p>
                        </w:txbxContent>
                      </wps:txbx>
                      <wps:bodyPr wrap="square" lIns="0" tIns="0" rIns="0" bIns="0" rtlCol="0">
                        <a:noAutofit/>
                      </wps:bodyPr>
                    </wps:wsp>
                  </a:graphicData>
                </a:graphic>
              </wp:anchor>
            </w:drawing>
          </mc:Choice>
          <mc:Fallback>
            <w:pict>
              <v:shape style="position:absolute;margin-left:162pt;margin-top:140.844391pt;width:287.75pt;height:11.05pt;mso-position-horizontal-relative:page;mso-position-vertical-relative:page;z-index:-20513792" type="#_x0000_t202" id="docshape196" filled="false" stroked="false">
                <v:textbox inset="0,0,0,0">
                  <w:txbxContent>
                    <w:p>
                      <w:pPr>
                        <w:tabs>
                          <w:tab w:pos="5541" w:val="left" w:leader="none"/>
                        </w:tabs>
                        <w:spacing w:line="219" w:lineRule="exact" w:before="0"/>
                        <w:ind w:left="0" w:right="0" w:firstLine="0"/>
                        <w:jc w:val="left"/>
                        <w:rPr>
                          <w:rFonts w:ascii="Verdana"/>
                          <w:sz w:val="18"/>
                        </w:rPr>
                      </w:pPr>
                      <w:r>
                        <w:rPr>
                          <w:rFonts w:ascii="Verdana"/>
                          <w:sz w:val="18"/>
                        </w:rPr>
                        <w:t>Caged</w:t>
                      </w:r>
                      <w:r>
                        <w:rPr>
                          <w:rFonts w:ascii="Verdana"/>
                          <w:spacing w:val="14"/>
                          <w:sz w:val="18"/>
                        </w:rPr>
                        <w:t> </w:t>
                      </w:r>
                      <w:r>
                        <w:rPr>
                          <w:rFonts w:ascii="Verdana"/>
                          <w:sz w:val="18"/>
                        </w:rPr>
                        <w:t>Voices</w:t>
                      </w:r>
                      <w:r>
                        <w:rPr>
                          <w:rFonts w:ascii="Verdana"/>
                          <w:spacing w:val="16"/>
                          <w:sz w:val="18"/>
                        </w:rPr>
                        <w:t> </w:t>
                      </w:r>
                      <w:r>
                        <w:rPr>
                          <w:rFonts w:ascii="Verdana"/>
                          <w:sz w:val="18"/>
                        </w:rPr>
                        <w:t>and</w:t>
                      </w:r>
                      <w:r>
                        <w:rPr>
                          <w:rFonts w:ascii="Verdana"/>
                          <w:spacing w:val="17"/>
                          <w:sz w:val="18"/>
                        </w:rPr>
                        <w:t> </w:t>
                      </w:r>
                      <w:r>
                        <w:rPr>
                          <w:rFonts w:ascii="Verdana"/>
                          <w:sz w:val="18"/>
                        </w:rPr>
                        <w:t>Subtle</w:t>
                      </w:r>
                      <w:r>
                        <w:rPr>
                          <w:rFonts w:ascii="Verdana"/>
                          <w:spacing w:val="16"/>
                          <w:sz w:val="18"/>
                        </w:rPr>
                        <w:t> </w:t>
                      </w:r>
                      <w:r>
                        <w:rPr>
                          <w:rFonts w:ascii="Verdana"/>
                          <w:sz w:val="18"/>
                        </w:rPr>
                        <w:t>Rebellions:</w:t>
                      </w:r>
                      <w:r>
                        <w:rPr>
                          <w:rFonts w:ascii="Verdana"/>
                          <w:spacing w:val="15"/>
                          <w:sz w:val="18"/>
                        </w:rPr>
                        <w:t> </w:t>
                      </w:r>
                      <w:r>
                        <w:rPr>
                          <w:rFonts w:ascii="Verdana"/>
                          <w:sz w:val="18"/>
                        </w:rPr>
                        <w:t>Gendered</w:t>
                      </w:r>
                      <w:r>
                        <w:rPr>
                          <w:rFonts w:ascii="Verdana"/>
                          <w:spacing w:val="17"/>
                          <w:sz w:val="18"/>
                        </w:rPr>
                        <w:t> </w:t>
                      </w:r>
                      <w:r>
                        <w:rPr>
                          <w:rFonts w:ascii="Verdana"/>
                          <w:sz w:val="18"/>
                        </w:rPr>
                        <w:t>Power</w:t>
                      </w:r>
                      <w:r>
                        <w:rPr>
                          <w:rFonts w:ascii="Verdana"/>
                          <w:spacing w:val="18"/>
                          <w:sz w:val="18"/>
                        </w:rPr>
                        <w:t> </w:t>
                      </w:r>
                      <w:r>
                        <w:rPr>
                          <w:rFonts w:ascii="Verdana"/>
                          <w:spacing w:val="-5"/>
                          <w:sz w:val="18"/>
                        </w:rPr>
                        <w:t>...</w:t>
                      </w:r>
                      <w:r>
                        <w:rPr>
                          <w:rFonts w:ascii="Verdana"/>
                          <w:sz w:val="18"/>
                        </w:rPr>
                        <w:tab/>
                      </w:r>
                      <w:r>
                        <w:rPr>
                          <w:rFonts w:ascii="Verdana"/>
                          <w:spacing w:val="-14"/>
                          <w:sz w:val="18"/>
                        </w:rPr>
                        <w:t>41</w:t>
                      </w:r>
                    </w:p>
                  </w:txbxContent>
                </v:textbox>
                <w10:wrap type="none"/>
              </v:shape>
            </w:pict>
          </mc:Fallback>
        </mc:AlternateContent>
      </w:r>
    </w:p>
    <w:p>
      <w:pPr>
        <w:pStyle w:val="BodyText"/>
        <w:spacing w:before="216"/>
        <w:ind w:left="0"/>
      </w:pPr>
    </w:p>
    <w:p>
      <w:pPr>
        <w:spacing w:line="240" w:lineRule="auto"/>
        <w:ind w:left="1159" w:right="0" w:firstLine="0"/>
        <w:rPr>
          <w:sz w:val="20"/>
        </w:rPr>
      </w:pPr>
      <w:r>
        <w:rPr>
          <w:sz w:val="20"/>
        </w:rPr>
        <mc:AlternateContent>
          <mc:Choice Requires="wps">
            <w:drawing>
              <wp:inline distT="0" distB="0" distL="0" distR="0">
                <wp:extent cx="4043679" cy="699770"/>
                <wp:effectExtent l="0" t="0" r="0" b="0"/>
                <wp:docPr id="201" name="Group 201"/>
                <wp:cNvGraphicFramePr>
                  <a:graphicFrameLocks/>
                </wp:cNvGraphicFramePr>
                <a:graphic>
                  <a:graphicData uri="http://schemas.microsoft.com/office/word/2010/wordprocessingGroup">
                    <wpg:wgp>
                      <wpg:cNvPr id="201" name="Group 201"/>
                      <wpg:cNvGrpSpPr/>
                      <wpg:grpSpPr>
                        <a:xfrm>
                          <a:off x="0" y="0"/>
                          <a:ext cx="4043679" cy="699770"/>
                          <a:chExt cx="4043679" cy="699770"/>
                        </a:xfrm>
                      </wpg:grpSpPr>
                      <wps:wsp>
                        <wps:cNvPr id="202" name="Graphic 202"/>
                        <wps:cNvSpPr/>
                        <wps:spPr>
                          <a:xfrm>
                            <a:off x="0" y="0"/>
                            <a:ext cx="4043679" cy="699770"/>
                          </a:xfrm>
                          <a:custGeom>
                            <a:avLst/>
                            <a:gdLst/>
                            <a:ahLst/>
                            <a:cxnLst/>
                            <a:rect l="l" t="t" r="r" b="b"/>
                            <a:pathLst>
                              <a:path w="4043679" h="699770">
                                <a:moveTo>
                                  <a:pt x="4043172" y="699516"/>
                                </a:moveTo>
                                <a:lnTo>
                                  <a:pt x="0" y="699516"/>
                                </a:lnTo>
                                <a:lnTo>
                                  <a:pt x="0" y="0"/>
                                </a:lnTo>
                                <a:lnTo>
                                  <a:pt x="4043172" y="0"/>
                                </a:lnTo>
                                <a:lnTo>
                                  <a:pt x="4043172"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197" coordorigin="0,0" coordsize="6368,1102">
                <v:rect style="position:absolute;left:0;top:0;width:6368;height:1102" id="docshape198"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38528">
                <wp:simplePos x="0" y="0"/>
                <wp:positionH relativeFrom="page">
                  <wp:posOffset>3547871</wp:posOffset>
                </wp:positionH>
                <wp:positionV relativeFrom="paragraph">
                  <wp:posOffset>272923</wp:posOffset>
                </wp:positionV>
                <wp:extent cx="727075" cy="655320"/>
                <wp:effectExtent l="0" t="0" r="0" b="0"/>
                <wp:wrapTopAndBottom/>
                <wp:docPr id="203" name="Group 203"/>
                <wp:cNvGraphicFramePr>
                  <a:graphicFrameLocks/>
                </wp:cNvGraphicFramePr>
                <a:graphic>
                  <a:graphicData uri="http://schemas.microsoft.com/office/word/2010/wordprocessingGroup">
                    <wpg:wgp>
                      <wpg:cNvPr id="203" name="Group 203"/>
                      <wpg:cNvGrpSpPr/>
                      <wpg:grpSpPr>
                        <a:xfrm>
                          <a:off x="0" y="0"/>
                          <a:ext cx="727075" cy="655320"/>
                          <a:chExt cx="727075" cy="655320"/>
                        </a:xfrm>
                      </wpg:grpSpPr>
                      <pic:pic>
                        <pic:nvPicPr>
                          <pic:cNvPr id="204" name="Image 204"/>
                          <pic:cNvPicPr/>
                        </pic:nvPicPr>
                        <pic:blipFill>
                          <a:blip r:embed="rId82" cstate="print"/>
                          <a:stretch>
                            <a:fillRect/>
                          </a:stretch>
                        </pic:blipFill>
                        <pic:spPr>
                          <a:xfrm>
                            <a:off x="0" y="0"/>
                            <a:ext cx="726948" cy="655320"/>
                          </a:xfrm>
                          <a:prstGeom prst="rect">
                            <a:avLst/>
                          </a:prstGeom>
                        </pic:spPr>
                      </pic:pic>
                      <wps:wsp>
                        <wps:cNvPr id="205" name="Textbox 205"/>
                        <wps:cNvSpPr txBox="1"/>
                        <wps:spPr>
                          <a:xfrm>
                            <a:off x="0" y="0"/>
                            <a:ext cx="727075" cy="655320"/>
                          </a:xfrm>
                          <a:prstGeom prst="rect">
                            <a:avLst/>
                          </a:prstGeom>
                        </wps:spPr>
                        <wps:txbx>
                          <w:txbxContent>
                            <w:p>
                              <w:pPr>
                                <w:spacing w:before="343"/>
                                <w:ind w:left="102" w:right="169" w:firstLine="0"/>
                                <w:jc w:val="center"/>
                                <w:rPr>
                                  <w:rFonts w:ascii="Tahoma"/>
                                  <w:b/>
                                  <w:sz w:val="36"/>
                                </w:rPr>
                              </w:pPr>
                              <w:r>
                                <w:rPr>
                                  <w:rFonts w:ascii="Tahoma"/>
                                  <w:b/>
                                  <w:spacing w:val="-10"/>
                                  <w:w w:val="95"/>
                                  <w:sz w:val="36"/>
                                </w:rPr>
                                <w:t>4</w:t>
                              </w:r>
                            </w:p>
                          </w:txbxContent>
                        </wps:txbx>
                        <wps:bodyPr wrap="square" lIns="0" tIns="0" rIns="0" bIns="0" rtlCol="0">
                          <a:noAutofit/>
                        </wps:bodyPr>
                      </wps:wsp>
                    </wpg:wgp>
                  </a:graphicData>
                </a:graphic>
              </wp:anchor>
            </w:drawing>
          </mc:Choice>
          <mc:Fallback>
            <w:pict>
              <v:group style="position:absolute;margin-left:279.359985pt;margin-top:21.490002pt;width:57.25pt;height:51.6pt;mso-position-horizontal-relative:page;mso-position-vertical-relative:paragraph;z-index:-15677952;mso-wrap-distance-left:0;mso-wrap-distance-right:0" id="docshapegroup199" coordorigin="5587,430" coordsize="1145,1032">
                <v:shape style="position:absolute;left:5587;top:429;width:1145;height:1032" type="#_x0000_t75" id="docshape200" stroked="false">
                  <v:imagedata r:id="rId82" o:title=""/>
                </v:shape>
                <v:shape style="position:absolute;left:5587;top:429;width:1145;height:1032" type="#_x0000_t202" id="docshape201" filled="false" stroked="false">
                  <v:textbox inset="0,0,0,0">
                    <w:txbxContent>
                      <w:p>
                        <w:pPr>
                          <w:spacing w:before="343"/>
                          <w:ind w:left="102" w:right="169" w:firstLine="0"/>
                          <w:jc w:val="center"/>
                          <w:rPr>
                            <w:rFonts w:ascii="Tahoma"/>
                            <w:b/>
                            <w:sz w:val="36"/>
                          </w:rPr>
                        </w:pPr>
                        <w:r>
                          <w:rPr>
                            <w:rFonts w:ascii="Tahoma"/>
                            <w:b/>
                            <w:spacing w:val="-10"/>
                            <w:w w:val="95"/>
                            <w:sz w:val="36"/>
                          </w:rPr>
                          <w:t>4</w:t>
                        </w:r>
                      </w:p>
                    </w:txbxContent>
                  </v:textbox>
                  <w10:wrap type="none"/>
                </v:shape>
                <w10:wrap type="topAndBottom"/>
              </v:group>
            </w:pict>
          </mc:Fallback>
        </mc:AlternateContent>
      </w:r>
    </w:p>
    <w:p>
      <w:pPr>
        <w:pStyle w:val="Heading1"/>
        <w:spacing w:line="211" w:lineRule="auto"/>
        <w:ind w:left="1524" w:right="1528" w:firstLine="1"/>
      </w:pPr>
      <w:r>
        <w:rPr/>
        <w:t>Caged Voices and Subtle Rebellions:</w:t>
      </w:r>
      <w:r>
        <w:rPr>
          <w:spacing w:val="-4"/>
        </w:rPr>
        <w:t> </w:t>
      </w:r>
      <w:r>
        <w:rPr/>
        <w:t>Gendered</w:t>
      </w:r>
      <w:r>
        <w:rPr>
          <w:spacing w:val="-4"/>
        </w:rPr>
        <w:t> </w:t>
      </w:r>
      <w:r>
        <w:rPr/>
        <w:t>Power </w:t>
      </w:r>
      <w:r>
        <w:rPr>
          <w:spacing w:val="-6"/>
        </w:rPr>
        <w:t>Structures</w:t>
      </w:r>
      <w:r>
        <w:rPr>
          <w:spacing w:val="-18"/>
        </w:rPr>
        <w:t> </w:t>
      </w:r>
      <w:r>
        <w:rPr>
          <w:spacing w:val="-6"/>
        </w:rPr>
        <w:t>in</w:t>
      </w:r>
      <w:r>
        <w:rPr>
          <w:spacing w:val="-17"/>
        </w:rPr>
        <w:t> </w:t>
      </w:r>
      <w:r>
        <w:rPr>
          <w:spacing w:val="-6"/>
        </w:rPr>
        <w:t>Shakespearean</w:t>
      </w:r>
      <w:r>
        <w:rPr>
          <w:spacing w:val="-18"/>
        </w:rPr>
        <w:t> </w:t>
      </w:r>
      <w:r>
        <w:rPr>
          <w:spacing w:val="-6"/>
        </w:rPr>
        <w:t>Drama</w:t>
      </w:r>
    </w:p>
    <w:p>
      <w:pPr>
        <w:tabs>
          <w:tab w:pos="1394" w:val="left" w:leader="none"/>
          <w:tab w:pos="5759" w:val="left" w:leader="none"/>
        </w:tabs>
        <w:spacing w:line="348" w:lineRule="exact" w:before="0"/>
        <w:ind w:left="0" w:right="0" w:firstLine="0"/>
        <w:jc w:val="center"/>
        <w:rPr>
          <w:rFonts w:ascii="Tahoma"/>
          <w:b/>
          <w:sz w:val="32"/>
        </w:rPr>
      </w:pPr>
      <w:r>
        <w:rPr>
          <w:sz w:val="32"/>
          <w:u w:val="single"/>
        </w:rPr>
        <w:tab/>
      </w:r>
      <w:r>
        <w:rPr>
          <w:rFonts w:ascii="Tahoma"/>
          <w:b/>
          <w:spacing w:val="-2"/>
          <w:sz w:val="32"/>
          <w:u w:val="single"/>
        </w:rPr>
        <w:t>in</w:t>
      </w:r>
      <w:r>
        <w:rPr>
          <w:rFonts w:ascii="Tahoma"/>
          <w:b/>
          <w:spacing w:val="-9"/>
          <w:sz w:val="32"/>
          <w:u w:val="single"/>
        </w:rPr>
        <w:t> </w:t>
      </w:r>
      <w:r>
        <w:rPr>
          <w:rFonts w:ascii="Tahoma"/>
          <w:b/>
          <w:spacing w:val="-2"/>
          <w:sz w:val="32"/>
          <w:u w:val="single"/>
        </w:rPr>
        <w:t>the</w:t>
      </w:r>
      <w:r>
        <w:rPr>
          <w:rFonts w:ascii="Tahoma"/>
          <w:b/>
          <w:spacing w:val="-9"/>
          <w:sz w:val="32"/>
          <w:u w:val="single"/>
        </w:rPr>
        <w:t> </w:t>
      </w:r>
      <w:r>
        <w:rPr>
          <w:rFonts w:ascii="Tahoma"/>
          <w:b/>
          <w:spacing w:val="-2"/>
          <w:sz w:val="32"/>
          <w:u w:val="single"/>
        </w:rPr>
        <w:t>#</w:t>
      </w:r>
      <w:r>
        <w:rPr>
          <w:rFonts w:ascii="Tahoma"/>
          <w:b/>
          <w:spacing w:val="-7"/>
          <w:sz w:val="32"/>
          <w:u w:val="single"/>
        </w:rPr>
        <w:t> </w:t>
      </w:r>
      <w:r>
        <w:rPr>
          <w:rFonts w:ascii="Tahoma"/>
          <w:b/>
          <w:spacing w:val="-2"/>
          <w:sz w:val="32"/>
          <w:u w:val="single"/>
        </w:rPr>
        <w:t>MeToo</w:t>
      </w:r>
      <w:r>
        <w:rPr>
          <w:rFonts w:ascii="Tahoma"/>
          <w:b/>
          <w:spacing w:val="-7"/>
          <w:sz w:val="32"/>
          <w:u w:val="single"/>
        </w:rPr>
        <w:t> </w:t>
      </w:r>
      <w:r>
        <w:rPr>
          <w:rFonts w:ascii="Tahoma"/>
          <w:b/>
          <w:spacing w:val="-5"/>
          <w:sz w:val="32"/>
          <w:u w:val="single"/>
        </w:rPr>
        <w:t>Era</w:t>
      </w:r>
      <w:r>
        <w:rPr>
          <w:rFonts w:ascii="Tahoma"/>
          <w:b/>
          <w:sz w:val="32"/>
          <w:u w:val="single"/>
        </w:rPr>
        <w:tab/>
      </w:r>
    </w:p>
    <w:p>
      <w:pPr>
        <w:pStyle w:val="BodyText"/>
        <w:spacing w:before="9"/>
        <w:ind w:left="0"/>
        <w:rPr>
          <w:rFonts w:ascii="Tahoma"/>
          <w:b/>
          <w:sz w:val="5"/>
        </w:rPr>
      </w:pPr>
      <w:r>
        <w:rPr>
          <w:rFonts w:ascii="Tahoma"/>
          <w:b/>
          <w:sz w:val="5"/>
        </w:rPr>
        <mc:AlternateContent>
          <mc:Choice Requires="wps">
            <w:drawing>
              <wp:anchor distT="0" distB="0" distL="0" distR="0" allowOverlap="1" layoutInCell="1" locked="0" behindDoc="1" simplePos="0" relativeHeight="487639040">
                <wp:simplePos x="0" y="0"/>
                <wp:positionH relativeFrom="page">
                  <wp:posOffset>2057400</wp:posOffset>
                </wp:positionH>
                <wp:positionV relativeFrom="paragraph">
                  <wp:posOffset>59543</wp:posOffset>
                </wp:positionV>
                <wp:extent cx="3657600" cy="7620"/>
                <wp:effectExtent l="0" t="0" r="0" b="0"/>
                <wp:wrapTopAndBottom/>
                <wp:docPr id="206" name="Graphic 206"/>
                <wp:cNvGraphicFramePr>
                  <a:graphicFrameLocks/>
                </wp:cNvGraphicFramePr>
                <a:graphic>
                  <a:graphicData uri="http://schemas.microsoft.com/office/word/2010/wordprocessingShape">
                    <wps:wsp>
                      <wps:cNvPr id="206" name="Graphic 206"/>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688435pt;width:288.000009pt;height:.600014pt;mso-position-horizontal-relative:page;mso-position-vertical-relative:paragraph;z-index:-15677440;mso-wrap-distance-left:0;mso-wrap-distance-right:0" id="docshape202" filled="true" fillcolor="#000000" stroked="false">
                <v:fill type="solid"/>
                <w10:wrap type="topAndBottom"/>
              </v:rect>
            </w:pict>
          </mc:Fallback>
        </mc:AlternateContent>
      </w:r>
    </w:p>
    <w:p>
      <w:pPr>
        <w:pStyle w:val="BodyText"/>
        <w:spacing w:before="13"/>
        <w:ind w:left="0"/>
        <w:rPr>
          <w:rFonts w:ascii="Tahoma"/>
          <w:b/>
          <w:sz w:val="32"/>
        </w:rPr>
      </w:pPr>
    </w:p>
    <w:p>
      <w:pPr>
        <w:pStyle w:val="Heading5"/>
        <w:ind w:left="0" w:right="1439"/>
        <w:jc w:val="right"/>
        <w:rPr>
          <w:rFonts w:ascii="Times New Roman"/>
        </w:rPr>
      </w:pPr>
      <w:bookmarkStart w:name="_TOC_250002" w:id="5"/>
      <w:r>
        <w:rPr>
          <w:rFonts w:ascii="Times New Roman"/>
        </w:rPr>
        <w:t>Dr.</w:t>
      </w:r>
      <w:r>
        <w:rPr>
          <w:rFonts w:ascii="Times New Roman"/>
          <w:spacing w:val="52"/>
        </w:rPr>
        <w:t> </w:t>
      </w:r>
      <w:r>
        <w:rPr>
          <w:rFonts w:ascii="Times New Roman"/>
        </w:rPr>
        <w:t>Sumana</w:t>
      </w:r>
      <w:r>
        <w:rPr>
          <w:rFonts w:ascii="Times New Roman"/>
          <w:spacing w:val="54"/>
        </w:rPr>
        <w:t> </w:t>
      </w:r>
      <w:bookmarkEnd w:id="5"/>
      <w:r>
        <w:rPr>
          <w:rFonts w:ascii="Times New Roman"/>
          <w:spacing w:val="-2"/>
        </w:rPr>
        <w:t>Mukherjee</w:t>
      </w:r>
    </w:p>
    <w:p>
      <w:pPr>
        <w:spacing w:before="15"/>
        <w:ind w:left="0" w:right="1441" w:firstLine="0"/>
        <w:jc w:val="right"/>
        <w:rPr>
          <w:i/>
          <w:sz w:val="19"/>
        </w:rPr>
      </w:pPr>
      <w:r>
        <w:rPr>
          <w:i/>
          <w:sz w:val="19"/>
        </w:rPr>
        <w:t>Assistant</w:t>
      </w:r>
      <w:r>
        <w:rPr>
          <w:i/>
          <w:spacing w:val="38"/>
          <w:sz w:val="19"/>
        </w:rPr>
        <w:t> </w:t>
      </w:r>
      <w:r>
        <w:rPr>
          <w:i/>
          <w:sz w:val="19"/>
        </w:rPr>
        <w:t>Professor,</w:t>
      </w:r>
      <w:r>
        <w:rPr>
          <w:i/>
          <w:spacing w:val="38"/>
          <w:sz w:val="19"/>
        </w:rPr>
        <w:t> </w:t>
      </w:r>
      <w:r>
        <w:rPr>
          <w:i/>
          <w:sz w:val="19"/>
        </w:rPr>
        <w:t>English,</w:t>
      </w:r>
      <w:r>
        <w:rPr>
          <w:i/>
          <w:spacing w:val="39"/>
          <w:sz w:val="19"/>
        </w:rPr>
        <w:t> </w:t>
      </w:r>
      <w:r>
        <w:rPr>
          <w:i/>
          <w:sz w:val="19"/>
        </w:rPr>
        <w:t>Pt.</w:t>
      </w:r>
      <w:r>
        <w:rPr>
          <w:i/>
          <w:spacing w:val="39"/>
          <w:sz w:val="19"/>
        </w:rPr>
        <w:t> </w:t>
      </w:r>
      <w:r>
        <w:rPr>
          <w:i/>
          <w:sz w:val="19"/>
        </w:rPr>
        <w:t>K.P.</w:t>
      </w:r>
      <w:r>
        <w:rPr>
          <w:i/>
          <w:spacing w:val="40"/>
          <w:sz w:val="19"/>
        </w:rPr>
        <w:t> </w:t>
      </w:r>
      <w:r>
        <w:rPr>
          <w:i/>
          <w:sz w:val="19"/>
        </w:rPr>
        <w:t>T.</w:t>
      </w:r>
      <w:r>
        <w:rPr>
          <w:i/>
          <w:spacing w:val="41"/>
          <w:sz w:val="19"/>
        </w:rPr>
        <w:t> </w:t>
      </w:r>
      <w:r>
        <w:rPr>
          <w:i/>
          <w:sz w:val="19"/>
        </w:rPr>
        <w:t>Govt.</w:t>
      </w:r>
      <w:r>
        <w:rPr>
          <w:i/>
          <w:spacing w:val="39"/>
          <w:sz w:val="19"/>
        </w:rPr>
        <w:t> </w:t>
      </w:r>
      <w:r>
        <w:rPr>
          <w:i/>
          <w:sz w:val="19"/>
        </w:rPr>
        <w:t>PG</w:t>
      </w:r>
      <w:r>
        <w:rPr>
          <w:i/>
          <w:spacing w:val="38"/>
          <w:sz w:val="19"/>
        </w:rPr>
        <w:t> </w:t>
      </w:r>
      <w:r>
        <w:rPr>
          <w:i/>
          <w:spacing w:val="-2"/>
          <w:sz w:val="19"/>
        </w:rPr>
        <w:t>college,</w:t>
      </w:r>
    </w:p>
    <w:p>
      <w:pPr>
        <w:spacing w:before="9"/>
        <w:ind w:left="0" w:right="1435" w:firstLine="0"/>
        <w:jc w:val="right"/>
        <w:rPr>
          <w:i/>
          <w:sz w:val="19"/>
        </w:rPr>
      </w:pPr>
      <w:r>
        <w:rPr>
          <w:i/>
          <w:sz w:val="19"/>
        </w:rPr>
        <w:t>Chandauli.</w:t>
      </w:r>
      <w:r>
        <w:rPr>
          <w:i/>
          <w:spacing w:val="68"/>
          <w:w w:val="150"/>
          <w:sz w:val="19"/>
        </w:rPr>
        <w:t> </w:t>
      </w:r>
      <w:r>
        <w:rPr>
          <w:i/>
          <w:spacing w:val="-2"/>
          <w:sz w:val="19"/>
        </w:rPr>
        <w:t>(U.P.)</w:t>
      </w:r>
    </w:p>
    <w:p>
      <w:pPr>
        <w:pStyle w:val="BodyText"/>
        <w:spacing w:before="161"/>
        <w:ind w:left="0"/>
        <w:rPr>
          <w:i/>
          <w:sz w:val="19"/>
        </w:rPr>
      </w:pPr>
    </w:p>
    <w:p>
      <w:pPr>
        <w:pStyle w:val="Heading3"/>
        <w:spacing w:before="0"/>
      </w:pPr>
      <w:r>
        <w:rPr>
          <w:spacing w:val="-2"/>
        </w:rPr>
        <w:t>ABSTRACT:</w:t>
      </w:r>
    </w:p>
    <w:p>
      <w:pPr>
        <w:pStyle w:val="BodyText"/>
        <w:spacing w:line="264" w:lineRule="auto" w:before="85"/>
        <w:ind w:right="1438" w:firstLine="432"/>
        <w:jc w:val="both"/>
      </w:pPr>
      <w:r>
        <w:rPr/>
        <w:t>William Shakespeare’s plays continue to hold a lasting influence in the English literary tradition for centuries, not only for their artistic richness but for their ability to invite re-interpretation across different histories and cultures around the world. For centuries, the portrayal of women</w:t>
      </w:r>
      <w:r>
        <w:rPr>
          <w:spacing w:val="-5"/>
        </w:rPr>
        <w:t> </w:t>
      </w:r>
      <w:r>
        <w:rPr/>
        <w:t>in</w:t>
      </w:r>
      <w:r>
        <w:rPr>
          <w:spacing w:val="-5"/>
        </w:rPr>
        <w:t> </w:t>
      </w:r>
      <w:r>
        <w:rPr/>
        <w:t>Shakespearean</w:t>
      </w:r>
      <w:r>
        <w:rPr>
          <w:spacing w:val="-5"/>
        </w:rPr>
        <w:t> </w:t>
      </w:r>
      <w:r>
        <w:rPr/>
        <w:t>plays</w:t>
      </w:r>
      <w:r>
        <w:rPr>
          <w:spacing w:val="-4"/>
        </w:rPr>
        <w:t> </w:t>
      </w:r>
      <w:r>
        <w:rPr/>
        <w:t>and</w:t>
      </w:r>
      <w:r>
        <w:rPr>
          <w:spacing w:val="-2"/>
        </w:rPr>
        <w:t> </w:t>
      </w:r>
      <w:r>
        <w:rPr/>
        <w:t>the</w:t>
      </w:r>
      <w:r>
        <w:rPr>
          <w:spacing w:val="-5"/>
        </w:rPr>
        <w:t> </w:t>
      </w:r>
      <w:r>
        <w:rPr/>
        <w:t>interpretation</w:t>
      </w:r>
      <w:r>
        <w:rPr>
          <w:spacing w:val="-5"/>
        </w:rPr>
        <w:t> </w:t>
      </w:r>
      <w:r>
        <w:rPr/>
        <w:t>of</w:t>
      </w:r>
      <w:r>
        <w:rPr>
          <w:spacing w:val="-5"/>
        </w:rPr>
        <w:t> </w:t>
      </w:r>
      <w:r>
        <w:rPr/>
        <w:t>their</w:t>
      </w:r>
      <w:r>
        <w:rPr>
          <w:spacing w:val="-4"/>
        </w:rPr>
        <w:t> </w:t>
      </w:r>
      <w:r>
        <w:rPr/>
        <w:t>roles</w:t>
      </w:r>
      <w:r>
        <w:rPr>
          <w:spacing w:val="-5"/>
        </w:rPr>
        <w:t> </w:t>
      </w:r>
      <w:r>
        <w:rPr/>
        <w:t>have been a topic of great interest and discussion in the field of academia. Early</w:t>
      </w:r>
      <w:r>
        <w:rPr>
          <w:spacing w:val="-4"/>
        </w:rPr>
        <w:t> </w:t>
      </w:r>
      <w:r>
        <w:rPr/>
        <w:t>critics</w:t>
      </w:r>
      <w:r>
        <w:rPr>
          <w:spacing w:val="-4"/>
        </w:rPr>
        <w:t> </w:t>
      </w:r>
      <w:r>
        <w:rPr/>
        <w:t>have</w:t>
      </w:r>
      <w:r>
        <w:rPr>
          <w:spacing w:val="-1"/>
        </w:rPr>
        <w:t> </w:t>
      </w:r>
      <w:r>
        <w:rPr/>
        <w:t>often</w:t>
      </w:r>
      <w:r>
        <w:rPr>
          <w:spacing w:val="-4"/>
        </w:rPr>
        <w:t> </w:t>
      </w:r>
      <w:r>
        <w:rPr/>
        <w:t>reduced Shakespeare’s</w:t>
      </w:r>
      <w:r>
        <w:rPr>
          <w:spacing w:val="-2"/>
        </w:rPr>
        <w:t> </w:t>
      </w:r>
      <w:r>
        <w:rPr/>
        <w:t>women</w:t>
      </w:r>
      <w:r>
        <w:rPr>
          <w:spacing w:val="-4"/>
        </w:rPr>
        <w:t> </w:t>
      </w:r>
      <w:r>
        <w:rPr/>
        <w:t>to submissive</w:t>
      </w:r>
      <w:r>
        <w:rPr>
          <w:spacing w:val="-2"/>
        </w:rPr>
        <w:t> </w:t>
      </w:r>
      <w:r>
        <w:rPr/>
        <w:t>or </w:t>
      </w:r>
      <w:r>
        <w:rPr>
          <w:spacing w:val="-4"/>
        </w:rPr>
        <w:t>marginalised</w:t>
      </w:r>
      <w:r>
        <w:rPr>
          <w:spacing w:val="-9"/>
        </w:rPr>
        <w:t> </w:t>
      </w:r>
      <w:r>
        <w:rPr>
          <w:spacing w:val="-4"/>
        </w:rPr>
        <w:t>tragic</w:t>
      </w:r>
      <w:r>
        <w:rPr>
          <w:spacing w:val="-8"/>
        </w:rPr>
        <w:t> </w:t>
      </w:r>
      <w:r>
        <w:rPr>
          <w:spacing w:val="-4"/>
        </w:rPr>
        <w:t>victims</w:t>
      </w:r>
      <w:r>
        <w:rPr>
          <w:spacing w:val="-9"/>
        </w:rPr>
        <w:t> </w:t>
      </w:r>
      <w:r>
        <w:rPr>
          <w:spacing w:val="-4"/>
        </w:rPr>
        <w:t>or</w:t>
      </w:r>
      <w:r>
        <w:rPr>
          <w:spacing w:val="-8"/>
        </w:rPr>
        <w:t> </w:t>
      </w:r>
      <w:r>
        <w:rPr>
          <w:spacing w:val="-4"/>
        </w:rPr>
        <w:t>as</w:t>
      </w:r>
      <w:r>
        <w:rPr>
          <w:spacing w:val="-9"/>
        </w:rPr>
        <w:t> </w:t>
      </w:r>
      <w:r>
        <w:rPr>
          <w:spacing w:val="-4"/>
        </w:rPr>
        <w:t>idealised</w:t>
      </w:r>
      <w:r>
        <w:rPr>
          <w:spacing w:val="-8"/>
        </w:rPr>
        <w:t> </w:t>
      </w:r>
      <w:r>
        <w:rPr>
          <w:spacing w:val="-4"/>
        </w:rPr>
        <w:t>heroines.</w:t>
      </w:r>
      <w:r>
        <w:rPr>
          <w:spacing w:val="-9"/>
        </w:rPr>
        <w:t> </w:t>
      </w:r>
      <w:r>
        <w:rPr>
          <w:spacing w:val="-4"/>
        </w:rPr>
        <w:t>However,</w:t>
      </w:r>
      <w:r>
        <w:rPr>
          <w:spacing w:val="-8"/>
        </w:rPr>
        <w:t> </w:t>
      </w:r>
      <w:r>
        <w:rPr>
          <w:spacing w:val="-4"/>
        </w:rPr>
        <w:t>later</w:t>
      </w:r>
      <w:r>
        <w:rPr>
          <w:spacing w:val="-9"/>
        </w:rPr>
        <w:t> </w:t>
      </w:r>
      <w:r>
        <w:rPr>
          <w:spacing w:val="-4"/>
        </w:rPr>
        <w:t>feminist </w:t>
      </w:r>
      <w:r>
        <w:rPr/>
        <w:t>critics have challenged such views, emphasising on such female characters who strongly negotiated their consent, intellect, courage and rebellious spirit to challenge the gendered stereotypes and roles in the society. Drawing on the ideas of feminist theorists and critics like Simone De Beauvoir, Elaine Showalter, Lisa Jardine and others, this paper aims to make a re-reading of William Shakespeare’s female characters like, Lady Macbeth, Portia, Ophelia, and Desdemona, while understanding how these characters often resonated both confirmation and resistance to patriarchal structures during the Elizabethan era.</w:t>
      </w:r>
      <w:r>
        <w:rPr>
          <w:spacing w:val="40"/>
        </w:rPr>
        <w:t> </w:t>
      </w:r>
      <w:r>
        <w:rPr/>
        <w:t>At the</w:t>
      </w:r>
      <w:r>
        <w:rPr>
          <w:spacing w:val="-1"/>
        </w:rPr>
        <w:t> </w:t>
      </w:r>
      <w:r>
        <w:rPr/>
        <w:t>same</w:t>
      </w:r>
      <w:r>
        <w:rPr>
          <w:spacing w:val="1"/>
        </w:rPr>
        <w:t> </w:t>
      </w:r>
      <w:r>
        <w:rPr/>
        <w:t>time,</w:t>
      </w:r>
      <w:r>
        <w:rPr>
          <w:spacing w:val="-1"/>
        </w:rPr>
        <w:t> </w:t>
      </w:r>
      <w:r>
        <w:rPr/>
        <w:t>this paper</w:t>
      </w:r>
      <w:r>
        <w:rPr>
          <w:spacing w:val="-1"/>
        </w:rPr>
        <w:t> </w:t>
      </w:r>
      <w:r>
        <w:rPr/>
        <w:t>will</w:t>
      </w:r>
      <w:r>
        <w:rPr>
          <w:spacing w:val="-1"/>
        </w:rPr>
        <w:t> </w:t>
      </w:r>
      <w:r>
        <w:rPr/>
        <w:t>also</w:t>
      </w:r>
      <w:r>
        <w:rPr>
          <w:spacing w:val="2"/>
        </w:rPr>
        <w:t> </w:t>
      </w:r>
      <w:r>
        <w:rPr/>
        <w:t>reimagine</w:t>
      </w:r>
      <w:r>
        <w:rPr>
          <w:spacing w:val="-1"/>
        </w:rPr>
        <w:t> </w:t>
      </w:r>
      <w:r>
        <w:rPr/>
        <w:t>and</w:t>
      </w:r>
      <w:r>
        <w:rPr>
          <w:spacing w:val="2"/>
        </w:rPr>
        <w:t> </w:t>
      </w:r>
      <w:r>
        <w:rPr/>
        <w:t>study</w:t>
      </w:r>
      <w:r>
        <w:rPr>
          <w:spacing w:val="-5"/>
        </w:rPr>
        <w:t> </w:t>
      </w:r>
      <w:r>
        <w:rPr/>
        <w:t>the relevance</w:t>
      </w:r>
      <w:r>
        <w:rPr>
          <w:spacing w:val="-1"/>
        </w:rPr>
        <w:t> </w:t>
      </w:r>
      <w:r>
        <w:rPr>
          <w:spacing w:val="-5"/>
        </w:rPr>
        <w:t>of</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40064">
                <wp:simplePos x="0" y="0"/>
                <wp:positionH relativeFrom="page">
                  <wp:posOffset>2057400</wp:posOffset>
                </wp:positionH>
                <wp:positionV relativeFrom="paragraph">
                  <wp:posOffset>162604</wp:posOffset>
                </wp:positionV>
                <wp:extent cx="3657600" cy="12700"/>
                <wp:effectExtent l="0" t="0" r="0" b="0"/>
                <wp:wrapTopAndBottom/>
                <wp:docPr id="207" name="Graphic 207"/>
                <wp:cNvGraphicFramePr>
                  <a:graphicFrameLocks/>
                </wp:cNvGraphicFramePr>
                <a:graphic>
                  <a:graphicData uri="http://schemas.microsoft.com/office/word/2010/wordprocessingShape">
                    <wps:wsp>
                      <wps:cNvPr id="207" name="Graphic 20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76416;mso-wrap-distance-left:0;mso-wrap-distance-right:0" id="docshape203" filled="true" fillcolor="#000000" stroked="false">
                <v:fill type="solid"/>
                <w10:wrap type="topAndBottom"/>
              </v:rect>
            </w:pict>
          </mc:Fallback>
        </mc:AlternateContent>
      </w:r>
      <w:r>
        <w:rPr>
          <w:rFonts w:ascii="Verdana"/>
          <w:spacing w:val="-5"/>
          <w:sz w:val="18"/>
        </w:rPr>
        <w:t>42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4" w:lineRule="auto" w:before="199"/>
        <w:ind w:right="1441"/>
        <w:jc w:val="both"/>
      </w:pPr>
      <w:r>
        <w:rPr/>
        <w:t>such female characters even in the modern contemporary era of the #MeToo</w:t>
      </w:r>
      <w:r>
        <w:rPr>
          <w:spacing w:val="-13"/>
        </w:rPr>
        <w:t> </w:t>
      </w:r>
      <w:r>
        <w:rPr/>
        <w:t>Movement</w:t>
      </w:r>
      <w:r>
        <w:rPr>
          <w:spacing w:val="-12"/>
        </w:rPr>
        <w:t> </w:t>
      </w:r>
      <w:r>
        <w:rPr/>
        <w:t>using</w:t>
      </w:r>
      <w:r>
        <w:rPr>
          <w:spacing w:val="-13"/>
        </w:rPr>
        <w:t> </w:t>
      </w:r>
      <w:r>
        <w:rPr/>
        <w:t>the</w:t>
      </w:r>
      <w:r>
        <w:rPr>
          <w:spacing w:val="-10"/>
        </w:rPr>
        <w:t> </w:t>
      </w:r>
      <w:r>
        <w:rPr/>
        <w:t>lens</w:t>
      </w:r>
      <w:r>
        <w:rPr>
          <w:spacing w:val="-13"/>
        </w:rPr>
        <w:t> </w:t>
      </w:r>
      <w:r>
        <w:rPr/>
        <w:t>of</w:t>
      </w:r>
      <w:r>
        <w:rPr>
          <w:spacing w:val="-12"/>
        </w:rPr>
        <w:t> </w:t>
      </w:r>
      <w:r>
        <w:rPr/>
        <w:t>the</w:t>
      </w:r>
      <w:r>
        <w:rPr>
          <w:spacing w:val="-13"/>
        </w:rPr>
        <w:t> </w:t>
      </w:r>
      <w:r>
        <w:rPr/>
        <w:t>feminist</w:t>
      </w:r>
      <w:r>
        <w:rPr>
          <w:spacing w:val="-11"/>
        </w:rPr>
        <w:t> </w:t>
      </w:r>
      <w:r>
        <w:rPr/>
        <w:t>theoretical</w:t>
      </w:r>
      <w:r>
        <w:rPr>
          <w:spacing w:val="-12"/>
        </w:rPr>
        <w:t> </w:t>
      </w:r>
      <w:r>
        <w:rPr>
          <w:spacing w:val="-2"/>
        </w:rPr>
        <w:t>framework.</w:t>
      </w:r>
    </w:p>
    <w:p>
      <w:pPr>
        <w:pStyle w:val="BodyText"/>
        <w:spacing w:line="249" w:lineRule="auto" w:before="49"/>
        <w:ind w:right="1440" w:firstLine="432"/>
        <w:jc w:val="both"/>
      </w:pPr>
      <w:r>
        <w:rPr>
          <w:b/>
        </w:rPr>
        <w:t>Keywords: </w:t>
      </w:r>
      <w:r>
        <w:rPr/>
        <w:t>Gender, Patriarchy, #MeToo Movement, Feminism, Shakespeare, empowerment, resistance.</w:t>
      </w:r>
    </w:p>
    <w:p>
      <w:pPr>
        <w:pStyle w:val="BodyText"/>
        <w:spacing w:line="249" w:lineRule="auto" w:before="59"/>
        <w:ind w:right="1437" w:firstLine="432"/>
        <w:jc w:val="both"/>
      </w:pPr>
      <w:r>
        <w:rPr/>
        <w:t>William Shakespeare’s plays offer a powerful glimpse into the existing patriarchal structure of Elizabethan England, where women’s identities were often regulated by the definition of gender roles in society.</w:t>
      </w:r>
      <w:r>
        <w:rPr>
          <w:spacing w:val="-4"/>
        </w:rPr>
        <w:t> </w:t>
      </w:r>
      <w:r>
        <w:rPr/>
        <w:t>They</w:t>
      </w:r>
      <w:r>
        <w:rPr>
          <w:spacing w:val="-6"/>
        </w:rPr>
        <w:t> </w:t>
      </w:r>
      <w:r>
        <w:rPr/>
        <w:t>were</w:t>
      </w:r>
      <w:r>
        <w:rPr>
          <w:spacing w:val="-2"/>
        </w:rPr>
        <w:t> </w:t>
      </w:r>
      <w:r>
        <w:rPr/>
        <w:t>defined</w:t>
      </w:r>
      <w:r>
        <w:rPr>
          <w:spacing w:val="-1"/>
        </w:rPr>
        <w:t> </w:t>
      </w:r>
      <w:r>
        <w:rPr/>
        <w:t>in</w:t>
      </w:r>
      <w:r>
        <w:rPr>
          <w:spacing w:val="-4"/>
        </w:rPr>
        <w:t> </w:t>
      </w:r>
      <w:r>
        <w:rPr/>
        <w:t>terms</w:t>
      </w:r>
      <w:r>
        <w:rPr>
          <w:spacing w:val="-2"/>
        </w:rPr>
        <w:t> </w:t>
      </w:r>
      <w:r>
        <w:rPr/>
        <w:t>of</w:t>
      </w:r>
      <w:r>
        <w:rPr>
          <w:spacing w:val="-4"/>
        </w:rPr>
        <w:t> </w:t>
      </w:r>
      <w:r>
        <w:rPr/>
        <w:t>their</w:t>
      </w:r>
      <w:r>
        <w:rPr>
          <w:spacing w:val="-2"/>
        </w:rPr>
        <w:t> </w:t>
      </w:r>
      <w:r>
        <w:rPr/>
        <w:t>virtue,</w:t>
      </w:r>
      <w:r>
        <w:rPr>
          <w:spacing w:val="-2"/>
        </w:rPr>
        <w:t> </w:t>
      </w:r>
      <w:r>
        <w:rPr/>
        <w:t>chastity,</w:t>
      </w:r>
      <w:r>
        <w:rPr>
          <w:spacing w:val="-2"/>
        </w:rPr>
        <w:t> </w:t>
      </w:r>
      <w:r>
        <w:rPr/>
        <w:t>subservient nature and obedience. For example, “nineteenth-century critics often romanticized female characters such as Desdemona and Ophelia as </w:t>
      </w:r>
      <w:r>
        <w:rPr>
          <w:spacing w:val="-2"/>
        </w:rPr>
        <w:t>paragons</w:t>
      </w:r>
      <w:r>
        <w:rPr>
          <w:spacing w:val="-11"/>
        </w:rPr>
        <w:t> </w:t>
      </w:r>
      <w:r>
        <w:rPr>
          <w:spacing w:val="-2"/>
        </w:rPr>
        <w:t>of</w:t>
      </w:r>
      <w:r>
        <w:rPr>
          <w:spacing w:val="-10"/>
        </w:rPr>
        <w:t> </w:t>
      </w:r>
      <w:r>
        <w:rPr>
          <w:spacing w:val="-2"/>
        </w:rPr>
        <w:t>purity,</w:t>
      </w:r>
      <w:r>
        <w:rPr>
          <w:spacing w:val="-11"/>
        </w:rPr>
        <w:t> </w:t>
      </w:r>
      <w:r>
        <w:rPr>
          <w:spacing w:val="-2"/>
        </w:rPr>
        <w:t>whose</w:t>
      </w:r>
      <w:r>
        <w:rPr>
          <w:spacing w:val="-10"/>
        </w:rPr>
        <w:t> </w:t>
      </w:r>
      <w:r>
        <w:rPr>
          <w:spacing w:val="-2"/>
        </w:rPr>
        <w:t>tragic</w:t>
      </w:r>
      <w:r>
        <w:rPr>
          <w:spacing w:val="-11"/>
        </w:rPr>
        <w:t> </w:t>
      </w:r>
      <w:r>
        <w:rPr>
          <w:spacing w:val="-2"/>
        </w:rPr>
        <w:t>deaths</w:t>
      </w:r>
      <w:r>
        <w:rPr>
          <w:spacing w:val="-10"/>
        </w:rPr>
        <w:t> </w:t>
      </w:r>
      <w:r>
        <w:rPr>
          <w:spacing w:val="-2"/>
        </w:rPr>
        <w:t>affirmed</w:t>
      </w:r>
      <w:r>
        <w:rPr>
          <w:spacing w:val="-11"/>
        </w:rPr>
        <w:t> </w:t>
      </w:r>
      <w:r>
        <w:rPr>
          <w:spacing w:val="-2"/>
        </w:rPr>
        <w:t>the</w:t>
      </w:r>
      <w:r>
        <w:rPr>
          <w:spacing w:val="-10"/>
        </w:rPr>
        <w:t> </w:t>
      </w:r>
      <w:r>
        <w:rPr>
          <w:spacing w:val="-2"/>
        </w:rPr>
        <w:t>moral</w:t>
      </w:r>
      <w:r>
        <w:rPr>
          <w:spacing w:val="-11"/>
        </w:rPr>
        <w:t> </w:t>
      </w:r>
      <w:r>
        <w:rPr>
          <w:spacing w:val="-2"/>
        </w:rPr>
        <w:t>order</w:t>
      </w:r>
      <w:r>
        <w:rPr>
          <w:spacing w:val="-10"/>
        </w:rPr>
        <w:t> </w:t>
      </w:r>
      <w:r>
        <w:rPr>
          <w:spacing w:val="-2"/>
        </w:rPr>
        <w:t>disrupted </w:t>
      </w:r>
      <w:r>
        <w:rPr/>
        <w:t>by the disobedience or misplaced love (Dash 23)”. However, in Shakespeare’s plays, we find not only passive female characters, but also such complex females as Lady Macbeth or Portia who served as vital forces in subtly challenging and interrogating the existing social norms.</w:t>
      </w:r>
      <w:r>
        <w:rPr>
          <w:spacing w:val="-8"/>
        </w:rPr>
        <w:t> </w:t>
      </w:r>
      <w:r>
        <w:rPr/>
        <w:t>This</w:t>
      </w:r>
      <w:r>
        <w:rPr>
          <w:spacing w:val="-2"/>
        </w:rPr>
        <w:t> </w:t>
      </w:r>
      <w:r>
        <w:rPr/>
        <w:t>paper</w:t>
      </w:r>
      <w:r>
        <w:rPr>
          <w:spacing w:val="-4"/>
        </w:rPr>
        <w:t> </w:t>
      </w:r>
      <w:r>
        <w:rPr/>
        <w:t>therefore,</w:t>
      </w:r>
      <w:r>
        <w:rPr>
          <w:spacing w:val="-2"/>
        </w:rPr>
        <w:t> </w:t>
      </w:r>
      <w:r>
        <w:rPr/>
        <w:t>is</w:t>
      </w:r>
      <w:r>
        <w:rPr>
          <w:spacing w:val="-6"/>
        </w:rPr>
        <w:t> </w:t>
      </w:r>
      <w:r>
        <w:rPr/>
        <w:t>an</w:t>
      </w:r>
      <w:r>
        <w:rPr>
          <w:spacing w:val="-6"/>
        </w:rPr>
        <w:t> </w:t>
      </w:r>
      <w:r>
        <w:rPr/>
        <w:t>attempt</w:t>
      </w:r>
      <w:r>
        <w:rPr>
          <w:spacing w:val="-3"/>
        </w:rPr>
        <w:t> </w:t>
      </w:r>
      <w:r>
        <w:rPr/>
        <w:t>to</w:t>
      </w:r>
      <w:r>
        <w:rPr>
          <w:spacing w:val="-4"/>
        </w:rPr>
        <w:t> </w:t>
      </w:r>
      <w:r>
        <w:rPr/>
        <w:t>discuss</w:t>
      </w:r>
      <w:r>
        <w:rPr>
          <w:spacing w:val="-4"/>
        </w:rPr>
        <w:t> </w:t>
      </w:r>
      <w:r>
        <w:rPr/>
        <w:t>how</w:t>
      </w:r>
      <w:r>
        <w:rPr>
          <w:spacing w:val="-8"/>
        </w:rPr>
        <w:t> </w:t>
      </w:r>
      <w:r>
        <w:rPr/>
        <w:t>Shakespeare’s plays both reinforce and critique the patriarchal order of the time, making it strikingly relevant for modern discussions on topics like gender, consent, agency and empowerment. In today’s world, with the growing awareness and the rise of the #MeToo movement which has raised discussions about sexual harassment, consent and gender inequality, Shakespearean female characters need renewed study and attention. In this light, the paper will help us understand the sensitivity of the power dynamics during the Elizabethan era through the selected Shakespearean tragedies and comedies, while helping us to reflect and question the gendered power structure of their time with our own, highlighting</w:t>
      </w:r>
      <w:r>
        <w:rPr>
          <w:spacing w:val="-13"/>
        </w:rPr>
        <w:t> </w:t>
      </w:r>
      <w:r>
        <w:rPr/>
        <w:t>how</w:t>
      </w:r>
      <w:r>
        <w:rPr>
          <w:spacing w:val="-12"/>
        </w:rPr>
        <w:t> </w:t>
      </w:r>
      <w:r>
        <w:rPr/>
        <w:t>the</w:t>
      </w:r>
      <w:r>
        <w:rPr>
          <w:spacing w:val="-13"/>
        </w:rPr>
        <w:t> </w:t>
      </w:r>
      <w:r>
        <w:rPr/>
        <w:t>“caged</w:t>
      </w:r>
      <w:r>
        <w:rPr>
          <w:spacing w:val="-12"/>
        </w:rPr>
        <w:t> </w:t>
      </w:r>
      <w:r>
        <w:rPr/>
        <w:t>voices”</w:t>
      </w:r>
      <w:r>
        <w:rPr>
          <w:spacing w:val="-13"/>
        </w:rPr>
        <w:t> </w:t>
      </w:r>
      <w:r>
        <w:rPr/>
        <w:t>transformed</w:t>
      </w:r>
      <w:r>
        <w:rPr>
          <w:spacing w:val="-12"/>
        </w:rPr>
        <w:t> </w:t>
      </w:r>
      <w:r>
        <w:rPr/>
        <w:t>into</w:t>
      </w:r>
      <w:r>
        <w:rPr>
          <w:spacing w:val="-13"/>
        </w:rPr>
        <w:t> </w:t>
      </w:r>
      <w:r>
        <w:rPr/>
        <w:t>“subtle</w:t>
      </w:r>
      <w:r>
        <w:rPr>
          <w:spacing w:val="-12"/>
        </w:rPr>
        <w:t> </w:t>
      </w:r>
      <w:r>
        <w:rPr/>
        <w:t>rebellions” across time.</w:t>
      </w:r>
    </w:p>
    <w:p>
      <w:pPr>
        <w:pStyle w:val="Heading3"/>
        <w:ind w:right="1437"/>
        <w:jc w:val="both"/>
      </w:pPr>
      <w:r>
        <w:rPr>
          <w:spacing w:val="14"/>
        </w:rPr>
        <w:t>PATRIARCHY</w:t>
      </w:r>
      <w:r>
        <w:rPr>
          <w:spacing w:val="14"/>
        </w:rPr>
        <w:t> </w:t>
      </w:r>
      <w:r>
        <w:rPr>
          <w:spacing w:val="11"/>
        </w:rPr>
        <w:t>AND</w:t>
      </w:r>
      <w:r>
        <w:rPr>
          <w:spacing w:val="11"/>
        </w:rPr>
        <w:t> </w:t>
      </w:r>
      <w:r>
        <w:rPr>
          <w:spacing w:val="13"/>
        </w:rPr>
        <w:t>GENDER</w:t>
      </w:r>
      <w:r>
        <w:rPr>
          <w:spacing w:val="13"/>
        </w:rPr>
        <w:t> </w:t>
      </w:r>
      <w:r>
        <w:rPr>
          <w:spacing w:val="14"/>
        </w:rPr>
        <w:t>DYNAMICS</w:t>
      </w:r>
      <w:r>
        <w:rPr>
          <w:spacing w:val="14"/>
        </w:rPr>
        <w:t> </w:t>
      </w:r>
      <w:r>
        <w:rPr/>
        <w:t>IN </w:t>
      </w:r>
      <w:r>
        <w:rPr>
          <w:spacing w:val="-8"/>
        </w:rPr>
        <w:t>SHAKESPEARE’S</w:t>
      </w:r>
      <w:r>
        <w:rPr>
          <w:spacing w:val="-22"/>
        </w:rPr>
        <w:t> </w:t>
      </w:r>
      <w:r>
        <w:rPr>
          <w:spacing w:val="-8"/>
        </w:rPr>
        <w:t>TIME</w:t>
      </w:r>
    </w:p>
    <w:p>
      <w:pPr>
        <w:pStyle w:val="BodyText"/>
        <w:spacing w:line="249" w:lineRule="auto" w:before="76"/>
        <w:ind w:right="1437" w:firstLine="432"/>
        <w:jc w:val="both"/>
      </w:pPr>
      <w:r>
        <w:rPr/>
        <w:t>Historical</w:t>
      </w:r>
      <w:r>
        <w:rPr>
          <w:spacing w:val="-1"/>
        </w:rPr>
        <w:t> </w:t>
      </w:r>
      <w:r>
        <w:rPr/>
        <w:t>readings</w:t>
      </w:r>
      <w:r>
        <w:rPr>
          <w:spacing w:val="-4"/>
        </w:rPr>
        <w:t> </w:t>
      </w:r>
      <w:r>
        <w:rPr/>
        <w:t>of</w:t>
      </w:r>
      <w:r>
        <w:rPr>
          <w:spacing w:val="-2"/>
        </w:rPr>
        <w:t> </w:t>
      </w:r>
      <w:r>
        <w:rPr/>
        <w:t>Shakespeare’s</w:t>
      </w:r>
      <w:r>
        <w:rPr>
          <w:spacing w:val="-4"/>
        </w:rPr>
        <w:t> </w:t>
      </w:r>
      <w:r>
        <w:rPr/>
        <w:t>works</w:t>
      </w:r>
      <w:r>
        <w:rPr>
          <w:spacing w:val="-2"/>
        </w:rPr>
        <w:t> </w:t>
      </w:r>
      <w:r>
        <w:rPr/>
        <w:t>give</w:t>
      </w:r>
      <w:r>
        <w:rPr>
          <w:spacing w:val="-2"/>
        </w:rPr>
        <w:t> </w:t>
      </w:r>
      <w:r>
        <w:rPr/>
        <w:t>a brief</w:t>
      </w:r>
      <w:r>
        <w:rPr>
          <w:spacing w:val="-4"/>
        </w:rPr>
        <w:t> </w:t>
      </w:r>
      <w:r>
        <w:rPr/>
        <w:t>idea about the society and age of that time. Elizabethan society was dominated by patriarchal ideologies, with authority resting with the male figures-fathers, husbands, sons and rulers. Women were often confined and stereotyped as compliant daughters, temptresses, tragic victims or were considered</w:t>
      </w:r>
      <w:r>
        <w:rPr>
          <w:spacing w:val="40"/>
        </w:rPr>
        <w:t> </w:t>
      </w:r>
      <w:r>
        <w:rPr/>
        <w:t>as an</w:t>
      </w:r>
      <w:r>
        <w:rPr>
          <w:spacing w:val="40"/>
        </w:rPr>
        <w:t> </w:t>
      </w:r>
      <w:r>
        <w:rPr/>
        <w:t>instrument for political</w:t>
      </w:r>
      <w:r>
        <w:rPr>
          <w:spacing w:val="40"/>
        </w:rPr>
        <w:t> </w:t>
      </w:r>
      <w:r>
        <w:rPr/>
        <w:t>and</w:t>
      </w:r>
      <w:r>
        <w:rPr>
          <w:spacing w:val="40"/>
        </w:rPr>
        <w:t> </w:t>
      </w:r>
      <w:r>
        <w:rPr/>
        <w:t>social</w:t>
      </w:r>
      <w:r>
        <w:rPr>
          <w:spacing w:val="40"/>
        </w:rPr>
        <w:t> </w:t>
      </w:r>
      <w:r>
        <w:rPr/>
        <w:t>alliances.</w:t>
      </w:r>
    </w:p>
    <w:p>
      <w:pPr>
        <w:pStyle w:val="BodyText"/>
        <w:spacing w:line="249" w:lineRule="auto" w:before="63"/>
        <w:ind w:right="1441" w:firstLine="432"/>
        <w:jc w:val="both"/>
      </w:pPr>
      <w:r>
        <w:rPr/>
        <w:t>Lady</w:t>
      </w:r>
      <w:r>
        <w:rPr>
          <w:spacing w:val="-13"/>
        </w:rPr>
        <w:t> </w:t>
      </w:r>
      <w:r>
        <w:rPr/>
        <w:t>Macbeth,</w:t>
      </w:r>
      <w:r>
        <w:rPr>
          <w:spacing w:val="-12"/>
        </w:rPr>
        <w:t> </w:t>
      </w:r>
      <w:r>
        <w:rPr/>
        <w:t>for</w:t>
      </w:r>
      <w:r>
        <w:rPr>
          <w:spacing w:val="-13"/>
        </w:rPr>
        <w:t> </w:t>
      </w:r>
      <w:r>
        <w:rPr/>
        <w:t>example,</w:t>
      </w:r>
      <w:r>
        <w:rPr>
          <w:spacing w:val="-11"/>
        </w:rPr>
        <w:t> </w:t>
      </w:r>
      <w:r>
        <w:rPr/>
        <w:t>was</w:t>
      </w:r>
      <w:r>
        <w:rPr>
          <w:spacing w:val="-13"/>
        </w:rPr>
        <w:t> </w:t>
      </w:r>
      <w:r>
        <w:rPr/>
        <w:t>long</w:t>
      </w:r>
      <w:r>
        <w:rPr>
          <w:spacing w:val="-11"/>
        </w:rPr>
        <w:t> </w:t>
      </w:r>
      <w:r>
        <w:rPr/>
        <w:t>read</w:t>
      </w:r>
      <w:r>
        <w:rPr>
          <w:spacing w:val="-10"/>
        </w:rPr>
        <w:t> </w:t>
      </w:r>
      <w:r>
        <w:rPr/>
        <w:t>as</w:t>
      </w:r>
      <w:r>
        <w:rPr>
          <w:spacing w:val="-13"/>
        </w:rPr>
        <w:t> </w:t>
      </w:r>
      <w:r>
        <w:rPr/>
        <w:t>a</w:t>
      </w:r>
      <w:r>
        <w:rPr>
          <w:spacing w:val="-12"/>
        </w:rPr>
        <w:t> </w:t>
      </w:r>
      <w:r>
        <w:rPr/>
        <w:t>figure</w:t>
      </w:r>
      <w:r>
        <w:rPr>
          <w:spacing w:val="-11"/>
        </w:rPr>
        <w:t> </w:t>
      </w:r>
      <w:r>
        <w:rPr/>
        <w:t>of</w:t>
      </w:r>
      <w:r>
        <w:rPr>
          <w:spacing w:val="-13"/>
        </w:rPr>
        <w:t> </w:t>
      </w:r>
      <w:r>
        <w:rPr/>
        <w:t>monstrous </w:t>
      </w:r>
      <w:r>
        <w:rPr>
          <w:spacing w:val="-2"/>
        </w:rPr>
        <w:t>ambition,</w:t>
      </w:r>
      <w:r>
        <w:rPr>
          <w:spacing w:val="2"/>
        </w:rPr>
        <w:t> </w:t>
      </w:r>
      <w:r>
        <w:rPr>
          <w:spacing w:val="-2"/>
        </w:rPr>
        <w:t>embodying</w:t>
      </w:r>
      <w:r>
        <w:rPr>
          <w:spacing w:val="-5"/>
        </w:rPr>
        <w:t> </w:t>
      </w:r>
      <w:r>
        <w:rPr>
          <w:spacing w:val="-2"/>
        </w:rPr>
        <w:t>the</w:t>
      </w:r>
      <w:r>
        <w:rPr>
          <w:spacing w:val="1"/>
        </w:rPr>
        <w:t> </w:t>
      </w:r>
      <w:r>
        <w:rPr>
          <w:spacing w:val="-2"/>
        </w:rPr>
        <w:t>dangers</w:t>
      </w:r>
      <w:r>
        <w:rPr>
          <w:spacing w:val="-4"/>
        </w:rPr>
        <w:t> </w:t>
      </w:r>
      <w:r>
        <w:rPr>
          <w:spacing w:val="-2"/>
        </w:rPr>
        <w:t>of</w:t>
      </w:r>
      <w:r>
        <w:rPr/>
        <w:t> </w:t>
      </w:r>
      <w:r>
        <w:rPr>
          <w:spacing w:val="-2"/>
        </w:rPr>
        <w:t>female</w:t>
      </w:r>
      <w:r>
        <w:rPr>
          <w:spacing w:val="-3"/>
        </w:rPr>
        <w:t> </w:t>
      </w:r>
      <w:r>
        <w:rPr>
          <w:spacing w:val="-2"/>
        </w:rPr>
        <w:t>authority,</w:t>
      </w:r>
      <w:r>
        <w:rPr>
          <w:spacing w:val="2"/>
        </w:rPr>
        <w:t> </w:t>
      </w:r>
      <w:r>
        <w:rPr>
          <w:spacing w:val="-2"/>
        </w:rPr>
        <w:t>while</w:t>
      </w:r>
      <w:r>
        <w:rPr>
          <w:spacing w:val="-1"/>
        </w:rPr>
        <w:t> </w:t>
      </w:r>
      <w:r>
        <w:rPr>
          <w:spacing w:val="-2"/>
        </w:rPr>
        <w:t>Ophelia</w:t>
      </w:r>
      <w:r>
        <w:rPr/>
        <w:t> </w:t>
      </w:r>
      <w:r>
        <w:rPr>
          <w:spacing w:val="-5"/>
        </w:rPr>
        <w:t>was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640576">
                <wp:simplePos x="0" y="0"/>
                <wp:positionH relativeFrom="page">
                  <wp:posOffset>2065020</wp:posOffset>
                </wp:positionH>
                <wp:positionV relativeFrom="paragraph">
                  <wp:posOffset>162604</wp:posOffset>
                </wp:positionV>
                <wp:extent cx="3657600" cy="12700"/>
                <wp:effectExtent l="0" t="0" r="0" b="0"/>
                <wp:wrapTopAndBottom/>
                <wp:docPr id="208" name="Graphic 208"/>
                <wp:cNvGraphicFramePr>
                  <a:graphicFrameLocks/>
                </wp:cNvGraphicFramePr>
                <a:graphic>
                  <a:graphicData uri="http://schemas.microsoft.com/office/word/2010/wordprocessingShape">
                    <wps:wsp>
                      <wps:cNvPr id="208" name="Graphic 20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75904;mso-wrap-distance-left:0;mso-wrap-distance-right:0" id="docshape204" filled="true" fillcolor="#000000" stroked="false">
                <v:fill type="solid"/>
                <w10:wrap type="topAndBottom"/>
              </v:rect>
            </w:pict>
          </mc:Fallback>
        </mc:AlternateContent>
      </w:r>
      <w:r>
        <w:rPr>
          <w:rFonts w:ascii="Verdana"/>
          <w:sz w:val="18"/>
        </w:rPr>
        <w:t>Caged</w:t>
      </w:r>
      <w:r>
        <w:rPr>
          <w:rFonts w:ascii="Verdana"/>
          <w:spacing w:val="14"/>
          <w:sz w:val="18"/>
        </w:rPr>
        <w:t> </w:t>
      </w:r>
      <w:r>
        <w:rPr>
          <w:rFonts w:ascii="Verdana"/>
          <w:sz w:val="18"/>
        </w:rPr>
        <w:t>Voices</w:t>
      </w:r>
      <w:r>
        <w:rPr>
          <w:rFonts w:ascii="Verdana"/>
          <w:spacing w:val="16"/>
          <w:sz w:val="18"/>
        </w:rPr>
        <w:t> </w:t>
      </w:r>
      <w:r>
        <w:rPr>
          <w:rFonts w:ascii="Verdana"/>
          <w:sz w:val="18"/>
        </w:rPr>
        <w:t>and</w:t>
      </w:r>
      <w:r>
        <w:rPr>
          <w:rFonts w:ascii="Verdana"/>
          <w:spacing w:val="17"/>
          <w:sz w:val="18"/>
        </w:rPr>
        <w:t> </w:t>
      </w:r>
      <w:r>
        <w:rPr>
          <w:rFonts w:ascii="Verdana"/>
          <w:sz w:val="18"/>
        </w:rPr>
        <w:t>Subtle</w:t>
      </w:r>
      <w:r>
        <w:rPr>
          <w:rFonts w:ascii="Verdana"/>
          <w:spacing w:val="16"/>
          <w:sz w:val="18"/>
        </w:rPr>
        <w:t> </w:t>
      </w:r>
      <w:r>
        <w:rPr>
          <w:rFonts w:ascii="Verdana"/>
          <w:sz w:val="18"/>
        </w:rPr>
        <w:t>Rebellions:</w:t>
      </w:r>
      <w:r>
        <w:rPr>
          <w:rFonts w:ascii="Verdana"/>
          <w:spacing w:val="15"/>
          <w:sz w:val="18"/>
        </w:rPr>
        <w:t> </w:t>
      </w:r>
      <w:r>
        <w:rPr>
          <w:rFonts w:ascii="Verdana"/>
          <w:sz w:val="18"/>
        </w:rPr>
        <w:t>Gendered</w:t>
      </w:r>
      <w:r>
        <w:rPr>
          <w:rFonts w:ascii="Verdana"/>
          <w:spacing w:val="17"/>
          <w:sz w:val="18"/>
        </w:rPr>
        <w:t> </w:t>
      </w:r>
      <w:r>
        <w:rPr>
          <w:rFonts w:ascii="Verdana"/>
          <w:sz w:val="18"/>
        </w:rPr>
        <w:t>Power</w:t>
      </w:r>
      <w:r>
        <w:rPr>
          <w:rFonts w:ascii="Verdana"/>
          <w:spacing w:val="18"/>
          <w:sz w:val="18"/>
        </w:rPr>
        <w:t> </w:t>
      </w:r>
      <w:r>
        <w:rPr>
          <w:rFonts w:ascii="Verdana"/>
          <w:spacing w:val="-5"/>
          <w:sz w:val="18"/>
        </w:rPr>
        <w:t>...</w:t>
      </w:r>
      <w:r>
        <w:rPr>
          <w:rFonts w:ascii="Verdana"/>
          <w:sz w:val="18"/>
        </w:rPr>
        <w:tab/>
      </w:r>
      <w:r>
        <w:rPr>
          <w:rFonts w:ascii="Verdana"/>
          <w:spacing w:val="-5"/>
          <w:sz w:val="18"/>
        </w:rPr>
        <w:t>43</w:t>
      </w:r>
    </w:p>
    <w:p>
      <w:pPr>
        <w:pStyle w:val="BodyText"/>
        <w:spacing w:line="249" w:lineRule="auto" w:before="192"/>
        <w:ind w:right="1440"/>
        <w:jc w:val="both"/>
      </w:pPr>
      <w:r>
        <w:rPr/>
        <w:t>pitied as a frail and emotional woman unable to survive the pressures</w:t>
      </w:r>
      <w:r>
        <w:rPr>
          <w:spacing w:val="80"/>
        </w:rPr>
        <w:t> </w:t>
      </w:r>
      <w:r>
        <w:rPr/>
        <w:t>of male-dominated Denmark. (Camden 114)</w:t>
      </w:r>
    </w:p>
    <w:p>
      <w:pPr>
        <w:pStyle w:val="BodyText"/>
        <w:spacing w:line="249" w:lineRule="auto" w:before="59"/>
        <w:ind w:right="1438" w:firstLine="432"/>
        <w:jc w:val="both"/>
      </w:pPr>
      <w:r>
        <w:rPr/>
        <w:t>This shows how such interpretations often overlook the wider political and social constraints that shaped such women’s behaviour</w:t>
      </w:r>
      <w:r>
        <w:rPr>
          <w:spacing w:val="40"/>
        </w:rPr>
        <w:t> </w:t>
      </w:r>
      <w:r>
        <w:rPr/>
        <w:t>and actions, and instead reinforce the same gendered hierarchies that keep</w:t>
      </w:r>
      <w:r>
        <w:rPr>
          <w:spacing w:val="-13"/>
        </w:rPr>
        <w:t> </w:t>
      </w:r>
      <w:r>
        <w:rPr/>
        <w:t>women</w:t>
      </w:r>
      <w:r>
        <w:rPr>
          <w:spacing w:val="-12"/>
        </w:rPr>
        <w:t> </w:t>
      </w:r>
      <w:r>
        <w:rPr/>
        <w:t>confined</w:t>
      </w:r>
      <w:r>
        <w:rPr>
          <w:spacing w:val="-13"/>
        </w:rPr>
        <w:t> </w:t>
      </w:r>
      <w:r>
        <w:rPr/>
        <w:t>to</w:t>
      </w:r>
      <w:r>
        <w:rPr>
          <w:spacing w:val="-12"/>
        </w:rPr>
        <w:t> </w:t>
      </w:r>
      <w:r>
        <w:rPr/>
        <w:t>subordinate</w:t>
      </w:r>
      <w:r>
        <w:rPr>
          <w:spacing w:val="-13"/>
        </w:rPr>
        <w:t> </w:t>
      </w:r>
      <w:r>
        <w:rPr/>
        <w:t>roles.</w:t>
      </w:r>
      <w:r>
        <w:rPr>
          <w:spacing w:val="-12"/>
        </w:rPr>
        <w:t> </w:t>
      </w:r>
      <w:r>
        <w:rPr/>
        <w:t>Like,</w:t>
      </w:r>
      <w:r>
        <w:rPr>
          <w:spacing w:val="-13"/>
        </w:rPr>
        <w:t> </w:t>
      </w:r>
      <w:r>
        <w:rPr/>
        <w:t>for</w:t>
      </w:r>
      <w:r>
        <w:rPr>
          <w:spacing w:val="-12"/>
        </w:rPr>
        <w:t> </w:t>
      </w:r>
      <w:r>
        <w:rPr/>
        <w:t>example,</w:t>
      </w:r>
      <w:r>
        <w:rPr>
          <w:spacing w:val="-13"/>
        </w:rPr>
        <w:t> </w:t>
      </w:r>
      <w:r>
        <w:rPr/>
        <w:t>in</w:t>
      </w:r>
      <w:r>
        <w:rPr>
          <w:spacing w:val="-12"/>
        </w:rPr>
        <w:t> </w:t>
      </w:r>
      <w:r>
        <w:rPr>
          <w:i/>
        </w:rPr>
        <w:t>Hamlet</w:t>
      </w:r>
      <w:r>
        <w:rPr/>
        <w:t>, Laertes warns her sister Ophelia regarding the fragility of a woman’s reputation while asking her to</w:t>
      </w:r>
      <w:r>
        <w:rPr>
          <w:spacing w:val="40"/>
        </w:rPr>
        <w:t> </w:t>
      </w:r>
      <w:r>
        <w:rPr/>
        <w:t>guard her virtue carefully:</w:t>
      </w:r>
    </w:p>
    <w:p>
      <w:pPr>
        <w:spacing w:before="63"/>
        <w:ind w:left="2160" w:right="0" w:firstLine="0"/>
        <w:jc w:val="both"/>
        <w:rPr>
          <w:i/>
          <w:sz w:val="20"/>
        </w:rPr>
      </w:pPr>
      <w:r>
        <w:rPr>
          <w:i/>
          <w:sz w:val="20"/>
        </w:rPr>
        <w:t>“For</w:t>
      </w:r>
      <w:r>
        <w:rPr>
          <w:i/>
          <w:spacing w:val="24"/>
          <w:sz w:val="20"/>
        </w:rPr>
        <w:t> </w:t>
      </w:r>
      <w:r>
        <w:rPr>
          <w:i/>
          <w:sz w:val="20"/>
        </w:rPr>
        <w:t>Hamlet,</w:t>
      </w:r>
      <w:r>
        <w:rPr>
          <w:i/>
          <w:spacing w:val="25"/>
          <w:sz w:val="20"/>
        </w:rPr>
        <w:t> </w:t>
      </w:r>
      <w:r>
        <w:rPr>
          <w:i/>
          <w:sz w:val="20"/>
        </w:rPr>
        <w:t>and</w:t>
      </w:r>
      <w:r>
        <w:rPr>
          <w:i/>
          <w:spacing w:val="28"/>
          <w:sz w:val="20"/>
        </w:rPr>
        <w:t> </w:t>
      </w:r>
      <w:r>
        <w:rPr>
          <w:i/>
          <w:sz w:val="20"/>
        </w:rPr>
        <w:t>the</w:t>
      </w:r>
      <w:r>
        <w:rPr>
          <w:i/>
          <w:spacing w:val="27"/>
          <w:sz w:val="20"/>
        </w:rPr>
        <w:t> </w:t>
      </w:r>
      <w:r>
        <w:rPr>
          <w:i/>
          <w:sz w:val="20"/>
        </w:rPr>
        <w:t>trifling</w:t>
      </w:r>
      <w:r>
        <w:rPr>
          <w:i/>
          <w:spacing w:val="26"/>
          <w:sz w:val="20"/>
        </w:rPr>
        <w:t> </w:t>
      </w:r>
      <w:r>
        <w:rPr>
          <w:i/>
          <w:sz w:val="20"/>
        </w:rPr>
        <w:t>of</w:t>
      </w:r>
      <w:r>
        <w:rPr>
          <w:i/>
          <w:spacing w:val="26"/>
          <w:sz w:val="20"/>
        </w:rPr>
        <w:t> </w:t>
      </w:r>
      <w:r>
        <w:rPr>
          <w:i/>
          <w:sz w:val="20"/>
        </w:rPr>
        <w:t>his</w:t>
      </w:r>
      <w:r>
        <w:rPr>
          <w:i/>
          <w:spacing w:val="26"/>
          <w:sz w:val="20"/>
        </w:rPr>
        <w:t> </w:t>
      </w:r>
      <w:r>
        <w:rPr>
          <w:i/>
          <w:spacing w:val="-2"/>
          <w:sz w:val="20"/>
        </w:rPr>
        <w:t>favour,</w:t>
      </w:r>
    </w:p>
    <w:p>
      <w:pPr>
        <w:spacing w:before="68"/>
        <w:ind w:left="2160" w:right="0" w:firstLine="0"/>
        <w:jc w:val="both"/>
        <w:rPr>
          <w:i/>
          <w:sz w:val="20"/>
        </w:rPr>
      </w:pPr>
      <w:r>
        <w:rPr>
          <w:i/>
          <w:sz w:val="20"/>
        </w:rPr>
        <w:t>Hold</w:t>
      </w:r>
      <w:r>
        <w:rPr>
          <w:i/>
          <w:spacing w:val="-11"/>
          <w:sz w:val="20"/>
        </w:rPr>
        <w:t> </w:t>
      </w:r>
      <w:r>
        <w:rPr>
          <w:i/>
          <w:sz w:val="20"/>
        </w:rPr>
        <w:t>it</w:t>
      </w:r>
      <w:r>
        <w:rPr>
          <w:i/>
          <w:spacing w:val="-8"/>
          <w:sz w:val="20"/>
        </w:rPr>
        <w:t> </w:t>
      </w:r>
      <w:r>
        <w:rPr>
          <w:i/>
          <w:sz w:val="20"/>
        </w:rPr>
        <w:t>a</w:t>
      </w:r>
      <w:r>
        <w:rPr>
          <w:i/>
          <w:spacing w:val="-12"/>
          <w:sz w:val="20"/>
        </w:rPr>
        <w:t> </w:t>
      </w:r>
      <w:r>
        <w:rPr>
          <w:i/>
          <w:sz w:val="20"/>
        </w:rPr>
        <w:t>fashion</w:t>
      </w:r>
      <w:r>
        <w:rPr>
          <w:i/>
          <w:spacing w:val="-11"/>
          <w:sz w:val="20"/>
        </w:rPr>
        <w:t> </w:t>
      </w:r>
      <w:r>
        <w:rPr>
          <w:i/>
          <w:sz w:val="20"/>
        </w:rPr>
        <w:t>and</w:t>
      </w:r>
      <w:r>
        <w:rPr>
          <w:i/>
          <w:spacing w:val="-10"/>
          <w:sz w:val="20"/>
        </w:rPr>
        <w:t> </w:t>
      </w:r>
      <w:r>
        <w:rPr>
          <w:i/>
          <w:sz w:val="20"/>
        </w:rPr>
        <w:t>a</w:t>
      </w:r>
      <w:r>
        <w:rPr>
          <w:i/>
          <w:spacing w:val="-9"/>
          <w:sz w:val="20"/>
        </w:rPr>
        <w:t> </w:t>
      </w:r>
      <w:r>
        <w:rPr>
          <w:i/>
          <w:sz w:val="20"/>
        </w:rPr>
        <w:t>toy</w:t>
      </w:r>
      <w:r>
        <w:rPr>
          <w:i/>
          <w:spacing w:val="-10"/>
          <w:sz w:val="20"/>
        </w:rPr>
        <w:t> </w:t>
      </w:r>
      <w:r>
        <w:rPr>
          <w:i/>
          <w:sz w:val="20"/>
        </w:rPr>
        <w:t>in</w:t>
      </w:r>
      <w:r>
        <w:rPr>
          <w:i/>
          <w:spacing w:val="-10"/>
          <w:sz w:val="20"/>
        </w:rPr>
        <w:t> </w:t>
      </w:r>
      <w:r>
        <w:rPr>
          <w:i/>
          <w:sz w:val="20"/>
        </w:rPr>
        <w:t>blood”</w:t>
      </w:r>
      <w:r>
        <w:rPr>
          <w:i/>
          <w:spacing w:val="-10"/>
          <w:sz w:val="20"/>
        </w:rPr>
        <w:t> </w:t>
      </w:r>
      <w:r>
        <w:rPr>
          <w:i/>
          <w:sz w:val="20"/>
        </w:rPr>
        <w:t>(Hamlet,</w:t>
      </w:r>
      <w:r>
        <w:rPr>
          <w:i/>
          <w:spacing w:val="-11"/>
          <w:sz w:val="20"/>
        </w:rPr>
        <w:t> </w:t>
      </w:r>
      <w:r>
        <w:rPr>
          <w:i/>
          <w:sz w:val="20"/>
        </w:rPr>
        <w:t>13.5-</w:t>
      </w:r>
      <w:r>
        <w:rPr>
          <w:i/>
          <w:spacing w:val="-5"/>
          <w:sz w:val="20"/>
        </w:rPr>
        <w:t>6).</w:t>
      </w:r>
    </w:p>
    <w:p>
      <w:pPr>
        <w:pStyle w:val="BodyText"/>
        <w:spacing w:line="249" w:lineRule="auto" w:before="70"/>
        <w:ind w:right="1441" w:firstLine="432"/>
        <w:jc w:val="both"/>
      </w:pPr>
      <w:r>
        <w:rPr/>
        <w:t>This shows how Ophelia is denied the freedom of trusting in her own</w:t>
      </w:r>
      <w:r>
        <w:rPr>
          <w:spacing w:val="-4"/>
        </w:rPr>
        <w:t> </w:t>
      </w:r>
      <w:r>
        <w:rPr/>
        <w:t>emotions</w:t>
      </w:r>
      <w:r>
        <w:rPr>
          <w:spacing w:val="-4"/>
        </w:rPr>
        <w:t> </w:t>
      </w:r>
      <w:r>
        <w:rPr/>
        <w:t>and choices, and is</w:t>
      </w:r>
      <w:r>
        <w:rPr>
          <w:spacing w:val="-4"/>
        </w:rPr>
        <w:t> </w:t>
      </w:r>
      <w:r>
        <w:rPr/>
        <w:t>instead</w:t>
      </w:r>
      <w:r>
        <w:rPr>
          <w:spacing w:val="-2"/>
        </w:rPr>
        <w:t> </w:t>
      </w:r>
      <w:r>
        <w:rPr/>
        <w:t>compelled to rely</w:t>
      </w:r>
      <w:r>
        <w:rPr>
          <w:spacing w:val="-7"/>
        </w:rPr>
        <w:t> </w:t>
      </w:r>
      <w:r>
        <w:rPr/>
        <w:t>on</w:t>
      </w:r>
      <w:r>
        <w:rPr>
          <w:spacing w:val="-4"/>
        </w:rPr>
        <w:t> </w:t>
      </w:r>
      <w:r>
        <w:rPr/>
        <w:t>the</w:t>
      </w:r>
      <w:r>
        <w:rPr>
          <w:spacing w:val="-2"/>
        </w:rPr>
        <w:t> </w:t>
      </w:r>
      <w:r>
        <w:rPr/>
        <w:t>male authority around her to guide her actions. She is even advised by her father, Polonius to leave Hamlet, instead of knowing how deeply her daughter loves him. Ophelia’s dutiful role as a daughter forces her to reject Hamlet as an act of obedience towards her</w:t>
      </w:r>
      <w:r>
        <w:rPr>
          <w:spacing w:val="40"/>
        </w:rPr>
        <w:t> </w:t>
      </w:r>
      <w:r>
        <w:rPr/>
        <w:t>father.</w:t>
      </w:r>
    </w:p>
    <w:p>
      <w:pPr>
        <w:pStyle w:val="BodyText"/>
        <w:spacing w:line="259" w:lineRule="auto" w:before="67"/>
        <w:ind w:right="1439" w:firstLine="432"/>
        <w:jc w:val="both"/>
      </w:pPr>
      <w:r>
        <w:rPr/>
        <w:t>Similarly,</w:t>
      </w:r>
      <w:r>
        <w:rPr>
          <w:spacing w:val="-4"/>
        </w:rPr>
        <w:t> </w:t>
      </w:r>
      <w:r>
        <w:rPr/>
        <w:t>in</w:t>
      </w:r>
      <w:r>
        <w:rPr>
          <w:spacing w:val="-4"/>
        </w:rPr>
        <w:t> </w:t>
      </w:r>
      <w:r>
        <w:rPr>
          <w:i/>
        </w:rPr>
        <w:t>Othello</w:t>
      </w:r>
      <w:r>
        <w:rPr>
          <w:i/>
          <w:spacing w:val="-2"/>
        </w:rPr>
        <w:t> </w:t>
      </w:r>
      <w:r>
        <w:rPr/>
        <w:t>Brabantio feels</w:t>
      </w:r>
      <w:r>
        <w:rPr>
          <w:spacing w:val="-5"/>
        </w:rPr>
        <w:t> </w:t>
      </w:r>
      <w:r>
        <w:rPr/>
        <w:t>betrayed</w:t>
      </w:r>
      <w:r>
        <w:rPr>
          <w:spacing w:val="-2"/>
        </w:rPr>
        <w:t> </w:t>
      </w:r>
      <w:r>
        <w:rPr/>
        <w:t>not</w:t>
      </w:r>
      <w:r>
        <w:rPr>
          <w:spacing w:val="-4"/>
        </w:rPr>
        <w:t> </w:t>
      </w:r>
      <w:r>
        <w:rPr/>
        <w:t>because</w:t>
      </w:r>
      <w:r>
        <w:rPr>
          <w:spacing w:val="-2"/>
        </w:rPr>
        <w:t> </w:t>
      </w:r>
      <w:r>
        <w:rPr/>
        <w:t>he</w:t>
      </w:r>
      <w:r>
        <w:rPr>
          <w:spacing w:val="-3"/>
        </w:rPr>
        <w:t> </w:t>
      </w:r>
      <w:r>
        <w:rPr/>
        <w:t>feels his daughter Desdemona has made a bad choice, but because she made her choice on her own without her father’s consent. When Brabantio comes to know about Othello from her daughter, he says: “She is abused, stol’n from me, and corrupted (Othello 13.60)”. At once, Desdemona’s ability to speak, her personal desires, and her sense of independence</w:t>
      </w:r>
      <w:r>
        <w:rPr>
          <w:spacing w:val="-1"/>
        </w:rPr>
        <w:t> </w:t>
      </w:r>
      <w:r>
        <w:rPr/>
        <w:t>are all eclipsed by</w:t>
      </w:r>
      <w:r>
        <w:rPr>
          <w:spacing w:val="-2"/>
        </w:rPr>
        <w:t> </w:t>
      </w:r>
      <w:r>
        <w:rPr/>
        <w:t>the dominating authority</w:t>
      </w:r>
      <w:r>
        <w:rPr>
          <w:spacing w:val="-4"/>
        </w:rPr>
        <w:t> </w:t>
      </w:r>
      <w:r>
        <w:rPr/>
        <w:t>of her father. In</w:t>
      </w:r>
      <w:r>
        <w:rPr>
          <w:spacing w:val="-3"/>
        </w:rPr>
        <w:t> </w:t>
      </w:r>
      <w:r>
        <w:rPr/>
        <w:t>this</w:t>
      </w:r>
      <w:r>
        <w:rPr>
          <w:spacing w:val="-1"/>
        </w:rPr>
        <w:t> </w:t>
      </w:r>
      <w:r>
        <w:rPr/>
        <w:t>way,</w:t>
      </w:r>
      <w:r>
        <w:rPr>
          <w:spacing w:val="-1"/>
        </w:rPr>
        <w:t> </w:t>
      </w:r>
      <w:r>
        <w:rPr/>
        <w:t>the</w:t>
      </w:r>
      <w:r>
        <w:rPr>
          <w:spacing w:val="-1"/>
        </w:rPr>
        <w:t> </w:t>
      </w:r>
      <w:r>
        <w:rPr/>
        <w:t>portrayal</w:t>
      </w:r>
      <w:r>
        <w:rPr>
          <w:spacing w:val="-1"/>
        </w:rPr>
        <w:t> </w:t>
      </w:r>
      <w:r>
        <w:rPr/>
        <w:t>of Elizabethan</w:t>
      </w:r>
      <w:r>
        <w:rPr>
          <w:spacing w:val="-1"/>
        </w:rPr>
        <w:t> </w:t>
      </w:r>
      <w:r>
        <w:rPr/>
        <w:t>women</w:t>
      </w:r>
      <w:r>
        <w:rPr>
          <w:spacing w:val="-1"/>
        </w:rPr>
        <w:t> </w:t>
      </w:r>
      <w:r>
        <w:rPr/>
        <w:t>in</w:t>
      </w:r>
      <w:r>
        <w:rPr>
          <w:spacing w:val="-1"/>
        </w:rPr>
        <w:t> </w:t>
      </w:r>
      <w:r>
        <w:rPr/>
        <w:t>Shakespeare’s</w:t>
      </w:r>
      <w:r>
        <w:rPr>
          <w:spacing w:val="-1"/>
        </w:rPr>
        <w:t> </w:t>
      </w:r>
      <w:r>
        <w:rPr/>
        <w:t>plays reflects the rigid gender roles and male dominance of that time, where</w:t>
      </w:r>
      <w:r>
        <w:rPr>
          <w:spacing w:val="80"/>
        </w:rPr>
        <w:t> </w:t>
      </w:r>
      <w:r>
        <w:rPr/>
        <w:t>a woman’s desires and choices were often overlooked, suppressed or disregarded</w:t>
      </w:r>
      <w:r>
        <w:rPr>
          <w:spacing w:val="40"/>
        </w:rPr>
        <w:t> </w:t>
      </w:r>
      <w:r>
        <w:rPr/>
        <w:t>within the existing patriarchal</w:t>
      </w:r>
      <w:r>
        <w:rPr>
          <w:spacing w:val="40"/>
        </w:rPr>
        <w:t> </w:t>
      </w:r>
      <w:r>
        <w:rPr/>
        <w:t>social structure.</w:t>
      </w:r>
    </w:p>
    <w:p>
      <w:pPr>
        <w:pStyle w:val="BodyText"/>
        <w:spacing w:line="259" w:lineRule="auto" w:before="54"/>
        <w:ind w:right="1437" w:firstLine="432"/>
        <w:jc w:val="both"/>
      </w:pPr>
      <w:r>
        <w:rPr/>
        <w:t>Evidence of such female subordination can be traced in literary </w:t>
      </w:r>
      <w:r>
        <w:rPr>
          <w:spacing w:val="-4"/>
        </w:rPr>
        <w:t>traditions</w:t>
      </w:r>
      <w:r>
        <w:rPr>
          <w:spacing w:val="-9"/>
        </w:rPr>
        <w:t> </w:t>
      </w:r>
      <w:r>
        <w:rPr>
          <w:spacing w:val="-4"/>
        </w:rPr>
        <w:t>even</w:t>
      </w:r>
      <w:r>
        <w:rPr>
          <w:spacing w:val="-8"/>
        </w:rPr>
        <w:t> </w:t>
      </w:r>
      <w:r>
        <w:rPr>
          <w:spacing w:val="-4"/>
        </w:rPr>
        <w:t>before</w:t>
      </w:r>
      <w:r>
        <w:rPr>
          <w:spacing w:val="-9"/>
        </w:rPr>
        <w:t> </w:t>
      </w:r>
      <w:r>
        <w:rPr>
          <w:spacing w:val="-4"/>
        </w:rPr>
        <w:t>Elizabethan</w:t>
      </w:r>
      <w:r>
        <w:rPr>
          <w:spacing w:val="-8"/>
        </w:rPr>
        <w:t> </w:t>
      </w:r>
      <w:r>
        <w:rPr>
          <w:spacing w:val="-4"/>
        </w:rPr>
        <w:t>England. In</w:t>
      </w:r>
      <w:r>
        <w:rPr>
          <w:spacing w:val="-7"/>
        </w:rPr>
        <w:t> </w:t>
      </w:r>
      <w:r>
        <w:rPr>
          <w:spacing w:val="-4"/>
        </w:rPr>
        <w:t>Greek</w:t>
      </w:r>
      <w:r>
        <w:rPr>
          <w:spacing w:val="-9"/>
        </w:rPr>
        <w:t> </w:t>
      </w:r>
      <w:r>
        <w:rPr>
          <w:spacing w:val="-4"/>
        </w:rPr>
        <w:t>and</w:t>
      </w:r>
      <w:r>
        <w:rPr>
          <w:spacing w:val="-6"/>
        </w:rPr>
        <w:t> </w:t>
      </w:r>
      <w:r>
        <w:rPr>
          <w:spacing w:val="-4"/>
        </w:rPr>
        <w:t>Roman</w:t>
      </w:r>
      <w:r>
        <w:rPr>
          <w:spacing w:val="-7"/>
        </w:rPr>
        <w:t> </w:t>
      </w:r>
      <w:r>
        <w:rPr>
          <w:spacing w:val="-4"/>
        </w:rPr>
        <w:t>literature, </w:t>
      </w:r>
      <w:r>
        <w:rPr>
          <w:spacing w:val="-2"/>
        </w:rPr>
        <w:t>women</w:t>
      </w:r>
      <w:r>
        <w:rPr>
          <w:spacing w:val="-11"/>
        </w:rPr>
        <w:t> </w:t>
      </w:r>
      <w:r>
        <w:rPr>
          <w:spacing w:val="-2"/>
        </w:rPr>
        <w:t>were</w:t>
      </w:r>
      <w:r>
        <w:rPr>
          <w:spacing w:val="-10"/>
        </w:rPr>
        <w:t> </w:t>
      </w:r>
      <w:r>
        <w:rPr>
          <w:spacing w:val="-2"/>
        </w:rPr>
        <w:t>frequently</w:t>
      </w:r>
      <w:r>
        <w:rPr>
          <w:spacing w:val="-11"/>
        </w:rPr>
        <w:t> </w:t>
      </w:r>
      <w:r>
        <w:rPr>
          <w:spacing w:val="-2"/>
        </w:rPr>
        <w:t>depicted</w:t>
      </w:r>
      <w:r>
        <w:rPr>
          <w:spacing w:val="-7"/>
        </w:rPr>
        <w:t> </w:t>
      </w:r>
      <w:r>
        <w:rPr>
          <w:spacing w:val="-2"/>
        </w:rPr>
        <w:t>as</w:t>
      </w:r>
      <w:r>
        <w:rPr>
          <w:spacing w:val="-11"/>
        </w:rPr>
        <w:t> </w:t>
      </w:r>
      <w:r>
        <w:rPr>
          <w:spacing w:val="-2"/>
        </w:rPr>
        <w:t>weak,</w:t>
      </w:r>
      <w:r>
        <w:rPr>
          <w:spacing w:val="-7"/>
        </w:rPr>
        <w:t> </w:t>
      </w:r>
      <w:r>
        <w:rPr>
          <w:spacing w:val="-2"/>
        </w:rPr>
        <w:t>inferior</w:t>
      </w:r>
      <w:r>
        <w:rPr>
          <w:spacing w:val="-9"/>
        </w:rPr>
        <w:t> </w:t>
      </w:r>
      <w:r>
        <w:rPr>
          <w:spacing w:val="-2"/>
        </w:rPr>
        <w:t>and</w:t>
      </w:r>
      <w:r>
        <w:rPr>
          <w:spacing w:val="-7"/>
        </w:rPr>
        <w:t> </w:t>
      </w:r>
      <w:r>
        <w:rPr>
          <w:spacing w:val="-2"/>
        </w:rPr>
        <w:t>dependent,</w:t>
      </w:r>
      <w:r>
        <w:rPr>
          <w:spacing w:val="-7"/>
        </w:rPr>
        <w:t> </w:t>
      </w:r>
      <w:r>
        <w:rPr>
          <w:spacing w:val="-2"/>
        </w:rPr>
        <w:t>defined </w:t>
      </w:r>
      <w:r>
        <w:rPr/>
        <w:t>and controlled primarily through their relationships with male figures like their fathers, husbands and sons. Similarly, religious texts like the Bible were also not free from such anti-woman biases, where women were</w:t>
      </w:r>
      <w:r>
        <w:rPr>
          <w:spacing w:val="-3"/>
        </w:rPr>
        <w:t> </w:t>
      </w:r>
      <w:r>
        <w:rPr/>
        <w:t>often</w:t>
      </w:r>
      <w:r>
        <w:rPr>
          <w:spacing w:val="-4"/>
        </w:rPr>
        <w:t> </w:t>
      </w:r>
      <w:r>
        <w:rPr/>
        <w:t>regarded</w:t>
      </w:r>
      <w:r>
        <w:rPr>
          <w:spacing w:val="-4"/>
        </w:rPr>
        <w:t> </w:t>
      </w:r>
      <w:r>
        <w:rPr/>
        <w:t>just</w:t>
      </w:r>
      <w:r>
        <w:rPr>
          <w:spacing w:val="-2"/>
        </w:rPr>
        <w:t> </w:t>
      </w:r>
      <w:r>
        <w:rPr/>
        <w:t>as</w:t>
      </w:r>
      <w:r>
        <w:rPr>
          <w:spacing w:val="-4"/>
        </w:rPr>
        <w:t> </w:t>
      </w:r>
      <w:r>
        <w:rPr/>
        <w:t>a</w:t>
      </w:r>
      <w:r>
        <w:rPr>
          <w:spacing w:val="-3"/>
        </w:rPr>
        <w:t> </w:t>
      </w:r>
      <w:r>
        <w:rPr/>
        <w:t>source</w:t>
      </w:r>
      <w:r>
        <w:rPr>
          <w:spacing w:val="-2"/>
        </w:rPr>
        <w:t> </w:t>
      </w:r>
      <w:r>
        <w:rPr/>
        <w:t>of</w:t>
      </w:r>
      <w:r>
        <w:rPr>
          <w:spacing w:val="-4"/>
        </w:rPr>
        <w:t> </w:t>
      </w:r>
      <w:r>
        <w:rPr/>
        <w:t>temptation,</w:t>
      </w:r>
      <w:r>
        <w:rPr>
          <w:spacing w:val="-6"/>
        </w:rPr>
        <w:t> </w:t>
      </w:r>
      <w:r>
        <w:rPr/>
        <w:t>infidelity</w:t>
      </w:r>
      <w:r>
        <w:rPr>
          <w:spacing w:val="-6"/>
        </w:rPr>
        <w:t> </w:t>
      </w:r>
      <w:r>
        <w:rPr/>
        <w:t>and</w:t>
      </w:r>
      <w:r>
        <w:rPr>
          <w:spacing w:val="-2"/>
        </w:rPr>
        <w:t> </w:t>
      </w:r>
      <w:r>
        <w:rPr/>
        <w:t>fall</w:t>
      </w:r>
      <w:r>
        <w:rPr>
          <w:spacing w:val="-4"/>
        </w:rPr>
        <w:t> </w:t>
      </w:r>
      <w:r>
        <w:rPr/>
        <w:t>for man (Stone 71). Such representations are not merely incidental; they play an important role in shaping cultural perceptions of gender. By repeatedly associating women with fragility, emotional instability and moral</w:t>
      </w:r>
      <w:r>
        <w:rPr>
          <w:spacing w:val="49"/>
        </w:rPr>
        <w:t> </w:t>
      </w:r>
      <w:r>
        <w:rPr/>
        <w:t>danger,</w:t>
      </w:r>
      <w:r>
        <w:rPr>
          <w:spacing w:val="52"/>
        </w:rPr>
        <w:t> </w:t>
      </w:r>
      <w:r>
        <w:rPr/>
        <w:t>these</w:t>
      </w:r>
      <w:r>
        <w:rPr>
          <w:spacing w:val="53"/>
        </w:rPr>
        <w:t> </w:t>
      </w:r>
      <w:r>
        <w:rPr/>
        <w:t>literary</w:t>
      </w:r>
      <w:r>
        <w:rPr>
          <w:spacing w:val="48"/>
        </w:rPr>
        <w:t> </w:t>
      </w:r>
      <w:r>
        <w:rPr/>
        <w:t>texts</w:t>
      </w:r>
      <w:r>
        <w:rPr>
          <w:spacing w:val="52"/>
        </w:rPr>
        <w:t> </w:t>
      </w:r>
      <w:r>
        <w:rPr/>
        <w:t>for</w:t>
      </w:r>
      <w:r>
        <w:rPr>
          <w:spacing w:val="53"/>
        </w:rPr>
        <w:t> </w:t>
      </w:r>
      <w:r>
        <w:rPr/>
        <w:t>ages</w:t>
      </w:r>
      <w:r>
        <w:rPr>
          <w:spacing w:val="51"/>
        </w:rPr>
        <w:t> </w:t>
      </w:r>
      <w:r>
        <w:rPr/>
        <w:t>have</w:t>
      </w:r>
      <w:r>
        <w:rPr>
          <w:spacing w:val="51"/>
        </w:rPr>
        <w:t> </w:t>
      </w:r>
      <w:r>
        <w:rPr/>
        <w:t>contributed</w:t>
      </w:r>
      <w:r>
        <w:rPr>
          <w:spacing w:val="54"/>
        </w:rPr>
        <w:t> </w:t>
      </w:r>
      <w:r>
        <w:rPr/>
        <w:t>to</w:t>
      </w:r>
      <w:r>
        <w:rPr>
          <w:spacing w:val="52"/>
        </w:rPr>
        <w:t> </w:t>
      </w:r>
      <w:r>
        <w:rPr>
          <w:spacing w:val="-5"/>
        </w:rPr>
        <w:t>the</w:t>
      </w:r>
    </w:p>
    <w:p>
      <w:pPr>
        <w:pStyle w:val="BodyText"/>
        <w:spacing w:after="0" w:line="25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41088">
                <wp:simplePos x="0" y="0"/>
                <wp:positionH relativeFrom="page">
                  <wp:posOffset>2057400</wp:posOffset>
                </wp:positionH>
                <wp:positionV relativeFrom="paragraph">
                  <wp:posOffset>162604</wp:posOffset>
                </wp:positionV>
                <wp:extent cx="3657600" cy="12700"/>
                <wp:effectExtent l="0" t="0" r="0" b="0"/>
                <wp:wrapTopAndBottom/>
                <wp:docPr id="209" name="Graphic 209"/>
                <wp:cNvGraphicFramePr>
                  <a:graphicFrameLocks/>
                </wp:cNvGraphicFramePr>
                <a:graphic>
                  <a:graphicData uri="http://schemas.microsoft.com/office/word/2010/wordprocessingShape">
                    <wps:wsp>
                      <wps:cNvPr id="209" name="Graphic 20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75392;mso-wrap-distance-left:0;mso-wrap-distance-right:0" id="docshape205" filled="true" fillcolor="#000000" stroked="false">
                <v:fill type="solid"/>
                <w10:wrap type="topAndBottom"/>
              </v:rect>
            </w:pict>
          </mc:Fallback>
        </mc:AlternateContent>
      </w:r>
      <w:r>
        <w:rPr>
          <w:rFonts w:ascii="Verdana"/>
          <w:spacing w:val="-5"/>
          <w:sz w:val="18"/>
        </w:rPr>
        <w:t>44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56" w:lineRule="auto" w:before="197"/>
        <w:ind w:right="1442"/>
        <w:jc w:val="both"/>
      </w:pPr>
      <w:r>
        <w:rPr/>
        <w:t>normalization of male dominance and female subordination across the historical periods.</w:t>
      </w:r>
    </w:p>
    <w:p>
      <w:pPr>
        <w:pStyle w:val="BodyText"/>
        <w:spacing w:line="261" w:lineRule="auto" w:before="65"/>
        <w:ind w:right="1437" w:firstLine="432"/>
        <w:jc w:val="both"/>
      </w:pPr>
      <w:r>
        <w:rPr/>
        <w:t>Although Shakespeare’s works are often considered timeless, yet his representation of gender in the plays was not completely free from such inherent contradictions which reflect a clear imbalance in power structure across genres. As noted by Linda Bamber, a clear imbalance of</w:t>
      </w:r>
      <w:r>
        <w:rPr>
          <w:spacing w:val="-1"/>
        </w:rPr>
        <w:t> </w:t>
      </w:r>
      <w:r>
        <w:rPr/>
        <w:t>power</w:t>
      </w:r>
      <w:r>
        <w:rPr>
          <w:spacing w:val="-1"/>
        </w:rPr>
        <w:t> </w:t>
      </w:r>
      <w:r>
        <w:rPr/>
        <w:t>is seen</w:t>
      </w:r>
      <w:r>
        <w:rPr>
          <w:spacing w:val="-1"/>
        </w:rPr>
        <w:t> </w:t>
      </w:r>
      <w:r>
        <w:rPr/>
        <w:t>in his</w:t>
      </w:r>
      <w:r>
        <w:rPr>
          <w:spacing w:val="-1"/>
        </w:rPr>
        <w:t> </w:t>
      </w:r>
      <w:r>
        <w:rPr/>
        <w:t>tragedies and comedies, where male identity</w:t>
      </w:r>
      <w:r>
        <w:rPr>
          <w:spacing w:val="-3"/>
        </w:rPr>
        <w:t> </w:t>
      </w:r>
      <w:r>
        <w:rPr/>
        <w:t>has often been found occupying a central place particularly in tragic narratives, while women were positioned as secondary or “other”, especially in comedies (Bamber 6). This unequal positioning was often perceived</w:t>
      </w:r>
      <w:r>
        <w:rPr>
          <w:spacing w:val="-1"/>
        </w:rPr>
        <w:t> </w:t>
      </w:r>
      <w:r>
        <w:rPr/>
        <w:t>as</w:t>
      </w:r>
      <w:r>
        <w:rPr>
          <w:spacing w:val="-1"/>
        </w:rPr>
        <w:t> </w:t>
      </w:r>
      <w:r>
        <w:rPr/>
        <w:t>natural</w:t>
      </w:r>
      <w:r>
        <w:rPr>
          <w:spacing w:val="-2"/>
        </w:rPr>
        <w:t> </w:t>
      </w:r>
      <w:r>
        <w:rPr/>
        <w:t>rather than</w:t>
      </w:r>
      <w:r>
        <w:rPr>
          <w:spacing w:val="-3"/>
        </w:rPr>
        <w:t> </w:t>
      </w:r>
      <w:r>
        <w:rPr/>
        <w:t>as</w:t>
      </w:r>
      <w:r>
        <w:rPr>
          <w:spacing w:val="-1"/>
        </w:rPr>
        <w:t> </w:t>
      </w:r>
      <w:r>
        <w:rPr/>
        <w:t>a</w:t>
      </w:r>
      <w:r>
        <w:rPr>
          <w:spacing w:val="-2"/>
        </w:rPr>
        <w:t> </w:t>
      </w:r>
      <w:r>
        <w:rPr/>
        <w:t>product of</w:t>
      </w:r>
      <w:r>
        <w:rPr>
          <w:spacing w:val="-3"/>
        </w:rPr>
        <w:t> </w:t>
      </w:r>
      <w:r>
        <w:rPr/>
        <w:t>social conditioning.</w:t>
      </w:r>
      <w:r>
        <w:rPr>
          <w:spacing w:val="-1"/>
        </w:rPr>
        <w:t> </w:t>
      </w:r>
      <w:r>
        <w:rPr/>
        <w:t>The famous feminist theorist, Simone de Beauvoir in her book </w:t>
      </w:r>
      <w:r>
        <w:rPr>
          <w:i/>
        </w:rPr>
        <w:t>The Second Sex, </w:t>
      </w:r>
      <w:r>
        <w:rPr/>
        <w:t>asserts that “one is not born, but rather becomes a woman”, illuminating the fact that femininity is shaped by cultural expectations </w:t>
      </w:r>
      <w:r>
        <w:rPr>
          <w:spacing w:val="-2"/>
        </w:rPr>
        <w:t>rather</w:t>
      </w:r>
      <w:r>
        <w:rPr>
          <w:spacing w:val="-11"/>
        </w:rPr>
        <w:t> </w:t>
      </w:r>
      <w:r>
        <w:rPr>
          <w:spacing w:val="-2"/>
        </w:rPr>
        <w:t>than</w:t>
      </w:r>
      <w:r>
        <w:rPr>
          <w:spacing w:val="-10"/>
        </w:rPr>
        <w:t> </w:t>
      </w:r>
      <w:r>
        <w:rPr>
          <w:spacing w:val="-2"/>
        </w:rPr>
        <w:t>biological</w:t>
      </w:r>
      <w:r>
        <w:rPr>
          <w:spacing w:val="-11"/>
        </w:rPr>
        <w:t> </w:t>
      </w:r>
      <w:r>
        <w:rPr>
          <w:spacing w:val="-2"/>
        </w:rPr>
        <w:t>inevitability.</w:t>
      </w:r>
      <w:r>
        <w:rPr>
          <w:spacing w:val="-10"/>
        </w:rPr>
        <w:t> </w:t>
      </w:r>
      <w:r>
        <w:rPr>
          <w:spacing w:val="-2"/>
        </w:rPr>
        <w:t>Even</w:t>
      </w:r>
      <w:r>
        <w:rPr>
          <w:spacing w:val="-11"/>
        </w:rPr>
        <w:t> </w:t>
      </w:r>
      <w:r>
        <w:rPr>
          <w:spacing w:val="-2"/>
        </w:rPr>
        <w:t>Sara</w:t>
      </w:r>
      <w:r>
        <w:rPr>
          <w:spacing w:val="-10"/>
        </w:rPr>
        <w:t> </w:t>
      </w:r>
      <w:r>
        <w:rPr>
          <w:spacing w:val="-2"/>
        </w:rPr>
        <w:t>Ekici</w:t>
      </w:r>
      <w:r>
        <w:rPr>
          <w:spacing w:val="-11"/>
        </w:rPr>
        <w:t> </w:t>
      </w:r>
      <w:r>
        <w:rPr>
          <w:spacing w:val="-2"/>
        </w:rPr>
        <w:t>in</w:t>
      </w:r>
      <w:r>
        <w:rPr>
          <w:spacing w:val="-10"/>
        </w:rPr>
        <w:t> </w:t>
      </w:r>
      <w:r>
        <w:rPr>
          <w:spacing w:val="-2"/>
        </w:rPr>
        <w:t>her</w:t>
      </w:r>
      <w:r>
        <w:rPr>
          <w:spacing w:val="-11"/>
        </w:rPr>
        <w:t> </w:t>
      </w:r>
      <w:r>
        <w:rPr>
          <w:spacing w:val="-2"/>
        </w:rPr>
        <w:t>paper</w:t>
      </w:r>
      <w:r>
        <w:rPr>
          <w:spacing w:val="-10"/>
        </w:rPr>
        <w:t> </w:t>
      </w:r>
      <w:r>
        <w:rPr>
          <w:spacing w:val="-2"/>
        </w:rPr>
        <w:t>“Feminist </w:t>
      </w:r>
      <w:r>
        <w:rPr>
          <w:spacing w:val="-4"/>
        </w:rPr>
        <w:t>Criticism: Female Characters in Shakespeare’s Plays</w:t>
      </w:r>
      <w:r>
        <w:rPr>
          <w:spacing w:val="-7"/>
        </w:rPr>
        <w:t> </w:t>
      </w:r>
      <w:r>
        <w:rPr>
          <w:spacing w:val="-4"/>
        </w:rPr>
        <w:t>Othello and Hamlet”, </w:t>
      </w:r>
      <w:r>
        <w:rPr/>
        <w:t>explains</w:t>
      </w:r>
      <w:r>
        <w:rPr>
          <w:spacing w:val="-4"/>
        </w:rPr>
        <w:t> </w:t>
      </w:r>
      <w:r>
        <w:rPr/>
        <w:t>how</w:t>
      </w:r>
      <w:r>
        <w:rPr>
          <w:spacing w:val="-9"/>
        </w:rPr>
        <w:t> </w:t>
      </w:r>
      <w:r>
        <w:rPr/>
        <w:t>the</w:t>
      </w:r>
      <w:r>
        <w:rPr>
          <w:spacing w:val="-6"/>
        </w:rPr>
        <w:t> </w:t>
      </w:r>
      <w:r>
        <w:rPr/>
        <w:t>women</w:t>
      </w:r>
      <w:r>
        <w:rPr>
          <w:spacing w:val="-6"/>
        </w:rPr>
        <w:t> </w:t>
      </w:r>
      <w:r>
        <w:rPr/>
        <w:t>of</w:t>
      </w:r>
      <w:r>
        <w:rPr>
          <w:spacing w:val="-7"/>
        </w:rPr>
        <w:t> </w:t>
      </w:r>
      <w:r>
        <w:rPr/>
        <w:t>Shakespearean</w:t>
      </w:r>
      <w:r>
        <w:rPr>
          <w:spacing w:val="-6"/>
        </w:rPr>
        <w:t> </w:t>
      </w:r>
      <w:r>
        <w:rPr/>
        <w:t>drama</w:t>
      </w:r>
      <w:r>
        <w:rPr>
          <w:spacing w:val="-4"/>
        </w:rPr>
        <w:t> </w:t>
      </w:r>
      <w:r>
        <w:rPr/>
        <w:t>were</w:t>
      </w:r>
      <w:r>
        <w:rPr>
          <w:spacing w:val="-6"/>
        </w:rPr>
        <w:t> </w:t>
      </w:r>
      <w:r>
        <w:rPr/>
        <w:t>restricted</w:t>
      </w:r>
      <w:r>
        <w:rPr>
          <w:spacing w:val="-4"/>
        </w:rPr>
        <w:t> </w:t>
      </w:r>
      <w:r>
        <w:rPr/>
        <w:t>by</w:t>
      </w:r>
      <w:r>
        <w:rPr>
          <w:spacing w:val="-7"/>
        </w:rPr>
        <w:t> </w:t>
      </w:r>
      <w:r>
        <w:rPr/>
        <w:t>the strict rules and conventions of the patriarchal Elizabethan era. They often were forced to enter marriages in order to gain “power, legacy, dowry or land in exchange”. During that time, women were seen both</w:t>
      </w:r>
      <w:r>
        <w:rPr>
          <w:spacing w:val="40"/>
        </w:rPr>
        <w:t> </w:t>
      </w:r>
      <w:r>
        <w:rPr/>
        <w:t>as weak and dangerous, because their sexuality was supposedly mystic and therefore feared by men (Ekici 3).</w:t>
      </w:r>
    </w:p>
    <w:p>
      <w:pPr>
        <w:pStyle w:val="BodyText"/>
        <w:spacing w:line="261" w:lineRule="auto" w:before="43"/>
        <w:ind w:right="1439" w:firstLine="432"/>
        <w:jc w:val="both"/>
      </w:pPr>
      <w:r>
        <w:rPr/>
        <w:t>However, with gradual scientific advancement, political changes and the rise of feminism as a theory, traditional hierarchies began to shift, gradually transforming attitudes towards women. In this light Shakespeare’s</w:t>
      </w:r>
      <w:r>
        <w:rPr>
          <w:spacing w:val="-2"/>
        </w:rPr>
        <w:t> </w:t>
      </w:r>
      <w:r>
        <w:rPr/>
        <w:t>works</w:t>
      </w:r>
      <w:r>
        <w:rPr>
          <w:spacing w:val="-4"/>
        </w:rPr>
        <w:t> </w:t>
      </w:r>
      <w:r>
        <w:rPr/>
        <w:t>can</w:t>
      </w:r>
      <w:r>
        <w:rPr>
          <w:spacing w:val="-5"/>
        </w:rPr>
        <w:t> </w:t>
      </w:r>
      <w:r>
        <w:rPr/>
        <w:t>be</w:t>
      </w:r>
      <w:r>
        <w:rPr>
          <w:spacing w:val="-4"/>
        </w:rPr>
        <w:t> </w:t>
      </w:r>
      <w:r>
        <w:rPr/>
        <w:t>seen</w:t>
      </w:r>
      <w:r>
        <w:rPr>
          <w:spacing w:val="-4"/>
        </w:rPr>
        <w:t> </w:t>
      </w:r>
      <w:r>
        <w:rPr/>
        <w:t>as</w:t>
      </w:r>
      <w:r>
        <w:rPr>
          <w:spacing w:val="-4"/>
        </w:rPr>
        <w:t> </w:t>
      </w:r>
      <w:r>
        <w:rPr/>
        <w:t>both</w:t>
      </w:r>
      <w:r>
        <w:rPr>
          <w:spacing w:val="-2"/>
        </w:rPr>
        <w:t> </w:t>
      </w:r>
      <w:r>
        <w:rPr/>
        <w:t>reflective</w:t>
      </w:r>
      <w:r>
        <w:rPr>
          <w:spacing w:val="-5"/>
        </w:rPr>
        <w:t> </w:t>
      </w:r>
      <w:r>
        <w:rPr/>
        <w:t>of</w:t>
      </w:r>
      <w:r>
        <w:rPr>
          <w:spacing w:val="-4"/>
        </w:rPr>
        <w:t> </w:t>
      </w:r>
      <w:r>
        <w:rPr/>
        <w:t>patriarchal</w:t>
      </w:r>
      <w:r>
        <w:rPr>
          <w:spacing w:val="-4"/>
        </w:rPr>
        <w:t> </w:t>
      </w:r>
      <w:r>
        <w:rPr/>
        <w:t>norms and, at times, subtly responsive to changing perspectives.</w:t>
      </w:r>
      <w:r>
        <w:rPr>
          <w:spacing w:val="-4"/>
        </w:rPr>
        <w:t> </w:t>
      </w:r>
      <w:r>
        <w:rPr/>
        <w:t>Although we find him as a person who was influenced by his time, yet many of his female characters reflect his sensitivity towards women’s experiences even</w:t>
      </w:r>
      <w:r>
        <w:rPr>
          <w:spacing w:val="-13"/>
        </w:rPr>
        <w:t> </w:t>
      </w:r>
      <w:r>
        <w:rPr/>
        <w:t>if</w:t>
      </w:r>
      <w:r>
        <w:rPr>
          <w:spacing w:val="-12"/>
        </w:rPr>
        <w:t> </w:t>
      </w:r>
      <w:r>
        <w:rPr/>
        <w:t>it</w:t>
      </w:r>
      <w:r>
        <w:rPr>
          <w:spacing w:val="-13"/>
        </w:rPr>
        <w:t> </w:t>
      </w:r>
      <w:r>
        <w:rPr/>
        <w:t>does</w:t>
      </w:r>
      <w:r>
        <w:rPr>
          <w:spacing w:val="-12"/>
        </w:rPr>
        <w:t> </w:t>
      </w:r>
      <w:r>
        <w:rPr/>
        <w:t>not</w:t>
      </w:r>
      <w:r>
        <w:rPr>
          <w:spacing w:val="-13"/>
        </w:rPr>
        <w:t> </w:t>
      </w:r>
      <w:r>
        <w:rPr/>
        <w:t>fully</w:t>
      </w:r>
      <w:r>
        <w:rPr>
          <w:spacing w:val="-12"/>
        </w:rPr>
        <w:t> </w:t>
      </w:r>
      <w:r>
        <w:rPr/>
        <w:t>align</w:t>
      </w:r>
      <w:r>
        <w:rPr>
          <w:spacing w:val="-13"/>
        </w:rPr>
        <w:t> </w:t>
      </w:r>
      <w:r>
        <w:rPr/>
        <w:t>with</w:t>
      </w:r>
      <w:r>
        <w:rPr>
          <w:spacing w:val="-12"/>
        </w:rPr>
        <w:t> </w:t>
      </w:r>
      <w:r>
        <w:rPr/>
        <w:t>modern</w:t>
      </w:r>
      <w:r>
        <w:rPr>
          <w:spacing w:val="-13"/>
        </w:rPr>
        <w:t> </w:t>
      </w:r>
      <w:r>
        <w:rPr/>
        <w:t>feminist</w:t>
      </w:r>
      <w:r>
        <w:rPr>
          <w:spacing w:val="-12"/>
        </w:rPr>
        <w:t> </w:t>
      </w:r>
      <w:r>
        <w:rPr/>
        <w:t>thought.</w:t>
      </w:r>
      <w:r>
        <w:rPr>
          <w:spacing w:val="-13"/>
        </w:rPr>
        <w:t> </w:t>
      </w:r>
      <w:r>
        <w:rPr/>
        <w:t>For</w:t>
      </w:r>
      <w:r>
        <w:rPr>
          <w:spacing w:val="-12"/>
        </w:rPr>
        <w:t> </w:t>
      </w:r>
      <w:r>
        <w:rPr/>
        <w:t>example, in Shakespeare’s plays this is evident through characters like Rosalind and Portia, who challenged the fixed archetypes of the time through their disguise and performance to negotiate and challenge fixed gender roles, thereby exposing the fluidity that lies beneath the rigid gender structures. Even feminist re-readings have significantly redefined our perception of Shakespeare’s female characters, emphasizing the complexity of their roles and the importance of both their voices and their</w:t>
      </w:r>
      <w:r>
        <w:rPr>
          <w:spacing w:val="2"/>
        </w:rPr>
        <w:t> </w:t>
      </w:r>
      <w:r>
        <w:rPr/>
        <w:t>silences.</w:t>
      </w:r>
      <w:r>
        <w:rPr>
          <w:spacing w:val="56"/>
        </w:rPr>
        <w:t> </w:t>
      </w:r>
      <w:r>
        <w:rPr/>
        <w:t>Therefore,</w:t>
      </w:r>
      <w:r>
        <w:rPr>
          <w:spacing w:val="3"/>
        </w:rPr>
        <w:t> </w:t>
      </w:r>
      <w:r>
        <w:rPr/>
        <w:t>emphasizing</w:t>
      </w:r>
      <w:r>
        <w:rPr>
          <w:spacing w:val="1"/>
        </w:rPr>
        <w:t> </w:t>
      </w:r>
      <w:r>
        <w:rPr/>
        <w:t>the</w:t>
      </w:r>
      <w:r>
        <w:rPr>
          <w:spacing w:val="3"/>
        </w:rPr>
        <w:t> </w:t>
      </w:r>
      <w:r>
        <w:rPr/>
        <w:t>need</w:t>
      </w:r>
      <w:r>
        <w:rPr>
          <w:spacing w:val="1"/>
        </w:rPr>
        <w:t> </w:t>
      </w:r>
      <w:r>
        <w:rPr/>
        <w:t>for</w:t>
      </w:r>
      <w:r>
        <w:rPr>
          <w:spacing w:val="5"/>
        </w:rPr>
        <w:t> </w:t>
      </w:r>
      <w:r>
        <w:rPr/>
        <w:t>the</w:t>
      </w:r>
      <w:r>
        <w:rPr>
          <w:spacing w:val="1"/>
        </w:rPr>
        <w:t> </w:t>
      </w:r>
      <w:r>
        <w:rPr/>
        <w:t>development</w:t>
      </w:r>
      <w:r>
        <w:rPr>
          <w:spacing w:val="2"/>
        </w:rPr>
        <w:t> </w:t>
      </w:r>
      <w:r>
        <w:rPr>
          <w:spacing w:val="-5"/>
        </w:rPr>
        <w:t>of</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641600">
                <wp:simplePos x="0" y="0"/>
                <wp:positionH relativeFrom="page">
                  <wp:posOffset>2065020</wp:posOffset>
                </wp:positionH>
                <wp:positionV relativeFrom="paragraph">
                  <wp:posOffset>162604</wp:posOffset>
                </wp:positionV>
                <wp:extent cx="3657600" cy="12700"/>
                <wp:effectExtent l="0" t="0" r="0" b="0"/>
                <wp:wrapTopAndBottom/>
                <wp:docPr id="210" name="Graphic 210"/>
                <wp:cNvGraphicFramePr>
                  <a:graphicFrameLocks/>
                </wp:cNvGraphicFramePr>
                <a:graphic>
                  <a:graphicData uri="http://schemas.microsoft.com/office/word/2010/wordprocessingShape">
                    <wps:wsp>
                      <wps:cNvPr id="210" name="Graphic 21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74880;mso-wrap-distance-left:0;mso-wrap-distance-right:0" id="docshape206" filled="true" fillcolor="#000000" stroked="false">
                <v:fill type="solid"/>
                <w10:wrap type="topAndBottom"/>
              </v:rect>
            </w:pict>
          </mc:Fallback>
        </mc:AlternateContent>
      </w:r>
      <w:r>
        <w:rPr>
          <w:rFonts w:ascii="Verdana"/>
          <w:sz w:val="18"/>
        </w:rPr>
        <w:t>Caged</w:t>
      </w:r>
      <w:r>
        <w:rPr>
          <w:rFonts w:ascii="Verdana"/>
          <w:spacing w:val="14"/>
          <w:sz w:val="18"/>
        </w:rPr>
        <w:t> </w:t>
      </w:r>
      <w:r>
        <w:rPr>
          <w:rFonts w:ascii="Verdana"/>
          <w:sz w:val="18"/>
        </w:rPr>
        <w:t>Voices</w:t>
      </w:r>
      <w:r>
        <w:rPr>
          <w:rFonts w:ascii="Verdana"/>
          <w:spacing w:val="16"/>
          <w:sz w:val="18"/>
        </w:rPr>
        <w:t> </w:t>
      </w:r>
      <w:r>
        <w:rPr>
          <w:rFonts w:ascii="Verdana"/>
          <w:sz w:val="18"/>
        </w:rPr>
        <w:t>and</w:t>
      </w:r>
      <w:r>
        <w:rPr>
          <w:rFonts w:ascii="Verdana"/>
          <w:spacing w:val="17"/>
          <w:sz w:val="18"/>
        </w:rPr>
        <w:t> </w:t>
      </w:r>
      <w:r>
        <w:rPr>
          <w:rFonts w:ascii="Verdana"/>
          <w:sz w:val="18"/>
        </w:rPr>
        <w:t>Subtle</w:t>
      </w:r>
      <w:r>
        <w:rPr>
          <w:rFonts w:ascii="Verdana"/>
          <w:spacing w:val="16"/>
          <w:sz w:val="18"/>
        </w:rPr>
        <w:t> </w:t>
      </w:r>
      <w:r>
        <w:rPr>
          <w:rFonts w:ascii="Verdana"/>
          <w:sz w:val="18"/>
        </w:rPr>
        <w:t>Rebellions:</w:t>
      </w:r>
      <w:r>
        <w:rPr>
          <w:rFonts w:ascii="Verdana"/>
          <w:spacing w:val="15"/>
          <w:sz w:val="18"/>
        </w:rPr>
        <w:t> </w:t>
      </w:r>
      <w:r>
        <w:rPr>
          <w:rFonts w:ascii="Verdana"/>
          <w:sz w:val="18"/>
        </w:rPr>
        <w:t>Gendered</w:t>
      </w:r>
      <w:r>
        <w:rPr>
          <w:rFonts w:ascii="Verdana"/>
          <w:spacing w:val="17"/>
          <w:sz w:val="18"/>
        </w:rPr>
        <w:t> </w:t>
      </w:r>
      <w:r>
        <w:rPr>
          <w:rFonts w:ascii="Verdana"/>
          <w:sz w:val="18"/>
        </w:rPr>
        <w:t>Power</w:t>
      </w:r>
      <w:r>
        <w:rPr>
          <w:rFonts w:ascii="Verdana"/>
          <w:spacing w:val="18"/>
          <w:sz w:val="18"/>
        </w:rPr>
        <w:t> </w:t>
      </w:r>
      <w:r>
        <w:rPr>
          <w:rFonts w:ascii="Verdana"/>
          <w:spacing w:val="-5"/>
          <w:sz w:val="18"/>
        </w:rPr>
        <w:t>...</w:t>
      </w:r>
      <w:r>
        <w:rPr>
          <w:rFonts w:ascii="Verdana"/>
          <w:sz w:val="18"/>
        </w:rPr>
        <w:tab/>
      </w:r>
      <w:r>
        <w:rPr>
          <w:rFonts w:ascii="Verdana"/>
          <w:spacing w:val="-5"/>
          <w:sz w:val="18"/>
        </w:rPr>
        <w:t>45</w:t>
      </w:r>
    </w:p>
    <w:p>
      <w:pPr>
        <w:pStyle w:val="BodyText"/>
        <w:spacing w:line="261" w:lineRule="auto" w:before="199"/>
        <w:ind w:right="1437"/>
      </w:pPr>
      <w:r>
        <w:rPr/>
        <w:t>feminist</w:t>
      </w:r>
      <w:r>
        <w:rPr>
          <w:spacing w:val="30"/>
        </w:rPr>
        <w:t> </w:t>
      </w:r>
      <w:r>
        <w:rPr/>
        <w:t>criticism</w:t>
      </w:r>
      <w:r>
        <w:rPr>
          <w:spacing w:val="25"/>
        </w:rPr>
        <w:t> </w:t>
      </w:r>
      <w:r>
        <w:rPr/>
        <w:t>as</w:t>
      </w:r>
      <w:r>
        <w:rPr>
          <w:spacing w:val="27"/>
        </w:rPr>
        <w:t> </w:t>
      </w:r>
      <w:r>
        <w:rPr/>
        <w:t>a</w:t>
      </w:r>
      <w:r>
        <w:rPr>
          <w:spacing w:val="29"/>
        </w:rPr>
        <w:t> </w:t>
      </w:r>
      <w:r>
        <w:rPr/>
        <w:t>genre</w:t>
      </w:r>
      <w:r>
        <w:rPr>
          <w:spacing w:val="31"/>
        </w:rPr>
        <w:t> </w:t>
      </w:r>
      <w:r>
        <w:rPr/>
        <w:t>against</w:t>
      </w:r>
      <w:r>
        <w:rPr>
          <w:spacing w:val="30"/>
        </w:rPr>
        <w:t> </w:t>
      </w:r>
      <w:r>
        <w:rPr/>
        <w:t>the</w:t>
      </w:r>
      <w:r>
        <w:rPr>
          <w:spacing w:val="27"/>
        </w:rPr>
        <w:t> </w:t>
      </w:r>
      <w:r>
        <w:rPr/>
        <w:t>long-standing</w:t>
      </w:r>
      <w:r>
        <w:rPr>
          <w:spacing w:val="28"/>
        </w:rPr>
        <w:t> </w:t>
      </w:r>
      <w:r>
        <w:rPr/>
        <w:t>dominance</w:t>
      </w:r>
      <w:r>
        <w:rPr>
          <w:spacing w:val="29"/>
        </w:rPr>
        <w:t> </w:t>
      </w:r>
      <w:r>
        <w:rPr/>
        <w:t>of male</w:t>
      </w:r>
      <w:r>
        <w:rPr>
          <w:spacing w:val="40"/>
        </w:rPr>
        <w:t> </w:t>
      </w:r>
      <w:r>
        <w:rPr/>
        <w:t>perspectives in</w:t>
      </w:r>
      <w:r>
        <w:rPr>
          <w:spacing w:val="40"/>
        </w:rPr>
        <w:t> </w:t>
      </w:r>
      <w:r>
        <w:rPr/>
        <w:t>literary studies.</w:t>
      </w:r>
    </w:p>
    <w:p>
      <w:pPr>
        <w:pStyle w:val="Heading3"/>
        <w:spacing w:before="144"/>
      </w:pPr>
      <w:r>
        <w:rPr>
          <w:w w:val="85"/>
        </w:rPr>
        <w:t>FEMINIST</w:t>
      </w:r>
      <w:r>
        <w:rPr>
          <w:spacing w:val="33"/>
        </w:rPr>
        <w:t> </w:t>
      </w:r>
      <w:r>
        <w:rPr>
          <w:w w:val="85"/>
        </w:rPr>
        <w:t>RE-</w:t>
      </w:r>
      <w:r>
        <w:rPr>
          <w:spacing w:val="33"/>
        </w:rPr>
        <w:t> </w:t>
      </w:r>
      <w:r>
        <w:rPr>
          <w:w w:val="85"/>
        </w:rPr>
        <w:t>READINGS</w:t>
      </w:r>
      <w:r>
        <w:rPr>
          <w:spacing w:val="33"/>
        </w:rPr>
        <w:t> </w:t>
      </w:r>
      <w:r>
        <w:rPr>
          <w:w w:val="85"/>
        </w:rPr>
        <w:t>OF</w:t>
      </w:r>
      <w:r>
        <w:rPr>
          <w:spacing w:val="33"/>
        </w:rPr>
        <w:t> </w:t>
      </w:r>
      <w:r>
        <w:rPr>
          <w:w w:val="85"/>
        </w:rPr>
        <w:t>SHAKESPEARE’S</w:t>
      </w:r>
      <w:r>
        <w:rPr>
          <w:spacing w:val="33"/>
        </w:rPr>
        <w:t> </w:t>
      </w:r>
      <w:r>
        <w:rPr>
          <w:spacing w:val="-4"/>
          <w:w w:val="85"/>
        </w:rPr>
        <w:t>WOMEN</w:t>
      </w:r>
    </w:p>
    <w:p>
      <w:pPr>
        <w:pStyle w:val="BodyText"/>
        <w:spacing w:line="249" w:lineRule="auto" w:before="78"/>
        <w:ind w:right="1437" w:firstLine="432"/>
        <w:jc w:val="both"/>
      </w:pPr>
      <w:r>
        <w:rPr/>
        <w:t>Elaine Showalter in her essay “Towards a Feminist Poetics”, </w:t>
      </w:r>
      <w:r>
        <w:rPr>
          <w:spacing w:val="-2"/>
        </w:rPr>
        <w:t>explains</w:t>
      </w:r>
      <w:r>
        <w:rPr>
          <w:spacing w:val="-3"/>
        </w:rPr>
        <w:t> </w:t>
      </w:r>
      <w:r>
        <w:rPr>
          <w:spacing w:val="-2"/>
        </w:rPr>
        <w:t>the</w:t>
      </w:r>
      <w:r>
        <w:rPr>
          <w:spacing w:val="-7"/>
        </w:rPr>
        <w:t> </w:t>
      </w:r>
      <w:r>
        <w:rPr>
          <w:spacing w:val="-2"/>
        </w:rPr>
        <w:t>need</w:t>
      </w:r>
      <w:r>
        <w:rPr>
          <w:spacing w:val="-3"/>
        </w:rPr>
        <w:t> </w:t>
      </w:r>
      <w:r>
        <w:rPr>
          <w:spacing w:val="-2"/>
        </w:rPr>
        <w:t>of</w:t>
      </w:r>
      <w:r>
        <w:rPr>
          <w:spacing w:val="-5"/>
        </w:rPr>
        <w:t> </w:t>
      </w:r>
      <w:r>
        <w:rPr>
          <w:spacing w:val="-2"/>
        </w:rPr>
        <w:t>not</w:t>
      </w:r>
      <w:r>
        <w:rPr>
          <w:spacing w:val="-5"/>
        </w:rPr>
        <w:t> </w:t>
      </w:r>
      <w:r>
        <w:rPr>
          <w:spacing w:val="-2"/>
        </w:rPr>
        <w:t>only</w:t>
      </w:r>
      <w:r>
        <w:rPr>
          <w:spacing w:val="-8"/>
        </w:rPr>
        <w:t> </w:t>
      </w:r>
      <w:r>
        <w:rPr>
          <w:spacing w:val="-2"/>
        </w:rPr>
        <w:t>adding</w:t>
      </w:r>
      <w:r>
        <w:rPr>
          <w:spacing w:val="-8"/>
        </w:rPr>
        <w:t> </w:t>
      </w:r>
      <w:r>
        <w:rPr>
          <w:spacing w:val="-2"/>
        </w:rPr>
        <w:t>women</w:t>
      </w:r>
      <w:r>
        <w:rPr>
          <w:spacing w:val="-5"/>
        </w:rPr>
        <w:t> </w:t>
      </w:r>
      <w:r>
        <w:rPr>
          <w:spacing w:val="-2"/>
        </w:rPr>
        <w:t>into the</w:t>
      </w:r>
      <w:r>
        <w:rPr>
          <w:spacing w:val="-7"/>
        </w:rPr>
        <w:t> </w:t>
      </w:r>
      <w:r>
        <w:rPr>
          <w:spacing w:val="-2"/>
        </w:rPr>
        <w:t>existing</w:t>
      </w:r>
      <w:r>
        <w:rPr>
          <w:spacing w:val="-3"/>
        </w:rPr>
        <w:t> </w:t>
      </w:r>
      <w:r>
        <w:rPr>
          <w:spacing w:val="-2"/>
        </w:rPr>
        <w:t>frameworks </w:t>
      </w:r>
      <w:r>
        <w:rPr/>
        <w:t>but also about developing new ways of interpreting literature that challenge</w:t>
      </w:r>
      <w:r>
        <w:rPr>
          <w:spacing w:val="-10"/>
        </w:rPr>
        <w:t> </w:t>
      </w:r>
      <w:r>
        <w:rPr/>
        <w:t>and</w:t>
      </w:r>
      <w:r>
        <w:rPr>
          <w:spacing w:val="-8"/>
        </w:rPr>
        <w:t> </w:t>
      </w:r>
      <w:r>
        <w:rPr/>
        <w:t>rethink</w:t>
      </w:r>
      <w:r>
        <w:rPr>
          <w:spacing w:val="-11"/>
        </w:rPr>
        <w:t> </w:t>
      </w:r>
      <w:r>
        <w:rPr/>
        <w:t>the</w:t>
      </w:r>
      <w:r>
        <w:rPr>
          <w:spacing w:val="-11"/>
        </w:rPr>
        <w:t> </w:t>
      </w:r>
      <w:r>
        <w:rPr/>
        <w:t>patriarchal</w:t>
      </w:r>
      <w:r>
        <w:rPr>
          <w:spacing w:val="-9"/>
        </w:rPr>
        <w:t> </w:t>
      </w:r>
      <w:r>
        <w:rPr/>
        <w:t>assumptions</w:t>
      </w:r>
      <w:r>
        <w:rPr>
          <w:spacing w:val="-10"/>
        </w:rPr>
        <w:t> </w:t>
      </w:r>
      <w:r>
        <w:rPr/>
        <w:t>underlying</w:t>
      </w:r>
      <w:r>
        <w:rPr>
          <w:spacing w:val="-11"/>
        </w:rPr>
        <w:t> </w:t>
      </w:r>
      <w:r>
        <w:rPr/>
        <w:t>the</w:t>
      </w:r>
      <w:r>
        <w:rPr>
          <w:spacing w:val="-10"/>
        </w:rPr>
        <w:t> </w:t>
      </w:r>
      <w:r>
        <w:rPr/>
        <w:t>literary canon</w:t>
      </w:r>
      <w:r>
        <w:rPr>
          <w:spacing w:val="-13"/>
        </w:rPr>
        <w:t> </w:t>
      </w:r>
      <w:r>
        <w:rPr/>
        <w:t>(Showalter</w:t>
      </w:r>
      <w:r>
        <w:rPr>
          <w:spacing w:val="-10"/>
        </w:rPr>
        <w:t> </w:t>
      </w:r>
      <w:r>
        <w:rPr/>
        <w:t>127).</w:t>
      </w:r>
      <w:r>
        <w:rPr>
          <w:spacing w:val="-13"/>
        </w:rPr>
        <w:t> </w:t>
      </w:r>
      <w:r>
        <w:rPr/>
        <w:t>Based</w:t>
      </w:r>
      <w:r>
        <w:rPr>
          <w:spacing w:val="-10"/>
        </w:rPr>
        <w:t> </w:t>
      </w:r>
      <w:r>
        <w:rPr/>
        <w:t>on</w:t>
      </w:r>
      <w:r>
        <w:rPr>
          <w:spacing w:val="-13"/>
        </w:rPr>
        <w:t> </w:t>
      </w:r>
      <w:r>
        <w:rPr/>
        <w:t>this</w:t>
      </w:r>
      <w:r>
        <w:rPr>
          <w:spacing w:val="-11"/>
        </w:rPr>
        <w:t> </w:t>
      </w:r>
      <w:r>
        <w:rPr/>
        <w:t>theory</w:t>
      </w:r>
      <w:r>
        <w:rPr>
          <w:spacing w:val="-13"/>
        </w:rPr>
        <w:t> </w:t>
      </w:r>
      <w:r>
        <w:rPr/>
        <w:t>of</w:t>
      </w:r>
      <w:r>
        <w:rPr>
          <w:spacing w:val="-12"/>
        </w:rPr>
        <w:t> </w:t>
      </w:r>
      <w:r>
        <w:rPr/>
        <w:t>Showalter,</w:t>
      </w:r>
      <w:r>
        <w:rPr>
          <w:spacing w:val="-13"/>
        </w:rPr>
        <w:t> </w:t>
      </w:r>
      <w:r>
        <w:rPr/>
        <w:t>we</w:t>
      </w:r>
      <w:r>
        <w:rPr>
          <w:spacing w:val="-10"/>
        </w:rPr>
        <w:t> </w:t>
      </w:r>
      <w:r>
        <w:rPr/>
        <w:t>realize</w:t>
      </w:r>
      <w:r>
        <w:rPr>
          <w:spacing w:val="-10"/>
        </w:rPr>
        <w:t> </w:t>
      </w:r>
      <w:r>
        <w:rPr/>
        <w:t>the importance and relevance of feminist criticism as a genre in providing</w:t>
      </w:r>
      <w:r>
        <w:rPr>
          <w:spacing w:val="80"/>
        </w:rPr>
        <w:t> </w:t>
      </w:r>
      <w:r>
        <w:rPr/>
        <w:t>a new lens to look at the Shakespearean women, by shifting the focus from simply analysing the plot and character to the question of power, representation,</w:t>
      </w:r>
      <w:r>
        <w:rPr>
          <w:spacing w:val="-3"/>
        </w:rPr>
        <w:t> </w:t>
      </w:r>
      <w:r>
        <w:rPr/>
        <w:t>and</w:t>
      </w:r>
      <w:r>
        <w:rPr>
          <w:spacing w:val="-2"/>
        </w:rPr>
        <w:t> </w:t>
      </w:r>
      <w:r>
        <w:rPr/>
        <w:t>voice.</w:t>
      </w:r>
      <w:r>
        <w:rPr>
          <w:spacing w:val="-2"/>
        </w:rPr>
        <w:t> </w:t>
      </w:r>
      <w:r>
        <w:rPr/>
        <w:t>Even</w:t>
      </w:r>
      <w:r>
        <w:rPr>
          <w:spacing w:val="-5"/>
        </w:rPr>
        <w:t> </w:t>
      </w:r>
      <w:r>
        <w:rPr/>
        <w:t>Lisa</w:t>
      </w:r>
      <w:r>
        <w:rPr>
          <w:spacing w:val="-4"/>
        </w:rPr>
        <w:t> </w:t>
      </w:r>
      <w:r>
        <w:rPr/>
        <w:t>Jardine,</w:t>
      </w:r>
      <w:r>
        <w:rPr>
          <w:spacing w:val="-5"/>
        </w:rPr>
        <w:t> </w:t>
      </w:r>
      <w:r>
        <w:rPr/>
        <w:t>a</w:t>
      </w:r>
      <w:r>
        <w:rPr>
          <w:spacing w:val="-1"/>
        </w:rPr>
        <w:t> </w:t>
      </w:r>
      <w:r>
        <w:rPr/>
        <w:t>British</w:t>
      </w:r>
      <w:r>
        <w:rPr>
          <w:spacing w:val="-5"/>
        </w:rPr>
        <w:t> </w:t>
      </w:r>
      <w:r>
        <w:rPr/>
        <w:t>historian,</w:t>
      </w:r>
      <w:r>
        <w:rPr>
          <w:spacing w:val="-3"/>
        </w:rPr>
        <w:t> </w:t>
      </w:r>
      <w:r>
        <w:rPr/>
        <w:t>literary critic</w:t>
      </w:r>
      <w:r>
        <w:rPr>
          <w:spacing w:val="-8"/>
        </w:rPr>
        <w:t> </w:t>
      </w:r>
      <w:r>
        <w:rPr/>
        <w:t>and</w:t>
      </w:r>
      <w:r>
        <w:rPr>
          <w:spacing w:val="-5"/>
        </w:rPr>
        <w:t> </w:t>
      </w:r>
      <w:r>
        <w:rPr/>
        <w:t>academician,</w:t>
      </w:r>
      <w:r>
        <w:rPr>
          <w:spacing w:val="-9"/>
        </w:rPr>
        <w:t> </w:t>
      </w:r>
      <w:r>
        <w:rPr/>
        <w:t>in</w:t>
      </w:r>
      <w:r>
        <w:rPr>
          <w:spacing w:val="-7"/>
        </w:rPr>
        <w:t> </w:t>
      </w:r>
      <w:r>
        <w:rPr/>
        <w:t>her</w:t>
      </w:r>
      <w:r>
        <w:rPr>
          <w:spacing w:val="-7"/>
        </w:rPr>
        <w:t> </w:t>
      </w:r>
      <w:r>
        <w:rPr/>
        <w:t>work</w:t>
      </w:r>
      <w:r>
        <w:rPr>
          <w:spacing w:val="-5"/>
        </w:rPr>
        <w:t> </w:t>
      </w:r>
      <w:r>
        <w:rPr>
          <w:i/>
        </w:rPr>
        <w:t>Still</w:t>
      </w:r>
      <w:r>
        <w:rPr>
          <w:i/>
          <w:spacing w:val="-7"/>
        </w:rPr>
        <w:t> </w:t>
      </w:r>
      <w:r>
        <w:rPr>
          <w:i/>
        </w:rPr>
        <w:t>Harping</w:t>
      </w:r>
      <w:r>
        <w:rPr>
          <w:i/>
          <w:spacing w:val="-7"/>
        </w:rPr>
        <w:t> </w:t>
      </w:r>
      <w:r>
        <w:rPr>
          <w:i/>
        </w:rPr>
        <w:t>on</w:t>
      </w:r>
      <w:r>
        <w:rPr>
          <w:i/>
          <w:spacing w:val="-5"/>
        </w:rPr>
        <w:t> </w:t>
      </w:r>
      <w:r>
        <w:rPr>
          <w:i/>
        </w:rPr>
        <w:t>Daughters:</w:t>
      </w:r>
      <w:r>
        <w:rPr>
          <w:i/>
          <w:spacing w:val="-5"/>
        </w:rPr>
        <w:t> </w:t>
      </w:r>
      <w:r>
        <w:rPr>
          <w:i/>
        </w:rPr>
        <w:t>Women and Drama in the Age of Shakespeare </w:t>
      </w:r>
      <w:r>
        <w:rPr/>
        <w:t>(1983) also argued on the fact that</w:t>
      </w:r>
      <w:r>
        <w:rPr>
          <w:spacing w:val="-5"/>
        </w:rPr>
        <w:t> </w:t>
      </w:r>
      <w:r>
        <w:rPr/>
        <w:t>Shakespeare’s</w:t>
      </w:r>
      <w:r>
        <w:rPr>
          <w:spacing w:val="-5"/>
        </w:rPr>
        <w:t> </w:t>
      </w:r>
      <w:r>
        <w:rPr/>
        <w:t>plays</w:t>
      </w:r>
      <w:r>
        <w:rPr>
          <w:spacing w:val="-5"/>
        </w:rPr>
        <w:t> </w:t>
      </w:r>
      <w:r>
        <w:rPr/>
        <w:t>present</w:t>
      </w:r>
      <w:r>
        <w:rPr>
          <w:spacing w:val="-5"/>
        </w:rPr>
        <w:t> </w:t>
      </w:r>
      <w:r>
        <w:rPr/>
        <w:t>complex</w:t>
      </w:r>
      <w:r>
        <w:rPr>
          <w:spacing w:val="-5"/>
        </w:rPr>
        <w:t> </w:t>
      </w:r>
      <w:r>
        <w:rPr/>
        <w:t>female</w:t>
      </w:r>
      <w:r>
        <w:rPr>
          <w:spacing w:val="-5"/>
        </w:rPr>
        <w:t> </w:t>
      </w:r>
      <w:r>
        <w:rPr/>
        <w:t>characters</w:t>
      </w:r>
      <w:r>
        <w:rPr>
          <w:spacing w:val="-7"/>
        </w:rPr>
        <w:t> </w:t>
      </w:r>
      <w:r>
        <w:rPr/>
        <w:t>who</w:t>
      </w:r>
      <w:r>
        <w:rPr>
          <w:spacing w:val="-5"/>
        </w:rPr>
        <w:t> </w:t>
      </w:r>
      <w:r>
        <w:rPr/>
        <w:t>cannot be reduced to simple stereotypes; instead, they must be understood within the broader power relations that shape and control their lives (Jardine 78). In this light, this paper aims to re-examine and study four key characters from his plays– Ophelia, Desdemona, Lady Macbeth, and Portia using the lens of feminist theory.</w:t>
      </w:r>
      <w:r>
        <w:rPr>
          <w:spacing w:val="40"/>
        </w:rPr>
        <w:t> </w:t>
      </w:r>
      <w:r>
        <w:rPr/>
        <w:t>These characters will be studied and examined not only on the basis of their speeches but also</w:t>
      </w:r>
      <w:r>
        <w:rPr>
          <w:spacing w:val="40"/>
        </w:rPr>
        <w:t> </w:t>
      </w:r>
      <w:r>
        <w:rPr/>
        <w:t>on</w:t>
      </w:r>
      <w:r>
        <w:rPr>
          <w:spacing w:val="-10"/>
        </w:rPr>
        <w:t> </w:t>
      </w:r>
      <w:r>
        <w:rPr/>
        <w:t>the</w:t>
      </w:r>
      <w:r>
        <w:rPr>
          <w:spacing w:val="-9"/>
        </w:rPr>
        <w:t> </w:t>
      </w:r>
      <w:r>
        <w:rPr/>
        <w:t>basis</w:t>
      </w:r>
      <w:r>
        <w:rPr>
          <w:spacing w:val="-9"/>
        </w:rPr>
        <w:t> </w:t>
      </w:r>
      <w:r>
        <w:rPr/>
        <w:t>of</w:t>
      </w:r>
      <w:r>
        <w:rPr>
          <w:spacing w:val="-10"/>
        </w:rPr>
        <w:t> </w:t>
      </w:r>
      <w:r>
        <w:rPr/>
        <w:t>those</w:t>
      </w:r>
      <w:r>
        <w:rPr>
          <w:spacing w:val="-8"/>
        </w:rPr>
        <w:t> </w:t>
      </w:r>
      <w:r>
        <w:rPr/>
        <w:t>incidents</w:t>
      </w:r>
      <w:r>
        <w:rPr>
          <w:spacing w:val="-7"/>
        </w:rPr>
        <w:t> </w:t>
      </w:r>
      <w:r>
        <w:rPr/>
        <w:t>where</w:t>
      </w:r>
      <w:r>
        <w:rPr>
          <w:spacing w:val="-9"/>
        </w:rPr>
        <w:t> </w:t>
      </w:r>
      <w:r>
        <w:rPr/>
        <w:t>they</w:t>
      </w:r>
      <w:r>
        <w:rPr>
          <w:spacing w:val="-12"/>
        </w:rPr>
        <w:t> </w:t>
      </w:r>
      <w:r>
        <w:rPr/>
        <w:t>through</w:t>
      </w:r>
      <w:r>
        <w:rPr>
          <w:spacing w:val="-9"/>
        </w:rPr>
        <w:t> </w:t>
      </w:r>
      <w:r>
        <w:rPr/>
        <w:t>their</w:t>
      </w:r>
      <w:r>
        <w:rPr>
          <w:spacing w:val="-7"/>
        </w:rPr>
        <w:t> </w:t>
      </w:r>
      <w:r>
        <w:rPr/>
        <w:t>silence,</w:t>
      </w:r>
      <w:r>
        <w:rPr>
          <w:spacing w:val="-9"/>
        </w:rPr>
        <w:t> </w:t>
      </w:r>
      <w:r>
        <w:rPr/>
        <w:t>absence, madness, speech or disguise have made significant efforts to resist the existing</w:t>
      </w:r>
      <w:r>
        <w:rPr>
          <w:spacing w:val="-3"/>
        </w:rPr>
        <w:t> </w:t>
      </w:r>
      <w:r>
        <w:rPr/>
        <w:t>patriarchal domination.</w:t>
      </w:r>
      <w:r>
        <w:rPr>
          <w:spacing w:val="40"/>
        </w:rPr>
        <w:t> </w:t>
      </w:r>
      <w:r>
        <w:rPr/>
        <w:t>For</w:t>
      </w:r>
      <w:r>
        <w:rPr>
          <w:spacing w:val="-1"/>
        </w:rPr>
        <w:t> </w:t>
      </w:r>
      <w:r>
        <w:rPr/>
        <w:t>example, characters</w:t>
      </w:r>
      <w:r>
        <w:rPr>
          <w:spacing w:val="-3"/>
        </w:rPr>
        <w:t> </w:t>
      </w:r>
      <w:r>
        <w:rPr/>
        <w:t>such as</w:t>
      </w:r>
      <w:r>
        <w:rPr>
          <w:spacing w:val="-3"/>
        </w:rPr>
        <w:t> </w:t>
      </w:r>
      <w:r>
        <w:rPr/>
        <w:t>Portia in</w:t>
      </w:r>
      <w:r>
        <w:rPr>
          <w:spacing w:val="-1"/>
        </w:rPr>
        <w:t> </w:t>
      </w:r>
      <w:r>
        <w:rPr>
          <w:i/>
        </w:rPr>
        <w:t>The Merchant of Venice </w:t>
      </w:r>
      <w:r>
        <w:rPr/>
        <w:t>negotiate the limits of patriarchal society</w:t>
      </w:r>
      <w:r>
        <w:rPr>
          <w:spacing w:val="-2"/>
        </w:rPr>
        <w:t> </w:t>
      </w:r>
      <w:r>
        <w:rPr/>
        <w:t>by adopting the male disguise of a young male lawyer, Balthazar while employing her intellect and strategic thinking to defend</w:t>
      </w:r>
      <w:r>
        <w:rPr>
          <w:spacing w:val="-4"/>
        </w:rPr>
        <w:t> </w:t>
      </w:r>
      <w:r>
        <w:rPr/>
        <w:t>Antonio in the Venetian courtroom (Act IV, scene I). She not only challenges but also outwits a person like Shylock, by first acknowledging his legal right to a pound of</w:t>
      </w:r>
      <w:r>
        <w:rPr>
          <w:spacing w:val="-3"/>
        </w:rPr>
        <w:t> </w:t>
      </w:r>
      <w:r>
        <w:rPr/>
        <w:t>Antonio’s flesh, but “not a jot of blood” (4.1). This precise </w:t>
      </w:r>
      <w:r>
        <w:rPr>
          <w:spacing w:val="-4"/>
        </w:rPr>
        <w:t>interpretation of the law</w:t>
      </w:r>
      <w:r>
        <w:rPr>
          <w:spacing w:val="-8"/>
        </w:rPr>
        <w:t> </w:t>
      </w:r>
      <w:r>
        <w:rPr>
          <w:spacing w:val="-4"/>
        </w:rPr>
        <w:t>accompanied by</w:t>
      </w:r>
      <w:r>
        <w:rPr>
          <w:spacing w:val="-5"/>
        </w:rPr>
        <w:t> </w:t>
      </w:r>
      <w:r>
        <w:rPr>
          <w:spacing w:val="-4"/>
        </w:rPr>
        <w:t>her rhetorical skill traps Shylock, </w:t>
      </w:r>
      <w:r>
        <w:rPr/>
        <w:t>forcing him to abandon his calm and ultimately reversing the situation in Antonio’s favour. This scene can be read as a form of -subtle </w:t>
      </w:r>
      <w:r>
        <w:rPr>
          <w:spacing w:val="-2"/>
        </w:rPr>
        <w:t>rebellion,</w:t>
      </w:r>
      <w:r>
        <w:rPr>
          <w:spacing w:val="-3"/>
        </w:rPr>
        <w:t> </w:t>
      </w:r>
      <w:r>
        <w:rPr>
          <w:spacing w:val="-2"/>
        </w:rPr>
        <w:t>where</w:t>
      </w:r>
      <w:r>
        <w:rPr>
          <w:spacing w:val="-6"/>
        </w:rPr>
        <w:t> </w:t>
      </w:r>
      <w:r>
        <w:rPr>
          <w:spacing w:val="-2"/>
        </w:rPr>
        <w:t>Portia through</w:t>
      </w:r>
      <w:r>
        <w:rPr>
          <w:spacing w:val="-6"/>
        </w:rPr>
        <w:t> </w:t>
      </w:r>
      <w:r>
        <w:rPr>
          <w:spacing w:val="-2"/>
        </w:rPr>
        <w:t>her</w:t>
      </w:r>
      <w:r>
        <w:rPr>
          <w:spacing w:val="-3"/>
        </w:rPr>
        <w:t> </w:t>
      </w:r>
      <w:r>
        <w:rPr>
          <w:spacing w:val="-2"/>
        </w:rPr>
        <w:t>intellectual</w:t>
      </w:r>
      <w:r>
        <w:rPr>
          <w:spacing w:val="-7"/>
        </w:rPr>
        <w:t> </w:t>
      </w:r>
      <w:r>
        <w:rPr>
          <w:spacing w:val="-2"/>
        </w:rPr>
        <w:t>superiority</w:t>
      </w:r>
      <w:r>
        <w:rPr>
          <w:spacing w:val="-8"/>
        </w:rPr>
        <w:t> </w:t>
      </w:r>
      <w:r>
        <w:rPr>
          <w:spacing w:val="-2"/>
        </w:rPr>
        <w:t>and</w:t>
      </w:r>
      <w:r>
        <w:rPr>
          <w:spacing w:val="-3"/>
        </w:rPr>
        <w:t> </w:t>
      </w:r>
      <w:r>
        <w:rPr>
          <w:spacing w:val="-2"/>
        </w:rPr>
        <w:t>significant </w:t>
      </w:r>
      <w:r>
        <w:rPr/>
        <w:t>act of agency challenges the hierarchy of the male-dominating society. According to feminist critics, this cross-dressing of Portia is significant as it allows her to enter a male-dominated legal space from which she would</w:t>
      </w:r>
      <w:r>
        <w:rPr>
          <w:spacing w:val="-13"/>
        </w:rPr>
        <w:t> </w:t>
      </w:r>
      <w:r>
        <w:rPr/>
        <w:t>otherwise</w:t>
      </w:r>
      <w:r>
        <w:rPr>
          <w:spacing w:val="-12"/>
        </w:rPr>
        <w:t> </w:t>
      </w:r>
      <w:r>
        <w:rPr/>
        <w:t>be</w:t>
      </w:r>
      <w:r>
        <w:rPr>
          <w:spacing w:val="-13"/>
        </w:rPr>
        <w:t> </w:t>
      </w:r>
      <w:r>
        <w:rPr/>
        <w:t>excluded.</w:t>
      </w:r>
      <w:r>
        <w:rPr>
          <w:spacing w:val="-12"/>
        </w:rPr>
        <w:t> </w:t>
      </w:r>
      <w:r>
        <w:rPr/>
        <w:t>Dympna</w:t>
      </w:r>
      <w:r>
        <w:rPr>
          <w:spacing w:val="-13"/>
        </w:rPr>
        <w:t> </w:t>
      </w:r>
      <w:r>
        <w:rPr/>
        <w:t>Callaghan</w:t>
      </w:r>
      <w:r>
        <w:rPr>
          <w:spacing w:val="-12"/>
        </w:rPr>
        <w:t> </w:t>
      </w:r>
      <w:r>
        <w:rPr/>
        <w:t>discusses</w:t>
      </w:r>
      <w:r>
        <w:rPr>
          <w:spacing w:val="-13"/>
        </w:rPr>
        <w:t> </w:t>
      </w:r>
      <w:r>
        <w:rPr/>
        <w:t>how</w:t>
      </w:r>
      <w:r>
        <w:rPr>
          <w:spacing w:val="-12"/>
        </w:rPr>
        <w:t> </w:t>
      </w:r>
      <w:r>
        <w:rPr/>
        <w:t>Portia’s disguise</w:t>
      </w:r>
      <w:r>
        <w:rPr>
          <w:spacing w:val="23"/>
        </w:rPr>
        <w:t> </w:t>
      </w:r>
      <w:r>
        <w:rPr/>
        <w:t>reveals</w:t>
      </w:r>
      <w:r>
        <w:rPr>
          <w:spacing w:val="19"/>
        </w:rPr>
        <w:t> </w:t>
      </w:r>
      <w:r>
        <w:rPr/>
        <w:t>the</w:t>
      </w:r>
      <w:r>
        <w:rPr>
          <w:spacing w:val="23"/>
        </w:rPr>
        <w:t> </w:t>
      </w:r>
      <w:r>
        <w:rPr/>
        <w:t>performative</w:t>
      </w:r>
      <w:r>
        <w:rPr>
          <w:spacing w:val="24"/>
        </w:rPr>
        <w:t> </w:t>
      </w:r>
      <w:r>
        <w:rPr/>
        <w:t>nature</w:t>
      </w:r>
      <w:r>
        <w:rPr>
          <w:spacing w:val="20"/>
        </w:rPr>
        <w:t> </w:t>
      </w:r>
      <w:r>
        <w:rPr/>
        <w:t>of</w:t>
      </w:r>
      <w:r>
        <w:rPr>
          <w:spacing w:val="21"/>
        </w:rPr>
        <w:t> </w:t>
      </w:r>
      <w:r>
        <w:rPr/>
        <w:t>gender</w:t>
      </w:r>
      <w:r>
        <w:rPr>
          <w:spacing w:val="23"/>
        </w:rPr>
        <w:t> </w:t>
      </w:r>
      <w:r>
        <w:rPr/>
        <w:t>and</w:t>
      </w:r>
      <w:r>
        <w:rPr>
          <w:spacing w:val="22"/>
        </w:rPr>
        <w:t> </w:t>
      </w:r>
      <w:r>
        <w:rPr/>
        <w:t>social</w:t>
      </w:r>
      <w:r>
        <w:rPr>
          <w:spacing w:val="21"/>
        </w:rPr>
        <w:t> </w:t>
      </w:r>
      <w:r>
        <w:rPr>
          <w:spacing w:val="-2"/>
        </w:rPr>
        <w:t>barriers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42112">
                <wp:simplePos x="0" y="0"/>
                <wp:positionH relativeFrom="page">
                  <wp:posOffset>2057400</wp:posOffset>
                </wp:positionH>
                <wp:positionV relativeFrom="paragraph">
                  <wp:posOffset>162604</wp:posOffset>
                </wp:positionV>
                <wp:extent cx="3657600" cy="12700"/>
                <wp:effectExtent l="0" t="0" r="0" b="0"/>
                <wp:wrapTopAndBottom/>
                <wp:docPr id="211" name="Graphic 211"/>
                <wp:cNvGraphicFramePr>
                  <a:graphicFrameLocks/>
                </wp:cNvGraphicFramePr>
                <a:graphic>
                  <a:graphicData uri="http://schemas.microsoft.com/office/word/2010/wordprocessingShape">
                    <wps:wsp>
                      <wps:cNvPr id="211" name="Graphic 21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74368;mso-wrap-distance-left:0;mso-wrap-distance-right:0" id="docshape207" filled="true" fillcolor="#000000" stroked="false">
                <v:fill type="solid"/>
                <w10:wrap type="topAndBottom"/>
              </v:rect>
            </w:pict>
          </mc:Fallback>
        </mc:AlternateContent>
      </w:r>
      <w:r>
        <w:rPr>
          <w:rFonts w:ascii="Verdana"/>
          <w:spacing w:val="-5"/>
          <w:sz w:val="18"/>
        </w:rPr>
        <w:t>46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spacing w:val="-4"/>
        </w:rPr>
        <w:t>that</w:t>
      </w:r>
      <w:r>
        <w:rPr>
          <w:spacing w:val="-9"/>
        </w:rPr>
        <w:t> </w:t>
      </w:r>
      <w:r>
        <w:rPr>
          <w:spacing w:val="-4"/>
        </w:rPr>
        <w:t>restrict</w:t>
      </w:r>
      <w:r>
        <w:rPr>
          <w:spacing w:val="-8"/>
        </w:rPr>
        <w:t> </w:t>
      </w:r>
      <w:r>
        <w:rPr>
          <w:spacing w:val="-4"/>
        </w:rPr>
        <w:t>women’s</w:t>
      </w:r>
      <w:r>
        <w:rPr>
          <w:spacing w:val="-9"/>
        </w:rPr>
        <w:t> </w:t>
      </w:r>
      <w:r>
        <w:rPr>
          <w:spacing w:val="-4"/>
        </w:rPr>
        <w:t>participation</w:t>
      </w:r>
      <w:r>
        <w:rPr>
          <w:spacing w:val="-8"/>
        </w:rPr>
        <w:t> </w:t>
      </w:r>
      <w:r>
        <w:rPr>
          <w:spacing w:val="-4"/>
        </w:rPr>
        <w:t>in</w:t>
      </w:r>
      <w:r>
        <w:rPr>
          <w:spacing w:val="-9"/>
        </w:rPr>
        <w:t> </w:t>
      </w:r>
      <w:r>
        <w:rPr>
          <w:spacing w:val="-4"/>
        </w:rPr>
        <w:t>law,</w:t>
      </w:r>
      <w:r>
        <w:rPr>
          <w:spacing w:val="-8"/>
        </w:rPr>
        <w:t> </w:t>
      </w:r>
      <w:r>
        <w:rPr>
          <w:spacing w:val="-4"/>
        </w:rPr>
        <w:t>politics,</w:t>
      </w:r>
      <w:r>
        <w:rPr>
          <w:spacing w:val="-8"/>
        </w:rPr>
        <w:t> </w:t>
      </w:r>
      <w:r>
        <w:rPr>
          <w:spacing w:val="-4"/>
        </w:rPr>
        <w:t>and</w:t>
      </w:r>
      <w:r>
        <w:rPr>
          <w:spacing w:val="-6"/>
        </w:rPr>
        <w:t> </w:t>
      </w:r>
      <w:r>
        <w:rPr>
          <w:spacing w:val="-4"/>
        </w:rPr>
        <w:t>authority</w:t>
      </w:r>
      <w:r>
        <w:rPr>
          <w:spacing w:val="-9"/>
        </w:rPr>
        <w:t> </w:t>
      </w:r>
      <w:r>
        <w:rPr>
          <w:spacing w:val="-4"/>
        </w:rPr>
        <w:t>(Callaghan </w:t>
      </w:r>
      <w:r>
        <w:rPr/>
        <w:t>142).</w:t>
      </w:r>
      <w:r>
        <w:rPr>
          <w:spacing w:val="-2"/>
        </w:rPr>
        <w:t> </w:t>
      </w:r>
      <w:r>
        <w:rPr/>
        <w:t>Even</w:t>
      </w:r>
      <w:r>
        <w:rPr>
          <w:spacing w:val="-4"/>
        </w:rPr>
        <w:t> </w:t>
      </w:r>
      <w:r>
        <w:rPr/>
        <w:t>Shakespeare,</w:t>
      </w:r>
      <w:r>
        <w:rPr>
          <w:spacing w:val="-4"/>
        </w:rPr>
        <w:t> </w:t>
      </w:r>
      <w:r>
        <w:rPr/>
        <w:t>through</w:t>
      </w:r>
      <w:r>
        <w:rPr>
          <w:spacing w:val="-4"/>
        </w:rPr>
        <w:t> </w:t>
      </w:r>
      <w:r>
        <w:rPr/>
        <w:t>the</w:t>
      </w:r>
      <w:r>
        <w:rPr>
          <w:spacing w:val="-1"/>
        </w:rPr>
        <w:t> </w:t>
      </w:r>
      <w:r>
        <w:rPr/>
        <w:t>character</w:t>
      </w:r>
      <w:r>
        <w:rPr>
          <w:spacing w:val="-2"/>
        </w:rPr>
        <w:t> </w:t>
      </w:r>
      <w:r>
        <w:rPr/>
        <w:t>of</w:t>
      </w:r>
      <w:r>
        <w:rPr>
          <w:spacing w:val="-4"/>
        </w:rPr>
        <w:t> </w:t>
      </w:r>
      <w:r>
        <w:rPr/>
        <w:t>Portia,</w:t>
      </w:r>
      <w:r>
        <w:rPr>
          <w:spacing w:val="-6"/>
        </w:rPr>
        <w:t> </w:t>
      </w:r>
      <w:r>
        <w:rPr/>
        <w:t>tries</w:t>
      </w:r>
      <w:r>
        <w:rPr>
          <w:spacing w:val="-4"/>
        </w:rPr>
        <w:t> </w:t>
      </w:r>
      <w:r>
        <w:rPr/>
        <w:t>to</w:t>
      </w:r>
      <w:r>
        <w:rPr>
          <w:spacing w:val="-2"/>
        </w:rPr>
        <w:t> </w:t>
      </w:r>
      <w:r>
        <w:rPr/>
        <w:t>present </w:t>
      </w:r>
      <w:r>
        <w:rPr>
          <w:spacing w:val="-2"/>
        </w:rPr>
        <w:t>a</w:t>
      </w:r>
      <w:r>
        <w:rPr>
          <w:spacing w:val="-11"/>
        </w:rPr>
        <w:t> </w:t>
      </w:r>
      <w:r>
        <w:rPr>
          <w:spacing w:val="-2"/>
        </w:rPr>
        <w:t>woman</w:t>
      </w:r>
      <w:r>
        <w:rPr>
          <w:spacing w:val="-10"/>
        </w:rPr>
        <w:t> </w:t>
      </w:r>
      <w:r>
        <w:rPr>
          <w:spacing w:val="-2"/>
        </w:rPr>
        <w:t>who</w:t>
      </w:r>
      <w:r>
        <w:rPr>
          <w:spacing w:val="-11"/>
        </w:rPr>
        <w:t> </w:t>
      </w:r>
      <w:r>
        <w:rPr>
          <w:spacing w:val="-2"/>
        </w:rPr>
        <w:t>defied</w:t>
      </w:r>
      <w:r>
        <w:rPr>
          <w:spacing w:val="-10"/>
        </w:rPr>
        <w:t> </w:t>
      </w:r>
      <w:r>
        <w:rPr>
          <w:spacing w:val="-2"/>
        </w:rPr>
        <w:t>traditional</w:t>
      </w:r>
      <w:r>
        <w:rPr>
          <w:spacing w:val="-11"/>
        </w:rPr>
        <w:t> </w:t>
      </w:r>
      <w:r>
        <w:rPr>
          <w:spacing w:val="-2"/>
        </w:rPr>
        <w:t>gender</w:t>
      </w:r>
      <w:r>
        <w:rPr>
          <w:spacing w:val="-10"/>
        </w:rPr>
        <w:t> </w:t>
      </w:r>
      <w:r>
        <w:rPr>
          <w:spacing w:val="-2"/>
        </w:rPr>
        <w:t>roles,</w:t>
      </w:r>
      <w:r>
        <w:rPr>
          <w:spacing w:val="-11"/>
        </w:rPr>
        <w:t> </w:t>
      </w:r>
      <w:r>
        <w:rPr>
          <w:spacing w:val="-2"/>
        </w:rPr>
        <w:t>while</w:t>
      </w:r>
      <w:r>
        <w:rPr>
          <w:spacing w:val="-10"/>
        </w:rPr>
        <w:t> </w:t>
      </w:r>
      <w:r>
        <w:rPr>
          <w:spacing w:val="-2"/>
        </w:rPr>
        <w:t>asserting</w:t>
      </w:r>
      <w:r>
        <w:rPr>
          <w:spacing w:val="-11"/>
        </w:rPr>
        <w:t> </w:t>
      </w:r>
      <w:r>
        <w:rPr>
          <w:spacing w:val="-2"/>
        </w:rPr>
        <w:t>her</w:t>
      </w:r>
      <w:r>
        <w:rPr>
          <w:spacing w:val="-10"/>
        </w:rPr>
        <w:t> </w:t>
      </w:r>
      <w:r>
        <w:rPr>
          <w:spacing w:val="-2"/>
        </w:rPr>
        <w:t>authority and displaying remarkable intelligence in navigating the male-dominated </w:t>
      </w:r>
      <w:r>
        <w:rPr/>
        <w:t>society she inhabits in (Bloom 74).</w:t>
      </w:r>
      <w:r>
        <w:rPr>
          <w:spacing w:val="80"/>
        </w:rPr>
        <w:t> </w:t>
      </w:r>
      <w:r>
        <w:rPr/>
        <w:t>Yet many feminists’ underscore Portia’s necessity to disguise as limitations of her power. She can exercise her power only within the courtroom</w:t>
      </w:r>
      <w:r>
        <w:rPr>
          <w:spacing w:val="-1"/>
        </w:rPr>
        <w:t> </w:t>
      </w:r>
      <w:r>
        <w:rPr/>
        <w:t>and only while disguised as a man.</w:t>
      </w:r>
      <w:r>
        <w:rPr>
          <w:spacing w:val="40"/>
        </w:rPr>
        <w:t> </w:t>
      </w:r>
      <w:r>
        <w:rPr/>
        <w:t>Once, the trial concludes, she must return to her role as a wife, suggesting that her independence and power exist only</w:t>
      </w:r>
      <w:r>
        <w:rPr>
          <w:spacing w:val="-2"/>
        </w:rPr>
        <w:t> </w:t>
      </w:r>
      <w:r>
        <w:rPr/>
        <w:t>within the boundaries</w:t>
      </w:r>
      <w:r>
        <w:rPr>
          <w:spacing w:val="-1"/>
        </w:rPr>
        <w:t> </w:t>
      </w:r>
      <w:r>
        <w:rPr/>
        <w:t>of</w:t>
      </w:r>
      <w:r>
        <w:rPr>
          <w:spacing w:val="-1"/>
        </w:rPr>
        <w:t> </w:t>
      </w:r>
      <w:r>
        <w:rPr/>
        <w:t>performance. Phyllis Rackin observes that “Portia’s</w:t>
      </w:r>
      <w:r>
        <w:rPr>
          <w:spacing w:val="-1"/>
        </w:rPr>
        <w:t> </w:t>
      </w:r>
      <w:r>
        <w:rPr/>
        <w:t>brief foray into male-coded power highlights both the potential and the precarity of female authority: her brilliance is undeniable, yet -it is framed as exceptional and temporary (Rackin 141).</w:t>
      </w:r>
      <w:r>
        <w:rPr>
          <w:spacing w:val="40"/>
        </w:rPr>
        <w:t> </w:t>
      </w:r>
      <w:r>
        <w:rPr/>
        <w:t>Thus, when we study her character from a feminist perspective, she is neither wholly liberated nor entirely constrained; instead, she occupies a space of negotiation, where subtle acts of resistance coexist with structural </w:t>
      </w:r>
      <w:r>
        <w:rPr>
          <w:spacing w:val="-2"/>
        </w:rPr>
        <w:t>limitations.</w:t>
      </w:r>
    </w:p>
    <w:p>
      <w:pPr>
        <w:pStyle w:val="BodyText"/>
        <w:spacing w:line="256" w:lineRule="auto" w:before="74"/>
        <w:ind w:right="1437" w:firstLine="432"/>
        <w:jc w:val="both"/>
      </w:pPr>
      <w:r>
        <w:rPr/>
        <w:t>Portia’s character can be parallelly studied in relation to the real-world incidents from</w:t>
      </w:r>
      <w:r>
        <w:rPr>
          <w:spacing w:val="-4"/>
        </w:rPr>
        <w:t> </w:t>
      </w:r>
      <w:r>
        <w:rPr/>
        <w:t>the #MeToo movement,</w:t>
      </w:r>
      <w:r>
        <w:rPr>
          <w:spacing w:val="-1"/>
        </w:rPr>
        <w:t> </w:t>
      </w:r>
      <w:r>
        <w:rPr/>
        <w:t>where women often</w:t>
      </w:r>
      <w:r>
        <w:rPr>
          <w:spacing w:val="-1"/>
        </w:rPr>
        <w:t> </w:t>
      </w:r>
      <w:r>
        <w:rPr/>
        <w:t>have to navigate systems of power that are structurally biased against them. This movement began as a response to innumerable incidences of workplace harassment, bringing attention to how powerful men often control,</w:t>
      </w:r>
      <w:r>
        <w:rPr>
          <w:spacing w:val="-7"/>
        </w:rPr>
        <w:t> </w:t>
      </w:r>
      <w:r>
        <w:rPr/>
        <w:t>discriminate,</w:t>
      </w:r>
      <w:r>
        <w:rPr>
          <w:spacing w:val="-5"/>
        </w:rPr>
        <w:t> </w:t>
      </w:r>
      <w:r>
        <w:rPr/>
        <w:t>harass</w:t>
      </w:r>
      <w:r>
        <w:rPr>
          <w:spacing w:val="-7"/>
        </w:rPr>
        <w:t> </w:t>
      </w:r>
      <w:r>
        <w:rPr/>
        <w:t>and</w:t>
      </w:r>
      <w:r>
        <w:rPr>
          <w:spacing w:val="-5"/>
        </w:rPr>
        <w:t> </w:t>
      </w:r>
      <w:r>
        <w:rPr/>
        <w:t>silence</w:t>
      </w:r>
      <w:r>
        <w:rPr>
          <w:spacing w:val="-6"/>
        </w:rPr>
        <w:t> </w:t>
      </w:r>
      <w:r>
        <w:rPr/>
        <w:t>women</w:t>
      </w:r>
      <w:r>
        <w:rPr>
          <w:spacing w:val="-8"/>
        </w:rPr>
        <w:t> </w:t>
      </w:r>
      <w:r>
        <w:rPr/>
        <w:t>within</w:t>
      </w:r>
      <w:r>
        <w:rPr>
          <w:spacing w:val="-7"/>
        </w:rPr>
        <w:t> </w:t>
      </w:r>
      <w:r>
        <w:rPr/>
        <w:t>their</w:t>
      </w:r>
      <w:r>
        <w:rPr>
          <w:spacing w:val="-7"/>
        </w:rPr>
        <w:t> </w:t>
      </w:r>
      <w:r>
        <w:rPr/>
        <w:t>workspace. In many such cases, women had to gather evidence and had to take</w:t>
      </w:r>
      <w:r>
        <w:rPr>
          <w:spacing w:val="40"/>
        </w:rPr>
        <w:t> </w:t>
      </w:r>
      <w:r>
        <w:rPr/>
        <w:t>legal help and rely on collective voices to prove their point or to be taken</w:t>
      </w:r>
      <w:r>
        <w:rPr>
          <w:spacing w:val="-6"/>
        </w:rPr>
        <w:t> </w:t>
      </w:r>
      <w:r>
        <w:rPr/>
        <w:t>seriously.</w:t>
      </w:r>
      <w:r>
        <w:rPr>
          <w:spacing w:val="-8"/>
        </w:rPr>
        <w:t> </w:t>
      </w:r>
      <w:r>
        <w:rPr/>
        <w:t>Just</w:t>
      </w:r>
      <w:r>
        <w:rPr>
          <w:spacing w:val="-4"/>
        </w:rPr>
        <w:t> </w:t>
      </w:r>
      <w:r>
        <w:rPr/>
        <w:t>like</w:t>
      </w:r>
      <w:r>
        <w:rPr>
          <w:spacing w:val="-8"/>
        </w:rPr>
        <w:t> </w:t>
      </w:r>
      <w:r>
        <w:rPr/>
        <w:t>Portia’s</w:t>
      </w:r>
      <w:r>
        <w:rPr>
          <w:spacing w:val="-6"/>
        </w:rPr>
        <w:t> </w:t>
      </w:r>
      <w:r>
        <w:rPr/>
        <w:t>tactical</w:t>
      </w:r>
      <w:r>
        <w:rPr>
          <w:spacing w:val="-5"/>
        </w:rPr>
        <w:t> </w:t>
      </w:r>
      <w:r>
        <w:rPr/>
        <w:t>use</w:t>
      </w:r>
      <w:r>
        <w:rPr>
          <w:spacing w:val="-7"/>
        </w:rPr>
        <w:t> </w:t>
      </w:r>
      <w:r>
        <w:rPr/>
        <w:t>of</w:t>
      </w:r>
      <w:r>
        <w:rPr>
          <w:spacing w:val="-6"/>
        </w:rPr>
        <w:t> </w:t>
      </w:r>
      <w:r>
        <w:rPr/>
        <w:t>law</w:t>
      </w:r>
      <w:r>
        <w:rPr>
          <w:spacing w:val="-8"/>
        </w:rPr>
        <w:t> </w:t>
      </w:r>
      <w:r>
        <w:rPr/>
        <w:t>in</w:t>
      </w:r>
      <w:r>
        <w:rPr>
          <w:spacing w:val="-8"/>
        </w:rPr>
        <w:t> </w:t>
      </w:r>
      <w:r>
        <w:rPr/>
        <w:t>the</w:t>
      </w:r>
      <w:r>
        <w:rPr>
          <w:spacing w:val="-3"/>
        </w:rPr>
        <w:t> </w:t>
      </w:r>
      <w:r>
        <w:rPr/>
        <w:t>play</w:t>
      </w:r>
      <w:r>
        <w:rPr>
          <w:spacing w:val="-11"/>
        </w:rPr>
        <w:t> </w:t>
      </w:r>
      <w:r>
        <w:rPr/>
        <w:t>to</w:t>
      </w:r>
      <w:r>
        <w:rPr>
          <w:spacing w:val="-3"/>
        </w:rPr>
        <w:t> </w:t>
      </w:r>
      <w:r>
        <w:rPr/>
        <w:t>outwit Shylock,</w:t>
      </w:r>
      <w:r>
        <w:rPr>
          <w:spacing w:val="-5"/>
        </w:rPr>
        <w:t> </w:t>
      </w:r>
      <w:r>
        <w:rPr/>
        <w:t>women</w:t>
      </w:r>
      <w:r>
        <w:rPr>
          <w:spacing w:val="-11"/>
        </w:rPr>
        <w:t> </w:t>
      </w:r>
      <w:r>
        <w:rPr/>
        <w:t>must</w:t>
      </w:r>
      <w:r>
        <w:rPr>
          <w:spacing w:val="-5"/>
        </w:rPr>
        <w:t> </w:t>
      </w:r>
      <w:r>
        <w:rPr/>
        <w:t>often</w:t>
      </w:r>
      <w:r>
        <w:rPr>
          <w:spacing w:val="-9"/>
        </w:rPr>
        <w:t> </w:t>
      </w:r>
      <w:r>
        <w:rPr/>
        <w:t>adapt,</w:t>
      </w:r>
      <w:r>
        <w:rPr>
          <w:spacing w:val="-5"/>
        </w:rPr>
        <w:t> </w:t>
      </w:r>
      <w:r>
        <w:rPr/>
        <w:t>strategize</w:t>
      </w:r>
      <w:r>
        <w:rPr>
          <w:spacing w:val="-8"/>
        </w:rPr>
        <w:t> </w:t>
      </w:r>
      <w:r>
        <w:rPr/>
        <w:t>and</w:t>
      </w:r>
      <w:r>
        <w:rPr>
          <w:spacing w:val="-5"/>
        </w:rPr>
        <w:t> </w:t>
      </w:r>
      <w:r>
        <w:rPr/>
        <w:t>negotiate</w:t>
      </w:r>
      <w:r>
        <w:rPr>
          <w:spacing w:val="-8"/>
        </w:rPr>
        <w:t> </w:t>
      </w:r>
      <w:r>
        <w:rPr/>
        <w:t>power</w:t>
      </w:r>
      <w:r>
        <w:rPr>
          <w:spacing w:val="-5"/>
        </w:rPr>
        <w:t> </w:t>
      </w:r>
      <w:r>
        <w:rPr/>
        <w:t>rather than confront it directly.</w:t>
      </w:r>
      <w:r>
        <w:rPr>
          <w:spacing w:val="40"/>
        </w:rPr>
        <w:t> </w:t>
      </w:r>
      <w:r>
        <w:rPr/>
        <w:t>So, when we look at Portia from a feminist perspective, we find that Shakespeare portrayed her as an intelligent heroine, who tactfully through her disguise in the play as Balthazar, a male authority</w:t>
      </w:r>
      <w:r>
        <w:rPr>
          <w:spacing w:val="-5"/>
        </w:rPr>
        <w:t> </w:t>
      </w:r>
      <w:r>
        <w:rPr/>
        <w:t>figure tries</w:t>
      </w:r>
      <w:r>
        <w:rPr>
          <w:spacing w:val="-3"/>
        </w:rPr>
        <w:t> </w:t>
      </w:r>
      <w:r>
        <w:rPr/>
        <w:t>to</w:t>
      </w:r>
      <w:r>
        <w:rPr>
          <w:spacing w:val="-1"/>
        </w:rPr>
        <w:t> </w:t>
      </w:r>
      <w:r>
        <w:rPr/>
        <w:t>navigate</w:t>
      </w:r>
      <w:r>
        <w:rPr>
          <w:spacing w:val="-5"/>
        </w:rPr>
        <w:t> </w:t>
      </w:r>
      <w:r>
        <w:rPr/>
        <w:t>and</w:t>
      </w:r>
      <w:r>
        <w:rPr>
          <w:spacing w:val="-1"/>
        </w:rPr>
        <w:t> </w:t>
      </w:r>
      <w:r>
        <w:rPr/>
        <w:t>push</w:t>
      </w:r>
      <w:r>
        <w:rPr>
          <w:spacing w:val="-3"/>
        </w:rPr>
        <w:t> </w:t>
      </w:r>
      <w:r>
        <w:rPr/>
        <w:t>the boundaries</w:t>
      </w:r>
      <w:r>
        <w:rPr>
          <w:spacing w:val="-1"/>
        </w:rPr>
        <w:t> </w:t>
      </w:r>
      <w:r>
        <w:rPr/>
        <w:t>of</w:t>
      </w:r>
      <w:r>
        <w:rPr>
          <w:spacing w:val="-3"/>
        </w:rPr>
        <w:t> </w:t>
      </w:r>
      <w:r>
        <w:rPr/>
        <w:t>social hierarchy to let her voice be heard.</w:t>
      </w:r>
      <w:r>
        <w:rPr>
          <w:spacing w:val="40"/>
        </w:rPr>
        <w:t> </w:t>
      </w:r>
      <w:r>
        <w:rPr/>
        <w:t>As a result of such suppression, </w:t>
      </w:r>
      <w:r>
        <w:rPr>
          <w:spacing w:val="-2"/>
        </w:rPr>
        <w:t>many</w:t>
      </w:r>
      <w:r>
        <w:rPr>
          <w:spacing w:val="-8"/>
        </w:rPr>
        <w:t> </w:t>
      </w:r>
      <w:r>
        <w:rPr>
          <w:spacing w:val="-2"/>
        </w:rPr>
        <w:t>women</w:t>
      </w:r>
      <w:r>
        <w:rPr>
          <w:spacing w:val="-6"/>
        </w:rPr>
        <w:t> </w:t>
      </w:r>
      <w:r>
        <w:rPr>
          <w:spacing w:val="-2"/>
        </w:rPr>
        <w:t>often</w:t>
      </w:r>
      <w:r>
        <w:rPr>
          <w:spacing w:val="-6"/>
        </w:rPr>
        <w:t> </w:t>
      </w:r>
      <w:r>
        <w:rPr>
          <w:spacing w:val="-2"/>
        </w:rPr>
        <w:t>become</w:t>
      </w:r>
      <w:r>
        <w:rPr>
          <w:spacing w:val="-6"/>
        </w:rPr>
        <w:t> </w:t>
      </w:r>
      <w:r>
        <w:rPr>
          <w:spacing w:val="-2"/>
        </w:rPr>
        <w:t>victims</w:t>
      </w:r>
      <w:r>
        <w:rPr>
          <w:spacing w:val="-8"/>
        </w:rPr>
        <w:t> </w:t>
      </w:r>
      <w:r>
        <w:rPr>
          <w:spacing w:val="-2"/>
        </w:rPr>
        <w:t>of</w:t>
      </w:r>
      <w:r>
        <w:rPr>
          <w:spacing w:val="-6"/>
        </w:rPr>
        <w:t> </w:t>
      </w:r>
      <w:r>
        <w:rPr>
          <w:spacing w:val="-2"/>
        </w:rPr>
        <w:t>emotional</w:t>
      </w:r>
      <w:r>
        <w:rPr>
          <w:spacing w:val="-4"/>
        </w:rPr>
        <w:t> </w:t>
      </w:r>
      <w:r>
        <w:rPr>
          <w:spacing w:val="-2"/>
        </w:rPr>
        <w:t>distress</w:t>
      </w:r>
      <w:r>
        <w:rPr>
          <w:spacing w:val="-6"/>
        </w:rPr>
        <w:t> </w:t>
      </w:r>
      <w:r>
        <w:rPr>
          <w:spacing w:val="-2"/>
        </w:rPr>
        <w:t>and internalised trauma.</w:t>
      </w:r>
    </w:p>
    <w:p>
      <w:pPr>
        <w:pStyle w:val="BodyText"/>
        <w:spacing w:line="249" w:lineRule="auto" w:before="55"/>
        <w:ind w:right="1436" w:firstLine="432"/>
        <w:jc w:val="both"/>
      </w:pPr>
      <w:r>
        <w:rPr/>
        <w:t>Similar</w:t>
      </w:r>
      <w:r>
        <w:rPr>
          <w:spacing w:val="-12"/>
        </w:rPr>
        <w:t> </w:t>
      </w:r>
      <w:r>
        <w:rPr/>
        <w:t>incidents</w:t>
      </w:r>
      <w:r>
        <w:rPr>
          <w:spacing w:val="-12"/>
        </w:rPr>
        <w:t> </w:t>
      </w:r>
      <w:r>
        <w:rPr/>
        <w:t>are</w:t>
      </w:r>
      <w:r>
        <w:rPr>
          <w:spacing w:val="-12"/>
        </w:rPr>
        <w:t> </w:t>
      </w:r>
      <w:r>
        <w:rPr/>
        <w:t>echoed</w:t>
      </w:r>
      <w:r>
        <w:rPr>
          <w:spacing w:val="-13"/>
        </w:rPr>
        <w:t> </w:t>
      </w:r>
      <w:r>
        <w:rPr/>
        <w:t>in</w:t>
      </w:r>
      <w:r>
        <w:rPr>
          <w:spacing w:val="-12"/>
        </w:rPr>
        <w:t> </w:t>
      </w:r>
      <w:r>
        <w:rPr/>
        <w:t>Shakespeare’s</w:t>
      </w:r>
      <w:r>
        <w:rPr>
          <w:spacing w:val="-12"/>
        </w:rPr>
        <w:t> </w:t>
      </w:r>
      <w:r>
        <w:rPr/>
        <w:t>play</w:t>
      </w:r>
      <w:r>
        <w:rPr>
          <w:spacing w:val="-12"/>
        </w:rPr>
        <w:t> </w:t>
      </w:r>
      <w:r>
        <w:rPr>
          <w:i/>
        </w:rPr>
        <w:t>Othello</w:t>
      </w:r>
      <w:r>
        <w:rPr>
          <w:i/>
          <w:spacing w:val="-12"/>
        </w:rPr>
        <w:t> </w:t>
      </w:r>
      <w:r>
        <w:rPr/>
        <w:t>through the character of Desdemona. Initially, we perceive her as a figure who</w:t>
      </w:r>
      <w:r>
        <w:rPr>
          <w:spacing w:val="40"/>
        </w:rPr>
        <w:t> </w:t>
      </w:r>
      <w:r>
        <w:rPr/>
        <w:t>is bold enough to assert her voice while choosing her own husband.</w:t>
      </w:r>
      <w:r>
        <w:rPr>
          <w:spacing w:val="80"/>
        </w:rPr>
        <w:t> </w:t>
      </w:r>
      <w:r>
        <w:rPr/>
        <w:t>She without any fear asserts her love for Othello before her father. She </w:t>
      </w:r>
      <w:r>
        <w:rPr>
          <w:spacing w:val="-2"/>
        </w:rPr>
        <w:t>says: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642624">
                <wp:simplePos x="0" y="0"/>
                <wp:positionH relativeFrom="page">
                  <wp:posOffset>2065020</wp:posOffset>
                </wp:positionH>
                <wp:positionV relativeFrom="paragraph">
                  <wp:posOffset>162604</wp:posOffset>
                </wp:positionV>
                <wp:extent cx="3657600" cy="12700"/>
                <wp:effectExtent l="0" t="0" r="0" b="0"/>
                <wp:wrapTopAndBottom/>
                <wp:docPr id="212" name="Graphic 212"/>
                <wp:cNvGraphicFramePr>
                  <a:graphicFrameLocks/>
                </wp:cNvGraphicFramePr>
                <a:graphic>
                  <a:graphicData uri="http://schemas.microsoft.com/office/word/2010/wordprocessingShape">
                    <wps:wsp>
                      <wps:cNvPr id="212" name="Graphic 21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73856;mso-wrap-distance-left:0;mso-wrap-distance-right:0" id="docshape208" filled="true" fillcolor="#000000" stroked="false">
                <v:fill type="solid"/>
                <w10:wrap type="topAndBottom"/>
              </v:rect>
            </w:pict>
          </mc:Fallback>
        </mc:AlternateContent>
      </w:r>
      <w:r>
        <w:rPr>
          <w:rFonts w:ascii="Verdana"/>
          <w:sz w:val="18"/>
        </w:rPr>
        <w:t>Caged</w:t>
      </w:r>
      <w:r>
        <w:rPr>
          <w:rFonts w:ascii="Verdana"/>
          <w:spacing w:val="14"/>
          <w:sz w:val="18"/>
        </w:rPr>
        <w:t> </w:t>
      </w:r>
      <w:r>
        <w:rPr>
          <w:rFonts w:ascii="Verdana"/>
          <w:sz w:val="18"/>
        </w:rPr>
        <w:t>Voices</w:t>
      </w:r>
      <w:r>
        <w:rPr>
          <w:rFonts w:ascii="Verdana"/>
          <w:spacing w:val="16"/>
          <w:sz w:val="18"/>
        </w:rPr>
        <w:t> </w:t>
      </w:r>
      <w:r>
        <w:rPr>
          <w:rFonts w:ascii="Verdana"/>
          <w:sz w:val="18"/>
        </w:rPr>
        <w:t>and</w:t>
      </w:r>
      <w:r>
        <w:rPr>
          <w:rFonts w:ascii="Verdana"/>
          <w:spacing w:val="17"/>
          <w:sz w:val="18"/>
        </w:rPr>
        <w:t> </w:t>
      </w:r>
      <w:r>
        <w:rPr>
          <w:rFonts w:ascii="Verdana"/>
          <w:sz w:val="18"/>
        </w:rPr>
        <w:t>Subtle</w:t>
      </w:r>
      <w:r>
        <w:rPr>
          <w:rFonts w:ascii="Verdana"/>
          <w:spacing w:val="16"/>
          <w:sz w:val="18"/>
        </w:rPr>
        <w:t> </w:t>
      </w:r>
      <w:r>
        <w:rPr>
          <w:rFonts w:ascii="Verdana"/>
          <w:sz w:val="18"/>
        </w:rPr>
        <w:t>Rebellions:</w:t>
      </w:r>
      <w:r>
        <w:rPr>
          <w:rFonts w:ascii="Verdana"/>
          <w:spacing w:val="15"/>
          <w:sz w:val="18"/>
        </w:rPr>
        <w:t> </w:t>
      </w:r>
      <w:r>
        <w:rPr>
          <w:rFonts w:ascii="Verdana"/>
          <w:sz w:val="18"/>
        </w:rPr>
        <w:t>Gendered</w:t>
      </w:r>
      <w:r>
        <w:rPr>
          <w:rFonts w:ascii="Verdana"/>
          <w:spacing w:val="17"/>
          <w:sz w:val="18"/>
        </w:rPr>
        <w:t> </w:t>
      </w:r>
      <w:r>
        <w:rPr>
          <w:rFonts w:ascii="Verdana"/>
          <w:sz w:val="18"/>
        </w:rPr>
        <w:t>Power</w:t>
      </w:r>
      <w:r>
        <w:rPr>
          <w:rFonts w:ascii="Verdana"/>
          <w:spacing w:val="18"/>
          <w:sz w:val="18"/>
        </w:rPr>
        <w:t> </w:t>
      </w:r>
      <w:r>
        <w:rPr>
          <w:rFonts w:ascii="Verdana"/>
          <w:spacing w:val="-5"/>
          <w:sz w:val="18"/>
        </w:rPr>
        <w:t>...</w:t>
      </w:r>
      <w:r>
        <w:rPr>
          <w:rFonts w:ascii="Verdana"/>
          <w:sz w:val="18"/>
        </w:rPr>
        <w:tab/>
      </w:r>
      <w:r>
        <w:rPr>
          <w:rFonts w:ascii="Verdana"/>
          <w:spacing w:val="-5"/>
          <w:sz w:val="18"/>
        </w:rPr>
        <w:t>47</w:t>
      </w:r>
    </w:p>
    <w:p>
      <w:pPr>
        <w:spacing w:line="309" w:lineRule="auto" w:before="192"/>
        <w:ind w:left="2239" w:right="2764" w:hanging="80"/>
        <w:jc w:val="left"/>
        <w:rPr>
          <w:i/>
          <w:sz w:val="20"/>
        </w:rPr>
      </w:pPr>
      <w:r>
        <w:rPr>
          <w:i/>
          <w:sz w:val="20"/>
        </w:rPr>
        <w:t>“My</w:t>
      </w:r>
      <w:r>
        <w:rPr>
          <w:i/>
          <w:spacing w:val="40"/>
          <w:sz w:val="20"/>
        </w:rPr>
        <w:t> </w:t>
      </w:r>
      <w:r>
        <w:rPr>
          <w:i/>
          <w:sz w:val="20"/>
        </w:rPr>
        <w:t>noble</w:t>
      </w:r>
      <w:r>
        <w:rPr>
          <w:i/>
          <w:spacing w:val="40"/>
          <w:sz w:val="20"/>
        </w:rPr>
        <w:t> </w:t>
      </w:r>
      <w:r>
        <w:rPr>
          <w:i/>
          <w:sz w:val="20"/>
        </w:rPr>
        <w:t>father,</w:t>
      </w:r>
      <w:r>
        <w:rPr>
          <w:i/>
          <w:spacing w:val="40"/>
          <w:sz w:val="20"/>
        </w:rPr>
        <w:t> </w:t>
      </w:r>
      <w:r>
        <w:rPr>
          <w:i/>
          <w:sz w:val="20"/>
        </w:rPr>
        <w:t>I</w:t>
      </w:r>
      <w:r>
        <w:rPr>
          <w:i/>
          <w:spacing w:val="40"/>
          <w:sz w:val="20"/>
        </w:rPr>
        <w:t> </w:t>
      </w:r>
      <w:r>
        <w:rPr>
          <w:i/>
          <w:sz w:val="20"/>
        </w:rPr>
        <w:t>do</w:t>
      </w:r>
      <w:r>
        <w:rPr>
          <w:i/>
          <w:spacing w:val="40"/>
          <w:sz w:val="20"/>
        </w:rPr>
        <w:t> </w:t>
      </w:r>
      <w:r>
        <w:rPr>
          <w:i/>
          <w:sz w:val="20"/>
        </w:rPr>
        <w:t>perceive</w:t>
      </w:r>
      <w:r>
        <w:rPr>
          <w:i/>
          <w:spacing w:val="40"/>
          <w:sz w:val="20"/>
        </w:rPr>
        <w:t> </w:t>
      </w:r>
      <w:r>
        <w:rPr>
          <w:i/>
          <w:sz w:val="20"/>
        </w:rPr>
        <w:t>here</w:t>
      </w:r>
      <w:r>
        <w:rPr>
          <w:i/>
          <w:spacing w:val="40"/>
          <w:sz w:val="20"/>
        </w:rPr>
        <w:t> </w:t>
      </w:r>
      <w:r>
        <w:rPr>
          <w:i/>
          <w:sz w:val="20"/>
        </w:rPr>
        <w:t>a divided</w:t>
      </w:r>
      <w:r>
        <w:rPr>
          <w:i/>
          <w:spacing w:val="22"/>
          <w:sz w:val="20"/>
        </w:rPr>
        <w:t> </w:t>
      </w:r>
      <w:r>
        <w:rPr>
          <w:i/>
          <w:sz w:val="20"/>
        </w:rPr>
        <w:t>duty.</w:t>
      </w:r>
      <w:r>
        <w:rPr>
          <w:i/>
          <w:spacing w:val="22"/>
          <w:sz w:val="20"/>
        </w:rPr>
        <w:t> </w:t>
      </w:r>
      <w:r>
        <w:rPr>
          <w:i/>
          <w:sz w:val="20"/>
        </w:rPr>
        <w:t>To</w:t>
      </w:r>
      <w:r>
        <w:rPr>
          <w:i/>
          <w:spacing w:val="22"/>
          <w:sz w:val="20"/>
        </w:rPr>
        <w:t> </w:t>
      </w:r>
      <w:r>
        <w:rPr>
          <w:i/>
          <w:sz w:val="20"/>
        </w:rPr>
        <w:t>you</w:t>
      </w:r>
      <w:r>
        <w:rPr>
          <w:i/>
          <w:spacing w:val="24"/>
          <w:sz w:val="20"/>
        </w:rPr>
        <w:t> </w:t>
      </w:r>
      <w:r>
        <w:rPr>
          <w:i/>
          <w:sz w:val="20"/>
        </w:rPr>
        <w:t>I</w:t>
      </w:r>
      <w:r>
        <w:rPr>
          <w:i/>
          <w:spacing w:val="21"/>
          <w:sz w:val="20"/>
        </w:rPr>
        <w:t> </w:t>
      </w:r>
      <w:r>
        <w:rPr>
          <w:i/>
          <w:sz w:val="20"/>
        </w:rPr>
        <w:t>am</w:t>
      </w:r>
      <w:r>
        <w:rPr>
          <w:i/>
          <w:spacing w:val="20"/>
          <w:sz w:val="20"/>
        </w:rPr>
        <w:t> </w:t>
      </w:r>
      <w:r>
        <w:rPr>
          <w:i/>
          <w:sz w:val="20"/>
        </w:rPr>
        <w:t>bound</w:t>
      </w:r>
      <w:r>
        <w:rPr>
          <w:i/>
          <w:spacing w:val="24"/>
          <w:sz w:val="20"/>
        </w:rPr>
        <w:t> </w:t>
      </w:r>
      <w:r>
        <w:rPr>
          <w:i/>
          <w:sz w:val="20"/>
        </w:rPr>
        <w:t>for</w:t>
      </w:r>
      <w:r>
        <w:rPr>
          <w:i/>
          <w:spacing w:val="19"/>
          <w:sz w:val="20"/>
        </w:rPr>
        <w:t> </w:t>
      </w:r>
      <w:r>
        <w:rPr>
          <w:i/>
          <w:sz w:val="20"/>
        </w:rPr>
        <w:t>life and</w:t>
      </w:r>
      <w:r>
        <w:rPr>
          <w:i/>
          <w:spacing w:val="40"/>
          <w:sz w:val="20"/>
        </w:rPr>
        <w:t> </w:t>
      </w:r>
      <w:r>
        <w:rPr>
          <w:i/>
          <w:sz w:val="20"/>
        </w:rPr>
        <w:t>education…</w:t>
      </w:r>
      <w:r>
        <w:rPr>
          <w:i/>
          <w:spacing w:val="40"/>
          <w:sz w:val="20"/>
        </w:rPr>
        <w:t> </w:t>
      </w:r>
      <w:r>
        <w:rPr>
          <w:i/>
          <w:sz w:val="20"/>
        </w:rPr>
        <w:t>I</w:t>
      </w:r>
      <w:r>
        <w:rPr>
          <w:i/>
          <w:spacing w:val="40"/>
          <w:sz w:val="20"/>
        </w:rPr>
        <w:t> </w:t>
      </w:r>
      <w:r>
        <w:rPr>
          <w:i/>
          <w:sz w:val="20"/>
        </w:rPr>
        <w:t>am</w:t>
      </w:r>
      <w:r>
        <w:rPr>
          <w:i/>
          <w:spacing w:val="40"/>
          <w:sz w:val="20"/>
        </w:rPr>
        <w:t> </w:t>
      </w:r>
      <w:r>
        <w:rPr>
          <w:i/>
          <w:sz w:val="20"/>
        </w:rPr>
        <w:t>hither</w:t>
      </w:r>
      <w:r>
        <w:rPr>
          <w:i/>
          <w:spacing w:val="40"/>
          <w:sz w:val="20"/>
        </w:rPr>
        <w:t> </w:t>
      </w:r>
      <w:r>
        <w:rPr>
          <w:i/>
          <w:sz w:val="20"/>
        </w:rPr>
        <w:t>to</w:t>
      </w:r>
    </w:p>
    <w:p>
      <w:pPr>
        <w:spacing w:line="312" w:lineRule="auto" w:before="3"/>
        <w:ind w:left="2160" w:right="3000" w:firstLine="83"/>
        <w:jc w:val="left"/>
        <w:rPr>
          <w:i/>
          <w:sz w:val="20"/>
        </w:rPr>
      </w:pPr>
      <w:r>
        <w:rPr>
          <w:i/>
          <w:sz w:val="20"/>
        </w:rPr>
        <w:t>your</w:t>
      </w:r>
      <w:r>
        <w:rPr>
          <w:i/>
          <w:spacing w:val="40"/>
          <w:sz w:val="20"/>
        </w:rPr>
        <w:t> </w:t>
      </w:r>
      <w:r>
        <w:rPr>
          <w:i/>
          <w:sz w:val="20"/>
        </w:rPr>
        <w:t>daughter.</w:t>
      </w:r>
      <w:r>
        <w:rPr>
          <w:i/>
          <w:spacing w:val="38"/>
          <w:sz w:val="20"/>
        </w:rPr>
        <w:t> </w:t>
      </w:r>
      <w:r>
        <w:rPr>
          <w:i/>
          <w:sz w:val="20"/>
        </w:rPr>
        <w:t>But</w:t>
      </w:r>
      <w:r>
        <w:rPr>
          <w:i/>
          <w:spacing w:val="40"/>
          <w:sz w:val="20"/>
        </w:rPr>
        <w:t> </w:t>
      </w:r>
      <w:r>
        <w:rPr>
          <w:i/>
          <w:sz w:val="20"/>
        </w:rPr>
        <w:t>here’s</w:t>
      </w:r>
      <w:r>
        <w:rPr>
          <w:i/>
          <w:spacing w:val="38"/>
          <w:sz w:val="20"/>
        </w:rPr>
        <w:t> </w:t>
      </w:r>
      <w:r>
        <w:rPr>
          <w:i/>
          <w:sz w:val="20"/>
        </w:rPr>
        <w:t>my</w:t>
      </w:r>
      <w:r>
        <w:rPr>
          <w:i/>
          <w:spacing w:val="40"/>
          <w:sz w:val="20"/>
        </w:rPr>
        <w:t> </w:t>
      </w:r>
      <w:r>
        <w:rPr>
          <w:i/>
          <w:sz w:val="20"/>
        </w:rPr>
        <w:t>husband, And</w:t>
      </w:r>
      <w:r>
        <w:rPr>
          <w:i/>
          <w:spacing w:val="25"/>
          <w:sz w:val="20"/>
        </w:rPr>
        <w:t> </w:t>
      </w:r>
      <w:r>
        <w:rPr>
          <w:i/>
          <w:sz w:val="20"/>
        </w:rPr>
        <w:t>so</w:t>
      </w:r>
      <w:r>
        <w:rPr>
          <w:i/>
          <w:spacing w:val="25"/>
          <w:sz w:val="20"/>
        </w:rPr>
        <w:t> </w:t>
      </w:r>
      <w:r>
        <w:rPr>
          <w:i/>
          <w:sz w:val="20"/>
        </w:rPr>
        <w:t>much</w:t>
      </w:r>
      <w:r>
        <w:rPr>
          <w:i/>
          <w:spacing w:val="23"/>
          <w:sz w:val="20"/>
        </w:rPr>
        <w:t> </w:t>
      </w:r>
      <w:r>
        <w:rPr>
          <w:i/>
          <w:sz w:val="20"/>
        </w:rPr>
        <w:t>duty</w:t>
      </w:r>
      <w:r>
        <w:rPr>
          <w:i/>
          <w:spacing w:val="21"/>
          <w:sz w:val="20"/>
        </w:rPr>
        <w:t> </w:t>
      </w:r>
      <w:r>
        <w:rPr>
          <w:i/>
          <w:sz w:val="20"/>
        </w:rPr>
        <w:t>as</w:t>
      </w:r>
      <w:r>
        <w:rPr>
          <w:i/>
          <w:spacing w:val="23"/>
          <w:sz w:val="20"/>
        </w:rPr>
        <w:t> </w:t>
      </w:r>
      <w:r>
        <w:rPr>
          <w:i/>
          <w:sz w:val="20"/>
        </w:rPr>
        <w:t>my</w:t>
      </w:r>
      <w:r>
        <w:rPr>
          <w:i/>
          <w:spacing w:val="23"/>
          <w:sz w:val="20"/>
        </w:rPr>
        <w:t> </w:t>
      </w:r>
      <w:r>
        <w:rPr>
          <w:i/>
          <w:sz w:val="20"/>
        </w:rPr>
        <w:t>show’d</w:t>
      </w:r>
      <w:r>
        <w:rPr>
          <w:i/>
          <w:spacing w:val="23"/>
          <w:sz w:val="20"/>
        </w:rPr>
        <w:t> </w:t>
      </w:r>
      <w:r>
        <w:rPr>
          <w:i/>
          <w:sz w:val="20"/>
        </w:rPr>
        <w:t>To</w:t>
      </w:r>
      <w:r>
        <w:rPr>
          <w:i/>
          <w:spacing w:val="25"/>
          <w:sz w:val="20"/>
        </w:rPr>
        <w:t> </w:t>
      </w:r>
      <w:r>
        <w:rPr>
          <w:i/>
          <w:sz w:val="20"/>
        </w:rPr>
        <w:t>you, preferring</w:t>
      </w:r>
      <w:r>
        <w:rPr>
          <w:i/>
          <w:spacing w:val="40"/>
          <w:sz w:val="20"/>
        </w:rPr>
        <w:t> </w:t>
      </w:r>
      <w:r>
        <w:rPr>
          <w:i/>
          <w:sz w:val="20"/>
        </w:rPr>
        <w:t>you</w:t>
      </w:r>
      <w:r>
        <w:rPr>
          <w:i/>
          <w:spacing w:val="40"/>
          <w:sz w:val="20"/>
        </w:rPr>
        <w:t> </w:t>
      </w:r>
      <w:r>
        <w:rPr>
          <w:i/>
          <w:sz w:val="20"/>
        </w:rPr>
        <w:t>before</w:t>
      </w:r>
      <w:r>
        <w:rPr>
          <w:i/>
          <w:spacing w:val="40"/>
          <w:sz w:val="20"/>
        </w:rPr>
        <w:t> </w:t>
      </w:r>
      <w:r>
        <w:rPr>
          <w:i/>
          <w:sz w:val="20"/>
        </w:rPr>
        <w:t>her</w:t>
      </w:r>
      <w:r>
        <w:rPr>
          <w:i/>
          <w:spacing w:val="40"/>
          <w:sz w:val="20"/>
        </w:rPr>
        <w:t> </w:t>
      </w:r>
      <w:r>
        <w:rPr>
          <w:i/>
          <w:sz w:val="20"/>
        </w:rPr>
        <w:t>father,</w:t>
      </w:r>
      <w:r>
        <w:rPr>
          <w:i/>
          <w:spacing w:val="40"/>
          <w:sz w:val="20"/>
        </w:rPr>
        <w:t> </w:t>
      </w:r>
      <w:r>
        <w:rPr>
          <w:i/>
          <w:sz w:val="20"/>
        </w:rPr>
        <w:t>So</w:t>
      </w:r>
      <w:r>
        <w:rPr>
          <w:i/>
          <w:sz w:val="20"/>
        </w:rPr>
        <w:t> much</w:t>
      </w:r>
      <w:r>
        <w:rPr>
          <w:i/>
          <w:spacing w:val="24"/>
          <w:sz w:val="20"/>
        </w:rPr>
        <w:t> </w:t>
      </w:r>
      <w:r>
        <w:rPr>
          <w:i/>
          <w:sz w:val="20"/>
        </w:rPr>
        <w:t>I</w:t>
      </w:r>
      <w:r>
        <w:rPr>
          <w:i/>
          <w:spacing w:val="23"/>
          <w:sz w:val="20"/>
        </w:rPr>
        <w:t> </w:t>
      </w:r>
      <w:r>
        <w:rPr>
          <w:i/>
          <w:sz w:val="20"/>
        </w:rPr>
        <w:t>challenge</w:t>
      </w:r>
      <w:r>
        <w:rPr>
          <w:i/>
          <w:spacing w:val="25"/>
          <w:sz w:val="20"/>
        </w:rPr>
        <w:t> </w:t>
      </w:r>
      <w:r>
        <w:rPr>
          <w:i/>
          <w:sz w:val="20"/>
        </w:rPr>
        <w:t>that</w:t>
      </w:r>
      <w:r>
        <w:rPr>
          <w:i/>
          <w:spacing w:val="22"/>
          <w:sz w:val="20"/>
        </w:rPr>
        <w:t> </w:t>
      </w:r>
      <w:r>
        <w:rPr>
          <w:i/>
          <w:sz w:val="20"/>
        </w:rPr>
        <w:t>I</w:t>
      </w:r>
      <w:r>
        <w:rPr>
          <w:i/>
          <w:spacing w:val="24"/>
          <w:sz w:val="20"/>
        </w:rPr>
        <w:t> </w:t>
      </w:r>
      <w:r>
        <w:rPr>
          <w:i/>
          <w:sz w:val="20"/>
        </w:rPr>
        <w:t>may profess</w:t>
      </w:r>
      <w:r>
        <w:rPr>
          <w:i/>
          <w:spacing w:val="22"/>
          <w:sz w:val="20"/>
        </w:rPr>
        <w:t> </w:t>
      </w:r>
      <w:r>
        <w:rPr>
          <w:i/>
          <w:sz w:val="20"/>
        </w:rPr>
        <w:t>Due to</w:t>
      </w:r>
      <w:r>
        <w:rPr>
          <w:i/>
          <w:spacing w:val="40"/>
          <w:sz w:val="20"/>
        </w:rPr>
        <w:t> </w:t>
      </w:r>
      <w:r>
        <w:rPr>
          <w:i/>
          <w:sz w:val="20"/>
        </w:rPr>
        <w:t>the</w:t>
      </w:r>
      <w:r>
        <w:rPr>
          <w:i/>
          <w:spacing w:val="40"/>
          <w:sz w:val="20"/>
        </w:rPr>
        <w:t> </w:t>
      </w:r>
      <w:r>
        <w:rPr>
          <w:i/>
          <w:sz w:val="20"/>
        </w:rPr>
        <w:t>Moor,</w:t>
      </w:r>
      <w:r>
        <w:rPr>
          <w:i/>
          <w:spacing w:val="40"/>
          <w:sz w:val="20"/>
        </w:rPr>
        <w:t> </w:t>
      </w:r>
      <w:r>
        <w:rPr>
          <w:i/>
          <w:sz w:val="20"/>
        </w:rPr>
        <w:t>My</w:t>
      </w:r>
      <w:r>
        <w:rPr>
          <w:i/>
          <w:spacing w:val="40"/>
          <w:sz w:val="20"/>
        </w:rPr>
        <w:t> </w:t>
      </w:r>
      <w:r>
        <w:rPr>
          <w:i/>
          <w:sz w:val="20"/>
        </w:rPr>
        <w:t>Lord.</w:t>
      </w:r>
      <w:r>
        <w:rPr>
          <w:i/>
          <w:spacing w:val="40"/>
          <w:sz w:val="20"/>
        </w:rPr>
        <w:t> </w:t>
      </w:r>
      <w:r>
        <w:rPr>
          <w:i/>
          <w:sz w:val="20"/>
        </w:rPr>
        <w:t>(1.3.</w:t>
      </w:r>
      <w:r>
        <w:rPr>
          <w:i/>
          <w:spacing w:val="40"/>
          <w:sz w:val="20"/>
        </w:rPr>
        <w:t> </w:t>
      </w:r>
      <w:r>
        <w:rPr>
          <w:i/>
          <w:sz w:val="20"/>
        </w:rPr>
        <w:t>194-203)”.</w:t>
      </w:r>
    </w:p>
    <w:p>
      <w:pPr>
        <w:pStyle w:val="BodyText"/>
        <w:spacing w:line="249" w:lineRule="auto"/>
        <w:ind w:right="1439" w:firstLine="432"/>
        <w:jc w:val="both"/>
      </w:pPr>
      <w:r>
        <w:rPr/>
        <w:t>This speech of Desdemona showcases her courage, rebellious spirit and her immense love for Othello.</w:t>
      </w:r>
      <w:r>
        <w:rPr>
          <w:spacing w:val="-7"/>
        </w:rPr>
        <w:t> </w:t>
      </w:r>
      <w:r>
        <w:rPr/>
        <w:t>As a scholar, Irene Dash notes about Desdemona that: “she possesses and independence of spirit that allows her to speak her mind with dignity and conviction” (Dash 45). But gradually as the play progresses, we find her voice slowly losing credibility under the weight of her husband’s jealousy and mistrust.</w:t>
      </w:r>
      <w:r>
        <w:rPr>
          <w:spacing w:val="40"/>
        </w:rPr>
        <w:t> </w:t>
      </w:r>
      <w:r>
        <w:rPr>
          <w:spacing w:val="-4"/>
        </w:rPr>
        <w:t>Iago exploits her advocacy</w:t>
      </w:r>
      <w:r>
        <w:rPr>
          <w:spacing w:val="-6"/>
        </w:rPr>
        <w:t> </w:t>
      </w:r>
      <w:r>
        <w:rPr>
          <w:spacing w:val="-4"/>
        </w:rPr>
        <w:t>for Cassio, manipulating</w:t>
      </w:r>
      <w:r>
        <w:rPr>
          <w:spacing w:val="-6"/>
        </w:rPr>
        <w:t> </w:t>
      </w:r>
      <w:r>
        <w:rPr>
          <w:spacing w:val="-4"/>
        </w:rPr>
        <w:t>Othello into believing </w:t>
      </w:r>
      <w:r>
        <w:rPr/>
        <w:t>her</w:t>
      </w:r>
      <w:r>
        <w:rPr>
          <w:spacing w:val="-3"/>
        </w:rPr>
        <w:t> </w:t>
      </w:r>
      <w:r>
        <w:rPr/>
        <w:t>assertiveness</w:t>
      </w:r>
      <w:r>
        <w:rPr>
          <w:spacing w:val="-6"/>
        </w:rPr>
        <w:t> </w:t>
      </w:r>
      <w:r>
        <w:rPr/>
        <w:t>not</w:t>
      </w:r>
      <w:r>
        <w:rPr>
          <w:spacing w:val="-5"/>
        </w:rPr>
        <w:t> </w:t>
      </w:r>
      <w:r>
        <w:rPr/>
        <w:t>as</w:t>
      </w:r>
      <w:r>
        <w:rPr>
          <w:spacing w:val="-6"/>
        </w:rPr>
        <w:t> </w:t>
      </w:r>
      <w:r>
        <w:rPr/>
        <w:t>a</w:t>
      </w:r>
      <w:r>
        <w:rPr>
          <w:spacing w:val="-6"/>
        </w:rPr>
        <w:t> </w:t>
      </w:r>
      <w:r>
        <w:rPr/>
        <w:t>virtue,</w:t>
      </w:r>
      <w:r>
        <w:rPr>
          <w:spacing w:val="-6"/>
        </w:rPr>
        <w:t> </w:t>
      </w:r>
      <w:r>
        <w:rPr/>
        <w:t>but</w:t>
      </w:r>
      <w:r>
        <w:rPr>
          <w:spacing w:val="-5"/>
        </w:rPr>
        <w:t> </w:t>
      </w:r>
      <w:r>
        <w:rPr/>
        <w:t>as</w:t>
      </w:r>
      <w:r>
        <w:rPr>
          <w:spacing w:val="-6"/>
        </w:rPr>
        <w:t> </w:t>
      </w:r>
      <w:r>
        <w:rPr/>
        <w:t>evidence</w:t>
      </w:r>
      <w:r>
        <w:rPr>
          <w:spacing w:val="-5"/>
        </w:rPr>
        <w:t> </w:t>
      </w:r>
      <w:r>
        <w:rPr/>
        <w:t>of</w:t>
      </w:r>
      <w:r>
        <w:rPr>
          <w:spacing w:val="-6"/>
        </w:rPr>
        <w:t> </w:t>
      </w:r>
      <w:r>
        <w:rPr/>
        <w:t>betrayal.</w:t>
      </w:r>
      <w:r>
        <w:rPr>
          <w:spacing w:val="-4"/>
        </w:rPr>
        <w:t> </w:t>
      </w:r>
      <w:r>
        <w:rPr/>
        <w:t>Ultimately, as an innocent and independent woman, Desdemona becomes a tragic victim of her husband’s deep-seated suspicion. Despite her efforts to assert her integrity and innocence, she is silenced and ultimately loses her life, revealing how patriarchal mistrust can destroy even the most genuine expressions of love and fidelity. Thus, proving the fragility of female autonomy in a world ruled by men.</w:t>
      </w:r>
    </w:p>
    <w:p>
      <w:pPr>
        <w:pStyle w:val="BodyText"/>
        <w:spacing w:line="249" w:lineRule="auto" w:before="67"/>
        <w:ind w:right="1438" w:firstLine="432"/>
        <w:jc w:val="both"/>
      </w:pPr>
      <w:r>
        <w:rPr/>
        <w:t>Just like the character of Desdemona, who inspite of her repeated efforts in asserting her innocence, failed to prove the purity of her character,</w:t>
      </w:r>
      <w:r>
        <w:rPr>
          <w:spacing w:val="-10"/>
        </w:rPr>
        <w:t> </w:t>
      </w:r>
      <w:r>
        <w:rPr/>
        <w:t>several</w:t>
      </w:r>
      <w:r>
        <w:rPr>
          <w:spacing w:val="-10"/>
        </w:rPr>
        <w:t> </w:t>
      </w:r>
      <w:r>
        <w:rPr/>
        <w:t>women</w:t>
      </w:r>
      <w:r>
        <w:rPr>
          <w:spacing w:val="-11"/>
        </w:rPr>
        <w:t> </w:t>
      </w:r>
      <w:r>
        <w:rPr/>
        <w:t>even</w:t>
      </w:r>
      <w:r>
        <w:rPr>
          <w:spacing w:val="-10"/>
        </w:rPr>
        <w:t> </w:t>
      </w:r>
      <w:r>
        <w:rPr/>
        <w:t>in</w:t>
      </w:r>
      <w:r>
        <w:rPr>
          <w:spacing w:val="-10"/>
        </w:rPr>
        <w:t> </w:t>
      </w:r>
      <w:r>
        <w:rPr/>
        <w:t>this</w:t>
      </w:r>
      <w:r>
        <w:rPr>
          <w:spacing w:val="-10"/>
        </w:rPr>
        <w:t> </w:t>
      </w:r>
      <w:r>
        <w:rPr/>
        <w:t>modern</w:t>
      </w:r>
      <w:r>
        <w:rPr>
          <w:spacing w:val="-10"/>
        </w:rPr>
        <w:t> </w:t>
      </w:r>
      <w:r>
        <w:rPr/>
        <w:t>era</w:t>
      </w:r>
      <w:r>
        <w:rPr>
          <w:spacing w:val="-11"/>
        </w:rPr>
        <w:t> </w:t>
      </w:r>
      <w:r>
        <w:rPr/>
        <w:t>of</w:t>
      </w:r>
      <w:r>
        <w:rPr>
          <w:spacing w:val="-10"/>
        </w:rPr>
        <w:t> </w:t>
      </w:r>
      <w:r>
        <w:rPr/>
        <w:t>#MeToo</w:t>
      </w:r>
      <w:r>
        <w:rPr>
          <w:spacing w:val="-8"/>
        </w:rPr>
        <w:t> </w:t>
      </w:r>
      <w:r>
        <w:rPr/>
        <w:t>movement also have to face similar situations where their voices are frequently questioned, their credibility is doubted and their moral character is subjected to scrutiny within the patriarchal frameworks. The #MeToo movement, initiated by Tarana Burke, has exposed innumerable cases </w:t>
      </w:r>
      <w:r>
        <w:rPr>
          <w:spacing w:val="-2"/>
        </w:rPr>
        <w:t>where</w:t>
      </w:r>
      <w:r>
        <w:rPr>
          <w:spacing w:val="-11"/>
        </w:rPr>
        <w:t> </w:t>
      </w:r>
      <w:r>
        <w:rPr>
          <w:spacing w:val="-2"/>
        </w:rPr>
        <w:t>survivors</w:t>
      </w:r>
      <w:r>
        <w:rPr>
          <w:spacing w:val="-10"/>
        </w:rPr>
        <w:t> </w:t>
      </w:r>
      <w:r>
        <w:rPr>
          <w:spacing w:val="-2"/>
        </w:rPr>
        <w:t>and</w:t>
      </w:r>
      <w:r>
        <w:rPr>
          <w:spacing w:val="-11"/>
        </w:rPr>
        <w:t> </w:t>
      </w:r>
      <w:r>
        <w:rPr>
          <w:spacing w:val="-2"/>
        </w:rPr>
        <w:t>victims</w:t>
      </w:r>
      <w:r>
        <w:rPr>
          <w:spacing w:val="-10"/>
        </w:rPr>
        <w:t> </w:t>
      </w:r>
      <w:r>
        <w:rPr>
          <w:spacing w:val="-2"/>
        </w:rPr>
        <w:t>often</w:t>
      </w:r>
      <w:r>
        <w:rPr>
          <w:spacing w:val="-11"/>
        </w:rPr>
        <w:t> </w:t>
      </w:r>
      <w:r>
        <w:rPr>
          <w:spacing w:val="-2"/>
        </w:rPr>
        <w:t>had</w:t>
      </w:r>
      <w:r>
        <w:rPr>
          <w:spacing w:val="-8"/>
        </w:rPr>
        <w:t> </w:t>
      </w:r>
      <w:r>
        <w:rPr>
          <w:spacing w:val="-2"/>
        </w:rPr>
        <w:t>to</w:t>
      </w:r>
      <w:r>
        <w:rPr>
          <w:spacing w:val="-11"/>
        </w:rPr>
        <w:t> </w:t>
      </w:r>
      <w:r>
        <w:rPr>
          <w:spacing w:val="-2"/>
        </w:rPr>
        <w:t>face</w:t>
      </w:r>
      <w:r>
        <w:rPr>
          <w:spacing w:val="-9"/>
        </w:rPr>
        <w:t> </w:t>
      </w:r>
      <w:r>
        <w:rPr>
          <w:spacing w:val="-2"/>
        </w:rPr>
        <w:t>skepticism,</w:t>
      </w:r>
      <w:r>
        <w:rPr>
          <w:spacing w:val="-8"/>
        </w:rPr>
        <w:t> </w:t>
      </w:r>
      <w:r>
        <w:rPr>
          <w:spacing w:val="-2"/>
        </w:rPr>
        <w:t>victim-blaming, </w:t>
      </w:r>
      <w:r>
        <w:rPr/>
        <w:t>and</w:t>
      </w:r>
      <w:r>
        <w:rPr>
          <w:spacing w:val="-8"/>
        </w:rPr>
        <w:t> </w:t>
      </w:r>
      <w:r>
        <w:rPr/>
        <w:t>character</w:t>
      </w:r>
      <w:r>
        <w:rPr>
          <w:spacing w:val="-8"/>
        </w:rPr>
        <w:t> </w:t>
      </w:r>
      <w:r>
        <w:rPr/>
        <w:t>assassination</w:t>
      </w:r>
      <w:r>
        <w:rPr>
          <w:spacing w:val="-12"/>
        </w:rPr>
        <w:t> </w:t>
      </w:r>
      <w:r>
        <w:rPr/>
        <w:t>before</w:t>
      </w:r>
      <w:r>
        <w:rPr>
          <w:spacing w:val="-8"/>
        </w:rPr>
        <w:t> </w:t>
      </w:r>
      <w:r>
        <w:rPr/>
        <w:t>their</w:t>
      </w:r>
      <w:r>
        <w:rPr>
          <w:spacing w:val="-7"/>
        </w:rPr>
        <w:t> </w:t>
      </w:r>
      <w:r>
        <w:rPr/>
        <w:t>experiences</w:t>
      </w:r>
      <w:r>
        <w:rPr>
          <w:spacing w:val="-10"/>
        </w:rPr>
        <w:t> </w:t>
      </w:r>
      <w:r>
        <w:rPr/>
        <w:t>were</w:t>
      </w:r>
      <w:r>
        <w:rPr>
          <w:spacing w:val="-9"/>
        </w:rPr>
        <w:t> </w:t>
      </w:r>
      <w:r>
        <w:rPr/>
        <w:t>acknowledged (Burke 45). For example, in one of the newspaper articles published by Jodi Kantor and Megan Twohey in the </w:t>
      </w:r>
      <w:r>
        <w:rPr>
          <w:i/>
        </w:rPr>
        <w:t>New York Times</w:t>
      </w:r>
      <w:r>
        <w:rPr/>
        <w:t>, a case was reported against the</w:t>
      </w:r>
      <w:r>
        <w:rPr>
          <w:spacing w:val="-9"/>
        </w:rPr>
        <w:t> </w:t>
      </w:r>
      <w:r>
        <w:rPr/>
        <w:t>American</w:t>
      </w:r>
      <w:r>
        <w:rPr>
          <w:spacing w:val="-3"/>
        </w:rPr>
        <w:t> </w:t>
      </w:r>
      <w:r>
        <w:rPr/>
        <w:t>film producer Harvey</w:t>
      </w:r>
      <w:r>
        <w:rPr>
          <w:spacing w:val="-4"/>
        </w:rPr>
        <w:t> </w:t>
      </w:r>
      <w:r>
        <w:rPr/>
        <w:t>Weinstein, against whom multiple women came up with their testimonies regarding rape and sexual abuse.</w:t>
      </w:r>
      <w:r>
        <w:rPr>
          <w:spacing w:val="-2"/>
        </w:rPr>
        <w:t> </w:t>
      </w:r>
      <w:r>
        <w:rPr/>
        <w:t>Yet, all these cases were ignored for years, revealing a</w:t>
      </w:r>
      <w:r>
        <w:rPr>
          <w:spacing w:val="-3"/>
        </w:rPr>
        <w:t> </w:t>
      </w:r>
      <w:r>
        <w:rPr/>
        <w:t>tendency</w:t>
      </w:r>
      <w:r>
        <w:rPr>
          <w:spacing w:val="-8"/>
        </w:rPr>
        <w:t> </w:t>
      </w:r>
      <w:r>
        <w:rPr/>
        <w:t>of</w:t>
      </w:r>
      <w:r>
        <w:rPr>
          <w:spacing w:val="-4"/>
        </w:rPr>
        <w:t> </w:t>
      </w:r>
      <w:r>
        <w:rPr/>
        <w:t>this</w:t>
      </w:r>
      <w:r>
        <w:rPr>
          <w:spacing w:val="-4"/>
        </w:rPr>
        <w:t> </w:t>
      </w:r>
      <w:r>
        <w:rPr/>
        <w:t>male-dominated</w:t>
      </w:r>
      <w:r>
        <w:rPr>
          <w:spacing w:val="-2"/>
        </w:rPr>
        <w:t> </w:t>
      </w:r>
      <w:r>
        <w:rPr/>
        <w:t>society</w:t>
      </w:r>
      <w:r>
        <w:rPr>
          <w:spacing w:val="-8"/>
        </w:rPr>
        <w:t> </w:t>
      </w:r>
      <w:r>
        <w:rPr/>
        <w:t>to</w:t>
      </w:r>
      <w:r>
        <w:rPr>
          <w:spacing w:val="-2"/>
        </w:rPr>
        <w:t> </w:t>
      </w:r>
      <w:r>
        <w:rPr/>
        <w:t>disbelieve</w:t>
      </w:r>
      <w:r>
        <w:rPr>
          <w:spacing w:val="-6"/>
        </w:rPr>
        <w:t> </w:t>
      </w:r>
      <w:r>
        <w:rPr/>
        <w:t>victims</w:t>
      </w:r>
      <w:r>
        <w:rPr>
          <w:spacing w:val="-4"/>
        </w:rPr>
        <w:t> </w:t>
      </w:r>
      <w:r>
        <w:rPr/>
        <w:t>(Kantor and</w:t>
      </w:r>
      <w:r>
        <w:rPr>
          <w:spacing w:val="-6"/>
        </w:rPr>
        <w:t> </w:t>
      </w:r>
      <w:r>
        <w:rPr/>
        <w:t>Twohey</w:t>
      </w:r>
      <w:r>
        <w:rPr>
          <w:spacing w:val="-5"/>
        </w:rPr>
        <w:t> </w:t>
      </w:r>
      <w:r>
        <w:rPr/>
        <w:t>1).</w:t>
      </w:r>
      <w:r>
        <w:rPr>
          <w:spacing w:val="-4"/>
        </w:rPr>
        <w:t> </w:t>
      </w:r>
      <w:r>
        <w:rPr/>
        <w:t>Much</w:t>
      </w:r>
      <w:r>
        <w:rPr>
          <w:spacing w:val="-4"/>
        </w:rPr>
        <w:t> </w:t>
      </w:r>
      <w:r>
        <w:rPr/>
        <w:t>like</w:t>
      </w:r>
      <w:r>
        <w:rPr>
          <w:spacing w:val="-4"/>
        </w:rPr>
        <w:t> </w:t>
      </w:r>
      <w:r>
        <w:rPr/>
        <w:t>Desdemona</w:t>
      </w:r>
      <w:r>
        <w:rPr>
          <w:spacing w:val="-1"/>
        </w:rPr>
        <w:t> </w:t>
      </w:r>
      <w:r>
        <w:rPr/>
        <w:t>these</w:t>
      </w:r>
      <w:r>
        <w:rPr>
          <w:spacing w:val="-3"/>
        </w:rPr>
        <w:t> </w:t>
      </w:r>
      <w:r>
        <w:rPr/>
        <w:t>victims</w:t>
      </w:r>
      <w:r>
        <w:rPr>
          <w:spacing w:val="-2"/>
        </w:rPr>
        <w:t> </w:t>
      </w:r>
      <w:r>
        <w:rPr/>
        <w:t>were</w:t>
      </w:r>
      <w:r>
        <w:rPr>
          <w:spacing w:val="-3"/>
        </w:rPr>
        <w:t> </w:t>
      </w:r>
      <w:r>
        <w:rPr/>
        <w:t>compelled </w:t>
      </w:r>
      <w:r>
        <w:rPr>
          <w:spacing w:val="-5"/>
        </w:rPr>
        <w:t>to</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43136">
                <wp:simplePos x="0" y="0"/>
                <wp:positionH relativeFrom="page">
                  <wp:posOffset>2057400</wp:posOffset>
                </wp:positionH>
                <wp:positionV relativeFrom="paragraph">
                  <wp:posOffset>162604</wp:posOffset>
                </wp:positionV>
                <wp:extent cx="3657600" cy="12700"/>
                <wp:effectExtent l="0" t="0" r="0" b="0"/>
                <wp:wrapTopAndBottom/>
                <wp:docPr id="213" name="Graphic 213"/>
                <wp:cNvGraphicFramePr>
                  <a:graphicFrameLocks/>
                </wp:cNvGraphicFramePr>
                <a:graphic>
                  <a:graphicData uri="http://schemas.microsoft.com/office/word/2010/wordprocessingShape">
                    <wps:wsp>
                      <wps:cNvPr id="213" name="Graphic 21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73344;mso-wrap-distance-left:0;mso-wrap-distance-right:0" id="docshape209" filled="true" fillcolor="#000000" stroked="false">
                <v:fill type="solid"/>
                <w10:wrap type="topAndBottom"/>
              </v:rect>
            </w:pict>
          </mc:Fallback>
        </mc:AlternateContent>
      </w:r>
      <w:r>
        <w:rPr>
          <w:rFonts w:ascii="Verdana"/>
          <w:spacing w:val="-5"/>
          <w:sz w:val="18"/>
        </w:rPr>
        <w:t>48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prove their credibility and identity in a culture predisposed to doubt them. Even in India, similar case was reported about Tanushree Dutta, an Indian former actress, beauty pageant and winner of Femina Miss </w:t>
      </w:r>
      <w:r>
        <w:rPr>
          <w:spacing w:val="-2"/>
        </w:rPr>
        <w:t>India</w:t>
      </w:r>
      <w:r>
        <w:rPr>
          <w:spacing w:val="-5"/>
        </w:rPr>
        <w:t> </w:t>
      </w:r>
      <w:r>
        <w:rPr>
          <w:spacing w:val="-2"/>
        </w:rPr>
        <w:t>Universe</w:t>
      </w:r>
      <w:r>
        <w:rPr>
          <w:spacing w:val="-5"/>
        </w:rPr>
        <w:t> </w:t>
      </w:r>
      <w:r>
        <w:rPr>
          <w:spacing w:val="-2"/>
        </w:rPr>
        <w:t>2004,</w:t>
      </w:r>
      <w:r>
        <w:rPr>
          <w:spacing w:val="-9"/>
        </w:rPr>
        <w:t> </w:t>
      </w:r>
      <w:r>
        <w:rPr>
          <w:spacing w:val="-2"/>
        </w:rPr>
        <w:t>who</w:t>
      </w:r>
      <w:r>
        <w:rPr>
          <w:spacing w:val="-5"/>
        </w:rPr>
        <w:t> </w:t>
      </w:r>
      <w:r>
        <w:rPr>
          <w:spacing w:val="-2"/>
        </w:rPr>
        <w:t>suffered</w:t>
      </w:r>
      <w:r>
        <w:rPr>
          <w:spacing w:val="-5"/>
        </w:rPr>
        <w:t> </w:t>
      </w:r>
      <w:r>
        <w:rPr>
          <w:spacing w:val="-2"/>
        </w:rPr>
        <w:t>public</w:t>
      </w:r>
      <w:r>
        <w:rPr>
          <w:spacing w:val="-5"/>
        </w:rPr>
        <w:t> </w:t>
      </w:r>
      <w:r>
        <w:rPr>
          <w:spacing w:val="-2"/>
        </w:rPr>
        <w:t>backlash</w:t>
      </w:r>
      <w:r>
        <w:rPr>
          <w:spacing w:val="-9"/>
        </w:rPr>
        <w:t> </w:t>
      </w:r>
      <w:r>
        <w:rPr>
          <w:spacing w:val="-2"/>
        </w:rPr>
        <w:t>and</w:t>
      </w:r>
      <w:r>
        <w:rPr>
          <w:spacing w:val="-5"/>
        </w:rPr>
        <w:t> </w:t>
      </w:r>
      <w:r>
        <w:rPr>
          <w:spacing w:val="-2"/>
        </w:rPr>
        <w:t>character</w:t>
      </w:r>
      <w:r>
        <w:rPr>
          <w:spacing w:val="-7"/>
        </w:rPr>
        <w:t> </w:t>
      </w:r>
      <w:r>
        <w:rPr>
          <w:spacing w:val="-2"/>
        </w:rPr>
        <w:t>scrutiny </w:t>
      </w:r>
      <w:r>
        <w:rPr/>
        <w:t>after speaking out about her harassment cases in an interview taken by </w:t>
      </w:r>
      <w:r>
        <w:rPr>
          <w:i/>
        </w:rPr>
        <w:t>NDTV</w:t>
      </w:r>
      <w:r>
        <w:rPr/>
        <w:t>, demonstrating how women’s integrity gets questioned and doubted again and again even in this modern educated contemporary world (Dutta 1). Here, lies the relevance of Shakespeare’s characters even in today’s #MeToo era, where we still find women struggling not only to raise their voices to make themselves heard but also to be </w:t>
      </w:r>
      <w:r>
        <w:rPr>
          <w:spacing w:val="-2"/>
        </w:rPr>
        <w:t>believed.</w:t>
      </w:r>
    </w:p>
    <w:p>
      <w:pPr>
        <w:pStyle w:val="BodyText"/>
        <w:spacing w:line="261" w:lineRule="auto" w:before="74"/>
        <w:ind w:right="1436" w:firstLine="432"/>
        <w:jc w:val="both"/>
      </w:pPr>
      <w:r>
        <w:rPr/>
        <w:t>In contrast to Shakespearean characters like Ophelia and Desdemona,</w:t>
      </w:r>
      <w:r>
        <w:rPr>
          <w:spacing w:val="-2"/>
        </w:rPr>
        <w:t> </w:t>
      </w:r>
      <w:r>
        <w:rPr/>
        <w:t>when</w:t>
      </w:r>
      <w:r>
        <w:rPr>
          <w:spacing w:val="-6"/>
        </w:rPr>
        <w:t> </w:t>
      </w:r>
      <w:r>
        <w:rPr/>
        <w:t>we</w:t>
      </w:r>
      <w:r>
        <w:rPr>
          <w:spacing w:val="-2"/>
        </w:rPr>
        <w:t> </w:t>
      </w:r>
      <w:r>
        <w:rPr/>
        <w:t>study</w:t>
      </w:r>
      <w:r>
        <w:rPr>
          <w:spacing w:val="-7"/>
        </w:rPr>
        <w:t> </w:t>
      </w:r>
      <w:r>
        <w:rPr/>
        <w:t>the</w:t>
      </w:r>
      <w:r>
        <w:rPr>
          <w:spacing w:val="-1"/>
        </w:rPr>
        <w:t> </w:t>
      </w:r>
      <w:r>
        <w:rPr/>
        <w:t>character</w:t>
      </w:r>
      <w:r>
        <w:rPr>
          <w:spacing w:val="-4"/>
        </w:rPr>
        <w:t> </w:t>
      </w:r>
      <w:r>
        <w:rPr/>
        <w:t>of</w:t>
      </w:r>
      <w:r>
        <w:rPr>
          <w:spacing w:val="-4"/>
        </w:rPr>
        <w:t> </w:t>
      </w:r>
      <w:r>
        <w:rPr/>
        <w:t>Lady</w:t>
      </w:r>
      <w:r>
        <w:rPr>
          <w:spacing w:val="-7"/>
        </w:rPr>
        <w:t> </w:t>
      </w:r>
      <w:r>
        <w:rPr/>
        <w:t>Macbeth, we</w:t>
      </w:r>
      <w:r>
        <w:rPr>
          <w:spacing w:val="-6"/>
        </w:rPr>
        <w:t> </w:t>
      </w:r>
      <w:r>
        <w:rPr/>
        <w:t>find</w:t>
      </w:r>
      <w:r>
        <w:rPr>
          <w:spacing w:val="-2"/>
        </w:rPr>
        <w:t> </w:t>
      </w:r>
      <w:r>
        <w:rPr/>
        <w:t>her </w:t>
      </w:r>
      <w:r>
        <w:rPr>
          <w:spacing w:val="-2"/>
        </w:rPr>
        <w:t>not</w:t>
      </w:r>
      <w:r>
        <w:rPr>
          <w:spacing w:val="-10"/>
        </w:rPr>
        <w:t> </w:t>
      </w:r>
      <w:r>
        <w:rPr>
          <w:spacing w:val="-2"/>
        </w:rPr>
        <w:t>as</w:t>
      </w:r>
      <w:r>
        <w:rPr>
          <w:spacing w:val="-11"/>
        </w:rPr>
        <w:t> </w:t>
      </w:r>
      <w:r>
        <w:rPr>
          <w:spacing w:val="-2"/>
        </w:rPr>
        <w:t>any</w:t>
      </w:r>
      <w:r>
        <w:rPr>
          <w:spacing w:val="-10"/>
        </w:rPr>
        <w:t> </w:t>
      </w:r>
      <w:r>
        <w:rPr>
          <w:spacing w:val="-2"/>
        </w:rPr>
        <w:t>vulnerable</w:t>
      </w:r>
      <w:r>
        <w:rPr>
          <w:spacing w:val="-7"/>
        </w:rPr>
        <w:t> </w:t>
      </w:r>
      <w:r>
        <w:rPr>
          <w:spacing w:val="-2"/>
        </w:rPr>
        <w:t>or</w:t>
      </w:r>
      <w:r>
        <w:rPr>
          <w:spacing w:val="-7"/>
        </w:rPr>
        <w:t> </w:t>
      </w:r>
      <w:r>
        <w:rPr>
          <w:spacing w:val="-2"/>
        </w:rPr>
        <w:t>weak</w:t>
      </w:r>
      <w:r>
        <w:rPr>
          <w:spacing w:val="-11"/>
        </w:rPr>
        <w:t> </w:t>
      </w:r>
      <w:r>
        <w:rPr>
          <w:spacing w:val="-2"/>
        </w:rPr>
        <w:t>character,</w:t>
      </w:r>
      <w:r>
        <w:rPr>
          <w:spacing w:val="-6"/>
        </w:rPr>
        <w:t> </w:t>
      </w:r>
      <w:r>
        <w:rPr>
          <w:spacing w:val="-2"/>
        </w:rPr>
        <w:t>but</w:t>
      </w:r>
      <w:r>
        <w:rPr>
          <w:spacing w:val="-8"/>
        </w:rPr>
        <w:t> </w:t>
      </w:r>
      <w:r>
        <w:rPr>
          <w:spacing w:val="-2"/>
        </w:rPr>
        <w:t>as</w:t>
      </w:r>
      <w:r>
        <w:rPr>
          <w:spacing w:val="-9"/>
        </w:rPr>
        <w:t> </w:t>
      </w:r>
      <w:r>
        <w:rPr>
          <w:spacing w:val="-2"/>
        </w:rPr>
        <w:t>a</w:t>
      </w:r>
      <w:r>
        <w:rPr>
          <w:spacing w:val="-11"/>
        </w:rPr>
        <w:t> </w:t>
      </w:r>
      <w:r>
        <w:rPr>
          <w:spacing w:val="-2"/>
        </w:rPr>
        <w:t>very</w:t>
      </w:r>
      <w:r>
        <w:rPr>
          <w:spacing w:val="-10"/>
        </w:rPr>
        <w:t> </w:t>
      </w:r>
      <w:r>
        <w:rPr>
          <w:spacing w:val="-2"/>
        </w:rPr>
        <w:t>powerful,</w:t>
      </w:r>
      <w:r>
        <w:rPr>
          <w:spacing w:val="-9"/>
        </w:rPr>
        <w:t> </w:t>
      </w:r>
      <w:r>
        <w:rPr>
          <w:spacing w:val="-2"/>
        </w:rPr>
        <w:t>ambitious </w:t>
      </w:r>
      <w:r>
        <w:rPr/>
        <w:t>and strong character. Yet traditionally many scholars have discussed</w:t>
      </w:r>
      <w:r>
        <w:rPr>
          <w:spacing w:val="40"/>
        </w:rPr>
        <w:t> </w:t>
      </w:r>
      <w:r>
        <w:rPr/>
        <w:t>her as an evil character in the play, even referring her at times as the fourth witch. But many feminist critics have re-evaluated her character as both- a symbol of quest for power and</w:t>
      </w:r>
      <w:r>
        <w:rPr>
          <w:spacing w:val="24"/>
        </w:rPr>
        <w:t> </w:t>
      </w:r>
      <w:r>
        <w:rPr/>
        <w:t>as a character refrained by</w:t>
      </w:r>
      <w:r>
        <w:rPr>
          <w:spacing w:val="80"/>
        </w:rPr>
        <w:t> </w:t>
      </w:r>
      <w:r>
        <w:rPr/>
        <w:t>the time’s definition of gender roles. From her first appearance in the play, we find her as a character who has been challenging the pre-defined gender norms of the age. For example, in</w:t>
      </w:r>
      <w:r>
        <w:rPr>
          <w:spacing w:val="-7"/>
        </w:rPr>
        <w:t> </w:t>
      </w:r>
      <w:r>
        <w:rPr/>
        <w:t>Act 1, Scene 5 of the play, as soon as Lady Macbeth comes to know about the prophecy of the witches from Macbeth’s letter, she immediately starts envisioning the crown</w:t>
      </w:r>
      <w:r>
        <w:rPr>
          <w:spacing w:val="-1"/>
        </w:rPr>
        <w:t> </w:t>
      </w:r>
      <w:r>
        <w:rPr/>
        <w:t>and calls</w:t>
      </w:r>
      <w:r>
        <w:rPr>
          <w:spacing w:val="-1"/>
        </w:rPr>
        <w:t> </w:t>
      </w:r>
      <w:r>
        <w:rPr/>
        <w:t>upon the spirits to “unsex” her: “Come, you</w:t>
      </w:r>
      <w:r>
        <w:rPr>
          <w:spacing w:val="-1"/>
        </w:rPr>
        <w:t> </w:t>
      </w:r>
      <w:r>
        <w:rPr/>
        <w:t>spirits/ That tend on mortal thoughts, unsex me here, / And fill me from the crown to the toe top-full/ Of direst cruelty” (Shakespeare 39-42). This quote of her reveals her desire to escape conventional traits associated </w:t>
      </w:r>
      <w:r>
        <w:rPr>
          <w:spacing w:val="-4"/>
        </w:rPr>
        <w:t>with</w:t>
      </w:r>
      <w:r>
        <w:rPr>
          <w:spacing w:val="-9"/>
        </w:rPr>
        <w:t> </w:t>
      </w:r>
      <w:r>
        <w:rPr>
          <w:spacing w:val="-4"/>
        </w:rPr>
        <w:t>femineity,</w:t>
      </w:r>
      <w:r>
        <w:rPr>
          <w:spacing w:val="-8"/>
        </w:rPr>
        <w:t> </w:t>
      </w:r>
      <w:r>
        <w:rPr>
          <w:spacing w:val="-4"/>
        </w:rPr>
        <w:t>with</w:t>
      </w:r>
      <w:r>
        <w:rPr>
          <w:spacing w:val="-9"/>
        </w:rPr>
        <w:t> </w:t>
      </w:r>
      <w:r>
        <w:rPr>
          <w:spacing w:val="-4"/>
        </w:rPr>
        <w:t>which</w:t>
      </w:r>
      <w:r>
        <w:rPr>
          <w:spacing w:val="-8"/>
        </w:rPr>
        <w:t> </w:t>
      </w:r>
      <w:r>
        <w:rPr>
          <w:spacing w:val="-4"/>
        </w:rPr>
        <w:t>women</w:t>
      </w:r>
      <w:r>
        <w:rPr>
          <w:spacing w:val="-9"/>
        </w:rPr>
        <w:t> </w:t>
      </w:r>
      <w:r>
        <w:rPr>
          <w:spacing w:val="-4"/>
        </w:rPr>
        <w:t>were</w:t>
      </w:r>
      <w:r>
        <w:rPr>
          <w:spacing w:val="-8"/>
        </w:rPr>
        <w:t> </w:t>
      </w:r>
      <w:r>
        <w:rPr>
          <w:spacing w:val="-4"/>
        </w:rPr>
        <w:t>generally</w:t>
      </w:r>
      <w:r>
        <w:rPr>
          <w:spacing w:val="-9"/>
        </w:rPr>
        <w:t> </w:t>
      </w:r>
      <w:r>
        <w:rPr>
          <w:spacing w:val="-4"/>
        </w:rPr>
        <w:t>associated</w:t>
      </w:r>
      <w:r>
        <w:rPr>
          <w:spacing w:val="-8"/>
        </w:rPr>
        <w:t> </w:t>
      </w:r>
      <w:r>
        <w:rPr>
          <w:spacing w:val="-4"/>
        </w:rPr>
        <w:t>like</w:t>
      </w:r>
      <w:r>
        <w:rPr>
          <w:spacing w:val="-9"/>
        </w:rPr>
        <w:t> </w:t>
      </w:r>
      <w:r>
        <w:rPr>
          <w:spacing w:val="-4"/>
        </w:rPr>
        <w:t>kindness, </w:t>
      </w:r>
      <w:r>
        <w:rPr/>
        <w:t>care and emotional sensitivity. However, Lady Macbeth deliberately rejects</w:t>
      </w:r>
      <w:r>
        <w:rPr>
          <w:spacing w:val="-5"/>
        </w:rPr>
        <w:t> </w:t>
      </w:r>
      <w:r>
        <w:rPr/>
        <w:t>these</w:t>
      </w:r>
      <w:r>
        <w:rPr>
          <w:spacing w:val="-6"/>
        </w:rPr>
        <w:t> </w:t>
      </w:r>
      <w:r>
        <w:rPr/>
        <w:t>attributes,</w:t>
      </w:r>
      <w:r>
        <w:rPr>
          <w:spacing w:val="-3"/>
        </w:rPr>
        <w:t> </w:t>
      </w:r>
      <w:r>
        <w:rPr/>
        <w:t>viewing</w:t>
      </w:r>
      <w:r>
        <w:rPr>
          <w:spacing w:val="-5"/>
        </w:rPr>
        <w:t> </w:t>
      </w:r>
      <w:r>
        <w:rPr/>
        <w:t>them</w:t>
      </w:r>
      <w:r>
        <w:rPr>
          <w:spacing w:val="-9"/>
        </w:rPr>
        <w:t> </w:t>
      </w:r>
      <w:r>
        <w:rPr/>
        <w:t>as</w:t>
      </w:r>
      <w:r>
        <w:rPr>
          <w:spacing w:val="-5"/>
        </w:rPr>
        <w:t> </w:t>
      </w:r>
      <w:r>
        <w:rPr/>
        <w:t>barriers</w:t>
      </w:r>
      <w:r>
        <w:rPr>
          <w:spacing w:val="-5"/>
        </w:rPr>
        <w:t> </w:t>
      </w:r>
      <w:r>
        <w:rPr/>
        <w:t>to</w:t>
      </w:r>
      <w:r>
        <w:rPr>
          <w:spacing w:val="-3"/>
        </w:rPr>
        <w:t> </w:t>
      </w:r>
      <w:r>
        <w:rPr/>
        <w:t>achieving</w:t>
      </w:r>
      <w:r>
        <w:rPr>
          <w:spacing w:val="-8"/>
        </w:rPr>
        <w:t> </w:t>
      </w:r>
      <w:r>
        <w:rPr/>
        <w:t>power</w:t>
      </w:r>
      <w:r>
        <w:rPr>
          <w:spacing w:val="-3"/>
        </w:rPr>
        <w:t> </w:t>
      </w:r>
      <w:r>
        <w:rPr/>
        <w:t>and ambition.</w:t>
      </w:r>
      <w:r>
        <w:rPr>
          <w:spacing w:val="-13"/>
        </w:rPr>
        <w:t> </w:t>
      </w:r>
      <w:r>
        <w:rPr/>
        <w:t>She</w:t>
      </w:r>
      <w:r>
        <w:rPr>
          <w:spacing w:val="-12"/>
        </w:rPr>
        <w:t> </w:t>
      </w:r>
      <w:r>
        <w:rPr/>
        <w:t>seeks</w:t>
      </w:r>
      <w:r>
        <w:rPr>
          <w:spacing w:val="-13"/>
        </w:rPr>
        <w:t> </w:t>
      </w:r>
      <w:r>
        <w:rPr/>
        <w:t>to</w:t>
      </w:r>
      <w:r>
        <w:rPr>
          <w:spacing w:val="-12"/>
        </w:rPr>
        <w:t> </w:t>
      </w:r>
      <w:r>
        <w:rPr/>
        <w:t>transform</w:t>
      </w:r>
      <w:r>
        <w:rPr>
          <w:spacing w:val="-13"/>
        </w:rPr>
        <w:t> </w:t>
      </w:r>
      <w:r>
        <w:rPr/>
        <w:t>herself</w:t>
      </w:r>
      <w:r>
        <w:rPr>
          <w:spacing w:val="-12"/>
        </w:rPr>
        <w:t> </w:t>
      </w:r>
      <w:r>
        <w:rPr/>
        <w:t>into</w:t>
      </w:r>
      <w:r>
        <w:rPr>
          <w:spacing w:val="-13"/>
        </w:rPr>
        <w:t> </w:t>
      </w:r>
      <w:r>
        <w:rPr/>
        <w:t>someone</w:t>
      </w:r>
      <w:r>
        <w:rPr>
          <w:spacing w:val="-12"/>
        </w:rPr>
        <w:t> </w:t>
      </w:r>
      <w:r>
        <w:rPr/>
        <w:t>capable</w:t>
      </w:r>
      <w:r>
        <w:rPr>
          <w:spacing w:val="-13"/>
        </w:rPr>
        <w:t> </w:t>
      </w:r>
      <w:r>
        <w:rPr/>
        <w:t>of</w:t>
      </w:r>
      <w:r>
        <w:rPr>
          <w:spacing w:val="-12"/>
        </w:rPr>
        <w:t> </w:t>
      </w:r>
      <w:r>
        <w:rPr/>
        <w:t>cruelty, dominance and authority– traits that society traditionally aligns with masculinity. Throughout the play, we find a dominant control of her over Macbeth. Initially, influenced by the witches’ prophecy she persuades Macbeth to kill Duncan, by questioning his courage, challenging his masculinity and even manipulating him emotionally to act on</w:t>
      </w:r>
      <w:r>
        <w:rPr>
          <w:spacing w:val="-1"/>
        </w:rPr>
        <w:t> </w:t>
      </w:r>
      <w:r>
        <w:rPr/>
        <w:t>his desires</w:t>
      </w:r>
      <w:r>
        <w:rPr>
          <w:spacing w:val="-1"/>
        </w:rPr>
        <w:t> </w:t>
      </w:r>
      <w:r>
        <w:rPr/>
        <w:t>of</w:t>
      </w:r>
      <w:r>
        <w:rPr>
          <w:spacing w:val="-1"/>
        </w:rPr>
        <w:t> </w:t>
      </w:r>
      <w:r>
        <w:rPr/>
        <w:t>become the king</w:t>
      </w:r>
      <w:r>
        <w:rPr>
          <w:spacing w:val="-1"/>
        </w:rPr>
        <w:t> </w:t>
      </w:r>
      <w:r>
        <w:rPr/>
        <w:t>of</w:t>
      </w:r>
      <w:r>
        <w:rPr>
          <w:spacing w:val="-1"/>
        </w:rPr>
        <w:t> </w:t>
      </w:r>
      <w:r>
        <w:rPr/>
        <w:t>Scotland. “This ambition</w:t>
      </w:r>
      <w:r>
        <w:rPr>
          <w:spacing w:val="-1"/>
        </w:rPr>
        <w:t> </w:t>
      </w:r>
      <w:r>
        <w:rPr/>
        <w:t>is not only that Macbeth will prosper but also that she will. Her boldness and optimistic</w:t>
      </w:r>
      <w:r>
        <w:rPr>
          <w:spacing w:val="27"/>
        </w:rPr>
        <w:t> </w:t>
      </w:r>
      <w:r>
        <w:rPr/>
        <w:t>view</w:t>
      </w:r>
      <w:r>
        <w:rPr>
          <w:spacing w:val="20"/>
        </w:rPr>
        <w:t> </w:t>
      </w:r>
      <w:r>
        <w:rPr/>
        <w:t>of</w:t>
      </w:r>
      <w:r>
        <w:rPr>
          <w:spacing w:val="24"/>
        </w:rPr>
        <w:t> </w:t>
      </w:r>
      <w:r>
        <w:rPr/>
        <w:t>circumstance</w:t>
      </w:r>
      <w:r>
        <w:rPr>
          <w:spacing w:val="24"/>
        </w:rPr>
        <w:t> </w:t>
      </w:r>
      <w:r>
        <w:rPr/>
        <w:t>and</w:t>
      </w:r>
      <w:r>
        <w:rPr>
          <w:spacing w:val="28"/>
        </w:rPr>
        <w:t> </w:t>
      </w:r>
      <w:r>
        <w:rPr/>
        <w:t>man</w:t>
      </w:r>
      <w:r>
        <w:rPr>
          <w:spacing w:val="26"/>
        </w:rPr>
        <w:t> </w:t>
      </w:r>
      <w:r>
        <w:rPr/>
        <w:t>himself</w:t>
      </w:r>
      <w:r>
        <w:rPr>
          <w:spacing w:val="22"/>
        </w:rPr>
        <w:t> </w:t>
      </w:r>
      <w:r>
        <w:rPr/>
        <w:t>show</w:t>
      </w:r>
      <w:r>
        <w:rPr>
          <w:spacing w:val="22"/>
        </w:rPr>
        <w:t> </w:t>
      </w:r>
      <w:r>
        <w:rPr/>
        <w:t>that</w:t>
      </w:r>
      <w:r>
        <w:rPr>
          <w:spacing w:val="25"/>
        </w:rPr>
        <w:t> </w:t>
      </w:r>
      <w:r>
        <w:rPr/>
        <w:t>she,</w:t>
      </w:r>
      <w:r>
        <w:rPr>
          <w:spacing w:val="28"/>
        </w:rPr>
        <w:t> </w:t>
      </w:r>
      <w:r>
        <w:rPr>
          <w:spacing w:val="-4"/>
        </w:rPr>
        <w:t>like</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643648">
                <wp:simplePos x="0" y="0"/>
                <wp:positionH relativeFrom="page">
                  <wp:posOffset>2065020</wp:posOffset>
                </wp:positionH>
                <wp:positionV relativeFrom="paragraph">
                  <wp:posOffset>162604</wp:posOffset>
                </wp:positionV>
                <wp:extent cx="3657600" cy="12700"/>
                <wp:effectExtent l="0" t="0" r="0" b="0"/>
                <wp:wrapTopAndBottom/>
                <wp:docPr id="214" name="Graphic 214"/>
                <wp:cNvGraphicFramePr>
                  <a:graphicFrameLocks/>
                </wp:cNvGraphicFramePr>
                <a:graphic>
                  <a:graphicData uri="http://schemas.microsoft.com/office/word/2010/wordprocessingShape">
                    <wps:wsp>
                      <wps:cNvPr id="214" name="Graphic 21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72832;mso-wrap-distance-left:0;mso-wrap-distance-right:0" id="docshape210" filled="true" fillcolor="#000000" stroked="false">
                <v:fill type="solid"/>
                <w10:wrap type="topAndBottom"/>
              </v:rect>
            </w:pict>
          </mc:Fallback>
        </mc:AlternateContent>
      </w:r>
      <w:r>
        <w:rPr>
          <w:rFonts w:ascii="Verdana"/>
          <w:sz w:val="18"/>
        </w:rPr>
        <w:t>Caged</w:t>
      </w:r>
      <w:r>
        <w:rPr>
          <w:rFonts w:ascii="Verdana"/>
          <w:spacing w:val="14"/>
          <w:sz w:val="18"/>
        </w:rPr>
        <w:t> </w:t>
      </w:r>
      <w:r>
        <w:rPr>
          <w:rFonts w:ascii="Verdana"/>
          <w:sz w:val="18"/>
        </w:rPr>
        <w:t>Voices</w:t>
      </w:r>
      <w:r>
        <w:rPr>
          <w:rFonts w:ascii="Verdana"/>
          <w:spacing w:val="16"/>
          <w:sz w:val="18"/>
        </w:rPr>
        <w:t> </w:t>
      </w:r>
      <w:r>
        <w:rPr>
          <w:rFonts w:ascii="Verdana"/>
          <w:sz w:val="18"/>
        </w:rPr>
        <w:t>and</w:t>
      </w:r>
      <w:r>
        <w:rPr>
          <w:rFonts w:ascii="Verdana"/>
          <w:spacing w:val="17"/>
          <w:sz w:val="18"/>
        </w:rPr>
        <w:t> </w:t>
      </w:r>
      <w:r>
        <w:rPr>
          <w:rFonts w:ascii="Verdana"/>
          <w:sz w:val="18"/>
        </w:rPr>
        <w:t>Subtle</w:t>
      </w:r>
      <w:r>
        <w:rPr>
          <w:rFonts w:ascii="Verdana"/>
          <w:spacing w:val="16"/>
          <w:sz w:val="18"/>
        </w:rPr>
        <w:t> </w:t>
      </w:r>
      <w:r>
        <w:rPr>
          <w:rFonts w:ascii="Verdana"/>
          <w:sz w:val="18"/>
        </w:rPr>
        <w:t>Rebellions:</w:t>
      </w:r>
      <w:r>
        <w:rPr>
          <w:rFonts w:ascii="Verdana"/>
          <w:spacing w:val="15"/>
          <w:sz w:val="18"/>
        </w:rPr>
        <w:t> </w:t>
      </w:r>
      <w:r>
        <w:rPr>
          <w:rFonts w:ascii="Verdana"/>
          <w:sz w:val="18"/>
        </w:rPr>
        <w:t>Gendered</w:t>
      </w:r>
      <w:r>
        <w:rPr>
          <w:rFonts w:ascii="Verdana"/>
          <w:spacing w:val="17"/>
          <w:sz w:val="18"/>
        </w:rPr>
        <w:t> </w:t>
      </w:r>
      <w:r>
        <w:rPr>
          <w:rFonts w:ascii="Verdana"/>
          <w:sz w:val="18"/>
        </w:rPr>
        <w:t>Power</w:t>
      </w:r>
      <w:r>
        <w:rPr>
          <w:rFonts w:ascii="Verdana"/>
          <w:spacing w:val="18"/>
          <w:sz w:val="18"/>
        </w:rPr>
        <w:t> </w:t>
      </w:r>
      <w:r>
        <w:rPr>
          <w:rFonts w:ascii="Verdana"/>
          <w:spacing w:val="-5"/>
          <w:sz w:val="18"/>
        </w:rPr>
        <w:t>...</w:t>
      </w:r>
      <w:r>
        <w:rPr>
          <w:rFonts w:ascii="Verdana"/>
          <w:sz w:val="18"/>
        </w:rPr>
        <w:tab/>
      </w:r>
      <w:r>
        <w:rPr>
          <w:rFonts w:ascii="Verdana"/>
          <w:spacing w:val="-5"/>
          <w:sz w:val="18"/>
        </w:rPr>
        <w:t>49</w:t>
      </w:r>
    </w:p>
    <w:p>
      <w:pPr>
        <w:pStyle w:val="BodyText"/>
        <w:spacing w:line="261" w:lineRule="auto" w:before="199"/>
        <w:ind w:right="1436"/>
        <w:jc w:val="both"/>
      </w:pPr>
      <w:r>
        <w:rPr/>
        <w:t>Macbeth, wants them to attain power (Muhammad and Ullah 1439)”. The play, thus, sets up a contrast between the ambitions of Lady Macbeth and Macbeth, inviting us to consider who is more morally </w:t>
      </w:r>
      <w:r>
        <w:rPr>
          <w:spacing w:val="-2"/>
        </w:rPr>
        <w:t>compromised.</w:t>
      </w:r>
    </w:p>
    <w:p>
      <w:pPr>
        <w:pStyle w:val="BodyText"/>
        <w:spacing w:line="256" w:lineRule="auto" w:before="51"/>
        <w:ind w:right="1439" w:firstLine="432"/>
        <w:jc w:val="both"/>
      </w:pPr>
      <w:r>
        <w:rPr/>
        <w:t>Sofiya Shahiwala in her work </w:t>
      </w:r>
      <w:r>
        <w:rPr>
          <w:i/>
        </w:rPr>
        <w:t>Power Beyond Sex: A Foucauldian Reading of Lady Macbeth </w:t>
      </w:r>
      <w:r>
        <w:rPr/>
        <w:t>offers a deconstructive and Foucauldian reinterpretation of Lady Macbeth’s character by not only challenging the</w:t>
      </w:r>
      <w:r>
        <w:rPr>
          <w:spacing w:val="-11"/>
        </w:rPr>
        <w:t> </w:t>
      </w:r>
      <w:r>
        <w:rPr/>
        <w:t>conventional</w:t>
      </w:r>
      <w:r>
        <w:rPr>
          <w:spacing w:val="-10"/>
        </w:rPr>
        <w:t> </w:t>
      </w:r>
      <w:r>
        <w:rPr/>
        <w:t>portrayal</w:t>
      </w:r>
      <w:r>
        <w:rPr>
          <w:spacing w:val="-12"/>
        </w:rPr>
        <w:t> </w:t>
      </w:r>
      <w:r>
        <w:rPr/>
        <w:t>of</w:t>
      </w:r>
      <w:r>
        <w:rPr>
          <w:spacing w:val="-11"/>
        </w:rPr>
        <w:t> </w:t>
      </w:r>
      <w:r>
        <w:rPr/>
        <w:t>her</w:t>
      </w:r>
      <w:r>
        <w:rPr>
          <w:spacing w:val="-10"/>
        </w:rPr>
        <w:t> </w:t>
      </w:r>
      <w:r>
        <w:rPr/>
        <w:t>character</w:t>
      </w:r>
      <w:r>
        <w:rPr>
          <w:spacing w:val="-8"/>
        </w:rPr>
        <w:t> </w:t>
      </w:r>
      <w:r>
        <w:rPr/>
        <w:t>as</w:t>
      </w:r>
      <w:r>
        <w:rPr>
          <w:spacing w:val="-13"/>
        </w:rPr>
        <w:t> </w:t>
      </w:r>
      <w:r>
        <w:rPr/>
        <w:t>an</w:t>
      </w:r>
      <w:r>
        <w:rPr>
          <w:spacing w:val="-9"/>
        </w:rPr>
        <w:t> </w:t>
      </w:r>
      <w:r>
        <w:rPr/>
        <w:t>evil,</w:t>
      </w:r>
      <w:r>
        <w:rPr>
          <w:spacing w:val="-11"/>
        </w:rPr>
        <w:t> </w:t>
      </w:r>
      <w:r>
        <w:rPr/>
        <w:t>ambitious,</w:t>
      </w:r>
      <w:r>
        <w:rPr>
          <w:spacing w:val="-8"/>
        </w:rPr>
        <w:t> </w:t>
      </w:r>
      <w:r>
        <w:rPr/>
        <w:t>ruthless antagonist but by also portraying how she has been constructed by the power relations surrounding her. She discusses how</w:t>
      </w:r>
      <w:r>
        <w:rPr>
          <w:spacing w:val="-2"/>
        </w:rPr>
        <w:t> </w:t>
      </w:r>
      <w:r>
        <w:rPr/>
        <w:t>Macbeth perceives her “both as being a driving force to his actions and a figure who has </w:t>
      </w:r>
      <w:r>
        <w:rPr>
          <w:spacing w:val="-2"/>
        </w:rPr>
        <w:t>gotten</w:t>
      </w:r>
      <w:r>
        <w:rPr>
          <w:spacing w:val="-11"/>
        </w:rPr>
        <w:t> </w:t>
      </w:r>
      <w:r>
        <w:rPr>
          <w:spacing w:val="-2"/>
        </w:rPr>
        <w:t>entangled</w:t>
      </w:r>
      <w:r>
        <w:rPr>
          <w:spacing w:val="-10"/>
        </w:rPr>
        <w:t> </w:t>
      </w:r>
      <w:r>
        <w:rPr>
          <w:spacing w:val="-2"/>
        </w:rPr>
        <w:t>with</w:t>
      </w:r>
      <w:r>
        <w:rPr>
          <w:spacing w:val="-11"/>
        </w:rPr>
        <w:t> </w:t>
      </w:r>
      <w:r>
        <w:rPr>
          <w:spacing w:val="-2"/>
        </w:rPr>
        <w:t>her</w:t>
      </w:r>
      <w:r>
        <w:rPr>
          <w:spacing w:val="-10"/>
        </w:rPr>
        <w:t> </w:t>
      </w:r>
      <w:r>
        <w:rPr>
          <w:spacing w:val="-2"/>
        </w:rPr>
        <w:t>own</w:t>
      </w:r>
      <w:r>
        <w:rPr>
          <w:spacing w:val="-11"/>
        </w:rPr>
        <w:t> </w:t>
      </w:r>
      <w:r>
        <w:rPr>
          <w:spacing w:val="-2"/>
        </w:rPr>
        <w:t>downfall”</w:t>
      </w:r>
      <w:r>
        <w:rPr>
          <w:spacing w:val="-10"/>
        </w:rPr>
        <w:t> </w:t>
      </w:r>
      <w:r>
        <w:rPr>
          <w:spacing w:val="-2"/>
        </w:rPr>
        <w:t>(Shahiwala</w:t>
      </w:r>
      <w:r>
        <w:rPr>
          <w:spacing w:val="-11"/>
        </w:rPr>
        <w:t> </w:t>
      </w:r>
      <w:r>
        <w:rPr>
          <w:spacing w:val="-2"/>
        </w:rPr>
        <w:t>83-87).</w:t>
      </w:r>
      <w:r>
        <w:rPr>
          <w:spacing w:val="-10"/>
        </w:rPr>
        <w:t> </w:t>
      </w:r>
      <w:r>
        <w:rPr>
          <w:spacing w:val="-2"/>
        </w:rPr>
        <w:t>This</w:t>
      </w:r>
      <w:r>
        <w:rPr>
          <w:spacing w:val="-11"/>
        </w:rPr>
        <w:t> </w:t>
      </w:r>
      <w:r>
        <w:rPr>
          <w:spacing w:val="-2"/>
        </w:rPr>
        <w:t>contrast </w:t>
      </w:r>
      <w:r>
        <w:rPr/>
        <w:t>becomes</w:t>
      </w:r>
      <w:r>
        <w:rPr>
          <w:spacing w:val="-2"/>
        </w:rPr>
        <w:t> </w:t>
      </w:r>
      <w:r>
        <w:rPr/>
        <w:t>especially</w:t>
      </w:r>
      <w:r>
        <w:rPr>
          <w:spacing w:val="-5"/>
        </w:rPr>
        <w:t> </w:t>
      </w:r>
      <w:r>
        <w:rPr/>
        <w:t>powerful</w:t>
      </w:r>
      <w:r>
        <w:rPr>
          <w:spacing w:val="-1"/>
        </w:rPr>
        <w:t> </w:t>
      </w:r>
      <w:r>
        <w:rPr/>
        <w:t>in</w:t>
      </w:r>
      <w:r>
        <w:rPr>
          <w:spacing w:val="-2"/>
        </w:rPr>
        <w:t> </w:t>
      </w:r>
      <w:r>
        <w:rPr/>
        <w:t>the</w:t>
      </w:r>
      <w:r>
        <w:rPr>
          <w:spacing w:val="-3"/>
        </w:rPr>
        <w:t> </w:t>
      </w:r>
      <w:r>
        <w:rPr/>
        <w:t>sleepwalking</w:t>
      </w:r>
      <w:r>
        <w:rPr>
          <w:spacing w:val="-3"/>
        </w:rPr>
        <w:t> </w:t>
      </w:r>
      <w:r>
        <w:rPr/>
        <w:t>scene</w:t>
      </w:r>
      <w:r>
        <w:rPr>
          <w:spacing w:val="-1"/>
        </w:rPr>
        <w:t> </w:t>
      </w:r>
      <w:r>
        <w:rPr/>
        <w:t>in</w:t>
      </w:r>
      <w:r>
        <w:rPr>
          <w:spacing w:val="-12"/>
        </w:rPr>
        <w:t> </w:t>
      </w:r>
      <w:r>
        <w:rPr/>
        <w:t>Act</w:t>
      </w:r>
      <w:r>
        <w:rPr>
          <w:spacing w:val="-4"/>
        </w:rPr>
        <w:t> </w:t>
      </w:r>
      <w:r>
        <w:rPr/>
        <w:t>V, where </w:t>
      </w:r>
      <w:r>
        <w:rPr>
          <w:spacing w:val="-2"/>
        </w:rPr>
        <w:t>Lady</w:t>
      </w:r>
      <w:r>
        <w:rPr>
          <w:spacing w:val="-11"/>
        </w:rPr>
        <w:t> </w:t>
      </w:r>
      <w:r>
        <w:rPr>
          <w:spacing w:val="-2"/>
        </w:rPr>
        <w:t>Macbeth’s</w:t>
      </w:r>
      <w:r>
        <w:rPr>
          <w:spacing w:val="-10"/>
        </w:rPr>
        <w:t> </w:t>
      </w:r>
      <w:r>
        <w:rPr>
          <w:spacing w:val="-2"/>
        </w:rPr>
        <w:t>suppressed</w:t>
      </w:r>
      <w:r>
        <w:rPr>
          <w:spacing w:val="-6"/>
        </w:rPr>
        <w:t> </w:t>
      </w:r>
      <w:r>
        <w:rPr>
          <w:spacing w:val="-2"/>
        </w:rPr>
        <w:t>guilt</w:t>
      </w:r>
      <w:r>
        <w:rPr>
          <w:spacing w:val="-5"/>
        </w:rPr>
        <w:t> </w:t>
      </w:r>
      <w:r>
        <w:rPr>
          <w:spacing w:val="-2"/>
        </w:rPr>
        <w:t>finally</w:t>
      </w:r>
      <w:r>
        <w:rPr>
          <w:spacing w:val="-10"/>
        </w:rPr>
        <w:t> </w:t>
      </w:r>
      <w:r>
        <w:rPr>
          <w:spacing w:val="-2"/>
        </w:rPr>
        <w:t>surfaces,</w:t>
      </w:r>
      <w:r>
        <w:rPr>
          <w:spacing w:val="-10"/>
        </w:rPr>
        <w:t> </w:t>
      </w:r>
      <w:r>
        <w:rPr>
          <w:spacing w:val="-2"/>
        </w:rPr>
        <w:t>revealing</w:t>
      </w:r>
      <w:r>
        <w:rPr>
          <w:spacing w:val="-8"/>
        </w:rPr>
        <w:t> </w:t>
      </w:r>
      <w:r>
        <w:rPr>
          <w:spacing w:val="-2"/>
        </w:rPr>
        <w:t>the</w:t>
      </w:r>
      <w:r>
        <w:rPr>
          <w:spacing w:val="-8"/>
        </w:rPr>
        <w:t> </w:t>
      </w:r>
      <w:r>
        <w:rPr>
          <w:spacing w:val="-2"/>
        </w:rPr>
        <w:t>emotional </w:t>
      </w:r>
      <w:r>
        <w:rPr/>
        <w:t>toll of her actions and leading to her tragic end. “Her earlier invocation to ‘unsex’ herself collapses under the weight of psychological torment, suggesting that her transgression of gender norms carries destructive consequences (Amandeep 6)”. It hints towards the consequences that women have to suffer who dare to step outside the prescribed roles of the</w:t>
      </w:r>
      <w:r>
        <w:rPr>
          <w:spacing w:val="-10"/>
        </w:rPr>
        <w:t> </w:t>
      </w:r>
      <w:r>
        <w:rPr/>
        <w:t>society.</w:t>
      </w:r>
      <w:r>
        <w:rPr>
          <w:spacing w:val="-11"/>
        </w:rPr>
        <w:t> </w:t>
      </w:r>
      <w:r>
        <w:rPr/>
        <w:t>Her</w:t>
      </w:r>
      <w:r>
        <w:rPr>
          <w:spacing w:val="-9"/>
        </w:rPr>
        <w:t> </w:t>
      </w:r>
      <w:r>
        <w:rPr/>
        <w:t>descent</w:t>
      </w:r>
      <w:r>
        <w:rPr>
          <w:spacing w:val="-11"/>
        </w:rPr>
        <w:t> </w:t>
      </w:r>
      <w:r>
        <w:rPr/>
        <w:t>to</w:t>
      </w:r>
      <w:r>
        <w:rPr>
          <w:spacing w:val="-11"/>
        </w:rPr>
        <w:t> </w:t>
      </w:r>
      <w:r>
        <w:rPr/>
        <w:t>madness</w:t>
      </w:r>
      <w:r>
        <w:rPr>
          <w:spacing w:val="-11"/>
        </w:rPr>
        <w:t> </w:t>
      </w:r>
      <w:r>
        <w:rPr/>
        <w:t>somewhat</w:t>
      </w:r>
      <w:r>
        <w:rPr>
          <w:spacing w:val="-11"/>
        </w:rPr>
        <w:t> </w:t>
      </w:r>
      <w:r>
        <w:rPr/>
        <w:t>reflects</w:t>
      </w:r>
      <w:r>
        <w:rPr>
          <w:spacing w:val="-11"/>
        </w:rPr>
        <w:t> </w:t>
      </w:r>
      <w:r>
        <w:rPr/>
        <w:t>the</w:t>
      </w:r>
      <w:r>
        <w:rPr>
          <w:spacing w:val="-11"/>
        </w:rPr>
        <w:t> </w:t>
      </w:r>
      <w:r>
        <w:rPr/>
        <w:t>psychological cost</w:t>
      </w:r>
      <w:r>
        <w:rPr>
          <w:spacing w:val="40"/>
        </w:rPr>
        <w:t> </w:t>
      </w:r>
      <w:r>
        <w:rPr/>
        <w:t>of</w:t>
      </w:r>
      <w:r>
        <w:rPr>
          <w:spacing w:val="40"/>
        </w:rPr>
        <w:t> </w:t>
      </w:r>
      <w:r>
        <w:rPr/>
        <w:t>transgression.</w:t>
      </w:r>
    </w:p>
    <w:p>
      <w:pPr>
        <w:pStyle w:val="BodyText"/>
        <w:spacing w:line="256" w:lineRule="auto" w:before="58"/>
        <w:ind w:right="1438" w:firstLine="511"/>
        <w:jc w:val="both"/>
      </w:pPr>
      <w:r>
        <w:rPr/>
        <w:t>This dynamic has not changed even after so many movements, government amendments and global and cultural developments. Still women, especially those in positions of power have to face greater scrutiny and criticism than their male counterparts. Just like Lady </w:t>
      </w:r>
      <w:r>
        <w:rPr>
          <w:spacing w:val="-2"/>
        </w:rPr>
        <w:t>Macbeth’s</w:t>
      </w:r>
      <w:r>
        <w:rPr>
          <w:spacing w:val="-11"/>
        </w:rPr>
        <w:t> </w:t>
      </w:r>
      <w:r>
        <w:rPr>
          <w:spacing w:val="-2"/>
        </w:rPr>
        <w:t>rejection</w:t>
      </w:r>
      <w:r>
        <w:rPr>
          <w:spacing w:val="-10"/>
        </w:rPr>
        <w:t> </w:t>
      </w:r>
      <w:r>
        <w:rPr>
          <w:spacing w:val="-2"/>
        </w:rPr>
        <w:t>of</w:t>
      </w:r>
      <w:r>
        <w:rPr>
          <w:spacing w:val="-11"/>
        </w:rPr>
        <w:t> </w:t>
      </w:r>
      <w:r>
        <w:rPr>
          <w:spacing w:val="-2"/>
        </w:rPr>
        <w:t>the</w:t>
      </w:r>
      <w:r>
        <w:rPr>
          <w:spacing w:val="-10"/>
        </w:rPr>
        <w:t> </w:t>
      </w:r>
      <w:r>
        <w:rPr>
          <w:spacing w:val="-2"/>
        </w:rPr>
        <w:t>complexity</w:t>
      </w:r>
      <w:r>
        <w:rPr>
          <w:spacing w:val="-11"/>
        </w:rPr>
        <w:t> </w:t>
      </w:r>
      <w:r>
        <w:rPr>
          <w:spacing w:val="-2"/>
        </w:rPr>
        <w:t>of</w:t>
      </w:r>
      <w:r>
        <w:rPr>
          <w:spacing w:val="-10"/>
        </w:rPr>
        <w:t> </w:t>
      </w:r>
      <w:r>
        <w:rPr>
          <w:spacing w:val="-2"/>
        </w:rPr>
        <w:t>female</w:t>
      </w:r>
      <w:r>
        <w:rPr>
          <w:spacing w:val="-11"/>
        </w:rPr>
        <w:t> </w:t>
      </w:r>
      <w:r>
        <w:rPr>
          <w:spacing w:val="-2"/>
        </w:rPr>
        <w:t>identity</w:t>
      </w:r>
      <w:r>
        <w:rPr>
          <w:spacing w:val="-10"/>
        </w:rPr>
        <w:t> </w:t>
      </w:r>
      <w:r>
        <w:rPr>
          <w:spacing w:val="-2"/>
        </w:rPr>
        <w:t>in</w:t>
      </w:r>
      <w:r>
        <w:rPr>
          <w:spacing w:val="-11"/>
        </w:rPr>
        <w:t> </w:t>
      </w:r>
      <w:r>
        <w:rPr>
          <w:spacing w:val="-2"/>
        </w:rPr>
        <w:t>this</w:t>
      </w:r>
      <w:r>
        <w:rPr>
          <w:spacing w:val="-10"/>
        </w:rPr>
        <w:t> </w:t>
      </w:r>
      <w:r>
        <w:rPr>
          <w:spacing w:val="-2"/>
        </w:rPr>
        <w:t>patriarchal </w:t>
      </w:r>
      <w:r>
        <w:rPr/>
        <w:t>world eventually</w:t>
      </w:r>
      <w:r>
        <w:rPr>
          <w:spacing w:val="-1"/>
        </w:rPr>
        <w:t> </w:t>
      </w:r>
      <w:r>
        <w:rPr/>
        <w:t>fails</w:t>
      </w:r>
      <w:r>
        <w:rPr>
          <w:spacing w:val="-1"/>
        </w:rPr>
        <w:t> </w:t>
      </w:r>
      <w:r>
        <w:rPr/>
        <w:t>as we</w:t>
      </w:r>
      <w:r>
        <w:rPr>
          <w:spacing w:val="-1"/>
        </w:rPr>
        <w:t> </w:t>
      </w:r>
      <w:r>
        <w:rPr/>
        <w:t>find</w:t>
      </w:r>
      <w:r>
        <w:rPr>
          <w:spacing w:val="-1"/>
        </w:rPr>
        <w:t> </w:t>
      </w:r>
      <w:r>
        <w:rPr/>
        <w:t>her suffering</w:t>
      </w:r>
      <w:r>
        <w:rPr>
          <w:spacing w:val="-1"/>
        </w:rPr>
        <w:t> </w:t>
      </w:r>
      <w:r>
        <w:rPr/>
        <w:t>from</w:t>
      </w:r>
      <w:r>
        <w:rPr>
          <w:spacing w:val="-2"/>
        </w:rPr>
        <w:t> </w:t>
      </w:r>
      <w:r>
        <w:rPr/>
        <w:t>deep psychological consequences, a similar dynamic can be seen in the cases of #MeToo movement also, though in a very different context. Women who dared to</w:t>
      </w:r>
      <w:r>
        <w:rPr>
          <w:spacing w:val="-13"/>
        </w:rPr>
        <w:t> </w:t>
      </w:r>
      <w:r>
        <w:rPr/>
        <w:t>speak</w:t>
      </w:r>
      <w:r>
        <w:rPr>
          <w:spacing w:val="-12"/>
        </w:rPr>
        <w:t> </w:t>
      </w:r>
      <w:r>
        <w:rPr/>
        <w:t>out</w:t>
      </w:r>
      <w:r>
        <w:rPr>
          <w:spacing w:val="-13"/>
        </w:rPr>
        <w:t> </w:t>
      </w:r>
      <w:r>
        <w:rPr/>
        <w:t>against</w:t>
      </w:r>
      <w:r>
        <w:rPr>
          <w:spacing w:val="-12"/>
        </w:rPr>
        <w:t> </w:t>
      </w:r>
      <w:r>
        <w:rPr/>
        <w:t>harassment</w:t>
      </w:r>
      <w:r>
        <w:rPr>
          <w:spacing w:val="-13"/>
        </w:rPr>
        <w:t> </w:t>
      </w:r>
      <w:r>
        <w:rPr/>
        <w:t>or</w:t>
      </w:r>
      <w:r>
        <w:rPr>
          <w:spacing w:val="-12"/>
        </w:rPr>
        <w:t> </w:t>
      </w:r>
      <w:r>
        <w:rPr/>
        <w:t>abuse</w:t>
      </w:r>
      <w:r>
        <w:rPr>
          <w:spacing w:val="-13"/>
        </w:rPr>
        <w:t> </w:t>
      </w:r>
      <w:r>
        <w:rPr/>
        <w:t>that</w:t>
      </w:r>
      <w:r>
        <w:rPr>
          <w:spacing w:val="-12"/>
        </w:rPr>
        <w:t> </w:t>
      </w:r>
      <w:r>
        <w:rPr/>
        <w:t>they</w:t>
      </w:r>
      <w:r>
        <w:rPr>
          <w:spacing w:val="-13"/>
        </w:rPr>
        <w:t> </w:t>
      </w:r>
      <w:r>
        <w:rPr/>
        <w:t>suffered</w:t>
      </w:r>
      <w:r>
        <w:rPr>
          <w:spacing w:val="-12"/>
        </w:rPr>
        <w:t> </w:t>
      </w:r>
      <w:r>
        <w:rPr/>
        <w:t>at</w:t>
      </w:r>
      <w:r>
        <w:rPr>
          <w:spacing w:val="-13"/>
        </w:rPr>
        <w:t> </w:t>
      </w:r>
      <w:r>
        <w:rPr/>
        <w:t>workplaces were often treated with doubt and criticism, instead of being supported by their male counterparts. However, there is one crucial difference. Lady Macbeth internalization of patriarchal values is so deep that it leads</w:t>
      </w:r>
      <w:r>
        <w:rPr>
          <w:spacing w:val="-11"/>
        </w:rPr>
        <w:t> </w:t>
      </w:r>
      <w:r>
        <w:rPr/>
        <w:t>to</w:t>
      </w:r>
      <w:r>
        <w:rPr>
          <w:spacing w:val="-10"/>
        </w:rPr>
        <w:t> </w:t>
      </w:r>
      <w:r>
        <w:rPr/>
        <w:t>her</w:t>
      </w:r>
      <w:r>
        <w:rPr>
          <w:spacing w:val="-10"/>
        </w:rPr>
        <w:t> </w:t>
      </w:r>
      <w:r>
        <w:rPr/>
        <w:t>own</w:t>
      </w:r>
      <w:r>
        <w:rPr>
          <w:spacing w:val="-13"/>
        </w:rPr>
        <w:t> </w:t>
      </w:r>
      <w:r>
        <w:rPr/>
        <w:t>downfall.</w:t>
      </w:r>
      <w:r>
        <w:rPr>
          <w:spacing w:val="-9"/>
        </w:rPr>
        <w:t> </w:t>
      </w:r>
      <w:r>
        <w:rPr/>
        <w:t>In</w:t>
      </w:r>
      <w:r>
        <w:rPr>
          <w:spacing w:val="-10"/>
        </w:rPr>
        <w:t> </w:t>
      </w:r>
      <w:r>
        <w:rPr/>
        <w:t>contrast,</w:t>
      </w:r>
      <w:r>
        <w:rPr>
          <w:spacing w:val="-10"/>
        </w:rPr>
        <w:t> </w:t>
      </w:r>
      <w:r>
        <w:rPr/>
        <w:t>when</w:t>
      </w:r>
      <w:r>
        <w:rPr>
          <w:spacing w:val="-11"/>
        </w:rPr>
        <w:t> </w:t>
      </w:r>
      <w:r>
        <w:rPr/>
        <w:t>we</w:t>
      </w:r>
      <w:r>
        <w:rPr>
          <w:spacing w:val="-11"/>
        </w:rPr>
        <w:t> </w:t>
      </w:r>
      <w:r>
        <w:rPr/>
        <w:t>see</w:t>
      </w:r>
      <w:r>
        <w:rPr>
          <w:spacing w:val="-11"/>
        </w:rPr>
        <w:t> </w:t>
      </w:r>
      <w:r>
        <w:rPr/>
        <w:t>#MeToo</w:t>
      </w:r>
      <w:r>
        <w:rPr>
          <w:spacing w:val="-10"/>
        </w:rPr>
        <w:t> </w:t>
      </w:r>
      <w:r>
        <w:rPr/>
        <w:t>movement, we find it is a collective effort by women to raise the voice against the abuse</w:t>
      </w:r>
      <w:r>
        <w:rPr>
          <w:spacing w:val="-10"/>
        </w:rPr>
        <w:t> </w:t>
      </w:r>
      <w:r>
        <w:rPr/>
        <w:t>and</w:t>
      </w:r>
      <w:r>
        <w:rPr>
          <w:spacing w:val="-11"/>
        </w:rPr>
        <w:t> </w:t>
      </w:r>
      <w:r>
        <w:rPr/>
        <w:t>injustice.</w:t>
      </w:r>
      <w:r>
        <w:rPr>
          <w:spacing w:val="-11"/>
        </w:rPr>
        <w:t> </w:t>
      </w:r>
      <w:r>
        <w:rPr/>
        <w:t>Figures</w:t>
      </w:r>
      <w:r>
        <w:rPr>
          <w:spacing w:val="-11"/>
        </w:rPr>
        <w:t> </w:t>
      </w:r>
      <w:r>
        <w:rPr/>
        <w:t>like</w:t>
      </w:r>
      <w:r>
        <w:rPr>
          <w:spacing w:val="-13"/>
        </w:rPr>
        <w:t> </w:t>
      </w:r>
      <w:r>
        <w:rPr/>
        <w:t>Tarana</w:t>
      </w:r>
      <w:r>
        <w:rPr>
          <w:spacing w:val="-9"/>
        </w:rPr>
        <w:t> </w:t>
      </w:r>
      <w:r>
        <w:rPr/>
        <w:t>Burke</w:t>
      </w:r>
      <w:r>
        <w:rPr>
          <w:spacing w:val="-10"/>
        </w:rPr>
        <w:t> </w:t>
      </w:r>
      <w:r>
        <w:rPr/>
        <w:t>emphasized</w:t>
      </w:r>
      <w:r>
        <w:rPr>
          <w:spacing w:val="-12"/>
        </w:rPr>
        <w:t> </w:t>
      </w:r>
      <w:r>
        <w:rPr/>
        <w:t>on</w:t>
      </w:r>
      <w:r>
        <w:rPr>
          <w:spacing w:val="-11"/>
        </w:rPr>
        <w:t> </w:t>
      </w:r>
      <w:r>
        <w:rPr/>
        <w:t>solidarity, encouraging women to share their experiences publicly rather than suffering</w:t>
      </w:r>
      <w:r>
        <w:rPr>
          <w:spacing w:val="-2"/>
        </w:rPr>
        <w:t> </w:t>
      </w:r>
      <w:r>
        <w:rPr/>
        <w:t>in silence.</w:t>
      </w:r>
      <w:r>
        <w:rPr>
          <w:spacing w:val="-6"/>
        </w:rPr>
        <w:t> </w:t>
      </w:r>
      <w:r>
        <w:rPr/>
        <w:t>Yet the struggle of</w:t>
      </w:r>
      <w:r>
        <w:rPr>
          <w:spacing w:val="-2"/>
        </w:rPr>
        <w:t> </w:t>
      </w:r>
      <w:r>
        <w:rPr/>
        <w:t>these women</w:t>
      </w:r>
      <w:r>
        <w:rPr>
          <w:spacing w:val="-2"/>
        </w:rPr>
        <w:t> </w:t>
      </w:r>
      <w:r>
        <w:rPr/>
        <w:t>was also not easy. Those</w:t>
      </w:r>
      <w:r>
        <w:rPr>
          <w:spacing w:val="28"/>
        </w:rPr>
        <w:t> </w:t>
      </w:r>
      <w:r>
        <w:rPr/>
        <w:t>women</w:t>
      </w:r>
      <w:r>
        <w:rPr>
          <w:spacing w:val="26"/>
        </w:rPr>
        <w:t> </w:t>
      </w:r>
      <w:r>
        <w:rPr/>
        <w:t>who</w:t>
      </w:r>
      <w:r>
        <w:rPr>
          <w:spacing w:val="30"/>
        </w:rPr>
        <w:t> </w:t>
      </w:r>
      <w:r>
        <w:rPr/>
        <w:t>raised</w:t>
      </w:r>
      <w:r>
        <w:rPr>
          <w:spacing w:val="29"/>
        </w:rPr>
        <w:t> </w:t>
      </w:r>
      <w:r>
        <w:rPr/>
        <w:t>their</w:t>
      </w:r>
      <w:r>
        <w:rPr>
          <w:spacing w:val="30"/>
        </w:rPr>
        <w:t> </w:t>
      </w:r>
      <w:r>
        <w:rPr/>
        <w:t>voices</w:t>
      </w:r>
      <w:r>
        <w:rPr>
          <w:spacing w:val="29"/>
        </w:rPr>
        <w:t> </w:t>
      </w:r>
      <w:r>
        <w:rPr/>
        <w:t>had</w:t>
      </w:r>
      <w:r>
        <w:rPr>
          <w:spacing w:val="29"/>
        </w:rPr>
        <w:t> </w:t>
      </w:r>
      <w:r>
        <w:rPr/>
        <w:t>to</w:t>
      </w:r>
      <w:r>
        <w:rPr>
          <w:spacing w:val="30"/>
        </w:rPr>
        <w:t> </w:t>
      </w:r>
      <w:r>
        <w:rPr/>
        <w:t>suffer</w:t>
      </w:r>
      <w:r>
        <w:rPr>
          <w:spacing w:val="28"/>
        </w:rPr>
        <w:t> </w:t>
      </w:r>
      <w:r>
        <w:rPr/>
        <w:t>backlash,</w:t>
      </w:r>
      <w:r>
        <w:rPr>
          <w:spacing w:val="31"/>
        </w:rPr>
        <w:t> </w:t>
      </w:r>
      <w:r>
        <w:rPr>
          <w:spacing w:val="-2"/>
        </w:rPr>
        <w:t>online</w:t>
      </w:r>
    </w:p>
    <w:p>
      <w:pPr>
        <w:pStyle w:val="BodyText"/>
        <w:spacing w:after="0" w:line="25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44160">
                <wp:simplePos x="0" y="0"/>
                <wp:positionH relativeFrom="page">
                  <wp:posOffset>2057400</wp:posOffset>
                </wp:positionH>
                <wp:positionV relativeFrom="paragraph">
                  <wp:posOffset>162604</wp:posOffset>
                </wp:positionV>
                <wp:extent cx="3657600" cy="12700"/>
                <wp:effectExtent l="0" t="0" r="0" b="0"/>
                <wp:wrapTopAndBottom/>
                <wp:docPr id="215" name="Graphic 215"/>
                <wp:cNvGraphicFramePr>
                  <a:graphicFrameLocks/>
                </wp:cNvGraphicFramePr>
                <a:graphic>
                  <a:graphicData uri="http://schemas.microsoft.com/office/word/2010/wordprocessingShape">
                    <wps:wsp>
                      <wps:cNvPr id="215" name="Graphic 21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72320;mso-wrap-distance-left:0;mso-wrap-distance-right:0" id="docshape211" filled="true" fillcolor="#000000" stroked="false">
                <v:fill type="solid"/>
                <w10:wrap type="topAndBottom"/>
              </v:rect>
            </w:pict>
          </mc:Fallback>
        </mc:AlternateContent>
      </w:r>
      <w:r>
        <w:rPr>
          <w:rFonts w:ascii="Verdana"/>
          <w:spacing w:val="-5"/>
          <w:sz w:val="18"/>
        </w:rPr>
        <w:t>50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56" w:lineRule="auto" w:before="195"/>
        <w:ind w:right="1442"/>
        <w:jc w:val="both"/>
      </w:pPr>
      <w:r>
        <w:rPr/>
        <w:t>abuse,</w:t>
      </w:r>
      <w:r>
        <w:rPr>
          <w:spacing w:val="-3"/>
        </w:rPr>
        <w:t> </w:t>
      </w:r>
      <w:r>
        <w:rPr/>
        <w:t>victim-blaming</w:t>
      </w:r>
      <w:r>
        <w:rPr>
          <w:spacing w:val="-1"/>
        </w:rPr>
        <w:t> </w:t>
      </w:r>
      <w:r>
        <w:rPr/>
        <w:t>and</w:t>
      </w:r>
      <w:r>
        <w:rPr>
          <w:spacing w:val="-1"/>
        </w:rPr>
        <w:t> </w:t>
      </w:r>
      <w:r>
        <w:rPr/>
        <w:t>professional risks-</w:t>
      </w:r>
      <w:r>
        <w:rPr>
          <w:spacing w:val="-5"/>
        </w:rPr>
        <w:t> </w:t>
      </w:r>
      <w:r>
        <w:rPr/>
        <w:t>which</w:t>
      </w:r>
      <w:r>
        <w:rPr>
          <w:spacing w:val="-1"/>
        </w:rPr>
        <w:t> </w:t>
      </w:r>
      <w:r>
        <w:rPr/>
        <w:t>shows</w:t>
      </w:r>
      <w:r>
        <w:rPr>
          <w:spacing w:val="-3"/>
        </w:rPr>
        <w:t> </w:t>
      </w:r>
      <w:r>
        <w:rPr/>
        <w:t>that</w:t>
      </w:r>
      <w:r>
        <w:rPr>
          <w:spacing w:val="-1"/>
        </w:rPr>
        <w:t> </w:t>
      </w:r>
      <w:r>
        <w:rPr/>
        <w:t>still</w:t>
      </w:r>
      <w:r>
        <w:rPr>
          <w:spacing w:val="-3"/>
        </w:rPr>
        <w:t> </w:t>
      </w:r>
      <w:r>
        <w:rPr/>
        <w:t>the cost of speaking out has not disappeared. In both these contexts, we</w:t>
      </w:r>
      <w:r>
        <w:rPr>
          <w:spacing w:val="40"/>
        </w:rPr>
        <w:t> </w:t>
      </w:r>
      <w:r>
        <w:rPr/>
        <w:t>find not only women’s enduring struggle to gain power or speak out, but</w:t>
      </w:r>
      <w:r>
        <w:rPr>
          <w:spacing w:val="40"/>
        </w:rPr>
        <w:t> </w:t>
      </w:r>
      <w:r>
        <w:rPr/>
        <w:t>to</w:t>
      </w:r>
      <w:r>
        <w:rPr>
          <w:spacing w:val="40"/>
        </w:rPr>
        <w:t> </w:t>
      </w:r>
      <w:r>
        <w:rPr/>
        <w:t>be</w:t>
      </w:r>
      <w:r>
        <w:rPr>
          <w:spacing w:val="40"/>
        </w:rPr>
        <w:t> </w:t>
      </w:r>
      <w:r>
        <w:rPr/>
        <w:t>heard,</w:t>
      </w:r>
      <w:r>
        <w:rPr>
          <w:spacing w:val="40"/>
        </w:rPr>
        <w:t> </w:t>
      </w:r>
      <w:r>
        <w:rPr/>
        <w:t>believed</w:t>
      </w:r>
      <w:r>
        <w:rPr>
          <w:spacing w:val="40"/>
        </w:rPr>
        <w:t> </w:t>
      </w:r>
      <w:r>
        <w:rPr/>
        <w:t>and</w:t>
      </w:r>
      <w:r>
        <w:rPr>
          <w:spacing w:val="40"/>
        </w:rPr>
        <w:t> </w:t>
      </w:r>
      <w:r>
        <w:rPr/>
        <w:t>treated</w:t>
      </w:r>
      <w:r>
        <w:rPr>
          <w:spacing w:val="40"/>
        </w:rPr>
        <w:t> </w:t>
      </w:r>
      <w:r>
        <w:rPr/>
        <w:t>with</w:t>
      </w:r>
      <w:r>
        <w:rPr>
          <w:spacing w:val="40"/>
        </w:rPr>
        <w:t> </w:t>
      </w:r>
      <w:r>
        <w:rPr/>
        <w:t>fairness.</w:t>
      </w:r>
    </w:p>
    <w:p>
      <w:pPr>
        <w:pStyle w:val="BodyText"/>
        <w:spacing w:line="264" w:lineRule="auto" w:before="62"/>
        <w:ind w:right="1436" w:firstLine="432"/>
        <w:jc w:val="both"/>
      </w:pPr>
      <w:r>
        <w:rPr/>
        <w:t>The parallel between Shakespearean female characters in the play and the cases reported in the #MeToo movement reveal how the underlying dynamics of power continues despite historical differences, highlighting the relevance of Shakespeare’s works even in today’s world. Shakespeare’s female characters such as Desdemona, Ophelia, Portia</w:t>
      </w:r>
      <w:r>
        <w:rPr>
          <w:spacing w:val="-1"/>
        </w:rPr>
        <w:t> </w:t>
      </w:r>
      <w:r>
        <w:rPr/>
        <w:t>and Lady</w:t>
      </w:r>
      <w:r>
        <w:rPr>
          <w:spacing w:val="-4"/>
        </w:rPr>
        <w:t> </w:t>
      </w:r>
      <w:r>
        <w:rPr/>
        <w:t>Macbeth</w:t>
      </w:r>
      <w:r>
        <w:rPr>
          <w:spacing w:val="-2"/>
        </w:rPr>
        <w:t> </w:t>
      </w:r>
      <w:r>
        <w:rPr/>
        <w:t>inhabit a</w:t>
      </w:r>
      <w:r>
        <w:rPr>
          <w:spacing w:val="-1"/>
        </w:rPr>
        <w:t> </w:t>
      </w:r>
      <w:r>
        <w:rPr/>
        <w:t>world that seeks to silence them, yet throughout the plays we never find them entirely voiceless.</w:t>
      </w:r>
      <w:r>
        <w:rPr>
          <w:spacing w:val="40"/>
        </w:rPr>
        <w:t> </w:t>
      </w:r>
      <w:r>
        <w:rPr/>
        <w:t>Whether through direct defiance, emotional resilience, or strategic negotiation, these women through their subtle acts of rebellion, kept on challenging the structures that confined them. Their experiences resonate with the voices of today’s women who are still struggling to transcend the “caged voices” while confronting disbelief, injustice and patriarchal control.</w:t>
      </w:r>
      <w:r>
        <w:rPr>
          <w:spacing w:val="-10"/>
        </w:rPr>
        <w:t> </w:t>
      </w:r>
      <w:r>
        <w:rPr/>
        <w:t>Thus,</w:t>
      </w:r>
      <w:r>
        <w:rPr>
          <w:spacing w:val="-10"/>
        </w:rPr>
        <w:t> </w:t>
      </w:r>
      <w:r>
        <w:rPr/>
        <w:t>reflecting</w:t>
      </w:r>
      <w:r>
        <w:rPr>
          <w:spacing w:val="-10"/>
        </w:rPr>
        <w:t> </w:t>
      </w:r>
      <w:r>
        <w:rPr/>
        <w:t>the</w:t>
      </w:r>
      <w:r>
        <w:rPr>
          <w:spacing w:val="-9"/>
        </w:rPr>
        <w:t> </w:t>
      </w:r>
      <w:r>
        <w:rPr/>
        <w:t>continued</w:t>
      </w:r>
      <w:r>
        <w:rPr>
          <w:spacing w:val="-7"/>
        </w:rPr>
        <w:t> </w:t>
      </w:r>
      <w:r>
        <w:rPr/>
        <w:t>relevance</w:t>
      </w:r>
      <w:r>
        <w:rPr>
          <w:spacing w:val="-10"/>
        </w:rPr>
        <w:t> </w:t>
      </w:r>
      <w:r>
        <w:rPr/>
        <w:t>of</w:t>
      </w:r>
      <w:r>
        <w:rPr>
          <w:spacing w:val="-10"/>
        </w:rPr>
        <w:t> </w:t>
      </w:r>
      <w:r>
        <w:rPr/>
        <w:t>these</w:t>
      </w:r>
      <w:r>
        <w:rPr>
          <w:spacing w:val="-9"/>
        </w:rPr>
        <w:t> </w:t>
      </w:r>
      <w:r>
        <w:rPr/>
        <w:t>Shakespearean </w:t>
      </w:r>
      <w:r>
        <w:rPr>
          <w:spacing w:val="10"/>
        </w:rPr>
        <w:t>characters</w:t>
      </w:r>
      <w:r>
        <w:rPr>
          <w:spacing w:val="10"/>
        </w:rPr>
        <w:t> </w:t>
      </w:r>
      <w:r>
        <w:rPr/>
        <w:t>and plays even in the era of #MeToo movement, demonstrating that while the forms of silencing may evolve, the need</w:t>
      </w:r>
      <w:r>
        <w:rPr>
          <w:spacing w:val="80"/>
        </w:rPr>
        <w:t> </w:t>
      </w:r>
      <w:r>
        <w:rPr/>
        <w:t>to</w:t>
      </w:r>
      <w:r>
        <w:rPr>
          <w:spacing w:val="40"/>
        </w:rPr>
        <w:t> </w:t>
      </w:r>
      <w:r>
        <w:rPr/>
        <w:t>challenge</w:t>
      </w:r>
      <w:r>
        <w:rPr>
          <w:spacing w:val="38"/>
        </w:rPr>
        <w:t> </w:t>
      </w:r>
      <w:r>
        <w:rPr/>
        <w:t>patriarchal</w:t>
      </w:r>
      <w:r>
        <w:rPr>
          <w:spacing w:val="40"/>
        </w:rPr>
        <w:t> </w:t>
      </w:r>
      <w:r>
        <w:rPr/>
        <w:t>power</w:t>
      </w:r>
      <w:r>
        <w:rPr>
          <w:spacing w:val="40"/>
        </w:rPr>
        <w:t> </w:t>
      </w:r>
      <w:r>
        <w:rPr/>
        <w:t>structure</w:t>
      </w:r>
      <w:r>
        <w:rPr>
          <w:spacing w:val="40"/>
        </w:rPr>
        <w:t> </w:t>
      </w:r>
      <w:r>
        <w:rPr/>
        <w:t>remains</w:t>
      </w:r>
      <w:r>
        <w:rPr>
          <w:spacing w:val="40"/>
        </w:rPr>
        <w:t> </w:t>
      </w:r>
      <w:r>
        <w:rPr/>
        <w:t>as</w:t>
      </w:r>
      <w:r>
        <w:rPr>
          <w:spacing w:val="40"/>
        </w:rPr>
        <w:t> </w:t>
      </w:r>
      <w:r>
        <w:rPr/>
        <w:t>urgent</w:t>
      </w:r>
      <w:r>
        <w:rPr>
          <w:spacing w:val="38"/>
        </w:rPr>
        <w:t> </w:t>
      </w:r>
      <w:r>
        <w:rPr/>
        <w:t>as</w:t>
      </w:r>
      <w:r>
        <w:rPr>
          <w:spacing w:val="40"/>
        </w:rPr>
        <w:t> </w:t>
      </w:r>
      <w:r>
        <w:rPr/>
        <w:t>ever.</w:t>
      </w:r>
    </w:p>
    <w:p>
      <w:pPr>
        <w:pStyle w:val="Heading3"/>
        <w:spacing w:before="137"/>
        <w:jc w:val="both"/>
      </w:pPr>
      <w:r>
        <w:rPr>
          <w:w w:val="90"/>
        </w:rPr>
        <w:t>WORKS</w:t>
      </w:r>
      <w:r>
        <w:rPr>
          <w:spacing w:val="6"/>
        </w:rPr>
        <w:t> </w:t>
      </w:r>
      <w:r>
        <w:rPr>
          <w:spacing w:val="-2"/>
          <w:w w:val="95"/>
        </w:rPr>
        <w:t>CITED</w:t>
      </w:r>
    </w:p>
    <w:p>
      <w:pPr>
        <w:pStyle w:val="ListParagraph"/>
        <w:numPr>
          <w:ilvl w:val="0"/>
          <w:numId w:val="13"/>
        </w:numPr>
        <w:tabs>
          <w:tab w:pos="2157" w:val="left" w:leader="none"/>
          <w:tab w:pos="2160" w:val="left" w:leader="none"/>
        </w:tabs>
        <w:spacing w:line="264" w:lineRule="auto" w:before="92" w:after="0"/>
        <w:ind w:left="2160" w:right="1439" w:hanging="315"/>
        <w:jc w:val="both"/>
        <w:rPr>
          <w:sz w:val="19"/>
        </w:rPr>
      </w:pPr>
      <w:r>
        <w:rPr>
          <w:sz w:val="19"/>
        </w:rPr>
        <w:t>Amandeep. “Feminist Re-Readings of Shakespeare’s Female Characters: Agency, Power, and Silence”. International Journal</w:t>
      </w:r>
      <w:r>
        <w:rPr>
          <w:spacing w:val="80"/>
          <w:sz w:val="19"/>
        </w:rPr>
        <w:t> </w:t>
      </w:r>
      <w:r>
        <w:rPr>
          <w:sz w:val="19"/>
        </w:rPr>
        <w:t>of Enhanced Research in Science, Technology and Engineering, Vol. 15, Issue 2, 2026.</w:t>
      </w:r>
    </w:p>
    <w:p>
      <w:pPr>
        <w:pStyle w:val="ListParagraph"/>
        <w:numPr>
          <w:ilvl w:val="0"/>
          <w:numId w:val="13"/>
        </w:numPr>
        <w:tabs>
          <w:tab w:pos="2157" w:val="left" w:leader="none"/>
          <w:tab w:pos="2160" w:val="left" w:leader="none"/>
        </w:tabs>
        <w:spacing w:line="264" w:lineRule="auto" w:before="57" w:after="0"/>
        <w:ind w:left="2160" w:right="1439" w:hanging="315"/>
        <w:jc w:val="both"/>
        <w:rPr>
          <w:sz w:val="19"/>
        </w:rPr>
      </w:pPr>
      <w:r>
        <w:rPr>
          <w:sz w:val="19"/>
        </w:rPr>
        <w:t>Bamber, Linda. Comic Women, Tragic Men: A Study of Gender and</w:t>
      </w:r>
      <w:r>
        <w:rPr>
          <w:spacing w:val="40"/>
          <w:sz w:val="19"/>
        </w:rPr>
        <w:t> </w:t>
      </w:r>
      <w:r>
        <w:rPr>
          <w:sz w:val="19"/>
        </w:rPr>
        <w:t>Genre</w:t>
      </w:r>
      <w:r>
        <w:rPr>
          <w:spacing w:val="40"/>
          <w:sz w:val="19"/>
        </w:rPr>
        <w:t> </w:t>
      </w:r>
      <w:r>
        <w:rPr>
          <w:sz w:val="19"/>
        </w:rPr>
        <w:t>in</w:t>
      </w:r>
      <w:r>
        <w:rPr>
          <w:spacing w:val="40"/>
          <w:sz w:val="19"/>
        </w:rPr>
        <w:t> </w:t>
      </w:r>
      <w:r>
        <w:rPr>
          <w:sz w:val="19"/>
        </w:rPr>
        <w:t>Shakespeare.</w:t>
      </w:r>
      <w:r>
        <w:rPr>
          <w:spacing w:val="40"/>
          <w:sz w:val="19"/>
        </w:rPr>
        <w:t> </w:t>
      </w:r>
      <w:r>
        <w:rPr>
          <w:sz w:val="19"/>
        </w:rPr>
        <w:t>Stanford</w:t>
      </w:r>
      <w:r>
        <w:rPr>
          <w:spacing w:val="40"/>
          <w:sz w:val="19"/>
        </w:rPr>
        <w:t> </w:t>
      </w:r>
      <w:r>
        <w:rPr>
          <w:sz w:val="19"/>
        </w:rPr>
        <w:t>University</w:t>
      </w:r>
      <w:r>
        <w:rPr>
          <w:spacing w:val="40"/>
          <w:sz w:val="19"/>
        </w:rPr>
        <w:t> </w:t>
      </w:r>
      <w:r>
        <w:rPr>
          <w:sz w:val="19"/>
        </w:rPr>
        <w:t>Press,</w:t>
      </w:r>
      <w:r>
        <w:rPr>
          <w:spacing w:val="40"/>
          <w:sz w:val="19"/>
        </w:rPr>
        <w:t> </w:t>
      </w:r>
      <w:r>
        <w:rPr>
          <w:sz w:val="19"/>
        </w:rPr>
        <w:t>1982.</w:t>
      </w:r>
    </w:p>
    <w:p>
      <w:pPr>
        <w:pStyle w:val="ListParagraph"/>
        <w:numPr>
          <w:ilvl w:val="0"/>
          <w:numId w:val="13"/>
        </w:numPr>
        <w:tabs>
          <w:tab w:pos="2157" w:val="left" w:leader="none"/>
        </w:tabs>
        <w:spacing w:line="240" w:lineRule="auto" w:before="59" w:after="0"/>
        <w:ind w:left="2157" w:right="0" w:hanging="312"/>
        <w:jc w:val="both"/>
        <w:rPr>
          <w:sz w:val="19"/>
        </w:rPr>
      </w:pPr>
      <w:r>
        <w:rPr>
          <w:sz w:val="19"/>
        </w:rPr>
        <w:t>Beauvoir,</w:t>
      </w:r>
      <w:r>
        <w:rPr>
          <w:spacing w:val="33"/>
          <w:sz w:val="19"/>
        </w:rPr>
        <w:t> </w:t>
      </w:r>
      <w:r>
        <w:rPr>
          <w:sz w:val="19"/>
        </w:rPr>
        <w:t>Simone</w:t>
      </w:r>
      <w:r>
        <w:rPr>
          <w:spacing w:val="33"/>
          <w:sz w:val="19"/>
        </w:rPr>
        <w:t> </w:t>
      </w:r>
      <w:r>
        <w:rPr>
          <w:sz w:val="19"/>
        </w:rPr>
        <w:t>de.</w:t>
      </w:r>
      <w:r>
        <w:rPr>
          <w:spacing w:val="36"/>
          <w:sz w:val="19"/>
        </w:rPr>
        <w:t> </w:t>
      </w:r>
      <w:r>
        <w:rPr>
          <w:i/>
          <w:sz w:val="19"/>
        </w:rPr>
        <w:t>The</w:t>
      </w:r>
      <w:r>
        <w:rPr>
          <w:i/>
          <w:spacing w:val="33"/>
          <w:sz w:val="19"/>
        </w:rPr>
        <w:t> </w:t>
      </w:r>
      <w:r>
        <w:rPr>
          <w:i/>
          <w:sz w:val="19"/>
        </w:rPr>
        <w:t>Second</w:t>
      </w:r>
      <w:r>
        <w:rPr>
          <w:i/>
          <w:spacing w:val="37"/>
          <w:sz w:val="19"/>
        </w:rPr>
        <w:t> </w:t>
      </w:r>
      <w:r>
        <w:rPr>
          <w:i/>
          <w:sz w:val="19"/>
        </w:rPr>
        <w:t>Sex</w:t>
      </w:r>
      <w:r>
        <w:rPr>
          <w:sz w:val="19"/>
        </w:rPr>
        <w:t>.</w:t>
      </w:r>
      <w:r>
        <w:rPr>
          <w:spacing w:val="33"/>
          <w:sz w:val="19"/>
        </w:rPr>
        <w:t> </w:t>
      </w:r>
      <w:r>
        <w:rPr>
          <w:sz w:val="19"/>
        </w:rPr>
        <w:t>Vintage,</w:t>
      </w:r>
      <w:r>
        <w:rPr>
          <w:spacing w:val="35"/>
          <w:sz w:val="19"/>
        </w:rPr>
        <w:t> </w:t>
      </w:r>
      <w:r>
        <w:rPr>
          <w:spacing w:val="-4"/>
          <w:sz w:val="19"/>
        </w:rPr>
        <w:t>2011.</w:t>
      </w:r>
    </w:p>
    <w:p>
      <w:pPr>
        <w:pStyle w:val="ListParagraph"/>
        <w:numPr>
          <w:ilvl w:val="0"/>
          <w:numId w:val="13"/>
        </w:numPr>
        <w:tabs>
          <w:tab w:pos="2157" w:val="left" w:leader="none"/>
          <w:tab w:pos="2160" w:val="left" w:leader="none"/>
        </w:tabs>
        <w:spacing w:line="264" w:lineRule="auto" w:before="79" w:after="0"/>
        <w:ind w:left="2160" w:right="1442" w:hanging="315"/>
        <w:jc w:val="left"/>
        <w:rPr>
          <w:sz w:val="19"/>
        </w:rPr>
      </w:pPr>
      <w:r>
        <w:rPr>
          <w:sz w:val="19"/>
        </w:rPr>
        <w:t>Burke, Tarana.</w:t>
      </w:r>
      <w:r>
        <w:rPr>
          <w:spacing w:val="25"/>
          <w:sz w:val="19"/>
        </w:rPr>
        <w:t> </w:t>
      </w:r>
      <w:r>
        <w:rPr>
          <w:i/>
          <w:sz w:val="19"/>
        </w:rPr>
        <w:t>Unbound:</w:t>
      </w:r>
      <w:r>
        <w:rPr>
          <w:i/>
          <w:spacing w:val="22"/>
          <w:sz w:val="19"/>
        </w:rPr>
        <w:t> </w:t>
      </w:r>
      <w:r>
        <w:rPr>
          <w:i/>
          <w:sz w:val="19"/>
        </w:rPr>
        <w:t>My</w:t>
      </w:r>
      <w:r>
        <w:rPr>
          <w:i/>
          <w:spacing w:val="24"/>
          <w:sz w:val="19"/>
        </w:rPr>
        <w:t> </w:t>
      </w:r>
      <w:r>
        <w:rPr>
          <w:i/>
          <w:sz w:val="19"/>
        </w:rPr>
        <w:t>Story</w:t>
      </w:r>
      <w:r>
        <w:rPr>
          <w:i/>
          <w:spacing w:val="22"/>
          <w:sz w:val="19"/>
        </w:rPr>
        <w:t> </w:t>
      </w:r>
      <w:r>
        <w:rPr>
          <w:i/>
          <w:sz w:val="19"/>
        </w:rPr>
        <w:t>of</w:t>
      </w:r>
      <w:r>
        <w:rPr>
          <w:i/>
          <w:spacing w:val="26"/>
          <w:sz w:val="19"/>
        </w:rPr>
        <w:t> </w:t>
      </w:r>
      <w:r>
        <w:rPr>
          <w:i/>
          <w:sz w:val="19"/>
        </w:rPr>
        <w:t>Liberation</w:t>
      </w:r>
      <w:r>
        <w:rPr>
          <w:i/>
          <w:spacing w:val="24"/>
          <w:sz w:val="19"/>
        </w:rPr>
        <w:t> </w:t>
      </w:r>
      <w:r>
        <w:rPr>
          <w:i/>
          <w:sz w:val="19"/>
        </w:rPr>
        <w:t>and</w:t>
      </w:r>
      <w:r>
        <w:rPr>
          <w:i/>
          <w:spacing w:val="24"/>
          <w:sz w:val="19"/>
        </w:rPr>
        <w:t> </w:t>
      </w:r>
      <w:r>
        <w:rPr>
          <w:i/>
          <w:sz w:val="19"/>
        </w:rPr>
        <w:t>the</w:t>
      </w:r>
      <w:r>
        <w:rPr>
          <w:i/>
          <w:spacing w:val="23"/>
          <w:sz w:val="19"/>
        </w:rPr>
        <w:t> </w:t>
      </w:r>
      <w:r>
        <w:rPr>
          <w:i/>
          <w:sz w:val="19"/>
        </w:rPr>
        <w:t>Birth of</w:t>
      </w:r>
      <w:r>
        <w:rPr>
          <w:i/>
          <w:spacing w:val="40"/>
          <w:sz w:val="19"/>
        </w:rPr>
        <w:t> </w:t>
      </w:r>
      <w:r>
        <w:rPr>
          <w:i/>
          <w:sz w:val="19"/>
        </w:rPr>
        <w:t>the</w:t>
      </w:r>
      <w:r>
        <w:rPr>
          <w:i/>
          <w:spacing w:val="40"/>
          <w:sz w:val="19"/>
        </w:rPr>
        <w:t> </w:t>
      </w:r>
      <w:r>
        <w:rPr>
          <w:i/>
          <w:sz w:val="19"/>
        </w:rPr>
        <w:t>#Me</w:t>
      </w:r>
      <w:r>
        <w:rPr>
          <w:i/>
          <w:spacing w:val="40"/>
          <w:sz w:val="19"/>
        </w:rPr>
        <w:t> </w:t>
      </w:r>
      <w:r>
        <w:rPr>
          <w:i/>
          <w:sz w:val="19"/>
        </w:rPr>
        <w:t>Too</w:t>
      </w:r>
      <w:r>
        <w:rPr>
          <w:i/>
          <w:spacing w:val="40"/>
          <w:sz w:val="19"/>
        </w:rPr>
        <w:t> </w:t>
      </w:r>
      <w:r>
        <w:rPr>
          <w:i/>
          <w:sz w:val="19"/>
        </w:rPr>
        <w:t>Movement</w:t>
      </w:r>
      <w:r>
        <w:rPr>
          <w:sz w:val="19"/>
        </w:rPr>
        <w:t>.</w:t>
      </w:r>
      <w:r>
        <w:rPr>
          <w:spacing w:val="40"/>
          <w:sz w:val="19"/>
        </w:rPr>
        <w:t> </w:t>
      </w:r>
      <w:r>
        <w:rPr>
          <w:sz w:val="19"/>
        </w:rPr>
        <w:t>Flatiron</w:t>
      </w:r>
      <w:r>
        <w:rPr>
          <w:spacing w:val="40"/>
          <w:sz w:val="19"/>
        </w:rPr>
        <w:t> </w:t>
      </w:r>
      <w:r>
        <w:rPr>
          <w:sz w:val="19"/>
        </w:rPr>
        <w:t>Books,</w:t>
      </w:r>
      <w:r>
        <w:rPr>
          <w:spacing w:val="40"/>
          <w:sz w:val="19"/>
        </w:rPr>
        <w:t> </w:t>
      </w:r>
      <w:r>
        <w:rPr>
          <w:sz w:val="19"/>
        </w:rPr>
        <w:t>2021.</w:t>
      </w:r>
    </w:p>
    <w:p>
      <w:pPr>
        <w:pStyle w:val="ListParagraph"/>
        <w:numPr>
          <w:ilvl w:val="0"/>
          <w:numId w:val="13"/>
        </w:numPr>
        <w:tabs>
          <w:tab w:pos="2157" w:val="left" w:leader="none"/>
          <w:tab w:pos="2160" w:val="left" w:leader="none"/>
        </w:tabs>
        <w:spacing w:line="261" w:lineRule="auto" w:before="55" w:after="0"/>
        <w:ind w:left="2160" w:right="1439" w:hanging="315"/>
        <w:jc w:val="left"/>
        <w:rPr>
          <w:sz w:val="19"/>
        </w:rPr>
      </w:pPr>
      <w:r>
        <w:rPr>
          <w:sz w:val="19"/>
        </w:rPr>
        <w:t>Callaghan, Dympna. </w:t>
      </w:r>
      <w:r>
        <w:rPr>
          <w:i/>
          <w:sz w:val="19"/>
        </w:rPr>
        <w:t>Shakespeare Without</w:t>
      </w:r>
      <w:r>
        <w:rPr>
          <w:i/>
          <w:spacing w:val="11"/>
          <w:sz w:val="19"/>
        </w:rPr>
        <w:t> </w:t>
      </w:r>
      <w:r>
        <w:rPr>
          <w:i/>
          <w:sz w:val="19"/>
        </w:rPr>
        <w:t>Women: Representing Gender</w:t>
      </w:r>
      <w:r>
        <w:rPr>
          <w:i/>
          <w:spacing w:val="38"/>
          <w:sz w:val="19"/>
        </w:rPr>
        <w:t> </w:t>
      </w:r>
      <w:r>
        <w:rPr>
          <w:i/>
          <w:sz w:val="19"/>
        </w:rPr>
        <w:t>and</w:t>
      </w:r>
      <w:r>
        <w:rPr>
          <w:i/>
          <w:spacing w:val="40"/>
          <w:sz w:val="19"/>
        </w:rPr>
        <w:t> </w:t>
      </w:r>
      <w:r>
        <w:rPr>
          <w:i/>
          <w:sz w:val="19"/>
        </w:rPr>
        <w:t>Race</w:t>
      </w:r>
      <w:r>
        <w:rPr>
          <w:i/>
          <w:spacing w:val="37"/>
          <w:sz w:val="19"/>
        </w:rPr>
        <w:t> </w:t>
      </w:r>
      <w:r>
        <w:rPr>
          <w:i/>
          <w:sz w:val="19"/>
        </w:rPr>
        <w:t>on</w:t>
      </w:r>
      <w:r>
        <w:rPr>
          <w:i/>
          <w:spacing w:val="40"/>
          <w:sz w:val="19"/>
        </w:rPr>
        <w:t> </w:t>
      </w:r>
      <w:r>
        <w:rPr>
          <w:i/>
          <w:sz w:val="19"/>
        </w:rPr>
        <w:t>the</w:t>
      </w:r>
      <w:r>
        <w:rPr>
          <w:i/>
          <w:spacing w:val="37"/>
          <w:sz w:val="19"/>
        </w:rPr>
        <w:t> </w:t>
      </w:r>
      <w:r>
        <w:rPr>
          <w:i/>
          <w:sz w:val="19"/>
        </w:rPr>
        <w:t>Renaissance</w:t>
      </w:r>
      <w:r>
        <w:rPr>
          <w:i/>
          <w:spacing w:val="37"/>
          <w:sz w:val="19"/>
        </w:rPr>
        <w:t> </w:t>
      </w:r>
      <w:r>
        <w:rPr>
          <w:i/>
          <w:sz w:val="19"/>
        </w:rPr>
        <w:t>stage</w:t>
      </w:r>
      <w:r>
        <w:rPr>
          <w:sz w:val="19"/>
        </w:rPr>
        <w:t>.</w:t>
      </w:r>
      <w:r>
        <w:rPr>
          <w:spacing w:val="38"/>
          <w:sz w:val="19"/>
        </w:rPr>
        <w:t> </w:t>
      </w:r>
      <w:r>
        <w:rPr>
          <w:sz w:val="19"/>
        </w:rPr>
        <w:t>Routledge,</w:t>
      </w:r>
      <w:r>
        <w:rPr>
          <w:spacing w:val="38"/>
          <w:sz w:val="19"/>
        </w:rPr>
        <w:t> </w:t>
      </w:r>
      <w:r>
        <w:rPr>
          <w:sz w:val="19"/>
        </w:rPr>
        <w:t>2000.</w:t>
      </w:r>
    </w:p>
    <w:p>
      <w:pPr>
        <w:pStyle w:val="ListParagraph"/>
        <w:numPr>
          <w:ilvl w:val="0"/>
          <w:numId w:val="13"/>
        </w:numPr>
        <w:tabs>
          <w:tab w:pos="2157" w:val="left" w:leader="none"/>
          <w:tab w:pos="2160" w:val="left" w:leader="none"/>
        </w:tabs>
        <w:spacing w:line="264" w:lineRule="auto" w:before="56" w:after="0"/>
        <w:ind w:left="2160" w:right="1437" w:hanging="315"/>
        <w:jc w:val="left"/>
        <w:rPr>
          <w:sz w:val="19"/>
        </w:rPr>
      </w:pPr>
      <w:r>
        <w:rPr>
          <w:sz w:val="19"/>
        </w:rPr>
        <w:t>Camden,</w:t>
      </w:r>
      <w:r>
        <w:rPr>
          <w:spacing w:val="40"/>
          <w:sz w:val="19"/>
        </w:rPr>
        <w:t> </w:t>
      </w:r>
      <w:r>
        <w:rPr>
          <w:sz w:val="19"/>
        </w:rPr>
        <w:t>Carroll.</w:t>
      </w:r>
      <w:r>
        <w:rPr>
          <w:spacing w:val="40"/>
          <w:sz w:val="19"/>
        </w:rPr>
        <w:t> </w:t>
      </w:r>
      <w:r>
        <w:rPr>
          <w:i/>
          <w:sz w:val="19"/>
        </w:rPr>
        <w:t>The</w:t>
      </w:r>
      <w:r>
        <w:rPr>
          <w:i/>
          <w:spacing w:val="40"/>
          <w:sz w:val="19"/>
        </w:rPr>
        <w:t> </w:t>
      </w:r>
      <w:r>
        <w:rPr>
          <w:i/>
          <w:sz w:val="19"/>
        </w:rPr>
        <w:t>Feminine</w:t>
      </w:r>
      <w:r>
        <w:rPr>
          <w:i/>
          <w:spacing w:val="40"/>
          <w:sz w:val="19"/>
        </w:rPr>
        <w:t> </w:t>
      </w:r>
      <w:r>
        <w:rPr>
          <w:i/>
          <w:sz w:val="19"/>
        </w:rPr>
        <w:t>in</w:t>
      </w:r>
      <w:r>
        <w:rPr>
          <w:i/>
          <w:spacing w:val="40"/>
          <w:sz w:val="19"/>
        </w:rPr>
        <w:t> </w:t>
      </w:r>
      <w:r>
        <w:rPr>
          <w:i/>
          <w:sz w:val="19"/>
        </w:rPr>
        <w:t>Shakespeare</w:t>
      </w:r>
      <w:r>
        <w:rPr>
          <w:sz w:val="19"/>
        </w:rPr>
        <w:t>.</w:t>
      </w:r>
      <w:r>
        <w:rPr>
          <w:spacing w:val="40"/>
          <w:sz w:val="19"/>
        </w:rPr>
        <w:t> </w:t>
      </w:r>
      <w:r>
        <w:rPr>
          <w:sz w:val="19"/>
        </w:rPr>
        <w:t>Cambridge</w:t>
      </w:r>
      <w:r>
        <w:rPr>
          <w:spacing w:val="40"/>
          <w:sz w:val="19"/>
        </w:rPr>
        <w:t> </w:t>
      </w:r>
      <w:r>
        <w:rPr>
          <w:sz w:val="19"/>
        </w:rPr>
        <w:t>University</w:t>
      </w:r>
      <w:r>
        <w:rPr>
          <w:spacing w:val="40"/>
          <w:sz w:val="19"/>
        </w:rPr>
        <w:t> </w:t>
      </w:r>
      <w:r>
        <w:rPr>
          <w:sz w:val="19"/>
        </w:rPr>
        <w:t>Press,</w:t>
      </w:r>
      <w:r>
        <w:rPr>
          <w:spacing w:val="40"/>
          <w:sz w:val="19"/>
        </w:rPr>
        <w:t> </w:t>
      </w:r>
      <w:r>
        <w:rPr>
          <w:sz w:val="19"/>
        </w:rPr>
        <w:t>1965.</w:t>
      </w:r>
    </w:p>
    <w:p>
      <w:pPr>
        <w:pStyle w:val="ListParagraph"/>
        <w:numPr>
          <w:ilvl w:val="0"/>
          <w:numId w:val="13"/>
        </w:numPr>
        <w:tabs>
          <w:tab w:pos="2157" w:val="left" w:leader="none"/>
          <w:tab w:pos="2160" w:val="left" w:leader="none"/>
        </w:tabs>
        <w:spacing w:line="261" w:lineRule="auto" w:before="55" w:after="0"/>
        <w:ind w:left="2160" w:right="1439" w:hanging="315"/>
        <w:jc w:val="left"/>
        <w:rPr>
          <w:sz w:val="19"/>
        </w:rPr>
      </w:pPr>
      <w:r>
        <w:rPr>
          <w:spacing w:val="9"/>
          <w:sz w:val="19"/>
        </w:rPr>
        <w:t>Dash,</w:t>
      </w:r>
      <w:r>
        <w:rPr>
          <w:spacing w:val="80"/>
          <w:sz w:val="19"/>
        </w:rPr>
        <w:t> </w:t>
      </w:r>
      <w:r>
        <w:rPr>
          <w:sz w:val="19"/>
        </w:rPr>
        <w:t>Irene.</w:t>
      </w:r>
      <w:r>
        <w:rPr>
          <w:spacing w:val="80"/>
          <w:sz w:val="19"/>
        </w:rPr>
        <w:t> </w:t>
      </w:r>
      <w:r>
        <w:rPr>
          <w:i/>
          <w:sz w:val="19"/>
        </w:rPr>
        <w:t>Wooing,</w:t>
      </w:r>
      <w:r>
        <w:rPr>
          <w:i/>
          <w:spacing w:val="80"/>
          <w:sz w:val="19"/>
        </w:rPr>
        <w:t> </w:t>
      </w:r>
      <w:r>
        <w:rPr>
          <w:i/>
          <w:sz w:val="19"/>
        </w:rPr>
        <w:t>Wedding,</w:t>
      </w:r>
      <w:r>
        <w:rPr>
          <w:i/>
          <w:spacing w:val="80"/>
          <w:sz w:val="19"/>
        </w:rPr>
        <w:t> </w:t>
      </w:r>
      <w:r>
        <w:rPr>
          <w:i/>
          <w:spacing w:val="9"/>
          <w:sz w:val="19"/>
        </w:rPr>
        <w:t>and</w:t>
      </w:r>
      <w:r>
        <w:rPr>
          <w:i/>
          <w:spacing w:val="80"/>
          <w:sz w:val="19"/>
        </w:rPr>
        <w:t> </w:t>
      </w:r>
      <w:r>
        <w:rPr>
          <w:i/>
          <w:spacing w:val="10"/>
          <w:sz w:val="19"/>
        </w:rPr>
        <w:t>Power:</w:t>
      </w:r>
      <w:r>
        <w:rPr>
          <w:i/>
          <w:spacing w:val="80"/>
          <w:sz w:val="19"/>
        </w:rPr>
        <w:t> </w:t>
      </w:r>
      <w:r>
        <w:rPr>
          <w:i/>
          <w:sz w:val="19"/>
        </w:rPr>
        <w:t>Women</w:t>
      </w:r>
      <w:r>
        <w:rPr>
          <w:i/>
          <w:spacing w:val="80"/>
          <w:sz w:val="19"/>
        </w:rPr>
        <w:t> </w:t>
      </w:r>
      <w:r>
        <w:rPr>
          <w:i/>
          <w:sz w:val="19"/>
        </w:rPr>
        <w:t>in Shakespeare’s</w:t>
      </w:r>
      <w:r>
        <w:rPr>
          <w:i/>
          <w:spacing w:val="40"/>
          <w:sz w:val="19"/>
        </w:rPr>
        <w:t> </w:t>
      </w:r>
      <w:r>
        <w:rPr>
          <w:i/>
          <w:sz w:val="19"/>
        </w:rPr>
        <w:t>Play</w:t>
      </w:r>
      <w:r>
        <w:rPr>
          <w:sz w:val="19"/>
        </w:rPr>
        <w:t>.</w:t>
      </w:r>
      <w:r>
        <w:rPr>
          <w:spacing w:val="40"/>
          <w:sz w:val="19"/>
        </w:rPr>
        <w:t> </w:t>
      </w:r>
      <w:r>
        <w:rPr>
          <w:sz w:val="19"/>
        </w:rPr>
        <w:t>Columbia</w:t>
      </w:r>
      <w:r>
        <w:rPr>
          <w:spacing w:val="40"/>
          <w:sz w:val="19"/>
        </w:rPr>
        <w:t> </w:t>
      </w:r>
      <w:r>
        <w:rPr>
          <w:sz w:val="19"/>
        </w:rPr>
        <w:t>University</w:t>
      </w:r>
      <w:r>
        <w:rPr>
          <w:spacing w:val="40"/>
          <w:sz w:val="19"/>
        </w:rPr>
        <w:t> </w:t>
      </w:r>
      <w:r>
        <w:rPr>
          <w:sz w:val="19"/>
        </w:rPr>
        <w:t>Press,</w:t>
      </w:r>
      <w:r>
        <w:rPr>
          <w:spacing w:val="40"/>
          <w:sz w:val="19"/>
        </w:rPr>
        <w:t> </w:t>
      </w:r>
      <w:r>
        <w:rPr>
          <w:sz w:val="19"/>
        </w:rPr>
        <w:t>1981.</w:t>
      </w:r>
    </w:p>
    <w:p>
      <w:pPr>
        <w:pStyle w:val="ListParagraph"/>
        <w:spacing w:after="0" w:line="261" w:lineRule="auto"/>
        <w:jc w:val="left"/>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644672">
                <wp:simplePos x="0" y="0"/>
                <wp:positionH relativeFrom="page">
                  <wp:posOffset>2065020</wp:posOffset>
                </wp:positionH>
                <wp:positionV relativeFrom="paragraph">
                  <wp:posOffset>162604</wp:posOffset>
                </wp:positionV>
                <wp:extent cx="3657600" cy="12700"/>
                <wp:effectExtent l="0" t="0" r="0" b="0"/>
                <wp:wrapTopAndBottom/>
                <wp:docPr id="216" name="Graphic 216"/>
                <wp:cNvGraphicFramePr>
                  <a:graphicFrameLocks/>
                </wp:cNvGraphicFramePr>
                <a:graphic>
                  <a:graphicData uri="http://schemas.microsoft.com/office/word/2010/wordprocessingShape">
                    <wps:wsp>
                      <wps:cNvPr id="216" name="Graphic 21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71808;mso-wrap-distance-left:0;mso-wrap-distance-right:0" id="docshape212" filled="true" fillcolor="#000000" stroked="false">
                <v:fill type="solid"/>
                <w10:wrap type="topAndBottom"/>
              </v:rect>
            </w:pict>
          </mc:Fallback>
        </mc:AlternateContent>
      </w:r>
      <w:r>
        <w:rPr>
          <w:rFonts w:ascii="Verdana"/>
          <w:sz w:val="18"/>
        </w:rPr>
        <w:t>Caged</w:t>
      </w:r>
      <w:r>
        <w:rPr>
          <w:rFonts w:ascii="Verdana"/>
          <w:spacing w:val="14"/>
          <w:sz w:val="18"/>
        </w:rPr>
        <w:t> </w:t>
      </w:r>
      <w:r>
        <w:rPr>
          <w:rFonts w:ascii="Verdana"/>
          <w:sz w:val="18"/>
        </w:rPr>
        <w:t>Voices</w:t>
      </w:r>
      <w:r>
        <w:rPr>
          <w:rFonts w:ascii="Verdana"/>
          <w:spacing w:val="16"/>
          <w:sz w:val="18"/>
        </w:rPr>
        <w:t> </w:t>
      </w:r>
      <w:r>
        <w:rPr>
          <w:rFonts w:ascii="Verdana"/>
          <w:sz w:val="18"/>
        </w:rPr>
        <w:t>and</w:t>
      </w:r>
      <w:r>
        <w:rPr>
          <w:rFonts w:ascii="Verdana"/>
          <w:spacing w:val="17"/>
          <w:sz w:val="18"/>
        </w:rPr>
        <w:t> </w:t>
      </w:r>
      <w:r>
        <w:rPr>
          <w:rFonts w:ascii="Verdana"/>
          <w:sz w:val="18"/>
        </w:rPr>
        <w:t>Subtle</w:t>
      </w:r>
      <w:r>
        <w:rPr>
          <w:rFonts w:ascii="Verdana"/>
          <w:spacing w:val="16"/>
          <w:sz w:val="18"/>
        </w:rPr>
        <w:t> </w:t>
      </w:r>
      <w:r>
        <w:rPr>
          <w:rFonts w:ascii="Verdana"/>
          <w:sz w:val="18"/>
        </w:rPr>
        <w:t>Rebellions:</w:t>
      </w:r>
      <w:r>
        <w:rPr>
          <w:rFonts w:ascii="Verdana"/>
          <w:spacing w:val="15"/>
          <w:sz w:val="18"/>
        </w:rPr>
        <w:t> </w:t>
      </w:r>
      <w:r>
        <w:rPr>
          <w:rFonts w:ascii="Verdana"/>
          <w:sz w:val="18"/>
        </w:rPr>
        <w:t>Gendered</w:t>
      </w:r>
      <w:r>
        <w:rPr>
          <w:rFonts w:ascii="Verdana"/>
          <w:spacing w:val="17"/>
          <w:sz w:val="18"/>
        </w:rPr>
        <w:t> </w:t>
      </w:r>
      <w:r>
        <w:rPr>
          <w:rFonts w:ascii="Verdana"/>
          <w:sz w:val="18"/>
        </w:rPr>
        <w:t>Power</w:t>
      </w:r>
      <w:r>
        <w:rPr>
          <w:rFonts w:ascii="Verdana"/>
          <w:spacing w:val="18"/>
          <w:sz w:val="18"/>
        </w:rPr>
        <w:t> </w:t>
      </w:r>
      <w:r>
        <w:rPr>
          <w:rFonts w:ascii="Verdana"/>
          <w:spacing w:val="-5"/>
          <w:sz w:val="18"/>
        </w:rPr>
        <w:t>...</w:t>
      </w:r>
      <w:r>
        <w:rPr>
          <w:rFonts w:ascii="Verdana"/>
          <w:sz w:val="18"/>
        </w:rPr>
        <w:tab/>
      </w:r>
      <w:r>
        <w:rPr>
          <w:rFonts w:ascii="Verdana"/>
          <w:spacing w:val="-5"/>
          <w:sz w:val="18"/>
        </w:rPr>
        <w:t>51</w:t>
      </w:r>
    </w:p>
    <w:p>
      <w:pPr>
        <w:pStyle w:val="ListParagraph"/>
        <w:numPr>
          <w:ilvl w:val="0"/>
          <w:numId w:val="13"/>
        </w:numPr>
        <w:tabs>
          <w:tab w:pos="2157" w:val="left" w:leader="none"/>
          <w:tab w:pos="2160" w:val="left" w:leader="none"/>
        </w:tabs>
        <w:spacing w:line="261" w:lineRule="auto" w:before="199" w:after="0"/>
        <w:ind w:left="2160" w:right="1438" w:hanging="315"/>
        <w:jc w:val="both"/>
        <w:rPr>
          <w:sz w:val="19"/>
        </w:rPr>
      </w:pPr>
      <w:r>
        <w:rPr>
          <w:sz w:val="19"/>
        </w:rPr>
        <w:t>Dutta,</w:t>
      </w:r>
      <w:r>
        <w:rPr>
          <w:spacing w:val="40"/>
          <w:sz w:val="19"/>
        </w:rPr>
        <w:t> </w:t>
      </w:r>
      <w:r>
        <w:rPr>
          <w:sz w:val="19"/>
        </w:rPr>
        <w:t>Tanushree.</w:t>
      </w:r>
      <w:r>
        <w:rPr>
          <w:spacing w:val="40"/>
          <w:sz w:val="19"/>
        </w:rPr>
        <w:t> </w:t>
      </w:r>
      <w:r>
        <w:rPr>
          <w:sz w:val="19"/>
        </w:rPr>
        <w:t>Interviews</w:t>
      </w:r>
      <w:r>
        <w:rPr>
          <w:spacing w:val="40"/>
          <w:sz w:val="19"/>
        </w:rPr>
        <w:t> </w:t>
      </w:r>
      <w:r>
        <w:rPr>
          <w:sz w:val="19"/>
        </w:rPr>
        <w:t>on</w:t>
      </w:r>
      <w:r>
        <w:rPr>
          <w:spacing w:val="40"/>
          <w:sz w:val="19"/>
        </w:rPr>
        <w:t> </w:t>
      </w:r>
      <w:r>
        <w:rPr>
          <w:sz w:val="19"/>
        </w:rPr>
        <w:t>the</w:t>
      </w:r>
      <w:r>
        <w:rPr>
          <w:spacing w:val="40"/>
          <w:sz w:val="19"/>
        </w:rPr>
        <w:t> </w:t>
      </w:r>
      <w:r>
        <w:rPr>
          <w:sz w:val="19"/>
        </w:rPr>
        <w:t>#MeToo</w:t>
      </w:r>
      <w:r>
        <w:rPr>
          <w:spacing w:val="40"/>
          <w:sz w:val="19"/>
        </w:rPr>
        <w:t> </w:t>
      </w:r>
      <w:r>
        <w:rPr>
          <w:sz w:val="19"/>
        </w:rPr>
        <w:t>Movement</w:t>
      </w:r>
      <w:r>
        <w:rPr>
          <w:spacing w:val="40"/>
          <w:sz w:val="19"/>
        </w:rPr>
        <w:t> </w:t>
      </w:r>
      <w:r>
        <w:rPr>
          <w:sz w:val="19"/>
        </w:rPr>
        <w:t>in India. NDTV, 2018.</w:t>
      </w:r>
    </w:p>
    <w:p>
      <w:pPr>
        <w:pStyle w:val="ListParagraph"/>
        <w:numPr>
          <w:ilvl w:val="0"/>
          <w:numId w:val="13"/>
        </w:numPr>
        <w:tabs>
          <w:tab w:pos="2157" w:val="left" w:leader="none"/>
          <w:tab w:pos="2160" w:val="left" w:leader="none"/>
        </w:tabs>
        <w:spacing w:line="261" w:lineRule="auto" w:before="57" w:after="0"/>
        <w:ind w:left="2160" w:right="1437" w:hanging="315"/>
        <w:jc w:val="both"/>
        <w:rPr>
          <w:sz w:val="19"/>
        </w:rPr>
      </w:pPr>
      <w:r>
        <w:rPr>
          <w:spacing w:val="9"/>
          <w:sz w:val="19"/>
        </w:rPr>
        <w:t>Ekici,</w:t>
      </w:r>
      <w:r>
        <w:rPr>
          <w:spacing w:val="40"/>
          <w:sz w:val="19"/>
        </w:rPr>
        <w:t>  </w:t>
      </w:r>
      <w:r>
        <w:rPr>
          <w:spacing w:val="9"/>
          <w:sz w:val="19"/>
        </w:rPr>
        <w:t>Sara.</w:t>
      </w:r>
      <w:r>
        <w:rPr>
          <w:spacing w:val="9"/>
          <w:sz w:val="19"/>
        </w:rPr>
        <w:t> </w:t>
      </w:r>
      <w:r>
        <w:rPr>
          <w:i/>
          <w:spacing w:val="10"/>
          <w:sz w:val="19"/>
        </w:rPr>
        <w:t>Feminist</w:t>
      </w:r>
      <w:r>
        <w:rPr>
          <w:i/>
          <w:spacing w:val="40"/>
          <w:sz w:val="19"/>
        </w:rPr>
        <w:t>  </w:t>
      </w:r>
      <w:r>
        <w:rPr>
          <w:i/>
          <w:spacing w:val="10"/>
          <w:sz w:val="19"/>
        </w:rPr>
        <w:t>Criticism:</w:t>
      </w:r>
      <w:r>
        <w:rPr>
          <w:i/>
          <w:spacing w:val="40"/>
          <w:sz w:val="19"/>
        </w:rPr>
        <w:t>  </w:t>
      </w:r>
      <w:r>
        <w:rPr>
          <w:i/>
          <w:spacing w:val="9"/>
          <w:sz w:val="19"/>
        </w:rPr>
        <w:t>Female</w:t>
      </w:r>
      <w:r>
        <w:rPr>
          <w:i/>
          <w:spacing w:val="40"/>
          <w:sz w:val="19"/>
        </w:rPr>
        <w:t>  </w:t>
      </w:r>
      <w:r>
        <w:rPr>
          <w:i/>
          <w:spacing w:val="11"/>
          <w:sz w:val="19"/>
        </w:rPr>
        <w:t>Characters </w:t>
      </w:r>
      <w:r>
        <w:rPr>
          <w:i/>
          <w:sz w:val="19"/>
        </w:rPr>
        <w:t>in</w:t>
      </w:r>
      <w:r>
        <w:rPr>
          <w:i/>
          <w:spacing w:val="-2"/>
          <w:sz w:val="19"/>
        </w:rPr>
        <w:t> </w:t>
      </w:r>
      <w:r>
        <w:rPr>
          <w:i/>
          <w:sz w:val="19"/>
        </w:rPr>
        <w:t>Shakespeare’s Plays</w:t>
      </w:r>
      <w:r>
        <w:rPr>
          <w:i/>
          <w:spacing w:val="-4"/>
          <w:sz w:val="19"/>
        </w:rPr>
        <w:t> </w:t>
      </w:r>
      <w:r>
        <w:rPr>
          <w:i/>
          <w:sz w:val="19"/>
        </w:rPr>
        <w:t>Othello and Hamlet</w:t>
      </w:r>
      <w:r>
        <w:rPr>
          <w:sz w:val="19"/>
        </w:rPr>
        <w:t>. ed. GRIN Verlag, 2009. Web. 23 Apr. 2026.</w:t>
      </w:r>
    </w:p>
    <w:p>
      <w:pPr>
        <w:pStyle w:val="ListParagraph"/>
        <w:numPr>
          <w:ilvl w:val="0"/>
          <w:numId w:val="13"/>
        </w:numPr>
        <w:tabs>
          <w:tab w:pos="2157" w:val="left" w:leader="none"/>
          <w:tab w:pos="2160" w:val="left" w:leader="none"/>
        </w:tabs>
        <w:spacing w:line="261" w:lineRule="auto" w:before="58" w:after="0"/>
        <w:ind w:left="2160" w:right="1441" w:hanging="406"/>
        <w:jc w:val="both"/>
        <w:rPr>
          <w:sz w:val="19"/>
        </w:rPr>
      </w:pPr>
      <w:r>
        <w:rPr>
          <w:sz w:val="19"/>
        </w:rPr>
        <w:t>Jardine,</w:t>
      </w:r>
      <w:r>
        <w:rPr>
          <w:spacing w:val="28"/>
          <w:sz w:val="19"/>
        </w:rPr>
        <w:t> </w:t>
      </w:r>
      <w:r>
        <w:rPr>
          <w:sz w:val="19"/>
        </w:rPr>
        <w:t>Lisa.</w:t>
      </w:r>
      <w:r>
        <w:rPr>
          <w:spacing w:val="32"/>
          <w:sz w:val="19"/>
        </w:rPr>
        <w:t> </w:t>
      </w:r>
      <w:r>
        <w:rPr>
          <w:i/>
          <w:sz w:val="19"/>
        </w:rPr>
        <w:t>Still</w:t>
      </w:r>
      <w:r>
        <w:rPr>
          <w:i/>
          <w:spacing w:val="30"/>
          <w:sz w:val="19"/>
        </w:rPr>
        <w:t> </w:t>
      </w:r>
      <w:r>
        <w:rPr>
          <w:i/>
          <w:sz w:val="19"/>
        </w:rPr>
        <w:t>Harping</w:t>
      </w:r>
      <w:r>
        <w:rPr>
          <w:i/>
          <w:spacing w:val="32"/>
          <w:sz w:val="19"/>
        </w:rPr>
        <w:t> </w:t>
      </w:r>
      <w:r>
        <w:rPr>
          <w:i/>
          <w:sz w:val="19"/>
        </w:rPr>
        <w:t>on</w:t>
      </w:r>
      <w:r>
        <w:rPr>
          <w:i/>
          <w:spacing w:val="30"/>
          <w:sz w:val="19"/>
        </w:rPr>
        <w:t> </w:t>
      </w:r>
      <w:r>
        <w:rPr>
          <w:i/>
          <w:sz w:val="19"/>
        </w:rPr>
        <w:t>Daughters:</w:t>
      </w:r>
      <w:r>
        <w:rPr>
          <w:i/>
          <w:spacing w:val="32"/>
          <w:sz w:val="19"/>
        </w:rPr>
        <w:t> </w:t>
      </w:r>
      <w:r>
        <w:rPr>
          <w:i/>
          <w:sz w:val="19"/>
        </w:rPr>
        <w:t>Women</w:t>
      </w:r>
      <w:r>
        <w:rPr>
          <w:i/>
          <w:spacing w:val="30"/>
          <w:sz w:val="19"/>
        </w:rPr>
        <w:t> </w:t>
      </w:r>
      <w:r>
        <w:rPr>
          <w:i/>
          <w:sz w:val="19"/>
        </w:rPr>
        <w:t>and</w:t>
      </w:r>
      <w:r>
        <w:rPr>
          <w:i/>
          <w:spacing w:val="33"/>
          <w:sz w:val="19"/>
        </w:rPr>
        <w:t> </w:t>
      </w:r>
      <w:r>
        <w:rPr>
          <w:i/>
          <w:sz w:val="19"/>
        </w:rPr>
        <w:t>Drama in</w:t>
      </w:r>
      <w:r>
        <w:rPr>
          <w:i/>
          <w:spacing w:val="40"/>
          <w:sz w:val="19"/>
        </w:rPr>
        <w:t> </w:t>
      </w:r>
      <w:r>
        <w:rPr>
          <w:i/>
          <w:sz w:val="19"/>
        </w:rPr>
        <w:t>the</w:t>
      </w:r>
      <w:r>
        <w:rPr>
          <w:i/>
          <w:spacing w:val="40"/>
          <w:sz w:val="19"/>
        </w:rPr>
        <w:t> </w:t>
      </w:r>
      <w:r>
        <w:rPr>
          <w:i/>
          <w:sz w:val="19"/>
        </w:rPr>
        <w:t>Age</w:t>
      </w:r>
      <w:r>
        <w:rPr>
          <w:i/>
          <w:spacing w:val="40"/>
          <w:sz w:val="19"/>
        </w:rPr>
        <w:t> </w:t>
      </w:r>
      <w:r>
        <w:rPr>
          <w:i/>
          <w:sz w:val="19"/>
        </w:rPr>
        <w:t>of</w:t>
      </w:r>
      <w:r>
        <w:rPr>
          <w:i/>
          <w:spacing w:val="40"/>
          <w:sz w:val="19"/>
        </w:rPr>
        <w:t> </w:t>
      </w:r>
      <w:r>
        <w:rPr>
          <w:i/>
          <w:sz w:val="19"/>
        </w:rPr>
        <w:t>Shakespeare.</w:t>
      </w:r>
      <w:r>
        <w:rPr>
          <w:i/>
          <w:spacing w:val="40"/>
          <w:sz w:val="19"/>
        </w:rPr>
        <w:t> </w:t>
      </w:r>
      <w:r>
        <w:rPr>
          <w:sz w:val="19"/>
        </w:rPr>
        <w:t>Harvester</w:t>
      </w:r>
      <w:r>
        <w:rPr>
          <w:spacing w:val="40"/>
          <w:sz w:val="19"/>
        </w:rPr>
        <w:t> </w:t>
      </w:r>
      <w:r>
        <w:rPr>
          <w:sz w:val="19"/>
        </w:rPr>
        <w:t>Press,</w:t>
      </w:r>
      <w:r>
        <w:rPr>
          <w:spacing w:val="40"/>
          <w:sz w:val="19"/>
        </w:rPr>
        <w:t> </w:t>
      </w:r>
      <w:r>
        <w:rPr>
          <w:sz w:val="19"/>
        </w:rPr>
        <w:t>1983.</w:t>
      </w:r>
    </w:p>
    <w:p>
      <w:pPr>
        <w:pStyle w:val="ListParagraph"/>
        <w:numPr>
          <w:ilvl w:val="0"/>
          <w:numId w:val="13"/>
        </w:numPr>
        <w:tabs>
          <w:tab w:pos="2157" w:val="left" w:leader="none"/>
          <w:tab w:pos="2160" w:val="left" w:leader="none"/>
        </w:tabs>
        <w:spacing w:line="261" w:lineRule="auto" w:before="59" w:after="0"/>
        <w:ind w:left="2160" w:right="1442" w:hanging="406"/>
        <w:jc w:val="both"/>
        <w:rPr>
          <w:sz w:val="19"/>
        </w:rPr>
      </w:pPr>
      <w:r>
        <w:rPr>
          <w:sz w:val="19"/>
        </w:rPr>
        <w:t>Kantor, Jodi and Megan Twohey. “Harvey Weinstein Paid Off Sexual</w:t>
      </w:r>
      <w:r>
        <w:rPr>
          <w:spacing w:val="-6"/>
          <w:sz w:val="19"/>
        </w:rPr>
        <w:t> </w:t>
      </w:r>
      <w:r>
        <w:rPr>
          <w:sz w:val="19"/>
        </w:rPr>
        <w:t>Harassment</w:t>
      </w:r>
      <w:r>
        <w:rPr>
          <w:spacing w:val="-12"/>
          <w:sz w:val="19"/>
        </w:rPr>
        <w:t> </w:t>
      </w:r>
      <w:r>
        <w:rPr>
          <w:sz w:val="19"/>
        </w:rPr>
        <w:t>Accusers</w:t>
      </w:r>
      <w:r>
        <w:rPr>
          <w:spacing w:val="-5"/>
          <w:sz w:val="19"/>
        </w:rPr>
        <w:t> </w:t>
      </w:r>
      <w:r>
        <w:rPr>
          <w:sz w:val="19"/>
        </w:rPr>
        <w:t>for</w:t>
      </w:r>
      <w:r>
        <w:rPr>
          <w:spacing w:val="-7"/>
          <w:sz w:val="19"/>
        </w:rPr>
        <w:t> </w:t>
      </w:r>
      <w:r>
        <w:rPr>
          <w:sz w:val="19"/>
        </w:rPr>
        <w:t>Decades”.</w:t>
      </w:r>
      <w:r>
        <w:rPr>
          <w:spacing w:val="-5"/>
          <w:sz w:val="19"/>
        </w:rPr>
        <w:t> </w:t>
      </w:r>
      <w:r>
        <w:rPr>
          <w:sz w:val="19"/>
        </w:rPr>
        <w:t>The</w:t>
      </w:r>
      <w:r>
        <w:rPr>
          <w:spacing w:val="-4"/>
          <w:sz w:val="19"/>
        </w:rPr>
        <w:t> </w:t>
      </w:r>
      <w:r>
        <w:rPr>
          <w:sz w:val="19"/>
        </w:rPr>
        <w:t>New</w:t>
      </w:r>
      <w:r>
        <w:rPr>
          <w:spacing w:val="-12"/>
          <w:sz w:val="19"/>
        </w:rPr>
        <w:t> </w:t>
      </w:r>
      <w:r>
        <w:rPr>
          <w:sz w:val="19"/>
        </w:rPr>
        <w:t>York</w:t>
      </w:r>
      <w:r>
        <w:rPr>
          <w:spacing w:val="-8"/>
          <w:sz w:val="19"/>
        </w:rPr>
        <w:t> </w:t>
      </w:r>
      <w:r>
        <w:rPr>
          <w:sz w:val="19"/>
        </w:rPr>
        <w:t>Times, 5 Oct., 2017.</w:t>
      </w:r>
    </w:p>
    <w:p>
      <w:pPr>
        <w:pStyle w:val="ListParagraph"/>
        <w:numPr>
          <w:ilvl w:val="0"/>
          <w:numId w:val="13"/>
        </w:numPr>
        <w:tabs>
          <w:tab w:pos="2160" w:val="left" w:leader="none"/>
          <w:tab w:pos="2228" w:val="left" w:leader="none"/>
        </w:tabs>
        <w:spacing w:line="261" w:lineRule="auto" w:before="56" w:after="0"/>
        <w:ind w:left="2160" w:right="1442" w:hanging="406"/>
        <w:jc w:val="both"/>
        <w:rPr>
          <w:sz w:val="19"/>
        </w:rPr>
      </w:pPr>
      <w:r>
        <w:rPr>
          <w:sz w:val="19"/>
        </w:rPr>
        <w:tab/>
        <w:t>Muhammad, Kashif and Ihsan Ullah. “Redefining Heroism: An Analysis of Lady Macbeth’s Character in Macbeth”. Journal of Applied</w:t>
      </w:r>
      <w:r>
        <w:rPr>
          <w:spacing w:val="40"/>
          <w:sz w:val="19"/>
        </w:rPr>
        <w:t> </w:t>
      </w:r>
      <w:r>
        <w:rPr>
          <w:sz w:val="19"/>
        </w:rPr>
        <w:t>Linguistics</w:t>
      </w:r>
      <w:r>
        <w:rPr>
          <w:spacing w:val="40"/>
          <w:sz w:val="19"/>
        </w:rPr>
        <w:t> </w:t>
      </w:r>
      <w:r>
        <w:rPr>
          <w:sz w:val="19"/>
        </w:rPr>
        <w:t>and</w:t>
      </w:r>
      <w:r>
        <w:rPr>
          <w:spacing w:val="40"/>
          <w:sz w:val="19"/>
        </w:rPr>
        <w:t> </w:t>
      </w:r>
      <w:r>
        <w:rPr>
          <w:sz w:val="19"/>
        </w:rPr>
        <w:t>Tesol,</w:t>
      </w:r>
      <w:r>
        <w:rPr>
          <w:spacing w:val="40"/>
          <w:sz w:val="19"/>
        </w:rPr>
        <w:t> </w:t>
      </w:r>
      <w:r>
        <w:rPr>
          <w:sz w:val="19"/>
        </w:rPr>
        <w:t>Vol.</w:t>
      </w:r>
      <w:r>
        <w:rPr>
          <w:spacing w:val="40"/>
          <w:sz w:val="19"/>
        </w:rPr>
        <w:t> </w:t>
      </w:r>
      <w:r>
        <w:rPr>
          <w:sz w:val="19"/>
        </w:rPr>
        <w:t>8,</w:t>
      </w:r>
      <w:r>
        <w:rPr>
          <w:spacing w:val="40"/>
          <w:sz w:val="19"/>
        </w:rPr>
        <w:t> </w:t>
      </w:r>
      <w:r>
        <w:rPr>
          <w:sz w:val="19"/>
        </w:rPr>
        <w:t>No.</w:t>
      </w:r>
      <w:r>
        <w:rPr>
          <w:spacing w:val="40"/>
          <w:sz w:val="19"/>
        </w:rPr>
        <w:t> </w:t>
      </w:r>
      <w:r>
        <w:rPr>
          <w:sz w:val="19"/>
        </w:rPr>
        <w:t>3,</w:t>
      </w:r>
      <w:r>
        <w:rPr>
          <w:spacing w:val="40"/>
          <w:sz w:val="19"/>
        </w:rPr>
        <w:t> </w:t>
      </w:r>
      <w:r>
        <w:rPr>
          <w:sz w:val="19"/>
        </w:rPr>
        <w:t>2025.</w:t>
      </w:r>
    </w:p>
    <w:p>
      <w:pPr>
        <w:pStyle w:val="ListParagraph"/>
        <w:numPr>
          <w:ilvl w:val="0"/>
          <w:numId w:val="13"/>
        </w:numPr>
        <w:tabs>
          <w:tab w:pos="2157" w:val="left" w:leader="none"/>
          <w:tab w:pos="2160" w:val="left" w:leader="none"/>
        </w:tabs>
        <w:spacing w:line="261" w:lineRule="auto" w:before="58" w:after="0"/>
        <w:ind w:left="2160" w:right="1439" w:hanging="406"/>
        <w:jc w:val="both"/>
        <w:rPr>
          <w:sz w:val="19"/>
        </w:rPr>
      </w:pPr>
      <w:r>
        <w:rPr>
          <w:sz w:val="19"/>
        </w:rPr>
        <w:t>Rackin, Phyllis. </w:t>
      </w:r>
      <w:r>
        <w:rPr>
          <w:i/>
          <w:sz w:val="19"/>
        </w:rPr>
        <w:t>Stages of History: Shakespeare’s English Chronicles</w:t>
      </w:r>
      <w:r>
        <w:rPr>
          <w:sz w:val="19"/>
        </w:rPr>
        <w:t>.</w:t>
      </w:r>
      <w:r>
        <w:rPr>
          <w:spacing w:val="40"/>
          <w:sz w:val="19"/>
        </w:rPr>
        <w:t> </w:t>
      </w:r>
      <w:r>
        <w:rPr>
          <w:sz w:val="19"/>
        </w:rPr>
        <w:t>Cornell</w:t>
      </w:r>
      <w:r>
        <w:rPr>
          <w:spacing w:val="40"/>
          <w:sz w:val="19"/>
        </w:rPr>
        <w:t> </w:t>
      </w:r>
      <w:r>
        <w:rPr>
          <w:sz w:val="19"/>
        </w:rPr>
        <w:t>University</w:t>
      </w:r>
      <w:r>
        <w:rPr>
          <w:spacing w:val="40"/>
          <w:sz w:val="19"/>
        </w:rPr>
        <w:t> </w:t>
      </w:r>
      <w:r>
        <w:rPr>
          <w:sz w:val="19"/>
        </w:rPr>
        <w:t>Press,</w:t>
      </w:r>
      <w:r>
        <w:rPr>
          <w:spacing w:val="40"/>
          <w:sz w:val="19"/>
        </w:rPr>
        <w:t> </w:t>
      </w:r>
      <w:r>
        <w:rPr>
          <w:sz w:val="19"/>
        </w:rPr>
        <w:t>1991.</w:t>
      </w:r>
    </w:p>
    <w:p>
      <w:pPr>
        <w:pStyle w:val="ListParagraph"/>
        <w:numPr>
          <w:ilvl w:val="0"/>
          <w:numId w:val="13"/>
        </w:numPr>
        <w:tabs>
          <w:tab w:pos="2157" w:val="left" w:leader="none"/>
          <w:tab w:pos="2160" w:val="left" w:leader="none"/>
        </w:tabs>
        <w:spacing w:line="261" w:lineRule="auto" w:before="57" w:after="0"/>
        <w:ind w:left="2160" w:right="1441" w:hanging="406"/>
        <w:jc w:val="both"/>
        <w:rPr>
          <w:sz w:val="19"/>
        </w:rPr>
      </w:pPr>
      <w:r>
        <w:rPr>
          <w:sz w:val="19"/>
        </w:rPr>
        <w:t>Shahiwala, S. </w:t>
      </w:r>
      <w:r>
        <w:rPr>
          <w:i/>
          <w:sz w:val="19"/>
        </w:rPr>
        <w:t>Power Beyond Sex: A Foucauldian Reading of</w:t>
      </w:r>
      <w:r>
        <w:rPr>
          <w:i/>
          <w:spacing w:val="40"/>
          <w:sz w:val="19"/>
        </w:rPr>
        <w:t> </w:t>
      </w:r>
      <w:r>
        <w:rPr>
          <w:i/>
          <w:sz w:val="19"/>
        </w:rPr>
        <w:t>Lady Macbeth. </w:t>
      </w:r>
      <w:r>
        <w:rPr>
          <w:sz w:val="19"/>
        </w:rPr>
        <w:t>International Journal of English Literature and Social</w:t>
      </w:r>
      <w:r>
        <w:rPr>
          <w:spacing w:val="40"/>
          <w:sz w:val="19"/>
        </w:rPr>
        <w:t> </w:t>
      </w:r>
      <w:r>
        <w:rPr>
          <w:sz w:val="19"/>
        </w:rPr>
        <w:t>Sciences, Vol7.</w:t>
      </w:r>
      <w:r>
        <w:rPr>
          <w:spacing w:val="40"/>
          <w:sz w:val="19"/>
        </w:rPr>
        <w:t> </w:t>
      </w:r>
      <w:r>
        <w:rPr>
          <w:sz w:val="19"/>
        </w:rPr>
        <w:t>Issue.5,</w:t>
      </w:r>
      <w:r>
        <w:rPr>
          <w:spacing w:val="40"/>
          <w:sz w:val="19"/>
        </w:rPr>
        <w:t> </w:t>
      </w:r>
      <w:r>
        <w:rPr>
          <w:sz w:val="19"/>
        </w:rPr>
        <w:t>2022, pp.</w:t>
      </w:r>
      <w:r>
        <w:rPr>
          <w:spacing w:val="40"/>
          <w:sz w:val="19"/>
        </w:rPr>
        <w:t> </w:t>
      </w:r>
      <w:r>
        <w:rPr>
          <w:sz w:val="19"/>
        </w:rPr>
        <w:t>83-87.</w:t>
      </w:r>
    </w:p>
    <w:p>
      <w:pPr>
        <w:pStyle w:val="ListParagraph"/>
        <w:numPr>
          <w:ilvl w:val="0"/>
          <w:numId w:val="13"/>
        </w:numPr>
        <w:tabs>
          <w:tab w:pos="2157" w:val="left" w:leader="none"/>
          <w:tab w:pos="2160" w:val="left" w:leader="none"/>
        </w:tabs>
        <w:spacing w:line="261" w:lineRule="auto" w:before="58" w:after="0"/>
        <w:ind w:left="2160" w:right="1440" w:hanging="406"/>
        <w:jc w:val="both"/>
        <w:rPr>
          <w:sz w:val="19"/>
        </w:rPr>
      </w:pPr>
      <w:r>
        <w:rPr>
          <w:sz w:val="19"/>
        </w:rPr>
        <w:t>Shakespeare, William. </w:t>
      </w:r>
      <w:r>
        <w:rPr>
          <w:i/>
          <w:sz w:val="19"/>
        </w:rPr>
        <w:t>Othello</w:t>
      </w:r>
      <w:r>
        <w:rPr>
          <w:sz w:val="19"/>
        </w:rPr>
        <w:t>. Edited by Michael Neill, Oxford UP, 2006</w:t>
      </w:r>
    </w:p>
    <w:p>
      <w:pPr>
        <w:spacing w:line="261" w:lineRule="auto" w:before="59"/>
        <w:ind w:left="2160" w:right="1437" w:firstLine="0"/>
        <w:jc w:val="left"/>
        <w:rPr>
          <w:sz w:val="19"/>
        </w:rPr>
      </w:pPr>
      <w:r>
        <w:rPr>
          <w:sz w:val="19"/>
        </w:rPr>
        <w:t>—.</w:t>
      </w:r>
      <w:r>
        <w:rPr>
          <w:spacing w:val="31"/>
          <w:sz w:val="19"/>
        </w:rPr>
        <w:t> </w:t>
      </w:r>
      <w:r>
        <w:rPr>
          <w:i/>
          <w:sz w:val="19"/>
        </w:rPr>
        <w:t>Hamlet</w:t>
      </w:r>
      <w:r>
        <w:rPr>
          <w:sz w:val="19"/>
        </w:rPr>
        <w:t>.</w:t>
      </w:r>
      <w:r>
        <w:rPr>
          <w:spacing w:val="32"/>
          <w:sz w:val="19"/>
        </w:rPr>
        <w:t> </w:t>
      </w:r>
      <w:r>
        <w:rPr>
          <w:sz w:val="19"/>
        </w:rPr>
        <w:t>Edited</w:t>
      </w:r>
      <w:r>
        <w:rPr>
          <w:spacing w:val="32"/>
          <w:sz w:val="19"/>
        </w:rPr>
        <w:t> </w:t>
      </w:r>
      <w:r>
        <w:rPr>
          <w:sz w:val="19"/>
        </w:rPr>
        <w:t>by Ann</w:t>
      </w:r>
      <w:r>
        <w:rPr>
          <w:spacing w:val="29"/>
          <w:sz w:val="19"/>
        </w:rPr>
        <w:t> </w:t>
      </w:r>
      <w:r>
        <w:rPr>
          <w:sz w:val="19"/>
        </w:rPr>
        <w:t>Thompson</w:t>
      </w:r>
      <w:r>
        <w:rPr>
          <w:spacing w:val="32"/>
          <w:sz w:val="19"/>
        </w:rPr>
        <w:t> </w:t>
      </w:r>
      <w:r>
        <w:rPr>
          <w:sz w:val="19"/>
        </w:rPr>
        <w:t>and</w:t>
      </w:r>
      <w:r>
        <w:rPr>
          <w:spacing w:val="34"/>
          <w:sz w:val="19"/>
        </w:rPr>
        <w:t> </w:t>
      </w:r>
      <w:r>
        <w:rPr>
          <w:sz w:val="19"/>
        </w:rPr>
        <w:t>Neil</w:t>
      </w:r>
      <w:r>
        <w:rPr>
          <w:spacing w:val="31"/>
          <w:sz w:val="19"/>
        </w:rPr>
        <w:t> </w:t>
      </w:r>
      <w:r>
        <w:rPr>
          <w:sz w:val="19"/>
        </w:rPr>
        <w:t>Taylor,</w:t>
      </w:r>
      <w:r>
        <w:rPr>
          <w:spacing w:val="26"/>
          <w:sz w:val="19"/>
        </w:rPr>
        <w:t> </w:t>
      </w:r>
      <w:r>
        <w:rPr>
          <w:sz w:val="19"/>
        </w:rPr>
        <w:t>Arden Shakespeare,</w:t>
      </w:r>
      <w:r>
        <w:rPr>
          <w:spacing w:val="40"/>
          <w:sz w:val="19"/>
        </w:rPr>
        <w:t> </w:t>
      </w:r>
      <w:r>
        <w:rPr>
          <w:sz w:val="19"/>
        </w:rPr>
        <w:t>2006.</w:t>
      </w:r>
    </w:p>
    <w:p>
      <w:pPr>
        <w:spacing w:line="261" w:lineRule="auto" w:before="57"/>
        <w:ind w:left="2160" w:right="1437" w:firstLine="0"/>
        <w:jc w:val="left"/>
        <w:rPr>
          <w:sz w:val="19"/>
        </w:rPr>
      </w:pPr>
      <w:r>
        <w:rPr>
          <w:sz w:val="19"/>
        </w:rPr>
        <w:t>—. </w:t>
      </w:r>
      <w:r>
        <w:rPr>
          <w:i/>
          <w:sz w:val="19"/>
        </w:rPr>
        <w:t>Macbeth</w:t>
      </w:r>
      <w:r>
        <w:rPr>
          <w:sz w:val="19"/>
        </w:rPr>
        <w:t>. Edited by Sandra Clark and Pamela Mason, Arden Shakespeare,</w:t>
      </w:r>
      <w:r>
        <w:rPr>
          <w:spacing w:val="40"/>
          <w:sz w:val="19"/>
        </w:rPr>
        <w:t> </w:t>
      </w:r>
      <w:r>
        <w:rPr>
          <w:sz w:val="19"/>
        </w:rPr>
        <w:t>2015.</w:t>
      </w:r>
    </w:p>
    <w:p>
      <w:pPr>
        <w:spacing w:line="261" w:lineRule="auto" w:before="58"/>
        <w:ind w:left="2160" w:right="1437" w:firstLine="0"/>
        <w:jc w:val="left"/>
        <w:rPr>
          <w:sz w:val="19"/>
        </w:rPr>
      </w:pPr>
      <w:r>
        <w:rPr>
          <w:sz w:val="19"/>
        </w:rPr>
        <w:t>—.</w:t>
      </w:r>
      <w:r>
        <w:rPr>
          <w:spacing w:val="29"/>
          <w:sz w:val="19"/>
        </w:rPr>
        <w:t> </w:t>
      </w:r>
      <w:r>
        <w:rPr>
          <w:i/>
          <w:sz w:val="19"/>
        </w:rPr>
        <w:t>Othello</w:t>
      </w:r>
      <w:r>
        <w:rPr>
          <w:sz w:val="19"/>
        </w:rPr>
        <w:t>.</w:t>
      </w:r>
      <w:r>
        <w:rPr>
          <w:spacing w:val="28"/>
          <w:sz w:val="19"/>
        </w:rPr>
        <w:t> </w:t>
      </w:r>
      <w:r>
        <w:rPr>
          <w:sz w:val="19"/>
        </w:rPr>
        <w:t>Edited</w:t>
      </w:r>
      <w:r>
        <w:rPr>
          <w:spacing w:val="31"/>
          <w:sz w:val="19"/>
        </w:rPr>
        <w:t> </w:t>
      </w:r>
      <w:r>
        <w:rPr>
          <w:sz w:val="19"/>
        </w:rPr>
        <w:t>by</w:t>
      </w:r>
      <w:r>
        <w:rPr>
          <w:spacing w:val="22"/>
          <w:sz w:val="19"/>
        </w:rPr>
        <w:t> </w:t>
      </w:r>
      <w:r>
        <w:rPr>
          <w:sz w:val="19"/>
        </w:rPr>
        <w:t>Michael</w:t>
      </w:r>
      <w:r>
        <w:rPr>
          <w:spacing w:val="29"/>
          <w:sz w:val="19"/>
        </w:rPr>
        <w:t> </w:t>
      </w:r>
      <w:r>
        <w:rPr>
          <w:sz w:val="19"/>
        </w:rPr>
        <w:t>Neill,</w:t>
      </w:r>
      <w:r>
        <w:rPr>
          <w:spacing w:val="29"/>
          <w:sz w:val="19"/>
        </w:rPr>
        <w:t> </w:t>
      </w:r>
      <w:r>
        <w:rPr>
          <w:sz w:val="19"/>
        </w:rPr>
        <w:t>Oxford</w:t>
      </w:r>
      <w:r>
        <w:rPr>
          <w:spacing w:val="31"/>
          <w:sz w:val="19"/>
        </w:rPr>
        <w:t> </w:t>
      </w:r>
      <w:r>
        <w:rPr>
          <w:sz w:val="19"/>
        </w:rPr>
        <w:t>University</w:t>
      </w:r>
      <w:r>
        <w:rPr>
          <w:spacing w:val="24"/>
          <w:sz w:val="19"/>
        </w:rPr>
        <w:t> </w:t>
      </w:r>
      <w:r>
        <w:rPr>
          <w:sz w:val="19"/>
        </w:rPr>
        <w:t>Press, </w:t>
      </w:r>
      <w:r>
        <w:rPr>
          <w:spacing w:val="-2"/>
          <w:sz w:val="19"/>
        </w:rPr>
        <w:t>2006.</w:t>
      </w:r>
    </w:p>
    <w:p>
      <w:pPr>
        <w:spacing w:line="261" w:lineRule="auto" w:before="57"/>
        <w:ind w:left="2160" w:right="1437" w:firstLine="0"/>
        <w:jc w:val="left"/>
        <w:rPr>
          <w:sz w:val="19"/>
        </w:rPr>
      </w:pPr>
      <w:r>
        <w:rPr>
          <w:sz w:val="19"/>
        </w:rPr>
        <w:t>—.</w:t>
      </w:r>
      <w:r>
        <w:rPr>
          <w:spacing w:val="39"/>
          <w:sz w:val="19"/>
        </w:rPr>
        <w:t> </w:t>
      </w:r>
      <w:r>
        <w:rPr>
          <w:i/>
          <w:sz w:val="19"/>
        </w:rPr>
        <w:t>The</w:t>
      </w:r>
      <w:r>
        <w:rPr>
          <w:i/>
          <w:spacing w:val="37"/>
          <w:sz w:val="19"/>
        </w:rPr>
        <w:t> </w:t>
      </w:r>
      <w:r>
        <w:rPr>
          <w:i/>
          <w:sz w:val="19"/>
        </w:rPr>
        <w:t>Merchant</w:t>
      </w:r>
      <w:r>
        <w:rPr>
          <w:i/>
          <w:spacing w:val="40"/>
          <w:sz w:val="19"/>
        </w:rPr>
        <w:t> </w:t>
      </w:r>
      <w:r>
        <w:rPr>
          <w:i/>
          <w:sz w:val="19"/>
        </w:rPr>
        <w:t>of</w:t>
      </w:r>
      <w:r>
        <w:rPr>
          <w:i/>
          <w:spacing w:val="39"/>
          <w:sz w:val="19"/>
        </w:rPr>
        <w:t> </w:t>
      </w:r>
      <w:r>
        <w:rPr>
          <w:i/>
          <w:sz w:val="19"/>
        </w:rPr>
        <w:t>Venice</w:t>
      </w:r>
      <w:r>
        <w:rPr>
          <w:sz w:val="19"/>
        </w:rPr>
        <w:t>.</w:t>
      </w:r>
      <w:r>
        <w:rPr>
          <w:spacing w:val="40"/>
          <w:sz w:val="19"/>
        </w:rPr>
        <w:t> </w:t>
      </w:r>
      <w:r>
        <w:rPr>
          <w:sz w:val="19"/>
        </w:rPr>
        <w:t>Edited</w:t>
      </w:r>
      <w:r>
        <w:rPr>
          <w:spacing w:val="39"/>
          <w:sz w:val="19"/>
        </w:rPr>
        <w:t> </w:t>
      </w:r>
      <w:r>
        <w:rPr>
          <w:sz w:val="19"/>
        </w:rPr>
        <w:t>by</w:t>
      </w:r>
      <w:r>
        <w:rPr>
          <w:spacing w:val="33"/>
          <w:sz w:val="19"/>
        </w:rPr>
        <w:t> </w:t>
      </w:r>
      <w:r>
        <w:rPr>
          <w:sz w:val="19"/>
        </w:rPr>
        <w:t>John</w:t>
      </w:r>
      <w:r>
        <w:rPr>
          <w:spacing w:val="39"/>
          <w:sz w:val="19"/>
        </w:rPr>
        <w:t> </w:t>
      </w:r>
      <w:r>
        <w:rPr>
          <w:sz w:val="19"/>
        </w:rPr>
        <w:t>Drakakis,</w:t>
      </w:r>
      <w:r>
        <w:rPr>
          <w:spacing w:val="32"/>
          <w:sz w:val="19"/>
        </w:rPr>
        <w:t> </w:t>
      </w:r>
      <w:r>
        <w:rPr>
          <w:sz w:val="19"/>
        </w:rPr>
        <w:t>Arden Shakespeare,</w:t>
      </w:r>
      <w:r>
        <w:rPr>
          <w:spacing w:val="40"/>
          <w:sz w:val="19"/>
        </w:rPr>
        <w:t> </w:t>
      </w:r>
      <w:r>
        <w:rPr>
          <w:sz w:val="19"/>
        </w:rPr>
        <w:t>2010.</w:t>
      </w:r>
    </w:p>
    <w:p>
      <w:pPr>
        <w:pStyle w:val="ListParagraph"/>
        <w:numPr>
          <w:ilvl w:val="0"/>
          <w:numId w:val="13"/>
        </w:numPr>
        <w:tabs>
          <w:tab w:pos="2157" w:val="left" w:leader="none"/>
          <w:tab w:pos="2160" w:val="left" w:leader="none"/>
        </w:tabs>
        <w:spacing w:line="261" w:lineRule="auto" w:before="59" w:after="0"/>
        <w:ind w:left="2160" w:right="1438" w:hanging="406"/>
        <w:jc w:val="both"/>
        <w:rPr>
          <w:sz w:val="19"/>
        </w:rPr>
      </w:pPr>
      <w:r>
        <w:rPr>
          <w:sz w:val="19"/>
        </w:rPr>
        <w:t>Showalter, Elaine. “Toward a Feminist Poetics”. </w:t>
      </w:r>
      <w:r>
        <w:rPr>
          <w:i/>
          <w:sz w:val="19"/>
        </w:rPr>
        <w:t>The New Feminist Criticism: Essays on Women, Literature, and Theory</w:t>
      </w:r>
      <w:r>
        <w:rPr>
          <w:sz w:val="19"/>
        </w:rPr>
        <w:t>, edited</w:t>
      </w:r>
      <w:r>
        <w:rPr>
          <w:spacing w:val="40"/>
          <w:sz w:val="19"/>
        </w:rPr>
        <w:t> </w:t>
      </w:r>
      <w:r>
        <w:rPr>
          <w:sz w:val="19"/>
        </w:rPr>
        <w:t>by</w:t>
      </w:r>
      <w:r>
        <w:rPr>
          <w:spacing w:val="40"/>
          <w:sz w:val="19"/>
        </w:rPr>
        <w:t> </w:t>
      </w:r>
      <w:r>
        <w:rPr>
          <w:sz w:val="19"/>
        </w:rPr>
        <w:t>Elaine</w:t>
      </w:r>
      <w:r>
        <w:rPr>
          <w:spacing w:val="40"/>
          <w:sz w:val="19"/>
        </w:rPr>
        <w:t> </w:t>
      </w:r>
      <w:r>
        <w:rPr>
          <w:sz w:val="19"/>
        </w:rPr>
        <w:t>Showalter,</w:t>
      </w:r>
      <w:r>
        <w:rPr>
          <w:spacing w:val="40"/>
          <w:sz w:val="19"/>
        </w:rPr>
        <w:t> </w:t>
      </w:r>
      <w:r>
        <w:rPr>
          <w:sz w:val="19"/>
        </w:rPr>
        <w:t>Pantheon</w:t>
      </w:r>
      <w:r>
        <w:rPr>
          <w:spacing w:val="40"/>
          <w:sz w:val="19"/>
        </w:rPr>
        <w:t> </w:t>
      </w:r>
      <w:r>
        <w:rPr>
          <w:sz w:val="19"/>
        </w:rPr>
        <w:t>Books,</w:t>
      </w:r>
      <w:r>
        <w:rPr>
          <w:spacing w:val="40"/>
          <w:sz w:val="19"/>
        </w:rPr>
        <w:t> </w:t>
      </w:r>
      <w:r>
        <w:rPr>
          <w:sz w:val="19"/>
        </w:rPr>
        <w:t>1985.</w:t>
      </w:r>
    </w:p>
    <w:p>
      <w:pPr>
        <w:pStyle w:val="ListParagraph"/>
        <w:numPr>
          <w:ilvl w:val="0"/>
          <w:numId w:val="13"/>
        </w:numPr>
        <w:tabs>
          <w:tab w:pos="2157" w:val="left" w:leader="none"/>
          <w:tab w:pos="2160" w:val="left" w:leader="none"/>
        </w:tabs>
        <w:spacing w:line="264" w:lineRule="auto" w:before="56" w:after="0"/>
        <w:ind w:left="2160" w:right="1441" w:hanging="406"/>
        <w:jc w:val="both"/>
        <w:rPr>
          <w:sz w:val="19"/>
        </w:rPr>
      </w:pPr>
      <w:r>
        <w:rPr>
          <w:sz w:val="19"/>
        </w:rPr>
        <w:t>Stone, Lawrence. </w:t>
      </w:r>
      <w:r>
        <w:rPr>
          <w:i/>
          <w:sz w:val="19"/>
        </w:rPr>
        <w:t>The Family, Sex and Marriage in England 1500-1800</w:t>
      </w:r>
      <w:r>
        <w:rPr>
          <w:sz w:val="19"/>
        </w:rPr>
        <w:t>.</w:t>
      </w:r>
      <w:r>
        <w:rPr>
          <w:spacing w:val="40"/>
          <w:sz w:val="19"/>
        </w:rPr>
        <w:t> </w:t>
      </w:r>
      <w:r>
        <w:rPr>
          <w:sz w:val="19"/>
        </w:rPr>
        <w:t>Penguin,</w:t>
      </w:r>
      <w:r>
        <w:rPr>
          <w:spacing w:val="40"/>
          <w:sz w:val="19"/>
        </w:rPr>
        <w:t> </w:t>
      </w:r>
      <w:r>
        <w:rPr>
          <w:sz w:val="19"/>
        </w:rPr>
        <w:t>1977.</w:t>
      </w:r>
    </w:p>
    <w:p>
      <w:pPr>
        <w:pStyle w:val="ListParagraph"/>
        <w:spacing w:after="0" w:line="264"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09856">
                <wp:simplePos x="0" y="0"/>
                <wp:positionH relativeFrom="page">
                  <wp:posOffset>2057400</wp:posOffset>
                </wp:positionH>
                <wp:positionV relativeFrom="page">
                  <wp:posOffset>1788723</wp:posOffset>
                </wp:positionV>
                <wp:extent cx="3656965" cy="140335"/>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52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506624" type="#_x0000_t202" id="docshape213"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52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29"/>
        <w:ind w:left="0"/>
      </w:pPr>
    </w:p>
    <w:p>
      <w:pPr>
        <w:spacing w:line="240" w:lineRule="auto"/>
        <w:ind w:left="1128" w:right="0" w:firstLine="0"/>
        <w:rPr>
          <w:sz w:val="20"/>
        </w:rPr>
      </w:pPr>
      <w:r>
        <w:rPr>
          <w:sz w:val="20"/>
        </w:rPr>
        <mc:AlternateContent>
          <mc:Choice Requires="wps">
            <w:drawing>
              <wp:inline distT="0" distB="0" distL="0" distR="0">
                <wp:extent cx="4044950" cy="699770"/>
                <wp:effectExtent l="0" t="0" r="0" b="0"/>
                <wp:docPr id="218" name="Group 218"/>
                <wp:cNvGraphicFramePr>
                  <a:graphicFrameLocks/>
                </wp:cNvGraphicFramePr>
                <a:graphic>
                  <a:graphicData uri="http://schemas.microsoft.com/office/word/2010/wordprocessingGroup">
                    <wpg:wgp>
                      <wpg:cNvPr id="218" name="Group 218"/>
                      <wpg:cNvGrpSpPr/>
                      <wpg:grpSpPr>
                        <a:xfrm>
                          <a:off x="0" y="0"/>
                          <a:ext cx="4044950" cy="699770"/>
                          <a:chExt cx="4044950" cy="699770"/>
                        </a:xfrm>
                      </wpg:grpSpPr>
                      <wps:wsp>
                        <wps:cNvPr id="219" name="Graphic 219"/>
                        <wps:cNvSpPr/>
                        <wps:spPr>
                          <a:xfrm>
                            <a:off x="0" y="0"/>
                            <a:ext cx="4044950" cy="699770"/>
                          </a:xfrm>
                          <a:custGeom>
                            <a:avLst/>
                            <a:gdLst/>
                            <a:ahLst/>
                            <a:cxnLst/>
                            <a:rect l="l" t="t" r="r" b="b"/>
                            <a:pathLst>
                              <a:path w="4044950" h="699770">
                                <a:moveTo>
                                  <a:pt x="4044696" y="699516"/>
                                </a:moveTo>
                                <a:lnTo>
                                  <a:pt x="0" y="699516"/>
                                </a:lnTo>
                                <a:lnTo>
                                  <a:pt x="0" y="0"/>
                                </a:lnTo>
                                <a:lnTo>
                                  <a:pt x="4044696" y="0"/>
                                </a:lnTo>
                                <a:lnTo>
                                  <a:pt x="4044696"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214" coordorigin="0,0" coordsize="6370,1102">
                <v:rect style="position:absolute;left:0;top:0;width:6370;height:1102" id="docshape215"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45696">
                <wp:simplePos x="0" y="0"/>
                <wp:positionH relativeFrom="page">
                  <wp:posOffset>3528060</wp:posOffset>
                </wp:positionH>
                <wp:positionV relativeFrom="paragraph">
                  <wp:posOffset>272922</wp:posOffset>
                </wp:positionV>
                <wp:extent cx="728980" cy="655320"/>
                <wp:effectExtent l="0" t="0" r="0" b="0"/>
                <wp:wrapTopAndBottom/>
                <wp:docPr id="220" name="Group 220"/>
                <wp:cNvGraphicFramePr>
                  <a:graphicFrameLocks/>
                </wp:cNvGraphicFramePr>
                <a:graphic>
                  <a:graphicData uri="http://schemas.microsoft.com/office/word/2010/wordprocessingGroup">
                    <wpg:wgp>
                      <wpg:cNvPr id="220" name="Group 220"/>
                      <wpg:cNvGrpSpPr/>
                      <wpg:grpSpPr>
                        <a:xfrm>
                          <a:off x="0" y="0"/>
                          <a:ext cx="728980" cy="655320"/>
                          <a:chExt cx="728980" cy="655320"/>
                        </a:xfrm>
                      </wpg:grpSpPr>
                      <pic:pic>
                        <pic:nvPicPr>
                          <pic:cNvPr id="221" name="Image 221"/>
                          <pic:cNvPicPr/>
                        </pic:nvPicPr>
                        <pic:blipFill>
                          <a:blip r:embed="rId83" cstate="print"/>
                          <a:stretch>
                            <a:fillRect/>
                          </a:stretch>
                        </pic:blipFill>
                        <pic:spPr>
                          <a:xfrm>
                            <a:off x="0" y="0"/>
                            <a:ext cx="728471" cy="655320"/>
                          </a:xfrm>
                          <a:prstGeom prst="rect">
                            <a:avLst/>
                          </a:prstGeom>
                        </pic:spPr>
                      </pic:pic>
                      <wps:wsp>
                        <wps:cNvPr id="222" name="Textbox 222"/>
                        <wps:cNvSpPr txBox="1"/>
                        <wps:spPr>
                          <a:xfrm>
                            <a:off x="0" y="0"/>
                            <a:ext cx="728980" cy="655320"/>
                          </a:xfrm>
                          <a:prstGeom prst="rect">
                            <a:avLst/>
                          </a:prstGeom>
                        </wps:spPr>
                        <wps:txbx>
                          <w:txbxContent>
                            <w:p>
                              <w:pPr>
                                <w:spacing w:before="357"/>
                                <w:ind w:left="53" w:right="60" w:firstLine="0"/>
                                <w:jc w:val="center"/>
                                <w:rPr>
                                  <w:rFonts w:ascii="Tahoma"/>
                                  <w:b/>
                                  <w:sz w:val="36"/>
                                </w:rPr>
                              </w:pPr>
                              <w:r>
                                <w:rPr>
                                  <w:rFonts w:ascii="Tahoma"/>
                                  <w:b/>
                                  <w:spacing w:val="-10"/>
                                  <w:w w:val="95"/>
                                  <w:sz w:val="36"/>
                                </w:rPr>
                                <w:t>5</w:t>
                              </w:r>
                            </w:p>
                          </w:txbxContent>
                        </wps:txbx>
                        <wps:bodyPr wrap="square" lIns="0" tIns="0" rIns="0" bIns="0" rtlCol="0">
                          <a:noAutofit/>
                        </wps:bodyPr>
                      </wps:wsp>
                    </wpg:wgp>
                  </a:graphicData>
                </a:graphic>
              </wp:anchor>
            </w:drawing>
          </mc:Choice>
          <mc:Fallback>
            <w:pict>
              <v:group style="position:absolute;margin-left:277.800018pt;margin-top:21.489992pt;width:57.4pt;height:51.6pt;mso-position-horizontal-relative:page;mso-position-vertical-relative:paragraph;z-index:-15670784;mso-wrap-distance-left:0;mso-wrap-distance-right:0" id="docshapegroup216" coordorigin="5556,430" coordsize="1148,1032">
                <v:shape style="position:absolute;left:5556;top:429;width:1148;height:1032" type="#_x0000_t75" id="docshape217" stroked="false">
                  <v:imagedata r:id="rId83" o:title=""/>
                </v:shape>
                <v:shape style="position:absolute;left:5556;top:429;width:1148;height:1032" type="#_x0000_t202" id="docshape218" filled="false" stroked="false">
                  <v:textbox inset="0,0,0,0">
                    <w:txbxContent>
                      <w:p>
                        <w:pPr>
                          <w:spacing w:before="357"/>
                          <w:ind w:left="53" w:right="60" w:firstLine="0"/>
                          <w:jc w:val="center"/>
                          <w:rPr>
                            <w:rFonts w:ascii="Tahoma"/>
                            <w:b/>
                            <w:sz w:val="36"/>
                          </w:rPr>
                        </w:pPr>
                        <w:r>
                          <w:rPr>
                            <w:rFonts w:ascii="Tahoma"/>
                            <w:b/>
                            <w:spacing w:val="-10"/>
                            <w:w w:val="95"/>
                            <w:sz w:val="36"/>
                          </w:rPr>
                          <w:t>5</w:t>
                        </w:r>
                      </w:p>
                    </w:txbxContent>
                  </v:textbox>
                  <w10:wrap type="none"/>
                </v:shape>
                <w10:wrap type="topAndBottom"/>
              </v:group>
            </w:pict>
          </mc:Fallback>
        </mc:AlternateContent>
      </w:r>
    </w:p>
    <w:p>
      <w:pPr>
        <w:pStyle w:val="Heading1"/>
        <w:spacing w:line="336" w:lineRule="exact"/>
        <w:ind w:right="8"/>
      </w:pPr>
      <w:r>
        <w:rPr>
          <w:spacing w:val="-4"/>
        </w:rPr>
        <w:t>The</w:t>
      </w:r>
      <w:r>
        <w:rPr>
          <w:spacing w:val="-10"/>
        </w:rPr>
        <w:t> </w:t>
      </w:r>
      <w:r>
        <w:rPr>
          <w:spacing w:val="-4"/>
        </w:rPr>
        <w:t>‘Loyal’</w:t>
      </w:r>
      <w:r>
        <w:rPr>
          <w:spacing w:val="-9"/>
        </w:rPr>
        <w:t> </w:t>
      </w:r>
      <w:r>
        <w:rPr>
          <w:spacing w:val="-4"/>
        </w:rPr>
        <w:t>Elizabethan</w:t>
      </w:r>
      <w:r>
        <w:rPr>
          <w:spacing w:val="-9"/>
        </w:rPr>
        <w:t> </w:t>
      </w:r>
      <w:r>
        <w:rPr>
          <w:spacing w:val="-4"/>
        </w:rPr>
        <w:t>Women</w:t>
      </w:r>
      <w:r>
        <w:rPr>
          <w:spacing w:val="-10"/>
        </w:rPr>
        <w:t> </w:t>
      </w:r>
      <w:r>
        <w:rPr>
          <w:spacing w:val="-5"/>
        </w:rPr>
        <w:t>in</w:t>
      </w:r>
    </w:p>
    <w:p>
      <w:pPr>
        <w:tabs>
          <w:tab w:pos="443" w:val="left" w:leader="none"/>
          <w:tab w:pos="5759" w:val="left" w:leader="none"/>
        </w:tabs>
        <w:spacing w:line="364" w:lineRule="exact" w:before="0"/>
        <w:ind w:left="0" w:right="0" w:firstLine="0"/>
        <w:jc w:val="center"/>
        <w:rPr>
          <w:rFonts w:ascii="Tahoma" w:hAnsi="Tahoma"/>
          <w:b/>
          <w:sz w:val="32"/>
        </w:rPr>
      </w:pPr>
      <w:r>
        <w:rPr>
          <w:rFonts w:ascii="Tahoma" w:hAnsi="Tahoma"/>
          <w:b/>
          <w:sz w:val="32"/>
          <w:u w:val="single"/>
        </w:rPr>
        <w:tab/>
      </w:r>
      <w:r>
        <w:rPr>
          <w:rFonts w:ascii="Tahoma" w:hAnsi="Tahoma"/>
          <w:b/>
          <w:spacing w:val="-6"/>
          <w:sz w:val="32"/>
          <w:u w:val="single"/>
        </w:rPr>
        <w:t>Shakespeare’s</w:t>
      </w:r>
      <w:r>
        <w:rPr>
          <w:rFonts w:ascii="Tahoma" w:hAnsi="Tahoma"/>
          <w:b/>
          <w:spacing w:val="-4"/>
          <w:sz w:val="32"/>
          <w:u w:val="single"/>
        </w:rPr>
        <w:t> </w:t>
      </w:r>
      <w:r>
        <w:rPr>
          <w:rFonts w:ascii="Tahoma" w:hAnsi="Tahoma"/>
          <w:b/>
          <w:spacing w:val="-6"/>
          <w:sz w:val="32"/>
          <w:u w:val="single"/>
        </w:rPr>
        <w:t>Select</w:t>
      </w:r>
      <w:r>
        <w:rPr>
          <w:rFonts w:ascii="Tahoma" w:hAnsi="Tahoma"/>
          <w:b/>
          <w:spacing w:val="-9"/>
          <w:sz w:val="32"/>
          <w:u w:val="single"/>
        </w:rPr>
        <w:t> </w:t>
      </w:r>
      <w:r>
        <w:rPr>
          <w:rFonts w:ascii="Tahoma" w:hAnsi="Tahoma"/>
          <w:b/>
          <w:spacing w:val="-6"/>
          <w:sz w:val="32"/>
          <w:u w:val="single"/>
        </w:rPr>
        <w:t>Tragedies</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646208">
                <wp:simplePos x="0" y="0"/>
                <wp:positionH relativeFrom="page">
                  <wp:posOffset>2057400</wp:posOffset>
                </wp:positionH>
                <wp:positionV relativeFrom="paragraph">
                  <wp:posOffset>60138</wp:posOffset>
                </wp:positionV>
                <wp:extent cx="3657600" cy="7620"/>
                <wp:effectExtent l="0" t="0" r="0" b="0"/>
                <wp:wrapTopAndBottom/>
                <wp:docPr id="223" name="Graphic 223"/>
                <wp:cNvGraphicFramePr>
                  <a:graphicFrameLocks/>
                </wp:cNvGraphicFramePr>
                <a:graphic>
                  <a:graphicData uri="http://schemas.microsoft.com/office/word/2010/wordprocessingShape">
                    <wps:wsp>
                      <wps:cNvPr id="223" name="Graphic 223"/>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35299pt;width:288.000009pt;height:.600014pt;mso-position-horizontal-relative:page;mso-position-vertical-relative:paragraph;z-index:-15670272;mso-wrap-distance-left:0;mso-wrap-distance-right:0" id="docshape219" filled="true" fillcolor="#000000" stroked="false">
                <v:fill type="solid"/>
                <w10:wrap type="topAndBottom"/>
              </v:rect>
            </w:pict>
          </mc:Fallback>
        </mc:AlternateContent>
      </w:r>
    </w:p>
    <w:p>
      <w:pPr>
        <w:pStyle w:val="BodyText"/>
        <w:spacing w:before="13"/>
        <w:ind w:left="0"/>
        <w:rPr>
          <w:rFonts w:ascii="Tahoma"/>
          <w:b/>
          <w:sz w:val="32"/>
        </w:rPr>
      </w:pPr>
    </w:p>
    <w:p>
      <w:pPr>
        <w:pStyle w:val="Heading5"/>
        <w:ind w:left="0" w:right="1441"/>
        <w:jc w:val="right"/>
        <w:rPr>
          <w:rFonts w:ascii="Times New Roman"/>
        </w:rPr>
      </w:pPr>
      <w:r>
        <w:rPr>
          <w:rFonts w:ascii="Times New Roman"/>
        </w:rPr>
        <w:t>Dr.</w:t>
      </w:r>
      <w:r>
        <w:rPr>
          <w:rFonts w:ascii="Times New Roman"/>
          <w:spacing w:val="49"/>
        </w:rPr>
        <w:t> </w:t>
      </w:r>
      <w:r>
        <w:rPr>
          <w:rFonts w:ascii="Times New Roman"/>
        </w:rPr>
        <w:t>Prerana</w:t>
      </w:r>
      <w:r>
        <w:rPr>
          <w:rFonts w:ascii="Times New Roman"/>
          <w:spacing w:val="50"/>
        </w:rPr>
        <w:t> </w:t>
      </w:r>
      <w:r>
        <w:rPr>
          <w:rFonts w:ascii="Times New Roman"/>
          <w:spacing w:val="-2"/>
        </w:rPr>
        <w:t>Sinha</w:t>
      </w:r>
    </w:p>
    <w:p>
      <w:pPr>
        <w:spacing w:before="15"/>
        <w:ind w:left="0" w:right="1439" w:firstLine="0"/>
        <w:jc w:val="right"/>
        <w:rPr>
          <w:i/>
          <w:sz w:val="19"/>
        </w:rPr>
      </w:pPr>
      <w:r>
        <w:rPr>
          <w:i/>
          <w:sz w:val="19"/>
        </w:rPr>
        <w:t>Associate</w:t>
      </w:r>
      <w:r>
        <w:rPr>
          <w:i/>
          <w:spacing w:val="55"/>
          <w:sz w:val="19"/>
        </w:rPr>
        <w:t> </w:t>
      </w:r>
      <w:r>
        <w:rPr>
          <w:i/>
          <w:sz w:val="19"/>
        </w:rPr>
        <w:t>Professor,</w:t>
      </w:r>
      <w:r>
        <w:rPr>
          <w:i/>
          <w:spacing w:val="55"/>
          <w:sz w:val="19"/>
        </w:rPr>
        <w:t> </w:t>
      </w:r>
      <w:r>
        <w:rPr>
          <w:i/>
          <w:sz w:val="19"/>
        </w:rPr>
        <w:t>Department</w:t>
      </w:r>
      <w:r>
        <w:rPr>
          <w:i/>
          <w:spacing w:val="53"/>
          <w:sz w:val="19"/>
        </w:rPr>
        <w:t> </w:t>
      </w:r>
      <w:r>
        <w:rPr>
          <w:i/>
          <w:sz w:val="19"/>
        </w:rPr>
        <w:t>of</w:t>
      </w:r>
      <w:r>
        <w:rPr>
          <w:i/>
          <w:spacing w:val="55"/>
          <w:sz w:val="19"/>
        </w:rPr>
        <w:t> </w:t>
      </w:r>
      <w:r>
        <w:rPr>
          <w:i/>
          <w:spacing w:val="-2"/>
          <w:sz w:val="19"/>
        </w:rPr>
        <w:t>English,</w:t>
      </w:r>
    </w:p>
    <w:p>
      <w:pPr>
        <w:spacing w:before="9"/>
        <w:ind w:left="5520" w:right="0" w:firstLine="0"/>
        <w:jc w:val="left"/>
        <w:rPr>
          <w:i/>
          <w:sz w:val="19"/>
        </w:rPr>
      </w:pPr>
      <w:r>
        <w:rPr>
          <w:i/>
          <w:sz w:val="19"/>
        </w:rPr>
        <w:t>ARSD</w:t>
      </w:r>
      <w:r>
        <w:rPr>
          <w:i/>
          <w:spacing w:val="47"/>
          <w:sz w:val="19"/>
        </w:rPr>
        <w:t> </w:t>
      </w:r>
      <w:r>
        <w:rPr>
          <w:i/>
          <w:sz w:val="19"/>
        </w:rPr>
        <w:t>College,</w:t>
      </w:r>
      <w:r>
        <w:rPr>
          <w:i/>
          <w:spacing w:val="49"/>
          <w:sz w:val="19"/>
        </w:rPr>
        <w:t> </w:t>
      </w:r>
      <w:r>
        <w:rPr>
          <w:i/>
          <w:spacing w:val="-4"/>
          <w:sz w:val="19"/>
        </w:rPr>
        <w:t>D.U.</w:t>
      </w:r>
    </w:p>
    <w:p>
      <w:pPr>
        <w:pStyle w:val="BodyText"/>
        <w:spacing w:before="161"/>
        <w:ind w:left="0"/>
        <w:rPr>
          <w:i/>
          <w:sz w:val="19"/>
        </w:rPr>
      </w:pPr>
    </w:p>
    <w:p>
      <w:pPr>
        <w:pStyle w:val="Heading3"/>
        <w:spacing w:before="0"/>
      </w:pPr>
      <w:r>
        <w:rPr>
          <w:spacing w:val="-2"/>
        </w:rPr>
        <w:t>ABSTRACT:</w:t>
      </w:r>
    </w:p>
    <w:p>
      <w:pPr>
        <w:pStyle w:val="BodyText"/>
        <w:spacing w:line="259" w:lineRule="auto" w:before="80"/>
        <w:ind w:right="1437" w:firstLine="432"/>
        <w:jc w:val="both"/>
      </w:pPr>
      <w:r>
        <w:rPr/>
        <w:t>The</w:t>
      </w:r>
      <w:r>
        <w:rPr>
          <w:spacing w:val="-10"/>
        </w:rPr>
        <w:t> </w:t>
      </w:r>
      <w:r>
        <w:rPr/>
        <w:t>women</w:t>
      </w:r>
      <w:r>
        <w:rPr>
          <w:spacing w:val="-13"/>
        </w:rPr>
        <w:t> </w:t>
      </w:r>
      <w:r>
        <w:rPr/>
        <w:t>that</w:t>
      </w:r>
      <w:r>
        <w:rPr>
          <w:spacing w:val="-9"/>
        </w:rPr>
        <w:t> </w:t>
      </w:r>
      <w:r>
        <w:rPr/>
        <w:t>Shakespeare</w:t>
      </w:r>
      <w:r>
        <w:rPr>
          <w:spacing w:val="-12"/>
        </w:rPr>
        <w:t> </w:t>
      </w:r>
      <w:r>
        <w:rPr/>
        <w:t>created</w:t>
      </w:r>
      <w:r>
        <w:rPr>
          <w:spacing w:val="-8"/>
        </w:rPr>
        <w:t> </w:t>
      </w:r>
      <w:r>
        <w:rPr/>
        <w:t>in</w:t>
      </w:r>
      <w:r>
        <w:rPr>
          <w:spacing w:val="-13"/>
        </w:rPr>
        <w:t> </w:t>
      </w:r>
      <w:r>
        <w:rPr/>
        <w:t>his</w:t>
      </w:r>
      <w:r>
        <w:rPr>
          <w:spacing w:val="-9"/>
        </w:rPr>
        <w:t> </w:t>
      </w:r>
      <w:r>
        <w:rPr/>
        <w:t>tragedies</w:t>
      </w:r>
      <w:r>
        <w:rPr>
          <w:spacing w:val="-12"/>
        </w:rPr>
        <w:t> </w:t>
      </w:r>
      <w:r>
        <w:rPr/>
        <w:t>and</w:t>
      </w:r>
      <w:r>
        <w:rPr>
          <w:spacing w:val="-8"/>
        </w:rPr>
        <w:t> </w:t>
      </w:r>
      <w:r>
        <w:rPr/>
        <w:t>comedies were</w:t>
      </w:r>
      <w:r>
        <w:rPr>
          <w:spacing w:val="-1"/>
        </w:rPr>
        <w:t> </w:t>
      </w:r>
      <w:r>
        <w:rPr/>
        <w:t>nevertheless</w:t>
      </w:r>
      <w:r>
        <w:rPr>
          <w:spacing w:val="-2"/>
        </w:rPr>
        <w:t> </w:t>
      </w:r>
      <w:r>
        <w:rPr/>
        <w:t>remarkable</w:t>
      </w:r>
      <w:r>
        <w:rPr>
          <w:spacing w:val="-3"/>
        </w:rPr>
        <w:t> </w:t>
      </w:r>
      <w:r>
        <w:rPr/>
        <w:t>and</w:t>
      </w:r>
      <w:r>
        <w:rPr>
          <w:spacing w:val="-2"/>
        </w:rPr>
        <w:t> </w:t>
      </w:r>
      <w:r>
        <w:rPr/>
        <w:t>memorable;</w:t>
      </w:r>
      <w:r>
        <w:rPr>
          <w:spacing w:val="-2"/>
        </w:rPr>
        <w:t> </w:t>
      </w:r>
      <w:r>
        <w:rPr/>
        <w:t>and the</w:t>
      </w:r>
      <w:r>
        <w:rPr>
          <w:spacing w:val="-4"/>
        </w:rPr>
        <w:t> </w:t>
      </w:r>
      <w:r>
        <w:rPr/>
        <w:t>question</w:t>
      </w:r>
      <w:r>
        <w:rPr>
          <w:spacing w:val="-4"/>
        </w:rPr>
        <w:t> </w:t>
      </w:r>
      <w:r>
        <w:rPr/>
        <w:t>that</w:t>
      </w:r>
      <w:r>
        <w:rPr>
          <w:spacing w:val="-2"/>
        </w:rPr>
        <w:t> </w:t>
      </w:r>
      <w:r>
        <w:rPr/>
        <w:t>my paper is to undertake is regarding their role as loyal wives /beloveds completing the picture of ideal Elizabethan women and the status of such women in the present ‘Me Too’ scenario.</w:t>
      </w:r>
      <w:r>
        <w:rPr>
          <w:spacing w:val="80"/>
        </w:rPr>
        <w:t> </w:t>
      </w:r>
      <w:r>
        <w:rPr/>
        <w:t>I am taking up </w:t>
      </w:r>
      <w:r>
        <w:rPr>
          <w:spacing w:val="-2"/>
        </w:rPr>
        <w:t>Desdemona,</w:t>
      </w:r>
      <w:r>
        <w:rPr>
          <w:spacing w:val="-11"/>
        </w:rPr>
        <w:t> </w:t>
      </w:r>
      <w:r>
        <w:rPr>
          <w:spacing w:val="-2"/>
        </w:rPr>
        <w:t>in</w:t>
      </w:r>
      <w:r>
        <w:rPr>
          <w:spacing w:val="-10"/>
        </w:rPr>
        <w:t> </w:t>
      </w:r>
      <w:r>
        <w:rPr>
          <w:i/>
          <w:spacing w:val="-2"/>
        </w:rPr>
        <w:t>Othello,</w:t>
      </w:r>
      <w:r>
        <w:rPr>
          <w:i/>
          <w:spacing w:val="-10"/>
        </w:rPr>
        <w:t> </w:t>
      </w:r>
      <w:r>
        <w:rPr>
          <w:spacing w:val="-2"/>
        </w:rPr>
        <w:t>Ophelia</w:t>
      </w:r>
      <w:r>
        <w:rPr>
          <w:spacing w:val="-10"/>
        </w:rPr>
        <w:t> </w:t>
      </w:r>
      <w:r>
        <w:rPr>
          <w:spacing w:val="-2"/>
        </w:rPr>
        <w:t>in</w:t>
      </w:r>
      <w:r>
        <w:rPr>
          <w:spacing w:val="-9"/>
        </w:rPr>
        <w:t> </w:t>
      </w:r>
      <w:r>
        <w:rPr>
          <w:i/>
          <w:spacing w:val="-2"/>
        </w:rPr>
        <w:t>Hamlet</w:t>
      </w:r>
      <w:r>
        <w:rPr>
          <w:i/>
          <w:spacing w:val="-9"/>
        </w:rPr>
        <w:t> </w:t>
      </w:r>
      <w:r>
        <w:rPr>
          <w:spacing w:val="-2"/>
        </w:rPr>
        <w:t>and</w:t>
      </w:r>
      <w:r>
        <w:rPr>
          <w:spacing w:val="-7"/>
        </w:rPr>
        <w:t> </w:t>
      </w:r>
      <w:r>
        <w:rPr>
          <w:spacing w:val="-2"/>
        </w:rPr>
        <w:t>Lady</w:t>
      </w:r>
      <w:r>
        <w:rPr>
          <w:spacing w:val="-11"/>
        </w:rPr>
        <w:t> </w:t>
      </w:r>
      <w:r>
        <w:rPr>
          <w:spacing w:val="-2"/>
        </w:rPr>
        <w:t>Macbeth</w:t>
      </w:r>
      <w:r>
        <w:rPr>
          <w:spacing w:val="-10"/>
        </w:rPr>
        <w:t> </w:t>
      </w:r>
      <w:r>
        <w:rPr>
          <w:spacing w:val="-2"/>
        </w:rPr>
        <w:t>in</w:t>
      </w:r>
      <w:r>
        <w:rPr>
          <w:spacing w:val="-8"/>
        </w:rPr>
        <w:t> </w:t>
      </w:r>
      <w:r>
        <w:rPr>
          <w:i/>
          <w:spacing w:val="-2"/>
        </w:rPr>
        <w:t>Macbeth </w:t>
      </w:r>
      <w:r>
        <w:rPr/>
        <w:t>to interrogate their victimization despite their avowed subjugation to </w:t>
      </w:r>
      <w:r>
        <w:rPr>
          <w:spacing w:val="-4"/>
        </w:rPr>
        <w:t>male counterparts.</w:t>
      </w:r>
      <w:r>
        <w:rPr>
          <w:spacing w:val="-6"/>
        </w:rPr>
        <w:t> </w:t>
      </w:r>
      <w:r>
        <w:rPr>
          <w:spacing w:val="-4"/>
        </w:rPr>
        <w:t>To</w:t>
      </w:r>
      <w:r>
        <w:rPr>
          <w:spacing w:val="-6"/>
        </w:rPr>
        <w:t> </w:t>
      </w:r>
      <w:r>
        <w:rPr>
          <w:spacing w:val="-4"/>
        </w:rPr>
        <w:t>complete my argument, I would also take Cleopatra, </w:t>
      </w:r>
      <w:r>
        <w:rPr/>
        <w:t>a contrast to Elizabethan submissive, dutiful woman in </w:t>
      </w:r>
      <w:r>
        <w:rPr>
          <w:i/>
        </w:rPr>
        <w:t>Antony </w:t>
      </w:r>
      <w:r>
        <w:rPr/>
        <w:t>and </w:t>
      </w:r>
      <w:r>
        <w:rPr>
          <w:i/>
        </w:rPr>
        <w:t>Cleopatra</w:t>
      </w:r>
      <w:r>
        <w:rPr/>
        <w:t>,</w:t>
      </w:r>
      <w:r>
        <w:rPr>
          <w:spacing w:val="-3"/>
        </w:rPr>
        <w:t> </w:t>
      </w:r>
      <w:r>
        <w:rPr/>
        <w:t>rather</w:t>
      </w:r>
      <w:r>
        <w:rPr>
          <w:spacing w:val="-5"/>
        </w:rPr>
        <w:t> </w:t>
      </w:r>
      <w:r>
        <w:rPr/>
        <w:t>an</w:t>
      </w:r>
      <w:r>
        <w:rPr>
          <w:spacing w:val="-5"/>
        </w:rPr>
        <w:t> </w:t>
      </w:r>
      <w:r>
        <w:rPr/>
        <w:t>unfeminine</w:t>
      </w:r>
      <w:r>
        <w:rPr>
          <w:spacing w:val="-5"/>
        </w:rPr>
        <w:t> </w:t>
      </w:r>
      <w:r>
        <w:rPr/>
        <w:t>woman</w:t>
      </w:r>
      <w:r>
        <w:rPr>
          <w:spacing w:val="-5"/>
        </w:rPr>
        <w:t> </w:t>
      </w:r>
      <w:r>
        <w:rPr/>
        <w:t>who</w:t>
      </w:r>
      <w:r>
        <w:rPr>
          <w:spacing w:val="-3"/>
        </w:rPr>
        <w:t> </w:t>
      </w:r>
      <w:r>
        <w:rPr/>
        <w:t>stands</w:t>
      </w:r>
      <w:r>
        <w:rPr>
          <w:spacing w:val="-6"/>
        </w:rPr>
        <w:t> </w:t>
      </w:r>
      <w:r>
        <w:rPr/>
        <w:t>taller</w:t>
      </w:r>
      <w:r>
        <w:rPr>
          <w:spacing w:val="-1"/>
        </w:rPr>
        <w:t> </w:t>
      </w:r>
      <w:r>
        <w:rPr/>
        <w:t>than</w:t>
      </w:r>
      <w:r>
        <w:rPr>
          <w:spacing w:val="-6"/>
        </w:rPr>
        <w:t> </w:t>
      </w:r>
      <w:r>
        <w:rPr/>
        <w:t>the</w:t>
      </w:r>
      <w:r>
        <w:rPr>
          <w:spacing w:val="-2"/>
        </w:rPr>
        <w:t> </w:t>
      </w:r>
      <w:r>
        <w:rPr/>
        <w:t>three women mentioned, for she is not from England but Egypt. The basic premise of my paper is to assess these Elizabethan women conforming to the patriarchal and Elizabethan mores who despite emerging loyal to their husband/lover, receive death or are declared ‘mad’ or become a victim of ‘sleepwalking’. Like Hamlet, who tells Ophelia ‘get thee to a nunnery’</w:t>
      </w:r>
      <w:r>
        <w:rPr>
          <w:spacing w:val="-13"/>
        </w:rPr>
        <w:t> </w:t>
      </w:r>
      <w:r>
        <w:rPr/>
        <w:t>in</w:t>
      </w:r>
      <w:r>
        <w:rPr>
          <w:spacing w:val="-12"/>
        </w:rPr>
        <w:t> </w:t>
      </w:r>
      <w:r>
        <w:rPr/>
        <w:t>order</w:t>
      </w:r>
      <w:r>
        <w:rPr>
          <w:spacing w:val="-10"/>
        </w:rPr>
        <w:t> </w:t>
      </w:r>
      <w:r>
        <w:rPr/>
        <w:t>to</w:t>
      </w:r>
      <w:r>
        <w:rPr>
          <w:spacing w:val="-7"/>
        </w:rPr>
        <w:t> </w:t>
      </w:r>
      <w:r>
        <w:rPr/>
        <w:t>protect</w:t>
      </w:r>
      <w:r>
        <w:rPr>
          <w:spacing w:val="-8"/>
        </w:rPr>
        <w:t> </w:t>
      </w:r>
      <w:r>
        <w:rPr/>
        <w:t>her</w:t>
      </w:r>
      <w:r>
        <w:rPr>
          <w:spacing w:val="-7"/>
        </w:rPr>
        <w:t> </w:t>
      </w:r>
      <w:r>
        <w:rPr/>
        <w:t>chastity</w:t>
      </w:r>
      <w:r>
        <w:rPr>
          <w:spacing w:val="-8"/>
        </w:rPr>
        <w:t> </w:t>
      </w:r>
      <w:r>
        <w:rPr/>
        <w:t>and</w:t>
      </w:r>
      <w:r>
        <w:rPr>
          <w:spacing w:val="-7"/>
        </w:rPr>
        <w:t> </w:t>
      </w:r>
      <w:r>
        <w:rPr/>
        <w:t>remove</w:t>
      </w:r>
      <w:r>
        <w:rPr>
          <w:spacing w:val="-8"/>
        </w:rPr>
        <w:t> </w:t>
      </w:r>
      <w:r>
        <w:rPr/>
        <w:t>his</w:t>
      </w:r>
      <w:r>
        <w:rPr>
          <w:spacing w:val="-8"/>
        </w:rPr>
        <w:t> </w:t>
      </w:r>
      <w:r>
        <w:rPr/>
        <w:t>fear</w:t>
      </w:r>
      <w:r>
        <w:rPr>
          <w:spacing w:val="-7"/>
        </w:rPr>
        <w:t> </w:t>
      </w:r>
      <w:r>
        <w:rPr/>
        <w:t>of</w:t>
      </w:r>
      <w:r>
        <w:rPr>
          <w:spacing w:val="-8"/>
        </w:rPr>
        <w:t> </w:t>
      </w:r>
      <w:r>
        <w:rPr/>
        <w:t>woman’s </w:t>
      </w:r>
      <w:r>
        <w:rPr>
          <w:spacing w:val="-4"/>
        </w:rPr>
        <w:t>infidelity, Othello too</w:t>
      </w:r>
      <w:r>
        <w:rPr>
          <w:spacing w:val="-5"/>
        </w:rPr>
        <w:t> </w:t>
      </w:r>
      <w:r>
        <w:rPr>
          <w:spacing w:val="-4"/>
        </w:rPr>
        <w:t>wishes to erase Desdemona’s</w:t>
      </w:r>
      <w:r>
        <w:rPr>
          <w:spacing w:val="-7"/>
        </w:rPr>
        <w:t> </w:t>
      </w:r>
      <w:r>
        <w:rPr>
          <w:spacing w:val="-4"/>
        </w:rPr>
        <w:t>sexuality</w:t>
      </w:r>
      <w:r>
        <w:rPr>
          <w:spacing w:val="-5"/>
        </w:rPr>
        <w:t> </w:t>
      </w:r>
      <w:r>
        <w:rPr>
          <w:spacing w:val="-4"/>
        </w:rPr>
        <w:t>and potential </w:t>
      </w:r>
      <w:r>
        <w:rPr/>
        <w:t>for infidelity. His decision to kill her, he claims, is to prevent her from</w:t>
      </w:r>
      <w:r>
        <w:rPr>
          <w:spacing w:val="40"/>
        </w:rPr>
        <w:t> </w:t>
      </w:r>
      <w:r>
        <w:rPr/>
        <w:t>a</w:t>
      </w:r>
      <w:r>
        <w:rPr>
          <w:spacing w:val="-6"/>
        </w:rPr>
        <w:t> </w:t>
      </w:r>
      <w:r>
        <w:rPr/>
        <w:t>further</w:t>
      </w:r>
      <w:r>
        <w:rPr>
          <w:spacing w:val="-5"/>
        </w:rPr>
        <w:t> </w:t>
      </w:r>
      <w:r>
        <w:rPr/>
        <w:t>transgression</w:t>
      </w:r>
      <w:r>
        <w:rPr>
          <w:spacing w:val="-7"/>
        </w:rPr>
        <w:t> </w:t>
      </w:r>
      <w:r>
        <w:rPr/>
        <w:t>-</w:t>
      </w:r>
      <w:r>
        <w:rPr>
          <w:spacing w:val="-7"/>
        </w:rPr>
        <w:t> </w:t>
      </w:r>
      <w:r>
        <w:rPr/>
        <w:t>‘Yet</w:t>
      </w:r>
      <w:r>
        <w:rPr>
          <w:spacing w:val="-7"/>
        </w:rPr>
        <w:t> </w:t>
      </w:r>
      <w:r>
        <w:rPr/>
        <w:t>she</w:t>
      </w:r>
      <w:r>
        <w:rPr>
          <w:spacing w:val="-4"/>
        </w:rPr>
        <w:t> </w:t>
      </w:r>
      <w:r>
        <w:rPr/>
        <w:t>must</w:t>
      </w:r>
      <w:r>
        <w:rPr>
          <w:spacing w:val="-5"/>
        </w:rPr>
        <w:t> </w:t>
      </w:r>
      <w:r>
        <w:rPr/>
        <w:t>die,</w:t>
      </w:r>
      <w:r>
        <w:rPr>
          <w:spacing w:val="-5"/>
        </w:rPr>
        <w:t> </w:t>
      </w:r>
      <w:r>
        <w:rPr/>
        <w:t>else</w:t>
      </w:r>
      <w:r>
        <w:rPr>
          <w:spacing w:val="-4"/>
        </w:rPr>
        <w:t> </w:t>
      </w:r>
      <w:r>
        <w:rPr/>
        <w:t>she’ll</w:t>
      </w:r>
      <w:r>
        <w:rPr>
          <w:spacing w:val="-5"/>
        </w:rPr>
        <w:t> </w:t>
      </w:r>
      <w:r>
        <w:rPr/>
        <w:t>betray</w:t>
      </w:r>
      <w:r>
        <w:rPr>
          <w:spacing w:val="-9"/>
        </w:rPr>
        <w:t> </w:t>
      </w:r>
      <w:r>
        <w:rPr/>
        <w:t>more</w:t>
      </w:r>
      <w:r>
        <w:rPr>
          <w:spacing w:val="-6"/>
        </w:rPr>
        <w:t> </w:t>
      </w:r>
      <w:r>
        <w:rPr/>
        <w:t>men’. Though Lady Macbeth has generally been seen as a megalomaniac, selfish</w:t>
      </w:r>
      <w:r>
        <w:rPr>
          <w:spacing w:val="16"/>
        </w:rPr>
        <w:t> </w:t>
      </w:r>
      <w:r>
        <w:rPr/>
        <w:t>even</w:t>
      </w:r>
      <w:r>
        <w:rPr>
          <w:spacing w:val="16"/>
        </w:rPr>
        <w:t> </w:t>
      </w:r>
      <w:r>
        <w:rPr/>
        <w:t>unfeminine</w:t>
      </w:r>
      <w:r>
        <w:rPr>
          <w:spacing w:val="20"/>
        </w:rPr>
        <w:t> </w:t>
      </w:r>
      <w:r>
        <w:rPr/>
        <w:t>for</w:t>
      </w:r>
      <w:r>
        <w:rPr>
          <w:spacing w:val="17"/>
        </w:rPr>
        <w:t> </w:t>
      </w:r>
      <w:r>
        <w:rPr/>
        <w:t>her</w:t>
      </w:r>
      <w:r>
        <w:rPr>
          <w:spacing w:val="18"/>
        </w:rPr>
        <w:t> </w:t>
      </w:r>
      <w:r>
        <w:rPr/>
        <w:t>aspiration</w:t>
      </w:r>
      <w:r>
        <w:rPr>
          <w:spacing w:val="15"/>
        </w:rPr>
        <w:t> </w:t>
      </w:r>
      <w:r>
        <w:rPr/>
        <w:t>to</w:t>
      </w:r>
      <w:r>
        <w:rPr>
          <w:spacing w:val="17"/>
        </w:rPr>
        <w:t> </w:t>
      </w:r>
      <w:r>
        <w:rPr/>
        <w:t>“unsex”</w:t>
      </w:r>
      <w:r>
        <w:rPr>
          <w:spacing w:val="21"/>
        </w:rPr>
        <w:t> </w:t>
      </w:r>
      <w:r>
        <w:rPr/>
        <w:t>herself;</w:t>
      </w:r>
      <w:r>
        <w:rPr>
          <w:spacing w:val="18"/>
        </w:rPr>
        <w:t> </w:t>
      </w:r>
      <w:r>
        <w:rPr/>
        <w:t>I</w:t>
      </w:r>
      <w:r>
        <w:rPr>
          <w:spacing w:val="17"/>
        </w:rPr>
        <w:t> </w:t>
      </w:r>
      <w:r>
        <w:rPr>
          <w:spacing w:val="-2"/>
        </w:rPr>
        <w:t>would</w:t>
      </w:r>
    </w:p>
    <w:p>
      <w:pPr>
        <w:pStyle w:val="BodyText"/>
        <w:spacing w:after="0" w:line="25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47232">
                <wp:simplePos x="0" y="0"/>
                <wp:positionH relativeFrom="page">
                  <wp:posOffset>2065020</wp:posOffset>
                </wp:positionH>
                <wp:positionV relativeFrom="paragraph">
                  <wp:posOffset>162604</wp:posOffset>
                </wp:positionV>
                <wp:extent cx="3657600" cy="12700"/>
                <wp:effectExtent l="0" t="0" r="0" b="0"/>
                <wp:wrapTopAndBottom/>
                <wp:docPr id="224" name="Graphic 224"/>
                <wp:cNvGraphicFramePr>
                  <a:graphicFrameLocks/>
                </wp:cNvGraphicFramePr>
                <a:graphic>
                  <a:graphicData uri="http://schemas.microsoft.com/office/word/2010/wordprocessingShape">
                    <wps:wsp>
                      <wps:cNvPr id="224" name="Graphic 22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69248;mso-wrap-distance-left:0;mso-wrap-distance-right:0" id="docshape220" filled="true" fillcolor="#000000" stroked="false">
                <v:fill type="solid"/>
                <w10:wrap type="topAndBottom"/>
              </v:rect>
            </w:pict>
          </mc:Fallback>
        </mc:AlternateContent>
      </w:r>
      <w:r>
        <w:rPr>
          <w:rFonts w:ascii="Verdana" w:hAnsi="Verdana"/>
          <w:sz w:val="18"/>
        </w:rPr>
        <w:t>The</w:t>
      </w:r>
      <w:r>
        <w:rPr>
          <w:rFonts w:ascii="Verdana" w:hAnsi="Verdana"/>
          <w:spacing w:val="3"/>
          <w:sz w:val="18"/>
        </w:rPr>
        <w:t> </w:t>
      </w:r>
      <w:r>
        <w:rPr>
          <w:rFonts w:ascii="Verdana" w:hAnsi="Verdana"/>
          <w:sz w:val="18"/>
        </w:rPr>
        <w:t>‘Loyal’</w:t>
      </w:r>
      <w:r>
        <w:rPr>
          <w:rFonts w:ascii="Verdana" w:hAnsi="Verdana"/>
          <w:spacing w:val="3"/>
          <w:sz w:val="18"/>
        </w:rPr>
        <w:t> </w:t>
      </w:r>
      <w:r>
        <w:rPr>
          <w:rFonts w:ascii="Verdana" w:hAnsi="Verdana"/>
          <w:sz w:val="18"/>
        </w:rPr>
        <w:t>Elizabethan</w:t>
      </w:r>
      <w:r>
        <w:rPr>
          <w:rFonts w:ascii="Verdana" w:hAnsi="Verdana"/>
          <w:spacing w:val="2"/>
          <w:sz w:val="18"/>
        </w:rPr>
        <w:t> </w:t>
      </w:r>
      <w:r>
        <w:rPr>
          <w:rFonts w:ascii="Verdana" w:hAnsi="Verdana"/>
          <w:sz w:val="18"/>
        </w:rPr>
        <w:t>Women</w:t>
      </w:r>
      <w:r>
        <w:rPr>
          <w:rFonts w:ascii="Verdana" w:hAnsi="Verdana"/>
          <w:spacing w:val="6"/>
          <w:sz w:val="18"/>
        </w:rPr>
        <w:t> </w:t>
      </w:r>
      <w:r>
        <w:rPr>
          <w:rFonts w:ascii="Verdana" w:hAnsi="Verdana"/>
          <w:sz w:val="18"/>
        </w:rPr>
        <w:t>in</w:t>
      </w:r>
      <w:r>
        <w:rPr>
          <w:rFonts w:ascii="Verdana" w:hAnsi="Verdana"/>
          <w:spacing w:val="5"/>
          <w:sz w:val="18"/>
        </w:rPr>
        <w:t> </w:t>
      </w:r>
      <w:r>
        <w:rPr>
          <w:rFonts w:ascii="Verdana" w:hAnsi="Verdana"/>
          <w:sz w:val="18"/>
        </w:rPr>
        <w:t>Shakespeare’s</w:t>
      </w:r>
      <w:r>
        <w:rPr>
          <w:rFonts w:ascii="Verdana" w:hAnsi="Verdana"/>
          <w:spacing w:val="4"/>
          <w:sz w:val="18"/>
        </w:rPr>
        <w:t> </w:t>
      </w:r>
      <w:r>
        <w:rPr>
          <w:rFonts w:ascii="Verdana" w:hAnsi="Verdana"/>
          <w:spacing w:val="-2"/>
          <w:sz w:val="18"/>
        </w:rPr>
        <w:t>Select...</w:t>
      </w:r>
      <w:r>
        <w:rPr>
          <w:rFonts w:ascii="Verdana" w:hAnsi="Verdana"/>
          <w:sz w:val="18"/>
        </w:rPr>
        <w:tab/>
      </w:r>
      <w:r>
        <w:rPr>
          <w:rFonts w:ascii="Verdana" w:hAnsi="Verdana"/>
          <w:spacing w:val="-5"/>
          <w:sz w:val="18"/>
        </w:rPr>
        <w:t>53</w:t>
      </w:r>
    </w:p>
    <w:p>
      <w:pPr>
        <w:pStyle w:val="BodyText"/>
        <w:spacing w:line="259" w:lineRule="auto" w:before="197"/>
        <w:ind w:right="1438"/>
        <w:jc w:val="both"/>
      </w:pPr>
      <w:r>
        <w:rPr>
          <w:spacing w:val="-2"/>
        </w:rPr>
        <w:t>like</w:t>
      </w:r>
      <w:r>
        <w:rPr>
          <w:spacing w:val="-10"/>
        </w:rPr>
        <w:t> </w:t>
      </w:r>
      <w:r>
        <w:rPr>
          <w:spacing w:val="-2"/>
        </w:rPr>
        <w:t>to</w:t>
      </w:r>
      <w:r>
        <w:rPr>
          <w:spacing w:val="-8"/>
        </w:rPr>
        <w:t> </w:t>
      </w:r>
      <w:r>
        <w:rPr>
          <w:spacing w:val="-2"/>
        </w:rPr>
        <w:t>place</w:t>
      </w:r>
      <w:r>
        <w:rPr>
          <w:spacing w:val="-9"/>
        </w:rPr>
        <w:t> </w:t>
      </w:r>
      <w:r>
        <w:rPr>
          <w:spacing w:val="-2"/>
        </w:rPr>
        <w:t>her</w:t>
      </w:r>
      <w:r>
        <w:rPr>
          <w:spacing w:val="-7"/>
        </w:rPr>
        <w:t> </w:t>
      </w:r>
      <w:r>
        <w:rPr>
          <w:spacing w:val="-2"/>
        </w:rPr>
        <w:t>victimization</w:t>
      </w:r>
      <w:r>
        <w:rPr>
          <w:spacing w:val="-9"/>
        </w:rPr>
        <w:t> </w:t>
      </w:r>
      <w:r>
        <w:rPr>
          <w:spacing w:val="-2"/>
        </w:rPr>
        <w:t>too</w:t>
      </w:r>
      <w:r>
        <w:rPr>
          <w:spacing w:val="-9"/>
        </w:rPr>
        <w:t> </w:t>
      </w:r>
      <w:r>
        <w:rPr>
          <w:spacing w:val="-2"/>
        </w:rPr>
        <w:t>on</w:t>
      </w:r>
      <w:r>
        <w:rPr>
          <w:spacing w:val="-9"/>
        </w:rPr>
        <w:t> </w:t>
      </w:r>
      <w:r>
        <w:rPr>
          <w:spacing w:val="-2"/>
        </w:rPr>
        <w:t>the</w:t>
      </w:r>
      <w:r>
        <w:rPr>
          <w:spacing w:val="-9"/>
        </w:rPr>
        <w:t> </w:t>
      </w:r>
      <w:r>
        <w:rPr>
          <w:spacing w:val="-2"/>
        </w:rPr>
        <w:t>lines</w:t>
      </w:r>
      <w:r>
        <w:rPr>
          <w:spacing w:val="-11"/>
        </w:rPr>
        <w:t> </w:t>
      </w:r>
      <w:r>
        <w:rPr>
          <w:spacing w:val="-2"/>
        </w:rPr>
        <w:t>of</w:t>
      </w:r>
      <w:r>
        <w:rPr>
          <w:spacing w:val="-10"/>
        </w:rPr>
        <w:t> </w:t>
      </w:r>
      <w:r>
        <w:rPr>
          <w:spacing w:val="-2"/>
        </w:rPr>
        <w:t>Ophelia</w:t>
      </w:r>
      <w:r>
        <w:rPr>
          <w:spacing w:val="-7"/>
        </w:rPr>
        <w:t> </w:t>
      </w:r>
      <w:r>
        <w:rPr>
          <w:spacing w:val="-2"/>
        </w:rPr>
        <w:t>and</w:t>
      </w:r>
      <w:r>
        <w:rPr>
          <w:spacing w:val="-9"/>
        </w:rPr>
        <w:t> </w:t>
      </w:r>
      <w:r>
        <w:rPr>
          <w:spacing w:val="-2"/>
        </w:rPr>
        <w:t>Desdemona. </w:t>
      </w:r>
      <w:r>
        <w:rPr/>
        <w:t>In case of Cleopatra, interesting observations will come forth despite the image she carries as one personifying power and lust, that becomes interesting owing to the inevitable difference of not just her ethnicity but</w:t>
      </w:r>
      <w:r>
        <w:rPr>
          <w:spacing w:val="40"/>
        </w:rPr>
        <w:t> </w:t>
      </w:r>
      <w:r>
        <w:rPr/>
        <w:t>patriarchy</w:t>
      </w:r>
      <w:r>
        <w:rPr>
          <w:spacing w:val="40"/>
        </w:rPr>
        <w:t> </w:t>
      </w:r>
      <w:r>
        <w:rPr/>
        <w:t>that</w:t>
      </w:r>
      <w:r>
        <w:rPr>
          <w:spacing w:val="40"/>
        </w:rPr>
        <w:t> </w:t>
      </w:r>
      <w:r>
        <w:rPr/>
        <w:t>still</w:t>
      </w:r>
      <w:r>
        <w:rPr>
          <w:spacing w:val="40"/>
        </w:rPr>
        <w:t> </w:t>
      </w:r>
      <w:r>
        <w:rPr/>
        <w:t>questions</w:t>
      </w:r>
      <w:r>
        <w:rPr>
          <w:spacing w:val="40"/>
        </w:rPr>
        <w:t> </w:t>
      </w:r>
      <w:r>
        <w:rPr/>
        <w:t>woman’s</w:t>
      </w:r>
      <w:r>
        <w:rPr>
          <w:spacing w:val="40"/>
        </w:rPr>
        <w:t> </w:t>
      </w:r>
      <w:r>
        <w:rPr/>
        <w:t>loyalty.</w:t>
      </w:r>
    </w:p>
    <w:p>
      <w:pPr>
        <w:pStyle w:val="BodyText"/>
        <w:spacing w:line="249" w:lineRule="auto" w:before="52"/>
        <w:ind w:right="1443" w:firstLine="432"/>
        <w:jc w:val="both"/>
      </w:pPr>
      <w:r>
        <w:rPr>
          <w:b/>
        </w:rPr>
        <w:t>KEYWORDS: </w:t>
      </w:r>
      <w:r>
        <w:rPr/>
        <w:t>victimization,</w:t>
      </w:r>
      <w:r>
        <w:rPr>
          <w:spacing w:val="-2"/>
        </w:rPr>
        <w:t> </w:t>
      </w:r>
      <w:r>
        <w:rPr/>
        <w:t>subjugation,</w:t>
      </w:r>
      <w:r>
        <w:rPr>
          <w:spacing w:val="-1"/>
        </w:rPr>
        <w:t> </w:t>
      </w:r>
      <w:r>
        <w:rPr/>
        <w:t>unfeminine,</w:t>
      </w:r>
      <w:r>
        <w:rPr>
          <w:spacing w:val="-2"/>
        </w:rPr>
        <w:t> </w:t>
      </w:r>
      <w:r>
        <w:rPr/>
        <w:t>infidelity, transgression, angel,</w:t>
      </w:r>
      <w:r>
        <w:rPr>
          <w:spacing w:val="40"/>
        </w:rPr>
        <w:t> </w:t>
      </w:r>
      <w:r>
        <w:rPr/>
        <w:t>whore, megalomaniac.</w:t>
      </w:r>
    </w:p>
    <w:p>
      <w:pPr>
        <w:pStyle w:val="BodyText"/>
        <w:spacing w:line="249" w:lineRule="auto" w:before="59"/>
        <w:ind w:right="1437" w:firstLine="432"/>
        <w:jc w:val="both"/>
      </w:pPr>
      <w:r>
        <w:rPr/>
        <w:t>William Shakespeare has written plays that are supposed to be read with human</w:t>
      </w:r>
      <w:r>
        <w:rPr>
          <w:spacing w:val="-1"/>
        </w:rPr>
        <w:t> </w:t>
      </w:r>
      <w:r>
        <w:rPr/>
        <w:t>nature in mind, as well as</w:t>
      </w:r>
      <w:r>
        <w:rPr>
          <w:spacing w:val="-1"/>
        </w:rPr>
        <w:t> </w:t>
      </w:r>
      <w:r>
        <w:rPr/>
        <w:t>characters that mature from varied themes of society. Conspicuous is especially the deep study of women</w:t>
      </w:r>
      <w:r>
        <w:rPr>
          <w:spacing w:val="-3"/>
        </w:rPr>
        <w:t> </w:t>
      </w:r>
      <w:r>
        <w:rPr/>
        <w:t>in</w:t>
      </w:r>
      <w:r>
        <w:rPr>
          <w:spacing w:val="-3"/>
        </w:rPr>
        <w:t> </w:t>
      </w:r>
      <w:r>
        <w:rPr/>
        <w:t>his</w:t>
      </w:r>
      <w:r>
        <w:rPr>
          <w:spacing w:val="-2"/>
        </w:rPr>
        <w:t> </w:t>
      </w:r>
      <w:r>
        <w:rPr/>
        <w:t>plays,</w:t>
      </w:r>
      <w:r>
        <w:rPr>
          <w:spacing w:val="-2"/>
        </w:rPr>
        <w:t> </w:t>
      </w:r>
      <w:r>
        <w:rPr/>
        <w:t>given</w:t>
      </w:r>
      <w:r>
        <w:rPr>
          <w:spacing w:val="-3"/>
        </w:rPr>
        <w:t> </w:t>
      </w:r>
      <w:r>
        <w:rPr/>
        <w:t>the very</w:t>
      </w:r>
      <w:r>
        <w:rPr>
          <w:spacing w:val="-5"/>
        </w:rPr>
        <w:t> </w:t>
      </w:r>
      <w:r>
        <w:rPr/>
        <w:t>clearly</w:t>
      </w:r>
      <w:r>
        <w:rPr>
          <w:spacing w:val="-5"/>
        </w:rPr>
        <w:t> </w:t>
      </w:r>
      <w:r>
        <w:rPr/>
        <w:t>defined rigid boundaries</w:t>
      </w:r>
      <w:r>
        <w:rPr>
          <w:spacing w:val="-2"/>
        </w:rPr>
        <w:t> </w:t>
      </w:r>
      <w:r>
        <w:rPr/>
        <w:t>that society imposed upon women during the Elizabethan and Jacobean periods. Even in such conditions, Shakespeare’s women often display depth, intelligence, and resilience, thus becoming a very good basis for feminist literary</w:t>
      </w:r>
      <w:r>
        <w:rPr>
          <w:spacing w:val="-3"/>
        </w:rPr>
        <w:t> </w:t>
      </w:r>
      <w:r>
        <w:rPr/>
        <w:t>criticism.</w:t>
      </w:r>
    </w:p>
    <w:p>
      <w:pPr>
        <w:pStyle w:val="BodyText"/>
        <w:spacing w:line="249" w:lineRule="auto" w:before="64"/>
        <w:ind w:right="1439" w:firstLine="432"/>
        <w:jc w:val="both"/>
      </w:pPr>
      <w:r>
        <w:rPr>
          <w:spacing w:val="-2"/>
        </w:rPr>
        <w:t>The</w:t>
      </w:r>
      <w:r>
        <w:rPr>
          <w:spacing w:val="-11"/>
        </w:rPr>
        <w:t> </w:t>
      </w:r>
      <w:r>
        <w:rPr>
          <w:spacing w:val="-2"/>
        </w:rPr>
        <w:t>International</w:t>
      </w:r>
      <w:r>
        <w:rPr>
          <w:spacing w:val="-10"/>
        </w:rPr>
        <w:t> </w:t>
      </w:r>
      <w:r>
        <w:rPr>
          <w:spacing w:val="-2"/>
        </w:rPr>
        <w:t>Seminar</w:t>
      </w:r>
      <w:r>
        <w:rPr>
          <w:spacing w:val="-11"/>
        </w:rPr>
        <w:t> </w:t>
      </w:r>
      <w:r>
        <w:rPr>
          <w:spacing w:val="-2"/>
        </w:rPr>
        <w:t>aims</w:t>
      </w:r>
      <w:r>
        <w:rPr>
          <w:spacing w:val="-10"/>
        </w:rPr>
        <w:t> </w:t>
      </w:r>
      <w:r>
        <w:rPr>
          <w:spacing w:val="-2"/>
        </w:rPr>
        <w:t>to</w:t>
      </w:r>
      <w:r>
        <w:rPr>
          <w:spacing w:val="-11"/>
        </w:rPr>
        <w:t> </w:t>
      </w:r>
      <w:r>
        <w:rPr>
          <w:spacing w:val="-2"/>
        </w:rPr>
        <w:t>interrogate</w:t>
      </w:r>
      <w:r>
        <w:rPr>
          <w:spacing w:val="-10"/>
        </w:rPr>
        <w:t> </w:t>
      </w:r>
      <w:r>
        <w:rPr>
          <w:spacing w:val="-2"/>
        </w:rPr>
        <w:t>Shakespeare’s</w:t>
      </w:r>
      <w:r>
        <w:rPr>
          <w:spacing w:val="-11"/>
        </w:rPr>
        <w:t> </w:t>
      </w:r>
      <w:r>
        <w:rPr>
          <w:spacing w:val="-2"/>
        </w:rPr>
        <w:t>women </w:t>
      </w:r>
      <w:r>
        <w:rPr/>
        <w:t>characters in ‘Me Too Times’</w:t>
      </w:r>
      <w:r>
        <w:rPr>
          <w:spacing w:val="-7"/>
        </w:rPr>
        <w:t> </w:t>
      </w:r>
      <w:r>
        <w:rPr/>
        <w:t>ie: how will we view these characters as mentioned in the Abstract, Desdemona, Ophelia, Lady Macbeth and Cleopatra.</w:t>
      </w:r>
      <w:r>
        <w:rPr>
          <w:spacing w:val="-11"/>
        </w:rPr>
        <w:t> </w:t>
      </w:r>
      <w:r>
        <w:rPr/>
        <w:t>in</w:t>
      </w:r>
      <w:r>
        <w:rPr>
          <w:spacing w:val="-11"/>
        </w:rPr>
        <w:t> </w:t>
      </w:r>
      <w:r>
        <w:rPr/>
        <w:t>contemporary</w:t>
      </w:r>
      <w:r>
        <w:rPr>
          <w:spacing w:val="-11"/>
        </w:rPr>
        <w:t> </w:t>
      </w:r>
      <w:r>
        <w:rPr/>
        <w:t>times.</w:t>
      </w:r>
      <w:r>
        <w:rPr>
          <w:spacing w:val="-11"/>
        </w:rPr>
        <w:t> </w:t>
      </w:r>
      <w:r>
        <w:rPr/>
        <w:t>These</w:t>
      </w:r>
      <w:r>
        <w:rPr>
          <w:spacing w:val="-11"/>
        </w:rPr>
        <w:t> </w:t>
      </w:r>
      <w:r>
        <w:rPr/>
        <w:t>women</w:t>
      </w:r>
      <w:r>
        <w:rPr>
          <w:spacing w:val="-11"/>
        </w:rPr>
        <w:t> </w:t>
      </w:r>
      <w:r>
        <w:rPr/>
        <w:t>are</w:t>
      </w:r>
      <w:r>
        <w:rPr>
          <w:spacing w:val="-9"/>
        </w:rPr>
        <w:t> </w:t>
      </w:r>
      <w:r>
        <w:rPr/>
        <w:t>shown</w:t>
      </w:r>
      <w:r>
        <w:rPr>
          <w:spacing w:val="-11"/>
        </w:rPr>
        <w:t> </w:t>
      </w:r>
      <w:r>
        <w:rPr/>
        <w:t>suffering</w:t>
      </w:r>
      <w:r>
        <w:rPr>
          <w:spacing w:val="-11"/>
        </w:rPr>
        <w:t> </w:t>
      </w:r>
      <w:r>
        <w:rPr/>
        <w:t>for </w:t>
      </w:r>
      <w:r>
        <w:rPr>
          <w:spacing w:val="-2"/>
        </w:rPr>
        <w:t>example</w:t>
      </w:r>
      <w:r>
        <w:rPr>
          <w:spacing w:val="-7"/>
        </w:rPr>
        <w:t> </w:t>
      </w:r>
      <w:r>
        <w:rPr>
          <w:spacing w:val="-2"/>
        </w:rPr>
        <w:t>Desdemona</w:t>
      </w:r>
      <w:r>
        <w:rPr>
          <w:spacing w:val="-9"/>
        </w:rPr>
        <w:t> </w:t>
      </w:r>
      <w:r>
        <w:rPr>
          <w:spacing w:val="-2"/>
        </w:rPr>
        <w:t>because</w:t>
      </w:r>
      <w:r>
        <w:rPr>
          <w:spacing w:val="-7"/>
        </w:rPr>
        <w:t> </w:t>
      </w:r>
      <w:r>
        <w:rPr>
          <w:spacing w:val="-2"/>
        </w:rPr>
        <w:t>of</w:t>
      </w:r>
      <w:r>
        <w:rPr>
          <w:spacing w:val="-11"/>
        </w:rPr>
        <w:t> </w:t>
      </w:r>
      <w:r>
        <w:rPr>
          <w:spacing w:val="-2"/>
        </w:rPr>
        <w:t>the</w:t>
      </w:r>
      <w:r>
        <w:rPr>
          <w:spacing w:val="-8"/>
        </w:rPr>
        <w:t> </w:t>
      </w:r>
      <w:r>
        <w:rPr>
          <w:spacing w:val="-2"/>
        </w:rPr>
        <w:t>location,</w:t>
      </w:r>
      <w:r>
        <w:rPr>
          <w:spacing w:val="-11"/>
        </w:rPr>
        <w:t> </w:t>
      </w:r>
      <w:r>
        <w:rPr>
          <w:spacing w:val="-2"/>
        </w:rPr>
        <w:t>her</w:t>
      </w:r>
      <w:r>
        <w:rPr>
          <w:spacing w:val="-8"/>
        </w:rPr>
        <w:t> </w:t>
      </w:r>
      <w:r>
        <w:rPr>
          <w:spacing w:val="-2"/>
        </w:rPr>
        <w:t>circumstances</w:t>
      </w:r>
      <w:r>
        <w:rPr>
          <w:spacing w:val="-11"/>
        </w:rPr>
        <w:t> </w:t>
      </w:r>
      <w:r>
        <w:rPr>
          <w:spacing w:val="-2"/>
        </w:rPr>
        <w:t>regarding </w:t>
      </w:r>
      <w:r>
        <w:rPr/>
        <w:t>her acquaintance with males especially her father and then Othello, 15 years elder to her. We need to see her situation in the context of men who</w:t>
      </w:r>
      <w:r>
        <w:rPr>
          <w:spacing w:val="-2"/>
        </w:rPr>
        <w:t> </w:t>
      </w:r>
      <w:r>
        <w:rPr/>
        <w:t>could</w:t>
      </w:r>
      <w:r>
        <w:rPr>
          <w:spacing w:val="-2"/>
        </w:rPr>
        <w:t> </w:t>
      </w:r>
      <w:r>
        <w:rPr/>
        <w:t>kill</w:t>
      </w:r>
      <w:r>
        <w:rPr>
          <w:spacing w:val="-2"/>
        </w:rPr>
        <w:t> </w:t>
      </w:r>
      <w:r>
        <w:rPr/>
        <w:t>women</w:t>
      </w:r>
      <w:r>
        <w:rPr>
          <w:spacing w:val="-5"/>
        </w:rPr>
        <w:t> </w:t>
      </w:r>
      <w:r>
        <w:rPr/>
        <w:t>on</w:t>
      </w:r>
      <w:r>
        <w:rPr>
          <w:spacing w:val="-2"/>
        </w:rPr>
        <w:t> </w:t>
      </w:r>
      <w:r>
        <w:rPr/>
        <w:t>suspicion</w:t>
      </w:r>
      <w:r>
        <w:rPr>
          <w:spacing w:val="-5"/>
        </w:rPr>
        <w:t> </w:t>
      </w:r>
      <w:r>
        <w:rPr/>
        <w:t>of</w:t>
      </w:r>
      <w:r>
        <w:rPr>
          <w:spacing w:val="-3"/>
        </w:rPr>
        <w:t> </w:t>
      </w:r>
      <w:r>
        <w:rPr/>
        <w:t>infidelity.</w:t>
      </w:r>
      <w:r>
        <w:rPr>
          <w:spacing w:val="-3"/>
        </w:rPr>
        <w:t> </w:t>
      </w:r>
      <w:r>
        <w:rPr/>
        <w:t>So Shakespeare</w:t>
      </w:r>
      <w:r>
        <w:rPr>
          <w:spacing w:val="-3"/>
        </w:rPr>
        <w:t> </w:t>
      </w:r>
      <w:r>
        <w:rPr/>
        <w:t>we</w:t>
      </w:r>
      <w:r>
        <w:rPr>
          <w:spacing w:val="-2"/>
        </w:rPr>
        <w:t> </w:t>
      </w:r>
      <w:r>
        <w:rPr/>
        <w:t>all know, created both men and women of and for all times corresponding to</w:t>
      </w:r>
      <w:r>
        <w:rPr>
          <w:spacing w:val="40"/>
        </w:rPr>
        <w:t> </w:t>
      </w:r>
      <w:r>
        <w:rPr/>
        <w:t>geographical, political and socio-cultural contexts.</w:t>
      </w:r>
    </w:p>
    <w:p>
      <w:pPr>
        <w:pStyle w:val="BodyText"/>
        <w:spacing w:line="249" w:lineRule="auto" w:before="66"/>
        <w:ind w:right="1437" w:firstLine="432"/>
        <w:jc w:val="both"/>
      </w:pPr>
      <w:r>
        <w:rPr/>
        <w:t>Similarly, Ophelia’s suicide and Lady Macbeth’s viewed as ‘masculine’,</w:t>
      </w:r>
      <w:r>
        <w:rPr>
          <w:spacing w:val="-4"/>
        </w:rPr>
        <w:t> </w:t>
      </w:r>
      <w:r>
        <w:rPr/>
        <w:t>and</w:t>
      </w:r>
      <w:r>
        <w:rPr>
          <w:spacing w:val="-1"/>
        </w:rPr>
        <w:t> </w:t>
      </w:r>
      <w:r>
        <w:rPr/>
        <w:t>her</w:t>
      </w:r>
      <w:r>
        <w:rPr>
          <w:spacing w:val="-4"/>
        </w:rPr>
        <w:t> </w:t>
      </w:r>
      <w:r>
        <w:rPr/>
        <w:t>slow</w:t>
      </w:r>
      <w:r>
        <w:rPr>
          <w:spacing w:val="-8"/>
        </w:rPr>
        <w:t> </w:t>
      </w:r>
      <w:r>
        <w:rPr/>
        <w:t>death</w:t>
      </w:r>
      <w:r>
        <w:rPr>
          <w:spacing w:val="-6"/>
        </w:rPr>
        <w:t> </w:t>
      </w:r>
      <w:r>
        <w:rPr/>
        <w:t>through</w:t>
      </w:r>
      <w:r>
        <w:rPr>
          <w:spacing w:val="-6"/>
        </w:rPr>
        <w:t> </w:t>
      </w:r>
      <w:r>
        <w:rPr/>
        <w:t>sleep</w:t>
      </w:r>
      <w:r>
        <w:rPr>
          <w:spacing w:val="-2"/>
        </w:rPr>
        <w:t> </w:t>
      </w:r>
      <w:r>
        <w:rPr/>
        <w:t>walking</w:t>
      </w:r>
      <w:r>
        <w:rPr>
          <w:spacing w:val="-6"/>
        </w:rPr>
        <w:t> </w:t>
      </w:r>
      <w:r>
        <w:rPr/>
        <w:t>also</w:t>
      </w:r>
      <w:r>
        <w:rPr>
          <w:spacing w:val="-1"/>
        </w:rPr>
        <w:t> </w:t>
      </w:r>
      <w:r>
        <w:rPr/>
        <w:t>are</w:t>
      </w:r>
      <w:r>
        <w:rPr>
          <w:spacing w:val="-5"/>
        </w:rPr>
        <w:t> </w:t>
      </w:r>
      <w:r>
        <w:rPr/>
        <w:t>required to</w:t>
      </w:r>
      <w:r>
        <w:rPr>
          <w:spacing w:val="-4"/>
        </w:rPr>
        <w:t> </w:t>
      </w:r>
      <w:r>
        <w:rPr/>
        <w:t>be</w:t>
      </w:r>
      <w:r>
        <w:rPr>
          <w:spacing w:val="-5"/>
        </w:rPr>
        <w:t> </w:t>
      </w:r>
      <w:r>
        <w:rPr/>
        <w:t>analysed</w:t>
      </w:r>
      <w:r>
        <w:rPr>
          <w:spacing w:val="-4"/>
        </w:rPr>
        <w:t> </w:t>
      </w:r>
      <w:r>
        <w:rPr/>
        <w:t>through</w:t>
      </w:r>
      <w:r>
        <w:rPr>
          <w:spacing w:val="-6"/>
        </w:rPr>
        <w:t> </w:t>
      </w:r>
      <w:r>
        <w:rPr/>
        <w:t>similar</w:t>
      </w:r>
      <w:r>
        <w:rPr>
          <w:spacing w:val="-6"/>
        </w:rPr>
        <w:t> </w:t>
      </w:r>
      <w:r>
        <w:rPr/>
        <w:t>perspectives.</w:t>
      </w:r>
      <w:r>
        <w:rPr>
          <w:spacing w:val="-6"/>
        </w:rPr>
        <w:t> </w:t>
      </w:r>
      <w:r>
        <w:rPr/>
        <w:t>On</w:t>
      </w:r>
      <w:r>
        <w:rPr>
          <w:spacing w:val="-6"/>
        </w:rPr>
        <w:t> </w:t>
      </w:r>
      <w:r>
        <w:rPr/>
        <w:t>similar</w:t>
      </w:r>
      <w:r>
        <w:rPr>
          <w:spacing w:val="-4"/>
        </w:rPr>
        <w:t> </w:t>
      </w:r>
      <w:r>
        <w:rPr/>
        <w:t>lines,</w:t>
      </w:r>
      <w:r>
        <w:rPr>
          <w:spacing w:val="-4"/>
        </w:rPr>
        <w:t> </w:t>
      </w:r>
      <w:r>
        <w:rPr/>
        <w:t>Cleopatra, the strongest woman character in my study is to be seen not from just the gender, or lust angle but she is to be seen representing Egypt and Antony</w:t>
      </w:r>
      <w:r>
        <w:rPr>
          <w:spacing w:val="-1"/>
        </w:rPr>
        <w:t> </w:t>
      </w:r>
      <w:r>
        <w:rPr/>
        <w:t>representing Rome, hence envisioning her through the political lens will validate her image.</w:t>
      </w:r>
    </w:p>
    <w:p>
      <w:pPr>
        <w:pStyle w:val="BodyText"/>
        <w:spacing w:line="249" w:lineRule="auto" w:before="66"/>
        <w:ind w:right="1438" w:firstLine="432"/>
        <w:jc w:val="both"/>
      </w:pPr>
      <w:r>
        <w:rPr/>
        <w:t>From the figure of power and defiance to a woman, who suffers under patriarchal oppression, the extent of representation of women in the</w:t>
      </w:r>
      <w:r>
        <w:rPr>
          <w:spacing w:val="-7"/>
        </w:rPr>
        <w:t> </w:t>
      </w:r>
      <w:r>
        <w:rPr/>
        <w:t>works</w:t>
      </w:r>
      <w:r>
        <w:rPr>
          <w:spacing w:val="-8"/>
        </w:rPr>
        <w:t> </w:t>
      </w:r>
      <w:r>
        <w:rPr/>
        <w:t>of</w:t>
      </w:r>
      <w:r>
        <w:rPr>
          <w:spacing w:val="-8"/>
        </w:rPr>
        <w:t> </w:t>
      </w:r>
      <w:r>
        <w:rPr/>
        <w:t>Shakespeare</w:t>
      </w:r>
      <w:r>
        <w:rPr>
          <w:spacing w:val="-8"/>
        </w:rPr>
        <w:t> </w:t>
      </w:r>
      <w:r>
        <w:rPr/>
        <w:t>is</w:t>
      </w:r>
      <w:r>
        <w:rPr>
          <w:spacing w:val="-8"/>
        </w:rPr>
        <w:t> </w:t>
      </w:r>
      <w:r>
        <w:rPr/>
        <w:t>extremely</w:t>
      </w:r>
      <w:r>
        <w:rPr>
          <w:spacing w:val="-10"/>
        </w:rPr>
        <w:t> </w:t>
      </w:r>
      <w:r>
        <w:rPr/>
        <w:t>wide.</w:t>
      </w:r>
      <w:r>
        <w:rPr>
          <w:spacing w:val="-8"/>
        </w:rPr>
        <w:t> </w:t>
      </w:r>
      <w:r>
        <w:rPr/>
        <w:t>Some</w:t>
      </w:r>
      <w:r>
        <w:rPr>
          <w:spacing w:val="-8"/>
        </w:rPr>
        <w:t> </w:t>
      </w:r>
      <w:r>
        <w:rPr/>
        <w:t>characters,</w:t>
      </w:r>
      <w:r>
        <w:rPr>
          <w:spacing w:val="-7"/>
        </w:rPr>
        <w:t> </w:t>
      </w:r>
      <w:r>
        <w:rPr/>
        <w:t>like</w:t>
      </w:r>
      <w:r>
        <w:rPr>
          <w:spacing w:val="-7"/>
        </w:rPr>
        <w:t> </w:t>
      </w:r>
      <w:r>
        <w:rPr/>
        <w:t>Lady Macbeth</w:t>
      </w:r>
      <w:r>
        <w:rPr>
          <w:spacing w:val="-7"/>
        </w:rPr>
        <w:t> </w:t>
      </w:r>
      <w:r>
        <w:rPr/>
        <w:t>and</w:t>
      </w:r>
      <w:r>
        <w:rPr>
          <w:spacing w:val="-5"/>
        </w:rPr>
        <w:t> </w:t>
      </w:r>
      <w:r>
        <w:rPr/>
        <w:t>Cleopatra,</w:t>
      </w:r>
      <w:r>
        <w:rPr>
          <w:spacing w:val="-5"/>
        </w:rPr>
        <w:t> </w:t>
      </w:r>
      <w:r>
        <w:rPr/>
        <w:t>defy</w:t>
      </w:r>
      <w:r>
        <w:rPr>
          <w:spacing w:val="-12"/>
        </w:rPr>
        <w:t> </w:t>
      </w:r>
      <w:r>
        <w:rPr/>
        <w:t>the</w:t>
      </w:r>
      <w:r>
        <w:rPr>
          <w:spacing w:val="-5"/>
        </w:rPr>
        <w:t> </w:t>
      </w:r>
      <w:r>
        <w:rPr/>
        <w:t>characteristics</w:t>
      </w:r>
      <w:r>
        <w:rPr>
          <w:spacing w:val="-7"/>
        </w:rPr>
        <w:t> </w:t>
      </w:r>
      <w:r>
        <w:rPr/>
        <w:t>associated</w:t>
      </w:r>
      <w:r>
        <w:rPr>
          <w:spacing w:val="-9"/>
        </w:rPr>
        <w:t> </w:t>
      </w:r>
      <w:r>
        <w:rPr/>
        <w:t>with</w:t>
      </w:r>
      <w:r>
        <w:rPr>
          <w:spacing w:val="-7"/>
        </w:rPr>
        <w:t> </w:t>
      </w:r>
      <w:r>
        <w:rPr/>
        <w:t>women, through ambition, assertiveness, and political acumen. Their ultimate downfall in many cases might suggest where these women transcend,</w:t>
      </w:r>
      <w:r>
        <w:rPr>
          <w:spacing w:val="40"/>
        </w:rPr>
        <w:t> </w:t>
      </w:r>
      <w:r>
        <w:rPr/>
        <w:t>or</w:t>
      </w:r>
      <w:r>
        <w:rPr>
          <w:spacing w:val="-7"/>
        </w:rPr>
        <w:t> </w:t>
      </w:r>
      <w:r>
        <w:rPr/>
        <w:t>even</w:t>
      </w:r>
      <w:r>
        <w:rPr>
          <w:spacing w:val="-7"/>
        </w:rPr>
        <w:t> </w:t>
      </w:r>
      <w:r>
        <w:rPr/>
        <w:t>seek</w:t>
      </w:r>
      <w:r>
        <w:rPr>
          <w:spacing w:val="-7"/>
        </w:rPr>
        <w:t> </w:t>
      </w:r>
      <w:r>
        <w:rPr/>
        <w:t>to</w:t>
      </w:r>
      <w:r>
        <w:rPr>
          <w:spacing w:val="-3"/>
        </w:rPr>
        <w:t> </w:t>
      </w:r>
      <w:r>
        <w:rPr/>
        <w:t>transcend,</w:t>
      </w:r>
      <w:r>
        <w:rPr>
          <w:spacing w:val="-9"/>
        </w:rPr>
        <w:t> </w:t>
      </w:r>
      <w:r>
        <w:rPr/>
        <w:t>societal</w:t>
      </w:r>
      <w:r>
        <w:rPr>
          <w:spacing w:val="-5"/>
        </w:rPr>
        <w:t> </w:t>
      </w:r>
      <w:r>
        <w:rPr/>
        <w:t>expectations.</w:t>
      </w:r>
      <w:r>
        <w:rPr>
          <w:spacing w:val="-5"/>
        </w:rPr>
        <w:t> </w:t>
      </w:r>
      <w:r>
        <w:rPr/>
        <w:t>From</w:t>
      </w:r>
      <w:r>
        <w:rPr>
          <w:spacing w:val="-10"/>
        </w:rPr>
        <w:t> </w:t>
      </w:r>
      <w:r>
        <w:rPr/>
        <w:t>a</w:t>
      </w:r>
      <w:r>
        <w:rPr>
          <w:spacing w:val="-6"/>
        </w:rPr>
        <w:t> </w:t>
      </w:r>
      <w:r>
        <w:rPr/>
        <w:t>feminist</w:t>
      </w:r>
      <w:r>
        <w:rPr>
          <w:spacing w:val="-7"/>
        </w:rPr>
        <w:t> </w:t>
      </w:r>
      <w:r>
        <w:rPr>
          <w:spacing w:val="-2"/>
        </w:rPr>
        <w:t>literary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47744">
                <wp:simplePos x="0" y="0"/>
                <wp:positionH relativeFrom="page">
                  <wp:posOffset>2057400</wp:posOffset>
                </wp:positionH>
                <wp:positionV relativeFrom="paragraph">
                  <wp:posOffset>162604</wp:posOffset>
                </wp:positionV>
                <wp:extent cx="3657600" cy="12700"/>
                <wp:effectExtent l="0" t="0" r="0" b="0"/>
                <wp:wrapTopAndBottom/>
                <wp:docPr id="225" name="Graphic 225"/>
                <wp:cNvGraphicFramePr>
                  <a:graphicFrameLocks/>
                </wp:cNvGraphicFramePr>
                <a:graphic>
                  <a:graphicData uri="http://schemas.microsoft.com/office/word/2010/wordprocessingShape">
                    <wps:wsp>
                      <wps:cNvPr id="225" name="Graphic 22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68736;mso-wrap-distance-left:0;mso-wrap-distance-right:0" id="docshape221" filled="true" fillcolor="#000000" stroked="false">
                <v:fill type="solid"/>
                <w10:wrap type="topAndBottom"/>
              </v:rect>
            </w:pict>
          </mc:Fallback>
        </mc:AlternateContent>
      </w:r>
      <w:r>
        <w:rPr>
          <w:rFonts w:ascii="Verdana"/>
          <w:spacing w:val="-5"/>
          <w:sz w:val="18"/>
        </w:rPr>
        <w:t>54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critical perspective, these female characters can be used as a political lens of agency to analyse how their life decisions made in the confines of their societies are relevant to the broader societal norms that present different fates for males and females. Some of these themes are power games, gender subversion, victimization, and freedom which we can infer</w:t>
      </w:r>
      <w:r>
        <w:rPr>
          <w:spacing w:val="-8"/>
        </w:rPr>
        <w:t> </w:t>
      </w:r>
      <w:r>
        <w:rPr/>
        <w:t>how</w:t>
      </w:r>
      <w:r>
        <w:rPr>
          <w:spacing w:val="-13"/>
        </w:rPr>
        <w:t> </w:t>
      </w:r>
      <w:r>
        <w:rPr/>
        <w:t>really</w:t>
      </w:r>
      <w:r>
        <w:rPr>
          <w:spacing w:val="-10"/>
        </w:rPr>
        <w:t> </w:t>
      </w:r>
      <w:r>
        <w:rPr/>
        <w:t>Shakespeare</w:t>
      </w:r>
      <w:r>
        <w:rPr>
          <w:spacing w:val="-8"/>
        </w:rPr>
        <w:t> </w:t>
      </w:r>
      <w:r>
        <w:rPr/>
        <w:t>was</w:t>
      </w:r>
      <w:r>
        <w:rPr>
          <w:spacing w:val="-9"/>
        </w:rPr>
        <w:t> </w:t>
      </w:r>
      <w:r>
        <w:rPr/>
        <w:t>engaged</w:t>
      </w:r>
      <w:r>
        <w:rPr>
          <w:spacing w:val="-8"/>
        </w:rPr>
        <w:t> </w:t>
      </w:r>
      <w:r>
        <w:rPr/>
        <w:t>with</w:t>
      </w:r>
      <w:r>
        <w:rPr>
          <w:spacing w:val="-9"/>
        </w:rPr>
        <w:t> </w:t>
      </w:r>
      <w:r>
        <w:rPr/>
        <w:t>issues</w:t>
      </w:r>
      <w:r>
        <w:rPr>
          <w:spacing w:val="-9"/>
        </w:rPr>
        <w:t> </w:t>
      </w:r>
      <w:r>
        <w:rPr/>
        <w:t>of</w:t>
      </w:r>
      <w:r>
        <w:rPr>
          <w:spacing w:val="-9"/>
        </w:rPr>
        <w:t> </w:t>
      </w:r>
      <w:r>
        <w:rPr/>
        <w:t>female</w:t>
      </w:r>
      <w:r>
        <w:rPr>
          <w:spacing w:val="-9"/>
        </w:rPr>
        <w:t> </w:t>
      </w:r>
      <w:r>
        <w:rPr/>
        <w:t>identity and</w:t>
      </w:r>
      <w:r>
        <w:rPr>
          <w:spacing w:val="40"/>
        </w:rPr>
        <w:t> </w:t>
      </w:r>
      <w:r>
        <w:rPr/>
        <w:t>oppression.</w:t>
      </w:r>
    </w:p>
    <w:p>
      <w:pPr>
        <w:pStyle w:val="BodyText"/>
        <w:spacing w:line="249" w:lineRule="auto" w:before="64"/>
        <w:ind w:right="1436" w:firstLine="432"/>
        <w:jc w:val="both"/>
      </w:pPr>
      <w:r>
        <w:rPr/>
        <w:t>Shakespeare’s women, from the strong-headed heroines to the objectified and tragic victims, bring forth much in terms of feminist study. Obedient, chaste, and dependent on male authority: these were the</w:t>
      </w:r>
      <w:r>
        <w:rPr>
          <w:spacing w:val="-1"/>
        </w:rPr>
        <w:t> </w:t>
      </w:r>
      <w:r>
        <w:rPr/>
        <w:t>qualities</w:t>
      </w:r>
      <w:r>
        <w:rPr>
          <w:spacing w:val="-1"/>
        </w:rPr>
        <w:t> </w:t>
      </w:r>
      <w:r>
        <w:rPr/>
        <w:t>expected</w:t>
      </w:r>
      <w:r>
        <w:rPr>
          <w:spacing w:val="-2"/>
        </w:rPr>
        <w:t> </w:t>
      </w:r>
      <w:r>
        <w:rPr/>
        <w:t>of</w:t>
      </w:r>
      <w:r>
        <w:rPr>
          <w:spacing w:val="-2"/>
        </w:rPr>
        <w:t> </w:t>
      </w:r>
      <w:r>
        <w:rPr/>
        <w:t>an</w:t>
      </w:r>
      <w:r>
        <w:rPr>
          <w:spacing w:val="-4"/>
        </w:rPr>
        <w:t> </w:t>
      </w:r>
      <w:r>
        <w:rPr/>
        <w:t>Elizabethan</w:t>
      </w:r>
      <w:r>
        <w:rPr>
          <w:spacing w:val="-2"/>
        </w:rPr>
        <w:t> </w:t>
      </w:r>
      <w:r>
        <w:rPr/>
        <w:t>woman.</w:t>
      </w:r>
      <w:r>
        <w:rPr>
          <w:spacing w:val="-2"/>
        </w:rPr>
        <w:t> </w:t>
      </w:r>
      <w:r>
        <w:rPr/>
        <w:t>Patriarchy</w:t>
      </w:r>
      <w:r>
        <w:rPr>
          <w:spacing w:val="-4"/>
        </w:rPr>
        <w:t> </w:t>
      </w:r>
      <w:r>
        <w:rPr/>
        <w:t>without</w:t>
      </w:r>
      <w:r>
        <w:rPr>
          <w:spacing w:val="-4"/>
        </w:rPr>
        <w:t> </w:t>
      </w:r>
      <w:r>
        <w:rPr/>
        <w:t>any doubt imposed most of the societal restrictions across gender lines. Those</w:t>
      </w:r>
      <w:r>
        <w:rPr>
          <w:spacing w:val="-5"/>
        </w:rPr>
        <w:t> </w:t>
      </w:r>
      <w:r>
        <w:rPr/>
        <w:t>societies</w:t>
      </w:r>
      <w:r>
        <w:rPr>
          <w:spacing w:val="-5"/>
        </w:rPr>
        <w:t> </w:t>
      </w:r>
      <w:r>
        <w:rPr/>
        <w:t>expected</w:t>
      </w:r>
      <w:r>
        <w:rPr>
          <w:spacing w:val="-7"/>
        </w:rPr>
        <w:t> </w:t>
      </w:r>
      <w:r>
        <w:rPr/>
        <w:t>women</w:t>
      </w:r>
      <w:r>
        <w:rPr>
          <w:spacing w:val="-5"/>
        </w:rPr>
        <w:t> </w:t>
      </w:r>
      <w:r>
        <w:rPr/>
        <w:t>to</w:t>
      </w:r>
      <w:r>
        <w:rPr>
          <w:spacing w:val="-3"/>
        </w:rPr>
        <w:t> </w:t>
      </w:r>
      <w:r>
        <w:rPr/>
        <w:t>be</w:t>
      </w:r>
      <w:r>
        <w:rPr>
          <w:spacing w:val="-3"/>
        </w:rPr>
        <w:t> </w:t>
      </w:r>
      <w:r>
        <w:rPr/>
        <w:t>subservient</w:t>
      </w:r>
      <w:r>
        <w:rPr>
          <w:spacing w:val="-3"/>
        </w:rPr>
        <w:t> </w:t>
      </w:r>
      <w:r>
        <w:rPr/>
        <w:t>to</w:t>
      </w:r>
      <w:r>
        <w:rPr>
          <w:spacing w:val="-5"/>
        </w:rPr>
        <w:t> </w:t>
      </w:r>
      <w:r>
        <w:rPr/>
        <w:t>men</w:t>
      </w:r>
      <w:r>
        <w:rPr>
          <w:spacing w:val="-5"/>
        </w:rPr>
        <w:t> </w:t>
      </w:r>
      <w:r>
        <w:rPr/>
        <w:t>who</w:t>
      </w:r>
      <w:r>
        <w:rPr>
          <w:spacing w:val="-3"/>
        </w:rPr>
        <w:t> </w:t>
      </w:r>
      <w:r>
        <w:rPr/>
        <w:t>acquired authority, both in public and private dimensions.</w:t>
      </w:r>
      <w:r>
        <w:rPr>
          <w:spacing w:val="40"/>
        </w:rPr>
        <w:t> </w:t>
      </w:r>
      <w:r>
        <w:rPr/>
        <w:t>Under the theme, oppression of women under patriarchy has been seen in various works of Shakespeare including Ophelia (Hamlet), which illustrates a woman dominated by</w:t>
      </w:r>
      <w:r>
        <w:rPr>
          <w:spacing w:val="-1"/>
        </w:rPr>
        <w:t> </w:t>
      </w:r>
      <w:r>
        <w:rPr/>
        <w:t>her father, showing a daughter who is made to follow all the directives of her fathers without question. The discussion about double standards on purity and reputation, detailing extreme penalties awarded</w:t>
      </w:r>
      <w:r>
        <w:rPr>
          <w:spacing w:val="-3"/>
        </w:rPr>
        <w:t> </w:t>
      </w:r>
      <w:r>
        <w:rPr/>
        <w:t>to</w:t>
      </w:r>
      <w:r>
        <w:rPr>
          <w:spacing w:val="-3"/>
        </w:rPr>
        <w:t> </w:t>
      </w:r>
      <w:r>
        <w:rPr/>
        <w:t>women</w:t>
      </w:r>
      <w:r>
        <w:rPr>
          <w:spacing w:val="-5"/>
        </w:rPr>
        <w:t> </w:t>
      </w:r>
      <w:r>
        <w:rPr/>
        <w:t>who</w:t>
      </w:r>
      <w:r>
        <w:rPr>
          <w:spacing w:val="-1"/>
        </w:rPr>
        <w:t> </w:t>
      </w:r>
      <w:r>
        <w:rPr/>
        <w:t>fail</w:t>
      </w:r>
      <w:r>
        <w:rPr>
          <w:spacing w:val="-5"/>
        </w:rPr>
        <w:t> </w:t>
      </w:r>
      <w:r>
        <w:rPr/>
        <w:t>to</w:t>
      </w:r>
      <w:r>
        <w:rPr>
          <w:spacing w:val="-3"/>
        </w:rPr>
        <w:t> </w:t>
      </w:r>
      <w:r>
        <w:rPr/>
        <w:t>conform</w:t>
      </w:r>
      <w:r>
        <w:rPr>
          <w:spacing w:val="-6"/>
        </w:rPr>
        <w:t> </w:t>
      </w:r>
      <w:r>
        <w:rPr/>
        <w:t>to</w:t>
      </w:r>
      <w:r>
        <w:rPr>
          <w:spacing w:val="-1"/>
        </w:rPr>
        <w:t> </w:t>
      </w:r>
      <w:r>
        <w:rPr/>
        <w:t>such</w:t>
      </w:r>
      <w:r>
        <w:rPr>
          <w:spacing w:val="-5"/>
        </w:rPr>
        <w:t> </w:t>
      </w:r>
      <w:r>
        <w:rPr/>
        <w:t>ideals,</w:t>
      </w:r>
      <w:r>
        <w:rPr>
          <w:spacing w:val="-3"/>
        </w:rPr>
        <w:t> </w:t>
      </w:r>
      <w:r>
        <w:rPr/>
        <w:t>is</w:t>
      </w:r>
      <w:r>
        <w:rPr>
          <w:spacing w:val="-5"/>
        </w:rPr>
        <w:t> </w:t>
      </w:r>
      <w:r>
        <w:rPr/>
        <w:t>given</w:t>
      </w:r>
      <w:r>
        <w:rPr>
          <w:spacing w:val="-5"/>
        </w:rPr>
        <w:t> </w:t>
      </w:r>
      <w:r>
        <w:rPr/>
        <w:t>a</w:t>
      </w:r>
      <w:r>
        <w:rPr>
          <w:spacing w:val="-4"/>
        </w:rPr>
        <w:t> </w:t>
      </w:r>
      <w:r>
        <w:rPr/>
        <w:t>further </w:t>
      </w:r>
      <w:r>
        <w:rPr>
          <w:spacing w:val="-2"/>
        </w:rPr>
        <w:t>look.</w:t>
      </w:r>
    </w:p>
    <w:p>
      <w:pPr>
        <w:pStyle w:val="Heading3"/>
        <w:spacing w:before="164"/>
        <w:ind w:right="1439"/>
        <w:jc w:val="both"/>
      </w:pPr>
      <w:r>
        <w:rPr>
          <w:w w:val="85"/>
        </w:rPr>
        <w:t>KEY FEMALE CHARACTERS AND THEIR REPRESENTATION </w:t>
      </w:r>
      <w:r>
        <w:rPr>
          <w:spacing w:val="-4"/>
        </w:rPr>
        <w:t>IN</w:t>
      </w:r>
      <w:r>
        <w:rPr>
          <w:spacing w:val="-13"/>
        </w:rPr>
        <w:t> </w:t>
      </w:r>
      <w:r>
        <w:rPr>
          <w:spacing w:val="-4"/>
        </w:rPr>
        <w:t>SHAKESPEAREAN</w:t>
      </w:r>
      <w:r>
        <w:rPr>
          <w:spacing w:val="-11"/>
        </w:rPr>
        <w:t> </w:t>
      </w:r>
      <w:r>
        <w:rPr>
          <w:spacing w:val="-4"/>
        </w:rPr>
        <w:t>DRAMA</w:t>
      </w:r>
    </w:p>
    <w:p>
      <w:pPr>
        <w:pStyle w:val="BodyText"/>
        <w:spacing w:line="249" w:lineRule="auto" w:before="74"/>
        <w:ind w:right="1438" w:firstLine="432"/>
        <w:jc w:val="both"/>
      </w:pPr>
      <w:r>
        <w:rPr>
          <w:spacing w:val="-2"/>
        </w:rPr>
        <w:t>During</w:t>
      </w:r>
      <w:r>
        <w:rPr>
          <w:spacing w:val="-11"/>
        </w:rPr>
        <w:t> </w:t>
      </w:r>
      <w:r>
        <w:rPr>
          <w:spacing w:val="-2"/>
        </w:rPr>
        <w:t>the</w:t>
      </w:r>
      <w:r>
        <w:rPr>
          <w:spacing w:val="-10"/>
        </w:rPr>
        <w:t> </w:t>
      </w:r>
      <w:r>
        <w:rPr>
          <w:spacing w:val="-2"/>
        </w:rPr>
        <w:t>Elizabethan</w:t>
      </w:r>
      <w:r>
        <w:rPr>
          <w:spacing w:val="-11"/>
        </w:rPr>
        <w:t> </w:t>
      </w:r>
      <w:r>
        <w:rPr>
          <w:spacing w:val="-2"/>
        </w:rPr>
        <w:t>age,</w:t>
      </w:r>
      <w:r>
        <w:rPr>
          <w:spacing w:val="-10"/>
        </w:rPr>
        <w:t> </w:t>
      </w:r>
      <w:r>
        <w:rPr>
          <w:spacing w:val="-2"/>
        </w:rPr>
        <w:t>there</w:t>
      </w:r>
      <w:r>
        <w:rPr>
          <w:spacing w:val="-11"/>
        </w:rPr>
        <w:t> </w:t>
      </w:r>
      <w:r>
        <w:rPr>
          <w:spacing w:val="-2"/>
        </w:rPr>
        <w:t>were</w:t>
      </w:r>
      <w:r>
        <w:rPr>
          <w:spacing w:val="-10"/>
        </w:rPr>
        <w:t> </w:t>
      </w:r>
      <w:r>
        <w:rPr>
          <w:spacing w:val="-2"/>
        </w:rPr>
        <w:t>lawful</w:t>
      </w:r>
      <w:r>
        <w:rPr>
          <w:spacing w:val="-11"/>
        </w:rPr>
        <w:t> </w:t>
      </w:r>
      <w:r>
        <w:rPr>
          <w:spacing w:val="-2"/>
        </w:rPr>
        <w:t>customs,</w:t>
      </w:r>
      <w:r>
        <w:rPr>
          <w:spacing w:val="-10"/>
        </w:rPr>
        <w:t> </w:t>
      </w:r>
      <w:r>
        <w:rPr>
          <w:spacing w:val="-2"/>
        </w:rPr>
        <w:t>conventions, </w:t>
      </w:r>
      <w:r>
        <w:rPr/>
        <w:t>and expectations thereon for the treatment of women, such that even when written about in literature, they were often perceived through these filters. This set of expectations made possible the creation of tragic</w:t>
      </w:r>
      <w:r>
        <w:rPr>
          <w:spacing w:val="-1"/>
        </w:rPr>
        <w:t> </w:t>
      </w:r>
      <w:r>
        <w:rPr/>
        <w:t>figures</w:t>
      </w:r>
      <w:r>
        <w:rPr>
          <w:spacing w:val="-4"/>
        </w:rPr>
        <w:t> </w:t>
      </w:r>
      <w:r>
        <w:rPr/>
        <w:t>such</w:t>
      </w:r>
      <w:r>
        <w:rPr>
          <w:spacing w:val="-4"/>
        </w:rPr>
        <w:t> </w:t>
      </w:r>
      <w:r>
        <w:rPr/>
        <w:t>as</w:t>
      </w:r>
      <w:r>
        <w:rPr>
          <w:spacing w:val="-4"/>
        </w:rPr>
        <w:t> </w:t>
      </w:r>
      <w:r>
        <w:rPr/>
        <w:t>Ophelia</w:t>
      </w:r>
      <w:r>
        <w:rPr>
          <w:spacing w:val="-1"/>
        </w:rPr>
        <w:t> </w:t>
      </w:r>
      <w:r>
        <w:rPr/>
        <w:t>and</w:t>
      </w:r>
      <w:r>
        <w:rPr>
          <w:spacing w:val="-2"/>
        </w:rPr>
        <w:t> </w:t>
      </w:r>
      <w:r>
        <w:rPr/>
        <w:t>Desdemona,</w:t>
      </w:r>
      <w:r>
        <w:rPr>
          <w:spacing w:val="-2"/>
        </w:rPr>
        <w:t> </w:t>
      </w:r>
      <w:r>
        <w:rPr/>
        <w:t>who are</w:t>
      </w:r>
      <w:r>
        <w:rPr>
          <w:spacing w:val="-2"/>
        </w:rPr>
        <w:t> </w:t>
      </w:r>
      <w:r>
        <w:rPr/>
        <w:t>victims</w:t>
      </w:r>
      <w:r>
        <w:rPr>
          <w:spacing w:val="-4"/>
        </w:rPr>
        <w:t> </w:t>
      </w:r>
      <w:r>
        <w:rPr/>
        <w:t>of</w:t>
      </w:r>
      <w:r>
        <w:rPr>
          <w:spacing w:val="-4"/>
        </w:rPr>
        <w:t> </w:t>
      </w:r>
      <w:r>
        <w:rPr/>
        <w:t>male dominance, as well as strong, virtuous women.</w:t>
      </w:r>
      <w:r>
        <w:rPr>
          <w:spacing w:val="40"/>
        </w:rPr>
        <w:t> </w:t>
      </w:r>
      <w:r>
        <w:rPr/>
        <w:t>Lady Macbeth’s brutal ambition and shrewdness in the manipulation of her husband make evil an attractive option for her. From start to finish, she renounces the feminine values of compassion and nurturing that are so common in favour of ambition and cruelty, which are regarded as ‘masculine, conveniently aligned with the patriarchal thought-process, that delineated men as masculine and women as passive, submissive and loyal, hence ‘feminine’.</w:t>
      </w:r>
      <w:r>
        <w:rPr>
          <w:spacing w:val="-2"/>
        </w:rPr>
        <w:t> </w:t>
      </w:r>
      <w:r>
        <w:rPr/>
        <w:t>Any digression from the norms would make a woman</w:t>
      </w:r>
      <w:r>
        <w:rPr>
          <w:spacing w:val="-1"/>
        </w:rPr>
        <w:t> </w:t>
      </w:r>
      <w:r>
        <w:rPr/>
        <w:t>masculine,</w:t>
      </w:r>
      <w:r>
        <w:rPr>
          <w:spacing w:val="-1"/>
        </w:rPr>
        <w:t> </w:t>
      </w:r>
      <w:r>
        <w:rPr/>
        <w:t>hence Lady</w:t>
      </w:r>
      <w:r>
        <w:rPr>
          <w:spacing w:val="-3"/>
        </w:rPr>
        <w:t> </w:t>
      </w:r>
      <w:r>
        <w:rPr/>
        <w:t>Macbeth</w:t>
      </w:r>
      <w:r>
        <w:rPr>
          <w:spacing w:val="-1"/>
        </w:rPr>
        <w:t> </w:t>
      </w:r>
      <w:r>
        <w:rPr/>
        <w:t>is</w:t>
      </w:r>
      <w:r>
        <w:rPr>
          <w:spacing w:val="-1"/>
        </w:rPr>
        <w:t> </w:t>
      </w:r>
      <w:r>
        <w:rPr/>
        <w:t>to be seen</w:t>
      </w:r>
      <w:r>
        <w:rPr>
          <w:spacing w:val="-1"/>
        </w:rPr>
        <w:t> </w:t>
      </w:r>
      <w:r>
        <w:rPr/>
        <w:t>as</w:t>
      </w:r>
      <w:r>
        <w:rPr>
          <w:spacing w:val="-3"/>
        </w:rPr>
        <w:t> </w:t>
      </w:r>
      <w:r>
        <w:rPr/>
        <w:t>masculine, just as</w:t>
      </w:r>
      <w:r>
        <w:rPr>
          <w:spacing w:val="-2"/>
        </w:rPr>
        <w:t> </w:t>
      </w:r>
      <w:r>
        <w:rPr/>
        <w:t>Paris</w:t>
      </w:r>
      <w:r>
        <w:rPr>
          <w:spacing w:val="-2"/>
        </w:rPr>
        <w:t> </w:t>
      </w:r>
      <w:r>
        <w:rPr/>
        <w:t>in Homer’s</w:t>
      </w:r>
      <w:r>
        <w:rPr>
          <w:spacing w:val="-1"/>
        </w:rPr>
        <w:t> </w:t>
      </w:r>
      <w:r>
        <w:rPr>
          <w:i/>
        </w:rPr>
        <w:t>Iliad </w:t>
      </w:r>
      <w:r>
        <w:rPr/>
        <w:t>is</w:t>
      </w:r>
      <w:r>
        <w:rPr>
          <w:spacing w:val="-2"/>
        </w:rPr>
        <w:t> </w:t>
      </w:r>
      <w:r>
        <w:rPr/>
        <w:t>perceived or Macbeth is depicted ‘feminine </w:t>
      </w:r>
      <w:r>
        <w:rPr>
          <w:spacing w:val="-4"/>
        </w:rPr>
        <w:t>since</w:t>
      </w:r>
      <w:r>
        <w:rPr>
          <w:spacing w:val="-3"/>
        </w:rPr>
        <w:t> </w:t>
      </w:r>
      <w:r>
        <w:rPr>
          <w:spacing w:val="-4"/>
        </w:rPr>
        <w:t>Lady</w:t>
      </w:r>
      <w:r>
        <w:rPr>
          <w:spacing w:val="-11"/>
        </w:rPr>
        <w:t> </w:t>
      </w:r>
      <w:r>
        <w:rPr>
          <w:spacing w:val="-4"/>
        </w:rPr>
        <w:t>Macbeth</w:t>
      </w:r>
      <w:r>
        <w:rPr>
          <w:spacing w:val="-10"/>
        </w:rPr>
        <w:t> </w:t>
      </w:r>
      <w:r>
        <w:rPr>
          <w:spacing w:val="-4"/>
        </w:rPr>
        <w:t>is</w:t>
      </w:r>
      <w:r>
        <w:rPr>
          <w:spacing w:val="-5"/>
        </w:rPr>
        <w:t> </w:t>
      </w:r>
      <w:r>
        <w:rPr>
          <w:spacing w:val="-4"/>
        </w:rPr>
        <w:t>the</w:t>
      </w:r>
      <w:r>
        <w:rPr>
          <w:spacing w:val="-3"/>
        </w:rPr>
        <w:t> </w:t>
      </w:r>
      <w:r>
        <w:rPr>
          <w:spacing w:val="-4"/>
        </w:rPr>
        <w:t>dominant</w:t>
      </w:r>
      <w:r>
        <w:rPr>
          <w:spacing w:val="-5"/>
        </w:rPr>
        <w:t> </w:t>
      </w:r>
      <w:r>
        <w:rPr>
          <w:spacing w:val="-4"/>
        </w:rPr>
        <w:t>member</w:t>
      </w:r>
      <w:r>
        <w:rPr>
          <w:spacing w:val="-6"/>
        </w:rPr>
        <w:t> </w:t>
      </w:r>
      <w:r>
        <w:rPr>
          <w:spacing w:val="-4"/>
        </w:rPr>
        <w:t>in</w:t>
      </w:r>
      <w:r>
        <w:rPr>
          <w:spacing w:val="-10"/>
        </w:rPr>
        <w:t> </w:t>
      </w:r>
      <w:r>
        <w:rPr>
          <w:spacing w:val="-4"/>
        </w:rPr>
        <w:t>this</w:t>
      </w:r>
      <w:r>
        <w:rPr>
          <w:spacing w:val="-5"/>
        </w:rPr>
        <w:t> </w:t>
      </w:r>
      <w:r>
        <w:rPr>
          <w:spacing w:val="-4"/>
        </w:rPr>
        <w:t>marriage,</w:t>
      </w:r>
      <w:r>
        <w:rPr>
          <w:spacing w:val="-6"/>
        </w:rPr>
        <w:t> </w:t>
      </w:r>
      <w:r>
        <w:rPr>
          <w:spacing w:val="-4"/>
        </w:rPr>
        <w:t>encouraging</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48256">
                <wp:simplePos x="0" y="0"/>
                <wp:positionH relativeFrom="page">
                  <wp:posOffset>2065020</wp:posOffset>
                </wp:positionH>
                <wp:positionV relativeFrom="paragraph">
                  <wp:posOffset>162604</wp:posOffset>
                </wp:positionV>
                <wp:extent cx="3657600" cy="12700"/>
                <wp:effectExtent l="0" t="0" r="0" b="0"/>
                <wp:wrapTopAndBottom/>
                <wp:docPr id="226" name="Graphic 226"/>
                <wp:cNvGraphicFramePr>
                  <a:graphicFrameLocks/>
                </wp:cNvGraphicFramePr>
                <a:graphic>
                  <a:graphicData uri="http://schemas.microsoft.com/office/word/2010/wordprocessingShape">
                    <wps:wsp>
                      <wps:cNvPr id="226" name="Graphic 22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68224;mso-wrap-distance-left:0;mso-wrap-distance-right:0" id="docshape222" filled="true" fillcolor="#000000" stroked="false">
                <v:fill type="solid"/>
                <w10:wrap type="topAndBottom"/>
              </v:rect>
            </w:pict>
          </mc:Fallback>
        </mc:AlternateContent>
      </w:r>
      <w:r>
        <w:rPr>
          <w:rFonts w:ascii="Verdana" w:hAnsi="Verdana"/>
          <w:sz w:val="18"/>
        </w:rPr>
        <w:t>The</w:t>
      </w:r>
      <w:r>
        <w:rPr>
          <w:rFonts w:ascii="Verdana" w:hAnsi="Verdana"/>
          <w:spacing w:val="3"/>
          <w:sz w:val="18"/>
        </w:rPr>
        <w:t> </w:t>
      </w:r>
      <w:r>
        <w:rPr>
          <w:rFonts w:ascii="Verdana" w:hAnsi="Verdana"/>
          <w:sz w:val="18"/>
        </w:rPr>
        <w:t>‘Loyal’</w:t>
      </w:r>
      <w:r>
        <w:rPr>
          <w:rFonts w:ascii="Verdana" w:hAnsi="Verdana"/>
          <w:spacing w:val="3"/>
          <w:sz w:val="18"/>
        </w:rPr>
        <w:t> </w:t>
      </w:r>
      <w:r>
        <w:rPr>
          <w:rFonts w:ascii="Verdana" w:hAnsi="Verdana"/>
          <w:sz w:val="18"/>
        </w:rPr>
        <w:t>Elizabethan</w:t>
      </w:r>
      <w:r>
        <w:rPr>
          <w:rFonts w:ascii="Verdana" w:hAnsi="Verdana"/>
          <w:spacing w:val="2"/>
          <w:sz w:val="18"/>
        </w:rPr>
        <w:t> </w:t>
      </w:r>
      <w:r>
        <w:rPr>
          <w:rFonts w:ascii="Verdana" w:hAnsi="Verdana"/>
          <w:sz w:val="18"/>
        </w:rPr>
        <w:t>Women</w:t>
      </w:r>
      <w:r>
        <w:rPr>
          <w:rFonts w:ascii="Verdana" w:hAnsi="Verdana"/>
          <w:spacing w:val="6"/>
          <w:sz w:val="18"/>
        </w:rPr>
        <w:t> </w:t>
      </w:r>
      <w:r>
        <w:rPr>
          <w:rFonts w:ascii="Verdana" w:hAnsi="Verdana"/>
          <w:sz w:val="18"/>
        </w:rPr>
        <w:t>in</w:t>
      </w:r>
      <w:r>
        <w:rPr>
          <w:rFonts w:ascii="Verdana" w:hAnsi="Verdana"/>
          <w:spacing w:val="5"/>
          <w:sz w:val="18"/>
        </w:rPr>
        <w:t> </w:t>
      </w:r>
      <w:r>
        <w:rPr>
          <w:rFonts w:ascii="Verdana" w:hAnsi="Verdana"/>
          <w:sz w:val="18"/>
        </w:rPr>
        <w:t>Shakespeare’s</w:t>
      </w:r>
      <w:r>
        <w:rPr>
          <w:rFonts w:ascii="Verdana" w:hAnsi="Verdana"/>
          <w:spacing w:val="4"/>
          <w:sz w:val="18"/>
        </w:rPr>
        <w:t> </w:t>
      </w:r>
      <w:r>
        <w:rPr>
          <w:rFonts w:ascii="Verdana" w:hAnsi="Verdana"/>
          <w:spacing w:val="-2"/>
          <w:sz w:val="18"/>
        </w:rPr>
        <w:t>Select...</w:t>
      </w:r>
      <w:r>
        <w:rPr>
          <w:rFonts w:ascii="Verdana" w:hAnsi="Verdana"/>
          <w:sz w:val="18"/>
        </w:rPr>
        <w:tab/>
      </w:r>
      <w:r>
        <w:rPr>
          <w:rFonts w:ascii="Verdana" w:hAnsi="Verdana"/>
          <w:spacing w:val="-5"/>
          <w:sz w:val="18"/>
        </w:rPr>
        <w:t>55</w:t>
      </w:r>
    </w:p>
    <w:p>
      <w:pPr>
        <w:pStyle w:val="BodyText"/>
        <w:spacing w:line="249" w:lineRule="auto" w:before="192"/>
        <w:ind w:right="1440"/>
        <w:jc w:val="both"/>
      </w:pPr>
      <w:r>
        <w:rPr/>
        <w:t>her reluctant,</w:t>
      </w:r>
      <w:r>
        <w:rPr>
          <w:spacing w:val="-1"/>
        </w:rPr>
        <w:t> </w:t>
      </w:r>
      <w:r>
        <w:rPr/>
        <w:t>even ‘feminine’</w:t>
      </w:r>
      <w:r>
        <w:rPr>
          <w:spacing w:val="-3"/>
        </w:rPr>
        <w:t> </w:t>
      </w:r>
      <w:r>
        <w:rPr/>
        <w:t>husband in the slaughter of</w:t>
      </w:r>
      <w:r>
        <w:rPr>
          <w:spacing w:val="-3"/>
        </w:rPr>
        <w:t> </w:t>
      </w:r>
      <w:r>
        <w:rPr/>
        <w:t>King Duncan and the usurpation of the throne. But as her will begins to crumble under</w:t>
      </w:r>
      <w:r>
        <w:rPr>
          <w:spacing w:val="-12"/>
        </w:rPr>
        <w:t> </w:t>
      </w:r>
      <w:r>
        <w:rPr/>
        <w:t>the</w:t>
      </w:r>
      <w:r>
        <w:rPr>
          <w:spacing w:val="-11"/>
        </w:rPr>
        <w:t> </w:t>
      </w:r>
      <w:r>
        <w:rPr/>
        <w:t>unbearable</w:t>
      </w:r>
      <w:r>
        <w:rPr>
          <w:spacing w:val="-11"/>
        </w:rPr>
        <w:t> </w:t>
      </w:r>
      <w:r>
        <w:rPr/>
        <w:t>weight</w:t>
      </w:r>
      <w:r>
        <w:rPr>
          <w:spacing w:val="-11"/>
        </w:rPr>
        <w:t> </w:t>
      </w:r>
      <w:r>
        <w:rPr/>
        <w:t>of</w:t>
      </w:r>
      <w:r>
        <w:rPr>
          <w:spacing w:val="-13"/>
        </w:rPr>
        <w:t> </w:t>
      </w:r>
      <w:r>
        <w:rPr/>
        <w:t>her</w:t>
      </w:r>
      <w:r>
        <w:rPr>
          <w:spacing w:val="-10"/>
        </w:rPr>
        <w:t> </w:t>
      </w:r>
      <w:r>
        <w:rPr/>
        <w:t>conscience,</w:t>
      </w:r>
      <w:r>
        <w:rPr>
          <w:spacing w:val="-11"/>
        </w:rPr>
        <w:t> </w:t>
      </w:r>
      <w:r>
        <w:rPr/>
        <w:t>her</w:t>
      </w:r>
      <w:r>
        <w:rPr>
          <w:spacing w:val="-11"/>
        </w:rPr>
        <w:t> </w:t>
      </w:r>
      <w:r>
        <w:rPr/>
        <w:t>descent</w:t>
      </w:r>
      <w:r>
        <w:rPr>
          <w:spacing w:val="-11"/>
        </w:rPr>
        <w:t> </w:t>
      </w:r>
      <w:r>
        <w:rPr/>
        <w:t>into</w:t>
      </w:r>
      <w:r>
        <w:rPr>
          <w:spacing w:val="-11"/>
        </w:rPr>
        <w:t> </w:t>
      </w:r>
      <w:r>
        <w:rPr/>
        <w:t>madness offers a poignant and tragic example of the cost women incur for defying</w:t>
      </w:r>
      <w:r>
        <w:rPr>
          <w:spacing w:val="40"/>
        </w:rPr>
        <w:t> </w:t>
      </w:r>
      <w:r>
        <w:rPr/>
        <w:t>imposed</w:t>
      </w:r>
      <w:r>
        <w:rPr>
          <w:spacing w:val="40"/>
        </w:rPr>
        <w:t> </w:t>
      </w:r>
      <w:r>
        <w:rPr/>
        <w:t>societal</w:t>
      </w:r>
      <w:r>
        <w:rPr>
          <w:spacing w:val="40"/>
        </w:rPr>
        <w:t> </w:t>
      </w:r>
      <w:r>
        <w:rPr/>
        <w:t>norms.</w:t>
      </w:r>
    </w:p>
    <w:p>
      <w:pPr>
        <w:pStyle w:val="BodyText"/>
        <w:spacing w:line="249" w:lineRule="auto" w:before="62"/>
        <w:ind w:right="1437" w:firstLine="432"/>
        <w:jc w:val="both"/>
      </w:pPr>
      <w:r>
        <w:rPr/>
        <w:t>Ophelia stands for the tragic results of female subjugation in a world ruled by men. Elaine Showalter in the section, “Representing </w:t>
      </w:r>
      <w:r>
        <w:rPr>
          <w:spacing w:val="-4"/>
        </w:rPr>
        <w:t>Ophelia:</w:t>
      </w:r>
      <w:r>
        <w:rPr>
          <w:spacing w:val="-9"/>
        </w:rPr>
        <w:t> </w:t>
      </w:r>
      <w:r>
        <w:rPr>
          <w:spacing w:val="-4"/>
        </w:rPr>
        <w:t>Women,</w:t>
      </w:r>
      <w:r>
        <w:rPr>
          <w:spacing w:val="-8"/>
        </w:rPr>
        <w:t> </w:t>
      </w:r>
      <w:r>
        <w:rPr>
          <w:spacing w:val="-4"/>
        </w:rPr>
        <w:t>Madness,</w:t>
      </w:r>
      <w:r>
        <w:rPr>
          <w:spacing w:val="-9"/>
        </w:rPr>
        <w:t> </w:t>
      </w:r>
      <w:r>
        <w:rPr>
          <w:spacing w:val="-4"/>
        </w:rPr>
        <w:t>and</w:t>
      </w:r>
      <w:r>
        <w:rPr>
          <w:spacing w:val="-8"/>
        </w:rPr>
        <w:t> </w:t>
      </w:r>
      <w:r>
        <w:rPr>
          <w:spacing w:val="-4"/>
        </w:rPr>
        <w:t>the</w:t>
      </w:r>
      <w:r>
        <w:rPr>
          <w:spacing w:val="-9"/>
        </w:rPr>
        <w:t> </w:t>
      </w:r>
      <w:r>
        <w:rPr>
          <w:spacing w:val="-4"/>
        </w:rPr>
        <w:t>Responsibilities</w:t>
      </w:r>
      <w:r>
        <w:rPr>
          <w:spacing w:val="-8"/>
        </w:rPr>
        <w:t> </w:t>
      </w:r>
      <w:r>
        <w:rPr>
          <w:spacing w:val="-4"/>
        </w:rPr>
        <w:t>of</w:t>
      </w:r>
      <w:r>
        <w:rPr>
          <w:spacing w:val="-7"/>
        </w:rPr>
        <w:t> </w:t>
      </w:r>
      <w:r>
        <w:rPr>
          <w:spacing w:val="-4"/>
        </w:rPr>
        <w:t>Feminist</w:t>
      </w:r>
      <w:r>
        <w:rPr>
          <w:spacing w:val="-7"/>
        </w:rPr>
        <w:t> </w:t>
      </w:r>
      <w:r>
        <w:rPr>
          <w:spacing w:val="-4"/>
        </w:rPr>
        <w:t>Criticism” </w:t>
      </w:r>
      <w:r>
        <w:rPr/>
        <w:t>(Showalter,</w:t>
      </w:r>
      <w:r>
        <w:rPr>
          <w:spacing w:val="-8"/>
        </w:rPr>
        <w:t> </w:t>
      </w:r>
      <w:r>
        <w:rPr/>
        <w:t>281)</w:t>
      </w:r>
      <w:r>
        <w:rPr>
          <w:spacing w:val="-8"/>
        </w:rPr>
        <w:t> </w:t>
      </w:r>
      <w:r>
        <w:rPr/>
        <w:t>argues</w:t>
      </w:r>
      <w:r>
        <w:rPr>
          <w:spacing w:val="-8"/>
        </w:rPr>
        <w:t> </w:t>
      </w:r>
      <w:r>
        <w:rPr/>
        <w:t>on</w:t>
      </w:r>
      <w:r>
        <w:rPr>
          <w:spacing w:val="-8"/>
        </w:rPr>
        <w:t> </w:t>
      </w:r>
      <w:r>
        <w:rPr/>
        <w:t>taking</w:t>
      </w:r>
      <w:r>
        <w:rPr>
          <w:spacing w:val="-12"/>
        </w:rPr>
        <w:t> </w:t>
      </w:r>
      <w:r>
        <w:rPr/>
        <w:t>third</w:t>
      </w:r>
      <w:r>
        <w:rPr>
          <w:spacing w:val="-7"/>
        </w:rPr>
        <w:t> </w:t>
      </w:r>
      <w:r>
        <w:rPr/>
        <w:t>approach</w:t>
      </w:r>
      <w:r>
        <w:rPr>
          <w:spacing w:val="-10"/>
        </w:rPr>
        <w:t> </w:t>
      </w:r>
      <w:r>
        <w:rPr/>
        <w:t>to</w:t>
      </w:r>
      <w:r>
        <w:rPr>
          <w:spacing w:val="-7"/>
        </w:rPr>
        <w:t> </w:t>
      </w:r>
      <w:r>
        <w:rPr/>
        <w:t>read</w:t>
      </w:r>
      <w:r>
        <w:rPr>
          <w:spacing w:val="-8"/>
        </w:rPr>
        <w:t> </w:t>
      </w:r>
      <w:r>
        <w:rPr/>
        <w:t>Ophelia’s</w:t>
      </w:r>
      <w:r>
        <w:rPr>
          <w:spacing w:val="-8"/>
        </w:rPr>
        <w:t> </w:t>
      </w:r>
      <w:r>
        <w:rPr/>
        <w:t>story as the female subtext of the tragedy, the repressed story of Hamlet. We again</w:t>
      </w:r>
      <w:r>
        <w:rPr>
          <w:spacing w:val="-5"/>
        </w:rPr>
        <w:t> </w:t>
      </w:r>
      <w:r>
        <w:rPr/>
        <w:t>see</w:t>
      </w:r>
      <w:r>
        <w:rPr>
          <w:spacing w:val="-4"/>
        </w:rPr>
        <w:t> </w:t>
      </w:r>
      <w:r>
        <w:rPr/>
        <w:t>a</w:t>
      </w:r>
      <w:r>
        <w:rPr>
          <w:spacing w:val="-3"/>
        </w:rPr>
        <w:t> </w:t>
      </w:r>
      <w:r>
        <w:rPr/>
        <w:t>woman</w:t>
      </w:r>
      <w:r>
        <w:rPr>
          <w:spacing w:val="-4"/>
        </w:rPr>
        <w:t> </w:t>
      </w:r>
      <w:r>
        <w:rPr/>
        <w:t>who</w:t>
      </w:r>
      <w:r>
        <w:rPr>
          <w:spacing w:val="-4"/>
        </w:rPr>
        <w:t> </w:t>
      </w:r>
      <w:r>
        <w:rPr/>
        <w:t>is</w:t>
      </w:r>
      <w:r>
        <w:rPr>
          <w:spacing w:val="-4"/>
        </w:rPr>
        <w:t> </w:t>
      </w:r>
      <w:r>
        <w:rPr/>
        <w:t>more</w:t>
      </w:r>
      <w:r>
        <w:rPr>
          <w:spacing w:val="-4"/>
        </w:rPr>
        <w:t> </w:t>
      </w:r>
      <w:r>
        <w:rPr/>
        <w:t>manly</w:t>
      </w:r>
      <w:r>
        <w:rPr>
          <w:spacing w:val="-7"/>
        </w:rPr>
        <w:t> </w:t>
      </w:r>
      <w:r>
        <w:rPr/>
        <w:t>than</w:t>
      </w:r>
      <w:r>
        <w:rPr>
          <w:spacing w:val="-5"/>
        </w:rPr>
        <w:t> </w:t>
      </w:r>
      <w:r>
        <w:rPr/>
        <w:t>the</w:t>
      </w:r>
      <w:r>
        <w:rPr>
          <w:spacing w:val="-1"/>
        </w:rPr>
        <w:t> </w:t>
      </w:r>
      <w:r>
        <w:rPr/>
        <w:t>male</w:t>
      </w:r>
      <w:r>
        <w:rPr>
          <w:spacing w:val="-4"/>
        </w:rPr>
        <w:t> </w:t>
      </w:r>
      <w:r>
        <w:rPr/>
        <w:t>counterparts</w:t>
      </w:r>
      <w:r>
        <w:rPr>
          <w:spacing w:val="-4"/>
        </w:rPr>
        <w:t> </w:t>
      </w:r>
      <w:r>
        <w:rPr/>
        <w:t>in</w:t>
      </w:r>
      <w:r>
        <w:rPr>
          <w:spacing w:val="-5"/>
        </w:rPr>
        <w:t> </w:t>
      </w:r>
      <w:r>
        <w:rPr/>
        <w:t>the tragedy, Laertes her brother who is perceived unmanly since he weeps for his dead sister and says of his tears, When these are gone, / the woman will be out’ and when she is alive he warns her that ‘love may ensnare her’(282). He warns Ophelia about the dangers of love, reinforcing</w:t>
      </w:r>
      <w:r>
        <w:rPr>
          <w:spacing w:val="-8"/>
        </w:rPr>
        <w:t> </w:t>
      </w:r>
      <w:r>
        <w:rPr/>
        <w:t>the</w:t>
      </w:r>
      <w:r>
        <w:rPr>
          <w:spacing w:val="-8"/>
        </w:rPr>
        <w:t> </w:t>
      </w:r>
      <w:r>
        <w:rPr/>
        <w:t>premise</w:t>
      </w:r>
      <w:r>
        <w:rPr>
          <w:spacing w:val="-8"/>
        </w:rPr>
        <w:t> </w:t>
      </w:r>
      <w:r>
        <w:rPr/>
        <w:t>that</w:t>
      </w:r>
      <w:r>
        <w:rPr>
          <w:spacing w:val="-8"/>
        </w:rPr>
        <w:t> </w:t>
      </w:r>
      <w:r>
        <w:rPr/>
        <w:t>women</w:t>
      </w:r>
      <w:r>
        <w:rPr>
          <w:spacing w:val="-8"/>
        </w:rPr>
        <w:t> </w:t>
      </w:r>
      <w:r>
        <w:rPr/>
        <w:t>must</w:t>
      </w:r>
      <w:r>
        <w:rPr>
          <w:spacing w:val="-8"/>
        </w:rPr>
        <w:t> </w:t>
      </w:r>
      <w:r>
        <w:rPr/>
        <w:t>be</w:t>
      </w:r>
      <w:r>
        <w:rPr>
          <w:spacing w:val="-8"/>
        </w:rPr>
        <w:t> </w:t>
      </w:r>
      <w:r>
        <w:rPr/>
        <w:t>sexually</w:t>
      </w:r>
      <w:r>
        <w:rPr>
          <w:spacing w:val="-10"/>
        </w:rPr>
        <w:t> </w:t>
      </w:r>
      <w:r>
        <w:rPr/>
        <w:t>controlled</w:t>
      </w:r>
      <w:r>
        <w:rPr>
          <w:spacing w:val="-7"/>
        </w:rPr>
        <w:t> </w:t>
      </w:r>
      <w:r>
        <w:rPr/>
        <w:t>by</w:t>
      </w:r>
      <w:r>
        <w:rPr>
          <w:spacing w:val="-12"/>
        </w:rPr>
        <w:t> </w:t>
      </w:r>
      <w:r>
        <w:rPr/>
        <w:t>men. Showalter informs,</w:t>
      </w:r>
      <w:r>
        <w:rPr>
          <w:spacing w:val="-1"/>
        </w:rPr>
        <w:t> </w:t>
      </w:r>
      <w:r>
        <w:rPr/>
        <w:t>according</w:t>
      </w:r>
      <w:r>
        <w:rPr>
          <w:spacing w:val="-1"/>
        </w:rPr>
        <w:t> </w:t>
      </w:r>
      <w:r>
        <w:rPr/>
        <w:t>to David Leverenz,</w:t>
      </w:r>
      <w:r>
        <w:rPr>
          <w:spacing w:val="-1"/>
        </w:rPr>
        <w:t> </w:t>
      </w:r>
      <w:r>
        <w:rPr/>
        <w:t>in an</w:t>
      </w:r>
      <w:r>
        <w:rPr>
          <w:spacing w:val="-3"/>
        </w:rPr>
        <w:t> </w:t>
      </w:r>
      <w:r>
        <w:rPr/>
        <w:t>important essay </w:t>
      </w:r>
      <w:r>
        <w:rPr>
          <w:spacing w:val="-2"/>
        </w:rPr>
        <w:t>called</w:t>
      </w:r>
      <w:r>
        <w:rPr>
          <w:spacing w:val="-5"/>
        </w:rPr>
        <w:t> </w:t>
      </w:r>
      <w:r>
        <w:rPr>
          <w:spacing w:val="-2"/>
        </w:rPr>
        <w:t>‘The</w:t>
      </w:r>
      <w:r>
        <w:rPr>
          <w:spacing w:val="-5"/>
        </w:rPr>
        <w:t> </w:t>
      </w:r>
      <w:r>
        <w:rPr>
          <w:spacing w:val="-2"/>
        </w:rPr>
        <w:t>Woman</w:t>
      </w:r>
      <w:r>
        <w:rPr>
          <w:spacing w:val="-8"/>
        </w:rPr>
        <w:t> </w:t>
      </w:r>
      <w:r>
        <w:rPr>
          <w:spacing w:val="-2"/>
        </w:rPr>
        <w:t>in</w:t>
      </w:r>
      <w:r>
        <w:rPr>
          <w:spacing w:val="-3"/>
        </w:rPr>
        <w:t> </w:t>
      </w:r>
      <w:r>
        <w:rPr>
          <w:i/>
          <w:spacing w:val="-2"/>
        </w:rPr>
        <w:t>Hamlet,</w:t>
      </w:r>
      <w:r>
        <w:rPr>
          <w:i/>
          <w:spacing w:val="-4"/>
        </w:rPr>
        <w:t> </w:t>
      </w:r>
      <w:r>
        <w:rPr>
          <w:spacing w:val="-2"/>
        </w:rPr>
        <w:t>Hamlet’s</w:t>
      </w:r>
      <w:r>
        <w:rPr>
          <w:spacing w:val="-4"/>
        </w:rPr>
        <w:t> </w:t>
      </w:r>
      <w:r>
        <w:rPr>
          <w:spacing w:val="-2"/>
        </w:rPr>
        <w:t>disgust</w:t>
      </w:r>
      <w:r>
        <w:rPr>
          <w:spacing w:val="-6"/>
        </w:rPr>
        <w:t> </w:t>
      </w:r>
      <w:r>
        <w:rPr>
          <w:spacing w:val="-2"/>
        </w:rPr>
        <w:t>at</w:t>
      </w:r>
      <w:r>
        <w:rPr>
          <w:spacing w:val="-8"/>
        </w:rPr>
        <w:t> </w:t>
      </w:r>
      <w:r>
        <w:rPr>
          <w:spacing w:val="-2"/>
        </w:rPr>
        <w:t>the</w:t>
      </w:r>
      <w:r>
        <w:rPr>
          <w:spacing w:val="-3"/>
        </w:rPr>
        <w:t> </w:t>
      </w:r>
      <w:r>
        <w:rPr>
          <w:spacing w:val="-2"/>
        </w:rPr>
        <w:t>feminine</w:t>
      </w:r>
      <w:r>
        <w:rPr>
          <w:spacing w:val="-5"/>
        </w:rPr>
        <w:t> </w:t>
      </w:r>
      <w:r>
        <w:rPr>
          <w:spacing w:val="-2"/>
        </w:rPr>
        <w:t>passivity </w:t>
      </w:r>
      <w:r>
        <w:rPr/>
        <w:t>in himself is translated into violent revulsion against women, and into his</w:t>
      </w:r>
      <w:r>
        <w:rPr>
          <w:spacing w:val="40"/>
        </w:rPr>
        <w:t> </w:t>
      </w:r>
      <w:r>
        <w:rPr/>
        <w:t>brutal</w:t>
      </w:r>
      <w:r>
        <w:rPr>
          <w:spacing w:val="40"/>
        </w:rPr>
        <w:t> </w:t>
      </w:r>
      <w:r>
        <w:rPr/>
        <w:t>behaviour</w:t>
      </w:r>
      <w:r>
        <w:rPr>
          <w:spacing w:val="40"/>
        </w:rPr>
        <w:t> </w:t>
      </w:r>
      <w:r>
        <w:rPr/>
        <w:t>towards</w:t>
      </w:r>
      <w:r>
        <w:rPr>
          <w:spacing w:val="40"/>
        </w:rPr>
        <w:t> </w:t>
      </w:r>
      <w:r>
        <w:rPr/>
        <w:t>Ophelia.</w:t>
      </w:r>
    </w:p>
    <w:p>
      <w:pPr>
        <w:pStyle w:val="BodyText"/>
        <w:spacing w:line="249" w:lineRule="auto" w:before="70"/>
        <w:ind w:right="1438" w:firstLine="432"/>
        <w:jc w:val="both"/>
      </w:pPr>
      <w:r>
        <w:rPr/>
        <w:t>Her story also speaks of her subjugation by male relatives: Polonius, her father, orders her, and Hamlet plays with her affections. Her father, Polonius, uses her as a pawn in his political schemes, instructing her to distance herself from Hamlet to test his madness, a ploy that backfires terribly.</w:t>
      </w:r>
    </w:p>
    <w:p>
      <w:pPr>
        <w:pStyle w:val="BodyText"/>
        <w:spacing w:line="249" w:lineRule="auto" w:before="64"/>
        <w:ind w:right="1437" w:firstLine="432"/>
        <w:jc w:val="both"/>
      </w:pPr>
      <w:r>
        <w:rPr/>
        <w:t>Desdemona, in </w:t>
      </w:r>
      <w:r>
        <w:rPr>
          <w:i/>
        </w:rPr>
        <w:t>Othello</w:t>
      </w:r>
      <w:r>
        <w:rPr/>
        <w:t>, starts as a gutsy, free-thinking woman who marries Othello against her father’s wishes; her story ultimately reminds</w:t>
      </w:r>
      <w:r>
        <w:rPr>
          <w:spacing w:val="-5"/>
        </w:rPr>
        <w:t> </w:t>
      </w:r>
      <w:r>
        <w:rPr/>
        <w:t>one</w:t>
      </w:r>
      <w:r>
        <w:rPr>
          <w:spacing w:val="-3"/>
        </w:rPr>
        <w:t> </w:t>
      </w:r>
      <w:r>
        <w:rPr/>
        <w:t>of</w:t>
      </w:r>
      <w:r>
        <w:rPr>
          <w:spacing w:val="-5"/>
        </w:rPr>
        <w:t> </w:t>
      </w:r>
      <w:r>
        <w:rPr/>
        <w:t>female</w:t>
      </w:r>
      <w:r>
        <w:rPr>
          <w:spacing w:val="-3"/>
        </w:rPr>
        <w:t> </w:t>
      </w:r>
      <w:r>
        <w:rPr/>
        <w:t>helplessness</w:t>
      </w:r>
      <w:r>
        <w:rPr>
          <w:spacing w:val="-5"/>
        </w:rPr>
        <w:t> </w:t>
      </w:r>
      <w:r>
        <w:rPr/>
        <w:t>before</w:t>
      </w:r>
      <w:r>
        <w:rPr>
          <w:spacing w:val="-2"/>
        </w:rPr>
        <w:t> </w:t>
      </w:r>
      <w:r>
        <w:rPr/>
        <w:t>jealousy</w:t>
      </w:r>
      <w:r>
        <w:rPr>
          <w:spacing w:val="-7"/>
        </w:rPr>
        <w:t> </w:t>
      </w:r>
      <w:r>
        <w:rPr/>
        <w:t>and</w:t>
      </w:r>
      <w:r>
        <w:rPr>
          <w:spacing w:val="-3"/>
        </w:rPr>
        <w:t> </w:t>
      </w:r>
      <w:r>
        <w:rPr/>
        <w:t>control</w:t>
      </w:r>
      <w:r>
        <w:rPr>
          <w:spacing w:val="-2"/>
        </w:rPr>
        <w:t> </w:t>
      </w:r>
      <w:r>
        <w:rPr/>
        <w:t>by</w:t>
      </w:r>
      <w:r>
        <w:rPr>
          <w:spacing w:val="-7"/>
        </w:rPr>
        <w:t> </w:t>
      </w:r>
      <w:r>
        <w:rPr/>
        <w:t>men. Against all socio-political conventions, she takes control of her agency by eloping with Othello, thus claiming agency for her romantic choice, which in turn shows how weak and pitiably strong she really is. Desdemona subverts patriarchal authority by siding with Othello even when</w:t>
      </w:r>
      <w:r>
        <w:rPr>
          <w:spacing w:val="40"/>
        </w:rPr>
        <w:t> </w:t>
      </w:r>
      <w:r>
        <w:rPr/>
        <w:t>he</w:t>
      </w:r>
      <w:r>
        <w:rPr>
          <w:spacing w:val="40"/>
        </w:rPr>
        <w:t> </w:t>
      </w:r>
      <w:r>
        <w:rPr/>
        <w:t>becomes</w:t>
      </w:r>
      <w:r>
        <w:rPr>
          <w:spacing w:val="40"/>
        </w:rPr>
        <w:t> </w:t>
      </w:r>
      <w:r>
        <w:rPr/>
        <w:t>abusive.</w:t>
      </w:r>
    </w:p>
    <w:p>
      <w:pPr>
        <w:pStyle w:val="BodyText"/>
        <w:spacing w:line="249" w:lineRule="auto" w:before="64"/>
        <w:ind w:right="1438" w:firstLine="432"/>
        <w:jc w:val="both"/>
      </w:pPr>
      <w:r>
        <w:rPr/>
        <w:t>The Feminist readings of Shakespeare’s works are heterogeneous and ever-changing. While the radical feminist perspective sees Shakespeare’s female characters as aggressors against gender norms, others argue that their final fate endorses patriarchy. New and exciting postmodern, psychoanalytic, and intersectional studies claim that Shakespeare</w:t>
      </w:r>
      <w:r>
        <w:rPr>
          <w:spacing w:val="18"/>
        </w:rPr>
        <w:t> </w:t>
      </w:r>
      <w:r>
        <w:rPr/>
        <w:t>both</w:t>
      </w:r>
      <w:r>
        <w:rPr>
          <w:spacing w:val="15"/>
        </w:rPr>
        <w:t> </w:t>
      </w:r>
      <w:r>
        <w:rPr/>
        <w:t>recognizes</w:t>
      </w:r>
      <w:r>
        <w:rPr>
          <w:spacing w:val="18"/>
        </w:rPr>
        <w:t> </w:t>
      </w:r>
      <w:r>
        <w:rPr/>
        <w:t>and</w:t>
      </w:r>
      <w:r>
        <w:rPr>
          <w:spacing w:val="19"/>
        </w:rPr>
        <w:t> </w:t>
      </w:r>
      <w:r>
        <w:rPr/>
        <w:t>critiques</w:t>
      </w:r>
      <w:r>
        <w:rPr>
          <w:spacing w:val="17"/>
        </w:rPr>
        <w:t> </w:t>
      </w:r>
      <w:r>
        <w:rPr/>
        <w:t>gender</w:t>
      </w:r>
      <w:r>
        <w:rPr>
          <w:spacing w:val="15"/>
        </w:rPr>
        <w:t> </w:t>
      </w:r>
      <w:r>
        <w:rPr/>
        <w:t>roles.</w:t>
      </w:r>
      <w:r>
        <w:rPr>
          <w:spacing w:val="18"/>
        </w:rPr>
        <w:t> </w:t>
      </w:r>
      <w:r>
        <w:rPr>
          <w:spacing w:val="-2"/>
        </w:rPr>
        <w:t>Intersectional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48768">
                <wp:simplePos x="0" y="0"/>
                <wp:positionH relativeFrom="page">
                  <wp:posOffset>2057400</wp:posOffset>
                </wp:positionH>
                <wp:positionV relativeFrom="paragraph">
                  <wp:posOffset>162604</wp:posOffset>
                </wp:positionV>
                <wp:extent cx="3657600" cy="12700"/>
                <wp:effectExtent l="0" t="0" r="0" b="0"/>
                <wp:wrapTopAndBottom/>
                <wp:docPr id="227" name="Graphic 227"/>
                <wp:cNvGraphicFramePr>
                  <a:graphicFrameLocks/>
                </wp:cNvGraphicFramePr>
                <a:graphic>
                  <a:graphicData uri="http://schemas.microsoft.com/office/word/2010/wordprocessingShape">
                    <wps:wsp>
                      <wps:cNvPr id="227" name="Graphic 22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67712;mso-wrap-distance-left:0;mso-wrap-distance-right:0" id="docshape223" filled="true" fillcolor="#000000" stroked="false">
                <v:fill type="solid"/>
                <w10:wrap type="topAndBottom"/>
              </v:rect>
            </w:pict>
          </mc:Fallback>
        </mc:AlternateContent>
      </w:r>
      <w:r>
        <w:rPr>
          <w:rFonts w:ascii="Verdana"/>
          <w:spacing w:val="-5"/>
          <w:sz w:val="18"/>
        </w:rPr>
        <w:t>56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feminists are those who maintain an intersectional view of oppression whereby such gendered oppression in Shakespeare’s works is often bound up with other discriminations like those of race, class, or nationality.</w:t>
      </w:r>
      <w:r>
        <w:rPr>
          <w:spacing w:val="-5"/>
        </w:rPr>
        <w:t> </w:t>
      </w:r>
      <w:r>
        <w:rPr/>
        <w:t>The</w:t>
      </w:r>
      <w:r>
        <w:rPr>
          <w:spacing w:val="-6"/>
        </w:rPr>
        <w:t> </w:t>
      </w:r>
      <w:r>
        <w:rPr/>
        <w:t>case</w:t>
      </w:r>
      <w:r>
        <w:rPr>
          <w:spacing w:val="-3"/>
        </w:rPr>
        <w:t> </w:t>
      </w:r>
      <w:r>
        <w:rPr/>
        <w:t>of</w:t>
      </w:r>
      <w:r>
        <w:rPr>
          <w:spacing w:val="-5"/>
        </w:rPr>
        <w:t> </w:t>
      </w:r>
      <w:r>
        <w:rPr/>
        <w:t>Desdemona’s</w:t>
      </w:r>
      <w:r>
        <w:rPr>
          <w:spacing w:val="-5"/>
        </w:rPr>
        <w:t> </w:t>
      </w:r>
      <w:r>
        <w:rPr/>
        <w:t>marriage</w:t>
      </w:r>
      <w:r>
        <w:rPr>
          <w:spacing w:val="-3"/>
        </w:rPr>
        <w:t> </w:t>
      </w:r>
      <w:r>
        <w:rPr/>
        <w:t>to</w:t>
      </w:r>
      <w:r>
        <w:rPr>
          <w:spacing w:val="-2"/>
        </w:rPr>
        <w:t> </w:t>
      </w:r>
      <w:r>
        <w:rPr/>
        <w:t>Othello</w:t>
      </w:r>
      <w:r>
        <w:rPr>
          <w:spacing w:val="-5"/>
        </w:rPr>
        <w:t> </w:t>
      </w:r>
      <w:r>
        <w:rPr/>
        <w:t>introduces</w:t>
      </w:r>
      <w:r>
        <w:rPr>
          <w:spacing w:val="-3"/>
        </w:rPr>
        <w:t> </w:t>
      </w:r>
      <w:r>
        <w:rPr/>
        <w:t>an element of race in that she challenges societal expectations not merely on account of gender, but also as regards interracial relationships in a society</w:t>
      </w:r>
      <w:r>
        <w:rPr>
          <w:spacing w:val="40"/>
        </w:rPr>
        <w:t> </w:t>
      </w:r>
      <w:r>
        <w:rPr/>
        <w:t>that</w:t>
      </w:r>
      <w:r>
        <w:rPr>
          <w:spacing w:val="40"/>
        </w:rPr>
        <w:t> </w:t>
      </w:r>
      <w:r>
        <w:rPr/>
        <w:t>deems</w:t>
      </w:r>
      <w:r>
        <w:rPr>
          <w:spacing w:val="40"/>
        </w:rPr>
        <w:t> </w:t>
      </w:r>
      <w:r>
        <w:rPr/>
        <w:t>such</w:t>
      </w:r>
      <w:r>
        <w:rPr>
          <w:spacing w:val="40"/>
        </w:rPr>
        <w:t> </w:t>
      </w:r>
      <w:r>
        <w:rPr/>
        <w:t>relationships</w:t>
      </w:r>
      <w:r>
        <w:rPr>
          <w:spacing w:val="40"/>
        </w:rPr>
        <w:t> </w:t>
      </w:r>
      <w:r>
        <w:rPr/>
        <w:t>transgressive.</w:t>
      </w:r>
    </w:p>
    <w:p>
      <w:pPr>
        <w:pStyle w:val="BodyText"/>
        <w:spacing w:line="249" w:lineRule="auto" w:before="64"/>
        <w:ind w:right="1438" w:firstLine="432"/>
        <w:jc w:val="both"/>
      </w:pPr>
      <w:r>
        <w:rPr/>
        <w:t>Although at one level this decline into madness sets Ophelia up indisputably as a victim figure, on a deeper level perhaps her madness itself</w:t>
      </w:r>
      <w:r>
        <w:rPr>
          <w:spacing w:val="-6"/>
        </w:rPr>
        <w:t> </w:t>
      </w:r>
      <w:r>
        <w:rPr/>
        <w:t>can</w:t>
      </w:r>
      <w:r>
        <w:rPr>
          <w:spacing w:val="-6"/>
        </w:rPr>
        <w:t> </w:t>
      </w:r>
      <w:r>
        <w:rPr/>
        <w:t>be</w:t>
      </w:r>
      <w:r>
        <w:rPr>
          <w:spacing w:val="-6"/>
        </w:rPr>
        <w:t> </w:t>
      </w:r>
      <w:r>
        <w:rPr/>
        <w:t>seen</w:t>
      </w:r>
      <w:r>
        <w:rPr>
          <w:spacing w:val="-8"/>
        </w:rPr>
        <w:t> </w:t>
      </w:r>
      <w:r>
        <w:rPr/>
        <w:t>as</w:t>
      </w:r>
      <w:r>
        <w:rPr>
          <w:spacing w:val="-6"/>
        </w:rPr>
        <w:t> </w:t>
      </w:r>
      <w:r>
        <w:rPr/>
        <w:t>her</w:t>
      </w:r>
      <w:r>
        <w:rPr>
          <w:spacing w:val="-2"/>
        </w:rPr>
        <w:t> </w:t>
      </w:r>
      <w:r>
        <w:rPr/>
        <w:t>active</w:t>
      </w:r>
      <w:r>
        <w:rPr>
          <w:spacing w:val="-5"/>
        </w:rPr>
        <w:t> </w:t>
      </w:r>
      <w:r>
        <w:rPr/>
        <w:t>rejection</w:t>
      </w:r>
      <w:r>
        <w:rPr>
          <w:spacing w:val="-6"/>
        </w:rPr>
        <w:t> </w:t>
      </w:r>
      <w:r>
        <w:rPr/>
        <w:t>of</w:t>
      </w:r>
      <w:r>
        <w:rPr>
          <w:spacing w:val="-6"/>
        </w:rPr>
        <w:t> </w:t>
      </w:r>
      <w:r>
        <w:rPr/>
        <w:t>patriarchal</w:t>
      </w:r>
      <w:r>
        <w:rPr>
          <w:spacing w:val="-6"/>
        </w:rPr>
        <w:t> </w:t>
      </w:r>
      <w:r>
        <w:rPr/>
        <w:t>restraint.</w:t>
      </w:r>
      <w:r>
        <w:rPr>
          <w:spacing w:val="-4"/>
        </w:rPr>
        <w:t> </w:t>
      </w:r>
      <w:r>
        <w:rPr/>
        <w:t>Charney Maurice</w:t>
      </w:r>
      <w:r>
        <w:rPr>
          <w:spacing w:val="-6"/>
        </w:rPr>
        <w:t> </w:t>
      </w:r>
      <w:r>
        <w:rPr/>
        <w:t>suggests</w:t>
      </w:r>
      <w:r>
        <w:rPr>
          <w:spacing w:val="-8"/>
        </w:rPr>
        <w:t> </w:t>
      </w:r>
      <w:r>
        <w:rPr/>
        <w:t>that</w:t>
      </w:r>
      <w:r>
        <w:rPr>
          <w:spacing w:val="-6"/>
        </w:rPr>
        <w:t> </w:t>
      </w:r>
      <w:r>
        <w:rPr/>
        <w:t>since</w:t>
      </w:r>
      <w:r>
        <w:rPr>
          <w:spacing w:val="-6"/>
        </w:rPr>
        <w:t> </w:t>
      </w:r>
      <w:r>
        <w:rPr/>
        <w:t>within</w:t>
      </w:r>
      <w:r>
        <w:rPr>
          <w:spacing w:val="-8"/>
        </w:rPr>
        <w:t> </w:t>
      </w:r>
      <w:r>
        <w:rPr/>
        <w:t>Renaissance</w:t>
      </w:r>
      <w:r>
        <w:rPr>
          <w:spacing w:val="-9"/>
        </w:rPr>
        <w:t> </w:t>
      </w:r>
      <w:r>
        <w:rPr/>
        <w:t>drama</w:t>
      </w:r>
      <w:r>
        <w:rPr>
          <w:spacing w:val="-7"/>
        </w:rPr>
        <w:t> </w:t>
      </w:r>
      <w:r>
        <w:rPr/>
        <w:t>madwomen</w:t>
      </w:r>
      <w:r>
        <w:rPr>
          <w:spacing w:val="-8"/>
        </w:rPr>
        <w:t> </w:t>
      </w:r>
      <w:r>
        <w:rPr/>
        <w:t>were ‘more strongly defined than madmen’, and women’s madness was ‘interpreted as something specifically feminine’, through depictions of madness dramatists were able to give women a chance to express their selfhood - ‘make a forceful assertion of their being’ - in a way which patriarchal conventions would otherwise have prevented. (© Liz Lewis November</w:t>
      </w:r>
      <w:r>
        <w:rPr>
          <w:spacing w:val="-17"/>
        </w:rPr>
        <w:t> </w:t>
      </w:r>
      <w:r>
        <w:rPr/>
        <w:t>2001)</w:t>
      </w:r>
    </w:p>
    <w:p>
      <w:pPr>
        <w:pStyle w:val="BodyText"/>
        <w:spacing w:line="249" w:lineRule="auto" w:before="65"/>
        <w:ind w:right="1437" w:firstLine="432"/>
        <w:jc w:val="both"/>
      </w:pPr>
      <w:r>
        <w:rPr/>
        <w:t>In the same Journal article, we come across the later tragedy, </w:t>
      </w:r>
      <w:r>
        <w:rPr>
          <w:i/>
        </w:rPr>
        <w:t>Othello</w:t>
      </w:r>
      <w:r>
        <w:rPr/>
        <w:t>,</w:t>
      </w:r>
      <w:r>
        <w:rPr>
          <w:spacing w:val="21"/>
        </w:rPr>
        <w:t> </w:t>
      </w:r>
      <w:r>
        <w:rPr/>
        <w:t>it</w:t>
      </w:r>
      <w:r>
        <w:rPr>
          <w:spacing w:val="21"/>
        </w:rPr>
        <w:t> </w:t>
      </w:r>
      <w:r>
        <w:rPr/>
        <w:t>can also</w:t>
      </w:r>
      <w:r>
        <w:rPr>
          <w:spacing w:val="21"/>
        </w:rPr>
        <w:t> </w:t>
      </w:r>
      <w:r>
        <w:rPr/>
        <w:t>be</w:t>
      </w:r>
      <w:r>
        <w:rPr>
          <w:spacing w:val="20"/>
        </w:rPr>
        <w:t> </w:t>
      </w:r>
      <w:r>
        <w:rPr/>
        <w:t>argued</w:t>
      </w:r>
      <w:r>
        <w:rPr>
          <w:spacing w:val="22"/>
        </w:rPr>
        <w:t> </w:t>
      </w:r>
      <w:r>
        <w:rPr/>
        <w:t>that the tragedy occurs from adherence to patriarchal rules and stereotypes. Gayle Greene summarises this position in her claim that the tragedy of Othello stems from ‘men’s </w:t>
      </w:r>
      <w:r>
        <w:rPr>
          <w:spacing w:val="-2"/>
        </w:rPr>
        <w:t>misunderstandings</w:t>
      </w:r>
      <w:r>
        <w:rPr>
          <w:spacing w:val="-11"/>
        </w:rPr>
        <w:t> </w:t>
      </w:r>
      <w:r>
        <w:rPr>
          <w:spacing w:val="-2"/>
        </w:rPr>
        <w:t>of</w:t>
      </w:r>
      <w:r>
        <w:rPr>
          <w:spacing w:val="-10"/>
        </w:rPr>
        <w:t> </w:t>
      </w:r>
      <w:r>
        <w:rPr>
          <w:spacing w:val="-2"/>
        </w:rPr>
        <w:t>women</w:t>
      </w:r>
      <w:r>
        <w:rPr>
          <w:spacing w:val="-11"/>
        </w:rPr>
        <w:t> </w:t>
      </w:r>
      <w:r>
        <w:rPr>
          <w:spacing w:val="-2"/>
        </w:rPr>
        <w:t>and</w:t>
      </w:r>
      <w:r>
        <w:rPr>
          <w:spacing w:val="-10"/>
        </w:rPr>
        <w:t> </w:t>
      </w:r>
      <w:r>
        <w:rPr>
          <w:spacing w:val="-2"/>
        </w:rPr>
        <w:t>women’s</w:t>
      </w:r>
      <w:r>
        <w:rPr>
          <w:spacing w:val="-11"/>
        </w:rPr>
        <w:t> </w:t>
      </w:r>
      <w:r>
        <w:rPr>
          <w:spacing w:val="-2"/>
        </w:rPr>
        <w:t>inability</w:t>
      </w:r>
      <w:r>
        <w:rPr>
          <w:spacing w:val="-10"/>
        </w:rPr>
        <w:t> </w:t>
      </w:r>
      <w:r>
        <w:rPr>
          <w:spacing w:val="-2"/>
        </w:rPr>
        <w:t>to</w:t>
      </w:r>
      <w:r>
        <w:rPr>
          <w:spacing w:val="-11"/>
        </w:rPr>
        <w:t> </w:t>
      </w:r>
      <w:r>
        <w:rPr>
          <w:spacing w:val="-2"/>
        </w:rPr>
        <w:t>protect</w:t>
      </w:r>
      <w:r>
        <w:rPr>
          <w:spacing w:val="-10"/>
        </w:rPr>
        <w:t> </w:t>
      </w:r>
      <w:r>
        <w:rPr>
          <w:spacing w:val="-2"/>
        </w:rPr>
        <w:t>themselves </w:t>
      </w:r>
      <w:r>
        <w:rPr/>
        <w:t>from society’s conception of them’. Certainly Desdemona’s very much feminised qualities of passivity, softness and obedience are no match</w:t>
      </w:r>
      <w:r>
        <w:rPr>
          <w:spacing w:val="80"/>
        </w:rPr>
        <w:t> </w:t>
      </w:r>
      <w:r>
        <w:rPr/>
        <w:t>to</w:t>
      </w:r>
      <w:r>
        <w:rPr>
          <w:spacing w:val="-9"/>
        </w:rPr>
        <w:t> </w:t>
      </w:r>
      <w:r>
        <w:rPr/>
        <w:t>Othello’s</w:t>
      </w:r>
      <w:r>
        <w:rPr>
          <w:spacing w:val="-11"/>
        </w:rPr>
        <w:t> </w:t>
      </w:r>
      <w:r>
        <w:rPr/>
        <w:t>masculine</w:t>
      </w:r>
      <w:r>
        <w:rPr>
          <w:spacing w:val="-11"/>
        </w:rPr>
        <w:t> </w:t>
      </w:r>
      <w:r>
        <w:rPr/>
        <w:t>qualities</w:t>
      </w:r>
      <w:r>
        <w:rPr>
          <w:spacing w:val="-11"/>
        </w:rPr>
        <w:t> </w:t>
      </w:r>
      <w:r>
        <w:rPr/>
        <w:t>of</w:t>
      </w:r>
      <w:r>
        <w:rPr>
          <w:spacing w:val="-11"/>
        </w:rPr>
        <w:t> </w:t>
      </w:r>
      <w:r>
        <w:rPr/>
        <w:t>dominance,</w:t>
      </w:r>
      <w:r>
        <w:rPr>
          <w:spacing w:val="-9"/>
        </w:rPr>
        <w:t> </w:t>
      </w:r>
      <w:r>
        <w:rPr/>
        <w:t>aggression</w:t>
      </w:r>
      <w:r>
        <w:rPr>
          <w:spacing w:val="-11"/>
        </w:rPr>
        <w:t> </w:t>
      </w:r>
      <w:r>
        <w:rPr/>
        <w:t>and</w:t>
      </w:r>
      <w:r>
        <w:rPr>
          <w:spacing w:val="-8"/>
        </w:rPr>
        <w:t> </w:t>
      </w:r>
      <w:r>
        <w:rPr/>
        <w:t>authority. After Othello in</w:t>
      </w:r>
      <w:r>
        <w:rPr>
          <w:spacing w:val="-2"/>
        </w:rPr>
        <w:t> </w:t>
      </w:r>
      <w:r>
        <w:rPr/>
        <w:t>his jealousy</w:t>
      </w:r>
      <w:r>
        <w:rPr>
          <w:spacing w:val="-4"/>
        </w:rPr>
        <w:t> </w:t>
      </w:r>
      <w:r>
        <w:rPr/>
        <w:t>has struck</w:t>
      </w:r>
      <w:r>
        <w:rPr>
          <w:spacing w:val="-2"/>
        </w:rPr>
        <w:t> </w:t>
      </w:r>
      <w:r>
        <w:rPr/>
        <w:t>Desdemona and spoken</w:t>
      </w:r>
      <w:r>
        <w:rPr>
          <w:spacing w:val="-2"/>
        </w:rPr>
        <w:t> </w:t>
      </w:r>
      <w:r>
        <w:rPr/>
        <w:t>harshly to her, she tells Iago, ‘I am a child to chiding’. Protected by a system which makes women the weaker, dependent sex, Desdemona is unequipped</w:t>
      </w:r>
      <w:r>
        <w:rPr>
          <w:spacing w:val="-8"/>
        </w:rPr>
        <w:t> </w:t>
      </w:r>
      <w:r>
        <w:rPr/>
        <w:t>to</w:t>
      </w:r>
      <w:r>
        <w:rPr>
          <w:spacing w:val="-9"/>
        </w:rPr>
        <w:t> </w:t>
      </w:r>
      <w:r>
        <w:rPr/>
        <w:t>deal</w:t>
      </w:r>
      <w:r>
        <w:rPr>
          <w:spacing w:val="-9"/>
        </w:rPr>
        <w:t> </w:t>
      </w:r>
      <w:r>
        <w:rPr/>
        <w:t>with</w:t>
      </w:r>
      <w:r>
        <w:rPr>
          <w:spacing w:val="-10"/>
        </w:rPr>
        <w:t> </w:t>
      </w:r>
      <w:r>
        <w:rPr/>
        <w:t>such</w:t>
      </w:r>
      <w:r>
        <w:rPr>
          <w:spacing w:val="-10"/>
        </w:rPr>
        <w:t> </w:t>
      </w:r>
      <w:r>
        <w:rPr/>
        <w:t>aggression,</w:t>
      </w:r>
      <w:r>
        <w:rPr>
          <w:spacing w:val="-6"/>
        </w:rPr>
        <w:t> </w:t>
      </w:r>
      <w:r>
        <w:rPr/>
        <w:t>she</w:t>
      </w:r>
      <w:r>
        <w:rPr>
          <w:spacing w:val="-9"/>
        </w:rPr>
        <w:t> </w:t>
      </w:r>
      <w:r>
        <w:rPr/>
        <w:t>is</w:t>
      </w:r>
      <w:r>
        <w:rPr>
          <w:spacing w:val="-9"/>
        </w:rPr>
        <w:t> </w:t>
      </w:r>
      <w:r>
        <w:rPr/>
        <w:t>helpless</w:t>
      </w:r>
      <w:r>
        <w:rPr>
          <w:spacing w:val="-9"/>
        </w:rPr>
        <w:t> </w:t>
      </w:r>
      <w:r>
        <w:rPr/>
        <w:t>against</w:t>
      </w:r>
      <w:r>
        <w:rPr>
          <w:spacing w:val="-9"/>
        </w:rPr>
        <w:t> </w:t>
      </w:r>
      <w:r>
        <w:rPr>
          <w:spacing w:val="-2"/>
        </w:rPr>
        <w:t>Othello.</w:t>
      </w:r>
    </w:p>
    <w:p>
      <w:pPr>
        <w:pStyle w:val="BodyText"/>
        <w:spacing w:line="249" w:lineRule="auto" w:before="70"/>
        <w:ind w:right="1437" w:firstLine="432"/>
        <w:jc w:val="both"/>
      </w:pPr>
      <w:r>
        <w:rPr/>
        <w:t>With</w:t>
      </w:r>
      <w:r>
        <w:rPr>
          <w:spacing w:val="-5"/>
        </w:rPr>
        <w:t> </w:t>
      </w:r>
      <w:r>
        <w:rPr/>
        <w:t>regard</w:t>
      </w:r>
      <w:r>
        <w:rPr>
          <w:spacing w:val="-5"/>
        </w:rPr>
        <w:t> </w:t>
      </w:r>
      <w:r>
        <w:rPr/>
        <w:t>to</w:t>
      </w:r>
      <w:r>
        <w:rPr>
          <w:spacing w:val="-3"/>
        </w:rPr>
        <w:t> </w:t>
      </w:r>
      <w:r>
        <w:rPr/>
        <w:t>men’s</w:t>
      </w:r>
      <w:r>
        <w:rPr>
          <w:spacing w:val="-6"/>
        </w:rPr>
        <w:t> </w:t>
      </w:r>
      <w:r>
        <w:rPr/>
        <w:t>misunderstandings</w:t>
      </w:r>
      <w:r>
        <w:rPr>
          <w:spacing w:val="-3"/>
        </w:rPr>
        <w:t> </w:t>
      </w:r>
      <w:r>
        <w:rPr/>
        <w:t>of</w:t>
      </w:r>
      <w:r>
        <w:rPr>
          <w:spacing w:val="-6"/>
        </w:rPr>
        <w:t> </w:t>
      </w:r>
      <w:r>
        <w:rPr/>
        <w:t>women,</w:t>
      </w:r>
      <w:r>
        <w:rPr>
          <w:spacing w:val="-3"/>
        </w:rPr>
        <w:t> </w:t>
      </w:r>
      <w:r>
        <w:rPr/>
        <w:t>Greene(©</w:t>
      </w:r>
      <w:r>
        <w:rPr>
          <w:spacing w:val="-5"/>
        </w:rPr>
        <w:t> </w:t>
      </w:r>
      <w:r>
        <w:rPr/>
        <w:t>Liz Lewis</w:t>
      </w:r>
      <w:r>
        <w:rPr>
          <w:spacing w:val="-1"/>
        </w:rPr>
        <w:t> </w:t>
      </w:r>
      <w:r>
        <w:rPr/>
        <w:t>November 2001)</w:t>
      </w:r>
      <w:r>
        <w:rPr>
          <w:spacing w:val="-1"/>
        </w:rPr>
        <w:t> </w:t>
      </w:r>
      <w:r>
        <w:rPr/>
        <w:t>points</w:t>
      </w:r>
      <w:r>
        <w:rPr>
          <w:spacing w:val="-1"/>
        </w:rPr>
        <w:t> </w:t>
      </w:r>
      <w:r>
        <w:rPr/>
        <w:t>out</w:t>
      </w:r>
      <w:r>
        <w:rPr>
          <w:spacing w:val="-1"/>
        </w:rPr>
        <w:t> </w:t>
      </w:r>
      <w:r>
        <w:rPr/>
        <w:t>that</w:t>
      </w:r>
      <w:r>
        <w:rPr>
          <w:spacing w:val="-1"/>
        </w:rPr>
        <w:t> </w:t>
      </w:r>
      <w:r>
        <w:rPr/>
        <w:t>Iago’s</w:t>
      </w:r>
      <w:r>
        <w:rPr>
          <w:spacing w:val="-3"/>
        </w:rPr>
        <w:t> </w:t>
      </w:r>
      <w:r>
        <w:rPr/>
        <w:t>manipulation</w:t>
      </w:r>
      <w:r>
        <w:rPr>
          <w:spacing w:val="-4"/>
        </w:rPr>
        <w:t> </w:t>
      </w:r>
      <w:r>
        <w:rPr/>
        <w:t>of</w:t>
      </w:r>
      <w:r>
        <w:rPr>
          <w:spacing w:val="-3"/>
        </w:rPr>
        <w:t> </w:t>
      </w:r>
      <w:r>
        <w:rPr/>
        <w:t>Othello</w:t>
      </w:r>
      <w:r>
        <w:rPr>
          <w:spacing w:val="-1"/>
        </w:rPr>
        <w:t> </w:t>
      </w:r>
      <w:r>
        <w:rPr/>
        <w:t>- the cause of the tragedy - occurs only because of ‘the views of women the moor already possessed’. This is certainly a convincing argument, for Othello all-too-easily accepts a stereotypical view</w:t>
      </w:r>
      <w:r>
        <w:rPr>
          <w:spacing w:val="-1"/>
        </w:rPr>
        <w:t> </w:t>
      </w:r>
      <w:r>
        <w:rPr/>
        <w:t>of his wife based on the authority of a male voice. He loses sight of the real Desdemona, allowing every action of hers, once his suspicion is stimulated, to reaffirm this stereotypical conception of her. At the close of the play </w:t>
      </w:r>
      <w:r>
        <w:rPr>
          <w:spacing w:val="-2"/>
        </w:rPr>
        <w:t>Othello</w:t>
      </w:r>
      <w:r>
        <w:rPr>
          <w:spacing w:val="-11"/>
        </w:rPr>
        <w:t> </w:t>
      </w:r>
      <w:r>
        <w:rPr>
          <w:spacing w:val="-2"/>
        </w:rPr>
        <w:t>attempts</w:t>
      </w:r>
      <w:r>
        <w:rPr>
          <w:spacing w:val="-10"/>
        </w:rPr>
        <w:t> </w:t>
      </w:r>
      <w:r>
        <w:rPr>
          <w:spacing w:val="-2"/>
        </w:rPr>
        <w:t>to</w:t>
      </w:r>
      <w:r>
        <w:rPr>
          <w:spacing w:val="-11"/>
        </w:rPr>
        <w:t> </w:t>
      </w:r>
      <w:r>
        <w:rPr>
          <w:spacing w:val="-2"/>
        </w:rPr>
        <w:t>vindicate</w:t>
      </w:r>
      <w:r>
        <w:rPr>
          <w:spacing w:val="-8"/>
        </w:rPr>
        <w:t> </w:t>
      </w:r>
      <w:r>
        <w:rPr>
          <w:spacing w:val="-2"/>
        </w:rPr>
        <w:t>himself</w:t>
      </w:r>
      <w:r>
        <w:rPr>
          <w:spacing w:val="-9"/>
        </w:rPr>
        <w:t> </w:t>
      </w:r>
      <w:r>
        <w:rPr>
          <w:spacing w:val="-2"/>
        </w:rPr>
        <w:t>from</w:t>
      </w:r>
      <w:r>
        <w:rPr>
          <w:spacing w:val="-11"/>
        </w:rPr>
        <w:t> </w:t>
      </w:r>
      <w:r>
        <w:rPr>
          <w:spacing w:val="-2"/>
        </w:rPr>
        <w:t>intentional</w:t>
      </w:r>
      <w:r>
        <w:rPr>
          <w:spacing w:val="-10"/>
        </w:rPr>
        <w:t> </w:t>
      </w:r>
      <w:r>
        <w:rPr>
          <w:spacing w:val="-2"/>
        </w:rPr>
        <w:t>murder</w:t>
      </w:r>
      <w:r>
        <w:rPr>
          <w:spacing w:val="-7"/>
        </w:rPr>
        <w:t> </w:t>
      </w:r>
      <w:r>
        <w:rPr>
          <w:spacing w:val="-2"/>
        </w:rPr>
        <w:t>by</w:t>
      </w:r>
      <w:r>
        <w:rPr>
          <w:spacing w:val="-11"/>
        </w:rPr>
        <w:t> </w:t>
      </w:r>
      <w:r>
        <w:rPr>
          <w:spacing w:val="-2"/>
        </w:rPr>
        <w:t>claiming </w:t>
      </w:r>
      <w:r>
        <w:rPr/>
        <w:t>that he did nothing ‘in malice’, but is simply a man ‘that loved not wisely</w:t>
      </w:r>
      <w:r>
        <w:rPr>
          <w:spacing w:val="11"/>
        </w:rPr>
        <w:t> </w:t>
      </w:r>
      <w:r>
        <w:rPr/>
        <w:t>but</w:t>
      </w:r>
      <w:r>
        <w:rPr>
          <w:spacing w:val="19"/>
        </w:rPr>
        <w:t> </w:t>
      </w:r>
      <w:r>
        <w:rPr/>
        <w:t>too</w:t>
      </w:r>
      <w:r>
        <w:rPr>
          <w:spacing w:val="17"/>
        </w:rPr>
        <w:t> </w:t>
      </w:r>
      <w:r>
        <w:rPr/>
        <w:t>well’.</w:t>
      </w:r>
      <w:r>
        <w:rPr>
          <w:spacing w:val="18"/>
        </w:rPr>
        <w:t> </w:t>
      </w:r>
      <w:r>
        <w:rPr/>
        <w:t>This</w:t>
      </w:r>
      <w:r>
        <w:rPr>
          <w:spacing w:val="15"/>
        </w:rPr>
        <w:t> </w:t>
      </w:r>
      <w:r>
        <w:rPr/>
        <w:t>speech</w:t>
      </w:r>
      <w:r>
        <w:rPr>
          <w:spacing w:val="13"/>
        </w:rPr>
        <w:t> </w:t>
      </w:r>
      <w:r>
        <w:rPr/>
        <w:t>illustrates</w:t>
      </w:r>
      <w:r>
        <w:rPr>
          <w:spacing w:val="18"/>
        </w:rPr>
        <w:t> </w:t>
      </w:r>
      <w:r>
        <w:rPr/>
        <w:t>the</w:t>
      </w:r>
      <w:r>
        <w:rPr>
          <w:spacing w:val="15"/>
        </w:rPr>
        <w:t> </w:t>
      </w:r>
      <w:r>
        <w:rPr/>
        <w:t>precarious</w:t>
      </w:r>
      <w:r>
        <w:rPr>
          <w:spacing w:val="15"/>
        </w:rPr>
        <w:t> </w:t>
      </w:r>
      <w:r>
        <w:rPr/>
        <w:t>position</w:t>
      </w:r>
      <w:r>
        <w:rPr>
          <w:spacing w:val="16"/>
        </w:rPr>
        <w:t> </w:t>
      </w:r>
      <w:r>
        <w:rPr>
          <w:spacing w:val="-5"/>
        </w:rPr>
        <w:t>of</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49280">
                <wp:simplePos x="0" y="0"/>
                <wp:positionH relativeFrom="page">
                  <wp:posOffset>2065020</wp:posOffset>
                </wp:positionH>
                <wp:positionV relativeFrom="paragraph">
                  <wp:posOffset>162604</wp:posOffset>
                </wp:positionV>
                <wp:extent cx="3657600" cy="12700"/>
                <wp:effectExtent l="0" t="0" r="0" b="0"/>
                <wp:wrapTopAndBottom/>
                <wp:docPr id="228" name="Graphic 228"/>
                <wp:cNvGraphicFramePr>
                  <a:graphicFrameLocks/>
                </wp:cNvGraphicFramePr>
                <a:graphic>
                  <a:graphicData uri="http://schemas.microsoft.com/office/word/2010/wordprocessingShape">
                    <wps:wsp>
                      <wps:cNvPr id="228" name="Graphic 22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67200;mso-wrap-distance-left:0;mso-wrap-distance-right:0" id="docshape224" filled="true" fillcolor="#000000" stroked="false">
                <v:fill type="solid"/>
                <w10:wrap type="topAndBottom"/>
              </v:rect>
            </w:pict>
          </mc:Fallback>
        </mc:AlternateContent>
      </w:r>
      <w:r>
        <w:rPr>
          <w:rFonts w:ascii="Verdana" w:hAnsi="Verdana"/>
          <w:sz w:val="18"/>
        </w:rPr>
        <w:t>The</w:t>
      </w:r>
      <w:r>
        <w:rPr>
          <w:rFonts w:ascii="Verdana" w:hAnsi="Verdana"/>
          <w:spacing w:val="3"/>
          <w:sz w:val="18"/>
        </w:rPr>
        <w:t> </w:t>
      </w:r>
      <w:r>
        <w:rPr>
          <w:rFonts w:ascii="Verdana" w:hAnsi="Verdana"/>
          <w:sz w:val="18"/>
        </w:rPr>
        <w:t>‘Loyal’</w:t>
      </w:r>
      <w:r>
        <w:rPr>
          <w:rFonts w:ascii="Verdana" w:hAnsi="Verdana"/>
          <w:spacing w:val="3"/>
          <w:sz w:val="18"/>
        </w:rPr>
        <w:t> </w:t>
      </w:r>
      <w:r>
        <w:rPr>
          <w:rFonts w:ascii="Verdana" w:hAnsi="Verdana"/>
          <w:sz w:val="18"/>
        </w:rPr>
        <w:t>Elizabethan</w:t>
      </w:r>
      <w:r>
        <w:rPr>
          <w:rFonts w:ascii="Verdana" w:hAnsi="Verdana"/>
          <w:spacing w:val="2"/>
          <w:sz w:val="18"/>
        </w:rPr>
        <w:t> </w:t>
      </w:r>
      <w:r>
        <w:rPr>
          <w:rFonts w:ascii="Verdana" w:hAnsi="Verdana"/>
          <w:sz w:val="18"/>
        </w:rPr>
        <w:t>Women</w:t>
      </w:r>
      <w:r>
        <w:rPr>
          <w:rFonts w:ascii="Verdana" w:hAnsi="Verdana"/>
          <w:spacing w:val="6"/>
          <w:sz w:val="18"/>
        </w:rPr>
        <w:t> </w:t>
      </w:r>
      <w:r>
        <w:rPr>
          <w:rFonts w:ascii="Verdana" w:hAnsi="Verdana"/>
          <w:sz w:val="18"/>
        </w:rPr>
        <w:t>in</w:t>
      </w:r>
      <w:r>
        <w:rPr>
          <w:rFonts w:ascii="Verdana" w:hAnsi="Verdana"/>
          <w:spacing w:val="5"/>
          <w:sz w:val="18"/>
        </w:rPr>
        <w:t> </w:t>
      </w:r>
      <w:r>
        <w:rPr>
          <w:rFonts w:ascii="Verdana" w:hAnsi="Verdana"/>
          <w:sz w:val="18"/>
        </w:rPr>
        <w:t>Shakespeare’s</w:t>
      </w:r>
      <w:r>
        <w:rPr>
          <w:rFonts w:ascii="Verdana" w:hAnsi="Verdana"/>
          <w:spacing w:val="4"/>
          <w:sz w:val="18"/>
        </w:rPr>
        <w:t> </w:t>
      </w:r>
      <w:r>
        <w:rPr>
          <w:rFonts w:ascii="Verdana" w:hAnsi="Verdana"/>
          <w:spacing w:val="-2"/>
          <w:sz w:val="18"/>
        </w:rPr>
        <w:t>Select...</w:t>
      </w:r>
      <w:r>
        <w:rPr>
          <w:rFonts w:ascii="Verdana" w:hAnsi="Verdana"/>
          <w:sz w:val="18"/>
        </w:rPr>
        <w:tab/>
      </w:r>
      <w:r>
        <w:rPr>
          <w:rFonts w:ascii="Verdana" w:hAnsi="Verdana"/>
          <w:spacing w:val="-5"/>
          <w:sz w:val="18"/>
        </w:rPr>
        <w:t>57</w:t>
      </w:r>
    </w:p>
    <w:p>
      <w:pPr>
        <w:pStyle w:val="BodyText"/>
        <w:spacing w:line="249" w:lineRule="auto" w:before="192"/>
        <w:ind w:right="1437"/>
        <w:jc w:val="both"/>
      </w:pPr>
      <w:r>
        <w:rPr/>
        <w:t>love</w:t>
      </w:r>
      <w:r>
        <w:rPr>
          <w:spacing w:val="-13"/>
        </w:rPr>
        <w:t> </w:t>
      </w:r>
      <w:r>
        <w:rPr/>
        <w:t>in</w:t>
      </w:r>
      <w:r>
        <w:rPr>
          <w:spacing w:val="-12"/>
        </w:rPr>
        <w:t> </w:t>
      </w:r>
      <w:r>
        <w:rPr/>
        <w:t>a</w:t>
      </w:r>
      <w:r>
        <w:rPr>
          <w:spacing w:val="-13"/>
        </w:rPr>
        <w:t> </w:t>
      </w:r>
      <w:r>
        <w:rPr/>
        <w:t>society</w:t>
      </w:r>
      <w:r>
        <w:rPr>
          <w:spacing w:val="-12"/>
        </w:rPr>
        <w:t> </w:t>
      </w:r>
      <w:r>
        <w:rPr/>
        <w:t>submerged</w:t>
      </w:r>
      <w:r>
        <w:rPr>
          <w:spacing w:val="-13"/>
        </w:rPr>
        <w:t> </w:t>
      </w:r>
      <w:r>
        <w:rPr/>
        <w:t>in</w:t>
      </w:r>
      <w:r>
        <w:rPr>
          <w:spacing w:val="-12"/>
        </w:rPr>
        <w:t> </w:t>
      </w:r>
      <w:r>
        <w:rPr/>
        <w:t>stereotypes.</w:t>
      </w:r>
      <w:r>
        <w:rPr>
          <w:spacing w:val="-13"/>
        </w:rPr>
        <w:t> </w:t>
      </w:r>
      <w:r>
        <w:rPr/>
        <w:t>Othello’s</w:t>
      </w:r>
      <w:r>
        <w:rPr>
          <w:spacing w:val="-12"/>
        </w:rPr>
        <w:t> </w:t>
      </w:r>
      <w:r>
        <w:rPr/>
        <w:t>excessive,</w:t>
      </w:r>
      <w:r>
        <w:rPr>
          <w:spacing w:val="-13"/>
        </w:rPr>
        <w:t> </w:t>
      </w:r>
      <w:r>
        <w:rPr/>
        <w:t>‘unwise’ love</w:t>
      </w:r>
      <w:r>
        <w:rPr>
          <w:spacing w:val="-3"/>
        </w:rPr>
        <w:t> </w:t>
      </w:r>
      <w:r>
        <w:rPr/>
        <w:t>for</w:t>
      </w:r>
      <w:r>
        <w:rPr>
          <w:spacing w:val="-4"/>
        </w:rPr>
        <w:t> </w:t>
      </w:r>
      <w:r>
        <w:rPr/>
        <w:t>Desdemona</w:t>
      </w:r>
      <w:r>
        <w:rPr>
          <w:spacing w:val="-3"/>
        </w:rPr>
        <w:t> </w:t>
      </w:r>
      <w:r>
        <w:rPr/>
        <w:t>is</w:t>
      </w:r>
      <w:r>
        <w:rPr>
          <w:spacing w:val="-6"/>
        </w:rPr>
        <w:t> </w:t>
      </w:r>
      <w:r>
        <w:rPr/>
        <w:t>tied</w:t>
      </w:r>
      <w:r>
        <w:rPr>
          <w:spacing w:val="-2"/>
        </w:rPr>
        <w:t> </w:t>
      </w:r>
      <w:r>
        <w:rPr/>
        <w:t>up</w:t>
      </w:r>
      <w:r>
        <w:rPr>
          <w:spacing w:val="-4"/>
        </w:rPr>
        <w:t> </w:t>
      </w:r>
      <w:r>
        <w:rPr/>
        <w:t>with</w:t>
      </w:r>
      <w:r>
        <w:rPr>
          <w:spacing w:val="-4"/>
        </w:rPr>
        <w:t> </w:t>
      </w:r>
      <w:r>
        <w:rPr/>
        <w:t>his</w:t>
      </w:r>
      <w:r>
        <w:rPr>
          <w:spacing w:val="-4"/>
        </w:rPr>
        <w:t> </w:t>
      </w:r>
      <w:r>
        <w:rPr/>
        <w:t>perception</w:t>
      </w:r>
      <w:r>
        <w:rPr>
          <w:spacing w:val="-6"/>
        </w:rPr>
        <w:t> </w:t>
      </w:r>
      <w:r>
        <w:rPr/>
        <w:t>of</w:t>
      </w:r>
      <w:r>
        <w:rPr>
          <w:spacing w:val="-4"/>
        </w:rPr>
        <w:t> </w:t>
      </w:r>
      <w:r>
        <w:rPr/>
        <w:t>her</w:t>
      </w:r>
      <w:r>
        <w:rPr>
          <w:spacing w:val="-4"/>
        </w:rPr>
        <w:t> </w:t>
      </w:r>
      <w:r>
        <w:rPr/>
        <w:t>as</w:t>
      </w:r>
      <w:r>
        <w:rPr>
          <w:spacing w:val="-4"/>
        </w:rPr>
        <w:t> </w:t>
      </w:r>
      <w:r>
        <w:rPr/>
        <w:t>representing perfect womanhood, and his underlying fear of her - endorsed by society</w:t>
      </w:r>
      <w:r>
        <w:rPr>
          <w:spacing w:val="40"/>
        </w:rPr>
        <w:t> </w:t>
      </w:r>
      <w:r>
        <w:rPr/>
        <w:t>-</w:t>
      </w:r>
      <w:r>
        <w:rPr>
          <w:spacing w:val="40"/>
        </w:rPr>
        <w:t> </w:t>
      </w:r>
      <w:r>
        <w:rPr/>
        <w:t>as</w:t>
      </w:r>
      <w:r>
        <w:rPr>
          <w:spacing w:val="40"/>
        </w:rPr>
        <w:t> </w:t>
      </w:r>
      <w:r>
        <w:rPr/>
        <w:t>whore.</w:t>
      </w:r>
    </w:p>
    <w:p>
      <w:pPr>
        <w:pStyle w:val="BodyText"/>
        <w:spacing w:line="249" w:lineRule="auto" w:before="61"/>
        <w:ind w:right="1442" w:firstLine="432"/>
        <w:jc w:val="both"/>
      </w:pPr>
      <w:r>
        <w:rPr/>
        <w:t>Like Hamlet, who tells Ophelia ‘get thee to a nunnery’</w:t>
      </w:r>
      <w:r>
        <w:rPr>
          <w:spacing w:val="-1"/>
        </w:rPr>
        <w:t> </w:t>
      </w:r>
      <w:r>
        <w:rPr/>
        <w:t>in order to protect her chastity and remove his fear of woman’s infidelity, Othello too wishes to erase Desdemona’s sexuality and potential for infidelity. His decision to kill her, he claims, is to prevent her from a further transgression - ‘Yet she must</w:t>
      </w:r>
      <w:r>
        <w:rPr>
          <w:spacing w:val="36"/>
        </w:rPr>
        <w:t> </w:t>
      </w:r>
      <w:r>
        <w:rPr/>
        <w:t>die,</w:t>
      </w:r>
      <w:r>
        <w:rPr>
          <w:spacing w:val="38"/>
        </w:rPr>
        <w:t> </w:t>
      </w:r>
      <w:r>
        <w:rPr/>
        <w:t>else</w:t>
      </w:r>
      <w:r>
        <w:rPr>
          <w:spacing w:val="37"/>
        </w:rPr>
        <w:t> </w:t>
      </w:r>
      <w:r>
        <w:rPr/>
        <w:t>she’ll</w:t>
      </w:r>
      <w:r>
        <w:rPr>
          <w:spacing w:val="36"/>
        </w:rPr>
        <w:t> </w:t>
      </w:r>
      <w:r>
        <w:rPr/>
        <w:t>betray more men’.</w:t>
      </w:r>
    </w:p>
    <w:p>
      <w:pPr>
        <w:pStyle w:val="BodyText"/>
        <w:spacing w:line="249" w:lineRule="auto" w:before="62"/>
        <w:ind w:right="1439" w:firstLine="432"/>
        <w:jc w:val="both"/>
      </w:pPr>
      <w:r>
        <w:rPr/>
        <w:t>In a path breaking analysis by Ruth Vanita, in the chapter ‘Who killed Desdemona and Emilia?: Domestic Violence and Warnings for Husbands in </w:t>
      </w:r>
      <w:r>
        <w:rPr>
          <w:i/>
        </w:rPr>
        <w:t>Othello’,(</w:t>
      </w:r>
      <w:r>
        <w:rPr/>
        <w:t>Vanita</w:t>
      </w:r>
      <w:r>
        <w:rPr>
          <w:i/>
        </w:rPr>
        <w:t>, </w:t>
      </w:r>
      <w:r>
        <w:rPr/>
        <w:t>Ruth</w:t>
      </w:r>
      <w:r>
        <w:rPr>
          <w:i/>
        </w:rPr>
        <w:t>, </w:t>
      </w:r>
      <w:r>
        <w:rPr/>
        <w:t>148</w:t>
      </w:r>
      <w:r>
        <w:rPr>
          <w:i/>
        </w:rPr>
        <w:t>-</w:t>
      </w:r>
      <w:r>
        <w:rPr/>
        <w:t>174) she broaches the subject of both women, Desdemona and Emilia being killed by their husbands, who are killed because of their husbands’ suspicion of adultery and while one may argue about Othello’s suspicion or jealousy springing from his being Black, Iago’s suspicion about Emilia negates it for he is a</w:t>
      </w:r>
      <w:r>
        <w:rPr>
          <w:spacing w:val="-1"/>
        </w:rPr>
        <w:t> </w:t>
      </w:r>
      <w:r>
        <w:rPr/>
        <w:t>white. In</w:t>
      </w:r>
      <w:r>
        <w:rPr>
          <w:spacing w:val="-2"/>
        </w:rPr>
        <w:t> </w:t>
      </w:r>
      <w:r>
        <w:rPr/>
        <w:t>fact, she</w:t>
      </w:r>
      <w:r>
        <w:rPr>
          <w:spacing w:val="-1"/>
        </w:rPr>
        <w:t> </w:t>
      </w:r>
      <w:r>
        <w:rPr/>
        <w:t>argues, Othello is</w:t>
      </w:r>
      <w:r>
        <w:rPr>
          <w:spacing w:val="-2"/>
        </w:rPr>
        <w:t> </w:t>
      </w:r>
      <w:r>
        <w:rPr/>
        <w:t>the only</w:t>
      </w:r>
      <w:r>
        <w:rPr>
          <w:spacing w:val="-2"/>
        </w:rPr>
        <w:t> </w:t>
      </w:r>
      <w:r>
        <w:rPr/>
        <w:t>play</w:t>
      </w:r>
      <w:r>
        <w:rPr>
          <w:spacing w:val="-4"/>
        </w:rPr>
        <w:t> </w:t>
      </w:r>
      <w:r>
        <w:rPr/>
        <w:t>of</w:t>
      </w:r>
      <w:r>
        <w:rPr>
          <w:spacing w:val="-2"/>
        </w:rPr>
        <w:t> </w:t>
      </w:r>
      <w:r>
        <w:rPr/>
        <w:t>its</w:t>
      </w:r>
      <w:r>
        <w:rPr>
          <w:spacing w:val="-2"/>
        </w:rPr>
        <w:t> </w:t>
      </w:r>
      <w:r>
        <w:rPr/>
        <w:t>time in</w:t>
      </w:r>
      <w:r>
        <w:rPr>
          <w:spacing w:val="-2"/>
        </w:rPr>
        <w:t> </w:t>
      </w:r>
      <w:r>
        <w:rPr/>
        <w:t>which a</w:t>
      </w:r>
      <w:r>
        <w:rPr>
          <w:spacing w:val="-13"/>
        </w:rPr>
        <w:t> </w:t>
      </w:r>
      <w:r>
        <w:rPr/>
        <w:t>wife</w:t>
      </w:r>
      <w:r>
        <w:rPr>
          <w:spacing w:val="-12"/>
        </w:rPr>
        <w:t> </w:t>
      </w:r>
      <w:r>
        <w:rPr/>
        <w:t>wrongly</w:t>
      </w:r>
      <w:r>
        <w:rPr>
          <w:spacing w:val="-13"/>
        </w:rPr>
        <w:t> </w:t>
      </w:r>
      <w:r>
        <w:rPr/>
        <w:t>suspected</w:t>
      </w:r>
      <w:r>
        <w:rPr>
          <w:spacing w:val="-11"/>
        </w:rPr>
        <w:t> </w:t>
      </w:r>
      <w:r>
        <w:rPr/>
        <w:t>of</w:t>
      </w:r>
      <w:r>
        <w:rPr>
          <w:spacing w:val="-12"/>
        </w:rPr>
        <w:t> </w:t>
      </w:r>
      <w:r>
        <w:rPr/>
        <w:t>infidelity</w:t>
      </w:r>
      <w:r>
        <w:rPr>
          <w:spacing w:val="-13"/>
        </w:rPr>
        <w:t> </w:t>
      </w:r>
      <w:r>
        <w:rPr/>
        <w:t>is</w:t>
      </w:r>
      <w:r>
        <w:rPr>
          <w:spacing w:val="-11"/>
        </w:rPr>
        <w:t> </w:t>
      </w:r>
      <w:r>
        <w:rPr/>
        <w:t>murdered</w:t>
      </w:r>
      <w:r>
        <w:rPr>
          <w:spacing w:val="-12"/>
        </w:rPr>
        <w:t> </w:t>
      </w:r>
      <w:r>
        <w:rPr/>
        <w:t>by</w:t>
      </w:r>
      <w:r>
        <w:rPr>
          <w:spacing w:val="-12"/>
        </w:rPr>
        <w:t> </w:t>
      </w:r>
      <w:r>
        <w:rPr/>
        <w:t>her</w:t>
      </w:r>
      <w:r>
        <w:rPr>
          <w:spacing w:val="-10"/>
        </w:rPr>
        <w:t> </w:t>
      </w:r>
      <w:r>
        <w:rPr/>
        <w:t>husband.</w:t>
      </w:r>
      <w:r>
        <w:rPr>
          <w:spacing w:val="-11"/>
        </w:rPr>
        <w:t> </w:t>
      </w:r>
      <w:r>
        <w:rPr>
          <w:spacing w:val="-2"/>
        </w:rPr>
        <w:t>(146)</w:t>
      </w:r>
    </w:p>
    <w:p>
      <w:pPr>
        <w:spacing w:before="65"/>
        <w:ind w:left="2160" w:right="0" w:firstLine="0"/>
        <w:jc w:val="both"/>
        <w:rPr>
          <w:i/>
          <w:sz w:val="20"/>
        </w:rPr>
      </w:pPr>
      <w:r>
        <w:rPr>
          <w:i/>
          <w:sz w:val="20"/>
        </w:rPr>
        <w:t>She</w:t>
      </w:r>
      <w:r>
        <w:rPr>
          <w:i/>
          <w:spacing w:val="28"/>
          <w:sz w:val="20"/>
        </w:rPr>
        <w:t> </w:t>
      </w:r>
      <w:r>
        <w:rPr>
          <w:i/>
          <w:sz w:val="20"/>
        </w:rPr>
        <w:t>further</w:t>
      </w:r>
      <w:r>
        <w:rPr>
          <w:i/>
          <w:spacing w:val="28"/>
          <w:sz w:val="20"/>
        </w:rPr>
        <w:t> </w:t>
      </w:r>
      <w:r>
        <w:rPr>
          <w:i/>
          <w:spacing w:val="-2"/>
          <w:sz w:val="20"/>
        </w:rPr>
        <w:t>adds,</w:t>
      </w:r>
    </w:p>
    <w:p>
      <w:pPr>
        <w:spacing w:line="249" w:lineRule="auto" w:before="70"/>
        <w:ind w:left="2160" w:right="2160" w:firstLine="0"/>
        <w:jc w:val="both"/>
        <w:rPr>
          <w:i/>
          <w:sz w:val="20"/>
        </w:rPr>
      </w:pPr>
      <w:r>
        <w:rPr>
          <w:i/>
          <w:sz w:val="20"/>
        </w:rPr>
        <w:t>Othello challenges the myth of the chaste woman as invulnerable,</w:t>
      </w:r>
      <w:r>
        <w:rPr>
          <w:i/>
          <w:spacing w:val="-13"/>
          <w:sz w:val="20"/>
        </w:rPr>
        <w:t> </w:t>
      </w:r>
      <w:r>
        <w:rPr>
          <w:i/>
          <w:sz w:val="20"/>
        </w:rPr>
        <w:t>and</w:t>
      </w:r>
      <w:r>
        <w:rPr>
          <w:i/>
          <w:spacing w:val="-12"/>
          <w:sz w:val="20"/>
        </w:rPr>
        <w:t> </w:t>
      </w:r>
      <w:r>
        <w:rPr>
          <w:i/>
          <w:sz w:val="20"/>
        </w:rPr>
        <w:t>warns</w:t>
      </w:r>
      <w:r>
        <w:rPr>
          <w:i/>
          <w:spacing w:val="-12"/>
          <w:sz w:val="20"/>
        </w:rPr>
        <w:t> </w:t>
      </w:r>
      <w:r>
        <w:rPr>
          <w:i/>
          <w:sz w:val="20"/>
        </w:rPr>
        <w:t>men</w:t>
      </w:r>
      <w:r>
        <w:rPr>
          <w:i/>
          <w:spacing w:val="-12"/>
          <w:sz w:val="20"/>
        </w:rPr>
        <w:t> </w:t>
      </w:r>
      <w:r>
        <w:rPr>
          <w:i/>
          <w:sz w:val="20"/>
        </w:rPr>
        <w:t>against</w:t>
      </w:r>
      <w:r>
        <w:rPr>
          <w:i/>
          <w:spacing w:val="-13"/>
          <w:sz w:val="20"/>
        </w:rPr>
        <w:t> </w:t>
      </w:r>
      <w:r>
        <w:rPr>
          <w:i/>
          <w:sz w:val="20"/>
        </w:rPr>
        <w:t>mistrusting</w:t>
      </w:r>
      <w:r>
        <w:rPr>
          <w:i/>
          <w:spacing w:val="-10"/>
          <w:sz w:val="20"/>
        </w:rPr>
        <w:t> </w:t>
      </w:r>
      <w:r>
        <w:rPr>
          <w:i/>
          <w:sz w:val="20"/>
        </w:rPr>
        <w:t>their wives.</w:t>
      </w:r>
      <w:r>
        <w:rPr>
          <w:i/>
          <w:spacing w:val="40"/>
          <w:sz w:val="20"/>
        </w:rPr>
        <w:t> </w:t>
      </w:r>
      <w:r>
        <w:rPr>
          <w:i/>
          <w:sz w:val="20"/>
        </w:rPr>
        <w:t>(146)</w:t>
      </w:r>
    </w:p>
    <w:p>
      <w:pPr>
        <w:spacing w:line="249" w:lineRule="auto" w:before="60"/>
        <w:ind w:left="2160" w:right="2158" w:firstLine="0"/>
        <w:jc w:val="both"/>
        <w:rPr>
          <w:i/>
          <w:sz w:val="20"/>
        </w:rPr>
      </w:pPr>
      <w:r>
        <w:rPr>
          <w:i/>
          <w:sz w:val="20"/>
        </w:rPr>
        <w:t>The </w:t>
      </w:r>
      <w:r>
        <w:rPr>
          <w:i/>
          <w:spacing w:val="10"/>
          <w:sz w:val="20"/>
        </w:rPr>
        <w:t>author</w:t>
      </w:r>
      <w:r>
        <w:rPr>
          <w:i/>
          <w:spacing w:val="10"/>
          <w:sz w:val="20"/>
        </w:rPr>
        <w:t> </w:t>
      </w:r>
      <w:r>
        <w:rPr>
          <w:i/>
          <w:spacing w:val="11"/>
          <w:sz w:val="20"/>
        </w:rPr>
        <w:t>emphasises</w:t>
      </w:r>
      <w:r>
        <w:rPr>
          <w:i/>
          <w:spacing w:val="11"/>
          <w:sz w:val="20"/>
        </w:rPr>
        <w:t> </w:t>
      </w:r>
      <w:r>
        <w:rPr>
          <w:i/>
          <w:spacing w:val="9"/>
          <w:sz w:val="20"/>
        </w:rPr>
        <w:t>that</w:t>
      </w:r>
      <w:r>
        <w:rPr>
          <w:i/>
          <w:spacing w:val="9"/>
          <w:sz w:val="20"/>
        </w:rPr>
        <w:t> </w:t>
      </w:r>
      <w:r>
        <w:rPr>
          <w:i/>
          <w:spacing w:val="10"/>
          <w:sz w:val="20"/>
        </w:rPr>
        <w:t>readers</w:t>
      </w:r>
      <w:r>
        <w:rPr>
          <w:i/>
          <w:spacing w:val="10"/>
          <w:sz w:val="20"/>
        </w:rPr>
        <w:t> </w:t>
      </w:r>
      <w:r>
        <w:rPr>
          <w:i/>
          <w:sz w:val="20"/>
        </w:rPr>
        <w:t>tend to sympathize with Othello because they don’t doubt</w:t>
      </w:r>
      <w:r>
        <w:rPr>
          <w:i/>
          <w:spacing w:val="80"/>
          <w:sz w:val="20"/>
        </w:rPr>
        <w:t> </w:t>
      </w:r>
      <w:r>
        <w:rPr>
          <w:i/>
          <w:sz w:val="20"/>
        </w:rPr>
        <w:t>the</w:t>
      </w:r>
      <w:r>
        <w:rPr>
          <w:i/>
          <w:spacing w:val="40"/>
          <w:sz w:val="20"/>
        </w:rPr>
        <w:t> </w:t>
      </w:r>
      <w:r>
        <w:rPr>
          <w:i/>
          <w:sz w:val="20"/>
        </w:rPr>
        <w:t>intensity</w:t>
      </w:r>
      <w:r>
        <w:rPr>
          <w:i/>
          <w:spacing w:val="40"/>
          <w:sz w:val="20"/>
        </w:rPr>
        <w:t> </w:t>
      </w:r>
      <w:r>
        <w:rPr>
          <w:i/>
          <w:sz w:val="20"/>
        </w:rPr>
        <w:t>of</w:t>
      </w:r>
      <w:r>
        <w:rPr>
          <w:i/>
          <w:spacing w:val="40"/>
          <w:sz w:val="20"/>
        </w:rPr>
        <w:t> </w:t>
      </w:r>
      <w:r>
        <w:rPr>
          <w:i/>
          <w:sz w:val="20"/>
        </w:rPr>
        <w:t>his</w:t>
      </w:r>
      <w:r>
        <w:rPr>
          <w:i/>
          <w:spacing w:val="40"/>
          <w:sz w:val="20"/>
        </w:rPr>
        <w:t> </w:t>
      </w:r>
      <w:r>
        <w:rPr>
          <w:i/>
          <w:sz w:val="20"/>
        </w:rPr>
        <w:t>love</w:t>
      </w:r>
      <w:r>
        <w:rPr>
          <w:i/>
          <w:spacing w:val="40"/>
          <w:sz w:val="20"/>
        </w:rPr>
        <w:t> </w:t>
      </w:r>
      <w:r>
        <w:rPr>
          <w:i/>
          <w:sz w:val="20"/>
        </w:rPr>
        <w:t>for</w:t>
      </w:r>
      <w:r>
        <w:rPr>
          <w:i/>
          <w:spacing w:val="40"/>
          <w:sz w:val="20"/>
        </w:rPr>
        <w:t> </w:t>
      </w:r>
      <w:r>
        <w:rPr>
          <w:i/>
          <w:sz w:val="20"/>
        </w:rPr>
        <w:t>Desdemona.</w:t>
      </w:r>
    </w:p>
    <w:p>
      <w:pPr>
        <w:spacing w:line="249" w:lineRule="auto" w:before="60"/>
        <w:ind w:left="2160" w:right="2161" w:firstLine="0"/>
        <w:jc w:val="both"/>
        <w:rPr>
          <w:i/>
          <w:sz w:val="20"/>
        </w:rPr>
      </w:pPr>
      <w:r>
        <w:rPr>
          <w:i/>
          <w:sz w:val="20"/>
        </w:rPr>
        <w:t>. . . By</w:t>
      </w:r>
      <w:r>
        <w:rPr>
          <w:i/>
          <w:spacing w:val="-1"/>
          <w:sz w:val="20"/>
        </w:rPr>
        <w:t> </w:t>
      </w:r>
      <w:r>
        <w:rPr>
          <w:i/>
          <w:sz w:val="20"/>
        </w:rPr>
        <w:t>the</w:t>
      </w:r>
      <w:r>
        <w:rPr>
          <w:i/>
          <w:spacing w:val="-1"/>
          <w:sz w:val="20"/>
        </w:rPr>
        <w:t> </w:t>
      </w:r>
      <w:r>
        <w:rPr>
          <w:i/>
          <w:sz w:val="20"/>
        </w:rPr>
        <w:t>world/</w:t>
      </w:r>
      <w:r>
        <w:rPr>
          <w:i/>
          <w:spacing w:val="-1"/>
          <w:sz w:val="20"/>
        </w:rPr>
        <w:t> </w:t>
      </w:r>
      <w:r>
        <w:rPr>
          <w:i/>
          <w:sz w:val="20"/>
        </w:rPr>
        <w:t>I think</w:t>
      </w:r>
      <w:r>
        <w:rPr>
          <w:i/>
          <w:spacing w:val="-2"/>
          <w:sz w:val="20"/>
        </w:rPr>
        <w:t> </w:t>
      </w:r>
      <w:r>
        <w:rPr>
          <w:i/>
          <w:sz w:val="20"/>
        </w:rPr>
        <w:t>my wife be honest, and think she is not./I think thou [Iago] art just, {and then</w:t>
      </w:r>
      <w:r>
        <w:rPr>
          <w:i/>
          <w:spacing w:val="80"/>
          <w:sz w:val="20"/>
        </w:rPr>
        <w:t> </w:t>
      </w:r>
      <w:r>
        <w:rPr>
          <w:i/>
          <w:sz w:val="20"/>
        </w:rPr>
        <w:t>think</w:t>
      </w:r>
      <w:r>
        <w:rPr>
          <w:i/>
          <w:spacing w:val="40"/>
          <w:sz w:val="20"/>
        </w:rPr>
        <w:t> </w:t>
      </w:r>
      <w:r>
        <w:rPr>
          <w:i/>
          <w:sz w:val="20"/>
        </w:rPr>
        <w:t>thou</w:t>
      </w:r>
      <w:r>
        <w:rPr>
          <w:i/>
          <w:spacing w:val="40"/>
          <w:sz w:val="20"/>
        </w:rPr>
        <w:t> </w:t>
      </w:r>
      <w:r>
        <w:rPr>
          <w:i/>
          <w:sz w:val="20"/>
        </w:rPr>
        <w:t>art</w:t>
      </w:r>
      <w:r>
        <w:rPr>
          <w:i/>
          <w:spacing w:val="40"/>
          <w:sz w:val="20"/>
        </w:rPr>
        <w:t> </w:t>
      </w:r>
      <w:r>
        <w:rPr>
          <w:i/>
          <w:sz w:val="20"/>
        </w:rPr>
        <w:t>not.(©</w:t>
      </w:r>
      <w:r>
        <w:rPr>
          <w:i/>
          <w:spacing w:val="40"/>
          <w:sz w:val="20"/>
        </w:rPr>
        <w:t> </w:t>
      </w:r>
      <w:r>
        <w:rPr>
          <w:i/>
          <w:sz w:val="20"/>
        </w:rPr>
        <w:t>Liz</w:t>
      </w:r>
      <w:r>
        <w:rPr>
          <w:i/>
          <w:spacing w:val="40"/>
          <w:sz w:val="20"/>
        </w:rPr>
        <w:t> </w:t>
      </w:r>
      <w:r>
        <w:rPr>
          <w:i/>
          <w:sz w:val="20"/>
        </w:rPr>
        <w:t>Lewis</w:t>
      </w:r>
      <w:r>
        <w:rPr>
          <w:i/>
          <w:spacing w:val="40"/>
          <w:sz w:val="20"/>
        </w:rPr>
        <w:t> </w:t>
      </w:r>
      <w:r>
        <w:rPr>
          <w:i/>
          <w:sz w:val="20"/>
        </w:rPr>
        <w:t>November</w:t>
      </w:r>
      <w:r>
        <w:rPr>
          <w:i/>
          <w:spacing w:val="40"/>
          <w:sz w:val="20"/>
        </w:rPr>
        <w:t> </w:t>
      </w:r>
      <w:r>
        <w:rPr>
          <w:i/>
          <w:sz w:val="20"/>
        </w:rPr>
        <w:t>2001)</w:t>
      </w:r>
    </w:p>
    <w:p>
      <w:pPr>
        <w:spacing w:line="249" w:lineRule="auto" w:before="60"/>
        <w:ind w:left="2160" w:right="2160" w:firstLine="206"/>
        <w:jc w:val="both"/>
        <w:rPr>
          <w:i/>
          <w:sz w:val="20"/>
        </w:rPr>
      </w:pPr>
      <w:r>
        <w:rPr>
          <w:i/>
          <w:sz w:val="20"/>
        </w:rPr>
        <w:t>Othello is clearly beguiled by a devilish white</w:t>
      </w:r>
      <w:r>
        <w:rPr>
          <w:i/>
          <w:spacing w:val="40"/>
          <w:sz w:val="20"/>
        </w:rPr>
        <w:t> </w:t>
      </w:r>
      <w:r>
        <w:rPr>
          <w:i/>
          <w:sz w:val="20"/>
        </w:rPr>
        <w:t>man, and picks up woman-hating and sex-hating language</w:t>
      </w:r>
      <w:r>
        <w:rPr>
          <w:i/>
          <w:spacing w:val="40"/>
          <w:sz w:val="20"/>
        </w:rPr>
        <w:t> </w:t>
      </w:r>
      <w:r>
        <w:rPr>
          <w:i/>
          <w:sz w:val="20"/>
        </w:rPr>
        <w:t>from</w:t>
      </w:r>
      <w:r>
        <w:rPr>
          <w:i/>
          <w:spacing w:val="40"/>
          <w:sz w:val="20"/>
        </w:rPr>
        <w:t> </w:t>
      </w:r>
      <w:r>
        <w:rPr>
          <w:i/>
          <w:sz w:val="20"/>
        </w:rPr>
        <w:t>Iago.</w:t>
      </w:r>
      <w:r>
        <w:rPr>
          <w:i/>
          <w:spacing w:val="40"/>
          <w:sz w:val="20"/>
        </w:rPr>
        <w:t> </w:t>
      </w:r>
      <w:r>
        <w:rPr>
          <w:i/>
          <w:sz w:val="20"/>
        </w:rPr>
        <w:t>(151)</w:t>
      </w:r>
    </w:p>
    <w:p>
      <w:pPr>
        <w:spacing w:line="249" w:lineRule="auto" w:before="60"/>
        <w:ind w:left="2160" w:right="2159" w:firstLine="0"/>
        <w:jc w:val="both"/>
        <w:rPr>
          <w:i/>
          <w:sz w:val="20"/>
        </w:rPr>
      </w:pPr>
      <w:r>
        <w:rPr>
          <w:i/>
          <w:sz w:val="20"/>
        </w:rPr>
        <w:t>Another reason she recounts is Social Collusion and Male Alliance’ the critic argues that wife-murder even today, is generally preceded by an escalating course</w:t>
      </w:r>
      <w:r>
        <w:rPr>
          <w:i/>
          <w:spacing w:val="40"/>
          <w:sz w:val="20"/>
        </w:rPr>
        <w:t> </w:t>
      </w:r>
      <w:r>
        <w:rPr>
          <w:i/>
          <w:sz w:val="20"/>
        </w:rPr>
        <w:t>of</w:t>
      </w:r>
      <w:r>
        <w:rPr>
          <w:i/>
          <w:spacing w:val="40"/>
          <w:sz w:val="20"/>
        </w:rPr>
        <w:t> </w:t>
      </w:r>
      <w:r>
        <w:rPr>
          <w:i/>
          <w:sz w:val="20"/>
        </w:rPr>
        <w:t>violence.</w:t>
      </w:r>
    </w:p>
    <w:p>
      <w:pPr>
        <w:pStyle w:val="BodyText"/>
        <w:spacing w:line="249" w:lineRule="auto" w:before="63"/>
        <w:ind w:right="1440" w:firstLine="432"/>
        <w:jc w:val="both"/>
      </w:pPr>
      <w:r>
        <w:rPr/>
        <w:t>She points out, Virilocality, the system wherein a woman</w:t>
      </w:r>
      <w:r>
        <w:rPr>
          <w:spacing w:val="-1"/>
        </w:rPr>
        <w:t> </w:t>
      </w:r>
      <w:r>
        <w:rPr/>
        <w:t>shifts to her husband’s home after marriage, places her ‘within’ her husband’s </w:t>
      </w:r>
      <w:r>
        <w:rPr>
          <w:spacing w:val="-4"/>
        </w:rPr>
        <w:t>power,</w:t>
      </w:r>
      <w:r>
        <w:rPr>
          <w:spacing w:val="-8"/>
        </w:rPr>
        <w:t> </w:t>
      </w:r>
      <w:r>
        <w:rPr>
          <w:spacing w:val="-4"/>
        </w:rPr>
        <w:t>and</w:t>
      </w:r>
      <w:r>
        <w:rPr>
          <w:spacing w:val="-9"/>
        </w:rPr>
        <w:t> </w:t>
      </w:r>
      <w:r>
        <w:rPr>
          <w:spacing w:val="-4"/>
        </w:rPr>
        <w:t>makes</w:t>
      </w:r>
      <w:r>
        <w:rPr>
          <w:spacing w:val="-15"/>
        </w:rPr>
        <w:t> </w:t>
      </w:r>
      <w:r>
        <w:rPr>
          <w:spacing w:val="-4"/>
        </w:rPr>
        <w:t>it</w:t>
      </w:r>
      <w:r>
        <w:rPr>
          <w:spacing w:val="-9"/>
        </w:rPr>
        <w:t> </w:t>
      </w:r>
      <w:r>
        <w:rPr>
          <w:spacing w:val="-4"/>
        </w:rPr>
        <w:t>easier</w:t>
      </w:r>
      <w:r>
        <w:rPr>
          <w:spacing w:val="-11"/>
        </w:rPr>
        <w:t> </w:t>
      </w:r>
      <w:r>
        <w:rPr>
          <w:spacing w:val="-4"/>
        </w:rPr>
        <w:t>for</w:t>
      </w:r>
      <w:r>
        <w:rPr>
          <w:spacing w:val="-10"/>
        </w:rPr>
        <w:t> </w:t>
      </w:r>
      <w:r>
        <w:rPr>
          <w:spacing w:val="-4"/>
        </w:rPr>
        <w:t>him</w:t>
      </w:r>
      <w:r>
        <w:rPr>
          <w:spacing w:val="-20"/>
        </w:rPr>
        <w:t> </w:t>
      </w:r>
      <w:r>
        <w:rPr>
          <w:spacing w:val="-4"/>
        </w:rPr>
        <w:t>to</w:t>
      </w:r>
      <w:r>
        <w:rPr>
          <w:spacing w:val="-9"/>
        </w:rPr>
        <w:t> </w:t>
      </w:r>
      <w:r>
        <w:rPr>
          <w:spacing w:val="-4"/>
        </w:rPr>
        <w:t>inflict</w:t>
      </w:r>
      <w:r>
        <w:rPr>
          <w:spacing w:val="-11"/>
        </w:rPr>
        <w:t> </w:t>
      </w:r>
      <w:r>
        <w:rPr>
          <w:spacing w:val="-4"/>
        </w:rPr>
        <w:t>violence</w:t>
      </w:r>
      <w:r>
        <w:rPr>
          <w:spacing w:val="-11"/>
        </w:rPr>
        <w:t> </w:t>
      </w:r>
      <w:r>
        <w:rPr>
          <w:spacing w:val="-4"/>
        </w:rPr>
        <w:t>on</w:t>
      </w:r>
      <w:r>
        <w:rPr>
          <w:spacing w:val="-14"/>
        </w:rPr>
        <w:t> </w:t>
      </w:r>
      <w:r>
        <w:rPr>
          <w:spacing w:val="-4"/>
        </w:rPr>
        <w:t>her,</w:t>
      </w:r>
      <w:r>
        <w:rPr>
          <w:spacing w:val="-8"/>
        </w:rPr>
        <w:t> </w:t>
      </w:r>
      <w:r>
        <w:rPr>
          <w:spacing w:val="-4"/>
        </w:rPr>
        <w:t>as</w:t>
      </w:r>
      <w:r>
        <w:rPr>
          <w:spacing w:val="-9"/>
        </w:rPr>
        <w:t> </w:t>
      </w:r>
      <w:r>
        <w:rPr>
          <w:spacing w:val="-4"/>
        </w:rPr>
        <w:t>Shakespeare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49792">
                <wp:simplePos x="0" y="0"/>
                <wp:positionH relativeFrom="page">
                  <wp:posOffset>2057400</wp:posOffset>
                </wp:positionH>
                <wp:positionV relativeFrom="paragraph">
                  <wp:posOffset>162604</wp:posOffset>
                </wp:positionV>
                <wp:extent cx="3657600" cy="12700"/>
                <wp:effectExtent l="0" t="0" r="0" b="0"/>
                <wp:wrapTopAndBottom/>
                <wp:docPr id="229" name="Graphic 229"/>
                <wp:cNvGraphicFramePr>
                  <a:graphicFrameLocks/>
                </wp:cNvGraphicFramePr>
                <a:graphic>
                  <a:graphicData uri="http://schemas.microsoft.com/office/word/2010/wordprocessingShape">
                    <wps:wsp>
                      <wps:cNvPr id="229" name="Graphic 22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66688;mso-wrap-distance-left:0;mso-wrap-distance-right:0" id="docshape225" filled="true" fillcolor="#000000" stroked="false">
                <v:fill type="solid"/>
                <w10:wrap type="topAndBottom"/>
              </v:rect>
            </w:pict>
          </mc:Fallback>
        </mc:AlternateContent>
      </w:r>
      <w:r>
        <w:rPr>
          <w:rFonts w:ascii="Verdana"/>
          <w:spacing w:val="-5"/>
          <w:sz w:val="18"/>
        </w:rPr>
        <w:t>58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demonstrated early</w:t>
      </w:r>
      <w:r>
        <w:rPr>
          <w:spacing w:val="-1"/>
        </w:rPr>
        <w:t> </w:t>
      </w:r>
      <w:r>
        <w:rPr/>
        <w:t>in</w:t>
      </w:r>
      <w:r>
        <w:rPr>
          <w:spacing w:val="-1"/>
        </w:rPr>
        <w:t> </w:t>
      </w:r>
      <w:r>
        <w:rPr/>
        <w:t>his</w:t>
      </w:r>
      <w:r>
        <w:rPr>
          <w:spacing w:val="-1"/>
        </w:rPr>
        <w:t> </w:t>
      </w:r>
      <w:r>
        <w:rPr/>
        <w:t>career</w:t>
      </w:r>
      <w:r>
        <w:rPr>
          <w:spacing w:val="-1"/>
        </w:rPr>
        <w:t> </w:t>
      </w:r>
      <w:r>
        <w:rPr/>
        <w:t>in</w:t>
      </w:r>
      <w:r>
        <w:rPr>
          <w:spacing w:val="-1"/>
        </w:rPr>
        <w:t> </w:t>
      </w:r>
      <w:r>
        <w:rPr/>
        <w:t>Taming</w:t>
      </w:r>
      <w:r>
        <w:rPr>
          <w:spacing w:val="-1"/>
        </w:rPr>
        <w:t> </w:t>
      </w:r>
      <w:r>
        <w:rPr/>
        <w:t>of</w:t>
      </w:r>
      <w:r>
        <w:rPr>
          <w:spacing w:val="-2"/>
        </w:rPr>
        <w:t> </w:t>
      </w:r>
      <w:r>
        <w:rPr/>
        <w:t>the</w:t>
      </w:r>
      <w:r>
        <w:rPr>
          <w:spacing w:val="-1"/>
        </w:rPr>
        <w:t> </w:t>
      </w:r>
      <w:r>
        <w:rPr/>
        <w:t>Shrew. (Vanita,</w:t>
      </w:r>
      <w:r>
        <w:rPr>
          <w:spacing w:val="-1"/>
        </w:rPr>
        <w:t> </w:t>
      </w:r>
      <w:r>
        <w:rPr/>
        <w:t>161). Desdemona fails prey to Othello as she is a woman, and does not</w:t>
      </w:r>
      <w:r>
        <w:rPr>
          <w:spacing w:val="40"/>
        </w:rPr>
        <w:t> </w:t>
      </w:r>
      <w:r>
        <w:rPr/>
        <w:t>openly kill Cassio. He arranges for the murder to be carried out in a clandestine</w:t>
      </w:r>
      <w:r>
        <w:rPr>
          <w:spacing w:val="-3"/>
        </w:rPr>
        <w:t> </w:t>
      </w:r>
      <w:r>
        <w:rPr/>
        <w:t>manner.</w:t>
      </w:r>
      <w:r>
        <w:rPr>
          <w:spacing w:val="-8"/>
        </w:rPr>
        <w:t> </w:t>
      </w:r>
      <w:r>
        <w:rPr/>
        <w:t>This</w:t>
      </w:r>
      <w:r>
        <w:rPr>
          <w:spacing w:val="-3"/>
        </w:rPr>
        <w:t> </w:t>
      </w:r>
      <w:r>
        <w:rPr/>
        <w:t>is</w:t>
      </w:r>
      <w:r>
        <w:rPr>
          <w:spacing w:val="-3"/>
        </w:rPr>
        <w:t> </w:t>
      </w:r>
      <w:r>
        <w:rPr/>
        <w:t>because</w:t>
      </w:r>
      <w:r>
        <w:rPr>
          <w:spacing w:val="-5"/>
        </w:rPr>
        <w:t> </w:t>
      </w:r>
      <w:r>
        <w:rPr/>
        <w:t>it</w:t>
      </w:r>
      <w:r>
        <w:rPr>
          <w:spacing w:val="-3"/>
        </w:rPr>
        <w:t> </w:t>
      </w:r>
      <w:r>
        <w:rPr/>
        <w:t>would</w:t>
      </w:r>
      <w:r>
        <w:rPr>
          <w:spacing w:val="-3"/>
        </w:rPr>
        <w:t> </w:t>
      </w:r>
      <w:r>
        <w:rPr/>
        <w:t>be</w:t>
      </w:r>
      <w:r>
        <w:rPr>
          <w:spacing w:val="-5"/>
        </w:rPr>
        <w:t> </w:t>
      </w:r>
      <w:r>
        <w:rPr/>
        <w:t>harder</w:t>
      </w:r>
      <w:r>
        <w:rPr>
          <w:spacing w:val="-1"/>
        </w:rPr>
        <w:t> </w:t>
      </w:r>
      <w:r>
        <w:rPr/>
        <w:t>to</w:t>
      </w:r>
      <w:r>
        <w:rPr>
          <w:spacing w:val="-1"/>
        </w:rPr>
        <w:t> </w:t>
      </w:r>
      <w:r>
        <w:rPr/>
        <w:t>get</w:t>
      </w:r>
      <w:r>
        <w:rPr>
          <w:spacing w:val="-6"/>
        </w:rPr>
        <w:t> </w:t>
      </w:r>
      <w:r>
        <w:rPr/>
        <w:t>away</w:t>
      </w:r>
      <w:r>
        <w:rPr>
          <w:spacing w:val="-6"/>
        </w:rPr>
        <w:t> </w:t>
      </w:r>
      <w:r>
        <w:rPr/>
        <w:t>with killing man than with killing his wife.</w:t>
      </w:r>
    </w:p>
    <w:p>
      <w:pPr>
        <w:pStyle w:val="BodyText"/>
        <w:spacing w:line="249" w:lineRule="auto" w:before="62"/>
        <w:ind w:right="1438" w:firstLine="432"/>
        <w:jc w:val="both"/>
      </w:pPr>
      <w:r>
        <w:rPr/>
        <w:t>Shakespeare</w:t>
      </w:r>
      <w:r>
        <w:rPr>
          <w:spacing w:val="-12"/>
        </w:rPr>
        <w:t> </w:t>
      </w:r>
      <w:r>
        <w:rPr/>
        <w:t>dramatizes</w:t>
      </w:r>
      <w:r>
        <w:rPr>
          <w:spacing w:val="-10"/>
        </w:rPr>
        <w:t> </w:t>
      </w:r>
      <w:r>
        <w:rPr/>
        <w:t>male</w:t>
      </w:r>
      <w:r>
        <w:rPr>
          <w:spacing w:val="-12"/>
        </w:rPr>
        <w:t> </w:t>
      </w:r>
      <w:r>
        <w:rPr/>
        <w:t>collusion</w:t>
      </w:r>
      <w:r>
        <w:rPr>
          <w:spacing w:val="-13"/>
        </w:rPr>
        <w:t> </w:t>
      </w:r>
      <w:r>
        <w:rPr/>
        <w:t>in</w:t>
      </w:r>
      <w:r>
        <w:rPr>
          <w:spacing w:val="-12"/>
        </w:rPr>
        <w:t> </w:t>
      </w:r>
      <w:r>
        <w:rPr/>
        <w:t>husbandly</w:t>
      </w:r>
      <w:r>
        <w:rPr>
          <w:spacing w:val="-12"/>
        </w:rPr>
        <w:t> </w:t>
      </w:r>
      <w:r>
        <w:rPr/>
        <w:t>violence</w:t>
      </w:r>
      <w:r>
        <w:rPr>
          <w:spacing w:val="-12"/>
        </w:rPr>
        <w:t> </w:t>
      </w:r>
      <w:r>
        <w:rPr/>
        <w:t>even more</w:t>
      </w:r>
      <w:r>
        <w:rPr>
          <w:spacing w:val="-13"/>
        </w:rPr>
        <w:t> </w:t>
      </w:r>
      <w:r>
        <w:rPr/>
        <w:t>starkly</w:t>
      </w:r>
      <w:r>
        <w:rPr>
          <w:spacing w:val="-12"/>
        </w:rPr>
        <w:t> </w:t>
      </w:r>
      <w:r>
        <w:rPr/>
        <w:t>in</w:t>
      </w:r>
      <w:r>
        <w:rPr>
          <w:spacing w:val="-13"/>
        </w:rPr>
        <w:t> </w:t>
      </w:r>
      <w:r>
        <w:rPr/>
        <w:t>the</w:t>
      </w:r>
      <w:r>
        <w:rPr>
          <w:spacing w:val="-12"/>
        </w:rPr>
        <w:t> </w:t>
      </w:r>
      <w:r>
        <w:rPr/>
        <w:t>murder</w:t>
      </w:r>
      <w:r>
        <w:rPr>
          <w:spacing w:val="-13"/>
        </w:rPr>
        <w:t> </w:t>
      </w:r>
      <w:r>
        <w:rPr/>
        <w:t>of</w:t>
      </w:r>
      <w:r>
        <w:rPr>
          <w:spacing w:val="-12"/>
        </w:rPr>
        <w:t> </w:t>
      </w:r>
      <w:r>
        <w:rPr/>
        <w:t>Emilia.</w:t>
      </w:r>
      <w:r>
        <w:rPr>
          <w:spacing w:val="-13"/>
        </w:rPr>
        <w:t> </w:t>
      </w:r>
      <w:r>
        <w:rPr/>
        <w:t>Desdemona</w:t>
      </w:r>
      <w:r>
        <w:rPr>
          <w:spacing w:val="-12"/>
        </w:rPr>
        <w:t> </w:t>
      </w:r>
      <w:r>
        <w:rPr/>
        <w:t>dying,</w:t>
      </w:r>
      <w:r>
        <w:rPr>
          <w:spacing w:val="-13"/>
        </w:rPr>
        <w:t> </w:t>
      </w:r>
      <w:r>
        <w:rPr/>
        <w:t>gives</w:t>
      </w:r>
      <w:r>
        <w:rPr>
          <w:spacing w:val="-12"/>
        </w:rPr>
        <w:t> </w:t>
      </w:r>
      <w:r>
        <w:rPr/>
        <w:t>Emilia</w:t>
      </w:r>
      <w:r>
        <w:rPr>
          <w:spacing w:val="-13"/>
        </w:rPr>
        <w:t> </w:t>
      </w:r>
      <w:r>
        <w:rPr/>
        <w:t>the responsibility of mentioning her innocence. While fulfilling this responsibility,</w:t>
      </w:r>
      <w:r>
        <w:rPr>
          <w:spacing w:val="-9"/>
        </w:rPr>
        <w:t> </w:t>
      </w:r>
      <w:r>
        <w:rPr/>
        <w:t>Emilia</w:t>
      </w:r>
      <w:r>
        <w:rPr>
          <w:spacing w:val="-7"/>
        </w:rPr>
        <w:t> </w:t>
      </w:r>
      <w:r>
        <w:rPr/>
        <w:t>is</w:t>
      </w:r>
      <w:r>
        <w:rPr>
          <w:spacing w:val="-10"/>
        </w:rPr>
        <w:t> </w:t>
      </w:r>
      <w:r>
        <w:rPr/>
        <w:t>murdered</w:t>
      </w:r>
      <w:r>
        <w:rPr>
          <w:spacing w:val="-7"/>
        </w:rPr>
        <w:t> </w:t>
      </w:r>
      <w:r>
        <w:rPr/>
        <w:t>while</w:t>
      </w:r>
      <w:r>
        <w:rPr>
          <w:spacing w:val="-9"/>
        </w:rPr>
        <w:t> </w:t>
      </w:r>
      <w:r>
        <w:rPr/>
        <w:t>fulfilling</w:t>
      </w:r>
      <w:r>
        <w:rPr>
          <w:spacing w:val="-9"/>
        </w:rPr>
        <w:t> </w:t>
      </w:r>
      <w:r>
        <w:rPr/>
        <w:t>his</w:t>
      </w:r>
      <w:r>
        <w:rPr>
          <w:spacing w:val="-10"/>
        </w:rPr>
        <w:t> </w:t>
      </w:r>
      <w:r>
        <w:rPr/>
        <w:t>responsibility,</w:t>
      </w:r>
      <w:r>
        <w:rPr>
          <w:spacing w:val="-5"/>
        </w:rPr>
        <w:t> </w:t>
      </w:r>
      <w:r>
        <w:rPr/>
        <w:t>in</w:t>
      </w:r>
      <w:r>
        <w:rPr>
          <w:spacing w:val="-10"/>
        </w:rPr>
        <w:t> </w:t>
      </w:r>
      <w:r>
        <w:rPr/>
        <w:t>a condensed version of the longer- drawn- out murder of Desdemona. </w:t>
      </w:r>
      <w:r>
        <w:rPr>
          <w:spacing w:val="-2"/>
        </w:rPr>
        <w:t>(162)</w:t>
      </w:r>
    </w:p>
    <w:p>
      <w:pPr>
        <w:pStyle w:val="BodyText"/>
        <w:spacing w:line="249" w:lineRule="auto" w:before="62"/>
        <w:ind w:right="1438" w:firstLine="432"/>
        <w:jc w:val="both"/>
      </w:pPr>
      <w:r>
        <w:rPr/>
        <w:t>In </w:t>
      </w:r>
      <w:r>
        <w:rPr>
          <w:i/>
        </w:rPr>
        <w:t>Antony and Cleopatra</w:t>
      </w:r>
      <w:r>
        <w:rPr/>
        <w:t>, Shakespeare again explores the idea of the victim within a patriarchal society but in this play the gender roles are inverted and it is</w:t>
      </w:r>
      <w:r>
        <w:rPr>
          <w:spacing w:val="-10"/>
        </w:rPr>
        <w:t> </w:t>
      </w:r>
      <w:r>
        <w:rPr/>
        <w:t>Antony who is the true victim. Stifled by</w:t>
      </w:r>
      <w:r>
        <w:rPr>
          <w:spacing w:val="-1"/>
        </w:rPr>
        <w:t> </w:t>
      </w:r>
      <w:r>
        <w:rPr/>
        <w:t>the rules </w:t>
      </w:r>
      <w:r>
        <w:rPr>
          <w:spacing w:val="-2"/>
        </w:rPr>
        <w:t>of</w:t>
      </w:r>
      <w:r>
        <w:rPr>
          <w:spacing w:val="-11"/>
        </w:rPr>
        <w:t> </w:t>
      </w:r>
      <w:r>
        <w:rPr>
          <w:spacing w:val="-2"/>
        </w:rPr>
        <w:t>the</w:t>
      </w:r>
      <w:r>
        <w:rPr>
          <w:spacing w:val="-10"/>
        </w:rPr>
        <w:t> </w:t>
      </w:r>
      <w:r>
        <w:rPr>
          <w:spacing w:val="-2"/>
        </w:rPr>
        <w:t>patriarchal</w:t>
      </w:r>
      <w:r>
        <w:rPr>
          <w:spacing w:val="-11"/>
        </w:rPr>
        <w:t> </w:t>
      </w:r>
      <w:r>
        <w:rPr>
          <w:spacing w:val="-2"/>
        </w:rPr>
        <w:t>society</w:t>
      </w:r>
      <w:r>
        <w:rPr>
          <w:spacing w:val="-10"/>
        </w:rPr>
        <w:t> </w:t>
      </w:r>
      <w:r>
        <w:rPr>
          <w:spacing w:val="-2"/>
        </w:rPr>
        <w:t>of</w:t>
      </w:r>
      <w:r>
        <w:rPr>
          <w:spacing w:val="-11"/>
        </w:rPr>
        <w:t> </w:t>
      </w:r>
      <w:r>
        <w:rPr>
          <w:spacing w:val="-2"/>
        </w:rPr>
        <w:t>Rome</w:t>
      </w:r>
      <w:r>
        <w:rPr>
          <w:spacing w:val="-10"/>
        </w:rPr>
        <w:t> </w:t>
      </w:r>
      <w:r>
        <w:rPr>
          <w:spacing w:val="-2"/>
        </w:rPr>
        <w:t>which</w:t>
      </w:r>
      <w:r>
        <w:rPr>
          <w:spacing w:val="-11"/>
        </w:rPr>
        <w:t> </w:t>
      </w:r>
      <w:r>
        <w:rPr>
          <w:spacing w:val="-2"/>
        </w:rPr>
        <w:t>expects</w:t>
      </w:r>
      <w:r>
        <w:rPr>
          <w:spacing w:val="-10"/>
        </w:rPr>
        <w:t> </w:t>
      </w:r>
      <w:r>
        <w:rPr>
          <w:spacing w:val="-2"/>
        </w:rPr>
        <w:t>him</w:t>
      </w:r>
      <w:r>
        <w:rPr>
          <w:spacing w:val="-11"/>
        </w:rPr>
        <w:t> </w:t>
      </w:r>
      <w:r>
        <w:rPr>
          <w:spacing w:val="-2"/>
        </w:rPr>
        <w:t>to</w:t>
      </w:r>
      <w:r>
        <w:rPr>
          <w:spacing w:val="-10"/>
        </w:rPr>
        <w:t> </w:t>
      </w:r>
      <w:r>
        <w:rPr>
          <w:spacing w:val="-2"/>
        </w:rPr>
        <w:t>retain</w:t>
      </w:r>
      <w:r>
        <w:rPr>
          <w:spacing w:val="-11"/>
        </w:rPr>
        <w:t> </w:t>
      </w:r>
      <w:r>
        <w:rPr>
          <w:spacing w:val="-2"/>
        </w:rPr>
        <w:t>a</w:t>
      </w:r>
      <w:r>
        <w:rPr>
          <w:spacing w:val="-10"/>
        </w:rPr>
        <w:t> </w:t>
      </w:r>
      <w:r>
        <w:rPr>
          <w:spacing w:val="-2"/>
        </w:rPr>
        <w:t>masculine </w:t>
      </w:r>
      <w:r>
        <w:rPr/>
        <w:t>side only, and not to adopt the feminine qualities of passion, emotion, and love, Antony’s control over his life diminishes. Within such patriarchal confines the role of lover must be subordinate to the male’s political role. After finding an extraordinary and powerful love with Cleopatra</w:t>
      </w:r>
      <w:r>
        <w:rPr>
          <w:spacing w:val="40"/>
        </w:rPr>
        <w:t> </w:t>
      </w:r>
      <w:r>
        <w:rPr/>
        <w:t>- which</w:t>
      </w:r>
      <w:r>
        <w:rPr>
          <w:spacing w:val="40"/>
        </w:rPr>
        <w:t> </w:t>
      </w:r>
      <w:r>
        <w:rPr/>
        <w:t>Shakespeare</w:t>
      </w:r>
      <w:r>
        <w:rPr>
          <w:spacing w:val="40"/>
        </w:rPr>
        <w:t> </w:t>
      </w:r>
      <w:r>
        <w:rPr/>
        <w:t>establishes</w:t>
      </w:r>
      <w:r>
        <w:rPr>
          <w:spacing w:val="40"/>
        </w:rPr>
        <w:t> </w:t>
      </w:r>
      <w:r>
        <w:rPr/>
        <w:t>to</w:t>
      </w:r>
      <w:r>
        <w:rPr>
          <w:spacing w:val="40"/>
        </w:rPr>
        <w:t> </w:t>
      </w:r>
      <w:r>
        <w:rPr/>
        <w:t>perfection.</w:t>
      </w:r>
    </w:p>
    <w:p>
      <w:pPr>
        <w:pStyle w:val="BodyText"/>
        <w:spacing w:line="249" w:lineRule="auto" w:before="68"/>
        <w:ind w:right="1440" w:firstLine="432"/>
        <w:jc w:val="both"/>
      </w:pPr>
      <w:r>
        <w:rPr/>
        <w:t>Though he cannot remain away from Cleopatra and faithful to Octavia who</w:t>
      </w:r>
      <w:r>
        <w:rPr>
          <w:spacing w:val="-1"/>
        </w:rPr>
        <w:t> </w:t>
      </w:r>
      <w:r>
        <w:rPr/>
        <w:t>symbolises</w:t>
      </w:r>
      <w:r>
        <w:rPr>
          <w:spacing w:val="-3"/>
        </w:rPr>
        <w:t> </w:t>
      </w:r>
      <w:r>
        <w:rPr/>
        <w:t>Caesar and</w:t>
      </w:r>
      <w:r>
        <w:rPr>
          <w:spacing w:val="-1"/>
        </w:rPr>
        <w:t> </w:t>
      </w:r>
      <w:r>
        <w:rPr/>
        <w:t>the</w:t>
      </w:r>
      <w:r>
        <w:rPr>
          <w:spacing w:val="-1"/>
        </w:rPr>
        <w:t> </w:t>
      </w:r>
      <w:r>
        <w:rPr/>
        <w:t>power of</w:t>
      </w:r>
      <w:r>
        <w:rPr>
          <w:spacing w:val="-1"/>
        </w:rPr>
        <w:t> </w:t>
      </w:r>
      <w:r>
        <w:rPr/>
        <w:t>Patriarchal</w:t>
      </w:r>
      <w:r>
        <w:rPr>
          <w:spacing w:val="-5"/>
        </w:rPr>
        <w:t> </w:t>
      </w:r>
      <w:r>
        <w:rPr/>
        <w:t>Rome,</w:t>
      </w:r>
      <w:r>
        <w:rPr>
          <w:spacing w:val="-1"/>
        </w:rPr>
        <w:t> </w:t>
      </w:r>
      <w:r>
        <w:rPr/>
        <w:t>his melancholy and helplessness is noteworthy, He says ‘though I make</w:t>
      </w:r>
      <w:r>
        <w:rPr>
          <w:spacing w:val="40"/>
        </w:rPr>
        <w:t> </w:t>
      </w:r>
      <w:r>
        <w:rPr/>
        <w:t>this marriage for my peace/ I’th’ East my pleasure lies’. Inevitably he returns</w:t>
      </w:r>
      <w:r>
        <w:rPr>
          <w:spacing w:val="-1"/>
        </w:rPr>
        <w:t> </w:t>
      </w:r>
      <w:r>
        <w:rPr/>
        <w:t>to Egypt and Cleopatra, and causes a rift which can never again be cemented between himself and Caesar, which ultimately results in war.(LSJ,</w:t>
      </w:r>
      <w:r>
        <w:rPr>
          <w:spacing w:val="-19"/>
        </w:rPr>
        <w:t> </w:t>
      </w:r>
      <w:r>
        <w:rPr/>
        <w:t>4)</w:t>
      </w:r>
    </w:p>
    <w:p>
      <w:pPr>
        <w:pStyle w:val="BodyText"/>
        <w:spacing w:line="249" w:lineRule="auto" w:before="63"/>
        <w:ind w:right="1439" w:firstLine="432"/>
        <w:jc w:val="both"/>
      </w:pPr>
      <w:r>
        <w:rPr/>
        <w:t>The</w:t>
      </w:r>
      <w:r>
        <w:rPr>
          <w:spacing w:val="-1"/>
        </w:rPr>
        <w:t> </w:t>
      </w:r>
      <w:r>
        <w:rPr/>
        <w:t>first</w:t>
      </w:r>
      <w:r>
        <w:rPr>
          <w:spacing w:val="-5"/>
        </w:rPr>
        <w:t> </w:t>
      </w:r>
      <w:r>
        <w:rPr/>
        <w:t>words</w:t>
      </w:r>
      <w:r>
        <w:rPr>
          <w:spacing w:val="-4"/>
        </w:rPr>
        <w:t> </w:t>
      </w:r>
      <w:r>
        <w:rPr/>
        <w:t>of</w:t>
      </w:r>
      <w:r>
        <w:rPr>
          <w:spacing w:val="-6"/>
        </w:rPr>
        <w:t> </w:t>
      </w:r>
      <w:r>
        <w:rPr/>
        <w:t>the</w:t>
      </w:r>
      <w:r>
        <w:rPr>
          <w:spacing w:val="-1"/>
        </w:rPr>
        <w:t> </w:t>
      </w:r>
      <w:r>
        <w:rPr/>
        <w:t>play,</w:t>
      </w:r>
      <w:r>
        <w:rPr>
          <w:spacing w:val="-4"/>
        </w:rPr>
        <w:t> </w:t>
      </w:r>
      <w:r>
        <w:rPr/>
        <w:t>spoken</w:t>
      </w:r>
      <w:r>
        <w:rPr>
          <w:spacing w:val="-4"/>
        </w:rPr>
        <w:t> </w:t>
      </w:r>
      <w:r>
        <w:rPr/>
        <w:t>by</w:t>
      </w:r>
      <w:r>
        <w:rPr>
          <w:spacing w:val="-9"/>
        </w:rPr>
        <w:t> </w:t>
      </w:r>
      <w:r>
        <w:rPr/>
        <w:t>Philo,</w:t>
      </w:r>
      <w:r>
        <w:rPr>
          <w:spacing w:val="-2"/>
        </w:rPr>
        <w:t> </w:t>
      </w:r>
      <w:r>
        <w:rPr/>
        <w:t>illustrate</w:t>
      </w:r>
      <w:r>
        <w:rPr>
          <w:spacing w:val="-4"/>
        </w:rPr>
        <w:t> </w:t>
      </w:r>
      <w:r>
        <w:rPr/>
        <w:t>the</w:t>
      </w:r>
      <w:r>
        <w:rPr>
          <w:spacing w:val="-2"/>
        </w:rPr>
        <w:t> </w:t>
      </w:r>
      <w:r>
        <w:rPr/>
        <w:t>growing </w:t>
      </w:r>
      <w:r>
        <w:rPr>
          <w:spacing w:val="-2"/>
        </w:rPr>
        <w:t>condemnation</w:t>
      </w:r>
      <w:r>
        <w:rPr>
          <w:spacing w:val="-11"/>
        </w:rPr>
        <w:t> </w:t>
      </w:r>
      <w:r>
        <w:rPr>
          <w:spacing w:val="-2"/>
        </w:rPr>
        <w:t>of</w:t>
      </w:r>
      <w:r>
        <w:rPr>
          <w:spacing w:val="-10"/>
        </w:rPr>
        <w:t> </w:t>
      </w:r>
      <w:r>
        <w:rPr>
          <w:spacing w:val="-2"/>
        </w:rPr>
        <w:t>Antony’s</w:t>
      </w:r>
      <w:r>
        <w:rPr>
          <w:spacing w:val="-8"/>
        </w:rPr>
        <w:t> </w:t>
      </w:r>
      <w:r>
        <w:rPr>
          <w:spacing w:val="-2"/>
        </w:rPr>
        <w:t>untraditional</w:t>
      </w:r>
      <w:r>
        <w:rPr>
          <w:spacing w:val="-3"/>
        </w:rPr>
        <w:t> </w:t>
      </w:r>
      <w:r>
        <w:rPr>
          <w:spacing w:val="-2"/>
        </w:rPr>
        <w:t>behaviour,</w:t>
      </w:r>
      <w:r>
        <w:rPr>
          <w:spacing w:val="-3"/>
        </w:rPr>
        <w:t> </w:t>
      </w:r>
      <w:r>
        <w:rPr>
          <w:spacing w:val="-2"/>
        </w:rPr>
        <w:t>which</w:t>
      </w:r>
      <w:r>
        <w:rPr>
          <w:spacing w:val="-8"/>
        </w:rPr>
        <w:t> </w:t>
      </w:r>
      <w:r>
        <w:rPr>
          <w:spacing w:val="-2"/>
        </w:rPr>
        <w:t>is</w:t>
      </w:r>
      <w:r>
        <w:rPr>
          <w:spacing w:val="-3"/>
        </w:rPr>
        <w:t> </w:t>
      </w:r>
      <w:r>
        <w:rPr>
          <w:spacing w:val="-2"/>
        </w:rPr>
        <w:t>not</w:t>
      </w:r>
      <w:r>
        <w:rPr>
          <w:spacing w:val="-3"/>
        </w:rPr>
        <w:t> </w:t>
      </w:r>
      <w:r>
        <w:rPr>
          <w:spacing w:val="-2"/>
        </w:rPr>
        <w:t>confined </w:t>
      </w:r>
      <w:r>
        <w:rPr/>
        <w:t>within</w:t>
      </w:r>
      <w:r>
        <w:rPr>
          <w:spacing w:val="-11"/>
        </w:rPr>
        <w:t> </w:t>
      </w:r>
      <w:r>
        <w:rPr/>
        <w:t>the</w:t>
      </w:r>
      <w:r>
        <w:rPr>
          <w:spacing w:val="-6"/>
        </w:rPr>
        <w:t> </w:t>
      </w:r>
      <w:r>
        <w:rPr/>
        <w:t>‘measure’</w:t>
      </w:r>
      <w:r>
        <w:rPr>
          <w:spacing w:val="-17"/>
        </w:rPr>
        <w:t> </w:t>
      </w:r>
      <w:r>
        <w:rPr/>
        <w:t>of</w:t>
      </w:r>
      <w:r>
        <w:rPr>
          <w:spacing w:val="-7"/>
        </w:rPr>
        <w:t> </w:t>
      </w:r>
      <w:r>
        <w:rPr/>
        <w:t>patriarchy:</w:t>
      </w:r>
      <w:r>
        <w:rPr>
          <w:spacing w:val="-5"/>
        </w:rPr>
        <w:t> </w:t>
      </w:r>
      <w:r>
        <w:rPr/>
        <w:t>‘Nay</w:t>
      </w:r>
      <w:r>
        <w:rPr>
          <w:spacing w:val="-9"/>
        </w:rPr>
        <w:t> </w:t>
      </w:r>
      <w:r>
        <w:rPr/>
        <w:t>but</w:t>
      </w:r>
      <w:r>
        <w:rPr>
          <w:spacing w:val="-6"/>
        </w:rPr>
        <w:t> </w:t>
      </w:r>
      <w:r>
        <w:rPr/>
        <w:t>this</w:t>
      </w:r>
      <w:r>
        <w:rPr>
          <w:spacing w:val="-7"/>
        </w:rPr>
        <w:t> </w:t>
      </w:r>
      <w:r>
        <w:rPr/>
        <w:t>dotage</w:t>
      </w:r>
      <w:r>
        <w:rPr>
          <w:spacing w:val="-6"/>
        </w:rPr>
        <w:t> </w:t>
      </w:r>
      <w:r>
        <w:rPr/>
        <w:t>of</w:t>
      </w:r>
      <w:r>
        <w:rPr>
          <w:spacing w:val="-6"/>
        </w:rPr>
        <w:t> </w:t>
      </w:r>
      <w:r>
        <w:rPr/>
        <w:t>our</w:t>
      </w:r>
      <w:r>
        <w:rPr>
          <w:spacing w:val="-5"/>
        </w:rPr>
        <w:t> </w:t>
      </w:r>
      <w:r>
        <w:rPr>
          <w:spacing w:val="-2"/>
        </w:rPr>
        <w:t>General’s</w:t>
      </w:r>
    </w:p>
    <w:p>
      <w:pPr>
        <w:pStyle w:val="BodyText"/>
        <w:spacing w:line="249" w:lineRule="auto" w:before="3"/>
        <w:ind w:right="1437"/>
        <w:jc w:val="both"/>
      </w:pPr>
      <w:r>
        <w:rPr/>
        <w:t>/</w:t>
      </w:r>
      <w:r>
        <w:rPr>
          <w:spacing w:val="-13"/>
        </w:rPr>
        <w:t> </w:t>
      </w:r>
      <w:r>
        <w:rPr/>
        <w:t>O’erflows</w:t>
      </w:r>
      <w:r>
        <w:rPr>
          <w:spacing w:val="-12"/>
        </w:rPr>
        <w:t> </w:t>
      </w:r>
      <w:r>
        <w:rPr/>
        <w:t>the</w:t>
      </w:r>
      <w:r>
        <w:rPr>
          <w:spacing w:val="-8"/>
        </w:rPr>
        <w:t> </w:t>
      </w:r>
      <w:r>
        <w:rPr/>
        <w:t>measure’.</w:t>
      </w:r>
      <w:r>
        <w:rPr>
          <w:spacing w:val="-9"/>
        </w:rPr>
        <w:t> </w:t>
      </w:r>
      <w:r>
        <w:rPr/>
        <w:t>The</w:t>
      </w:r>
      <w:r>
        <w:rPr>
          <w:spacing w:val="-9"/>
        </w:rPr>
        <w:t> </w:t>
      </w:r>
      <w:r>
        <w:rPr/>
        <w:t>patriarchal</w:t>
      </w:r>
      <w:r>
        <w:rPr>
          <w:spacing w:val="-9"/>
        </w:rPr>
        <w:t> </w:t>
      </w:r>
      <w:r>
        <w:rPr/>
        <w:t>males</w:t>
      </w:r>
      <w:r>
        <w:rPr>
          <w:spacing w:val="-9"/>
        </w:rPr>
        <w:t> </w:t>
      </w:r>
      <w:r>
        <w:rPr/>
        <w:t>view</w:t>
      </w:r>
      <w:r>
        <w:rPr>
          <w:spacing w:val="-13"/>
        </w:rPr>
        <w:t> </w:t>
      </w:r>
      <w:r>
        <w:rPr/>
        <w:t>Antony’s</w:t>
      </w:r>
      <w:r>
        <w:rPr>
          <w:spacing w:val="-8"/>
        </w:rPr>
        <w:t> </w:t>
      </w:r>
      <w:r>
        <w:rPr/>
        <w:t>devotion as shameful - ‘His captain’s heart ... become the bellows and the fan / To cool a gipsy’s lust’. {Surprisingly, in modern-day readings of the play, this attitude still exists: in W. Baker’s view of the play - in my opinion a view grossly over simplified - ‘throughout the play [Antony] is suffering from a disease, his passion for Cleopatra, which obsesses his mind and which causes him to desert his public responsibilities’. It is true that the play is ultimately concerned with the conflict between love</w:t>
      </w:r>
      <w:r>
        <w:rPr>
          <w:spacing w:val="16"/>
        </w:rPr>
        <w:t> </w:t>
      </w:r>
      <w:r>
        <w:rPr/>
        <w:t>and</w:t>
      </w:r>
      <w:r>
        <w:rPr>
          <w:spacing w:val="16"/>
        </w:rPr>
        <w:t> </w:t>
      </w:r>
      <w:r>
        <w:rPr/>
        <w:t>politics;</w:t>
      </w:r>
      <w:r>
        <w:rPr>
          <w:spacing w:val="16"/>
        </w:rPr>
        <w:t> </w:t>
      </w:r>
      <w:r>
        <w:rPr/>
        <w:t>Egypt</w:t>
      </w:r>
      <w:r>
        <w:rPr>
          <w:spacing w:val="16"/>
        </w:rPr>
        <w:t> </w:t>
      </w:r>
      <w:r>
        <w:rPr/>
        <w:t>and</w:t>
      </w:r>
      <w:r>
        <w:rPr>
          <w:spacing w:val="15"/>
        </w:rPr>
        <w:t> </w:t>
      </w:r>
      <w:r>
        <w:rPr/>
        <w:t>Rome;</w:t>
      </w:r>
      <w:r>
        <w:rPr>
          <w:spacing w:val="14"/>
        </w:rPr>
        <w:t> </w:t>
      </w:r>
      <w:r>
        <w:rPr/>
        <w:t>but</w:t>
      </w:r>
      <w:r>
        <w:rPr>
          <w:spacing w:val="17"/>
        </w:rPr>
        <w:t> </w:t>
      </w:r>
      <w:r>
        <w:rPr/>
        <w:t>to</w:t>
      </w:r>
      <w:r>
        <w:rPr>
          <w:spacing w:val="18"/>
        </w:rPr>
        <w:t> </w:t>
      </w:r>
      <w:r>
        <w:rPr/>
        <w:t>simply</w:t>
      </w:r>
      <w:r>
        <w:rPr>
          <w:spacing w:val="14"/>
        </w:rPr>
        <w:t> </w:t>
      </w:r>
      <w:r>
        <w:rPr/>
        <w:t>reject</w:t>
      </w:r>
      <w:r>
        <w:rPr>
          <w:spacing w:val="14"/>
        </w:rPr>
        <w:t> </w:t>
      </w:r>
      <w:r>
        <w:rPr/>
        <w:t>the</w:t>
      </w:r>
      <w:r>
        <w:rPr>
          <w:spacing w:val="16"/>
        </w:rPr>
        <w:t> </w:t>
      </w:r>
      <w:r>
        <w:rPr/>
        <w:t>former</w:t>
      </w:r>
      <w:r>
        <w:rPr>
          <w:spacing w:val="17"/>
        </w:rPr>
        <w:t> </w:t>
      </w:r>
      <w:r>
        <w:rPr>
          <w:spacing w:val="-5"/>
        </w:rPr>
        <w:t>as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50304">
                <wp:simplePos x="0" y="0"/>
                <wp:positionH relativeFrom="page">
                  <wp:posOffset>2065020</wp:posOffset>
                </wp:positionH>
                <wp:positionV relativeFrom="paragraph">
                  <wp:posOffset>162604</wp:posOffset>
                </wp:positionV>
                <wp:extent cx="3657600" cy="12700"/>
                <wp:effectExtent l="0" t="0" r="0" b="0"/>
                <wp:wrapTopAndBottom/>
                <wp:docPr id="230" name="Graphic 230"/>
                <wp:cNvGraphicFramePr>
                  <a:graphicFrameLocks/>
                </wp:cNvGraphicFramePr>
                <a:graphic>
                  <a:graphicData uri="http://schemas.microsoft.com/office/word/2010/wordprocessingShape">
                    <wps:wsp>
                      <wps:cNvPr id="230" name="Graphic 23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66176;mso-wrap-distance-left:0;mso-wrap-distance-right:0" id="docshape226" filled="true" fillcolor="#000000" stroked="false">
                <v:fill type="solid"/>
                <w10:wrap type="topAndBottom"/>
              </v:rect>
            </w:pict>
          </mc:Fallback>
        </mc:AlternateContent>
      </w:r>
      <w:r>
        <w:rPr>
          <w:rFonts w:ascii="Verdana" w:hAnsi="Verdana"/>
          <w:sz w:val="18"/>
        </w:rPr>
        <w:t>The</w:t>
      </w:r>
      <w:r>
        <w:rPr>
          <w:rFonts w:ascii="Verdana" w:hAnsi="Verdana"/>
          <w:spacing w:val="3"/>
          <w:sz w:val="18"/>
        </w:rPr>
        <w:t> </w:t>
      </w:r>
      <w:r>
        <w:rPr>
          <w:rFonts w:ascii="Verdana" w:hAnsi="Verdana"/>
          <w:sz w:val="18"/>
        </w:rPr>
        <w:t>‘Loyal’</w:t>
      </w:r>
      <w:r>
        <w:rPr>
          <w:rFonts w:ascii="Verdana" w:hAnsi="Verdana"/>
          <w:spacing w:val="3"/>
          <w:sz w:val="18"/>
        </w:rPr>
        <w:t> </w:t>
      </w:r>
      <w:r>
        <w:rPr>
          <w:rFonts w:ascii="Verdana" w:hAnsi="Verdana"/>
          <w:sz w:val="18"/>
        </w:rPr>
        <w:t>Elizabethan</w:t>
      </w:r>
      <w:r>
        <w:rPr>
          <w:rFonts w:ascii="Verdana" w:hAnsi="Verdana"/>
          <w:spacing w:val="2"/>
          <w:sz w:val="18"/>
        </w:rPr>
        <w:t> </w:t>
      </w:r>
      <w:r>
        <w:rPr>
          <w:rFonts w:ascii="Verdana" w:hAnsi="Verdana"/>
          <w:sz w:val="18"/>
        </w:rPr>
        <w:t>Women</w:t>
      </w:r>
      <w:r>
        <w:rPr>
          <w:rFonts w:ascii="Verdana" w:hAnsi="Verdana"/>
          <w:spacing w:val="6"/>
          <w:sz w:val="18"/>
        </w:rPr>
        <w:t> </w:t>
      </w:r>
      <w:r>
        <w:rPr>
          <w:rFonts w:ascii="Verdana" w:hAnsi="Verdana"/>
          <w:sz w:val="18"/>
        </w:rPr>
        <w:t>in</w:t>
      </w:r>
      <w:r>
        <w:rPr>
          <w:rFonts w:ascii="Verdana" w:hAnsi="Verdana"/>
          <w:spacing w:val="5"/>
          <w:sz w:val="18"/>
        </w:rPr>
        <w:t> </w:t>
      </w:r>
      <w:r>
        <w:rPr>
          <w:rFonts w:ascii="Verdana" w:hAnsi="Verdana"/>
          <w:sz w:val="18"/>
        </w:rPr>
        <w:t>Shakespeare’s</w:t>
      </w:r>
      <w:r>
        <w:rPr>
          <w:rFonts w:ascii="Verdana" w:hAnsi="Verdana"/>
          <w:spacing w:val="4"/>
          <w:sz w:val="18"/>
        </w:rPr>
        <w:t> </w:t>
      </w:r>
      <w:r>
        <w:rPr>
          <w:rFonts w:ascii="Verdana" w:hAnsi="Verdana"/>
          <w:spacing w:val="-2"/>
          <w:sz w:val="18"/>
        </w:rPr>
        <w:t>Select...</w:t>
      </w:r>
      <w:r>
        <w:rPr>
          <w:rFonts w:ascii="Verdana" w:hAnsi="Verdana"/>
          <w:sz w:val="18"/>
        </w:rPr>
        <w:tab/>
      </w:r>
      <w:r>
        <w:rPr>
          <w:rFonts w:ascii="Verdana" w:hAnsi="Verdana"/>
          <w:spacing w:val="-5"/>
          <w:sz w:val="18"/>
        </w:rPr>
        <w:t>59</w:t>
      </w:r>
    </w:p>
    <w:p>
      <w:pPr>
        <w:pStyle w:val="BodyText"/>
        <w:spacing w:line="249" w:lineRule="auto" w:before="192"/>
        <w:ind w:right="1436"/>
        <w:jc w:val="both"/>
      </w:pPr>
      <w:r>
        <w:rPr/>
        <w:t>wrong,</w:t>
      </w:r>
      <w:r>
        <w:rPr>
          <w:spacing w:val="28"/>
        </w:rPr>
        <w:t> </w:t>
      </w:r>
      <w:r>
        <w:rPr/>
        <w:t>is</w:t>
      </w:r>
      <w:r>
        <w:rPr>
          <w:spacing w:val="24"/>
        </w:rPr>
        <w:t> </w:t>
      </w:r>
      <w:r>
        <w:rPr/>
        <w:t>to</w:t>
      </w:r>
      <w:r>
        <w:rPr>
          <w:spacing w:val="28"/>
        </w:rPr>
        <w:t> </w:t>
      </w:r>
      <w:r>
        <w:rPr/>
        <w:t>miss</w:t>
      </w:r>
      <w:r>
        <w:rPr>
          <w:spacing w:val="24"/>
        </w:rPr>
        <w:t> </w:t>
      </w:r>
      <w:r>
        <w:rPr/>
        <w:t>the</w:t>
      </w:r>
      <w:r>
        <w:rPr>
          <w:spacing w:val="26"/>
        </w:rPr>
        <w:t> </w:t>
      </w:r>
      <w:r>
        <w:rPr/>
        <w:t>nuances</w:t>
      </w:r>
      <w:r>
        <w:rPr>
          <w:spacing w:val="26"/>
        </w:rPr>
        <w:t> </w:t>
      </w:r>
      <w:r>
        <w:rPr/>
        <w:t>of</w:t>
      </w:r>
      <w:r>
        <w:rPr>
          <w:spacing w:val="24"/>
        </w:rPr>
        <w:t> </w:t>
      </w:r>
      <w:r>
        <w:rPr/>
        <w:t>the</w:t>
      </w:r>
      <w:r>
        <w:rPr>
          <w:spacing w:val="28"/>
        </w:rPr>
        <w:t> </w:t>
      </w:r>
      <w:r>
        <w:rPr/>
        <w:t>play</w:t>
      </w:r>
      <w:r>
        <w:rPr>
          <w:spacing w:val="22"/>
        </w:rPr>
        <w:t> </w:t>
      </w:r>
      <w:r>
        <w:rPr/>
        <w:t>and</w:t>
      </w:r>
      <w:r>
        <w:rPr>
          <w:spacing w:val="26"/>
        </w:rPr>
        <w:t> </w:t>
      </w:r>
      <w:r>
        <w:rPr/>
        <w:t>succumb</w:t>
      </w:r>
      <w:r>
        <w:rPr>
          <w:spacing w:val="28"/>
        </w:rPr>
        <w:t> </w:t>
      </w:r>
      <w:r>
        <w:rPr/>
        <w:t>to</w:t>
      </w:r>
      <w:r>
        <w:rPr>
          <w:spacing w:val="26"/>
        </w:rPr>
        <w:t> </w:t>
      </w:r>
      <w:r>
        <w:rPr/>
        <w:t>a</w:t>
      </w:r>
      <w:r>
        <w:rPr>
          <w:spacing w:val="27"/>
        </w:rPr>
        <w:t> </w:t>
      </w:r>
      <w:r>
        <w:rPr/>
        <w:t>view</w:t>
      </w:r>
      <w:r>
        <w:rPr>
          <w:spacing w:val="22"/>
        </w:rPr>
        <w:t> </w:t>
      </w:r>
      <w:r>
        <w:rPr/>
        <w:t>of the</w:t>
      </w:r>
      <w:r>
        <w:rPr>
          <w:spacing w:val="-9"/>
        </w:rPr>
        <w:t> </w:t>
      </w:r>
      <w:r>
        <w:rPr/>
        <w:t>polarities</w:t>
      </w:r>
      <w:r>
        <w:rPr>
          <w:spacing w:val="-8"/>
        </w:rPr>
        <w:t> </w:t>
      </w:r>
      <w:r>
        <w:rPr/>
        <w:t>of</w:t>
      </w:r>
      <w:r>
        <w:rPr>
          <w:spacing w:val="-12"/>
        </w:rPr>
        <w:t> </w:t>
      </w:r>
      <w:r>
        <w:rPr/>
        <w:t>masculine</w:t>
      </w:r>
      <w:r>
        <w:rPr>
          <w:spacing w:val="-8"/>
        </w:rPr>
        <w:t> </w:t>
      </w:r>
      <w:r>
        <w:rPr/>
        <w:t>and</w:t>
      </w:r>
      <w:r>
        <w:rPr>
          <w:spacing w:val="-8"/>
        </w:rPr>
        <w:t> </w:t>
      </w:r>
      <w:r>
        <w:rPr/>
        <w:t>feminine</w:t>
      </w:r>
      <w:r>
        <w:rPr>
          <w:spacing w:val="-7"/>
        </w:rPr>
        <w:t> </w:t>
      </w:r>
      <w:r>
        <w:rPr/>
        <w:t>as</w:t>
      </w:r>
      <w:r>
        <w:rPr>
          <w:spacing w:val="-10"/>
        </w:rPr>
        <w:t> </w:t>
      </w:r>
      <w:r>
        <w:rPr/>
        <w:t>separated</w:t>
      </w:r>
      <w:r>
        <w:rPr>
          <w:spacing w:val="-7"/>
        </w:rPr>
        <w:t> </w:t>
      </w:r>
      <w:r>
        <w:rPr/>
        <w:t>and</w:t>
      </w:r>
      <w:r>
        <w:rPr>
          <w:spacing w:val="-8"/>
        </w:rPr>
        <w:t> </w:t>
      </w:r>
      <w:r>
        <w:rPr/>
        <w:t>distinct,</w:t>
      </w:r>
      <w:r>
        <w:rPr>
          <w:spacing w:val="-7"/>
        </w:rPr>
        <w:t> </w:t>
      </w:r>
      <w:r>
        <w:rPr/>
        <w:t>which the play itself undercuts. Although Antony occasionally {lapses into judging</w:t>
      </w:r>
      <w:r>
        <w:rPr>
          <w:spacing w:val="-13"/>
        </w:rPr>
        <w:t> </w:t>
      </w:r>
      <w:r>
        <w:rPr/>
        <w:t>himself</w:t>
      </w:r>
      <w:r>
        <w:rPr>
          <w:spacing w:val="-10"/>
        </w:rPr>
        <w:t> </w:t>
      </w:r>
      <w:r>
        <w:rPr/>
        <w:t>by</w:t>
      </w:r>
      <w:r>
        <w:rPr>
          <w:spacing w:val="-11"/>
        </w:rPr>
        <w:t> </w:t>
      </w:r>
      <w:r>
        <w:rPr/>
        <w:t>the</w:t>
      </w:r>
      <w:r>
        <w:rPr>
          <w:spacing w:val="-11"/>
        </w:rPr>
        <w:t> </w:t>
      </w:r>
      <w:r>
        <w:rPr/>
        <w:t>standards</w:t>
      </w:r>
      <w:r>
        <w:rPr>
          <w:spacing w:val="-11"/>
        </w:rPr>
        <w:t> </w:t>
      </w:r>
      <w:r>
        <w:rPr/>
        <w:t>of</w:t>
      </w:r>
      <w:r>
        <w:rPr>
          <w:spacing w:val="-13"/>
        </w:rPr>
        <w:t> </w:t>
      </w:r>
      <w:r>
        <w:rPr/>
        <w:t>the</w:t>
      </w:r>
      <w:r>
        <w:rPr>
          <w:spacing w:val="-10"/>
        </w:rPr>
        <w:t> </w:t>
      </w:r>
      <w:r>
        <w:rPr/>
        <w:t>patriarchy</w:t>
      </w:r>
      <w:r>
        <w:rPr>
          <w:spacing w:val="-13"/>
        </w:rPr>
        <w:t> </w:t>
      </w:r>
      <w:r>
        <w:rPr/>
        <w:t>-</w:t>
      </w:r>
      <w:r>
        <w:rPr>
          <w:spacing w:val="-10"/>
        </w:rPr>
        <w:t> </w:t>
      </w:r>
      <w:r>
        <w:rPr/>
        <w:t>for</w:t>
      </w:r>
      <w:r>
        <w:rPr>
          <w:spacing w:val="-9"/>
        </w:rPr>
        <w:t> </w:t>
      </w:r>
      <w:r>
        <w:rPr/>
        <w:t>example,</w:t>
      </w:r>
      <w:r>
        <w:rPr>
          <w:spacing w:val="-11"/>
        </w:rPr>
        <w:t> </w:t>
      </w:r>
      <w:r>
        <w:rPr/>
        <w:t>towards the end of the play dejected and shamed by his diminished political power, he becomes jealous and irrational and claims that Cleopatra has emasculated him: ‘O thy vile lady, / She has robbed me of my sword.’ In</w:t>
      </w:r>
      <w:r>
        <w:rPr>
          <w:spacing w:val="-10"/>
        </w:rPr>
        <w:t> </w:t>
      </w:r>
      <w:r>
        <w:rPr/>
        <w:t>the</w:t>
      </w:r>
      <w:r>
        <w:rPr>
          <w:spacing w:val="-6"/>
        </w:rPr>
        <w:t> </w:t>
      </w:r>
      <w:r>
        <w:rPr/>
        <w:t>conflict</w:t>
      </w:r>
      <w:r>
        <w:rPr>
          <w:spacing w:val="-9"/>
        </w:rPr>
        <w:t> </w:t>
      </w:r>
      <w:r>
        <w:rPr/>
        <w:t>between</w:t>
      </w:r>
      <w:r>
        <w:rPr>
          <w:spacing w:val="-7"/>
        </w:rPr>
        <w:t> </w:t>
      </w:r>
      <w:r>
        <w:rPr/>
        <w:t>love</w:t>
      </w:r>
      <w:r>
        <w:rPr>
          <w:spacing w:val="-7"/>
        </w:rPr>
        <w:t> </w:t>
      </w:r>
      <w:r>
        <w:rPr/>
        <w:t>and</w:t>
      </w:r>
      <w:r>
        <w:rPr>
          <w:spacing w:val="-4"/>
        </w:rPr>
        <w:t> </w:t>
      </w:r>
      <w:r>
        <w:rPr/>
        <w:t>politics</w:t>
      </w:r>
      <w:r>
        <w:rPr>
          <w:spacing w:val="-7"/>
        </w:rPr>
        <w:t> </w:t>
      </w:r>
      <w:r>
        <w:rPr/>
        <w:t>-</w:t>
      </w:r>
      <w:r>
        <w:rPr>
          <w:spacing w:val="-7"/>
        </w:rPr>
        <w:t> </w:t>
      </w:r>
      <w:r>
        <w:rPr/>
        <w:t>love</w:t>
      </w:r>
      <w:r>
        <w:rPr>
          <w:spacing w:val="-9"/>
        </w:rPr>
        <w:t> </w:t>
      </w:r>
      <w:r>
        <w:rPr/>
        <w:t>wins.</w:t>
      </w:r>
      <w:r>
        <w:rPr>
          <w:spacing w:val="-6"/>
        </w:rPr>
        <w:t> </w:t>
      </w:r>
      <w:r>
        <w:rPr/>
        <w:t>Ultimately,</w:t>
      </w:r>
      <w:r>
        <w:rPr>
          <w:spacing w:val="-13"/>
        </w:rPr>
        <w:t> </w:t>
      </w:r>
      <w:r>
        <w:rPr/>
        <w:t>Antony is not debased by his loss of power, but rather, through his love of Cleopatra envelops a manhood of stronger parameters - an ‘alternative masculinity’ as</w:t>
      </w:r>
      <w:r>
        <w:rPr>
          <w:spacing w:val="21"/>
        </w:rPr>
        <w:t> </w:t>
      </w:r>
      <w:r>
        <w:rPr/>
        <w:t>Woodbridge</w:t>
      </w:r>
      <w:r>
        <w:rPr>
          <w:spacing w:val="25"/>
        </w:rPr>
        <w:t> </w:t>
      </w:r>
      <w:r>
        <w:rPr/>
        <w:t>puts</w:t>
      </w:r>
      <w:r>
        <w:rPr>
          <w:spacing w:val="27"/>
        </w:rPr>
        <w:t> </w:t>
      </w:r>
      <w:r>
        <w:rPr/>
        <w:t>it.</w:t>
      </w:r>
      <w:r>
        <w:rPr>
          <w:spacing w:val="23"/>
        </w:rPr>
        <w:t> </w:t>
      </w:r>
      <w:r>
        <w:rPr/>
        <w:t>The</w:t>
      </w:r>
      <w:r>
        <w:rPr>
          <w:spacing w:val="25"/>
        </w:rPr>
        <w:t> </w:t>
      </w:r>
      <w:r>
        <w:rPr/>
        <w:t>end</w:t>
      </w:r>
      <w:r>
        <w:rPr>
          <w:spacing w:val="25"/>
        </w:rPr>
        <w:t> </w:t>
      </w:r>
      <w:r>
        <w:rPr/>
        <w:t>of</w:t>
      </w:r>
      <w:r>
        <w:rPr>
          <w:spacing w:val="22"/>
        </w:rPr>
        <w:t> </w:t>
      </w:r>
      <w:r>
        <w:rPr/>
        <w:t>the</w:t>
      </w:r>
      <w:r>
        <w:rPr>
          <w:spacing w:val="25"/>
        </w:rPr>
        <w:t> </w:t>
      </w:r>
      <w:r>
        <w:rPr/>
        <w:t>play</w:t>
      </w:r>
      <w:r>
        <w:rPr>
          <w:spacing w:val="25"/>
        </w:rPr>
        <w:t> </w:t>
      </w:r>
      <w:r>
        <w:rPr/>
        <w:t>can</w:t>
      </w:r>
      <w:r>
        <w:rPr>
          <w:spacing w:val="25"/>
        </w:rPr>
        <w:t> </w:t>
      </w:r>
      <w:r>
        <w:rPr/>
        <w:t>be</w:t>
      </w:r>
      <w:r>
        <w:rPr>
          <w:spacing w:val="26"/>
        </w:rPr>
        <w:t> </w:t>
      </w:r>
      <w:r>
        <w:rPr/>
        <w:t>seen as a tribute to love; a celebration rather than a downfall. Antony does not cease to be a valiant Roman by choosing Egypt over Rome; love over politics, but becomes vanquisher of himself in his suicide. By dying</w:t>
      </w:r>
      <w:r>
        <w:rPr>
          <w:spacing w:val="-1"/>
        </w:rPr>
        <w:t> </w:t>
      </w:r>
      <w:r>
        <w:rPr/>
        <w:t>simultaneously</w:t>
      </w:r>
      <w:r>
        <w:rPr>
          <w:spacing w:val="-3"/>
        </w:rPr>
        <w:t> </w:t>
      </w:r>
      <w:r>
        <w:rPr/>
        <w:t>in the Roman</w:t>
      </w:r>
      <w:r>
        <w:rPr>
          <w:spacing w:val="-3"/>
        </w:rPr>
        <w:t> </w:t>
      </w:r>
      <w:r>
        <w:rPr/>
        <w:t>fashion,</w:t>
      </w:r>
      <w:r>
        <w:rPr>
          <w:spacing w:val="-1"/>
        </w:rPr>
        <w:t> </w:t>
      </w:r>
      <w:r>
        <w:rPr/>
        <w:t>and with Cleopatra and for Cleopatra (he kills himself when he believes she is dead), Antony combines the two polarities which have been evident and separate throughout the play: the masculine Rome and the feminine Egypt.(LSJ, </w:t>
      </w:r>
      <w:r>
        <w:rPr>
          <w:spacing w:val="-6"/>
        </w:rPr>
        <w:t>6)</w:t>
      </w:r>
    </w:p>
    <w:p>
      <w:pPr>
        <w:pStyle w:val="BodyText"/>
        <w:spacing w:line="249" w:lineRule="auto" w:before="73"/>
        <w:ind w:right="1439" w:firstLine="432"/>
        <w:jc w:val="both"/>
      </w:pPr>
      <w:r>
        <w:rPr/>
        <w:t>Cleopatra’s masculine qualities counterbalance the play, so Shakespeare provides us with a relationship of surprising equality. Neither Cleopatra</w:t>
      </w:r>
      <w:r>
        <w:rPr>
          <w:spacing w:val="-1"/>
        </w:rPr>
        <w:t> </w:t>
      </w:r>
      <w:r>
        <w:rPr/>
        <w:t>nor the</w:t>
      </w:r>
      <w:r>
        <w:rPr>
          <w:spacing w:val="-2"/>
        </w:rPr>
        <w:t> </w:t>
      </w:r>
      <w:r>
        <w:rPr/>
        <w:t>relationship</w:t>
      </w:r>
      <w:r>
        <w:rPr>
          <w:spacing w:val="-2"/>
        </w:rPr>
        <w:t> </w:t>
      </w:r>
      <w:r>
        <w:rPr/>
        <w:t>can</w:t>
      </w:r>
      <w:r>
        <w:rPr>
          <w:spacing w:val="-4"/>
        </w:rPr>
        <w:t> </w:t>
      </w:r>
      <w:r>
        <w:rPr/>
        <w:t>be</w:t>
      </w:r>
      <w:r>
        <w:rPr>
          <w:spacing w:val="-3"/>
        </w:rPr>
        <w:t> </w:t>
      </w:r>
      <w:r>
        <w:rPr/>
        <w:t>stifled within</w:t>
      </w:r>
      <w:r>
        <w:rPr>
          <w:spacing w:val="-2"/>
        </w:rPr>
        <w:t> </w:t>
      </w:r>
      <w:r>
        <w:rPr/>
        <w:t>the</w:t>
      </w:r>
      <w:r>
        <w:rPr>
          <w:spacing w:val="-2"/>
        </w:rPr>
        <w:t> </w:t>
      </w:r>
      <w:r>
        <w:rPr/>
        <w:t>confines of the patriarchy of the seventeenth century. The distinctions between masculine and feminine are blurred - in a sense Antony and Cleopatra swap roles, continually embracing both their masculine and feminine selves</w:t>
      </w:r>
      <w:r>
        <w:rPr>
          <w:spacing w:val="36"/>
        </w:rPr>
        <w:t> </w:t>
      </w:r>
      <w:r>
        <w:rPr/>
        <w:t>and</w:t>
      </w:r>
      <w:r>
        <w:rPr>
          <w:spacing w:val="40"/>
        </w:rPr>
        <w:t> </w:t>
      </w:r>
      <w:r>
        <w:rPr/>
        <w:t>thus</w:t>
      </w:r>
      <w:r>
        <w:rPr>
          <w:spacing w:val="39"/>
        </w:rPr>
        <w:t> </w:t>
      </w:r>
      <w:r>
        <w:rPr/>
        <w:t>experiencing</w:t>
      </w:r>
      <w:r>
        <w:rPr>
          <w:spacing w:val="36"/>
        </w:rPr>
        <w:t> </w:t>
      </w:r>
      <w:r>
        <w:rPr/>
        <w:t>a</w:t>
      </w:r>
      <w:r>
        <w:rPr>
          <w:spacing w:val="40"/>
        </w:rPr>
        <w:t> </w:t>
      </w:r>
      <w:r>
        <w:rPr/>
        <w:t>full</w:t>
      </w:r>
      <w:r>
        <w:rPr>
          <w:spacing w:val="39"/>
        </w:rPr>
        <w:t> </w:t>
      </w:r>
      <w:r>
        <w:rPr/>
        <w:t>bonding</w:t>
      </w:r>
      <w:r>
        <w:rPr>
          <w:spacing w:val="36"/>
        </w:rPr>
        <w:t> </w:t>
      </w:r>
      <w:r>
        <w:rPr/>
        <w:t>of</w:t>
      </w:r>
      <w:r>
        <w:rPr>
          <w:spacing w:val="36"/>
        </w:rPr>
        <w:t> </w:t>
      </w:r>
      <w:r>
        <w:rPr/>
        <w:t>souls.</w:t>
      </w:r>
      <w:r>
        <w:rPr>
          <w:spacing w:val="39"/>
        </w:rPr>
        <w:t> </w:t>
      </w:r>
      <w:r>
        <w:rPr/>
        <w:t>(LSJ,</w:t>
      </w:r>
      <w:r>
        <w:rPr>
          <w:spacing w:val="39"/>
        </w:rPr>
        <w:t> </w:t>
      </w:r>
      <w:r>
        <w:rPr/>
        <w:t>6)</w:t>
      </w:r>
    </w:p>
    <w:p>
      <w:pPr>
        <w:pStyle w:val="BodyText"/>
        <w:spacing w:line="249" w:lineRule="auto" w:before="64"/>
        <w:ind w:right="1440" w:firstLine="432"/>
        <w:jc w:val="both"/>
      </w:pPr>
      <w:r>
        <w:rPr/>
        <w:t>As Woodbridge says, ‘Antony and Cleopatra can cross gender boundaries without losing their sex roles as man or woman’. This swapping</w:t>
      </w:r>
      <w:r>
        <w:rPr>
          <w:spacing w:val="24"/>
        </w:rPr>
        <w:t> </w:t>
      </w:r>
      <w:r>
        <w:rPr/>
        <w:t>of</w:t>
      </w:r>
      <w:r>
        <w:rPr>
          <w:spacing w:val="25"/>
        </w:rPr>
        <w:t> </w:t>
      </w:r>
      <w:r>
        <w:rPr/>
        <w:t>gender</w:t>
      </w:r>
      <w:r>
        <w:rPr>
          <w:spacing w:val="27"/>
        </w:rPr>
        <w:t> </w:t>
      </w:r>
      <w:r>
        <w:rPr/>
        <w:t>roles</w:t>
      </w:r>
      <w:r>
        <w:rPr>
          <w:spacing w:val="26"/>
        </w:rPr>
        <w:t> </w:t>
      </w:r>
      <w:r>
        <w:rPr/>
        <w:t>is</w:t>
      </w:r>
      <w:r>
        <w:rPr>
          <w:spacing w:val="24"/>
        </w:rPr>
        <w:t> </w:t>
      </w:r>
      <w:r>
        <w:rPr/>
        <w:t>rather</w:t>
      </w:r>
      <w:r>
        <w:rPr>
          <w:spacing w:val="27"/>
        </w:rPr>
        <w:t> </w:t>
      </w:r>
      <w:r>
        <w:rPr/>
        <w:t>shockingly</w:t>
      </w:r>
      <w:r>
        <w:rPr>
          <w:spacing w:val="24"/>
        </w:rPr>
        <w:t> </w:t>
      </w:r>
      <w:r>
        <w:rPr/>
        <w:t>portrayed</w:t>
      </w:r>
      <w:r>
        <w:rPr>
          <w:spacing w:val="28"/>
        </w:rPr>
        <w:t> </w:t>
      </w:r>
      <w:r>
        <w:rPr/>
        <w:t>in</w:t>
      </w:r>
      <w:r>
        <w:rPr>
          <w:spacing w:val="26"/>
        </w:rPr>
        <w:t> </w:t>
      </w:r>
      <w:r>
        <w:rPr/>
        <w:t>the</w:t>
      </w:r>
      <w:r>
        <w:rPr>
          <w:spacing w:val="27"/>
        </w:rPr>
        <w:t> </w:t>
      </w:r>
      <w:r>
        <w:rPr/>
        <w:t>scene in which Cleopatra puts her ‘tires and mantles on [Antony] whilst / [she] wore his sword Phillipan’. Shakespeare evidently recognises the existence of both masculine and feminine qualities within females and males.(LSJ,</w:t>
      </w:r>
      <w:r>
        <w:rPr>
          <w:spacing w:val="-15"/>
        </w:rPr>
        <w:t> </w:t>
      </w:r>
      <w:r>
        <w:rPr/>
        <w:t>6)</w:t>
      </w:r>
    </w:p>
    <w:p>
      <w:pPr>
        <w:pStyle w:val="Heading3"/>
        <w:spacing w:before="159"/>
      </w:pPr>
      <w:r>
        <w:rPr>
          <w:spacing w:val="-2"/>
        </w:rPr>
        <w:t>CONCLUSION</w:t>
      </w:r>
    </w:p>
    <w:p>
      <w:pPr>
        <w:pStyle w:val="BodyText"/>
        <w:spacing w:line="249" w:lineRule="auto" w:before="78"/>
        <w:ind w:right="1439" w:firstLine="432"/>
        <w:jc w:val="both"/>
      </w:pPr>
      <w:r>
        <w:rPr/>
        <w:t>Lady Macbeth who uses her power in co-opted ways against the same patriarchal structures. While Lady Macbeth’s urge for power pushes her to instigate her husband, she is not able to overcome the extreme guilt that comes with her deeds.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50816">
                <wp:simplePos x="0" y="0"/>
                <wp:positionH relativeFrom="page">
                  <wp:posOffset>2057400</wp:posOffset>
                </wp:positionH>
                <wp:positionV relativeFrom="paragraph">
                  <wp:posOffset>162604</wp:posOffset>
                </wp:positionV>
                <wp:extent cx="3657600" cy="12700"/>
                <wp:effectExtent l="0" t="0" r="0" b="0"/>
                <wp:wrapTopAndBottom/>
                <wp:docPr id="231" name="Graphic 231"/>
                <wp:cNvGraphicFramePr>
                  <a:graphicFrameLocks/>
                </wp:cNvGraphicFramePr>
                <a:graphic>
                  <a:graphicData uri="http://schemas.microsoft.com/office/word/2010/wordprocessingShape">
                    <wps:wsp>
                      <wps:cNvPr id="231" name="Graphic 23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65664;mso-wrap-distance-left:0;mso-wrap-distance-right:0" id="docshape227" filled="true" fillcolor="#000000" stroked="false">
                <v:fill type="solid"/>
                <w10:wrap type="topAndBottom"/>
              </v:rect>
            </w:pict>
          </mc:Fallback>
        </mc:AlternateContent>
      </w:r>
      <w:r>
        <w:rPr>
          <w:rFonts w:ascii="Verdana"/>
          <w:spacing w:val="-5"/>
          <w:sz w:val="18"/>
        </w:rPr>
        <w:t>60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firstLine="432"/>
        <w:jc w:val="both"/>
      </w:pPr>
      <w:r>
        <w:rPr/>
        <w:t>Ophelia’s</w:t>
      </w:r>
      <w:r>
        <w:rPr>
          <w:spacing w:val="-11"/>
        </w:rPr>
        <w:t> </w:t>
      </w:r>
      <w:r>
        <w:rPr/>
        <w:t>suicide,</w:t>
      </w:r>
      <w:r>
        <w:rPr>
          <w:spacing w:val="-8"/>
        </w:rPr>
        <w:t> </w:t>
      </w:r>
      <w:r>
        <w:rPr/>
        <w:t>Leverenz</w:t>
      </w:r>
      <w:r>
        <w:rPr>
          <w:spacing w:val="-10"/>
        </w:rPr>
        <w:t> </w:t>
      </w:r>
      <w:r>
        <w:rPr/>
        <w:t>argues,</w:t>
      </w:r>
      <w:r>
        <w:rPr>
          <w:spacing w:val="-9"/>
        </w:rPr>
        <w:t> </w:t>
      </w:r>
      <w:r>
        <w:rPr/>
        <w:t>then</w:t>
      </w:r>
      <w:r>
        <w:rPr>
          <w:spacing w:val="-9"/>
        </w:rPr>
        <w:t> </w:t>
      </w:r>
      <w:r>
        <w:rPr/>
        <w:t>becomes</w:t>
      </w:r>
      <w:r>
        <w:rPr>
          <w:spacing w:val="-11"/>
        </w:rPr>
        <w:t> </w:t>
      </w:r>
      <w:r>
        <w:rPr/>
        <w:t>‘a</w:t>
      </w:r>
      <w:r>
        <w:rPr>
          <w:spacing w:val="-9"/>
        </w:rPr>
        <w:t> </w:t>
      </w:r>
      <w:r>
        <w:rPr/>
        <w:t>microcosm</w:t>
      </w:r>
      <w:r>
        <w:rPr>
          <w:spacing w:val="-12"/>
        </w:rPr>
        <w:t> </w:t>
      </w:r>
      <w:r>
        <w:rPr/>
        <w:t>of the</w:t>
      </w:r>
      <w:r>
        <w:rPr>
          <w:spacing w:val="-13"/>
        </w:rPr>
        <w:t> </w:t>
      </w:r>
      <w:r>
        <w:rPr/>
        <w:t>male</w:t>
      </w:r>
      <w:r>
        <w:rPr>
          <w:spacing w:val="-12"/>
        </w:rPr>
        <w:t> </w:t>
      </w:r>
      <w:r>
        <w:rPr/>
        <w:t>world’s</w:t>
      </w:r>
      <w:r>
        <w:rPr>
          <w:spacing w:val="-13"/>
        </w:rPr>
        <w:t> </w:t>
      </w:r>
      <w:r>
        <w:rPr/>
        <w:t>banishment</w:t>
      </w:r>
      <w:r>
        <w:rPr>
          <w:spacing w:val="-12"/>
        </w:rPr>
        <w:t> </w:t>
      </w:r>
      <w:r>
        <w:rPr/>
        <w:t>of</w:t>
      </w:r>
      <w:r>
        <w:rPr>
          <w:spacing w:val="-13"/>
        </w:rPr>
        <w:t> </w:t>
      </w:r>
      <w:r>
        <w:rPr/>
        <w:t>the</w:t>
      </w:r>
      <w:r>
        <w:rPr>
          <w:spacing w:val="-12"/>
        </w:rPr>
        <w:t> </w:t>
      </w:r>
      <w:r>
        <w:rPr/>
        <w:t>female,</w:t>
      </w:r>
      <w:r>
        <w:rPr>
          <w:spacing w:val="-13"/>
        </w:rPr>
        <w:t> </w:t>
      </w:r>
      <w:r>
        <w:rPr/>
        <w:t>because</w:t>
      </w:r>
      <w:r>
        <w:rPr>
          <w:spacing w:val="-11"/>
        </w:rPr>
        <w:t> </w:t>
      </w:r>
      <w:r>
        <w:rPr/>
        <w:t>“woman”</w:t>
      </w:r>
      <w:r>
        <w:rPr>
          <w:spacing w:val="-13"/>
        </w:rPr>
        <w:t> </w:t>
      </w:r>
      <w:r>
        <w:rPr/>
        <w:t>represents everything denied by reasonable men.” (Leverenz, David, pp303)</w:t>
      </w:r>
    </w:p>
    <w:p>
      <w:pPr>
        <w:pStyle w:val="BodyText"/>
        <w:spacing w:line="249" w:lineRule="auto" w:before="60"/>
        <w:ind w:right="1438" w:firstLine="432"/>
        <w:jc w:val="both"/>
      </w:pPr>
      <w:r>
        <w:rPr/>
        <w:t>Hamlet alternates between tenderness and cruelty regarding Ophelia. He finally rejects her, driving the solitary girl into a nervous </w:t>
      </w:r>
      <w:r>
        <w:rPr>
          <w:spacing w:val="-2"/>
        </w:rPr>
        <w:t>breakdown.</w:t>
      </w:r>
    </w:p>
    <w:p>
      <w:pPr>
        <w:pStyle w:val="BodyText"/>
        <w:spacing w:line="249" w:lineRule="auto" w:before="60"/>
        <w:ind w:right="1438" w:firstLine="432"/>
        <w:jc w:val="both"/>
      </w:pPr>
      <w:r>
        <w:rPr>
          <w:spacing w:val="-2"/>
        </w:rPr>
        <w:t>Desdemona</w:t>
      </w:r>
      <w:r>
        <w:rPr>
          <w:spacing w:val="-7"/>
        </w:rPr>
        <w:t> </w:t>
      </w:r>
      <w:r>
        <w:rPr>
          <w:spacing w:val="-2"/>
        </w:rPr>
        <w:t>becomes</w:t>
      </w:r>
      <w:r>
        <w:rPr>
          <w:spacing w:val="-10"/>
        </w:rPr>
        <w:t> </w:t>
      </w:r>
      <w:r>
        <w:rPr>
          <w:spacing w:val="-2"/>
        </w:rPr>
        <w:t>more</w:t>
      </w:r>
      <w:r>
        <w:rPr>
          <w:spacing w:val="-6"/>
        </w:rPr>
        <w:t> </w:t>
      </w:r>
      <w:r>
        <w:rPr>
          <w:spacing w:val="-2"/>
        </w:rPr>
        <w:t>of</w:t>
      </w:r>
      <w:r>
        <w:rPr>
          <w:spacing w:val="-8"/>
        </w:rPr>
        <w:t> </w:t>
      </w:r>
      <w:r>
        <w:rPr>
          <w:spacing w:val="-2"/>
        </w:rPr>
        <w:t>a</w:t>
      </w:r>
      <w:r>
        <w:rPr>
          <w:spacing w:val="-10"/>
        </w:rPr>
        <w:t> </w:t>
      </w:r>
      <w:r>
        <w:rPr>
          <w:spacing w:val="-2"/>
        </w:rPr>
        <w:t>stereotype,</w:t>
      </w:r>
      <w:r>
        <w:rPr>
          <w:spacing w:val="-10"/>
        </w:rPr>
        <w:t> </w:t>
      </w:r>
      <w:r>
        <w:rPr>
          <w:spacing w:val="-2"/>
        </w:rPr>
        <w:t>her</w:t>
      </w:r>
      <w:r>
        <w:rPr>
          <w:spacing w:val="-8"/>
        </w:rPr>
        <w:t> </w:t>
      </w:r>
      <w:r>
        <w:rPr>
          <w:spacing w:val="-2"/>
        </w:rPr>
        <w:t>identity</w:t>
      </w:r>
      <w:r>
        <w:rPr>
          <w:spacing w:val="-11"/>
        </w:rPr>
        <w:t> </w:t>
      </w:r>
      <w:r>
        <w:rPr>
          <w:spacing w:val="-2"/>
        </w:rPr>
        <w:t>disappearing </w:t>
      </w:r>
      <w:r>
        <w:rPr/>
        <w:t>as Othello’s jealousy becomes more defined. Her identity diminishes until she fits into the stereotype of the silent woman. However, Desdemona’s goodness furthermore is not simply passive or weak but an act of will. Her refusal to blame Othello for his terrible treatment of her, when he suspects her of betrayal, must not be viewed as simple subservience but as a self-willed refusal to accept a bad opinion of the husband</w:t>
      </w:r>
      <w:r>
        <w:rPr>
          <w:spacing w:val="-5"/>
        </w:rPr>
        <w:t> </w:t>
      </w:r>
      <w:r>
        <w:rPr/>
        <w:t>she</w:t>
      </w:r>
      <w:r>
        <w:rPr>
          <w:spacing w:val="-6"/>
        </w:rPr>
        <w:t> </w:t>
      </w:r>
      <w:r>
        <w:rPr/>
        <w:t>has</w:t>
      </w:r>
      <w:r>
        <w:rPr>
          <w:spacing w:val="-7"/>
        </w:rPr>
        <w:t> </w:t>
      </w:r>
      <w:r>
        <w:rPr/>
        <w:t>chosen.</w:t>
      </w:r>
      <w:r>
        <w:rPr>
          <w:spacing w:val="-7"/>
        </w:rPr>
        <w:t> </w:t>
      </w:r>
      <w:r>
        <w:rPr/>
        <w:t>She</w:t>
      </w:r>
      <w:r>
        <w:rPr>
          <w:spacing w:val="-6"/>
        </w:rPr>
        <w:t> </w:t>
      </w:r>
      <w:r>
        <w:rPr/>
        <w:t>obeys</w:t>
      </w:r>
      <w:r>
        <w:rPr>
          <w:spacing w:val="-7"/>
        </w:rPr>
        <w:t> </w:t>
      </w:r>
      <w:r>
        <w:rPr/>
        <w:t>her</w:t>
      </w:r>
      <w:r>
        <w:rPr>
          <w:spacing w:val="-5"/>
        </w:rPr>
        <w:t> </w:t>
      </w:r>
      <w:r>
        <w:rPr/>
        <w:t>own</w:t>
      </w:r>
      <w:r>
        <w:rPr>
          <w:spacing w:val="-9"/>
        </w:rPr>
        <w:t> </w:t>
      </w:r>
      <w:r>
        <w:rPr/>
        <w:t>heart</w:t>
      </w:r>
      <w:r>
        <w:rPr>
          <w:spacing w:val="-7"/>
        </w:rPr>
        <w:t> </w:t>
      </w:r>
      <w:r>
        <w:rPr/>
        <w:t>rather</w:t>
      </w:r>
      <w:r>
        <w:rPr>
          <w:spacing w:val="-7"/>
        </w:rPr>
        <w:t> </w:t>
      </w:r>
      <w:r>
        <w:rPr/>
        <w:t>than</w:t>
      </w:r>
      <w:r>
        <w:rPr>
          <w:spacing w:val="-7"/>
        </w:rPr>
        <w:t> </w:t>
      </w:r>
      <w:r>
        <w:rPr/>
        <w:t>patriarchal rules, when Emilia asks ‘who hath done this deed?’ she can reply ‘Nobody, I myself’. Othello’s conviction that even upon dying she lies by claiming this self-death bears witness to the whole tragedy of the play, Othello’s inability to see beneath the surface of stereotypical conceptions of femininity. By claiming this death for herself she re-affirms her self-hood. Metaphorically then she dies for her love which cannot be tainted, not from Othello’s hands. In Hamlet too, Ophelia’s death can perhaps be seen as an act of assertion and escape from the confining patriarchal world.</w:t>
      </w:r>
    </w:p>
    <w:p>
      <w:pPr>
        <w:pStyle w:val="BodyText"/>
        <w:spacing w:line="249" w:lineRule="auto" w:before="74"/>
        <w:ind w:right="1441" w:firstLine="432"/>
        <w:jc w:val="both"/>
      </w:pPr>
      <w:r>
        <w:rPr/>
        <w:t>Cleopatra, unlike Othello and Ophelia, is the dominating force of the</w:t>
      </w:r>
      <w:r>
        <w:rPr>
          <w:spacing w:val="40"/>
        </w:rPr>
        <w:t> </w:t>
      </w:r>
      <w:r>
        <w:rPr/>
        <w:t>play</w:t>
      </w:r>
      <w:r>
        <w:rPr>
          <w:spacing w:val="36"/>
        </w:rPr>
        <w:t> </w:t>
      </w:r>
      <w:r>
        <w:rPr/>
        <w:t>in</w:t>
      </w:r>
      <w:r>
        <w:rPr>
          <w:spacing w:val="40"/>
        </w:rPr>
        <w:t> </w:t>
      </w:r>
      <w:r>
        <w:rPr/>
        <w:t>terms</w:t>
      </w:r>
      <w:r>
        <w:rPr>
          <w:spacing w:val="39"/>
        </w:rPr>
        <w:t> </w:t>
      </w:r>
      <w:r>
        <w:rPr/>
        <w:t>of</w:t>
      </w:r>
      <w:r>
        <w:rPr>
          <w:spacing w:val="40"/>
        </w:rPr>
        <w:t> </w:t>
      </w:r>
      <w:r>
        <w:rPr/>
        <w:t>theme</w:t>
      </w:r>
      <w:r>
        <w:rPr>
          <w:spacing w:val="40"/>
        </w:rPr>
        <w:t> </w:t>
      </w:r>
      <w:r>
        <w:rPr/>
        <w:t>and</w:t>
      </w:r>
      <w:r>
        <w:rPr>
          <w:spacing w:val="40"/>
        </w:rPr>
        <w:t> </w:t>
      </w:r>
      <w:r>
        <w:rPr/>
        <w:t>also</w:t>
      </w:r>
      <w:r>
        <w:rPr>
          <w:spacing w:val="40"/>
        </w:rPr>
        <w:t> </w:t>
      </w:r>
      <w:r>
        <w:rPr/>
        <w:t>her</w:t>
      </w:r>
      <w:r>
        <w:rPr>
          <w:spacing w:val="40"/>
        </w:rPr>
        <w:t> </w:t>
      </w:r>
      <w:r>
        <w:rPr/>
        <w:t>personal</w:t>
      </w:r>
      <w:r>
        <w:rPr>
          <w:spacing w:val="40"/>
        </w:rPr>
        <w:t> </w:t>
      </w:r>
      <w:r>
        <w:rPr/>
        <w:t>presence.</w:t>
      </w:r>
    </w:p>
    <w:p>
      <w:pPr>
        <w:pStyle w:val="BodyText"/>
        <w:spacing w:line="249" w:lineRule="auto" w:before="59"/>
        <w:ind w:right="1435" w:firstLine="432"/>
        <w:jc w:val="both"/>
      </w:pPr>
      <w:r>
        <w:rPr/>
        <w:t>Novy Kapadia claims that </w:t>
      </w:r>
      <w:r>
        <w:rPr>
          <w:i/>
        </w:rPr>
        <w:t>Antony and Cleopatra </w:t>
      </w:r>
      <w:r>
        <w:rPr/>
        <w:t>is the only tragedy that ‘glorifies woman as actor’. Through his treatment of Cleopatra, Shakespeare provides us with a ‘real’ woman rather than a stereotype. (LSJ,</w:t>
      </w:r>
    </w:p>
    <w:p>
      <w:pPr>
        <w:pStyle w:val="BodyText"/>
        <w:spacing w:line="249" w:lineRule="auto" w:before="61"/>
        <w:ind w:right="1439" w:firstLine="432"/>
        <w:jc w:val="both"/>
      </w:pPr>
      <w:r>
        <w:rPr/>
        <w:t>Velma Richmond claims further that in </w:t>
      </w:r>
      <w:r>
        <w:rPr>
          <w:i/>
        </w:rPr>
        <w:t>Cleopatra </w:t>
      </w:r>
      <w:r>
        <w:rPr/>
        <w:t>we can find Shakespeare’s</w:t>
      </w:r>
      <w:r>
        <w:rPr>
          <w:spacing w:val="-8"/>
        </w:rPr>
        <w:t> </w:t>
      </w:r>
      <w:r>
        <w:rPr/>
        <w:t>‘finest</w:t>
      </w:r>
      <w:r>
        <w:rPr>
          <w:spacing w:val="-6"/>
        </w:rPr>
        <w:t> </w:t>
      </w:r>
      <w:r>
        <w:rPr/>
        <w:t>embracing</w:t>
      </w:r>
      <w:r>
        <w:rPr>
          <w:spacing w:val="-10"/>
        </w:rPr>
        <w:t> </w:t>
      </w:r>
      <w:r>
        <w:rPr/>
        <w:t>of</w:t>
      </w:r>
      <w:r>
        <w:rPr>
          <w:spacing w:val="-8"/>
        </w:rPr>
        <w:t> </w:t>
      </w:r>
      <w:r>
        <w:rPr/>
        <w:t>the</w:t>
      </w:r>
      <w:r>
        <w:rPr>
          <w:spacing w:val="-7"/>
        </w:rPr>
        <w:t> </w:t>
      </w:r>
      <w:r>
        <w:rPr/>
        <w:t>feminine’.</w:t>
      </w:r>
      <w:r>
        <w:rPr>
          <w:spacing w:val="-8"/>
        </w:rPr>
        <w:t> </w:t>
      </w:r>
      <w:r>
        <w:rPr/>
        <w:t>Cleopatra</w:t>
      </w:r>
      <w:r>
        <w:rPr>
          <w:spacing w:val="-10"/>
        </w:rPr>
        <w:t> </w:t>
      </w:r>
      <w:r>
        <w:rPr/>
        <w:t>through</w:t>
      </w:r>
      <w:r>
        <w:rPr>
          <w:spacing w:val="-8"/>
        </w:rPr>
        <w:t> </w:t>
      </w:r>
      <w:r>
        <w:rPr/>
        <w:t>the combination</w:t>
      </w:r>
      <w:r>
        <w:rPr>
          <w:spacing w:val="-12"/>
        </w:rPr>
        <w:t> </w:t>
      </w:r>
      <w:r>
        <w:rPr/>
        <w:t>of</w:t>
      </w:r>
      <w:r>
        <w:rPr>
          <w:spacing w:val="-12"/>
        </w:rPr>
        <w:t> </w:t>
      </w:r>
      <w:r>
        <w:rPr/>
        <w:t>sexual</w:t>
      </w:r>
      <w:r>
        <w:rPr>
          <w:spacing w:val="-11"/>
        </w:rPr>
        <w:t> </w:t>
      </w:r>
      <w:r>
        <w:rPr/>
        <w:t>and</w:t>
      </w:r>
      <w:r>
        <w:rPr>
          <w:spacing w:val="-10"/>
        </w:rPr>
        <w:t> </w:t>
      </w:r>
      <w:r>
        <w:rPr/>
        <w:t>political</w:t>
      </w:r>
      <w:r>
        <w:rPr>
          <w:spacing w:val="-10"/>
        </w:rPr>
        <w:t> </w:t>
      </w:r>
      <w:r>
        <w:rPr/>
        <w:t>power</w:t>
      </w:r>
      <w:r>
        <w:rPr>
          <w:spacing w:val="-10"/>
        </w:rPr>
        <w:t> </w:t>
      </w:r>
      <w:r>
        <w:rPr/>
        <w:t>is</w:t>
      </w:r>
      <w:r>
        <w:rPr>
          <w:spacing w:val="-10"/>
        </w:rPr>
        <w:t> </w:t>
      </w:r>
      <w:r>
        <w:rPr/>
        <w:t>a</w:t>
      </w:r>
      <w:r>
        <w:rPr>
          <w:spacing w:val="-10"/>
        </w:rPr>
        <w:t> </w:t>
      </w:r>
      <w:r>
        <w:rPr/>
        <w:t>force</w:t>
      </w:r>
      <w:r>
        <w:rPr>
          <w:spacing w:val="-9"/>
        </w:rPr>
        <w:t> </w:t>
      </w:r>
      <w:r>
        <w:rPr/>
        <w:t>to</w:t>
      </w:r>
      <w:r>
        <w:rPr>
          <w:spacing w:val="-8"/>
        </w:rPr>
        <w:t> </w:t>
      </w:r>
      <w:r>
        <w:rPr/>
        <w:t>be</w:t>
      </w:r>
      <w:r>
        <w:rPr>
          <w:spacing w:val="-10"/>
        </w:rPr>
        <w:t> </w:t>
      </w:r>
      <w:r>
        <w:rPr/>
        <w:t>reckoned</w:t>
      </w:r>
      <w:r>
        <w:rPr>
          <w:spacing w:val="-10"/>
        </w:rPr>
        <w:t> </w:t>
      </w:r>
      <w:r>
        <w:rPr/>
        <w:t>with. Refusing to adhere to the stereotypes of patriarchal society, Cleopatra transforms</w:t>
      </w:r>
      <w:r>
        <w:rPr>
          <w:spacing w:val="19"/>
        </w:rPr>
        <w:t> </w:t>
      </w:r>
      <w:r>
        <w:rPr/>
        <w:t>her</w:t>
      </w:r>
      <w:r>
        <w:rPr>
          <w:spacing w:val="21"/>
        </w:rPr>
        <w:t> </w:t>
      </w:r>
      <w:r>
        <w:rPr/>
        <w:t>natural</w:t>
      </w:r>
      <w:r>
        <w:rPr>
          <w:spacing w:val="17"/>
        </w:rPr>
        <w:t> </w:t>
      </w:r>
      <w:r>
        <w:rPr/>
        <w:t>sexuality</w:t>
      </w:r>
      <w:r>
        <w:rPr>
          <w:spacing w:val="17"/>
        </w:rPr>
        <w:t> </w:t>
      </w:r>
      <w:r>
        <w:rPr/>
        <w:t>into</w:t>
      </w:r>
      <w:r>
        <w:rPr>
          <w:spacing w:val="22"/>
        </w:rPr>
        <w:t> </w:t>
      </w:r>
      <w:r>
        <w:rPr/>
        <w:t>part</w:t>
      </w:r>
      <w:r>
        <w:rPr>
          <w:spacing w:val="19"/>
        </w:rPr>
        <w:t> </w:t>
      </w:r>
      <w:r>
        <w:rPr/>
        <w:t>of</w:t>
      </w:r>
      <w:r>
        <w:rPr>
          <w:spacing w:val="18"/>
        </w:rPr>
        <w:t> </w:t>
      </w:r>
      <w:r>
        <w:rPr/>
        <w:t>her</w:t>
      </w:r>
      <w:r>
        <w:rPr>
          <w:spacing w:val="20"/>
        </w:rPr>
        <w:t> </w:t>
      </w:r>
      <w:r>
        <w:rPr/>
        <w:t>power,</w:t>
      </w:r>
      <w:r>
        <w:rPr>
          <w:spacing w:val="17"/>
        </w:rPr>
        <w:t> </w:t>
      </w:r>
      <w:r>
        <w:rPr/>
        <w:t>rather</w:t>
      </w:r>
      <w:r>
        <w:rPr>
          <w:spacing w:val="20"/>
        </w:rPr>
        <w:t> </w:t>
      </w:r>
      <w:r>
        <w:rPr/>
        <w:t>than</w:t>
      </w:r>
      <w:r>
        <w:rPr>
          <w:spacing w:val="19"/>
        </w:rPr>
        <w:t> </w:t>
      </w:r>
      <w:r>
        <w:rPr/>
        <w:t>as a diminishing of her goodness. (LSJ,</w:t>
      </w:r>
    </w:p>
    <w:p>
      <w:pPr>
        <w:pStyle w:val="BodyText"/>
        <w:spacing w:line="249" w:lineRule="auto" w:before="63"/>
        <w:ind w:right="1440" w:firstLine="432"/>
        <w:jc w:val="both"/>
      </w:pPr>
      <w:r>
        <w:rPr/>
        <w:t>Unsurprisingly though, it is through the character of Cleopatra</w:t>
      </w:r>
      <w:r>
        <w:rPr>
          <w:spacing w:val="40"/>
        </w:rPr>
        <w:t> </w:t>
      </w:r>
      <w:r>
        <w:rPr/>
        <w:t>that Shakespeare really depicts death as an assertion of self-hood and</w:t>
      </w:r>
      <w:r>
        <w:rPr>
          <w:spacing w:val="40"/>
        </w:rPr>
        <w:t> </w:t>
      </w:r>
      <w:r>
        <w:rPr/>
        <w:t>an</w:t>
      </w:r>
      <w:r>
        <w:rPr>
          <w:spacing w:val="-3"/>
        </w:rPr>
        <w:t> </w:t>
      </w:r>
      <w:r>
        <w:rPr/>
        <w:t>act of</w:t>
      </w:r>
      <w:r>
        <w:rPr>
          <w:spacing w:val="-3"/>
        </w:rPr>
        <w:t> </w:t>
      </w:r>
      <w:r>
        <w:rPr/>
        <w:t>defiance</w:t>
      </w:r>
      <w:r>
        <w:rPr>
          <w:spacing w:val="-3"/>
        </w:rPr>
        <w:t> </w:t>
      </w:r>
      <w:r>
        <w:rPr/>
        <w:t>to the patriarchal</w:t>
      </w:r>
      <w:r>
        <w:rPr>
          <w:spacing w:val="-2"/>
        </w:rPr>
        <w:t> </w:t>
      </w:r>
      <w:r>
        <w:rPr/>
        <w:t>laws.</w:t>
      </w:r>
      <w:r>
        <w:rPr>
          <w:spacing w:val="-2"/>
        </w:rPr>
        <w:t> </w:t>
      </w:r>
      <w:r>
        <w:rPr/>
        <w:t>Cleopatra’s</w:t>
      </w:r>
      <w:r>
        <w:rPr>
          <w:spacing w:val="-2"/>
        </w:rPr>
        <w:t> </w:t>
      </w:r>
      <w:r>
        <w:rPr/>
        <w:t>death becomes</w:t>
      </w:r>
      <w:r>
        <w:rPr>
          <w:spacing w:val="-3"/>
        </w:rPr>
        <w:t> </w:t>
      </w:r>
      <w:r>
        <w:rPr/>
        <w:t>an act</w:t>
      </w:r>
      <w:r>
        <w:rPr>
          <w:spacing w:val="2"/>
        </w:rPr>
        <w:t> </w:t>
      </w:r>
      <w:r>
        <w:rPr/>
        <w:t>of</w:t>
      </w:r>
      <w:r>
        <w:rPr>
          <w:spacing w:val="-2"/>
        </w:rPr>
        <w:t> </w:t>
      </w:r>
      <w:r>
        <w:rPr/>
        <w:t>triumph</w:t>
      </w:r>
      <w:r>
        <w:rPr>
          <w:spacing w:val="2"/>
        </w:rPr>
        <w:t> </w:t>
      </w:r>
      <w:r>
        <w:rPr/>
        <w:t>over</w:t>
      </w:r>
      <w:r>
        <w:rPr>
          <w:spacing w:val="2"/>
        </w:rPr>
        <w:t> </w:t>
      </w:r>
      <w:r>
        <w:rPr/>
        <w:t>Caesar</w:t>
      </w:r>
      <w:r>
        <w:rPr>
          <w:spacing w:val="2"/>
        </w:rPr>
        <w:t> </w:t>
      </w:r>
      <w:r>
        <w:rPr/>
        <w:t>-</w:t>
      </w:r>
      <w:r>
        <w:rPr>
          <w:spacing w:val="-1"/>
        </w:rPr>
        <w:t> </w:t>
      </w:r>
      <w:r>
        <w:rPr/>
        <w:t>the</w:t>
      </w:r>
      <w:r>
        <w:rPr>
          <w:spacing w:val="2"/>
        </w:rPr>
        <w:t> </w:t>
      </w:r>
      <w:r>
        <w:rPr/>
        <w:t>representative</w:t>
      </w:r>
      <w:r>
        <w:rPr>
          <w:spacing w:val="3"/>
        </w:rPr>
        <w:t> </w:t>
      </w:r>
      <w:r>
        <w:rPr/>
        <w:t>of patriarchal Rome.</w:t>
      </w:r>
      <w:r>
        <w:rPr>
          <w:spacing w:val="2"/>
        </w:rPr>
        <w:t> </w:t>
      </w:r>
      <w:r>
        <w:rPr>
          <w:spacing w:val="-5"/>
        </w:rPr>
        <w:t>On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51328">
                <wp:simplePos x="0" y="0"/>
                <wp:positionH relativeFrom="page">
                  <wp:posOffset>2065020</wp:posOffset>
                </wp:positionH>
                <wp:positionV relativeFrom="paragraph">
                  <wp:posOffset>162604</wp:posOffset>
                </wp:positionV>
                <wp:extent cx="3657600" cy="12700"/>
                <wp:effectExtent l="0" t="0" r="0" b="0"/>
                <wp:wrapTopAndBottom/>
                <wp:docPr id="232" name="Graphic 232"/>
                <wp:cNvGraphicFramePr>
                  <a:graphicFrameLocks/>
                </wp:cNvGraphicFramePr>
                <a:graphic>
                  <a:graphicData uri="http://schemas.microsoft.com/office/word/2010/wordprocessingShape">
                    <wps:wsp>
                      <wps:cNvPr id="232" name="Graphic 23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65152;mso-wrap-distance-left:0;mso-wrap-distance-right:0" id="docshape228" filled="true" fillcolor="#000000" stroked="false">
                <v:fill type="solid"/>
                <w10:wrap type="topAndBottom"/>
              </v:rect>
            </w:pict>
          </mc:Fallback>
        </mc:AlternateContent>
      </w:r>
      <w:r>
        <w:rPr>
          <w:rFonts w:ascii="Verdana" w:hAnsi="Verdana"/>
          <w:sz w:val="18"/>
        </w:rPr>
        <w:t>The</w:t>
      </w:r>
      <w:r>
        <w:rPr>
          <w:rFonts w:ascii="Verdana" w:hAnsi="Verdana"/>
          <w:spacing w:val="3"/>
          <w:sz w:val="18"/>
        </w:rPr>
        <w:t> </w:t>
      </w:r>
      <w:r>
        <w:rPr>
          <w:rFonts w:ascii="Verdana" w:hAnsi="Verdana"/>
          <w:sz w:val="18"/>
        </w:rPr>
        <w:t>‘Loyal’</w:t>
      </w:r>
      <w:r>
        <w:rPr>
          <w:rFonts w:ascii="Verdana" w:hAnsi="Verdana"/>
          <w:spacing w:val="3"/>
          <w:sz w:val="18"/>
        </w:rPr>
        <w:t> </w:t>
      </w:r>
      <w:r>
        <w:rPr>
          <w:rFonts w:ascii="Verdana" w:hAnsi="Verdana"/>
          <w:sz w:val="18"/>
        </w:rPr>
        <w:t>Elizabethan</w:t>
      </w:r>
      <w:r>
        <w:rPr>
          <w:rFonts w:ascii="Verdana" w:hAnsi="Verdana"/>
          <w:spacing w:val="2"/>
          <w:sz w:val="18"/>
        </w:rPr>
        <w:t> </w:t>
      </w:r>
      <w:r>
        <w:rPr>
          <w:rFonts w:ascii="Verdana" w:hAnsi="Verdana"/>
          <w:sz w:val="18"/>
        </w:rPr>
        <w:t>Women</w:t>
      </w:r>
      <w:r>
        <w:rPr>
          <w:rFonts w:ascii="Verdana" w:hAnsi="Verdana"/>
          <w:spacing w:val="6"/>
          <w:sz w:val="18"/>
        </w:rPr>
        <w:t> </w:t>
      </w:r>
      <w:r>
        <w:rPr>
          <w:rFonts w:ascii="Verdana" w:hAnsi="Verdana"/>
          <w:sz w:val="18"/>
        </w:rPr>
        <w:t>in</w:t>
      </w:r>
      <w:r>
        <w:rPr>
          <w:rFonts w:ascii="Verdana" w:hAnsi="Verdana"/>
          <w:spacing w:val="5"/>
          <w:sz w:val="18"/>
        </w:rPr>
        <w:t> </w:t>
      </w:r>
      <w:r>
        <w:rPr>
          <w:rFonts w:ascii="Verdana" w:hAnsi="Verdana"/>
          <w:sz w:val="18"/>
        </w:rPr>
        <w:t>Shakespeare’s</w:t>
      </w:r>
      <w:r>
        <w:rPr>
          <w:rFonts w:ascii="Verdana" w:hAnsi="Verdana"/>
          <w:spacing w:val="4"/>
          <w:sz w:val="18"/>
        </w:rPr>
        <w:t> </w:t>
      </w:r>
      <w:r>
        <w:rPr>
          <w:rFonts w:ascii="Verdana" w:hAnsi="Verdana"/>
          <w:spacing w:val="-2"/>
          <w:sz w:val="18"/>
        </w:rPr>
        <w:t>Select...</w:t>
      </w:r>
      <w:r>
        <w:rPr>
          <w:rFonts w:ascii="Verdana" w:hAnsi="Verdana"/>
          <w:sz w:val="18"/>
        </w:rPr>
        <w:tab/>
      </w:r>
      <w:r>
        <w:rPr>
          <w:rFonts w:ascii="Verdana" w:hAnsi="Verdana"/>
          <w:spacing w:val="-5"/>
          <w:sz w:val="18"/>
        </w:rPr>
        <w:t>61</w:t>
      </w:r>
    </w:p>
    <w:p>
      <w:pPr>
        <w:pStyle w:val="BodyText"/>
        <w:spacing w:line="249" w:lineRule="auto" w:before="192"/>
        <w:ind w:right="1437"/>
        <w:jc w:val="both"/>
      </w:pPr>
      <w:r>
        <w:rPr/>
        <w:t>finding her dead, one of his guards says, ‘Caesar’s beguiled’. Through death Cleopatra not only transcends the world of oppression and fate, but embraces her death as a positive act rather than as an act of </w:t>
      </w:r>
      <w:r>
        <w:rPr>
          <w:spacing w:val="-2"/>
        </w:rPr>
        <w:t>negation.</w:t>
      </w:r>
    </w:p>
    <w:p>
      <w:pPr>
        <w:pStyle w:val="BodyText"/>
        <w:spacing w:line="249" w:lineRule="auto" w:before="61"/>
        <w:ind w:right="1440" w:firstLine="432"/>
        <w:jc w:val="both"/>
      </w:pPr>
      <w:r>
        <w:rPr>
          <w:spacing w:val="-2"/>
        </w:rPr>
        <w:t>Shakespeare creates</w:t>
      </w:r>
      <w:r>
        <w:rPr>
          <w:spacing w:val="-7"/>
        </w:rPr>
        <w:t> </w:t>
      </w:r>
      <w:r>
        <w:rPr>
          <w:spacing w:val="-2"/>
        </w:rPr>
        <w:t>women</w:t>
      </w:r>
      <w:r>
        <w:rPr>
          <w:spacing w:val="-5"/>
        </w:rPr>
        <w:t> </w:t>
      </w:r>
      <w:r>
        <w:rPr>
          <w:spacing w:val="-2"/>
        </w:rPr>
        <w:t>in</w:t>
      </w:r>
      <w:r>
        <w:rPr>
          <w:spacing w:val="-7"/>
        </w:rPr>
        <w:t> </w:t>
      </w:r>
      <w:r>
        <w:rPr>
          <w:spacing w:val="-2"/>
        </w:rPr>
        <w:t>the four</w:t>
      </w:r>
      <w:r>
        <w:rPr>
          <w:spacing w:val="-3"/>
        </w:rPr>
        <w:t> </w:t>
      </w:r>
      <w:r>
        <w:rPr>
          <w:spacing w:val="-2"/>
        </w:rPr>
        <w:t>plays</w:t>
      </w:r>
      <w:r>
        <w:rPr>
          <w:spacing w:val="-3"/>
        </w:rPr>
        <w:t> </w:t>
      </w:r>
      <w:r>
        <w:rPr>
          <w:spacing w:val="-2"/>
        </w:rPr>
        <w:t>mentioned</w:t>
      </w:r>
      <w:r>
        <w:rPr>
          <w:spacing w:val="-5"/>
        </w:rPr>
        <w:t> </w:t>
      </w:r>
      <w:r>
        <w:rPr>
          <w:spacing w:val="-2"/>
        </w:rPr>
        <w:t>in</w:t>
      </w:r>
      <w:r>
        <w:rPr>
          <w:spacing w:val="-5"/>
        </w:rPr>
        <w:t> </w:t>
      </w:r>
      <w:r>
        <w:rPr>
          <w:spacing w:val="-2"/>
        </w:rPr>
        <w:t>different </w:t>
      </w:r>
      <w:r>
        <w:rPr/>
        <w:t>locations, Desdemona in Cyprus, hence she sees the most heinous ends including</w:t>
      </w:r>
      <w:r>
        <w:rPr>
          <w:spacing w:val="-13"/>
        </w:rPr>
        <w:t> </w:t>
      </w:r>
      <w:r>
        <w:rPr/>
        <w:t>Emilia</w:t>
      </w:r>
      <w:r>
        <w:rPr>
          <w:spacing w:val="-11"/>
        </w:rPr>
        <w:t> </w:t>
      </w:r>
      <w:r>
        <w:rPr/>
        <w:t>at</w:t>
      </w:r>
      <w:r>
        <w:rPr>
          <w:spacing w:val="-12"/>
        </w:rPr>
        <w:t> </w:t>
      </w:r>
      <w:r>
        <w:rPr/>
        <w:t>the</w:t>
      </w:r>
      <w:r>
        <w:rPr>
          <w:spacing w:val="-10"/>
        </w:rPr>
        <w:t> </w:t>
      </w:r>
      <w:r>
        <w:rPr/>
        <w:t>hands</w:t>
      </w:r>
      <w:r>
        <w:rPr>
          <w:spacing w:val="-12"/>
        </w:rPr>
        <w:t> </w:t>
      </w:r>
      <w:r>
        <w:rPr/>
        <w:t>of</w:t>
      </w:r>
      <w:r>
        <w:rPr>
          <w:spacing w:val="-12"/>
        </w:rPr>
        <w:t> </w:t>
      </w:r>
      <w:r>
        <w:rPr/>
        <w:t>extremely</w:t>
      </w:r>
      <w:r>
        <w:rPr>
          <w:spacing w:val="-13"/>
        </w:rPr>
        <w:t> </w:t>
      </w:r>
      <w:r>
        <w:rPr/>
        <w:t>misogynist</w:t>
      </w:r>
      <w:r>
        <w:rPr>
          <w:spacing w:val="-9"/>
        </w:rPr>
        <w:t> </w:t>
      </w:r>
      <w:r>
        <w:rPr/>
        <w:t>husbands,</w:t>
      </w:r>
      <w:r>
        <w:rPr>
          <w:spacing w:val="-12"/>
        </w:rPr>
        <w:t> </w:t>
      </w:r>
      <w:r>
        <w:rPr/>
        <w:t>Hamlet who</w:t>
      </w:r>
      <w:r>
        <w:rPr>
          <w:spacing w:val="-4"/>
        </w:rPr>
        <w:t> </w:t>
      </w:r>
      <w:r>
        <w:rPr/>
        <w:t>is</w:t>
      </w:r>
      <w:r>
        <w:rPr>
          <w:spacing w:val="-4"/>
        </w:rPr>
        <w:t> </w:t>
      </w:r>
      <w:r>
        <w:rPr/>
        <w:t>trapped</w:t>
      </w:r>
      <w:r>
        <w:rPr>
          <w:spacing w:val="-4"/>
        </w:rPr>
        <w:t> </w:t>
      </w:r>
      <w:r>
        <w:rPr/>
        <w:t>in</w:t>
      </w:r>
      <w:r>
        <w:rPr>
          <w:spacing w:val="-6"/>
        </w:rPr>
        <w:t> </w:t>
      </w:r>
      <w:r>
        <w:rPr/>
        <w:t>a</w:t>
      </w:r>
      <w:r>
        <w:rPr>
          <w:spacing w:val="-5"/>
        </w:rPr>
        <w:t> </w:t>
      </w:r>
      <w:r>
        <w:rPr/>
        <w:t>situation</w:t>
      </w:r>
      <w:r>
        <w:rPr>
          <w:spacing w:val="-6"/>
        </w:rPr>
        <w:t> </w:t>
      </w:r>
      <w:r>
        <w:rPr/>
        <w:t>where</w:t>
      </w:r>
      <w:r>
        <w:rPr>
          <w:spacing w:val="-6"/>
        </w:rPr>
        <w:t> </w:t>
      </w:r>
      <w:r>
        <w:rPr/>
        <w:t>he</w:t>
      </w:r>
      <w:r>
        <w:rPr>
          <w:spacing w:val="-6"/>
        </w:rPr>
        <w:t> </w:t>
      </w:r>
      <w:r>
        <w:rPr/>
        <w:t>is</w:t>
      </w:r>
      <w:r>
        <w:rPr>
          <w:spacing w:val="-4"/>
        </w:rPr>
        <w:t> </w:t>
      </w:r>
      <w:r>
        <w:rPr/>
        <w:t>solitarily</w:t>
      </w:r>
      <w:r>
        <w:rPr>
          <w:spacing w:val="-7"/>
        </w:rPr>
        <w:t> </w:t>
      </w:r>
      <w:r>
        <w:rPr/>
        <w:t>fighting</w:t>
      </w:r>
      <w:r>
        <w:rPr>
          <w:spacing w:val="-6"/>
        </w:rPr>
        <w:t> </w:t>
      </w:r>
      <w:r>
        <w:rPr/>
        <w:t>with</w:t>
      </w:r>
      <w:r>
        <w:rPr>
          <w:spacing w:val="-6"/>
        </w:rPr>
        <w:t> </w:t>
      </w:r>
      <w:r>
        <w:rPr/>
        <w:t>enemies all</w:t>
      </w:r>
      <w:r>
        <w:rPr>
          <w:spacing w:val="-10"/>
        </w:rPr>
        <w:t> </w:t>
      </w:r>
      <w:r>
        <w:rPr/>
        <w:t>around</w:t>
      </w:r>
      <w:r>
        <w:rPr>
          <w:spacing w:val="-7"/>
        </w:rPr>
        <w:t> </w:t>
      </w:r>
      <w:r>
        <w:rPr/>
        <w:t>is</w:t>
      </w:r>
      <w:r>
        <w:rPr>
          <w:spacing w:val="-10"/>
        </w:rPr>
        <w:t> </w:t>
      </w:r>
      <w:r>
        <w:rPr/>
        <w:t>unable</w:t>
      </w:r>
      <w:r>
        <w:rPr>
          <w:spacing w:val="-8"/>
        </w:rPr>
        <w:t> </w:t>
      </w:r>
      <w:r>
        <w:rPr/>
        <w:t>to</w:t>
      </w:r>
      <w:r>
        <w:rPr>
          <w:spacing w:val="-9"/>
        </w:rPr>
        <w:t> </w:t>
      </w:r>
      <w:r>
        <w:rPr/>
        <w:t>remain</w:t>
      </w:r>
      <w:r>
        <w:rPr>
          <w:spacing w:val="-10"/>
        </w:rPr>
        <w:t> </w:t>
      </w:r>
      <w:r>
        <w:rPr/>
        <w:t>sane</w:t>
      </w:r>
      <w:r>
        <w:rPr>
          <w:spacing w:val="-10"/>
        </w:rPr>
        <w:t> </w:t>
      </w:r>
      <w:r>
        <w:rPr/>
        <w:t>in</w:t>
      </w:r>
      <w:r>
        <w:rPr>
          <w:spacing w:val="-10"/>
        </w:rPr>
        <w:t> </w:t>
      </w:r>
      <w:r>
        <w:rPr/>
        <w:t>his</w:t>
      </w:r>
      <w:r>
        <w:rPr>
          <w:spacing w:val="-12"/>
        </w:rPr>
        <w:t> </w:t>
      </w:r>
      <w:r>
        <w:rPr/>
        <w:t>behaviour</w:t>
      </w:r>
      <w:r>
        <w:rPr>
          <w:spacing w:val="-7"/>
        </w:rPr>
        <w:t> </w:t>
      </w:r>
      <w:r>
        <w:rPr/>
        <w:t>hence</w:t>
      </w:r>
      <w:r>
        <w:rPr>
          <w:spacing w:val="-10"/>
        </w:rPr>
        <w:t> </w:t>
      </w:r>
      <w:r>
        <w:rPr/>
        <w:t>loses</w:t>
      </w:r>
      <w:r>
        <w:rPr>
          <w:spacing w:val="-9"/>
        </w:rPr>
        <w:t> </w:t>
      </w:r>
      <w:r>
        <w:rPr/>
        <w:t>Ophelia. Lady Macbeth and Cleopatra however, defy the patriarchal structures, their end/death also result because of incompetent husbands/lovers or one can say because of ‘feminine husbands’ a terminology constructed in the Elizabethan age,</w:t>
      </w:r>
    </w:p>
    <w:p>
      <w:pPr>
        <w:pStyle w:val="Heading3"/>
        <w:spacing w:before="161"/>
        <w:jc w:val="both"/>
      </w:pPr>
      <w:r>
        <w:rPr>
          <w:w w:val="90"/>
        </w:rPr>
        <w:t>WORKS</w:t>
      </w:r>
      <w:r>
        <w:rPr>
          <w:spacing w:val="6"/>
        </w:rPr>
        <w:t> </w:t>
      </w:r>
      <w:r>
        <w:rPr>
          <w:spacing w:val="-2"/>
          <w:w w:val="95"/>
        </w:rPr>
        <w:t>CITED</w:t>
      </w:r>
    </w:p>
    <w:p>
      <w:pPr>
        <w:pStyle w:val="ListParagraph"/>
        <w:numPr>
          <w:ilvl w:val="0"/>
          <w:numId w:val="14"/>
        </w:numPr>
        <w:tabs>
          <w:tab w:pos="2157" w:val="left" w:leader="none"/>
          <w:tab w:pos="2160" w:val="left" w:leader="none"/>
        </w:tabs>
        <w:spacing w:line="264" w:lineRule="auto" w:before="82" w:after="0"/>
        <w:ind w:left="2160" w:right="1436" w:hanging="315"/>
        <w:jc w:val="both"/>
        <w:rPr>
          <w:sz w:val="19"/>
        </w:rPr>
      </w:pPr>
      <w:r>
        <w:rPr>
          <w:sz w:val="19"/>
        </w:rPr>
        <w:t>Drakakis</w:t>
      </w:r>
      <w:r>
        <w:rPr>
          <w:i/>
          <w:sz w:val="19"/>
        </w:rPr>
        <w:t>, </w:t>
      </w:r>
      <w:r>
        <w:rPr>
          <w:sz w:val="19"/>
        </w:rPr>
        <w:t>John</w:t>
      </w:r>
      <w:r>
        <w:rPr>
          <w:i/>
          <w:sz w:val="19"/>
        </w:rPr>
        <w:t>, Shakespearean Tragedy, </w:t>
      </w:r>
      <w:r>
        <w:rPr>
          <w:sz w:val="19"/>
        </w:rPr>
        <w:t>Routledge Taylor &amp;Francis</w:t>
      </w:r>
      <w:r>
        <w:rPr>
          <w:spacing w:val="37"/>
          <w:sz w:val="19"/>
        </w:rPr>
        <w:t> </w:t>
      </w:r>
      <w:r>
        <w:rPr>
          <w:sz w:val="19"/>
        </w:rPr>
        <w:t>Group,</w:t>
      </w:r>
      <w:r>
        <w:rPr>
          <w:spacing w:val="37"/>
          <w:sz w:val="19"/>
        </w:rPr>
        <w:t> </w:t>
      </w:r>
      <w:r>
        <w:rPr>
          <w:sz w:val="19"/>
        </w:rPr>
        <w:t>New</w:t>
      </w:r>
      <w:r>
        <w:rPr>
          <w:spacing w:val="31"/>
          <w:sz w:val="19"/>
        </w:rPr>
        <w:t> </w:t>
      </w:r>
      <w:r>
        <w:rPr>
          <w:sz w:val="19"/>
        </w:rPr>
        <w:t>York</w:t>
      </w:r>
      <w:r>
        <w:rPr>
          <w:spacing w:val="35"/>
          <w:sz w:val="19"/>
        </w:rPr>
        <w:t> </w:t>
      </w:r>
      <w:r>
        <w:rPr>
          <w:sz w:val="19"/>
        </w:rPr>
        <w:t>and</w:t>
      </w:r>
      <w:r>
        <w:rPr>
          <w:spacing w:val="37"/>
          <w:sz w:val="19"/>
        </w:rPr>
        <w:t> </w:t>
      </w:r>
      <w:r>
        <w:rPr>
          <w:sz w:val="19"/>
        </w:rPr>
        <w:t>London,</w:t>
      </w:r>
      <w:r>
        <w:rPr>
          <w:spacing w:val="39"/>
          <w:sz w:val="19"/>
        </w:rPr>
        <w:t> </w:t>
      </w:r>
      <w:r>
        <w:rPr>
          <w:sz w:val="19"/>
        </w:rPr>
        <w:t>1992,</w:t>
      </w:r>
      <w:r>
        <w:rPr>
          <w:spacing w:val="39"/>
          <w:sz w:val="19"/>
        </w:rPr>
        <w:t> </w:t>
      </w:r>
      <w:r>
        <w:rPr>
          <w:sz w:val="19"/>
        </w:rPr>
        <w:t>Reprint,</w:t>
      </w:r>
      <w:r>
        <w:rPr>
          <w:spacing w:val="39"/>
          <w:sz w:val="19"/>
        </w:rPr>
        <w:t> </w:t>
      </w:r>
      <w:r>
        <w:rPr>
          <w:sz w:val="19"/>
        </w:rPr>
        <w:t>2016</w:t>
      </w:r>
    </w:p>
    <w:p>
      <w:pPr>
        <w:pStyle w:val="ListParagraph"/>
        <w:numPr>
          <w:ilvl w:val="0"/>
          <w:numId w:val="14"/>
        </w:numPr>
        <w:tabs>
          <w:tab w:pos="2157" w:val="left" w:leader="none"/>
          <w:tab w:pos="2160" w:val="left" w:leader="none"/>
        </w:tabs>
        <w:spacing w:line="261" w:lineRule="auto" w:before="55" w:after="0"/>
        <w:ind w:left="2160" w:right="1438" w:hanging="315"/>
        <w:jc w:val="both"/>
        <w:rPr>
          <w:sz w:val="19"/>
        </w:rPr>
      </w:pPr>
      <w:r>
        <w:rPr>
          <w:sz w:val="19"/>
        </w:rPr>
        <w:t>Vanita, Ruth, </w:t>
      </w:r>
      <w:r>
        <w:rPr>
          <w:i/>
          <w:sz w:val="19"/>
        </w:rPr>
        <w:t>Shakespeare’s Re-Visions of History: Social Collusion, Violence, and Resistance in Nine Plays, </w:t>
      </w:r>
      <w:r>
        <w:rPr>
          <w:sz w:val="19"/>
        </w:rPr>
        <w:t>Primus</w:t>
      </w:r>
      <w:r>
        <w:rPr>
          <w:spacing w:val="80"/>
          <w:sz w:val="19"/>
        </w:rPr>
        <w:t> </w:t>
      </w:r>
      <w:r>
        <w:rPr>
          <w:sz w:val="19"/>
        </w:rPr>
        <w:t>Books, 2025</w:t>
      </w:r>
    </w:p>
    <w:p>
      <w:pPr>
        <w:pStyle w:val="ListParagraph"/>
        <w:numPr>
          <w:ilvl w:val="0"/>
          <w:numId w:val="14"/>
        </w:numPr>
        <w:tabs>
          <w:tab w:pos="2157" w:val="left" w:leader="none"/>
          <w:tab w:pos="2160" w:val="left" w:leader="none"/>
        </w:tabs>
        <w:spacing w:line="261" w:lineRule="auto" w:before="58" w:after="0"/>
        <w:ind w:left="2160" w:right="1437" w:hanging="315"/>
        <w:jc w:val="both"/>
        <w:rPr>
          <w:sz w:val="19"/>
        </w:rPr>
      </w:pPr>
      <w:r>
        <w:rPr>
          <w:sz w:val="19"/>
        </w:rPr>
        <w:t>Deats-Munson, Sara, Antony and Cleopatra: New Critical</w:t>
      </w:r>
      <w:r>
        <w:rPr>
          <w:spacing w:val="80"/>
          <w:sz w:val="19"/>
        </w:rPr>
        <w:t> </w:t>
      </w:r>
      <w:r>
        <w:rPr>
          <w:sz w:val="19"/>
        </w:rPr>
        <w:t>Essays,</w:t>
      </w:r>
      <w:r>
        <w:rPr>
          <w:spacing w:val="-5"/>
          <w:sz w:val="19"/>
        </w:rPr>
        <w:t> </w:t>
      </w:r>
      <w:r>
        <w:rPr>
          <w:sz w:val="19"/>
        </w:rPr>
        <w:t>Routledge</w:t>
      </w:r>
      <w:r>
        <w:rPr>
          <w:spacing w:val="-3"/>
          <w:sz w:val="19"/>
        </w:rPr>
        <w:t> </w:t>
      </w:r>
      <w:r>
        <w:rPr>
          <w:sz w:val="19"/>
        </w:rPr>
        <w:t>New</w:t>
      </w:r>
      <w:r>
        <w:rPr>
          <w:spacing w:val="-12"/>
          <w:sz w:val="19"/>
        </w:rPr>
        <w:t> </w:t>
      </w:r>
      <w:r>
        <w:rPr>
          <w:sz w:val="19"/>
        </w:rPr>
        <w:t>York.</w:t>
      </w:r>
      <w:r>
        <w:rPr>
          <w:spacing w:val="-5"/>
          <w:sz w:val="19"/>
        </w:rPr>
        <w:t> </w:t>
      </w:r>
      <w:r>
        <w:rPr>
          <w:sz w:val="19"/>
        </w:rPr>
        <w:t>London,</w:t>
      </w:r>
      <w:r>
        <w:rPr>
          <w:spacing w:val="-2"/>
          <w:sz w:val="19"/>
        </w:rPr>
        <w:t> </w:t>
      </w:r>
      <w:r>
        <w:rPr>
          <w:sz w:val="19"/>
        </w:rPr>
        <w:t>2005,</w:t>
      </w:r>
      <w:r>
        <w:rPr>
          <w:spacing w:val="-5"/>
          <w:sz w:val="19"/>
        </w:rPr>
        <w:t> </w:t>
      </w:r>
      <w:r>
        <w:rPr>
          <w:sz w:val="19"/>
        </w:rPr>
        <w:t>First</w:t>
      </w:r>
      <w:r>
        <w:rPr>
          <w:spacing w:val="-3"/>
          <w:sz w:val="19"/>
        </w:rPr>
        <w:t> </w:t>
      </w:r>
      <w:r>
        <w:rPr>
          <w:sz w:val="19"/>
        </w:rPr>
        <w:t>Indian</w:t>
      </w:r>
      <w:r>
        <w:rPr>
          <w:spacing w:val="-5"/>
          <w:sz w:val="19"/>
        </w:rPr>
        <w:t> </w:t>
      </w:r>
      <w:r>
        <w:rPr>
          <w:sz w:val="19"/>
        </w:rPr>
        <w:t>Reprint, </w:t>
      </w:r>
      <w:r>
        <w:rPr>
          <w:spacing w:val="-4"/>
          <w:sz w:val="19"/>
        </w:rPr>
        <w:t>2013</w:t>
      </w:r>
    </w:p>
    <w:p>
      <w:pPr>
        <w:pStyle w:val="ListParagraph"/>
        <w:numPr>
          <w:ilvl w:val="0"/>
          <w:numId w:val="14"/>
        </w:numPr>
        <w:tabs>
          <w:tab w:pos="2157" w:val="left" w:leader="none"/>
          <w:tab w:pos="2160" w:val="left" w:leader="none"/>
        </w:tabs>
        <w:spacing w:line="261" w:lineRule="auto" w:before="56" w:after="0"/>
        <w:ind w:left="2160" w:right="1438" w:hanging="315"/>
        <w:jc w:val="both"/>
        <w:rPr>
          <w:sz w:val="19"/>
        </w:rPr>
      </w:pPr>
      <w:r>
        <w:rPr>
          <w:spacing w:val="10"/>
          <w:sz w:val="19"/>
        </w:rPr>
        <w:t>Nagpal</w:t>
      </w:r>
      <w:r>
        <w:rPr>
          <w:i/>
          <w:spacing w:val="10"/>
          <w:sz w:val="19"/>
        </w:rPr>
        <w:t>,</w:t>
      </w:r>
      <w:r>
        <w:rPr>
          <w:i/>
          <w:spacing w:val="10"/>
          <w:sz w:val="19"/>
        </w:rPr>
        <w:t> </w:t>
      </w:r>
      <w:r>
        <w:rPr>
          <w:sz w:val="19"/>
        </w:rPr>
        <w:t>Payal</w:t>
      </w:r>
      <w:r>
        <w:rPr>
          <w:i/>
          <w:sz w:val="19"/>
        </w:rPr>
        <w:t>, William </w:t>
      </w:r>
      <w:r>
        <w:rPr>
          <w:i/>
          <w:spacing w:val="10"/>
          <w:sz w:val="19"/>
        </w:rPr>
        <w:t>Shakespeare</w:t>
      </w:r>
      <w:r>
        <w:rPr>
          <w:i/>
          <w:spacing w:val="10"/>
          <w:sz w:val="19"/>
        </w:rPr>
        <w:t> Macbeth, </w:t>
      </w:r>
      <w:r>
        <w:rPr>
          <w:sz w:val="19"/>
        </w:rPr>
        <w:t>WorldviewPublications,</w:t>
      </w:r>
      <w:r>
        <w:rPr>
          <w:spacing w:val="40"/>
          <w:sz w:val="19"/>
        </w:rPr>
        <w:t> </w:t>
      </w:r>
      <w:r>
        <w:rPr>
          <w:sz w:val="19"/>
        </w:rPr>
        <w:t>Delhi,</w:t>
      </w:r>
      <w:r>
        <w:rPr>
          <w:spacing w:val="40"/>
          <w:sz w:val="19"/>
        </w:rPr>
        <w:t> </w:t>
      </w:r>
      <w:r>
        <w:rPr>
          <w:sz w:val="19"/>
        </w:rPr>
        <w:t>2016</w:t>
      </w:r>
    </w:p>
    <w:p>
      <w:pPr>
        <w:pStyle w:val="ListParagraph"/>
        <w:numPr>
          <w:ilvl w:val="0"/>
          <w:numId w:val="14"/>
        </w:numPr>
        <w:tabs>
          <w:tab w:pos="2158" w:val="left" w:leader="none"/>
          <w:tab w:pos="2160" w:val="left" w:leader="none"/>
        </w:tabs>
        <w:spacing w:line="261" w:lineRule="auto" w:before="59" w:after="0"/>
        <w:ind w:left="2160" w:right="1437" w:hanging="329"/>
        <w:jc w:val="both"/>
        <w:rPr>
          <w:i/>
          <w:sz w:val="19"/>
        </w:rPr>
      </w:pPr>
      <w:r>
        <w:rPr>
          <w:i/>
          <w:sz w:val="19"/>
        </w:rPr>
        <w:t>The Representation of Women in</w:t>
      </w:r>
      <w:r>
        <w:rPr>
          <w:i/>
          <w:spacing w:val="40"/>
          <w:sz w:val="19"/>
        </w:rPr>
        <w:t> </w:t>
      </w:r>
      <w:r>
        <w:rPr>
          <w:i/>
          <w:sz w:val="19"/>
        </w:rPr>
        <w:t>Shakespeare’s Plays: A</w:t>
      </w:r>
      <w:r>
        <w:rPr>
          <w:i/>
          <w:spacing w:val="40"/>
          <w:sz w:val="19"/>
        </w:rPr>
        <w:t> </w:t>
      </w:r>
      <w:r>
        <w:rPr>
          <w:i/>
          <w:sz w:val="19"/>
        </w:rPr>
        <w:t>Feminist Analysis, by </w:t>
      </w:r>
      <w:r>
        <w:rPr>
          <w:sz w:val="19"/>
        </w:rPr>
        <w:t>Rutuja Pradip Ghorpade </w:t>
      </w:r>
      <w:r>
        <w:rPr>
          <w:i/>
          <w:sz w:val="19"/>
        </w:rPr>
        <w:t>&amp;, </w:t>
      </w:r>
      <w:r>
        <w:rPr>
          <w:sz w:val="19"/>
        </w:rPr>
        <w:t>Dr</w:t>
      </w:r>
      <w:r>
        <w:rPr>
          <w:i/>
          <w:sz w:val="19"/>
        </w:rPr>
        <w:t>. </w:t>
      </w:r>
      <w:r>
        <w:rPr>
          <w:sz w:val="19"/>
        </w:rPr>
        <w:t>Kulandai Samy,</w:t>
      </w:r>
      <w:r>
        <w:rPr>
          <w:spacing w:val="40"/>
          <w:sz w:val="19"/>
        </w:rPr>
        <w:t> </w:t>
      </w:r>
      <w:r>
        <w:rPr>
          <w:i/>
          <w:sz w:val="19"/>
        </w:rPr>
        <w:t>ShodhKosh:</w:t>
      </w:r>
      <w:r>
        <w:rPr>
          <w:i/>
          <w:spacing w:val="40"/>
          <w:sz w:val="19"/>
        </w:rPr>
        <w:t> </w:t>
      </w:r>
      <w:r>
        <w:rPr>
          <w:i/>
          <w:sz w:val="19"/>
        </w:rPr>
        <w:t>Journal</w:t>
      </w:r>
      <w:r>
        <w:rPr>
          <w:i/>
          <w:spacing w:val="40"/>
          <w:sz w:val="19"/>
        </w:rPr>
        <w:t> </w:t>
      </w:r>
      <w:r>
        <w:rPr>
          <w:i/>
          <w:sz w:val="19"/>
        </w:rPr>
        <w:t>of</w:t>
      </w:r>
      <w:r>
        <w:rPr>
          <w:i/>
          <w:spacing w:val="40"/>
          <w:sz w:val="19"/>
        </w:rPr>
        <w:t> </w:t>
      </w:r>
      <w:r>
        <w:rPr>
          <w:i/>
          <w:sz w:val="19"/>
        </w:rPr>
        <w:t>Visual</w:t>
      </w:r>
    </w:p>
    <w:p>
      <w:pPr>
        <w:spacing w:line="261" w:lineRule="auto" w:before="0"/>
        <w:ind w:left="2160" w:right="1440" w:firstLine="0"/>
        <w:jc w:val="both"/>
        <w:rPr>
          <w:sz w:val="19"/>
        </w:rPr>
      </w:pPr>
      <w:r>
        <w:rPr>
          <w:i/>
          <w:sz w:val="19"/>
        </w:rPr>
        <w:t>and Performing</w:t>
      </w:r>
      <w:r>
        <w:rPr>
          <w:i/>
          <w:spacing w:val="-1"/>
          <w:sz w:val="19"/>
        </w:rPr>
        <w:t> </w:t>
      </w:r>
      <w:r>
        <w:rPr>
          <w:i/>
          <w:sz w:val="19"/>
        </w:rPr>
        <w:t>Arts, </w:t>
      </w:r>
      <w:r>
        <w:rPr>
          <w:sz w:val="19"/>
        </w:rPr>
        <w:t>ISSN</w:t>
      </w:r>
      <w:r>
        <w:rPr>
          <w:spacing w:val="-1"/>
          <w:sz w:val="19"/>
        </w:rPr>
        <w:t> </w:t>
      </w:r>
      <w:r>
        <w:rPr>
          <w:sz w:val="19"/>
        </w:rPr>
        <w:t>(Online):</w:t>
      </w:r>
      <w:r>
        <w:rPr>
          <w:spacing w:val="-1"/>
          <w:sz w:val="19"/>
        </w:rPr>
        <w:t> </w:t>
      </w:r>
      <w:r>
        <w:rPr>
          <w:sz w:val="19"/>
        </w:rPr>
        <w:t>2582-7472</w:t>
      </w:r>
      <w:r>
        <w:rPr>
          <w:spacing w:val="-1"/>
          <w:sz w:val="19"/>
        </w:rPr>
        <w:t> </w:t>
      </w:r>
      <w:r>
        <w:rPr>
          <w:sz w:val="19"/>
        </w:rPr>
        <w:t>, July-December 2023 4(2),</w:t>
      </w:r>
      <w:r>
        <w:rPr>
          <w:spacing w:val="-1"/>
          <w:sz w:val="19"/>
        </w:rPr>
        <w:t> </w:t>
      </w:r>
      <w:r>
        <w:rPr>
          <w:sz w:val="19"/>
        </w:rPr>
        <w:t>4014–4020</w:t>
      </w:r>
    </w:p>
    <w:p>
      <w:pPr>
        <w:pStyle w:val="ListParagraph"/>
        <w:numPr>
          <w:ilvl w:val="0"/>
          <w:numId w:val="14"/>
        </w:numPr>
        <w:tabs>
          <w:tab w:pos="2157" w:val="left" w:leader="none"/>
          <w:tab w:pos="2160" w:val="left" w:leader="none"/>
        </w:tabs>
        <w:spacing w:line="261" w:lineRule="auto" w:before="57" w:after="0"/>
        <w:ind w:left="2160" w:right="1438" w:hanging="315"/>
        <w:jc w:val="both"/>
        <w:rPr>
          <w:sz w:val="19"/>
        </w:rPr>
      </w:pPr>
      <w:r>
        <w:rPr>
          <w:sz w:val="19"/>
        </w:rPr>
        <w:t>London School of Journalism, LSJ, logo, English Literature </w:t>
      </w:r>
      <w:r>
        <w:rPr>
          <w:spacing w:val="9"/>
          <w:sz w:val="19"/>
        </w:rPr>
        <w:t>Essays,</w:t>
      </w:r>
      <w:r>
        <w:rPr>
          <w:spacing w:val="9"/>
          <w:sz w:val="19"/>
        </w:rPr>
        <w:t> </w:t>
      </w:r>
      <w:r>
        <w:rPr>
          <w:spacing w:val="10"/>
          <w:sz w:val="19"/>
        </w:rPr>
        <w:t>Shakespeare:</w:t>
      </w:r>
      <w:r>
        <w:rPr>
          <w:spacing w:val="10"/>
          <w:sz w:val="19"/>
        </w:rPr>
        <w:t> Shakespeare’s</w:t>
      </w:r>
      <w:r>
        <w:rPr>
          <w:spacing w:val="10"/>
          <w:sz w:val="19"/>
        </w:rPr>
        <w:t> </w:t>
      </w:r>
      <w:r>
        <w:rPr>
          <w:sz w:val="19"/>
        </w:rPr>
        <w:t>Women, </w:t>
      </w:r>
      <w:r>
        <w:rPr>
          <w:spacing w:val="10"/>
          <w:sz w:val="19"/>
        </w:rPr>
        <w:t>https:// </w:t>
      </w:r>
      <w:hyperlink r:id="rId84">
        <w:r>
          <w:rPr>
            <w:spacing w:val="-2"/>
            <w:sz w:val="19"/>
          </w:rPr>
          <w:t>www.lsj.org/literature/essays/shakespeare_women</w:t>
        </w:r>
      </w:hyperlink>
    </w:p>
    <w:p>
      <w:pPr>
        <w:pStyle w:val="ListParagraph"/>
        <w:numPr>
          <w:ilvl w:val="0"/>
          <w:numId w:val="14"/>
        </w:numPr>
        <w:tabs>
          <w:tab w:pos="2157" w:val="left" w:leader="none"/>
          <w:tab w:pos="2160" w:val="left" w:leader="none"/>
        </w:tabs>
        <w:spacing w:line="261" w:lineRule="auto" w:before="56" w:after="0"/>
        <w:ind w:left="2160" w:right="1438" w:hanging="315"/>
        <w:jc w:val="both"/>
        <w:rPr>
          <w:sz w:val="19"/>
        </w:rPr>
      </w:pPr>
      <w:r>
        <w:rPr>
          <w:sz w:val="19"/>
        </w:rPr>
        <w:t>Elaine</w:t>
      </w:r>
      <w:r>
        <w:rPr>
          <w:spacing w:val="40"/>
          <w:sz w:val="19"/>
        </w:rPr>
        <w:t> </w:t>
      </w:r>
      <w:r>
        <w:rPr>
          <w:sz w:val="19"/>
        </w:rPr>
        <w:t>Showalter:</w:t>
      </w:r>
      <w:r>
        <w:rPr>
          <w:spacing w:val="40"/>
          <w:sz w:val="19"/>
        </w:rPr>
        <w:t> </w:t>
      </w:r>
      <w:r>
        <w:rPr>
          <w:sz w:val="19"/>
        </w:rPr>
        <w:t>Representing</w:t>
      </w:r>
      <w:r>
        <w:rPr>
          <w:spacing w:val="40"/>
          <w:sz w:val="19"/>
        </w:rPr>
        <w:t> </w:t>
      </w:r>
      <w:r>
        <w:rPr>
          <w:sz w:val="19"/>
        </w:rPr>
        <w:t>Ophelia:</w:t>
      </w:r>
      <w:r>
        <w:rPr>
          <w:spacing w:val="40"/>
          <w:sz w:val="19"/>
        </w:rPr>
        <w:t> </w:t>
      </w:r>
      <w:r>
        <w:rPr>
          <w:sz w:val="19"/>
        </w:rPr>
        <w:t>Women</w:t>
      </w:r>
      <w:r>
        <w:rPr>
          <w:spacing w:val="40"/>
          <w:sz w:val="19"/>
        </w:rPr>
        <w:t> </w:t>
      </w:r>
      <w:r>
        <w:rPr>
          <w:sz w:val="19"/>
        </w:rPr>
        <w:t>,</w:t>
      </w:r>
      <w:r>
        <w:rPr>
          <w:spacing w:val="40"/>
          <w:sz w:val="19"/>
        </w:rPr>
        <w:t> </w:t>
      </w:r>
      <w:r>
        <w:rPr>
          <w:sz w:val="19"/>
        </w:rPr>
        <w:t>Madness, and the Responsibilities of Feminist Criticism’, chapter 6, Feminism by Catherine Belsey, Marilyn French and Elaine Showalter, </w:t>
      </w:r>
      <w:r>
        <w:rPr>
          <w:i/>
          <w:sz w:val="19"/>
        </w:rPr>
        <w:t>Shakespearean Tragedy</w:t>
      </w:r>
      <w:r>
        <w:rPr>
          <w:sz w:val="19"/>
        </w:rPr>
        <w:t>,</w:t>
      </w:r>
      <w:r>
        <w:rPr>
          <w:spacing w:val="40"/>
          <w:sz w:val="19"/>
        </w:rPr>
        <w:t> </w:t>
      </w:r>
      <w:r>
        <w:rPr>
          <w:sz w:val="19"/>
        </w:rPr>
        <w:t>edited by John Drakakis, Routledge, Taylor and Francis, Special Indian Edition, 2013,</w:t>
      </w:r>
      <w:r>
        <w:rPr>
          <w:spacing w:val="80"/>
          <w:sz w:val="19"/>
        </w:rPr>
        <w:t> </w:t>
      </w:r>
      <w:r>
        <w:rPr>
          <w:spacing w:val="-2"/>
          <w:sz w:val="19"/>
        </w:rPr>
        <w:t>280-282</w:t>
      </w:r>
    </w:p>
    <w:p>
      <w:pPr>
        <w:pStyle w:val="ListParagraph"/>
        <w:spacing w:after="0" w:line="261" w:lineRule="auto"/>
        <w:jc w:val="both"/>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51840">
                <wp:simplePos x="0" y="0"/>
                <wp:positionH relativeFrom="page">
                  <wp:posOffset>2057400</wp:posOffset>
                </wp:positionH>
                <wp:positionV relativeFrom="paragraph">
                  <wp:posOffset>162604</wp:posOffset>
                </wp:positionV>
                <wp:extent cx="3657600" cy="12700"/>
                <wp:effectExtent l="0" t="0" r="0" b="0"/>
                <wp:wrapTopAndBottom/>
                <wp:docPr id="233" name="Graphic 233"/>
                <wp:cNvGraphicFramePr>
                  <a:graphicFrameLocks/>
                </wp:cNvGraphicFramePr>
                <a:graphic>
                  <a:graphicData uri="http://schemas.microsoft.com/office/word/2010/wordprocessingShape">
                    <wps:wsp>
                      <wps:cNvPr id="233" name="Graphic 23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64640;mso-wrap-distance-left:0;mso-wrap-distance-right:0" id="docshape229" filled="true" fillcolor="#000000" stroked="false">
                <v:fill type="solid"/>
                <w10:wrap type="topAndBottom"/>
              </v:rect>
            </w:pict>
          </mc:Fallback>
        </mc:AlternateContent>
      </w:r>
      <w:r>
        <w:rPr>
          <w:rFonts w:ascii="Verdana"/>
          <w:spacing w:val="-5"/>
          <w:sz w:val="18"/>
        </w:rPr>
        <w:t>62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14"/>
        </w:numPr>
        <w:tabs>
          <w:tab w:pos="2157" w:val="left" w:leader="none"/>
          <w:tab w:pos="2160" w:val="left" w:leader="none"/>
        </w:tabs>
        <w:spacing w:line="261" w:lineRule="auto" w:before="199" w:after="0"/>
        <w:ind w:left="2160" w:right="1442" w:hanging="315"/>
        <w:jc w:val="left"/>
        <w:rPr>
          <w:sz w:val="19"/>
        </w:rPr>
      </w:pPr>
      <w:r>
        <w:rPr>
          <w:sz w:val="19"/>
        </w:rPr>
        <w:t>Levernz,</w:t>
      </w:r>
      <w:r>
        <w:rPr>
          <w:spacing w:val="-8"/>
          <w:sz w:val="19"/>
        </w:rPr>
        <w:t> </w:t>
      </w:r>
      <w:r>
        <w:rPr>
          <w:sz w:val="19"/>
        </w:rPr>
        <w:t>David,‘The</w:t>
      </w:r>
      <w:r>
        <w:rPr>
          <w:spacing w:val="-10"/>
          <w:sz w:val="19"/>
        </w:rPr>
        <w:t> </w:t>
      </w:r>
      <w:r>
        <w:rPr>
          <w:sz w:val="19"/>
        </w:rPr>
        <w:t>Woman</w:t>
      </w:r>
      <w:r>
        <w:rPr>
          <w:spacing w:val="-7"/>
          <w:sz w:val="19"/>
        </w:rPr>
        <w:t> </w:t>
      </w:r>
      <w:r>
        <w:rPr>
          <w:sz w:val="19"/>
        </w:rPr>
        <w:t>in</w:t>
      </w:r>
      <w:r>
        <w:rPr>
          <w:spacing w:val="-7"/>
          <w:sz w:val="19"/>
        </w:rPr>
        <w:t> </w:t>
      </w:r>
      <w:r>
        <w:rPr>
          <w:sz w:val="19"/>
        </w:rPr>
        <w:t>Hamlet’:</w:t>
      </w:r>
      <w:r>
        <w:rPr>
          <w:spacing w:val="-12"/>
          <w:sz w:val="19"/>
        </w:rPr>
        <w:t> </w:t>
      </w:r>
      <w:r>
        <w:rPr>
          <w:sz w:val="19"/>
        </w:rPr>
        <w:t>An</w:t>
      </w:r>
      <w:r>
        <w:rPr>
          <w:spacing w:val="-5"/>
          <w:sz w:val="19"/>
        </w:rPr>
        <w:t> </w:t>
      </w:r>
      <w:r>
        <w:rPr>
          <w:sz w:val="19"/>
        </w:rPr>
        <w:t>Interpersonal</w:t>
      </w:r>
      <w:r>
        <w:rPr>
          <w:spacing w:val="-8"/>
          <w:sz w:val="19"/>
        </w:rPr>
        <w:t> </w:t>
      </w:r>
      <w:r>
        <w:rPr>
          <w:sz w:val="19"/>
        </w:rPr>
        <w:t>View’, </w:t>
      </w:r>
      <w:r>
        <w:rPr>
          <w:i/>
          <w:sz w:val="19"/>
        </w:rPr>
        <w:t>Signs</w:t>
      </w:r>
      <w:r>
        <w:rPr>
          <w:i/>
          <w:spacing w:val="40"/>
          <w:sz w:val="19"/>
        </w:rPr>
        <w:t> </w:t>
      </w:r>
      <w:r>
        <w:rPr>
          <w:sz w:val="19"/>
        </w:rPr>
        <w:t>4,</w:t>
      </w:r>
      <w:r>
        <w:rPr>
          <w:spacing w:val="40"/>
          <w:sz w:val="19"/>
        </w:rPr>
        <w:t> </w:t>
      </w:r>
      <w:r>
        <w:rPr>
          <w:sz w:val="19"/>
        </w:rPr>
        <w:t>1978,</w:t>
      </w:r>
      <w:r>
        <w:rPr>
          <w:spacing w:val="40"/>
          <w:sz w:val="19"/>
        </w:rPr>
        <w:t> </w:t>
      </w:r>
      <w:r>
        <w:rPr>
          <w:sz w:val="19"/>
        </w:rPr>
        <w:t>pp303</w:t>
      </w:r>
    </w:p>
    <w:p>
      <w:pPr>
        <w:pStyle w:val="ListParagraph"/>
        <w:numPr>
          <w:ilvl w:val="0"/>
          <w:numId w:val="14"/>
        </w:numPr>
        <w:tabs>
          <w:tab w:pos="2157" w:val="left" w:leader="none"/>
        </w:tabs>
        <w:spacing w:line="240" w:lineRule="auto" w:before="57" w:after="0"/>
        <w:ind w:left="2157" w:right="0" w:hanging="312"/>
        <w:jc w:val="left"/>
        <w:rPr>
          <w:sz w:val="19"/>
        </w:rPr>
      </w:pPr>
      <w:r>
        <w:rPr>
          <w:sz w:val="19"/>
        </w:rPr>
        <w:t>Baker,</w:t>
      </w:r>
      <w:r>
        <w:rPr>
          <w:spacing w:val="29"/>
          <w:sz w:val="19"/>
        </w:rPr>
        <w:t> </w:t>
      </w:r>
      <w:r>
        <w:rPr>
          <w:sz w:val="19"/>
        </w:rPr>
        <w:t>W.</w:t>
      </w:r>
      <w:r>
        <w:rPr>
          <w:spacing w:val="32"/>
          <w:sz w:val="19"/>
        </w:rPr>
        <w:t> </w:t>
      </w:r>
      <w:r>
        <w:rPr>
          <w:sz w:val="19"/>
        </w:rPr>
        <w:t>Brodie’s</w:t>
      </w:r>
      <w:r>
        <w:rPr>
          <w:spacing w:val="31"/>
          <w:sz w:val="19"/>
        </w:rPr>
        <w:t> </w:t>
      </w:r>
      <w:r>
        <w:rPr>
          <w:sz w:val="19"/>
        </w:rPr>
        <w:t>notes</w:t>
      </w:r>
      <w:r>
        <w:rPr>
          <w:spacing w:val="32"/>
          <w:sz w:val="19"/>
        </w:rPr>
        <w:t> </w:t>
      </w:r>
      <w:r>
        <w:rPr>
          <w:sz w:val="19"/>
        </w:rPr>
        <w:t>ed.</w:t>
      </w:r>
      <w:r>
        <w:rPr>
          <w:spacing w:val="32"/>
          <w:sz w:val="19"/>
        </w:rPr>
        <w:t> </w:t>
      </w:r>
      <w:r>
        <w:rPr>
          <w:sz w:val="19"/>
        </w:rPr>
        <w:t>Graham</w:t>
      </w:r>
      <w:r>
        <w:rPr>
          <w:spacing w:val="31"/>
          <w:sz w:val="19"/>
        </w:rPr>
        <w:t> </w:t>
      </w:r>
      <w:r>
        <w:rPr>
          <w:spacing w:val="-2"/>
          <w:sz w:val="19"/>
        </w:rPr>
        <w:t>Handily</w:t>
      </w:r>
    </w:p>
    <w:p>
      <w:pPr>
        <w:pStyle w:val="ListParagraph"/>
        <w:numPr>
          <w:ilvl w:val="0"/>
          <w:numId w:val="14"/>
        </w:numPr>
        <w:tabs>
          <w:tab w:pos="2157" w:val="left" w:leader="none"/>
        </w:tabs>
        <w:spacing w:line="240" w:lineRule="auto" w:before="79" w:after="0"/>
        <w:ind w:left="2157" w:right="0" w:hanging="403"/>
        <w:jc w:val="left"/>
        <w:rPr>
          <w:sz w:val="19"/>
        </w:rPr>
      </w:pPr>
      <w:r>
        <w:rPr>
          <w:sz w:val="19"/>
        </w:rPr>
        <w:t>Colin,</w:t>
      </w:r>
      <w:r>
        <w:rPr>
          <w:spacing w:val="25"/>
          <w:sz w:val="19"/>
        </w:rPr>
        <w:t> </w:t>
      </w:r>
      <w:r>
        <w:rPr>
          <w:sz w:val="19"/>
        </w:rPr>
        <w:t>Philip</w:t>
      </w:r>
      <w:r>
        <w:rPr>
          <w:spacing w:val="28"/>
          <w:sz w:val="19"/>
        </w:rPr>
        <w:t> </w:t>
      </w:r>
      <w:r>
        <w:rPr>
          <w:sz w:val="19"/>
        </w:rPr>
        <w:t>C.</w:t>
      </w:r>
      <w:r>
        <w:rPr>
          <w:spacing w:val="26"/>
          <w:sz w:val="19"/>
        </w:rPr>
        <w:t> </w:t>
      </w:r>
      <w:r>
        <w:rPr>
          <w:sz w:val="19"/>
        </w:rPr>
        <w:t>Shakespeare</w:t>
      </w:r>
      <w:r>
        <w:rPr>
          <w:spacing w:val="27"/>
          <w:sz w:val="19"/>
        </w:rPr>
        <w:t> </w:t>
      </w:r>
      <w:r>
        <w:rPr>
          <w:sz w:val="19"/>
        </w:rPr>
        <w:t>and</w:t>
      </w:r>
      <w:r>
        <w:rPr>
          <w:spacing w:val="28"/>
          <w:sz w:val="19"/>
        </w:rPr>
        <w:t> </w:t>
      </w:r>
      <w:r>
        <w:rPr>
          <w:sz w:val="19"/>
        </w:rPr>
        <w:t>Feminist</w:t>
      </w:r>
      <w:r>
        <w:rPr>
          <w:spacing w:val="26"/>
          <w:sz w:val="19"/>
        </w:rPr>
        <w:t> </w:t>
      </w:r>
      <w:r>
        <w:rPr>
          <w:sz w:val="19"/>
        </w:rPr>
        <w:t>Criticism</w:t>
      </w:r>
      <w:r>
        <w:rPr>
          <w:spacing w:val="25"/>
          <w:sz w:val="19"/>
        </w:rPr>
        <w:t> </w:t>
      </w:r>
      <w:r>
        <w:rPr>
          <w:spacing w:val="-4"/>
          <w:sz w:val="19"/>
        </w:rPr>
        <w:t>1991</w:t>
      </w:r>
    </w:p>
    <w:p>
      <w:pPr>
        <w:pStyle w:val="ListParagraph"/>
        <w:spacing w:after="0" w:line="240"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17024">
                <wp:simplePos x="0" y="0"/>
                <wp:positionH relativeFrom="page">
                  <wp:posOffset>2057400</wp:posOffset>
                </wp:positionH>
                <wp:positionV relativeFrom="page">
                  <wp:posOffset>1788723</wp:posOffset>
                </wp:positionV>
                <wp:extent cx="3654425" cy="14033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3654425" cy="140335"/>
                        </a:xfrm>
                        <a:prstGeom prst="rect">
                          <a:avLst/>
                        </a:prstGeom>
                      </wps:spPr>
                      <wps:txbx>
                        <w:txbxContent>
                          <w:p>
                            <w:pPr>
                              <w:tabs>
                                <w:tab w:pos="5541" w:val="left" w:leader="none"/>
                              </w:tabs>
                              <w:spacing w:line="219" w:lineRule="exact" w:before="0"/>
                              <w:ind w:left="0" w:right="0" w:firstLine="0"/>
                              <w:jc w:val="left"/>
                              <w:rPr>
                                <w:rFonts w:ascii="Verdana" w:hAnsi="Verdana"/>
                                <w:sz w:val="18"/>
                              </w:rPr>
                            </w:pPr>
                            <w:r>
                              <w:rPr>
                                <w:rFonts w:ascii="Verdana" w:hAnsi="Verdana"/>
                                <w:sz w:val="18"/>
                              </w:rPr>
                              <w:t>Silence,</w:t>
                            </w:r>
                            <w:r>
                              <w:rPr>
                                <w:rFonts w:ascii="Verdana" w:hAnsi="Verdana"/>
                                <w:spacing w:val="2"/>
                                <w:sz w:val="18"/>
                              </w:rPr>
                              <w:t> </w:t>
                            </w:r>
                            <w:r>
                              <w:rPr>
                                <w:rFonts w:ascii="Verdana" w:hAnsi="Verdana"/>
                                <w:sz w:val="18"/>
                              </w:rPr>
                              <w:t>Speech,</w:t>
                            </w:r>
                            <w:r>
                              <w:rPr>
                                <w:rFonts w:ascii="Verdana" w:hAnsi="Verdana"/>
                                <w:spacing w:val="3"/>
                                <w:sz w:val="18"/>
                              </w:rPr>
                              <w:t> </w:t>
                            </w:r>
                            <w:r>
                              <w:rPr>
                                <w:rFonts w:ascii="Verdana" w:hAnsi="Verdana"/>
                                <w:sz w:val="18"/>
                              </w:rPr>
                              <w:t>and</w:t>
                            </w:r>
                            <w:r>
                              <w:rPr>
                                <w:rFonts w:ascii="Verdana" w:hAnsi="Verdana"/>
                                <w:spacing w:val="4"/>
                                <w:sz w:val="18"/>
                              </w:rPr>
                              <w:t> </w:t>
                            </w:r>
                            <w:r>
                              <w:rPr>
                                <w:rFonts w:ascii="Verdana" w:hAnsi="Verdana"/>
                                <w:sz w:val="18"/>
                              </w:rPr>
                              <w:t>Revenge:</w:t>
                            </w:r>
                            <w:r>
                              <w:rPr>
                                <w:rFonts w:ascii="Verdana" w:hAnsi="Verdana"/>
                                <w:spacing w:val="4"/>
                                <w:sz w:val="18"/>
                              </w:rPr>
                              <w:t> </w:t>
                            </w:r>
                            <w:r>
                              <w:rPr>
                                <w:rFonts w:ascii="Verdana" w:hAnsi="Verdana"/>
                                <w:sz w:val="18"/>
                              </w:rPr>
                              <w:t>Women’s</w:t>
                            </w:r>
                            <w:r>
                              <w:rPr>
                                <w:rFonts w:ascii="Verdana" w:hAnsi="Verdana"/>
                                <w:spacing w:val="4"/>
                                <w:sz w:val="18"/>
                              </w:rPr>
                              <w:t> </w:t>
                            </w:r>
                            <w:r>
                              <w:rPr>
                                <w:rFonts w:ascii="Verdana" w:hAnsi="Verdana"/>
                                <w:sz w:val="18"/>
                              </w:rPr>
                              <w:t>Responses</w:t>
                            </w:r>
                            <w:r>
                              <w:rPr>
                                <w:rFonts w:ascii="Verdana" w:hAnsi="Verdana"/>
                                <w:spacing w:val="3"/>
                                <w:sz w:val="18"/>
                              </w:rPr>
                              <w:t> </w:t>
                            </w:r>
                            <w:r>
                              <w:rPr>
                                <w:rFonts w:ascii="Verdana" w:hAnsi="Verdana"/>
                                <w:spacing w:val="-2"/>
                                <w:sz w:val="18"/>
                              </w:rPr>
                              <w:t>to...</w:t>
                            </w:r>
                            <w:r>
                              <w:rPr>
                                <w:rFonts w:ascii="Verdana" w:hAnsi="Verdana"/>
                                <w:sz w:val="18"/>
                              </w:rPr>
                              <w:tab/>
                            </w:r>
                            <w:r>
                              <w:rPr>
                                <w:rFonts w:ascii="Verdana" w:hAnsi="Verdana"/>
                                <w:spacing w:val="-14"/>
                                <w:sz w:val="18"/>
                              </w:rPr>
                              <w:t>63</w:t>
                            </w:r>
                          </w:p>
                        </w:txbxContent>
                      </wps:txbx>
                      <wps:bodyPr wrap="square" lIns="0" tIns="0" rIns="0" bIns="0" rtlCol="0">
                        <a:noAutofit/>
                      </wps:bodyPr>
                    </wps:wsp>
                  </a:graphicData>
                </a:graphic>
              </wp:anchor>
            </w:drawing>
          </mc:Choice>
          <mc:Fallback>
            <w:pict>
              <v:shape style="position:absolute;margin-left:162pt;margin-top:140.844391pt;width:287.75pt;height:11.05pt;mso-position-horizontal-relative:page;mso-position-vertical-relative:page;z-index:-20499456" type="#_x0000_t202" id="docshape230" filled="false" stroked="false">
                <v:textbox inset="0,0,0,0">
                  <w:txbxContent>
                    <w:p>
                      <w:pPr>
                        <w:tabs>
                          <w:tab w:pos="5541" w:val="left" w:leader="none"/>
                        </w:tabs>
                        <w:spacing w:line="219" w:lineRule="exact" w:before="0"/>
                        <w:ind w:left="0" w:right="0" w:firstLine="0"/>
                        <w:jc w:val="left"/>
                        <w:rPr>
                          <w:rFonts w:ascii="Verdana" w:hAnsi="Verdana"/>
                          <w:sz w:val="18"/>
                        </w:rPr>
                      </w:pPr>
                      <w:r>
                        <w:rPr>
                          <w:rFonts w:ascii="Verdana" w:hAnsi="Verdana"/>
                          <w:sz w:val="18"/>
                        </w:rPr>
                        <w:t>Silence,</w:t>
                      </w:r>
                      <w:r>
                        <w:rPr>
                          <w:rFonts w:ascii="Verdana" w:hAnsi="Verdana"/>
                          <w:spacing w:val="2"/>
                          <w:sz w:val="18"/>
                        </w:rPr>
                        <w:t> </w:t>
                      </w:r>
                      <w:r>
                        <w:rPr>
                          <w:rFonts w:ascii="Verdana" w:hAnsi="Verdana"/>
                          <w:sz w:val="18"/>
                        </w:rPr>
                        <w:t>Speech,</w:t>
                      </w:r>
                      <w:r>
                        <w:rPr>
                          <w:rFonts w:ascii="Verdana" w:hAnsi="Verdana"/>
                          <w:spacing w:val="3"/>
                          <w:sz w:val="18"/>
                        </w:rPr>
                        <w:t> </w:t>
                      </w:r>
                      <w:r>
                        <w:rPr>
                          <w:rFonts w:ascii="Verdana" w:hAnsi="Verdana"/>
                          <w:sz w:val="18"/>
                        </w:rPr>
                        <w:t>and</w:t>
                      </w:r>
                      <w:r>
                        <w:rPr>
                          <w:rFonts w:ascii="Verdana" w:hAnsi="Verdana"/>
                          <w:spacing w:val="4"/>
                          <w:sz w:val="18"/>
                        </w:rPr>
                        <w:t> </w:t>
                      </w:r>
                      <w:r>
                        <w:rPr>
                          <w:rFonts w:ascii="Verdana" w:hAnsi="Verdana"/>
                          <w:sz w:val="18"/>
                        </w:rPr>
                        <w:t>Revenge:</w:t>
                      </w:r>
                      <w:r>
                        <w:rPr>
                          <w:rFonts w:ascii="Verdana" w:hAnsi="Verdana"/>
                          <w:spacing w:val="4"/>
                          <w:sz w:val="18"/>
                        </w:rPr>
                        <w:t> </w:t>
                      </w:r>
                      <w:r>
                        <w:rPr>
                          <w:rFonts w:ascii="Verdana" w:hAnsi="Verdana"/>
                          <w:sz w:val="18"/>
                        </w:rPr>
                        <w:t>Women’s</w:t>
                      </w:r>
                      <w:r>
                        <w:rPr>
                          <w:rFonts w:ascii="Verdana" w:hAnsi="Verdana"/>
                          <w:spacing w:val="4"/>
                          <w:sz w:val="18"/>
                        </w:rPr>
                        <w:t> </w:t>
                      </w:r>
                      <w:r>
                        <w:rPr>
                          <w:rFonts w:ascii="Verdana" w:hAnsi="Verdana"/>
                          <w:sz w:val="18"/>
                        </w:rPr>
                        <w:t>Responses</w:t>
                      </w:r>
                      <w:r>
                        <w:rPr>
                          <w:rFonts w:ascii="Verdana" w:hAnsi="Verdana"/>
                          <w:spacing w:val="3"/>
                          <w:sz w:val="18"/>
                        </w:rPr>
                        <w:t> </w:t>
                      </w:r>
                      <w:r>
                        <w:rPr>
                          <w:rFonts w:ascii="Verdana" w:hAnsi="Verdana"/>
                          <w:spacing w:val="-2"/>
                          <w:sz w:val="18"/>
                        </w:rPr>
                        <w:t>to...</w:t>
                      </w:r>
                      <w:r>
                        <w:rPr>
                          <w:rFonts w:ascii="Verdana" w:hAnsi="Verdana"/>
                          <w:sz w:val="18"/>
                        </w:rPr>
                        <w:tab/>
                      </w:r>
                      <w:r>
                        <w:rPr>
                          <w:rFonts w:ascii="Verdana" w:hAnsi="Verdana"/>
                          <w:spacing w:val="-14"/>
                          <w:sz w:val="18"/>
                        </w:rPr>
                        <w:t>63</w:t>
                      </w:r>
                    </w:p>
                  </w:txbxContent>
                </v:textbox>
                <w10:wrap type="none"/>
              </v:shape>
            </w:pict>
          </mc:Fallback>
        </mc:AlternateContent>
      </w:r>
    </w:p>
    <w:p>
      <w:pPr>
        <w:pStyle w:val="BodyText"/>
        <w:spacing w:before="216"/>
        <w:ind w:left="0"/>
      </w:pPr>
    </w:p>
    <w:p>
      <w:pPr>
        <w:spacing w:line="240" w:lineRule="auto"/>
        <w:ind w:left="1159" w:right="0" w:firstLine="0"/>
        <w:rPr>
          <w:sz w:val="20"/>
        </w:rPr>
      </w:pPr>
      <w:r>
        <w:rPr>
          <w:sz w:val="20"/>
        </w:rPr>
        <mc:AlternateContent>
          <mc:Choice Requires="wps">
            <w:drawing>
              <wp:inline distT="0" distB="0" distL="0" distR="0">
                <wp:extent cx="4043679" cy="699770"/>
                <wp:effectExtent l="0" t="0" r="0" b="0"/>
                <wp:docPr id="235" name="Group 235"/>
                <wp:cNvGraphicFramePr>
                  <a:graphicFrameLocks/>
                </wp:cNvGraphicFramePr>
                <a:graphic>
                  <a:graphicData uri="http://schemas.microsoft.com/office/word/2010/wordprocessingGroup">
                    <wpg:wgp>
                      <wpg:cNvPr id="235" name="Group 235"/>
                      <wpg:cNvGrpSpPr/>
                      <wpg:grpSpPr>
                        <a:xfrm>
                          <a:off x="0" y="0"/>
                          <a:ext cx="4043679" cy="699770"/>
                          <a:chExt cx="4043679" cy="699770"/>
                        </a:xfrm>
                      </wpg:grpSpPr>
                      <wps:wsp>
                        <wps:cNvPr id="236" name="Graphic 236"/>
                        <wps:cNvSpPr/>
                        <wps:spPr>
                          <a:xfrm>
                            <a:off x="0" y="0"/>
                            <a:ext cx="4043679" cy="699770"/>
                          </a:xfrm>
                          <a:custGeom>
                            <a:avLst/>
                            <a:gdLst/>
                            <a:ahLst/>
                            <a:cxnLst/>
                            <a:rect l="l" t="t" r="r" b="b"/>
                            <a:pathLst>
                              <a:path w="4043679" h="699770">
                                <a:moveTo>
                                  <a:pt x="4043172" y="699516"/>
                                </a:moveTo>
                                <a:lnTo>
                                  <a:pt x="0" y="699516"/>
                                </a:lnTo>
                                <a:lnTo>
                                  <a:pt x="0" y="0"/>
                                </a:lnTo>
                                <a:lnTo>
                                  <a:pt x="4043172" y="0"/>
                                </a:lnTo>
                                <a:lnTo>
                                  <a:pt x="4043172"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231" coordorigin="0,0" coordsize="6368,1102">
                <v:rect style="position:absolute;left:0;top:0;width:6368;height:1102" id="docshape232"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52864">
                <wp:simplePos x="0" y="0"/>
                <wp:positionH relativeFrom="page">
                  <wp:posOffset>3547871</wp:posOffset>
                </wp:positionH>
                <wp:positionV relativeFrom="paragraph">
                  <wp:posOffset>272923</wp:posOffset>
                </wp:positionV>
                <wp:extent cx="727075" cy="655320"/>
                <wp:effectExtent l="0" t="0" r="0" b="0"/>
                <wp:wrapTopAndBottom/>
                <wp:docPr id="237" name="Group 237"/>
                <wp:cNvGraphicFramePr>
                  <a:graphicFrameLocks/>
                </wp:cNvGraphicFramePr>
                <a:graphic>
                  <a:graphicData uri="http://schemas.microsoft.com/office/word/2010/wordprocessingGroup">
                    <wpg:wgp>
                      <wpg:cNvPr id="237" name="Group 237"/>
                      <wpg:cNvGrpSpPr/>
                      <wpg:grpSpPr>
                        <a:xfrm>
                          <a:off x="0" y="0"/>
                          <a:ext cx="727075" cy="655320"/>
                          <a:chExt cx="727075" cy="655320"/>
                        </a:xfrm>
                      </wpg:grpSpPr>
                      <pic:pic>
                        <pic:nvPicPr>
                          <pic:cNvPr id="238" name="Image 238"/>
                          <pic:cNvPicPr/>
                        </pic:nvPicPr>
                        <pic:blipFill>
                          <a:blip r:embed="rId82" cstate="print"/>
                          <a:stretch>
                            <a:fillRect/>
                          </a:stretch>
                        </pic:blipFill>
                        <pic:spPr>
                          <a:xfrm>
                            <a:off x="0" y="0"/>
                            <a:ext cx="726948" cy="655320"/>
                          </a:xfrm>
                          <a:prstGeom prst="rect">
                            <a:avLst/>
                          </a:prstGeom>
                        </pic:spPr>
                      </pic:pic>
                      <wps:wsp>
                        <wps:cNvPr id="239" name="Textbox 239"/>
                        <wps:cNvSpPr txBox="1"/>
                        <wps:spPr>
                          <a:xfrm>
                            <a:off x="0" y="0"/>
                            <a:ext cx="727075" cy="655320"/>
                          </a:xfrm>
                          <a:prstGeom prst="rect">
                            <a:avLst/>
                          </a:prstGeom>
                        </wps:spPr>
                        <wps:txbx>
                          <w:txbxContent>
                            <w:p>
                              <w:pPr>
                                <w:spacing w:before="355"/>
                                <w:ind w:left="102" w:right="169" w:firstLine="0"/>
                                <w:jc w:val="center"/>
                                <w:rPr>
                                  <w:rFonts w:ascii="Tahoma"/>
                                  <w:b/>
                                  <w:sz w:val="36"/>
                                </w:rPr>
                              </w:pPr>
                              <w:r>
                                <w:rPr>
                                  <w:rFonts w:ascii="Tahoma"/>
                                  <w:b/>
                                  <w:spacing w:val="-10"/>
                                  <w:w w:val="95"/>
                                  <w:sz w:val="36"/>
                                </w:rPr>
                                <w:t>6</w:t>
                              </w:r>
                            </w:p>
                          </w:txbxContent>
                        </wps:txbx>
                        <wps:bodyPr wrap="square" lIns="0" tIns="0" rIns="0" bIns="0" rtlCol="0">
                          <a:noAutofit/>
                        </wps:bodyPr>
                      </wps:wsp>
                    </wpg:wgp>
                  </a:graphicData>
                </a:graphic>
              </wp:anchor>
            </w:drawing>
          </mc:Choice>
          <mc:Fallback>
            <w:pict>
              <v:group style="position:absolute;margin-left:279.359985pt;margin-top:21.490002pt;width:57.25pt;height:51.6pt;mso-position-horizontal-relative:page;mso-position-vertical-relative:paragraph;z-index:-15663616;mso-wrap-distance-left:0;mso-wrap-distance-right:0" id="docshapegroup233" coordorigin="5587,430" coordsize="1145,1032">
                <v:shape style="position:absolute;left:5587;top:429;width:1145;height:1032" type="#_x0000_t75" id="docshape234" stroked="false">
                  <v:imagedata r:id="rId82" o:title=""/>
                </v:shape>
                <v:shape style="position:absolute;left:5587;top:429;width:1145;height:1032" type="#_x0000_t202" id="docshape235" filled="false" stroked="false">
                  <v:textbox inset="0,0,0,0">
                    <w:txbxContent>
                      <w:p>
                        <w:pPr>
                          <w:spacing w:before="355"/>
                          <w:ind w:left="102" w:right="169" w:firstLine="0"/>
                          <w:jc w:val="center"/>
                          <w:rPr>
                            <w:rFonts w:ascii="Tahoma"/>
                            <w:b/>
                            <w:sz w:val="36"/>
                          </w:rPr>
                        </w:pPr>
                        <w:r>
                          <w:rPr>
                            <w:rFonts w:ascii="Tahoma"/>
                            <w:b/>
                            <w:spacing w:val="-10"/>
                            <w:w w:val="95"/>
                            <w:sz w:val="36"/>
                          </w:rPr>
                          <w:t>6</w:t>
                        </w:r>
                      </w:p>
                    </w:txbxContent>
                  </v:textbox>
                  <w10:wrap type="none"/>
                </v:shape>
                <w10:wrap type="topAndBottom"/>
              </v:group>
            </w:pict>
          </mc:Fallback>
        </mc:AlternateContent>
      </w:r>
    </w:p>
    <w:p>
      <w:pPr>
        <w:pStyle w:val="Heading1"/>
        <w:spacing w:line="211" w:lineRule="auto" w:before="8"/>
        <w:ind w:left="1612" w:right="1621" w:firstLine="3"/>
      </w:pPr>
      <w:r>
        <w:rPr/>
        <w:t>Silence, Speech, and Revenge: </w:t>
      </w:r>
      <w:r>
        <w:rPr>
          <w:spacing w:val="-4"/>
        </w:rPr>
        <w:t>Women’s</w:t>
      </w:r>
      <w:r>
        <w:rPr>
          <w:spacing w:val="-20"/>
        </w:rPr>
        <w:t> </w:t>
      </w:r>
      <w:r>
        <w:rPr>
          <w:spacing w:val="-4"/>
        </w:rPr>
        <w:t>Responses</w:t>
      </w:r>
      <w:r>
        <w:rPr>
          <w:spacing w:val="-19"/>
        </w:rPr>
        <w:t> </w:t>
      </w:r>
      <w:r>
        <w:rPr>
          <w:spacing w:val="-4"/>
        </w:rPr>
        <w:t>to</w:t>
      </w:r>
      <w:r>
        <w:rPr>
          <w:spacing w:val="-20"/>
        </w:rPr>
        <w:t> </w:t>
      </w:r>
      <w:r>
        <w:rPr>
          <w:spacing w:val="-4"/>
        </w:rPr>
        <w:t>Violence</w:t>
      </w:r>
      <w:r>
        <w:rPr>
          <w:spacing w:val="-19"/>
        </w:rPr>
        <w:t> </w:t>
      </w:r>
      <w:r>
        <w:rPr>
          <w:spacing w:val="-4"/>
        </w:rPr>
        <w:t>in</w:t>
      </w:r>
    </w:p>
    <w:p>
      <w:pPr>
        <w:tabs>
          <w:tab w:pos="1312" w:val="left" w:leader="none"/>
          <w:tab w:pos="5759" w:val="left" w:leader="none"/>
        </w:tabs>
        <w:spacing w:line="347" w:lineRule="exact" w:before="0"/>
        <w:ind w:left="0" w:right="0" w:firstLine="0"/>
        <w:jc w:val="center"/>
        <w:rPr>
          <w:rFonts w:ascii="Tahoma" w:hAnsi="Tahoma"/>
          <w:b/>
          <w:sz w:val="32"/>
        </w:rPr>
      </w:pPr>
      <w:r>
        <w:rPr>
          <w:sz w:val="32"/>
          <w:u w:val="single"/>
        </w:rPr>
        <w:tab/>
      </w:r>
      <w:r>
        <w:rPr>
          <w:rFonts w:ascii="Tahoma" w:hAnsi="Tahoma"/>
          <w:b/>
          <w:spacing w:val="-6"/>
          <w:sz w:val="32"/>
          <w:u w:val="single"/>
        </w:rPr>
        <w:t>Shakespeare’s</w:t>
      </w:r>
      <w:r>
        <w:rPr>
          <w:rFonts w:ascii="Tahoma" w:hAnsi="Tahoma"/>
          <w:b/>
          <w:spacing w:val="-1"/>
          <w:sz w:val="32"/>
          <w:u w:val="single"/>
        </w:rPr>
        <w:t> </w:t>
      </w:r>
      <w:r>
        <w:rPr>
          <w:rFonts w:ascii="Tahoma" w:hAnsi="Tahoma"/>
          <w:b/>
          <w:spacing w:val="-4"/>
          <w:sz w:val="32"/>
          <w:u w:val="single"/>
        </w:rPr>
        <w:t>Plays</w:t>
      </w:r>
      <w:r>
        <w:rPr>
          <w:rFonts w:ascii="Tahoma" w:hAnsi="Tahoma"/>
          <w:b/>
          <w:sz w:val="32"/>
          <w:u w:val="single"/>
        </w:rPr>
        <w:tab/>
      </w:r>
    </w:p>
    <w:p>
      <w:pPr>
        <w:pStyle w:val="BodyText"/>
        <w:spacing w:before="11"/>
        <w:ind w:left="0"/>
        <w:rPr>
          <w:rFonts w:ascii="Tahoma"/>
          <w:b/>
          <w:sz w:val="5"/>
        </w:rPr>
      </w:pPr>
      <w:r>
        <w:rPr>
          <w:rFonts w:ascii="Tahoma"/>
          <w:b/>
          <w:sz w:val="5"/>
        </w:rPr>
        <mc:AlternateContent>
          <mc:Choice Requires="wps">
            <w:drawing>
              <wp:anchor distT="0" distB="0" distL="0" distR="0" allowOverlap="1" layoutInCell="1" locked="0" behindDoc="1" simplePos="0" relativeHeight="487653376">
                <wp:simplePos x="0" y="0"/>
                <wp:positionH relativeFrom="page">
                  <wp:posOffset>2057400</wp:posOffset>
                </wp:positionH>
                <wp:positionV relativeFrom="paragraph">
                  <wp:posOffset>60559</wp:posOffset>
                </wp:positionV>
                <wp:extent cx="3657600" cy="7620"/>
                <wp:effectExtent l="0" t="0" r="0" b="0"/>
                <wp:wrapTopAndBottom/>
                <wp:docPr id="240" name="Graphic 240"/>
                <wp:cNvGraphicFramePr>
                  <a:graphicFrameLocks/>
                </wp:cNvGraphicFramePr>
                <a:graphic>
                  <a:graphicData uri="http://schemas.microsoft.com/office/word/2010/wordprocessingShape">
                    <wps:wsp>
                      <wps:cNvPr id="240" name="Graphic 240"/>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68484pt;width:288.000009pt;height:.599991pt;mso-position-horizontal-relative:page;mso-position-vertical-relative:paragraph;z-index:-15663104;mso-wrap-distance-left:0;mso-wrap-distance-right:0" id="docshape236"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41"/>
        <w:jc w:val="right"/>
        <w:rPr>
          <w:rFonts w:ascii="Times New Roman"/>
        </w:rPr>
      </w:pPr>
      <w:r>
        <w:rPr>
          <w:rFonts w:ascii="Times New Roman"/>
        </w:rPr>
        <w:t>Dr.</w:t>
      </w:r>
      <w:r>
        <w:rPr>
          <w:rFonts w:ascii="Times New Roman"/>
          <w:spacing w:val="40"/>
        </w:rPr>
        <w:t> </w:t>
      </w:r>
      <w:r>
        <w:rPr>
          <w:rFonts w:ascii="Times New Roman"/>
        </w:rPr>
        <w:t>Nabarun</w:t>
      </w:r>
      <w:r>
        <w:rPr>
          <w:rFonts w:ascii="Times New Roman"/>
          <w:spacing w:val="42"/>
        </w:rPr>
        <w:t> </w:t>
      </w:r>
      <w:r>
        <w:rPr>
          <w:rFonts w:ascii="Times New Roman"/>
          <w:spacing w:val="-4"/>
        </w:rPr>
        <w:t>Ghosh</w:t>
      </w:r>
    </w:p>
    <w:p>
      <w:pPr>
        <w:spacing w:before="15"/>
        <w:ind w:left="0" w:right="1438" w:firstLine="0"/>
        <w:jc w:val="right"/>
        <w:rPr>
          <w:i/>
          <w:sz w:val="19"/>
        </w:rPr>
      </w:pPr>
      <w:r>
        <w:rPr>
          <w:i/>
          <w:sz w:val="19"/>
        </w:rPr>
        <w:t>Assistant</w:t>
      </w:r>
      <w:r>
        <w:rPr>
          <w:i/>
          <w:spacing w:val="53"/>
          <w:sz w:val="19"/>
        </w:rPr>
        <w:t> </w:t>
      </w:r>
      <w:r>
        <w:rPr>
          <w:i/>
          <w:sz w:val="19"/>
        </w:rPr>
        <w:t>Professor,</w:t>
      </w:r>
      <w:r>
        <w:rPr>
          <w:i/>
          <w:spacing w:val="56"/>
          <w:sz w:val="19"/>
        </w:rPr>
        <w:t> </w:t>
      </w:r>
      <w:r>
        <w:rPr>
          <w:i/>
          <w:sz w:val="19"/>
        </w:rPr>
        <w:t>Department</w:t>
      </w:r>
      <w:r>
        <w:rPr>
          <w:i/>
          <w:spacing w:val="56"/>
          <w:sz w:val="19"/>
        </w:rPr>
        <w:t> </w:t>
      </w:r>
      <w:r>
        <w:rPr>
          <w:i/>
          <w:sz w:val="19"/>
        </w:rPr>
        <w:t>of</w:t>
      </w:r>
      <w:r>
        <w:rPr>
          <w:i/>
          <w:spacing w:val="53"/>
          <w:sz w:val="19"/>
        </w:rPr>
        <w:t> </w:t>
      </w:r>
      <w:r>
        <w:rPr>
          <w:i/>
          <w:spacing w:val="-2"/>
          <w:sz w:val="19"/>
        </w:rPr>
        <w:t>English,</w:t>
      </w:r>
    </w:p>
    <w:p>
      <w:pPr>
        <w:spacing w:before="10"/>
        <w:ind w:left="0" w:right="1436" w:firstLine="0"/>
        <w:jc w:val="right"/>
        <w:rPr>
          <w:i/>
          <w:sz w:val="19"/>
        </w:rPr>
      </w:pPr>
      <w:r>
        <w:rPr>
          <w:i/>
          <w:sz w:val="19"/>
        </w:rPr>
        <w:t>Jagjiwan</w:t>
      </w:r>
      <w:r>
        <w:rPr>
          <w:i/>
          <w:spacing w:val="76"/>
          <w:sz w:val="19"/>
        </w:rPr>
        <w:t> </w:t>
      </w:r>
      <w:r>
        <w:rPr>
          <w:i/>
          <w:sz w:val="19"/>
        </w:rPr>
        <w:t>College,</w:t>
      </w:r>
      <w:r>
        <w:rPr>
          <w:i/>
          <w:spacing w:val="75"/>
          <w:sz w:val="19"/>
        </w:rPr>
        <w:t> </w:t>
      </w:r>
      <w:r>
        <w:rPr>
          <w:i/>
          <w:spacing w:val="-5"/>
          <w:sz w:val="19"/>
        </w:rPr>
        <w:t>Ara</w:t>
      </w:r>
    </w:p>
    <w:p>
      <w:pPr>
        <w:pStyle w:val="BodyText"/>
        <w:spacing w:before="160"/>
        <w:ind w:left="0"/>
        <w:rPr>
          <w:i/>
          <w:sz w:val="19"/>
        </w:rPr>
      </w:pPr>
    </w:p>
    <w:p>
      <w:pPr>
        <w:pStyle w:val="Heading3"/>
        <w:spacing w:before="1"/>
      </w:pPr>
      <w:r>
        <w:rPr>
          <w:spacing w:val="-2"/>
        </w:rPr>
        <w:t>ABSTRACT</w:t>
      </w:r>
    </w:p>
    <w:p>
      <w:pPr>
        <w:pStyle w:val="BodyText"/>
        <w:spacing w:line="264" w:lineRule="auto" w:before="82"/>
        <w:ind w:right="1438" w:firstLine="432"/>
        <w:jc w:val="both"/>
      </w:pPr>
      <w:r>
        <w:rPr>
          <w:spacing w:val="-2"/>
        </w:rPr>
        <w:t>This</w:t>
      </w:r>
      <w:r>
        <w:rPr>
          <w:spacing w:val="-8"/>
        </w:rPr>
        <w:t> </w:t>
      </w:r>
      <w:r>
        <w:rPr>
          <w:spacing w:val="-2"/>
        </w:rPr>
        <w:t>paper</w:t>
      </w:r>
      <w:r>
        <w:rPr>
          <w:spacing w:val="-7"/>
        </w:rPr>
        <w:t> </w:t>
      </w:r>
      <w:r>
        <w:rPr>
          <w:spacing w:val="-2"/>
        </w:rPr>
        <w:t>examines</w:t>
      </w:r>
      <w:r>
        <w:rPr>
          <w:spacing w:val="-7"/>
        </w:rPr>
        <w:t> </w:t>
      </w:r>
      <w:r>
        <w:rPr>
          <w:spacing w:val="-2"/>
        </w:rPr>
        <w:t>how</w:t>
      </w:r>
      <w:r>
        <w:rPr>
          <w:spacing w:val="-11"/>
        </w:rPr>
        <w:t> </w:t>
      </w:r>
      <w:r>
        <w:rPr>
          <w:spacing w:val="-2"/>
        </w:rPr>
        <w:t>women</w:t>
      </w:r>
      <w:r>
        <w:rPr>
          <w:spacing w:val="-9"/>
        </w:rPr>
        <w:t> </w:t>
      </w:r>
      <w:r>
        <w:rPr>
          <w:spacing w:val="-2"/>
        </w:rPr>
        <w:t>in</w:t>
      </w:r>
      <w:r>
        <w:rPr>
          <w:spacing w:val="-9"/>
        </w:rPr>
        <w:t> </w:t>
      </w:r>
      <w:r>
        <w:rPr>
          <w:spacing w:val="-2"/>
        </w:rPr>
        <w:t>Shakespearean</w:t>
      </w:r>
      <w:r>
        <w:rPr>
          <w:spacing w:val="-9"/>
        </w:rPr>
        <w:t> </w:t>
      </w:r>
      <w:r>
        <w:rPr>
          <w:spacing w:val="-2"/>
        </w:rPr>
        <w:t>tragedy</w:t>
      </w:r>
      <w:r>
        <w:rPr>
          <w:spacing w:val="-11"/>
        </w:rPr>
        <w:t> </w:t>
      </w:r>
      <w:r>
        <w:rPr>
          <w:spacing w:val="-2"/>
        </w:rPr>
        <w:t>respond </w:t>
      </w:r>
      <w:r>
        <w:rPr/>
        <w:t>to gendered violence through the interrelated modes of silence, speech, and symbolic revenge. Focusing on </w:t>
      </w:r>
      <w:r>
        <w:rPr>
          <w:i/>
        </w:rPr>
        <w:t>Titus Andronicus</w:t>
      </w:r>
      <w:r>
        <w:rPr/>
        <w:t>, </w:t>
      </w:r>
      <w:r>
        <w:rPr>
          <w:i/>
        </w:rPr>
        <w:t>Hamlet</w:t>
      </w:r>
      <w:r>
        <w:rPr/>
        <w:t>, </w:t>
      </w:r>
      <w:r>
        <w:rPr>
          <w:i/>
        </w:rPr>
        <w:t>Othello</w:t>
      </w:r>
      <w:r>
        <w:rPr/>
        <w:t>, and </w:t>
      </w:r>
      <w:r>
        <w:rPr>
          <w:i/>
        </w:rPr>
        <w:t>King Lear</w:t>
      </w:r>
      <w:r>
        <w:rPr/>
        <w:t>, the study challenges traditional readings that position female characters as passive victims, arguing instead that Shakespeare constructs a complex spectrum of agency that operates within and against patriarchal constraints. Through close textual analysis informed by feminist theory, performativity, and trauma studies, the paper demonstrates that silence is not merely the absence of voice but can function as testimony, refusal, and resistance. Lavinia’s mutilated body becomes a site of inscription that transforms enforced silence into accusation, while Cordelia’s refusal to speak exposes the performative demands</w:t>
      </w:r>
      <w:r>
        <w:rPr>
          <w:spacing w:val="40"/>
        </w:rPr>
        <w:t> </w:t>
      </w:r>
      <w:r>
        <w:rPr/>
        <w:t>of patriarchal</w:t>
      </w:r>
      <w:r>
        <w:rPr>
          <w:spacing w:val="40"/>
        </w:rPr>
        <w:t> </w:t>
      </w:r>
      <w:r>
        <w:rPr/>
        <w:t>authority.</w:t>
      </w:r>
    </w:p>
    <w:p>
      <w:pPr>
        <w:pStyle w:val="BodyText"/>
        <w:spacing w:line="264" w:lineRule="auto" w:before="47"/>
        <w:ind w:right="1440" w:firstLine="432"/>
        <w:jc w:val="both"/>
      </w:pPr>
      <w:r>
        <w:rPr/>
        <w:t>At the</w:t>
      </w:r>
      <w:r>
        <w:rPr>
          <w:spacing w:val="-1"/>
        </w:rPr>
        <w:t> </w:t>
      </w:r>
      <w:r>
        <w:rPr/>
        <w:t>same time,</w:t>
      </w:r>
      <w:r>
        <w:rPr>
          <w:spacing w:val="-1"/>
        </w:rPr>
        <w:t> </w:t>
      </w:r>
      <w:r>
        <w:rPr/>
        <w:t>speech</w:t>
      </w:r>
      <w:r>
        <w:rPr>
          <w:spacing w:val="-1"/>
        </w:rPr>
        <w:t> </w:t>
      </w:r>
      <w:r>
        <w:rPr/>
        <w:t>emerges</w:t>
      </w:r>
      <w:r>
        <w:rPr>
          <w:spacing w:val="-1"/>
        </w:rPr>
        <w:t> </w:t>
      </w:r>
      <w:r>
        <w:rPr/>
        <w:t>as a</w:t>
      </w:r>
      <w:r>
        <w:rPr>
          <w:spacing w:val="-1"/>
        </w:rPr>
        <w:t> </w:t>
      </w:r>
      <w:r>
        <w:rPr/>
        <w:t>precarious form</w:t>
      </w:r>
      <w:r>
        <w:rPr>
          <w:spacing w:val="-3"/>
        </w:rPr>
        <w:t> </w:t>
      </w:r>
      <w:r>
        <w:rPr/>
        <w:t>of agency. Desdemona’s articulate defense fails to protect her, revealing the limits of female expression within a system structured by suspicion, whereas Emilia’s</w:t>
      </w:r>
      <w:r>
        <w:rPr>
          <w:spacing w:val="-3"/>
        </w:rPr>
        <w:t> </w:t>
      </w:r>
      <w:r>
        <w:rPr/>
        <w:t>bold</w:t>
      </w:r>
      <w:r>
        <w:rPr>
          <w:spacing w:val="-1"/>
        </w:rPr>
        <w:t> </w:t>
      </w:r>
      <w:r>
        <w:rPr/>
        <w:t>denunciation</w:t>
      </w:r>
      <w:r>
        <w:rPr>
          <w:spacing w:val="-5"/>
        </w:rPr>
        <w:t> </w:t>
      </w:r>
      <w:r>
        <w:rPr/>
        <w:t>of</w:t>
      </w:r>
      <w:r>
        <w:rPr>
          <w:spacing w:val="-6"/>
        </w:rPr>
        <w:t> </w:t>
      </w:r>
      <w:r>
        <w:rPr/>
        <w:t>injustice</w:t>
      </w:r>
      <w:r>
        <w:rPr>
          <w:spacing w:val="-2"/>
        </w:rPr>
        <w:t> </w:t>
      </w:r>
      <w:r>
        <w:rPr/>
        <w:t>disrupts</w:t>
      </w:r>
      <w:r>
        <w:rPr>
          <w:spacing w:val="-5"/>
        </w:rPr>
        <w:t> </w:t>
      </w:r>
      <w:r>
        <w:rPr/>
        <w:t>dominant</w:t>
      </w:r>
      <w:r>
        <w:rPr>
          <w:spacing w:val="-3"/>
        </w:rPr>
        <w:t> </w:t>
      </w:r>
      <w:r>
        <w:rPr/>
        <w:t>narratives</w:t>
      </w:r>
      <w:r>
        <w:rPr>
          <w:spacing w:val="-3"/>
        </w:rPr>
        <w:t> </w:t>
      </w:r>
      <w:r>
        <w:rPr/>
        <w:t>but leads to her death. Ophelia’s madness, characterized by fragmented songs</w:t>
      </w:r>
      <w:r>
        <w:rPr>
          <w:spacing w:val="61"/>
        </w:rPr>
        <w:t> </w:t>
      </w:r>
      <w:r>
        <w:rPr/>
        <w:t>and</w:t>
      </w:r>
      <w:r>
        <w:rPr>
          <w:spacing w:val="68"/>
        </w:rPr>
        <w:t> </w:t>
      </w:r>
      <w:r>
        <w:rPr/>
        <w:t>symbolic</w:t>
      </w:r>
      <w:r>
        <w:rPr>
          <w:spacing w:val="68"/>
        </w:rPr>
        <w:t> </w:t>
      </w:r>
      <w:r>
        <w:rPr/>
        <w:t>gestures,</w:t>
      </w:r>
      <w:r>
        <w:rPr>
          <w:spacing w:val="68"/>
        </w:rPr>
        <w:t> </w:t>
      </w:r>
      <w:r>
        <w:rPr/>
        <w:t>further</w:t>
      </w:r>
      <w:r>
        <w:rPr>
          <w:spacing w:val="67"/>
        </w:rPr>
        <w:t> </w:t>
      </w:r>
      <w:r>
        <w:rPr/>
        <w:t>complicates</w:t>
      </w:r>
      <w:r>
        <w:rPr>
          <w:spacing w:val="66"/>
        </w:rPr>
        <w:t> </w:t>
      </w:r>
      <w:r>
        <w:rPr/>
        <w:t>the</w:t>
      </w:r>
      <w:r>
        <w:rPr>
          <w:spacing w:val="67"/>
        </w:rPr>
        <w:t> </w:t>
      </w:r>
      <w:r>
        <w:rPr>
          <w:spacing w:val="-2"/>
        </w:rPr>
        <w:t>relationship</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54400">
                <wp:simplePos x="0" y="0"/>
                <wp:positionH relativeFrom="page">
                  <wp:posOffset>2057400</wp:posOffset>
                </wp:positionH>
                <wp:positionV relativeFrom="paragraph">
                  <wp:posOffset>162604</wp:posOffset>
                </wp:positionV>
                <wp:extent cx="3657600" cy="12700"/>
                <wp:effectExtent l="0" t="0" r="0" b="0"/>
                <wp:wrapTopAndBottom/>
                <wp:docPr id="241" name="Graphic 241"/>
                <wp:cNvGraphicFramePr>
                  <a:graphicFrameLocks/>
                </wp:cNvGraphicFramePr>
                <a:graphic>
                  <a:graphicData uri="http://schemas.microsoft.com/office/word/2010/wordprocessingShape">
                    <wps:wsp>
                      <wps:cNvPr id="241" name="Graphic 24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62080;mso-wrap-distance-left:0;mso-wrap-distance-right:0" id="docshape237" filled="true" fillcolor="#000000" stroked="false">
                <v:fill type="solid"/>
                <w10:wrap type="topAndBottom"/>
              </v:rect>
            </w:pict>
          </mc:Fallback>
        </mc:AlternateContent>
      </w:r>
      <w:r>
        <w:rPr>
          <w:rFonts w:ascii="Verdana"/>
          <w:spacing w:val="-5"/>
          <w:sz w:val="18"/>
        </w:rPr>
        <w:t>64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4" w:lineRule="auto" w:before="199"/>
        <w:ind w:right="1439"/>
        <w:jc w:val="both"/>
      </w:pPr>
      <w:r>
        <w:rPr/>
        <w:t>between language and trauma, illustrating how extreme experiences resist</w:t>
      </w:r>
      <w:r>
        <w:rPr>
          <w:spacing w:val="40"/>
        </w:rPr>
        <w:t> </w:t>
      </w:r>
      <w:r>
        <w:rPr/>
        <w:t>coherent</w:t>
      </w:r>
      <w:r>
        <w:rPr>
          <w:spacing w:val="40"/>
        </w:rPr>
        <w:t> </w:t>
      </w:r>
      <w:r>
        <w:rPr/>
        <w:t>articulation.</w:t>
      </w:r>
    </w:p>
    <w:p>
      <w:pPr>
        <w:pStyle w:val="BodyText"/>
        <w:spacing w:line="249" w:lineRule="auto" w:before="49"/>
        <w:ind w:right="1438" w:firstLine="432"/>
        <w:jc w:val="both"/>
      </w:pPr>
      <w:r>
        <w:rPr/>
        <w:t>By tracing these varied responses, the paper argues that female agency in Shakespearean tragedy is indirect, embodied, and often mediated through disruption rather than direct action. Ultimately, the study reveals that Shakespeare not only represents violence against women but also stages the complex, often contradictory ways in which women</w:t>
      </w:r>
      <w:r>
        <w:rPr>
          <w:spacing w:val="40"/>
        </w:rPr>
        <w:t> </w:t>
      </w:r>
      <w:r>
        <w:rPr/>
        <w:t>negotiate,</w:t>
      </w:r>
      <w:r>
        <w:rPr>
          <w:spacing w:val="40"/>
        </w:rPr>
        <w:t> </w:t>
      </w:r>
      <w:r>
        <w:rPr/>
        <w:t>resist,</w:t>
      </w:r>
      <w:r>
        <w:rPr>
          <w:spacing w:val="40"/>
        </w:rPr>
        <w:t> </w:t>
      </w:r>
      <w:r>
        <w:rPr/>
        <w:t>and</w:t>
      </w:r>
      <w:r>
        <w:rPr>
          <w:spacing w:val="40"/>
        </w:rPr>
        <w:t> </w:t>
      </w:r>
      <w:r>
        <w:rPr/>
        <w:t>reinterpret</w:t>
      </w:r>
      <w:r>
        <w:rPr>
          <w:spacing w:val="40"/>
        </w:rPr>
        <w:t> </w:t>
      </w:r>
      <w:r>
        <w:rPr/>
        <w:t>that</w:t>
      </w:r>
      <w:r>
        <w:rPr>
          <w:spacing w:val="40"/>
        </w:rPr>
        <w:t> </w:t>
      </w:r>
      <w:r>
        <w:rPr/>
        <w:t>violence.</w:t>
      </w:r>
    </w:p>
    <w:p>
      <w:pPr>
        <w:pStyle w:val="BodyText"/>
        <w:spacing w:line="249" w:lineRule="auto" w:before="62"/>
        <w:ind w:right="1441" w:firstLine="432"/>
        <w:jc w:val="both"/>
      </w:pPr>
      <w:r>
        <w:rPr>
          <w:b/>
        </w:rPr>
        <w:t>Keywords: </w:t>
      </w:r>
      <w:r>
        <w:rPr/>
        <w:t>Shakespeare; gendered violence; silence and speech; revenge; feminist criticism; trauma theory; female agency</w:t>
      </w:r>
    </w:p>
    <w:p>
      <w:pPr>
        <w:pStyle w:val="Heading3"/>
        <w:spacing w:before="155"/>
      </w:pPr>
      <w:r>
        <w:rPr>
          <w:spacing w:val="-2"/>
          <w:w w:val="95"/>
        </w:rPr>
        <w:t>INTRODUCTION</w:t>
      </w:r>
    </w:p>
    <w:p>
      <w:pPr>
        <w:pStyle w:val="BodyText"/>
        <w:spacing w:line="261" w:lineRule="auto" w:before="85"/>
        <w:ind w:right="1435" w:firstLine="432"/>
        <w:jc w:val="both"/>
      </w:pPr>
      <w:r>
        <w:rPr/>
        <w:t>Violence</w:t>
      </w:r>
      <w:r>
        <w:rPr>
          <w:spacing w:val="-4"/>
        </w:rPr>
        <w:t> </w:t>
      </w:r>
      <w:r>
        <w:rPr/>
        <w:t>against</w:t>
      </w:r>
      <w:r>
        <w:rPr>
          <w:spacing w:val="-4"/>
        </w:rPr>
        <w:t> </w:t>
      </w:r>
      <w:r>
        <w:rPr/>
        <w:t>women</w:t>
      </w:r>
      <w:r>
        <w:rPr>
          <w:spacing w:val="-6"/>
        </w:rPr>
        <w:t> </w:t>
      </w:r>
      <w:r>
        <w:rPr/>
        <w:t>is</w:t>
      </w:r>
      <w:r>
        <w:rPr>
          <w:spacing w:val="-6"/>
        </w:rPr>
        <w:t> </w:t>
      </w:r>
      <w:r>
        <w:rPr/>
        <w:t>a</w:t>
      </w:r>
      <w:r>
        <w:rPr>
          <w:spacing w:val="-3"/>
        </w:rPr>
        <w:t> </w:t>
      </w:r>
      <w:r>
        <w:rPr/>
        <w:t>defining</w:t>
      </w:r>
      <w:r>
        <w:rPr>
          <w:spacing w:val="-6"/>
        </w:rPr>
        <w:t> </w:t>
      </w:r>
      <w:r>
        <w:rPr/>
        <w:t>yet</w:t>
      </w:r>
      <w:r>
        <w:rPr>
          <w:spacing w:val="-6"/>
        </w:rPr>
        <w:t> </w:t>
      </w:r>
      <w:r>
        <w:rPr/>
        <w:t>deeply</w:t>
      </w:r>
      <w:r>
        <w:rPr>
          <w:spacing w:val="-8"/>
        </w:rPr>
        <w:t> </w:t>
      </w:r>
      <w:r>
        <w:rPr/>
        <w:t>unsettling</w:t>
      </w:r>
      <w:r>
        <w:rPr>
          <w:spacing w:val="-6"/>
        </w:rPr>
        <w:t> </w:t>
      </w:r>
      <w:r>
        <w:rPr/>
        <w:t>feature of Shakespearean tragedy, where female characters are repeatedly positioned within structures that seek to regulate their bodies, voices, and identities. In plays such as </w:t>
      </w:r>
      <w:r>
        <w:rPr>
          <w:i/>
        </w:rPr>
        <w:t>Titus Andronicus</w:t>
      </w:r>
      <w:r>
        <w:rPr/>
        <w:t>, </w:t>
      </w:r>
      <w:r>
        <w:rPr>
          <w:i/>
        </w:rPr>
        <w:t>Hamlet</w:t>
      </w:r>
      <w:r>
        <w:rPr/>
        <w:t>, </w:t>
      </w:r>
      <w:r>
        <w:rPr>
          <w:i/>
        </w:rPr>
        <w:t>Othello</w:t>
      </w:r>
      <w:r>
        <w:rPr/>
        <w:t>, and </w:t>
      </w:r>
      <w:r>
        <w:rPr>
          <w:i/>
        </w:rPr>
        <w:t>King Lear</w:t>
      </w:r>
      <w:r>
        <w:rPr/>
        <w:t>, acts of</w:t>
      </w:r>
      <w:r>
        <w:rPr>
          <w:spacing w:val="-1"/>
        </w:rPr>
        <w:t> </w:t>
      </w:r>
      <w:r>
        <w:rPr/>
        <w:t>violence extend beyond physical harm to encompass psychological coercion, emotional manipulation, and enforced silence. Yet, these women cannot be understood solely as passive figures subjected</w:t>
      </w:r>
      <w:r>
        <w:rPr>
          <w:spacing w:val="-1"/>
        </w:rPr>
        <w:t> </w:t>
      </w:r>
      <w:r>
        <w:rPr/>
        <w:t>to</w:t>
      </w:r>
      <w:r>
        <w:rPr>
          <w:spacing w:val="-3"/>
        </w:rPr>
        <w:t> </w:t>
      </w:r>
      <w:r>
        <w:rPr/>
        <w:t>suffering.</w:t>
      </w:r>
      <w:r>
        <w:rPr>
          <w:spacing w:val="-3"/>
        </w:rPr>
        <w:t> </w:t>
      </w:r>
      <w:r>
        <w:rPr/>
        <w:t>Their</w:t>
      </w:r>
      <w:r>
        <w:rPr>
          <w:spacing w:val="-3"/>
        </w:rPr>
        <w:t> </w:t>
      </w:r>
      <w:r>
        <w:rPr/>
        <w:t>responses—ranging</w:t>
      </w:r>
      <w:r>
        <w:rPr>
          <w:spacing w:val="-5"/>
        </w:rPr>
        <w:t> </w:t>
      </w:r>
      <w:r>
        <w:rPr/>
        <w:t>from</w:t>
      </w:r>
      <w:r>
        <w:rPr>
          <w:spacing w:val="-7"/>
        </w:rPr>
        <w:t> </w:t>
      </w:r>
      <w:r>
        <w:rPr/>
        <w:t>silence</w:t>
      </w:r>
      <w:r>
        <w:rPr>
          <w:spacing w:val="-3"/>
        </w:rPr>
        <w:t> </w:t>
      </w:r>
      <w:r>
        <w:rPr/>
        <w:t>to</w:t>
      </w:r>
      <w:r>
        <w:rPr>
          <w:spacing w:val="-1"/>
        </w:rPr>
        <w:t> </w:t>
      </w:r>
      <w:r>
        <w:rPr/>
        <w:t>speech to indirect forms of retaliation—reveal a complex negotiation with the systems</w:t>
      </w:r>
      <w:r>
        <w:rPr>
          <w:spacing w:val="40"/>
        </w:rPr>
        <w:t> </w:t>
      </w:r>
      <w:r>
        <w:rPr/>
        <w:t>that</w:t>
      </w:r>
      <w:r>
        <w:rPr>
          <w:spacing w:val="40"/>
        </w:rPr>
        <w:t> </w:t>
      </w:r>
      <w:r>
        <w:rPr/>
        <w:t>constrain</w:t>
      </w:r>
      <w:r>
        <w:rPr>
          <w:spacing w:val="40"/>
        </w:rPr>
        <w:t> </w:t>
      </w:r>
      <w:r>
        <w:rPr/>
        <w:t>them.</w:t>
      </w:r>
    </w:p>
    <w:p>
      <w:pPr>
        <w:pStyle w:val="BodyText"/>
        <w:spacing w:line="261" w:lineRule="auto" w:before="50"/>
        <w:ind w:right="1438" w:firstLine="432"/>
        <w:jc w:val="both"/>
      </w:pPr>
      <w:r>
        <w:rPr/>
        <w:t>Traditional</w:t>
      </w:r>
      <w:r>
        <w:rPr>
          <w:spacing w:val="-1"/>
        </w:rPr>
        <w:t> </w:t>
      </w:r>
      <w:r>
        <w:rPr/>
        <w:t>criticism</w:t>
      </w:r>
      <w:r>
        <w:rPr>
          <w:spacing w:val="-4"/>
        </w:rPr>
        <w:t> </w:t>
      </w:r>
      <w:r>
        <w:rPr/>
        <w:t>often</w:t>
      </w:r>
      <w:r>
        <w:rPr>
          <w:spacing w:val="-3"/>
        </w:rPr>
        <w:t> </w:t>
      </w:r>
      <w:r>
        <w:rPr/>
        <w:t>framed these characters</w:t>
      </w:r>
      <w:r>
        <w:rPr>
          <w:spacing w:val="-3"/>
        </w:rPr>
        <w:t> </w:t>
      </w:r>
      <w:r>
        <w:rPr/>
        <w:t>within</w:t>
      </w:r>
      <w:r>
        <w:rPr>
          <w:spacing w:val="-1"/>
        </w:rPr>
        <w:t> </w:t>
      </w:r>
      <w:r>
        <w:rPr/>
        <w:t>a</w:t>
      </w:r>
      <w:r>
        <w:rPr>
          <w:spacing w:val="-1"/>
        </w:rPr>
        <w:t> </w:t>
      </w:r>
      <w:r>
        <w:rPr/>
        <w:t>binary of innocence and victimhood, emphasizing their vulnerability rather </w:t>
      </w:r>
      <w:r>
        <w:rPr>
          <w:spacing w:val="-2"/>
        </w:rPr>
        <w:t>than</w:t>
      </w:r>
      <w:r>
        <w:rPr>
          <w:spacing w:val="-7"/>
        </w:rPr>
        <w:t> </w:t>
      </w:r>
      <w:r>
        <w:rPr>
          <w:spacing w:val="-2"/>
        </w:rPr>
        <w:t>their agency.</w:t>
      </w:r>
      <w:r>
        <w:rPr>
          <w:spacing w:val="-5"/>
        </w:rPr>
        <w:t> </w:t>
      </w:r>
      <w:r>
        <w:rPr>
          <w:spacing w:val="-2"/>
        </w:rPr>
        <w:t>However,</w:t>
      </w:r>
      <w:r>
        <w:rPr>
          <w:spacing w:val="-5"/>
        </w:rPr>
        <w:t> </w:t>
      </w:r>
      <w:r>
        <w:rPr>
          <w:spacing w:val="-2"/>
        </w:rPr>
        <w:t>a</w:t>
      </w:r>
      <w:r>
        <w:rPr>
          <w:spacing w:val="-6"/>
        </w:rPr>
        <w:t> </w:t>
      </w:r>
      <w:r>
        <w:rPr>
          <w:spacing w:val="-2"/>
        </w:rPr>
        <w:t>closer</w:t>
      </w:r>
      <w:r>
        <w:rPr>
          <w:spacing w:val="-3"/>
        </w:rPr>
        <w:t> </w:t>
      </w:r>
      <w:r>
        <w:rPr>
          <w:spacing w:val="-2"/>
        </w:rPr>
        <w:t>reading</w:t>
      </w:r>
      <w:r>
        <w:rPr>
          <w:spacing w:val="-7"/>
        </w:rPr>
        <w:t> </w:t>
      </w:r>
      <w:r>
        <w:rPr>
          <w:spacing w:val="-2"/>
        </w:rPr>
        <w:t>suggests</w:t>
      </w:r>
      <w:r>
        <w:rPr>
          <w:spacing w:val="-7"/>
        </w:rPr>
        <w:t> </w:t>
      </w:r>
      <w:r>
        <w:rPr>
          <w:spacing w:val="-2"/>
        </w:rPr>
        <w:t>that</w:t>
      </w:r>
      <w:r>
        <w:rPr>
          <w:spacing w:val="-5"/>
        </w:rPr>
        <w:t> </w:t>
      </w:r>
      <w:r>
        <w:rPr>
          <w:spacing w:val="-2"/>
        </w:rPr>
        <w:t>their</w:t>
      </w:r>
      <w:r>
        <w:rPr>
          <w:spacing w:val="-5"/>
        </w:rPr>
        <w:t> </w:t>
      </w:r>
      <w:r>
        <w:rPr>
          <w:spacing w:val="-2"/>
        </w:rPr>
        <w:t>responses </w:t>
      </w:r>
      <w:r>
        <w:rPr/>
        <w:t>resist such simplification. Silence, for instance, is not always a sign of submission; it can function as a refusal or a strategy of survival. Similarly, speech is not always empowering, as it frequently exposes </w:t>
      </w:r>
      <w:r>
        <w:rPr>
          <w:spacing w:val="-2"/>
        </w:rPr>
        <w:t>women</w:t>
      </w:r>
      <w:r>
        <w:rPr>
          <w:spacing w:val="-11"/>
        </w:rPr>
        <w:t> </w:t>
      </w:r>
      <w:r>
        <w:rPr>
          <w:spacing w:val="-2"/>
        </w:rPr>
        <w:t>to</w:t>
      </w:r>
      <w:r>
        <w:rPr>
          <w:spacing w:val="-7"/>
        </w:rPr>
        <w:t> </w:t>
      </w:r>
      <w:r>
        <w:rPr>
          <w:spacing w:val="-2"/>
        </w:rPr>
        <w:t>further</w:t>
      </w:r>
      <w:r>
        <w:rPr>
          <w:spacing w:val="-11"/>
        </w:rPr>
        <w:t> </w:t>
      </w:r>
      <w:r>
        <w:rPr>
          <w:spacing w:val="-2"/>
        </w:rPr>
        <w:t>violence</w:t>
      </w:r>
      <w:r>
        <w:rPr>
          <w:spacing w:val="-7"/>
        </w:rPr>
        <w:t> </w:t>
      </w:r>
      <w:r>
        <w:rPr>
          <w:spacing w:val="-2"/>
        </w:rPr>
        <w:t>or</w:t>
      </w:r>
      <w:r>
        <w:rPr>
          <w:spacing w:val="-9"/>
        </w:rPr>
        <w:t> </w:t>
      </w:r>
      <w:r>
        <w:rPr>
          <w:spacing w:val="-2"/>
        </w:rPr>
        <w:t>dismissal.</w:t>
      </w:r>
      <w:r>
        <w:rPr>
          <w:spacing w:val="-7"/>
        </w:rPr>
        <w:t> </w:t>
      </w:r>
      <w:r>
        <w:rPr>
          <w:spacing w:val="-2"/>
        </w:rPr>
        <w:t>Desdemona’s</w:t>
      </w:r>
      <w:r>
        <w:rPr>
          <w:spacing w:val="-9"/>
        </w:rPr>
        <w:t> </w:t>
      </w:r>
      <w:r>
        <w:rPr>
          <w:spacing w:val="-2"/>
        </w:rPr>
        <w:t>plea,</w:t>
      </w:r>
      <w:r>
        <w:rPr>
          <w:spacing w:val="-11"/>
        </w:rPr>
        <w:t> </w:t>
      </w:r>
      <w:r>
        <w:rPr>
          <w:spacing w:val="-2"/>
        </w:rPr>
        <w:t>“I</w:t>
      </w:r>
      <w:r>
        <w:rPr>
          <w:spacing w:val="-10"/>
        </w:rPr>
        <w:t> </w:t>
      </w:r>
      <w:r>
        <w:rPr>
          <w:spacing w:val="-2"/>
        </w:rPr>
        <w:t>do</w:t>
      </w:r>
      <w:r>
        <w:rPr>
          <w:spacing w:val="-7"/>
        </w:rPr>
        <w:t> </w:t>
      </w:r>
      <w:r>
        <w:rPr>
          <w:spacing w:val="-2"/>
        </w:rPr>
        <w:t>perceive </w:t>
      </w:r>
      <w:r>
        <w:rPr/>
        <w:t>here a divided duty” (</w:t>
      </w:r>
      <w:r>
        <w:rPr>
          <w:i/>
        </w:rPr>
        <w:t>Othello </w:t>
      </w:r>
      <w:r>
        <w:rPr/>
        <w:t>1.3.179), illustrates both her attempt to articulate</w:t>
      </w:r>
      <w:r>
        <w:rPr>
          <w:spacing w:val="40"/>
        </w:rPr>
        <w:t> </w:t>
      </w:r>
      <w:r>
        <w:rPr/>
        <w:t>agency</w:t>
      </w:r>
      <w:r>
        <w:rPr>
          <w:spacing w:val="40"/>
        </w:rPr>
        <w:t> </w:t>
      </w:r>
      <w:r>
        <w:rPr/>
        <w:t>and</w:t>
      </w:r>
      <w:r>
        <w:rPr>
          <w:spacing w:val="40"/>
        </w:rPr>
        <w:t> </w:t>
      </w:r>
      <w:r>
        <w:rPr/>
        <w:t>the</w:t>
      </w:r>
      <w:r>
        <w:rPr>
          <w:spacing w:val="40"/>
        </w:rPr>
        <w:t> </w:t>
      </w:r>
      <w:r>
        <w:rPr/>
        <w:t>limitations</w:t>
      </w:r>
      <w:r>
        <w:rPr>
          <w:spacing w:val="40"/>
        </w:rPr>
        <w:t> </w:t>
      </w:r>
      <w:r>
        <w:rPr/>
        <w:t>imposed</w:t>
      </w:r>
      <w:r>
        <w:rPr>
          <w:spacing w:val="40"/>
        </w:rPr>
        <w:t> </w:t>
      </w:r>
      <w:r>
        <w:rPr/>
        <w:t>upon</w:t>
      </w:r>
      <w:r>
        <w:rPr>
          <w:spacing w:val="40"/>
        </w:rPr>
        <w:t> </w:t>
      </w:r>
      <w:r>
        <w:rPr/>
        <w:t>it.</w:t>
      </w:r>
    </w:p>
    <w:p>
      <w:pPr>
        <w:pStyle w:val="BodyText"/>
        <w:spacing w:line="249" w:lineRule="auto" w:before="45"/>
        <w:ind w:right="1437" w:firstLine="432"/>
        <w:jc w:val="both"/>
      </w:pPr>
      <w:r>
        <w:rPr/>
        <w:t>Revenge, typically associated with male protagonists, takes on a different form in the context of female experience. Rather than direct action, it often emerges through testimony, disruption, or symbolic intervention. Lavinia’s act of writing the names of her attackers, for example, transforms silence into accusation, while Emilia’s final </w:t>
      </w:r>
      <w:r>
        <w:rPr>
          <w:spacing w:val="-4"/>
        </w:rPr>
        <w:t>denunciation—”You told a lie,</w:t>
      </w:r>
      <w:r>
        <w:rPr>
          <w:spacing w:val="-6"/>
        </w:rPr>
        <w:t> </w:t>
      </w:r>
      <w:r>
        <w:rPr>
          <w:spacing w:val="-4"/>
        </w:rPr>
        <w:t>an odious, damned lie” (</w:t>
      </w:r>
      <w:r>
        <w:rPr>
          <w:i/>
          <w:spacing w:val="-4"/>
        </w:rPr>
        <w:t>Othello</w:t>
      </w:r>
      <w:r>
        <w:rPr>
          <w:i/>
          <w:spacing w:val="-6"/>
        </w:rPr>
        <w:t> </w:t>
      </w:r>
      <w:r>
        <w:rPr>
          <w:spacing w:val="-4"/>
        </w:rPr>
        <w:t>5.2.178)—</w:t>
      </w:r>
      <w:r>
        <w:rPr/>
        <w:t>reveals</w:t>
      </w:r>
      <w:r>
        <w:rPr>
          <w:spacing w:val="40"/>
        </w:rPr>
        <w:t> </w:t>
      </w:r>
      <w:r>
        <w:rPr/>
        <w:t>how</w:t>
      </w:r>
      <w:r>
        <w:rPr>
          <w:spacing w:val="40"/>
        </w:rPr>
        <w:t> </w:t>
      </w:r>
      <w:r>
        <w:rPr/>
        <w:t>speech</w:t>
      </w:r>
      <w:r>
        <w:rPr>
          <w:spacing w:val="40"/>
        </w:rPr>
        <w:t> </w:t>
      </w:r>
      <w:r>
        <w:rPr/>
        <w:t>can</w:t>
      </w:r>
      <w:r>
        <w:rPr>
          <w:spacing w:val="40"/>
        </w:rPr>
        <w:t> </w:t>
      </w:r>
      <w:r>
        <w:rPr/>
        <w:t>function</w:t>
      </w:r>
      <w:r>
        <w:rPr>
          <w:spacing w:val="40"/>
        </w:rPr>
        <w:t> </w:t>
      </w:r>
      <w:r>
        <w:rPr/>
        <w:t>as</w:t>
      </w:r>
      <w:r>
        <w:rPr>
          <w:spacing w:val="40"/>
        </w:rPr>
        <w:t> </w:t>
      </w:r>
      <w:r>
        <w:rPr/>
        <w:t>a</w:t>
      </w:r>
      <w:r>
        <w:rPr>
          <w:spacing w:val="40"/>
        </w:rPr>
        <w:t> </w:t>
      </w:r>
      <w:r>
        <w:rPr/>
        <w:t>form</w:t>
      </w:r>
      <w:r>
        <w:rPr>
          <w:spacing w:val="40"/>
        </w:rPr>
        <w:t> </w:t>
      </w:r>
      <w:r>
        <w:rPr/>
        <w:t>of</w:t>
      </w:r>
      <w:r>
        <w:rPr>
          <w:spacing w:val="40"/>
        </w:rPr>
        <w:t> </w:t>
      </w:r>
      <w:r>
        <w:rPr/>
        <w:t>justice.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54912">
                <wp:simplePos x="0" y="0"/>
                <wp:positionH relativeFrom="page">
                  <wp:posOffset>2065020</wp:posOffset>
                </wp:positionH>
                <wp:positionV relativeFrom="paragraph">
                  <wp:posOffset>162604</wp:posOffset>
                </wp:positionV>
                <wp:extent cx="3657600" cy="12700"/>
                <wp:effectExtent l="0" t="0" r="0" b="0"/>
                <wp:wrapTopAndBottom/>
                <wp:docPr id="242" name="Graphic 242"/>
                <wp:cNvGraphicFramePr>
                  <a:graphicFrameLocks/>
                </wp:cNvGraphicFramePr>
                <a:graphic>
                  <a:graphicData uri="http://schemas.microsoft.com/office/word/2010/wordprocessingShape">
                    <wps:wsp>
                      <wps:cNvPr id="242" name="Graphic 24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61568;mso-wrap-distance-left:0;mso-wrap-distance-right:0" id="docshape238" filled="true" fillcolor="#000000" stroked="false">
                <v:fill type="solid"/>
                <w10:wrap type="topAndBottom"/>
              </v:rect>
            </w:pict>
          </mc:Fallback>
        </mc:AlternateContent>
      </w:r>
      <w:r>
        <w:rPr>
          <w:rFonts w:ascii="Verdana" w:hAnsi="Verdana"/>
          <w:sz w:val="18"/>
        </w:rPr>
        <w:t>Silence,</w:t>
      </w:r>
      <w:r>
        <w:rPr>
          <w:rFonts w:ascii="Verdana" w:hAnsi="Verdana"/>
          <w:spacing w:val="2"/>
          <w:sz w:val="18"/>
        </w:rPr>
        <w:t> </w:t>
      </w:r>
      <w:r>
        <w:rPr>
          <w:rFonts w:ascii="Verdana" w:hAnsi="Verdana"/>
          <w:sz w:val="18"/>
        </w:rPr>
        <w:t>Speech,</w:t>
      </w:r>
      <w:r>
        <w:rPr>
          <w:rFonts w:ascii="Verdana" w:hAnsi="Verdana"/>
          <w:spacing w:val="3"/>
          <w:sz w:val="18"/>
        </w:rPr>
        <w:t> </w:t>
      </w:r>
      <w:r>
        <w:rPr>
          <w:rFonts w:ascii="Verdana" w:hAnsi="Verdana"/>
          <w:sz w:val="18"/>
        </w:rPr>
        <w:t>and</w:t>
      </w:r>
      <w:r>
        <w:rPr>
          <w:rFonts w:ascii="Verdana" w:hAnsi="Verdana"/>
          <w:spacing w:val="4"/>
          <w:sz w:val="18"/>
        </w:rPr>
        <w:t> </w:t>
      </w:r>
      <w:r>
        <w:rPr>
          <w:rFonts w:ascii="Verdana" w:hAnsi="Verdana"/>
          <w:sz w:val="18"/>
        </w:rPr>
        <w:t>Revenge:</w:t>
      </w:r>
      <w:r>
        <w:rPr>
          <w:rFonts w:ascii="Verdana" w:hAnsi="Verdana"/>
          <w:spacing w:val="4"/>
          <w:sz w:val="18"/>
        </w:rPr>
        <w:t> </w:t>
      </w:r>
      <w:r>
        <w:rPr>
          <w:rFonts w:ascii="Verdana" w:hAnsi="Verdana"/>
          <w:sz w:val="18"/>
        </w:rPr>
        <w:t>Women’s</w:t>
      </w:r>
      <w:r>
        <w:rPr>
          <w:rFonts w:ascii="Verdana" w:hAnsi="Verdana"/>
          <w:spacing w:val="4"/>
          <w:sz w:val="18"/>
        </w:rPr>
        <w:t> </w:t>
      </w:r>
      <w:r>
        <w:rPr>
          <w:rFonts w:ascii="Verdana" w:hAnsi="Verdana"/>
          <w:sz w:val="18"/>
        </w:rPr>
        <w:t>Responses</w:t>
      </w:r>
      <w:r>
        <w:rPr>
          <w:rFonts w:ascii="Verdana" w:hAnsi="Verdana"/>
          <w:spacing w:val="3"/>
          <w:sz w:val="18"/>
        </w:rPr>
        <w:t> </w:t>
      </w:r>
      <w:r>
        <w:rPr>
          <w:rFonts w:ascii="Verdana" w:hAnsi="Verdana"/>
          <w:spacing w:val="-2"/>
          <w:sz w:val="18"/>
        </w:rPr>
        <w:t>to...</w:t>
      </w:r>
      <w:r>
        <w:rPr>
          <w:rFonts w:ascii="Verdana" w:hAnsi="Verdana"/>
          <w:sz w:val="18"/>
        </w:rPr>
        <w:tab/>
      </w:r>
      <w:r>
        <w:rPr>
          <w:rFonts w:ascii="Verdana" w:hAnsi="Verdana"/>
          <w:spacing w:val="-5"/>
          <w:sz w:val="18"/>
        </w:rPr>
        <w:t>65</w:t>
      </w:r>
    </w:p>
    <w:p>
      <w:pPr>
        <w:pStyle w:val="BodyText"/>
        <w:spacing w:line="249" w:lineRule="auto" w:before="192"/>
        <w:ind w:right="1441" w:firstLine="432"/>
        <w:jc w:val="both"/>
      </w:pPr>
      <w:r>
        <w:rPr/>
        <w:t>By examining these responses across multiple plays, this paper argues that Shakespeare constructs a spectrum of female agency that operates</w:t>
      </w:r>
      <w:r>
        <w:rPr>
          <w:spacing w:val="-3"/>
        </w:rPr>
        <w:t> </w:t>
      </w:r>
      <w:r>
        <w:rPr/>
        <w:t>within</w:t>
      </w:r>
      <w:r>
        <w:rPr>
          <w:spacing w:val="-1"/>
        </w:rPr>
        <w:t> </w:t>
      </w:r>
      <w:r>
        <w:rPr/>
        <w:t>and against</w:t>
      </w:r>
      <w:r>
        <w:rPr>
          <w:spacing w:val="-3"/>
        </w:rPr>
        <w:t> </w:t>
      </w:r>
      <w:r>
        <w:rPr/>
        <w:t>patriarchal</w:t>
      </w:r>
      <w:r>
        <w:rPr>
          <w:spacing w:val="-1"/>
        </w:rPr>
        <w:t> </w:t>
      </w:r>
      <w:r>
        <w:rPr/>
        <w:t>constraints.</w:t>
      </w:r>
      <w:r>
        <w:rPr>
          <w:spacing w:val="-1"/>
        </w:rPr>
        <w:t> </w:t>
      </w:r>
      <w:r>
        <w:rPr/>
        <w:t>Silence,</w:t>
      </w:r>
      <w:r>
        <w:rPr>
          <w:spacing w:val="-1"/>
        </w:rPr>
        <w:t> </w:t>
      </w:r>
      <w:r>
        <w:rPr/>
        <w:t>speech, and revenge are not fixed categories but interrelated strategies that reflect the complexity of female experience in a violent world.</w:t>
      </w:r>
    </w:p>
    <w:p>
      <w:pPr>
        <w:pStyle w:val="Heading3"/>
        <w:spacing w:before="158"/>
      </w:pPr>
      <w:r>
        <w:rPr>
          <w:w w:val="80"/>
        </w:rPr>
        <w:t>LITERATURE</w:t>
      </w:r>
      <w:r>
        <w:rPr>
          <w:spacing w:val="9"/>
        </w:rPr>
        <w:t> </w:t>
      </w:r>
      <w:r>
        <w:rPr>
          <w:spacing w:val="-2"/>
          <w:w w:val="90"/>
        </w:rPr>
        <w:t>REVIEW</w:t>
      </w:r>
    </w:p>
    <w:p>
      <w:pPr>
        <w:pStyle w:val="BodyText"/>
        <w:spacing w:line="249" w:lineRule="auto" w:before="75"/>
        <w:ind w:right="1439" w:firstLine="432"/>
        <w:jc w:val="both"/>
      </w:pPr>
      <w:r>
        <w:rPr/>
        <w:t>Scholarly interpretations of Shakespeare’s female characters have evolved significantly, particularly with the development of feminist criticism. Earlier readings often treated women as peripheral figures, emphasizing their emotional or moral roles within male-centered narratives. However, later critics have foregrounded gender as</w:t>
      </w:r>
      <w:r>
        <w:rPr>
          <w:spacing w:val="-2"/>
        </w:rPr>
        <w:t> </w:t>
      </w:r>
      <w:r>
        <w:rPr/>
        <w:t>a crucial analytical category, re-evaluating how women’s voices and bodies function</w:t>
      </w:r>
      <w:r>
        <w:rPr>
          <w:spacing w:val="40"/>
        </w:rPr>
        <w:t> </w:t>
      </w:r>
      <w:r>
        <w:rPr/>
        <w:t>within</w:t>
      </w:r>
      <w:r>
        <w:rPr>
          <w:spacing w:val="40"/>
        </w:rPr>
        <w:t> </w:t>
      </w:r>
      <w:r>
        <w:rPr/>
        <w:t>Shakespeare’s</w:t>
      </w:r>
      <w:r>
        <w:rPr>
          <w:spacing w:val="40"/>
        </w:rPr>
        <w:t> </w:t>
      </w:r>
      <w:r>
        <w:rPr/>
        <w:t>plays.</w:t>
      </w:r>
    </w:p>
    <w:p>
      <w:pPr>
        <w:pStyle w:val="BodyText"/>
        <w:spacing w:line="249" w:lineRule="auto" w:before="63"/>
        <w:ind w:right="1437" w:firstLine="432"/>
        <w:jc w:val="both"/>
      </w:pPr>
      <w:r>
        <w:rPr/>
        <w:t>Feminist critics have reinterpreted characters such as Ophelia, whose madness was once viewed as a sign of fragility. Instead, her fragmented</w:t>
      </w:r>
      <w:r>
        <w:rPr>
          <w:spacing w:val="-5"/>
        </w:rPr>
        <w:t> </w:t>
      </w:r>
      <w:r>
        <w:rPr/>
        <w:t>songs—”He</w:t>
      </w:r>
      <w:r>
        <w:rPr>
          <w:spacing w:val="-6"/>
        </w:rPr>
        <w:t> </w:t>
      </w:r>
      <w:r>
        <w:rPr/>
        <w:t>is</w:t>
      </w:r>
      <w:r>
        <w:rPr>
          <w:spacing w:val="-5"/>
        </w:rPr>
        <w:t> </w:t>
      </w:r>
      <w:r>
        <w:rPr/>
        <w:t>dead</w:t>
      </w:r>
      <w:r>
        <w:rPr>
          <w:spacing w:val="-6"/>
        </w:rPr>
        <w:t> </w:t>
      </w:r>
      <w:r>
        <w:rPr/>
        <w:t>and</w:t>
      </w:r>
      <w:r>
        <w:rPr>
          <w:spacing w:val="-5"/>
        </w:rPr>
        <w:t> </w:t>
      </w:r>
      <w:r>
        <w:rPr/>
        <w:t>gone,</w:t>
      </w:r>
      <w:r>
        <w:rPr>
          <w:spacing w:val="-5"/>
        </w:rPr>
        <w:t> </w:t>
      </w:r>
      <w:r>
        <w:rPr/>
        <w:t>lady”</w:t>
      </w:r>
      <w:r>
        <w:rPr>
          <w:spacing w:val="-5"/>
        </w:rPr>
        <w:t> </w:t>
      </w:r>
      <w:r>
        <w:rPr/>
        <w:t>(</w:t>
      </w:r>
      <w:r>
        <w:rPr>
          <w:i/>
        </w:rPr>
        <w:t>Hamlet</w:t>
      </w:r>
      <w:r>
        <w:rPr>
          <w:i/>
          <w:spacing w:val="-4"/>
        </w:rPr>
        <w:t> </w:t>
      </w:r>
      <w:r>
        <w:rPr/>
        <w:t>4.5.29)—have been understood as encoding suppressed truths. This shift highlights how non-linear forms of expression can carry meaning that escapes patriarchal control. Similarly, Emilia’s speech in </w:t>
      </w:r>
      <w:r>
        <w:rPr>
          <w:i/>
        </w:rPr>
        <w:t>Othello </w:t>
      </w:r>
      <w:r>
        <w:rPr/>
        <w:t>has been recognized</w:t>
      </w:r>
      <w:r>
        <w:rPr>
          <w:spacing w:val="-7"/>
        </w:rPr>
        <w:t> </w:t>
      </w:r>
      <w:r>
        <w:rPr/>
        <w:t>as</w:t>
      </w:r>
      <w:r>
        <w:rPr>
          <w:spacing w:val="-9"/>
        </w:rPr>
        <w:t> </w:t>
      </w:r>
      <w:r>
        <w:rPr/>
        <w:t>a</w:t>
      </w:r>
      <w:r>
        <w:rPr>
          <w:spacing w:val="-9"/>
        </w:rPr>
        <w:t> </w:t>
      </w:r>
      <w:r>
        <w:rPr/>
        <w:t>moment</w:t>
      </w:r>
      <w:r>
        <w:rPr>
          <w:spacing w:val="-9"/>
        </w:rPr>
        <w:t> </w:t>
      </w:r>
      <w:r>
        <w:rPr/>
        <w:t>of</w:t>
      </w:r>
      <w:r>
        <w:rPr>
          <w:spacing w:val="-9"/>
        </w:rPr>
        <w:t> </w:t>
      </w:r>
      <w:r>
        <w:rPr/>
        <w:t>radical</w:t>
      </w:r>
      <w:r>
        <w:rPr>
          <w:spacing w:val="-9"/>
        </w:rPr>
        <w:t> </w:t>
      </w:r>
      <w:r>
        <w:rPr/>
        <w:t>defiance:</w:t>
      </w:r>
      <w:r>
        <w:rPr>
          <w:spacing w:val="-9"/>
        </w:rPr>
        <w:t> </w:t>
      </w:r>
      <w:r>
        <w:rPr/>
        <w:t>“Let</w:t>
      </w:r>
      <w:r>
        <w:rPr>
          <w:spacing w:val="-9"/>
        </w:rPr>
        <w:t> </w:t>
      </w:r>
      <w:r>
        <w:rPr/>
        <w:t>husbands</w:t>
      </w:r>
      <w:r>
        <w:rPr>
          <w:spacing w:val="-9"/>
        </w:rPr>
        <w:t> </w:t>
      </w:r>
      <w:r>
        <w:rPr/>
        <w:t>know</w:t>
      </w:r>
      <w:r>
        <w:rPr>
          <w:spacing w:val="-12"/>
        </w:rPr>
        <w:t> </w:t>
      </w:r>
      <w:r>
        <w:rPr/>
        <w:t>/</w:t>
      </w:r>
      <w:r>
        <w:rPr>
          <w:spacing w:val="-9"/>
        </w:rPr>
        <w:t> </w:t>
      </w:r>
      <w:r>
        <w:rPr/>
        <w:t>Their wives have sense like them” (4.3.93–94). Such statements challenge dominant</w:t>
      </w:r>
      <w:r>
        <w:rPr>
          <w:spacing w:val="40"/>
        </w:rPr>
        <w:t> </w:t>
      </w:r>
      <w:r>
        <w:rPr/>
        <w:t>assumptions</w:t>
      </w:r>
      <w:r>
        <w:rPr>
          <w:spacing w:val="40"/>
        </w:rPr>
        <w:t> </w:t>
      </w:r>
      <w:r>
        <w:rPr/>
        <w:t>about</w:t>
      </w:r>
      <w:r>
        <w:rPr>
          <w:spacing w:val="40"/>
        </w:rPr>
        <w:t> </w:t>
      </w:r>
      <w:r>
        <w:rPr/>
        <w:t>gender</w:t>
      </w:r>
      <w:r>
        <w:rPr>
          <w:spacing w:val="40"/>
        </w:rPr>
        <w:t> </w:t>
      </w:r>
      <w:r>
        <w:rPr/>
        <w:t>and</w:t>
      </w:r>
      <w:r>
        <w:rPr>
          <w:spacing w:val="40"/>
        </w:rPr>
        <w:t> </w:t>
      </w:r>
      <w:r>
        <w:rPr/>
        <w:t>authority.</w:t>
      </w:r>
    </w:p>
    <w:p>
      <w:pPr>
        <w:pStyle w:val="BodyText"/>
        <w:spacing w:line="249" w:lineRule="auto" w:before="68"/>
        <w:ind w:right="1438" w:firstLine="432"/>
        <w:jc w:val="both"/>
      </w:pPr>
      <w:r>
        <w:rPr/>
        <w:t>Theoretical approaches that emphasize embodiment have further expanded this</w:t>
      </w:r>
      <w:r>
        <w:rPr>
          <w:spacing w:val="-2"/>
        </w:rPr>
        <w:t> </w:t>
      </w:r>
      <w:r>
        <w:rPr/>
        <w:t>discussion.</w:t>
      </w:r>
      <w:r>
        <w:rPr>
          <w:spacing w:val="-1"/>
        </w:rPr>
        <w:t> </w:t>
      </w:r>
      <w:r>
        <w:rPr/>
        <w:t>Lavinia’s</w:t>
      </w:r>
      <w:r>
        <w:rPr>
          <w:spacing w:val="-1"/>
        </w:rPr>
        <w:t> </w:t>
      </w:r>
      <w:r>
        <w:rPr/>
        <w:t>mutilated body</w:t>
      </w:r>
      <w:r>
        <w:rPr>
          <w:spacing w:val="-6"/>
        </w:rPr>
        <w:t> </w:t>
      </w:r>
      <w:r>
        <w:rPr/>
        <w:t>in </w:t>
      </w:r>
      <w:r>
        <w:rPr>
          <w:i/>
        </w:rPr>
        <w:t>Titus</w:t>
      </w:r>
      <w:r>
        <w:rPr>
          <w:i/>
          <w:spacing w:val="-2"/>
        </w:rPr>
        <w:t> </w:t>
      </w:r>
      <w:r>
        <w:rPr>
          <w:i/>
        </w:rPr>
        <w:t>Andronicus </w:t>
      </w:r>
      <w:r>
        <w:rPr/>
        <w:t>has been interpreted as a site of communication, where the absence of speech is compensated by alternative forms of expression. Her silent presence forces other characters to confront the violence inflicted upon her, transforming her body into</w:t>
      </w:r>
      <w:r>
        <w:rPr>
          <w:spacing w:val="40"/>
        </w:rPr>
        <w:t> </w:t>
      </w:r>
      <w:r>
        <w:rPr/>
        <w:t>a form of testimony.</w:t>
      </w:r>
    </w:p>
    <w:p>
      <w:pPr>
        <w:pStyle w:val="BodyText"/>
        <w:spacing w:line="249" w:lineRule="auto" w:before="62"/>
        <w:ind w:right="1438" w:firstLine="432"/>
        <w:jc w:val="both"/>
      </w:pPr>
      <w:r>
        <w:rPr/>
        <w:t>Trauma theory has also played a significant role in recent scholarship, particularly in understanding the fragmented nature of </w:t>
      </w:r>
      <w:r>
        <w:rPr>
          <w:spacing w:val="-2"/>
        </w:rPr>
        <w:t>expression</w:t>
      </w:r>
      <w:r>
        <w:rPr>
          <w:spacing w:val="-7"/>
        </w:rPr>
        <w:t> </w:t>
      </w:r>
      <w:r>
        <w:rPr>
          <w:spacing w:val="-2"/>
        </w:rPr>
        <w:t>in</w:t>
      </w:r>
      <w:r>
        <w:rPr>
          <w:spacing w:val="-7"/>
        </w:rPr>
        <w:t> </w:t>
      </w:r>
      <w:r>
        <w:rPr>
          <w:spacing w:val="-2"/>
        </w:rPr>
        <w:t>these</w:t>
      </w:r>
      <w:r>
        <w:rPr>
          <w:spacing w:val="-7"/>
        </w:rPr>
        <w:t> </w:t>
      </w:r>
      <w:r>
        <w:rPr>
          <w:spacing w:val="-2"/>
        </w:rPr>
        <w:t>plays.</w:t>
      </w:r>
      <w:r>
        <w:rPr>
          <w:spacing w:val="-4"/>
        </w:rPr>
        <w:t> </w:t>
      </w:r>
      <w:r>
        <w:rPr>
          <w:spacing w:val="-2"/>
        </w:rPr>
        <w:t>The</w:t>
      </w:r>
      <w:r>
        <w:rPr>
          <w:spacing w:val="-7"/>
        </w:rPr>
        <w:t> </w:t>
      </w:r>
      <w:r>
        <w:rPr>
          <w:spacing w:val="-2"/>
        </w:rPr>
        <w:t>difficulty</w:t>
      </w:r>
      <w:r>
        <w:rPr>
          <w:spacing w:val="-9"/>
        </w:rPr>
        <w:t> </w:t>
      </w:r>
      <w:r>
        <w:rPr>
          <w:spacing w:val="-2"/>
        </w:rPr>
        <w:t>of</w:t>
      </w:r>
      <w:r>
        <w:rPr>
          <w:spacing w:val="-7"/>
        </w:rPr>
        <w:t> </w:t>
      </w:r>
      <w:r>
        <w:rPr>
          <w:spacing w:val="-2"/>
        </w:rPr>
        <w:t>articulating</w:t>
      </w:r>
      <w:r>
        <w:rPr>
          <w:spacing w:val="-7"/>
        </w:rPr>
        <w:t> </w:t>
      </w:r>
      <w:r>
        <w:rPr>
          <w:spacing w:val="-2"/>
        </w:rPr>
        <w:t>trauma</w:t>
      </w:r>
      <w:r>
        <w:rPr>
          <w:spacing w:val="-4"/>
        </w:rPr>
        <w:t> </w:t>
      </w:r>
      <w:r>
        <w:rPr>
          <w:spacing w:val="-2"/>
        </w:rPr>
        <w:t>is</w:t>
      </w:r>
      <w:r>
        <w:rPr>
          <w:spacing w:val="-7"/>
        </w:rPr>
        <w:t> </w:t>
      </w:r>
      <w:r>
        <w:rPr>
          <w:spacing w:val="-2"/>
        </w:rPr>
        <w:t>reflected </w:t>
      </w:r>
      <w:r>
        <w:rPr/>
        <w:t>in the disjointed speech patterns of characters like Ophelia, whose language resists coherence. This perspective suggests that silence and fragmentation are not simply limitations but responses to experiences that</w:t>
      </w:r>
      <w:r>
        <w:rPr>
          <w:spacing w:val="40"/>
        </w:rPr>
        <w:t> </w:t>
      </w:r>
      <w:r>
        <w:rPr/>
        <w:t>exceed</w:t>
      </w:r>
      <w:r>
        <w:rPr>
          <w:spacing w:val="40"/>
        </w:rPr>
        <w:t> </w:t>
      </w:r>
      <w:r>
        <w:rPr/>
        <w:t>representation.</w:t>
      </w:r>
    </w:p>
    <w:p>
      <w:pPr>
        <w:pStyle w:val="BodyText"/>
        <w:spacing w:line="249" w:lineRule="auto" w:before="64"/>
        <w:ind w:right="1440" w:firstLine="432"/>
        <w:jc w:val="both"/>
      </w:pPr>
      <w:r>
        <w:rPr/>
        <w:t>Despite</w:t>
      </w:r>
      <w:r>
        <w:rPr>
          <w:spacing w:val="-13"/>
        </w:rPr>
        <w:t> </w:t>
      </w:r>
      <w:r>
        <w:rPr/>
        <w:t>these</w:t>
      </w:r>
      <w:r>
        <w:rPr>
          <w:spacing w:val="-12"/>
        </w:rPr>
        <w:t> </w:t>
      </w:r>
      <w:r>
        <w:rPr/>
        <w:t>developments,</w:t>
      </w:r>
      <w:r>
        <w:rPr>
          <w:spacing w:val="-12"/>
        </w:rPr>
        <w:t> </w:t>
      </w:r>
      <w:r>
        <w:rPr/>
        <w:t>critical</w:t>
      </w:r>
      <w:r>
        <w:rPr>
          <w:spacing w:val="-11"/>
        </w:rPr>
        <w:t> </w:t>
      </w:r>
      <w:r>
        <w:rPr/>
        <w:t>discussions</w:t>
      </w:r>
      <w:r>
        <w:rPr>
          <w:spacing w:val="-13"/>
        </w:rPr>
        <w:t> </w:t>
      </w:r>
      <w:r>
        <w:rPr/>
        <w:t>often</w:t>
      </w:r>
      <w:r>
        <w:rPr>
          <w:spacing w:val="-12"/>
        </w:rPr>
        <w:t> </w:t>
      </w:r>
      <w:r>
        <w:rPr/>
        <w:t>treat</w:t>
      </w:r>
      <w:r>
        <w:rPr>
          <w:spacing w:val="-11"/>
        </w:rPr>
        <w:t> </w:t>
      </w:r>
      <w:r>
        <w:rPr/>
        <w:t>silence, speech, and revenge as separate phenomena. This paper builds on existing</w:t>
      </w:r>
      <w:r>
        <w:rPr>
          <w:spacing w:val="-13"/>
        </w:rPr>
        <w:t> </w:t>
      </w:r>
      <w:r>
        <w:rPr/>
        <w:t>scholarship</w:t>
      </w:r>
      <w:r>
        <w:rPr>
          <w:spacing w:val="-12"/>
        </w:rPr>
        <w:t> </w:t>
      </w:r>
      <w:r>
        <w:rPr/>
        <w:t>by</w:t>
      </w:r>
      <w:r>
        <w:rPr>
          <w:spacing w:val="-13"/>
        </w:rPr>
        <w:t> </w:t>
      </w:r>
      <w:r>
        <w:rPr/>
        <w:t>examining</w:t>
      </w:r>
      <w:r>
        <w:rPr>
          <w:spacing w:val="-12"/>
        </w:rPr>
        <w:t> </w:t>
      </w:r>
      <w:r>
        <w:rPr/>
        <w:t>how</w:t>
      </w:r>
      <w:r>
        <w:rPr>
          <w:spacing w:val="-13"/>
        </w:rPr>
        <w:t> </w:t>
      </w:r>
      <w:r>
        <w:rPr/>
        <w:t>these</w:t>
      </w:r>
      <w:r>
        <w:rPr>
          <w:spacing w:val="-12"/>
        </w:rPr>
        <w:t> </w:t>
      </w:r>
      <w:r>
        <w:rPr/>
        <w:t>elements</w:t>
      </w:r>
      <w:r>
        <w:rPr>
          <w:spacing w:val="-12"/>
        </w:rPr>
        <w:t> </w:t>
      </w:r>
      <w:r>
        <w:rPr/>
        <w:t>intersect,</w:t>
      </w:r>
      <w:r>
        <w:rPr>
          <w:spacing w:val="-9"/>
        </w:rPr>
        <w:t> </w:t>
      </w:r>
      <w:r>
        <w:rPr>
          <w:spacing w:val="-2"/>
        </w:rPr>
        <w:t>offering</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55424">
                <wp:simplePos x="0" y="0"/>
                <wp:positionH relativeFrom="page">
                  <wp:posOffset>2057400</wp:posOffset>
                </wp:positionH>
                <wp:positionV relativeFrom="paragraph">
                  <wp:posOffset>162604</wp:posOffset>
                </wp:positionV>
                <wp:extent cx="3657600" cy="12700"/>
                <wp:effectExtent l="0" t="0" r="0" b="0"/>
                <wp:wrapTopAndBottom/>
                <wp:docPr id="243" name="Graphic 243"/>
                <wp:cNvGraphicFramePr>
                  <a:graphicFrameLocks/>
                </wp:cNvGraphicFramePr>
                <a:graphic>
                  <a:graphicData uri="http://schemas.microsoft.com/office/word/2010/wordprocessingShape">
                    <wps:wsp>
                      <wps:cNvPr id="243" name="Graphic 24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61056;mso-wrap-distance-left:0;mso-wrap-distance-right:0" id="docshape239" filled="true" fillcolor="#000000" stroked="false">
                <v:fill type="solid"/>
                <w10:wrap type="topAndBottom"/>
              </v:rect>
            </w:pict>
          </mc:Fallback>
        </mc:AlternateContent>
      </w:r>
      <w:r>
        <w:rPr>
          <w:rFonts w:ascii="Verdana"/>
          <w:spacing w:val="-5"/>
          <w:sz w:val="18"/>
        </w:rPr>
        <w:t>66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a more integrated understanding of female response in Shakespearean </w:t>
      </w:r>
      <w:r>
        <w:rPr>
          <w:spacing w:val="-2"/>
        </w:rPr>
        <w:t>drama.</w:t>
      </w:r>
    </w:p>
    <w:p>
      <w:pPr>
        <w:pStyle w:val="Heading3"/>
        <w:spacing w:before="155"/>
      </w:pPr>
      <w:r>
        <w:rPr>
          <w:spacing w:val="-2"/>
        </w:rPr>
        <w:t>METHODOLOGY</w:t>
      </w:r>
    </w:p>
    <w:p>
      <w:pPr>
        <w:pStyle w:val="BodyText"/>
        <w:spacing w:line="249" w:lineRule="auto" w:before="76"/>
        <w:ind w:right="1438" w:firstLine="432"/>
        <w:jc w:val="both"/>
      </w:pPr>
      <w:r>
        <w:rPr/>
        <w:t>This</w:t>
      </w:r>
      <w:r>
        <w:rPr>
          <w:spacing w:val="-1"/>
        </w:rPr>
        <w:t> </w:t>
      </w:r>
      <w:r>
        <w:rPr/>
        <w:t>study</w:t>
      </w:r>
      <w:r>
        <w:rPr>
          <w:spacing w:val="-4"/>
        </w:rPr>
        <w:t> </w:t>
      </w:r>
      <w:r>
        <w:rPr/>
        <w:t>adopts</w:t>
      </w:r>
      <w:r>
        <w:rPr>
          <w:spacing w:val="-1"/>
        </w:rPr>
        <w:t> </w:t>
      </w:r>
      <w:r>
        <w:rPr/>
        <w:t>a qualitative approach</w:t>
      </w:r>
      <w:r>
        <w:rPr>
          <w:spacing w:val="-3"/>
        </w:rPr>
        <w:t> </w:t>
      </w:r>
      <w:r>
        <w:rPr/>
        <w:t>grounded in</w:t>
      </w:r>
      <w:r>
        <w:rPr>
          <w:spacing w:val="-1"/>
        </w:rPr>
        <w:t> </w:t>
      </w:r>
      <w:r>
        <w:rPr/>
        <w:t>close</w:t>
      </w:r>
      <w:r>
        <w:rPr>
          <w:spacing w:val="-2"/>
        </w:rPr>
        <w:t> </w:t>
      </w:r>
      <w:r>
        <w:rPr/>
        <w:t>textual analysis, focusing on four plays: </w:t>
      </w:r>
      <w:r>
        <w:rPr>
          <w:i/>
        </w:rPr>
        <w:t>Titus Andronicus</w:t>
      </w:r>
      <w:r>
        <w:rPr/>
        <w:t>, </w:t>
      </w:r>
      <w:r>
        <w:rPr>
          <w:i/>
        </w:rPr>
        <w:t>Hamlet</w:t>
      </w:r>
      <w:r>
        <w:rPr/>
        <w:t>, </w:t>
      </w:r>
      <w:r>
        <w:rPr>
          <w:i/>
        </w:rPr>
        <w:t>Othello</w:t>
      </w:r>
      <w:r>
        <w:rPr/>
        <w:t>,</w:t>
      </w:r>
      <w:r>
        <w:rPr>
          <w:spacing w:val="40"/>
        </w:rPr>
        <w:t> </w:t>
      </w:r>
      <w:r>
        <w:rPr/>
        <w:t>and </w:t>
      </w:r>
      <w:r>
        <w:rPr>
          <w:i/>
        </w:rPr>
        <w:t>King Lear</w:t>
      </w:r>
      <w:r>
        <w:rPr/>
        <w:t>. These texts have been selected due to their sustained engagement</w:t>
      </w:r>
      <w:r>
        <w:rPr>
          <w:spacing w:val="-4"/>
        </w:rPr>
        <w:t> </w:t>
      </w:r>
      <w:r>
        <w:rPr/>
        <w:t>with</w:t>
      </w:r>
      <w:r>
        <w:rPr>
          <w:spacing w:val="-2"/>
        </w:rPr>
        <w:t> </w:t>
      </w:r>
      <w:r>
        <w:rPr/>
        <w:t>gendered</w:t>
      </w:r>
      <w:r>
        <w:rPr>
          <w:spacing w:val="-4"/>
        </w:rPr>
        <w:t> </w:t>
      </w:r>
      <w:r>
        <w:rPr/>
        <w:t>violence</w:t>
      </w:r>
      <w:r>
        <w:rPr>
          <w:spacing w:val="-4"/>
        </w:rPr>
        <w:t> </w:t>
      </w:r>
      <w:r>
        <w:rPr/>
        <w:t>and</w:t>
      </w:r>
      <w:r>
        <w:rPr>
          <w:spacing w:val="-1"/>
        </w:rPr>
        <w:t> </w:t>
      </w:r>
      <w:r>
        <w:rPr/>
        <w:t>their</w:t>
      </w:r>
      <w:r>
        <w:rPr>
          <w:spacing w:val="-2"/>
        </w:rPr>
        <w:t> </w:t>
      </w:r>
      <w:r>
        <w:rPr/>
        <w:t>diverse</w:t>
      </w:r>
      <w:r>
        <w:rPr>
          <w:spacing w:val="-1"/>
        </w:rPr>
        <w:t> </w:t>
      </w:r>
      <w:r>
        <w:rPr/>
        <w:t>representations</w:t>
      </w:r>
      <w:r>
        <w:rPr>
          <w:spacing w:val="-6"/>
        </w:rPr>
        <w:t> </w:t>
      </w:r>
      <w:r>
        <w:rPr/>
        <w:t>of female response. Rather than relying on empirical data, the analysis examines</w:t>
      </w:r>
      <w:r>
        <w:rPr>
          <w:spacing w:val="-5"/>
        </w:rPr>
        <w:t> </w:t>
      </w:r>
      <w:r>
        <w:rPr/>
        <w:t>language,</w:t>
      </w:r>
      <w:r>
        <w:rPr>
          <w:spacing w:val="-6"/>
        </w:rPr>
        <w:t> </w:t>
      </w:r>
      <w:r>
        <w:rPr/>
        <w:t>imagery,</w:t>
      </w:r>
      <w:r>
        <w:rPr>
          <w:spacing w:val="-5"/>
        </w:rPr>
        <w:t> </w:t>
      </w:r>
      <w:r>
        <w:rPr/>
        <w:t>and</w:t>
      </w:r>
      <w:r>
        <w:rPr>
          <w:spacing w:val="-3"/>
        </w:rPr>
        <w:t> </w:t>
      </w:r>
      <w:r>
        <w:rPr/>
        <w:t>dramatic</w:t>
      </w:r>
      <w:r>
        <w:rPr>
          <w:spacing w:val="-5"/>
        </w:rPr>
        <w:t> </w:t>
      </w:r>
      <w:r>
        <w:rPr/>
        <w:t>structure</w:t>
      </w:r>
      <w:r>
        <w:rPr>
          <w:spacing w:val="-6"/>
        </w:rPr>
        <w:t> </w:t>
      </w:r>
      <w:r>
        <w:rPr/>
        <w:t>to</w:t>
      </w:r>
      <w:r>
        <w:rPr>
          <w:spacing w:val="-3"/>
        </w:rPr>
        <w:t> </w:t>
      </w:r>
      <w:r>
        <w:rPr/>
        <w:t>uncover</w:t>
      </w:r>
      <w:r>
        <w:rPr>
          <w:spacing w:val="-3"/>
        </w:rPr>
        <w:t> </w:t>
      </w:r>
      <w:r>
        <w:rPr/>
        <w:t>patterns of meaning.</w:t>
      </w:r>
    </w:p>
    <w:p>
      <w:pPr>
        <w:pStyle w:val="BodyText"/>
        <w:spacing w:line="264" w:lineRule="auto" w:before="70"/>
        <w:ind w:right="1437" w:firstLine="432"/>
        <w:jc w:val="both"/>
      </w:pPr>
      <w:r>
        <w:rPr/>
        <w:t>Close</w:t>
      </w:r>
      <w:r>
        <w:rPr>
          <w:spacing w:val="-13"/>
        </w:rPr>
        <w:t> </w:t>
      </w:r>
      <w:r>
        <w:rPr/>
        <w:t>reading</w:t>
      </w:r>
      <w:r>
        <w:rPr>
          <w:spacing w:val="-12"/>
        </w:rPr>
        <w:t> </w:t>
      </w:r>
      <w:r>
        <w:rPr/>
        <w:t>serves</w:t>
      </w:r>
      <w:r>
        <w:rPr>
          <w:spacing w:val="-11"/>
        </w:rPr>
        <w:t> </w:t>
      </w:r>
      <w:r>
        <w:rPr/>
        <w:t>as</w:t>
      </w:r>
      <w:r>
        <w:rPr>
          <w:spacing w:val="-13"/>
        </w:rPr>
        <w:t> </w:t>
      </w:r>
      <w:r>
        <w:rPr/>
        <w:t>the</w:t>
      </w:r>
      <w:r>
        <w:rPr>
          <w:spacing w:val="-12"/>
        </w:rPr>
        <w:t> </w:t>
      </w:r>
      <w:r>
        <w:rPr/>
        <w:t>primary</w:t>
      </w:r>
      <w:r>
        <w:rPr>
          <w:spacing w:val="-13"/>
        </w:rPr>
        <w:t> </w:t>
      </w:r>
      <w:r>
        <w:rPr/>
        <w:t>method,</w:t>
      </w:r>
      <w:r>
        <w:rPr>
          <w:spacing w:val="-11"/>
        </w:rPr>
        <w:t> </w:t>
      </w:r>
      <w:r>
        <w:rPr/>
        <w:t>allowing</w:t>
      </w:r>
      <w:r>
        <w:rPr>
          <w:spacing w:val="-13"/>
        </w:rPr>
        <w:t> </w:t>
      </w:r>
      <w:r>
        <w:rPr/>
        <w:t>for</w:t>
      </w:r>
      <w:r>
        <w:rPr>
          <w:spacing w:val="-9"/>
        </w:rPr>
        <w:t> </w:t>
      </w:r>
      <w:r>
        <w:rPr/>
        <w:t>a</w:t>
      </w:r>
      <w:r>
        <w:rPr>
          <w:spacing w:val="-10"/>
        </w:rPr>
        <w:t> </w:t>
      </w:r>
      <w:r>
        <w:rPr/>
        <w:t>detailed examination of how characters articulate—or fail to articulate—their experiences. For example, Lavinia’s attempt to communicate through writing—”She hath no tongue to call, nor hands to wash” (</w:t>
      </w:r>
      <w:r>
        <w:rPr>
          <w:i/>
        </w:rPr>
        <w:t>Titus Andronicus </w:t>
      </w:r>
      <w:r>
        <w:rPr/>
        <w:t>2.4.11)—is analyzed not simply as a moment of loss but as a reconfiguration of expression. Similarly, Ophelia’s songs are read as symbolic</w:t>
      </w:r>
      <w:r>
        <w:rPr>
          <w:spacing w:val="40"/>
        </w:rPr>
        <w:t> </w:t>
      </w:r>
      <w:r>
        <w:rPr/>
        <w:t>acts</w:t>
      </w:r>
      <w:r>
        <w:rPr>
          <w:spacing w:val="40"/>
        </w:rPr>
        <w:t> </w:t>
      </w:r>
      <w:r>
        <w:rPr/>
        <w:t>that</w:t>
      </w:r>
      <w:r>
        <w:rPr>
          <w:spacing w:val="40"/>
        </w:rPr>
        <w:t> </w:t>
      </w:r>
      <w:r>
        <w:rPr/>
        <w:t>encode</w:t>
      </w:r>
      <w:r>
        <w:rPr>
          <w:spacing w:val="40"/>
        </w:rPr>
        <w:t> </w:t>
      </w:r>
      <w:r>
        <w:rPr/>
        <w:t>emotional</w:t>
      </w:r>
      <w:r>
        <w:rPr>
          <w:spacing w:val="40"/>
        </w:rPr>
        <w:t> </w:t>
      </w:r>
      <w:r>
        <w:rPr/>
        <w:t>and</w:t>
      </w:r>
      <w:r>
        <w:rPr>
          <w:spacing w:val="40"/>
        </w:rPr>
        <w:t> </w:t>
      </w:r>
      <w:r>
        <w:rPr/>
        <w:t>psychological</w:t>
      </w:r>
      <w:r>
        <w:rPr>
          <w:spacing w:val="40"/>
        </w:rPr>
        <w:t> </w:t>
      </w:r>
      <w:r>
        <w:rPr/>
        <w:t>states.</w:t>
      </w:r>
    </w:p>
    <w:p>
      <w:pPr>
        <w:pStyle w:val="BodyText"/>
        <w:spacing w:line="264" w:lineRule="auto" w:before="53"/>
        <w:ind w:right="1437" w:firstLine="432"/>
        <w:jc w:val="both"/>
      </w:pPr>
      <w:r>
        <w:rPr/>
        <w:t>The study also employs a comparative framework, placing characters from different plays in dialogue with one another. This approach highlights both recurring patterns and significant variations, enabling</w:t>
      </w:r>
      <w:r>
        <w:rPr>
          <w:spacing w:val="-9"/>
        </w:rPr>
        <w:t> </w:t>
      </w:r>
      <w:r>
        <w:rPr/>
        <w:t>a</w:t>
      </w:r>
      <w:r>
        <w:rPr>
          <w:spacing w:val="-7"/>
        </w:rPr>
        <w:t> </w:t>
      </w:r>
      <w:r>
        <w:rPr/>
        <w:t>broader</w:t>
      </w:r>
      <w:r>
        <w:rPr>
          <w:spacing w:val="-6"/>
        </w:rPr>
        <w:t> </w:t>
      </w:r>
      <w:r>
        <w:rPr/>
        <w:t>understanding</w:t>
      </w:r>
      <w:r>
        <w:rPr>
          <w:spacing w:val="-11"/>
        </w:rPr>
        <w:t> </w:t>
      </w:r>
      <w:r>
        <w:rPr/>
        <w:t>of</w:t>
      </w:r>
      <w:r>
        <w:rPr>
          <w:spacing w:val="-8"/>
        </w:rPr>
        <w:t> </w:t>
      </w:r>
      <w:r>
        <w:rPr/>
        <w:t>how</w:t>
      </w:r>
      <w:r>
        <w:rPr>
          <w:spacing w:val="-11"/>
        </w:rPr>
        <w:t> </w:t>
      </w:r>
      <w:r>
        <w:rPr/>
        <w:t>Shakespeare</w:t>
      </w:r>
      <w:r>
        <w:rPr>
          <w:spacing w:val="-8"/>
        </w:rPr>
        <w:t> </w:t>
      </w:r>
      <w:r>
        <w:rPr/>
        <w:t>represents</w:t>
      </w:r>
      <w:r>
        <w:rPr>
          <w:spacing w:val="-8"/>
        </w:rPr>
        <w:t> </w:t>
      </w:r>
      <w:r>
        <w:rPr/>
        <w:t>female agency. Emilia’s outspoken resistance, for instance, contrasts sharply with</w:t>
      </w:r>
      <w:r>
        <w:rPr>
          <w:spacing w:val="-7"/>
        </w:rPr>
        <w:t> </w:t>
      </w:r>
      <w:r>
        <w:rPr/>
        <w:t>Cordelia’s</w:t>
      </w:r>
      <w:r>
        <w:rPr>
          <w:spacing w:val="-9"/>
        </w:rPr>
        <w:t> </w:t>
      </w:r>
      <w:r>
        <w:rPr/>
        <w:t>silence,</w:t>
      </w:r>
      <w:r>
        <w:rPr>
          <w:spacing w:val="-7"/>
        </w:rPr>
        <w:t> </w:t>
      </w:r>
      <w:r>
        <w:rPr/>
        <w:t>yet</w:t>
      </w:r>
      <w:r>
        <w:rPr>
          <w:spacing w:val="-7"/>
        </w:rPr>
        <w:t> </w:t>
      </w:r>
      <w:r>
        <w:rPr/>
        <w:t>both</w:t>
      </w:r>
      <w:r>
        <w:rPr>
          <w:spacing w:val="-7"/>
        </w:rPr>
        <w:t> </w:t>
      </w:r>
      <w:r>
        <w:rPr/>
        <w:t>can</w:t>
      </w:r>
      <w:r>
        <w:rPr>
          <w:spacing w:val="-10"/>
        </w:rPr>
        <w:t> </w:t>
      </w:r>
      <w:r>
        <w:rPr/>
        <w:t>be</w:t>
      </w:r>
      <w:r>
        <w:rPr>
          <w:spacing w:val="-6"/>
        </w:rPr>
        <w:t> </w:t>
      </w:r>
      <w:r>
        <w:rPr/>
        <w:t>interpreted</w:t>
      </w:r>
      <w:r>
        <w:rPr>
          <w:spacing w:val="-5"/>
        </w:rPr>
        <w:t> </w:t>
      </w:r>
      <w:r>
        <w:rPr/>
        <w:t>as</w:t>
      </w:r>
      <w:r>
        <w:rPr>
          <w:spacing w:val="-7"/>
        </w:rPr>
        <w:t> </w:t>
      </w:r>
      <w:r>
        <w:rPr/>
        <w:t>forms</w:t>
      </w:r>
      <w:r>
        <w:rPr>
          <w:spacing w:val="-11"/>
        </w:rPr>
        <w:t> </w:t>
      </w:r>
      <w:r>
        <w:rPr/>
        <w:t>of</w:t>
      </w:r>
      <w:r>
        <w:rPr>
          <w:spacing w:val="-7"/>
        </w:rPr>
        <w:t> </w:t>
      </w:r>
      <w:r>
        <w:rPr>
          <w:spacing w:val="-2"/>
        </w:rPr>
        <w:t>defiance.</w:t>
      </w:r>
    </w:p>
    <w:p>
      <w:pPr>
        <w:pStyle w:val="BodyText"/>
        <w:spacing w:line="264" w:lineRule="auto" w:before="52"/>
        <w:ind w:right="1438" w:firstLine="432"/>
        <w:jc w:val="both"/>
      </w:pPr>
      <w:r>
        <w:rPr/>
        <w:t>Theoretical</w:t>
      </w:r>
      <w:r>
        <w:rPr>
          <w:spacing w:val="-13"/>
        </w:rPr>
        <w:t> </w:t>
      </w:r>
      <w:r>
        <w:rPr/>
        <w:t>perspectives</w:t>
      </w:r>
      <w:r>
        <w:rPr>
          <w:spacing w:val="-12"/>
        </w:rPr>
        <w:t> </w:t>
      </w:r>
      <w:r>
        <w:rPr/>
        <w:t>from</w:t>
      </w:r>
      <w:r>
        <w:rPr>
          <w:spacing w:val="-13"/>
        </w:rPr>
        <w:t> </w:t>
      </w:r>
      <w:r>
        <w:rPr/>
        <w:t>feminist</w:t>
      </w:r>
      <w:r>
        <w:rPr>
          <w:spacing w:val="-12"/>
        </w:rPr>
        <w:t> </w:t>
      </w:r>
      <w:r>
        <w:rPr/>
        <w:t>criticism</w:t>
      </w:r>
      <w:r>
        <w:rPr>
          <w:spacing w:val="-13"/>
        </w:rPr>
        <w:t> </w:t>
      </w:r>
      <w:r>
        <w:rPr/>
        <w:t>and</w:t>
      </w:r>
      <w:r>
        <w:rPr>
          <w:spacing w:val="-12"/>
        </w:rPr>
        <w:t> </w:t>
      </w:r>
      <w:r>
        <w:rPr/>
        <w:t>trauma</w:t>
      </w:r>
      <w:r>
        <w:rPr>
          <w:spacing w:val="-13"/>
        </w:rPr>
        <w:t> </w:t>
      </w:r>
      <w:r>
        <w:rPr/>
        <w:t>studies inform the analysis, providing tools for interpreting the relationship between gender, violence, and expression. Historical context is also considered, particularly the norms governing female behavior in early modern</w:t>
      </w:r>
      <w:r>
        <w:rPr>
          <w:spacing w:val="-4"/>
        </w:rPr>
        <w:t> </w:t>
      </w:r>
      <w:r>
        <w:rPr/>
        <w:t>England. This</w:t>
      </w:r>
      <w:r>
        <w:rPr>
          <w:spacing w:val="-4"/>
        </w:rPr>
        <w:t> </w:t>
      </w:r>
      <w:r>
        <w:rPr/>
        <w:t>contextual awareness</w:t>
      </w:r>
      <w:r>
        <w:rPr>
          <w:spacing w:val="-4"/>
        </w:rPr>
        <w:t> </w:t>
      </w:r>
      <w:r>
        <w:rPr/>
        <w:t>enhances</w:t>
      </w:r>
      <w:r>
        <w:rPr>
          <w:spacing w:val="-2"/>
        </w:rPr>
        <w:t> </w:t>
      </w:r>
      <w:r>
        <w:rPr/>
        <w:t>the</w:t>
      </w:r>
      <w:r>
        <w:rPr>
          <w:spacing w:val="-2"/>
        </w:rPr>
        <w:t> </w:t>
      </w:r>
      <w:r>
        <w:rPr/>
        <w:t>interpretative depth</w:t>
      </w:r>
      <w:r>
        <w:rPr>
          <w:spacing w:val="17"/>
        </w:rPr>
        <w:t> </w:t>
      </w:r>
      <w:r>
        <w:rPr/>
        <w:t>of</w:t>
      </w:r>
      <w:r>
        <w:rPr>
          <w:spacing w:val="14"/>
        </w:rPr>
        <w:t> </w:t>
      </w:r>
      <w:r>
        <w:rPr/>
        <w:t>the</w:t>
      </w:r>
      <w:r>
        <w:rPr>
          <w:spacing w:val="17"/>
        </w:rPr>
        <w:t> </w:t>
      </w:r>
      <w:r>
        <w:rPr/>
        <w:t>study,</w:t>
      </w:r>
      <w:r>
        <w:rPr>
          <w:spacing w:val="19"/>
        </w:rPr>
        <w:t> </w:t>
      </w:r>
      <w:r>
        <w:rPr/>
        <w:t>allowing</w:t>
      </w:r>
      <w:r>
        <w:rPr>
          <w:spacing w:val="15"/>
        </w:rPr>
        <w:t> </w:t>
      </w:r>
      <w:r>
        <w:rPr/>
        <w:t>for</w:t>
      </w:r>
      <w:r>
        <w:rPr>
          <w:spacing w:val="16"/>
        </w:rPr>
        <w:t> </w:t>
      </w:r>
      <w:r>
        <w:rPr/>
        <w:t>a</w:t>
      </w:r>
      <w:r>
        <w:rPr>
          <w:spacing w:val="18"/>
        </w:rPr>
        <w:t> </w:t>
      </w:r>
      <w:r>
        <w:rPr/>
        <w:t>more</w:t>
      </w:r>
      <w:r>
        <w:rPr>
          <w:spacing w:val="17"/>
        </w:rPr>
        <w:t> </w:t>
      </w:r>
      <w:r>
        <w:rPr/>
        <w:t>nuanced</w:t>
      </w:r>
      <w:r>
        <w:rPr>
          <w:spacing w:val="19"/>
        </w:rPr>
        <w:t> </w:t>
      </w:r>
      <w:r>
        <w:rPr/>
        <w:t>reading</w:t>
      </w:r>
      <w:r>
        <w:rPr>
          <w:spacing w:val="15"/>
        </w:rPr>
        <w:t> </w:t>
      </w:r>
      <w:r>
        <w:rPr/>
        <w:t>of</w:t>
      </w:r>
      <w:r>
        <w:rPr>
          <w:spacing w:val="17"/>
        </w:rPr>
        <w:t> </w:t>
      </w:r>
      <w:r>
        <w:rPr/>
        <w:t>the</w:t>
      </w:r>
      <w:r>
        <w:rPr>
          <w:spacing w:val="18"/>
        </w:rPr>
        <w:t> </w:t>
      </w:r>
      <w:r>
        <w:rPr>
          <w:spacing w:val="-2"/>
        </w:rPr>
        <w:t>plays.</w:t>
      </w:r>
    </w:p>
    <w:p>
      <w:pPr>
        <w:pStyle w:val="Heading3"/>
        <w:spacing w:before="140"/>
      </w:pPr>
      <w:r>
        <w:rPr>
          <w:w w:val="85"/>
        </w:rPr>
        <w:t>THEORETICAL</w:t>
      </w:r>
      <w:r>
        <w:rPr>
          <w:spacing w:val="19"/>
        </w:rPr>
        <w:t> </w:t>
      </w:r>
      <w:r>
        <w:rPr>
          <w:spacing w:val="-2"/>
        </w:rPr>
        <w:t>FRAMEWORK</w:t>
      </w:r>
    </w:p>
    <w:p>
      <w:pPr>
        <w:pStyle w:val="BodyText"/>
        <w:spacing w:line="249" w:lineRule="auto" w:before="76"/>
        <w:ind w:right="1437" w:firstLine="432"/>
        <w:jc w:val="both"/>
      </w:pPr>
      <w:r>
        <w:rPr/>
        <w:t>The analysis in this paper is informed by an interdisciplinary framework that</w:t>
      </w:r>
      <w:r>
        <w:rPr>
          <w:spacing w:val="-2"/>
        </w:rPr>
        <w:t> </w:t>
      </w:r>
      <w:r>
        <w:rPr/>
        <w:t>combines feminist</w:t>
      </w:r>
      <w:r>
        <w:rPr>
          <w:spacing w:val="-2"/>
        </w:rPr>
        <w:t> </w:t>
      </w:r>
      <w:r>
        <w:rPr/>
        <w:t>theory</w:t>
      </w:r>
      <w:r>
        <w:rPr>
          <w:spacing w:val="-2"/>
        </w:rPr>
        <w:t> </w:t>
      </w:r>
      <w:r>
        <w:rPr/>
        <w:t>with trauma</w:t>
      </w:r>
      <w:r>
        <w:rPr>
          <w:spacing w:val="-1"/>
        </w:rPr>
        <w:t> </w:t>
      </w:r>
      <w:r>
        <w:rPr/>
        <w:t>studies. Feminist criticism emphasizes how gender structures both representation and interpretation, drawing attention to the ways in which women’s voices are regulated within patriarchal systems. In this context, silence and speech</w:t>
      </w:r>
      <w:r>
        <w:rPr>
          <w:spacing w:val="40"/>
        </w:rPr>
        <w:t> </w:t>
      </w:r>
      <w:r>
        <w:rPr/>
        <w:t>are</w:t>
      </w:r>
      <w:r>
        <w:rPr>
          <w:spacing w:val="40"/>
        </w:rPr>
        <w:t> </w:t>
      </w:r>
      <w:r>
        <w:rPr/>
        <w:t>not</w:t>
      </w:r>
      <w:r>
        <w:rPr>
          <w:spacing w:val="40"/>
        </w:rPr>
        <w:t> </w:t>
      </w:r>
      <w:r>
        <w:rPr/>
        <w:t>neutral</w:t>
      </w:r>
      <w:r>
        <w:rPr>
          <w:spacing w:val="40"/>
        </w:rPr>
        <w:t> </w:t>
      </w:r>
      <w:r>
        <w:rPr/>
        <w:t>acts</w:t>
      </w:r>
      <w:r>
        <w:rPr>
          <w:spacing w:val="40"/>
        </w:rPr>
        <w:t> </w:t>
      </w:r>
      <w:r>
        <w:rPr/>
        <w:t>but</w:t>
      </w:r>
      <w:r>
        <w:rPr>
          <w:spacing w:val="40"/>
        </w:rPr>
        <w:t> </w:t>
      </w:r>
      <w:r>
        <w:rPr/>
        <w:t>are</w:t>
      </w:r>
      <w:r>
        <w:rPr>
          <w:spacing w:val="40"/>
        </w:rPr>
        <w:t> </w:t>
      </w:r>
      <w:r>
        <w:rPr/>
        <w:t>shaped</w:t>
      </w:r>
      <w:r>
        <w:rPr>
          <w:spacing w:val="40"/>
        </w:rPr>
        <w:t> </w:t>
      </w:r>
      <w:r>
        <w:rPr/>
        <w:t>by</w:t>
      </w:r>
      <w:r>
        <w:rPr>
          <w:spacing w:val="40"/>
        </w:rPr>
        <w:t> </w:t>
      </w:r>
      <w:r>
        <w:rPr/>
        <w:t>social</w:t>
      </w:r>
      <w:r>
        <w:rPr>
          <w:spacing w:val="40"/>
        </w:rPr>
        <w:t> </w:t>
      </w:r>
      <w:r>
        <w:rPr/>
        <w:t>expectations.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55936">
                <wp:simplePos x="0" y="0"/>
                <wp:positionH relativeFrom="page">
                  <wp:posOffset>2065020</wp:posOffset>
                </wp:positionH>
                <wp:positionV relativeFrom="paragraph">
                  <wp:posOffset>162604</wp:posOffset>
                </wp:positionV>
                <wp:extent cx="3657600" cy="12700"/>
                <wp:effectExtent l="0" t="0" r="0" b="0"/>
                <wp:wrapTopAndBottom/>
                <wp:docPr id="244" name="Graphic 244"/>
                <wp:cNvGraphicFramePr>
                  <a:graphicFrameLocks/>
                </wp:cNvGraphicFramePr>
                <a:graphic>
                  <a:graphicData uri="http://schemas.microsoft.com/office/word/2010/wordprocessingShape">
                    <wps:wsp>
                      <wps:cNvPr id="244" name="Graphic 24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60544;mso-wrap-distance-left:0;mso-wrap-distance-right:0" id="docshape240" filled="true" fillcolor="#000000" stroked="false">
                <v:fill type="solid"/>
                <w10:wrap type="topAndBottom"/>
              </v:rect>
            </w:pict>
          </mc:Fallback>
        </mc:AlternateContent>
      </w:r>
      <w:r>
        <w:rPr>
          <w:rFonts w:ascii="Verdana" w:hAnsi="Verdana"/>
          <w:sz w:val="18"/>
        </w:rPr>
        <w:t>Silence,</w:t>
      </w:r>
      <w:r>
        <w:rPr>
          <w:rFonts w:ascii="Verdana" w:hAnsi="Verdana"/>
          <w:spacing w:val="2"/>
          <w:sz w:val="18"/>
        </w:rPr>
        <w:t> </w:t>
      </w:r>
      <w:r>
        <w:rPr>
          <w:rFonts w:ascii="Verdana" w:hAnsi="Verdana"/>
          <w:sz w:val="18"/>
        </w:rPr>
        <w:t>Speech,</w:t>
      </w:r>
      <w:r>
        <w:rPr>
          <w:rFonts w:ascii="Verdana" w:hAnsi="Verdana"/>
          <w:spacing w:val="3"/>
          <w:sz w:val="18"/>
        </w:rPr>
        <w:t> </w:t>
      </w:r>
      <w:r>
        <w:rPr>
          <w:rFonts w:ascii="Verdana" w:hAnsi="Verdana"/>
          <w:sz w:val="18"/>
        </w:rPr>
        <w:t>and</w:t>
      </w:r>
      <w:r>
        <w:rPr>
          <w:rFonts w:ascii="Verdana" w:hAnsi="Verdana"/>
          <w:spacing w:val="4"/>
          <w:sz w:val="18"/>
        </w:rPr>
        <w:t> </w:t>
      </w:r>
      <w:r>
        <w:rPr>
          <w:rFonts w:ascii="Verdana" w:hAnsi="Verdana"/>
          <w:sz w:val="18"/>
        </w:rPr>
        <w:t>Revenge:</w:t>
      </w:r>
      <w:r>
        <w:rPr>
          <w:rFonts w:ascii="Verdana" w:hAnsi="Verdana"/>
          <w:spacing w:val="4"/>
          <w:sz w:val="18"/>
        </w:rPr>
        <w:t> </w:t>
      </w:r>
      <w:r>
        <w:rPr>
          <w:rFonts w:ascii="Verdana" w:hAnsi="Verdana"/>
          <w:sz w:val="18"/>
        </w:rPr>
        <w:t>Women’s</w:t>
      </w:r>
      <w:r>
        <w:rPr>
          <w:rFonts w:ascii="Verdana" w:hAnsi="Verdana"/>
          <w:spacing w:val="4"/>
          <w:sz w:val="18"/>
        </w:rPr>
        <w:t> </w:t>
      </w:r>
      <w:r>
        <w:rPr>
          <w:rFonts w:ascii="Verdana" w:hAnsi="Verdana"/>
          <w:sz w:val="18"/>
        </w:rPr>
        <w:t>Responses</w:t>
      </w:r>
      <w:r>
        <w:rPr>
          <w:rFonts w:ascii="Verdana" w:hAnsi="Verdana"/>
          <w:spacing w:val="3"/>
          <w:sz w:val="18"/>
        </w:rPr>
        <w:t> </w:t>
      </w:r>
      <w:r>
        <w:rPr>
          <w:rFonts w:ascii="Verdana" w:hAnsi="Verdana"/>
          <w:spacing w:val="-2"/>
          <w:sz w:val="18"/>
        </w:rPr>
        <w:t>to...</w:t>
      </w:r>
      <w:r>
        <w:rPr>
          <w:rFonts w:ascii="Verdana" w:hAnsi="Verdana"/>
          <w:sz w:val="18"/>
        </w:rPr>
        <w:tab/>
      </w:r>
      <w:r>
        <w:rPr>
          <w:rFonts w:ascii="Verdana" w:hAnsi="Verdana"/>
          <w:spacing w:val="-5"/>
          <w:sz w:val="18"/>
        </w:rPr>
        <w:t>67</w:t>
      </w:r>
    </w:p>
    <w:p>
      <w:pPr>
        <w:pStyle w:val="BodyText"/>
        <w:spacing w:line="249" w:lineRule="auto" w:before="192"/>
        <w:ind w:right="1439" w:firstLine="432"/>
        <w:jc w:val="both"/>
      </w:pPr>
      <w:r>
        <w:rPr/>
        <w:t>The</w:t>
      </w:r>
      <w:r>
        <w:rPr>
          <w:spacing w:val="-7"/>
        </w:rPr>
        <w:t> </w:t>
      </w:r>
      <w:r>
        <w:rPr/>
        <w:t>concept</w:t>
      </w:r>
      <w:r>
        <w:rPr>
          <w:spacing w:val="-6"/>
        </w:rPr>
        <w:t> </w:t>
      </w:r>
      <w:r>
        <w:rPr/>
        <w:t>of</w:t>
      </w:r>
      <w:r>
        <w:rPr>
          <w:spacing w:val="-10"/>
        </w:rPr>
        <w:t> </w:t>
      </w:r>
      <w:r>
        <w:rPr/>
        <w:t>embodiment</w:t>
      </w:r>
      <w:r>
        <w:rPr>
          <w:spacing w:val="-7"/>
        </w:rPr>
        <w:t> </w:t>
      </w:r>
      <w:r>
        <w:rPr/>
        <w:t>is</w:t>
      </w:r>
      <w:r>
        <w:rPr>
          <w:spacing w:val="-8"/>
        </w:rPr>
        <w:t> </w:t>
      </w:r>
      <w:r>
        <w:rPr/>
        <w:t>central</w:t>
      </w:r>
      <w:r>
        <w:rPr>
          <w:spacing w:val="-7"/>
        </w:rPr>
        <w:t> </w:t>
      </w:r>
      <w:r>
        <w:rPr/>
        <w:t>to</w:t>
      </w:r>
      <w:r>
        <w:rPr>
          <w:spacing w:val="-8"/>
        </w:rPr>
        <w:t> </w:t>
      </w:r>
      <w:r>
        <w:rPr/>
        <w:t>this</w:t>
      </w:r>
      <w:r>
        <w:rPr>
          <w:spacing w:val="-8"/>
        </w:rPr>
        <w:t> </w:t>
      </w:r>
      <w:r>
        <w:rPr/>
        <w:t>framework.</w:t>
      </w:r>
      <w:r>
        <w:rPr>
          <w:spacing w:val="-8"/>
        </w:rPr>
        <w:t> </w:t>
      </w:r>
      <w:r>
        <w:rPr/>
        <w:t>Lavinia’s mutilation</w:t>
      </w:r>
      <w:r>
        <w:rPr>
          <w:spacing w:val="-4"/>
        </w:rPr>
        <w:t> </w:t>
      </w:r>
      <w:r>
        <w:rPr/>
        <w:t>in</w:t>
      </w:r>
      <w:r>
        <w:rPr>
          <w:spacing w:val="-1"/>
        </w:rPr>
        <w:t> </w:t>
      </w:r>
      <w:r>
        <w:rPr>
          <w:i/>
        </w:rPr>
        <w:t>Titus</w:t>
      </w:r>
      <w:r>
        <w:rPr>
          <w:i/>
          <w:spacing w:val="-2"/>
        </w:rPr>
        <w:t> </w:t>
      </w:r>
      <w:r>
        <w:rPr>
          <w:i/>
        </w:rPr>
        <w:t>Andronicus</w:t>
      </w:r>
      <w:r>
        <w:rPr>
          <w:i/>
          <w:spacing w:val="-2"/>
        </w:rPr>
        <w:t> </w:t>
      </w:r>
      <w:r>
        <w:rPr/>
        <w:t>demonstrates how</w:t>
      </w:r>
      <w:r>
        <w:rPr>
          <w:spacing w:val="-5"/>
        </w:rPr>
        <w:t> </w:t>
      </w:r>
      <w:r>
        <w:rPr/>
        <w:t>the body</w:t>
      </w:r>
      <w:r>
        <w:rPr>
          <w:spacing w:val="-5"/>
        </w:rPr>
        <w:t> </w:t>
      </w:r>
      <w:r>
        <w:rPr/>
        <w:t>can</w:t>
      </w:r>
      <w:r>
        <w:rPr>
          <w:spacing w:val="-2"/>
        </w:rPr>
        <w:t> </w:t>
      </w:r>
      <w:r>
        <w:rPr/>
        <w:t>function as a site of meaning when language is denied. Her act of writing—</w:t>
      </w:r>
      <w:r>
        <w:rPr>
          <w:spacing w:val="-2"/>
        </w:rPr>
        <w:t>”Without</w:t>
      </w:r>
      <w:r>
        <w:rPr>
          <w:spacing w:val="-7"/>
        </w:rPr>
        <w:t> </w:t>
      </w:r>
      <w:r>
        <w:rPr>
          <w:spacing w:val="-2"/>
        </w:rPr>
        <w:t>the</w:t>
      </w:r>
      <w:r>
        <w:rPr>
          <w:spacing w:val="-7"/>
        </w:rPr>
        <w:t> </w:t>
      </w:r>
      <w:r>
        <w:rPr>
          <w:spacing w:val="-2"/>
        </w:rPr>
        <w:t>help</w:t>
      </w:r>
      <w:r>
        <w:rPr>
          <w:spacing w:val="-9"/>
        </w:rPr>
        <w:t> </w:t>
      </w:r>
      <w:r>
        <w:rPr>
          <w:spacing w:val="-2"/>
        </w:rPr>
        <w:t>of</w:t>
      </w:r>
      <w:r>
        <w:rPr>
          <w:spacing w:val="-7"/>
        </w:rPr>
        <w:t> </w:t>
      </w:r>
      <w:r>
        <w:rPr>
          <w:spacing w:val="-2"/>
        </w:rPr>
        <w:t>any</w:t>
      </w:r>
      <w:r>
        <w:rPr>
          <w:spacing w:val="-9"/>
        </w:rPr>
        <w:t> </w:t>
      </w:r>
      <w:r>
        <w:rPr>
          <w:spacing w:val="-2"/>
        </w:rPr>
        <w:t>hand</w:t>
      </w:r>
      <w:r>
        <w:rPr>
          <w:spacing w:val="-7"/>
        </w:rPr>
        <w:t> </w:t>
      </w:r>
      <w:r>
        <w:rPr>
          <w:spacing w:val="-2"/>
        </w:rPr>
        <w:t>at</w:t>
      </w:r>
      <w:r>
        <w:rPr>
          <w:spacing w:val="-7"/>
        </w:rPr>
        <w:t> </w:t>
      </w:r>
      <w:r>
        <w:rPr>
          <w:spacing w:val="-2"/>
        </w:rPr>
        <w:t>all”</w:t>
      </w:r>
      <w:r>
        <w:rPr>
          <w:spacing w:val="-7"/>
        </w:rPr>
        <w:t> </w:t>
      </w:r>
      <w:r>
        <w:rPr>
          <w:spacing w:val="-2"/>
        </w:rPr>
        <w:t>(4.1.70)—illustrates</w:t>
      </w:r>
      <w:r>
        <w:rPr>
          <w:spacing w:val="-7"/>
        </w:rPr>
        <w:t> </w:t>
      </w:r>
      <w:r>
        <w:rPr>
          <w:spacing w:val="-2"/>
        </w:rPr>
        <w:t>how</w:t>
      </w:r>
      <w:r>
        <w:rPr>
          <w:spacing w:val="-11"/>
        </w:rPr>
        <w:t> </w:t>
      </w:r>
      <w:r>
        <w:rPr>
          <w:spacing w:val="-2"/>
        </w:rPr>
        <w:t>expression </w:t>
      </w:r>
      <w:r>
        <w:rPr/>
        <w:t>can persist despite physical limitation. This challenges the assumption that</w:t>
      </w:r>
      <w:r>
        <w:rPr>
          <w:spacing w:val="40"/>
        </w:rPr>
        <w:t> </w:t>
      </w:r>
      <w:r>
        <w:rPr/>
        <w:t>communication</w:t>
      </w:r>
      <w:r>
        <w:rPr>
          <w:spacing w:val="40"/>
        </w:rPr>
        <w:t> </w:t>
      </w:r>
      <w:r>
        <w:rPr/>
        <w:t>is</w:t>
      </w:r>
      <w:r>
        <w:rPr>
          <w:spacing w:val="40"/>
        </w:rPr>
        <w:t> </w:t>
      </w:r>
      <w:r>
        <w:rPr/>
        <w:t>solely</w:t>
      </w:r>
      <w:r>
        <w:rPr>
          <w:spacing w:val="40"/>
        </w:rPr>
        <w:t> </w:t>
      </w:r>
      <w:r>
        <w:rPr/>
        <w:t>dependent</w:t>
      </w:r>
      <w:r>
        <w:rPr>
          <w:spacing w:val="40"/>
        </w:rPr>
        <w:t> </w:t>
      </w:r>
      <w:r>
        <w:rPr/>
        <w:t>on</w:t>
      </w:r>
      <w:r>
        <w:rPr>
          <w:spacing w:val="40"/>
        </w:rPr>
        <w:t> </w:t>
      </w:r>
      <w:r>
        <w:rPr/>
        <w:t>speech.</w:t>
      </w:r>
    </w:p>
    <w:p>
      <w:pPr>
        <w:pStyle w:val="BodyText"/>
        <w:spacing w:line="249" w:lineRule="auto" w:before="63"/>
        <w:ind w:right="1438" w:firstLine="432"/>
        <w:jc w:val="both"/>
      </w:pPr>
      <w:r>
        <w:rPr/>
        <w:t>The idea of performativity further complicates the relationship between silence and speech. Cordelia’s refusal—”Nothing, my lord” (</w:t>
      </w:r>
      <w:r>
        <w:rPr>
          <w:i/>
        </w:rPr>
        <w:t>King</w:t>
      </w:r>
      <w:r>
        <w:rPr>
          <w:i/>
          <w:spacing w:val="-3"/>
        </w:rPr>
        <w:t> </w:t>
      </w:r>
      <w:r>
        <w:rPr>
          <w:i/>
        </w:rPr>
        <w:t>Lear</w:t>
      </w:r>
      <w:r>
        <w:rPr>
          <w:i/>
          <w:spacing w:val="-5"/>
        </w:rPr>
        <w:t> </w:t>
      </w:r>
      <w:r>
        <w:rPr/>
        <w:t>1.1.87)—can</w:t>
      </w:r>
      <w:r>
        <w:rPr>
          <w:spacing w:val="-5"/>
        </w:rPr>
        <w:t> </w:t>
      </w:r>
      <w:r>
        <w:rPr/>
        <w:t>be</w:t>
      </w:r>
      <w:r>
        <w:rPr>
          <w:spacing w:val="-5"/>
        </w:rPr>
        <w:t> </w:t>
      </w:r>
      <w:r>
        <w:rPr/>
        <w:t>read</w:t>
      </w:r>
      <w:r>
        <w:rPr>
          <w:spacing w:val="-3"/>
        </w:rPr>
        <w:t> </w:t>
      </w:r>
      <w:r>
        <w:rPr/>
        <w:t>as</w:t>
      </w:r>
      <w:r>
        <w:rPr>
          <w:spacing w:val="-5"/>
        </w:rPr>
        <w:t> </w:t>
      </w:r>
      <w:r>
        <w:rPr/>
        <w:t>a</w:t>
      </w:r>
      <w:r>
        <w:rPr>
          <w:spacing w:val="-5"/>
        </w:rPr>
        <w:t> </w:t>
      </w:r>
      <w:r>
        <w:rPr/>
        <w:t>rejection</w:t>
      </w:r>
      <w:r>
        <w:rPr>
          <w:spacing w:val="-5"/>
        </w:rPr>
        <w:t> </w:t>
      </w:r>
      <w:r>
        <w:rPr/>
        <w:t>of</w:t>
      </w:r>
      <w:r>
        <w:rPr>
          <w:spacing w:val="-6"/>
        </w:rPr>
        <w:t> </w:t>
      </w:r>
      <w:r>
        <w:rPr/>
        <w:t>imposed</w:t>
      </w:r>
      <w:r>
        <w:rPr>
          <w:spacing w:val="-3"/>
        </w:rPr>
        <w:t> </w:t>
      </w:r>
      <w:r>
        <w:rPr/>
        <w:t>expectations, revealing how silence can function as resistance. Similarly, Emilia’s speech exposes the contradictions within patriarchal authority, demonstrating</w:t>
      </w:r>
      <w:r>
        <w:rPr>
          <w:spacing w:val="40"/>
        </w:rPr>
        <w:t> </w:t>
      </w:r>
      <w:r>
        <w:rPr/>
        <w:t>how</w:t>
      </w:r>
      <w:r>
        <w:rPr>
          <w:spacing w:val="40"/>
        </w:rPr>
        <w:t> </w:t>
      </w:r>
      <w:r>
        <w:rPr/>
        <w:t>language</w:t>
      </w:r>
      <w:r>
        <w:rPr>
          <w:spacing w:val="40"/>
        </w:rPr>
        <w:t> </w:t>
      </w:r>
      <w:r>
        <w:rPr/>
        <w:t>can</w:t>
      </w:r>
      <w:r>
        <w:rPr>
          <w:spacing w:val="40"/>
        </w:rPr>
        <w:t> </w:t>
      </w:r>
      <w:r>
        <w:rPr/>
        <w:t>disrupt</w:t>
      </w:r>
      <w:r>
        <w:rPr>
          <w:spacing w:val="40"/>
        </w:rPr>
        <w:t> </w:t>
      </w:r>
      <w:r>
        <w:rPr/>
        <w:t>established</w:t>
      </w:r>
      <w:r>
        <w:rPr>
          <w:spacing w:val="40"/>
        </w:rPr>
        <w:t> </w:t>
      </w:r>
      <w:r>
        <w:rPr/>
        <w:t>hierarchies.</w:t>
      </w:r>
    </w:p>
    <w:p>
      <w:pPr>
        <w:pStyle w:val="BodyText"/>
        <w:spacing w:line="249" w:lineRule="auto" w:before="62"/>
        <w:ind w:right="1439" w:firstLine="432"/>
        <w:jc w:val="both"/>
      </w:pPr>
      <w:r>
        <w:rPr/>
        <w:t>Trauma theory contributes an understanding of how extreme experiences resist representation. Ophelia’s fragmented speech and eventual death reflect the difficulty of articulating trauma, suggesting that silence and incoherence are integral to its expression. Together, these theoretical perspectives allow for a reading of Shakespeare’s female characters that foregrounds complexity and ambiguity.</w:t>
      </w:r>
    </w:p>
    <w:p>
      <w:pPr>
        <w:pStyle w:val="Heading3"/>
        <w:spacing w:before="159"/>
        <w:ind w:left="0" w:right="126"/>
        <w:jc w:val="center"/>
      </w:pPr>
      <w:r>
        <w:rPr>
          <w:w w:val="90"/>
        </w:rPr>
        <w:t>GENDERED</w:t>
      </w:r>
      <w:r>
        <w:rPr>
          <w:spacing w:val="14"/>
        </w:rPr>
        <w:t> </w:t>
      </w:r>
      <w:r>
        <w:rPr>
          <w:w w:val="90"/>
        </w:rPr>
        <w:t>VIOLENCE</w:t>
      </w:r>
      <w:r>
        <w:rPr>
          <w:spacing w:val="13"/>
        </w:rPr>
        <w:t> </w:t>
      </w:r>
      <w:r>
        <w:rPr>
          <w:w w:val="90"/>
        </w:rPr>
        <w:t>AND</w:t>
      </w:r>
      <w:r>
        <w:rPr>
          <w:spacing w:val="17"/>
        </w:rPr>
        <w:t> </w:t>
      </w:r>
      <w:r>
        <w:rPr>
          <w:w w:val="90"/>
        </w:rPr>
        <w:t>THE</w:t>
      </w:r>
      <w:r>
        <w:rPr>
          <w:spacing w:val="17"/>
        </w:rPr>
        <w:t> </w:t>
      </w:r>
      <w:r>
        <w:rPr>
          <w:w w:val="90"/>
        </w:rPr>
        <w:t>POLITICS</w:t>
      </w:r>
      <w:r>
        <w:rPr>
          <w:spacing w:val="15"/>
        </w:rPr>
        <w:t> </w:t>
      </w:r>
      <w:r>
        <w:rPr>
          <w:w w:val="90"/>
        </w:rPr>
        <w:t>OF</w:t>
      </w:r>
      <w:r>
        <w:rPr>
          <w:spacing w:val="17"/>
        </w:rPr>
        <w:t> </w:t>
      </w:r>
      <w:r>
        <w:rPr>
          <w:spacing w:val="-4"/>
          <w:w w:val="90"/>
        </w:rPr>
        <w:t>VOICE</w:t>
      </w:r>
    </w:p>
    <w:p>
      <w:pPr>
        <w:pStyle w:val="BodyText"/>
        <w:spacing w:line="249" w:lineRule="auto" w:before="77"/>
        <w:ind w:right="1437" w:firstLine="432"/>
        <w:jc w:val="both"/>
      </w:pPr>
      <w:r>
        <w:rPr/>
        <w:t>In</w:t>
      </w:r>
      <w:r>
        <w:rPr>
          <w:spacing w:val="-13"/>
        </w:rPr>
        <w:t> </w:t>
      </w:r>
      <w:r>
        <w:rPr/>
        <w:t>early</w:t>
      </w:r>
      <w:r>
        <w:rPr>
          <w:spacing w:val="-12"/>
        </w:rPr>
        <w:t> </w:t>
      </w:r>
      <w:r>
        <w:rPr/>
        <w:t>modern</w:t>
      </w:r>
      <w:r>
        <w:rPr>
          <w:spacing w:val="-13"/>
        </w:rPr>
        <w:t> </w:t>
      </w:r>
      <w:r>
        <w:rPr/>
        <w:t>England,</w:t>
      </w:r>
      <w:r>
        <w:rPr>
          <w:spacing w:val="-12"/>
        </w:rPr>
        <w:t> </w:t>
      </w:r>
      <w:r>
        <w:rPr/>
        <w:t>the</w:t>
      </w:r>
      <w:r>
        <w:rPr>
          <w:spacing w:val="-13"/>
        </w:rPr>
        <w:t> </w:t>
      </w:r>
      <w:r>
        <w:rPr/>
        <w:t>regulation</w:t>
      </w:r>
      <w:r>
        <w:rPr>
          <w:spacing w:val="-12"/>
        </w:rPr>
        <w:t> </w:t>
      </w:r>
      <w:r>
        <w:rPr/>
        <w:t>of</w:t>
      </w:r>
      <w:r>
        <w:rPr>
          <w:spacing w:val="-13"/>
        </w:rPr>
        <w:t> </w:t>
      </w:r>
      <w:r>
        <w:rPr/>
        <w:t>women’s</w:t>
      </w:r>
      <w:r>
        <w:rPr>
          <w:spacing w:val="-12"/>
        </w:rPr>
        <w:t> </w:t>
      </w:r>
      <w:r>
        <w:rPr/>
        <w:t>speech</w:t>
      </w:r>
      <w:r>
        <w:rPr>
          <w:spacing w:val="-13"/>
        </w:rPr>
        <w:t> </w:t>
      </w:r>
      <w:r>
        <w:rPr/>
        <w:t>formed </w:t>
      </w:r>
      <w:r>
        <w:rPr>
          <w:spacing w:val="-2"/>
        </w:rPr>
        <w:t>a</w:t>
      </w:r>
      <w:r>
        <w:rPr>
          <w:spacing w:val="-11"/>
        </w:rPr>
        <w:t> </w:t>
      </w:r>
      <w:r>
        <w:rPr>
          <w:spacing w:val="-2"/>
        </w:rPr>
        <w:t>crucial</w:t>
      </w:r>
      <w:r>
        <w:rPr>
          <w:spacing w:val="-9"/>
        </w:rPr>
        <w:t> </w:t>
      </w:r>
      <w:r>
        <w:rPr>
          <w:spacing w:val="-2"/>
        </w:rPr>
        <w:t>component</w:t>
      </w:r>
      <w:r>
        <w:rPr>
          <w:spacing w:val="-11"/>
        </w:rPr>
        <w:t> </w:t>
      </w:r>
      <w:r>
        <w:rPr>
          <w:spacing w:val="-2"/>
        </w:rPr>
        <w:t>of</w:t>
      </w:r>
      <w:r>
        <w:rPr>
          <w:spacing w:val="-10"/>
        </w:rPr>
        <w:t> </w:t>
      </w:r>
      <w:r>
        <w:rPr>
          <w:spacing w:val="-2"/>
        </w:rPr>
        <w:t>patriarchal</w:t>
      </w:r>
      <w:r>
        <w:rPr>
          <w:spacing w:val="-10"/>
        </w:rPr>
        <w:t> </w:t>
      </w:r>
      <w:r>
        <w:rPr>
          <w:spacing w:val="-2"/>
        </w:rPr>
        <w:t>authority,</w:t>
      </w:r>
      <w:r>
        <w:rPr>
          <w:spacing w:val="-11"/>
        </w:rPr>
        <w:t> </w:t>
      </w:r>
      <w:r>
        <w:rPr>
          <w:spacing w:val="-2"/>
        </w:rPr>
        <w:t>where</w:t>
      </w:r>
      <w:r>
        <w:rPr>
          <w:spacing w:val="-10"/>
        </w:rPr>
        <w:t> </w:t>
      </w:r>
      <w:r>
        <w:rPr>
          <w:spacing w:val="-2"/>
        </w:rPr>
        <w:t>silence</w:t>
      </w:r>
      <w:r>
        <w:rPr>
          <w:spacing w:val="-10"/>
        </w:rPr>
        <w:t> </w:t>
      </w:r>
      <w:r>
        <w:rPr>
          <w:spacing w:val="-2"/>
        </w:rPr>
        <w:t>was</w:t>
      </w:r>
      <w:r>
        <w:rPr>
          <w:spacing w:val="-10"/>
        </w:rPr>
        <w:t> </w:t>
      </w:r>
      <w:r>
        <w:rPr>
          <w:spacing w:val="-2"/>
        </w:rPr>
        <w:t>frequently </w:t>
      </w:r>
      <w:r>
        <w:rPr/>
        <w:t>equated with virtue and obedience. Conduct literature of the period </w:t>
      </w:r>
      <w:r>
        <w:rPr>
          <w:spacing w:val="-2"/>
        </w:rPr>
        <w:t>repeatedly</w:t>
      </w:r>
      <w:r>
        <w:rPr>
          <w:spacing w:val="-11"/>
        </w:rPr>
        <w:t> </w:t>
      </w:r>
      <w:r>
        <w:rPr>
          <w:spacing w:val="-2"/>
        </w:rPr>
        <w:t>emphasized</w:t>
      </w:r>
      <w:r>
        <w:rPr>
          <w:spacing w:val="-10"/>
        </w:rPr>
        <w:t> </w:t>
      </w:r>
      <w:r>
        <w:rPr>
          <w:spacing w:val="-2"/>
        </w:rPr>
        <w:t>restraint</w:t>
      </w:r>
      <w:r>
        <w:rPr>
          <w:spacing w:val="-10"/>
        </w:rPr>
        <w:t> </w:t>
      </w:r>
      <w:r>
        <w:rPr>
          <w:spacing w:val="-2"/>
        </w:rPr>
        <w:t>in</w:t>
      </w:r>
      <w:r>
        <w:rPr>
          <w:spacing w:val="-9"/>
        </w:rPr>
        <w:t> </w:t>
      </w:r>
      <w:r>
        <w:rPr>
          <w:spacing w:val="-2"/>
        </w:rPr>
        <w:t>female</w:t>
      </w:r>
      <w:r>
        <w:rPr>
          <w:spacing w:val="-7"/>
        </w:rPr>
        <w:t> </w:t>
      </w:r>
      <w:r>
        <w:rPr>
          <w:spacing w:val="-2"/>
        </w:rPr>
        <w:t>expression,</w:t>
      </w:r>
      <w:r>
        <w:rPr>
          <w:spacing w:val="-10"/>
        </w:rPr>
        <w:t> </w:t>
      </w:r>
      <w:r>
        <w:rPr>
          <w:spacing w:val="-2"/>
        </w:rPr>
        <w:t>constructing</w:t>
      </w:r>
      <w:r>
        <w:rPr>
          <w:spacing w:val="-10"/>
        </w:rPr>
        <w:t> </w:t>
      </w:r>
      <w:r>
        <w:rPr>
          <w:spacing w:val="-2"/>
        </w:rPr>
        <w:t>speech </w:t>
      </w:r>
      <w:r>
        <w:rPr/>
        <w:t>as a potential site of disorder. Within this cultural framework, violence against women in Shakespeare’s plays often operates not merely as physical domination but as a means of controlling and disciplining the female voice. The denial, distortion, or suppression of speech becomes a mechanism through which patriarchal power is both asserted and </w:t>
      </w:r>
      <w:r>
        <w:rPr>
          <w:spacing w:val="-2"/>
        </w:rPr>
        <w:t>maintained.</w:t>
      </w:r>
    </w:p>
    <w:p>
      <w:pPr>
        <w:pStyle w:val="BodyText"/>
        <w:spacing w:line="249" w:lineRule="auto" w:before="66"/>
        <w:ind w:right="1436" w:firstLine="432"/>
        <w:jc w:val="both"/>
      </w:pPr>
      <w:r>
        <w:rPr>
          <w:spacing w:val="-2"/>
        </w:rPr>
        <w:t>Shakespeare’s</w:t>
      </w:r>
      <w:r>
        <w:rPr>
          <w:spacing w:val="-9"/>
        </w:rPr>
        <w:t> </w:t>
      </w:r>
      <w:r>
        <w:rPr>
          <w:spacing w:val="-2"/>
        </w:rPr>
        <w:t>tragedies</w:t>
      </w:r>
      <w:r>
        <w:rPr>
          <w:spacing w:val="-9"/>
        </w:rPr>
        <w:t> </w:t>
      </w:r>
      <w:r>
        <w:rPr>
          <w:spacing w:val="-2"/>
        </w:rPr>
        <w:t>reflect</w:t>
      </w:r>
      <w:r>
        <w:rPr>
          <w:spacing w:val="-11"/>
        </w:rPr>
        <w:t> </w:t>
      </w:r>
      <w:r>
        <w:rPr>
          <w:spacing w:val="-2"/>
        </w:rPr>
        <w:t>these</w:t>
      </w:r>
      <w:r>
        <w:rPr>
          <w:spacing w:val="-6"/>
        </w:rPr>
        <w:t> </w:t>
      </w:r>
      <w:r>
        <w:rPr>
          <w:spacing w:val="-2"/>
        </w:rPr>
        <w:t>socio-cultural</w:t>
      </w:r>
      <w:r>
        <w:rPr>
          <w:spacing w:val="-7"/>
        </w:rPr>
        <w:t> </w:t>
      </w:r>
      <w:r>
        <w:rPr>
          <w:spacing w:val="-2"/>
        </w:rPr>
        <w:t>conditions</w:t>
      </w:r>
      <w:r>
        <w:rPr>
          <w:spacing w:val="-7"/>
        </w:rPr>
        <w:t> </w:t>
      </w:r>
      <w:r>
        <w:rPr>
          <w:spacing w:val="-2"/>
        </w:rPr>
        <w:t>while </w:t>
      </w:r>
      <w:r>
        <w:rPr/>
        <w:t>simultaneously exposing their contradictions. Female characters are frequently placed in situations where their attempts to speak are either disregarded or actively silenced. In </w:t>
      </w:r>
      <w:r>
        <w:rPr>
          <w:i/>
        </w:rPr>
        <w:t>Othello</w:t>
      </w:r>
      <w:r>
        <w:rPr/>
        <w:t>, for instance, Desdemona’s voice</w:t>
      </w:r>
      <w:r>
        <w:rPr>
          <w:spacing w:val="-13"/>
        </w:rPr>
        <w:t> </w:t>
      </w:r>
      <w:r>
        <w:rPr/>
        <w:t>is</w:t>
      </w:r>
      <w:r>
        <w:rPr>
          <w:spacing w:val="-12"/>
        </w:rPr>
        <w:t> </w:t>
      </w:r>
      <w:r>
        <w:rPr/>
        <w:t>gradually</w:t>
      </w:r>
      <w:r>
        <w:rPr>
          <w:spacing w:val="-13"/>
        </w:rPr>
        <w:t> </w:t>
      </w:r>
      <w:r>
        <w:rPr/>
        <w:t>undermined</w:t>
      </w:r>
      <w:r>
        <w:rPr>
          <w:spacing w:val="-12"/>
        </w:rPr>
        <w:t> </w:t>
      </w:r>
      <w:r>
        <w:rPr/>
        <w:t>as</w:t>
      </w:r>
      <w:r>
        <w:rPr>
          <w:spacing w:val="-13"/>
        </w:rPr>
        <w:t> </w:t>
      </w:r>
      <w:r>
        <w:rPr/>
        <w:t>Othello’s</w:t>
      </w:r>
      <w:r>
        <w:rPr>
          <w:spacing w:val="-12"/>
        </w:rPr>
        <w:t> </w:t>
      </w:r>
      <w:r>
        <w:rPr/>
        <w:t>suspicion</w:t>
      </w:r>
      <w:r>
        <w:rPr>
          <w:spacing w:val="-13"/>
        </w:rPr>
        <w:t> </w:t>
      </w:r>
      <w:r>
        <w:rPr/>
        <w:t>intensifies.</w:t>
      </w:r>
      <w:r>
        <w:rPr>
          <w:spacing w:val="-12"/>
        </w:rPr>
        <w:t> </w:t>
      </w:r>
      <w:r>
        <w:rPr/>
        <w:t>Despite her insistence on her innocence—”Your wife, my</w:t>
      </w:r>
      <w:r>
        <w:rPr>
          <w:spacing w:val="-1"/>
        </w:rPr>
        <w:t> </w:t>
      </w:r>
      <w:r>
        <w:rPr/>
        <w:t>lord; your true /</w:t>
      </w:r>
      <w:r>
        <w:rPr>
          <w:spacing w:val="-4"/>
        </w:rPr>
        <w:t> </w:t>
      </w:r>
      <w:r>
        <w:rPr/>
        <w:t>And </w:t>
      </w:r>
      <w:r>
        <w:rPr>
          <w:spacing w:val="-4"/>
        </w:rPr>
        <w:t>loyal wife” (</w:t>
      </w:r>
      <w:r>
        <w:rPr>
          <w:i/>
          <w:spacing w:val="-4"/>
        </w:rPr>
        <w:t>Othello </w:t>
      </w:r>
      <w:r>
        <w:rPr>
          <w:spacing w:val="-4"/>
        </w:rPr>
        <w:t>4.2.35–36)—her words fail to counteract the authority </w:t>
      </w:r>
      <w:r>
        <w:rPr/>
        <w:t>of</w:t>
      </w:r>
      <w:r>
        <w:rPr>
          <w:spacing w:val="-11"/>
        </w:rPr>
        <w:t> </w:t>
      </w:r>
      <w:r>
        <w:rPr/>
        <w:t>male</w:t>
      </w:r>
      <w:r>
        <w:rPr>
          <w:spacing w:val="-6"/>
        </w:rPr>
        <w:t> </w:t>
      </w:r>
      <w:r>
        <w:rPr/>
        <w:t>judgment.</w:t>
      </w:r>
      <w:r>
        <w:rPr>
          <w:spacing w:val="-7"/>
        </w:rPr>
        <w:t> </w:t>
      </w:r>
      <w:r>
        <w:rPr/>
        <w:t>Her</w:t>
      </w:r>
      <w:r>
        <w:rPr>
          <w:spacing w:val="-5"/>
        </w:rPr>
        <w:t> </w:t>
      </w:r>
      <w:r>
        <w:rPr/>
        <w:t>speech,</w:t>
      </w:r>
      <w:r>
        <w:rPr>
          <w:spacing w:val="-7"/>
        </w:rPr>
        <w:t> </w:t>
      </w:r>
      <w:r>
        <w:rPr/>
        <w:t>though</w:t>
      </w:r>
      <w:r>
        <w:rPr>
          <w:spacing w:val="-7"/>
        </w:rPr>
        <w:t> </w:t>
      </w:r>
      <w:r>
        <w:rPr/>
        <w:t>articulate</w:t>
      </w:r>
      <w:r>
        <w:rPr>
          <w:spacing w:val="-9"/>
        </w:rPr>
        <w:t> </w:t>
      </w:r>
      <w:r>
        <w:rPr/>
        <w:t>and</w:t>
      </w:r>
      <w:r>
        <w:rPr>
          <w:spacing w:val="-5"/>
        </w:rPr>
        <w:t> </w:t>
      </w:r>
      <w:r>
        <w:rPr/>
        <w:t>sincere,</w:t>
      </w:r>
      <w:r>
        <w:rPr>
          <w:spacing w:val="-9"/>
        </w:rPr>
        <w:t> </w:t>
      </w:r>
      <w:r>
        <w:rPr/>
        <w:t>is</w:t>
      </w:r>
      <w:r>
        <w:rPr>
          <w:spacing w:val="-7"/>
        </w:rPr>
        <w:t> </w:t>
      </w:r>
      <w:r>
        <w:rPr/>
        <w:t>rendered </w:t>
      </w:r>
      <w:r>
        <w:rPr>
          <w:spacing w:val="-2"/>
        </w:rPr>
        <w:t>ineffective</w:t>
      </w:r>
      <w:r>
        <w:rPr>
          <w:spacing w:val="-5"/>
        </w:rPr>
        <w:t> </w:t>
      </w:r>
      <w:r>
        <w:rPr>
          <w:spacing w:val="-2"/>
        </w:rPr>
        <w:t>within</w:t>
      </w:r>
      <w:r>
        <w:rPr>
          <w:spacing w:val="-7"/>
        </w:rPr>
        <w:t> </w:t>
      </w:r>
      <w:r>
        <w:rPr>
          <w:spacing w:val="-2"/>
        </w:rPr>
        <w:t>a</w:t>
      </w:r>
      <w:r>
        <w:rPr>
          <w:spacing w:val="-7"/>
        </w:rPr>
        <w:t> </w:t>
      </w:r>
      <w:r>
        <w:rPr>
          <w:spacing w:val="-2"/>
        </w:rPr>
        <w:t>system</w:t>
      </w:r>
      <w:r>
        <w:rPr>
          <w:spacing w:val="-10"/>
        </w:rPr>
        <w:t> </w:t>
      </w:r>
      <w:r>
        <w:rPr>
          <w:spacing w:val="-2"/>
        </w:rPr>
        <w:t>that</w:t>
      </w:r>
      <w:r>
        <w:rPr>
          <w:spacing w:val="-9"/>
        </w:rPr>
        <w:t> </w:t>
      </w:r>
      <w:r>
        <w:rPr>
          <w:spacing w:val="-2"/>
        </w:rPr>
        <w:t>privileges</w:t>
      </w:r>
      <w:r>
        <w:rPr>
          <w:spacing w:val="-7"/>
        </w:rPr>
        <w:t> </w:t>
      </w:r>
      <w:r>
        <w:rPr>
          <w:spacing w:val="-2"/>
        </w:rPr>
        <w:t>male</w:t>
      </w:r>
      <w:r>
        <w:rPr>
          <w:spacing w:val="-7"/>
        </w:rPr>
        <w:t> </w:t>
      </w:r>
      <w:r>
        <w:rPr>
          <w:spacing w:val="-2"/>
        </w:rPr>
        <w:t>interpretation</w:t>
      </w:r>
      <w:r>
        <w:rPr>
          <w:spacing w:val="-9"/>
        </w:rPr>
        <w:t> </w:t>
      </w:r>
      <w:r>
        <w:rPr>
          <w:spacing w:val="-2"/>
        </w:rPr>
        <w:t>over</w:t>
      </w:r>
      <w:r>
        <w:rPr>
          <w:spacing w:val="-7"/>
        </w:rPr>
        <w:t> </w:t>
      </w:r>
      <w:r>
        <w:rPr>
          <w:spacing w:val="-2"/>
        </w:rPr>
        <w:t>female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56448">
                <wp:simplePos x="0" y="0"/>
                <wp:positionH relativeFrom="page">
                  <wp:posOffset>2057400</wp:posOffset>
                </wp:positionH>
                <wp:positionV relativeFrom="paragraph">
                  <wp:posOffset>162604</wp:posOffset>
                </wp:positionV>
                <wp:extent cx="3657600" cy="12700"/>
                <wp:effectExtent l="0" t="0" r="0" b="0"/>
                <wp:wrapTopAndBottom/>
                <wp:docPr id="245" name="Graphic 245"/>
                <wp:cNvGraphicFramePr>
                  <a:graphicFrameLocks/>
                </wp:cNvGraphicFramePr>
                <a:graphic>
                  <a:graphicData uri="http://schemas.microsoft.com/office/word/2010/wordprocessingShape">
                    <wps:wsp>
                      <wps:cNvPr id="245" name="Graphic 24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60032;mso-wrap-distance-left:0;mso-wrap-distance-right:0" id="docshape241" filled="true" fillcolor="#000000" stroked="false">
                <v:fill type="solid"/>
                <w10:wrap type="topAndBottom"/>
              </v:rect>
            </w:pict>
          </mc:Fallback>
        </mc:AlternateContent>
      </w:r>
      <w:r>
        <w:rPr>
          <w:rFonts w:ascii="Verdana"/>
          <w:spacing w:val="-5"/>
          <w:sz w:val="18"/>
        </w:rPr>
        <w:t>68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testimony.</w:t>
      </w:r>
      <w:r>
        <w:rPr>
          <w:spacing w:val="-13"/>
        </w:rPr>
        <w:t> </w:t>
      </w:r>
      <w:r>
        <w:rPr/>
        <w:t>This</w:t>
      </w:r>
      <w:r>
        <w:rPr>
          <w:spacing w:val="-12"/>
        </w:rPr>
        <w:t> </w:t>
      </w:r>
      <w:r>
        <w:rPr/>
        <w:t>dynamic</w:t>
      </w:r>
      <w:r>
        <w:rPr>
          <w:spacing w:val="-13"/>
        </w:rPr>
        <w:t> </w:t>
      </w:r>
      <w:r>
        <w:rPr/>
        <w:t>illustrates</w:t>
      </w:r>
      <w:r>
        <w:rPr>
          <w:spacing w:val="-12"/>
        </w:rPr>
        <w:t> </w:t>
      </w:r>
      <w:r>
        <w:rPr/>
        <w:t>how</w:t>
      </w:r>
      <w:r>
        <w:rPr>
          <w:spacing w:val="-13"/>
        </w:rPr>
        <w:t> </w:t>
      </w:r>
      <w:r>
        <w:rPr/>
        <w:t>speech</w:t>
      </w:r>
      <w:r>
        <w:rPr>
          <w:spacing w:val="-12"/>
        </w:rPr>
        <w:t> </w:t>
      </w:r>
      <w:r>
        <w:rPr/>
        <w:t>alone</w:t>
      </w:r>
      <w:r>
        <w:rPr>
          <w:spacing w:val="-13"/>
        </w:rPr>
        <w:t> </w:t>
      </w:r>
      <w:r>
        <w:rPr/>
        <w:t>does</w:t>
      </w:r>
      <w:r>
        <w:rPr>
          <w:spacing w:val="-12"/>
        </w:rPr>
        <w:t> </w:t>
      </w:r>
      <w:r>
        <w:rPr/>
        <w:t>not</w:t>
      </w:r>
      <w:r>
        <w:rPr>
          <w:spacing w:val="-13"/>
        </w:rPr>
        <w:t> </w:t>
      </w:r>
      <w:r>
        <w:rPr/>
        <w:t>guarantee agency when the structures of power are already aligned against the </w:t>
      </w:r>
      <w:r>
        <w:rPr>
          <w:spacing w:val="-2"/>
        </w:rPr>
        <w:t>speaker.</w:t>
      </w:r>
    </w:p>
    <w:p>
      <w:pPr>
        <w:pStyle w:val="BodyText"/>
        <w:spacing w:line="266" w:lineRule="auto" w:before="70"/>
        <w:ind w:right="1434" w:firstLine="432"/>
        <w:jc w:val="both"/>
      </w:pPr>
      <w:r>
        <w:rPr/>
        <w:t>At the same time, Shakespeare presents moments where female speech disrupts patriarchal control, even if only temporarily. Emilia’s intervention in the final act of </w:t>
      </w:r>
      <w:r>
        <w:rPr>
          <w:i/>
        </w:rPr>
        <w:t>Othello </w:t>
      </w:r>
      <w:r>
        <w:rPr/>
        <w:t>exemplifies this disruption. Her bold declaration—”You told a lie, an odious, damned lie” (5.2.178)—directly</w:t>
      </w:r>
      <w:r>
        <w:rPr>
          <w:spacing w:val="-12"/>
        </w:rPr>
        <w:t> </w:t>
      </w:r>
      <w:r>
        <w:rPr/>
        <w:t>challenges</w:t>
      </w:r>
      <w:r>
        <w:rPr>
          <w:spacing w:val="-13"/>
        </w:rPr>
        <w:t> </w:t>
      </w:r>
      <w:r>
        <w:rPr/>
        <w:t>both</w:t>
      </w:r>
      <w:r>
        <w:rPr>
          <w:spacing w:val="-9"/>
        </w:rPr>
        <w:t> </w:t>
      </w:r>
      <w:r>
        <w:rPr/>
        <w:t>her</w:t>
      </w:r>
      <w:r>
        <w:rPr>
          <w:spacing w:val="-8"/>
        </w:rPr>
        <w:t> </w:t>
      </w:r>
      <w:r>
        <w:rPr/>
        <w:t>husband</w:t>
      </w:r>
      <w:r>
        <w:rPr>
          <w:spacing w:val="-9"/>
        </w:rPr>
        <w:t> </w:t>
      </w:r>
      <w:r>
        <w:rPr/>
        <w:t>and</w:t>
      </w:r>
      <w:r>
        <w:rPr>
          <w:spacing w:val="-8"/>
        </w:rPr>
        <w:t> </w:t>
      </w:r>
      <w:r>
        <w:rPr/>
        <w:t>the</w:t>
      </w:r>
      <w:r>
        <w:rPr>
          <w:spacing w:val="-9"/>
        </w:rPr>
        <w:t> </w:t>
      </w:r>
      <w:r>
        <w:rPr/>
        <w:t>broader</w:t>
      </w:r>
      <w:r>
        <w:rPr>
          <w:spacing w:val="-8"/>
        </w:rPr>
        <w:t> </w:t>
      </w:r>
      <w:r>
        <w:rPr/>
        <w:t>system</w:t>
      </w:r>
      <w:r>
        <w:rPr>
          <w:spacing w:val="-13"/>
        </w:rPr>
        <w:t> </w:t>
      </w:r>
      <w:r>
        <w:rPr/>
        <w:t>of</w:t>
      </w:r>
      <w:r>
        <w:rPr>
          <w:spacing w:val="-11"/>
        </w:rPr>
        <w:t> </w:t>
      </w:r>
      <w:r>
        <w:rPr/>
        <w:t>authority that</w:t>
      </w:r>
      <w:r>
        <w:rPr>
          <w:spacing w:val="-10"/>
        </w:rPr>
        <w:t> </w:t>
      </w:r>
      <w:r>
        <w:rPr/>
        <w:t>sustains</w:t>
      </w:r>
      <w:r>
        <w:rPr>
          <w:spacing w:val="-10"/>
        </w:rPr>
        <w:t> </w:t>
      </w:r>
      <w:r>
        <w:rPr/>
        <w:t>him.</w:t>
      </w:r>
      <w:r>
        <w:rPr>
          <w:spacing w:val="-8"/>
        </w:rPr>
        <w:t> </w:t>
      </w:r>
      <w:r>
        <w:rPr/>
        <w:t>Emilia’s</w:t>
      </w:r>
      <w:r>
        <w:rPr>
          <w:spacing w:val="-10"/>
        </w:rPr>
        <w:t> </w:t>
      </w:r>
      <w:r>
        <w:rPr/>
        <w:t>refusal</w:t>
      </w:r>
      <w:r>
        <w:rPr>
          <w:spacing w:val="-10"/>
        </w:rPr>
        <w:t> </w:t>
      </w:r>
      <w:r>
        <w:rPr/>
        <w:t>to</w:t>
      </w:r>
      <w:r>
        <w:rPr>
          <w:spacing w:val="-8"/>
        </w:rPr>
        <w:t> </w:t>
      </w:r>
      <w:r>
        <w:rPr/>
        <w:t>remain</w:t>
      </w:r>
      <w:r>
        <w:rPr>
          <w:spacing w:val="-10"/>
        </w:rPr>
        <w:t> </w:t>
      </w:r>
      <w:r>
        <w:rPr/>
        <w:t>silent</w:t>
      </w:r>
      <w:r>
        <w:rPr>
          <w:spacing w:val="-8"/>
        </w:rPr>
        <w:t> </w:t>
      </w:r>
      <w:r>
        <w:rPr/>
        <w:t>transforms</w:t>
      </w:r>
      <w:r>
        <w:rPr>
          <w:spacing w:val="-10"/>
        </w:rPr>
        <w:t> </w:t>
      </w:r>
      <w:r>
        <w:rPr/>
        <w:t>her</w:t>
      </w:r>
      <w:r>
        <w:rPr>
          <w:spacing w:val="-8"/>
        </w:rPr>
        <w:t> </w:t>
      </w:r>
      <w:r>
        <w:rPr/>
        <w:t>speech into an act of resistance, exposing the fragility</w:t>
      </w:r>
      <w:r>
        <w:rPr>
          <w:spacing w:val="-2"/>
        </w:rPr>
        <w:t> </w:t>
      </w:r>
      <w:r>
        <w:rPr/>
        <w:t>of patriarchal narratives. However, her subsequent death underscores the risks associated with such defiance, suggesting that female speech, while potentially subversive,</w:t>
      </w:r>
      <w:r>
        <w:rPr>
          <w:spacing w:val="40"/>
        </w:rPr>
        <w:t> </w:t>
      </w:r>
      <w:r>
        <w:rPr/>
        <w:t>is</w:t>
      </w:r>
      <w:r>
        <w:rPr>
          <w:spacing w:val="40"/>
        </w:rPr>
        <w:t> </w:t>
      </w:r>
      <w:r>
        <w:rPr/>
        <w:t>also</w:t>
      </w:r>
      <w:r>
        <w:rPr>
          <w:spacing w:val="40"/>
        </w:rPr>
        <w:t> </w:t>
      </w:r>
      <w:r>
        <w:rPr/>
        <w:t>subject</w:t>
      </w:r>
      <w:r>
        <w:rPr>
          <w:spacing w:val="40"/>
        </w:rPr>
        <w:t> </w:t>
      </w:r>
      <w:r>
        <w:rPr/>
        <w:t>to</w:t>
      </w:r>
      <w:r>
        <w:rPr>
          <w:spacing w:val="40"/>
        </w:rPr>
        <w:t> </w:t>
      </w:r>
      <w:r>
        <w:rPr/>
        <w:t>violent</w:t>
      </w:r>
      <w:r>
        <w:rPr>
          <w:spacing w:val="40"/>
        </w:rPr>
        <w:t> </w:t>
      </w:r>
      <w:r>
        <w:rPr/>
        <w:t>repression.</w:t>
      </w:r>
    </w:p>
    <w:p>
      <w:pPr>
        <w:pStyle w:val="BodyText"/>
        <w:spacing w:line="266" w:lineRule="auto" w:before="65"/>
        <w:ind w:right="1438" w:firstLine="432"/>
        <w:jc w:val="both"/>
      </w:pPr>
      <w:r>
        <w:rPr/>
        <w:t>Silence, in contrast, operates in more ambiguous ways. While it can be imposed through force, it can also function as a form of refusal or resistance. In </w:t>
      </w:r>
      <w:r>
        <w:rPr>
          <w:i/>
        </w:rPr>
        <w:t>King Lear</w:t>
      </w:r>
      <w:r>
        <w:rPr/>
        <w:t>, Cordelia’s response—”Nothing, my lord” (1.1.87)—marks a deliberate withdrawal from the performative </w:t>
      </w:r>
      <w:r>
        <w:rPr>
          <w:spacing w:val="-2"/>
        </w:rPr>
        <w:t>expectations</w:t>
      </w:r>
      <w:r>
        <w:rPr>
          <w:spacing w:val="-11"/>
        </w:rPr>
        <w:t> </w:t>
      </w:r>
      <w:r>
        <w:rPr>
          <w:spacing w:val="-2"/>
        </w:rPr>
        <w:t>imposed</w:t>
      </w:r>
      <w:r>
        <w:rPr>
          <w:spacing w:val="-10"/>
        </w:rPr>
        <w:t> </w:t>
      </w:r>
      <w:r>
        <w:rPr>
          <w:spacing w:val="-2"/>
        </w:rPr>
        <w:t>upon</w:t>
      </w:r>
      <w:r>
        <w:rPr>
          <w:spacing w:val="-11"/>
        </w:rPr>
        <w:t> </w:t>
      </w:r>
      <w:r>
        <w:rPr>
          <w:spacing w:val="-2"/>
        </w:rPr>
        <w:t>her.</w:t>
      </w:r>
      <w:r>
        <w:rPr>
          <w:spacing w:val="-10"/>
        </w:rPr>
        <w:t> </w:t>
      </w:r>
      <w:r>
        <w:rPr>
          <w:spacing w:val="-2"/>
        </w:rPr>
        <w:t>Her</w:t>
      </w:r>
      <w:r>
        <w:rPr>
          <w:spacing w:val="-11"/>
        </w:rPr>
        <w:t> </w:t>
      </w:r>
      <w:r>
        <w:rPr>
          <w:spacing w:val="-2"/>
        </w:rPr>
        <w:t>silence</w:t>
      </w:r>
      <w:r>
        <w:rPr>
          <w:spacing w:val="-9"/>
        </w:rPr>
        <w:t> </w:t>
      </w:r>
      <w:r>
        <w:rPr>
          <w:spacing w:val="-2"/>
        </w:rPr>
        <w:t>resists</w:t>
      </w:r>
      <w:r>
        <w:rPr>
          <w:spacing w:val="-9"/>
        </w:rPr>
        <w:t> </w:t>
      </w:r>
      <w:r>
        <w:rPr>
          <w:spacing w:val="-2"/>
        </w:rPr>
        <w:t>the</w:t>
      </w:r>
      <w:r>
        <w:rPr>
          <w:spacing w:val="-11"/>
        </w:rPr>
        <w:t> </w:t>
      </w:r>
      <w:r>
        <w:rPr>
          <w:spacing w:val="-2"/>
        </w:rPr>
        <w:t>demand</w:t>
      </w:r>
      <w:r>
        <w:rPr>
          <w:spacing w:val="-9"/>
        </w:rPr>
        <w:t> </w:t>
      </w:r>
      <w:r>
        <w:rPr>
          <w:spacing w:val="-2"/>
        </w:rPr>
        <w:t>to</w:t>
      </w:r>
      <w:r>
        <w:rPr>
          <w:spacing w:val="-9"/>
        </w:rPr>
        <w:t> </w:t>
      </w:r>
      <w:r>
        <w:rPr>
          <w:spacing w:val="-2"/>
        </w:rPr>
        <w:t>translate </w:t>
      </w:r>
      <w:r>
        <w:rPr/>
        <w:t>genuine emotion into exaggerated rhetoric, thereby exposing the artificiality of the system itself. Unlike Desdemona, whose speech is dismissed, Cordelia refuses to participate in a discourse that she recognizes as fundamentally flawed.</w:t>
      </w:r>
    </w:p>
    <w:p>
      <w:pPr>
        <w:pStyle w:val="BodyText"/>
        <w:spacing w:line="266" w:lineRule="auto" w:before="65"/>
        <w:ind w:right="1438" w:firstLine="432"/>
        <w:jc w:val="both"/>
      </w:pPr>
      <w:r>
        <w:rPr/>
        <w:t>Moreover, enforced silence often generates alternative modes of communication. In </w:t>
      </w:r>
      <w:r>
        <w:rPr>
          <w:i/>
        </w:rPr>
        <w:t>Titus Andronicus</w:t>
      </w:r>
      <w:r>
        <w:rPr/>
        <w:t>, Lavinia’s mutilation renders her incapable of speech, yet she finds a way to communicate through writing:</w:t>
      </w:r>
      <w:r>
        <w:rPr>
          <w:spacing w:val="-7"/>
        </w:rPr>
        <w:t> </w:t>
      </w:r>
      <w:r>
        <w:rPr/>
        <w:t>“Without</w:t>
      </w:r>
      <w:r>
        <w:rPr>
          <w:spacing w:val="-8"/>
        </w:rPr>
        <w:t> </w:t>
      </w:r>
      <w:r>
        <w:rPr/>
        <w:t>the</w:t>
      </w:r>
      <w:r>
        <w:rPr>
          <w:spacing w:val="-7"/>
        </w:rPr>
        <w:t> </w:t>
      </w:r>
      <w:r>
        <w:rPr/>
        <w:t>help</w:t>
      </w:r>
      <w:r>
        <w:rPr>
          <w:spacing w:val="-7"/>
        </w:rPr>
        <w:t> </w:t>
      </w:r>
      <w:r>
        <w:rPr/>
        <w:t>of</w:t>
      </w:r>
      <w:r>
        <w:rPr>
          <w:spacing w:val="-8"/>
        </w:rPr>
        <w:t> </w:t>
      </w:r>
      <w:r>
        <w:rPr/>
        <w:t>any</w:t>
      </w:r>
      <w:r>
        <w:rPr>
          <w:spacing w:val="-10"/>
        </w:rPr>
        <w:t> </w:t>
      </w:r>
      <w:r>
        <w:rPr/>
        <w:t>hand</w:t>
      </w:r>
      <w:r>
        <w:rPr>
          <w:spacing w:val="-3"/>
        </w:rPr>
        <w:t> </w:t>
      </w:r>
      <w:r>
        <w:rPr/>
        <w:t>at</w:t>
      </w:r>
      <w:r>
        <w:rPr>
          <w:spacing w:val="-8"/>
        </w:rPr>
        <w:t> </w:t>
      </w:r>
      <w:r>
        <w:rPr/>
        <w:t>all”</w:t>
      </w:r>
      <w:r>
        <w:rPr>
          <w:spacing w:val="-8"/>
        </w:rPr>
        <w:t> </w:t>
      </w:r>
      <w:r>
        <w:rPr/>
        <w:t>(</w:t>
      </w:r>
      <w:r>
        <w:rPr>
          <w:i/>
        </w:rPr>
        <w:t>Titus</w:t>
      </w:r>
      <w:r>
        <w:rPr>
          <w:i/>
          <w:spacing w:val="-10"/>
        </w:rPr>
        <w:t> </w:t>
      </w:r>
      <w:r>
        <w:rPr>
          <w:i/>
        </w:rPr>
        <w:t>Andronicus</w:t>
      </w:r>
      <w:r>
        <w:rPr>
          <w:i/>
          <w:spacing w:val="-5"/>
        </w:rPr>
        <w:t> </w:t>
      </w:r>
      <w:r>
        <w:rPr/>
        <w:t>4.1.70). Her body becomes a medium of testimony, demonstrating that the suppression of voice does not eliminate expression but transforms it. This shift from verbal to embodied communication highlights the resilience of meaning even under extreme conditions of violence.</w:t>
      </w:r>
    </w:p>
    <w:p>
      <w:pPr>
        <w:pStyle w:val="BodyText"/>
        <w:spacing w:line="266" w:lineRule="auto" w:before="65"/>
        <w:ind w:right="1436" w:firstLine="432"/>
        <w:jc w:val="both"/>
      </w:pPr>
      <w:r>
        <w:rPr/>
        <w:t>Taken together, these examples reveal that the politics of voice in Shakespeare’s plays cannot be reduced to a simple opposition between silence and speech. Both are shaped by power, context, and constraint, functioning as dynamic and often unstable modes of response. By dramatizing these tensions, Shakespeare not only reflects the gendered norms</w:t>
      </w:r>
      <w:r>
        <w:rPr>
          <w:spacing w:val="-13"/>
        </w:rPr>
        <w:t> </w:t>
      </w:r>
      <w:r>
        <w:rPr/>
        <w:t>of</w:t>
      </w:r>
      <w:r>
        <w:rPr>
          <w:spacing w:val="-12"/>
        </w:rPr>
        <w:t> </w:t>
      </w:r>
      <w:r>
        <w:rPr/>
        <w:t>his</w:t>
      </w:r>
      <w:r>
        <w:rPr>
          <w:spacing w:val="-13"/>
        </w:rPr>
        <w:t> </w:t>
      </w:r>
      <w:r>
        <w:rPr/>
        <w:t>time</w:t>
      </w:r>
      <w:r>
        <w:rPr>
          <w:spacing w:val="-12"/>
        </w:rPr>
        <w:t> </w:t>
      </w:r>
      <w:r>
        <w:rPr/>
        <w:t>but</w:t>
      </w:r>
      <w:r>
        <w:rPr>
          <w:spacing w:val="-13"/>
        </w:rPr>
        <w:t> </w:t>
      </w:r>
      <w:r>
        <w:rPr/>
        <w:t>also</w:t>
      </w:r>
      <w:r>
        <w:rPr>
          <w:spacing w:val="-12"/>
        </w:rPr>
        <w:t> </w:t>
      </w:r>
      <w:r>
        <w:rPr/>
        <w:t>interrogates</w:t>
      </w:r>
      <w:r>
        <w:rPr>
          <w:spacing w:val="-13"/>
        </w:rPr>
        <w:t> </w:t>
      </w:r>
      <w:r>
        <w:rPr/>
        <w:t>their</w:t>
      </w:r>
      <w:r>
        <w:rPr>
          <w:spacing w:val="-12"/>
        </w:rPr>
        <w:t> </w:t>
      </w:r>
      <w:r>
        <w:rPr/>
        <w:t>limits,</w:t>
      </w:r>
      <w:r>
        <w:rPr>
          <w:spacing w:val="-13"/>
        </w:rPr>
        <w:t> </w:t>
      </w:r>
      <w:r>
        <w:rPr/>
        <w:t>revealing</w:t>
      </w:r>
      <w:r>
        <w:rPr>
          <w:spacing w:val="-12"/>
        </w:rPr>
        <w:t> </w:t>
      </w:r>
      <w:r>
        <w:rPr/>
        <w:t>how</w:t>
      </w:r>
      <w:r>
        <w:rPr>
          <w:spacing w:val="-13"/>
        </w:rPr>
        <w:t> </w:t>
      </w:r>
      <w:r>
        <w:rPr/>
        <w:t>women navigate</w:t>
      </w:r>
      <w:r>
        <w:rPr>
          <w:spacing w:val="9"/>
        </w:rPr>
        <w:t> </w:t>
      </w:r>
      <w:r>
        <w:rPr/>
        <w:t>and,</w:t>
      </w:r>
      <w:r>
        <w:rPr>
          <w:spacing w:val="11"/>
        </w:rPr>
        <w:t> </w:t>
      </w:r>
      <w:r>
        <w:rPr/>
        <w:t>at</w:t>
      </w:r>
      <w:r>
        <w:rPr>
          <w:spacing w:val="8"/>
        </w:rPr>
        <w:t> </w:t>
      </w:r>
      <w:r>
        <w:rPr/>
        <w:t>times,</w:t>
      </w:r>
      <w:r>
        <w:rPr>
          <w:spacing w:val="13"/>
        </w:rPr>
        <w:t> </w:t>
      </w:r>
      <w:r>
        <w:rPr/>
        <w:t>subvert</w:t>
      </w:r>
      <w:r>
        <w:rPr>
          <w:spacing w:val="9"/>
        </w:rPr>
        <w:t> </w:t>
      </w:r>
      <w:r>
        <w:rPr/>
        <w:t>the</w:t>
      </w:r>
      <w:r>
        <w:rPr>
          <w:spacing w:val="12"/>
        </w:rPr>
        <w:t> </w:t>
      </w:r>
      <w:r>
        <w:rPr/>
        <w:t>structures</w:t>
      </w:r>
      <w:r>
        <w:rPr>
          <w:spacing w:val="7"/>
        </w:rPr>
        <w:t> </w:t>
      </w:r>
      <w:r>
        <w:rPr/>
        <w:t>that</w:t>
      </w:r>
      <w:r>
        <w:rPr>
          <w:spacing w:val="12"/>
        </w:rPr>
        <w:t> </w:t>
      </w:r>
      <w:r>
        <w:rPr/>
        <w:t>seek</w:t>
      </w:r>
      <w:r>
        <w:rPr>
          <w:spacing w:val="7"/>
        </w:rPr>
        <w:t> </w:t>
      </w:r>
      <w:r>
        <w:rPr/>
        <w:t>to</w:t>
      </w:r>
      <w:r>
        <w:rPr>
          <w:spacing w:val="12"/>
        </w:rPr>
        <w:t> </w:t>
      </w:r>
      <w:r>
        <w:rPr/>
        <w:t>silence</w:t>
      </w:r>
      <w:r>
        <w:rPr>
          <w:spacing w:val="8"/>
        </w:rPr>
        <w:t> </w:t>
      </w:r>
      <w:r>
        <w:rPr>
          <w:spacing w:val="-2"/>
        </w:rPr>
        <w:t>them.</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981" w:val="left" w:leader="none"/>
        </w:tabs>
        <w:spacing w:before="0"/>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56960">
                <wp:simplePos x="0" y="0"/>
                <wp:positionH relativeFrom="page">
                  <wp:posOffset>2065020</wp:posOffset>
                </wp:positionH>
                <wp:positionV relativeFrom="paragraph">
                  <wp:posOffset>162604</wp:posOffset>
                </wp:positionV>
                <wp:extent cx="3657600" cy="12700"/>
                <wp:effectExtent l="0" t="0" r="0" b="0"/>
                <wp:wrapTopAndBottom/>
                <wp:docPr id="246" name="Graphic 246"/>
                <wp:cNvGraphicFramePr>
                  <a:graphicFrameLocks/>
                </wp:cNvGraphicFramePr>
                <a:graphic>
                  <a:graphicData uri="http://schemas.microsoft.com/office/word/2010/wordprocessingShape">
                    <wps:wsp>
                      <wps:cNvPr id="246" name="Graphic 24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59520;mso-wrap-distance-left:0;mso-wrap-distance-right:0" id="docshape242" filled="true" fillcolor="#000000" stroked="false">
                <v:fill type="solid"/>
                <w10:wrap type="topAndBottom"/>
              </v:rect>
            </w:pict>
          </mc:Fallback>
        </mc:AlternateContent>
      </w:r>
      <w:r>
        <w:rPr>
          <w:rFonts w:ascii="Verdana" w:hAnsi="Verdana"/>
          <w:sz w:val="18"/>
        </w:rPr>
        <w:t>Silence,</w:t>
      </w:r>
      <w:r>
        <w:rPr>
          <w:rFonts w:ascii="Verdana" w:hAnsi="Verdana"/>
          <w:spacing w:val="2"/>
          <w:sz w:val="18"/>
        </w:rPr>
        <w:t> </w:t>
      </w:r>
      <w:r>
        <w:rPr>
          <w:rFonts w:ascii="Verdana" w:hAnsi="Verdana"/>
          <w:sz w:val="18"/>
        </w:rPr>
        <w:t>Speech,</w:t>
      </w:r>
      <w:r>
        <w:rPr>
          <w:rFonts w:ascii="Verdana" w:hAnsi="Verdana"/>
          <w:spacing w:val="3"/>
          <w:sz w:val="18"/>
        </w:rPr>
        <w:t> </w:t>
      </w:r>
      <w:r>
        <w:rPr>
          <w:rFonts w:ascii="Verdana" w:hAnsi="Verdana"/>
          <w:sz w:val="18"/>
        </w:rPr>
        <w:t>and</w:t>
      </w:r>
      <w:r>
        <w:rPr>
          <w:rFonts w:ascii="Verdana" w:hAnsi="Verdana"/>
          <w:spacing w:val="4"/>
          <w:sz w:val="18"/>
        </w:rPr>
        <w:t> </w:t>
      </w:r>
      <w:r>
        <w:rPr>
          <w:rFonts w:ascii="Verdana" w:hAnsi="Verdana"/>
          <w:sz w:val="18"/>
        </w:rPr>
        <w:t>Revenge:</w:t>
      </w:r>
      <w:r>
        <w:rPr>
          <w:rFonts w:ascii="Verdana" w:hAnsi="Verdana"/>
          <w:spacing w:val="4"/>
          <w:sz w:val="18"/>
        </w:rPr>
        <w:t> </w:t>
      </w:r>
      <w:r>
        <w:rPr>
          <w:rFonts w:ascii="Verdana" w:hAnsi="Verdana"/>
          <w:sz w:val="18"/>
        </w:rPr>
        <w:t>Women’s</w:t>
      </w:r>
      <w:r>
        <w:rPr>
          <w:rFonts w:ascii="Verdana" w:hAnsi="Verdana"/>
          <w:spacing w:val="4"/>
          <w:sz w:val="18"/>
        </w:rPr>
        <w:t> </w:t>
      </w:r>
      <w:r>
        <w:rPr>
          <w:rFonts w:ascii="Verdana" w:hAnsi="Verdana"/>
          <w:sz w:val="18"/>
        </w:rPr>
        <w:t>Responses</w:t>
      </w:r>
      <w:r>
        <w:rPr>
          <w:rFonts w:ascii="Verdana" w:hAnsi="Verdana"/>
          <w:spacing w:val="3"/>
          <w:sz w:val="18"/>
        </w:rPr>
        <w:t> </w:t>
      </w:r>
      <w:r>
        <w:rPr>
          <w:rFonts w:ascii="Verdana" w:hAnsi="Verdana"/>
          <w:spacing w:val="-2"/>
          <w:sz w:val="18"/>
        </w:rPr>
        <w:t>to...</w:t>
      </w:r>
      <w:r>
        <w:rPr>
          <w:rFonts w:ascii="Verdana" w:hAnsi="Verdana"/>
          <w:sz w:val="18"/>
        </w:rPr>
        <w:tab/>
      </w:r>
      <w:r>
        <w:rPr>
          <w:rFonts w:ascii="Verdana" w:hAnsi="Verdana"/>
          <w:spacing w:val="-5"/>
          <w:sz w:val="18"/>
        </w:rPr>
        <w:t>69</w:t>
      </w:r>
    </w:p>
    <w:p>
      <w:pPr>
        <w:pStyle w:val="Heading3"/>
      </w:pPr>
      <w:r>
        <w:rPr>
          <w:w w:val="85"/>
        </w:rPr>
        <w:t>SILENCE</w:t>
      </w:r>
      <w:r>
        <w:rPr>
          <w:spacing w:val="23"/>
        </w:rPr>
        <w:t> </w:t>
      </w:r>
      <w:r>
        <w:rPr>
          <w:w w:val="85"/>
        </w:rPr>
        <w:t>AS</w:t>
      </w:r>
      <w:r>
        <w:rPr>
          <w:spacing w:val="21"/>
        </w:rPr>
        <w:t> </w:t>
      </w:r>
      <w:r>
        <w:rPr>
          <w:w w:val="85"/>
        </w:rPr>
        <w:t>TESTIMONY:</w:t>
      </w:r>
      <w:r>
        <w:rPr>
          <w:spacing w:val="21"/>
        </w:rPr>
        <w:t> </w:t>
      </w:r>
      <w:r>
        <w:rPr>
          <w:spacing w:val="-2"/>
          <w:w w:val="85"/>
        </w:rPr>
        <w:t>LAVINIA</w:t>
      </w:r>
    </w:p>
    <w:p>
      <w:pPr>
        <w:pStyle w:val="BodyText"/>
        <w:spacing w:line="249" w:lineRule="auto" w:before="75"/>
        <w:ind w:right="1437" w:firstLine="432"/>
        <w:jc w:val="both"/>
      </w:pPr>
      <w:r>
        <w:rPr/>
        <w:t>Lavinia’s mutilation in </w:t>
      </w:r>
      <w:r>
        <w:rPr>
          <w:i/>
        </w:rPr>
        <w:t>Titus Andronicus </w:t>
      </w:r>
      <w:r>
        <w:rPr/>
        <w:t>constitutes one of the most brutal representations of gendered violence in Shakespeare, yet it is precisely through this extreme silencing that a paradoxical form of expression</w:t>
      </w:r>
      <w:r>
        <w:rPr>
          <w:spacing w:val="-11"/>
        </w:rPr>
        <w:t> </w:t>
      </w:r>
      <w:r>
        <w:rPr/>
        <w:t>emerges.</w:t>
      </w:r>
      <w:r>
        <w:rPr>
          <w:spacing w:val="-6"/>
        </w:rPr>
        <w:t> </w:t>
      </w:r>
      <w:r>
        <w:rPr/>
        <w:t>Stripped</w:t>
      </w:r>
      <w:r>
        <w:rPr>
          <w:spacing w:val="-8"/>
        </w:rPr>
        <w:t> </w:t>
      </w:r>
      <w:r>
        <w:rPr/>
        <w:t>of</w:t>
      </w:r>
      <w:r>
        <w:rPr>
          <w:spacing w:val="-9"/>
        </w:rPr>
        <w:t> </w:t>
      </w:r>
      <w:r>
        <w:rPr/>
        <w:t>her</w:t>
      </w:r>
      <w:r>
        <w:rPr>
          <w:spacing w:val="-8"/>
        </w:rPr>
        <w:t> </w:t>
      </w:r>
      <w:r>
        <w:rPr/>
        <w:t>tongue</w:t>
      </w:r>
      <w:r>
        <w:rPr>
          <w:spacing w:val="-8"/>
        </w:rPr>
        <w:t> </w:t>
      </w:r>
      <w:r>
        <w:rPr/>
        <w:t>and</w:t>
      </w:r>
      <w:r>
        <w:rPr>
          <w:spacing w:val="-8"/>
        </w:rPr>
        <w:t> </w:t>
      </w:r>
      <w:r>
        <w:rPr/>
        <w:t>hands,</w:t>
      </w:r>
      <w:r>
        <w:rPr>
          <w:spacing w:val="-8"/>
        </w:rPr>
        <w:t> </w:t>
      </w:r>
      <w:r>
        <w:rPr/>
        <w:t>Lavinia</w:t>
      </w:r>
      <w:r>
        <w:rPr>
          <w:spacing w:val="-8"/>
        </w:rPr>
        <w:t> </w:t>
      </w:r>
      <w:r>
        <w:rPr/>
        <w:t>is</w:t>
      </w:r>
      <w:r>
        <w:rPr>
          <w:spacing w:val="-9"/>
        </w:rPr>
        <w:t> </w:t>
      </w:r>
      <w:r>
        <w:rPr/>
        <w:t>denied the conventional means of articulation, rendering her incapable of participating in the linguistic structures that define agency within the </w:t>
      </w:r>
      <w:r>
        <w:rPr>
          <w:spacing w:val="-2"/>
        </w:rPr>
        <w:t>play.</w:t>
      </w:r>
      <w:r>
        <w:rPr>
          <w:spacing w:val="-7"/>
        </w:rPr>
        <w:t> </w:t>
      </w:r>
      <w:r>
        <w:rPr>
          <w:spacing w:val="-2"/>
        </w:rPr>
        <w:t>However,</w:t>
      </w:r>
      <w:r>
        <w:rPr>
          <w:spacing w:val="-9"/>
        </w:rPr>
        <w:t> </w:t>
      </w:r>
      <w:r>
        <w:rPr>
          <w:spacing w:val="-2"/>
        </w:rPr>
        <w:t>rather</w:t>
      </w:r>
      <w:r>
        <w:rPr>
          <w:spacing w:val="-5"/>
        </w:rPr>
        <w:t> </w:t>
      </w:r>
      <w:r>
        <w:rPr>
          <w:spacing w:val="-2"/>
        </w:rPr>
        <w:t>than</w:t>
      </w:r>
      <w:r>
        <w:rPr>
          <w:spacing w:val="-9"/>
        </w:rPr>
        <w:t> </w:t>
      </w:r>
      <w:r>
        <w:rPr>
          <w:spacing w:val="-2"/>
        </w:rPr>
        <w:t>reducing</w:t>
      </w:r>
      <w:r>
        <w:rPr>
          <w:spacing w:val="-9"/>
        </w:rPr>
        <w:t> </w:t>
      </w:r>
      <w:r>
        <w:rPr>
          <w:spacing w:val="-2"/>
        </w:rPr>
        <w:t>her</w:t>
      </w:r>
      <w:r>
        <w:rPr>
          <w:spacing w:val="-7"/>
        </w:rPr>
        <w:t> </w:t>
      </w:r>
      <w:r>
        <w:rPr>
          <w:spacing w:val="-2"/>
        </w:rPr>
        <w:t>to</w:t>
      </w:r>
      <w:r>
        <w:rPr>
          <w:spacing w:val="-5"/>
        </w:rPr>
        <w:t> </w:t>
      </w:r>
      <w:r>
        <w:rPr>
          <w:spacing w:val="-2"/>
        </w:rPr>
        <w:t>mere</w:t>
      </w:r>
      <w:r>
        <w:rPr>
          <w:spacing w:val="-7"/>
        </w:rPr>
        <w:t> </w:t>
      </w:r>
      <w:r>
        <w:rPr>
          <w:spacing w:val="-2"/>
        </w:rPr>
        <w:t>victimhood,</w:t>
      </w:r>
      <w:r>
        <w:rPr>
          <w:spacing w:val="-7"/>
        </w:rPr>
        <w:t> </w:t>
      </w:r>
      <w:r>
        <w:rPr>
          <w:spacing w:val="-2"/>
        </w:rPr>
        <w:t>Shakespeare </w:t>
      </w:r>
      <w:r>
        <w:rPr/>
        <w:t>reconfigures her silence into a powerful mode of testimony that both exposes</w:t>
      </w:r>
      <w:r>
        <w:rPr>
          <w:spacing w:val="40"/>
        </w:rPr>
        <w:t> </w:t>
      </w:r>
      <w:r>
        <w:rPr/>
        <w:t>violence</w:t>
      </w:r>
      <w:r>
        <w:rPr>
          <w:spacing w:val="40"/>
        </w:rPr>
        <w:t> </w:t>
      </w:r>
      <w:r>
        <w:rPr/>
        <w:t>and</w:t>
      </w:r>
      <w:r>
        <w:rPr>
          <w:spacing w:val="40"/>
        </w:rPr>
        <w:t> </w:t>
      </w:r>
      <w:r>
        <w:rPr/>
        <w:t>demands</w:t>
      </w:r>
      <w:r>
        <w:rPr>
          <w:spacing w:val="40"/>
        </w:rPr>
        <w:t> </w:t>
      </w:r>
      <w:r>
        <w:rPr/>
        <w:t>recognition.</w:t>
      </w:r>
    </w:p>
    <w:p>
      <w:pPr>
        <w:pStyle w:val="BodyText"/>
        <w:spacing w:line="249" w:lineRule="auto" w:before="65"/>
        <w:ind w:right="1437" w:firstLine="432"/>
        <w:jc w:val="both"/>
      </w:pPr>
      <w:r>
        <w:rPr/>
        <w:t>Marcus’s lament—”O, that delightful engine of her thoughts /</w:t>
      </w:r>
      <w:r>
        <w:rPr>
          <w:spacing w:val="40"/>
        </w:rPr>
        <w:t> </w:t>
      </w:r>
      <w:r>
        <w:rPr/>
        <w:t>That blabbed them with such pleasing eloquence / Is torn from forth</w:t>
      </w:r>
      <w:r>
        <w:rPr>
          <w:spacing w:val="40"/>
        </w:rPr>
        <w:t> </w:t>
      </w:r>
      <w:r>
        <w:rPr/>
        <w:t>that</w:t>
      </w:r>
      <w:r>
        <w:rPr>
          <w:spacing w:val="-9"/>
        </w:rPr>
        <w:t> </w:t>
      </w:r>
      <w:r>
        <w:rPr/>
        <w:t>pretty</w:t>
      </w:r>
      <w:r>
        <w:rPr>
          <w:spacing w:val="-12"/>
        </w:rPr>
        <w:t> </w:t>
      </w:r>
      <w:r>
        <w:rPr/>
        <w:t>hollow</w:t>
      </w:r>
      <w:r>
        <w:rPr>
          <w:spacing w:val="-13"/>
        </w:rPr>
        <w:t> </w:t>
      </w:r>
      <w:r>
        <w:rPr/>
        <w:t>cage”</w:t>
      </w:r>
      <w:r>
        <w:rPr>
          <w:spacing w:val="-9"/>
        </w:rPr>
        <w:t> </w:t>
      </w:r>
      <w:r>
        <w:rPr/>
        <w:t>(</w:t>
      </w:r>
      <w:r>
        <w:rPr>
          <w:i/>
        </w:rPr>
        <w:t>Titus</w:t>
      </w:r>
      <w:r>
        <w:rPr>
          <w:i/>
          <w:spacing w:val="-11"/>
        </w:rPr>
        <w:t> </w:t>
      </w:r>
      <w:r>
        <w:rPr>
          <w:i/>
        </w:rPr>
        <w:t>Andronicus</w:t>
      </w:r>
      <w:r>
        <w:rPr>
          <w:i/>
          <w:spacing w:val="-11"/>
        </w:rPr>
        <w:t> </w:t>
      </w:r>
      <w:r>
        <w:rPr/>
        <w:t>3.1.82–84)—foregrounds</w:t>
      </w:r>
      <w:r>
        <w:rPr>
          <w:spacing w:val="-9"/>
        </w:rPr>
        <w:t> </w:t>
      </w:r>
      <w:r>
        <w:rPr/>
        <w:t>the loss</w:t>
      </w:r>
      <w:r>
        <w:rPr>
          <w:spacing w:val="-13"/>
        </w:rPr>
        <w:t> </w:t>
      </w:r>
      <w:r>
        <w:rPr/>
        <w:t>of</w:t>
      </w:r>
      <w:r>
        <w:rPr>
          <w:spacing w:val="-12"/>
        </w:rPr>
        <w:t> </w:t>
      </w:r>
      <w:r>
        <w:rPr/>
        <w:t>Lavinia’s</w:t>
      </w:r>
      <w:r>
        <w:rPr>
          <w:spacing w:val="-11"/>
        </w:rPr>
        <w:t> </w:t>
      </w:r>
      <w:r>
        <w:rPr/>
        <w:t>voice</w:t>
      </w:r>
      <w:r>
        <w:rPr>
          <w:spacing w:val="-9"/>
        </w:rPr>
        <w:t> </w:t>
      </w:r>
      <w:r>
        <w:rPr/>
        <w:t>as</w:t>
      </w:r>
      <w:r>
        <w:rPr>
          <w:spacing w:val="-12"/>
        </w:rPr>
        <w:t> </w:t>
      </w:r>
      <w:r>
        <w:rPr/>
        <w:t>a</w:t>
      </w:r>
      <w:r>
        <w:rPr>
          <w:spacing w:val="-10"/>
        </w:rPr>
        <w:t> </w:t>
      </w:r>
      <w:r>
        <w:rPr/>
        <w:t>loss</w:t>
      </w:r>
      <w:r>
        <w:rPr>
          <w:spacing w:val="-13"/>
        </w:rPr>
        <w:t> </w:t>
      </w:r>
      <w:r>
        <w:rPr/>
        <w:t>of</w:t>
      </w:r>
      <w:r>
        <w:rPr>
          <w:spacing w:val="-9"/>
        </w:rPr>
        <w:t> </w:t>
      </w:r>
      <w:r>
        <w:rPr/>
        <w:t>identity.</w:t>
      </w:r>
      <w:r>
        <w:rPr>
          <w:spacing w:val="-13"/>
        </w:rPr>
        <w:t> </w:t>
      </w:r>
      <w:r>
        <w:rPr/>
        <w:t>Yet,</w:t>
      </w:r>
      <w:r>
        <w:rPr>
          <w:spacing w:val="-8"/>
        </w:rPr>
        <w:t> </w:t>
      </w:r>
      <w:r>
        <w:rPr/>
        <w:t>this</w:t>
      </w:r>
      <w:r>
        <w:rPr>
          <w:spacing w:val="-12"/>
        </w:rPr>
        <w:t> </w:t>
      </w:r>
      <w:r>
        <w:rPr/>
        <w:t>framing</w:t>
      </w:r>
      <w:r>
        <w:rPr>
          <w:spacing w:val="-10"/>
        </w:rPr>
        <w:t> </w:t>
      </w:r>
      <w:r>
        <w:rPr/>
        <w:t>also</w:t>
      </w:r>
      <w:r>
        <w:rPr>
          <w:spacing w:val="-10"/>
        </w:rPr>
        <w:t> </w:t>
      </w:r>
      <w:r>
        <w:rPr/>
        <w:t>reveals the patriarchal assumption that speech is the primary marker of subjectivity. Lavinia’s subsequent actions challenge this assumption by demonstrating that meaning can be produced outside verbal language. Her body, marked by violence, becomes a site of inscription, forcing others</w:t>
      </w:r>
      <w:r>
        <w:rPr>
          <w:spacing w:val="40"/>
        </w:rPr>
        <w:t> </w:t>
      </w:r>
      <w:r>
        <w:rPr/>
        <w:t>to</w:t>
      </w:r>
      <w:r>
        <w:rPr>
          <w:spacing w:val="40"/>
        </w:rPr>
        <w:t> </w:t>
      </w:r>
      <w:r>
        <w:rPr/>
        <w:t>confront</w:t>
      </w:r>
      <w:r>
        <w:rPr>
          <w:spacing w:val="40"/>
        </w:rPr>
        <w:t> </w:t>
      </w:r>
      <w:r>
        <w:rPr/>
        <w:t>the</w:t>
      </w:r>
      <w:r>
        <w:rPr>
          <w:spacing w:val="40"/>
        </w:rPr>
        <w:t> </w:t>
      </w:r>
      <w:r>
        <w:rPr/>
        <w:t>brutality</w:t>
      </w:r>
      <w:r>
        <w:rPr>
          <w:spacing w:val="40"/>
        </w:rPr>
        <w:t> </w:t>
      </w:r>
      <w:r>
        <w:rPr/>
        <w:t>inflicted</w:t>
      </w:r>
      <w:r>
        <w:rPr>
          <w:spacing w:val="40"/>
        </w:rPr>
        <w:t> </w:t>
      </w:r>
      <w:r>
        <w:rPr/>
        <w:t>upon</w:t>
      </w:r>
      <w:r>
        <w:rPr>
          <w:spacing w:val="40"/>
        </w:rPr>
        <w:t> </w:t>
      </w:r>
      <w:r>
        <w:rPr/>
        <w:t>her.</w:t>
      </w:r>
    </w:p>
    <w:p>
      <w:pPr>
        <w:pStyle w:val="BodyText"/>
        <w:spacing w:line="249" w:lineRule="auto" w:before="68"/>
        <w:ind w:right="1439" w:firstLine="432"/>
        <w:jc w:val="both"/>
      </w:pPr>
      <w:r>
        <w:rPr/>
        <w:t>The pivotal moment occurs when Lavinia identifies her attackers by guiding a staff with her mouth and stumps to write their names in</w:t>
      </w:r>
      <w:r>
        <w:rPr>
          <w:spacing w:val="40"/>
        </w:rPr>
        <w:t> </w:t>
      </w:r>
      <w:r>
        <w:rPr/>
        <w:t>the sand (4.1). This act transforms her from a passive object into an active witness. Although mediated by others, her communication is neither</w:t>
      </w:r>
      <w:r>
        <w:rPr>
          <w:spacing w:val="-10"/>
        </w:rPr>
        <w:t> </w:t>
      </w:r>
      <w:r>
        <w:rPr/>
        <w:t>diminished</w:t>
      </w:r>
      <w:r>
        <w:rPr>
          <w:spacing w:val="-8"/>
        </w:rPr>
        <w:t> </w:t>
      </w:r>
      <w:r>
        <w:rPr/>
        <w:t>nor</w:t>
      </w:r>
      <w:r>
        <w:rPr>
          <w:spacing w:val="-8"/>
        </w:rPr>
        <w:t> </w:t>
      </w:r>
      <w:r>
        <w:rPr/>
        <w:t>erased;</w:t>
      </w:r>
      <w:r>
        <w:rPr>
          <w:spacing w:val="-9"/>
        </w:rPr>
        <w:t> </w:t>
      </w:r>
      <w:r>
        <w:rPr/>
        <w:t>instead,</w:t>
      </w:r>
      <w:r>
        <w:rPr>
          <w:spacing w:val="-12"/>
        </w:rPr>
        <w:t> </w:t>
      </w:r>
      <w:r>
        <w:rPr/>
        <w:t>it</w:t>
      </w:r>
      <w:r>
        <w:rPr>
          <w:spacing w:val="-10"/>
        </w:rPr>
        <w:t> </w:t>
      </w:r>
      <w:r>
        <w:rPr/>
        <w:t>takes</w:t>
      </w:r>
      <w:r>
        <w:rPr>
          <w:spacing w:val="-12"/>
        </w:rPr>
        <w:t> </w:t>
      </w:r>
      <w:r>
        <w:rPr/>
        <w:t>on</w:t>
      </w:r>
      <w:r>
        <w:rPr>
          <w:spacing w:val="-10"/>
        </w:rPr>
        <w:t> </w:t>
      </w:r>
      <w:r>
        <w:rPr/>
        <w:t>a</w:t>
      </w:r>
      <w:r>
        <w:rPr>
          <w:spacing w:val="-10"/>
        </w:rPr>
        <w:t> </w:t>
      </w:r>
      <w:r>
        <w:rPr/>
        <w:t>heightened</w:t>
      </w:r>
      <w:r>
        <w:rPr>
          <w:spacing w:val="-8"/>
        </w:rPr>
        <w:t> </w:t>
      </w:r>
      <w:r>
        <w:rPr/>
        <w:t>symbolic power. As Hélène Cixous suggests, the female body can function as a site of writing, where suppressed experiences find alternative forms of </w:t>
      </w:r>
      <w:r>
        <w:rPr>
          <w:spacing w:val="-4"/>
        </w:rPr>
        <w:t>expression.</w:t>
      </w:r>
      <w:r>
        <w:rPr>
          <w:spacing w:val="-2"/>
        </w:rPr>
        <w:t> </w:t>
      </w:r>
      <w:r>
        <w:rPr>
          <w:spacing w:val="-4"/>
        </w:rPr>
        <w:t>Lavinia’s</w:t>
      </w:r>
      <w:r>
        <w:rPr>
          <w:spacing w:val="-7"/>
        </w:rPr>
        <w:t> </w:t>
      </w:r>
      <w:r>
        <w:rPr>
          <w:spacing w:val="-4"/>
        </w:rPr>
        <w:t>body,</w:t>
      </w:r>
      <w:r>
        <w:rPr>
          <w:spacing w:val="-9"/>
        </w:rPr>
        <w:t> </w:t>
      </w:r>
      <w:r>
        <w:rPr>
          <w:spacing w:val="-4"/>
        </w:rPr>
        <w:t>in this</w:t>
      </w:r>
      <w:r>
        <w:rPr>
          <w:spacing w:val="-6"/>
        </w:rPr>
        <w:t> </w:t>
      </w:r>
      <w:r>
        <w:rPr>
          <w:spacing w:val="-4"/>
        </w:rPr>
        <w:t>sense,</w:t>
      </w:r>
      <w:r>
        <w:rPr>
          <w:spacing w:val="-7"/>
        </w:rPr>
        <w:t> </w:t>
      </w:r>
      <w:r>
        <w:rPr>
          <w:spacing w:val="-4"/>
        </w:rPr>
        <w:t>becomes</w:t>
      </w:r>
      <w:r>
        <w:rPr>
          <w:spacing w:val="-7"/>
        </w:rPr>
        <w:t> </w:t>
      </w:r>
      <w:r>
        <w:rPr>
          <w:spacing w:val="-4"/>
        </w:rPr>
        <w:t>both</w:t>
      </w:r>
      <w:r>
        <w:rPr>
          <w:spacing w:val="-6"/>
        </w:rPr>
        <w:t> </w:t>
      </w:r>
      <w:r>
        <w:rPr>
          <w:spacing w:val="-4"/>
        </w:rPr>
        <w:t>text</w:t>
      </w:r>
      <w:r>
        <w:rPr>
          <w:spacing w:val="-2"/>
        </w:rPr>
        <w:t> </w:t>
      </w:r>
      <w:r>
        <w:rPr>
          <w:spacing w:val="-4"/>
        </w:rPr>
        <w:t>and</w:t>
      </w:r>
      <w:r>
        <w:rPr>
          <w:spacing w:val="-6"/>
        </w:rPr>
        <w:t> </w:t>
      </w:r>
      <w:r>
        <w:rPr>
          <w:spacing w:val="-4"/>
        </w:rPr>
        <w:t>testimony.</w:t>
      </w:r>
    </w:p>
    <w:p>
      <w:pPr>
        <w:pStyle w:val="BodyText"/>
        <w:spacing w:line="249" w:lineRule="auto" w:before="64"/>
        <w:ind w:right="1440" w:firstLine="432"/>
        <w:jc w:val="both"/>
      </w:pPr>
      <w:r>
        <w:rPr/>
        <w:t>Moreover,</w:t>
      </w:r>
      <w:r>
        <w:rPr>
          <w:spacing w:val="-12"/>
        </w:rPr>
        <w:t> </w:t>
      </w:r>
      <w:r>
        <w:rPr/>
        <w:t>her</w:t>
      </w:r>
      <w:r>
        <w:rPr>
          <w:spacing w:val="-9"/>
        </w:rPr>
        <w:t> </w:t>
      </w:r>
      <w:r>
        <w:rPr/>
        <w:t>silence</w:t>
      </w:r>
      <w:r>
        <w:rPr>
          <w:spacing w:val="-12"/>
        </w:rPr>
        <w:t> </w:t>
      </w:r>
      <w:r>
        <w:rPr/>
        <w:t>disrupts</w:t>
      </w:r>
      <w:r>
        <w:rPr>
          <w:spacing w:val="-12"/>
        </w:rPr>
        <w:t> </w:t>
      </w:r>
      <w:r>
        <w:rPr/>
        <w:t>the</w:t>
      </w:r>
      <w:r>
        <w:rPr>
          <w:spacing w:val="-10"/>
        </w:rPr>
        <w:t> </w:t>
      </w:r>
      <w:r>
        <w:rPr/>
        <w:t>expectations</w:t>
      </w:r>
      <w:r>
        <w:rPr>
          <w:spacing w:val="-12"/>
        </w:rPr>
        <w:t> </w:t>
      </w:r>
      <w:r>
        <w:rPr/>
        <w:t>of</w:t>
      </w:r>
      <w:r>
        <w:rPr>
          <w:spacing w:val="-12"/>
        </w:rPr>
        <w:t> </w:t>
      </w:r>
      <w:r>
        <w:rPr/>
        <w:t>revenge</w:t>
      </w:r>
      <w:r>
        <w:rPr>
          <w:spacing w:val="-11"/>
        </w:rPr>
        <w:t> </w:t>
      </w:r>
      <w:r>
        <w:rPr/>
        <w:t>tragedy, where justice is typically enacted through male speech and action. While</w:t>
      </w:r>
      <w:r>
        <w:rPr>
          <w:spacing w:val="-10"/>
        </w:rPr>
        <w:t> </w:t>
      </w:r>
      <w:r>
        <w:rPr/>
        <w:t>Titus</w:t>
      </w:r>
      <w:r>
        <w:rPr>
          <w:spacing w:val="-12"/>
        </w:rPr>
        <w:t> </w:t>
      </w:r>
      <w:r>
        <w:rPr/>
        <w:t>ultimately</w:t>
      </w:r>
      <w:r>
        <w:rPr>
          <w:spacing w:val="-10"/>
        </w:rPr>
        <w:t> </w:t>
      </w:r>
      <w:r>
        <w:rPr/>
        <w:t>performs</w:t>
      </w:r>
      <w:r>
        <w:rPr>
          <w:spacing w:val="-9"/>
        </w:rPr>
        <w:t> </w:t>
      </w:r>
      <w:r>
        <w:rPr/>
        <w:t>the</w:t>
      </w:r>
      <w:r>
        <w:rPr>
          <w:spacing w:val="-10"/>
        </w:rPr>
        <w:t> </w:t>
      </w:r>
      <w:r>
        <w:rPr/>
        <w:t>violent</w:t>
      </w:r>
      <w:r>
        <w:rPr>
          <w:spacing w:val="-7"/>
        </w:rPr>
        <w:t> </w:t>
      </w:r>
      <w:r>
        <w:rPr/>
        <w:t>retribution,</w:t>
      </w:r>
      <w:r>
        <w:rPr>
          <w:spacing w:val="-7"/>
        </w:rPr>
        <w:t> </w:t>
      </w:r>
      <w:r>
        <w:rPr/>
        <w:t>Lavinia’s</w:t>
      </w:r>
      <w:r>
        <w:rPr>
          <w:spacing w:val="-10"/>
        </w:rPr>
        <w:t> </w:t>
      </w:r>
      <w:r>
        <w:rPr/>
        <w:t>role</w:t>
      </w:r>
      <w:r>
        <w:rPr>
          <w:spacing w:val="-8"/>
        </w:rPr>
        <w:t> </w:t>
      </w:r>
      <w:r>
        <w:rPr/>
        <w:t>in revealing the truth is indispensable. Her testimony</w:t>
      </w:r>
      <w:r>
        <w:rPr>
          <w:spacing w:val="-2"/>
        </w:rPr>
        <w:t> </w:t>
      </w:r>
      <w:r>
        <w:rPr/>
        <w:t>initiates the chain of events that leads to revenge, positioning her as a central agent within the</w:t>
      </w:r>
      <w:r>
        <w:rPr>
          <w:spacing w:val="40"/>
        </w:rPr>
        <w:t> </w:t>
      </w:r>
      <w:r>
        <w:rPr/>
        <w:t>narrative despite</w:t>
      </w:r>
      <w:r>
        <w:rPr>
          <w:spacing w:val="40"/>
        </w:rPr>
        <w:t> </w:t>
      </w:r>
      <w:r>
        <w:rPr/>
        <w:t>her</w:t>
      </w:r>
      <w:r>
        <w:rPr>
          <w:spacing w:val="40"/>
        </w:rPr>
        <w:t> </w:t>
      </w:r>
      <w:r>
        <w:rPr/>
        <w:t>physical</w:t>
      </w:r>
      <w:r>
        <w:rPr>
          <w:spacing w:val="40"/>
        </w:rPr>
        <w:t> </w:t>
      </w:r>
      <w:r>
        <w:rPr/>
        <w:t>limitations.</w:t>
      </w:r>
    </w:p>
    <w:p>
      <w:pPr>
        <w:pStyle w:val="BodyText"/>
        <w:spacing w:line="249" w:lineRule="auto" w:before="62"/>
        <w:ind w:right="1440" w:firstLine="432"/>
        <w:jc w:val="both"/>
      </w:pPr>
      <w:r>
        <w:rPr/>
        <w:t>From</w:t>
      </w:r>
      <w:r>
        <w:rPr>
          <w:spacing w:val="-3"/>
        </w:rPr>
        <w:t> </w:t>
      </w:r>
      <w:r>
        <w:rPr/>
        <w:t>a trauma theory</w:t>
      </w:r>
      <w:r>
        <w:rPr>
          <w:spacing w:val="-5"/>
        </w:rPr>
        <w:t> </w:t>
      </w:r>
      <w:r>
        <w:rPr/>
        <w:t>perspective, Lavinia’s condition reflects the difficulty of articulating extreme violence. Cathy Caruth argues that trauma often resists direct representation, manifesting instead through </w:t>
      </w:r>
      <w:r>
        <w:rPr>
          <w:spacing w:val="-2"/>
        </w:rPr>
        <w:t>indirect</w:t>
      </w:r>
      <w:r>
        <w:rPr>
          <w:spacing w:val="-8"/>
        </w:rPr>
        <w:t> </w:t>
      </w:r>
      <w:r>
        <w:rPr>
          <w:spacing w:val="-2"/>
        </w:rPr>
        <w:t>or</w:t>
      </w:r>
      <w:r>
        <w:rPr>
          <w:spacing w:val="-7"/>
        </w:rPr>
        <w:t> </w:t>
      </w:r>
      <w:r>
        <w:rPr>
          <w:spacing w:val="-2"/>
        </w:rPr>
        <w:t>fragmented</w:t>
      </w:r>
      <w:r>
        <w:rPr>
          <w:spacing w:val="-7"/>
        </w:rPr>
        <w:t> </w:t>
      </w:r>
      <w:r>
        <w:rPr>
          <w:spacing w:val="-2"/>
        </w:rPr>
        <w:t>forms.</w:t>
      </w:r>
      <w:r>
        <w:rPr>
          <w:spacing w:val="-7"/>
        </w:rPr>
        <w:t> </w:t>
      </w:r>
      <w:r>
        <w:rPr>
          <w:spacing w:val="-2"/>
        </w:rPr>
        <w:t>Lavinia’s</w:t>
      </w:r>
      <w:r>
        <w:rPr>
          <w:spacing w:val="-9"/>
        </w:rPr>
        <w:t> </w:t>
      </w:r>
      <w:r>
        <w:rPr>
          <w:spacing w:val="-2"/>
        </w:rPr>
        <w:t>non-verbal</w:t>
      </w:r>
      <w:r>
        <w:rPr>
          <w:spacing w:val="-9"/>
        </w:rPr>
        <w:t> </w:t>
      </w:r>
      <w:r>
        <w:rPr>
          <w:spacing w:val="-2"/>
        </w:rPr>
        <w:t>communication</w:t>
      </w:r>
      <w:r>
        <w:rPr>
          <w:spacing w:val="-9"/>
        </w:rPr>
        <w:t> </w:t>
      </w:r>
      <w:r>
        <w:rPr>
          <w:spacing w:val="-2"/>
        </w:rPr>
        <w:t>aligns </w:t>
      </w:r>
      <w:r>
        <w:rPr/>
        <w:t>with</w:t>
      </w:r>
      <w:r>
        <w:rPr>
          <w:spacing w:val="13"/>
        </w:rPr>
        <w:t> </w:t>
      </w:r>
      <w:r>
        <w:rPr/>
        <w:t>this</w:t>
      </w:r>
      <w:r>
        <w:rPr>
          <w:spacing w:val="17"/>
        </w:rPr>
        <w:t> </w:t>
      </w:r>
      <w:r>
        <w:rPr/>
        <w:t>framework,</w:t>
      </w:r>
      <w:r>
        <w:rPr>
          <w:spacing w:val="15"/>
        </w:rPr>
        <w:t> </w:t>
      </w:r>
      <w:r>
        <w:rPr/>
        <w:t>suggesting that</w:t>
      </w:r>
      <w:r>
        <w:rPr>
          <w:spacing w:val="15"/>
        </w:rPr>
        <w:t> </w:t>
      </w:r>
      <w:r>
        <w:rPr/>
        <w:t>her</w:t>
      </w:r>
      <w:r>
        <w:rPr>
          <w:spacing w:val="14"/>
        </w:rPr>
        <w:t> </w:t>
      </w:r>
      <w:r>
        <w:rPr/>
        <w:t>silence</w:t>
      </w:r>
      <w:r>
        <w:rPr>
          <w:spacing w:val="16"/>
        </w:rPr>
        <w:t> </w:t>
      </w:r>
      <w:r>
        <w:rPr/>
        <w:t>is</w:t>
      </w:r>
      <w:r>
        <w:rPr>
          <w:spacing w:val="13"/>
        </w:rPr>
        <w:t> </w:t>
      </w:r>
      <w:r>
        <w:rPr/>
        <w:t>not</w:t>
      </w:r>
      <w:r>
        <w:rPr>
          <w:spacing w:val="13"/>
        </w:rPr>
        <w:t> </w:t>
      </w:r>
      <w:r>
        <w:rPr/>
        <w:t>an</w:t>
      </w:r>
      <w:r>
        <w:rPr>
          <w:spacing w:val="15"/>
        </w:rPr>
        <w:t> </w:t>
      </w:r>
      <w:r>
        <w:rPr/>
        <w:t>absence</w:t>
      </w:r>
      <w:r>
        <w:rPr>
          <w:spacing w:val="14"/>
        </w:rPr>
        <w:t> </w:t>
      </w:r>
      <w:r>
        <w:rPr/>
        <w:t>but a</w:t>
      </w:r>
      <w:r>
        <w:rPr>
          <w:spacing w:val="35"/>
        </w:rPr>
        <w:t> </w:t>
      </w:r>
      <w:r>
        <w:rPr/>
        <w:t>different</w:t>
      </w:r>
      <w:r>
        <w:rPr>
          <w:spacing w:val="34"/>
        </w:rPr>
        <w:t> </w:t>
      </w:r>
      <w:r>
        <w:rPr/>
        <w:t>mode</w:t>
      </w:r>
      <w:r>
        <w:rPr>
          <w:spacing w:val="35"/>
        </w:rPr>
        <w:t> </w:t>
      </w:r>
      <w:r>
        <w:rPr/>
        <w:t>of</w:t>
      </w:r>
      <w:r>
        <w:rPr>
          <w:spacing w:val="31"/>
        </w:rPr>
        <w:t> </w:t>
      </w:r>
      <w:r>
        <w:rPr/>
        <w:t>presence.</w:t>
      </w:r>
      <w:r>
        <w:rPr>
          <w:spacing w:val="36"/>
        </w:rPr>
        <w:t> </w:t>
      </w:r>
      <w:r>
        <w:rPr/>
        <w:t>Her</w:t>
      </w:r>
      <w:r>
        <w:rPr>
          <w:spacing w:val="35"/>
        </w:rPr>
        <w:t> </w:t>
      </w:r>
      <w:r>
        <w:rPr/>
        <w:t>gestures,</w:t>
      </w:r>
      <w:r>
        <w:rPr>
          <w:spacing w:val="36"/>
        </w:rPr>
        <w:t> </w:t>
      </w:r>
      <w:r>
        <w:rPr/>
        <w:t>movements,</w:t>
      </w:r>
      <w:r>
        <w:rPr>
          <w:spacing w:val="34"/>
        </w:rPr>
        <w:t> </w:t>
      </w:r>
      <w:r>
        <w:rPr/>
        <w:t>and</w:t>
      </w:r>
      <w:r>
        <w:rPr>
          <w:spacing w:val="36"/>
        </w:rPr>
        <w:t> </w:t>
      </w:r>
      <w:r>
        <w:rPr>
          <w:spacing w:val="-2"/>
        </w:rPr>
        <w:t>written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57472">
                <wp:simplePos x="0" y="0"/>
                <wp:positionH relativeFrom="page">
                  <wp:posOffset>2057400</wp:posOffset>
                </wp:positionH>
                <wp:positionV relativeFrom="paragraph">
                  <wp:posOffset>162604</wp:posOffset>
                </wp:positionV>
                <wp:extent cx="3657600" cy="12700"/>
                <wp:effectExtent l="0" t="0" r="0" b="0"/>
                <wp:wrapTopAndBottom/>
                <wp:docPr id="247" name="Graphic 247"/>
                <wp:cNvGraphicFramePr>
                  <a:graphicFrameLocks/>
                </wp:cNvGraphicFramePr>
                <a:graphic>
                  <a:graphicData uri="http://schemas.microsoft.com/office/word/2010/wordprocessingShape">
                    <wps:wsp>
                      <wps:cNvPr id="247" name="Graphic 24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59008;mso-wrap-distance-left:0;mso-wrap-distance-right:0" id="docshape243" filled="true" fillcolor="#000000" stroked="false">
                <v:fill type="solid"/>
                <w10:wrap type="topAndBottom"/>
              </v:rect>
            </w:pict>
          </mc:Fallback>
        </mc:AlternateContent>
      </w:r>
      <w:r>
        <w:rPr>
          <w:rFonts w:ascii="Verdana"/>
          <w:spacing w:val="-5"/>
          <w:sz w:val="18"/>
        </w:rPr>
        <w:t>70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4"/>
        <w:jc w:val="both"/>
      </w:pPr>
      <w:r>
        <w:rPr/>
        <w:t>signs</w:t>
      </w:r>
      <w:r>
        <w:rPr>
          <w:spacing w:val="-12"/>
        </w:rPr>
        <w:t> </w:t>
      </w:r>
      <w:r>
        <w:rPr/>
        <w:t>convey</w:t>
      </w:r>
      <w:r>
        <w:rPr>
          <w:spacing w:val="-13"/>
        </w:rPr>
        <w:t> </w:t>
      </w:r>
      <w:r>
        <w:rPr/>
        <w:t>what</w:t>
      </w:r>
      <w:r>
        <w:rPr>
          <w:spacing w:val="-8"/>
        </w:rPr>
        <w:t> </w:t>
      </w:r>
      <w:r>
        <w:rPr/>
        <w:t>cannot</w:t>
      </w:r>
      <w:r>
        <w:rPr>
          <w:spacing w:val="-12"/>
        </w:rPr>
        <w:t> </w:t>
      </w:r>
      <w:r>
        <w:rPr/>
        <w:t>be</w:t>
      </w:r>
      <w:r>
        <w:rPr>
          <w:spacing w:val="-9"/>
        </w:rPr>
        <w:t> </w:t>
      </w:r>
      <w:r>
        <w:rPr/>
        <w:t>spoken,</w:t>
      </w:r>
      <w:r>
        <w:rPr>
          <w:spacing w:val="-8"/>
        </w:rPr>
        <w:t> </w:t>
      </w:r>
      <w:r>
        <w:rPr/>
        <w:t>emphasizing</w:t>
      </w:r>
      <w:r>
        <w:rPr>
          <w:spacing w:val="-12"/>
        </w:rPr>
        <w:t> </w:t>
      </w:r>
      <w:r>
        <w:rPr/>
        <w:t>the</w:t>
      </w:r>
      <w:r>
        <w:rPr>
          <w:spacing w:val="-9"/>
        </w:rPr>
        <w:t> </w:t>
      </w:r>
      <w:r>
        <w:rPr/>
        <w:t>limits</w:t>
      </w:r>
      <w:r>
        <w:rPr>
          <w:spacing w:val="-12"/>
        </w:rPr>
        <w:t> </w:t>
      </w:r>
      <w:r>
        <w:rPr/>
        <w:t>of</w:t>
      </w:r>
      <w:r>
        <w:rPr>
          <w:spacing w:val="-10"/>
        </w:rPr>
        <w:t> </w:t>
      </w:r>
      <w:r>
        <w:rPr/>
        <w:t>language in capturing traumatic experience.</w:t>
      </w:r>
    </w:p>
    <w:p>
      <w:pPr>
        <w:pStyle w:val="BodyText"/>
        <w:spacing w:line="249" w:lineRule="auto" w:before="59"/>
        <w:ind w:right="1437" w:firstLine="432"/>
        <w:jc w:val="both"/>
      </w:pPr>
      <w:r>
        <w:rPr/>
        <w:t>Ultimately, Lavinia’s silence operates as both a consequence of violence</w:t>
      </w:r>
      <w:r>
        <w:rPr>
          <w:spacing w:val="-3"/>
        </w:rPr>
        <w:t> </w:t>
      </w:r>
      <w:r>
        <w:rPr/>
        <w:t>and a</w:t>
      </w:r>
      <w:r>
        <w:rPr>
          <w:spacing w:val="-3"/>
        </w:rPr>
        <w:t> </w:t>
      </w:r>
      <w:r>
        <w:rPr/>
        <w:t>means</w:t>
      </w:r>
      <w:r>
        <w:rPr>
          <w:spacing w:val="-2"/>
        </w:rPr>
        <w:t> </w:t>
      </w:r>
      <w:r>
        <w:rPr/>
        <w:t>of</w:t>
      </w:r>
      <w:r>
        <w:rPr>
          <w:spacing w:val="-6"/>
        </w:rPr>
        <w:t> </w:t>
      </w:r>
      <w:r>
        <w:rPr/>
        <w:t>resistance.</w:t>
      </w:r>
      <w:r>
        <w:rPr>
          <w:spacing w:val="-2"/>
        </w:rPr>
        <w:t> </w:t>
      </w:r>
      <w:r>
        <w:rPr/>
        <w:t>By</w:t>
      </w:r>
      <w:r>
        <w:rPr>
          <w:spacing w:val="-6"/>
        </w:rPr>
        <w:t> </w:t>
      </w:r>
      <w:r>
        <w:rPr/>
        <w:t>transforming</w:t>
      </w:r>
      <w:r>
        <w:rPr>
          <w:spacing w:val="-4"/>
        </w:rPr>
        <w:t> </w:t>
      </w:r>
      <w:r>
        <w:rPr/>
        <w:t>her</w:t>
      </w:r>
      <w:r>
        <w:rPr>
          <w:spacing w:val="-2"/>
        </w:rPr>
        <w:t> </w:t>
      </w:r>
      <w:r>
        <w:rPr/>
        <w:t>mutilated</w:t>
      </w:r>
      <w:r>
        <w:rPr>
          <w:spacing w:val="-2"/>
        </w:rPr>
        <w:t> </w:t>
      </w:r>
      <w:r>
        <w:rPr/>
        <w:t>body into a vehicle of testimony, she challenges the structures that seek to erase her, demonstrating that even in conditions of extreme oppression, expression—and</w:t>
      </w:r>
      <w:r>
        <w:rPr>
          <w:spacing w:val="40"/>
        </w:rPr>
        <w:t> </w:t>
      </w:r>
      <w:r>
        <w:rPr/>
        <w:t>by</w:t>
      </w:r>
      <w:r>
        <w:rPr>
          <w:spacing w:val="40"/>
        </w:rPr>
        <w:t> </w:t>
      </w:r>
      <w:r>
        <w:rPr/>
        <w:t>extension,</w:t>
      </w:r>
      <w:r>
        <w:rPr>
          <w:spacing w:val="40"/>
        </w:rPr>
        <w:t> </w:t>
      </w:r>
      <w:r>
        <w:rPr/>
        <w:t>agency—can</w:t>
      </w:r>
      <w:r>
        <w:rPr>
          <w:spacing w:val="40"/>
        </w:rPr>
        <w:t> </w:t>
      </w:r>
      <w:r>
        <w:rPr/>
        <w:t>persist.</w:t>
      </w:r>
    </w:p>
    <w:p>
      <w:pPr>
        <w:pStyle w:val="Heading3"/>
        <w:spacing w:before="158"/>
        <w:jc w:val="both"/>
      </w:pPr>
      <w:r>
        <w:rPr>
          <w:w w:val="90"/>
        </w:rPr>
        <w:t>MADNESS</w:t>
      </w:r>
      <w:r>
        <w:rPr>
          <w:spacing w:val="27"/>
        </w:rPr>
        <w:t> </w:t>
      </w:r>
      <w:r>
        <w:rPr>
          <w:w w:val="90"/>
        </w:rPr>
        <w:t>AND</w:t>
      </w:r>
      <w:r>
        <w:rPr>
          <w:spacing w:val="32"/>
        </w:rPr>
        <w:t> </w:t>
      </w:r>
      <w:r>
        <w:rPr>
          <w:w w:val="90"/>
        </w:rPr>
        <w:t>FRAGMENTATION:</w:t>
      </w:r>
      <w:r>
        <w:rPr>
          <w:spacing w:val="27"/>
        </w:rPr>
        <w:t> </w:t>
      </w:r>
      <w:r>
        <w:rPr>
          <w:spacing w:val="-2"/>
          <w:w w:val="90"/>
        </w:rPr>
        <w:t>OPHELIA</w:t>
      </w:r>
    </w:p>
    <w:p>
      <w:pPr>
        <w:pStyle w:val="BodyText"/>
        <w:spacing w:line="264" w:lineRule="auto" w:before="83"/>
        <w:ind w:right="1438" w:firstLine="432"/>
        <w:jc w:val="both"/>
      </w:pPr>
      <w:r>
        <w:rPr>
          <w:spacing w:val="-2"/>
        </w:rPr>
        <w:t>Ophelia’s</w:t>
      </w:r>
      <w:r>
        <w:rPr>
          <w:spacing w:val="-4"/>
        </w:rPr>
        <w:t> </w:t>
      </w:r>
      <w:r>
        <w:rPr>
          <w:spacing w:val="-2"/>
        </w:rPr>
        <w:t>descent</w:t>
      </w:r>
      <w:r>
        <w:rPr>
          <w:spacing w:val="-4"/>
        </w:rPr>
        <w:t> </w:t>
      </w:r>
      <w:r>
        <w:rPr>
          <w:spacing w:val="-2"/>
        </w:rPr>
        <w:t>into madness</w:t>
      </w:r>
      <w:r>
        <w:rPr>
          <w:spacing w:val="-6"/>
        </w:rPr>
        <w:t> </w:t>
      </w:r>
      <w:r>
        <w:rPr>
          <w:spacing w:val="-2"/>
        </w:rPr>
        <w:t>in </w:t>
      </w:r>
      <w:r>
        <w:rPr>
          <w:i/>
          <w:spacing w:val="-2"/>
        </w:rPr>
        <w:t>Hamlet</w:t>
      </w:r>
      <w:r>
        <w:rPr>
          <w:i/>
          <w:spacing w:val="-3"/>
        </w:rPr>
        <w:t> </w:t>
      </w:r>
      <w:r>
        <w:rPr>
          <w:spacing w:val="-2"/>
        </w:rPr>
        <w:t>has</w:t>
      </w:r>
      <w:r>
        <w:rPr>
          <w:spacing w:val="-6"/>
        </w:rPr>
        <w:t> </w:t>
      </w:r>
      <w:r>
        <w:rPr>
          <w:spacing w:val="-2"/>
        </w:rPr>
        <w:t>long</w:t>
      </w:r>
      <w:r>
        <w:rPr>
          <w:spacing w:val="-4"/>
        </w:rPr>
        <w:t> </w:t>
      </w:r>
      <w:r>
        <w:rPr>
          <w:spacing w:val="-2"/>
        </w:rPr>
        <w:t>been</w:t>
      </w:r>
      <w:r>
        <w:rPr>
          <w:spacing w:val="-6"/>
        </w:rPr>
        <w:t> </w:t>
      </w:r>
      <w:r>
        <w:rPr>
          <w:spacing w:val="-2"/>
        </w:rPr>
        <w:t>interpreted </w:t>
      </w:r>
      <w:r>
        <w:rPr/>
        <w:t>as a manifestation of emotional fragility, yet a closer reading reveals a more complex dynamic in which madness becomes a fragmented yet potent form of expression. Deprived of stable authority and subjected</w:t>
      </w:r>
      <w:r>
        <w:rPr>
          <w:spacing w:val="80"/>
        </w:rPr>
        <w:t> </w:t>
      </w:r>
      <w:r>
        <w:rPr/>
        <w:t>to conflicting demands from her father, brother, and Hamlet, Ophelia occupies</w:t>
      </w:r>
      <w:r>
        <w:rPr>
          <w:spacing w:val="-7"/>
        </w:rPr>
        <w:t> </w:t>
      </w:r>
      <w:r>
        <w:rPr/>
        <w:t>a</w:t>
      </w:r>
      <w:r>
        <w:rPr>
          <w:spacing w:val="-5"/>
        </w:rPr>
        <w:t> </w:t>
      </w:r>
      <w:r>
        <w:rPr/>
        <w:t>precarious</w:t>
      </w:r>
      <w:r>
        <w:rPr>
          <w:spacing w:val="-7"/>
        </w:rPr>
        <w:t> </w:t>
      </w:r>
      <w:r>
        <w:rPr/>
        <w:t>position</w:t>
      </w:r>
      <w:r>
        <w:rPr>
          <w:spacing w:val="-6"/>
        </w:rPr>
        <w:t> </w:t>
      </w:r>
      <w:r>
        <w:rPr/>
        <w:t>within</w:t>
      </w:r>
      <w:r>
        <w:rPr>
          <w:spacing w:val="-7"/>
        </w:rPr>
        <w:t> </w:t>
      </w:r>
      <w:r>
        <w:rPr/>
        <w:t>the</w:t>
      </w:r>
      <w:r>
        <w:rPr>
          <w:spacing w:val="-6"/>
        </w:rPr>
        <w:t> </w:t>
      </w:r>
      <w:r>
        <w:rPr/>
        <w:t>patriarchal</w:t>
      </w:r>
      <w:r>
        <w:rPr>
          <w:spacing w:val="-7"/>
        </w:rPr>
        <w:t> </w:t>
      </w:r>
      <w:r>
        <w:rPr/>
        <w:t>order.</w:t>
      </w:r>
      <w:r>
        <w:rPr>
          <w:spacing w:val="-6"/>
        </w:rPr>
        <w:t> </w:t>
      </w:r>
      <w:r>
        <w:rPr/>
        <w:t>Her</w:t>
      </w:r>
      <w:r>
        <w:rPr>
          <w:spacing w:val="-7"/>
        </w:rPr>
        <w:t> </w:t>
      </w:r>
      <w:r>
        <w:rPr/>
        <w:t>eventual breakdown reflects not only personal grief but also the structural pressures</w:t>
      </w:r>
      <w:r>
        <w:rPr>
          <w:spacing w:val="40"/>
        </w:rPr>
        <w:t> </w:t>
      </w:r>
      <w:r>
        <w:rPr/>
        <w:t>that</w:t>
      </w:r>
      <w:r>
        <w:rPr>
          <w:spacing w:val="40"/>
        </w:rPr>
        <w:t> </w:t>
      </w:r>
      <w:r>
        <w:rPr/>
        <w:t>constrain</w:t>
      </w:r>
      <w:r>
        <w:rPr>
          <w:spacing w:val="40"/>
        </w:rPr>
        <w:t> </w:t>
      </w:r>
      <w:r>
        <w:rPr/>
        <w:t>her</w:t>
      </w:r>
      <w:r>
        <w:rPr>
          <w:spacing w:val="40"/>
        </w:rPr>
        <w:t> </w:t>
      </w:r>
      <w:r>
        <w:rPr/>
        <w:t>voice.</w:t>
      </w:r>
    </w:p>
    <w:p>
      <w:pPr>
        <w:pStyle w:val="BodyText"/>
        <w:spacing w:line="264" w:lineRule="auto" w:before="52"/>
        <w:ind w:right="1434" w:firstLine="432"/>
        <w:jc w:val="both"/>
      </w:pPr>
      <w:r>
        <w:rPr/>
        <w:t>Prior to her madness, Ophelia’s speech is characterized by obedience and restraint. She echoes the directives of Polonius and Laertes, functioning largely as a conduit for male authority. However, after Polonius’s death and Hamlet’s rejection, her language shifts </w:t>
      </w:r>
      <w:r>
        <w:rPr>
          <w:spacing w:val="-2"/>
        </w:rPr>
        <w:t>dramatically.</w:t>
      </w:r>
      <w:r>
        <w:rPr>
          <w:spacing w:val="-3"/>
        </w:rPr>
        <w:t> </w:t>
      </w:r>
      <w:r>
        <w:rPr>
          <w:spacing w:val="-2"/>
        </w:rPr>
        <w:t>Her</w:t>
      </w:r>
      <w:r>
        <w:rPr>
          <w:spacing w:val="-3"/>
        </w:rPr>
        <w:t> </w:t>
      </w:r>
      <w:r>
        <w:rPr>
          <w:spacing w:val="-2"/>
        </w:rPr>
        <w:t>songs—”He</w:t>
      </w:r>
      <w:r>
        <w:rPr>
          <w:spacing w:val="-4"/>
        </w:rPr>
        <w:t> </w:t>
      </w:r>
      <w:r>
        <w:rPr>
          <w:spacing w:val="-2"/>
        </w:rPr>
        <w:t>is</w:t>
      </w:r>
      <w:r>
        <w:rPr>
          <w:spacing w:val="-6"/>
        </w:rPr>
        <w:t> </w:t>
      </w:r>
      <w:r>
        <w:rPr>
          <w:spacing w:val="-2"/>
        </w:rPr>
        <w:t>dead</w:t>
      </w:r>
      <w:r>
        <w:rPr>
          <w:spacing w:val="-3"/>
        </w:rPr>
        <w:t> </w:t>
      </w:r>
      <w:r>
        <w:rPr>
          <w:spacing w:val="-2"/>
        </w:rPr>
        <w:t>and gone,</w:t>
      </w:r>
      <w:r>
        <w:rPr>
          <w:spacing w:val="-3"/>
        </w:rPr>
        <w:t> </w:t>
      </w:r>
      <w:r>
        <w:rPr>
          <w:spacing w:val="-2"/>
        </w:rPr>
        <w:t>lady”</w:t>
      </w:r>
      <w:r>
        <w:rPr>
          <w:spacing w:val="-4"/>
        </w:rPr>
        <w:t> </w:t>
      </w:r>
      <w:r>
        <w:rPr>
          <w:spacing w:val="-2"/>
        </w:rPr>
        <w:t>(</w:t>
      </w:r>
      <w:r>
        <w:rPr>
          <w:i/>
          <w:spacing w:val="-2"/>
        </w:rPr>
        <w:t>Hamlet </w:t>
      </w:r>
      <w:r>
        <w:rPr>
          <w:spacing w:val="-2"/>
        </w:rPr>
        <w:t>4.5.29)—</w:t>
      </w:r>
      <w:r>
        <w:rPr/>
        <w:t>introduce</w:t>
      </w:r>
      <w:r>
        <w:rPr>
          <w:spacing w:val="-11"/>
        </w:rPr>
        <w:t> </w:t>
      </w:r>
      <w:r>
        <w:rPr/>
        <w:t>a</w:t>
      </w:r>
      <w:r>
        <w:rPr>
          <w:spacing w:val="-9"/>
        </w:rPr>
        <w:t> </w:t>
      </w:r>
      <w:r>
        <w:rPr/>
        <w:t>mode</w:t>
      </w:r>
      <w:r>
        <w:rPr>
          <w:spacing w:val="-11"/>
        </w:rPr>
        <w:t> </w:t>
      </w:r>
      <w:r>
        <w:rPr/>
        <w:t>of</w:t>
      </w:r>
      <w:r>
        <w:rPr>
          <w:spacing w:val="-11"/>
        </w:rPr>
        <w:t> </w:t>
      </w:r>
      <w:r>
        <w:rPr/>
        <w:t>expression</w:t>
      </w:r>
      <w:r>
        <w:rPr>
          <w:spacing w:val="-12"/>
        </w:rPr>
        <w:t> </w:t>
      </w:r>
      <w:r>
        <w:rPr/>
        <w:t>that</w:t>
      </w:r>
      <w:r>
        <w:rPr>
          <w:spacing w:val="-8"/>
        </w:rPr>
        <w:t> </w:t>
      </w:r>
      <w:r>
        <w:rPr/>
        <w:t>is</w:t>
      </w:r>
      <w:r>
        <w:rPr>
          <w:spacing w:val="-11"/>
        </w:rPr>
        <w:t> </w:t>
      </w:r>
      <w:r>
        <w:rPr/>
        <w:t>disjointed,</w:t>
      </w:r>
      <w:r>
        <w:rPr>
          <w:spacing w:val="-11"/>
        </w:rPr>
        <w:t> </w:t>
      </w:r>
      <w:r>
        <w:rPr/>
        <w:t>symbolic,</w:t>
      </w:r>
      <w:r>
        <w:rPr>
          <w:spacing w:val="-9"/>
        </w:rPr>
        <w:t> </w:t>
      </w:r>
      <w:r>
        <w:rPr/>
        <w:t>and</w:t>
      </w:r>
      <w:r>
        <w:rPr>
          <w:spacing w:val="-9"/>
        </w:rPr>
        <w:t> </w:t>
      </w:r>
      <w:r>
        <w:rPr/>
        <w:t>resistant to</w:t>
      </w:r>
      <w:r>
        <w:rPr>
          <w:spacing w:val="-1"/>
        </w:rPr>
        <w:t> </w:t>
      </w:r>
      <w:r>
        <w:rPr/>
        <w:t>direct</w:t>
      </w:r>
      <w:r>
        <w:rPr>
          <w:spacing w:val="-2"/>
        </w:rPr>
        <w:t> </w:t>
      </w:r>
      <w:r>
        <w:rPr/>
        <w:t>interpretation.</w:t>
      </w:r>
      <w:r>
        <w:rPr>
          <w:spacing w:val="-1"/>
        </w:rPr>
        <w:t> </w:t>
      </w:r>
      <w:r>
        <w:rPr/>
        <w:t>These</w:t>
      </w:r>
      <w:r>
        <w:rPr>
          <w:spacing w:val="-2"/>
        </w:rPr>
        <w:t> </w:t>
      </w:r>
      <w:r>
        <w:rPr/>
        <w:t>fragments</w:t>
      </w:r>
      <w:r>
        <w:rPr>
          <w:spacing w:val="-1"/>
        </w:rPr>
        <w:t> </w:t>
      </w:r>
      <w:r>
        <w:rPr/>
        <w:t>disrupt</w:t>
      </w:r>
      <w:r>
        <w:rPr>
          <w:spacing w:val="-1"/>
        </w:rPr>
        <w:t> </w:t>
      </w:r>
      <w:r>
        <w:rPr/>
        <w:t>the</w:t>
      </w:r>
      <w:r>
        <w:rPr>
          <w:spacing w:val="-1"/>
        </w:rPr>
        <w:t> </w:t>
      </w:r>
      <w:r>
        <w:rPr/>
        <w:t>coherence</w:t>
      </w:r>
      <w:r>
        <w:rPr>
          <w:spacing w:val="-2"/>
        </w:rPr>
        <w:t> </w:t>
      </w:r>
      <w:r>
        <w:rPr/>
        <w:t>expected of</w:t>
      </w:r>
      <w:r>
        <w:rPr>
          <w:spacing w:val="6"/>
        </w:rPr>
        <w:t> </w:t>
      </w:r>
      <w:r>
        <w:rPr/>
        <w:t>rational</w:t>
      </w:r>
      <w:r>
        <w:rPr>
          <w:spacing w:val="7"/>
        </w:rPr>
        <w:t> </w:t>
      </w:r>
      <w:r>
        <w:rPr/>
        <w:t>speech,</w:t>
      </w:r>
      <w:r>
        <w:rPr>
          <w:spacing w:val="7"/>
        </w:rPr>
        <w:t> </w:t>
      </w:r>
      <w:r>
        <w:rPr/>
        <w:t>allowing</w:t>
      </w:r>
      <w:r>
        <w:rPr>
          <w:spacing w:val="7"/>
        </w:rPr>
        <w:t> </w:t>
      </w:r>
      <w:r>
        <w:rPr/>
        <w:t>suppressed</w:t>
      </w:r>
      <w:r>
        <w:rPr>
          <w:spacing w:val="8"/>
        </w:rPr>
        <w:t> </w:t>
      </w:r>
      <w:r>
        <w:rPr/>
        <w:t>emotions</w:t>
      </w:r>
      <w:r>
        <w:rPr>
          <w:spacing w:val="9"/>
        </w:rPr>
        <w:t> </w:t>
      </w:r>
      <w:r>
        <w:rPr/>
        <w:t>and</w:t>
      </w:r>
      <w:r>
        <w:rPr>
          <w:spacing w:val="6"/>
        </w:rPr>
        <w:t> </w:t>
      </w:r>
      <w:r>
        <w:rPr/>
        <w:t>truths</w:t>
      </w:r>
      <w:r>
        <w:rPr>
          <w:spacing w:val="7"/>
        </w:rPr>
        <w:t> </w:t>
      </w:r>
      <w:r>
        <w:rPr/>
        <w:t>to</w:t>
      </w:r>
      <w:r>
        <w:rPr>
          <w:spacing w:val="9"/>
        </w:rPr>
        <w:t> </w:t>
      </w:r>
      <w:r>
        <w:rPr>
          <w:spacing w:val="-2"/>
        </w:rPr>
        <w:t>surface.</w:t>
      </w:r>
    </w:p>
    <w:p>
      <w:pPr>
        <w:pStyle w:val="BodyText"/>
        <w:spacing w:line="264" w:lineRule="auto" w:before="49"/>
        <w:ind w:right="1437" w:firstLine="432"/>
        <w:jc w:val="both"/>
      </w:pPr>
      <w:r>
        <w:rPr/>
        <w:t>Elaine</w:t>
      </w:r>
      <w:r>
        <w:rPr>
          <w:spacing w:val="-13"/>
        </w:rPr>
        <w:t> </w:t>
      </w:r>
      <w:r>
        <w:rPr/>
        <w:t>Showalter’s</w:t>
      </w:r>
      <w:r>
        <w:rPr>
          <w:spacing w:val="-12"/>
        </w:rPr>
        <w:t> </w:t>
      </w:r>
      <w:r>
        <w:rPr/>
        <w:t>influential</w:t>
      </w:r>
      <w:r>
        <w:rPr>
          <w:spacing w:val="-13"/>
        </w:rPr>
        <w:t> </w:t>
      </w:r>
      <w:r>
        <w:rPr/>
        <w:t>reading</w:t>
      </w:r>
      <w:r>
        <w:rPr>
          <w:spacing w:val="-12"/>
        </w:rPr>
        <w:t> </w:t>
      </w:r>
      <w:r>
        <w:rPr/>
        <w:t>positions</w:t>
      </w:r>
      <w:r>
        <w:rPr>
          <w:spacing w:val="-13"/>
        </w:rPr>
        <w:t> </w:t>
      </w:r>
      <w:r>
        <w:rPr/>
        <w:t>Ophelia’s</w:t>
      </w:r>
      <w:r>
        <w:rPr>
          <w:spacing w:val="-12"/>
        </w:rPr>
        <w:t> </w:t>
      </w:r>
      <w:r>
        <w:rPr/>
        <w:t>madness as</w:t>
      </w:r>
      <w:r>
        <w:rPr>
          <w:spacing w:val="-3"/>
        </w:rPr>
        <w:t> </w:t>
      </w:r>
      <w:r>
        <w:rPr/>
        <w:t>a</w:t>
      </w:r>
      <w:r>
        <w:rPr>
          <w:spacing w:val="-2"/>
        </w:rPr>
        <w:t> </w:t>
      </w:r>
      <w:r>
        <w:rPr/>
        <w:t>culturally</w:t>
      </w:r>
      <w:r>
        <w:rPr>
          <w:spacing w:val="-4"/>
        </w:rPr>
        <w:t> </w:t>
      </w:r>
      <w:r>
        <w:rPr/>
        <w:t>coded</w:t>
      </w:r>
      <w:r>
        <w:rPr>
          <w:spacing w:val="-1"/>
        </w:rPr>
        <w:t> </w:t>
      </w:r>
      <w:r>
        <w:rPr/>
        <w:t>form</w:t>
      </w:r>
      <w:r>
        <w:rPr>
          <w:spacing w:val="-4"/>
        </w:rPr>
        <w:t> </w:t>
      </w:r>
      <w:r>
        <w:rPr/>
        <w:t>of</w:t>
      </w:r>
      <w:r>
        <w:rPr>
          <w:spacing w:val="-3"/>
        </w:rPr>
        <w:t> </w:t>
      </w:r>
      <w:r>
        <w:rPr/>
        <w:t>expression,</w:t>
      </w:r>
      <w:r>
        <w:rPr>
          <w:spacing w:val="-1"/>
        </w:rPr>
        <w:t> </w:t>
      </w:r>
      <w:r>
        <w:rPr/>
        <w:t>wherein</w:t>
      </w:r>
      <w:r>
        <w:rPr>
          <w:spacing w:val="-1"/>
        </w:rPr>
        <w:t> </w:t>
      </w:r>
      <w:r>
        <w:rPr/>
        <w:t>the</w:t>
      </w:r>
      <w:r>
        <w:rPr>
          <w:spacing w:val="-1"/>
        </w:rPr>
        <w:t> </w:t>
      </w:r>
      <w:r>
        <w:rPr/>
        <w:t>constraints</w:t>
      </w:r>
      <w:r>
        <w:rPr>
          <w:spacing w:val="-1"/>
        </w:rPr>
        <w:t> </w:t>
      </w:r>
      <w:r>
        <w:rPr/>
        <w:t>placed upon female speech are temporarily suspended. In this state, Ophelia articulates themes of death, betrayal, and sexual anxiety that would otherwise</w:t>
      </w:r>
      <w:r>
        <w:rPr>
          <w:spacing w:val="-1"/>
        </w:rPr>
        <w:t> </w:t>
      </w:r>
      <w:r>
        <w:rPr/>
        <w:t>remain unspoken.</w:t>
      </w:r>
      <w:r>
        <w:rPr>
          <w:spacing w:val="-1"/>
        </w:rPr>
        <w:t> </w:t>
      </w:r>
      <w:r>
        <w:rPr/>
        <w:t>Her distribution</w:t>
      </w:r>
      <w:r>
        <w:rPr>
          <w:spacing w:val="-1"/>
        </w:rPr>
        <w:t> </w:t>
      </w:r>
      <w:r>
        <w:rPr/>
        <w:t>of flowers—each</w:t>
      </w:r>
      <w:r>
        <w:rPr>
          <w:spacing w:val="-3"/>
        </w:rPr>
        <w:t> </w:t>
      </w:r>
      <w:r>
        <w:rPr/>
        <w:t>carrying symbolic meaning—further reinforces this alternative mode of communication.</w:t>
      </w:r>
      <w:r>
        <w:rPr>
          <w:spacing w:val="40"/>
        </w:rPr>
        <w:t> </w:t>
      </w:r>
      <w:r>
        <w:rPr/>
        <w:t>Through</w:t>
      </w:r>
      <w:r>
        <w:rPr>
          <w:spacing w:val="40"/>
        </w:rPr>
        <w:t> </w:t>
      </w:r>
      <w:r>
        <w:rPr/>
        <w:t>these</w:t>
      </w:r>
      <w:r>
        <w:rPr>
          <w:spacing w:val="40"/>
        </w:rPr>
        <w:t> </w:t>
      </w:r>
      <w:r>
        <w:rPr/>
        <w:t>gestures,</w:t>
      </w:r>
      <w:r>
        <w:rPr>
          <w:spacing w:val="40"/>
        </w:rPr>
        <w:t> </w:t>
      </w:r>
      <w:r>
        <w:rPr/>
        <w:t>she</w:t>
      </w:r>
      <w:r>
        <w:rPr>
          <w:spacing w:val="40"/>
        </w:rPr>
        <w:t> </w:t>
      </w:r>
      <w:r>
        <w:rPr/>
        <w:t>constructs</w:t>
      </w:r>
      <w:r>
        <w:rPr>
          <w:spacing w:val="40"/>
        </w:rPr>
        <w:t> </w:t>
      </w:r>
      <w:r>
        <w:rPr/>
        <w:t>a</w:t>
      </w:r>
      <w:r>
        <w:rPr>
          <w:spacing w:val="40"/>
        </w:rPr>
        <w:t> </w:t>
      </w:r>
      <w:r>
        <w:rPr/>
        <w:t>language that</w:t>
      </w:r>
      <w:r>
        <w:rPr>
          <w:spacing w:val="40"/>
        </w:rPr>
        <w:t> </w:t>
      </w:r>
      <w:r>
        <w:rPr/>
        <w:t>operates</w:t>
      </w:r>
      <w:r>
        <w:rPr>
          <w:spacing w:val="40"/>
        </w:rPr>
        <w:t> </w:t>
      </w:r>
      <w:r>
        <w:rPr/>
        <w:t>beyond</w:t>
      </w:r>
      <w:r>
        <w:rPr>
          <w:spacing w:val="40"/>
        </w:rPr>
        <w:t> </w:t>
      </w:r>
      <w:r>
        <w:rPr/>
        <w:t>conventional</w:t>
      </w:r>
      <w:r>
        <w:rPr>
          <w:spacing w:val="40"/>
        </w:rPr>
        <w:t> </w:t>
      </w:r>
      <w:r>
        <w:rPr/>
        <w:t>discourse.</w:t>
      </w:r>
    </w:p>
    <w:p>
      <w:pPr>
        <w:pStyle w:val="BodyText"/>
        <w:spacing w:line="264" w:lineRule="auto" w:before="50"/>
        <w:ind w:right="1438" w:firstLine="432"/>
        <w:jc w:val="both"/>
      </w:pPr>
      <w:r>
        <w:rPr/>
        <w:t>From the perspective of trauma theory, Ophelia’s fragmentation reflects the difficulty of integrating traumatic experience into coherent narrative. Cathy Caruth’s notion that trauma disrupts linear temporality is evident in Ophelia’s speech, which moves unpredictably between</w:t>
      </w:r>
      <w:r>
        <w:rPr>
          <w:spacing w:val="40"/>
        </w:rPr>
        <w:t> </w:t>
      </w:r>
      <w:r>
        <w:rPr/>
        <w:t>past</w:t>
      </w:r>
      <w:r>
        <w:rPr>
          <w:spacing w:val="21"/>
        </w:rPr>
        <w:t> </w:t>
      </w:r>
      <w:r>
        <w:rPr/>
        <w:t>and</w:t>
      </w:r>
      <w:r>
        <w:rPr>
          <w:spacing w:val="28"/>
        </w:rPr>
        <w:t> </w:t>
      </w:r>
      <w:r>
        <w:rPr/>
        <w:t>present.</w:t>
      </w:r>
      <w:r>
        <w:rPr>
          <w:spacing w:val="26"/>
        </w:rPr>
        <w:t> </w:t>
      </w:r>
      <w:r>
        <w:rPr/>
        <w:t>Her</w:t>
      </w:r>
      <w:r>
        <w:rPr>
          <w:spacing w:val="24"/>
        </w:rPr>
        <w:t> </w:t>
      </w:r>
      <w:r>
        <w:rPr/>
        <w:t>repetitions</w:t>
      </w:r>
      <w:r>
        <w:rPr>
          <w:spacing w:val="22"/>
        </w:rPr>
        <w:t> </w:t>
      </w:r>
      <w:r>
        <w:rPr/>
        <w:t>and</w:t>
      </w:r>
      <w:r>
        <w:rPr>
          <w:spacing w:val="28"/>
        </w:rPr>
        <w:t> </w:t>
      </w:r>
      <w:r>
        <w:rPr/>
        <w:t>abrupt</w:t>
      </w:r>
      <w:r>
        <w:rPr>
          <w:spacing w:val="23"/>
        </w:rPr>
        <w:t> </w:t>
      </w:r>
      <w:r>
        <w:rPr/>
        <w:t>shifts</w:t>
      </w:r>
      <w:r>
        <w:rPr>
          <w:spacing w:val="22"/>
        </w:rPr>
        <w:t> </w:t>
      </w:r>
      <w:r>
        <w:rPr/>
        <w:t>in</w:t>
      </w:r>
      <w:r>
        <w:rPr>
          <w:spacing w:val="24"/>
        </w:rPr>
        <w:t> </w:t>
      </w:r>
      <w:r>
        <w:rPr/>
        <w:t>tone</w:t>
      </w:r>
      <w:r>
        <w:rPr>
          <w:spacing w:val="26"/>
        </w:rPr>
        <w:t> </w:t>
      </w:r>
      <w:r>
        <w:rPr/>
        <w:t>suggest</w:t>
      </w:r>
      <w:r>
        <w:rPr>
          <w:spacing w:val="23"/>
        </w:rPr>
        <w:t> </w:t>
      </w:r>
      <w:r>
        <w:rPr>
          <w:spacing w:val="-5"/>
        </w:rPr>
        <w:t>an</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57984">
                <wp:simplePos x="0" y="0"/>
                <wp:positionH relativeFrom="page">
                  <wp:posOffset>2065020</wp:posOffset>
                </wp:positionH>
                <wp:positionV relativeFrom="paragraph">
                  <wp:posOffset>162604</wp:posOffset>
                </wp:positionV>
                <wp:extent cx="3657600" cy="12700"/>
                <wp:effectExtent l="0" t="0" r="0" b="0"/>
                <wp:wrapTopAndBottom/>
                <wp:docPr id="248" name="Graphic 248"/>
                <wp:cNvGraphicFramePr>
                  <a:graphicFrameLocks/>
                </wp:cNvGraphicFramePr>
                <a:graphic>
                  <a:graphicData uri="http://schemas.microsoft.com/office/word/2010/wordprocessingShape">
                    <wps:wsp>
                      <wps:cNvPr id="248" name="Graphic 24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58496;mso-wrap-distance-left:0;mso-wrap-distance-right:0" id="docshape244" filled="true" fillcolor="#000000" stroked="false">
                <v:fill type="solid"/>
                <w10:wrap type="topAndBottom"/>
              </v:rect>
            </w:pict>
          </mc:Fallback>
        </mc:AlternateContent>
      </w:r>
      <w:r>
        <w:rPr>
          <w:rFonts w:ascii="Verdana" w:hAnsi="Verdana"/>
          <w:sz w:val="18"/>
        </w:rPr>
        <w:t>Silence,</w:t>
      </w:r>
      <w:r>
        <w:rPr>
          <w:rFonts w:ascii="Verdana" w:hAnsi="Verdana"/>
          <w:spacing w:val="2"/>
          <w:sz w:val="18"/>
        </w:rPr>
        <w:t> </w:t>
      </w:r>
      <w:r>
        <w:rPr>
          <w:rFonts w:ascii="Verdana" w:hAnsi="Verdana"/>
          <w:sz w:val="18"/>
        </w:rPr>
        <w:t>Speech,</w:t>
      </w:r>
      <w:r>
        <w:rPr>
          <w:rFonts w:ascii="Verdana" w:hAnsi="Verdana"/>
          <w:spacing w:val="3"/>
          <w:sz w:val="18"/>
        </w:rPr>
        <w:t> </w:t>
      </w:r>
      <w:r>
        <w:rPr>
          <w:rFonts w:ascii="Verdana" w:hAnsi="Verdana"/>
          <w:sz w:val="18"/>
        </w:rPr>
        <w:t>and</w:t>
      </w:r>
      <w:r>
        <w:rPr>
          <w:rFonts w:ascii="Verdana" w:hAnsi="Verdana"/>
          <w:spacing w:val="4"/>
          <w:sz w:val="18"/>
        </w:rPr>
        <w:t> </w:t>
      </w:r>
      <w:r>
        <w:rPr>
          <w:rFonts w:ascii="Verdana" w:hAnsi="Verdana"/>
          <w:sz w:val="18"/>
        </w:rPr>
        <w:t>Revenge:</w:t>
      </w:r>
      <w:r>
        <w:rPr>
          <w:rFonts w:ascii="Verdana" w:hAnsi="Verdana"/>
          <w:spacing w:val="4"/>
          <w:sz w:val="18"/>
        </w:rPr>
        <w:t> </w:t>
      </w:r>
      <w:r>
        <w:rPr>
          <w:rFonts w:ascii="Verdana" w:hAnsi="Verdana"/>
          <w:sz w:val="18"/>
        </w:rPr>
        <w:t>Women’s</w:t>
      </w:r>
      <w:r>
        <w:rPr>
          <w:rFonts w:ascii="Verdana" w:hAnsi="Verdana"/>
          <w:spacing w:val="4"/>
          <w:sz w:val="18"/>
        </w:rPr>
        <w:t> </w:t>
      </w:r>
      <w:r>
        <w:rPr>
          <w:rFonts w:ascii="Verdana" w:hAnsi="Verdana"/>
          <w:sz w:val="18"/>
        </w:rPr>
        <w:t>Responses</w:t>
      </w:r>
      <w:r>
        <w:rPr>
          <w:rFonts w:ascii="Verdana" w:hAnsi="Verdana"/>
          <w:spacing w:val="3"/>
          <w:sz w:val="18"/>
        </w:rPr>
        <w:t> </w:t>
      </w:r>
      <w:r>
        <w:rPr>
          <w:rFonts w:ascii="Verdana" w:hAnsi="Verdana"/>
          <w:spacing w:val="-2"/>
          <w:sz w:val="18"/>
        </w:rPr>
        <w:t>to...</w:t>
      </w:r>
      <w:r>
        <w:rPr>
          <w:rFonts w:ascii="Verdana" w:hAnsi="Verdana"/>
          <w:sz w:val="18"/>
        </w:rPr>
        <w:tab/>
      </w:r>
      <w:r>
        <w:rPr>
          <w:rFonts w:ascii="Verdana" w:hAnsi="Verdana"/>
          <w:spacing w:val="-5"/>
          <w:sz w:val="18"/>
        </w:rPr>
        <w:t>71</w:t>
      </w:r>
    </w:p>
    <w:p>
      <w:pPr>
        <w:pStyle w:val="BodyText"/>
        <w:spacing w:line="264" w:lineRule="auto" w:before="199"/>
        <w:ind w:right="1441"/>
        <w:jc w:val="both"/>
      </w:pPr>
      <w:r>
        <w:rPr>
          <w:spacing w:val="-2"/>
        </w:rPr>
        <w:t>inability</w:t>
      </w:r>
      <w:r>
        <w:rPr>
          <w:spacing w:val="-11"/>
        </w:rPr>
        <w:t> </w:t>
      </w:r>
      <w:r>
        <w:rPr>
          <w:spacing w:val="-2"/>
        </w:rPr>
        <w:t>to</w:t>
      </w:r>
      <w:r>
        <w:rPr>
          <w:spacing w:val="-10"/>
        </w:rPr>
        <w:t> </w:t>
      </w:r>
      <w:r>
        <w:rPr>
          <w:spacing w:val="-2"/>
        </w:rPr>
        <w:t>fully</w:t>
      </w:r>
      <w:r>
        <w:rPr>
          <w:spacing w:val="-11"/>
        </w:rPr>
        <w:t> </w:t>
      </w:r>
      <w:r>
        <w:rPr>
          <w:spacing w:val="-2"/>
        </w:rPr>
        <w:t>process</w:t>
      </w:r>
      <w:r>
        <w:rPr>
          <w:spacing w:val="-10"/>
        </w:rPr>
        <w:t> </w:t>
      </w:r>
      <w:r>
        <w:rPr>
          <w:spacing w:val="-2"/>
        </w:rPr>
        <w:t>her</w:t>
      </w:r>
      <w:r>
        <w:rPr>
          <w:spacing w:val="-11"/>
        </w:rPr>
        <w:t> </w:t>
      </w:r>
      <w:r>
        <w:rPr>
          <w:spacing w:val="-2"/>
        </w:rPr>
        <w:t>experiences,</w:t>
      </w:r>
      <w:r>
        <w:rPr>
          <w:spacing w:val="-7"/>
        </w:rPr>
        <w:t> </w:t>
      </w:r>
      <w:r>
        <w:rPr>
          <w:spacing w:val="-2"/>
        </w:rPr>
        <w:t>resulting</w:t>
      </w:r>
      <w:r>
        <w:rPr>
          <w:spacing w:val="-8"/>
        </w:rPr>
        <w:t> </w:t>
      </w:r>
      <w:r>
        <w:rPr>
          <w:spacing w:val="-2"/>
        </w:rPr>
        <w:t>in</w:t>
      </w:r>
      <w:r>
        <w:rPr>
          <w:spacing w:val="-10"/>
        </w:rPr>
        <w:t> </w:t>
      </w:r>
      <w:r>
        <w:rPr>
          <w:spacing w:val="-2"/>
        </w:rPr>
        <w:t>a</w:t>
      </w:r>
      <w:r>
        <w:rPr>
          <w:spacing w:val="-8"/>
        </w:rPr>
        <w:t> </w:t>
      </w:r>
      <w:r>
        <w:rPr>
          <w:spacing w:val="-2"/>
        </w:rPr>
        <w:t>form</w:t>
      </w:r>
      <w:r>
        <w:rPr>
          <w:spacing w:val="-11"/>
        </w:rPr>
        <w:t> </w:t>
      </w:r>
      <w:r>
        <w:rPr>
          <w:spacing w:val="-2"/>
        </w:rPr>
        <w:t>of</w:t>
      </w:r>
      <w:r>
        <w:rPr>
          <w:spacing w:val="-8"/>
        </w:rPr>
        <w:t> </w:t>
      </w:r>
      <w:r>
        <w:rPr>
          <w:spacing w:val="-2"/>
        </w:rPr>
        <w:t>expression </w:t>
      </w:r>
      <w:r>
        <w:rPr/>
        <w:t>that</w:t>
      </w:r>
      <w:r>
        <w:rPr>
          <w:spacing w:val="40"/>
        </w:rPr>
        <w:t> </w:t>
      </w:r>
      <w:r>
        <w:rPr/>
        <w:t>is</w:t>
      </w:r>
      <w:r>
        <w:rPr>
          <w:spacing w:val="40"/>
        </w:rPr>
        <w:t> </w:t>
      </w:r>
      <w:r>
        <w:rPr/>
        <w:t>both</w:t>
      </w:r>
      <w:r>
        <w:rPr>
          <w:spacing w:val="40"/>
        </w:rPr>
        <w:t> </w:t>
      </w:r>
      <w:r>
        <w:rPr/>
        <w:t>revealing</w:t>
      </w:r>
      <w:r>
        <w:rPr>
          <w:spacing w:val="40"/>
        </w:rPr>
        <w:t> </w:t>
      </w:r>
      <w:r>
        <w:rPr/>
        <w:t>and</w:t>
      </w:r>
      <w:r>
        <w:rPr>
          <w:spacing w:val="40"/>
        </w:rPr>
        <w:t> </w:t>
      </w:r>
      <w:r>
        <w:rPr/>
        <w:t>elusive.</w:t>
      </w:r>
    </w:p>
    <w:p>
      <w:pPr>
        <w:pStyle w:val="BodyText"/>
        <w:spacing w:line="249" w:lineRule="auto" w:before="49"/>
        <w:ind w:right="1439" w:firstLine="432"/>
        <w:jc w:val="both"/>
      </w:pPr>
      <w:r>
        <w:rPr/>
        <w:t>Judith</w:t>
      </w:r>
      <w:r>
        <w:rPr>
          <w:spacing w:val="-7"/>
        </w:rPr>
        <w:t> </w:t>
      </w:r>
      <w:r>
        <w:rPr/>
        <w:t>Butler’s</w:t>
      </w:r>
      <w:r>
        <w:rPr>
          <w:spacing w:val="-10"/>
        </w:rPr>
        <w:t> </w:t>
      </w:r>
      <w:r>
        <w:rPr/>
        <w:t>concept</w:t>
      </w:r>
      <w:r>
        <w:rPr>
          <w:spacing w:val="-5"/>
        </w:rPr>
        <w:t> </w:t>
      </w:r>
      <w:r>
        <w:rPr/>
        <w:t>of</w:t>
      </w:r>
      <w:r>
        <w:rPr>
          <w:spacing w:val="-9"/>
        </w:rPr>
        <w:t> </w:t>
      </w:r>
      <w:r>
        <w:rPr/>
        <w:t>performativity</w:t>
      </w:r>
      <w:r>
        <w:rPr>
          <w:spacing w:val="-9"/>
        </w:rPr>
        <w:t> </w:t>
      </w:r>
      <w:r>
        <w:rPr/>
        <w:t>also</w:t>
      </w:r>
      <w:r>
        <w:rPr>
          <w:spacing w:val="-5"/>
        </w:rPr>
        <w:t> </w:t>
      </w:r>
      <w:r>
        <w:rPr/>
        <w:t>provides</w:t>
      </w:r>
      <w:r>
        <w:rPr>
          <w:spacing w:val="-9"/>
        </w:rPr>
        <w:t> </w:t>
      </w:r>
      <w:r>
        <w:rPr/>
        <w:t>insight</w:t>
      </w:r>
      <w:r>
        <w:rPr>
          <w:spacing w:val="-6"/>
        </w:rPr>
        <w:t> </w:t>
      </w:r>
      <w:r>
        <w:rPr/>
        <w:t>into Ophelia’s condition. Her madness can be seen as a disruption of the roles</w:t>
      </w:r>
      <w:r>
        <w:rPr>
          <w:spacing w:val="-8"/>
        </w:rPr>
        <w:t> </w:t>
      </w:r>
      <w:r>
        <w:rPr/>
        <w:t>she</w:t>
      </w:r>
      <w:r>
        <w:rPr>
          <w:spacing w:val="-8"/>
        </w:rPr>
        <w:t> </w:t>
      </w:r>
      <w:r>
        <w:rPr/>
        <w:t>is</w:t>
      </w:r>
      <w:r>
        <w:rPr>
          <w:spacing w:val="-8"/>
        </w:rPr>
        <w:t> </w:t>
      </w:r>
      <w:r>
        <w:rPr/>
        <w:t>expected</w:t>
      </w:r>
      <w:r>
        <w:rPr>
          <w:spacing w:val="-6"/>
        </w:rPr>
        <w:t> </w:t>
      </w:r>
      <w:r>
        <w:rPr/>
        <w:t>to</w:t>
      </w:r>
      <w:r>
        <w:rPr>
          <w:spacing w:val="-8"/>
        </w:rPr>
        <w:t> </w:t>
      </w:r>
      <w:r>
        <w:rPr/>
        <w:t>perform,</w:t>
      </w:r>
      <w:r>
        <w:rPr>
          <w:spacing w:val="-8"/>
        </w:rPr>
        <w:t> </w:t>
      </w:r>
      <w:r>
        <w:rPr/>
        <w:t>exposing</w:t>
      </w:r>
      <w:r>
        <w:rPr>
          <w:spacing w:val="-10"/>
        </w:rPr>
        <w:t> </w:t>
      </w:r>
      <w:r>
        <w:rPr/>
        <w:t>the</w:t>
      </w:r>
      <w:r>
        <w:rPr>
          <w:spacing w:val="-8"/>
        </w:rPr>
        <w:t> </w:t>
      </w:r>
      <w:r>
        <w:rPr/>
        <w:t>instability</w:t>
      </w:r>
      <w:r>
        <w:rPr>
          <w:spacing w:val="-12"/>
        </w:rPr>
        <w:t> </w:t>
      </w:r>
      <w:r>
        <w:rPr/>
        <w:t>of</w:t>
      </w:r>
      <w:r>
        <w:rPr>
          <w:spacing w:val="-10"/>
        </w:rPr>
        <w:t> </w:t>
      </w:r>
      <w:r>
        <w:rPr/>
        <w:t>the</w:t>
      </w:r>
      <w:r>
        <w:rPr>
          <w:spacing w:val="-8"/>
        </w:rPr>
        <w:t> </w:t>
      </w:r>
      <w:r>
        <w:rPr/>
        <w:t>identities imposed upon her. In abandoning the norms of rational speech, she reveals the constructed nature of those norms, challenging the boundaries</w:t>
      </w:r>
      <w:r>
        <w:rPr>
          <w:spacing w:val="40"/>
        </w:rPr>
        <w:t> </w:t>
      </w:r>
      <w:r>
        <w:rPr/>
        <w:t>between</w:t>
      </w:r>
      <w:r>
        <w:rPr>
          <w:spacing w:val="40"/>
        </w:rPr>
        <w:t> </w:t>
      </w:r>
      <w:r>
        <w:rPr/>
        <w:t>sanity</w:t>
      </w:r>
      <w:r>
        <w:rPr>
          <w:spacing w:val="40"/>
        </w:rPr>
        <w:t> </w:t>
      </w:r>
      <w:r>
        <w:rPr/>
        <w:t>and</w:t>
      </w:r>
      <w:r>
        <w:rPr>
          <w:spacing w:val="40"/>
        </w:rPr>
        <w:t> </w:t>
      </w:r>
      <w:r>
        <w:rPr/>
        <w:t>madness.</w:t>
      </w:r>
    </w:p>
    <w:p>
      <w:pPr>
        <w:pStyle w:val="BodyText"/>
        <w:spacing w:line="249" w:lineRule="auto" w:before="62"/>
        <w:ind w:right="1438" w:firstLine="432"/>
        <w:jc w:val="both"/>
      </w:pPr>
      <w:r>
        <w:rPr/>
        <w:t>Importantly, Ophelia’s madness does not simply signify loss; it creates</w:t>
      </w:r>
      <w:r>
        <w:rPr>
          <w:spacing w:val="-7"/>
        </w:rPr>
        <w:t> </w:t>
      </w:r>
      <w:r>
        <w:rPr/>
        <w:t>a</w:t>
      </w:r>
      <w:r>
        <w:rPr>
          <w:spacing w:val="-5"/>
        </w:rPr>
        <w:t> </w:t>
      </w:r>
      <w:r>
        <w:rPr/>
        <w:t>space</w:t>
      </w:r>
      <w:r>
        <w:rPr>
          <w:spacing w:val="-6"/>
        </w:rPr>
        <w:t> </w:t>
      </w:r>
      <w:r>
        <w:rPr/>
        <w:t>for</w:t>
      </w:r>
      <w:r>
        <w:rPr>
          <w:spacing w:val="-3"/>
        </w:rPr>
        <w:t> </w:t>
      </w:r>
      <w:r>
        <w:rPr/>
        <w:t>resistance,</w:t>
      </w:r>
      <w:r>
        <w:rPr>
          <w:spacing w:val="-7"/>
        </w:rPr>
        <w:t> </w:t>
      </w:r>
      <w:r>
        <w:rPr/>
        <w:t>albeit</w:t>
      </w:r>
      <w:r>
        <w:rPr>
          <w:spacing w:val="-7"/>
        </w:rPr>
        <w:t> </w:t>
      </w:r>
      <w:r>
        <w:rPr/>
        <w:t>one</w:t>
      </w:r>
      <w:r>
        <w:rPr>
          <w:spacing w:val="-4"/>
        </w:rPr>
        <w:t> </w:t>
      </w:r>
      <w:r>
        <w:rPr/>
        <w:t>that</w:t>
      </w:r>
      <w:r>
        <w:rPr>
          <w:spacing w:val="-7"/>
        </w:rPr>
        <w:t> </w:t>
      </w:r>
      <w:r>
        <w:rPr/>
        <w:t>is</w:t>
      </w:r>
      <w:r>
        <w:rPr>
          <w:spacing w:val="-5"/>
        </w:rPr>
        <w:t> </w:t>
      </w:r>
      <w:r>
        <w:rPr/>
        <w:t>ultimately</w:t>
      </w:r>
      <w:r>
        <w:rPr>
          <w:spacing w:val="-9"/>
        </w:rPr>
        <w:t> </w:t>
      </w:r>
      <w:r>
        <w:rPr/>
        <w:t>unsustainable. Her death, often interpreted as a passive surrender, can also be read as the tragic consequence of a system that offers no viable means of articulation for her experience. Thus, Ophelia’s fragmented speech functions as a powerful, if precarious, mode of expression that both reflects</w:t>
      </w:r>
      <w:r>
        <w:rPr>
          <w:spacing w:val="40"/>
        </w:rPr>
        <w:t> </w:t>
      </w:r>
      <w:r>
        <w:rPr/>
        <w:t>and</w:t>
      </w:r>
      <w:r>
        <w:rPr>
          <w:spacing w:val="40"/>
        </w:rPr>
        <w:t> </w:t>
      </w:r>
      <w:r>
        <w:rPr/>
        <w:t>resists</w:t>
      </w:r>
      <w:r>
        <w:rPr>
          <w:spacing w:val="40"/>
        </w:rPr>
        <w:t> </w:t>
      </w:r>
      <w:r>
        <w:rPr/>
        <w:t>the</w:t>
      </w:r>
      <w:r>
        <w:rPr>
          <w:spacing w:val="40"/>
        </w:rPr>
        <w:t> </w:t>
      </w:r>
      <w:r>
        <w:rPr/>
        <w:t>conditions</w:t>
      </w:r>
      <w:r>
        <w:rPr>
          <w:spacing w:val="40"/>
        </w:rPr>
        <w:t> </w:t>
      </w:r>
      <w:r>
        <w:rPr/>
        <w:t>of</w:t>
      </w:r>
      <w:r>
        <w:rPr>
          <w:spacing w:val="40"/>
        </w:rPr>
        <w:t> </w:t>
      </w:r>
      <w:r>
        <w:rPr/>
        <w:t>her</w:t>
      </w:r>
      <w:r>
        <w:rPr>
          <w:spacing w:val="40"/>
        </w:rPr>
        <w:t> </w:t>
      </w:r>
      <w:r>
        <w:rPr/>
        <w:t>oppression.</w:t>
      </w:r>
    </w:p>
    <w:p>
      <w:pPr>
        <w:pStyle w:val="Heading3"/>
        <w:spacing w:before="159"/>
        <w:jc w:val="both"/>
      </w:pPr>
      <w:r>
        <w:rPr>
          <w:w w:val="90"/>
        </w:rPr>
        <w:t>SPEECH</w:t>
      </w:r>
      <w:r>
        <w:rPr>
          <w:spacing w:val="1"/>
        </w:rPr>
        <w:t> </w:t>
      </w:r>
      <w:r>
        <w:rPr>
          <w:w w:val="90"/>
        </w:rPr>
        <w:t>AND</w:t>
      </w:r>
      <w:r>
        <w:rPr>
          <w:spacing w:val="2"/>
        </w:rPr>
        <w:t> </w:t>
      </w:r>
      <w:r>
        <w:rPr>
          <w:w w:val="90"/>
        </w:rPr>
        <w:t>RISK:</w:t>
      </w:r>
      <w:r>
        <w:rPr>
          <w:spacing w:val="7"/>
        </w:rPr>
        <w:t> </w:t>
      </w:r>
      <w:r>
        <w:rPr>
          <w:w w:val="90"/>
        </w:rPr>
        <w:t>EMILIA</w:t>
      </w:r>
      <w:r>
        <w:rPr>
          <w:spacing w:val="2"/>
        </w:rPr>
        <w:t> </w:t>
      </w:r>
      <w:r>
        <w:rPr>
          <w:w w:val="90"/>
        </w:rPr>
        <w:t>AND</w:t>
      </w:r>
      <w:r>
        <w:rPr>
          <w:spacing w:val="2"/>
        </w:rPr>
        <w:t> </w:t>
      </w:r>
      <w:r>
        <w:rPr>
          <w:spacing w:val="-2"/>
          <w:w w:val="90"/>
        </w:rPr>
        <w:t>DESDEMONA</w:t>
      </w:r>
    </w:p>
    <w:p>
      <w:pPr>
        <w:pStyle w:val="BodyText"/>
        <w:spacing w:line="249" w:lineRule="auto" w:before="78"/>
        <w:ind w:right="1440" w:firstLine="432"/>
        <w:jc w:val="both"/>
      </w:pPr>
      <w:r>
        <w:rPr/>
        <w:t>In </w:t>
      </w:r>
      <w:r>
        <w:rPr>
          <w:i/>
        </w:rPr>
        <w:t>Othello</w:t>
      </w:r>
      <w:r>
        <w:rPr/>
        <w:t>, the contrasting figures of Emilia and Desdemona illuminate the complex relationship between female speech and </w:t>
      </w:r>
      <w:r>
        <w:rPr>
          <w:spacing w:val="-2"/>
        </w:rPr>
        <w:t>vulnerability.</w:t>
      </w:r>
      <w:r>
        <w:rPr>
          <w:spacing w:val="-11"/>
        </w:rPr>
        <w:t> </w:t>
      </w:r>
      <w:r>
        <w:rPr>
          <w:spacing w:val="-2"/>
        </w:rPr>
        <w:t>While</w:t>
      </w:r>
      <w:r>
        <w:rPr>
          <w:spacing w:val="-10"/>
        </w:rPr>
        <w:t> </w:t>
      </w:r>
      <w:r>
        <w:rPr>
          <w:spacing w:val="-2"/>
        </w:rPr>
        <w:t>both</w:t>
      </w:r>
      <w:r>
        <w:rPr>
          <w:spacing w:val="-11"/>
        </w:rPr>
        <w:t> </w:t>
      </w:r>
      <w:r>
        <w:rPr>
          <w:spacing w:val="-2"/>
        </w:rPr>
        <w:t>characters</w:t>
      </w:r>
      <w:r>
        <w:rPr>
          <w:spacing w:val="-10"/>
        </w:rPr>
        <w:t> </w:t>
      </w:r>
      <w:r>
        <w:rPr>
          <w:spacing w:val="-2"/>
        </w:rPr>
        <w:t>attempt</w:t>
      </w:r>
      <w:r>
        <w:rPr>
          <w:spacing w:val="-11"/>
        </w:rPr>
        <w:t> </w:t>
      </w:r>
      <w:r>
        <w:rPr>
          <w:spacing w:val="-2"/>
        </w:rPr>
        <w:t>to</w:t>
      </w:r>
      <w:r>
        <w:rPr>
          <w:spacing w:val="-10"/>
        </w:rPr>
        <w:t> </w:t>
      </w:r>
      <w:r>
        <w:rPr>
          <w:spacing w:val="-2"/>
        </w:rPr>
        <w:t>articulate</w:t>
      </w:r>
      <w:r>
        <w:rPr>
          <w:spacing w:val="-9"/>
        </w:rPr>
        <w:t> </w:t>
      </w:r>
      <w:r>
        <w:rPr>
          <w:spacing w:val="-2"/>
        </w:rPr>
        <w:t>their</w:t>
      </w:r>
      <w:r>
        <w:rPr>
          <w:spacing w:val="-9"/>
        </w:rPr>
        <w:t> </w:t>
      </w:r>
      <w:r>
        <w:rPr>
          <w:spacing w:val="-2"/>
        </w:rPr>
        <w:t>experiences </w:t>
      </w:r>
      <w:r>
        <w:rPr/>
        <w:t>within a patriarchal framework, their differing approaches reveal the risks and limitations associated with female expression.</w:t>
      </w:r>
    </w:p>
    <w:p>
      <w:pPr>
        <w:pStyle w:val="BodyText"/>
        <w:spacing w:line="249" w:lineRule="auto" w:before="62"/>
        <w:ind w:right="1438" w:firstLine="432"/>
        <w:jc w:val="both"/>
      </w:pPr>
      <w:r>
        <w:rPr/>
        <w:t>Desdemona’s speech is marked by sincerity and loyalty, yet it is constrained by the very structures she seeks to navigate. Her declaration—”I do perceive here a divided duty” (</w:t>
      </w:r>
      <w:r>
        <w:rPr>
          <w:i/>
        </w:rPr>
        <w:t>Othello </w:t>
      </w:r>
      <w:r>
        <w:rPr/>
        <w:t>1.3.179)—demonstrates her awareness of competing obligations, yet her attempt</w:t>
      </w:r>
      <w:r>
        <w:rPr>
          <w:spacing w:val="40"/>
        </w:rPr>
        <w:t> </w:t>
      </w:r>
      <w:r>
        <w:rPr/>
        <w:t>to assert agency remains within the bounds of acceptable discourse. Even</w:t>
      </w:r>
      <w:r>
        <w:rPr>
          <w:spacing w:val="-2"/>
        </w:rPr>
        <w:t> </w:t>
      </w:r>
      <w:r>
        <w:rPr/>
        <w:t>as she defends</w:t>
      </w:r>
      <w:r>
        <w:rPr>
          <w:spacing w:val="-2"/>
        </w:rPr>
        <w:t> </w:t>
      </w:r>
      <w:r>
        <w:rPr/>
        <w:t>herself</w:t>
      </w:r>
      <w:r>
        <w:rPr>
          <w:spacing w:val="-3"/>
        </w:rPr>
        <w:t> </w:t>
      </w:r>
      <w:r>
        <w:rPr/>
        <w:t>against Othello’s accusations, her language </w:t>
      </w:r>
      <w:r>
        <w:rPr>
          <w:spacing w:val="-2"/>
        </w:rPr>
        <w:t>reflects</w:t>
      </w:r>
      <w:r>
        <w:rPr>
          <w:spacing w:val="-11"/>
        </w:rPr>
        <w:t> </w:t>
      </w:r>
      <w:r>
        <w:rPr>
          <w:spacing w:val="-2"/>
        </w:rPr>
        <w:t>a</w:t>
      </w:r>
      <w:r>
        <w:rPr>
          <w:spacing w:val="-10"/>
        </w:rPr>
        <w:t> </w:t>
      </w:r>
      <w:r>
        <w:rPr>
          <w:spacing w:val="-2"/>
        </w:rPr>
        <w:t>commitment</w:t>
      </w:r>
      <w:r>
        <w:rPr>
          <w:spacing w:val="-11"/>
        </w:rPr>
        <w:t> </w:t>
      </w:r>
      <w:r>
        <w:rPr>
          <w:spacing w:val="-2"/>
        </w:rPr>
        <w:t>to</w:t>
      </w:r>
      <w:r>
        <w:rPr>
          <w:spacing w:val="-10"/>
        </w:rPr>
        <w:t> </w:t>
      </w:r>
      <w:r>
        <w:rPr>
          <w:spacing w:val="-2"/>
        </w:rPr>
        <w:t>harmony</w:t>
      </w:r>
      <w:r>
        <w:rPr>
          <w:spacing w:val="-11"/>
        </w:rPr>
        <w:t> </w:t>
      </w:r>
      <w:r>
        <w:rPr>
          <w:spacing w:val="-2"/>
        </w:rPr>
        <w:t>rather</w:t>
      </w:r>
      <w:r>
        <w:rPr>
          <w:spacing w:val="-10"/>
        </w:rPr>
        <w:t> </w:t>
      </w:r>
      <w:r>
        <w:rPr>
          <w:spacing w:val="-2"/>
        </w:rPr>
        <w:t>than</w:t>
      </w:r>
      <w:r>
        <w:rPr>
          <w:spacing w:val="-11"/>
        </w:rPr>
        <w:t> </w:t>
      </w:r>
      <w:r>
        <w:rPr>
          <w:spacing w:val="-2"/>
        </w:rPr>
        <w:t>confrontation.</w:t>
      </w:r>
      <w:r>
        <w:rPr>
          <w:spacing w:val="-10"/>
        </w:rPr>
        <w:t> </w:t>
      </w:r>
      <w:r>
        <w:rPr>
          <w:spacing w:val="-2"/>
        </w:rPr>
        <w:t>This</w:t>
      </w:r>
      <w:r>
        <w:rPr>
          <w:spacing w:val="-11"/>
        </w:rPr>
        <w:t> </w:t>
      </w:r>
      <w:r>
        <w:rPr>
          <w:spacing w:val="-2"/>
        </w:rPr>
        <w:t>restraint </w:t>
      </w:r>
      <w:r>
        <w:rPr/>
        <w:t>ultimately renders her vulnerable, as her words fail to counter the narrative</w:t>
      </w:r>
      <w:r>
        <w:rPr>
          <w:spacing w:val="40"/>
        </w:rPr>
        <w:t> </w:t>
      </w:r>
      <w:r>
        <w:rPr/>
        <w:t>constructed</w:t>
      </w:r>
      <w:r>
        <w:rPr>
          <w:spacing w:val="40"/>
        </w:rPr>
        <w:t> </w:t>
      </w:r>
      <w:r>
        <w:rPr/>
        <w:t>by</w:t>
      </w:r>
      <w:r>
        <w:rPr>
          <w:spacing w:val="40"/>
        </w:rPr>
        <w:t> </w:t>
      </w:r>
      <w:r>
        <w:rPr/>
        <w:t>Iago.</w:t>
      </w:r>
    </w:p>
    <w:p>
      <w:pPr>
        <w:pStyle w:val="BodyText"/>
        <w:spacing w:line="249" w:lineRule="auto" w:before="65"/>
        <w:ind w:right="1440" w:firstLine="432"/>
        <w:jc w:val="both"/>
      </w:pPr>
      <w:r>
        <w:rPr/>
        <w:t>In contrast, Emilia’s speech evolves from relative silence to outspoken defiance. Initially complicit in Iago’s scheme, she later challenges the assumptions underlying gender relations, asserting that “their wives have sense like them” (4.3.93). This moment marks a significant</w:t>
      </w:r>
      <w:r>
        <w:rPr>
          <w:spacing w:val="-12"/>
        </w:rPr>
        <w:t> </w:t>
      </w:r>
      <w:r>
        <w:rPr/>
        <w:t>departure</w:t>
      </w:r>
      <w:r>
        <w:rPr>
          <w:spacing w:val="-12"/>
        </w:rPr>
        <w:t> </w:t>
      </w:r>
      <w:r>
        <w:rPr/>
        <w:t>from</w:t>
      </w:r>
      <w:r>
        <w:rPr>
          <w:spacing w:val="-12"/>
        </w:rPr>
        <w:t> </w:t>
      </w:r>
      <w:r>
        <w:rPr/>
        <w:t>normative</w:t>
      </w:r>
      <w:r>
        <w:rPr>
          <w:spacing w:val="-12"/>
        </w:rPr>
        <w:t> </w:t>
      </w:r>
      <w:r>
        <w:rPr/>
        <w:t>expectations,</w:t>
      </w:r>
      <w:r>
        <w:rPr>
          <w:spacing w:val="-11"/>
        </w:rPr>
        <w:t> </w:t>
      </w:r>
      <w:r>
        <w:rPr/>
        <w:t>positioning</w:t>
      </w:r>
      <w:r>
        <w:rPr>
          <w:spacing w:val="-13"/>
        </w:rPr>
        <w:t> </w:t>
      </w:r>
      <w:r>
        <w:rPr/>
        <w:t>Emilia</w:t>
      </w:r>
      <w:r>
        <w:rPr>
          <w:spacing w:val="-10"/>
        </w:rPr>
        <w:t> </w:t>
      </w:r>
      <w:r>
        <w:rPr/>
        <w:t>as a critical voice within the play.</w:t>
      </w:r>
    </w:p>
    <w:p>
      <w:pPr>
        <w:pStyle w:val="BodyText"/>
        <w:spacing w:line="249" w:lineRule="auto" w:before="62"/>
        <w:ind w:right="1439" w:firstLine="432"/>
        <w:jc w:val="both"/>
      </w:pPr>
      <w:r>
        <w:rPr>
          <w:spacing w:val="-4"/>
        </w:rPr>
        <w:t>Her</w:t>
      </w:r>
      <w:r>
        <w:rPr>
          <w:spacing w:val="-11"/>
        </w:rPr>
        <w:t> </w:t>
      </w:r>
      <w:r>
        <w:rPr>
          <w:spacing w:val="-4"/>
        </w:rPr>
        <w:t>final</w:t>
      </w:r>
      <w:r>
        <w:rPr>
          <w:spacing w:val="-8"/>
        </w:rPr>
        <w:t> </w:t>
      </w:r>
      <w:r>
        <w:rPr>
          <w:spacing w:val="-4"/>
        </w:rPr>
        <w:t>speech—”You</w:t>
      </w:r>
      <w:r>
        <w:rPr>
          <w:spacing w:val="-9"/>
        </w:rPr>
        <w:t> </w:t>
      </w:r>
      <w:r>
        <w:rPr>
          <w:spacing w:val="-4"/>
        </w:rPr>
        <w:t>told</w:t>
      </w:r>
      <w:r>
        <w:rPr>
          <w:spacing w:val="-8"/>
        </w:rPr>
        <w:t> </w:t>
      </w:r>
      <w:r>
        <w:rPr>
          <w:spacing w:val="-4"/>
        </w:rPr>
        <w:t>a</w:t>
      </w:r>
      <w:r>
        <w:rPr>
          <w:spacing w:val="-9"/>
        </w:rPr>
        <w:t> </w:t>
      </w:r>
      <w:r>
        <w:rPr>
          <w:spacing w:val="-4"/>
        </w:rPr>
        <w:t>lie,</w:t>
      </w:r>
      <w:r>
        <w:rPr>
          <w:spacing w:val="-8"/>
        </w:rPr>
        <w:t> </w:t>
      </w:r>
      <w:r>
        <w:rPr>
          <w:spacing w:val="-4"/>
        </w:rPr>
        <w:t>an</w:t>
      </w:r>
      <w:r>
        <w:rPr>
          <w:spacing w:val="-9"/>
        </w:rPr>
        <w:t> </w:t>
      </w:r>
      <w:r>
        <w:rPr>
          <w:spacing w:val="-4"/>
        </w:rPr>
        <w:t>odious,</w:t>
      </w:r>
      <w:r>
        <w:rPr>
          <w:spacing w:val="-8"/>
        </w:rPr>
        <w:t> </w:t>
      </w:r>
      <w:r>
        <w:rPr>
          <w:spacing w:val="-4"/>
        </w:rPr>
        <w:t>damned</w:t>
      </w:r>
      <w:r>
        <w:rPr>
          <w:spacing w:val="-9"/>
        </w:rPr>
        <w:t> </w:t>
      </w:r>
      <w:r>
        <w:rPr>
          <w:spacing w:val="-4"/>
        </w:rPr>
        <w:t>lie”</w:t>
      </w:r>
      <w:r>
        <w:rPr>
          <w:spacing w:val="-8"/>
        </w:rPr>
        <w:t> </w:t>
      </w:r>
      <w:r>
        <w:rPr>
          <w:spacing w:val="-4"/>
        </w:rPr>
        <w:t>(5.2.178)—</w:t>
      </w:r>
      <w:r>
        <w:rPr/>
        <w:t>represents</w:t>
      </w:r>
      <w:r>
        <w:rPr>
          <w:spacing w:val="-7"/>
        </w:rPr>
        <w:t> </w:t>
      </w:r>
      <w:r>
        <w:rPr/>
        <w:t>a</w:t>
      </w:r>
      <w:r>
        <w:rPr>
          <w:spacing w:val="-3"/>
        </w:rPr>
        <w:t> </w:t>
      </w:r>
      <w:r>
        <w:rPr/>
        <w:t>direct</w:t>
      </w:r>
      <w:r>
        <w:rPr>
          <w:spacing w:val="-7"/>
        </w:rPr>
        <w:t> </w:t>
      </w:r>
      <w:r>
        <w:rPr/>
        <w:t>confrontation</w:t>
      </w:r>
      <w:r>
        <w:rPr>
          <w:spacing w:val="-6"/>
        </w:rPr>
        <w:t> </w:t>
      </w:r>
      <w:r>
        <w:rPr/>
        <w:t>with</w:t>
      </w:r>
      <w:r>
        <w:rPr>
          <w:spacing w:val="-5"/>
        </w:rPr>
        <w:t> </w:t>
      </w:r>
      <w:r>
        <w:rPr/>
        <w:t>patriarchal</w:t>
      </w:r>
      <w:r>
        <w:rPr>
          <w:spacing w:val="-7"/>
        </w:rPr>
        <w:t> </w:t>
      </w:r>
      <w:r>
        <w:rPr/>
        <w:t>authority.</w:t>
      </w:r>
      <w:r>
        <w:rPr>
          <w:spacing w:val="-4"/>
        </w:rPr>
        <w:t> </w:t>
      </w:r>
      <w:r>
        <w:rPr/>
        <w:t>By</w:t>
      </w:r>
      <w:r>
        <w:rPr>
          <w:spacing w:val="-8"/>
        </w:rPr>
        <w:t> </w:t>
      </w:r>
      <w:r>
        <w:rPr>
          <w:spacing w:val="-2"/>
        </w:rPr>
        <w:t>exposing</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58496">
                <wp:simplePos x="0" y="0"/>
                <wp:positionH relativeFrom="page">
                  <wp:posOffset>2057400</wp:posOffset>
                </wp:positionH>
                <wp:positionV relativeFrom="paragraph">
                  <wp:posOffset>162604</wp:posOffset>
                </wp:positionV>
                <wp:extent cx="3657600" cy="12700"/>
                <wp:effectExtent l="0" t="0" r="0" b="0"/>
                <wp:wrapTopAndBottom/>
                <wp:docPr id="249" name="Graphic 249"/>
                <wp:cNvGraphicFramePr>
                  <a:graphicFrameLocks/>
                </wp:cNvGraphicFramePr>
                <a:graphic>
                  <a:graphicData uri="http://schemas.microsoft.com/office/word/2010/wordprocessingShape">
                    <wps:wsp>
                      <wps:cNvPr id="249" name="Graphic 24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57984;mso-wrap-distance-left:0;mso-wrap-distance-right:0" id="docshape245" filled="true" fillcolor="#000000" stroked="false">
                <v:fill type="solid"/>
                <w10:wrap type="topAndBottom"/>
              </v:rect>
            </w:pict>
          </mc:Fallback>
        </mc:AlternateContent>
      </w:r>
      <w:r>
        <w:rPr>
          <w:rFonts w:ascii="Verdana"/>
          <w:spacing w:val="-5"/>
          <w:sz w:val="18"/>
        </w:rPr>
        <w:t>72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Iago’s deception, Emilia disrupts the narrative that has led to Desdemona’s death. However, this act of truth-telling comes at a cost; her refusal to remain silent results in her own murder.</w:t>
      </w:r>
    </w:p>
    <w:p>
      <w:pPr>
        <w:pStyle w:val="BodyText"/>
        <w:spacing w:line="249" w:lineRule="auto" w:before="60"/>
        <w:ind w:right="1439" w:firstLine="432"/>
        <w:jc w:val="both"/>
      </w:pPr>
      <w:r>
        <w:rPr>
          <w:spacing w:val="-6"/>
        </w:rPr>
        <w:t>From a feminist</w:t>
      </w:r>
      <w:r>
        <w:rPr/>
        <w:t> </w:t>
      </w:r>
      <w:r>
        <w:rPr>
          <w:spacing w:val="-6"/>
        </w:rPr>
        <w:t>perspective,</w:t>
      </w:r>
      <w:r>
        <w:rPr/>
        <w:t> </w:t>
      </w:r>
      <w:r>
        <w:rPr>
          <w:spacing w:val="-6"/>
        </w:rPr>
        <w:t>Emilia’s</w:t>
      </w:r>
      <w:r>
        <w:rPr/>
        <w:t> </w:t>
      </w:r>
      <w:r>
        <w:rPr>
          <w:spacing w:val="-6"/>
        </w:rPr>
        <w:t>speech exemplifies the</w:t>
      </w:r>
      <w:r>
        <w:rPr/>
        <w:t> </w:t>
      </w:r>
      <w:r>
        <w:rPr>
          <w:spacing w:val="-6"/>
        </w:rPr>
        <w:t>potential </w:t>
      </w:r>
      <w:r>
        <w:rPr/>
        <w:t>for</w:t>
      </w:r>
      <w:r>
        <w:rPr>
          <w:spacing w:val="-6"/>
        </w:rPr>
        <w:t> </w:t>
      </w:r>
      <w:r>
        <w:rPr/>
        <w:t>resistance</w:t>
      </w:r>
      <w:r>
        <w:rPr>
          <w:spacing w:val="-4"/>
        </w:rPr>
        <w:t> </w:t>
      </w:r>
      <w:r>
        <w:rPr/>
        <w:t>within</w:t>
      </w:r>
      <w:r>
        <w:rPr>
          <w:spacing w:val="-8"/>
        </w:rPr>
        <w:t> </w:t>
      </w:r>
      <w:r>
        <w:rPr/>
        <w:t>constrained</w:t>
      </w:r>
      <w:r>
        <w:rPr>
          <w:spacing w:val="-3"/>
        </w:rPr>
        <w:t> </w:t>
      </w:r>
      <w:r>
        <w:rPr/>
        <w:t>circumstances.</w:t>
      </w:r>
      <w:r>
        <w:rPr>
          <w:spacing w:val="-12"/>
        </w:rPr>
        <w:t> </w:t>
      </w:r>
      <w:r>
        <w:rPr/>
        <w:t>Yet,</w:t>
      </w:r>
      <w:r>
        <w:rPr>
          <w:spacing w:val="-4"/>
        </w:rPr>
        <w:t> </w:t>
      </w:r>
      <w:r>
        <w:rPr/>
        <w:t>it</w:t>
      </w:r>
      <w:r>
        <w:rPr>
          <w:spacing w:val="-6"/>
        </w:rPr>
        <w:t> </w:t>
      </w:r>
      <w:r>
        <w:rPr/>
        <w:t>also</w:t>
      </w:r>
      <w:r>
        <w:rPr>
          <w:spacing w:val="-4"/>
        </w:rPr>
        <w:t> </w:t>
      </w:r>
      <w:r>
        <w:rPr/>
        <w:t>underscores the dangers inherent in challenging established power structures. Desdemona’s failure to survive despite her innocence, and Emilia’s death following her defiance, together illustrate the precarious position of women who speak within a system</w:t>
      </w:r>
      <w:r>
        <w:rPr>
          <w:spacing w:val="-1"/>
        </w:rPr>
        <w:t> </w:t>
      </w:r>
      <w:r>
        <w:rPr/>
        <w:t>that seeks to control their voices. Thus, speech in </w:t>
      </w:r>
      <w:r>
        <w:rPr>
          <w:i/>
        </w:rPr>
        <w:t>Othello </w:t>
      </w:r>
      <w:r>
        <w:rPr/>
        <w:t>emerges as a double-edged sword—capable of articulating</w:t>
      </w:r>
      <w:r>
        <w:rPr>
          <w:spacing w:val="-4"/>
        </w:rPr>
        <w:t> </w:t>
      </w:r>
      <w:r>
        <w:rPr/>
        <w:t>truth</w:t>
      </w:r>
      <w:r>
        <w:rPr>
          <w:spacing w:val="-1"/>
        </w:rPr>
        <w:t> </w:t>
      </w:r>
      <w:r>
        <w:rPr/>
        <w:t>and</w:t>
      </w:r>
      <w:r>
        <w:rPr>
          <w:spacing w:val="-1"/>
        </w:rPr>
        <w:t> </w:t>
      </w:r>
      <w:r>
        <w:rPr/>
        <w:t>resistance,</w:t>
      </w:r>
      <w:r>
        <w:rPr>
          <w:spacing w:val="-1"/>
        </w:rPr>
        <w:t> </w:t>
      </w:r>
      <w:r>
        <w:rPr/>
        <w:t>yet</w:t>
      </w:r>
      <w:r>
        <w:rPr>
          <w:spacing w:val="-3"/>
        </w:rPr>
        <w:t> </w:t>
      </w:r>
      <w:r>
        <w:rPr/>
        <w:t>simultaneously</w:t>
      </w:r>
      <w:r>
        <w:rPr>
          <w:spacing w:val="-3"/>
        </w:rPr>
        <w:t> </w:t>
      </w:r>
      <w:r>
        <w:rPr/>
        <w:t>exposing</w:t>
      </w:r>
      <w:r>
        <w:rPr>
          <w:spacing w:val="-4"/>
        </w:rPr>
        <w:t> </w:t>
      </w:r>
      <w:r>
        <w:rPr/>
        <w:t>women</w:t>
      </w:r>
      <w:r>
        <w:rPr>
          <w:spacing w:val="-3"/>
        </w:rPr>
        <w:t> </w:t>
      </w:r>
      <w:r>
        <w:rPr/>
        <w:t>to violence</w:t>
      </w:r>
      <w:r>
        <w:rPr>
          <w:spacing w:val="40"/>
        </w:rPr>
        <w:t> </w:t>
      </w:r>
      <w:r>
        <w:rPr/>
        <w:t>and</w:t>
      </w:r>
      <w:r>
        <w:rPr>
          <w:spacing w:val="40"/>
        </w:rPr>
        <w:t> </w:t>
      </w:r>
      <w:r>
        <w:rPr/>
        <w:t>silencing.</w:t>
      </w:r>
    </w:p>
    <w:p>
      <w:pPr>
        <w:pStyle w:val="Heading3"/>
        <w:spacing w:before="161"/>
        <w:jc w:val="both"/>
      </w:pPr>
      <w:r>
        <w:rPr>
          <w:w w:val="90"/>
        </w:rPr>
        <w:t>SILENCE</w:t>
      </w:r>
      <w:r>
        <w:rPr>
          <w:spacing w:val="-2"/>
          <w:w w:val="90"/>
        </w:rPr>
        <w:t> </w:t>
      </w:r>
      <w:r>
        <w:rPr>
          <w:w w:val="90"/>
        </w:rPr>
        <w:t>AS</w:t>
      </w:r>
      <w:r>
        <w:rPr>
          <w:spacing w:val="-2"/>
          <w:w w:val="90"/>
        </w:rPr>
        <w:t> </w:t>
      </w:r>
      <w:r>
        <w:rPr>
          <w:w w:val="90"/>
        </w:rPr>
        <w:t>REFUSAL:</w:t>
      </w:r>
      <w:r>
        <w:rPr>
          <w:spacing w:val="-2"/>
          <w:w w:val="90"/>
        </w:rPr>
        <w:t> CORDELIA</w:t>
      </w:r>
    </w:p>
    <w:p>
      <w:pPr>
        <w:pStyle w:val="BodyText"/>
        <w:spacing w:line="249" w:lineRule="auto" w:before="75"/>
        <w:ind w:right="1437" w:firstLine="432"/>
        <w:jc w:val="both"/>
      </w:pPr>
      <w:r>
        <w:rPr/>
        <w:t>Cordelia’s</w:t>
      </w:r>
      <w:r>
        <w:rPr>
          <w:spacing w:val="-4"/>
        </w:rPr>
        <w:t> </w:t>
      </w:r>
      <w:r>
        <w:rPr/>
        <w:t>silence</w:t>
      </w:r>
      <w:r>
        <w:rPr>
          <w:spacing w:val="-6"/>
        </w:rPr>
        <w:t> </w:t>
      </w:r>
      <w:r>
        <w:rPr/>
        <w:t>in</w:t>
      </w:r>
      <w:r>
        <w:rPr>
          <w:spacing w:val="-1"/>
        </w:rPr>
        <w:t> </w:t>
      </w:r>
      <w:r>
        <w:rPr>
          <w:i/>
        </w:rPr>
        <w:t>King</w:t>
      </w:r>
      <w:r>
        <w:rPr>
          <w:i/>
          <w:spacing w:val="-4"/>
        </w:rPr>
        <w:t> </w:t>
      </w:r>
      <w:r>
        <w:rPr>
          <w:i/>
        </w:rPr>
        <w:t>Lear</w:t>
      </w:r>
      <w:r>
        <w:rPr>
          <w:i/>
          <w:spacing w:val="-1"/>
        </w:rPr>
        <w:t> </w:t>
      </w:r>
      <w:r>
        <w:rPr/>
        <w:t>represents</w:t>
      </w:r>
      <w:r>
        <w:rPr>
          <w:spacing w:val="-2"/>
        </w:rPr>
        <w:t> </w:t>
      </w:r>
      <w:r>
        <w:rPr/>
        <w:t>one</w:t>
      </w:r>
      <w:r>
        <w:rPr>
          <w:spacing w:val="-6"/>
        </w:rPr>
        <w:t> </w:t>
      </w:r>
      <w:r>
        <w:rPr/>
        <w:t>of</w:t>
      </w:r>
      <w:r>
        <w:rPr>
          <w:spacing w:val="-4"/>
        </w:rPr>
        <w:t> </w:t>
      </w:r>
      <w:r>
        <w:rPr/>
        <w:t>the</w:t>
      </w:r>
      <w:r>
        <w:rPr>
          <w:spacing w:val="-4"/>
        </w:rPr>
        <w:t> </w:t>
      </w:r>
      <w:r>
        <w:rPr/>
        <w:t>most</w:t>
      </w:r>
      <w:r>
        <w:rPr>
          <w:spacing w:val="-4"/>
        </w:rPr>
        <w:t> </w:t>
      </w:r>
      <w:r>
        <w:rPr/>
        <w:t>striking examples of refusal in Shakespearean tragedy. When asked to publicly declare</w:t>
      </w:r>
      <w:r>
        <w:rPr>
          <w:spacing w:val="-3"/>
        </w:rPr>
        <w:t> </w:t>
      </w:r>
      <w:r>
        <w:rPr/>
        <w:t>her</w:t>
      </w:r>
      <w:r>
        <w:rPr>
          <w:spacing w:val="-5"/>
        </w:rPr>
        <w:t> </w:t>
      </w:r>
      <w:r>
        <w:rPr/>
        <w:t>love</w:t>
      </w:r>
      <w:r>
        <w:rPr>
          <w:spacing w:val="-3"/>
        </w:rPr>
        <w:t> </w:t>
      </w:r>
      <w:r>
        <w:rPr/>
        <w:t>for</w:t>
      </w:r>
      <w:r>
        <w:rPr>
          <w:spacing w:val="-5"/>
        </w:rPr>
        <w:t> </w:t>
      </w:r>
      <w:r>
        <w:rPr/>
        <w:t>her</w:t>
      </w:r>
      <w:r>
        <w:rPr>
          <w:spacing w:val="-2"/>
        </w:rPr>
        <w:t> </w:t>
      </w:r>
      <w:r>
        <w:rPr/>
        <w:t>father,</w:t>
      </w:r>
      <w:r>
        <w:rPr>
          <w:spacing w:val="-5"/>
        </w:rPr>
        <w:t> </w:t>
      </w:r>
      <w:r>
        <w:rPr/>
        <w:t>she</w:t>
      </w:r>
      <w:r>
        <w:rPr>
          <w:spacing w:val="-3"/>
        </w:rPr>
        <w:t> </w:t>
      </w:r>
      <w:r>
        <w:rPr/>
        <w:t>responds</w:t>
      </w:r>
      <w:r>
        <w:rPr>
          <w:spacing w:val="-7"/>
        </w:rPr>
        <w:t> </w:t>
      </w:r>
      <w:r>
        <w:rPr/>
        <w:t>simply,</w:t>
      </w:r>
      <w:r>
        <w:rPr>
          <w:spacing w:val="-3"/>
        </w:rPr>
        <w:t> </w:t>
      </w:r>
      <w:r>
        <w:rPr/>
        <w:t>“Nothing,</w:t>
      </w:r>
      <w:r>
        <w:rPr>
          <w:spacing w:val="-5"/>
        </w:rPr>
        <w:t> </w:t>
      </w:r>
      <w:r>
        <w:rPr/>
        <w:t>my</w:t>
      </w:r>
      <w:r>
        <w:rPr>
          <w:spacing w:val="-7"/>
        </w:rPr>
        <w:t> </w:t>
      </w:r>
      <w:r>
        <w:rPr/>
        <w:t>lord” (1.1.87). This refusal disrupts the ceremonial structure of the love test, challenging both Lear’s authority and the performative expectations placed</w:t>
      </w:r>
      <w:r>
        <w:rPr>
          <w:spacing w:val="40"/>
        </w:rPr>
        <w:t> </w:t>
      </w:r>
      <w:r>
        <w:rPr/>
        <w:t>upon</w:t>
      </w:r>
      <w:r>
        <w:rPr>
          <w:spacing w:val="40"/>
        </w:rPr>
        <w:t> </w:t>
      </w:r>
      <w:r>
        <w:rPr/>
        <w:t>her.</w:t>
      </w:r>
    </w:p>
    <w:p>
      <w:pPr>
        <w:pStyle w:val="BodyText"/>
        <w:spacing w:line="249" w:lineRule="auto" w:before="65"/>
        <w:ind w:right="1440" w:firstLine="432"/>
        <w:jc w:val="both"/>
      </w:pPr>
      <w:r>
        <w:rPr/>
        <w:t>Unlike the silence imposed upon Lavinia or the fragmentation experienced by</w:t>
      </w:r>
      <w:r>
        <w:rPr>
          <w:spacing w:val="-2"/>
        </w:rPr>
        <w:t> </w:t>
      </w:r>
      <w:r>
        <w:rPr/>
        <w:t>Ophelia, Cordelia’s silence is</w:t>
      </w:r>
      <w:r>
        <w:rPr>
          <w:spacing w:val="-2"/>
        </w:rPr>
        <w:t> </w:t>
      </w:r>
      <w:r>
        <w:rPr/>
        <w:t>deliberate and principled. She rejects the hyperbolic language used by her sisters, refusing to reduce</w:t>
      </w:r>
      <w:r>
        <w:rPr>
          <w:spacing w:val="-13"/>
        </w:rPr>
        <w:t> </w:t>
      </w:r>
      <w:r>
        <w:rPr/>
        <w:t>her</w:t>
      </w:r>
      <w:r>
        <w:rPr>
          <w:spacing w:val="-12"/>
        </w:rPr>
        <w:t> </w:t>
      </w:r>
      <w:r>
        <w:rPr/>
        <w:t>affection</w:t>
      </w:r>
      <w:r>
        <w:rPr>
          <w:spacing w:val="-13"/>
        </w:rPr>
        <w:t> </w:t>
      </w:r>
      <w:r>
        <w:rPr/>
        <w:t>to</w:t>
      </w:r>
      <w:r>
        <w:rPr>
          <w:spacing w:val="-12"/>
        </w:rPr>
        <w:t> </w:t>
      </w:r>
      <w:r>
        <w:rPr/>
        <w:t>a</w:t>
      </w:r>
      <w:r>
        <w:rPr>
          <w:spacing w:val="-13"/>
        </w:rPr>
        <w:t> </w:t>
      </w:r>
      <w:r>
        <w:rPr/>
        <w:t>rhetorical</w:t>
      </w:r>
      <w:r>
        <w:rPr>
          <w:spacing w:val="-12"/>
        </w:rPr>
        <w:t> </w:t>
      </w:r>
      <w:r>
        <w:rPr/>
        <w:t>performance.</w:t>
      </w:r>
      <w:r>
        <w:rPr>
          <w:spacing w:val="-13"/>
        </w:rPr>
        <w:t> </w:t>
      </w:r>
      <w:r>
        <w:rPr/>
        <w:t>In</w:t>
      </w:r>
      <w:r>
        <w:rPr>
          <w:spacing w:val="-12"/>
        </w:rPr>
        <w:t> </w:t>
      </w:r>
      <w:r>
        <w:rPr/>
        <w:t>doing</w:t>
      </w:r>
      <w:r>
        <w:rPr>
          <w:spacing w:val="-13"/>
        </w:rPr>
        <w:t> </w:t>
      </w:r>
      <w:r>
        <w:rPr/>
        <w:t>so,</w:t>
      </w:r>
      <w:r>
        <w:rPr>
          <w:spacing w:val="-12"/>
        </w:rPr>
        <w:t> </w:t>
      </w:r>
      <w:r>
        <w:rPr/>
        <w:t>she</w:t>
      </w:r>
      <w:r>
        <w:rPr>
          <w:spacing w:val="-13"/>
        </w:rPr>
        <w:t> </w:t>
      </w:r>
      <w:r>
        <w:rPr/>
        <w:t>exposes the artificiality of the test itself, revealing how expressions of love can be manipulated for political gain.</w:t>
      </w:r>
    </w:p>
    <w:p>
      <w:pPr>
        <w:pStyle w:val="BodyText"/>
        <w:spacing w:line="249" w:lineRule="auto" w:before="63"/>
        <w:ind w:right="1437" w:firstLine="432"/>
        <w:jc w:val="both"/>
      </w:pPr>
      <w:r>
        <w:rPr/>
        <w:t>Judith Butler’s theory</w:t>
      </w:r>
      <w:r>
        <w:rPr>
          <w:spacing w:val="-4"/>
        </w:rPr>
        <w:t> </w:t>
      </w:r>
      <w:r>
        <w:rPr/>
        <w:t>of performativity</w:t>
      </w:r>
      <w:r>
        <w:rPr>
          <w:spacing w:val="-2"/>
        </w:rPr>
        <w:t> </w:t>
      </w:r>
      <w:r>
        <w:rPr/>
        <w:t>offers a useful framework for understanding this act. By refusing to perform the expected script, Cordelia disrupts the norms that govern female behavior, asserting an alternative</w:t>
      </w:r>
      <w:r>
        <w:rPr>
          <w:spacing w:val="22"/>
        </w:rPr>
        <w:t> </w:t>
      </w:r>
      <w:r>
        <w:rPr/>
        <w:t>mode</w:t>
      </w:r>
      <w:r>
        <w:rPr>
          <w:spacing w:val="22"/>
        </w:rPr>
        <w:t> </w:t>
      </w:r>
      <w:r>
        <w:rPr/>
        <w:t>of</w:t>
      </w:r>
      <w:r>
        <w:rPr>
          <w:spacing w:val="19"/>
        </w:rPr>
        <w:t> </w:t>
      </w:r>
      <w:r>
        <w:rPr/>
        <w:t>agency.</w:t>
      </w:r>
      <w:r>
        <w:rPr>
          <w:spacing w:val="21"/>
        </w:rPr>
        <w:t> </w:t>
      </w:r>
      <w:r>
        <w:rPr/>
        <w:t>Her</w:t>
      </w:r>
      <w:r>
        <w:rPr>
          <w:spacing w:val="22"/>
        </w:rPr>
        <w:t> </w:t>
      </w:r>
      <w:r>
        <w:rPr/>
        <w:t>silence</w:t>
      </w:r>
      <w:r>
        <w:rPr>
          <w:spacing w:val="21"/>
        </w:rPr>
        <w:t> </w:t>
      </w:r>
      <w:r>
        <w:rPr/>
        <w:t>is</w:t>
      </w:r>
      <w:r>
        <w:rPr>
          <w:spacing w:val="21"/>
        </w:rPr>
        <w:t> </w:t>
      </w:r>
      <w:r>
        <w:rPr/>
        <w:t>not</w:t>
      </w:r>
      <w:r>
        <w:rPr>
          <w:spacing w:val="22"/>
        </w:rPr>
        <w:t> </w:t>
      </w:r>
      <w:r>
        <w:rPr/>
        <w:t>an</w:t>
      </w:r>
      <w:r>
        <w:rPr>
          <w:spacing w:val="19"/>
        </w:rPr>
        <w:t> </w:t>
      </w:r>
      <w:r>
        <w:rPr/>
        <w:t>absence</w:t>
      </w:r>
      <w:r>
        <w:rPr>
          <w:spacing w:val="20"/>
        </w:rPr>
        <w:t> </w:t>
      </w:r>
      <w:r>
        <w:rPr/>
        <w:t>but</w:t>
      </w:r>
      <w:r>
        <w:rPr>
          <w:spacing w:val="21"/>
        </w:rPr>
        <w:t> </w:t>
      </w:r>
      <w:r>
        <w:rPr/>
        <w:t>a</w:t>
      </w:r>
      <w:r>
        <w:rPr>
          <w:spacing w:val="20"/>
        </w:rPr>
        <w:t> </w:t>
      </w:r>
      <w:r>
        <w:rPr/>
        <w:t>form of resistance that challenges the legitimacy of the system in which she </w:t>
      </w:r>
      <w:r>
        <w:rPr>
          <w:spacing w:val="-2"/>
        </w:rPr>
        <w:t>operates.</w:t>
      </w:r>
    </w:p>
    <w:p>
      <w:pPr>
        <w:pStyle w:val="BodyText"/>
        <w:spacing w:line="249" w:lineRule="auto" w:before="62"/>
        <w:ind w:right="1441" w:firstLine="432"/>
        <w:jc w:val="both"/>
      </w:pPr>
      <w:r>
        <w:rPr/>
        <w:t>However, this refusal comes at a significant cost. Lear interprets her silence as ingratitude, leading to her disinheritance and exile. This reaction underscores the extent to which patriarchal authority depends on</w:t>
      </w:r>
      <w:r>
        <w:rPr>
          <w:spacing w:val="40"/>
        </w:rPr>
        <w:t> </w:t>
      </w:r>
      <w:r>
        <w:rPr/>
        <w:t>compliance,</w:t>
      </w:r>
      <w:r>
        <w:rPr>
          <w:spacing w:val="40"/>
        </w:rPr>
        <w:t> </w:t>
      </w:r>
      <w:r>
        <w:rPr/>
        <w:t>punishing</w:t>
      </w:r>
      <w:r>
        <w:rPr>
          <w:spacing w:val="40"/>
        </w:rPr>
        <w:t> </w:t>
      </w:r>
      <w:r>
        <w:rPr/>
        <w:t>those</w:t>
      </w:r>
      <w:r>
        <w:rPr>
          <w:spacing w:val="40"/>
        </w:rPr>
        <w:t> </w:t>
      </w:r>
      <w:r>
        <w:rPr/>
        <w:t>who</w:t>
      </w:r>
      <w:r>
        <w:rPr>
          <w:spacing w:val="40"/>
        </w:rPr>
        <w:t> </w:t>
      </w:r>
      <w:r>
        <w:rPr/>
        <w:t>deviate</w:t>
      </w:r>
      <w:r>
        <w:rPr>
          <w:spacing w:val="40"/>
        </w:rPr>
        <w:t> </w:t>
      </w:r>
      <w:r>
        <w:rPr/>
        <w:t>from</w:t>
      </w:r>
      <w:r>
        <w:rPr>
          <w:spacing w:val="40"/>
        </w:rPr>
        <w:t> </w:t>
      </w:r>
      <w:r>
        <w:rPr/>
        <w:t>prescribed</w:t>
      </w:r>
      <w:r>
        <w:rPr>
          <w:spacing w:val="40"/>
        </w:rPr>
        <w:t> </w:t>
      </w:r>
      <w:r>
        <w:rPr/>
        <w:t>roles.</w:t>
      </w:r>
    </w:p>
    <w:p>
      <w:pPr>
        <w:pStyle w:val="BodyText"/>
        <w:spacing w:line="249" w:lineRule="auto" w:before="61"/>
        <w:ind w:right="1441" w:firstLine="432"/>
        <w:jc w:val="both"/>
      </w:pPr>
      <w:r>
        <w:rPr/>
        <w:t>Despite these consequences, Cordelia’s silence retains its ethical significance. Her actions contrast sharply with the deceitful rhetoric of Goneril</w:t>
      </w:r>
      <w:r>
        <w:rPr>
          <w:spacing w:val="7"/>
        </w:rPr>
        <w:t> </w:t>
      </w:r>
      <w:r>
        <w:rPr/>
        <w:t>and</w:t>
      </w:r>
      <w:r>
        <w:rPr>
          <w:spacing w:val="7"/>
        </w:rPr>
        <w:t> </w:t>
      </w:r>
      <w:r>
        <w:rPr/>
        <w:t>Regan,</w:t>
      </w:r>
      <w:r>
        <w:rPr>
          <w:spacing w:val="9"/>
        </w:rPr>
        <w:t> </w:t>
      </w:r>
      <w:r>
        <w:rPr/>
        <w:t>whose</w:t>
      </w:r>
      <w:r>
        <w:rPr>
          <w:spacing w:val="7"/>
        </w:rPr>
        <w:t> </w:t>
      </w:r>
      <w:r>
        <w:rPr/>
        <w:t>elaborate</w:t>
      </w:r>
      <w:r>
        <w:rPr>
          <w:spacing w:val="6"/>
        </w:rPr>
        <w:t> </w:t>
      </w:r>
      <w:r>
        <w:rPr/>
        <w:t>declarations</w:t>
      </w:r>
      <w:r>
        <w:rPr>
          <w:spacing w:val="5"/>
        </w:rPr>
        <w:t> </w:t>
      </w:r>
      <w:r>
        <w:rPr/>
        <w:t>ultimately</w:t>
      </w:r>
      <w:r>
        <w:rPr>
          <w:spacing w:val="6"/>
        </w:rPr>
        <w:t> </w:t>
      </w:r>
      <w:r>
        <w:rPr/>
        <w:t>mask</w:t>
      </w:r>
      <w:r>
        <w:rPr>
          <w:spacing w:val="5"/>
        </w:rPr>
        <w:t> </w:t>
      </w:r>
      <w:r>
        <w:rPr>
          <w:spacing w:val="-2"/>
        </w:rPr>
        <w:t>their</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59008">
                <wp:simplePos x="0" y="0"/>
                <wp:positionH relativeFrom="page">
                  <wp:posOffset>2065020</wp:posOffset>
                </wp:positionH>
                <wp:positionV relativeFrom="paragraph">
                  <wp:posOffset>162604</wp:posOffset>
                </wp:positionV>
                <wp:extent cx="3657600" cy="12700"/>
                <wp:effectExtent l="0" t="0" r="0" b="0"/>
                <wp:wrapTopAndBottom/>
                <wp:docPr id="250" name="Graphic 250"/>
                <wp:cNvGraphicFramePr>
                  <a:graphicFrameLocks/>
                </wp:cNvGraphicFramePr>
                <a:graphic>
                  <a:graphicData uri="http://schemas.microsoft.com/office/word/2010/wordprocessingShape">
                    <wps:wsp>
                      <wps:cNvPr id="250" name="Graphic 25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57472;mso-wrap-distance-left:0;mso-wrap-distance-right:0" id="docshape246" filled="true" fillcolor="#000000" stroked="false">
                <v:fill type="solid"/>
                <w10:wrap type="topAndBottom"/>
              </v:rect>
            </w:pict>
          </mc:Fallback>
        </mc:AlternateContent>
      </w:r>
      <w:r>
        <w:rPr>
          <w:rFonts w:ascii="Verdana" w:hAnsi="Verdana"/>
          <w:sz w:val="18"/>
        </w:rPr>
        <w:t>Silence,</w:t>
      </w:r>
      <w:r>
        <w:rPr>
          <w:rFonts w:ascii="Verdana" w:hAnsi="Verdana"/>
          <w:spacing w:val="2"/>
          <w:sz w:val="18"/>
        </w:rPr>
        <w:t> </w:t>
      </w:r>
      <w:r>
        <w:rPr>
          <w:rFonts w:ascii="Verdana" w:hAnsi="Verdana"/>
          <w:sz w:val="18"/>
        </w:rPr>
        <w:t>Speech,</w:t>
      </w:r>
      <w:r>
        <w:rPr>
          <w:rFonts w:ascii="Verdana" w:hAnsi="Verdana"/>
          <w:spacing w:val="3"/>
          <w:sz w:val="18"/>
        </w:rPr>
        <w:t> </w:t>
      </w:r>
      <w:r>
        <w:rPr>
          <w:rFonts w:ascii="Verdana" w:hAnsi="Verdana"/>
          <w:sz w:val="18"/>
        </w:rPr>
        <w:t>and</w:t>
      </w:r>
      <w:r>
        <w:rPr>
          <w:rFonts w:ascii="Verdana" w:hAnsi="Verdana"/>
          <w:spacing w:val="4"/>
          <w:sz w:val="18"/>
        </w:rPr>
        <w:t> </w:t>
      </w:r>
      <w:r>
        <w:rPr>
          <w:rFonts w:ascii="Verdana" w:hAnsi="Verdana"/>
          <w:sz w:val="18"/>
        </w:rPr>
        <w:t>Revenge:</w:t>
      </w:r>
      <w:r>
        <w:rPr>
          <w:rFonts w:ascii="Verdana" w:hAnsi="Verdana"/>
          <w:spacing w:val="4"/>
          <w:sz w:val="18"/>
        </w:rPr>
        <w:t> </w:t>
      </w:r>
      <w:r>
        <w:rPr>
          <w:rFonts w:ascii="Verdana" w:hAnsi="Verdana"/>
          <w:sz w:val="18"/>
        </w:rPr>
        <w:t>Women’s</w:t>
      </w:r>
      <w:r>
        <w:rPr>
          <w:rFonts w:ascii="Verdana" w:hAnsi="Verdana"/>
          <w:spacing w:val="4"/>
          <w:sz w:val="18"/>
        </w:rPr>
        <w:t> </w:t>
      </w:r>
      <w:r>
        <w:rPr>
          <w:rFonts w:ascii="Verdana" w:hAnsi="Verdana"/>
          <w:sz w:val="18"/>
        </w:rPr>
        <w:t>Responses</w:t>
      </w:r>
      <w:r>
        <w:rPr>
          <w:rFonts w:ascii="Verdana" w:hAnsi="Verdana"/>
          <w:spacing w:val="3"/>
          <w:sz w:val="18"/>
        </w:rPr>
        <w:t> </w:t>
      </w:r>
      <w:r>
        <w:rPr>
          <w:rFonts w:ascii="Verdana" w:hAnsi="Verdana"/>
          <w:spacing w:val="-2"/>
          <w:sz w:val="18"/>
        </w:rPr>
        <w:t>to...</w:t>
      </w:r>
      <w:r>
        <w:rPr>
          <w:rFonts w:ascii="Verdana" w:hAnsi="Verdana"/>
          <w:sz w:val="18"/>
        </w:rPr>
        <w:tab/>
      </w:r>
      <w:r>
        <w:rPr>
          <w:rFonts w:ascii="Verdana" w:hAnsi="Verdana"/>
          <w:spacing w:val="-5"/>
          <w:sz w:val="18"/>
        </w:rPr>
        <w:t>73</w:t>
      </w:r>
    </w:p>
    <w:p>
      <w:pPr>
        <w:pStyle w:val="BodyText"/>
        <w:spacing w:line="249" w:lineRule="auto" w:before="192"/>
        <w:ind w:right="1441"/>
        <w:jc w:val="both"/>
      </w:pPr>
      <w:r>
        <w:rPr/>
        <w:t>ambition.</w:t>
      </w:r>
      <w:r>
        <w:rPr>
          <w:spacing w:val="-7"/>
        </w:rPr>
        <w:t> </w:t>
      </w:r>
      <w:r>
        <w:rPr/>
        <w:t>In</w:t>
      </w:r>
      <w:r>
        <w:rPr>
          <w:spacing w:val="-12"/>
        </w:rPr>
        <w:t> </w:t>
      </w:r>
      <w:r>
        <w:rPr/>
        <w:t>this</w:t>
      </w:r>
      <w:r>
        <w:rPr>
          <w:spacing w:val="-9"/>
        </w:rPr>
        <w:t> </w:t>
      </w:r>
      <w:r>
        <w:rPr/>
        <w:t>sense,</w:t>
      </w:r>
      <w:r>
        <w:rPr>
          <w:spacing w:val="-7"/>
        </w:rPr>
        <w:t> </w:t>
      </w:r>
      <w:r>
        <w:rPr/>
        <w:t>Cordelia’s</w:t>
      </w:r>
      <w:r>
        <w:rPr>
          <w:spacing w:val="-11"/>
        </w:rPr>
        <w:t> </w:t>
      </w:r>
      <w:r>
        <w:rPr/>
        <w:t>refusal</w:t>
      </w:r>
      <w:r>
        <w:rPr>
          <w:spacing w:val="-9"/>
        </w:rPr>
        <w:t> </w:t>
      </w:r>
      <w:r>
        <w:rPr/>
        <w:t>emerges</w:t>
      </w:r>
      <w:r>
        <w:rPr>
          <w:spacing w:val="-11"/>
        </w:rPr>
        <w:t> </w:t>
      </w:r>
      <w:r>
        <w:rPr/>
        <w:t>as</w:t>
      </w:r>
      <w:r>
        <w:rPr>
          <w:spacing w:val="-9"/>
        </w:rPr>
        <w:t> </w:t>
      </w:r>
      <w:r>
        <w:rPr/>
        <w:t>a</w:t>
      </w:r>
      <w:r>
        <w:rPr>
          <w:spacing w:val="-9"/>
        </w:rPr>
        <w:t> </w:t>
      </w:r>
      <w:r>
        <w:rPr/>
        <w:t>moral</w:t>
      </w:r>
      <w:r>
        <w:rPr>
          <w:spacing w:val="-11"/>
        </w:rPr>
        <w:t> </w:t>
      </w:r>
      <w:r>
        <w:rPr/>
        <w:t>stance</w:t>
      </w:r>
      <w:r>
        <w:rPr>
          <w:spacing w:val="-8"/>
        </w:rPr>
        <w:t> </w:t>
      </w:r>
      <w:r>
        <w:rPr/>
        <w:t>that prioritizes authenticity over performance.</w:t>
      </w:r>
    </w:p>
    <w:p>
      <w:pPr>
        <w:pStyle w:val="BodyText"/>
        <w:spacing w:line="249" w:lineRule="auto" w:before="59"/>
        <w:ind w:right="1437" w:firstLine="432"/>
        <w:jc w:val="both"/>
      </w:pPr>
      <w:r>
        <w:rPr/>
        <w:t>Her eventual reconciliation with Lear further reinforces this interpretation, suggesting that her silence, though misunderstood, is grounded in genuine affection. Yet, her tragic death underscores the limitations of such resistance within a system that ultimately cannot accommodate</w:t>
      </w:r>
      <w:r>
        <w:rPr>
          <w:spacing w:val="-7"/>
        </w:rPr>
        <w:t> </w:t>
      </w:r>
      <w:r>
        <w:rPr/>
        <w:t>it.</w:t>
      </w:r>
      <w:r>
        <w:rPr>
          <w:spacing w:val="-3"/>
        </w:rPr>
        <w:t> </w:t>
      </w:r>
      <w:r>
        <w:rPr/>
        <w:t>Cordelia’s</w:t>
      </w:r>
      <w:r>
        <w:rPr>
          <w:spacing w:val="-7"/>
        </w:rPr>
        <w:t> </w:t>
      </w:r>
      <w:r>
        <w:rPr/>
        <w:t>silence</w:t>
      </w:r>
      <w:r>
        <w:rPr>
          <w:spacing w:val="-4"/>
        </w:rPr>
        <w:t> </w:t>
      </w:r>
      <w:r>
        <w:rPr/>
        <w:t>thus</w:t>
      </w:r>
      <w:r>
        <w:rPr>
          <w:spacing w:val="-7"/>
        </w:rPr>
        <w:t> </w:t>
      </w:r>
      <w:r>
        <w:rPr/>
        <w:t>functions</w:t>
      </w:r>
      <w:r>
        <w:rPr>
          <w:spacing w:val="-5"/>
        </w:rPr>
        <w:t> </w:t>
      </w:r>
      <w:r>
        <w:rPr/>
        <w:t>as</w:t>
      </w:r>
      <w:r>
        <w:rPr>
          <w:spacing w:val="-7"/>
        </w:rPr>
        <w:t> </w:t>
      </w:r>
      <w:r>
        <w:rPr/>
        <w:t>a</w:t>
      </w:r>
      <w:r>
        <w:rPr>
          <w:spacing w:val="-3"/>
        </w:rPr>
        <w:t> </w:t>
      </w:r>
      <w:r>
        <w:rPr/>
        <w:t>powerful</w:t>
      </w:r>
      <w:r>
        <w:rPr>
          <w:spacing w:val="-6"/>
        </w:rPr>
        <w:t> </w:t>
      </w:r>
      <w:r>
        <w:rPr/>
        <w:t>form</w:t>
      </w:r>
      <w:r>
        <w:rPr>
          <w:spacing w:val="-6"/>
        </w:rPr>
        <w:t> </w:t>
      </w:r>
      <w:r>
        <w:rPr/>
        <w:t>of refusal, revealing both the potential and the constraints of agency</w:t>
      </w:r>
      <w:r>
        <w:rPr>
          <w:spacing w:val="40"/>
        </w:rPr>
        <w:t> </w:t>
      </w:r>
      <w:r>
        <w:rPr/>
        <w:t>within</w:t>
      </w:r>
      <w:r>
        <w:rPr>
          <w:spacing w:val="40"/>
        </w:rPr>
        <w:t> </w:t>
      </w:r>
      <w:r>
        <w:rPr/>
        <w:t>patriarchal</w:t>
      </w:r>
      <w:r>
        <w:rPr>
          <w:spacing w:val="40"/>
        </w:rPr>
        <w:t> </w:t>
      </w:r>
      <w:r>
        <w:rPr/>
        <w:t>structures.</w:t>
      </w:r>
    </w:p>
    <w:p>
      <w:pPr>
        <w:pStyle w:val="Heading3"/>
        <w:spacing w:before="160"/>
      </w:pPr>
      <w:r>
        <w:rPr>
          <w:spacing w:val="-2"/>
          <w:w w:val="95"/>
        </w:rPr>
        <w:t>DISCUSSION</w:t>
      </w:r>
    </w:p>
    <w:p>
      <w:pPr>
        <w:pStyle w:val="BodyText"/>
        <w:spacing w:line="261" w:lineRule="auto" w:before="82"/>
        <w:ind w:right="1437" w:firstLine="432"/>
        <w:jc w:val="both"/>
      </w:pPr>
      <w:r>
        <w:rPr/>
        <w:t>Across</w:t>
      </w:r>
      <w:r>
        <w:rPr>
          <w:spacing w:val="-6"/>
        </w:rPr>
        <w:t> </w:t>
      </w:r>
      <w:r>
        <w:rPr>
          <w:i/>
        </w:rPr>
        <w:t>Titus</w:t>
      </w:r>
      <w:r>
        <w:rPr>
          <w:i/>
          <w:spacing w:val="-9"/>
        </w:rPr>
        <w:t> </w:t>
      </w:r>
      <w:r>
        <w:rPr>
          <w:i/>
        </w:rPr>
        <w:t>Andronicus</w:t>
      </w:r>
      <w:r>
        <w:rPr/>
        <w:t>,</w:t>
      </w:r>
      <w:r>
        <w:rPr>
          <w:spacing w:val="-4"/>
        </w:rPr>
        <w:t> </w:t>
      </w:r>
      <w:r>
        <w:rPr>
          <w:i/>
        </w:rPr>
        <w:t>Hamlet</w:t>
      </w:r>
      <w:r>
        <w:rPr/>
        <w:t>,</w:t>
      </w:r>
      <w:r>
        <w:rPr>
          <w:spacing w:val="-5"/>
        </w:rPr>
        <w:t> </w:t>
      </w:r>
      <w:r>
        <w:rPr>
          <w:i/>
        </w:rPr>
        <w:t>Othello</w:t>
      </w:r>
      <w:r>
        <w:rPr/>
        <w:t>,</w:t>
      </w:r>
      <w:r>
        <w:rPr>
          <w:spacing w:val="-5"/>
        </w:rPr>
        <w:t> </w:t>
      </w:r>
      <w:r>
        <w:rPr/>
        <w:t>and</w:t>
      </w:r>
      <w:r>
        <w:rPr>
          <w:spacing w:val="-3"/>
        </w:rPr>
        <w:t> </w:t>
      </w:r>
      <w:r>
        <w:rPr>
          <w:i/>
        </w:rPr>
        <w:t>King</w:t>
      </w:r>
      <w:r>
        <w:rPr>
          <w:i/>
          <w:spacing w:val="-5"/>
        </w:rPr>
        <w:t> </w:t>
      </w:r>
      <w:r>
        <w:rPr>
          <w:i/>
        </w:rPr>
        <w:t>Lear</w:t>
      </w:r>
      <w:r>
        <w:rPr/>
        <w:t>,</w:t>
      </w:r>
      <w:r>
        <w:rPr>
          <w:spacing w:val="-4"/>
        </w:rPr>
        <w:t> </w:t>
      </w:r>
      <w:r>
        <w:rPr/>
        <w:t>silence, speech, and revenge emerge not as discrete categories but as </w:t>
      </w:r>
      <w:r>
        <w:rPr>
          <w:spacing w:val="-2"/>
        </w:rPr>
        <w:t>interconnected modes</w:t>
      </w:r>
      <w:r>
        <w:rPr>
          <w:spacing w:val="-6"/>
        </w:rPr>
        <w:t> </w:t>
      </w:r>
      <w:r>
        <w:rPr>
          <w:spacing w:val="-2"/>
        </w:rPr>
        <w:t>through</w:t>
      </w:r>
      <w:r>
        <w:rPr>
          <w:spacing w:val="-4"/>
        </w:rPr>
        <w:t> </w:t>
      </w:r>
      <w:r>
        <w:rPr>
          <w:spacing w:val="-2"/>
        </w:rPr>
        <w:t>which</w:t>
      </w:r>
      <w:r>
        <w:rPr>
          <w:spacing w:val="-6"/>
        </w:rPr>
        <w:t> </w:t>
      </w:r>
      <w:r>
        <w:rPr>
          <w:spacing w:val="-2"/>
        </w:rPr>
        <w:t>female characters</w:t>
      </w:r>
      <w:r>
        <w:rPr>
          <w:spacing w:val="-6"/>
        </w:rPr>
        <w:t> </w:t>
      </w:r>
      <w:r>
        <w:rPr>
          <w:spacing w:val="-2"/>
        </w:rPr>
        <w:t>navigate violence </w:t>
      </w:r>
      <w:r>
        <w:rPr/>
        <w:t>and constraint. These responses operate along a continuum, reflecting the shifting dynamics of power, identity, and expression within Shakespearean</w:t>
      </w:r>
      <w:r>
        <w:rPr>
          <w:spacing w:val="40"/>
        </w:rPr>
        <w:t> </w:t>
      </w:r>
      <w:r>
        <w:rPr/>
        <w:t>tragedy.</w:t>
      </w:r>
    </w:p>
    <w:p>
      <w:pPr>
        <w:pStyle w:val="BodyText"/>
        <w:spacing w:line="261" w:lineRule="auto" w:before="56"/>
        <w:ind w:right="1439" w:firstLine="432"/>
        <w:jc w:val="both"/>
      </w:pPr>
      <w:r>
        <w:rPr/>
        <w:t>Silence, often</w:t>
      </w:r>
      <w:r>
        <w:rPr>
          <w:spacing w:val="-2"/>
        </w:rPr>
        <w:t> </w:t>
      </w:r>
      <w:r>
        <w:rPr/>
        <w:t>interpreted as</w:t>
      </w:r>
      <w:r>
        <w:rPr>
          <w:spacing w:val="-2"/>
        </w:rPr>
        <w:t> </w:t>
      </w:r>
      <w:r>
        <w:rPr/>
        <w:t>passivity,</w:t>
      </w:r>
      <w:r>
        <w:rPr>
          <w:spacing w:val="-2"/>
        </w:rPr>
        <w:t> </w:t>
      </w:r>
      <w:r>
        <w:rPr/>
        <w:t>assumes</w:t>
      </w:r>
      <w:r>
        <w:rPr>
          <w:spacing w:val="-2"/>
        </w:rPr>
        <w:t> </w:t>
      </w:r>
      <w:r>
        <w:rPr/>
        <w:t>multiple</w:t>
      </w:r>
      <w:r>
        <w:rPr>
          <w:spacing w:val="-2"/>
        </w:rPr>
        <w:t> </w:t>
      </w:r>
      <w:r>
        <w:rPr/>
        <w:t>meanings depending on context. For Lavinia, it becomes a form of enforced muteness that is transformed into testimony; for Cordelia, it functions</w:t>
      </w:r>
      <w:r>
        <w:rPr>
          <w:spacing w:val="40"/>
        </w:rPr>
        <w:t> </w:t>
      </w:r>
      <w:r>
        <w:rPr/>
        <w:t>as</w:t>
      </w:r>
      <w:r>
        <w:rPr>
          <w:spacing w:val="-2"/>
        </w:rPr>
        <w:t> </w:t>
      </w:r>
      <w:r>
        <w:rPr/>
        <w:t>deliberate refusal; for Ophelia, it exists alongside fragmented speech as an expression of trauma. These variations challenge the assumption that silence is inherently disempowering, revealing its potential as both a</w:t>
      </w:r>
      <w:r>
        <w:rPr>
          <w:spacing w:val="40"/>
        </w:rPr>
        <w:t> </w:t>
      </w:r>
      <w:r>
        <w:rPr/>
        <w:t>constraint</w:t>
      </w:r>
      <w:r>
        <w:rPr>
          <w:spacing w:val="40"/>
        </w:rPr>
        <w:t> </w:t>
      </w:r>
      <w:r>
        <w:rPr/>
        <w:t>and</w:t>
      </w:r>
      <w:r>
        <w:rPr>
          <w:spacing w:val="40"/>
        </w:rPr>
        <w:t> </w:t>
      </w:r>
      <w:r>
        <w:rPr/>
        <w:t>a</w:t>
      </w:r>
      <w:r>
        <w:rPr>
          <w:spacing w:val="40"/>
        </w:rPr>
        <w:t> </w:t>
      </w:r>
      <w:r>
        <w:rPr/>
        <w:t>strategy.</w:t>
      </w:r>
    </w:p>
    <w:p>
      <w:pPr>
        <w:pStyle w:val="BodyText"/>
        <w:spacing w:line="261" w:lineRule="auto" w:before="53"/>
        <w:ind w:right="1434" w:firstLine="432"/>
        <w:jc w:val="both"/>
      </w:pPr>
      <w:r>
        <w:rPr/>
        <w:t>Similarly, speech is shown to be both enabling and dangerous. Emilia’s defiance demonstrates the capacity of language to expose injustice, yet her death highlights the risks associated with such expression. Desdemona’s inability to defend herself effectively underscores the limitations of speech within a system that privileges male authority.</w:t>
      </w:r>
    </w:p>
    <w:p>
      <w:pPr>
        <w:pStyle w:val="BodyText"/>
        <w:spacing w:line="261" w:lineRule="auto" w:before="53"/>
        <w:ind w:right="1439" w:firstLine="432"/>
        <w:jc w:val="both"/>
      </w:pPr>
      <w:r>
        <w:rPr/>
        <w:t>Revenge,</w:t>
      </w:r>
      <w:r>
        <w:rPr>
          <w:spacing w:val="-13"/>
        </w:rPr>
        <w:t> </w:t>
      </w:r>
      <w:r>
        <w:rPr/>
        <w:t>traditionally</w:t>
      </w:r>
      <w:r>
        <w:rPr>
          <w:spacing w:val="-12"/>
        </w:rPr>
        <w:t> </w:t>
      </w:r>
      <w:r>
        <w:rPr/>
        <w:t>associated</w:t>
      </w:r>
      <w:r>
        <w:rPr>
          <w:spacing w:val="-13"/>
        </w:rPr>
        <w:t> </w:t>
      </w:r>
      <w:r>
        <w:rPr/>
        <w:t>with</w:t>
      </w:r>
      <w:r>
        <w:rPr>
          <w:spacing w:val="-12"/>
        </w:rPr>
        <w:t> </w:t>
      </w:r>
      <w:r>
        <w:rPr/>
        <w:t>direct</w:t>
      </w:r>
      <w:r>
        <w:rPr>
          <w:spacing w:val="-13"/>
        </w:rPr>
        <w:t> </w:t>
      </w:r>
      <w:r>
        <w:rPr/>
        <w:t>action,</w:t>
      </w:r>
      <w:r>
        <w:rPr>
          <w:spacing w:val="-12"/>
        </w:rPr>
        <w:t> </w:t>
      </w:r>
      <w:r>
        <w:rPr/>
        <w:t>is</w:t>
      </w:r>
      <w:r>
        <w:rPr>
          <w:spacing w:val="-13"/>
        </w:rPr>
        <w:t> </w:t>
      </w:r>
      <w:r>
        <w:rPr/>
        <w:t>reconfigured through these female experiences. Rather than enacting violence themselves, these characters contribute to processes of revelation and disruption that challenge the structures enabling violence. Lavinia’s </w:t>
      </w:r>
      <w:r>
        <w:rPr>
          <w:spacing w:val="-2"/>
        </w:rPr>
        <w:t>testimony</w:t>
      </w:r>
      <w:r>
        <w:rPr>
          <w:spacing w:val="-11"/>
        </w:rPr>
        <w:t> </w:t>
      </w:r>
      <w:r>
        <w:rPr>
          <w:spacing w:val="-2"/>
        </w:rPr>
        <w:t>initiates</w:t>
      </w:r>
      <w:r>
        <w:rPr>
          <w:spacing w:val="-10"/>
        </w:rPr>
        <w:t> </w:t>
      </w:r>
      <w:r>
        <w:rPr>
          <w:spacing w:val="-2"/>
        </w:rPr>
        <w:t>revenge,</w:t>
      </w:r>
      <w:r>
        <w:rPr>
          <w:spacing w:val="-11"/>
        </w:rPr>
        <w:t> </w:t>
      </w:r>
      <w:r>
        <w:rPr>
          <w:spacing w:val="-2"/>
        </w:rPr>
        <w:t>Emilia’s</w:t>
      </w:r>
      <w:r>
        <w:rPr>
          <w:spacing w:val="-10"/>
        </w:rPr>
        <w:t> </w:t>
      </w:r>
      <w:r>
        <w:rPr>
          <w:spacing w:val="-2"/>
        </w:rPr>
        <w:t>speech</w:t>
      </w:r>
      <w:r>
        <w:rPr>
          <w:spacing w:val="-11"/>
        </w:rPr>
        <w:t> </w:t>
      </w:r>
      <w:r>
        <w:rPr>
          <w:spacing w:val="-2"/>
        </w:rPr>
        <w:t>uncovers</w:t>
      </w:r>
      <w:r>
        <w:rPr>
          <w:spacing w:val="-10"/>
        </w:rPr>
        <w:t> </w:t>
      </w:r>
      <w:r>
        <w:rPr>
          <w:spacing w:val="-2"/>
        </w:rPr>
        <w:t>truth,</w:t>
      </w:r>
      <w:r>
        <w:rPr>
          <w:spacing w:val="-11"/>
        </w:rPr>
        <w:t> </w:t>
      </w:r>
      <w:r>
        <w:rPr>
          <w:spacing w:val="-2"/>
        </w:rPr>
        <w:t>and</w:t>
      </w:r>
      <w:r>
        <w:rPr>
          <w:spacing w:val="-10"/>
        </w:rPr>
        <w:t> </w:t>
      </w:r>
      <w:r>
        <w:rPr>
          <w:spacing w:val="-2"/>
        </w:rPr>
        <w:t>Ophelia’s </w:t>
      </w:r>
      <w:r>
        <w:rPr/>
        <w:t>madness</w:t>
      </w:r>
      <w:r>
        <w:rPr>
          <w:spacing w:val="40"/>
        </w:rPr>
        <w:t> </w:t>
      </w:r>
      <w:r>
        <w:rPr/>
        <w:t>exposes</w:t>
      </w:r>
      <w:r>
        <w:rPr>
          <w:spacing w:val="40"/>
        </w:rPr>
        <w:t> </w:t>
      </w:r>
      <w:r>
        <w:rPr/>
        <w:t>underlying</w:t>
      </w:r>
      <w:r>
        <w:rPr>
          <w:spacing w:val="40"/>
        </w:rPr>
        <w:t> </w:t>
      </w:r>
      <w:r>
        <w:rPr/>
        <w:t>tensions.</w:t>
      </w:r>
    </w:p>
    <w:p>
      <w:pPr>
        <w:pStyle w:val="BodyText"/>
        <w:spacing w:line="249" w:lineRule="auto" w:before="46"/>
        <w:ind w:right="1441" w:firstLine="432"/>
        <w:jc w:val="both"/>
      </w:pPr>
      <w:r>
        <w:rPr>
          <w:spacing w:val="-2"/>
        </w:rPr>
        <w:t>Together,</w:t>
      </w:r>
      <w:r>
        <w:rPr>
          <w:spacing w:val="-5"/>
        </w:rPr>
        <w:t> </w:t>
      </w:r>
      <w:r>
        <w:rPr>
          <w:spacing w:val="-2"/>
        </w:rPr>
        <w:t>these</w:t>
      </w:r>
      <w:r>
        <w:rPr>
          <w:spacing w:val="-7"/>
        </w:rPr>
        <w:t> </w:t>
      </w:r>
      <w:r>
        <w:rPr>
          <w:spacing w:val="-2"/>
        </w:rPr>
        <w:t>responses</w:t>
      </w:r>
      <w:r>
        <w:rPr>
          <w:spacing w:val="-7"/>
        </w:rPr>
        <w:t> </w:t>
      </w:r>
      <w:r>
        <w:rPr>
          <w:spacing w:val="-2"/>
        </w:rPr>
        <w:t>illustrate</w:t>
      </w:r>
      <w:r>
        <w:rPr>
          <w:spacing w:val="-3"/>
        </w:rPr>
        <w:t> </w:t>
      </w:r>
      <w:r>
        <w:rPr>
          <w:spacing w:val="-2"/>
        </w:rPr>
        <w:t>a</w:t>
      </w:r>
      <w:r>
        <w:rPr>
          <w:spacing w:val="-7"/>
        </w:rPr>
        <w:t> </w:t>
      </w:r>
      <w:r>
        <w:rPr>
          <w:spacing w:val="-2"/>
        </w:rPr>
        <w:t>form</w:t>
      </w:r>
      <w:r>
        <w:rPr>
          <w:spacing w:val="-6"/>
        </w:rPr>
        <w:t> </w:t>
      </w:r>
      <w:r>
        <w:rPr>
          <w:spacing w:val="-2"/>
        </w:rPr>
        <w:t>of</w:t>
      </w:r>
      <w:r>
        <w:rPr>
          <w:spacing w:val="-7"/>
        </w:rPr>
        <w:t> </w:t>
      </w:r>
      <w:r>
        <w:rPr>
          <w:spacing w:val="-2"/>
        </w:rPr>
        <w:t>agency</w:t>
      </w:r>
      <w:r>
        <w:rPr>
          <w:spacing w:val="-9"/>
        </w:rPr>
        <w:t> </w:t>
      </w:r>
      <w:r>
        <w:rPr>
          <w:spacing w:val="-2"/>
        </w:rPr>
        <w:t>that</w:t>
      </w:r>
      <w:r>
        <w:rPr>
          <w:spacing w:val="-7"/>
        </w:rPr>
        <w:t> </w:t>
      </w:r>
      <w:r>
        <w:rPr>
          <w:spacing w:val="-2"/>
        </w:rPr>
        <w:t>is</w:t>
      </w:r>
      <w:r>
        <w:rPr>
          <w:spacing w:val="-5"/>
        </w:rPr>
        <w:t> </w:t>
      </w:r>
      <w:r>
        <w:rPr>
          <w:spacing w:val="-2"/>
        </w:rPr>
        <w:t>indirect, </w:t>
      </w:r>
      <w:r>
        <w:rPr/>
        <w:t>fragmented,</w:t>
      </w:r>
      <w:r>
        <w:rPr>
          <w:spacing w:val="20"/>
        </w:rPr>
        <w:t> </w:t>
      </w:r>
      <w:r>
        <w:rPr/>
        <w:t>and</w:t>
      </w:r>
      <w:r>
        <w:rPr>
          <w:spacing w:val="21"/>
        </w:rPr>
        <w:t> </w:t>
      </w:r>
      <w:r>
        <w:rPr/>
        <w:t>often</w:t>
      </w:r>
      <w:r>
        <w:rPr>
          <w:spacing w:val="19"/>
        </w:rPr>
        <w:t> </w:t>
      </w:r>
      <w:r>
        <w:rPr/>
        <w:t>precarious.</w:t>
      </w:r>
      <w:r>
        <w:rPr>
          <w:spacing w:val="23"/>
        </w:rPr>
        <w:t> </w:t>
      </w:r>
      <w:r>
        <w:rPr/>
        <w:t>Shakespeare’s</w:t>
      </w:r>
      <w:r>
        <w:rPr>
          <w:spacing w:val="20"/>
        </w:rPr>
        <w:t> </w:t>
      </w:r>
      <w:r>
        <w:rPr/>
        <w:t>tragedies</w:t>
      </w:r>
      <w:r>
        <w:rPr>
          <w:spacing w:val="19"/>
        </w:rPr>
        <w:t> </w:t>
      </w:r>
      <w:r>
        <w:rPr/>
        <w:t>thus</w:t>
      </w:r>
      <w:r>
        <w:rPr>
          <w:spacing w:val="21"/>
        </w:rPr>
        <w:t> </w:t>
      </w:r>
      <w:r>
        <w:rPr>
          <w:spacing w:val="-2"/>
        </w:rPr>
        <w:t>reveal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59520">
                <wp:simplePos x="0" y="0"/>
                <wp:positionH relativeFrom="page">
                  <wp:posOffset>2057400</wp:posOffset>
                </wp:positionH>
                <wp:positionV relativeFrom="paragraph">
                  <wp:posOffset>162604</wp:posOffset>
                </wp:positionV>
                <wp:extent cx="3657600" cy="12700"/>
                <wp:effectExtent l="0" t="0" r="0" b="0"/>
                <wp:wrapTopAndBottom/>
                <wp:docPr id="251" name="Graphic 251"/>
                <wp:cNvGraphicFramePr>
                  <a:graphicFrameLocks/>
                </wp:cNvGraphicFramePr>
                <a:graphic>
                  <a:graphicData uri="http://schemas.microsoft.com/office/word/2010/wordprocessingShape">
                    <wps:wsp>
                      <wps:cNvPr id="251" name="Graphic 25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56960;mso-wrap-distance-left:0;mso-wrap-distance-right:0" id="docshape247" filled="true" fillcolor="#000000" stroked="false">
                <v:fill type="solid"/>
                <w10:wrap type="topAndBottom"/>
              </v:rect>
            </w:pict>
          </mc:Fallback>
        </mc:AlternateContent>
      </w:r>
      <w:r>
        <w:rPr>
          <w:rFonts w:ascii="Verdana"/>
          <w:spacing w:val="-5"/>
          <w:sz w:val="18"/>
        </w:rPr>
        <w:t>74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not only the violence inflicted upon women but also the complex ways in</w:t>
      </w:r>
      <w:r>
        <w:rPr>
          <w:spacing w:val="40"/>
        </w:rPr>
        <w:t> </w:t>
      </w:r>
      <w:r>
        <w:rPr/>
        <w:t>which</w:t>
      </w:r>
      <w:r>
        <w:rPr>
          <w:spacing w:val="40"/>
        </w:rPr>
        <w:t> </w:t>
      </w:r>
      <w:r>
        <w:rPr/>
        <w:t>they</w:t>
      </w:r>
      <w:r>
        <w:rPr>
          <w:spacing w:val="40"/>
        </w:rPr>
        <w:t> </w:t>
      </w:r>
      <w:r>
        <w:rPr/>
        <w:t>respond</w:t>
      </w:r>
      <w:r>
        <w:rPr>
          <w:spacing w:val="40"/>
        </w:rPr>
        <w:t> </w:t>
      </w:r>
      <w:r>
        <w:rPr/>
        <w:t>to</w:t>
      </w:r>
      <w:r>
        <w:rPr>
          <w:spacing w:val="40"/>
        </w:rPr>
        <w:t> </w:t>
      </w:r>
      <w:r>
        <w:rPr/>
        <w:t>and</w:t>
      </w:r>
      <w:r>
        <w:rPr>
          <w:spacing w:val="40"/>
        </w:rPr>
        <w:t> </w:t>
      </w:r>
      <w:r>
        <w:rPr/>
        <w:t>reinterpret</w:t>
      </w:r>
      <w:r>
        <w:rPr>
          <w:spacing w:val="40"/>
        </w:rPr>
        <w:t> </w:t>
      </w:r>
      <w:r>
        <w:rPr/>
        <w:t>that</w:t>
      </w:r>
      <w:r>
        <w:rPr>
          <w:spacing w:val="40"/>
        </w:rPr>
        <w:t> </w:t>
      </w:r>
      <w:r>
        <w:rPr/>
        <w:t>violence.</w:t>
      </w:r>
    </w:p>
    <w:p>
      <w:pPr>
        <w:pStyle w:val="Heading3"/>
        <w:spacing w:before="155"/>
      </w:pPr>
      <w:r>
        <w:rPr>
          <w:spacing w:val="-2"/>
        </w:rPr>
        <w:t>CONCLUSION</w:t>
      </w:r>
    </w:p>
    <w:p>
      <w:pPr>
        <w:pStyle w:val="BodyText"/>
        <w:spacing w:line="249" w:lineRule="auto" w:before="76"/>
        <w:ind w:right="1438" w:firstLine="432"/>
        <w:jc w:val="both"/>
      </w:pPr>
      <w:r>
        <w:rPr/>
        <w:t>Shakespeare’s</w:t>
      </w:r>
      <w:r>
        <w:rPr>
          <w:spacing w:val="-5"/>
        </w:rPr>
        <w:t> </w:t>
      </w:r>
      <w:r>
        <w:rPr/>
        <w:t>tragedies</w:t>
      </w:r>
      <w:r>
        <w:rPr>
          <w:spacing w:val="-7"/>
        </w:rPr>
        <w:t> </w:t>
      </w:r>
      <w:r>
        <w:rPr/>
        <w:t>offer</w:t>
      </w:r>
      <w:r>
        <w:rPr>
          <w:spacing w:val="-5"/>
        </w:rPr>
        <w:t> </w:t>
      </w:r>
      <w:r>
        <w:rPr/>
        <w:t>a</w:t>
      </w:r>
      <w:r>
        <w:rPr>
          <w:spacing w:val="-3"/>
        </w:rPr>
        <w:t> </w:t>
      </w:r>
      <w:r>
        <w:rPr/>
        <w:t>profoundly</w:t>
      </w:r>
      <w:r>
        <w:rPr>
          <w:spacing w:val="-8"/>
        </w:rPr>
        <w:t> </w:t>
      </w:r>
      <w:r>
        <w:rPr/>
        <w:t>nuanced</w:t>
      </w:r>
      <w:r>
        <w:rPr>
          <w:spacing w:val="-5"/>
        </w:rPr>
        <w:t> </w:t>
      </w:r>
      <w:r>
        <w:rPr/>
        <w:t>exploration</w:t>
      </w:r>
      <w:r>
        <w:rPr>
          <w:spacing w:val="-7"/>
        </w:rPr>
        <w:t> </w:t>
      </w:r>
      <w:r>
        <w:rPr/>
        <w:t>of women’s responses to violence, challenging simplistic interpretations that</w:t>
      </w:r>
      <w:r>
        <w:rPr>
          <w:spacing w:val="-13"/>
        </w:rPr>
        <w:t> </w:t>
      </w:r>
      <w:r>
        <w:rPr/>
        <w:t>reduce</w:t>
      </w:r>
      <w:r>
        <w:rPr>
          <w:spacing w:val="-12"/>
        </w:rPr>
        <w:t> </w:t>
      </w:r>
      <w:r>
        <w:rPr/>
        <w:t>female</w:t>
      </w:r>
      <w:r>
        <w:rPr>
          <w:spacing w:val="-13"/>
        </w:rPr>
        <w:t> </w:t>
      </w:r>
      <w:r>
        <w:rPr/>
        <w:t>characters</w:t>
      </w:r>
      <w:r>
        <w:rPr>
          <w:spacing w:val="-12"/>
        </w:rPr>
        <w:t> </w:t>
      </w:r>
      <w:r>
        <w:rPr/>
        <w:t>to</w:t>
      </w:r>
      <w:r>
        <w:rPr>
          <w:spacing w:val="-13"/>
        </w:rPr>
        <w:t> </w:t>
      </w:r>
      <w:r>
        <w:rPr/>
        <w:t>passive</w:t>
      </w:r>
      <w:r>
        <w:rPr>
          <w:spacing w:val="-12"/>
        </w:rPr>
        <w:t> </w:t>
      </w:r>
      <w:r>
        <w:rPr/>
        <w:t>victims.</w:t>
      </w:r>
      <w:r>
        <w:rPr>
          <w:spacing w:val="-13"/>
        </w:rPr>
        <w:t> </w:t>
      </w:r>
      <w:r>
        <w:rPr/>
        <w:t>Through</w:t>
      </w:r>
      <w:r>
        <w:rPr>
          <w:spacing w:val="-12"/>
        </w:rPr>
        <w:t> </w:t>
      </w:r>
      <w:r>
        <w:rPr/>
        <w:t>the</w:t>
      </w:r>
      <w:r>
        <w:rPr>
          <w:spacing w:val="-13"/>
        </w:rPr>
        <w:t> </w:t>
      </w:r>
      <w:r>
        <w:rPr/>
        <w:t>intertwined dynamics of silence, speech, and symbolic forms of revenge, these plays construct a spectrum of agency that reflects both the constraints and possibilities of female experience within patriarchal structures. </w:t>
      </w:r>
      <w:r>
        <w:rPr>
          <w:spacing w:val="-4"/>
        </w:rPr>
        <w:t>Lavinia, Ophelia, Desdemona, Emilia, and Cordelia each navigate systems </w:t>
      </w:r>
      <w:r>
        <w:rPr/>
        <w:t>that seek to regulate their voices and bodies, yet their responses reveal</w:t>
      </w:r>
      <w:r>
        <w:rPr>
          <w:spacing w:val="80"/>
        </w:rPr>
        <w:t> </w:t>
      </w:r>
      <w:r>
        <w:rPr/>
        <w:t>a persistent engagement with these limitations. Whether through silent testimony,</w:t>
      </w:r>
      <w:r>
        <w:rPr>
          <w:spacing w:val="-3"/>
        </w:rPr>
        <w:t> </w:t>
      </w:r>
      <w:r>
        <w:rPr/>
        <w:t>fragmented expression,</w:t>
      </w:r>
      <w:r>
        <w:rPr>
          <w:spacing w:val="-1"/>
        </w:rPr>
        <w:t> </w:t>
      </w:r>
      <w:r>
        <w:rPr/>
        <w:t>defiant</w:t>
      </w:r>
      <w:r>
        <w:rPr>
          <w:spacing w:val="-3"/>
        </w:rPr>
        <w:t> </w:t>
      </w:r>
      <w:r>
        <w:rPr/>
        <w:t>speech,</w:t>
      </w:r>
      <w:r>
        <w:rPr>
          <w:spacing w:val="-1"/>
        </w:rPr>
        <w:t> </w:t>
      </w:r>
      <w:r>
        <w:rPr/>
        <w:t>or principled</w:t>
      </w:r>
      <w:r>
        <w:rPr>
          <w:spacing w:val="-1"/>
        </w:rPr>
        <w:t> </w:t>
      </w:r>
      <w:r>
        <w:rPr/>
        <w:t>refusal, they articulate forms of resistance that complicate traditional understandings</w:t>
      </w:r>
      <w:r>
        <w:rPr>
          <w:spacing w:val="40"/>
        </w:rPr>
        <w:t> </w:t>
      </w:r>
      <w:r>
        <w:rPr/>
        <w:t>of</w:t>
      </w:r>
      <w:r>
        <w:rPr>
          <w:spacing w:val="40"/>
        </w:rPr>
        <w:t> </w:t>
      </w:r>
      <w:r>
        <w:rPr/>
        <w:t>power.</w:t>
      </w:r>
    </w:p>
    <w:p>
      <w:pPr>
        <w:pStyle w:val="BodyText"/>
        <w:spacing w:line="249" w:lineRule="auto" w:before="67"/>
        <w:ind w:right="1438" w:firstLine="432"/>
        <w:jc w:val="both"/>
      </w:pPr>
      <w:r>
        <w:rPr/>
        <w:t>Importantly,</w:t>
      </w:r>
      <w:r>
        <w:rPr>
          <w:spacing w:val="-10"/>
        </w:rPr>
        <w:t> </w:t>
      </w:r>
      <w:r>
        <w:rPr/>
        <w:t>these</w:t>
      </w:r>
      <w:r>
        <w:rPr>
          <w:spacing w:val="-12"/>
        </w:rPr>
        <w:t> </w:t>
      </w:r>
      <w:r>
        <w:rPr/>
        <w:t>modes</w:t>
      </w:r>
      <w:r>
        <w:rPr>
          <w:spacing w:val="-12"/>
        </w:rPr>
        <w:t> </w:t>
      </w:r>
      <w:r>
        <w:rPr/>
        <w:t>of</w:t>
      </w:r>
      <w:r>
        <w:rPr>
          <w:spacing w:val="-12"/>
        </w:rPr>
        <w:t> </w:t>
      </w:r>
      <w:r>
        <w:rPr/>
        <w:t>expression</w:t>
      </w:r>
      <w:r>
        <w:rPr>
          <w:spacing w:val="-10"/>
        </w:rPr>
        <w:t> </w:t>
      </w:r>
      <w:r>
        <w:rPr/>
        <w:t>are</w:t>
      </w:r>
      <w:r>
        <w:rPr>
          <w:spacing w:val="-12"/>
        </w:rPr>
        <w:t> </w:t>
      </w:r>
      <w:r>
        <w:rPr/>
        <w:t>not</w:t>
      </w:r>
      <w:r>
        <w:rPr>
          <w:spacing w:val="-12"/>
        </w:rPr>
        <w:t> </w:t>
      </w:r>
      <w:r>
        <w:rPr/>
        <w:t>presented</w:t>
      </w:r>
      <w:r>
        <w:rPr>
          <w:spacing w:val="-10"/>
        </w:rPr>
        <w:t> </w:t>
      </w:r>
      <w:r>
        <w:rPr/>
        <w:t>as</w:t>
      </w:r>
      <w:r>
        <w:rPr>
          <w:spacing w:val="-12"/>
        </w:rPr>
        <w:t> </w:t>
      </w:r>
      <w:r>
        <w:rPr/>
        <w:t>wholly successful. The deaths of these characters underscore the enduring</w:t>
      </w:r>
      <w:r>
        <w:rPr>
          <w:spacing w:val="40"/>
        </w:rPr>
        <w:t> </w:t>
      </w:r>
      <w:r>
        <w:rPr/>
        <w:t>force of the structures they confront, suggesting that agency within</w:t>
      </w:r>
      <w:r>
        <w:rPr>
          <w:spacing w:val="40"/>
        </w:rPr>
        <w:t> </w:t>
      </w:r>
      <w:r>
        <w:rPr/>
        <w:t>such contexts is necessarily limited and fraught with risk. Yet, their actions nonetheless disrupt the narratives that seek to contain them, leaving</w:t>
      </w:r>
      <w:r>
        <w:rPr>
          <w:spacing w:val="-6"/>
        </w:rPr>
        <w:t> </w:t>
      </w:r>
      <w:r>
        <w:rPr/>
        <w:t>traces</w:t>
      </w:r>
      <w:r>
        <w:rPr>
          <w:spacing w:val="-5"/>
        </w:rPr>
        <w:t> </w:t>
      </w:r>
      <w:r>
        <w:rPr/>
        <w:t>of</w:t>
      </w:r>
      <w:r>
        <w:rPr>
          <w:spacing w:val="-6"/>
        </w:rPr>
        <w:t> </w:t>
      </w:r>
      <w:r>
        <w:rPr/>
        <w:t>resistance</w:t>
      </w:r>
      <w:r>
        <w:rPr>
          <w:spacing w:val="-5"/>
        </w:rPr>
        <w:t> </w:t>
      </w:r>
      <w:r>
        <w:rPr/>
        <w:t>that</w:t>
      </w:r>
      <w:r>
        <w:rPr>
          <w:spacing w:val="-5"/>
        </w:rPr>
        <w:t> </w:t>
      </w:r>
      <w:r>
        <w:rPr/>
        <w:t>resonate</w:t>
      </w:r>
      <w:r>
        <w:rPr>
          <w:spacing w:val="-2"/>
        </w:rPr>
        <w:t> </w:t>
      </w:r>
      <w:r>
        <w:rPr/>
        <w:t>beyond</w:t>
      </w:r>
      <w:r>
        <w:rPr>
          <w:spacing w:val="-5"/>
        </w:rPr>
        <w:t> </w:t>
      </w:r>
      <w:r>
        <w:rPr/>
        <w:t>their</w:t>
      </w:r>
      <w:r>
        <w:rPr>
          <w:spacing w:val="-4"/>
        </w:rPr>
        <w:t> </w:t>
      </w:r>
      <w:r>
        <w:rPr/>
        <w:t>individual</w:t>
      </w:r>
      <w:r>
        <w:rPr>
          <w:spacing w:val="-3"/>
        </w:rPr>
        <w:t> </w:t>
      </w:r>
      <w:r>
        <w:rPr>
          <w:spacing w:val="-2"/>
        </w:rPr>
        <w:t>stories.</w:t>
      </w:r>
    </w:p>
    <w:p>
      <w:pPr>
        <w:pStyle w:val="BodyText"/>
        <w:spacing w:line="249" w:lineRule="auto" w:before="65"/>
        <w:ind w:right="1439" w:firstLine="432"/>
        <w:jc w:val="both"/>
      </w:pPr>
      <w:r>
        <w:rPr/>
        <w:t>By foregrounding the interplay between silence, speech, and revenge, this study highlights the need to reconsider how agency is defined</w:t>
      </w:r>
      <w:r>
        <w:rPr>
          <w:spacing w:val="-13"/>
        </w:rPr>
        <w:t> </w:t>
      </w:r>
      <w:r>
        <w:rPr/>
        <w:t>and</w:t>
      </w:r>
      <w:r>
        <w:rPr>
          <w:spacing w:val="-12"/>
        </w:rPr>
        <w:t> </w:t>
      </w:r>
      <w:r>
        <w:rPr/>
        <w:t>recognized</w:t>
      </w:r>
      <w:r>
        <w:rPr>
          <w:spacing w:val="-13"/>
        </w:rPr>
        <w:t> </w:t>
      </w:r>
      <w:r>
        <w:rPr/>
        <w:t>in</w:t>
      </w:r>
      <w:r>
        <w:rPr>
          <w:spacing w:val="-12"/>
        </w:rPr>
        <w:t> </w:t>
      </w:r>
      <w:r>
        <w:rPr/>
        <w:t>literary</w:t>
      </w:r>
      <w:r>
        <w:rPr>
          <w:spacing w:val="-13"/>
        </w:rPr>
        <w:t> </w:t>
      </w:r>
      <w:r>
        <w:rPr/>
        <w:t>texts.</w:t>
      </w:r>
      <w:r>
        <w:rPr>
          <w:spacing w:val="-12"/>
        </w:rPr>
        <w:t> </w:t>
      </w:r>
      <w:r>
        <w:rPr/>
        <w:t>Shakespeare’s</w:t>
      </w:r>
      <w:r>
        <w:rPr>
          <w:spacing w:val="-13"/>
        </w:rPr>
        <w:t> </w:t>
      </w:r>
      <w:r>
        <w:rPr/>
        <w:t>female</w:t>
      </w:r>
      <w:r>
        <w:rPr>
          <w:spacing w:val="-12"/>
        </w:rPr>
        <w:t> </w:t>
      </w:r>
      <w:r>
        <w:rPr/>
        <w:t>characters demonstrate that resistance does not always manifest through overt action; it can emerge through absence, fragmentation, and symbolic intervention. Ultimately, these plays invite us to engage with the complexities</w:t>
      </w:r>
      <w:r>
        <w:rPr>
          <w:spacing w:val="-1"/>
        </w:rPr>
        <w:t> </w:t>
      </w:r>
      <w:r>
        <w:rPr/>
        <w:t>of</w:t>
      </w:r>
      <w:r>
        <w:rPr>
          <w:spacing w:val="-1"/>
        </w:rPr>
        <w:t> </w:t>
      </w:r>
      <w:r>
        <w:rPr/>
        <w:t>voice and power, revealing</w:t>
      </w:r>
      <w:r>
        <w:rPr>
          <w:spacing w:val="-1"/>
        </w:rPr>
        <w:t> </w:t>
      </w:r>
      <w:r>
        <w:rPr/>
        <w:t>how</w:t>
      </w:r>
      <w:r>
        <w:rPr>
          <w:spacing w:val="-5"/>
        </w:rPr>
        <w:t> </w:t>
      </w:r>
      <w:r>
        <w:rPr/>
        <w:t>even within conditions </w:t>
      </w:r>
      <w:r>
        <w:rPr>
          <w:spacing w:val="-2"/>
        </w:rPr>
        <w:t>of</w:t>
      </w:r>
      <w:r>
        <w:rPr>
          <w:spacing w:val="-11"/>
        </w:rPr>
        <w:t> </w:t>
      </w:r>
      <w:r>
        <w:rPr>
          <w:spacing w:val="-2"/>
        </w:rPr>
        <w:t>extreme</w:t>
      </w:r>
      <w:r>
        <w:rPr>
          <w:spacing w:val="-10"/>
        </w:rPr>
        <w:t> </w:t>
      </w:r>
      <w:r>
        <w:rPr>
          <w:spacing w:val="-2"/>
        </w:rPr>
        <w:t>constraint,</w:t>
      </w:r>
      <w:r>
        <w:rPr>
          <w:spacing w:val="-11"/>
        </w:rPr>
        <w:t> </w:t>
      </w:r>
      <w:r>
        <w:rPr>
          <w:spacing w:val="-2"/>
        </w:rPr>
        <w:t>the</w:t>
      </w:r>
      <w:r>
        <w:rPr>
          <w:spacing w:val="-10"/>
        </w:rPr>
        <w:t> </w:t>
      </w:r>
      <w:r>
        <w:rPr>
          <w:spacing w:val="-2"/>
        </w:rPr>
        <w:t>possibility</w:t>
      </w:r>
      <w:r>
        <w:rPr>
          <w:spacing w:val="-11"/>
        </w:rPr>
        <w:t> </w:t>
      </w:r>
      <w:r>
        <w:rPr>
          <w:spacing w:val="-2"/>
        </w:rPr>
        <w:t>of</w:t>
      </w:r>
      <w:r>
        <w:rPr>
          <w:spacing w:val="-10"/>
        </w:rPr>
        <w:t> </w:t>
      </w:r>
      <w:r>
        <w:rPr>
          <w:spacing w:val="-2"/>
        </w:rPr>
        <w:t>expression—and</w:t>
      </w:r>
      <w:r>
        <w:rPr>
          <w:spacing w:val="-11"/>
        </w:rPr>
        <w:t> </w:t>
      </w:r>
      <w:r>
        <w:rPr>
          <w:spacing w:val="-2"/>
        </w:rPr>
        <w:t>thus</w:t>
      </w:r>
      <w:r>
        <w:rPr>
          <w:spacing w:val="-10"/>
        </w:rPr>
        <w:t> </w:t>
      </w:r>
      <w:r>
        <w:rPr>
          <w:spacing w:val="-2"/>
        </w:rPr>
        <w:t>of</w:t>
      </w:r>
      <w:r>
        <w:rPr>
          <w:spacing w:val="-11"/>
        </w:rPr>
        <w:t> </w:t>
      </w:r>
      <w:r>
        <w:rPr>
          <w:spacing w:val="-2"/>
        </w:rPr>
        <w:t>agency—persists.</w:t>
      </w:r>
    </w:p>
    <w:p>
      <w:pPr>
        <w:pStyle w:val="Heading3"/>
        <w:spacing w:before="161"/>
      </w:pPr>
      <w:r>
        <w:rPr>
          <w:w w:val="90"/>
        </w:rPr>
        <w:t>WORKS</w:t>
      </w:r>
      <w:r>
        <w:rPr>
          <w:spacing w:val="6"/>
        </w:rPr>
        <w:t> </w:t>
      </w:r>
      <w:r>
        <w:rPr>
          <w:spacing w:val="-2"/>
          <w:w w:val="95"/>
        </w:rPr>
        <w:t>CITED</w:t>
      </w:r>
    </w:p>
    <w:p>
      <w:pPr>
        <w:pStyle w:val="ListParagraph"/>
        <w:numPr>
          <w:ilvl w:val="0"/>
          <w:numId w:val="15"/>
        </w:numPr>
        <w:tabs>
          <w:tab w:pos="2157" w:val="left" w:leader="none"/>
          <w:tab w:pos="2160" w:val="left" w:leader="none"/>
        </w:tabs>
        <w:spacing w:line="261" w:lineRule="auto" w:before="82" w:after="0"/>
        <w:ind w:left="2160" w:right="1440" w:hanging="315"/>
        <w:jc w:val="left"/>
        <w:rPr>
          <w:sz w:val="19"/>
        </w:rPr>
      </w:pPr>
      <w:r>
        <w:rPr>
          <w:sz w:val="19"/>
        </w:rPr>
        <w:t>Shakespeare,</w:t>
      </w:r>
      <w:r>
        <w:rPr>
          <w:spacing w:val="40"/>
          <w:sz w:val="19"/>
        </w:rPr>
        <w:t> </w:t>
      </w:r>
      <w:r>
        <w:rPr>
          <w:sz w:val="19"/>
        </w:rPr>
        <w:t>William.</w:t>
      </w:r>
      <w:r>
        <w:rPr>
          <w:spacing w:val="40"/>
          <w:sz w:val="19"/>
        </w:rPr>
        <w:t> </w:t>
      </w:r>
      <w:r>
        <w:rPr>
          <w:i/>
          <w:sz w:val="19"/>
        </w:rPr>
        <w:t>Hamlet</w:t>
      </w:r>
      <w:r>
        <w:rPr>
          <w:sz w:val="19"/>
        </w:rPr>
        <w:t>.</w:t>
      </w:r>
      <w:r>
        <w:rPr>
          <w:spacing w:val="40"/>
          <w:sz w:val="19"/>
        </w:rPr>
        <w:t> </w:t>
      </w:r>
      <w:r>
        <w:rPr>
          <w:sz w:val="19"/>
        </w:rPr>
        <w:t>Edited</w:t>
      </w:r>
      <w:r>
        <w:rPr>
          <w:spacing w:val="40"/>
          <w:sz w:val="19"/>
        </w:rPr>
        <w:t> </w:t>
      </w:r>
      <w:r>
        <w:rPr>
          <w:sz w:val="19"/>
        </w:rPr>
        <w:t>by</w:t>
      </w:r>
      <w:r>
        <w:rPr>
          <w:spacing w:val="31"/>
          <w:sz w:val="19"/>
        </w:rPr>
        <w:t> </w:t>
      </w:r>
      <w:r>
        <w:rPr>
          <w:sz w:val="19"/>
        </w:rPr>
        <w:t>Ann</w:t>
      </w:r>
      <w:r>
        <w:rPr>
          <w:spacing w:val="40"/>
          <w:sz w:val="19"/>
        </w:rPr>
        <w:t> </w:t>
      </w:r>
      <w:r>
        <w:rPr>
          <w:sz w:val="19"/>
        </w:rPr>
        <w:t>Thompson</w:t>
      </w:r>
      <w:r>
        <w:rPr>
          <w:spacing w:val="40"/>
          <w:sz w:val="19"/>
        </w:rPr>
        <w:t> </w:t>
      </w:r>
      <w:r>
        <w:rPr>
          <w:sz w:val="19"/>
        </w:rPr>
        <w:t>and Neil</w:t>
      </w:r>
      <w:r>
        <w:rPr>
          <w:spacing w:val="40"/>
          <w:sz w:val="19"/>
        </w:rPr>
        <w:t> </w:t>
      </w:r>
      <w:r>
        <w:rPr>
          <w:sz w:val="19"/>
        </w:rPr>
        <w:t>Taylor,</w:t>
      </w:r>
      <w:r>
        <w:rPr>
          <w:spacing w:val="40"/>
          <w:sz w:val="19"/>
        </w:rPr>
        <w:t> </w:t>
      </w:r>
      <w:r>
        <w:rPr>
          <w:sz w:val="19"/>
        </w:rPr>
        <w:t>Arden</w:t>
      </w:r>
      <w:r>
        <w:rPr>
          <w:spacing w:val="40"/>
          <w:sz w:val="19"/>
        </w:rPr>
        <w:t> </w:t>
      </w:r>
      <w:r>
        <w:rPr>
          <w:sz w:val="19"/>
        </w:rPr>
        <w:t>Shakespeare,</w:t>
      </w:r>
      <w:r>
        <w:rPr>
          <w:spacing w:val="40"/>
          <w:sz w:val="19"/>
        </w:rPr>
        <w:t> </w:t>
      </w:r>
      <w:r>
        <w:rPr>
          <w:sz w:val="19"/>
        </w:rPr>
        <w:t>2006.</w:t>
      </w:r>
    </w:p>
    <w:p>
      <w:pPr>
        <w:pStyle w:val="ListParagraph"/>
        <w:numPr>
          <w:ilvl w:val="0"/>
          <w:numId w:val="15"/>
        </w:numPr>
        <w:tabs>
          <w:tab w:pos="2157" w:val="left" w:leader="none"/>
          <w:tab w:pos="2160" w:val="left" w:leader="none"/>
        </w:tabs>
        <w:spacing w:line="264" w:lineRule="auto" w:before="57" w:after="0"/>
        <w:ind w:left="2160" w:right="1442" w:hanging="315"/>
        <w:jc w:val="left"/>
        <w:rPr>
          <w:sz w:val="19"/>
        </w:rPr>
      </w:pPr>
      <w:r>
        <w:rPr>
          <w:sz w:val="19"/>
        </w:rPr>
        <w:t>—.</w:t>
      </w:r>
      <w:r>
        <w:rPr>
          <w:spacing w:val="29"/>
          <w:sz w:val="19"/>
        </w:rPr>
        <w:t> </w:t>
      </w:r>
      <w:r>
        <w:rPr>
          <w:i/>
          <w:sz w:val="19"/>
        </w:rPr>
        <w:t>Othello</w:t>
      </w:r>
      <w:r>
        <w:rPr>
          <w:sz w:val="19"/>
        </w:rPr>
        <w:t>.</w:t>
      </w:r>
      <w:r>
        <w:rPr>
          <w:spacing w:val="28"/>
          <w:sz w:val="19"/>
        </w:rPr>
        <w:t> </w:t>
      </w:r>
      <w:r>
        <w:rPr>
          <w:sz w:val="19"/>
        </w:rPr>
        <w:t>Edited</w:t>
      </w:r>
      <w:r>
        <w:rPr>
          <w:spacing w:val="32"/>
          <w:sz w:val="19"/>
        </w:rPr>
        <w:t> </w:t>
      </w:r>
      <w:r>
        <w:rPr>
          <w:sz w:val="19"/>
        </w:rPr>
        <w:t>by</w:t>
      </w:r>
      <w:r>
        <w:rPr>
          <w:spacing w:val="22"/>
          <w:sz w:val="19"/>
        </w:rPr>
        <w:t> </w:t>
      </w:r>
      <w:r>
        <w:rPr>
          <w:sz w:val="19"/>
        </w:rPr>
        <w:t>Michael</w:t>
      </w:r>
      <w:r>
        <w:rPr>
          <w:spacing w:val="30"/>
          <w:sz w:val="19"/>
        </w:rPr>
        <w:t> </w:t>
      </w:r>
      <w:r>
        <w:rPr>
          <w:sz w:val="19"/>
        </w:rPr>
        <w:t>Neill,</w:t>
      </w:r>
      <w:r>
        <w:rPr>
          <w:spacing w:val="30"/>
          <w:sz w:val="19"/>
        </w:rPr>
        <w:t> </w:t>
      </w:r>
      <w:r>
        <w:rPr>
          <w:sz w:val="19"/>
        </w:rPr>
        <w:t>Oxford</w:t>
      </w:r>
      <w:r>
        <w:rPr>
          <w:spacing w:val="32"/>
          <w:sz w:val="19"/>
        </w:rPr>
        <w:t> </w:t>
      </w:r>
      <w:r>
        <w:rPr>
          <w:sz w:val="19"/>
        </w:rPr>
        <w:t>University</w:t>
      </w:r>
      <w:r>
        <w:rPr>
          <w:spacing w:val="24"/>
          <w:sz w:val="19"/>
        </w:rPr>
        <w:t> </w:t>
      </w:r>
      <w:r>
        <w:rPr>
          <w:sz w:val="19"/>
        </w:rPr>
        <w:t>Press, </w:t>
      </w:r>
      <w:r>
        <w:rPr>
          <w:spacing w:val="-2"/>
          <w:sz w:val="19"/>
        </w:rPr>
        <w:t>2006.</w:t>
      </w:r>
    </w:p>
    <w:p>
      <w:pPr>
        <w:pStyle w:val="ListParagraph"/>
        <w:numPr>
          <w:ilvl w:val="0"/>
          <w:numId w:val="15"/>
        </w:numPr>
        <w:tabs>
          <w:tab w:pos="2157" w:val="left" w:leader="none"/>
          <w:tab w:pos="2160" w:val="left" w:leader="none"/>
        </w:tabs>
        <w:spacing w:line="261" w:lineRule="auto" w:before="54" w:after="0"/>
        <w:ind w:left="2160" w:right="1438" w:hanging="315"/>
        <w:jc w:val="left"/>
        <w:rPr>
          <w:sz w:val="19"/>
        </w:rPr>
      </w:pPr>
      <w:r>
        <w:rPr>
          <w:spacing w:val="13"/>
          <w:sz w:val="19"/>
        </w:rPr>
        <w:t>—</w:t>
      </w:r>
      <w:r>
        <w:rPr>
          <w:sz w:val="19"/>
        </w:rPr>
        <w:t>.</w:t>
      </w:r>
      <w:r>
        <w:rPr>
          <w:spacing w:val="40"/>
          <w:sz w:val="19"/>
        </w:rPr>
        <w:t> </w:t>
      </w:r>
      <w:r>
        <w:rPr>
          <w:i/>
          <w:sz w:val="19"/>
        </w:rPr>
        <w:t>Titus</w:t>
      </w:r>
      <w:r>
        <w:rPr>
          <w:i/>
          <w:spacing w:val="40"/>
          <w:sz w:val="19"/>
        </w:rPr>
        <w:t> </w:t>
      </w:r>
      <w:r>
        <w:rPr>
          <w:i/>
          <w:spacing w:val="10"/>
          <w:sz w:val="19"/>
        </w:rPr>
        <w:t>Andronicus</w:t>
      </w:r>
      <w:r>
        <w:rPr>
          <w:spacing w:val="10"/>
          <w:sz w:val="19"/>
        </w:rPr>
        <w:t>.</w:t>
      </w:r>
      <w:r>
        <w:rPr>
          <w:spacing w:val="40"/>
          <w:sz w:val="19"/>
        </w:rPr>
        <w:t> </w:t>
      </w:r>
      <w:r>
        <w:rPr>
          <w:spacing w:val="10"/>
          <w:sz w:val="19"/>
        </w:rPr>
        <w:t>Edited</w:t>
      </w:r>
      <w:r>
        <w:rPr>
          <w:spacing w:val="40"/>
          <w:sz w:val="19"/>
        </w:rPr>
        <w:t> </w:t>
      </w:r>
      <w:r>
        <w:rPr>
          <w:sz w:val="19"/>
        </w:rPr>
        <w:t>by</w:t>
      </w:r>
      <w:r>
        <w:rPr>
          <w:spacing w:val="40"/>
          <w:sz w:val="19"/>
        </w:rPr>
        <w:t> </w:t>
      </w:r>
      <w:r>
        <w:rPr>
          <w:spacing w:val="10"/>
          <w:sz w:val="19"/>
        </w:rPr>
        <w:t>Jonathan</w:t>
      </w:r>
      <w:r>
        <w:rPr>
          <w:spacing w:val="80"/>
          <w:sz w:val="19"/>
        </w:rPr>
        <w:t> </w:t>
      </w:r>
      <w:r>
        <w:rPr>
          <w:spacing w:val="9"/>
          <w:sz w:val="19"/>
        </w:rPr>
        <w:t>Bate,</w:t>
      </w:r>
      <w:r>
        <w:rPr>
          <w:spacing w:val="40"/>
          <w:sz w:val="19"/>
        </w:rPr>
        <w:t> </w:t>
      </w:r>
      <w:r>
        <w:rPr>
          <w:spacing w:val="9"/>
          <w:sz w:val="19"/>
        </w:rPr>
        <w:t>Arden</w:t>
      </w:r>
      <w:r>
        <w:rPr>
          <w:spacing w:val="40"/>
          <w:sz w:val="19"/>
        </w:rPr>
        <w:t> </w:t>
      </w:r>
      <w:r>
        <w:rPr>
          <w:sz w:val="19"/>
        </w:rPr>
        <w:t>Shakespeare,</w:t>
      </w:r>
      <w:r>
        <w:rPr>
          <w:spacing w:val="40"/>
          <w:sz w:val="19"/>
        </w:rPr>
        <w:t> </w:t>
      </w:r>
      <w:r>
        <w:rPr>
          <w:sz w:val="19"/>
        </w:rPr>
        <w:t>1995.</w:t>
      </w:r>
    </w:p>
    <w:p>
      <w:pPr>
        <w:pStyle w:val="ListParagraph"/>
        <w:spacing w:after="0" w:line="261" w:lineRule="auto"/>
        <w:jc w:val="left"/>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60032">
                <wp:simplePos x="0" y="0"/>
                <wp:positionH relativeFrom="page">
                  <wp:posOffset>2065020</wp:posOffset>
                </wp:positionH>
                <wp:positionV relativeFrom="paragraph">
                  <wp:posOffset>162604</wp:posOffset>
                </wp:positionV>
                <wp:extent cx="3657600" cy="12700"/>
                <wp:effectExtent l="0" t="0" r="0" b="0"/>
                <wp:wrapTopAndBottom/>
                <wp:docPr id="252" name="Graphic 252"/>
                <wp:cNvGraphicFramePr>
                  <a:graphicFrameLocks/>
                </wp:cNvGraphicFramePr>
                <a:graphic>
                  <a:graphicData uri="http://schemas.microsoft.com/office/word/2010/wordprocessingShape">
                    <wps:wsp>
                      <wps:cNvPr id="252" name="Graphic 25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56448;mso-wrap-distance-left:0;mso-wrap-distance-right:0" id="docshape248" filled="true" fillcolor="#000000" stroked="false">
                <v:fill type="solid"/>
                <w10:wrap type="topAndBottom"/>
              </v:rect>
            </w:pict>
          </mc:Fallback>
        </mc:AlternateContent>
      </w:r>
      <w:r>
        <w:rPr>
          <w:rFonts w:ascii="Verdana" w:hAnsi="Verdana"/>
          <w:sz w:val="18"/>
        </w:rPr>
        <w:t>Silence,</w:t>
      </w:r>
      <w:r>
        <w:rPr>
          <w:rFonts w:ascii="Verdana" w:hAnsi="Verdana"/>
          <w:spacing w:val="2"/>
          <w:sz w:val="18"/>
        </w:rPr>
        <w:t> </w:t>
      </w:r>
      <w:r>
        <w:rPr>
          <w:rFonts w:ascii="Verdana" w:hAnsi="Verdana"/>
          <w:sz w:val="18"/>
        </w:rPr>
        <w:t>Speech,</w:t>
      </w:r>
      <w:r>
        <w:rPr>
          <w:rFonts w:ascii="Verdana" w:hAnsi="Verdana"/>
          <w:spacing w:val="3"/>
          <w:sz w:val="18"/>
        </w:rPr>
        <w:t> </w:t>
      </w:r>
      <w:r>
        <w:rPr>
          <w:rFonts w:ascii="Verdana" w:hAnsi="Verdana"/>
          <w:sz w:val="18"/>
        </w:rPr>
        <w:t>and</w:t>
      </w:r>
      <w:r>
        <w:rPr>
          <w:rFonts w:ascii="Verdana" w:hAnsi="Verdana"/>
          <w:spacing w:val="4"/>
          <w:sz w:val="18"/>
        </w:rPr>
        <w:t> </w:t>
      </w:r>
      <w:r>
        <w:rPr>
          <w:rFonts w:ascii="Verdana" w:hAnsi="Verdana"/>
          <w:sz w:val="18"/>
        </w:rPr>
        <w:t>Revenge:</w:t>
      </w:r>
      <w:r>
        <w:rPr>
          <w:rFonts w:ascii="Verdana" w:hAnsi="Verdana"/>
          <w:spacing w:val="4"/>
          <w:sz w:val="18"/>
        </w:rPr>
        <w:t> </w:t>
      </w:r>
      <w:r>
        <w:rPr>
          <w:rFonts w:ascii="Verdana" w:hAnsi="Verdana"/>
          <w:sz w:val="18"/>
        </w:rPr>
        <w:t>Women’s</w:t>
      </w:r>
      <w:r>
        <w:rPr>
          <w:rFonts w:ascii="Verdana" w:hAnsi="Verdana"/>
          <w:spacing w:val="4"/>
          <w:sz w:val="18"/>
        </w:rPr>
        <w:t> </w:t>
      </w:r>
      <w:r>
        <w:rPr>
          <w:rFonts w:ascii="Verdana" w:hAnsi="Verdana"/>
          <w:sz w:val="18"/>
        </w:rPr>
        <w:t>Responses</w:t>
      </w:r>
      <w:r>
        <w:rPr>
          <w:rFonts w:ascii="Verdana" w:hAnsi="Verdana"/>
          <w:spacing w:val="3"/>
          <w:sz w:val="18"/>
        </w:rPr>
        <w:t> </w:t>
      </w:r>
      <w:r>
        <w:rPr>
          <w:rFonts w:ascii="Verdana" w:hAnsi="Verdana"/>
          <w:spacing w:val="-2"/>
          <w:sz w:val="18"/>
        </w:rPr>
        <w:t>to...</w:t>
      </w:r>
      <w:r>
        <w:rPr>
          <w:rFonts w:ascii="Verdana" w:hAnsi="Verdana"/>
          <w:sz w:val="18"/>
        </w:rPr>
        <w:tab/>
      </w:r>
      <w:r>
        <w:rPr>
          <w:rFonts w:ascii="Verdana" w:hAnsi="Verdana"/>
          <w:spacing w:val="-5"/>
          <w:sz w:val="18"/>
        </w:rPr>
        <w:t>75</w:t>
      </w:r>
    </w:p>
    <w:p>
      <w:pPr>
        <w:pStyle w:val="ListParagraph"/>
        <w:numPr>
          <w:ilvl w:val="0"/>
          <w:numId w:val="15"/>
        </w:numPr>
        <w:tabs>
          <w:tab w:pos="2157" w:val="left" w:leader="none"/>
          <w:tab w:pos="2160" w:val="left" w:leader="none"/>
        </w:tabs>
        <w:spacing w:line="261" w:lineRule="auto" w:before="199" w:after="0"/>
        <w:ind w:left="2160" w:right="1439" w:hanging="315"/>
        <w:jc w:val="left"/>
        <w:rPr>
          <w:sz w:val="19"/>
        </w:rPr>
      </w:pPr>
      <w:r>
        <w:rPr>
          <w:sz w:val="19"/>
        </w:rPr>
        <w:t>—.</w:t>
      </w:r>
      <w:r>
        <w:rPr>
          <w:spacing w:val="40"/>
          <w:sz w:val="19"/>
        </w:rPr>
        <w:t> </w:t>
      </w:r>
      <w:r>
        <w:rPr>
          <w:i/>
          <w:sz w:val="19"/>
        </w:rPr>
        <w:t>King</w:t>
      </w:r>
      <w:r>
        <w:rPr>
          <w:i/>
          <w:spacing w:val="40"/>
          <w:sz w:val="19"/>
        </w:rPr>
        <w:t> </w:t>
      </w:r>
      <w:r>
        <w:rPr>
          <w:i/>
          <w:sz w:val="19"/>
        </w:rPr>
        <w:t>Lear</w:t>
      </w:r>
      <w:r>
        <w:rPr>
          <w:sz w:val="19"/>
        </w:rPr>
        <w:t>.</w:t>
      </w:r>
      <w:r>
        <w:rPr>
          <w:spacing w:val="40"/>
          <w:sz w:val="19"/>
        </w:rPr>
        <w:t> </w:t>
      </w:r>
      <w:r>
        <w:rPr>
          <w:sz w:val="19"/>
        </w:rPr>
        <w:t>Edited</w:t>
      </w:r>
      <w:r>
        <w:rPr>
          <w:spacing w:val="40"/>
          <w:sz w:val="19"/>
        </w:rPr>
        <w:t> </w:t>
      </w:r>
      <w:r>
        <w:rPr>
          <w:sz w:val="19"/>
        </w:rPr>
        <w:t>by</w:t>
      </w:r>
      <w:r>
        <w:rPr>
          <w:spacing w:val="40"/>
          <w:sz w:val="19"/>
        </w:rPr>
        <w:t> </w:t>
      </w:r>
      <w:r>
        <w:rPr>
          <w:sz w:val="19"/>
        </w:rPr>
        <w:t>R.</w:t>
      </w:r>
      <w:r>
        <w:rPr>
          <w:spacing w:val="40"/>
          <w:sz w:val="19"/>
        </w:rPr>
        <w:t> </w:t>
      </w:r>
      <w:r>
        <w:rPr>
          <w:sz w:val="19"/>
        </w:rPr>
        <w:t>A.</w:t>
      </w:r>
      <w:r>
        <w:rPr>
          <w:spacing w:val="40"/>
          <w:sz w:val="19"/>
        </w:rPr>
        <w:t> </w:t>
      </w:r>
      <w:r>
        <w:rPr>
          <w:sz w:val="19"/>
        </w:rPr>
        <w:t>Foakes,</w:t>
      </w:r>
      <w:r>
        <w:rPr>
          <w:spacing w:val="40"/>
          <w:sz w:val="19"/>
        </w:rPr>
        <w:t> </w:t>
      </w:r>
      <w:r>
        <w:rPr>
          <w:sz w:val="19"/>
        </w:rPr>
        <w:t>Arden</w:t>
      </w:r>
      <w:r>
        <w:rPr>
          <w:spacing w:val="40"/>
          <w:sz w:val="19"/>
        </w:rPr>
        <w:t> </w:t>
      </w:r>
      <w:r>
        <w:rPr>
          <w:sz w:val="19"/>
        </w:rPr>
        <w:t>Shakespeare, </w:t>
      </w:r>
      <w:r>
        <w:rPr>
          <w:spacing w:val="-2"/>
          <w:sz w:val="19"/>
        </w:rPr>
        <w:t>1997.</w:t>
      </w:r>
    </w:p>
    <w:p>
      <w:pPr>
        <w:pStyle w:val="ListParagraph"/>
        <w:numPr>
          <w:ilvl w:val="0"/>
          <w:numId w:val="15"/>
        </w:numPr>
        <w:tabs>
          <w:tab w:pos="2157" w:val="left" w:leader="none"/>
        </w:tabs>
        <w:spacing w:line="240" w:lineRule="auto" w:before="57" w:after="0"/>
        <w:ind w:left="2157" w:right="0" w:hanging="312"/>
        <w:jc w:val="left"/>
        <w:rPr>
          <w:sz w:val="19"/>
        </w:rPr>
      </w:pPr>
      <w:r>
        <w:rPr>
          <w:sz w:val="19"/>
        </w:rPr>
        <w:t>Belsey,</w:t>
      </w:r>
      <w:r>
        <w:rPr>
          <w:spacing w:val="36"/>
          <w:sz w:val="19"/>
        </w:rPr>
        <w:t> </w:t>
      </w:r>
      <w:r>
        <w:rPr>
          <w:sz w:val="19"/>
        </w:rPr>
        <w:t>Catherine.</w:t>
      </w:r>
      <w:r>
        <w:rPr>
          <w:spacing w:val="40"/>
          <w:sz w:val="19"/>
        </w:rPr>
        <w:t> </w:t>
      </w:r>
      <w:r>
        <w:rPr>
          <w:i/>
          <w:sz w:val="19"/>
        </w:rPr>
        <w:t>The</w:t>
      </w:r>
      <w:r>
        <w:rPr>
          <w:i/>
          <w:spacing w:val="36"/>
          <w:sz w:val="19"/>
        </w:rPr>
        <w:t> </w:t>
      </w:r>
      <w:r>
        <w:rPr>
          <w:i/>
          <w:sz w:val="19"/>
        </w:rPr>
        <w:t>Subject</w:t>
      </w:r>
      <w:r>
        <w:rPr>
          <w:i/>
          <w:spacing w:val="36"/>
          <w:sz w:val="19"/>
        </w:rPr>
        <w:t> </w:t>
      </w:r>
      <w:r>
        <w:rPr>
          <w:i/>
          <w:sz w:val="19"/>
        </w:rPr>
        <w:t>of</w:t>
      </w:r>
      <w:r>
        <w:rPr>
          <w:i/>
          <w:spacing w:val="37"/>
          <w:sz w:val="19"/>
        </w:rPr>
        <w:t> </w:t>
      </w:r>
      <w:r>
        <w:rPr>
          <w:i/>
          <w:sz w:val="19"/>
        </w:rPr>
        <w:t>Tragedy</w:t>
      </w:r>
      <w:r>
        <w:rPr>
          <w:sz w:val="19"/>
        </w:rPr>
        <w:t>.</w:t>
      </w:r>
      <w:r>
        <w:rPr>
          <w:spacing w:val="38"/>
          <w:sz w:val="19"/>
        </w:rPr>
        <w:t> </w:t>
      </w:r>
      <w:r>
        <w:rPr>
          <w:sz w:val="19"/>
        </w:rPr>
        <w:t>Routledge,</w:t>
      </w:r>
      <w:r>
        <w:rPr>
          <w:spacing w:val="36"/>
          <w:sz w:val="19"/>
        </w:rPr>
        <w:t> </w:t>
      </w:r>
      <w:r>
        <w:rPr>
          <w:spacing w:val="-2"/>
          <w:sz w:val="19"/>
        </w:rPr>
        <w:t>1985.</w:t>
      </w:r>
    </w:p>
    <w:p>
      <w:pPr>
        <w:pStyle w:val="ListParagraph"/>
        <w:numPr>
          <w:ilvl w:val="0"/>
          <w:numId w:val="15"/>
        </w:numPr>
        <w:tabs>
          <w:tab w:pos="2157" w:val="left" w:leader="none"/>
        </w:tabs>
        <w:spacing w:line="240" w:lineRule="auto" w:before="79" w:after="0"/>
        <w:ind w:left="2157" w:right="0" w:hanging="312"/>
        <w:jc w:val="left"/>
        <w:rPr>
          <w:sz w:val="19"/>
        </w:rPr>
      </w:pPr>
      <w:r>
        <w:rPr>
          <w:sz w:val="19"/>
        </w:rPr>
        <w:t>Butler,</w:t>
      </w:r>
      <w:r>
        <w:rPr>
          <w:spacing w:val="36"/>
          <w:sz w:val="19"/>
        </w:rPr>
        <w:t> </w:t>
      </w:r>
      <w:r>
        <w:rPr>
          <w:sz w:val="19"/>
        </w:rPr>
        <w:t>Judith.</w:t>
      </w:r>
      <w:r>
        <w:rPr>
          <w:spacing w:val="38"/>
          <w:sz w:val="19"/>
        </w:rPr>
        <w:t> </w:t>
      </w:r>
      <w:r>
        <w:rPr>
          <w:i/>
          <w:sz w:val="19"/>
        </w:rPr>
        <w:t>Gender</w:t>
      </w:r>
      <w:r>
        <w:rPr>
          <w:i/>
          <w:spacing w:val="39"/>
          <w:sz w:val="19"/>
        </w:rPr>
        <w:t> </w:t>
      </w:r>
      <w:r>
        <w:rPr>
          <w:i/>
          <w:sz w:val="19"/>
        </w:rPr>
        <w:t>Trouble</w:t>
      </w:r>
      <w:r>
        <w:rPr>
          <w:sz w:val="19"/>
        </w:rPr>
        <w:t>.</w:t>
      </w:r>
      <w:r>
        <w:rPr>
          <w:spacing w:val="37"/>
          <w:sz w:val="19"/>
        </w:rPr>
        <w:t> </w:t>
      </w:r>
      <w:r>
        <w:rPr>
          <w:sz w:val="19"/>
        </w:rPr>
        <w:t>Routledge,</w:t>
      </w:r>
      <w:r>
        <w:rPr>
          <w:spacing w:val="38"/>
          <w:sz w:val="19"/>
        </w:rPr>
        <w:t> </w:t>
      </w:r>
      <w:r>
        <w:rPr>
          <w:spacing w:val="-4"/>
          <w:sz w:val="19"/>
        </w:rPr>
        <w:t>1990.</w:t>
      </w:r>
    </w:p>
    <w:p>
      <w:pPr>
        <w:pStyle w:val="ListParagraph"/>
        <w:numPr>
          <w:ilvl w:val="0"/>
          <w:numId w:val="15"/>
        </w:numPr>
        <w:tabs>
          <w:tab w:pos="2157" w:val="left" w:leader="none"/>
          <w:tab w:pos="2160" w:val="left" w:leader="none"/>
        </w:tabs>
        <w:spacing w:line="261" w:lineRule="auto" w:before="76" w:after="0"/>
        <w:ind w:left="2160" w:right="1443" w:hanging="315"/>
        <w:jc w:val="both"/>
        <w:rPr>
          <w:sz w:val="19"/>
        </w:rPr>
      </w:pPr>
      <w:r>
        <w:rPr>
          <w:sz w:val="19"/>
        </w:rPr>
        <w:t>Caruth, Cathy. </w:t>
      </w:r>
      <w:r>
        <w:rPr>
          <w:i/>
          <w:sz w:val="19"/>
        </w:rPr>
        <w:t>Unclaimed Experience: Trauma, Narrative, and History</w:t>
      </w:r>
      <w:r>
        <w:rPr>
          <w:sz w:val="19"/>
        </w:rPr>
        <w:t>.</w:t>
      </w:r>
      <w:r>
        <w:rPr>
          <w:spacing w:val="40"/>
          <w:sz w:val="19"/>
        </w:rPr>
        <w:t> </w:t>
      </w:r>
      <w:r>
        <w:rPr>
          <w:sz w:val="19"/>
        </w:rPr>
        <w:t>Johns</w:t>
      </w:r>
      <w:r>
        <w:rPr>
          <w:spacing w:val="40"/>
          <w:sz w:val="19"/>
        </w:rPr>
        <w:t> </w:t>
      </w:r>
      <w:r>
        <w:rPr>
          <w:sz w:val="19"/>
        </w:rPr>
        <w:t>Hopkins</w:t>
      </w:r>
      <w:r>
        <w:rPr>
          <w:spacing w:val="40"/>
          <w:sz w:val="19"/>
        </w:rPr>
        <w:t> </w:t>
      </w:r>
      <w:r>
        <w:rPr>
          <w:sz w:val="19"/>
        </w:rPr>
        <w:t>University</w:t>
      </w:r>
      <w:r>
        <w:rPr>
          <w:spacing w:val="40"/>
          <w:sz w:val="19"/>
        </w:rPr>
        <w:t> </w:t>
      </w:r>
      <w:r>
        <w:rPr>
          <w:sz w:val="19"/>
        </w:rPr>
        <w:t>Press,</w:t>
      </w:r>
      <w:r>
        <w:rPr>
          <w:spacing w:val="40"/>
          <w:sz w:val="19"/>
        </w:rPr>
        <w:t> </w:t>
      </w:r>
      <w:r>
        <w:rPr>
          <w:sz w:val="19"/>
        </w:rPr>
        <w:t>1996.</w:t>
      </w:r>
    </w:p>
    <w:p>
      <w:pPr>
        <w:pStyle w:val="ListParagraph"/>
        <w:numPr>
          <w:ilvl w:val="0"/>
          <w:numId w:val="15"/>
        </w:numPr>
        <w:tabs>
          <w:tab w:pos="2157" w:val="left" w:leader="none"/>
          <w:tab w:pos="2160" w:val="left" w:leader="none"/>
        </w:tabs>
        <w:spacing w:line="261" w:lineRule="auto" w:before="59" w:after="0"/>
        <w:ind w:left="2160" w:right="1439" w:hanging="315"/>
        <w:jc w:val="both"/>
        <w:rPr>
          <w:sz w:val="19"/>
        </w:rPr>
      </w:pPr>
      <w:r>
        <w:rPr>
          <w:sz w:val="19"/>
        </w:rPr>
        <w:t>Cixous,</w:t>
      </w:r>
      <w:r>
        <w:rPr>
          <w:spacing w:val="22"/>
          <w:sz w:val="19"/>
        </w:rPr>
        <w:t> </w:t>
      </w:r>
      <w:r>
        <w:rPr>
          <w:sz w:val="19"/>
        </w:rPr>
        <w:t>Hélène.</w:t>
      </w:r>
      <w:r>
        <w:rPr>
          <w:spacing w:val="22"/>
          <w:sz w:val="19"/>
        </w:rPr>
        <w:t> </w:t>
      </w:r>
      <w:r>
        <w:rPr>
          <w:sz w:val="19"/>
        </w:rPr>
        <w:t>“The</w:t>
      </w:r>
      <w:r>
        <w:rPr>
          <w:spacing w:val="23"/>
          <w:sz w:val="19"/>
        </w:rPr>
        <w:t> </w:t>
      </w:r>
      <w:r>
        <w:rPr>
          <w:sz w:val="19"/>
        </w:rPr>
        <w:t>Laugh</w:t>
      </w:r>
      <w:r>
        <w:rPr>
          <w:spacing w:val="22"/>
          <w:sz w:val="19"/>
        </w:rPr>
        <w:t> </w:t>
      </w:r>
      <w:r>
        <w:rPr>
          <w:sz w:val="19"/>
        </w:rPr>
        <w:t>of</w:t>
      </w:r>
      <w:r>
        <w:rPr>
          <w:spacing w:val="24"/>
          <w:sz w:val="19"/>
        </w:rPr>
        <w:t> </w:t>
      </w:r>
      <w:r>
        <w:rPr>
          <w:sz w:val="19"/>
        </w:rPr>
        <w:t>the</w:t>
      </w:r>
      <w:r>
        <w:rPr>
          <w:spacing w:val="22"/>
          <w:sz w:val="19"/>
        </w:rPr>
        <w:t> </w:t>
      </w:r>
      <w:r>
        <w:rPr>
          <w:sz w:val="19"/>
        </w:rPr>
        <w:t>Medusa.”</w:t>
      </w:r>
      <w:r>
        <w:rPr>
          <w:spacing w:val="25"/>
          <w:sz w:val="19"/>
        </w:rPr>
        <w:t> </w:t>
      </w:r>
      <w:r>
        <w:rPr>
          <w:i/>
          <w:sz w:val="19"/>
        </w:rPr>
        <w:t>Signs</w:t>
      </w:r>
      <w:r>
        <w:rPr>
          <w:sz w:val="19"/>
        </w:rPr>
        <w:t>,</w:t>
      </w:r>
      <w:r>
        <w:rPr>
          <w:spacing w:val="24"/>
          <w:sz w:val="19"/>
        </w:rPr>
        <w:t> </w:t>
      </w:r>
      <w:r>
        <w:rPr>
          <w:sz w:val="19"/>
        </w:rPr>
        <w:t>vol.</w:t>
      </w:r>
      <w:r>
        <w:rPr>
          <w:spacing w:val="24"/>
          <w:sz w:val="19"/>
        </w:rPr>
        <w:t> </w:t>
      </w:r>
      <w:r>
        <w:rPr>
          <w:sz w:val="19"/>
        </w:rPr>
        <w:t>1,</w:t>
      </w:r>
      <w:r>
        <w:rPr>
          <w:spacing w:val="24"/>
          <w:sz w:val="19"/>
        </w:rPr>
        <w:t> </w:t>
      </w:r>
      <w:r>
        <w:rPr>
          <w:sz w:val="19"/>
        </w:rPr>
        <w:t>no. 4, 1976, pp. 875–893.</w:t>
      </w:r>
    </w:p>
    <w:p>
      <w:pPr>
        <w:pStyle w:val="ListParagraph"/>
        <w:numPr>
          <w:ilvl w:val="0"/>
          <w:numId w:val="15"/>
        </w:numPr>
        <w:tabs>
          <w:tab w:pos="2157" w:val="left" w:leader="none"/>
          <w:tab w:pos="2160" w:val="left" w:leader="none"/>
        </w:tabs>
        <w:spacing w:line="261" w:lineRule="auto" w:before="57" w:after="0"/>
        <w:ind w:left="2160" w:right="1438" w:hanging="315"/>
        <w:jc w:val="both"/>
        <w:rPr>
          <w:sz w:val="19"/>
        </w:rPr>
      </w:pPr>
      <w:r>
        <w:rPr>
          <w:spacing w:val="9"/>
          <w:sz w:val="19"/>
        </w:rPr>
        <w:t>Kahn,</w:t>
      </w:r>
      <w:r>
        <w:rPr>
          <w:spacing w:val="9"/>
          <w:sz w:val="19"/>
        </w:rPr>
        <w:t> </w:t>
      </w:r>
      <w:r>
        <w:rPr>
          <w:spacing w:val="10"/>
          <w:sz w:val="19"/>
        </w:rPr>
        <w:t>Coppélia.</w:t>
      </w:r>
      <w:r>
        <w:rPr>
          <w:spacing w:val="10"/>
          <w:sz w:val="19"/>
        </w:rPr>
        <w:t> </w:t>
      </w:r>
      <w:r>
        <w:rPr>
          <w:i/>
          <w:sz w:val="19"/>
        </w:rPr>
        <w:t>Man’s </w:t>
      </w:r>
      <w:r>
        <w:rPr>
          <w:i/>
          <w:spacing w:val="10"/>
          <w:sz w:val="19"/>
        </w:rPr>
        <w:t>Estate: </w:t>
      </w:r>
      <w:r>
        <w:rPr>
          <w:i/>
          <w:spacing w:val="11"/>
          <w:sz w:val="19"/>
        </w:rPr>
        <w:t>Masculine </w:t>
      </w:r>
      <w:r>
        <w:rPr>
          <w:i/>
          <w:spacing w:val="10"/>
          <w:sz w:val="19"/>
        </w:rPr>
        <w:t>Identity </w:t>
      </w:r>
      <w:r>
        <w:rPr>
          <w:i/>
          <w:sz w:val="19"/>
        </w:rPr>
        <w:t>in Shakespeare</w:t>
      </w:r>
      <w:r>
        <w:rPr>
          <w:sz w:val="19"/>
        </w:rPr>
        <w:t>.</w:t>
      </w:r>
      <w:r>
        <w:rPr>
          <w:spacing w:val="40"/>
          <w:sz w:val="19"/>
        </w:rPr>
        <w:t> </w:t>
      </w:r>
      <w:r>
        <w:rPr>
          <w:sz w:val="19"/>
        </w:rPr>
        <w:t>University</w:t>
      </w:r>
      <w:r>
        <w:rPr>
          <w:spacing w:val="40"/>
          <w:sz w:val="19"/>
        </w:rPr>
        <w:t> </w:t>
      </w:r>
      <w:r>
        <w:rPr>
          <w:sz w:val="19"/>
        </w:rPr>
        <w:t>of</w:t>
      </w:r>
      <w:r>
        <w:rPr>
          <w:spacing w:val="40"/>
          <w:sz w:val="19"/>
        </w:rPr>
        <w:t> </w:t>
      </w:r>
      <w:r>
        <w:rPr>
          <w:sz w:val="19"/>
        </w:rPr>
        <w:t>California</w:t>
      </w:r>
      <w:r>
        <w:rPr>
          <w:spacing w:val="40"/>
          <w:sz w:val="19"/>
        </w:rPr>
        <w:t> </w:t>
      </w:r>
      <w:r>
        <w:rPr>
          <w:sz w:val="19"/>
        </w:rPr>
        <w:t>Press,</w:t>
      </w:r>
      <w:r>
        <w:rPr>
          <w:spacing w:val="40"/>
          <w:sz w:val="19"/>
        </w:rPr>
        <w:t> </w:t>
      </w:r>
      <w:r>
        <w:rPr>
          <w:sz w:val="19"/>
        </w:rPr>
        <w:t>1981.</w:t>
      </w:r>
    </w:p>
    <w:p>
      <w:pPr>
        <w:pStyle w:val="ListParagraph"/>
        <w:numPr>
          <w:ilvl w:val="0"/>
          <w:numId w:val="15"/>
        </w:numPr>
        <w:tabs>
          <w:tab w:pos="2157" w:val="left" w:leader="none"/>
          <w:tab w:pos="2160" w:val="left" w:leader="none"/>
        </w:tabs>
        <w:spacing w:line="261" w:lineRule="auto" w:before="59" w:after="0"/>
        <w:ind w:left="2160" w:right="1438" w:hanging="406"/>
        <w:jc w:val="both"/>
        <w:rPr>
          <w:sz w:val="19"/>
        </w:rPr>
      </w:pPr>
      <w:r>
        <w:rPr>
          <w:sz w:val="19"/>
        </w:rPr>
        <w:t>Showalter, Elaine. “Representing Ophelia: Women, Madness,</w:t>
      </w:r>
      <w:r>
        <w:rPr>
          <w:spacing w:val="80"/>
          <w:sz w:val="19"/>
        </w:rPr>
        <w:t> </w:t>
      </w:r>
      <w:r>
        <w:rPr>
          <w:sz w:val="19"/>
        </w:rPr>
        <w:t>and</w:t>
      </w:r>
      <w:r>
        <w:rPr>
          <w:spacing w:val="40"/>
          <w:sz w:val="19"/>
        </w:rPr>
        <w:t> </w:t>
      </w:r>
      <w:r>
        <w:rPr>
          <w:sz w:val="19"/>
        </w:rPr>
        <w:t>the</w:t>
      </w:r>
      <w:r>
        <w:rPr>
          <w:spacing w:val="40"/>
          <w:sz w:val="19"/>
        </w:rPr>
        <w:t> </w:t>
      </w:r>
      <w:r>
        <w:rPr>
          <w:sz w:val="19"/>
        </w:rPr>
        <w:t>Responsibilities</w:t>
      </w:r>
      <w:r>
        <w:rPr>
          <w:spacing w:val="40"/>
          <w:sz w:val="19"/>
        </w:rPr>
        <w:t> </w:t>
      </w:r>
      <w:r>
        <w:rPr>
          <w:sz w:val="19"/>
        </w:rPr>
        <w:t>of</w:t>
      </w:r>
      <w:r>
        <w:rPr>
          <w:spacing w:val="40"/>
          <w:sz w:val="19"/>
        </w:rPr>
        <w:t> </w:t>
      </w:r>
      <w:r>
        <w:rPr>
          <w:sz w:val="19"/>
        </w:rPr>
        <w:t>Feminist</w:t>
      </w:r>
      <w:r>
        <w:rPr>
          <w:spacing w:val="40"/>
          <w:sz w:val="19"/>
        </w:rPr>
        <w:t> </w:t>
      </w:r>
      <w:r>
        <w:rPr>
          <w:sz w:val="19"/>
        </w:rPr>
        <w:t>Criticism.”</w:t>
      </w:r>
      <w:r>
        <w:rPr>
          <w:spacing w:val="40"/>
          <w:sz w:val="19"/>
        </w:rPr>
        <w:t> </w:t>
      </w:r>
      <w:r>
        <w:rPr>
          <w:i/>
          <w:sz w:val="19"/>
        </w:rPr>
        <w:t>Shakespeare and</w:t>
      </w:r>
      <w:r>
        <w:rPr>
          <w:i/>
          <w:spacing w:val="40"/>
          <w:sz w:val="19"/>
        </w:rPr>
        <w:t> </w:t>
      </w:r>
      <w:r>
        <w:rPr>
          <w:i/>
          <w:sz w:val="19"/>
        </w:rPr>
        <w:t>the</w:t>
      </w:r>
      <w:r>
        <w:rPr>
          <w:i/>
          <w:spacing w:val="40"/>
          <w:sz w:val="19"/>
        </w:rPr>
        <w:t> </w:t>
      </w:r>
      <w:r>
        <w:rPr>
          <w:i/>
          <w:sz w:val="19"/>
        </w:rPr>
        <w:t>Question</w:t>
      </w:r>
      <w:r>
        <w:rPr>
          <w:i/>
          <w:spacing w:val="40"/>
          <w:sz w:val="19"/>
        </w:rPr>
        <w:t> </w:t>
      </w:r>
      <w:r>
        <w:rPr>
          <w:i/>
          <w:sz w:val="19"/>
        </w:rPr>
        <w:t>of</w:t>
      </w:r>
      <w:r>
        <w:rPr>
          <w:i/>
          <w:spacing w:val="40"/>
          <w:sz w:val="19"/>
        </w:rPr>
        <w:t> </w:t>
      </w:r>
      <w:r>
        <w:rPr>
          <w:i/>
          <w:sz w:val="19"/>
        </w:rPr>
        <w:t>Theory</w:t>
      </w:r>
      <w:r>
        <w:rPr>
          <w:sz w:val="19"/>
        </w:rPr>
        <w:t>,</w:t>
      </w:r>
      <w:r>
        <w:rPr>
          <w:spacing w:val="40"/>
          <w:sz w:val="19"/>
        </w:rPr>
        <w:t> </w:t>
      </w:r>
      <w:r>
        <w:rPr>
          <w:sz w:val="19"/>
        </w:rPr>
        <w:t>Routledge,</w:t>
      </w:r>
      <w:r>
        <w:rPr>
          <w:spacing w:val="40"/>
          <w:sz w:val="19"/>
        </w:rPr>
        <w:t> </w:t>
      </w:r>
      <w:r>
        <w:rPr>
          <w:sz w:val="19"/>
        </w:rPr>
        <w:t>1985.</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25216">
                <wp:simplePos x="0" y="0"/>
                <wp:positionH relativeFrom="page">
                  <wp:posOffset>2057400</wp:posOffset>
                </wp:positionH>
                <wp:positionV relativeFrom="page">
                  <wp:posOffset>1788723</wp:posOffset>
                </wp:positionV>
                <wp:extent cx="3656965" cy="140335"/>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76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491264" type="#_x0000_t202" id="docshape249"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76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spacing w:before="216"/>
        <w:ind w:left="0"/>
      </w:pPr>
    </w:p>
    <w:p>
      <w:pPr>
        <w:spacing w:line="240" w:lineRule="auto"/>
        <w:ind w:left="1072" w:right="0" w:firstLine="0"/>
        <w:rPr>
          <w:sz w:val="20"/>
        </w:rPr>
      </w:pPr>
      <w:r>
        <w:rPr>
          <w:sz w:val="20"/>
        </w:rPr>
        <mc:AlternateContent>
          <mc:Choice Requires="wps">
            <w:drawing>
              <wp:inline distT="0" distB="0" distL="0" distR="0">
                <wp:extent cx="4043679" cy="699770"/>
                <wp:effectExtent l="0" t="0" r="0" b="0"/>
                <wp:docPr id="254" name="Group 254"/>
                <wp:cNvGraphicFramePr>
                  <a:graphicFrameLocks/>
                </wp:cNvGraphicFramePr>
                <a:graphic>
                  <a:graphicData uri="http://schemas.microsoft.com/office/word/2010/wordprocessingGroup">
                    <wpg:wgp>
                      <wpg:cNvPr id="254" name="Group 254"/>
                      <wpg:cNvGrpSpPr/>
                      <wpg:grpSpPr>
                        <a:xfrm>
                          <a:off x="0" y="0"/>
                          <a:ext cx="4043679" cy="699770"/>
                          <a:chExt cx="4043679" cy="699770"/>
                        </a:xfrm>
                      </wpg:grpSpPr>
                      <wps:wsp>
                        <wps:cNvPr id="255" name="Graphic 255"/>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250" coordorigin="0,0" coordsize="6368,1102">
                <v:rect style="position:absolute;left:0;top:0;width:6368;height:1102" id="docshape251"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61056">
                <wp:simplePos x="0" y="0"/>
                <wp:positionH relativeFrom="page">
                  <wp:posOffset>3493008</wp:posOffset>
                </wp:positionH>
                <wp:positionV relativeFrom="paragraph">
                  <wp:posOffset>272923</wp:posOffset>
                </wp:positionV>
                <wp:extent cx="727075" cy="655320"/>
                <wp:effectExtent l="0" t="0" r="0" b="0"/>
                <wp:wrapTopAndBottom/>
                <wp:docPr id="256" name="Group 256"/>
                <wp:cNvGraphicFramePr>
                  <a:graphicFrameLocks/>
                </wp:cNvGraphicFramePr>
                <a:graphic>
                  <a:graphicData uri="http://schemas.microsoft.com/office/word/2010/wordprocessingGroup">
                    <wpg:wgp>
                      <wpg:cNvPr id="256" name="Group 256"/>
                      <wpg:cNvGrpSpPr/>
                      <wpg:grpSpPr>
                        <a:xfrm>
                          <a:off x="0" y="0"/>
                          <a:ext cx="727075" cy="655320"/>
                          <a:chExt cx="727075" cy="655320"/>
                        </a:xfrm>
                      </wpg:grpSpPr>
                      <pic:pic>
                        <pic:nvPicPr>
                          <pic:cNvPr id="257" name="Image 257"/>
                          <pic:cNvPicPr/>
                        </pic:nvPicPr>
                        <pic:blipFill>
                          <a:blip r:embed="rId85" cstate="print"/>
                          <a:stretch>
                            <a:fillRect/>
                          </a:stretch>
                        </pic:blipFill>
                        <pic:spPr>
                          <a:xfrm>
                            <a:off x="0" y="0"/>
                            <a:ext cx="726947" cy="655320"/>
                          </a:xfrm>
                          <a:prstGeom prst="rect">
                            <a:avLst/>
                          </a:prstGeom>
                        </pic:spPr>
                      </pic:pic>
                      <wps:wsp>
                        <wps:cNvPr id="258" name="Textbox 258"/>
                        <wps:cNvSpPr txBox="1"/>
                        <wps:spPr>
                          <a:xfrm>
                            <a:off x="0" y="0"/>
                            <a:ext cx="727075" cy="655320"/>
                          </a:xfrm>
                          <a:prstGeom prst="rect">
                            <a:avLst/>
                          </a:prstGeom>
                        </wps:spPr>
                        <wps:txbx>
                          <w:txbxContent>
                            <w:p>
                              <w:pPr>
                                <w:spacing w:before="343"/>
                                <w:ind w:left="169" w:right="67" w:firstLine="0"/>
                                <w:jc w:val="center"/>
                                <w:rPr>
                                  <w:rFonts w:ascii="Tahoma"/>
                                  <w:b/>
                                  <w:sz w:val="36"/>
                                </w:rPr>
                              </w:pPr>
                              <w:r>
                                <w:rPr>
                                  <w:rFonts w:ascii="Tahoma"/>
                                  <w:b/>
                                  <w:spacing w:val="-10"/>
                                  <w:w w:val="95"/>
                                  <w:sz w:val="36"/>
                                </w:rPr>
                                <w:t>7</w:t>
                              </w:r>
                            </w:p>
                          </w:txbxContent>
                        </wps:txbx>
                        <wps:bodyPr wrap="square" lIns="0" tIns="0" rIns="0" bIns="0" rtlCol="0">
                          <a:noAutofit/>
                        </wps:bodyPr>
                      </wps:wsp>
                    </wpg:wgp>
                  </a:graphicData>
                </a:graphic>
              </wp:anchor>
            </w:drawing>
          </mc:Choice>
          <mc:Fallback>
            <w:pict>
              <v:group style="position:absolute;margin-left:275.040009pt;margin-top:21.490002pt;width:57.25pt;height:51.6pt;mso-position-horizontal-relative:page;mso-position-vertical-relative:paragraph;z-index:-15655424;mso-wrap-distance-left:0;mso-wrap-distance-right:0" id="docshapegroup252" coordorigin="5501,430" coordsize="1145,1032">
                <v:shape style="position:absolute;left:5500;top:429;width:1145;height:1032" type="#_x0000_t75" id="docshape253" stroked="false">
                  <v:imagedata r:id="rId85" o:title=""/>
                </v:shape>
                <v:shape style="position:absolute;left:5500;top:429;width:1145;height:1032" type="#_x0000_t202" id="docshape254" filled="false" stroked="false">
                  <v:textbox inset="0,0,0,0">
                    <w:txbxContent>
                      <w:p>
                        <w:pPr>
                          <w:spacing w:before="343"/>
                          <w:ind w:left="169" w:right="67" w:firstLine="0"/>
                          <w:jc w:val="center"/>
                          <w:rPr>
                            <w:rFonts w:ascii="Tahoma"/>
                            <w:b/>
                            <w:sz w:val="36"/>
                          </w:rPr>
                        </w:pPr>
                        <w:r>
                          <w:rPr>
                            <w:rFonts w:ascii="Tahoma"/>
                            <w:b/>
                            <w:spacing w:val="-10"/>
                            <w:w w:val="95"/>
                            <w:sz w:val="36"/>
                          </w:rPr>
                          <w:t>7</w:t>
                        </w:r>
                      </w:p>
                    </w:txbxContent>
                  </v:textbox>
                  <w10:wrap type="none"/>
                </v:shape>
                <w10:wrap type="topAndBottom"/>
              </v:group>
            </w:pict>
          </mc:Fallback>
        </mc:AlternateContent>
      </w:r>
    </w:p>
    <w:p>
      <w:pPr>
        <w:pStyle w:val="Heading1"/>
        <w:spacing w:line="211" w:lineRule="auto"/>
        <w:ind w:left="1634" w:right="1641" w:firstLine="1"/>
      </w:pPr>
      <w:r>
        <w:rPr/>
        <w:t>Reclaiming Voice and Agency: </w:t>
      </w:r>
      <w:r>
        <w:rPr>
          <w:spacing w:val="-6"/>
        </w:rPr>
        <w:t>Re-reading</w:t>
      </w:r>
      <w:r>
        <w:rPr>
          <w:spacing w:val="-10"/>
        </w:rPr>
        <w:t> </w:t>
      </w:r>
      <w:r>
        <w:rPr>
          <w:spacing w:val="-6"/>
        </w:rPr>
        <w:t>Shakespeare’s</w:t>
      </w:r>
      <w:r>
        <w:rPr>
          <w:spacing w:val="-8"/>
        </w:rPr>
        <w:t> </w:t>
      </w:r>
      <w:r>
        <w:rPr>
          <w:spacing w:val="-6"/>
        </w:rPr>
        <w:t>Women</w:t>
      </w:r>
    </w:p>
    <w:p>
      <w:pPr>
        <w:tabs>
          <w:tab w:pos="1327" w:val="left" w:leader="none"/>
          <w:tab w:pos="5759" w:val="left" w:leader="none"/>
        </w:tabs>
        <w:spacing w:line="347" w:lineRule="exact" w:before="0"/>
        <w:ind w:left="0" w:right="0" w:firstLine="0"/>
        <w:jc w:val="center"/>
        <w:rPr>
          <w:rFonts w:ascii="Tahoma"/>
          <w:b/>
          <w:sz w:val="32"/>
        </w:rPr>
      </w:pPr>
      <w:r>
        <w:rPr>
          <w:sz w:val="32"/>
          <w:u w:val="single"/>
        </w:rPr>
        <w:tab/>
      </w:r>
      <w:r>
        <w:rPr>
          <w:rFonts w:ascii="Tahoma"/>
          <w:b/>
          <w:sz w:val="32"/>
          <w:u w:val="single"/>
        </w:rPr>
        <w:t>in</w:t>
      </w:r>
      <w:r>
        <w:rPr>
          <w:rFonts w:ascii="Tahoma"/>
          <w:b/>
          <w:spacing w:val="-3"/>
          <w:sz w:val="32"/>
          <w:u w:val="single"/>
        </w:rPr>
        <w:t> </w:t>
      </w:r>
      <w:r>
        <w:rPr>
          <w:rFonts w:ascii="Tahoma"/>
          <w:b/>
          <w:sz w:val="32"/>
          <w:u w:val="single"/>
        </w:rPr>
        <w:t>the</w:t>
      </w:r>
      <w:r>
        <w:rPr>
          <w:rFonts w:ascii="Tahoma"/>
          <w:b/>
          <w:spacing w:val="-4"/>
          <w:sz w:val="32"/>
          <w:u w:val="single"/>
        </w:rPr>
        <w:t> </w:t>
      </w:r>
      <w:r>
        <w:rPr>
          <w:rFonts w:ascii="Tahoma"/>
          <w:b/>
          <w:sz w:val="32"/>
          <w:u w:val="single"/>
        </w:rPr>
        <w:t># Me</w:t>
      </w:r>
      <w:r>
        <w:rPr>
          <w:rFonts w:ascii="Tahoma"/>
          <w:b/>
          <w:spacing w:val="-4"/>
          <w:sz w:val="32"/>
          <w:u w:val="single"/>
        </w:rPr>
        <w:t> </w:t>
      </w:r>
      <w:r>
        <w:rPr>
          <w:rFonts w:ascii="Tahoma"/>
          <w:b/>
          <w:sz w:val="32"/>
          <w:u w:val="single"/>
        </w:rPr>
        <w:t>Too</w:t>
      </w:r>
      <w:r>
        <w:rPr>
          <w:rFonts w:ascii="Tahoma"/>
          <w:b/>
          <w:spacing w:val="-4"/>
          <w:sz w:val="32"/>
          <w:u w:val="single"/>
        </w:rPr>
        <w:t> </w:t>
      </w:r>
      <w:r>
        <w:rPr>
          <w:rFonts w:ascii="Tahoma"/>
          <w:b/>
          <w:spacing w:val="-5"/>
          <w:sz w:val="32"/>
          <w:u w:val="single"/>
        </w:rPr>
        <w:t>Era</w:t>
      </w:r>
      <w:r>
        <w:rPr>
          <w:rFonts w:ascii="Tahoma"/>
          <w:b/>
          <w:sz w:val="32"/>
          <w:u w:val="single"/>
        </w:rPr>
        <w:tab/>
      </w:r>
    </w:p>
    <w:p>
      <w:pPr>
        <w:pStyle w:val="BodyText"/>
        <w:spacing w:before="9"/>
        <w:ind w:left="0"/>
        <w:rPr>
          <w:rFonts w:ascii="Tahoma"/>
          <w:b/>
          <w:sz w:val="5"/>
        </w:rPr>
      </w:pPr>
      <w:r>
        <w:rPr>
          <w:rFonts w:ascii="Tahoma"/>
          <w:b/>
          <w:sz w:val="5"/>
        </w:rPr>
        <mc:AlternateContent>
          <mc:Choice Requires="wps">
            <w:drawing>
              <wp:anchor distT="0" distB="0" distL="0" distR="0" allowOverlap="1" layoutInCell="1" locked="0" behindDoc="1" simplePos="0" relativeHeight="487661568">
                <wp:simplePos x="0" y="0"/>
                <wp:positionH relativeFrom="page">
                  <wp:posOffset>2057400</wp:posOffset>
                </wp:positionH>
                <wp:positionV relativeFrom="paragraph">
                  <wp:posOffset>59543</wp:posOffset>
                </wp:positionV>
                <wp:extent cx="3657600" cy="7620"/>
                <wp:effectExtent l="0" t="0" r="0" b="0"/>
                <wp:wrapTopAndBottom/>
                <wp:docPr id="259" name="Graphic 259"/>
                <wp:cNvGraphicFramePr>
                  <a:graphicFrameLocks/>
                </wp:cNvGraphicFramePr>
                <a:graphic>
                  <a:graphicData uri="http://schemas.microsoft.com/office/word/2010/wordprocessingShape">
                    <wps:wsp>
                      <wps:cNvPr id="259" name="Graphic 259"/>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688442pt;width:288.000009pt;height:.600014pt;mso-position-horizontal-relative:page;mso-position-vertical-relative:paragraph;z-index:-15654912;mso-wrap-distance-left:0;mso-wrap-distance-right:0" id="docshape255"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9"/>
        <w:jc w:val="right"/>
        <w:rPr>
          <w:rFonts w:ascii="Times New Roman"/>
        </w:rPr>
      </w:pPr>
      <w:r>
        <w:rPr>
          <w:rFonts w:ascii="Times New Roman"/>
        </w:rPr>
        <w:t>Dr.</w:t>
      </w:r>
      <w:r>
        <w:rPr>
          <w:rFonts w:ascii="Times New Roman"/>
          <w:spacing w:val="60"/>
        </w:rPr>
        <w:t> </w:t>
      </w:r>
      <w:r>
        <w:rPr>
          <w:rFonts w:ascii="Times New Roman"/>
        </w:rPr>
        <w:t>Uppala</w:t>
      </w:r>
      <w:r>
        <w:rPr>
          <w:rFonts w:ascii="Times New Roman"/>
          <w:spacing w:val="66"/>
        </w:rPr>
        <w:t> </w:t>
      </w:r>
      <w:r>
        <w:rPr>
          <w:rFonts w:ascii="Times New Roman"/>
          <w:spacing w:val="-2"/>
        </w:rPr>
        <w:t>Ramamurthy</w:t>
      </w:r>
    </w:p>
    <w:p>
      <w:pPr>
        <w:spacing w:before="15"/>
        <w:ind w:left="0" w:right="1438" w:firstLine="0"/>
        <w:jc w:val="right"/>
        <w:rPr>
          <w:i/>
          <w:sz w:val="19"/>
        </w:rPr>
      </w:pPr>
      <w:r>
        <w:rPr>
          <w:i/>
          <w:sz w:val="19"/>
        </w:rPr>
        <w:t>Associate</w:t>
      </w:r>
      <w:r>
        <w:rPr>
          <w:i/>
          <w:spacing w:val="67"/>
          <w:sz w:val="19"/>
        </w:rPr>
        <w:t> </w:t>
      </w:r>
      <w:r>
        <w:rPr>
          <w:i/>
          <w:sz w:val="19"/>
        </w:rPr>
        <w:t>Professor</w:t>
      </w:r>
      <w:r>
        <w:rPr>
          <w:i/>
          <w:spacing w:val="74"/>
          <w:sz w:val="19"/>
        </w:rPr>
        <w:t> </w:t>
      </w:r>
      <w:r>
        <w:rPr>
          <w:i/>
          <w:sz w:val="19"/>
        </w:rPr>
        <w:t>English,</w:t>
      </w:r>
      <w:r>
        <w:rPr>
          <w:i/>
          <w:spacing w:val="71"/>
          <w:sz w:val="19"/>
        </w:rPr>
        <w:t> </w:t>
      </w:r>
      <w:r>
        <w:rPr>
          <w:i/>
          <w:sz w:val="19"/>
        </w:rPr>
        <w:t>Ramireddy</w:t>
      </w:r>
      <w:r>
        <w:rPr>
          <w:i/>
          <w:spacing w:val="70"/>
          <w:sz w:val="19"/>
        </w:rPr>
        <w:t> </w:t>
      </w:r>
      <w:r>
        <w:rPr>
          <w:i/>
          <w:sz w:val="19"/>
        </w:rPr>
        <w:t>Subbarami</w:t>
      </w:r>
      <w:r>
        <w:rPr>
          <w:i/>
          <w:spacing w:val="71"/>
          <w:sz w:val="19"/>
        </w:rPr>
        <w:t> </w:t>
      </w:r>
      <w:r>
        <w:rPr>
          <w:i/>
          <w:spacing w:val="-4"/>
          <w:sz w:val="19"/>
        </w:rPr>
        <w:t>Reddy</w:t>
      </w:r>
    </w:p>
    <w:p>
      <w:pPr>
        <w:spacing w:before="10"/>
        <w:ind w:left="0" w:right="1437" w:firstLine="0"/>
        <w:jc w:val="right"/>
        <w:rPr>
          <w:i/>
          <w:sz w:val="19"/>
        </w:rPr>
      </w:pPr>
      <w:r>
        <w:rPr>
          <w:i/>
          <w:sz w:val="19"/>
        </w:rPr>
        <w:t>Engineering</w:t>
      </w:r>
      <w:r>
        <w:rPr>
          <w:i/>
          <w:spacing w:val="63"/>
          <w:sz w:val="19"/>
        </w:rPr>
        <w:t> </w:t>
      </w:r>
      <w:r>
        <w:rPr>
          <w:i/>
          <w:sz w:val="19"/>
        </w:rPr>
        <w:t>College</w:t>
      </w:r>
      <w:r>
        <w:rPr>
          <w:i/>
          <w:spacing w:val="62"/>
          <w:sz w:val="19"/>
        </w:rPr>
        <w:t> </w:t>
      </w:r>
      <w:r>
        <w:rPr>
          <w:i/>
          <w:sz w:val="19"/>
        </w:rPr>
        <w:t>(A),</w:t>
      </w:r>
      <w:r>
        <w:rPr>
          <w:i/>
          <w:spacing w:val="58"/>
          <w:sz w:val="19"/>
        </w:rPr>
        <w:t> </w:t>
      </w:r>
      <w:r>
        <w:rPr>
          <w:i/>
          <w:sz w:val="19"/>
        </w:rPr>
        <w:t>A</w:t>
      </w:r>
      <w:r>
        <w:rPr>
          <w:i/>
          <w:spacing w:val="62"/>
          <w:sz w:val="19"/>
        </w:rPr>
        <w:t> </w:t>
      </w:r>
      <w:r>
        <w:rPr>
          <w:i/>
          <w:sz w:val="19"/>
        </w:rPr>
        <w:t>P</w:t>
      </w:r>
      <w:r>
        <w:rPr>
          <w:i/>
          <w:spacing w:val="59"/>
          <w:sz w:val="19"/>
        </w:rPr>
        <w:t> </w:t>
      </w:r>
      <w:r>
        <w:rPr>
          <w:i/>
          <w:spacing w:val="-4"/>
          <w:sz w:val="19"/>
        </w:rPr>
        <w:t>State</w:t>
      </w:r>
    </w:p>
    <w:p>
      <w:pPr>
        <w:pStyle w:val="BodyText"/>
        <w:spacing w:before="3"/>
        <w:ind w:left="0"/>
        <w:rPr>
          <w:i/>
          <w:sz w:val="19"/>
        </w:rPr>
      </w:pPr>
    </w:p>
    <w:p>
      <w:pPr>
        <w:pStyle w:val="Heading5"/>
        <w:ind w:left="0" w:right="1439"/>
        <w:jc w:val="right"/>
        <w:rPr>
          <w:rFonts w:ascii="Times New Roman"/>
        </w:rPr>
      </w:pPr>
      <w:bookmarkStart w:name="_TOC_250001" w:id="6"/>
      <w:r>
        <w:rPr>
          <w:rFonts w:ascii="Times New Roman"/>
        </w:rPr>
        <w:t>Dr.</w:t>
      </w:r>
      <w:r>
        <w:rPr>
          <w:rFonts w:ascii="Times New Roman"/>
          <w:spacing w:val="48"/>
        </w:rPr>
        <w:t> </w:t>
      </w:r>
      <w:r>
        <w:rPr>
          <w:rFonts w:ascii="Times New Roman"/>
        </w:rPr>
        <w:t>Syed</w:t>
      </w:r>
      <w:r>
        <w:rPr>
          <w:rFonts w:ascii="Times New Roman"/>
          <w:spacing w:val="49"/>
        </w:rPr>
        <w:t> </w:t>
      </w:r>
      <w:bookmarkEnd w:id="6"/>
      <w:r>
        <w:rPr>
          <w:rFonts w:ascii="Times New Roman"/>
          <w:spacing w:val="-2"/>
        </w:rPr>
        <w:t>Mujahid</w:t>
      </w:r>
    </w:p>
    <w:p>
      <w:pPr>
        <w:spacing w:before="15"/>
        <w:ind w:left="0" w:right="1438" w:firstLine="0"/>
        <w:jc w:val="right"/>
        <w:rPr>
          <w:i/>
          <w:sz w:val="19"/>
        </w:rPr>
      </w:pPr>
      <w:r>
        <w:rPr>
          <w:i/>
          <w:sz w:val="19"/>
        </w:rPr>
        <w:t>Associate</w:t>
      </w:r>
      <w:r>
        <w:rPr>
          <w:i/>
          <w:spacing w:val="67"/>
          <w:sz w:val="19"/>
        </w:rPr>
        <w:t> </w:t>
      </w:r>
      <w:r>
        <w:rPr>
          <w:i/>
          <w:sz w:val="19"/>
        </w:rPr>
        <w:t>Professor</w:t>
      </w:r>
      <w:r>
        <w:rPr>
          <w:i/>
          <w:spacing w:val="74"/>
          <w:sz w:val="19"/>
        </w:rPr>
        <w:t> </w:t>
      </w:r>
      <w:r>
        <w:rPr>
          <w:i/>
          <w:sz w:val="19"/>
        </w:rPr>
        <w:t>English,</w:t>
      </w:r>
      <w:r>
        <w:rPr>
          <w:i/>
          <w:spacing w:val="71"/>
          <w:sz w:val="19"/>
        </w:rPr>
        <w:t> </w:t>
      </w:r>
      <w:r>
        <w:rPr>
          <w:i/>
          <w:sz w:val="19"/>
        </w:rPr>
        <w:t>Ramireddy</w:t>
      </w:r>
      <w:r>
        <w:rPr>
          <w:i/>
          <w:spacing w:val="70"/>
          <w:sz w:val="19"/>
        </w:rPr>
        <w:t> </w:t>
      </w:r>
      <w:r>
        <w:rPr>
          <w:i/>
          <w:sz w:val="19"/>
        </w:rPr>
        <w:t>Subbarami</w:t>
      </w:r>
      <w:r>
        <w:rPr>
          <w:i/>
          <w:spacing w:val="71"/>
          <w:sz w:val="19"/>
        </w:rPr>
        <w:t> </w:t>
      </w:r>
      <w:r>
        <w:rPr>
          <w:i/>
          <w:spacing w:val="-4"/>
          <w:sz w:val="19"/>
        </w:rPr>
        <w:t>Reddy</w:t>
      </w:r>
    </w:p>
    <w:p>
      <w:pPr>
        <w:spacing w:before="9"/>
        <w:ind w:left="0" w:right="1437" w:firstLine="0"/>
        <w:jc w:val="right"/>
        <w:rPr>
          <w:i/>
          <w:sz w:val="19"/>
        </w:rPr>
      </w:pPr>
      <w:r>
        <w:rPr>
          <w:i/>
          <w:sz w:val="19"/>
        </w:rPr>
        <w:t>Engineering</w:t>
      </w:r>
      <w:r>
        <w:rPr>
          <w:i/>
          <w:spacing w:val="63"/>
          <w:sz w:val="19"/>
        </w:rPr>
        <w:t> </w:t>
      </w:r>
      <w:r>
        <w:rPr>
          <w:i/>
          <w:sz w:val="19"/>
        </w:rPr>
        <w:t>College</w:t>
      </w:r>
      <w:r>
        <w:rPr>
          <w:i/>
          <w:spacing w:val="62"/>
          <w:sz w:val="19"/>
        </w:rPr>
        <w:t> </w:t>
      </w:r>
      <w:r>
        <w:rPr>
          <w:i/>
          <w:sz w:val="19"/>
        </w:rPr>
        <w:t>(A),</w:t>
      </w:r>
      <w:r>
        <w:rPr>
          <w:i/>
          <w:spacing w:val="58"/>
          <w:sz w:val="19"/>
        </w:rPr>
        <w:t> </w:t>
      </w:r>
      <w:r>
        <w:rPr>
          <w:i/>
          <w:sz w:val="19"/>
        </w:rPr>
        <w:t>A</w:t>
      </w:r>
      <w:r>
        <w:rPr>
          <w:i/>
          <w:spacing w:val="62"/>
          <w:sz w:val="19"/>
        </w:rPr>
        <w:t> </w:t>
      </w:r>
      <w:r>
        <w:rPr>
          <w:i/>
          <w:sz w:val="19"/>
        </w:rPr>
        <w:t>P</w:t>
      </w:r>
      <w:r>
        <w:rPr>
          <w:i/>
          <w:spacing w:val="59"/>
          <w:sz w:val="19"/>
        </w:rPr>
        <w:t> </w:t>
      </w:r>
      <w:r>
        <w:rPr>
          <w:i/>
          <w:spacing w:val="-4"/>
          <w:sz w:val="19"/>
        </w:rPr>
        <w:t>State</w:t>
      </w:r>
    </w:p>
    <w:p>
      <w:pPr>
        <w:pStyle w:val="BodyText"/>
        <w:spacing w:before="161"/>
        <w:ind w:left="0"/>
        <w:rPr>
          <w:i/>
          <w:sz w:val="19"/>
        </w:rPr>
      </w:pPr>
    </w:p>
    <w:p>
      <w:pPr>
        <w:pStyle w:val="Heading3"/>
        <w:spacing w:before="0"/>
      </w:pPr>
      <w:r>
        <w:rPr>
          <w:spacing w:val="-2"/>
        </w:rPr>
        <w:t>ABSTRACT</w:t>
      </w:r>
    </w:p>
    <w:p>
      <w:pPr>
        <w:pStyle w:val="BodyText"/>
        <w:spacing w:line="249" w:lineRule="auto" w:before="75"/>
        <w:ind w:right="1437" w:firstLine="432"/>
        <w:jc w:val="both"/>
      </w:pPr>
      <w:r>
        <w:rPr/>
        <w:t>This study re-examines the representation of female agency in the plays of William Shakespeare through the interpretative framework of </w:t>
      </w:r>
      <w:r>
        <w:rPr>
          <w:spacing w:val="-2"/>
        </w:rPr>
        <w:t>contemporary</w:t>
      </w:r>
      <w:r>
        <w:rPr>
          <w:spacing w:val="-5"/>
        </w:rPr>
        <w:t> </w:t>
      </w:r>
      <w:r>
        <w:rPr>
          <w:spacing w:val="-2"/>
        </w:rPr>
        <w:t>feminist</w:t>
      </w:r>
      <w:r>
        <w:rPr>
          <w:spacing w:val="-3"/>
        </w:rPr>
        <w:t> </w:t>
      </w:r>
      <w:r>
        <w:rPr>
          <w:spacing w:val="-2"/>
        </w:rPr>
        <w:t>theory</w:t>
      </w:r>
      <w:r>
        <w:rPr>
          <w:spacing w:val="-5"/>
        </w:rPr>
        <w:t> </w:t>
      </w:r>
      <w:r>
        <w:rPr>
          <w:spacing w:val="-2"/>
        </w:rPr>
        <w:t>and</w:t>
      </w:r>
      <w:r>
        <w:rPr>
          <w:spacing w:val="-3"/>
        </w:rPr>
        <w:t> </w:t>
      </w:r>
      <w:r>
        <w:rPr>
          <w:spacing w:val="-2"/>
        </w:rPr>
        <w:t>the discourse surrounding</w:t>
      </w:r>
      <w:r>
        <w:rPr>
          <w:spacing w:val="-5"/>
        </w:rPr>
        <w:t> </w:t>
      </w:r>
      <w:r>
        <w:rPr>
          <w:spacing w:val="-2"/>
        </w:rPr>
        <w:t>the #MeToo </w:t>
      </w:r>
      <w:r>
        <w:rPr/>
        <w:t>movement. Traditional literary criticism has often characterized Shakespeare’s</w:t>
      </w:r>
      <w:r>
        <w:rPr>
          <w:spacing w:val="-13"/>
        </w:rPr>
        <w:t> </w:t>
      </w:r>
      <w:r>
        <w:rPr/>
        <w:t>women</w:t>
      </w:r>
      <w:r>
        <w:rPr>
          <w:spacing w:val="-12"/>
        </w:rPr>
        <w:t> </w:t>
      </w:r>
      <w:r>
        <w:rPr/>
        <w:t>as</w:t>
      </w:r>
      <w:r>
        <w:rPr>
          <w:spacing w:val="-13"/>
        </w:rPr>
        <w:t> </w:t>
      </w:r>
      <w:r>
        <w:rPr/>
        <w:t>passive,</w:t>
      </w:r>
      <w:r>
        <w:rPr>
          <w:spacing w:val="-12"/>
        </w:rPr>
        <w:t> </w:t>
      </w:r>
      <w:r>
        <w:rPr/>
        <w:t>obedient,</w:t>
      </w:r>
      <w:r>
        <w:rPr>
          <w:spacing w:val="-12"/>
        </w:rPr>
        <w:t> </w:t>
      </w:r>
      <w:r>
        <w:rPr/>
        <w:t>or</w:t>
      </w:r>
      <w:r>
        <w:rPr>
          <w:spacing w:val="-12"/>
        </w:rPr>
        <w:t> </w:t>
      </w:r>
      <w:r>
        <w:rPr/>
        <w:t>morally</w:t>
      </w:r>
      <w:r>
        <w:rPr>
          <w:spacing w:val="-13"/>
        </w:rPr>
        <w:t> </w:t>
      </w:r>
      <w:r>
        <w:rPr/>
        <w:t>disruptive</w:t>
      </w:r>
      <w:r>
        <w:rPr>
          <w:spacing w:val="-12"/>
        </w:rPr>
        <w:t> </w:t>
      </w:r>
      <w:r>
        <w:rPr/>
        <w:t>figures operating within patriarchal narratives. However, recent critical approaches challenge these reductive interpretations and highlight the complex</w:t>
      </w:r>
      <w:r>
        <w:rPr>
          <w:spacing w:val="-13"/>
        </w:rPr>
        <w:t> </w:t>
      </w:r>
      <w:r>
        <w:rPr/>
        <w:t>ways</w:t>
      </w:r>
      <w:r>
        <w:rPr>
          <w:spacing w:val="-12"/>
        </w:rPr>
        <w:t> </w:t>
      </w:r>
      <w:r>
        <w:rPr/>
        <w:t>in</w:t>
      </w:r>
      <w:r>
        <w:rPr>
          <w:spacing w:val="-13"/>
        </w:rPr>
        <w:t> </w:t>
      </w:r>
      <w:r>
        <w:rPr/>
        <w:t>which</w:t>
      </w:r>
      <w:r>
        <w:rPr>
          <w:spacing w:val="-12"/>
        </w:rPr>
        <w:t> </w:t>
      </w:r>
      <w:r>
        <w:rPr/>
        <w:t>female</w:t>
      </w:r>
      <w:r>
        <w:rPr>
          <w:spacing w:val="-13"/>
        </w:rPr>
        <w:t> </w:t>
      </w:r>
      <w:r>
        <w:rPr/>
        <w:t>characters</w:t>
      </w:r>
      <w:r>
        <w:rPr>
          <w:spacing w:val="-12"/>
        </w:rPr>
        <w:t> </w:t>
      </w:r>
      <w:r>
        <w:rPr/>
        <w:t>negotiate</w:t>
      </w:r>
      <w:r>
        <w:rPr>
          <w:spacing w:val="-13"/>
        </w:rPr>
        <w:t> </w:t>
      </w:r>
      <w:r>
        <w:rPr/>
        <w:t>systems</w:t>
      </w:r>
      <w:r>
        <w:rPr>
          <w:spacing w:val="-12"/>
        </w:rPr>
        <w:t> </w:t>
      </w:r>
      <w:r>
        <w:rPr/>
        <w:t>of</w:t>
      </w:r>
      <w:r>
        <w:rPr>
          <w:spacing w:val="-13"/>
        </w:rPr>
        <w:t> </w:t>
      </w:r>
      <w:r>
        <w:rPr/>
        <w:t>authority, voice,</w:t>
      </w:r>
      <w:r>
        <w:rPr>
          <w:spacing w:val="40"/>
        </w:rPr>
        <w:t> </w:t>
      </w:r>
      <w:r>
        <w:rPr/>
        <w:t>and</w:t>
      </w:r>
      <w:r>
        <w:rPr>
          <w:spacing w:val="40"/>
        </w:rPr>
        <w:t> </w:t>
      </w:r>
      <w:r>
        <w:rPr/>
        <w:t>identity.</w:t>
      </w:r>
    </w:p>
    <w:p>
      <w:pPr>
        <w:pStyle w:val="BodyText"/>
        <w:spacing w:line="249" w:lineRule="auto" w:before="65"/>
        <w:ind w:right="1438" w:firstLine="432"/>
        <w:jc w:val="both"/>
      </w:pPr>
      <w:r>
        <w:rPr/>
        <w:t>Focusing on the characters of Desdemona in Othello, Ophelia in Hamlet, and Lady Macbeth in Macbeth, this study argues that Shakespeare’s female characters demonstrate nuanced forms of agency that are often expressed through speech, silence, symbolic gestures,</w:t>
      </w:r>
      <w:r>
        <w:rPr>
          <w:spacing w:val="80"/>
        </w:rPr>
        <w:t> </w:t>
      </w:r>
      <w:r>
        <w:rPr/>
        <w:t>and transgressed ambition. Through qualitative textual analysis and close reading</w:t>
      </w:r>
      <w:r>
        <w:rPr>
          <w:spacing w:val="-3"/>
        </w:rPr>
        <w:t> </w:t>
      </w:r>
      <w:r>
        <w:rPr/>
        <w:t>of key</w:t>
      </w:r>
      <w:r>
        <w:rPr>
          <w:spacing w:val="-5"/>
        </w:rPr>
        <w:t> </w:t>
      </w:r>
      <w:r>
        <w:rPr/>
        <w:t>passages, the paper</w:t>
      </w:r>
      <w:r>
        <w:rPr>
          <w:spacing w:val="-1"/>
        </w:rPr>
        <w:t> </w:t>
      </w:r>
      <w:r>
        <w:rPr/>
        <w:t>examines</w:t>
      </w:r>
      <w:r>
        <w:rPr>
          <w:spacing w:val="-1"/>
        </w:rPr>
        <w:t> </w:t>
      </w:r>
      <w:r>
        <w:rPr/>
        <w:t>how</w:t>
      </w:r>
      <w:r>
        <w:rPr>
          <w:spacing w:val="-5"/>
        </w:rPr>
        <w:t> </w:t>
      </w:r>
      <w:r>
        <w:rPr/>
        <w:t>these characters confront</w:t>
      </w:r>
      <w:r>
        <w:rPr>
          <w:spacing w:val="8"/>
        </w:rPr>
        <w:t> </w:t>
      </w:r>
      <w:r>
        <w:rPr/>
        <w:t>patriarchal</w:t>
      </w:r>
      <w:r>
        <w:rPr>
          <w:spacing w:val="11"/>
        </w:rPr>
        <w:t> </w:t>
      </w:r>
      <w:r>
        <w:rPr/>
        <w:t>authority</w:t>
      </w:r>
      <w:r>
        <w:rPr>
          <w:spacing w:val="5"/>
        </w:rPr>
        <w:t> </w:t>
      </w:r>
      <w:r>
        <w:rPr/>
        <w:t>and</w:t>
      </w:r>
      <w:r>
        <w:rPr>
          <w:spacing w:val="8"/>
        </w:rPr>
        <w:t> </w:t>
      </w:r>
      <w:r>
        <w:rPr/>
        <w:t>reveal</w:t>
      </w:r>
      <w:r>
        <w:rPr>
          <w:spacing w:val="10"/>
        </w:rPr>
        <w:t> </w:t>
      </w:r>
      <w:r>
        <w:rPr/>
        <w:t>the</w:t>
      </w:r>
      <w:r>
        <w:rPr>
          <w:spacing w:val="7"/>
        </w:rPr>
        <w:t> </w:t>
      </w:r>
      <w:r>
        <w:rPr/>
        <w:t>tensions</w:t>
      </w:r>
      <w:r>
        <w:rPr>
          <w:spacing w:val="10"/>
        </w:rPr>
        <w:t> </w:t>
      </w:r>
      <w:r>
        <w:rPr/>
        <w:t>embedded</w:t>
      </w:r>
      <w:r>
        <w:rPr>
          <w:spacing w:val="9"/>
        </w:rPr>
        <w:t> </w:t>
      </w:r>
      <w:r>
        <w:rPr>
          <w:spacing w:val="-2"/>
        </w:rPr>
        <w:t>within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4" w:val="left" w:leader="none"/>
        </w:tabs>
        <w:spacing w:before="0"/>
        <w:ind w:left="0" w:right="0"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62592">
                <wp:simplePos x="0" y="0"/>
                <wp:positionH relativeFrom="page">
                  <wp:posOffset>2065020</wp:posOffset>
                </wp:positionH>
                <wp:positionV relativeFrom="paragraph">
                  <wp:posOffset>162604</wp:posOffset>
                </wp:positionV>
                <wp:extent cx="3657600" cy="12700"/>
                <wp:effectExtent l="0" t="0" r="0" b="0"/>
                <wp:wrapTopAndBottom/>
                <wp:docPr id="260" name="Graphic 260"/>
                <wp:cNvGraphicFramePr>
                  <a:graphicFrameLocks/>
                </wp:cNvGraphicFramePr>
                <a:graphic>
                  <a:graphicData uri="http://schemas.microsoft.com/office/word/2010/wordprocessingShape">
                    <wps:wsp>
                      <wps:cNvPr id="260" name="Graphic 26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53888;mso-wrap-distance-left:0;mso-wrap-distance-right:0" id="docshape256" filled="true" fillcolor="#000000" stroked="false">
                <v:fill type="solid"/>
                <w10:wrap type="topAndBottom"/>
              </v:rect>
            </w:pict>
          </mc:Fallback>
        </mc:AlternateContent>
      </w:r>
      <w:r>
        <w:rPr>
          <w:rFonts w:ascii="Verdana" w:hAnsi="Verdana"/>
          <w:sz w:val="18"/>
        </w:rPr>
        <w:t>Reclaiming</w:t>
      </w:r>
      <w:r>
        <w:rPr>
          <w:rFonts w:ascii="Verdana" w:hAnsi="Verdana"/>
          <w:spacing w:val="4"/>
          <w:sz w:val="18"/>
        </w:rPr>
        <w:t> </w:t>
      </w:r>
      <w:r>
        <w:rPr>
          <w:rFonts w:ascii="Verdana" w:hAnsi="Verdana"/>
          <w:sz w:val="18"/>
        </w:rPr>
        <w:t>Voice and</w:t>
      </w:r>
      <w:r>
        <w:rPr>
          <w:rFonts w:ascii="Verdana" w:hAnsi="Verdana"/>
          <w:spacing w:val="1"/>
          <w:sz w:val="18"/>
        </w:rPr>
        <w:t> </w:t>
      </w:r>
      <w:r>
        <w:rPr>
          <w:rFonts w:ascii="Verdana" w:hAnsi="Verdana"/>
          <w:sz w:val="18"/>
        </w:rPr>
        <w:t>Agency:</w:t>
      </w:r>
      <w:r>
        <w:rPr>
          <w:rFonts w:ascii="Verdana" w:hAnsi="Verdana"/>
          <w:spacing w:val="1"/>
          <w:sz w:val="18"/>
        </w:rPr>
        <w:t> </w:t>
      </w:r>
      <w:r>
        <w:rPr>
          <w:rFonts w:ascii="Verdana" w:hAnsi="Verdana"/>
          <w:sz w:val="18"/>
        </w:rPr>
        <w:t>Re-reading</w:t>
      </w:r>
      <w:r>
        <w:rPr>
          <w:rFonts w:ascii="Verdana" w:hAnsi="Verdana"/>
          <w:spacing w:val="5"/>
          <w:sz w:val="18"/>
        </w:rPr>
        <w:t> </w:t>
      </w:r>
      <w:r>
        <w:rPr>
          <w:rFonts w:ascii="Verdana" w:hAnsi="Verdana"/>
          <w:spacing w:val="-2"/>
          <w:sz w:val="18"/>
        </w:rPr>
        <w:t>hakespeare’s...</w:t>
      </w:r>
      <w:r>
        <w:rPr>
          <w:rFonts w:ascii="Verdana" w:hAnsi="Verdana"/>
          <w:sz w:val="18"/>
        </w:rPr>
        <w:tab/>
      </w:r>
      <w:r>
        <w:rPr>
          <w:rFonts w:ascii="Verdana" w:hAnsi="Verdana"/>
          <w:spacing w:val="-5"/>
          <w:sz w:val="18"/>
        </w:rPr>
        <w:t>77</w:t>
      </w:r>
    </w:p>
    <w:p>
      <w:pPr>
        <w:pStyle w:val="BodyText"/>
        <w:spacing w:line="249" w:lineRule="auto" w:before="192"/>
        <w:ind w:right="1437"/>
        <w:jc w:val="both"/>
      </w:pPr>
      <w:r>
        <w:rPr/>
        <w:t>early modern gender structures. Desdemona’s articulation of “divided duty,” Ophelia’s madness and symbolic language of flowers and song, and Lady Macbeth’s invocation to “unsex” herself illustrate different strategies</w:t>
      </w:r>
      <w:r>
        <w:rPr>
          <w:spacing w:val="-3"/>
        </w:rPr>
        <w:t> </w:t>
      </w:r>
      <w:r>
        <w:rPr/>
        <w:t>through</w:t>
      </w:r>
      <w:r>
        <w:rPr>
          <w:spacing w:val="-5"/>
        </w:rPr>
        <w:t> </w:t>
      </w:r>
      <w:r>
        <w:rPr/>
        <w:t>which</w:t>
      </w:r>
      <w:r>
        <w:rPr>
          <w:spacing w:val="-2"/>
        </w:rPr>
        <w:t> </w:t>
      </w:r>
      <w:r>
        <w:rPr/>
        <w:t>women</w:t>
      </w:r>
      <w:r>
        <w:rPr>
          <w:spacing w:val="-3"/>
        </w:rPr>
        <w:t> </w:t>
      </w:r>
      <w:r>
        <w:rPr/>
        <w:t>negotiate</w:t>
      </w:r>
      <w:r>
        <w:rPr>
          <w:spacing w:val="-2"/>
        </w:rPr>
        <w:t> </w:t>
      </w:r>
      <w:r>
        <w:rPr/>
        <w:t>power</w:t>
      </w:r>
      <w:r>
        <w:rPr>
          <w:spacing w:val="-2"/>
        </w:rPr>
        <w:t> </w:t>
      </w:r>
      <w:r>
        <w:rPr/>
        <w:t>and identity.</w:t>
      </w:r>
      <w:r>
        <w:rPr>
          <w:spacing w:val="-2"/>
        </w:rPr>
        <w:t> </w:t>
      </w:r>
      <w:r>
        <w:rPr/>
        <w:t>Drawing on theoretical insights from feminist scholars such as Judith Butler and Elaine Showalter, the study interprets these moments as forms of resistance</w:t>
      </w:r>
      <w:r>
        <w:rPr>
          <w:spacing w:val="40"/>
        </w:rPr>
        <w:t> </w:t>
      </w:r>
      <w:r>
        <w:rPr/>
        <w:t>that</w:t>
      </w:r>
      <w:r>
        <w:rPr>
          <w:spacing w:val="40"/>
        </w:rPr>
        <w:t> </w:t>
      </w:r>
      <w:r>
        <w:rPr/>
        <w:t>expose</w:t>
      </w:r>
      <w:r>
        <w:rPr>
          <w:spacing w:val="40"/>
        </w:rPr>
        <w:t> </w:t>
      </w:r>
      <w:r>
        <w:rPr/>
        <w:t>the</w:t>
      </w:r>
      <w:r>
        <w:rPr>
          <w:spacing w:val="40"/>
        </w:rPr>
        <w:t> </w:t>
      </w:r>
      <w:r>
        <w:rPr/>
        <w:t>instability</w:t>
      </w:r>
      <w:r>
        <w:rPr>
          <w:spacing w:val="40"/>
        </w:rPr>
        <w:t> </w:t>
      </w:r>
      <w:r>
        <w:rPr/>
        <w:t>of</w:t>
      </w:r>
      <w:r>
        <w:rPr>
          <w:spacing w:val="40"/>
        </w:rPr>
        <w:t> </w:t>
      </w:r>
      <w:r>
        <w:rPr/>
        <w:t>patriarchal</w:t>
      </w:r>
      <w:r>
        <w:rPr>
          <w:spacing w:val="40"/>
        </w:rPr>
        <w:t> </w:t>
      </w:r>
      <w:r>
        <w:rPr/>
        <w:t>authority.</w:t>
      </w:r>
    </w:p>
    <w:p>
      <w:pPr>
        <w:pStyle w:val="BodyText"/>
        <w:spacing w:line="249" w:lineRule="auto" w:before="64"/>
        <w:ind w:right="1436" w:firstLine="432"/>
        <w:jc w:val="both"/>
      </w:pPr>
      <w:r>
        <w:rPr/>
        <w:t>Furthermore, by situating Shakespeare’s plays within the contemporary context of the #MeToo movement, the research demonstrates how issues of silencing, credibility, and gendered power </w:t>
      </w:r>
      <w:r>
        <w:rPr>
          <w:spacing w:val="-2"/>
        </w:rPr>
        <w:t>continue</w:t>
      </w:r>
      <w:r>
        <w:rPr>
          <w:spacing w:val="-4"/>
        </w:rPr>
        <w:t> </w:t>
      </w:r>
      <w:r>
        <w:rPr>
          <w:spacing w:val="-2"/>
        </w:rPr>
        <w:t>to</w:t>
      </w:r>
      <w:r>
        <w:rPr>
          <w:spacing w:val="-4"/>
        </w:rPr>
        <w:t> </w:t>
      </w:r>
      <w:r>
        <w:rPr>
          <w:spacing w:val="-2"/>
        </w:rPr>
        <w:t>resonate</w:t>
      </w:r>
      <w:r>
        <w:rPr>
          <w:spacing w:val="-9"/>
        </w:rPr>
        <w:t> </w:t>
      </w:r>
      <w:r>
        <w:rPr>
          <w:spacing w:val="-2"/>
        </w:rPr>
        <w:t>in</w:t>
      </w:r>
      <w:r>
        <w:rPr>
          <w:spacing w:val="-6"/>
        </w:rPr>
        <w:t> </w:t>
      </w:r>
      <w:r>
        <w:rPr>
          <w:spacing w:val="-2"/>
        </w:rPr>
        <w:t>modern</w:t>
      </w:r>
      <w:r>
        <w:rPr>
          <w:spacing w:val="-9"/>
        </w:rPr>
        <w:t> </w:t>
      </w:r>
      <w:r>
        <w:rPr>
          <w:spacing w:val="-2"/>
        </w:rPr>
        <w:t>cultural</w:t>
      </w:r>
      <w:r>
        <w:rPr>
          <w:spacing w:val="-5"/>
        </w:rPr>
        <w:t> </w:t>
      </w:r>
      <w:r>
        <w:rPr>
          <w:spacing w:val="-2"/>
        </w:rPr>
        <w:t>discourse.</w:t>
      </w:r>
      <w:r>
        <w:rPr>
          <w:spacing w:val="-9"/>
        </w:rPr>
        <w:t> </w:t>
      </w:r>
      <w:r>
        <w:rPr>
          <w:spacing w:val="-2"/>
        </w:rPr>
        <w:t>The</w:t>
      </w:r>
      <w:r>
        <w:rPr>
          <w:spacing w:val="-9"/>
        </w:rPr>
        <w:t> </w:t>
      </w:r>
      <w:r>
        <w:rPr>
          <w:spacing w:val="-2"/>
        </w:rPr>
        <w:t>analysis</w:t>
      </w:r>
      <w:r>
        <w:rPr>
          <w:spacing w:val="-6"/>
        </w:rPr>
        <w:t> </w:t>
      </w:r>
      <w:r>
        <w:rPr>
          <w:spacing w:val="-2"/>
        </w:rPr>
        <w:t>ultimately </w:t>
      </w:r>
      <w:r>
        <w:rPr/>
        <w:t>suggests that Shakespeare’s female characters should not be viewed merely as tragic victims but as complex figures that actively negotiate their</w:t>
      </w:r>
      <w:r>
        <w:rPr>
          <w:spacing w:val="-13"/>
        </w:rPr>
        <w:t> </w:t>
      </w:r>
      <w:r>
        <w:rPr/>
        <w:t>social</w:t>
      </w:r>
      <w:r>
        <w:rPr>
          <w:spacing w:val="-12"/>
        </w:rPr>
        <w:t> </w:t>
      </w:r>
      <w:r>
        <w:rPr/>
        <w:t>realities.</w:t>
      </w:r>
      <w:r>
        <w:rPr>
          <w:spacing w:val="-13"/>
        </w:rPr>
        <w:t> </w:t>
      </w:r>
      <w:r>
        <w:rPr/>
        <w:t>Their</w:t>
      </w:r>
      <w:r>
        <w:rPr>
          <w:spacing w:val="-12"/>
        </w:rPr>
        <w:t> </w:t>
      </w:r>
      <w:r>
        <w:rPr/>
        <w:t>experiences</w:t>
      </w:r>
      <w:r>
        <w:rPr>
          <w:spacing w:val="-13"/>
        </w:rPr>
        <w:t> </w:t>
      </w:r>
      <w:r>
        <w:rPr/>
        <w:t>illuminate</w:t>
      </w:r>
      <w:r>
        <w:rPr>
          <w:spacing w:val="-12"/>
        </w:rPr>
        <w:t> </w:t>
      </w:r>
      <w:r>
        <w:rPr/>
        <w:t>the</w:t>
      </w:r>
      <w:r>
        <w:rPr>
          <w:spacing w:val="-13"/>
        </w:rPr>
        <w:t> </w:t>
      </w:r>
      <w:r>
        <w:rPr/>
        <w:t>enduring</w:t>
      </w:r>
      <w:r>
        <w:rPr>
          <w:spacing w:val="-12"/>
        </w:rPr>
        <w:t> </w:t>
      </w:r>
      <w:r>
        <w:rPr/>
        <w:t>relevance of Shakespeare’s works in contemporary discussions of gender justice, voice,</w:t>
      </w:r>
      <w:r>
        <w:rPr>
          <w:spacing w:val="40"/>
        </w:rPr>
        <w:t> </w:t>
      </w:r>
      <w:r>
        <w:rPr/>
        <w:t>and</w:t>
      </w:r>
      <w:r>
        <w:rPr>
          <w:spacing w:val="40"/>
        </w:rPr>
        <w:t> </w:t>
      </w:r>
      <w:r>
        <w:rPr/>
        <w:t>representation.</w:t>
      </w:r>
    </w:p>
    <w:p>
      <w:pPr>
        <w:pStyle w:val="Heading3"/>
        <w:spacing w:before="160"/>
      </w:pPr>
      <w:r>
        <w:rPr>
          <w:spacing w:val="-2"/>
          <w:w w:val="95"/>
        </w:rPr>
        <w:t>INTRODUCTION</w:t>
      </w:r>
    </w:p>
    <w:p>
      <w:pPr>
        <w:pStyle w:val="BodyText"/>
        <w:spacing w:line="249" w:lineRule="auto" w:before="76"/>
        <w:ind w:right="1440" w:firstLine="432"/>
        <w:jc w:val="both"/>
      </w:pPr>
      <w:r>
        <w:rPr/>
        <w:t>The</w:t>
      </w:r>
      <w:r>
        <w:rPr>
          <w:spacing w:val="-13"/>
        </w:rPr>
        <w:t> </w:t>
      </w:r>
      <w:r>
        <w:rPr/>
        <w:t>dramatic</w:t>
      </w:r>
      <w:r>
        <w:rPr>
          <w:spacing w:val="-12"/>
        </w:rPr>
        <w:t> </w:t>
      </w:r>
      <w:r>
        <w:rPr/>
        <w:t>works</w:t>
      </w:r>
      <w:r>
        <w:rPr>
          <w:spacing w:val="-13"/>
        </w:rPr>
        <w:t> </w:t>
      </w:r>
      <w:r>
        <w:rPr/>
        <w:t>of</w:t>
      </w:r>
      <w:r>
        <w:rPr>
          <w:spacing w:val="-12"/>
        </w:rPr>
        <w:t> </w:t>
      </w:r>
      <w:r>
        <w:rPr/>
        <w:t>William</w:t>
      </w:r>
      <w:r>
        <w:rPr>
          <w:spacing w:val="-13"/>
        </w:rPr>
        <w:t> </w:t>
      </w:r>
      <w:r>
        <w:rPr/>
        <w:t>Shakespeare</w:t>
      </w:r>
      <w:r>
        <w:rPr>
          <w:spacing w:val="-12"/>
        </w:rPr>
        <w:t> </w:t>
      </w:r>
      <w:r>
        <w:rPr/>
        <w:t>have</w:t>
      </w:r>
      <w:r>
        <w:rPr>
          <w:spacing w:val="-13"/>
        </w:rPr>
        <w:t> </w:t>
      </w:r>
      <w:r>
        <w:rPr/>
        <w:t>remained</w:t>
      </w:r>
      <w:r>
        <w:rPr>
          <w:spacing w:val="-11"/>
        </w:rPr>
        <w:t> </w:t>
      </w:r>
      <w:r>
        <w:rPr/>
        <w:t>central </w:t>
      </w:r>
      <w:r>
        <w:rPr>
          <w:spacing w:val="-2"/>
        </w:rPr>
        <w:t>to literary</w:t>
      </w:r>
      <w:r>
        <w:rPr>
          <w:spacing w:val="-7"/>
        </w:rPr>
        <w:t> </w:t>
      </w:r>
      <w:r>
        <w:rPr>
          <w:spacing w:val="-2"/>
        </w:rPr>
        <w:t>scholarship for centuries</w:t>
      </w:r>
      <w:r>
        <w:rPr>
          <w:spacing w:val="-5"/>
        </w:rPr>
        <w:t> </w:t>
      </w:r>
      <w:r>
        <w:rPr>
          <w:spacing w:val="-2"/>
        </w:rPr>
        <w:t>because</w:t>
      </w:r>
      <w:r>
        <w:rPr>
          <w:spacing w:val="-3"/>
        </w:rPr>
        <w:t> </w:t>
      </w:r>
      <w:r>
        <w:rPr>
          <w:spacing w:val="-2"/>
        </w:rPr>
        <w:t>of their complex</w:t>
      </w:r>
      <w:r>
        <w:rPr>
          <w:spacing w:val="-5"/>
        </w:rPr>
        <w:t> </w:t>
      </w:r>
      <w:r>
        <w:rPr>
          <w:spacing w:val="-2"/>
        </w:rPr>
        <w:t>engagement </w:t>
      </w:r>
      <w:r>
        <w:rPr/>
        <w:t>with questions of power, identity, morality, and human relationships. </w:t>
      </w:r>
      <w:r>
        <w:rPr>
          <w:spacing w:val="-2"/>
        </w:rPr>
        <w:t>Among</w:t>
      </w:r>
      <w:r>
        <w:rPr>
          <w:spacing w:val="-6"/>
        </w:rPr>
        <w:t> </w:t>
      </w:r>
      <w:r>
        <w:rPr>
          <w:spacing w:val="-2"/>
        </w:rPr>
        <w:t>the many</w:t>
      </w:r>
      <w:r>
        <w:rPr>
          <w:spacing w:val="-8"/>
        </w:rPr>
        <w:t> </w:t>
      </w:r>
      <w:r>
        <w:rPr>
          <w:spacing w:val="-2"/>
        </w:rPr>
        <w:t>debates</w:t>
      </w:r>
      <w:r>
        <w:rPr>
          <w:spacing w:val="-6"/>
        </w:rPr>
        <w:t> </w:t>
      </w:r>
      <w:r>
        <w:rPr>
          <w:spacing w:val="-2"/>
        </w:rPr>
        <w:t>that continue</w:t>
      </w:r>
      <w:r>
        <w:rPr>
          <w:spacing w:val="-5"/>
        </w:rPr>
        <w:t> </w:t>
      </w:r>
      <w:r>
        <w:rPr>
          <w:spacing w:val="-2"/>
        </w:rPr>
        <w:t>to</w:t>
      </w:r>
      <w:r>
        <w:rPr>
          <w:spacing w:val="-4"/>
        </w:rPr>
        <w:t> </w:t>
      </w:r>
      <w:r>
        <w:rPr>
          <w:spacing w:val="-2"/>
        </w:rPr>
        <w:t>shape Shakespearean</w:t>
      </w:r>
      <w:r>
        <w:rPr>
          <w:spacing w:val="-6"/>
        </w:rPr>
        <w:t> </w:t>
      </w:r>
      <w:r>
        <w:rPr>
          <w:spacing w:val="-2"/>
        </w:rPr>
        <w:t>criticism, </w:t>
      </w:r>
      <w:r>
        <w:rPr/>
        <w:t>the</w:t>
      </w:r>
      <w:r>
        <w:rPr>
          <w:spacing w:val="-8"/>
        </w:rPr>
        <w:t> </w:t>
      </w:r>
      <w:r>
        <w:rPr/>
        <w:t>representation</w:t>
      </w:r>
      <w:r>
        <w:rPr>
          <w:spacing w:val="-7"/>
        </w:rPr>
        <w:t> </w:t>
      </w:r>
      <w:r>
        <w:rPr/>
        <w:t>of</w:t>
      </w:r>
      <w:r>
        <w:rPr>
          <w:spacing w:val="-9"/>
        </w:rPr>
        <w:t> </w:t>
      </w:r>
      <w:r>
        <w:rPr/>
        <w:t>women</w:t>
      </w:r>
      <w:r>
        <w:rPr>
          <w:spacing w:val="-9"/>
        </w:rPr>
        <w:t> </w:t>
      </w:r>
      <w:r>
        <w:rPr/>
        <w:t>occupies</w:t>
      </w:r>
      <w:r>
        <w:rPr>
          <w:spacing w:val="-7"/>
        </w:rPr>
        <w:t> </w:t>
      </w:r>
      <w:r>
        <w:rPr/>
        <w:t>a</w:t>
      </w:r>
      <w:r>
        <w:rPr>
          <w:spacing w:val="-8"/>
        </w:rPr>
        <w:t> </w:t>
      </w:r>
      <w:r>
        <w:rPr/>
        <w:t>particularly</w:t>
      </w:r>
      <w:r>
        <w:rPr>
          <w:spacing w:val="-9"/>
        </w:rPr>
        <w:t> </w:t>
      </w:r>
      <w:r>
        <w:rPr/>
        <w:t>significant</w:t>
      </w:r>
      <w:r>
        <w:rPr>
          <w:spacing w:val="-7"/>
        </w:rPr>
        <w:t> </w:t>
      </w:r>
      <w:r>
        <w:rPr/>
        <w:t>position. For a long time, critical traditions tended to portray Shakespeare’s female characters as passive figures defined primarily by obedience, </w:t>
      </w:r>
      <w:r>
        <w:rPr>
          <w:spacing w:val="-4"/>
        </w:rPr>
        <w:t>fragility,</w:t>
      </w:r>
      <w:r>
        <w:rPr>
          <w:spacing w:val="-7"/>
        </w:rPr>
        <w:t> </w:t>
      </w:r>
      <w:r>
        <w:rPr>
          <w:spacing w:val="-4"/>
        </w:rPr>
        <w:t>or moral</w:t>
      </w:r>
      <w:r>
        <w:rPr>
          <w:spacing w:val="-7"/>
        </w:rPr>
        <w:t> </w:t>
      </w:r>
      <w:r>
        <w:rPr>
          <w:spacing w:val="-4"/>
        </w:rPr>
        <w:t>transgression. Characters such as</w:t>
      </w:r>
      <w:r>
        <w:rPr>
          <w:spacing w:val="-9"/>
        </w:rPr>
        <w:t> </w:t>
      </w:r>
      <w:r>
        <w:rPr>
          <w:spacing w:val="-4"/>
        </w:rPr>
        <w:t>Desdemona in Othello, </w:t>
      </w:r>
      <w:r>
        <w:rPr/>
        <w:t>Ophelia</w:t>
      </w:r>
      <w:r>
        <w:rPr>
          <w:spacing w:val="-13"/>
        </w:rPr>
        <w:t> </w:t>
      </w:r>
      <w:r>
        <w:rPr/>
        <w:t>in</w:t>
      </w:r>
      <w:r>
        <w:rPr>
          <w:spacing w:val="-12"/>
        </w:rPr>
        <w:t> </w:t>
      </w:r>
      <w:r>
        <w:rPr/>
        <w:t>Hamlet,</w:t>
      </w:r>
      <w:r>
        <w:rPr>
          <w:spacing w:val="-13"/>
        </w:rPr>
        <w:t> </w:t>
      </w:r>
      <w:r>
        <w:rPr/>
        <w:t>and</w:t>
      </w:r>
      <w:r>
        <w:rPr>
          <w:spacing w:val="-12"/>
        </w:rPr>
        <w:t> </w:t>
      </w:r>
      <w:r>
        <w:rPr/>
        <w:t>Lady</w:t>
      </w:r>
      <w:r>
        <w:rPr>
          <w:spacing w:val="-13"/>
        </w:rPr>
        <w:t> </w:t>
      </w:r>
      <w:r>
        <w:rPr/>
        <w:t>Macbeth</w:t>
      </w:r>
      <w:r>
        <w:rPr>
          <w:spacing w:val="-12"/>
        </w:rPr>
        <w:t> </w:t>
      </w:r>
      <w:r>
        <w:rPr/>
        <w:t>in</w:t>
      </w:r>
      <w:r>
        <w:rPr>
          <w:spacing w:val="-13"/>
        </w:rPr>
        <w:t> </w:t>
      </w:r>
      <w:r>
        <w:rPr/>
        <w:t>Macbeth</w:t>
      </w:r>
      <w:r>
        <w:rPr>
          <w:spacing w:val="-12"/>
        </w:rPr>
        <w:t> </w:t>
      </w:r>
      <w:r>
        <w:rPr/>
        <w:t>were</w:t>
      </w:r>
      <w:r>
        <w:rPr>
          <w:spacing w:val="-13"/>
        </w:rPr>
        <w:t> </w:t>
      </w:r>
      <w:r>
        <w:rPr/>
        <w:t>often</w:t>
      </w:r>
      <w:r>
        <w:rPr>
          <w:spacing w:val="-12"/>
        </w:rPr>
        <w:t> </w:t>
      </w:r>
      <w:r>
        <w:rPr/>
        <w:t>interpreted </w:t>
      </w:r>
      <w:r>
        <w:rPr>
          <w:spacing w:val="-2"/>
        </w:rPr>
        <w:t>within</w:t>
      </w:r>
      <w:r>
        <w:rPr>
          <w:spacing w:val="-11"/>
        </w:rPr>
        <w:t> </w:t>
      </w:r>
      <w:r>
        <w:rPr>
          <w:spacing w:val="-2"/>
        </w:rPr>
        <w:t>patriarchal</w:t>
      </w:r>
      <w:r>
        <w:rPr>
          <w:spacing w:val="-10"/>
        </w:rPr>
        <w:t> </w:t>
      </w:r>
      <w:r>
        <w:rPr>
          <w:spacing w:val="-2"/>
        </w:rPr>
        <w:t>frameworks</w:t>
      </w:r>
      <w:r>
        <w:rPr>
          <w:spacing w:val="-11"/>
        </w:rPr>
        <w:t> </w:t>
      </w:r>
      <w:r>
        <w:rPr>
          <w:spacing w:val="-2"/>
        </w:rPr>
        <w:t>that</w:t>
      </w:r>
      <w:r>
        <w:rPr>
          <w:spacing w:val="-10"/>
        </w:rPr>
        <w:t> </w:t>
      </w:r>
      <w:r>
        <w:rPr>
          <w:spacing w:val="-2"/>
        </w:rPr>
        <w:t>reduced</w:t>
      </w:r>
      <w:r>
        <w:rPr>
          <w:spacing w:val="-11"/>
        </w:rPr>
        <w:t> </w:t>
      </w:r>
      <w:r>
        <w:rPr>
          <w:spacing w:val="-2"/>
        </w:rPr>
        <w:t>their</w:t>
      </w:r>
      <w:r>
        <w:rPr>
          <w:spacing w:val="-10"/>
        </w:rPr>
        <w:t> </w:t>
      </w:r>
      <w:r>
        <w:rPr>
          <w:spacing w:val="-2"/>
        </w:rPr>
        <w:t>roles</w:t>
      </w:r>
      <w:r>
        <w:rPr>
          <w:spacing w:val="-11"/>
        </w:rPr>
        <w:t> </w:t>
      </w:r>
      <w:r>
        <w:rPr>
          <w:spacing w:val="-2"/>
        </w:rPr>
        <w:t>to</w:t>
      </w:r>
      <w:r>
        <w:rPr>
          <w:spacing w:val="-10"/>
        </w:rPr>
        <w:t> </w:t>
      </w:r>
      <w:r>
        <w:rPr>
          <w:spacing w:val="-2"/>
        </w:rPr>
        <w:t>either</w:t>
      </w:r>
      <w:r>
        <w:rPr>
          <w:spacing w:val="-11"/>
        </w:rPr>
        <w:t> </w:t>
      </w:r>
      <w:r>
        <w:rPr>
          <w:spacing w:val="-2"/>
        </w:rPr>
        <w:t>submissive </w:t>
      </w:r>
      <w:r>
        <w:rPr/>
        <w:t>victims</w:t>
      </w:r>
      <w:r>
        <w:rPr>
          <w:spacing w:val="10"/>
        </w:rPr>
        <w:t> </w:t>
      </w:r>
      <w:r>
        <w:rPr/>
        <w:t>or</w:t>
      </w:r>
      <w:r>
        <w:rPr>
          <w:spacing w:val="12"/>
        </w:rPr>
        <w:t> </w:t>
      </w:r>
      <w:r>
        <w:rPr/>
        <w:t>disruptive</w:t>
      </w:r>
      <w:r>
        <w:rPr>
          <w:spacing w:val="10"/>
        </w:rPr>
        <w:t> </w:t>
      </w:r>
      <w:r>
        <w:rPr/>
        <w:t>women</w:t>
      </w:r>
      <w:r>
        <w:rPr>
          <w:spacing w:val="12"/>
        </w:rPr>
        <w:t> </w:t>
      </w:r>
      <w:r>
        <w:rPr/>
        <w:t>whose</w:t>
      </w:r>
      <w:r>
        <w:rPr>
          <w:spacing w:val="10"/>
        </w:rPr>
        <w:t> </w:t>
      </w:r>
      <w:r>
        <w:rPr/>
        <w:t>ambitions</w:t>
      </w:r>
      <w:r>
        <w:rPr>
          <w:spacing w:val="12"/>
        </w:rPr>
        <w:t> </w:t>
      </w:r>
      <w:r>
        <w:rPr/>
        <w:t>destabilize</w:t>
      </w:r>
      <w:r>
        <w:rPr>
          <w:spacing w:val="11"/>
        </w:rPr>
        <w:t> </w:t>
      </w:r>
      <w:r>
        <w:rPr/>
        <w:t>social</w:t>
      </w:r>
      <w:r>
        <w:rPr>
          <w:spacing w:val="12"/>
        </w:rPr>
        <w:t> </w:t>
      </w:r>
      <w:r>
        <w:rPr>
          <w:spacing w:val="-2"/>
        </w:rPr>
        <w:t>order.</w:t>
      </w:r>
    </w:p>
    <w:p>
      <w:pPr>
        <w:pStyle w:val="BodyText"/>
        <w:spacing w:line="249" w:lineRule="auto" w:before="69"/>
        <w:ind w:right="1436" w:firstLine="432"/>
        <w:jc w:val="both"/>
      </w:pPr>
      <w:r>
        <w:rPr/>
        <w:t>However, the emergence of feminist literary criticism during the late twentieth century and the development of contemporary socio-political movements such as the #MeToo movement have encouraged scholars to reconsider these assumptions. Through feminist and contemporary interpretative frameworks, Shakespeare’s women increasingly appear not as passive figures but as complex individuals negotiating systems of power that regulate speech, identity, and </w:t>
      </w:r>
      <w:r>
        <w:rPr>
          <w:spacing w:val="-2"/>
        </w:rPr>
        <w:t>autonomy.</w:t>
      </w:r>
    </w:p>
    <w:p>
      <w:pPr>
        <w:pStyle w:val="BodyText"/>
        <w:spacing w:line="249" w:lineRule="auto" w:before="64"/>
        <w:ind w:right="1441" w:firstLine="432"/>
        <w:jc w:val="both"/>
      </w:pPr>
      <w:r>
        <w:rPr>
          <w:spacing w:val="-2"/>
        </w:rPr>
        <w:t>Understanding</w:t>
      </w:r>
      <w:r>
        <w:rPr>
          <w:spacing w:val="-9"/>
        </w:rPr>
        <w:t> </w:t>
      </w:r>
      <w:r>
        <w:rPr>
          <w:spacing w:val="-2"/>
        </w:rPr>
        <w:t>the</w:t>
      </w:r>
      <w:r>
        <w:rPr>
          <w:spacing w:val="-9"/>
        </w:rPr>
        <w:t> </w:t>
      </w:r>
      <w:r>
        <w:rPr>
          <w:spacing w:val="-2"/>
        </w:rPr>
        <w:t>representation</w:t>
      </w:r>
      <w:r>
        <w:rPr>
          <w:spacing w:val="-9"/>
        </w:rPr>
        <w:t> </w:t>
      </w:r>
      <w:r>
        <w:rPr>
          <w:spacing w:val="-2"/>
        </w:rPr>
        <w:t>of</w:t>
      </w:r>
      <w:r>
        <w:rPr>
          <w:spacing w:val="-9"/>
        </w:rPr>
        <w:t> </w:t>
      </w:r>
      <w:r>
        <w:rPr>
          <w:spacing w:val="-2"/>
        </w:rPr>
        <w:t>women</w:t>
      </w:r>
      <w:r>
        <w:rPr>
          <w:spacing w:val="-11"/>
        </w:rPr>
        <w:t> </w:t>
      </w:r>
      <w:r>
        <w:rPr>
          <w:spacing w:val="-2"/>
        </w:rPr>
        <w:t>in</w:t>
      </w:r>
      <w:r>
        <w:rPr>
          <w:spacing w:val="-8"/>
        </w:rPr>
        <w:t> </w:t>
      </w:r>
      <w:r>
        <w:rPr>
          <w:spacing w:val="-2"/>
        </w:rPr>
        <w:t>Shakespeare</w:t>
      </w:r>
      <w:r>
        <w:rPr>
          <w:spacing w:val="-6"/>
        </w:rPr>
        <w:t> </w:t>
      </w:r>
      <w:r>
        <w:rPr>
          <w:spacing w:val="-2"/>
        </w:rPr>
        <w:t>requires </w:t>
      </w:r>
      <w:r>
        <w:rPr/>
        <w:t>consideration</w:t>
      </w:r>
      <w:r>
        <w:rPr>
          <w:spacing w:val="27"/>
        </w:rPr>
        <w:t> </w:t>
      </w:r>
      <w:r>
        <w:rPr/>
        <w:t>of</w:t>
      </w:r>
      <w:r>
        <w:rPr>
          <w:spacing w:val="28"/>
        </w:rPr>
        <w:t> </w:t>
      </w:r>
      <w:r>
        <w:rPr/>
        <w:t>the</w:t>
      </w:r>
      <w:r>
        <w:rPr>
          <w:spacing w:val="28"/>
        </w:rPr>
        <w:t> </w:t>
      </w:r>
      <w:r>
        <w:rPr/>
        <w:t>historical</w:t>
      </w:r>
      <w:r>
        <w:rPr>
          <w:spacing w:val="28"/>
        </w:rPr>
        <w:t> </w:t>
      </w:r>
      <w:r>
        <w:rPr/>
        <w:t>context</w:t>
      </w:r>
      <w:r>
        <w:rPr>
          <w:spacing w:val="26"/>
        </w:rPr>
        <w:t> </w:t>
      </w:r>
      <w:r>
        <w:rPr/>
        <w:t>of</w:t>
      </w:r>
      <w:r>
        <w:rPr>
          <w:spacing w:val="27"/>
        </w:rPr>
        <w:t> </w:t>
      </w:r>
      <w:r>
        <w:rPr/>
        <w:t>early</w:t>
      </w:r>
      <w:r>
        <w:rPr>
          <w:spacing w:val="24"/>
        </w:rPr>
        <w:t> </w:t>
      </w:r>
      <w:r>
        <w:rPr/>
        <w:t>modern</w:t>
      </w:r>
      <w:r>
        <w:rPr>
          <w:spacing w:val="26"/>
        </w:rPr>
        <w:t> </w:t>
      </w:r>
      <w:r>
        <w:rPr/>
        <w:t>England.</w:t>
      </w:r>
      <w:r>
        <w:rPr>
          <w:spacing w:val="29"/>
        </w:rPr>
        <w:t> </w:t>
      </w:r>
      <w:r>
        <w:rPr>
          <w:spacing w:val="-5"/>
        </w:rPr>
        <w:t>The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63104">
                <wp:simplePos x="0" y="0"/>
                <wp:positionH relativeFrom="page">
                  <wp:posOffset>2057400</wp:posOffset>
                </wp:positionH>
                <wp:positionV relativeFrom="paragraph">
                  <wp:posOffset>162604</wp:posOffset>
                </wp:positionV>
                <wp:extent cx="3657600" cy="12700"/>
                <wp:effectExtent l="0" t="0" r="0" b="0"/>
                <wp:wrapTopAndBottom/>
                <wp:docPr id="261" name="Graphic 261"/>
                <wp:cNvGraphicFramePr>
                  <a:graphicFrameLocks/>
                </wp:cNvGraphicFramePr>
                <a:graphic>
                  <a:graphicData uri="http://schemas.microsoft.com/office/word/2010/wordprocessingShape">
                    <wps:wsp>
                      <wps:cNvPr id="261" name="Graphic 26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53376;mso-wrap-distance-left:0;mso-wrap-distance-right:0" id="docshape257" filled="true" fillcolor="#000000" stroked="false">
                <v:fill type="solid"/>
                <w10:wrap type="topAndBottom"/>
              </v:rect>
            </w:pict>
          </mc:Fallback>
        </mc:AlternateContent>
      </w:r>
      <w:r>
        <w:rPr>
          <w:rFonts w:ascii="Verdana"/>
          <w:spacing w:val="-5"/>
          <w:sz w:val="18"/>
        </w:rPr>
        <w:t>78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social</w:t>
      </w:r>
      <w:r>
        <w:rPr>
          <w:spacing w:val="-13"/>
        </w:rPr>
        <w:t> </w:t>
      </w:r>
      <w:r>
        <w:rPr/>
        <w:t>order</w:t>
      </w:r>
      <w:r>
        <w:rPr>
          <w:spacing w:val="-12"/>
        </w:rPr>
        <w:t> </w:t>
      </w:r>
      <w:r>
        <w:rPr/>
        <w:t>of</w:t>
      </w:r>
      <w:r>
        <w:rPr>
          <w:spacing w:val="-12"/>
        </w:rPr>
        <w:t> </w:t>
      </w:r>
      <w:r>
        <w:rPr/>
        <w:t>the</w:t>
      </w:r>
      <w:r>
        <w:rPr>
          <w:spacing w:val="-11"/>
        </w:rPr>
        <w:t> </w:t>
      </w:r>
      <w:r>
        <w:rPr/>
        <w:t>sixteenth</w:t>
      </w:r>
      <w:r>
        <w:rPr>
          <w:spacing w:val="-13"/>
        </w:rPr>
        <w:t> </w:t>
      </w:r>
      <w:r>
        <w:rPr/>
        <w:t>and</w:t>
      </w:r>
      <w:r>
        <w:rPr>
          <w:spacing w:val="-11"/>
        </w:rPr>
        <w:t> </w:t>
      </w:r>
      <w:r>
        <w:rPr/>
        <w:t>early</w:t>
      </w:r>
      <w:r>
        <w:rPr>
          <w:spacing w:val="-13"/>
        </w:rPr>
        <w:t> </w:t>
      </w:r>
      <w:r>
        <w:rPr/>
        <w:t>seventeenth</w:t>
      </w:r>
      <w:r>
        <w:rPr>
          <w:spacing w:val="-12"/>
        </w:rPr>
        <w:t> </w:t>
      </w:r>
      <w:r>
        <w:rPr/>
        <w:t>centuries</w:t>
      </w:r>
      <w:r>
        <w:rPr>
          <w:spacing w:val="-13"/>
        </w:rPr>
        <w:t> </w:t>
      </w:r>
      <w:r>
        <w:rPr/>
        <w:t>was</w:t>
      </w:r>
      <w:r>
        <w:rPr>
          <w:spacing w:val="-12"/>
        </w:rPr>
        <w:t> </w:t>
      </w:r>
      <w:r>
        <w:rPr/>
        <w:t>strongly patriarchal,</w:t>
      </w:r>
      <w:r>
        <w:rPr>
          <w:spacing w:val="-11"/>
        </w:rPr>
        <w:t> </w:t>
      </w:r>
      <w:r>
        <w:rPr/>
        <w:t>emphasizing</w:t>
      </w:r>
      <w:r>
        <w:rPr>
          <w:spacing w:val="-10"/>
        </w:rPr>
        <w:t> </w:t>
      </w:r>
      <w:r>
        <w:rPr/>
        <w:t>male</w:t>
      </w:r>
      <w:r>
        <w:rPr>
          <w:spacing w:val="-12"/>
        </w:rPr>
        <w:t> </w:t>
      </w:r>
      <w:r>
        <w:rPr/>
        <w:t>authority</w:t>
      </w:r>
      <w:r>
        <w:rPr>
          <w:spacing w:val="-13"/>
        </w:rPr>
        <w:t> </w:t>
      </w:r>
      <w:r>
        <w:rPr/>
        <w:t>within</w:t>
      </w:r>
      <w:r>
        <w:rPr>
          <w:spacing w:val="-11"/>
        </w:rPr>
        <w:t> </w:t>
      </w:r>
      <w:r>
        <w:rPr/>
        <w:t>both</w:t>
      </w:r>
      <w:r>
        <w:rPr>
          <w:spacing w:val="-10"/>
        </w:rPr>
        <w:t> </w:t>
      </w:r>
      <w:r>
        <w:rPr/>
        <w:t>domestic</w:t>
      </w:r>
      <w:r>
        <w:rPr>
          <w:spacing w:val="-11"/>
        </w:rPr>
        <w:t> </w:t>
      </w:r>
      <w:r>
        <w:rPr/>
        <w:t>and</w:t>
      </w:r>
      <w:r>
        <w:rPr>
          <w:spacing w:val="-9"/>
        </w:rPr>
        <w:t> </w:t>
      </w:r>
      <w:r>
        <w:rPr/>
        <w:t>public spheres.</w:t>
      </w:r>
      <w:r>
        <w:rPr>
          <w:spacing w:val="-3"/>
        </w:rPr>
        <w:t> </w:t>
      </w:r>
      <w:r>
        <w:rPr/>
        <w:t>Women</w:t>
      </w:r>
      <w:r>
        <w:rPr>
          <w:spacing w:val="-3"/>
        </w:rPr>
        <w:t> </w:t>
      </w:r>
      <w:r>
        <w:rPr/>
        <w:t>were</w:t>
      </w:r>
      <w:r>
        <w:rPr>
          <w:spacing w:val="-3"/>
        </w:rPr>
        <w:t> </w:t>
      </w:r>
      <w:r>
        <w:rPr/>
        <w:t>expected</w:t>
      </w:r>
      <w:r>
        <w:rPr>
          <w:spacing w:val="-3"/>
        </w:rPr>
        <w:t> </w:t>
      </w:r>
      <w:r>
        <w:rPr/>
        <w:t>to</w:t>
      </w:r>
      <w:r>
        <w:rPr>
          <w:spacing w:val="-1"/>
        </w:rPr>
        <w:t> </w:t>
      </w:r>
      <w:r>
        <w:rPr/>
        <w:t>demonstrate</w:t>
      </w:r>
      <w:r>
        <w:rPr>
          <w:spacing w:val="-2"/>
        </w:rPr>
        <w:t> </w:t>
      </w:r>
      <w:r>
        <w:rPr/>
        <w:t>obedience,</w:t>
      </w:r>
      <w:r>
        <w:rPr>
          <w:spacing w:val="-3"/>
        </w:rPr>
        <w:t> </w:t>
      </w:r>
      <w:r>
        <w:rPr/>
        <w:t>chastity,</w:t>
      </w:r>
      <w:r>
        <w:rPr>
          <w:spacing w:val="-3"/>
        </w:rPr>
        <w:t> </w:t>
      </w:r>
      <w:r>
        <w:rPr/>
        <w:t>and silence, and their identities were largely defined through relationships with fathers and husbands. Within such a framework, female independence was often perceived as a threat to social stability. Shakespeare’s plays reflect this cultural environment, yet they also reveal tensions within it. Female characters frequently confront or challenge patriarchal authority, thereby exposing the limitations of the social</w:t>
      </w:r>
      <w:r>
        <w:rPr>
          <w:spacing w:val="40"/>
        </w:rPr>
        <w:t> </w:t>
      </w:r>
      <w:r>
        <w:rPr/>
        <w:t>systems</w:t>
      </w:r>
      <w:r>
        <w:rPr>
          <w:spacing w:val="40"/>
        </w:rPr>
        <w:t> </w:t>
      </w:r>
      <w:r>
        <w:rPr/>
        <w:t>that</w:t>
      </w:r>
      <w:r>
        <w:rPr>
          <w:spacing w:val="40"/>
        </w:rPr>
        <w:t> </w:t>
      </w:r>
      <w:r>
        <w:rPr/>
        <w:t>attempt</w:t>
      </w:r>
      <w:r>
        <w:rPr>
          <w:spacing w:val="40"/>
        </w:rPr>
        <w:t> </w:t>
      </w:r>
      <w:r>
        <w:rPr/>
        <w:t>to</w:t>
      </w:r>
      <w:r>
        <w:rPr>
          <w:spacing w:val="40"/>
        </w:rPr>
        <w:t> </w:t>
      </w:r>
      <w:r>
        <w:rPr/>
        <w:t>regulate</w:t>
      </w:r>
      <w:r>
        <w:rPr>
          <w:spacing w:val="40"/>
        </w:rPr>
        <w:t> </w:t>
      </w:r>
      <w:r>
        <w:rPr/>
        <w:t>them.</w:t>
      </w:r>
    </w:p>
    <w:p>
      <w:pPr>
        <w:pStyle w:val="BodyText"/>
        <w:spacing w:line="249" w:lineRule="auto" w:before="66"/>
        <w:ind w:right="1438" w:firstLine="432"/>
        <w:jc w:val="both"/>
      </w:pPr>
      <w:r>
        <w:rPr/>
        <w:t>Feminist critics have played a significant role in uncovering these </w:t>
      </w:r>
      <w:r>
        <w:rPr>
          <w:spacing w:val="9"/>
        </w:rPr>
        <w:t>tensions.</w:t>
      </w:r>
      <w:r>
        <w:rPr>
          <w:spacing w:val="9"/>
        </w:rPr>
        <w:t> </w:t>
      </w:r>
      <w:r>
        <w:rPr/>
        <w:t>Early </w:t>
      </w:r>
      <w:r>
        <w:rPr>
          <w:spacing w:val="10"/>
        </w:rPr>
        <w:t>scholarship</w:t>
      </w:r>
      <w:r>
        <w:rPr>
          <w:spacing w:val="10"/>
        </w:rPr>
        <w:t> </w:t>
      </w:r>
      <w:r>
        <w:rPr/>
        <w:t>by Juliet </w:t>
      </w:r>
      <w:r>
        <w:rPr>
          <w:spacing w:val="9"/>
        </w:rPr>
        <w:t>Dusinberre</w:t>
      </w:r>
      <w:r>
        <w:rPr>
          <w:spacing w:val="9"/>
        </w:rPr>
        <w:t> argued</w:t>
      </w:r>
      <w:r>
        <w:rPr>
          <w:spacing w:val="9"/>
        </w:rPr>
        <w:t> </w:t>
      </w:r>
      <w:r>
        <w:rPr/>
        <w:t>that Shakespeare’s works present women with far greater intellectual and emotional complexity than earlier criticism</w:t>
      </w:r>
      <w:r>
        <w:rPr>
          <w:spacing w:val="-1"/>
        </w:rPr>
        <w:t> </w:t>
      </w:r>
      <w:r>
        <w:rPr/>
        <w:t>acknowledged (Dusinberre, 1975). Later scholars expanded these perspectives through theoretical approaches that examine gender as a social construction. In particular, Judith Butler argues that gender operates through performative acts</w:t>
      </w:r>
      <w:r>
        <w:rPr>
          <w:spacing w:val="80"/>
        </w:rPr>
        <w:t> </w:t>
      </w:r>
      <w:r>
        <w:rPr>
          <w:spacing w:val="-2"/>
        </w:rPr>
        <w:t>that</w:t>
      </w:r>
      <w:r>
        <w:rPr>
          <w:spacing w:val="-11"/>
        </w:rPr>
        <w:t> </w:t>
      </w:r>
      <w:r>
        <w:rPr>
          <w:spacing w:val="-2"/>
        </w:rPr>
        <w:t>produce</w:t>
      </w:r>
      <w:r>
        <w:rPr>
          <w:spacing w:val="-10"/>
        </w:rPr>
        <w:t> </w:t>
      </w:r>
      <w:r>
        <w:rPr>
          <w:spacing w:val="-2"/>
        </w:rPr>
        <w:t>the</w:t>
      </w:r>
      <w:r>
        <w:rPr>
          <w:spacing w:val="-11"/>
        </w:rPr>
        <w:t> </w:t>
      </w:r>
      <w:r>
        <w:rPr>
          <w:spacing w:val="-2"/>
        </w:rPr>
        <w:t>illusion</w:t>
      </w:r>
      <w:r>
        <w:rPr>
          <w:spacing w:val="-10"/>
        </w:rPr>
        <w:t> </w:t>
      </w:r>
      <w:r>
        <w:rPr>
          <w:spacing w:val="-2"/>
        </w:rPr>
        <w:t>of</w:t>
      </w:r>
      <w:r>
        <w:rPr>
          <w:spacing w:val="-11"/>
        </w:rPr>
        <w:t> </w:t>
      </w:r>
      <w:r>
        <w:rPr>
          <w:spacing w:val="-2"/>
        </w:rPr>
        <w:t>stable</w:t>
      </w:r>
      <w:r>
        <w:rPr>
          <w:spacing w:val="-7"/>
        </w:rPr>
        <w:t> </w:t>
      </w:r>
      <w:r>
        <w:rPr>
          <w:spacing w:val="-2"/>
        </w:rPr>
        <w:t>identity.</w:t>
      </w:r>
      <w:r>
        <w:rPr>
          <w:spacing w:val="-11"/>
        </w:rPr>
        <w:t> </w:t>
      </w:r>
      <w:r>
        <w:rPr>
          <w:spacing w:val="-2"/>
        </w:rPr>
        <w:t>When</w:t>
      </w:r>
      <w:r>
        <w:rPr>
          <w:spacing w:val="-10"/>
        </w:rPr>
        <w:t> </w:t>
      </w:r>
      <w:r>
        <w:rPr>
          <w:spacing w:val="-2"/>
        </w:rPr>
        <w:t>applied</w:t>
      </w:r>
      <w:r>
        <w:rPr>
          <w:spacing w:val="-7"/>
        </w:rPr>
        <w:t> </w:t>
      </w:r>
      <w:r>
        <w:rPr>
          <w:spacing w:val="-2"/>
        </w:rPr>
        <w:t>to</w:t>
      </w:r>
      <w:r>
        <w:rPr>
          <w:spacing w:val="-9"/>
        </w:rPr>
        <w:t> </w:t>
      </w:r>
      <w:r>
        <w:rPr>
          <w:spacing w:val="-2"/>
        </w:rPr>
        <w:t>Shakespeare’s </w:t>
      </w:r>
      <w:r>
        <w:rPr/>
        <w:t>plays, this perspective reveals how female characters both conform to and subvert the expectations associated with femininity. Meanwhile, feminist critic Elaine Showalter emphasizes the cultural significance of female madness in literature, interpreting</w:t>
      </w:r>
      <w:r>
        <w:rPr>
          <w:spacing w:val="-2"/>
        </w:rPr>
        <w:t> </w:t>
      </w:r>
      <w:r>
        <w:rPr/>
        <w:t>it as</w:t>
      </w:r>
      <w:r>
        <w:rPr>
          <w:spacing w:val="-2"/>
        </w:rPr>
        <w:t> </w:t>
      </w:r>
      <w:r>
        <w:rPr/>
        <w:t>a symbolic expression</w:t>
      </w:r>
      <w:r>
        <w:rPr>
          <w:spacing w:val="-2"/>
        </w:rPr>
        <w:t> </w:t>
      </w:r>
      <w:r>
        <w:rPr/>
        <w:t>of social oppression (Showalter, 1985). These theoretical insights have transformed the study of Shakespeare’s women by highlighting their capacity</w:t>
      </w:r>
      <w:r>
        <w:rPr>
          <w:spacing w:val="40"/>
        </w:rPr>
        <w:t> </w:t>
      </w:r>
      <w:r>
        <w:rPr/>
        <w:t>for</w:t>
      </w:r>
      <w:r>
        <w:rPr>
          <w:spacing w:val="40"/>
        </w:rPr>
        <w:t> </w:t>
      </w:r>
      <w:r>
        <w:rPr/>
        <w:t>agency</w:t>
      </w:r>
      <w:r>
        <w:rPr>
          <w:spacing w:val="40"/>
        </w:rPr>
        <w:t> </w:t>
      </w:r>
      <w:r>
        <w:rPr/>
        <w:t>within</w:t>
      </w:r>
      <w:r>
        <w:rPr>
          <w:spacing w:val="40"/>
        </w:rPr>
        <w:t> </w:t>
      </w:r>
      <w:r>
        <w:rPr/>
        <w:t>restrictive</w:t>
      </w:r>
      <w:r>
        <w:rPr>
          <w:spacing w:val="40"/>
        </w:rPr>
        <w:t> </w:t>
      </w:r>
      <w:r>
        <w:rPr/>
        <w:t>social</w:t>
      </w:r>
      <w:r>
        <w:rPr>
          <w:spacing w:val="40"/>
        </w:rPr>
        <w:t> </w:t>
      </w:r>
      <w:r>
        <w:rPr/>
        <w:t>systems.</w:t>
      </w:r>
    </w:p>
    <w:p>
      <w:pPr>
        <w:pStyle w:val="BodyText"/>
        <w:spacing w:line="249" w:lineRule="auto" w:before="70"/>
        <w:ind w:right="1433" w:firstLine="432"/>
        <w:jc w:val="both"/>
      </w:pPr>
      <w:r>
        <w:rPr/>
        <w:t>Recent</w:t>
      </w:r>
      <w:r>
        <w:rPr>
          <w:spacing w:val="-13"/>
        </w:rPr>
        <w:t> </w:t>
      </w:r>
      <w:r>
        <w:rPr/>
        <w:t>cultural</w:t>
      </w:r>
      <w:r>
        <w:rPr>
          <w:spacing w:val="-12"/>
        </w:rPr>
        <w:t> </w:t>
      </w:r>
      <w:r>
        <w:rPr/>
        <w:t>movements</w:t>
      </w:r>
      <w:r>
        <w:rPr>
          <w:spacing w:val="-13"/>
        </w:rPr>
        <w:t> </w:t>
      </w:r>
      <w:r>
        <w:rPr/>
        <w:t>have</w:t>
      </w:r>
      <w:r>
        <w:rPr>
          <w:spacing w:val="-12"/>
        </w:rPr>
        <w:t> </w:t>
      </w:r>
      <w:r>
        <w:rPr/>
        <w:t>further</w:t>
      </w:r>
      <w:r>
        <w:rPr>
          <w:spacing w:val="-13"/>
        </w:rPr>
        <w:t> </w:t>
      </w:r>
      <w:r>
        <w:rPr/>
        <w:t>reshaped</w:t>
      </w:r>
      <w:r>
        <w:rPr>
          <w:spacing w:val="-12"/>
        </w:rPr>
        <w:t> </w:t>
      </w:r>
      <w:r>
        <w:rPr/>
        <w:t>the</w:t>
      </w:r>
      <w:r>
        <w:rPr>
          <w:spacing w:val="-13"/>
        </w:rPr>
        <w:t> </w:t>
      </w:r>
      <w:r>
        <w:rPr/>
        <w:t>interpretation of canonical literature. The #MeToo movement, which gained global prominence in 2017, brought renewed attention to issues of gender inequality, systemic violence, and the silencing of women’s voices. By </w:t>
      </w:r>
      <w:r>
        <w:rPr>
          <w:spacing w:val="-2"/>
        </w:rPr>
        <w:t>foregrounding</w:t>
      </w:r>
      <w:r>
        <w:rPr>
          <w:spacing w:val="-5"/>
        </w:rPr>
        <w:t> </w:t>
      </w:r>
      <w:r>
        <w:rPr>
          <w:spacing w:val="-2"/>
        </w:rPr>
        <w:t>women’s</w:t>
      </w:r>
      <w:r>
        <w:rPr>
          <w:spacing w:val="-5"/>
        </w:rPr>
        <w:t> </w:t>
      </w:r>
      <w:r>
        <w:rPr>
          <w:spacing w:val="-2"/>
        </w:rPr>
        <w:t>experiences</w:t>
      </w:r>
      <w:r>
        <w:rPr>
          <w:spacing w:val="-5"/>
        </w:rPr>
        <w:t> </w:t>
      </w:r>
      <w:r>
        <w:rPr>
          <w:spacing w:val="-2"/>
        </w:rPr>
        <w:t>and</w:t>
      </w:r>
      <w:r>
        <w:rPr>
          <w:spacing w:val="-5"/>
        </w:rPr>
        <w:t> </w:t>
      </w:r>
      <w:r>
        <w:rPr>
          <w:spacing w:val="-2"/>
        </w:rPr>
        <w:t>challenging</w:t>
      </w:r>
      <w:r>
        <w:rPr>
          <w:spacing w:val="-5"/>
        </w:rPr>
        <w:t> </w:t>
      </w:r>
      <w:r>
        <w:rPr>
          <w:spacing w:val="-2"/>
        </w:rPr>
        <w:t>structures</w:t>
      </w:r>
      <w:r>
        <w:rPr>
          <w:spacing w:val="-5"/>
        </w:rPr>
        <w:t> </w:t>
      </w:r>
      <w:r>
        <w:rPr>
          <w:spacing w:val="-2"/>
        </w:rPr>
        <w:t>of</w:t>
      </w:r>
      <w:r>
        <w:rPr>
          <w:spacing w:val="-5"/>
        </w:rPr>
        <w:t> </w:t>
      </w:r>
      <w:r>
        <w:rPr>
          <w:spacing w:val="-2"/>
        </w:rPr>
        <w:t>power, </w:t>
      </w:r>
      <w:r>
        <w:rPr/>
        <w:t>the movement has encouraged scholars to reconsider how literature represents gendered injustice. In this context, the experiences of Shakespeare’s female characters resonate strongly with contemporary discussions of voice and resistance. Their struggles reveal how patriarchal systems operate through suspicion, control, and the suppression</w:t>
      </w:r>
      <w:r>
        <w:rPr>
          <w:spacing w:val="40"/>
        </w:rPr>
        <w:t> </w:t>
      </w:r>
      <w:r>
        <w:rPr/>
        <w:t>of</w:t>
      </w:r>
      <w:r>
        <w:rPr>
          <w:spacing w:val="40"/>
        </w:rPr>
        <w:t> </w:t>
      </w:r>
      <w:r>
        <w:rPr/>
        <w:t>female</w:t>
      </w:r>
      <w:r>
        <w:rPr>
          <w:spacing w:val="40"/>
        </w:rPr>
        <w:t> </w:t>
      </w:r>
      <w:r>
        <w:rPr/>
        <w:t>testimony.</w:t>
      </w:r>
    </w:p>
    <w:p>
      <w:pPr>
        <w:pStyle w:val="BodyText"/>
        <w:spacing w:line="249" w:lineRule="auto" w:before="69"/>
        <w:ind w:right="1438" w:firstLine="432"/>
        <w:jc w:val="both"/>
      </w:pPr>
      <w:r>
        <w:rPr/>
        <w:t>Desdemona’s character in </w:t>
      </w:r>
      <w:r>
        <w:rPr>
          <w:i/>
        </w:rPr>
        <w:t>Othello </w:t>
      </w:r>
      <w:r>
        <w:rPr/>
        <w:t>offers a</w:t>
      </w:r>
      <w:r>
        <w:rPr>
          <w:spacing w:val="-1"/>
        </w:rPr>
        <w:t> </w:t>
      </w:r>
      <w:r>
        <w:rPr/>
        <w:t>compelling example of how</w:t>
      </w:r>
      <w:r>
        <w:rPr>
          <w:spacing w:val="-7"/>
        </w:rPr>
        <w:t> </w:t>
      </w:r>
      <w:r>
        <w:rPr/>
        <w:t>female</w:t>
      </w:r>
      <w:r>
        <w:rPr>
          <w:spacing w:val="-3"/>
        </w:rPr>
        <w:t> </w:t>
      </w:r>
      <w:r>
        <w:rPr/>
        <w:t>agency</w:t>
      </w:r>
      <w:r>
        <w:rPr>
          <w:spacing w:val="-5"/>
        </w:rPr>
        <w:t> </w:t>
      </w:r>
      <w:r>
        <w:rPr/>
        <w:t>can</w:t>
      </w:r>
      <w:r>
        <w:rPr>
          <w:spacing w:val="-5"/>
        </w:rPr>
        <w:t> </w:t>
      </w:r>
      <w:r>
        <w:rPr/>
        <w:t>emerge</w:t>
      </w:r>
      <w:r>
        <w:rPr>
          <w:spacing w:val="-3"/>
        </w:rPr>
        <w:t> </w:t>
      </w:r>
      <w:r>
        <w:rPr/>
        <w:t>within</w:t>
      </w:r>
      <w:r>
        <w:rPr>
          <w:spacing w:val="-5"/>
        </w:rPr>
        <w:t> </w:t>
      </w:r>
      <w:r>
        <w:rPr/>
        <w:t>patriarchal</w:t>
      </w:r>
      <w:r>
        <w:rPr>
          <w:spacing w:val="-2"/>
        </w:rPr>
        <w:t> </w:t>
      </w:r>
      <w:r>
        <w:rPr/>
        <w:t>constraints.</w:t>
      </w:r>
      <w:r>
        <w:rPr>
          <w:spacing w:val="-12"/>
        </w:rPr>
        <w:t> </w:t>
      </w:r>
      <w:r>
        <w:rPr/>
        <w:t>Although </w:t>
      </w:r>
      <w:r>
        <w:rPr>
          <w:spacing w:val="-2"/>
        </w:rPr>
        <w:t>she</w:t>
      </w:r>
      <w:r>
        <w:rPr>
          <w:spacing w:val="-7"/>
        </w:rPr>
        <w:t> </w:t>
      </w:r>
      <w:r>
        <w:rPr>
          <w:spacing w:val="-2"/>
        </w:rPr>
        <w:t>is</w:t>
      </w:r>
      <w:r>
        <w:rPr>
          <w:spacing w:val="-9"/>
        </w:rPr>
        <w:t> </w:t>
      </w:r>
      <w:r>
        <w:rPr>
          <w:spacing w:val="-2"/>
        </w:rPr>
        <w:t>often</w:t>
      </w:r>
      <w:r>
        <w:rPr>
          <w:spacing w:val="-7"/>
        </w:rPr>
        <w:t> </w:t>
      </w:r>
      <w:r>
        <w:rPr>
          <w:spacing w:val="-2"/>
        </w:rPr>
        <w:t>portrayed</w:t>
      </w:r>
      <w:r>
        <w:rPr>
          <w:spacing w:val="-7"/>
        </w:rPr>
        <w:t> </w:t>
      </w:r>
      <w:r>
        <w:rPr>
          <w:spacing w:val="-2"/>
        </w:rPr>
        <w:t>as</w:t>
      </w:r>
      <w:r>
        <w:rPr>
          <w:spacing w:val="-11"/>
        </w:rPr>
        <w:t> </w:t>
      </w:r>
      <w:r>
        <w:rPr>
          <w:spacing w:val="-2"/>
        </w:rPr>
        <w:t>the</w:t>
      </w:r>
      <w:r>
        <w:rPr>
          <w:spacing w:val="-8"/>
        </w:rPr>
        <w:t> </w:t>
      </w:r>
      <w:r>
        <w:rPr>
          <w:spacing w:val="-2"/>
        </w:rPr>
        <w:t>epitome</w:t>
      </w:r>
      <w:r>
        <w:rPr>
          <w:spacing w:val="-7"/>
        </w:rPr>
        <w:t> </w:t>
      </w:r>
      <w:r>
        <w:rPr>
          <w:spacing w:val="-2"/>
        </w:rPr>
        <w:t>of</w:t>
      </w:r>
      <w:r>
        <w:rPr>
          <w:spacing w:val="-9"/>
        </w:rPr>
        <w:t> </w:t>
      </w:r>
      <w:r>
        <w:rPr>
          <w:spacing w:val="-2"/>
        </w:rPr>
        <w:t>obedience</w:t>
      </w:r>
      <w:r>
        <w:rPr>
          <w:spacing w:val="-5"/>
        </w:rPr>
        <w:t> </w:t>
      </w:r>
      <w:r>
        <w:rPr>
          <w:spacing w:val="-2"/>
        </w:rPr>
        <w:t>and</w:t>
      </w:r>
      <w:r>
        <w:rPr>
          <w:spacing w:val="-7"/>
        </w:rPr>
        <w:t> </w:t>
      </w:r>
      <w:r>
        <w:rPr>
          <w:spacing w:val="-2"/>
        </w:rPr>
        <w:t>purity,</w:t>
      </w:r>
      <w:r>
        <w:rPr>
          <w:spacing w:val="-7"/>
        </w:rPr>
        <w:t> </w:t>
      </w:r>
      <w:r>
        <w:rPr>
          <w:spacing w:val="-2"/>
        </w:rPr>
        <w:t>Desdemona </w:t>
      </w:r>
      <w:r>
        <w:rPr/>
        <w:t>demonstrates</w:t>
      </w:r>
      <w:r>
        <w:rPr>
          <w:spacing w:val="-13"/>
        </w:rPr>
        <w:t> </w:t>
      </w:r>
      <w:r>
        <w:rPr/>
        <w:t>remarkable</w:t>
      </w:r>
      <w:r>
        <w:rPr>
          <w:spacing w:val="-12"/>
        </w:rPr>
        <w:t> </w:t>
      </w:r>
      <w:r>
        <w:rPr/>
        <w:t>independence</w:t>
      </w:r>
      <w:r>
        <w:rPr>
          <w:spacing w:val="-13"/>
        </w:rPr>
        <w:t> </w:t>
      </w:r>
      <w:r>
        <w:rPr/>
        <w:t>in</w:t>
      </w:r>
      <w:r>
        <w:rPr>
          <w:spacing w:val="-12"/>
        </w:rPr>
        <w:t> </w:t>
      </w:r>
      <w:r>
        <w:rPr/>
        <w:t>her</w:t>
      </w:r>
      <w:r>
        <w:rPr>
          <w:spacing w:val="-8"/>
        </w:rPr>
        <w:t> </w:t>
      </w:r>
      <w:r>
        <w:rPr/>
        <w:t>decision</w:t>
      </w:r>
      <w:r>
        <w:rPr>
          <w:spacing w:val="-13"/>
        </w:rPr>
        <w:t> </w:t>
      </w:r>
      <w:r>
        <w:rPr/>
        <w:t>to</w:t>
      </w:r>
      <w:r>
        <w:rPr>
          <w:spacing w:val="-8"/>
        </w:rPr>
        <w:t> </w:t>
      </w:r>
      <w:r>
        <w:rPr/>
        <w:t>marry</w:t>
      </w:r>
      <w:r>
        <w:rPr>
          <w:spacing w:val="-12"/>
        </w:rPr>
        <w:t> </w:t>
      </w:r>
      <w:r>
        <w:rPr>
          <w:spacing w:val="-2"/>
        </w:rPr>
        <w:t>Othello.</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4" w:val="left" w:leader="none"/>
        </w:tabs>
        <w:spacing w:before="0"/>
        <w:ind w:left="0" w:right="0"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63616">
                <wp:simplePos x="0" y="0"/>
                <wp:positionH relativeFrom="page">
                  <wp:posOffset>2065020</wp:posOffset>
                </wp:positionH>
                <wp:positionV relativeFrom="paragraph">
                  <wp:posOffset>162604</wp:posOffset>
                </wp:positionV>
                <wp:extent cx="3657600" cy="12700"/>
                <wp:effectExtent l="0" t="0" r="0" b="0"/>
                <wp:wrapTopAndBottom/>
                <wp:docPr id="262" name="Graphic 262"/>
                <wp:cNvGraphicFramePr>
                  <a:graphicFrameLocks/>
                </wp:cNvGraphicFramePr>
                <a:graphic>
                  <a:graphicData uri="http://schemas.microsoft.com/office/word/2010/wordprocessingShape">
                    <wps:wsp>
                      <wps:cNvPr id="262" name="Graphic 26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52864;mso-wrap-distance-left:0;mso-wrap-distance-right:0" id="docshape258" filled="true" fillcolor="#000000" stroked="false">
                <v:fill type="solid"/>
                <w10:wrap type="topAndBottom"/>
              </v:rect>
            </w:pict>
          </mc:Fallback>
        </mc:AlternateContent>
      </w:r>
      <w:r>
        <w:rPr>
          <w:rFonts w:ascii="Verdana" w:hAnsi="Verdana"/>
          <w:sz w:val="18"/>
        </w:rPr>
        <w:t>Reclaiming</w:t>
      </w:r>
      <w:r>
        <w:rPr>
          <w:rFonts w:ascii="Verdana" w:hAnsi="Verdana"/>
          <w:spacing w:val="4"/>
          <w:sz w:val="18"/>
        </w:rPr>
        <w:t> </w:t>
      </w:r>
      <w:r>
        <w:rPr>
          <w:rFonts w:ascii="Verdana" w:hAnsi="Verdana"/>
          <w:sz w:val="18"/>
        </w:rPr>
        <w:t>Voice and</w:t>
      </w:r>
      <w:r>
        <w:rPr>
          <w:rFonts w:ascii="Verdana" w:hAnsi="Verdana"/>
          <w:spacing w:val="1"/>
          <w:sz w:val="18"/>
        </w:rPr>
        <w:t> </w:t>
      </w:r>
      <w:r>
        <w:rPr>
          <w:rFonts w:ascii="Verdana" w:hAnsi="Verdana"/>
          <w:sz w:val="18"/>
        </w:rPr>
        <w:t>Agency:</w:t>
      </w:r>
      <w:r>
        <w:rPr>
          <w:rFonts w:ascii="Verdana" w:hAnsi="Verdana"/>
          <w:spacing w:val="1"/>
          <w:sz w:val="18"/>
        </w:rPr>
        <w:t> </w:t>
      </w:r>
      <w:r>
        <w:rPr>
          <w:rFonts w:ascii="Verdana" w:hAnsi="Verdana"/>
          <w:sz w:val="18"/>
        </w:rPr>
        <w:t>Re-reading</w:t>
      </w:r>
      <w:r>
        <w:rPr>
          <w:rFonts w:ascii="Verdana" w:hAnsi="Verdana"/>
          <w:spacing w:val="5"/>
          <w:sz w:val="18"/>
        </w:rPr>
        <w:t> </w:t>
      </w:r>
      <w:r>
        <w:rPr>
          <w:rFonts w:ascii="Verdana" w:hAnsi="Verdana"/>
          <w:spacing w:val="-2"/>
          <w:sz w:val="18"/>
        </w:rPr>
        <w:t>hakespeare’s...</w:t>
      </w:r>
      <w:r>
        <w:rPr>
          <w:rFonts w:ascii="Verdana" w:hAnsi="Verdana"/>
          <w:sz w:val="18"/>
        </w:rPr>
        <w:tab/>
      </w:r>
      <w:r>
        <w:rPr>
          <w:rFonts w:ascii="Verdana" w:hAnsi="Verdana"/>
          <w:spacing w:val="-5"/>
          <w:sz w:val="18"/>
        </w:rPr>
        <w:t>79</w:t>
      </w:r>
    </w:p>
    <w:p>
      <w:pPr>
        <w:spacing w:line="249" w:lineRule="auto" w:before="192"/>
        <w:ind w:left="1440" w:right="1439" w:firstLine="0"/>
        <w:jc w:val="both"/>
        <w:rPr>
          <w:sz w:val="20"/>
        </w:rPr>
      </w:pPr>
      <w:r>
        <w:rPr>
          <w:sz w:val="20"/>
        </w:rPr>
        <w:t>When she addresses the Venetian Senate, she articulates her position with clarity and confidence :</w:t>
      </w:r>
      <w:r>
        <w:rPr>
          <w:spacing w:val="80"/>
          <w:sz w:val="20"/>
        </w:rPr>
        <w:t> </w:t>
      </w:r>
      <w:r>
        <w:rPr>
          <w:i/>
          <w:sz w:val="20"/>
        </w:rPr>
        <w:t>“I do perceive here a divided duty” </w:t>
      </w:r>
      <w:r>
        <w:rPr>
          <w:sz w:val="20"/>
        </w:rPr>
        <w:t>(</w:t>
      </w:r>
      <w:r>
        <w:rPr>
          <w:i/>
          <w:sz w:val="20"/>
        </w:rPr>
        <w:t>Othello</w:t>
      </w:r>
      <w:r>
        <w:rPr>
          <w:i/>
          <w:spacing w:val="-16"/>
          <w:sz w:val="20"/>
        </w:rPr>
        <w:t> </w:t>
      </w:r>
      <w:r>
        <w:rPr>
          <w:sz w:val="20"/>
        </w:rPr>
        <w:t>1.3.179).</w:t>
      </w:r>
    </w:p>
    <w:p>
      <w:pPr>
        <w:pStyle w:val="BodyText"/>
        <w:spacing w:line="249" w:lineRule="auto" w:before="60"/>
        <w:ind w:right="1439" w:firstLine="432"/>
        <w:jc w:val="both"/>
      </w:pPr>
      <w:r>
        <w:rPr/>
        <w:t>In this statement she acknowledges the tension between filial obedience and marital loyalty</w:t>
      </w:r>
      <w:r>
        <w:rPr>
          <w:spacing w:val="-4"/>
        </w:rPr>
        <w:t> </w:t>
      </w:r>
      <w:r>
        <w:rPr/>
        <w:t>while asserting her right</w:t>
      </w:r>
      <w:r>
        <w:rPr>
          <w:spacing w:val="-1"/>
        </w:rPr>
        <w:t> </w:t>
      </w:r>
      <w:r>
        <w:rPr/>
        <w:t>to determine her own future. Her declaration challenges the authority of her father, Brabantio, who views her marriage as a betrayal of paternal control. Desdemona further explains her choice by invoking the example of her </w:t>
      </w:r>
      <w:r>
        <w:rPr>
          <w:spacing w:val="-2"/>
        </w:rPr>
        <w:t>mother:</w:t>
      </w:r>
    </w:p>
    <w:p>
      <w:pPr>
        <w:spacing w:line="249" w:lineRule="auto" w:before="63"/>
        <w:ind w:left="2160" w:right="2161" w:firstLine="0"/>
        <w:jc w:val="both"/>
        <w:rPr>
          <w:i/>
          <w:sz w:val="20"/>
        </w:rPr>
      </w:pPr>
      <w:r>
        <w:rPr>
          <w:i/>
          <w:sz w:val="20"/>
        </w:rPr>
        <w:t>“My noble father, / I do perceive here a divided duty…</w:t>
      </w:r>
      <w:r>
        <w:rPr>
          <w:i/>
          <w:spacing w:val="40"/>
          <w:sz w:val="20"/>
        </w:rPr>
        <w:t> </w:t>
      </w:r>
      <w:r>
        <w:rPr>
          <w:i/>
          <w:sz w:val="20"/>
        </w:rPr>
        <w:t>/</w:t>
      </w:r>
      <w:r>
        <w:rPr>
          <w:i/>
          <w:spacing w:val="40"/>
          <w:sz w:val="20"/>
        </w:rPr>
        <w:t> </w:t>
      </w:r>
      <w:r>
        <w:rPr>
          <w:i/>
          <w:sz w:val="20"/>
        </w:rPr>
        <w:t>But</w:t>
      </w:r>
      <w:r>
        <w:rPr>
          <w:i/>
          <w:spacing w:val="40"/>
          <w:sz w:val="20"/>
        </w:rPr>
        <w:t> </w:t>
      </w:r>
      <w:r>
        <w:rPr>
          <w:i/>
          <w:sz w:val="20"/>
        </w:rPr>
        <w:t>here’s</w:t>
      </w:r>
      <w:r>
        <w:rPr>
          <w:i/>
          <w:spacing w:val="40"/>
          <w:sz w:val="20"/>
        </w:rPr>
        <w:t> </w:t>
      </w:r>
      <w:r>
        <w:rPr>
          <w:i/>
          <w:sz w:val="20"/>
        </w:rPr>
        <w:t>my</w:t>
      </w:r>
      <w:r>
        <w:rPr>
          <w:i/>
          <w:spacing w:val="40"/>
          <w:sz w:val="20"/>
        </w:rPr>
        <w:t> </w:t>
      </w:r>
      <w:r>
        <w:rPr>
          <w:i/>
          <w:sz w:val="20"/>
        </w:rPr>
        <w:t>husband”</w:t>
      </w:r>
    </w:p>
    <w:p>
      <w:pPr>
        <w:spacing w:before="59"/>
        <w:ind w:left="2160" w:right="0" w:firstLine="0"/>
        <w:jc w:val="both"/>
        <w:rPr>
          <w:i/>
          <w:sz w:val="20"/>
        </w:rPr>
      </w:pPr>
      <w:r>
        <w:rPr>
          <w:i/>
          <w:sz w:val="20"/>
        </w:rPr>
        <w:t>(</w:t>
      </w:r>
      <w:r>
        <w:rPr>
          <w:sz w:val="20"/>
        </w:rPr>
        <w:t>Othello,</w:t>
      </w:r>
      <w:r>
        <w:rPr>
          <w:spacing w:val="37"/>
          <w:sz w:val="20"/>
        </w:rPr>
        <w:t> </w:t>
      </w:r>
      <w:r>
        <w:rPr>
          <w:i/>
          <w:sz w:val="20"/>
        </w:rPr>
        <w:t>1.3.182–</w:t>
      </w:r>
      <w:r>
        <w:rPr>
          <w:i/>
          <w:spacing w:val="-4"/>
          <w:sz w:val="20"/>
        </w:rPr>
        <w:t>184).</w:t>
      </w:r>
    </w:p>
    <w:p>
      <w:pPr>
        <w:pStyle w:val="BodyText"/>
        <w:spacing w:line="249" w:lineRule="auto" w:before="70"/>
        <w:ind w:right="1440" w:firstLine="432"/>
        <w:jc w:val="both"/>
      </w:pPr>
      <w:r>
        <w:rPr/>
        <w:t>This</w:t>
      </w:r>
      <w:r>
        <w:rPr>
          <w:spacing w:val="-7"/>
        </w:rPr>
        <w:t> </w:t>
      </w:r>
      <w:r>
        <w:rPr/>
        <w:t>speech</w:t>
      </w:r>
      <w:r>
        <w:rPr>
          <w:spacing w:val="-9"/>
        </w:rPr>
        <w:t> </w:t>
      </w:r>
      <w:r>
        <w:rPr/>
        <w:t>reveals</w:t>
      </w:r>
      <w:r>
        <w:rPr>
          <w:spacing w:val="-7"/>
        </w:rPr>
        <w:t> </w:t>
      </w:r>
      <w:r>
        <w:rPr/>
        <w:t>not</w:t>
      </w:r>
      <w:r>
        <w:rPr>
          <w:spacing w:val="-9"/>
        </w:rPr>
        <w:t> </w:t>
      </w:r>
      <w:r>
        <w:rPr/>
        <w:t>only</w:t>
      </w:r>
      <w:r>
        <w:rPr>
          <w:spacing w:val="-9"/>
        </w:rPr>
        <w:t> </w:t>
      </w:r>
      <w:r>
        <w:rPr/>
        <w:t>emotional</w:t>
      </w:r>
      <w:r>
        <w:rPr>
          <w:spacing w:val="-9"/>
        </w:rPr>
        <w:t> </w:t>
      </w:r>
      <w:r>
        <w:rPr/>
        <w:t>sincerity</w:t>
      </w:r>
      <w:r>
        <w:rPr>
          <w:spacing w:val="-9"/>
        </w:rPr>
        <w:t> </w:t>
      </w:r>
      <w:r>
        <w:rPr/>
        <w:t>but</w:t>
      </w:r>
      <w:r>
        <w:rPr>
          <w:spacing w:val="-10"/>
        </w:rPr>
        <w:t> </w:t>
      </w:r>
      <w:r>
        <w:rPr/>
        <w:t>also</w:t>
      </w:r>
      <w:r>
        <w:rPr>
          <w:spacing w:val="-6"/>
        </w:rPr>
        <w:t> </w:t>
      </w:r>
      <w:r>
        <w:rPr/>
        <w:t>rhetorical intelligence, undermining the assumption that she is merely a passive </w:t>
      </w:r>
      <w:r>
        <w:rPr>
          <w:spacing w:val="-2"/>
        </w:rPr>
        <w:t>character.</w:t>
      </w:r>
    </w:p>
    <w:p>
      <w:pPr>
        <w:spacing w:line="249" w:lineRule="auto" w:before="60"/>
        <w:ind w:left="1440" w:right="1440" w:firstLine="432"/>
        <w:jc w:val="both"/>
        <w:rPr>
          <w:sz w:val="20"/>
        </w:rPr>
      </w:pPr>
      <w:r>
        <w:rPr>
          <w:sz w:val="20"/>
        </w:rPr>
        <w:t>Throughout the play, Desdemona continues to assert her moral convictions. Her advocacy for Cassio illustrates her determination to defend justice even when doing so creates tension within her marriage. She</w:t>
      </w:r>
      <w:r>
        <w:rPr>
          <w:spacing w:val="-4"/>
          <w:sz w:val="20"/>
        </w:rPr>
        <w:t> </w:t>
      </w:r>
      <w:r>
        <w:rPr>
          <w:sz w:val="20"/>
        </w:rPr>
        <w:t>insists</w:t>
      </w:r>
      <w:r>
        <w:rPr>
          <w:spacing w:val="-8"/>
          <w:sz w:val="20"/>
        </w:rPr>
        <w:t> </w:t>
      </w:r>
      <w:r>
        <w:rPr>
          <w:sz w:val="20"/>
        </w:rPr>
        <w:t>that</w:t>
      </w:r>
      <w:r>
        <w:rPr>
          <w:spacing w:val="-5"/>
          <w:sz w:val="20"/>
        </w:rPr>
        <w:t> </w:t>
      </w:r>
      <w:r>
        <w:rPr>
          <w:sz w:val="20"/>
        </w:rPr>
        <w:t>Othello</w:t>
      </w:r>
      <w:r>
        <w:rPr>
          <w:spacing w:val="-5"/>
          <w:sz w:val="20"/>
        </w:rPr>
        <w:t> </w:t>
      </w:r>
      <w:r>
        <w:rPr>
          <w:sz w:val="20"/>
        </w:rPr>
        <w:t>reconsider</w:t>
      </w:r>
      <w:r>
        <w:rPr>
          <w:spacing w:val="-6"/>
          <w:sz w:val="20"/>
        </w:rPr>
        <w:t> </w:t>
      </w:r>
      <w:r>
        <w:rPr>
          <w:sz w:val="20"/>
        </w:rPr>
        <w:t>Cassio’s</w:t>
      </w:r>
      <w:r>
        <w:rPr>
          <w:spacing w:val="-6"/>
          <w:sz w:val="20"/>
        </w:rPr>
        <w:t> </w:t>
      </w:r>
      <w:r>
        <w:rPr>
          <w:sz w:val="20"/>
        </w:rPr>
        <w:t>dismissal,</w:t>
      </w:r>
      <w:r>
        <w:rPr>
          <w:spacing w:val="-5"/>
          <w:sz w:val="20"/>
        </w:rPr>
        <w:t> </w:t>
      </w:r>
      <w:r>
        <w:rPr>
          <w:sz w:val="20"/>
        </w:rPr>
        <w:t>declaring</w:t>
      </w:r>
      <w:r>
        <w:rPr>
          <w:spacing w:val="-8"/>
          <w:sz w:val="20"/>
        </w:rPr>
        <w:t> </w:t>
      </w:r>
      <w:r>
        <w:rPr>
          <w:sz w:val="20"/>
        </w:rPr>
        <w:t>that</w:t>
      </w:r>
      <w:r>
        <w:rPr>
          <w:spacing w:val="-5"/>
          <w:sz w:val="20"/>
        </w:rPr>
        <w:t> </w:t>
      </w:r>
      <w:r>
        <w:rPr>
          <w:sz w:val="20"/>
        </w:rPr>
        <w:t>she will persist in her efforts:</w:t>
      </w:r>
      <w:r>
        <w:rPr>
          <w:spacing w:val="40"/>
          <w:sz w:val="20"/>
        </w:rPr>
        <w:t> </w:t>
      </w:r>
      <w:r>
        <w:rPr>
          <w:i/>
          <w:sz w:val="20"/>
        </w:rPr>
        <w:t>“My lord shall never rest; / I’ll watch him tame and talk</w:t>
      </w:r>
      <w:r>
        <w:rPr>
          <w:i/>
          <w:spacing w:val="40"/>
          <w:sz w:val="20"/>
        </w:rPr>
        <w:t> </w:t>
      </w:r>
      <w:r>
        <w:rPr>
          <w:i/>
          <w:sz w:val="20"/>
        </w:rPr>
        <w:t>him</w:t>
      </w:r>
      <w:r>
        <w:rPr>
          <w:i/>
          <w:spacing w:val="40"/>
          <w:sz w:val="20"/>
        </w:rPr>
        <w:t> </w:t>
      </w:r>
      <w:r>
        <w:rPr>
          <w:i/>
          <w:sz w:val="20"/>
        </w:rPr>
        <w:t>out of</w:t>
      </w:r>
      <w:r>
        <w:rPr>
          <w:i/>
          <w:spacing w:val="40"/>
          <w:sz w:val="20"/>
        </w:rPr>
        <w:t> </w:t>
      </w:r>
      <w:r>
        <w:rPr>
          <w:i/>
          <w:sz w:val="20"/>
        </w:rPr>
        <w:t>patience”</w:t>
      </w:r>
      <w:r>
        <w:rPr>
          <w:i/>
          <w:spacing w:val="80"/>
          <w:sz w:val="20"/>
        </w:rPr>
        <w:t> </w:t>
      </w:r>
      <w:r>
        <w:rPr>
          <w:sz w:val="20"/>
        </w:rPr>
        <w:t>(</w:t>
      </w:r>
      <w:r>
        <w:rPr>
          <w:i/>
          <w:sz w:val="20"/>
        </w:rPr>
        <w:t>Othello,</w:t>
      </w:r>
      <w:r>
        <w:rPr>
          <w:i/>
          <w:spacing w:val="40"/>
          <w:sz w:val="20"/>
        </w:rPr>
        <w:t> </w:t>
      </w:r>
      <w:r>
        <w:rPr>
          <w:sz w:val="20"/>
        </w:rPr>
        <w:t>3.3.22–23).</w:t>
      </w:r>
    </w:p>
    <w:p>
      <w:pPr>
        <w:pStyle w:val="BodyText"/>
        <w:spacing w:line="249" w:lineRule="auto" w:before="63"/>
        <w:ind w:right="1440" w:firstLine="432"/>
        <w:jc w:val="both"/>
      </w:pPr>
      <w:r>
        <w:rPr>
          <w:spacing w:val="-4"/>
        </w:rPr>
        <w:t>Yet her insistence becomes tragically vulnerable to misinterpretation. </w:t>
      </w:r>
      <w:r>
        <w:rPr/>
        <w:t>Manipulated by Iago’s insinuations, Othello interprets Desdemona’s persistence as evidence of infidelity. The transformation of loyalty into suspicion</w:t>
      </w:r>
      <w:r>
        <w:rPr>
          <w:spacing w:val="-1"/>
        </w:rPr>
        <w:t> </w:t>
      </w:r>
      <w:r>
        <w:rPr/>
        <w:t>demonstrates</w:t>
      </w:r>
      <w:r>
        <w:rPr>
          <w:spacing w:val="-1"/>
        </w:rPr>
        <w:t> </w:t>
      </w:r>
      <w:r>
        <w:rPr/>
        <w:t>how</w:t>
      </w:r>
      <w:r>
        <w:rPr>
          <w:spacing w:val="-2"/>
        </w:rPr>
        <w:t> </w:t>
      </w:r>
      <w:r>
        <w:rPr/>
        <w:t>patriarchal</w:t>
      </w:r>
      <w:r>
        <w:rPr>
          <w:spacing w:val="1"/>
        </w:rPr>
        <w:t> </w:t>
      </w:r>
      <w:r>
        <w:rPr/>
        <w:t>anxieties</w:t>
      </w:r>
      <w:r>
        <w:rPr>
          <w:spacing w:val="1"/>
        </w:rPr>
        <w:t> </w:t>
      </w:r>
      <w:r>
        <w:rPr/>
        <w:t>distort</w:t>
      </w:r>
      <w:r>
        <w:rPr>
          <w:spacing w:val="-1"/>
        </w:rPr>
        <w:t> </w:t>
      </w:r>
      <w:r>
        <w:rPr/>
        <w:t>female</w:t>
      </w:r>
      <w:r>
        <w:rPr>
          <w:spacing w:val="1"/>
        </w:rPr>
        <w:t> </w:t>
      </w:r>
      <w:r>
        <w:rPr>
          <w:spacing w:val="-2"/>
        </w:rPr>
        <w:t>agency.</w:t>
      </w:r>
    </w:p>
    <w:p>
      <w:pPr>
        <w:pStyle w:val="BodyText"/>
        <w:spacing w:line="249" w:lineRule="auto" w:before="60"/>
        <w:ind w:right="1438" w:firstLine="432"/>
        <w:jc w:val="both"/>
      </w:pPr>
      <w:r>
        <w:rPr/>
        <w:t>Desdemona’s final moments further illuminate the complex relationship</w:t>
      </w:r>
      <w:r>
        <w:rPr>
          <w:spacing w:val="-11"/>
        </w:rPr>
        <w:t> </w:t>
      </w:r>
      <w:r>
        <w:rPr/>
        <w:t>between</w:t>
      </w:r>
      <w:r>
        <w:rPr>
          <w:spacing w:val="-10"/>
        </w:rPr>
        <w:t> </w:t>
      </w:r>
      <w:r>
        <w:rPr/>
        <w:t>voice</w:t>
      </w:r>
      <w:r>
        <w:rPr>
          <w:spacing w:val="-9"/>
        </w:rPr>
        <w:t> </w:t>
      </w:r>
      <w:r>
        <w:rPr/>
        <w:t>and</w:t>
      </w:r>
      <w:r>
        <w:rPr>
          <w:spacing w:val="-8"/>
        </w:rPr>
        <w:t> </w:t>
      </w:r>
      <w:r>
        <w:rPr/>
        <w:t>silence.</w:t>
      </w:r>
      <w:r>
        <w:rPr>
          <w:spacing w:val="-13"/>
        </w:rPr>
        <w:t> </w:t>
      </w:r>
      <w:r>
        <w:rPr/>
        <w:t>After</w:t>
      </w:r>
      <w:r>
        <w:rPr>
          <w:spacing w:val="-7"/>
        </w:rPr>
        <w:t> </w:t>
      </w:r>
      <w:r>
        <w:rPr/>
        <w:t>Othello</w:t>
      </w:r>
      <w:r>
        <w:rPr>
          <w:spacing w:val="-8"/>
        </w:rPr>
        <w:t> </w:t>
      </w:r>
      <w:r>
        <w:rPr/>
        <w:t>attacks</w:t>
      </w:r>
      <w:r>
        <w:rPr>
          <w:spacing w:val="-10"/>
        </w:rPr>
        <w:t> </w:t>
      </w:r>
      <w:r>
        <w:rPr/>
        <w:t>her,</w:t>
      </w:r>
      <w:r>
        <w:rPr>
          <w:spacing w:val="-10"/>
        </w:rPr>
        <w:t> </w:t>
      </w:r>
      <w:r>
        <w:rPr/>
        <w:t>Emilia asks who has committed the act. Desdemona responds, “Nobody; I myself.</w:t>
      </w:r>
      <w:r>
        <w:rPr>
          <w:spacing w:val="-3"/>
        </w:rPr>
        <w:t> </w:t>
      </w:r>
      <w:r>
        <w:rPr/>
        <w:t>Farewell” (</w:t>
      </w:r>
      <w:r>
        <w:rPr>
          <w:i/>
        </w:rPr>
        <w:t>Othello </w:t>
      </w:r>
      <w:r>
        <w:rPr/>
        <w:t>5.2.125).</w:t>
      </w:r>
      <w:r>
        <w:rPr>
          <w:spacing w:val="-12"/>
        </w:rPr>
        <w:t> </w:t>
      </w:r>
      <w:r>
        <w:rPr/>
        <w:t>Although</w:t>
      </w:r>
      <w:r>
        <w:rPr>
          <w:spacing w:val="-3"/>
        </w:rPr>
        <w:t> </w:t>
      </w:r>
      <w:r>
        <w:rPr/>
        <w:t>this</w:t>
      </w:r>
      <w:r>
        <w:rPr>
          <w:spacing w:val="-3"/>
        </w:rPr>
        <w:t> </w:t>
      </w:r>
      <w:r>
        <w:rPr/>
        <w:t>statement</w:t>
      </w:r>
      <w:r>
        <w:rPr>
          <w:spacing w:val="-1"/>
        </w:rPr>
        <w:t> </w:t>
      </w:r>
      <w:r>
        <w:rPr/>
        <w:t>appears</w:t>
      </w:r>
      <w:r>
        <w:rPr>
          <w:spacing w:val="-3"/>
        </w:rPr>
        <w:t> </w:t>
      </w:r>
      <w:r>
        <w:rPr/>
        <w:t>to absolve</w:t>
      </w:r>
      <w:r>
        <w:rPr>
          <w:spacing w:val="-9"/>
        </w:rPr>
        <w:t> </w:t>
      </w:r>
      <w:r>
        <w:rPr/>
        <w:t>Othello,</w:t>
      </w:r>
      <w:r>
        <w:rPr>
          <w:spacing w:val="-8"/>
        </w:rPr>
        <w:t> </w:t>
      </w:r>
      <w:r>
        <w:rPr/>
        <w:t>feminist</w:t>
      </w:r>
      <w:r>
        <w:rPr>
          <w:spacing w:val="-9"/>
        </w:rPr>
        <w:t> </w:t>
      </w:r>
      <w:r>
        <w:rPr/>
        <w:t>critics</w:t>
      </w:r>
      <w:r>
        <w:rPr>
          <w:spacing w:val="-9"/>
        </w:rPr>
        <w:t> </w:t>
      </w:r>
      <w:r>
        <w:rPr/>
        <w:t>interpret</w:t>
      </w:r>
      <w:r>
        <w:rPr>
          <w:spacing w:val="-9"/>
        </w:rPr>
        <w:t> </w:t>
      </w:r>
      <w:r>
        <w:rPr/>
        <w:t>it</w:t>
      </w:r>
      <w:r>
        <w:rPr>
          <w:spacing w:val="-6"/>
        </w:rPr>
        <w:t> </w:t>
      </w:r>
      <w:r>
        <w:rPr/>
        <w:t>as</w:t>
      </w:r>
      <w:r>
        <w:rPr>
          <w:spacing w:val="-9"/>
        </w:rPr>
        <w:t> </w:t>
      </w:r>
      <w:r>
        <w:rPr/>
        <w:t>a</w:t>
      </w:r>
      <w:r>
        <w:rPr>
          <w:spacing w:val="-9"/>
        </w:rPr>
        <w:t> </w:t>
      </w:r>
      <w:r>
        <w:rPr/>
        <w:t>complicated</w:t>
      </w:r>
      <w:r>
        <w:rPr>
          <w:spacing w:val="-8"/>
        </w:rPr>
        <w:t> </w:t>
      </w:r>
      <w:r>
        <w:rPr/>
        <w:t>gesture</w:t>
      </w:r>
      <w:r>
        <w:rPr>
          <w:spacing w:val="-9"/>
        </w:rPr>
        <w:t> </w:t>
      </w:r>
      <w:r>
        <w:rPr/>
        <w:t>that reflects</w:t>
      </w:r>
      <w:r>
        <w:rPr>
          <w:spacing w:val="-13"/>
        </w:rPr>
        <w:t> </w:t>
      </w:r>
      <w:r>
        <w:rPr/>
        <w:t>both</w:t>
      </w:r>
      <w:r>
        <w:rPr>
          <w:spacing w:val="-11"/>
        </w:rPr>
        <w:t> </w:t>
      </w:r>
      <w:r>
        <w:rPr/>
        <w:t>loyalty</w:t>
      </w:r>
      <w:r>
        <w:rPr>
          <w:spacing w:val="-13"/>
        </w:rPr>
        <w:t> </w:t>
      </w:r>
      <w:r>
        <w:rPr/>
        <w:t>and</w:t>
      </w:r>
      <w:r>
        <w:rPr>
          <w:spacing w:val="-8"/>
        </w:rPr>
        <w:t> </w:t>
      </w:r>
      <w:r>
        <w:rPr/>
        <w:t>resistance.</w:t>
      </w:r>
      <w:r>
        <w:rPr>
          <w:spacing w:val="-12"/>
        </w:rPr>
        <w:t> </w:t>
      </w:r>
      <w:r>
        <w:rPr/>
        <w:t>Her</w:t>
      </w:r>
      <w:r>
        <w:rPr>
          <w:spacing w:val="-8"/>
        </w:rPr>
        <w:t> </w:t>
      </w:r>
      <w:r>
        <w:rPr/>
        <w:t>silence</w:t>
      </w:r>
      <w:r>
        <w:rPr>
          <w:spacing w:val="-11"/>
        </w:rPr>
        <w:t> </w:t>
      </w:r>
      <w:r>
        <w:rPr/>
        <w:t>thus</w:t>
      </w:r>
      <w:r>
        <w:rPr>
          <w:spacing w:val="-10"/>
        </w:rPr>
        <w:t> </w:t>
      </w:r>
      <w:r>
        <w:rPr/>
        <w:t>becomes</w:t>
      </w:r>
      <w:r>
        <w:rPr>
          <w:spacing w:val="-13"/>
        </w:rPr>
        <w:t> </w:t>
      </w:r>
      <w:r>
        <w:rPr/>
        <w:t>a</w:t>
      </w:r>
      <w:r>
        <w:rPr>
          <w:spacing w:val="-9"/>
        </w:rPr>
        <w:t> </w:t>
      </w:r>
      <w:r>
        <w:rPr/>
        <w:t>powerful commentary</w:t>
      </w:r>
      <w:r>
        <w:rPr>
          <w:spacing w:val="40"/>
        </w:rPr>
        <w:t> </w:t>
      </w:r>
      <w:r>
        <w:rPr/>
        <w:t>on</w:t>
      </w:r>
      <w:r>
        <w:rPr>
          <w:spacing w:val="40"/>
        </w:rPr>
        <w:t> </w:t>
      </w:r>
      <w:r>
        <w:rPr/>
        <w:t>the</w:t>
      </w:r>
      <w:r>
        <w:rPr>
          <w:spacing w:val="40"/>
        </w:rPr>
        <w:t> </w:t>
      </w:r>
      <w:r>
        <w:rPr/>
        <w:t>injustice</w:t>
      </w:r>
      <w:r>
        <w:rPr>
          <w:spacing w:val="40"/>
        </w:rPr>
        <w:t> </w:t>
      </w:r>
      <w:r>
        <w:rPr/>
        <w:t>of</w:t>
      </w:r>
      <w:r>
        <w:rPr>
          <w:spacing w:val="40"/>
        </w:rPr>
        <w:t> </w:t>
      </w:r>
      <w:r>
        <w:rPr/>
        <w:t>the</w:t>
      </w:r>
      <w:r>
        <w:rPr>
          <w:spacing w:val="40"/>
        </w:rPr>
        <w:t> </w:t>
      </w:r>
      <w:r>
        <w:rPr/>
        <w:t>system</w:t>
      </w:r>
      <w:r>
        <w:rPr>
          <w:spacing w:val="40"/>
        </w:rPr>
        <w:t> </w:t>
      </w:r>
      <w:r>
        <w:rPr/>
        <w:t>that</w:t>
      </w:r>
      <w:r>
        <w:rPr>
          <w:spacing w:val="40"/>
        </w:rPr>
        <w:t> </w:t>
      </w:r>
      <w:r>
        <w:rPr/>
        <w:t>condemns</w:t>
      </w:r>
      <w:r>
        <w:rPr>
          <w:spacing w:val="40"/>
        </w:rPr>
        <w:t> </w:t>
      </w:r>
      <w:r>
        <w:rPr/>
        <w:t>her.</w:t>
      </w:r>
    </w:p>
    <w:p>
      <w:pPr>
        <w:pStyle w:val="BodyText"/>
        <w:spacing w:line="249" w:lineRule="auto" w:before="64"/>
        <w:ind w:right="1441" w:firstLine="432"/>
        <w:jc w:val="both"/>
      </w:pPr>
      <w:r>
        <w:rPr/>
        <w:t>Ophelia in </w:t>
      </w:r>
      <w:r>
        <w:rPr>
          <w:i/>
        </w:rPr>
        <w:t>Hamlet </w:t>
      </w:r>
      <w:r>
        <w:rPr/>
        <w:t>represents another example of how female experience</w:t>
      </w:r>
      <w:r>
        <w:rPr>
          <w:spacing w:val="-13"/>
        </w:rPr>
        <w:t> </w:t>
      </w:r>
      <w:r>
        <w:rPr/>
        <w:t>is</w:t>
      </w:r>
      <w:r>
        <w:rPr>
          <w:spacing w:val="-12"/>
        </w:rPr>
        <w:t> </w:t>
      </w:r>
      <w:r>
        <w:rPr/>
        <w:t>shaped</w:t>
      </w:r>
      <w:r>
        <w:rPr>
          <w:spacing w:val="-13"/>
        </w:rPr>
        <w:t> </w:t>
      </w:r>
      <w:r>
        <w:rPr/>
        <w:t>by</w:t>
      </w:r>
      <w:r>
        <w:rPr>
          <w:spacing w:val="-12"/>
        </w:rPr>
        <w:t> </w:t>
      </w:r>
      <w:r>
        <w:rPr/>
        <w:t>patriarchal</w:t>
      </w:r>
      <w:r>
        <w:rPr>
          <w:spacing w:val="-13"/>
        </w:rPr>
        <w:t> </w:t>
      </w:r>
      <w:r>
        <w:rPr/>
        <w:t>authority.</w:t>
      </w:r>
      <w:r>
        <w:rPr>
          <w:spacing w:val="-12"/>
        </w:rPr>
        <w:t> </w:t>
      </w:r>
      <w:r>
        <w:rPr/>
        <w:t>Unlike</w:t>
      </w:r>
      <w:r>
        <w:rPr>
          <w:spacing w:val="-13"/>
        </w:rPr>
        <w:t> </w:t>
      </w:r>
      <w:r>
        <w:rPr/>
        <w:t>Desdemona,</w:t>
      </w:r>
      <w:r>
        <w:rPr>
          <w:spacing w:val="-12"/>
        </w:rPr>
        <w:t> </w:t>
      </w:r>
      <w:r>
        <w:rPr/>
        <w:t>whose voice remains articulate throughout much of the narrative, Ophelia is initially characterized by obedience and submission. When her father Polonius warns her against trusting Hamlet’s declarations of love, she replies simply,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64128">
                <wp:simplePos x="0" y="0"/>
                <wp:positionH relativeFrom="page">
                  <wp:posOffset>2057400</wp:posOffset>
                </wp:positionH>
                <wp:positionV relativeFrom="paragraph">
                  <wp:posOffset>162604</wp:posOffset>
                </wp:positionV>
                <wp:extent cx="3657600" cy="12700"/>
                <wp:effectExtent l="0" t="0" r="0" b="0"/>
                <wp:wrapTopAndBottom/>
                <wp:docPr id="263" name="Graphic 263"/>
                <wp:cNvGraphicFramePr>
                  <a:graphicFrameLocks/>
                </wp:cNvGraphicFramePr>
                <a:graphic>
                  <a:graphicData uri="http://schemas.microsoft.com/office/word/2010/wordprocessingShape">
                    <wps:wsp>
                      <wps:cNvPr id="263" name="Graphic 26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52352;mso-wrap-distance-left:0;mso-wrap-distance-right:0" id="docshape259" filled="true" fillcolor="#000000" stroked="false">
                <v:fill type="solid"/>
                <w10:wrap type="topAndBottom"/>
              </v:rect>
            </w:pict>
          </mc:Fallback>
        </mc:AlternateContent>
      </w:r>
      <w:r>
        <w:rPr>
          <w:rFonts w:ascii="Verdana"/>
          <w:spacing w:val="-5"/>
          <w:sz w:val="18"/>
        </w:rPr>
        <w:t>80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before="192"/>
        <w:ind w:left="2160" w:right="0" w:firstLine="0"/>
        <w:jc w:val="both"/>
        <w:rPr>
          <w:i/>
          <w:sz w:val="20"/>
        </w:rPr>
      </w:pPr>
      <w:r>
        <w:rPr>
          <w:i/>
          <w:sz w:val="20"/>
        </w:rPr>
        <w:t>“I</w:t>
      </w:r>
      <w:r>
        <w:rPr>
          <w:i/>
          <w:spacing w:val="24"/>
          <w:sz w:val="20"/>
        </w:rPr>
        <w:t> </w:t>
      </w:r>
      <w:r>
        <w:rPr>
          <w:i/>
          <w:sz w:val="20"/>
        </w:rPr>
        <w:t>shall</w:t>
      </w:r>
      <w:r>
        <w:rPr>
          <w:i/>
          <w:spacing w:val="24"/>
          <w:sz w:val="20"/>
        </w:rPr>
        <w:t> </w:t>
      </w:r>
      <w:r>
        <w:rPr>
          <w:i/>
          <w:sz w:val="20"/>
        </w:rPr>
        <w:t>obey,</w:t>
      </w:r>
      <w:r>
        <w:rPr>
          <w:i/>
          <w:spacing w:val="24"/>
          <w:sz w:val="20"/>
        </w:rPr>
        <w:t> </w:t>
      </w:r>
      <w:r>
        <w:rPr>
          <w:i/>
          <w:sz w:val="20"/>
        </w:rPr>
        <w:t>my</w:t>
      </w:r>
      <w:r>
        <w:rPr>
          <w:i/>
          <w:spacing w:val="25"/>
          <w:sz w:val="20"/>
        </w:rPr>
        <w:t> </w:t>
      </w:r>
      <w:r>
        <w:rPr>
          <w:i/>
          <w:sz w:val="20"/>
        </w:rPr>
        <w:t>lord”</w:t>
      </w:r>
      <w:r>
        <w:rPr>
          <w:i/>
          <w:spacing w:val="23"/>
          <w:sz w:val="20"/>
        </w:rPr>
        <w:t> </w:t>
      </w:r>
      <w:r>
        <w:rPr>
          <w:i/>
          <w:sz w:val="20"/>
        </w:rPr>
        <w:t>(Hamlet</w:t>
      </w:r>
      <w:r>
        <w:rPr>
          <w:i/>
          <w:spacing w:val="24"/>
          <w:sz w:val="20"/>
        </w:rPr>
        <w:t> </w:t>
      </w:r>
      <w:r>
        <w:rPr>
          <w:i/>
          <w:spacing w:val="-2"/>
          <w:sz w:val="20"/>
        </w:rPr>
        <w:t>1.3.136)</w:t>
      </w:r>
    </w:p>
    <w:p>
      <w:pPr>
        <w:pStyle w:val="BodyText"/>
        <w:spacing w:line="249" w:lineRule="auto" w:before="68"/>
        <w:ind w:right="1437" w:firstLine="432"/>
        <w:jc w:val="both"/>
      </w:pPr>
      <w:r>
        <w:rPr/>
        <w:t>This</w:t>
      </w:r>
      <w:r>
        <w:rPr>
          <w:spacing w:val="-6"/>
        </w:rPr>
        <w:t> </w:t>
      </w:r>
      <w:r>
        <w:rPr/>
        <w:t>brief</w:t>
      </w:r>
      <w:r>
        <w:rPr>
          <w:spacing w:val="-6"/>
        </w:rPr>
        <w:t> </w:t>
      </w:r>
      <w:r>
        <w:rPr/>
        <w:t>response</w:t>
      </w:r>
      <w:r>
        <w:rPr>
          <w:spacing w:val="-5"/>
        </w:rPr>
        <w:t> </w:t>
      </w:r>
      <w:r>
        <w:rPr/>
        <w:t>encapsulates</w:t>
      </w:r>
      <w:r>
        <w:rPr>
          <w:spacing w:val="-6"/>
        </w:rPr>
        <w:t> </w:t>
      </w:r>
      <w:r>
        <w:rPr/>
        <w:t>the</w:t>
      </w:r>
      <w:r>
        <w:rPr>
          <w:spacing w:val="-5"/>
        </w:rPr>
        <w:t> </w:t>
      </w:r>
      <w:r>
        <w:rPr/>
        <w:t>limited</w:t>
      </w:r>
      <w:r>
        <w:rPr>
          <w:spacing w:val="-4"/>
        </w:rPr>
        <w:t> </w:t>
      </w:r>
      <w:r>
        <w:rPr/>
        <w:t>autonomy</w:t>
      </w:r>
      <w:r>
        <w:rPr>
          <w:spacing w:val="-8"/>
        </w:rPr>
        <w:t> </w:t>
      </w:r>
      <w:r>
        <w:rPr/>
        <w:t>available</w:t>
      </w:r>
      <w:r>
        <w:rPr>
          <w:spacing w:val="-4"/>
        </w:rPr>
        <w:t> </w:t>
      </w:r>
      <w:r>
        <w:rPr/>
        <w:t>to women within the social structure of the play. Ophelia’s identity is </w:t>
      </w:r>
      <w:r>
        <w:rPr>
          <w:spacing w:val="-2"/>
        </w:rPr>
        <w:t>defined</w:t>
      </w:r>
      <w:r>
        <w:rPr>
          <w:spacing w:val="-11"/>
        </w:rPr>
        <w:t> </w:t>
      </w:r>
      <w:r>
        <w:rPr>
          <w:spacing w:val="-2"/>
        </w:rPr>
        <w:t>primarily</w:t>
      </w:r>
      <w:r>
        <w:rPr>
          <w:spacing w:val="-10"/>
        </w:rPr>
        <w:t> </w:t>
      </w:r>
      <w:r>
        <w:rPr>
          <w:spacing w:val="-2"/>
        </w:rPr>
        <w:t>by</w:t>
      </w:r>
      <w:r>
        <w:rPr>
          <w:spacing w:val="-11"/>
        </w:rPr>
        <w:t> </w:t>
      </w:r>
      <w:r>
        <w:rPr>
          <w:spacing w:val="-2"/>
        </w:rPr>
        <w:t>the</w:t>
      </w:r>
      <w:r>
        <w:rPr>
          <w:spacing w:val="-7"/>
        </w:rPr>
        <w:t> </w:t>
      </w:r>
      <w:r>
        <w:rPr>
          <w:spacing w:val="-2"/>
        </w:rPr>
        <w:t>expectations</w:t>
      </w:r>
      <w:r>
        <w:rPr>
          <w:spacing w:val="-8"/>
        </w:rPr>
        <w:t> </w:t>
      </w:r>
      <w:r>
        <w:rPr>
          <w:spacing w:val="-2"/>
        </w:rPr>
        <w:t>imposed</w:t>
      </w:r>
      <w:r>
        <w:rPr>
          <w:spacing w:val="-8"/>
        </w:rPr>
        <w:t> </w:t>
      </w:r>
      <w:r>
        <w:rPr>
          <w:spacing w:val="-2"/>
        </w:rPr>
        <w:t>upon</w:t>
      </w:r>
      <w:r>
        <w:rPr>
          <w:spacing w:val="-10"/>
        </w:rPr>
        <w:t> </w:t>
      </w:r>
      <w:r>
        <w:rPr>
          <w:spacing w:val="-2"/>
        </w:rPr>
        <w:t>her</w:t>
      </w:r>
      <w:r>
        <w:rPr>
          <w:spacing w:val="-8"/>
        </w:rPr>
        <w:t> </w:t>
      </w:r>
      <w:r>
        <w:rPr>
          <w:spacing w:val="-2"/>
        </w:rPr>
        <w:t>by</w:t>
      </w:r>
      <w:r>
        <w:rPr>
          <w:spacing w:val="-10"/>
        </w:rPr>
        <w:t> </w:t>
      </w:r>
      <w:r>
        <w:rPr>
          <w:spacing w:val="-2"/>
        </w:rPr>
        <w:t>male</w:t>
      </w:r>
      <w:r>
        <w:rPr>
          <w:spacing w:val="-6"/>
        </w:rPr>
        <w:t> </w:t>
      </w:r>
      <w:r>
        <w:rPr>
          <w:spacing w:val="-2"/>
        </w:rPr>
        <w:t>authority figures.</w:t>
      </w:r>
    </w:p>
    <w:p>
      <w:pPr>
        <w:pStyle w:val="BodyText"/>
        <w:spacing w:line="249" w:lineRule="auto" w:before="61"/>
        <w:ind w:right="1441" w:firstLine="432"/>
        <w:jc w:val="both"/>
      </w:pPr>
      <w:r>
        <w:rPr/>
        <w:t>However, Ophelia’s madness dramatically alters her role in the narrative. After the death of her father and Hamlet’s rejection, she begins to express herself through songs and symbolic gestures that reveal</w:t>
      </w:r>
      <w:r>
        <w:rPr>
          <w:spacing w:val="27"/>
        </w:rPr>
        <w:t> </w:t>
      </w:r>
      <w:r>
        <w:rPr/>
        <w:t>suppressed</w:t>
      </w:r>
      <w:r>
        <w:rPr>
          <w:spacing w:val="30"/>
        </w:rPr>
        <w:t> </w:t>
      </w:r>
      <w:r>
        <w:rPr/>
        <w:t>emotions.</w:t>
      </w:r>
      <w:r>
        <w:rPr>
          <w:spacing w:val="28"/>
        </w:rPr>
        <w:t> </w:t>
      </w:r>
      <w:r>
        <w:rPr/>
        <w:t>One</w:t>
      </w:r>
      <w:r>
        <w:rPr>
          <w:spacing w:val="29"/>
        </w:rPr>
        <w:t> </w:t>
      </w:r>
      <w:r>
        <w:rPr/>
        <w:t>of</w:t>
      </w:r>
      <w:r>
        <w:rPr>
          <w:spacing w:val="28"/>
        </w:rPr>
        <w:t> </w:t>
      </w:r>
      <w:r>
        <w:rPr/>
        <w:t>her</w:t>
      </w:r>
      <w:r>
        <w:rPr>
          <w:spacing w:val="28"/>
        </w:rPr>
        <w:t> </w:t>
      </w:r>
      <w:r>
        <w:rPr/>
        <w:t>most</w:t>
      </w:r>
      <w:r>
        <w:rPr>
          <w:spacing w:val="28"/>
        </w:rPr>
        <w:t> </w:t>
      </w:r>
      <w:r>
        <w:rPr/>
        <w:t>haunting</w:t>
      </w:r>
      <w:r>
        <w:rPr>
          <w:spacing w:val="28"/>
        </w:rPr>
        <w:t> </w:t>
      </w:r>
      <w:r>
        <w:rPr/>
        <w:t>songs</w:t>
      </w:r>
      <w:r>
        <w:rPr>
          <w:spacing w:val="28"/>
        </w:rPr>
        <w:t> </w:t>
      </w:r>
      <w:r>
        <w:rPr>
          <w:spacing w:val="-2"/>
        </w:rPr>
        <w:t>begins,</w:t>
      </w:r>
    </w:p>
    <w:p>
      <w:pPr>
        <w:spacing w:line="249" w:lineRule="auto" w:before="61"/>
        <w:ind w:left="1440" w:right="1439" w:firstLine="432"/>
        <w:jc w:val="both"/>
        <w:rPr>
          <w:sz w:val="20"/>
        </w:rPr>
      </w:pPr>
      <w:r>
        <w:rPr>
          <w:i/>
          <w:sz w:val="20"/>
        </w:rPr>
        <w:t>“He is dead and gone, lady, / He is dead and gone</w:t>
      </w:r>
      <w:r>
        <w:rPr>
          <w:sz w:val="20"/>
        </w:rPr>
        <w:t>” (</w:t>
      </w:r>
      <w:r>
        <w:rPr>
          <w:i/>
          <w:sz w:val="20"/>
        </w:rPr>
        <w:t>Hamlet, </w:t>
      </w:r>
      <w:r>
        <w:rPr>
          <w:i/>
          <w:spacing w:val="-2"/>
          <w:sz w:val="20"/>
        </w:rPr>
        <w:t>4.5.29-30</w:t>
      </w:r>
      <w:r>
        <w:rPr>
          <w:spacing w:val="-2"/>
          <w:sz w:val="20"/>
        </w:rPr>
        <w:t>)</w:t>
      </w:r>
    </w:p>
    <w:p>
      <w:pPr>
        <w:pStyle w:val="BodyText"/>
        <w:spacing w:line="249" w:lineRule="auto" w:before="61"/>
        <w:ind w:right="1439" w:firstLine="432"/>
        <w:jc w:val="both"/>
      </w:pPr>
      <w:r>
        <w:rPr/>
        <w:t>Though fragmented and lyrical, these lines convey</w:t>
      </w:r>
      <w:r>
        <w:rPr>
          <w:spacing w:val="-1"/>
        </w:rPr>
        <w:t> </w:t>
      </w:r>
      <w:r>
        <w:rPr/>
        <w:t>profound grief and disillusionment. Through madness, Ophelia acquires a form of expressive freedom that she lacked during her earlier obedience.</w:t>
      </w:r>
    </w:p>
    <w:p>
      <w:pPr>
        <w:pStyle w:val="BodyText"/>
        <w:spacing w:line="249" w:lineRule="auto" w:before="60"/>
        <w:ind w:right="1440" w:firstLine="432"/>
        <w:jc w:val="both"/>
      </w:pPr>
      <w:r>
        <w:rPr/>
        <w:t>Showalter famously interprets Ophelia’s madness as a cultural construct</w:t>
      </w:r>
      <w:r>
        <w:rPr>
          <w:spacing w:val="-3"/>
        </w:rPr>
        <w:t> </w:t>
      </w:r>
      <w:r>
        <w:rPr/>
        <w:t>that</w:t>
      </w:r>
      <w:r>
        <w:rPr>
          <w:spacing w:val="-1"/>
        </w:rPr>
        <w:t> </w:t>
      </w:r>
      <w:r>
        <w:rPr/>
        <w:t>reflects</w:t>
      </w:r>
      <w:r>
        <w:rPr>
          <w:spacing w:val="-2"/>
        </w:rPr>
        <w:t> </w:t>
      </w:r>
      <w:r>
        <w:rPr/>
        <w:t>the</w:t>
      </w:r>
      <w:r>
        <w:rPr>
          <w:spacing w:val="-1"/>
        </w:rPr>
        <w:t> </w:t>
      </w:r>
      <w:r>
        <w:rPr/>
        <w:t>pressures</w:t>
      </w:r>
      <w:r>
        <w:rPr>
          <w:spacing w:val="-2"/>
        </w:rPr>
        <w:t> </w:t>
      </w:r>
      <w:r>
        <w:rPr/>
        <w:t>imposed</w:t>
      </w:r>
      <w:r>
        <w:rPr>
          <w:spacing w:val="-2"/>
        </w:rPr>
        <w:t> </w:t>
      </w:r>
      <w:r>
        <w:rPr/>
        <w:t>upon</w:t>
      </w:r>
      <w:r>
        <w:rPr>
          <w:spacing w:val="-4"/>
        </w:rPr>
        <w:t> </w:t>
      </w:r>
      <w:r>
        <w:rPr/>
        <w:t>women</w:t>
      </w:r>
      <w:r>
        <w:rPr>
          <w:spacing w:val="-2"/>
        </w:rPr>
        <w:t> </w:t>
      </w:r>
      <w:r>
        <w:rPr/>
        <w:t>in</w:t>
      </w:r>
      <w:r>
        <w:rPr>
          <w:spacing w:val="-2"/>
        </w:rPr>
        <w:t> </w:t>
      </w:r>
      <w:r>
        <w:rPr/>
        <w:t>patriarchal societies. Her songs frequently reference themes of betrayal and lost innocence,</w:t>
      </w:r>
      <w:r>
        <w:rPr>
          <w:spacing w:val="-4"/>
        </w:rPr>
        <w:t> </w:t>
      </w:r>
      <w:r>
        <w:rPr/>
        <w:t>suggesting</w:t>
      </w:r>
      <w:r>
        <w:rPr>
          <w:spacing w:val="-5"/>
        </w:rPr>
        <w:t> </w:t>
      </w:r>
      <w:r>
        <w:rPr/>
        <w:t>that</w:t>
      </w:r>
      <w:r>
        <w:rPr>
          <w:spacing w:val="-4"/>
        </w:rPr>
        <w:t> </w:t>
      </w:r>
      <w:r>
        <w:rPr/>
        <w:t>her</w:t>
      </w:r>
      <w:r>
        <w:rPr>
          <w:spacing w:val="-4"/>
        </w:rPr>
        <w:t> </w:t>
      </w:r>
      <w:r>
        <w:rPr/>
        <w:t>madness</w:t>
      </w:r>
      <w:r>
        <w:rPr>
          <w:spacing w:val="-4"/>
        </w:rPr>
        <w:t> </w:t>
      </w:r>
      <w:r>
        <w:rPr/>
        <w:t>functions</w:t>
      </w:r>
      <w:r>
        <w:rPr>
          <w:spacing w:val="-5"/>
        </w:rPr>
        <w:t> </w:t>
      </w:r>
      <w:r>
        <w:rPr/>
        <w:t>as</w:t>
      </w:r>
      <w:r>
        <w:rPr>
          <w:spacing w:val="-4"/>
        </w:rPr>
        <w:t> </w:t>
      </w:r>
      <w:r>
        <w:rPr/>
        <w:t>a</w:t>
      </w:r>
      <w:r>
        <w:rPr>
          <w:spacing w:val="-5"/>
        </w:rPr>
        <w:t> </w:t>
      </w:r>
      <w:r>
        <w:rPr/>
        <w:t>symbolic</w:t>
      </w:r>
      <w:r>
        <w:rPr>
          <w:spacing w:val="-4"/>
        </w:rPr>
        <w:t> </w:t>
      </w:r>
      <w:r>
        <w:rPr/>
        <w:t>critique of the social environment that silenced her. In addition to her songs, Ophelia distributes flowers whose symbolic meanings communicate subtle judgments about the characters around her. For instance, she gives</w:t>
      </w:r>
      <w:r>
        <w:rPr>
          <w:spacing w:val="-5"/>
        </w:rPr>
        <w:t> </w:t>
      </w:r>
      <w:r>
        <w:rPr/>
        <w:t>rosemary</w:t>
      </w:r>
      <w:r>
        <w:rPr>
          <w:spacing w:val="-8"/>
        </w:rPr>
        <w:t> </w:t>
      </w:r>
      <w:r>
        <w:rPr/>
        <w:t>“for</w:t>
      </w:r>
      <w:r>
        <w:rPr>
          <w:spacing w:val="-3"/>
        </w:rPr>
        <w:t> </w:t>
      </w:r>
      <w:r>
        <w:rPr/>
        <w:t>remembrance”</w:t>
      </w:r>
      <w:r>
        <w:rPr>
          <w:spacing w:val="-5"/>
        </w:rPr>
        <w:t> </w:t>
      </w:r>
      <w:r>
        <w:rPr/>
        <w:t>and</w:t>
      </w:r>
      <w:r>
        <w:rPr>
          <w:spacing w:val="-3"/>
        </w:rPr>
        <w:t> </w:t>
      </w:r>
      <w:r>
        <w:rPr/>
        <w:t>rue</w:t>
      </w:r>
      <w:r>
        <w:rPr>
          <w:spacing w:val="-5"/>
        </w:rPr>
        <w:t> </w:t>
      </w:r>
      <w:r>
        <w:rPr/>
        <w:t>as</w:t>
      </w:r>
      <w:r>
        <w:rPr>
          <w:spacing w:val="-5"/>
        </w:rPr>
        <w:t> </w:t>
      </w:r>
      <w:r>
        <w:rPr/>
        <w:t>a</w:t>
      </w:r>
      <w:r>
        <w:rPr>
          <w:spacing w:val="-4"/>
        </w:rPr>
        <w:t> </w:t>
      </w:r>
      <w:r>
        <w:rPr/>
        <w:t>symbol</w:t>
      </w:r>
      <w:r>
        <w:rPr>
          <w:spacing w:val="-4"/>
        </w:rPr>
        <w:t> </w:t>
      </w:r>
      <w:r>
        <w:rPr/>
        <w:t>of</w:t>
      </w:r>
      <w:r>
        <w:rPr>
          <w:spacing w:val="-5"/>
        </w:rPr>
        <w:t> </w:t>
      </w:r>
      <w:r>
        <w:rPr/>
        <w:t>regret.</w:t>
      </w:r>
      <w:r>
        <w:rPr>
          <w:spacing w:val="-3"/>
        </w:rPr>
        <w:t> </w:t>
      </w:r>
      <w:r>
        <w:rPr/>
        <w:t>These gestures demonstrate that her madness operates as a coded language through which she can express truths that conventional speech cannot </w:t>
      </w:r>
      <w:r>
        <w:rPr>
          <w:spacing w:val="-2"/>
        </w:rPr>
        <w:t>accommodate.</w:t>
      </w:r>
    </w:p>
    <w:p>
      <w:pPr>
        <w:pStyle w:val="BodyText"/>
        <w:spacing w:line="249" w:lineRule="auto" w:before="67"/>
        <w:ind w:right="1438" w:firstLine="432"/>
        <w:jc w:val="both"/>
      </w:pPr>
      <w:r>
        <w:rPr/>
        <w:t>While Desdemona and Ophelia illustrate constrained forms of agency, Lady Macbeth represents a more overt challenge to patriarchal expectations. From her first appearance in </w:t>
      </w:r>
      <w:r>
        <w:rPr>
          <w:i/>
        </w:rPr>
        <w:t>Macbeth</w:t>
      </w:r>
      <w:r>
        <w:rPr/>
        <w:t>, she demonstrates ambition and determination that defy traditional notions of femininity. After reading Macbeth’s letter describing the witches’ prophecy, she invokes</w:t>
      </w:r>
      <w:r>
        <w:rPr>
          <w:spacing w:val="40"/>
        </w:rPr>
        <w:t> </w:t>
      </w:r>
      <w:r>
        <w:rPr/>
        <w:t>supernatural</w:t>
      </w:r>
      <w:r>
        <w:rPr>
          <w:spacing w:val="40"/>
        </w:rPr>
        <w:t> </w:t>
      </w:r>
      <w:r>
        <w:rPr/>
        <w:t>forces</w:t>
      </w:r>
      <w:r>
        <w:rPr>
          <w:spacing w:val="40"/>
        </w:rPr>
        <w:t> </w:t>
      </w:r>
      <w:r>
        <w:rPr/>
        <w:t>to</w:t>
      </w:r>
      <w:r>
        <w:rPr>
          <w:spacing w:val="40"/>
        </w:rPr>
        <w:t> </w:t>
      </w:r>
      <w:r>
        <w:rPr/>
        <w:t>transform</w:t>
      </w:r>
      <w:r>
        <w:rPr>
          <w:spacing w:val="40"/>
        </w:rPr>
        <w:t> </w:t>
      </w:r>
      <w:r>
        <w:rPr/>
        <w:t>her</w:t>
      </w:r>
      <w:r>
        <w:rPr>
          <w:spacing w:val="40"/>
        </w:rPr>
        <w:t> </w:t>
      </w:r>
      <w:r>
        <w:rPr/>
        <w:t>identity:</w:t>
      </w:r>
    </w:p>
    <w:p>
      <w:pPr>
        <w:spacing w:line="249" w:lineRule="auto" w:before="62"/>
        <w:ind w:left="1440" w:right="1440" w:firstLine="432"/>
        <w:jc w:val="both"/>
        <w:rPr>
          <w:sz w:val="20"/>
        </w:rPr>
      </w:pPr>
      <w:r>
        <w:rPr>
          <w:i/>
          <w:sz w:val="20"/>
        </w:rPr>
        <w:t>“Come, you spirits / That tend on mortal thoughts, unsex me</w:t>
      </w:r>
      <w:r>
        <w:rPr>
          <w:i/>
          <w:spacing w:val="40"/>
          <w:sz w:val="20"/>
        </w:rPr>
        <w:t> </w:t>
      </w:r>
      <w:r>
        <w:rPr>
          <w:i/>
          <w:sz w:val="20"/>
        </w:rPr>
        <w:t>here” </w:t>
      </w:r>
      <w:r>
        <w:rPr>
          <w:sz w:val="20"/>
        </w:rPr>
        <w:t>(</w:t>
      </w:r>
      <w:r>
        <w:rPr>
          <w:i/>
          <w:sz w:val="20"/>
        </w:rPr>
        <w:t>Macbeth </w:t>
      </w:r>
      <w:r>
        <w:rPr>
          <w:sz w:val="20"/>
        </w:rPr>
        <w:t>1.5.39–40).</w:t>
      </w:r>
    </w:p>
    <w:p>
      <w:pPr>
        <w:pStyle w:val="BodyText"/>
        <w:spacing w:line="249" w:lineRule="auto" w:before="60"/>
        <w:ind w:right="1442" w:firstLine="432"/>
        <w:jc w:val="both"/>
      </w:pPr>
      <w:r>
        <w:rPr/>
        <w:t>In this striking invocation, Lady Macbeth explicitly rejects the qualities associated with femininity and seeks to adopt the cruelty and decisiveness</w:t>
      </w:r>
      <w:r>
        <w:rPr>
          <w:spacing w:val="40"/>
        </w:rPr>
        <w:t> </w:t>
      </w:r>
      <w:r>
        <w:rPr/>
        <w:t>she</w:t>
      </w:r>
      <w:r>
        <w:rPr>
          <w:spacing w:val="40"/>
        </w:rPr>
        <w:t> </w:t>
      </w:r>
      <w:r>
        <w:rPr/>
        <w:t>believes</w:t>
      </w:r>
      <w:r>
        <w:rPr>
          <w:spacing w:val="40"/>
        </w:rPr>
        <w:t> </w:t>
      </w:r>
      <w:r>
        <w:rPr/>
        <w:t>necessary</w:t>
      </w:r>
      <w:r>
        <w:rPr>
          <w:spacing w:val="40"/>
        </w:rPr>
        <w:t> </w:t>
      </w:r>
      <w:r>
        <w:rPr/>
        <w:t>for</w:t>
      </w:r>
      <w:r>
        <w:rPr>
          <w:spacing w:val="40"/>
        </w:rPr>
        <w:t> </w:t>
      </w:r>
      <w:r>
        <w:rPr/>
        <w:t>power.</w:t>
      </w:r>
    </w:p>
    <w:p>
      <w:pPr>
        <w:pStyle w:val="BodyText"/>
        <w:spacing w:line="249" w:lineRule="auto" w:before="62"/>
        <w:ind w:right="1442" w:firstLine="432"/>
        <w:jc w:val="both"/>
      </w:pPr>
      <w:r>
        <w:rPr/>
        <w:t>Her manipulation of Macbeth further reveals her rhetorical skill. </w:t>
      </w:r>
      <w:r>
        <w:rPr>
          <w:spacing w:val="-2"/>
        </w:rPr>
        <w:t>When</w:t>
      </w:r>
      <w:r>
        <w:rPr>
          <w:spacing w:val="-8"/>
        </w:rPr>
        <w:t> </w:t>
      </w:r>
      <w:r>
        <w:rPr>
          <w:spacing w:val="-2"/>
        </w:rPr>
        <w:t>he</w:t>
      </w:r>
      <w:r>
        <w:rPr>
          <w:spacing w:val="-1"/>
        </w:rPr>
        <w:t> </w:t>
      </w:r>
      <w:r>
        <w:rPr>
          <w:spacing w:val="-2"/>
        </w:rPr>
        <w:t>hesitates</w:t>
      </w:r>
      <w:r>
        <w:rPr>
          <w:spacing w:val="-7"/>
        </w:rPr>
        <w:t> </w:t>
      </w:r>
      <w:r>
        <w:rPr>
          <w:spacing w:val="-2"/>
        </w:rPr>
        <w:t>to</w:t>
      </w:r>
      <w:r>
        <w:rPr>
          <w:spacing w:val="-1"/>
        </w:rPr>
        <w:t> </w:t>
      </w:r>
      <w:r>
        <w:rPr>
          <w:spacing w:val="-2"/>
        </w:rPr>
        <w:t>murder</w:t>
      </w:r>
      <w:r>
        <w:rPr>
          <w:spacing w:val="-5"/>
        </w:rPr>
        <w:t> </w:t>
      </w:r>
      <w:r>
        <w:rPr>
          <w:spacing w:val="-2"/>
        </w:rPr>
        <w:t>King</w:t>
      </w:r>
      <w:r>
        <w:rPr>
          <w:spacing w:val="-7"/>
        </w:rPr>
        <w:t> </w:t>
      </w:r>
      <w:r>
        <w:rPr>
          <w:spacing w:val="-2"/>
        </w:rPr>
        <w:t>Duncan,</w:t>
      </w:r>
      <w:r>
        <w:rPr>
          <w:spacing w:val="-5"/>
        </w:rPr>
        <w:t> </w:t>
      </w:r>
      <w:r>
        <w:rPr>
          <w:spacing w:val="-2"/>
        </w:rPr>
        <w:t>she</w:t>
      </w:r>
      <w:r>
        <w:rPr>
          <w:spacing w:val="-7"/>
        </w:rPr>
        <w:t> </w:t>
      </w:r>
      <w:r>
        <w:rPr>
          <w:spacing w:val="-2"/>
        </w:rPr>
        <w:t>questions</w:t>
      </w:r>
      <w:r>
        <w:rPr>
          <w:spacing w:val="-5"/>
        </w:rPr>
        <w:t> </w:t>
      </w:r>
      <w:r>
        <w:rPr>
          <w:spacing w:val="-2"/>
        </w:rPr>
        <w:t>his</w:t>
      </w:r>
      <w:r>
        <w:rPr>
          <w:spacing w:val="-7"/>
        </w:rPr>
        <w:t> </w:t>
      </w:r>
      <w:r>
        <w:rPr>
          <w:spacing w:val="-2"/>
        </w:rPr>
        <w:t>masculinity,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4" w:val="left" w:leader="none"/>
        </w:tabs>
        <w:spacing w:before="0"/>
        <w:ind w:left="0" w:right="0"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64640">
                <wp:simplePos x="0" y="0"/>
                <wp:positionH relativeFrom="page">
                  <wp:posOffset>2065020</wp:posOffset>
                </wp:positionH>
                <wp:positionV relativeFrom="paragraph">
                  <wp:posOffset>162604</wp:posOffset>
                </wp:positionV>
                <wp:extent cx="3657600" cy="12700"/>
                <wp:effectExtent l="0" t="0" r="0" b="0"/>
                <wp:wrapTopAndBottom/>
                <wp:docPr id="264" name="Graphic 264"/>
                <wp:cNvGraphicFramePr>
                  <a:graphicFrameLocks/>
                </wp:cNvGraphicFramePr>
                <a:graphic>
                  <a:graphicData uri="http://schemas.microsoft.com/office/word/2010/wordprocessingShape">
                    <wps:wsp>
                      <wps:cNvPr id="264" name="Graphic 26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51840;mso-wrap-distance-left:0;mso-wrap-distance-right:0" id="docshape260" filled="true" fillcolor="#000000" stroked="false">
                <v:fill type="solid"/>
                <w10:wrap type="topAndBottom"/>
              </v:rect>
            </w:pict>
          </mc:Fallback>
        </mc:AlternateContent>
      </w:r>
      <w:r>
        <w:rPr>
          <w:rFonts w:ascii="Verdana" w:hAnsi="Verdana"/>
          <w:sz w:val="18"/>
        </w:rPr>
        <w:t>Reclaiming</w:t>
      </w:r>
      <w:r>
        <w:rPr>
          <w:rFonts w:ascii="Verdana" w:hAnsi="Verdana"/>
          <w:spacing w:val="4"/>
          <w:sz w:val="18"/>
        </w:rPr>
        <w:t> </w:t>
      </w:r>
      <w:r>
        <w:rPr>
          <w:rFonts w:ascii="Verdana" w:hAnsi="Verdana"/>
          <w:sz w:val="18"/>
        </w:rPr>
        <w:t>Voice and</w:t>
      </w:r>
      <w:r>
        <w:rPr>
          <w:rFonts w:ascii="Verdana" w:hAnsi="Verdana"/>
          <w:spacing w:val="1"/>
          <w:sz w:val="18"/>
        </w:rPr>
        <w:t> </w:t>
      </w:r>
      <w:r>
        <w:rPr>
          <w:rFonts w:ascii="Verdana" w:hAnsi="Verdana"/>
          <w:sz w:val="18"/>
        </w:rPr>
        <w:t>Agency:</w:t>
      </w:r>
      <w:r>
        <w:rPr>
          <w:rFonts w:ascii="Verdana" w:hAnsi="Verdana"/>
          <w:spacing w:val="1"/>
          <w:sz w:val="18"/>
        </w:rPr>
        <w:t> </w:t>
      </w:r>
      <w:r>
        <w:rPr>
          <w:rFonts w:ascii="Verdana" w:hAnsi="Verdana"/>
          <w:sz w:val="18"/>
        </w:rPr>
        <w:t>Re-reading</w:t>
      </w:r>
      <w:r>
        <w:rPr>
          <w:rFonts w:ascii="Verdana" w:hAnsi="Verdana"/>
          <w:spacing w:val="5"/>
          <w:sz w:val="18"/>
        </w:rPr>
        <w:t> </w:t>
      </w:r>
      <w:r>
        <w:rPr>
          <w:rFonts w:ascii="Verdana" w:hAnsi="Verdana"/>
          <w:spacing w:val="-2"/>
          <w:sz w:val="18"/>
        </w:rPr>
        <w:t>hakespeare’s...</w:t>
      </w:r>
      <w:r>
        <w:rPr>
          <w:rFonts w:ascii="Verdana" w:hAnsi="Verdana"/>
          <w:sz w:val="18"/>
        </w:rPr>
        <w:tab/>
      </w:r>
      <w:r>
        <w:rPr>
          <w:rFonts w:ascii="Verdana" w:hAnsi="Verdana"/>
          <w:spacing w:val="-5"/>
          <w:sz w:val="18"/>
        </w:rPr>
        <w:t>81</w:t>
      </w:r>
    </w:p>
    <w:p>
      <w:pPr>
        <w:pStyle w:val="BodyText"/>
        <w:spacing w:line="249" w:lineRule="auto" w:before="192"/>
        <w:ind w:right="1437"/>
        <w:jc w:val="both"/>
      </w:pPr>
      <w:r>
        <w:rPr/>
        <w:t>declaring, “When you durst do it, then you were a man” (</w:t>
      </w:r>
      <w:r>
        <w:rPr>
          <w:i/>
        </w:rPr>
        <w:t>Macbeth </w:t>
      </w:r>
      <w:r>
        <w:rPr/>
        <w:t>1.7.49). By equating courage with masculinity, Lady Macbeth exposes the performative nature of gender roles. She strategically uses cultural expectations to persuade her husband to commit regicide. Despite her initial confidence, Lady Macbeth’s character eventually reveals the psychological cost of transgressing social boundaries. As the play progresses, guilt begins to overwhelm her. In the famous sleepwalking scene, she repeatedly attempts to wash imaginary bloodstains from her hands, crying, “Out, damned spot! Out, I say!” (</w:t>
      </w:r>
      <w:r>
        <w:rPr>
          <w:i/>
        </w:rPr>
        <w:t>Macbeth </w:t>
      </w:r>
      <w:r>
        <w:rPr/>
        <w:t>5.1.30). The repetition of this phrase reflects the fragmentation of her mental state and the inescapable consequences of her actions. Lady Macbeth’s collapse exposes the instability of gender roles and the emotional toll associated</w:t>
      </w:r>
      <w:r>
        <w:rPr>
          <w:spacing w:val="40"/>
        </w:rPr>
        <w:t> </w:t>
      </w:r>
      <w:r>
        <w:rPr/>
        <w:t>with</w:t>
      </w:r>
      <w:r>
        <w:rPr>
          <w:spacing w:val="40"/>
        </w:rPr>
        <w:t> </w:t>
      </w:r>
      <w:r>
        <w:rPr/>
        <w:t>attempting</w:t>
      </w:r>
      <w:r>
        <w:rPr>
          <w:spacing w:val="40"/>
        </w:rPr>
        <w:t> </w:t>
      </w:r>
      <w:r>
        <w:rPr/>
        <w:t>to</w:t>
      </w:r>
      <w:r>
        <w:rPr>
          <w:spacing w:val="40"/>
        </w:rPr>
        <w:t> </w:t>
      </w:r>
      <w:r>
        <w:rPr/>
        <w:t>transcend</w:t>
      </w:r>
      <w:r>
        <w:rPr>
          <w:spacing w:val="40"/>
        </w:rPr>
        <w:t> </w:t>
      </w:r>
      <w:r>
        <w:rPr/>
        <w:t>them.</w:t>
      </w:r>
    </w:p>
    <w:p>
      <w:pPr>
        <w:pStyle w:val="BodyText"/>
        <w:spacing w:line="249" w:lineRule="auto" w:before="68"/>
        <w:ind w:right="1438" w:firstLine="432"/>
        <w:jc w:val="both"/>
      </w:pPr>
      <w:r>
        <w:rPr/>
        <w:t>When these characters are reconsidered through the lens of the #MeToo movement, their experiences acquire renewed relevance. The </w:t>
      </w:r>
      <w:r>
        <w:rPr>
          <w:spacing w:val="-2"/>
        </w:rPr>
        <w:t>movement</w:t>
      </w:r>
      <w:r>
        <w:rPr>
          <w:spacing w:val="-6"/>
        </w:rPr>
        <w:t> </w:t>
      </w:r>
      <w:r>
        <w:rPr>
          <w:spacing w:val="-2"/>
        </w:rPr>
        <w:t>emphasizes</w:t>
      </w:r>
      <w:r>
        <w:rPr>
          <w:spacing w:val="-8"/>
        </w:rPr>
        <w:t> </w:t>
      </w:r>
      <w:r>
        <w:rPr>
          <w:spacing w:val="-2"/>
        </w:rPr>
        <w:t>the</w:t>
      </w:r>
      <w:r>
        <w:rPr>
          <w:spacing w:val="-7"/>
        </w:rPr>
        <w:t> </w:t>
      </w:r>
      <w:r>
        <w:rPr>
          <w:spacing w:val="-2"/>
        </w:rPr>
        <w:t>importance</w:t>
      </w:r>
      <w:r>
        <w:rPr>
          <w:spacing w:val="-10"/>
        </w:rPr>
        <w:t> </w:t>
      </w:r>
      <w:r>
        <w:rPr>
          <w:spacing w:val="-2"/>
        </w:rPr>
        <w:t>of</w:t>
      </w:r>
      <w:r>
        <w:rPr>
          <w:spacing w:val="-8"/>
        </w:rPr>
        <w:t> </w:t>
      </w:r>
      <w:r>
        <w:rPr>
          <w:spacing w:val="-2"/>
        </w:rPr>
        <w:t>acknowledging</w:t>
      </w:r>
      <w:r>
        <w:rPr>
          <w:spacing w:val="-10"/>
        </w:rPr>
        <w:t> </w:t>
      </w:r>
      <w:r>
        <w:rPr>
          <w:spacing w:val="-2"/>
        </w:rPr>
        <w:t>women’s</w:t>
      </w:r>
      <w:r>
        <w:rPr>
          <w:spacing w:val="-8"/>
        </w:rPr>
        <w:t> </w:t>
      </w:r>
      <w:r>
        <w:rPr>
          <w:spacing w:val="-2"/>
        </w:rPr>
        <w:t>voices </w:t>
      </w:r>
      <w:r>
        <w:rPr/>
        <w:t>and recognizing the systemic forces that silence them. In </w:t>
      </w:r>
      <w:r>
        <w:rPr>
          <w:i/>
        </w:rPr>
        <w:t>Othello</w:t>
      </w:r>
      <w:r>
        <w:rPr/>
        <w:t>, Desdemona’s inability to convince Othello of her innocence reflects broader cultural patterns in which women’s testimony is dismissed. In </w:t>
      </w:r>
      <w:r>
        <w:rPr>
          <w:i/>
        </w:rPr>
        <w:t>Hamlet</w:t>
      </w:r>
      <w:r>
        <w:rPr/>
        <w:t>, Ophelia’s emotional breakdown highlights the psychological consequences of living within a society that denies female autonomy. Meanwhile, Lady Macbeth’s ambition illustrates the double standards that</w:t>
      </w:r>
      <w:r>
        <w:rPr>
          <w:spacing w:val="-13"/>
        </w:rPr>
        <w:t> </w:t>
      </w:r>
      <w:r>
        <w:rPr/>
        <w:t>frequently</w:t>
      </w:r>
      <w:r>
        <w:rPr>
          <w:spacing w:val="-12"/>
        </w:rPr>
        <w:t> </w:t>
      </w:r>
      <w:r>
        <w:rPr/>
        <w:t>shape</w:t>
      </w:r>
      <w:r>
        <w:rPr>
          <w:spacing w:val="-13"/>
        </w:rPr>
        <w:t> </w:t>
      </w:r>
      <w:r>
        <w:rPr/>
        <w:t>cultural</w:t>
      </w:r>
      <w:r>
        <w:rPr>
          <w:spacing w:val="-12"/>
        </w:rPr>
        <w:t> </w:t>
      </w:r>
      <w:r>
        <w:rPr/>
        <w:t>attitudes</w:t>
      </w:r>
      <w:r>
        <w:rPr>
          <w:spacing w:val="-13"/>
        </w:rPr>
        <w:t> </w:t>
      </w:r>
      <w:r>
        <w:rPr/>
        <w:t>toward</w:t>
      </w:r>
      <w:r>
        <w:rPr>
          <w:spacing w:val="-12"/>
        </w:rPr>
        <w:t> </w:t>
      </w:r>
      <w:r>
        <w:rPr/>
        <w:t>female</w:t>
      </w:r>
      <w:r>
        <w:rPr>
          <w:spacing w:val="-13"/>
        </w:rPr>
        <w:t> </w:t>
      </w:r>
      <w:r>
        <w:rPr/>
        <w:t>power.</w:t>
      </w:r>
      <w:r>
        <w:rPr>
          <w:spacing w:val="-12"/>
        </w:rPr>
        <w:t> </w:t>
      </w:r>
      <w:r>
        <w:rPr/>
        <w:t>While</w:t>
      </w:r>
      <w:r>
        <w:rPr>
          <w:spacing w:val="-13"/>
        </w:rPr>
        <w:t> </w:t>
      </w:r>
      <w:r>
        <w:rPr/>
        <w:t>male ambition is often celebrated, female ambition is frequently depicted as dangerous</w:t>
      </w:r>
      <w:r>
        <w:rPr>
          <w:spacing w:val="40"/>
        </w:rPr>
        <w:t> </w:t>
      </w:r>
      <w:r>
        <w:rPr/>
        <w:t>or</w:t>
      </w:r>
      <w:r>
        <w:rPr>
          <w:spacing w:val="40"/>
        </w:rPr>
        <w:t> </w:t>
      </w:r>
      <w:r>
        <w:rPr/>
        <w:t>unnatural.</w:t>
      </w:r>
    </w:p>
    <w:p>
      <w:pPr>
        <w:pStyle w:val="BodyText"/>
        <w:spacing w:line="249" w:lineRule="auto" w:before="68"/>
        <w:ind w:right="1438" w:firstLine="432"/>
        <w:jc w:val="both"/>
      </w:pPr>
      <w:r>
        <w:rPr/>
        <w:t>Modern theatrical interpretations increasingly reflect these perspectives, emphasizing the voices and experiences of Shakespeare’s female characters. Directors often reinterpret scenes to highlight the emotional realities of Desdemona and Ophelia, drawing connections between their struggles and contemporary conversations about gender justice. Cultural theorist Rosalind Gill argues that modern feminist movements reshape cultural narratives by foregrounding women’s experiences</w:t>
      </w:r>
      <w:r>
        <w:rPr>
          <w:spacing w:val="-6"/>
        </w:rPr>
        <w:t> </w:t>
      </w:r>
      <w:r>
        <w:rPr/>
        <w:t>and</w:t>
      </w:r>
      <w:r>
        <w:rPr>
          <w:spacing w:val="-6"/>
        </w:rPr>
        <w:t> </w:t>
      </w:r>
      <w:r>
        <w:rPr/>
        <w:t>challenging</w:t>
      </w:r>
      <w:r>
        <w:rPr>
          <w:spacing w:val="-6"/>
        </w:rPr>
        <w:t> </w:t>
      </w:r>
      <w:r>
        <w:rPr/>
        <w:t>the</w:t>
      </w:r>
      <w:r>
        <w:rPr>
          <w:spacing w:val="-5"/>
        </w:rPr>
        <w:t> </w:t>
      </w:r>
      <w:r>
        <w:rPr/>
        <w:t>systems</w:t>
      </w:r>
      <w:r>
        <w:rPr>
          <w:spacing w:val="-8"/>
        </w:rPr>
        <w:t> </w:t>
      </w:r>
      <w:r>
        <w:rPr/>
        <w:t>that</w:t>
      </w:r>
      <w:r>
        <w:rPr>
          <w:spacing w:val="-6"/>
        </w:rPr>
        <w:t> </w:t>
      </w:r>
      <w:r>
        <w:rPr/>
        <w:t>suppress</w:t>
      </w:r>
      <w:r>
        <w:rPr>
          <w:spacing w:val="-5"/>
        </w:rPr>
        <w:t> </w:t>
      </w:r>
      <w:r>
        <w:rPr/>
        <w:t>them</w:t>
      </w:r>
      <w:r>
        <w:rPr>
          <w:spacing w:val="-11"/>
        </w:rPr>
        <w:t> </w:t>
      </w:r>
      <w:r>
        <w:rPr/>
        <w:t>(Gill</w:t>
      </w:r>
      <w:r>
        <w:rPr>
          <w:spacing w:val="-5"/>
        </w:rPr>
        <w:t> </w:t>
      </w:r>
      <w:r>
        <w:rPr/>
        <w:t>2018). When applied to Shakespeare’s plays, this perspective reveals the continuing relevance of his work in discussions of gender and </w:t>
      </w:r>
      <w:r>
        <w:rPr>
          <w:spacing w:val="-2"/>
        </w:rPr>
        <w:t>representation.</w:t>
      </w:r>
    </w:p>
    <w:p>
      <w:pPr>
        <w:pStyle w:val="BodyText"/>
        <w:spacing w:line="249" w:lineRule="auto" w:before="69"/>
        <w:ind w:right="1440" w:firstLine="432"/>
        <w:jc w:val="both"/>
      </w:pPr>
      <w:r>
        <w:rPr/>
        <w:t>Ultimately, the enduring significance of Shakespeare’s drama lies in</w:t>
      </w:r>
      <w:r>
        <w:rPr>
          <w:spacing w:val="-6"/>
        </w:rPr>
        <w:t> </w:t>
      </w:r>
      <w:r>
        <w:rPr/>
        <w:t>its</w:t>
      </w:r>
      <w:r>
        <w:rPr>
          <w:spacing w:val="-4"/>
        </w:rPr>
        <w:t> </w:t>
      </w:r>
      <w:r>
        <w:rPr/>
        <w:t>capacity</w:t>
      </w:r>
      <w:r>
        <w:rPr>
          <w:spacing w:val="-8"/>
        </w:rPr>
        <w:t> </w:t>
      </w:r>
      <w:r>
        <w:rPr/>
        <w:t>to</w:t>
      </w:r>
      <w:r>
        <w:rPr>
          <w:spacing w:val="-3"/>
        </w:rPr>
        <w:t> </w:t>
      </w:r>
      <w:r>
        <w:rPr/>
        <w:t>illuminate</w:t>
      </w:r>
      <w:r>
        <w:rPr>
          <w:spacing w:val="-4"/>
        </w:rPr>
        <w:t> </w:t>
      </w:r>
      <w:r>
        <w:rPr/>
        <w:t>the</w:t>
      </w:r>
      <w:r>
        <w:rPr>
          <w:spacing w:val="-3"/>
        </w:rPr>
        <w:t> </w:t>
      </w:r>
      <w:r>
        <w:rPr/>
        <w:t>complexities</w:t>
      </w:r>
      <w:r>
        <w:rPr>
          <w:spacing w:val="-6"/>
        </w:rPr>
        <w:t> </w:t>
      </w:r>
      <w:r>
        <w:rPr/>
        <w:t>of</w:t>
      </w:r>
      <w:r>
        <w:rPr>
          <w:spacing w:val="-6"/>
        </w:rPr>
        <w:t> </w:t>
      </w:r>
      <w:r>
        <w:rPr/>
        <w:t>human</w:t>
      </w:r>
      <w:r>
        <w:rPr>
          <w:spacing w:val="-4"/>
        </w:rPr>
        <w:t> </w:t>
      </w:r>
      <w:r>
        <w:rPr/>
        <w:t>relationships</w:t>
      </w:r>
      <w:r>
        <w:rPr>
          <w:spacing w:val="-6"/>
        </w:rPr>
        <w:t> </w:t>
      </w:r>
      <w:r>
        <w:rPr/>
        <w:t>and social</w:t>
      </w:r>
      <w:r>
        <w:rPr>
          <w:spacing w:val="-13"/>
        </w:rPr>
        <w:t> </w:t>
      </w:r>
      <w:r>
        <w:rPr/>
        <w:t>structures.</w:t>
      </w:r>
      <w:r>
        <w:rPr>
          <w:spacing w:val="-10"/>
        </w:rPr>
        <w:t> </w:t>
      </w:r>
      <w:r>
        <w:rPr/>
        <w:t>The</w:t>
      </w:r>
      <w:r>
        <w:rPr>
          <w:spacing w:val="-11"/>
        </w:rPr>
        <w:t> </w:t>
      </w:r>
      <w:r>
        <w:rPr/>
        <w:t>stories</w:t>
      </w:r>
      <w:r>
        <w:rPr>
          <w:spacing w:val="-11"/>
        </w:rPr>
        <w:t> </w:t>
      </w:r>
      <w:r>
        <w:rPr/>
        <w:t>of</w:t>
      </w:r>
      <w:r>
        <w:rPr>
          <w:spacing w:val="-13"/>
        </w:rPr>
        <w:t> </w:t>
      </w:r>
      <w:r>
        <w:rPr/>
        <w:t>Desdemona,</w:t>
      </w:r>
      <w:r>
        <w:rPr>
          <w:spacing w:val="-11"/>
        </w:rPr>
        <w:t> </w:t>
      </w:r>
      <w:r>
        <w:rPr/>
        <w:t>Ophelia,</w:t>
      </w:r>
      <w:r>
        <w:rPr>
          <w:spacing w:val="-11"/>
        </w:rPr>
        <w:t> </w:t>
      </w:r>
      <w:r>
        <w:rPr/>
        <w:t>and</w:t>
      </w:r>
      <w:r>
        <w:rPr>
          <w:spacing w:val="-11"/>
        </w:rPr>
        <w:t> </w:t>
      </w:r>
      <w:r>
        <w:rPr/>
        <w:t>Lady</w:t>
      </w:r>
      <w:r>
        <w:rPr>
          <w:spacing w:val="-13"/>
        </w:rPr>
        <w:t> </w:t>
      </w:r>
      <w:r>
        <w:rPr/>
        <w:t>Macbeth demonstrate</w:t>
      </w:r>
      <w:r>
        <w:rPr>
          <w:spacing w:val="-13"/>
        </w:rPr>
        <w:t> </w:t>
      </w:r>
      <w:r>
        <w:rPr/>
        <w:t>how</w:t>
      </w:r>
      <w:r>
        <w:rPr>
          <w:spacing w:val="-12"/>
        </w:rPr>
        <w:t> </w:t>
      </w:r>
      <w:r>
        <w:rPr/>
        <w:t>voices</w:t>
      </w:r>
      <w:r>
        <w:rPr>
          <w:spacing w:val="-13"/>
        </w:rPr>
        <w:t> </w:t>
      </w:r>
      <w:r>
        <w:rPr/>
        <w:t>can</w:t>
      </w:r>
      <w:r>
        <w:rPr>
          <w:spacing w:val="-12"/>
        </w:rPr>
        <w:t> </w:t>
      </w:r>
      <w:r>
        <w:rPr/>
        <w:t>be</w:t>
      </w:r>
      <w:r>
        <w:rPr>
          <w:spacing w:val="-13"/>
        </w:rPr>
        <w:t> </w:t>
      </w:r>
      <w:r>
        <w:rPr/>
        <w:t>marginalized,</w:t>
      </w:r>
      <w:r>
        <w:rPr>
          <w:spacing w:val="-12"/>
        </w:rPr>
        <w:t> </w:t>
      </w:r>
      <w:r>
        <w:rPr/>
        <w:t>misinterpreted,</w:t>
      </w:r>
      <w:r>
        <w:rPr>
          <w:spacing w:val="-12"/>
        </w:rPr>
        <w:t> </w:t>
      </w:r>
      <w:r>
        <w:rPr/>
        <w:t>or</w:t>
      </w:r>
      <w:r>
        <w:rPr>
          <w:spacing w:val="-12"/>
        </w:rPr>
        <w:t> </w:t>
      </w:r>
      <w:r>
        <w:rPr>
          <w:spacing w:val="-2"/>
        </w:rPr>
        <w:t>silenced</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65152">
                <wp:simplePos x="0" y="0"/>
                <wp:positionH relativeFrom="page">
                  <wp:posOffset>2057400</wp:posOffset>
                </wp:positionH>
                <wp:positionV relativeFrom="paragraph">
                  <wp:posOffset>162604</wp:posOffset>
                </wp:positionV>
                <wp:extent cx="3657600" cy="12700"/>
                <wp:effectExtent l="0" t="0" r="0" b="0"/>
                <wp:wrapTopAndBottom/>
                <wp:docPr id="265" name="Graphic 265"/>
                <wp:cNvGraphicFramePr>
                  <a:graphicFrameLocks/>
                </wp:cNvGraphicFramePr>
                <a:graphic>
                  <a:graphicData uri="http://schemas.microsoft.com/office/word/2010/wordprocessingShape">
                    <wps:wsp>
                      <wps:cNvPr id="265" name="Graphic 26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51328;mso-wrap-distance-left:0;mso-wrap-distance-right:0" id="docshape261" filled="true" fillcolor="#000000" stroked="false">
                <v:fill type="solid"/>
                <w10:wrap type="topAndBottom"/>
              </v:rect>
            </w:pict>
          </mc:Fallback>
        </mc:AlternateContent>
      </w:r>
      <w:r>
        <w:rPr>
          <w:rFonts w:ascii="Verdana"/>
          <w:spacing w:val="-5"/>
          <w:sz w:val="18"/>
        </w:rPr>
        <w:t>82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within patriarchal systems.</w:t>
      </w:r>
      <w:r>
        <w:rPr>
          <w:spacing w:val="-7"/>
        </w:rPr>
        <w:t> </w:t>
      </w:r>
      <w:r>
        <w:rPr/>
        <w:t>Yet these characters also reveal moments of resistance that challenge the structures governing their lives. Through speech, silence, madness, and ambition, they negotiate the limitations imposed upon them and expose the contradictions within the societies they</w:t>
      </w:r>
      <w:r>
        <w:rPr>
          <w:spacing w:val="40"/>
        </w:rPr>
        <w:t> </w:t>
      </w:r>
      <w:r>
        <w:rPr/>
        <w:t>inhabit.</w:t>
      </w:r>
    </w:p>
    <w:p>
      <w:pPr>
        <w:pStyle w:val="BodyText"/>
        <w:spacing w:line="249" w:lineRule="auto" w:before="62"/>
        <w:ind w:right="1439" w:firstLine="432"/>
        <w:jc w:val="both"/>
      </w:pPr>
      <w:r>
        <w:rPr/>
        <w:t>Re-reading Shakespeare through feminist theory and the #MeToo framework therefore reveals new dimensions of meaning within these canonical texts. Rather than viewing Shakespeare’s women solely as tragic victims or disruptive figures, such interpretations highlight their </w:t>
      </w:r>
      <w:r>
        <w:rPr>
          <w:spacing w:val="-4"/>
        </w:rPr>
        <w:t>agency</w:t>
      </w:r>
      <w:r>
        <w:rPr>
          <w:spacing w:val="-6"/>
        </w:rPr>
        <w:t> </w:t>
      </w:r>
      <w:r>
        <w:rPr>
          <w:spacing w:val="-4"/>
        </w:rPr>
        <w:t>and resilience. Desdemona’s moral conviction, Ophelia’s symbolic </w:t>
      </w:r>
      <w:r>
        <w:rPr/>
        <w:t>language of madness, and Lady Macbeth’s ambitious defiance demonstrate</w:t>
      </w:r>
      <w:r>
        <w:rPr>
          <w:spacing w:val="-10"/>
        </w:rPr>
        <w:t> </w:t>
      </w:r>
      <w:r>
        <w:rPr/>
        <w:t>that</w:t>
      </w:r>
      <w:r>
        <w:rPr>
          <w:spacing w:val="-10"/>
        </w:rPr>
        <w:t> </w:t>
      </w:r>
      <w:r>
        <w:rPr/>
        <w:t>female</w:t>
      </w:r>
      <w:r>
        <w:rPr>
          <w:spacing w:val="-8"/>
        </w:rPr>
        <w:t> </w:t>
      </w:r>
      <w:r>
        <w:rPr/>
        <w:t>characters</w:t>
      </w:r>
      <w:r>
        <w:rPr>
          <w:spacing w:val="-12"/>
        </w:rPr>
        <w:t> </w:t>
      </w:r>
      <w:r>
        <w:rPr/>
        <w:t>in</w:t>
      </w:r>
      <w:r>
        <w:rPr>
          <w:spacing w:val="-10"/>
        </w:rPr>
        <w:t> </w:t>
      </w:r>
      <w:r>
        <w:rPr/>
        <w:t>Shakespeare</w:t>
      </w:r>
      <w:r>
        <w:rPr>
          <w:spacing w:val="-10"/>
        </w:rPr>
        <w:t> </w:t>
      </w:r>
      <w:r>
        <w:rPr/>
        <w:t>are</w:t>
      </w:r>
      <w:r>
        <w:rPr>
          <w:spacing w:val="-7"/>
        </w:rPr>
        <w:t> </w:t>
      </w:r>
      <w:r>
        <w:rPr/>
        <w:t>far</w:t>
      </w:r>
      <w:r>
        <w:rPr>
          <w:spacing w:val="-10"/>
        </w:rPr>
        <w:t> </w:t>
      </w:r>
      <w:r>
        <w:rPr/>
        <w:t>more</w:t>
      </w:r>
      <w:r>
        <w:rPr>
          <w:spacing w:val="-10"/>
        </w:rPr>
        <w:t> </w:t>
      </w:r>
      <w:r>
        <w:rPr/>
        <w:t>complex than</w:t>
      </w:r>
      <w:r>
        <w:rPr>
          <w:spacing w:val="-13"/>
        </w:rPr>
        <w:t> </w:t>
      </w:r>
      <w:r>
        <w:rPr/>
        <w:t>traditional</w:t>
      </w:r>
      <w:r>
        <w:rPr>
          <w:spacing w:val="-12"/>
        </w:rPr>
        <w:t> </w:t>
      </w:r>
      <w:r>
        <w:rPr/>
        <w:t>interpretations</w:t>
      </w:r>
      <w:r>
        <w:rPr>
          <w:spacing w:val="-13"/>
        </w:rPr>
        <w:t> </w:t>
      </w:r>
      <w:r>
        <w:rPr/>
        <w:t>suggest.</w:t>
      </w:r>
      <w:r>
        <w:rPr>
          <w:spacing w:val="-12"/>
        </w:rPr>
        <w:t> </w:t>
      </w:r>
      <w:r>
        <w:rPr/>
        <w:t>Their</w:t>
      </w:r>
      <w:r>
        <w:rPr>
          <w:spacing w:val="-13"/>
        </w:rPr>
        <w:t> </w:t>
      </w:r>
      <w:r>
        <w:rPr/>
        <w:t>stories</w:t>
      </w:r>
      <w:r>
        <w:rPr>
          <w:spacing w:val="-12"/>
        </w:rPr>
        <w:t> </w:t>
      </w:r>
      <w:r>
        <w:rPr/>
        <w:t>continue</w:t>
      </w:r>
      <w:r>
        <w:rPr>
          <w:spacing w:val="-13"/>
        </w:rPr>
        <w:t> </w:t>
      </w:r>
      <w:r>
        <w:rPr/>
        <w:t>to</w:t>
      </w:r>
      <w:r>
        <w:rPr>
          <w:spacing w:val="-12"/>
        </w:rPr>
        <w:t> </w:t>
      </w:r>
      <w:r>
        <w:rPr/>
        <w:t>resonate </w:t>
      </w:r>
      <w:r>
        <w:rPr>
          <w:spacing w:val="-2"/>
        </w:rPr>
        <w:t>with</w:t>
      </w:r>
      <w:r>
        <w:rPr>
          <w:spacing w:val="-11"/>
        </w:rPr>
        <w:t> </w:t>
      </w:r>
      <w:r>
        <w:rPr>
          <w:spacing w:val="-2"/>
        </w:rPr>
        <w:t>contemporary</w:t>
      </w:r>
      <w:r>
        <w:rPr>
          <w:spacing w:val="-10"/>
        </w:rPr>
        <w:t> </w:t>
      </w:r>
      <w:r>
        <w:rPr>
          <w:spacing w:val="-2"/>
        </w:rPr>
        <w:t>discussions</w:t>
      </w:r>
      <w:r>
        <w:rPr>
          <w:spacing w:val="-8"/>
        </w:rPr>
        <w:t> </w:t>
      </w:r>
      <w:r>
        <w:rPr>
          <w:spacing w:val="-2"/>
        </w:rPr>
        <w:t>about</w:t>
      </w:r>
      <w:r>
        <w:rPr>
          <w:spacing w:val="-7"/>
        </w:rPr>
        <w:t> </w:t>
      </w:r>
      <w:r>
        <w:rPr>
          <w:spacing w:val="-2"/>
        </w:rPr>
        <w:t>gender,</w:t>
      </w:r>
      <w:r>
        <w:rPr>
          <w:spacing w:val="-5"/>
        </w:rPr>
        <w:t> </w:t>
      </w:r>
      <w:r>
        <w:rPr>
          <w:spacing w:val="-2"/>
        </w:rPr>
        <w:t>power,</w:t>
      </w:r>
      <w:r>
        <w:rPr>
          <w:spacing w:val="-10"/>
        </w:rPr>
        <w:t> </w:t>
      </w:r>
      <w:r>
        <w:rPr>
          <w:spacing w:val="-2"/>
        </w:rPr>
        <w:t>and</w:t>
      </w:r>
      <w:r>
        <w:rPr>
          <w:spacing w:val="-8"/>
        </w:rPr>
        <w:t> </w:t>
      </w:r>
      <w:r>
        <w:rPr>
          <w:spacing w:val="-2"/>
        </w:rPr>
        <w:t>justice,</w:t>
      </w:r>
      <w:r>
        <w:rPr>
          <w:spacing w:val="-10"/>
        </w:rPr>
        <w:t> </w:t>
      </w:r>
      <w:r>
        <w:rPr>
          <w:spacing w:val="-2"/>
        </w:rPr>
        <w:t>ensuring </w:t>
      </w:r>
      <w:r>
        <w:rPr/>
        <w:t>that Shakespeare’s works remain relevant to modern scholarship and cultural</w:t>
      </w:r>
      <w:r>
        <w:rPr>
          <w:spacing w:val="40"/>
        </w:rPr>
        <w:t> </w:t>
      </w:r>
      <w:r>
        <w:rPr/>
        <w:t>discourse.</w:t>
      </w:r>
    </w:p>
    <w:p>
      <w:pPr>
        <w:pStyle w:val="Heading3"/>
        <w:spacing w:before="162"/>
      </w:pPr>
      <w:r>
        <w:rPr>
          <w:spacing w:val="-2"/>
          <w:w w:val="95"/>
        </w:rPr>
        <w:t>REFERENCES</w:t>
      </w:r>
    </w:p>
    <w:p>
      <w:pPr>
        <w:pStyle w:val="ListParagraph"/>
        <w:numPr>
          <w:ilvl w:val="0"/>
          <w:numId w:val="16"/>
        </w:numPr>
        <w:tabs>
          <w:tab w:pos="2157" w:val="left" w:leader="none"/>
          <w:tab w:pos="2160" w:val="left" w:leader="none"/>
        </w:tabs>
        <w:spacing w:line="264" w:lineRule="auto" w:before="83" w:after="0"/>
        <w:ind w:left="2160" w:right="1442" w:hanging="315"/>
        <w:jc w:val="both"/>
        <w:rPr>
          <w:sz w:val="19"/>
        </w:rPr>
      </w:pPr>
      <w:r>
        <w:rPr>
          <w:sz w:val="19"/>
        </w:rPr>
        <w:t>Butler, J. </w:t>
      </w:r>
      <w:r>
        <w:rPr>
          <w:i/>
          <w:sz w:val="19"/>
        </w:rPr>
        <w:t>Gender Trouble</w:t>
      </w:r>
      <w:r>
        <w:rPr>
          <w:sz w:val="19"/>
        </w:rPr>
        <w:t>. New York : Routledge Publications, </w:t>
      </w:r>
      <w:r>
        <w:rPr>
          <w:spacing w:val="-2"/>
          <w:sz w:val="19"/>
        </w:rPr>
        <w:t>1999.</w:t>
      </w:r>
    </w:p>
    <w:p>
      <w:pPr>
        <w:pStyle w:val="ListParagraph"/>
        <w:numPr>
          <w:ilvl w:val="0"/>
          <w:numId w:val="16"/>
        </w:numPr>
        <w:tabs>
          <w:tab w:pos="2157" w:val="left" w:leader="none"/>
          <w:tab w:pos="2160" w:val="left" w:leader="none"/>
        </w:tabs>
        <w:spacing w:line="261" w:lineRule="auto" w:before="54" w:after="0"/>
        <w:ind w:left="2160" w:right="1438" w:hanging="315"/>
        <w:jc w:val="both"/>
        <w:rPr>
          <w:sz w:val="19"/>
        </w:rPr>
      </w:pPr>
      <w:r>
        <w:rPr>
          <w:sz w:val="19"/>
        </w:rPr>
        <w:t>Dusinberre, J. </w:t>
      </w:r>
      <w:r>
        <w:rPr>
          <w:i/>
          <w:sz w:val="19"/>
        </w:rPr>
        <w:t>Shakespeare and the Nature of Women</w:t>
      </w:r>
      <w:r>
        <w:rPr>
          <w:sz w:val="19"/>
        </w:rPr>
        <w:t>. U K : Macmillan.</w:t>
      </w:r>
      <w:r>
        <w:rPr>
          <w:spacing w:val="40"/>
          <w:sz w:val="19"/>
        </w:rPr>
        <w:t> </w:t>
      </w:r>
      <w:r>
        <w:rPr>
          <w:sz w:val="19"/>
        </w:rPr>
        <w:t>1975.</w:t>
      </w:r>
    </w:p>
    <w:p>
      <w:pPr>
        <w:pStyle w:val="ListParagraph"/>
        <w:numPr>
          <w:ilvl w:val="0"/>
          <w:numId w:val="16"/>
        </w:numPr>
        <w:tabs>
          <w:tab w:pos="2157" w:val="left" w:leader="none"/>
          <w:tab w:pos="2160" w:val="left" w:leader="none"/>
        </w:tabs>
        <w:spacing w:line="261" w:lineRule="auto" w:before="57" w:after="0"/>
        <w:ind w:left="2160" w:right="1438" w:hanging="315"/>
        <w:jc w:val="both"/>
        <w:rPr>
          <w:sz w:val="19"/>
        </w:rPr>
      </w:pPr>
      <w:r>
        <w:rPr>
          <w:sz w:val="19"/>
        </w:rPr>
        <w:t>Showalter, E. </w:t>
      </w:r>
      <w:r>
        <w:rPr>
          <w:i/>
          <w:sz w:val="19"/>
        </w:rPr>
        <w:t>Representing Ophelia: Women, madness, and the responsibilities of feminist criticism</w:t>
      </w:r>
      <w:r>
        <w:rPr>
          <w:sz w:val="19"/>
        </w:rPr>
        <w:t>. New York : Routledge Publications,</w:t>
      </w:r>
      <w:r>
        <w:rPr>
          <w:spacing w:val="40"/>
          <w:sz w:val="19"/>
        </w:rPr>
        <w:t> </w:t>
      </w:r>
      <w:r>
        <w:rPr>
          <w:sz w:val="19"/>
        </w:rPr>
        <w:t>1985.</w:t>
      </w:r>
    </w:p>
    <w:p>
      <w:pPr>
        <w:pStyle w:val="ListParagraph"/>
        <w:numPr>
          <w:ilvl w:val="0"/>
          <w:numId w:val="16"/>
        </w:numPr>
        <w:tabs>
          <w:tab w:pos="2157" w:val="left" w:leader="none"/>
          <w:tab w:pos="2160" w:val="left" w:leader="none"/>
        </w:tabs>
        <w:spacing w:line="261" w:lineRule="auto" w:before="58" w:after="0"/>
        <w:ind w:left="2160" w:right="1438" w:hanging="315"/>
        <w:jc w:val="both"/>
        <w:rPr>
          <w:sz w:val="19"/>
        </w:rPr>
      </w:pPr>
      <w:r>
        <w:rPr>
          <w:sz w:val="19"/>
        </w:rPr>
        <w:t>Shakespeare, William. </w:t>
      </w:r>
      <w:r>
        <w:rPr>
          <w:i/>
          <w:sz w:val="19"/>
        </w:rPr>
        <w:t>Othello</w:t>
      </w:r>
      <w:r>
        <w:rPr>
          <w:sz w:val="19"/>
        </w:rPr>
        <w:t>. United Kingdom : Cambridge University</w:t>
      </w:r>
      <w:r>
        <w:rPr>
          <w:spacing w:val="40"/>
          <w:sz w:val="19"/>
        </w:rPr>
        <w:t> </w:t>
      </w:r>
      <w:r>
        <w:rPr>
          <w:sz w:val="19"/>
        </w:rPr>
        <w:t>Press.</w:t>
      </w:r>
      <w:r>
        <w:rPr>
          <w:spacing w:val="40"/>
          <w:sz w:val="19"/>
        </w:rPr>
        <w:t> </w:t>
      </w:r>
      <w:r>
        <w:rPr>
          <w:sz w:val="19"/>
        </w:rPr>
        <w:t>2003.</w:t>
      </w:r>
    </w:p>
    <w:p>
      <w:pPr>
        <w:pStyle w:val="ListParagraph"/>
        <w:numPr>
          <w:ilvl w:val="0"/>
          <w:numId w:val="16"/>
        </w:numPr>
        <w:tabs>
          <w:tab w:pos="2157" w:val="left" w:leader="none"/>
        </w:tabs>
        <w:spacing w:line="240" w:lineRule="auto" w:before="59" w:after="0"/>
        <w:ind w:left="2157" w:right="0" w:hanging="312"/>
        <w:jc w:val="both"/>
        <w:rPr>
          <w:sz w:val="19"/>
        </w:rPr>
      </w:pPr>
      <w:r>
        <w:rPr>
          <w:spacing w:val="-2"/>
          <w:sz w:val="19"/>
        </w:rPr>
        <w:t>Shakespeare,</w:t>
      </w:r>
      <w:r>
        <w:rPr>
          <w:spacing w:val="-1"/>
          <w:sz w:val="19"/>
        </w:rPr>
        <w:t> </w:t>
      </w:r>
      <w:r>
        <w:rPr>
          <w:spacing w:val="-2"/>
          <w:sz w:val="19"/>
        </w:rPr>
        <w:t>William.</w:t>
      </w:r>
      <w:r>
        <w:rPr>
          <w:spacing w:val="10"/>
          <w:sz w:val="19"/>
        </w:rPr>
        <w:t> </w:t>
      </w:r>
      <w:r>
        <w:rPr>
          <w:i/>
          <w:spacing w:val="-2"/>
          <w:sz w:val="19"/>
        </w:rPr>
        <w:t>Hamlet</w:t>
      </w:r>
      <w:r>
        <w:rPr>
          <w:spacing w:val="-2"/>
          <w:sz w:val="19"/>
        </w:rPr>
        <w:t>.</w:t>
      </w:r>
      <w:r>
        <w:rPr>
          <w:spacing w:val="4"/>
          <w:sz w:val="19"/>
        </w:rPr>
        <w:t> </w:t>
      </w:r>
      <w:r>
        <w:rPr>
          <w:spacing w:val="-2"/>
          <w:sz w:val="19"/>
        </w:rPr>
        <w:t>Cambridge</w:t>
      </w:r>
      <w:r>
        <w:rPr>
          <w:spacing w:val="3"/>
          <w:sz w:val="19"/>
        </w:rPr>
        <w:t> </w:t>
      </w:r>
      <w:r>
        <w:rPr>
          <w:spacing w:val="-2"/>
          <w:sz w:val="19"/>
        </w:rPr>
        <w:t>University</w:t>
      </w:r>
      <w:r>
        <w:rPr>
          <w:spacing w:val="-3"/>
          <w:sz w:val="19"/>
        </w:rPr>
        <w:t> </w:t>
      </w:r>
      <w:r>
        <w:rPr>
          <w:spacing w:val="-2"/>
          <w:sz w:val="19"/>
        </w:rPr>
        <w:t>Press.</w:t>
      </w:r>
      <w:r>
        <w:rPr>
          <w:spacing w:val="6"/>
          <w:sz w:val="19"/>
        </w:rPr>
        <w:t> </w:t>
      </w:r>
      <w:r>
        <w:rPr>
          <w:spacing w:val="-4"/>
          <w:sz w:val="19"/>
        </w:rPr>
        <w:t>2003.</w:t>
      </w:r>
    </w:p>
    <w:p>
      <w:pPr>
        <w:pStyle w:val="ListParagraph"/>
        <w:numPr>
          <w:ilvl w:val="0"/>
          <w:numId w:val="16"/>
        </w:numPr>
        <w:tabs>
          <w:tab w:pos="2157" w:val="left" w:leader="none"/>
          <w:tab w:pos="2160" w:val="left" w:leader="none"/>
        </w:tabs>
        <w:spacing w:line="261" w:lineRule="auto" w:before="77" w:after="0"/>
        <w:ind w:left="2160" w:right="1439" w:hanging="315"/>
        <w:jc w:val="both"/>
        <w:rPr>
          <w:sz w:val="19"/>
        </w:rPr>
      </w:pPr>
      <w:r>
        <w:rPr>
          <w:sz w:val="19"/>
        </w:rPr>
        <w:t>Shakespeare, William. </w:t>
      </w:r>
      <w:r>
        <w:rPr>
          <w:i/>
          <w:sz w:val="19"/>
        </w:rPr>
        <w:t>Macbeth</w:t>
      </w:r>
      <w:r>
        <w:rPr>
          <w:sz w:val="19"/>
        </w:rPr>
        <w:t>. United Kingdom : Cambridge University</w:t>
      </w:r>
      <w:r>
        <w:rPr>
          <w:spacing w:val="40"/>
          <w:sz w:val="19"/>
        </w:rPr>
        <w:t> </w:t>
      </w:r>
      <w:r>
        <w:rPr>
          <w:sz w:val="19"/>
        </w:rPr>
        <w:t>Press.</w:t>
      </w:r>
      <w:r>
        <w:rPr>
          <w:spacing w:val="40"/>
          <w:sz w:val="19"/>
        </w:rPr>
        <w:t> </w:t>
      </w:r>
      <w:r>
        <w:rPr>
          <w:sz w:val="19"/>
        </w:rPr>
        <w:t>2003.</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30336">
                <wp:simplePos x="0" y="0"/>
                <wp:positionH relativeFrom="page">
                  <wp:posOffset>2057400</wp:posOffset>
                </wp:positionH>
                <wp:positionV relativeFrom="page">
                  <wp:posOffset>1788723</wp:posOffset>
                </wp:positionV>
                <wp:extent cx="3654425" cy="140335"/>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3654425" cy="140335"/>
                        </a:xfrm>
                        <a:prstGeom prst="rect">
                          <a:avLst/>
                        </a:prstGeom>
                      </wps:spPr>
                      <wps:txbx>
                        <w:txbxContent>
                          <w:p>
                            <w:pPr>
                              <w:tabs>
                                <w:tab w:pos="5754" w:val="right" w:leader="none"/>
                              </w:tabs>
                              <w:spacing w:line="219" w:lineRule="exact" w:before="0"/>
                              <w:ind w:left="0" w:right="0" w:firstLine="0"/>
                              <w:jc w:val="left"/>
                              <w:rPr>
                                <w:rFonts w:ascii="Verdana"/>
                                <w:sz w:val="18"/>
                              </w:rPr>
                            </w:pPr>
                            <w:r>
                              <w:rPr>
                                <w:rFonts w:ascii="Verdana"/>
                                <w:sz w:val="18"/>
                              </w:rPr>
                              <w:t>Voices</w:t>
                            </w:r>
                            <w:r>
                              <w:rPr>
                                <w:rFonts w:ascii="Verdana"/>
                                <w:spacing w:val="-1"/>
                                <w:sz w:val="18"/>
                              </w:rPr>
                              <w:t> </w:t>
                            </w:r>
                            <w:r>
                              <w:rPr>
                                <w:rFonts w:ascii="Verdana"/>
                                <w:sz w:val="18"/>
                              </w:rPr>
                              <w:t>in</w:t>
                            </w:r>
                            <w:r>
                              <w:rPr>
                                <w:rFonts w:ascii="Verdana"/>
                                <w:spacing w:val="1"/>
                                <w:sz w:val="18"/>
                              </w:rPr>
                              <w:t> </w:t>
                            </w:r>
                            <w:r>
                              <w:rPr>
                                <w:rFonts w:ascii="Verdana"/>
                                <w:sz w:val="18"/>
                              </w:rPr>
                              <w:t>the</w:t>
                            </w:r>
                            <w:r>
                              <w:rPr>
                                <w:rFonts w:ascii="Verdana"/>
                                <w:spacing w:val="1"/>
                                <w:sz w:val="18"/>
                              </w:rPr>
                              <w:t> </w:t>
                            </w:r>
                            <w:r>
                              <w:rPr>
                                <w:rFonts w:ascii="Verdana"/>
                                <w:sz w:val="18"/>
                              </w:rPr>
                              <w:t>Margins:</w:t>
                            </w:r>
                            <w:r>
                              <w:rPr>
                                <w:rFonts w:ascii="Verdana"/>
                                <w:spacing w:val="1"/>
                                <w:sz w:val="18"/>
                              </w:rPr>
                              <w:t> </w:t>
                            </w:r>
                            <w:r>
                              <w:rPr>
                                <w:rFonts w:ascii="Verdana"/>
                                <w:sz w:val="18"/>
                              </w:rPr>
                              <w:t>Power,</w:t>
                            </w:r>
                            <w:r>
                              <w:rPr>
                                <w:rFonts w:ascii="Verdana"/>
                                <w:spacing w:val="-1"/>
                                <w:sz w:val="18"/>
                              </w:rPr>
                              <w:t> </w:t>
                            </w:r>
                            <w:r>
                              <w:rPr>
                                <w:rFonts w:ascii="Verdana"/>
                                <w:sz w:val="18"/>
                              </w:rPr>
                              <w:t>Agency,</w:t>
                            </w:r>
                            <w:r>
                              <w:rPr>
                                <w:rFonts w:ascii="Verdana"/>
                                <w:spacing w:val="-2"/>
                                <w:sz w:val="18"/>
                              </w:rPr>
                              <w:t> and...</w:t>
                            </w:r>
                            <w:r>
                              <w:rPr>
                                <w:sz w:val="18"/>
                              </w:rPr>
                              <w:tab/>
                            </w:r>
                            <w:r>
                              <w:rPr>
                                <w:rFonts w:ascii="Verdana"/>
                                <w:spacing w:val="-5"/>
                                <w:sz w:val="18"/>
                              </w:rPr>
                              <w:t>83</w:t>
                            </w:r>
                          </w:p>
                        </w:txbxContent>
                      </wps:txbx>
                      <wps:bodyPr wrap="square" lIns="0" tIns="0" rIns="0" bIns="0" rtlCol="0">
                        <a:noAutofit/>
                      </wps:bodyPr>
                    </wps:wsp>
                  </a:graphicData>
                </a:graphic>
              </wp:anchor>
            </w:drawing>
          </mc:Choice>
          <mc:Fallback>
            <w:pict>
              <v:shape style="position:absolute;margin-left:162pt;margin-top:140.844391pt;width:287.75pt;height:11.05pt;mso-position-horizontal-relative:page;mso-position-vertical-relative:page;z-index:-20486144" type="#_x0000_t202" id="docshape262" filled="false" stroked="false">
                <v:textbox inset="0,0,0,0">
                  <w:txbxContent>
                    <w:p>
                      <w:pPr>
                        <w:tabs>
                          <w:tab w:pos="5754" w:val="right" w:leader="none"/>
                        </w:tabs>
                        <w:spacing w:line="219" w:lineRule="exact" w:before="0"/>
                        <w:ind w:left="0" w:right="0" w:firstLine="0"/>
                        <w:jc w:val="left"/>
                        <w:rPr>
                          <w:rFonts w:ascii="Verdana"/>
                          <w:sz w:val="18"/>
                        </w:rPr>
                      </w:pPr>
                      <w:r>
                        <w:rPr>
                          <w:rFonts w:ascii="Verdana"/>
                          <w:sz w:val="18"/>
                        </w:rPr>
                        <w:t>Voices</w:t>
                      </w:r>
                      <w:r>
                        <w:rPr>
                          <w:rFonts w:ascii="Verdana"/>
                          <w:spacing w:val="-1"/>
                          <w:sz w:val="18"/>
                        </w:rPr>
                        <w:t> </w:t>
                      </w:r>
                      <w:r>
                        <w:rPr>
                          <w:rFonts w:ascii="Verdana"/>
                          <w:sz w:val="18"/>
                        </w:rPr>
                        <w:t>in</w:t>
                      </w:r>
                      <w:r>
                        <w:rPr>
                          <w:rFonts w:ascii="Verdana"/>
                          <w:spacing w:val="1"/>
                          <w:sz w:val="18"/>
                        </w:rPr>
                        <w:t> </w:t>
                      </w:r>
                      <w:r>
                        <w:rPr>
                          <w:rFonts w:ascii="Verdana"/>
                          <w:sz w:val="18"/>
                        </w:rPr>
                        <w:t>the</w:t>
                      </w:r>
                      <w:r>
                        <w:rPr>
                          <w:rFonts w:ascii="Verdana"/>
                          <w:spacing w:val="1"/>
                          <w:sz w:val="18"/>
                        </w:rPr>
                        <w:t> </w:t>
                      </w:r>
                      <w:r>
                        <w:rPr>
                          <w:rFonts w:ascii="Verdana"/>
                          <w:sz w:val="18"/>
                        </w:rPr>
                        <w:t>Margins:</w:t>
                      </w:r>
                      <w:r>
                        <w:rPr>
                          <w:rFonts w:ascii="Verdana"/>
                          <w:spacing w:val="1"/>
                          <w:sz w:val="18"/>
                        </w:rPr>
                        <w:t> </w:t>
                      </w:r>
                      <w:r>
                        <w:rPr>
                          <w:rFonts w:ascii="Verdana"/>
                          <w:sz w:val="18"/>
                        </w:rPr>
                        <w:t>Power,</w:t>
                      </w:r>
                      <w:r>
                        <w:rPr>
                          <w:rFonts w:ascii="Verdana"/>
                          <w:spacing w:val="-1"/>
                          <w:sz w:val="18"/>
                        </w:rPr>
                        <w:t> </w:t>
                      </w:r>
                      <w:r>
                        <w:rPr>
                          <w:rFonts w:ascii="Verdana"/>
                          <w:sz w:val="18"/>
                        </w:rPr>
                        <w:t>Agency,</w:t>
                      </w:r>
                      <w:r>
                        <w:rPr>
                          <w:rFonts w:ascii="Verdana"/>
                          <w:spacing w:val="-2"/>
                          <w:sz w:val="18"/>
                        </w:rPr>
                        <w:t> and...</w:t>
                      </w:r>
                      <w:r>
                        <w:rPr>
                          <w:sz w:val="18"/>
                        </w:rPr>
                        <w:tab/>
                      </w:r>
                      <w:r>
                        <w:rPr>
                          <w:rFonts w:ascii="Verdana"/>
                          <w:spacing w:val="-5"/>
                          <w:sz w:val="18"/>
                        </w:rPr>
                        <w:t>83</w:t>
                      </w:r>
                    </w:p>
                  </w:txbxContent>
                </v:textbox>
                <w10:wrap type="none"/>
              </v:shape>
            </w:pict>
          </mc:Fallback>
        </mc:AlternateContent>
      </w:r>
    </w:p>
    <w:p>
      <w:pPr>
        <w:pStyle w:val="BodyText"/>
        <w:spacing w:before="228"/>
        <w:ind w:left="0"/>
      </w:pPr>
    </w:p>
    <w:p>
      <w:pPr>
        <w:spacing w:line="240" w:lineRule="auto"/>
        <w:ind w:left="1101" w:right="0" w:firstLine="0"/>
        <w:rPr>
          <w:sz w:val="20"/>
        </w:rPr>
      </w:pPr>
      <w:r>
        <w:rPr>
          <w:sz w:val="20"/>
        </w:rPr>
        <mc:AlternateContent>
          <mc:Choice Requires="wps">
            <w:drawing>
              <wp:inline distT="0" distB="0" distL="0" distR="0">
                <wp:extent cx="4043679" cy="701040"/>
                <wp:effectExtent l="0" t="0" r="0" b="0"/>
                <wp:docPr id="267" name="Group 267"/>
                <wp:cNvGraphicFramePr>
                  <a:graphicFrameLocks/>
                </wp:cNvGraphicFramePr>
                <a:graphic>
                  <a:graphicData uri="http://schemas.microsoft.com/office/word/2010/wordprocessingGroup">
                    <wpg:wgp>
                      <wpg:cNvPr id="267" name="Group 267"/>
                      <wpg:cNvGrpSpPr/>
                      <wpg:grpSpPr>
                        <a:xfrm>
                          <a:off x="0" y="0"/>
                          <a:ext cx="4043679" cy="701040"/>
                          <a:chExt cx="4043679" cy="701040"/>
                        </a:xfrm>
                      </wpg:grpSpPr>
                      <wps:wsp>
                        <wps:cNvPr id="268" name="Graphic 268"/>
                        <wps:cNvSpPr/>
                        <wps:spPr>
                          <a:xfrm>
                            <a:off x="0" y="0"/>
                            <a:ext cx="4043679" cy="701040"/>
                          </a:xfrm>
                          <a:custGeom>
                            <a:avLst/>
                            <a:gdLst/>
                            <a:ahLst/>
                            <a:cxnLst/>
                            <a:rect l="l" t="t" r="r" b="b"/>
                            <a:pathLst>
                              <a:path w="4043679" h="701040">
                                <a:moveTo>
                                  <a:pt x="4043171" y="701040"/>
                                </a:moveTo>
                                <a:lnTo>
                                  <a:pt x="0" y="701040"/>
                                </a:lnTo>
                                <a:lnTo>
                                  <a:pt x="0" y="0"/>
                                </a:lnTo>
                                <a:lnTo>
                                  <a:pt x="4043171" y="0"/>
                                </a:lnTo>
                                <a:lnTo>
                                  <a:pt x="4043171" y="70104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2pt;mso-position-horizontal-relative:char;mso-position-vertical-relative:line" id="docshapegroup263" coordorigin="0,0" coordsize="6368,1104">
                <v:rect style="position:absolute;left:0;top:0;width:6368;height:1104" id="docshape264" filled="true" fillcolor="#ffffff" stroked="false">
                  <v:fill type="solid"/>
                </v:rect>
              </v:group>
            </w:pict>
          </mc:Fallback>
        </mc:AlternateContent>
      </w:r>
      <w:r>
        <w:rPr>
          <w:sz w:val="20"/>
        </w:rPr>
      </w:r>
    </w:p>
    <w:p>
      <w:pPr>
        <w:pStyle w:val="BodyText"/>
        <w:spacing w:before="178"/>
        <w:ind w:left="0"/>
      </w:pPr>
      <w:r>
        <w:rPr/>
        <mc:AlternateContent>
          <mc:Choice Requires="wps">
            <w:drawing>
              <wp:anchor distT="0" distB="0" distL="0" distR="0" allowOverlap="1" layoutInCell="1" locked="0" behindDoc="1" simplePos="0" relativeHeight="487666176">
                <wp:simplePos x="0" y="0"/>
                <wp:positionH relativeFrom="page">
                  <wp:posOffset>3511295</wp:posOffset>
                </wp:positionH>
                <wp:positionV relativeFrom="paragraph">
                  <wp:posOffset>274447</wp:posOffset>
                </wp:positionV>
                <wp:extent cx="728980" cy="654050"/>
                <wp:effectExtent l="0" t="0" r="0" b="0"/>
                <wp:wrapTopAndBottom/>
                <wp:docPr id="269" name="Group 269"/>
                <wp:cNvGraphicFramePr>
                  <a:graphicFrameLocks/>
                </wp:cNvGraphicFramePr>
                <a:graphic>
                  <a:graphicData uri="http://schemas.microsoft.com/office/word/2010/wordprocessingGroup">
                    <wpg:wgp>
                      <wpg:cNvPr id="269" name="Group 269"/>
                      <wpg:cNvGrpSpPr/>
                      <wpg:grpSpPr>
                        <a:xfrm>
                          <a:off x="0" y="0"/>
                          <a:ext cx="728980" cy="654050"/>
                          <a:chExt cx="728980" cy="654050"/>
                        </a:xfrm>
                      </wpg:grpSpPr>
                      <pic:pic>
                        <pic:nvPicPr>
                          <pic:cNvPr id="270" name="Image 270"/>
                          <pic:cNvPicPr/>
                        </pic:nvPicPr>
                        <pic:blipFill>
                          <a:blip r:embed="rId86" cstate="print"/>
                          <a:stretch>
                            <a:fillRect/>
                          </a:stretch>
                        </pic:blipFill>
                        <pic:spPr>
                          <a:xfrm>
                            <a:off x="0" y="0"/>
                            <a:ext cx="728472" cy="653795"/>
                          </a:xfrm>
                          <a:prstGeom prst="rect">
                            <a:avLst/>
                          </a:prstGeom>
                        </pic:spPr>
                      </pic:pic>
                      <wps:wsp>
                        <wps:cNvPr id="271" name="Textbox 271"/>
                        <wps:cNvSpPr txBox="1"/>
                        <wps:spPr>
                          <a:xfrm>
                            <a:off x="0" y="0"/>
                            <a:ext cx="728980" cy="654050"/>
                          </a:xfrm>
                          <a:prstGeom prst="rect">
                            <a:avLst/>
                          </a:prstGeom>
                        </wps:spPr>
                        <wps:txbx>
                          <w:txbxContent>
                            <w:p>
                              <w:pPr>
                                <w:spacing w:before="362"/>
                                <w:ind w:left="102" w:right="60" w:firstLine="0"/>
                                <w:jc w:val="center"/>
                                <w:rPr>
                                  <w:rFonts w:ascii="Tahoma"/>
                                  <w:b/>
                                  <w:sz w:val="36"/>
                                </w:rPr>
                              </w:pPr>
                              <w:r>
                                <w:rPr>
                                  <w:rFonts w:ascii="Tahoma"/>
                                  <w:b/>
                                  <w:spacing w:val="-10"/>
                                  <w:w w:val="95"/>
                                  <w:sz w:val="36"/>
                                </w:rPr>
                                <w:t>8</w:t>
                              </w:r>
                            </w:p>
                          </w:txbxContent>
                        </wps:txbx>
                        <wps:bodyPr wrap="square" lIns="0" tIns="0" rIns="0" bIns="0" rtlCol="0">
                          <a:noAutofit/>
                        </wps:bodyPr>
                      </wps:wsp>
                    </wpg:wgp>
                  </a:graphicData>
                </a:graphic>
              </wp:anchor>
            </w:drawing>
          </mc:Choice>
          <mc:Fallback>
            <w:pict>
              <v:group style="position:absolute;margin-left:276.47998pt;margin-top:21.610006pt;width:57.4pt;height:51.5pt;mso-position-horizontal-relative:page;mso-position-vertical-relative:paragraph;z-index:-15650304;mso-wrap-distance-left:0;mso-wrap-distance-right:0" id="docshapegroup265" coordorigin="5530,432" coordsize="1148,1030">
                <v:shape style="position:absolute;left:5529;top:432;width:1148;height:1030" type="#_x0000_t75" id="docshape266" stroked="false">
                  <v:imagedata r:id="rId86" o:title=""/>
                </v:shape>
                <v:shape style="position:absolute;left:5529;top:432;width:1148;height:1030" type="#_x0000_t202" id="docshape267" filled="false" stroked="false">
                  <v:textbox inset="0,0,0,0">
                    <w:txbxContent>
                      <w:p>
                        <w:pPr>
                          <w:spacing w:before="362"/>
                          <w:ind w:left="102" w:right="60" w:firstLine="0"/>
                          <w:jc w:val="center"/>
                          <w:rPr>
                            <w:rFonts w:ascii="Tahoma"/>
                            <w:b/>
                            <w:sz w:val="36"/>
                          </w:rPr>
                        </w:pPr>
                        <w:r>
                          <w:rPr>
                            <w:rFonts w:ascii="Tahoma"/>
                            <w:b/>
                            <w:spacing w:val="-10"/>
                            <w:w w:val="95"/>
                            <w:sz w:val="36"/>
                          </w:rPr>
                          <w:t>8</w:t>
                        </w:r>
                      </w:p>
                    </w:txbxContent>
                  </v:textbox>
                  <w10:wrap type="none"/>
                </v:shape>
                <w10:wrap type="topAndBottom"/>
              </v:group>
            </w:pict>
          </mc:Fallback>
        </mc:AlternateContent>
      </w:r>
    </w:p>
    <w:p>
      <w:pPr>
        <w:pStyle w:val="Heading1"/>
        <w:spacing w:line="211" w:lineRule="auto" w:before="18"/>
        <w:ind w:left="1884" w:right="1885"/>
      </w:pPr>
      <w:r>
        <w:rPr/>
        <w:t>Voices in the Margins: Power, </w:t>
      </w:r>
      <w:r>
        <w:rPr>
          <w:spacing w:val="-2"/>
        </w:rPr>
        <w:t>Agency,</w:t>
      </w:r>
      <w:r>
        <w:rPr>
          <w:spacing w:val="-20"/>
        </w:rPr>
        <w:t> </w:t>
      </w:r>
      <w:r>
        <w:rPr>
          <w:spacing w:val="-2"/>
        </w:rPr>
        <w:t>and</w:t>
      </w:r>
      <w:r>
        <w:rPr>
          <w:spacing w:val="-16"/>
        </w:rPr>
        <w:t> </w:t>
      </w:r>
      <w:r>
        <w:rPr>
          <w:spacing w:val="-2"/>
        </w:rPr>
        <w:t>Representation</w:t>
      </w:r>
      <w:r>
        <w:rPr>
          <w:spacing w:val="-18"/>
        </w:rPr>
        <w:t> </w:t>
      </w:r>
      <w:r>
        <w:rPr>
          <w:spacing w:val="-2"/>
        </w:rPr>
        <w:t>of </w:t>
      </w:r>
      <w:r>
        <w:rPr/>
        <w:t>Women in Shakespeare’s</w:t>
      </w:r>
    </w:p>
    <w:p>
      <w:pPr>
        <w:tabs>
          <w:tab w:pos="1739" w:val="left" w:leader="none"/>
          <w:tab w:pos="5759" w:val="left" w:leader="none"/>
        </w:tabs>
        <w:spacing w:line="348" w:lineRule="exact" w:before="0"/>
        <w:ind w:left="0" w:right="0" w:firstLine="0"/>
        <w:jc w:val="center"/>
        <w:rPr>
          <w:rFonts w:ascii="Tahoma"/>
          <w:b/>
          <w:sz w:val="32"/>
        </w:rPr>
      </w:pPr>
      <w:r>
        <w:rPr>
          <w:sz w:val="32"/>
          <w:u w:val="single"/>
        </w:rPr>
        <w:tab/>
      </w:r>
      <w:r>
        <w:rPr>
          <w:rFonts w:ascii="Tahoma"/>
          <w:b/>
          <w:w w:val="90"/>
          <w:sz w:val="32"/>
          <w:u w:val="single"/>
        </w:rPr>
        <w:t>Historical</w:t>
      </w:r>
      <w:r>
        <w:rPr>
          <w:rFonts w:ascii="Tahoma"/>
          <w:b/>
          <w:spacing w:val="6"/>
          <w:sz w:val="32"/>
          <w:u w:val="single"/>
        </w:rPr>
        <w:t> </w:t>
      </w:r>
      <w:r>
        <w:rPr>
          <w:rFonts w:ascii="Tahoma"/>
          <w:b/>
          <w:spacing w:val="-4"/>
          <w:sz w:val="32"/>
          <w:u w:val="single"/>
        </w:rPr>
        <w:t>Plays</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666688">
                <wp:simplePos x="0" y="0"/>
                <wp:positionH relativeFrom="page">
                  <wp:posOffset>2057400</wp:posOffset>
                </wp:positionH>
                <wp:positionV relativeFrom="paragraph">
                  <wp:posOffset>60305</wp:posOffset>
                </wp:positionV>
                <wp:extent cx="3657600" cy="7620"/>
                <wp:effectExtent l="0" t="0" r="0" b="0"/>
                <wp:wrapTopAndBottom/>
                <wp:docPr id="272" name="Graphic 272"/>
                <wp:cNvGraphicFramePr>
                  <a:graphicFrameLocks/>
                </wp:cNvGraphicFramePr>
                <a:graphic>
                  <a:graphicData uri="http://schemas.microsoft.com/office/word/2010/wordprocessingShape">
                    <wps:wsp>
                      <wps:cNvPr id="272" name="Graphic 272"/>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48457pt;width:288.000009pt;height:.59999pt;mso-position-horizontal-relative:page;mso-position-vertical-relative:paragraph;z-index:-15649792;mso-wrap-distance-left:0;mso-wrap-distance-right:0" id="docshape268" filled="true" fillcolor="#000000" stroked="false">
                <v:fill type="solid"/>
                <w10:wrap type="topAndBottom"/>
              </v:rect>
            </w:pict>
          </mc:Fallback>
        </mc:AlternateContent>
      </w:r>
    </w:p>
    <w:p>
      <w:pPr>
        <w:spacing w:line="252" w:lineRule="auto" w:before="0"/>
        <w:ind w:left="2332" w:right="1437" w:firstLine="4072"/>
        <w:jc w:val="right"/>
        <w:rPr>
          <w:i/>
          <w:sz w:val="19"/>
        </w:rPr>
      </w:pPr>
      <w:r>
        <w:rPr>
          <w:b/>
          <w:i/>
          <w:sz w:val="22"/>
        </w:rPr>
        <w:t>A.</w:t>
      </w:r>
      <w:r>
        <w:rPr>
          <w:b/>
          <w:i/>
          <w:spacing w:val="13"/>
          <w:sz w:val="22"/>
        </w:rPr>
        <w:t> </w:t>
      </w:r>
      <w:r>
        <w:rPr>
          <w:b/>
          <w:i/>
          <w:sz w:val="22"/>
        </w:rPr>
        <w:t>Akil</w:t>
      </w:r>
      <w:r>
        <w:rPr>
          <w:b/>
          <w:i/>
          <w:sz w:val="22"/>
        </w:rPr>
        <w:t>a </w:t>
      </w:r>
      <w:r>
        <w:rPr>
          <w:i/>
          <w:sz w:val="19"/>
        </w:rPr>
        <w:t>Assistant</w:t>
      </w:r>
      <w:r>
        <w:rPr>
          <w:i/>
          <w:spacing w:val="40"/>
          <w:sz w:val="19"/>
        </w:rPr>
        <w:t> </w:t>
      </w:r>
      <w:r>
        <w:rPr>
          <w:i/>
          <w:sz w:val="19"/>
        </w:rPr>
        <w:t>Professor,</w:t>
      </w:r>
      <w:r>
        <w:rPr>
          <w:i/>
          <w:spacing w:val="40"/>
          <w:sz w:val="19"/>
        </w:rPr>
        <w:t> </w:t>
      </w:r>
      <w:r>
        <w:rPr>
          <w:i/>
          <w:sz w:val="19"/>
        </w:rPr>
        <w:t>Department</w:t>
      </w:r>
      <w:r>
        <w:rPr>
          <w:i/>
          <w:spacing w:val="40"/>
          <w:sz w:val="19"/>
        </w:rPr>
        <w:t> </w:t>
      </w:r>
      <w:r>
        <w:rPr>
          <w:i/>
          <w:sz w:val="19"/>
        </w:rPr>
        <w:t>of</w:t>
      </w:r>
      <w:r>
        <w:rPr>
          <w:i/>
          <w:spacing w:val="40"/>
          <w:sz w:val="19"/>
        </w:rPr>
        <w:t> </w:t>
      </w:r>
      <w:r>
        <w:rPr>
          <w:i/>
          <w:sz w:val="19"/>
        </w:rPr>
        <w:t>English, </w:t>
      </w:r>
      <w:hyperlink r:id="rId87">
        <w:r>
          <w:rPr>
            <w:i/>
            <w:sz w:val="19"/>
          </w:rPr>
          <w:t>akilaa.cas@ppg.edu.in</w:t>
        </w:r>
      </w:hyperlink>
      <w:r>
        <w:rPr>
          <w:i/>
          <w:sz w:val="19"/>
        </w:rPr>
        <w:t>,</w:t>
      </w:r>
      <w:r>
        <w:rPr>
          <w:i/>
          <w:spacing w:val="63"/>
          <w:sz w:val="19"/>
        </w:rPr>
        <w:t> </w:t>
      </w:r>
      <w:r>
        <w:rPr>
          <w:i/>
          <w:sz w:val="19"/>
        </w:rPr>
        <w:t>PPG</w:t>
      </w:r>
      <w:r>
        <w:rPr>
          <w:i/>
          <w:spacing w:val="65"/>
          <w:sz w:val="19"/>
        </w:rPr>
        <w:t> </w:t>
      </w:r>
      <w:r>
        <w:rPr>
          <w:i/>
          <w:sz w:val="19"/>
        </w:rPr>
        <w:t>College</w:t>
      </w:r>
      <w:r>
        <w:rPr>
          <w:i/>
          <w:spacing w:val="63"/>
          <w:sz w:val="19"/>
        </w:rPr>
        <w:t> </w:t>
      </w:r>
      <w:r>
        <w:rPr>
          <w:i/>
          <w:sz w:val="19"/>
        </w:rPr>
        <w:t>of</w:t>
      </w:r>
      <w:r>
        <w:rPr>
          <w:i/>
          <w:spacing w:val="61"/>
          <w:sz w:val="19"/>
        </w:rPr>
        <w:t> </w:t>
      </w:r>
      <w:r>
        <w:rPr>
          <w:i/>
          <w:sz w:val="19"/>
        </w:rPr>
        <w:t>Arts</w:t>
      </w:r>
      <w:r>
        <w:rPr>
          <w:i/>
          <w:spacing w:val="64"/>
          <w:sz w:val="19"/>
        </w:rPr>
        <w:t> </w:t>
      </w:r>
      <w:r>
        <w:rPr>
          <w:i/>
          <w:sz w:val="19"/>
        </w:rPr>
        <w:t>and</w:t>
      </w:r>
      <w:r>
        <w:rPr>
          <w:i/>
          <w:spacing w:val="63"/>
          <w:sz w:val="19"/>
        </w:rPr>
        <w:t> </w:t>
      </w:r>
      <w:r>
        <w:rPr>
          <w:i/>
          <w:spacing w:val="-2"/>
          <w:sz w:val="19"/>
        </w:rPr>
        <w:t>Science,</w:t>
      </w:r>
    </w:p>
    <w:p>
      <w:pPr>
        <w:spacing w:line="218" w:lineRule="exact" w:before="0"/>
        <w:ind w:left="0" w:right="1439" w:firstLine="0"/>
        <w:jc w:val="right"/>
        <w:rPr>
          <w:i/>
          <w:sz w:val="19"/>
        </w:rPr>
      </w:pPr>
      <w:r>
        <w:rPr>
          <w:i/>
          <w:sz w:val="19"/>
        </w:rPr>
        <w:t>Coimbatore,</w:t>
      </w:r>
      <w:r>
        <w:rPr>
          <w:i/>
          <w:spacing w:val="32"/>
          <w:sz w:val="19"/>
        </w:rPr>
        <w:t>  </w:t>
      </w:r>
      <w:r>
        <w:rPr>
          <w:i/>
          <w:spacing w:val="-2"/>
          <w:sz w:val="19"/>
        </w:rPr>
        <w:t>Mob.8531834074</w:t>
      </w:r>
    </w:p>
    <w:p>
      <w:pPr>
        <w:spacing w:line="252" w:lineRule="auto" w:before="191"/>
        <w:ind w:left="2114" w:right="1436" w:firstLine="3976"/>
        <w:jc w:val="right"/>
        <w:rPr>
          <w:i/>
          <w:sz w:val="19"/>
        </w:rPr>
      </w:pPr>
      <w:r>
        <w:rPr>
          <w:b/>
          <w:i/>
          <w:sz w:val="22"/>
        </w:rPr>
        <w:t>R.</w:t>
      </w:r>
      <w:r>
        <w:rPr>
          <w:b/>
          <w:i/>
          <w:spacing w:val="34"/>
          <w:sz w:val="22"/>
        </w:rPr>
        <w:t> </w:t>
      </w:r>
      <w:r>
        <w:rPr>
          <w:b/>
          <w:i/>
          <w:sz w:val="22"/>
        </w:rPr>
        <w:t>Sudevan </w:t>
      </w:r>
      <w:r>
        <w:rPr>
          <w:i/>
          <w:sz w:val="19"/>
        </w:rPr>
        <w:t>Assistant</w:t>
      </w:r>
      <w:r>
        <w:rPr>
          <w:i/>
          <w:spacing w:val="40"/>
          <w:sz w:val="19"/>
        </w:rPr>
        <w:t> </w:t>
      </w:r>
      <w:r>
        <w:rPr>
          <w:i/>
          <w:sz w:val="19"/>
        </w:rPr>
        <w:t>Professor,</w:t>
      </w:r>
      <w:r>
        <w:rPr>
          <w:i/>
          <w:spacing w:val="40"/>
          <w:sz w:val="19"/>
        </w:rPr>
        <w:t> </w:t>
      </w:r>
      <w:r>
        <w:rPr>
          <w:i/>
          <w:sz w:val="19"/>
        </w:rPr>
        <w:t>Department</w:t>
      </w:r>
      <w:r>
        <w:rPr>
          <w:i/>
          <w:spacing w:val="40"/>
          <w:sz w:val="19"/>
        </w:rPr>
        <w:t> </w:t>
      </w:r>
      <w:r>
        <w:rPr>
          <w:i/>
          <w:sz w:val="19"/>
        </w:rPr>
        <w:t>of</w:t>
      </w:r>
      <w:r>
        <w:rPr>
          <w:i/>
          <w:spacing w:val="40"/>
          <w:sz w:val="19"/>
        </w:rPr>
        <w:t> </w:t>
      </w:r>
      <w:r>
        <w:rPr>
          <w:i/>
          <w:sz w:val="19"/>
        </w:rPr>
        <w:t>English, </w:t>
      </w:r>
      <w:hyperlink r:id="rId88">
        <w:r>
          <w:rPr>
            <w:i/>
            <w:sz w:val="19"/>
          </w:rPr>
          <w:t>sudevanr.cas@ppg.edu.in</w:t>
        </w:r>
      </w:hyperlink>
      <w:r>
        <w:rPr>
          <w:i/>
          <w:sz w:val="19"/>
        </w:rPr>
        <w:t>,</w:t>
      </w:r>
      <w:r>
        <w:rPr>
          <w:i/>
          <w:spacing w:val="62"/>
          <w:sz w:val="19"/>
        </w:rPr>
        <w:t> </w:t>
      </w:r>
      <w:r>
        <w:rPr>
          <w:i/>
          <w:sz w:val="19"/>
        </w:rPr>
        <w:t>PPG</w:t>
      </w:r>
      <w:r>
        <w:rPr>
          <w:i/>
          <w:spacing w:val="63"/>
          <w:sz w:val="19"/>
        </w:rPr>
        <w:t> </w:t>
      </w:r>
      <w:r>
        <w:rPr>
          <w:i/>
          <w:sz w:val="19"/>
        </w:rPr>
        <w:t>College</w:t>
      </w:r>
      <w:r>
        <w:rPr>
          <w:i/>
          <w:spacing w:val="62"/>
          <w:sz w:val="19"/>
        </w:rPr>
        <w:t> </w:t>
      </w:r>
      <w:r>
        <w:rPr>
          <w:i/>
          <w:sz w:val="19"/>
        </w:rPr>
        <w:t>of</w:t>
      </w:r>
      <w:r>
        <w:rPr>
          <w:i/>
          <w:spacing w:val="58"/>
          <w:sz w:val="19"/>
        </w:rPr>
        <w:t> </w:t>
      </w:r>
      <w:r>
        <w:rPr>
          <w:i/>
          <w:sz w:val="19"/>
        </w:rPr>
        <w:t>Arts</w:t>
      </w:r>
      <w:r>
        <w:rPr>
          <w:i/>
          <w:spacing w:val="62"/>
          <w:sz w:val="19"/>
        </w:rPr>
        <w:t> </w:t>
      </w:r>
      <w:r>
        <w:rPr>
          <w:i/>
          <w:sz w:val="19"/>
        </w:rPr>
        <w:t>and</w:t>
      </w:r>
      <w:r>
        <w:rPr>
          <w:i/>
          <w:spacing w:val="62"/>
          <w:sz w:val="19"/>
        </w:rPr>
        <w:t> </w:t>
      </w:r>
      <w:r>
        <w:rPr>
          <w:i/>
          <w:spacing w:val="-2"/>
          <w:sz w:val="19"/>
        </w:rPr>
        <w:t>Science,</w:t>
      </w:r>
    </w:p>
    <w:p>
      <w:pPr>
        <w:spacing w:line="218" w:lineRule="exact" w:before="0"/>
        <w:ind w:left="0" w:right="1440" w:firstLine="0"/>
        <w:jc w:val="right"/>
        <w:rPr>
          <w:i/>
          <w:sz w:val="19"/>
        </w:rPr>
      </w:pPr>
      <w:r>
        <w:rPr>
          <w:i/>
          <w:sz w:val="19"/>
        </w:rPr>
        <w:t>Coimbatore-</w:t>
      </w:r>
      <w:r>
        <w:rPr>
          <w:i/>
          <w:spacing w:val="-2"/>
          <w:sz w:val="19"/>
        </w:rPr>
        <w:t>641035</w:t>
      </w:r>
    </w:p>
    <w:p>
      <w:pPr>
        <w:pStyle w:val="BodyText"/>
        <w:spacing w:before="161"/>
        <w:ind w:left="0"/>
        <w:rPr>
          <w:i/>
          <w:sz w:val="19"/>
        </w:rPr>
      </w:pPr>
    </w:p>
    <w:p>
      <w:pPr>
        <w:pStyle w:val="Heading3"/>
        <w:spacing w:before="0"/>
      </w:pPr>
      <w:r>
        <w:rPr>
          <w:spacing w:val="-2"/>
        </w:rPr>
        <w:t>ABSTRACT</w:t>
      </w:r>
    </w:p>
    <w:p>
      <w:pPr>
        <w:pStyle w:val="BodyText"/>
        <w:spacing w:line="249" w:lineRule="auto" w:before="75"/>
        <w:ind w:right="1437" w:firstLine="432"/>
        <w:jc w:val="both"/>
      </w:pPr>
      <w:r>
        <w:rPr/>
        <w:t>The historical plays of William</w:t>
      </w:r>
      <w:r>
        <w:rPr>
          <w:spacing w:val="-1"/>
        </w:rPr>
        <w:t> </w:t>
      </w:r>
      <w:r>
        <w:rPr/>
        <w:t>Shakespeare primarily foreground the political conflicts, dynastic struggles, and masculine heroism that </w:t>
      </w:r>
      <w:r>
        <w:rPr>
          <w:spacing w:val="-2"/>
        </w:rPr>
        <w:t>define England’s</w:t>
      </w:r>
      <w:r>
        <w:rPr>
          <w:spacing w:val="-7"/>
        </w:rPr>
        <w:t> </w:t>
      </w:r>
      <w:r>
        <w:rPr>
          <w:spacing w:val="-2"/>
        </w:rPr>
        <w:t>past. However,</w:t>
      </w:r>
      <w:r>
        <w:rPr>
          <w:spacing w:val="-4"/>
        </w:rPr>
        <w:t> </w:t>
      </w:r>
      <w:r>
        <w:rPr>
          <w:spacing w:val="-2"/>
        </w:rPr>
        <w:t>within</w:t>
      </w:r>
      <w:r>
        <w:rPr>
          <w:spacing w:val="-4"/>
        </w:rPr>
        <w:t> </w:t>
      </w:r>
      <w:r>
        <w:rPr>
          <w:spacing w:val="-2"/>
        </w:rPr>
        <w:t>these</w:t>
      </w:r>
      <w:r>
        <w:rPr>
          <w:spacing w:val="-7"/>
        </w:rPr>
        <w:t> </w:t>
      </w:r>
      <w:r>
        <w:rPr>
          <w:spacing w:val="-2"/>
        </w:rPr>
        <w:t>male-dominated narratives, </w:t>
      </w:r>
      <w:r>
        <w:rPr/>
        <w:t>women</w:t>
      </w:r>
      <w:r>
        <w:rPr>
          <w:spacing w:val="-8"/>
        </w:rPr>
        <w:t> </w:t>
      </w:r>
      <w:r>
        <w:rPr/>
        <w:t>emerge</w:t>
      </w:r>
      <w:r>
        <w:rPr>
          <w:spacing w:val="-7"/>
        </w:rPr>
        <w:t> </w:t>
      </w:r>
      <w:r>
        <w:rPr/>
        <w:t>as</w:t>
      </w:r>
      <w:r>
        <w:rPr>
          <w:spacing w:val="-8"/>
        </w:rPr>
        <w:t> </w:t>
      </w:r>
      <w:r>
        <w:rPr/>
        <w:t>compelling</w:t>
      </w:r>
      <w:r>
        <w:rPr>
          <w:spacing w:val="-8"/>
        </w:rPr>
        <w:t> </w:t>
      </w:r>
      <w:r>
        <w:rPr/>
        <w:t>figures</w:t>
      </w:r>
      <w:r>
        <w:rPr>
          <w:spacing w:val="-11"/>
        </w:rPr>
        <w:t> </w:t>
      </w:r>
      <w:r>
        <w:rPr/>
        <w:t>whose</w:t>
      </w:r>
      <w:r>
        <w:rPr>
          <w:spacing w:val="-7"/>
        </w:rPr>
        <w:t> </w:t>
      </w:r>
      <w:r>
        <w:rPr/>
        <w:t>presence,</w:t>
      </w:r>
      <w:r>
        <w:rPr>
          <w:spacing w:val="-6"/>
        </w:rPr>
        <w:t> </w:t>
      </w:r>
      <w:r>
        <w:rPr/>
        <w:t>though</w:t>
      </w:r>
      <w:r>
        <w:rPr>
          <w:spacing w:val="-8"/>
        </w:rPr>
        <w:t> </w:t>
      </w:r>
      <w:r>
        <w:rPr/>
        <w:t>limited</w:t>
      </w:r>
      <w:r>
        <w:rPr>
          <w:spacing w:val="-6"/>
        </w:rPr>
        <w:t> </w:t>
      </w:r>
      <w:r>
        <w:rPr/>
        <w:t>in structural</w:t>
      </w:r>
      <w:r>
        <w:rPr>
          <w:spacing w:val="-5"/>
        </w:rPr>
        <w:t> </w:t>
      </w:r>
      <w:r>
        <w:rPr/>
        <w:t>power,</w:t>
      </w:r>
      <w:r>
        <w:rPr>
          <w:spacing w:val="-6"/>
        </w:rPr>
        <w:t> </w:t>
      </w:r>
      <w:r>
        <w:rPr/>
        <w:t>is</w:t>
      </w:r>
      <w:r>
        <w:rPr>
          <w:spacing w:val="-6"/>
        </w:rPr>
        <w:t> </w:t>
      </w:r>
      <w:r>
        <w:rPr/>
        <w:t>central</w:t>
      </w:r>
      <w:r>
        <w:rPr>
          <w:spacing w:val="-7"/>
        </w:rPr>
        <w:t> </w:t>
      </w:r>
      <w:r>
        <w:rPr/>
        <w:t>to</w:t>
      </w:r>
      <w:r>
        <w:rPr>
          <w:spacing w:val="-4"/>
        </w:rPr>
        <w:t> </w:t>
      </w:r>
      <w:r>
        <w:rPr/>
        <w:t>the</w:t>
      </w:r>
      <w:r>
        <w:rPr>
          <w:spacing w:val="-5"/>
        </w:rPr>
        <w:t> </w:t>
      </w:r>
      <w:r>
        <w:rPr/>
        <w:t>emotional,</w:t>
      </w:r>
      <w:r>
        <w:rPr>
          <w:spacing w:val="-6"/>
        </w:rPr>
        <w:t> </w:t>
      </w:r>
      <w:r>
        <w:rPr/>
        <w:t>moral,</w:t>
      </w:r>
      <w:r>
        <w:rPr>
          <w:spacing w:val="-4"/>
        </w:rPr>
        <w:t> </w:t>
      </w:r>
      <w:r>
        <w:rPr/>
        <w:t>and</w:t>
      </w:r>
      <w:r>
        <w:rPr>
          <w:spacing w:val="-4"/>
        </w:rPr>
        <w:t> </w:t>
      </w:r>
      <w:r>
        <w:rPr/>
        <w:t>rhetorical</w:t>
      </w:r>
      <w:r>
        <w:rPr>
          <w:spacing w:val="-5"/>
        </w:rPr>
        <w:t> </w:t>
      </w:r>
      <w:r>
        <w:rPr/>
        <w:t>fabric of the plays. This paper explores the representation of women in Shakespeare’s history plays, focusing on characters such as Queen </w:t>
      </w:r>
      <w:r>
        <w:rPr>
          <w:spacing w:val="-4"/>
        </w:rPr>
        <w:t>Margaret,</w:t>
      </w:r>
      <w:r>
        <w:rPr>
          <w:spacing w:val="-9"/>
        </w:rPr>
        <w:t> </w:t>
      </w:r>
      <w:r>
        <w:rPr>
          <w:spacing w:val="-4"/>
        </w:rPr>
        <w:t>Queen</w:t>
      </w:r>
      <w:r>
        <w:rPr>
          <w:spacing w:val="-8"/>
        </w:rPr>
        <w:t> </w:t>
      </w:r>
      <w:r>
        <w:rPr>
          <w:spacing w:val="-4"/>
        </w:rPr>
        <w:t>Elizabeth,</w:t>
      </w:r>
      <w:r>
        <w:rPr>
          <w:spacing w:val="-6"/>
        </w:rPr>
        <w:t> </w:t>
      </w:r>
      <w:r>
        <w:rPr>
          <w:spacing w:val="-4"/>
        </w:rPr>
        <w:t>Lady</w:t>
      </w:r>
      <w:r>
        <w:rPr>
          <w:spacing w:val="-9"/>
        </w:rPr>
        <w:t> </w:t>
      </w:r>
      <w:r>
        <w:rPr>
          <w:spacing w:val="-4"/>
        </w:rPr>
        <w:t>Anne, the Duchess of</w:t>
      </w:r>
      <w:r>
        <w:rPr>
          <w:spacing w:val="-9"/>
        </w:rPr>
        <w:t> </w:t>
      </w:r>
      <w:r>
        <w:rPr>
          <w:spacing w:val="-4"/>
        </w:rPr>
        <w:t>York, and</w:t>
      </w:r>
      <w:r>
        <w:rPr/>
        <w:t> </w:t>
      </w:r>
      <w:r>
        <w:rPr>
          <w:spacing w:val="-4"/>
        </w:rPr>
        <w:t>Princess </w:t>
      </w:r>
      <w:r>
        <w:rPr/>
        <w:t>Katherine. Through a close textual analysis, the study examines how Shakespeare constructs female agency through language, maternal </w:t>
      </w:r>
      <w:r>
        <w:rPr>
          <w:spacing w:val="-2"/>
        </w:rPr>
        <w:t>authority, and symbolic</w:t>
      </w:r>
      <w:r>
        <w:rPr>
          <w:spacing w:val="-3"/>
        </w:rPr>
        <w:t> </w:t>
      </w:r>
      <w:r>
        <w:rPr>
          <w:spacing w:val="-2"/>
        </w:rPr>
        <w:t>resistance. Drawing</w:t>
      </w:r>
      <w:r>
        <w:rPr>
          <w:spacing w:val="-4"/>
        </w:rPr>
        <w:t> </w:t>
      </w:r>
      <w:r>
        <w:rPr>
          <w:spacing w:val="-2"/>
        </w:rPr>
        <w:t>on feminist literary</w:t>
      </w:r>
      <w:r>
        <w:rPr>
          <w:spacing w:val="-4"/>
        </w:rPr>
        <w:t> </w:t>
      </w:r>
      <w:r>
        <w:rPr>
          <w:spacing w:val="-2"/>
        </w:rPr>
        <w:t>criticism </w:t>
      </w:r>
      <w:r>
        <w:rPr/>
        <w:t>and</w:t>
      </w:r>
      <w:r>
        <w:rPr>
          <w:spacing w:val="-8"/>
        </w:rPr>
        <w:t> </w:t>
      </w:r>
      <w:r>
        <w:rPr/>
        <w:t>historical</w:t>
      </w:r>
      <w:r>
        <w:rPr>
          <w:spacing w:val="-11"/>
        </w:rPr>
        <w:t> </w:t>
      </w:r>
      <w:r>
        <w:rPr/>
        <w:t>context,</w:t>
      </w:r>
      <w:r>
        <w:rPr>
          <w:spacing w:val="-8"/>
        </w:rPr>
        <w:t> </w:t>
      </w:r>
      <w:r>
        <w:rPr/>
        <w:t>the</w:t>
      </w:r>
      <w:r>
        <w:rPr>
          <w:spacing w:val="-8"/>
        </w:rPr>
        <w:t> </w:t>
      </w:r>
      <w:r>
        <w:rPr/>
        <w:t>paper</w:t>
      </w:r>
      <w:r>
        <w:rPr>
          <w:spacing w:val="-8"/>
        </w:rPr>
        <w:t> </w:t>
      </w:r>
      <w:r>
        <w:rPr/>
        <w:t>argues</w:t>
      </w:r>
      <w:r>
        <w:rPr>
          <w:spacing w:val="-13"/>
        </w:rPr>
        <w:t> </w:t>
      </w:r>
      <w:r>
        <w:rPr/>
        <w:t>that</w:t>
      </w:r>
      <w:r>
        <w:rPr>
          <w:spacing w:val="-9"/>
        </w:rPr>
        <w:t> </w:t>
      </w:r>
      <w:r>
        <w:rPr/>
        <w:t>Shakespeare</w:t>
      </w:r>
      <w:r>
        <w:rPr>
          <w:spacing w:val="-9"/>
        </w:rPr>
        <w:t> </w:t>
      </w:r>
      <w:r>
        <w:rPr/>
        <w:t>simultaneously reflects and challenges the patriarchal norms of Elizabethan society. While women are often confined to roles of marriage, mourning, and manipulation,</w:t>
      </w:r>
      <w:r>
        <w:rPr>
          <w:spacing w:val="57"/>
          <w:w w:val="150"/>
        </w:rPr>
        <w:t> </w:t>
      </w:r>
      <w:r>
        <w:rPr/>
        <w:t>they</w:t>
      </w:r>
      <w:r>
        <w:rPr>
          <w:spacing w:val="75"/>
        </w:rPr>
        <w:t> </w:t>
      </w:r>
      <w:r>
        <w:rPr/>
        <w:t>exercise</w:t>
      </w:r>
      <w:r>
        <w:rPr>
          <w:spacing w:val="56"/>
          <w:w w:val="150"/>
        </w:rPr>
        <w:t> </w:t>
      </w:r>
      <w:r>
        <w:rPr/>
        <w:t>significant</w:t>
      </w:r>
      <w:r>
        <w:rPr>
          <w:spacing w:val="79"/>
        </w:rPr>
        <w:t> </w:t>
      </w:r>
      <w:r>
        <w:rPr/>
        <w:t>influence</w:t>
      </w:r>
      <w:r>
        <w:rPr>
          <w:spacing w:val="59"/>
          <w:w w:val="150"/>
        </w:rPr>
        <w:t> </w:t>
      </w:r>
      <w:r>
        <w:rPr/>
        <w:t>through</w:t>
      </w:r>
      <w:r>
        <w:rPr>
          <w:spacing w:val="79"/>
        </w:rPr>
        <w:t> </w:t>
      </w:r>
      <w:r>
        <w:rPr>
          <w:spacing w:val="-2"/>
        </w:rPr>
        <w:t>speech,</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67712">
                <wp:simplePos x="0" y="0"/>
                <wp:positionH relativeFrom="page">
                  <wp:posOffset>2057400</wp:posOffset>
                </wp:positionH>
                <wp:positionV relativeFrom="paragraph">
                  <wp:posOffset>162604</wp:posOffset>
                </wp:positionV>
                <wp:extent cx="3657600" cy="12700"/>
                <wp:effectExtent l="0" t="0" r="0" b="0"/>
                <wp:wrapTopAndBottom/>
                <wp:docPr id="273" name="Graphic 273"/>
                <wp:cNvGraphicFramePr>
                  <a:graphicFrameLocks/>
                </wp:cNvGraphicFramePr>
                <a:graphic>
                  <a:graphicData uri="http://schemas.microsoft.com/office/word/2010/wordprocessingShape">
                    <wps:wsp>
                      <wps:cNvPr id="273" name="Graphic 27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48768;mso-wrap-distance-left:0;mso-wrap-distance-right:0" id="docshape269" filled="true" fillcolor="#000000" stroked="false">
                <v:fill type="solid"/>
                <w10:wrap type="topAndBottom"/>
              </v:rect>
            </w:pict>
          </mc:Fallback>
        </mc:AlternateContent>
      </w:r>
      <w:r>
        <w:rPr>
          <w:rFonts w:ascii="Verdana"/>
          <w:spacing w:val="-5"/>
          <w:sz w:val="18"/>
        </w:rPr>
        <w:t>84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prophecy, and moral positioning. Ultimately, this research highlights how</w:t>
      </w:r>
      <w:r>
        <w:rPr>
          <w:spacing w:val="-13"/>
        </w:rPr>
        <w:t> </w:t>
      </w:r>
      <w:r>
        <w:rPr/>
        <w:t>Shakespeare’s</w:t>
      </w:r>
      <w:r>
        <w:rPr>
          <w:spacing w:val="-12"/>
        </w:rPr>
        <w:t> </w:t>
      </w:r>
      <w:r>
        <w:rPr/>
        <w:t>historical</w:t>
      </w:r>
      <w:r>
        <w:rPr>
          <w:spacing w:val="-13"/>
        </w:rPr>
        <w:t> </w:t>
      </w:r>
      <w:r>
        <w:rPr/>
        <w:t>plays</w:t>
      </w:r>
      <w:r>
        <w:rPr>
          <w:spacing w:val="-12"/>
        </w:rPr>
        <w:t> </w:t>
      </w:r>
      <w:r>
        <w:rPr/>
        <w:t>reframe</w:t>
      </w:r>
      <w:r>
        <w:rPr>
          <w:spacing w:val="-13"/>
        </w:rPr>
        <w:t> </w:t>
      </w:r>
      <w:r>
        <w:rPr/>
        <w:t>power</w:t>
      </w:r>
      <w:r>
        <w:rPr>
          <w:spacing w:val="-12"/>
        </w:rPr>
        <w:t> </w:t>
      </w:r>
      <w:r>
        <w:rPr/>
        <w:t>not</w:t>
      </w:r>
      <w:r>
        <w:rPr>
          <w:spacing w:val="-13"/>
        </w:rPr>
        <w:t> </w:t>
      </w:r>
      <w:r>
        <w:rPr/>
        <w:t>merely</w:t>
      </w:r>
      <w:r>
        <w:rPr>
          <w:spacing w:val="-12"/>
        </w:rPr>
        <w:t> </w:t>
      </w:r>
      <w:r>
        <w:rPr/>
        <w:t>as</w:t>
      </w:r>
      <w:r>
        <w:rPr>
          <w:spacing w:val="-13"/>
        </w:rPr>
        <w:t> </w:t>
      </w:r>
      <w:r>
        <w:rPr/>
        <w:t>political authority</w:t>
      </w:r>
      <w:r>
        <w:rPr>
          <w:spacing w:val="-8"/>
        </w:rPr>
        <w:t> </w:t>
      </w:r>
      <w:r>
        <w:rPr/>
        <w:t>but</w:t>
      </w:r>
      <w:r>
        <w:rPr>
          <w:spacing w:val="-6"/>
        </w:rPr>
        <w:t> </w:t>
      </w:r>
      <w:r>
        <w:rPr/>
        <w:t>as</w:t>
      </w:r>
      <w:r>
        <w:rPr>
          <w:spacing w:val="-5"/>
        </w:rPr>
        <w:t> </w:t>
      </w:r>
      <w:r>
        <w:rPr/>
        <w:t>a</w:t>
      </w:r>
      <w:r>
        <w:rPr>
          <w:spacing w:val="-6"/>
        </w:rPr>
        <w:t> </w:t>
      </w:r>
      <w:r>
        <w:rPr/>
        <w:t>multidimensional</w:t>
      </w:r>
      <w:r>
        <w:rPr>
          <w:spacing w:val="-8"/>
        </w:rPr>
        <w:t> </w:t>
      </w:r>
      <w:r>
        <w:rPr/>
        <w:t>construct</w:t>
      </w:r>
      <w:r>
        <w:rPr>
          <w:spacing w:val="-6"/>
        </w:rPr>
        <w:t> </w:t>
      </w:r>
      <w:r>
        <w:rPr/>
        <w:t>shaped</w:t>
      </w:r>
      <w:r>
        <w:rPr>
          <w:spacing w:val="-5"/>
        </w:rPr>
        <w:t> </w:t>
      </w:r>
      <w:r>
        <w:rPr/>
        <w:t>by</w:t>
      </w:r>
      <w:r>
        <w:rPr>
          <w:spacing w:val="-8"/>
        </w:rPr>
        <w:t> </w:t>
      </w:r>
      <w:r>
        <w:rPr/>
        <w:t>voice,</w:t>
      </w:r>
      <w:r>
        <w:rPr>
          <w:spacing w:val="-5"/>
        </w:rPr>
        <w:t> </w:t>
      </w:r>
      <w:r>
        <w:rPr/>
        <w:t>memory, and</w:t>
      </w:r>
      <w:r>
        <w:rPr>
          <w:spacing w:val="40"/>
        </w:rPr>
        <w:t> </w:t>
      </w:r>
      <w:r>
        <w:rPr/>
        <w:t>resistance.</w:t>
      </w:r>
    </w:p>
    <w:p>
      <w:pPr>
        <w:pStyle w:val="BodyText"/>
        <w:spacing w:line="249" w:lineRule="auto" w:before="61"/>
        <w:ind w:right="1440" w:firstLine="432"/>
        <w:jc w:val="both"/>
      </w:pPr>
      <w:r>
        <w:rPr>
          <w:b/>
        </w:rPr>
        <w:t>Keywords:</w:t>
      </w:r>
      <w:r>
        <w:rPr>
          <w:b/>
          <w:spacing w:val="-3"/>
        </w:rPr>
        <w:t> </w:t>
      </w:r>
      <w:r>
        <w:rPr/>
        <w:t>Shakespeare,</w:t>
      </w:r>
      <w:r>
        <w:rPr>
          <w:spacing w:val="-3"/>
        </w:rPr>
        <w:t> </w:t>
      </w:r>
      <w:r>
        <w:rPr/>
        <w:t>history</w:t>
      </w:r>
      <w:r>
        <w:rPr>
          <w:spacing w:val="-7"/>
        </w:rPr>
        <w:t> </w:t>
      </w:r>
      <w:r>
        <w:rPr/>
        <w:t>plays,</w:t>
      </w:r>
      <w:r>
        <w:rPr>
          <w:spacing w:val="-3"/>
        </w:rPr>
        <w:t> </w:t>
      </w:r>
      <w:r>
        <w:rPr/>
        <w:t>women,</w:t>
      </w:r>
      <w:r>
        <w:rPr>
          <w:spacing w:val="-3"/>
        </w:rPr>
        <w:t> </w:t>
      </w:r>
      <w:r>
        <w:rPr/>
        <w:t>feminism,</w:t>
      </w:r>
      <w:r>
        <w:rPr>
          <w:spacing w:val="-1"/>
        </w:rPr>
        <w:t> </w:t>
      </w:r>
      <w:r>
        <w:rPr/>
        <w:t>power, agency,</w:t>
      </w:r>
      <w:r>
        <w:rPr>
          <w:spacing w:val="40"/>
        </w:rPr>
        <w:t> </w:t>
      </w:r>
      <w:r>
        <w:rPr/>
        <w:t>rhetoric,</w:t>
      </w:r>
      <w:r>
        <w:rPr>
          <w:spacing w:val="40"/>
        </w:rPr>
        <w:t> </w:t>
      </w:r>
      <w:r>
        <w:rPr/>
        <w:t>patriarchy</w:t>
      </w:r>
    </w:p>
    <w:p>
      <w:pPr>
        <w:pStyle w:val="Heading3"/>
        <w:spacing w:before="155"/>
      </w:pPr>
      <w:r>
        <w:rPr>
          <w:spacing w:val="-2"/>
          <w:w w:val="95"/>
        </w:rPr>
        <w:t>INTRODUCTION</w:t>
      </w:r>
    </w:p>
    <w:p>
      <w:pPr>
        <w:pStyle w:val="BodyText"/>
        <w:spacing w:line="249" w:lineRule="auto" w:before="75"/>
        <w:ind w:right="1438" w:firstLine="432"/>
        <w:jc w:val="both"/>
      </w:pPr>
      <w:r>
        <w:rPr/>
        <w:t>Shakespeare’s historical plays, including </w:t>
      </w:r>
      <w:r>
        <w:rPr>
          <w:i/>
        </w:rPr>
        <w:t>Richard III</w:t>
      </w:r>
      <w:r>
        <w:rPr/>
        <w:t>, </w:t>
      </w:r>
      <w:r>
        <w:rPr>
          <w:i/>
        </w:rPr>
        <w:t>Henry IV</w:t>
      </w:r>
      <w:r>
        <w:rPr/>
        <w:t>, </w:t>
      </w:r>
      <w:r>
        <w:rPr>
          <w:i/>
        </w:rPr>
        <w:t>Henry</w:t>
      </w:r>
      <w:r>
        <w:rPr>
          <w:i/>
          <w:spacing w:val="-7"/>
        </w:rPr>
        <w:t> </w:t>
      </w:r>
      <w:r>
        <w:rPr>
          <w:i/>
        </w:rPr>
        <w:t>V</w:t>
      </w:r>
      <w:r>
        <w:rPr/>
        <w:t>,</w:t>
      </w:r>
      <w:r>
        <w:rPr>
          <w:spacing w:val="-6"/>
        </w:rPr>
        <w:t> </w:t>
      </w:r>
      <w:r>
        <w:rPr/>
        <w:t>and</w:t>
      </w:r>
      <w:r>
        <w:rPr>
          <w:spacing w:val="-2"/>
        </w:rPr>
        <w:t> </w:t>
      </w:r>
      <w:r>
        <w:rPr/>
        <w:t>the</w:t>
      </w:r>
      <w:r>
        <w:rPr>
          <w:spacing w:val="-7"/>
        </w:rPr>
        <w:t> </w:t>
      </w:r>
      <w:r>
        <w:rPr>
          <w:i/>
        </w:rPr>
        <w:t>Henry</w:t>
      </w:r>
      <w:r>
        <w:rPr>
          <w:i/>
          <w:spacing w:val="-7"/>
        </w:rPr>
        <w:t> </w:t>
      </w:r>
      <w:r>
        <w:rPr>
          <w:i/>
        </w:rPr>
        <w:t>VI</w:t>
      </w:r>
      <w:r>
        <w:rPr>
          <w:i/>
          <w:spacing w:val="-7"/>
        </w:rPr>
        <w:t> </w:t>
      </w:r>
      <w:r>
        <w:rPr/>
        <w:t>trilogy,</w:t>
      </w:r>
      <w:r>
        <w:rPr>
          <w:spacing w:val="-4"/>
        </w:rPr>
        <w:t> </w:t>
      </w:r>
      <w:r>
        <w:rPr/>
        <w:t>are</w:t>
      </w:r>
      <w:r>
        <w:rPr>
          <w:spacing w:val="-7"/>
        </w:rPr>
        <w:t> </w:t>
      </w:r>
      <w:r>
        <w:rPr/>
        <w:t>traditionally</w:t>
      </w:r>
      <w:r>
        <w:rPr>
          <w:spacing w:val="-7"/>
        </w:rPr>
        <w:t> </w:t>
      </w:r>
      <w:r>
        <w:rPr/>
        <w:t>viewed</w:t>
      </w:r>
      <w:r>
        <w:rPr>
          <w:spacing w:val="-6"/>
        </w:rPr>
        <w:t> </w:t>
      </w:r>
      <w:r>
        <w:rPr/>
        <w:t>as</w:t>
      </w:r>
      <w:r>
        <w:rPr>
          <w:spacing w:val="-6"/>
        </w:rPr>
        <w:t> </w:t>
      </w:r>
      <w:r>
        <w:rPr/>
        <w:t>narratives </w:t>
      </w:r>
      <w:r>
        <w:rPr>
          <w:spacing w:val="-2"/>
        </w:rPr>
        <w:t>of</w:t>
      </w:r>
      <w:r>
        <w:rPr>
          <w:spacing w:val="-7"/>
        </w:rPr>
        <w:t> </w:t>
      </w:r>
      <w:r>
        <w:rPr>
          <w:spacing w:val="-2"/>
        </w:rPr>
        <w:t>kingship, war,</w:t>
      </w:r>
      <w:r>
        <w:rPr>
          <w:spacing w:val="-5"/>
        </w:rPr>
        <w:t> </w:t>
      </w:r>
      <w:r>
        <w:rPr>
          <w:spacing w:val="-2"/>
        </w:rPr>
        <w:t>and national</w:t>
      </w:r>
      <w:r>
        <w:rPr>
          <w:spacing w:val="-7"/>
        </w:rPr>
        <w:t> </w:t>
      </w:r>
      <w:r>
        <w:rPr>
          <w:spacing w:val="-2"/>
        </w:rPr>
        <w:t>identity.</w:t>
      </w:r>
      <w:r>
        <w:rPr>
          <w:spacing w:val="-5"/>
        </w:rPr>
        <w:t> </w:t>
      </w:r>
      <w:r>
        <w:rPr>
          <w:spacing w:val="-2"/>
        </w:rPr>
        <w:t>These</w:t>
      </w:r>
      <w:r>
        <w:rPr>
          <w:spacing w:val="-7"/>
        </w:rPr>
        <w:t> </w:t>
      </w:r>
      <w:r>
        <w:rPr>
          <w:spacing w:val="-2"/>
        </w:rPr>
        <w:t>plays</w:t>
      </w:r>
      <w:r>
        <w:rPr>
          <w:spacing w:val="-5"/>
        </w:rPr>
        <w:t> </w:t>
      </w:r>
      <w:r>
        <w:rPr>
          <w:spacing w:val="-2"/>
        </w:rPr>
        <w:t>chronicle</w:t>
      </w:r>
      <w:r>
        <w:rPr>
          <w:spacing w:val="-6"/>
        </w:rPr>
        <w:t> </w:t>
      </w:r>
      <w:r>
        <w:rPr>
          <w:spacing w:val="-2"/>
        </w:rPr>
        <w:t>the political </w:t>
      </w:r>
      <w:r>
        <w:rPr/>
        <w:t>turbulence of England’s past, emphasizing masculine authority and the legitimacy of rulers. Yet, embedded within these narratives are female characters who, despite their marginal positions, exert considerable influence</w:t>
      </w:r>
      <w:r>
        <w:rPr>
          <w:spacing w:val="40"/>
        </w:rPr>
        <w:t> </w:t>
      </w:r>
      <w:r>
        <w:rPr/>
        <w:t>over</w:t>
      </w:r>
      <w:r>
        <w:rPr>
          <w:spacing w:val="40"/>
        </w:rPr>
        <w:t> </w:t>
      </w:r>
      <w:r>
        <w:rPr/>
        <w:t>the</w:t>
      </w:r>
      <w:r>
        <w:rPr>
          <w:spacing w:val="40"/>
        </w:rPr>
        <w:t> </w:t>
      </w:r>
      <w:r>
        <w:rPr/>
        <w:t>unfolding</w:t>
      </w:r>
      <w:r>
        <w:rPr>
          <w:spacing w:val="40"/>
        </w:rPr>
        <w:t> </w:t>
      </w:r>
      <w:r>
        <w:rPr/>
        <w:t>events.</w:t>
      </w:r>
    </w:p>
    <w:p>
      <w:pPr>
        <w:pStyle w:val="BodyText"/>
        <w:spacing w:line="249" w:lineRule="auto" w:before="66"/>
        <w:ind w:right="1437" w:firstLine="432"/>
        <w:jc w:val="both"/>
      </w:pPr>
      <w:r>
        <w:rPr/>
        <w:t>The study of women in Shakespeare’s history plays has gained </w:t>
      </w:r>
      <w:r>
        <w:rPr>
          <w:spacing w:val="-2"/>
        </w:rPr>
        <w:t>significant</w:t>
      </w:r>
      <w:r>
        <w:rPr>
          <w:spacing w:val="-11"/>
        </w:rPr>
        <w:t> </w:t>
      </w:r>
      <w:r>
        <w:rPr>
          <w:spacing w:val="-2"/>
        </w:rPr>
        <w:t>attention</w:t>
      </w:r>
      <w:r>
        <w:rPr>
          <w:spacing w:val="-10"/>
        </w:rPr>
        <w:t> </w:t>
      </w:r>
      <w:r>
        <w:rPr>
          <w:spacing w:val="-2"/>
        </w:rPr>
        <w:t>in</w:t>
      </w:r>
      <w:r>
        <w:rPr>
          <w:spacing w:val="-11"/>
        </w:rPr>
        <w:t> </w:t>
      </w:r>
      <w:r>
        <w:rPr>
          <w:spacing w:val="-2"/>
        </w:rPr>
        <w:t>recent</w:t>
      </w:r>
      <w:r>
        <w:rPr>
          <w:spacing w:val="-10"/>
        </w:rPr>
        <w:t> </w:t>
      </w:r>
      <w:r>
        <w:rPr>
          <w:spacing w:val="-2"/>
        </w:rPr>
        <w:t>decades,</w:t>
      </w:r>
      <w:r>
        <w:rPr>
          <w:spacing w:val="-4"/>
        </w:rPr>
        <w:t> </w:t>
      </w:r>
      <w:r>
        <w:rPr>
          <w:spacing w:val="-2"/>
        </w:rPr>
        <w:t>particularly</w:t>
      </w:r>
      <w:r>
        <w:rPr>
          <w:spacing w:val="-11"/>
        </w:rPr>
        <w:t> </w:t>
      </w:r>
      <w:r>
        <w:rPr>
          <w:spacing w:val="-2"/>
        </w:rPr>
        <w:t>within</w:t>
      </w:r>
      <w:r>
        <w:rPr>
          <w:spacing w:val="-9"/>
        </w:rPr>
        <w:t> </w:t>
      </w:r>
      <w:r>
        <w:rPr>
          <w:spacing w:val="-2"/>
        </w:rPr>
        <w:t>feminist</w:t>
      </w:r>
      <w:r>
        <w:rPr>
          <w:spacing w:val="-9"/>
        </w:rPr>
        <w:t> </w:t>
      </w:r>
      <w:r>
        <w:rPr>
          <w:spacing w:val="-2"/>
        </w:rPr>
        <w:t>literary </w:t>
      </w:r>
      <w:r>
        <w:rPr/>
        <w:t>criticism. Scholars argue that Shakespeare’s female characters are not merely passive figures but active participants who shape political discourse through indirect means (Rackin, 1990). Their power lies not in physical action or formal authority but in language, emotional resonance,</w:t>
      </w:r>
      <w:r>
        <w:rPr>
          <w:spacing w:val="40"/>
        </w:rPr>
        <w:t> </w:t>
      </w:r>
      <w:r>
        <w:rPr/>
        <w:t>and</w:t>
      </w:r>
      <w:r>
        <w:rPr>
          <w:spacing w:val="40"/>
        </w:rPr>
        <w:t> </w:t>
      </w:r>
      <w:r>
        <w:rPr/>
        <w:t>symbolic</w:t>
      </w:r>
      <w:r>
        <w:rPr>
          <w:spacing w:val="40"/>
        </w:rPr>
        <w:t> </w:t>
      </w:r>
      <w:r>
        <w:rPr/>
        <w:t>representation.</w:t>
      </w:r>
    </w:p>
    <w:p>
      <w:pPr>
        <w:pStyle w:val="BodyText"/>
        <w:spacing w:line="249" w:lineRule="auto" w:before="64"/>
        <w:ind w:right="1438" w:firstLine="432"/>
        <w:jc w:val="both"/>
      </w:pPr>
      <w:r>
        <w:rPr/>
        <w:t>This research aims to explore the complexities of female </w:t>
      </w:r>
      <w:r>
        <w:rPr>
          <w:spacing w:val="-2"/>
        </w:rPr>
        <w:t>representation</w:t>
      </w:r>
      <w:r>
        <w:rPr>
          <w:spacing w:val="-4"/>
        </w:rPr>
        <w:t> </w:t>
      </w:r>
      <w:r>
        <w:rPr>
          <w:spacing w:val="-2"/>
        </w:rPr>
        <w:t>in</w:t>
      </w:r>
      <w:r>
        <w:rPr>
          <w:spacing w:val="-4"/>
        </w:rPr>
        <w:t> </w:t>
      </w:r>
      <w:r>
        <w:rPr>
          <w:spacing w:val="-2"/>
        </w:rPr>
        <w:t>Shakespeare’s history</w:t>
      </w:r>
      <w:r>
        <w:rPr>
          <w:spacing w:val="-11"/>
        </w:rPr>
        <w:t> </w:t>
      </w:r>
      <w:r>
        <w:rPr>
          <w:spacing w:val="-2"/>
        </w:rPr>
        <w:t>plays</w:t>
      </w:r>
      <w:r>
        <w:rPr>
          <w:spacing w:val="-4"/>
        </w:rPr>
        <w:t> </w:t>
      </w:r>
      <w:r>
        <w:rPr>
          <w:spacing w:val="-2"/>
        </w:rPr>
        <w:t>by</w:t>
      </w:r>
      <w:r>
        <w:rPr>
          <w:spacing w:val="-6"/>
        </w:rPr>
        <w:t> </w:t>
      </w:r>
      <w:r>
        <w:rPr>
          <w:spacing w:val="-2"/>
        </w:rPr>
        <w:t>addressing</w:t>
      </w:r>
      <w:r>
        <w:rPr>
          <w:spacing w:val="-4"/>
        </w:rPr>
        <w:t> </w:t>
      </w:r>
      <w:r>
        <w:rPr>
          <w:spacing w:val="-2"/>
        </w:rPr>
        <w:t>the</w:t>
      </w:r>
      <w:r>
        <w:rPr>
          <w:spacing w:val="-4"/>
        </w:rPr>
        <w:t> </w:t>
      </w:r>
      <w:r>
        <w:rPr>
          <w:spacing w:val="-2"/>
        </w:rPr>
        <w:t>following questions:</w:t>
      </w:r>
    </w:p>
    <w:p>
      <w:pPr>
        <w:pStyle w:val="ListParagraph"/>
        <w:numPr>
          <w:ilvl w:val="0"/>
          <w:numId w:val="17"/>
        </w:numPr>
        <w:tabs>
          <w:tab w:pos="2160" w:val="left" w:leader="none"/>
        </w:tabs>
        <w:spacing w:line="261" w:lineRule="auto" w:before="67" w:after="0"/>
        <w:ind w:left="2160" w:right="1441" w:hanging="240"/>
        <w:jc w:val="left"/>
        <w:rPr>
          <w:sz w:val="20"/>
        </w:rPr>
      </w:pPr>
      <w:r>
        <w:rPr>
          <w:sz w:val="20"/>
        </w:rPr>
        <w:t>How does Shakespeare portray women within the constraints of a</w:t>
      </w:r>
      <w:r>
        <w:rPr>
          <w:spacing w:val="40"/>
          <w:sz w:val="20"/>
        </w:rPr>
        <w:t> </w:t>
      </w:r>
      <w:r>
        <w:rPr>
          <w:sz w:val="20"/>
        </w:rPr>
        <w:t>patriarchal</w:t>
      </w:r>
      <w:r>
        <w:rPr>
          <w:spacing w:val="40"/>
          <w:sz w:val="20"/>
        </w:rPr>
        <w:t> </w:t>
      </w:r>
      <w:r>
        <w:rPr>
          <w:sz w:val="20"/>
        </w:rPr>
        <w:t>society?</w:t>
      </w:r>
    </w:p>
    <w:p>
      <w:pPr>
        <w:pStyle w:val="ListParagraph"/>
        <w:numPr>
          <w:ilvl w:val="0"/>
          <w:numId w:val="17"/>
        </w:numPr>
        <w:tabs>
          <w:tab w:pos="2160" w:val="left" w:leader="none"/>
        </w:tabs>
        <w:spacing w:line="264" w:lineRule="auto" w:before="55" w:after="0"/>
        <w:ind w:left="2160" w:right="1441" w:hanging="240"/>
        <w:jc w:val="left"/>
        <w:rPr>
          <w:sz w:val="20"/>
        </w:rPr>
      </w:pPr>
      <w:r>
        <w:rPr>
          <w:sz w:val="20"/>
        </w:rPr>
        <w:t>In</w:t>
      </w:r>
      <w:r>
        <w:rPr>
          <w:spacing w:val="35"/>
          <w:sz w:val="20"/>
        </w:rPr>
        <w:t> </w:t>
      </w:r>
      <w:r>
        <w:rPr>
          <w:sz w:val="20"/>
        </w:rPr>
        <w:t>what</w:t>
      </w:r>
      <w:r>
        <w:rPr>
          <w:spacing w:val="36"/>
          <w:sz w:val="20"/>
        </w:rPr>
        <w:t> </w:t>
      </w:r>
      <w:r>
        <w:rPr>
          <w:sz w:val="20"/>
        </w:rPr>
        <w:t>ways</w:t>
      </w:r>
      <w:r>
        <w:rPr>
          <w:spacing w:val="36"/>
          <w:sz w:val="20"/>
        </w:rPr>
        <w:t> </w:t>
      </w:r>
      <w:r>
        <w:rPr>
          <w:sz w:val="20"/>
        </w:rPr>
        <w:t>do</w:t>
      </w:r>
      <w:r>
        <w:rPr>
          <w:spacing w:val="35"/>
          <w:sz w:val="20"/>
        </w:rPr>
        <w:t> </w:t>
      </w:r>
      <w:r>
        <w:rPr>
          <w:sz w:val="20"/>
        </w:rPr>
        <w:t>female</w:t>
      </w:r>
      <w:r>
        <w:rPr>
          <w:spacing w:val="37"/>
          <w:sz w:val="20"/>
        </w:rPr>
        <w:t> </w:t>
      </w:r>
      <w:r>
        <w:rPr>
          <w:sz w:val="20"/>
        </w:rPr>
        <w:t>characters</w:t>
      </w:r>
      <w:r>
        <w:rPr>
          <w:spacing w:val="36"/>
          <w:sz w:val="20"/>
        </w:rPr>
        <w:t> </w:t>
      </w:r>
      <w:r>
        <w:rPr>
          <w:sz w:val="20"/>
        </w:rPr>
        <w:t>exercise</w:t>
      </w:r>
      <w:r>
        <w:rPr>
          <w:spacing w:val="37"/>
          <w:sz w:val="20"/>
        </w:rPr>
        <w:t> </w:t>
      </w:r>
      <w:r>
        <w:rPr>
          <w:sz w:val="20"/>
        </w:rPr>
        <w:t>agency</w:t>
      </w:r>
      <w:r>
        <w:rPr>
          <w:spacing w:val="33"/>
          <w:sz w:val="20"/>
        </w:rPr>
        <w:t> </w:t>
      </w:r>
      <w:r>
        <w:rPr>
          <w:sz w:val="20"/>
        </w:rPr>
        <w:t>despite their</w:t>
      </w:r>
      <w:r>
        <w:rPr>
          <w:spacing w:val="-13"/>
          <w:sz w:val="20"/>
        </w:rPr>
        <w:t> </w:t>
      </w:r>
      <w:r>
        <w:rPr>
          <w:sz w:val="20"/>
        </w:rPr>
        <w:t>marginalization?</w:t>
      </w:r>
    </w:p>
    <w:p>
      <w:pPr>
        <w:pStyle w:val="ListParagraph"/>
        <w:numPr>
          <w:ilvl w:val="0"/>
          <w:numId w:val="17"/>
        </w:numPr>
        <w:tabs>
          <w:tab w:pos="2160" w:val="left" w:leader="none"/>
        </w:tabs>
        <w:spacing w:line="261" w:lineRule="auto" w:before="54" w:after="0"/>
        <w:ind w:left="2160" w:right="1437" w:hanging="240"/>
        <w:jc w:val="left"/>
        <w:rPr>
          <w:sz w:val="20"/>
        </w:rPr>
      </w:pPr>
      <w:r>
        <w:rPr>
          <w:sz w:val="20"/>
        </w:rPr>
        <w:t>How</w:t>
      </w:r>
      <w:r>
        <w:rPr>
          <w:spacing w:val="40"/>
          <w:sz w:val="20"/>
        </w:rPr>
        <w:t> </w:t>
      </w:r>
      <w:r>
        <w:rPr>
          <w:sz w:val="20"/>
        </w:rPr>
        <w:t>do</w:t>
      </w:r>
      <w:r>
        <w:rPr>
          <w:spacing w:val="40"/>
          <w:sz w:val="20"/>
        </w:rPr>
        <w:t> </w:t>
      </w:r>
      <w:r>
        <w:rPr>
          <w:sz w:val="20"/>
        </w:rPr>
        <w:t>themes</w:t>
      </w:r>
      <w:r>
        <w:rPr>
          <w:spacing w:val="40"/>
          <w:sz w:val="20"/>
        </w:rPr>
        <w:t> </w:t>
      </w:r>
      <w:r>
        <w:rPr>
          <w:sz w:val="20"/>
        </w:rPr>
        <w:t>of</w:t>
      </w:r>
      <w:r>
        <w:rPr>
          <w:spacing w:val="40"/>
          <w:sz w:val="20"/>
        </w:rPr>
        <w:t> </w:t>
      </w:r>
      <w:r>
        <w:rPr>
          <w:sz w:val="20"/>
        </w:rPr>
        <w:t>power,</w:t>
      </w:r>
      <w:r>
        <w:rPr>
          <w:spacing w:val="40"/>
          <w:sz w:val="20"/>
        </w:rPr>
        <w:t> </w:t>
      </w:r>
      <w:r>
        <w:rPr>
          <w:sz w:val="20"/>
        </w:rPr>
        <w:t>voice,</w:t>
      </w:r>
      <w:r>
        <w:rPr>
          <w:spacing w:val="40"/>
          <w:sz w:val="20"/>
        </w:rPr>
        <w:t> </w:t>
      </w:r>
      <w:r>
        <w:rPr>
          <w:sz w:val="20"/>
        </w:rPr>
        <w:t>and</w:t>
      </w:r>
      <w:r>
        <w:rPr>
          <w:spacing w:val="40"/>
          <w:sz w:val="20"/>
        </w:rPr>
        <w:t> </w:t>
      </w:r>
      <w:r>
        <w:rPr>
          <w:sz w:val="20"/>
        </w:rPr>
        <w:t>resistance</w:t>
      </w:r>
      <w:r>
        <w:rPr>
          <w:spacing w:val="40"/>
          <w:sz w:val="20"/>
        </w:rPr>
        <w:t> </w:t>
      </w:r>
      <w:r>
        <w:rPr>
          <w:sz w:val="20"/>
        </w:rPr>
        <w:t>manifest through</w:t>
      </w:r>
      <w:r>
        <w:rPr>
          <w:spacing w:val="40"/>
          <w:sz w:val="20"/>
        </w:rPr>
        <w:t> </w:t>
      </w:r>
      <w:r>
        <w:rPr>
          <w:sz w:val="20"/>
        </w:rPr>
        <w:t>these</w:t>
      </w:r>
      <w:r>
        <w:rPr>
          <w:spacing w:val="40"/>
          <w:sz w:val="20"/>
        </w:rPr>
        <w:t> </w:t>
      </w:r>
      <w:r>
        <w:rPr>
          <w:sz w:val="20"/>
        </w:rPr>
        <w:t>characters?</w:t>
      </w:r>
    </w:p>
    <w:p>
      <w:pPr>
        <w:pStyle w:val="BodyText"/>
        <w:spacing w:line="249" w:lineRule="auto" w:before="48"/>
        <w:ind w:right="1437" w:firstLine="432"/>
        <w:jc w:val="both"/>
      </w:pPr>
      <w:r>
        <w:rPr/>
        <w:t>By</w:t>
      </w:r>
      <w:r>
        <w:rPr>
          <w:spacing w:val="-1"/>
        </w:rPr>
        <w:t> </w:t>
      </w:r>
      <w:r>
        <w:rPr/>
        <w:t>examining key female figures across selected plays, this study seeks to uncover the nuanced ways in which Shakespeare negotiates gender, power, and historical narrative.</w:t>
      </w:r>
    </w:p>
    <w:p>
      <w:pPr>
        <w:pStyle w:val="Heading3"/>
        <w:spacing w:before="158"/>
      </w:pPr>
      <w:r>
        <w:rPr>
          <w:w w:val="80"/>
        </w:rPr>
        <w:t>LITERATURE</w:t>
      </w:r>
      <w:r>
        <w:rPr>
          <w:spacing w:val="9"/>
        </w:rPr>
        <w:t> </w:t>
      </w:r>
      <w:r>
        <w:rPr>
          <w:spacing w:val="-2"/>
          <w:w w:val="90"/>
        </w:rPr>
        <w:t>REVIEW</w:t>
      </w:r>
    </w:p>
    <w:p>
      <w:pPr>
        <w:pStyle w:val="BodyText"/>
        <w:spacing w:line="249" w:lineRule="auto" w:before="75"/>
        <w:ind w:right="1436" w:firstLine="432"/>
        <w:jc w:val="both"/>
      </w:pPr>
      <w:r>
        <w:rPr/>
        <w:t>The</w:t>
      </w:r>
      <w:r>
        <w:rPr>
          <w:spacing w:val="-6"/>
        </w:rPr>
        <w:t> </w:t>
      </w:r>
      <w:r>
        <w:rPr/>
        <w:t>role</w:t>
      </w:r>
      <w:r>
        <w:rPr>
          <w:spacing w:val="-4"/>
        </w:rPr>
        <w:t> </w:t>
      </w:r>
      <w:r>
        <w:rPr/>
        <w:t>of</w:t>
      </w:r>
      <w:r>
        <w:rPr>
          <w:spacing w:val="-6"/>
        </w:rPr>
        <w:t> </w:t>
      </w:r>
      <w:r>
        <w:rPr/>
        <w:t>women</w:t>
      </w:r>
      <w:r>
        <w:rPr>
          <w:spacing w:val="-5"/>
        </w:rPr>
        <w:t> </w:t>
      </w:r>
      <w:r>
        <w:rPr/>
        <w:t>in</w:t>
      </w:r>
      <w:r>
        <w:rPr>
          <w:spacing w:val="-6"/>
        </w:rPr>
        <w:t> </w:t>
      </w:r>
      <w:r>
        <w:rPr/>
        <w:t>Shakespeare’s</w:t>
      </w:r>
      <w:r>
        <w:rPr>
          <w:spacing w:val="-5"/>
        </w:rPr>
        <w:t> </w:t>
      </w:r>
      <w:r>
        <w:rPr/>
        <w:t>history</w:t>
      </w:r>
      <w:r>
        <w:rPr>
          <w:spacing w:val="-6"/>
        </w:rPr>
        <w:t> </w:t>
      </w:r>
      <w:r>
        <w:rPr/>
        <w:t>plays</w:t>
      </w:r>
      <w:r>
        <w:rPr>
          <w:spacing w:val="-6"/>
        </w:rPr>
        <w:t> </w:t>
      </w:r>
      <w:r>
        <w:rPr/>
        <w:t>has</w:t>
      </w:r>
      <w:r>
        <w:rPr>
          <w:spacing w:val="-5"/>
        </w:rPr>
        <w:t> </w:t>
      </w:r>
      <w:r>
        <w:rPr/>
        <w:t>been</w:t>
      </w:r>
      <w:r>
        <w:rPr>
          <w:spacing w:val="-6"/>
        </w:rPr>
        <w:t> </w:t>
      </w:r>
      <w:r>
        <w:rPr/>
        <w:t>widely discussed</w:t>
      </w:r>
      <w:r>
        <w:rPr>
          <w:spacing w:val="-11"/>
        </w:rPr>
        <w:t> </w:t>
      </w:r>
      <w:r>
        <w:rPr/>
        <w:t>in</w:t>
      </w:r>
      <w:r>
        <w:rPr>
          <w:spacing w:val="-10"/>
        </w:rPr>
        <w:t> </w:t>
      </w:r>
      <w:r>
        <w:rPr/>
        <w:t>feminist</w:t>
      </w:r>
      <w:r>
        <w:rPr>
          <w:spacing w:val="-11"/>
        </w:rPr>
        <w:t> </w:t>
      </w:r>
      <w:r>
        <w:rPr/>
        <w:t>and</w:t>
      </w:r>
      <w:r>
        <w:rPr>
          <w:spacing w:val="-9"/>
        </w:rPr>
        <w:t> </w:t>
      </w:r>
      <w:r>
        <w:rPr/>
        <w:t>historicist</w:t>
      </w:r>
      <w:r>
        <w:rPr>
          <w:spacing w:val="-9"/>
        </w:rPr>
        <w:t> </w:t>
      </w:r>
      <w:r>
        <w:rPr/>
        <w:t>criticism.</w:t>
      </w:r>
      <w:r>
        <w:rPr>
          <w:spacing w:val="-11"/>
        </w:rPr>
        <w:t> </w:t>
      </w:r>
      <w:r>
        <w:rPr/>
        <w:t>Early</w:t>
      </w:r>
      <w:r>
        <w:rPr>
          <w:spacing w:val="-11"/>
        </w:rPr>
        <w:t> </w:t>
      </w:r>
      <w:r>
        <w:rPr/>
        <w:t>interpretations</w:t>
      </w:r>
      <w:r>
        <w:rPr>
          <w:spacing w:val="-11"/>
        </w:rPr>
        <w:t> </w:t>
      </w:r>
      <w:r>
        <w:rPr>
          <w:spacing w:val="-2"/>
        </w:rPr>
        <w:t>often</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68224">
                <wp:simplePos x="0" y="0"/>
                <wp:positionH relativeFrom="page">
                  <wp:posOffset>2065020</wp:posOffset>
                </wp:positionH>
                <wp:positionV relativeFrom="paragraph">
                  <wp:posOffset>795020</wp:posOffset>
                </wp:positionV>
                <wp:extent cx="3657600" cy="12700"/>
                <wp:effectExtent l="0" t="0" r="0" b="0"/>
                <wp:wrapTopAndBottom/>
                <wp:docPr id="274" name="Graphic 274"/>
                <wp:cNvGraphicFramePr>
                  <a:graphicFrameLocks/>
                </wp:cNvGraphicFramePr>
                <a:graphic>
                  <a:graphicData uri="http://schemas.microsoft.com/office/word/2010/wordprocessingShape">
                    <wps:wsp>
                      <wps:cNvPr id="274" name="Graphic 27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48256;mso-wrap-distance-left:0;mso-wrap-distance-right:0" id="docshape270" filled="true" fillcolor="#000000" stroked="false">
                <v:fill type="solid"/>
                <w10:wrap type="topAndBottom"/>
              </v:rect>
            </w:pict>
          </mc:Fallback>
        </mc:AlternateContent>
      </w:r>
      <w:r>
        <w:rPr>
          <w:rFonts w:ascii="Verdana"/>
          <w:sz w:val="18"/>
        </w:rPr>
        <w:t>Voices</w:t>
      </w:r>
      <w:r>
        <w:rPr>
          <w:rFonts w:ascii="Verdana"/>
          <w:spacing w:val="-1"/>
          <w:sz w:val="18"/>
        </w:rPr>
        <w:t> </w:t>
      </w:r>
      <w:r>
        <w:rPr>
          <w:rFonts w:ascii="Verdana"/>
          <w:sz w:val="18"/>
        </w:rPr>
        <w:t>in</w:t>
      </w:r>
      <w:r>
        <w:rPr>
          <w:rFonts w:ascii="Verdana"/>
          <w:spacing w:val="1"/>
          <w:sz w:val="18"/>
        </w:rPr>
        <w:t> </w:t>
      </w:r>
      <w:r>
        <w:rPr>
          <w:rFonts w:ascii="Verdana"/>
          <w:sz w:val="18"/>
        </w:rPr>
        <w:t>the</w:t>
      </w:r>
      <w:r>
        <w:rPr>
          <w:rFonts w:ascii="Verdana"/>
          <w:spacing w:val="1"/>
          <w:sz w:val="18"/>
        </w:rPr>
        <w:t> </w:t>
      </w:r>
      <w:r>
        <w:rPr>
          <w:rFonts w:ascii="Verdana"/>
          <w:sz w:val="18"/>
        </w:rPr>
        <w:t>Margins:</w:t>
      </w:r>
      <w:r>
        <w:rPr>
          <w:rFonts w:ascii="Verdana"/>
          <w:spacing w:val="1"/>
          <w:sz w:val="18"/>
        </w:rPr>
        <w:t> </w:t>
      </w:r>
      <w:r>
        <w:rPr>
          <w:rFonts w:ascii="Verdana"/>
          <w:sz w:val="18"/>
        </w:rPr>
        <w:t>Power,</w:t>
      </w:r>
      <w:r>
        <w:rPr>
          <w:rFonts w:ascii="Verdana"/>
          <w:spacing w:val="-1"/>
          <w:sz w:val="18"/>
        </w:rPr>
        <w:t> </w:t>
      </w:r>
      <w:r>
        <w:rPr>
          <w:rFonts w:ascii="Verdana"/>
          <w:sz w:val="18"/>
        </w:rPr>
        <w:t>Agency,</w:t>
      </w:r>
      <w:r>
        <w:rPr>
          <w:rFonts w:ascii="Verdana"/>
          <w:spacing w:val="-2"/>
          <w:sz w:val="18"/>
        </w:rPr>
        <w:t> and...</w:t>
      </w:r>
      <w:r>
        <w:rPr>
          <w:sz w:val="18"/>
        </w:rPr>
        <w:tab/>
      </w:r>
      <w:r>
        <w:rPr>
          <w:rFonts w:ascii="Verdana"/>
          <w:spacing w:val="-5"/>
          <w:sz w:val="18"/>
        </w:rPr>
        <w:t>85</w:t>
      </w:r>
    </w:p>
    <w:p>
      <w:pPr>
        <w:pStyle w:val="BodyText"/>
        <w:spacing w:line="249" w:lineRule="auto" w:before="192"/>
        <w:ind w:right="1438"/>
        <w:jc w:val="both"/>
      </w:pPr>
      <w:r>
        <w:rPr/>
        <w:t>dismissed</w:t>
      </w:r>
      <w:r>
        <w:rPr>
          <w:spacing w:val="-6"/>
        </w:rPr>
        <w:t> </w:t>
      </w:r>
      <w:r>
        <w:rPr/>
        <w:t>female</w:t>
      </w:r>
      <w:r>
        <w:rPr>
          <w:spacing w:val="-7"/>
        </w:rPr>
        <w:t> </w:t>
      </w:r>
      <w:r>
        <w:rPr/>
        <w:t>characters</w:t>
      </w:r>
      <w:r>
        <w:rPr>
          <w:spacing w:val="-8"/>
        </w:rPr>
        <w:t> </w:t>
      </w:r>
      <w:r>
        <w:rPr/>
        <w:t>as</w:t>
      </w:r>
      <w:r>
        <w:rPr>
          <w:spacing w:val="-8"/>
        </w:rPr>
        <w:t> </w:t>
      </w:r>
      <w:r>
        <w:rPr/>
        <w:t>secondary</w:t>
      </w:r>
      <w:r>
        <w:rPr>
          <w:spacing w:val="-10"/>
        </w:rPr>
        <w:t> </w:t>
      </w:r>
      <w:r>
        <w:rPr/>
        <w:t>or</w:t>
      </w:r>
      <w:r>
        <w:rPr>
          <w:spacing w:val="-5"/>
        </w:rPr>
        <w:t> </w:t>
      </w:r>
      <w:r>
        <w:rPr/>
        <w:t>ornamental.</w:t>
      </w:r>
      <w:r>
        <w:rPr>
          <w:spacing w:val="-6"/>
        </w:rPr>
        <w:t> </w:t>
      </w:r>
      <w:r>
        <w:rPr/>
        <w:t>However,</w:t>
      </w:r>
      <w:r>
        <w:rPr>
          <w:spacing w:val="-6"/>
        </w:rPr>
        <w:t> </w:t>
      </w:r>
      <w:r>
        <w:rPr/>
        <w:t>later scholarship</w:t>
      </w:r>
      <w:r>
        <w:rPr>
          <w:spacing w:val="-1"/>
        </w:rPr>
        <w:t> </w:t>
      </w:r>
      <w:r>
        <w:rPr/>
        <w:t>re-evaluated their</w:t>
      </w:r>
      <w:r>
        <w:rPr>
          <w:spacing w:val="-1"/>
        </w:rPr>
        <w:t> </w:t>
      </w:r>
      <w:r>
        <w:rPr/>
        <w:t>significance,</w:t>
      </w:r>
      <w:r>
        <w:rPr>
          <w:spacing w:val="-2"/>
        </w:rPr>
        <w:t> </w:t>
      </w:r>
      <w:r>
        <w:rPr/>
        <w:t>emphasizing</w:t>
      </w:r>
      <w:r>
        <w:rPr>
          <w:spacing w:val="-1"/>
        </w:rPr>
        <w:t> </w:t>
      </w:r>
      <w:r>
        <w:rPr/>
        <w:t>their</w:t>
      </w:r>
      <w:r>
        <w:rPr>
          <w:spacing w:val="-2"/>
        </w:rPr>
        <w:t> </w:t>
      </w:r>
      <w:r>
        <w:rPr/>
        <w:t>rhetorical and symbolic power. Rackin (1990) argues that Shakespeare’s history plays</w:t>
      </w:r>
      <w:r>
        <w:rPr>
          <w:spacing w:val="-13"/>
        </w:rPr>
        <w:t> </w:t>
      </w:r>
      <w:r>
        <w:rPr/>
        <w:t>reflect</w:t>
      </w:r>
      <w:r>
        <w:rPr>
          <w:spacing w:val="-12"/>
        </w:rPr>
        <w:t> </w:t>
      </w:r>
      <w:r>
        <w:rPr/>
        <w:t>a</w:t>
      </w:r>
      <w:r>
        <w:rPr>
          <w:spacing w:val="-11"/>
        </w:rPr>
        <w:t> </w:t>
      </w:r>
      <w:r>
        <w:rPr/>
        <w:t>“masculine</w:t>
      </w:r>
      <w:r>
        <w:rPr>
          <w:spacing w:val="-12"/>
        </w:rPr>
        <w:t> </w:t>
      </w:r>
      <w:r>
        <w:rPr/>
        <w:t>historiography”</w:t>
      </w:r>
      <w:r>
        <w:rPr>
          <w:spacing w:val="-11"/>
        </w:rPr>
        <w:t> </w:t>
      </w:r>
      <w:r>
        <w:rPr/>
        <w:t>in</w:t>
      </w:r>
      <w:r>
        <w:rPr>
          <w:spacing w:val="-13"/>
        </w:rPr>
        <w:t> </w:t>
      </w:r>
      <w:r>
        <w:rPr/>
        <w:t>which</w:t>
      </w:r>
      <w:r>
        <w:rPr>
          <w:spacing w:val="-12"/>
        </w:rPr>
        <w:t> </w:t>
      </w:r>
      <w:r>
        <w:rPr/>
        <w:t>women</w:t>
      </w:r>
      <w:r>
        <w:rPr>
          <w:spacing w:val="-12"/>
        </w:rPr>
        <w:t> </w:t>
      </w:r>
      <w:r>
        <w:rPr/>
        <w:t>are</w:t>
      </w:r>
      <w:r>
        <w:rPr>
          <w:spacing w:val="-12"/>
        </w:rPr>
        <w:t> </w:t>
      </w:r>
      <w:r>
        <w:rPr/>
        <w:t>excluded from official narratives yet remain crucial to the dramatic structure. Similarly, Howard and Rackin (1997) suggest that female characters disrupt the linear progression of history by introducing emotional and moral dimensions that challenge political authority. Phyllis Rackin’s feminist</w:t>
      </w:r>
      <w:r>
        <w:rPr>
          <w:spacing w:val="-13"/>
        </w:rPr>
        <w:t> </w:t>
      </w:r>
      <w:r>
        <w:rPr/>
        <w:t>readings</w:t>
      </w:r>
      <w:r>
        <w:rPr>
          <w:spacing w:val="-12"/>
        </w:rPr>
        <w:t> </w:t>
      </w:r>
      <w:r>
        <w:rPr/>
        <w:t>highlight</w:t>
      </w:r>
      <w:r>
        <w:rPr>
          <w:spacing w:val="-11"/>
        </w:rPr>
        <w:t> </w:t>
      </w:r>
      <w:r>
        <w:rPr/>
        <w:t>how</w:t>
      </w:r>
      <w:r>
        <w:rPr>
          <w:spacing w:val="-13"/>
        </w:rPr>
        <w:t> </w:t>
      </w:r>
      <w:r>
        <w:rPr/>
        <w:t>women</w:t>
      </w:r>
      <w:r>
        <w:rPr>
          <w:spacing w:val="-12"/>
        </w:rPr>
        <w:t> </w:t>
      </w:r>
      <w:r>
        <w:rPr/>
        <w:t>like</w:t>
      </w:r>
      <w:r>
        <w:rPr>
          <w:spacing w:val="-12"/>
        </w:rPr>
        <w:t> </w:t>
      </w:r>
      <w:r>
        <w:rPr/>
        <w:t>Queen</w:t>
      </w:r>
      <w:r>
        <w:rPr>
          <w:spacing w:val="-10"/>
        </w:rPr>
        <w:t> </w:t>
      </w:r>
      <w:r>
        <w:rPr/>
        <w:t>Margaret</w:t>
      </w:r>
      <w:r>
        <w:rPr>
          <w:spacing w:val="-12"/>
        </w:rPr>
        <w:t> </w:t>
      </w:r>
      <w:r>
        <w:rPr/>
        <w:t>function</w:t>
      </w:r>
      <w:r>
        <w:rPr>
          <w:spacing w:val="-12"/>
        </w:rPr>
        <w:t> </w:t>
      </w:r>
      <w:r>
        <w:rPr/>
        <w:t>as </w:t>
      </w:r>
      <w:r>
        <w:rPr>
          <w:spacing w:val="-2"/>
        </w:rPr>
        <w:t>“voices</w:t>
      </w:r>
      <w:r>
        <w:rPr>
          <w:spacing w:val="-8"/>
        </w:rPr>
        <w:t> </w:t>
      </w:r>
      <w:r>
        <w:rPr>
          <w:spacing w:val="-2"/>
        </w:rPr>
        <w:t>of</w:t>
      </w:r>
      <w:r>
        <w:rPr>
          <w:spacing w:val="-8"/>
        </w:rPr>
        <w:t> </w:t>
      </w:r>
      <w:r>
        <w:rPr>
          <w:spacing w:val="-2"/>
        </w:rPr>
        <w:t>memory</w:t>
      </w:r>
      <w:r>
        <w:rPr>
          <w:spacing w:val="-10"/>
        </w:rPr>
        <w:t> </w:t>
      </w:r>
      <w:r>
        <w:rPr>
          <w:spacing w:val="-2"/>
        </w:rPr>
        <w:t>and</w:t>
      </w:r>
      <w:r>
        <w:rPr>
          <w:spacing w:val="-6"/>
        </w:rPr>
        <w:t> </w:t>
      </w:r>
      <w:r>
        <w:rPr>
          <w:spacing w:val="-2"/>
        </w:rPr>
        <w:t>prophecy,”</w:t>
      </w:r>
      <w:r>
        <w:rPr>
          <w:spacing w:val="-6"/>
        </w:rPr>
        <w:t> </w:t>
      </w:r>
      <w:r>
        <w:rPr>
          <w:spacing w:val="-2"/>
        </w:rPr>
        <w:t>reminding</w:t>
      </w:r>
      <w:r>
        <w:rPr>
          <w:spacing w:val="-10"/>
        </w:rPr>
        <w:t> </w:t>
      </w:r>
      <w:r>
        <w:rPr>
          <w:spacing w:val="-2"/>
        </w:rPr>
        <w:t>audiences</w:t>
      </w:r>
      <w:r>
        <w:rPr>
          <w:spacing w:val="-6"/>
        </w:rPr>
        <w:t> </w:t>
      </w:r>
      <w:r>
        <w:rPr>
          <w:spacing w:val="-2"/>
        </w:rPr>
        <w:t>of</w:t>
      </w:r>
      <w:r>
        <w:rPr>
          <w:spacing w:val="-8"/>
        </w:rPr>
        <w:t> </w:t>
      </w:r>
      <w:r>
        <w:rPr>
          <w:spacing w:val="-2"/>
        </w:rPr>
        <w:t>past</w:t>
      </w:r>
      <w:r>
        <w:rPr>
          <w:spacing w:val="-6"/>
        </w:rPr>
        <w:t> </w:t>
      </w:r>
      <w:r>
        <w:rPr>
          <w:spacing w:val="-2"/>
        </w:rPr>
        <w:t>injustices </w:t>
      </w:r>
      <w:r>
        <w:rPr/>
        <w:t>and future consequences. Meanwhile, Jean Howard emphasizes the performative nature of gender, suggesting that female characters use language</w:t>
      </w:r>
      <w:r>
        <w:rPr>
          <w:spacing w:val="40"/>
        </w:rPr>
        <w:t> </w:t>
      </w:r>
      <w:r>
        <w:rPr/>
        <w:t>as</w:t>
      </w:r>
      <w:r>
        <w:rPr>
          <w:spacing w:val="39"/>
        </w:rPr>
        <w:t> </w:t>
      </w:r>
      <w:r>
        <w:rPr/>
        <w:t>a</w:t>
      </w:r>
      <w:r>
        <w:rPr>
          <w:spacing w:val="40"/>
        </w:rPr>
        <w:t> </w:t>
      </w:r>
      <w:r>
        <w:rPr/>
        <w:t>tool</w:t>
      </w:r>
      <w:r>
        <w:rPr>
          <w:spacing w:val="39"/>
        </w:rPr>
        <w:t> </w:t>
      </w:r>
      <w:r>
        <w:rPr/>
        <w:t>to</w:t>
      </w:r>
      <w:r>
        <w:rPr>
          <w:spacing w:val="40"/>
        </w:rPr>
        <w:t> </w:t>
      </w:r>
      <w:r>
        <w:rPr/>
        <w:t>negotiate</w:t>
      </w:r>
      <w:r>
        <w:rPr>
          <w:spacing w:val="40"/>
        </w:rPr>
        <w:t> </w:t>
      </w:r>
      <w:r>
        <w:rPr/>
        <w:t>their</w:t>
      </w:r>
      <w:r>
        <w:rPr>
          <w:spacing w:val="40"/>
        </w:rPr>
        <w:t> </w:t>
      </w:r>
      <w:r>
        <w:rPr/>
        <w:t>limited</w:t>
      </w:r>
      <w:r>
        <w:rPr>
          <w:spacing w:val="40"/>
        </w:rPr>
        <w:t> </w:t>
      </w:r>
      <w:r>
        <w:rPr/>
        <w:t>social</w:t>
      </w:r>
      <w:r>
        <w:rPr>
          <w:spacing w:val="40"/>
        </w:rPr>
        <w:t> </w:t>
      </w:r>
      <w:r>
        <w:rPr/>
        <w:t>positions.</w:t>
      </w:r>
    </w:p>
    <w:p>
      <w:pPr>
        <w:pStyle w:val="BodyText"/>
        <w:spacing w:line="249" w:lineRule="auto" w:before="68"/>
        <w:ind w:right="1438" w:firstLine="432"/>
        <w:jc w:val="both"/>
      </w:pPr>
      <w:r>
        <w:rPr/>
        <w:t>Neely (1985) examines how Shakespeare’s women articulate resistance through speech, particularly in moments of grief and confrontation. These expressions, though often dismissed as emotional outbursts, serve as powerful critiques of male authority. Recent studies have also focused on the intersection of gender and power. Dollimore (1984)</w:t>
      </w:r>
      <w:r>
        <w:rPr>
          <w:spacing w:val="-5"/>
        </w:rPr>
        <w:t> </w:t>
      </w:r>
      <w:r>
        <w:rPr/>
        <w:t>argues</w:t>
      </w:r>
      <w:r>
        <w:rPr>
          <w:spacing w:val="-9"/>
        </w:rPr>
        <w:t> </w:t>
      </w:r>
      <w:r>
        <w:rPr/>
        <w:t>that</w:t>
      </w:r>
      <w:r>
        <w:rPr>
          <w:spacing w:val="-9"/>
        </w:rPr>
        <w:t> </w:t>
      </w:r>
      <w:r>
        <w:rPr/>
        <w:t>Shakespeare’s</w:t>
      </w:r>
      <w:r>
        <w:rPr>
          <w:spacing w:val="-9"/>
        </w:rPr>
        <w:t> </w:t>
      </w:r>
      <w:r>
        <w:rPr/>
        <w:t>plays</w:t>
      </w:r>
      <w:r>
        <w:rPr>
          <w:spacing w:val="-7"/>
        </w:rPr>
        <w:t> </w:t>
      </w:r>
      <w:r>
        <w:rPr/>
        <w:t>expose</w:t>
      </w:r>
      <w:r>
        <w:rPr>
          <w:spacing w:val="-8"/>
        </w:rPr>
        <w:t> </w:t>
      </w:r>
      <w:r>
        <w:rPr/>
        <w:t>the</w:t>
      </w:r>
      <w:r>
        <w:rPr>
          <w:spacing w:val="-9"/>
        </w:rPr>
        <w:t> </w:t>
      </w:r>
      <w:r>
        <w:rPr/>
        <w:t>instability</w:t>
      </w:r>
      <w:r>
        <w:rPr>
          <w:spacing w:val="-11"/>
        </w:rPr>
        <w:t> </w:t>
      </w:r>
      <w:r>
        <w:rPr/>
        <w:t>of</w:t>
      </w:r>
      <w:r>
        <w:rPr>
          <w:spacing w:val="-9"/>
        </w:rPr>
        <w:t> </w:t>
      </w:r>
      <w:r>
        <w:rPr/>
        <w:t>political authority, with female characters often revealing the moral corruption underlying male ambition. This research builds upon these critical perspectives by offering a comprehensive analysis of women in Shakespeare’s history plays, emphasizing their agency, rhetorical strategies,</w:t>
      </w:r>
      <w:r>
        <w:rPr>
          <w:spacing w:val="40"/>
        </w:rPr>
        <w:t> </w:t>
      </w:r>
      <w:r>
        <w:rPr/>
        <w:t>and</w:t>
      </w:r>
      <w:r>
        <w:rPr>
          <w:spacing w:val="40"/>
        </w:rPr>
        <w:t> </w:t>
      </w:r>
      <w:r>
        <w:rPr/>
        <w:t>thematic</w:t>
      </w:r>
      <w:r>
        <w:rPr>
          <w:spacing w:val="40"/>
        </w:rPr>
        <w:t> </w:t>
      </w:r>
      <w:r>
        <w:rPr/>
        <w:t>significance.</w:t>
      </w:r>
    </w:p>
    <w:p>
      <w:pPr>
        <w:pStyle w:val="Heading3"/>
        <w:spacing w:before="163"/>
        <w:jc w:val="both"/>
      </w:pPr>
      <w:r>
        <w:rPr>
          <w:w w:val="85"/>
        </w:rPr>
        <w:t>THEORETICAL</w:t>
      </w:r>
      <w:r>
        <w:rPr>
          <w:spacing w:val="19"/>
        </w:rPr>
        <w:t> </w:t>
      </w:r>
      <w:r>
        <w:rPr>
          <w:spacing w:val="-2"/>
        </w:rPr>
        <w:t>FRAMEWORK</w:t>
      </w:r>
    </w:p>
    <w:p>
      <w:pPr>
        <w:pStyle w:val="BodyText"/>
        <w:spacing w:line="249" w:lineRule="auto" w:before="75"/>
        <w:ind w:right="1438" w:firstLine="432"/>
        <w:jc w:val="both"/>
      </w:pPr>
      <w:r>
        <w:rPr/>
        <w:t>This study adopts a feminist literary approach, combined with </w:t>
      </w:r>
      <w:r>
        <w:rPr>
          <w:spacing w:val="-4"/>
        </w:rPr>
        <w:t>elements</w:t>
      </w:r>
      <w:r>
        <w:rPr>
          <w:spacing w:val="-5"/>
        </w:rPr>
        <w:t> </w:t>
      </w:r>
      <w:r>
        <w:rPr>
          <w:spacing w:val="-4"/>
        </w:rPr>
        <w:t>of</w:t>
      </w:r>
      <w:r>
        <w:rPr>
          <w:spacing w:val="-5"/>
        </w:rPr>
        <w:t> </w:t>
      </w:r>
      <w:r>
        <w:rPr>
          <w:spacing w:val="-4"/>
        </w:rPr>
        <w:t>New</w:t>
      </w:r>
      <w:r>
        <w:rPr>
          <w:spacing w:val="-9"/>
        </w:rPr>
        <w:t> </w:t>
      </w:r>
      <w:r>
        <w:rPr>
          <w:spacing w:val="-4"/>
        </w:rPr>
        <w:t>Historicism.</w:t>
      </w:r>
      <w:r>
        <w:rPr>
          <w:spacing w:val="-5"/>
        </w:rPr>
        <w:t> </w:t>
      </w:r>
      <w:r>
        <w:rPr>
          <w:spacing w:val="-4"/>
        </w:rPr>
        <w:t>Feminist criticism</w:t>
      </w:r>
      <w:r>
        <w:rPr>
          <w:spacing w:val="-7"/>
        </w:rPr>
        <w:t> </w:t>
      </w:r>
      <w:r>
        <w:rPr>
          <w:spacing w:val="-4"/>
        </w:rPr>
        <w:t>allows</w:t>
      </w:r>
      <w:r>
        <w:rPr>
          <w:spacing w:val="-5"/>
        </w:rPr>
        <w:t> </w:t>
      </w:r>
      <w:r>
        <w:rPr>
          <w:spacing w:val="-4"/>
        </w:rPr>
        <w:t>for</w:t>
      </w:r>
      <w:r>
        <w:rPr>
          <w:spacing w:val="-5"/>
        </w:rPr>
        <w:t> </w:t>
      </w:r>
      <w:r>
        <w:rPr>
          <w:spacing w:val="-4"/>
        </w:rPr>
        <w:t>an examination </w:t>
      </w:r>
      <w:r>
        <w:rPr/>
        <w:t>of</w:t>
      </w:r>
      <w:r>
        <w:rPr>
          <w:spacing w:val="-13"/>
        </w:rPr>
        <w:t> </w:t>
      </w:r>
      <w:r>
        <w:rPr/>
        <w:t>how</w:t>
      </w:r>
      <w:r>
        <w:rPr>
          <w:spacing w:val="-12"/>
        </w:rPr>
        <w:t> </w:t>
      </w:r>
      <w:r>
        <w:rPr/>
        <w:t>gender</w:t>
      </w:r>
      <w:r>
        <w:rPr>
          <w:spacing w:val="-9"/>
        </w:rPr>
        <w:t> </w:t>
      </w:r>
      <w:r>
        <w:rPr/>
        <w:t>roles</w:t>
      </w:r>
      <w:r>
        <w:rPr>
          <w:spacing w:val="-13"/>
        </w:rPr>
        <w:t> </w:t>
      </w:r>
      <w:r>
        <w:rPr/>
        <w:t>and</w:t>
      </w:r>
      <w:r>
        <w:rPr>
          <w:spacing w:val="-9"/>
        </w:rPr>
        <w:t> </w:t>
      </w:r>
      <w:r>
        <w:rPr/>
        <w:t>power</w:t>
      </w:r>
      <w:r>
        <w:rPr>
          <w:spacing w:val="-8"/>
        </w:rPr>
        <w:t> </w:t>
      </w:r>
      <w:r>
        <w:rPr/>
        <w:t>dynamics</w:t>
      </w:r>
      <w:r>
        <w:rPr>
          <w:spacing w:val="-11"/>
        </w:rPr>
        <w:t> </w:t>
      </w:r>
      <w:r>
        <w:rPr/>
        <w:t>are</w:t>
      </w:r>
      <w:r>
        <w:rPr>
          <w:spacing w:val="-9"/>
        </w:rPr>
        <w:t> </w:t>
      </w:r>
      <w:r>
        <w:rPr/>
        <w:t>constructed</w:t>
      </w:r>
      <w:r>
        <w:rPr>
          <w:spacing w:val="-11"/>
        </w:rPr>
        <w:t> </w:t>
      </w:r>
      <w:r>
        <w:rPr/>
        <w:t>and</w:t>
      </w:r>
      <w:r>
        <w:rPr>
          <w:spacing w:val="-8"/>
        </w:rPr>
        <w:t> </w:t>
      </w:r>
      <w:r>
        <w:rPr/>
        <w:t>challenged within the plays. It focuses on issues of representation, agency, and voice. New Historicism, on the other hand, situates the plays within </w:t>
      </w:r>
      <w:r>
        <w:rPr>
          <w:spacing w:val="-2"/>
        </w:rPr>
        <w:t>their</w:t>
      </w:r>
      <w:r>
        <w:rPr>
          <w:spacing w:val="-11"/>
        </w:rPr>
        <w:t> </w:t>
      </w:r>
      <w:r>
        <w:rPr>
          <w:spacing w:val="-2"/>
        </w:rPr>
        <w:t>socio-political</w:t>
      </w:r>
      <w:r>
        <w:rPr>
          <w:spacing w:val="-10"/>
        </w:rPr>
        <w:t> </w:t>
      </w:r>
      <w:r>
        <w:rPr>
          <w:spacing w:val="-2"/>
        </w:rPr>
        <w:t>context,</w:t>
      </w:r>
      <w:r>
        <w:rPr>
          <w:spacing w:val="-11"/>
        </w:rPr>
        <w:t> </w:t>
      </w:r>
      <w:r>
        <w:rPr>
          <w:spacing w:val="-2"/>
        </w:rPr>
        <w:t>considering</w:t>
      </w:r>
      <w:r>
        <w:rPr>
          <w:spacing w:val="-10"/>
        </w:rPr>
        <w:t> </w:t>
      </w:r>
      <w:r>
        <w:rPr>
          <w:spacing w:val="-2"/>
        </w:rPr>
        <w:t>how</w:t>
      </w:r>
      <w:r>
        <w:rPr>
          <w:spacing w:val="-11"/>
        </w:rPr>
        <w:t> </w:t>
      </w:r>
      <w:r>
        <w:rPr>
          <w:spacing w:val="-2"/>
        </w:rPr>
        <w:t>Elizabethan</w:t>
      </w:r>
      <w:r>
        <w:rPr>
          <w:spacing w:val="-10"/>
        </w:rPr>
        <w:t> </w:t>
      </w:r>
      <w:r>
        <w:rPr>
          <w:spacing w:val="-2"/>
        </w:rPr>
        <w:t>attitudes</w:t>
      </w:r>
      <w:r>
        <w:rPr>
          <w:spacing w:val="-11"/>
        </w:rPr>
        <w:t> </w:t>
      </w:r>
      <w:r>
        <w:rPr>
          <w:spacing w:val="-2"/>
        </w:rPr>
        <w:t>toward </w:t>
      </w:r>
      <w:r>
        <w:rPr/>
        <w:t>gender influence Shakespeare’s portrayal of women. Together, these frameworks provide a holistic understanding of the interplay between text,</w:t>
      </w:r>
      <w:r>
        <w:rPr>
          <w:spacing w:val="-4"/>
        </w:rPr>
        <w:t> </w:t>
      </w:r>
      <w:r>
        <w:rPr/>
        <w:t>context,</w:t>
      </w:r>
      <w:r>
        <w:rPr>
          <w:spacing w:val="-3"/>
        </w:rPr>
        <w:t> </w:t>
      </w:r>
      <w:r>
        <w:rPr/>
        <w:t>and</w:t>
      </w:r>
      <w:r>
        <w:rPr>
          <w:spacing w:val="-4"/>
        </w:rPr>
        <w:t> </w:t>
      </w:r>
      <w:r>
        <w:rPr/>
        <w:t>ideology.</w:t>
      </w:r>
      <w:r>
        <w:rPr>
          <w:spacing w:val="-3"/>
        </w:rPr>
        <w:t> </w:t>
      </w:r>
      <w:r>
        <w:rPr/>
        <w:t>Patriarchy</w:t>
      </w:r>
      <w:r>
        <w:rPr>
          <w:spacing w:val="-8"/>
        </w:rPr>
        <w:t> </w:t>
      </w:r>
      <w:r>
        <w:rPr/>
        <w:t>refers</w:t>
      </w:r>
      <w:r>
        <w:rPr>
          <w:spacing w:val="-4"/>
        </w:rPr>
        <w:t> </w:t>
      </w:r>
      <w:r>
        <w:rPr/>
        <w:t>to</w:t>
      </w:r>
      <w:r>
        <w:rPr>
          <w:spacing w:val="-4"/>
        </w:rPr>
        <w:t> </w:t>
      </w:r>
      <w:r>
        <w:rPr/>
        <w:t>a</w:t>
      </w:r>
      <w:r>
        <w:rPr>
          <w:spacing w:val="-2"/>
        </w:rPr>
        <w:t> </w:t>
      </w:r>
      <w:r>
        <w:rPr/>
        <w:t>social</w:t>
      </w:r>
      <w:r>
        <w:rPr>
          <w:spacing w:val="-4"/>
        </w:rPr>
        <w:t> </w:t>
      </w:r>
      <w:r>
        <w:rPr/>
        <w:t>system</w:t>
      </w:r>
      <w:r>
        <w:rPr>
          <w:spacing w:val="-5"/>
        </w:rPr>
        <w:t> </w:t>
      </w:r>
      <w:r>
        <w:rPr/>
        <w:t>in</w:t>
      </w:r>
      <w:r>
        <w:rPr>
          <w:spacing w:val="-6"/>
        </w:rPr>
        <w:t> </w:t>
      </w:r>
      <w:r>
        <w:rPr/>
        <w:t>which men hold primary power and dominate key spheres such as leadership, authority,</w:t>
      </w:r>
      <w:r>
        <w:rPr>
          <w:spacing w:val="-1"/>
        </w:rPr>
        <w:t> </w:t>
      </w:r>
      <w:r>
        <w:rPr/>
        <w:t>and decision-making,</w:t>
      </w:r>
      <w:r>
        <w:rPr>
          <w:spacing w:val="-1"/>
        </w:rPr>
        <w:t> </w:t>
      </w:r>
      <w:r>
        <w:rPr/>
        <w:t>often</w:t>
      </w:r>
      <w:r>
        <w:rPr>
          <w:spacing w:val="-2"/>
        </w:rPr>
        <w:t> </w:t>
      </w:r>
      <w:r>
        <w:rPr/>
        <w:t>marginalizing</w:t>
      </w:r>
      <w:r>
        <w:rPr>
          <w:spacing w:val="-2"/>
        </w:rPr>
        <w:t> </w:t>
      </w:r>
      <w:r>
        <w:rPr/>
        <w:t>women’s</w:t>
      </w:r>
      <w:r>
        <w:rPr>
          <w:spacing w:val="-1"/>
        </w:rPr>
        <w:t> </w:t>
      </w:r>
      <w:r>
        <w:rPr/>
        <w:t>roles</w:t>
      </w:r>
      <w:r>
        <w:rPr>
          <w:spacing w:val="-2"/>
        </w:rPr>
        <w:t> </w:t>
      </w:r>
      <w:r>
        <w:rPr/>
        <w:t>and voices. Within such a structure, agency becomes a crucial concept, denoting</w:t>
      </w:r>
      <w:r>
        <w:rPr>
          <w:spacing w:val="-7"/>
        </w:rPr>
        <w:t> </w:t>
      </w:r>
      <w:r>
        <w:rPr/>
        <w:t>the</w:t>
      </w:r>
      <w:r>
        <w:rPr>
          <w:spacing w:val="-4"/>
        </w:rPr>
        <w:t> </w:t>
      </w:r>
      <w:r>
        <w:rPr/>
        <w:t>capacity</w:t>
      </w:r>
      <w:r>
        <w:rPr>
          <w:spacing w:val="-9"/>
        </w:rPr>
        <w:t> </w:t>
      </w:r>
      <w:r>
        <w:rPr/>
        <w:t>of</w:t>
      </w:r>
      <w:r>
        <w:rPr>
          <w:spacing w:val="-7"/>
        </w:rPr>
        <w:t> </w:t>
      </w:r>
      <w:r>
        <w:rPr/>
        <w:t>individuals</w:t>
      </w:r>
      <w:r>
        <w:rPr>
          <w:spacing w:val="-6"/>
        </w:rPr>
        <w:t> </w:t>
      </w:r>
      <w:r>
        <w:rPr/>
        <w:t>to</w:t>
      </w:r>
      <w:r>
        <w:rPr>
          <w:spacing w:val="-4"/>
        </w:rPr>
        <w:t> </w:t>
      </w:r>
      <w:r>
        <w:rPr/>
        <w:t>act</w:t>
      </w:r>
      <w:r>
        <w:rPr>
          <w:spacing w:val="-6"/>
        </w:rPr>
        <w:t> </w:t>
      </w:r>
      <w:r>
        <w:rPr/>
        <w:t>independently,</w:t>
      </w:r>
      <w:r>
        <w:rPr>
          <w:spacing w:val="-4"/>
        </w:rPr>
        <w:t> </w:t>
      </w:r>
      <w:r>
        <w:rPr/>
        <w:t>make</w:t>
      </w:r>
      <w:r>
        <w:rPr>
          <w:spacing w:val="-7"/>
        </w:rPr>
        <w:t> </w:t>
      </w:r>
      <w:r>
        <w:rPr/>
        <w:t>choices, </w:t>
      </w:r>
      <w:r>
        <w:rPr>
          <w:spacing w:val="-2"/>
        </w:rPr>
        <w:t>and</w:t>
      </w:r>
      <w:r>
        <w:rPr>
          <w:spacing w:val="2"/>
        </w:rPr>
        <w:t> </w:t>
      </w:r>
      <w:r>
        <w:rPr>
          <w:spacing w:val="-2"/>
        </w:rPr>
        <w:t>assert</w:t>
      </w:r>
      <w:r>
        <w:rPr>
          <w:spacing w:val="-4"/>
        </w:rPr>
        <w:t> </w:t>
      </w:r>
      <w:r>
        <w:rPr>
          <w:spacing w:val="-2"/>
        </w:rPr>
        <w:t>control</w:t>
      </w:r>
      <w:r>
        <w:rPr>
          <w:spacing w:val="-1"/>
        </w:rPr>
        <w:t> </w:t>
      </w:r>
      <w:r>
        <w:rPr>
          <w:spacing w:val="-2"/>
        </w:rPr>
        <w:t>over</w:t>
      </w:r>
      <w:r>
        <w:rPr/>
        <w:t> </w:t>
      </w:r>
      <w:r>
        <w:rPr>
          <w:spacing w:val="-2"/>
        </w:rPr>
        <w:t>their lives despite</w:t>
      </w:r>
      <w:r>
        <w:rPr>
          <w:spacing w:val="-1"/>
        </w:rPr>
        <w:t> </w:t>
      </w:r>
      <w:r>
        <w:rPr>
          <w:spacing w:val="-2"/>
        </w:rPr>
        <w:t>existing</w:t>
      </w:r>
      <w:r>
        <w:rPr>
          <w:spacing w:val="-3"/>
        </w:rPr>
        <w:t> </w:t>
      </w:r>
      <w:r>
        <w:rPr>
          <w:spacing w:val="-2"/>
        </w:rPr>
        <w:t>constraints. In contexts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68736">
                <wp:simplePos x="0" y="0"/>
                <wp:positionH relativeFrom="page">
                  <wp:posOffset>2057400</wp:posOffset>
                </wp:positionH>
                <wp:positionV relativeFrom="paragraph">
                  <wp:posOffset>162604</wp:posOffset>
                </wp:positionV>
                <wp:extent cx="3657600" cy="12700"/>
                <wp:effectExtent l="0" t="0" r="0" b="0"/>
                <wp:wrapTopAndBottom/>
                <wp:docPr id="275" name="Graphic 275"/>
                <wp:cNvGraphicFramePr>
                  <a:graphicFrameLocks/>
                </wp:cNvGraphicFramePr>
                <a:graphic>
                  <a:graphicData uri="http://schemas.microsoft.com/office/word/2010/wordprocessingShape">
                    <wps:wsp>
                      <wps:cNvPr id="275" name="Graphic 27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47744;mso-wrap-distance-left:0;mso-wrap-distance-right:0" id="docshape271" filled="true" fillcolor="#000000" stroked="false">
                <v:fill type="solid"/>
                <w10:wrap type="topAndBottom"/>
              </v:rect>
            </w:pict>
          </mc:Fallback>
        </mc:AlternateContent>
      </w:r>
      <w:r>
        <w:rPr>
          <w:rFonts w:ascii="Verdana"/>
          <w:spacing w:val="-5"/>
          <w:sz w:val="18"/>
        </w:rPr>
        <w:t>86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where direct power is limited, individuals—particularly women—often rely on rhetorical power, which involves the strategic use of language</w:t>
      </w:r>
      <w:r>
        <w:rPr>
          <w:spacing w:val="40"/>
        </w:rPr>
        <w:t> </w:t>
      </w:r>
      <w:r>
        <w:rPr/>
        <w:t>as a tool of influence, persuasion, and resistance. Through speech, expression,</w:t>
      </w:r>
      <w:r>
        <w:rPr>
          <w:spacing w:val="-1"/>
        </w:rPr>
        <w:t> </w:t>
      </w:r>
      <w:r>
        <w:rPr/>
        <w:t>and</w:t>
      </w:r>
      <w:r>
        <w:rPr>
          <w:spacing w:val="-1"/>
        </w:rPr>
        <w:t> </w:t>
      </w:r>
      <w:r>
        <w:rPr/>
        <w:t>narrative,</w:t>
      </w:r>
      <w:r>
        <w:rPr>
          <w:spacing w:val="-2"/>
        </w:rPr>
        <w:t> </w:t>
      </w:r>
      <w:r>
        <w:rPr/>
        <w:t>rhetorical power</w:t>
      </w:r>
      <w:r>
        <w:rPr>
          <w:spacing w:val="-2"/>
        </w:rPr>
        <w:t> </w:t>
      </w:r>
      <w:r>
        <w:rPr/>
        <w:t>enables</w:t>
      </w:r>
      <w:r>
        <w:rPr>
          <w:spacing w:val="-2"/>
        </w:rPr>
        <w:t> </w:t>
      </w:r>
      <w:r>
        <w:rPr/>
        <w:t>marginalized</w:t>
      </w:r>
      <w:r>
        <w:rPr>
          <w:spacing w:val="-1"/>
        </w:rPr>
        <w:t> </w:t>
      </w:r>
      <w:r>
        <w:rPr/>
        <w:t>voices to challenge dominant structures, negotiate their positions, and reshape perceptions</w:t>
      </w:r>
      <w:r>
        <w:rPr>
          <w:spacing w:val="40"/>
        </w:rPr>
        <w:t> </w:t>
      </w:r>
      <w:r>
        <w:rPr/>
        <w:t>of</w:t>
      </w:r>
      <w:r>
        <w:rPr>
          <w:spacing w:val="40"/>
        </w:rPr>
        <w:t> </w:t>
      </w:r>
      <w:r>
        <w:rPr/>
        <w:t>authority.</w:t>
      </w:r>
    </w:p>
    <w:p>
      <w:pPr>
        <w:pStyle w:val="Heading3"/>
        <w:spacing w:before="159"/>
        <w:jc w:val="both"/>
      </w:pPr>
      <w:r>
        <w:rPr>
          <w:w w:val="90"/>
        </w:rPr>
        <w:t>WOMEN</w:t>
      </w:r>
      <w:r>
        <w:rPr>
          <w:spacing w:val="12"/>
        </w:rPr>
        <w:t> </w:t>
      </w:r>
      <w:r>
        <w:rPr>
          <w:w w:val="90"/>
        </w:rPr>
        <w:t>AS</w:t>
      </w:r>
      <w:r>
        <w:rPr>
          <w:spacing w:val="16"/>
        </w:rPr>
        <w:t> </w:t>
      </w:r>
      <w:r>
        <w:rPr>
          <w:w w:val="90"/>
        </w:rPr>
        <w:t>POLITICAL</w:t>
      </w:r>
      <w:r>
        <w:rPr>
          <w:spacing w:val="13"/>
        </w:rPr>
        <w:t> </w:t>
      </w:r>
      <w:r>
        <w:rPr>
          <w:spacing w:val="-2"/>
          <w:w w:val="90"/>
        </w:rPr>
        <w:t>INSTRUMENTS</w:t>
      </w:r>
    </w:p>
    <w:p>
      <w:pPr>
        <w:pStyle w:val="BodyText"/>
        <w:spacing w:line="266" w:lineRule="auto" w:before="84"/>
        <w:ind w:right="1439" w:firstLine="432"/>
        <w:jc w:val="both"/>
      </w:pPr>
      <w:r>
        <w:rPr/>
        <w:t>One of the most prominent themes in Shakespeare’s history plays is the use of women as tools of political alliance. Marriages are often arranged</w:t>
      </w:r>
      <w:r>
        <w:rPr>
          <w:spacing w:val="-5"/>
        </w:rPr>
        <w:t> </w:t>
      </w:r>
      <w:r>
        <w:rPr/>
        <w:t>to</w:t>
      </w:r>
      <w:r>
        <w:rPr>
          <w:spacing w:val="-2"/>
        </w:rPr>
        <w:t> </w:t>
      </w:r>
      <w:r>
        <w:rPr/>
        <w:t>secure</w:t>
      </w:r>
      <w:r>
        <w:rPr>
          <w:spacing w:val="-6"/>
        </w:rPr>
        <w:t> </w:t>
      </w:r>
      <w:r>
        <w:rPr/>
        <w:t>peace,</w:t>
      </w:r>
      <w:r>
        <w:rPr>
          <w:spacing w:val="-3"/>
        </w:rPr>
        <w:t> </w:t>
      </w:r>
      <w:r>
        <w:rPr/>
        <w:t>strengthen</w:t>
      </w:r>
      <w:r>
        <w:rPr>
          <w:spacing w:val="-7"/>
        </w:rPr>
        <w:t> </w:t>
      </w:r>
      <w:r>
        <w:rPr/>
        <w:t>claims</w:t>
      </w:r>
      <w:r>
        <w:rPr>
          <w:spacing w:val="-7"/>
        </w:rPr>
        <w:t> </w:t>
      </w:r>
      <w:r>
        <w:rPr/>
        <w:t>to</w:t>
      </w:r>
      <w:r>
        <w:rPr>
          <w:spacing w:val="-3"/>
        </w:rPr>
        <w:t> </w:t>
      </w:r>
      <w:r>
        <w:rPr/>
        <w:t>the</w:t>
      </w:r>
      <w:r>
        <w:rPr>
          <w:spacing w:val="-7"/>
        </w:rPr>
        <w:t> </w:t>
      </w:r>
      <w:r>
        <w:rPr/>
        <w:t>throne,</w:t>
      </w:r>
      <w:r>
        <w:rPr>
          <w:spacing w:val="-3"/>
        </w:rPr>
        <w:t> </w:t>
      </w:r>
      <w:r>
        <w:rPr/>
        <w:t>or</w:t>
      </w:r>
      <w:r>
        <w:rPr>
          <w:spacing w:val="-5"/>
        </w:rPr>
        <w:t> </w:t>
      </w:r>
      <w:r>
        <w:rPr/>
        <w:t>consolidate power. Princess Katherine in </w:t>
      </w:r>
      <w:r>
        <w:rPr>
          <w:i/>
        </w:rPr>
        <w:t>Henry V </w:t>
      </w:r>
      <w:r>
        <w:rPr/>
        <w:t>exemplifies this dynamic. Her marriage to Henry is not based on personal choice but serves as a diplomatic strategy to unite England and France. Katherine’s role highlights the objectification of women within political systems, where their</w:t>
      </w:r>
      <w:r>
        <w:rPr>
          <w:spacing w:val="-8"/>
        </w:rPr>
        <w:t> </w:t>
      </w:r>
      <w:r>
        <w:rPr/>
        <w:t>bodies</w:t>
      </w:r>
      <w:r>
        <w:rPr>
          <w:spacing w:val="-11"/>
        </w:rPr>
        <w:t> </w:t>
      </w:r>
      <w:r>
        <w:rPr/>
        <w:t>become</w:t>
      </w:r>
      <w:r>
        <w:rPr>
          <w:spacing w:val="-10"/>
        </w:rPr>
        <w:t> </w:t>
      </w:r>
      <w:r>
        <w:rPr/>
        <w:t>sites</w:t>
      </w:r>
      <w:r>
        <w:rPr>
          <w:spacing w:val="-10"/>
        </w:rPr>
        <w:t> </w:t>
      </w:r>
      <w:r>
        <w:rPr/>
        <w:t>of</w:t>
      </w:r>
      <w:r>
        <w:rPr>
          <w:spacing w:val="-13"/>
        </w:rPr>
        <w:t> </w:t>
      </w:r>
      <w:r>
        <w:rPr/>
        <w:t>negotiation.</w:t>
      </w:r>
      <w:r>
        <w:rPr>
          <w:spacing w:val="-8"/>
        </w:rPr>
        <w:t> </w:t>
      </w:r>
      <w:r>
        <w:rPr/>
        <w:t>Despite</w:t>
      </w:r>
      <w:r>
        <w:rPr>
          <w:spacing w:val="-9"/>
        </w:rPr>
        <w:t> </w:t>
      </w:r>
      <w:r>
        <w:rPr/>
        <w:t>this,</w:t>
      </w:r>
      <w:r>
        <w:rPr>
          <w:spacing w:val="-10"/>
        </w:rPr>
        <w:t> </w:t>
      </w:r>
      <w:r>
        <w:rPr/>
        <w:t>Katherine</w:t>
      </w:r>
      <w:r>
        <w:rPr>
          <w:spacing w:val="-9"/>
        </w:rPr>
        <w:t> </w:t>
      </w:r>
      <w:r>
        <w:rPr/>
        <w:t>exhibits moments of individuality, particularly in her English lesson scene. Her attempts to learn the language humanize her character and provide insight into her internal experience. This duality reflects Shakespeare’s nuanced portrayal of women as both instruments of power and individuals</w:t>
      </w:r>
      <w:r>
        <w:rPr>
          <w:spacing w:val="-13"/>
        </w:rPr>
        <w:t> </w:t>
      </w:r>
      <w:r>
        <w:rPr/>
        <w:t>with</w:t>
      </w:r>
      <w:r>
        <w:rPr>
          <w:spacing w:val="-11"/>
        </w:rPr>
        <w:t> </w:t>
      </w:r>
      <w:r>
        <w:rPr/>
        <w:t>personal</w:t>
      </w:r>
      <w:r>
        <w:rPr>
          <w:spacing w:val="-9"/>
        </w:rPr>
        <w:t> </w:t>
      </w:r>
      <w:r>
        <w:rPr/>
        <w:t>identities.</w:t>
      </w:r>
      <w:r>
        <w:rPr>
          <w:spacing w:val="-9"/>
        </w:rPr>
        <w:t> </w:t>
      </w:r>
      <w:r>
        <w:rPr/>
        <w:t>Similarly,</w:t>
      </w:r>
      <w:r>
        <w:rPr>
          <w:spacing w:val="-6"/>
        </w:rPr>
        <w:t> </w:t>
      </w:r>
      <w:r>
        <w:rPr/>
        <w:t>Lady</w:t>
      </w:r>
      <w:r>
        <w:rPr>
          <w:spacing w:val="-13"/>
        </w:rPr>
        <w:t> </w:t>
      </w:r>
      <w:r>
        <w:rPr/>
        <w:t>Anne</w:t>
      </w:r>
      <w:r>
        <w:rPr>
          <w:spacing w:val="-5"/>
        </w:rPr>
        <w:t> </w:t>
      </w:r>
      <w:r>
        <w:rPr/>
        <w:t>in</w:t>
      </w:r>
      <w:r>
        <w:rPr>
          <w:spacing w:val="-5"/>
        </w:rPr>
        <w:t> </w:t>
      </w:r>
      <w:r>
        <w:rPr>
          <w:i/>
        </w:rPr>
        <w:t>Richard</w:t>
      </w:r>
      <w:r>
        <w:rPr>
          <w:i/>
          <w:spacing w:val="-4"/>
        </w:rPr>
        <w:t> </w:t>
      </w:r>
      <w:r>
        <w:rPr>
          <w:i/>
        </w:rPr>
        <w:t>III </w:t>
      </w:r>
      <w:r>
        <w:rPr/>
        <w:t>is manipulated into marriage by Richard, despite her initial resistance. Her</w:t>
      </w:r>
      <w:r>
        <w:rPr>
          <w:spacing w:val="-6"/>
        </w:rPr>
        <w:t> </w:t>
      </w:r>
      <w:r>
        <w:rPr/>
        <w:t>submission</w:t>
      </w:r>
      <w:r>
        <w:rPr>
          <w:spacing w:val="-8"/>
        </w:rPr>
        <w:t> </w:t>
      </w:r>
      <w:r>
        <w:rPr/>
        <w:t>underscores</w:t>
      </w:r>
      <w:r>
        <w:rPr>
          <w:spacing w:val="-6"/>
        </w:rPr>
        <w:t> </w:t>
      </w:r>
      <w:r>
        <w:rPr/>
        <w:t>the</w:t>
      </w:r>
      <w:r>
        <w:rPr>
          <w:spacing w:val="-8"/>
        </w:rPr>
        <w:t> </w:t>
      </w:r>
      <w:r>
        <w:rPr/>
        <w:t>coercive</w:t>
      </w:r>
      <w:r>
        <w:rPr>
          <w:spacing w:val="-7"/>
        </w:rPr>
        <w:t> </w:t>
      </w:r>
      <w:r>
        <w:rPr/>
        <w:t>nature</w:t>
      </w:r>
      <w:r>
        <w:rPr>
          <w:spacing w:val="-7"/>
        </w:rPr>
        <w:t> </w:t>
      </w:r>
      <w:r>
        <w:rPr/>
        <w:t>of</w:t>
      </w:r>
      <w:r>
        <w:rPr>
          <w:spacing w:val="-6"/>
        </w:rPr>
        <w:t> </w:t>
      </w:r>
      <w:r>
        <w:rPr/>
        <w:t>patriarchal</w:t>
      </w:r>
      <w:r>
        <w:rPr>
          <w:spacing w:val="-6"/>
        </w:rPr>
        <w:t> </w:t>
      </w:r>
      <w:r>
        <w:rPr/>
        <w:t>authority, where</w:t>
      </w:r>
      <w:r>
        <w:rPr>
          <w:spacing w:val="40"/>
        </w:rPr>
        <w:t> </w:t>
      </w:r>
      <w:r>
        <w:rPr/>
        <w:t>women’s consent</w:t>
      </w:r>
      <w:r>
        <w:rPr>
          <w:spacing w:val="40"/>
        </w:rPr>
        <w:t> </w:t>
      </w:r>
      <w:r>
        <w:rPr/>
        <w:t>is often</w:t>
      </w:r>
      <w:r>
        <w:rPr>
          <w:spacing w:val="38"/>
        </w:rPr>
        <w:t> </w:t>
      </w:r>
      <w:r>
        <w:rPr/>
        <w:t>undermined</w:t>
      </w:r>
      <w:r>
        <w:rPr>
          <w:spacing w:val="40"/>
        </w:rPr>
        <w:t> </w:t>
      </w:r>
      <w:r>
        <w:rPr/>
        <w:t>by male</w:t>
      </w:r>
      <w:r>
        <w:rPr>
          <w:spacing w:val="40"/>
        </w:rPr>
        <w:t> </w:t>
      </w:r>
      <w:r>
        <w:rPr/>
        <w:t>dominance.</w:t>
      </w:r>
    </w:p>
    <w:p>
      <w:pPr>
        <w:pStyle w:val="Heading3"/>
        <w:spacing w:before="169"/>
        <w:jc w:val="both"/>
      </w:pPr>
      <w:r>
        <w:rPr/>
        <w:t>LANGUAGE</w:t>
      </w:r>
      <w:r>
        <w:rPr>
          <w:spacing w:val="2"/>
        </w:rPr>
        <w:t> </w:t>
      </w:r>
      <w:r>
        <w:rPr/>
        <w:t>AS</w:t>
      </w:r>
      <w:r>
        <w:rPr>
          <w:spacing w:val="1"/>
        </w:rPr>
        <w:t> </w:t>
      </w:r>
      <w:r>
        <w:rPr/>
        <w:t>A</w:t>
      </w:r>
      <w:r>
        <w:rPr>
          <w:spacing w:val="5"/>
        </w:rPr>
        <w:t> </w:t>
      </w:r>
      <w:r>
        <w:rPr/>
        <w:t>TOOL</w:t>
      </w:r>
      <w:r>
        <w:rPr>
          <w:spacing w:val="2"/>
        </w:rPr>
        <w:t> </w:t>
      </w:r>
      <w:r>
        <w:rPr/>
        <w:t>OF</w:t>
      </w:r>
      <w:r>
        <w:rPr>
          <w:spacing w:val="1"/>
        </w:rPr>
        <w:t> </w:t>
      </w:r>
      <w:r>
        <w:rPr>
          <w:spacing w:val="-4"/>
        </w:rPr>
        <w:t>POWER</w:t>
      </w:r>
    </w:p>
    <w:p>
      <w:pPr>
        <w:pStyle w:val="BodyText"/>
        <w:spacing w:line="266" w:lineRule="auto" w:before="92"/>
        <w:ind w:right="1439" w:firstLine="432"/>
        <w:jc w:val="both"/>
      </w:pPr>
      <w:r>
        <w:rPr/>
        <w:t>In</w:t>
      </w:r>
      <w:r>
        <w:rPr>
          <w:spacing w:val="-13"/>
        </w:rPr>
        <w:t> </w:t>
      </w:r>
      <w:r>
        <w:rPr/>
        <w:t>the</w:t>
      </w:r>
      <w:r>
        <w:rPr>
          <w:spacing w:val="-12"/>
        </w:rPr>
        <w:t> </w:t>
      </w:r>
      <w:r>
        <w:rPr/>
        <w:t>absence</w:t>
      </w:r>
      <w:r>
        <w:rPr>
          <w:spacing w:val="-13"/>
        </w:rPr>
        <w:t> </w:t>
      </w:r>
      <w:r>
        <w:rPr/>
        <w:t>of</w:t>
      </w:r>
      <w:r>
        <w:rPr>
          <w:spacing w:val="-12"/>
        </w:rPr>
        <w:t> </w:t>
      </w:r>
      <w:r>
        <w:rPr/>
        <w:t>formal</w:t>
      </w:r>
      <w:r>
        <w:rPr>
          <w:spacing w:val="-13"/>
        </w:rPr>
        <w:t> </w:t>
      </w:r>
      <w:r>
        <w:rPr/>
        <w:t>authority,</w:t>
      </w:r>
      <w:r>
        <w:rPr>
          <w:spacing w:val="-12"/>
        </w:rPr>
        <w:t> </w:t>
      </w:r>
      <w:r>
        <w:rPr/>
        <w:t>women</w:t>
      </w:r>
      <w:r>
        <w:rPr>
          <w:spacing w:val="-13"/>
        </w:rPr>
        <w:t> </w:t>
      </w:r>
      <w:r>
        <w:rPr/>
        <w:t>in</w:t>
      </w:r>
      <w:r>
        <w:rPr>
          <w:spacing w:val="-12"/>
        </w:rPr>
        <w:t> </w:t>
      </w:r>
      <w:r>
        <w:rPr/>
        <w:t>Shakespeare’s</w:t>
      </w:r>
      <w:r>
        <w:rPr>
          <w:spacing w:val="-13"/>
        </w:rPr>
        <w:t> </w:t>
      </w:r>
      <w:r>
        <w:rPr/>
        <w:t>history plays</w:t>
      </w:r>
      <w:r>
        <w:rPr>
          <w:spacing w:val="-2"/>
        </w:rPr>
        <w:t> </w:t>
      </w:r>
      <w:r>
        <w:rPr/>
        <w:t>rely</w:t>
      </w:r>
      <w:r>
        <w:rPr>
          <w:spacing w:val="-7"/>
        </w:rPr>
        <w:t> </w:t>
      </w:r>
      <w:r>
        <w:rPr/>
        <w:t>heavily</w:t>
      </w:r>
      <w:r>
        <w:rPr>
          <w:spacing w:val="-5"/>
        </w:rPr>
        <w:t> </w:t>
      </w:r>
      <w:r>
        <w:rPr/>
        <w:t>on</w:t>
      </w:r>
      <w:r>
        <w:rPr>
          <w:spacing w:val="-4"/>
        </w:rPr>
        <w:t> </w:t>
      </w:r>
      <w:r>
        <w:rPr/>
        <w:t>language</w:t>
      </w:r>
      <w:r>
        <w:rPr>
          <w:spacing w:val="-3"/>
        </w:rPr>
        <w:t> </w:t>
      </w:r>
      <w:r>
        <w:rPr/>
        <w:t>to assert</w:t>
      </w:r>
      <w:r>
        <w:rPr>
          <w:spacing w:val="-3"/>
        </w:rPr>
        <w:t> </w:t>
      </w:r>
      <w:r>
        <w:rPr/>
        <w:t>their presence.</w:t>
      </w:r>
      <w:r>
        <w:rPr>
          <w:spacing w:val="-4"/>
        </w:rPr>
        <w:t> </w:t>
      </w:r>
      <w:r>
        <w:rPr/>
        <w:t>Speech</w:t>
      </w:r>
      <w:r>
        <w:rPr>
          <w:spacing w:val="-4"/>
        </w:rPr>
        <w:t> </w:t>
      </w:r>
      <w:r>
        <w:rPr/>
        <w:t>becomes their</w:t>
      </w:r>
      <w:r>
        <w:rPr>
          <w:spacing w:val="-2"/>
        </w:rPr>
        <w:t> </w:t>
      </w:r>
      <w:r>
        <w:rPr/>
        <w:t>primary</w:t>
      </w:r>
      <w:r>
        <w:rPr>
          <w:spacing w:val="-7"/>
        </w:rPr>
        <w:t> </w:t>
      </w:r>
      <w:r>
        <w:rPr/>
        <w:t>means</w:t>
      </w:r>
      <w:r>
        <w:rPr>
          <w:spacing w:val="-3"/>
        </w:rPr>
        <w:t> </w:t>
      </w:r>
      <w:r>
        <w:rPr/>
        <w:t>of</w:t>
      </w:r>
      <w:r>
        <w:rPr>
          <w:spacing w:val="-5"/>
        </w:rPr>
        <w:t> </w:t>
      </w:r>
      <w:r>
        <w:rPr/>
        <w:t>influence,</w:t>
      </w:r>
      <w:r>
        <w:rPr>
          <w:spacing w:val="-2"/>
        </w:rPr>
        <w:t> </w:t>
      </w:r>
      <w:r>
        <w:rPr/>
        <w:t>allowing</w:t>
      </w:r>
      <w:r>
        <w:rPr>
          <w:spacing w:val="-5"/>
        </w:rPr>
        <w:t> </w:t>
      </w:r>
      <w:r>
        <w:rPr/>
        <w:t>them</w:t>
      </w:r>
      <w:r>
        <w:rPr>
          <w:spacing w:val="-8"/>
        </w:rPr>
        <w:t> </w:t>
      </w:r>
      <w:r>
        <w:rPr/>
        <w:t>to</w:t>
      </w:r>
      <w:r>
        <w:rPr>
          <w:spacing w:val="-2"/>
        </w:rPr>
        <w:t> </w:t>
      </w:r>
      <w:r>
        <w:rPr/>
        <w:t>challenge,</w:t>
      </w:r>
      <w:r>
        <w:rPr>
          <w:spacing w:val="-3"/>
        </w:rPr>
        <w:t> </w:t>
      </w:r>
      <w:r>
        <w:rPr/>
        <w:t>persuade, and condemn. Queen Margaret is perhaps the most powerful example</w:t>
      </w:r>
      <w:r>
        <w:rPr>
          <w:spacing w:val="40"/>
        </w:rPr>
        <w:t> </w:t>
      </w:r>
      <w:r>
        <w:rPr/>
        <w:t>of rhetorical agency. Her speeches are filled with curses, prophecies, and vivid imagery. In </w:t>
      </w:r>
      <w:r>
        <w:rPr>
          <w:i/>
        </w:rPr>
        <w:t>Richard III</w:t>
      </w:r>
      <w:r>
        <w:rPr/>
        <w:t>, she acts as a moral commentator, foretelling</w:t>
      </w:r>
      <w:r>
        <w:rPr>
          <w:spacing w:val="-13"/>
        </w:rPr>
        <w:t> </w:t>
      </w:r>
      <w:r>
        <w:rPr/>
        <w:t>the</w:t>
      </w:r>
      <w:r>
        <w:rPr>
          <w:spacing w:val="-12"/>
        </w:rPr>
        <w:t> </w:t>
      </w:r>
      <w:r>
        <w:rPr/>
        <w:t>downfall</w:t>
      </w:r>
      <w:r>
        <w:rPr>
          <w:spacing w:val="-13"/>
        </w:rPr>
        <w:t> </w:t>
      </w:r>
      <w:r>
        <w:rPr/>
        <w:t>of</w:t>
      </w:r>
      <w:r>
        <w:rPr>
          <w:spacing w:val="-12"/>
        </w:rPr>
        <w:t> </w:t>
      </w:r>
      <w:r>
        <w:rPr/>
        <w:t>her</w:t>
      </w:r>
      <w:r>
        <w:rPr>
          <w:spacing w:val="-13"/>
        </w:rPr>
        <w:t> </w:t>
      </w:r>
      <w:r>
        <w:rPr/>
        <w:t>enemies.</w:t>
      </w:r>
      <w:r>
        <w:rPr>
          <w:spacing w:val="-12"/>
        </w:rPr>
        <w:t> </w:t>
      </w:r>
      <w:r>
        <w:rPr/>
        <w:t>Her</w:t>
      </w:r>
      <w:r>
        <w:rPr>
          <w:spacing w:val="-13"/>
        </w:rPr>
        <w:t> </w:t>
      </w:r>
      <w:r>
        <w:rPr/>
        <w:t>language</w:t>
      </w:r>
      <w:r>
        <w:rPr>
          <w:spacing w:val="-12"/>
        </w:rPr>
        <w:t> </w:t>
      </w:r>
      <w:r>
        <w:rPr/>
        <w:t>transforms</w:t>
      </w:r>
      <w:r>
        <w:rPr>
          <w:spacing w:val="-13"/>
        </w:rPr>
        <w:t> </w:t>
      </w:r>
      <w:r>
        <w:rPr/>
        <w:t>her</w:t>
      </w:r>
      <w:r>
        <w:rPr>
          <w:spacing w:val="-12"/>
        </w:rPr>
        <w:t> </w:t>
      </w:r>
      <w:r>
        <w:rPr/>
        <w:t>into </w:t>
      </w:r>
      <w:r>
        <w:rPr>
          <w:spacing w:val="-2"/>
        </w:rPr>
        <w:t>a</w:t>
      </w:r>
      <w:r>
        <w:rPr>
          <w:spacing w:val="-11"/>
        </w:rPr>
        <w:t> </w:t>
      </w:r>
      <w:r>
        <w:rPr>
          <w:spacing w:val="-2"/>
        </w:rPr>
        <w:t>symbolic</w:t>
      </w:r>
      <w:r>
        <w:rPr>
          <w:spacing w:val="-10"/>
        </w:rPr>
        <w:t> </w:t>
      </w:r>
      <w:r>
        <w:rPr>
          <w:spacing w:val="-2"/>
        </w:rPr>
        <w:t>figure</w:t>
      </w:r>
      <w:r>
        <w:rPr>
          <w:spacing w:val="-11"/>
        </w:rPr>
        <w:t> </w:t>
      </w:r>
      <w:r>
        <w:rPr>
          <w:spacing w:val="-2"/>
        </w:rPr>
        <w:t>of</w:t>
      </w:r>
      <w:r>
        <w:rPr>
          <w:spacing w:val="-10"/>
        </w:rPr>
        <w:t> </w:t>
      </w:r>
      <w:r>
        <w:rPr>
          <w:spacing w:val="-2"/>
        </w:rPr>
        <w:t>justice</w:t>
      </w:r>
      <w:r>
        <w:rPr>
          <w:spacing w:val="-11"/>
        </w:rPr>
        <w:t> </w:t>
      </w:r>
      <w:r>
        <w:rPr>
          <w:spacing w:val="-2"/>
        </w:rPr>
        <w:t>and</w:t>
      </w:r>
      <w:r>
        <w:rPr>
          <w:spacing w:val="-10"/>
        </w:rPr>
        <w:t> </w:t>
      </w:r>
      <w:r>
        <w:rPr>
          <w:spacing w:val="-2"/>
        </w:rPr>
        <w:t>retribution.</w:t>
      </w:r>
      <w:r>
        <w:rPr>
          <w:spacing w:val="-11"/>
        </w:rPr>
        <w:t> </w:t>
      </w:r>
      <w:r>
        <w:rPr>
          <w:spacing w:val="-2"/>
        </w:rPr>
        <w:t>Margaret’s</w:t>
      </w:r>
      <w:r>
        <w:rPr>
          <w:spacing w:val="-10"/>
        </w:rPr>
        <w:t> </w:t>
      </w:r>
      <w:r>
        <w:rPr>
          <w:spacing w:val="-2"/>
        </w:rPr>
        <w:t>ability</w:t>
      </w:r>
      <w:r>
        <w:rPr>
          <w:spacing w:val="-11"/>
        </w:rPr>
        <w:t> </w:t>
      </w:r>
      <w:r>
        <w:rPr>
          <w:spacing w:val="-2"/>
        </w:rPr>
        <w:t>to</w:t>
      </w:r>
      <w:r>
        <w:rPr>
          <w:spacing w:val="-8"/>
        </w:rPr>
        <w:t> </w:t>
      </w:r>
      <w:r>
        <w:rPr>
          <w:spacing w:val="-2"/>
        </w:rPr>
        <w:t>articulate </w:t>
      </w:r>
      <w:r>
        <w:rPr/>
        <w:t>suffering and injustice gives her a unique authority that transcends her political marginalization.</w:t>
      </w:r>
      <w:r>
        <w:rPr>
          <w:spacing w:val="-8"/>
        </w:rPr>
        <w:t> </w:t>
      </w:r>
      <w:r>
        <w:rPr/>
        <w:t>As Rackin (1990) notes, her voice serves as a counter-narrative</w:t>
      </w:r>
      <w:r>
        <w:rPr>
          <w:spacing w:val="-13"/>
        </w:rPr>
        <w:t> </w:t>
      </w:r>
      <w:r>
        <w:rPr/>
        <w:t>to</w:t>
      </w:r>
      <w:r>
        <w:rPr>
          <w:spacing w:val="-12"/>
        </w:rPr>
        <w:t> </w:t>
      </w:r>
      <w:r>
        <w:rPr/>
        <w:t>the</w:t>
      </w:r>
      <w:r>
        <w:rPr>
          <w:spacing w:val="-11"/>
        </w:rPr>
        <w:t> </w:t>
      </w:r>
      <w:r>
        <w:rPr/>
        <w:t>official</w:t>
      </w:r>
      <w:r>
        <w:rPr>
          <w:spacing w:val="-10"/>
        </w:rPr>
        <w:t> </w:t>
      </w:r>
      <w:r>
        <w:rPr/>
        <w:t>history</w:t>
      </w:r>
      <w:r>
        <w:rPr>
          <w:spacing w:val="-13"/>
        </w:rPr>
        <w:t> </w:t>
      </w:r>
      <w:r>
        <w:rPr/>
        <w:t>dominated</w:t>
      </w:r>
      <w:r>
        <w:rPr>
          <w:spacing w:val="-9"/>
        </w:rPr>
        <w:t> </w:t>
      </w:r>
      <w:r>
        <w:rPr/>
        <w:t>by</w:t>
      </w:r>
      <w:r>
        <w:rPr>
          <w:spacing w:val="-13"/>
        </w:rPr>
        <w:t> </w:t>
      </w:r>
      <w:r>
        <w:rPr/>
        <w:t>male</w:t>
      </w:r>
      <w:r>
        <w:rPr>
          <w:spacing w:val="-11"/>
        </w:rPr>
        <w:t> </w:t>
      </w:r>
      <w:r>
        <w:rPr/>
        <w:t>rulers.</w:t>
      </w:r>
      <w:r>
        <w:rPr>
          <w:spacing w:val="-9"/>
        </w:rPr>
        <w:t> </w:t>
      </w:r>
      <w:r>
        <w:rPr/>
        <w:t>Queen Elizabeth</w:t>
      </w:r>
      <w:r>
        <w:rPr>
          <w:spacing w:val="38"/>
        </w:rPr>
        <w:t> </w:t>
      </w:r>
      <w:r>
        <w:rPr/>
        <w:t>also</w:t>
      </w:r>
      <w:r>
        <w:rPr>
          <w:spacing w:val="41"/>
        </w:rPr>
        <w:t> </w:t>
      </w:r>
      <w:r>
        <w:rPr/>
        <w:t>demonstrates</w:t>
      </w:r>
      <w:r>
        <w:rPr>
          <w:spacing w:val="38"/>
        </w:rPr>
        <w:t> </w:t>
      </w:r>
      <w:r>
        <w:rPr/>
        <w:t>rhetorical</w:t>
      </w:r>
      <w:r>
        <w:rPr>
          <w:spacing w:val="41"/>
        </w:rPr>
        <w:t> </w:t>
      </w:r>
      <w:r>
        <w:rPr/>
        <w:t>strength</w:t>
      </w:r>
      <w:r>
        <w:rPr>
          <w:spacing w:val="39"/>
        </w:rPr>
        <w:t> </w:t>
      </w:r>
      <w:r>
        <w:rPr/>
        <w:t>in</w:t>
      </w:r>
      <w:r>
        <w:rPr>
          <w:spacing w:val="38"/>
        </w:rPr>
        <w:t> </w:t>
      </w:r>
      <w:r>
        <w:rPr/>
        <w:t>her</w:t>
      </w:r>
      <w:r>
        <w:rPr>
          <w:spacing w:val="40"/>
        </w:rPr>
        <w:t> </w:t>
      </w:r>
      <w:r>
        <w:rPr>
          <w:spacing w:val="-2"/>
        </w:rPr>
        <w:t>confrontations</w:t>
      </w:r>
    </w:p>
    <w:p>
      <w:pPr>
        <w:pStyle w:val="BodyText"/>
        <w:spacing w:after="0" w:line="266"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69248">
                <wp:simplePos x="0" y="0"/>
                <wp:positionH relativeFrom="page">
                  <wp:posOffset>2065020</wp:posOffset>
                </wp:positionH>
                <wp:positionV relativeFrom="paragraph">
                  <wp:posOffset>795020</wp:posOffset>
                </wp:positionV>
                <wp:extent cx="3657600" cy="12700"/>
                <wp:effectExtent l="0" t="0" r="0" b="0"/>
                <wp:wrapTopAndBottom/>
                <wp:docPr id="276" name="Graphic 276"/>
                <wp:cNvGraphicFramePr>
                  <a:graphicFrameLocks/>
                </wp:cNvGraphicFramePr>
                <a:graphic>
                  <a:graphicData uri="http://schemas.microsoft.com/office/word/2010/wordprocessingShape">
                    <wps:wsp>
                      <wps:cNvPr id="276" name="Graphic 27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47232;mso-wrap-distance-left:0;mso-wrap-distance-right:0" id="docshape272" filled="true" fillcolor="#000000" stroked="false">
                <v:fill type="solid"/>
                <w10:wrap type="topAndBottom"/>
              </v:rect>
            </w:pict>
          </mc:Fallback>
        </mc:AlternateContent>
      </w:r>
      <w:r>
        <w:rPr>
          <w:rFonts w:ascii="Verdana"/>
          <w:sz w:val="18"/>
        </w:rPr>
        <w:t>Voices</w:t>
      </w:r>
      <w:r>
        <w:rPr>
          <w:rFonts w:ascii="Verdana"/>
          <w:spacing w:val="-1"/>
          <w:sz w:val="18"/>
        </w:rPr>
        <w:t> </w:t>
      </w:r>
      <w:r>
        <w:rPr>
          <w:rFonts w:ascii="Verdana"/>
          <w:sz w:val="18"/>
        </w:rPr>
        <w:t>in</w:t>
      </w:r>
      <w:r>
        <w:rPr>
          <w:rFonts w:ascii="Verdana"/>
          <w:spacing w:val="1"/>
          <w:sz w:val="18"/>
        </w:rPr>
        <w:t> </w:t>
      </w:r>
      <w:r>
        <w:rPr>
          <w:rFonts w:ascii="Verdana"/>
          <w:sz w:val="18"/>
        </w:rPr>
        <w:t>the</w:t>
      </w:r>
      <w:r>
        <w:rPr>
          <w:rFonts w:ascii="Verdana"/>
          <w:spacing w:val="1"/>
          <w:sz w:val="18"/>
        </w:rPr>
        <w:t> </w:t>
      </w:r>
      <w:r>
        <w:rPr>
          <w:rFonts w:ascii="Verdana"/>
          <w:sz w:val="18"/>
        </w:rPr>
        <w:t>Margins:</w:t>
      </w:r>
      <w:r>
        <w:rPr>
          <w:rFonts w:ascii="Verdana"/>
          <w:spacing w:val="1"/>
          <w:sz w:val="18"/>
        </w:rPr>
        <w:t> </w:t>
      </w:r>
      <w:r>
        <w:rPr>
          <w:rFonts w:ascii="Verdana"/>
          <w:sz w:val="18"/>
        </w:rPr>
        <w:t>Power,</w:t>
      </w:r>
      <w:r>
        <w:rPr>
          <w:rFonts w:ascii="Verdana"/>
          <w:spacing w:val="-1"/>
          <w:sz w:val="18"/>
        </w:rPr>
        <w:t> </w:t>
      </w:r>
      <w:r>
        <w:rPr>
          <w:rFonts w:ascii="Verdana"/>
          <w:sz w:val="18"/>
        </w:rPr>
        <w:t>Agency,</w:t>
      </w:r>
      <w:r>
        <w:rPr>
          <w:rFonts w:ascii="Verdana"/>
          <w:spacing w:val="-2"/>
          <w:sz w:val="18"/>
        </w:rPr>
        <w:t> and...</w:t>
      </w:r>
      <w:r>
        <w:rPr>
          <w:sz w:val="18"/>
        </w:rPr>
        <w:tab/>
      </w:r>
      <w:r>
        <w:rPr>
          <w:rFonts w:ascii="Verdana"/>
          <w:spacing w:val="-5"/>
          <w:sz w:val="18"/>
        </w:rPr>
        <w:t>87</w:t>
      </w:r>
    </w:p>
    <w:p>
      <w:pPr>
        <w:pStyle w:val="BodyText"/>
        <w:spacing w:line="266" w:lineRule="auto" w:before="202"/>
        <w:ind w:right="1441"/>
        <w:jc w:val="both"/>
      </w:pPr>
      <w:r>
        <w:rPr/>
        <w:t>with Richard. Her dialogues are marked by wit, irony, and emotional intensity. Through language, she negotiates her position and challenges Richard’s manipulation.</w:t>
      </w:r>
    </w:p>
    <w:p>
      <w:pPr>
        <w:pStyle w:val="Heading3"/>
        <w:spacing w:before="146"/>
      </w:pPr>
      <w:r>
        <w:rPr>
          <w:w w:val="90"/>
        </w:rPr>
        <w:t>MATERNAL</w:t>
      </w:r>
      <w:r>
        <w:rPr>
          <w:spacing w:val="12"/>
        </w:rPr>
        <w:t> </w:t>
      </w:r>
      <w:r>
        <w:rPr>
          <w:w w:val="90"/>
        </w:rPr>
        <w:t>AUTHORITY</w:t>
      </w:r>
      <w:r>
        <w:rPr>
          <w:spacing w:val="13"/>
        </w:rPr>
        <w:t> </w:t>
      </w:r>
      <w:r>
        <w:rPr>
          <w:w w:val="90"/>
        </w:rPr>
        <w:t>AND</w:t>
      </w:r>
      <w:r>
        <w:rPr>
          <w:spacing w:val="16"/>
        </w:rPr>
        <w:t> </w:t>
      </w:r>
      <w:r>
        <w:rPr>
          <w:w w:val="90"/>
        </w:rPr>
        <w:t>MORAL</w:t>
      </w:r>
      <w:r>
        <w:rPr>
          <w:spacing w:val="13"/>
        </w:rPr>
        <w:t> </w:t>
      </w:r>
      <w:r>
        <w:rPr>
          <w:spacing w:val="-2"/>
          <w:w w:val="90"/>
        </w:rPr>
        <w:t>LEGITIMACY</w:t>
      </w:r>
    </w:p>
    <w:p>
      <w:pPr>
        <w:pStyle w:val="BodyText"/>
        <w:spacing w:line="264" w:lineRule="auto" w:before="82"/>
        <w:ind w:right="1439" w:firstLine="432"/>
        <w:jc w:val="both"/>
      </w:pPr>
      <w:r>
        <w:rPr/>
        <w:t>Motherhood plays a significant role in shaping the identity and influence of female characters. Mothers in Shakespeare’s history plays often serve as moral anchors, representing justice, memory, and legitimacy.</w:t>
      </w:r>
      <w:r>
        <w:rPr>
          <w:spacing w:val="-5"/>
        </w:rPr>
        <w:t> </w:t>
      </w:r>
      <w:r>
        <w:rPr/>
        <w:t>The</w:t>
      </w:r>
      <w:r>
        <w:rPr>
          <w:spacing w:val="-2"/>
        </w:rPr>
        <w:t> </w:t>
      </w:r>
      <w:r>
        <w:rPr/>
        <w:t>Duchess</w:t>
      </w:r>
      <w:r>
        <w:rPr>
          <w:spacing w:val="-3"/>
        </w:rPr>
        <w:t> </w:t>
      </w:r>
      <w:r>
        <w:rPr/>
        <w:t>of</w:t>
      </w:r>
      <w:r>
        <w:rPr>
          <w:spacing w:val="-8"/>
        </w:rPr>
        <w:t> </w:t>
      </w:r>
      <w:r>
        <w:rPr/>
        <w:t>York</w:t>
      </w:r>
      <w:r>
        <w:rPr>
          <w:spacing w:val="-5"/>
        </w:rPr>
        <w:t> </w:t>
      </w:r>
      <w:r>
        <w:rPr/>
        <w:t>in</w:t>
      </w:r>
      <w:r>
        <w:rPr>
          <w:spacing w:val="-1"/>
        </w:rPr>
        <w:t> </w:t>
      </w:r>
      <w:r>
        <w:rPr>
          <w:i/>
        </w:rPr>
        <w:t>Richard</w:t>
      </w:r>
      <w:r>
        <w:rPr>
          <w:i/>
          <w:spacing w:val="-1"/>
        </w:rPr>
        <w:t> </w:t>
      </w:r>
      <w:r>
        <w:rPr>
          <w:i/>
        </w:rPr>
        <w:t>III</w:t>
      </w:r>
      <w:r>
        <w:rPr>
          <w:i/>
          <w:spacing w:val="-3"/>
        </w:rPr>
        <w:t> </w:t>
      </w:r>
      <w:r>
        <w:rPr/>
        <w:t>condemns</w:t>
      </w:r>
      <w:r>
        <w:rPr>
          <w:spacing w:val="-1"/>
        </w:rPr>
        <w:t> </w:t>
      </w:r>
      <w:r>
        <w:rPr/>
        <w:t>her</w:t>
      </w:r>
      <w:r>
        <w:rPr>
          <w:spacing w:val="-1"/>
        </w:rPr>
        <w:t> </w:t>
      </w:r>
      <w:r>
        <w:rPr/>
        <w:t>own</w:t>
      </w:r>
      <w:r>
        <w:rPr>
          <w:spacing w:val="-1"/>
        </w:rPr>
        <w:t> </w:t>
      </w:r>
      <w:r>
        <w:rPr/>
        <w:t>son, highlighting the conflict between maternal love and moral duty. Her denunciation of Richard reinforces the idea that true authority lies in ethical</w:t>
      </w:r>
      <w:r>
        <w:rPr>
          <w:spacing w:val="-13"/>
        </w:rPr>
        <w:t> </w:t>
      </w:r>
      <w:r>
        <w:rPr/>
        <w:t>integrity</w:t>
      </w:r>
      <w:r>
        <w:rPr>
          <w:spacing w:val="-12"/>
        </w:rPr>
        <w:t> </w:t>
      </w:r>
      <w:r>
        <w:rPr/>
        <w:t>rather</w:t>
      </w:r>
      <w:r>
        <w:rPr>
          <w:spacing w:val="-13"/>
        </w:rPr>
        <w:t> </w:t>
      </w:r>
      <w:r>
        <w:rPr/>
        <w:t>than</w:t>
      </w:r>
      <w:r>
        <w:rPr>
          <w:spacing w:val="-12"/>
        </w:rPr>
        <w:t> </w:t>
      </w:r>
      <w:r>
        <w:rPr/>
        <w:t>political</w:t>
      </w:r>
      <w:r>
        <w:rPr>
          <w:spacing w:val="-12"/>
        </w:rPr>
        <w:t> </w:t>
      </w:r>
      <w:r>
        <w:rPr/>
        <w:t>power.</w:t>
      </w:r>
      <w:r>
        <w:rPr>
          <w:spacing w:val="-12"/>
        </w:rPr>
        <w:t> </w:t>
      </w:r>
      <w:r>
        <w:rPr/>
        <w:t>Queen</w:t>
      </w:r>
      <w:r>
        <w:rPr>
          <w:spacing w:val="-12"/>
        </w:rPr>
        <w:t> </w:t>
      </w:r>
      <w:r>
        <w:rPr/>
        <w:t>Elizabeth’s</w:t>
      </w:r>
      <w:r>
        <w:rPr>
          <w:spacing w:val="-12"/>
        </w:rPr>
        <w:t> </w:t>
      </w:r>
      <w:r>
        <w:rPr/>
        <w:t>grief</w:t>
      </w:r>
      <w:r>
        <w:rPr>
          <w:spacing w:val="-13"/>
        </w:rPr>
        <w:t> </w:t>
      </w:r>
      <w:r>
        <w:rPr/>
        <w:t>over her sons’ deaths</w:t>
      </w:r>
      <w:r>
        <w:rPr>
          <w:spacing w:val="21"/>
        </w:rPr>
        <w:t> </w:t>
      </w:r>
      <w:r>
        <w:rPr/>
        <w:t>adds emotional depth to the narrative. Her mourning</w:t>
      </w:r>
      <w:r>
        <w:rPr>
          <w:spacing w:val="80"/>
        </w:rPr>
        <w:t> </w:t>
      </w:r>
      <w:r>
        <w:rPr/>
        <w:t>is not merely personal but symbolic of the loss of innocence and the corruption of power. Through her maternal identity, she gains moral authority</w:t>
      </w:r>
      <w:r>
        <w:rPr>
          <w:spacing w:val="40"/>
        </w:rPr>
        <w:t> </w:t>
      </w:r>
      <w:r>
        <w:rPr/>
        <w:t>that</w:t>
      </w:r>
      <w:r>
        <w:rPr>
          <w:spacing w:val="40"/>
        </w:rPr>
        <w:t> </w:t>
      </w:r>
      <w:r>
        <w:rPr/>
        <w:t>challenges</w:t>
      </w:r>
      <w:r>
        <w:rPr>
          <w:spacing w:val="40"/>
        </w:rPr>
        <w:t> </w:t>
      </w:r>
      <w:r>
        <w:rPr/>
        <w:t>Richard’s</w:t>
      </w:r>
      <w:r>
        <w:rPr>
          <w:spacing w:val="40"/>
        </w:rPr>
        <w:t> </w:t>
      </w:r>
      <w:r>
        <w:rPr/>
        <w:t>tyranny.</w:t>
      </w:r>
    </w:p>
    <w:p>
      <w:pPr>
        <w:pStyle w:val="Heading3"/>
        <w:spacing w:before="143"/>
      </w:pPr>
      <w:r>
        <w:rPr>
          <w:spacing w:val="-4"/>
        </w:rPr>
        <w:t>WOMEN</w:t>
      </w:r>
      <w:r>
        <w:rPr>
          <w:spacing w:val="-9"/>
        </w:rPr>
        <w:t> </w:t>
      </w:r>
      <w:r>
        <w:rPr>
          <w:spacing w:val="-4"/>
        </w:rPr>
        <w:t>AS</w:t>
      </w:r>
      <w:r>
        <w:rPr>
          <w:spacing w:val="-8"/>
        </w:rPr>
        <w:t> </w:t>
      </w:r>
      <w:r>
        <w:rPr>
          <w:spacing w:val="-4"/>
        </w:rPr>
        <w:t>AGENTS</w:t>
      </w:r>
      <w:r>
        <w:rPr>
          <w:spacing w:val="-8"/>
        </w:rPr>
        <w:t> </w:t>
      </w:r>
      <w:r>
        <w:rPr>
          <w:spacing w:val="-4"/>
        </w:rPr>
        <w:t>OF</w:t>
      </w:r>
      <w:r>
        <w:rPr>
          <w:spacing w:val="-8"/>
        </w:rPr>
        <w:t> </w:t>
      </w:r>
      <w:r>
        <w:rPr>
          <w:spacing w:val="-4"/>
        </w:rPr>
        <w:t>RESISTANCE</w:t>
      </w:r>
    </w:p>
    <w:p>
      <w:pPr>
        <w:pStyle w:val="BodyText"/>
        <w:spacing w:line="264" w:lineRule="auto" w:before="90"/>
        <w:ind w:right="1439" w:firstLine="432"/>
        <w:jc w:val="both"/>
      </w:pPr>
      <w:r>
        <w:rPr/>
        <w:t>Despite their limited roles, women in Shakespeare’s history plays actively resist oppression. Their resistance is often subtle, expressed through speech, memory, and emotional expression. Margaret’s curses function</w:t>
      </w:r>
      <w:r>
        <w:rPr>
          <w:spacing w:val="-7"/>
        </w:rPr>
        <w:t> </w:t>
      </w:r>
      <w:r>
        <w:rPr/>
        <w:t>as</w:t>
      </w:r>
      <w:r>
        <w:rPr>
          <w:spacing w:val="-7"/>
        </w:rPr>
        <w:t> </w:t>
      </w:r>
      <w:r>
        <w:rPr/>
        <w:t>acts</w:t>
      </w:r>
      <w:r>
        <w:rPr>
          <w:spacing w:val="-7"/>
        </w:rPr>
        <w:t> </w:t>
      </w:r>
      <w:r>
        <w:rPr/>
        <w:t>of</w:t>
      </w:r>
      <w:r>
        <w:rPr>
          <w:spacing w:val="-7"/>
        </w:rPr>
        <w:t> </w:t>
      </w:r>
      <w:r>
        <w:rPr/>
        <w:t>defiance,</w:t>
      </w:r>
      <w:r>
        <w:rPr>
          <w:spacing w:val="-7"/>
        </w:rPr>
        <w:t> </w:t>
      </w:r>
      <w:r>
        <w:rPr/>
        <w:t>disrupting</w:t>
      </w:r>
      <w:r>
        <w:rPr>
          <w:spacing w:val="-6"/>
        </w:rPr>
        <w:t> </w:t>
      </w:r>
      <w:r>
        <w:rPr/>
        <w:t>the</w:t>
      </w:r>
      <w:r>
        <w:rPr>
          <w:spacing w:val="-7"/>
        </w:rPr>
        <w:t> </w:t>
      </w:r>
      <w:r>
        <w:rPr/>
        <w:t>narrative</w:t>
      </w:r>
      <w:r>
        <w:rPr>
          <w:spacing w:val="-7"/>
        </w:rPr>
        <w:t> </w:t>
      </w:r>
      <w:r>
        <w:rPr/>
        <w:t>of</w:t>
      </w:r>
      <w:r>
        <w:rPr>
          <w:spacing w:val="-9"/>
        </w:rPr>
        <w:t> </w:t>
      </w:r>
      <w:r>
        <w:rPr/>
        <w:t>male</w:t>
      </w:r>
      <w:r>
        <w:rPr>
          <w:spacing w:val="-5"/>
        </w:rPr>
        <w:t> </w:t>
      </w:r>
      <w:r>
        <w:rPr/>
        <w:t>dominance. Similarly, Elizabeth’s refusal to fully submit to Richard’s demands </w:t>
      </w:r>
      <w:r>
        <w:rPr>
          <w:spacing w:val="-2"/>
        </w:rPr>
        <w:t>demonstrates</w:t>
      </w:r>
      <w:r>
        <w:rPr>
          <w:spacing w:val="-11"/>
        </w:rPr>
        <w:t> </w:t>
      </w:r>
      <w:r>
        <w:rPr>
          <w:spacing w:val="-2"/>
        </w:rPr>
        <w:t>her</w:t>
      </w:r>
      <w:r>
        <w:rPr>
          <w:spacing w:val="-10"/>
        </w:rPr>
        <w:t> </w:t>
      </w:r>
      <w:r>
        <w:rPr>
          <w:spacing w:val="-2"/>
        </w:rPr>
        <w:t>resilience.</w:t>
      </w:r>
      <w:r>
        <w:rPr>
          <w:spacing w:val="-11"/>
        </w:rPr>
        <w:t> </w:t>
      </w:r>
      <w:r>
        <w:rPr>
          <w:spacing w:val="-2"/>
        </w:rPr>
        <w:t>Even</w:t>
      </w:r>
      <w:r>
        <w:rPr>
          <w:spacing w:val="-10"/>
        </w:rPr>
        <w:t> </w:t>
      </w:r>
      <w:r>
        <w:rPr>
          <w:spacing w:val="-2"/>
        </w:rPr>
        <w:t>Lady</w:t>
      </w:r>
      <w:r>
        <w:rPr>
          <w:spacing w:val="-11"/>
        </w:rPr>
        <w:t> </w:t>
      </w:r>
      <w:r>
        <w:rPr>
          <w:spacing w:val="-2"/>
        </w:rPr>
        <w:t>Anne’s</w:t>
      </w:r>
      <w:r>
        <w:rPr>
          <w:spacing w:val="-10"/>
        </w:rPr>
        <w:t> </w:t>
      </w:r>
      <w:r>
        <w:rPr>
          <w:spacing w:val="-2"/>
        </w:rPr>
        <w:t>initial</w:t>
      </w:r>
      <w:r>
        <w:rPr>
          <w:spacing w:val="-11"/>
        </w:rPr>
        <w:t> </w:t>
      </w:r>
      <w:r>
        <w:rPr>
          <w:spacing w:val="-2"/>
        </w:rPr>
        <w:t>rejection</w:t>
      </w:r>
      <w:r>
        <w:rPr>
          <w:spacing w:val="-10"/>
        </w:rPr>
        <w:t> </w:t>
      </w:r>
      <w:r>
        <w:rPr>
          <w:spacing w:val="-2"/>
        </w:rPr>
        <w:t>of</w:t>
      </w:r>
      <w:r>
        <w:rPr>
          <w:spacing w:val="-8"/>
        </w:rPr>
        <w:t> </w:t>
      </w:r>
      <w:r>
        <w:rPr>
          <w:spacing w:val="-2"/>
        </w:rPr>
        <w:t>Richard </w:t>
      </w:r>
      <w:r>
        <w:rPr/>
        <w:t>represents a moment of resistance, though it is ultimately overcome. These</w:t>
      </w:r>
      <w:r>
        <w:rPr>
          <w:spacing w:val="-2"/>
        </w:rPr>
        <w:t> </w:t>
      </w:r>
      <w:r>
        <w:rPr/>
        <w:t>instances</w:t>
      </w:r>
      <w:r>
        <w:rPr>
          <w:spacing w:val="-4"/>
        </w:rPr>
        <w:t> </w:t>
      </w:r>
      <w:r>
        <w:rPr/>
        <w:t>highlight</w:t>
      </w:r>
      <w:r>
        <w:rPr>
          <w:spacing w:val="-2"/>
        </w:rPr>
        <w:t> </w:t>
      </w:r>
      <w:r>
        <w:rPr/>
        <w:t>the</w:t>
      </w:r>
      <w:r>
        <w:rPr>
          <w:spacing w:val="-2"/>
        </w:rPr>
        <w:t> </w:t>
      </w:r>
      <w:r>
        <w:rPr/>
        <w:t>tension</w:t>
      </w:r>
      <w:r>
        <w:rPr>
          <w:spacing w:val="-1"/>
        </w:rPr>
        <w:t> </w:t>
      </w:r>
      <w:r>
        <w:rPr/>
        <w:t>between</w:t>
      </w:r>
      <w:r>
        <w:rPr>
          <w:spacing w:val="-4"/>
        </w:rPr>
        <w:t> </w:t>
      </w:r>
      <w:r>
        <w:rPr/>
        <w:t>submission</w:t>
      </w:r>
      <w:r>
        <w:rPr>
          <w:spacing w:val="-4"/>
        </w:rPr>
        <w:t> </w:t>
      </w:r>
      <w:r>
        <w:rPr/>
        <w:t>and</w:t>
      </w:r>
      <w:r>
        <w:rPr>
          <w:spacing w:val="-1"/>
        </w:rPr>
        <w:t> </w:t>
      </w:r>
      <w:r>
        <w:rPr/>
        <w:t>defiance, reflecting the complexities of female agency.</w:t>
      </w:r>
    </w:p>
    <w:p>
      <w:pPr>
        <w:pStyle w:val="Heading3"/>
        <w:spacing w:before="144"/>
      </w:pPr>
      <w:r>
        <w:rPr>
          <w:w w:val="90"/>
        </w:rPr>
        <w:t>MARGINALIZATION</w:t>
      </w:r>
      <w:r>
        <w:rPr>
          <w:spacing w:val="14"/>
        </w:rPr>
        <w:t> </w:t>
      </w:r>
      <w:r>
        <w:rPr>
          <w:w w:val="90"/>
        </w:rPr>
        <w:t>AND</w:t>
      </w:r>
      <w:r>
        <w:rPr>
          <w:spacing w:val="14"/>
        </w:rPr>
        <w:t> </w:t>
      </w:r>
      <w:r>
        <w:rPr>
          <w:spacing w:val="-2"/>
          <w:w w:val="90"/>
        </w:rPr>
        <w:t>VISIBILITY</w:t>
      </w:r>
    </w:p>
    <w:p>
      <w:pPr>
        <w:pStyle w:val="BodyText"/>
        <w:spacing w:line="264" w:lineRule="auto" w:before="90"/>
        <w:ind w:right="1439" w:firstLine="432"/>
        <w:jc w:val="both"/>
      </w:pPr>
      <w:r>
        <w:rPr/>
        <w:t>Women in Shakespeare’s history plays are often marginalized, appearing in fewer scenes and having limited influence over political </w:t>
      </w:r>
      <w:r>
        <w:rPr>
          <w:spacing w:val="-4"/>
        </w:rPr>
        <w:t>decisions. However, their presence is crucial to the emotional and thematic </w:t>
      </w:r>
      <w:r>
        <w:rPr/>
        <w:t>development of the plays. Their marginalization reflects the historical </w:t>
      </w:r>
      <w:r>
        <w:rPr>
          <w:spacing w:val="-2"/>
        </w:rPr>
        <w:t>reality</w:t>
      </w:r>
      <w:r>
        <w:rPr>
          <w:spacing w:val="-11"/>
        </w:rPr>
        <w:t> </w:t>
      </w:r>
      <w:r>
        <w:rPr>
          <w:spacing w:val="-2"/>
        </w:rPr>
        <w:t>of</w:t>
      </w:r>
      <w:r>
        <w:rPr>
          <w:spacing w:val="-6"/>
        </w:rPr>
        <w:t> </w:t>
      </w:r>
      <w:r>
        <w:rPr>
          <w:spacing w:val="-2"/>
        </w:rPr>
        <w:t>women’s</w:t>
      </w:r>
      <w:r>
        <w:rPr>
          <w:spacing w:val="-7"/>
        </w:rPr>
        <w:t> </w:t>
      </w:r>
      <w:r>
        <w:rPr>
          <w:spacing w:val="-2"/>
        </w:rPr>
        <w:t>exclusion</w:t>
      </w:r>
      <w:r>
        <w:rPr>
          <w:spacing w:val="-5"/>
        </w:rPr>
        <w:t> </w:t>
      </w:r>
      <w:r>
        <w:rPr>
          <w:spacing w:val="-2"/>
        </w:rPr>
        <w:t>from</w:t>
      </w:r>
      <w:r>
        <w:rPr>
          <w:spacing w:val="-6"/>
        </w:rPr>
        <w:t> </w:t>
      </w:r>
      <w:r>
        <w:rPr>
          <w:spacing w:val="-2"/>
        </w:rPr>
        <w:t>political</w:t>
      </w:r>
      <w:r>
        <w:rPr>
          <w:spacing w:val="-7"/>
        </w:rPr>
        <w:t> </w:t>
      </w:r>
      <w:r>
        <w:rPr>
          <w:spacing w:val="-2"/>
        </w:rPr>
        <w:t>power.</w:t>
      </w:r>
      <w:r>
        <w:rPr>
          <w:spacing w:val="-11"/>
        </w:rPr>
        <w:t> </w:t>
      </w:r>
      <w:r>
        <w:rPr>
          <w:spacing w:val="-2"/>
        </w:rPr>
        <w:t>Yet, Shakespeare</w:t>
      </w:r>
      <w:r>
        <w:rPr>
          <w:spacing w:val="-5"/>
        </w:rPr>
        <w:t> </w:t>
      </w:r>
      <w:r>
        <w:rPr>
          <w:spacing w:val="-2"/>
        </w:rPr>
        <w:t>uses </w:t>
      </w:r>
      <w:r>
        <w:rPr/>
        <w:t>this limitation to create a contrast between visible authority</w:t>
      </w:r>
      <w:r>
        <w:rPr>
          <w:spacing w:val="-1"/>
        </w:rPr>
        <w:t> </w:t>
      </w:r>
      <w:r>
        <w:rPr/>
        <w:t>and hidden </w:t>
      </w:r>
      <w:r>
        <w:rPr>
          <w:spacing w:val="-2"/>
        </w:rPr>
        <w:t>influence.</w:t>
      </w:r>
      <w:r>
        <w:rPr>
          <w:spacing w:val="-13"/>
        </w:rPr>
        <w:t> </w:t>
      </w:r>
      <w:r>
        <w:rPr>
          <w:spacing w:val="-2"/>
        </w:rPr>
        <w:t>As</w:t>
      </w:r>
      <w:r>
        <w:rPr>
          <w:spacing w:val="-10"/>
        </w:rPr>
        <w:t> </w:t>
      </w:r>
      <w:r>
        <w:rPr>
          <w:spacing w:val="-2"/>
        </w:rPr>
        <w:t>Howard</w:t>
      </w:r>
      <w:r>
        <w:rPr>
          <w:spacing w:val="-11"/>
        </w:rPr>
        <w:t> </w:t>
      </w:r>
      <w:r>
        <w:rPr>
          <w:spacing w:val="-2"/>
        </w:rPr>
        <w:t>and</w:t>
      </w:r>
      <w:r>
        <w:rPr>
          <w:spacing w:val="-10"/>
        </w:rPr>
        <w:t> </w:t>
      </w:r>
      <w:r>
        <w:rPr>
          <w:spacing w:val="-2"/>
        </w:rPr>
        <w:t>Rackin</w:t>
      </w:r>
      <w:r>
        <w:rPr>
          <w:spacing w:val="-11"/>
        </w:rPr>
        <w:t> </w:t>
      </w:r>
      <w:r>
        <w:rPr>
          <w:spacing w:val="-2"/>
        </w:rPr>
        <w:t>(1997)</w:t>
      </w:r>
      <w:r>
        <w:rPr>
          <w:spacing w:val="-10"/>
        </w:rPr>
        <w:t> </w:t>
      </w:r>
      <w:r>
        <w:rPr>
          <w:spacing w:val="-2"/>
        </w:rPr>
        <w:t>argue,</w:t>
      </w:r>
      <w:r>
        <w:rPr>
          <w:spacing w:val="-11"/>
        </w:rPr>
        <w:t> </w:t>
      </w:r>
      <w:r>
        <w:rPr>
          <w:spacing w:val="-2"/>
        </w:rPr>
        <w:t>women</w:t>
      </w:r>
      <w:r>
        <w:rPr>
          <w:spacing w:val="-10"/>
        </w:rPr>
        <w:t> </w:t>
      </w:r>
      <w:r>
        <w:rPr>
          <w:spacing w:val="-2"/>
        </w:rPr>
        <w:t>occupy</w:t>
      </w:r>
      <w:r>
        <w:rPr>
          <w:spacing w:val="-11"/>
        </w:rPr>
        <w:t> </w:t>
      </w:r>
      <w:r>
        <w:rPr>
          <w:spacing w:val="-2"/>
        </w:rPr>
        <w:t>a</w:t>
      </w:r>
      <w:r>
        <w:rPr>
          <w:spacing w:val="-10"/>
        </w:rPr>
        <w:t> </w:t>
      </w:r>
      <w:r>
        <w:rPr>
          <w:spacing w:val="-2"/>
        </w:rPr>
        <w:t>“liminal </w:t>
      </w:r>
      <w:r>
        <w:rPr/>
        <w:t>space” within the plays, existing on the boundaries of power while shaping</w:t>
      </w:r>
      <w:r>
        <w:rPr>
          <w:spacing w:val="40"/>
        </w:rPr>
        <w:t> </w:t>
      </w:r>
      <w:r>
        <w:rPr/>
        <w:t>its</w:t>
      </w:r>
      <w:r>
        <w:rPr>
          <w:spacing w:val="40"/>
        </w:rPr>
        <w:t> </w:t>
      </w:r>
      <w:r>
        <w:rPr/>
        <w:t>outcomes.</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69760">
                <wp:simplePos x="0" y="0"/>
                <wp:positionH relativeFrom="page">
                  <wp:posOffset>2057400</wp:posOffset>
                </wp:positionH>
                <wp:positionV relativeFrom="paragraph">
                  <wp:posOffset>162604</wp:posOffset>
                </wp:positionV>
                <wp:extent cx="3657600" cy="12700"/>
                <wp:effectExtent l="0" t="0" r="0" b="0"/>
                <wp:wrapTopAndBottom/>
                <wp:docPr id="277" name="Graphic 277"/>
                <wp:cNvGraphicFramePr>
                  <a:graphicFrameLocks/>
                </wp:cNvGraphicFramePr>
                <a:graphic>
                  <a:graphicData uri="http://schemas.microsoft.com/office/word/2010/wordprocessingShape">
                    <wps:wsp>
                      <wps:cNvPr id="277" name="Graphic 27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46720;mso-wrap-distance-left:0;mso-wrap-distance-right:0" id="docshape273" filled="true" fillcolor="#000000" stroked="false">
                <v:fill type="solid"/>
                <w10:wrap type="topAndBottom"/>
              </v:rect>
            </w:pict>
          </mc:Fallback>
        </mc:AlternateContent>
      </w:r>
      <w:r>
        <w:rPr>
          <w:rFonts w:ascii="Verdana"/>
          <w:spacing w:val="-5"/>
          <w:sz w:val="18"/>
        </w:rPr>
        <w:t>88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pPr>
      <w:r>
        <w:rPr>
          <w:w w:val="80"/>
        </w:rPr>
        <w:t>FEMINIST</w:t>
      </w:r>
      <w:r>
        <w:rPr>
          <w:spacing w:val="-8"/>
          <w:w w:val="80"/>
        </w:rPr>
        <w:t> </w:t>
      </w:r>
      <w:r>
        <w:rPr>
          <w:spacing w:val="-2"/>
          <w:w w:val="90"/>
        </w:rPr>
        <w:t>REINTERPRETATION</w:t>
      </w:r>
    </w:p>
    <w:p>
      <w:pPr>
        <w:pStyle w:val="BodyText"/>
        <w:spacing w:line="249" w:lineRule="auto" w:before="75"/>
        <w:ind w:right="1436" w:firstLine="432"/>
        <w:jc w:val="both"/>
      </w:pPr>
      <w:r>
        <w:rPr/>
        <w:t>Modern feminist criticism</w:t>
      </w:r>
      <w:r>
        <w:rPr>
          <w:spacing w:val="-1"/>
        </w:rPr>
        <w:t> </w:t>
      </w:r>
      <w:r>
        <w:rPr/>
        <w:t>re-evaluates Shakespeare’s portrayal of women,</w:t>
      </w:r>
      <w:r>
        <w:rPr>
          <w:spacing w:val="-2"/>
        </w:rPr>
        <w:t> </w:t>
      </w:r>
      <w:r>
        <w:rPr/>
        <w:t>emphasizing</w:t>
      </w:r>
      <w:r>
        <w:rPr>
          <w:spacing w:val="-4"/>
        </w:rPr>
        <w:t> </w:t>
      </w:r>
      <w:r>
        <w:rPr/>
        <w:t>their</w:t>
      </w:r>
      <w:r>
        <w:rPr>
          <w:spacing w:val="-1"/>
        </w:rPr>
        <w:t> </w:t>
      </w:r>
      <w:r>
        <w:rPr/>
        <w:t>agency</w:t>
      </w:r>
      <w:r>
        <w:rPr>
          <w:spacing w:val="-5"/>
        </w:rPr>
        <w:t> </w:t>
      </w:r>
      <w:r>
        <w:rPr/>
        <w:t>and</w:t>
      </w:r>
      <w:r>
        <w:rPr>
          <w:spacing w:val="-2"/>
        </w:rPr>
        <w:t> </w:t>
      </w:r>
      <w:r>
        <w:rPr/>
        <w:t>complexity.</w:t>
      </w:r>
      <w:r>
        <w:rPr>
          <w:spacing w:val="-2"/>
        </w:rPr>
        <w:t> </w:t>
      </w:r>
      <w:r>
        <w:rPr/>
        <w:t>Rather</w:t>
      </w:r>
      <w:r>
        <w:rPr>
          <w:spacing w:val="-1"/>
        </w:rPr>
        <w:t> </w:t>
      </w:r>
      <w:r>
        <w:rPr/>
        <w:t>than</w:t>
      </w:r>
      <w:r>
        <w:rPr>
          <w:spacing w:val="-5"/>
        </w:rPr>
        <w:t> </w:t>
      </w:r>
      <w:r>
        <w:rPr/>
        <w:t>viewing them</w:t>
      </w:r>
      <w:r>
        <w:rPr>
          <w:spacing w:val="-13"/>
        </w:rPr>
        <w:t> </w:t>
      </w:r>
      <w:r>
        <w:rPr/>
        <w:t>as</w:t>
      </w:r>
      <w:r>
        <w:rPr>
          <w:spacing w:val="-12"/>
        </w:rPr>
        <w:t> </w:t>
      </w:r>
      <w:r>
        <w:rPr/>
        <w:t>passive</w:t>
      </w:r>
      <w:r>
        <w:rPr>
          <w:spacing w:val="-13"/>
        </w:rPr>
        <w:t> </w:t>
      </w:r>
      <w:r>
        <w:rPr/>
        <w:t>victims,</w:t>
      </w:r>
      <w:r>
        <w:rPr>
          <w:spacing w:val="-12"/>
        </w:rPr>
        <w:t> </w:t>
      </w:r>
      <w:r>
        <w:rPr/>
        <w:t>scholars</w:t>
      </w:r>
      <w:r>
        <w:rPr>
          <w:spacing w:val="-13"/>
        </w:rPr>
        <w:t> </w:t>
      </w:r>
      <w:r>
        <w:rPr/>
        <w:t>highlight</w:t>
      </w:r>
      <w:r>
        <w:rPr>
          <w:spacing w:val="-12"/>
        </w:rPr>
        <w:t> </w:t>
      </w:r>
      <w:r>
        <w:rPr/>
        <w:t>their</w:t>
      </w:r>
      <w:r>
        <w:rPr>
          <w:spacing w:val="-13"/>
        </w:rPr>
        <w:t> </w:t>
      </w:r>
      <w:r>
        <w:rPr/>
        <w:t>strategic</w:t>
      </w:r>
      <w:r>
        <w:rPr>
          <w:spacing w:val="-12"/>
        </w:rPr>
        <w:t> </w:t>
      </w:r>
      <w:r>
        <w:rPr/>
        <w:t>use</w:t>
      </w:r>
      <w:r>
        <w:rPr>
          <w:spacing w:val="-13"/>
        </w:rPr>
        <w:t> </w:t>
      </w:r>
      <w:r>
        <w:rPr/>
        <w:t>of</w:t>
      </w:r>
      <w:r>
        <w:rPr>
          <w:spacing w:val="-12"/>
        </w:rPr>
        <w:t> </w:t>
      </w:r>
      <w:r>
        <w:rPr/>
        <w:t>language and emotional intelligence. This reinterpretation challenges traditional readings that prioritize male characters and political narratives. It also underscores the relevance of Shakespeare’s plays in contemporary discussions</w:t>
      </w:r>
      <w:r>
        <w:rPr>
          <w:spacing w:val="40"/>
        </w:rPr>
        <w:t> </w:t>
      </w:r>
      <w:r>
        <w:rPr/>
        <w:t>of</w:t>
      </w:r>
      <w:r>
        <w:rPr>
          <w:spacing w:val="40"/>
        </w:rPr>
        <w:t> </w:t>
      </w:r>
      <w:r>
        <w:rPr/>
        <w:t>gender</w:t>
      </w:r>
      <w:r>
        <w:rPr>
          <w:spacing w:val="40"/>
        </w:rPr>
        <w:t> </w:t>
      </w:r>
      <w:r>
        <w:rPr/>
        <w:t>and</w:t>
      </w:r>
      <w:r>
        <w:rPr>
          <w:spacing w:val="40"/>
        </w:rPr>
        <w:t> </w:t>
      </w:r>
      <w:r>
        <w:rPr/>
        <w:t>power.</w:t>
      </w:r>
    </w:p>
    <w:p>
      <w:pPr>
        <w:pStyle w:val="Heading3"/>
        <w:spacing w:before="159"/>
      </w:pPr>
      <w:r>
        <w:rPr>
          <w:spacing w:val="-2"/>
        </w:rPr>
        <w:t>CONCLUSION</w:t>
      </w:r>
    </w:p>
    <w:p>
      <w:pPr>
        <w:pStyle w:val="BodyText"/>
        <w:spacing w:line="249" w:lineRule="auto" w:before="76"/>
        <w:ind w:right="1436" w:firstLine="432"/>
        <w:jc w:val="both"/>
      </w:pPr>
      <w:r>
        <w:rPr/>
        <w:t>Women in Shakespeare’s history plays occupy a paradoxical position.</w:t>
      </w:r>
      <w:r>
        <w:rPr>
          <w:spacing w:val="-8"/>
        </w:rPr>
        <w:t> </w:t>
      </w:r>
      <w:r>
        <w:rPr/>
        <w:t>They</w:t>
      </w:r>
      <w:r>
        <w:rPr>
          <w:spacing w:val="-13"/>
        </w:rPr>
        <w:t> </w:t>
      </w:r>
      <w:r>
        <w:rPr/>
        <w:t>are</w:t>
      </w:r>
      <w:r>
        <w:rPr>
          <w:spacing w:val="-8"/>
        </w:rPr>
        <w:t> </w:t>
      </w:r>
      <w:r>
        <w:rPr/>
        <w:t>marginalized</w:t>
      </w:r>
      <w:r>
        <w:rPr>
          <w:spacing w:val="-6"/>
        </w:rPr>
        <w:t> </w:t>
      </w:r>
      <w:r>
        <w:rPr/>
        <w:t>within</w:t>
      </w:r>
      <w:r>
        <w:rPr>
          <w:spacing w:val="-10"/>
        </w:rPr>
        <w:t> </w:t>
      </w:r>
      <w:r>
        <w:rPr/>
        <w:t>the</w:t>
      </w:r>
      <w:r>
        <w:rPr>
          <w:spacing w:val="-7"/>
        </w:rPr>
        <w:t> </w:t>
      </w:r>
      <w:r>
        <w:rPr/>
        <w:t>political</w:t>
      </w:r>
      <w:r>
        <w:rPr>
          <w:spacing w:val="-7"/>
        </w:rPr>
        <w:t> </w:t>
      </w:r>
      <w:r>
        <w:rPr/>
        <w:t>hierarchy</w:t>
      </w:r>
      <w:r>
        <w:rPr>
          <w:spacing w:val="-12"/>
        </w:rPr>
        <w:t> </w:t>
      </w:r>
      <w:r>
        <w:rPr/>
        <w:t>yet</w:t>
      </w:r>
      <w:r>
        <w:rPr>
          <w:spacing w:val="-7"/>
        </w:rPr>
        <w:t> </w:t>
      </w:r>
      <w:r>
        <w:rPr/>
        <w:t>central </w:t>
      </w:r>
      <w:r>
        <w:rPr>
          <w:spacing w:val="-2"/>
        </w:rPr>
        <w:t>to</w:t>
      </w:r>
      <w:r>
        <w:rPr>
          <w:spacing w:val="-11"/>
        </w:rPr>
        <w:t> </w:t>
      </w:r>
      <w:r>
        <w:rPr>
          <w:spacing w:val="-2"/>
        </w:rPr>
        <w:t>the</w:t>
      </w:r>
      <w:r>
        <w:rPr>
          <w:spacing w:val="-10"/>
        </w:rPr>
        <w:t> </w:t>
      </w:r>
      <w:r>
        <w:rPr>
          <w:spacing w:val="-2"/>
        </w:rPr>
        <w:t>dramatic</w:t>
      </w:r>
      <w:r>
        <w:rPr>
          <w:spacing w:val="-9"/>
        </w:rPr>
        <w:t> </w:t>
      </w:r>
      <w:r>
        <w:rPr>
          <w:spacing w:val="-2"/>
        </w:rPr>
        <w:t>and</w:t>
      </w:r>
      <w:r>
        <w:rPr>
          <w:spacing w:val="-7"/>
        </w:rPr>
        <w:t> </w:t>
      </w:r>
      <w:r>
        <w:rPr>
          <w:spacing w:val="-2"/>
        </w:rPr>
        <w:t>moral</w:t>
      </w:r>
      <w:r>
        <w:rPr>
          <w:spacing w:val="-8"/>
        </w:rPr>
        <w:t> </w:t>
      </w:r>
      <w:r>
        <w:rPr>
          <w:spacing w:val="-2"/>
        </w:rPr>
        <w:t>framework</w:t>
      </w:r>
      <w:r>
        <w:rPr>
          <w:spacing w:val="-11"/>
        </w:rPr>
        <w:t> </w:t>
      </w:r>
      <w:r>
        <w:rPr>
          <w:spacing w:val="-2"/>
        </w:rPr>
        <w:t>of</w:t>
      </w:r>
      <w:r>
        <w:rPr>
          <w:spacing w:val="-9"/>
        </w:rPr>
        <w:t> </w:t>
      </w:r>
      <w:r>
        <w:rPr>
          <w:spacing w:val="-2"/>
        </w:rPr>
        <w:t>the</w:t>
      </w:r>
      <w:r>
        <w:rPr>
          <w:spacing w:val="-11"/>
        </w:rPr>
        <w:t> </w:t>
      </w:r>
      <w:r>
        <w:rPr>
          <w:spacing w:val="-2"/>
        </w:rPr>
        <w:t>narratives.</w:t>
      </w:r>
      <w:r>
        <w:rPr>
          <w:spacing w:val="-9"/>
        </w:rPr>
        <w:t> </w:t>
      </w:r>
      <w:r>
        <w:rPr>
          <w:spacing w:val="-2"/>
        </w:rPr>
        <w:t>Through</w:t>
      </w:r>
      <w:r>
        <w:rPr>
          <w:spacing w:val="-11"/>
        </w:rPr>
        <w:t> </w:t>
      </w:r>
      <w:r>
        <w:rPr>
          <w:spacing w:val="-2"/>
        </w:rPr>
        <w:t>language, </w:t>
      </w:r>
      <w:r>
        <w:rPr/>
        <w:t>maternal authority, and symbolic resistance, they exert significant influence over the course of events. Shakespeare’s portrayal of women reflects the constraints of his time while also challenging them. By giving female characters powerful voices and complex identities, he redefines the nature of power and agency. Ultimately, this study demonstrates that women in Shakespeare’s history plays are not mere spectators but active participants who shape history in profound and enduring</w:t>
      </w:r>
      <w:r>
        <w:rPr>
          <w:spacing w:val="40"/>
        </w:rPr>
        <w:t> </w:t>
      </w:r>
      <w:r>
        <w:rPr/>
        <w:t>ways.</w:t>
      </w:r>
    </w:p>
    <w:p>
      <w:pPr>
        <w:pStyle w:val="Heading3"/>
        <w:spacing w:before="165"/>
      </w:pPr>
      <w:r>
        <w:rPr>
          <w:spacing w:val="-2"/>
          <w:w w:val="95"/>
        </w:rPr>
        <w:t>REFERENCES</w:t>
      </w:r>
    </w:p>
    <w:p>
      <w:pPr>
        <w:pStyle w:val="ListParagraph"/>
        <w:numPr>
          <w:ilvl w:val="0"/>
          <w:numId w:val="18"/>
        </w:numPr>
        <w:tabs>
          <w:tab w:pos="2157" w:val="left" w:leader="none"/>
          <w:tab w:pos="2160" w:val="left" w:leader="none"/>
        </w:tabs>
        <w:spacing w:line="261" w:lineRule="auto" w:before="82" w:after="0"/>
        <w:ind w:left="2160" w:right="1438" w:hanging="315"/>
        <w:jc w:val="both"/>
        <w:rPr>
          <w:sz w:val="19"/>
        </w:rPr>
      </w:pPr>
      <w:r>
        <w:rPr>
          <w:sz w:val="19"/>
        </w:rPr>
        <w:t>Dollimore, J. (1984). </w:t>
      </w:r>
      <w:r>
        <w:rPr>
          <w:i/>
          <w:sz w:val="19"/>
        </w:rPr>
        <w:t>Radical tragedy: Religion, ideology and power in the drama of Shakespeare and his contemporaries</w:t>
      </w:r>
      <w:r>
        <w:rPr>
          <w:sz w:val="19"/>
        </w:rPr>
        <w:t>. University</w:t>
      </w:r>
      <w:r>
        <w:rPr>
          <w:spacing w:val="40"/>
          <w:sz w:val="19"/>
        </w:rPr>
        <w:t> </w:t>
      </w:r>
      <w:r>
        <w:rPr>
          <w:sz w:val="19"/>
        </w:rPr>
        <w:t>of</w:t>
      </w:r>
      <w:r>
        <w:rPr>
          <w:spacing w:val="40"/>
          <w:sz w:val="19"/>
        </w:rPr>
        <w:t> </w:t>
      </w:r>
      <w:r>
        <w:rPr>
          <w:sz w:val="19"/>
        </w:rPr>
        <w:t>Chicago</w:t>
      </w:r>
      <w:r>
        <w:rPr>
          <w:spacing w:val="40"/>
          <w:sz w:val="19"/>
        </w:rPr>
        <w:t> </w:t>
      </w:r>
      <w:r>
        <w:rPr>
          <w:sz w:val="19"/>
        </w:rPr>
        <w:t>Press.</w:t>
      </w:r>
    </w:p>
    <w:p>
      <w:pPr>
        <w:pStyle w:val="ListParagraph"/>
        <w:numPr>
          <w:ilvl w:val="0"/>
          <w:numId w:val="18"/>
        </w:numPr>
        <w:tabs>
          <w:tab w:pos="2157" w:val="left" w:leader="none"/>
          <w:tab w:pos="2160" w:val="left" w:leader="none"/>
        </w:tabs>
        <w:spacing w:line="264" w:lineRule="auto" w:before="56" w:after="0"/>
        <w:ind w:left="2160" w:right="1439" w:hanging="315"/>
        <w:jc w:val="both"/>
        <w:rPr>
          <w:sz w:val="19"/>
        </w:rPr>
      </w:pPr>
      <w:r>
        <w:rPr>
          <w:sz w:val="19"/>
        </w:rPr>
        <w:t>Howard, J. E., &amp; Rackin, P. (1997). </w:t>
      </w:r>
      <w:r>
        <w:rPr>
          <w:i/>
          <w:sz w:val="19"/>
        </w:rPr>
        <w:t>Engendering a nation: A feminist</w:t>
      </w:r>
      <w:r>
        <w:rPr>
          <w:i/>
          <w:spacing w:val="24"/>
          <w:sz w:val="19"/>
        </w:rPr>
        <w:t> </w:t>
      </w:r>
      <w:r>
        <w:rPr>
          <w:i/>
          <w:sz w:val="19"/>
        </w:rPr>
        <w:t>account</w:t>
      </w:r>
      <w:r>
        <w:rPr>
          <w:i/>
          <w:spacing w:val="24"/>
          <w:sz w:val="19"/>
        </w:rPr>
        <w:t> </w:t>
      </w:r>
      <w:r>
        <w:rPr>
          <w:i/>
          <w:sz w:val="19"/>
        </w:rPr>
        <w:t>of</w:t>
      </w:r>
      <w:r>
        <w:rPr>
          <w:i/>
          <w:spacing w:val="26"/>
          <w:sz w:val="19"/>
        </w:rPr>
        <w:t> </w:t>
      </w:r>
      <w:r>
        <w:rPr>
          <w:i/>
          <w:sz w:val="19"/>
        </w:rPr>
        <w:t>Shakespeare’s</w:t>
      </w:r>
      <w:r>
        <w:rPr>
          <w:i/>
          <w:spacing w:val="24"/>
          <w:sz w:val="19"/>
        </w:rPr>
        <w:t> </w:t>
      </w:r>
      <w:r>
        <w:rPr>
          <w:i/>
          <w:sz w:val="19"/>
        </w:rPr>
        <w:t>English</w:t>
      </w:r>
      <w:r>
        <w:rPr>
          <w:i/>
          <w:spacing w:val="26"/>
          <w:sz w:val="19"/>
        </w:rPr>
        <w:t> </w:t>
      </w:r>
      <w:r>
        <w:rPr>
          <w:i/>
          <w:sz w:val="19"/>
        </w:rPr>
        <w:t>histories</w:t>
      </w:r>
      <w:r>
        <w:rPr>
          <w:sz w:val="19"/>
        </w:rPr>
        <w:t>.</w:t>
      </w:r>
      <w:r>
        <w:rPr>
          <w:spacing w:val="28"/>
          <w:sz w:val="19"/>
        </w:rPr>
        <w:t> </w:t>
      </w:r>
      <w:r>
        <w:rPr>
          <w:sz w:val="19"/>
        </w:rPr>
        <w:t>Routledge.</w:t>
      </w:r>
    </w:p>
    <w:p>
      <w:pPr>
        <w:pStyle w:val="ListParagraph"/>
        <w:numPr>
          <w:ilvl w:val="0"/>
          <w:numId w:val="18"/>
        </w:numPr>
        <w:tabs>
          <w:tab w:pos="2157" w:val="left" w:leader="none"/>
          <w:tab w:pos="2160" w:val="left" w:leader="none"/>
        </w:tabs>
        <w:spacing w:line="261" w:lineRule="auto" w:before="54" w:after="0"/>
        <w:ind w:left="2160" w:right="1438" w:hanging="315"/>
        <w:jc w:val="both"/>
        <w:rPr>
          <w:sz w:val="19"/>
        </w:rPr>
      </w:pPr>
      <w:r>
        <w:rPr>
          <w:sz w:val="19"/>
        </w:rPr>
        <w:t>Neely, C. T. (1985). </w:t>
      </w:r>
      <w:r>
        <w:rPr>
          <w:i/>
          <w:sz w:val="19"/>
        </w:rPr>
        <w:t>Broken nuptials in Shakespeare’s plays</w:t>
      </w:r>
      <w:r>
        <w:rPr>
          <w:sz w:val="19"/>
        </w:rPr>
        <w:t>.</w:t>
      </w:r>
      <w:r>
        <w:rPr>
          <w:spacing w:val="80"/>
          <w:sz w:val="19"/>
        </w:rPr>
        <w:t> </w:t>
      </w:r>
      <w:r>
        <w:rPr>
          <w:sz w:val="19"/>
        </w:rPr>
        <w:t>Yale</w:t>
      </w:r>
      <w:r>
        <w:rPr>
          <w:spacing w:val="40"/>
          <w:sz w:val="19"/>
        </w:rPr>
        <w:t> </w:t>
      </w:r>
      <w:r>
        <w:rPr>
          <w:sz w:val="19"/>
        </w:rPr>
        <w:t>University</w:t>
      </w:r>
      <w:r>
        <w:rPr>
          <w:spacing w:val="40"/>
          <w:sz w:val="19"/>
        </w:rPr>
        <w:t> </w:t>
      </w:r>
      <w:r>
        <w:rPr>
          <w:sz w:val="19"/>
        </w:rPr>
        <w:t>Press.</w:t>
      </w:r>
    </w:p>
    <w:p>
      <w:pPr>
        <w:pStyle w:val="ListParagraph"/>
        <w:numPr>
          <w:ilvl w:val="0"/>
          <w:numId w:val="18"/>
        </w:numPr>
        <w:tabs>
          <w:tab w:pos="2157" w:val="left" w:leader="none"/>
          <w:tab w:pos="2160" w:val="left" w:leader="none"/>
        </w:tabs>
        <w:spacing w:line="264" w:lineRule="auto" w:before="57" w:after="0"/>
        <w:ind w:left="2160" w:right="1440" w:hanging="315"/>
        <w:jc w:val="both"/>
        <w:rPr>
          <w:sz w:val="19"/>
        </w:rPr>
      </w:pPr>
      <w:r>
        <w:rPr>
          <w:sz w:val="19"/>
        </w:rPr>
        <w:t>Rackin, P. (1990). </w:t>
      </w:r>
      <w:r>
        <w:rPr>
          <w:i/>
          <w:sz w:val="19"/>
        </w:rPr>
        <w:t>Stages of history: Shakespeare’s English chronicles</w:t>
      </w:r>
      <w:r>
        <w:rPr>
          <w:sz w:val="19"/>
        </w:rPr>
        <w:t>.</w:t>
      </w:r>
      <w:r>
        <w:rPr>
          <w:spacing w:val="40"/>
          <w:sz w:val="19"/>
        </w:rPr>
        <w:t> </w:t>
      </w:r>
      <w:r>
        <w:rPr>
          <w:sz w:val="19"/>
        </w:rPr>
        <w:t>Cornell</w:t>
      </w:r>
      <w:r>
        <w:rPr>
          <w:spacing w:val="40"/>
          <w:sz w:val="19"/>
        </w:rPr>
        <w:t> </w:t>
      </w:r>
      <w:r>
        <w:rPr>
          <w:sz w:val="19"/>
        </w:rPr>
        <w:t>University</w:t>
      </w:r>
      <w:r>
        <w:rPr>
          <w:spacing w:val="40"/>
          <w:sz w:val="19"/>
        </w:rPr>
        <w:t> </w:t>
      </w:r>
      <w:r>
        <w:rPr>
          <w:sz w:val="19"/>
        </w:rPr>
        <w:t>Press.</w:t>
      </w:r>
    </w:p>
    <w:p>
      <w:pPr>
        <w:pStyle w:val="ListParagraph"/>
        <w:numPr>
          <w:ilvl w:val="0"/>
          <w:numId w:val="18"/>
        </w:numPr>
        <w:tabs>
          <w:tab w:pos="2157" w:val="left" w:leader="none"/>
          <w:tab w:pos="2160" w:val="left" w:leader="none"/>
        </w:tabs>
        <w:spacing w:line="261" w:lineRule="auto" w:before="54" w:after="0"/>
        <w:ind w:left="2160" w:right="1437" w:hanging="315"/>
        <w:jc w:val="both"/>
        <w:rPr>
          <w:sz w:val="19"/>
        </w:rPr>
      </w:pPr>
      <w:r>
        <w:rPr>
          <w:sz w:val="19"/>
        </w:rPr>
        <w:t>Shakespeare, W. (2005). </w:t>
      </w:r>
      <w:r>
        <w:rPr>
          <w:i/>
          <w:sz w:val="19"/>
        </w:rPr>
        <w:t>The complete works of William Shakespeare</w:t>
      </w:r>
      <w:r>
        <w:rPr>
          <w:sz w:val="19"/>
        </w:rPr>
        <w:t>. Barnes &amp; Noble. (Original works published 1590–</w:t>
      </w:r>
      <w:r>
        <w:rPr>
          <w:spacing w:val="-2"/>
          <w:sz w:val="19"/>
        </w:rPr>
        <w:t>1613)</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34944">
                <wp:simplePos x="0" y="0"/>
                <wp:positionH relativeFrom="page">
                  <wp:posOffset>2057400</wp:posOffset>
                </wp:positionH>
                <wp:positionV relativeFrom="page">
                  <wp:posOffset>1788723</wp:posOffset>
                </wp:positionV>
                <wp:extent cx="3656329" cy="140335"/>
                <wp:effectExtent l="0" t="0" r="0" b="0"/>
                <wp:wrapNone/>
                <wp:docPr id="278" name="Textbox 278"/>
                <wp:cNvGraphicFramePr>
                  <a:graphicFrameLocks/>
                </wp:cNvGraphicFramePr>
                <a:graphic>
                  <a:graphicData uri="http://schemas.microsoft.com/office/word/2010/wordprocessingShape">
                    <wps:wsp>
                      <wps:cNvPr id="278" name="Textbox 278"/>
                      <wps:cNvSpPr txBox="1"/>
                      <wps:spPr>
                        <a:xfrm>
                          <a:off x="0" y="0"/>
                          <a:ext cx="3656329" cy="140335"/>
                        </a:xfrm>
                        <a:prstGeom prst="rect">
                          <a:avLst/>
                        </a:prstGeom>
                      </wps:spPr>
                      <wps:txbx>
                        <w:txbxContent>
                          <w:p>
                            <w:pPr>
                              <w:tabs>
                                <w:tab w:pos="5757" w:val="right" w:leader="none"/>
                              </w:tabs>
                              <w:spacing w:line="219" w:lineRule="exact" w:before="0"/>
                              <w:ind w:left="0" w:right="0" w:firstLine="0"/>
                              <w:jc w:val="left"/>
                              <w:rPr>
                                <w:rFonts w:ascii="Verdana"/>
                                <w:sz w:val="18"/>
                              </w:rPr>
                            </w:pPr>
                            <w:r>
                              <w:rPr>
                                <w:rFonts w:ascii="Verdana"/>
                                <w:spacing w:val="-2"/>
                                <w:sz w:val="18"/>
                              </w:rPr>
                              <w:t>Silenced</w:t>
                            </w:r>
                            <w:r>
                              <w:rPr>
                                <w:rFonts w:ascii="Verdana"/>
                                <w:spacing w:val="1"/>
                                <w:sz w:val="18"/>
                              </w:rPr>
                              <w:t> </w:t>
                            </w:r>
                            <w:r>
                              <w:rPr>
                                <w:rFonts w:ascii="Verdana"/>
                                <w:spacing w:val="-2"/>
                                <w:sz w:val="18"/>
                              </w:rPr>
                              <w:t>Voices</w:t>
                            </w:r>
                            <w:r>
                              <w:rPr>
                                <w:rFonts w:ascii="Verdana"/>
                                <w:spacing w:val="4"/>
                                <w:sz w:val="18"/>
                              </w:rPr>
                              <w:t> </w:t>
                            </w:r>
                            <w:r>
                              <w:rPr>
                                <w:rFonts w:ascii="Verdana"/>
                                <w:spacing w:val="-2"/>
                                <w:sz w:val="18"/>
                              </w:rPr>
                              <w:t>and</w:t>
                            </w:r>
                            <w:r>
                              <w:rPr>
                                <w:rFonts w:ascii="Verdana"/>
                                <w:spacing w:val="1"/>
                                <w:sz w:val="18"/>
                              </w:rPr>
                              <w:t> </w:t>
                            </w:r>
                            <w:r>
                              <w:rPr>
                                <w:rFonts w:ascii="Verdana"/>
                                <w:spacing w:val="-2"/>
                                <w:sz w:val="18"/>
                              </w:rPr>
                              <w:t>Ethical</w:t>
                            </w:r>
                            <w:r>
                              <w:rPr>
                                <w:rFonts w:ascii="Verdana"/>
                                <w:spacing w:val="4"/>
                                <w:sz w:val="18"/>
                              </w:rPr>
                              <w:t> </w:t>
                            </w:r>
                            <w:r>
                              <w:rPr>
                                <w:rFonts w:ascii="Verdana"/>
                                <w:spacing w:val="-2"/>
                                <w:sz w:val="18"/>
                              </w:rPr>
                              <w:t>Injustice:</w:t>
                            </w:r>
                            <w:r>
                              <w:rPr>
                                <w:rFonts w:ascii="Verdana"/>
                                <w:spacing w:val="1"/>
                                <w:sz w:val="18"/>
                              </w:rPr>
                              <w:t> </w:t>
                            </w:r>
                            <w:r>
                              <w:rPr>
                                <w:rFonts w:ascii="Verdana"/>
                                <w:spacing w:val="-2"/>
                                <w:sz w:val="18"/>
                              </w:rPr>
                              <w:t>A</w:t>
                            </w:r>
                            <w:r>
                              <w:rPr>
                                <w:rFonts w:ascii="Verdana"/>
                                <w:spacing w:val="-4"/>
                                <w:sz w:val="18"/>
                              </w:rPr>
                              <w:t> </w:t>
                            </w:r>
                            <w:r>
                              <w:rPr>
                                <w:rFonts w:ascii="Verdana"/>
                                <w:spacing w:val="-2"/>
                                <w:sz w:val="18"/>
                              </w:rPr>
                              <w:t>Feminist</w:t>
                            </w:r>
                            <w:r>
                              <w:rPr>
                                <w:rFonts w:ascii="Verdana"/>
                                <w:spacing w:val="2"/>
                                <w:sz w:val="18"/>
                              </w:rPr>
                              <w:t> </w:t>
                            </w:r>
                            <w:r>
                              <w:rPr>
                                <w:rFonts w:ascii="Verdana"/>
                                <w:spacing w:val="-2"/>
                                <w:sz w:val="18"/>
                              </w:rPr>
                              <w:t>Ethical...</w:t>
                            </w:r>
                            <w:r>
                              <w:rPr>
                                <w:sz w:val="18"/>
                              </w:rPr>
                              <w:tab/>
                            </w:r>
                            <w:r>
                              <w:rPr>
                                <w:rFonts w:ascii="Verdana"/>
                                <w:spacing w:val="-5"/>
                                <w:sz w:val="18"/>
                              </w:rPr>
                              <w:t>89</w:t>
                            </w:r>
                          </w:p>
                        </w:txbxContent>
                      </wps:txbx>
                      <wps:bodyPr wrap="square" lIns="0" tIns="0" rIns="0" bIns="0" rtlCol="0">
                        <a:noAutofit/>
                      </wps:bodyPr>
                    </wps:wsp>
                  </a:graphicData>
                </a:graphic>
              </wp:anchor>
            </w:drawing>
          </mc:Choice>
          <mc:Fallback>
            <w:pict>
              <v:shape style="position:absolute;margin-left:162pt;margin-top:140.844391pt;width:287.9pt;height:11.05pt;mso-position-horizontal-relative:page;mso-position-vertical-relative:page;z-index:-20481536" type="#_x0000_t202" id="docshape274" filled="false" stroked="false">
                <v:textbox inset="0,0,0,0">
                  <w:txbxContent>
                    <w:p>
                      <w:pPr>
                        <w:tabs>
                          <w:tab w:pos="5757" w:val="right" w:leader="none"/>
                        </w:tabs>
                        <w:spacing w:line="219" w:lineRule="exact" w:before="0"/>
                        <w:ind w:left="0" w:right="0" w:firstLine="0"/>
                        <w:jc w:val="left"/>
                        <w:rPr>
                          <w:rFonts w:ascii="Verdana"/>
                          <w:sz w:val="18"/>
                        </w:rPr>
                      </w:pPr>
                      <w:r>
                        <w:rPr>
                          <w:rFonts w:ascii="Verdana"/>
                          <w:spacing w:val="-2"/>
                          <w:sz w:val="18"/>
                        </w:rPr>
                        <w:t>Silenced</w:t>
                      </w:r>
                      <w:r>
                        <w:rPr>
                          <w:rFonts w:ascii="Verdana"/>
                          <w:spacing w:val="1"/>
                          <w:sz w:val="18"/>
                        </w:rPr>
                        <w:t> </w:t>
                      </w:r>
                      <w:r>
                        <w:rPr>
                          <w:rFonts w:ascii="Verdana"/>
                          <w:spacing w:val="-2"/>
                          <w:sz w:val="18"/>
                        </w:rPr>
                        <w:t>Voices</w:t>
                      </w:r>
                      <w:r>
                        <w:rPr>
                          <w:rFonts w:ascii="Verdana"/>
                          <w:spacing w:val="4"/>
                          <w:sz w:val="18"/>
                        </w:rPr>
                        <w:t> </w:t>
                      </w:r>
                      <w:r>
                        <w:rPr>
                          <w:rFonts w:ascii="Verdana"/>
                          <w:spacing w:val="-2"/>
                          <w:sz w:val="18"/>
                        </w:rPr>
                        <w:t>and</w:t>
                      </w:r>
                      <w:r>
                        <w:rPr>
                          <w:rFonts w:ascii="Verdana"/>
                          <w:spacing w:val="1"/>
                          <w:sz w:val="18"/>
                        </w:rPr>
                        <w:t> </w:t>
                      </w:r>
                      <w:r>
                        <w:rPr>
                          <w:rFonts w:ascii="Verdana"/>
                          <w:spacing w:val="-2"/>
                          <w:sz w:val="18"/>
                        </w:rPr>
                        <w:t>Ethical</w:t>
                      </w:r>
                      <w:r>
                        <w:rPr>
                          <w:rFonts w:ascii="Verdana"/>
                          <w:spacing w:val="4"/>
                          <w:sz w:val="18"/>
                        </w:rPr>
                        <w:t> </w:t>
                      </w:r>
                      <w:r>
                        <w:rPr>
                          <w:rFonts w:ascii="Verdana"/>
                          <w:spacing w:val="-2"/>
                          <w:sz w:val="18"/>
                        </w:rPr>
                        <w:t>Injustice:</w:t>
                      </w:r>
                      <w:r>
                        <w:rPr>
                          <w:rFonts w:ascii="Verdana"/>
                          <w:spacing w:val="1"/>
                          <w:sz w:val="18"/>
                        </w:rPr>
                        <w:t> </w:t>
                      </w:r>
                      <w:r>
                        <w:rPr>
                          <w:rFonts w:ascii="Verdana"/>
                          <w:spacing w:val="-2"/>
                          <w:sz w:val="18"/>
                        </w:rPr>
                        <w:t>A</w:t>
                      </w:r>
                      <w:r>
                        <w:rPr>
                          <w:rFonts w:ascii="Verdana"/>
                          <w:spacing w:val="-4"/>
                          <w:sz w:val="18"/>
                        </w:rPr>
                        <w:t> </w:t>
                      </w:r>
                      <w:r>
                        <w:rPr>
                          <w:rFonts w:ascii="Verdana"/>
                          <w:spacing w:val="-2"/>
                          <w:sz w:val="18"/>
                        </w:rPr>
                        <w:t>Feminist</w:t>
                      </w:r>
                      <w:r>
                        <w:rPr>
                          <w:rFonts w:ascii="Verdana"/>
                          <w:spacing w:val="2"/>
                          <w:sz w:val="18"/>
                        </w:rPr>
                        <w:t> </w:t>
                      </w:r>
                      <w:r>
                        <w:rPr>
                          <w:rFonts w:ascii="Verdana"/>
                          <w:spacing w:val="-2"/>
                          <w:sz w:val="18"/>
                        </w:rPr>
                        <w:t>Ethical...</w:t>
                      </w:r>
                      <w:r>
                        <w:rPr>
                          <w:sz w:val="18"/>
                        </w:rPr>
                        <w:tab/>
                      </w:r>
                      <w:r>
                        <w:rPr>
                          <w:rFonts w:ascii="Verdana"/>
                          <w:spacing w:val="-5"/>
                          <w:sz w:val="18"/>
                        </w:rPr>
                        <w:t>89</w:t>
                      </w:r>
                    </w:p>
                  </w:txbxContent>
                </v:textbox>
                <w10:wrap type="none"/>
              </v:shape>
            </w:pict>
          </mc:Fallback>
        </mc:AlternateContent>
      </w:r>
    </w:p>
    <w:p>
      <w:pPr>
        <w:pStyle w:val="BodyText"/>
        <w:ind w:left="0"/>
      </w:pPr>
    </w:p>
    <w:p>
      <w:pPr>
        <w:pStyle w:val="BodyText"/>
        <w:spacing w:before="12"/>
        <w:ind w:left="0"/>
      </w:pPr>
    </w:p>
    <w:p>
      <w:pPr>
        <w:spacing w:line="240" w:lineRule="auto"/>
        <w:ind w:left="1154" w:right="0" w:firstLine="0"/>
        <w:rPr>
          <w:sz w:val="20"/>
        </w:rPr>
      </w:pPr>
      <w:r>
        <w:rPr>
          <w:sz w:val="20"/>
        </w:rPr>
        <mc:AlternateContent>
          <mc:Choice Requires="wps">
            <w:drawing>
              <wp:inline distT="0" distB="0" distL="0" distR="0">
                <wp:extent cx="4044950" cy="701040"/>
                <wp:effectExtent l="0" t="0" r="0" b="0"/>
                <wp:docPr id="279" name="Group 279"/>
                <wp:cNvGraphicFramePr>
                  <a:graphicFrameLocks/>
                </wp:cNvGraphicFramePr>
                <a:graphic>
                  <a:graphicData uri="http://schemas.microsoft.com/office/word/2010/wordprocessingGroup">
                    <wpg:wgp>
                      <wpg:cNvPr id="279" name="Group 279"/>
                      <wpg:cNvGrpSpPr/>
                      <wpg:grpSpPr>
                        <a:xfrm>
                          <a:off x="0" y="0"/>
                          <a:ext cx="4044950" cy="701040"/>
                          <a:chExt cx="4044950" cy="701040"/>
                        </a:xfrm>
                      </wpg:grpSpPr>
                      <wps:wsp>
                        <wps:cNvPr id="280" name="Graphic 280"/>
                        <wps:cNvSpPr/>
                        <wps:spPr>
                          <a:xfrm>
                            <a:off x="0" y="0"/>
                            <a:ext cx="4044950" cy="701040"/>
                          </a:xfrm>
                          <a:custGeom>
                            <a:avLst/>
                            <a:gdLst/>
                            <a:ahLst/>
                            <a:cxnLst/>
                            <a:rect l="l" t="t" r="r" b="b"/>
                            <a:pathLst>
                              <a:path w="4044950" h="701040">
                                <a:moveTo>
                                  <a:pt x="4044695" y="701039"/>
                                </a:moveTo>
                                <a:lnTo>
                                  <a:pt x="0" y="701039"/>
                                </a:lnTo>
                                <a:lnTo>
                                  <a:pt x="0" y="0"/>
                                </a:lnTo>
                                <a:lnTo>
                                  <a:pt x="4044695" y="0"/>
                                </a:lnTo>
                                <a:lnTo>
                                  <a:pt x="4044695" y="701039"/>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2pt;mso-position-horizontal-relative:char;mso-position-vertical-relative:line" id="docshapegroup275" coordorigin="0,0" coordsize="6370,1104">
                <v:rect style="position:absolute;left:0;top:0;width:6370;height:1104" id="docshape276"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70784">
                <wp:simplePos x="0" y="0"/>
                <wp:positionH relativeFrom="page">
                  <wp:posOffset>3544823</wp:posOffset>
                </wp:positionH>
                <wp:positionV relativeFrom="paragraph">
                  <wp:posOffset>272922</wp:posOffset>
                </wp:positionV>
                <wp:extent cx="728980" cy="655320"/>
                <wp:effectExtent l="0" t="0" r="0" b="0"/>
                <wp:wrapTopAndBottom/>
                <wp:docPr id="281" name="Group 281"/>
                <wp:cNvGraphicFramePr>
                  <a:graphicFrameLocks/>
                </wp:cNvGraphicFramePr>
                <a:graphic>
                  <a:graphicData uri="http://schemas.microsoft.com/office/word/2010/wordprocessingGroup">
                    <wpg:wgp>
                      <wpg:cNvPr id="281" name="Group 281"/>
                      <wpg:cNvGrpSpPr/>
                      <wpg:grpSpPr>
                        <a:xfrm>
                          <a:off x="0" y="0"/>
                          <a:ext cx="728980" cy="655320"/>
                          <a:chExt cx="728980" cy="655320"/>
                        </a:xfrm>
                      </wpg:grpSpPr>
                      <pic:pic>
                        <pic:nvPicPr>
                          <pic:cNvPr id="282" name="Image 282"/>
                          <pic:cNvPicPr/>
                        </pic:nvPicPr>
                        <pic:blipFill>
                          <a:blip r:embed="rId89" cstate="print"/>
                          <a:stretch>
                            <a:fillRect/>
                          </a:stretch>
                        </pic:blipFill>
                        <pic:spPr>
                          <a:xfrm>
                            <a:off x="0" y="0"/>
                            <a:ext cx="728472" cy="655320"/>
                          </a:xfrm>
                          <a:prstGeom prst="rect">
                            <a:avLst/>
                          </a:prstGeom>
                        </pic:spPr>
                      </pic:pic>
                      <wps:wsp>
                        <wps:cNvPr id="283" name="Textbox 283"/>
                        <wps:cNvSpPr txBox="1"/>
                        <wps:spPr>
                          <a:xfrm>
                            <a:off x="0" y="0"/>
                            <a:ext cx="728980" cy="655320"/>
                          </a:xfrm>
                          <a:prstGeom prst="rect">
                            <a:avLst/>
                          </a:prstGeom>
                        </wps:spPr>
                        <wps:txbx>
                          <w:txbxContent>
                            <w:p>
                              <w:pPr>
                                <w:spacing w:before="350"/>
                                <w:ind w:left="42" w:right="102" w:firstLine="0"/>
                                <w:jc w:val="center"/>
                                <w:rPr>
                                  <w:rFonts w:ascii="Tahoma"/>
                                  <w:b/>
                                  <w:sz w:val="36"/>
                                </w:rPr>
                              </w:pPr>
                              <w:r>
                                <w:rPr>
                                  <w:rFonts w:ascii="Tahoma"/>
                                  <w:b/>
                                  <w:spacing w:val="-10"/>
                                  <w:w w:val="95"/>
                                  <w:sz w:val="36"/>
                                </w:rPr>
                                <w:t>9</w:t>
                              </w:r>
                            </w:p>
                          </w:txbxContent>
                        </wps:txbx>
                        <wps:bodyPr wrap="square" lIns="0" tIns="0" rIns="0" bIns="0" rtlCol="0">
                          <a:noAutofit/>
                        </wps:bodyPr>
                      </wps:wsp>
                    </wpg:wgp>
                  </a:graphicData>
                </a:graphic>
              </wp:anchor>
            </w:drawing>
          </mc:Choice>
          <mc:Fallback>
            <w:pict>
              <v:group style="position:absolute;margin-left:279.119995pt;margin-top:21.489994pt;width:57.4pt;height:51.6pt;mso-position-horizontal-relative:page;mso-position-vertical-relative:paragraph;z-index:-15645696;mso-wrap-distance-left:0;mso-wrap-distance-right:0" id="docshapegroup277" coordorigin="5582,430" coordsize="1148,1032">
                <v:shape style="position:absolute;left:5582;top:429;width:1148;height:1032" type="#_x0000_t75" id="docshape278" stroked="false">
                  <v:imagedata r:id="rId89" o:title=""/>
                </v:shape>
                <v:shape style="position:absolute;left:5582;top:429;width:1148;height:1032" type="#_x0000_t202" id="docshape279" filled="false" stroked="false">
                  <v:textbox inset="0,0,0,0">
                    <w:txbxContent>
                      <w:p>
                        <w:pPr>
                          <w:spacing w:before="350"/>
                          <w:ind w:left="42" w:right="102" w:firstLine="0"/>
                          <w:jc w:val="center"/>
                          <w:rPr>
                            <w:rFonts w:ascii="Tahoma"/>
                            <w:b/>
                            <w:sz w:val="36"/>
                          </w:rPr>
                        </w:pPr>
                        <w:r>
                          <w:rPr>
                            <w:rFonts w:ascii="Tahoma"/>
                            <w:b/>
                            <w:spacing w:val="-10"/>
                            <w:w w:val="95"/>
                            <w:sz w:val="36"/>
                          </w:rPr>
                          <w:t>9</w:t>
                        </w:r>
                      </w:p>
                    </w:txbxContent>
                  </v:textbox>
                  <w10:wrap type="none"/>
                </v:shape>
                <w10:wrap type="topAndBottom"/>
              </v:group>
            </w:pict>
          </mc:Fallback>
        </mc:AlternateContent>
      </w:r>
    </w:p>
    <w:p>
      <w:pPr>
        <w:pStyle w:val="Heading1"/>
        <w:spacing w:line="211" w:lineRule="auto" w:before="4"/>
        <w:ind w:left="1524" w:right="1526" w:hanging="2"/>
      </w:pPr>
      <w:r>
        <w:rPr/>
        <w:t>Silenced Voices and Ethical </w:t>
      </w:r>
      <w:r>
        <w:rPr>
          <w:spacing w:val="-10"/>
        </w:rPr>
        <w:t>Injustice:</w:t>
      </w:r>
      <w:r>
        <w:rPr>
          <w:spacing w:val="-14"/>
        </w:rPr>
        <w:t> </w:t>
      </w:r>
      <w:r>
        <w:rPr>
          <w:spacing w:val="-10"/>
        </w:rPr>
        <w:t>A</w:t>
      </w:r>
      <w:r>
        <w:rPr>
          <w:spacing w:val="-13"/>
        </w:rPr>
        <w:t> </w:t>
      </w:r>
      <w:r>
        <w:rPr>
          <w:spacing w:val="-10"/>
        </w:rPr>
        <w:t>Feminist</w:t>
      </w:r>
      <w:r>
        <w:rPr>
          <w:spacing w:val="-14"/>
        </w:rPr>
        <w:t> </w:t>
      </w:r>
      <w:r>
        <w:rPr>
          <w:spacing w:val="-10"/>
        </w:rPr>
        <w:t>Ethical</w:t>
      </w:r>
      <w:r>
        <w:rPr>
          <w:spacing w:val="-13"/>
        </w:rPr>
        <w:t> </w:t>
      </w:r>
      <w:r>
        <w:rPr>
          <w:spacing w:val="-10"/>
        </w:rPr>
        <w:t>Study</w:t>
      </w:r>
      <w:r>
        <w:rPr>
          <w:spacing w:val="-14"/>
        </w:rPr>
        <w:t> </w:t>
      </w:r>
      <w:r>
        <w:rPr>
          <w:spacing w:val="-10"/>
        </w:rPr>
        <w:t>of </w:t>
      </w:r>
      <w:r>
        <w:rPr/>
        <w:t>Desdemona In Shakespeare’s</w:t>
      </w:r>
    </w:p>
    <w:p>
      <w:pPr>
        <w:pStyle w:val="Heading2"/>
        <w:tabs>
          <w:tab w:pos="2332" w:val="left" w:leader="none"/>
          <w:tab w:pos="5759" w:val="left" w:leader="none"/>
        </w:tabs>
        <w:spacing w:line="353" w:lineRule="exact"/>
        <w:rPr>
          <w:u w:val="none"/>
        </w:rPr>
      </w:pPr>
      <w:r>
        <w:rPr>
          <w:rFonts w:ascii="Times New Roman"/>
          <w:b w:val="0"/>
          <w:i w:val="0"/>
          <w:u w:val="single"/>
        </w:rPr>
        <w:tab/>
      </w:r>
      <w:r>
        <w:rPr>
          <w:spacing w:val="-2"/>
          <w:u w:val="single"/>
        </w:rPr>
        <w:t>Othello</w:t>
      </w:r>
      <w:r>
        <w:rPr>
          <w:u w:val="single"/>
        </w:rPr>
        <w:tab/>
      </w:r>
    </w:p>
    <w:p>
      <w:pPr>
        <w:pStyle w:val="BodyText"/>
        <w:spacing w:before="6"/>
        <w:ind w:left="0"/>
        <w:rPr>
          <w:rFonts w:ascii="Cambria"/>
          <w:b/>
          <w:i/>
          <w:sz w:val="5"/>
        </w:rPr>
      </w:pPr>
      <w:r>
        <w:rPr>
          <w:rFonts w:ascii="Cambria"/>
          <w:b/>
          <w:i/>
          <w:sz w:val="5"/>
        </w:rPr>
        <mc:AlternateContent>
          <mc:Choice Requires="wps">
            <w:drawing>
              <wp:anchor distT="0" distB="0" distL="0" distR="0" allowOverlap="1" layoutInCell="1" locked="0" behindDoc="1" simplePos="0" relativeHeight="487671296">
                <wp:simplePos x="0" y="0"/>
                <wp:positionH relativeFrom="page">
                  <wp:posOffset>2057400</wp:posOffset>
                </wp:positionH>
                <wp:positionV relativeFrom="paragraph">
                  <wp:posOffset>56876</wp:posOffset>
                </wp:positionV>
                <wp:extent cx="3657600" cy="7620"/>
                <wp:effectExtent l="0" t="0" r="0" b="0"/>
                <wp:wrapTopAndBottom/>
                <wp:docPr id="284" name="Graphic 284"/>
                <wp:cNvGraphicFramePr>
                  <a:graphicFrameLocks/>
                </wp:cNvGraphicFramePr>
                <a:graphic>
                  <a:graphicData uri="http://schemas.microsoft.com/office/word/2010/wordprocessingShape">
                    <wps:wsp>
                      <wps:cNvPr id="284" name="Graphic 284"/>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478449pt;width:288.000009pt;height:.59999pt;mso-position-horizontal-relative:page;mso-position-vertical-relative:paragraph;z-index:-15645184;mso-wrap-distance-left:0;mso-wrap-distance-right:0" id="docshape280" filled="true" fillcolor="#000000" stroked="false">
                <v:fill type="solid"/>
                <w10:wrap type="topAndBottom"/>
              </v:rect>
            </w:pict>
          </mc:Fallback>
        </mc:AlternateContent>
      </w:r>
    </w:p>
    <w:p>
      <w:pPr>
        <w:pStyle w:val="BodyText"/>
        <w:spacing w:before="26"/>
        <w:ind w:left="0"/>
        <w:rPr>
          <w:rFonts w:ascii="Cambria"/>
          <w:b/>
          <w:i/>
          <w:sz w:val="32"/>
        </w:rPr>
      </w:pPr>
    </w:p>
    <w:p>
      <w:pPr>
        <w:spacing w:line="252" w:lineRule="auto" w:before="0"/>
        <w:ind w:left="1711" w:right="1436" w:firstLine="4423"/>
        <w:jc w:val="right"/>
        <w:rPr>
          <w:i/>
          <w:sz w:val="19"/>
        </w:rPr>
      </w:pPr>
      <w:r>
        <w:rPr>
          <w:b/>
          <w:i/>
          <w:sz w:val="22"/>
        </w:rPr>
        <w:t>T.</w:t>
      </w:r>
      <w:r>
        <w:rPr>
          <w:b/>
          <w:i/>
          <w:spacing w:val="27"/>
          <w:sz w:val="22"/>
        </w:rPr>
        <w:t> </w:t>
      </w:r>
      <w:r>
        <w:rPr>
          <w:b/>
          <w:i/>
          <w:sz w:val="22"/>
        </w:rPr>
        <w:t>Prakash </w:t>
      </w:r>
      <w:r>
        <w:rPr>
          <w:i/>
          <w:sz w:val="19"/>
        </w:rPr>
        <w:t>Assistant</w:t>
      </w:r>
      <w:r>
        <w:rPr>
          <w:i/>
          <w:spacing w:val="80"/>
          <w:sz w:val="19"/>
        </w:rPr>
        <w:t> </w:t>
      </w:r>
      <w:r>
        <w:rPr>
          <w:i/>
          <w:sz w:val="19"/>
        </w:rPr>
        <w:t>Professor</w:t>
      </w:r>
      <w:r>
        <w:rPr>
          <w:i/>
          <w:spacing w:val="80"/>
          <w:sz w:val="19"/>
        </w:rPr>
        <w:t> </w:t>
      </w:r>
      <w:r>
        <w:rPr>
          <w:i/>
          <w:sz w:val="19"/>
        </w:rPr>
        <w:t>of</w:t>
      </w:r>
      <w:r>
        <w:rPr>
          <w:i/>
          <w:spacing w:val="80"/>
          <w:sz w:val="19"/>
        </w:rPr>
        <w:t> </w:t>
      </w:r>
      <w:r>
        <w:rPr>
          <w:i/>
          <w:sz w:val="19"/>
        </w:rPr>
        <w:t>English,</w:t>
      </w:r>
      <w:r>
        <w:rPr>
          <w:i/>
          <w:spacing w:val="80"/>
          <w:sz w:val="19"/>
        </w:rPr>
        <w:t> </w:t>
      </w:r>
      <w:r>
        <w:rPr>
          <w:i/>
          <w:sz w:val="19"/>
        </w:rPr>
        <w:t>Nehru</w:t>
      </w:r>
      <w:r>
        <w:rPr>
          <w:i/>
          <w:spacing w:val="80"/>
          <w:sz w:val="19"/>
        </w:rPr>
        <w:t> </w:t>
      </w:r>
      <w:r>
        <w:rPr>
          <w:i/>
          <w:sz w:val="19"/>
        </w:rPr>
        <w:t>Memorial</w:t>
      </w:r>
      <w:r>
        <w:rPr>
          <w:i/>
          <w:spacing w:val="80"/>
          <w:sz w:val="19"/>
        </w:rPr>
        <w:t> </w:t>
      </w:r>
      <w:r>
        <w:rPr>
          <w:i/>
          <w:sz w:val="19"/>
        </w:rPr>
        <w:t>College, Affiliated</w:t>
      </w:r>
      <w:r>
        <w:rPr>
          <w:i/>
          <w:spacing w:val="77"/>
          <w:sz w:val="19"/>
        </w:rPr>
        <w:t> </w:t>
      </w:r>
      <w:r>
        <w:rPr>
          <w:i/>
          <w:sz w:val="19"/>
        </w:rPr>
        <w:t>to</w:t>
      </w:r>
      <w:r>
        <w:rPr>
          <w:i/>
          <w:spacing w:val="56"/>
          <w:w w:val="150"/>
          <w:sz w:val="19"/>
        </w:rPr>
        <w:t> </w:t>
      </w:r>
      <w:r>
        <w:rPr>
          <w:i/>
          <w:sz w:val="19"/>
        </w:rPr>
        <w:t>Bharathidasan</w:t>
      </w:r>
      <w:r>
        <w:rPr>
          <w:i/>
          <w:spacing w:val="56"/>
          <w:w w:val="150"/>
          <w:sz w:val="19"/>
        </w:rPr>
        <w:t> </w:t>
      </w:r>
      <w:r>
        <w:rPr>
          <w:i/>
          <w:sz w:val="19"/>
        </w:rPr>
        <w:t>University,</w:t>
      </w:r>
      <w:r>
        <w:rPr>
          <w:i/>
          <w:spacing w:val="56"/>
          <w:w w:val="150"/>
          <w:sz w:val="19"/>
        </w:rPr>
        <w:t> </w:t>
      </w:r>
      <w:r>
        <w:rPr>
          <w:i/>
          <w:sz w:val="19"/>
        </w:rPr>
        <w:t>Puthanampatti,</w:t>
      </w:r>
      <w:r>
        <w:rPr>
          <w:i/>
          <w:spacing w:val="57"/>
          <w:w w:val="150"/>
          <w:sz w:val="19"/>
        </w:rPr>
        <w:t> </w:t>
      </w:r>
      <w:r>
        <w:rPr>
          <w:i/>
          <w:spacing w:val="-2"/>
          <w:sz w:val="19"/>
        </w:rPr>
        <w:t>Thuraiyur</w:t>
      </w:r>
    </w:p>
    <w:p>
      <w:pPr>
        <w:spacing w:line="218" w:lineRule="exact" w:before="0"/>
        <w:ind w:left="0" w:right="1438" w:firstLine="0"/>
        <w:jc w:val="right"/>
        <w:rPr>
          <w:i/>
          <w:sz w:val="19"/>
        </w:rPr>
      </w:pPr>
      <w:r>
        <w:rPr>
          <w:i/>
          <w:sz w:val="19"/>
        </w:rPr>
        <w:t>Tk,</w:t>
      </w:r>
      <w:r>
        <w:rPr>
          <w:i/>
          <w:spacing w:val="46"/>
          <w:sz w:val="19"/>
        </w:rPr>
        <w:t> </w:t>
      </w:r>
      <w:r>
        <w:rPr>
          <w:i/>
          <w:sz w:val="19"/>
        </w:rPr>
        <w:t>Trichy</w:t>
      </w:r>
      <w:r>
        <w:rPr>
          <w:i/>
          <w:spacing w:val="45"/>
          <w:sz w:val="19"/>
        </w:rPr>
        <w:t> </w:t>
      </w:r>
      <w:r>
        <w:rPr>
          <w:i/>
          <w:sz w:val="19"/>
        </w:rPr>
        <w:t>Dt,</w:t>
      </w:r>
      <w:r>
        <w:rPr>
          <w:i/>
          <w:spacing w:val="47"/>
          <w:sz w:val="19"/>
        </w:rPr>
        <w:t> </w:t>
      </w:r>
      <w:r>
        <w:rPr>
          <w:i/>
          <w:sz w:val="19"/>
        </w:rPr>
        <w:t>Tamil</w:t>
      </w:r>
      <w:r>
        <w:rPr>
          <w:i/>
          <w:spacing w:val="46"/>
          <w:sz w:val="19"/>
        </w:rPr>
        <w:t> </w:t>
      </w:r>
      <w:r>
        <w:rPr>
          <w:i/>
          <w:sz w:val="19"/>
        </w:rPr>
        <w:t>Nadu</w:t>
      </w:r>
      <w:r>
        <w:rPr>
          <w:i/>
          <w:spacing w:val="49"/>
          <w:sz w:val="19"/>
        </w:rPr>
        <w:t> </w:t>
      </w:r>
      <w:r>
        <w:rPr>
          <w:i/>
          <w:sz w:val="19"/>
        </w:rPr>
        <w:t>–</w:t>
      </w:r>
      <w:r>
        <w:rPr>
          <w:i/>
          <w:spacing w:val="46"/>
          <w:sz w:val="19"/>
        </w:rPr>
        <w:t> </w:t>
      </w:r>
      <w:r>
        <w:rPr>
          <w:i/>
          <w:spacing w:val="-2"/>
          <w:sz w:val="19"/>
        </w:rPr>
        <w:t>621007</w:t>
      </w:r>
    </w:p>
    <w:p>
      <w:pPr>
        <w:pStyle w:val="BodyText"/>
        <w:spacing w:before="161"/>
        <w:ind w:left="0"/>
        <w:rPr>
          <w:i/>
          <w:sz w:val="19"/>
        </w:rPr>
      </w:pPr>
    </w:p>
    <w:p>
      <w:pPr>
        <w:pStyle w:val="Heading3"/>
        <w:spacing w:before="0"/>
      </w:pPr>
      <w:r>
        <w:rPr>
          <w:spacing w:val="-2"/>
        </w:rPr>
        <w:t>ABSTRACT</w:t>
      </w:r>
    </w:p>
    <w:p>
      <w:pPr>
        <w:pStyle w:val="BodyText"/>
        <w:spacing w:line="268" w:lineRule="auto" w:before="87"/>
        <w:ind w:right="1436" w:firstLine="432"/>
        <w:jc w:val="both"/>
      </w:pPr>
      <w:r>
        <w:rPr/>
        <w:t>Shakespeare’s Othello presents a complex exploration of gender, </w:t>
      </w:r>
      <w:r>
        <w:rPr>
          <w:spacing w:val="-2"/>
        </w:rPr>
        <w:t>power,</w:t>
      </w:r>
      <w:r>
        <w:rPr>
          <w:spacing w:val="-3"/>
        </w:rPr>
        <w:t> </w:t>
      </w:r>
      <w:r>
        <w:rPr>
          <w:spacing w:val="-2"/>
        </w:rPr>
        <w:t>and morality</w:t>
      </w:r>
      <w:r>
        <w:rPr>
          <w:spacing w:val="-7"/>
        </w:rPr>
        <w:t> </w:t>
      </w:r>
      <w:r>
        <w:rPr>
          <w:spacing w:val="-2"/>
        </w:rPr>
        <w:t>within</w:t>
      </w:r>
      <w:r>
        <w:rPr>
          <w:spacing w:val="-5"/>
        </w:rPr>
        <w:t> </w:t>
      </w:r>
      <w:r>
        <w:rPr>
          <w:spacing w:val="-2"/>
        </w:rPr>
        <w:t>a</w:t>
      </w:r>
      <w:r>
        <w:rPr>
          <w:spacing w:val="-4"/>
        </w:rPr>
        <w:t> </w:t>
      </w:r>
      <w:r>
        <w:rPr>
          <w:spacing w:val="-2"/>
        </w:rPr>
        <w:t>patriarchal</w:t>
      </w:r>
      <w:r>
        <w:rPr>
          <w:spacing w:val="-4"/>
        </w:rPr>
        <w:t> </w:t>
      </w:r>
      <w:r>
        <w:rPr>
          <w:spacing w:val="-2"/>
        </w:rPr>
        <w:t>society.</w:t>
      </w:r>
      <w:r>
        <w:rPr>
          <w:spacing w:val="-7"/>
        </w:rPr>
        <w:t> </w:t>
      </w:r>
      <w:r>
        <w:rPr>
          <w:spacing w:val="-2"/>
        </w:rPr>
        <w:t>This</w:t>
      </w:r>
      <w:r>
        <w:rPr>
          <w:spacing w:val="-3"/>
        </w:rPr>
        <w:t> </w:t>
      </w:r>
      <w:r>
        <w:rPr>
          <w:spacing w:val="-2"/>
        </w:rPr>
        <w:t>paper</w:t>
      </w:r>
      <w:r>
        <w:rPr>
          <w:spacing w:val="-3"/>
        </w:rPr>
        <w:t> </w:t>
      </w:r>
      <w:r>
        <w:rPr>
          <w:spacing w:val="-2"/>
        </w:rPr>
        <w:t>examines</w:t>
      </w:r>
      <w:r>
        <w:rPr>
          <w:spacing w:val="-5"/>
        </w:rPr>
        <w:t> </w:t>
      </w:r>
      <w:r>
        <w:rPr>
          <w:spacing w:val="-2"/>
        </w:rPr>
        <w:t>the </w:t>
      </w:r>
      <w:r>
        <w:rPr/>
        <w:t>character of Desdemona through the lens of feminist ethics, focusing</w:t>
      </w:r>
      <w:r>
        <w:rPr>
          <w:spacing w:val="80"/>
        </w:rPr>
        <w:t> </w:t>
      </w:r>
      <w:r>
        <w:rPr/>
        <w:t>on how her voice is marginalized and ultimately silenced within the structures of male authority. Drawing on feminist ethical theories, particularly those of care ethics and gender justice, the study analyzes Desdemona’s moral position as one rooted in compassion, loyalty, and relational integrity. Despite her ethical strength, she becomes a victim of systemic injustice shaped by patriarchal norms and male insecurity. The</w:t>
      </w:r>
      <w:r>
        <w:rPr>
          <w:spacing w:val="-1"/>
        </w:rPr>
        <w:t> </w:t>
      </w:r>
      <w:r>
        <w:rPr/>
        <w:t>paper</w:t>
      </w:r>
      <w:r>
        <w:rPr>
          <w:spacing w:val="-2"/>
        </w:rPr>
        <w:t> </w:t>
      </w:r>
      <w:r>
        <w:rPr/>
        <w:t>argues</w:t>
      </w:r>
      <w:r>
        <w:rPr>
          <w:spacing w:val="-4"/>
        </w:rPr>
        <w:t> </w:t>
      </w:r>
      <w:r>
        <w:rPr/>
        <w:t>that</w:t>
      </w:r>
      <w:r>
        <w:rPr>
          <w:spacing w:val="-2"/>
        </w:rPr>
        <w:t> </w:t>
      </w:r>
      <w:r>
        <w:rPr/>
        <w:t>Desdemona’s</w:t>
      </w:r>
      <w:r>
        <w:rPr>
          <w:spacing w:val="-2"/>
        </w:rPr>
        <w:t> </w:t>
      </w:r>
      <w:r>
        <w:rPr/>
        <w:t>tragedy</w:t>
      </w:r>
      <w:r>
        <w:rPr>
          <w:spacing w:val="-7"/>
        </w:rPr>
        <w:t> </w:t>
      </w:r>
      <w:r>
        <w:rPr/>
        <w:t>lies</w:t>
      </w:r>
      <w:r>
        <w:rPr>
          <w:spacing w:val="-4"/>
        </w:rPr>
        <w:t> </w:t>
      </w:r>
      <w:r>
        <w:rPr/>
        <w:t>not</w:t>
      </w:r>
      <w:r>
        <w:rPr>
          <w:spacing w:val="-2"/>
        </w:rPr>
        <w:t> </w:t>
      </w:r>
      <w:r>
        <w:rPr/>
        <w:t>in</w:t>
      </w:r>
      <w:r>
        <w:rPr>
          <w:spacing w:val="-4"/>
        </w:rPr>
        <w:t> </w:t>
      </w:r>
      <w:r>
        <w:rPr/>
        <w:t>moral</w:t>
      </w:r>
      <w:r>
        <w:rPr>
          <w:spacing w:val="-2"/>
        </w:rPr>
        <w:t> </w:t>
      </w:r>
      <w:r>
        <w:rPr/>
        <w:t>failure</w:t>
      </w:r>
      <w:r>
        <w:rPr>
          <w:spacing w:val="-3"/>
        </w:rPr>
        <w:t> </w:t>
      </w:r>
      <w:r>
        <w:rPr/>
        <w:t>but in</w:t>
      </w:r>
      <w:r>
        <w:rPr>
          <w:spacing w:val="-1"/>
        </w:rPr>
        <w:t> </w:t>
      </w:r>
      <w:r>
        <w:rPr/>
        <w:t>the ethical blindness of the society</w:t>
      </w:r>
      <w:r>
        <w:rPr>
          <w:spacing w:val="-1"/>
        </w:rPr>
        <w:t> </w:t>
      </w:r>
      <w:r>
        <w:rPr/>
        <w:t>that surrounds her. Through</w:t>
      </w:r>
      <w:r>
        <w:rPr>
          <w:spacing w:val="-1"/>
        </w:rPr>
        <w:t> </w:t>
      </w:r>
      <w:r>
        <w:rPr/>
        <w:t>close textual analysis and theoretical engagement, the study highlights how Shakespeare’s play exposes the consequences of silencing women’s voices</w:t>
      </w:r>
      <w:r>
        <w:rPr>
          <w:spacing w:val="40"/>
        </w:rPr>
        <w:t> </w:t>
      </w:r>
      <w:r>
        <w:rPr/>
        <w:t>and</w:t>
      </w:r>
      <w:r>
        <w:rPr>
          <w:spacing w:val="40"/>
        </w:rPr>
        <w:t> </w:t>
      </w:r>
      <w:r>
        <w:rPr/>
        <w:t>challenges</w:t>
      </w:r>
      <w:r>
        <w:rPr>
          <w:spacing w:val="40"/>
        </w:rPr>
        <w:t> </w:t>
      </w:r>
      <w:r>
        <w:rPr/>
        <w:t>the</w:t>
      </w:r>
      <w:r>
        <w:rPr>
          <w:spacing w:val="40"/>
        </w:rPr>
        <w:t> </w:t>
      </w:r>
      <w:r>
        <w:rPr/>
        <w:t>ethical</w:t>
      </w:r>
      <w:r>
        <w:rPr>
          <w:spacing w:val="40"/>
        </w:rPr>
        <w:t> </w:t>
      </w:r>
      <w:r>
        <w:rPr/>
        <w:t>assumptions</w:t>
      </w:r>
      <w:r>
        <w:rPr>
          <w:spacing w:val="40"/>
        </w:rPr>
        <w:t> </w:t>
      </w:r>
      <w:r>
        <w:rPr/>
        <w:t>of</w:t>
      </w:r>
      <w:r>
        <w:rPr>
          <w:spacing w:val="40"/>
        </w:rPr>
        <w:t> </w:t>
      </w:r>
      <w:r>
        <w:rPr/>
        <w:t>gendered</w:t>
      </w:r>
      <w:r>
        <w:rPr>
          <w:spacing w:val="40"/>
        </w:rPr>
        <w:t> </w:t>
      </w:r>
      <w:r>
        <w:rPr/>
        <w:t>power.</w:t>
      </w:r>
    </w:p>
    <w:p>
      <w:pPr>
        <w:pStyle w:val="BodyText"/>
        <w:spacing w:line="271" w:lineRule="auto" w:before="64"/>
        <w:ind w:right="1440" w:firstLine="432"/>
        <w:jc w:val="both"/>
      </w:pPr>
      <w:r>
        <w:rPr>
          <w:b/>
          <w:spacing w:val="-6"/>
        </w:rPr>
        <w:t>Keywords:</w:t>
      </w:r>
      <w:r>
        <w:rPr>
          <w:b/>
        </w:rPr>
        <w:t> </w:t>
      </w:r>
      <w:r>
        <w:rPr>
          <w:spacing w:val="-6"/>
        </w:rPr>
        <w:t>Feminist</w:t>
      </w:r>
      <w:r>
        <w:rPr/>
        <w:t> </w:t>
      </w:r>
      <w:r>
        <w:rPr>
          <w:spacing w:val="-6"/>
        </w:rPr>
        <w:t>Ethics, Desdemona, Patriarchy,</w:t>
      </w:r>
      <w:r>
        <w:rPr/>
        <w:t> </w:t>
      </w:r>
      <w:r>
        <w:rPr>
          <w:spacing w:val="-6"/>
        </w:rPr>
        <w:t>Ethical</w:t>
      </w:r>
      <w:r>
        <w:rPr/>
        <w:t> </w:t>
      </w:r>
      <w:r>
        <w:rPr>
          <w:spacing w:val="-6"/>
        </w:rPr>
        <w:t>Injustice, </w:t>
      </w:r>
      <w:r>
        <w:rPr/>
        <w:t>Shakespearean Drama</w:t>
      </w:r>
    </w:p>
    <w:p>
      <w:pPr>
        <w:pStyle w:val="BodyText"/>
        <w:spacing w:after="0" w:line="271"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5813120">
                <wp:simplePos x="0" y="0"/>
                <wp:positionH relativeFrom="page">
                  <wp:posOffset>2057400</wp:posOffset>
                </wp:positionH>
                <wp:positionV relativeFrom="paragraph">
                  <wp:posOffset>226097</wp:posOffset>
                </wp:positionV>
                <wp:extent cx="3657600" cy="12700"/>
                <wp:effectExtent l="0" t="0" r="0" b="0"/>
                <wp:wrapNone/>
                <wp:docPr id="285" name="Graphic 285"/>
                <wp:cNvGraphicFramePr>
                  <a:graphicFrameLocks/>
                </wp:cNvGraphicFramePr>
                <a:graphic>
                  <a:graphicData uri="http://schemas.microsoft.com/office/word/2010/wordprocessingShape">
                    <wps:wsp>
                      <wps:cNvPr id="285" name="Graphic 28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5813120" id="docshape281" filled="true" fillcolor="#000000" stroked="false">
                <v:fill type="solid"/>
                <w10:wrap type="none"/>
              </v:rect>
            </w:pict>
          </mc:Fallback>
        </mc:AlternateContent>
      </w:r>
      <w:r>
        <w:rPr>
          <w:rFonts w:ascii="Verdana"/>
          <w:spacing w:val="-5"/>
          <w:w w:val="95"/>
          <w:sz w:val="18"/>
        </w:rPr>
        <w:t>90</w:t>
      </w:r>
    </w:p>
    <w:p>
      <w:pPr>
        <w:pStyle w:val="BodyText"/>
        <w:spacing w:before="10"/>
        <w:ind w:left="0"/>
        <w:rPr>
          <w:rFonts w:ascii="Verdana"/>
          <w:sz w:val="18"/>
        </w:rPr>
      </w:pPr>
    </w:p>
    <w:p>
      <w:pPr>
        <w:pStyle w:val="Heading3"/>
        <w:spacing w:before="1"/>
      </w:pPr>
      <w:r>
        <w:rPr>
          <w:spacing w:val="-2"/>
          <w:w w:val="85"/>
        </w:rPr>
        <w:t>INTRODUCTION</w:t>
      </w:r>
    </w:p>
    <w:p>
      <w:pPr>
        <w:spacing w:before="100"/>
        <w:ind w:left="1189"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3091" w:space="40"/>
            <w:col w:w="5509"/>
          </w:cols>
        </w:sectPr>
      </w:pPr>
    </w:p>
    <w:p>
      <w:pPr>
        <w:pStyle w:val="BodyText"/>
        <w:spacing w:line="271" w:lineRule="auto" w:before="87"/>
        <w:ind w:right="1439" w:firstLine="432"/>
        <w:jc w:val="both"/>
      </w:pPr>
      <w:r>
        <w:rPr/>
        <w:t>William</w:t>
      </w:r>
      <w:r>
        <w:rPr>
          <w:spacing w:val="-4"/>
        </w:rPr>
        <w:t> </w:t>
      </w:r>
      <w:r>
        <w:rPr/>
        <w:t>Shakespeare’s </w:t>
      </w:r>
      <w:r>
        <w:rPr>
          <w:i/>
        </w:rPr>
        <w:t>Othello </w:t>
      </w:r>
      <w:r>
        <w:rPr/>
        <w:t>is often</w:t>
      </w:r>
      <w:r>
        <w:rPr>
          <w:spacing w:val="-1"/>
        </w:rPr>
        <w:t> </w:t>
      </w:r>
      <w:r>
        <w:rPr/>
        <w:t>interpreted as a tragedy</w:t>
      </w:r>
      <w:r>
        <w:rPr>
          <w:spacing w:val="-1"/>
        </w:rPr>
        <w:t> </w:t>
      </w:r>
      <w:r>
        <w:rPr/>
        <w:t>of jealousy and manipulation, yet it also offers a profound critique of gender relations and ethical injustice. Within the patriarchal framework </w:t>
      </w:r>
      <w:r>
        <w:rPr>
          <w:spacing w:val="-2"/>
        </w:rPr>
        <w:t>of</w:t>
      </w:r>
      <w:r>
        <w:rPr>
          <w:spacing w:val="-6"/>
        </w:rPr>
        <w:t> </w:t>
      </w:r>
      <w:r>
        <w:rPr>
          <w:spacing w:val="-2"/>
        </w:rPr>
        <w:t>the</w:t>
      </w:r>
      <w:r>
        <w:rPr>
          <w:spacing w:val="-5"/>
        </w:rPr>
        <w:t> </w:t>
      </w:r>
      <w:r>
        <w:rPr>
          <w:spacing w:val="-2"/>
        </w:rPr>
        <w:t>play,</w:t>
      </w:r>
      <w:r>
        <w:rPr>
          <w:spacing w:val="-4"/>
        </w:rPr>
        <w:t> </w:t>
      </w:r>
      <w:r>
        <w:rPr>
          <w:spacing w:val="-2"/>
        </w:rPr>
        <w:t>Desdemona</w:t>
      </w:r>
      <w:r>
        <w:rPr>
          <w:spacing w:val="-4"/>
        </w:rPr>
        <w:t> </w:t>
      </w:r>
      <w:r>
        <w:rPr>
          <w:spacing w:val="-2"/>
        </w:rPr>
        <w:t>emerges</w:t>
      </w:r>
      <w:r>
        <w:rPr>
          <w:spacing w:val="-6"/>
        </w:rPr>
        <w:t> </w:t>
      </w:r>
      <w:r>
        <w:rPr>
          <w:spacing w:val="-2"/>
        </w:rPr>
        <w:t>as</w:t>
      </w:r>
      <w:r>
        <w:rPr>
          <w:spacing w:val="-8"/>
        </w:rPr>
        <w:t> </w:t>
      </w:r>
      <w:r>
        <w:rPr>
          <w:spacing w:val="-2"/>
        </w:rPr>
        <w:t>a</w:t>
      </w:r>
      <w:r>
        <w:rPr>
          <w:spacing w:val="-5"/>
        </w:rPr>
        <w:t> </w:t>
      </w:r>
      <w:r>
        <w:rPr>
          <w:spacing w:val="-2"/>
        </w:rPr>
        <w:t>figure</w:t>
      </w:r>
      <w:r>
        <w:rPr>
          <w:spacing w:val="-5"/>
        </w:rPr>
        <w:t> </w:t>
      </w:r>
      <w:r>
        <w:rPr>
          <w:spacing w:val="-2"/>
        </w:rPr>
        <w:t>whose</w:t>
      </w:r>
      <w:r>
        <w:rPr>
          <w:spacing w:val="-5"/>
        </w:rPr>
        <w:t> </w:t>
      </w:r>
      <w:r>
        <w:rPr>
          <w:spacing w:val="-2"/>
        </w:rPr>
        <w:t>moral</w:t>
      </w:r>
      <w:r>
        <w:rPr>
          <w:spacing w:val="-7"/>
        </w:rPr>
        <w:t> </w:t>
      </w:r>
      <w:r>
        <w:rPr>
          <w:spacing w:val="-2"/>
        </w:rPr>
        <w:t>clarity</w:t>
      </w:r>
      <w:r>
        <w:rPr>
          <w:spacing w:val="-6"/>
        </w:rPr>
        <w:t> </w:t>
      </w:r>
      <w:r>
        <w:rPr>
          <w:spacing w:val="-2"/>
        </w:rPr>
        <w:t>contrasts sharply</w:t>
      </w:r>
      <w:r>
        <w:rPr>
          <w:spacing w:val="-10"/>
        </w:rPr>
        <w:t> </w:t>
      </w:r>
      <w:r>
        <w:rPr>
          <w:spacing w:val="-2"/>
        </w:rPr>
        <w:t>with</w:t>
      </w:r>
      <w:r>
        <w:rPr>
          <w:spacing w:val="-7"/>
        </w:rPr>
        <w:t> </w:t>
      </w:r>
      <w:r>
        <w:rPr>
          <w:spacing w:val="-2"/>
        </w:rPr>
        <w:t>the</w:t>
      </w:r>
      <w:r>
        <w:rPr>
          <w:spacing w:val="-6"/>
        </w:rPr>
        <w:t> </w:t>
      </w:r>
      <w:r>
        <w:rPr>
          <w:spacing w:val="-2"/>
        </w:rPr>
        <w:t>flawed</w:t>
      </w:r>
      <w:r>
        <w:rPr>
          <w:spacing w:val="-5"/>
        </w:rPr>
        <w:t> </w:t>
      </w:r>
      <w:r>
        <w:rPr>
          <w:spacing w:val="-2"/>
        </w:rPr>
        <w:t>ethics</w:t>
      </w:r>
      <w:r>
        <w:rPr>
          <w:spacing w:val="-7"/>
        </w:rPr>
        <w:t> </w:t>
      </w:r>
      <w:r>
        <w:rPr>
          <w:spacing w:val="-2"/>
        </w:rPr>
        <w:t>of</w:t>
      </w:r>
      <w:r>
        <w:rPr>
          <w:spacing w:val="-10"/>
        </w:rPr>
        <w:t> </w:t>
      </w:r>
      <w:r>
        <w:rPr>
          <w:spacing w:val="-2"/>
        </w:rPr>
        <w:t>the</w:t>
      </w:r>
      <w:r>
        <w:rPr>
          <w:spacing w:val="-7"/>
        </w:rPr>
        <w:t> </w:t>
      </w:r>
      <w:r>
        <w:rPr>
          <w:spacing w:val="-2"/>
        </w:rPr>
        <w:t>male</w:t>
      </w:r>
      <w:r>
        <w:rPr>
          <w:spacing w:val="-6"/>
        </w:rPr>
        <w:t> </w:t>
      </w:r>
      <w:r>
        <w:rPr>
          <w:spacing w:val="-2"/>
        </w:rPr>
        <w:t>characters</w:t>
      </w:r>
      <w:r>
        <w:rPr>
          <w:spacing w:val="-7"/>
        </w:rPr>
        <w:t> </w:t>
      </w:r>
      <w:r>
        <w:rPr>
          <w:spacing w:val="-2"/>
        </w:rPr>
        <w:t>around</w:t>
      </w:r>
      <w:r>
        <w:rPr>
          <w:spacing w:val="-5"/>
        </w:rPr>
        <w:t> </w:t>
      </w:r>
      <w:r>
        <w:rPr>
          <w:spacing w:val="-2"/>
        </w:rPr>
        <w:t>her.</w:t>
      </w:r>
      <w:r>
        <w:rPr>
          <w:spacing w:val="-7"/>
        </w:rPr>
        <w:t> </w:t>
      </w:r>
      <w:r>
        <w:rPr>
          <w:spacing w:val="-2"/>
        </w:rPr>
        <w:t>Feminist </w:t>
      </w:r>
      <w:r>
        <w:rPr>
          <w:spacing w:val="-4"/>
        </w:rPr>
        <w:t>ethics,</w:t>
      </w:r>
      <w:r>
        <w:rPr>
          <w:spacing w:val="-9"/>
        </w:rPr>
        <w:t> </w:t>
      </w:r>
      <w:r>
        <w:rPr>
          <w:spacing w:val="-4"/>
        </w:rPr>
        <w:t>which</w:t>
      </w:r>
      <w:r>
        <w:rPr>
          <w:spacing w:val="-7"/>
        </w:rPr>
        <w:t> </w:t>
      </w:r>
      <w:r>
        <w:rPr>
          <w:spacing w:val="-4"/>
        </w:rPr>
        <w:t>emphasizes</w:t>
      </w:r>
      <w:r>
        <w:rPr>
          <w:spacing w:val="-9"/>
        </w:rPr>
        <w:t> </w:t>
      </w:r>
      <w:r>
        <w:rPr>
          <w:spacing w:val="-4"/>
        </w:rPr>
        <w:t>care, relational</w:t>
      </w:r>
      <w:r>
        <w:rPr>
          <w:spacing w:val="-6"/>
        </w:rPr>
        <w:t> </w:t>
      </w:r>
      <w:r>
        <w:rPr>
          <w:spacing w:val="-4"/>
        </w:rPr>
        <w:t>responsibility,</w:t>
      </w:r>
      <w:r>
        <w:rPr>
          <w:spacing w:val="-7"/>
        </w:rPr>
        <w:t> </w:t>
      </w:r>
      <w:r>
        <w:rPr>
          <w:spacing w:val="-4"/>
        </w:rPr>
        <w:t>and the importance </w:t>
      </w:r>
      <w:r>
        <w:rPr/>
        <w:t>of voice, provides a critical framework for understanding her role.</w:t>
      </w:r>
    </w:p>
    <w:p>
      <w:pPr>
        <w:pStyle w:val="BodyText"/>
        <w:spacing w:line="271" w:lineRule="auto" w:before="60"/>
        <w:ind w:right="1434" w:firstLine="432"/>
        <w:jc w:val="both"/>
      </w:pPr>
      <w:r>
        <w:rPr>
          <w:spacing w:val="-2"/>
        </w:rPr>
        <w:t>As</w:t>
      </w:r>
      <w:r>
        <w:rPr>
          <w:spacing w:val="-11"/>
        </w:rPr>
        <w:t> </w:t>
      </w:r>
      <w:r>
        <w:rPr>
          <w:spacing w:val="-2"/>
        </w:rPr>
        <w:t>Carol</w:t>
      </w:r>
      <w:r>
        <w:rPr>
          <w:spacing w:val="-10"/>
        </w:rPr>
        <w:t> </w:t>
      </w:r>
      <w:r>
        <w:rPr>
          <w:spacing w:val="-2"/>
        </w:rPr>
        <w:t>Gilligan</w:t>
      </w:r>
      <w:r>
        <w:rPr>
          <w:spacing w:val="-11"/>
        </w:rPr>
        <w:t> </w:t>
      </w:r>
      <w:r>
        <w:rPr>
          <w:spacing w:val="-2"/>
        </w:rPr>
        <w:t>argues,</w:t>
      </w:r>
      <w:r>
        <w:rPr>
          <w:spacing w:val="-10"/>
        </w:rPr>
        <w:t> </w:t>
      </w:r>
      <w:r>
        <w:rPr>
          <w:spacing w:val="-2"/>
        </w:rPr>
        <w:t>“the</w:t>
      </w:r>
      <w:r>
        <w:rPr>
          <w:spacing w:val="-11"/>
        </w:rPr>
        <w:t> </w:t>
      </w:r>
      <w:r>
        <w:rPr>
          <w:spacing w:val="-2"/>
        </w:rPr>
        <w:t>moral</w:t>
      </w:r>
      <w:r>
        <w:rPr>
          <w:spacing w:val="-10"/>
        </w:rPr>
        <w:t> </w:t>
      </w:r>
      <w:r>
        <w:rPr>
          <w:spacing w:val="-2"/>
        </w:rPr>
        <w:t>problem</w:t>
      </w:r>
      <w:r>
        <w:rPr>
          <w:spacing w:val="-11"/>
        </w:rPr>
        <w:t> </w:t>
      </w:r>
      <w:r>
        <w:rPr>
          <w:spacing w:val="-2"/>
        </w:rPr>
        <w:t>arises</w:t>
      </w:r>
      <w:r>
        <w:rPr>
          <w:spacing w:val="-10"/>
        </w:rPr>
        <w:t> </w:t>
      </w:r>
      <w:r>
        <w:rPr>
          <w:spacing w:val="-2"/>
        </w:rPr>
        <w:t>from</w:t>
      </w:r>
      <w:r>
        <w:rPr>
          <w:spacing w:val="-11"/>
        </w:rPr>
        <w:t> </w:t>
      </w:r>
      <w:r>
        <w:rPr>
          <w:spacing w:val="-2"/>
        </w:rPr>
        <w:t>conflicting </w:t>
      </w:r>
      <w:r>
        <w:rPr/>
        <w:t>responsibilities rather than competing rights” (Gilligan 19). This perspective is particularly relevant to Desdemona, whose actions are guided not by authority or dominance but by empathy and relational commitment. However, her ethical voice is consistently undermined, misinterpreted, and ultimately silenced. This paper explores how Desdemona’s marginalization reflects broader patterns of gendered injustice and ethical exclusion within the play.</w:t>
      </w:r>
    </w:p>
    <w:p>
      <w:pPr>
        <w:pStyle w:val="Heading3"/>
        <w:spacing w:before="155"/>
      </w:pPr>
      <w:r>
        <w:rPr>
          <w:w w:val="90"/>
        </w:rPr>
        <w:t>OBJECTIVES</w:t>
      </w:r>
      <w:r>
        <w:rPr>
          <w:spacing w:val="3"/>
        </w:rPr>
        <w:t> </w:t>
      </w:r>
      <w:r>
        <w:rPr>
          <w:w w:val="90"/>
        </w:rPr>
        <w:t>OF</w:t>
      </w:r>
      <w:r>
        <w:rPr>
          <w:spacing w:val="1"/>
        </w:rPr>
        <w:t> </w:t>
      </w:r>
      <w:r>
        <w:rPr>
          <w:w w:val="90"/>
        </w:rPr>
        <w:t>THE</w:t>
      </w:r>
      <w:r>
        <w:rPr>
          <w:spacing w:val="3"/>
        </w:rPr>
        <w:t> </w:t>
      </w:r>
      <w:r>
        <w:rPr>
          <w:spacing w:val="-2"/>
          <w:w w:val="90"/>
        </w:rPr>
        <w:t>STUDY</w:t>
      </w:r>
    </w:p>
    <w:p>
      <w:pPr>
        <w:pStyle w:val="ListParagraph"/>
        <w:numPr>
          <w:ilvl w:val="0"/>
          <w:numId w:val="19"/>
        </w:numPr>
        <w:tabs>
          <w:tab w:pos="2158" w:val="left" w:leader="none"/>
          <w:tab w:pos="2160" w:val="left" w:leader="none"/>
        </w:tabs>
        <w:spacing w:line="271" w:lineRule="auto" w:before="100" w:after="0"/>
        <w:ind w:left="2160" w:right="1441" w:hanging="315"/>
        <w:jc w:val="left"/>
        <w:rPr>
          <w:sz w:val="20"/>
        </w:rPr>
      </w:pPr>
      <w:r>
        <w:rPr>
          <w:sz w:val="20"/>
        </w:rPr>
        <w:t>To</w:t>
      </w:r>
      <w:r>
        <w:rPr>
          <w:spacing w:val="-7"/>
          <w:sz w:val="20"/>
        </w:rPr>
        <w:t> </w:t>
      </w:r>
      <w:r>
        <w:rPr>
          <w:sz w:val="20"/>
        </w:rPr>
        <w:t>analyze</w:t>
      </w:r>
      <w:r>
        <w:rPr>
          <w:spacing w:val="-10"/>
          <w:sz w:val="20"/>
        </w:rPr>
        <w:t> </w:t>
      </w:r>
      <w:r>
        <w:rPr>
          <w:sz w:val="20"/>
        </w:rPr>
        <w:t>Desdemona’s</w:t>
      </w:r>
      <w:r>
        <w:rPr>
          <w:spacing w:val="-7"/>
          <w:sz w:val="20"/>
        </w:rPr>
        <w:t> </w:t>
      </w:r>
      <w:r>
        <w:rPr>
          <w:sz w:val="20"/>
        </w:rPr>
        <w:t>character</w:t>
      </w:r>
      <w:r>
        <w:rPr>
          <w:spacing w:val="-9"/>
          <w:sz w:val="20"/>
        </w:rPr>
        <w:t> </w:t>
      </w:r>
      <w:r>
        <w:rPr>
          <w:sz w:val="20"/>
        </w:rPr>
        <w:t>through</w:t>
      </w:r>
      <w:r>
        <w:rPr>
          <w:spacing w:val="-9"/>
          <w:sz w:val="20"/>
        </w:rPr>
        <w:t> </w:t>
      </w:r>
      <w:r>
        <w:rPr>
          <w:sz w:val="20"/>
        </w:rPr>
        <w:t>the</w:t>
      </w:r>
      <w:r>
        <w:rPr>
          <w:spacing w:val="-6"/>
          <w:sz w:val="20"/>
        </w:rPr>
        <w:t> </w:t>
      </w:r>
      <w:r>
        <w:rPr>
          <w:sz w:val="20"/>
        </w:rPr>
        <w:t>lens</w:t>
      </w:r>
      <w:r>
        <w:rPr>
          <w:spacing w:val="-10"/>
          <w:sz w:val="20"/>
        </w:rPr>
        <w:t> </w:t>
      </w:r>
      <w:r>
        <w:rPr>
          <w:sz w:val="20"/>
        </w:rPr>
        <w:t>of</w:t>
      </w:r>
      <w:r>
        <w:rPr>
          <w:spacing w:val="-9"/>
          <w:sz w:val="20"/>
        </w:rPr>
        <w:t> </w:t>
      </w:r>
      <w:r>
        <w:rPr>
          <w:sz w:val="20"/>
        </w:rPr>
        <w:t>feminist </w:t>
      </w:r>
      <w:r>
        <w:rPr>
          <w:spacing w:val="-2"/>
          <w:sz w:val="20"/>
        </w:rPr>
        <w:t>ethics.</w:t>
      </w:r>
    </w:p>
    <w:p>
      <w:pPr>
        <w:pStyle w:val="ListParagraph"/>
        <w:numPr>
          <w:ilvl w:val="0"/>
          <w:numId w:val="19"/>
        </w:numPr>
        <w:tabs>
          <w:tab w:pos="2158" w:val="left" w:leader="none"/>
          <w:tab w:pos="2160" w:val="left" w:leader="none"/>
        </w:tabs>
        <w:spacing w:line="273" w:lineRule="auto" w:before="56" w:after="0"/>
        <w:ind w:left="2160" w:right="1439" w:hanging="315"/>
        <w:jc w:val="left"/>
        <w:rPr>
          <w:sz w:val="20"/>
        </w:rPr>
      </w:pPr>
      <w:r>
        <w:rPr>
          <w:sz w:val="20"/>
        </w:rPr>
        <w:t>To</w:t>
      </w:r>
      <w:r>
        <w:rPr>
          <w:spacing w:val="-5"/>
          <w:sz w:val="20"/>
        </w:rPr>
        <w:t> </w:t>
      </w:r>
      <w:r>
        <w:rPr>
          <w:sz w:val="20"/>
        </w:rPr>
        <w:t>examine</w:t>
      </w:r>
      <w:r>
        <w:rPr>
          <w:spacing w:val="-4"/>
          <w:sz w:val="20"/>
        </w:rPr>
        <w:t> </w:t>
      </w:r>
      <w:r>
        <w:rPr>
          <w:sz w:val="20"/>
        </w:rPr>
        <w:t>how</w:t>
      </w:r>
      <w:r>
        <w:rPr>
          <w:spacing w:val="-8"/>
          <w:sz w:val="20"/>
        </w:rPr>
        <w:t> </w:t>
      </w:r>
      <w:r>
        <w:rPr>
          <w:sz w:val="20"/>
        </w:rPr>
        <w:t>patriarchal</w:t>
      </w:r>
      <w:r>
        <w:rPr>
          <w:spacing w:val="-6"/>
          <w:sz w:val="20"/>
        </w:rPr>
        <w:t> </w:t>
      </w:r>
      <w:r>
        <w:rPr>
          <w:sz w:val="20"/>
        </w:rPr>
        <w:t>structures</w:t>
      </w:r>
      <w:r>
        <w:rPr>
          <w:spacing w:val="-6"/>
          <w:sz w:val="20"/>
        </w:rPr>
        <w:t> </w:t>
      </w:r>
      <w:r>
        <w:rPr>
          <w:sz w:val="20"/>
        </w:rPr>
        <w:t>silence</w:t>
      </w:r>
      <w:r>
        <w:rPr>
          <w:spacing w:val="-5"/>
          <w:sz w:val="20"/>
        </w:rPr>
        <w:t> </w:t>
      </w:r>
      <w:r>
        <w:rPr>
          <w:sz w:val="20"/>
        </w:rPr>
        <w:t>female</w:t>
      </w:r>
      <w:r>
        <w:rPr>
          <w:spacing w:val="-4"/>
          <w:sz w:val="20"/>
        </w:rPr>
        <w:t> </w:t>
      </w:r>
      <w:r>
        <w:rPr>
          <w:sz w:val="20"/>
        </w:rPr>
        <w:t>voices</w:t>
      </w:r>
      <w:r>
        <w:rPr>
          <w:spacing w:val="-6"/>
          <w:sz w:val="20"/>
        </w:rPr>
        <w:t> </w:t>
      </w:r>
      <w:r>
        <w:rPr>
          <w:sz w:val="20"/>
        </w:rPr>
        <w:t>in </w:t>
      </w:r>
      <w:r>
        <w:rPr>
          <w:i/>
          <w:spacing w:val="-2"/>
          <w:sz w:val="20"/>
        </w:rPr>
        <w:t>Othello</w:t>
      </w:r>
      <w:r>
        <w:rPr>
          <w:spacing w:val="-2"/>
          <w:sz w:val="20"/>
        </w:rPr>
        <w:t>.</w:t>
      </w:r>
    </w:p>
    <w:p>
      <w:pPr>
        <w:pStyle w:val="ListParagraph"/>
        <w:numPr>
          <w:ilvl w:val="0"/>
          <w:numId w:val="19"/>
        </w:numPr>
        <w:tabs>
          <w:tab w:pos="2158" w:val="left" w:leader="none"/>
          <w:tab w:pos="2160" w:val="left" w:leader="none"/>
        </w:tabs>
        <w:spacing w:line="273" w:lineRule="auto" w:before="54" w:after="0"/>
        <w:ind w:left="2160" w:right="1440" w:hanging="315"/>
        <w:jc w:val="left"/>
        <w:rPr>
          <w:sz w:val="20"/>
        </w:rPr>
      </w:pPr>
      <w:r>
        <w:rPr>
          <w:sz w:val="20"/>
        </w:rPr>
        <w:t>To explore the ethical contrast between Desdemona and male authority</w:t>
      </w:r>
      <w:r>
        <w:rPr>
          <w:spacing w:val="40"/>
          <w:sz w:val="20"/>
        </w:rPr>
        <w:t> </w:t>
      </w:r>
      <w:r>
        <w:rPr>
          <w:sz w:val="20"/>
        </w:rPr>
        <w:t>figures.</w:t>
      </w:r>
    </w:p>
    <w:p>
      <w:pPr>
        <w:pStyle w:val="ListParagraph"/>
        <w:numPr>
          <w:ilvl w:val="0"/>
          <w:numId w:val="19"/>
        </w:numPr>
        <w:tabs>
          <w:tab w:pos="2158" w:val="left" w:leader="none"/>
          <w:tab w:pos="2160" w:val="left" w:leader="none"/>
        </w:tabs>
        <w:spacing w:line="271" w:lineRule="auto" w:before="54" w:after="0"/>
        <w:ind w:left="2160" w:right="1438" w:hanging="315"/>
        <w:jc w:val="left"/>
        <w:rPr>
          <w:sz w:val="20"/>
        </w:rPr>
      </w:pPr>
      <w:r>
        <w:rPr>
          <w:sz w:val="20"/>
        </w:rPr>
        <w:t>To</w:t>
      </w:r>
      <w:r>
        <w:rPr>
          <w:spacing w:val="40"/>
          <w:sz w:val="20"/>
        </w:rPr>
        <w:t> </w:t>
      </w:r>
      <w:r>
        <w:rPr>
          <w:sz w:val="20"/>
        </w:rPr>
        <w:t>highlight</w:t>
      </w:r>
      <w:r>
        <w:rPr>
          <w:spacing w:val="40"/>
          <w:sz w:val="20"/>
        </w:rPr>
        <w:t> </w:t>
      </w:r>
      <w:r>
        <w:rPr>
          <w:sz w:val="20"/>
        </w:rPr>
        <w:t>the</w:t>
      </w:r>
      <w:r>
        <w:rPr>
          <w:spacing w:val="40"/>
          <w:sz w:val="20"/>
        </w:rPr>
        <w:t> </w:t>
      </w:r>
      <w:r>
        <w:rPr>
          <w:sz w:val="20"/>
        </w:rPr>
        <w:t>relevance</w:t>
      </w:r>
      <w:r>
        <w:rPr>
          <w:spacing w:val="40"/>
          <w:sz w:val="20"/>
        </w:rPr>
        <w:t> </w:t>
      </w:r>
      <w:r>
        <w:rPr>
          <w:sz w:val="20"/>
        </w:rPr>
        <w:t>of</w:t>
      </w:r>
      <w:r>
        <w:rPr>
          <w:spacing w:val="40"/>
          <w:sz w:val="20"/>
        </w:rPr>
        <w:t> </w:t>
      </w:r>
      <w:r>
        <w:rPr>
          <w:sz w:val="20"/>
        </w:rPr>
        <w:t>care</w:t>
      </w:r>
      <w:r>
        <w:rPr>
          <w:spacing w:val="40"/>
          <w:sz w:val="20"/>
        </w:rPr>
        <w:t> </w:t>
      </w:r>
      <w:r>
        <w:rPr>
          <w:sz w:val="20"/>
        </w:rPr>
        <w:t>ethics</w:t>
      </w:r>
      <w:r>
        <w:rPr>
          <w:spacing w:val="40"/>
          <w:sz w:val="20"/>
        </w:rPr>
        <w:t> </w:t>
      </w:r>
      <w:r>
        <w:rPr>
          <w:sz w:val="20"/>
        </w:rPr>
        <w:t>in</w:t>
      </w:r>
      <w:r>
        <w:rPr>
          <w:spacing w:val="40"/>
          <w:sz w:val="20"/>
        </w:rPr>
        <w:t> </w:t>
      </w:r>
      <w:r>
        <w:rPr>
          <w:sz w:val="20"/>
        </w:rPr>
        <w:t>understanding Shakespearean drama.</w:t>
      </w:r>
    </w:p>
    <w:p>
      <w:pPr>
        <w:pStyle w:val="Heading3"/>
        <w:spacing w:before="157"/>
      </w:pPr>
      <w:r>
        <w:rPr>
          <w:w w:val="90"/>
        </w:rPr>
        <w:t>RESEARCH</w:t>
      </w:r>
      <w:r>
        <w:rPr>
          <w:spacing w:val="9"/>
        </w:rPr>
        <w:t> </w:t>
      </w:r>
      <w:r>
        <w:rPr>
          <w:spacing w:val="-2"/>
        </w:rPr>
        <w:t>METHODOLOGY</w:t>
      </w:r>
    </w:p>
    <w:p>
      <w:pPr>
        <w:pStyle w:val="BodyText"/>
        <w:spacing w:line="280" w:lineRule="auto" w:before="104"/>
        <w:ind w:right="1437" w:firstLine="432"/>
        <w:jc w:val="both"/>
      </w:pPr>
      <w:r>
        <w:rPr/>
        <w:t>This study adopts a qualitative and analytical approach, using </w:t>
      </w:r>
      <w:r>
        <w:rPr>
          <w:spacing w:val="-2"/>
        </w:rPr>
        <w:t>close</w:t>
      </w:r>
      <w:r>
        <w:rPr>
          <w:spacing w:val="-11"/>
        </w:rPr>
        <w:t> </w:t>
      </w:r>
      <w:r>
        <w:rPr>
          <w:spacing w:val="-2"/>
        </w:rPr>
        <w:t>textual</w:t>
      </w:r>
      <w:r>
        <w:rPr>
          <w:spacing w:val="-10"/>
        </w:rPr>
        <w:t> </w:t>
      </w:r>
      <w:r>
        <w:rPr>
          <w:spacing w:val="-2"/>
        </w:rPr>
        <w:t>analysis</w:t>
      </w:r>
      <w:r>
        <w:rPr>
          <w:spacing w:val="-11"/>
        </w:rPr>
        <w:t> </w:t>
      </w:r>
      <w:r>
        <w:rPr>
          <w:spacing w:val="-2"/>
        </w:rPr>
        <w:t>of</w:t>
      </w:r>
      <w:r>
        <w:rPr>
          <w:spacing w:val="-10"/>
        </w:rPr>
        <w:t> </w:t>
      </w:r>
      <w:r>
        <w:rPr>
          <w:i/>
          <w:spacing w:val="-2"/>
        </w:rPr>
        <w:t>Othello</w:t>
      </w:r>
      <w:r>
        <w:rPr>
          <w:i/>
          <w:spacing w:val="-11"/>
        </w:rPr>
        <w:t> </w:t>
      </w:r>
      <w:r>
        <w:rPr>
          <w:spacing w:val="-2"/>
        </w:rPr>
        <w:t>alongside</w:t>
      </w:r>
      <w:r>
        <w:rPr>
          <w:spacing w:val="-10"/>
        </w:rPr>
        <w:t> </w:t>
      </w:r>
      <w:r>
        <w:rPr>
          <w:spacing w:val="-2"/>
        </w:rPr>
        <w:t>feminist</w:t>
      </w:r>
      <w:r>
        <w:rPr>
          <w:spacing w:val="-11"/>
        </w:rPr>
        <w:t> </w:t>
      </w:r>
      <w:r>
        <w:rPr>
          <w:spacing w:val="-2"/>
        </w:rPr>
        <w:t>ethical</w:t>
      </w:r>
      <w:r>
        <w:rPr>
          <w:spacing w:val="-10"/>
        </w:rPr>
        <w:t> </w:t>
      </w:r>
      <w:r>
        <w:rPr>
          <w:spacing w:val="-2"/>
        </w:rPr>
        <w:t>theory.</w:t>
      </w:r>
      <w:r>
        <w:rPr>
          <w:spacing w:val="-11"/>
        </w:rPr>
        <w:t> </w:t>
      </w:r>
      <w:r>
        <w:rPr>
          <w:spacing w:val="-2"/>
        </w:rPr>
        <w:t>Primary </w:t>
      </w:r>
      <w:r>
        <w:rPr/>
        <w:t>focus is placed on Desdemona’s dialogue and actions, while secondary sources include works on feminist criticism, ethics, and Shakespearean studies. The research integrates theoretical perspectives from scholars such as</w:t>
      </w:r>
      <w:r>
        <w:rPr>
          <w:spacing w:val="-2"/>
        </w:rPr>
        <w:t> </w:t>
      </w:r>
      <w:r>
        <w:rPr/>
        <w:t>Carol Gilligan, Nel</w:t>
      </w:r>
      <w:r>
        <w:rPr>
          <w:spacing w:val="-1"/>
        </w:rPr>
        <w:t> </w:t>
      </w:r>
      <w:r>
        <w:rPr/>
        <w:t>Noddings, and Judith Butler to interpret the ethical dimensions of the text.</w:t>
      </w:r>
    </w:p>
    <w:p>
      <w:pPr>
        <w:pStyle w:val="BodyText"/>
        <w:spacing w:after="0" w:line="280" w:lineRule="auto"/>
        <w:jc w:val="both"/>
        <w:sectPr>
          <w:type w:val="continuous"/>
          <w:pgSz w:w="12240" w:h="15840"/>
          <w:pgMar w:top="138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spacing w:before="0"/>
        <w:ind w:left="1440" w:right="0" w:firstLine="0"/>
        <w:jc w:val="both"/>
        <w:rPr>
          <w:rFonts w:ascii="Verdana"/>
          <w:sz w:val="18"/>
        </w:rPr>
      </w:pPr>
      <w:r>
        <w:rPr>
          <w:rFonts w:ascii="Verdana"/>
          <w:sz w:val="18"/>
        </w:rPr>
        <mc:AlternateContent>
          <mc:Choice Requires="wps">
            <w:drawing>
              <wp:anchor distT="0" distB="0" distL="0" distR="0" allowOverlap="1" layoutInCell="1" locked="0" behindDoc="1" simplePos="0" relativeHeight="487672832">
                <wp:simplePos x="0" y="0"/>
                <wp:positionH relativeFrom="page">
                  <wp:posOffset>2065020</wp:posOffset>
                </wp:positionH>
                <wp:positionV relativeFrom="paragraph">
                  <wp:posOffset>162604</wp:posOffset>
                </wp:positionV>
                <wp:extent cx="3657600" cy="12700"/>
                <wp:effectExtent l="0" t="0" r="0" b="0"/>
                <wp:wrapTopAndBottom/>
                <wp:docPr id="286" name="Graphic 286"/>
                <wp:cNvGraphicFramePr>
                  <a:graphicFrameLocks/>
                </wp:cNvGraphicFramePr>
                <a:graphic>
                  <a:graphicData uri="http://schemas.microsoft.com/office/word/2010/wordprocessingShape">
                    <wps:wsp>
                      <wps:cNvPr id="286" name="Graphic 28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43648;mso-wrap-distance-left:0;mso-wrap-distance-right:0" id="docshape282" filled="true" fillcolor="#000000" stroked="false">
                <v:fill type="solid"/>
                <w10:wrap type="topAndBottom"/>
              </v:rect>
            </w:pict>
          </mc:Fallback>
        </mc:AlternateContent>
      </w:r>
      <w:r>
        <w:rPr>
          <w:rFonts w:ascii="Verdana"/>
          <w:sz w:val="18"/>
        </w:rPr>
        <w:t>Silenced</w:t>
      </w:r>
      <w:r>
        <w:rPr>
          <w:rFonts w:ascii="Verdana"/>
          <w:spacing w:val="-5"/>
          <w:sz w:val="18"/>
        </w:rPr>
        <w:t> </w:t>
      </w:r>
      <w:r>
        <w:rPr>
          <w:rFonts w:ascii="Verdana"/>
          <w:sz w:val="18"/>
        </w:rPr>
        <w:t>Voices</w:t>
      </w:r>
      <w:r>
        <w:rPr>
          <w:rFonts w:ascii="Verdana"/>
          <w:spacing w:val="-2"/>
          <w:sz w:val="18"/>
        </w:rPr>
        <w:t> </w:t>
      </w:r>
      <w:r>
        <w:rPr>
          <w:rFonts w:ascii="Verdana"/>
          <w:sz w:val="18"/>
        </w:rPr>
        <w:t>and</w:t>
      </w:r>
      <w:r>
        <w:rPr>
          <w:rFonts w:ascii="Verdana"/>
          <w:spacing w:val="-4"/>
          <w:sz w:val="18"/>
        </w:rPr>
        <w:t> </w:t>
      </w:r>
      <w:r>
        <w:rPr>
          <w:rFonts w:ascii="Verdana"/>
          <w:sz w:val="18"/>
        </w:rPr>
        <w:t>Ethical</w:t>
      </w:r>
      <w:r>
        <w:rPr>
          <w:rFonts w:ascii="Verdana"/>
          <w:spacing w:val="-3"/>
          <w:sz w:val="18"/>
        </w:rPr>
        <w:t> </w:t>
      </w:r>
      <w:r>
        <w:rPr>
          <w:rFonts w:ascii="Verdana"/>
          <w:sz w:val="18"/>
        </w:rPr>
        <w:t>Injustice:</w:t>
      </w:r>
      <w:r>
        <w:rPr>
          <w:rFonts w:ascii="Verdana"/>
          <w:spacing w:val="-4"/>
          <w:sz w:val="18"/>
        </w:rPr>
        <w:t> </w:t>
      </w:r>
      <w:r>
        <w:rPr>
          <w:rFonts w:ascii="Verdana"/>
          <w:sz w:val="18"/>
        </w:rPr>
        <w:t>A</w:t>
      </w:r>
      <w:r>
        <w:rPr>
          <w:rFonts w:ascii="Verdana"/>
          <w:spacing w:val="-9"/>
          <w:sz w:val="18"/>
        </w:rPr>
        <w:t> </w:t>
      </w:r>
      <w:r>
        <w:rPr>
          <w:rFonts w:ascii="Verdana"/>
          <w:sz w:val="18"/>
        </w:rPr>
        <w:t>Feminist</w:t>
      </w:r>
      <w:r>
        <w:rPr>
          <w:rFonts w:ascii="Verdana"/>
          <w:spacing w:val="-4"/>
          <w:sz w:val="18"/>
        </w:rPr>
        <w:t> </w:t>
      </w:r>
      <w:r>
        <w:rPr>
          <w:rFonts w:ascii="Verdana"/>
          <w:sz w:val="18"/>
        </w:rPr>
        <w:t>Ethical...</w:t>
      </w:r>
      <w:r>
        <w:rPr>
          <w:spacing w:val="67"/>
          <w:w w:val="150"/>
          <w:sz w:val="18"/>
        </w:rPr>
        <w:t>  </w:t>
      </w:r>
      <w:r>
        <w:rPr>
          <w:rFonts w:ascii="Verdana"/>
          <w:spacing w:val="-5"/>
          <w:sz w:val="18"/>
        </w:rPr>
        <w:t>91</w:t>
      </w:r>
    </w:p>
    <w:p>
      <w:pPr>
        <w:pStyle w:val="Heading3"/>
        <w:spacing w:line="244" w:lineRule="auto"/>
        <w:ind w:right="1439"/>
        <w:jc w:val="both"/>
        <w:rPr>
          <w:rFonts w:ascii="Cambria" w:hAnsi="Cambria"/>
          <w:i/>
        </w:rPr>
      </w:pPr>
      <w:r>
        <w:rPr>
          <w:w w:val="85"/>
        </w:rPr>
        <w:t>SILENCED VOICES AND ETHICAL INJUSTICE: A FEMINIST </w:t>
      </w:r>
      <w:r>
        <w:rPr>
          <w:spacing w:val="-10"/>
        </w:rPr>
        <w:t>ETHICAL</w:t>
      </w:r>
      <w:r>
        <w:rPr>
          <w:spacing w:val="-5"/>
        </w:rPr>
        <w:t> </w:t>
      </w:r>
      <w:r>
        <w:rPr>
          <w:spacing w:val="-10"/>
        </w:rPr>
        <w:t>STUDY</w:t>
      </w:r>
      <w:r>
        <w:rPr>
          <w:spacing w:val="-4"/>
        </w:rPr>
        <w:t> </w:t>
      </w:r>
      <w:r>
        <w:rPr>
          <w:spacing w:val="-10"/>
        </w:rPr>
        <w:t>OF</w:t>
      </w:r>
      <w:r>
        <w:rPr>
          <w:spacing w:val="-4"/>
        </w:rPr>
        <w:t> </w:t>
      </w:r>
      <w:r>
        <w:rPr>
          <w:spacing w:val="-10"/>
        </w:rPr>
        <w:t>DESDEMONA</w:t>
      </w:r>
      <w:r>
        <w:rPr>
          <w:spacing w:val="-4"/>
        </w:rPr>
        <w:t> </w:t>
      </w:r>
      <w:r>
        <w:rPr>
          <w:spacing w:val="-10"/>
        </w:rPr>
        <w:t>IN</w:t>
      </w:r>
      <w:r>
        <w:rPr>
          <w:spacing w:val="-4"/>
        </w:rPr>
        <w:t> </w:t>
      </w:r>
      <w:r>
        <w:rPr>
          <w:spacing w:val="-10"/>
        </w:rPr>
        <w:t>SHAKESPEARE’S </w:t>
      </w:r>
      <w:r>
        <w:rPr>
          <w:rFonts w:ascii="Cambria" w:hAnsi="Cambria"/>
          <w:i/>
          <w:spacing w:val="-2"/>
        </w:rPr>
        <w:t>OTHELLO</w:t>
      </w:r>
    </w:p>
    <w:p>
      <w:pPr>
        <w:pStyle w:val="BodyText"/>
        <w:spacing w:line="249" w:lineRule="auto" w:before="63"/>
        <w:ind w:right="1438" w:firstLine="432"/>
        <w:jc w:val="both"/>
      </w:pPr>
      <w:r>
        <w:rPr/>
        <w:t>Desdemona’s character in </w:t>
      </w:r>
      <w:r>
        <w:rPr>
          <w:i/>
        </w:rPr>
        <w:t>Othello </w:t>
      </w:r>
      <w:r>
        <w:rPr/>
        <w:t>represents a form of ethical integrity</w:t>
      </w:r>
      <w:r>
        <w:rPr>
          <w:spacing w:val="-11"/>
        </w:rPr>
        <w:t> </w:t>
      </w:r>
      <w:r>
        <w:rPr/>
        <w:t>grounded</w:t>
      </w:r>
      <w:r>
        <w:rPr>
          <w:spacing w:val="-9"/>
        </w:rPr>
        <w:t> </w:t>
      </w:r>
      <w:r>
        <w:rPr/>
        <w:t>in</w:t>
      </w:r>
      <w:r>
        <w:rPr>
          <w:spacing w:val="-9"/>
        </w:rPr>
        <w:t> </w:t>
      </w:r>
      <w:r>
        <w:rPr/>
        <w:t>care,</w:t>
      </w:r>
      <w:r>
        <w:rPr>
          <w:spacing w:val="-8"/>
        </w:rPr>
        <w:t> </w:t>
      </w:r>
      <w:r>
        <w:rPr/>
        <w:t>empathy,</w:t>
      </w:r>
      <w:r>
        <w:rPr>
          <w:spacing w:val="-9"/>
        </w:rPr>
        <w:t> </w:t>
      </w:r>
      <w:r>
        <w:rPr/>
        <w:t>and</w:t>
      </w:r>
      <w:r>
        <w:rPr>
          <w:spacing w:val="-8"/>
        </w:rPr>
        <w:t> </w:t>
      </w:r>
      <w:r>
        <w:rPr/>
        <w:t>relational</w:t>
      </w:r>
      <w:r>
        <w:rPr>
          <w:spacing w:val="-8"/>
        </w:rPr>
        <w:t> </w:t>
      </w:r>
      <w:r>
        <w:rPr/>
        <w:t>commitment,</w:t>
      </w:r>
      <w:r>
        <w:rPr>
          <w:spacing w:val="-9"/>
        </w:rPr>
        <w:t> </w:t>
      </w:r>
      <w:r>
        <w:rPr/>
        <w:t>yet</w:t>
      </w:r>
      <w:r>
        <w:rPr>
          <w:spacing w:val="-9"/>
        </w:rPr>
        <w:t> </w:t>
      </w:r>
      <w:r>
        <w:rPr/>
        <w:t>this very</w:t>
      </w:r>
      <w:r>
        <w:rPr>
          <w:spacing w:val="-5"/>
        </w:rPr>
        <w:t> </w:t>
      </w:r>
      <w:r>
        <w:rPr/>
        <w:t>ethical</w:t>
      </w:r>
      <w:r>
        <w:rPr>
          <w:spacing w:val="-4"/>
        </w:rPr>
        <w:t> </w:t>
      </w:r>
      <w:r>
        <w:rPr/>
        <w:t>framework</w:t>
      </w:r>
      <w:r>
        <w:rPr>
          <w:spacing w:val="-3"/>
        </w:rPr>
        <w:t> </w:t>
      </w:r>
      <w:r>
        <w:rPr/>
        <w:t>becomes</w:t>
      </w:r>
      <w:r>
        <w:rPr>
          <w:spacing w:val="-5"/>
        </w:rPr>
        <w:t> </w:t>
      </w:r>
      <w:r>
        <w:rPr/>
        <w:t>the</w:t>
      </w:r>
      <w:r>
        <w:rPr>
          <w:spacing w:val="-2"/>
        </w:rPr>
        <w:t> </w:t>
      </w:r>
      <w:r>
        <w:rPr/>
        <w:t>basis</w:t>
      </w:r>
      <w:r>
        <w:rPr>
          <w:spacing w:val="-3"/>
        </w:rPr>
        <w:t> </w:t>
      </w:r>
      <w:r>
        <w:rPr/>
        <w:t>of</w:t>
      </w:r>
      <w:r>
        <w:rPr>
          <w:spacing w:val="-3"/>
        </w:rPr>
        <w:t> </w:t>
      </w:r>
      <w:r>
        <w:rPr/>
        <w:t>her</w:t>
      </w:r>
      <w:r>
        <w:rPr>
          <w:spacing w:val="-3"/>
        </w:rPr>
        <w:t> </w:t>
      </w:r>
      <w:r>
        <w:rPr/>
        <w:t>marginalization</w:t>
      </w:r>
      <w:r>
        <w:rPr>
          <w:spacing w:val="-2"/>
        </w:rPr>
        <w:t> </w:t>
      </w:r>
      <w:r>
        <w:rPr/>
        <w:t>within a patriarchal society. From the beginning of the play, her voice is subjected to scrutiny</w:t>
      </w:r>
      <w:r>
        <w:rPr>
          <w:spacing w:val="-2"/>
        </w:rPr>
        <w:t> </w:t>
      </w:r>
      <w:r>
        <w:rPr/>
        <w:t>and control. When she asserts her choice to marry Othello, she articulates a moral reasoning that reflects autonomy and relational understanding: “I do perceive here a divided duty” (</w:t>
      </w:r>
      <w:r>
        <w:rPr>
          <w:i/>
        </w:rPr>
        <w:t>Othello </w:t>
      </w:r>
      <w:r>
        <w:rPr/>
        <w:t>1.3.180). This statement reveals her ability to negotiate between filial obligation</w:t>
      </w:r>
      <w:r>
        <w:rPr>
          <w:spacing w:val="-3"/>
        </w:rPr>
        <w:t> </w:t>
      </w:r>
      <w:r>
        <w:rPr/>
        <w:t>and</w:t>
      </w:r>
      <w:r>
        <w:rPr>
          <w:spacing w:val="-3"/>
        </w:rPr>
        <w:t> </w:t>
      </w:r>
      <w:r>
        <w:rPr/>
        <w:t>marital</w:t>
      </w:r>
      <w:r>
        <w:rPr>
          <w:spacing w:val="-3"/>
        </w:rPr>
        <w:t> </w:t>
      </w:r>
      <w:r>
        <w:rPr/>
        <w:t>commitment,</w:t>
      </w:r>
      <w:r>
        <w:rPr>
          <w:spacing w:val="-3"/>
        </w:rPr>
        <w:t> </w:t>
      </w:r>
      <w:r>
        <w:rPr/>
        <w:t>aligning</w:t>
      </w:r>
      <w:r>
        <w:rPr>
          <w:spacing w:val="-5"/>
        </w:rPr>
        <w:t> </w:t>
      </w:r>
      <w:r>
        <w:rPr/>
        <w:t>with</w:t>
      </w:r>
      <w:r>
        <w:rPr>
          <w:spacing w:val="-3"/>
        </w:rPr>
        <w:t> </w:t>
      </w:r>
      <w:r>
        <w:rPr/>
        <w:t>Gilligan’s</w:t>
      </w:r>
      <w:r>
        <w:rPr>
          <w:spacing w:val="-7"/>
        </w:rPr>
        <w:t> </w:t>
      </w:r>
      <w:r>
        <w:rPr/>
        <w:t>notion</w:t>
      </w:r>
      <w:r>
        <w:rPr>
          <w:spacing w:val="-3"/>
        </w:rPr>
        <w:t> </w:t>
      </w:r>
      <w:r>
        <w:rPr/>
        <w:t>that moral</w:t>
      </w:r>
      <w:r>
        <w:rPr>
          <w:spacing w:val="-2"/>
        </w:rPr>
        <w:t> </w:t>
      </w:r>
      <w:r>
        <w:rPr/>
        <w:t>reasoning</w:t>
      </w:r>
      <w:r>
        <w:rPr>
          <w:spacing w:val="-2"/>
        </w:rPr>
        <w:t> </w:t>
      </w:r>
      <w:r>
        <w:rPr/>
        <w:t>is</w:t>
      </w:r>
      <w:r>
        <w:rPr>
          <w:spacing w:val="-4"/>
        </w:rPr>
        <w:t> </w:t>
      </w:r>
      <w:r>
        <w:rPr/>
        <w:t>rooted</w:t>
      </w:r>
      <w:r>
        <w:rPr>
          <w:spacing w:val="-1"/>
        </w:rPr>
        <w:t> </w:t>
      </w:r>
      <w:r>
        <w:rPr/>
        <w:t>in</w:t>
      </w:r>
      <w:r>
        <w:rPr>
          <w:spacing w:val="-2"/>
        </w:rPr>
        <w:t> </w:t>
      </w:r>
      <w:r>
        <w:rPr/>
        <w:t>relationships</w:t>
      </w:r>
      <w:r>
        <w:rPr>
          <w:spacing w:val="-2"/>
        </w:rPr>
        <w:t> </w:t>
      </w:r>
      <w:r>
        <w:rPr/>
        <w:t>rather</w:t>
      </w:r>
      <w:r>
        <w:rPr>
          <w:spacing w:val="-2"/>
        </w:rPr>
        <w:t> </w:t>
      </w:r>
      <w:r>
        <w:rPr/>
        <w:t>than</w:t>
      </w:r>
      <w:r>
        <w:rPr>
          <w:spacing w:val="-2"/>
        </w:rPr>
        <w:t> </w:t>
      </w:r>
      <w:r>
        <w:rPr/>
        <w:t>abstract</w:t>
      </w:r>
      <w:r>
        <w:rPr>
          <w:spacing w:val="-1"/>
        </w:rPr>
        <w:t> </w:t>
      </w:r>
      <w:r>
        <w:rPr/>
        <w:t>principles (Gilligan</w:t>
      </w:r>
      <w:r>
        <w:rPr>
          <w:spacing w:val="-23"/>
        </w:rPr>
        <w:t> </w:t>
      </w:r>
      <w:r>
        <w:rPr/>
        <w:t>32).</w:t>
      </w:r>
    </w:p>
    <w:p>
      <w:pPr>
        <w:pStyle w:val="BodyText"/>
        <w:spacing w:line="249" w:lineRule="auto" w:before="67"/>
        <w:ind w:right="1437" w:firstLine="432"/>
        <w:jc w:val="both"/>
      </w:pPr>
      <w:r>
        <w:rPr/>
        <w:t>Desdemona’s voice, though initially assertive, gradually becomes constrained within the male-dominated discourse of the play. Othello, who once admired her, begins to interpret her silence and speech through the lens of suspicion. His ethical judgment is shaped not by evidence but by patriarchal assumptions about female fidelity. As he declares, “She’s gone, I am abused” (</w:t>
      </w:r>
      <w:r>
        <w:rPr>
          <w:i/>
        </w:rPr>
        <w:t>Othello </w:t>
      </w:r>
      <w:r>
        <w:rPr/>
        <w:t>3.3.267), his reasoning reflects</w:t>
      </w:r>
      <w:r>
        <w:rPr>
          <w:spacing w:val="-3"/>
        </w:rPr>
        <w:t> </w:t>
      </w:r>
      <w:r>
        <w:rPr/>
        <w:t>what</w:t>
      </w:r>
      <w:r>
        <w:rPr>
          <w:spacing w:val="-1"/>
        </w:rPr>
        <w:t> </w:t>
      </w:r>
      <w:r>
        <w:rPr/>
        <w:t>feminist</w:t>
      </w:r>
      <w:r>
        <w:rPr>
          <w:spacing w:val="-1"/>
        </w:rPr>
        <w:t> </w:t>
      </w:r>
      <w:r>
        <w:rPr/>
        <w:t>theorists</w:t>
      </w:r>
      <w:r>
        <w:rPr>
          <w:spacing w:val="-1"/>
        </w:rPr>
        <w:t> </w:t>
      </w:r>
      <w:r>
        <w:rPr/>
        <w:t>identify</w:t>
      </w:r>
      <w:r>
        <w:rPr>
          <w:spacing w:val="-4"/>
        </w:rPr>
        <w:t> </w:t>
      </w:r>
      <w:r>
        <w:rPr/>
        <w:t>as</w:t>
      </w:r>
      <w:r>
        <w:rPr>
          <w:spacing w:val="-3"/>
        </w:rPr>
        <w:t> </w:t>
      </w:r>
      <w:r>
        <w:rPr/>
        <w:t>a failure to recognize</w:t>
      </w:r>
      <w:r>
        <w:rPr>
          <w:spacing w:val="-1"/>
        </w:rPr>
        <w:t> </w:t>
      </w:r>
      <w:r>
        <w:rPr/>
        <w:t>women as ethical subjects. Simone de Beauvoir argues that “woman is defined and differentiated with reference to man and not he with reference to her” (de Beauvoir 6), a dynamic that is evident in Othello’s perception of Desdemona as an object of possession rather than an autonomous </w:t>
      </w:r>
      <w:r>
        <w:rPr>
          <w:spacing w:val="-2"/>
        </w:rPr>
        <w:t>individual.</w:t>
      </w:r>
    </w:p>
    <w:p>
      <w:pPr>
        <w:pStyle w:val="BodyText"/>
        <w:spacing w:line="249" w:lineRule="auto" w:before="70"/>
        <w:ind w:right="1436" w:firstLine="432"/>
        <w:jc w:val="both"/>
      </w:pPr>
      <w:r>
        <w:rPr/>
        <w:t>The ethical injustice faced by</w:t>
      </w:r>
      <w:r>
        <w:rPr>
          <w:spacing w:val="-3"/>
        </w:rPr>
        <w:t> </w:t>
      </w:r>
      <w:r>
        <w:rPr/>
        <w:t>Desdemona is further intensified by the manipulation of Iago, whose rhetoric exploits patriarchal anxieties. Yet, the tragedy does not arise solely from deception; it emerges from</w:t>
      </w:r>
      <w:r>
        <w:rPr>
          <w:spacing w:val="80"/>
        </w:rPr>
        <w:t> </w:t>
      </w:r>
      <w:r>
        <w:rPr/>
        <w:t>a broader ethical failure to listen to and trust women’s voices. Nel Noddings emphasizes that “caring requires attention and receptivity” (Noddings 17), qualities that are absent in Othello’s treatment of Desdemona. Instead of engaging in dialogue, he imposes judgment, transforming</w:t>
      </w:r>
      <w:r>
        <w:rPr>
          <w:spacing w:val="40"/>
        </w:rPr>
        <w:t> </w:t>
      </w:r>
      <w:r>
        <w:rPr/>
        <w:t>love</w:t>
      </w:r>
      <w:r>
        <w:rPr>
          <w:spacing w:val="40"/>
        </w:rPr>
        <w:t> </w:t>
      </w:r>
      <w:r>
        <w:rPr/>
        <w:t>into</w:t>
      </w:r>
      <w:r>
        <w:rPr>
          <w:spacing w:val="40"/>
        </w:rPr>
        <w:t> </w:t>
      </w:r>
      <w:r>
        <w:rPr/>
        <w:t>control</w:t>
      </w:r>
      <w:r>
        <w:rPr>
          <w:spacing w:val="40"/>
        </w:rPr>
        <w:t> </w:t>
      </w:r>
      <w:r>
        <w:rPr/>
        <w:t>and</w:t>
      </w:r>
      <w:r>
        <w:rPr>
          <w:spacing w:val="40"/>
        </w:rPr>
        <w:t> </w:t>
      </w:r>
      <w:r>
        <w:rPr/>
        <w:t>suspicion.</w:t>
      </w:r>
    </w:p>
    <w:p>
      <w:pPr>
        <w:pStyle w:val="BodyText"/>
        <w:spacing w:line="249" w:lineRule="auto" w:before="64"/>
        <w:ind w:right="1438" w:firstLine="432"/>
        <w:jc w:val="both"/>
      </w:pPr>
      <w:r>
        <w:rPr/>
        <w:t>Desdemona’s responses throughout the play illustrate her adherence to an ethic of care. Even when confronted with Othello’s accusations, she remains compassionate and loyal, stating, “His unkindness may defeat my life, / But never taint my love” (</w:t>
      </w:r>
      <w:r>
        <w:rPr>
          <w:i/>
        </w:rPr>
        <w:t>Othello </w:t>
      </w:r>
      <w:r>
        <w:rPr>
          <w:spacing w:val="-4"/>
        </w:rPr>
        <w:t>4.2.161–162).</w:t>
      </w:r>
      <w:r>
        <w:rPr>
          <w:spacing w:val="4"/>
        </w:rPr>
        <w:t> </w:t>
      </w:r>
      <w:r>
        <w:rPr>
          <w:spacing w:val="-4"/>
        </w:rPr>
        <w:t>This</w:t>
      </w:r>
      <w:r>
        <w:rPr>
          <w:spacing w:val="1"/>
        </w:rPr>
        <w:t> </w:t>
      </w:r>
      <w:r>
        <w:rPr>
          <w:spacing w:val="-4"/>
        </w:rPr>
        <w:t>unwavering</w:t>
      </w:r>
      <w:r>
        <w:rPr>
          <w:spacing w:val="2"/>
        </w:rPr>
        <w:t> </w:t>
      </w:r>
      <w:r>
        <w:rPr>
          <w:spacing w:val="-4"/>
        </w:rPr>
        <w:t>commitment</w:t>
      </w:r>
      <w:r>
        <w:rPr>
          <w:spacing w:val="3"/>
        </w:rPr>
        <w:t> </w:t>
      </w:r>
      <w:r>
        <w:rPr>
          <w:spacing w:val="-4"/>
        </w:rPr>
        <w:t>reflects</w:t>
      </w:r>
      <w:r>
        <w:rPr>
          <w:spacing w:val="4"/>
        </w:rPr>
        <w:t> </w:t>
      </w:r>
      <w:r>
        <w:rPr>
          <w:spacing w:val="-4"/>
        </w:rPr>
        <w:t>moral</w:t>
      </w:r>
      <w:r>
        <w:rPr>
          <w:spacing w:val="-3"/>
        </w:rPr>
        <w:t> </w:t>
      </w:r>
      <w:r>
        <w:rPr>
          <w:spacing w:val="-4"/>
        </w:rPr>
        <w:t>strength</w:t>
      </w:r>
      <w:r>
        <w:rPr>
          <w:spacing w:val="1"/>
        </w:rPr>
        <w:t> </w:t>
      </w:r>
      <w:r>
        <w:rPr>
          <w:spacing w:val="-4"/>
        </w:rPr>
        <w:t>rather</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73344">
                <wp:simplePos x="0" y="0"/>
                <wp:positionH relativeFrom="page">
                  <wp:posOffset>2057400</wp:posOffset>
                </wp:positionH>
                <wp:positionV relativeFrom="paragraph">
                  <wp:posOffset>162604</wp:posOffset>
                </wp:positionV>
                <wp:extent cx="3657600" cy="12700"/>
                <wp:effectExtent l="0" t="0" r="0" b="0"/>
                <wp:wrapTopAndBottom/>
                <wp:docPr id="287" name="Graphic 287"/>
                <wp:cNvGraphicFramePr>
                  <a:graphicFrameLocks/>
                </wp:cNvGraphicFramePr>
                <a:graphic>
                  <a:graphicData uri="http://schemas.microsoft.com/office/word/2010/wordprocessingShape">
                    <wps:wsp>
                      <wps:cNvPr id="287" name="Graphic 28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43136;mso-wrap-distance-left:0;mso-wrap-distance-right:0" id="docshape283" filled="true" fillcolor="#000000" stroked="false">
                <v:fill type="solid"/>
                <w10:wrap type="topAndBottom"/>
              </v:rect>
            </w:pict>
          </mc:Fallback>
        </mc:AlternateContent>
      </w:r>
      <w:r>
        <w:rPr>
          <w:rFonts w:ascii="Verdana"/>
          <w:spacing w:val="-5"/>
          <w:sz w:val="18"/>
        </w:rPr>
        <w:t>92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than weakness, challenging traditional interpretations that view her as passive. Judith Butler’s concept of gender performativity suggests that “gender is constituted through repeated acts” (Butler 191), and Desdemona’s consistent enactment of care can be seen as a form of ethical resistance within a restrictive social framework.</w:t>
      </w:r>
    </w:p>
    <w:p>
      <w:pPr>
        <w:pStyle w:val="BodyText"/>
        <w:spacing w:line="249" w:lineRule="auto" w:before="62"/>
        <w:ind w:right="1439" w:firstLine="432"/>
        <w:jc w:val="both"/>
      </w:pPr>
      <w:r>
        <w:rPr/>
        <w:t>The silencing of Desdemona reaches its most tragic expression in the</w:t>
      </w:r>
      <w:r>
        <w:rPr>
          <w:spacing w:val="-3"/>
        </w:rPr>
        <w:t> </w:t>
      </w:r>
      <w:r>
        <w:rPr/>
        <w:t>final</w:t>
      </w:r>
      <w:r>
        <w:rPr>
          <w:spacing w:val="-7"/>
        </w:rPr>
        <w:t> </w:t>
      </w:r>
      <w:r>
        <w:rPr/>
        <w:t>act,</w:t>
      </w:r>
      <w:r>
        <w:rPr>
          <w:spacing w:val="-4"/>
        </w:rPr>
        <w:t> </w:t>
      </w:r>
      <w:r>
        <w:rPr/>
        <w:t>where</w:t>
      </w:r>
      <w:r>
        <w:rPr>
          <w:spacing w:val="-5"/>
        </w:rPr>
        <w:t> </w:t>
      </w:r>
      <w:r>
        <w:rPr/>
        <w:t>her</w:t>
      </w:r>
      <w:r>
        <w:rPr>
          <w:spacing w:val="-4"/>
        </w:rPr>
        <w:t> </w:t>
      </w:r>
      <w:r>
        <w:rPr/>
        <w:t>voice</w:t>
      </w:r>
      <w:r>
        <w:rPr>
          <w:spacing w:val="-6"/>
        </w:rPr>
        <w:t> </w:t>
      </w:r>
      <w:r>
        <w:rPr/>
        <w:t>is</w:t>
      </w:r>
      <w:r>
        <w:rPr>
          <w:spacing w:val="-5"/>
        </w:rPr>
        <w:t> </w:t>
      </w:r>
      <w:r>
        <w:rPr/>
        <w:t>literally</w:t>
      </w:r>
      <w:r>
        <w:rPr>
          <w:spacing w:val="-7"/>
        </w:rPr>
        <w:t> </w:t>
      </w:r>
      <w:r>
        <w:rPr/>
        <w:t>extinguished.</w:t>
      </w:r>
      <w:r>
        <w:rPr>
          <w:spacing w:val="-4"/>
        </w:rPr>
        <w:t> </w:t>
      </w:r>
      <w:r>
        <w:rPr/>
        <w:t>Even</w:t>
      </w:r>
      <w:r>
        <w:rPr>
          <w:spacing w:val="-7"/>
        </w:rPr>
        <w:t> </w:t>
      </w:r>
      <w:r>
        <w:rPr/>
        <w:t>in</w:t>
      </w:r>
      <w:r>
        <w:rPr>
          <w:spacing w:val="-5"/>
        </w:rPr>
        <w:t> </w:t>
      </w:r>
      <w:r>
        <w:rPr/>
        <w:t>her</w:t>
      </w:r>
      <w:r>
        <w:rPr>
          <w:spacing w:val="-4"/>
        </w:rPr>
        <w:t> </w:t>
      </w:r>
      <w:r>
        <w:rPr/>
        <w:t>dying moments, she protects Othello, declaring, “Nobody; I myself” (</w:t>
      </w:r>
      <w:r>
        <w:rPr>
          <w:i/>
        </w:rPr>
        <w:t>Othello </w:t>
      </w:r>
      <w:r>
        <w:rPr/>
        <w:t>5.2.125). This statement has often been interpreted as submission, but from a feminist ethical perspective, it reveals the internalization of a system</w:t>
      </w:r>
      <w:r>
        <w:rPr>
          <w:spacing w:val="-3"/>
        </w:rPr>
        <w:t> </w:t>
      </w:r>
      <w:r>
        <w:rPr/>
        <w:t>that</w:t>
      </w:r>
      <w:r>
        <w:rPr>
          <w:spacing w:val="-2"/>
        </w:rPr>
        <w:t> </w:t>
      </w:r>
      <w:r>
        <w:rPr/>
        <w:t>denies</w:t>
      </w:r>
      <w:r>
        <w:rPr>
          <w:spacing w:val="-2"/>
        </w:rPr>
        <w:t> </w:t>
      </w:r>
      <w:r>
        <w:rPr/>
        <w:t>women</w:t>
      </w:r>
      <w:r>
        <w:rPr>
          <w:spacing w:val="-4"/>
        </w:rPr>
        <w:t> </w:t>
      </w:r>
      <w:r>
        <w:rPr/>
        <w:t>the authority</w:t>
      </w:r>
      <w:r>
        <w:rPr>
          <w:spacing w:val="-5"/>
        </w:rPr>
        <w:t> </w:t>
      </w:r>
      <w:r>
        <w:rPr/>
        <w:t>to speak</w:t>
      </w:r>
      <w:r>
        <w:rPr>
          <w:spacing w:val="-4"/>
        </w:rPr>
        <w:t> </w:t>
      </w:r>
      <w:r>
        <w:rPr/>
        <w:t>their truth.</w:t>
      </w:r>
      <w:r>
        <w:rPr>
          <w:spacing w:val="-2"/>
        </w:rPr>
        <w:t> </w:t>
      </w:r>
      <w:r>
        <w:rPr/>
        <w:t>Her silence becomes both a product of oppression and a critique of the ethical structures</w:t>
      </w:r>
      <w:r>
        <w:rPr>
          <w:spacing w:val="40"/>
        </w:rPr>
        <w:t> </w:t>
      </w:r>
      <w:r>
        <w:rPr/>
        <w:t>that</w:t>
      </w:r>
      <w:r>
        <w:rPr>
          <w:spacing w:val="40"/>
        </w:rPr>
        <w:t> </w:t>
      </w:r>
      <w:r>
        <w:rPr/>
        <w:t>enforce</w:t>
      </w:r>
      <w:r>
        <w:rPr>
          <w:spacing w:val="40"/>
        </w:rPr>
        <w:t> </w:t>
      </w:r>
      <w:r>
        <w:rPr/>
        <w:t>it.</w:t>
      </w:r>
    </w:p>
    <w:p>
      <w:pPr>
        <w:pStyle w:val="BodyText"/>
        <w:spacing w:line="249" w:lineRule="auto" w:before="64"/>
        <w:ind w:right="1438" w:firstLine="432"/>
        <w:jc w:val="both"/>
      </w:pPr>
      <w:r>
        <w:rPr/>
        <w:t>The contrast between Desdemona and Emilia highlights the complexity</w:t>
      </w:r>
      <w:r>
        <w:rPr>
          <w:spacing w:val="-13"/>
        </w:rPr>
        <w:t> </w:t>
      </w:r>
      <w:r>
        <w:rPr/>
        <w:t>of</w:t>
      </w:r>
      <w:r>
        <w:rPr>
          <w:spacing w:val="-12"/>
        </w:rPr>
        <w:t> </w:t>
      </w:r>
      <w:r>
        <w:rPr/>
        <w:t>female</w:t>
      </w:r>
      <w:r>
        <w:rPr>
          <w:spacing w:val="-13"/>
        </w:rPr>
        <w:t> </w:t>
      </w:r>
      <w:r>
        <w:rPr/>
        <w:t>voices</w:t>
      </w:r>
      <w:r>
        <w:rPr>
          <w:spacing w:val="-12"/>
        </w:rPr>
        <w:t> </w:t>
      </w:r>
      <w:r>
        <w:rPr/>
        <w:t>within</w:t>
      </w:r>
      <w:r>
        <w:rPr>
          <w:spacing w:val="-13"/>
        </w:rPr>
        <w:t> </w:t>
      </w:r>
      <w:r>
        <w:rPr/>
        <w:t>the</w:t>
      </w:r>
      <w:r>
        <w:rPr>
          <w:spacing w:val="-12"/>
        </w:rPr>
        <w:t> </w:t>
      </w:r>
      <w:r>
        <w:rPr/>
        <w:t>play.</w:t>
      </w:r>
      <w:r>
        <w:rPr>
          <w:spacing w:val="-13"/>
        </w:rPr>
        <w:t> </w:t>
      </w:r>
      <w:r>
        <w:rPr/>
        <w:t>Emilia’s</w:t>
      </w:r>
      <w:r>
        <w:rPr>
          <w:spacing w:val="-12"/>
        </w:rPr>
        <w:t> </w:t>
      </w:r>
      <w:r>
        <w:rPr/>
        <w:t>later</w:t>
      </w:r>
      <w:r>
        <w:rPr>
          <w:spacing w:val="-13"/>
        </w:rPr>
        <w:t> </w:t>
      </w:r>
      <w:r>
        <w:rPr/>
        <w:t>assertion</w:t>
      </w:r>
      <w:r>
        <w:rPr>
          <w:spacing w:val="-12"/>
        </w:rPr>
        <w:t> </w:t>
      </w:r>
      <w:r>
        <w:rPr/>
        <w:t>“Let husbands</w:t>
      </w:r>
      <w:r>
        <w:rPr>
          <w:spacing w:val="-13"/>
        </w:rPr>
        <w:t> </w:t>
      </w:r>
      <w:r>
        <w:rPr/>
        <w:t>know</w:t>
      </w:r>
      <w:r>
        <w:rPr>
          <w:spacing w:val="-12"/>
        </w:rPr>
        <w:t> </w:t>
      </w:r>
      <w:r>
        <w:rPr/>
        <w:t>/</w:t>
      </w:r>
      <w:r>
        <w:rPr>
          <w:spacing w:val="-11"/>
        </w:rPr>
        <w:t> </w:t>
      </w:r>
      <w:r>
        <w:rPr/>
        <w:t>Their</w:t>
      </w:r>
      <w:r>
        <w:rPr>
          <w:spacing w:val="-10"/>
        </w:rPr>
        <w:t> </w:t>
      </w:r>
      <w:r>
        <w:rPr/>
        <w:t>wives</w:t>
      </w:r>
      <w:r>
        <w:rPr>
          <w:spacing w:val="-12"/>
        </w:rPr>
        <w:t> </w:t>
      </w:r>
      <w:r>
        <w:rPr/>
        <w:t>have</w:t>
      </w:r>
      <w:r>
        <w:rPr>
          <w:spacing w:val="-11"/>
        </w:rPr>
        <w:t> </w:t>
      </w:r>
      <w:r>
        <w:rPr/>
        <w:t>sense</w:t>
      </w:r>
      <w:r>
        <w:rPr>
          <w:spacing w:val="-9"/>
        </w:rPr>
        <w:t> </w:t>
      </w:r>
      <w:r>
        <w:rPr/>
        <w:t>like</w:t>
      </w:r>
      <w:r>
        <w:rPr>
          <w:spacing w:val="-11"/>
        </w:rPr>
        <w:t> </w:t>
      </w:r>
      <w:r>
        <w:rPr/>
        <w:t>them”</w:t>
      </w:r>
      <w:r>
        <w:rPr>
          <w:spacing w:val="-11"/>
        </w:rPr>
        <w:t> </w:t>
      </w:r>
      <w:r>
        <w:rPr/>
        <w:t>(</w:t>
      </w:r>
      <w:r>
        <w:rPr>
          <w:i/>
        </w:rPr>
        <w:t>Othello</w:t>
      </w:r>
      <w:r>
        <w:rPr>
          <w:i/>
          <w:spacing w:val="-10"/>
        </w:rPr>
        <w:t> </w:t>
      </w:r>
      <w:r>
        <w:rPr/>
        <w:t>4.3.93–94), serves as a direct challenge to patriarchal norms. Yet, this moment of resistance comes too late to save Desdemona, emphasizing the devastating</w:t>
      </w:r>
      <w:r>
        <w:rPr>
          <w:spacing w:val="40"/>
        </w:rPr>
        <w:t> </w:t>
      </w:r>
      <w:r>
        <w:rPr/>
        <w:t>consequences</w:t>
      </w:r>
      <w:r>
        <w:rPr>
          <w:spacing w:val="40"/>
        </w:rPr>
        <w:t> </w:t>
      </w:r>
      <w:r>
        <w:rPr/>
        <w:t>of</w:t>
      </w:r>
      <w:r>
        <w:rPr>
          <w:spacing w:val="40"/>
        </w:rPr>
        <w:t> </w:t>
      </w:r>
      <w:r>
        <w:rPr/>
        <w:t>delayed</w:t>
      </w:r>
      <w:r>
        <w:rPr>
          <w:spacing w:val="40"/>
        </w:rPr>
        <w:t> </w:t>
      </w:r>
      <w:r>
        <w:rPr/>
        <w:t>ethical</w:t>
      </w:r>
      <w:r>
        <w:rPr>
          <w:spacing w:val="40"/>
        </w:rPr>
        <w:t> </w:t>
      </w:r>
      <w:r>
        <w:rPr/>
        <w:t>recognition.</w:t>
      </w:r>
    </w:p>
    <w:p>
      <w:pPr>
        <w:pStyle w:val="BodyText"/>
        <w:spacing w:line="249" w:lineRule="auto" w:before="65"/>
        <w:ind w:right="1439" w:firstLine="432"/>
        <w:jc w:val="both"/>
      </w:pPr>
      <w:r>
        <w:rPr/>
        <w:t>The tragedy of </w:t>
      </w:r>
      <w:r>
        <w:rPr>
          <w:i/>
        </w:rPr>
        <w:t>Othello </w:t>
      </w:r>
      <w:r>
        <w:rPr/>
        <w:t>thus lies not merely in individual actions but</w:t>
      </w:r>
      <w:r>
        <w:rPr>
          <w:spacing w:val="-13"/>
        </w:rPr>
        <w:t> </w:t>
      </w:r>
      <w:r>
        <w:rPr/>
        <w:t>in</w:t>
      </w:r>
      <w:r>
        <w:rPr>
          <w:spacing w:val="-11"/>
        </w:rPr>
        <w:t> </w:t>
      </w:r>
      <w:r>
        <w:rPr/>
        <w:t>a</w:t>
      </w:r>
      <w:r>
        <w:rPr>
          <w:spacing w:val="-13"/>
        </w:rPr>
        <w:t> </w:t>
      </w:r>
      <w:r>
        <w:rPr/>
        <w:t>systemic</w:t>
      </w:r>
      <w:r>
        <w:rPr>
          <w:spacing w:val="-10"/>
        </w:rPr>
        <w:t> </w:t>
      </w:r>
      <w:r>
        <w:rPr/>
        <w:t>failure</w:t>
      </w:r>
      <w:r>
        <w:rPr>
          <w:spacing w:val="-12"/>
        </w:rPr>
        <w:t> </w:t>
      </w:r>
      <w:r>
        <w:rPr/>
        <w:t>of</w:t>
      </w:r>
      <w:r>
        <w:rPr>
          <w:spacing w:val="-13"/>
        </w:rPr>
        <w:t> </w:t>
      </w:r>
      <w:r>
        <w:rPr/>
        <w:t>ethical</w:t>
      </w:r>
      <w:r>
        <w:rPr>
          <w:spacing w:val="-11"/>
        </w:rPr>
        <w:t> </w:t>
      </w:r>
      <w:r>
        <w:rPr/>
        <w:t>understanding.</w:t>
      </w:r>
      <w:r>
        <w:rPr>
          <w:spacing w:val="-13"/>
        </w:rPr>
        <w:t> </w:t>
      </w:r>
      <w:r>
        <w:rPr/>
        <w:t>Feminist</w:t>
      </w:r>
      <w:r>
        <w:rPr>
          <w:spacing w:val="-10"/>
        </w:rPr>
        <w:t> </w:t>
      </w:r>
      <w:r>
        <w:rPr/>
        <w:t>ethics</w:t>
      </w:r>
      <w:r>
        <w:rPr>
          <w:spacing w:val="-13"/>
        </w:rPr>
        <w:t> </w:t>
      </w:r>
      <w:r>
        <w:rPr/>
        <w:t>reveals that</w:t>
      </w:r>
      <w:r>
        <w:rPr>
          <w:spacing w:val="21"/>
        </w:rPr>
        <w:t> </w:t>
      </w:r>
      <w:r>
        <w:rPr/>
        <w:t>Desdemona’s</w:t>
      </w:r>
      <w:r>
        <w:rPr>
          <w:spacing w:val="21"/>
        </w:rPr>
        <w:t> </w:t>
      </w:r>
      <w:r>
        <w:rPr/>
        <w:t>death</w:t>
      </w:r>
      <w:r>
        <w:rPr>
          <w:spacing w:val="20"/>
        </w:rPr>
        <w:t> </w:t>
      </w:r>
      <w:r>
        <w:rPr/>
        <w:t>is</w:t>
      </w:r>
      <w:r>
        <w:rPr>
          <w:spacing w:val="21"/>
        </w:rPr>
        <w:t> </w:t>
      </w:r>
      <w:r>
        <w:rPr/>
        <w:t>not</w:t>
      </w:r>
      <w:r>
        <w:rPr>
          <w:spacing w:val="21"/>
        </w:rPr>
        <w:t> </w:t>
      </w:r>
      <w:r>
        <w:rPr/>
        <w:t>the</w:t>
      </w:r>
      <w:r>
        <w:rPr>
          <w:spacing w:val="23"/>
        </w:rPr>
        <w:t> </w:t>
      </w:r>
      <w:r>
        <w:rPr/>
        <w:t>result</w:t>
      </w:r>
      <w:r>
        <w:rPr>
          <w:spacing w:val="21"/>
        </w:rPr>
        <w:t> </w:t>
      </w:r>
      <w:r>
        <w:rPr/>
        <w:t>of</w:t>
      </w:r>
      <w:r>
        <w:rPr>
          <w:spacing w:val="20"/>
        </w:rPr>
        <w:t> </w:t>
      </w:r>
      <w:r>
        <w:rPr/>
        <w:t>personal</w:t>
      </w:r>
      <w:r>
        <w:rPr>
          <w:spacing w:val="21"/>
        </w:rPr>
        <w:t> </w:t>
      </w:r>
      <w:r>
        <w:rPr/>
        <w:t>weakness</w:t>
      </w:r>
      <w:r>
        <w:rPr>
          <w:spacing w:val="21"/>
        </w:rPr>
        <w:t> </w:t>
      </w:r>
      <w:r>
        <w:rPr/>
        <w:t>but</w:t>
      </w:r>
      <w:r>
        <w:rPr>
          <w:spacing w:val="21"/>
        </w:rPr>
        <w:t> </w:t>
      </w:r>
      <w:r>
        <w:rPr/>
        <w:t>of a social structure that devalues women’s voices and prioritizes male authority. As Gilligan notes, “the failure to hear women’s voices is a failure</w:t>
      </w:r>
      <w:r>
        <w:rPr>
          <w:spacing w:val="-4"/>
        </w:rPr>
        <w:t> </w:t>
      </w:r>
      <w:r>
        <w:rPr/>
        <w:t>of</w:t>
      </w:r>
      <w:r>
        <w:rPr>
          <w:spacing w:val="-5"/>
        </w:rPr>
        <w:t> </w:t>
      </w:r>
      <w:r>
        <w:rPr/>
        <w:t>moral</w:t>
      </w:r>
      <w:r>
        <w:rPr>
          <w:spacing w:val="-5"/>
        </w:rPr>
        <w:t> </w:t>
      </w:r>
      <w:r>
        <w:rPr/>
        <w:t>perception”</w:t>
      </w:r>
      <w:r>
        <w:rPr>
          <w:spacing w:val="-2"/>
        </w:rPr>
        <w:t> </w:t>
      </w:r>
      <w:r>
        <w:rPr/>
        <w:t>(Gilligan</w:t>
      </w:r>
      <w:r>
        <w:rPr>
          <w:spacing w:val="-3"/>
        </w:rPr>
        <w:t> </w:t>
      </w:r>
      <w:r>
        <w:rPr/>
        <w:t>173).</w:t>
      </w:r>
      <w:r>
        <w:rPr>
          <w:spacing w:val="-3"/>
        </w:rPr>
        <w:t> </w:t>
      </w:r>
      <w:r>
        <w:rPr/>
        <w:t>Shakespeare’s</w:t>
      </w:r>
      <w:r>
        <w:rPr>
          <w:spacing w:val="-3"/>
        </w:rPr>
        <w:t> </w:t>
      </w:r>
      <w:r>
        <w:rPr/>
        <w:t>play</w:t>
      </w:r>
      <w:r>
        <w:rPr>
          <w:spacing w:val="-6"/>
        </w:rPr>
        <w:t> </w:t>
      </w:r>
      <w:r>
        <w:rPr/>
        <w:t>exposes this failure, inviting readers to reconsider the ethical foundations of gender</w:t>
      </w:r>
      <w:r>
        <w:rPr>
          <w:spacing w:val="40"/>
        </w:rPr>
        <w:t> </w:t>
      </w:r>
      <w:r>
        <w:rPr/>
        <w:t>relations.</w:t>
      </w:r>
    </w:p>
    <w:p>
      <w:pPr>
        <w:pStyle w:val="Heading3"/>
        <w:spacing w:before="160"/>
      </w:pPr>
      <w:r>
        <w:rPr>
          <w:spacing w:val="-2"/>
        </w:rPr>
        <w:t>CONCLUSION</w:t>
      </w:r>
    </w:p>
    <w:p>
      <w:pPr>
        <w:pStyle w:val="BodyText"/>
        <w:spacing w:line="249" w:lineRule="auto" w:before="75"/>
        <w:ind w:right="1436" w:firstLine="432"/>
        <w:jc w:val="both"/>
      </w:pPr>
      <w:r>
        <w:rPr/>
        <w:t>Desdemona’s character in </w:t>
      </w:r>
      <w:r>
        <w:rPr>
          <w:i/>
        </w:rPr>
        <w:t>Othello </w:t>
      </w:r>
      <w:r>
        <w:rPr/>
        <w:t>embodies the principles of feminist</w:t>
      </w:r>
      <w:r>
        <w:rPr>
          <w:spacing w:val="-13"/>
        </w:rPr>
        <w:t> </w:t>
      </w:r>
      <w:r>
        <w:rPr/>
        <w:t>ethics,</w:t>
      </w:r>
      <w:r>
        <w:rPr>
          <w:spacing w:val="-12"/>
        </w:rPr>
        <w:t> </w:t>
      </w:r>
      <w:r>
        <w:rPr/>
        <w:t>emphasizing</w:t>
      </w:r>
      <w:r>
        <w:rPr>
          <w:spacing w:val="-13"/>
        </w:rPr>
        <w:t> </w:t>
      </w:r>
      <w:r>
        <w:rPr/>
        <w:t>care,</w:t>
      </w:r>
      <w:r>
        <w:rPr>
          <w:spacing w:val="-12"/>
        </w:rPr>
        <w:t> </w:t>
      </w:r>
      <w:r>
        <w:rPr/>
        <w:t>empathy,</w:t>
      </w:r>
      <w:r>
        <w:rPr>
          <w:spacing w:val="-13"/>
        </w:rPr>
        <w:t> </w:t>
      </w:r>
      <w:r>
        <w:rPr/>
        <w:t>and</w:t>
      </w:r>
      <w:r>
        <w:rPr>
          <w:spacing w:val="-12"/>
        </w:rPr>
        <w:t> </w:t>
      </w:r>
      <w:r>
        <w:rPr/>
        <w:t>relational</w:t>
      </w:r>
      <w:r>
        <w:rPr>
          <w:spacing w:val="-13"/>
        </w:rPr>
        <w:t> </w:t>
      </w:r>
      <w:r>
        <w:rPr/>
        <w:t>responsibility. However, her ethical strength is overshadowed by a patriarchal system that silences and misinterprets her voice. Through a feminist ethical lens, the play</w:t>
      </w:r>
      <w:r>
        <w:rPr>
          <w:spacing w:val="-2"/>
        </w:rPr>
        <w:t> </w:t>
      </w:r>
      <w:r>
        <w:rPr/>
        <w:t>reveals that the true tragedy</w:t>
      </w:r>
      <w:r>
        <w:rPr>
          <w:spacing w:val="-2"/>
        </w:rPr>
        <w:t> </w:t>
      </w:r>
      <w:r>
        <w:rPr/>
        <w:t>lies</w:t>
      </w:r>
      <w:r>
        <w:rPr>
          <w:spacing w:val="-2"/>
        </w:rPr>
        <w:t> </w:t>
      </w:r>
      <w:r>
        <w:rPr/>
        <w:t>in the inability</w:t>
      </w:r>
      <w:r>
        <w:rPr>
          <w:spacing w:val="-3"/>
        </w:rPr>
        <w:t> </w:t>
      </w:r>
      <w:r>
        <w:rPr/>
        <w:t>of society to</w:t>
      </w:r>
      <w:r>
        <w:rPr>
          <w:spacing w:val="-1"/>
        </w:rPr>
        <w:t> </w:t>
      </w:r>
      <w:r>
        <w:rPr/>
        <w:t>recognize</w:t>
      </w:r>
      <w:r>
        <w:rPr>
          <w:spacing w:val="-3"/>
        </w:rPr>
        <w:t> </w:t>
      </w:r>
      <w:r>
        <w:rPr/>
        <w:t>and value</w:t>
      </w:r>
      <w:r>
        <w:rPr>
          <w:spacing w:val="-4"/>
        </w:rPr>
        <w:t> </w:t>
      </w:r>
      <w:r>
        <w:rPr/>
        <w:t>women’s</w:t>
      </w:r>
      <w:r>
        <w:rPr>
          <w:spacing w:val="-3"/>
        </w:rPr>
        <w:t> </w:t>
      </w:r>
      <w:r>
        <w:rPr/>
        <w:t>moral</w:t>
      </w:r>
      <w:r>
        <w:rPr>
          <w:spacing w:val="-3"/>
        </w:rPr>
        <w:t> </w:t>
      </w:r>
      <w:r>
        <w:rPr/>
        <w:t>agency.</w:t>
      </w:r>
      <w:r>
        <w:rPr>
          <w:spacing w:val="-1"/>
        </w:rPr>
        <w:t> </w:t>
      </w:r>
      <w:r>
        <w:rPr/>
        <w:t>Shakespeare’s</w:t>
      </w:r>
      <w:r>
        <w:rPr>
          <w:spacing w:val="-3"/>
        </w:rPr>
        <w:t> </w:t>
      </w:r>
      <w:r>
        <w:rPr/>
        <w:t>portrayal of Desdemona challenges traditional notions of morality and highlights the need for an ethical framework that includes and respects women’s voices. Ultimately, the study demonstrates that </w:t>
      </w:r>
      <w:r>
        <w:rPr>
          <w:i/>
        </w:rPr>
        <w:t>Othello </w:t>
      </w:r>
      <w:r>
        <w:rPr/>
        <w:t>remains a powerful critique of gendered injustice and ethical failure.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984"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73856">
                <wp:simplePos x="0" y="0"/>
                <wp:positionH relativeFrom="page">
                  <wp:posOffset>2065020</wp:posOffset>
                </wp:positionH>
                <wp:positionV relativeFrom="paragraph">
                  <wp:posOffset>162604</wp:posOffset>
                </wp:positionV>
                <wp:extent cx="3657600" cy="12700"/>
                <wp:effectExtent l="0" t="0" r="0" b="0"/>
                <wp:wrapTopAndBottom/>
                <wp:docPr id="288" name="Graphic 288"/>
                <wp:cNvGraphicFramePr>
                  <a:graphicFrameLocks/>
                </wp:cNvGraphicFramePr>
                <a:graphic>
                  <a:graphicData uri="http://schemas.microsoft.com/office/word/2010/wordprocessingShape">
                    <wps:wsp>
                      <wps:cNvPr id="288" name="Graphic 28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42624;mso-wrap-distance-left:0;mso-wrap-distance-right:0" id="docshape284" filled="true" fillcolor="#000000" stroked="false">
                <v:fill type="solid"/>
                <w10:wrap type="topAndBottom"/>
              </v:rect>
            </w:pict>
          </mc:Fallback>
        </mc:AlternateContent>
      </w:r>
      <w:r>
        <w:rPr>
          <w:rFonts w:ascii="Verdana"/>
          <w:spacing w:val="-2"/>
          <w:sz w:val="18"/>
        </w:rPr>
        <w:t>Silenced</w:t>
      </w:r>
      <w:r>
        <w:rPr>
          <w:rFonts w:ascii="Verdana"/>
          <w:spacing w:val="1"/>
          <w:sz w:val="18"/>
        </w:rPr>
        <w:t> </w:t>
      </w:r>
      <w:r>
        <w:rPr>
          <w:rFonts w:ascii="Verdana"/>
          <w:spacing w:val="-2"/>
          <w:sz w:val="18"/>
        </w:rPr>
        <w:t>Voices</w:t>
      </w:r>
      <w:r>
        <w:rPr>
          <w:rFonts w:ascii="Verdana"/>
          <w:spacing w:val="4"/>
          <w:sz w:val="18"/>
        </w:rPr>
        <w:t> </w:t>
      </w:r>
      <w:r>
        <w:rPr>
          <w:rFonts w:ascii="Verdana"/>
          <w:spacing w:val="-2"/>
          <w:sz w:val="18"/>
        </w:rPr>
        <w:t>and</w:t>
      </w:r>
      <w:r>
        <w:rPr>
          <w:rFonts w:ascii="Verdana"/>
          <w:spacing w:val="1"/>
          <w:sz w:val="18"/>
        </w:rPr>
        <w:t> </w:t>
      </w:r>
      <w:r>
        <w:rPr>
          <w:rFonts w:ascii="Verdana"/>
          <w:spacing w:val="-2"/>
          <w:sz w:val="18"/>
        </w:rPr>
        <w:t>Ethical</w:t>
      </w:r>
      <w:r>
        <w:rPr>
          <w:rFonts w:ascii="Verdana"/>
          <w:spacing w:val="4"/>
          <w:sz w:val="18"/>
        </w:rPr>
        <w:t> </w:t>
      </w:r>
      <w:r>
        <w:rPr>
          <w:rFonts w:ascii="Verdana"/>
          <w:spacing w:val="-2"/>
          <w:sz w:val="18"/>
        </w:rPr>
        <w:t>Injustice:</w:t>
      </w:r>
      <w:r>
        <w:rPr>
          <w:rFonts w:ascii="Verdana"/>
          <w:spacing w:val="1"/>
          <w:sz w:val="18"/>
        </w:rPr>
        <w:t> </w:t>
      </w:r>
      <w:r>
        <w:rPr>
          <w:rFonts w:ascii="Verdana"/>
          <w:spacing w:val="-2"/>
          <w:sz w:val="18"/>
        </w:rPr>
        <w:t>A</w:t>
      </w:r>
      <w:r>
        <w:rPr>
          <w:rFonts w:ascii="Verdana"/>
          <w:spacing w:val="-4"/>
          <w:sz w:val="18"/>
        </w:rPr>
        <w:t> </w:t>
      </w:r>
      <w:r>
        <w:rPr>
          <w:rFonts w:ascii="Verdana"/>
          <w:spacing w:val="-2"/>
          <w:sz w:val="18"/>
        </w:rPr>
        <w:t>Feminist</w:t>
      </w:r>
      <w:r>
        <w:rPr>
          <w:rFonts w:ascii="Verdana"/>
          <w:spacing w:val="2"/>
          <w:sz w:val="18"/>
        </w:rPr>
        <w:t> </w:t>
      </w:r>
      <w:r>
        <w:rPr>
          <w:rFonts w:ascii="Verdana"/>
          <w:spacing w:val="-2"/>
          <w:sz w:val="18"/>
        </w:rPr>
        <w:t>Ethical...</w:t>
      </w:r>
      <w:r>
        <w:rPr>
          <w:sz w:val="18"/>
        </w:rPr>
        <w:tab/>
      </w:r>
      <w:r>
        <w:rPr>
          <w:rFonts w:ascii="Verdana"/>
          <w:spacing w:val="-5"/>
          <w:sz w:val="18"/>
        </w:rPr>
        <w:t>93</w:t>
      </w:r>
    </w:p>
    <w:p>
      <w:pPr>
        <w:pStyle w:val="Heading3"/>
      </w:pPr>
      <w:r>
        <w:rPr>
          <w:spacing w:val="-2"/>
          <w:w w:val="95"/>
        </w:rPr>
        <w:t>REFERENCES</w:t>
      </w:r>
    </w:p>
    <w:p>
      <w:pPr>
        <w:pStyle w:val="ListParagraph"/>
        <w:numPr>
          <w:ilvl w:val="0"/>
          <w:numId w:val="20"/>
        </w:numPr>
        <w:tabs>
          <w:tab w:pos="2157" w:val="left" w:leader="none"/>
        </w:tabs>
        <w:spacing w:line="240" w:lineRule="auto" w:before="82" w:after="0"/>
        <w:ind w:left="2157" w:right="0" w:hanging="312"/>
        <w:jc w:val="left"/>
        <w:rPr>
          <w:sz w:val="19"/>
        </w:rPr>
      </w:pPr>
      <w:r>
        <w:rPr>
          <w:sz w:val="19"/>
        </w:rPr>
        <w:t>Butler,</w:t>
      </w:r>
      <w:r>
        <w:rPr>
          <w:spacing w:val="36"/>
          <w:sz w:val="19"/>
        </w:rPr>
        <w:t> </w:t>
      </w:r>
      <w:r>
        <w:rPr>
          <w:sz w:val="19"/>
        </w:rPr>
        <w:t>Judith.</w:t>
      </w:r>
      <w:r>
        <w:rPr>
          <w:spacing w:val="38"/>
          <w:sz w:val="19"/>
        </w:rPr>
        <w:t> </w:t>
      </w:r>
      <w:r>
        <w:rPr>
          <w:i/>
          <w:sz w:val="19"/>
        </w:rPr>
        <w:t>Gender</w:t>
      </w:r>
      <w:r>
        <w:rPr>
          <w:i/>
          <w:spacing w:val="39"/>
          <w:sz w:val="19"/>
        </w:rPr>
        <w:t> </w:t>
      </w:r>
      <w:r>
        <w:rPr>
          <w:i/>
          <w:sz w:val="19"/>
        </w:rPr>
        <w:t>Trouble</w:t>
      </w:r>
      <w:r>
        <w:rPr>
          <w:sz w:val="19"/>
        </w:rPr>
        <w:t>.</w:t>
      </w:r>
      <w:r>
        <w:rPr>
          <w:spacing w:val="37"/>
          <w:sz w:val="19"/>
        </w:rPr>
        <w:t> </w:t>
      </w:r>
      <w:r>
        <w:rPr>
          <w:sz w:val="19"/>
        </w:rPr>
        <w:t>Routledge,</w:t>
      </w:r>
      <w:r>
        <w:rPr>
          <w:spacing w:val="38"/>
          <w:sz w:val="19"/>
        </w:rPr>
        <w:t> </w:t>
      </w:r>
      <w:r>
        <w:rPr>
          <w:spacing w:val="-4"/>
          <w:sz w:val="19"/>
        </w:rPr>
        <w:t>1990.</w:t>
      </w:r>
    </w:p>
    <w:p>
      <w:pPr>
        <w:pStyle w:val="ListParagraph"/>
        <w:numPr>
          <w:ilvl w:val="0"/>
          <w:numId w:val="20"/>
        </w:numPr>
        <w:tabs>
          <w:tab w:pos="2157" w:val="left" w:leader="none"/>
        </w:tabs>
        <w:spacing w:line="240" w:lineRule="auto" w:before="77" w:after="0"/>
        <w:ind w:left="2157" w:right="0" w:hanging="312"/>
        <w:jc w:val="left"/>
        <w:rPr>
          <w:sz w:val="19"/>
        </w:rPr>
      </w:pPr>
      <w:r>
        <w:rPr>
          <w:sz w:val="19"/>
        </w:rPr>
        <w:t>de</w:t>
      </w:r>
      <w:r>
        <w:rPr>
          <w:spacing w:val="33"/>
          <w:sz w:val="19"/>
        </w:rPr>
        <w:t> </w:t>
      </w:r>
      <w:r>
        <w:rPr>
          <w:sz w:val="19"/>
        </w:rPr>
        <w:t>Beauvoir,</w:t>
      </w:r>
      <w:r>
        <w:rPr>
          <w:spacing w:val="33"/>
          <w:sz w:val="19"/>
        </w:rPr>
        <w:t> </w:t>
      </w:r>
      <w:r>
        <w:rPr>
          <w:sz w:val="19"/>
        </w:rPr>
        <w:t>Simone.</w:t>
      </w:r>
      <w:r>
        <w:rPr>
          <w:spacing w:val="35"/>
          <w:sz w:val="19"/>
        </w:rPr>
        <w:t> </w:t>
      </w:r>
      <w:r>
        <w:rPr>
          <w:i/>
          <w:sz w:val="19"/>
        </w:rPr>
        <w:t>The</w:t>
      </w:r>
      <w:r>
        <w:rPr>
          <w:i/>
          <w:spacing w:val="34"/>
          <w:sz w:val="19"/>
        </w:rPr>
        <w:t> </w:t>
      </w:r>
      <w:r>
        <w:rPr>
          <w:i/>
          <w:sz w:val="19"/>
        </w:rPr>
        <w:t>Second</w:t>
      </w:r>
      <w:r>
        <w:rPr>
          <w:i/>
          <w:spacing w:val="37"/>
          <w:sz w:val="19"/>
        </w:rPr>
        <w:t> </w:t>
      </w:r>
      <w:r>
        <w:rPr>
          <w:i/>
          <w:sz w:val="19"/>
        </w:rPr>
        <w:t>Sex</w:t>
      </w:r>
      <w:r>
        <w:rPr>
          <w:sz w:val="19"/>
        </w:rPr>
        <w:t>.</w:t>
      </w:r>
      <w:r>
        <w:rPr>
          <w:spacing w:val="32"/>
          <w:sz w:val="19"/>
        </w:rPr>
        <w:t> </w:t>
      </w:r>
      <w:r>
        <w:rPr>
          <w:sz w:val="19"/>
        </w:rPr>
        <w:t>Vintage,</w:t>
      </w:r>
      <w:r>
        <w:rPr>
          <w:spacing w:val="35"/>
          <w:sz w:val="19"/>
        </w:rPr>
        <w:t> </w:t>
      </w:r>
      <w:r>
        <w:rPr>
          <w:spacing w:val="-4"/>
          <w:sz w:val="19"/>
        </w:rPr>
        <w:t>2011.</w:t>
      </w:r>
    </w:p>
    <w:p>
      <w:pPr>
        <w:pStyle w:val="ListParagraph"/>
        <w:numPr>
          <w:ilvl w:val="0"/>
          <w:numId w:val="20"/>
        </w:numPr>
        <w:tabs>
          <w:tab w:pos="2157" w:val="left" w:leader="none"/>
        </w:tabs>
        <w:spacing w:line="240" w:lineRule="auto" w:before="79" w:after="0"/>
        <w:ind w:left="2157" w:right="0" w:hanging="312"/>
        <w:jc w:val="left"/>
        <w:rPr>
          <w:sz w:val="19"/>
        </w:rPr>
      </w:pPr>
      <w:r>
        <w:rPr>
          <w:sz w:val="19"/>
        </w:rPr>
        <w:t>Gilligan,</w:t>
      </w:r>
      <w:r>
        <w:rPr>
          <w:spacing w:val="21"/>
          <w:sz w:val="19"/>
        </w:rPr>
        <w:t> </w:t>
      </w:r>
      <w:r>
        <w:rPr>
          <w:sz w:val="19"/>
        </w:rPr>
        <w:t>Carol.</w:t>
      </w:r>
      <w:r>
        <w:rPr>
          <w:spacing w:val="24"/>
          <w:sz w:val="19"/>
        </w:rPr>
        <w:t> </w:t>
      </w:r>
      <w:r>
        <w:rPr>
          <w:i/>
          <w:sz w:val="19"/>
        </w:rPr>
        <w:t>In</w:t>
      </w:r>
      <w:r>
        <w:rPr>
          <w:i/>
          <w:spacing w:val="23"/>
          <w:sz w:val="19"/>
        </w:rPr>
        <w:t> </w:t>
      </w:r>
      <w:r>
        <w:rPr>
          <w:i/>
          <w:sz w:val="19"/>
        </w:rPr>
        <w:t>a</w:t>
      </w:r>
      <w:r>
        <w:rPr>
          <w:i/>
          <w:spacing w:val="23"/>
          <w:sz w:val="19"/>
        </w:rPr>
        <w:t> </w:t>
      </w:r>
      <w:r>
        <w:rPr>
          <w:i/>
          <w:sz w:val="19"/>
        </w:rPr>
        <w:t>Different</w:t>
      </w:r>
      <w:r>
        <w:rPr>
          <w:i/>
          <w:spacing w:val="23"/>
          <w:sz w:val="19"/>
        </w:rPr>
        <w:t> </w:t>
      </w:r>
      <w:r>
        <w:rPr>
          <w:i/>
          <w:sz w:val="19"/>
        </w:rPr>
        <w:t>Voice</w:t>
      </w:r>
      <w:r>
        <w:rPr>
          <w:sz w:val="19"/>
        </w:rPr>
        <w:t>.</w:t>
      </w:r>
      <w:r>
        <w:rPr>
          <w:spacing w:val="23"/>
          <w:sz w:val="19"/>
        </w:rPr>
        <w:t> </w:t>
      </w:r>
      <w:r>
        <w:rPr>
          <w:sz w:val="19"/>
        </w:rPr>
        <w:t>Harvard</w:t>
      </w:r>
      <w:r>
        <w:rPr>
          <w:spacing w:val="23"/>
          <w:sz w:val="19"/>
        </w:rPr>
        <w:t> </w:t>
      </w:r>
      <w:r>
        <w:rPr>
          <w:sz w:val="19"/>
        </w:rPr>
        <w:t>UP,</w:t>
      </w:r>
      <w:r>
        <w:rPr>
          <w:spacing w:val="25"/>
          <w:sz w:val="19"/>
        </w:rPr>
        <w:t> </w:t>
      </w:r>
      <w:r>
        <w:rPr>
          <w:spacing w:val="-4"/>
          <w:sz w:val="19"/>
        </w:rPr>
        <w:t>1982.</w:t>
      </w:r>
    </w:p>
    <w:p>
      <w:pPr>
        <w:pStyle w:val="ListParagraph"/>
        <w:numPr>
          <w:ilvl w:val="0"/>
          <w:numId w:val="20"/>
        </w:numPr>
        <w:tabs>
          <w:tab w:pos="2157" w:val="left" w:leader="none"/>
          <w:tab w:pos="2160" w:val="left" w:leader="none"/>
        </w:tabs>
        <w:spacing w:line="261" w:lineRule="auto" w:before="77" w:after="0"/>
        <w:ind w:left="2160" w:right="1441" w:hanging="315"/>
        <w:jc w:val="left"/>
        <w:rPr>
          <w:sz w:val="19"/>
        </w:rPr>
      </w:pPr>
      <w:r>
        <w:rPr>
          <w:sz w:val="19"/>
        </w:rPr>
        <w:t>Noddings,</w:t>
      </w:r>
      <w:r>
        <w:rPr>
          <w:spacing w:val="40"/>
          <w:sz w:val="19"/>
        </w:rPr>
        <w:t> </w:t>
      </w:r>
      <w:r>
        <w:rPr>
          <w:sz w:val="19"/>
        </w:rPr>
        <w:t>Nel.</w:t>
      </w:r>
      <w:r>
        <w:rPr>
          <w:spacing w:val="40"/>
          <w:sz w:val="19"/>
        </w:rPr>
        <w:t> </w:t>
      </w:r>
      <w:r>
        <w:rPr>
          <w:i/>
          <w:sz w:val="19"/>
        </w:rPr>
        <w:t>Caring:</w:t>
      </w:r>
      <w:r>
        <w:rPr>
          <w:i/>
          <w:spacing w:val="40"/>
          <w:sz w:val="19"/>
        </w:rPr>
        <w:t> </w:t>
      </w:r>
      <w:r>
        <w:rPr>
          <w:i/>
          <w:sz w:val="19"/>
        </w:rPr>
        <w:t>A</w:t>
      </w:r>
      <w:r>
        <w:rPr>
          <w:i/>
          <w:spacing w:val="40"/>
          <w:sz w:val="19"/>
        </w:rPr>
        <w:t> </w:t>
      </w:r>
      <w:r>
        <w:rPr>
          <w:i/>
          <w:sz w:val="19"/>
        </w:rPr>
        <w:t>Feminine</w:t>
      </w:r>
      <w:r>
        <w:rPr>
          <w:i/>
          <w:spacing w:val="40"/>
          <w:sz w:val="19"/>
        </w:rPr>
        <w:t> </w:t>
      </w:r>
      <w:r>
        <w:rPr>
          <w:i/>
          <w:sz w:val="19"/>
        </w:rPr>
        <w:t>Approach</w:t>
      </w:r>
      <w:r>
        <w:rPr>
          <w:i/>
          <w:spacing w:val="40"/>
          <w:sz w:val="19"/>
        </w:rPr>
        <w:t> </w:t>
      </w:r>
      <w:r>
        <w:rPr>
          <w:i/>
          <w:sz w:val="19"/>
        </w:rPr>
        <w:t>to</w:t>
      </w:r>
      <w:r>
        <w:rPr>
          <w:i/>
          <w:spacing w:val="40"/>
          <w:sz w:val="19"/>
        </w:rPr>
        <w:t> </w:t>
      </w:r>
      <w:r>
        <w:rPr>
          <w:i/>
          <w:sz w:val="19"/>
        </w:rPr>
        <w:t>Ethics</w:t>
      </w:r>
      <w:r>
        <w:rPr>
          <w:i/>
          <w:spacing w:val="40"/>
          <w:sz w:val="19"/>
        </w:rPr>
        <w:t> </w:t>
      </w:r>
      <w:r>
        <w:rPr>
          <w:i/>
          <w:sz w:val="19"/>
        </w:rPr>
        <w:t>and Moral</w:t>
      </w:r>
      <w:r>
        <w:rPr>
          <w:i/>
          <w:spacing w:val="40"/>
          <w:sz w:val="19"/>
        </w:rPr>
        <w:t> </w:t>
      </w:r>
      <w:r>
        <w:rPr>
          <w:i/>
          <w:sz w:val="19"/>
        </w:rPr>
        <w:t>Education</w:t>
      </w:r>
      <w:r>
        <w:rPr>
          <w:sz w:val="19"/>
        </w:rPr>
        <w:t>.</w:t>
      </w:r>
      <w:r>
        <w:rPr>
          <w:spacing w:val="40"/>
          <w:sz w:val="19"/>
        </w:rPr>
        <w:t> </w:t>
      </w:r>
      <w:r>
        <w:rPr>
          <w:sz w:val="19"/>
        </w:rPr>
        <w:t>University</w:t>
      </w:r>
      <w:r>
        <w:rPr>
          <w:spacing w:val="40"/>
          <w:sz w:val="19"/>
        </w:rPr>
        <w:t> </w:t>
      </w:r>
      <w:r>
        <w:rPr>
          <w:sz w:val="19"/>
        </w:rPr>
        <w:t>of</w:t>
      </w:r>
      <w:r>
        <w:rPr>
          <w:spacing w:val="40"/>
          <w:sz w:val="19"/>
        </w:rPr>
        <w:t> </w:t>
      </w:r>
      <w:r>
        <w:rPr>
          <w:sz w:val="19"/>
        </w:rPr>
        <w:t>California</w:t>
      </w:r>
      <w:r>
        <w:rPr>
          <w:spacing w:val="40"/>
          <w:sz w:val="19"/>
        </w:rPr>
        <w:t> </w:t>
      </w:r>
      <w:r>
        <w:rPr>
          <w:sz w:val="19"/>
        </w:rPr>
        <w:t>Press,</w:t>
      </w:r>
      <w:r>
        <w:rPr>
          <w:spacing w:val="40"/>
          <w:sz w:val="19"/>
        </w:rPr>
        <w:t> </w:t>
      </w:r>
      <w:r>
        <w:rPr>
          <w:sz w:val="19"/>
        </w:rPr>
        <w:t>1984.</w:t>
      </w:r>
    </w:p>
    <w:p>
      <w:pPr>
        <w:pStyle w:val="ListParagraph"/>
        <w:numPr>
          <w:ilvl w:val="0"/>
          <w:numId w:val="20"/>
        </w:numPr>
        <w:tabs>
          <w:tab w:pos="2157" w:val="left" w:leader="none"/>
        </w:tabs>
        <w:spacing w:line="240" w:lineRule="auto" w:before="59" w:after="0"/>
        <w:ind w:left="2157" w:right="0" w:hanging="312"/>
        <w:jc w:val="left"/>
        <w:rPr>
          <w:sz w:val="19"/>
        </w:rPr>
      </w:pPr>
      <w:r>
        <w:rPr>
          <w:sz w:val="19"/>
        </w:rPr>
        <w:t>Shakespeare,</w:t>
      </w:r>
      <w:r>
        <w:rPr>
          <w:spacing w:val="41"/>
          <w:sz w:val="19"/>
        </w:rPr>
        <w:t> </w:t>
      </w:r>
      <w:r>
        <w:rPr>
          <w:sz w:val="19"/>
        </w:rPr>
        <w:t>William.</w:t>
      </w:r>
      <w:r>
        <w:rPr>
          <w:spacing w:val="43"/>
          <w:sz w:val="19"/>
        </w:rPr>
        <w:t> </w:t>
      </w:r>
      <w:r>
        <w:rPr>
          <w:i/>
          <w:sz w:val="19"/>
        </w:rPr>
        <w:t>Othello</w:t>
      </w:r>
      <w:r>
        <w:rPr>
          <w:sz w:val="19"/>
        </w:rPr>
        <w:t>.</w:t>
      </w:r>
      <w:r>
        <w:rPr>
          <w:spacing w:val="33"/>
          <w:sz w:val="19"/>
        </w:rPr>
        <w:t> </w:t>
      </w:r>
      <w:r>
        <w:rPr>
          <w:sz w:val="19"/>
        </w:rPr>
        <w:t>Arden</w:t>
      </w:r>
      <w:r>
        <w:rPr>
          <w:spacing w:val="41"/>
          <w:sz w:val="19"/>
        </w:rPr>
        <w:t> </w:t>
      </w:r>
      <w:r>
        <w:rPr>
          <w:sz w:val="19"/>
        </w:rPr>
        <w:t>Shakespeare,</w:t>
      </w:r>
      <w:r>
        <w:rPr>
          <w:spacing w:val="40"/>
          <w:sz w:val="19"/>
        </w:rPr>
        <w:t> </w:t>
      </w:r>
      <w:r>
        <w:rPr>
          <w:spacing w:val="-4"/>
          <w:sz w:val="19"/>
        </w:rPr>
        <w:t>2006.</w:t>
      </w:r>
    </w:p>
    <w:p>
      <w:pPr>
        <w:pStyle w:val="ListParagraph"/>
        <w:spacing w:after="0" w:line="240"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39040">
                <wp:simplePos x="0" y="0"/>
                <wp:positionH relativeFrom="page">
                  <wp:posOffset>2057400</wp:posOffset>
                </wp:positionH>
                <wp:positionV relativeFrom="page">
                  <wp:posOffset>1788723</wp:posOffset>
                </wp:positionV>
                <wp:extent cx="3656965" cy="140335"/>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94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477440" type="#_x0000_t202" id="docshape285"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94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spacing w:before="216"/>
        <w:ind w:left="0"/>
      </w:pPr>
    </w:p>
    <w:p>
      <w:pPr>
        <w:spacing w:line="240" w:lineRule="auto"/>
        <w:ind w:left="1072" w:right="0" w:firstLine="0"/>
        <w:rPr>
          <w:sz w:val="20"/>
        </w:rPr>
      </w:pPr>
      <w:r>
        <w:rPr>
          <w:sz w:val="20"/>
        </w:rPr>
        <mc:AlternateContent>
          <mc:Choice Requires="wps">
            <w:drawing>
              <wp:inline distT="0" distB="0" distL="0" distR="0">
                <wp:extent cx="4043679" cy="699770"/>
                <wp:effectExtent l="0" t="0" r="0" b="0"/>
                <wp:docPr id="290" name="Group 290"/>
                <wp:cNvGraphicFramePr>
                  <a:graphicFrameLocks/>
                </wp:cNvGraphicFramePr>
                <a:graphic>
                  <a:graphicData uri="http://schemas.microsoft.com/office/word/2010/wordprocessingGroup">
                    <wpg:wgp>
                      <wpg:cNvPr id="290" name="Group 290"/>
                      <wpg:cNvGrpSpPr/>
                      <wpg:grpSpPr>
                        <a:xfrm>
                          <a:off x="0" y="0"/>
                          <a:ext cx="4043679" cy="699770"/>
                          <a:chExt cx="4043679" cy="699770"/>
                        </a:xfrm>
                      </wpg:grpSpPr>
                      <wps:wsp>
                        <wps:cNvPr id="291" name="Graphic 291"/>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286" coordorigin="0,0" coordsize="6368,1102">
                <v:rect style="position:absolute;left:0;top:0;width:6368;height:1102" id="docshape287"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74880">
                <wp:simplePos x="0" y="0"/>
                <wp:positionH relativeFrom="page">
                  <wp:posOffset>3493008</wp:posOffset>
                </wp:positionH>
                <wp:positionV relativeFrom="paragraph">
                  <wp:posOffset>272923</wp:posOffset>
                </wp:positionV>
                <wp:extent cx="727075" cy="655320"/>
                <wp:effectExtent l="0" t="0" r="0" b="0"/>
                <wp:wrapTopAndBottom/>
                <wp:docPr id="292" name="Group 292"/>
                <wp:cNvGraphicFramePr>
                  <a:graphicFrameLocks/>
                </wp:cNvGraphicFramePr>
                <a:graphic>
                  <a:graphicData uri="http://schemas.microsoft.com/office/word/2010/wordprocessingGroup">
                    <wpg:wgp>
                      <wpg:cNvPr id="292" name="Group 292"/>
                      <wpg:cNvGrpSpPr/>
                      <wpg:grpSpPr>
                        <a:xfrm>
                          <a:off x="0" y="0"/>
                          <a:ext cx="727075" cy="655320"/>
                          <a:chExt cx="727075" cy="655320"/>
                        </a:xfrm>
                      </wpg:grpSpPr>
                      <pic:pic>
                        <pic:nvPicPr>
                          <pic:cNvPr id="293" name="Image 293"/>
                          <pic:cNvPicPr/>
                        </pic:nvPicPr>
                        <pic:blipFill>
                          <a:blip r:embed="rId85" cstate="print"/>
                          <a:stretch>
                            <a:fillRect/>
                          </a:stretch>
                        </pic:blipFill>
                        <pic:spPr>
                          <a:xfrm>
                            <a:off x="0" y="0"/>
                            <a:ext cx="726947" cy="655320"/>
                          </a:xfrm>
                          <a:prstGeom prst="rect">
                            <a:avLst/>
                          </a:prstGeom>
                        </pic:spPr>
                      </pic:pic>
                      <wps:wsp>
                        <wps:cNvPr id="294" name="Textbox 294"/>
                        <wps:cNvSpPr txBox="1"/>
                        <wps:spPr>
                          <a:xfrm>
                            <a:off x="0" y="0"/>
                            <a:ext cx="727075" cy="655320"/>
                          </a:xfrm>
                          <a:prstGeom prst="rect">
                            <a:avLst/>
                          </a:prstGeom>
                        </wps:spPr>
                        <wps:txbx>
                          <w:txbxContent>
                            <w:p>
                              <w:pPr>
                                <w:spacing w:before="355"/>
                                <w:ind w:left="424" w:right="0" w:firstLine="0"/>
                                <w:jc w:val="left"/>
                                <w:rPr>
                                  <w:rFonts w:ascii="Tahoma"/>
                                  <w:b/>
                                  <w:sz w:val="36"/>
                                </w:rPr>
                              </w:pPr>
                              <w:r>
                                <w:rPr>
                                  <w:rFonts w:ascii="Tahoma"/>
                                  <w:b/>
                                  <w:spacing w:val="-5"/>
                                  <w:w w:val="95"/>
                                  <w:sz w:val="36"/>
                                </w:rPr>
                                <w:t>10</w:t>
                              </w:r>
                            </w:p>
                          </w:txbxContent>
                        </wps:txbx>
                        <wps:bodyPr wrap="square" lIns="0" tIns="0" rIns="0" bIns="0" rtlCol="0">
                          <a:noAutofit/>
                        </wps:bodyPr>
                      </wps:wsp>
                    </wpg:wgp>
                  </a:graphicData>
                </a:graphic>
              </wp:anchor>
            </w:drawing>
          </mc:Choice>
          <mc:Fallback>
            <w:pict>
              <v:group style="position:absolute;margin-left:275.040009pt;margin-top:21.490002pt;width:57.25pt;height:51.6pt;mso-position-horizontal-relative:page;mso-position-vertical-relative:paragraph;z-index:-15641600;mso-wrap-distance-left:0;mso-wrap-distance-right:0" id="docshapegroup288" coordorigin="5501,430" coordsize="1145,1032">
                <v:shape style="position:absolute;left:5500;top:429;width:1145;height:1032" type="#_x0000_t75" id="docshape289" stroked="false">
                  <v:imagedata r:id="rId85" o:title=""/>
                </v:shape>
                <v:shape style="position:absolute;left:5500;top:429;width:1145;height:1032" type="#_x0000_t202" id="docshape290" filled="false" stroked="false">
                  <v:textbox inset="0,0,0,0">
                    <w:txbxContent>
                      <w:p>
                        <w:pPr>
                          <w:spacing w:before="355"/>
                          <w:ind w:left="424" w:right="0" w:firstLine="0"/>
                          <w:jc w:val="left"/>
                          <w:rPr>
                            <w:rFonts w:ascii="Tahoma"/>
                            <w:b/>
                            <w:sz w:val="36"/>
                          </w:rPr>
                        </w:pPr>
                        <w:r>
                          <w:rPr>
                            <w:rFonts w:ascii="Tahoma"/>
                            <w:b/>
                            <w:spacing w:val="-5"/>
                            <w:w w:val="95"/>
                            <w:sz w:val="36"/>
                          </w:rPr>
                          <w:t>10</w:t>
                        </w:r>
                      </w:p>
                    </w:txbxContent>
                  </v:textbox>
                  <w10:wrap type="none"/>
                </v:shape>
                <w10:wrap type="topAndBottom"/>
              </v:group>
            </w:pict>
          </mc:Fallback>
        </mc:AlternateContent>
      </w:r>
    </w:p>
    <w:p>
      <w:pPr>
        <w:pStyle w:val="Heading1"/>
        <w:spacing w:line="211" w:lineRule="auto" w:before="8"/>
        <w:ind w:left="1644" w:right="1648" w:firstLine="2"/>
      </w:pPr>
      <w:r>
        <w:rPr/>
        <w:t>The</w:t>
      </w:r>
      <w:r>
        <w:rPr>
          <w:spacing w:val="-20"/>
        </w:rPr>
        <w:t> </w:t>
      </w:r>
      <w:r>
        <w:rPr/>
        <w:t>Shakespearean</w:t>
      </w:r>
      <w:r>
        <w:rPr>
          <w:spacing w:val="-20"/>
        </w:rPr>
        <w:t> </w:t>
      </w:r>
      <w:r>
        <w:rPr/>
        <w:t>Mirror: Analyzing</w:t>
      </w:r>
      <w:r>
        <w:rPr>
          <w:spacing w:val="-12"/>
        </w:rPr>
        <w:t> </w:t>
      </w:r>
      <w:r>
        <w:rPr/>
        <w:t>Gender,</w:t>
      </w:r>
      <w:r>
        <w:rPr>
          <w:spacing w:val="-11"/>
        </w:rPr>
        <w:t> </w:t>
      </w:r>
      <w:r>
        <w:rPr/>
        <w:t>Patriarchy</w:t>
      </w:r>
      <w:r>
        <w:rPr>
          <w:spacing w:val="-12"/>
        </w:rPr>
        <w:t> </w:t>
      </w:r>
      <w:r>
        <w:rPr/>
        <w:t>and</w:t>
      </w:r>
    </w:p>
    <w:p>
      <w:pPr>
        <w:spacing w:line="347" w:lineRule="exact" w:before="0"/>
        <w:ind w:left="0" w:right="0" w:firstLine="0"/>
        <w:jc w:val="center"/>
        <w:rPr>
          <w:rFonts w:ascii="Tahoma"/>
          <w:b/>
          <w:sz w:val="32"/>
        </w:rPr>
      </w:pPr>
      <w:r>
        <w:rPr>
          <w:rFonts w:ascii="Tahoma"/>
          <w:b/>
          <w:spacing w:val="-10"/>
          <w:sz w:val="32"/>
          <w:u w:val="single"/>
        </w:rPr>
        <w:t> Intersectionality</w:t>
      </w:r>
      <w:r>
        <w:rPr>
          <w:rFonts w:ascii="Tahoma"/>
          <w:b/>
          <w:spacing w:val="-4"/>
          <w:sz w:val="32"/>
          <w:u w:val="single"/>
        </w:rPr>
        <w:t> </w:t>
      </w:r>
      <w:r>
        <w:rPr>
          <w:rFonts w:ascii="Tahoma"/>
          <w:b/>
          <w:spacing w:val="-10"/>
          <w:sz w:val="32"/>
          <w:u w:val="single"/>
        </w:rPr>
        <w:t>in</w:t>
      </w:r>
      <w:r>
        <w:rPr>
          <w:rFonts w:ascii="Tahoma"/>
          <w:b/>
          <w:spacing w:val="-2"/>
          <w:sz w:val="32"/>
          <w:u w:val="single"/>
        </w:rPr>
        <w:t> </w:t>
      </w:r>
      <w:r>
        <w:rPr>
          <w:rFonts w:ascii="Tahoma"/>
          <w:b/>
          <w:spacing w:val="-10"/>
          <w:sz w:val="32"/>
          <w:u w:val="single"/>
        </w:rPr>
        <w:t>the</w:t>
      </w:r>
      <w:r>
        <w:rPr>
          <w:rFonts w:ascii="Tahoma"/>
          <w:b/>
          <w:spacing w:val="-4"/>
          <w:sz w:val="32"/>
          <w:u w:val="single"/>
        </w:rPr>
        <w:t> </w:t>
      </w:r>
      <w:r>
        <w:rPr>
          <w:rFonts w:ascii="Tahoma"/>
          <w:b/>
          <w:spacing w:val="-10"/>
          <w:sz w:val="32"/>
          <w:u w:val="single"/>
        </w:rPr>
        <w:t>#</w:t>
      </w:r>
      <w:r>
        <w:rPr>
          <w:rFonts w:ascii="Tahoma"/>
          <w:b/>
          <w:spacing w:val="-5"/>
          <w:sz w:val="32"/>
          <w:u w:val="single"/>
        </w:rPr>
        <w:t> </w:t>
      </w:r>
      <w:r>
        <w:rPr>
          <w:rFonts w:ascii="Tahoma"/>
          <w:b/>
          <w:spacing w:val="-10"/>
          <w:sz w:val="32"/>
          <w:u w:val="single"/>
        </w:rPr>
        <w:t>MeToo</w:t>
      </w:r>
      <w:r>
        <w:rPr>
          <w:rFonts w:ascii="Tahoma"/>
          <w:b/>
          <w:spacing w:val="-4"/>
          <w:sz w:val="32"/>
          <w:u w:val="single"/>
        </w:rPr>
        <w:t> </w:t>
      </w:r>
      <w:r>
        <w:rPr>
          <w:rFonts w:ascii="Tahoma"/>
          <w:b/>
          <w:spacing w:val="-10"/>
          <w:sz w:val="32"/>
          <w:u w:val="single"/>
        </w:rPr>
        <w:t>Era</w:t>
      </w:r>
      <w:r>
        <w:rPr>
          <w:rFonts w:ascii="Tahoma"/>
          <w:b/>
          <w:spacing w:val="40"/>
          <w:sz w:val="32"/>
          <w:u w:val="single"/>
        </w:rPr>
        <w:t> </w:t>
      </w:r>
    </w:p>
    <w:p>
      <w:pPr>
        <w:pStyle w:val="BodyText"/>
        <w:spacing w:before="11"/>
        <w:ind w:left="0"/>
        <w:rPr>
          <w:rFonts w:ascii="Tahoma"/>
          <w:b/>
          <w:sz w:val="5"/>
        </w:rPr>
      </w:pPr>
      <w:r>
        <w:rPr>
          <w:rFonts w:ascii="Tahoma"/>
          <w:b/>
          <w:sz w:val="5"/>
        </w:rPr>
        <mc:AlternateContent>
          <mc:Choice Requires="wps">
            <w:drawing>
              <wp:anchor distT="0" distB="0" distL="0" distR="0" allowOverlap="1" layoutInCell="1" locked="0" behindDoc="1" simplePos="0" relativeHeight="487675392">
                <wp:simplePos x="0" y="0"/>
                <wp:positionH relativeFrom="page">
                  <wp:posOffset>2057400</wp:posOffset>
                </wp:positionH>
                <wp:positionV relativeFrom="paragraph">
                  <wp:posOffset>60559</wp:posOffset>
                </wp:positionV>
                <wp:extent cx="3657600" cy="7620"/>
                <wp:effectExtent l="0" t="0" r="0" b="0"/>
                <wp:wrapTopAndBottom/>
                <wp:docPr id="295" name="Graphic 295"/>
                <wp:cNvGraphicFramePr>
                  <a:graphicFrameLocks/>
                </wp:cNvGraphicFramePr>
                <a:graphic>
                  <a:graphicData uri="http://schemas.microsoft.com/office/word/2010/wordprocessingShape">
                    <wps:wsp>
                      <wps:cNvPr id="295" name="Graphic 295"/>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68484pt;width:288.000009pt;height:.599991pt;mso-position-horizontal-relative:page;mso-position-vertical-relative:paragraph;z-index:-15641088;mso-wrap-distance-left:0;mso-wrap-distance-right:0" id="docshape291"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7"/>
        <w:jc w:val="right"/>
        <w:rPr>
          <w:rFonts w:ascii="Times New Roman"/>
        </w:rPr>
      </w:pPr>
      <w:bookmarkStart w:name="_TOC_250000" w:id="7"/>
      <w:r>
        <w:rPr>
          <w:rFonts w:ascii="Times New Roman"/>
        </w:rPr>
        <w:t>Radhika</w:t>
      </w:r>
      <w:r>
        <w:rPr>
          <w:rFonts w:ascii="Times New Roman"/>
          <w:spacing w:val="59"/>
          <w:w w:val="150"/>
        </w:rPr>
        <w:t> </w:t>
      </w:r>
      <w:bookmarkEnd w:id="7"/>
      <w:r>
        <w:rPr>
          <w:rFonts w:ascii="Times New Roman"/>
          <w:spacing w:val="-2"/>
        </w:rPr>
        <w:t>Gangeddula</w:t>
      </w:r>
    </w:p>
    <w:p>
      <w:pPr>
        <w:spacing w:line="249" w:lineRule="auto" w:before="15"/>
        <w:ind w:left="2908" w:right="1438" w:firstLine="780"/>
        <w:jc w:val="right"/>
        <w:rPr>
          <w:i/>
          <w:sz w:val="19"/>
        </w:rPr>
      </w:pPr>
      <w:r>
        <w:rPr>
          <w:i/>
          <w:sz w:val="19"/>
        </w:rPr>
        <w:t>Research</w:t>
      </w:r>
      <w:r>
        <w:rPr>
          <w:i/>
          <w:spacing w:val="40"/>
          <w:sz w:val="19"/>
        </w:rPr>
        <w:t> </w:t>
      </w:r>
      <w:r>
        <w:rPr>
          <w:i/>
          <w:sz w:val="19"/>
        </w:rPr>
        <w:t>Scholar,</w:t>
      </w:r>
      <w:r>
        <w:rPr>
          <w:i/>
          <w:spacing w:val="40"/>
          <w:sz w:val="19"/>
        </w:rPr>
        <w:t> </w:t>
      </w:r>
      <w:r>
        <w:rPr>
          <w:i/>
          <w:sz w:val="19"/>
        </w:rPr>
        <w:t>Department</w:t>
      </w:r>
      <w:r>
        <w:rPr>
          <w:i/>
          <w:spacing w:val="40"/>
          <w:sz w:val="19"/>
        </w:rPr>
        <w:t> </w:t>
      </w:r>
      <w:r>
        <w:rPr>
          <w:i/>
          <w:sz w:val="19"/>
        </w:rPr>
        <w:t>of</w:t>
      </w:r>
      <w:r>
        <w:rPr>
          <w:i/>
          <w:spacing w:val="40"/>
          <w:sz w:val="19"/>
        </w:rPr>
        <w:t> </w:t>
      </w:r>
      <w:r>
        <w:rPr>
          <w:i/>
          <w:sz w:val="19"/>
        </w:rPr>
        <w:t>English, Yogi</w:t>
      </w:r>
      <w:r>
        <w:rPr>
          <w:i/>
          <w:spacing w:val="56"/>
          <w:sz w:val="19"/>
        </w:rPr>
        <w:t> </w:t>
      </w:r>
      <w:r>
        <w:rPr>
          <w:i/>
          <w:sz w:val="19"/>
        </w:rPr>
        <w:t>Vemana</w:t>
      </w:r>
      <w:r>
        <w:rPr>
          <w:i/>
          <w:spacing w:val="58"/>
          <w:sz w:val="19"/>
        </w:rPr>
        <w:t> </w:t>
      </w:r>
      <w:r>
        <w:rPr>
          <w:i/>
          <w:sz w:val="19"/>
        </w:rPr>
        <w:t>University,</w:t>
      </w:r>
      <w:r>
        <w:rPr>
          <w:i/>
          <w:spacing w:val="54"/>
          <w:sz w:val="19"/>
        </w:rPr>
        <w:t> </w:t>
      </w:r>
      <w:r>
        <w:rPr>
          <w:i/>
          <w:sz w:val="19"/>
        </w:rPr>
        <w:t>Kadapa,</w:t>
      </w:r>
      <w:r>
        <w:rPr>
          <w:i/>
          <w:spacing w:val="54"/>
          <w:sz w:val="19"/>
        </w:rPr>
        <w:t> </w:t>
      </w:r>
      <w:r>
        <w:rPr>
          <w:i/>
          <w:sz w:val="19"/>
        </w:rPr>
        <w:t>Andhra</w:t>
      </w:r>
      <w:r>
        <w:rPr>
          <w:i/>
          <w:spacing w:val="56"/>
          <w:sz w:val="19"/>
        </w:rPr>
        <w:t> </w:t>
      </w:r>
      <w:r>
        <w:rPr>
          <w:i/>
          <w:spacing w:val="-2"/>
          <w:sz w:val="19"/>
        </w:rPr>
        <w:t>Pradesh.</w:t>
      </w:r>
    </w:p>
    <w:p>
      <w:pPr>
        <w:pStyle w:val="BodyText"/>
        <w:spacing w:before="153"/>
        <w:ind w:left="0"/>
        <w:rPr>
          <w:i/>
          <w:sz w:val="19"/>
        </w:rPr>
      </w:pPr>
    </w:p>
    <w:p>
      <w:pPr>
        <w:pStyle w:val="Heading3"/>
        <w:spacing w:before="0"/>
      </w:pPr>
      <w:r>
        <w:rPr>
          <w:spacing w:val="-2"/>
        </w:rPr>
        <w:t>ABSTRACT</w:t>
      </w:r>
    </w:p>
    <w:p>
      <w:pPr>
        <w:pStyle w:val="BodyText"/>
        <w:spacing w:line="249" w:lineRule="auto" w:before="75"/>
        <w:ind w:right="1437" w:firstLine="432"/>
        <w:jc w:val="both"/>
      </w:pPr>
      <w:r>
        <w:rPr/>
        <w:t>The #MeToo movement has played a significant role in altering modern beliefs regarding gender, authority, and sexual politics. It has also changed the interpretation of canonical texts, as they are viewed through</w:t>
      </w:r>
      <w:r>
        <w:rPr>
          <w:spacing w:val="-6"/>
        </w:rPr>
        <w:t> </w:t>
      </w:r>
      <w:r>
        <w:rPr/>
        <w:t>both</w:t>
      </w:r>
      <w:r>
        <w:rPr>
          <w:spacing w:val="-6"/>
        </w:rPr>
        <w:t> </w:t>
      </w:r>
      <w:r>
        <w:rPr/>
        <w:t>feminist</w:t>
      </w:r>
      <w:r>
        <w:rPr>
          <w:spacing w:val="-5"/>
        </w:rPr>
        <w:t> </w:t>
      </w:r>
      <w:r>
        <w:rPr/>
        <w:t>and</w:t>
      </w:r>
      <w:r>
        <w:rPr>
          <w:spacing w:val="-5"/>
        </w:rPr>
        <w:t> </w:t>
      </w:r>
      <w:r>
        <w:rPr/>
        <w:t>intersectional</w:t>
      </w:r>
      <w:r>
        <w:rPr>
          <w:spacing w:val="-5"/>
        </w:rPr>
        <w:t> </w:t>
      </w:r>
      <w:r>
        <w:rPr/>
        <w:t>perspectives.</w:t>
      </w:r>
      <w:r>
        <w:rPr>
          <w:spacing w:val="-5"/>
        </w:rPr>
        <w:t> </w:t>
      </w:r>
      <w:r>
        <w:rPr/>
        <w:t>This</w:t>
      </w:r>
      <w:r>
        <w:rPr>
          <w:spacing w:val="-5"/>
        </w:rPr>
        <w:t> </w:t>
      </w:r>
      <w:r>
        <w:rPr/>
        <w:t>paper</w:t>
      </w:r>
      <w:r>
        <w:rPr>
          <w:spacing w:val="-5"/>
        </w:rPr>
        <w:t> </w:t>
      </w:r>
      <w:r>
        <w:rPr/>
        <w:t>details the portrayal of women in William Shakespeare’s plays through a patriarchal structure and connects these portrayals to the women in the contemporary society as a part of #Me Too movement.</w:t>
      </w:r>
      <w:r>
        <w:rPr>
          <w:spacing w:val="-1"/>
        </w:rPr>
        <w:t> </w:t>
      </w:r>
      <w:r>
        <w:rPr/>
        <w:t>Although there have been many interpretations of Shakespeare’s female characters having an obedient persona or being rebellious, a more thorough </w:t>
      </w:r>
      <w:r>
        <w:rPr>
          <w:spacing w:val="-2"/>
        </w:rPr>
        <w:t>investigation</w:t>
      </w:r>
      <w:r>
        <w:rPr>
          <w:spacing w:val="-11"/>
        </w:rPr>
        <w:t> </w:t>
      </w:r>
      <w:r>
        <w:rPr>
          <w:spacing w:val="-2"/>
        </w:rPr>
        <w:t>of</w:t>
      </w:r>
      <w:r>
        <w:rPr>
          <w:spacing w:val="-10"/>
        </w:rPr>
        <w:t> </w:t>
      </w:r>
      <w:r>
        <w:rPr>
          <w:spacing w:val="-2"/>
        </w:rPr>
        <w:t>the</w:t>
      </w:r>
      <w:r>
        <w:rPr>
          <w:spacing w:val="-10"/>
        </w:rPr>
        <w:t> </w:t>
      </w:r>
      <w:r>
        <w:rPr>
          <w:spacing w:val="-2"/>
        </w:rPr>
        <w:t>female</w:t>
      </w:r>
      <w:r>
        <w:rPr>
          <w:spacing w:val="-7"/>
        </w:rPr>
        <w:t> </w:t>
      </w:r>
      <w:r>
        <w:rPr>
          <w:spacing w:val="-2"/>
        </w:rPr>
        <w:t>characters</w:t>
      </w:r>
      <w:r>
        <w:rPr>
          <w:spacing w:val="-9"/>
        </w:rPr>
        <w:t> </w:t>
      </w:r>
      <w:r>
        <w:rPr>
          <w:spacing w:val="-2"/>
        </w:rPr>
        <w:t>shows</w:t>
      </w:r>
      <w:r>
        <w:rPr>
          <w:spacing w:val="-9"/>
        </w:rPr>
        <w:t> </w:t>
      </w:r>
      <w:r>
        <w:rPr>
          <w:spacing w:val="-2"/>
        </w:rPr>
        <w:t>that</w:t>
      </w:r>
      <w:r>
        <w:rPr>
          <w:spacing w:val="-8"/>
        </w:rPr>
        <w:t> </w:t>
      </w:r>
      <w:r>
        <w:rPr>
          <w:spacing w:val="-2"/>
        </w:rPr>
        <w:t>they</w:t>
      </w:r>
      <w:r>
        <w:rPr>
          <w:spacing w:val="-11"/>
        </w:rPr>
        <w:t> </w:t>
      </w:r>
      <w:r>
        <w:rPr>
          <w:spacing w:val="-2"/>
        </w:rPr>
        <w:t>were</w:t>
      </w:r>
      <w:r>
        <w:rPr>
          <w:spacing w:val="-6"/>
        </w:rPr>
        <w:t> </w:t>
      </w:r>
      <w:r>
        <w:rPr>
          <w:spacing w:val="-2"/>
        </w:rPr>
        <w:t>more</w:t>
      </w:r>
      <w:r>
        <w:rPr>
          <w:spacing w:val="-7"/>
        </w:rPr>
        <w:t> </w:t>
      </w:r>
      <w:r>
        <w:rPr>
          <w:spacing w:val="-2"/>
        </w:rPr>
        <w:t>complex </w:t>
      </w:r>
      <w:r>
        <w:rPr/>
        <w:t>than either of the two labels would suggest, and that there was an ongoing, underlying conflict between the two states, and that the underlying conflict represents a tension between independence and oppression.</w:t>
      </w:r>
      <w:r>
        <w:rPr>
          <w:spacing w:val="-6"/>
        </w:rPr>
        <w:t> </w:t>
      </w:r>
      <w:r>
        <w:rPr/>
        <w:t>Utilizing</w:t>
      </w:r>
      <w:r>
        <w:rPr>
          <w:spacing w:val="-6"/>
        </w:rPr>
        <w:t> </w:t>
      </w:r>
      <w:r>
        <w:rPr/>
        <w:t>feminist</w:t>
      </w:r>
      <w:r>
        <w:rPr>
          <w:spacing w:val="-8"/>
        </w:rPr>
        <w:t> </w:t>
      </w:r>
      <w:r>
        <w:rPr/>
        <w:t>theory</w:t>
      </w:r>
      <w:r>
        <w:rPr>
          <w:spacing w:val="-10"/>
        </w:rPr>
        <w:t> </w:t>
      </w:r>
      <w:r>
        <w:rPr/>
        <w:t>with</w:t>
      </w:r>
      <w:r>
        <w:rPr>
          <w:spacing w:val="-8"/>
        </w:rPr>
        <w:t> </w:t>
      </w:r>
      <w:r>
        <w:rPr/>
        <w:t>a</w:t>
      </w:r>
      <w:r>
        <w:rPr>
          <w:spacing w:val="-6"/>
        </w:rPr>
        <w:t> </w:t>
      </w:r>
      <w:r>
        <w:rPr/>
        <w:t>focus</w:t>
      </w:r>
      <w:r>
        <w:rPr>
          <w:spacing w:val="-8"/>
        </w:rPr>
        <w:t> </w:t>
      </w:r>
      <w:r>
        <w:rPr/>
        <w:t>on</w:t>
      </w:r>
      <w:r>
        <w:rPr>
          <w:spacing w:val="-6"/>
        </w:rPr>
        <w:t> </w:t>
      </w:r>
      <w:r>
        <w:rPr/>
        <w:t>Intersectionality</w:t>
      </w:r>
      <w:r>
        <w:rPr>
          <w:spacing w:val="-10"/>
        </w:rPr>
        <w:t> </w:t>
      </w:r>
      <w:r>
        <w:rPr/>
        <w:t>as a foundation for analysis, the article will analyze how factors such as gender, social class, and social position impact a female’s experiences within Shakespeare’s works. Through textual analysis of select female characters, such as Desdemona, Ophelia, Lady Macbeth, and Portia;</w:t>
      </w:r>
      <w:r>
        <w:rPr>
          <w:spacing w:val="40"/>
        </w:rPr>
        <w:t> </w:t>
      </w:r>
      <w:r>
        <w:rPr/>
        <w:t>this paper lays an emphasis on the supporting patriarchal systems that regulate</w:t>
      </w:r>
      <w:r>
        <w:rPr>
          <w:spacing w:val="64"/>
          <w:w w:val="150"/>
        </w:rPr>
        <w:t> </w:t>
      </w:r>
      <w:r>
        <w:rPr/>
        <w:t>the</w:t>
      </w:r>
      <w:r>
        <w:rPr>
          <w:spacing w:val="63"/>
          <w:w w:val="150"/>
        </w:rPr>
        <w:t> </w:t>
      </w:r>
      <w:r>
        <w:rPr/>
        <w:t>independence</w:t>
      </w:r>
      <w:r>
        <w:rPr>
          <w:spacing w:val="62"/>
          <w:w w:val="150"/>
        </w:rPr>
        <w:t> </w:t>
      </w:r>
      <w:r>
        <w:rPr/>
        <w:t>of</w:t>
      </w:r>
      <w:r>
        <w:rPr>
          <w:spacing w:val="62"/>
          <w:w w:val="150"/>
        </w:rPr>
        <w:t> </w:t>
      </w:r>
      <w:r>
        <w:rPr/>
        <w:t>women.</w:t>
      </w:r>
      <w:r>
        <w:rPr>
          <w:spacing w:val="66"/>
          <w:w w:val="150"/>
        </w:rPr>
        <w:t> </w:t>
      </w:r>
      <w:r>
        <w:rPr/>
        <w:t>Ultimately,</w:t>
      </w:r>
      <w:r>
        <w:rPr>
          <w:spacing w:val="64"/>
          <w:w w:val="150"/>
        </w:rPr>
        <w:t> </w:t>
      </w:r>
      <w:r>
        <w:rPr/>
        <w:t>the</w:t>
      </w:r>
      <w:r>
        <w:rPr>
          <w:spacing w:val="65"/>
          <w:w w:val="150"/>
        </w:rPr>
        <w:t> </w:t>
      </w:r>
      <w:r>
        <w:rPr/>
        <w:t>works</w:t>
      </w:r>
      <w:r>
        <w:rPr>
          <w:spacing w:val="63"/>
          <w:w w:val="150"/>
        </w:rPr>
        <w:t> </w:t>
      </w:r>
      <w:r>
        <w:rPr>
          <w:spacing w:val="-5"/>
        </w:rPr>
        <w:t>of</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676416">
                <wp:simplePos x="0" y="0"/>
                <wp:positionH relativeFrom="page">
                  <wp:posOffset>2065020</wp:posOffset>
                </wp:positionH>
                <wp:positionV relativeFrom="paragraph">
                  <wp:posOffset>162604</wp:posOffset>
                </wp:positionV>
                <wp:extent cx="3657600" cy="12700"/>
                <wp:effectExtent l="0" t="0" r="0" b="0"/>
                <wp:wrapTopAndBottom/>
                <wp:docPr id="296" name="Graphic 296"/>
                <wp:cNvGraphicFramePr>
                  <a:graphicFrameLocks/>
                </wp:cNvGraphicFramePr>
                <a:graphic>
                  <a:graphicData uri="http://schemas.microsoft.com/office/word/2010/wordprocessingShape">
                    <wps:wsp>
                      <wps:cNvPr id="296" name="Graphic 29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40064;mso-wrap-distance-left:0;mso-wrap-distance-right:0" id="docshape292" filled="true" fillcolor="#000000" stroked="false">
                <v:fill type="solid"/>
                <w10:wrap type="topAndBottom"/>
              </v:rect>
            </w:pict>
          </mc:Fallback>
        </mc:AlternateContent>
      </w:r>
      <w:r>
        <w:rPr>
          <w:rFonts w:ascii="Verdana"/>
          <w:spacing w:val="-2"/>
          <w:sz w:val="18"/>
        </w:rPr>
        <w:t>The</w:t>
      </w:r>
      <w:r>
        <w:rPr>
          <w:rFonts w:ascii="Verdana"/>
          <w:spacing w:val="-6"/>
          <w:sz w:val="18"/>
        </w:rPr>
        <w:t> </w:t>
      </w:r>
      <w:r>
        <w:rPr>
          <w:rFonts w:ascii="Verdana"/>
          <w:spacing w:val="-2"/>
          <w:sz w:val="18"/>
        </w:rPr>
        <w:t>Shakespearean</w:t>
      </w:r>
      <w:r>
        <w:rPr>
          <w:rFonts w:ascii="Verdana"/>
          <w:spacing w:val="-4"/>
          <w:sz w:val="18"/>
        </w:rPr>
        <w:t> </w:t>
      </w:r>
      <w:r>
        <w:rPr>
          <w:rFonts w:ascii="Verdana"/>
          <w:spacing w:val="-2"/>
          <w:sz w:val="18"/>
        </w:rPr>
        <w:t>Mirror:</w:t>
      </w:r>
      <w:r>
        <w:rPr>
          <w:rFonts w:ascii="Verdana"/>
          <w:spacing w:val="-7"/>
          <w:sz w:val="18"/>
        </w:rPr>
        <w:t> </w:t>
      </w:r>
      <w:r>
        <w:rPr>
          <w:rFonts w:ascii="Verdana"/>
          <w:spacing w:val="-2"/>
          <w:sz w:val="18"/>
        </w:rPr>
        <w:t>Analyzing</w:t>
      </w:r>
      <w:r>
        <w:rPr>
          <w:rFonts w:ascii="Verdana"/>
          <w:spacing w:val="-6"/>
          <w:sz w:val="18"/>
        </w:rPr>
        <w:t> </w:t>
      </w:r>
      <w:r>
        <w:rPr>
          <w:rFonts w:ascii="Verdana"/>
          <w:spacing w:val="-2"/>
          <w:sz w:val="18"/>
        </w:rPr>
        <w:t>Gender,</w:t>
      </w:r>
      <w:r>
        <w:rPr>
          <w:rFonts w:ascii="Verdana"/>
          <w:spacing w:val="-7"/>
          <w:sz w:val="18"/>
        </w:rPr>
        <w:t> </w:t>
      </w:r>
      <w:r>
        <w:rPr>
          <w:rFonts w:ascii="Verdana"/>
          <w:spacing w:val="-2"/>
          <w:sz w:val="18"/>
        </w:rPr>
        <w:t>Patriarchy...</w:t>
      </w:r>
      <w:r>
        <w:rPr>
          <w:rFonts w:ascii="Verdana"/>
          <w:sz w:val="18"/>
        </w:rPr>
        <w:tab/>
      </w:r>
      <w:r>
        <w:rPr>
          <w:rFonts w:ascii="Verdana"/>
          <w:spacing w:val="-5"/>
          <w:sz w:val="18"/>
        </w:rPr>
        <w:t>95</w:t>
      </w:r>
    </w:p>
    <w:p>
      <w:pPr>
        <w:pStyle w:val="BodyText"/>
        <w:spacing w:line="249" w:lineRule="auto" w:before="192"/>
        <w:ind w:right="1439"/>
        <w:jc w:val="both"/>
      </w:pPr>
      <w:r>
        <w:rPr/>
        <w:t>Shakespeare</w:t>
      </w:r>
      <w:r>
        <w:rPr>
          <w:spacing w:val="-5"/>
        </w:rPr>
        <w:t> </w:t>
      </w:r>
      <w:r>
        <w:rPr/>
        <w:t>will</w:t>
      </w:r>
      <w:r>
        <w:rPr>
          <w:spacing w:val="-4"/>
        </w:rPr>
        <w:t> </w:t>
      </w:r>
      <w:r>
        <w:rPr/>
        <w:t>be</w:t>
      </w:r>
      <w:r>
        <w:rPr>
          <w:spacing w:val="-3"/>
        </w:rPr>
        <w:t> </w:t>
      </w:r>
      <w:r>
        <w:rPr/>
        <w:t>seen</w:t>
      </w:r>
      <w:r>
        <w:rPr>
          <w:spacing w:val="-6"/>
        </w:rPr>
        <w:t> </w:t>
      </w:r>
      <w:r>
        <w:rPr/>
        <w:t>as</w:t>
      </w:r>
      <w:r>
        <w:rPr>
          <w:spacing w:val="-6"/>
        </w:rPr>
        <w:t> </w:t>
      </w:r>
      <w:r>
        <w:rPr/>
        <w:t>still</w:t>
      </w:r>
      <w:r>
        <w:rPr>
          <w:spacing w:val="-3"/>
        </w:rPr>
        <w:t> </w:t>
      </w:r>
      <w:r>
        <w:rPr/>
        <w:t>having</w:t>
      </w:r>
      <w:r>
        <w:rPr>
          <w:spacing w:val="-6"/>
        </w:rPr>
        <w:t> </w:t>
      </w:r>
      <w:r>
        <w:rPr/>
        <w:t>significant</w:t>
      </w:r>
      <w:r>
        <w:rPr>
          <w:spacing w:val="-4"/>
        </w:rPr>
        <w:t> </w:t>
      </w:r>
      <w:r>
        <w:rPr/>
        <w:t>critical</w:t>
      </w:r>
      <w:r>
        <w:rPr>
          <w:spacing w:val="-6"/>
        </w:rPr>
        <w:t> </w:t>
      </w:r>
      <w:r>
        <w:rPr/>
        <w:t>relevance</w:t>
      </w:r>
      <w:r>
        <w:rPr>
          <w:spacing w:val="-4"/>
        </w:rPr>
        <w:t> </w:t>
      </w:r>
      <w:r>
        <w:rPr/>
        <w:t>for understanding ongoing required changes in gender-based power relationships, specifically through contemporary movements such as #Me</w:t>
      </w:r>
      <w:r>
        <w:rPr>
          <w:spacing w:val="40"/>
        </w:rPr>
        <w:t> </w:t>
      </w:r>
      <w:r>
        <w:rPr/>
        <w:t>Too.</w:t>
      </w:r>
    </w:p>
    <w:p>
      <w:pPr>
        <w:pStyle w:val="BodyText"/>
        <w:spacing w:line="249" w:lineRule="auto" w:before="61"/>
        <w:ind w:right="1441" w:firstLine="432"/>
        <w:jc w:val="both"/>
      </w:pPr>
      <w:r>
        <w:rPr>
          <w:b/>
          <w:spacing w:val="-2"/>
        </w:rPr>
        <w:t>Keywords:</w:t>
      </w:r>
      <w:r>
        <w:rPr>
          <w:b/>
          <w:spacing w:val="-11"/>
        </w:rPr>
        <w:t> </w:t>
      </w:r>
      <w:r>
        <w:rPr>
          <w:spacing w:val="-2"/>
        </w:rPr>
        <w:t>Gender,</w:t>
      </w:r>
      <w:r>
        <w:rPr>
          <w:spacing w:val="-10"/>
        </w:rPr>
        <w:t> </w:t>
      </w:r>
      <w:r>
        <w:rPr>
          <w:spacing w:val="-2"/>
        </w:rPr>
        <w:t>Feminism,</w:t>
      </w:r>
      <w:r>
        <w:rPr>
          <w:spacing w:val="-11"/>
        </w:rPr>
        <w:t> </w:t>
      </w:r>
      <w:r>
        <w:rPr>
          <w:spacing w:val="-2"/>
        </w:rPr>
        <w:t>Intersectionality,</w:t>
      </w:r>
      <w:r>
        <w:rPr>
          <w:spacing w:val="-8"/>
        </w:rPr>
        <w:t> </w:t>
      </w:r>
      <w:r>
        <w:rPr>
          <w:spacing w:val="-2"/>
        </w:rPr>
        <w:t>Power,</w:t>
      </w:r>
      <w:r>
        <w:rPr>
          <w:spacing w:val="-9"/>
        </w:rPr>
        <w:t> </w:t>
      </w:r>
      <w:r>
        <w:rPr>
          <w:spacing w:val="-2"/>
        </w:rPr>
        <w:t>Patriarchy, </w:t>
      </w:r>
      <w:r>
        <w:rPr/>
        <w:t>Shakespeare, Criticise</w:t>
      </w:r>
    </w:p>
    <w:p>
      <w:pPr>
        <w:pStyle w:val="Heading3"/>
        <w:spacing w:before="155"/>
      </w:pPr>
      <w:r>
        <w:rPr>
          <w:spacing w:val="-2"/>
          <w:w w:val="95"/>
        </w:rPr>
        <w:t>INTRODUCTION:</w:t>
      </w:r>
    </w:p>
    <w:p>
      <w:pPr>
        <w:pStyle w:val="BodyText"/>
        <w:spacing w:line="249" w:lineRule="auto" w:before="75"/>
        <w:ind w:right="1438" w:firstLine="432"/>
        <w:jc w:val="both"/>
      </w:pPr>
      <w:r>
        <w:rPr/>
        <w:t>The #MeToo movement’s resurgence has caused a significant</w:t>
      </w:r>
      <w:r>
        <w:rPr>
          <w:spacing w:val="40"/>
        </w:rPr>
        <w:t> </w:t>
      </w:r>
      <w:r>
        <w:rPr/>
        <w:t>shift in the nature of current discussions on gender, authority, and sexual politics. This period of cultural turmoil has not only resulted in an indictment against the persistent sexual harassment practices but</w:t>
      </w:r>
      <w:r>
        <w:rPr>
          <w:spacing w:val="40"/>
        </w:rPr>
        <w:t> </w:t>
      </w:r>
      <w:r>
        <w:rPr/>
        <w:t>also</w:t>
      </w:r>
      <w:r>
        <w:rPr>
          <w:spacing w:val="-2"/>
        </w:rPr>
        <w:t> </w:t>
      </w:r>
      <w:r>
        <w:rPr/>
        <w:t>presents</w:t>
      </w:r>
      <w:r>
        <w:rPr>
          <w:spacing w:val="-4"/>
        </w:rPr>
        <w:t> </w:t>
      </w:r>
      <w:r>
        <w:rPr/>
        <w:t>a</w:t>
      </w:r>
      <w:r>
        <w:rPr>
          <w:spacing w:val="-1"/>
        </w:rPr>
        <w:t> </w:t>
      </w:r>
      <w:r>
        <w:rPr/>
        <w:t>direct</w:t>
      </w:r>
      <w:r>
        <w:rPr>
          <w:spacing w:val="-4"/>
        </w:rPr>
        <w:t> </w:t>
      </w:r>
      <w:r>
        <w:rPr/>
        <w:t>challenge</w:t>
      </w:r>
      <w:r>
        <w:rPr>
          <w:spacing w:val="-4"/>
        </w:rPr>
        <w:t> </w:t>
      </w:r>
      <w:r>
        <w:rPr/>
        <w:t>to</w:t>
      </w:r>
      <w:r>
        <w:rPr>
          <w:spacing w:val="-2"/>
        </w:rPr>
        <w:t> </w:t>
      </w:r>
      <w:r>
        <w:rPr/>
        <w:t>the</w:t>
      </w:r>
      <w:r>
        <w:rPr>
          <w:spacing w:val="-2"/>
        </w:rPr>
        <w:t> </w:t>
      </w:r>
      <w:r>
        <w:rPr/>
        <w:t>historical</w:t>
      </w:r>
      <w:r>
        <w:rPr>
          <w:spacing w:val="-3"/>
        </w:rPr>
        <w:t> </w:t>
      </w:r>
      <w:r>
        <w:rPr/>
        <w:t>texts</w:t>
      </w:r>
      <w:r>
        <w:rPr>
          <w:spacing w:val="-4"/>
        </w:rPr>
        <w:t> </w:t>
      </w:r>
      <w:r>
        <w:rPr/>
        <w:t>that</w:t>
      </w:r>
      <w:r>
        <w:rPr>
          <w:spacing w:val="-3"/>
        </w:rPr>
        <w:t> </w:t>
      </w:r>
      <w:r>
        <w:rPr/>
        <w:t>have</w:t>
      </w:r>
      <w:r>
        <w:rPr>
          <w:spacing w:val="-3"/>
        </w:rPr>
        <w:t> </w:t>
      </w:r>
      <w:r>
        <w:rPr/>
        <w:t>provided us with enduring knowledge about gender edited authority. William Shakespeare</w:t>
      </w:r>
      <w:r>
        <w:rPr>
          <w:spacing w:val="19"/>
        </w:rPr>
        <w:t> </w:t>
      </w:r>
      <w:r>
        <w:rPr/>
        <w:t>is</w:t>
      </w:r>
      <w:r>
        <w:rPr>
          <w:spacing w:val="18"/>
        </w:rPr>
        <w:t> </w:t>
      </w:r>
      <w:r>
        <w:rPr/>
        <w:t>the</w:t>
      </w:r>
      <w:r>
        <w:rPr>
          <w:spacing w:val="18"/>
        </w:rPr>
        <w:t> </w:t>
      </w:r>
      <w:r>
        <w:rPr/>
        <w:t>critical</w:t>
      </w:r>
      <w:r>
        <w:rPr>
          <w:spacing w:val="19"/>
        </w:rPr>
        <w:t> </w:t>
      </w:r>
      <w:r>
        <w:rPr/>
        <w:t>point</w:t>
      </w:r>
      <w:r>
        <w:rPr>
          <w:spacing w:val="20"/>
        </w:rPr>
        <w:t> </w:t>
      </w:r>
      <w:r>
        <w:rPr/>
        <w:t>of</w:t>
      </w:r>
      <w:r>
        <w:rPr>
          <w:spacing w:val="20"/>
        </w:rPr>
        <w:t> </w:t>
      </w:r>
      <w:r>
        <w:rPr/>
        <w:t>reference</w:t>
      </w:r>
      <w:r>
        <w:rPr>
          <w:spacing w:val="19"/>
        </w:rPr>
        <w:t> </w:t>
      </w:r>
      <w:r>
        <w:rPr/>
        <w:t>in</w:t>
      </w:r>
      <w:r>
        <w:rPr>
          <w:spacing w:val="18"/>
        </w:rPr>
        <w:t> </w:t>
      </w:r>
      <w:r>
        <w:rPr/>
        <w:t>that</w:t>
      </w:r>
      <w:r>
        <w:rPr>
          <w:spacing w:val="18"/>
        </w:rPr>
        <w:t> </w:t>
      </w:r>
      <w:r>
        <w:rPr/>
        <w:t>canon.</w:t>
      </w:r>
      <w:r>
        <w:rPr>
          <w:spacing w:val="20"/>
        </w:rPr>
        <w:t> </w:t>
      </w:r>
      <w:r>
        <w:rPr/>
        <w:t>The</w:t>
      </w:r>
      <w:r>
        <w:rPr>
          <w:spacing w:val="19"/>
        </w:rPr>
        <w:t> </w:t>
      </w:r>
      <w:r>
        <w:rPr/>
        <w:t>stage is</w:t>
      </w:r>
      <w:r>
        <w:rPr>
          <w:spacing w:val="-13"/>
        </w:rPr>
        <w:t> </w:t>
      </w:r>
      <w:r>
        <w:rPr/>
        <w:t>often</w:t>
      </w:r>
      <w:r>
        <w:rPr>
          <w:spacing w:val="-12"/>
        </w:rPr>
        <w:t> </w:t>
      </w:r>
      <w:r>
        <w:rPr/>
        <w:t>considered</w:t>
      </w:r>
      <w:r>
        <w:rPr>
          <w:spacing w:val="-13"/>
        </w:rPr>
        <w:t> </w:t>
      </w:r>
      <w:r>
        <w:rPr/>
        <w:t>universal</w:t>
      </w:r>
      <w:r>
        <w:rPr>
          <w:spacing w:val="-12"/>
        </w:rPr>
        <w:t> </w:t>
      </w:r>
      <w:r>
        <w:rPr/>
        <w:t>in</w:t>
      </w:r>
      <w:r>
        <w:rPr>
          <w:spacing w:val="-13"/>
        </w:rPr>
        <w:t> </w:t>
      </w:r>
      <w:r>
        <w:rPr/>
        <w:t>Shakespeare’s</w:t>
      </w:r>
      <w:r>
        <w:rPr>
          <w:spacing w:val="-12"/>
        </w:rPr>
        <w:t> </w:t>
      </w:r>
      <w:r>
        <w:rPr/>
        <w:t>humanism,</w:t>
      </w:r>
      <w:r>
        <w:rPr>
          <w:spacing w:val="-13"/>
        </w:rPr>
        <w:t> </w:t>
      </w:r>
      <w:r>
        <w:rPr/>
        <w:t>but</w:t>
      </w:r>
      <w:r>
        <w:rPr>
          <w:spacing w:val="-12"/>
        </w:rPr>
        <w:t> </w:t>
      </w:r>
      <w:r>
        <w:rPr/>
        <w:t>it</w:t>
      </w:r>
      <w:r>
        <w:rPr>
          <w:spacing w:val="-13"/>
        </w:rPr>
        <w:t> </w:t>
      </w:r>
      <w:r>
        <w:rPr/>
        <w:t>becomes a laboratory for studying the patriarchal grid, which serves as opportunistic</w:t>
      </w:r>
      <w:r>
        <w:rPr>
          <w:spacing w:val="36"/>
        </w:rPr>
        <w:t> </w:t>
      </w:r>
      <w:r>
        <w:rPr/>
        <w:t>regulatory</w:t>
      </w:r>
      <w:r>
        <w:rPr>
          <w:spacing w:val="35"/>
        </w:rPr>
        <w:t> </w:t>
      </w:r>
      <w:r>
        <w:rPr/>
        <w:t>mechanism</w:t>
      </w:r>
      <w:r>
        <w:rPr>
          <w:spacing w:val="31"/>
        </w:rPr>
        <w:t> </w:t>
      </w:r>
      <w:r>
        <w:rPr/>
        <w:t>for</w:t>
      </w:r>
      <w:r>
        <w:rPr>
          <w:spacing w:val="38"/>
        </w:rPr>
        <w:t> </w:t>
      </w:r>
      <w:r>
        <w:rPr/>
        <w:t>surveillance</w:t>
      </w:r>
      <w:r>
        <w:rPr>
          <w:spacing w:val="35"/>
        </w:rPr>
        <w:t> </w:t>
      </w:r>
      <w:r>
        <w:rPr/>
        <w:t>of</w:t>
      </w:r>
      <w:r>
        <w:rPr>
          <w:spacing w:val="34"/>
        </w:rPr>
        <w:t> </w:t>
      </w:r>
      <w:r>
        <w:rPr/>
        <w:t>social</w:t>
      </w:r>
      <w:r>
        <w:rPr>
          <w:spacing w:val="33"/>
        </w:rPr>
        <w:t> </w:t>
      </w:r>
      <w:r>
        <w:rPr/>
        <w:t>status.</w:t>
      </w:r>
    </w:p>
    <w:p>
      <w:pPr>
        <w:pStyle w:val="BodyText"/>
        <w:spacing w:line="249" w:lineRule="auto" w:before="69"/>
        <w:ind w:right="1438" w:firstLine="432"/>
        <w:jc w:val="both"/>
      </w:pPr>
      <w:r>
        <w:rPr/>
        <w:t>This article points out that women in the plays of Shakespeare do not conform to the traditional dichotomy of the “subservient daughter” and the “defiant shrew,” but rather exhibit a continual, unrelenting conflict between their desire for self-actualization and the burden of societal</w:t>
      </w:r>
      <w:r>
        <w:rPr>
          <w:spacing w:val="-7"/>
        </w:rPr>
        <w:t> </w:t>
      </w:r>
      <w:r>
        <w:rPr/>
        <w:t>and</w:t>
      </w:r>
      <w:r>
        <w:rPr>
          <w:spacing w:val="-6"/>
        </w:rPr>
        <w:t> </w:t>
      </w:r>
      <w:r>
        <w:rPr/>
        <w:t>psychological</w:t>
      </w:r>
      <w:r>
        <w:rPr>
          <w:spacing w:val="-6"/>
        </w:rPr>
        <w:t> </w:t>
      </w:r>
      <w:r>
        <w:rPr/>
        <w:t>oppression.</w:t>
      </w:r>
      <w:r>
        <w:rPr>
          <w:spacing w:val="-8"/>
        </w:rPr>
        <w:t> </w:t>
      </w:r>
      <w:r>
        <w:rPr/>
        <w:t>Feminist</w:t>
      </w:r>
      <w:r>
        <w:rPr>
          <w:spacing w:val="-9"/>
        </w:rPr>
        <w:t> </w:t>
      </w:r>
      <w:r>
        <w:rPr/>
        <w:t>Theory,</w:t>
      </w:r>
      <w:r>
        <w:rPr>
          <w:spacing w:val="-8"/>
        </w:rPr>
        <w:t> </w:t>
      </w:r>
      <w:r>
        <w:rPr/>
        <w:t>particularly</w:t>
      </w:r>
      <w:r>
        <w:rPr>
          <w:spacing w:val="-9"/>
        </w:rPr>
        <w:t> </w:t>
      </w:r>
      <w:r>
        <w:rPr/>
        <w:t>the concept of Intersectionality, will be applied to demonstrate how and in </w:t>
      </w:r>
      <w:r>
        <w:rPr>
          <w:spacing w:val="-2"/>
        </w:rPr>
        <w:t>what</w:t>
      </w:r>
      <w:r>
        <w:rPr>
          <w:spacing w:val="-11"/>
        </w:rPr>
        <w:t> </w:t>
      </w:r>
      <w:r>
        <w:rPr>
          <w:spacing w:val="-2"/>
        </w:rPr>
        <w:t>ways,</w:t>
      </w:r>
      <w:r>
        <w:rPr>
          <w:spacing w:val="-10"/>
        </w:rPr>
        <w:t> </w:t>
      </w:r>
      <w:r>
        <w:rPr>
          <w:spacing w:val="-2"/>
        </w:rPr>
        <w:t>the</w:t>
      </w:r>
      <w:r>
        <w:rPr>
          <w:spacing w:val="-11"/>
        </w:rPr>
        <w:t> </w:t>
      </w:r>
      <w:r>
        <w:rPr>
          <w:spacing w:val="-2"/>
        </w:rPr>
        <w:t>intersection</w:t>
      </w:r>
      <w:r>
        <w:rPr>
          <w:spacing w:val="-10"/>
        </w:rPr>
        <w:t> </w:t>
      </w:r>
      <w:r>
        <w:rPr>
          <w:spacing w:val="-2"/>
        </w:rPr>
        <w:t>of</w:t>
      </w:r>
      <w:r>
        <w:rPr>
          <w:spacing w:val="-11"/>
        </w:rPr>
        <w:t> </w:t>
      </w:r>
      <w:r>
        <w:rPr>
          <w:spacing w:val="-2"/>
        </w:rPr>
        <w:t>gender</w:t>
      </w:r>
      <w:r>
        <w:rPr>
          <w:spacing w:val="-10"/>
        </w:rPr>
        <w:t> </w:t>
      </w:r>
      <w:r>
        <w:rPr>
          <w:spacing w:val="-2"/>
        </w:rPr>
        <w:t>identity,</w:t>
      </w:r>
      <w:r>
        <w:rPr>
          <w:spacing w:val="-11"/>
        </w:rPr>
        <w:t> </w:t>
      </w:r>
      <w:r>
        <w:rPr>
          <w:spacing w:val="-2"/>
        </w:rPr>
        <w:t>class,</w:t>
      </w:r>
      <w:r>
        <w:rPr>
          <w:spacing w:val="-10"/>
        </w:rPr>
        <w:t> </w:t>
      </w:r>
      <w:r>
        <w:rPr>
          <w:spacing w:val="-2"/>
        </w:rPr>
        <w:t>and</w:t>
      </w:r>
      <w:r>
        <w:rPr>
          <w:spacing w:val="-11"/>
        </w:rPr>
        <w:t> </w:t>
      </w:r>
      <w:r>
        <w:rPr>
          <w:spacing w:val="-2"/>
        </w:rPr>
        <w:t>status</w:t>
      </w:r>
      <w:r>
        <w:rPr>
          <w:spacing w:val="-10"/>
        </w:rPr>
        <w:t> </w:t>
      </w:r>
      <w:r>
        <w:rPr>
          <w:spacing w:val="-2"/>
        </w:rPr>
        <w:t>determines </w:t>
      </w:r>
      <w:r>
        <w:rPr/>
        <w:t>a woman’s ability, or lack thereof, to assert agency/voice within Shakespeare’s</w:t>
      </w:r>
      <w:r>
        <w:rPr>
          <w:spacing w:val="40"/>
        </w:rPr>
        <w:t> </w:t>
      </w:r>
      <w:r>
        <w:rPr/>
        <w:t>works.</w:t>
      </w:r>
    </w:p>
    <w:p>
      <w:pPr>
        <w:pStyle w:val="BodyText"/>
        <w:spacing w:line="249" w:lineRule="auto" w:before="65"/>
        <w:ind w:right="1436" w:firstLine="432"/>
        <w:jc w:val="both"/>
      </w:pPr>
      <w:r>
        <w:rPr/>
        <w:t>This work presents a textual analysis of the prominent female characters created by Shakespeare; demonstrating through the lens of patriarchal structures through which women were portrayed as representatives of the sociological conditions that prepared the way for contemporary movements such as the #MeToo movement. These plays illustrate the dynamics of the Credibility Gap, how reputation is weaponized, and the concept of institutional gas lighting, by which an individual attempts to make another individual doubt their own perception/reality, specifically as regards to a woman’s testimony.</w:t>
      </w:r>
      <w:r>
        <w:rPr>
          <w:spacing w:val="-1"/>
        </w:rPr>
        <w:t> </w:t>
      </w:r>
      <w:r>
        <w:rPr/>
        <w:t>This article also demonstrates how</w:t>
      </w:r>
      <w:r>
        <w:rPr>
          <w:spacing w:val="-1"/>
        </w:rPr>
        <w:t> </w:t>
      </w:r>
      <w:r>
        <w:rPr/>
        <w:t>the “mirror” that Shakespeare held to his society continues reflect the pervasive need for social and political change</w:t>
      </w:r>
      <w:r>
        <w:rPr>
          <w:spacing w:val="71"/>
          <w:w w:val="150"/>
        </w:rPr>
        <w:t> </w:t>
      </w:r>
      <w:r>
        <w:rPr/>
        <w:t>regarding</w:t>
      </w:r>
      <w:r>
        <w:rPr>
          <w:spacing w:val="69"/>
          <w:w w:val="150"/>
        </w:rPr>
        <w:t> </w:t>
      </w:r>
      <w:r>
        <w:rPr/>
        <w:t>to</w:t>
      </w:r>
      <w:r>
        <w:rPr>
          <w:spacing w:val="75"/>
          <w:w w:val="150"/>
        </w:rPr>
        <w:t> </w:t>
      </w:r>
      <w:r>
        <w:rPr/>
        <w:t>the</w:t>
      </w:r>
      <w:r>
        <w:rPr>
          <w:spacing w:val="71"/>
          <w:w w:val="150"/>
        </w:rPr>
        <w:t> </w:t>
      </w:r>
      <w:r>
        <w:rPr/>
        <w:t>gender-based</w:t>
      </w:r>
      <w:r>
        <w:rPr>
          <w:spacing w:val="72"/>
          <w:w w:val="150"/>
        </w:rPr>
        <w:t> </w:t>
      </w:r>
      <w:r>
        <w:rPr/>
        <w:t>power</w:t>
      </w:r>
      <w:r>
        <w:rPr>
          <w:spacing w:val="69"/>
          <w:w w:val="150"/>
        </w:rPr>
        <w:t> </w:t>
      </w:r>
      <w:r>
        <w:rPr/>
        <w:t>structure</w:t>
      </w:r>
      <w:r>
        <w:rPr>
          <w:spacing w:val="71"/>
          <w:w w:val="150"/>
        </w:rPr>
        <w:t> </w:t>
      </w:r>
      <w:r>
        <w:rPr/>
        <w:t>and</w:t>
      </w:r>
      <w:r>
        <w:rPr>
          <w:spacing w:val="75"/>
          <w:w w:val="150"/>
        </w:rPr>
        <w:t> </w:t>
      </w:r>
      <w:r>
        <w:rPr>
          <w:spacing w:val="-5"/>
        </w:rPr>
        <w:t>the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76928">
                <wp:simplePos x="0" y="0"/>
                <wp:positionH relativeFrom="page">
                  <wp:posOffset>2057400</wp:posOffset>
                </wp:positionH>
                <wp:positionV relativeFrom="paragraph">
                  <wp:posOffset>162604</wp:posOffset>
                </wp:positionV>
                <wp:extent cx="3657600" cy="12700"/>
                <wp:effectExtent l="0" t="0" r="0" b="0"/>
                <wp:wrapTopAndBottom/>
                <wp:docPr id="297" name="Graphic 297"/>
                <wp:cNvGraphicFramePr>
                  <a:graphicFrameLocks/>
                </wp:cNvGraphicFramePr>
                <a:graphic>
                  <a:graphicData uri="http://schemas.microsoft.com/office/word/2010/wordprocessingShape">
                    <wps:wsp>
                      <wps:cNvPr id="297" name="Graphic 29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39552;mso-wrap-distance-left:0;mso-wrap-distance-right:0" id="docshape293" filled="true" fillcolor="#000000" stroked="false">
                <v:fill type="solid"/>
                <w10:wrap type="topAndBottom"/>
              </v:rect>
            </w:pict>
          </mc:Fallback>
        </mc:AlternateContent>
      </w:r>
      <w:r>
        <w:rPr>
          <w:rFonts w:ascii="Verdana"/>
          <w:spacing w:val="-5"/>
          <w:sz w:val="18"/>
        </w:rPr>
        <w:t>96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spacing w:val="-2"/>
        </w:rPr>
        <w:t>commonality</w:t>
      </w:r>
      <w:r>
        <w:rPr>
          <w:spacing w:val="-11"/>
        </w:rPr>
        <w:t> </w:t>
      </w:r>
      <w:r>
        <w:rPr>
          <w:spacing w:val="-2"/>
        </w:rPr>
        <w:t>of</w:t>
      </w:r>
      <w:r>
        <w:rPr>
          <w:spacing w:val="-10"/>
        </w:rPr>
        <w:t> </w:t>
      </w:r>
      <w:r>
        <w:rPr>
          <w:spacing w:val="-2"/>
        </w:rPr>
        <w:t>the</w:t>
      </w:r>
      <w:r>
        <w:rPr>
          <w:spacing w:val="-11"/>
        </w:rPr>
        <w:t> </w:t>
      </w:r>
      <w:r>
        <w:rPr>
          <w:spacing w:val="-2"/>
        </w:rPr>
        <w:t>struggle</w:t>
      </w:r>
      <w:r>
        <w:rPr>
          <w:spacing w:val="-10"/>
        </w:rPr>
        <w:t> </w:t>
      </w:r>
      <w:r>
        <w:rPr>
          <w:spacing w:val="-2"/>
        </w:rPr>
        <w:t>to</w:t>
      </w:r>
      <w:r>
        <w:rPr>
          <w:spacing w:val="-11"/>
        </w:rPr>
        <w:t> </w:t>
      </w:r>
      <w:r>
        <w:rPr>
          <w:spacing w:val="-2"/>
        </w:rPr>
        <w:t>gain</w:t>
      </w:r>
      <w:r>
        <w:rPr>
          <w:spacing w:val="-10"/>
        </w:rPr>
        <w:t> </w:t>
      </w:r>
      <w:r>
        <w:rPr>
          <w:spacing w:val="-2"/>
        </w:rPr>
        <w:t>a</w:t>
      </w:r>
      <w:r>
        <w:rPr>
          <w:spacing w:val="-11"/>
        </w:rPr>
        <w:t> </w:t>
      </w:r>
      <w:r>
        <w:rPr>
          <w:spacing w:val="-2"/>
        </w:rPr>
        <w:t>voice</w:t>
      </w:r>
      <w:r>
        <w:rPr>
          <w:spacing w:val="-10"/>
        </w:rPr>
        <w:t> </w:t>
      </w:r>
      <w:r>
        <w:rPr>
          <w:spacing w:val="-2"/>
        </w:rPr>
        <w:t>anywhere,</w:t>
      </w:r>
      <w:r>
        <w:rPr>
          <w:spacing w:val="-11"/>
        </w:rPr>
        <w:t> </w:t>
      </w:r>
      <w:r>
        <w:rPr>
          <w:spacing w:val="-2"/>
        </w:rPr>
        <w:t>from</w:t>
      </w:r>
      <w:r>
        <w:rPr>
          <w:spacing w:val="-10"/>
        </w:rPr>
        <w:t> </w:t>
      </w:r>
      <w:r>
        <w:rPr>
          <w:spacing w:val="-2"/>
        </w:rPr>
        <w:t>the</w:t>
      </w:r>
      <w:r>
        <w:rPr>
          <w:spacing w:val="-11"/>
        </w:rPr>
        <w:t> </w:t>
      </w:r>
      <w:r>
        <w:rPr>
          <w:spacing w:val="-2"/>
        </w:rPr>
        <w:t>courtyards </w:t>
      </w:r>
      <w:r>
        <w:rPr/>
        <w:t>of</w:t>
      </w:r>
      <w:r>
        <w:rPr>
          <w:spacing w:val="-4"/>
        </w:rPr>
        <w:t> </w:t>
      </w:r>
      <w:r>
        <w:rPr/>
        <w:t>Elsinore and the</w:t>
      </w:r>
      <w:r>
        <w:rPr>
          <w:spacing w:val="-3"/>
        </w:rPr>
        <w:t> </w:t>
      </w:r>
      <w:r>
        <w:rPr/>
        <w:t>courts</w:t>
      </w:r>
      <w:r>
        <w:rPr>
          <w:spacing w:val="-4"/>
        </w:rPr>
        <w:t> </w:t>
      </w:r>
      <w:r>
        <w:rPr/>
        <w:t>of</w:t>
      </w:r>
      <w:r>
        <w:rPr>
          <w:spacing w:val="-4"/>
        </w:rPr>
        <w:t> </w:t>
      </w:r>
      <w:r>
        <w:rPr/>
        <w:t>Venice</w:t>
      </w:r>
      <w:r>
        <w:rPr>
          <w:spacing w:val="-2"/>
        </w:rPr>
        <w:t> </w:t>
      </w:r>
      <w:r>
        <w:rPr/>
        <w:t>to</w:t>
      </w:r>
      <w:r>
        <w:rPr>
          <w:spacing w:val="-2"/>
        </w:rPr>
        <w:t> </w:t>
      </w:r>
      <w:r>
        <w:rPr/>
        <w:t>the</w:t>
      </w:r>
      <w:r>
        <w:rPr>
          <w:spacing w:val="-1"/>
        </w:rPr>
        <w:t> </w:t>
      </w:r>
      <w:r>
        <w:rPr/>
        <w:t>boardrooms and courthouses of modernity.</w:t>
      </w:r>
    </w:p>
    <w:p>
      <w:pPr>
        <w:pStyle w:val="Heading3"/>
        <w:spacing w:before="156"/>
      </w:pPr>
      <w:r>
        <w:rPr>
          <w:spacing w:val="-2"/>
        </w:rPr>
        <w:t>METHODOLOGY:</w:t>
      </w:r>
    </w:p>
    <w:p>
      <w:pPr>
        <w:pStyle w:val="BodyText"/>
        <w:spacing w:line="249" w:lineRule="auto" w:before="75"/>
        <w:ind w:right="1438" w:firstLine="432"/>
        <w:jc w:val="both"/>
      </w:pPr>
      <w:r>
        <w:rPr/>
        <w:t>The purpose of this research is to conduct a qualitative/ interpretational analysis of selected works of William Shakespeare through close textual analysis. This research will explore how female characters</w:t>
      </w:r>
      <w:r>
        <w:rPr>
          <w:spacing w:val="-4"/>
        </w:rPr>
        <w:t> </w:t>
      </w:r>
      <w:r>
        <w:rPr/>
        <w:t>are</w:t>
      </w:r>
      <w:r>
        <w:rPr>
          <w:spacing w:val="-3"/>
        </w:rPr>
        <w:t> </w:t>
      </w:r>
      <w:r>
        <w:rPr/>
        <w:t>constructed</w:t>
      </w:r>
      <w:r>
        <w:rPr>
          <w:spacing w:val="-1"/>
        </w:rPr>
        <w:t> </w:t>
      </w:r>
      <w:r>
        <w:rPr/>
        <w:t>within</w:t>
      </w:r>
      <w:r>
        <w:rPr>
          <w:spacing w:val="-3"/>
        </w:rPr>
        <w:t> </w:t>
      </w:r>
      <w:r>
        <w:rPr/>
        <w:t>patriarchal</w:t>
      </w:r>
      <w:r>
        <w:rPr>
          <w:spacing w:val="-2"/>
        </w:rPr>
        <w:t> </w:t>
      </w:r>
      <w:r>
        <w:rPr/>
        <w:t>structures</w:t>
      </w:r>
      <w:r>
        <w:rPr>
          <w:spacing w:val="-4"/>
        </w:rPr>
        <w:t> </w:t>
      </w:r>
      <w:r>
        <w:rPr/>
        <w:t>in</w:t>
      </w:r>
      <w:r>
        <w:rPr>
          <w:spacing w:val="-4"/>
        </w:rPr>
        <w:t> </w:t>
      </w:r>
      <w:r>
        <w:rPr/>
        <w:t>selected</w:t>
      </w:r>
      <w:r>
        <w:rPr>
          <w:spacing w:val="-3"/>
        </w:rPr>
        <w:t> </w:t>
      </w:r>
      <w:r>
        <w:rPr/>
        <w:t>plays written by William Shakespeare. The key texts that will be analyzed include</w:t>
      </w:r>
      <w:r>
        <w:rPr>
          <w:spacing w:val="-13"/>
        </w:rPr>
        <w:t> </w:t>
      </w:r>
      <w:r>
        <w:rPr>
          <w:i/>
        </w:rPr>
        <w:t>Hamlet,</w:t>
      </w:r>
      <w:r>
        <w:rPr>
          <w:i/>
          <w:spacing w:val="-12"/>
        </w:rPr>
        <w:t> </w:t>
      </w:r>
      <w:r>
        <w:rPr>
          <w:i/>
        </w:rPr>
        <w:t>Othello,</w:t>
      </w:r>
      <w:r>
        <w:rPr>
          <w:i/>
          <w:spacing w:val="-13"/>
        </w:rPr>
        <w:t> </w:t>
      </w:r>
      <w:r>
        <w:rPr>
          <w:i/>
        </w:rPr>
        <w:t>Macbeth,</w:t>
      </w:r>
      <w:r>
        <w:rPr>
          <w:i/>
          <w:spacing w:val="-12"/>
        </w:rPr>
        <w:t> </w:t>
      </w:r>
      <w:r>
        <w:rPr>
          <w:i/>
        </w:rPr>
        <w:t>and</w:t>
      </w:r>
      <w:r>
        <w:rPr>
          <w:i/>
          <w:spacing w:val="-13"/>
        </w:rPr>
        <w:t> </w:t>
      </w:r>
      <w:r>
        <w:rPr>
          <w:i/>
        </w:rPr>
        <w:t>King</w:t>
      </w:r>
      <w:r>
        <w:rPr>
          <w:i/>
          <w:spacing w:val="-12"/>
        </w:rPr>
        <w:t> </w:t>
      </w:r>
      <w:r>
        <w:rPr>
          <w:i/>
        </w:rPr>
        <w:t>Lear.</w:t>
      </w:r>
      <w:r>
        <w:rPr>
          <w:i/>
          <w:spacing w:val="-13"/>
        </w:rPr>
        <w:t> </w:t>
      </w:r>
      <w:r>
        <w:rPr/>
        <w:t>The</w:t>
      </w:r>
      <w:r>
        <w:rPr>
          <w:spacing w:val="-12"/>
        </w:rPr>
        <w:t> </w:t>
      </w:r>
      <w:r>
        <w:rPr/>
        <w:t>female</w:t>
      </w:r>
      <w:r>
        <w:rPr>
          <w:spacing w:val="-13"/>
        </w:rPr>
        <w:t> </w:t>
      </w:r>
      <w:r>
        <w:rPr/>
        <w:t>characters who will be emphasized within the text are Ophelia, Desdemona, Lady Macbeth,</w:t>
      </w:r>
      <w:r>
        <w:rPr>
          <w:spacing w:val="-5"/>
        </w:rPr>
        <w:t> </w:t>
      </w:r>
      <w:r>
        <w:rPr/>
        <w:t>and</w:t>
      </w:r>
      <w:r>
        <w:rPr>
          <w:spacing w:val="-7"/>
        </w:rPr>
        <w:t> </w:t>
      </w:r>
      <w:r>
        <w:rPr/>
        <w:t>Cordelia.</w:t>
      </w:r>
      <w:r>
        <w:rPr>
          <w:spacing w:val="-7"/>
        </w:rPr>
        <w:t> </w:t>
      </w:r>
      <w:r>
        <w:rPr/>
        <w:t>This</w:t>
      </w:r>
      <w:r>
        <w:rPr>
          <w:spacing w:val="-7"/>
        </w:rPr>
        <w:t> </w:t>
      </w:r>
      <w:r>
        <w:rPr/>
        <w:t>study</w:t>
      </w:r>
      <w:r>
        <w:rPr>
          <w:spacing w:val="-12"/>
        </w:rPr>
        <w:t> </w:t>
      </w:r>
      <w:r>
        <w:rPr/>
        <w:t>will</w:t>
      </w:r>
      <w:r>
        <w:rPr>
          <w:spacing w:val="-5"/>
        </w:rPr>
        <w:t> </w:t>
      </w:r>
      <w:r>
        <w:rPr/>
        <w:t>focus</w:t>
      </w:r>
      <w:r>
        <w:rPr>
          <w:spacing w:val="-7"/>
        </w:rPr>
        <w:t> </w:t>
      </w:r>
      <w:r>
        <w:rPr/>
        <w:t>on</w:t>
      </w:r>
      <w:r>
        <w:rPr>
          <w:spacing w:val="-7"/>
        </w:rPr>
        <w:t> </w:t>
      </w:r>
      <w:r>
        <w:rPr/>
        <w:t>how</w:t>
      </w:r>
      <w:r>
        <w:rPr>
          <w:spacing w:val="-12"/>
        </w:rPr>
        <w:t> </w:t>
      </w:r>
      <w:r>
        <w:rPr/>
        <w:t>the</w:t>
      </w:r>
      <w:r>
        <w:rPr>
          <w:spacing w:val="-6"/>
        </w:rPr>
        <w:t> </w:t>
      </w:r>
      <w:r>
        <w:rPr/>
        <w:t>characteristics, dialogue, silence, and use of narrative structure affect the creation, control</w:t>
      </w:r>
      <w:r>
        <w:rPr>
          <w:spacing w:val="-10"/>
        </w:rPr>
        <w:t> </w:t>
      </w:r>
      <w:r>
        <w:rPr/>
        <w:t>and</w:t>
      </w:r>
      <w:r>
        <w:rPr>
          <w:spacing w:val="-9"/>
        </w:rPr>
        <w:t> </w:t>
      </w:r>
      <w:r>
        <w:rPr/>
        <w:t>neutralization</w:t>
      </w:r>
      <w:r>
        <w:rPr>
          <w:spacing w:val="-9"/>
        </w:rPr>
        <w:t> </w:t>
      </w:r>
      <w:r>
        <w:rPr/>
        <w:t>of</w:t>
      </w:r>
      <w:r>
        <w:rPr>
          <w:spacing w:val="-10"/>
        </w:rPr>
        <w:t> </w:t>
      </w:r>
      <w:r>
        <w:rPr/>
        <w:t>women’s</w:t>
      </w:r>
      <w:r>
        <w:rPr>
          <w:spacing w:val="-10"/>
        </w:rPr>
        <w:t> </w:t>
      </w:r>
      <w:r>
        <w:rPr/>
        <w:t>identity</w:t>
      </w:r>
      <w:r>
        <w:rPr>
          <w:spacing w:val="-12"/>
        </w:rPr>
        <w:t> </w:t>
      </w:r>
      <w:r>
        <w:rPr/>
        <w:t>in</w:t>
      </w:r>
      <w:r>
        <w:rPr>
          <w:spacing w:val="-9"/>
        </w:rPr>
        <w:t> </w:t>
      </w:r>
      <w:r>
        <w:rPr/>
        <w:t>male</w:t>
      </w:r>
      <w:r>
        <w:rPr>
          <w:spacing w:val="-9"/>
        </w:rPr>
        <w:t> </w:t>
      </w:r>
      <w:r>
        <w:rPr/>
        <w:t>dominated</w:t>
      </w:r>
      <w:r>
        <w:rPr>
          <w:spacing w:val="-9"/>
        </w:rPr>
        <w:t> </w:t>
      </w:r>
      <w:r>
        <w:rPr/>
        <w:t>power structures</w:t>
      </w:r>
      <w:r>
        <w:rPr>
          <w:spacing w:val="40"/>
        </w:rPr>
        <w:t> </w:t>
      </w:r>
      <w:r>
        <w:rPr/>
        <w:t>for</w:t>
      </w:r>
      <w:r>
        <w:rPr>
          <w:spacing w:val="40"/>
        </w:rPr>
        <w:t> </w:t>
      </w:r>
      <w:r>
        <w:rPr/>
        <w:t>these</w:t>
      </w:r>
      <w:r>
        <w:rPr>
          <w:spacing w:val="40"/>
        </w:rPr>
        <w:t> </w:t>
      </w:r>
      <w:r>
        <w:rPr/>
        <w:t>four</w:t>
      </w:r>
      <w:r>
        <w:rPr>
          <w:spacing w:val="40"/>
        </w:rPr>
        <w:t> </w:t>
      </w:r>
      <w:r>
        <w:rPr/>
        <w:t>women.</w:t>
      </w:r>
    </w:p>
    <w:p>
      <w:pPr>
        <w:pStyle w:val="BodyText"/>
        <w:spacing w:line="249" w:lineRule="auto" w:before="67"/>
        <w:ind w:right="1439" w:firstLine="432"/>
        <w:jc w:val="both"/>
      </w:pPr>
      <w:r>
        <w:rPr/>
        <w:t>The primary sources of information in the study will be based on feminist theory with some emphasis placed on psychoanalytic and </w:t>
      </w:r>
      <w:r>
        <w:rPr>
          <w:spacing w:val="-2"/>
        </w:rPr>
        <w:t>cultural</w:t>
      </w:r>
      <w:r>
        <w:rPr>
          <w:spacing w:val="-11"/>
        </w:rPr>
        <w:t> </w:t>
      </w:r>
      <w:r>
        <w:rPr>
          <w:spacing w:val="-2"/>
        </w:rPr>
        <w:t>criticism</w:t>
      </w:r>
      <w:r>
        <w:rPr>
          <w:spacing w:val="-10"/>
        </w:rPr>
        <w:t> </w:t>
      </w:r>
      <w:r>
        <w:rPr>
          <w:spacing w:val="-2"/>
        </w:rPr>
        <w:t>to</w:t>
      </w:r>
      <w:r>
        <w:rPr>
          <w:spacing w:val="-11"/>
        </w:rPr>
        <w:t> </w:t>
      </w:r>
      <w:r>
        <w:rPr>
          <w:spacing w:val="-2"/>
        </w:rPr>
        <w:t>assist</w:t>
      </w:r>
      <w:r>
        <w:rPr>
          <w:spacing w:val="-8"/>
        </w:rPr>
        <w:t> </w:t>
      </w:r>
      <w:r>
        <w:rPr>
          <w:spacing w:val="-2"/>
        </w:rPr>
        <w:t>with</w:t>
      </w:r>
      <w:r>
        <w:rPr>
          <w:spacing w:val="-8"/>
        </w:rPr>
        <w:t> </w:t>
      </w:r>
      <w:r>
        <w:rPr>
          <w:spacing w:val="-2"/>
        </w:rPr>
        <w:t>the</w:t>
      </w:r>
      <w:r>
        <w:rPr>
          <w:spacing w:val="-10"/>
        </w:rPr>
        <w:t> </w:t>
      </w:r>
      <w:r>
        <w:rPr>
          <w:spacing w:val="-2"/>
        </w:rPr>
        <w:t>objective</w:t>
      </w:r>
      <w:r>
        <w:rPr>
          <w:spacing w:val="-5"/>
        </w:rPr>
        <w:t> </w:t>
      </w:r>
      <w:r>
        <w:rPr>
          <w:spacing w:val="-2"/>
        </w:rPr>
        <w:t>of</w:t>
      </w:r>
      <w:r>
        <w:rPr>
          <w:spacing w:val="-11"/>
        </w:rPr>
        <w:t> </w:t>
      </w:r>
      <w:r>
        <w:rPr>
          <w:spacing w:val="-2"/>
        </w:rPr>
        <w:t>examining</w:t>
      </w:r>
      <w:r>
        <w:rPr>
          <w:spacing w:val="-7"/>
        </w:rPr>
        <w:t> </w:t>
      </w:r>
      <w:r>
        <w:rPr>
          <w:spacing w:val="-2"/>
        </w:rPr>
        <w:t>how</w:t>
      </w:r>
      <w:r>
        <w:rPr>
          <w:spacing w:val="-11"/>
        </w:rPr>
        <w:t> </w:t>
      </w:r>
      <w:r>
        <w:rPr>
          <w:spacing w:val="-2"/>
        </w:rPr>
        <w:t>patriarchal </w:t>
      </w:r>
      <w:r>
        <w:rPr/>
        <w:t>power</w:t>
      </w:r>
      <w:r>
        <w:rPr>
          <w:spacing w:val="40"/>
        </w:rPr>
        <w:t> </w:t>
      </w:r>
      <w:r>
        <w:rPr/>
        <w:t>structures</w:t>
      </w:r>
      <w:r>
        <w:rPr>
          <w:spacing w:val="40"/>
        </w:rPr>
        <w:t> </w:t>
      </w:r>
      <w:r>
        <w:rPr/>
        <w:t>are</w:t>
      </w:r>
      <w:r>
        <w:rPr>
          <w:spacing w:val="40"/>
        </w:rPr>
        <w:t> </w:t>
      </w:r>
      <w:r>
        <w:rPr/>
        <w:t>created.</w:t>
      </w:r>
    </w:p>
    <w:p>
      <w:pPr>
        <w:pStyle w:val="Heading3"/>
        <w:spacing w:before="159"/>
      </w:pPr>
      <w:r>
        <w:rPr>
          <w:w w:val="90"/>
        </w:rPr>
        <w:t>REVIEW</w:t>
      </w:r>
      <w:r>
        <w:rPr>
          <w:spacing w:val="-1"/>
          <w:w w:val="90"/>
        </w:rPr>
        <w:t> </w:t>
      </w:r>
      <w:r>
        <w:rPr>
          <w:w w:val="90"/>
        </w:rPr>
        <w:t>OF</w:t>
      </w:r>
      <w:r>
        <w:rPr>
          <w:spacing w:val="-3"/>
        </w:rPr>
        <w:t> </w:t>
      </w:r>
      <w:r>
        <w:rPr>
          <w:spacing w:val="-2"/>
          <w:w w:val="90"/>
        </w:rPr>
        <w:t>LITERATURE:</w:t>
      </w:r>
    </w:p>
    <w:p>
      <w:pPr>
        <w:pStyle w:val="BodyText"/>
        <w:spacing w:line="249" w:lineRule="auto" w:before="76"/>
        <w:ind w:right="1439" w:firstLine="432"/>
        <w:jc w:val="both"/>
      </w:pPr>
      <w:r>
        <w:rPr>
          <w:spacing w:val="-2"/>
        </w:rPr>
        <w:t>Recent</w:t>
      </w:r>
      <w:r>
        <w:rPr>
          <w:spacing w:val="-7"/>
        </w:rPr>
        <w:t> </w:t>
      </w:r>
      <w:r>
        <w:rPr>
          <w:spacing w:val="-2"/>
        </w:rPr>
        <w:t>scholarly</w:t>
      </w:r>
      <w:r>
        <w:rPr>
          <w:spacing w:val="-11"/>
        </w:rPr>
        <w:t> </w:t>
      </w:r>
      <w:r>
        <w:rPr>
          <w:spacing w:val="-2"/>
        </w:rPr>
        <w:t>literature</w:t>
      </w:r>
      <w:r>
        <w:rPr>
          <w:spacing w:val="-7"/>
        </w:rPr>
        <w:t> </w:t>
      </w:r>
      <w:r>
        <w:rPr>
          <w:spacing w:val="-2"/>
        </w:rPr>
        <w:t>discussing</w:t>
      </w:r>
      <w:r>
        <w:rPr>
          <w:spacing w:val="-10"/>
        </w:rPr>
        <w:t> </w:t>
      </w:r>
      <w:r>
        <w:rPr>
          <w:spacing w:val="-2"/>
        </w:rPr>
        <w:t>the</w:t>
      </w:r>
      <w:r>
        <w:rPr>
          <w:spacing w:val="-7"/>
        </w:rPr>
        <w:t> </w:t>
      </w:r>
      <w:r>
        <w:rPr>
          <w:spacing w:val="-2"/>
        </w:rPr>
        <w:t>portrayal</w:t>
      </w:r>
      <w:r>
        <w:rPr>
          <w:spacing w:val="-10"/>
        </w:rPr>
        <w:t> </w:t>
      </w:r>
      <w:r>
        <w:rPr>
          <w:spacing w:val="-2"/>
        </w:rPr>
        <w:t>of</w:t>
      </w:r>
      <w:r>
        <w:rPr>
          <w:spacing w:val="-11"/>
        </w:rPr>
        <w:t> </w:t>
      </w:r>
      <w:r>
        <w:rPr>
          <w:spacing w:val="-2"/>
        </w:rPr>
        <w:t>women</w:t>
      </w:r>
      <w:r>
        <w:rPr>
          <w:spacing w:val="-7"/>
        </w:rPr>
        <w:t> </w:t>
      </w:r>
      <w:r>
        <w:rPr>
          <w:spacing w:val="-2"/>
        </w:rPr>
        <w:t>within </w:t>
      </w:r>
      <w:r>
        <w:rPr/>
        <w:t>Shakespearean literature has moved away from the view of female characters being passive entities toward the view of female characters being influenced by</w:t>
      </w:r>
      <w:r>
        <w:rPr>
          <w:spacing w:val="-1"/>
        </w:rPr>
        <w:t> </w:t>
      </w:r>
      <w:r>
        <w:rPr/>
        <w:t>strong patriarchal forces. Early</w:t>
      </w:r>
      <w:r>
        <w:rPr>
          <w:spacing w:val="-1"/>
        </w:rPr>
        <w:t> </w:t>
      </w:r>
      <w:r>
        <w:rPr/>
        <w:t>feminist critics (for </w:t>
      </w:r>
      <w:r>
        <w:rPr>
          <w:spacing w:val="-4"/>
        </w:rPr>
        <w:t>example Elaine Showalter</w:t>
      </w:r>
      <w:r>
        <w:rPr>
          <w:spacing w:val="-7"/>
        </w:rPr>
        <w:t> </w:t>
      </w:r>
      <w:r>
        <w:rPr>
          <w:spacing w:val="-4"/>
        </w:rPr>
        <w:t>in 1985) have shown that</w:t>
      </w:r>
      <w:r>
        <w:rPr>
          <w:spacing w:val="-7"/>
        </w:rPr>
        <w:t> </w:t>
      </w:r>
      <w:r>
        <w:rPr>
          <w:spacing w:val="-4"/>
        </w:rPr>
        <w:t>women (e.g., Ophelia, </w:t>
      </w:r>
      <w:r>
        <w:rPr/>
        <w:t>Lear’s daughters) are not weak because they are inherently weak, but rather because they have been socially constructed to fulfil particular </w:t>
      </w:r>
      <w:r>
        <w:rPr>
          <w:spacing w:val="-4"/>
        </w:rPr>
        <w:t>social expectations regarding</w:t>
      </w:r>
      <w:r>
        <w:rPr>
          <w:spacing w:val="-6"/>
        </w:rPr>
        <w:t> </w:t>
      </w:r>
      <w:r>
        <w:rPr>
          <w:spacing w:val="-4"/>
        </w:rPr>
        <w:t>the roles of women, which restricts women’s </w:t>
      </w:r>
      <w:r>
        <w:rPr/>
        <w:t>voice and identity. Consequently, these ideas have led to reading the women of Shakespeare as products of the cultures in which they live rather</w:t>
      </w:r>
      <w:r>
        <w:rPr>
          <w:spacing w:val="40"/>
        </w:rPr>
        <w:t> </w:t>
      </w:r>
      <w:r>
        <w:rPr/>
        <w:t>than</w:t>
      </w:r>
      <w:r>
        <w:rPr>
          <w:spacing w:val="40"/>
        </w:rPr>
        <w:t> </w:t>
      </w:r>
      <w:r>
        <w:rPr/>
        <w:t>as</w:t>
      </w:r>
      <w:r>
        <w:rPr>
          <w:spacing w:val="40"/>
        </w:rPr>
        <w:t> </w:t>
      </w:r>
      <w:r>
        <w:rPr/>
        <w:t>isolated</w:t>
      </w:r>
      <w:r>
        <w:rPr>
          <w:spacing w:val="40"/>
        </w:rPr>
        <w:t> </w:t>
      </w:r>
      <w:r>
        <w:rPr/>
        <w:t>beings.</w:t>
      </w:r>
    </w:p>
    <w:p>
      <w:pPr>
        <w:pStyle w:val="BodyText"/>
        <w:spacing w:line="249" w:lineRule="auto" w:before="66"/>
        <w:ind w:right="1437" w:firstLine="432"/>
        <w:jc w:val="both"/>
      </w:pPr>
      <w:r>
        <w:rPr/>
        <w:t>Building on that, Carol Thomas Neely in 2004 connects gender with emotional/psychological experience, showing how women in peripheral positions frequently experience internal conflicts/distress. Stephen</w:t>
      </w:r>
      <w:r>
        <w:rPr>
          <w:spacing w:val="-4"/>
        </w:rPr>
        <w:t> </w:t>
      </w:r>
      <w:r>
        <w:rPr/>
        <w:t>Greenblatt</w:t>
      </w:r>
      <w:r>
        <w:rPr>
          <w:spacing w:val="-4"/>
        </w:rPr>
        <w:t> </w:t>
      </w:r>
      <w:r>
        <w:rPr/>
        <w:t>(1980)</w:t>
      </w:r>
      <w:r>
        <w:rPr>
          <w:spacing w:val="-1"/>
        </w:rPr>
        <w:t> </w:t>
      </w:r>
      <w:r>
        <w:rPr/>
        <w:t>establishes</w:t>
      </w:r>
      <w:r>
        <w:rPr>
          <w:spacing w:val="-4"/>
        </w:rPr>
        <w:t> </w:t>
      </w:r>
      <w:r>
        <w:rPr/>
        <w:t>the</w:t>
      </w:r>
      <w:r>
        <w:rPr>
          <w:spacing w:val="-1"/>
        </w:rPr>
        <w:t> </w:t>
      </w:r>
      <w:r>
        <w:rPr/>
        <w:t>larger</w:t>
      </w:r>
      <w:r>
        <w:rPr>
          <w:spacing w:val="-4"/>
        </w:rPr>
        <w:t> </w:t>
      </w:r>
      <w:r>
        <w:rPr/>
        <w:t>Renaissance</w:t>
      </w:r>
      <w:r>
        <w:rPr>
          <w:spacing w:val="-3"/>
        </w:rPr>
        <w:t> </w:t>
      </w:r>
      <w:r>
        <w:rPr/>
        <w:t>context</w:t>
      </w:r>
      <w:r>
        <w:rPr>
          <w:spacing w:val="-2"/>
        </w:rPr>
        <w:t> </w:t>
      </w:r>
      <w:r>
        <w:rPr/>
        <w:t>of character creation and therefore identity which he believes was created through</w:t>
      </w:r>
      <w:r>
        <w:rPr>
          <w:spacing w:val="-11"/>
        </w:rPr>
        <w:t> </w:t>
      </w:r>
      <w:r>
        <w:rPr/>
        <w:t>both</w:t>
      </w:r>
      <w:r>
        <w:rPr>
          <w:spacing w:val="-10"/>
        </w:rPr>
        <w:t> </w:t>
      </w:r>
      <w:r>
        <w:rPr/>
        <w:t>power</w:t>
      </w:r>
      <w:r>
        <w:rPr>
          <w:spacing w:val="-12"/>
        </w:rPr>
        <w:t> </w:t>
      </w:r>
      <w:r>
        <w:rPr/>
        <w:t>and</w:t>
      </w:r>
      <w:r>
        <w:rPr>
          <w:spacing w:val="-8"/>
        </w:rPr>
        <w:t> </w:t>
      </w:r>
      <w:r>
        <w:rPr/>
        <w:t>social</w:t>
      </w:r>
      <w:r>
        <w:rPr>
          <w:spacing w:val="-9"/>
        </w:rPr>
        <w:t> </w:t>
      </w:r>
      <w:r>
        <w:rPr/>
        <w:t>norms,</w:t>
      </w:r>
      <w:r>
        <w:rPr>
          <w:spacing w:val="-8"/>
        </w:rPr>
        <w:t> </w:t>
      </w:r>
      <w:r>
        <w:rPr/>
        <w:t>usually</w:t>
      </w:r>
      <w:r>
        <w:rPr>
          <w:spacing w:val="-13"/>
        </w:rPr>
        <w:t> </w:t>
      </w:r>
      <w:r>
        <w:rPr/>
        <w:t>male</w:t>
      </w:r>
      <w:r>
        <w:rPr>
          <w:spacing w:val="-9"/>
        </w:rPr>
        <w:t> </w:t>
      </w:r>
      <w:r>
        <w:rPr/>
        <w:t>authority.</w:t>
      </w:r>
      <w:r>
        <w:rPr>
          <w:spacing w:val="-10"/>
        </w:rPr>
        <w:t> </w:t>
      </w:r>
      <w:r>
        <w:rPr/>
        <w:t>Therefore, the</w:t>
      </w:r>
      <w:r>
        <w:rPr>
          <w:spacing w:val="-6"/>
        </w:rPr>
        <w:t> </w:t>
      </w:r>
      <w:r>
        <w:rPr/>
        <w:t>new</w:t>
      </w:r>
      <w:r>
        <w:rPr>
          <w:spacing w:val="-9"/>
        </w:rPr>
        <w:t> </w:t>
      </w:r>
      <w:r>
        <w:rPr/>
        <w:t>views</w:t>
      </w:r>
      <w:r>
        <w:rPr>
          <w:spacing w:val="-5"/>
        </w:rPr>
        <w:t> </w:t>
      </w:r>
      <w:r>
        <w:rPr/>
        <w:t>on</w:t>
      </w:r>
      <w:r>
        <w:rPr>
          <w:spacing w:val="-6"/>
        </w:rPr>
        <w:t> </w:t>
      </w:r>
      <w:r>
        <w:rPr/>
        <w:t>women</w:t>
      </w:r>
      <w:r>
        <w:rPr>
          <w:spacing w:val="-6"/>
        </w:rPr>
        <w:t> </w:t>
      </w:r>
      <w:r>
        <w:rPr/>
        <w:t>in</w:t>
      </w:r>
      <w:r>
        <w:rPr>
          <w:spacing w:val="-6"/>
        </w:rPr>
        <w:t> </w:t>
      </w:r>
      <w:r>
        <w:rPr/>
        <w:t>Shakespeare</w:t>
      </w:r>
      <w:r>
        <w:rPr>
          <w:spacing w:val="-2"/>
        </w:rPr>
        <w:t> </w:t>
      </w:r>
      <w:r>
        <w:rPr/>
        <w:t>allow</w:t>
      </w:r>
      <w:r>
        <w:rPr>
          <w:spacing w:val="-10"/>
        </w:rPr>
        <w:t> </w:t>
      </w:r>
      <w:r>
        <w:rPr/>
        <w:t>us</w:t>
      </w:r>
      <w:r>
        <w:rPr>
          <w:spacing w:val="-6"/>
        </w:rPr>
        <w:t> </w:t>
      </w:r>
      <w:r>
        <w:rPr/>
        <w:t>to</w:t>
      </w:r>
      <w:r>
        <w:rPr>
          <w:spacing w:val="-4"/>
        </w:rPr>
        <w:t> </w:t>
      </w:r>
      <w:r>
        <w:rPr/>
        <w:t>see</w:t>
      </w:r>
      <w:r>
        <w:rPr>
          <w:spacing w:val="-4"/>
        </w:rPr>
        <w:t> </w:t>
      </w:r>
      <w:r>
        <w:rPr/>
        <w:t>that</w:t>
      </w:r>
      <w:r>
        <w:rPr>
          <w:spacing w:val="-5"/>
        </w:rPr>
        <w:t> </w:t>
      </w:r>
      <w:r>
        <w:rPr/>
        <w:t>the</w:t>
      </w:r>
      <w:r>
        <w:rPr>
          <w:spacing w:val="-5"/>
        </w:rPr>
        <w:t> </w:t>
      </w:r>
      <w:r>
        <w:rPr>
          <w:spacing w:val="-2"/>
        </w:rPr>
        <w:t>women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677440">
                <wp:simplePos x="0" y="0"/>
                <wp:positionH relativeFrom="page">
                  <wp:posOffset>2065020</wp:posOffset>
                </wp:positionH>
                <wp:positionV relativeFrom="paragraph">
                  <wp:posOffset>162604</wp:posOffset>
                </wp:positionV>
                <wp:extent cx="3657600" cy="12700"/>
                <wp:effectExtent l="0" t="0" r="0" b="0"/>
                <wp:wrapTopAndBottom/>
                <wp:docPr id="298" name="Graphic 298"/>
                <wp:cNvGraphicFramePr>
                  <a:graphicFrameLocks/>
                </wp:cNvGraphicFramePr>
                <a:graphic>
                  <a:graphicData uri="http://schemas.microsoft.com/office/word/2010/wordprocessingShape">
                    <wps:wsp>
                      <wps:cNvPr id="298" name="Graphic 29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39040;mso-wrap-distance-left:0;mso-wrap-distance-right:0" id="docshape294" filled="true" fillcolor="#000000" stroked="false">
                <v:fill type="solid"/>
                <w10:wrap type="topAndBottom"/>
              </v:rect>
            </w:pict>
          </mc:Fallback>
        </mc:AlternateContent>
      </w:r>
      <w:r>
        <w:rPr>
          <w:rFonts w:ascii="Verdana"/>
          <w:spacing w:val="-2"/>
          <w:sz w:val="18"/>
        </w:rPr>
        <w:t>The</w:t>
      </w:r>
      <w:r>
        <w:rPr>
          <w:rFonts w:ascii="Verdana"/>
          <w:spacing w:val="-6"/>
          <w:sz w:val="18"/>
        </w:rPr>
        <w:t> </w:t>
      </w:r>
      <w:r>
        <w:rPr>
          <w:rFonts w:ascii="Verdana"/>
          <w:spacing w:val="-2"/>
          <w:sz w:val="18"/>
        </w:rPr>
        <w:t>Shakespearean</w:t>
      </w:r>
      <w:r>
        <w:rPr>
          <w:rFonts w:ascii="Verdana"/>
          <w:spacing w:val="-4"/>
          <w:sz w:val="18"/>
        </w:rPr>
        <w:t> </w:t>
      </w:r>
      <w:r>
        <w:rPr>
          <w:rFonts w:ascii="Verdana"/>
          <w:spacing w:val="-2"/>
          <w:sz w:val="18"/>
        </w:rPr>
        <w:t>Mirror:</w:t>
      </w:r>
      <w:r>
        <w:rPr>
          <w:rFonts w:ascii="Verdana"/>
          <w:spacing w:val="-7"/>
          <w:sz w:val="18"/>
        </w:rPr>
        <w:t> </w:t>
      </w:r>
      <w:r>
        <w:rPr>
          <w:rFonts w:ascii="Verdana"/>
          <w:spacing w:val="-2"/>
          <w:sz w:val="18"/>
        </w:rPr>
        <w:t>Analyzing</w:t>
      </w:r>
      <w:r>
        <w:rPr>
          <w:rFonts w:ascii="Verdana"/>
          <w:spacing w:val="-6"/>
          <w:sz w:val="18"/>
        </w:rPr>
        <w:t> </w:t>
      </w:r>
      <w:r>
        <w:rPr>
          <w:rFonts w:ascii="Verdana"/>
          <w:spacing w:val="-2"/>
          <w:sz w:val="18"/>
        </w:rPr>
        <w:t>Gender,</w:t>
      </w:r>
      <w:r>
        <w:rPr>
          <w:rFonts w:ascii="Verdana"/>
          <w:spacing w:val="-7"/>
          <w:sz w:val="18"/>
        </w:rPr>
        <w:t> </w:t>
      </w:r>
      <w:r>
        <w:rPr>
          <w:rFonts w:ascii="Verdana"/>
          <w:spacing w:val="-2"/>
          <w:sz w:val="18"/>
        </w:rPr>
        <w:t>Patriarchy...</w:t>
      </w:r>
      <w:r>
        <w:rPr>
          <w:rFonts w:ascii="Verdana"/>
          <w:sz w:val="18"/>
        </w:rPr>
        <w:tab/>
      </w:r>
      <w:r>
        <w:rPr>
          <w:rFonts w:ascii="Verdana"/>
          <w:spacing w:val="-5"/>
          <w:sz w:val="18"/>
        </w:rPr>
        <w:t>97</w:t>
      </w:r>
    </w:p>
    <w:p>
      <w:pPr>
        <w:pStyle w:val="BodyText"/>
        <w:spacing w:line="249" w:lineRule="auto" w:before="192"/>
        <w:ind w:right="1439"/>
        <w:jc w:val="both"/>
      </w:pPr>
      <w:r>
        <w:rPr>
          <w:spacing w:val="-2"/>
        </w:rPr>
        <w:t>of</w:t>
      </w:r>
      <w:r>
        <w:rPr>
          <w:spacing w:val="-6"/>
        </w:rPr>
        <w:t> </w:t>
      </w:r>
      <w:r>
        <w:rPr>
          <w:spacing w:val="-2"/>
        </w:rPr>
        <w:t>Shakespeare</w:t>
      </w:r>
      <w:r>
        <w:rPr>
          <w:spacing w:val="-5"/>
        </w:rPr>
        <w:t> </w:t>
      </w:r>
      <w:r>
        <w:rPr>
          <w:spacing w:val="-2"/>
        </w:rPr>
        <w:t>are</w:t>
      </w:r>
      <w:r>
        <w:rPr>
          <w:spacing w:val="-5"/>
        </w:rPr>
        <w:t> </w:t>
      </w:r>
      <w:r>
        <w:rPr>
          <w:spacing w:val="-2"/>
        </w:rPr>
        <w:t>more</w:t>
      </w:r>
      <w:r>
        <w:rPr>
          <w:spacing w:val="-7"/>
        </w:rPr>
        <w:t> </w:t>
      </w:r>
      <w:r>
        <w:rPr>
          <w:spacing w:val="-2"/>
        </w:rPr>
        <w:t>than</w:t>
      </w:r>
      <w:r>
        <w:rPr>
          <w:spacing w:val="-5"/>
        </w:rPr>
        <w:t> </w:t>
      </w:r>
      <w:r>
        <w:rPr>
          <w:spacing w:val="-2"/>
        </w:rPr>
        <w:t>just</w:t>
      </w:r>
      <w:r>
        <w:rPr>
          <w:spacing w:val="-7"/>
        </w:rPr>
        <w:t> </w:t>
      </w:r>
      <w:r>
        <w:rPr>
          <w:spacing w:val="-2"/>
        </w:rPr>
        <w:t>characters</w:t>
      </w:r>
      <w:r>
        <w:rPr>
          <w:spacing w:val="-5"/>
        </w:rPr>
        <w:t> </w:t>
      </w:r>
      <w:r>
        <w:rPr>
          <w:spacing w:val="-2"/>
        </w:rPr>
        <w:t>in</w:t>
      </w:r>
      <w:r>
        <w:rPr>
          <w:spacing w:val="-5"/>
        </w:rPr>
        <w:t> </w:t>
      </w:r>
      <w:r>
        <w:rPr>
          <w:spacing w:val="-2"/>
        </w:rPr>
        <w:t>a</w:t>
      </w:r>
      <w:r>
        <w:rPr>
          <w:spacing w:val="-5"/>
        </w:rPr>
        <w:t> </w:t>
      </w:r>
      <w:r>
        <w:rPr>
          <w:spacing w:val="-2"/>
        </w:rPr>
        <w:t>play;</w:t>
      </w:r>
      <w:r>
        <w:rPr>
          <w:spacing w:val="-3"/>
        </w:rPr>
        <w:t> </w:t>
      </w:r>
      <w:r>
        <w:rPr>
          <w:spacing w:val="-2"/>
        </w:rPr>
        <w:t>they</w:t>
      </w:r>
      <w:r>
        <w:rPr>
          <w:spacing w:val="-11"/>
        </w:rPr>
        <w:t> </w:t>
      </w:r>
      <w:r>
        <w:rPr>
          <w:spacing w:val="-2"/>
        </w:rPr>
        <w:t>are</w:t>
      </w:r>
      <w:r>
        <w:rPr>
          <w:spacing w:val="-3"/>
        </w:rPr>
        <w:t> </w:t>
      </w:r>
      <w:r>
        <w:rPr>
          <w:spacing w:val="-2"/>
        </w:rPr>
        <w:t>characters </w:t>
      </w:r>
      <w:r>
        <w:rPr/>
        <w:t>who have been heavily influenced by the social structures surrounding </w:t>
      </w:r>
      <w:r>
        <w:rPr>
          <w:spacing w:val="-2"/>
        </w:rPr>
        <w:t>them.</w:t>
      </w:r>
    </w:p>
    <w:p>
      <w:pPr>
        <w:pStyle w:val="BodyText"/>
        <w:spacing w:line="249" w:lineRule="auto" w:before="60"/>
        <w:ind w:right="1438" w:firstLine="432"/>
        <w:jc w:val="both"/>
      </w:pPr>
      <w:r>
        <w:rPr/>
        <w:t>Bell hooks (2000) asserts that patriarchy functions at a societal level through cultural instances that restrict women’s voice and agency from a wider </w:t>
      </w:r>
      <w:r>
        <w:rPr>
          <w:spacing w:val="9"/>
        </w:rPr>
        <w:t>perspective</w:t>
      </w:r>
      <w:r>
        <w:rPr>
          <w:spacing w:val="9"/>
        </w:rPr>
        <w:t> </w:t>
      </w:r>
      <w:r>
        <w:rPr/>
        <w:t>of feminist thought. Shakespeare’s characterizations</w:t>
      </w:r>
      <w:r>
        <w:rPr>
          <w:spacing w:val="-2"/>
        </w:rPr>
        <w:t> </w:t>
      </w:r>
      <w:r>
        <w:rPr/>
        <w:t>of</w:t>
      </w:r>
      <w:r>
        <w:rPr>
          <w:spacing w:val="-4"/>
        </w:rPr>
        <w:t> </w:t>
      </w:r>
      <w:r>
        <w:rPr/>
        <w:t>female characters</w:t>
      </w:r>
      <w:r>
        <w:rPr>
          <w:spacing w:val="-4"/>
        </w:rPr>
        <w:t> </w:t>
      </w:r>
      <w:r>
        <w:rPr/>
        <w:t>such</w:t>
      </w:r>
      <w:r>
        <w:rPr>
          <w:spacing w:val="-2"/>
        </w:rPr>
        <w:t> </w:t>
      </w:r>
      <w:r>
        <w:rPr/>
        <w:t>as Desdemona</w:t>
      </w:r>
      <w:r>
        <w:rPr>
          <w:spacing w:val="-1"/>
        </w:rPr>
        <w:t> </w:t>
      </w:r>
      <w:r>
        <w:rPr/>
        <w:t>and Cordelia reflect both the silencing of women and their control over agency. </w:t>
      </w:r>
      <w:r>
        <w:rPr>
          <w:spacing w:val="-2"/>
        </w:rPr>
        <w:t>Furthermore,</w:t>
      </w:r>
      <w:r>
        <w:rPr>
          <w:spacing w:val="-11"/>
        </w:rPr>
        <w:t> </w:t>
      </w:r>
      <w:r>
        <w:rPr>
          <w:spacing w:val="-2"/>
        </w:rPr>
        <w:t>Rosalind</w:t>
      </w:r>
      <w:r>
        <w:rPr>
          <w:spacing w:val="-10"/>
        </w:rPr>
        <w:t> </w:t>
      </w:r>
      <w:r>
        <w:rPr>
          <w:spacing w:val="-2"/>
        </w:rPr>
        <w:t>Gill</w:t>
      </w:r>
      <w:r>
        <w:rPr>
          <w:spacing w:val="-11"/>
        </w:rPr>
        <w:t> </w:t>
      </w:r>
      <w:r>
        <w:rPr>
          <w:spacing w:val="-2"/>
        </w:rPr>
        <w:t>(2007)</w:t>
      </w:r>
      <w:r>
        <w:rPr>
          <w:spacing w:val="-10"/>
        </w:rPr>
        <w:t> </w:t>
      </w:r>
      <w:r>
        <w:rPr>
          <w:spacing w:val="-2"/>
        </w:rPr>
        <w:t>argues</w:t>
      </w:r>
      <w:r>
        <w:rPr>
          <w:spacing w:val="-11"/>
        </w:rPr>
        <w:t> </w:t>
      </w:r>
      <w:r>
        <w:rPr>
          <w:spacing w:val="-2"/>
        </w:rPr>
        <w:t>that</w:t>
      </w:r>
      <w:r>
        <w:rPr>
          <w:spacing w:val="-10"/>
        </w:rPr>
        <w:t> </w:t>
      </w:r>
      <w:r>
        <w:rPr>
          <w:spacing w:val="-2"/>
        </w:rPr>
        <w:t>gender</w:t>
      </w:r>
      <w:r>
        <w:rPr>
          <w:spacing w:val="-11"/>
        </w:rPr>
        <w:t> </w:t>
      </w:r>
      <w:r>
        <w:rPr>
          <w:spacing w:val="-2"/>
        </w:rPr>
        <w:t>inequality</w:t>
      </w:r>
      <w:r>
        <w:rPr>
          <w:spacing w:val="-10"/>
        </w:rPr>
        <w:t> </w:t>
      </w:r>
      <w:r>
        <w:rPr>
          <w:spacing w:val="-2"/>
        </w:rPr>
        <w:t>continues </w:t>
      </w:r>
      <w:r>
        <w:rPr/>
        <w:t>to exist subtly in the </w:t>
      </w:r>
      <w:r>
        <w:rPr>
          <w:spacing w:val="9"/>
        </w:rPr>
        <w:t>contemporary</w:t>
      </w:r>
      <w:r>
        <w:rPr>
          <w:spacing w:val="9"/>
        </w:rPr>
        <w:t> </w:t>
      </w:r>
      <w:r>
        <w:rPr/>
        <w:t>world, which makes the representations</w:t>
      </w:r>
      <w:r>
        <w:rPr>
          <w:spacing w:val="40"/>
        </w:rPr>
        <w:t> </w:t>
      </w:r>
      <w:r>
        <w:rPr/>
        <w:t>of</w:t>
      </w:r>
      <w:r>
        <w:rPr>
          <w:spacing w:val="40"/>
        </w:rPr>
        <w:t> </w:t>
      </w:r>
      <w:r>
        <w:rPr/>
        <w:t>gender</w:t>
      </w:r>
      <w:r>
        <w:rPr>
          <w:spacing w:val="40"/>
        </w:rPr>
        <w:t> </w:t>
      </w:r>
      <w:r>
        <w:rPr/>
        <w:t>by</w:t>
      </w:r>
      <w:r>
        <w:rPr>
          <w:spacing w:val="40"/>
        </w:rPr>
        <w:t> </w:t>
      </w:r>
      <w:r>
        <w:rPr/>
        <w:t>Shakespeare</w:t>
      </w:r>
      <w:r>
        <w:rPr>
          <w:spacing w:val="40"/>
        </w:rPr>
        <w:t> </w:t>
      </w:r>
      <w:r>
        <w:rPr/>
        <w:t>remain</w:t>
      </w:r>
      <w:r>
        <w:rPr>
          <w:spacing w:val="40"/>
        </w:rPr>
        <w:t> </w:t>
      </w:r>
      <w:r>
        <w:rPr/>
        <w:t>salient</w:t>
      </w:r>
      <w:r>
        <w:rPr>
          <w:spacing w:val="40"/>
        </w:rPr>
        <w:t> </w:t>
      </w:r>
      <w:r>
        <w:rPr/>
        <w:t>today.</w:t>
      </w:r>
    </w:p>
    <w:p>
      <w:pPr>
        <w:pStyle w:val="BodyText"/>
        <w:spacing w:line="249" w:lineRule="auto" w:before="64"/>
        <w:ind w:right="1437" w:firstLine="432"/>
        <w:jc w:val="both"/>
      </w:pPr>
      <w:r>
        <w:rPr/>
        <w:t>While</w:t>
      </w:r>
      <w:r>
        <w:rPr>
          <w:spacing w:val="-1"/>
        </w:rPr>
        <w:t> </w:t>
      </w:r>
      <w:r>
        <w:rPr/>
        <w:t>these studies</w:t>
      </w:r>
      <w:r>
        <w:rPr>
          <w:spacing w:val="-1"/>
        </w:rPr>
        <w:t> </w:t>
      </w:r>
      <w:r>
        <w:rPr/>
        <w:t>provide insight</w:t>
      </w:r>
      <w:r>
        <w:rPr>
          <w:spacing w:val="-1"/>
        </w:rPr>
        <w:t> </w:t>
      </w:r>
      <w:r>
        <w:rPr/>
        <w:t>into various</w:t>
      </w:r>
      <w:r>
        <w:rPr>
          <w:spacing w:val="-1"/>
        </w:rPr>
        <w:t> </w:t>
      </w:r>
      <w:r>
        <w:rPr/>
        <w:t>individual themes or female characters,</w:t>
      </w:r>
      <w:r>
        <w:rPr>
          <w:spacing w:val="-1"/>
        </w:rPr>
        <w:t> </w:t>
      </w:r>
      <w:r>
        <w:rPr/>
        <w:t>it is essential to conduct further research</w:t>
      </w:r>
      <w:r>
        <w:rPr>
          <w:spacing w:val="-1"/>
        </w:rPr>
        <w:t> </w:t>
      </w:r>
      <w:r>
        <w:rPr/>
        <w:t>into how patriarchal structures has continuously influenced the roles played by women across all his plays. This study attempts to integrate these perspectives and provide a greater understanding of the relationship </w:t>
      </w:r>
      <w:r>
        <w:rPr>
          <w:spacing w:val="9"/>
        </w:rPr>
        <w:t>between</w:t>
      </w:r>
      <w:r>
        <w:rPr>
          <w:spacing w:val="9"/>
        </w:rPr>
        <w:t> </w:t>
      </w:r>
      <w:r>
        <w:rPr/>
        <w:t>gender, power and </w:t>
      </w:r>
      <w:r>
        <w:rPr>
          <w:spacing w:val="10"/>
        </w:rPr>
        <w:t>representation</w:t>
      </w:r>
      <w:r>
        <w:rPr>
          <w:spacing w:val="10"/>
        </w:rPr>
        <w:t> </w:t>
      </w:r>
      <w:r>
        <w:rPr>
          <w:spacing w:val="9"/>
        </w:rPr>
        <w:t>throughout</w:t>
      </w:r>
      <w:r>
        <w:rPr>
          <w:spacing w:val="9"/>
        </w:rPr>
        <w:t> </w:t>
      </w:r>
      <w:r>
        <w:rPr/>
        <w:t>all of Shakespeare’s</w:t>
      </w:r>
      <w:r>
        <w:rPr>
          <w:spacing w:val="40"/>
        </w:rPr>
        <w:t> </w:t>
      </w:r>
      <w:r>
        <w:rPr/>
        <w:t>works.</w:t>
      </w:r>
    </w:p>
    <w:p>
      <w:pPr>
        <w:pStyle w:val="Heading3"/>
        <w:spacing w:before="160"/>
        <w:jc w:val="both"/>
      </w:pPr>
      <w:r>
        <w:rPr>
          <w:w w:val="90"/>
        </w:rPr>
        <w:t>THE</w:t>
      </w:r>
      <w:r>
        <w:rPr>
          <w:spacing w:val="-3"/>
          <w:w w:val="90"/>
        </w:rPr>
        <w:t> </w:t>
      </w:r>
      <w:r>
        <w:rPr>
          <w:w w:val="90"/>
        </w:rPr>
        <w:t>BELIEF</w:t>
      </w:r>
      <w:r>
        <w:rPr>
          <w:spacing w:val="-6"/>
        </w:rPr>
        <w:t> </w:t>
      </w:r>
      <w:r>
        <w:rPr>
          <w:w w:val="90"/>
        </w:rPr>
        <w:t>GAP:</w:t>
      </w:r>
      <w:r>
        <w:rPr>
          <w:spacing w:val="-1"/>
          <w:w w:val="90"/>
        </w:rPr>
        <w:t> </w:t>
      </w:r>
      <w:r>
        <w:rPr>
          <w:w w:val="90"/>
        </w:rPr>
        <w:t>ISABELLA</w:t>
      </w:r>
      <w:r>
        <w:rPr>
          <w:spacing w:val="-2"/>
          <w:w w:val="90"/>
        </w:rPr>
        <w:t> </w:t>
      </w:r>
      <w:r>
        <w:rPr>
          <w:w w:val="90"/>
        </w:rPr>
        <w:t>AND</w:t>
      </w:r>
      <w:r>
        <w:rPr>
          <w:spacing w:val="-2"/>
          <w:w w:val="90"/>
        </w:rPr>
        <w:t> HERMIONE</w:t>
      </w:r>
    </w:p>
    <w:p>
      <w:pPr>
        <w:pStyle w:val="BodyText"/>
        <w:spacing w:line="249" w:lineRule="auto" w:before="77"/>
        <w:ind w:right="1437" w:firstLine="432"/>
        <w:jc w:val="both"/>
      </w:pPr>
      <w:r>
        <w:rPr/>
        <w:t>The primary concern of the #MeToo Movement is struggle for belief.</w:t>
      </w:r>
      <w:r>
        <w:rPr>
          <w:spacing w:val="-5"/>
        </w:rPr>
        <w:t> </w:t>
      </w:r>
      <w:r>
        <w:rPr/>
        <w:t>Isabella's</w:t>
      </w:r>
      <w:r>
        <w:rPr>
          <w:spacing w:val="-1"/>
        </w:rPr>
        <w:t> </w:t>
      </w:r>
      <w:r>
        <w:rPr/>
        <w:t>challenge</w:t>
      </w:r>
      <w:r>
        <w:rPr>
          <w:spacing w:val="-4"/>
        </w:rPr>
        <w:t> </w:t>
      </w:r>
      <w:r>
        <w:rPr/>
        <w:t>to</w:t>
      </w:r>
      <w:r>
        <w:rPr>
          <w:spacing w:val="-1"/>
        </w:rPr>
        <w:t> </w:t>
      </w:r>
      <w:r>
        <w:rPr/>
        <w:t>the</w:t>
      </w:r>
      <w:r>
        <w:rPr>
          <w:spacing w:val="-4"/>
        </w:rPr>
        <w:t> </w:t>
      </w:r>
      <w:r>
        <w:rPr/>
        <w:t>deputy</w:t>
      </w:r>
      <w:r>
        <w:rPr>
          <w:spacing w:val="-13"/>
        </w:rPr>
        <w:t> </w:t>
      </w:r>
      <w:r>
        <w:rPr/>
        <w:t>Angelo</w:t>
      </w:r>
      <w:r>
        <w:rPr>
          <w:spacing w:val="-3"/>
        </w:rPr>
        <w:t> </w:t>
      </w:r>
      <w:r>
        <w:rPr/>
        <w:t>(</w:t>
      </w:r>
      <w:r>
        <w:rPr>
          <w:i/>
        </w:rPr>
        <w:t>Measure</w:t>
      </w:r>
      <w:r>
        <w:rPr>
          <w:i/>
          <w:spacing w:val="-4"/>
        </w:rPr>
        <w:t> </w:t>
      </w:r>
      <w:r>
        <w:rPr>
          <w:i/>
        </w:rPr>
        <w:t>for</w:t>
      </w:r>
      <w:r>
        <w:rPr>
          <w:i/>
          <w:spacing w:val="-1"/>
        </w:rPr>
        <w:t> </w:t>
      </w:r>
      <w:r>
        <w:rPr>
          <w:i/>
        </w:rPr>
        <w:t>Measure</w:t>
      </w:r>
      <w:r>
        <w:rPr/>
        <w:t>) is an ultimate “he said/she said” challenge to belief; when Angelo threatens to kill Isabella’s brother unless she gives up her virginity, she threatens to expose him and receives the response, “Who will believe </w:t>
      </w:r>
      <w:r>
        <w:rPr>
          <w:spacing w:val="-4"/>
        </w:rPr>
        <w:t>you,</w:t>
      </w:r>
      <w:r>
        <w:rPr>
          <w:spacing w:val="-9"/>
        </w:rPr>
        <w:t> </w:t>
      </w:r>
      <w:r>
        <w:rPr>
          <w:spacing w:val="-4"/>
        </w:rPr>
        <w:t>Isabella?”</w:t>
      </w:r>
      <w:r>
        <w:rPr>
          <w:spacing w:val="-8"/>
        </w:rPr>
        <w:t> </w:t>
      </w:r>
      <w:r>
        <w:rPr>
          <w:spacing w:val="-4"/>
        </w:rPr>
        <w:t>(Shakespeare, 1604/2005,</w:t>
      </w:r>
      <w:r>
        <w:rPr>
          <w:spacing w:val="-7"/>
        </w:rPr>
        <w:t> </w:t>
      </w:r>
      <w:r>
        <w:rPr>
          <w:spacing w:val="-4"/>
        </w:rPr>
        <w:t>2.4.171)</w:t>
      </w:r>
      <w:r>
        <w:rPr>
          <w:spacing w:val="-7"/>
        </w:rPr>
        <w:t> </w:t>
      </w:r>
      <w:r>
        <w:rPr>
          <w:spacing w:val="-4"/>
        </w:rPr>
        <w:t>(Example</w:t>
      </w:r>
      <w:r>
        <w:rPr>
          <w:spacing w:val="-9"/>
        </w:rPr>
        <w:t> </w:t>
      </w:r>
      <w:r>
        <w:rPr>
          <w:spacing w:val="-4"/>
        </w:rPr>
        <w:t>is</w:t>
      </w:r>
      <w:r>
        <w:rPr>
          <w:spacing w:val="-8"/>
        </w:rPr>
        <w:t> </w:t>
      </w:r>
      <w:r>
        <w:rPr>
          <w:spacing w:val="-4"/>
        </w:rPr>
        <w:t>drawn</w:t>
      </w:r>
      <w:r>
        <w:rPr>
          <w:spacing w:val="-9"/>
        </w:rPr>
        <w:t> </w:t>
      </w:r>
      <w:r>
        <w:rPr>
          <w:spacing w:val="-4"/>
        </w:rPr>
        <w:t>from </w:t>
      </w:r>
      <w:r>
        <w:rPr/>
        <w:t>today’s high-profile individuals accused of sexual harassment and abusing their position of power and authority to protect their “unimpeachable”</w:t>
      </w:r>
      <w:r>
        <w:rPr>
          <w:spacing w:val="40"/>
        </w:rPr>
        <w:t> </w:t>
      </w:r>
      <w:r>
        <w:rPr/>
        <w:t>reputation</w:t>
      </w:r>
      <w:r>
        <w:rPr>
          <w:spacing w:val="40"/>
        </w:rPr>
        <w:t> </w:t>
      </w:r>
      <w:r>
        <w:rPr/>
        <w:t>against</w:t>
      </w:r>
      <w:r>
        <w:rPr>
          <w:spacing w:val="40"/>
        </w:rPr>
        <w:t> </w:t>
      </w:r>
      <w:r>
        <w:rPr/>
        <w:t>such</w:t>
      </w:r>
      <w:r>
        <w:rPr>
          <w:spacing w:val="40"/>
        </w:rPr>
        <w:t> </w:t>
      </w:r>
      <w:r>
        <w:rPr/>
        <w:t>accusations).</w:t>
      </w:r>
    </w:p>
    <w:p>
      <w:pPr>
        <w:pStyle w:val="BodyText"/>
        <w:spacing w:line="249" w:lineRule="auto" w:before="65"/>
        <w:ind w:right="1434" w:firstLine="432"/>
        <w:jc w:val="both"/>
      </w:pPr>
      <w:r>
        <w:rPr>
          <w:spacing w:val="-2"/>
        </w:rPr>
        <w:t>Hermione’s</w:t>
      </w:r>
      <w:r>
        <w:rPr>
          <w:spacing w:val="-11"/>
        </w:rPr>
        <w:t> </w:t>
      </w:r>
      <w:r>
        <w:rPr>
          <w:spacing w:val="-2"/>
        </w:rPr>
        <w:t>trial</w:t>
      </w:r>
      <w:r>
        <w:rPr>
          <w:spacing w:val="-10"/>
        </w:rPr>
        <w:t> </w:t>
      </w:r>
      <w:r>
        <w:rPr>
          <w:spacing w:val="-2"/>
        </w:rPr>
        <w:t>(</w:t>
      </w:r>
      <w:r>
        <w:rPr>
          <w:i/>
          <w:spacing w:val="-2"/>
        </w:rPr>
        <w:t>The</w:t>
      </w:r>
      <w:r>
        <w:rPr>
          <w:i/>
          <w:spacing w:val="-11"/>
        </w:rPr>
        <w:t> </w:t>
      </w:r>
      <w:r>
        <w:rPr>
          <w:i/>
          <w:spacing w:val="-2"/>
        </w:rPr>
        <w:t>Winter’s</w:t>
      </w:r>
      <w:r>
        <w:rPr>
          <w:i/>
          <w:spacing w:val="-10"/>
        </w:rPr>
        <w:t> </w:t>
      </w:r>
      <w:r>
        <w:rPr>
          <w:i/>
          <w:spacing w:val="-2"/>
        </w:rPr>
        <w:t>Tale</w:t>
      </w:r>
      <w:r>
        <w:rPr>
          <w:spacing w:val="-2"/>
        </w:rPr>
        <w:t>)</w:t>
      </w:r>
      <w:r>
        <w:rPr>
          <w:spacing w:val="-11"/>
        </w:rPr>
        <w:t> </w:t>
      </w:r>
      <w:r>
        <w:rPr>
          <w:spacing w:val="-2"/>
        </w:rPr>
        <w:t>is</w:t>
      </w:r>
      <w:r>
        <w:rPr>
          <w:spacing w:val="-10"/>
        </w:rPr>
        <w:t> </w:t>
      </w:r>
      <w:r>
        <w:rPr>
          <w:spacing w:val="-2"/>
        </w:rPr>
        <w:t>also</w:t>
      </w:r>
      <w:r>
        <w:rPr>
          <w:spacing w:val="-11"/>
        </w:rPr>
        <w:t> </w:t>
      </w:r>
      <w:r>
        <w:rPr>
          <w:spacing w:val="-2"/>
        </w:rPr>
        <w:t>an</w:t>
      </w:r>
      <w:r>
        <w:rPr>
          <w:spacing w:val="-10"/>
        </w:rPr>
        <w:t> </w:t>
      </w:r>
      <w:r>
        <w:rPr>
          <w:spacing w:val="-2"/>
        </w:rPr>
        <w:t>example</w:t>
      </w:r>
      <w:r>
        <w:rPr>
          <w:spacing w:val="-11"/>
        </w:rPr>
        <w:t> </w:t>
      </w:r>
      <w:r>
        <w:rPr>
          <w:spacing w:val="-2"/>
        </w:rPr>
        <w:t>of</w:t>
      </w:r>
      <w:r>
        <w:rPr>
          <w:spacing w:val="-10"/>
        </w:rPr>
        <w:t> </w:t>
      </w:r>
      <w:r>
        <w:rPr>
          <w:spacing w:val="-2"/>
        </w:rPr>
        <w:t>the</w:t>
      </w:r>
      <w:r>
        <w:rPr>
          <w:spacing w:val="-11"/>
        </w:rPr>
        <w:t> </w:t>
      </w:r>
      <w:r>
        <w:rPr>
          <w:spacing w:val="-2"/>
        </w:rPr>
        <w:t>failure </w:t>
      </w:r>
      <w:r>
        <w:rPr/>
        <w:t>to believe someone based on their status. Even though both Isabella</w:t>
      </w:r>
      <w:r>
        <w:rPr>
          <w:spacing w:val="80"/>
        </w:rPr>
        <w:t> </w:t>
      </w:r>
      <w:r>
        <w:rPr/>
        <w:t>and Hermione are royals in their respective plays, they are equally vulnerable to</w:t>
      </w:r>
      <w:r>
        <w:rPr>
          <w:spacing w:val="-1"/>
        </w:rPr>
        <w:t> </w:t>
      </w:r>
      <w:r>
        <w:rPr/>
        <w:t>being</w:t>
      </w:r>
      <w:r>
        <w:rPr>
          <w:spacing w:val="-3"/>
        </w:rPr>
        <w:t> </w:t>
      </w:r>
      <w:r>
        <w:rPr/>
        <w:t>“cancelled”</w:t>
      </w:r>
      <w:r>
        <w:rPr>
          <w:spacing w:val="-1"/>
        </w:rPr>
        <w:t> </w:t>
      </w:r>
      <w:r>
        <w:rPr/>
        <w:t>or cancelled out</w:t>
      </w:r>
      <w:r>
        <w:rPr>
          <w:spacing w:val="-2"/>
        </w:rPr>
        <w:t> </w:t>
      </w:r>
      <w:r>
        <w:rPr/>
        <w:t>of</w:t>
      </w:r>
      <w:r>
        <w:rPr>
          <w:spacing w:val="-3"/>
        </w:rPr>
        <w:t> </w:t>
      </w:r>
      <w:r>
        <w:rPr/>
        <w:t>existence</w:t>
      </w:r>
      <w:r>
        <w:rPr>
          <w:spacing w:val="-1"/>
        </w:rPr>
        <w:t> </w:t>
      </w:r>
      <w:r>
        <w:rPr/>
        <w:t>by</w:t>
      </w:r>
      <w:r>
        <w:rPr>
          <w:spacing w:val="-4"/>
        </w:rPr>
        <w:t> </w:t>
      </w:r>
      <w:r>
        <w:rPr/>
        <w:t>society through false accusations; both have been liquidated. Hermione’s position is compounded by the unequal status of a Queen, providing</w:t>
      </w:r>
      <w:r>
        <w:rPr>
          <w:spacing w:val="80"/>
        </w:rPr>
        <w:t> </w:t>
      </w:r>
      <w:r>
        <w:rPr/>
        <w:t>her with the opportunity to speak when she has no way to be protected by</w:t>
      </w:r>
      <w:r>
        <w:rPr>
          <w:spacing w:val="-2"/>
        </w:rPr>
        <w:t> </w:t>
      </w:r>
      <w:r>
        <w:rPr/>
        <w:t>being “listed” or “believed.” In her defence, Hermione said her only asset left is her “integrity,” which demonstrates how modern-day survivors</w:t>
      </w:r>
      <w:r>
        <w:rPr>
          <w:spacing w:val="40"/>
        </w:rPr>
        <w:t> </w:t>
      </w:r>
      <w:r>
        <w:rPr/>
        <w:t>navigate</w:t>
      </w:r>
      <w:r>
        <w:rPr>
          <w:spacing w:val="40"/>
        </w:rPr>
        <w:t> </w:t>
      </w:r>
      <w:r>
        <w:rPr/>
        <w:t>through</w:t>
      </w:r>
      <w:r>
        <w:rPr>
          <w:spacing w:val="40"/>
        </w:rPr>
        <w:t> </w:t>
      </w:r>
      <w:r>
        <w:rPr/>
        <w:t>an</w:t>
      </w:r>
      <w:r>
        <w:rPr>
          <w:spacing w:val="40"/>
        </w:rPr>
        <w:t> </w:t>
      </w:r>
      <w:r>
        <w:rPr/>
        <w:t>inherently</w:t>
      </w:r>
      <w:r>
        <w:rPr>
          <w:spacing w:val="40"/>
        </w:rPr>
        <w:t> </w:t>
      </w:r>
      <w:r>
        <w:rPr/>
        <w:t>biased</w:t>
      </w:r>
      <w:r>
        <w:rPr>
          <w:spacing w:val="42"/>
        </w:rPr>
        <w:t> </w:t>
      </w:r>
      <w:r>
        <w:rPr/>
        <w:t>judicial</w:t>
      </w:r>
      <w:r>
        <w:rPr>
          <w:spacing w:val="40"/>
        </w:rPr>
        <w:t> </w:t>
      </w:r>
      <w:r>
        <w:rPr/>
        <w:t>system</w:t>
      </w:r>
      <w:r>
        <w:rPr>
          <w:spacing w:val="36"/>
        </w:rPr>
        <w:t> </w:t>
      </w:r>
      <w:r>
        <w:rPr>
          <w:spacing w:val="-4"/>
        </w:rPr>
        <w:t>that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77952">
                <wp:simplePos x="0" y="0"/>
                <wp:positionH relativeFrom="page">
                  <wp:posOffset>2057400</wp:posOffset>
                </wp:positionH>
                <wp:positionV relativeFrom="paragraph">
                  <wp:posOffset>162604</wp:posOffset>
                </wp:positionV>
                <wp:extent cx="3657600" cy="12700"/>
                <wp:effectExtent l="0" t="0" r="0" b="0"/>
                <wp:wrapTopAndBottom/>
                <wp:docPr id="299" name="Graphic 299"/>
                <wp:cNvGraphicFramePr>
                  <a:graphicFrameLocks/>
                </wp:cNvGraphicFramePr>
                <a:graphic>
                  <a:graphicData uri="http://schemas.microsoft.com/office/word/2010/wordprocessingShape">
                    <wps:wsp>
                      <wps:cNvPr id="299" name="Graphic 29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38528;mso-wrap-distance-left:0;mso-wrap-distance-right:0" id="docshape295" filled="true" fillcolor="#000000" stroked="false">
                <v:fill type="solid"/>
                <w10:wrap type="topAndBottom"/>
              </v:rect>
            </w:pict>
          </mc:Fallback>
        </mc:AlternateContent>
      </w:r>
      <w:r>
        <w:rPr>
          <w:rFonts w:ascii="Verdana"/>
          <w:spacing w:val="-5"/>
          <w:sz w:val="18"/>
        </w:rPr>
        <w:t>98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favours</w:t>
      </w:r>
      <w:r>
        <w:rPr>
          <w:spacing w:val="40"/>
        </w:rPr>
        <w:t> </w:t>
      </w:r>
      <w:r>
        <w:rPr/>
        <w:t>the</w:t>
      </w:r>
      <w:r>
        <w:rPr>
          <w:spacing w:val="40"/>
        </w:rPr>
        <w:t> </w:t>
      </w:r>
      <w:r>
        <w:rPr/>
        <w:t>testimony</w:t>
      </w:r>
      <w:r>
        <w:rPr>
          <w:spacing w:val="40"/>
        </w:rPr>
        <w:t> </w:t>
      </w:r>
      <w:r>
        <w:rPr/>
        <w:t>of</w:t>
      </w:r>
      <w:r>
        <w:rPr>
          <w:spacing w:val="40"/>
        </w:rPr>
        <w:t> </w:t>
      </w:r>
      <w:r>
        <w:rPr/>
        <w:t>males</w:t>
      </w:r>
      <w:r>
        <w:rPr>
          <w:spacing w:val="40"/>
        </w:rPr>
        <w:t> </w:t>
      </w:r>
      <w:r>
        <w:rPr/>
        <w:t>versus</w:t>
      </w:r>
      <w:r>
        <w:rPr>
          <w:spacing w:val="40"/>
        </w:rPr>
        <w:t> </w:t>
      </w:r>
      <w:r>
        <w:rPr/>
        <w:t>females</w:t>
      </w:r>
      <w:r>
        <w:rPr>
          <w:spacing w:val="40"/>
        </w:rPr>
        <w:t> </w:t>
      </w:r>
      <w:r>
        <w:rPr/>
        <w:t>(Shakespeare,</w:t>
      </w:r>
      <w:r>
        <w:rPr>
          <w:spacing w:val="40"/>
        </w:rPr>
        <w:t> </w:t>
      </w:r>
      <w:r>
        <w:rPr/>
        <w:t>1611/ </w:t>
      </w:r>
      <w:r>
        <w:rPr>
          <w:spacing w:val="-2"/>
        </w:rPr>
        <w:t>2005).</w:t>
      </w:r>
    </w:p>
    <w:p>
      <w:pPr>
        <w:pStyle w:val="Heading3"/>
        <w:spacing w:before="155"/>
        <w:ind w:right="1437"/>
      </w:pPr>
      <w:r>
        <w:rPr>
          <w:spacing w:val="-4"/>
          <w:w w:val="90"/>
        </w:rPr>
        <w:t>THE</w:t>
      </w:r>
      <w:r>
        <w:rPr>
          <w:spacing w:val="-16"/>
          <w:w w:val="90"/>
        </w:rPr>
        <w:t> </w:t>
      </w:r>
      <w:r>
        <w:rPr>
          <w:spacing w:val="-4"/>
          <w:w w:val="90"/>
        </w:rPr>
        <w:t>POLITICS</w:t>
      </w:r>
      <w:r>
        <w:rPr>
          <w:spacing w:val="-14"/>
          <w:w w:val="90"/>
        </w:rPr>
        <w:t> </w:t>
      </w:r>
      <w:r>
        <w:rPr>
          <w:spacing w:val="-4"/>
          <w:w w:val="90"/>
        </w:rPr>
        <w:t>OF</w:t>
      </w:r>
      <w:r>
        <w:rPr>
          <w:spacing w:val="-16"/>
          <w:w w:val="90"/>
        </w:rPr>
        <w:t> </w:t>
      </w:r>
      <w:r>
        <w:rPr>
          <w:spacing w:val="-4"/>
          <w:w w:val="90"/>
        </w:rPr>
        <w:t>SILENCE</w:t>
      </w:r>
      <w:r>
        <w:rPr>
          <w:spacing w:val="-16"/>
          <w:w w:val="90"/>
        </w:rPr>
        <w:t> </w:t>
      </w:r>
      <w:r>
        <w:rPr>
          <w:spacing w:val="-4"/>
          <w:w w:val="90"/>
        </w:rPr>
        <w:t>AND</w:t>
      </w:r>
      <w:r>
        <w:rPr>
          <w:spacing w:val="-17"/>
          <w:w w:val="90"/>
        </w:rPr>
        <w:t> </w:t>
      </w:r>
      <w:r>
        <w:rPr>
          <w:spacing w:val="-4"/>
          <w:w w:val="90"/>
        </w:rPr>
        <w:t>MADNESS:</w:t>
      </w:r>
      <w:r>
        <w:rPr>
          <w:spacing w:val="-14"/>
          <w:w w:val="90"/>
        </w:rPr>
        <w:t> </w:t>
      </w:r>
      <w:r>
        <w:rPr>
          <w:spacing w:val="-4"/>
          <w:w w:val="90"/>
        </w:rPr>
        <w:t>OPHELIA</w:t>
      </w:r>
      <w:r>
        <w:rPr>
          <w:spacing w:val="-16"/>
          <w:w w:val="90"/>
        </w:rPr>
        <w:t> </w:t>
      </w:r>
      <w:r>
        <w:rPr>
          <w:spacing w:val="-4"/>
          <w:w w:val="90"/>
        </w:rPr>
        <w:t>AND </w:t>
      </w:r>
      <w:r>
        <w:rPr>
          <w:spacing w:val="-2"/>
        </w:rPr>
        <w:t>CORDELIA</w:t>
      </w:r>
    </w:p>
    <w:p>
      <w:pPr>
        <w:pStyle w:val="BodyText"/>
        <w:spacing w:line="249" w:lineRule="auto" w:before="74"/>
        <w:ind w:right="1439" w:firstLine="432"/>
        <w:jc w:val="both"/>
      </w:pPr>
      <w:r>
        <w:rPr/>
        <w:t>The</w:t>
      </w:r>
      <w:r>
        <w:rPr>
          <w:spacing w:val="-4"/>
        </w:rPr>
        <w:t> </w:t>
      </w:r>
      <w:r>
        <w:rPr/>
        <w:t>silencing</w:t>
      </w:r>
      <w:r>
        <w:rPr>
          <w:spacing w:val="-7"/>
        </w:rPr>
        <w:t> </w:t>
      </w:r>
      <w:r>
        <w:rPr/>
        <w:t>of</w:t>
      </w:r>
      <w:r>
        <w:rPr>
          <w:spacing w:val="-5"/>
        </w:rPr>
        <w:t> </w:t>
      </w:r>
      <w:r>
        <w:rPr/>
        <w:t>females</w:t>
      </w:r>
      <w:r>
        <w:rPr>
          <w:spacing w:val="-7"/>
        </w:rPr>
        <w:t> </w:t>
      </w:r>
      <w:r>
        <w:rPr/>
        <w:t>has</w:t>
      </w:r>
      <w:r>
        <w:rPr>
          <w:spacing w:val="-5"/>
        </w:rPr>
        <w:t> </w:t>
      </w:r>
      <w:r>
        <w:rPr/>
        <w:t>resulted</w:t>
      </w:r>
      <w:r>
        <w:rPr>
          <w:spacing w:val="-5"/>
        </w:rPr>
        <w:t> </w:t>
      </w:r>
      <w:r>
        <w:rPr/>
        <w:t>in</w:t>
      </w:r>
      <w:r>
        <w:rPr>
          <w:spacing w:val="-5"/>
        </w:rPr>
        <w:t> </w:t>
      </w:r>
      <w:r>
        <w:rPr/>
        <w:t>a</w:t>
      </w:r>
      <w:r>
        <w:rPr>
          <w:spacing w:val="-6"/>
        </w:rPr>
        <w:t> </w:t>
      </w:r>
      <w:r>
        <w:rPr/>
        <w:t>fracture</w:t>
      </w:r>
      <w:r>
        <w:rPr>
          <w:spacing w:val="-5"/>
        </w:rPr>
        <w:t> </w:t>
      </w:r>
      <w:r>
        <w:rPr/>
        <w:t>in</w:t>
      </w:r>
      <w:r>
        <w:rPr>
          <w:spacing w:val="-7"/>
        </w:rPr>
        <w:t> </w:t>
      </w:r>
      <w:r>
        <w:rPr/>
        <w:t>their</w:t>
      </w:r>
      <w:r>
        <w:rPr>
          <w:spacing w:val="-3"/>
        </w:rPr>
        <w:t> </w:t>
      </w:r>
      <w:r>
        <w:rPr/>
        <w:t>psyches. Ophelia (in </w:t>
      </w:r>
      <w:r>
        <w:rPr>
          <w:i/>
        </w:rPr>
        <w:t>Hamlet</w:t>
      </w:r>
      <w:r>
        <w:rPr/>
        <w:t>) is considered through the views of the male characters surrounding her (father, brother, lover). She is at times a daughter, sister and lover but she is never allowed to be a woman who can define herself. Thus, when she succumbs to insanity, her madness should</w:t>
      </w:r>
      <w:r>
        <w:rPr>
          <w:spacing w:val="-7"/>
        </w:rPr>
        <w:t> </w:t>
      </w:r>
      <w:r>
        <w:rPr/>
        <w:t>not</w:t>
      </w:r>
      <w:r>
        <w:rPr>
          <w:spacing w:val="-7"/>
        </w:rPr>
        <w:t> </w:t>
      </w:r>
      <w:r>
        <w:rPr/>
        <w:t>be</w:t>
      </w:r>
      <w:r>
        <w:rPr>
          <w:spacing w:val="-8"/>
        </w:rPr>
        <w:t> </w:t>
      </w:r>
      <w:r>
        <w:rPr/>
        <w:t>viewed</w:t>
      </w:r>
      <w:r>
        <w:rPr>
          <w:spacing w:val="-5"/>
        </w:rPr>
        <w:t> </w:t>
      </w:r>
      <w:r>
        <w:rPr/>
        <w:t>as</w:t>
      </w:r>
      <w:r>
        <w:rPr>
          <w:spacing w:val="-10"/>
        </w:rPr>
        <w:t> </w:t>
      </w:r>
      <w:r>
        <w:rPr/>
        <w:t>a</w:t>
      </w:r>
      <w:r>
        <w:rPr>
          <w:spacing w:val="-8"/>
        </w:rPr>
        <w:t> </w:t>
      </w:r>
      <w:r>
        <w:rPr/>
        <w:t>weakness</w:t>
      </w:r>
      <w:r>
        <w:rPr>
          <w:spacing w:val="-7"/>
        </w:rPr>
        <w:t> </w:t>
      </w:r>
      <w:r>
        <w:rPr/>
        <w:t>but</w:t>
      </w:r>
      <w:r>
        <w:rPr>
          <w:spacing w:val="-7"/>
        </w:rPr>
        <w:t> </w:t>
      </w:r>
      <w:r>
        <w:rPr/>
        <w:t>as</w:t>
      </w:r>
      <w:r>
        <w:rPr>
          <w:spacing w:val="-10"/>
        </w:rPr>
        <w:t> </w:t>
      </w:r>
      <w:r>
        <w:rPr/>
        <w:t>the</w:t>
      </w:r>
      <w:r>
        <w:rPr>
          <w:spacing w:val="-7"/>
        </w:rPr>
        <w:t> </w:t>
      </w:r>
      <w:r>
        <w:rPr/>
        <w:t>only</w:t>
      </w:r>
      <w:r>
        <w:rPr>
          <w:spacing w:val="-10"/>
        </w:rPr>
        <w:t> </w:t>
      </w:r>
      <w:r>
        <w:rPr/>
        <w:t>means</w:t>
      </w:r>
      <w:r>
        <w:rPr>
          <w:spacing w:val="-7"/>
        </w:rPr>
        <w:t> </w:t>
      </w:r>
      <w:r>
        <w:rPr/>
        <w:t>of</w:t>
      </w:r>
      <w:r>
        <w:rPr>
          <w:spacing w:val="-9"/>
        </w:rPr>
        <w:t> </w:t>
      </w:r>
      <w:r>
        <w:rPr/>
        <w:t>“rebellion” (Showalter, 1985) that she has (expressing her madness through a disaggregation</w:t>
      </w:r>
      <w:r>
        <w:rPr>
          <w:spacing w:val="40"/>
        </w:rPr>
        <w:t> </w:t>
      </w:r>
      <w:r>
        <w:rPr/>
        <w:t>of</w:t>
      </w:r>
      <w:r>
        <w:rPr>
          <w:spacing w:val="40"/>
        </w:rPr>
        <w:t> </w:t>
      </w:r>
      <w:r>
        <w:rPr/>
        <w:t>language)</w:t>
      </w:r>
      <w:r>
        <w:rPr>
          <w:spacing w:val="40"/>
        </w:rPr>
        <w:t> </w:t>
      </w:r>
      <w:r>
        <w:rPr/>
        <w:t>against</w:t>
      </w:r>
      <w:r>
        <w:rPr>
          <w:spacing w:val="40"/>
        </w:rPr>
        <w:t> </w:t>
      </w:r>
      <w:r>
        <w:rPr/>
        <w:t>a</w:t>
      </w:r>
      <w:r>
        <w:rPr>
          <w:spacing w:val="40"/>
        </w:rPr>
        <w:t> </w:t>
      </w:r>
      <w:r>
        <w:rPr/>
        <w:t>corrupt</w:t>
      </w:r>
      <w:r>
        <w:rPr>
          <w:spacing w:val="40"/>
        </w:rPr>
        <w:t> </w:t>
      </w:r>
      <w:r>
        <w:rPr/>
        <w:t>court.</w:t>
      </w:r>
    </w:p>
    <w:p>
      <w:pPr>
        <w:pStyle w:val="BodyText"/>
        <w:spacing w:line="249" w:lineRule="auto" w:before="64"/>
        <w:ind w:right="1440" w:firstLine="432"/>
        <w:jc w:val="both"/>
      </w:pPr>
      <w:r>
        <w:rPr/>
        <w:t>In</w:t>
      </w:r>
      <w:r>
        <w:rPr>
          <w:spacing w:val="-7"/>
        </w:rPr>
        <w:t> </w:t>
      </w:r>
      <w:r>
        <w:rPr>
          <w:i/>
        </w:rPr>
        <w:t>King</w:t>
      </w:r>
      <w:r>
        <w:rPr>
          <w:i/>
          <w:spacing w:val="-3"/>
        </w:rPr>
        <w:t> </w:t>
      </w:r>
      <w:r>
        <w:rPr>
          <w:i/>
        </w:rPr>
        <w:t>Lear</w:t>
      </w:r>
      <w:r>
        <w:rPr/>
        <w:t>,</w:t>
      </w:r>
      <w:r>
        <w:rPr>
          <w:spacing w:val="-3"/>
        </w:rPr>
        <w:t> </w:t>
      </w:r>
      <w:r>
        <w:rPr/>
        <w:t>Cordelia</w:t>
      </w:r>
      <w:r>
        <w:rPr>
          <w:spacing w:val="-4"/>
        </w:rPr>
        <w:t> </w:t>
      </w:r>
      <w:r>
        <w:rPr/>
        <w:t>shows</w:t>
      </w:r>
      <w:r>
        <w:rPr>
          <w:spacing w:val="-5"/>
        </w:rPr>
        <w:t> </w:t>
      </w:r>
      <w:r>
        <w:rPr/>
        <w:t>how</w:t>
      </w:r>
      <w:r>
        <w:rPr>
          <w:spacing w:val="-6"/>
        </w:rPr>
        <w:t> </w:t>
      </w:r>
      <w:r>
        <w:rPr/>
        <w:t>one</w:t>
      </w:r>
      <w:r>
        <w:rPr>
          <w:spacing w:val="-5"/>
        </w:rPr>
        <w:t> </w:t>
      </w:r>
      <w:r>
        <w:rPr/>
        <w:t>can</w:t>
      </w:r>
      <w:r>
        <w:rPr>
          <w:spacing w:val="-5"/>
        </w:rPr>
        <w:t> </w:t>
      </w:r>
      <w:r>
        <w:rPr/>
        <w:t>deny</w:t>
      </w:r>
      <w:r>
        <w:rPr>
          <w:spacing w:val="-6"/>
        </w:rPr>
        <w:t> </w:t>
      </w:r>
      <w:r>
        <w:rPr/>
        <w:t>oneself</w:t>
      </w:r>
      <w:r>
        <w:rPr>
          <w:spacing w:val="-5"/>
        </w:rPr>
        <w:t> </w:t>
      </w:r>
      <w:r>
        <w:rPr/>
        <w:t>to</w:t>
      </w:r>
      <w:r>
        <w:rPr>
          <w:spacing w:val="-3"/>
        </w:rPr>
        <w:t> </w:t>
      </w:r>
      <w:r>
        <w:rPr/>
        <w:t>disown oneself through silence. Cordelia’s refusal to participate in the “love test” is a challenge to the patriarchal love of selfish expression and use of flattery. Because she is the youngest daughter, her value diminishes to zero in legal terms as soon as she loses her father’s regard. Both Ophelia and Cordelia exhibit the consequences of trying to achieve standards established by the patriarchy when those standards do not apply to</w:t>
      </w:r>
      <w:r>
        <w:rPr>
          <w:spacing w:val="40"/>
        </w:rPr>
        <w:t> </w:t>
      </w:r>
      <w:r>
        <w:rPr/>
        <w:t>them.</w:t>
      </w:r>
    </w:p>
    <w:p>
      <w:pPr>
        <w:pStyle w:val="Heading3"/>
        <w:spacing w:before="163"/>
        <w:ind w:right="1437"/>
      </w:pPr>
      <w:r>
        <w:rPr>
          <w:w w:val="90"/>
        </w:rPr>
        <w:t>GAS</w:t>
      </w:r>
      <w:r>
        <w:rPr>
          <w:spacing w:val="-18"/>
          <w:w w:val="90"/>
        </w:rPr>
        <w:t> </w:t>
      </w:r>
      <w:r>
        <w:rPr>
          <w:w w:val="90"/>
        </w:rPr>
        <w:t>LIGHTING</w:t>
      </w:r>
      <w:r>
        <w:rPr>
          <w:spacing w:val="-15"/>
          <w:w w:val="90"/>
        </w:rPr>
        <w:t> </w:t>
      </w:r>
      <w:r>
        <w:rPr>
          <w:w w:val="90"/>
        </w:rPr>
        <w:t>AT</w:t>
      </w:r>
      <w:r>
        <w:rPr>
          <w:spacing w:val="-17"/>
          <w:w w:val="90"/>
        </w:rPr>
        <w:t> </w:t>
      </w:r>
      <w:r>
        <w:rPr>
          <w:w w:val="90"/>
        </w:rPr>
        <w:t>HOME</w:t>
      </w:r>
      <w:r>
        <w:rPr>
          <w:spacing w:val="-16"/>
          <w:w w:val="90"/>
        </w:rPr>
        <w:t> </w:t>
      </w:r>
      <w:r>
        <w:rPr>
          <w:w w:val="90"/>
        </w:rPr>
        <w:t>AND</w:t>
      </w:r>
      <w:r>
        <w:rPr>
          <w:spacing w:val="-15"/>
          <w:w w:val="90"/>
        </w:rPr>
        <w:t> </w:t>
      </w:r>
      <w:r>
        <w:rPr>
          <w:w w:val="90"/>
        </w:rPr>
        <w:t>OFFICIAL</w:t>
      </w:r>
      <w:r>
        <w:rPr>
          <w:spacing w:val="-19"/>
          <w:w w:val="90"/>
        </w:rPr>
        <w:t> </w:t>
      </w:r>
      <w:r>
        <w:rPr>
          <w:w w:val="90"/>
        </w:rPr>
        <w:t>SURVEILLANCE </w:t>
      </w:r>
      <w:r>
        <w:rPr>
          <w:spacing w:val="-6"/>
        </w:rPr>
        <w:t>BETWEEN</w:t>
      </w:r>
      <w:r>
        <w:rPr>
          <w:spacing w:val="-10"/>
        </w:rPr>
        <w:t> </w:t>
      </w:r>
      <w:r>
        <w:rPr>
          <w:spacing w:val="-6"/>
        </w:rPr>
        <w:t>DESDEMONA</w:t>
      </w:r>
      <w:r>
        <w:rPr>
          <w:spacing w:val="-11"/>
        </w:rPr>
        <w:t> </w:t>
      </w:r>
      <w:r>
        <w:rPr>
          <w:spacing w:val="-6"/>
        </w:rPr>
        <w:t>AND</w:t>
      </w:r>
      <w:r>
        <w:rPr>
          <w:spacing w:val="-10"/>
        </w:rPr>
        <w:t> </w:t>
      </w:r>
      <w:r>
        <w:rPr>
          <w:spacing w:val="-6"/>
        </w:rPr>
        <w:t>EMILIA</w:t>
      </w:r>
    </w:p>
    <w:p>
      <w:pPr>
        <w:pStyle w:val="BodyText"/>
        <w:spacing w:line="249" w:lineRule="auto" w:before="73"/>
        <w:ind w:right="1437" w:firstLine="432"/>
        <w:jc w:val="both"/>
      </w:pPr>
      <w:r>
        <w:rPr>
          <w:i/>
        </w:rPr>
        <w:t>Othello </w:t>
      </w:r>
      <w:r>
        <w:rPr/>
        <w:t>portrays the tragedy of both race and gender in a single character: Desdemona. The woman from a prominent family had significant agency to establish her own identity by eloping, but she becomes a casualty of a male peer (Iago) creating a false narrative of infidelity against her. There is also a conflicting sense of self in Desdemona’s character; she can speak publicly in court to defend her marriage but becomes silenced by the constraints of domesticity in the </w:t>
      </w:r>
      <w:r>
        <w:rPr>
          <w:spacing w:val="-2"/>
        </w:rPr>
        <w:t>bedroom.</w:t>
      </w:r>
    </w:p>
    <w:p>
      <w:pPr>
        <w:pStyle w:val="BodyText"/>
        <w:spacing w:line="249" w:lineRule="auto" w:before="64"/>
        <w:ind w:right="1440" w:firstLine="432"/>
        <w:jc w:val="both"/>
      </w:pPr>
      <w:r>
        <w:rPr/>
        <w:t>Emilia serves as an intersectional critique of class through her position as a working-class attendant to Desdemona. Her conflict lies</w:t>
      </w:r>
      <w:r>
        <w:rPr>
          <w:spacing w:val="80"/>
        </w:rPr>
        <w:t> </w:t>
      </w:r>
      <w:r>
        <w:rPr/>
        <w:t>in being disloyal to both her mistress and her abusive husband. In the final</w:t>
      </w:r>
      <w:r>
        <w:rPr>
          <w:spacing w:val="-8"/>
        </w:rPr>
        <w:t> </w:t>
      </w:r>
      <w:r>
        <w:rPr/>
        <w:t>act,</w:t>
      </w:r>
      <w:r>
        <w:rPr>
          <w:spacing w:val="-8"/>
        </w:rPr>
        <w:t> </w:t>
      </w:r>
      <w:r>
        <w:rPr/>
        <w:t>Emilia’s</w:t>
      </w:r>
      <w:r>
        <w:rPr>
          <w:spacing w:val="-10"/>
        </w:rPr>
        <w:t> </w:t>
      </w:r>
      <w:r>
        <w:rPr/>
        <w:t>“whistle</w:t>
      </w:r>
      <w:r>
        <w:rPr>
          <w:spacing w:val="-9"/>
        </w:rPr>
        <w:t> </w:t>
      </w:r>
      <w:r>
        <w:rPr/>
        <w:t>blowing”</w:t>
      </w:r>
      <w:r>
        <w:rPr>
          <w:spacing w:val="-10"/>
        </w:rPr>
        <w:t> </w:t>
      </w:r>
      <w:r>
        <w:rPr/>
        <w:t>becomes</w:t>
      </w:r>
      <w:r>
        <w:rPr>
          <w:spacing w:val="-10"/>
        </w:rPr>
        <w:t> </w:t>
      </w:r>
      <w:r>
        <w:rPr/>
        <w:t>a</w:t>
      </w:r>
      <w:r>
        <w:rPr>
          <w:spacing w:val="-9"/>
        </w:rPr>
        <w:t> </w:t>
      </w:r>
      <w:r>
        <w:rPr/>
        <w:t>fundamental</w:t>
      </w:r>
      <w:r>
        <w:rPr>
          <w:spacing w:val="-9"/>
        </w:rPr>
        <w:t> </w:t>
      </w:r>
      <w:r>
        <w:rPr/>
        <w:t>instance</w:t>
      </w:r>
      <w:r>
        <w:rPr>
          <w:spacing w:val="-10"/>
        </w:rPr>
        <w:t> </w:t>
      </w:r>
      <w:r>
        <w:rPr/>
        <w:t>of the #MeToo movement by risking her life to tell the truth and declares “I shall never keep my mouth closed” (5.2.251), thereby breaking the “contract</w:t>
      </w:r>
      <w:r>
        <w:rPr>
          <w:spacing w:val="40"/>
        </w:rPr>
        <w:t> </w:t>
      </w:r>
      <w:r>
        <w:rPr/>
        <w:t>of</w:t>
      </w:r>
      <w:r>
        <w:rPr>
          <w:spacing w:val="40"/>
        </w:rPr>
        <w:t> </w:t>
      </w:r>
      <w:r>
        <w:rPr/>
        <w:t>silence”</w:t>
      </w:r>
      <w:r>
        <w:rPr>
          <w:spacing w:val="40"/>
        </w:rPr>
        <w:t> </w:t>
      </w:r>
      <w:r>
        <w:rPr/>
        <w:t>that</w:t>
      </w:r>
      <w:r>
        <w:rPr>
          <w:spacing w:val="40"/>
        </w:rPr>
        <w:t> </w:t>
      </w:r>
      <w:r>
        <w:rPr/>
        <w:t>enabled</w:t>
      </w:r>
      <w:r>
        <w:rPr>
          <w:spacing w:val="40"/>
        </w:rPr>
        <w:t> </w:t>
      </w:r>
      <w:r>
        <w:rPr/>
        <w:t>Iago’s</w:t>
      </w:r>
      <w:r>
        <w:rPr>
          <w:spacing w:val="40"/>
        </w:rPr>
        <w:t> </w:t>
      </w:r>
      <w:r>
        <w:rPr/>
        <w:t>nefariousness.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5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678464">
                <wp:simplePos x="0" y="0"/>
                <wp:positionH relativeFrom="page">
                  <wp:posOffset>2065020</wp:posOffset>
                </wp:positionH>
                <wp:positionV relativeFrom="paragraph">
                  <wp:posOffset>162604</wp:posOffset>
                </wp:positionV>
                <wp:extent cx="3657600" cy="12700"/>
                <wp:effectExtent l="0" t="0" r="0" b="0"/>
                <wp:wrapTopAndBottom/>
                <wp:docPr id="300" name="Graphic 300"/>
                <wp:cNvGraphicFramePr>
                  <a:graphicFrameLocks/>
                </wp:cNvGraphicFramePr>
                <a:graphic>
                  <a:graphicData uri="http://schemas.microsoft.com/office/word/2010/wordprocessingShape">
                    <wps:wsp>
                      <wps:cNvPr id="300" name="Graphic 30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38016;mso-wrap-distance-left:0;mso-wrap-distance-right:0" id="docshape296" filled="true" fillcolor="#000000" stroked="false">
                <v:fill type="solid"/>
                <w10:wrap type="topAndBottom"/>
              </v:rect>
            </w:pict>
          </mc:Fallback>
        </mc:AlternateContent>
      </w:r>
      <w:r>
        <w:rPr>
          <w:rFonts w:ascii="Verdana"/>
          <w:spacing w:val="-2"/>
          <w:sz w:val="18"/>
        </w:rPr>
        <w:t>The</w:t>
      </w:r>
      <w:r>
        <w:rPr>
          <w:rFonts w:ascii="Verdana"/>
          <w:spacing w:val="-6"/>
          <w:sz w:val="18"/>
        </w:rPr>
        <w:t> </w:t>
      </w:r>
      <w:r>
        <w:rPr>
          <w:rFonts w:ascii="Verdana"/>
          <w:spacing w:val="-2"/>
          <w:sz w:val="18"/>
        </w:rPr>
        <w:t>Shakespearean</w:t>
      </w:r>
      <w:r>
        <w:rPr>
          <w:rFonts w:ascii="Verdana"/>
          <w:spacing w:val="-4"/>
          <w:sz w:val="18"/>
        </w:rPr>
        <w:t> </w:t>
      </w:r>
      <w:r>
        <w:rPr>
          <w:rFonts w:ascii="Verdana"/>
          <w:spacing w:val="-2"/>
          <w:sz w:val="18"/>
        </w:rPr>
        <w:t>Mirror:</w:t>
      </w:r>
      <w:r>
        <w:rPr>
          <w:rFonts w:ascii="Verdana"/>
          <w:spacing w:val="-7"/>
          <w:sz w:val="18"/>
        </w:rPr>
        <w:t> </w:t>
      </w:r>
      <w:r>
        <w:rPr>
          <w:rFonts w:ascii="Verdana"/>
          <w:spacing w:val="-2"/>
          <w:sz w:val="18"/>
        </w:rPr>
        <w:t>Analyzing</w:t>
      </w:r>
      <w:r>
        <w:rPr>
          <w:rFonts w:ascii="Verdana"/>
          <w:spacing w:val="-6"/>
          <w:sz w:val="18"/>
        </w:rPr>
        <w:t> </w:t>
      </w:r>
      <w:r>
        <w:rPr>
          <w:rFonts w:ascii="Verdana"/>
          <w:spacing w:val="-2"/>
          <w:sz w:val="18"/>
        </w:rPr>
        <w:t>Gender,</w:t>
      </w:r>
      <w:r>
        <w:rPr>
          <w:rFonts w:ascii="Verdana"/>
          <w:spacing w:val="-7"/>
          <w:sz w:val="18"/>
        </w:rPr>
        <w:t> </w:t>
      </w:r>
      <w:r>
        <w:rPr>
          <w:rFonts w:ascii="Verdana"/>
          <w:spacing w:val="-2"/>
          <w:sz w:val="18"/>
        </w:rPr>
        <w:t>Patriarchy...</w:t>
      </w:r>
      <w:r>
        <w:rPr>
          <w:rFonts w:ascii="Verdana"/>
          <w:sz w:val="18"/>
        </w:rPr>
        <w:tab/>
      </w:r>
      <w:r>
        <w:rPr>
          <w:rFonts w:ascii="Verdana"/>
          <w:spacing w:val="-5"/>
          <w:sz w:val="18"/>
        </w:rPr>
        <w:t>99</w:t>
      </w:r>
    </w:p>
    <w:p>
      <w:pPr>
        <w:pStyle w:val="BodyText"/>
        <w:spacing w:before="192"/>
        <w:ind w:left="1872"/>
        <w:jc w:val="both"/>
      </w:pPr>
      <w:r>
        <w:rPr/>
        <w:t>Domestic</w:t>
      </w:r>
      <w:r>
        <w:rPr>
          <w:spacing w:val="3"/>
        </w:rPr>
        <w:t> </w:t>
      </w:r>
      <w:r>
        <w:rPr/>
        <w:t>Surveillance</w:t>
      </w:r>
      <w:r>
        <w:rPr>
          <w:spacing w:val="1"/>
        </w:rPr>
        <w:t> </w:t>
      </w:r>
      <w:r>
        <w:rPr/>
        <w:t>and Testimony:</w:t>
      </w:r>
      <w:r>
        <w:rPr>
          <w:spacing w:val="2"/>
        </w:rPr>
        <w:t> </w:t>
      </w:r>
      <w:r>
        <w:rPr/>
        <w:t>Desdemona</w:t>
      </w:r>
      <w:r>
        <w:rPr>
          <w:spacing w:val="2"/>
        </w:rPr>
        <w:t> </w:t>
      </w:r>
      <w:r>
        <w:rPr/>
        <w:t>and</w:t>
      </w:r>
      <w:r>
        <w:rPr>
          <w:spacing w:val="5"/>
        </w:rPr>
        <w:t> </w:t>
      </w:r>
      <w:r>
        <w:rPr>
          <w:spacing w:val="-2"/>
        </w:rPr>
        <w:t>Emilia</w:t>
      </w:r>
    </w:p>
    <w:p>
      <w:pPr>
        <w:pStyle w:val="BodyText"/>
        <w:spacing w:line="249" w:lineRule="auto" w:before="68"/>
        <w:ind w:right="1436" w:firstLine="432"/>
        <w:jc w:val="both"/>
      </w:pPr>
      <w:r>
        <w:rPr>
          <w:spacing w:val="-2"/>
        </w:rPr>
        <w:t>In</w:t>
      </w:r>
      <w:r>
        <w:rPr>
          <w:spacing w:val="-6"/>
        </w:rPr>
        <w:t> </w:t>
      </w:r>
      <w:r>
        <w:rPr>
          <w:spacing w:val="-2"/>
        </w:rPr>
        <w:t>the play</w:t>
      </w:r>
      <w:r>
        <w:rPr>
          <w:spacing w:val="-9"/>
        </w:rPr>
        <w:t> </w:t>
      </w:r>
      <w:r>
        <w:rPr>
          <w:i/>
          <w:spacing w:val="-2"/>
        </w:rPr>
        <w:t>Othello</w:t>
      </w:r>
      <w:r>
        <w:rPr>
          <w:spacing w:val="-2"/>
        </w:rPr>
        <w:t>,</w:t>
      </w:r>
      <w:r>
        <w:rPr>
          <w:spacing w:val="-4"/>
        </w:rPr>
        <w:t> </w:t>
      </w:r>
      <w:r>
        <w:rPr>
          <w:spacing w:val="-2"/>
        </w:rPr>
        <w:t>Desdemona and</w:t>
      </w:r>
      <w:r>
        <w:rPr>
          <w:spacing w:val="-4"/>
        </w:rPr>
        <w:t> </w:t>
      </w:r>
      <w:r>
        <w:rPr>
          <w:spacing w:val="-2"/>
        </w:rPr>
        <w:t>Emilia</w:t>
      </w:r>
      <w:r>
        <w:rPr>
          <w:spacing w:val="-4"/>
        </w:rPr>
        <w:t> </w:t>
      </w:r>
      <w:r>
        <w:rPr>
          <w:spacing w:val="-2"/>
        </w:rPr>
        <w:t>exemplify</w:t>
      </w:r>
      <w:r>
        <w:rPr>
          <w:spacing w:val="-11"/>
        </w:rPr>
        <w:t> </w:t>
      </w:r>
      <w:r>
        <w:rPr>
          <w:spacing w:val="-2"/>
        </w:rPr>
        <w:t>how</w:t>
      </w:r>
      <w:r>
        <w:rPr>
          <w:spacing w:val="-6"/>
        </w:rPr>
        <w:t> </w:t>
      </w:r>
      <w:r>
        <w:rPr>
          <w:spacing w:val="-2"/>
        </w:rPr>
        <w:t>race</w:t>
      </w:r>
      <w:r>
        <w:rPr>
          <w:spacing w:val="-6"/>
        </w:rPr>
        <w:t> </w:t>
      </w:r>
      <w:r>
        <w:rPr>
          <w:spacing w:val="-2"/>
        </w:rPr>
        <w:t>and </w:t>
      </w:r>
      <w:r>
        <w:rPr/>
        <w:t>gender</w:t>
      </w:r>
      <w:r>
        <w:rPr>
          <w:spacing w:val="25"/>
        </w:rPr>
        <w:t> </w:t>
      </w:r>
      <w:r>
        <w:rPr/>
        <w:t>intersect.</w:t>
      </w:r>
      <w:r>
        <w:rPr>
          <w:spacing w:val="28"/>
        </w:rPr>
        <w:t> </w:t>
      </w:r>
      <w:r>
        <w:rPr/>
        <w:t>Desdemona’s</w:t>
      </w:r>
      <w:r>
        <w:rPr>
          <w:spacing w:val="24"/>
        </w:rPr>
        <w:t> </w:t>
      </w:r>
      <w:r>
        <w:rPr/>
        <w:t>tragic</w:t>
      </w:r>
      <w:r>
        <w:rPr>
          <w:spacing w:val="25"/>
        </w:rPr>
        <w:t> </w:t>
      </w:r>
      <w:r>
        <w:rPr/>
        <w:t>storyline</w:t>
      </w:r>
      <w:r>
        <w:rPr>
          <w:spacing w:val="24"/>
        </w:rPr>
        <w:t> </w:t>
      </w:r>
      <w:r>
        <w:rPr/>
        <w:t>is</w:t>
      </w:r>
      <w:r>
        <w:rPr>
          <w:spacing w:val="26"/>
        </w:rPr>
        <w:t> </w:t>
      </w:r>
      <w:r>
        <w:rPr/>
        <w:t>constructed</w:t>
      </w:r>
      <w:r>
        <w:rPr>
          <w:spacing w:val="26"/>
        </w:rPr>
        <w:t> </w:t>
      </w:r>
      <w:r>
        <w:rPr/>
        <w:t>through a story of infidelities told to her by male peers. Her complex tragedy stems from a conflict of being brave enough to defend her marriage while being subdued from the domestic space to which she is supposed to belong. Emilia, her counterpart, provides a counterpoint and an important</w:t>
      </w:r>
      <w:r>
        <w:rPr>
          <w:spacing w:val="-13"/>
        </w:rPr>
        <w:t> </w:t>
      </w:r>
      <w:r>
        <w:rPr/>
        <w:t>critique</w:t>
      </w:r>
      <w:r>
        <w:rPr>
          <w:spacing w:val="-12"/>
        </w:rPr>
        <w:t> </w:t>
      </w:r>
      <w:r>
        <w:rPr/>
        <w:t>of</w:t>
      </w:r>
      <w:r>
        <w:rPr>
          <w:spacing w:val="-13"/>
        </w:rPr>
        <w:t> </w:t>
      </w:r>
      <w:r>
        <w:rPr/>
        <w:t>Desdemona’s</w:t>
      </w:r>
      <w:r>
        <w:rPr>
          <w:spacing w:val="-12"/>
        </w:rPr>
        <w:t> </w:t>
      </w:r>
      <w:r>
        <w:rPr/>
        <w:t>plight.</w:t>
      </w:r>
      <w:r>
        <w:rPr>
          <w:spacing w:val="-13"/>
        </w:rPr>
        <w:t> </w:t>
      </w:r>
      <w:r>
        <w:rPr/>
        <w:t>Emilia’s</w:t>
      </w:r>
      <w:r>
        <w:rPr>
          <w:spacing w:val="-12"/>
        </w:rPr>
        <w:t> </w:t>
      </w:r>
      <w:r>
        <w:rPr/>
        <w:t>“whistle-blowing”</w:t>
      </w:r>
      <w:r>
        <w:rPr>
          <w:spacing w:val="-13"/>
        </w:rPr>
        <w:t> </w:t>
      </w:r>
      <w:r>
        <w:rPr/>
        <w:t>in the last act “I will ne’er hold my tongue” (Shakespeare, 1603/2004, 5.2.251)</w:t>
      </w:r>
      <w:r>
        <w:rPr>
          <w:spacing w:val="-10"/>
        </w:rPr>
        <w:t> </w:t>
      </w:r>
      <w:r>
        <w:rPr/>
        <w:t>is</w:t>
      </w:r>
      <w:r>
        <w:rPr>
          <w:spacing w:val="-11"/>
        </w:rPr>
        <w:t> </w:t>
      </w:r>
      <w:r>
        <w:rPr/>
        <w:t>a</w:t>
      </w:r>
      <w:r>
        <w:rPr>
          <w:spacing w:val="-9"/>
        </w:rPr>
        <w:t> </w:t>
      </w:r>
      <w:r>
        <w:rPr/>
        <w:t>classic</w:t>
      </w:r>
      <w:r>
        <w:rPr>
          <w:spacing w:val="-10"/>
        </w:rPr>
        <w:t> </w:t>
      </w:r>
      <w:r>
        <w:rPr/>
        <w:t>example</w:t>
      </w:r>
      <w:r>
        <w:rPr>
          <w:spacing w:val="-11"/>
        </w:rPr>
        <w:t> </w:t>
      </w:r>
      <w:r>
        <w:rPr/>
        <w:t>of</w:t>
      </w:r>
      <w:r>
        <w:rPr>
          <w:spacing w:val="-13"/>
        </w:rPr>
        <w:t> </w:t>
      </w:r>
      <w:r>
        <w:rPr/>
        <w:t>the</w:t>
      </w:r>
      <w:r>
        <w:rPr>
          <w:spacing w:val="-9"/>
        </w:rPr>
        <w:t> </w:t>
      </w:r>
      <w:r>
        <w:rPr/>
        <w:t>Me</w:t>
      </w:r>
      <w:r>
        <w:rPr>
          <w:spacing w:val="-13"/>
        </w:rPr>
        <w:t> </w:t>
      </w:r>
      <w:r>
        <w:rPr/>
        <w:t>Too</w:t>
      </w:r>
      <w:r>
        <w:rPr>
          <w:spacing w:val="-11"/>
        </w:rPr>
        <w:t> </w:t>
      </w:r>
      <w:r>
        <w:rPr/>
        <w:t>movement,</w:t>
      </w:r>
      <w:r>
        <w:rPr>
          <w:spacing w:val="-9"/>
        </w:rPr>
        <w:t> </w:t>
      </w:r>
      <w:r>
        <w:rPr/>
        <w:t>which</w:t>
      </w:r>
      <w:r>
        <w:rPr>
          <w:spacing w:val="-11"/>
        </w:rPr>
        <w:t> </w:t>
      </w:r>
      <w:r>
        <w:rPr/>
        <w:t>breaks</w:t>
      </w:r>
      <w:r>
        <w:rPr>
          <w:spacing w:val="-11"/>
        </w:rPr>
        <w:t> </w:t>
      </w:r>
      <w:r>
        <w:rPr/>
        <w:t>the code</w:t>
      </w:r>
      <w:r>
        <w:rPr>
          <w:spacing w:val="40"/>
        </w:rPr>
        <w:t> </w:t>
      </w:r>
      <w:r>
        <w:rPr/>
        <w:t>of</w:t>
      </w:r>
      <w:r>
        <w:rPr>
          <w:spacing w:val="40"/>
        </w:rPr>
        <w:t> </w:t>
      </w:r>
      <w:r>
        <w:rPr/>
        <w:t>silence</w:t>
      </w:r>
      <w:r>
        <w:rPr>
          <w:spacing w:val="40"/>
        </w:rPr>
        <w:t> </w:t>
      </w:r>
      <w:r>
        <w:rPr/>
        <w:t>that</w:t>
      </w:r>
      <w:r>
        <w:rPr>
          <w:spacing w:val="40"/>
        </w:rPr>
        <w:t> </w:t>
      </w:r>
      <w:r>
        <w:rPr/>
        <w:t>supports</w:t>
      </w:r>
      <w:r>
        <w:rPr>
          <w:spacing w:val="40"/>
        </w:rPr>
        <w:t> </w:t>
      </w:r>
      <w:r>
        <w:rPr/>
        <w:t>the</w:t>
      </w:r>
      <w:r>
        <w:rPr>
          <w:spacing w:val="40"/>
        </w:rPr>
        <w:t> </w:t>
      </w:r>
      <w:r>
        <w:rPr/>
        <w:t>abuser.</w:t>
      </w:r>
    </w:p>
    <w:p>
      <w:pPr>
        <w:pStyle w:val="Heading3"/>
        <w:spacing w:before="161"/>
        <w:ind w:right="1437"/>
      </w:pPr>
      <w:r>
        <w:rPr>
          <w:w w:val="90"/>
        </w:rPr>
        <w:t>THE PERFORMANCE OF POWER: LADY MACBETH </w:t>
      </w:r>
      <w:r>
        <w:rPr>
          <w:w w:val="90"/>
        </w:rPr>
        <w:t>AND </w:t>
      </w:r>
      <w:r>
        <w:rPr>
          <w:spacing w:val="-2"/>
        </w:rPr>
        <w:t>PORTIA</w:t>
      </w:r>
    </w:p>
    <w:p>
      <w:pPr>
        <w:pStyle w:val="BodyText"/>
        <w:spacing w:line="249" w:lineRule="auto" w:before="74"/>
        <w:ind w:right="1439" w:firstLine="432"/>
        <w:jc w:val="both"/>
      </w:pPr>
      <w:r>
        <w:rPr/>
        <w:t>In Lady Macbeth </w:t>
      </w:r>
      <w:r>
        <w:rPr>
          <w:i/>
        </w:rPr>
        <w:t>(Macbeth)</w:t>
      </w:r>
      <w:r>
        <w:rPr/>
        <w:t>, Lady Macbeth understands that in order</w:t>
      </w:r>
      <w:r>
        <w:rPr>
          <w:spacing w:val="-4"/>
        </w:rPr>
        <w:t> </w:t>
      </w:r>
      <w:r>
        <w:rPr/>
        <w:t>to</w:t>
      </w:r>
      <w:r>
        <w:rPr>
          <w:spacing w:val="-2"/>
        </w:rPr>
        <w:t> </w:t>
      </w:r>
      <w:r>
        <w:rPr/>
        <w:t>obtain</w:t>
      </w:r>
      <w:r>
        <w:rPr>
          <w:spacing w:val="-6"/>
        </w:rPr>
        <w:t> </w:t>
      </w:r>
      <w:r>
        <w:rPr/>
        <w:t>power</w:t>
      </w:r>
      <w:r>
        <w:rPr>
          <w:spacing w:val="-4"/>
        </w:rPr>
        <w:t> </w:t>
      </w:r>
      <w:r>
        <w:rPr/>
        <w:t>she</w:t>
      </w:r>
      <w:r>
        <w:rPr>
          <w:spacing w:val="-7"/>
        </w:rPr>
        <w:t> </w:t>
      </w:r>
      <w:r>
        <w:rPr/>
        <w:t>will</w:t>
      </w:r>
      <w:r>
        <w:rPr>
          <w:spacing w:val="-4"/>
        </w:rPr>
        <w:t> </w:t>
      </w:r>
      <w:r>
        <w:rPr/>
        <w:t>have</w:t>
      </w:r>
      <w:r>
        <w:rPr>
          <w:spacing w:val="-3"/>
        </w:rPr>
        <w:t> </w:t>
      </w:r>
      <w:r>
        <w:rPr/>
        <w:t>to</w:t>
      </w:r>
      <w:r>
        <w:rPr>
          <w:spacing w:val="-2"/>
        </w:rPr>
        <w:t> </w:t>
      </w:r>
      <w:r>
        <w:rPr/>
        <w:t>become</w:t>
      </w:r>
      <w:r>
        <w:rPr>
          <w:spacing w:val="-5"/>
        </w:rPr>
        <w:t> </w:t>
      </w:r>
      <w:r>
        <w:rPr/>
        <w:t>“unsexed”</w:t>
      </w:r>
      <w:r>
        <w:rPr>
          <w:spacing w:val="-6"/>
        </w:rPr>
        <w:t> </w:t>
      </w:r>
      <w:r>
        <w:rPr/>
        <w:t>(Shakespeare, 1606/2005,</w:t>
      </w:r>
      <w:r>
        <w:rPr>
          <w:spacing w:val="14"/>
        </w:rPr>
        <w:t> </w:t>
      </w:r>
      <w:r>
        <w:rPr/>
        <w:t>1.5.40).</w:t>
      </w:r>
      <w:r>
        <w:rPr>
          <w:spacing w:val="15"/>
        </w:rPr>
        <w:t> </w:t>
      </w:r>
      <w:r>
        <w:rPr/>
        <w:t>The</w:t>
      </w:r>
      <w:r>
        <w:rPr>
          <w:spacing w:val="15"/>
        </w:rPr>
        <w:t> </w:t>
      </w:r>
      <w:r>
        <w:rPr/>
        <w:t>tragedy of Lady</w:t>
      </w:r>
      <w:r>
        <w:rPr>
          <w:spacing w:val="14"/>
        </w:rPr>
        <w:t> </w:t>
      </w:r>
      <w:r>
        <w:rPr/>
        <w:t>Macbeth is</w:t>
      </w:r>
      <w:r>
        <w:rPr>
          <w:spacing w:val="14"/>
        </w:rPr>
        <w:t> </w:t>
      </w:r>
      <w:r>
        <w:rPr/>
        <w:t>that</w:t>
      </w:r>
      <w:r>
        <w:rPr>
          <w:spacing w:val="14"/>
        </w:rPr>
        <w:t> </w:t>
      </w:r>
      <w:r>
        <w:rPr/>
        <w:t>she</w:t>
      </w:r>
      <w:r>
        <w:rPr>
          <w:spacing w:val="15"/>
        </w:rPr>
        <w:t> </w:t>
      </w:r>
      <w:r>
        <w:rPr/>
        <w:t>has paid a price for trying to claim a chair at the power table that she was never meant to occupy. Portia (</w:t>
      </w:r>
      <w:r>
        <w:rPr>
          <w:i/>
        </w:rPr>
        <w:t>The Merchant of Venice</w:t>
      </w:r>
      <w:r>
        <w:rPr/>
        <w:t>), on the other hand, utilizes her wit to circumvent the law but is only able to do so when disguised as a man, emphasizing that women’s expertise will only be regarded</w:t>
      </w:r>
      <w:r>
        <w:rPr>
          <w:spacing w:val="38"/>
        </w:rPr>
        <w:t> </w:t>
      </w:r>
      <w:r>
        <w:rPr/>
        <w:t>as</w:t>
      </w:r>
      <w:r>
        <w:rPr>
          <w:spacing w:val="35"/>
        </w:rPr>
        <w:t> </w:t>
      </w:r>
      <w:r>
        <w:rPr/>
        <w:t>such</w:t>
      </w:r>
      <w:r>
        <w:rPr>
          <w:spacing w:val="38"/>
        </w:rPr>
        <w:t> </w:t>
      </w:r>
      <w:r>
        <w:rPr/>
        <w:t>if</w:t>
      </w:r>
      <w:r>
        <w:rPr>
          <w:spacing w:val="35"/>
        </w:rPr>
        <w:t> </w:t>
      </w:r>
      <w:r>
        <w:rPr/>
        <w:t>their</w:t>
      </w:r>
      <w:r>
        <w:rPr>
          <w:spacing w:val="37"/>
        </w:rPr>
        <w:t> </w:t>
      </w:r>
      <w:r>
        <w:rPr/>
        <w:t>expertise</w:t>
      </w:r>
      <w:r>
        <w:rPr>
          <w:spacing w:val="37"/>
        </w:rPr>
        <w:t> </w:t>
      </w:r>
      <w:r>
        <w:rPr/>
        <w:t>is</w:t>
      </w:r>
      <w:r>
        <w:rPr>
          <w:spacing w:val="35"/>
        </w:rPr>
        <w:t> </w:t>
      </w:r>
      <w:r>
        <w:rPr/>
        <w:t>viewed</w:t>
      </w:r>
      <w:r>
        <w:rPr>
          <w:spacing w:val="38"/>
        </w:rPr>
        <w:t> </w:t>
      </w:r>
      <w:r>
        <w:rPr/>
        <w:t>through</w:t>
      </w:r>
      <w:r>
        <w:rPr>
          <w:spacing w:val="38"/>
        </w:rPr>
        <w:t> </w:t>
      </w:r>
      <w:r>
        <w:rPr/>
        <w:t>a</w:t>
      </w:r>
      <w:r>
        <w:rPr>
          <w:spacing w:val="37"/>
        </w:rPr>
        <w:t> </w:t>
      </w:r>
      <w:r>
        <w:rPr/>
        <w:t>male</w:t>
      </w:r>
      <w:r>
        <w:rPr>
          <w:spacing w:val="38"/>
        </w:rPr>
        <w:t> </w:t>
      </w:r>
      <w:r>
        <w:rPr/>
        <w:t>lens.</w:t>
      </w:r>
    </w:p>
    <w:p>
      <w:pPr>
        <w:pStyle w:val="Heading3"/>
        <w:spacing w:before="163"/>
        <w:ind w:right="1437"/>
      </w:pPr>
      <w:r>
        <w:rPr>
          <w:w w:val="90"/>
        </w:rPr>
        <w:t>FORCED MARRIAGE AND BODILY AUTONOMY: </w:t>
      </w:r>
      <w:r>
        <w:rPr>
          <w:w w:val="90"/>
        </w:rPr>
        <w:t>JULIET </w:t>
      </w:r>
      <w:r>
        <w:rPr>
          <w:spacing w:val="-2"/>
        </w:rPr>
        <w:t>AND</w:t>
      </w:r>
      <w:r>
        <w:rPr>
          <w:spacing w:val="-20"/>
        </w:rPr>
        <w:t> </w:t>
      </w:r>
      <w:r>
        <w:rPr>
          <w:spacing w:val="-2"/>
        </w:rPr>
        <w:t>KATHERINE</w:t>
      </w:r>
    </w:p>
    <w:p>
      <w:pPr>
        <w:pStyle w:val="BodyText"/>
        <w:spacing w:line="249" w:lineRule="auto" w:before="73"/>
        <w:ind w:right="1434" w:firstLine="432"/>
        <w:jc w:val="both"/>
      </w:pPr>
      <w:r>
        <w:rPr/>
        <w:t>Both Juliet (from the play </w:t>
      </w:r>
      <w:r>
        <w:rPr>
          <w:i/>
        </w:rPr>
        <w:t>Romeo and Juliet</w:t>
      </w:r>
      <w:r>
        <w:rPr/>
        <w:t>) and Katherine (from the play </w:t>
      </w:r>
      <w:r>
        <w:rPr>
          <w:i/>
        </w:rPr>
        <w:t>Taming of the Shrew</w:t>
      </w:r>
      <w:r>
        <w:rPr/>
        <w:t>) face a similar issue in that they are viewed as commodities by forcing either of them into marriage. In addition, Juliet is just thirteen years old and believes that her father, who wants her to marry Paris, has been treating her like a “screeching infant”</w:t>
      </w:r>
      <w:r>
        <w:rPr>
          <w:spacing w:val="-5"/>
        </w:rPr>
        <w:t> </w:t>
      </w:r>
      <w:r>
        <w:rPr/>
        <w:t>because</w:t>
      </w:r>
      <w:r>
        <w:rPr>
          <w:spacing w:val="-5"/>
        </w:rPr>
        <w:t> </w:t>
      </w:r>
      <w:r>
        <w:rPr/>
        <w:t>she</w:t>
      </w:r>
      <w:r>
        <w:rPr>
          <w:spacing w:val="-5"/>
        </w:rPr>
        <w:t> </w:t>
      </w:r>
      <w:r>
        <w:rPr/>
        <w:t>does</w:t>
      </w:r>
      <w:r>
        <w:rPr>
          <w:spacing w:val="-6"/>
        </w:rPr>
        <w:t> </w:t>
      </w:r>
      <w:r>
        <w:rPr/>
        <w:t>not</w:t>
      </w:r>
      <w:r>
        <w:rPr>
          <w:spacing w:val="-6"/>
        </w:rPr>
        <w:t> </w:t>
      </w:r>
      <w:r>
        <w:rPr/>
        <w:t>want</w:t>
      </w:r>
      <w:r>
        <w:rPr>
          <w:spacing w:val="-8"/>
        </w:rPr>
        <w:t> </w:t>
      </w:r>
      <w:r>
        <w:rPr/>
        <w:t>a</w:t>
      </w:r>
      <w:r>
        <w:rPr>
          <w:spacing w:val="-5"/>
        </w:rPr>
        <w:t> </w:t>
      </w:r>
      <w:r>
        <w:rPr/>
        <w:t>marriage</w:t>
      </w:r>
      <w:r>
        <w:rPr>
          <w:spacing w:val="-6"/>
        </w:rPr>
        <w:t> </w:t>
      </w:r>
      <w:r>
        <w:rPr/>
        <w:t>that</w:t>
      </w:r>
      <w:r>
        <w:rPr>
          <w:spacing w:val="-6"/>
        </w:rPr>
        <w:t> </w:t>
      </w:r>
      <w:r>
        <w:rPr/>
        <w:t>is</w:t>
      </w:r>
      <w:r>
        <w:rPr>
          <w:spacing w:val="-6"/>
        </w:rPr>
        <w:t> </w:t>
      </w:r>
      <w:r>
        <w:rPr/>
        <w:t>based</w:t>
      </w:r>
      <w:r>
        <w:rPr>
          <w:spacing w:val="-4"/>
        </w:rPr>
        <w:t> </w:t>
      </w:r>
      <w:r>
        <w:rPr/>
        <w:t>on</w:t>
      </w:r>
      <w:r>
        <w:rPr>
          <w:spacing w:val="-8"/>
        </w:rPr>
        <w:t> </w:t>
      </w:r>
      <w:r>
        <w:rPr/>
        <w:t>“political” reasons instead of romantic love. Juliet’s struggle can be described as one in which she wants to maintain her identity as a Capulet while simultaneously</w:t>
      </w:r>
      <w:r>
        <w:rPr>
          <w:spacing w:val="40"/>
        </w:rPr>
        <w:t> </w:t>
      </w:r>
      <w:r>
        <w:rPr/>
        <w:t>wanting</w:t>
      </w:r>
      <w:r>
        <w:rPr>
          <w:spacing w:val="40"/>
        </w:rPr>
        <w:t> </w:t>
      </w:r>
      <w:r>
        <w:rPr/>
        <w:t>to</w:t>
      </w:r>
      <w:r>
        <w:rPr>
          <w:spacing w:val="40"/>
        </w:rPr>
        <w:t> </w:t>
      </w:r>
      <w:r>
        <w:rPr/>
        <w:t>have</w:t>
      </w:r>
      <w:r>
        <w:rPr>
          <w:spacing w:val="40"/>
        </w:rPr>
        <w:t> </w:t>
      </w:r>
      <w:r>
        <w:rPr/>
        <w:t>bodily</w:t>
      </w:r>
      <w:r>
        <w:rPr>
          <w:spacing w:val="40"/>
        </w:rPr>
        <w:t> </w:t>
      </w:r>
      <w:r>
        <w:rPr/>
        <w:t>autonomy.</w:t>
      </w:r>
    </w:p>
    <w:p>
      <w:pPr>
        <w:pStyle w:val="BodyText"/>
        <w:spacing w:line="249" w:lineRule="auto" w:before="65"/>
        <w:ind w:right="1441" w:firstLine="432"/>
        <w:jc w:val="both"/>
      </w:pPr>
      <w:r>
        <w:rPr/>
        <w:t>While</w:t>
      </w:r>
      <w:r>
        <w:rPr>
          <w:spacing w:val="-4"/>
        </w:rPr>
        <w:t> </w:t>
      </w:r>
      <w:r>
        <w:rPr/>
        <w:t>most</w:t>
      </w:r>
      <w:r>
        <w:rPr>
          <w:spacing w:val="-4"/>
        </w:rPr>
        <w:t> </w:t>
      </w:r>
      <w:r>
        <w:rPr/>
        <w:t>people</w:t>
      </w:r>
      <w:r>
        <w:rPr>
          <w:spacing w:val="-4"/>
        </w:rPr>
        <w:t> </w:t>
      </w:r>
      <w:r>
        <w:rPr/>
        <w:t>perceive</w:t>
      </w:r>
      <w:r>
        <w:rPr>
          <w:spacing w:val="-2"/>
        </w:rPr>
        <w:t> </w:t>
      </w:r>
      <w:r>
        <w:rPr/>
        <w:t>Katherine</w:t>
      </w:r>
      <w:r>
        <w:rPr>
          <w:spacing w:val="-6"/>
        </w:rPr>
        <w:t> </w:t>
      </w:r>
      <w:r>
        <w:rPr/>
        <w:t>to</w:t>
      </w:r>
      <w:r>
        <w:rPr>
          <w:spacing w:val="-3"/>
        </w:rPr>
        <w:t> </w:t>
      </w:r>
      <w:r>
        <w:rPr/>
        <w:t>be</w:t>
      </w:r>
      <w:r>
        <w:rPr>
          <w:spacing w:val="-4"/>
        </w:rPr>
        <w:t> </w:t>
      </w:r>
      <w:r>
        <w:rPr/>
        <w:t>the</w:t>
      </w:r>
      <w:r>
        <w:rPr>
          <w:spacing w:val="-5"/>
        </w:rPr>
        <w:t> </w:t>
      </w:r>
      <w:r>
        <w:rPr/>
        <w:t>“rebel”</w:t>
      </w:r>
      <w:r>
        <w:rPr>
          <w:spacing w:val="-5"/>
        </w:rPr>
        <w:t> </w:t>
      </w:r>
      <w:r>
        <w:rPr/>
        <w:t>archetype, she is subjected to the process of “taming” through methods that some modern critics would characterize as psychological torture.</w:t>
      </w:r>
      <w:r>
        <w:rPr>
          <w:spacing w:val="-3"/>
        </w:rPr>
        <w:t> </w:t>
      </w:r>
      <w:r>
        <w:rPr/>
        <w:t>As a result, Katherine’s final speech of submission in the play will today often be interpreted</w:t>
      </w:r>
      <w:r>
        <w:rPr>
          <w:spacing w:val="10"/>
        </w:rPr>
        <w:t> </w:t>
      </w:r>
      <w:r>
        <w:rPr/>
        <w:t>as</w:t>
      </w:r>
      <w:r>
        <w:rPr>
          <w:spacing w:val="9"/>
        </w:rPr>
        <w:t> </w:t>
      </w:r>
      <w:r>
        <w:rPr/>
        <w:t>either</w:t>
      </w:r>
      <w:r>
        <w:rPr>
          <w:spacing w:val="8"/>
        </w:rPr>
        <w:t> </w:t>
      </w:r>
      <w:r>
        <w:rPr/>
        <w:t>ironic</w:t>
      </w:r>
      <w:r>
        <w:rPr>
          <w:spacing w:val="11"/>
        </w:rPr>
        <w:t> </w:t>
      </w:r>
      <w:r>
        <w:rPr/>
        <w:t>or</w:t>
      </w:r>
      <w:r>
        <w:rPr>
          <w:spacing w:val="12"/>
        </w:rPr>
        <w:t> </w:t>
      </w:r>
      <w:r>
        <w:rPr/>
        <w:t>tragic</w:t>
      </w:r>
      <w:r>
        <w:rPr>
          <w:spacing w:val="10"/>
        </w:rPr>
        <w:t> </w:t>
      </w:r>
      <w:r>
        <w:rPr/>
        <w:t>and</w:t>
      </w:r>
      <w:r>
        <w:rPr>
          <w:spacing w:val="11"/>
        </w:rPr>
        <w:t> </w:t>
      </w:r>
      <w:r>
        <w:rPr/>
        <w:t>representative</w:t>
      </w:r>
      <w:r>
        <w:rPr>
          <w:spacing w:val="7"/>
        </w:rPr>
        <w:t> </w:t>
      </w:r>
      <w:r>
        <w:rPr/>
        <w:t>of</w:t>
      </w:r>
      <w:r>
        <w:rPr>
          <w:spacing w:val="9"/>
        </w:rPr>
        <w:t> </w:t>
      </w:r>
      <w:r>
        <w:rPr/>
        <w:t>the</w:t>
      </w:r>
      <w:r>
        <w:rPr>
          <w:spacing w:val="12"/>
        </w:rPr>
        <w:t> </w:t>
      </w:r>
      <w:r>
        <w:rPr>
          <w:spacing w:val="-2"/>
        </w:rPr>
        <w:t>“broken”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78976">
                <wp:simplePos x="0" y="0"/>
                <wp:positionH relativeFrom="page">
                  <wp:posOffset>2057400</wp:posOffset>
                </wp:positionH>
                <wp:positionV relativeFrom="paragraph">
                  <wp:posOffset>162604</wp:posOffset>
                </wp:positionV>
                <wp:extent cx="3657600" cy="12700"/>
                <wp:effectExtent l="0" t="0" r="0" b="0"/>
                <wp:wrapTopAndBottom/>
                <wp:docPr id="301" name="Graphic 301"/>
                <wp:cNvGraphicFramePr>
                  <a:graphicFrameLocks/>
                </wp:cNvGraphicFramePr>
                <a:graphic>
                  <a:graphicData uri="http://schemas.microsoft.com/office/word/2010/wordprocessingShape">
                    <wps:wsp>
                      <wps:cNvPr id="301" name="Graphic 30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37504;mso-wrap-distance-left:0;mso-wrap-distance-right:0" id="docshape297" filled="true" fillcolor="#000000" stroked="false">
                <v:fill type="solid"/>
                <w10:wrap type="topAndBottom"/>
              </v:rect>
            </w:pict>
          </mc:Fallback>
        </mc:AlternateContent>
      </w:r>
      <w:r>
        <w:rPr>
          <w:rFonts w:ascii="Verdana"/>
          <w:spacing w:val="-5"/>
          <w:sz w:val="18"/>
        </w:rPr>
        <w:t>100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spirit of a woman who has been treated with such a method of gas lighting</w:t>
      </w:r>
      <w:r>
        <w:rPr>
          <w:spacing w:val="-12"/>
        </w:rPr>
        <w:t> </w:t>
      </w:r>
      <w:r>
        <w:rPr/>
        <w:t>that</w:t>
      </w:r>
      <w:r>
        <w:rPr>
          <w:spacing w:val="-11"/>
        </w:rPr>
        <w:t> </w:t>
      </w:r>
      <w:r>
        <w:rPr/>
        <w:t>she</w:t>
      </w:r>
      <w:r>
        <w:rPr>
          <w:spacing w:val="-12"/>
        </w:rPr>
        <w:t> </w:t>
      </w:r>
      <w:r>
        <w:rPr/>
        <w:t>has</w:t>
      </w:r>
      <w:r>
        <w:rPr>
          <w:spacing w:val="-11"/>
        </w:rPr>
        <w:t> </w:t>
      </w:r>
      <w:r>
        <w:rPr/>
        <w:t>been</w:t>
      </w:r>
      <w:r>
        <w:rPr>
          <w:spacing w:val="-12"/>
        </w:rPr>
        <w:t> </w:t>
      </w:r>
      <w:r>
        <w:rPr/>
        <w:t>made</w:t>
      </w:r>
      <w:r>
        <w:rPr>
          <w:spacing w:val="-11"/>
        </w:rPr>
        <w:t> </w:t>
      </w:r>
      <w:r>
        <w:rPr/>
        <w:t>into</w:t>
      </w:r>
      <w:r>
        <w:rPr>
          <w:spacing w:val="-9"/>
        </w:rPr>
        <w:t> </w:t>
      </w:r>
      <w:r>
        <w:rPr/>
        <w:t>a</w:t>
      </w:r>
      <w:r>
        <w:rPr>
          <w:spacing w:val="-10"/>
        </w:rPr>
        <w:t> </w:t>
      </w:r>
      <w:r>
        <w:rPr/>
        <w:t>compliant</w:t>
      </w:r>
      <w:r>
        <w:rPr>
          <w:spacing w:val="-12"/>
        </w:rPr>
        <w:t> </w:t>
      </w:r>
      <w:r>
        <w:rPr/>
        <w:t>wife</w:t>
      </w:r>
      <w:r>
        <w:rPr>
          <w:spacing w:val="-10"/>
        </w:rPr>
        <w:t> </w:t>
      </w:r>
      <w:r>
        <w:rPr/>
        <w:t>through</w:t>
      </w:r>
      <w:r>
        <w:rPr>
          <w:spacing w:val="-12"/>
        </w:rPr>
        <w:t> </w:t>
      </w:r>
      <w:r>
        <w:rPr/>
        <w:t>systematic use</w:t>
      </w:r>
      <w:r>
        <w:rPr>
          <w:spacing w:val="40"/>
        </w:rPr>
        <w:t> </w:t>
      </w:r>
      <w:r>
        <w:rPr/>
        <w:t>of</w:t>
      </w:r>
      <w:r>
        <w:rPr>
          <w:spacing w:val="40"/>
        </w:rPr>
        <w:t> </w:t>
      </w:r>
      <w:r>
        <w:rPr/>
        <w:t>psychological</w:t>
      </w:r>
      <w:r>
        <w:rPr>
          <w:spacing w:val="40"/>
        </w:rPr>
        <w:t> </w:t>
      </w:r>
      <w:r>
        <w:rPr/>
        <w:t>manipulation.</w:t>
      </w:r>
    </w:p>
    <w:p>
      <w:pPr>
        <w:pStyle w:val="Heading3"/>
        <w:spacing w:before="156"/>
      </w:pPr>
      <w:r>
        <w:rPr>
          <w:spacing w:val="-2"/>
        </w:rPr>
        <w:t>CONCLUSION:</w:t>
      </w:r>
    </w:p>
    <w:p>
      <w:pPr>
        <w:pStyle w:val="BodyText"/>
        <w:spacing w:line="261" w:lineRule="auto" w:before="83"/>
        <w:ind w:right="1437" w:firstLine="432"/>
        <w:jc w:val="both"/>
      </w:pPr>
      <w:r>
        <w:rPr/>
        <w:t>Examining the female characterizations of William Shakespeare through an intersectional feminist lens : “underlying conflict” as a contemporary</w:t>
      </w:r>
      <w:r>
        <w:rPr>
          <w:spacing w:val="-13"/>
        </w:rPr>
        <w:t> </w:t>
      </w:r>
      <w:r>
        <w:rPr/>
        <w:t>reality.</w:t>
      </w:r>
      <w:r>
        <w:rPr>
          <w:spacing w:val="-9"/>
        </w:rPr>
        <w:t> </w:t>
      </w:r>
      <w:r>
        <w:rPr/>
        <w:t>Shakespeare’s</w:t>
      </w:r>
      <w:r>
        <w:rPr>
          <w:spacing w:val="-11"/>
        </w:rPr>
        <w:t> </w:t>
      </w:r>
      <w:r>
        <w:rPr/>
        <w:t>exploration</w:t>
      </w:r>
      <w:r>
        <w:rPr>
          <w:spacing w:val="-13"/>
        </w:rPr>
        <w:t> </w:t>
      </w:r>
      <w:r>
        <w:rPr/>
        <w:t>of</w:t>
      </w:r>
      <w:r>
        <w:rPr>
          <w:spacing w:val="-11"/>
        </w:rPr>
        <w:t> </w:t>
      </w:r>
      <w:r>
        <w:rPr/>
        <w:t>female</w:t>
      </w:r>
      <w:r>
        <w:rPr>
          <w:spacing w:val="-9"/>
        </w:rPr>
        <w:t> </w:t>
      </w:r>
      <w:r>
        <w:rPr/>
        <w:t>characters</w:t>
      </w:r>
      <w:r>
        <w:rPr>
          <w:spacing w:val="-11"/>
        </w:rPr>
        <w:t> </w:t>
      </w:r>
      <w:r>
        <w:rPr/>
        <w:t>by </w:t>
      </w:r>
      <w:r>
        <w:rPr>
          <w:spacing w:val="-2"/>
        </w:rPr>
        <w:t>examining</w:t>
      </w:r>
      <w:r>
        <w:rPr>
          <w:spacing w:val="-5"/>
        </w:rPr>
        <w:t> </w:t>
      </w:r>
      <w:r>
        <w:rPr>
          <w:spacing w:val="-2"/>
        </w:rPr>
        <w:t>them</w:t>
      </w:r>
      <w:r>
        <w:rPr>
          <w:spacing w:val="-4"/>
        </w:rPr>
        <w:t> </w:t>
      </w:r>
      <w:r>
        <w:rPr>
          <w:spacing w:val="-2"/>
        </w:rPr>
        <w:t>through</w:t>
      </w:r>
      <w:r>
        <w:rPr>
          <w:spacing w:val="-5"/>
        </w:rPr>
        <w:t> </w:t>
      </w:r>
      <w:r>
        <w:rPr>
          <w:spacing w:val="-2"/>
        </w:rPr>
        <w:t>women-only</w:t>
      </w:r>
      <w:r>
        <w:rPr>
          <w:spacing w:val="-7"/>
        </w:rPr>
        <w:t> </w:t>
      </w:r>
      <w:r>
        <w:rPr>
          <w:spacing w:val="-2"/>
        </w:rPr>
        <w:t>lenses brings</w:t>
      </w:r>
      <w:r>
        <w:rPr>
          <w:spacing w:val="-5"/>
        </w:rPr>
        <w:t> </w:t>
      </w:r>
      <w:r>
        <w:rPr>
          <w:spacing w:val="-2"/>
        </w:rPr>
        <w:t>to light the continued </w:t>
      </w:r>
      <w:r>
        <w:rPr/>
        <w:t>existence of culturally shared patriarchy, in a form known as “against</w:t>
      </w:r>
      <w:r>
        <w:rPr>
          <w:spacing w:val="40"/>
        </w:rPr>
        <w:t> </w:t>
      </w:r>
      <w:r>
        <w:rPr/>
        <w:t>&amp;</w:t>
      </w:r>
      <w:r>
        <w:rPr>
          <w:spacing w:val="-1"/>
        </w:rPr>
        <w:t> </w:t>
      </w:r>
      <w:r>
        <w:rPr/>
        <w:t>across</w:t>
      </w:r>
      <w:r>
        <w:rPr>
          <w:spacing w:val="-3"/>
        </w:rPr>
        <w:t> </w:t>
      </w:r>
      <w:r>
        <w:rPr/>
        <w:t>the patriarchal</w:t>
      </w:r>
      <w:r>
        <w:rPr>
          <w:spacing w:val="-2"/>
        </w:rPr>
        <w:t> </w:t>
      </w:r>
      <w:r>
        <w:rPr/>
        <w:t>grid”/collectively</w:t>
      </w:r>
      <w:r>
        <w:rPr>
          <w:spacing w:val="-3"/>
        </w:rPr>
        <w:t> </w:t>
      </w:r>
      <w:r>
        <w:rPr/>
        <w:t>silencing</w:t>
      </w:r>
      <w:r>
        <w:rPr>
          <w:spacing w:val="-3"/>
        </w:rPr>
        <w:t> </w:t>
      </w:r>
      <w:r>
        <w:rPr/>
        <w:t>female testimonies. In an exploration of Shakespeare’s canonical texts as they relate to the #Me too movement, we can clearly see the similarities between the violations that occurred in the 17th century and those of the present</w:t>
      </w:r>
      <w:r>
        <w:rPr>
          <w:spacing w:val="40"/>
        </w:rPr>
        <w:t> </w:t>
      </w:r>
      <w:r>
        <w:rPr/>
        <w:t>day!</w:t>
      </w:r>
      <w:r>
        <w:rPr>
          <w:spacing w:val="-6"/>
        </w:rPr>
        <w:t> </w:t>
      </w:r>
      <w:r>
        <w:rPr/>
        <w:t>In</w:t>
      </w:r>
      <w:r>
        <w:rPr>
          <w:spacing w:val="-6"/>
        </w:rPr>
        <w:t> </w:t>
      </w:r>
      <w:r>
        <w:rPr/>
        <w:t>addition,</w:t>
      </w:r>
      <w:r>
        <w:rPr>
          <w:spacing w:val="-4"/>
        </w:rPr>
        <w:t> </w:t>
      </w:r>
      <w:r>
        <w:rPr/>
        <w:t>when</w:t>
      </w:r>
      <w:r>
        <w:rPr>
          <w:spacing w:val="-6"/>
        </w:rPr>
        <w:t> </w:t>
      </w:r>
      <w:r>
        <w:rPr/>
        <w:t>looking</w:t>
      </w:r>
      <w:r>
        <w:rPr>
          <w:spacing w:val="-6"/>
        </w:rPr>
        <w:t> </w:t>
      </w:r>
      <w:r>
        <w:rPr/>
        <w:t>at</w:t>
      </w:r>
      <w:r>
        <w:rPr>
          <w:spacing w:val="-3"/>
        </w:rPr>
        <w:t> </w:t>
      </w:r>
      <w:r>
        <w:rPr/>
        <w:t>women</w:t>
      </w:r>
      <w:r>
        <w:rPr>
          <w:spacing w:val="-6"/>
        </w:rPr>
        <w:t> </w:t>
      </w:r>
      <w:r>
        <w:rPr/>
        <w:t>such</w:t>
      </w:r>
      <w:r>
        <w:rPr>
          <w:spacing w:val="-6"/>
        </w:rPr>
        <w:t> </w:t>
      </w:r>
      <w:r>
        <w:rPr/>
        <w:t>as:</w:t>
      </w:r>
      <w:r>
        <w:rPr>
          <w:spacing w:val="-5"/>
        </w:rPr>
        <w:t> </w:t>
      </w:r>
      <w:r>
        <w:rPr/>
        <w:t>Desdemona,</w:t>
      </w:r>
      <w:r>
        <w:rPr>
          <w:spacing w:val="-4"/>
        </w:rPr>
        <w:t> </w:t>
      </w:r>
      <w:r>
        <w:rPr/>
        <w:t>Ophelia, Isabella, Juliet, Katherine, Hermione, etc., we must acknowledge the seriousness of the intersection between women, their age, and class socialization within a shared patriarchal structure.</w:t>
      </w:r>
    </w:p>
    <w:p>
      <w:pPr>
        <w:pStyle w:val="BodyText"/>
        <w:spacing w:line="261" w:lineRule="auto" w:before="50"/>
        <w:ind w:right="1438" w:firstLine="432"/>
        <w:jc w:val="both"/>
      </w:pPr>
      <w:r>
        <w:rPr/>
        <w:t>Revisiting the works of Shakespeare in the #MeToo era is not intending</w:t>
      </w:r>
      <w:r>
        <w:rPr>
          <w:spacing w:val="-6"/>
        </w:rPr>
        <w:t> </w:t>
      </w:r>
      <w:r>
        <w:rPr/>
        <w:t>to</w:t>
      </w:r>
      <w:r>
        <w:rPr>
          <w:spacing w:val="-6"/>
        </w:rPr>
        <w:t> </w:t>
      </w:r>
      <w:r>
        <w:rPr/>
        <w:t>give</w:t>
      </w:r>
      <w:r>
        <w:rPr>
          <w:spacing w:val="-6"/>
        </w:rPr>
        <w:t> </w:t>
      </w:r>
      <w:r>
        <w:rPr/>
        <w:t>21st</w:t>
      </w:r>
      <w:r>
        <w:rPr>
          <w:spacing w:val="-8"/>
        </w:rPr>
        <w:t> </w:t>
      </w:r>
      <w:r>
        <w:rPr/>
        <w:t>century</w:t>
      </w:r>
      <w:r>
        <w:rPr>
          <w:spacing w:val="-8"/>
        </w:rPr>
        <w:t> </w:t>
      </w:r>
      <w:r>
        <w:rPr/>
        <w:t>values</w:t>
      </w:r>
      <w:r>
        <w:rPr>
          <w:spacing w:val="-8"/>
        </w:rPr>
        <w:t> </w:t>
      </w:r>
      <w:r>
        <w:rPr/>
        <w:t>to</w:t>
      </w:r>
      <w:r>
        <w:rPr>
          <w:spacing w:val="-4"/>
        </w:rPr>
        <w:t> </w:t>
      </w:r>
      <w:r>
        <w:rPr/>
        <w:t>an</w:t>
      </w:r>
      <w:r>
        <w:rPr>
          <w:spacing w:val="-6"/>
        </w:rPr>
        <w:t> </w:t>
      </w:r>
      <w:r>
        <w:rPr/>
        <w:t>earlier</w:t>
      </w:r>
      <w:r>
        <w:rPr>
          <w:spacing w:val="-8"/>
        </w:rPr>
        <w:t> </w:t>
      </w:r>
      <w:r>
        <w:rPr/>
        <w:t>time</w:t>
      </w:r>
      <w:r>
        <w:rPr>
          <w:spacing w:val="-5"/>
        </w:rPr>
        <w:t> </w:t>
      </w:r>
      <w:r>
        <w:rPr/>
        <w:t>period,</w:t>
      </w:r>
      <w:r>
        <w:rPr>
          <w:spacing w:val="-8"/>
        </w:rPr>
        <w:t> </w:t>
      </w:r>
      <w:r>
        <w:rPr/>
        <w:t>but</w:t>
      </w:r>
      <w:r>
        <w:rPr>
          <w:spacing w:val="-4"/>
        </w:rPr>
        <w:t> </w:t>
      </w:r>
      <w:r>
        <w:rPr/>
        <w:t>rather to see that the fight for ownership of one’s own body (i.e., bodily autonomy) and for having their story validated as true has always been</w:t>
      </w:r>
      <w:r>
        <w:rPr>
          <w:spacing w:val="40"/>
        </w:rPr>
        <w:t> </w:t>
      </w:r>
      <w:r>
        <w:rPr/>
        <w:t>a</w:t>
      </w:r>
      <w:r>
        <w:rPr>
          <w:spacing w:val="-2"/>
        </w:rPr>
        <w:t> </w:t>
      </w:r>
      <w:r>
        <w:rPr/>
        <w:t>timeless</w:t>
      </w:r>
      <w:r>
        <w:rPr>
          <w:spacing w:val="-3"/>
        </w:rPr>
        <w:t> </w:t>
      </w:r>
      <w:r>
        <w:rPr/>
        <w:t>struggle across</w:t>
      </w:r>
      <w:r>
        <w:rPr>
          <w:spacing w:val="-3"/>
        </w:rPr>
        <w:t> </w:t>
      </w:r>
      <w:r>
        <w:rPr/>
        <w:t>centuries</w:t>
      </w:r>
      <w:r>
        <w:rPr>
          <w:spacing w:val="-3"/>
        </w:rPr>
        <w:t> </w:t>
      </w:r>
      <w:r>
        <w:rPr/>
        <w:t>regardless</w:t>
      </w:r>
      <w:r>
        <w:rPr>
          <w:spacing w:val="-4"/>
        </w:rPr>
        <w:t> </w:t>
      </w:r>
      <w:r>
        <w:rPr/>
        <w:t>of</w:t>
      </w:r>
      <w:r>
        <w:rPr>
          <w:spacing w:val="-1"/>
        </w:rPr>
        <w:t> </w:t>
      </w:r>
      <w:r>
        <w:rPr/>
        <w:t>culture.</w:t>
      </w:r>
      <w:r>
        <w:rPr>
          <w:spacing w:val="-3"/>
        </w:rPr>
        <w:t> </w:t>
      </w:r>
      <w:r>
        <w:rPr/>
        <w:t>Shakespeare’s plays</w:t>
      </w:r>
      <w:r>
        <w:rPr>
          <w:spacing w:val="-10"/>
        </w:rPr>
        <w:t> </w:t>
      </w:r>
      <w:r>
        <w:rPr/>
        <w:t>continue</w:t>
      </w:r>
      <w:r>
        <w:rPr>
          <w:spacing w:val="-8"/>
        </w:rPr>
        <w:t> </w:t>
      </w:r>
      <w:r>
        <w:rPr/>
        <w:t>to</w:t>
      </w:r>
      <w:r>
        <w:rPr>
          <w:spacing w:val="-9"/>
        </w:rPr>
        <w:t> </w:t>
      </w:r>
      <w:r>
        <w:rPr/>
        <w:t>be</w:t>
      </w:r>
      <w:r>
        <w:rPr>
          <w:spacing w:val="-8"/>
        </w:rPr>
        <w:t> </w:t>
      </w:r>
      <w:r>
        <w:rPr/>
        <w:t>relevant</w:t>
      </w:r>
      <w:r>
        <w:rPr>
          <w:spacing w:val="-9"/>
        </w:rPr>
        <w:t> </w:t>
      </w:r>
      <w:r>
        <w:rPr/>
        <w:t>today</w:t>
      </w:r>
      <w:r>
        <w:rPr>
          <w:spacing w:val="-10"/>
        </w:rPr>
        <w:t> </w:t>
      </w:r>
      <w:r>
        <w:rPr/>
        <w:t>since</w:t>
      </w:r>
      <w:r>
        <w:rPr>
          <w:spacing w:val="-9"/>
        </w:rPr>
        <w:t> </w:t>
      </w:r>
      <w:r>
        <w:rPr/>
        <w:t>they</w:t>
      </w:r>
      <w:r>
        <w:rPr>
          <w:spacing w:val="-13"/>
        </w:rPr>
        <w:t> </w:t>
      </w:r>
      <w:r>
        <w:rPr/>
        <w:t>reflect</w:t>
      </w:r>
      <w:r>
        <w:rPr>
          <w:spacing w:val="-8"/>
        </w:rPr>
        <w:t> </w:t>
      </w:r>
      <w:r>
        <w:rPr/>
        <w:t>society’s</w:t>
      </w:r>
      <w:r>
        <w:rPr>
          <w:spacing w:val="-9"/>
        </w:rPr>
        <w:t> </w:t>
      </w:r>
      <w:r>
        <w:rPr/>
        <w:t>continued need to change gender-based relations of power. As society continues</w:t>
      </w:r>
      <w:r>
        <w:rPr>
          <w:spacing w:val="40"/>
        </w:rPr>
        <w:t> </w:t>
      </w:r>
      <w:r>
        <w:rPr/>
        <w:t>to dismantle the institutions that enable harassment and suppression of women’s voices in our culture, the voices of these female characters Shakespearan canon will continue to remind people that the search for justice and intersectional equality is an ongoing human story. The </w:t>
      </w:r>
      <w:r>
        <w:rPr>
          <w:spacing w:val="-2"/>
        </w:rPr>
        <w:t>“mirror”</w:t>
      </w:r>
      <w:r>
        <w:rPr>
          <w:spacing w:val="-11"/>
        </w:rPr>
        <w:t> </w:t>
      </w:r>
      <w:r>
        <w:rPr>
          <w:spacing w:val="-2"/>
        </w:rPr>
        <w:t>that</w:t>
      </w:r>
      <w:r>
        <w:rPr>
          <w:spacing w:val="-10"/>
        </w:rPr>
        <w:t> </w:t>
      </w:r>
      <w:r>
        <w:rPr>
          <w:spacing w:val="-2"/>
        </w:rPr>
        <w:t>Shakespeare</w:t>
      </w:r>
      <w:r>
        <w:rPr>
          <w:spacing w:val="-11"/>
        </w:rPr>
        <w:t> </w:t>
      </w:r>
      <w:r>
        <w:rPr>
          <w:spacing w:val="-2"/>
        </w:rPr>
        <w:t>used</w:t>
      </w:r>
      <w:r>
        <w:rPr>
          <w:spacing w:val="-10"/>
        </w:rPr>
        <w:t> </w:t>
      </w:r>
      <w:r>
        <w:rPr>
          <w:spacing w:val="-2"/>
        </w:rPr>
        <w:t>to</w:t>
      </w:r>
      <w:r>
        <w:rPr>
          <w:spacing w:val="-9"/>
        </w:rPr>
        <w:t> </w:t>
      </w:r>
      <w:r>
        <w:rPr>
          <w:spacing w:val="-2"/>
        </w:rPr>
        <w:t>portray</w:t>
      </w:r>
      <w:r>
        <w:rPr>
          <w:spacing w:val="-10"/>
        </w:rPr>
        <w:t> </w:t>
      </w:r>
      <w:r>
        <w:rPr>
          <w:spacing w:val="-2"/>
        </w:rPr>
        <w:t>nature</w:t>
      </w:r>
      <w:r>
        <w:rPr>
          <w:spacing w:val="-8"/>
        </w:rPr>
        <w:t> </w:t>
      </w:r>
      <w:r>
        <w:rPr>
          <w:spacing w:val="-2"/>
        </w:rPr>
        <w:t>still</w:t>
      </w:r>
      <w:r>
        <w:rPr>
          <w:spacing w:val="-11"/>
        </w:rPr>
        <w:t> </w:t>
      </w:r>
      <w:r>
        <w:rPr>
          <w:spacing w:val="-2"/>
        </w:rPr>
        <w:t>serves</w:t>
      </w:r>
      <w:r>
        <w:rPr>
          <w:spacing w:val="-10"/>
        </w:rPr>
        <w:t> </w:t>
      </w:r>
      <w:r>
        <w:rPr>
          <w:spacing w:val="-2"/>
        </w:rPr>
        <w:t>as</w:t>
      </w:r>
      <w:r>
        <w:rPr>
          <w:spacing w:val="-11"/>
        </w:rPr>
        <w:t> </w:t>
      </w:r>
      <w:r>
        <w:rPr>
          <w:spacing w:val="-2"/>
        </w:rPr>
        <w:t>a</w:t>
      </w:r>
      <w:r>
        <w:rPr>
          <w:spacing w:val="-6"/>
        </w:rPr>
        <w:t> </w:t>
      </w:r>
      <w:r>
        <w:rPr>
          <w:spacing w:val="-2"/>
        </w:rPr>
        <w:t>reflection </w:t>
      </w:r>
      <w:r>
        <w:rPr/>
        <w:t>of</w:t>
      </w:r>
      <w:r>
        <w:rPr>
          <w:spacing w:val="-9"/>
        </w:rPr>
        <w:t> </w:t>
      </w:r>
      <w:r>
        <w:rPr/>
        <w:t>today’s</w:t>
      </w:r>
      <w:r>
        <w:rPr>
          <w:spacing w:val="-11"/>
        </w:rPr>
        <w:t> </w:t>
      </w:r>
      <w:r>
        <w:rPr/>
        <w:t>world</w:t>
      </w:r>
      <w:r>
        <w:rPr>
          <w:spacing w:val="-7"/>
        </w:rPr>
        <w:t> </w:t>
      </w:r>
      <w:r>
        <w:rPr/>
        <w:t>and</w:t>
      </w:r>
      <w:r>
        <w:rPr>
          <w:spacing w:val="-7"/>
        </w:rPr>
        <w:t> </w:t>
      </w:r>
      <w:r>
        <w:rPr/>
        <w:t>encourages</w:t>
      </w:r>
      <w:r>
        <w:rPr>
          <w:spacing w:val="-12"/>
        </w:rPr>
        <w:t> </w:t>
      </w:r>
      <w:r>
        <w:rPr/>
        <w:t>society</w:t>
      </w:r>
      <w:r>
        <w:rPr>
          <w:spacing w:val="-11"/>
        </w:rPr>
        <w:t> </w:t>
      </w:r>
      <w:r>
        <w:rPr/>
        <w:t>to</w:t>
      </w:r>
      <w:r>
        <w:rPr>
          <w:spacing w:val="-7"/>
        </w:rPr>
        <w:t> </w:t>
      </w:r>
      <w:r>
        <w:rPr/>
        <w:t>resolve</w:t>
      </w:r>
      <w:r>
        <w:rPr>
          <w:spacing w:val="-9"/>
        </w:rPr>
        <w:t> </w:t>
      </w:r>
      <w:r>
        <w:rPr/>
        <w:t>the</w:t>
      </w:r>
      <w:r>
        <w:rPr>
          <w:spacing w:val="-10"/>
        </w:rPr>
        <w:t> </w:t>
      </w:r>
      <w:r>
        <w:rPr/>
        <w:t>conflicts</w:t>
      </w:r>
      <w:r>
        <w:rPr>
          <w:spacing w:val="-9"/>
        </w:rPr>
        <w:t> </w:t>
      </w:r>
      <w:r>
        <w:rPr/>
        <w:t>between independence</w:t>
      </w:r>
      <w:r>
        <w:rPr>
          <w:spacing w:val="27"/>
        </w:rPr>
        <w:t> </w:t>
      </w:r>
      <w:r>
        <w:rPr/>
        <w:t>and</w:t>
      </w:r>
      <w:r>
        <w:rPr>
          <w:spacing w:val="30"/>
        </w:rPr>
        <w:t> </w:t>
      </w:r>
      <w:r>
        <w:rPr/>
        <w:t>oppression</w:t>
      </w:r>
      <w:r>
        <w:rPr>
          <w:spacing w:val="24"/>
        </w:rPr>
        <w:t> </w:t>
      </w:r>
      <w:r>
        <w:rPr/>
        <w:t>as</w:t>
      </w:r>
      <w:r>
        <w:rPr>
          <w:spacing w:val="28"/>
        </w:rPr>
        <w:t> </w:t>
      </w:r>
      <w:r>
        <w:rPr/>
        <w:t>he</w:t>
      </w:r>
      <w:r>
        <w:rPr>
          <w:spacing w:val="28"/>
        </w:rPr>
        <w:t> </w:t>
      </w:r>
      <w:r>
        <w:rPr/>
        <w:t>so</w:t>
      </w:r>
      <w:r>
        <w:rPr>
          <w:spacing w:val="28"/>
        </w:rPr>
        <w:t> </w:t>
      </w:r>
      <w:r>
        <w:rPr/>
        <w:t>eloquently</w:t>
      </w:r>
      <w:r>
        <w:rPr>
          <w:spacing w:val="26"/>
        </w:rPr>
        <w:t> </w:t>
      </w:r>
      <w:r>
        <w:rPr/>
        <w:t>did</w:t>
      </w:r>
      <w:r>
        <w:rPr>
          <w:spacing w:val="28"/>
        </w:rPr>
        <w:t> </w:t>
      </w:r>
      <w:r>
        <w:rPr/>
        <w:t>400</w:t>
      </w:r>
      <w:r>
        <w:rPr>
          <w:spacing w:val="30"/>
        </w:rPr>
        <w:t> </w:t>
      </w:r>
      <w:r>
        <w:rPr/>
        <w:t>years</w:t>
      </w:r>
      <w:r>
        <w:rPr>
          <w:spacing w:val="26"/>
        </w:rPr>
        <w:t> </w:t>
      </w:r>
      <w:r>
        <w:rPr>
          <w:spacing w:val="-4"/>
        </w:rPr>
        <w:t>ago.</w:t>
      </w:r>
    </w:p>
    <w:p>
      <w:pPr>
        <w:pStyle w:val="Heading3"/>
        <w:spacing w:before="144"/>
      </w:pPr>
      <w:r>
        <w:rPr>
          <w:spacing w:val="-2"/>
          <w:w w:val="95"/>
        </w:rPr>
        <w:t>REFERENCES:</w:t>
      </w:r>
    </w:p>
    <w:p>
      <w:pPr>
        <w:pStyle w:val="ListParagraph"/>
        <w:numPr>
          <w:ilvl w:val="0"/>
          <w:numId w:val="21"/>
        </w:numPr>
        <w:tabs>
          <w:tab w:pos="2157" w:val="left" w:leader="none"/>
          <w:tab w:pos="2160" w:val="left" w:leader="none"/>
        </w:tabs>
        <w:spacing w:line="261" w:lineRule="auto" w:before="87" w:after="0"/>
        <w:ind w:left="2160" w:right="1441" w:hanging="315"/>
        <w:jc w:val="left"/>
        <w:rPr>
          <w:sz w:val="19"/>
        </w:rPr>
      </w:pPr>
      <w:r>
        <w:rPr>
          <w:sz w:val="19"/>
        </w:rPr>
        <w:t>Bamber, L. (1982). </w:t>
      </w:r>
      <w:r>
        <w:rPr>
          <w:i/>
          <w:sz w:val="19"/>
        </w:rPr>
        <w:t>Comic women, tragic men: A study of gender and</w:t>
      </w:r>
      <w:r>
        <w:rPr>
          <w:i/>
          <w:spacing w:val="40"/>
          <w:sz w:val="19"/>
        </w:rPr>
        <w:t> </w:t>
      </w:r>
      <w:r>
        <w:rPr>
          <w:i/>
          <w:sz w:val="19"/>
        </w:rPr>
        <w:t>genre</w:t>
      </w:r>
      <w:r>
        <w:rPr>
          <w:i/>
          <w:spacing w:val="40"/>
          <w:sz w:val="19"/>
        </w:rPr>
        <w:t> </w:t>
      </w:r>
      <w:r>
        <w:rPr>
          <w:i/>
          <w:sz w:val="19"/>
        </w:rPr>
        <w:t>in</w:t>
      </w:r>
      <w:r>
        <w:rPr>
          <w:i/>
          <w:spacing w:val="40"/>
          <w:sz w:val="19"/>
        </w:rPr>
        <w:t> </w:t>
      </w:r>
      <w:r>
        <w:rPr>
          <w:i/>
          <w:sz w:val="19"/>
        </w:rPr>
        <w:t>Shakespeare</w:t>
      </w:r>
      <w:r>
        <w:rPr>
          <w:sz w:val="19"/>
        </w:rPr>
        <w:t>.</w:t>
      </w:r>
      <w:r>
        <w:rPr>
          <w:spacing w:val="40"/>
          <w:sz w:val="19"/>
        </w:rPr>
        <w:t> </w:t>
      </w:r>
      <w:r>
        <w:rPr>
          <w:sz w:val="19"/>
        </w:rPr>
        <w:t>Princeton</w:t>
      </w:r>
      <w:r>
        <w:rPr>
          <w:spacing w:val="40"/>
          <w:sz w:val="19"/>
        </w:rPr>
        <w:t> </w:t>
      </w:r>
      <w:r>
        <w:rPr>
          <w:sz w:val="19"/>
        </w:rPr>
        <w:t>University</w:t>
      </w:r>
      <w:r>
        <w:rPr>
          <w:spacing w:val="40"/>
          <w:sz w:val="19"/>
        </w:rPr>
        <w:t> </w:t>
      </w:r>
      <w:r>
        <w:rPr>
          <w:sz w:val="19"/>
        </w:rPr>
        <w:t>Press.</w:t>
      </w:r>
    </w:p>
    <w:p>
      <w:pPr>
        <w:pStyle w:val="ListParagraph"/>
        <w:numPr>
          <w:ilvl w:val="0"/>
          <w:numId w:val="21"/>
        </w:numPr>
        <w:tabs>
          <w:tab w:pos="2157" w:val="left" w:leader="none"/>
          <w:tab w:pos="2160" w:val="left" w:leader="none"/>
        </w:tabs>
        <w:spacing w:line="261" w:lineRule="auto" w:before="59" w:after="0"/>
        <w:ind w:left="2160" w:right="1443" w:hanging="315"/>
        <w:jc w:val="left"/>
        <w:rPr>
          <w:sz w:val="19"/>
        </w:rPr>
      </w:pPr>
      <w:r>
        <w:rPr>
          <w:sz w:val="19"/>
        </w:rPr>
        <w:t>Butler, J. (1990). </w:t>
      </w:r>
      <w:r>
        <w:rPr>
          <w:i/>
          <w:sz w:val="19"/>
        </w:rPr>
        <w:t>Gender trouble: Feminism and the subversion</w:t>
      </w:r>
      <w:r>
        <w:rPr>
          <w:i/>
          <w:spacing w:val="40"/>
          <w:sz w:val="19"/>
        </w:rPr>
        <w:t> </w:t>
      </w:r>
      <w:r>
        <w:rPr>
          <w:i/>
          <w:sz w:val="19"/>
        </w:rPr>
        <w:t>of</w:t>
      </w:r>
      <w:r>
        <w:rPr>
          <w:i/>
          <w:spacing w:val="40"/>
          <w:sz w:val="19"/>
        </w:rPr>
        <w:t> </w:t>
      </w:r>
      <w:r>
        <w:rPr>
          <w:i/>
          <w:sz w:val="19"/>
        </w:rPr>
        <w:t>identity</w:t>
      </w:r>
      <w:r>
        <w:rPr>
          <w:sz w:val="19"/>
        </w:rPr>
        <w:t>.</w:t>
      </w:r>
      <w:r>
        <w:rPr>
          <w:spacing w:val="40"/>
          <w:sz w:val="19"/>
        </w:rPr>
        <w:t> </w:t>
      </w:r>
      <w:r>
        <w:rPr>
          <w:sz w:val="19"/>
        </w:rPr>
        <w:t>Rutledge.</w:t>
      </w:r>
    </w:p>
    <w:p>
      <w:pPr>
        <w:pStyle w:val="ListParagraph"/>
        <w:spacing w:after="0" w:line="261" w:lineRule="auto"/>
        <w:jc w:val="left"/>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0"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679488">
                <wp:simplePos x="0" y="0"/>
                <wp:positionH relativeFrom="page">
                  <wp:posOffset>2065020</wp:posOffset>
                </wp:positionH>
                <wp:positionV relativeFrom="paragraph">
                  <wp:posOffset>162604</wp:posOffset>
                </wp:positionV>
                <wp:extent cx="3657600" cy="12700"/>
                <wp:effectExtent l="0" t="0" r="0" b="0"/>
                <wp:wrapTopAndBottom/>
                <wp:docPr id="302" name="Graphic 302"/>
                <wp:cNvGraphicFramePr>
                  <a:graphicFrameLocks/>
                </wp:cNvGraphicFramePr>
                <a:graphic>
                  <a:graphicData uri="http://schemas.microsoft.com/office/word/2010/wordprocessingShape">
                    <wps:wsp>
                      <wps:cNvPr id="302" name="Graphic 30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36992;mso-wrap-distance-left:0;mso-wrap-distance-right:0" id="docshape298" filled="true" fillcolor="#000000" stroked="false">
                <v:fill type="solid"/>
                <w10:wrap type="topAndBottom"/>
              </v:rect>
            </w:pict>
          </mc:Fallback>
        </mc:AlternateContent>
      </w:r>
      <w:r>
        <w:rPr>
          <w:rFonts w:ascii="Verdana"/>
          <w:spacing w:val="-2"/>
          <w:sz w:val="18"/>
        </w:rPr>
        <w:t>The</w:t>
      </w:r>
      <w:r>
        <w:rPr>
          <w:rFonts w:ascii="Verdana"/>
          <w:spacing w:val="-6"/>
          <w:sz w:val="18"/>
        </w:rPr>
        <w:t> </w:t>
      </w:r>
      <w:r>
        <w:rPr>
          <w:rFonts w:ascii="Verdana"/>
          <w:spacing w:val="-2"/>
          <w:sz w:val="18"/>
        </w:rPr>
        <w:t>Shakespearean</w:t>
      </w:r>
      <w:r>
        <w:rPr>
          <w:rFonts w:ascii="Verdana"/>
          <w:spacing w:val="-4"/>
          <w:sz w:val="18"/>
        </w:rPr>
        <w:t> </w:t>
      </w:r>
      <w:r>
        <w:rPr>
          <w:rFonts w:ascii="Verdana"/>
          <w:spacing w:val="-2"/>
          <w:sz w:val="18"/>
        </w:rPr>
        <w:t>Mirror:</w:t>
      </w:r>
      <w:r>
        <w:rPr>
          <w:rFonts w:ascii="Verdana"/>
          <w:spacing w:val="-7"/>
          <w:sz w:val="18"/>
        </w:rPr>
        <w:t> </w:t>
      </w:r>
      <w:r>
        <w:rPr>
          <w:rFonts w:ascii="Verdana"/>
          <w:spacing w:val="-2"/>
          <w:sz w:val="18"/>
        </w:rPr>
        <w:t>Analyzing</w:t>
      </w:r>
      <w:r>
        <w:rPr>
          <w:rFonts w:ascii="Verdana"/>
          <w:spacing w:val="-6"/>
          <w:sz w:val="18"/>
        </w:rPr>
        <w:t> </w:t>
      </w:r>
      <w:r>
        <w:rPr>
          <w:rFonts w:ascii="Verdana"/>
          <w:spacing w:val="-2"/>
          <w:sz w:val="18"/>
        </w:rPr>
        <w:t>Gender,</w:t>
      </w:r>
      <w:r>
        <w:rPr>
          <w:rFonts w:ascii="Verdana"/>
          <w:spacing w:val="-7"/>
          <w:sz w:val="18"/>
        </w:rPr>
        <w:t> </w:t>
      </w:r>
      <w:r>
        <w:rPr>
          <w:rFonts w:ascii="Verdana"/>
          <w:spacing w:val="-2"/>
          <w:sz w:val="18"/>
        </w:rPr>
        <w:t>Patriarchy...</w:t>
      </w:r>
      <w:r>
        <w:rPr>
          <w:rFonts w:ascii="Verdana"/>
          <w:sz w:val="18"/>
        </w:rPr>
        <w:tab/>
      </w:r>
      <w:r>
        <w:rPr>
          <w:rFonts w:ascii="Verdana"/>
          <w:spacing w:val="-5"/>
          <w:sz w:val="18"/>
        </w:rPr>
        <w:t>101</w:t>
      </w:r>
    </w:p>
    <w:p>
      <w:pPr>
        <w:pStyle w:val="ListParagraph"/>
        <w:numPr>
          <w:ilvl w:val="0"/>
          <w:numId w:val="21"/>
        </w:numPr>
        <w:tabs>
          <w:tab w:pos="2157" w:val="left" w:leader="none"/>
          <w:tab w:pos="2160" w:val="left" w:leader="none"/>
        </w:tabs>
        <w:spacing w:line="261" w:lineRule="auto" w:before="199" w:after="0"/>
        <w:ind w:left="2160" w:right="1436" w:hanging="315"/>
        <w:jc w:val="both"/>
        <w:rPr>
          <w:sz w:val="19"/>
        </w:rPr>
      </w:pPr>
      <w:r>
        <w:rPr>
          <w:spacing w:val="10"/>
          <w:sz w:val="19"/>
        </w:rPr>
        <w:t>Callaghan,</w:t>
      </w:r>
      <w:r>
        <w:rPr>
          <w:spacing w:val="10"/>
          <w:sz w:val="19"/>
        </w:rPr>
        <w:t> </w:t>
      </w:r>
      <w:r>
        <w:rPr>
          <w:sz w:val="19"/>
        </w:rPr>
        <w:t>D. </w:t>
      </w:r>
      <w:r>
        <w:rPr>
          <w:spacing w:val="10"/>
          <w:sz w:val="19"/>
        </w:rPr>
        <w:t>(2000).</w:t>
      </w:r>
      <w:r>
        <w:rPr>
          <w:spacing w:val="10"/>
          <w:sz w:val="19"/>
        </w:rPr>
        <w:t> </w:t>
      </w:r>
      <w:r>
        <w:rPr>
          <w:i/>
          <w:spacing w:val="11"/>
          <w:sz w:val="19"/>
        </w:rPr>
        <w:t>Shakespeare</w:t>
      </w:r>
      <w:r>
        <w:rPr>
          <w:i/>
          <w:spacing w:val="11"/>
          <w:sz w:val="19"/>
        </w:rPr>
        <w:t> </w:t>
      </w:r>
      <w:r>
        <w:rPr>
          <w:i/>
          <w:spacing w:val="10"/>
          <w:sz w:val="19"/>
        </w:rPr>
        <w:t>without</w:t>
      </w:r>
      <w:r>
        <w:rPr>
          <w:i/>
          <w:spacing w:val="10"/>
          <w:sz w:val="19"/>
        </w:rPr>
        <w:t> women: </w:t>
      </w:r>
      <w:r>
        <w:rPr>
          <w:i/>
          <w:sz w:val="19"/>
        </w:rPr>
        <w:t>Representing race and gender on the renaissance stage</w:t>
      </w:r>
      <w:r>
        <w:rPr>
          <w:sz w:val="19"/>
        </w:rPr>
        <w:t>.</w:t>
      </w:r>
      <w:r>
        <w:rPr>
          <w:spacing w:val="80"/>
          <w:sz w:val="19"/>
        </w:rPr>
        <w:t> </w:t>
      </w:r>
      <w:r>
        <w:rPr>
          <w:spacing w:val="-2"/>
          <w:sz w:val="19"/>
        </w:rPr>
        <w:t>Rutledge.</w:t>
      </w:r>
    </w:p>
    <w:p>
      <w:pPr>
        <w:pStyle w:val="ListParagraph"/>
        <w:numPr>
          <w:ilvl w:val="0"/>
          <w:numId w:val="21"/>
        </w:numPr>
        <w:tabs>
          <w:tab w:pos="2157" w:val="left" w:leader="none"/>
          <w:tab w:pos="2160" w:val="left" w:leader="none"/>
        </w:tabs>
        <w:spacing w:line="261" w:lineRule="auto" w:before="58" w:after="0"/>
        <w:ind w:left="2160" w:right="1439" w:hanging="315"/>
        <w:jc w:val="both"/>
        <w:rPr>
          <w:sz w:val="19"/>
        </w:rPr>
      </w:pPr>
      <w:r>
        <w:rPr>
          <w:sz w:val="19"/>
        </w:rPr>
        <w:t>Crenshaw, K. (1989). Demarginalizing the intersection of race</w:t>
      </w:r>
      <w:r>
        <w:rPr>
          <w:spacing w:val="40"/>
          <w:sz w:val="19"/>
        </w:rPr>
        <w:t> </w:t>
      </w:r>
      <w:r>
        <w:rPr>
          <w:sz w:val="19"/>
        </w:rPr>
        <w:t>and sex: A black feminist critique of antidiscrimination doctrine, feminist theory and antiracist politics. </w:t>
      </w:r>
      <w:r>
        <w:rPr>
          <w:i/>
          <w:sz w:val="19"/>
        </w:rPr>
        <w:t>University of Chicago Legal</w:t>
      </w:r>
      <w:r>
        <w:rPr>
          <w:i/>
          <w:spacing w:val="40"/>
          <w:sz w:val="19"/>
        </w:rPr>
        <w:t> </w:t>
      </w:r>
      <w:r>
        <w:rPr>
          <w:i/>
          <w:sz w:val="19"/>
        </w:rPr>
        <w:t>Forum</w:t>
      </w:r>
      <w:r>
        <w:rPr>
          <w:sz w:val="19"/>
        </w:rPr>
        <w:t>,</w:t>
      </w:r>
      <w:r>
        <w:rPr>
          <w:spacing w:val="40"/>
          <w:sz w:val="19"/>
        </w:rPr>
        <w:t> </w:t>
      </w:r>
      <w:r>
        <w:rPr>
          <w:i/>
          <w:sz w:val="19"/>
        </w:rPr>
        <w:t>1989</w:t>
      </w:r>
      <w:r>
        <w:rPr>
          <w:sz w:val="19"/>
        </w:rPr>
        <w:t>(1),</w:t>
      </w:r>
      <w:r>
        <w:rPr>
          <w:spacing w:val="40"/>
          <w:sz w:val="19"/>
        </w:rPr>
        <w:t> </w:t>
      </w:r>
      <w:r>
        <w:rPr>
          <w:sz w:val="19"/>
        </w:rPr>
        <w:t>139-167.</w:t>
      </w:r>
    </w:p>
    <w:p>
      <w:pPr>
        <w:pStyle w:val="ListParagraph"/>
        <w:numPr>
          <w:ilvl w:val="0"/>
          <w:numId w:val="21"/>
        </w:numPr>
        <w:tabs>
          <w:tab w:pos="2157" w:val="left" w:leader="none"/>
          <w:tab w:pos="2160" w:val="left" w:leader="none"/>
        </w:tabs>
        <w:spacing w:line="264" w:lineRule="auto" w:before="56" w:after="0"/>
        <w:ind w:left="2160" w:right="1438" w:hanging="315"/>
        <w:jc w:val="both"/>
        <w:rPr>
          <w:sz w:val="19"/>
        </w:rPr>
      </w:pPr>
      <w:r>
        <w:rPr>
          <w:sz w:val="19"/>
        </w:rPr>
        <w:t>Dusinberre, J. (1975). </w:t>
      </w:r>
      <w:r>
        <w:rPr>
          <w:i/>
          <w:sz w:val="19"/>
        </w:rPr>
        <w:t>Shakespeare and the nature of women</w:t>
      </w:r>
      <w:r>
        <w:rPr>
          <w:sz w:val="19"/>
        </w:rPr>
        <w:t>. </w:t>
      </w:r>
      <w:r>
        <w:rPr>
          <w:spacing w:val="-2"/>
          <w:sz w:val="19"/>
        </w:rPr>
        <w:t>Macmillan.</w:t>
      </w:r>
    </w:p>
    <w:p>
      <w:pPr>
        <w:pStyle w:val="ListParagraph"/>
        <w:numPr>
          <w:ilvl w:val="0"/>
          <w:numId w:val="21"/>
        </w:numPr>
        <w:tabs>
          <w:tab w:pos="2157" w:val="left" w:leader="none"/>
          <w:tab w:pos="2160" w:val="left" w:leader="none"/>
        </w:tabs>
        <w:spacing w:line="261" w:lineRule="auto" w:before="54" w:after="0"/>
        <w:ind w:left="2160" w:right="1438" w:hanging="315"/>
        <w:jc w:val="both"/>
        <w:rPr>
          <w:sz w:val="19"/>
        </w:rPr>
      </w:pPr>
      <w:r>
        <w:rPr>
          <w:sz w:val="19"/>
        </w:rPr>
        <w:t>Greenblatt, S. (2004). </w:t>
      </w:r>
      <w:r>
        <w:rPr>
          <w:i/>
          <w:sz w:val="19"/>
        </w:rPr>
        <w:t>Will in the world: How Shakespeare became</w:t>
      </w:r>
      <w:r>
        <w:rPr>
          <w:i/>
          <w:spacing w:val="40"/>
          <w:sz w:val="19"/>
        </w:rPr>
        <w:t> </w:t>
      </w:r>
      <w:r>
        <w:rPr>
          <w:i/>
          <w:sz w:val="19"/>
        </w:rPr>
        <w:t>Shakespeare</w:t>
      </w:r>
      <w:r>
        <w:rPr>
          <w:sz w:val="19"/>
        </w:rPr>
        <w:t>.</w:t>
      </w:r>
      <w:r>
        <w:rPr>
          <w:spacing w:val="40"/>
          <w:sz w:val="19"/>
        </w:rPr>
        <w:t> </w:t>
      </w:r>
      <w:r>
        <w:rPr>
          <w:sz w:val="19"/>
        </w:rPr>
        <w:t>W.</w:t>
      </w:r>
      <w:r>
        <w:rPr>
          <w:spacing w:val="40"/>
          <w:sz w:val="19"/>
        </w:rPr>
        <w:t> </w:t>
      </w:r>
      <w:r>
        <w:rPr>
          <w:sz w:val="19"/>
        </w:rPr>
        <w:t>W.</w:t>
      </w:r>
      <w:r>
        <w:rPr>
          <w:spacing w:val="40"/>
          <w:sz w:val="19"/>
        </w:rPr>
        <w:t> </w:t>
      </w:r>
      <w:r>
        <w:rPr>
          <w:sz w:val="19"/>
        </w:rPr>
        <w:t>Norton</w:t>
      </w:r>
      <w:r>
        <w:rPr>
          <w:spacing w:val="40"/>
          <w:sz w:val="19"/>
        </w:rPr>
        <w:t> </w:t>
      </w:r>
      <w:r>
        <w:rPr>
          <w:sz w:val="19"/>
        </w:rPr>
        <w:t>&amp;</w:t>
      </w:r>
      <w:r>
        <w:rPr>
          <w:spacing w:val="40"/>
          <w:sz w:val="19"/>
        </w:rPr>
        <w:t> </w:t>
      </w:r>
      <w:r>
        <w:rPr>
          <w:sz w:val="19"/>
        </w:rPr>
        <w:t>Company.</w:t>
      </w:r>
    </w:p>
    <w:p>
      <w:pPr>
        <w:pStyle w:val="ListParagraph"/>
        <w:numPr>
          <w:ilvl w:val="0"/>
          <w:numId w:val="21"/>
        </w:numPr>
        <w:tabs>
          <w:tab w:pos="2157" w:val="left" w:leader="none"/>
          <w:tab w:pos="2160" w:val="left" w:leader="none"/>
        </w:tabs>
        <w:spacing w:line="264" w:lineRule="auto" w:before="57" w:after="0"/>
        <w:ind w:left="2160" w:right="1438" w:hanging="315"/>
        <w:jc w:val="both"/>
        <w:rPr>
          <w:sz w:val="19"/>
        </w:rPr>
      </w:pPr>
      <w:r>
        <w:rPr>
          <w:sz w:val="19"/>
        </w:rPr>
        <w:t>hooks,</w:t>
      </w:r>
      <w:r>
        <w:rPr>
          <w:spacing w:val="40"/>
          <w:sz w:val="19"/>
        </w:rPr>
        <w:t> </w:t>
      </w:r>
      <w:r>
        <w:rPr>
          <w:sz w:val="19"/>
        </w:rPr>
        <w:t>b.</w:t>
      </w:r>
      <w:r>
        <w:rPr>
          <w:spacing w:val="40"/>
          <w:sz w:val="19"/>
        </w:rPr>
        <w:t> </w:t>
      </w:r>
      <w:r>
        <w:rPr>
          <w:sz w:val="19"/>
        </w:rPr>
        <w:t>(1984).</w:t>
      </w:r>
      <w:r>
        <w:rPr>
          <w:spacing w:val="40"/>
          <w:sz w:val="19"/>
        </w:rPr>
        <w:t> </w:t>
      </w:r>
      <w:r>
        <w:rPr>
          <w:i/>
          <w:sz w:val="19"/>
        </w:rPr>
        <w:t>Feminist</w:t>
      </w:r>
      <w:r>
        <w:rPr>
          <w:i/>
          <w:spacing w:val="40"/>
          <w:sz w:val="19"/>
        </w:rPr>
        <w:t> </w:t>
      </w:r>
      <w:r>
        <w:rPr>
          <w:i/>
          <w:sz w:val="19"/>
        </w:rPr>
        <w:t>theory:</w:t>
      </w:r>
      <w:r>
        <w:rPr>
          <w:i/>
          <w:spacing w:val="40"/>
          <w:sz w:val="19"/>
        </w:rPr>
        <w:t> </w:t>
      </w:r>
      <w:r>
        <w:rPr>
          <w:i/>
          <w:sz w:val="19"/>
        </w:rPr>
        <w:t>From</w:t>
      </w:r>
      <w:r>
        <w:rPr>
          <w:i/>
          <w:spacing w:val="40"/>
          <w:sz w:val="19"/>
        </w:rPr>
        <w:t> </w:t>
      </w:r>
      <w:r>
        <w:rPr>
          <w:i/>
          <w:sz w:val="19"/>
        </w:rPr>
        <w:t>margin</w:t>
      </w:r>
      <w:r>
        <w:rPr>
          <w:i/>
          <w:spacing w:val="40"/>
          <w:sz w:val="19"/>
        </w:rPr>
        <w:t> </w:t>
      </w:r>
      <w:r>
        <w:rPr>
          <w:i/>
          <w:sz w:val="19"/>
        </w:rPr>
        <w:t>to</w:t>
      </w:r>
      <w:r>
        <w:rPr>
          <w:i/>
          <w:spacing w:val="40"/>
          <w:sz w:val="19"/>
        </w:rPr>
        <w:t> </w:t>
      </w:r>
      <w:r>
        <w:rPr>
          <w:i/>
          <w:sz w:val="19"/>
        </w:rPr>
        <w:t>center</w:t>
      </w:r>
      <w:r>
        <w:rPr>
          <w:sz w:val="19"/>
        </w:rPr>
        <w:t>. South</w:t>
      </w:r>
      <w:r>
        <w:rPr>
          <w:spacing w:val="40"/>
          <w:sz w:val="19"/>
        </w:rPr>
        <w:t> </w:t>
      </w:r>
      <w:r>
        <w:rPr>
          <w:sz w:val="19"/>
        </w:rPr>
        <w:t>End</w:t>
      </w:r>
      <w:r>
        <w:rPr>
          <w:spacing w:val="40"/>
          <w:sz w:val="19"/>
        </w:rPr>
        <w:t> </w:t>
      </w:r>
      <w:r>
        <w:rPr>
          <w:sz w:val="19"/>
        </w:rPr>
        <w:t>Press.</w:t>
      </w:r>
    </w:p>
    <w:p>
      <w:pPr>
        <w:pStyle w:val="ListParagraph"/>
        <w:numPr>
          <w:ilvl w:val="0"/>
          <w:numId w:val="21"/>
        </w:numPr>
        <w:tabs>
          <w:tab w:pos="2157" w:val="left" w:leader="none"/>
          <w:tab w:pos="2160" w:val="left" w:leader="none"/>
        </w:tabs>
        <w:spacing w:line="261" w:lineRule="auto" w:before="54" w:after="0"/>
        <w:ind w:left="2160" w:right="1439" w:hanging="315"/>
        <w:jc w:val="both"/>
        <w:rPr>
          <w:sz w:val="19"/>
        </w:rPr>
      </w:pPr>
      <w:r>
        <w:rPr>
          <w:sz w:val="19"/>
        </w:rPr>
        <w:t>Jardine, L. (1983). </w:t>
      </w:r>
      <w:r>
        <w:rPr>
          <w:i/>
          <w:sz w:val="19"/>
        </w:rPr>
        <w:t>Still harping on daughters: Women and</w:t>
      </w:r>
      <w:r>
        <w:rPr>
          <w:i/>
          <w:spacing w:val="80"/>
          <w:sz w:val="19"/>
        </w:rPr>
        <w:t> </w:t>
      </w:r>
      <w:r>
        <w:rPr>
          <w:i/>
          <w:sz w:val="19"/>
        </w:rPr>
        <w:t>drama</w:t>
      </w:r>
      <w:r>
        <w:rPr>
          <w:i/>
          <w:spacing w:val="40"/>
          <w:sz w:val="19"/>
        </w:rPr>
        <w:t> </w:t>
      </w:r>
      <w:r>
        <w:rPr>
          <w:i/>
          <w:sz w:val="19"/>
        </w:rPr>
        <w:t>in</w:t>
      </w:r>
      <w:r>
        <w:rPr>
          <w:i/>
          <w:spacing w:val="40"/>
          <w:sz w:val="19"/>
        </w:rPr>
        <w:t> </w:t>
      </w:r>
      <w:r>
        <w:rPr>
          <w:i/>
          <w:sz w:val="19"/>
        </w:rPr>
        <w:t>the</w:t>
      </w:r>
      <w:r>
        <w:rPr>
          <w:i/>
          <w:spacing w:val="37"/>
          <w:sz w:val="19"/>
        </w:rPr>
        <w:t> </w:t>
      </w:r>
      <w:r>
        <w:rPr>
          <w:i/>
          <w:sz w:val="19"/>
        </w:rPr>
        <w:t>age</w:t>
      </w:r>
      <w:r>
        <w:rPr>
          <w:i/>
          <w:spacing w:val="38"/>
          <w:sz w:val="19"/>
        </w:rPr>
        <w:t> </w:t>
      </w:r>
      <w:r>
        <w:rPr>
          <w:i/>
          <w:sz w:val="19"/>
        </w:rPr>
        <w:t>of</w:t>
      </w:r>
      <w:r>
        <w:rPr>
          <w:i/>
          <w:spacing w:val="38"/>
          <w:sz w:val="19"/>
        </w:rPr>
        <w:t> </w:t>
      </w:r>
      <w:r>
        <w:rPr>
          <w:i/>
          <w:sz w:val="19"/>
        </w:rPr>
        <w:t>Shakespeare</w:t>
      </w:r>
      <w:r>
        <w:rPr>
          <w:sz w:val="19"/>
        </w:rPr>
        <w:t>.</w:t>
      </w:r>
      <w:r>
        <w:rPr>
          <w:spacing w:val="40"/>
          <w:sz w:val="19"/>
        </w:rPr>
        <w:t> </w:t>
      </w:r>
      <w:r>
        <w:rPr>
          <w:sz w:val="19"/>
        </w:rPr>
        <w:t>Columbia</w:t>
      </w:r>
      <w:r>
        <w:rPr>
          <w:spacing w:val="40"/>
          <w:sz w:val="19"/>
        </w:rPr>
        <w:t> </w:t>
      </w:r>
      <w:r>
        <w:rPr>
          <w:sz w:val="19"/>
        </w:rPr>
        <w:t>University</w:t>
      </w:r>
      <w:r>
        <w:rPr>
          <w:spacing w:val="36"/>
          <w:sz w:val="19"/>
        </w:rPr>
        <w:t> </w:t>
      </w:r>
      <w:r>
        <w:rPr>
          <w:sz w:val="19"/>
        </w:rPr>
        <w:t>Press.</w:t>
      </w:r>
    </w:p>
    <w:p>
      <w:pPr>
        <w:pStyle w:val="ListParagraph"/>
        <w:numPr>
          <w:ilvl w:val="0"/>
          <w:numId w:val="21"/>
        </w:numPr>
        <w:tabs>
          <w:tab w:pos="2157" w:val="left" w:leader="none"/>
          <w:tab w:pos="2160" w:val="left" w:leader="none"/>
        </w:tabs>
        <w:spacing w:line="261" w:lineRule="auto" w:before="57" w:after="0"/>
        <w:ind w:left="2160" w:right="1433" w:hanging="315"/>
        <w:jc w:val="both"/>
        <w:rPr>
          <w:sz w:val="19"/>
        </w:rPr>
      </w:pPr>
      <w:r>
        <w:rPr>
          <w:sz w:val="19"/>
        </w:rPr>
        <w:t>Lenz, C. R. S., Greene, G., &amp; Neely, C. T. (Eds.). (1980). </w:t>
      </w:r>
      <w:r>
        <w:rPr>
          <w:i/>
          <w:sz w:val="19"/>
        </w:rPr>
        <w:t>The woman’s</w:t>
      </w:r>
      <w:r>
        <w:rPr>
          <w:i/>
          <w:spacing w:val="40"/>
          <w:sz w:val="19"/>
        </w:rPr>
        <w:t> </w:t>
      </w:r>
      <w:r>
        <w:rPr>
          <w:i/>
          <w:sz w:val="19"/>
        </w:rPr>
        <w:t>part:</w:t>
      </w:r>
      <w:r>
        <w:rPr>
          <w:i/>
          <w:spacing w:val="40"/>
          <w:sz w:val="19"/>
        </w:rPr>
        <w:t> </w:t>
      </w:r>
      <w:r>
        <w:rPr>
          <w:i/>
          <w:sz w:val="19"/>
        </w:rPr>
        <w:t>Feminist</w:t>
      </w:r>
      <w:r>
        <w:rPr>
          <w:i/>
          <w:spacing w:val="40"/>
          <w:sz w:val="19"/>
        </w:rPr>
        <w:t> </w:t>
      </w:r>
      <w:r>
        <w:rPr>
          <w:i/>
          <w:sz w:val="19"/>
        </w:rPr>
        <w:t>criticism</w:t>
      </w:r>
      <w:r>
        <w:rPr>
          <w:i/>
          <w:spacing w:val="40"/>
          <w:sz w:val="19"/>
        </w:rPr>
        <w:t> </w:t>
      </w:r>
      <w:r>
        <w:rPr>
          <w:i/>
          <w:sz w:val="19"/>
        </w:rPr>
        <w:t>of</w:t>
      </w:r>
      <w:r>
        <w:rPr>
          <w:i/>
          <w:spacing w:val="40"/>
          <w:sz w:val="19"/>
        </w:rPr>
        <w:t> </w:t>
      </w:r>
      <w:r>
        <w:rPr>
          <w:i/>
          <w:sz w:val="19"/>
        </w:rPr>
        <w:t>Shakespeare</w:t>
      </w:r>
      <w:r>
        <w:rPr>
          <w:sz w:val="19"/>
        </w:rPr>
        <w:t>.</w:t>
      </w:r>
      <w:r>
        <w:rPr>
          <w:spacing w:val="40"/>
          <w:sz w:val="19"/>
        </w:rPr>
        <w:t> </w:t>
      </w:r>
      <w:r>
        <w:rPr>
          <w:sz w:val="19"/>
        </w:rPr>
        <w:t>University</w:t>
      </w:r>
      <w:r>
        <w:rPr>
          <w:spacing w:val="40"/>
          <w:sz w:val="19"/>
        </w:rPr>
        <w:t> </w:t>
      </w:r>
      <w:r>
        <w:rPr>
          <w:sz w:val="19"/>
        </w:rPr>
        <w:t>of</w:t>
      </w:r>
      <w:r>
        <w:rPr>
          <w:spacing w:val="40"/>
          <w:sz w:val="19"/>
        </w:rPr>
        <w:t> </w:t>
      </w:r>
      <w:r>
        <w:rPr>
          <w:sz w:val="19"/>
        </w:rPr>
        <w:t>Illinois</w:t>
      </w:r>
      <w:r>
        <w:rPr>
          <w:spacing w:val="40"/>
          <w:sz w:val="19"/>
        </w:rPr>
        <w:t> </w:t>
      </w:r>
      <w:r>
        <w:rPr>
          <w:sz w:val="19"/>
        </w:rPr>
        <w:t>Press.</w:t>
      </w:r>
    </w:p>
    <w:p>
      <w:pPr>
        <w:pStyle w:val="ListParagraph"/>
        <w:numPr>
          <w:ilvl w:val="0"/>
          <w:numId w:val="21"/>
        </w:numPr>
        <w:tabs>
          <w:tab w:pos="2157" w:val="left" w:leader="none"/>
          <w:tab w:pos="2160" w:val="left" w:leader="none"/>
        </w:tabs>
        <w:spacing w:line="261" w:lineRule="auto" w:before="58" w:after="0"/>
        <w:ind w:left="2160" w:right="1438" w:hanging="406"/>
        <w:jc w:val="both"/>
        <w:rPr>
          <w:sz w:val="19"/>
        </w:rPr>
      </w:pPr>
      <w:r>
        <w:rPr>
          <w:sz w:val="19"/>
        </w:rPr>
        <w:t>Neely, C. T. (1985). </w:t>
      </w:r>
      <w:r>
        <w:rPr>
          <w:i/>
          <w:sz w:val="19"/>
        </w:rPr>
        <w:t>Broken nuptials in Shakespeare’s plays</w:t>
      </w:r>
      <w:r>
        <w:rPr>
          <w:sz w:val="19"/>
        </w:rPr>
        <w:t>.</w:t>
      </w:r>
      <w:r>
        <w:rPr>
          <w:spacing w:val="80"/>
          <w:sz w:val="19"/>
        </w:rPr>
        <w:t> </w:t>
      </w:r>
      <w:r>
        <w:rPr>
          <w:sz w:val="19"/>
        </w:rPr>
        <w:t>Yale</w:t>
      </w:r>
      <w:r>
        <w:rPr>
          <w:spacing w:val="40"/>
          <w:sz w:val="19"/>
        </w:rPr>
        <w:t> </w:t>
      </w:r>
      <w:r>
        <w:rPr>
          <w:sz w:val="19"/>
        </w:rPr>
        <w:t>University</w:t>
      </w:r>
      <w:r>
        <w:rPr>
          <w:spacing w:val="40"/>
          <w:sz w:val="19"/>
        </w:rPr>
        <w:t> </w:t>
      </w:r>
      <w:r>
        <w:rPr>
          <w:sz w:val="19"/>
        </w:rPr>
        <w:t>Press.</w:t>
      </w:r>
    </w:p>
    <w:p>
      <w:pPr>
        <w:pStyle w:val="ListParagraph"/>
        <w:numPr>
          <w:ilvl w:val="0"/>
          <w:numId w:val="21"/>
        </w:numPr>
        <w:tabs>
          <w:tab w:pos="2157" w:val="left" w:leader="none"/>
          <w:tab w:pos="2160" w:val="left" w:leader="none"/>
        </w:tabs>
        <w:spacing w:line="261" w:lineRule="auto" w:before="59" w:after="0"/>
        <w:ind w:left="2160" w:right="1435" w:hanging="406"/>
        <w:jc w:val="both"/>
        <w:rPr>
          <w:sz w:val="19"/>
        </w:rPr>
      </w:pPr>
      <w:r>
        <w:rPr>
          <w:sz w:val="19"/>
        </w:rPr>
        <w:t>Rackin, P. (2005). </w:t>
      </w:r>
      <w:r>
        <w:rPr>
          <w:i/>
          <w:sz w:val="19"/>
        </w:rPr>
        <w:t>Shakespeare and women</w:t>
      </w:r>
      <w:r>
        <w:rPr>
          <w:sz w:val="19"/>
        </w:rPr>
        <w:t>. Oxford University </w:t>
      </w:r>
      <w:r>
        <w:rPr>
          <w:spacing w:val="-2"/>
          <w:sz w:val="19"/>
        </w:rPr>
        <w:t>Press.</w:t>
      </w:r>
    </w:p>
    <w:p>
      <w:pPr>
        <w:pStyle w:val="ListParagraph"/>
        <w:numPr>
          <w:ilvl w:val="0"/>
          <w:numId w:val="21"/>
        </w:numPr>
        <w:tabs>
          <w:tab w:pos="2157" w:val="left" w:leader="none"/>
          <w:tab w:pos="2160" w:val="left" w:leader="none"/>
        </w:tabs>
        <w:spacing w:line="261" w:lineRule="auto" w:before="57" w:after="0"/>
        <w:ind w:left="2160" w:right="1439" w:hanging="406"/>
        <w:jc w:val="both"/>
        <w:rPr>
          <w:sz w:val="19"/>
        </w:rPr>
      </w:pPr>
      <w:r>
        <w:rPr>
          <w:sz w:val="19"/>
        </w:rPr>
        <w:t>Shakespeare, W. (2004). </w:t>
      </w:r>
      <w:r>
        <w:rPr>
          <w:i/>
          <w:sz w:val="19"/>
        </w:rPr>
        <w:t>Othello </w:t>
      </w:r>
      <w:r>
        <w:rPr>
          <w:sz w:val="19"/>
        </w:rPr>
        <w:t>(N. Sanders, Ed.). Cambridge University</w:t>
      </w:r>
      <w:r>
        <w:rPr>
          <w:spacing w:val="40"/>
          <w:sz w:val="19"/>
        </w:rPr>
        <w:t> </w:t>
      </w:r>
      <w:r>
        <w:rPr>
          <w:sz w:val="19"/>
        </w:rPr>
        <w:t>Press.</w:t>
      </w:r>
      <w:r>
        <w:rPr>
          <w:spacing w:val="40"/>
          <w:sz w:val="19"/>
        </w:rPr>
        <w:t> </w:t>
      </w:r>
      <w:r>
        <w:rPr>
          <w:sz w:val="19"/>
        </w:rPr>
        <w:t>(Original</w:t>
      </w:r>
      <w:r>
        <w:rPr>
          <w:spacing w:val="40"/>
          <w:sz w:val="19"/>
        </w:rPr>
        <w:t> </w:t>
      </w:r>
      <w:r>
        <w:rPr>
          <w:sz w:val="19"/>
        </w:rPr>
        <w:t>work</w:t>
      </w:r>
      <w:r>
        <w:rPr>
          <w:spacing w:val="40"/>
          <w:sz w:val="19"/>
        </w:rPr>
        <w:t> </w:t>
      </w:r>
      <w:r>
        <w:rPr>
          <w:sz w:val="19"/>
        </w:rPr>
        <w:t>published</w:t>
      </w:r>
      <w:r>
        <w:rPr>
          <w:spacing w:val="40"/>
          <w:sz w:val="19"/>
        </w:rPr>
        <w:t> </w:t>
      </w:r>
      <w:r>
        <w:rPr>
          <w:sz w:val="19"/>
        </w:rPr>
        <w:t>1603)</w:t>
      </w:r>
    </w:p>
    <w:p>
      <w:pPr>
        <w:pStyle w:val="ListParagraph"/>
        <w:numPr>
          <w:ilvl w:val="0"/>
          <w:numId w:val="21"/>
        </w:numPr>
        <w:tabs>
          <w:tab w:pos="2157" w:val="left" w:leader="none"/>
          <w:tab w:pos="2160" w:val="left" w:leader="none"/>
        </w:tabs>
        <w:spacing w:line="261" w:lineRule="auto" w:before="59" w:after="0"/>
        <w:ind w:left="2160" w:right="1438" w:hanging="406"/>
        <w:jc w:val="both"/>
        <w:rPr>
          <w:sz w:val="19"/>
        </w:rPr>
      </w:pPr>
      <w:r>
        <w:rPr>
          <w:sz w:val="19"/>
        </w:rPr>
        <w:t>Shakespeare, W. (2005). </w:t>
      </w:r>
      <w:r>
        <w:rPr>
          <w:i/>
          <w:sz w:val="19"/>
        </w:rPr>
        <w:t>The complete works </w:t>
      </w:r>
      <w:r>
        <w:rPr>
          <w:sz w:val="19"/>
        </w:rPr>
        <w:t>(G. Taylor &amp; S. Wells, Eds.; 2nd ed.). Oxford University Press. (Original works published</w:t>
      </w:r>
      <w:r>
        <w:rPr>
          <w:spacing w:val="40"/>
          <w:sz w:val="19"/>
        </w:rPr>
        <w:t> </w:t>
      </w:r>
      <w:r>
        <w:rPr>
          <w:sz w:val="19"/>
        </w:rPr>
        <w:t>1590-1613)</w:t>
      </w:r>
    </w:p>
    <w:p>
      <w:pPr>
        <w:pStyle w:val="ListParagraph"/>
        <w:numPr>
          <w:ilvl w:val="0"/>
          <w:numId w:val="21"/>
        </w:numPr>
        <w:tabs>
          <w:tab w:pos="2157" w:val="left" w:leader="none"/>
          <w:tab w:pos="2160" w:val="left" w:leader="none"/>
        </w:tabs>
        <w:spacing w:line="261" w:lineRule="auto" w:before="56" w:after="0"/>
        <w:ind w:left="2160" w:right="1438" w:hanging="406"/>
        <w:jc w:val="both"/>
        <w:rPr>
          <w:sz w:val="19"/>
        </w:rPr>
      </w:pPr>
      <w:r>
        <w:rPr>
          <w:sz w:val="19"/>
        </w:rPr>
        <w:t>Showalter, E. (1985). Representing Ophelia: Women, madness, and the responsibilities of feminist criticism. In P. Parker &amp; G. Hartman</w:t>
      </w:r>
      <w:r>
        <w:rPr>
          <w:spacing w:val="40"/>
          <w:sz w:val="19"/>
        </w:rPr>
        <w:t> </w:t>
      </w:r>
      <w:r>
        <w:rPr>
          <w:sz w:val="19"/>
        </w:rPr>
        <w:t>(Eds.),</w:t>
      </w:r>
      <w:r>
        <w:rPr>
          <w:spacing w:val="40"/>
          <w:sz w:val="19"/>
        </w:rPr>
        <w:t> </w:t>
      </w:r>
      <w:r>
        <w:rPr>
          <w:i/>
          <w:sz w:val="19"/>
        </w:rPr>
        <w:t>Shakespeare</w:t>
      </w:r>
      <w:r>
        <w:rPr>
          <w:i/>
          <w:spacing w:val="40"/>
          <w:sz w:val="19"/>
        </w:rPr>
        <w:t> </w:t>
      </w:r>
      <w:r>
        <w:rPr>
          <w:i/>
          <w:sz w:val="19"/>
        </w:rPr>
        <w:t>and</w:t>
      </w:r>
      <w:r>
        <w:rPr>
          <w:i/>
          <w:spacing w:val="40"/>
          <w:sz w:val="19"/>
        </w:rPr>
        <w:t> </w:t>
      </w:r>
      <w:r>
        <w:rPr>
          <w:i/>
          <w:sz w:val="19"/>
        </w:rPr>
        <w:t>the</w:t>
      </w:r>
      <w:r>
        <w:rPr>
          <w:i/>
          <w:spacing w:val="40"/>
          <w:sz w:val="19"/>
        </w:rPr>
        <w:t> </w:t>
      </w:r>
      <w:r>
        <w:rPr>
          <w:i/>
          <w:sz w:val="19"/>
        </w:rPr>
        <w:t>question</w:t>
      </w:r>
      <w:r>
        <w:rPr>
          <w:i/>
          <w:spacing w:val="40"/>
          <w:sz w:val="19"/>
        </w:rPr>
        <w:t> </w:t>
      </w:r>
      <w:r>
        <w:rPr>
          <w:i/>
          <w:sz w:val="19"/>
        </w:rPr>
        <w:t>of</w:t>
      </w:r>
      <w:r>
        <w:rPr>
          <w:i/>
          <w:spacing w:val="40"/>
          <w:sz w:val="19"/>
        </w:rPr>
        <w:t> </w:t>
      </w:r>
      <w:r>
        <w:rPr>
          <w:i/>
          <w:sz w:val="19"/>
        </w:rPr>
        <w:t>theory</w:t>
      </w:r>
      <w:r>
        <w:rPr>
          <w:i/>
          <w:spacing w:val="40"/>
          <w:sz w:val="19"/>
        </w:rPr>
        <w:t> </w:t>
      </w:r>
      <w:r>
        <w:rPr>
          <w:sz w:val="19"/>
        </w:rPr>
        <w:t>(pp. 77-94).</w:t>
      </w:r>
      <w:r>
        <w:rPr>
          <w:spacing w:val="40"/>
          <w:sz w:val="19"/>
        </w:rPr>
        <w:t> </w:t>
      </w:r>
      <w:r>
        <w:rPr>
          <w:sz w:val="19"/>
        </w:rPr>
        <w:t>Methuen.</w:t>
      </w:r>
    </w:p>
    <w:p>
      <w:pPr>
        <w:pStyle w:val="ListParagraph"/>
        <w:numPr>
          <w:ilvl w:val="0"/>
          <w:numId w:val="21"/>
        </w:numPr>
        <w:tabs>
          <w:tab w:pos="2157" w:val="left" w:leader="none"/>
          <w:tab w:pos="2160" w:val="left" w:leader="none"/>
        </w:tabs>
        <w:spacing w:line="261" w:lineRule="auto" w:before="57" w:after="0"/>
        <w:ind w:left="2160" w:right="1441" w:hanging="406"/>
        <w:jc w:val="both"/>
        <w:rPr>
          <w:sz w:val="19"/>
        </w:rPr>
      </w:pPr>
      <w:r>
        <w:rPr>
          <w:sz w:val="19"/>
        </w:rPr>
        <w:t>Traub, V.</w:t>
      </w:r>
      <w:r>
        <w:rPr>
          <w:spacing w:val="28"/>
          <w:sz w:val="19"/>
        </w:rPr>
        <w:t> </w:t>
      </w:r>
      <w:r>
        <w:rPr>
          <w:sz w:val="19"/>
        </w:rPr>
        <w:t>(1992).</w:t>
      </w:r>
      <w:r>
        <w:rPr>
          <w:spacing w:val="26"/>
          <w:sz w:val="19"/>
        </w:rPr>
        <w:t> </w:t>
      </w:r>
      <w:r>
        <w:rPr>
          <w:i/>
          <w:sz w:val="19"/>
        </w:rPr>
        <w:t>Desire and</w:t>
      </w:r>
      <w:r>
        <w:rPr>
          <w:i/>
          <w:spacing w:val="28"/>
          <w:sz w:val="19"/>
        </w:rPr>
        <w:t> </w:t>
      </w:r>
      <w:r>
        <w:rPr>
          <w:i/>
          <w:sz w:val="19"/>
        </w:rPr>
        <w:t>anxiety: Circulations</w:t>
      </w:r>
      <w:r>
        <w:rPr>
          <w:i/>
          <w:spacing w:val="28"/>
          <w:sz w:val="19"/>
        </w:rPr>
        <w:t> </w:t>
      </w:r>
      <w:r>
        <w:rPr>
          <w:i/>
          <w:sz w:val="19"/>
        </w:rPr>
        <w:t>of sexuality in</w:t>
      </w:r>
      <w:r>
        <w:rPr>
          <w:i/>
          <w:spacing w:val="40"/>
          <w:sz w:val="19"/>
        </w:rPr>
        <w:t> </w:t>
      </w:r>
      <w:r>
        <w:rPr>
          <w:i/>
          <w:sz w:val="19"/>
        </w:rPr>
        <w:t>Shakespearean</w:t>
      </w:r>
      <w:r>
        <w:rPr>
          <w:i/>
          <w:spacing w:val="40"/>
          <w:sz w:val="19"/>
        </w:rPr>
        <w:t> </w:t>
      </w:r>
      <w:r>
        <w:rPr>
          <w:i/>
          <w:sz w:val="19"/>
        </w:rPr>
        <w:t>drama</w:t>
      </w:r>
      <w:r>
        <w:rPr>
          <w:sz w:val="19"/>
        </w:rPr>
        <w:t>.</w:t>
      </w:r>
      <w:r>
        <w:rPr>
          <w:spacing w:val="40"/>
          <w:sz w:val="19"/>
        </w:rPr>
        <w:t> </w:t>
      </w:r>
      <w:r>
        <w:rPr>
          <w:sz w:val="19"/>
        </w:rPr>
        <w:t>Routledge.</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44672">
                <wp:simplePos x="0" y="0"/>
                <wp:positionH relativeFrom="page">
                  <wp:posOffset>2057400</wp:posOffset>
                </wp:positionH>
                <wp:positionV relativeFrom="page">
                  <wp:posOffset>1788723</wp:posOffset>
                </wp:positionV>
                <wp:extent cx="3656965" cy="140335"/>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102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471808" type="#_x0000_t202" id="docshape299"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102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spacing w:before="228"/>
        <w:ind w:left="0"/>
      </w:pPr>
    </w:p>
    <w:p>
      <w:pPr>
        <w:spacing w:line="240" w:lineRule="auto"/>
        <w:ind w:left="1080" w:right="0" w:firstLine="0"/>
        <w:rPr>
          <w:sz w:val="20"/>
        </w:rPr>
      </w:pPr>
      <w:r>
        <w:rPr>
          <w:sz w:val="20"/>
        </w:rPr>
        <mc:AlternateContent>
          <mc:Choice Requires="wps">
            <w:drawing>
              <wp:inline distT="0" distB="0" distL="0" distR="0">
                <wp:extent cx="4043679" cy="701040"/>
                <wp:effectExtent l="0" t="0" r="0" b="0"/>
                <wp:docPr id="304" name="Group 304"/>
                <wp:cNvGraphicFramePr>
                  <a:graphicFrameLocks/>
                </wp:cNvGraphicFramePr>
                <a:graphic>
                  <a:graphicData uri="http://schemas.microsoft.com/office/word/2010/wordprocessingGroup">
                    <wpg:wgp>
                      <wpg:cNvPr id="304" name="Group 304"/>
                      <wpg:cNvGrpSpPr/>
                      <wpg:grpSpPr>
                        <a:xfrm>
                          <a:off x="0" y="0"/>
                          <a:ext cx="4043679" cy="701040"/>
                          <a:chExt cx="4043679" cy="701040"/>
                        </a:xfrm>
                      </wpg:grpSpPr>
                      <wps:wsp>
                        <wps:cNvPr id="305" name="Graphic 305"/>
                        <wps:cNvSpPr/>
                        <wps:spPr>
                          <a:xfrm>
                            <a:off x="0" y="0"/>
                            <a:ext cx="4043679" cy="701040"/>
                          </a:xfrm>
                          <a:custGeom>
                            <a:avLst/>
                            <a:gdLst/>
                            <a:ahLst/>
                            <a:cxnLst/>
                            <a:rect l="l" t="t" r="r" b="b"/>
                            <a:pathLst>
                              <a:path w="4043679" h="701040">
                                <a:moveTo>
                                  <a:pt x="4043171" y="701040"/>
                                </a:moveTo>
                                <a:lnTo>
                                  <a:pt x="0" y="701040"/>
                                </a:lnTo>
                                <a:lnTo>
                                  <a:pt x="0" y="0"/>
                                </a:lnTo>
                                <a:lnTo>
                                  <a:pt x="4043171" y="0"/>
                                </a:lnTo>
                                <a:lnTo>
                                  <a:pt x="4043171" y="70104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2pt;mso-position-horizontal-relative:char;mso-position-vertical-relative:line" id="docshapegroup300" coordorigin="0,0" coordsize="6368,1104">
                <v:rect style="position:absolute;left:0;top:0;width:6368;height:1104" id="docshape301" filled="true" fillcolor="#ffffff" stroked="false">
                  <v:fill type="solid"/>
                </v:rect>
              </v:group>
            </w:pict>
          </mc:Fallback>
        </mc:AlternateContent>
      </w:r>
      <w:r>
        <w:rPr>
          <w:sz w:val="20"/>
        </w:rPr>
      </w:r>
    </w:p>
    <w:p>
      <w:pPr>
        <w:pStyle w:val="BodyText"/>
        <w:spacing w:before="178"/>
        <w:ind w:left="0"/>
      </w:pPr>
      <w:r>
        <w:rPr/>
        <mc:AlternateContent>
          <mc:Choice Requires="wps">
            <w:drawing>
              <wp:anchor distT="0" distB="0" distL="0" distR="0" allowOverlap="1" layoutInCell="1" locked="0" behindDoc="1" simplePos="0" relativeHeight="487680512">
                <wp:simplePos x="0" y="0"/>
                <wp:positionH relativeFrom="page">
                  <wp:posOffset>3497579</wp:posOffset>
                </wp:positionH>
                <wp:positionV relativeFrom="paragraph">
                  <wp:posOffset>274447</wp:posOffset>
                </wp:positionV>
                <wp:extent cx="728980" cy="654050"/>
                <wp:effectExtent l="0" t="0" r="0" b="0"/>
                <wp:wrapTopAndBottom/>
                <wp:docPr id="306" name="Group 306"/>
                <wp:cNvGraphicFramePr>
                  <a:graphicFrameLocks/>
                </wp:cNvGraphicFramePr>
                <a:graphic>
                  <a:graphicData uri="http://schemas.microsoft.com/office/word/2010/wordprocessingGroup">
                    <wpg:wgp>
                      <wpg:cNvPr id="306" name="Group 306"/>
                      <wpg:cNvGrpSpPr/>
                      <wpg:grpSpPr>
                        <a:xfrm>
                          <a:off x="0" y="0"/>
                          <a:ext cx="728980" cy="654050"/>
                          <a:chExt cx="728980" cy="654050"/>
                        </a:xfrm>
                      </wpg:grpSpPr>
                      <pic:pic>
                        <pic:nvPicPr>
                          <pic:cNvPr id="307" name="Image 307"/>
                          <pic:cNvPicPr/>
                        </pic:nvPicPr>
                        <pic:blipFill>
                          <a:blip r:embed="rId90" cstate="print"/>
                          <a:stretch>
                            <a:fillRect/>
                          </a:stretch>
                        </pic:blipFill>
                        <pic:spPr>
                          <a:xfrm>
                            <a:off x="0" y="0"/>
                            <a:ext cx="728472" cy="653795"/>
                          </a:xfrm>
                          <a:prstGeom prst="rect">
                            <a:avLst/>
                          </a:prstGeom>
                        </pic:spPr>
                      </pic:pic>
                      <wps:wsp>
                        <wps:cNvPr id="308" name="Textbox 308"/>
                        <wps:cNvSpPr txBox="1"/>
                        <wps:spPr>
                          <a:xfrm>
                            <a:off x="0" y="0"/>
                            <a:ext cx="728980" cy="654050"/>
                          </a:xfrm>
                          <a:prstGeom prst="rect">
                            <a:avLst/>
                          </a:prstGeom>
                        </wps:spPr>
                        <wps:txbx>
                          <w:txbxContent>
                            <w:p>
                              <w:pPr>
                                <w:spacing w:before="386"/>
                                <w:ind w:left="417" w:right="0" w:firstLine="0"/>
                                <w:jc w:val="left"/>
                                <w:rPr>
                                  <w:rFonts w:ascii="Tahoma"/>
                                  <w:b/>
                                  <w:sz w:val="36"/>
                                </w:rPr>
                              </w:pPr>
                              <w:r>
                                <w:rPr>
                                  <w:rFonts w:ascii="Tahoma"/>
                                  <w:b/>
                                  <w:spacing w:val="-5"/>
                                  <w:w w:val="95"/>
                                  <w:sz w:val="36"/>
                                </w:rPr>
                                <w:t>11</w:t>
                              </w:r>
                            </w:p>
                          </w:txbxContent>
                        </wps:txbx>
                        <wps:bodyPr wrap="square" lIns="0" tIns="0" rIns="0" bIns="0" rtlCol="0">
                          <a:noAutofit/>
                        </wps:bodyPr>
                      </wps:wsp>
                    </wpg:wgp>
                  </a:graphicData>
                </a:graphic>
              </wp:anchor>
            </w:drawing>
          </mc:Choice>
          <mc:Fallback>
            <w:pict>
              <v:group style="position:absolute;margin-left:275.399994pt;margin-top:21.610006pt;width:57.4pt;height:51.5pt;mso-position-horizontal-relative:page;mso-position-vertical-relative:paragraph;z-index:-15635968;mso-wrap-distance-left:0;mso-wrap-distance-right:0" id="docshapegroup302" coordorigin="5508,432" coordsize="1148,1030">
                <v:shape style="position:absolute;left:5508;top:432;width:1148;height:1030" type="#_x0000_t75" id="docshape303" stroked="false">
                  <v:imagedata r:id="rId90" o:title=""/>
                </v:shape>
                <v:shape style="position:absolute;left:5508;top:432;width:1148;height:1030" type="#_x0000_t202" id="docshape304" filled="false" stroked="false">
                  <v:textbox inset="0,0,0,0">
                    <w:txbxContent>
                      <w:p>
                        <w:pPr>
                          <w:spacing w:before="386"/>
                          <w:ind w:left="417" w:right="0" w:firstLine="0"/>
                          <w:jc w:val="left"/>
                          <w:rPr>
                            <w:rFonts w:ascii="Tahoma"/>
                            <w:b/>
                            <w:sz w:val="36"/>
                          </w:rPr>
                        </w:pPr>
                        <w:r>
                          <w:rPr>
                            <w:rFonts w:ascii="Tahoma"/>
                            <w:b/>
                            <w:spacing w:val="-5"/>
                            <w:w w:val="95"/>
                            <w:sz w:val="36"/>
                          </w:rPr>
                          <w:t>11</w:t>
                        </w:r>
                      </w:p>
                    </w:txbxContent>
                  </v:textbox>
                  <w10:wrap type="none"/>
                </v:shape>
                <w10:wrap type="topAndBottom"/>
              </v:group>
            </w:pict>
          </mc:Fallback>
        </mc:AlternateContent>
      </w:r>
    </w:p>
    <w:p>
      <w:pPr>
        <w:pStyle w:val="Heading1"/>
        <w:spacing w:line="211" w:lineRule="auto" w:before="42"/>
        <w:ind w:left="1352" w:right="1356"/>
      </w:pPr>
      <w:r>
        <w:rPr>
          <w:spacing w:val="-8"/>
        </w:rPr>
        <w:t>Women in Shakespeare’s </w:t>
      </w:r>
      <w:r>
        <w:rPr>
          <w:spacing w:val="-8"/>
        </w:rPr>
        <w:t>Historical </w:t>
      </w:r>
      <w:r>
        <w:rPr/>
        <w:t>Plays:</w:t>
      </w:r>
      <w:r>
        <w:rPr>
          <w:spacing w:val="-15"/>
        </w:rPr>
        <w:t> </w:t>
      </w:r>
      <w:r>
        <w:rPr/>
        <w:t>Power,</w:t>
      </w:r>
      <w:r>
        <w:rPr>
          <w:spacing w:val="-13"/>
        </w:rPr>
        <w:t> </w:t>
      </w:r>
      <w:r>
        <w:rPr/>
        <w:t>Resistance,</w:t>
      </w:r>
      <w:r>
        <w:rPr>
          <w:spacing w:val="-15"/>
        </w:rPr>
        <w:t> </w:t>
      </w:r>
      <w:r>
        <w:rPr/>
        <w:t>and</w:t>
      </w:r>
      <w:r>
        <w:rPr>
          <w:spacing w:val="-10"/>
        </w:rPr>
        <w:t> </w:t>
      </w:r>
      <w:r>
        <w:rPr/>
        <w:t>the</w:t>
      </w:r>
    </w:p>
    <w:p>
      <w:pPr>
        <w:tabs>
          <w:tab w:pos="1694" w:val="left" w:leader="none"/>
          <w:tab w:pos="5759" w:val="left" w:leader="none"/>
        </w:tabs>
        <w:spacing w:line="347" w:lineRule="exact" w:before="0"/>
        <w:ind w:left="0" w:right="0" w:firstLine="0"/>
        <w:jc w:val="center"/>
        <w:rPr>
          <w:rFonts w:ascii="Tahoma"/>
          <w:b/>
          <w:sz w:val="32"/>
        </w:rPr>
      </w:pPr>
      <w:r>
        <w:rPr>
          <w:sz w:val="32"/>
          <w:u w:val="single"/>
        </w:rPr>
        <w:tab/>
      </w:r>
      <w:r>
        <w:rPr>
          <w:rFonts w:ascii="Tahoma"/>
          <w:b/>
          <w:spacing w:val="-2"/>
          <w:sz w:val="32"/>
          <w:u w:val="single"/>
        </w:rPr>
        <w:t>Role</w:t>
      </w:r>
      <w:r>
        <w:rPr>
          <w:rFonts w:ascii="Tahoma"/>
          <w:b/>
          <w:spacing w:val="-17"/>
          <w:sz w:val="32"/>
          <w:u w:val="single"/>
        </w:rPr>
        <w:t> </w:t>
      </w:r>
      <w:r>
        <w:rPr>
          <w:rFonts w:ascii="Tahoma"/>
          <w:b/>
          <w:spacing w:val="-2"/>
          <w:sz w:val="32"/>
          <w:u w:val="single"/>
        </w:rPr>
        <w:t>of</w:t>
      </w:r>
      <w:r>
        <w:rPr>
          <w:rFonts w:ascii="Tahoma"/>
          <w:b/>
          <w:spacing w:val="-16"/>
          <w:sz w:val="32"/>
          <w:u w:val="single"/>
        </w:rPr>
        <w:t> </w:t>
      </w:r>
      <w:r>
        <w:rPr>
          <w:rFonts w:ascii="Tahoma"/>
          <w:b/>
          <w:spacing w:val="-2"/>
          <w:sz w:val="32"/>
          <w:u w:val="single"/>
        </w:rPr>
        <w:t>Gender</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681024">
                <wp:simplePos x="0" y="0"/>
                <wp:positionH relativeFrom="page">
                  <wp:posOffset>2057400</wp:posOffset>
                </wp:positionH>
                <wp:positionV relativeFrom="paragraph">
                  <wp:posOffset>60305</wp:posOffset>
                </wp:positionV>
                <wp:extent cx="3657600" cy="7620"/>
                <wp:effectExtent l="0" t="0" r="0" b="0"/>
                <wp:wrapTopAndBottom/>
                <wp:docPr id="309" name="Graphic 309"/>
                <wp:cNvGraphicFramePr>
                  <a:graphicFrameLocks/>
                </wp:cNvGraphicFramePr>
                <a:graphic>
                  <a:graphicData uri="http://schemas.microsoft.com/office/word/2010/wordprocessingShape">
                    <wps:wsp>
                      <wps:cNvPr id="309" name="Graphic 309"/>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48469pt;width:288.000009pt;height:.599991pt;mso-position-horizontal-relative:page;mso-position-vertical-relative:paragraph;z-index:-15635456;mso-wrap-distance-left:0;mso-wrap-distance-right:0" id="docshape305" filled="true" fillcolor="#000000" stroked="false">
                <v:fill type="solid"/>
                <w10:wrap type="topAndBottom"/>
              </v:rect>
            </w:pict>
          </mc:Fallback>
        </mc:AlternateContent>
      </w:r>
    </w:p>
    <w:p>
      <w:pPr>
        <w:pStyle w:val="BodyText"/>
        <w:spacing w:before="15"/>
        <w:ind w:left="0"/>
        <w:rPr>
          <w:rFonts w:ascii="Tahoma"/>
          <w:b/>
          <w:sz w:val="32"/>
        </w:rPr>
      </w:pPr>
    </w:p>
    <w:p>
      <w:pPr>
        <w:spacing w:line="252" w:lineRule="auto" w:before="0"/>
        <w:ind w:left="1994" w:right="1439" w:firstLine="3211"/>
        <w:jc w:val="right"/>
        <w:rPr>
          <w:i/>
          <w:sz w:val="19"/>
        </w:rPr>
      </w:pPr>
      <w:r>
        <w:rPr>
          <w:b/>
          <w:i/>
          <w:sz w:val="22"/>
        </w:rPr>
        <w:t>Dr.</w:t>
      </w:r>
      <w:r>
        <w:rPr>
          <w:b/>
          <w:i/>
          <w:spacing w:val="35"/>
          <w:sz w:val="22"/>
        </w:rPr>
        <w:t> </w:t>
      </w:r>
      <w:r>
        <w:rPr>
          <w:b/>
          <w:i/>
          <w:sz w:val="22"/>
        </w:rPr>
        <w:t>Amanpreet</w:t>
      </w:r>
      <w:r>
        <w:rPr>
          <w:b/>
          <w:i/>
          <w:spacing w:val="40"/>
          <w:sz w:val="22"/>
        </w:rPr>
        <w:t> </w:t>
      </w:r>
      <w:r>
        <w:rPr>
          <w:b/>
          <w:i/>
          <w:sz w:val="22"/>
        </w:rPr>
        <w:t>Kaur </w:t>
      </w:r>
      <w:r>
        <w:rPr>
          <w:i/>
          <w:sz w:val="19"/>
        </w:rPr>
        <w:t>Assistant</w:t>
      </w:r>
      <w:r>
        <w:rPr>
          <w:i/>
          <w:spacing w:val="40"/>
          <w:sz w:val="19"/>
        </w:rPr>
        <w:t> </w:t>
      </w:r>
      <w:r>
        <w:rPr>
          <w:i/>
          <w:sz w:val="19"/>
        </w:rPr>
        <w:t>Professor,</w:t>
      </w:r>
      <w:r>
        <w:rPr>
          <w:i/>
          <w:spacing w:val="40"/>
          <w:sz w:val="19"/>
        </w:rPr>
        <w:t> </w:t>
      </w:r>
      <w:r>
        <w:rPr>
          <w:i/>
          <w:sz w:val="19"/>
        </w:rPr>
        <w:t>Department</w:t>
      </w:r>
      <w:r>
        <w:rPr>
          <w:i/>
          <w:spacing w:val="40"/>
          <w:sz w:val="19"/>
        </w:rPr>
        <w:t> </w:t>
      </w:r>
      <w:r>
        <w:rPr>
          <w:i/>
          <w:sz w:val="19"/>
        </w:rPr>
        <w:t>of</w:t>
      </w:r>
      <w:r>
        <w:rPr>
          <w:i/>
          <w:spacing w:val="40"/>
          <w:sz w:val="19"/>
        </w:rPr>
        <w:t> </w:t>
      </w:r>
      <w:r>
        <w:rPr>
          <w:i/>
          <w:sz w:val="19"/>
        </w:rPr>
        <w:t>English</w:t>
      </w:r>
      <w:r>
        <w:rPr>
          <w:i/>
          <w:spacing w:val="40"/>
          <w:sz w:val="19"/>
        </w:rPr>
        <w:t> </w:t>
      </w:r>
      <w:r>
        <w:rPr>
          <w:i/>
          <w:sz w:val="19"/>
        </w:rPr>
        <w:t>&amp;</w:t>
      </w:r>
      <w:r>
        <w:rPr>
          <w:i/>
          <w:spacing w:val="40"/>
          <w:sz w:val="19"/>
        </w:rPr>
        <w:t> </w:t>
      </w:r>
      <w:r>
        <w:rPr>
          <w:i/>
          <w:sz w:val="19"/>
        </w:rPr>
        <w:t>Foreign Languages,</w:t>
      </w:r>
      <w:r>
        <w:rPr>
          <w:i/>
          <w:spacing w:val="60"/>
          <w:sz w:val="19"/>
        </w:rPr>
        <w:t> </w:t>
      </w:r>
      <w:r>
        <w:rPr>
          <w:i/>
          <w:sz w:val="19"/>
        </w:rPr>
        <w:t>G.S.S.D.G.S.Khalsa</w:t>
      </w:r>
      <w:r>
        <w:rPr>
          <w:i/>
          <w:spacing w:val="62"/>
          <w:sz w:val="19"/>
        </w:rPr>
        <w:t> </w:t>
      </w:r>
      <w:r>
        <w:rPr>
          <w:i/>
          <w:sz w:val="19"/>
        </w:rPr>
        <w:t>College</w:t>
      </w:r>
      <w:r>
        <w:rPr>
          <w:i/>
          <w:spacing w:val="60"/>
          <w:sz w:val="19"/>
        </w:rPr>
        <w:t> </w:t>
      </w:r>
      <w:r>
        <w:rPr>
          <w:i/>
          <w:sz w:val="19"/>
        </w:rPr>
        <w:t>Patiala,</w:t>
      </w:r>
      <w:r>
        <w:rPr>
          <w:i/>
          <w:spacing w:val="58"/>
          <w:sz w:val="19"/>
        </w:rPr>
        <w:t> </w:t>
      </w:r>
      <w:r>
        <w:rPr>
          <w:i/>
          <w:sz w:val="19"/>
        </w:rPr>
        <w:t>Punjab,</w:t>
      </w:r>
      <w:r>
        <w:rPr>
          <w:i/>
          <w:spacing w:val="63"/>
          <w:sz w:val="19"/>
        </w:rPr>
        <w:t> </w:t>
      </w:r>
      <w:r>
        <w:rPr>
          <w:i/>
          <w:spacing w:val="-4"/>
          <w:sz w:val="19"/>
        </w:rPr>
        <w:t>India</w:t>
      </w:r>
    </w:p>
    <w:p>
      <w:pPr>
        <w:pStyle w:val="BodyText"/>
        <w:spacing w:before="151"/>
        <w:ind w:left="0"/>
        <w:rPr>
          <w:i/>
          <w:sz w:val="19"/>
        </w:rPr>
      </w:pPr>
    </w:p>
    <w:p>
      <w:pPr>
        <w:pStyle w:val="Heading3"/>
        <w:spacing w:before="0"/>
      </w:pPr>
      <w:r>
        <w:rPr>
          <w:spacing w:val="-2"/>
        </w:rPr>
        <w:t>ABSTRACT</w:t>
      </w:r>
    </w:p>
    <w:p>
      <w:pPr>
        <w:pStyle w:val="BodyText"/>
        <w:spacing w:line="249" w:lineRule="auto" w:before="75"/>
        <w:ind w:right="1439" w:firstLine="432"/>
        <w:jc w:val="both"/>
      </w:pPr>
      <w:r>
        <w:rPr/>
        <w:t>Shakespeare’s</w:t>
      </w:r>
      <w:r>
        <w:rPr>
          <w:spacing w:val="-1"/>
        </w:rPr>
        <w:t> </w:t>
      </w:r>
      <w:r>
        <w:rPr/>
        <w:t>ten</w:t>
      </w:r>
      <w:r>
        <w:rPr>
          <w:spacing w:val="-3"/>
        </w:rPr>
        <w:t> </w:t>
      </w:r>
      <w:r>
        <w:rPr/>
        <w:t>English</w:t>
      </w:r>
      <w:r>
        <w:rPr>
          <w:spacing w:val="-1"/>
        </w:rPr>
        <w:t> </w:t>
      </w:r>
      <w:r>
        <w:rPr/>
        <w:t>history</w:t>
      </w:r>
      <w:r>
        <w:rPr>
          <w:spacing w:val="-4"/>
        </w:rPr>
        <w:t> </w:t>
      </w:r>
      <w:r>
        <w:rPr/>
        <w:t>plays</w:t>
      </w:r>
      <w:r>
        <w:rPr>
          <w:spacing w:val="-3"/>
        </w:rPr>
        <w:t> </w:t>
      </w:r>
      <w:r>
        <w:rPr/>
        <w:t>tell</w:t>
      </w:r>
      <w:r>
        <w:rPr>
          <w:spacing w:val="-1"/>
        </w:rPr>
        <w:t> </w:t>
      </w:r>
      <w:r>
        <w:rPr/>
        <w:t>the</w:t>
      </w:r>
      <w:r>
        <w:rPr>
          <w:spacing w:val="-1"/>
        </w:rPr>
        <w:t> </w:t>
      </w:r>
      <w:r>
        <w:rPr/>
        <w:t>story</w:t>
      </w:r>
      <w:r>
        <w:rPr>
          <w:spacing w:val="-4"/>
        </w:rPr>
        <w:t> </w:t>
      </w:r>
      <w:r>
        <w:rPr/>
        <w:t>of</w:t>
      </w:r>
      <w:r>
        <w:rPr>
          <w:spacing w:val="-3"/>
        </w:rPr>
        <w:t> </w:t>
      </w:r>
      <w:r>
        <w:rPr/>
        <w:t>England’s kings from the time of King John to Henry VIII. These dramas focus mostly</w:t>
      </w:r>
      <w:r>
        <w:rPr>
          <w:spacing w:val="-9"/>
        </w:rPr>
        <w:t> </w:t>
      </w:r>
      <w:r>
        <w:rPr/>
        <w:t>on</w:t>
      </w:r>
      <w:r>
        <w:rPr>
          <w:spacing w:val="-9"/>
        </w:rPr>
        <w:t> </w:t>
      </w:r>
      <w:r>
        <w:rPr/>
        <w:t>battles,</w:t>
      </w:r>
      <w:r>
        <w:rPr>
          <w:spacing w:val="-5"/>
        </w:rPr>
        <w:t> </w:t>
      </w:r>
      <w:r>
        <w:rPr/>
        <w:t>power</w:t>
      </w:r>
      <w:r>
        <w:rPr>
          <w:spacing w:val="-9"/>
        </w:rPr>
        <w:t> </w:t>
      </w:r>
      <w:r>
        <w:rPr/>
        <w:t>struggles</w:t>
      </w:r>
      <w:r>
        <w:rPr>
          <w:spacing w:val="-7"/>
        </w:rPr>
        <w:t> </w:t>
      </w:r>
      <w:r>
        <w:rPr/>
        <w:t>among</w:t>
      </w:r>
      <w:r>
        <w:rPr>
          <w:spacing w:val="-7"/>
        </w:rPr>
        <w:t> </w:t>
      </w:r>
      <w:r>
        <w:rPr/>
        <w:t>men,</w:t>
      </w:r>
      <w:r>
        <w:rPr>
          <w:spacing w:val="-7"/>
        </w:rPr>
        <w:t> </w:t>
      </w:r>
      <w:r>
        <w:rPr/>
        <w:t>and</w:t>
      </w:r>
      <w:r>
        <w:rPr>
          <w:spacing w:val="-5"/>
        </w:rPr>
        <w:t> </w:t>
      </w:r>
      <w:r>
        <w:rPr/>
        <w:t>questions</w:t>
      </w:r>
      <w:r>
        <w:rPr>
          <w:spacing w:val="-9"/>
        </w:rPr>
        <w:t> </w:t>
      </w:r>
      <w:r>
        <w:rPr/>
        <w:t>of</w:t>
      </w:r>
      <w:r>
        <w:rPr>
          <w:spacing w:val="-7"/>
        </w:rPr>
        <w:t> </w:t>
      </w:r>
      <w:r>
        <w:rPr/>
        <w:t>rightful rule. However, women play important and often surprising roles that shake up the male-dominated world shown on stage. Characters like Joan la Pucelle (Joan of Arc) in Henry VI, Part 1, Queen Margaret of Anjou</w:t>
      </w:r>
      <w:r>
        <w:rPr>
          <w:spacing w:val="-13"/>
        </w:rPr>
        <w:t> </w:t>
      </w:r>
      <w:r>
        <w:rPr/>
        <w:t>who</w:t>
      </w:r>
      <w:r>
        <w:rPr>
          <w:spacing w:val="-12"/>
        </w:rPr>
        <w:t> </w:t>
      </w:r>
      <w:r>
        <w:rPr/>
        <w:t>appears</w:t>
      </w:r>
      <w:r>
        <w:rPr>
          <w:spacing w:val="-13"/>
        </w:rPr>
        <w:t> </w:t>
      </w:r>
      <w:r>
        <w:rPr/>
        <w:t>in</w:t>
      </w:r>
      <w:r>
        <w:rPr>
          <w:spacing w:val="-12"/>
        </w:rPr>
        <w:t> </w:t>
      </w:r>
      <w:r>
        <w:rPr/>
        <w:t>several</w:t>
      </w:r>
      <w:r>
        <w:rPr>
          <w:spacing w:val="-13"/>
        </w:rPr>
        <w:t> </w:t>
      </w:r>
      <w:r>
        <w:rPr/>
        <w:t>plays,</w:t>
      </w:r>
      <w:r>
        <w:rPr>
          <w:spacing w:val="-12"/>
        </w:rPr>
        <w:t> </w:t>
      </w:r>
      <w:r>
        <w:rPr/>
        <w:t>Eleanor</w:t>
      </w:r>
      <w:r>
        <w:rPr>
          <w:spacing w:val="-13"/>
        </w:rPr>
        <w:t> </w:t>
      </w:r>
      <w:r>
        <w:rPr/>
        <w:t>of</w:t>
      </w:r>
      <w:r>
        <w:rPr>
          <w:spacing w:val="-12"/>
        </w:rPr>
        <w:t> </w:t>
      </w:r>
      <w:r>
        <w:rPr/>
        <w:t>Aquitaine</w:t>
      </w:r>
      <w:r>
        <w:rPr>
          <w:spacing w:val="-13"/>
        </w:rPr>
        <w:t> </w:t>
      </w:r>
      <w:r>
        <w:rPr/>
        <w:t>and</w:t>
      </w:r>
      <w:r>
        <w:rPr>
          <w:spacing w:val="-12"/>
        </w:rPr>
        <w:t> </w:t>
      </w:r>
      <w:r>
        <w:rPr/>
        <w:t>Constance in King John, Lady Percy and Princess Katharine in the Henry IV and Henry V plays, and the queens in Henry VIII show strength, clever speech,</w:t>
      </w:r>
      <w:r>
        <w:rPr>
          <w:spacing w:val="40"/>
        </w:rPr>
        <w:t> </w:t>
      </w:r>
      <w:r>
        <w:rPr/>
        <w:t>and</w:t>
      </w:r>
      <w:r>
        <w:rPr>
          <w:spacing w:val="40"/>
        </w:rPr>
        <w:t> </w:t>
      </w:r>
      <w:r>
        <w:rPr/>
        <w:t>deep</w:t>
      </w:r>
      <w:r>
        <w:rPr>
          <w:spacing w:val="40"/>
        </w:rPr>
        <w:t> </w:t>
      </w:r>
      <w:r>
        <w:rPr/>
        <w:t>feelings.</w:t>
      </w:r>
    </w:p>
    <w:p>
      <w:pPr>
        <w:pStyle w:val="BodyText"/>
        <w:spacing w:line="249" w:lineRule="auto" w:before="66"/>
        <w:ind w:right="1439" w:firstLine="432"/>
        <w:jc w:val="both"/>
      </w:pPr>
      <w:r>
        <w:rPr/>
        <w:t>Shakespeare took these women from old history books but made </w:t>
      </w:r>
      <w:r>
        <w:rPr>
          <w:spacing w:val="-2"/>
        </w:rPr>
        <w:t>their</w:t>
      </w:r>
      <w:r>
        <w:rPr>
          <w:spacing w:val="-6"/>
        </w:rPr>
        <w:t> </w:t>
      </w:r>
      <w:r>
        <w:rPr>
          <w:spacing w:val="-2"/>
        </w:rPr>
        <w:t>parts</w:t>
      </w:r>
      <w:r>
        <w:rPr>
          <w:spacing w:val="-8"/>
        </w:rPr>
        <w:t> </w:t>
      </w:r>
      <w:r>
        <w:rPr>
          <w:spacing w:val="-2"/>
        </w:rPr>
        <w:t>bigger</w:t>
      </w:r>
      <w:r>
        <w:rPr>
          <w:spacing w:val="-8"/>
        </w:rPr>
        <w:t> </w:t>
      </w:r>
      <w:r>
        <w:rPr>
          <w:spacing w:val="-2"/>
        </w:rPr>
        <w:t>and</w:t>
      </w:r>
      <w:r>
        <w:rPr>
          <w:spacing w:val="-6"/>
        </w:rPr>
        <w:t> </w:t>
      </w:r>
      <w:r>
        <w:rPr>
          <w:spacing w:val="-2"/>
        </w:rPr>
        <w:t>more</w:t>
      </w:r>
      <w:r>
        <w:rPr>
          <w:spacing w:val="-7"/>
        </w:rPr>
        <w:t> </w:t>
      </w:r>
      <w:r>
        <w:rPr>
          <w:spacing w:val="-2"/>
        </w:rPr>
        <w:t>lively.</w:t>
      </w:r>
      <w:r>
        <w:rPr>
          <w:spacing w:val="-6"/>
        </w:rPr>
        <w:t> </w:t>
      </w:r>
      <w:r>
        <w:rPr>
          <w:spacing w:val="-2"/>
        </w:rPr>
        <w:t>Some</w:t>
      </w:r>
      <w:r>
        <w:rPr>
          <w:spacing w:val="-8"/>
        </w:rPr>
        <w:t> </w:t>
      </w:r>
      <w:r>
        <w:rPr>
          <w:spacing w:val="-2"/>
        </w:rPr>
        <w:t>women</w:t>
      </w:r>
      <w:r>
        <w:rPr>
          <w:spacing w:val="-8"/>
        </w:rPr>
        <w:t> </w:t>
      </w:r>
      <w:r>
        <w:rPr>
          <w:spacing w:val="-2"/>
        </w:rPr>
        <w:t>act</w:t>
      </w:r>
      <w:r>
        <w:rPr>
          <w:spacing w:val="-10"/>
        </w:rPr>
        <w:t> </w:t>
      </w:r>
      <w:r>
        <w:rPr>
          <w:spacing w:val="-2"/>
        </w:rPr>
        <w:t>like</w:t>
      </w:r>
      <w:r>
        <w:rPr>
          <w:spacing w:val="-5"/>
        </w:rPr>
        <w:t> </w:t>
      </w:r>
      <w:r>
        <w:rPr>
          <w:spacing w:val="-2"/>
        </w:rPr>
        <w:t>warriors</w:t>
      </w:r>
      <w:r>
        <w:rPr>
          <w:spacing w:val="-8"/>
        </w:rPr>
        <w:t> </w:t>
      </w:r>
      <w:r>
        <w:rPr>
          <w:spacing w:val="-2"/>
        </w:rPr>
        <w:t>or</w:t>
      </w:r>
      <w:r>
        <w:rPr>
          <w:spacing w:val="-6"/>
        </w:rPr>
        <w:t> </w:t>
      </w:r>
      <w:r>
        <w:rPr>
          <w:spacing w:val="-2"/>
        </w:rPr>
        <w:t>smart </w:t>
      </w:r>
      <w:r>
        <w:rPr/>
        <w:t>planners, stepping into areas usually reserved for men. Others use words, curses, or motherly love to influence events. Their actions often feel</w:t>
      </w:r>
      <w:r>
        <w:rPr>
          <w:spacing w:val="-1"/>
        </w:rPr>
        <w:t> </w:t>
      </w:r>
      <w:r>
        <w:rPr/>
        <w:t>“unnatural” in</w:t>
      </w:r>
      <w:r>
        <w:rPr>
          <w:spacing w:val="-1"/>
        </w:rPr>
        <w:t> </w:t>
      </w:r>
      <w:r>
        <w:rPr/>
        <w:t>the eyes of</w:t>
      </w:r>
      <w:r>
        <w:rPr>
          <w:spacing w:val="-3"/>
        </w:rPr>
        <w:t> </w:t>
      </w:r>
      <w:r>
        <w:rPr/>
        <w:t>the male characters, reflecting</w:t>
      </w:r>
      <w:r>
        <w:rPr>
          <w:spacing w:val="-1"/>
        </w:rPr>
        <w:t> </w:t>
      </w:r>
      <w:r>
        <w:rPr/>
        <w:t>worries in Shakespeare’s</w:t>
      </w:r>
      <w:r>
        <w:rPr>
          <w:spacing w:val="-4"/>
        </w:rPr>
        <w:t> </w:t>
      </w:r>
      <w:r>
        <w:rPr/>
        <w:t>own</w:t>
      </w:r>
      <w:r>
        <w:rPr>
          <w:spacing w:val="-4"/>
        </w:rPr>
        <w:t> </w:t>
      </w:r>
      <w:r>
        <w:rPr/>
        <w:t>time</w:t>
      </w:r>
      <w:r>
        <w:rPr>
          <w:spacing w:val="-3"/>
        </w:rPr>
        <w:t> </w:t>
      </w:r>
      <w:r>
        <w:rPr/>
        <w:t>about</w:t>
      </w:r>
      <w:r>
        <w:rPr>
          <w:spacing w:val="-6"/>
        </w:rPr>
        <w:t> </w:t>
      </w:r>
      <w:r>
        <w:rPr/>
        <w:t>women</w:t>
      </w:r>
      <w:r>
        <w:rPr>
          <w:spacing w:val="-5"/>
        </w:rPr>
        <w:t> </w:t>
      </w:r>
      <w:r>
        <w:rPr/>
        <w:t>holding</w:t>
      </w:r>
      <w:r>
        <w:rPr>
          <w:spacing w:val="-4"/>
        </w:rPr>
        <w:t> </w:t>
      </w:r>
      <w:r>
        <w:rPr/>
        <w:t>power—especially</w:t>
      </w:r>
      <w:r>
        <w:rPr>
          <w:spacing w:val="-5"/>
        </w:rPr>
        <w:t> </w:t>
      </w:r>
      <w:r>
        <w:rPr/>
        <w:t>since Queen Elizabeth I was ruling England.</w:t>
      </w:r>
    </w:p>
    <w:p>
      <w:pPr>
        <w:pStyle w:val="BodyText"/>
        <w:spacing w:line="249" w:lineRule="auto" w:before="66"/>
        <w:ind w:right="1440" w:firstLine="432"/>
        <w:jc w:val="both"/>
      </w:pPr>
      <w:r>
        <w:rPr/>
        <w:t>This paper looks at how these female characters gain influence through speaking powerfully, acting as mothers, or challenging official history.</w:t>
      </w:r>
      <w:r>
        <w:rPr>
          <w:spacing w:val="-5"/>
        </w:rPr>
        <w:t> </w:t>
      </w:r>
      <w:r>
        <w:rPr/>
        <w:t>It</w:t>
      </w:r>
      <w:r>
        <w:rPr>
          <w:spacing w:val="-4"/>
        </w:rPr>
        <w:t> </w:t>
      </w:r>
      <w:r>
        <w:rPr/>
        <w:t>shows</w:t>
      </w:r>
      <w:r>
        <w:rPr>
          <w:spacing w:val="-4"/>
        </w:rPr>
        <w:t> </w:t>
      </w:r>
      <w:r>
        <w:rPr/>
        <w:t>that</w:t>
      </w:r>
      <w:r>
        <w:rPr>
          <w:spacing w:val="-7"/>
        </w:rPr>
        <w:t> </w:t>
      </w:r>
      <w:r>
        <w:rPr/>
        <w:t>while</w:t>
      </w:r>
      <w:r>
        <w:rPr>
          <w:spacing w:val="-3"/>
        </w:rPr>
        <w:t> </w:t>
      </w:r>
      <w:r>
        <w:rPr/>
        <w:t>the</w:t>
      </w:r>
      <w:r>
        <w:rPr>
          <w:spacing w:val="-5"/>
        </w:rPr>
        <w:t> </w:t>
      </w:r>
      <w:r>
        <w:rPr/>
        <w:t>plays</w:t>
      </w:r>
      <w:r>
        <w:rPr>
          <w:spacing w:val="-7"/>
        </w:rPr>
        <w:t> </w:t>
      </w:r>
      <w:r>
        <w:rPr/>
        <w:t>often</w:t>
      </w:r>
      <w:r>
        <w:rPr>
          <w:spacing w:val="-5"/>
        </w:rPr>
        <w:t> </w:t>
      </w:r>
      <w:r>
        <w:rPr/>
        <w:t>end</w:t>
      </w:r>
      <w:r>
        <w:rPr>
          <w:spacing w:val="-4"/>
        </w:rPr>
        <w:t> </w:t>
      </w:r>
      <w:r>
        <w:rPr/>
        <w:t>by</w:t>
      </w:r>
      <w:r>
        <w:rPr>
          <w:spacing w:val="-9"/>
        </w:rPr>
        <w:t> </w:t>
      </w:r>
      <w:r>
        <w:rPr/>
        <w:t>bringing</w:t>
      </w:r>
      <w:r>
        <w:rPr>
          <w:spacing w:val="-3"/>
        </w:rPr>
        <w:t> </w:t>
      </w:r>
      <w:r>
        <w:rPr/>
        <w:t>women</w:t>
      </w:r>
      <w:r>
        <w:rPr>
          <w:spacing w:val="-7"/>
        </w:rPr>
        <w:t> </w:t>
      </w:r>
      <w:r>
        <w:rPr>
          <w:spacing w:val="-4"/>
        </w:rPr>
        <w:t>back</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82048">
                <wp:simplePos x="0" y="0"/>
                <wp:positionH relativeFrom="page">
                  <wp:posOffset>2065020</wp:posOffset>
                </wp:positionH>
                <wp:positionV relativeFrom="paragraph">
                  <wp:posOffset>795020</wp:posOffset>
                </wp:positionV>
                <wp:extent cx="3657600" cy="12700"/>
                <wp:effectExtent l="0" t="0" r="0" b="0"/>
                <wp:wrapTopAndBottom/>
                <wp:docPr id="310" name="Graphic 310"/>
                <wp:cNvGraphicFramePr>
                  <a:graphicFrameLocks/>
                </wp:cNvGraphicFramePr>
                <a:graphic>
                  <a:graphicData uri="http://schemas.microsoft.com/office/word/2010/wordprocessingShape">
                    <wps:wsp>
                      <wps:cNvPr id="310" name="Graphic 31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34432;mso-wrap-distance-left:0;mso-wrap-distance-right:0" id="docshape306" filled="true" fillcolor="#000000" stroked="false">
                <v:fill type="solid"/>
                <w10:wrap type="topAndBottom"/>
              </v:rect>
            </w:pict>
          </mc:Fallback>
        </mc:AlternateContent>
      </w:r>
      <w:r>
        <w:rPr>
          <w:rFonts w:ascii="Verdana" w:hAnsi="Verdana"/>
          <w:spacing w:val="-2"/>
          <w:sz w:val="18"/>
        </w:rPr>
        <w:t>Women</w:t>
      </w:r>
      <w:r>
        <w:rPr>
          <w:rFonts w:ascii="Verdana" w:hAnsi="Verdana"/>
          <w:spacing w:val="1"/>
          <w:sz w:val="18"/>
        </w:rPr>
        <w:t> </w:t>
      </w:r>
      <w:r>
        <w:rPr>
          <w:rFonts w:ascii="Verdana" w:hAnsi="Verdana"/>
          <w:spacing w:val="-2"/>
          <w:sz w:val="18"/>
        </w:rPr>
        <w:t>in</w:t>
      </w:r>
      <w:r>
        <w:rPr>
          <w:rFonts w:ascii="Verdana" w:hAnsi="Verdana"/>
          <w:spacing w:val="3"/>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Historical</w:t>
      </w:r>
      <w:r>
        <w:rPr>
          <w:rFonts w:ascii="Verdana" w:hAnsi="Verdana"/>
          <w:spacing w:val="2"/>
          <w:sz w:val="18"/>
        </w:rPr>
        <w:t> </w:t>
      </w:r>
      <w:r>
        <w:rPr>
          <w:rFonts w:ascii="Verdana" w:hAnsi="Verdana"/>
          <w:spacing w:val="-2"/>
          <w:sz w:val="18"/>
        </w:rPr>
        <w:t>Plays:</w:t>
      </w:r>
      <w:r>
        <w:rPr>
          <w:rFonts w:ascii="Verdana" w:hAnsi="Verdana"/>
          <w:spacing w:val="1"/>
          <w:sz w:val="18"/>
        </w:rPr>
        <w:t> </w:t>
      </w:r>
      <w:r>
        <w:rPr>
          <w:rFonts w:ascii="Verdana" w:hAnsi="Verdana"/>
          <w:spacing w:val="-2"/>
          <w:sz w:val="18"/>
        </w:rPr>
        <w:t>Power...</w:t>
      </w:r>
      <w:r>
        <w:rPr>
          <w:sz w:val="18"/>
        </w:rPr>
        <w:tab/>
      </w:r>
      <w:r>
        <w:rPr>
          <w:rFonts w:ascii="Verdana" w:hAnsi="Verdana"/>
          <w:spacing w:val="-5"/>
          <w:sz w:val="18"/>
        </w:rPr>
        <w:t>103</w:t>
      </w:r>
    </w:p>
    <w:p>
      <w:pPr>
        <w:pStyle w:val="BodyText"/>
        <w:spacing w:line="249" w:lineRule="auto" w:before="192"/>
        <w:ind w:right="1440"/>
        <w:jc w:val="both"/>
      </w:pPr>
      <w:r>
        <w:rPr/>
        <w:t>under control through marriage, death, or family duty, Shakespeare gives them real dramatic importance. Their stories add emotion and complexity to the dry facts of battles and successions. By studying</w:t>
      </w:r>
      <w:r>
        <w:rPr>
          <w:spacing w:val="40"/>
        </w:rPr>
        <w:t> </w:t>
      </w:r>
      <w:r>
        <w:rPr/>
        <w:t>these</w:t>
      </w:r>
      <w:r>
        <w:rPr>
          <w:spacing w:val="-4"/>
        </w:rPr>
        <w:t> </w:t>
      </w:r>
      <w:r>
        <w:rPr/>
        <w:t>women,</w:t>
      </w:r>
      <w:r>
        <w:rPr>
          <w:spacing w:val="-2"/>
        </w:rPr>
        <w:t> </w:t>
      </w:r>
      <w:r>
        <w:rPr/>
        <w:t>we</w:t>
      </w:r>
      <w:r>
        <w:rPr>
          <w:spacing w:val="-7"/>
        </w:rPr>
        <w:t> </w:t>
      </w:r>
      <w:r>
        <w:rPr/>
        <w:t>see</w:t>
      </w:r>
      <w:r>
        <w:rPr>
          <w:spacing w:val="-4"/>
        </w:rPr>
        <w:t> </w:t>
      </w:r>
      <w:r>
        <w:rPr/>
        <w:t>Shakespeare</w:t>
      </w:r>
      <w:r>
        <w:rPr>
          <w:spacing w:val="-4"/>
        </w:rPr>
        <w:t> </w:t>
      </w:r>
      <w:r>
        <w:rPr/>
        <w:t>exploring</w:t>
      </w:r>
      <w:r>
        <w:rPr>
          <w:spacing w:val="-6"/>
        </w:rPr>
        <w:t> </w:t>
      </w:r>
      <w:r>
        <w:rPr/>
        <w:t>big</w:t>
      </w:r>
      <w:r>
        <w:rPr>
          <w:spacing w:val="-7"/>
        </w:rPr>
        <w:t> </w:t>
      </w:r>
      <w:r>
        <w:rPr/>
        <w:t>questions</w:t>
      </w:r>
      <w:r>
        <w:rPr>
          <w:spacing w:val="-4"/>
        </w:rPr>
        <w:t> </w:t>
      </w:r>
      <w:r>
        <w:rPr/>
        <w:t>about</w:t>
      </w:r>
      <w:r>
        <w:rPr>
          <w:spacing w:val="-5"/>
        </w:rPr>
        <w:t> </w:t>
      </w:r>
      <w:r>
        <w:rPr/>
        <w:t>power, gender rules, and how history gets told. The women help turn simple chronicles into rich theater that still speaks to us today about the limits and possibilities for women in a man’s world.</w:t>
      </w:r>
    </w:p>
    <w:p>
      <w:pPr>
        <w:pStyle w:val="BodyText"/>
        <w:spacing w:line="249" w:lineRule="auto" w:before="64"/>
        <w:ind w:right="1440" w:firstLine="432"/>
        <w:jc w:val="both"/>
      </w:pPr>
      <w:r>
        <w:rPr>
          <w:b/>
          <w:spacing w:val="-2"/>
        </w:rPr>
        <w:t>Keywords:</w:t>
      </w:r>
      <w:r>
        <w:rPr>
          <w:b/>
          <w:spacing w:val="-11"/>
        </w:rPr>
        <w:t> </w:t>
      </w:r>
      <w:r>
        <w:rPr>
          <w:spacing w:val="-2"/>
        </w:rPr>
        <w:t>Historical</w:t>
      </w:r>
      <w:r>
        <w:rPr>
          <w:spacing w:val="-9"/>
        </w:rPr>
        <w:t> </w:t>
      </w:r>
      <w:r>
        <w:rPr>
          <w:spacing w:val="-2"/>
        </w:rPr>
        <w:t>plays,</w:t>
      </w:r>
      <w:r>
        <w:rPr>
          <w:spacing w:val="-11"/>
        </w:rPr>
        <w:t> </w:t>
      </w:r>
      <w:r>
        <w:rPr>
          <w:spacing w:val="-2"/>
        </w:rPr>
        <w:t>Women</w:t>
      </w:r>
      <w:r>
        <w:rPr>
          <w:spacing w:val="-10"/>
        </w:rPr>
        <w:t> </w:t>
      </w:r>
      <w:r>
        <w:rPr>
          <w:spacing w:val="-2"/>
        </w:rPr>
        <w:t>characters,</w:t>
      </w:r>
      <w:r>
        <w:rPr>
          <w:spacing w:val="-9"/>
        </w:rPr>
        <w:t> </w:t>
      </w:r>
      <w:r>
        <w:rPr>
          <w:spacing w:val="-2"/>
        </w:rPr>
        <w:t>Gender</w:t>
      </w:r>
      <w:r>
        <w:rPr>
          <w:spacing w:val="-9"/>
        </w:rPr>
        <w:t> </w:t>
      </w:r>
      <w:r>
        <w:rPr>
          <w:spacing w:val="-2"/>
        </w:rPr>
        <w:t>and</w:t>
      </w:r>
      <w:r>
        <w:rPr>
          <w:spacing w:val="-9"/>
        </w:rPr>
        <w:t> </w:t>
      </w:r>
      <w:r>
        <w:rPr>
          <w:spacing w:val="-2"/>
        </w:rPr>
        <w:t>power, </w:t>
      </w:r>
      <w:r>
        <w:rPr/>
        <w:t>Feminist views, Rhetoric, Motherhood, Patriarchy.</w:t>
      </w:r>
    </w:p>
    <w:p>
      <w:pPr>
        <w:pStyle w:val="Heading3"/>
        <w:spacing w:before="155"/>
      </w:pPr>
      <w:r>
        <w:rPr>
          <w:spacing w:val="-2"/>
          <w:w w:val="95"/>
        </w:rPr>
        <w:t>INTRODUCTION</w:t>
      </w:r>
    </w:p>
    <w:p>
      <w:pPr>
        <w:pStyle w:val="BodyText"/>
        <w:spacing w:line="249" w:lineRule="auto" w:before="75"/>
        <w:ind w:right="1438" w:firstLine="432"/>
        <w:jc w:val="both"/>
      </w:pPr>
      <w:r>
        <w:rPr/>
        <w:t>William</w:t>
      </w:r>
      <w:r>
        <w:rPr>
          <w:spacing w:val="-3"/>
        </w:rPr>
        <w:t> </w:t>
      </w:r>
      <w:r>
        <w:rPr/>
        <w:t>Shakespeare wrote a series</w:t>
      </w:r>
      <w:r>
        <w:rPr>
          <w:spacing w:val="-4"/>
        </w:rPr>
        <w:t> </w:t>
      </w:r>
      <w:r>
        <w:rPr/>
        <w:t>of</w:t>
      </w:r>
      <w:r>
        <w:rPr>
          <w:spacing w:val="-2"/>
        </w:rPr>
        <w:t> </w:t>
      </w:r>
      <w:r>
        <w:rPr/>
        <w:t>plays known</w:t>
      </w:r>
      <w:r>
        <w:rPr>
          <w:spacing w:val="-2"/>
        </w:rPr>
        <w:t> </w:t>
      </w:r>
      <w:r>
        <w:rPr/>
        <w:t>as the History Plays. These plays tell the stories of English kings, wars, and political struggles over</w:t>
      </w:r>
      <w:r>
        <w:rPr>
          <w:spacing w:val="21"/>
        </w:rPr>
        <w:t> </w:t>
      </w:r>
      <w:r>
        <w:rPr/>
        <w:t>many years. The</w:t>
      </w:r>
      <w:r>
        <w:rPr>
          <w:spacing w:val="21"/>
        </w:rPr>
        <w:t> </w:t>
      </w:r>
      <w:r>
        <w:rPr/>
        <w:t>most</w:t>
      </w:r>
      <w:r>
        <w:rPr>
          <w:spacing w:val="23"/>
        </w:rPr>
        <w:t> </w:t>
      </w:r>
      <w:r>
        <w:rPr/>
        <w:t>famous</w:t>
      </w:r>
      <w:r>
        <w:rPr>
          <w:spacing w:val="21"/>
        </w:rPr>
        <w:t> </w:t>
      </w:r>
      <w:r>
        <w:rPr/>
        <w:t>ones focus</w:t>
      </w:r>
      <w:r>
        <w:rPr>
          <w:spacing w:val="21"/>
        </w:rPr>
        <w:t> </w:t>
      </w:r>
      <w:r>
        <w:rPr/>
        <w:t>on the Wars of</w:t>
      </w:r>
      <w:r>
        <w:rPr>
          <w:spacing w:val="-1"/>
        </w:rPr>
        <w:t> </w:t>
      </w:r>
      <w:r>
        <w:rPr/>
        <w:t>the Roses — a long</w:t>
      </w:r>
      <w:r>
        <w:rPr>
          <w:spacing w:val="-1"/>
        </w:rPr>
        <w:t> </w:t>
      </w:r>
      <w:r>
        <w:rPr/>
        <w:t>and bloody</w:t>
      </w:r>
      <w:r>
        <w:rPr>
          <w:spacing w:val="-1"/>
        </w:rPr>
        <w:t> </w:t>
      </w:r>
      <w:r>
        <w:rPr/>
        <w:t>civil war between</w:t>
      </w:r>
      <w:r>
        <w:rPr>
          <w:spacing w:val="-1"/>
        </w:rPr>
        <w:t> </w:t>
      </w:r>
      <w:r>
        <w:rPr/>
        <w:t>two royal families (the</w:t>
      </w:r>
      <w:r>
        <w:rPr>
          <w:spacing w:val="23"/>
        </w:rPr>
        <w:t> </w:t>
      </w:r>
      <w:r>
        <w:rPr/>
        <w:t>House</w:t>
      </w:r>
      <w:r>
        <w:rPr>
          <w:spacing w:val="24"/>
        </w:rPr>
        <w:t> </w:t>
      </w:r>
      <w:r>
        <w:rPr/>
        <w:t>of</w:t>
      </w:r>
      <w:r>
        <w:rPr>
          <w:spacing w:val="21"/>
        </w:rPr>
        <w:t> </w:t>
      </w:r>
      <w:r>
        <w:rPr/>
        <w:t>Lancaster</w:t>
      </w:r>
      <w:r>
        <w:rPr>
          <w:spacing w:val="24"/>
        </w:rPr>
        <w:t> </w:t>
      </w:r>
      <w:r>
        <w:rPr/>
        <w:t>and</w:t>
      </w:r>
      <w:r>
        <w:rPr>
          <w:spacing w:val="24"/>
        </w:rPr>
        <w:t> </w:t>
      </w:r>
      <w:r>
        <w:rPr/>
        <w:t>the</w:t>
      </w:r>
      <w:r>
        <w:rPr>
          <w:spacing w:val="24"/>
        </w:rPr>
        <w:t> </w:t>
      </w:r>
      <w:r>
        <w:rPr/>
        <w:t>House</w:t>
      </w:r>
      <w:r>
        <w:rPr>
          <w:spacing w:val="23"/>
        </w:rPr>
        <w:t> </w:t>
      </w:r>
      <w:r>
        <w:rPr/>
        <w:t>of</w:t>
      </w:r>
      <w:r>
        <w:rPr>
          <w:spacing w:val="16"/>
        </w:rPr>
        <w:t> </w:t>
      </w:r>
      <w:r>
        <w:rPr/>
        <w:t>York)</w:t>
      </w:r>
      <w:r>
        <w:rPr>
          <w:spacing w:val="24"/>
        </w:rPr>
        <w:t> </w:t>
      </w:r>
      <w:r>
        <w:rPr/>
        <w:t>in</w:t>
      </w:r>
      <w:r>
        <w:rPr>
          <w:spacing w:val="21"/>
        </w:rPr>
        <w:t> </w:t>
      </w:r>
      <w:r>
        <w:rPr/>
        <w:t>the</w:t>
      </w:r>
      <w:r>
        <w:rPr>
          <w:spacing w:val="23"/>
        </w:rPr>
        <w:t> </w:t>
      </w:r>
      <w:r>
        <w:rPr/>
        <w:t>15th</w:t>
      </w:r>
      <w:r>
        <w:rPr>
          <w:spacing w:val="21"/>
        </w:rPr>
        <w:t> </w:t>
      </w:r>
      <w:r>
        <w:rPr>
          <w:spacing w:val="-2"/>
        </w:rPr>
        <w:t>century.</w:t>
      </w:r>
    </w:p>
    <w:p>
      <w:pPr>
        <w:pStyle w:val="BodyText"/>
        <w:spacing w:line="249" w:lineRule="auto" w:before="64"/>
        <w:ind w:right="1440" w:firstLine="432"/>
        <w:jc w:val="both"/>
      </w:pPr>
      <w:r>
        <w:rPr/>
        <w:t>Shakespeare did not invent these stories himself. He mostly took them from popular history books of his time, especially Holinshed’s Chronicles and Edward Hall’s history books. He changed some events and</w:t>
      </w:r>
      <w:r>
        <w:rPr>
          <w:spacing w:val="19"/>
        </w:rPr>
        <w:t> </w:t>
      </w:r>
      <w:r>
        <w:rPr/>
        <w:t>added</w:t>
      </w:r>
      <w:r>
        <w:rPr>
          <w:spacing w:val="20"/>
        </w:rPr>
        <w:t> </w:t>
      </w:r>
      <w:r>
        <w:rPr/>
        <w:t>dramatic</w:t>
      </w:r>
      <w:r>
        <w:rPr>
          <w:spacing w:val="18"/>
        </w:rPr>
        <w:t> </w:t>
      </w:r>
      <w:r>
        <w:rPr/>
        <w:t>scenes</w:t>
      </w:r>
      <w:r>
        <w:rPr>
          <w:spacing w:val="18"/>
        </w:rPr>
        <w:t> </w:t>
      </w:r>
      <w:r>
        <w:rPr/>
        <w:t>to</w:t>
      </w:r>
      <w:r>
        <w:rPr>
          <w:spacing w:val="19"/>
        </w:rPr>
        <w:t> </w:t>
      </w:r>
      <w:r>
        <w:rPr/>
        <w:t>make</w:t>
      </w:r>
      <w:r>
        <w:rPr>
          <w:spacing w:val="23"/>
        </w:rPr>
        <w:t> </w:t>
      </w:r>
      <w:r>
        <w:rPr/>
        <w:t>them</w:t>
      </w:r>
      <w:r>
        <w:rPr>
          <w:spacing w:val="15"/>
        </w:rPr>
        <w:t> </w:t>
      </w:r>
      <w:r>
        <w:rPr/>
        <w:t>more</w:t>
      </w:r>
      <w:r>
        <w:rPr>
          <w:spacing w:val="19"/>
        </w:rPr>
        <w:t> </w:t>
      </w:r>
      <w:r>
        <w:rPr/>
        <w:t>exciting</w:t>
      </w:r>
      <w:r>
        <w:rPr>
          <w:spacing w:val="18"/>
        </w:rPr>
        <w:t> </w:t>
      </w:r>
      <w:r>
        <w:rPr/>
        <w:t>for</w:t>
      </w:r>
      <w:r>
        <w:rPr>
          <w:spacing w:val="19"/>
        </w:rPr>
        <w:t> </w:t>
      </w:r>
      <w:r>
        <w:rPr/>
        <w:t>the</w:t>
      </w:r>
      <w:r>
        <w:rPr>
          <w:spacing w:val="17"/>
        </w:rPr>
        <w:t> </w:t>
      </w:r>
      <w:r>
        <w:rPr>
          <w:spacing w:val="-2"/>
        </w:rPr>
        <w:t>stage.</w:t>
      </w:r>
    </w:p>
    <w:p>
      <w:pPr>
        <w:pStyle w:val="BodyText"/>
        <w:spacing w:line="249" w:lineRule="auto" w:before="61"/>
        <w:ind w:right="1440" w:firstLine="432"/>
        <w:jc w:val="both"/>
      </w:pPr>
      <w:r>
        <w:rPr/>
        <w:t>These</w:t>
      </w:r>
      <w:r>
        <w:rPr>
          <w:spacing w:val="-6"/>
        </w:rPr>
        <w:t> </w:t>
      </w:r>
      <w:r>
        <w:rPr/>
        <w:t>plays</w:t>
      </w:r>
      <w:r>
        <w:rPr>
          <w:spacing w:val="-7"/>
        </w:rPr>
        <w:t> </w:t>
      </w:r>
      <w:r>
        <w:rPr/>
        <w:t>were</w:t>
      </w:r>
      <w:r>
        <w:rPr>
          <w:spacing w:val="-4"/>
        </w:rPr>
        <w:t> </w:t>
      </w:r>
      <w:r>
        <w:rPr/>
        <w:t>written</w:t>
      </w:r>
      <w:r>
        <w:rPr>
          <w:spacing w:val="-7"/>
        </w:rPr>
        <w:t> </w:t>
      </w:r>
      <w:r>
        <w:rPr/>
        <w:t>and</w:t>
      </w:r>
      <w:r>
        <w:rPr>
          <w:spacing w:val="-4"/>
        </w:rPr>
        <w:t> </w:t>
      </w:r>
      <w:r>
        <w:rPr/>
        <w:t>performed</w:t>
      </w:r>
      <w:r>
        <w:rPr>
          <w:spacing w:val="-4"/>
        </w:rPr>
        <w:t> </w:t>
      </w:r>
      <w:r>
        <w:rPr/>
        <w:t>during</w:t>
      </w:r>
      <w:r>
        <w:rPr>
          <w:spacing w:val="-9"/>
        </w:rPr>
        <w:t> </w:t>
      </w:r>
      <w:r>
        <w:rPr/>
        <w:t>the</w:t>
      </w:r>
      <w:r>
        <w:rPr>
          <w:spacing w:val="-6"/>
        </w:rPr>
        <w:t> </w:t>
      </w:r>
      <w:r>
        <w:rPr/>
        <w:t>reign</w:t>
      </w:r>
      <w:r>
        <w:rPr>
          <w:spacing w:val="-7"/>
        </w:rPr>
        <w:t> </w:t>
      </w:r>
      <w:r>
        <w:rPr/>
        <w:t>of</w:t>
      </w:r>
      <w:r>
        <w:rPr>
          <w:spacing w:val="-6"/>
        </w:rPr>
        <w:t> </w:t>
      </w:r>
      <w:r>
        <w:rPr/>
        <w:t>Queen Elizabeth I (1558–1603). This was important because England had a powerful woman as ruler. Many people at that time felt nervous about</w:t>
      </w:r>
      <w:r>
        <w:rPr>
          <w:spacing w:val="80"/>
        </w:rPr>
        <w:t> </w:t>
      </w:r>
      <w:r>
        <w:rPr/>
        <w:t>a woman holding so much authority. They believed men should rule, and women should be quiet and obedient. This anxiety about female power</w:t>
      </w:r>
      <w:r>
        <w:rPr>
          <w:spacing w:val="40"/>
        </w:rPr>
        <w:t> </w:t>
      </w:r>
      <w:r>
        <w:rPr/>
        <w:t>appears</w:t>
      </w:r>
      <w:r>
        <w:rPr>
          <w:spacing w:val="40"/>
        </w:rPr>
        <w:t> </w:t>
      </w:r>
      <w:r>
        <w:rPr/>
        <w:t>in</w:t>
      </w:r>
      <w:r>
        <w:rPr>
          <w:spacing w:val="40"/>
        </w:rPr>
        <w:t> </w:t>
      </w:r>
      <w:r>
        <w:rPr/>
        <w:t>many</w:t>
      </w:r>
      <w:r>
        <w:rPr>
          <w:spacing w:val="40"/>
        </w:rPr>
        <w:t> </w:t>
      </w:r>
      <w:r>
        <w:rPr/>
        <w:t>of</w:t>
      </w:r>
      <w:r>
        <w:rPr>
          <w:spacing w:val="40"/>
        </w:rPr>
        <w:t> </w:t>
      </w:r>
      <w:r>
        <w:rPr/>
        <w:t>Shakespeare’s</w:t>
      </w:r>
      <w:r>
        <w:rPr>
          <w:spacing w:val="40"/>
        </w:rPr>
        <w:t> </w:t>
      </w:r>
      <w:r>
        <w:rPr/>
        <w:t>plays.</w:t>
      </w:r>
    </w:p>
    <w:p>
      <w:pPr>
        <w:pStyle w:val="BodyText"/>
        <w:spacing w:line="249" w:lineRule="auto" w:before="62"/>
        <w:ind w:right="1439" w:firstLine="432"/>
        <w:jc w:val="both"/>
      </w:pPr>
      <w:r>
        <w:rPr/>
        <w:t>Although the main focus of the history plays is on kings, battles, and male politicians, women appear again and again in important moments. Shakespeare does not show them only as weak victims or quiet</w:t>
      </w:r>
      <w:r>
        <w:rPr>
          <w:spacing w:val="-8"/>
        </w:rPr>
        <w:t> </w:t>
      </w:r>
      <w:r>
        <w:rPr/>
        <w:t>wives.</w:t>
      </w:r>
      <w:r>
        <w:rPr>
          <w:spacing w:val="-9"/>
        </w:rPr>
        <w:t> </w:t>
      </w:r>
      <w:r>
        <w:rPr/>
        <w:t>Many</w:t>
      </w:r>
      <w:r>
        <w:rPr>
          <w:spacing w:val="-9"/>
        </w:rPr>
        <w:t> </w:t>
      </w:r>
      <w:r>
        <w:rPr/>
        <w:t>of</w:t>
      </w:r>
      <w:r>
        <w:rPr>
          <w:spacing w:val="-9"/>
        </w:rPr>
        <w:t> </w:t>
      </w:r>
      <w:r>
        <w:rPr/>
        <w:t>his</w:t>
      </w:r>
      <w:r>
        <w:rPr>
          <w:spacing w:val="-9"/>
        </w:rPr>
        <w:t> </w:t>
      </w:r>
      <w:r>
        <w:rPr/>
        <w:t>female</w:t>
      </w:r>
      <w:r>
        <w:rPr>
          <w:spacing w:val="-7"/>
        </w:rPr>
        <w:t> </w:t>
      </w:r>
      <w:r>
        <w:rPr/>
        <w:t>characters</w:t>
      </w:r>
      <w:r>
        <w:rPr>
          <w:spacing w:val="-9"/>
        </w:rPr>
        <w:t> </w:t>
      </w:r>
      <w:r>
        <w:rPr/>
        <w:t>are</w:t>
      </w:r>
      <w:r>
        <w:rPr>
          <w:spacing w:val="-8"/>
        </w:rPr>
        <w:t> </w:t>
      </w:r>
      <w:r>
        <w:rPr/>
        <w:t>strong,</w:t>
      </w:r>
      <w:r>
        <w:rPr>
          <w:spacing w:val="-6"/>
        </w:rPr>
        <w:t> </w:t>
      </w:r>
      <w:r>
        <w:rPr/>
        <w:t>clever,</w:t>
      </w:r>
      <w:r>
        <w:rPr>
          <w:spacing w:val="-9"/>
        </w:rPr>
        <w:t> </w:t>
      </w:r>
      <w:r>
        <w:rPr/>
        <w:t>and</w:t>
      </w:r>
      <w:r>
        <w:rPr>
          <w:spacing w:val="-4"/>
        </w:rPr>
        <w:t> </w:t>
      </w:r>
      <w:r>
        <w:rPr/>
        <w:t>brave. They</w:t>
      </w:r>
      <w:r>
        <w:rPr>
          <w:spacing w:val="9"/>
        </w:rPr>
        <w:t> </w:t>
      </w:r>
      <w:r>
        <w:rPr/>
        <w:t>speak</w:t>
      </w:r>
      <w:r>
        <w:rPr>
          <w:spacing w:val="10"/>
        </w:rPr>
        <w:t> </w:t>
      </w:r>
      <w:r>
        <w:rPr/>
        <w:t>boldly,</w:t>
      </w:r>
      <w:r>
        <w:rPr>
          <w:spacing w:val="15"/>
        </w:rPr>
        <w:t> </w:t>
      </w:r>
      <w:r>
        <w:rPr/>
        <w:t>influence</w:t>
      </w:r>
      <w:r>
        <w:rPr>
          <w:spacing w:val="12"/>
        </w:rPr>
        <w:t> </w:t>
      </w:r>
      <w:r>
        <w:rPr/>
        <w:t>events,</w:t>
      </w:r>
      <w:r>
        <w:rPr>
          <w:spacing w:val="13"/>
        </w:rPr>
        <w:t> </w:t>
      </w:r>
      <w:r>
        <w:rPr/>
        <w:t>and</w:t>
      </w:r>
      <w:r>
        <w:rPr>
          <w:spacing w:val="12"/>
        </w:rPr>
        <w:t> </w:t>
      </w:r>
      <w:r>
        <w:rPr/>
        <w:t>sometimes</w:t>
      </w:r>
      <w:r>
        <w:rPr>
          <w:spacing w:val="11"/>
        </w:rPr>
        <w:t> </w:t>
      </w:r>
      <w:r>
        <w:rPr/>
        <w:t>even</w:t>
      </w:r>
      <w:r>
        <w:rPr>
          <w:spacing w:val="10"/>
        </w:rPr>
        <w:t> </w:t>
      </w:r>
      <w:r>
        <w:rPr/>
        <w:t>lead</w:t>
      </w:r>
      <w:r>
        <w:rPr>
          <w:spacing w:val="15"/>
        </w:rPr>
        <w:t> </w:t>
      </w:r>
      <w:r>
        <w:rPr>
          <w:spacing w:val="-2"/>
        </w:rPr>
        <w:t>armies.</w:t>
      </w:r>
    </w:p>
    <w:p>
      <w:pPr>
        <w:pStyle w:val="BodyText"/>
        <w:spacing w:line="249" w:lineRule="auto" w:before="62"/>
        <w:ind w:right="1441" w:firstLine="432"/>
        <w:jc w:val="both"/>
      </w:pPr>
      <w:r>
        <w:rPr/>
        <w:t>In a society that expected women to stay at home, obey their husbands, and speak softly, these women on stage break the rules.</w:t>
      </w:r>
      <w:r>
        <w:rPr>
          <w:spacing w:val="80"/>
        </w:rPr>
        <w:t> </w:t>
      </w:r>
      <w:r>
        <w:rPr/>
        <w:t>They disturb the usual order of things and make the audience think differently</w:t>
      </w:r>
      <w:r>
        <w:rPr>
          <w:spacing w:val="40"/>
        </w:rPr>
        <w:t> </w:t>
      </w:r>
      <w:r>
        <w:rPr/>
        <w:t>about</w:t>
      </w:r>
      <w:r>
        <w:rPr>
          <w:spacing w:val="40"/>
        </w:rPr>
        <w:t> </w:t>
      </w:r>
      <w:r>
        <w:rPr/>
        <w:t>power</w:t>
      </w:r>
      <w:r>
        <w:rPr>
          <w:spacing w:val="40"/>
        </w:rPr>
        <w:t> </w:t>
      </w:r>
      <w:r>
        <w:rPr/>
        <w:t>and</w:t>
      </w:r>
      <w:r>
        <w:rPr>
          <w:spacing w:val="40"/>
        </w:rPr>
        <w:t> </w:t>
      </w:r>
      <w:r>
        <w:rPr/>
        <w:t>gender.</w:t>
      </w:r>
    </w:p>
    <w:p>
      <w:pPr>
        <w:pStyle w:val="BodyText"/>
        <w:spacing w:line="249" w:lineRule="auto" w:before="61"/>
        <w:ind w:right="1441" w:firstLine="432"/>
        <w:jc w:val="both"/>
      </w:pPr>
      <w:r>
        <w:rPr/>
        <w:t>The strongest and most active women appear in the Henry VI plays (Part 1, 2, and 3).</w:t>
      </w:r>
    </w:p>
    <w:p>
      <w:pPr>
        <w:pStyle w:val="BodyText"/>
        <w:spacing w:line="249" w:lineRule="auto" w:before="59"/>
        <w:ind w:right="1439" w:firstLine="432"/>
        <w:jc w:val="both"/>
      </w:pPr>
      <w:r>
        <w:rPr/>
        <w:t>Joan</w:t>
      </w:r>
      <w:r>
        <w:rPr>
          <w:spacing w:val="-13"/>
        </w:rPr>
        <w:t> </w:t>
      </w:r>
      <w:r>
        <w:rPr/>
        <w:t>la</w:t>
      </w:r>
      <w:r>
        <w:rPr>
          <w:spacing w:val="-12"/>
        </w:rPr>
        <w:t> </w:t>
      </w:r>
      <w:r>
        <w:rPr/>
        <w:t>Pucelle</w:t>
      </w:r>
      <w:r>
        <w:rPr>
          <w:spacing w:val="-9"/>
        </w:rPr>
        <w:t> </w:t>
      </w:r>
      <w:r>
        <w:rPr/>
        <w:t>(Joan</w:t>
      </w:r>
      <w:r>
        <w:rPr>
          <w:spacing w:val="-9"/>
        </w:rPr>
        <w:t> </w:t>
      </w:r>
      <w:r>
        <w:rPr/>
        <w:t>of</w:t>
      </w:r>
      <w:r>
        <w:rPr>
          <w:spacing w:val="-13"/>
        </w:rPr>
        <w:t> </w:t>
      </w:r>
      <w:r>
        <w:rPr/>
        <w:t>Arc)</w:t>
      </w:r>
      <w:r>
        <w:rPr>
          <w:spacing w:val="-5"/>
        </w:rPr>
        <w:t> </w:t>
      </w:r>
      <w:r>
        <w:rPr/>
        <w:t>in</w:t>
      </w:r>
      <w:r>
        <w:rPr>
          <w:spacing w:val="-11"/>
        </w:rPr>
        <w:t> </w:t>
      </w:r>
      <w:r>
        <w:rPr/>
        <w:t>Henry</w:t>
      </w:r>
      <w:r>
        <w:rPr>
          <w:spacing w:val="-13"/>
        </w:rPr>
        <w:t> </w:t>
      </w:r>
      <w:r>
        <w:rPr/>
        <w:t>VI,</w:t>
      </w:r>
      <w:r>
        <w:rPr>
          <w:spacing w:val="-6"/>
        </w:rPr>
        <w:t> </w:t>
      </w:r>
      <w:r>
        <w:rPr/>
        <w:t>Part</w:t>
      </w:r>
      <w:r>
        <w:rPr>
          <w:spacing w:val="-10"/>
        </w:rPr>
        <w:t> </w:t>
      </w:r>
      <w:r>
        <w:rPr/>
        <w:t>1</w:t>
      </w:r>
      <w:r>
        <w:rPr>
          <w:spacing w:val="-5"/>
        </w:rPr>
        <w:t> </w:t>
      </w:r>
      <w:r>
        <w:rPr/>
        <w:t>is</w:t>
      </w:r>
      <w:r>
        <w:rPr>
          <w:spacing w:val="-9"/>
        </w:rPr>
        <w:t> </w:t>
      </w:r>
      <w:r>
        <w:rPr/>
        <w:t>a</w:t>
      </w:r>
      <w:r>
        <w:rPr>
          <w:spacing w:val="-7"/>
        </w:rPr>
        <w:t> </w:t>
      </w:r>
      <w:r>
        <w:rPr/>
        <w:t>young</w:t>
      </w:r>
      <w:r>
        <w:rPr>
          <w:spacing w:val="-11"/>
        </w:rPr>
        <w:t> </w:t>
      </w:r>
      <w:r>
        <w:rPr/>
        <w:t>woman who dresses</w:t>
      </w:r>
      <w:r>
        <w:rPr>
          <w:spacing w:val="-1"/>
        </w:rPr>
        <w:t> </w:t>
      </w:r>
      <w:r>
        <w:rPr/>
        <w:t>in</w:t>
      </w:r>
      <w:r>
        <w:rPr>
          <w:spacing w:val="1"/>
        </w:rPr>
        <w:t> </w:t>
      </w:r>
      <w:r>
        <w:rPr/>
        <w:t>armor,</w:t>
      </w:r>
      <w:r>
        <w:rPr>
          <w:spacing w:val="2"/>
        </w:rPr>
        <w:t> </w:t>
      </w:r>
      <w:r>
        <w:rPr/>
        <w:t>leads</w:t>
      </w:r>
      <w:r>
        <w:rPr>
          <w:spacing w:val="1"/>
        </w:rPr>
        <w:t> </w:t>
      </w:r>
      <w:r>
        <w:rPr/>
        <w:t>the</w:t>
      </w:r>
      <w:r>
        <w:rPr>
          <w:spacing w:val="1"/>
        </w:rPr>
        <w:t> </w:t>
      </w:r>
      <w:r>
        <w:rPr/>
        <w:t>French</w:t>
      </w:r>
      <w:r>
        <w:rPr>
          <w:spacing w:val="-1"/>
        </w:rPr>
        <w:t> </w:t>
      </w:r>
      <w:r>
        <w:rPr/>
        <w:t>army</w:t>
      </w:r>
      <w:r>
        <w:rPr>
          <w:spacing w:val="-3"/>
        </w:rPr>
        <w:t> </w:t>
      </w:r>
      <w:r>
        <w:rPr/>
        <w:t>against England,</w:t>
      </w:r>
      <w:r>
        <w:rPr>
          <w:spacing w:val="1"/>
        </w:rPr>
        <w:t> </w:t>
      </w:r>
      <w:r>
        <w:rPr/>
        <w:t>and</w:t>
      </w:r>
      <w:r>
        <w:rPr>
          <w:spacing w:val="1"/>
        </w:rPr>
        <w:t> </w:t>
      </w:r>
      <w:r>
        <w:rPr>
          <w:spacing w:val="-4"/>
        </w:rPr>
        <w:t>wins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82560">
                <wp:simplePos x="0" y="0"/>
                <wp:positionH relativeFrom="page">
                  <wp:posOffset>2057400</wp:posOffset>
                </wp:positionH>
                <wp:positionV relativeFrom="paragraph">
                  <wp:posOffset>162604</wp:posOffset>
                </wp:positionV>
                <wp:extent cx="3657600" cy="12700"/>
                <wp:effectExtent l="0" t="0" r="0" b="0"/>
                <wp:wrapTopAndBottom/>
                <wp:docPr id="311" name="Graphic 311"/>
                <wp:cNvGraphicFramePr>
                  <a:graphicFrameLocks/>
                </wp:cNvGraphicFramePr>
                <a:graphic>
                  <a:graphicData uri="http://schemas.microsoft.com/office/word/2010/wordprocessingShape">
                    <wps:wsp>
                      <wps:cNvPr id="311" name="Graphic 31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33920;mso-wrap-distance-left:0;mso-wrap-distance-right:0" id="docshape307" filled="true" fillcolor="#000000" stroked="false">
                <v:fill type="solid"/>
                <w10:wrap type="topAndBottom"/>
              </v:rect>
            </w:pict>
          </mc:Fallback>
        </mc:AlternateContent>
      </w:r>
      <w:r>
        <w:rPr>
          <w:rFonts w:ascii="Verdana"/>
          <w:spacing w:val="-5"/>
          <w:sz w:val="18"/>
        </w:rPr>
        <w:t>104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battles with clever strategies. She is brave, witty, and confident. The English characters are shocked and frightened by her. They call her a witch because they cannot accept a woman fighting and leading like a </w:t>
      </w:r>
      <w:r>
        <w:rPr>
          <w:spacing w:val="-4"/>
        </w:rPr>
        <w:t>man.</w:t>
      </w:r>
    </w:p>
    <w:p>
      <w:pPr>
        <w:pStyle w:val="BodyText"/>
        <w:spacing w:line="249" w:lineRule="auto" w:before="61"/>
        <w:ind w:right="1440" w:firstLine="432"/>
        <w:jc w:val="both"/>
      </w:pPr>
      <w:r>
        <w:rPr/>
        <w:t>Queen Margaret of Anjou is even more powerful. She appears across all three Henry VI plays and returns in Richard III. She starts as</w:t>
      </w:r>
      <w:r>
        <w:rPr>
          <w:spacing w:val="40"/>
        </w:rPr>
        <w:t> </w:t>
      </w:r>
      <w:r>
        <w:rPr/>
        <w:t>a young foreign bride but grows into a fierce warrior queen. When her husband,</w:t>
      </w:r>
      <w:r>
        <w:rPr>
          <w:spacing w:val="-5"/>
        </w:rPr>
        <w:t> </w:t>
      </w:r>
      <w:r>
        <w:rPr/>
        <w:t>the</w:t>
      </w:r>
      <w:r>
        <w:rPr>
          <w:spacing w:val="-6"/>
        </w:rPr>
        <w:t> </w:t>
      </w:r>
      <w:r>
        <w:rPr/>
        <w:t>weak</w:t>
      </w:r>
      <w:r>
        <w:rPr>
          <w:spacing w:val="-7"/>
        </w:rPr>
        <w:t> </w:t>
      </w:r>
      <w:r>
        <w:rPr/>
        <w:t>King</w:t>
      </w:r>
      <w:r>
        <w:rPr>
          <w:spacing w:val="-7"/>
        </w:rPr>
        <w:t> </w:t>
      </w:r>
      <w:r>
        <w:rPr/>
        <w:t>Henry</w:t>
      </w:r>
      <w:r>
        <w:rPr>
          <w:spacing w:val="-10"/>
        </w:rPr>
        <w:t> </w:t>
      </w:r>
      <w:r>
        <w:rPr/>
        <w:t>VI,</w:t>
      </w:r>
      <w:r>
        <w:rPr>
          <w:spacing w:val="-5"/>
        </w:rPr>
        <w:t> </w:t>
      </w:r>
      <w:r>
        <w:rPr/>
        <w:t>fails</w:t>
      </w:r>
      <w:r>
        <w:rPr>
          <w:spacing w:val="-5"/>
        </w:rPr>
        <w:t> </w:t>
      </w:r>
      <w:r>
        <w:rPr/>
        <w:t>to</w:t>
      </w:r>
      <w:r>
        <w:rPr>
          <w:spacing w:val="-3"/>
        </w:rPr>
        <w:t> </w:t>
      </w:r>
      <w:r>
        <w:rPr/>
        <w:t>rule</w:t>
      </w:r>
      <w:r>
        <w:rPr>
          <w:spacing w:val="-4"/>
        </w:rPr>
        <w:t> </w:t>
      </w:r>
      <w:r>
        <w:rPr/>
        <w:t>properly,</w:t>
      </w:r>
      <w:r>
        <w:rPr>
          <w:spacing w:val="-5"/>
        </w:rPr>
        <w:t> </w:t>
      </w:r>
      <w:r>
        <w:rPr/>
        <w:t>Margaret</w:t>
      </w:r>
      <w:r>
        <w:rPr>
          <w:spacing w:val="-7"/>
        </w:rPr>
        <w:t> </w:t>
      </w:r>
      <w:r>
        <w:rPr/>
        <w:t>takes charge. She gives fiery speeches to soldiers, fights in battles, and even waves a cloth stained with the blood of her enemy’s child to insult his father. She is called the “she-wolf of France” because of her strength and</w:t>
      </w:r>
      <w:r>
        <w:rPr>
          <w:spacing w:val="40"/>
        </w:rPr>
        <w:t> </w:t>
      </w:r>
      <w:r>
        <w:rPr/>
        <w:t>cruelty.</w:t>
      </w:r>
    </w:p>
    <w:p>
      <w:pPr>
        <w:pStyle w:val="BodyText"/>
        <w:spacing w:line="249" w:lineRule="auto" w:before="64"/>
        <w:ind w:right="1437" w:firstLine="432"/>
        <w:jc w:val="both"/>
      </w:pPr>
      <w:r>
        <w:rPr/>
        <w:t>These women show that when men are weak or divided, women can step forward and take power. In the later history plays, especially Richard III, women become less active on the battlefield but still very important. After losing their power and loved ones, they use words as their main weapon.</w:t>
      </w:r>
    </w:p>
    <w:p>
      <w:pPr>
        <w:pStyle w:val="BodyText"/>
        <w:spacing w:line="252" w:lineRule="auto" w:before="62"/>
        <w:ind w:right="1441" w:firstLine="432"/>
        <w:jc w:val="both"/>
      </w:pPr>
      <w:r>
        <w:rPr>
          <w:spacing w:val="-2"/>
        </w:rPr>
        <w:t>In</w:t>
      </w:r>
      <w:r>
        <w:rPr>
          <w:spacing w:val="-11"/>
        </w:rPr>
        <w:t> </w:t>
      </w:r>
      <w:r>
        <w:rPr>
          <w:spacing w:val="-2"/>
        </w:rPr>
        <w:t>Richard</w:t>
      </w:r>
      <w:r>
        <w:rPr>
          <w:spacing w:val="-10"/>
        </w:rPr>
        <w:t> </w:t>
      </w:r>
      <w:r>
        <w:rPr>
          <w:spacing w:val="-2"/>
        </w:rPr>
        <w:t>III,</w:t>
      </w:r>
      <w:r>
        <w:rPr>
          <w:spacing w:val="-11"/>
        </w:rPr>
        <w:t> </w:t>
      </w:r>
      <w:r>
        <w:rPr>
          <w:spacing w:val="-2"/>
        </w:rPr>
        <w:t>several</w:t>
      </w:r>
      <w:r>
        <w:rPr>
          <w:spacing w:val="-10"/>
        </w:rPr>
        <w:t> </w:t>
      </w:r>
      <w:r>
        <w:rPr>
          <w:spacing w:val="-2"/>
        </w:rPr>
        <w:t>women</w:t>
      </w:r>
      <w:r>
        <w:rPr>
          <w:spacing w:val="-11"/>
        </w:rPr>
        <w:t> </w:t>
      </w:r>
      <w:r>
        <w:rPr>
          <w:spacing w:val="-2"/>
        </w:rPr>
        <w:t>—</w:t>
      </w:r>
      <w:r>
        <w:rPr>
          <w:spacing w:val="-9"/>
        </w:rPr>
        <w:t> </w:t>
      </w:r>
      <w:r>
        <w:rPr>
          <w:spacing w:val="-2"/>
        </w:rPr>
        <w:t>Queen</w:t>
      </w:r>
      <w:r>
        <w:rPr>
          <w:spacing w:val="-10"/>
        </w:rPr>
        <w:t> </w:t>
      </w:r>
      <w:r>
        <w:rPr>
          <w:spacing w:val="-2"/>
        </w:rPr>
        <w:t>Margaret,</w:t>
      </w:r>
      <w:r>
        <w:rPr>
          <w:spacing w:val="-8"/>
        </w:rPr>
        <w:t> </w:t>
      </w:r>
      <w:r>
        <w:rPr>
          <w:spacing w:val="-2"/>
        </w:rPr>
        <w:t>Queen</w:t>
      </w:r>
      <w:r>
        <w:rPr>
          <w:spacing w:val="-11"/>
        </w:rPr>
        <w:t> </w:t>
      </w:r>
      <w:r>
        <w:rPr>
          <w:spacing w:val="-2"/>
        </w:rPr>
        <w:t>Elizabeth, </w:t>
      </w:r>
      <w:r>
        <w:rPr/>
        <w:t>Lady Anne, and the Duchess of York — come together to share their grief. They cry, remember their dead sons and husbands, and curse Richard for his crimes. Margaret teaches the others how to turn their pain into powerful curses. Even though they cannot fight with swords anymore, their words act like a moral voice. They remind the audience of the human</w:t>
      </w:r>
      <w:r>
        <w:rPr>
          <w:spacing w:val="40"/>
        </w:rPr>
        <w:t> </w:t>
      </w:r>
      <w:r>
        <w:rPr/>
        <w:t>suffering</w:t>
      </w:r>
      <w:r>
        <w:rPr>
          <w:spacing w:val="40"/>
        </w:rPr>
        <w:t> </w:t>
      </w:r>
      <w:r>
        <w:rPr/>
        <w:t>behind</w:t>
      </w:r>
      <w:r>
        <w:rPr>
          <w:spacing w:val="40"/>
        </w:rPr>
        <w:t> </w:t>
      </w:r>
      <w:r>
        <w:rPr/>
        <w:t>the political</w:t>
      </w:r>
      <w:r>
        <w:rPr>
          <w:spacing w:val="40"/>
        </w:rPr>
        <w:t> </w:t>
      </w:r>
      <w:r>
        <w:rPr/>
        <w:t>games.</w:t>
      </w:r>
    </w:p>
    <w:p>
      <w:pPr>
        <w:pStyle w:val="BodyText"/>
        <w:spacing w:line="249" w:lineRule="auto" w:before="50"/>
        <w:ind w:right="1440" w:firstLine="432"/>
        <w:jc w:val="both"/>
      </w:pPr>
      <w:r>
        <w:rPr/>
        <w:t>A very dramatic example is the scene between Lady Anne and Richard. Anne is mourning at a funeral when Richard (who killed her father-in-law) tries to win her heart. She starts by spitting at him and cursing him. But Richard uses clever and manipulative words, and surprisingly,</w:t>
      </w:r>
      <w:r>
        <w:rPr>
          <w:spacing w:val="-1"/>
        </w:rPr>
        <w:t> </w:t>
      </w:r>
      <w:r>
        <w:rPr/>
        <w:t>she</w:t>
      </w:r>
      <w:r>
        <w:rPr>
          <w:spacing w:val="-2"/>
        </w:rPr>
        <w:t> </w:t>
      </w:r>
      <w:r>
        <w:rPr/>
        <w:t>agrees</w:t>
      </w:r>
      <w:r>
        <w:rPr>
          <w:spacing w:val="-4"/>
        </w:rPr>
        <w:t> </w:t>
      </w:r>
      <w:r>
        <w:rPr/>
        <w:t>to</w:t>
      </w:r>
      <w:r>
        <w:rPr>
          <w:spacing w:val="-1"/>
        </w:rPr>
        <w:t> </w:t>
      </w:r>
      <w:r>
        <w:rPr/>
        <w:t>marry</w:t>
      </w:r>
      <w:r>
        <w:rPr>
          <w:spacing w:val="-6"/>
        </w:rPr>
        <w:t> </w:t>
      </w:r>
      <w:r>
        <w:rPr/>
        <w:t>him.</w:t>
      </w:r>
      <w:r>
        <w:rPr>
          <w:spacing w:val="-1"/>
        </w:rPr>
        <w:t> </w:t>
      </w:r>
      <w:r>
        <w:rPr/>
        <w:t>This</w:t>
      </w:r>
      <w:r>
        <w:rPr>
          <w:spacing w:val="-4"/>
        </w:rPr>
        <w:t> </w:t>
      </w:r>
      <w:r>
        <w:rPr/>
        <w:t>scene</w:t>
      </w:r>
      <w:r>
        <w:rPr>
          <w:spacing w:val="-1"/>
        </w:rPr>
        <w:t> </w:t>
      </w:r>
      <w:r>
        <w:rPr/>
        <w:t>shows</w:t>
      </w:r>
      <w:r>
        <w:rPr>
          <w:spacing w:val="-4"/>
        </w:rPr>
        <w:t> </w:t>
      </w:r>
      <w:r>
        <w:rPr/>
        <w:t>how</w:t>
      </w:r>
      <w:r>
        <w:rPr>
          <w:spacing w:val="-6"/>
        </w:rPr>
        <w:t> </w:t>
      </w:r>
      <w:r>
        <w:rPr/>
        <w:t>dangerous male persuasion can be and how difficult life was for women trapped</w:t>
      </w:r>
      <w:r>
        <w:rPr>
          <w:spacing w:val="80"/>
        </w:rPr>
        <w:t> </w:t>
      </w:r>
      <w:r>
        <w:rPr/>
        <w:t>in political marriages.</w:t>
      </w:r>
    </w:p>
    <w:p>
      <w:pPr>
        <w:pStyle w:val="BodyText"/>
        <w:spacing w:line="249" w:lineRule="auto" w:before="63"/>
        <w:ind w:right="1438" w:firstLine="432"/>
        <w:jc w:val="both"/>
      </w:pPr>
      <w:r>
        <w:rPr/>
        <w:t>Shakespeare uses these female characters to make the dry history more</w:t>
      </w:r>
      <w:r>
        <w:rPr>
          <w:spacing w:val="-7"/>
        </w:rPr>
        <w:t> </w:t>
      </w:r>
      <w:r>
        <w:rPr/>
        <w:t>human</w:t>
      </w:r>
      <w:r>
        <w:rPr>
          <w:spacing w:val="-5"/>
        </w:rPr>
        <w:t> </w:t>
      </w:r>
      <w:r>
        <w:rPr/>
        <w:t>and</w:t>
      </w:r>
      <w:r>
        <w:rPr>
          <w:spacing w:val="-4"/>
        </w:rPr>
        <w:t> </w:t>
      </w:r>
      <w:r>
        <w:rPr/>
        <w:t>emotional.</w:t>
      </w:r>
      <w:r>
        <w:rPr>
          <w:spacing w:val="-5"/>
        </w:rPr>
        <w:t> </w:t>
      </w:r>
      <w:r>
        <w:rPr/>
        <w:t>The</w:t>
      </w:r>
      <w:r>
        <w:rPr>
          <w:spacing w:val="-6"/>
        </w:rPr>
        <w:t> </w:t>
      </w:r>
      <w:r>
        <w:rPr/>
        <w:t>men</w:t>
      </w:r>
      <w:r>
        <w:rPr>
          <w:spacing w:val="-5"/>
        </w:rPr>
        <w:t> </w:t>
      </w:r>
      <w:r>
        <w:rPr/>
        <w:t>mostly</w:t>
      </w:r>
      <w:r>
        <w:rPr>
          <w:spacing w:val="-9"/>
        </w:rPr>
        <w:t> </w:t>
      </w:r>
      <w:r>
        <w:rPr/>
        <w:t>talk</w:t>
      </w:r>
      <w:r>
        <w:rPr>
          <w:spacing w:val="-5"/>
        </w:rPr>
        <w:t> </w:t>
      </w:r>
      <w:r>
        <w:rPr/>
        <w:t>about</w:t>
      </w:r>
      <w:r>
        <w:rPr>
          <w:spacing w:val="-5"/>
        </w:rPr>
        <w:t> </w:t>
      </w:r>
      <w:r>
        <w:rPr/>
        <w:t>power,</w:t>
      </w:r>
      <w:r>
        <w:rPr>
          <w:spacing w:val="-4"/>
        </w:rPr>
        <w:t> </w:t>
      </w:r>
      <w:r>
        <w:rPr/>
        <w:t>war,</w:t>
      </w:r>
      <w:r>
        <w:rPr>
          <w:spacing w:val="-5"/>
        </w:rPr>
        <w:t> </w:t>
      </w:r>
      <w:r>
        <w:rPr/>
        <w:t>and politics.</w:t>
      </w:r>
      <w:r>
        <w:rPr>
          <w:spacing w:val="-9"/>
        </w:rPr>
        <w:t> </w:t>
      </w:r>
      <w:r>
        <w:rPr/>
        <w:t>The</w:t>
      </w:r>
      <w:r>
        <w:rPr>
          <w:spacing w:val="-9"/>
        </w:rPr>
        <w:t> </w:t>
      </w:r>
      <w:r>
        <w:rPr/>
        <w:t>women</w:t>
      </w:r>
      <w:r>
        <w:rPr>
          <w:spacing w:val="-13"/>
        </w:rPr>
        <w:t> </w:t>
      </w:r>
      <w:r>
        <w:rPr/>
        <w:t>bring</w:t>
      </w:r>
      <w:r>
        <w:rPr>
          <w:spacing w:val="-10"/>
        </w:rPr>
        <w:t> </w:t>
      </w:r>
      <w:r>
        <w:rPr/>
        <w:t>in</w:t>
      </w:r>
      <w:r>
        <w:rPr>
          <w:spacing w:val="-11"/>
        </w:rPr>
        <w:t> </w:t>
      </w:r>
      <w:r>
        <w:rPr/>
        <w:t>personal</w:t>
      </w:r>
      <w:r>
        <w:rPr>
          <w:spacing w:val="-11"/>
        </w:rPr>
        <w:t> </w:t>
      </w:r>
      <w:r>
        <w:rPr/>
        <w:t>feelings</w:t>
      </w:r>
      <w:r>
        <w:rPr>
          <w:spacing w:val="-9"/>
        </w:rPr>
        <w:t> </w:t>
      </w:r>
      <w:r>
        <w:rPr/>
        <w:t>—</w:t>
      </w:r>
      <w:r>
        <w:rPr>
          <w:spacing w:val="-11"/>
        </w:rPr>
        <w:t> </w:t>
      </w:r>
      <w:r>
        <w:rPr/>
        <w:t>love</w:t>
      </w:r>
      <w:r>
        <w:rPr>
          <w:spacing w:val="-10"/>
        </w:rPr>
        <w:t> </w:t>
      </w:r>
      <w:r>
        <w:rPr/>
        <w:t>for</w:t>
      </w:r>
      <w:r>
        <w:rPr>
          <w:spacing w:val="-7"/>
        </w:rPr>
        <w:t> </w:t>
      </w:r>
      <w:r>
        <w:rPr/>
        <w:t>their</w:t>
      </w:r>
      <w:r>
        <w:rPr>
          <w:spacing w:val="-9"/>
        </w:rPr>
        <w:t> </w:t>
      </w:r>
      <w:r>
        <w:rPr/>
        <w:t>children, grief for their husbands, and anger at injustice. Their sorrow, tears, and warnings</w:t>
      </w:r>
      <w:r>
        <w:rPr>
          <w:spacing w:val="40"/>
        </w:rPr>
        <w:t> </w:t>
      </w:r>
      <w:r>
        <w:rPr/>
        <w:t>give</w:t>
      </w:r>
      <w:r>
        <w:rPr>
          <w:spacing w:val="36"/>
        </w:rPr>
        <w:t> </w:t>
      </w:r>
      <w:r>
        <w:rPr/>
        <w:t>the</w:t>
      </w:r>
      <w:r>
        <w:rPr>
          <w:spacing w:val="40"/>
        </w:rPr>
        <w:t> </w:t>
      </w:r>
      <w:r>
        <w:rPr/>
        <w:t>plays</w:t>
      </w:r>
      <w:r>
        <w:rPr>
          <w:spacing w:val="36"/>
        </w:rPr>
        <w:t> </w:t>
      </w:r>
      <w:r>
        <w:rPr/>
        <w:t>an</w:t>
      </w:r>
      <w:r>
        <w:rPr>
          <w:spacing w:val="38"/>
        </w:rPr>
        <w:t> </w:t>
      </w:r>
      <w:r>
        <w:rPr/>
        <w:t>emotional</w:t>
      </w:r>
      <w:r>
        <w:rPr>
          <w:spacing w:val="38"/>
        </w:rPr>
        <w:t> </w:t>
      </w:r>
      <w:r>
        <w:rPr/>
        <w:t>heart</w:t>
      </w:r>
      <w:r>
        <w:rPr>
          <w:spacing w:val="36"/>
        </w:rPr>
        <w:t> </w:t>
      </w:r>
      <w:r>
        <w:rPr/>
        <w:t>and</w:t>
      </w:r>
      <w:r>
        <w:rPr>
          <w:spacing w:val="40"/>
        </w:rPr>
        <w:t> </w:t>
      </w:r>
      <w:r>
        <w:rPr/>
        <w:t>a</w:t>
      </w:r>
      <w:r>
        <w:rPr>
          <w:spacing w:val="37"/>
        </w:rPr>
        <w:t> </w:t>
      </w:r>
      <w:r>
        <w:rPr/>
        <w:t>moral</w:t>
      </w:r>
      <w:r>
        <w:rPr>
          <w:spacing w:val="40"/>
        </w:rPr>
        <w:t> </w:t>
      </w:r>
      <w:r>
        <w:rPr/>
        <w:t>balance.</w:t>
      </w:r>
    </w:p>
    <w:p>
      <w:pPr>
        <w:pStyle w:val="BodyText"/>
        <w:spacing w:line="249" w:lineRule="auto" w:before="62"/>
        <w:ind w:right="1438" w:firstLine="432"/>
        <w:jc w:val="both"/>
      </w:pPr>
      <w:r>
        <w:rPr/>
        <w:t>Modern</w:t>
      </w:r>
      <w:r>
        <w:rPr>
          <w:spacing w:val="-13"/>
        </w:rPr>
        <w:t> </w:t>
      </w:r>
      <w:r>
        <w:rPr/>
        <w:t>scholars,</w:t>
      </w:r>
      <w:r>
        <w:rPr>
          <w:spacing w:val="-12"/>
        </w:rPr>
        <w:t> </w:t>
      </w:r>
      <w:r>
        <w:rPr/>
        <w:t>especially</w:t>
      </w:r>
      <w:r>
        <w:rPr>
          <w:spacing w:val="-13"/>
        </w:rPr>
        <w:t> </w:t>
      </w:r>
      <w:r>
        <w:rPr/>
        <w:t>those</w:t>
      </w:r>
      <w:r>
        <w:rPr>
          <w:spacing w:val="-10"/>
        </w:rPr>
        <w:t> </w:t>
      </w:r>
      <w:r>
        <w:rPr/>
        <w:t>who</w:t>
      </w:r>
      <w:r>
        <w:rPr>
          <w:spacing w:val="-10"/>
        </w:rPr>
        <w:t> </w:t>
      </w:r>
      <w:r>
        <w:rPr/>
        <w:t>study</w:t>
      </w:r>
      <w:r>
        <w:rPr>
          <w:spacing w:val="-13"/>
        </w:rPr>
        <w:t> </w:t>
      </w:r>
      <w:r>
        <w:rPr/>
        <w:t>gender</w:t>
      </w:r>
      <w:r>
        <w:rPr>
          <w:spacing w:val="-8"/>
        </w:rPr>
        <w:t> </w:t>
      </w:r>
      <w:r>
        <w:rPr/>
        <w:t>and</w:t>
      </w:r>
      <w:r>
        <w:rPr>
          <w:spacing w:val="-10"/>
        </w:rPr>
        <w:t> </w:t>
      </w:r>
      <w:r>
        <w:rPr/>
        <w:t>feminism, say these women challenge the official male version of history. They show</w:t>
      </w:r>
      <w:r>
        <w:rPr>
          <w:spacing w:val="11"/>
        </w:rPr>
        <w:t> </w:t>
      </w:r>
      <w:r>
        <w:rPr/>
        <w:t>that</w:t>
      </w:r>
      <w:r>
        <w:rPr>
          <w:spacing w:val="16"/>
        </w:rPr>
        <w:t> </w:t>
      </w:r>
      <w:r>
        <w:rPr/>
        <w:t>women</w:t>
      </w:r>
      <w:r>
        <w:rPr>
          <w:spacing w:val="13"/>
        </w:rPr>
        <w:t> </w:t>
      </w:r>
      <w:r>
        <w:rPr/>
        <w:t>also</w:t>
      </w:r>
      <w:r>
        <w:rPr>
          <w:spacing w:val="16"/>
        </w:rPr>
        <w:t> </w:t>
      </w:r>
      <w:r>
        <w:rPr/>
        <w:t>have</w:t>
      </w:r>
      <w:r>
        <w:rPr>
          <w:spacing w:val="16"/>
        </w:rPr>
        <w:t> </w:t>
      </w:r>
      <w:r>
        <w:rPr/>
        <w:t>important</w:t>
      </w:r>
      <w:r>
        <w:rPr>
          <w:spacing w:val="14"/>
        </w:rPr>
        <w:t> </w:t>
      </w:r>
      <w:r>
        <w:rPr/>
        <w:t>roles</w:t>
      </w:r>
      <w:r>
        <w:rPr>
          <w:spacing w:val="15"/>
        </w:rPr>
        <w:t> </w:t>
      </w:r>
      <w:r>
        <w:rPr/>
        <w:t>in</w:t>
      </w:r>
      <w:r>
        <w:rPr>
          <w:spacing w:val="14"/>
        </w:rPr>
        <w:t> </w:t>
      </w:r>
      <w:r>
        <w:rPr/>
        <w:t>shaping</w:t>
      </w:r>
      <w:r>
        <w:rPr>
          <w:spacing w:val="14"/>
        </w:rPr>
        <w:t> </w:t>
      </w:r>
      <w:r>
        <w:rPr/>
        <w:t>events,</w:t>
      </w:r>
      <w:r>
        <w:rPr>
          <w:spacing w:val="15"/>
        </w:rPr>
        <w:t> </w:t>
      </w:r>
      <w:r>
        <w:rPr/>
        <w:t>even</w:t>
      </w:r>
      <w:r>
        <w:rPr>
          <w:spacing w:val="14"/>
        </w:rPr>
        <w:t> </w:t>
      </w:r>
      <w:r>
        <w:rPr>
          <w:spacing w:val="-5"/>
        </w:rPr>
        <w:t>if</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83072">
                <wp:simplePos x="0" y="0"/>
                <wp:positionH relativeFrom="page">
                  <wp:posOffset>2065020</wp:posOffset>
                </wp:positionH>
                <wp:positionV relativeFrom="paragraph">
                  <wp:posOffset>795020</wp:posOffset>
                </wp:positionV>
                <wp:extent cx="3657600" cy="12700"/>
                <wp:effectExtent l="0" t="0" r="0" b="0"/>
                <wp:wrapTopAndBottom/>
                <wp:docPr id="312" name="Graphic 312"/>
                <wp:cNvGraphicFramePr>
                  <a:graphicFrameLocks/>
                </wp:cNvGraphicFramePr>
                <a:graphic>
                  <a:graphicData uri="http://schemas.microsoft.com/office/word/2010/wordprocessingShape">
                    <wps:wsp>
                      <wps:cNvPr id="312" name="Graphic 31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33408;mso-wrap-distance-left:0;mso-wrap-distance-right:0" id="docshape308" filled="true" fillcolor="#000000" stroked="false">
                <v:fill type="solid"/>
                <w10:wrap type="topAndBottom"/>
              </v:rect>
            </w:pict>
          </mc:Fallback>
        </mc:AlternateContent>
      </w:r>
      <w:r>
        <w:rPr>
          <w:rFonts w:ascii="Verdana" w:hAnsi="Verdana"/>
          <w:spacing w:val="-2"/>
          <w:sz w:val="18"/>
        </w:rPr>
        <w:t>Women</w:t>
      </w:r>
      <w:r>
        <w:rPr>
          <w:rFonts w:ascii="Verdana" w:hAnsi="Verdana"/>
          <w:spacing w:val="1"/>
          <w:sz w:val="18"/>
        </w:rPr>
        <w:t> </w:t>
      </w:r>
      <w:r>
        <w:rPr>
          <w:rFonts w:ascii="Verdana" w:hAnsi="Verdana"/>
          <w:spacing w:val="-2"/>
          <w:sz w:val="18"/>
        </w:rPr>
        <w:t>in</w:t>
      </w:r>
      <w:r>
        <w:rPr>
          <w:rFonts w:ascii="Verdana" w:hAnsi="Verdana"/>
          <w:spacing w:val="3"/>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Historical</w:t>
      </w:r>
      <w:r>
        <w:rPr>
          <w:rFonts w:ascii="Verdana" w:hAnsi="Verdana"/>
          <w:spacing w:val="2"/>
          <w:sz w:val="18"/>
        </w:rPr>
        <w:t> </w:t>
      </w:r>
      <w:r>
        <w:rPr>
          <w:rFonts w:ascii="Verdana" w:hAnsi="Verdana"/>
          <w:spacing w:val="-2"/>
          <w:sz w:val="18"/>
        </w:rPr>
        <w:t>Plays:</w:t>
      </w:r>
      <w:r>
        <w:rPr>
          <w:rFonts w:ascii="Verdana" w:hAnsi="Verdana"/>
          <w:spacing w:val="1"/>
          <w:sz w:val="18"/>
        </w:rPr>
        <w:t> </w:t>
      </w:r>
      <w:r>
        <w:rPr>
          <w:rFonts w:ascii="Verdana" w:hAnsi="Verdana"/>
          <w:spacing w:val="-2"/>
          <w:sz w:val="18"/>
        </w:rPr>
        <w:t>Power...</w:t>
      </w:r>
      <w:r>
        <w:rPr>
          <w:sz w:val="18"/>
        </w:rPr>
        <w:tab/>
      </w:r>
      <w:r>
        <w:rPr>
          <w:rFonts w:ascii="Verdana" w:hAnsi="Verdana"/>
          <w:spacing w:val="-5"/>
          <w:sz w:val="18"/>
        </w:rPr>
        <w:t>105</w:t>
      </w:r>
    </w:p>
    <w:p>
      <w:pPr>
        <w:pStyle w:val="BodyText"/>
        <w:spacing w:line="249" w:lineRule="auto" w:before="192"/>
        <w:ind w:right="1442"/>
        <w:jc w:val="both"/>
      </w:pPr>
      <w:r>
        <w:rPr/>
        <w:t>history</w:t>
      </w:r>
      <w:r>
        <w:rPr>
          <w:spacing w:val="-9"/>
        </w:rPr>
        <w:t> </w:t>
      </w:r>
      <w:r>
        <w:rPr/>
        <w:t>books</w:t>
      </w:r>
      <w:r>
        <w:rPr>
          <w:spacing w:val="-5"/>
        </w:rPr>
        <w:t> </w:t>
      </w:r>
      <w:r>
        <w:rPr/>
        <w:t>often</w:t>
      </w:r>
      <w:r>
        <w:rPr>
          <w:spacing w:val="-7"/>
        </w:rPr>
        <w:t> </w:t>
      </w:r>
      <w:r>
        <w:rPr/>
        <w:t>ignore</w:t>
      </w:r>
      <w:r>
        <w:rPr>
          <w:spacing w:val="-6"/>
        </w:rPr>
        <w:t> </w:t>
      </w:r>
      <w:r>
        <w:rPr/>
        <w:t>them.</w:t>
      </w:r>
      <w:r>
        <w:rPr>
          <w:spacing w:val="-5"/>
        </w:rPr>
        <w:t> </w:t>
      </w:r>
      <w:r>
        <w:rPr/>
        <w:t>Through</w:t>
      </w:r>
      <w:r>
        <w:rPr>
          <w:spacing w:val="-7"/>
        </w:rPr>
        <w:t> </w:t>
      </w:r>
      <w:r>
        <w:rPr/>
        <w:t>these</w:t>
      </w:r>
      <w:r>
        <w:rPr>
          <w:spacing w:val="-4"/>
        </w:rPr>
        <w:t> </w:t>
      </w:r>
      <w:r>
        <w:rPr/>
        <w:t>characters,</w:t>
      </w:r>
      <w:r>
        <w:rPr>
          <w:spacing w:val="-7"/>
        </w:rPr>
        <w:t> </w:t>
      </w:r>
      <w:r>
        <w:rPr/>
        <w:t>Shakespeare explores</w:t>
      </w:r>
      <w:r>
        <w:rPr>
          <w:spacing w:val="40"/>
        </w:rPr>
        <w:t> </w:t>
      </w:r>
      <w:r>
        <w:rPr/>
        <w:t>questions</w:t>
      </w:r>
      <w:r>
        <w:rPr>
          <w:spacing w:val="40"/>
        </w:rPr>
        <w:t> </w:t>
      </w:r>
      <w:r>
        <w:rPr/>
        <w:t>such</w:t>
      </w:r>
      <w:r>
        <w:rPr>
          <w:spacing w:val="40"/>
        </w:rPr>
        <w:t> </w:t>
      </w:r>
      <w:r>
        <w:rPr/>
        <w:t>as:</w:t>
      </w:r>
    </w:p>
    <w:p>
      <w:pPr>
        <w:pStyle w:val="BodyText"/>
        <w:spacing w:line="309" w:lineRule="auto" w:before="59"/>
        <w:ind w:left="1872" w:right="3231"/>
        <w:jc w:val="both"/>
      </w:pPr>
      <w:r>
        <w:rPr/>
        <w:t>What happens when women take power? How</w:t>
      </w:r>
      <w:r>
        <w:rPr>
          <w:spacing w:val="27"/>
        </w:rPr>
        <w:t> </w:t>
      </w:r>
      <w:r>
        <w:rPr/>
        <w:t>does</w:t>
      </w:r>
      <w:r>
        <w:rPr>
          <w:spacing w:val="32"/>
        </w:rPr>
        <w:t> </w:t>
      </w:r>
      <w:r>
        <w:rPr/>
        <w:t>society</w:t>
      </w:r>
      <w:r>
        <w:rPr>
          <w:spacing w:val="26"/>
        </w:rPr>
        <w:t> </w:t>
      </w:r>
      <w:r>
        <w:rPr/>
        <w:t>react</w:t>
      </w:r>
      <w:r>
        <w:rPr>
          <w:spacing w:val="32"/>
        </w:rPr>
        <w:t> </w:t>
      </w:r>
      <w:r>
        <w:rPr/>
        <w:t>to</w:t>
      </w:r>
      <w:r>
        <w:rPr>
          <w:spacing w:val="34"/>
        </w:rPr>
        <w:t> </w:t>
      </w:r>
      <w:r>
        <w:rPr/>
        <w:t>strong</w:t>
      </w:r>
      <w:r>
        <w:rPr>
          <w:spacing w:val="32"/>
        </w:rPr>
        <w:t> </w:t>
      </w:r>
      <w:r>
        <w:rPr>
          <w:spacing w:val="-2"/>
        </w:rPr>
        <w:t>women?</w:t>
      </w:r>
    </w:p>
    <w:p>
      <w:pPr>
        <w:pStyle w:val="BodyText"/>
        <w:spacing w:line="249" w:lineRule="auto" w:before="2"/>
        <w:ind w:right="1440" w:firstLine="432"/>
        <w:jc w:val="both"/>
      </w:pPr>
      <w:r>
        <w:rPr/>
        <w:t>Can women find power through words when they cannot use </w:t>
      </w:r>
      <w:r>
        <w:rPr>
          <w:spacing w:val="-2"/>
        </w:rPr>
        <w:t>weapons?</w:t>
      </w:r>
    </w:p>
    <w:p>
      <w:pPr>
        <w:pStyle w:val="BodyText"/>
        <w:spacing w:line="249" w:lineRule="auto" w:before="62"/>
        <w:ind w:right="1440" w:firstLine="432"/>
        <w:jc w:val="both"/>
      </w:pPr>
      <w:r>
        <w:rPr/>
        <w:t>Strong Women Warriors: Joan la Pucelle and Margaret of Anjou in Shakespeare’s Henry VI Plays</w:t>
      </w:r>
    </w:p>
    <w:p>
      <w:pPr>
        <w:pStyle w:val="BodyText"/>
        <w:spacing w:line="249" w:lineRule="auto" w:before="59"/>
        <w:ind w:right="1441" w:firstLine="432"/>
        <w:jc w:val="both"/>
      </w:pPr>
      <w:r>
        <w:rPr/>
        <w:t>Shakespeare’s</w:t>
      </w:r>
      <w:r>
        <w:rPr>
          <w:spacing w:val="-9"/>
        </w:rPr>
        <w:t> </w:t>
      </w:r>
      <w:r>
        <w:rPr/>
        <w:t>Henry</w:t>
      </w:r>
      <w:r>
        <w:rPr>
          <w:spacing w:val="-13"/>
        </w:rPr>
        <w:t> </w:t>
      </w:r>
      <w:r>
        <w:rPr/>
        <w:t>VI</w:t>
      </w:r>
      <w:r>
        <w:rPr>
          <w:spacing w:val="-8"/>
        </w:rPr>
        <w:t> </w:t>
      </w:r>
      <w:r>
        <w:rPr/>
        <w:t>plays</w:t>
      </w:r>
      <w:r>
        <w:rPr>
          <w:spacing w:val="-8"/>
        </w:rPr>
        <w:t> </w:t>
      </w:r>
      <w:r>
        <w:rPr/>
        <w:t>(Part</w:t>
      </w:r>
      <w:r>
        <w:rPr>
          <w:spacing w:val="-8"/>
        </w:rPr>
        <w:t> </w:t>
      </w:r>
      <w:r>
        <w:rPr/>
        <w:t>1,</w:t>
      </w:r>
      <w:r>
        <w:rPr>
          <w:spacing w:val="-10"/>
        </w:rPr>
        <w:t> </w:t>
      </w:r>
      <w:r>
        <w:rPr/>
        <w:t>Part</w:t>
      </w:r>
      <w:r>
        <w:rPr>
          <w:spacing w:val="-8"/>
        </w:rPr>
        <w:t> </w:t>
      </w:r>
      <w:r>
        <w:rPr/>
        <w:t>2,</w:t>
      </w:r>
      <w:r>
        <w:rPr>
          <w:spacing w:val="-7"/>
        </w:rPr>
        <w:t> </w:t>
      </w:r>
      <w:r>
        <w:rPr/>
        <w:t>and</w:t>
      </w:r>
      <w:r>
        <w:rPr>
          <w:spacing w:val="-7"/>
        </w:rPr>
        <w:t> </w:t>
      </w:r>
      <w:r>
        <w:rPr/>
        <w:t>Part</w:t>
      </w:r>
      <w:r>
        <w:rPr>
          <w:spacing w:val="-8"/>
        </w:rPr>
        <w:t> </w:t>
      </w:r>
      <w:r>
        <w:rPr/>
        <w:t>3)</w:t>
      </w:r>
      <w:r>
        <w:rPr>
          <w:spacing w:val="-8"/>
        </w:rPr>
        <w:t> </w:t>
      </w:r>
      <w:r>
        <w:rPr/>
        <w:t>show</w:t>
      </w:r>
      <w:r>
        <w:rPr>
          <w:spacing w:val="-12"/>
        </w:rPr>
        <w:t> </w:t>
      </w:r>
      <w:r>
        <w:rPr/>
        <w:t>two of his strongest and most interesting female characters — Joan la Pucelle (Joan of</w:t>
      </w:r>
      <w:r>
        <w:rPr>
          <w:spacing w:val="-5"/>
        </w:rPr>
        <w:t> </w:t>
      </w:r>
      <w:r>
        <w:rPr/>
        <w:t>Arc) and Margaret of</w:t>
      </w:r>
      <w:r>
        <w:rPr>
          <w:spacing w:val="-3"/>
        </w:rPr>
        <w:t> </w:t>
      </w:r>
      <w:r>
        <w:rPr/>
        <w:t>Anjou. These women are brave, active, and powerful. They fight in wars, give powerful speeches, and challenge</w:t>
      </w:r>
      <w:r>
        <w:rPr>
          <w:spacing w:val="-9"/>
        </w:rPr>
        <w:t> </w:t>
      </w:r>
      <w:r>
        <w:rPr/>
        <w:t>the</w:t>
      </w:r>
      <w:r>
        <w:rPr>
          <w:spacing w:val="-7"/>
        </w:rPr>
        <w:t> </w:t>
      </w:r>
      <w:r>
        <w:rPr/>
        <w:t>usual</w:t>
      </w:r>
      <w:r>
        <w:rPr>
          <w:spacing w:val="-9"/>
        </w:rPr>
        <w:t> </w:t>
      </w:r>
      <w:r>
        <w:rPr/>
        <w:t>rules</w:t>
      </w:r>
      <w:r>
        <w:rPr>
          <w:spacing w:val="-9"/>
        </w:rPr>
        <w:t> </w:t>
      </w:r>
      <w:r>
        <w:rPr/>
        <w:t>for</w:t>
      </w:r>
      <w:r>
        <w:rPr>
          <w:spacing w:val="-5"/>
        </w:rPr>
        <w:t> </w:t>
      </w:r>
      <w:r>
        <w:rPr/>
        <w:t>women.</w:t>
      </w:r>
      <w:r>
        <w:rPr>
          <w:spacing w:val="-9"/>
        </w:rPr>
        <w:t> </w:t>
      </w:r>
      <w:r>
        <w:rPr/>
        <w:t>Though</w:t>
      </w:r>
      <w:r>
        <w:rPr>
          <w:spacing w:val="-9"/>
        </w:rPr>
        <w:t> </w:t>
      </w:r>
      <w:r>
        <w:rPr/>
        <w:t>they</w:t>
      </w:r>
      <w:r>
        <w:rPr>
          <w:spacing w:val="-9"/>
        </w:rPr>
        <w:t> </w:t>
      </w:r>
      <w:r>
        <w:rPr/>
        <w:t>live</w:t>
      </w:r>
      <w:r>
        <w:rPr>
          <w:spacing w:val="-8"/>
        </w:rPr>
        <w:t> </w:t>
      </w:r>
      <w:r>
        <w:rPr/>
        <w:t>in</w:t>
      </w:r>
      <w:r>
        <w:rPr>
          <w:spacing w:val="-9"/>
        </w:rPr>
        <w:t> </w:t>
      </w:r>
      <w:r>
        <w:rPr/>
        <w:t>a</w:t>
      </w:r>
      <w:r>
        <w:rPr>
          <w:spacing w:val="-7"/>
        </w:rPr>
        <w:t> </w:t>
      </w:r>
      <w:r>
        <w:rPr/>
        <w:t>man’s</w:t>
      </w:r>
      <w:r>
        <w:rPr>
          <w:spacing w:val="-9"/>
        </w:rPr>
        <w:t> </w:t>
      </w:r>
      <w:r>
        <w:rPr/>
        <w:t>world, they</w:t>
      </w:r>
      <w:r>
        <w:rPr>
          <w:spacing w:val="40"/>
        </w:rPr>
        <w:t> </w:t>
      </w:r>
      <w:r>
        <w:rPr/>
        <w:t>take</w:t>
      </w:r>
      <w:r>
        <w:rPr>
          <w:spacing w:val="40"/>
        </w:rPr>
        <w:t> </w:t>
      </w:r>
      <w:r>
        <w:rPr/>
        <w:t>control</w:t>
      </w:r>
      <w:r>
        <w:rPr>
          <w:spacing w:val="40"/>
        </w:rPr>
        <w:t> </w:t>
      </w:r>
      <w:r>
        <w:rPr/>
        <w:t>and</w:t>
      </w:r>
      <w:r>
        <w:rPr>
          <w:spacing w:val="40"/>
        </w:rPr>
        <w:t> </w:t>
      </w:r>
      <w:r>
        <w:rPr/>
        <w:t>shape</w:t>
      </w:r>
      <w:r>
        <w:rPr>
          <w:spacing w:val="40"/>
        </w:rPr>
        <w:t> </w:t>
      </w:r>
      <w:r>
        <w:rPr/>
        <w:t>the</w:t>
      </w:r>
      <w:r>
        <w:rPr>
          <w:spacing w:val="40"/>
        </w:rPr>
        <w:t> </w:t>
      </w:r>
      <w:r>
        <w:rPr/>
        <w:t>story.</w:t>
      </w:r>
    </w:p>
    <w:p>
      <w:pPr>
        <w:pStyle w:val="Heading3"/>
        <w:spacing w:before="158"/>
        <w:jc w:val="both"/>
      </w:pPr>
      <w:r>
        <w:rPr>
          <w:w w:val="90"/>
        </w:rPr>
        <w:t>JOAN</w:t>
      </w:r>
      <w:r>
        <w:rPr>
          <w:spacing w:val="18"/>
        </w:rPr>
        <w:t> </w:t>
      </w:r>
      <w:r>
        <w:rPr>
          <w:w w:val="90"/>
        </w:rPr>
        <w:t>LA</w:t>
      </w:r>
      <w:r>
        <w:rPr>
          <w:spacing w:val="16"/>
        </w:rPr>
        <w:t> </w:t>
      </w:r>
      <w:r>
        <w:rPr>
          <w:w w:val="90"/>
        </w:rPr>
        <w:t>PUCELLE:</w:t>
      </w:r>
      <w:r>
        <w:rPr>
          <w:spacing w:val="14"/>
        </w:rPr>
        <w:t> </w:t>
      </w:r>
      <w:r>
        <w:rPr>
          <w:w w:val="90"/>
        </w:rPr>
        <w:t>THE</w:t>
      </w:r>
      <w:r>
        <w:rPr>
          <w:spacing w:val="15"/>
        </w:rPr>
        <w:t> </w:t>
      </w:r>
      <w:r>
        <w:rPr>
          <w:w w:val="90"/>
        </w:rPr>
        <w:t>BRAVE</w:t>
      </w:r>
      <w:r>
        <w:rPr>
          <w:spacing w:val="16"/>
        </w:rPr>
        <w:t> </w:t>
      </w:r>
      <w:r>
        <w:rPr>
          <w:w w:val="90"/>
        </w:rPr>
        <w:t>FRENCH</w:t>
      </w:r>
      <w:r>
        <w:rPr>
          <w:spacing w:val="16"/>
        </w:rPr>
        <w:t> </w:t>
      </w:r>
      <w:r>
        <w:rPr>
          <w:spacing w:val="-2"/>
          <w:w w:val="90"/>
        </w:rPr>
        <w:t>FIGHTER</w:t>
      </w:r>
    </w:p>
    <w:p>
      <w:pPr>
        <w:pStyle w:val="BodyText"/>
        <w:spacing w:line="249" w:lineRule="auto" w:before="76"/>
        <w:ind w:right="1438" w:firstLine="432"/>
        <w:jc w:val="both"/>
      </w:pPr>
      <w:r>
        <w:rPr/>
        <w:t>Joan appears mainly in Henry VI, Part 1. She is based on the real French</w:t>
      </w:r>
      <w:r>
        <w:rPr>
          <w:spacing w:val="11"/>
        </w:rPr>
        <w:t> </w:t>
      </w:r>
      <w:r>
        <w:rPr/>
        <w:t>heroine</w:t>
      </w:r>
      <w:r>
        <w:rPr>
          <w:spacing w:val="13"/>
        </w:rPr>
        <w:t> </w:t>
      </w:r>
      <w:r>
        <w:rPr/>
        <w:t>Joan</w:t>
      </w:r>
      <w:r>
        <w:rPr>
          <w:spacing w:val="13"/>
        </w:rPr>
        <w:t> </w:t>
      </w:r>
      <w:r>
        <w:rPr/>
        <w:t>of Arc.</w:t>
      </w:r>
      <w:r>
        <w:rPr>
          <w:spacing w:val="13"/>
        </w:rPr>
        <w:t> </w:t>
      </w:r>
      <w:r>
        <w:rPr/>
        <w:t>In</w:t>
      </w:r>
      <w:r>
        <w:rPr>
          <w:spacing w:val="11"/>
        </w:rPr>
        <w:t> </w:t>
      </w:r>
      <w:r>
        <w:rPr/>
        <w:t>the</w:t>
      </w:r>
      <w:r>
        <w:rPr>
          <w:spacing w:val="15"/>
        </w:rPr>
        <w:t> </w:t>
      </w:r>
      <w:r>
        <w:rPr/>
        <w:t>play,</w:t>
      </w:r>
      <w:r>
        <w:rPr>
          <w:spacing w:val="15"/>
        </w:rPr>
        <w:t> </w:t>
      </w:r>
      <w:r>
        <w:rPr/>
        <w:t>Joan</w:t>
      </w:r>
      <w:r>
        <w:rPr>
          <w:spacing w:val="11"/>
        </w:rPr>
        <w:t> </w:t>
      </w:r>
      <w:r>
        <w:rPr/>
        <w:t>is</w:t>
      </w:r>
      <w:r>
        <w:rPr>
          <w:spacing w:val="13"/>
        </w:rPr>
        <w:t> </w:t>
      </w:r>
      <w:r>
        <w:rPr/>
        <w:t>a</w:t>
      </w:r>
      <w:r>
        <w:rPr>
          <w:spacing w:val="16"/>
        </w:rPr>
        <w:t> </w:t>
      </w:r>
      <w:r>
        <w:rPr/>
        <w:t>young</w:t>
      </w:r>
      <w:r>
        <w:rPr>
          <w:spacing w:val="11"/>
        </w:rPr>
        <w:t> </w:t>
      </w:r>
      <w:r>
        <w:rPr/>
        <w:t>woman</w:t>
      </w:r>
      <w:r>
        <w:rPr>
          <w:spacing w:val="11"/>
        </w:rPr>
        <w:t> </w:t>
      </w:r>
      <w:r>
        <w:rPr/>
        <w:t>from a village who hears voices from heaven. She believes God has chosen her</w:t>
      </w:r>
      <w:r>
        <w:rPr>
          <w:spacing w:val="40"/>
        </w:rPr>
        <w:t> </w:t>
      </w:r>
      <w:r>
        <w:rPr/>
        <w:t>to</w:t>
      </w:r>
      <w:r>
        <w:rPr>
          <w:spacing w:val="40"/>
        </w:rPr>
        <w:t> </w:t>
      </w:r>
      <w:r>
        <w:rPr/>
        <w:t>lead</w:t>
      </w:r>
      <w:r>
        <w:rPr>
          <w:spacing w:val="40"/>
        </w:rPr>
        <w:t> </w:t>
      </w:r>
      <w:r>
        <w:rPr/>
        <w:t>the</w:t>
      </w:r>
      <w:r>
        <w:rPr>
          <w:spacing w:val="40"/>
        </w:rPr>
        <w:t> </w:t>
      </w:r>
      <w:r>
        <w:rPr/>
        <w:t>French</w:t>
      </w:r>
      <w:r>
        <w:rPr>
          <w:spacing w:val="40"/>
        </w:rPr>
        <w:t> </w:t>
      </w:r>
      <w:r>
        <w:rPr/>
        <w:t>army against</w:t>
      </w:r>
      <w:r>
        <w:rPr>
          <w:spacing w:val="40"/>
        </w:rPr>
        <w:t> </w:t>
      </w:r>
      <w:r>
        <w:rPr/>
        <w:t>the</w:t>
      </w:r>
      <w:r>
        <w:rPr>
          <w:spacing w:val="40"/>
        </w:rPr>
        <w:t> </w:t>
      </w:r>
      <w:r>
        <w:rPr/>
        <w:t>English.</w:t>
      </w:r>
    </w:p>
    <w:p>
      <w:pPr>
        <w:pStyle w:val="BodyText"/>
        <w:spacing w:line="249" w:lineRule="auto" w:before="61"/>
        <w:ind w:right="1437" w:firstLine="432"/>
        <w:jc w:val="both"/>
      </w:pPr>
      <w:r>
        <w:rPr/>
        <w:t>Joan is very smart and courageous. She does not win battles only with strength — she uses clever plans and quick thinking. She defeats </w:t>
      </w:r>
      <w:r>
        <w:rPr>
          <w:spacing w:val="-2"/>
        </w:rPr>
        <w:t>famous</w:t>
      </w:r>
      <w:r>
        <w:rPr>
          <w:spacing w:val="-10"/>
        </w:rPr>
        <w:t> </w:t>
      </w:r>
      <w:r>
        <w:rPr>
          <w:spacing w:val="-2"/>
        </w:rPr>
        <w:t>English</w:t>
      </w:r>
      <w:r>
        <w:rPr>
          <w:spacing w:val="-9"/>
        </w:rPr>
        <w:t> </w:t>
      </w:r>
      <w:r>
        <w:rPr>
          <w:spacing w:val="-2"/>
        </w:rPr>
        <w:t>soldiers</w:t>
      </w:r>
      <w:r>
        <w:rPr>
          <w:spacing w:val="-9"/>
        </w:rPr>
        <w:t> </w:t>
      </w:r>
      <w:r>
        <w:rPr>
          <w:spacing w:val="-2"/>
        </w:rPr>
        <w:t>like</w:t>
      </w:r>
      <w:r>
        <w:rPr>
          <w:spacing w:val="-9"/>
        </w:rPr>
        <w:t> </w:t>
      </w:r>
      <w:r>
        <w:rPr>
          <w:spacing w:val="-2"/>
        </w:rPr>
        <w:t>Lord</w:t>
      </w:r>
      <w:r>
        <w:rPr>
          <w:spacing w:val="-11"/>
        </w:rPr>
        <w:t> </w:t>
      </w:r>
      <w:r>
        <w:rPr>
          <w:spacing w:val="-2"/>
        </w:rPr>
        <w:t>Talbot.</w:t>
      </w:r>
      <w:r>
        <w:rPr>
          <w:spacing w:val="-9"/>
        </w:rPr>
        <w:t> </w:t>
      </w:r>
      <w:r>
        <w:rPr>
          <w:spacing w:val="-2"/>
        </w:rPr>
        <w:t>She</w:t>
      </w:r>
      <w:r>
        <w:rPr>
          <w:spacing w:val="-9"/>
        </w:rPr>
        <w:t> </w:t>
      </w:r>
      <w:r>
        <w:rPr>
          <w:spacing w:val="-2"/>
        </w:rPr>
        <w:t>wears</w:t>
      </w:r>
      <w:r>
        <w:rPr>
          <w:spacing w:val="-9"/>
        </w:rPr>
        <w:t> </w:t>
      </w:r>
      <w:r>
        <w:rPr>
          <w:spacing w:val="-2"/>
        </w:rPr>
        <w:t>armor</w:t>
      </w:r>
      <w:r>
        <w:rPr>
          <w:spacing w:val="-7"/>
        </w:rPr>
        <w:t> </w:t>
      </w:r>
      <w:r>
        <w:rPr>
          <w:spacing w:val="-2"/>
        </w:rPr>
        <w:t>like</w:t>
      </w:r>
      <w:r>
        <w:rPr>
          <w:spacing w:val="-9"/>
        </w:rPr>
        <w:t> </w:t>
      </w:r>
      <w:r>
        <w:rPr>
          <w:spacing w:val="-2"/>
        </w:rPr>
        <w:t>a</w:t>
      </w:r>
      <w:r>
        <w:rPr>
          <w:spacing w:val="-7"/>
        </w:rPr>
        <w:t> </w:t>
      </w:r>
      <w:r>
        <w:rPr>
          <w:spacing w:val="-2"/>
        </w:rPr>
        <w:t>man</w:t>
      </w:r>
      <w:r>
        <w:rPr>
          <w:spacing w:val="-9"/>
        </w:rPr>
        <w:t> </w:t>
      </w:r>
      <w:r>
        <w:rPr>
          <w:spacing w:val="-2"/>
        </w:rPr>
        <w:t>and </w:t>
      </w:r>
      <w:r>
        <w:rPr/>
        <w:t>leads</w:t>
      </w:r>
      <w:r>
        <w:rPr>
          <w:spacing w:val="13"/>
        </w:rPr>
        <w:t> </w:t>
      </w:r>
      <w:r>
        <w:rPr/>
        <w:t>soldiers in battle.</w:t>
      </w:r>
      <w:r>
        <w:rPr>
          <w:spacing w:val="13"/>
        </w:rPr>
        <w:t> </w:t>
      </w:r>
      <w:r>
        <w:rPr/>
        <w:t>This</w:t>
      </w:r>
      <w:r>
        <w:rPr>
          <w:spacing w:val="13"/>
        </w:rPr>
        <w:t> </w:t>
      </w:r>
      <w:r>
        <w:rPr/>
        <w:t>shocks the</w:t>
      </w:r>
      <w:r>
        <w:rPr>
          <w:spacing w:val="14"/>
        </w:rPr>
        <w:t> </w:t>
      </w:r>
      <w:r>
        <w:rPr/>
        <w:t>English,</w:t>
      </w:r>
      <w:r>
        <w:rPr>
          <w:spacing w:val="15"/>
        </w:rPr>
        <w:t> </w:t>
      </w:r>
      <w:r>
        <w:rPr/>
        <w:t>who</w:t>
      </w:r>
      <w:r>
        <w:rPr>
          <w:spacing w:val="13"/>
        </w:rPr>
        <w:t> </w:t>
      </w:r>
      <w:r>
        <w:rPr/>
        <w:t>call</w:t>
      </w:r>
      <w:r>
        <w:rPr>
          <w:spacing w:val="13"/>
        </w:rPr>
        <w:t> </w:t>
      </w:r>
      <w:r>
        <w:rPr/>
        <w:t>her</w:t>
      </w:r>
      <w:r>
        <w:rPr>
          <w:spacing w:val="14"/>
        </w:rPr>
        <w:t> </w:t>
      </w:r>
      <w:r>
        <w:rPr/>
        <w:t>a</w:t>
      </w:r>
      <w:r>
        <w:rPr>
          <w:spacing w:val="13"/>
        </w:rPr>
        <w:t> </w:t>
      </w:r>
      <w:r>
        <w:rPr/>
        <w:t>witch, a whore, and a devil.</w:t>
      </w:r>
    </w:p>
    <w:p>
      <w:pPr>
        <w:pStyle w:val="BodyText"/>
        <w:spacing w:line="249" w:lineRule="auto" w:before="61"/>
        <w:ind w:right="1440" w:firstLine="432"/>
        <w:jc w:val="both"/>
      </w:pPr>
      <w:r>
        <w:rPr/>
        <w:t>At</w:t>
      </w:r>
      <w:r>
        <w:rPr>
          <w:spacing w:val="-8"/>
        </w:rPr>
        <w:t> </w:t>
      </w:r>
      <w:r>
        <w:rPr/>
        <w:t>the</w:t>
      </w:r>
      <w:r>
        <w:rPr>
          <w:spacing w:val="-10"/>
        </w:rPr>
        <w:t> </w:t>
      </w:r>
      <w:r>
        <w:rPr/>
        <w:t>beginning,</w:t>
      </w:r>
      <w:r>
        <w:rPr>
          <w:spacing w:val="-6"/>
        </w:rPr>
        <w:t> </w:t>
      </w:r>
      <w:r>
        <w:rPr/>
        <w:t>Joan</w:t>
      </w:r>
      <w:r>
        <w:rPr>
          <w:spacing w:val="-8"/>
        </w:rPr>
        <w:t> </w:t>
      </w:r>
      <w:r>
        <w:rPr/>
        <w:t>looks</w:t>
      </w:r>
      <w:r>
        <w:rPr>
          <w:spacing w:val="-10"/>
        </w:rPr>
        <w:t> </w:t>
      </w:r>
      <w:r>
        <w:rPr/>
        <w:t>impressive</w:t>
      </w:r>
      <w:r>
        <w:rPr>
          <w:spacing w:val="-5"/>
        </w:rPr>
        <w:t> </w:t>
      </w:r>
      <w:r>
        <w:rPr/>
        <w:t>and</w:t>
      </w:r>
      <w:r>
        <w:rPr>
          <w:spacing w:val="-8"/>
        </w:rPr>
        <w:t> </w:t>
      </w:r>
      <w:r>
        <w:rPr/>
        <w:t>full</w:t>
      </w:r>
      <w:r>
        <w:rPr>
          <w:spacing w:val="-7"/>
        </w:rPr>
        <w:t> </w:t>
      </w:r>
      <w:r>
        <w:rPr/>
        <w:t>of</w:t>
      </w:r>
      <w:r>
        <w:rPr>
          <w:spacing w:val="-8"/>
        </w:rPr>
        <w:t> </w:t>
      </w:r>
      <w:r>
        <w:rPr/>
        <w:t>life.</w:t>
      </w:r>
      <w:r>
        <w:rPr>
          <w:spacing w:val="-10"/>
        </w:rPr>
        <w:t> </w:t>
      </w:r>
      <w:r>
        <w:rPr/>
        <w:t>She</w:t>
      </w:r>
      <w:r>
        <w:rPr>
          <w:spacing w:val="-8"/>
        </w:rPr>
        <w:t> </w:t>
      </w:r>
      <w:r>
        <w:rPr/>
        <w:t>makes </w:t>
      </w:r>
      <w:r>
        <w:rPr>
          <w:spacing w:val="-2"/>
        </w:rPr>
        <w:t>fun</w:t>
      </w:r>
      <w:r>
        <w:rPr>
          <w:spacing w:val="-6"/>
        </w:rPr>
        <w:t> </w:t>
      </w:r>
      <w:r>
        <w:rPr>
          <w:spacing w:val="-2"/>
        </w:rPr>
        <w:t>of</w:t>
      </w:r>
      <w:r>
        <w:rPr>
          <w:spacing w:val="-6"/>
        </w:rPr>
        <w:t> </w:t>
      </w:r>
      <w:r>
        <w:rPr>
          <w:spacing w:val="-2"/>
        </w:rPr>
        <w:t>old-fashioned</w:t>
      </w:r>
      <w:r>
        <w:rPr>
          <w:spacing w:val="-4"/>
        </w:rPr>
        <w:t> </w:t>
      </w:r>
      <w:r>
        <w:rPr>
          <w:spacing w:val="-2"/>
        </w:rPr>
        <w:t>English</w:t>
      </w:r>
      <w:r>
        <w:rPr>
          <w:spacing w:val="-6"/>
        </w:rPr>
        <w:t> </w:t>
      </w:r>
      <w:r>
        <w:rPr>
          <w:spacing w:val="-2"/>
        </w:rPr>
        <w:t>ideas</w:t>
      </w:r>
      <w:r>
        <w:rPr>
          <w:spacing w:val="-6"/>
        </w:rPr>
        <w:t> </w:t>
      </w:r>
      <w:r>
        <w:rPr>
          <w:spacing w:val="-2"/>
        </w:rPr>
        <w:t>of</w:t>
      </w:r>
      <w:r>
        <w:rPr>
          <w:spacing w:val="-6"/>
        </w:rPr>
        <w:t> </w:t>
      </w:r>
      <w:r>
        <w:rPr>
          <w:spacing w:val="-2"/>
        </w:rPr>
        <w:t>honor</w:t>
      </w:r>
      <w:r>
        <w:rPr>
          <w:spacing w:val="-4"/>
        </w:rPr>
        <w:t> </w:t>
      </w:r>
      <w:r>
        <w:rPr>
          <w:spacing w:val="-2"/>
        </w:rPr>
        <w:t>and</w:t>
      </w:r>
      <w:r>
        <w:rPr>
          <w:spacing w:val="-4"/>
        </w:rPr>
        <w:t> </w:t>
      </w:r>
      <w:r>
        <w:rPr>
          <w:spacing w:val="-2"/>
        </w:rPr>
        <w:t>wins</w:t>
      </w:r>
      <w:r>
        <w:rPr>
          <w:spacing w:val="-6"/>
        </w:rPr>
        <w:t> </w:t>
      </w:r>
      <w:r>
        <w:rPr>
          <w:spacing w:val="-2"/>
        </w:rPr>
        <w:t>fights</w:t>
      </w:r>
      <w:r>
        <w:rPr>
          <w:spacing w:val="-6"/>
        </w:rPr>
        <w:t> </w:t>
      </w:r>
      <w:r>
        <w:rPr>
          <w:spacing w:val="-2"/>
        </w:rPr>
        <w:t>with</w:t>
      </w:r>
      <w:r>
        <w:rPr>
          <w:spacing w:val="-6"/>
        </w:rPr>
        <w:t> </w:t>
      </w:r>
      <w:r>
        <w:rPr>
          <w:spacing w:val="-2"/>
        </w:rPr>
        <w:t>practical </w:t>
      </w:r>
      <w:r>
        <w:rPr/>
        <w:t>ideas. But later, Shakespeare changes her image. She is shown calling evil spirits for help. When she is caught by the English, she lies and says</w:t>
      </w:r>
      <w:r>
        <w:rPr>
          <w:spacing w:val="24"/>
        </w:rPr>
        <w:t> </w:t>
      </w:r>
      <w:r>
        <w:rPr/>
        <w:t>she</w:t>
      </w:r>
      <w:r>
        <w:rPr>
          <w:spacing w:val="24"/>
        </w:rPr>
        <w:t> </w:t>
      </w:r>
      <w:r>
        <w:rPr/>
        <w:t>is</w:t>
      </w:r>
      <w:r>
        <w:rPr>
          <w:spacing w:val="24"/>
        </w:rPr>
        <w:t> </w:t>
      </w:r>
      <w:r>
        <w:rPr/>
        <w:t>pregnant</w:t>
      </w:r>
      <w:r>
        <w:rPr>
          <w:spacing w:val="26"/>
        </w:rPr>
        <w:t> </w:t>
      </w:r>
      <w:r>
        <w:rPr/>
        <w:t>just</w:t>
      </w:r>
      <w:r>
        <w:rPr>
          <w:spacing w:val="24"/>
        </w:rPr>
        <w:t> </w:t>
      </w:r>
      <w:r>
        <w:rPr/>
        <w:t>to</w:t>
      </w:r>
      <w:r>
        <w:rPr>
          <w:spacing w:val="24"/>
        </w:rPr>
        <w:t> </w:t>
      </w:r>
      <w:r>
        <w:rPr/>
        <w:t>save</w:t>
      </w:r>
      <w:r>
        <w:rPr>
          <w:spacing w:val="25"/>
        </w:rPr>
        <w:t> </w:t>
      </w:r>
      <w:r>
        <w:rPr/>
        <w:t>her</w:t>
      </w:r>
      <w:r>
        <w:rPr>
          <w:spacing w:val="25"/>
        </w:rPr>
        <w:t> </w:t>
      </w:r>
      <w:r>
        <w:rPr/>
        <w:t>life.</w:t>
      </w:r>
      <w:r>
        <w:rPr>
          <w:spacing w:val="24"/>
        </w:rPr>
        <w:t> </w:t>
      </w:r>
      <w:r>
        <w:rPr/>
        <w:t>In</w:t>
      </w:r>
      <w:r>
        <w:rPr>
          <w:spacing w:val="22"/>
        </w:rPr>
        <w:t> </w:t>
      </w:r>
      <w:r>
        <w:rPr/>
        <w:t>the</w:t>
      </w:r>
      <w:r>
        <w:rPr>
          <w:spacing w:val="26"/>
        </w:rPr>
        <w:t> </w:t>
      </w:r>
      <w:r>
        <w:rPr/>
        <w:t>end,</w:t>
      </w:r>
      <w:r>
        <w:rPr>
          <w:spacing w:val="24"/>
        </w:rPr>
        <w:t> </w:t>
      </w:r>
      <w:r>
        <w:rPr/>
        <w:t>she</w:t>
      </w:r>
      <w:r>
        <w:rPr>
          <w:spacing w:val="25"/>
        </w:rPr>
        <w:t> </w:t>
      </w:r>
      <w:r>
        <w:rPr/>
        <w:t>is</w:t>
      </w:r>
      <w:r>
        <w:rPr>
          <w:spacing w:val="24"/>
        </w:rPr>
        <w:t> </w:t>
      </w:r>
      <w:r>
        <w:rPr/>
        <w:t>executed as</w:t>
      </w:r>
      <w:r>
        <w:rPr>
          <w:spacing w:val="-3"/>
        </w:rPr>
        <w:t> </w:t>
      </w:r>
      <w:r>
        <w:rPr/>
        <w:t>a traitor.</w:t>
      </w:r>
      <w:r>
        <w:rPr>
          <w:spacing w:val="-1"/>
        </w:rPr>
        <w:t> </w:t>
      </w:r>
      <w:r>
        <w:rPr/>
        <w:t>Shakespeare made</w:t>
      </w:r>
      <w:r>
        <w:rPr>
          <w:spacing w:val="-5"/>
        </w:rPr>
        <w:t> </w:t>
      </w:r>
      <w:r>
        <w:rPr/>
        <w:t>these</w:t>
      </w:r>
      <w:r>
        <w:rPr>
          <w:spacing w:val="-1"/>
        </w:rPr>
        <w:t> </w:t>
      </w:r>
      <w:r>
        <w:rPr/>
        <w:t>negative changes</w:t>
      </w:r>
      <w:r>
        <w:rPr>
          <w:spacing w:val="-1"/>
        </w:rPr>
        <w:t> </w:t>
      </w:r>
      <w:r>
        <w:rPr/>
        <w:t>to please English audiences. Even today, the play shows both the excitement and fear people</w:t>
      </w:r>
      <w:r>
        <w:rPr>
          <w:spacing w:val="30"/>
        </w:rPr>
        <w:t> </w:t>
      </w:r>
      <w:r>
        <w:rPr/>
        <w:t>felt</w:t>
      </w:r>
      <w:r>
        <w:rPr>
          <w:spacing w:val="31"/>
        </w:rPr>
        <w:t> </w:t>
      </w:r>
      <w:r>
        <w:rPr/>
        <w:t>when a</w:t>
      </w:r>
      <w:r>
        <w:rPr>
          <w:spacing w:val="28"/>
        </w:rPr>
        <w:t> </w:t>
      </w:r>
      <w:r>
        <w:rPr/>
        <w:t>woman</w:t>
      </w:r>
      <w:r>
        <w:rPr>
          <w:spacing w:val="28"/>
        </w:rPr>
        <w:t> </w:t>
      </w:r>
      <w:r>
        <w:rPr/>
        <w:t>took</w:t>
      </w:r>
      <w:r>
        <w:rPr>
          <w:spacing w:val="28"/>
        </w:rPr>
        <w:t> </w:t>
      </w:r>
      <w:r>
        <w:rPr/>
        <w:t>a</w:t>
      </w:r>
      <w:r>
        <w:rPr>
          <w:spacing w:val="28"/>
        </w:rPr>
        <w:t> </w:t>
      </w:r>
      <w:r>
        <w:rPr/>
        <w:t>man’s</w:t>
      </w:r>
      <w:r>
        <w:rPr>
          <w:spacing w:val="28"/>
        </w:rPr>
        <w:t> </w:t>
      </w:r>
      <w:r>
        <w:rPr/>
        <w:t>role</w:t>
      </w:r>
      <w:r>
        <w:rPr>
          <w:spacing w:val="27"/>
        </w:rPr>
        <w:t> </w:t>
      </w:r>
      <w:r>
        <w:rPr/>
        <w:t>in</w:t>
      </w:r>
      <w:r>
        <w:rPr>
          <w:spacing w:val="28"/>
        </w:rPr>
        <w:t> </w:t>
      </w:r>
      <w:r>
        <w:rPr/>
        <w:t>war</w:t>
      </w:r>
      <w:r>
        <w:rPr>
          <w:spacing w:val="28"/>
        </w:rPr>
        <w:t> </w:t>
      </w:r>
      <w:r>
        <w:rPr/>
        <w:t>and</w:t>
      </w:r>
      <w:r>
        <w:rPr>
          <w:spacing w:val="31"/>
        </w:rPr>
        <w:t> </w:t>
      </w:r>
      <w:r>
        <w:rPr/>
        <w:t>leadership.</w:t>
      </w:r>
    </w:p>
    <w:p>
      <w:pPr>
        <w:pStyle w:val="Heading3"/>
        <w:spacing w:before="163"/>
        <w:jc w:val="both"/>
      </w:pPr>
      <w:r>
        <w:rPr>
          <w:w w:val="90"/>
        </w:rPr>
        <w:t>MARGARET</w:t>
      </w:r>
      <w:r>
        <w:rPr>
          <w:spacing w:val="17"/>
        </w:rPr>
        <w:t> </w:t>
      </w:r>
      <w:r>
        <w:rPr>
          <w:w w:val="90"/>
        </w:rPr>
        <w:t>OF</w:t>
      </w:r>
      <w:r>
        <w:rPr>
          <w:spacing w:val="23"/>
        </w:rPr>
        <w:t> </w:t>
      </w:r>
      <w:r>
        <w:rPr>
          <w:w w:val="90"/>
        </w:rPr>
        <w:t>ANJOU:</w:t>
      </w:r>
      <w:r>
        <w:rPr>
          <w:spacing w:val="17"/>
        </w:rPr>
        <w:t> </w:t>
      </w:r>
      <w:r>
        <w:rPr>
          <w:w w:val="90"/>
        </w:rPr>
        <w:t>THE</w:t>
      </w:r>
      <w:r>
        <w:rPr>
          <w:spacing w:val="21"/>
        </w:rPr>
        <w:t> </w:t>
      </w:r>
      <w:r>
        <w:rPr>
          <w:w w:val="90"/>
        </w:rPr>
        <w:t>POWERFUL</w:t>
      </w:r>
      <w:r>
        <w:rPr>
          <w:spacing w:val="21"/>
        </w:rPr>
        <w:t> </w:t>
      </w:r>
      <w:r>
        <w:rPr>
          <w:spacing w:val="-2"/>
          <w:w w:val="90"/>
        </w:rPr>
        <w:t>QUEEN</w:t>
      </w:r>
    </w:p>
    <w:p>
      <w:pPr>
        <w:pStyle w:val="BodyText"/>
        <w:spacing w:line="249" w:lineRule="auto" w:before="75"/>
        <w:ind w:right="1438" w:firstLine="432"/>
        <w:jc w:val="both"/>
      </w:pPr>
      <w:r>
        <w:rPr/>
        <w:t>Margaret of Anjou is one of Shakespeare’s greatest female characters. She appears in all three Henry VI plays and even returns in Richard</w:t>
      </w:r>
      <w:r>
        <w:rPr>
          <w:spacing w:val="7"/>
        </w:rPr>
        <w:t> </w:t>
      </w:r>
      <w:r>
        <w:rPr/>
        <w:t>III.</w:t>
      </w:r>
      <w:r>
        <w:rPr>
          <w:spacing w:val="8"/>
        </w:rPr>
        <w:t> </w:t>
      </w:r>
      <w:r>
        <w:rPr/>
        <w:t>She</w:t>
      </w:r>
      <w:r>
        <w:rPr>
          <w:spacing w:val="5"/>
        </w:rPr>
        <w:t> </w:t>
      </w:r>
      <w:r>
        <w:rPr/>
        <w:t>first</w:t>
      </w:r>
      <w:r>
        <w:rPr>
          <w:spacing w:val="7"/>
        </w:rPr>
        <w:t> </w:t>
      </w:r>
      <w:r>
        <w:rPr/>
        <w:t>comes</w:t>
      </w:r>
      <w:r>
        <w:rPr>
          <w:spacing w:val="6"/>
        </w:rPr>
        <w:t> </w:t>
      </w:r>
      <w:r>
        <w:rPr/>
        <w:t>to</w:t>
      </w:r>
      <w:r>
        <w:rPr>
          <w:spacing w:val="7"/>
        </w:rPr>
        <w:t> </w:t>
      </w:r>
      <w:r>
        <w:rPr/>
        <w:t>England</w:t>
      </w:r>
      <w:r>
        <w:rPr>
          <w:spacing w:val="12"/>
        </w:rPr>
        <w:t> </w:t>
      </w:r>
      <w:r>
        <w:rPr/>
        <w:t>as</w:t>
      </w:r>
      <w:r>
        <w:rPr>
          <w:spacing w:val="6"/>
        </w:rPr>
        <w:t> </w:t>
      </w:r>
      <w:r>
        <w:rPr/>
        <w:t>a</w:t>
      </w:r>
      <w:r>
        <w:rPr>
          <w:spacing w:val="6"/>
        </w:rPr>
        <w:t> </w:t>
      </w:r>
      <w:r>
        <w:rPr/>
        <w:t>young</w:t>
      </w:r>
      <w:r>
        <w:rPr>
          <w:spacing w:val="6"/>
        </w:rPr>
        <w:t> </w:t>
      </w:r>
      <w:r>
        <w:rPr/>
        <w:t>French</w:t>
      </w:r>
      <w:r>
        <w:rPr>
          <w:spacing w:val="6"/>
        </w:rPr>
        <w:t> </w:t>
      </w:r>
      <w:r>
        <w:rPr/>
        <w:t>princess</w:t>
      </w:r>
      <w:r>
        <w:rPr>
          <w:spacing w:val="5"/>
        </w:rPr>
        <w:t> </w:t>
      </w:r>
      <w:r>
        <w:rPr>
          <w:spacing w:val="-5"/>
        </w:rPr>
        <w:t>for</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83584">
                <wp:simplePos x="0" y="0"/>
                <wp:positionH relativeFrom="page">
                  <wp:posOffset>2057400</wp:posOffset>
                </wp:positionH>
                <wp:positionV relativeFrom="paragraph">
                  <wp:posOffset>162604</wp:posOffset>
                </wp:positionV>
                <wp:extent cx="3657600" cy="12700"/>
                <wp:effectExtent l="0" t="0" r="0" b="0"/>
                <wp:wrapTopAndBottom/>
                <wp:docPr id="313" name="Graphic 313"/>
                <wp:cNvGraphicFramePr>
                  <a:graphicFrameLocks/>
                </wp:cNvGraphicFramePr>
                <a:graphic>
                  <a:graphicData uri="http://schemas.microsoft.com/office/word/2010/wordprocessingShape">
                    <wps:wsp>
                      <wps:cNvPr id="313" name="Graphic 31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32896;mso-wrap-distance-left:0;mso-wrap-distance-right:0" id="docshape309" filled="true" fillcolor="#000000" stroked="false">
                <v:fill type="solid"/>
                <w10:wrap type="topAndBottom"/>
              </v:rect>
            </w:pict>
          </mc:Fallback>
        </mc:AlternateContent>
      </w:r>
      <w:r>
        <w:rPr>
          <w:rFonts w:ascii="Verdana"/>
          <w:spacing w:val="-5"/>
          <w:sz w:val="18"/>
        </w:rPr>
        <w:t>106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a political marriage to King Henry VI.</w:t>
      </w:r>
      <w:r>
        <w:rPr>
          <w:spacing w:val="-3"/>
        </w:rPr>
        <w:t> </w:t>
      </w:r>
      <w:r>
        <w:rPr/>
        <w:t>At the start, she is quiet. But as the</w:t>
      </w:r>
      <w:r>
        <w:rPr>
          <w:spacing w:val="-2"/>
        </w:rPr>
        <w:t> </w:t>
      </w:r>
      <w:r>
        <w:rPr/>
        <w:t>weak</w:t>
      </w:r>
      <w:r>
        <w:rPr>
          <w:spacing w:val="-5"/>
        </w:rPr>
        <w:t> </w:t>
      </w:r>
      <w:r>
        <w:rPr/>
        <w:t>and</w:t>
      </w:r>
      <w:r>
        <w:rPr>
          <w:spacing w:val="-1"/>
        </w:rPr>
        <w:t> </w:t>
      </w:r>
      <w:r>
        <w:rPr/>
        <w:t>gentle</w:t>
      </w:r>
      <w:r>
        <w:rPr>
          <w:spacing w:val="-2"/>
        </w:rPr>
        <w:t> </w:t>
      </w:r>
      <w:r>
        <w:rPr/>
        <w:t>king</w:t>
      </w:r>
      <w:r>
        <w:rPr>
          <w:spacing w:val="-3"/>
        </w:rPr>
        <w:t> </w:t>
      </w:r>
      <w:r>
        <w:rPr/>
        <w:t>fails</w:t>
      </w:r>
      <w:r>
        <w:rPr>
          <w:spacing w:val="-7"/>
        </w:rPr>
        <w:t> </w:t>
      </w:r>
      <w:r>
        <w:rPr/>
        <w:t>to</w:t>
      </w:r>
      <w:r>
        <w:rPr>
          <w:spacing w:val="-3"/>
        </w:rPr>
        <w:t> </w:t>
      </w:r>
      <w:r>
        <w:rPr/>
        <w:t>control</w:t>
      </w:r>
      <w:r>
        <w:rPr>
          <w:spacing w:val="-4"/>
        </w:rPr>
        <w:t> </w:t>
      </w:r>
      <w:r>
        <w:rPr/>
        <w:t>the</w:t>
      </w:r>
      <w:r>
        <w:rPr>
          <w:spacing w:val="-2"/>
        </w:rPr>
        <w:t> </w:t>
      </w:r>
      <w:r>
        <w:rPr/>
        <w:t>country,</w:t>
      </w:r>
      <w:r>
        <w:rPr>
          <w:spacing w:val="-3"/>
        </w:rPr>
        <w:t> </w:t>
      </w:r>
      <w:r>
        <w:rPr/>
        <w:t>Margaret</w:t>
      </w:r>
      <w:r>
        <w:rPr>
          <w:spacing w:val="-3"/>
        </w:rPr>
        <w:t> </w:t>
      </w:r>
      <w:r>
        <w:rPr/>
        <w:t>becomes stronger and stronger. She steps forward to lead armies, gives fiery speeches to soldiers, and fights bravely on the battlefield. In one of the most shocking scenes, she kills a young boy (Rutland) and waves a cloth covered with his blood to insult and torture his father. She is called</w:t>
      </w:r>
      <w:r>
        <w:rPr>
          <w:spacing w:val="6"/>
        </w:rPr>
        <w:t> </w:t>
      </w:r>
      <w:r>
        <w:rPr/>
        <w:t>the</w:t>
      </w:r>
      <w:r>
        <w:rPr>
          <w:spacing w:val="5"/>
        </w:rPr>
        <w:t> </w:t>
      </w:r>
      <w:r>
        <w:rPr/>
        <w:t>“she-wolf</w:t>
      </w:r>
      <w:r>
        <w:rPr>
          <w:spacing w:val="3"/>
        </w:rPr>
        <w:t> </w:t>
      </w:r>
      <w:r>
        <w:rPr/>
        <w:t>of</w:t>
      </w:r>
      <w:r>
        <w:rPr>
          <w:spacing w:val="2"/>
        </w:rPr>
        <w:t> </w:t>
      </w:r>
      <w:r>
        <w:rPr/>
        <w:t>France”</w:t>
      </w:r>
      <w:r>
        <w:rPr>
          <w:spacing w:val="4"/>
        </w:rPr>
        <w:t> </w:t>
      </w:r>
      <w:r>
        <w:rPr/>
        <w:t>because</w:t>
      </w:r>
      <w:r>
        <w:rPr>
          <w:spacing w:val="7"/>
        </w:rPr>
        <w:t> </w:t>
      </w:r>
      <w:r>
        <w:rPr/>
        <w:t>of</w:t>
      </w:r>
      <w:r>
        <w:rPr>
          <w:spacing w:val="2"/>
        </w:rPr>
        <w:t> </w:t>
      </w:r>
      <w:r>
        <w:rPr/>
        <w:t>her</w:t>
      </w:r>
      <w:r>
        <w:rPr>
          <w:spacing w:val="4"/>
        </w:rPr>
        <w:t> </w:t>
      </w:r>
      <w:r>
        <w:rPr/>
        <w:t>fierce</w:t>
      </w:r>
      <w:r>
        <w:rPr>
          <w:spacing w:val="5"/>
        </w:rPr>
        <w:t> </w:t>
      </w:r>
      <w:r>
        <w:rPr/>
        <w:t>and</w:t>
      </w:r>
      <w:r>
        <w:rPr>
          <w:spacing w:val="6"/>
        </w:rPr>
        <w:t> </w:t>
      </w:r>
      <w:r>
        <w:rPr/>
        <w:t>cruel</w:t>
      </w:r>
      <w:r>
        <w:rPr>
          <w:spacing w:val="4"/>
        </w:rPr>
        <w:t> </w:t>
      </w:r>
      <w:r>
        <w:rPr>
          <w:spacing w:val="-2"/>
        </w:rPr>
        <w:t>actions.</w:t>
      </w:r>
    </w:p>
    <w:p>
      <w:pPr>
        <w:pStyle w:val="BodyText"/>
        <w:spacing w:line="249" w:lineRule="auto" w:before="64"/>
        <w:ind w:right="1440" w:firstLine="432"/>
        <w:jc w:val="both"/>
      </w:pPr>
      <w:r>
        <w:rPr/>
        <w:t>Even while fighting, Margaret never forgets she is a wife and mother. She fights hard to protect her son and her husband’s crown.</w:t>
      </w:r>
      <w:r>
        <w:rPr>
          <w:spacing w:val="40"/>
        </w:rPr>
        <w:t> </w:t>
      </w:r>
      <w:r>
        <w:rPr/>
        <w:t>She</w:t>
      </w:r>
      <w:r>
        <w:rPr>
          <w:spacing w:val="13"/>
        </w:rPr>
        <w:t> </w:t>
      </w:r>
      <w:r>
        <w:rPr/>
        <w:t>shows</w:t>
      </w:r>
      <w:r>
        <w:rPr>
          <w:spacing w:val="14"/>
        </w:rPr>
        <w:t> </w:t>
      </w:r>
      <w:r>
        <w:rPr/>
        <w:t>that</w:t>
      </w:r>
      <w:r>
        <w:rPr>
          <w:spacing w:val="13"/>
        </w:rPr>
        <w:t> </w:t>
      </w:r>
      <w:r>
        <w:rPr/>
        <w:t>when</w:t>
      </w:r>
      <w:r>
        <w:rPr>
          <w:spacing w:val="14"/>
        </w:rPr>
        <w:t> </w:t>
      </w:r>
      <w:r>
        <w:rPr/>
        <w:t>men</w:t>
      </w:r>
      <w:r>
        <w:rPr>
          <w:spacing w:val="11"/>
        </w:rPr>
        <w:t> </w:t>
      </w:r>
      <w:r>
        <w:rPr/>
        <w:t>are</w:t>
      </w:r>
      <w:r>
        <w:rPr>
          <w:spacing w:val="14"/>
        </w:rPr>
        <w:t> </w:t>
      </w:r>
      <w:r>
        <w:rPr/>
        <w:t>weak,</w:t>
      </w:r>
      <w:r>
        <w:rPr>
          <w:spacing w:val="16"/>
        </w:rPr>
        <w:t> </w:t>
      </w:r>
      <w:r>
        <w:rPr/>
        <w:t>a</w:t>
      </w:r>
      <w:r>
        <w:rPr>
          <w:spacing w:val="13"/>
        </w:rPr>
        <w:t> </w:t>
      </w:r>
      <w:r>
        <w:rPr/>
        <w:t>strong</w:t>
      </w:r>
      <w:r>
        <w:rPr>
          <w:spacing w:val="15"/>
        </w:rPr>
        <w:t> </w:t>
      </w:r>
      <w:r>
        <w:rPr/>
        <w:t>woman</w:t>
      </w:r>
      <w:r>
        <w:rPr>
          <w:spacing w:val="11"/>
        </w:rPr>
        <w:t> </w:t>
      </w:r>
      <w:r>
        <w:rPr/>
        <w:t>can</w:t>
      </w:r>
      <w:r>
        <w:rPr>
          <w:spacing w:val="12"/>
        </w:rPr>
        <w:t> </w:t>
      </w:r>
      <w:r>
        <w:rPr/>
        <w:t>take</w:t>
      </w:r>
      <w:r>
        <w:rPr>
          <w:spacing w:val="14"/>
        </w:rPr>
        <w:t> </w:t>
      </w:r>
      <w:r>
        <w:rPr>
          <w:spacing w:val="-2"/>
        </w:rPr>
        <w:t>charge.</w:t>
      </w:r>
    </w:p>
    <w:p>
      <w:pPr>
        <w:pStyle w:val="BodyText"/>
        <w:spacing w:line="249" w:lineRule="auto" w:before="60"/>
        <w:ind w:right="1439" w:firstLine="432"/>
        <w:jc w:val="both"/>
      </w:pPr>
      <w:r>
        <w:rPr/>
        <w:t>By the time of Richard III, Margaret has lost everything — her husband, her</w:t>
      </w:r>
      <w:r>
        <w:rPr>
          <w:spacing w:val="11"/>
        </w:rPr>
        <w:t> </w:t>
      </w:r>
      <w:r>
        <w:rPr/>
        <w:t>son, and</w:t>
      </w:r>
      <w:r>
        <w:rPr>
          <w:spacing w:val="11"/>
        </w:rPr>
        <w:t> </w:t>
      </w:r>
      <w:r>
        <w:rPr/>
        <w:t>her</w:t>
      </w:r>
      <w:r>
        <w:rPr>
          <w:spacing w:val="11"/>
        </w:rPr>
        <w:t> </w:t>
      </w:r>
      <w:r>
        <w:rPr/>
        <w:t>power. She lives in</w:t>
      </w:r>
      <w:r>
        <w:rPr>
          <w:spacing w:val="11"/>
        </w:rPr>
        <w:t> </w:t>
      </w:r>
      <w:r>
        <w:rPr/>
        <w:t>exile. Yet she</w:t>
      </w:r>
      <w:r>
        <w:rPr>
          <w:spacing w:val="12"/>
        </w:rPr>
        <w:t> </w:t>
      </w:r>
      <w:r>
        <w:rPr/>
        <w:t>returns as</w:t>
      </w:r>
      <w:r>
        <w:rPr>
          <w:spacing w:val="40"/>
        </w:rPr>
        <w:t> </w:t>
      </w:r>
      <w:r>
        <w:rPr/>
        <w:t>a bitter, angry woman who curses her enemies. Her powerful words predict their future deaths, and everything she says comes true. Even without</w:t>
      </w:r>
      <w:r>
        <w:rPr>
          <w:spacing w:val="39"/>
        </w:rPr>
        <w:t> </w:t>
      </w:r>
      <w:r>
        <w:rPr/>
        <w:t>an</w:t>
      </w:r>
      <w:r>
        <w:rPr>
          <w:spacing w:val="40"/>
        </w:rPr>
        <w:t> </w:t>
      </w:r>
      <w:r>
        <w:rPr/>
        <w:t>army,</w:t>
      </w:r>
      <w:r>
        <w:rPr>
          <w:spacing w:val="40"/>
        </w:rPr>
        <w:t> </w:t>
      </w:r>
      <w:r>
        <w:rPr/>
        <w:t>her</w:t>
      </w:r>
      <w:r>
        <w:rPr>
          <w:spacing w:val="40"/>
        </w:rPr>
        <w:t> </w:t>
      </w:r>
      <w:r>
        <w:rPr/>
        <w:t>language</w:t>
      </w:r>
      <w:r>
        <w:rPr>
          <w:spacing w:val="39"/>
        </w:rPr>
        <w:t> </w:t>
      </w:r>
      <w:r>
        <w:rPr/>
        <w:t>remains</w:t>
      </w:r>
      <w:r>
        <w:rPr>
          <w:spacing w:val="40"/>
        </w:rPr>
        <w:t> </w:t>
      </w:r>
      <w:r>
        <w:rPr/>
        <w:t>her</w:t>
      </w:r>
      <w:r>
        <w:rPr>
          <w:spacing w:val="40"/>
        </w:rPr>
        <w:t> </w:t>
      </w:r>
      <w:r>
        <w:rPr/>
        <w:t>greatest</w:t>
      </w:r>
      <w:r>
        <w:rPr>
          <w:spacing w:val="40"/>
        </w:rPr>
        <w:t> </w:t>
      </w:r>
      <w:r>
        <w:rPr/>
        <w:t>weapon.</w:t>
      </w:r>
    </w:p>
    <w:p>
      <w:pPr>
        <w:pStyle w:val="BodyText"/>
        <w:spacing w:line="249" w:lineRule="auto" w:before="61"/>
        <w:ind w:right="1439" w:firstLine="432"/>
        <w:jc w:val="both"/>
      </w:pPr>
      <w:r>
        <w:rPr/>
        <w:t>Both Joan and Margaret break the traditional rules for women. They wear armor, lead soldiers, and speak boldly. They show that women can be intelligent, brave, and politically smart.</w:t>
      </w:r>
    </w:p>
    <w:p>
      <w:pPr>
        <w:pStyle w:val="BodyText"/>
        <w:spacing w:line="249" w:lineRule="auto" w:before="63"/>
        <w:ind w:right="1441" w:firstLine="432"/>
        <w:jc w:val="both"/>
      </w:pPr>
      <w:r>
        <w:rPr/>
        <w:t>Shakespeare</w:t>
      </w:r>
      <w:r>
        <w:rPr>
          <w:spacing w:val="-1"/>
        </w:rPr>
        <w:t> </w:t>
      </w:r>
      <w:r>
        <w:rPr/>
        <w:t>has</w:t>
      </w:r>
      <w:r>
        <w:rPr>
          <w:spacing w:val="-2"/>
        </w:rPr>
        <w:t> </w:t>
      </w:r>
      <w:r>
        <w:rPr/>
        <w:t>mixed feelings</w:t>
      </w:r>
      <w:r>
        <w:rPr>
          <w:spacing w:val="-2"/>
        </w:rPr>
        <w:t> </w:t>
      </w:r>
      <w:r>
        <w:rPr/>
        <w:t>about</w:t>
      </w:r>
      <w:r>
        <w:rPr>
          <w:spacing w:val="-2"/>
        </w:rPr>
        <w:t> </w:t>
      </w:r>
      <w:r>
        <w:rPr/>
        <w:t>them.</w:t>
      </w:r>
      <w:r>
        <w:rPr>
          <w:spacing w:val="-2"/>
        </w:rPr>
        <w:t> </w:t>
      </w:r>
      <w:r>
        <w:rPr/>
        <w:t>He</w:t>
      </w:r>
      <w:r>
        <w:rPr>
          <w:spacing w:val="-2"/>
        </w:rPr>
        <w:t> </w:t>
      </w:r>
      <w:r>
        <w:rPr/>
        <w:t>gives</w:t>
      </w:r>
      <w:r>
        <w:rPr>
          <w:spacing w:val="-3"/>
        </w:rPr>
        <w:t> </w:t>
      </w:r>
      <w:r>
        <w:rPr/>
        <w:t>them</w:t>
      </w:r>
      <w:r>
        <w:rPr>
          <w:spacing w:val="-4"/>
        </w:rPr>
        <w:t> </w:t>
      </w:r>
      <w:r>
        <w:rPr/>
        <w:t>strong voices and</w:t>
      </w:r>
      <w:r>
        <w:rPr>
          <w:spacing w:val="40"/>
        </w:rPr>
        <w:t> </w:t>
      </w:r>
      <w:r>
        <w:rPr/>
        <w:t>exciting roles.</w:t>
      </w:r>
    </w:p>
    <w:p>
      <w:pPr>
        <w:pStyle w:val="BodyText"/>
        <w:spacing w:line="249" w:lineRule="auto" w:before="59"/>
        <w:ind w:right="1440" w:firstLine="432"/>
        <w:jc w:val="both"/>
      </w:pPr>
      <w:r>
        <w:rPr/>
        <w:t>But</w:t>
      </w:r>
      <w:r>
        <w:rPr>
          <w:spacing w:val="-9"/>
        </w:rPr>
        <w:t> </w:t>
      </w:r>
      <w:r>
        <w:rPr/>
        <w:t>he</w:t>
      </w:r>
      <w:r>
        <w:rPr>
          <w:spacing w:val="-9"/>
        </w:rPr>
        <w:t> </w:t>
      </w:r>
      <w:r>
        <w:rPr/>
        <w:t>also</w:t>
      </w:r>
      <w:r>
        <w:rPr>
          <w:spacing w:val="-6"/>
        </w:rPr>
        <w:t> </w:t>
      </w:r>
      <w:r>
        <w:rPr/>
        <w:t>shows</w:t>
      </w:r>
      <w:r>
        <w:rPr>
          <w:spacing w:val="-9"/>
        </w:rPr>
        <w:t> </w:t>
      </w:r>
      <w:r>
        <w:rPr/>
        <w:t>their</w:t>
      </w:r>
      <w:r>
        <w:rPr>
          <w:spacing w:val="-7"/>
        </w:rPr>
        <w:t> </w:t>
      </w:r>
      <w:r>
        <w:rPr/>
        <w:t>downfall.</w:t>
      </w:r>
      <w:r>
        <w:rPr>
          <w:spacing w:val="-7"/>
        </w:rPr>
        <w:t> </w:t>
      </w:r>
      <w:r>
        <w:rPr/>
        <w:t>Joan</w:t>
      </w:r>
      <w:r>
        <w:rPr>
          <w:spacing w:val="-9"/>
        </w:rPr>
        <w:t> </w:t>
      </w:r>
      <w:r>
        <w:rPr/>
        <w:t>is</w:t>
      </w:r>
      <w:r>
        <w:rPr>
          <w:spacing w:val="-9"/>
        </w:rPr>
        <w:t> </w:t>
      </w:r>
      <w:r>
        <w:rPr/>
        <w:t>killed,</w:t>
      </w:r>
      <w:r>
        <w:rPr>
          <w:spacing w:val="-6"/>
        </w:rPr>
        <w:t> </w:t>
      </w:r>
      <w:r>
        <w:rPr/>
        <w:t>and</w:t>
      </w:r>
      <w:r>
        <w:rPr>
          <w:spacing w:val="-7"/>
        </w:rPr>
        <w:t> </w:t>
      </w:r>
      <w:r>
        <w:rPr/>
        <w:t>Margaret</w:t>
      </w:r>
      <w:r>
        <w:rPr>
          <w:spacing w:val="-9"/>
        </w:rPr>
        <w:t> </w:t>
      </w:r>
      <w:r>
        <w:rPr/>
        <w:t>ends her life defeated and alone. These characters reflect the fears and worries of Shakespeare’s time. People were afraid of strong women in power (especially since Queen Elizabeth I was ruling England). The plays</w:t>
      </w:r>
      <w:r>
        <w:rPr>
          <w:spacing w:val="23"/>
        </w:rPr>
        <w:t> </w:t>
      </w:r>
      <w:r>
        <w:rPr/>
        <w:t>also</w:t>
      </w:r>
      <w:r>
        <w:rPr>
          <w:spacing w:val="22"/>
        </w:rPr>
        <w:t> </w:t>
      </w:r>
      <w:r>
        <w:rPr/>
        <w:t>show</w:t>
      </w:r>
      <w:r>
        <w:rPr>
          <w:spacing w:val="19"/>
        </w:rPr>
        <w:t> </w:t>
      </w:r>
      <w:r>
        <w:rPr/>
        <w:t>anxiety</w:t>
      </w:r>
      <w:r>
        <w:rPr>
          <w:spacing w:val="20"/>
        </w:rPr>
        <w:t> </w:t>
      </w:r>
      <w:r>
        <w:rPr/>
        <w:t>about</w:t>
      </w:r>
      <w:r>
        <w:rPr>
          <w:spacing w:val="24"/>
        </w:rPr>
        <w:t> </w:t>
      </w:r>
      <w:r>
        <w:rPr/>
        <w:t>weak</w:t>
      </w:r>
      <w:r>
        <w:rPr>
          <w:spacing w:val="19"/>
        </w:rPr>
        <w:t> </w:t>
      </w:r>
      <w:r>
        <w:rPr/>
        <w:t>kings</w:t>
      </w:r>
      <w:r>
        <w:rPr>
          <w:spacing w:val="22"/>
        </w:rPr>
        <w:t> </w:t>
      </w:r>
      <w:r>
        <w:rPr/>
        <w:t>and</w:t>
      </w:r>
      <w:r>
        <w:rPr>
          <w:spacing w:val="23"/>
        </w:rPr>
        <w:t> </w:t>
      </w:r>
      <w:r>
        <w:rPr/>
        <w:t>the</w:t>
      </w:r>
      <w:r>
        <w:rPr>
          <w:spacing w:val="25"/>
        </w:rPr>
        <w:t> </w:t>
      </w:r>
      <w:r>
        <w:rPr/>
        <w:t>chaos</w:t>
      </w:r>
      <w:r>
        <w:rPr>
          <w:spacing w:val="20"/>
        </w:rPr>
        <w:t> </w:t>
      </w:r>
      <w:r>
        <w:rPr/>
        <w:t>that</w:t>
      </w:r>
      <w:r>
        <w:rPr>
          <w:spacing w:val="23"/>
        </w:rPr>
        <w:t> </w:t>
      </w:r>
      <w:r>
        <w:rPr>
          <w:spacing w:val="-2"/>
        </w:rPr>
        <w:t>follows</w:t>
      </w:r>
    </w:p>
    <w:p>
      <w:pPr>
        <w:pStyle w:val="BodyText"/>
        <w:spacing w:line="249" w:lineRule="auto" w:before="62"/>
        <w:ind w:right="1440" w:firstLine="432"/>
        <w:jc w:val="both"/>
      </w:pPr>
      <w:r>
        <w:rPr/>
        <w:t>In</w:t>
      </w:r>
      <w:r>
        <w:rPr>
          <w:spacing w:val="-13"/>
        </w:rPr>
        <w:t> </w:t>
      </w:r>
      <w:r>
        <w:rPr/>
        <w:t>Shakespeare’s</w:t>
      </w:r>
      <w:r>
        <w:rPr>
          <w:spacing w:val="-12"/>
        </w:rPr>
        <w:t> </w:t>
      </w:r>
      <w:r>
        <w:rPr/>
        <w:t>play</w:t>
      </w:r>
      <w:r>
        <w:rPr>
          <w:spacing w:val="-13"/>
        </w:rPr>
        <w:t> </w:t>
      </w:r>
      <w:r>
        <w:rPr/>
        <w:t>Richard</w:t>
      </w:r>
      <w:r>
        <w:rPr>
          <w:spacing w:val="-12"/>
        </w:rPr>
        <w:t> </w:t>
      </w:r>
      <w:r>
        <w:rPr/>
        <w:t>III,</w:t>
      </w:r>
      <w:r>
        <w:rPr>
          <w:spacing w:val="-13"/>
        </w:rPr>
        <w:t> </w:t>
      </w:r>
      <w:r>
        <w:rPr/>
        <w:t>the</w:t>
      </w:r>
      <w:r>
        <w:rPr>
          <w:spacing w:val="-12"/>
        </w:rPr>
        <w:t> </w:t>
      </w:r>
      <w:r>
        <w:rPr/>
        <w:t>women</w:t>
      </w:r>
      <w:r>
        <w:rPr>
          <w:spacing w:val="-13"/>
        </w:rPr>
        <w:t> </w:t>
      </w:r>
      <w:r>
        <w:rPr/>
        <w:t>are</w:t>
      </w:r>
      <w:r>
        <w:rPr>
          <w:spacing w:val="-12"/>
        </w:rPr>
        <w:t> </w:t>
      </w:r>
      <w:r>
        <w:rPr/>
        <w:t>no</w:t>
      </w:r>
      <w:r>
        <w:rPr>
          <w:spacing w:val="-13"/>
        </w:rPr>
        <w:t> </w:t>
      </w:r>
      <w:r>
        <w:rPr/>
        <w:t>longer</w:t>
      </w:r>
      <w:r>
        <w:rPr>
          <w:spacing w:val="-12"/>
        </w:rPr>
        <w:t> </w:t>
      </w:r>
      <w:r>
        <w:rPr/>
        <w:t>fighters on the battlefield like Joan or Margaret in the earlier Henry VI plays. Instead, they become powerful voices of grief, sorrow, and warning. After years of war, they have lost their husbands, sons, and power. All they</w:t>
      </w:r>
      <w:r>
        <w:rPr>
          <w:spacing w:val="26"/>
        </w:rPr>
        <w:t> </w:t>
      </w:r>
      <w:r>
        <w:rPr/>
        <w:t>have</w:t>
      </w:r>
      <w:r>
        <w:rPr>
          <w:spacing w:val="29"/>
        </w:rPr>
        <w:t> </w:t>
      </w:r>
      <w:r>
        <w:rPr/>
        <w:t>left</w:t>
      </w:r>
      <w:r>
        <w:rPr>
          <w:spacing w:val="30"/>
        </w:rPr>
        <w:t> </w:t>
      </w:r>
      <w:r>
        <w:rPr/>
        <w:t>is</w:t>
      </w:r>
      <w:r>
        <w:rPr>
          <w:spacing w:val="30"/>
        </w:rPr>
        <w:t> </w:t>
      </w:r>
      <w:r>
        <w:rPr/>
        <w:t>their</w:t>
      </w:r>
      <w:r>
        <w:rPr>
          <w:spacing w:val="27"/>
        </w:rPr>
        <w:t> </w:t>
      </w:r>
      <w:r>
        <w:rPr/>
        <w:t>words</w:t>
      </w:r>
      <w:r>
        <w:rPr>
          <w:spacing w:val="28"/>
        </w:rPr>
        <w:t> </w:t>
      </w:r>
      <w:r>
        <w:rPr/>
        <w:t>—</w:t>
      </w:r>
      <w:r>
        <w:rPr>
          <w:spacing w:val="30"/>
        </w:rPr>
        <w:t> </w:t>
      </w:r>
      <w:r>
        <w:rPr/>
        <w:t>and</w:t>
      </w:r>
      <w:r>
        <w:rPr>
          <w:spacing w:val="32"/>
        </w:rPr>
        <w:t> </w:t>
      </w:r>
      <w:r>
        <w:rPr/>
        <w:t>they</w:t>
      </w:r>
      <w:r>
        <w:rPr>
          <w:spacing w:val="24"/>
        </w:rPr>
        <w:t> </w:t>
      </w:r>
      <w:r>
        <w:rPr/>
        <w:t>use</w:t>
      </w:r>
      <w:r>
        <w:rPr>
          <w:spacing w:val="31"/>
        </w:rPr>
        <w:t> </w:t>
      </w:r>
      <w:r>
        <w:rPr/>
        <w:t>them</w:t>
      </w:r>
      <w:r>
        <w:rPr>
          <w:spacing w:val="26"/>
        </w:rPr>
        <w:t> </w:t>
      </w:r>
      <w:r>
        <w:rPr/>
        <w:t>with</w:t>
      </w:r>
      <w:r>
        <w:rPr>
          <w:spacing w:val="26"/>
        </w:rPr>
        <w:t> </w:t>
      </w:r>
      <w:r>
        <w:rPr/>
        <w:t>great</w:t>
      </w:r>
      <w:r>
        <w:rPr>
          <w:spacing w:val="30"/>
        </w:rPr>
        <w:t> </w:t>
      </w:r>
      <w:r>
        <w:rPr/>
        <w:t>force.</w:t>
      </w:r>
    </w:p>
    <w:p>
      <w:pPr>
        <w:pStyle w:val="Heading3"/>
        <w:spacing w:before="157"/>
        <w:jc w:val="both"/>
      </w:pPr>
      <w:r>
        <w:rPr>
          <w:spacing w:val="-2"/>
          <w:w w:val="90"/>
        </w:rPr>
        <w:t>QUEEN</w:t>
      </w:r>
      <w:r>
        <w:rPr>
          <w:spacing w:val="-9"/>
          <w:w w:val="90"/>
        </w:rPr>
        <w:t> </w:t>
      </w:r>
      <w:r>
        <w:rPr>
          <w:spacing w:val="-2"/>
          <w:w w:val="90"/>
        </w:rPr>
        <w:t>MARGARET:</w:t>
      </w:r>
      <w:r>
        <w:rPr>
          <w:spacing w:val="-6"/>
          <w:w w:val="90"/>
        </w:rPr>
        <w:t> </w:t>
      </w:r>
      <w:r>
        <w:rPr>
          <w:spacing w:val="-2"/>
          <w:w w:val="90"/>
        </w:rPr>
        <w:t>THE</w:t>
      </w:r>
      <w:r>
        <w:rPr>
          <w:spacing w:val="-8"/>
          <w:w w:val="90"/>
        </w:rPr>
        <w:t> </w:t>
      </w:r>
      <w:r>
        <w:rPr>
          <w:spacing w:val="-2"/>
          <w:w w:val="90"/>
        </w:rPr>
        <w:t>LEADER</w:t>
      </w:r>
      <w:r>
        <w:rPr>
          <w:spacing w:val="-8"/>
          <w:w w:val="90"/>
        </w:rPr>
        <w:t> </w:t>
      </w:r>
      <w:r>
        <w:rPr>
          <w:spacing w:val="-2"/>
          <w:w w:val="90"/>
        </w:rPr>
        <w:t>OF</w:t>
      </w:r>
      <w:r>
        <w:rPr>
          <w:spacing w:val="-11"/>
          <w:w w:val="90"/>
        </w:rPr>
        <w:t> </w:t>
      </w:r>
      <w:r>
        <w:rPr>
          <w:spacing w:val="-2"/>
          <w:w w:val="90"/>
        </w:rPr>
        <w:t>GRIEF</w:t>
      </w:r>
      <w:r>
        <w:rPr>
          <w:spacing w:val="-8"/>
          <w:w w:val="90"/>
        </w:rPr>
        <w:t> </w:t>
      </w:r>
      <w:r>
        <w:rPr>
          <w:spacing w:val="-2"/>
          <w:w w:val="90"/>
        </w:rPr>
        <w:t>AND</w:t>
      </w:r>
      <w:r>
        <w:rPr>
          <w:spacing w:val="-8"/>
          <w:w w:val="90"/>
        </w:rPr>
        <w:t> </w:t>
      </w:r>
      <w:r>
        <w:rPr>
          <w:spacing w:val="-2"/>
          <w:w w:val="90"/>
        </w:rPr>
        <w:t>CURSES</w:t>
      </w:r>
    </w:p>
    <w:p>
      <w:pPr>
        <w:pStyle w:val="BodyText"/>
        <w:spacing w:line="249" w:lineRule="auto" w:before="76"/>
        <w:ind w:right="1437" w:firstLine="432"/>
        <w:jc w:val="both"/>
      </w:pPr>
      <w:r>
        <w:rPr/>
        <w:t>Queen Margaret is the strongest and most important female voice in</w:t>
      </w:r>
      <w:r>
        <w:rPr>
          <w:spacing w:val="-5"/>
        </w:rPr>
        <w:t> </w:t>
      </w:r>
      <w:r>
        <w:rPr/>
        <w:t>the</w:t>
      </w:r>
      <w:r>
        <w:rPr>
          <w:spacing w:val="-2"/>
        </w:rPr>
        <w:t> </w:t>
      </w:r>
      <w:r>
        <w:rPr/>
        <w:t>play.</w:t>
      </w:r>
      <w:r>
        <w:rPr>
          <w:spacing w:val="-5"/>
        </w:rPr>
        <w:t> </w:t>
      </w:r>
      <w:r>
        <w:rPr/>
        <w:t>She</w:t>
      </w:r>
      <w:r>
        <w:rPr>
          <w:spacing w:val="-5"/>
        </w:rPr>
        <w:t> </w:t>
      </w:r>
      <w:r>
        <w:rPr/>
        <w:t>has</w:t>
      </w:r>
      <w:r>
        <w:rPr>
          <w:spacing w:val="-5"/>
        </w:rPr>
        <w:t> </w:t>
      </w:r>
      <w:r>
        <w:rPr/>
        <w:t>lost</w:t>
      </w:r>
      <w:r>
        <w:rPr>
          <w:spacing w:val="-3"/>
        </w:rPr>
        <w:t> </w:t>
      </w:r>
      <w:r>
        <w:rPr/>
        <w:t>her</w:t>
      </w:r>
      <w:r>
        <w:rPr>
          <w:spacing w:val="-5"/>
        </w:rPr>
        <w:t> </w:t>
      </w:r>
      <w:r>
        <w:rPr/>
        <w:t>husband</w:t>
      </w:r>
      <w:r>
        <w:rPr>
          <w:spacing w:val="-1"/>
        </w:rPr>
        <w:t> </w:t>
      </w:r>
      <w:r>
        <w:rPr/>
        <w:t>(King</w:t>
      </w:r>
      <w:r>
        <w:rPr>
          <w:spacing w:val="-5"/>
        </w:rPr>
        <w:t> </w:t>
      </w:r>
      <w:r>
        <w:rPr/>
        <w:t>Henry</w:t>
      </w:r>
      <w:r>
        <w:rPr>
          <w:spacing w:val="-10"/>
        </w:rPr>
        <w:t> </w:t>
      </w:r>
      <w:r>
        <w:rPr/>
        <w:t>VI)</w:t>
      </w:r>
      <w:r>
        <w:rPr>
          <w:spacing w:val="-3"/>
        </w:rPr>
        <w:t> </w:t>
      </w:r>
      <w:r>
        <w:rPr/>
        <w:t>and</w:t>
      </w:r>
      <w:r>
        <w:rPr>
          <w:spacing w:val="-5"/>
        </w:rPr>
        <w:t> </w:t>
      </w:r>
      <w:r>
        <w:rPr/>
        <w:t>her</w:t>
      </w:r>
      <w:r>
        <w:rPr>
          <w:spacing w:val="-3"/>
        </w:rPr>
        <w:t> </w:t>
      </w:r>
      <w:r>
        <w:rPr/>
        <w:t>son.</w:t>
      </w:r>
      <w:r>
        <w:rPr>
          <w:spacing w:val="-3"/>
        </w:rPr>
        <w:t> </w:t>
      </w:r>
      <w:r>
        <w:rPr/>
        <w:t>Now living</w:t>
      </w:r>
      <w:r>
        <w:rPr>
          <w:spacing w:val="-4"/>
        </w:rPr>
        <w:t> </w:t>
      </w:r>
      <w:r>
        <w:rPr/>
        <w:t>in</w:t>
      </w:r>
      <w:r>
        <w:rPr>
          <w:spacing w:val="-6"/>
        </w:rPr>
        <w:t> </w:t>
      </w:r>
      <w:r>
        <w:rPr/>
        <w:t>exile,</w:t>
      </w:r>
      <w:r>
        <w:rPr>
          <w:spacing w:val="-3"/>
        </w:rPr>
        <w:t> </w:t>
      </w:r>
      <w:r>
        <w:rPr/>
        <w:t>she</w:t>
      </w:r>
      <w:r>
        <w:rPr>
          <w:spacing w:val="-6"/>
        </w:rPr>
        <w:t> </w:t>
      </w:r>
      <w:r>
        <w:rPr/>
        <w:t>returns</w:t>
      </w:r>
      <w:r>
        <w:rPr>
          <w:spacing w:val="-4"/>
        </w:rPr>
        <w:t> </w:t>
      </w:r>
      <w:r>
        <w:rPr/>
        <w:t>to</w:t>
      </w:r>
      <w:r>
        <w:rPr>
          <w:spacing w:val="-4"/>
        </w:rPr>
        <w:t> </w:t>
      </w:r>
      <w:r>
        <w:rPr/>
        <w:t>England</w:t>
      </w:r>
      <w:r>
        <w:rPr>
          <w:spacing w:val="-3"/>
        </w:rPr>
        <w:t> </w:t>
      </w:r>
      <w:r>
        <w:rPr/>
        <w:t>like</w:t>
      </w:r>
      <w:r>
        <w:rPr>
          <w:spacing w:val="-3"/>
        </w:rPr>
        <w:t> </w:t>
      </w:r>
      <w:r>
        <w:rPr/>
        <w:t>a</w:t>
      </w:r>
      <w:r>
        <w:rPr>
          <w:spacing w:val="-6"/>
        </w:rPr>
        <w:t> </w:t>
      </w:r>
      <w:r>
        <w:rPr/>
        <w:t>dark,</w:t>
      </w:r>
      <w:r>
        <w:rPr>
          <w:spacing w:val="-3"/>
        </w:rPr>
        <w:t> </w:t>
      </w:r>
      <w:r>
        <w:rPr/>
        <w:t>angry</w:t>
      </w:r>
      <w:r>
        <w:rPr>
          <w:spacing w:val="-8"/>
        </w:rPr>
        <w:t> </w:t>
      </w:r>
      <w:r>
        <w:rPr/>
        <w:t>ghost.</w:t>
      </w:r>
      <w:r>
        <w:rPr>
          <w:spacing w:val="-3"/>
        </w:rPr>
        <w:t> </w:t>
      </w:r>
      <w:r>
        <w:rPr/>
        <w:t>Margaret leads the other women in powerful group scenes of mourning. In these scenes, the women sit together, share their pain, and curse the people who destroyed their families. Margaret acts like a teacher of grief. She tells</w:t>
      </w:r>
      <w:r>
        <w:rPr>
          <w:spacing w:val="40"/>
        </w:rPr>
        <w:t> </w:t>
      </w:r>
      <w:r>
        <w:rPr/>
        <w:t>the other</w:t>
      </w:r>
      <w:r>
        <w:rPr>
          <w:spacing w:val="40"/>
        </w:rPr>
        <w:t> </w:t>
      </w:r>
      <w:r>
        <w:rPr/>
        <w:t>women:</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84096">
                <wp:simplePos x="0" y="0"/>
                <wp:positionH relativeFrom="page">
                  <wp:posOffset>2065020</wp:posOffset>
                </wp:positionH>
                <wp:positionV relativeFrom="paragraph">
                  <wp:posOffset>795020</wp:posOffset>
                </wp:positionV>
                <wp:extent cx="3657600" cy="12700"/>
                <wp:effectExtent l="0" t="0" r="0" b="0"/>
                <wp:wrapTopAndBottom/>
                <wp:docPr id="314" name="Graphic 314"/>
                <wp:cNvGraphicFramePr>
                  <a:graphicFrameLocks/>
                </wp:cNvGraphicFramePr>
                <a:graphic>
                  <a:graphicData uri="http://schemas.microsoft.com/office/word/2010/wordprocessingShape">
                    <wps:wsp>
                      <wps:cNvPr id="314" name="Graphic 31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32384;mso-wrap-distance-left:0;mso-wrap-distance-right:0" id="docshape310" filled="true" fillcolor="#000000" stroked="false">
                <v:fill type="solid"/>
                <w10:wrap type="topAndBottom"/>
              </v:rect>
            </w:pict>
          </mc:Fallback>
        </mc:AlternateContent>
      </w:r>
      <w:r>
        <w:rPr>
          <w:rFonts w:ascii="Verdana" w:hAnsi="Verdana"/>
          <w:spacing w:val="-2"/>
          <w:sz w:val="18"/>
        </w:rPr>
        <w:t>Women</w:t>
      </w:r>
      <w:r>
        <w:rPr>
          <w:rFonts w:ascii="Verdana" w:hAnsi="Verdana"/>
          <w:spacing w:val="1"/>
          <w:sz w:val="18"/>
        </w:rPr>
        <w:t> </w:t>
      </w:r>
      <w:r>
        <w:rPr>
          <w:rFonts w:ascii="Verdana" w:hAnsi="Verdana"/>
          <w:spacing w:val="-2"/>
          <w:sz w:val="18"/>
        </w:rPr>
        <w:t>in</w:t>
      </w:r>
      <w:r>
        <w:rPr>
          <w:rFonts w:ascii="Verdana" w:hAnsi="Verdana"/>
          <w:spacing w:val="3"/>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Historical</w:t>
      </w:r>
      <w:r>
        <w:rPr>
          <w:rFonts w:ascii="Verdana" w:hAnsi="Verdana"/>
          <w:spacing w:val="2"/>
          <w:sz w:val="18"/>
        </w:rPr>
        <w:t> </w:t>
      </w:r>
      <w:r>
        <w:rPr>
          <w:rFonts w:ascii="Verdana" w:hAnsi="Verdana"/>
          <w:spacing w:val="-2"/>
          <w:sz w:val="18"/>
        </w:rPr>
        <w:t>Plays:</w:t>
      </w:r>
      <w:r>
        <w:rPr>
          <w:rFonts w:ascii="Verdana" w:hAnsi="Verdana"/>
          <w:spacing w:val="1"/>
          <w:sz w:val="18"/>
        </w:rPr>
        <w:t> </w:t>
      </w:r>
      <w:r>
        <w:rPr>
          <w:rFonts w:ascii="Verdana" w:hAnsi="Verdana"/>
          <w:spacing w:val="-2"/>
          <w:sz w:val="18"/>
        </w:rPr>
        <w:t>Power...</w:t>
      </w:r>
      <w:r>
        <w:rPr>
          <w:sz w:val="18"/>
        </w:rPr>
        <w:tab/>
      </w:r>
      <w:r>
        <w:rPr>
          <w:rFonts w:ascii="Verdana" w:hAnsi="Verdana"/>
          <w:spacing w:val="-5"/>
          <w:sz w:val="18"/>
        </w:rPr>
        <w:t>107</w:t>
      </w:r>
    </w:p>
    <w:p>
      <w:pPr>
        <w:spacing w:line="309" w:lineRule="auto" w:before="192"/>
        <w:ind w:left="2160" w:right="2580" w:firstLine="0"/>
        <w:jc w:val="both"/>
        <w:rPr>
          <w:i/>
          <w:sz w:val="20"/>
        </w:rPr>
      </w:pPr>
      <w:r>
        <w:rPr>
          <w:i/>
          <w:sz w:val="20"/>
        </w:rPr>
        <w:t>“I</w:t>
      </w:r>
      <w:r>
        <w:rPr>
          <w:i/>
          <w:spacing w:val="38"/>
          <w:sz w:val="20"/>
        </w:rPr>
        <w:t> </w:t>
      </w:r>
      <w:r>
        <w:rPr>
          <w:i/>
          <w:sz w:val="20"/>
        </w:rPr>
        <w:t>had</w:t>
      </w:r>
      <w:r>
        <w:rPr>
          <w:i/>
          <w:spacing w:val="40"/>
          <w:sz w:val="20"/>
        </w:rPr>
        <w:t> </w:t>
      </w:r>
      <w:r>
        <w:rPr>
          <w:i/>
          <w:sz w:val="20"/>
        </w:rPr>
        <w:t>an</w:t>
      </w:r>
      <w:r>
        <w:rPr>
          <w:i/>
          <w:spacing w:val="40"/>
          <w:sz w:val="20"/>
        </w:rPr>
        <w:t> </w:t>
      </w:r>
      <w:r>
        <w:rPr>
          <w:i/>
          <w:sz w:val="20"/>
        </w:rPr>
        <w:t>Edward,</w:t>
      </w:r>
      <w:r>
        <w:rPr>
          <w:i/>
          <w:spacing w:val="40"/>
          <w:sz w:val="20"/>
        </w:rPr>
        <w:t> </w:t>
      </w:r>
      <w:r>
        <w:rPr>
          <w:i/>
          <w:sz w:val="20"/>
        </w:rPr>
        <w:t>till</w:t>
      </w:r>
      <w:r>
        <w:rPr>
          <w:i/>
          <w:spacing w:val="37"/>
          <w:sz w:val="20"/>
        </w:rPr>
        <w:t> </w:t>
      </w:r>
      <w:r>
        <w:rPr>
          <w:i/>
          <w:sz w:val="20"/>
        </w:rPr>
        <w:t>a</w:t>
      </w:r>
      <w:r>
        <w:rPr>
          <w:i/>
          <w:spacing w:val="40"/>
          <w:sz w:val="20"/>
        </w:rPr>
        <w:t> </w:t>
      </w:r>
      <w:r>
        <w:rPr>
          <w:i/>
          <w:sz w:val="20"/>
        </w:rPr>
        <w:t>Richard</w:t>
      </w:r>
      <w:r>
        <w:rPr>
          <w:i/>
          <w:spacing w:val="37"/>
          <w:sz w:val="20"/>
        </w:rPr>
        <w:t> </w:t>
      </w:r>
      <w:r>
        <w:rPr>
          <w:i/>
          <w:sz w:val="20"/>
        </w:rPr>
        <w:t>killed</w:t>
      </w:r>
      <w:r>
        <w:rPr>
          <w:i/>
          <w:spacing w:val="40"/>
          <w:sz w:val="20"/>
        </w:rPr>
        <w:t> </w:t>
      </w:r>
      <w:r>
        <w:rPr>
          <w:i/>
          <w:sz w:val="20"/>
        </w:rPr>
        <w:t>him; I</w:t>
      </w:r>
      <w:r>
        <w:rPr>
          <w:i/>
          <w:spacing w:val="33"/>
          <w:sz w:val="20"/>
        </w:rPr>
        <w:t> </w:t>
      </w:r>
      <w:r>
        <w:rPr>
          <w:i/>
          <w:sz w:val="20"/>
        </w:rPr>
        <w:t>had</w:t>
      </w:r>
      <w:r>
        <w:rPr>
          <w:i/>
          <w:spacing w:val="37"/>
          <w:sz w:val="20"/>
        </w:rPr>
        <w:t> </w:t>
      </w:r>
      <w:r>
        <w:rPr>
          <w:i/>
          <w:sz w:val="20"/>
        </w:rPr>
        <w:t>a</w:t>
      </w:r>
      <w:r>
        <w:rPr>
          <w:i/>
          <w:spacing w:val="35"/>
          <w:sz w:val="20"/>
        </w:rPr>
        <w:t> </w:t>
      </w:r>
      <w:r>
        <w:rPr>
          <w:i/>
          <w:sz w:val="20"/>
        </w:rPr>
        <w:t>husband,</w:t>
      </w:r>
      <w:r>
        <w:rPr>
          <w:i/>
          <w:spacing w:val="33"/>
          <w:sz w:val="20"/>
        </w:rPr>
        <w:t> </w:t>
      </w:r>
      <w:r>
        <w:rPr>
          <w:i/>
          <w:sz w:val="20"/>
        </w:rPr>
        <w:t>till</w:t>
      </w:r>
      <w:r>
        <w:rPr>
          <w:i/>
          <w:spacing w:val="36"/>
          <w:sz w:val="20"/>
        </w:rPr>
        <w:t> </w:t>
      </w:r>
      <w:r>
        <w:rPr>
          <w:i/>
          <w:sz w:val="20"/>
        </w:rPr>
        <w:t>a</w:t>
      </w:r>
      <w:r>
        <w:rPr>
          <w:i/>
          <w:spacing w:val="35"/>
          <w:sz w:val="20"/>
        </w:rPr>
        <w:t> </w:t>
      </w:r>
      <w:r>
        <w:rPr>
          <w:i/>
          <w:sz w:val="20"/>
        </w:rPr>
        <w:t>Richard</w:t>
      </w:r>
      <w:r>
        <w:rPr>
          <w:i/>
          <w:spacing w:val="37"/>
          <w:sz w:val="20"/>
        </w:rPr>
        <w:t> </w:t>
      </w:r>
      <w:r>
        <w:rPr>
          <w:i/>
          <w:sz w:val="20"/>
        </w:rPr>
        <w:t>killed</w:t>
      </w:r>
      <w:r>
        <w:rPr>
          <w:i/>
          <w:spacing w:val="34"/>
          <w:sz w:val="20"/>
        </w:rPr>
        <w:t> </w:t>
      </w:r>
      <w:r>
        <w:rPr>
          <w:i/>
          <w:spacing w:val="-2"/>
          <w:sz w:val="20"/>
        </w:rPr>
        <w:t>him…”</w:t>
      </w:r>
    </w:p>
    <w:p>
      <w:pPr>
        <w:pStyle w:val="BodyText"/>
        <w:spacing w:line="249" w:lineRule="auto" w:before="2"/>
        <w:ind w:right="1439" w:firstLine="432"/>
        <w:jc w:val="both"/>
      </w:pPr>
      <w:r>
        <w:rPr/>
        <w:t>She lists all her losses and encourages the others to remember</w:t>
      </w:r>
      <w:r>
        <w:rPr>
          <w:spacing w:val="40"/>
        </w:rPr>
        <w:t> </w:t>
      </w:r>
      <w:r>
        <w:rPr/>
        <w:t>their own pain. These group lament scenes work like a chorus in an ancient Greek play. They</w:t>
      </w:r>
      <w:r>
        <w:rPr>
          <w:spacing w:val="-2"/>
        </w:rPr>
        <w:t> </w:t>
      </w:r>
      <w:r>
        <w:rPr/>
        <w:t>remind the audience of the heavy human cost of Richard’s ambition and cruelty.</w:t>
      </w:r>
    </w:p>
    <w:p>
      <w:pPr>
        <w:pStyle w:val="BodyText"/>
        <w:spacing w:line="261" w:lineRule="auto" w:before="68"/>
        <w:ind w:right="1441" w:firstLine="432"/>
        <w:jc w:val="both"/>
      </w:pPr>
      <w:r>
        <w:rPr/>
        <w:t>Margaret’s</w:t>
      </w:r>
      <w:r>
        <w:rPr>
          <w:spacing w:val="-12"/>
        </w:rPr>
        <w:t> </w:t>
      </w:r>
      <w:r>
        <w:rPr/>
        <w:t>curses</w:t>
      </w:r>
      <w:r>
        <w:rPr>
          <w:spacing w:val="-10"/>
        </w:rPr>
        <w:t> </w:t>
      </w:r>
      <w:r>
        <w:rPr/>
        <w:t>are</w:t>
      </w:r>
      <w:r>
        <w:rPr>
          <w:spacing w:val="-12"/>
        </w:rPr>
        <w:t> </w:t>
      </w:r>
      <w:r>
        <w:rPr/>
        <w:t>especially</w:t>
      </w:r>
      <w:r>
        <w:rPr>
          <w:spacing w:val="-12"/>
        </w:rPr>
        <w:t> </w:t>
      </w:r>
      <w:r>
        <w:rPr/>
        <w:t>strong.</w:t>
      </w:r>
      <w:r>
        <w:rPr>
          <w:spacing w:val="-12"/>
        </w:rPr>
        <w:t> </w:t>
      </w:r>
      <w:r>
        <w:rPr/>
        <w:t>She</w:t>
      </w:r>
      <w:r>
        <w:rPr>
          <w:spacing w:val="-9"/>
        </w:rPr>
        <w:t> </w:t>
      </w:r>
      <w:r>
        <w:rPr/>
        <w:t>predicts</w:t>
      </w:r>
      <w:r>
        <w:rPr>
          <w:spacing w:val="-12"/>
        </w:rPr>
        <w:t> </w:t>
      </w:r>
      <w:r>
        <w:rPr/>
        <w:t>terrible</w:t>
      </w:r>
      <w:r>
        <w:rPr>
          <w:spacing w:val="-10"/>
        </w:rPr>
        <w:t> </w:t>
      </w:r>
      <w:r>
        <w:rPr/>
        <w:t>things will</w:t>
      </w:r>
      <w:r>
        <w:rPr>
          <w:spacing w:val="-2"/>
        </w:rPr>
        <w:t> </w:t>
      </w:r>
      <w:r>
        <w:rPr/>
        <w:t>happen</w:t>
      </w:r>
      <w:r>
        <w:rPr>
          <w:spacing w:val="-2"/>
        </w:rPr>
        <w:t> </w:t>
      </w:r>
      <w:r>
        <w:rPr/>
        <w:t>to Richard and his</w:t>
      </w:r>
      <w:r>
        <w:rPr>
          <w:spacing w:val="-2"/>
        </w:rPr>
        <w:t> </w:t>
      </w:r>
      <w:r>
        <w:rPr/>
        <w:t>supporters</w:t>
      </w:r>
      <w:r>
        <w:rPr>
          <w:spacing w:val="-2"/>
        </w:rPr>
        <w:t> </w:t>
      </w:r>
      <w:r>
        <w:rPr/>
        <w:t>—</w:t>
      </w:r>
      <w:r>
        <w:rPr>
          <w:spacing w:val="-2"/>
        </w:rPr>
        <w:t> </w:t>
      </w:r>
      <w:r>
        <w:rPr/>
        <w:t>and almost everything</w:t>
      </w:r>
      <w:r>
        <w:rPr>
          <w:spacing w:val="-4"/>
        </w:rPr>
        <w:t> </w:t>
      </w:r>
      <w:r>
        <w:rPr/>
        <w:t>she says comes true by the end of the play. Her words feel like justice slowly</w:t>
      </w:r>
      <w:r>
        <w:rPr>
          <w:spacing w:val="-13"/>
        </w:rPr>
        <w:t> </w:t>
      </w:r>
      <w:r>
        <w:rPr/>
        <w:t>catching</w:t>
      </w:r>
      <w:r>
        <w:rPr>
          <w:spacing w:val="-12"/>
        </w:rPr>
        <w:t> </w:t>
      </w:r>
      <w:r>
        <w:rPr/>
        <w:t>up</w:t>
      </w:r>
      <w:r>
        <w:rPr>
          <w:spacing w:val="-13"/>
        </w:rPr>
        <w:t> </w:t>
      </w:r>
      <w:r>
        <w:rPr/>
        <w:t>with</w:t>
      </w:r>
      <w:r>
        <w:rPr>
          <w:spacing w:val="-11"/>
        </w:rPr>
        <w:t> </w:t>
      </w:r>
      <w:r>
        <w:rPr/>
        <w:t>evil.</w:t>
      </w:r>
      <w:r>
        <w:rPr>
          <w:spacing w:val="-11"/>
        </w:rPr>
        <w:t> </w:t>
      </w:r>
      <w:r>
        <w:rPr/>
        <w:t>Even</w:t>
      </w:r>
      <w:r>
        <w:rPr>
          <w:spacing w:val="-13"/>
        </w:rPr>
        <w:t> </w:t>
      </w:r>
      <w:r>
        <w:rPr/>
        <w:t>though</w:t>
      </w:r>
      <w:r>
        <w:rPr>
          <w:spacing w:val="-11"/>
        </w:rPr>
        <w:t> </w:t>
      </w:r>
      <w:r>
        <w:rPr/>
        <w:t>she</w:t>
      </w:r>
      <w:r>
        <w:rPr>
          <w:spacing w:val="-11"/>
        </w:rPr>
        <w:t> </w:t>
      </w:r>
      <w:r>
        <w:rPr/>
        <w:t>has</w:t>
      </w:r>
      <w:r>
        <w:rPr>
          <w:spacing w:val="-13"/>
        </w:rPr>
        <w:t> </w:t>
      </w:r>
      <w:r>
        <w:rPr/>
        <w:t>no</w:t>
      </w:r>
      <w:r>
        <w:rPr>
          <w:spacing w:val="-9"/>
        </w:rPr>
        <w:t> </w:t>
      </w:r>
      <w:r>
        <w:rPr/>
        <w:t>army,</w:t>
      </w:r>
      <w:r>
        <w:rPr>
          <w:spacing w:val="-11"/>
        </w:rPr>
        <w:t> </w:t>
      </w:r>
      <w:r>
        <w:rPr/>
        <w:t>her</w:t>
      </w:r>
      <w:r>
        <w:rPr>
          <w:spacing w:val="-10"/>
        </w:rPr>
        <w:t> </w:t>
      </w:r>
      <w:r>
        <w:rPr/>
        <w:t>language becomes</w:t>
      </w:r>
      <w:r>
        <w:rPr>
          <w:spacing w:val="40"/>
        </w:rPr>
        <w:t> </w:t>
      </w:r>
      <w:r>
        <w:rPr/>
        <w:t>a</w:t>
      </w:r>
      <w:r>
        <w:rPr>
          <w:spacing w:val="40"/>
        </w:rPr>
        <w:t> </w:t>
      </w:r>
      <w:r>
        <w:rPr/>
        <w:t>weapon.</w:t>
      </w:r>
    </w:p>
    <w:p>
      <w:pPr>
        <w:pStyle w:val="Heading3"/>
        <w:spacing w:before="151"/>
      </w:pPr>
      <w:r>
        <w:rPr>
          <w:w w:val="90"/>
        </w:rPr>
        <w:t>LADY</w:t>
      </w:r>
      <w:r>
        <w:rPr>
          <w:spacing w:val="7"/>
        </w:rPr>
        <w:t> </w:t>
      </w:r>
      <w:r>
        <w:rPr>
          <w:w w:val="90"/>
        </w:rPr>
        <w:t>ANNE:</w:t>
      </w:r>
      <w:r>
        <w:rPr>
          <w:spacing w:val="7"/>
        </w:rPr>
        <w:t> </w:t>
      </w:r>
      <w:r>
        <w:rPr>
          <w:w w:val="90"/>
        </w:rPr>
        <w:t>TRAPPED</w:t>
      </w:r>
      <w:r>
        <w:rPr>
          <w:spacing w:val="6"/>
        </w:rPr>
        <w:t> </w:t>
      </w:r>
      <w:r>
        <w:rPr>
          <w:w w:val="90"/>
        </w:rPr>
        <w:t>BY</w:t>
      </w:r>
      <w:r>
        <w:rPr>
          <w:spacing w:val="9"/>
        </w:rPr>
        <w:t> </w:t>
      </w:r>
      <w:r>
        <w:rPr>
          <w:w w:val="90"/>
        </w:rPr>
        <w:t>RICHARD’S</w:t>
      </w:r>
      <w:r>
        <w:rPr>
          <w:spacing w:val="8"/>
        </w:rPr>
        <w:t> </w:t>
      </w:r>
      <w:r>
        <w:rPr>
          <w:spacing w:val="-4"/>
          <w:w w:val="90"/>
        </w:rPr>
        <w:t>WORDS</w:t>
      </w:r>
    </w:p>
    <w:p>
      <w:pPr>
        <w:pStyle w:val="BodyText"/>
        <w:spacing w:line="261" w:lineRule="auto" w:before="89"/>
        <w:ind w:right="1441" w:firstLine="432"/>
        <w:jc w:val="both"/>
      </w:pPr>
      <w:r>
        <w:rPr/>
        <w:t>One of the most dramatic and shocking scenes in the play is between</w:t>
      </w:r>
      <w:r>
        <w:rPr>
          <w:spacing w:val="-13"/>
        </w:rPr>
        <w:t> </w:t>
      </w:r>
      <w:r>
        <w:rPr/>
        <w:t>Richard</w:t>
      </w:r>
      <w:r>
        <w:rPr>
          <w:spacing w:val="-5"/>
        </w:rPr>
        <w:t> </w:t>
      </w:r>
      <w:r>
        <w:rPr/>
        <w:t>and</w:t>
      </w:r>
      <w:r>
        <w:rPr>
          <w:spacing w:val="-2"/>
        </w:rPr>
        <w:t> </w:t>
      </w:r>
      <w:r>
        <w:rPr/>
        <w:t>Lady</w:t>
      </w:r>
      <w:r>
        <w:rPr>
          <w:spacing w:val="-13"/>
        </w:rPr>
        <w:t> </w:t>
      </w:r>
      <w:r>
        <w:rPr/>
        <w:t>Anne.</w:t>
      </w:r>
      <w:r>
        <w:rPr>
          <w:spacing w:val="-12"/>
        </w:rPr>
        <w:t> </w:t>
      </w:r>
      <w:r>
        <w:rPr/>
        <w:t>Anne</w:t>
      </w:r>
      <w:r>
        <w:rPr>
          <w:spacing w:val="-8"/>
        </w:rPr>
        <w:t> </w:t>
      </w:r>
      <w:r>
        <w:rPr/>
        <w:t>is</w:t>
      </w:r>
      <w:r>
        <w:rPr>
          <w:spacing w:val="-6"/>
        </w:rPr>
        <w:t> </w:t>
      </w:r>
      <w:r>
        <w:rPr/>
        <w:t>mourning</w:t>
      </w:r>
      <w:r>
        <w:rPr>
          <w:spacing w:val="-6"/>
        </w:rPr>
        <w:t> </w:t>
      </w:r>
      <w:r>
        <w:rPr/>
        <w:t>at</w:t>
      </w:r>
      <w:r>
        <w:rPr>
          <w:spacing w:val="-6"/>
        </w:rPr>
        <w:t> </w:t>
      </w:r>
      <w:r>
        <w:rPr/>
        <w:t>the</w:t>
      </w:r>
      <w:r>
        <w:rPr>
          <w:spacing w:val="-8"/>
        </w:rPr>
        <w:t> </w:t>
      </w:r>
      <w:r>
        <w:rPr/>
        <w:t>funeral</w:t>
      </w:r>
      <w:r>
        <w:rPr>
          <w:spacing w:val="-5"/>
        </w:rPr>
        <w:t> </w:t>
      </w:r>
      <w:r>
        <w:rPr/>
        <w:t>of</w:t>
      </w:r>
      <w:r>
        <w:rPr>
          <w:spacing w:val="-6"/>
        </w:rPr>
        <w:t> </w:t>
      </w:r>
      <w:r>
        <w:rPr/>
        <w:t>her </w:t>
      </w:r>
      <w:r>
        <w:rPr>
          <w:spacing w:val="-2"/>
        </w:rPr>
        <w:t>father-in-law,</w:t>
      </w:r>
      <w:r>
        <w:rPr>
          <w:spacing w:val="-5"/>
        </w:rPr>
        <w:t> </w:t>
      </w:r>
      <w:r>
        <w:rPr>
          <w:spacing w:val="-2"/>
        </w:rPr>
        <w:t>King</w:t>
      </w:r>
      <w:r>
        <w:rPr>
          <w:spacing w:val="-7"/>
        </w:rPr>
        <w:t> </w:t>
      </w:r>
      <w:r>
        <w:rPr>
          <w:spacing w:val="-2"/>
        </w:rPr>
        <w:t>Henry</w:t>
      </w:r>
      <w:r>
        <w:rPr>
          <w:spacing w:val="-9"/>
        </w:rPr>
        <w:t> </w:t>
      </w:r>
      <w:r>
        <w:rPr>
          <w:spacing w:val="-2"/>
        </w:rPr>
        <w:t>VI,</w:t>
      </w:r>
      <w:r>
        <w:rPr>
          <w:spacing w:val="-5"/>
        </w:rPr>
        <w:t> </w:t>
      </w:r>
      <w:r>
        <w:rPr>
          <w:spacing w:val="-2"/>
        </w:rPr>
        <w:t>whom</w:t>
      </w:r>
      <w:r>
        <w:rPr>
          <w:spacing w:val="-8"/>
        </w:rPr>
        <w:t> </w:t>
      </w:r>
      <w:r>
        <w:rPr>
          <w:spacing w:val="-2"/>
        </w:rPr>
        <w:t>Richard</w:t>
      </w:r>
      <w:r>
        <w:rPr>
          <w:spacing w:val="-5"/>
        </w:rPr>
        <w:t> </w:t>
      </w:r>
      <w:r>
        <w:rPr>
          <w:spacing w:val="-2"/>
        </w:rPr>
        <w:t>has</w:t>
      </w:r>
      <w:r>
        <w:rPr>
          <w:spacing w:val="-7"/>
        </w:rPr>
        <w:t> </w:t>
      </w:r>
      <w:r>
        <w:rPr>
          <w:spacing w:val="-2"/>
        </w:rPr>
        <w:t>murdered.</w:t>
      </w:r>
      <w:r>
        <w:rPr>
          <w:spacing w:val="-5"/>
        </w:rPr>
        <w:t> </w:t>
      </w:r>
      <w:r>
        <w:rPr>
          <w:spacing w:val="-2"/>
        </w:rPr>
        <w:t>She</w:t>
      </w:r>
      <w:r>
        <w:rPr>
          <w:spacing w:val="-3"/>
        </w:rPr>
        <w:t> </w:t>
      </w:r>
      <w:r>
        <w:rPr>
          <w:spacing w:val="-2"/>
        </w:rPr>
        <w:t>is</w:t>
      </w:r>
      <w:r>
        <w:rPr>
          <w:spacing w:val="-5"/>
        </w:rPr>
        <w:t> </w:t>
      </w:r>
      <w:r>
        <w:rPr>
          <w:spacing w:val="-2"/>
        </w:rPr>
        <w:t>full</w:t>
      </w:r>
      <w:r>
        <w:rPr>
          <w:spacing w:val="-7"/>
        </w:rPr>
        <w:t> </w:t>
      </w:r>
      <w:r>
        <w:rPr>
          <w:spacing w:val="-2"/>
        </w:rPr>
        <w:t>of </w:t>
      </w:r>
      <w:r>
        <w:rPr/>
        <w:t>anger and</w:t>
      </w:r>
      <w:r>
        <w:rPr>
          <w:spacing w:val="40"/>
        </w:rPr>
        <w:t> </w:t>
      </w:r>
      <w:r>
        <w:rPr/>
        <w:t>grief.</w:t>
      </w:r>
    </w:p>
    <w:p>
      <w:pPr>
        <w:pStyle w:val="BodyText"/>
        <w:spacing w:line="261" w:lineRule="auto" w:before="54"/>
        <w:ind w:right="1441" w:firstLine="432"/>
        <w:jc w:val="both"/>
      </w:pPr>
      <w:r>
        <w:rPr/>
        <w:t>Richard boldly tries to win her over right there, next to the dead body. At first, Anne curses him strongly and calls him a monster. She spits on him in disgust. But Richard uses clever, persuasive words and lies.</w:t>
      </w:r>
      <w:r>
        <w:rPr>
          <w:spacing w:val="-13"/>
        </w:rPr>
        <w:t> </w:t>
      </w:r>
      <w:r>
        <w:rPr/>
        <w:t>Surprisingly,</w:t>
      </w:r>
      <w:r>
        <w:rPr>
          <w:spacing w:val="-12"/>
        </w:rPr>
        <w:t> </w:t>
      </w:r>
      <w:r>
        <w:rPr/>
        <w:t>Anne</w:t>
      </w:r>
      <w:r>
        <w:rPr>
          <w:spacing w:val="-13"/>
        </w:rPr>
        <w:t> </w:t>
      </w:r>
      <w:r>
        <w:rPr/>
        <w:t>agrees</w:t>
      </w:r>
      <w:r>
        <w:rPr>
          <w:spacing w:val="-12"/>
        </w:rPr>
        <w:t> </w:t>
      </w:r>
      <w:r>
        <w:rPr/>
        <w:t>to</w:t>
      </w:r>
      <w:r>
        <w:rPr>
          <w:spacing w:val="-13"/>
        </w:rPr>
        <w:t> </w:t>
      </w:r>
      <w:r>
        <w:rPr/>
        <w:t>marry</w:t>
      </w:r>
      <w:r>
        <w:rPr>
          <w:spacing w:val="-12"/>
        </w:rPr>
        <w:t> </w:t>
      </w:r>
      <w:r>
        <w:rPr/>
        <w:t>him</w:t>
      </w:r>
      <w:r>
        <w:rPr>
          <w:spacing w:val="-13"/>
        </w:rPr>
        <w:t> </w:t>
      </w:r>
      <w:r>
        <w:rPr/>
        <w:t>—</w:t>
      </w:r>
      <w:r>
        <w:rPr>
          <w:spacing w:val="-12"/>
        </w:rPr>
        <w:t> </w:t>
      </w:r>
      <w:r>
        <w:rPr/>
        <w:t>at</w:t>
      </w:r>
      <w:r>
        <w:rPr>
          <w:spacing w:val="-13"/>
        </w:rPr>
        <w:t> </w:t>
      </w:r>
      <w:r>
        <w:rPr/>
        <w:t>least</w:t>
      </w:r>
      <w:r>
        <w:rPr>
          <w:spacing w:val="-12"/>
        </w:rPr>
        <w:t> </w:t>
      </w:r>
      <w:r>
        <w:rPr/>
        <w:t>for</w:t>
      </w:r>
      <w:r>
        <w:rPr>
          <w:spacing w:val="-13"/>
        </w:rPr>
        <w:t> </w:t>
      </w:r>
      <w:r>
        <w:rPr/>
        <w:t>a</w:t>
      </w:r>
      <w:r>
        <w:rPr>
          <w:spacing w:val="-12"/>
        </w:rPr>
        <w:t> </w:t>
      </w:r>
      <w:r>
        <w:rPr/>
        <w:t>while.</w:t>
      </w:r>
      <w:r>
        <w:rPr>
          <w:spacing w:val="-13"/>
        </w:rPr>
        <w:t> </w:t>
      </w:r>
      <w:r>
        <w:rPr/>
        <w:t>Later, she</w:t>
      </w:r>
      <w:r>
        <w:rPr>
          <w:spacing w:val="-1"/>
        </w:rPr>
        <w:t> </w:t>
      </w:r>
      <w:r>
        <w:rPr/>
        <w:t>deeply</w:t>
      </w:r>
      <w:r>
        <w:rPr>
          <w:spacing w:val="-2"/>
        </w:rPr>
        <w:t> </w:t>
      </w:r>
      <w:r>
        <w:rPr/>
        <w:t>regrets</w:t>
      </w:r>
      <w:r>
        <w:rPr>
          <w:spacing w:val="-2"/>
        </w:rPr>
        <w:t> </w:t>
      </w:r>
      <w:r>
        <w:rPr/>
        <w:t>her decision.</w:t>
      </w:r>
      <w:r>
        <w:rPr>
          <w:spacing w:val="-1"/>
        </w:rPr>
        <w:t> </w:t>
      </w:r>
      <w:r>
        <w:rPr/>
        <w:t>This scene</w:t>
      </w:r>
      <w:r>
        <w:rPr>
          <w:spacing w:val="-3"/>
        </w:rPr>
        <w:t> </w:t>
      </w:r>
      <w:r>
        <w:rPr/>
        <w:t>shows</w:t>
      </w:r>
      <w:r>
        <w:rPr>
          <w:spacing w:val="-2"/>
        </w:rPr>
        <w:t> </w:t>
      </w:r>
      <w:r>
        <w:rPr/>
        <w:t>two</w:t>
      </w:r>
      <w:r>
        <w:rPr>
          <w:spacing w:val="2"/>
        </w:rPr>
        <w:t> </w:t>
      </w:r>
      <w:r>
        <w:rPr/>
        <w:t>important</w:t>
      </w:r>
      <w:r>
        <w:rPr>
          <w:spacing w:val="-1"/>
        </w:rPr>
        <w:t> </w:t>
      </w:r>
      <w:r>
        <w:rPr>
          <w:spacing w:val="-2"/>
        </w:rPr>
        <w:t>things:</w:t>
      </w:r>
    </w:p>
    <w:p>
      <w:pPr>
        <w:pStyle w:val="BodyText"/>
        <w:spacing w:line="264" w:lineRule="auto" w:before="54"/>
        <w:ind w:right="1440" w:firstLine="432"/>
        <w:jc w:val="both"/>
      </w:pPr>
      <w:r>
        <w:rPr/>
        <w:t>The</w:t>
      </w:r>
      <w:r>
        <w:rPr>
          <w:spacing w:val="-4"/>
        </w:rPr>
        <w:t> </w:t>
      </w:r>
      <w:r>
        <w:rPr/>
        <w:t>dangerous</w:t>
      </w:r>
      <w:r>
        <w:rPr>
          <w:spacing w:val="-5"/>
        </w:rPr>
        <w:t> </w:t>
      </w:r>
      <w:r>
        <w:rPr/>
        <w:t>power</w:t>
      </w:r>
      <w:r>
        <w:rPr>
          <w:spacing w:val="-5"/>
        </w:rPr>
        <w:t> </w:t>
      </w:r>
      <w:r>
        <w:rPr/>
        <w:t>of</w:t>
      </w:r>
      <w:r>
        <w:rPr>
          <w:spacing w:val="-6"/>
        </w:rPr>
        <w:t> </w:t>
      </w:r>
      <w:r>
        <w:rPr/>
        <w:t>Richard’s</w:t>
      </w:r>
      <w:r>
        <w:rPr>
          <w:spacing w:val="-5"/>
        </w:rPr>
        <w:t> </w:t>
      </w:r>
      <w:r>
        <w:rPr/>
        <w:t>lying</w:t>
      </w:r>
      <w:r>
        <w:rPr>
          <w:spacing w:val="-6"/>
        </w:rPr>
        <w:t> </w:t>
      </w:r>
      <w:r>
        <w:rPr/>
        <w:t>tongue.</w:t>
      </w:r>
      <w:r>
        <w:rPr>
          <w:spacing w:val="-5"/>
        </w:rPr>
        <w:t> </w:t>
      </w:r>
      <w:r>
        <w:rPr/>
        <w:t>How</w:t>
      </w:r>
      <w:r>
        <w:rPr>
          <w:spacing w:val="-10"/>
        </w:rPr>
        <w:t> </w:t>
      </w:r>
      <w:r>
        <w:rPr/>
        <w:t>difficult</w:t>
      </w:r>
      <w:r>
        <w:rPr>
          <w:spacing w:val="-5"/>
        </w:rPr>
        <w:t> </w:t>
      </w:r>
      <w:r>
        <w:rPr/>
        <w:t>life was</w:t>
      </w:r>
      <w:r>
        <w:rPr>
          <w:spacing w:val="2"/>
        </w:rPr>
        <w:t> </w:t>
      </w:r>
      <w:r>
        <w:rPr/>
        <w:t>for</w:t>
      </w:r>
      <w:r>
        <w:rPr>
          <w:spacing w:val="6"/>
        </w:rPr>
        <w:t> </w:t>
      </w:r>
      <w:r>
        <w:rPr/>
        <w:t>women</w:t>
      </w:r>
      <w:r>
        <w:rPr>
          <w:spacing w:val="2"/>
        </w:rPr>
        <w:t> </w:t>
      </w:r>
      <w:r>
        <w:rPr/>
        <w:t>in</w:t>
      </w:r>
      <w:r>
        <w:rPr>
          <w:spacing w:val="4"/>
        </w:rPr>
        <w:t> </w:t>
      </w:r>
      <w:r>
        <w:rPr/>
        <w:t>political</w:t>
      </w:r>
      <w:r>
        <w:rPr>
          <w:spacing w:val="4"/>
        </w:rPr>
        <w:t> </w:t>
      </w:r>
      <w:r>
        <w:rPr/>
        <w:t>marriages.</w:t>
      </w:r>
      <w:r>
        <w:rPr>
          <w:spacing w:val="6"/>
        </w:rPr>
        <w:t> </w:t>
      </w:r>
      <w:r>
        <w:rPr/>
        <w:t>They often</w:t>
      </w:r>
      <w:r>
        <w:rPr>
          <w:spacing w:val="2"/>
        </w:rPr>
        <w:t> </w:t>
      </w:r>
      <w:r>
        <w:rPr/>
        <w:t>had</w:t>
      </w:r>
      <w:r>
        <w:rPr>
          <w:spacing w:val="6"/>
        </w:rPr>
        <w:t> </w:t>
      </w:r>
      <w:r>
        <w:rPr/>
        <w:t>little</w:t>
      </w:r>
      <w:r>
        <w:rPr>
          <w:spacing w:val="5"/>
        </w:rPr>
        <w:t> </w:t>
      </w:r>
      <w:r>
        <w:rPr/>
        <w:t>real</w:t>
      </w:r>
      <w:r>
        <w:rPr>
          <w:spacing w:val="5"/>
        </w:rPr>
        <w:t> </w:t>
      </w:r>
      <w:r>
        <w:rPr>
          <w:spacing w:val="-2"/>
        </w:rPr>
        <w:t>choice.</w:t>
      </w:r>
    </w:p>
    <w:p>
      <w:pPr>
        <w:pStyle w:val="Heading3"/>
        <w:spacing w:before="149"/>
      </w:pPr>
      <w:r>
        <w:rPr>
          <w:w w:val="90"/>
        </w:rPr>
        <w:t>QUEEN</w:t>
      </w:r>
      <w:r>
        <w:rPr>
          <w:spacing w:val="6"/>
        </w:rPr>
        <w:t> </w:t>
      </w:r>
      <w:r>
        <w:rPr>
          <w:w w:val="90"/>
        </w:rPr>
        <w:t>ELIZABETH</w:t>
      </w:r>
      <w:r>
        <w:rPr>
          <w:spacing w:val="4"/>
        </w:rPr>
        <w:t> </w:t>
      </w:r>
      <w:r>
        <w:rPr>
          <w:w w:val="90"/>
        </w:rPr>
        <w:t>AND</w:t>
      </w:r>
      <w:r>
        <w:rPr>
          <w:spacing w:val="1"/>
        </w:rPr>
        <w:t> </w:t>
      </w:r>
      <w:r>
        <w:rPr>
          <w:w w:val="90"/>
        </w:rPr>
        <w:t>THE</w:t>
      </w:r>
      <w:r>
        <w:rPr>
          <w:spacing w:val="5"/>
        </w:rPr>
        <w:t> </w:t>
      </w:r>
      <w:r>
        <w:rPr>
          <w:w w:val="90"/>
        </w:rPr>
        <w:t>DUCHESS</w:t>
      </w:r>
      <w:r>
        <w:rPr>
          <w:spacing w:val="4"/>
        </w:rPr>
        <w:t> </w:t>
      </w:r>
      <w:r>
        <w:rPr>
          <w:w w:val="90"/>
        </w:rPr>
        <w:t>OF</w:t>
      </w:r>
      <w:r>
        <w:rPr>
          <w:spacing w:val="4"/>
        </w:rPr>
        <w:t> </w:t>
      </w:r>
      <w:r>
        <w:rPr>
          <w:spacing w:val="-4"/>
          <w:w w:val="90"/>
        </w:rPr>
        <w:t>YORK</w:t>
      </w:r>
    </w:p>
    <w:p>
      <w:pPr>
        <w:pStyle w:val="BodyText"/>
        <w:spacing w:line="261" w:lineRule="auto" w:before="88"/>
        <w:ind w:right="1439" w:firstLine="432"/>
        <w:jc w:val="both"/>
      </w:pPr>
      <w:r>
        <w:rPr/>
        <w:t>Other women</w:t>
      </w:r>
      <w:r>
        <w:rPr>
          <w:spacing w:val="-1"/>
        </w:rPr>
        <w:t> </w:t>
      </w:r>
      <w:r>
        <w:rPr/>
        <w:t>also add deep emotion to the play. Queen</w:t>
      </w:r>
      <w:r>
        <w:rPr>
          <w:spacing w:val="-1"/>
        </w:rPr>
        <w:t> </w:t>
      </w:r>
      <w:r>
        <w:rPr/>
        <w:t>Elizabeth (wife of King Edward IV) loses her sons — the famous “Princes in the Tower” — who are murdered on Richard’s orders. Her pain is heart-</w:t>
      </w:r>
      <w:r>
        <w:rPr>
          <w:spacing w:val="-2"/>
        </w:rPr>
        <w:t>breaking.</w:t>
      </w:r>
    </w:p>
    <w:p>
      <w:pPr>
        <w:pStyle w:val="BodyText"/>
        <w:spacing w:line="261" w:lineRule="auto" w:before="55"/>
        <w:ind w:right="1440" w:firstLine="432"/>
        <w:jc w:val="both"/>
      </w:pPr>
      <w:r>
        <w:rPr/>
        <w:t>The old Duchess of York, Richard’s own mother, is filled with sorrow and guilt. She regrets giving birth to such a cruel son. In one scene, these women sit together and cry over their dead children and husbands. Their tears and self-blame make the royal family feel more human</w:t>
      </w:r>
      <w:r>
        <w:rPr>
          <w:spacing w:val="40"/>
        </w:rPr>
        <w:t> </w:t>
      </w:r>
      <w:r>
        <w:rPr/>
        <w:t>and</w:t>
      </w:r>
      <w:r>
        <w:rPr>
          <w:spacing w:val="40"/>
        </w:rPr>
        <w:t> </w:t>
      </w:r>
      <w:r>
        <w:rPr/>
        <w:t>tragic.</w:t>
      </w:r>
    </w:p>
    <w:p>
      <w:pPr>
        <w:pStyle w:val="BodyText"/>
        <w:spacing w:line="249" w:lineRule="auto" w:before="48"/>
        <w:ind w:right="1440" w:firstLine="432"/>
        <w:jc w:val="both"/>
      </w:pPr>
      <w:r>
        <w:rPr/>
        <w:t>The women in Richard III cannot stop Richard with swords or armies. But they still play a very important role: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84608">
                <wp:simplePos x="0" y="0"/>
                <wp:positionH relativeFrom="page">
                  <wp:posOffset>2057400</wp:posOffset>
                </wp:positionH>
                <wp:positionV relativeFrom="paragraph">
                  <wp:posOffset>162604</wp:posOffset>
                </wp:positionV>
                <wp:extent cx="3657600" cy="12700"/>
                <wp:effectExtent l="0" t="0" r="0" b="0"/>
                <wp:wrapTopAndBottom/>
                <wp:docPr id="315" name="Graphic 315"/>
                <wp:cNvGraphicFramePr>
                  <a:graphicFrameLocks/>
                </wp:cNvGraphicFramePr>
                <a:graphic>
                  <a:graphicData uri="http://schemas.microsoft.com/office/word/2010/wordprocessingShape">
                    <wps:wsp>
                      <wps:cNvPr id="315" name="Graphic 31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31872;mso-wrap-distance-left:0;mso-wrap-distance-right:0" id="docshape311" filled="true" fillcolor="#000000" stroked="false">
                <v:fill type="solid"/>
                <w10:wrap type="topAndBottom"/>
              </v:rect>
            </w:pict>
          </mc:Fallback>
        </mc:AlternateContent>
      </w:r>
      <w:r>
        <w:rPr>
          <w:rFonts w:ascii="Verdana"/>
          <w:spacing w:val="-5"/>
          <w:sz w:val="18"/>
        </w:rPr>
        <w:t>108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22"/>
        </w:numPr>
        <w:tabs>
          <w:tab w:pos="2160" w:val="left" w:leader="none"/>
        </w:tabs>
        <w:spacing w:line="261" w:lineRule="auto" w:before="199" w:after="0"/>
        <w:ind w:left="2160" w:right="1440" w:hanging="240"/>
        <w:jc w:val="left"/>
        <w:rPr>
          <w:sz w:val="20"/>
        </w:rPr>
      </w:pPr>
      <w:r>
        <w:rPr>
          <w:sz w:val="20"/>
        </w:rPr>
        <w:t>They provide</w:t>
      </w:r>
      <w:r>
        <w:rPr>
          <w:spacing w:val="18"/>
          <w:sz w:val="20"/>
        </w:rPr>
        <w:t> </w:t>
      </w:r>
      <w:r>
        <w:rPr>
          <w:sz w:val="20"/>
        </w:rPr>
        <w:t>an emotional</w:t>
      </w:r>
      <w:r>
        <w:rPr>
          <w:spacing w:val="16"/>
          <w:sz w:val="20"/>
        </w:rPr>
        <w:t> </w:t>
      </w:r>
      <w:r>
        <w:rPr>
          <w:sz w:val="20"/>
        </w:rPr>
        <w:t>balance</w:t>
      </w:r>
      <w:r>
        <w:rPr>
          <w:spacing w:val="19"/>
          <w:sz w:val="20"/>
        </w:rPr>
        <w:t> </w:t>
      </w:r>
      <w:r>
        <w:rPr>
          <w:sz w:val="20"/>
        </w:rPr>
        <w:t>to</w:t>
      </w:r>
      <w:r>
        <w:rPr>
          <w:spacing w:val="18"/>
          <w:sz w:val="20"/>
        </w:rPr>
        <w:t> </w:t>
      </w:r>
      <w:r>
        <w:rPr>
          <w:sz w:val="20"/>
        </w:rPr>
        <w:t>Richard’s</w:t>
      </w:r>
      <w:r>
        <w:rPr>
          <w:spacing w:val="16"/>
          <w:sz w:val="20"/>
        </w:rPr>
        <w:t> </w:t>
      </w:r>
      <w:r>
        <w:rPr>
          <w:sz w:val="20"/>
        </w:rPr>
        <w:t>cold,</w:t>
      </w:r>
      <w:r>
        <w:rPr>
          <w:spacing w:val="16"/>
          <w:sz w:val="20"/>
        </w:rPr>
        <w:t> </w:t>
      </w:r>
      <w:r>
        <w:rPr>
          <w:sz w:val="20"/>
        </w:rPr>
        <w:t>funny, and</w:t>
      </w:r>
      <w:r>
        <w:rPr>
          <w:spacing w:val="40"/>
          <w:sz w:val="20"/>
        </w:rPr>
        <w:t> </w:t>
      </w:r>
      <w:r>
        <w:rPr>
          <w:sz w:val="20"/>
        </w:rPr>
        <w:t>evil</w:t>
      </w:r>
      <w:r>
        <w:rPr>
          <w:spacing w:val="40"/>
          <w:sz w:val="20"/>
        </w:rPr>
        <w:t> </w:t>
      </w:r>
      <w:r>
        <w:rPr>
          <w:sz w:val="20"/>
        </w:rPr>
        <w:t>scheming.</w:t>
      </w:r>
    </w:p>
    <w:p>
      <w:pPr>
        <w:pStyle w:val="ListParagraph"/>
        <w:numPr>
          <w:ilvl w:val="0"/>
          <w:numId w:val="22"/>
        </w:numPr>
        <w:tabs>
          <w:tab w:pos="2159" w:val="left" w:leader="none"/>
        </w:tabs>
        <w:spacing w:line="240" w:lineRule="auto" w:before="56" w:after="0"/>
        <w:ind w:left="2159" w:right="0" w:hanging="239"/>
        <w:jc w:val="left"/>
        <w:rPr>
          <w:sz w:val="20"/>
        </w:rPr>
      </w:pPr>
      <w:r>
        <w:rPr>
          <w:sz w:val="20"/>
        </w:rPr>
        <w:t>They</w:t>
      </w:r>
      <w:r>
        <w:rPr>
          <w:spacing w:val="20"/>
          <w:sz w:val="20"/>
        </w:rPr>
        <w:t> </w:t>
      </w:r>
      <w:r>
        <w:rPr>
          <w:sz w:val="20"/>
        </w:rPr>
        <w:t>show</w:t>
      </w:r>
      <w:r>
        <w:rPr>
          <w:spacing w:val="20"/>
          <w:sz w:val="20"/>
        </w:rPr>
        <w:t> </w:t>
      </w:r>
      <w:r>
        <w:rPr>
          <w:sz w:val="20"/>
        </w:rPr>
        <w:t>the</w:t>
      </w:r>
      <w:r>
        <w:rPr>
          <w:spacing w:val="26"/>
          <w:sz w:val="20"/>
        </w:rPr>
        <w:t> </w:t>
      </w:r>
      <w:r>
        <w:rPr>
          <w:sz w:val="20"/>
        </w:rPr>
        <w:t>real</w:t>
      </w:r>
      <w:r>
        <w:rPr>
          <w:spacing w:val="24"/>
          <w:sz w:val="20"/>
        </w:rPr>
        <w:t> </w:t>
      </w:r>
      <w:r>
        <w:rPr>
          <w:sz w:val="20"/>
        </w:rPr>
        <w:t>suffering</w:t>
      </w:r>
      <w:r>
        <w:rPr>
          <w:spacing w:val="22"/>
          <w:sz w:val="20"/>
        </w:rPr>
        <w:t> </w:t>
      </w:r>
      <w:r>
        <w:rPr>
          <w:sz w:val="20"/>
        </w:rPr>
        <w:t>behind</w:t>
      </w:r>
      <w:r>
        <w:rPr>
          <w:spacing w:val="24"/>
          <w:sz w:val="20"/>
        </w:rPr>
        <w:t> </w:t>
      </w:r>
      <w:r>
        <w:rPr>
          <w:sz w:val="20"/>
        </w:rPr>
        <w:t>the</w:t>
      </w:r>
      <w:r>
        <w:rPr>
          <w:spacing w:val="26"/>
          <w:sz w:val="20"/>
        </w:rPr>
        <w:t> </w:t>
      </w:r>
      <w:r>
        <w:rPr>
          <w:sz w:val="20"/>
        </w:rPr>
        <w:t>political</w:t>
      </w:r>
      <w:r>
        <w:rPr>
          <w:spacing w:val="22"/>
          <w:sz w:val="20"/>
        </w:rPr>
        <w:t> </w:t>
      </w:r>
      <w:r>
        <w:rPr>
          <w:spacing w:val="-2"/>
          <w:sz w:val="20"/>
        </w:rPr>
        <w:t>games.</w:t>
      </w:r>
    </w:p>
    <w:p>
      <w:pPr>
        <w:pStyle w:val="ListParagraph"/>
        <w:numPr>
          <w:ilvl w:val="0"/>
          <w:numId w:val="22"/>
        </w:numPr>
        <w:tabs>
          <w:tab w:pos="2159" w:val="left" w:leader="none"/>
        </w:tabs>
        <w:spacing w:line="240" w:lineRule="auto" w:before="79" w:after="0"/>
        <w:ind w:left="2159" w:right="0" w:hanging="239"/>
        <w:jc w:val="left"/>
        <w:rPr>
          <w:sz w:val="20"/>
        </w:rPr>
      </w:pPr>
      <w:r>
        <w:rPr>
          <w:sz w:val="20"/>
        </w:rPr>
        <w:t>Their</w:t>
      </w:r>
      <w:r>
        <w:rPr>
          <w:spacing w:val="13"/>
          <w:sz w:val="20"/>
        </w:rPr>
        <w:t> </w:t>
      </w:r>
      <w:r>
        <w:rPr>
          <w:sz w:val="20"/>
        </w:rPr>
        <w:t>grief</w:t>
      </w:r>
      <w:r>
        <w:rPr>
          <w:spacing w:val="9"/>
          <w:sz w:val="20"/>
        </w:rPr>
        <w:t> </w:t>
      </w:r>
      <w:r>
        <w:rPr>
          <w:sz w:val="20"/>
        </w:rPr>
        <w:t>and</w:t>
      </w:r>
      <w:r>
        <w:rPr>
          <w:spacing w:val="13"/>
          <w:sz w:val="20"/>
        </w:rPr>
        <w:t> </w:t>
      </w:r>
      <w:r>
        <w:rPr>
          <w:sz w:val="20"/>
        </w:rPr>
        <w:t>curses</w:t>
      </w:r>
      <w:r>
        <w:rPr>
          <w:spacing w:val="9"/>
          <w:sz w:val="20"/>
        </w:rPr>
        <w:t> </w:t>
      </w:r>
      <w:r>
        <w:rPr>
          <w:sz w:val="20"/>
        </w:rPr>
        <w:t>create</w:t>
      </w:r>
      <w:r>
        <w:rPr>
          <w:spacing w:val="12"/>
          <w:sz w:val="20"/>
        </w:rPr>
        <w:t> </w:t>
      </w:r>
      <w:r>
        <w:rPr>
          <w:sz w:val="20"/>
        </w:rPr>
        <w:t>a</w:t>
      </w:r>
      <w:r>
        <w:rPr>
          <w:spacing w:val="10"/>
          <w:sz w:val="20"/>
        </w:rPr>
        <w:t> </w:t>
      </w:r>
      <w:r>
        <w:rPr>
          <w:sz w:val="20"/>
        </w:rPr>
        <w:t>strong</w:t>
      </w:r>
      <w:r>
        <w:rPr>
          <w:spacing w:val="9"/>
          <w:sz w:val="20"/>
        </w:rPr>
        <w:t> </w:t>
      </w:r>
      <w:r>
        <w:rPr>
          <w:sz w:val="20"/>
        </w:rPr>
        <w:t>moral</w:t>
      </w:r>
      <w:r>
        <w:rPr>
          <w:spacing w:val="10"/>
          <w:sz w:val="20"/>
        </w:rPr>
        <w:t> </w:t>
      </w:r>
      <w:r>
        <w:rPr>
          <w:sz w:val="20"/>
        </w:rPr>
        <w:t>voice</w:t>
      </w:r>
      <w:r>
        <w:rPr>
          <w:spacing w:val="9"/>
          <w:sz w:val="20"/>
        </w:rPr>
        <w:t> </w:t>
      </w:r>
      <w:r>
        <w:rPr>
          <w:sz w:val="20"/>
        </w:rPr>
        <w:t>in</w:t>
      </w:r>
      <w:r>
        <w:rPr>
          <w:spacing w:val="10"/>
          <w:sz w:val="20"/>
        </w:rPr>
        <w:t> </w:t>
      </w:r>
      <w:r>
        <w:rPr>
          <w:sz w:val="20"/>
        </w:rPr>
        <w:t>the</w:t>
      </w:r>
      <w:r>
        <w:rPr>
          <w:spacing w:val="9"/>
          <w:sz w:val="20"/>
        </w:rPr>
        <w:t> </w:t>
      </w:r>
      <w:r>
        <w:rPr>
          <w:spacing w:val="-4"/>
          <w:sz w:val="20"/>
        </w:rPr>
        <w:t>play.</w:t>
      </w:r>
    </w:p>
    <w:p>
      <w:pPr>
        <w:pStyle w:val="ListParagraph"/>
        <w:numPr>
          <w:ilvl w:val="0"/>
          <w:numId w:val="22"/>
        </w:numPr>
        <w:tabs>
          <w:tab w:pos="2160" w:val="left" w:leader="none"/>
        </w:tabs>
        <w:spacing w:line="261" w:lineRule="auto" w:before="78" w:after="0"/>
        <w:ind w:left="2160" w:right="1441" w:hanging="240"/>
        <w:jc w:val="left"/>
        <w:rPr>
          <w:sz w:val="20"/>
        </w:rPr>
      </w:pPr>
      <w:r>
        <w:rPr>
          <w:sz w:val="20"/>
        </w:rPr>
        <w:t>They win the audience’s sympathy and make us hate Richard even more.</w:t>
      </w:r>
    </w:p>
    <w:p>
      <w:pPr>
        <w:pStyle w:val="BodyText"/>
        <w:spacing w:line="249" w:lineRule="auto" w:before="50"/>
        <w:ind w:right="1440" w:firstLine="432"/>
        <w:jc w:val="both"/>
      </w:pPr>
      <w:r>
        <w:rPr/>
        <w:t>By the end, these women help prepare the audience for Richard’s final defeat. Their sorrow and warnings remind us that even the most powerful</w:t>
      </w:r>
      <w:r>
        <w:rPr>
          <w:spacing w:val="14"/>
        </w:rPr>
        <w:t> </w:t>
      </w:r>
      <w:r>
        <w:rPr/>
        <w:t>tyrant</w:t>
      </w:r>
      <w:r>
        <w:rPr>
          <w:spacing w:val="14"/>
        </w:rPr>
        <w:t> </w:t>
      </w:r>
      <w:r>
        <w:rPr/>
        <w:t>cannot</w:t>
      </w:r>
      <w:r>
        <w:rPr>
          <w:spacing w:val="15"/>
        </w:rPr>
        <w:t> </w:t>
      </w:r>
      <w:r>
        <w:rPr/>
        <w:t>escape</w:t>
      </w:r>
      <w:r>
        <w:rPr>
          <w:spacing w:val="15"/>
        </w:rPr>
        <w:t> </w:t>
      </w:r>
      <w:r>
        <w:rPr/>
        <w:t>the</w:t>
      </w:r>
      <w:r>
        <w:rPr>
          <w:spacing w:val="13"/>
        </w:rPr>
        <w:t> </w:t>
      </w:r>
      <w:r>
        <w:rPr/>
        <w:t>consequences</w:t>
      </w:r>
      <w:r>
        <w:rPr>
          <w:spacing w:val="14"/>
        </w:rPr>
        <w:t> </w:t>
      </w:r>
      <w:r>
        <w:rPr/>
        <w:t>of</w:t>
      </w:r>
      <w:r>
        <w:rPr>
          <w:spacing w:val="14"/>
        </w:rPr>
        <w:t> </w:t>
      </w:r>
      <w:r>
        <w:rPr/>
        <w:t>his</w:t>
      </w:r>
      <w:r>
        <w:rPr>
          <w:spacing w:val="15"/>
        </w:rPr>
        <w:t> </w:t>
      </w:r>
      <w:r>
        <w:rPr/>
        <w:t>crimes</w:t>
      </w:r>
      <w:r>
        <w:rPr>
          <w:spacing w:val="14"/>
        </w:rPr>
        <w:t> </w:t>
      </w:r>
      <w:r>
        <w:rPr>
          <w:spacing w:val="-2"/>
        </w:rPr>
        <w:t>forever.</w:t>
      </w:r>
    </w:p>
    <w:p>
      <w:pPr>
        <w:pStyle w:val="BodyText"/>
        <w:spacing w:line="249" w:lineRule="auto" w:before="60"/>
        <w:ind w:right="1438" w:firstLine="432"/>
        <w:jc w:val="both"/>
      </w:pPr>
      <w:r>
        <w:rPr/>
        <w:t>In</w:t>
      </w:r>
      <w:r>
        <w:rPr>
          <w:spacing w:val="-3"/>
        </w:rPr>
        <w:t> </w:t>
      </w:r>
      <w:r>
        <w:rPr/>
        <w:t>simple words:</w:t>
      </w:r>
      <w:r>
        <w:rPr>
          <w:spacing w:val="-3"/>
        </w:rPr>
        <w:t> </w:t>
      </w:r>
      <w:r>
        <w:rPr/>
        <w:t>Though these</w:t>
      </w:r>
      <w:r>
        <w:rPr>
          <w:spacing w:val="-1"/>
        </w:rPr>
        <w:t> </w:t>
      </w:r>
      <w:r>
        <w:rPr/>
        <w:t>women</w:t>
      </w:r>
      <w:r>
        <w:rPr>
          <w:spacing w:val="-3"/>
        </w:rPr>
        <w:t> </w:t>
      </w:r>
      <w:r>
        <w:rPr/>
        <w:t>have lost</w:t>
      </w:r>
      <w:r>
        <w:rPr>
          <w:spacing w:val="-1"/>
        </w:rPr>
        <w:t> </w:t>
      </w:r>
      <w:r>
        <w:rPr/>
        <w:t>their power,</w:t>
      </w:r>
      <w:r>
        <w:rPr>
          <w:spacing w:val="-1"/>
        </w:rPr>
        <w:t> </w:t>
      </w:r>
      <w:r>
        <w:rPr/>
        <w:t>they are</w:t>
      </w:r>
      <w:r>
        <w:rPr>
          <w:spacing w:val="-3"/>
        </w:rPr>
        <w:t> </w:t>
      </w:r>
      <w:r>
        <w:rPr/>
        <w:t>not weak.</w:t>
      </w:r>
      <w:r>
        <w:rPr>
          <w:spacing w:val="-2"/>
        </w:rPr>
        <w:t> </w:t>
      </w:r>
      <w:r>
        <w:rPr/>
        <w:t>Their grief, tears,</w:t>
      </w:r>
      <w:r>
        <w:rPr>
          <w:spacing w:val="-2"/>
        </w:rPr>
        <w:t> </w:t>
      </w:r>
      <w:r>
        <w:rPr/>
        <w:t>and</w:t>
      </w:r>
      <w:r>
        <w:rPr>
          <w:spacing w:val="-2"/>
        </w:rPr>
        <w:t> </w:t>
      </w:r>
      <w:r>
        <w:rPr/>
        <w:t>angry</w:t>
      </w:r>
      <w:r>
        <w:rPr>
          <w:spacing w:val="-4"/>
        </w:rPr>
        <w:t> </w:t>
      </w:r>
      <w:r>
        <w:rPr/>
        <w:t>curses</w:t>
      </w:r>
      <w:r>
        <w:rPr>
          <w:spacing w:val="-4"/>
        </w:rPr>
        <w:t> </w:t>
      </w:r>
      <w:r>
        <w:rPr/>
        <w:t>become</w:t>
      </w:r>
      <w:r>
        <w:rPr>
          <w:spacing w:val="-4"/>
        </w:rPr>
        <w:t> </w:t>
      </w:r>
      <w:r>
        <w:rPr/>
        <w:t>a moral</w:t>
      </w:r>
      <w:r>
        <w:rPr>
          <w:spacing w:val="-3"/>
        </w:rPr>
        <w:t> </w:t>
      </w:r>
      <w:r>
        <w:rPr/>
        <w:t>force. They give the play its heart and its conscience. Shakespeare uses their voices to show the human pain and destruction caused by selfish ambition and evil.</w:t>
      </w:r>
    </w:p>
    <w:p>
      <w:pPr>
        <w:pStyle w:val="Heading3"/>
        <w:spacing w:before="158"/>
        <w:ind w:right="1437"/>
      </w:pPr>
      <w:r>
        <w:rPr>
          <w:w w:val="90"/>
        </w:rPr>
        <w:t>MOTHERS, NEGOTIATORS, AND SYMBOLS: WOMEN </w:t>
      </w:r>
      <w:r>
        <w:rPr>
          <w:w w:val="90"/>
        </w:rPr>
        <w:t>IN </w:t>
      </w:r>
      <w:r>
        <w:rPr>
          <w:spacing w:val="-10"/>
        </w:rPr>
        <w:t>OTHER</w:t>
      </w:r>
      <w:r>
        <w:rPr>
          <w:spacing w:val="-7"/>
        </w:rPr>
        <w:t> </w:t>
      </w:r>
      <w:r>
        <w:rPr>
          <w:spacing w:val="-10"/>
        </w:rPr>
        <w:t>HISTORY</w:t>
      </w:r>
      <w:r>
        <w:rPr>
          <w:spacing w:val="-7"/>
        </w:rPr>
        <w:t> </w:t>
      </w:r>
      <w:r>
        <w:rPr>
          <w:spacing w:val="-10"/>
        </w:rPr>
        <w:t>PLAYS</w:t>
      </w:r>
    </w:p>
    <w:p>
      <w:pPr>
        <w:pStyle w:val="BodyText"/>
        <w:spacing w:line="249" w:lineRule="auto" w:before="74"/>
        <w:ind w:right="1438" w:firstLine="432"/>
        <w:jc w:val="both"/>
      </w:pPr>
      <w:r>
        <w:rPr/>
        <w:t>Shakespeare’s history plays are mostly about kings, wars, and politics. However, women play important supporting roles in many of them. In some plays they appear as strong mothers, clever negotiators, and symbols of peace or change. Unlike the bold fighters Joan and Margaret in</w:t>
      </w:r>
      <w:r>
        <w:rPr>
          <w:spacing w:val="-3"/>
        </w:rPr>
        <w:t> </w:t>
      </w:r>
      <w:r>
        <w:rPr/>
        <w:t>the Henry</w:t>
      </w:r>
      <w:r>
        <w:rPr>
          <w:spacing w:val="-5"/>
        </w:rPr>
        <w:t> </w:t>
      </w:r>
      <w:r>
        <w:rPr/>
        <w:t>VI plays,</w:t>
      </w:r>
      <w:r>
        <w:rPr>
          <w:spacing w:val="-1"/>
        </w:rPr>
        <w:t> </w:t>
      </w:r>
      <w:r>
        <w:rPr/>
        <w:t>the women</w:t>
      </w:r>
      <w:r>
        <w:rPr>
          <w:spacing w:val="-1"/>
        </w:rPr>
        <w:t> </w:t>
      </w:r>
      <w:r>
        <w:rPr/>
        <w:t>in</w:t>
      </w:r>
      <w:r>
        <w:rPr>
          <w:spacing w:val="-3"/>
        </w:rPr>
        <w:t> </w:t>
      </w:r>
      <w:r>
        <w:rPr/>
        <w:t>these other</w:t>
      </w:r>
      <w:r>
        <w:rPr>
          <w:spacing w:val="-1"/>
        </w:rPr>
        <w:t> </w:t>
      </w:r>
      <w:r>
        <w:rPr/>
        <w:t>plays usually exercise power in quieter but still meaningful ways.</w:t>
      </w:r>
    </w:p>
    <w:p>
      <w:pPr>
        <w:pStyle w:val="BodyText"/>
        <w:spacing w:line="249" w:lineRule="auto" w:before="62"/>
        <w:ind w:right="1437" w:firstLine="432"/>
        <w:jc w:val="both"/>
      </w:pPr>
      <w:r>
        <w:rPr/>
        <w:t>King</w:t>
      </w:r>
      <w:r>
        <w:rPr>
          <w:spacing w:val="-8"/>
        </w:rPr>
        <w:t> </w:t>
      </w:r>
      <w:r>
        <w:rPr/>
        <w:t>John</w:t>
      </w:r>
      <w:r>
        <w:rPr>
          <w:spacing w:val="-8"/>
        </w:rPr>
        <w:t> </w:t>
      </w:r>
      <w:r>
        <w:rPr/>
        <w:t>is</w:t>
      </w:r>
      <w:r>
        <w:rPr>
          <w:spacing w:val="-10"/>
        </w:rPr>
        <w:t> </w:t>
      </w:r>
      <w:r>
        <w:rPr/>
        <w:t>one</w:t>
      </w:r>
      <w:r>
        <w:rPr>
          <w:spacing w:val="-8"/>
        </w:rPr>
        <w:t> </w:t>
      </w:r>
      <w:r>
        <w:rPr/>
        <w:t>of</w:t>
      </w:r>
      <w:r>
        <w:rPr>
          <w:spacing w:val="-8"/>
        </w:rPr>
        <w:t> </w:t>
      </w:r>
      <w:r>
        <w:rPr/>
        <w:t>Shakespeare’s</w:t>
      </w:r>
      <w:r>
        <w:rPr>
          <w:spacing w:val="-8"/>
        </w:rPr>
        <w:t> </w:t>
      </w:r>
      <w:r>
        <w:rPr/>
        <w:t>earliest</w:t>
      </w:r>
      <w:r>
        <w:rPr>
          <w:spacing w:val="-8"/>
        </w:rPr>
        <w:t> </w:t>
      </w:r>
      <w:r>
        <w:rPr/>
        <w:t>history</w:t>
      </w:r>
      <w:r>
        <w:rPr>
          <w:spacing w:val="-11"/>
        </w:rPr>
        <w:t> </w:t>
      </w:r>
      <w:r>
        <w:rPr/>
        <w:t>plays.</w:t>
      </w:r>
      <w:r>
        <w:rPr>
          <w:spacing w:val="-8"/>
        </w:rPr>
        <w:t> </w:t>
      </w:r>
      <w:r>
        <w:rPr/>
        <w:t>It</w:t>
      </w:r>
      <w:r>
        <w:rPr>
          <w:spacing w:val="-8"/>
        </w:rPr>
        <w:t> </w:t>
      </w:r>
      <w:r>
        <w:rPr/>
        <w:t>features two</w:t>
      </w:r>
      <w:r>
        <w:rPr>
          <w:spacing w:val="-7"/>
        </w:rPr>
        <w:t> </w:t>
      </w:r>
      <w:r>
        <w:rPr/>
        <w:t>strong</w:t>
      </w:r>
      <w:r>
        <w:rPr>
          <w:spacing w:val="-9"/>
        </w:rPr>
        <w:t> </w:t>
      </w:r>
      <w:r>
        <w:rPr/>
        <w:t>older</w:t>
      </w:r>
      <w:r>
        <w:rPr>
          <w:spacing w:val="-7"/>
        </w:rPr>
        <w:t> </w:t>
      </w:r>
      <w:r>
        <w:rPr/>
        <w:t>women</w:t>
      </w:r>
      <w:r>
        <w:rPr>
          <w:spacing w:val="-9"/>
        </w:rPr>
        <w:t> </w:t>
      </w:r>
      <w:r>
        <w:rPr/>
        <w:t>who</w:t>
      </w:r>
      <w:r>
        <w:rPr>
          <w:spacing w:val="-7"/>
        </w:rPr>
        <w:t> </w:t>
      </w:r>
      <w:r>
        <w:rPr/>
        <w:t>show</w:t>
      </w:r>
      <w:r>
        <w:rPr>
          <w:spacing w:val="-9"/>
        </w:rPr>
        <w:t> </w:t>
      </w:r>
      <w:r>
        <w:rPr/>
        <w:t>the</w:t>
      </w:r>
      <w:r>
        <w:rPr>
          <w:spacing w:val="-9"/>
        </w:rPr>
        <w:t> </w:t>
      </w:r>
      <w:r>
        <w:rPr/>
        <w:t>power</w:t>
      </w:r>
      <w:r>
        <w:rPr>
          <w:spacing w:val="-7"/>
        </w:rPr>
        <w:t> </w:t>
      </w:r>
      <w:r>
        <w:rPr/>
        <w:t>of</w:t>
      </w:r>
      <w:r>
        <w:rPr>
          <w:spacing w:val="-9"/>
        </w:rPr>
        <w:t> </w:t>
      </w:r>
      <w:r>
        <w:rPr/>
        <w:t>motherhood</w:t>
      </w:r>
      <w:r>
        <w:rPr>
          <w:spacing w:val="-7"/>
        </w:rPr>
        <w:t> </w:t>
      </w:r>
      <w:r>
        <w:rPr/>
        <w:t>and</w:t>
      </w:r>
      <w:r>
        <w:rPr>
          <w:spacing w:val="-9"/>
        </w:rPr>
        <w:t> </w:t>
      </w:r>
      <w:r>
        <w:rPr/>
        <w:t>family loyalty. Queen Eleanor (Eleanor of Aquitaine) is the tough, practical grandmother. She strongly supports her son King John’s right to the throne. She is smart, confident, and not afraid to speak her mind. She </w:t>
      </w:r>
      <w:r>
        <w:rPr>
          <w:spacing w:val="-2"/>
        </w:rPr>
        <w:t>travels</w:t>
      </w:r>
      <w:r>
        <w:rPr>
          <w:spacing w:val="-10"/>
        </w:rPr>
        <w:t> </w:t>
      </w:r>
      <w:r>
        <w:rPr>
          <w:spacing w:val="-2"/>
        </w:rPr>
        <w:t>with</w:t>
      </w:r>
      <w:r>
        <w:rPr>
          <w:spacing w:val="-8"/>
        </w:rPr>
        <w:t> </w:t>
      </w:r>
      <w:r>
        <w:rPr>
          <w:spacing w:val="-2"/>
        </w:rPr>
        <w:t>the</w:t>
      </w:r>
      <w:r>
        <w:rPr>
          <w:spacing w:val="-8"/>
        </w:rPr>
        <w:t> </w:t>
      </w:r>
      <w:r>
        <w:rPr>
          <w:spacing w:val="-2"/>
        </w:rPr>
        <w:t>army</w:t>
      </w:r>
      <w:r>
        <w:rPr>
          <w:spacing w:val="-11"/>
        </w:rPr>
        <w:t> </w:t>
      </w:r>
      <w:r>
        <w:rPr>
          <w:spacing w:val="-2"/>
        </w:rPr>
        <w:t>and</w:t>
      </w:r>
      <w:r>
        <w:rPr>
          <w:spacing w:val="-8"/>
        </w:rPr>
        <w:t> </w:t>
      </w:r>
      <w:r>
        <w:rPr>
          <w:spacing w:val="-2"/>
        </w:rPr>
        <w:t>gives</w:t>
      </w:r>
      <w:r>
        <w:rPr>
          <w:spacing w:val="-8"/>
        </w:rPr>
        <w:t> </w:t>
      </w:r>
      <w:r>
        <w:rPr>
          <w:spacing w:val="-2"/>
        </w:rPr>
        <w:t>political</w:t>
      </w:r>
      <w:r>
        <w:rPr>
          <w:spacing w:val="-9"/>
        </w:rPr>
        <w:t> </w:t>
      </w:r>
      <w:r>
        <w:rPr>
          <w:spacing w:val="-2"/>
        </w:rPr>
        <w:t>advice.</w:t>
      </w:r>
      <w:r>
        <w:rPr>
          <w:spacing w:val="-8"/>
        </w:rPr>
        <w:t> </w:t>
      </w:r>
      <w:r>
        <w:rPr>
          <w:spacing w:val="-2"/>
        </w:rPr>
        <w:t>Queen</w:t>
      </w:r>
      <w:r>
        <w:rPr>
          <w:spacing w:val="-11"/>
        </w:rPr>
        <w:t> </w:t>
      </w:r>
      <w:r>
        <w:rPr>
          <w:spacing w:val="-2"/>
        </w:rPr>
        <w:t>Eleanor</w:t>
      </w:r>
      <w:r>
        <w:rPr>
          <w:spacing w:val="-8"/>
        </w:rPr>
        <w:t> </w:t>
      </w:r>
      <w:r>
        <w:rPr>
          <w:spacing w:val="-2"/>
        </w:rPr>
        <w:t>represents </w:t>
      </w:r>
      <w:r>
        <w:rPr/>
        <w:t>the strong, matriarchal figure who uses her experience and authority to protect the family’s power.</w:t>
      </w:r>
    </w:p>
    <w:p>
      <w:pPr>
        <w:pStyle w:val="BodyText"/>
        <w:spacing w:line="249" w:lineRule="auto" w:before="64"/>
        <w:ind w:right="1436" w:firstLine="432"/>
        <w:jc w:val="both"/>
      </w:pPr>
      <w:r>
        <w:rPr/>
        <w:t>Constance, the mother of young Prince Arthur, is completely different. She is emotional and full of love for her son. When she fears that King John will kill or imprison</w:t>
      </w:r>
      <w:r>
        <w:rPr>
          <w:spacing w:val="-4"/>
        </w:rPr>
        <w:t> </w:t>
      </w:r>
      <w:r>
        <w:rPr/>
        <w:t>Arthur, she pours out deep grief in some of the most moving speeches in the play. She talks about going mad with sorrow and says she will forget her own identity if she loses her child. Her pain shows how mothers suffer when their children become</w:t>
      </w:r>
      <w:r>
        <w:rPr>
          <w:spacing w:val="68"/>
        </w:rPr>
        <w:t> </w:t>
      </w:r>
      <w:r>
        <w:rPr/>
        <w:t>victims</w:t>
      </w:r>
      <w:r>
        <w:rPr>
          <w:spacing w:val="67"/>
        </w:rPr>
        <w:t> </w:t>
      </w:r>
      <w:r>
        <w:rPr/>
        <w:t>of</w:t>
      </w:r>
      <w:r>
        <w:rPr>
          <w:spacing w:val="66"/>
        </w:rPr>
        <w:t> </w:t>
      </w:r>
      <w:r>
        <w:rPr/>
        <w:t>political</w:t>
      </w:r>
      <w:r>
        <w:rPr>
          <w:spacing w:val="67"/>
        </w:rPr>
        <w:t> </w:t>
      </w:r>
      <w:r>
        <w:rPr/>
        <w:t>power</w:t>
      </w:r>
      <w:r>
        <w:rPr>
          <w:spacing w:val="68"/>
        </w:rPr>
        <w:t> </w:t>
      </w:r>
      <w:r>
        <w:rPr/>
        <w:t>struggles.</w:t>
      </w:r>
      <w:r>
        <w:rPr>
          <w:spacing w:val="65"/>
        </w:rPr>
        <w:t> </w:t>
      </w:r>
      <w:r>
        <w:rPr/>
        <w:t>Through</w:t>
      </w:r>
      <w:r>
        <w:rPr>
          <w:spacing w:val="67"/>
        </w:rPr>
        <w:t> </w:t>
      </w:r>
      <w:r>
        <w:rPr>
          <w:spacing w:val="-2"/>
        </w:rPr>
        <w:t>Constance,</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85120">
                <wp:simplePos x="0" y="0"/>
                <wp:positionH relativeFrom="page">
                  <wp:posOffset>2065020</wp:posOffset>
                </wp:positionH>
                <wp:positionV relativeFrom="paragraph">
                  <wp:posOffset>795020</wp:posOffset>
                </wp:positionV>
                <wp:extent cx="3657600" cy="12700"/>
                <wp:effectExtent l="0" t="0" r="0" b="0"/>
                <wp:wrapTopAndBottom/>
                <wp:docPr id="316" name="Graphic 316"/>
                <wp:cNvGraphicFramePr>
                  <a:graphicFrameLocks/>
                </wp:cNvGraphicFramePr>
                <a:graphic>
                  <a:graphicData uri="http://schemas.microsoft.com/office/word/2010/wordprocessingShape">
                    <wps:wsp>
                      <wps:cNvPr id="316" name="Graphic 31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31360;mso-wrap-distance-left:0;mso-wrap-distance-right:0" id="docshape312" filled="true" fillcolor="#000000" stroked="false">
                <v:fill type="solid"/>
                <w10:wrap type="topAndBottom"/>
              </v:rect>
            </w:pict>
          </mc:Fallback>
        </mc:AlternateContent>
      </w:r>
      <w:r>
        <w:rPr>
          <w:rFonts w:ascii="Verdana" w:hAnsi="Verdana"/>
          <w:spacing w:val="-2"/>
          <w:sz w:val="18"/>
        </w:rPr>
        <w:t>Women</w:t>
      </w:r>
      <w:r>
        <w:rPr>
          <w:rFonts w:ascii="Verdana" w:hAnsi="Verdana"/>
          <w:spacing w:val="1"/>
          <w:sz w:val="18"/>
        </w:rPr>
        <w:t> </w:t>
      </w:r>
      <w:r>
        <w:rPr>
          <w:rFonts w:ascii="Verdana" w:hAnsi="Verdana"/>
          <w:spacing w:val="-2"/>
          <w:sz w:val="18"/>
        </w:rPr>
        <w:t>in</w:t>
      </w:r>
      <w:r>
        <w:rPr>
          <w:rFonts w:ascii="Verdana" w:hAnsi="Verdana"/>
          <w:spacing w:val="3"/>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Historical</w:t>
      </w:r>
      <w:r>
        <w:rPr>
          <w:rFonts w:ascii="Verdana" w:hAnsi="Verdana"/>
          <w:spacing w:val="2"/>
          <w:sz w:val="18"/>
        </w:rPr>
        <w:t> </w:t>
      </w:r>
      <w:r>
        <w:rPr>
          <w:rFonts w:ascii="Verdana" w:hAnsi="Verdana"/>
          <w:spacing w:val="-2"/>
          <w:sz w:val="18"/>
        </w:rPr>
        <w:t>Plays:</w:t>
      </w:r>
      <w:r>
        <w:rPr>
          <w:rFonts w:ascii="Verdana" w:hAnsi="Verdana"/>
          <w:spacing w:val="1"/>
          <w:sz w:val="18"/>
        </w:rPr>
        <w:t> </w:t>
      </w:r>
      <w:r>
        <w:rPr>
          <w:rFonts w:ascii="Verdana" w:hAnsi="Verdana"/>
          <w:spacing w:val="-2"/>
          <w:sz w:val="18"/>
        </w:rPr>
        <w:t>Power...</w:t>
      </w:r>
      <w:r>
        <w:rPr>
          <w:sz w:val="18"/>
        </w:rPr>
        <w:tab/>
      </w:r>
      <w:r>
        <w:rPr>
          <w:rFonts w:ascii="Verdana" w:hAnsi="Verdana"/>
          <w:spacing w:val="-5"/>
          <w:sz w:val="18"/>
        </w:rPr>
        <w:t>109</w:t>
      </w:r>
    </w:p>
    <w:p>
      <w:pPr>
        <w:pStyle w:val="BodyText"/>
        <w:spacing w:line="249" w:lineRule="auto" w:before="192"/>
        <w:ind w:right="1443"/>
        <w:jc w:val="both"/>
      </w:pPr>
      <w:r>
        <w:rPr/>
        <w:t>Shakespeare makes the audience feel the personal and emotional cost</w:t>
      </w:r>
      <w:r>
        <w:rPr>
          <w:spacing w:val="40"/>
        </w:rPr>
        <w:t> </w:t>
      </w:r>
      <w:r>
        <w:rPr/>
        <w:t>of royal ambition.</w:t>
      </w:r>
    </w:p>
    <w:p>
      <w:pPr>
        <w:pStyle w:val="BodyText"/>
        <w:spacing w:line="261" w:lineRule="auto" w:before="67"/>
        <w:ind w:right="1439" w:firstLine="432"/>
        <w:jc w:val="both"/>
      </w:pPr>
      <w:r>
        <w:rPr>
          <w:spacing w:val="-2"/>
        </w:rPr>
        <w:t>In</w:t>
      </w:r>
      <w:r>
        <w:rPr>
          <w:spacing w:val="-11"/>
        </w:rPr>
        <w:t> </w:t>
      </w:r>
      <w:r>
        <w:rPr>
          <w:spacing w:val="-2"/>
        </w:rPr>
        <w:t>the</w:t>
      </w:r>
      <w:r>
        <w:rPr>
          <w:spacing w:val="-10"/>
        </w:rPr>
        <w:t> </w:t>
      </w:r>
      <w:r>
        <w:rPr>
          <w:spacing w:val="-2"/>
        </w:rPr>
        <w:t>Henry</w:t>
      </w:r>
      <w:r>
        <w:rPr>
          <w:spacing w:val="-11"/>
        </w:rPr>
        <w:t> </w:t>
      </w:r>
      <w:r>
        <w:rPr>
          <w:spacing w:val="-2"/>
        </w:rPr>
        <w:t>IV</w:t>
      </w:r>
      <w:r>
        <w:rPr>
          <w:spacing w:val="-10"/>
        </w:rPr>
        <w:t> </w:t>
      </w:r>
      <w:r>
        <w:rPr>
          <w:spacing w:val="-2"/>
        </w:rPr>
        <w:t>plays,</w:t>
      </w:r>
      <w:r>
        <w:rPr>
          <w:spacing w:val="-11"/>
        </w:rPr>
        <w:t> </w:t>
      </w:r>
      <w:r>
        <w:rPr>
          <w:spacing w:val="-2"/>
        </w:rPr>
        <w:t>women</w:t>
      </w:r>
      <w:r>
        <w:rPr>
          <w:spacing w:val="-10"/>
        </w:rPr>
        <w:t> </w:t>
      </w:r>
      <w:r>
        <w:rPr>
          <w:spacing w:val="-2"/>
        </w:rPr>
        <w:t>appear</w:t>
      </w:r>
      <w:r>
        <w:rPr>
          <w:spacing w:val="-11"/>
        </w:rPr>
        <w:t> </w:t>
      </w:r>
      <w:r>
        <w:rPr>
          <w:spacing w:val="-2"/>
        </w:rPr>
        <w:t>in</w:t>
      </w:r>
      <w:r>
        <w:rPr>
          <w:spacing w:val="-10"/>
        </w:rPr>
        <w:t> </w:t>
      </w:r>
      <w:r>
        <w:rPr>
          <w:spacing w:val="-2"/>
        </w:rPr>
        <w:t>more</w:t>
      </w:r>
      <w:r>
        <w:rPr>
          <w:spacing w:val="-11"/>
        </w:rPr>
        <w:t> </w:t>
      </w:r>
      <w:r>
        <w:rPr>
          <w:spacing w:val="-2"/>
        </w:rPr>
        <w:t>domestic</w:t>
      </w:r>
      <w:r>
        <w:rPr>
          <w:spacing w:val="-10"/>
        </w:rPr>
        <w:t> </w:t>
      </w:r>
      <w:r>
        <w:rPr>
          <w:spacing w:val="-2"/>
        </w:rPr>
        <w:t>and</w:t>
      </w:r>
      <w:r>
        <w:rPr>
          <w:spacing w:val="-11"/>
        </w:rPr>
        <w:t> </w:t>
      </w:r>
      <w:r>
        <w:rPr>
          <w:spacing w:val="-2"/>
        </w:rPr>
        <w:t>personal </w:t>
      </w:r>
      <w:r>
        <w:rPr/>
        <w:t>scenes that contrast with the noisy world of war and politics. Lady Percy</w:t>
      </w:r>
      <w:r>
        <w:rPr>
          <w:spacing w:val="-13"/>
        </w:rPr>
        <w:t> </w:t>
      </w:r>
      <w:r>
        <w:rPr/>
        <w:t>(also</w:t>
      </w:r>
      <w:r>
        <w:rPr>
          <w:spacing w:val="-6"/>
        </w:rPr>
        <w:t> </w:t>
      </w:r>
      <w:r>
        <w:rPr/>
        <w:t>called</w:t>
      </w:r>
      <w:r>
        <w:rPr>
          <w:spacing w:val="-8"/>
        </w:rPr>
        <w:t> </w:t>
      </w:r>
      <w:r>
        <w:rPr/>
        <w:t>Kate)</w:t>
      </w:r>
      <w:r>
        <w:rPr>
          <w:spacing w:val="-8"/>
        </w:rPr>
        <w:t> </w:t>
      </w:r>
      <w:r>
        <w:rPr/>
        <w:t>is</w:t>
      </w:r>
      <w:r>
        <w:rPr>
          <w:spacing w:val="-8"/>
        </w:rPr>
        <w:t> </w:t>
      </w:r>
      <w:r>
        <w:rPr/>
        <w:t>the</w:t>
      </w:r>
      <w:r>
        <w:rPr>
          <w:spacing w:val="-9"/>
        </w:rPr>
        <w:t> </w:t>
      </w:r>
      <w:r>
        <w:rPr/>
        <w:t>wife</w:t>
      </w:r>
      <w:r>
        <w:rPr>
          <w:spacing w:val="-8"/>
        </w:rPr>
        <w:t> </w:t>
      </w:r>
      <w:r>
        <w:rPr/>
        <w:t>of</w:t>
      </w:r>
      <w:r>
        <w:rPr>
          <w:spacing w:val="-10"/>
        </w:rPr>
        <w:t> </w:t>
      </w:r>
      <w:r>
        <w:rPr/>
        <w:t>the</w:t>
      </w:r>
      <w:r>
        <w:rPr>
          <w:spacing w:val="-9"/>
        </w:rPr>
        <w:t> </w:t>
      </w:r>
      <w:r>
        <w:rPr/>
        <w:t>hot-tempered</w:t>
      </w:r>
      <w:r>
        <w:rPr>
          <w:spacing w:val="-6"/>
        </w:rPr>
        <w:t> </w:t>
      </w:r>
      <w:r>
        <w:rPr/>
        <w:t>warrior</w:t>
      </w:r>
      <w:r>
        <w:rPr>
          <w:spacing w:val="-8"/>
        </w:rPr>
        <w:t> </w:t>
      </w:r>
      <w:r>
        <w:rPr/>
        <w:t>Hotspur. She teases her husband lovingly and complains that he spends all his time thinking about war and horses. She tells him she feels lonely and worried when he leaves her alone at night. These scenes show the private suffering of wives whose husbands are obsessed with honour and battle. Lady Percy gives us a human, emotional view of war that</w:t>
      </w:r>
      <w:r>
        <w:rPr>
          <w:spacing w:val="40"/>
        </w:rPr>
        <w:t> </w:t>
      </w:r>
      <w:r>
        <w:rPr/>
        <w:t>the</w:t>
      </w:r>
      <w:r>
        <w:rPr>
          <w:spacing w:val="40"/>
        </w:rPr>
        <w:t> </w:t>
      </w:r>
      <w:r>
        <w:rPr/>
        <w:t>male</w:t>
      </w:r>
      <w:r>
        <w:rPr>
          <w:spacing w:val="40"/>
        </w:rPr>
        <w:t> </w:t>
      </w:r>
      <w:r>
        <w:rPr/>
        <w:t>characters often</w:t>
      </w:r>
      <w:r>
        <w:rPr>
          <w:spacing w:val="40"/>
        </w:rPr>
        <w:t> </w:t>
      </w:r>
      <w:r>
        <w:rPr/>
        <w:t>ignore.</w:t>
      </w:r>
    </w:p>
    <w:p>
      <w:pPr>
        <w:pStyle w:val="BodyText"/>
        <w:spacing w:line="261" w:lineRule="auto" w:before="52"/>
        <w:ind w:right="1438" w:firstLine="432"/>
        <w:jc w:val="both"/>
      </w:pPr>
      <w:r>
        <w:rPr/>
        <w:t>In Henry V, Princess Katharine of France has a very interesting role. She first appears in a funny language lesson scene where she learns</w:t>
      </w:r>
      <w:r>
        <w:rPr>
          <w:spacing w:val="-13"/>
        </w:rPr>
        <w:t> </w:t>
      </w:r>
      <w:r>
        <w:rPr/>
        <w:t>English</w:t>
      </w:r>
      <w:r>
        <w:rPr>
          <w:spacing w:val="-9"/>
        </w:rPr>
        <w:t> </w:t>
      </w:r>
      <w:r>
        <w:rPr/>
        <w:t>with</w:t>
      </w:r>
      <w:r>
        <w:rPr>
          <w:spacing w:val="-13"/>
        </w:rPr>
        <w:t> </w:t>
      </w:r>
      <w:r>
        <w:rPr/>
        <w:t>her</w:t>
      </w:r>
      <w:r>
        <w:rPr>
          <w:spacing w:val="-7"/>
        </w:rPr>
        <w:t> </w:t>
      </w:r>
      <w:r>
        <w:rPr/>
        <w:t>maid.</w:t>
      </w:r>
      <w:r>
        <w:rPr>
          <w:spacing w:val="-11"/>
        </w:rPr>
        <w:t> </w:t>
      </w:r>
      <w:r>
        <w:rPr/>
        <w:t>Later,</w:t>
      </w:r>
      <w:r>
        <w:rPr>
          <w:spacing w:val="-11"/>
        </w:rPr>
        <w:t> </w:t>
      </w:r>
      <w:r>
        <w:rPr/>
        <w:t>King</w:t>
      </w:r>
      <w:r>
        <w:rPr>
          <w:spacing w:val="-9"/>
        </w:rPr>
        <w:t> </w:t>
      </w:r>
      <w:r>
        <w:rPr/>
        <w:t>Henry</w:t>
      </w:r>
      <w:r>
        <w:rPr>
          <w:spacing w:val="-13"/>
        </w:rPr>
        <w:t> </w:t>
      </w:r>
      <w:r>
        <w:rPr/>
        <w:t>courts</w:t>
      </w:r>
      <w:r>
        <w:rPr>
          <w:spacing w:val="-9"/>
        </w:rPr>
        <w:t> </w:t>
      </w:r>
      <w:r>
        <w:rPr/>
        <w:t>her</w:t>
      </w:r>
      <w:r>
        <w:rPr>
          <w:spacing w:val="-11"/>
        </w:rPr>
        <w:t> </w:t>
      </w:r>
      <w:r>
        <w:rPr/>
        <w:t>for</w:t>
      </w:r>
      <w:r>
        <w:rPr>
          <w:spacing w:val="-8"/>
        </w:rPr>
        <w:t> </w:t>
      </w:r>
      <w:r>
        <w:rPr/>
        <w:t>a</w:t>
      </w:r>
      <w:r>
        <w:rPr>
          <w:spacing w:val="-11"/>
        </w:rPr>
        <w:t> </w:t>
      </w:r>
      <w:r>
        <w:rPr/>
        <w:t>political marriage.</w:t>
      </w:r>
      <w:r>
        <w:rPr>
          <w:spacing w:val="-11"/>
        </w:rPr>
        <w:t> </w:t>
      </w:r>
      <w:r>
        <w:rPr/>
        <w:t>Their</w:t>
      </w:r>
      <w:r>
        <w:rPr>
          <w:spacing w:val="-11"/>
        </w:rPr>
        <w:t> </w:t>
      </w:r>
      <w:r>
        <w:rPr/>
        <w:t>conversation</w:t>
      </w:r>
      <w:r>
        <w:rPr>
          <w:spacing w:val="-13"/>
        </w:rPr>
        <w:t> </w:t>
      </w:r>
      <w:r>
        <w:rPr/>
        <w:t>is</w:t>
      </w:r>
      <w:r>
        <w:rPr>
          <w:spacing w:val="-12"/>
        </w:rPr>
        <w:t> </w:t>
      </w:r>
      <w:r>
        <w:rPr/>
        <w:t>awkward</w:t>
      </w:r>
      <w:r>
        <w:rPr>
          <w:spacing w:val="-10"/>
        </w:rPr>
        <w:t> </w:t>
      </w:r>
      <w:r>
        <w:rPr/>
        <w:t>and</w:t>
      </w:r>
      <w:r>
        <w:rPr>
          <w:spacing w:val="-10"/>
        </w:rPr>
        <w:t> </w:t>
      </w:r>
      <w:r>
        <w:rPr/>
        <w:t>charming</w:t>
      </w:r>
      <w:r>
        <w:rPr>
          <w:spacing w:val="-13"/>
        </w:rPr>
        <w:t> </w:t>
      </w:r>
      <w:r>
        <w:rPr/>
        <w:t>at</w:t>
      </w:r>
      <w:r>
        <w:rPr>
          <w:spacing w:val="-11"/>
        </w:rPr>
        <w:t> </w:t>
      </w:r>
      <w:r>
        <w:rPr/>
        <w:t>the</w:t>
      </w:r>
      <w:r>
        <w:rPr>
          <w:spacing w:val="-12"/>
        </w:rPr>
        <w:t> </w:t>
      </w:r>
      <w:r>
        <w:rPr/>
        <w:t>same</w:t>
      </w:r>
      <w:r>
        <w:rPr>
          <w:spacing w:val="-11"/>
        </w:rPr>
        <w:t> </w:t>
      </w:r>
      <w:r>
        <w:rPr/>
        <w:t>time. Katharine</w:t>
      </w:r>
      <w:r>
        <w:rPr>
          <w:spacing w:val="-8"/>
        </w:rPr>
        <w:t> </w:t>
      </w:r>
      <w:r>
        <w:rPr/>
        <w:t>represents</w:t>
      </w:r>
      <w:r>
        <w:rPr>
          <w:spacing w:val="-5"/>
        </w:rPr>
        <w:t> </w:t>
      </w:r>
      <w:r>
        <w:rPr/>
        <w:t>peace</w:t>
      </w:r>
      <w:r>
        <w:rPr>
          <w:spacing w:val="-9"/>
        </w:rPr>
        <w:t> </w:t>
      </w:r>
      <w:r>
        <w:rPr/>
        <w:t>and</w:t>
      </w:r>
      <w:r>
        <w:rPr>
          <w:spacing w:val="-4"/>
        </w:rPr>
        <w:t> </w:t>
      </w:r>
      <w:r>
        <w:rPr/>
        <w:t>friendship</w:t>
      </w:r>
      <w:r>
        <w:rPr>
          <w:spacing w:val="-7"/>
        </w:rPr>
        <w:t> </w:t>
      </w:r>
      <w:r>
        <w:rPr/>
        <w:t>between</w:t>
      </w:r>
      <w:r>
        <w:rPr>
          <w:spacing w:val="-7"/>
        </w:rPr>
        <w:t> </w:t>
      </w:r>
      <w:r>
        <w:rPr/>
        <w:t>England</w:t>
      </w:r>
      <w:r>
        <w:rPr>
          <w:spacing w:val="-7"/>
        </w:rPr>
        <w:t> </w:t>
      </w:r>
      <w:r>
        <w:rPr/>
        <w:t>and</w:t>
      </w:r>
      <w:r>
        <w:rPr>
          <w:spacing w:val="-5"/>
        </w:rPr>
        <w:t> </w:t>
      </w:r>
      <w:r>
        <w:rPr/>
        <w:t>France. Her marriage to Henry</w:t>
      </w:r>
      <w:r>
        <w:rPr>
          <w:spacing w:val="-2"/>
        </w:rPr>
        <w:t> </w:t>
      </w:r>
      <w:r>
        <w:rPr/>
        <w:t>is meant to end the long war. However, she also shows</w:t>
      </w:r>
      <w:r>
        <w:rPr>
          <w:spacing w:val="16"/>
        </w:rPr>
        <w:t> </w:t>
      </w:r>
      <w:r>
        <w:rPr/>
        <w:t>the</w:t>
      </w:r>
      <w:r>
        <w:rPr>
          <w:spacing w:val="17"/>
        </w:rPr>
        <w:t> </w:t>
      </w:r>
      <w:r>
        <w:rPr/>
        <w:t>limited</w:t>
      </w:r>
      <w:r>
        <w:rPr>
          <w:spacing w:val="18"/>
        </w:rPr>
        <w:t> </w:t>
      </w:r>
      <w:r>
        <w:rPr/>
        <w:t>choices</w:t>
      </w:r>
      <w:r>
        <w:rPr>
          <w:spacing w:val="14"/>
        </w:rPr>
        <w:t> </w:t>
      </w:r>
      <w:r>
        <w:rPr/>
        <w:t>women</w:t>
      </w:r>
      <w:r>
        <w:rPr>
          <w:spacing w:val="14"/>
        </w:rPr>
        <w:t> </w:t>
      </w:r>
      <w:r>
        <w:rPr/>
        <w:t>had</w:t>
      </w:r>
      <w:r>
        <w:rPr>
          <w:spacing w:val="16"/>
        </w:rPr>
        <w:t> </w:t>
      </w:r>
      <w:r>
        <w:rPr/>
        <w:t>—</w:t>
      </w:r>
      <w:r>
        <w:rPr>
          <w:spacing w:val="18"/>
        </w:rPr>
        <w:t> </w:t>
      </w:r>
      <w:r>
        <w:rPr/>
        <w:t>she</w:t>
      </w:r>
      <w:r>
        <w:rPr>
          <w:spacing w:val="16"/>
        </w:rPr>
        <w:t> </w:t>
      </w:r>
      <w:r>
        <w:rPr/>
        <w:t>is</w:t>
      </w:r>
      <w:r>
        <w:rPr>
          <w:spacing w:val="16"/>
        </w:rPr>
        <w:t> </w:t>
      </w:r>
      <w:r>
        <w:rPr/>
        <w:t>used</w:t>
      </w:r>
      <w:r>
        <w:rPr>
          <w:spacing w:val="18"/>
        </w:rPr>
        <w:t> </w:t>
      </w:r>
      <w:r>
        <w:rPr/>
        <w:t>as</w:t>
      </w:r>
      <w:r>
        <w:rPr>
          <w:spacing w:val="16"/>
        </w:rPr>
        <w:t> </w:t>
      </w:r>
      <w:r>
        <w:rPr/>
        <w:t>a</w:t>
      </w:r>
      <w:r>
        <w:rPr>
          <w:spacing w:val="16"/>
        </w:rPr>
        <w:t> </w:t>
      </w:r>
      <w:r>
        <w:rPr/>
        <w:t>tool</w:t>
      </w:r>
      <w:r>
        <w:rPr>
          <w:spacing w:val="16"/>
        </w:rPr>
        <w:t> </w:t>
      </w:r>
      <w:r>
        <w:rPr/>
        <w:t>to</w:t>
      </w:r>
      <w:r>
        <w:rPr>
          <w:spacing w:val="18"/>
        </w:rPr>
        <w:t> </w:t>
      </w:r>
      <w:r>
        <w:rPr/>
        <w:t>seal a political agreement.</w:t>
      </w:r>
    </w:p>
    <w:p>
      <w:pPr>
        <w:pStyle w:val="BodyText"/>
        <w:spacing w:line="261" w:lineRule="auto" w:before="52"/>
        <w:ind w:right="1440" w:firstLine="432"/>
        <w:jc w:val="both"/>
      </w:pPr>
      <w:r>
        <w:rPr>
          <w:spacing w:val="-4"/>
        </w:rPr>
        <w:t>Henry</w:t>
      </w:r>
      <w:r>
        <w:rPr>
          <w:spacing w:val="-9"/>
        </w:rPr>
        <w:t> </w:t>
      </w:r>
      <w:r>
        <w:rPr>
          <w:spacing w:val="-4"/>
        </w:rPr>
        <w:t>VIII</w:t>
      </w:r>
      <w:r>
        <w:rPr>
          <w:spacing w:val="-8"/>
        </w:rPr>
        <w:t> </w:t>
      </w:r>
      <w:r>
        <w:rPr>
          <w:spacing w:val="-4"/>
        </w:rPr>
        <w:t>(also</w:t>
      </w:r>
      <w:r>
        <w:rPr>
          <w:spacing w:val="-9"/>
        </w:rPr>
        <w:t> </w:t>
      </w:r>
      <w:r>
        <w:rPr>
          <w:spacing w:val="-4"/>
        </w:rPr>
        <w:t>called</w:t>
      </w:r>
      <w:r>
        <w:rPr>
          <w:spacing w:val="-8"/>
        </w:rPr>
        <w:t> </w:t>
      </w:r>
      <w:r>
        <w:rPr>
          <w:spacing w:val="-4"/>
        </w:rPr>
        <w:t>All</w:t>
      </w:r>
      <w:r>
        <w:rPr>
          <w:spacing w:val="-9"/>
        </w:rPr>
        <w:t> </w:t>
      </w:r>
      <w:r>
        <w:rPr>
          <w:spacing w:val="-4"/>
        </w:rPr>
        <w:t>is</w:t>
      </w:r>
      <w:r>
        <w:rPr>
          <w:spacing w:val="-8"/>
        </w:rPr>
        <w:t> </w:t>
      </w:r>
      <w:r>
        <w:rPr>
          <w:spacing w:val="-4"/>
        </w:rPr>
        <w:t>True)</w:t>
      </w:r>
      <w:r>
        <w:rPr>
          <w:spacing w:val="-9"/>
        </w:rPr>
        <w:t> </w:t>
      </w:r>
      <w:r>
        <w:rPr>
          <w:spacing w:val="-4"/>
        </w:rPr>
        <w:t>was</w:t>
      </w:r>
      <w:r>
        <w:rPr>
          <w:spacing w:val="-8"/>
        </w:rPr>
        <w:t> </w:t>
      </w:r>
      <w:r>
        <w:rPr>
          <w:spacing w:val="-4"/>
        </w:rPr>
        <w:t>written</w:t>
      </w:r>
      <w:r>
        <w:rPr>
          <w:spacing w:val="-9"/>
        </w:rPr>
        <w:t> </w:t>
      </w:r>
      <w:r>
        <w:rPr>
          <w:spacing w:val="-4"/>
        </w:rPr>
        <w:t>later</w:t>
      </w:r>
      <w:r>
        <w:rPr>
          <w:spacing w:val="-8"/>
        </w:rPr>
        <w:t> </w:t>
      </w:r>
      <w:r>
        <w:rPr>
          <w:spacing w:val="-4"/>
        </w:rPr>
        <w:t>in</w:t>
      </w:r>
      <w:r>
        <w:rPr>
          <w:spacing w:val="-9"/>
        </w:rPr>
        <w:t> </w:t>
      </w:r>
      <w:r>
        <w:rPr>
          <w:spacing w:val="-4"/>
        </w:rPr>
        <w:t>Shakespeare’s </w:t>
      </w:r>
      <w:r>
        <w:rPr/>
        <w:t>career,</w:t>
      </w:r>
      <w:r>
        <w:rPr>
          <w:spacing w:val="-9"/>
        </w:rPr>
        <w:t> </w:t>
      </w:r>
      <w:r>
        <w:rPr/>
        <w:t>possibly</w:t>
      </w:r>
      <w:r>
        <w:rPr>
          <w:spacing w:val="-9"/>
        </w:rPr>
        <w:t> </w:t>
      </w:r>
      <w:r>
        <w:rPr/>
        <w:t>with</w:t>
      </w:r>
      <w:r>
        <w:rPr>
          <w:spacing w:val="-9"/>
        </w:rPr>
        <w:t> </w:t>
      </w:r>
      <w:r>
        <w:rPr/>
        <w:t>help</w:t>
      </w:r>
      <w:r>
        <w:rPr>
          <w:spacing w:val="-7"/>
        </w:rPr>
        <w:t> </w:t>
      </w:r>
      <w:r>
        <w:rPr/>
        <w:t>from</w:t>
      </w:r>
      <w:r>
        <w:rPr>
          <w:spacing w:val="-11"/>
        </w:rPr>
        <w:t> </w:t>
      </w:r>
      <w:r>
        <w:rPr/>
        <w:t>another</w:t>
      </w:r>
      <w:r>
        <w:rPr>
          <w:spacing w:val="-5"/>
        </w:rPr>
        <w:t> </w:t>
      </w:r>
      <w:r>
        <w:rPr/>
        <w:t>playwright.</w:t>
      </w:r>
      <w:r>
        <w:rPr>
          <w:spacing w:val="-10"/>
        </w:rPr>
        <w:t> </w:t>
      </w:r>
      <w:r>
        <w:rPr/>
        <w:t>The</w:t>
      </w:r>
      <w:r>
        <w:rPr>
          <w:spacing w:val="-8"/>
        </w:rPr>
        <w:t> </w:t>
      </w:r>
      <w:r>
        <w:rPr/>
        <w:t>women</w:t>
      </w:r>
      <w:r>
        <w:rPr>
          <w:spacing w:val="-7"/>
        </w:rPr>
        <w:t> </w:t>
      </w:r>
      <w:r>
        <w:rPr/>
        <w:t>here</w:t>
      </w:r>
      <w:r>
        <w:rPr>
          <w:spacing w:val="-9"/>
        </w:rPr>
        <w:t> </w:t>
      </w:r>
      <w:r>
        <w:rPr/>
        <w:t>are shown in a more dignified and controlled way, which matches the political needs of Shakespeare’s time under King James I.</w:t>
      </w:r>
    </w:p>
    <w:p>
      <w:pPr>
        <w:pStyle w:val="BodyText"/>
        <w:spacing w:line="261" w:lineRule="auto" w:before="55"/>
        <w:ind w:right="1439" w:firstLine="432"/>
        <w:jc w:val="both"/>
      </w:pPr>
      <w:r>
        <w:rPr/>
        <w:t>Queen Katherine (Katherine of Aragon) is presented as a noble and dignified queen. When King Henry wants to divorce her, she defends herself with calm strength and great dignity in front of the court. She speaks honestly about her long service to the king and her love for England. Her goodness and patience stand out against the political</w:t>
      </w:r>
      <w:r>
        <w:rPr>
          <w:spacing w:val="40"/>
        </w:rPr>
        <w:t> </w:t>
      </w:r>
      <w:r>
        <w:rPr/>
        <w:t>changes</w:t>
      </w:r>
      <w:r>
        <w:rPr>
          <w:spacing w:val="40"/>
        </w:rPr>
        <w:t> </w:t>
      </w:r>
      <w:r>
        <w:rPr/>
        <w:t>happening</w:t>
      </w:r>
      <w:r>
        <w:rPr>
          <w:spacing w:val="40"/>
        </w:rPr>
        <w:t> </w:t>
      </w:r>
      <w:r>
        <w:rPr/>
        <w:t>around</w:t>
      </w:r>
      <w:r>
        <w:rPr>
          <w:spacing w:val="40"/>
        </w:rPr>
        <w:t> </w:t>
      </w:r>
      <w:r>
        <w:rPr/>
        <w:t>her.</w:t>
      </w:r>
    </w:p>
    <w:p>
      <w:pPr>
        <w:pStyle w:val="BodyText"/>
        <w:spacing w:line="261" w:lineRule="auto" w:before="54"/>
        <w:ind w:right="1440" w:firstLine="432"/>
        <w:jc w:val="both"/>
      </w:pPr>
      <w:r>
        <w:rPr/>
        <w:t>Anne Bullen (Anne Boleyn) appears as a beautiful and gentle young woman. Her story is connected to the birth of the future Queen </w:t>
      </w:r>
      <w:r>
        <w:rPr>
          <w:spacing w:val="-2"/>
        </w:rPr>
        <w:t>Elizabeth</w:t>
      </w:r>
      <w:r>
        <w:rPr>
          <w:spacing w:val="-6"/>
        </w:rPr>
        <w:t> </w:t>
      </w:r>
      <w:r>
        <w:rPr>
          <w:spacing w:val="-2"/>
        </w:rPr>
        <w:t>I.</w:t>
      </w:r>
      <w:r>
        <w:rPr>
          <w:spacing w:val="-6"/>
        </w:rPr>
        <w:t> </w:t>
      </w:r>
      <w:r>
        <w:rPr>
          <w:spacing w:val="-2"/>
        </w:rPr>
        <w:t>In</w:t>
      </w:r>
      <w:r>
        <w:rPr>
          <w:spacing w:val="-6"/>
        </w:rPr>
        <w:t> </w:t>
      </w:r>
      <w:r>
        <w:rPr>
          <w:spacing w:val="-2"/>
        </w:rPr>
        <w:t>this</w:t>
      </w:r>
      <w:r>
        <w:rPr>
          <w:spacing w:val="-4"/>
        </w:rPr>
        <w:t> </w:t>
      </w:r>
      <w:r>
        <w:rPr>
          <w:spacing w:val="-2"/>
        </w:rPr>
        <w:t>play,</w:t>
      </w:r>
      <w:r>
        <w:rPr>
          <w:spacing w:val="-6"/>
        </w:rPr>
        <w:t> </w:t>
      </w:r>
      <w:r>
        <w:rPr>
          <w:spacing w:val="-2"/>
        </w:rPr>
        <w:t>women</w:t>
      </w:r>
      <w:r>
        <w:rPr>
          <w:spacing w:val="-6"/>
        </w:rPr>
        <w:t> </w:t>
      </w:r>
      <w:r>
        <w:rPr>
          <w:spacing w:val="-2"/>
        </w:rPr>
        <w:t>are</w:t>
      </w:r>
      <w:r>
        <w:rPr>
          <w:spacing w:val="-6"/>
        </w:rPr>
        <w:t> </w:t>
      </w:r>
      <w:r>
        <w:rPr>
          <w:spacing w:val="-2"/>
        </w:rPr>
        <w:t>used</w:t>
      </w:r>
      <w:r>
        <w:rPr>
          <w:spacing w:val="-6"/>
        </w:rPr>
        <w:t> </w:t>
      </w:r>
      <w:r>
        <w:rPr>
          <w:spacing w:val="-2"/>
        </w:rPr>
        <w:t>as</w:t>
      </w:r>
      <w:r>
        <w:rPr>
          <w:spacing w:val="-6"/>
        </w:rPr>
        <w:t> </w:t>
      </w:r>
      <w:r>
        <w:rPr>
          <w:spacing w:val="-2"/>
        </w:rPr>
        <w:t>symbols</w:t>
      </w:r>
      <w:r>
        <w:rPr>
          <w:spacing w:val="-6"/>
        </w:rPr>
        <w:t> </w:t>
      </w:r>
      <w:r>
        <w:rPr>
          <w:spacing w:val="-2"/>
        </w:rPr>
        <w:t>of</w:t>
      </w:r>
      <w:r>
        <w:rPr>
          <w:spacing w:val="-8"/>
        </w:rPr>
        <w:t> </w:t>
      </w:r>
      <w:r>
        <w:rPr>
          <w:spacing w:val="-2"/>
        </w:rPr>
        <w:t>stability,</w:t>
      </w:r>
      <w:r>
        <w:rPr>
          <w:spacing w:val="-4"/>
        </w:rPr>
        <w:t> </w:t>
      </w:r>
      <w:r>
        <w:rPr>
          <w:spacing w:val="-2"/>
        </w:rPr>
        <w:t>religious </w:t>
      </w:r>
      <w:r>
        <w:rPr/>
        <w:t>change,</w:t>
      </w:r>
      <w:r>
        <w:rPr>
          <w:spacing w:val="40"/>
        </w:rPr>
        <w:t> </w:t>
      </w:r>
      <w:r>
        <w:rPr/>
        <w:t>and</w:t>
      </w:r>
      <w:r>
        <w:rPr>
          <w:spacing w:val="40"/>
        </w:rPr>
        <w:t> </w:t>
      </w:r>
      <w:r>
        <w:rPr/>
        <w:t>a</w:t>
      </w:r>
      <w:r>
        <w:rPr>
          <w:spacing w:val="40"/>
        </w:rPr>
        <w:t> </w:t>
      </w:r>
      <w:r>
        <w:rPr/>
        <w:t>hopeful</w:t>
      </w:r>
      <w:r>
        <w:rPr>
          <w:spacing w:val="40"/>
        </w:rPr>
        <w:t> </w:t>
      </w:r>
      <w:r>
        <w:rPr/>
        <w:t>future</w:t>
      </w:r>
      <w:r>
        <w:rPr>
          <w:spacing w:val="40"/>
        </w:rPr>
        <w:t> </w:t>
      </w:r>
      <w:r>
        <w:rPr/>
        <w:t>for</w:t>
      </w:r>
      <w:r>
        <w:rPr>
          <w:spacing w:val="40"/>
        </w:rPr>
        <w:t> </w:t>
      </w:r>
      <w:r>
        <w:rPr/>
        <w:t>England.</w:t>
      </w:r>
    </w:p>
    <w:p>
      <w:pPr>
        <w:pStyle w:val="BodyText"/>
        <w:spacing w:line="249" w:lineRule="auto" w:before="48"/>
        <w:ind w:right="1438" w:firstLine="432"/>
        <w:jc w:val="both"/>
      </w:pPr>
      <w:r>
        <w:rPr/>
        <w:t>As</w:t>
      </w:r>
      <w:r>
        <w:rPr>
          <w:spacing w:val="-5"/>
        </w:rPr>
        <w:t> </w:t>
      </w:r>
      <w:r>
        <w:rPr/>
        <w:t>Shakespeare</w:t>
      </w:r>
      <w:r>
        <w:rPr>
          <w:spacing w:val="-4"/>
        </w:rPr>
        <w:t> </w:t>
      </w:r>
      <w:r>
        <w:rPr/>
        <w:t>grew</w:t>
      </w:r>
      <w:r>
        <w:rPr>
          <w:spacing w:val="-7"/>
        </w:rPr>
        <w:t> </w:t>
      </w:r>
      <w:r>
        <w:rPr/>
        <w:t>as</w:t>
      </w:r>
      <w:r>
        <w:rPr>
          <w:spacing w:val="-5"/>
        </w:rPr>
        <w:t> </w:t>
      </w:r>
      <w:r>
        <w:rPr/>
        <w:t>a</w:t>
      </w:r>
      <w:r>
        <w:rPr>
          <w:spacing w:val="-3"/>
        </w:rPr>
        <w:t> </w:t>
      </w:r>
      <w:r>
        <w:rPr/>
        <w:t>writer,</w:t>
      </w:r>
      <w:r>
        <w:rPr>
          <w:spacing w:val="-3"/>
        </w:rPr>
        <w:t> </w:t>
      </w:r>
      <w:r>
        <w:rPr/>
        <w:t>the</w:t>
      </w:r>
      <w:r>
        <w:rPr>
          <w:spacing w:val="-3"/>
        </w:rPr>
        <w:t> </w:t>
      </w:r>
      <w:r>
        <w:rPr/>
        <w:t>roles</w:t>
      </w:r>
      <w:r>
        <w:rPr>
          <w:spacing w:val="-5"/>
        </w:rPr>
        <w:t> </w:t>
      </w:r>
      <w:r>
        <w:rPr/>
        <w:t>of</w:t>
      </w:r>
      <w:r>
        <w:rPr>
          <w:spacing w:val="-5"/>
        </w:rPr>
        <w:t> </w:t>
      </w:r>
      <w:r>
        <w:rPr/>
        <w:t>women</w:t>
      </w:r>
      <w:r>
        <w:rPr>
          <w:spacing w:val="-5"/>
        </w:rPr>
        <w:t> </w:t>
      </w:r>
      <w:r>
        <w:rPr/>
        <w:t>in</w:t>
      </w:r>
      <w:r>
        <w:rPr>
          <w:spacing w:val="-3"/>
        </w:rPr>
        <w:t> </w:t>
      </w:r>
      <w:r>
        <w:rPr/>
        <w:t>his</w:t>
      </w:r>
      <w:r>
        <w:rPr>
          <w:spacing w:val="-3"/>
        </w:rPr>
        <w:t> </w:t>
      </w:r>
      <w:r>
        <w:rPr/>
        <w:t>history plays</w:t>
      </w:r>
      <w:r>
        <w:rPr>
          <w:spacing w:val="40"/>
        </w:rPr>
        <w:t> </w:t>
      </w:r>
      <w:r>
        <w:rPr/>
        <w:t>also</w:t>
      </w:r>
      <w:r>
        <w:rPr>
          <w:spacing w:val="40"/>
        </w:rPr>
        <w:t> </w:t>
      </w:r>
      <w:r>
        <w:rPr/>
        <w:t>changed:</w:t>
      </w:r>
    </w:p>
    <w:p>
      <w:pPr>
        <w:pStyle w:val="ListParagraph"/>
        <w:numPr>
          <w:ilvl w:val="0"/>
          <w:numId w:val="22"/>
        </w:numPr>
        <w:tabs>
          <w:tab w:pos="2160" w:val="left" w:leader="none"/>
        </w:tabs>
        <w:spacing w:line="264" w:lineRule="auto" w:before="67" w:after="0"/>
        <w:ind w:left="2160" w:right="1443" w:hanging="240"/>
        <w:jc w:val="both"/>
        <w:rPr>
          <w:sz w:val="20"/>
        </w:rPr>
      </w:pPr>
      <w:r>
        <w:rPr>
          <w:sz w:val="20"/>
        </w:rPr>
        <w:t>Early</w:t>
      </w:r>
      <w:r>
        <w:rPr>
          <w:spacing w:val="-1"/>
          <w:sz w:val="20"/>
        </w:rPr>
        <w:t> </w:t>
      </w:r>
      <w:r>
        <w:rPr>
          <w:sz w:val="20"/>
        </w:rPr>
        <w:t>plays</w:t>
      </w:r>
      <w:r>
        <w:rPr>
          <w:spacing w:val="-1"/>
          <w:sz w:val="20"/>
        </w:rPr>
        <w:t> </w:t>
      </w:r>
      <w:r>
        <w:rPr>
          <w:sz w:val="20"/>
        </w:rPr>
        <w:t>(Henry</w:t>
      </w:r>
      <w:r>
        <w:rPr>
          <w:spacing w:val="-5"/>
          <w:sz w:val="20"/>
        </w:rPr>
        <w:t> </w:t>
      </w:r>
      <w:r>
        <w:rPr>
          <w:sz w:val="20"/>
        </w:rPr>
        <w:t>VI series) ’‡</w:t>
      </w:r>
      <w:r>
        <w:rPr>
          <w:spacing w:val="-1"/>
          <w:sz w:val="20"/>
        </w:rPr>
        <w:t> </w:t>
      </w:r>
      <w:r>
        <w:rPr>
          <w:sz w:val="20"/>
        </w:rPr>
        <w:t>Women as active</w:t>
      </w:r>
      <w:r>
        <w:rPr>
          <w:spacing w:val="-1"/>
          <w:sz w:val="20"/>
        </w:rPr>
        <w:t> </w:t>
      </w:r>
      <w:r>
        <w:rPr>
          <w:sz w:val="20"/>
        </w:rPr>
        <w:t>fighters and </w:t>
      </w:r>
      <w:r>
        <w:rPr>
          <w:spacing w:val="-2"/>
          <w:sz w:val="20"/>
        </w:rPr>
        <w:t>rebels.</w:t>
      </w:r>
    </w:p>
    <w:p>
      <w:pPr>
        <w:pStyle w:val="ListParagraph"/>
        <w:spacing w:after="0" w:line="264" w:lineRule="auto"/>
        <w:jc w:val="both"/>
        <w:rPr>
          <w:sz w:val="20"/>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85632">
                <wp:simplePos x="0" y="0"/>
                <wp:positionH relativeFrom="page">
                  <wp:posOffset>2057400</wp:posOffset>
                </wp:positionH>
                <wp:positionV relativeFrom="paragraph">
                  <wp:posOffset>162604</wp:posOffset>
                </wp:positionV>
                <wp:extent cx="3657600" cy="12700"/>
                <wp:effectExtent l="0" t="0" r="0" b="0"/>
                <wp:wrapTopAndBottom/>
                <wp:docPr id="317" name="Graphic 317"/>
                <wp:cNvGraphicFramePr>
                  <a:graphicFrameLocks/>
                </wp:cNvGraphicFramePr>
                <a:graphic>
                  <a:graphicData uri="http://schemas.microsoft.com/office/word/2010/wordprocessingShape">
                    <wps:wsp>
                      <wps:cNvPr id="317" name="Graphic 31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30848;mso-wrap-distance-left:0;mso-wrap-distance-right:0" id="docshape313" filled="true" fillcolor="#000000" stroked="false">
                <v:fill type="solid"/>
                <w10:wrap type="topAndBottom"/>
              </v:rect>
            </w:pict>
          </mc:Fallback>
        </mc:AlternateContent>
      </w:r>
      <w:r>
        <w:rPr>
          <w:rFonts w:ascii="Verdana"/>
          <w:spacing w:val="-5"/>
          <w:sz w:val="18"/>
        </w:rPr>
        <w:t>110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22"/>
        </w:numPr>
        <w:tabs>
          <w:tab w:pos="2160" w:val="left" w:leader="none"/>
        </w:tabs>
        <w:spacing w:line="261" w:lineRule="auto" w:before="199" w:after="0"/>
        <w:ind w:left="2160" w:right="1439" w:hanging="240"/>
        <w:jc w:val="both"/>
        <w:rPr>
          <w:sz w:val="20"/>
        </w:rPr>
      </w:pPr>
      <w:r>
        <w:rPr>
          <w:sz w:val="20"/>
        </w:rPr>
        <w:t>Middle plays (King John, Henry IV, Henry V) ’‡ Women as mothers,</w:t>
      </w:r>
      <w:r>
        <w:rPr>
          <w:spacing w:val="40"/>
          <w:sz w:val="20"/>
        </w:rPr>
        <w:t> </w:t>
      </w:r>
      <w:r>
        <w:rPr>
          <w:sz w:val="20"/>
        </w:rPr>
        <w:t>wives,</w:t>
      </w:r>
      <w:r>
        <w:rPr>
          <w:spacing w:val="40"/>
          <w:sz w:val="20"/>
        </w:rPr>
        <w:t> </w:t>
      </w:r>
      <w:r>
        <w:rPr>
          <w:sz w:val="20"/>
        </w:rPr>
        <w:t>and</w:t>
      </w:r>
      <w:r>
        <w:rPr>
          <w:spacing w:val="40"/>
          <w:sz w:val="20"/>
        </w:rPr>
        <w:t> </w:t>
      </w:r>
      <w:r>
        <w:rPr>
          <w:sz w:val="20"/>
        </w:rPr>
        <w:t>peace</w:t>
      </w:r>
      <w:r>
        <w:rPr>
          <w:spacing w:val="40"/>
          <w:sz w:val="20"/>
        </w:rPr>
        <w:t> </w:t>
      </w:r>
      <w:r>
        <w:rPr>
          <w:sz w:val="20"/>
        </w:rPr>
        <w:t>negotiators.</w:t>
      </w:r>
    </w:p>
    <w:p>
      <w:pPr>
        <w:pStyle w:val="ListParagraph"/>
        <w:numPr>
          <w:ilvl w:val="0"/>
          <w:numId w:val="22"/>
        </w:numPr>
        <w:tabs>
          <w:tab w:pos="2160" w:val="left" w:leader="none"/>
        </w:tabs>
        <w:spacing w:line="264" w:lineRule="auto" w:before="56" w:after="0"/>
        <w:ind w:left="2160" w:right="1442" w:hanging="240"/>
        <w:jc w:val="both"/>
        <w:rPr>
          <w:sz w:val="20"/>
        </w:rPr>
      </w:pPr>
      <w:r>
        <w:rPr>
          <w:sz w:val="20"/>
        </w:rPr>
        <w:t>Later play (Henry VIII) ’‡ Women as symbols of dignity and royal</w:t>
      </w:r>
      <w:r>
        <w:rPr>
          <w:spacing w:val="40"/>
          <w:sz w:val="20"/>
        </w:rPr>
        <w:t> </w:t>
      </w:r>
      <w:r>
        <w:rPr>
          <w:sz w:val="20"/>
        </w:rPr>
        <w:t>continuity.</w:t>
      </w:r>
    </w:p>
    <w:p>
      <w:pPr>
        <w:pStyle w:val="BodyText"/>
        <w:spacing w:line="249" w:lineRule="auto" w:before="46"/>
        <w:ind w:right="1441" w:firstLine="432"/>
        <w:jc w:val="both"/>
      </w:pPr>
      <w:r>
        <w:rPr/>
        <w:t>This shift probably reflects both Shakespeare’s development and the changing political mood in England.</w:t>
      </w:r>
    </w:p>
    <w:p>
      <w:pPr>
        <w:pStyle w:val="BodyText"/>
        <w:spacing w:before="59"/>
        <w:ind w:left="1872"/>
        <w:jc w:val="both"/>
      </w:pPr>
      <w:r>
        <w:rPr/>
        <w:t>Several</w:t>
      </w:r>
      <w:r>
        <w:rPr>
          <w:spacing w:val="-4"/>
        </w:rPr>
        <w:t> </w:t>
      </w:r>
      <w:r>
        <w:rPr/>
        <w:t>common</w:t>
      </w:r>
      <w:r>
        <w:rPr>
          <w:spacing w:val="-2"/>
        </w:rPr>
        <w:t> </w:t>
      </w:r>
      <w:r>
        <w:rPr/>
        <w:t>ideas</w:t>
      </w:r>
      <w:r>
        <w:rPr>
          <w:spacing w:val="-5"/>
        </w:rPr>
        <w:t> </w:t>
      </w:r>
      <w:r>
        <w:rPr/>
        <w:t>link</w:t>
      </w:r>
      <w:r>
        <w:rPr>
          <w:spacing w:val="-2"/>
        </w:rPr>
        <w:t> </w:t>
      </w:r>
      <w:r>
        <w:rPr/>
        <w:t>the</w:t>
      </w:r>
      <w:r>
        <w:rPr>
          <w:spacing w:val="-4"/>
        </w:rPr>
        <w:t> </w:t>
      </w:r>
      <w:r>
        <w:rPr/>
        <w:t>women</w:t>
      </w:r>
      <w:r>
        <w:rPr>
          <w:spacing w:val="-5"/>
        </w:rPr>
        <w:t> </w:t>
      </w:r>
      <w:r>
        <w:rPr/>
        <w:t>across</w:t>
      </w:r>
      <w:r>
        <w:rPr>
          <w:spacing w:val="-2"/>
        </w:rPr>
        <w:t> </w:t>
      </w:r>
      <w:r>
        <w:rPr/>
        <w:t>all</w:t>
      </w:r>
      <w:r>
        <w:rPr>
          <w:spacing w:val="-4"/>
        </w:rPr>
        <w:t> </w:t>
      </w:r>
      <w:r>
        <w:rPr/>
        <w:t>the</w:t>
      </w:r>
      <w:r>
        <w:rPr>
          <w:spacing w:val="-1"/>
        </w:rPr>
        <w:t> </w:t>
      </w:r>
      <w:r>
        <w:rPr/>
        <w:t>history</w:t>
      </w:r>
      <w:r>
        <w:rPr>
          <w:spacing w:val="-6"/>
        </w:rPr>
        <w:t> </w:t>
      </w:r>
      <w:r>
        <w:rPr>
          <w:spacing w:val="-2"/>
        </w:rPr>
        <w:t>plays:</w:t>
      </w:r>
    </w:p>
    <w:p>
      <w:pPr>
        <w:pStyle w:val="BodyText"/>
        <w:spacing w:line="249" w:lineRule="auto" w:before="68"/>
        <w:ind w:right="1439" w:firstLine="432"/>
        <w:jc w:val="both"/>
      </w:pPr>
      <w:r>
        <w:rPr/>
        <w:t>Women are often excellent speakers. Joan and Margaret give powerful</w:t>
      </w:r>
      <w:r>
        <w:rPr>
          <w:spacing w:val="-5"/>
        </w:rPr>
        <w:t> </w:t>
      </w:r>
      <w:r>
        <w:rPr/>
        <w:t>speeches</w:t>
      </w:r>
      <w:r>
        <w:rPr>
          <w:spacing w:val="-5"/>
        </w:rPr>
        <w:t> </w:t>
      </w:r>
      <w:r>
        <w:rPr/>
        <w:t>to</w:t>
      </w:r>
      <w:r>
        <w:rPr>
          <w:spacing w:val="-3"/>
        </w:rPr>
        <w:t> </w:t>
      </w:r>
      <w:r>
        <w:rPr/>
        <w:t>soldiers.</w:t>
      </w:r>
      <w:r>
        <w:rPr>
          <w:spacing w:val="-3"/>
        </w:rPr>
        <w:t> </w:t>
      </w:r>
      <w:r>
        <w:rPr/>
        <w:t>In</w:t>
      </w:r>
      <w:r>
        <w:rPr>
          <w:spacing w:val="-5"/>
        </w:rPr>
        <w:t> </w:t>
      </w:r>
      <w:r>
        <w:rPr/>
        <w:t>Richard</w:t>
      </w:r>
      <w:r>
        <w:rPr>
          <w:spacing w:val="-3"/>
        </w:rPr>
        <w:t> </w:t>
      </w:r>
      <w:r>
        <w:rPr/>
        <w:t>III,</w:t>
      </w:r>
      <w:r>
        <w:rPr>
          <w:spacing w:val="-5"/>
        </w:rPr>
        <w:t> </w:t>
      </w:r>
      <w:r>
        <w:rPr/>
        <w:t>the</w:t>
      </w:r>
      <w:r>
        <w:rPr>
          <w:spacing w:val="-3"/>
        </w:rPr>
        <w:t> </w:t>
      </w:r>
      <w:r>
        <w:rPr/>
        <w:t>women</w:t>
      </w:r>
      <w:r>
        <w:rPr>
          <w:spacing w:val="-5"/>
        </w:rPr>
        <w:t> </w:t>
      </w:r>
      <w:r>
        <w:rPr/>
        <w:t>turn</w:t>
      </w:r>
      <w:r>
        <w:rPr>
          <w:spacing w:val="-5"/>
        </w:rPr>
        <w:t> </w:t>
      </w:r>
      <w:r>
        <w:rPr/>
        <w:t>their</w:t>
      </w:r>
      <w:r>
        <w:rPr>
          <w:spacing w:val="-1"/>
        </w:rPr>
        <w:t> </w:t>
      </w:r>
      <w:r>
        <w:rPr/>
        <w:t>grief into curses and prophecies. Even when they cannot fight, their words carry moral force and emotional truth.</w:t>
      </w:r>
    </w:p>
    <w:p>
      <w:pPr>
        <w:pStyle w:val="BodyText"/>
        <w:spacing w:line="249" w:lineRule="auto" w:before="61"/>
        <w:ind w:right="1440" w:firstLine="432"/>
        <w:jc w:val="both"/>
      </w:pPr>
      <w:r>
        <w:rPr/>
        <w:t>Being a mother gives women both strength and pain. Love for their</w:t>
      </w:r>
      <w:r>
        <w:rPr>
          <w:spacing w:val="-8"/>
        </w:rPr>
        <w:t> </w:t>
      </w:r>
      <w:r>
        <w:rPr/>
        <w:t>children</w:t>
      </w:r>
      <w:r>
        <w:rPr>
          <w:spacing w:val="-10"/>
        </w:rPr>
        <w:t> </w:t>
      </w:r>
      <w:r>
        <w:rPr/>
        <w:t>makes</w:t>
      </w:r>
      <w:r>
        <w:rPr>
          <w:spacing w:val="-11"/>
        </w:rPr>
        <w:t> </w:t>
      </w:r>
      <w:r>
        <w:rPr/>
        <w:t>them</w:t>
      </w:r>
      <w:r>
        <w:rPr>
          <w:spacing w:val="-12"/>
        </w:rPr>
        <w:t> </w:t>
      </w:r>
      <w:r>
        <w:rPr/>
        <w:t>brave</w:t>
      </w:r>
      <w:r>
        <w:rPr>
          <w:spacing w:val="-9"/>
        </w:rPr>
        <w:t> </w:t>
      </w:r>
      <w:r>
        <w:rPr/>
        <w:t>and</w:t>
      </w:r>
      <w:r>
        <w:rPr>
          <w:spacing w:val="-10"/>
        </w:rPr>
        <w:t> </w:t>
      </w:r>
      <w:r>
        <w:rPr/>
        <w:t>determined</w:t>
      </w:r>
      <w:r>
        <w:rPr>
          <w:spacing w:val="-8"/>
        </w:rPr>
        <w:t> </w:t>
      </w:r>
      <w:r>
        <w:rPr/>
        <w:t>to</w:t>
      </w:r>
      <w:r>
        <w:rPr>
          <w:spacing w:val="-10"/>
        </w:rPr>
        <w:t> </w:t>
      </w:r>
      <w:r>
        <w:rPr/>
        <w:t>protect</w:t>
      </w:r>
      <w:r>
        <w:rPr>
          <w:spacing w:val="-10"/>
        </w:rPr>
        <w:t> </w:t>
      </w:r>
      <w:r>
        <w:rPr/>
        <w:t>their</w:t>
      </w:r>
      <w:r>
        <w:rPr>
          <w:spacing w:val="-8"/>
        </w:rPr>
        <w:t> </w:t>
      </w:r>
      <w:r>
        <w:rPr/>
        <w:t>family’s rights. But it also makes them deeply vulnerable. The death or danger faced by young princes and heirs usually brings out their strongest </w:t>
      </w:r>
      <w:r>
        <w:rPr>
          <w:spacing w:val="-2"/>
        </w:rPr>
        <w:t>emotions.</w:t>
      </w:r>
    </w:p>
    <w:p>
      <w:pPr>
        <w:pStyle w:val="BodyText"/>
        <w:spacing w:line="249" w:lineRule="auto" w:before="64"/>
        <w:ind w:right="1440" w:firstLine="432"/>
        <w:jc w:val="both"/>
      </w:pPr>
      <w:r>
        <w:rPr/>
        <w:t>When</w:t>
      </w:r>
      <w:r>
        <w:rPr>
          <w:spacing w:val="-7"/>
        </w:rPr>
        <w:t> </w:t>
      </w:r>
      <w:r>
        <w:rPr/>
        <w:t>women</w:t>
      </w:r>
      <w:r>
        <w:rPr>
          <w:spacing w:val="-5"/>
        </w:rPr>
        <w:t> </w:t>
      </w:r>
      <w:r>
        <w:rPr/>
        <w:t>become</w:t>
      </w:r>
      <w:r>
        <w:rPr>
          <w:spacing w:val="-6"/>
        </w:rPr>
        <w:t> </w:t>
      </w:r>
      <w:r>
        <w:rPr/>
        <w:t>too</w:t>
      </w:r>
      <w:r>
        <w:rPr>
          <w:spacing w:val="-3"/>
        </w:rPr>
        <w:t> </w:t>
      </w:r>
      <w:r>
        <w:rPr/>
        <w:t>powerful</w:t>
      </w:r>
      <w:r>
        <w:rPr>
          <w:spacing w:val="-6"/>
        </w:rPr>
        <w:t> </w:t>
      </w:r>
      <w:r>
        <w:rPr/>
        <w:t>or</w:t>
      </w:r>
      <w:r>
        <w:rPr>
          <w:spacing w:val="-7"/>
        </w:rPr>
        <w:t> </w:t>
      </w:r>
      <w:r>
        <w:rPr/>
        <w:t>step</w:t>
      </w:r>
      <w:r>
        <w:rPr>
          <w:spacing w:val="-3"/>
        </w:rPr>
        <w:t> </w:t>
      </w:r>
      <w:r>
        <w:rPr/>
        <w:t>out</w:t>
      </w:r>
      <w:r>
        <w:rPr>
          <w:spacing w:val="-5"/>
        </w:rPr>
        <w:t> </w:t>
      </w:r>
      <w:r>
        <w:rPr/>
        <w:t>of</w:t>
      </w:r>
      <w:r>
        <w:rPr>
          <w:spacing w:val="-5"/>
        </w:rPr>
        <w:t> </w:t>
      </w:r>
      <w:r>
        <w:rPr/>
        <w:t>traditional</w:t>
      </w:r>
      <w:r>
        <w:rPr>
          <w:spacing w:val="-7"/>
        </w:rPr>
        <w:t> </w:t>
      </w:r>
      <w:r>
        <w:rPr/>
        <w:t>roles, men often accuse them of being witches, monsters, or unnatural. Joan</w:t>
      </w:r>
      <w:r>
        <w:rPr>
          <w:spacing w:val="80"/>
        </w:rPr>
        <w:t> </w:t>
      </w:r>
      <w:r>
        <w:rPr/>
        <w:t>is called a witch who talks to demons. Margaret is called a “she-wolf.” </w:t>
      </w:r>
      <w:r>
        <w:rPr>
          <w:spacing w:val="-2"/>
        </w:rPr>
        <w:t>These</w:t>
      </w:r>
      <w:r>
        <w:rPr>
          <w:spacing w:val="-14"/>
        </w:rPr>
        <w:t> </w:t>
      </w:r>
      <w:r>
        <w:rPr>
          <w:spacing w:val="-2"/>
        </w:rPr>
        <w:t>insults</w:t>
      </w:r>
      <w:r>
        <w:rPr>
          <w:spacing w:val="-16"/>
        </w:rPr>
        <w:t> </w:t>
      </w:r>
      <w:r>
        <w:rPr>
          <w:spacing w:val="-2"/>
        </w:rPr>
        <w:t>were</w:t>
      </w:r>
      <w:r>
        <w:rPr>
          <w:spacing w:val="-10"/>
        </w:rPr>
        <w:t> </w:t>
      </w:r>
      <w:r>
        <w:rPr>
          <w:spacing w:val="-2"/>
        </w:rPr>
        <w:t>common</w:t>
      </w:r>
      <w:r>
        <w:rPr>
          <w:spacing w:val="-12"/>
        </w:rPr>
        <w:t> </w:t>
      </w:r>
      <w:r>
        <w:rPr>
          <w:spacing w:val="-2"/>
        </w:rPr>
        <w:t>in</w:t>
      </w:r>
      <w:r>
        <w:rPr>
          <w:spacing w:val="-12"/>
        </w:rPr>
        <w:t> </w:t>
      </w:r>
      <w:r>
        <w:rPr>
          <w:spacing w:val="-2"/>
        </w:rPr>
        <w:t>real</w:t>
      </w:r>
      <w:r>
        <w:rPr>
          <w:spacing w:val="-14"/>
        </w:rPr>
        <w:t> </w:t>
      </w:r>
      <w:r>
        <w:rPr>
          <w:spacing w:val="-2"/>
        </w:rPr>
        <w:t>life</w:t>
      </w:r>
      <w:r>
        <w:rPr>
          <w:spacing w:val="-11"/>
        </w:rPr>
        <w:t> </w:t>
      </w:r>
      <w:r>
        <w:rPr>
          <w:spacing w:val="-2"/>
        </w:rPr>
        <w:t>too</w:t>
      </w:r>
      <w:r>
        <w:rPr>
          <w:spacing w:val="-10"/>
        </w:rPr>
        <w:t> </w:t>
      </w:r>
      <w:r>
        <w:rPr>
          <w:spacing w:val="-2"/>
        </w:rPr>
        <w:t>when</w:t>
      </w:r>
      <w:r>
        <w:rPr>
          <w:spacing w:val="-12"/>
        </w:rPr>
        <w:t> </w:t>
      </w:r>
      <w:r>
        <w:rPr>
          <w:spacing w:val="-2"/>
        </w:rPr>
        <w:t>women</w:t>
      </w:r>
      <w:r>
        <w:rPr>
          <w:spacing w:val="-14"/>
        </w:rPr>
        <w:t> </w:t>
      </w:r>
      <w:r>
        <w:rPr>
          <w:spacing w:val="-2"/>
        </w:rPr>
        <w:t>gained</w:t>
      </w:r>
      <w:r>
        <w:rPr>
          <w:spacing w:val="-10"/>
        </w:rPr>
        <w:t> </w:t>
      </w:r>
      <w:r>
        <w:rPr>
          <w:spacing w:val="-2"/>
        </w:rPr>
        <w:t>influence.</w:t>
      </w:r>
    </w:p>
    <w:p>
      <w:pPr>
        <w:pStyle w:val="BodyText"/>
        <w:spacing w:line="249" w:lineRule="auto" w:before="61"/>
        <w:ind w:right="1439" w:firstLine="432"/>
        <w:jc w:val="both"/>
      </w:pPr>
      <w:r>
        <w:rPr/>
        <w:t>Traditional history books focused only on kings and battles. Shakespeare’s</w:t>
      </w:r>
      <w:r>
        <w:rPr>
          <w:spacing w:val="-2"/>
        </w:rPr>
        <w:t> </w:t>
      </w:r>
      <w:r>
        <w:rPr/>
        <w:t>women</w:t>
      </w:r>
      <w:r>
        <w:rPr>
          <w:spacing w:val="-2"/>
        </w:rPr>
        <w:t> </w:t>
      </w:r>
      <w:r>
        <w:rPr/>
        <w:t>bring</w:t>
      </w:r>
      <w:r>
        <w:rPr>
          <w:spacing w:val="-2"/>
        </w:rPr>
        <w:t> </w:t>
      </w:r>
      <w:r>
        <w:rPr/>
        <w:t>personal</w:t>
      </w:r>
      <w:r>
        <w:rPr>
          <w:spacing w:val="-2"/>
        </w:rPr>
        <w:t> </w:t>
      </w:r>
      <w:r>
        <w:rPr/>
        <w:t>feelings, family</w:t>
      </w:r>
      <w:r>
        <w:rPr>
          <w:spacing w:val="-3"/>
        </w:rPr>
        <w:t> </w:t>
      </w:r>
      <w:r>
        <w:rPr/>
        <w:t>stories, grief, and doubt into the plays. Scholars sometimes call them “anti-historians” because they question the simple, heroic male version of events and make history feel more complete and human.</w:t>
      </w:r>
    </w:p>
    <w:p>
      <w:pPr>
        <w:pStyle w:val="Heading3"/>
        <w:spacing w:before="157"/>
      </w:pPr>
      <w:r>
        <w:rPr>
          <w:spacing w:val="-2"/>
        </w:rPr>
        <w:t>CONCLUSION</w:t>
      </w:r>
    </w:p>
    <w:p>
      <w:pPr>
        <w:pStyle w:val="BodyText"/>
        <w:spacing w:line="249" w:lineRule="auto" w:before="75"/>
        <w:ind w:right="1440" w:firstLine="432"/>
        <w:jc w:val="both"/>
      </w:pPr>
      <w:r>
        <w:rPr/>
        <w:t>The women in Shakespeare’s history plays are far more than side characters. From Joan la Pucelle’s battlefield courage to Margaret of Anjou’s long arc of power and grief, and from grieving mothers to diplomatic princesses, they add depth, feeling, and challenge to the stories</w:t>
      </w:r>
      <w:r>
        <w:rPr>
          <w:spacing w:val="40"/>
        </w:rPr>
        <w:t> </w:t>
      </w:r>
      <w:r>
        <w:rPr/>
        <w:t>of</w:t>
      </w:r>
      <w:r>
        <w:rPr>
          <w:spacing w:val="40"/>
        </w:rPr>
        <w:t> </w:t>
      </w:r>
      <w:r>
        <w:rPr/>
        <w:t>kings</w:t>
      </w:r>
      <w:r>
        <w:rPr>
          <w:spacing w:val="40"/>
        </w:rPr>
        <w:t> </w:t>
      </w:r>
      <w:r>
        <w:rPr/>
        <w:t>and</w:t>
      </w:r>
      <w:r>
        <w:rPr>
          <w:spacing w:val="40"/>
        </w:rPr>
        <w:t> </w:t>
      </w:r>
      <w:r>
        <w:rPr/>
        <w:t>wars.</w:t>
      </w:r>
    </w:p>
    <w:p>
      <w:pPr>
        <w:pStyle w:val="BodyText"/>
        <w:spacing w:line="249" w:lineRule="auto" w:before="62"/>
        <w:ind w:right="1440" w:firstLine="432"/>
        <w:jc w:val="both"/>
      </w:pPr>
      <w:r>
        <w:rPr/>
        <w:t>Shakespeare</w:t>
      </w:r>
      <w:r>
        <w:rPr>
          <w:spacing w:val="-3"/>
        </w:rPr>
        <w:t> </w:t>
      </w:r>
      <w:r>
        <w:rPr/>
        <w:t>shows</w:t>
      </w:r>
      <w:r>
        <w:rPr>
          <w:spacing w:val="-4"/>
        </w:rPr>
        <w:t> </w:t>
      </w:r>
      <w:r>
        <w:rPr/>
        <w:t>both</w:t>
      </w:r>
      <w:r>
        <w:rPr>
          <w:spacing w:val="-6"/>
        </w:rPr>
        <w:t> </w:t>
      </w:r>
      <w:r>
        <w:rPr/>
        <w:t>the</w:t>
      </w:r>
      <w:r>
        <w:rPr>
          <w:spacing w:val="-3"/>
        </w:rPr>
        <w:t> </w:t>
      </w:r>
      <w:r>
        <w:rPr/>
        <w:t>possibilities</w:t>
      </w:r>
      <w:r>
        <w:rPr>
          <w:spacing w:val="-2"/>
        </w:rPr>
        <w:t> </w:t>
      </w:r>
      <w:r>
        <w:rPr/>
        <w:t>and</w:t>
      </w:r>
      <w:r>
        <w:rPr>
          <w:spacing w:val="-2"/>
        </w:rPr>
        <w:t> </w:t>
      </w:r>
      <w:r>
        <w:rPr/>
        <w:t>the</w:t>
      </w:r>
      <w:r>
        <w:rPr>
          <w:spacing w:val="-5"/>
        </w:rPr>
        <w:t> </w:t>
      </w:r>
      <w:r>
        <w:rPr/>
        <w:t>limits</w:t>
      </w:r>
      <w:r>
        <w:rPr>
          <w:spacing w:val="-6"/>
        </w:rPr>
        <w:t> </w:t>
      </w:r>
      <w:r>
        <w:rPr/>
        <w:t>for</w:t>
      </w:r>
      <w:r>
        <w:rPr>
          <w:spacing w:val="-2"/>
        </w:rPr>
        <w:t> </w:t>
      </w:r>
      <w:r>
        <w:rPr/>
        <w:t>women in</w:t>
      </w:r>
      <w:r>
        <w:rPr>
          <w:spacing w:val="-2"/>
        </w:rPr>
        <w:t> </w:t>
      </w:r>
      <w:r>
        <w:rPr/>
        <w:t>a</w:t>
      </w:r>
      <w:r>
        <w:rPr>
          <w:spacing w:val="-1"/>
        </w:rPr>
        <w:t> </w:t>
      </w:r>
      <w:r>
        <w:rPr/>
        <w:t>patriarchal society.</w:t>
      </w:r>
      <w:r>
        <w:rPr>
          <w:spacing w:val="-2"/>
        </w:rPr>
        <w:t> </w:t>
      </w:r>
      <w:r>
        <w:rPr/>
        <w:t>Many</w:t>
      </w:r>
      <w:r>
        <w:rPr>
          <w:spacing w:val="-4"/>
        </w:rPr>
        <w:t> </w:t>
      </w:r>
      <w:r>
        <w:rPr/>
        <w:t>of these</w:t>
      </w:r>
      <w:r>
        <w:rPr>
          <w:spacing w:val="-4"/>
        </w:rPr>
        <w:t> </w:t>
      </w:r>
      <w:r>
        <w:rPr/>
        <w:t>characters gain</w:t>
      </w:r>
      <w:r>
        <w:rPr>
          <w:spacing w:val="-2"/>
        </w:rPr>
        <w:t> </w:t>
      </w:r>
      <w:r>
        <w:rPr/>
        <w:t>temporary</w:t>
      </w:r>
      <w:r>
        <w:rPr>
          <w:spacing w:val="-4"/>
        </w:rPr>
        <w:t> </w:t>
      </w:r>
      <w:r>
        <w:rPr/>
        <w:t>power or voice, but the plays usually</w:t>
      </w:r>
      <w:r>
        <w:rPr>
          <w:spacing w:val="-4"/>
        </w:rPr>
        <w:t> </w:t>
      </w:r>
      <w:r>
        <w:rPr/>
        <w:t>return</w:t>
      </w:r>
      <w:r>
        <w:rPr>
          <w:spacing w:val="-2"/>
        </w:rPr>
        <w:t> </w:t>
      </w:r>
      <w:r>
        <w:rPr/>
        <w:t>them</w:t>
      </w:r>
      <w:r>
        <w:rPr>
          <w:spacing w:val="-3"/>
        </w:rPr>
        <w:t> </w:t>
      </w:r>
      <w:r>
        <w:rPr/>
        <w:t>to roles</w:t>
      </w:r>
      <w:r>
        <w:rPr>
          <w:spacing w:val="-2"/>
        </w:rPr>
        <w:t> </w:t>
      </w:r>
      <w:r>
        <w:rPr/>
        <w:t>defined by</w:t>
      </w:r>
      <w:r>
        <w:rPr>
          <w:spacing w:val="-4"/>
        </w:rPr>
        <w:t> </w:t>
      </w:r>
      <w:r>
        <w:rPr/>
        <w:t>marriage, family,</w:t>
      </w:r>
      <w:r>
        <w:rPr>
          <w:spacing w:val="-13"/>
        </w:rPr>
        <w:t> </w:t>
      </w:r>
      <w:r>
        <w:rPr/>
        <w:t>or</w:t>
      </w:r>
      <w:r>
        <w:rPr>
          <w:spacing w:val="-12"/>
        </w:rPr>
        <w:t> </w:t>
      </w:r>
      <w:r>
        <w:rPr/>
        <w:t>loss.</w:t>
      </w:r>
      <w:r>
        <w:rPr>
          <w:spacing w:val="-13"/>
        </w:rPr>
        <w:t> </w:t>
      </w:r>
      <w:r>
        <w:rPr/>
        <w:t>Still,</w:t>
      </w:r>
      <w:r>
        <w:rPr>
          <w:spacing w:val="-12"/>
        </w:rPr>
        <w:t> </w:t>
      </w:r>
      <w:r>
        <w:rPr/>
        <w:t>their</w:t>
      </w:r>
      <w:r>
        <w:rPr>
          <w:spacing w:val="-13"/>
        </w:rPr>
        <w:t> </w:t>
      </w:r>
      <w:r>
        <w:rPr/>
        <w:t>energy,</w:t>
      </w:r>
      <w:r>
        <w:rPr>
          <w:spacing w:val="-12"/>
        </w:rPr>
        <w:t> </w:t>
      </w:r>
      <w:r>
        <w:rPr/>
        <w:t>words,</w:t>
      </w:r>
      <w:r>
        <w:rPr>
          <w:spacing w:val="-13"/>
        </w:rPr>
        <w:t> </w:t>
      </w:r>
      <w:r>
        <w:rPr/>
        <w:t>and</w:t>
      </w:r>
      <w:r>
        <w:rPr>
          <w:spacing w:val="-12"/>
        </w:rPr>
        <w:t> </w:t>
      </w:r>
      <w:r>
        <w:rPr/>
        <w:t>pain</w:t>
      </w:r>
      <w:r>
        <w:rPr>
          <w:spacing w:val="-13"/>
        </w:rPr>
        <w:t> </w:t>
      </w:r>
      <w:r>
        <w:rPr/>
        <w:t>stay</w:t>
      </w:r>
      <w:r>
        <w:rPr>
          <w:spacing w:val="-12"/>
        </w:rPr>
        <w:t> </w:t>
      </w:r>
      <w:r>
        <w:rPr/>
        <w:t>with</w:t>
      </w:r>
      <w:r>
        <w:rPr>
          <w:spacing w:val="-13"/>
        </w:rPr>
        <w:t> </w:t>
      </w:r>
      <w:r>
        <w:rPr/>
        <w:t>the</w:t>
      </w:r>
      <w:r>
        <w:rPr>
          <w:spacing w:val="-12"/>
        </w:rPr>
        <w:t> </w:t>
      </w:r>
      <w:r>
        <w:rPr/>
        <w:t>audience. They humanize the grand events of history and remind us of the personal price paid during times of conflict.</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686144">
                <wp:simplePos x="0" y="0"/>
                <wp:positionH relativeFrom="page">
                  <wp:posOffset>2065020</wp:posOffset>
                </wp:positionH>
                <wp:positionV relativeFrom="paragraph">
                  <wp:posOffset>795020</wp:posOffset>
                </wp:positionV>
                <wp:extent cx="3657600" cy="12700"/>
                <wp:effectExtent l="0" t="0" r="0" b="0"/>
                <wp:wrapTopAndBottom/>
                <wp:docPr id="318" name="Graphic 318"/>
                <wp:cNvGraphicFramePr>
                  <a:graphicFrameLocks/>
                </wp:cNvGraphicFramePr>
                <a:graphic>
                  <a:graphicData uri="http://schemas.microsoft.com/office/word/2010/wordprocessingShape">
                    <wps:wsp>
                      <wps:cNvPr id="318" name="Graphic 31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30336;mso-wrap-distance-left:0;mso-wrap-distance-right:0" id="docshape314" filled="true" fillcolor="#000000" stroked="false">
                <v:fill type="solid"/>
                <w10:wrap type="topAndBottom"/>
              </v:rect>
            </w:pict>
          </mc:Fallback>
        </mc:AlternateContent>
      </w:r>
      <w:r>
        <w:rPr>
          <w:rFonts w:ascii="Verdana" w:hAnsi="Verdana"/>
          <w:spacing w:val="-2"/>
          <w:sz w:val="18"/>
        </w:rPr>
        <w:t>Women</w:t>
      </w:r>
      <w:r>
        <w:rPr>
          <w:rFonts w:ascii="Verdana" w:hAnsi="Verdana"/>
          <w:spacing w:val="1"/>
          <w:sz w:val="18"/>
        </w:rPr>
        <w:t> </w:t>
      </w:r>
      <w:r>
        <w:rPr>
          <w:rFonts w:ascii="Verdana" w:hAnsi="Verdana"/>
          <w:spacing w:val="-2"/>
          <w:sz w:val="18"/>
        </w:rPr>
        <w:t>in</w:t>
      </w:r>
      <w:r>
        <w:rPr>
          <w:rFonts w:ascii="Verdana" w:hAnsi="Verdana"/>
          <w:spacing w:val="3"/>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Historical</w:t>
      </w:r>
      <w:r>
        <w:rPr>
          <w:rFonts w:ascii="Verdana" w:hAnsi="Verdana"/>
          <w:spacing w:val="2"/>
          <w:sz w:val="18"/>
        </w:rPr>
        <w:t> </w:t>
      </w:r>
      <w:r>
        <w:rPr>
          <w:rFonts w:ascii="Verdana" w:hAnsi="Verdana"/>
          <w:spacing w:val="-2"/>
          <w:sz w:val="18"/>
        </w:rPr>
        <w:t>Plays:</w:t>
      </w:r>
      <w:r>
        <w:rPr>
          <w:rFonts w:ascii="Verdana" w:hAnsi="Verdana"/>
          <w:spacing w:val="1"/>
          <w:sz w:val="18"/>
        </w:rPr>
        <w:t> </w:t>
      </w:r>
      <w:r>
        <w:rPr>
          <w:rFonts w:ascii="Verdana" w:hAnsi="Verdana"/>
          <w:spacing w:val="-2"/>
          <w:sz w:val="18"/>
        </w:rPr>
        <w:t>Power...</w:t>
      </w:r>
      <w:r>
        <w:rPr>
          <w:sz w:val="18"/>
        </w:rPr>
        <w:tab/>
      </w:r>
      <w:r>
        <w:rPr>
          <w:rFonts w:ascii="Verdana" w:hAnsi="Verdana"/>
          <w:spacing w:val="-5"/>
          <w:sz w:val="18"/>
        </w:rPr>
        <w:t>111</w:t>
      </w:r>
    </w:p>
    <w:p>
      <w:pPr>
        <w:pStyle w:val="BodyText"/>
        <w:spacing w:line="271" w:lineRule="auto" w:before="204"/>
        <w:ind w:right="1437" w:firstLine="432"/>
        <w:jc w:val="both"/>
      </w:pPr>
      <w:r>
        <w:rPr/>
        <w:t>In</w:t>
      </w:r>
      <w:r>
        <w:rPr>
          <w:spacing w:val="-4"/>
        </w:rPr>
        <w:t> </w:t>
      </w:r>
      <w:r>
        <w:rPr/>
        <w:t>Shakespeare’s</w:t>
      </w:r>
      <w:r>
        <w:rPr>
          <w:spacing w:val="-3"/>
        </w:rPr>
        <w:t> </w:t>
      </w:r>
      <w:r>
        <w:rPr/>
        <w:t>day,</w:t>
      </w:r>
      <w:r>
        <w:rPr>
          <w:spacing w:val="-3"/>
        </w:rPr>
        <w:t> </w:t>
      </w:r>
      <w:r>
        <w:rPr/>
        <w:t>these portrayals</w:t>
      </w:r>
      <w:r>
        <w:rPr>
          <w:spacing w:val="-4"/>
        </w:rPr>
        <w:t> </w:t>
      </w:r>
      <w:r>
        <w:rPr/>
        <w:t>reflected real</w:t>
      </w:r>
      <w:r>
        <w:rPr>
          <w:spacing w:val="-3"/>
        </w:rPr>
        <w:t> </w:t>
      </w:r>
      <w:r>
        <w:rPr/>
        <w:t>worries</w:t>
      </w:r>
      <w:r>
        <w:rPr>
          <w:spacing w:val="-1"/>
        </w:rPr>
        <w:t> </w:t>
      </w:r>
      <w:r>
        <w:rPr/>
        <w:t>about female rulers and changing gender ideas. Today, they continue to offer rich material for thinking about power, resistance, and equality. The women help make the history plays not just records of the past but thoughtful</w:t>
      </w:r>
      <w:r>
        <w:rPr>
          <w:spacing w:val="-2"/>
        </w:rPr>
        <w:t> </w:t>
      </w:r>
      <w:r>
        <w:rPr/>
        <w:t>explorations</w:t>
      </w:r>
      <w:r>
        <w:rPr>
          <w:spacing w:val="-4"/>
        </w:rPr>
        <w:t> </w:t>
      </w:r>
      <w:r>
        <w:rPr/>
        <w:t>of</w:t>
      </w:r>
      <w:r>
        <w:rPr>
          <w:spacing w:val="-4"/>
        </w:rPr>
        <w:t> </w:t>
      </w:r>
      <w:r>
        <w:rPr/>
        <w:t>human</w:t>
      </w:r>
      <w:r>
        <w:rPr>
          <w:spacing w:val="-4"/>
        </w:rPr>
        <w:t> </w:t>
      </w:r>
      <w:r>
        <w:rPr/>
        <w:t>nature</w:t>
      </w:r>
      <w:r>
        <w:rPr>
          <w:spacing w:val="-1"/>
        </w:rPr>
        <w:t> </w:t>
      </w:r>
      <w:r>
        <w:rPr/>
        <w:t>that</w:t>
      </w:r>
      <w:r>
        <w:rPr>
          <w:spacing w:val="-2"/>
        </w:rPr>
        <w:t> </w:t>
      </w:r>
      <w:r>
        <w:rPr/>
        <w:t>feel</w:t>
      </w:r>
      <w:r>
        <w:rPr>
          <w:spacing w:val="-3"/>
        </w:rPr>
        <w:t> </w:t>
      </w:r>
      <w:r>
        <w:rPr/>
        <w:t>fresh</w:t>
      </w:r>
      <w:r>
        <w:rPr>
          <w:spacing w:val="-4"/>
        </w:rPr>
        <w:t> </w:t>
      </w:r>
      <w:r>
        <w:rPr/>
        <w:t>and</w:t>
      </w:r>
      <w:r>
        <w:rPr>
          <w:spacing w:val="-2"/>
        </w:rPr>
        <w:t> </w:t>
      </w:r>
      <w:r>
        <w:rPr/>
        <w:t>relevant.</w:t>
      </w:r>
      <w:r>
        <w:rPr>
          <w:spacing w:val="-2"/>
        </w:rPr>
        <w:t> </w:t>
      </w:r>
      <w:r>
        <w:rPr/>
        <w:t>By giving women such noticeable places on stage, Shakespeare created </w:t>
      </w:r>
      <w:r>
        <w:rPr>
          <w:spacing w:val="-2"/>
        </w:rPr>
        <w:t>theatre</w:t>
      </w:r>
      <w:r>
        <w:rPr>
          <w:spacing w:val="-11"/>
        </w:rPr>
        <w:t> </w:t>
      </w:r>
      <w:r>
        <w:rPr>
          <w:spacing w:val="-2"/>
        </w:rPr>
        <w:t>that</w:t>
      </w:r>
      <w:r>
        <w:rPr>
          <w:spacing w:val="-10"/>
        </w:rPr>
        <w:t> </w:t>
      </w:r>
      <w:r>
        <w:rPr>
          <w:spacing w:val="-2"/>
        </w:rPr>
        <w:t>goes</w:t>
      </w:r>
      <w:r>
        <w:rPr>
          <w:spacing w:val="-8"/>
        </w:rPr>
        <w:t> </w:t>
      </w:r>
      <w:r>
        <w:rPr>
          <w:spacing w:val="-2"/>
        </w:rPr>
        <w:t>beyond</w:t>
      </w:r>
      <w:r>
        <w:rPr>
          <w:spacing w:val="-6"/>
        </w:rPr>
        <w:t> </w:t>
      </w:r>
      <w:r>
        <w:rPr>
          <w:spacing w:val="-2"/>
        </w:rPr>
        <w:t>simple</w:t>
      </w:r>
      <w:r>
        <w:rPr>
          <w:spacing w:val="-6"/>
        </w:rPr>
        <w:t> </w:t>
      </w:r>
      <w:r>
        <w:rPr>
          <w:spacing w:val="-2"/>
        </w:rPr>
        <w:t>victory</w:t>
      </w:r>
      <w:r>
        <w:rPr>
          <w:spacing w:val="-11"/>
        </w:rPr>
        <w:t> </w:t>
      </w:r>
      <w:r>
        <w:rPr>
          <w:spacing w:val="-2"/>
        </w:rPr>
        <w:t>tales</w:t>
      </w:r>
      <w:r>
        <w:rPr>
          <w:spacing w:val="-10"/>
        </w:rPr>
        <w:t> </w:t>
      </w:r>
      <w:r>
        <w:rPr>
          <w:spacing w:val="-2"/>
        </w:rPr>
        <w:t>to</w:t>
      </w:r>
      <w:r>
        <w:rPr>
          <w:spacing w:val="-6"/>
        </w:rPr>
        <w:t> </w:t>
      </w:r>
      <w:r>
        <w:rPr>
          <w:spacing w:val="-2"/>
        </w:rPr>
        <w:t>show</w:t>
      </w:r>
      <w:r>
        <w:rPr>
          <w:spacing w:val="-11"/>
        </w:rPr>
        <w:t> </w:t>
      </w:r>
      <w:r>
        <w:rPr>
          <w:spacing w:val="-2"/>
        </w:rPr>
        <w:t>the</w:t>
      </w:r>
      <w:r>
        <w:rPr>
          <w:spacing w:val="-10"/>
        </w:rPr>
        <w:t> </w:t>
      </w:r>
      <w:r>
        <w:rPr>
          <w:spacing w:val="-2"/>
        </w:rPr>
        <w:t>full,</w:t>
      </w:r>
      <w:r>
        <w:rPr>
          <w:spacing w:val="-8"/>
        </w:rPr>
        <w:t> </w:t>
      </w:r>
      <w:r>
        <w:rPr>
          <w:spacing w:val="-2"/>
        </w:rPr>
        <w:t>complicated </w:t>
      </w:r>
      <w:r>
        <w:rPr/>
        <w:t>picture of life.</w:t>
      </w:r>
    </w:p>
    <w:p>
      <w:pPr>
        <w:pStyle w:val="Heading3"/>
        <w:spacing w:before="158"/>
      </w:pPr>
      <w:r>
        <w:rPr>
          <w:w w:val="90"/>
        </w:rPr>
        <w:t>WORKS</w:t>
      </w:r>
      <w:r>
        <w:rPr>
          <w:spacing w:val="2"/>
        </w:rPr>
        <w:t> </w:t>
      </w:r>
      <w:r>
        <w:rPr>
          <w:spacing w:val="-2"/>
          <w:w w:val="95"/>
        </w:rPr>
        <w:t>CITED:</w:t>
      </w:r>
    </w:p>
    <w:p>
      <w:pPr>
        <w:pStyle w:val="ListParagraph"/>
        <w:numPr>
          <w:ilvl w:val="0"/>
          <w:numId w:val="23"/>
        </w:numPr>
        <w:tabs>
          <w:tab w:pos="2157" w:val="left" w:leader="none"/>
          <w:tab w:pos="2160" w:val="left" w:leader="none"/>
        </w:tabs>
        <w:spacing w:line="271" w:lineRule="auto" w:before="99" w:after="0"/>
        <w:ind w:left="2160" w:right="1441" w:hanging="315"/>
        <w:jc w:val="both"/>
        <w:rPr>
          <w:sz w:val="19"/>
        </w:rPr>
      </w:pPr>
      <w:r>
        <w:rPr>
          <w:sz w:val="19"/>
        </w:rPr>
        <w:t>Bachrach, Hailey. Staging Female Characters in Shakespeare’s English</w:t>
      </w:r>
      <w:r>
        <w:rPr>
          <w:spacing w:val="40"/>
          <w:sz w:val="19"/>
        </w:rPr>
        <w:t> </w:t>
      </w:r>
      <w:r>
        <w:rPr>
          <w:sz w:val="19"/>
        </w:rPr>
        <w:t>History</w:t>
      </w:r>
      <w:r>
        <w:rPr>
          <w:spacing w:val="40"/>
          <w:sz w:val="19"/>
        </w:rPr>
        <w:t> </w:t>
      </w:r>
      <w:r>
        <w:rPr>
          <w:sz w:val="19"/>
        </w:rPr>
        <w:t>Plays.</w:t>
      </w:r>
      <w:r>
        <w:rPr>
          <w:spacing w:val="40"/>
          <w:sz w:val="19"/>
        </w:rPr>
        <w:t> </w:t>
      </w:r>
      <w:r>
        <w:rPr>
          <w:sz w:val="19"/>
        </w:rPr>
        <w:t>Cambridge</w:t>
      </w:r>
      <w:r>
        <w:rPr>
          <w:spacing w:val="40"/>
          <w:sz w:val="19"/>
        </w:rPr>
        <w:t> </w:t>
      </w:r>
      <w:r>
        <w:rPr>
          <w:sz w:val="19"/>
        </w:rPr>
        <w:t>UP,</w:t>
      </w:r>
      <w:r>
        <w:rPr>
          <w:spacing w:val="40"/>
          <w:sz w:val="19"/>
        </w:rPr>
        <w:t> </w:t>
      </w:r>
      <w:r>
        <w:rPr>
          <w:sz w:val="19"/>
        </w:rPr>
        <w:t>2023.</w:t>
      </w:r>
    </w:p>
    <w:p>
      <w:pPr>
        <w:pStyle w:val="ListParagraph"/>
        <w:numPr>
          <w:ilvl w:val="0"/>
          <w:numId w:val="23"/>
        </w:numPr>
        <w:tabs>
          <w:tab w:pos="2157" w:val="left" w:leader="none"/>
          <w:tab w:pos="2160" w:val="left" w:leader="none"/>
        </w:tabs>
        <w:spacing w:line="271" w:lineRule="auto" w:before="61" w:after="0"/>
        <w:ind w:left="2160" w:right="1441" w:hanging="315"/>
        <w:jc w:val="both"/>
        <w:rPr>
          <w:sz w:val="19"/>
        </w:rPr>
      </w:pPr>
      <w:r>
        <w:rPr>
          <w:sz w:val="19"/>
        </w:rPr>
        <w:t>Bevington, David, editor. The Complete Works of Shakespeare. 7th</w:t>
      </w:r>
      <w:r>
        <w:rPr>
          <w:spacing w:val="40"/>
          <w:sz w:val="19"/>
        </w:rPr>
        <w:t> </w:t>
      </w:r>
      <w:r>
        <w:rPr>
          <w:sz w:val="19"/>
        </w:rPr>
        <w:t>ed.,</w:t>
      </w:r>
      <w:r>
        <w:rPr>
          <w:spacing w:val="40"/>
          <w:sz w:val="19"/>
        </w:rPr>
        <w:t> </w:t>
      </w:r>
      <w:r>
        <w:rPr>
          <w:sz w:val="19"/>
        </w:rPr>
        <w:t>Pearson,</w:t>
      </w:r>
      <w:r>
        <w:rPr>
          <w:spacing w:val="40"/>
          <w:sz w:val="19"/>
        </w:rPr>
        <w:t> </w:t>
      </w:r>
      <w:r>
        <w:rPr>
          <w:sz w:val="19"/>
        </w:rPr>
        <w:t>2014.</w:t>
      </w:r>
    </w:p>
    <w:p>
      <w:pPr>
        <w:pStyle w:val="ListParagraph"/>
        <w:numPr>
          <w:ilvl w:val="0"/>
          <w:numId w:val="23"/>
        </w:numPr>
        <w:tabs>
          <w:tab w:pos="2157" w:val="left" w:leader="none"/>
          <w:tab w:pos="2160" w:val="left" w:leader="none"/>
        </w:tabs>
        <w:spacing w:line="271" w:lineRule="auto" w:before="60" w:after="0"/>
        <w:ind w:left="2160" w:right="1438" w:hanging="315"/>
        <w:jc w:val="both"/>
        <w:rPr>
          <w:sz w:val="19"/>
        </w:rPr>
      </w:pPr>
      <w:r>
        <w:rPr>
          <w:sz w:val="19"/>
        </w:rPr>
        <w:t>Howard, Jean E., and Phyllis Rackin. Engendering a Nation: A </w:t>
      </w:r>
      <w:r>
        <w:rPr>
          <w:spacing w:val="9"/>
          <w:sz w:val="19"/>
        </w:rPr>
        <w:t>Feminist</w:t>
      </w:r>
      <w:r>
        <w:rPr>
          <w:spacing w:val="9"/>
          <w:sz w:val="19"/>
        </w:rPr>
        <w:t> </w:t>
      </w:r>
      <w:r>
        <w:rPr>
          <w:spacing w:val="10"/>
          <w:sz w:val="19"/>
        </w:rPr>
        <w:t>Account</w:t>
      </w:r>
      <w:r>
        <w:rPr>
          <w:spacing w:val="10"/>
          <w:sz w:val="19"/>
        </w:rPr>
        <w:t> </w:t>
      </w:r>
      <w:r>
        <w:rPr>
          <w:sz w:val="19"/>
        </w:rPr>
        <w:t>of </w:t>
      </w:r>
      <w:r>
        <w:rPr>
          <w:spacing w:val="10"/>
          <w:sz w:val="19"/>
        </w:rPr>
        <w:t>Shakespeare’s</w:t>
      </w:r>
      <w:r>
        <w:rPr>
          <w:spacing w:val="10"/>
          <w:sz w:val="19"/>
        </w:rPr>
        <w:t> English</w:t>
      </w:r>
      <w:r>
        <w:rPr>
          <w:spacing w:val="10"/>
          <w:sz w:val="19"/>
        </w:rPr>
        <w:t> Histories. </w:t>
      </w:r>
      <w:r>
        <w:rPr>
          <w:sz w:val="19"/>
        </w:rPr>
        <w:t>Routledge,</w:t>
      </w:r>
      <w:r>
        <w:rPr>
          <w:spacing w:val="40"/>
          <w:sz w:val="19"/>
        </w:rPr>
        <w:t> </w:t>
      </w:r>
      <w:r>
        <w:rPr>
          <w:sz w:val="19"/>
        </w:rPr>
        <w:t>1997.</w:t>
      </w:r>
    </w:p>
    <w:p>
      <w:pPr>
        <w:pStyle w:val="ListParagraph"/>
        <w:numPr>
          <w:ilvl w:val="0"/>
          <w:numId w:val="23"/>
        </w:numPr>
        <w:tabs>
          <w:tab w:pos="2157" w:val="left" w:leader="none"/>
          <w:tab w:pos="2160" w:val="left" w:leader="none"/>
        </w:tabs>
        <w:spacing w:line="271" w:lineRule="auto" w:before="61" w:after="0"/>
        <w:ind w:left="2160" w:right="1438" w:hanging="315"/>
        <w:jc w:val="both"/>
        <w:rPr>
          <w:sz w:val="19"/>
        </w:rPr>
      </w:pPr>
      <w:r>
        <w:rPr>
          <w:spacing w:val="9"/>
          <w:sz w:val="19"/>
        </w:rPr>
        <w:t>Kahn,</w:t>
      </w:r>
      <w:r>
        <w:rPr>
          <w:spacing w:val="9"/>
          <w:sz w:val="19"/>
        </w:rPr>
        <w:t> </w:t>
      </w:r>
      <w:r>
        <w:rPr>
          <w:spacing w:val="10"/>
          <w:sz w:val="19"/>
        </w:rPr>
        <w:t>Coppélia.</w:t>
      </w:r>
      <w:r>
        <w:rPr>
          <w:spacing w:val="10"/>
          <w:sz w:val="19"/>
        </w:rPr>
        <w:t> </w:t>
      </w:r>
      <w:r>
        <w:rPr>
          <w:sz w:val="19"/>
        </w:rPr>
        <w:t>Man’s </w:t>
      </w:r>
      <w:r>
        <w:rPr>
          <w:spacing w:val="10"/>
          <w:sz w:val="19"/>
        </w:rPr>
        <w:t>Estate:</w:t>
      </w:r>
      <w:r>
        <w:rPr>
          <w:spacing w:val="10"/>
          <w:sz w:val="19"/>
        </w:rPr>
        <w:t> Masculine</w:t>
      </w:r>
      <w:r>
        <w:rPr>
          <w:spacing w:val="10"/>
          <w:sz w:val="19"/>
        </w:rPr>
        <w:t> </w:t>
      </w:r>
      <w:r>
        <w:rPr>
          <w:spacing w:val="9"/>
          <w:sz w:val="19"/>
        </w:rPr>
        <w:t>Identity</w:t>
      </w:r>
      <w:r>
        <w:rPr>
          <w:spacing w:val="9"/>
          <w:sz w:val="19"/>
        </w:rPr>
        <w:t> </w:t>
      </w:r>
      <w:r>
        <w:rPr>
          <w:sz w:val="19"/>
        </w:rPr>
        <w:t>in Shakespeare.</w:t>
      </w:r>
      <w:r>
        <w:rPr>
          <w:spacing w:val="40"/>
          <w:sz w:val="19"/>
        </w:rPr>
        <w:t> </w:t>
      </w:r>
      <w:r>
        <w:rPr>
          <w:sz w:val="19"/>
        </w:rPr>
        <w:t>U</w:t>
      </w:r>
      <w:r>
        <w:rPr>
          <w:spacing w:val="40"/>
          <w:sz w:val="19"/>
        </w:rPr>
        <w:t> </w:t>
      </w:r>
      <w:r>
        <w:rPr>
          <w:sz w:val="19"/>
        </w:rPr>
        <w:t>of</w:t>
      </w:r>
      <w:r>
        <w:rPr>
          <w:spacing w:val="40"/>
          <w:sz w:val="19"/>
        </w:rPr>
        <w:t> </w:t>
      </w:r>
      <w:r>
        <w:rPr>
          <w:sz w:val="19"/>
        </w:rPr>
        <w:t>California</w:t>
      </w:r>
      <w:r>
        <w:rPr>
          <w:spacing w:val="40"/>
          <w:sz w:val="19"/>
        </w:rPr>
        <w:t> </w:t>
      </w:r>
      <w:r>
        <w:rPr>
          <w:sz w:val="19"/>
        </w:rPr>
        <w:t>P,</w:t>
      </w:r>
      <w:r>
        <w:rPr>
          <w:spacing w:val="40"/>
          <w:sz w:val="19"/>
        </w:rPr>
        <w:t> </w:t>
      </w:r>
      <w:r>
        <w:rPr>
          <w:sz w:val="19"/>
        </w:rPr>
        <w:t>1981.</w:t>
      </w:r>
    </w:p>
    <w:p>
      <w:pPr>
        <w:pStyle w:val="ListParagraph"/>
        <w:numPr>
          <w:ilvl w:val="0"/>
          <w:numId w:val="23"/>
        </w:numPr>
        <w:tabs>
          <w:tab w:pos="2157" w:val="left" w:leader="none"/>
          <w:tab w:pos="2160" w:val="left" w:leader="none"/>
        </w:tabs>
        <w:spacing w:line="271" w:lineRule="auto" w:before="61" w:after="0"/>
        <w:ind w:left="2160" w:right="1438" w:hanging="315"/>
        <w:jc w:val="both"/>
        <w:rPr>
          <w:sz w:val="19"/>
        </w:rPr>
      </w:pPr>
      <w:r>
        <w:rPr>
          <w:spacing w:val="10"/>
          <w:sz w:val="19"/>
        </w:rPr>
        <w:t>Rackin,</w:t>
      </w:r>
      <w:r>
        <w:rPr>
          <w:spacing w:val="10"/>
          <w:sz w:val="19"/>
        </w:rPr>
        <w:t> </w:t>
      </w:r>
      <w:r>
        <w:rPr>
          <w:spacing w:val="9"/>
          <w:sz w:val="19"/>
        </w:rPr>
        <w:t>Phyllis.</w:t>
      </w:r>
      <w:r>
        <w:rPr>
          <w:spacing w:val="9"/>
          <w:sz w:val="19"/>
        </w:rPr>
        <w:t> </w:t>
      </w:r>
      <w:r>
        <w:rPr>
          <w:spacing w:val="11"/>
          <w:sz w:val="19"/>
        </w:rPr>
        <w:t>“Anti-</w:t>
      </w:r>
      <w:r>
        <w:rPr>
          <w:spacing w:val="10"/>
          <w:sz w:val="19"/>
        </w:rPr>
        <w:t>Historians:</w:t>
      </w:r>
      <w:r>
        <w:rPr>
          <w:spacing w:val="10"/>
          <w:sz w:val="19"/>
        </w:rPr>
        <w:t> </w:t>
      </w:r>
      <w:r>
        <w:rPr>
          <w:sz w:val="19"/>
        </w:rPr>
        <w:t>Women’s </w:t>
      </w:r>
      <w:r>
        <w:rPr>
          <w:spacing w:val="9"/>
          <w:sz w:val="19"/>
        </w:rPr>
        <w:t>Roles</w:t>
      </w:r>
      <w:r>
        <w:rPr>
          <w:spacing w:val="9"/>
          <w:sz w:val="19"/>
        </w:rPr>
        <w:t> </w:t>
      </w:r>
      <w:r>
        <w:rPr>
          <w:sz w:val="19"/>
        </w:rPr>
        <w:t>in Shakespeare’s Histories.” Theatre Journal, vol. 37, no. 3, Oct. </w:t>
      </w:r>
      <w:r>
        <w:rPr>
          <w:spacing w:val="-2"/>
          <w:sz w:val="19"/>
        </w:rPr>
        <w:t>1985.</w:t>
      </w:r>
    </w:p>
    <w:p>
      <w:pPr>
        <w:pStyle w:val="ListParagraph"/>
        <w:numPr>
          <w:ilvl w:val="0"/>
          <w:numId w:val="23"/>
        </w:numPr>
        <w:tabs>
          <w:tab w:pos="2157" w:val="left" w:leader="none"/>
        </w:tabs>
        <w:spacing w:line="240" w:lineRule="auto" w:before="61" w:after="0"/>
        <w:ind w:left="2157" w:right="0" w:hanging="312"/>
        <w:jc w:val="both"/>
        <w:rPr>
          <w:sz w:val="19"/>
        </w:rPr>
      </w:pPr>
      <w:r>
        <w:rPr>
          <w:sz w:val="19"/>
        </w:rPr>
        <w:t>JSTOR,</w:t>
      </w:r>
      <w:r>
        <w:rPr>
          <w:spacing w:val="37"/>
          <w:sz w:val="19"/>
        </w:rPr>
        <w:t> </w:t>
      </w:r>
      <w:hyperlink r:id="rId91">
        <w:r>
          <w:rPr>
            <w:spacing w:val="-2"/>
            <w:sz w:val="19"/>
          </w:rPr>
          <w:t>www.jstor.org/stable/3206885</w:t>
        </w:r>
      </w:hyperlink>
      <w:r>
        <w:rPr>
          <w:spacing w:val="-2"/>
          <w:sz w:val="19"/>
        </w:rPr>
        <w:t>.</w:t>
      </w:r>
    </w:p>
    <w:p>
      <w:pPr>
        <w:pStyle w:val="ListParagraph"/>
        <w:numPr>
          <w:ilvl w:val="0"/>
          <w:numId w:val="23"/>
        </w:numPr>
        <w:tabs>
          <w:tab w:pos="2157" w:val="left" w:leader="none"/>
          <w:tab w:pos="2160" w:val="left" w:leader="none"/>
        </w:tabs>
        <w:spacing w:line="273" w:lineRule="auto" w:before="86" w:after="0"/>
        <w:ind w:left="2160" w:right="1444" w:hanging="315"/>
        <w:jc w:val="left"/>
        <w:rPr>
          <w:sz w:val="19"/>
        </w:rPr>
      </w:pPr>
      <w:r>
        <w:rPr>
          <w:sz w:val="19"/>
        </w:rPr>
        <w:t>Shakespeare,</w:t>
      </w:r>
      <w:r>
        <w:rPr>
          <w:spacing w:val="-7"/>
          <w:sz w:val="19"/>
        </w:rPr>
        <w:t> </w:t>
      </w:r>
      <w:r>
        <w:rPr>
          <w:sz w:val="19"/>
        </w:rPr>
        <w:t>William.</w:t>
      </w:r>
      <w:r>
        <w:rPr>
          <w:spacing w:val="-3"/>
          <w:sz w:val="19"/>
        </w:rPr>
        <w:t> </w:t>
      </w:r>
      <w:r>
        <w:rPr>
          <w:sz w:val="19"/>
        </w:rPr>
        <w:t>Henry</w:t>
      </w:r>
      <w:r>
        <w:rPr>
          <w:spacing w:val="-11"/>
          <w:sz w:val="19"/>
        </w:rPr>
        <w:t> </w:t>
      </w:r>
      <w:r>
        <w:rPr>
          <w:sz w:val="19"/>
        </w:rPr>
        <w:t>VI,</w:t>
      </w:r>
      <w:r>
        <w:rPr>
          <w:spacing w:val="-3"/>
          <w:sz w:val="19"/>
        </w:rPr>
        <w:t> </w:t>
      </w:r>
      <w:r>
        <w:rPr>
          <w:sz w:val="19"/>
        </w:rPr>
        <w:t>Part</w:t>
      </w:r>
      <w:r>
        <w:rPr>
          <w:spacing w:val="-6"/>
          <w:sz w:val="19"/>
        </w:rPr>
        <w:t> </w:t>
      </w:r>
      <w:r>
        <w:rPr>
          <w:sz w:val="19"/>
        </w:rPr>
        <w:t>1.</w:t>
      </w:r>
      <w:r>
        <w:rPr>
          <w:spacing w:val="-3"/>
          <w:sz w:val="19"/>
        </w:rPr>
        <w:t> </w:t>
      </w:r>
      <w:r>
        <w:rPr>
          <w:sz w:val="19"/>
        </w:rPr>
        <w:t>Edited</w:t>
      </w:r>
      <w:r>
        <w:rPr>
          <w:spacing w:val="-3"/>
          <w:sz w:val="19"/>
        </w:rPr>
        <w:t> </w:t>
      </w:r>
      <w:r>
        <w:rPr>
          <w:sz w:val="19"/>
        </w:rPr>
        <w:t>by</w:t>
      </w:r>
      <w:r>
        <w:rPr>
          <w:spacing w:val="-9"/>
          <w:sz w:val="19"/>
        </w:rPr>
        <w:t> </w:t>
      </w:r>
      <w:r>
        <w:rPr>
          <w:sz w:val="19"/>
        </w:rPr>
        <w:t>Edward</w:t>
      </w:r>
      <w:r>
        <w:rPr>
          <w:spacing w:val="-3"/>
          <w:sz w:val="19"/>
        </w:rPr>
        <w:t> </w:t>
      </w:r>
      <w:r>
        <w:rPr>
          <w:sz w:val="19"/>
        </w:rPr>
        <w:t>Burns, Arden</w:t>
      </w:r>
      <w:r>
        <w:rPr>
          <w:spacing w:val="40"/>
          <w:sz w:val="19"/>
        </w:rPr>
        <w:t> </w:t>
      </w:r>
      <w:r>
        <w:rPr>
          <w:sz w:val="19"/>
        </w:rPr>
        <w:t>Shakespeare,</w:t>
      </w:r>
      <w:r>
        <w:rPr>
          <w:spacing w:val="40"/>
          <w:sz w:val="19"/>
        </w:rPr>
        <w:t> </w:t>
      </w:r>
      <w:r>
        <w:rPr>
          <w:sz w:val="19"/>
        </w:rPr>
        <w:t>2000.</w:t>
      </w:r>
    </w:p>
    <w:p>
      <w:pPr>
        <w:pStyle w:val="ListParagraph"/>
        <w:numPr>
          <w:ilvl w:val="0"/>
          <w:numId w:val="23"/>
        </w:numPr>
        <w:tabs>
          <w:tab w:pos="2157" w:val="left" w:leader="none"/>
          <w:tab w:pos="2160" w:val="left" w:leader="none"/>
        </w:tabs>
        <w:spacing w:line="271" w:lineRule="auto" w:before="56" w:after="0"/>
        <w:ind w:left="2160" w:right="1440" w:hanging="315"/>
        <w:jc w:val="left"/>
        <w:rPr>
          <w:sz w:val="19"/>
        </w:rPr>
      </w:pPr>
      <w:r>
        <w:rPr>
          <w:sz w:val="19"/>
        </w:rPr>
        <w:t>Shakespeare,</w:t>
      </w:r>
      <w:r>
        <w:rPr>
          <w:spacing w:val="40"/>
          <w:sz w:val="19"/>
        </w:rPr>
        <w:t> </w:t>
      </w:r>
      <w:r>
        <w:rPr>
          <w:sz w:val="19"/>
        </w:rPr>
        <w:t>William.</w:t>
      </w:r>
      <w:r>
        <w:rPr>
          <w:spacing w:val="40"/>
          <w:sz w:val="19"/>
        </w:rPr>
        <w:t> </w:t>
      </w:r>
      <w:r>
        <w:rPr>
          <w:sz w:val="19"/>
        </w:rPr>
        <w:t>Henry</w:t>
      </w:r>
      <w:r>
        <w:rPr>
          <w:spacing w:val="40"/>
          <w:sz w:val="19"/>
        </w:rPr>
        <w:t> </w:t>
      </w:r>
      <w:r>
        <w:rPr>
          <w:sz w:val="19"/>
        </w:rPr>
        <w:t>VI,</w:t>
      </w:r>
      <w:r>
        <w:rPr>
          <w:spacing w:val="40"/>
          <w:sz w:val="19"/>
        </w:rPr>
        <w:t> </w:t>
      </w:r>
      <w:r>
        <w:rPr>
          <w:sz w:val="19"/>
        </w:rPr>
        <w:t>Part</w:t>
      </w:r>
      <w:r>
        <w:rPr>
          <w:spacing w:val="40"/>
          <w:sz w:val="19"/>
        </w:rPr>
        <w:t> </w:t>
      </w:r>
      <w:r>
        <w:rPr>
          <w:sz w:val="19"/>
        </w:rPr>
        <w:t>2.</w:t>
      </w:r>
      <w:r>
        <w:rPr>
          <w:spacing w:val="40"/>
          <w:sz w:val="19"/>
        </w:rPr>
        <w:t> </w:t>
      </w:r>
      <w:r>
        <w:rPr>
          <w:sz w:val="19"/>
        </w:rPr>
        <w:t>Edited</w:t>
      </w:r>
      <w:r>
        <w:rPr>
          <w:spacing w:val="40"/>
          <w:sz w:val="19"/>
        </w:rPr>
        <w:t> </w:t>
      </w:r>
      <w:r>
        <w:rPr>
          <w:sz w:val="19"/>
        </w:rPr>
        <w:t>by</w:t>
      </w:r>
      <w:r>
        <w:rPr>
          <w:spacing w:val="40"/>
          <w:sz w:val="19"/>
        </w:rPr>
        <w:t> </w:t>
      </w:r>
      <w:r>
        <w:rPr>
          <w:sz w:val="19"/>
        </w:rPr>
        <w:t>Ronald</w:t>
      </w:r>
      <w:r>
        <w:rPr>
          <w:spacing w:val="40"/>
          <w:sz w:val="19"/>
        </w:rPr>
        <w:t> </w:t>
      </w:r>
      <w:r>
        <w:rPr>
          <w:sz w:val="19"/>
        </w:rPr>
        <w:t>Knowles,</w:t>
      </w:r>
      <w:r>
        <w:rPr>
          <w:spacing w:val="40"/>
          <w:sz w:val="19"/>
        </w:rPr>
        <w:t> </w:t>
      </w:r>
      <w:r>
        <w:rPr>
          <w:sz w:val="19"/>
        </w:rPr>
        <w:t>Arden</w:t>
      </w:r>
      <w:r>
        <w:rPr>
          <w:spacing w:val="40"/>
          <w:sz w:val="19"/>
        </w:rPr>
        <w:t> </w:t>
      </w:r>
      <w:r>
        <w:rPr>
          <w:sz w:val="19"/>
        </w:rPr>
        <w:t>Shakespeare,</w:t>
      </w:r>
      <w:r>
        <w:rPr>
          <w:spacing w:val="40"/>
          <w:sz w:val="19"/>
        </w:rPr>
        <w:t> </w:t>
      </w:r>
      <w:r>
        <w:rPr>
          <w:sz w:val="19"/>
        </w:rPr>
        <w:t>1999.</w:t>
      </w:r>
    </w:p>
    <w:p>
      <w:pPr>
        <w:pStyle w:val="ListParagraph"/>
        <w:numPr>
          <w:ilvl w:val="0"/>
          <w:numId w:val="23"/>
        </w:numPr>
        <w:tabs>
          <w:tab w:pos="2157" w:val="left" w:leader="none"/>
          <w:tab w:pos="2160" w:val="left" w:leader="none"/>
        </w:tabs>
        <w:spacing w:line="271" w:lineRule="auto" w:before="61" w:after="0"/>
        <w:ind w:left="2160" w:right="1441" w:hanging="315"/>
        <w:jc w:val="left"/>
        <w:rPr>
          <w:sz w:val="19"/>
        </w:rPr>
      </w:pPr>
      <w:r>
        <w:rPr>
          <w:sz w:val="19"/>
        </w:rPr>
        <w:t>Shakespeare, William. Henry VI, Part 3. Edited by John D. Cox and</w:t>
      </w:r>
      <w:r>
        <w:rPr>
          <w:spacing w:val="40"/>
          <w:sz w:val="19"/>
        </w:rPr>
        <w:t> </w:t>
      </w:r>
      <w:r>
        <w:rPr>
          <w:sz w:val="19"/>
        </w:rPr>
        <w:t>Eric</w:t>
      </w:r>
      <w:r>
        <w:rPr>
          <w:spacing w:val="40"/>
          <w:sz w:val="19"/>
        </w:rPr>
        <w:t> </w:t>
      </w:r>
      <w:r>
        <w:rPr>
          <w:sz w:val="19"/>
        </w:rPr>
        <w:t>Rasmussen,</w:t>
      </w:r>
      <w:r>
        <w:rPr>
          <w:spacing w:val="40"/>
          <w:sz w:val="19"/>
        </w:rPr>
        <w:t> </w:t>
      </w:r>
      <w:r>
        <w:rPr>
          <w:sz w:val="19"/>
        </w:rPr>
        <w:t>Arden</w:t>
      </w:r>
      <w:r>
        <w:rPr>
          <w:spacing w:val="40"/>
          <w:sz w:val="19"/>
        </w:rPr>
        <w:t> </w:t>
      </w:r>
      <w:r>
        <w:rPr>
          <w:sz w:val="19"/>
        </w:rPr>
        <w:t>Shakespeare,</w:t>
      </w:r>
      <w:r>
        <w:rPr>
          <w:spacing w:val="40"/>
          <w:sz w:val="19"/>
        </w:rPr>
        <w:t> </w:t>
      </w:r>
      <w:r>
        <w:rPr>
          <w:sz w:val="19"/>
        </w:rPr>
        <w:t>2001.</w:t>
      </w:r>
    </w:p>
    <w:p>
      <w:pPr>
        <w:pStyle w:val="ListParagraph"/>
        <w:numPr>
          <w:ilvl w:val="0"/>
          <w:numId w:val="23"/>
        </w:numPr>
        <w:tabs>
          <w:tab w:pos="2157" w:val="left" w:leader="none"/>
          <w:tab w:pos="2160" w:val="left" w:leader="none"/>
        </w:tabs>
        <w:spacing w:line="271" w:lineRule="auto" w:before="61" w:after="0"/>
        <w:ind w:left="2160" w:right="1442" w:hanging="406"/>
        <w:jc w:val="left"/>
        <w:rPr>
          <w:sz w:val="19"/>
        </w:rPr>
      </w:pPr>
      <w:r>
        <w:rPr>
          <w:sz w:val="19"/>
        </w:rPr>
        <w:t>Shakespeare, William. King John. Edited by</w:t>
      </w:r>
      <w:r>
        <w:rPr>
          <w:spacing w:val="-2"/>
          <w:sz w:val="19"/>
        </w:rPr>
        <w:t> </w:t>
      </w:r>
      <w:r>
        <w:rPr>
          <w:sz w:val="19"/>
        </w:rPr>
        <w:t>E.</w:t>
      </w:r>
      <w:r>
        <w:rPr>
          <w:spacing w:val="-6"/>
          <w:sz w:val="19"/>
        </w:rPr>
        <w:t> </w:t>
      </w:r>
      <w:r>
        <w:rPr>
          <w:sz w:val="19"/>
        </w:rPr>
        <w:t>A. J. Honigmann, Arden</w:t>
      </w:r>
      <w:r>
        <w:rPr>
          <w:spacing w:val="40"/>
          <w:sz w:val="19"/>
        </w:rPr>
        <w:t> </w:t>
      </w:r>
      <w:r>
        <w:rPr>
          <w:sz w:val="19"/>
        </w:rPr>
        <w:t>Shakespeare,</w:t>
      </w:r>
      <w:r>
        <w:rPr>
          <w:spacing w:val="40"/>
          <w:sz w:val="19"/>
        </w:rPr>
        <w:t> </w:t>
      </w:r>
      <w:r>
        <w:rPr>
          <w:sz w:val="19"/>
        </w:rPr>
        <w:t>1954.</w:t>
      </w:r>
    </w:p>
    <w:p>
      <w:pPr>
        <w:pStyle w:val="ListParagraph"/>
        <w:numPr>
          <w:ilvl w:val="0"/>
          <w:numId w:val="23"/>
        </w:numPr>
        <w:tabs>
          <w:tab w:pos="2157" w:val="left" w:leader="none"/>
          <w:tab w:pos="2160" w:val="left" w:leader="none"/>
        </w:tabs>
        <w:spacing w:line="271" w:lineRule="auto" w:before="60" w:after="0"/>
        <w:ind w:left="2160" w:right="1442" w:hanging="406"/>
        <w:jc w:val="left"/>
        <w:rPr>
          <w:sz w:val="19"/>
        </w:rPr>
      </w:pPr>
      <w:r>
        <w:rPr>
          <w:sz w:val="19"/>
        </w:rPr>
        <w:t>Shakespeare, William.</w:t>
      </w:r>
      <w:r>
        <w:rPr>
          <w:spacing w:val="20"/>
          <w:sz w:val="19"/>
        </w:rPr>
        <w:t> </w:t>
      </w:r>
      <w:r>
        <w:rPr>
          <w:sz w:val="19"/>
        </w:rPr>
        <w:t>Richard</w:t>
      </w:r>
      <w:r>
        <w:rPr>
          <w:spacing w:val="20"/>
          <w:sz w:val="19"/>
        </w:rPr>
        <w:t> </w:t>
      </w:r>
      <w:r>
        <w:rPr>
          <w:sz w:val="19"/>
        </w:rPr>
        <w:t>III. Edited</w:t>
      </w:r>
      <w:r>
        <w:rPr>
          <w:spacing w:val="22"/>
          <w:sz w:val="19"/>
        </w:rPr>
        <w:t> </w:t>
      </w:r>
      <w:r>
        <w:rPr>
          <w:sz w:val="19"/>
        </w:rPr>
        <w:t>by James R.</w:t>
      </w:r>
      <w:r>
        <w:rPr>
          <w:spacing w:val="24"/>
          <w:sz w:val="19"/>
        </w:rPr>
        <w:t> </w:t>
      </w:r>
      <w:r>
        <w:rPr>
          <w:sz w:val="19"/>
        </w:rPr>
        <w:t>Siemon, Arden</w:t>
      </w:r>
      <w:r>
        <w:rPr>
          <w:spacing w:val="40"/>
          <w:sz w:val="19"/>
        </w:rPr>
        <w:t> </w:t>
      </w:r>
      <w:r>
        <w:rPr>
          <w:sz w:val="19"/>
        </w:rPr>
        <w:t>Shakespeare,</w:t>
      </w:r>
      <w:r>
        <w:rPr>
          <w:spacing w:val="40"/>
          <w:sz w:val="19"/>
        </w:rPr>
        <w:t> </w:t>
      </w:r>
      <w:r>
        <w:rPr>
          <w:sz w:val="19"/>
        </w:rPr>
        <w:t>2009.</w:t>
      </w:r>
    </w:p>
    <w:p>
      <w:pPr>
        <w:pStyle w:val="ListParagraph"/>
        <w:numPr>
          <w:ilvl w:val="0"/>
          <w:numId w:val="23"/>
        </w:numPr>
        <w:tabs>
          <w:tab w:pos="2157" w:val="left" w:leader="none"/>
          <w:tab w:pos="2160" w:val="left" w:leader="none"/>
        </w:tabs>
        <w:spacing w:line="273" w:lineRule="auto" w:before="58" w:after="0"/>
        <w:ind w:left="2160" w:right="1444" w:hanging="406"/>
        <w:jc w:val="left"/>
        <w:rPr>
          <w:sz w:val="19"/>
        </w:rPr>
      </w:pPr>
      <w:r>
        <w:rPr>
          <w:sz w:val="19"/>
        </w:rPr>
        <w:t>Shakespeare,</w:t>
      </w:r>
      <w:r>
        <w:rPr>
          <w:spacing w:val="-10"/>
          <w:sz w:val="19"/>
        </w:rPr>
        <w:t> </w:t>
      </w:r>
      <w:r>
        <w:rPr>
          <w:sz w:val="19"/>
        </w:rPr>
        <w:t>William.</w:t>
      </w:r>
      <w:r>
        <w:rPr>
          <w:spacing w:val="-6"/>
          <w:sz w:val="19"/>
        </w:rPr>
        <w:t> </w:t>
      </w:r>
      <w:r>
        <w:rPr>
          <w:sz w:val="19"/>
        </w:rPr>
        <w:t>The</w:t>
      </w:r>
      <w:r>
        <w:rPr>
          <w:spacing w:val="-7"/>
          <w:sz w:val="19"/>
        </w:rPr>
        <w:t> </w:t>
      </w:r>
      <w:r>
        <w:rPr>
          <w:sz w:val="19"/>
        </w:rPr>
        <w:t>Riverside</w:t>
      </w:r>
      <w:r>
        <w:rPr>
          <w:spacing w:val="-6"/>
          <w:sz w:val="19"/>
        </w:rPr>
        <w:t> </w:t>
      </w:r>
      <w:r>
        <w:rPr>
          <w:sz w:val="19"/>
        </w:rPr>
        <w:t>Shakespeare.</w:t>
      </w:r>
      <w:r>
        <w:rPr>
          <w:spacing w:val="-8"/>
          <w:sz w:val="19"/>
        </w:rPr>
        <w:t> </w:t>
      </w:r>
      <w:r>
        <w:rPr>
          <w:sz w:val="19"/>
        </w:rPr>
        <w:t>2nd</w:t>
      </w:r>
      <w:r>
        <w:rPr>
          <w:spacing w:val="-3"/>
          <w:sz w:val="19"/>
        </w:rPr>
        <w:t> </w:t>
      </w:r>
      <w:r>
        <w:rPr>
          <w:sz w:val="19"/>
        </w:rPr>
        <w:t>ed.,</w:t>
      </w:r>
      <w:r>
        <w:rPr>
          <w:spacing w:val="-8"/>
          <w:sz w:val="19"/>
        </w:rPr>
        <w:t> </w:t>
      </w:r>
      <w:r>
        <w:rPr>
          <w:sz w:val="19"/>
        </w:rPr>
        <w:t>edited by</w:t>
      </w:r>
      <w:r>
        <w:rPr>
          <w:spacing w:val="40"/>
          <w:sz w:val="19"/>
        </w:rPr>
        <w:t> </w:t>
      </w:r>
      <w:r>
        <w:rPr>
          <w:sz w:val="19"/>
        </w:rPr>
        <w:t>G.</w:t>
      </w:r>
      <w:r>
        <w:rPr>
          <w:spacing w:val="40"/>
          <w:sz w:val="19"/>
        </w:rPr>
        <w:t> </w:t>
      </w:r>
      <w:r>
        <w:rPr>
          <w:sz w:val="19"/>
        </w:rPr>
        <w:t>Blakemore</w:t>
      </w:r>
      <w:r>
        <w:rPr>
          <w:spacing w:val="40"/>
          <w:sz w:val="19"/>
        </w:rPr>
        <w:t> </w:t>
      </w:r>
      <w:r>
        <w:rPr>
          <w:sz w:val="19"/>
        </w:rPr>
        <w:t>Evans</w:t>
      </w:r>
      <w:r>
        <w:rPr>
          <w:spacing w:val="40"/>
          <w:sz w:val="19"/>
        </w:rPr>
        <w:t> </w:t>
      </w:r>
      <w:r>
        <w:rPr>
          <w:sz w:val="19"/>
        </w:rPr>
        <w:t>et</w:t>
      </w:r>
      <w:r>
        <w:rPr>
          <w:spacing w:val="40"/>
          <w:sz w:val="19"/>
        </w:rPr>
        <w:t> </w:t>
      </w:r>
      <w:r>
        <w:rPr>
          <w:sz w:val="19"/>
        </w:rPr>
        <w:t>al.,</w:t>
      </w:r>
      <w:r>
        <w:rPr>
          <w:spacing w:val="40"/>
          <w:sz w:val="19"/>
        </w:rPr>
        <w:t> </w:t>
      </w:r>
      <w:r>
        <w:rPr>
          <w:sz w:val="19"/>
        </w:rPr>
        <w:t>Houghton</w:t>
      </w:r>
      <w:r>
        <w:rPr>
          <w:spacing w:val="40"/>
          <w:sz w:val="19"/>
        </w:rPr>
        <w:t> </w:t>
      </w:r>
      <w:r>
        <w:rPr>
          <w:sz w:val="19"/>
        </w:rPr>
        <w:t>Mifflin,</w:t>
      </w:r>
      <w:r>
        <w:rPr>
          <w:spacing w:val="40"/>
          <w:sz w:val="19"/>
        </w:rPr>
        <w:t> </w:t>
      </w:r>
      <w:r>
        <w:rPr>
          <w:sz w:val="19"/>
        </w:rPr>
        <w:t>1997.</w:t>
      </w:r>
    </w:p>
    <w:p>
      <w:pPr>
        <w:pStyle w:val="ListParagraph"/>
        <w:spacing w:after="0" w:line="273" w:lineRule="auto"/>
        <w:jc w:val="left"/>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86656">
                <wp:simplePos x="0" y="0"/>
                <wp:positionH relativeFrom="page">
                  <wp:posOffset>2057400</wp:posOffset>
                </wp:positionH>
                <wp:positionV relativeFrom="paragraph">
                  <wp:posOffset>162604</wp:posOffset>
                </wp:positionV>
                <wp:extent cx="3657600" cy="12700"/>
                <wp:effectExtent l="0" t="0" r="0" b="0"/>
                <wp:wrapTopAndBottom/>
                <wp:docPr id="319" name="Graphic 319"/>
                <wp:cNvGraphicFramePr>
                  <a:graphicFrameLocks/>
                </wp:cNvGraphicFramePr>
                <a:graphic>
                  <a:graphicData uri="http://schemas.microsoft.com/office/word/2010/wordprocessingShape">
                    <wps:wsp>
                      <wps:cNvPr id="319" name="Graphic 31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29824;mso-wrap-distance-left:0;mso-wrap-distance-right:0" id="docshape315" filled="true" fillcolor="#000000" stroked="false">
                <v:fill type="solid"/>
                <w10:wrap type="topAndBottom"/>
              </v:rect>
            </w:pict>
          </mc:Fallback>
        </mc:AlternateContent>
      </w:r>
      <w:r>
        <w:rPr>
          <w:rFonts w:ascii="Verdana"/>
          <w:spacing w:val="-5"/>
          <w:sz w:val="18"/>
        </w:rPr>
        <w:t>112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23"/>
        </w:numPr>
        <w:tabs>
          <w:tab w:pos="2157" w:val="left" w:leader="none"/>
          <w:tab w:pos="2160" w:val="left" w:leader="none"/>
        </w:tabs>
        <w:spacing w:line="273" w:lineRule="auto" w:before="206" w:after="0"/>
        <w:ind w:left="2160" w:right="1439" w:hanging="406"/>
        <w:jc w:val="both"/>
        <w:rPr>
          <w:sz w:val="19"/>
        </w:rPr>
      </w:pPr>
      <w:r>
        <w:rPr>
          <w:spacing w:val="12"/>
          <w:sz w:val="19"/>
        </w:rPr>
        <w:t>Sloan-</w:t>
      </w:r>
      <w:r>
        <w:rPr>
          <w:spacing w:val="9"/>
          <w:sz w:val="19"/>
        </w:rPr>
        <w:t>Pace,</w:t>
      </w:r>
      <w:r>
        <w:rPr>
          <w:spacing w:val="9"/>
          <w:sz w:val="19"/>
        </w:rPr>
        <w:t> </w:t>
      </w:r>
      <w:r>
        <w:rPr>
          <w:sz w:val="19"/>
        </w:rPr>
        <w:t>Emily. </w:t>
      </w:r>
      <w:r>
        <w:rPr>
          <w:spacing w:val="10"/>
          <w:sz w:val="19"/>
        </w:rPr>
        <w:t>Articulating</w:t>
      </w:r>
      <w:r>
        <w:rPr>
          <w:spacing w:val="10"/>
          <w:sz w:val="19"/>
        </w:rPr>
        <w:t> </w:t>
      </w:r>
      <w:r>
        <w:rPr>
          <w:sz w:val="19"/>
        </w:rPr>
        <w:t>Agency: Women in Shakespeare’s</w:t>
      </w:r>
      <w:r>
        <w:rPr>
          <w:spacing w:val="-2"/>
          <w:sz w:val="19"/>
        </w:rPr>
        <w:t> </w:t>
      </w:r>
      <w:r>
        <w:rPr>
          <w:sz w:val="19"/>
        </w:rPr>
        <w:t>History</w:t>
      </w:r>
      <w:r>
        <w:rPr>
          <w:spacing w:val="-9"/>
          <w:sz w:val="19"/>
        </w:rPr>
        <w:t> </w:t>
      </w:r>
      <w:r>
        <w:rPr>
          <w:sz w:val="19"/>
        </w:rPr>
        <w:t>Plays.</w:t>
      </w:r>
      <w:r>
        <w:rPr>
          <w:spacing w:val="-2"/>
          <w:sz w:val="19"/>
        </w:rPr>
        <w:t> </w:t>
      </w:r>
      <w:r>
        <w:rPr>
          <w:sz w:val="19"/>
        </w:rPr>
        <w:t>2012.</w:t>
      </w:r>
      <w:r>
        <w:rPr>
          <w:spacing w:val="-3"/>
          <w:sz w:val="19"/>
        </w:rPr>
        <w:t> </w:t>
      </w:r>
      <w:r>
        <w:rPr>
          <w:sz w:val="19"/>
        </w:rPr>
        <w:t>U</w:t>
      </w:r>
      <w:r>
        <w:rPr>
          <w:spacing w:val="-2"/>
          <w:sz w:val="19"/>
        </w:rPr>
        <w:t> </w:t>
      </w:r>
      <w:r>
        <w:rPr>
          <w:sz w:val="19"/>
        </w:rPr>
        <w:t>of</w:t>
      </w:r>
      <w:r>
        <w:rPr>
          <w:spacing w:val="-2"/>
          <w:sz w:val="19"/>
        </w:rPr>
        <w:t> </w:t>
      </w:r>
      <w:r>
        <w:rPr>
          <w:sz w:val="19"/>
        </w:rPr>
        <w:t>California,</w:t>
      </w:r>
      <w:r>
        <w:rPr>
          <w:spacing w:val="-2"/>
          <w:sz w:val="19"/>
        </w:rPr>
        <w:t> </w:t>
      </w:r>
      <w:r>
        <w:rPr>
          <w:sz w:val="19"/>
        </w:rPr>
        <w:t>eScholarship, </w:t>
      </w:r>
      <w:r>
        <w:rPr>
          <w:spacing w:val="-2"/>
          <w:sz w:val="19"/>
        </w:rPr>
        <w:t>escholarship.org/uc/item/4736t1dc.</w:t>
      </w:r>
    </w:p>
    <w:p>
      <w:pPr>
        <w:pStyle w:val="ListParagraph"/>
        <w:numPr>
          <w:ilvl w:val="0"/>
          <w:numId w:val="23"/>
        </w:numPr>
        <w:tabs>
          <w:tab w:pos="2157" w:val="left" w:leader="none"/>
          <w:tab w:pos="2160" w:val="left" w:leader="none"/>
        </w:tabs>
        <w:spacing w:line="261" w:lineRule="auto" w:before="48" w:after="0"/>
        <w:ind w:left="2160" w:right="1444" w:hanging="406"/>
        <w:jc w:val="both"/>
        <w:rPr>
          <w:sz w:val="19"/>
        </w:rPr>
      </w:pPr>
      <w:r>
        <w:rPr>
          <w:sz w:val="19"/>
        </w:rPr>
        <w:t>Traub, Valerie. “Jewels, Statues, and Corpses: Female Death in Shakespeare’s</w:t>
      </w:r>
      <w:r>
        <w:rPr>
          <w:spacing w:val="40"/>
          <w:sz w:val="19"/>
        </w:rPr>
        <w:t> </w:t>
      </w:r>
      <w:r>
        <w:rPr>
          <w:sz w:val="19"/>
        </w:rPr>
        <w:t>Histories.”</w:t>
      </w:r>
      <w:r>
        <w:rPr>
          <w:spacing w:val="40"/>
          <w:sz w:val="19"/>
        </w:rPr>
        <w:t> </w:t>
      </w:r>
      <w:r>
        <w:rPr>
          <w:sz w:val="19"/>
        </w:rPr>
        <w:t>Shakespeare</w:t>
      </w:r>
      <w:r>
        <w:rPr>
          <w:spacing w:val="40"/>
          <w:sz w:val="19"/>
        </w:rPr>
        <w:t> </w:t>
      </w:r>
      <w:r>
        <w:rPr>
          <w:sz w:val="19"/>
        </w:rPr>
        <w:t>Studies,</w:t>
      </w:r>
      <w:r>
        <w:rPr>
          <w:spacing w:val="40"/>
          <w:sz w:val="19"/>
        </w:rPr>
        <w:t> </w:t>
      </w:r>
      <w:r>
        <w:rPr>
          <w:sz w:val="19"/>
        </w:rPr>
        <w:t>vol.</w:t>
      </w:r>
      <w:r>
        <w:rPr>
          <w:spacing w:val="40"/>
          <w:sz w:val="19"/>
        </w:rPr>
        <w:t> </w:t>
      </w:r>
      <w:r>
        <w:rPr>
          <w:sz w:val="19"/>
        </w:rPr>
        <w:t>31,</w:t>
      </w:r>
      <w:r>
        <w:rPr>
          <w:spacing w:val="40"/>
          <w:sz w:val="19"/>
        </w:rPr>
        <w:t> </w:t>
      </w:r>
      <w:r>
        <w:rPr>
          <w:sz w:val="19"/>
        </w:rPr>
        <w:t>2003.</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51840">
                <wp:simplePos x="0" y="0"/>
                <wp:positionH relativeFrom="page">
                  <wp:posOffset>2057400</wp:posOffset>
                </wp:positionH>
                <wp:positionV relativeFrom="page">
                  <wp:posOffset>1788723</wp:posOffset>
                </wp:positionV>
                <wp:extent cx="3655060" cy="140335"/>
                <wp:effectExtent l="0" t="0" r="0" b="0"/>
                <wp:wrapNone/>
                <wp:docPr id="320" name="Textbox 320"/>
                <wp:cNvGraphicFramePr>
                  <a:graphicFrameLocks/>
                </wp:cNvGraphicFramePr>
                <a:graphic>
                  <a:graphicData uri="http://schemas.microsoft.com/office/word/2010/wordprocessingShape">
                    <wps:wsp>
                      <wps:cNvPr id="320" name="Textbox 320"/>
                      <wps:cNvSpPr txBox="1"/>
                      <wps:spPr>
                        <a:xfrm>
                          <a:off x="0" y="0"/>
                          <a:ext cx="3655060" cy="140335"/>
                        </a:xfrm>
                        <a:prstGeom prst="rect">
                          <a:avLst/>
                        </a:prstGeom>
                      </wps:spPr>
                      <wps:txbx>
                        <w:txbxContent>
                          <w:p>
                            <w:pPr>
                              <w:tabs>
                                <w:tab w:pos="5755" w:val="right" w:leader="none"/>
                              </w:tabs>
                              <w:spacing w:line="219" w:lineRule="exact" w:before="0"/>
                              <w:ind w:left="0" w:right="0" w:firstLine="0"/>
                              <w:jc w:val="left"/>
                              <w:rPr>
                                <w:rFonts w:ascii="Verdana"/>
                                <w:sz w:val="18"/>
                              </w:rPr>
                            </w:pPr>
                            <w:r>
                              <w:rPr>
                                <w:rFonts w:ascii="Verdana"/>
                                <w:spacing w:val="-2"/>
                                <w:sz w:val="18"/>
                              </w:rPr>
                              <w:t>Silence,</w:t>
                            </w:r>
                            <w:r>
                              <w:rPr>
                                <w:rFonts w:ascii="Verdana"/>
                                <w:spacing w:val="5"/>
                                <w:sz w:val="18"/>
                              </w:rPr>
                              <w:t> </w:t>
                            </w:r>
                            <w:r>
                              <w:rPr>
                                <w:rFonts w:ascii="Verdana"/>
                                <w:spacing w:val="-2"/>
                                <w:sz w:val="18"/>
                              </w:rPr>
                              <w:t>Speech,</w:t>
                            </w:r>
                            <w:r>
                              <w:rPr>
                                <w:rFonts w:ascii="Verdana"/>
                                <w:spacing w:val="6"/>
                                <w:sz w:val="18"/>
                              </w:rPr>
                              <w:t> </w:t>
                            </w:r>
                            <w:r>
                              <w:rPr>
                                <w:rFonts w:ascii="Verdana"/>
                                <w:spacing w:val="-2"/>
                                <w:sz w:val="18"/>
                              </w:rPr>
                              <w:t>and</w:t>
                            </w:r>
                            <w:r>
                              <w:rPr>
                                <w:rFonts w:ascii="Verdana"/>
                                <w:spacing w:val="6"/>
                                <w:sz w:val="18"/>
                              </w:rPr>
                              <w:t> </w:t>
                            </w:r>
                            <w:r>
                              <w:rPr>
                                <w:rFonts w:ascii="Verdana"/>
                                <w:spacing w:val="-2"/>
                                <w:sz w:val="18"/>
                              </w:rPr>
                              <w:t>Sovereignty:</w:t>
                            </w:r>
                            <w:r>
                              <w:rPr>
                                <w:rFonts w:ascii="Verdana"/>
                                <w:spacing w:val="6"/>
                                <w:sz w:val="18"/>
                              </w:rPr>
                              <w:t> </w:t>
                            </w:r>
                            <w:r>
                              <w:rPr>
                                <w:rFonts w:ascii="Verdana"/>
                                <w:spacing w:val="-2"/>
                                <w:sz w:val="18"/>
                              </w:rPr>
                              <w:t>Re-examining...</w:t>
                            </w:r>
                            <w:r>
                              <w:rPr>
                                <w:sz w:val="18"/>
                              </w:rPr>
                              <w:tab/>
                            </w:r>
                            <w:r>
                              <w:rPr>
                                <w:rFonts w:ascii="Verdana"/>
                                <w:spacing w:val="-5"/>
                                <w:sz w:val="18"/>
                              </w:rPr>
                              <w:t>113</w:t>
                            </w:r>
                          </w:p>
                        </w:txbxContent>
                      </wps:txbx>
                      <wps:bodyPr wrap="square" lIns="0" tIns="0" rIns="0" bIns="0" rtlCol="0">
                        <a:noAutofit/>
                      </wps:bodyPr>
                    </wps:wsp>
                  </a:graphicData>
                </a:graphic>
              </wp:anchor>
            </w:drawing>
          </mc:Choice>
          <mc:Fallback>
            <w:pict>
              <v:shape style="position:absolute;margin-left:162pt;margin-top:140.844391pt;width:287.8pt;height:11.05pt;mso-position-horizontal-relative:page;mso-position-vertical-relative:page;z-index:-20464640" type="#_x0000_t202" id="docshape316" filled="false" stroked="false">
                <v:textbox inset="0,0,0,0">
                  <w:txbxContent>
                    <w:p>
                      <w:pPr>
                        <w:tabs>
                          <w:tab w:pos="5755" w:val="right" w:leader="none"/>
                        </w:tabs>
                        <w:spacing w:line="219" w:lineRule="exact" w:before="0"/>
                        <w:ind w:left="0" w:right="0" w:firstLine="0"/>
                        <w:jc w:val="left"/>
                        <w:rPr>
                          <w:rFonts w:ascii="Verdana"/>
                          <w:sz w:val="18"/>
                        </w:rPr>
                      </w:pPr>
                      <w:r>
                        <w:rPr>
                          <w:rFonts w:ascii="Verdana"/>
                          <w:spacing w:val="-2"/>
                          <w:sz w:val="18"/>
                        </w:rPr>
                        <w:t>Silence,</w:t>
                      </w:r>
                      <w:r>
                        <w:rPr>
                          <w:rFonts w:ascii="Verdana"/>
                          <w:spacing w:val="5"/>
                          <w:sz w:val="18"/>
                        </w:rPr>
                        <w:t> </w:t>
                      </w:r>
                      <w:r>
                        <w:rPr>
                          <w:rFonts w:ascii="Verdana"/>
                          <w:spacing w:val="-2"/>
                          <w:sz w:val="18"/>
                        </w:rPr>
                        <w:t>Speech,</w:t>
                      </w:r>
                      <w:r>
                        <w:rPr>
                          <w:rFonts w:ascii="Verdana"/>
                          <w:spacing w:val="6"/>
                          <w:sz w:val="18"/>
                        </w:rPr>
                        <w:t> </w:t>
                      </w:r>
                      <w:r>
                        <w:rPr>
                          <w:rFonts w:ascii="Verdana"/>
                          <w:spacing w:val="-2"/>
                          <w:sz w:val="18"/>
                        </w:rPr>
                        <w:t>and</w:t>
                      </w:r>
                      <w:r>
                        <w:rPr>
                          <w:rFonts w:ascii="Verdana"/>
                          <w:spacing w:val="6"/>
                          <w:sz w:val="18"/>
                        </w:rPr>
                        <w:t> </w:t>
                      </w:r>
                      <w:r>
                        <w:rPr>
                          <w:rFonts w:ascii="Verdana"/>
                          <w:spacing w:val="-2"/>
                          <w:sz w:val="18"/>
                        </w:rPr>
                        <w:t>Sovereignty:</w:t>
                      </w:r>
                      <w:r>
                        <w:rPr>
                          <w:rFonts w:ascii="Verdana"/>
                          <w:spacing w:val="6"/>
                          <w:sz w:val="18"/>
                        </w:rPr>
                        <w:t> </w:t>
                      </w:r>
                      <w:r>
                        <w:rPr>
                          <w:rFonts w:ascii="Verdana"/>
                          <w:spacing w:val="-2"/>
                          <w:sz w:val="18"/>
                        </w:rPr>
                        <w:t>Re-examining...</w:t>
                      </w:r>
                      <w:r>
                        <w:rPr>
                          <w:sz w:val="18"/>
                        </w:rPr>
                        <w:tab/>
                      </w:r>
                      <w:r>
                        <w:rPr>
                          <w:rFonts w:ascii="Verdana"/>
                          <w:spacing w:val="-5"/>
                          <w:sz w:val="18"/>
                        </w:rPr>
                        <w:t>113</w:t>
                      </w:r>
                    </w:p>
                  </w:txbxContent>
                </v:textbox>
                <w10:wrap type="none"/>
              </v:shape>
            </w:pict>
          </mc:Fallback>
        </mc:AlternateContent>
      </w:r>
    </w:p>
    <w:p>
      <w:pPr>
        <w:pStyle w:val="BodyText"/>
        <w:spacing w:before="228"/>
        <w:ind w:left="0"/>
      </w:pPr>
    </w:p>
    <w:p>
      <w:pPr>
        <w:spacing w:line="240" w:lineRule="auto"/>
        <w:ind w:left="1135" w:right="0" w:firstLine="0"/>
        <w:rPr>
          <w:sz w:val="20"/>
        </w:rPr>
      </w:pPr>
      <w:r>
        <w:rPr>
          <w:sz w:val="20"/>
        </w:rPr>
        <mc:AlternateContent>
          <mc:Choice Requires="wps">
            <w:drawing>
              <wp:inline distT="0" distB="0" distL="0" distR="0">
                <wp:extent cx="4043679" cy="699770"/>
                <wp:effectExtent l="0" t="0" r="0" b="0"/>
                <wp:docPr id="321" name="Group 321"/>
                <wp:cNvGraphicFramePr>
                  <a:graphicFrameLocks/>
                </wp:cNvGraphicFramePr>
                <a:graphic>
                  <a:graphicData uri="http://schemas.microsoft.com/office/word/2010/wordprocessingGroup">
                    <wpg:wgp>
                      <wpg:cNvPr id="321" name="Group 321"/>
                      <wpg:cNvGrpSpPr/>
                      <wpg:grpSpPr>
                        <a:xfrm>
                          <a:off x="0" y="0"/>
                          <a:ext cx="4043679" cy="699770"/>
                          <a:chExt cx="4043679" cy="699770"/>
                        </a:xfrm>
                      </wpg:grpSpPr>
                      <wps:wsp>
                        <wps:cNvPr id="322" name="Graphic 322"/>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317" coordorigin="0,0" coordsize="6368,1102">
                <v:rect style="position:absolute;left:0;top:0;width:6368;height:1102" id="docshape318"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87680">
                <wp:simplePos x="0" y="0"/>
                <wp:positionH relativeFrom="page">
                  <wp:posOffset>3532632</wp:posOffset>
                </wp:positionH>
                <wp:positionV relativeFrom="paragraph">
                  <wp:posOffset>272923</wp:posOffset>
                </wp:positionV>
                <wp:extent cx="727075" cy="655320"/>
                <wp:effectExtent l="0" t="0" r="0" b="0"/>
                <wp:wrapTopAndBottom/>
                <wp:docPr id="323" name="Group 323"/>
                <wp:cNvGraphicFramePr>
                  <a:graphicFrameLocks/>
                </wp:cNvGraphicFramePr>
                <a:graphic>
                  <a:graphicData uri="http://schemas.microsoft.com/office/word/2010/wordprocessingGroup">
                    <wpg:wgp>
                      <wpg:cNvPr id="323" name="Group 323"/>
                      <wpg:cNvGrpSpPr/>
                      <wpg:grpSpPr>
                        <a:xfrm>
                          <a:off x="0" y="0"/>
                          <a:ext cx="727075" cy="655320"/>
                          <a:chExt cx="727075" cy="655320"/>
                        </a:xfrm>
                      </wpg:grpSpPr>
                      <pic:pic>
                        <pic:nvPicPr>
                          <pic:cNvPr id="324" name="Image 324"/>
                          <pic:cNvPicPr/>
                        </pic:nvPicPr>
                        <pic:blipFill>
                          <a:blip r:embed="rId92" cstate="print"/>
                          <a:stretch>
                            <a:fillRect/>
                          </a:stretch>
                        </pic:blipFill>
                        <pic:spPr>
                          <a:xfrm>
                            <a:off x="0" y="0"/>
                            <a:ext cx="726948" cy="655320"/>
                          </a:xfrm>
                          <a:prstGeom prst="rect">
                            <a:avLst/>
                          </a:prstGeom>
                        </pic:spPr>
                      </pic:pic>
                      <wps:wsp>
                        <wps:cNvPr id="325" name="Textbox 325"/>
                        <wps:cNvSpPr txBox="1"/>
                        <wps:spPr>
                          <a:xfrm>
                            <a:off x="0" y="0"/>
                            <a:ext cx="727075" cy="655320"/>
                          </a:xfrm>
                          <a:prstGeom prst="rect">
                            <a:avLst/>
                          </a:prstGeom>
                        </wps:spPr>
                        <wps:txbx>
                          <w:txbxContent>
                            <w:p>
                              <w:pPr>
                                <w:spacing w:before="364"/>
                                <w:ind w:left="362" w:right="0" w:firstLine="0"/>
                                <w:jc w:val="left"/>
                                <w:rPr>
                                  <w:rFonts w:ascii="Tahoma"/>
                                  <w:b/>
                                  <w:sz w:val="36"/>
                                </w:rPr>
                              </w:pPr>
                              <w:r>
                                <w:rPr>
                                  <w:rFonts w:ascii="Tahoma"/>
                                  <w:b/>
                                  <w:spacing w:val="-5"/>
                                  <w:w w:val="95"/>
                                  <w:sz w:val="36"/>
                                </w:rPr>
                                <w:t>12</w:t>
                              </w:r>
                            </w:p>
                          </w:txbxContent>
                        </wps:txbx>
                        <wps:bodyPr wrap="square" lIns="0" tIns="0" rIns="0" bIns="0" rtlCol="0">
                          <a:noAutofit/>
                        </wps:bodyPr>
                      </wps:wsp>
                    </wpg:wgp>
                  </a:graphicData>
                </a:graphic>
              </wp:anchor>
            </w:drawing>
          </mc:Choice>
          <mc:Fallback>
            <w:pict>
              <v:group style="position:absolute;margin-left:278.160004pt;margin-top:21.490004pt;width:57.25pt;height:51.6pt;mso-position-horizontal-relative:page;mso-position-vertical-relative:paragraph;z-index:-15628800;mso-wrap-distance-left:0;mso-wrap-distance-right:0" id="docshapegroup319" coordorigin="5563,430" coordsize="1145,1032">
                <v:shape style="position:absolute;left:5563;top:429;width:1145;height:1032" type="#_x0000_t75" id="docshape320" stroked="false">
                  <v:imagedata r:id="rId92" o:title=""/>
                </v:shape>
                <v:shape style="position:absolute;left:5563;top:429;width:1145;height:1032" type="#_x0000_t202" id="docshape321" filled="false" stroked="false">
                  <v:textbox inset="0,0,0,0">
                    <w:txbxContent>
                      <w:p>
                        <w:pPr>
                          <w:spacing w:before="364"/>
                          <w:ind w:left="362" w:right="0" w:firstLine="0"/>
                          <w:jc w:val="left"/>
                          <w:rPr>
                            <w:rFonts w:ascii="Tahoma"/>
                            <w:b/>
                            <w:sz w:val="36"/>
                          </w:rPr>
                        </w:pPr>
                        <w:r>
                          <w:rPr>
                            <w:rFonts w:ascii="Tahoma"/>
                            <w:b/>
                            <w:spacing w:val="-5"/>
                            <w:w w:val="95"/>
                            <w:sz w:val="36"/>
                          </w:rPr>
                          <w:t>12</w:t>
                        </w:r>
                      </w:p>
                    </w:txbxContent>
                  </v:textbox>
                  <w10:wrap type="none"/>
                </v:shape>
                <w10:wrap type="topAndBottom"/>
              </v:group>
            </w:pict>
          </mc:Fallback>
        </mc:AlternateContent>
      </w:r>
    </w:p>
    <w:p>
      <w:pPr>
        <w:pStyle w:val="Heading1"/>
        <w:spacing w:line="211" w:lineRule="auto" w:before="18"/>
        <w:ind w:left="1658" w:right="1662"/>
      </w:pPr>
      <w:r>
        <w:rPr>
          <w:spacing w:val="-2"/>
        </w:rPr>
        <w:t>Silence,</w:t>
      </w:r>
      <w:r>
        <w:rPr>
          <w:spacing w:val="-22"/>
        </w:rPr>
        <w:t> </w:t>
      </w:r>
      <w:r>
        <w:rPr>
          <w:spacing w:val="-2"/>
        </w:rPr>
        <w:t>Speech,</w:t>
      </w:r>
      <w:r>
        <w:rPr>
          <w:spacing w:val="-21"/>
        </w:rPr>
        <w:t> </w:t>
      </w:r>
      <w:r>
        <w:rPr>
          <w:spacing w:val="-2"/>
        </w:rPr>
        <w:t>and</w:t>
      </w:r>
      <w:r>
        <w:rPr>
          <w:spacing w:val="-22"/>
        </w:rPr>
        <w:t> </w:t>
      </w:r>
      <w:r>
        <w:rPr>
          <w:spacing w:val="-2"/>
        </w:rPr>
        <w:t>Sovereignty: </w:t>
      </w:r>
      <w:r>
        <w:rPr/>
        <w:t>Re-examining</w:t>
      </w:r>
      <w:r>
        <w:rPr>
          <w:spacing w:val="-2"/>
        </w:rPr>
        <w:t> </w:t>
      </w:r>
      <w:r>
        <w:rPr/>
        <w:t>Shakespeare’s</w:t>
      </w:r>
    </w:p>
    <w:p>
      <w:pPr>
        <w:spacing w:line="350" w:lineRule="exact" w:before="0"/>
        <w:ind w:left="0" w:right="0" w:firstLine="0"/>
        <w:jc w:val="center"/>
        <w:rPr>
          <w:rFonts w:ascii="Tahoma"/>
          <w:b/>
          <w:sz w:val="32"/>
        </w:rPr>
      </w:pPr>
      <w:r>
        <w:rPr>
          <w:rFonts w:ascii="Tahoma"/>
          <w:b/>
          <w:spacing w:val="-4"/>
          <w:sz w:val="32"/>
          <w:u w:val="single"/>
        </w:rPr>
        <w:t> </w:t>
      </w:r>
      <w:r>
        <w:rPr>
          <w:rFonts w:ascii="Tahoma"/>
          <w:b/>
          <w:spacing w:val="-2"/>
          <w:sz w:val="32"/>
          <w:u w:val="single"/>
        </w:rPr>
        <w:t>Women</w:t>
      </w:r>
      <w:r>
        <w:rPr>
          <w:rFonts w:ascii="Tahoma"/>
          <w:b/>
          <w:spacing w:val="-6"/>
          <w:sz w:val="32"/>
          <w:u w:val="single"/>
        </w:rPr>
        <w:t> </w:t>
      </w:r>
      <w:r>
        <w:rPr>
          <w:rFonts w:ascii="Tahoma"/>
          <w:b/>
          <w:spacing w:val="-2"/>
          <w:sz w:val="32"/>
          <w:u w:val="single"/>
        </w:rPr>
        <w:t>through</w:t>
      </w:r>
      <w:r>
        <w:rPr>
          <w:rFonts w:ascii="Tahoma"/>
          <w:b/>
          <w:spacing w:val="-9"/>
          <w:sz w:val="32"/>
          <w:u w:val="single"/>
        </w:rPr>
        <w:t> </w:t>
      </w:r>
      <w:r>
        <w:rPr>
          <w:rFonts w:ascii="Tahoma"/>
          <w:b/>
          <w:spacing w:val="-2"/>
          <w:sz w:val="32"/>
          <w:u w:val="single"/>
        </w:rPr>
        <w:t>the</w:t>
      </w:r>
      <w:r>
        <w:rPr>
          <w:rFonts w:ascii="Tahoma"/>
          <w:b/>
          <w:spacing w:val="-8"/>
          <w:sz w:val="32"/>
          <w:u w:val="single"/>
        </w:rPr>
        <w:t> </w:t>
      </w:r>
      <w:r>
        <w:rPr>
          <w:rFonts w:ascii="Tahoma"/>
          <w:b/>
          <w:spacing w:val="-2"/>
          <w:sz w:val="32"/>
          <w:u w:val="single"/>
        </w:rPr>
        <w:t>#</w:t>
      </w:r>
      <w:r>
        <w:rPr>
          <w:rFonts w:ascii="Tahoma"/>
          <w:b/>
          <w:spacing w:val="-7"/>
          <w:sz w:val="32"/>
          <w:u w:val="single"/>
        </w:rPr>
        <w:t> </w:t>
      </w:r>
      <w:r>
        <w:rPr>
          <w:rFonts w:ascii="Tahoma"/>
          <w:b/>
          <w:spacing w:val="-2"/>
          <w:sz w:val="32"/>
          <w:u w:val="single"/>
        </w:rPr>
        <w:t>Me</w:t>
      </w:r>
      <w:r>
        <w:rPr>
          <w:rFonts w:ascii="Tahoma"/>
          <w:b/>
          <w:spacing w:val="-10"/>
          <w:sz w:val="32"/>
          <w:u w:val="single"/>
        </w:rPr>
        <w:t> </w:t>
      </w:r>
      <w:r>
        <w:rPr>
          <w:rFonts w:ascii="Tahoma"/>
          <w:b/>
          <w:spacing w:val="-2"/>
          <w:sz w:val="32"/>
          <w:u w:val="single"/>
        </w:rPr>
        <w:t>Too</w:t>
      </w:r>
      <w:r>
        <w:rPr>
          <w:rFonts w:ascii="Tahoma"/>
          <w:b/>
          <w:spacing w:val="-6"/>
          <w:sz w:val="32"/>
          <w:u w:val="single"/>
        </w:rPr>
        <w:t> </w:t>
      </w:r>
      <w:r>
        <w:rPr>
          <w:rFonts w:ascii="Tahoma"/>
          <w:b/>
          <w:spacing w:val="-4"/>
          <w:sz w:val="32"/>
          <w:u w:val="single"/>
        </w:rPr>
        <w:t>Lens</w:t>
      </w:r>
      <w:r>
        <w:rPr>
          <w:rFonts w:ascii="Tahoma"/>
          <w:b/>
          <w:spacing w:val="40"/>
          <w:sz w:val="32"/>
          <w:u w:val="single"/>
        </w:rPr>
        <w:t> </w:t>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688192">
                <wp:simplePos x="0" y="0"/>
                <wp:positionH relativeFrom="page">
                  <wp:posOffset>2057400</wp:posOffset>
                </wp:positionH>
                <wp:positionV relativeFrom="paragraph">
                  <wp:posOffset>60305</wp:posOffset>
                </wp:positionV>
                <wp:extent cx="3657600" cy="7620"/>
                <wp:effectExtent l="0" t="0" r="0" b="0"/>
                <wp:wrapTopAndBottom/>
                <wp:docPr id="326" name="Graphic 326"/>
                <wp:cNvGraphicFramePr>
                  <a:graphicFrameLocks/>
                </wp:cNvGraphicFramePr>
                <a:graphic>
                  <a:graphicData uri="http://schemas.microsoft.com/office/word/2010/wordprocessingShape">
                    <wps:wsp>
                      <wps:cNvPr id="326" name="Graphic 326"/>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48429pt;width:288.000009pt;height:.599991pt;mso-position-horizontal-relative:page;mso-position-vertical-relative:paragraph;z-index:-15628288;mso-wrap-distance-left:0;mso-wrap-distance-right:0" id="docshape322" filled="true" fillcolor="#000000" stroked="false">
                <v:fill type="solid"/>
                <w10:wrap type="topAndBottom"/>
              </v:rect>
            </w:pict>
          </mc:Fallback>
        </mc:AlternateContent>
      </w:r>
    </w:p>
    <w:p>
      <w:pPr>
        <w:pStyle w:val="BodyText"/>
        <w:spacing w:before="13"/>
        <w:ind w:left="0"/>
        <w:rPr>
          <w:rFonts w:ascii="Tahoma"/>
          <w:b/>
          <w:sz w:val="32"/>
        </w:rPr>
      </w:pPr>
    </w:p>
    <w:p>
      <w:pPr>
        <w:spacing w:line="252" w:lineRule="auto" w:before="0"/>
        <w:ind w:left="2145" w:right="1439" w:firstLine="3028"/>
        <w:jc w:val="right"/>
        <w:rPr>
          <w:i/>
          <w:sz w:val="19"/>
        </w:rPr>
      </w:pPr>
      <w:r>
        <w:rPr>
          <w:b/>
          <w:i/>
          <w:sz w:val="22"/>
        </w:rPr>
        <w:t>Shaik</w:t>
      </w:r>
      <w:r>
        <w:rPr>
          <w:b/>
          <w:i/>
          <w:spacing w:val="40"/>
          <w:sz w:val="22"/>
        </w:rPr>
        <w:t> </w:t>
      </w:r>
      <w:r>
        <w:rPr>
          <w:b/>
          <w:i/>
          <w:sz w:val="22"/>
        </w:rPr>
        <w:t>N</w:t>
      </w:r>
      <w:r>
        <w:rPr>
          <w:b/>
          <w:i/>
          <w:spacing w:val="38"/>
          <w:sz w:val="22"/>
        </w:rPr>
        <w:t> </w:t>
      </w:r>
      <w:r>
        <w:rPr>
          <w:b/>
          <w:i/>
          <w:sz w:val="22"/>
        </w:rPr>
        <w:t>Khajarasool </w:t>
      </w:r>
      <w:r>
        <w:rPr>
          <w:i/>
          <w:sz w:val="19"/>
        </w:rPr>
        <w:t>Research</w:t>
      </w:r>
      <w:r>
        <w:rPr>
          <w:i/>
          <w:spacing w:val="40"/>
          <w:sz w:val="19"/>
        </w:rPr>
        <w:t> </w:t>
      </w:r>
      <w:r>
        <w:rPr>
          <w:i/>
          <w:sz w:val="19"/>
        </w:rPr>
        <w:t>Scholar,</w:t>
      </w:r>
      <w:r>
        <w:rPr>
          <w:i/>
          <w:spacing w:val="40"/>
          <w:sz w:val="19"/>
        </w:rPr>
        <w:t> </w:t>
      </w:r>
      <w:r>
        <w:rPr>
          <w:i/>
          <w:sz w:val="19"/>
        </w:rPr>
        <w:t>Department</w:t>
      </w:r>
      <w:r>
        <w:rPr>
          <w:i/>
          <w:spacing w:val="40"/>
          <w:sz w:val="19"/>
        </w:rPr>
        <w:t> </w:t>
      </w:r>
      <w:r>
        <w:rPr>
          <w:i/>
          <w:sz w:val="19"/>
        </w:rPr>
        <w:t>of</w:t>
      </w:r>
      <w:r>
        <w:rPr>
          <w:i/>
          <w:spacing w:val="40"/>
          <w:sz w:val="19"/>
        </w:rPr>
        <w:t> </w:t>
      </w:r>
      <w:r>
        <w:rPr>
          <w:i/>
          <w:sz w:val="19"/>
        </w:rPr>
        <w:t>English,</w:t>
      </w:r>
      <w:r>
        <w:rPr>
          <w:i/>
          <w:spacing w:val="40"/>
          <w:sz w:val="19"/>
        </w:rPr>
        <w:t> </w:t>
      </w:r>
      <w:r>
        <w:rPr>
          <w:i/>
          <w:sz w:val="19"/>
        </w:rPr>
        <w:t>Adikavi</w:t>
      </w:r>
      <w:r>
        <w:rPr>
          <w:i/>
          <w:spacing w:val="40"/>
          <w:sz w:val="19"/>
        </w:rPr>
        <w:t> </w:t>
      </w:r>
      <w:r>
        <w:rPr>
          <w:i/>
          <w:sz w:val="19"/>
        </w:rPr>
        <w:t>Nannaya University,</w:t>
      </w:r>
      <w:r>
        <w:rPr>
          <w:i/>
          <w:spacing w:val="40"/>
          <w:sz w:val="19"/>
        </w:rPr>
        <w:t> </w:t>
      </w:r>
      <w:r>
        <w:rPr>
          <w:i/>
          <w:sz w:val="19"/>
        </w:rPr>
        <w:t>Rajamahendravaram,</w:t>
      </w:r>
      <w:r>
        <w:rPr>
          <w:i/>
          <w:spacing w:val="40"/>
          <w:sz w:val="19"/>
        </w:rPr>
        <w:t> </w:t>
      </w:r>
      <w:r>
        <w:rPr>
          <w:i/>
          <w:sz w:val="19"/>
        </w:rPr>
        <w:t>Andhra</w:t>
      </w:r>
      <w:r>
        <w:rPr>
          <w:i/>
          <w:spacing w:val="40"/>
          <w:sz w:val="19"/>
        </w:rPr>
        <w:t> </w:t>
      </w:r>
      <w:r>
        <w:rPr>
          <w:i/>
          <w:sz w:val="19"/>
        </w:rPr>
        <w:t>Pradesh,</w:t>
      </w:r>
      <w:r>
        <w:rPr>
          <w:i/>
          <w:spacing w:val="40"/>
          <w:sz w:val="19"/>
        </w:rPr>
        <w:t> </w:t>
      </w:r>
      <w:r>
        <w:rPr>
          <w:i/>
          <w:sz w:val="19"/>
        </w:rPr>
        <w:t>India</w:t>
      </w:r>
    </w:p>
    <w:p>
      <w:pPr>
        <w:pStyle w:val="BodyText"/>
        <w:spacing w:before="150"/>
        <w:ind w:left="0"/>
        <w:rPr>
          <w:i/>
          <w:sz w:val="19"/>
        </w:rPr>
      </w:pPr>
    </w:p>
    <w:p>
      <w:pPr>
        <w:pStyle w:val="Heading3"/>
        <w:spacing w:before="1"/>
      </w:pPr>
      <w:r>
        <w:rPr>
          <w:spacing w:val="-2"/>
        </w:rPr>
        <w:t>ABSTRACT</w:t>
      </w:r>
    </w:p>
    <w:p>
      <w:pPr>
        <w:pStyle w:val="BodyText"/>
        <w:spacing w:line="266" w:lineRule="auto" w:before="87"/>
        <w:ind w:right="1437" w:firstLine="432"/>
        <w:jc w:val="both"/>
      </w:pPr>
      <w:r>
        <w:rPr>
          <w:spacing w:val="-2"/>
        </w:rPr>
        <w:t>The</w:t>
      </w:r>
      <w:r>
        <w:rPr>
          <w:spacing w:val="-7"/>
        </w:rPr>
        <w:t> </w:t>
      </w:r>
      <w:r>
        <w:rPr>
          <w:spacing w:val="-2"/>
        </w:rPr>
        <w:t>global</w:t>
      </w:r>
      <w:r>
        <w:rPr>
          <w:spacing w:val="-5"/>
        </w:rPr>
        <w:t> </w:t>
      </w:r>
      <w:r>
        <w:rPr>
          <w:spacing w:val="-2"/>
        </w:rPr>
        <w:t>emergence</w:t>
      </w:r>
      <w:r>
        <w:rPr>
          <w:spacing w:val="-7"/>
        </w:rPr>
        <w:t> </w:t>
      </w:r>
      <w:r>
        <w:rPr>
          <w:spacing w:val="-2"/>
        </w:rPr>
        <w:t>of</w:t>
      </w:r>
      <w:r>
        <w:rPr>
          <w:spacing w:val="-6"/>
        </w:rPr>
        <w:t> </w:t>
      </w:r>
      <w:r>
        <w:rPr>
          <w:spacing w:val="-2"/>
        </w:rPr>
        <w:t>the</w:t>
      </w:r>
      <w:r>
        <w:rPr>
          <w:spacing w:val="-8"/>
        </w:rPr>
        <w:t> </w:t>
      </w:r>
      <w:r>
        <w:rPr>
          <w:spacing w:val="-2"/>
        </w:rPr>
        <w:t>#MeToo</w:t>
      </w:r>
      <w:r>
        <w:rPr>
          <w:spacing w:val="-4"/>
        </w:rPr>
        <w:t> </w:t>
      </w:r>
      <w:r>
        <w:rPr>
          <w:spacing w:val="-2"/>
        </w:rPr>
        <w:t>movement</w:t>
      </w:r>
      <w:r>
        <w:rPr>
          <w:spacing w:val="-6"/>
        </w:rPr>
        <w:t> </w:t>
      </w:r>
      <w:r>
        <w:rPr>
          <w:spacing w:val="-2"/>
        </w:rPr>
        <w:t>has</w:t>
      </w:r>
      <w:r>
        <w:rPr>
          <w:spacing w:val="-6"/>
        </w:rPr>
        <w:t> </w:t>
      </w:r>
      <w:r>
        <w:rPr>
          <w:spacing w:val="-2"/>
        </w:rPr>
        <w:t>fundamentally </w:t>
      </w:r>
      <w:r>
        <w:rPr/>
        <w:t>altered the critical reception of the Western literary canon, providing a radical vocabulary to address systemic power imbalances, sexual coercion, and the historic silencing of female voices. This article re-evaluates</w:t>
      </w:r>
      <w:r>
        <w:rPr>
          <w:spacing w:val="-1"/>
        </w:rPr>
        <w:t> </w:t>
      </w:r>
      <w:r>
        <w:rPr/>
        <w:t>key</w:t>
      </w:r>
      <w:r>
        <w:rPr>
          <w:spacing w:val="-1"/>
        </w:rPr>
        <w:t> </w:t>
      </w:r>
      <w:r>
        <w:rPr/>
        <w:t>female figures</w:t>
      </w:r>
      <w:r>
        <w:rPr>
          <w:spacing w:val="-3"/>
        </w:rPr>
        <w:t> </w:t>
      </w:r>
      <w:r>
        <w:rPr/>
        <w:t>in</w:t>
      </w:r>
      <w:r>
        <w:rPr>
          <w:spacing w:val="-1"/>
        </w:rPr>
        <w:t> </w:t>
      </w:r>
      <w:r>
        <w:rPr/>
        <w:t>the Shakespearean</w:t>
      </w:r>
      <w:r>
        <w:rPr>
          <w:spacing w:val="-3"/>
        </w:rPr>
        <w:t> </w:t>
      </w:r>
      <w:r>
        <w:rPr/>
        <w:t>corpus—specifically Isabella</w:t>
      </w:r>
      <w:r>
        <w:rPr>
          <w:spacing w:val="-3"/>
        </w:rPr>
        <w:t> </w:t>
      </w:r>
      <w:r>
        <w:rPr/>
        <w:t>in</w:t>
      </w:r>
      <w:r>
        <w:rPr>
          <w:spacing w:val="-5"/>
        </w:rPr>
        <w:t> </w:t>
      </w:r>
      <w:r>
        <w:rPr/>
        <w:t>Measure</w:t>
      </w:r>
      <w:r>
        <w:rPr>
          <w:spacing w:val="-4"/>
        </w:rPr>
        <w:t> </w:t>
      </w:r>
      <w:r>
        <w:rPr/>
        <w:t>for</w:t>
      </w:r>
      <w:r>
        <w:rPr>
          <w:spacing w:val="-3"/>
        </w:rPr>
        <w:t> </w:t>
      </w:r>
      <w:r>
        <w:rPr/>
        <w:t>Measure,</w:t>
      </w:r>
      <w:r>
        <w:rPr>
          <w:spacing w:val="-3"/>
        </w:rPr>
        <w:t> </w:t>
      </w:r>
      <w:r>
        <w:rPr/>
        <w:t>Ophelia</w:t>
      </w:r>
      <w:r>
        <w:rPr>
          <w:spacing w:val="-1"/>
        </w:rPr>
        <w:t> </w:t>
      </w:r>
      <w:r>
        <w:rPr/>
        <w:t>in</w:t>
      </w:r>
      <w:r>
        <w:rPr>
          <w:spacing w:val="-5"/>
        </w:rPr>
        <w:t> </w:t>
      </w:r>
      <w:r>
        <w:rPr/>
        <w:t>Hamlet,</w:t>
      </w:r>
      <w:r>
        <w:rPr>
          <w:spacing w:val="-3"/>
        </w:rPr>
        <w:t> </w:t>
      </w:r>
      <w:r>
        <w:rPr/>
        <w:t>and</w:t>
      </w:r>
      <w:r>
        <w:rPr>
          <w:spacing w:val="-3"/>
        </w:rPr>
        <w:t> </w:t>
      </w:r>
      <w:r>
        <w:rPr/>
        <w:t>Desdemona</w:t>
      </w:r>
      <w:r>
        <w:rPr>
          <w:spacing w:val="-4"/>
        </w:rPr>
        <w:t> </w:t>
      </w:r>
      <w:r>
        <w:rPr/>
        <w:t>in </w:t>
      </w:r>
      <w:r>
        <w:rPr>
          <w:spacing w:val="-2"/>
        </w:rPr>
        <w:t>Othello—arguing</w:t>
      </w:r>
      <w:r>
        <w:rPr>
          <w:spacing w:val="-5"/>
        </w:rPr>
        <w:t> </w:t>
      </w:r>
      <w:r>
        <w:rPr>
          <w:spacing w:val="-2"/>
        </w:rPr>
        <w:t>that</w:t>
      </w:r>
      <w:r>
        <w:rPr>
          <w:spacing w:val="-5"/>
        </w:rPr>
        <w:t> </w:t>
      </w:r>
      <w:r>
        <w:rPr>
          <w:spacing w:val="-2"/>
        </w:rPr>
        <w:t>their tragedies</w:t>
      </w:r>
      <w:r>
        <w:rPr>
          <w:spacing w:val="-5"/>
        </w:rPr>
        <w:t> </w:t>
      </w:r>
      <w:r>
        <w:rPr>
          <w:spacing w:val="-2"/>
        </w:rPr>
        <w:t>are</w:t>
      </w:r>
      <w:r>
        <w:rPr>
          <w:spacing w:val="-3"/>
        </w:rPr>
        <w:t> </w:t>
      </w:r>
      <w:r>
        <w:rPr>
          <w:spacing w:val="-2"/>
        </w:rPr>
        <w:t>not</w:t>
      </w:r>
      <w:r>
        <w:rPr>
          <w:spacing w:val="-5"/>
        </w:rPr>
        <w:t> </w:t>
      </w:r>
      <w:r>
        <w:rPr>
          <w:spacing w:val="-2"/>
        </w:rPr>
        <w:t>merely</w:t>
      </w:r>
      <w:r>
        <w:rPr>
          <w:spacing w:val="-5"/>
        </w:rPr>
        <w:t> </w:t>
      </w:r>
      <w:r>
        <w:rPr>
          <w:spacing w:val="-2"/>
        </w:rPr>
        <w:t>personal</w:t>
      </w:r>
      <w:r>
        <w:rPr>
          <w:spacing w:val="-5"/>
        </w:rPr>
        <w:t> </w:t>
      </w:r>
      <w:r>
        <w:rPr>
          <w:spacing w:val="-2"/>
        </w:rPr>
        <w:t>or</w:t>
      </w:r>
      <w:r>
        <w:rPr>
          <w:spacing w:val="-5"/>
        </w:rPr>
        <w:t> </w:t>
      </w:r>
      <w:r>
        <w:rPr>
          <w:spacing w:val="-2"/>
        </w:rPr>
        <w:t>fatalistic, </w:t>
      </w:r>
      <w:r>
        <w:rPr/>
        <w:t>but are the direct consequences of structural patriarchal violence. By applying the modern frameworks of ‘Epistemic Injustice’ and the </w:t>
      </w:r>
      <w:r>
        <w:rPr>
          <w:spacing w:val="-2"/>
        </w:rPr>
        <w:t>‘Credibility</w:t>
      </w:r>
      <w:r>
        <w:rPr>
          <w:spacing w:val="-11"/>
        </w:rPr>
        <w:t> </w:t>
      </w:r>
      <w:r>
        <w:rPr>
          <w:spacing w:val="-2"/>
        </w:rPr>
        <w:t>Gap,’</w:t>
      </w:r>
      <w:r>
        <w:rPr>
          <w:spacing w:val="-10"/>
        </w:rPr>
        <w:t> </w:t>
      </w:r>
      <w:r>
        <w:rPr>
          <w:spacing w:val="-2"/>
        </w:rPr>
        <w:t>this</w:t>
      </w:r>
      <w:r>
        <w:rPr>
          <w:spacing w:val="-11"/>
        </w:rPr>
        <w:t> </w:t>
      </w:r>
      <w:r>
        <w:rPr>
          <w:spacing w:val="-2"/>
        </w:rPr>
        <w:t>study</w:t>
      </w:r>
      <w:r>
        <w:rPr>
          <w:spacing w:val="-10"/>
        </w:rPr>
        <w:t> </w:t>
      </w:r>
      <w:r>
        <w:rPr>
          <w:spacing w:val="-2"/>
        </w:rPr>
        <w:t>highlights</w:t>
      </w:r>
      <w:r>
        <w:rPr>
          <w:spacing w:val="-11"/>
        </w:rPr>
        <w:t> </w:t>
      </w:r>
      <w:r>
        <w:rPr>
          <w:spacing w:val="-2"/>
        </w:rPr>
        <w:t>how</w:t>
      </w:r>
      <w:r>
        <w:rPr>
          <w:spacing w:val="-10"/>
        </w:rPr>
        <w:t> </w:t>
      </w:r>
      <w:r>
        <w:rPr>
          <w:spacing w:val="-2"/>
        </w:rPr>
        <w:t>Renaissance</w:t>
      </w:r>
      <w:r>
        <w:rPr>
          <w:spacing w:val="-11"/>
        </w:rPr>
        <w:t> </w:t>
      </w:r>
      <w:r>
        <w:rPr>
          <w:spacing w:val="-2"/>
        </w:rPr>
        <w:t>drama</w:t>
      </w:r>
      <w:r>
        <w:rPr>
          <w:spacing w:val="-10"/>
        </w:rPr>
        <w:t> </w:t>
      </w:r>
      <w:r>
        <w:rPr>
          <w:spacing w:val="-2"/>
        </w:rPr>
        <w:t>prefigures </w:t>
      </w:r>
      <w:r>
        <w:rPr/>
        <w:t>contemporary debates regarding institutional complicity and the hermeneutics of suspicion. Through a re-reading of these texts, the research</w:t>
      </w:r>
      <w:r>
        <w:rPr>
          <w:spacing w:val="-13"/>
        </w:rPr>
        <w:t> </w:t>
      </w:r>
      <w:r>
        <w:rPr/>
        <w:t>uncovers</w:t>
      </w:r>
      <w:r>
        <w:rPr>
          <w:spacing w:val="-12"/>
        </w:rPr>
        <w:t> </w:t>
      </w:r>
      <w:r>
        <w:rPr/>
        <w:t>the</w:t>
      </w:r>
      <w:r>
        <w:rPr>
          <w:spacing w:val="-13"/>
        </w:rPr>
        <w:t> </w:t>
      </w:r>
      <w:r>
        <w:rPr/>
        <w:t>‘raw</w:t>
      </w:r>
      <w:r>
        <w:rPr>
          <w:spacing w:val="-12"/>
        </w:rPr>
        <w:t> </w:t>
      </w:r>
      <w:r>
        <w:rPr/>
        <w:t>power</w:t>
      </w:r>
      <w:r>
        <w:rPr>
          <w:spacing w:val="-9"/>
        </w:rPr>
        <w:t> </w:t>
      </w:r>
      <w:r>
        <w:rPr/>
        <w:t>dynamics’</w:t>
      </w:r>
      <w:r>
        <w:rPr>
          <w:spacing w:val="-12"/>
        </w:rPr>
        <w:t> </w:t>
      </w:r>
      <w:r>
        <w:rPr/>
        <w:t>embedded</w:t>
      </w:r>
      <w:r>
        <w:rPr>
          <w:spacing w:val="-12"/>
        </w:rPr>
        <w:t> </w:t>
      </w:r>
      <w:r>
        <w:rPr/>
        <w:t>in</w:t>
      </w:r>
      <w:r>
        <w:rPr>
          <w:spacing w:val="-10"/>
        </w:rPr>
        <w:t> </w:t>
      </w:r>
      <w:r>
        <w:rPr/>
        <w:t>Early</w:t>
      </w:r>
      <w:r>
        <w:rPr>
          <w:spacing w:val="-13"/>
        </w:rPr>
        <w:t> </w:t>
      </w:r>
      <w:r>
        <w:rPr/>
        <w:t>Modern plots, moving beyond romanticized interpretations to expose the mechanisms of gaslighting, reputational destruction, and coercion. Furthermore,</w:t>
      </w:r>
      <w:r>
        <w:rPr>
          <w:spacing w:val="-12"/>
        </w:rPr>
        <w:t> </w:t>
      </w:r>
      <w:r>
        <w:rPr/>
        <w:t>the</w:t>
      </w:r>
      <w:r>
        <w:rPr>
          <w:spacing w:val="-11"/>
        </w:rPr>
        <w:t> </w:t>
      </w:r>
      <w:r>
        <w:rPr/>
        <w:t>paper</w:t>
      </w:r>
      <w:r>
        <w:rPr>
          <w:spacing w:val="-9"/>
        </w:rPr>
        <w:t> </w:t>
      </w:r>
      <w:r>
        <w:rPr/>
        <w:t>examines</w:t>
      </w:r>
      <w:r>
        <w:rPr>
          <w:spacing w:val="-11"/>
        </w:rPr>
        <w:t> </w:t>
      </w:r>
      <w:r>
        <w:rPr/>
        <w:t>characters</w:t>
      </w:r>
      <w:r>
        <w:rPr>
          <w:spacing w:val="-11"/>
        </w:rPr>
        <w:t> </w:t>
      </w:r>
      <w:r>
        <w:rPr/>
        <w:t>like</w:t>
      </w:r>
      <w:r>
        <w:rPr>
          <w:spacing w:val="-11"/>
        </w:rPr>
        <w:t> </w:t>
      </w:r>
      <w:r>
        <w:rPr/>
        <w:t>Paulina</w:t>
      </w:r>
      <w:r>
        <w:rPr>
          <w:spacing w:val="-10"/>
        </w:rPr>
        <w:t> </w:t>
      </w:r>
      <w:r>
        <w:rPr/>
        <w:t>in</w:t>
      </w:r>
      <w:r>
        <w:rPr>
          <w:spacing w:val="-13"/>
        </w:rPr>
        <w:t> </w:t>
      </w:r>
      <w:r>
        <w:rPr/>
        <w:t>The</w:t>
      </w:r>
      <w:r>
        <w:rPr>
          <w:spacing w:val="-12"/>
        </w:rPr>
        <w:t> </w:t>
      </w:r>
      <w:r>
        <w:rPr/>
        <w:t>Winter’s Tale as prototypes for the modern whistleblower, demonstrating that female agency and resistance were always present within the text, though often marginalized by traditional criticism.</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89216">
                <wp:simplePos x="0" y="0"/>
                <wp:positionH relativeFrom="page">
                  <wp:posOffset>2057400</wp:posOffset>
                </wp:positionH>
                <wp:positionV relativeFrom="paragraph">
                  <wp:posOffset>162604</wp:posOffset>
                </wp:positionV>
                <wp:extent cx="3657600" cy="12700"/>
                <wp:effectExtent l="0" t="0" r="0" b="0"/>
                <wp:wrapTopAndBottom/>
                <wp:docPr id="327" name="Graphic 327"/>
                <wp:cNvGraphicFramePr>
                  <a:graphicFrameLocks/>
                </wp:cNvGraphicFramePr>
                <a:graphic>
                  <a:graphicData uri="http://schemas.microsoft.com/office/word/2010/wordprocessingShape">
                    <wps:wsp>
                      <wps:cNvPr id="327" name="Graphic 32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27264;mso-wrap-distance-left:0;mso-wrap-distance-right:0" id="docshape323" filled="true" fillcolor="#000000" stroked="false">
                <v:fill type="solid"/>
                <w10:wrap type="topAndBottom"/>
              </v:rect>
            </w:pict>
          </mc:Fallback>
        </mc:AlternateContent>
      </w:r>
      <w:r>
        <w:rPr>
          <w:rFonts w:ascii="Verdana"/>
          <w:spacing w:val="-5"/>
          <w:sz w:val="18"/>
        </w:rPr>
        <w:t>114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firstLine="432"/>
        <w:jc w:val="both"/>
      </w:pPr>
      <w:r>
        <w:rPr>
          <w:b/>
        </w:rPr>
        <w:t>Keywords:</w:t>
      </w:r>
      <w:r>
        <w:rPr>
          <w:b/>
          <w:spacing w:val="-13"/>
        </w:rPr>
        <w:t> </w:t>
      </w:r>
      <w:r>
        <w:rPr/>
        <w:t>Shakespeare,</w:t>
      </w:r>
      <w:r>
        <w:rPr>
          <w:spacing w:val="-12"/>
        </w:rPr>
        <w:t> </w:t>
      </w:r>
      <w:r>
        <w:rPr/>
        <w:t>#MeToo,</w:t>
      </w:r>
      <w:r>
        <w:rPr>
          <w:spacing w:val="-13"/>
        </w:rPr>
        <w:t> </w:t>
      </w:r>
      <w:r>
        <w:rPr/>
        <w:t>Feminism,</w:t>
      </w:r>
      <w:r>
        <w:rPr>
          <w:spacing w:val="-12"/>
        </w:rPr>
        <w:t> </w:t>
      </w:r>
      <w:r>
        <w:rPr/>
        <w:t>Patriarchy,</w:t>
      </w:r>
      <w:r>
        <w:rPr>
          <w:spacing w:val="-13"/>
        </w:rPr>
        <w:t> </w:t>
      </w:r>
      <w:r>
        <w:rPr/>
        <w:t>Agency, Consent, Epistemic Injustice, Elizabethan Drama, Post-structuralism, Gender Studies.</w:t>
      </w:r>
    </w:p>
    <w:p>
      <w:pPr>
        <w:pStyle w:val="Heading3"/>
        <w:numPr>
          <w:ilvl w:val="0"/>
          <w:numId w:val="24"/>
        </w:numPr>
        <w:tabs>
          <w:tab w:pos="1626" w:val="left" w:leader="none"/>
        </w:tabs>
        <w:spacing w:line="240" w:lineRule="auto" w:before="156" w:after="0"/>
        <w:ind w:left="1626" w:right="0" w:hanging="186"/>
        <w:jc w:val="left"/>
      </w:pPr>
      <w:r>
        <w:rPr>
          <w:spacing w:val="-2"/>
          <w:w w:val="95"/>
        </w:rPr>
        <w:t>INTRODUCTION</w:t>
      </w:r>
    </w:p>
    <w:p>
      <w:pPr>
        <w:pStyle w:val="BodyText"/>
        <w:spacing w:line="249" w:lineRule="auto" w:before="75"/>
        <w:ind w:right="1438" w:firstLine="432"/>
        <w:jc w:val="both"/>
      </w:pPr>
      <w:r>
        <w:rPr>
          <w:spacing w:val="-2"/>
        </w:rPr>
        <w:t>The</w:t>
      </w:r>
      <w:r>
        <w:rPr>
          <w:spacing w:val="-10"/>
        </w:rPr>
        <w:t> </w:t>
      </w:r>
      <w:r>
        <w:rPr>
          <w:spacing w:val="-2"/>
        </w:rPr>
        <w:t>intersection</w:t>
      </w:r>
      <w:r>
        <w:rPr>
          <w:spacing w:val="-7"/>
        </w:rPr>
        <w:t> </w:t>
      </w:r>
      <w:r>
        <w:rPr>
          <w:spacing w:val="-2"/>
        </w:rPr>
        <w:t>of</w:t>
      </w:r>
      <w:r>
        <w:rPr>
          <w:spacing w:val="-11"/>
        </w:rPr>
        <w:t> </w:t>
      </w:r>
      <w:r>
        <w:rPr>
          <w:spacing w:val="-2"/>
        </w:rPr>
        <w:t>William</w:t>
      </w:r>
      <w:r>
        <w:rPr>
          <w:spacing w:val="-10"/>
        </w:rPr>
        <w:t> </w:t>
      </w:r>
      <w:r>
        <w:rPr>
          <w:spacing w:val="-2"/>
        </w:rPr>
        <w:t>Shakespeare’s</w:t>
      </w:r>
      <w:r>
        <w:rPr>
          <w:spacing w:val="-8"/>
        </w:rPr>
        <w:t> </w:t>
      </w:r>
      <w:r>
        <w:rPr>
          <w:spacing w:val="-2"/>
        </w:rPr>
        <w:t>drama</w:t>
      </w:r>
      <w:r>
        <w:rPr>
          <w:spacing w:val="-6"/>
        </w:rPr>
        <w:t> </w:t>
      </w:r>
      <w:r>
        <w:rPr>
          <w:spacing w:val="-2"/>
        </w:rPr>
        <w:t>and</w:t>
      </w:r>
      <w:r>
        <w:rPr>
          <w:spacing w:val="-6"/>
        </w:rPr>
        <w:t> </w:t>
      </w:r>
      <w:r>
        <w:rPr>
          <w:spacing w:val="-2"/>
        </w:rPr>
        <w:t>contemporary </w:t>
      </w:r>
      <w:r>
        <w:rPr/>
        <w:t>social</w:t>
      </w:r>
      <w:r>
        <w:rPr>
          <w:spacing w:val="-13"/>
        </w:rPr>
        <w:t> </w:t>
      </w:r>
      <w:r>
        <w:rPr/>
        <w:t>movements</w:t>
      </w:r>
      <w:r>
        <w:rPr>
          <w:spacing w:val="-12"/>
        </w:rPr>
        <w:t> </w:t>
      </w:r>
      <w:r>
        <w:rPr/>
        <w:t>provides</w:t>
      </w:r>
      <w:r>
        <w:rPr>
          <w:spacing w:val="-12"/>
        </w:rPr>
        <w:t> </w:t>
      </w:r>
      <w:r>
        <w:rPr/>
        <w:t>a</w:t>
      </w:r>
      <w:r>
        <w:rPr>
          <w:spacing w:val="-9"/>
        </w:rPr>
        <w:t> </w:t>
      </w:r>
      <w:r>
        <w:rPr/>
        <w:t>rich</w:t>
      </w:r>
      <w:r>
        <w:rPr>
          <w:spacing w:val="-13"/>
        </w:rPr>
        <w:t> </w:t>
      </w:r>
      <w:r>
        <w:rPr/>
        <w:t>ground</w:t>
      </w:r>
      <w:r>
        <w:rPr>
          <w:spacing w:val="-10"/>
        </w:rPr>
        <w:t> </w:t>
      </w:r>
      <w:r>
        <w:rPr/>
        <w:t>for</w:t>
      </w:r>
      <w:r>
        <w:rPr>
          <w:spacing w:val="-11"/>
        </w:rPr>
        <w:t> </w:t>
      </w:r>
      <w:r>
        <w:rPr/>
        <w:t>critical</w:t>
      </w:r>
      <w:r>
        <w:rPr>
          <w:spacing w:val="-11"/>
        </w:rPr>
        <w:t> </w:t>
      </w:r>
      <w:r>
        <w:rPr/>
        <w:t>inquiry.</w:t>
      </w:r>
      <w:r>
        <w:rPr>
          <w:spacing w:val="-11"/>
        </w:rPr>
        <w:t> </w:t>
      </w:r>
      <w:r>
        <w:rPr/>
        <w:t>In</w:t>
      </w:r>
      <w:r>
        <w:rPr>
          <w:spacing w:val="-11"/>
        </w:rPr>
        <w:t> </w:t>
      </w:r>
      <w:r>
        <w:rPr/>
        <w:t>the</w:t>
      </w:r>
      <w:r>
        <w:rPr>
          <w:spacing w:val="-12"/>
        </w:rPr>
        <w:t> </w:t>
      </w:r>
      <w:r>
        <w:rPr/>
        <w:t>wake of the #MeToo movement, the traditional reading of Shakespearean heroines as either ‘shrews’ or ‘victims’ has become insufficient. This paper seeks to bridge the gap between 16th-century legal realities and 21st-century ethics. In the Elizabethan era, the doctrine of coverture ensured that a woman’s social and legal existence was</w:t>
      </w:r>
      <w:r>
        <w:rPr>
          <w:spacing w:val="-1"/>
        </w:rPr>
        <w:t> </w:t>
      </w:r>
      <w:r>
        <w:rPr/>
        <w:t>legally</w:t>
      </w:r>
      <w:r>
        <w:rPr>
          <w:spacing w:val="-3"/>
        </w:rPr>
        <w:t> </w:t>
      </w:r>
      <w:r>
        <w:rPr/>
        <w:t>absorbed into that of her husband or father. While these legal frameworks have </w:t>
      </w:r>
      <w:r>
        <w:rPr>
          <w:spacing w:val="-2"/>
        </w:rPr>
        <w:t>evolved,</w:t>
      </w:r>
      <w:r>
        <w:rPr>
          <w:spacing w:val="-3"/>
        </w:rPr>
        <w:t> </w:t>
      </w:r>
      <w:r>
        <w:rPr>
          <w:spacing w:val="-2"/>
        </w:rPr>
        <w:t>the underlying</w:t>
      </w:r>
      <w:r>
        <w:rPr>
          <w:spacing w:val="-5"/>
        </w:rPr>
        <w:t> </w:t>
      </w:r>
      <w:r>
        <w:rPr>
          <w:spacing w:val="-2"/>
        </w:rPr>
        <w:t>psychological</w:t>
      </w:r>
      <w:r>
        <w:rPr>
          <w:spacing w:val="-3"/>
        </w:rPr>
        <w:t> </w:t>
      </w:r>
      <w:r>
        <w:rPr>
          <w:spacing w:val="-2"/>
        </w:rPr>
        <w:t>and social structures—specifically </w:t>
      </w:r>
      <w:r>
        <w:rPr/>
        <w:t>those</w:t>
      </w:r>
      <w:r>
        <w:rPr>
          <w:spacing w:val="-13"/>
        </w:rPr>
        <w:t> </w:t>
      </w:r>
      <w:r>
        <w:rPr/>
        <w:t>relating</w:t>
      </w:r>
      <w:r>
        <w:rPr>
          <w:spacing w:val="-12"/>
        </w:rPr>
        <w:t> </w:t>
      </w:r>
      <w:r>
        <w:rPr/>
        <w:t>to</w:t>
      </w:r>
      <w:r>
        <w:rPr>
          <w:spacing w:val="-13"/>
        </w:rPr>
        <w:t> </w:t>
      </w:r>
      <w:r>
        <w:rPr/>
        <w:t>credibility</w:t>
      </w:r>
      <w:r>
        <w:rPr>
          <w:spacing w:val="-12"/>
        </w:rPr>
        <w:t> </w:t>
      </w:r>
      <w:r>
        <w:rPr/>
        <w:t>and</w:t>
      </w:r>
      <w:r>
        <w:rPr>
          <w:spacing w:val="-12"/>
        </w:rPr>
        <w:t> </w:t>
      </w:r>
      <w:r>
        <w:rPr/>
        <w:t>sexual</w:t>
      </w:r>
      <w:r>
        <w:rPr>
          <w:spacing w:val="-11"/>
        </w:rPr>
        <w:t> </w:t>
      </w:r>
      <w:r>
        <w:rPr/>
        <w:t>power—remain</w:t>
      </w:r>
      <w:r>
        <w:rPr>
          <w:spacing w:val="-12"/>
        </w:rPr>
        <w:t> </w:t>
      </w:r>
      <w:r>
        <w:rPr/>
        <w:t>strikingly</w:t>
      </w:r>
      <w:r>
        <w:rPr>
          <w:spacing w:val="-13"/>
        </w:rPr>
        <w:t> </w:t>
      </w:r>
      <w:r>
        <w:rPr>
          <w:spacing w:val="-2"/>
        </w:rPr>
        <w:t>similar.</w:t>
      </w:r>
    </w:p>
    <w:p>
      <w:pPr>
        <w:pStyle w:val="Heading3"/>
        <w:numPr>
          <w:ilvl w:val="0"/>
          <w:numId w:val="24"/>
        </w:numPr>
        <w:tabs>
          <w:tab w:pos="1713" w:val="left" w:leader="none"/>
        </w:tabs>
        <w:spacing w:line="240" w:lineRule="auto" w:before="162" w:after="0"/>
        <w:ind w:left="1713" w:right="0" w:hanging="273"/>
        <w:jc w:val="left"/>
      </w:pPr>
      <w:r>
        <w:rPr>
          <w:w w:val="85"/>
        </w:rPr>
        <w:t>EPISTEMIC</w:t>
      </w:r>
      <w:r>
        <w:rPr>
          <w:spacing w:val="20"/>
        </w:rPr>
        <w:t> </w:t>
      </w:r>
      <w:r>
        <w:rPr>
          <w:w w:val="85"/>
        </w:rPr>
        <w:t>INJUSTICE</w:t>
      </w:r>
      <w:r>
        <w:rPr>
          <w:spacing w:val="16"/>
        </w:rPr>
        <w:t> </w:t>
      </w:r>
      <w:r>
        <w:rPr>
          <w:w w:val="85"/>
        </w:rPr>
        <w:t>IN</w:t>
      </w:r>
      <w:r>
        <w:rPr>
          <w:spacing w:val="21"/>
        </w:rPr>
        <w:t> </w:t>
      </w:r>
      <w:r>
        <w:rPr>
          <w:w w:val="85"/>
        </w:rPr>
        <w:t>MEASURE</w:t>
      </w:r>
      <w:r>
        <w:rPr>
          <w:spacing w:val="17"/>
        </w:rPr>
        <w:t> </w:t>
      </w:r>
      <w:r>
        <w:rPr>
          <w:w w:val="85"/>
        </w:rPr>
        <w:t>FOR</w:t>
      </w:r>
      <w:r>
        <w:rPr>
          <w:spacing w:val="21"/>
        </w:rPr>
        <w:t> </w:t>
      </w:r>
      <w:r>
        <w:rPr>
          <w:spacing w:val="-2"/>
          <w:w w:val="85"/>
        </w:rPr>
        <w:t>MEASURE</w:t>
      </w:r>
    </w:p>
    <w:p>
      <w:pPr>
        <w:pStyle w:val="BodyText"/>
        <w:spacing w:line="261" w:lineRule="auto" w:before="83"/>
        <w:ind w:right="1438" w:firstLine="432"/>
        <w:jc w:val="both"/>
      </w:pPr>
      <w:r>
        <w:rPr/>
        <w:t>Isabella’s struggle in Measure for Measure serves as the </w:t>
      </w:r>
      <w:r>
        <w:rPr>
          <w:spacing w:val="-4"/>
        </w:rPr>
        <w:t>quintessential site for investigating what Miranda Fricker terms ‘Epistemic </w:t>
      </w:r>
      <w:r>
        <w:rPr/>
        <w:t>Injustice.’ When Angelo demands sexual favors in exchange for her brother’s life, he is not merely acting as a predator; he is acting as the state. His threat—’Who will believe thee?’—demonstrates the weaponization of identity. This section explores how the ‘unsoiled name’</w:t>
      </w:r>
      <w:r>
        <w:rPr>
          <w:spacing w:val="-10"/>
        </w:rPr>
        <w:t> </w:t>
      </w:r>
      <w:r>
        <w:rPr/>
        <w:t>of</w:t>
      </w:r>
      <w:r>
        <w:rPr>
          <w:spacing w:val="-10"/>
        </w:rPr>
        <w:t> </w:t>
      </w:r>
      <w:r>
        <w:rPr/>
        <w:t>the</w:t>
      </w:r>
      <w:r>
        <w:rPr>
          <w:spacing w:val="-10"/>
        </w:rPr>
        <w:t> </w:t>
      </w:r>
      <w:r>
        <w:rPr/>
        <w:t>powerful</w:t>
      </w:r>
      <w:r>
        <w:rPr>
          <w:spacing w:val="-10"/>
        </w:rPr>
        <w:t> </w:t>
      </w:r>
      <w:r>
        <w:rPr/>
        <w:t>is</w:t>
      </w:r>
      <w:r>
        <w:rPr>
          <w:spacing w:val="-10"/>
        </w:rPr>
        <w:t> </w:t>
      </w:r>
      <w:r>
        <w:rPr/>
        <w:t>used</w:t>
      </w:r>
      <w:r>
        <w:rPr>
          <w:spacing w:val="-8"/>
        </w:rPr>
        <w:t> </w:t>
      </w:r>
      <w:r>
        <w:rPr/>
        <w:t>to</w:t>
      </w:r>
      <w:r>
        <w:rPr>
          <w:spacing w:val="-8"/>
        </w:rPr>
        <w:t> </w:t>
      </w:r>
      <w:r>
        <w:rPr/>
        <w:t>preemptively</w:t>
      </w:r>
      <w:r>
        <w:rPr>
          <w:spacing w:val="-11"/>
        </w:rPr>
        <w:t> </w:t>
      </w:r>
      <w:r>
        <w:rPr/>
        <w:t>silence</w:t>
      </w:r>
      <w:r>
        <w:rPr>
          <w:spacing w:val="-9"/>
        </w:rPr>
        <w:t> </w:t>
      </w:r>
      <w:r>
        <w:rPr/>
        <w:t>the</w:t>
      </w:r>
      <w:r>
        <w:rPr>
          <w:spacing w:val="-9"/>
        </w:rPr>
        <w:t> </w:t>
      </w:r>
      <w:r>
        <w:rPr/>
        <w:t>victim,</w:t>
      </w:r>
      <w:r>
        <w:rPr>
          <w:spacing w:val="-10"/>
        </w:rPr>
        <w:t> </w:t>
      </w:r>
      <w:r>
        <w:rPr/>
        <w:t>a</w:t>
      </w:r>
      <w:r>
        <w:rPr>
          <w:spacing w:val="-9"/>
        </w:rPr>
        <w:t> </w:t>
      </w:r>
      <w:r>
        <w:rPr/>
        <w:t>tactic mirrored in modern high-profile harassment cases. Isabella’s struggle </w:t>
      </w:r>
      <w:r>
        <w:rPr>
          <w:spacing w:val="-2"/>
        </w:rPr>
        <w:t>illustrates</w:t>
      </w:r>
      <w:r>
        <w:rPr>
          <w:spacing w:val="-11"/>
        </w:rPr>
        <w:t> </w:t>
      </w:r>
      <w:r>
        <w:rPr>
          <w:spacing w:val="-2"/>
        </w:rPr>
        <w:t>a</w:t>
      </w:r>
      <w:r>
        <w:rPr>
          <w:spacing w:val="-10"/>
        </w:rPr>
        <w:t> </w:t>
      </w:r>
      <w:r>
        <w:rPr>
          <w:spacing w:val="-2"/>
        </w:rPr>
        <w:t>profound</w:t>
      </w:r>
      <w:r>
        <w:rPr>
          <w:spacing w:val="-11"/>
        </w:rPr>
        <w:t> </w:t>
      </w:r>
      <w:r>
        <w:rPr>
          <w:spacing w:val="-2"/>
        </w:rPr>
        <w:t>‘credibility</w:t>
      </w:r>
      <w:r>
        <w:rPr>
          <w:spacing w:val="-10"/>
        </w:rPr>
        <w:t> </w:t>
      </w:r>
      <w:r>
        <w:rPr>
          <w:spacing w:val="-2"/>
        </w:rPr>
        <w:t>deficit’</w:t>
      </w:r>
      <w:r>
        <w:rPr>
          <w:spacing w:val="-11"/>
        </w:rPr>
        <w:t> </w:t>
      </w:r>
      <w:r>
        <w:rPr>
          <w:spacing w:val="-2"/>
        </w:rPr>
        <w:t>where</w:t>
      </w:r>
      <w:r>
        <w:rPr>
          <w:spacing w:val="-10"/>
        </w:rPr>
        <w:t> </w:t>
      </w:r>
      <w:r>
        <w:rPr>
          <w:spacing w:val="-2"/>
        </w:rPr>
        <w:t>her</w:t>
      </w:r>
      <w:r>
        <w:rPr>
          <w:spacing w:val="-11"/>
        </w:rPr>
        <w:t> </w:t>
      </w:r>
      <w:r>
        <w:rPr>
          <w:spacing w:val="-2"/>
        </w:rPr>
        <w:t>testimony</w:t>
      </w:r>
      <w:r>
        <w:rPr>
          <w:spacing w:val="-10"/>
        </w:rPr>
        <w:t> </w:t>
      </w:r>
      <w:r>
        <w:rPr>
          <w:spacing w:val="-2"/>
        </w:rPr>
        <w:t>is</w:t>
      </w:r>
      <w:r>
        <w:rPr>
          <w:spacing w:val="-11"/>
        </w:rPr>
        <w:t> </w:t>
      </w:r>
      <w:r>
        <w:rPr>
          <w:spacing w:val="-2"/>
        </w:rPr>
        <w:t>dismissed </w:t>
      </w:r>
      <w:r>
        <w:rPr/>
        <w:t>not</w:t>
      </w:r>
      <w:r>
        <w:rPr>
          <w:spacing w:val="5"/>
        </w:rPr>
        <w:t> </w:t>
      </w:r>
      <w:r>
        <w:rPr/>
        <w:t>based</w:t>
      </w:r>
      <w:r>
        <w:rPr>
          <w:spacing w:val="8"/>
        </w:rPr>
        <w:t> </w:t>
      </w:r>
      <w:r>
        <w:rPr/>
        <w:t>on</w:t>
      </w:r>
      <w:r>
        <w:rPr>
          <w:spacing w:val="3"/>
        </w:rPr>
        <w:t> </w:t>
      </w:r>
      <w:r>
        <w:rPr/>
        <w:t>its</w:t>
      </w:r>
      <w:r>
        <w:rPr>
          <w:spacing w:val="6"/>
        </w:rPr>
        <w:t> </w:t>
      </w:r>
      <w:r>
        <w:rPr/>
        <w:t>truth,</w:t>
      </w:r>
      <w:r>
        <w:rPr>
          <w:spacing w:val="8"/>
        </w:rPr>
        <w:t> </w:t>
      </w:r>
      <w:r>
        <w:rPr/>
        <w:t>but</w:t>
      </w:r>
      <w:r>
        <w:rPr>
          <w:spacing w:val="5"/>
        </w:rPr>
        <w:t> </w:t>
      </w:r>
      <w:r>
        <w:rPr/>
        <w:t>on</w:t>
      </w:r>
      <w:r>
        <w:rPr>
          <w:spacing w:val="2"/>
        </w:rPr>
        <w:t> </w:t>
      </w:r>
      <w:r>
        <w:rPr/>
        <w:t>her</w:t>
      </w:r>
      <w:r>
        <w:rPr>
          <w:spacing w:val="8"/>
        </w:rPr>
        <w:t> </w:t>
      </w:r>
      <w:r>
        <w:rPr/>
        <w:t>social</w:t>
      </w:r>
      <w:r>
        <w:rPr>
          <w:spacing w:val="5"/>
        </w:rPr>
        <w:t> </w:t>
      </w:r>
      <w:r>
        <w:rPr/>
        <w:t>position</w:t>
      </w:r>
      <w:r>
        <w:rPr>
          <w:spacing w:val="4"/>
        </w:rPr>
        <w:t> </w:t>
      </w:r>
      <w:r>
        <w:rPr/>
        <w:t>relative</w:t>
      </w:r>
      <w:r>
        <w:rPr>
          <w:spacing w:val="7"/>
        </w:rPr>
        <w:t> </w:t>
      </w:r>
      <w:r>
        <w:rPr/>
        <w:t>to</w:t>
      </w:r>
      <w:r>
        <w:rPr>
          <w:spacing w:val="7"/>
        </w:rPr>
        <w:t> </w:t>
      </w:r>
      <w:r>
        <w:rPr/>
        <w:t>her</w:t>
      </w:r>
      <w:r>
        <w:rPr>
          <w:spacing w:val="6"/>
        </w:rPr>
        <w:t> </w:t>
      </w:r>
      <w:r>
        <w:rPr>
          <w:spacing w:val="-2"/>
        </w:rPr>
        <w:t>accuser.</w:t>
      </w:r>
    </w:p>
    <w:p>
      <w:pPr>
        <w:pStyle w:val="Heading3"/>
        <w:numPr>
          <w:ilvl w:val="0"/>
          <w:numId w:val="24"/>
        </w:numPr>
        <w:tabs>
          <w:tab w:pos="1857" w:val="left" w:leader="none"/>
        </w:tabs>
        <w:spacing w:line="249" w:lineRule="auto" w:before="147" w:after="0"/>
        <w:ind w:left="1440" w:right="1437" w:firstLine="0"/>
        <w:jc w:val="left"/>
      </w:pPr>
      <w:r>
        <w:rPr>
          <w:spacing w:val="-2"/>
        </w:rPr>
        <w:t>GASLIGHTING</w:t>
      </w:r>
      <w:r>
        <w:rPr>
          <w:spacing w:val="24"/>
        </w:rPr>
        <w:t> </w:t>
      </w:r>
      <w:r>
        <w:rPr>
          <w:spacing w:val="-2"/>
        </w:rPr>
        <w:t>AND</w:t>
      </w:r>
      <w:r>
        <w:rPr>
          <w:spacing w:val="25"/>
        </w:rPr>
        <w:t> </w:t>
      </w:r>
      <w:r>
        <w:rPr>
          <w:spacing w:val="-2"/>
        </w:rPr>
        <w:t>THE</w:t>
      </w:r>
      <w:r>
        <w:rPr>
          <w:spacing w:val="24"/>
        </w:rPr>
        <w:t> </w:t>
      </w:r>
      <w:r>
        <w:rPr>
          <w:spacing w:val="-2"/>
        </w:rPr>
        <w:t>FRAGMENTATION</w:t>
      </w:r>
      <w:r>
        <w:rPr>
          <w:spacing w:val="25"/>
        </w:rPr>
        <w:t> </w:t>
      </w:r>
      <w:r>
        <w:rPr>
          <w:spacing w:val="-2"/>
        </w:rPr>
        <w:t>OF OPHELIA</w:t>
      </w:r>
    </w:p>
    <w:p>
      <w:pPr>
        <w:pStyle w:val="BodyText"/>
        <w:spacing w:line="261" w:lineRule="auto" w:before="76"/>
        <w:ind w:right="1441" w:firstLine="432"/>
        <w:jc w:val="both"/>
      </w:pPr>
      <w:r>
        <w:rPr/>
        <w:t>Ophelia is frequently reduced to an aesthetic figure of madness. However, a #MeToo reading reveals her as a survivor of sustained emotional abuse and social surveillance. This section analyzes the ‘gaslighting’ techniques employed by Hamlet, Polonius, and Laertes, showing</w:t>
      </w:r>
      <w:r>
        <w:rPr>
          <w:spacing w:val="-7"/>
        </w:rPr>
        <w:t> </w:t>
      </w:r>
      <w:r>
        <w:rPr/>
        <w:t>how</w:t>
      </w:r>
      <w:r>
        <w:rPr>
          <w:spacing w:val="-10"/>
        </w:rPr>
        <w:t> </w:t>
      </w:r>
      <w:r>
        <w:rPr/>
        <w:t>Ophelia’s</w:t>
      </w:r>
      <w:r>
        <w:rPr>
          <w:spacing w:val="-5"/>
        </w:rPr>
        <w:t> </w:t>
      </w:r>
      <w:r>
        <w:rPr/>
        <w:t>loss</w:t>
      </w:r>
      <w:r>
        <w:rPr>
          <w:spacing w:val="-9"/>
        </w:rPr>
        <w:t> </w:t>
      </w:r>
      <w:r>
        <w:rPr/>
        <w:t>of</w:t>
      </w:r>
      <w:r>
        <w:rPr>
          <w:spacing w:val="-7"/>
        </w:rPr>
        <w:t> </w:t>
      </w:r>
      <w:r>
        <w:rPr/>
        <w:t>speech</w:t>
      </w:r>
      <w:r>
        <w:rPr>
          <w:spacing w:val="-7"/>
        </w:rPr>
        <w:t> </w:t>
      </w:r>
      <w:r>
        <w:rPr/>
        <w:t>and</w:t>
      </w:r>
      <w:r>
        <w:rPr>
          <w:spacing w:val="-7"/>
        </w:rPr>
        <w:t> </w:t>
      </w:r>
      <w:r>
        <w:rPr/>
        <w:t>eventual</w:t>
      </w:r>
      <w:r>
        <w:rPr>
          <w:spacing w:val="-7"/>
        </w:rPr>
        <w:t> </w:t>
      </w:r>
      <w:r>
        <w:rPr/>
        <w:t>suicide</w:t>
      </w:r>
      <w:r>
        <w:rPr>
          <w:spacing w:val="-8"/>
        </w:rPr>
        <w:t> </w:t>
      </w:r>
      <w:r>
        <w:rPr/>
        <w:t>are</w:t>
      </w:r>
      <w:r>
        <w:rPr>
          <w:spacing w:val="-5"/>
        </w:rPr>
        <w:t> </w:t>
      </w:r>
      <w:r>
        <w:rPr/>
        <w:t>products of</w:t>
      </w:r>
      <w:r>
        <w:rPr>
          <w:spacing w:val="-10"/>
        </w:rPr>
        <w:t> </w:t>
      </w:r>
      <w:r>
        <w:rPr/>
        <w:t>an</w:t>
      </w:r>
      <w:r>
        <w:rPr>
          <w:spacing w:val="-8"/>
        </w:rPr>
        <w:t> </w:t>
      </w:r>
      <w:r>
        <w:rPr/>
        <w:t>environment</w:t>
      </w:r>
      <w:r>
        <w:rPr>
          <w:spacing w:val="-8"/>
        </w:rPr>
        <w:t> </w:t>
      </w:r>
      <w:r>
        <w:rPr/>
        <w:t>that</w:t>
      </w:r>
      <w:r>
        <w:rPr>
          <w:spacing w:val="-10"/>
        </w:rPr>
        <w:t> </w:t>
      </w:r>
      <w:r>
        <w:rPr/>
        <w:t>denies</w:t>
      </w:r>
      <w:r>
        <w:rPr>
          <w:spacing w:val="-10"/>
        </w:rPr>
        <w:t> </w:t>
      </w:r>
      <w:r>
        <w:rPr/>
        <w:t>her</w:t>
      </w:r>
      <w:r>
        <w:rPr>
          <w:spacing w:val="-6"/>
        </w:rPr>
        <w:t> </w:t>
      </w:r>
      <w:r>
        <w:rPr/>
        <w:t>any</w:t>
      </w:r>
      <w:r>
        <w:rPr>
          <w:spacing w:val="-11"/>
        </w:rPr>
        <w:t> </w:t>
      </w:r>
      <w:r>
        <w:rPr/>
        <w:t>internal</w:t>
      </w:r>
      <w:r>
        <w:rPr>
          <w:spacing w:val="-10"/>
        </w:rPr>
        <w:t> </w:t>
      </w:r>
      <w:r>
        <w:rPr/>
        <w:t>sovereignty.</w:t>
      </w:r>
      <w:r>
        <w:rPr>
          <w:spacing w:val="-6"/>
        </w:rPr>
        <w:t> </w:t>
      </w:r>
      <w:r>
        <w:rPr/>
        <w:t>Her</w:t>
      </w:r>
      <w:r>
        <w:rPr>
          <w:spacing w:val="-10"/>
        </w:rPr>
        <w:t> </w:t>
      </w:r>
      <w:r>
        <w:rPr/>
        <w:t>madness is a radical departure from the patriarchal scripts imposed upon her, representing the only available form of autonomous expression in a world</w:t>
      </w:r>
      <w:r>
        <w:rPr>
          <w:spacing w:val="40"/>
        </w:rPr>
        <w:t> </w:t>
      </w:r>
      <w:r>
        <w:rPr/>
        <w:t>that</w:t>
      </w:r>
      <w:r>
        <w:rPr>
          <w:spacing w:val="40"/>
        </w:rPr>
        <w:t> </w:t>
      </w:r>
      <w:r>
        <w:rPr/>
        <w:t>monitors her every word.</w:t>
      </w:r>
    </w:p>
    <w:p>
      <w:pPr>
        <w:pStyle w:val="BodyText"/>
        <w:spacing w:after="0" w:line="261"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89728">
                <wp:simplePos x="0" y="0"/>
                <wp:positionH relativeFrom="page">
                  <wp:posOffset>2065020</wp:posOffset>
                </wp:positionH>
                <wp:positionV relativeFrom="paragraph">
                  <wp:posOffset>795020</wp:posOffset>
                </wp:positionV>
                <wp:extent cx="3657600" cy="12700"/>
                <wp:effectExtent l="0" t="0" r="0" b="0"/>
                <wp:wrapTopAndBottom/>
                <wp:docPr id="328" name="Graphic 328"/>
                <wp:cNvGraphicFramePr>
                  <a:graphicFrameLocks/>
                </wp:cNvGraphicFramePr>
                <a:graphic>
                  <a:graphicData uri="http://schemas.microsoft.com/office/word/2010/wordprocessingShape">
                    <wps:wsp>
                      <wps:cNvPr id="328" name="Graphic 32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26752;mso-wrap-distance-left:0;mso-wrap-distance-right:0" id="docshape324" filled="true" fillcolor="#000000" stroked="false">
                <v:fill type="solid"/>
                <w10:wrap type="topAndBottom"/>
              </v:rect>
            </w:pict>
          </mc:Fallback>
        </mc:AlternateContent>
      </w:r>
      <w:r>
        <w:rPr>
          <w:rFonts w:ascii="Verdana"/>
          <w:spacing w:val="-2"/>
          <w:sz w:val="18"/>
        </w:rPr>
        <w:t>Silence,</w:t>
      </w:r>
      <w:r>
        <w:rPr>
          <w:rFonts w:ascii="Verdana"/>
          <w:spacing w:val="5"/>
          <w:sz w:val="18"/>
        </w:rPr>
        <w:t> </w:t>
      </w:r>
      <w:r>
        <w:rPr>
          <w:rFonts w:ascii="Verdana"/>
          <w:spacing w:val="-2"/>
          <w:sz w:val="18"/>
        </w:rPr>
        <w:t>Speech,</w:t>
      </w:r>
      <w:r>
        <w:rPr>
          <w:rFonts w:ascii="Verdana"/>
          <w:spacing w:val="6"/>
          <w:sz w:val="18"/>
        </w:rPr>
        <w:t> </w:t>
      </w:r>
      <w:r>
        <w:rPr>
          <w:rFonts w:ascii="Verdana"/>
          <w:spacing w:val="-2"/>
          <w:sz w:val="18"/>
        </w:rPr>
        <w:t>and</w:t>
      </w:r>
      <w:r>
        <w:rPr>
          <w:rFonts w:ascii="Verdana"/>
          <w:spacing w:val="6"/>
          <w:sz w:val="18"/>
        </w:rPr>
        <w:t> </w:t>
      </w:r>
      <w:r>
        <w:rPr>
          <w:rFonts w:ascii="Verdana"/>
          <w:spacing w:val="-2"/>
          <w:sz w:val="18"/>
        </w:rPr>
        <w:t>Sovereignty:</w:t>
      </w:r>
      <w:r>
        <w:rPr>
          <w:rFonts w:ascii="Verdana"/>
          <w:spacing w:val="6"/>
          <w:sz w:val="18"/>
        </w:rPr>
        <w:t> </w:t>
      </w:r>
      <w:r>
        <w:rPr>
          <w:rFonts w:ascii="Verdana"/>
          <w:spacing w:val="-2"/>
          <w:sz w:val="18"/>
        </w:rPr>
        <w:t>Re-examining...</w:t>
      </w:r>
      <w:r>
        <w:rPr>
          <w:sz w:val="18"/>
        </w:rPr>
        <w:tab/>
      </w:r>
      <w:r>
        <w:rPr>
          <w:rFonts w:ascii="Verdana"/>
          <w:spacing w:val="-5"/>
          <w:sz w:val="18"/>
        </w:rPr>
        <w:t>115</w:t>
      </w:r>
    </w:p>
    <w:p>
      <w:pPr>
        <w:pStyle w:val="Heading3"/>
        <w:numPr>
          <w:ilvl w:val="0"/>
          <w:numId w:val="24"/>
        </w:numPr>
        <w:tabs>
          <w:tab w:pos="1805" w:val="left" w:leader="none"/>
        </w:tabs>
        <w:spacing w:line="240" w:lineRule="auto" w:before="173" w:after="0"/>
        <w:ind w:left="1805" w:right="0" w:hanging="365"/>
        <w:jc w:val="left"/>
      </w:pPr>
      <w:r>
        <w:rPr>
          <w:w w:val="90"/>
        </w:rPr>
        <w:t>DESDEMONA</w:t>
      </w:r>
      <w:r>
        <w:rPr>
          <w:spacing w:val="4"/>
        </w:rPr>
        <w:t> </w:t>
      </w:r>
      <w:r>
        <w:rPr>
          <w:w w:val="90"/>
        </w:rPr>
        <w:t>AND</w:t>
      </w:r>
      <w:r>
        <w:rPr>
          <w:spacing w:val="4"/>
        </w:rPr>
        <w:t> </w:t>
      </w:r>
      <w:r>
        <w:rPr>
          <w:w w:val="90"/>
        </w:rPr>
        <w:t>THE</w:t>
      </w:r>
      <w:r>
        <w:rPr>
          <w:spacing w:val="4"/>
        </w:rPr>
        <w:t> </w:t>
      </w:r>
      <w:r>
        <w:rPr>
          <w:w w:val="90"/>
        </w:rPr>
        <w:t>WHISPER</w:t>
      </w:r>
      <w:r>
        <w:rPr>
          <w:spacing w:val="5"/>
        </w:rPr>
        <w:t> </w:t>
      </w:r>
      <w:r>
        <w:rPr>
          <w:spacing w:val="-2"/>
          <w:w w:val="90"/>
        </w:rPr>
        <w:t>CAMPAIGN</w:t>
      </w:r>
    </w:p>
    <w:p>
      <w:pPr>
        <w:pStyle w:val="BodyText"/>
        <w:spacing w:line="249" w:lineRule="auto" w:before="75"/>
        <w:ind w:right="1437" w:firstLine="432"/>
        <w:jc w:val="both"/>
      </w:pPr>
      <w:r>
        <w:rPr/>
        <w:t>Desdemona’s death is a study in character assassination. Iago’s ‘whisper campaign’ highlights how patriarchal society views female agency as a precursor to infidelity. We examine the architecture of suspicion</w:t>
      </w:r>
      <w:r>
        <w:rPr>
          <w:spacing w:val="-10"/>
        </w:rPr>
        <w:t> </w:t>
      </w:r>
      <w:r>
        <w:rPr/>
        <w:t>that</w:t>
      </w:r>
      <w:r>
        <w:rPr>
          <w:spacing w:val="-10"/>
        </w:rPr>
        <w:t> </w:t>
      </w:r>
      <w:r>
        <w:rPr/>
        <w:t>isolates</w:t>
      </w:r>
      <w:r>
        <w:rPr>
          <w:spacing w:val="-9"/>
        </w:rPr>
        <w:t> </w:t>
      </w:r>
      <w:r>
        <w:rPr/>
        <w:t>Desdemona</w:t>
      </w:r>
      <w:r>
        <w:rPr>
          <w:spacing w:val="-9"/>
        </w:rPr>
        <w:t> </w:t>
      </w:r>
      <w:r>
        <w:rPr/>
        <w:t>from</w:t>
      </w:r>
      <w:r>
        <w:rPr>
          <w:spacing w:val="-11"/>
        </w:rPr>
        <w:t> </w:t>
      </w:r>
      <w:r>
        <w:rPr/>
        <w:t>her</w:t>
      </w:r>
      <w:r>
        <w:rPr>
          <w:spacing w:val="-9"/>
        </w:rPr>
        <w:t> </w:t>
      </w:r>
      <w:r>
        <w:rPr/>
        <w:t>support</w:t>
      </w:r>
      <w:r>
        <w:rPr>
          <w:spacing w:val="-9"/>
        </w:rPr>
        <w:t> </w:t>
      </w:r>
      <w:r>
        <w:rPr/>
        <w:t>networks,</w:t>
      </w:r>
      <w:r>
        <w:rPr>
          <w:spacing w:val="-7"/>
        </w:rPr>
        <w:t> </w:t>
      </w:r>
      <w:r>
        <w:rPr/>
        <w:t>rendering her</w:t>
      </w:r>
      <w:r>
        <w:rPr>
          <w:spacing w:val="-5"/>
        </w:rPr>
        <w:t> </w:t>
      </w:r>
      <w:r>
        <w:rPr/>
        <w:t>defenseless</w:t>
      </w:r>
      <w:r>
        <w:rPr>
          <w:spacing w:val="-8"/>
        </w:rPr>
        <w:t> </w:t>
      </w:r>
      <w:r>
        <w:rPr/>
        <w:t>against</w:t>
      </w:r>
      <w:r>
        <w:rPr>
          <w:spacing w:val="-6"/>
        </w:rPr>
        <w:t> </w:t>
      </w:r>
      <w:r>
        <w:rPr/>
        <w:t>Othello’s</w:t>
      </w:r>
      <w:r>
        <w:rPr>
          <w:spacing w:val="-8"/>
        </w:rPr>
        <w:t> </w:t>
      </w:r>
      <w:r>
        <w:rPr/>
        <w:t>internalized</w:t>
      </w:r>
      <w:r>
        <w:rPr>
          <w:spacing w:val="-6"/>
        </w:rPr>
        <w:t> </w:t>
      </w:r>
      <w:r>
        <w:rPr/>
        <w:t>misogyny.</w:t>
      </w:r>
      <w:r>
        <w:rPr>
          <w:spacing w:val="-6"/>
        </w:rPr>
        <w:t> </w:t>
      </w:r>
      <w:r>
        <w:rPr/>
        <w:t>The</w:t>
      </w:r>
      <w:r>
        <w:rPr>
          <w:spacing w:val="-6"/>
        </w:rPr>
        <w:t> </w:t>
      </w:r>
      <w:r>
        <w:rPr/>
        <w:t>systematic dismantling of her reputation serves as a cautionary tale about how institutionalized sexism validates the word of a ‘honest’ man over the lived reality of a woman.</w:t>
      </w:r>
    </w:p>
    <w:p>
      <w:pPr>
        <w:pStyle w:val="Heading3"/>
        <w:numPr>
          <w:ilvl w:val="0"/>
          <w:numId w:val="24"/>
        </w:numPr>
        <w:tabs>
          <w:tab w:pos="1740" w:val="left" w:leader="none"/>
        </w:tabs>
        <w:spacing w:line="240" w:lineRule="auto" w:before="160" w:after="0"/>
        <w:ind w:left="1740" w:right="0" w:hanging="300"/>
        <w:jc w:val="left"/>
      </w:pPr>
      <w:r>
        <w:rPr>
          <w:w w:val="85"/>
        </w:rPr>
        <w:t>THE</w:t>
      </w:r>
      <w:r>
        <w:rPr>
          <w:spacing w:val="21"/>
        </w:rPr>
        <w:t> </w:t>
      </w:r>
      <w:r>
        <w:rPr>
          <w:w w:val="85"/>
        </w:rPr>
        <w:t>WHISTLEBLOWER:</w:t>
      </w:r>
      <w:r>
        <w:rPr>
          <w:spacing w:val="21"/>
        </w:rPr>
        <w:t> </w:t>
      </w:r>
      <w:r>
        <w:rPr>
          <w:w w:val="85"/>
        </w:rPr>
        <w:t>PAULINA</w:t>
      </w:r>
      <w:r>
        <w:rPr>
          <w:spacing w:val="23"/>
        </w:rPr>
        <w:t> </w:t>
      </w:r>
      <w:r>
        <w:rPr>
          <w:w w:val="85"/>
        </w:rPr>
        <w:t>AND</w:t>
      </w:r>
      <w:r>
        <w:rPr>
          <w:spacing w:val="21"/>
        </w:rPr>
        <w:t> </w:t>
      </w:r>
      <w:r>
        <w:rPr>
          <w:spacing w:val="-2"/>
          <w:w w:val="85"/>
        </w:rPr>
        <w:t>RESISTANCE</w:t>
      </w:r>
    </w:p>
    <w:p>
      <w:pPr>
        <w:pStyle w:val="BodyText"/>
        <w:spacing w:line="249" w:lineRule="auto" w:before="76"/>
        <w:ind w:right="1438" w:firstLine="432"/>
        <w:jc w:val="both"/>
      </w:pPr>
      <w:r>
        <w:rPr>
          <w:spacing w:val="-2"/>
        </w:rPr>
        <w:t>Unlike</w:t>
      </w:r>
      <w:r>
        <w:rPr>
          <w:spacing w:val="-7"/>
        </w:rPr>
        <w:t> </w:t>
      </w:r>
      <w:r>
        <w:rPr>
          <w:spacing w:val="-2"/>
        </w:rPr>
        <w:t>the</w:t>
      </w:r>
      <w:r>
        <w:rPr>
          <w:spacing w:val="-7"/>
        </w:rPr>
        <w:t> </w:t>
      </w:r>
      <w:r>
        <w:rPr>
          <w:spacing w:val="-2"/>
        </w:rPr>
        <w:t>figures</w:t>
      </w:r>
      <w:r>
        <w:rPr>
          <w:spacing w:val="-7"/>
        </w:rPr>
        <w:t> </w:t>
      </w:r>
      <w:r>
        <w:rPr>
          <w:spacing w:val="-2"/>
        </w:rPr>
        <w:t>of</w:t>
      </w:r>
      <w:r>
        <w:rPr>
          <w:spacing w:val="-7"/>
        </w:rPr>
        <w:t> </w:t>
      </w:r>
      <w:r>
        <w:rPr>
          <w:spacing w:val="-2"/>
        </w:rPr>
        <w:t>tragedy,</w:t>
      </w:r>
      <w:r>
        <w:rPr>
          <w:spacing w:val="-7"/>
        </w:rPr>
        <w:t> </w:t>
      </w:r>
      <w:r>
        <w:rPr>
          <w:spacing w:val="-2"/>
        </w:rPr>
        <w:t>Paulina</w:t>
      </w:r>
      <w:r>
        <w:rPr>
          <w:spacing w:val="-7"/>
        </w:rPr>
        <w:t> </w:t>
      </w:r>
      <w:r>
        <w:rPr>
          <w:spacing w:val="-2"/>
        </w:rPr>
        <w:t>in</w:t>
      </w:r>
      <w:r>
        <w:rPr>
          <w:spacing w:val="-9"/>
        </w:rPr>
        <w:t> </w:t>
      </w:r>
      <w:r>
        <w:rPr>
          <w:spacing w:val="-2"/>
        </w:rPr>
        <w:t>The</w:t>
      </w:r>
      <w:r>
        <w:rPr>
          <w:spacing w:val="-6"/>
        </w:rPr>
        <w:t> </w:t>
      </w:r>
      <w:r>
        <w:rPr>
          <w:spacing w:val="-2"/>
        </w:rPr>
        <w:t>Winter’s</w:t>
      </w:r>
      <w:r>
        <w:rPr>
          <w:spacing w:val="-11"/>
        </w:rPr>
        <w:t> </w:t>
      </w:r>
      <w:r>
        <w:rPr>
          <w:spacing w:val="-2"/>
        </w:rPr>
        <w:t>Tale</w:t>
      </w:r>
      <w:r>
        <w:rPr>
          <w:spacing w:val="-4"/>
        </w:rPr>
        <w:t> </w:t>
      </w:r>
      <w:r>
        <w:rPr>
          <w:spacing w:val="-2"/>
        </w:rPr>
        <w:t>provides </w:t>
      </w:r>
      <w:r>
        <w:rPr/>
        <w:t>a model for active resistance. By refusing to comply with the King’s narrative of infidelity, she represents the modern whistleblower. This section analyzes her rhetorical strategies and her role in forcing </w:t>
      </w:r>
      <w:r>
        <w:rPr>
          <w:spacing w:val="-2"/>
        </w:rPr>
        <w:t>institutional</w:t>
      </w:r>
      <w:r>
        <w:rPr>
          <w:spacing w:val="-3"/>
        </w:rPr>
        <w:t> </w:t>
      </w:r>
      <w:r>
        <w:rPr>
          <w:spacing w:val="-2"/>
        </w:rPr>
        <w:t>accountability</w:t>
      </w:r>
      <w:r>
        <w:rPr>
          <w:spacing w:val="-3"/>
        </w:rPr>
        <w:t> </w:t>
      </w:r>
      <w:r>
        <w:rPr>
          <w:spacing w:val="-2"/>
        </w:rPr>
        <w:t>over a sixteen-year duration. Paulina’s</w:t>
      </w:r>
      <w:r>
        <w:rPr>
          <w:spacing w:val="-3"/>
        </w:rPr>
        <w:t> </w:t>
      </w:r>
      <w:r>
        <w:rPr>
          <w:spacing w:val="-2"/>
        </w:rPr>
        <w:t>refusal </w:t>
      </w:r>
      <w:r>
        <w:rPr/>
        <w:t>to be silenced by the threat of treason highlights a rare moment of female</w:t>
      </w:r>
      <w:r>
        <w:rPr>
          <w:spacing w:val="40"/>
        </w:rPr>
        <w:t> </w:t>
      </w:r>
      <w:r>
        <w:rPr/>
        <w:t>political sovereignty within</w:t>
      </w:r>
      <w:r>
        <w:rPr>
          <w:spacing w:val="40"/>
        </w:rPr>
        <w:t> </w:t>
      </w:r>
      <w:r>
        <w:rPr/>
        <w:t>the Shakespearean</w:t>
      </w:r>
      <w:r>
        <w:rPr>
          <w:spacing w:val="40"/>
        </w:rPr>
        <w:t> </w:t>
      </w:r>
      <w:r>
        <w:rPr/>
        <w:t>canon.</w:t>
      </w:r>
    </w:p>
    <w:p>
      <w:pPr>
        <w:pStyle w:val="Heading3"/>
        <w:numPr>
          <w:ilvl w:val="0"/>
          <w:numId w:val="24"/>
        </w:numPr>
        <w:tabs>
          <w:tab w:pos="1810" w:val="left" w:leader="none"/>
        </w:tabs>
        <w:spacing w:line="240" w:lineRule="auto" w:before="161" w:after="0"/>
        <w:ind w:left="1810" w:right="0" w:hanging="370"/>
        <w:jc w:val="left"/>
      </w:pPr>
      <w:r>
        <w:rPr>
          <w:spacing w:val="-2"/>
        </w:rPr>
        <w:t>CONCLUSION</w:t>
      </w:r>
    </w:p>
    <w:p>
      <w:pPr>
        <w:pStyle w:val="BodyText"/>
        <w:spacing w:line="249" w:lineRule="auto" w:before="75"/>
        <w:ind w:right="1438" w:firstLine="432"/>
        <w:jc w:val="both"/>
      </w:pPr>
      <w:r>
        <w:rPr/>
        <w:t>Re-reading Shakespeare through the lens of #MeToo is not about finding anachronisms, but about acknowledging the cyclical nature of patriarchal violence and female resistance. By restoring the voices of Isabella, Ophelia, and Desdemona, we ensure the plays continue to function as a mirror to our current social struggles. The legacy of Shakespearean women is one of enduring agency even within the constraints</w:t>
      </w:r>
      <w:r>
        <w:rPr>
          <w:spacing w:val="40"/>
        </w:rPr>
        <w:t> </w:t>
      </w:r>
      <w:r>
        <w:rPr/>
        <w:t>of</w:t>
      </w:r>
      <w:r>
        <w:rPr>
          <w:spacing w:val="40"/>
        </w:rPr>
        <w:t> </w:t>
      </w:r>
      <w:r>
        <w:rPr/>
        <w:t>absolute</w:t>
      </w:r>
      <w:r>
        <w:rPr>
          <w:spacing w:val="40"/>
        </w:rPr>
        <w:t> </w:t>
      </w:r>
      <w:r>
        <w:rPr/>
        <w:t>silence.</w:t>
      </w:r>
    </w:p>
    <w:p>
      <w:pPr>
        <w:pStyle w:val="Heading3"/>
        <w:numPr>
          <w:ilvl w:val="0"/>
          <w:numId w:val="24"/>
        </w:numPr>
        <w:tabs>
          <w:tab w:pos="1867" w:val="left" w:leader="none"/>
        </w:tabs>
        <w:spacing w:line="240" w:lineRule="auto" w:before="160" w:after="0"/>
        <w:ind w:left="1867" w:right="0" w:hanging="427"/>
        <w:jc w:val="left"/>
      </w:pPr>
      <w:r>
        <w:rPr>
          <w:spacing w:val="-6"/>
        </w:rPr>
        <w:t>COMPARISON</w:t>
      </w:r>
      <w:r>
        <w:rPr>
          <w:spacing w:val="-5"/>
        </w:rPr>
        <w:t> </w:t>
      </w:r>
      <w:r>
        <w:rPr>
          <w:spacing w:val="-4"/>
        </w:rPr>
        <w:t>TABLE</w:t>
      </w:r>
    </w:p>
    <w:p>
      <w:pPr>
        <w:pStyle w:val="BodyText"/>
        <w:spacing w:before="2"/>
        <w:ind w:left="0"/>
        <w:rPr>
          <w:rFonts w:ascii="Tahoma"/>
          <w:b/>
          <w:sz w:val="9"/>
        </w:rPr>
      </w:pPr>
    </w:p>
    <w:tbl>
      <w:tblPr>
        <w:tblW w:w="0" w:type="auto"/>
        <w:jc w:val="left"/>
        <w:tblInd w:w="1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1"/>
        <w:gridCol w:w="2174"/>
        <w:gridCol w:w="2603"/>
      </w:tblGrid>
      <w:tr>
        <w:trPr>
          <w:trHeight w:val="344" w:hRule="atLeast"/>
        </w:trPr>
        <w:tc>
          <w:tcPr>
            <w:tcW w:w="981" w:type="dxa"/>
            <w:tcBorders>
              <w:top w:val="single" w:sz="8" w:space="0" w:color="000000"/>
            </w:tcBorders>
          </w:tcPr>
          <w:p>
            <w:pPr>
              <w:pStyle w:val="TableParagraph"/>
              <w:spacing w:before="100"/>
              <w:ind w:left="-1"/>
              <w:rPr>
                <w:sz w:val="18"/>
              </w:rPr>
            </w:pPr>
            <w:r>
              <w:rPr>
                <w:spacing w:val="-2"/>
                <w:sz w:val="18"/>
              </w:rPr>
              <w:t>Character</w:t>
            </w:r>
          </w:p>
        </w:tc>
        <w:tc>
          <w:tcPr>
            <w:tcW w:w="2174" w:type="dxa"/>
            <w:tcBorders>
              <w:top w:val="single" w:sz="8" w:space="0" w:color="000000"/>
            </w:tcBorders>
          </w:tcPr>
          <w:p>
            <w:pPr>
              <w:pStyle w:val="TableParagraph"/>
              <w:spacing w:before="100"/>
              <w:ind w:left="144"/>
              <w:rPr>
                <w:sz w:val="18"/>
              </w:rPr>
            </w:pPr>
            <w:r>
              <w:rPr>
                <w:sz w:val="18"/>
              </w:rPr>
              <w:t>Mechanism</w:t>
            </w:r>
            <w:r>
              <w:rPr>
                <w:spacing w:val="-3"/>
                <w:sz w:val="18"/>
              </w:rPr>
              <w:t> </w:t>
            </w:r>
            <w:r>
              <w:rPr>
                <w:sz w:val="18"/>
              </w:rPr>
              <w:t>of</w:t>
            </w:r>
            <w:r>
              <w:rPr>
                <w:spacing w:val="1"/>
                <w:sz w:val="18"/>
              </w:rPr>
              <w:t> </w:t>
            </w:r>
            <w:r>
              <w:rPr>
                <w:spacing w:val="-2"/>
                <w:sz w:val="18"/>
              </w:rPr>
              <w:t>Silencing</w:t>
            </w:r>
          </w:p>
        </w:tc>
        <w:tc>
          <w:tcPr>
            <w:tcW w:w="2603" w:type="dxa"/>
            <w:tcBorders>
              <w:top w:val="single" w:sz="8" w:space="0" w:color="000000"/>
            </w:tcBorders>
          </w:tcPr>
          <w:p>
            <w:pPr>
              <w:pStyle w:val="TableParagraph"/>
              <w:spacing w:before="100"/>
              <w:ind w:left="262"/>
              <w:rPr>
                <w:sz w:val="18"/>
              </w:rPr>
            </w:pPr>
            <w:r>
              <w:rPr>
                <w:sz w:val="18"/>
              </w:rPr>
              <w:t>Modern</w:t>
            </w:r>
            <w:r>
              <w:rPr>
                <w:spacing w:val="10"/>
                <w:sz w:val="18"/>
              </w:rPr>
              <w:t> </w:t>
            </w:r>
            <w:r>
              <w:rPr>
                <w:spacing w:val="-2"/>
                <w:sz w:val="18"/>
              </w:rPr>
              <w:t>Parallel</w:t>
            </w:r>
          </w:p>
        </w:tc>
      </w:tr>
      <w:tr>
        <w:trPr>
          <w:trHeight w:val="273" w:hRule="atLeast"/>
        </w:trPr>
        <w:tc>
          <w:tcPr>
            <w:tcW w:w="981" w:type="dxa"/>
          </w:tcPr>
          <w:p>
            <w:pPr>
              <w:pStyle w:val="TableParagraph"/>
              <w:spacing w:before="29"/>
              <w:ind w:left="-1"/>
              <w:rPr>
                <w:sz w:val="18"/>
              </w:rPr>
            </w:pPr>
            <w:r>
              <w:rPr>
                <w:spacing w:val="-2"/>
                <w:sz w:val="18"/>
              </w:rPr>
              <w:t>Isabella</w:t>
            </w:r>
          </w:p>
        </w:tc>
        <w:tc>
          <w:tcPr>
            <w:tcW w:w="2174" w:type="dxa"/>
          </w:tcPr>
          <w:p>
            <w:pPr>
              <w:pStyle w:val="TableParagraph"/>
              <w:spacing w:before="29"/>
              <w:ind w:left="145"/>
              <w:rPr>
                <w:sz w:val="18"/>
              </w:rPr>
            </w:pPr>
            <w:r>
              <w:rPr>
                <w:sz w:val="18"/>
              </w:rPr>
              <w:t>Institutional</w:t>
            </w:r>
            <w:r>
              <w:rPr>
                <w:spacing w:val="44"/>
                <w:sz w:val="18"/>
              </w:rPr>
              <w:t> </w:t>
            </w:r>
            <w:r>
              <w:rPr>
                <w:spacing w:val="-2"/>
                <w:sz w:val="18"/>
              </w:rPr>
              <w:t>Reputation</w:t>
            </w:r>
          </w:p>
        </w:tc>
        <w:tc>
          <w:tcPr>
            <w:tcW w:w="2603" w:type="dxa"/>
          </w:tcPr>
          <w:p>
            <w:pPr>
              <w:pStyle w:val="TableParagraph"/>
              <w:spacing w:before="29"/>
              <w:ind w:left="263"/>
              <w:rPr>
                <w:sz w:val="18"/>
              </w:rPr>
            </w:pPr>
            <w:r>
              <w:rPr>
                <w:sz w:val="18"/>
              </w:rPr>
              <w:t>Quid</w:t>
            </w:r>
            <w:r>
              <w:rPr>
                <w:spacing w:val="33"/>
                <w:sz w:val="18"/>
              </w:rPr>
              <w:t> </w:t>
            </w:r>
            <w:r>
              <w:rPr>
                <w:sz w:val="18"/>
              </w:rPr>
              <w:t>Pro</w:t>
            </w:r>
            <w:r>
              <w:rPr>
                <w:spacing w:val="33"/>
                <w:sz w:val="18"/>
              </w:rPr>
              <w:t> </w:t>
            </w:r>
            <w:r>
              <w:rPr>
                <w:sz w:val="18"/>
              </w:rPr>
              <w:t>Quo</w:t>
            </w:r>
            <w:r>
              <w:rPr>
                <w:spacing w:val="33"/>
                <w:sz w:val="18"/>
              </w:rPr>
              <w:t> </w:t>
            </w:r>
            <w:r>
              <w:rPr>
                <w:spacing w:val="-2"/>
                <w:sz w:val="18"/>
              </w:rPr>
              <w:t>Harassment</w:t>
            </w:r>
          </w:p>
        </w:tc>
      </w:tr>
      <w:tr>
        <w:trPr>
          <w:trHeight w:val="273" w:hRule="atLeast"/>
        </w:trPr>
        <w:tc>
          <w:tcPr>
            <w:tcW w:w="981" w:type="dxa"/>
          </w:tcPr>
          <w:p>
            <w:pPr>
              <w:pStyle w:val="TableParagraph"/>
              <w:spacing w:before="29"/>
              <w:ind w:left="-1"/>
              <w:rPr>
                <w:sz w:val="18"/>
              </w:rPr>
            </w:pPr>
            <w:r>
              <w:rPr>
                <w:spacing w:val="-2"/>
                <w:sz w:val="18"/>
              </w:rPr>
              <w:t>Ophelia</w:t>
            </w:r>
          </w:p>
        </w:tc>
        <w:tc>
          <w:tcPr>
            <w:tcW w:w="2174" w:type="dxa"/>
          </w:tcPr>
          <w:p>
            <w:pPr>
              <w:pStyle w:val="TableParagraph"/>
              <w:spacing w:before="29"/>
              <w:ind w:left="143"/>
              <w:rPr>
                <w:sz w:val="18"/>
              </w:rPr>
            </w:pPr>
            <w:r>
              <w:rPr>
                <w:spacing w:val="-4"/>
                <w:sz w:val="18"/>
              </w:rPr>
              <w:t>Social</w:t>
            </w:r>
            <w:r>
              <w:rPr>
                <w:spacing w:val="-5"/>
                <w:sz w:val="18"/>
              </w:rPr>
              <w:t> </w:t>
            </w:r>
            <w:r>
              <w:rPr>
                <w:spacing w:val="-2"/>
                <w:sz w:val="18"/>
              </w:rPr>
              <w:t>Surveillance</w:t>
            </w:r>
          </w:p>
        </w:tc>
        <w:tc>
          <w:tcPr>
            <w:tcW w:w="2603" w:type="dxa"/>
          </w:tcPr>
          <w:p>
            <w:pPr>
              <w:pStyle w:val="TableParagraph"/>
              <w:spacing w:before="29"/>
              <w:ind w:left="264"/>
              <w:rPr>
                <w:sz w:val="18"/>
              </w:rPr>
            </w:pPr>
            <w:r>
              <w:rPr>
                <w:sz w:val="18"/>
              </w:rPr>
              <w:t>Gaslighting</w:t>
            </w:r>
            <w:r>
              <w:rPr>
                <w:spacing w:val="7"/>
                <w:sz w:val="18"/>
              </w:rPr>
              <w:t> </w:t>
            </w:r>
            <w:r>
              <w:rPr>
                <w:sz w:val="18"/>
              </w:rPr>
              <w:t>/</w:t>
            </w:r>
            <w:r>
              <w:rPr>
                <w:spacing w:val="5"/>
                <w:sz w:val="18"/>
              </w:rPr>
              <w:t> </w:t>
            </w:r>
            <w:r>
              <w:rPr>
                <w:sz w:val="18"/>
              </w:rPr>
              <w:t>Emotional</w:t>
            </w:r>
            <w:r>
              <w:rPr>
                <w:spacing w:val="-3"/>
                <w:sz w:val="18"/>
              </w:rPr>
              <w:t> </w:t>
            </w:r>
            <w:r>
              <w:rPr>
                <w:spacing w:val="-4"/>
                <w:sz w:val="18"/>
              </w:rPr>
              <w:t>Abuse</w:t>
            </w:r>
          </w:p>
        </w:tc>
      </w:tr>
      <w:tr>
        <w:trPr>
          <w:trHeight w:val="283" w:hRule="atLeast"/>
        </w:trPr>
        <w:tc>
          <w:tcPr>
            <w:tcW w:w="981" w:type="dxa"/>
          </w:tcPr>
          <w:p>
            <w:pPr>
              <w:pStyle w:val="TableParagraph"/>
              <w:spacing w:before="29"/>
              <w:ind w:left="-1"/>
              <w:rPr>
                <w:sz w:val="18"/>
              </w:rPr>
            </w:pPr>
            <w:r>
              <w:rPr>
                <w:spacing w:val="-2"/>
                <w:sz w:val="18"/>
              </w:rPr>
              <w:t>Desdemona</w:t>
            </w:r>
          </w:p>
        </w:tc>
        <w:tc>
          <w:tcPr>
            <w:tcW w:w="2174" w:type="dxa"/>
          </w:tcPr>
          <w:p>
            <w:pPr>
              <w:pStyle w:val="TableParagraph"/>
              <w:spacing w:before="29"/>
              <w:ind w:left="142"/>
              <w:rPr>
                <w:sz w:val="18"/>
              </w:rPr>
            </w:pPr>
            <w:r>
              <w:rPr>
                <w:sz w:val="18"/>
              </w:rPr>
              <w:t>Character</w:t>
            </w:r>
            <w:r>
              <w:rPr>
                <w:spacing w:val="14"/>
                <w:sz w:val="18"/>
              </w:rPr>
              <w:t> </w:t>
            </w:r>
            <w:r>
              <w:rPr>
                <w:spacing w:val="-2"/>
                <w:sz w:val="18"/>
              </w:rPr>
              <w:t>Assassination</w:t>
            </w:r>
          </w:p>
        </w:tc>
        <w:tc>
          <w:tcPr>
            <w:tcW w:w="2603" w:type="dxa"/>
          </w:tcPr>
          <w:p>
            <w:pPr>
              <w:pStyle w:val="TableParagraph"/>
              <w:spacing w:before="29"/>
              <w:ind w:left="261"/>
              <w:rPr>
                <w:sz w:val="18"/>
              </w:rPr>
            </w:pPr>
            <w:r>
              <w:rPr>
                <w:sz w:val="18"/>
              </w:rPr>
              <w:t>Reputational</w:t>
            </w:r>
            <w:r>
              <w:rPr>
                <w:spacing w:val="8"/>
                <w:sz w:val="18"/>
              </w:rPr>
              <w:t> </w:t>
            </w:r>
            <w:r>
              <w:rPr>
                <w:sz w:val="18"/>
              </w:rPr>
              <w:t>Smear</w:t>
            </w:r>
            <w:r>
              <w:rPr>
                <w:spacing w:val="11"/>
                <w:sz w:val="18"/>
              </w:rPr>
              <w:t> </w:t>
            </w:r>
            <w:r>
              <w:rPr>
                <w:spacing w:val="-2"/>
                <w:sz w:val="18"/>
              </w:rPr>
              <w:t>Campaigns</w:t>
            </w:r>
          </w:p>
        </w:tc>
      </w:tr>
      <w:tr>
        <w:trPr>
          <w:trHeight w:val="331" w:hRule="atLeast"/>
        </w:trPr>
        <w:tc>
          <w:tcPr>
            <w:tcW w:w="981" w:type="dxa"/>
            <w:tcBorders>
              <w:bottom w:val="single" w:sz="8" w:space="0" w:color="000000"/>
            </w:tcBorders>
          </w:tcPr>
          <w:p>
            <w:pPr>
              <w:pStyle w:val="TableParagraph"/>
              <w:spacing w:before="39"/>
              <w:ind w:left="-1"/>
              <w:rPr>
                <w:sz w:val="18"/>
              </w:rPr>
            </w:pPr>
            <w:r>
              <w:rPr>
                <w:spacing w:val="-2"/>
                <w:sz w:val="18"/>
              </w:rPr>
              <w:t>Paulina</w:t>
            </w:r>
          </w:p>
        </w:tc>
        <w:tc>
          <w:tcPr>
            <w:tcW w:w="2174" w:type="dxa"/>
            <w:tcBorders>
              <w:bottom w:val="single" w:sz="8" w:space="0" w:color="000000"/>
            </w:tcBorders>
          </w:tcPr>
          <w:p>
            <w:pPr>
              <w:pStyle w:val="TableParagraph"/>
              <w:spacing w:before="39"/>
              <w:ind w:left="144"/>
              <w:rPr>
                <w:sz w:val="18"/>
              </w:rPr>
            </w:pPr>
            <w:r>
              <w:rPr>
                <w:spacing w:val="-2"/>
                <w:sz w:val="18"/>
              </w:rPr>
              <w:t>Rhetorical</w:t>
            </w:r>
            <w:r>
              <w:rPr>
                <w:spacing w:val="8"/>
                <w:sz w:val="18"/>
              </w:rPr>
              <w:t> </w:t>
            </w:r>
            <w:r>
              <w:rPr>
                <w:spacing w:val="-2"/>
                <w:sz w:val="18"/>
              </w:rPr>
              <w:t>Defiance</w:t>
            </w:r>
          </w:p>
        </w:tc>
        <w:tc>
          <w:tcPr>
            <w:tcW w:w="2603" w:type="dxa"/>
            <w:tcBorders>
              <w:bottom w:val="single" w:sz="8" w:space="0" w:color="000000"/>
            </w:tcBorders>
          </w:tcPr>
          <w:p>
            <w:pPr>
              <w:pStyle w:val="TableParagraph"/>
              <w:spacing w:before="39"/>
              <w:ind w:left="262" w:right="-15"/>
              <w:rPr>
                <w:sz w:val="18"/>
              </w:rPr>
            </w:pPr>
            <w:r>
              <w:rPr>
                <w:spacing w:val="-2"/>
                <w:sz w:val="18"/>
              </w:rPr>
              <w:t>Whistleblowing</w:t>
            </w:r>
            <w:r>
              <w:rPr>
                <w:spacing w:val="3"/>
                <w:sz w:val="18"/>
              </w:rPr>
              <w:t> </w:t>
            </w:r>
            <w:r>
              <w:rPr>
                <w:spacing w:val="-2"/>
                <w:sz w:val="18"/>
              </w:rPr>
              <w:t>/</w:t>
            </w:r>
            <w:r>
              <w:rPr>
                <w:spacing w:val="-5"/>
                <w:sz w:val="18"/>
              </w:rPr>
              <w:t> </w:t>
            </w:r>
            <w:r>
              <w:rPr>
                <w:spacing w:val="-2"/>
                <w:sz w:val="18"/>
              </w:rPr>
              <w:t>Accountability</w:t>
            </w:r>
          </w:p>
        </w:tc>
      </w:tr>
    </w:tbl>
    <w:p>
      <w:pPr>
        <w:pStyle w:val="Heading3"/>
        <w:spacing w:before="117"/>
      </w:pPr>
      <w:r>
        <w:rPr>
          <w:spacing w:val="-2"/>
          <w:w w:val="95"/>
        </w:rPr>
        <w:t>REFERENCES</w:t>
      </w:r>
    </w:p>
    <w:p>
      <w:pPr>
        <w:pStyle w:val="ListParagraph"/>
        <w:numPr>
          <w:ilvl w:val="1"/>
          <w:numId w:val="24"/>
        </w:numPr>
        <w:tabs>
          <w:tab w:pos="2157" w:val="left" w:leader="none"/>
          <w:tab w:pos="2160" w:val="left" w:leader="none"/>
        </w:tabs>
        <w:spacing w:line="261" w:lineRule="auto" w:before="84" w:after="0"/>
        <w:ind w:left="2160" w:right="1443" w:hanging="315"/>
        <w:jc w:val="left"/>
        <w:rPr>
          <w:sz w:val="19"/>
        </w:rPr>
      </w:pPr>
      <w:r>
        <w:rPr>
          <w:sz w:val="19"/>
        </w:rPr>
        <w:t>Butler, J. (1990). Gender Trouble: Feminism and the Subversion of</w:t>
      </w:r>
      <w:r>
        <w:rPr>
          <w:spacing w:val="40"/>
          <w:sz w:val="19"/>
        </w:rPr>
        <w:t> </w:t>
      </w:r>
      <w:r>
        <w:rPr>
          <w:sz w:val="19"/>
        </w:rPr>
        <w:t>Identity.</w:t>
      </w:r>
      <w:r>
        <w:rPr>
          <w:spacing w:val="40"/>
          <w:sz w:val="19"/>
        </w:rPr>
        <w:t> </w:t>
      </w:r>
      <w:r>
        <w:rPr>
          <w:sz w:val="19"/>
        </w:rPr>
        <w:t>Routledge.</w:t>
      </w:r>
    </w:p>
    <w:p>
      <w:pPr>
        <w:pStyle w:val="ListParagraph"/>
        <w:spacing w:after="0" w:line="261" w:lineRule="auto"/>
        <w:jc w:val="left"/>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0240">
                <wp:simplePos x="0" y="0"/>
                <wp:positionH relativeFrom="page">
                  <wp:posOffset>2057400</wp:posOffset>
                </wp:positionH>
                <wp:positionV relativeFrom="paragraph">
                  <wp:posOffset>162604</wp:posOffset>
                </wp:positionV>
                <wp:extent cx="3657600" cy="12700"/>
                <wp:effectExtent l="0" t="0" r="0" b="0"/>
                <wp:wrapTopAndBottom/>
                <wp:docPr id="329" name="Graphic 329"/>
                <wp:cNvGraphicFramePr>
                  <a:graphicFrameLocks/>
                </wp:cNvGraphicFramePr>
                <a:graphic>
                  <a:graphicData uri="http://schemas.microsoft.com/office/word/2010/wordprocessingShape">
                    <wps:wsp>
                      <wps:cNvPr id="329" name="Graphic 32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26240;mso-wrap-distance-left:0;mso-wrap-distance-right:0" id="docshape325" filled="true" fillcolor="#000000" stroked="false">
                <v:fill type="solid"/>
                <w10:wrap type="topAndBottom"/>
              </v:rect>
            </w:pict>
          </mc:Fallback>
        </mc:AlternateContent>
      </w:r>
      <w:r>
        <w:rPr>
          <w:rFonts w:ascii="Verdana"/>
          <w:spacing w:val="-5"/>
          <w:sz w:val="18"/>
        </w:rPr>
        <w:t>116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1"/>
          <w:numId w:val="24"/>
        </w:numPr>
        <w:tabs>
          <w:tab w:pos="2157" w:val="left" w:leader="none"/>
          <w:tab w:pos="2160" w:val="left" w:leader="none"/>
        </w:tabs>
        <w:spacing w:line="261" w:lineRule="auto" w:before="199" w:after="0"/>
        <w:ind w:left="2160" w:right="1444" w:hanging="315"/>
        <w:jc w:val="left"/>
        <w:rPr>
          <w:sz w:val="19"/>
        </w:rPr>
      </w:pPr>
      <w:r>
        <w:rPr>
          <w:sz w:val="19"/>
        </w:rPr>
        <w:t>Fricker, M. (2007). Epistemic Injustice: Power and the Ethics of Knowing.</w:t>
      </w:r>
      <w:r>
        <w:rPr>
          <w:spacing w:val="40"/>
          <w:sz w:val="19"/>
        </w:rPr>
        <w:t> </w:t>
      </w:r>
      <w:r>
        <w:rPr>
          <w:sz w:val="19"/>
        </w:rPr>
        <w:t>Oxford</w:t>
      </w:r>
      <w:r>
        <w:rPr>
          <w:spacing w:val="40"/>
          <w:sz w:val="19"/>
        </w:rPr>
        <w:t> </w:t>
      </w:r>
      <w:r>
        <w:rPr>
          <w:sz w:val="19"/>
        </w:rPr>
        <w:t>University</w:t>
      </w:r>
      <w:r>
        <w:rPr>
          <w:spacing w:val="40"/>
          <w:sz w:val="19"/>
        </w:rPr>
        <w:t> </w:t>
      </w:r>
      <w:r>
        <w:rPr>
          <w:sz w:val="19"/>
        </w:rPr>
        <w:t>Press.</w:t>
      </w:r>
    </w:p>
    <w:p>
      <w:pPr>
        <w:pStyle w:val="ListParagraph"/>
        <w:numPr>
          <w:ilvl w:val="1"/>
          <w:numId w:val="24"/>
        </w:numPr>
        <w:tabs>
          <w:tab w:pos="2157" w:val="left" w:leader="none"/>
          <w:tab w:pos="2160" w:val="left" w:leader="none"/>
        </w:tabs>
        <w:spacing w:line="264" w:lineRule="auto" w:before="57" w:after="0"/>
        <w:ind w:left="2160" w:right="1442" w:hanging="315"/>
        <w:jc w:val="left"/>
        <w:rPr>
          <w:sz w:val="19"/>
        </w:rPr>
      </w:pPr>
      <w:r>
        <w:rPr>
          <w:sz w:val="19"/>
        </w:rPr>
        <w:t>Greenblatt,</w:t>
      </w:r>
      <w:r>
        <w:rPr>
          <w:spacing w:val="38"/>
          <w:sz w:val="19"/>
        </w:rPr>
        <w:t> </w:t>
      </w:r>
      <w:r>
        <w:rPr>
          <w:sz w:val="19"/>
        </w:rPr>
        <w:t>S.</w:t>
      </w:r>
      <w:r>
        <w:rPr>
          <w:spacing w:val="38"/>
          <w:sz w:val="19"/>
        </w:rPr>
        <w:t> </w:t>
      </w:r>
      <w:r>
        <w:rPr>
          <w:sz w:val="19"/>
        </w:rPr>
        <w:t>(2018).</w:t>
      </w:r>
      <w:r>
        <w:rPr>
          <w:spacing w:val="33"/>
          <w:sz w:val="19"/>
        </w:rPr>
        <w:t> </w:t>
      </w:r>
      <w:r>
        <w:rPr>
          <w:sz w:val="19"/>
        </w:rPr>
        <w:t>Tyrant:</w:t>
      </w:r>
      <w:r>
        <w:rPr>
          <w:spacing w:val="38"/>
          <w:sz w:val="19"/>
        </w:rPr>
        <w:t> </w:t>
      </w:r>
      <w:r>
        <w:rPr>
          <w:sz w:val="19"/>
        </w:rPr>
        <w:t>Shakespeare</w:t>
      </w:r>
      <w:r>
        <w:rPr>
          <w:spacing w:val="36"/>
          <w:sz w:val="19"/>
        </w:rPr>
        <w:t> </w:t>
      </w:r>
      <w:r>
        <w:rPr>
          <w:sz w:val="19"/>
        </w:rPr>
        <w:t>on</w:t>
      </w:r>
      <w:r>
        <w:rPr>
          <w:spacing w:val="38"/>
          <w:sz w:val="19"/>
        </w:rPr>
        <w:t> </w:t>
      </w:r>
      <w:r>
        <w:rPr>
          <w:sz w:val="19"/>
        </w:rPr>
        <w:t>Politics.</w:t>
      </w:r>
      <w:r>
        <w:rPr>
          <w:spacing w:val="35"/>
          <w:sz w:val="19"/>
        </w:rPr>
        <w:t> </w:t>
      </w:r>
      <w:r>
        <w:rPr>
          <w:sz w:val="19"/>
        </w:rPr>
        <w:t>W.</w:t>
      </w:r>
      <w:r>
        <w:rPr>
          <w:spacing w:val="35"/>
          <w:sz w:val="19"/>
        </w:rPr>
        <w:t> </w:t>
      </w:r>
      <w:r>
        <w:rPr>
          <w:sz w:val="19"/>
        </w:rPr>
        <w:t>W. Norton</w:t>
      </w:r>
      <w:r>
        <w:rPr>
          <w:spacing w:val="40"/>
          <w:sz w:val="19"/>
        </w:rPr>
        <w:t> </w:t>
      </w:r>
      <w:r>
        <w:rPr>
          <w:sz w:val="19"/>
        </w:rPr>
        <w:t>&amp;</w:t>
      </w:r>
      <w:r>
        <w:rPr>
          <w:spacing w:val="40"/>
          <w:sz w:val="19"/>
        </w:rPr>
        <w:t> </w:t>
      </w:r>
      <w:r>
        <w:rPr>
          <w:sz w:val="19"/>
        </w:rPr>
        <w:t>Company.</w:t>
      </w:r>
    </w:p>
    <w:p>
      <w:pPr>
        <w:pStyle w:val="ListParagraph"/>
        <w:numPr>
          <w:ilvl w:val="1"/>
          <w:numId w:val="24"/>
        </w:numPr>
        <w:tabs>
          <w:tab w:pos="2157" w:val="left" w:leader="none"/>
          <w:tab w:pos="2160" w:val="left" w:leader="none"/>
        </w:tabs>
        <w:spacing w:line="261" w:lineRule="auto" w:before="54" w:after="0"/>
        <w:ind w:left="2160" w:right="1443" w:hanging="315"/>
        <w:jc w:val="left"/>
        <w:rPr>
          <w:sz w:val="19"/>
        </w:rPr>
      </w:pPr>
      <w:r>
        <w:rPr>
          <w:sz w:val="19"/>
        </w:rPr>
        <w:t>Lenz, C. R. S. (1980). The Woman’s Part: Feminist Criticism of Shakespeare.</w:t>
      </w:r>
      <w:r>
        <w:rPr>
          <w:spacing w:val="40"/>
          <w:sz w:val="19"/>
        </w:rPr>
        <w:t> </w:t>
      </w:r>
      <w:r>
        <w:rPr>
          <w:sz w:val="19"/>
        </w:rPr>
        <w:t>University</w:t>
      </w:r>
      <w:r>
        <w:rPr>
          <w:spacing w:val="40"/>
          <w:sz w:val="19"/>
        </w:rPr>
        <w:t> </w:t>
      </w:r>
      <w:r>
        <w:rPr>
          <w:sz w:val="19"/>
        </w:rPr>
        <w:t>of</w:t>
      </w:r>
      <w:r>
        <w:rPr>
          <w:spacing w:val="40"/>
          <w:sz w:val="19"/>
        </w:rPr>
        <w:t> </w:t>
      </w:r>
      <w:r>
        <w:rPr>
          <w:sz w:val="19"/>
        </w:rPr>
        <w:t>Illinois</w:t>
      </w:r>
      <w:r>
        <w:rPr>
          <w:spacing w:val="40"/>
          <w:sz w:val="19"/>
        </w:rPr>
        <w:t> </w:t>
      </w:r>
      <w:r>
        <w:rPr>
          <w:sz w:val="19"/>
        </w:rPr>
        <w:t>Press.</w:t>
      </w:r>
    </w:p>
    <w:p>
      <w:pPr>
        <w:pStyle w:val="ListParagraph"/>
        <w:numPr>
          <w:ilvl w:val="1"/>
          <w:numId w:val="24"/>
        </w:numPr>
        <w:tabs>
          <w:tab w:pos="2157" w:val="left" w:leader="none"/>
        </w:tabs>
        <w:spacing w:line="240" w:lineRule="auto" w:before="57" w:after="0"/>
        <w:ind w:left="2157" w:right="0" w:hanging="312"/>
        <w:jc w:val="left"/>
        <w:rPr>
          <w:sz w:val="19"/>
        </w:rPr>
      </w:pPr>
      <w:r>
        <w:rPr>
          <w:sz w:val="19"/>
        </w:rPr>
        <w:t>Shakespeare,</w:t>
      </w:r>
      <w:r>
        <w:rPr>
          <w:spacing w:val="9"/>
          <w:sz w:val="19"/>
        </w:rPr>
        <w:t> </w:t>
      </w:r>
      <w:r>
        <w:rPr>
          <w:sz w:val="19"/>
        </w:rPr>
        <w:t>W.</w:t>
      </w:r>
      <w:r>
        <w:rPr>
          <w:spacing w:val="14"/>
          <w:sz w:val="19"/>
        </w:rPr>
        <w:t> </w:t>
      </w:r>
      <w:r>
        <w:rPr>
          <w:sz w:val="19"/>
        </w:rPr>
        <w:t>(1623).</w:t>
      </w:r>
      <w:r>
        <w:rPr>
          <w:spacing w:val="11"/>
          <w:sz w:val="19"/>
        </w:rPr>
        <w:t> </w:t>
      </w:r>
      <w:r>
        <w:rPr>
          <w:sz w:val="19"/>
        </w:rPr>
        <w:t>The</w:t>
      </w:r>
      <w:r>
        <w:rPr>
          <w:spacing w:val="14"/>
          <w:sz w:val="19"/>
        </w:rPr>
        <w:t> </w:t>
      </w:r>
      <w:r>
        <w:rPr>
          <w:sz w:val="19"/>
        </w:rPr>
        <w:t>Complete</w:t>
      </w:r>
      <w:r>
        <w:rPr>
          <w:spacing w:val="11"/>
          <w:sz w:val="19"/>
        </w:rPr>
        <w:t> </w:t>
      </w:r>
      <w:r>
        <w:rPr>
          <w:sz w:val="19"/>
        </w:rPr>
        <w:t>Works.</w:t>
      </w:r>
      <w:r>
        <w:rPr>
          <w:spacing w:val="14"/>
          <w:sz w:val="19"/>
        </w:rPr>
        <w:t> </w:t>
      </w:r>
      <w:r>
        <w:rPr>
          <w:sz w:val="19"/>
        </w:rPr>
        <w:t>(Arden</w:t>
      </w:r>
      <w:r>
        <w:rPr>
          <w:spacing w:val="12"/>
          <w:sz w:val="19"/>
        </w:rPr>
        <w:t> </w:t>
      </w:r>
      <w:r>
        <w:rPr>
          <w:spacing w:val="-2"/>
          <w:sz w:val="19"/>
        </w:rPr>
        <w:t>Edition).</w:t>
      </w:r>
    </w:p>
    <w:p>
      <w:pPr>
        <w:pStyle w:val="ListParagraph"/>
        <w:spacing w:after="0" w:line="240"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55424">
                <wp:simplePos x="0" y="0"/>
                <wp:positionH relativeFrom="page">
                  <wp:posOffset>2057400</wp:posOffset>
                </wp:positionH>
                <wp:positionV relativeFrom="page">
                  <wp:posOffset>1788723</wp:posOffset>
                </wp:positionV>
                <wp:extent cx="3655060" cy="140335"/>
                <wp:effectExtent l="0" t="0" r="0" b="0"/>
                <wp:wrapNone/>
                <wp:docPr id="330" name="Textbox 330"/>
                <wp:cNvGraphicFramePr>
                  <a:graphicFrameLocks/>
                </wp:cNvGraphicFramePr>
                <a:graphic>
                  <a:graphicData uri="http://schemas.microsoft.com/office/word/2010/wordprocessingShape">
                    <wps:wsp>
                      <wps:cNvPr id="330" name="Textbox 330"/>
                      <wps:cNvSpPr txBox="1"/>
                      <wps:spPr>
                        <a:xfrm>
                          <a:off x="0" y="0"/>
                          <a:ext cx="3655060" cy="140335"/>
                        </a:xfrm>
                        <a:prstGeom prst="rect">
                          <a:avLst/>
                        </a:prstGeom>
                      </wps:spPr>
                      <wps:txbx>
                        <w:txbxContent>
                          <w:p>
                            <w:pPr>
                              <w:tabs>
                                <w:tab w:pos="5755" w:val="right" w:leader="none"/>
                              </w:tabs>
                              <w:spacing w:line="219" w:lineRule="exact" w:before="0"/>
                              <w:ind w:left="0" w:right="0" w:firstLine="0"/>
                              <w:jc w:val="left"/>
                              <w:rPr>
                                <w:rFonts w:ascii="Verdana"/>
                                <w:sz w:val="18"/>
                              </w:rPr>
                            </w:pPr>
                            <w:r>
                              <w:rPr>
                                <w:rFonts w:ascii="Verdana"/>
                                <w:sz w:val="18"/>
                              </w:rPr>
                              <w:t>Madness</w:t>
                            </w:r>
                            <w:r>
                              <w:rPr>
                                <w:rFonts w:ascii="Verdana"/>
                                <w:spacing w:val="-7"/>
                                <w:sz w:val="18"/>
                              </w:rPr>
                              <w:t> </w:t>
                            </w:r>
                            <w:r>
                              <w:rPr>
                                <w:rFonts w:ascii="Verdana"/>
                                <w:sz w:val="18"/>
                              </w:rPr>
                              <w:t>as</w:t>
                            </w:r>
                            <w:r>
                              <w:rPr>
                                <w:rFonts w:ascii="Verdana"/>
                                <w:spacing w:val="-7"/>
                                <w:sz w:val="18"/>
                              </w:rPr>
                              <w:t> </w:t>
                            </w:r>
                            <w:r>
                              <w:rPr>
                                <w:rFonts w:ascii="Verdana"/>
                                <w:sz w:val="18"/>
                              </w:rPr>
                              <w:t>A</w:t>
                            </w:r>
                            <w:r>
                              <w:rPr>
                                <w:rFonts w:ascii="Verdana"/>
                                <w:spacing w:val="-11"/>
                                <w:sz w:val="18"/>
                              </w:rPr>
                              <w:t> </w:t>
                            </w:r>
                            <w:r>
                              <w:rPr>
                                <w:rFonts w:ascii="Verdana"/>
                                <w:sz w:val="18"/>
                              </w:rPr>
                              <w:t>Social</w:t>
                            </w:r>
                            <w:r>
                              <w:rPr>
                                <w:rFonts w:ascii="Verdana"/>
                                <w:spacing w:val="-7"/>
                                <w:sz w:val="18"/>
                              </w:rPr>
                              <w:t> </w:t>
                            </w:r>
                            <w:r>
                              <w:rPr>
                                <w:rFonts w:ascii="Verdana"/>
                                <w:sz w:val="18"/>
                              </w:rPr>
                              <w:t>Construction:</w:t>
                            </w:r>
                            <w:r>
                              <w:rPr>
                                <w:rFonts w:ascii="Verdana"/>
                                <w:spacing w:val="-8"/>
                                <w:sz w:val="18"/>
                              </w:rPr>
                              <w:t> </w:t>
                            </w:r>
                            <w:r>
                              <w:rPr>
                                <w:rFonts w:ascii="Verdana"/>
                                <w:sz w:val="18"/>
                              </w:rPr>
                              <w:t>Trauma,</w:t>
                            </w:r>
                            <w:r>
                              <w:rPr>
                                <w:rFonts w:ascii="Verdana"/>
                                <w:spacing w:val="-7"/>
                                <w:sz w:val="18"/>
                              </w:rPr>
                              <w:t> </w:t>
                            </w:r>
                            <w:r>
                              <w:rPr>
                                <w:rFonts w:ascii="Verdana"/>
                                <w:sz w:val="18"/>
                              </w:rPr>
                              <w:t>Guilt</w:t>
                            </w:r>
                            <w:r>
                              <w:rPr>
                                <w:rFonts w:ascii="Verdana"/>
                                <w:spacing w:val="-6"/>
                                <w:sz w:val="18"/>
                              </w:rPr>
                              <w:t> </w:t>
                            </w:r>
                            <w:r>
                              <w:rPr>
                                <w:rFonts w:ascii="Verdana"/>
                                <w:spacing w:val="-5"/>
                                <w:sz w:val="18"/>
                              </w:rPr>
                              <w:t>...</w:t>
                            </w:r>
                            <w:r>
                              <w:rPr>
                                <w:sz w:val="18"/>
                              </w:rPr>
                              <w:tab/>
                            </w:r>
                            <w:r>
                              <w:rPr>
                                <w:rFonts w:ascii="Verdana"/>
                                <w:spacing w:val="-5"/>
                                <w:sz w:val="18"/>
                              </w:rPr>
                              <w:t>117</w:t>
                            </w:r>
                          </w:p>
                        </w:txbxContent>
                      </wps:txbx>
                      <wps:bodyPr wrap="square" lIns="0" tIns="0" rIns="0" bIns="0" rtlCol="0">
                        <a:noAutofit/>
                      </wps:bodyPr>
                    </wps:wsp>
                  </a:graphicData>
                </a:graphic>
              </wp:anchor>
            </w:drawing>
          </mc:Choice>
          <mc:Fallback>
            <w:pict>
              <v:shape style="position:absolute;margin-left:162pt;margin-top:140.844391pt;width:287.8pt;height:11.05pt;mso-position-horizontal-relative:page;mso-position-vertical-relative:page;z-index:-20461056" type="#_x0000_t202" id="docshape326" filled="false" stroked="false">
                <v:textbox inset="0,0,0,0">
                  <w:txbxContent>
                    <w:p>
                      <w:pPr>
                        <w:tabs>
                          <w:tab w:pos="5755" w:val="right" w:leader="none"/>
                        </w:tabs>
                        <w:spacing w:line="219" w:lineRule="exact" w:before="0"/>
                        <w:ind w:left="0" w:right="0" w:firstLine="0"/>
                        <w:jc w:val="left"/>
                        <w:rPr>
                          <w:rFonts w:ascii="Verdana"/>
                          <w:sz w:val="18"/>
                        </w:rPr>
                      </w:pPr>
                      <w:r>
                        <w:rPr>
                          <w:rFonts w:ascii="Verdana"/>
                          <w:sz w:val="18"/>
                        </w:rPr>
                        <w:t>Madness</w:t>
                      </w:r>
                      <w:r>
                        <w:rPr>
                          <w:rFonts w:ascii="Verdana"/>
                          <w:spacing w:val="-7"/>
                          <w:sz w:val="18"/>
                        </w:rPr>
                        <w:t> </w:t>
                      </w:r>
                      <w:r>
                        <w:rPr>
                          <w:rFonts w:ascii="Verdana"/>
                          <w:sz w:val="18"/>
                        </w:rPr>
                        <w:t>as</w:t>
                      </w:r>
                      <w:r>
                        <w:rPr>
                          <w:rFonts w:ascii="Verdana"/>
                          <w:spacing w:val="-7"/>
                          <w:sz w:val="18"/>
                        </w:rPr>
                        <w:t> </w:t>
                      </w:r>
                      <w:r>
                        <w:rPr>
                          <w:rFonts w:ascii="Verdana"/>
                          <w:sz w:val="18"/>
                        </w:rPr>
                        <w:t>A</w:t>
                      </w:r>
                      <w:r>
                        <w:rPr>
                          <w:rFonts w:ascii="Verdana"/>
                          <w:spacing w:val="-11"/>
                          <w:sz w:val="18"/>
                        </w:rPr>
                        <w:t> </w:t>
                      </w:r>
                      <w:r>
                        <w:rPr>
                          <w:rFonts w:ascii="Verdana"/>
                          <w:sz w:val="18"/>
                        </w:rPr>
                        <w:t>Social</w:t>
                      </w:r>
                      <w:r>
                        <w:rPr>
                          <w:rFonts w:ascii="Verdana"/>
                          <w:spacing w:val="-7"/>
                          <w:sz w:val="18"/>
                        </w:rPr>
                        <w:t> </w:t>
                      </w:r>
                      <w:r>
                        <w:rPr>
                          <w:rFonts w:ascii="Verdana"/>
                          <w:sz w:val="18"/>
                        </w:rPr>
                        <w:t>Construction:</w:t>
                      </w:r>
                      <w:r>
                        <w:rPr>
                          <w:rFonts w:ascii="Verdana"/>
                          <w:spacing w:val="-8"/>
                          <w:sz w:val="18"/>
                        </w:rPr>
                        <w:t> </w:t>
                      </w:r>
                      <w:r>
                        <w:rPr>
                          <w:rFonts w:ascii="Verdana"/>
                          <w:sz w:val="18"/>
                        </w:rPr>
                        <w:t>Trauma,</w:t>
                      </w:r>
                      <w:r>
                        <w:rPr>
                          <w:rFonts w:ascii="Verdana"/>
                          <w:spacing w:val="-7"/>
                          <w:sz w:val="18"/>
                        </w:rPr>
                        <w:t> </w:t>
                      </w:r>
                      <w:r>
                        <w:rPr>
                          <w:rFonts w:ascii="Verdana"/>
                          <w:sz w:val="18"/>
                        </w:rPr>
                        <w:t>Guilt</w:t>
                      </w:r>
                      <w:r>
                        <w:rPr>
                          <w:rFonts w:ascii="Verdana"/>
                          <w:spacing w:val="-6"/>
                          <w:sz w:val="18"/>
                        </w:rPr>
                        <w:t> </w:t>
                      </w:r>
                      <w:r>
                        <w:rPr>
                          <w:rFonts w:ascii="Verdana"/>
                          <w:spacing w:val="-5"/>
                          <w:sz w:val="18"/>
                        </w:rPr>
                        <w:t>...</w:t>
                      </w:r>
                      <w:r>
                        <w:rPr>
                          <w:sz w:val="18"/>
                        </w:rPr>
                        <w:tab/>
                      </w:r>
                      <w:r>
                        <w:rPr>
                          <w:rFonts w:ascii="Verdana"/>
                          <w:spacing w:val="-5"/>
                          <w:sz w:val="18"/>
                        </w:rPr>
                        <w:t>117</w:t>
                      </w:r>
                    </w:p>
                  </w:txbxContent>
                </v:textbox>
                <w10:wrap type="none"/>
              </v:shape>
            </w:pict>
          </mc:Fallback>
        </mc:AlternateContent>
      </w:r>
    </w:p>
    <w:p>
      <w:pPr>
        <w:pStyle w:val="BodyText"/>
        <w:ind w:left="0"/>
      </w:pPr>
    </w:p>
    <w:p>
      <w:pPr>
        <w:pStyle w:val="BodyText"/>
        <w:spacing w:before="14" w:after="1"/>
        <w:ind w:left="0"/>
      </w:pPr>
    </w:p>
    <w:p>
      <w:pPr>
        <w:spacing w:line="240" w:lineRule="auto"/>
        <w:ind w:left="1135" w:right="0" w:firstLine="0"/>
        <w:rPr>
          <w:sz w:val="20"/>
        </w:rPr>
      </w:pPr>
      <w:r>
        <w:rPr>
          <w:sz w:val="20"/>
        </w:rPr>
        <mc:AlternateContent>
          <mc:Choice Requires="wps">
            <w:drawing>
              <wp:inline distT="0" distB="0" distL="0" distR="0">
                <wp:extent cx="4043679" cy="701040"/>
                <wp:effectExtent l="0" t="0" r="0" b="0"/>
                <wp:docPr id="331" name="Group 331"/>
                <wp:cNvGraphicFramePr>
                  <a:graphicFrameLocks/>
                </wp:cNvGraphicFramePr>
                <a:graphic>
                  <a:graphicData uri="http://schemas.microsoft.com/office/word/2010/wordprocessingGroup">
                    <wpg:wgp>
                      <wpg:cNvPr id="331" name="Group 331"/>
                      <wpg:cNvGrpSpPr/>
                      <wpg:grpSpPr>
                        <a:xfrm>
                          <a:off x="0" y="0"/>
                          <a:ext cx="4043679" cy="701040"/>
                          <a:chExt cx="4043679" cy="701040"/>
                        </a:xfrm>
                      </wpg:grpSpPr>
                      <wps:wsp>
                        <wps:cNvPr id="332" name="Graphic 332"/>
                        <wps:cNvSpPr/>
                        <wps:spPr>
                          <a:xfrm>
                            <a:off x="0" y="0"/>
                            <a:ext cx="4043679" cy="701040"/>
                          </a:xfrm>
                          <a:custGeom>
                            <a:avLst/>
                            <a:gdLst/>
                            <a:ahLst/>
                            <a:cxnLst/>
                            <a:rect l="l" t="t" r="r" b="b"/>
                            <a:pathLst>
                              <a:path w="4043679" h="701040">
                                <a:moveTo>
                                  <a:pt x="4043171" y="701039"/>
                                </a:moveTo>
                                <a:lnTo>
                                  <a:pt x="0" y="701039"/>
                                </a:lnTo>
                                <a:lnTo>
                                  <a:pt x="0" y="0"/>
                                </a:lnTo>
                                <a:lnTo>
                                  <a:pt x="4043171" y="0"/>
                                </a:lnTo>
                                <a:lnTo>
                                  <a:pt x="4043171" y="701039"/>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2pt;mso-position-horizontal-relative:char;mso-position-vertical-relative:line" id="docshapegroup327" coordorigin="0,0" coordsize="6368,1104">
                <v:rect style="position:absolute;left:0;top:0;width:6368;height:1104" id="docshape328"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91264">
                <wp:simplePos x="0" y="0"/>
                <wp:positionH relativeFrom="page">
                  <wp:posOffset>3532632</wp:posOffset>
                </wp:positionH>
                <wp:positionV relativeFrom="paragraph">
                  <wp:posOffset>272922</wp:posOffset>
                </wp:positionV>
                <wp:extent cx="727075" cy="655320"/>
                <wp:effectExtent l="0" t="0" r="0" b="0"/>
                <wp:wrapTopAndBottom/>
                <wp:docPr id="333" name="Group 333"/>
                <wp:cNvGraphicFramePr>
                  <a:graphicFrameLocks/>
                </wp:cNvGraphicFramePr>
                <a:graphic>
                  <a:graphicData uri="http://schemas.microsoft.com/office/word/2010/wordprocessingGroup">
                    <wpg:wgp>
                      <wpg:cNvPr id="333" name="Group 333"/>
                      <wpg:cNvGrpSpPr/>
                      <wpg:grpSpPr>
                        <a:xfrm>
                          <a:off x="0" y="0"/>
                          <a:ext cx="727075" cy="655320"/>
                          <a:chExt cx="727075" cy="655320"/>
                        </a:xfrm>
                      </wpg:grpSpPr>
                      <pic:pic>
                        <pic:nvPicPr>
                          <pic:cNvPr id="334" name="Image 334"/>
                          <pic:cNvPicPr/>
                        </pic:nvPicPr>
                        <pic:blipFill>
                          <a:blip r:embed="rId93" cstate="print"/>
                          <a:stretch>
                            <a:fillRect/>
                          </a:stretch>
                        </pic:blipFill>
                        <pic:spPr>
                          <a:xfrm>
                            <a:off x="0" y="0"/>
                            <a:ext cx="726948" cy="655320"/>
                          </a:xfrm>
                          <a:prstGeom prst="rect">
                            <a:avLst/>
                          </a:prstGeom>
                        </pic:spPr>
                      </pic:pic>
                      <wps:wsp>
                        <wps:cNvPr id="335" name="Textbox 335"/>
                        <wps:cNvSpPr txBox="1"/>
                        <wps:spPr>
                          <a:xfrm>
                            <a:off x="0" y="0"/>
                            <a:ext cx="727075" cy="655320"/>
                          </a:xfrm>
                          <a:prstGeom prst="rect">
                            <a:avLst/>
                          </a:prstGeom>
                        </wps:spPr>
                        <wps:txbx>
                          <w:txbxContent>
                            <w:p>
                              <w:pPr>
                                <w:spacing w:before="348"/>
                                <w:ind w:left="384" w:right="0" w:firstLine="0"/>
                                <w:jc w:val="left"/>
                                <w:rPr>
                                  <w:rFonts w:ascii="Tahoma"/>
                                  <w:b/>
                                  <w:sz w:val="36"/>
                                </w:rPr>
                              </w:pPr>
                              <w:r>
                                <w:rPr>
                                  <w:rFonts w:ascii="Tahoma"/>
                                  <w:b/>
                                  <w:spacing w:val="-5"/>
                                  <w:w w:val="95"/>
                                  <w:sz w:val="36"/>
                                </w:rPr>
                                <w:t>13</w:t>
                              </w:r>
                            </w:p>
                          </w:txbxContent>
                        </wps:txbx>
                        <wps:bodyPr wrap="square" lIns="0" tIns="0" rIns="0" bIns="0" rtlCol="0">
                          <a:noAutofit/>
                        </wps:bodyPr>
                      </wps:wsp>
                    </wpg:wgp>
                  </a:graphicData>
                </a:graphic>
              </wp:anchor>
            </w:drawing>
          </mc:Choice>
          <mc:Fallback>
            <w:pict>
              <v:group style="position:absolute;margin-left:278.160004pt;margin-top:21.489992pt;width:57.25pt;height:51.6pt;mso-position-horizontal-relative:page;mso-position-vertical-relative:paragraph;z-index:-15625216;mso-wrap-distance-left:0;mso-wrap-distance-right:0" id="docshapegroup329" coordorigin="5563,430" coordsize="1145,1032">
                <v:shape style="position:absolute;left:5563;top:429;width:1145;height:1032" type="#_x0000_t75" id="docshape330" stroked="false">
                  <v:imagedata r:id="rId93" o:title=""/>
                </v:shape>
                <v:shape style="position:absolute;left:5563;top:429;width:1145;height:1032" type="#_x0000_t202" id="docshape331" filled="false" stroked="false">
                  <v:textbox inset="0,0,0,0">
                    <w:txbxContent>
                      <w:p>
                        <w:pPr>
                          <w:spacing w:before="348"/>
                          <w:ind w:left="384" w:right="0" w:firstLine="0"/>
                          <w:jc w:val="left"/>
                          <w:rPr>
                            <w:rFonts w:ascii="Tahoma"/>
                            <w:b/>
                            <w:sz w:val="36"/>
                          </w:rPr>
                        </w:pPr>
                        <w:r>
                          <w:rPr>
                            <w:rFonts w:ascii="Tahoma"/>
                            <w:b/>
                            <w:spacing w:val="-5"/>
                            <w:w w:val="95"/>
                            <w:sz w:val="36"/>
                          </w:rPr>
                          <w:t>13</w:t>
                        </w:r>
                      </w:p>
                    </w:txbxContent>
                  </v:textbox>
                  <w10:wrap type="none"/>
                </v:shape>
                <w10:wrap type="topAndBottom"/>
              </v:group>
            </w:pict>
          </mc:Fallback>
        </mc:AlternateContent>
      </w:r>
    </w:p>
    <w:p>
      <w:pPr>
        <w:pStyle w:val="Heading1"/>
        <w:spacing w:line="211" w:lineRule="auto" w:before="1"/>
        <w:ind w:left="1359" w:right="1320"/>
      </w:pPr>
      <w:r>
        <w:rPr>
          <w:spacing w:val="-2"/>
        </w:rPr>
        <w:t>Madness</w:t>
      </w:r>
      <w:r>
        <w:rPr>
          <w:spacing w:val="-17"/>
        </w:rPr>
        <w:t> </w:t>
      </w:r>
      <w:r>
        <w:rPr>
          <w:spacing w:val="-2"/>
        </w:rPr>
        <w:t>as</w:t>
      </w:r>
      <w:r>
        <w:rPr>
          <w:spacing w:val="-17"/>
        </w:rPr>
        <w:t> </w:t>
      </w:r>
      <w:r>
        <w:rPr>
          <w:spacing w:val="-2"/>
        </w:rPr>
        <w:t>A</w:t>
      </w:r>
      <w:r>
        <w:rPr>
          <w:spacing w:val="-15"/>
        </w:rPr>
        <w:t> </w:t>
      </w:r>
      <w:r>
        <w:rPr>
          <w:spacing w:val="-2"/>
        </w:rPr>
        <w:t>Social</w:t>
      </w:r>
      <w:r>
        <w:rPr>
          <w:spacing w:val="-19"/>
        </w:rPr>
        <w:t> </w:t>
      </w:r>
      <w:r>
        <w:rPr>
          <w:spacing w:val="-2"/>
        </w:rPr>
        <w:t>Construction: </w:t>
      </w:r>
      <w:r>
        <w:rPr/>
        <w:t>Trauma, Guilt and Psychological Breakdown of Women in</w:t>
      </w:r>
    </w:p>
    <w:p>
      <w:pPr>
        <w:tabs>
          <w:tab w:pos="1355" w:val="left" w:leader="none"/>
          <w:tab w:pos="5803" w:val="left" w:leader="none"/>
        </w:tabs>
        <w:spacing w:line="348" w:lineRule="exact" w:before="0"/>
        <w:ind w:left="43" w:right="0" w:firstLine="0"/>
        <w:jc w:val="center"/>
        <w:rPr>
          <w:rFonts w:ascii="Tahoma" w:hAnsi="Tahoma"/>
          <w:b/>
          <w:sz w:val="32"/>
        </w:rPr>
      </w:pPr>
      <w:r>
        <w:rPr>
          <w:sz w:val="32"/>
          <w:u w:val="single"/>
        </w:rPr>
        <w:tab/>
      </w:r>
      <w:r>
        <w:rPr>
          <w:rFonts w:ascii="Tahoma" w:hAnsi="Tahoma"/>
          <w:b/>
          <w:spacing w:val="-6"/>
          <w:sz w:val="32"/>
          <w:u w:val="single"/>
        </w:rPr>
        <w:t>Shakespeare’s</w:t>
      </w:r>
      <w:r>
        <w:rPr>
          <w:rFonts w:ascii="Tahoma" w:hAnsi="Tahoma"/>
          <w:b/>
          <w:spacing w:val="-1"/>
          <w:sz w:val="32"/>
          <w:u w:val="single"/>
        </w:rPr>
        <w:t> </w:t>
      </w:r>
      <w:r>
        <w:rPr>
          <w:rFonts w:ascii="Tahoma" w:hAnsi="Tahoma"/>
          <w:b/>
          <w:spacing w:val="-4"/>
          <w:sz w:val="32"/>
          <w:u w:val="single"/>
        </w:rPr>
        <w:t>Plays</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691776">
                <wp:simplePos x="0" y="0"/>
                <wp:positionH relativeFrom="page">
                  <wp:posOffset>2071116</wp:posOffset>
                </wp:positionH>
                <wp:positionV relativeFrom="paragraph">
                  <wp:posOffset>60432</wp:posOffset>
                </wp:positionV>
                <wp:extent cx="3657600" cy="7620"/>
                <wp:effectExtent l="0" t="0" r="0" b="0"/>
                <wp:wrapTopAndBottom/>
                <wp:docPr id="336" name="Graphic 336"/>
                <wp:cNvGraphicFramePr>
                  <a:graphicFrameLocks/>
                </wp:cNvGraphicFramePr>
                <a:graphic>
                  <a:graphicData uri="http://schemas.microsoft.com/office/word/2010/wordprocessingShape">
                    <wps:wsp>
                      <wps:cNvPr id="336" name="Graphic 336"/>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3.080002pt;margin-top:4.758449pt;width:288.000009pt;height:.59999pt;mso-position-horizontal-relative:page;mso-position-vertical-relative:paragraph;z-index:-15624704;mso-wrap-distance-left:0;mso-wrap-distance-right:0" id="docshape332"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16"/>
        <w:jc w:val="right"/>
        <w:rPr>
          <w:rFonts w:ascii="Times New Roman"/>
        </w:rPr>
      </w:pPr>
      <w:r>
        <w:rPr>
          <w:rFonts w:ascii="Times New Roman"/>
        </w:rPr>
        <w:t>Sandhya</w:t>
      </w:r>
      <w:r>
        <w:rPr>
          <w:rFonts w:ascii="Times New Roman"/>
          <w:spacing w:val="65"/>
        </w:rPr>
        <w:t> </w:t>
      </w:r>
      <w:r>
        <w:rPr>
          <w:rFonts w:ascii="Times New Roman"/>
        </w:rPr>
        <w:t>Rani</w:t>
      </w:r>
      <w:r>
        <w:rPr>
          <w:rFonts w:ascii="Times New Roman"/>
          <w:spacing w:val="69"/>
        </w:rPr>
        <w:t> </w:t>
      </w:r>
      <w:r>
        <w:rPr>
          <w:rFonts w:ascii="Times New Roman"/>
          <w:spacing w:val="-2"/>
        </w:rPr>
        <w:t>Kandanala</w:t>
      </w:r>
    </w:p>
    <w:p>
      <w:pPr>
        <w:spacing w:before="15"/>
        <w:ind w:left="0" w:right="1414" w:firstLine="0"/>
        <w:jc w:val="right"/>
        <w:rPr>
          <w:i/>
          <w:sz w:val="19"/>
        </w:rPr>
      </w:pPr>
      <w:r>
        <w:rPr>
          <w:i/>
          <w:sz w:val="19"/>
        </w:rPr>
        <w:t>Research</w:t>
      </w:r>
      <w:r>
        <w:rPr>
          <w:i/>
          <w:spacing w:val="60"/>
          <w:sz w:val="19"/>
        </w:rPr>
        <w:t> </w:t>
      </w:r>
      <w:r>
        <w:rPr>
          <w:i/>
          <w:sz w:val="19"/>
        </w:rPr>
        <w:t>Scholar,</w:t>
      </w:r>
      <w:r>
        <w:rPr>
          <w:i/>
          <w:spacing w:val="61"/>
          <w:sz w:val="19"/>
        </w:rPr>
        <w:t> </w:t>
      </w:r>
      <w:r>
        <w:rPr>
          <w:i/>
          <w:sz w:val="19"/>
        </w:rPr>
        <w:t>Department.</w:t>
      </w:r>
      <w:r>
        <w:rPr>
          <w:i/>
          <w:spacing w:val="60"/>
          <w:sz w:val="19"/>
        </w:rPr>
        <w:t> </w:t>
      </w:r>
      <w:r>
        <w:rPr>
          <w:i/>
          <w:sz w:val="19"/>
        </w:rPr>
        <w:t>of</w:t>
      </w:r>
      <w:r>
        <w:rPr>
          <w:i/>
          <w:spacing w:val="59"/>
          <w:sz w:val="19"/>
        </w:rPr>
        <w:t> </w:t>
      </w:r>
      <w:r>
        <w:rPr>
          <w:i/>
          <w:sz w:val="19"/>
        </w:rPr>
        <w:t>English,</w:t>
      </w:r>
      <w:r>
        <w:rPr>
          <w:i/>
          <w:spacing w:val="58"/>
          <w:sz w:val="19"/>
        </w:rPr>
        <w:t> </w:t>
      </w:r>
      <w:r>
        <w:rPr>
          <w:i/>
          <w:sz w:val="19"/>
        </w:rPr>
        <w:t>Sri</w:t>
      </w:r>
      <w:r>
        <w:rPr>
          <w:i/>
          <w:spacing w:val="59"/>
          <w:sz w:val="19"/>
        </w:rPr>
        <w:t> </w:t>
      </w:r>
      <w:r>
        <w:rPr>
          <w:i/>
          <w:spacing w:val="-2"/>
          <w:sz w:val="19"/>
        </w:rPr>
        <w:t>Padmavati</w:t>
      </w:r>
    </w:p>
    <w:p>
      <w:pPr>
        <w:spacing w:before="10"/>
        <w:ind w:left="0" w:right="1416" w:firstLine="0"/>
        <w:jc w:val="right"/>
        <w:rPr>
          <w:i/>
          <w:sz w:val="19"/>
        </w:rPr>
      </w:pPr>
      <w:r>
        <w:rPr>
          <w:i/>
          <w:sz w:val="19"/>
        </w:rPr>
        <w:t>Mahila,</w:t>
      </w:r>
      <w:r>
        <w:rPr>
          <w:i/>
          <w:spacing w:val="59"/>
          <w:w w:val="150"/>
          <w:sz w:val="19"/>
        </w:rPr>
        <w:t> </w:t>
      </w:r>
      <w:r>
        <w:rPr>
          <w:i/>
          <w:sz w:val="19"/>
        </w:rPr>
        <w:t>Visvavidyalyam,</w:t>
      </w:r>
      <w:r>
        <w:rPr>
          <w:i/>
          <w:spacing w:val="79"/>
          <w:sz w:val="19"/>
        </w:rPr>
        <w:t> </w:t>
      </w:r>
      <w:r>
        <w:rPr>
          <w:i/>
          <w:spacing w:val="-2"/>
          <w:sz w:val="19"/>
        </w:rPr>
        <w:t>Tirupati</w:t>
      </w:r>
    </w:p>
    <w:p>
      <w:pPr>
        <w:pStyle w:val="BodyText"/>
        <w:spacing w:before="160"/>
        <w:ind w:left="0"/>
        <w:rPr>
          <w:i/>
          <w:sz w:val="19"/>
        </w:rPr>
      </w:pPr>
    </w:p>
    <w:p>
      <w:pPr>
        <w:pStyle w:val="Heading3"/>
        <w:spacing w:before="1"/>
        <w:ind w:left="1461"/>
      </w:pPr>
      <w:r>
        <w:rPr>
          <w:spacing w:val="-2"/>
        </w:rPr>
        <w:t>ABSTRACT</w:t>
      </w:r>
    </w:p>
    <w:p>
      <w:pPr>
        <w:pStyle w:val="BodyText"/>
        <w:spacing w:line="249" w:lineRule="auto" w:before="75"/>
        <w:ind w:left="1461" w:right="1415" w:firstLine="432"/>
        <w:jc w:val="both"/>
      </w:pPr>
      <w:r>
        <w:rPr/>
        <w:t>The focus of this research project was to investigate how women were depicted in Shakespeare’s works within a framework of gender, power, and patriarchy, and then to reconsider those representations in light of the recent Me Too movement. The research also looks at Shakespeare’s</w:t>
      </w:r>
      <w:r>
        <w:rPr>
          <w:spacing w:val="-3"/>
        </w:rPr>
        <w:t> </w:t>
      </w:r>
      <w:r>
        <w:rPr/>
        <w:t>female characters</w:t>
      </w:r>
      <w:r>
        <w:rPr>
          <w:spacing w:val="-3"/>
        </w:rPr>
        <w:t> </w:t>
      </w:r>
      <w:r>
        <w:rPr/>
        <w:t>as</w:t>
      </w:r>
      <w:r>
        <w:rPr>
          <w:spacing w:val="-1"/>
        </w:rPr>
        <w:t> </w:t>
      </w:r>
      <w:r>
        <w:rPr/>
        <w:t>emotionally</w:t>
      </w:r>
      <w:r>
        <w:rPr>
          <w:spacing w:val="-6"/>
        </w:rPr>
        <w:t> </w:t>
      </w:r>
      <w:r>
        <w:rPr/>
        <w:t>complex, rather</w:t>
      </w:r>
      <w:r>
        <w:rPr>
          <w:spacing w:val="-1"/>
        </w:rPr>
        <w:t> </w:t>
      </w:r>
      <w:r>
        <w:rPr/>
        <w:t>than</w:t>
      </w:r>
      <w:r>
        <w:rPr>
          <w:spacing w:val="-1"/>
        </w:rPr>
        <w:t> </w:t>
      </w:r>
      <w:r>
        <w:rPr/>
        <w:t>as </w:t>
      </w:r>
      <w:r>
        <w:rPr>
          <w:spacing w:val="-6"/>
        </w:rPr>
        <w:t>archetypal tragic</w:t>
      </w:r>
      <w:r>
        <w:rPr/>
        <w:t> </w:t>
      </w:r>
      <w:r>
        <w:rPr>
          <w:spacing w:val="-6"/>
        </w:rPr>
        <w:t>women (i.e.,</w:t>
      </w:r>
      <w:r>
        <w:rPr/>
        <w:t> </w:t>
      </w:r>
      <w:r>
        <w:rPr>
          <w:spacing w:val="-6"/>
        </w:rPr>
        <w:t>far</w:t>
      </w:r>
      <w:r>
        <w:rPr/>
        <w:t> </w:t>
      </w:r>
      <w:r>
        <w:rPr>
          <w:spacing w:val="-6"/>
        </w:rPr>
        <w:t>removed</w:t>
      </w:r>
      <w:r>
        <w:rPr/>
        <w:t> </w:t>
      </w:r>
      <w:r>
        <w:rPr>
          <w:spacing w:val="-6"/>
        </w:rPr>
        <w:t>from</w:t>
      </w:r>
      <w:r>
        <w:rPr>
          <w:spacing w:val="-7"/>
        </w:rPr>
        <w:t> </w:t>
      </w:r>
      <w:r>
        <w:rPr>
          <w:spacing w:val="-6"/>
        </w:rPr>
        <w:t>themselves),</w:t>
      </w:r>
      <w:r>
        <w:rPr/>
        <w:t> </w:t>
      </w:r>
      <w:r>
        <w:rPr>
          <w:spacing w:val="-6"/>
        </w:rPr>
        <w:t>and</w:t>
      </w:r>
      <w:r>
        <w:rPr/>
        <w:t> </w:t>
      </w:r>
      <w:r>
        <w:rPr>
          <w:spacing w:val="-6"/>
        </w:rPr>
        <w:t>ultimately </w:t>
      </w:r>
      <w:r>
        <w:rPr/>
        <w:t>shows that their experiences continue to be valid within the fabric of contemporary society and the way we are accustomed to conceiving of the female experience. This research project specifically looked at characters from various plays, including Ophelia, Lady Macbeth, Desdemona,</w:t>
      </w:r>
      <w:r>
        <w:rPr>
          <w:spacing w:val="-8"/>
        </w:rPr>
        <w:t> </w:t>
      </w:r>
      <w:r>
        <w:rPr/>
        <w:t>Cordelia,</w:t>
      </w:r>
      <w:r>
        <w:rPr>
          <w:spacing w:val="-8"/>
        </w:rPr>
        <w:t> </w:t>
      </w:r>
      <w:r>
        <w:rPr/>
        <w:t>and</w:t>
      </w:r>
      <w:r>
        <w:rPr>
          <w:spacing w:val="-5"/>
        </w:rPr>
        <w:t> </w:t>
      </w:r>
      <w:r>
        <w:rPr/>
        <w:t>Helena,</w:t>
      </w:r>
      <w:r>
        <w:rPr>
          <w:spacing w:val="-8"/>
        </w:rPr>
        <w:t> </w:t>
      </w:r>
      <w:r>
        <w:rPr/>
        <w:t>in</w:t>
      </w:r>
      <w:r>
        <w:rPr>
          <w:spacing w:val="-8"/>
        </w:rPr>
        <w:t> </w:t>
      </w:r>
      <w:r>
        <w:rPr/>
        <w:t>order</w:t>
      </w:r>
      <w:r>
        <w:rPr>
          <w:spacing w:val="-6"/>
        </w:rPr>
        <w:t> </w:t>
      </w:r>
      <w:r>
        <w:rPr/>
        <w:t>to</w:t>
      </w:r>
      <w:r>
        <w:rPr>
          <w:spacing w:val="-6"/>
        </w:rPr>
        <w:t> </w:t>
      </w:r>
      <w:r>
        <w:rPr/>
        <w:t>better</w:t>
      </w:r>
      <w:r>
        <w:rPr>
          <w:spacing w:val="-5"/>
        </w:rPr>
        <w:t> </w:t>
      </w:r>
      <w:r>
        <w:rPr/>
        <w:t>understand</w:t>
      </w:r>
      <w:r>
        <w:rPr>
          <w:spacing w:val="-6"/>
        </w:rPr>
        <w:t> </w:t>
      </w:r>
      <w:r>
        <w:rPr/>
        <w:t>how</w:t>
      </w:r>
      <w:r>
        <w:rPr>
          <w:spacing w:val="-12"/>
        </w:rPr>
        <w:t> </w:t>
      </w:r>
      <w:r>
        <w:rPr/>
        <w:t>the various social constructs of patriarchy shape women emotionally, </w:t>
      </w:r>
      <w:r>
        <w:rPr>
          <w:spacing w:val="-2"/>
        </w:rPr>
        <w:t>psychologically</w:t>
      </w:r>
      <w:r>
        <w:rPr>
          <w:spacing w:val="-8"/>
        </w:rPr>
        <w:t> </w:t>
      </w:r>
      <w:r>
        <w:rPr>
          <w:spacing w:val="-2"/>
        </w:rPr>
        <w:t>and</w:t>
      </w:r>
      <w:r>
        <w:rPr>
          <w:spacing w:val="-4"/>
        </w:rPr>
        <w:t> </w:t>
      </w:r>
      <w:r>
        <w:rPr>
          <w:spacing w:val="-2"/>
        </w:rPr>
        <w:t>socially.</w:t>
      </w:r>
      <w:r>
        <w:rPr>
          <w:spacing w:val="-6"/>
        </w:rPr>
        <w:t> </w:t>
      </w:r>
      <w:r>
        <w:rPr>
          <w:spacing w:val="-2"/>
        </w:rPr>
        <w:t>In</w:t>
      </w:r>
      <w:r>
        <w:rPr>
          <w:spacing w:val="-6"/>
        </w:rPr>
        <w:t> </w:t>
      </w:r>
      <w:r>
        <w:rPr>
          <w:spacing w:val="-2"/>
        </w:rPr>
        <w:t>particular,</w:t>
      </w:r>
      <w:r>
        <w:rPr>
          <w:spacing w:val="-6"/>
        </w:rPr>
        <w:t> </w:t>
      </w:r>
      <w:r>
        <w:rPr>
          <w:spacing w:val="-2"/>
        </w:rPr>
        <w:t>the</w:t>
      </w:r>
      <w:r>
        <w:rPr>
          <w:spacing w:val="-5"/>
        </w:rPr>
        <w:t> </w:t>
      </w:r>
      <w:r>
        <w:rPr>
          <w:spacing w:val="-2"/>
        </w:rPr>
        <w:t>study</w:t>
      </w:r>
      <w:r>
        <w:rPr>
          <w:spacing w:val="-10"/>
        </w:rPr>
        <w:t> </w:t>
      </w:r>
      <w:r>
        <w:rPr>
          <w:spacing w:val="-2"/>
        </w:rPr>
        <w:t>examined</w:t>
      </w:r>
      <w:r>
        <w:rPr>
          <w:spacing w:val="-4"/>
        </w:rPr>
        <w:t> </w:t>
      </w:r>
      <w:r>
        <w:rPr>
          <w:spacing w:val="-2"/>
        </w:rPr>
        <w:t>the</w:t>
      </w:r>
      <w:r>
        <w:rPr>
          <w:spacing w:val="-6"/>
        </w:rPr>
        <w:t> </w:t>
      </w:r>
      <w:r>
        <w:rPr>
          <w:spacing w:val="-2"/>
        </w:rPr>
        <w:t>impact of</w:t>
      </w:r>
      <w:r>
        <w:rPr>
          <w:spacing w:val="-4"/>
        </w:rPr>
        <w:t> </w:t>
      </w:r>
      <w:r>
        <w:rPr>
          <w:spacing w:val="-2"/>
        </w:rPr>
        <w:t>patriarchal</w:t>
      </w:r>
      <w:r>
        <w:rPr>
          <w:spacing w:val="-5"/>
        </w:rPr>
        <w:t> </w:t>
      </w:r>
      <w:r>
        <w:rPr>
          <w:spacing w:val="-2"/>
        </w:rPr>
        <w:t>systems</w:t>
      </w:r>
      <w:r>
        <w:rPr>
          <w:spacing w:val="-4"/>
        </w:rPr>
        <w:t> </w:t>
      </w:r>
      <w:r>
        <w:rPr>
          <w:spacing w:val="-2"/>
        </w:rPr>
        <w:t>on</w:t>
      </w:r>
      <w:r>
        <w:rPr>
          <w:spacing w:val="-4"/>
        </w:rPr>
        <w:t> </w:t>
      </w:r>
      <w:r>
        <w:rPr>
          <w:spacing w:val="-2"/>
        </w:rPr>
        <w:t>the</w:t>
      </w:r>
      <w:r>
        <w:rPr>
          <w:spacing w:val="-6"/>
        </w:rPr>
        <w:t> </w:t>
      </w:r>
      <w:r>
        <w:rPr>
          <w:spacing w:val="-2"/>
        </w:rPr>
        <w:t>emotional state of</w:t>
      </w:r>
      <w:r>
        <w:rPr>
          <w:spacing w:val="-6"/>
        </w:rPr>
        <w:t> </w:t>
      </w:r>
      <w:r>
        <w:rPr>
          <w:spacing w:val="-2"/>
        </w:rPr>
        <w:t>women’s</w:t>
      </w:r>
      <w:r>
        <w:rPr>
          <w:spacing w:val="-4"/>
        </w:rPr>
        <w:t> </w:t>
      </w:r>
      <w:r>
        <w:rPr>
          <w:spacing w:val="-2"/>
        </w:rPr>
        <w:t>characterisation </w:t>
      </w:r>
      <w:r>
        <w:rPr/>
        <w:t>and their relationship to the people around them (Thematic Origins; Performance; Theatrical Origin). Characteristics such as silence, guilt, rejection, and emotional suffering were all found to reflect deep-rooted psychological effects because of the lack of self-determination and the </w:t>
      </w:r>
      <w:r>
        <w:rPr>
          <w:spacing w:val="-2"/>
        </w:rPr>
        <w:t>overall</w:t>
      </w:r>
      <w:r>
        <w:rPr/>
        <w:t> </w:t>
      </w:r>
      <w:r>
        <w:rPr>
          <w:spacing w:val="-2"/>
        </w:rPr>
        <w:t>expectations</w:t>
      </w:r>
      <w:r>
        <w:rPr>
          <w:spacing w:val="-4"/>
        </w:rPr>
        <w:t> </w:t>
      </w:r>
      <w:r>
        <w:rPr>
          <w:spacing w:val="-2"/>
        </w:rPr>
        <w:t>of women’s</w:t>
      </w:r>
      <w:r>
        <w:rPr>
          <w:spacing w:val="-4"/>
        </w:rPr>
        <w:t> </w:t>
      </w:r>
      <w:r>
        <w:rPr>
          <w:spacing w:val="-2"/>
        </w:rPr>
        <w:t>characterisation in terms</w:t>
      </w:r>
      <w:r>
        <w:rPr>
          <w:spacing w:val="-4"/>
        </w:rPr>
        <w:t> </w:t>
      </w:r>
      <w:r>
        <w:rPr>
          <w:spacing w:val="-2"/>
        </w:rPr>
        <w:t>of</w:t>
      </w:r>
      <w:r>
        <w:rPr>
          <w:spacing w:val="-1"/>
        </w:rPr>
        <w:t> </w:t>
      </w:r>
      <w:r>
        <w:rPr>
          <w:spacing w:val="-2"/>
        </w:rPr>
        <w:t>masculinity.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2800">
                <wp:simplePos x="0" y="0"/>
                <wp:positionH relativeFrom="page">
                  <wp:posOffset>2057400</wp:posOffset>
                </wp:positionH>
                <wp:positionV relativeFrom="paragraph">
                  <wp:posOffset>162604</wp:posOffset>
                </wp:positionV>
                <wp:extent cx="3657600" cy="12700"/>
                <wp:effectExtent l="0" t="0" r="0" b="0"/>
                <wp:wrapTopAndBottom/>
                <wp:docPr id="337" name="Graphic 337"/>
                <wp:cNvGraphicFramePr>
                  <a:graphicFrameLocks/>
                </wp:cNvGraphicFramePr>
                <a:graphic>
                  <a:graphicData uri="http://schemas.microsoft.com/office/word/2010/wordprocessingShape">
                    <wps:wsp>
                      <wps:cNvPr id="337" name="Graphic 33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23680;mso-wrap-distance-left:0;mso-wrap-distance-right:0" id="docshape333" filled="true" fillcolor="#000000" stroked="false">
                <v:fill type="solid"/>
                <w10:wrap type="topAndBottom"/>
              </v:rect>
            </w:pict>
          </mc:Fallback>
        </mc:AlternateContent>
      </w:r>
      <w:r>
        <w:rPr>
          <w:rFonts w:ascii="Verdana"/>
          <w:spacing w:val="-5"/>
          <w:sz w:val="18"/>
        </w:rPr>
        <w:t>118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Through connecting Shakespearean works to contemporary feminine discourses on emotional abuse, gas lighting and the suppression of women’s voices, this research illustrates how the representations in those plays correspond well to today’s discussions regarding these issues. Ultimately, these connections demonstrate how relevant these characters remain today while providing a more effectively empathetic view of women’s mental health during historical versus current times with a patriarchal context.</w:t>
      </w:r>
    </w:p>
    <w:p>
      <w:pPr>
        <w:pStyle w:val="BodyText"/>
        <w:spacing w:line="249" w:lineRule="auto" w:before="64"/>
        <w:ind w:right="1439" w:firstLine="432"/>
        <w:jc w:val="both"/>
      </w:pPr>
      <w:r>
        <w:rPr>
          <w:b/>
        </w:rPr>
        <w:t>Keywords: </w:t>
      </w:r>
      <w:r>
        <w:rPr/>
        <w:t>Gender, Power, Patriarchy, Women in Shakespeare, Mental Health, #Me Too Movement, Emotional Trauma, Gas lighting, Feminist</w:t>
      </w:r>
      <w:r>
        <w:rPr>
          <w:spacing w:val="-15"/>
        </w:rPr>
        <w:t> </w:t>
      </w:r>
      <w:r>
        <w:rPr/>
        <w:t>Criticism</w:t>
      </w:r>
    </w:p>
    <w:p>
      <w:pPr>
        <w:pStyle w:val="Heading3"/>
        <w:spacing w:before="156"/>
      </w:pPr>
      <w:r>
        <w:rPr>
          <w:spacing w:val="-2"/>
          <w:w w:val="95"/>
        </w:rPr>
        <w:t>INTRODUCTION</w:t>
      </w:r>
    </w:p>
    <w:p>
      <w:pPr>
        <w:pStyle w:val="BodyText"/>
        <w:spacing w:line="249" w:lineRule="auto" w:before="76"/>
        <w:ind w:right="1437" w:firstLine="432"/>
        <w:jc w:val="both"/>
      </w:pPr>
      <w:r>
        <w:rPr/>
        <w:t>When looking at Shakespeare’s literary canon today, it is almost surprising to see that his world is still relatable and familiar. Although the centuries separating us from his time have come and gone, the </w:t>
      </w:r>
      <w:r>
        <w:rPr>
          <w:spacing w:val="-2"/>
        </w:rPr>
        <w:t>emotional</w:t>
      </w:r>
      <w:r>
        <w:rPr>
          <w:spacing w:val="-7"/>
        </w:rPr>
        <w:t> </w:t>
      </w:r>
      <w:r>
        <w:rPr>
          <w:spacing w:val="-2"/>
        </w:rPr>
        <w:t>truths</w:t>
      </w:r>
      <w:r>
        <w:rPr>
          <w:spacing w:val="-7"/>
        </w:rPr>
        <w:t> </w:t>
      </w:r>
      <w:r>
        <w:rPr>
          <w:spacing w:val="-2"/>
        </w:rPr>
        <w:t>present</w:t>
      </w:r>
      <w:r>
        <w:rPr>
          <w:spacing w:val="-3"/>
        </w:rPr>
        <w:t> </w:t>
      </w:r>
      <w:r>
        <w:rPr>
          <w:spacing w:val="-2"/>
        </w:rPr>
        <w:t>within</w:t>
      </w:r>
      <w:r>
        <w:rPr>
          <w:spacing w:val="-7"/>
        </w:rPr>
        <w:t> </w:t>
      </w:r>
      <w:r>
        <w:rPr>
          <w:spacing w:val="-2"/>
        </w:rPr>
        <w:t>the</w:t>
      </w:r>
      <w:r>
        <w:rPr>
          <w:spacing w:val="-7"/>
        </w:rPr>
        <w:t> </w:t>
      </w:r>
      <w:r>
        <w:rPr>
          <w:spacing w:val="-2"/>
        </w:rPr>
        <w:t>female</w:t>
      </w:r>
      <w:r>
        <w:rPr>
          <w:spacing w:val="-4"/>
        </w:rPr>
        <w:t> </w:t>
      </w:r>
      <w:r>
        <w:rPr>
          <w:spacing w:val="-2"/>
        </w:rPr>
        <w:t>characters</w:t>
      </w:r>
      <w:r>
        <w:rPr>
          <w:spacing w:val="-4"/>
        </w:rPr>
        <w:t> </w:t>
      </w:r>
      <w:r>
        <w:rPr>
          <w:spacing w:val="-2"/>
        </w:rPr>
        <w:t>significantly</w:t>
      </w:r>
      <w:r>
        <w:rPr>
          <w:spacing w:val="-9"/>
        </w:rPr>
        <w:t> </w:t>
      </w:r>
      <w:r>
        <w:rPr>
          <w:spacing w:val="-2"/>
        </w:rPr>
        <w:t>remain </w:t>
      </w:r>
      <w:r>
        <w:rPr/>
        <w:t>unchanged. The</w:t>
      </w:r>
      <w:r>
        <w:rPr>
          <w:spacing w:val="25"/>
        </w:rPr>
        <w:t> </w:t>
      </w:r>
      <w:r>
        <w:rPr/>
        <w:t>influence of the Me Too</w:t>
      </w:r>
      <w:r>
        <w:rPr>
          <w:spacing w:val="25"/>
        </w:rPr>
        <w:t> </w:t>
      </w:r>
      <w:r>
        <w:rPr/>
        <w:t>movement has</w:t>
      </w:r>
      <w:r>
        <w:rPr>
          <w:spacing w:val="25"/>
        </w:rPr>
        <w:t> </w:t>
      </w:r>
      <w:r>
        <w:rPr/>
        <w:t>also</w:t>
      </w:r>
      <w:r>
        <w:rPr>
          <w:spacing w:val="25"/>
        </w:rPr>
        <w:t> </w:t>
      </w:r>
      <w:r>
        <w:rPr/>
        <w:t>created an increased sensitivity toward paradigms related to power, gender inequalities and being silenced, this makes the characters created by Shakespeare</w:t>
      </w:r>
      <w:r>
        <w:rPr>
          <w:spacing w:val="40"/>
        </w:rPr>
        <w:t> </w:t>
      </w:r>
      <w:r>
        <w:rPr/>
        <w:t>appear</w:t>
      </w:r>
      <w:r>
        <w:rPr>
          <w:spacing w:val="40"/>
        </w:rPr>
        <w:t> </w:t>
      </w:r>
      <w:r>
        <w:rPr/>
        <w:t>closer</w:t>
      </w:r>
      <w:r>
        <w:rPr>
          <w:spacing w:val="40"/>
        </w:rPr>
        <w:t> </w:t>
      </w:r>
      <w:r>
        <w:rPr/>
        <w:t>to</w:t>
      </w:r>
      <w:r>
        <w:rPr>
          <w:spacing w:val="40"/>
        </w:rPr>
        <w:t> </w:t>
      </w:r>
      <w:r>
        <w:rPr/>
        <w:t>us</w:t>
      </w:r>
      <w:r>
        <w:rPr>
          <w:spacing w:val="40"/>
        </w:rPr>
        <w:t> </w:t>
      </w:r>
      <w:r>
        <w:rPr/>
        <w:t>than</w:t>
      </w:r>
      <w:r>
        <w:rPr>
          <w:spacing w:val="40"/>
        </w:rPr>
        <w:t> </w:t>
      </w:r>
      <w:r>
        <w:rPr/>
        <w:t>ever</w:t>
      </w:r>
      <w:r>
        <w:rPr>
          <w:spacing w:val="40"/>
        </w:rPr>
        <w:t> </w:t>
      </w:r>
      <w:r>
        <w:rPr/>
        <w:t>before.</w:t>
      </w:r>
    </w:p>
    <w:p>
      <w:pPr>
        <w:pStyle w:val="BodyText"/>
        <w:spacing w:line="249" w:lineRule="auto" w:before="66"/>
        <w:ind w:right="1440" w:firstLine="432"/>
        <w:jc w:val="both"/>
      </w:pPr>
      <w:r>
        <w:rPr>
          <w:spacing w:val="-2"/>
        </w:rPr>
        <w:t>Historically,</w:t>
      </w:r>
      <w:r>
        <w:rPr>
          <w:spacing w:val="-8"/>
        </w:rPr>
        <w:t> </w:t>
      </w:r>
      <w:r>
        <w:rPr>
          <w:spacing w:val="-2"/>
        </w:rPr>
        <w:t>the</w:t>
      </w:r>
      <w:r>
        <w:rPr>
          <w:spacing w:val="-10"/>
        </w:rPr>
        <w:t> </w:t>
      </w:r>
      <w:r>
        <w:rPr>
          <w:spacing w:val="-2"/>
        </w:rPr>
        <w:t>female</w:t>
      </w:r>
      <w:r>
        <w:rPr>
          <w:spacing w:val="-7"/>
        </w:rPr>
        <w:t> </w:t>
      </w:r>
      <w:r>
        <w:rPr>
          <w:spacing w:val="-2"/>
        </w:rPr>
        <w:t>characters</w:t>
      </w:r>
      <w:r>
        <w:rPr>
          <w:spacing w:val="-10"/>
        </w:rPr>
        <w:t> </w:t>
      </w:r>
      <w:r>
        <w:rPr>
          <w:spacing w:val="-2"/>
        </w:rPr>
        <w:t>within</w:t>
      </w:r>
      <w:r>
        <w:rPr>
          <w:spacing w:val="-8"/>
        </w:rPr>
        <w:t> </w:t>
      </w:r>
      <w:r>
        <w:rPr>
          <w:spacing w:val="-2"/>
        </w:rPr>
        <w:t>Shakespeare’s</w:t>
      </w:r>
      <w:r>
        <w:rPr>
          <w:spacing w:val="-10"/>
        </w:rPr>
        <w:t> </w:t>
      </w:r>
      <w:r>
        <w:rPr>
          <w:spacing w:val="-2"/>
        </w:rPr>
        <w:t>works</w:t>
      </w:r>
      <w:r>
        <w:rPr>
          <w:spacing w:val="-8"/>
        </w:rPr>
        <w:t> </w:t>
      </w:r>
      <w:r>
        <w:rPr>
          <w:spacing w:val="-2"/>
        </w:rPr>
        <w:t>have </w:t>
      </w:r>
      <w:r>
        <w:rPr/>
        <w:t>been portrayed as tragic figures, subservient to their male counterparts and</w:t>
      </w:r>
      <w:r>
        <w:rPr>
          <w:spacing w:val="-10"/>
        </w:rPr>
        <w:t> </w:t>
      </w:r>
      <w:r>
        <w:rPr/>
        <w:t>representing</w:t>
      </w:r>
      <w:r>
        <w:rPr>
          <w:spacing w:val="-11"/>
        </w:rPr>
        <w:t> </w:t>
      </w:r>
      <w:r>
        <w:rPr/>
        <w:t>morality</w:t>
      </w:r>
      <w:r>
        <w:rPr>
          <w:spacing w:val="-13"/>
        </w:rPr>
        <w:t> </w:t>
      </w:r>
      <w:r>
        <w:rPr/>
        <w:t>or</w:t>
      </w:r>
      <w:r>
        <w:rPr>
          <w:spacing w:val="-7"/>
        </w:rPr>
        <w:t> </w:t>
      </w:r>
      <w:r>
        <w:rPr/>
        <w:t>ethics.</w:t>
      </w:r>
      <w:r>
        <w:rPr>
          <w:spacing w:val="-11"/>
        </w:rPr>
        <w:t> </w:t>
      </w:r>
      <w:r>
        <w:rPr/>
        <w:t>However,</w:t>
      </w:r>
      <w:r>
        <w:rPr>
          <w:spacing w:val="-10"/>
        </w:rPr>
        <w:t> </w:t>
      </w:r>
      <w:r>
        <w:rPr/>
        <w:t>when</w:t>
      </w:r>
      <w:r>
        <w:rPr>
          <w:spacing w:val="-10"/>
        </w:rPr>
        <w:t> </w:t>
      </w:r>
      <w:r>
        <w:rPr/>
        <w:t>viewed</w:t>
      </w:r>
      <w:r>
        <w:rPr>
          <w:spacing w:val="-11"/>
        </w:rPr>
        <w:t> </w:t>
      </w:r>
      <w:r>
        <w:rPr/>
        <w:t>from</w:t>
      </w:r>
      <w:r>
        <w:rPr>
          <w:spacing w:val="-12"/>
        </w:rPr>
        <w:t> </w:t>
      </w:r>
      <w:r>
        <w:rPr/>
        <w:t>a</w:t>
      </w:r>
      <w:r>
        <w:rPr>
          <w:spacing w:val="-10"/>
        </w:rPr>
        <w:t> </w:t>
      </w:r>
      <w:r>
        <w:rPr/>
        <w:t>more subjective and interpretative viewpoint, these female characters can be seen as individual women who are struggling to endure systems of oppression with limited opportunities for self-expression, choice or freedom</w:t>
      </w:r>
      <w:r>
        <w:rPr>
          <w:spacing w:val="-5"/>
        </w:rPr>
        <w:t> </w:t>
      </w:r>
      <w:r>
        <w:rPr/>
        <w:t>to</w:t>
      </w:r>
      <w:r>
        <w:rPr>
          <w:spacing w:val="-1"/>
        </w:rPr>
        <w:t> </w:t>
      </w:r>
      <w:r>
        <w:rPr/>
        <w:t>exist.</w:t>
      </w:r>
      <w:r>
        <w:rPr>
          <w:spacing w:val="-2"/>
        </w:rPr>
        <w:t> </w:t>
      </w:r>
      <w:r>
        <w:rPr/>
        <w:t>Feminist</w:t>
      </w:r>
      <w:r>
        <w:rPr>
          <w:spacing w:val="-2"/>
        </w:rPr>
        <w:t> </w:t>
      </w:r>
      <w:r>
        <w:rPr/>
        <w:t>theorists</w:t>
      </w:r>
      <w:r>
        <w:rPr>
          <w:spacing w:val="-2"/>
        </w:rPr>
        <w:t> </w:t>
      </w:r>
      <w:r>
        <w:rPr/>
        <w:t>assert</w:t>
      </w:r>
      <w:r>
        <w:rPr>
          <w:spacing w:val="-1"/>
        </w:rPr>
        <w:t> </w:t>
      </w:r>
      <w:r>
        <w:rPr/>
        <w:t>that</w:t>
      </w:r>
      <w:r>
        <w:rPr>
          <w:spacing w:val="-3"/>
        </w:rPr>
        <w:t> </w:t>
      </w:r>
      <w:r>
        <w:rPr/>
        <w:t>all</w:t>
      </w:r>
      <w:r>
        <w:rPr>
          <w:spacing w:val="-2"/>
        </w:rPr>
        <w:t> </w:t>
      </w:r>
      <w:r>
        <w:rPr/>
        <w:t>literature</w:t>
      </w:r>
      <w:r>
        <w:rPr>
          <w:spacing w:val="-2"/>
        </w:rPr>
        <w:t> </w:t>
      </w:r>
      <w:r>
        <w:rPr/>
        <w:t>is</w:t>
      </w:r>
      <w:r>
        <w:rPr>
          <w:spacing w:val="-2"/>
        </w:rPr>
        <w:t> </w:t>
      </w:r>
      <w:r>
        <w:rPr/>
        <w:t>consistent with the dominant system of its era; in particular, Shakespeare’s canon is steeply embedded in the patriarchal ideology of the time period in which he wrote (Greenblatt, 1980; hooks, 2000).</w:t>
      </w:r>
    </w:p>
    <w:p>
      <w:pPr>
        <w:pStyle w:val="BodyText"/>
        <w:spacing w:line="249" w:lineRule="auto" w:before="66"/>
        <w:ind w:right="1439" w:firstLine="432"/>
        <w:jc w:val="both"/>
      </w:pPr>
      <w:r>
        <w:rPr/>
        <w:t>Thus, this</w:t>
      </w:r>
      <w:r>
        <w:rPr>
          <w:spacing w:val="-1"/>
        </w:rPr>
        <w:t> </w:t>
      </w:r>
      <w:r>
        <w:rPr/>
        <w:t>paper is not merely</w:t>
      </w:r>
      <w:r>
        <w:rPr>
          <w:spacing w:val="-3"/>
        </w:rPr>
        <w:t> </w:t>
      </w:r>
      <w:r>
        <w:rPr/>
        <w:t>an</w:t>
      </w:r>
      <w:r>
        <w:rPr>
          <w:spacing w:val="-1"/>
        </w:rPr>
        <w:t> </w:t>
      </w:r>
      <w:r>
        <w:rPr/>
        <w:t>analysis</w:t>
      </w:r>
      <w:r>
        <w:rPr>
          <w:spacing w:val="-1"/>
        </w:rPr>
        <w:t> </w:t>
      </w:r>
      <w:r>
        <w:rPr/>
        <w:t>of</w:t>
      </w:r>
      <w:r>
        <w:rPr>
          <w:spacing w:val="-1"/>
        </w:rPr>
        <w:t> </w:t>
      </w:r>
      <w:r>
        <w:rPr/>
        <w:t>the characterizations; instead, it seeks to impartially listen to these women, to view their silence as significant, their breakdowns as reactions to their circumstances and</w:t>
      </w:r>
      <w:r>
        <w:rPr>
          <w:spacing w:val="40"/>
        </w:rPr>
        <w:t> </w:t>
      </w:r>
      <w:r>
        <w:rPr/>
        <w:t>their feelings</w:t>
      </w:r>
      <w:r>
        <w:rPr>
          <w:spacing w:val="40"/>
        </w:rPr>
        <w:t> </w:t>
      </w:r>
      <w:r>
        <w:rPr/>
        <w:t>as legitimate.</w:t>
      </w:r>
    </w:p>
    <w:p>
      <w:pPr>
        <w:pStyle w:val="Heading3"/>
        <w:spacing w:before="157"/>
      </w:pPr>
      <w:r>
        <w:rPr>
          <w:spacing w:val="-2"/>
        </w:rPr>
        <w:t>METHODOLOGY:</w:t>
      </w:r>
    </w:p>
    <w:p>
      <w:pPr>
        <w:pStyle w:val="BodyText"/>
        <w:spacing w:line="249" w:lineRule="auto" w:before="75"/>
        <w:ind w:right="1439" w:firstLine="432"/>
        <w:jc w:val="both"/>
      </w:pPr>
      <w:r>
        <w:rPr/>
        <w:t>A qualitative and interpretive research approach is employed in this</w:t>
      </w:r>
      <w:r>
        <w:rPr>
          <w:spacing w:val="28"/>
        </w:rPr>
        <w:t> </w:t>
      </w:r>
      <w:r>
        <w:rPr/>
        <w:t>study,</w:t>
      </w:r>
      <w:r>
        <w:rPr>
          <w:spacing w:val="33"/>
        </w:rPr>
        <w:t> </w:t>
      </w:r>
      <w:r>
        <w:rPr/>
        <w:t>which</w:t>
      </w:r>
      <w:r>
        <w:rPr>
          <w:spacing w:val="28"/>
        </w:rPr>
        <w:t> </w:t>
      </w:r>
      <w:r>
        <w:rPr/>
        <w:t>is</w:t>
      </w:r>
      <w:r>
        <w:rPr>
          <w:spacing w:val="31"/>
        </w:rPr>
        <w:t> </w:t>
      </w:r>
      <w:r>
        <w:rPr/>
        <w:t>based</w:t>
      </w:r>
      <w:r>
        <w:rPr>
          <w:spacing w:val="31"/>
        </w:rPr>
        <w:t> </w:t>
      </w:r>
      <w:r>
        <w:rPr/>
        <w:t>on</w:t>
      </w:r>
      <w:r>
        <w:rPr>
          <w:spacing w:val="30"/>
        </w:rPr>
        <w:t> </w:t>
      </w:r>
      <w:r>
        <w:rPr/>
        <w:t>the</w:t>
      </w:r>
      <w:r>
        <w:rPr>
          <w:spacing w:val="30"/>
        </w:rPr>
        <w:t> </w:t>
      </w:r>
      <w:r>
        <w:rPr/>
        <w:t>careful</w:t>
      </w:r>
      <w:r>
        <w:rPr>
          <w:spacing w:val="30"/>
        </w:rPr>
        <w:t> </w:t>
      </w:r>
      <w:r>
        <w:rPr/>
        <w:t>textual</w:t>
      </w:r>
      <w:r>
        <w:rPr>
          <w:spacing w:val="29"/>
        </w:rPr>
        <w:t> </w:t>
      </w:r>
      <w:r>
        <w:rPr/>
        <w:t>analysis</w:t>
      </w:r>
      <w:r>
        <w:rPr>
          <w:spacing w:val="31"/>
        </w:rPr>
        <w:t> </w:t>
      </w:r>
      <w:r>
        <w:rPr/>
        <w:t>of</w:t>
      </w:r>
      <w:r>
        <w:rPr>
          <w:spacing w:val="28"/>
        </w:rPr>
        <w:t> </w:t>
      </w:r>
      <w:r>
        <w:rPr>
          <w:spacing w:val="-2"/>
        </w:rPr>
        <w:t>selected</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3312">
                <wp:simplePos x="0" y="0"/>
                <wp:positionH relativeFrom="page">
                  <wp:posOffset>2065020</wp:posOffset>
                </wp:positionH>
                <wp:positionV relativeFrom="paragraph">
                  <wp:posOffset>795020</wp:posOffset>
                </wp:positionV>
                <wp:extent cx="3657600" cy="12700"/>
                <wp:effectExtent l="0" t="0" r="0" b="0"/>
                <wp:wrapTopAndBottom/>
                <wp:docPr id="338" name="Graphic 338"/>
                <wp:cNvGraphicFramePr>
                  <a:graphicFrameLocks/>
                </wp:cNvGraphicFramePr>
                <a:graphic>
                  <a:graphicData uri="http://schemas.microsoft.com/office/word/2010/wordprocessingShape">
                    <wps:wsp>
                      <wps:cNvPr id="338" name="Graphic 33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23168;mso-wrap-distance-left:0;mso-wrap-distance-right:0" id="docshape334" filled="true" fillcolor="#000000" stroked="false">
                <v:fill type="solid"/>
                <w10:wrap type="topAndBottom"/>
              </v:rect>
            </w:pict>
          </mc:Fallback>
        </mc:AlternateContent>
      </w:r>
      <w:r>
        <w:rPr>
          <w:rFonts w:ascii="Verdana"/>
          <w:sz w:val="18"/>
        </w:rPr>
        <w:t>Madness</w:t>
      </w:r>
      <w:r>
        <w:rPr>
          <w:rFonts w:ascii="Verdana"/>
          <w:spacing w:val="-7"/>
          <w:sz w:val="18"/>
        </w:rPr>
        <w:t> </w:t>
      </w:r>
      <w:r>
        <w:rPr>
          <w:rFonts w:ascii="Verdana"/>
          <w:sz w:val="18"/>
        </w:rPr>
        <w:t>as</w:t>
      </w:r>
      <w:r>
        <w:rPr>
          <w:rFonts w:ascii="Verdana"/>
          <w:spacing w:val="-7"/>
          <w:sz w:val="18"/>
        </w:rPr>
        <w:t> </w:t>
      </w:r>
      <w:r>
        <w:rPr>
          <w:rFonts w:ascii="Verdana"/>
          <w:sz w:val="18"/>
        </w:rPr>
        <w:t>A</w:t>
      </w:r>
      <w:r>
        <w:rPr>
          <w:rFonts w:ascii="Verdana"/>
          <w:spacing w:val="-11"/>
          <w:sz w:val="18"/>
        </w:rPr>
        <w:t> </w:t>
      </w:r>
      <w:r>
        <w:rPr>
          <w:rFonts w:ascii="Verdana"/>
          <w:sz w:val="18"/>
        </w:rPr>
        <w:t>Social</w:t>
      </w:r>
      <w:r>
        <w:rPr>
          <w:rFonts w:ascii="Verdana"/>
          <w:spacing w:val="-7"/>
          <w:sz w:val="18"/>
        </w:rPr>
        <w:t> </w:t>
      </w:r>
      <w:r>
        <w:rPr>
          <w:rFonts w:ascii="Verdana"/>
          <w:sz w:val="18"/>
        </w:rPr>
        <w:t>Construction:</w:t>
      </w:r>
      <w:r>
        <w:rPr>
          <w:rFonts w:ascii="Verdana"/>
          <w:spacing w:val="-8"/>
          <w:sz w:val="18"/>
        </w:rPr>
        <w:t> </w:t>
      </w:r>
      <w:r>
        <w:rPr>
          <w:rFonts w:ascii="Verdana"/>
          <w:sz w:val="18"/>
        </w:rPr>
        <w:t>Trauma,</w:t>
      </w:r>
      <w:r>
        <w:rPr>
          <w:rFonts w:ascii="Verdana"/>
          <w:spacing w:val="-7"/>
          <w:sz w:val="18"/>
        </w:rPr>
        <w:t> </w:t>
      </w:r>
      <w:r>
        <w:rPr>
          <w:rFonts w:ascii="Verdana"/>
          <w:sz w:val="18"/>
        </w:rPr>
        <w:t>Guilt</w:t>
      </w:r>
      <w:r>
        <w:rPr>
          <w:rFonts w:ascii="Verdana"/>
          <w:spacing w:val="-6"/>
          <w:sz w:val="18"/>
        </w:rPr>
        <w:t> </w:t>
      </w:r>
      <w:r>
        <w:rPr>
          <w:rFonts w:ascii="Verdana"/>
          <w:spacing w:val="-5"/>
          <w:sz w:val="18"/>
        </w:rPr>
        <w:t>...</w:t>
      </w:r>
      <w:r>
        <w:rPr>
          <w:sz w:val="18"/>
        </w:rPr>
        <w:tab/>
      </w:r>
      <w:r>
        <w:rPr>
          <w:rFonts w:ascii="Verdana"/>
          <w:spacing w:val="-5"/>
          <w:sz w:val="18"/>
        </w:rPr>
        <w:t>119</w:t>
      </w:r>
    </w:p>
    <w:p>
      <w:pPr>
        <w:pStyle w:val="BodyText"/>
        <w:spacing w:line="249" w:lineRule="auto" w:before="192"/>
        <w:ind w:right="1435"/>
        <w:jc w:val="both"/>
      </w:pPr>
      <w:r>
        <w:rPr>
          <w:spacing w:val="-2"/>
        </w:rPr>
        <w:t>William</w:t>
      </w:r>
      <w:r>
        <w:rPr>
          <w:spacing w:val="-11"/>
        </w:rPr>
        <w:t> </w:t>
      </w:r>
      <w:r>
        <w:rPr>
          <w:spacing w:val="-2"/>
        </w:rPr>
        <w:t>Shakespeare</w:t>
      </w:r>
      <w:r>
        <w:rPr>
          <w:spacing w:val="-8"/>
        </w:rPr>
        <w:t> </w:t>
      </w:r>
      <w:r>
        <w:rPr>
          <w:spacing w:val="-2"/>
        </w:rPr>
        <w:t>plays.</w:t>
      </w:r>
      <w:r>
        <w:rPr>
          <w:spacing w:val="-4"/>
        </w:rPr>
        <w:t> </w:t>
      </w:r>
      <w:r>
        <w:rPr>
          <w:spacing w:val="-2"/>
        </w:rPr>
        <w:t>Research</w:t>
      </w:r>
      <w:r>
        <w:rPr>
          <w:spacing w:val="-11"/>
        </w:rPr>
        <w:t> </w:t>
      </w:r>
      <w:r>
        <w:rPr>
          <w:spacing w:val="-2"/>
        </w:rPr>
        <w:t>on</w:t>
      </w:r>
      <w:r>
        <w:rPr>
          <w:spacing w:val="-6"/>
        </w:rPr>
        <w:t> </w:t>
      </w:r>
      <w:r>
        <w:rPr>
          <w:spacing w:val="-2"/>
        </w:rPr>
        <w:t>the</w:t>
      </w:r>
      <w:r>
        <w:rPr>
          <w:spacing w:val="-7"/>
        </w:rPr>
        <w:t> </w:t>
      </w:r>
      <w:r>
        <w:rPr>
          <w:spacing w:val="-2"/>
        </w:rPr>
        <w:t>psychological</w:t>
      </w:r>
      <w:r>
        <w:rPr>
          <w:spacing w:val="-7"/>
        </w:rPr>
        <w:t> </w:t>
      </w:r>
      <w:r>
        <w:rPr>
          <w:spacing w:val="-2"/>
        </w:rPr>
        <w:t>and</w:t>
      </w:r>
      <w:r>
        <w:rPr>
          <w:spacing w:val="-4"/>
        </w:rPr>
        <w:t> </w:t>
      </w:r>
      <w:r>
        <w:rPr>
          <w:spacing w:val="-2"/>
        </w:rPr>
        <w:t>emotional </w:t>
      </w:r>
      <w:r>
        <w:rPr/>
        <w:t>aspects of female characters, particularly mental health, trauma and socially constructed madness.The purpose of this piece, which covers </w:t>
      </w:r>
      <w:r>
        <w:rPr>
          <w:spacing w:val="-4"/>
        </w:rPr>
        <w:t>important</w:t>
      </w:r>
      <w:r>
        <w:rPr>
          <w:spacing w:val="-9"/>
        </w:rPr>
        <w:t> </w:t>
      </w:r>
      <w:r>
        <w:rPr>
          <w:spacing w:val="-4"/>
        </w:rPr>
        <w:t>literary</w:t>
      </w:r>
      <w:r>
        <w:rPr>
          <w:spacing w:val="-8"/>
        </w:rPr>
        <w:t> </w:t>
      </w:r>
      <w:r>
        <w:rPr>
          <w:spacing w:val="-4"/>
        </w:rPr>
        <w:t>works</w:t>
      </w:r>
      <w:r>
        <w:rPr>
          <w:spacing w:val="-9"/>
        </w:rPr>
        <w:t> </w:t>
      </w:r>
      <w:r>
        <w:rPr>
          <w:spacing w:val="-4"/>
        </w:rPr>
        <w:t>including</w:t>
      </w:r>
      <w:r>
        <w:rPr>
          <w:spacing w:val="-8"/>
        </w:rPr>
        <w:t> </w:t>
      </w:r>
      <w:r>
        <w:rPr>
          <w:spacing w:val="-4"/>
        </w:rPr>
        <w:t>Hamlet,</w:t>
      </w:r>
      <w:r>
        <w:rPr>
          <w:spacing w:val="-9"/>
        </w:rPr>
        <w:t> </w:t>
      </w:r>
      <w:r>
        <w:rPr>
          <w:spacing w:val="-4"/>
        </w:rPr>
        <w:t>Macbeth</w:t>
      </w:r>
      <w:r>
        <w:rPr>
          <w:spacing w:val="-8"/>
        </w:rPr>
        <w:t> </w:t>
      </w:r>
      <w:r>
        <w:rPr>
          <w:spacing w:val="-4"/>
        </w:rPr>
        <w:t>(written</w:t>
      </w:r>
      <w:r>
        <w:rPr>
          <w:spacing w:val="-9"/>
        </w:rPr>
        <w:t> </w:t>
      </w:r>
      <w:r>
        <w:rPr>
          <w:spacing w:val="-4"/>
        </w:rPr>
        <w:t>approximately </w:t>
      </w:r>
      <w:r>
        <w:rPr/>
        <w:t>1350),</w:t>
      </w:r>
      <w:r>
        <w:rPr>
          <w:spacing w:val="-13"/>
        </w:rPr>
        <w:t> </w:t>
      </w:r>
      <w:r>
        <w:rPr/>
        <w:t>Othello</w:t>
      </w:r>
      <w:r>
        <w:rPr>
          <w:spacing w:val="-8"/>
        </w:rPr>
        <w:t> </w:t>
      </w:r>
      <w:r>
        <w:rPr/>
        <w:t>(produced</w:t>
      </w:r>
      <w:r>
        <w:rPr>
          <w:spacing w:val="-7"/>
        </w:rPr>
        <w:t> </w:t>
      </w:r>
      <w:r>
        <w:rPr/>
        <w:t>1659),</w:t>
      </w:r>
      <w:r>
        <w:rPr>
          <w:spacing w:val="-10"/>
        </w:rPr>
        <w:t> </w:t>
      </w:r>
      <w:r>
        <w:rPr/>
        <w:t>King</w:t>
      </w:r>
      <w:r>
        <w:rPr>
          <w:spacing w:val="-9"/>
        </w:rPr>
        <w:t> </w:t>
      </w:r>
      <w:r>
        <w:rPr/>
        <w:t>Lear</w:t>
      </w:r>
      <w:r>
        <w:rPr>
          <w:spacing w:val="-10"/>
        </w:rPr>
        <w:t> </w:t>
      </w:r>
      <w:r>
        <w:rPr/>
        <w:t>(published</w:t>
      </w:r>
      <w:r>
        <w:rPr>
          <w:spacing w:val="-7"/>
        </w:rPr>
        <w:t> </w:t>
      </w:r>
      <w:r>
        <w:rPr/>
        <w:t>1756),</w:t>
      </w:r>
      <w:r>
        <w:rPr>
          <w:spacing w:val="-13"/>
        </w:rPr>
        <w:t> </w:t>
      </w:r>
      <w:r>
        <w:rPr/>
        <w:t>All’s</w:t>
      </w:r>
      <w:r>
        <w:rPr>
          <w:spacing w:val="-10"/>
        </w:rPr>
        <w:t> </w:t>
      </w:r>
      <w:r>
        <w:rPr/>
        <w:t>Well </w:t>
      </w:r>
      <w:r>
        <w:rPr>
          <w:spacing w:val="-4"/>
        </w:rPr>
        <w:t>That Ends</w:t>
      </w:r>
      <w:r>
        <w:rPr>
          <w:spacing w:val="-9"/>
        </w:rPr>
        <w:t> </w:t>
      </w:r>
      <w:r>
        <w:rPr>
          <w:spacing w:val="-4"/>
        </w:rPr>
        <w:t>Well</w:t>
      </w:r>
      <w:r>
        <w:rPr>
          <w:spacing w:val="-7"/>
        </w:rPr>
        <w:t> </w:t>
      </w:r>
      <w:r>
        <w:rPr>
          <w:spacing w:val="-4"/>
        </w:rPr>
        <w:t>(published</w:t>
      </w:r>
      <w:r>
        <w:rPr>
          <w:spacing w:val="-6"/>
        </w:rPr>
        <w:t> </w:t>
      </w:r>
      <w:r>
        <w:rPr>
          <w:spacing w:val="-4"/>
        </w:rPr>
        <w:t>1617),</w:t>
      </w:r>
      <w:r>
        <w:rPr>
          <w:spacing w:val="-6"/>
        </w:rPr>
        <w:t> </w:t>
      </w:r>
      <w:r>
        <w:rPr>
          <w:spacing w:val="-4"/>
        </w:rPr>
        <w:t>Ophelia</w:t>
      </w:r>
      <w:r>
        <w:rPr>
          <w:spacing w:val="-6"/>
        </w:rPr>
        <w:t> </w:t>
      </w:r>
      <w:r>
        <w:rPr>
          <w:spacing w:val="-4"/>
        </w:rPr>
        <w:t>(published1854), Lady</w:t>
      </w:r>
      <w:r>
        <w:rPr>
          <w:spacing w:val="-9"/>
        </w:rPr>
        <w:t> </w:t>
      </w:r>
      <w:r>
        <w:rPr>
          <w:spacing w:val="-4"/>
        </w:rPr>
        <w:t>Macbeth </w:t>
      </w:r>
      <w:r>
        <w:rPr/>
        <w:t>(written1453),</w:t>
      </w:r>
      <w:r>
        <w:rPr>
          <w:spacing w:val="-5"/>
        </w:rPr>
        <w:t> </w:t>
      </w:r>
      <w:r>
        <w:rPr/>
        <w:t>Desdemona</w:t>
      </w:r>
      <w:r>
        <w:rPr>
          <w:spacing w:val="-8"/>
        </w:rPr>
        <w:t> </w:t>
      </w:r>
      <w:r>
        <w:rPr/>
        <w:t>(published</w:t>
      </w:r>
      <w:r>
        <w:rPr>
          <w:spacing w:val="-5"/>
        </w:rPr>
        <w:t> </w:t>
      </w:r>
      <w:r>
        <w:rPr/>
        <w:t>1757),</w:t>
      </w:r>
      <w:r>
        <w:rPr>
          <w:spacing w:val="-7"/>
        </w:rPr>
        <w:t> </w:t>
      </w:r>
      <w:r>
        <w:rPr/>
        <w:t>Cordelia</w:t>
      </w:r>
      <w:r>
        <w:rPr>
          <w:spacing w:val="-7"/>
        </w:rPr>
        <w:t> </w:t>
      </w:r>
      <w:r>
        <w:rPr/>
        <w:t>(published1961), </w:t>
      </w:r>
      <w:r>
        <w:rPr>
          <w:spacing w:val="-4"/>
        </w:rPr>
        <w:t>and Helena (published268) while utilizing analytical methods, will provide </w:t>
      </w:r>
      <w:r>
        <w:rPr/>
        <w:t>the reader an insight into how each text deals with recurring patterns within themes of language/silence; representations of feelings; and sequences of insanity by analyzing the characters depicted within the individual texts in relation to psychological/societal truths rather than simply assessing the character’s behaviour and decisions through an individual</w:t>
      </w:r>
      <w:r>
        <w:rPr>
          <w:spacing w:val="40"/>
        </w:rPr>
        <w:t> </w:t>
      </w:r>
      <w:r>
        <w:rPr/>
        <w:t>story’s</w:t>
      </w:r>
      <w:r>
        <w:rPr>
          <w:spacing w:val="40"/>
        </w:rPr>
        <w:t> </w:t>
      </w:r>
      <w:r>
        <w:rPr/>
        <w:t>plot</w:t>
      </w:r>
      <w:r>
        <w:rPr>
          <w:spacing w:val="40"/>
        </w:rPr>
        <w:t> </w:t>
      </w:r>
      <w:r>
        <w:rPr/>
        <w:t>structure.</w:t>
      </w:r>
    </w:p>
    <w:p>
      <w:pPr>
        <w:pStyle w:val="BodyText"/>
        <w:spacing w:line="249" w:lineRule="auto" w:before="69"/>
        <w:ind w:right="1437" w:firstLine="432"/>
        <w:jc w:val="both"/>
      </w:pPr>
      <w:r>
        <w:rPr/>
        <w:t>Trauma theory explains madness as not just simply being a sign</w:t>
      </w:r>
      <w:r>
        <w:rPr>
          <w:spacing w:val="80"/>
        </w:rPr>
        <w:t> </w:t>
      </w:r>
      <w:r>
        <w:rPr/>
        <w:t>of one’s weakness and will, but rather as resulting from long-term emotional</w:t>
      </w:r>
      <w:r>
        <w:rPr>
          <w:spacing w:val="-1"/>
        </w:rPr>
        <w:t> </w:t>
      </w:r>
      <w:r>
        <w:rPr/>
        <w:t>repression</w:t>
      </w:r>
      <w:r>
        <w:rPr>
          <w:spacing w:val="-3"/>
        </w:rPr>
        <w:t> </w:t>
      </w:r>
      <w:r>
        <w:rPr/>
        <w:t>and distress,</w:t>
      </w:r>
      <w:r>
        <w:rPr>
          <w:spacing w:val="-1"/>
        </w:rPr>
        <w:t> </w:t>
      </w:r>
      <w:r>
        <w:rPr/>
        <w:t>in</w:t>
      </w:r>
      <w:r>
        <w:rPr>
          <w:spacing w:val="-3"/>
        </w:rPr>
        <w:t> </w:t>
      </w:r>
      <w:r>
        <w:rPr/>
        <w:t>the</w:t>
      </w:r>
      <w:r>
        <w:rPr>
          <w:spacing w:val="-1"/>
        </w:rPr>
        <w:t> </w:t>
      </w:r>
      <w:r>
        <w:rPr/>
        <w:t>form</w:t>
      </w:r>
      <w:r>
        <w:rPr>
          <w:spacing w:val="-6"/>
        </w:rPr>
        <w:t> </w:t>
      </w:r>
      <w:r>
        <w:rPr/>
        <w:t>of</w:t>
      </w:r>
      <w:r>
        <w:rPr>
          <w:spacing w:val="-3"/>
        </w:rPr>
        <w:t> </w:t>
      </w:r>
      <w:r>
        <w:rPr/>
        <w:t>both</w:t>
      </w:r>
      <w:r>
        <w:rPr>
          <w:spacing w:val="-3"/>
        </w:rPr>
        <w:t> </w:t>
      </w:r>
      <w:r>
        <w:rPr/>
        <w:t>loss</w:t>
      </w:r>
      <w:r>
        <w:rPr>
          <w:spacing w:val="-3"/>
        </w:rPr>
        <w:t> </w:t>
      </w:r>
      <w:r>
        <w:rPr/>
        <w:t>of</w:t>
      </w:r>
      <w:r>
        <w:rPr>
          <w:spacing w:val="-3"/>
        </w:rPr>
        <w:t> </w:t>
      </w:r>
      <w:r>
        <w:rPr/>
        <w:t>option</w:t>
      </w:r>
      <w:r>
        <w:rPr>
          <w:spacing w:val="-3"/>
        </w:rPr>
        <w:t> </w:t>
      </w:r>
      <w:r>
        <w:rPr/>
        <w:t>and continued systematic disempowerment and silencing (Caruth, 1996). According</w:t>
      </w:r>
      <w:r>
        <w:rPr>
          <w:spacing w:val="-4"/>
        </w:rPr>
        <w:t> </w:t>
      </w:r>
      <w:r>
        <w:rPr/>
        <w:t>to feminist</w:t>
      </w:r>
      <w:r>
        <w:rPr>
          <w:spacing w:val="-3"/>
        </w:rPr>
        <w:t> </w:t>
      </w:r>
      <w:r>
        <w:rPr/>
        <w:t>theory,</w:t>
      </w:r>
      <w:r>
        <w:rPr>
          <w:spacing w:val="-3"/>
        </w:rPr>
        <w:t> </w:t>
      </w:r>
      <w:r>
        <w:rPr/>
        <w:t>the</w:t>
      </w:r>
      <w:r>
        <w:rPr>
          <w:spacing w:val="-1"/>
        </w:rPr>
        <w:t> </w:t>
      </w:r>
      <w:r>
        <w:rPr/>
        <w:t>psychological</w:t>
      </w:r>
      <w:r>
        <w:rPr>
          <w:spacing w:val="-4"/>
        </w:rPr>
        <w:t> </w:t>
      </w:r>
      <w:r>
        <w:rPr/>
        <w:t>distress</w:t>
      </w:r>
      <w:r>
        <w:rPr>
          <w:spacing w:val="-1"/>
        </w:rPr>
        <w:t> </w:t>
      </w:r>
      <w:r>
        <w:rPr/>
        <w:t>experienced</w:t>
      </w:r>
      <w:r>
        <w:rPr>
          <w:spacing w:val="-3"/>
        </w:rPr>
        <w:t> </w:t>
      </w:r>
      <w:r>
        <w:rPr/>
        <w:t>by women arises from living under patriarchal systems that deny them the ability</w:t>
      </w:r>
      <w:r>
        <w:rPr>
          <w:spacing w:val="-3"/>
        </w:rPr>
        <w:t> </w:t>
      </w:r>
      <w:r>
        <w:rPr/>
        <w:t>to exercise their</w:t>
      </w:r>
      <w:r>
        <w:rPr>
          <w:spacing w:val="-1"/>
        </w:rPr>
        <w:t> </w:t>
      </w:r>
      <w:r>
        <w:rPr/>
        <w:t>own</w:t>
      </w:r>
      <w:r>
        <w:rPr>
          <w:spacing w:val="-1"/>
        </w:rPr>
        <w:t> </w:t>
      </w:r>
      <w:r>
        <w:rPr/>
        <w:t>agency,</w:t>
      </w:r>
      <w:r>
        <w:rPr>
          <w:spacing w:val="-1"/>
        </w:rPr>
        <w:t> </w:t>
      </w:r>
      <w:r>
        <w:rPr/>
        <w:t>have their own voices, or maintain their own autonomy (hooks, 2000; Showalter, 1985). The frame works used to create may be understood as designed to create and support feminist structures. Conflicts and guilt (among other things) that occur internally through the study of psychoanalytic theory, including the significance of Freudian levels, repression and the unconscious (Freud, 1917/1957) allow for the examination of ambivalence within a single frame work and provide insight into how madness is perpetuated throughout</w:t>
      </w:r>
      <w:r>
        <w:rPr>
          <w:spacing w:val="29"/>
        </w:rPr>
        <w:t> </w:t>
      </w:r>
      <w:r>
        <w:rPr/>
        <w:t>the,</w:t>
      </w:r>
      <w:r>
        <w:rPr>
          <w:spacing w:val="26"/>
        </w:rPr>
        <w:t> </w:t>
      </w:r>
      <w:r>
        <w:rPr/>
        <w:t>and</w:t>
      </w:r>
      <w:r>
        <w:rPr>
          <w:spacing w:val="27"/>
        </w:rPr>
        <w:t> </w:t>
      </w:r>
      <w:r>
        <w:rPr/>
        <w:t>has</w:t>
      </w:r>
      <w:r>
        <w:rPr>
          <w:spacing w:val="27"/>
        </w:rPr>
        <w:t> </w:t>
      </w:r>
      <w:r>
        <w:rPr/>
        <w:t>been</w:t>
      </w:r>
      <w:r>
        <w:rPr>
          <w:spacing w:val="24"/>
        </w:rPr>
        <w:t> </w:t>
      </w:r>
      <w:r>
        <w:rPr/>
        <w:t>shaped</w:t>
      </w:r>
      <w:r>
        <w:rPr>
          <w:spacing w:val="29"/>
        </w:rPr>
        <w:t> </w:t>
      </w:r>
      <w:r>
        <w:rPr/>
        <w:t>by</w:t>
      </w:r>
      <w:r>
        <w:rPr>
          <w:spacing w:val="22"/>
        </w:rPr>
        <w:t> </w:t>
      </w:r>
      <w:r>
        <w:rPr/>
        <w:t>the</w:t>
      </w:r>
      <w:r>
        <w:rPr>
          <w:spacing w:val="28"/>
        </w:rPr>
        <w:t> </w:t>
      </w:r>
      <w:r>
        <w:rPr/>
        <w:t>past,</w:t>
      </w:r>
      <w:r>
        <w:rPr>
          <w:spacing w:val="29"/>
        </w:rPr>
        <w:t> </w:t>
      </w:r>
      <w:r>
        <w:rPr/>
        <w:t>present,</w:t>
      </w:r>
      <w:r>
        <w:rPr>
          <w:spacing w:val="27"/>
        </w:rPr>
        <w:t> </w:t>
      </w:r>
      <w:r>
        <w:rPr/>
        <w:t>and</w:t>
      </w:r>
      <w:r>
        <w:rPr>
          <w:spacing w:val="27"/>
        </w:rPr>
        <w:t> </w:t>
      </w:r>
      <w:r>
        <w:rPr/>
        <w:t>future of</w:t>
      </w:r>
      <w:r>
        <w:rPr>
          <w:spacing w:val="40"/>
        </w:rPr>
        <w:t> </w:t>
      </w:r>
      <w:r>
        <w:rPr/>
        <w:t>gender</w:t>
      </w:r>
      <w:r>
        <w:rPr>
          <w:spacing w:val="40"/>
        </w:rPr>
        <w:t> </w:t>
      </w:r>
      <w:r>
        <w:rPr/>
        <w:t>power</w:t>
      </w:r>
      <w:r>
        <w:rPr>
          <w:spacing w:val="40"/>
        </w:rPr>
        <w:t> </w:t>
      </w:r>
      <w:r>
        <w:rPr/>
        <w:t>relationships.</w:t>
      </w:r>
    </w:p>
    <w:p>
      <w:pPr>
        <w:pStyle w:val="Heading3"/>
        <w:spacing w:before="167"/>
        <w:jc w:val="both"/>
      </w:pPr>
      <w:r>
        <w:rPr>
          <w:w w:val="90"/>
        </w:rPr>
        <w:t>REVIEW</w:t>
      </w:r>
      <w:r>
        <w:rPr>
          <w:spacing w:val="-1"/>
          <w:w w:val="90"/>
        </w:rPr>
        <w:t> </w:t>
      </w:r>
      <w:r>
        <w:rPr>
          <w:w w:val="90"/>
        </w:rPr>
        <w:t>OF</w:t>
      </w:r>
      <w:r>
        <w:rPr>
          <w:spacing w:val="-3"/>
        </w:rPr>
        <w:t> </w:t>
      </w:r>
      <w:r>
        <w:rPr>
          <w:spacing w:val="-2"/>
          <w:w w:val="90"/>
        </w:rPr>
        <w:t>LITERATURE:</w:t>
      </w:r>
    </w:p>
    <w:p>
      <w:pPr>
        <w:pStyle w:val="BodyText"/>
        <w:spacing w:line="249" w:lineRule="auto" w:before="75"/>
        <w:ind w:right="1435" w:firstLine="432"/>
        <w:jc w:val="both"/>
      </w:pPr>
      <w:r>
        <w:rPr/>
        <w:t>Gender and madness has been the subject of much scholarly inquiry through the lens of women’s treatment of madness in Shakespeare’s</w:t>
      </w:r>
      <w:r>
        <w:rPr>
          <w:spacing w:val="-3"/>
        </w:rPr>
        <w:t> </w:t>
      </w:r>
      <w:r>
        <w:rPr/>
        <w:t>work.</w:t>
      </w:r>
      <w:r>
        <w:rPr>
          <w:spacing w:val="-4"/>
        </w:rPr>
        <w:t> </w:t>
      </w:r>
      <w:r>
        <w:rPr/>
        <w:t>In</w:t>
      </w:r>
      <w:r>
        <w:rPr>
          <w:spacing w:val="-4"/>
        </w:rPr>
        <w:t> </w:t>
      </w:r>
      <w:r>
        <w:rPr/>
        <w:t>their</w:t>
      </w:r>
      <w:r>
        <w:rPr>
          <w:spacing w:val="-1"/>
        </w:rPr>
        <w:t> </w:t>
      </w:r>
      <w:r>
        <w:rPr/>
        <w:t>studies</w:t>
      </w:r>
      <w:r>
        <w:rPr>
          <w:spacing w:val="-6"/>
        </w:rPr>
        <w:t> </w:t>
      </w:r>
      <w:r>
        <w:rPr/>
        <w:t>of</w:t>
      </w:r>
      <w:r>
        <w:rPr>
          <w:spacing w:val="-4"/>
        </w:rPr>
        <w:t> </w:t>
      </w:r>
      <w:r>
        <w:rPr/>
        <w:t>madness,</w:t>
      </w:r>
      <w:r>
        <w:rPr>
          <w:spacing w:val="-3"/>
        </w:rPr>
        <w:t> </w:t>
      </w:r>
      <w:r>
        <w:rPr/>
        <w:t>they</w:t>
      </w:r>
      <w:r>
        <w:rPr>
          <w:spacing w:val="-8"/>
        </w:rPr>
        <w:t> </w:t>
      </w:r>
      <w:r>
        <w:rPr/>
        <w:t>increasingly</w:t>
      </w:r>
      <w:r>
        <w:rPr>
          <w:spacing w:val="-6"/>
        </w:rPr>
        <w:t> </w:t>
      </w:r>
      <w:r>
        <w:rPr/>
        <w:t>view despair and madness as products of societal and cultural influences rather than individual failings. Elaine Showalter (1985), defined the intensity</w:t>
      </w:r>
      <w:r>
        <w:rPr>
          <w:spacing w:val="-3"/>
        </w:rPr>
        <w:t> </w:t>
      </w:r>
      <w:r>
        <w:rPr/>
        <w:t>of female characters’</w:t>
      </w:r>
      <w:r>
        <w:rPr>
          <w:spacing w:val="-1"/>
        </w:rPr>
        <w:t> </w:t>
      </w:r>
      <w:r>
        <w:rPr/>
        <w:t>dependence on</w:t>
      </w:r>
      <w:r>
        <w:rPr>
          <w:spacing w:val="-1"/>
        </w:rPr>
        <w:t> </w:t>
      </w:r>
      <w:r>
        <w:rPr/>
        <w:t>societal expectations</w:t>
      </w:r>
      <w:r>
        <w:rPr>
          <w:spacing w:val="-1"/>
        </w:rPr>
        <w:t> </w:t>
      </w:r>
      <w:r>
        <w:rPr/>
        <w:t>and limitations</w:t>
      </w:r>
      <w:r>
        <w:rPr>
          <w:spacing w:val="-5"/>
        </w:rPr>
        <w:t> </w:t>
      </w:r>
      <w:r>
        <w:rPr/>
        <w:t>as</w:t>
      </w:r>
      <w:r>
        <w:rPr>
          <w:spacing w:val="-3"/>
        </w:rPr>
        <w:t> </w:t>
      </w:r>
      <w:r>
        <w:rPr/>
        <w:t>being</w:t>
      </w:r>
      <w:r>
        <w:rPr>
          <w:spacing w:val="-5"/>
        </w:rPr>
        <w:t> </w:t>
      </w:r>
      <w:r>
        <w:rPr/>
        <w:t>one</w:t>
      </w:r>
      <w:r>
        <w:rPr>
          <w:spacing w:val="-4"/>
        </w:rPr>
        <w:t> </w:t>
      </w:r>
      <w:r>
        <w:rPr/>
        <w:t>of</w:t>
      </w:r>
      <w:r>
        <w:rPr>
          <w:spacing w:val="-3"/>
        </w:rPr>
        <w:t> </w:t>
      </w:r>
      <w:r>
        <w:rPr/>
        <w:t>the</w:t>
      </w:r>
      <w:r>
        <w:rPr>
          <w:spacing w:val="-2"/>
        </w:rPr>
        <w:t> </w:t>
      </w:r>
      <w:r>
        <w:rPr/>
        <w:t>deepest</w:t>
      </w:r>
      <w:r>
        <w:rPr>
          <w:spacing w:val="-4"/>
        </w:rPr>
        <w:t> </w:t>
      </w:r>
      <w:r>
        <w:rPr/>
        <w:t>insights</w:t>
      </w:r>
      <w:r>
        <w:rPr>
          <w:spacing w:val="-1"/>
        </w:rPr>
        <w:t> </w:t>
      </w:r>
      <w:r>
        <w:rPr/>
        <w:t>into</w:t>
      </w:r>
      <w:r>
        <w:rPr>
          <w:spacing w:val="-3"/>
        </w:rPr>
        <w:t> </w:t>
      </w:r>
      <w:r>
        <w:rPr/>
        <w:t>the</w:t>
      </w:r>
      <w:r>
        <w:rPr>
          <w:spacing w:val="-3"/>
        </w:rPr>
        <w:t> </w:t>
      </w:r>
      <w:r>
        <w:rPr/>
        <w:t>nature</w:t>
      </w:r>
      <w:r>
        <w:rPr>
          <w:spacing w:val="-1"/>
        </w:rPr>
        <w:t> </w:t>
      </w:r>
      <w:r>
        <w:rPr/>
        <w:t>of</w:t>
      </w:r>
      <w:r>
        <w:rPr>
          <w:spacing w:val="-5"/>
        </w:rPr>
        <w:t> </w:t>
      </w:r>
      <w:r>
        <w:rPr/>
        <w:t>female madness,</w:t>
      </w:r>
      <w:r>
        <w:rPr>
          <w:spacing w:val="19"/>
        </w:rPr>
        <w:t> </w:t>
      </w:r>
      <w:r>
        <w:rPr/>
        <w:t>particularly</w:t>
      </w:r>
      <w:r>
        <w:rPr>
          <w:spacing w:val="14"/>
        </w:rPr>
        <w:t> </w:t>
      </w:r>
      <w:r>
        <w:rPr/>
        <w:t>as</w:t>
      </w:r>
      <w:r>
        <w:rPr>
          <w:spacing w:val="18"/>
        </w:rPr>
        <w:t> </w:t>
      </w:r>
      <w:r>
        <w:rPr/>
        <w:t>displayed</w:t>
      </w:r>
      <w:r>
        <w:rPr>
          <w:spacing w:val="19"/>
        </w:rPr>
        <w:t> </w:t>
      </w:r>
      <w:r>
        <w:rPr/>
        <w:t>by</w:t>
      </w:r>
      <w:r>
        <w:rPr>
          <w:spacing w:val="16"/>
        </w:rPr>
        <w:t> </w:t>
      </w:r>
      <w:r>
        <w:rPr/>
        <w:t>the</w:t>
      </w:r>
      <w:r>
        <w:rPr>
          <w:spacing w:val="20"/>
        </w:rPr>
        <w:t> </w:t>
      </w:r>
      <w:r>
        <w:rPr/>
        <w:t>character</w:t>
      </w:r>
      <w:r>
        <w:rPr>
          <w:spacing w:val="19"/>
        </w:rPr>
        <w:t> </w:t>
      </w:r>
      <w:r>
        <w:rPr/>
        <w:t>of</w:t>
      </w:r>
      <w:r>
        <w:rPr>
          <w:spacing w:val="17"/>
        </w:rPr>
        <w:t> </w:t>
      </w:r>
      <w:r>
        <w:rPr/>
        <w:t>Ophelia.</w:t>
      </w:r>
      <w:r>
        <w:rPr>
          <w:spacing w:val="19"/>
        </w:rPr>
        <w:t> </w:t>
      </w:r>
      <w:r>
        <w:rPr/>
        <w:t>In</w:t>
      </w:r>
      <w:r>
        <w:rPr>
          <w:spacing w:val="18"/>
        </w:rPr>
        <w:t> </w:t>
      </w:r>
      <w:r>
        <w:rPr>
          <w:spacing w:val="-5"/>
        </w:rPr>
        <w:t>her</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3824">
                <wp:simplePos x="0" y="0"/>
                <wp:positionH relativeFrom="page">
                  <wp:posOffset>2057400</wp:posOffset>
                </wp:positionH>
                <wp:positionV relativeFrom="paragraph">
                  <wp:posOffset>162604</wp:posOffset>
                </wp:positionV>
                <wp:extent cx="3657600" cy="12700"/>
                <wp:effectExtent l="0" t="0" r="0" b="0"/>
                <wp:wrapTopAndBottom/>
                <wp:docPr id="339" name="Graphic 339"/>
                <wp:cNvGraphicFramePr>
                  <a:graphicFrameLocks/>
                </wp:cNvGraphicFramePr>
                <a:graphic>
                  <a:graphicData uri="http://schemas.microsoft.com/office/word/2010/wordprocessingShape">
                    <wps:wsp>
                      <wps:cNvPr id="339" name="Graphic 33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22656;mso-wrap-distance-left:0;mso-wrap-distance-right:0" id="docshape335" filled="true" fillcolor="#000000" stroked="false">
                <v:fill type="solid"/>
                <w10:wrap type="topAndBottom"/>
              </v:rect>
            </w:pict>
          </mc:Fallback>
        </mc:AlternateContent>
      </w:r>
      <w:r>
        <w:rPr>
          <w:rFonts w:ascii="Verdana"/>
          <w:spacing w:val="-5"/>
          <w:sz w:val="18"/>
        </w:rPr>
        <w:t>120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work, Showalter proposes that what might seem like the unfounded is often the result of deeply buried feelings and hidden identity as they relate</w:t>
      </w:r>
      <w:r>
        <w:rPr>
          <w:spacing w:val="-3"/>
        </w:rPr>
        <w:t> </w:t>
      </w:r>
      <w:r>
        <w:rPr/>
        <w:t>to</w:t>
      </w:r>
      <w:r>
        <w:rPr>
          <w:spacing w:val="-2"/>
        </w:rPr>
        <w:t> </w:t>
      </w:r>
      <w:r>
        <w:rPr/>
        <w:t>the</w:t>
      </w:r>
      <w:r>
        <w:rPr>
          <w:spacing w:val="-5"/>
        </w:rPr>
        <w:t> </w:t>
      </w:r>
      <w:r>
        <w:rPr/>
        <w:t>patriarchal</w:t>
      </w:r>
      <w:r>
        <w:rPr>
          <w:spacing w:val="-4"/>
        </w:rPr>
        <w:t> </w:t>
      </w:r>
      <w:r>
        <w:rPr/>
        <w:t>society</w:t>
      </w:r>
      <w:r>
        <w:rPr>
          <w:spacing w:val="-7"/>
        </w:rPr>
        <w:t> </w:t>
      </w:r>
      <w:r>
        <w:rPr/>
        <w:t>in</w:t>
      </w:r>
      <w:r>
        <w:rPr>
          <w:spacing w:val="-4"/>
        </w:rPr>
        <w:t> </w:t>
      </w:r>
      <w:r>
        <w:rPr/>
        <w:t>which</w:t>
      </w:r>
      <w:r>
        <w:rPr>
          <w:spacing w:val="-5"/>
        </w:rPr>
        <w:t> </w:t>
      </w:r>
      <w:r>
        <w:rPr/>
        <w:t>the</w:t>
      </w:r>
      <w:r>
        <w:rPr>
          <w:spacing w:val="-3"/>
        </w:rPr>
        <w:t> </w:t>
      </w:r>
      <w:r>
        <w:rPr/>
        <w:t>characters</w:t>
      </w:r>
      <w:r>
        <w:rPr>
          <w:spacing w:val="-5"/>
        </w:rPr>
        <w:t> </w:t>
      </w:r>
      <w:r>
        <w:rPr/>
        <w:t>exist.</w:t>
      </w:r>
      <w:r>
        <w:rPr>
          <w:spacing w:val="-4"/>
        </w:rPr>
        <w:t> </w:t>
      </w:r>
      <w:r>
        <w:rPr/>
        <w:t>Expanding upon the gendered aspect of madness is Carol Thomas Neely (2004) whose</w:t>
      </w:r>
      <w:r>
        <w:rPr>
          <w:spacing w:val="-1"/>
        </w:rPr>
        <w:t> </w:t>
      </w:r>
      <w:r>
        <w:rPr/>
        <w:t>works</w:t>
      </w:r>
      <w:r>
        <w:rPr>
          <w:spacing w:val="-1"/>
        </w:rPr>
        <w:t> </w:t>
      </w:r>
      <w:r>
        <w:rPr/>
        <w:t>suggest</w:t>
      </w:r>
      <w:r>
        <w:rPr>
          <w:spacing w:val="-1"/>
        </w:rPr>
        <w:t> </w:t>
      </w:r>
      <w:r>
        <w:rPr/>
        <w:t>that</w:t>
      </w:r>
      <w:r>
        <w:rPr>
          <w:spacing w:val="-1"/>
        </w:rPr>
        <w:t> </w:t>
      </w:r>
      <w:r>
        <w:rPr/>
        <w:t>women</w:t>
      </w:r>
      <w:r>
        <w:rPr>
          <w:spacing w:val="-3"/>
        </w:rPr>
        <w:t> </w:t>
      </w:r>
      <w:r>
        <w:rPr/>
        <w:t>are much</w:t>
      </w:r>
      <w:r>
        <w:rPr>
          <w:spacing w:val="-3"/>
        </w:rPr>
        <w:t> </w:t>
      </w:r>
      <w:r>
        <w:rPr/>
        <w:t>more</w:t>
      </w:r>
      <w:r>
        <w:rPr>
          <w:spacing w:val="-1"/>
        </w:rPr>
        <w:t> </w:t>
      </w:r>
      <w:r>
        <w:rPr/>
        <w:t>prone to</w:t>
      </w:r>
      <w:r>
        <w:rPr>
          <w:spacing w:val="-1"/>
        </w:rPr>
        <w:t> </w:t>
      </w:r>
      <w:r>
        <w:rPr/>
        <w:t>experiencing emotional and psychological breakdown than men because of their inability</w:t>
      </w:r>
      <w:r>
        <w:rPr>
          <w:spacing w:val="-11"/>
        </w:rPr>
        <w:t> </w:t>
      </w:r>
      <w:r>
        <w:rPr/>
        <w:t>to</w:t>
      </w:r>
      <w:r>
        <w:rPr>
          <w:spacing w:val="-5"/>
        </w:rPr>
        <w:t> </w:t>
      </w:r>
      <w:r>
        <w:rPr/>
        <w:t>voice</w:t>
      </w:r>
      <w:r>
        <w:rPr>
          <w:spacing w:val="-8"/>
        </w:rPr>
        <w:t> </w:t>
      </w:r>
      <w:r>
        <w:rPr/>
        <w:t>their</w:t>
      </w:r>
      <w:r>
        <w:rPr>
          <w:spacing w:val="-5"/>
        </w:rPr>
        <w:t> </w:t>
      </w:r>
      <w:r>
        <w:rPr/>
        <w:t>feelings,</w:t>
      </w:r>
      <w:r>
        <w:rPr>
          <w:spacing w:val="-9"/>
        </w:rPr>
        <w:t> </w:t>
      </w:r>
      <w:r>
        <w:rPr/>
        <w:t>the</w:t>
      </w:r>
      <w:r>
        <w:rPr>
          <w:spacing w:val="-7"/>
        </w:rPr>
        <w:t> </w:t>
      </w:r>
      <w:r>
        <w:rPr/>
        <w:t>emotional</w:t>
      </w:r>
      <w:r>
        <w:rPr>
          <w:spacing w:val="-8"/>
        </w:rPr>
        <w:t> </w:t>
      </w:r>
      <w:r>
        <w:rPr/>
        <w:t>loss</w:t>
      </w:r>
      <w:r>
        <w:rPr>
          <w:spacing w:val="-7"/>
        </w:rPr>
        <w:t> </w:t>
      </w:r>
      <w:r>
        <w:rPr/>
        <w:t>they</w:t>
      </w:r>
      <w:r>
        <w:rPr>
          <w:spacing w:val="-12"/>
        </w:rPr>
        <w:t> </w:t>
      </w:r>
      <w:r>
        <w:rPr/>
        <w:t>endure,</w:t>
      </w:r>
      <w:r>
        <w:rPr>
          <w:spacing w:val="-7"/>
        </w:rPr>
        <w:t> </w:t>
      </w:r>
      <w:r>
        <w:rPr/>
        <w:t>and</w:t>
      </w:r>
      <w:r>
        <w:rPr>
          <w:spacing w:val="-7"/>
        </w:rPr>
        <w:t> </w:t>
      </w:r>
      <w:r>
        <w:rPr/>
        <w:t>their lack of autonomy in both the home and society. Additionally, Neely provides evidence that madness cannot only be defined in terms of psychological illness, but also in the broader context of relational, societal, and cultural influences on the female characters. All things considered,</w:t>
      </w:r>
      <w:r>
        <w:rPr>
          <w:spacing w:val="-2"/>
        </w:rPr>
        <w:t> </w:t>
      </w:r>
      <w:r>
        <w:rPr/>
        <w:t>it is</w:t>
      </w:r>
      <w:r>
        <w:rPr>
          <w:spacing w:val="-2"/>
        </w:rPr>
        <w:t> </w:t>
      </w:r>
      <w:r>
        <w:rPr/>
        <w:t>essential</w:t>
      </w:r>
      <w:r>
        <w:rPr>
          <w:spacing w:val="-3"/>
        </w:rPr>
        <w:t> </w:t>
      </w:r>
      <w:r>
        <w:rPr/>
        <w:t>that</w:t>
      </w:r>
      <w:r>
        <w:rPr>
          <w:spacing w:val="-1"/>
        </w:rPr>
        <w:t> </w:t>
      </w:r>
      <w:r>
        <w:rPr/>
        <w:t>we</w:t>
      </w:r>
      <w:r>
        <w:rPr>
          <w:spacing w:val="-1"/>
        </w:rPr>
        <w:t> </w:t>
      </w:r>
      <w:r>
        <w:rPr/>
        <w:t>incorporate this</w:t>
      </w:r>
      <w:r>
        <w:rPr>
          <w:spacing w:val="-2"/>
        </w:rPr>
        <w:t> </w:t>
      </w:r>
      <w:r>
        <w:rPr/>
        <w:t>lens</w:t>
      </w:r>
      <w:r>
        <w:rPr>
          <w:spacing w:val="-2"/>
        </w:rPr>
        <w:t> </w:t>
      </w:r>
      <w:r>
        <w:rPr/>
        <w:t>when</w:t>
      </w:r>
      <w:r>
        <w:rPr>
          <w:spacing w:val="-2"/>
        </w:rPr>
        <w:t> </w:t>
      </w:r>
      <w:r>
        <w:rPr/>
        <w:t>we</w:t>
      </w:r>
      <w:r>
        <w:rPr>
          <w:spacing w:val="-1"/>
        </w:rPr>
        <w:t> </w:t>
      </w:r>
      <w:r>
        <w:rPr/>
        <w:t>analyze the characters of Ophelia and Lady Macbeth both of whom were experiencing extreme turmoil in both their emotional and social </w:t>
      </w:r>
      <w:r>
        <w:rPr>
          <w:spacing w:val="-2"/>
        </w:rPr>
        <w:t>environments.</w:t>
      </w:r>
    </w:p>
    <w:p>
      <w:pPr>
        <w:pStyle w:val="BodyText"/>
        <w:spacing w:line="266" w:lineRule="auto" w:before="80"/>
        <w:ind w:right="1434" w:firstLine="432"/>
        <w:jc w:val="both"/>
      </w:pPr>
      <w:r>
        <w:rPr/>
        <w:t>Cathy</w:t>
      </w:r>
      <w:r>
        <w:rPr>
          <w:spacing w:val="-3"/>
        </w:rPr>
        <w:t> </w:t>
      </w:r>
      <w:r>
        <w:rPr/>
        <w:t>Caruth</w:t>
      </w:r>
      <w:r>
        <w:rPr>
          <w:spacing w:val="-3"/>
        </w:rPr>
        <w:t> </w:t>
      </w:r>
      <w:r>
        <w:rPr/>
        <w:t>(1996)</w:t>
      </w:r>
      <w:r>
        <w:rPr>
          <w:spacing w:val="-1"/>
        </w:rPr>
        <w:t> </w:t>
      </w:r>
      <w:r>
        <w:rPr/>
        <w:t>and</w:t>
      </w:r>
      <w:r>
        <w:rPr>
          <w:spacing w:val="-1"/>
        </w:rPr>
        <w:t> </w:t>
      </w:r>
      <w:r>
        <w:rPr/>
        <w:t>other</w:t>
      </w:r>
      <w:r>
        <w:rPr>
          <w:spacing w:val="-1"/>
        </w:rPr>
        <w:t> </w:t>
      </w:r>
      <w:r>
        <w:rPr/>
        <w:t>scholars</w:t>
      </w:r>
      <w:r>
        <w:rPr>
          <w:spacing w:val="-3"/>
        </w:rPr>
        <w:t> </w:t>
      </w:r>
      <w:r>
        <w:rPr/>
        <w:t>contend that</w:t>
      </w:r>
      <w:r>
        <w:rPr>
          <w:spacing w:val="-1"/>
        </w:rPr>
        <w:t> </w:t>
      </w:r>
      <w:r>
        <w:rPr/>
        <w:t>trauma arises from</w:t>
      </w:r>
      <w:r>
        <w:rPr>
          <w:spacing w:val="-13"/>
        </w:rPr>
        <w:t> </w:t>
      </w:r>
      <w:r>
        <w:rPr/>
        <w:t>experiences</w:t>
      </w:r>
      <w:r>
        <w:rPr>
          <w:spacing w:val="-12"/>
        </w:rPr>
        <w:t> </w:t>
      </w:r>
      <w:r>
        <w:rPr/>
        <w:t>that</w:t>
      </w:r>
      <w:r>
        <w:rPr>
          <w:spacing w:val="-13"/>
        </w:rPr>
        <w:t> </w:t>
      </w:r>
      <w:r>
        <w:rPr/>
        <w:t>are</w:t>
      </w:r>
      <w:r>
        <w:rPr>
          <w:spacing w:val="-12"/>
        </w:rPr>
        <w:t> </w:t>
      </w:r>
      <w:r>
        <w:rPr/>
        <w:t>too</w:t>
      </w:r>
      <w:r>
        <w:rPr>
          <w:spacing w:val="-13"/>
        </w:rPr>
        <w:t> </w:t>
      </w:r>
      <w:r>
        <w:rPr/>
        <w:t>complex</w:t>
      </w:r>
      <w:r>
        <w:rPr>
          <w:spacing w:val="-12"/>
        </w:rPr>
        <w:t> </w:t>
      </w:r>
      <w:r>
        <w:rPr/>
        <w:t>to</w:t>
      </w:r>
      <w:r>
        <w:rPr>
          <w:spacing w:val="-13"/>
        </w:rPr>
        <w:t> </w:t>
      </w:r>
      <w:r>
        <w:rPr/>
        <w:t>be</w:t>
      </w:r>
      <w:r>
        <w:rPr>
          <w:spacing w:val="-12"/>
        </w:rPr>
        <w:t> </w:t>
      </w:r>
      <w:r>
        <w:rPr/>
        <w:t>fully</w:t>
      </w:r>
      <w:r>
        <w:rPr>
          <w:spacing w:val="-13"/>
        </w:rPr>
        <w:t> </w:t>
      </w:r>
      <w:r>
        <w:rPr/>
        <w:t>expressed</w:t>
      </w:r>
      <w:r>
        <w:rPr>
          <w:spacing w:val="-12"/>
        </w:rPr>
        <w:t> </w:t>
      </w:r>
      <w:r>
        <w:rPr/>
        <w:t>or</w:t>
      </w:r>
      <w:r>
        <w:rPr>
          <w:spacing w:val="-13"/>
        </w:rPr>
        <w:t> </w:t>
      </w:r>
      <w:r>
        <w:rPr/>
        <w:t>processed. </w:t>
      </w:r>
      <w:r>
        <w:rPr>
          <w:spacing w:val="-4"/>
        </w:rPr>
        <w:t>Although not exclusively based on Shakespeare, this framework facilitates </w:t>
      </w:r>
      <w:r>
        <w:rPr/>
        <w:t>a new understanding of how female characters experience feelings of silencing, emotional neglect and loss over time. Lady Macbeth’s psychological fragmentation can be attained through the use of repression and unresolved internal conflicts, as demonstrated by psychoanalytic theory and</w:t>
      </w:r>
      <w:r>
        <w:rPr>
          <w:spacing w:val="40"/>
        </w:rPr>
        <w:t> </w:t>
      </w:r>
      <w:r>
        <w:rPr/>
        <w:t>the</w:t>
      </w:r>
      <w:r>
        <w:rPr>
          <w:spacing w:val="40"/>
        </w:rPr>
        <w:t> </w:t>
      </w:r>
      <w:r>
        <w:rPr/>
        <w:t>work of Karl-Heinz Koch.</w:t>
      </w:r>
    </w:p>
    <w:p>
      <w:pPr>
        <w:pStyle w:val="Heading5"/>
        <w:numPr>
          <w:ilvl w:val="0"/>
          <w:numId w:val="25"/>
        </w:numPr>
        <w:tabs>
          <w:tab w:pos="1727" w:val="left" w:leader="none"/>
        </w:tabs>
        <w:spacing w:line="264" w:lineRule="auto" w:before="114" w:after="0"/>
        <w:ind w:left="1440" w:right="1443" w:firstLine="0"/>
        <w:jc w:val="left"/>
      </w:pPr>
      <w:r>
        <w:rPr/>
        <w:t>Patriarchal</w:t>
      </w:r>
      <w:r>
        <w:rPr>
          <w:spacing w:val="40"/>
        </w:rPr>
        <w:t> </w:t>
      </w:r>
      <w:r>
        <w:rPr/>
        <w:t>Structures</w:t>
      </w:r>
      <w:r>
        <w:rPr>
          <w:spacing w:val="40"/>
        </w:rPr>
        <w:t> </w:t>
      </w:r>
      <w:r>
        <w:rPr/>
        <w:t>and</w:t>
      </w:r>
      <w:r>
        <w:rPr>
          <w:spacing w:val="40"/>
        </w:rPr>
        <w:t> </w:t>
      </w:r>
      <w:r>
        <w:rPr/>
        <w:t>the</w:t>
      </w:r>
      <w:r>
        <w:rPr>
          <w:spacing w:val="40"/>
        </w:rPr>
        <w:t> </w:t>
      </w:r>
      <w:r>
        <w:rPr/>
        <w:t>Effects</w:t>
      </w:r>
      <w:r>
        <w:rPr>
          <w:spacing w:val="40"/>
        </w:rPr>
        <w:t> </w:t>
      </w:r>
      <w:r>
        <w:rPr/>
        <w:t>of</w:t>
      </w:r>
      <w:r>
        <w:rPr>
          <w:spacing w:val="40"/>
        </w:rPr>
        <w:t> </w:t>
      </w:r>
      <w:r>
        <w:rPr/>
        <w:t>Power</w:t>
      </w:r>
      <w:r>
        <w:rPr>
          <w:spacing w:val="40"/>
        </w:rPr>
        <w:t> </w:t>
      </w:r>
      <w:r>
        <w:rPr/>
        <w:t>on</w:t>
      </w:r>
      <w:r>
        <w:rPr>
          <w:spacing w:val="40"/>
        </w:rPr>
        <w:t> </w:t>
      </w:r>
      <w:r>
        <w:rPr/>
        <w:t>Women</w:t>
      </w:r>
      <w:r>
        <w:rPr>
          <w:spacing w:val="40"/>
        </w:rPr>
        <w:t> </w:t>
      </w:r>
      <w:r>
        <w:rPr/>
        <w:t>Emotions:</w:t>
      </w:r>
    </w:p>
    <w:p>
      <w:pPr>
        <w:pStyle w:val="BodyText"/>
        <w:spacing w:line="266" w:lineRule="auto" w:before="62"/>
        <w:ind w:right="1440" w:firstLine="432"/>
        <w:jc w:val="both"/>
      </w:pPr>
      <w:r>
        <w:rPr/>
        <w:t>Patriarchy is not something you see or hear in the works written</w:t>
      </w:r>
      <w:r>
        <w:rPr>
          <w:spacing w:val="40"/>
        </w:rPr>
        <w:t> </w:t>
      </w:r>
      <w:r>
        <w:rPr/>
        <w:t>by William Shakespeare, but instead it presents itself silently through expectations we have of one another, the relationships we share with other</w:t>
      </w:r>
      <w:r>
        <w:rPr>
          <w:spacing w:val="-10"/>
        </w:rPr>
        <w:t> </w:t>
      </w:r>
      <w:r>
        <w:rPr/>
        <w:t>people</w:t>
      </w:r>
      <w:r>
        <w:rPr>
          <w:spacing w:val="-10"/>
        </w:rPr>
        <w:t> </w:t>
      </w:r>
      <w:r>
        <w:rPr/>
        <w:t>and</w:t>
      </w:r>
      <w:r>
        <w:rPr>
          <w:spacing w:val="-7"/>
        </w:rPr>
        <w:t> </w:t>
      </w:r>
      <w:r>
        <w:rPr/>
        <w:t>the</w:t>
      </w:r>
      <w:r>
        <w:rPr>
          <w:spacing w:val="-9"/>
        </w:rPr>
        <w:t> </w:t>
      </w:r>
      <w:r>
        <w:rPr/>
        <w:t>way</w:t>
      </w:r>
      <w:r>
        <w:rPr>
          <w:spacing w:val="-13"/>
        </w:rPr>
        <w:t> </w:t>
      </w:r>
      <w:r>
        <w:rPr/>
        <w:t>we</w:t>
      </w:r>
      <w:r>
        <w:rPr>
          <w:spacing w:val="-8"/>
        </w:rPr>
        <w:t> </w:t>
      </w:r>
      <w:r>
        <w:rPr/>
        <w:t>control</w:t>
      </w:r>
      <w:r>
        <w:rPr>
          <w:spacing w:val="-12"/>
        </w:rPr>
        <w:t> </w:t>
      </w:r>
      <w:r>
        <w:rPr/>
        <w:t>women.</w:t>
      </w:r>
      <w:r>
        <w:rPr>
          <w:spacing w:val="-9"/>
        </w:rPr>
        <w:t> </w:t>
      </w:r>
      <w:r>
        <w:rPr/>
        <w:t>Women</w:t>
      </w:r>
      <w:r>
        <w:rPr>
          <w:spacing w:val="-9"/>
        </w:rPr>
        <w:t> </w:t>
      </w:r>
      <w:r>
        <w:rPr/>
        <w:t>have</w:t>
      </w:r>
      <w:r>
        <w:rPr>
          <w:spacing w:val="-10"/>
        </w:rPr>
        <w:t> </w:t>
      </w:r>
      <w:r>
        <w:rPr/>
        <w:t>specific</w:t>
      </w:r>
      <w:r>
        <w:rPr>
          <w:spacing w:val="-8"/>
        </w:rPr>
        <w:t> </w:t>
      </w:r>
      <w:r>
        <w:rPr/>
        <w:t>roles to</w:t>
      </w:r>
      <w:r>
        <w:rPr>
          <w:spacing w:val="-2"/>
        </w:rPr>
        <w:t> </w:t>
      </w:r>
      <w:r>
        <w:rPr/>
        <w:t>play</w:t>
      </w:r>
      <w:r>
        <w:rPr>
          <w:spacing w:val="-7"/>
        </w:rPr>
        <w:t> </w:t>
      </w:r>
      <w:r>
        <w:rPr/>
        <w:t>based</w:t>
      </w:r>
      <w:r>
        <w:rPr>
          <w:spacing w:val="-5"/>
        </w:rPr>
        <w:t> </w:t>
      </w:r>
      <w:r>
        <w:rPr/>
        <w:t>upon</w:t>
      </w:r>
      <w:r>
        <w:rPr>
          <w:spacing w:val="-5"/>
        </w:rPr>
        <w:t> </w:t>
      </w:r>
      <w:r>
        <w:rPr/>
        <w:t>their</w:t>
      </w:r>
      <w:r>
        <w:rPr>
          <w:spacing w:val="-2"/>
        </w:rPr>
        <w:t> </w:t>
      </w:r>
      <w:r>
        <w:rPr/>
        <w:t>gender</w:t>
      </w:r>
      <w:r>
        <w:rPr>
          <w:spacing w:val="-4"/>
        </w:rPr>
        <w:t> </w:t>
      </w:r>
      <w:r>
        <w:rPr/>
        <w:t>and</w:t>
      </w:r>
      <w:r>
        <w:rPr>
          <w:spacing w:val="-5"/>
        </w:rPr>
        <w:t> </w:t>
      </w:r>
      <w:r>
        <w:rPr/>
        <w:t>are</w:t>
      </w:r>
      <w:r>
        <w:rPr>
          <w:spacing w:val="-1"/>
        </w:rPr>
        <w:t> </w:t>
      </w:r>
      <w:r>
        <w:rPr/>
        <w:t>expected</w:t>
      </w:r>
      <w:r>
        <w:rPr>
          <w:spacing w:val="-2"/>
        </w:rPr>
        <w:t> </w:t>
      </w:r>
      <w:r>
        <w:rPr/>
        <w:t>to abide</w:t>
      </w:r>
      <w:r>
        <w:rPr>
          <w:spacing w:val="-4"/>
        </w:rPr>
        <w:t> </w:t>
      </w:r>
      <w:r>
        <w:rPr/>
        <w:t>by</w:t>
      </w:r>
      <w:r>
        <w:rPr>
          <w:spacing w:val="-5"/>
        </w:rPr>
        <w:t> </w:t>
      </w:r>
      <w:r>
        <w:rPr/>
        <w:t>those</w:t>
      </w:r>
      <w:r>
        <w:rPr>
          <w:spacing w:val="-4"/>
        </w:rPr>
        <w:t> </w:t>
      </w:r>
      <w:r>
        <w:rPr/>
        <w:t>roles until the</w:t>
      </w:r>
      <w:r>
        <w:rPr>
          <w:spacing w:val="18"/>
        </w:rPr>
        <w:t> </w:t>
      </w:r>
      <w:r>
        <w:rPr/>
        <w:t>men in their</w:t>
      </w:r>
      <w:r>
        <w:rPr>
          <w:spacing w:val="18"/>
        </w:rPr>
        <w:t> </w:t>
      </w:r>
      <w:r>
        <w:rPr/>
        <w:t>lives deem it appropriate for</w:t>
      </w:r>
      <w:r>
        <w:rPr>
          <w:spacing w:val="18"/>
        </w:rPr>
        <w:t> </w:t>
      </w:r>
      <w:r>
        <w:rPr/>
        <w:t>them to not do</w:t>
      </w:r>
      <w:r>
        <w:rPr>
          <w:spacing w:val="20"/>
        </w:rPr>
        <w:t> </w:t>
      </w:r>
      <w:r>
        <w:rPr/>
        <w:t>so.</w:t>
      </w:r>
    </w:p>
    <w:p>
      <w:pPr>
        <w:pStyle w:val="BodyText"/>
        <w:spacing w:line="266" w:lineRule="auto" w:before="62"/>
        <w:ind w:right="1437" w:firstLine="432"/>
        <w:jc w:val="both"/>
      </w:pPr>
      <w:r>
        <w:rPr/>
        <w:t>Desdemona choices to love freely however, that same choice becomes the reason for her downfall.</w:t>
      </w:r>
      <w:r>
        <w:rPr>
          <w:spacing w:val="-3"/>
        </w:rPr>
        <w:t> </w:t>
      </w:r>
      <w:r>
        <w:rPr/>
        <w:t>Although Cordelia is honest with her father, ultimately he disowns her. These are narrative devices throughout Shakespearean literature that have successfully shown how</w:t>
      </w:r>
      <w:r>
        <w:rPr>
          <w:spacing w:val="40"/>
        </w:rPr>
        <w:t> </w:t>
      </w:r>
      <w:r>
        <w:rPr/>
        <w:t>a woman can be punished simply because of the decision she’s made</w:t>
      </w:r>
      <w:r>
        <w:rPr>
          <w:spacing w:val="80"/>
        </w:rPr>
        <w:t> </w:t>
      </w:r>
      <w:r>
        <w:rPr/>
        <w:t>or hasn’t made (Shakespeare, 2004; Shakespeare, 2008).</w:t>
      </w:r>
    </w:p>
    <w:p>
      <w:pPr>
        <w:pStyle w:val="BodyText"/>
        <w:spacing w:after="0" w:line="266"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4336">
                <wp:simplePos x="0" y="0"/>
                <wp:positionH relativeFrom="page">
                  <wp:posOffset>2065020</wp:posOffset>
                </wp:positionH>
                <wp:positionV relativeFrom="paragraph">
                  <wp:posOffset>795020</wp:posOffset>
                </wp:positionV>
                <wp:extent cx="3657600" cy="12700"/>
                <wp:effectExtent l="0" t="0" r="0" b="0"/>
                <wp:wrapTopAndBottom/>
                <wp:docPr id="340" name="Graphic 340"/>
                <wp:cNvGraphicFramePr>
                  <a:graphicFrameLocks/>
                </wp:cNvGraphicFramePr>
                <a:graphic>
                  <a:graphicData uri="http://schemas.microsoft.com/office/word/2010/wordprocessingShape">
                    <wps:wsp>
                      <wps:cNvPr id="340" name="Graphic 34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22144;mso-wrap-distance-left:0;mso-wrap-distance-right:0" id="docshape336" filled="true" fillcolor="#000000" stroked="false">
                <v:fill type="solid"/>
                <w10:wrap type="topAndBottom"/>
              </v:rect>
            </w:pict>
          </mc:Fallback>
        </mc:AlternateContent>
      </w:r>
      <w:r>
        <w:rPr>
          <w:rFonts w:ascii="Verdana"/>
          <w:sz w:val="18"/>
        </w:rPr>
        <w:t>Madness</w:t>
      </w:r>
      <w:r>
        <w:rPr>
          <w:rFonts w:ascii="Verdana"/>
          <w:spacing w:val="-7"/>
          <w:sz w:val="18"/>
        </w:rPr>
        <w:t> </w:t>
      </w:r>
      <w:r>
        <w:rPr>
          <w:rFonts w:ascii="Verdana"/>
          <w:sz w:val="18"/>
        </w:rPr>
        <w:t>as</w:t>
      </w:r>
      <w:r>
        <w:rPr>
          <w:rFonts w:ascii="Verdana"/>
          <w:spacing w:val="-7"/>
          <w:sz w:val="18"/>
        </w:rPr>
        <w:t> </w:t>
      </w:r>
      <w:r>
        <w:rPr>
          <w:rFonts w:ascii="Verdana"/>
          <w:sz w:val="18"/>
        </w:rPr>
        <w:t>A</w:t>
      </w:r>
      <w:r>
        <w:rPr>
          <w:rFonts w:ascii="Verdana"/>
          <w:spacing w:val="-11"/>
          <w:sz w:val="18"/>
        </w:rPr>
        <w:t> </w:t>
      </w:r>
      <w:r>
        <w:rPr>
          <w:rFonts w:ascii="Verdana"/>
          <w:sz w:val="18"/>
        </w:rPr>
        <w:t>Social</w:t>
      </w:r>
      <w:r>
        <w:rPr>
          <w:rFonts w:ascii="Verdana"/>
          <w:spacing w:val="-7"/>
          <w:sz w:val="18"/>
        </w:rPr>
        <w:t> </w:t>
      </w:r>
      <w:r>
        <w:rPr>
          <w:rFonts w:ascii="Verdana"/>
          <w:sz w:val="18"/>
        </w:rPr>
        <w:t>Construction:</w:t>
      </w:r>
      <w:r>
        <w:rPr>
          <w:rFonts w:ascii="Verdana"/>
          <w:spacing w:val="-8"/>
          <w:sz w:val="18"/>
        </w:rPr>
        <w:t> </w:t>
      </w:r>
      <w:r>
        <w:rPr>
          <w:rFonts w:ascii="Verdana"/>
          <w:sz w:val="18"/>
        </w:rPr>
        <w:t>Trauma,</w:t>
      </w:r>
      <w:r>
        <w:rPr>
          <w:rFonts w:ascii="Verdana"/>
          <w:spacing w:val="-7"/>
          <w:sz w:val="18"/>
        </w:rPr>
        <w:t> </w:t>
      </w:r>
      <w:r>
        <w:rPr>
          <w:rFonts w:ascii="Verdana"/>
          <w:sz w:val="18"/>
        </w:rPr>
        <w:t>Guilt</w:t>
      </w:r>
      <w:r>
        <w:rPr>
          <w:rFonts w:ascii="Verdana"/>
          <w:spacing w:val="-6"/>
          <w:sz w:val="18"/>
        </w:rPr>
        <w:t> </w:t>
      </w:r>
      <w:r>
        <w:rPr>
          <w:rFonts w:ascii="Verdana"/>
          <w:spacing w:val="-5"/>
          <w:sz w:val="18"/>
        </w:rPr>
        <w:t>...</w:t>
      </w:r>
      <w:r>
        <w:rPr>
          <w:sz w:val="18"/>
        </w:rPr>
        <w:tab/>
      </w:r>
      <w:r>
        <w:rPr>
          <w:rFonts w:ascii="Verdana"/>
          <w:spacing w:val="-5"/>
          <w:sz w:val="18"/>
        </w:rPr>
        <w:t>121</w:t>
      </w:r>
    </w:p>
    <w:p>
      <w:pPr>
        <w:pStyle w:val="BodyText"/>
        <w:spacing w:line="249" w:lineRule="auto" w:before="192"/>
        <w:ind w:right="1437" w:firstLine="432"/>
        <w:jc w:val="both"/>
      </w:pPr>
      <w:r>
        <w:rPr>
          <w:spacing w:val="-2"/>
        </w:rPr>
        <w:t>From</w:t>
      </w:r>
      <w:r>
        <w:rPr>
          <w:spacing w:val="-10"/>
        </w:rPr>
        <w:t> </w:t>
      </w:r>
      <w:r>
        <w:rPr>
          <w:spacing w:val="-2"/>
        </w:rPr>
        <w:t>a</w:t>
      </w:r>
      <w:r>
        <w:rPr>
          <w:spacing w:val="-10"/>
        </w:rPr>
        <w:t> </w:t>
      </w:r>
      <w:r>
        <w:rPr>
          <w:spacing w:val="-2"/>
        </w:rPr>
        <w:t>subjective</w:t>
      </w:r>
      <w:r>
        <w:rPr>
          <w:spacing w:val="-7"/>
        </w:rPr>
        <w:t> </w:t>
      </w:r>
      <w:r>
        <w:rPr>
          <w:spacing w:val="-2"/>
        </w:rPr>
        <w:t>viewpoint,</w:t>
      </w:r>
      <w:r>
        <w:rPr>
          <w:spacing w:val="-5"/>
        </w:rPr>
        <w:t> </w:t>
      </w:r>
      <w:r>
        <w:rPr>
          <w:spacing w:val="-2"/>
        </w:rPr>
        <w:t>it</w:t>
      </w:r>
      <w:r>
        <w:rPr>
          <w:spacing w:val="-7"/>
        </w:rPr>
        <w:t> </w:t>
      </w:r>
      <w:r>
        <w:rPr>
          <w:spacing w:val="-2"/>
        </w:rPr>
        <w:t>is</w:t>
      </w:r>
      <w:r>
        <w:rPr>
          <w:spacing w:val="-11"/>
        </w:rPr>
        <w:t> </w:t>
      </w:r>
      <w:r>
        <w:rPr>
          <w:spacing w:val="-2"/>
        </w:rPr>
        <w:t>clear</w:t>
      </w:r>
      <w:r>
        <w:rPr>
          <w:spacing w:val="-4"/>
        </w:rPr>
        <w:t> </w:t>
      </w:r>
      <w:r>
        <w:rPr>
          <w:spacing w:val="-2"/>
        </w:rPr>
        <w:t>that</w:t>
      </w:r>
      <w:r>
        <w:rPr>
          <w:spacing w:val="-7"/>
        </w:rPr>
        <w:t> </w:t>
      </w:r>
      <w:r>
        <w:rPr>
          <w:spacing w:val="-2"/>
        </w:rPr>
        <w:t>each</w:t>
      </w:r>
      <w:r>
        <w:rPr>
          <w:spacing w:val="-10"/>
        </w:rPr>
        <w:t> </w:t>
      </w:r>
      <w:r>
        <w:rPr>
          <w:spacing w:val="-2"/>
        </w:rPr>
        <w:t>of</w:t>
      </w:r>
      <w:r>
        <w:rPr>
          <w:spacing w:val="-11"/>
        </w:rPr>
        <w:t> </w:t>
      </w:r>
      <w:r>
        <w:rPr>
          <w:spacing w:val="-2"/>
        </w:rPr>
        <w:t>these</w:t>
      </w:r>
      <w:r>
        <w:rPr>
          <w:spacing w:val="-9"/>
        </w:rPr>
        <w:t> </w:t>
      </w:r>
      <w:r>
        <w:rPr>
          <w:spacing w:val="-2"/>
        </w:rPr>
        <w:t>individuals </w:t>
      </w:r>
      <w:r>
        <w:rPr/>
        <w:t>are carrying an emotional burden as they each experience fear of what will happen to them if they don’t adhere to the standards of what it means to be a woman. Gill (2007) has determined that the patriarchal structure of</w:t>
      </w:r>
      <w:r>
        <w:rPr>
          <w:spacing w:val="-3"/>
        </w:rPr>
        <w:t> </w:t>
      </w:r>
      <w:r>
        <w:rPr/>
        <w:t>society</w:t>
      </w:r>
      <w:r>
        <w:rPr>
          <w:spacing w:val="-3"/>
        </w:rPr>
        <w:t> </w:t>
      </w:r>
      <w:r>
        <w:rPr/>
        <w:t>often</w:t>
      </w:r>
      <w:r>
        <w:rPr>
          <w:spacing w:val="-3"/>
        </w:rPr>
        <w:t> </w:t>
      </w:r>
      <w:r>
        <w:rPr/>
        <w:t>influences</w:t>
      </w:r>
      <w:r>
        <w:rPr>
          <w:spacing w:val="-5"/>
        </w:rPr>
        <w:t> </w:t>
      </w:r>
      <w:r>
        <w:rPr/>
        <w:t>how</w:t>
      </w:r>
      <w:r>
        <w:rPr>
          <w:spacing w:val="-5"/>
        </w:rPr>
        <w:t> </w:t>
      </w:r>
      <w:r>
        <w:rPr/>
        <w:t>women</w:t>
      </w:r>
      <w:r>
        <w:rPr>
          <w:spacing w:val="-3"/>
        </w:rPr>
        <w:t> </w:t>
      </w:r>
      <w:r>
        <w:rPr/>
        <w:t>see</w:t>
      </w:r>
      <w:r>
        <w:rPr>
          <w:spacing w:val="-1"/>
        </w:rPr>
        <w:t> </w:t>
      </w:r>
      <w:r>
        <w:rPr/>
        <w:t>themselves</w:t>
      </w:r>
      <w:r>
        <w:rPr>
          <w:spacing w:val="-1"/>
        </w:rPr>
        <w:t> </w:t>
      </w:r>
      <w:r>
        <w:rPr/>
        <w:t>&amp;</w:t>
      </w:r>
      <w:r>
        <w:rPr>
          <w:spacing w:val="-2"/>
        </w:rPr>
        <w:t> </w:t>
      </w:r>
      <w:r>
        <w:rPr/>
        <w:t>how other individuals perceive them, resulting in self-conflict &amp; emotional </w:t>
      </w:r>
      <w:r>
        <w:rPr>
          <w:spacing w:val="-2"/>
        </w:rPr>
        <w:t>anguish.</w:t>
      </w:r>
    </w:p>
    <w:p>
      <w:pPr>
        <w:pStyle w:val="Heading5"/>
        <w:numPr>
          <w:ilvl w:val="0"/>
          <w:numId w:val="25"/>
        </w:numPr>
        <w:tabs>
          <w:tab w:pos="1716" w:val="left" w:leader="none"/>
        </w:tabs>
        <w:spacing w:line="244" w:lineRule="auto" w:before="113" w:after="0"/>
        <w:ind w:left="1440" w:right="1443" w:firstLine="0"/>
        <w:jc w:val="left"/>
      </w:pPr>
      <w:r>
        <w:rPr>
          <w:w w:val="105"/>
        </w:rPr>
        <w:t>Women’s</w:t>
      </w:r>
      <w:r>
        <w:rPr>
          <w:spacing w:val="40"/>
          <w:w w:val="105"/>
        </w:rPr>
        <w:t> </w:t>
      </w:r>
      <w:r>
        <w:rPr>
          <w:w w:val="105"/>
        </w:rPr>
        <w:t>Mental</w:t>
      </w:r>
      <w:r>
        <w:rPr>
          <w:spacing w:val="40"/>
          <w:w w:val="105"/>
        </w:rPr>
        <w:t> </w:t>
      </w:r>
      <w:r>
        <w:rPr>
          <w:w w:val="105"/>
        </w:rPr>
        <w:t>Health</w:t>
      </w:r>
      <w:r>
        <w:rPr>
          <w:spacing w:val="40"/>
          <w:w w:val="105"/>
        </w:rPr>
        <w:t> </w:t>
      </w:r>
      <w:r>
        <w:rPr>
          <w:w w:val="105"/>
        </w:rPr>
        <w:t>in</w:t>
      </w:r>
      <w:r>
        <w:rPr>
          <w:spacing w:val="40"/>
          <w:w w:val="105"/>
        </w:rPr>
        <w:t> </w:t>
      </w:r>
      <w:r>
        <w:rPr>
          <w:w w:val="105"/>
        </w:rPr>
        <w:t>Shakespeare’s</w:t>
      </w:r>
      <w:r>
        <w:rPr>
          <w:spacing w:val="40"/>
          <w:w w:val="105"/>
        </w:rPr>
        <w:t> </w:t>
      </w:r>
      <w:r>
        <w:rPr>
          <w:w w:val="105"/>
        </w:rPr>
        <w:t>Plays:</w:t>
      </w:r>
      <w:r>
        <w:rPr>
          <w:spacing w:val="40"/>
          <w:w w:val="105"/>
        </w:rPr>
        <w:t> </w:t>
      </w:r>
      <w:r>
        <w:rPr>
          <w:w w:val="105"/>
        </w:rPr>
        <w:t>A Human</w:t>
      </w:r>
      <w:r>
        <w:rPr>
          <w:spacing w:val="40"/>
          <w:w w:val="105"/>
        </w:rPr>
        <w:t> </w:t>
      </w:r>
      <w:r>
        <w:rPr>
          <w:w w:val="105"/>
        </w:rPr>
        <w:t>Perspective</w:t>
      </w:r>
    </w:p>
    <w:p>
      <w:pPr>
        <w:pStyle w:val="BodyText"/>
        <w:spacing w:line="249" w:lineRule="auto" w:before="68"/>
        <w:ind w:right="1434" w:firstLine="432"/>
        <w:jc w:val="both"/>
      </w:pPr>
      <w:r>
        <w:rPr/>
        <w:t>Shakespearean women are undoubtedly powerful not merely because of what happens to them but also because of how they feel. Their mental health can be viewed as a setting in which the emotions they have</w:t>
      </w:r>
      <w:r>
        <w:rPr>
          <w:spacing w:val="40"/>
        </w:rPr>
        <w:t> </w:t>
      </w:r>
      <w:r>
        <w:rPr/>
        <w:t>been</w:t>
      </w:r>
      <w:r>
        <w:rPr>
          <w:spacing w:val="40"/>
        </w:rPr>
        <w:t> </w:t>
      </w:r>
      <w:r>
        <w:rPr/>
        <w:t>unable</w:t>
      </w:r>
      <w:r>
        <w:rPr>
          <w:spacing w:val="40"/>
        </w:rPr>
        <w:t> </w:t>
      </w:r>
      <w:r>
        <w:rPr/>
        <w:t>to</w:t>
      </w:r>
      <w:r>
        <w:rPr>
          <w:spacing w:val="40"/>
        </w:rPr>
        <w:t> </w:t>
      </w:r>
      <w:r>
        <w:rPr/>
        <w:t>express</w:t>
      </w:r>
      <w:r>
        <w:rPr>
          <w:spacing w:val="40"/>
        </w:rPr>
        <w:t> </w:t>
      </w:r>
      <w:r>
        <w:rPr/>
        <w:t>become</w:t>
      </w:r>
      <w:r>
        <w:rPr>
          <w:spacing w:val="40"/>
        </w:rPr>
        <w:t> </w:t>
      </w:r>
      <w:r>
        <w:rPr/>
        <w:t>realized.</w:t>
      </w:r>
    </w:p>
    <w:p>
      <w:pPr>
        <w:pStyle w:val="Heading3"/>
        <w:spacing w:before="156"/>
      </w:pPr>
      <w:r>
        <w:rPr>
          <w:w w:val="90"/>
        </w:rPr>
        <w:t>OPHELIA:</w:t>
      </w:r>
      <w:r>
        <w:rPr>
          <w:spacing w:val="10"/>
        </w:rPr>
        <w:t> </w:t>
      </w:r>
      <w:r>
        <w:rPr>
          <w:w w:val="90"/>
        </w:rPr>
        <w:t>FALLING</w:t>
      </w:r>
      <w:r>
        <w:rPr>
          <w:spacing w:val="11"/>
        </w:rPr>
        <w:t> </w:t>
      </w:r>
      <w:r>
        <w:rPr>
          <w:w w:val="90"/>
        </w:rPr>
        <w:t>APART</w:t>
      </w:r>
      <w:r>
        <w:rPr>
          <w:spacing w:val="12"/>
        </w:rPr>
        <w:t> </w:t>
      </w:r>
      <w:r>
        <w:rPr>
          <w:w w:val="90"/>
        </w:rPr>
        <w:t>BECAUSE</w:t>
      </w:r>
      <w:r>
        <w:rPr>
          <w:spacing w:val="11"/>
        </w:rPr>
        <w:t> </w:t>
      </w:r>
      <w:r>
        <w:rPr>
          <w:w w:val="90"/>
        </w:rPr>
        <w:t>OF</w:t>
      </w:r>
      <w:r>
        <w:rPr>
          <w:spacing w:val="10"/>
        </w:rPr>
        <w:t> </w:t>
      </w:r>
      <w:r>
        <w:rPr>
          <w:spacing w:val="-2"/>
          <w:w w:val="90"/>
        </w:rPr>
        <w:t>QUIET</w:t>
      </w:r>
    </w:p>
    <w:p>
      <w:pPr>
        <w:pStyle w:val="BodyText"/>
        <w:spacing w:line="249" w:lineRule="auto" w:before="76"/>
        <w:ind w:right="1436" w:firstLine="432"/>
        <w:jc w:val="both"/>
      </w:pPr>
      <w:r>
        <w:rPr/>
        <w:t>The</w:t>
      </w:r>
      <w:r>
        <w:rPr>
          <w:spacing w:val="-2"/>
        </w:rPr>
        <w:t> </w:t>
      </w:r>
      <w:r>
        <w:rPr/>
        <w:t>madness</w:t>
      </w:r>
      <w:r>
        <w:rPr>
          <w:spacing w:val="-3"/>
        </w:rPr>
        <w:t> </w:t>
      </w:r>
      <w:r>
        <w:rPr/>
        <w:t>of</w:t>
      </w:r>
      <w:r>
        <w:rPr>
          <w:spacing w:val="-3"/>
        </w:rPr>
        <w:t> </w:t>
      </w:r>
      <w:r>
        <w:rPr/>
        <w:t>Ophelia</w:t>
      </w:r>
      <w:r>
        <w:rPr>
          <w:spacing w:val="-4"/>
        </w:rPr>
        <w:t> </w:t>
      </w:r>
      <w:r>
        <w:rPr/>
        <w:t>results</w:t>
      </w:r>
      <w:r>
        <w:rPr>
          <w:spacing w:val="-3"/>
        </w:rPr>
        <w:t> </w:t>
      </w:r>
      <w:r>
        <w:rPr/>
        <w:t>from</w:t>
      </w:r>
      <w:r>
        <w:rPr>
          <w:spacing w:val="-5"/>
        </w:rPr>
        <w:t> </w:t>
      </w:r>
      <w:r>
        <w:rPr/>
        <w:t>prolonged emotional</w:t>
      </w:r>
      <w:r>
        <w:rPr>
          <w:spacing w:val="-3"/>
        </w:rPr>
        <w:t> </w:t>
      </w:r>
      <w:r>
        <w:rPr/>
        <w:t>turmoil and</w:t>
      </w:r>
      <w:r>
        <w:rPr>
          <w:spacing w:val="-13"/>
        </w:rPr>
        <w:t> </w:t>
      </w:r>
      <w:r>
        <w:rPr/>
        <w:t>a</w:t>
      </w:r>
      <w:r>
        <w:rPr>
          <w:spacing w:val="-12"/>
        </w:rPr>
        <w:t> </w:t>
      </w:r>
      <w:r>
        <w:rPr/>
        <w:t>history</w:t>
      </w:r>
      <w:r>
        <w:rPr>
          <w:spacing w:val="-13"/>
        </w:rPr>
        <w:t> </w:t>
      </w:r>
      <w:r>
        <w:rPr/>
        <w:t>of</w:t>
      </w:r>
      <w:r>
        <w:rPr>
          <w:spacing w:val="-12"/>
        </w:rPr>
        <w:t> </w:t>
      </w:r>
      <w:r>
        <w:rPr/>
        <w:t>social</w:t>
      </w:r>
      <w:r>
        <w:rPr>
          <w:spacing w:val="-13"/>
        </w:rPr>
        <w:t> </w:t>
      </w:r>
      <w:r>
        <w:rPr/>
        <w:t>manipulation;</w:t>
      </w:r>
      <w:r>
        <w:rPr>
          <w:spacing w:val="-12"/>
        </w:rPr>
        <w:t> </w:t>
      </w:r>
      <w:r>
        <w:rPr/>
        <w:t>however,</w:t>
      </w:r>
      <w:r>
        <w:rPr>
          <w:spacing w:val="-13"/>
        </w:rPr>
        <w:t> </w:t>
      </w:r>
      <w:r>
        <w:rPr/>
        <w:t>while</w:t>
      </w:r>
      <w:r>
        <w:rPr>
          <w:spacing w:val="-12"/>
        </w:rPr>
        <w:t> </w:t>
      </w:r>
      <w:r>
        <w:rPr/>
        <w:t>it</w:t>
      </w:r>
      <w:r>
        <w:rPr>
          <w:spacing w:val="-13"/>
        </w:rPr>
        <w:t> </w:t>
      </w:r>
      <w:r>
        <w:rPr/>
        <w:t>is</w:t>
      </w:r>
      <w:r>
        <w:rPr>
          <w:spacing w:val="-12"/>
        </w:rPr>
        <w:t> </w:t>
      </w:r>
      <w:r>
        <w:rPr/>
        <w:t>very</w:t>
      </w:r>
      <w:r>
        <w:rPr>
          <w:spacing w:val="-13"/>
        </w:rPr>
        <w:t> </w:t>
      </w:r>
      <w:r>
        <w:rPr/>
        <w:t>distressing and also appears to be an immediate breakdown, Ophelia’s insanity is also an indication of the years of emotional trauma. Ophelia is forced into a system where males are constantly providing her voice for her, first,</w:t>
      </w:r>
      <w:r>
        <w:rPr>
          <w:spacing w:val="-7"/>
        </w:rPr>
        <w:t> </w:t>
      </w:r>
      <w:r>
        <w:rPr/>
        <w:t>through</w:t>
      </w:r>
      <w:r>
        <w:rPr>
          <w:spacing w:val="-9"/>
        </w:rPr>
        <w:t> </w:t>
      </w:r>
      <w:r>
        <w:rPr/>
        <w:t>her</w:t>
      </w:r>
      <w:r>
        <w:rPr>
          <w:spacing w:val="-7"/>
        </w:rPr>
        <w:t> </w:t>
      </w:r>
      <w:r>
        <w:rPr/>
        <w:t>father,</w:t>
      </w:r>
      <w:r>
        <w:rPr>
          <w:spacing w:val="-9"/>
        </w:rPr>
        <w:t> </w:t>
      </w:r>
      <w:r>
        <w:rPr/>
        <w:t>Polonius,</w:t>
      </w:r>
      <w:r>
        <w:rPr>
          <w:spacing w:val="-5"/>
        </w:rPr>
        <w:t> </w:t>
      </w:r>
      <w:r>
        <w:rPr/>
        <w:t>and</w:t>
      </w:r>
      <w:r>
        <w:rPr>
          <w:spacing w:val="-7"/>
        </w:rPr>
        <w:t> </w:t>
      </w:r>
      <w:r>
        <w:rPr/>
        <w:t>second,</w:t>
      </w:r>
      <w:r>
        <w:rPr>
          <w:spacing w:val="-7"/>
        </w:rPr>
        <w:t> </w:t>
      </w:r>
      <w:r>
        <w:rPr/>
        <w:t>through</w:t>
      </w:r>
      <w:r>
        <w:rPr>
          <w:spacing w:val="-10"/>
        </w:rPr>
        <w:t> </w:t>
      </w:r>
      <w:r>
        <w:rPr/>
        <w:t>Hamlet.</w:t>
      </w:r>
      <w:r>
        <w:rPr>
          <w:spacing w:val="-7"/>
        </w:rPr>
        <w:t> </w:t>
      </w:r>
      <w:r>
        <w:rPr/>
        <w:t>Because she is unable to voice her own desires, or resist the expectations that</w:t>
      </w:r>
      <w:r>
        <w:rPr>
          <w:spacing w:val="80"/>
        </w:rPr>
        <w:t> </w:t>
      </w:r>
      <w:r>
        <w:rPr/>
        <w:t>are imposed upon her, the psychological space that is being created for her internally means that she cannot break free from the stigma of silence that leads to her ultimate descent into insanity. Her end result, therefore, is not due to her appearing weak because she is incapable of expressing</w:t>
      </w:r>
      <w:r>
        <w:rPr>
          <w:spacing w:val="-2"/>
        </w:rPr>
        <w:t> </w:t>
      </w:r>
      <w:r>
        <w:rPr/>
        <w:t>herself, but because of</w:t>
      </w:r>
      <w:r>
        <w:rPr>
          <w:spacing w:val="-2"/>
        </w:rPr>
        <w:t> </w:t>
      </w:r>
      <w:r>
        <w:rPr/>
        <w:t>years</w:t>
      </w:r>
      <w:r>
        <w:rPr>
          <w:spacing w:val="-2"/>
        </w:rPr>
        <w:t> </w:t>
      </w:r>
      <w:r>
        <w:rPr/>
        <w:t>of emotional turmoil combined with an inability to communicate her needs. When the full portrait of Ophelia’s fragmented speech, songs and symbols is examined, it is revealed that her madness </w:t>
      </w:r>
      <w:r>
        <w:rPr>
          <w:spacing w:val="9"/>
        </w:rPr>
        <w:t>represents</w:t>
      </w:r>
      <w:r>
        <w:rPr>
          <w:spacing w:val="9"/>
        </w:rPr>
        <w:t> </w:t>
      </w:r>
      <w:r>
        <w:rPr/>
        <w:t>an </w:t>
      </w:r>
      <w:r>
        <w:rPr>
          <w:spacing w:val="9"/>
        </w:rPr>
        <w:t>alternate</w:t>
      </w:r>
      <w:r>
        <w:rPr>
          <w:spacing w:val="9"/>
        </w:rPr>
        <w:t> </w:t>
      </w:r>
      <w:r>
        <w:rPr/>
        <w:t>method of communicating her needs. What she cannot express through the patriarchy’s prescribed language (those that have been created by men) are expressed through distinct fragments of meaningful expression. According</w:t>
      </w:r>
      <w:r>
        <w:rPr>
          <w:spacing w:val="-13"/>
        </w:rPr>
        <w:t> </w:t>
      </w:r>
      <w:r>
        <w:rPr/>
        <w:t>to</w:t>
      </w:r>
      <w:r>
        <w:rPr>
          <w:spacing w:val="-12"/>
        </w:rPr>
        <w:t> </w:t>
      </w:r>
      <w:r>
        <w:rPr/>
        <w:t>Carol</w:t>
      </w:r>
      <w:r>
        <w:rPr>
          <w:spacing w:val="-13"/>
        </w:rPr>
        <w:t> </w:t>
      </w:r>
      <w:r>
        <w:rPr/>
        <w:t>Thomas</w:t>
      </w:r>
      <w:r>
        <w:rPr>
          <w:spacing w:val="-12"/>
        </w:rPr>
        <w:t> </w:t>
      </w:r>
      <w:r>
        <w:rPr/>
        <w:t>Neely,</w:t>
      </w:r>
      <w:r>
        <w:rPr>
          <w:spacing w:val="-13"/>
        </w:rPr>
        <w:t> </w:t>
      </w:r>
      <w:r>
        <w:rPr/>
        <w:t>(2004),</w:t>
      </w:r>
      <w:r>
        <w:rPr>
          <w:spacing w:val="-12"/>
        </w:rPr>
        <w:t> </w:t>
      </w:r>
      <w:r>
        <w:rPr/>
        <w:t>Ophelia’s</w:t>
      </w:r>
      <w:r>
        <w:rPr>
          <w:spacing w:val="-11"/>
        </w:rPr>
        <w:t> </w:t>
      </w:r>
      <w:r>
        <w:rPr/>
        <w:t>insanity</w:t>
      </w:r>
      <w:r>
        <w:rPr>
          <w:spacing w:val="-13"/>
        </w:rPr>
        <w:t> </w:t>
      </w:r>
      <w:r>
        <w:rPr/>
        <w:t>represents the gendered nature of psychological breakdown, suggesting that women’s</w:t>
      </w:r>
      <w:r>
        <w:rPr>
          <w:spacing w:val="-1"/>
        </w:rPr>
        <w:t> </w:t>
      </w:r>
      <w:r>
        <w:rPr/>
        <w:t>experiences, as</w:t>
      </w:r>
      <w:r>
        <w:rPr>
          <w:spacing w:val="-3"/>
        </w:rPr>
        <w:t> </w:t>
      </w:r>
      <w:r>
        <w:rPr/>
        <w:t>well</w:t>
      </w:r>
      <w:r>
        <w:rPr>
          <w:spacing w:val="-1"/>
        </w:rPr>
        <w:t> </w:t>
      </w:r>
      <w:r>
        <w:rPr/>
        <w:t>as</w:t>
      </w:r>
      <w:r>
        <w:rPr>
          <w:spacing w:val="-3"/>
        </w:rPr>
        <w:t> </w:t>
      </w:r>
      <w:r>
        <w:rPr/>
        <w:t>the distress</w:t>
      </w:r>
      <w:r>
        <w:rPr>
          <w:spacing w:val="-3"/>
        </w:rPr>
        <w:t> </w:t>
      </w:r>
      <w:r>
        <w:rPr/>
        <w:t>that</w:t>
      </w:r>
      <w:r>
        <w:rPr>
          <w:spacing w:val="-2"/>
        </w:rPr>
        <w:t> </w:t>
      </w:r>
      <w:r>
        <w:rPr/>
        <w:t>leads to psychological breakdown, are as a result of the experience of being emotionally suppressed</w:t>
      </w:r>
      <w:r>
        <w:rPr>
          <w:spacing w:val="-3"/>
        </w:rPr>
        <w:t> </w:t>
      </w:r>
      <w:r>
        <w:rPr/>
        <w:t>and</w:t>
      </w:r>
      <w:r>
        <w:rPr>
          <w:spacing w:val="-2"/>
        </w:rPr>
        <w:t> </w:t>
      </w:r>
      <w:r>
        <w:rPr/>
        <w:t>socially</w:t>
      </w:r>
      <w:r>
        <w:rPr>
          <w:spacing w:val="-5"/>
        </w:rPr>
        <w:t> </w:t>
      </w:r>
      <w:r>
        <w:rPr/>
        <w:t>conditioned.</w:t>
      </w:r>
      <w:r>
        <w:rPr>
          <w:spacing w:val="-13"/>
        </w:rPr>
        <w:t> </w:t>
      </w:r>
      <w:r>
        <w:rPr/>
        <w:t>As</w:t>
      </w:r>
      <w:r>
        <w:rPr>
          <w:spacing w:val="-3"/>
        </w:rPr>
        <w:t> </w:t>
      </w:r>
      <w:r>
        <w:rPr/>
        <w:t>a</w:t>
      </w:r>
      <w:r>
        <w:rPr>
          <w:spacing w:val="-4"/>
        </w:rPr>
        <w:t> </w:t>
      </w:r>
      <w:r>
        <w:rPr/>
        <w:t>result, Ophelia’s</w:t>
      </w:r>
      <w:r>
        <w:rPr>
          <w:spacing w:val="-5"/>
        </w:rPr>
        <w:t> </w:t>
      </w:r>
      <w:r>
        <w:rPr/>
        <w:t>insanity</w:t>
      </w:r>
      <w:r>
        <w:rPr>
          <w:spacing w:val="-5"/>
        </w:rPr>
        <w:t> </w:t>
      </w:r>
      <w:r>
        <w:rPr/>
        <w:t>will be</w:t>
      </w:r>
      <w:r>
        <w:rPr>
          <w:spacing w:val="-1"/>
        </w:rPr>
        <w:t> </w:t>
      </w:r>
      <w:r>
        <w:rPr/>
        <w:t>a</w:t>
      </w:r>
      <w:r>
        <w:rPr>
          <w:spacing w:val="1"/>
        </w:rPr>
        <w:t> </w:t>
      </w:r>
      <w:r>
        <w:rPr/>
        <w:t>forum</w:t>
      </w:r>
      <w:r>
        <w:rPr>
          <w:spacing w:val="-3"/>
        </w:rPr>
        <w:t> </w:t>
      </w:r>
      <w:r>
        <w:rPr/>
        <w:t>in</w:t>
      </w:r>
      <w:r>
        <w:rPr>
          <w:spacing w:val="1"/>
        </w:rPr>
        <w:t> </w:t>
      </w:r>
      <w:r>
        <w:rPr/>
        <w:t>which</w:t>
      </w:r>
      <w:r>
        <w:rPr>
          <w:spacing w:val="-3"/>
        </w:rPr>
        <w:t> </w:t>
      </w:r>
      <w:r>
        <w:rPr/>
        <w:t>women can</w:t>
      </w:r>
      <w:r>
        <w:rPr>
          <w:spacing w:val="-3"/>
        </w:rPr>
        <w:t> </w:t>
      </w:r>
      <w:r>
        <w:rPr/>
        <w:t>uncover</w:t>
      </w:r>
      <w:r>
        <w:rPr>
          <w:spacing w:val="3"/>
        </w:rPr>
        <w:t> </w:t>
      </w:r>
      <w:r>
        <w:rPr/>
        <w:t>the experiences</w:t>
      </w:r>
      <w:r>
        <w:rPr>
          <w:spacing w:val="-1"/>
        </w:rPr>
        <w:t> </w:t>
      </w:r>
      <w:r>
        <w:rPr/>
        <w:t>that</w:t>
      </w:r>
      <w:r>
        <w:rPr>
          <w:spacing w:val="-1"/>
        </w:rPr>
        <w:t> </w:t>
      </w:r>
      <w:r>
        <w:rPr/>
        <w:t>they</w:t>
      </w:r>
      <w:r>
        <w:rPr>
          <w:spacing w:val="-2"/>
        </w:rPr>
        <w:t> </w:t>
      </w:r>
      <w:r>
        <w:rPr>
          <w:spacing w:val="-4"/>
        </w:rPr>
        <w:t>have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4848">
                <wp:simplePos x="0" y="0"/>
                <wp:positionH relativeFrom="page">
                  <wp:posOffset>2057400</wp:posOffset>
                </wp:positionH>
                <wp:positionV relativeFrom="paragraph">
                  <wp:posOffset>162604</wp:posOffset>
                </wp:positionV>
                <wp:extent cx="3657600" cy="12700"/>
                <wp:effectExtent l="0" t="0" r="0" b="0"/>
                <wp:wrapTopAndBottom/>
                <wp:docPr id="341" name="Graphic 341"/>
                <wp:cNvGraphicFramePr>
                  <a:graphicFrameLocks/>
                </wp:cNvGraphicFramePr>
                <a:graphic>
                  <a:graphicData uri="http://schemas.microsoft.com/office/word/2010/wordprocessingShape">
                    <wps:wsp>
                      <wps:cNvPr id="341" name="Graphic 34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21632;mso-wrap-distance-left:0;mso-wrap-distance-right:0" id="docshape337" filled="true" fillcolor="#000000" stroked="false">
                <v:fill type="solid"/>
                <w10:wrap type="topAndBottom"/>
              </v:rect>
            </w:pict>
          </mc:Fallback>
        </mc:AlternateContent>
      </w:r>
      <w:r>
        <w:rPr>
          <w:rFonts w:ascii="Verdana"/>
          <w:spacing w:val="-5"/>
          <w:sz w:val="18"/>
        </w:rPr>
        <w:t>122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suppressed,</w:t>
      </w:r>
      <w:r>
        <w:rPr>
          <w:spacing w:val="-4"/>
        </w:rPr>
        <w:t> </w:t>
      </w:r>
      <w:r>
        <w:rPr/>
        <w:t>and</w:t>
      </w:r>
      <w:r>
        <w:rPr>
          <w:spacing w:val="-3"/>
        </w:rPr>
        <w:t> </w:t>
      </w:r>
      <w:r>
        <w:rPr/>
        <w:t>ultimately,</w:t>
      </w:r>
      <w:r>
        <w:rPr>
          <w:spacing w:val="-4"/>
        </w:rPr>
        <w:t> </w:t>
      </w:r>
      <w:r>
        <w:rPr/>
        <w:t>disproving</w:t>
      </w:r>
      <w:r>
        <w:rPr>
          <w:spacing w:val="-6"/>
        </w:rPr>
        <w:t> </w:t>
      </w:r>
      <w:r>
        <w:rPr/>
        <w:t>the</w:t>
      </w:r>
      <w:r>
        <w:rPr>
          <w:spacing w:val="-7"/>
        </w:rPr>
        <w:t> </w:t>
      </w:r>
      <w:r>
        <w:rPr/>
        <w:t>idea</w:t>
      </w:r>
      <w:r>
        <w:rPr>
          <w:spacing w:val="-5"/>
        </w:rPr>
        <w:t> </w:t>
      </w:r>
      <w:r>
        <w:rPr/>
        <w:t>that</w:t>
      </w:r>
      <w:r>
        <w:rPr>
          <w:spacing w:val="-4"/>
        </w:rPr>
        <w:t> </w:t>
      </w:r>
      <w:r>
        <w:rPr/>
        <w:t>insanity</w:t>
      </w:r>
      <w:r>
        <w:rPr>
          <w:spacing w:val="-8"/>
        </w:rPr>
        <w:t> </w:t>
      </w:r>
      <w:r>
        <w:rPr/>
        <w:t>is</w:t>
      </w:r>
      <w:r>
        <w:rPr>
          <w:spacing w:val="-4"/>
        </w:rPr>
        <w:t> </w:t>
      </w:r>
      <w:r>
        <w:rPr/>
        <w:t>irrational or</w:t>
      </w:r>
      <w:r>
        <w:rPr>
          <w:spacing w:val="40"/>
        </w:rPr>
        <w:t> </w:t>
      </w:r>
      <w:r>
        <w:rPr/>
        <w:t>meaningless.</w:t>
      </w:r>
    </w:p>
    <w:p>
      <w:pPr>
        <w:pStyle w:val="BodyText"/>
        <w:spacing w:line="249" w:lineRule="auto" w:before="59"/>
        <w:ind w:right="1437" w:firstLine="432"/>
        <w:jc w:val="both"/>
      </w:pPr>
      <w:r>
        <w:rPr/>
        <w:t>Following Trauma Theory, Ophelia has experienced accumulated Emotional</w:t>
      </w:r>
      <w:r>
        <w:rPr>
          <w:spacing w:val="-13"/>
        </w:rPr>
        <w:t> </w:t>
      </w:r>
      <w:r>
        <w:rPr/>
        <w:t>Trauma</w:t>
      </w:r>
      <w:r>
        <w:rPr>
          <w:spacing w:val="-12"/>
        </w:rPr>
        <w:t> </w:t>
      </w:r>
      <w:r>
        <w:rPr/>
        <w:t>from</w:t>
      </w:r>
      <w:r>
        <w:rPr>
          <w:spacing w:val="-13"/>
        </w:rPr>
        <w:t> </w:t>
      </w:r>
      <w:r>
        <w:rPr/>
        <w:t>some</w:t>
      </w:r>
      <w:r>
        <w:rPr>
          <w:spacing w:val="-12"/>
        </w:rPr>
        <w:t> </w:t>
      </w:r>
      <w:r>
        <w:rPr/>
        <w:t>specific</w:t>
      </w:r>
      <w:r>
        <w:rPr>
          <w:spacing w:val="-13"/>
        </w:rPr>
        <w:t> </w:t>
      </w:r>
      <w:r>
        <w:rPr/>
        <w:t>traumatic</w:t>
      </w:r>
      <w:r>
        <w:rPr>
          <w:spacing w:val="-12"/>
        </w:rPr>
        <w:t> </w:t>
      </w:r>
      <w:r>
        <w:rPr/>
        <w:t>events</w:t>
      </w:r>
      <w:r>
        <w:rPr>
          <w:spacing w:val="-12"/>
        </w:rPr>
        <w:t> </w:t>
      </w:r>
      <w:r>
        <w:rPr/>
        <w:t>(i.e.,</w:t>
      </w:r>
      <w:r>
        <w:rPr>
          <w:spacing w:val="-12"/>
        </w:rPr>
        <w:t> </w:t>
      </w:r>
      <w:r>
        <w:rPr/>
        <w:t>her</w:t>
      </w:r>
      <w:r>
        <w:rPr>
          <w:spacing w:val="-11"/>
        </w:rPr>
        <w:t> </w:t>
      </w:r>
      <w:r>
        <w:rPr/>
        <w:t>father’s death and her rejection by Hamlet) that have rendered her incapable of making choices about her life. Because these events are not one-time occurrences but instead create a pattern of instability and oppression leading to Ophelia ultimately being unable to process or absorb any mentally or psychologically related issues, this creates a number of idiosyncratic behaviours which cannot integrate into the rules of “acceptable” social order (Trauma Theory suggests that trauma is </w:t>
      </w:r>
      <w:r>
        <w:rPr>
          <w:spacing w:val="-2"/>
        </w:rPr>
        <w:t>expressed</w:t>
      </w:r>
      <w:r>
        <w:rPr>
          <w:spacing w:val="-6"/>
        </w:rPr>
        <w:t> </w:t>
      </w:r>
      <w:r>
        <w:rPr>
          <w:spacing w:val="-2"/>
        </w:rPr>
        <w:t>as</w:t>
      </w:r>
      <w:r>
        <w:rPr>
          <w:spacing w:val="-9"/>
        </w:rPr>
        <w:t> </w:t>
      </w:r>
      <w:r>
        <w:rPr>
          <w:spacing w:val="-2"/>
        </w:rPr>
        <w:t>fragments</w:t>
      </w:r>
      <w:r>
        <w:rPr>
          <w:spacing w:val="-6"/>
        </w:rPr>
        <w:t> </w:t>
      </w:r>
      <w:r>
        <w:rPr>
          <w:spacing w:val="-2"/>
        </w:rPr>
        <w:t>and</w:t>
      </w:r>
      <w:r>
        <w:rPr>
          <w:spacing w:val="-6"/>
        </w:rPr>
        <w:t> </w:t>
      </w:r>
      <w:r>
        <w:rPr>
          <w:spacing w:val="-2"/>
        </w:rPr>
        <w:t>symbols</w:t>
      </w:r>
      <w:r>
        <w:rPr>
          <w:spacing w:val="-11"/>
        </w:rPr>
        <w:t> </w:t>
      </w:r>
      <w:r>
        <w:rPr>
          <w:spacing w:val="-2"/>
        </w:rPr>
        <w:t>within</w:t>
      </w:r>
      <w:r>
        <w:rPr>
          <w:spacing w:val="-8"/>
        </w:rPr>
        <w:t> </w:t>
      </w:r>
      <w:r>
        <w:rPr>
          <w:spacing w:val="-2"/>
        </w:rPr>
        <w:t>the</w:t>
      </w:r>
      <w:r>
        <w:rPr>
          <w:spacing w:val="-7"/>
        </w:rPr>
        <w:t> </w:t>
      </w:r>
      <w:r>
        <w:rPr>
          <w:spacing w:val="-2"/>
        </w:rPr>
        <w:t>human</w:t>
      </w:r>
      <w:r>
        <w:rPr>
          <w:spacing w:val="-9"/>
        </w:rPr>
        <w:t> </w:t>
      </w:r>
      <w:r>
        <w:rPr>
          <w:spacing w:val="-2"/>
        </w:rPr>
        <w:t>psyche).</w:t>
      </w:r>
      <w:r>
        <w:rPr>
          <w:spacing w:val="-6"/>
        </w:rPr>
        <w:t> </w:t>
      </w:r>
      <w:r>
        <w:rPr>
          <w:spacing w:val="-2"/>
        </w:rPr>
        <w:t>Ophelia’s </w:t>
      </w:r>
      <w:r>
        <w:rPr/>
        <w:t>breakdown illustrates how the Patriarchy constructs the environment in which it is almost an expectation that someone suffering from an emotional/psychological</w:t>
      </w:r>
      <w:r>
        <w:rPr>
          <w:spacing w:val="-8"/>
        </w:rPr>
        <w:t> </w:t>
      </w:r>
      <w:r>
        <w:rPr/>
        <w:t>crisis</w:t>
      </w:r>
      <w:r>
        <w:rPr>
          <w:spacing w:val="-7"/>
        </w:rPr>
        <w:t> </w:t>
      </w:r>
      <w:r>
        <w:rPr/>
        <w:t>will,</w:t>
      </w:r>
      <w:r>
        <w:rPr>
          <w:spacing w:val="-7"/>
        </w:rPr>
        <w:t> </w:t>
      </w:r>
      <w:r>
        <w:rPr/>
        <w:t>at</w:t>
      </w:r>
      <w:r>
        <w:rPr>
          <w:spacing w:val="-9"/>
        </w:rPr>
        <w:t> </w:t>
      </w:r>
      <w:r>
        <w:rPr/>
        <w:t>a</w:t>
      </w:r>
      <w:r>
        <w:rPr>
          <w:spacing w:val="-6"/>
        </w:rPr>
        <w:t> </w:t>
      </w:r>
      <w:r>
        <w:rPr/>
        <w:t>minimum,</w:t>
      </w:r>
      <w:r>
        <w:rPr>
          <w:spacing w:val="-7"/>
        </w:rPr>
        <w:t> </w:t>
      </w:r>
      <w:r>
        <w:rPr/>
        <w:t>collapse</w:t>
      </w:r>
      <w:r>
        <w:rPr>
          <w:spacing w:val="-8"/>
        </w:rPr>
        <w:t> </w:t>
      </w:r>
      <w:r>
        <w:rPr/>
        <w:t>and</w:t>
      </w:r>
      <w:r>
        <w:rPr>
          <w:spacing w:val="-5"/>
        </w:rPr>
        <w:t> </w:t>
      </w:r>
      <w:r>
        <w:rPr/>
        <w:t>perhaps lead to a total collapse (i.e., suicide). By refusing to acknowledge her own identity, she has existed as a product of male-dominated culture (i.e., her family and Hamlet). Why? Her inability to have an honest reaction to her circumstances</w:t>
      </w:r>
      <w:r>
        <w:rPr>
          <w:spacing w:val="-2"/>
        </w:rPr>
        <w:t> </w:t>
      </w:r>
      <w:r>
        <w:rPr/>
        <w:t>can, therefore, be</w:t>
      </w:r>
      <w:r>
        <w:rPr>
          <w:spacing w:val="-1"/>
        </w:rPr>
        <w:t> </w:t>
      </w:r>
      <w:r>
        <w:rPr/>
        <w:t>interpreted as</w:t>
      </w:r>
      <w:r>
        <w:rPr>
          <w:spacing w:val="-2"/>
        </w:rPr>
        <w:t> </w:t>
      </w:r>
      <w:r>
        <w:rPr/>
        <w:t>both pain and</w:t>
      </w:r>
      <w:r>
        <w:rPr>
          <w:spacing w:val="-8"/>
        </w:rPr>
        <w:t> </w:t>
      </w:r>
      <w:r>
        <w:rPr/>
        <w:t>resistance.</w:t>
      </w:r>
      <w:r>
        <w:rPr>
          <w:spacing w:val="-6"/>
        </w:rPr>
        <w:t> </w:t>
      </w:r>
      <w:r>
        <w:rPr/>
        <w:t>The</w:t>
      </w:r>
      <w:r>
        <w:rPr>
          <w:spacing w:val="-10"/>
        </w:rPr>
        <w:t> </w:t>
      </w:r>
      <w:r>
        <w:rPr/>
        <w:t>pain</w:t>
      </w:r>
      <w:r>
        <w:rPr>
          <w:spacing w:val="-10"/>
        </w:rPr>
        <w:t> </w:t>
      </w:r>
      <w:r>
        <w:rPr/>
        <w:t>manifests</w:t>
      </w:r>
      <w:r>
        <w:rPr>
          <w:spacing w:val="-10"/>
        </w:rPr>
        <w:t> </w:t>
      </w:r>
      <w:r>
        <w:rPr/>
        <w:t>itself</w:t>
      </w:r>
      <w:r>
        <w:rPr>
          <w:spacing w:val="-8"/>
        </w:rPr>
        <w:t> </w:t>
      </w:r>
      <w:r>
        <w:rPr/>
        <w:t>through</w:t>
      </w:r>
      <w:r>
        <w:rPr>
          <w:spacing w:val="-10"/>
        </w:rPr>
        <w:t> </w:t>
      </w:r>
      <w:r>
        <w:rPr/>
        <w:t>her</w:t>
      </w:r>
      <w:r>
        <w:rPr>
          <w:spacing w:val="-8"/>
        </w:rPr>
        <w:t> </w:t>
      </w:r>
      <w:r>
        <w:rPr/>
        <w:t>attempt</w:t>
      </w:r>
      <w:r>
        <w:rPr>
          <w:spacing w:val="-7"/>
        </w:rPr>
        <w:t> </w:t>
      </w:r>
      <w:r>
        <w:rPr/>
        <w:t>to</w:t>
      </w:r>
      <w:r>
        <w:rPr>
          <w:spacing w:val="-10"/>
        </w:rPr>
        <w:t> </w:t>
      </w:r>
      <w:r>
        <w:rPr/>
        <w:t>reinforce the structure of the male-dominated order. The resistance manifests itself through her outburst of emotion which disrupts the perfectly constructed and arranged structure. Ophelia’s insanity is not weakness; rather it is an act of resistance against the social and psychological conditioning she has received through silence and emotional neglect and as a result of being oppressed by the Patriarchy. Ophelia’s psychological</w:t>
      </w:r>
      <w:r>
        <w:rPr>
          <w:spacing w:val="-13"/>
        </w:rPr>
        <w:t> </w:t>
      </w:r>
      <w:r>
        <w:rPr/>
        <w:t>condition</w:t>
      </w:r>
      <w:r>
        <w:rPr>
          <w:spacing w:val="-12"/>
        </w:rPr>
        <w:t> </w:t>
      </w:r>
      <w:r>
        <w:rPr/>
        <w:t>is</w:t>
      </w:r>
      <w:r>
        <w:rPr>
          <w:spacing w:val="-13"/>
        </w:rPr>
        <w:t> </w:t>
      </w:r>
      <w:r>
        <w:rPr/>
        <w:t>an</w:t>
      </w:r>
      <w:r>
        <w:rPr>
          <w:spacing w:val="-12"/>
        </w:rPr>
        <w:t> </w:t>
      </w:r>
      <w:r>
        <w:rPr/>
        <w:t>extreme</w:t>
      </w:r>
      <w:r>
        <w:rPr>
          <w:spacing w:val="-13"/>
        </w:rPr>
        <w:t> </w:t>
      </w:r>
      <w:r>
        <w:rPr/>
        <w:t>example</w:t>
      </w:r>
      <w:r>
        <w:rPr>
          <w:spacing w:val="-12"/>
        </w:rPr>
        <w:t> </w:t>
      </w:r>
      <w:r>
        <w:rPr/>
        <w:t>of</w:t>
      </w:r>
      <w:r>
        <w:rPr>
          <w:spacing w:val="-13"/>
        </w:rPr>
        <w:t> </w:t>
      </w:r>
      <w:r>
        <w:rPr/>
        <w:t>the</w:t>
      </w:r>
      <w:r>
        <w:rPr>
          <w:spacing w:val="-12"/>
        </w:rPr>
        <w:t> </w:t>
      </w:r>
      <w:r>
        <w:rPr/>
        <w:t>interconnectedness of</w:t>
      </w:r>
      <w:r>
        <w:rPr>
          <w:spacing w:val="-4"/>
        </w:rPr>
        <w:t> </w:t>
      </w:r>
      <w:r>
        <w:rPr/>
        <w:t>power,</w:t>
      </w:r>
      <w:r>
        <w:rPr>
          <w:spacing w:val="-2"/>
        </w:rPr>
        <w:t> </w:t>
      </w:r>
      <w:r>
        <w:rPr/>
        <w:t>gender and</w:t>
      </w:r>
      <w:r>
        <w:rPr>
          <w:spacing w:val="-1"/>
        </w:rPr>
        <w:t> </w:t>
      </w:r>
      <w:r>
        <w:rPr/>
        <w:t>mental</w:t>
      </w:r>
      <w:r>
        <w:rPr>
          <w:spacing w:val="-2"/>
        </w:rPr>
        <w:t> </w:t>
      </w:r>
      <w:r>
        <w:rPr/>
        <w:t>health,</w:t>
      </w:r>
      <w:r>
        <w:rPr>
          <w:spacing w:val="-2"/>
        </w:rPr>
        <w:t> </w:t>
      </w:r>
      <w:r>
        <w:rPr/>
        <w:t>conceptualizing</w:t>
      </w:r>
      <w:r>
        <w:rPr>
          <w:spacing w:val="-1"/>
        </w:rPr>
        <w:t> </w:t>
      </w:r>
      <w:r>
        <w:rPr/>
        <w:t>her</w:t>
      </w:r>
      <w:r>
        <w:rPr>
          <w:spacing w:val="-1"/>
        </w:rPr>
        <w:t> </w:t>
      </w:r>
      <w:r>
        <w:rPr/>
        <w:t>developmental transformation as an experience rather than merely a tragic character (i.e., an experience of credible emotional truth).</w:t>
      </w:r>
    </w:p>
    <w:p>
      <w:pPr>
        <w:pStyle w:val="Heading3"/>
        <w:spacing w:before="177"/>
        <w:ind w:right="1447"/>
        <w:jc w:val="both"/>
      </w:pPr>
      <w:r>
        <w:rPr>
          <w:spacing w:val="-8"/>
        </w:rPr>
        <w:t>LADY</w:t>
      </w:r>
      <w:r>
        <w:rPr>
          <w:spacing w:val="-9"/>
        </w:rPr>
        <w:t> </w:t>
      </w:r>
      <w:r>
        <w:rPr>
          <w:spacing w:val="-8"/>
        </w:rPr>
        <w:t>MACBETH:</w:t>
      </w:r>
      <w:r>
        <w:rPr>
          <w:spacing w:val="-9"/>
        </w:rPr>
        <w:t> </w:t>
      </w:r>
      <w:r>
        <w:rPr>
          <w:spacing w:val="-8"/>
        </w:rPr>
        <w:t>THE</w:t>
      </w:r>
      <w:r>
        <w:rPr>
          <w:spacing w:val="-9"/>
        </w:rPr>
        <w:t> </w:t>
      </w:r>
      <w:r>
        <w:rPr>
          <w:spacing w:val="-8"/>
        </w:rPr>
        <w:t>PSYCHOLOGY</w:t>
      </w:r>
      <w:r>
        <w:rPr>
          <w:spacing w:val="-9"/>
        </w:rPr>
        <w:t> </w:t>
      </w:r>
      <w:r>
        <w:rPr>
          <w:spacing w:val="-8"/>
        </w:rPr>
        <w:t>OF</w:t>
      </w:r>
      <w:r>
        <w:rPr>
          <w:spacing w:val="-9"/>
        </w:rPr>
        <w:t> </w:t>
      </w:r>
      <w:r>
        <w:rPr>
          <w:spacing w:val="-8"/>
        </w:rPr>
        <w:t>CONFIDENCE </w:t>
      </w:r>
      <w:r>
        <w:rPr>
          <w:spacing w:val="-10"/>
        </w:rPr>
        <w:t>AND</w:t>
      </w:r>
      <w:r>
        <w:rPr>
          <w:spacing w:val="-7"/>
        </w:rPr>
        <w:t> </w:t>
      </w:r>
      <w:r>
        <w:rPr>
          <w:spacing w:val="-10"/>
        </w:rPr>
        <w:t>INTERNALIZED</w:t>
      </w:r>
      <w:r>
        <w:rPr>
          <w:spacing w:val="-7"/>
        </w:rPr>
        <w:t> </w:t>
      </w:r>
      <w:r>
        <w:rPr>
          <w:spacing w:val="-10"/>
        </w:rPr>
        <w:t>POWER.</w:t>
      </w:r>
    </w:p>
    <w:p>
      <w:pPr>
        <w:pStyle w:val="BodyText"/>
        <w:spacing w:line="249" w:lineRule="auto" w:before="74"/>
        <w:ind w:right="1438" w:firstLine="432"/>
        <w:jc w:val="both"/>
      </w:pPr>
      <w:r>
        <w:rPr>
          <w:spacing w:val="-2"/>
        </w:rPr>
        <w:t>Lady</w:t>
      </w:r>
      <w:r>
        <w:rPr>
          <w:spacing w:val="-11"/>
        </w:rPr>
        <w:t> </w:t>
      </w:r>
      <w:r>
        <w:rPr>
          <w:spacing w:val="-2"/>
        </w:rPr>
        <w:t>Macbeth’s</w:t>
      </w:r>
      <w:r>
        <w:rPr>
          <w:spacing w:val="-10"/>
        </w:rPr>
        <w:t> </w:t>
      </w:r>
      <w:r>
        <w:rPr>
          <w:spacing w:val="-2"/>
        </w:rPr>
        <w:t>mental</w:t>
      </w:r>
      <w:r>
        <w:rPr>
          <w:spacing w:val="-11"/>
        </w:rPr>
        <w:t> </w:t>
      </w:r>
      <w:r>
        <w:rPr>
          <w:spacing w:val="-2"/>
        </w:rPr>
        <w:t>trajectory</w:t>
      </w:r>
      <w:r>
        <w:rPr>
          <w:spacing w:val="-10"/>
        </w:rPr>
        <w:t> </w:t>
      </w:r>
      <w:r>
        <w:rPr>
          <w:spacing w:val="-2"/>
        </w:rPr>
        <w:t>highlights</w:t>
      </w:r>
      <w:r>
        <w:rPr>
          <w:spacing w:val="-11"/>
        </w:rPr>
        <w:t> </w:t>
      </w:r>
      <w:r>
        <w:rPr>
          <w:spacing w:val="-2"/>
        </w:rPr>
        <w:t>the</w:t>
      </w:r>
      <w:r>
        <w:rPr>
          <w:spacing w:val="-8"/>
        </w:rPr>
        <w:t> </w:t>
      </w:r>
      <w:r>
        <w:rPr>
          <w:spacing w:val="-2"/>
        </w:rPr>
        <w:t>intricate</w:t>
      </w:r>
      <w:r>
        <w:rPr>
          <w:spacing w:val="-9"/>
        </w:rPr>
        <w:t> </w:t>
      </w:r>
      <w:r>
        <w:rPr>
          <w:spacing w:val="-2"/>
        </w:rPr>
        <w:t>ties</w:t>
      </w:r>
      <w:r>
        <w:rPr>
          <w:spacing w:val="-9"/>
        </w:rPr>
        <w:t> </w:t>
      </w:r>
      <w:r>
        <w:rPr>
          <w:spacing w:val="-2"/>
        </w:rPr>
        <w:t>among </w:t>
      </w:r>
      <w:r>
        <w:rPr/>
        <w:t>certain</w:t>
      </w:r>
      <w:r>
        <w:rPr>
          <w:spacing w:val="-5"/>
        </w:rPr>
        <w:t> </w:t>
      </w:r>
      <w:r>
        <w:rPr/>
        <w:t>themes:</w:t>
      </w:r>
      <w:r>
        <w:rPr>
          <w:spacing w:val="-4"/>
        </w:rPr>
        <w:t> </w:t>
      </w:r>
      <w:r>
        <w:rPr/>
        <w:t>power, oppression,</w:t>
      </w:r>
      <w:r>
        <w:rPr>
          <w:spacing w:val="-3"/>
        </w:rPr>
        <w:t> </w:t>
      </w:r>
      <w:r>
        <w:rPr/>
        <w:t>and</w:t>
      </w:r>
      <w:r>
        <w:rPr>
          <w:spacing w:val="-1"/>
        </w:rPr>
        <w:t> </w:t>
      </w:r>
      <w:r>
        <w:rPr/>
        <w:t>the</w:t>
      </w:r>
      <w:r>
        <w:rPr>
          <w:spacing w:val="-4"/>
        </w:rPr>
        <w:t> </w:t>
      </w:r>
      <w:r>
        <w:rPr/>
        <w:t>internalization</w:t>
      </w:r>
      <w:r>
        <w:rPr>
          <w:spacing w:val="-3"/>
        </w:rPr>
        <w:t> </w:t>
      </w:r>
      <w:r>
        <w:rPr/>
        <w:t>of</w:t>
      </w:r>
      <w:r>
        <w:rPr>
          <w:spacing w:val="-5"/>
        </w:rPr>
        <w:t> </w:t>
      </w:r>
      <w:r>
        <w:rPr/>
        <w:t>patriarchal influences. Her first reaction to her husband’s</w:t>
      </w:r>
      <w:r>
        <w:rPr>
          <w:spacing w:val="-1"/>
        </w:rPr>
        <w:t> </w:t>
      </w:r>
      <w:r>
        <w:rPr/>
        <w:t>killing the king indicates she</w:t>
      </w:r>
      <w:r>
        <w:rPr>
          <w:spacing w:val="-4"/>
        </w:rPr>
        <w:t> </w:t>
      </w:r>
      <w:r>
        <w:rPr/>
        <w:t>has</w:t>
      </w:r>
      <w:r>
        <w:rPr>
          <w:spacing w:val="-5"/>
        </w:rPr>
        <w:t> </w:t>
      </w:r>
      <w:r>
        <w:rPr/>
        <w:t>rejected</w:t>
      </w:r>
      <w:r>
        <w:rPr>
          <w:spacing w:val="-3"/>
        </w:rPr>
        <w:t> </w:t>
      </w:r>
      <w:r>
        <w:rPr/>
        <w:t>traditional</w:t>
      </w:r>
      <w:r>
        <w:rPr>
          <w:spacing w:val="-2"/>
        </w:rPr>
        <w:t> </w:t>
      </w:r>
      <w:r>
        <w:rPr/>
        <w:t>gender</w:t>
      </w:r>
      <w:r>
        <w:rPr>
          <w:spacing w:val="-5"/>
        </w:rPr>
        <w:t> </w:t>
      </w:r>
      <w:r>
        <w:rPr/>
        <w:t>roles</w:t>
      </w:r>
      <w:r>
        <w:rPr>
          <w:spacing w:val="-5"/>
        </w:rPr>
        <w:t> </w:t>
      </w:r>
      <w:r>
        <w:rPr/>
        <w:t>and</w:t>
      </w:r>
      <w:r>
        <w:rPr>
          <w:spacing w:val="-3"/>
        </w:rPr>
        <w:t> </w:t>
      </w:r>
      <w:r>
        <w:rPr/>
        <w:t>has</w:t>
      </w:r>
      <w:r>
        <w:rPr>
          <w:spacing w:val="-5"/>
        </w:rPr>
        <w:t> </w:t>
      </w:r>
      <w:r>
        <w:rPr/>
        <w:t>made</w:t>
      </w:r>
      <w:r>
        <w:rPr>
          <w:spacing w:val="-5"/>
        </w:rPr>
        <w:t> </w:t>
      </w:r>
      <w:r>
        <w:rPr/>
        <w:t>a</w:t>
      </w:r>
      <w:r>
        <w:rPr>
          <w:spacing w:val="-3"/>
        </w:rPr>
        <w:t> </w:t>
      </w:r>
      <w:r>
        <w:rPr/>
        <w:t>call</w:t>
      </w:r>
      <w:r>
        <w:rPr>
          <w:spacing w:val="-3"/>
        </w:rPr>
        <w:t> </w:t>
      </w:r>
      <w:r>
        <w:rPr/>
        <w:t>for</w:t>
      </w:r>
      <w:r>
        <w:rPr>
          <w:spacing w:val="-3"/>
        </w:rPr>
        <w:t> </w:t>
      </w:r>
      <w:r>
        <w:rPr/>
        <w:t>her</w:t>
      </w:r>
      <w:r>
        <w:rPr>
          <w:spacing w:val="-5"/>
        </w:rPr>
        <w:t> </w:t>
      </w:r>
      <w:r>
        <w:rPr/>
        <w:t>own </w:t>
      </w:r>
      <w:r>
        <w:rPr>
          <w:spacing w:val="-4"/>
        </w:rPr>
        <w:t>separation, in effect rejecting societal gender roles. However, this rejection </w:t>
      </w:r>
      <w:r>
        <w:rPr/>
        <w:t>is not </w:t>
      </w:r>
      <w:r>
        <w:rPr>
          <w:spacing w:val="11"/>
        </w:rPr>
        <w:t>liberating;</w:t>
      </w:r>
      <w:r>
        <w:rPr>
          <w:spacing w:val="11"/>
        </w:rPr>
        <w:t> </w:t>
      </w:r>
      <w:r>
        <w:rPr/>
        <w:t>it </w:t>
      </w:r>
      <w:r>
        <w:rPr>
          <w:spacing w:val="11"/>
        </w:rPr>
        <w:t>creates</w:t>
      </w:r>
      <w:r>
        <w:rPr>
          <w:spacing w:val="11"/>
        </w:rPr>
        <w:t> </w:t>
      </w:r>
      <w:r>
        <w:rPr/>
        <w:t>a </w:t>
      </w:r>
      <w:r>
        <w:rPr>
          <w:spacing w:val="11"/>
        </w:rPr>
        <w:t>psychological</w:t>
      </w:r>
      <w:r>
        <w:rPr>
          <w:spacing w:val="11"/>
        </w:rPr>
        <w:t> </w:t>
      </w:r>
      <w:r>
        <w:rPr>
          <w:spacing w:val="10"/>
        </w:rPr>
        <w:t>breakdown. </w:t>
      </w:r>
      <w:r>
        <w:rPr/>
        <w:t>Psychoanalytically</w:t>
      </w:r>
      <w:r>
        <w:rPr>
          <w:spacing w:val="47"/>
        </w:rPr>
        <w:t> </w:t>
      </w:r>
      <w:r>
        <w:rPr/>
        <w:t>speaking,</w:t>
      </w:r>
      <w:r>
        <w:rPr>
          <w:spacing w:val="53"/>
        </w:rPr>
        <w:t> </w:t>
      </w:r>
      <w:r>
        <w:rPr/>
        <w:t>her</w:t>
      </w:r>
      <w:r>
        <w:rPr>
          <w:spacing w:val="53"/>
        </w:rPr>
        <w:t> </w:t>
      </w:r>
      <w:r>
        <w:rPr/>
        <w:t>character</w:t>
      </w:r>
      <w:r>
        <w:rPr>
          <w:spacing w:val="52"/>
        </w:rPr>
        <w:t> </w:t>
      </w:r>
      <w:r>
        <w:rPr/>
        <w:t>represents</w:t>
      </w:r>
      <w:r>
        <w:rPr>
          <w:spacing w:val="51"/>
        </w:rPr>
        <w:t> </w:t>
      </w:r>
      <w:r>
        <w:rPr/>
        <w:t>the</w:t>
      </w:r>
      <w:r>
        <w:rPr>
          <w:spacing w:val="53"/>
        </w:rPr>
        <w:t> </w:t>
      </w:r>
      <w:r>
        <w:rPr/>
        <w:t>effects</w:t>
      </w:r>
      <w:r>
        <w:rPr>
          <w:spacing w:val="49"/>
        </w:rPr>
        <w:t> </w:t>
      </w:r>
      <w:r>
        <w:rPr>
          <w:spacing w:val="-5"/>
        </w:rPr>
        <w:t>of</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5360">
                <wp:simplePos x="0" y="0"/>
                <wp:positionH relativeFrom="page">
                  <wp:posOffset>2065020</wp:posOffset>
                </wp:positionH>
                <wp:positionV relativeFrom="paragraph">
                  <wp:posOffset>795020</wp:posOffset>
                </wp:positionV>
                <wp:extent cx="3657600" cy="12700"/>
                <wp:effectExtent l="0" t="0" r="0" b="0"/>
                <wp:wrapTopAndBottom/>
                <wp:docPr id="342" name="Graphic 342"/>
                <wp:cNvGraphicFramePr>
                  <a:graphicFrameLocks/>
                </wp:cNvGraphicFramePr>
                <a:graphic>
                  <a:graphicData uri="http://schemas.microsoft.com/office/word/2010/wordprocessingShape">
                    <wps:wsp>
                      <wps:cNvPr id="342" name="Graphic 34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21120;mso-wrap-distance-left:0;mso-wrap-distance-right:0" id="docshape338" filled="true" fillcolor="#000000" stroked="false">
                <v:fill type="solid"/>
                <w10:wrap type="topAndBottom"/>
              </v:rect>
            </w:pict>
          </mc:Fallback>
        </mc:AlternateContent>
      </w:r>
      <w:r>
        <w:rPr>
          <w:rFonts w:ascii="Verdana"/>
          <w:sz w:val="18"/>
        </w:rPr>
        <w:t>Madness</w:t>
      </w:r>
      <w:r>
        <w:rPr>
          <w:rFonts w:ascii="Verdana"/>
          <w:spacing w:val="-7"/>
          <w:sz w:val="18"/>
        </w:rPr>
        <w:t> </w:t>
      </w:r>
      <w:r>
        <w:rPr>
          <w:rFonts w:ascii="Verdana"/>
          <w:sz w:val="18"/>
        </w:rPr>
        <w:t>as</w:t>
      </w:r>
      <w:r>
        <w:rPr>
          <w:rFonts w:ascii="Verdana"/>
          <w:spacing w:val="-7"/>
          <w:sz w:val="18"/>
        </w:rPr>
        <w:t> </w:t>
      </w:r>
      <w:r>
        <w:rPr>
          <w:rFonts w:ascii="Verdana"/>
          <w:sz w:val="18"/>
        </w:rPr>
        <w:t>A</w:t>
      </w:r>
      <w:r>
        <w:rPr>
          <w:rFonts w:ascii="Verdana"/>
          <w:spacing w:val="-11"/>
          <w:sz w:val="18"/>
        </w:rPr>
        <w:t> </w:t>
      </w:r>
      <w:r>
        <w:rPr>
          <w:rFonts w:ascii="Verdana"/>
          <w:sz w:val="18"/>
        </w:rPr>
        <w:t>Social</w:t>
      </w:r>
      <w:r>
        <w:rPr>
          <w:rFonts w:ascii="Verdana"/>
          <w:spacing w:val="-7"/>
          <w:sz w:val="18"/>
        </w:rPr>
        <w:t> </w:t>
      </w:r>
      <w:r>
        <w:rPr>
          <w:rFonts w:ascii="Verdana"/>
          <w:sz w:val="18"/>
        </w:rPr>
        <w:t>Construction:</w:t>
      </w:r>
      <w:r>
        <w:rPr>
          <w:rFonts w:ascii="Verdana"/>
          <w:spacing w:val="-8"/>
          <w:sz w:val="18"/>
        </w:rPr>
        <w:t> </w:t>
      </w:r>
      <w:r>
        <w:rPr>
          <w:rFonts w:ascii="Verdana"/>
          <w:sz w:val="18"/>
        </w:rPr>
        <w:t>Trauma,</w:t>
      </w:r>
      <w:r>
        <w:rPr>
          <w:rFonts w:ascii="Verdana"/>
          <w:spacing w:val="-7"/>
          <w:sz w:val="18"/>
        </w:rPr>
        <w:t> </w:t>
      </w:r>
      <w:r>
        <w:rPr>
          <w:rFonts w:ascii="Verdana"/>
          <w:sz w:val="18"/>
        </w:rPr>
        <w:t>Guilt</w:t>
      </w:r>
      <w:r>
        <w:rPr>
          <w:rFonts w:ascii="Verdana"/>
          <w:spacing w:val="-6"/>
          <w:sz w:val="18"/>
        </w:rPr>
        <w:t> </w:t>
      </w:r>
      <w:r>
        <w:rPr>
          <w:rFonts w:ascii="Verdana"/>
          <w:spacing w:val="-5"/>
          <w:sz w:val="18"/>
        </w:rPr>
        <w:t>...</w:t>
      </w:r>
      <w:r>
        <w:rPr>
          <w:sz w:val="18"/>
        </w:rPr>
        <w:tab/>
      </w:r>
      <w:r>
        <w:rPr>
          <w:rFonts w:ascii="Verdana"/>
          <w:spacing w:val="-5"/>
          <w:sz w:val="18"/>
        </w:rPr>
        <w:t>123</w:t>
      </w:r>
    </w:p>
    <w:p>
      <w:pPr>
        <w:pStyle w:val="BodyText"/>
        <w:spacing w:line="249" w:lineRule="auto" w:before="192"/>
        <w:ind w:right="1439"/>
        <w:jc w:val="both"/>
      </w:pPr>
      <w:r>
        <w:rPr/>
        <w:t>repression. The</w:t>
      </w:r>
      <w:r>
        <w:rPr>
          <w:spacing w:val="-3"/>
        </w:rPr>
        <w:t> </w:t>
      </w:r>
      <w:r>
        <w:rPr/>
        <w:t>repression</w:t>
      </w:r>
      <w:r>
        <w:rPr>
          <w:spacing w:val="-2"/>
        </w:rPr>
        <w:t> </w:t>
      </w:r>
      <w:r>
        <w:rPr/>
        <w:t>of</w:t>
      </w:r>
      <w:r>
        <w:rPr>
          <w:spacing w:val="-3"/>
        </w:rPr>
        <w:t> </w:t>
      </w:r>
      <w:r>
        <w:rPr/>
        <w:t>guilt and</w:t>
      </w:r>
      <w:r>
        <w:rPr>
          <w:spacing w:val="-2"/>
        </w:rPr>
        <w:t> </w:t>
      </w:r>
      <w:r>
        <w:rPr/>
        <w:t>moral</w:t>
      </w:r>
      <w:r>
        <w:rPr>
          <w:spacing w:val="-1"/>
        </w:rPr>
        <w:t> </w:t>
      </w:r>
      <w:r>
        <w:rPr/>
        <w:t>conflict</w:t>
      </w:r>
      <w:r>
        <w:rPr>
          <w:spacing w:val="-3"/>
        </w:rPr>
        <w:t> </w:t>
      </w:r>
      <w:r>
        <w:rPr/>
        <w:t>does</w:t>
      </w:r>
      <w:r>
        <w:rPr>
          <w:spacing w:val="-2"/>
        </w:rPr>
        <w:t> </w:t>
      </w:r>
      <w:r>
        <w:rPr/>
        <w:t>not</w:t>
      </w:r>
      <w:r>
        <w:rPr>
          <w:spacing w:val="-2"/>
        </w:rPr>
        <w:t> </w:t>
      </w:r>
      <w:r>
        <w:rPr/>
        <w:t>erase the internalized conscience but rather causes guilt to be transferred to the unconscious</w:t>
      </w:r>
      <w:r>
        <w:rPr>
          <w:spacing w:val="-2"/>
        </w:rPr>
        <w:t> </w:t>
      </w:r>
      <w:r>
        <w:rPr/>
        <w:t>where it</w:t>
      </w:r>
      <w:r>
        <w:rPr>
          <w:spacing w:val="-2"/>
        </w:rPr>
        <w:t> </w:t>
      </w:r>
      <w:r>
        <w:rPr/>
        <w:t>eventually</w:t>
      </w:r>
      <w:r>
        <w:rPr>
          <w:spacing w:val="-4"/>
        </w:rPr>
        <w:t> </w:t>
      </w:r>
      <w:r>
        <w:rPr/>
        <w:t>returns</w:t>
      </w:r>
      <w:r>
        <w:rPr>
          <w:spacing w:val="-2"/>
        </w:rPr>
        <w:t> </w:t>
      </w:r>
      <w:r>
        <w:rPr/>
        <w:t>as</w:t>
      </w:r>
      <w:r>
        <w:rPr>
          <w:spacing w:val="-2"/>
        </w:rPr>
        <w:t> </w:t>
      </w:r>
      <w:r>
        <w:rPr/>
        <w:t>a</w:t>
      </w:r>
      <w:r>
        <w:rPr>
          <w:spacing w:val="-1"/>
        </w:rPr>
        <w:t> </w:t>
      </w:r>
      <w:r>
        <w:rPr/>
        <w:t>distorted mental condition. In addition, with Lady Macbeth’s compulsive hand-washing and sleepwalking demonstrating</w:t>
      </w:r>
      <w:r>
        <w:rPr>
          <w:spacing w:val="-1"/>
        </w:rPr>
        <w:t> </w:t>
      </w:r>
      <w:r>
        <w:rPr/>
        <w:t>signs of guilt, all</w:t>
      </w:r>
      <w:r>
        <w:rPr>
          <w:spacing w:val="-1"/>
        </w:rPr>
        <w:t> </w:t>
      </w:r>
      <w:r>
        <w:rPr/>
        <w:t>three symptoms illustrate her continuous struggle with herself. According to Sigmund Freud’s theory of repression, these behaviours can also be interpreted as a</w:t>
      </w:r>
      <w:r>
        <w:rPr>
          <w:spacing w:val="40"/>
        </w:rPr>
        <w:t> </w:t>
      </w:r>
      <w:r>
        <w:rPr/>
        <w:t>return of repressed emotions through compulsive behaviour and psychological</w:t>
      </w:r>
      <w:r>
        <w:rPr>
          <w:spacing w:val="40"/>
        </w:rPr>
        <w:t> </w:t>
      </w:r>
      <w:r>
        <w:rPr/>
        <w:t>disorder.</w:t>
      </w:r>
    </w:p>
    <w:p>
      <w:pPr>
        <w:pStyle w:val="Heading3"/>
        <w:spacing w:before="161"/>
        <w:jc w:val="both"/>
      </w:pPr>
      <w:r>
        <w:rPr>
          <w:spacing w:val="-8"/>
        </w:rPr>
        <w:t>LADY</w:t>
      </w:r>
      <w:r>
        <w:rPr>
          <w:spacing w:val="-3"/>
        </w:rPr>
        <w:t> </w:t>
      </w:r>
      <w:r>
        <w:rPr>
          <w:spacing w:val="-8"/>
        </w:rPr>
        <w:t>MACBETH’S</w:t>
      </w:r>
      <w:r>
        <w:rPr>
          <w:spacing w:val="-2"/>
        </w:rPr>
        <w:t> </w:t>
      </w:r>
      <w:r>
        <w:rPr>
          <w:spacing w:val="-8"/>
        </w:rPr>
        <w:t>PSYCHOLOGICAL</w:t>
      </w:r>
      <w:r>
        <w:rPr>
          <w:spacing w:val="-3"/>
        </w:rPr>
        <w:t> </w:t>
      </w:r>
      <w:r>
        <w:rPr>
          <w:spacing w:val="-8"/>
        </w:rPr>
        <w:t>DESCENT:</w:t>
      </w:r>
    </w:p>
    <w:p>
      <w:pPr>
        <w:pStyle w:val="BodyText"/>
        <w:spacing w:line="249" w:lineRule="auto" w:before="75"/>
        <w:ind w:right="1434" w:firstLine="432"/>
        <w:jc w:val="both"/>
      </w:pPr>
      <w:r>
        <w:rPr/>
        <w:t>Lady Macbeth’s psychological descent results from long-term trauma, with her illness viewed through her perspective that addresses </w:t>
      </w:r>
      <w:r>
        <w:rPr>
          <w:spacing w:val="-2"/>
        </w:rPr>
        <w:t>her</w:t>
      </w:r>
      <w:r>
        <w:rPr>
          <w:spacing w:val="-9"/>
        </w:rPr>
        <w:t> </w:t>
      </w:r>
      <w:r>
        <w:rPr>
          <w:spacing w:val="-2"/>
        </w:rPr>
        <w:t>internal</w:t>
      </w:r>
      <w:r>
        <w:rPr>
          <w:spacing w:val="-11"/>
        </w:rPr>
        <w:t> </w:t>
      </w:r>
      <w:r>
        <w:rPr>
          <w:spacing w:val="-2"/>
        </w:rPr>
        <w:t>struggle</w:t>
      </w:r>
      <w:r>
        <w:rPr>
          <w:spacing w:val="-5"/>
        </w:rPr>
        <w:t> </w:t>
      </w:r>
      <w:r>
        <w:rPr>
          <w:spacing w:val="-2"/>
        </w:rPr>
        <w:t>to</w:t>
      </w:r>
      <w:r>
        <w:rPr>
          <w:spacing w:val="-5"/>
        </w:rPr>
        <w:t> </w:t>
      </w:r>
      <w:r>
        <w:rPr>
          <w:spacing w:val="-2"/>
        </w:rPr>
        <w:t>contend</w:t>
      </w:r>
      <w:r>
        <w:rPr>
          <w:spacing w:val="-8"/>
        </w:rPr>
        <w:t> </w:t>
      </w:r>
      <w:r>
        <w:rPr>
          <w:spacing w:val="-2"/>
        </w:rPr>
        <w:t>with</w:t>
      </w:r>
      <w:r>
        <w:rPr>
          <w:spacing w:val="-11"/>
        </w:rPr>
        <w:t> </w:t>
      </w:r>
      <w:r>
        <w:rPr>
          <w:spacing w:val="-2"/>
        </w:rPr>
        <w:t>the</w:t>
      </w:r>
      <w:r>
        <w:rPr>
          <w:spacing w:val="-9"/>
        </w:rPr>
        <w:t> </w:t>
      </w:r>
      <w:r>
        <w:rPr>
          <w:spacing w:val="-2"/>
        </w:rPr>
        <w:t>external</w:t>
      </w:r>
      <w:r>
        <w:rPr>
          <w:spacing w:val="-9"/>
        </w:rPr>
        <w:t> </w:t>
      </w:r>
      <w:r>
        <w:rPr>
          <w:spacing w:val="-2"/>
        </w:rPr>
        <w:t>pressures</w:t>
      </w:r>
      <w:r>
        <w:rPr>
          <w:spacing w:val="-8"/>
        </w:rPr>
        <w:t> </w:t>
      </w:r>
      <w:r>
        <w:rPr>
          <w:spacing w:val="-2"/>
        </w:rPr>
        <w:t>of</w:t>
      </w:r>
      <w:r>
        <w:rPr>
          <w:spacing w:val="-10"/>
        </w:rPr>
        <w:t> </w:t>
      </w:r>
      <w:r>
        <w:rPr>
          <w:spacing w:val="-2"/>
        </w:rPr>
        <w:t>a</w:t>
      </w:r>
      <w:r>
        <w:rPr>
          <w:spacing w:val="-10"/>
        </w:rPr>
        <w:t> </w:t>
      </w:r>
      <w:r>
        <w:rPr>
          <w:spacing w:val="-2"/>
        </w:rPr>
        <w:t>patriarchal </w:t>
      </w:r>
      <w:r>
        <w:rPr/>
        <w:t>society. Initially, Lady Macbeth possesses leadership potential, yet her authority</w:t>
      </w:r>
      <w:r>
        <w:rPr>
          <w:spacing w:val="-5"/>
        </w:rPr>
        <w:t> </w:t>
      </w:r>
      <w:r>
        <w:rPr/>
        <w:t>relies</w:t>
      </w:r>
      <w:r>
        <w:rPr>
          <w:spacing w:val="-2"/>
        </w:rPr>
        <w:t> </w:t>
      </w:r>
      <w:r>
        <w:rPr/>
        <w:t>on</w:t>
      </w:r>
      <w:r>
        <w:rPr>
          <w:spacing w:val="-4"/>
        </w:rPr>
        <w:t> </w:t>
      </w:r>
      <w:r>
        <w:rPr/>
        <w:t>sacrificing</w:t>
      </w:r>
      <w:r>
        <w:rPr>
          <w:spacing w:val="-2"/>
        </w:rPr>
        <w:t> </w:t>
      </w:r>
      <w:r>
        <w:rPr/>
        <w:t>ethics</w:t>
      </w:r>
      <w:r>
        <w:rPr>
          <w:spacing w:val="-4"/>
        </w:rPr>
        <w:t> </w:t>
      </w:r>
      <w:r>
        <w:rPr/>
        <w:t>to achieve</w:t>
      </w:r>
      <w:r>
        <w:rPr>
          <w:spacing w:val="-1"/>
        </w:rPr>
        <w:t> </w:t>
      </w:r>
      <w:r>
        <w:rPr/>
        <w:t>her</w:t>
      </w:r>
      <w:r>
        <w:rPr>
          <w:spacing w:val="-2"/>
        </w:rPr>
        <w:t> </w:t>
      </w:r>
      <w:r>
        <w:rPr/>
        <w:t>desires.</w:t>
      </w:r>
      <w:r>
        <w:rPr>
          <w:spacing w:val="-2"/>
        </w:rPr>
        <w:t> </w:t>
      </w:r>
      <w:r>
        <w:rPr/>
        <w:t>However,</w:t>
      </w:r>
      <w:r>
        <w:rPr>
          <w:spacing w:val="-2"/>
        </w:rPr>
        <w:t> </w:t>
      </w:r>
      <w:r>
        <w:rPr/>
        <w:t>as time progresses, she finds her ability to continue the sacrifice is no longer sustainable, thus leading to her psychological and existential breakdown. Many feminist scholars suggest Lady Macbeth’s so-called ‘madness’</w:t>
      </w:r>
      <w:r>
        <w:rPr>
          <w:spacing w:val="-13"/>
        </w:rPr>
        <w:t> </w:t>
      </w:r>
      <w:r>
        <w:rPr/>
        <w:t>symbolizes</w:t>
      </w:r>
      <w:r>
        <w:rPr>
          <w:spacing w:val="-3"/>
        </w:rPr>
        <w:t> </w:t>
      </w:r>
      <w:r>
        <w:rPr/>
        <w:t>women’s</w:t>
      </w:r>
      <w:r>
        <w:rPr>
          <w:spacing w:val="-3"/>
        </w:rPr>
        <w:t> </w:t>
      </w:r>
      <w:r>
        <w:rPr/>
        <w:t>struggles</w:t>
      </w:r>
      <w:r>
        <w:rPr>
          <w:spacing w:val="-2"/>
        </w:rPr>
        <w:t> </w:t>
      </w:r>
      <w:r>
        <w:rPr/>
        <w:t>when</w:t>
      </w:r>
      <w:r>
        <w:rPr>
          <w:spacing w:val="-5"/>
        </w:rPr>
        <w:t> </w:t>
      </w:r>
      <w:r>
        <w:rPr/>
        <w:t>they</w:t>
      </w:r>
      <w:r>
        <w:rPr>
          <w:spacing w:val="-3"/>
        </w:rPr>
        <w:t> </w:t>
      </w:r>
      <w:r>
        <w:rPr/>
        <w:t>violate</w:t>
      </w:r>
      <w:r>
        <w:rPr>
          <w:spacing w:val="-3"/>
        </w:rPr>
        <w:t> </w:t>
      </w:r>
      <w:r>
        <w:rPr/>
        <w:t>gender role expectations,</w:t>
      </w:r>
      <w:r>
        <w:rPr>
          <w:spacing w:val="-5"/>
        </w:rPr>
        <w:t> </w:t>
      </w:r>
      <w:r>
        <w:rPr/>
        <w:t>rather</w:t>
      </w:r>
      <w:r>
        <w:rPr>
          <w:spacing w:val="-5"/>
        </w:rPr>
        <w:t> </w:t>
      </w:r>
      <w:r>
        <w:rPr/>
        <w:t>than</w:t>
      </w:r>
      <w:r>
        <w:rPr>
          <w:spacing w:val="-5"/>
        </w:rPr>
        <w:t> </w:t>
      </w:r>
      <w:r>
        <w:rPr/>
        <w:t>punishing</w:t>
      </w:r>
      <w:r>
        <w:rPr>
          <w:spacing w:val="-6"/>
        </w:rPr>
        <w:t> </w:t>
      </w:r>
      <w:r>
        <w:rPr/>
        <w:t>them</w:t>
      </w:r>
      <w:r>
        <w:rPr>
          <w:spacing w:val="-7"/>
        </w:rPr>
        <w:t> </w:t>
      </w:r>
      <w:r>
        <w:rPr/>
        <w:t>for</w:t>
      </w:r>
      <w:r>
        <w:rPr>
          <w:spacing w:val="-5"/>
        </w:rPr>
        <w:t> </w:t>
      </w:r>
      <w:r>
        <w:rPr/>
        <w:t>being</w:t>
      </w:r>
      <w:r>
        <w:rPr>
          <w:spacing w:val="-6"/>
        </w:rPr>
        <w:t> </w:t>
      </w:r>
      <w:r>
        <w:rPr/>
        <w:t>ambitious.</w:t>
      </w:r>
      <w:r>
        <w:rPr>
          <w:spacing w:val="-5"/>
        </w:rPr>
        <w:t> </w:t>
      </w:r>
      <w:r>
        <w:rPr/>
        <w:t>To</w:t>
      </w:r>
      <w:r>
        <w:rPr>
          <w:spacing w:val="-5"/>
        </w:rPr>
        <w:t> </w:t>
      </w:r>
      <w:r>
        <w:rPr/>
        <w:t>a</w:t>
      </w:r>
      <w:r>
        <w:rPr>
          <w:spacing w:val="-6"/>
        </w:rPr>
        <w:t> </w:t>
      </w:r>
      <w:r>
        <w:rPr/>
        <w:t>large extent, her signals of madness are signs of isolation and psychological breakdown resulting from her navigating a system restricting women’s autonomy rather than simply personal failings. Ultimately, Lady Macbeth’s mental deterioration results from social and psychological phenomena</w:t>
      </w:r>
      <w:r>
        <w:rPr>
          <w:spacing w:val="-7"/>
        </w:rPr>
        <w:t> </w:t>
      </w:r>
      <w:r>
        <w:rPr/>
        <w:t>including</w:t>
      </w:r>
      <w:r>
        <w:rPr>
          <w:spacing w:val="-9"/>
        </w:rPr>
        <w:t> </w:t>
      </w:r>
      <w:r>
        <w:rPr/>
        <w:t>repression,</w:t>
      </w:r>
      <w:r>
        <w:rPr>
          <w:spacing w:val="-6"/>
        </w:rPr>
        <w:t> </w:t>
      </w:r>
      <w:r>
        <w:rPr/>
        <w:t>internal</w:t>
      </w:r>
      <w:r>
        <w:rPr>
          <w:spacing w:val="-9"/>
        </w:rPr>
        <w:t> </w:t>
      </w:r>
      <w:r>
        <w:rPr/>
        <w:t>conflict,</w:t>
      </w:r>
      <w:r>
        <w:rPr>
          <w:spacing w:val="-6"/>
        </w:rPr>
        <w:t> </w:t>
      </w:r>
      <w:r>
        <w:rPr/>
        <w:t>and</w:t>
      </w:r>
      <w:r>
        <w:rPr>
          <w:spacing w:val="-4"/>
        </w:rPr>
        <w:t> </w:t>
      </w:r>
      <w:r>
        <w:rPr/>
        <w:t>the</w:t>
      </w:r>
      <w:r>
        <w:rPr>
          <w:spacing w:val="-6"/>
        </w:rPr>
        <w:t> </w:t>
      </w:r>
      <w:r>
        <w:rPr/>
        <w:t>contradictory nature</w:t>
      </w:r>
      <w:r>
        <w:rPr>
          <w:spacing w:val="40"/>
        </w:rPr>
        <w:t> </w:t>
      </w:r>
      <w:r>
        <w:rPr/>
        <w:t>of</w:t>
      </w:r>
      <w:r>
        <w:rPr>
          <w:spacing w:val="40"/>
        </w:rPr>
        <w:t> </w:t>
      </w:r>
      <w:r>
        <w:rPr/>
        <w:t>gendered</w:t>
      </w:r>
      <w:r>
        <w:rPr>
          <w:spacing w:val="40"/>
        </w:rPr>
        <w:t> </w:t>
      </w:r>
      <w:r>
        <w:rPr/>
        <w:t>power</w:t>
      </w:r>
      <w:r>
        <w:rPr>
          <w:spacing w:val="40"/>
        </w:rPr>
        <w:t> </w:t>
      </w:r>
      <w:r>
        <w:rPr/>
        <w:t>dynamics.</w:t>
      </w:r>
    </w:p>
    <w:p>
      <w:pPr>
        <w:pStyle w:val="BodyText"/>
        <w:spacing w:line="249" w:lineRule="auto" w:before="71"/>
        <w:ind w:right="1434" w:firstLine="432"/>
        <w:jc w:val="both"/>
      </w:pPr>
      <w:r>
        <w:rPr/>
        <w:t>Desdemona, arguably one of Shakespeare’s most tragic female characters, is unique in that she does not demonstrate a complete descent into madness; however, Desdemona represents an equally significant psychological experience that indicates significant levels of emotional trauma through the presence of both silence and destruction. Desdemona serves to illustrate that even if mental anguish is not</w:t>
      </w:r>
      <w:r>
        <w:rPr>
          <w:spacing w:val="40"/>
        </w:rPr>
        <w:t> </w:t>
      </w:r>
      <w:r>
        <w:rPr>
          <w:spacing w:val="-2"/>
        </w:rPr>
        <w:t>evident</w:t>
      </w:r>
      <w:r>
        <w:rPr>
          <w:spacing w:val="-11"/>
        </w:rPr>
        <w:t> </w:t>
      </w:r>
      <w:r>
        <w:rPr>
          <w:spacing w:val="-2"/>
        </w:rPr>
        <w:t>physically,</w:t>
      </w:r>
      <w:r>
        <w:rPr>
          <w:spacing w:val="-10"/>
        </w:rPr>
        <w:t> </w:t>
      </w:r>
      <w:r>
        <w:rPr>
          <w:spacing w:val="-2"/>
        </w:rPr>
        <w:t>it</w:t>
      </w:r>
      <w:r>
        <w:rPr>
          <w:spacing w:val="-11"/>
        </w:rPr>
        <w:t> </w:t>
      </w:r>
      <w:r>
        <w:rPr>
          <w:spacing w:val="-2"/>
        </w:rPr>
        <w:t>does</w:t>
      </w:r>
      <w:r>
        <w:rPr>
          <w:spacing w:val="-10"/>
        </w:rPr>
        <w:t> </w:t>
      </w:r>
      <w:r>
        <w:rPr>
          <w:spacing w:val="-2"/>
        </w:rPr>
        <w:t>exist.</w:t>
      </w:r>
      <w:r>
        <w:rPr>
          <w:spacing w:val="-11"/>
        </w:rPr>
        <w:t> </w:t>
      </w:r>
      <w:r>
        <w:rPr>
          <w:spacing w:val="-2"/>
        </w:rPr>
        <w:t>According</w:t>
      </w:r>
      <w:r>
        <w:rPr>
          <w:spacing w:val="-10"/>
        </w:rPr>
        <w:t> </w:t>
      </w:r>
      <w:r>
        <w:rPr>
          <w:spacing w:val="-2"/>
        </w:rPr>
        <w:t>to</w:t>
      </w:r>
      <w:r>
        <w:rPr>
          <w:spacing w:val="-11"/>
        </w:rPr>
        <w:t> </w:t>
      </w:r>
      <w:r>
        <w:rPr>
          <w:spacing w:val="-2"/>
        </w:rPr>
        <w:t>some</w:t>
      </w:r>
      <w:r>
        <w:rPr>
          <w:spacing w:val="-10"/>
        </w:rPr>
        <w:t> </w:t>
      </w:r>
      <w:r>
        <w:rPr>
          <w:spacing w:val="-2"/>
        </w:rPr>
        <w:t>feminists,</w:t>
      </w:r>
      <w:r>
        <w:rPr>
          <w:spacing w:val="-11"/>
        </w:rPr>
        <w:t> </w:t>
      </w:r>
      <w:r>
        <w:rPr>
          <w:spacing w:val="-2"/>
        </w:rPr>
        <w:t>Desdemona </w:t>
      </w:r>
      <w:r>
        <w:rPr/>
        <w:t>embodies a patriarchal ideology that encourages her subservience, obedience, loyalty and limited individual expression. Upon marrying Othello, she removes her right to express herself and thus undermines her independence. As Desdemona’s husband becomes increasingly suspicious of her, her ability to express herself loses credibility, and those</w:t>
      </w:r>
      <w:r>
        <w:rPr>
          <w:spacing w:val="1"/>
        </w:rPr>
        <w:t> </w:t>
      </w:r>
      <w:r>
        <w:rPr/>
        <w:t>expressions</w:t>
      </w:r>
      <w:r>
        <w:rPr>
          <w:spacing w:val="1"/>
        </w:rPr>
        <w:t> </w:t>
      </w:r>
      <w:r>
        <w:rPr/>
        <w:t>are</w:t>
      </w:r>
      <w:r>
        <w:rPr>
          <w:spacing w:val="4"/>
        </w:rPr>
        <w:t> </w:t>
      </w:r>
      <w:r>
        <w:rPr/>
        <w:t>disregarded.</w:t>
      </w:r>
      <w:r>
        <w:rPr>
          <w:spacing w:val="-10"/>
        </w:rPr>
        <w:t> </w:t>
      </w:r>
      <w:r>
        <w:rPr/>
        <w:t>According to</w:t>
      </w:r>
      <w:r>
        <w:rPr>
          <w:spacing w:val="3"/>
        </w:rPr>
        <w:t> </w:t>
      </w:r>
      <w:r>
        <w:rPr/>
        <w:t>bell</w:t>
      </w:r>
      <w:r>
        <w:rPr>
          <w:spacing w:val="4"/>
        </w:rPr>
        <w:t> </w:t>
      </w:r>
      <w:r>
        <w:rPr/>
        <w:t>hooks,</w:t>
      </w:r>
      <w:r>
        <w:rPr>
          <w:spacing w:val="2"/>
        </w:rPr>
        <w:t> </w:t>
      </w:r>
      <w:r>
        <w:rPr/>
        <w:t>the</w:t>
      </w:r>
      <w:r>
        <w:rPr>
          <w:spacing w:val="2"/>
        </w:rPr>
        <w:t> </w:t>
      </w:r>
      <w:r>
        <w:rPr>
          <w:spacing w:val="-2"/>
        </w:rPr>
        <w:t>cultural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5872">
                <wp:simplePos x="0" y="0"/>
                <wp:positionH relativeFrom="page">
                  <wp:posOffset>2057400</wp:posOffset>
                </wp:positionH>
                <wp:positionV relativeFrom="paragraph">
                  <wp:posOffset>162604</wp:posOffset>
                </wp:positionV>
                <wp:extent cx="3657600" cy="12700"/>
                <wp:effectExtent l="0" t="0" r="0" b="0"/>
                <wp:wrapTopAndBottom/>
                <wp:docPr id="343" name="Graphic 343"/>
                <wp:cNvGraphicFramePr>
                  <a:graphicFrameLocks/>
                </wp:cNvGraphicFramePr>
                <a:graphic>
                  <a:graphicData uri="http://schemas.microsoft.com/office/word/2010/wordprocessingShape">
                    <wps:wsp>
                      <wps:cNvPr id="343" name="Graphic 34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20608;mso-wrap-distance-left:0;mso-wrap-distance-right:0" id="docshape339" filled="true" fillcolor="#000000" stroked="false">
                <v:fill type="solid"/>
                <w10:wrap type="topAndBottom"/>
              </v:rect>
            </w:pict>
          </mc:Fallback>
        </mc:AlternateContent>
      </w:r>
      <w:r>
        <w:rPr>
          <w:rFonts w:ascii="Verdana"/>
          <w:spacing w:val="-5"/>
          <w:sz w:val="18"/>
        </w:rPr>
        <w:t>124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inability</w:t>
      </w:r>
      <w:r>
        <w:rPr>
          <w:spacing w:val="27"/>
        </w:rPr>
        <w:t> </w:t>
      </w:r>
      <w:r>
        <w:rPr/>
        <w:t>to</w:t>
      </w:r>
      <w:r>
        <w:rPr>
          <w:spacing w:val="29"/>
        </w:rPr>
        <w:t> </w:t>
      </w:r>
      <w:r>
        <w:rPr/>
        <w:t>hear</w:t>
      </w:r>
      <w:r>
        <w:rPr>
          <w:spacing w:val="30"/>
        </w:rPr>
        <w:t> </w:t>
      </w:r>
      <w:r>
        <w:rPr/>
        <w:t>female</w:t>
      </w:r>
      <w:r>
        <w:rPr>
          <w:spacing w:val="28"/>
        </w:rPr>
        <w:t> </w:t>
      </w:r>
      <w:r>
        <w:rPr/>
        <w:t>voices</w:t>
      </w:r>
      <w:r>
        <w:rPr>
          <w:spacing w:val="29"/>
        </w:rPr>
        <w:t> </w:t>
      </w:r>
      <w:r>
        <w:rPr/>
        <w:t>has</w:t>
      </w:r>
      <w:r>
        <w:rPr>
          <w:spacing w:val="27"/>
        </w:rPr>
        <w:t> </w:t>
      </w:r>
      <w:r>
        <w:rPr/>
        <w:t>resulted</w:t>
      </w:r>
      <w:r>
        <w:rPr>
          <w:spacing w:val="31"/>
        </w:rPr>
        <w:t> </w:t>
      </w:r>
      <w:r>
        <w:rPr/>
        <w:t>in</w:t>
      </w:r>
      <w:r>
        <w:rPr>
          <w:spacing w:val="27"/>
        </w:rPr>
        <w:t> </w:t>
      </w:r>
      <w:r>
        <w:rPr/>
        <w:t>a</w:t>
      </w:r>
      <w:r>
        <w:rPr>
          <w:spacing w:val="29"/>
        </w:rPr>
        <w:t> </w:t>
      </w:r>
      <w:r>
        <w:rPr/>
        <w:t>gradual</w:t>
      </w:r>
      <w:r>
        <w:rPr>
          <w:spacing w:val="27"/>
        </w:rPr>
        <w:t> </w:t>
      </w:r>
      <w:r>
        <w:rPr/>
        <w:t>silencing</w:t>
      </w:r>
      <w:r>
        <w:rPr>
          <w:spacing w:val="29"/>
        </w:rPr>
        <w:t> </w:t>
      </w:r>
      <w:r>
        <w:rPr/>
        <w:t>of </w:t>
      </w:r>
      <w:r>
        <w:rPr>
          <w:spacing w:val="-2"/>
        </w:rPr>
        <w:t>women.</w:t>
      </w:r>
    </w:p>
    <w:p>
      <w:pPr>
        <w:pStyle w:val="Heading3"/>
        <w:spacing w:before="155"/>
      </w:pPr>
      <w:r>
        <w:rPr>
          <w:w w:val="90"/>
        </w:rPr>
        <w:t>DESDEMONA:</w:t>
      </w:r>
      <w:r>
        <w:rPr>
          <w:spacing w:val="21"/>
        </w:rPr>
        <w:t> </w:t>
      </w:r>
      <w:r>
        <w:rPr>
          <w:w w:val="90"/>
        </w:rPr>
        <w:t>THE</w:t>
      </w:r>
      <w:r>
        <w:rPr>
          <w:spacing w:val="21"/>
        </w:rPr>
        <w:t> </w:t>
      </w:r>
      <w:r>
        <w:rPr>
          <w:w w:val="90"/>
        </w:rPr>
        <w:t>SADNESS</w:t>
      </w:r>
      <w:r>
        <w:rPr>
          <w:spacing w:val="21"/>
        </w:rPr>
        <w:t> </w:t>
      </w:r>
      <w:r>
        <w:rPr>
          <w:w w:val="90"/>
        </w:rPr>
        <w:t>OF</w:t>
      </w:r>
      <w:r>
        <w:rPr>
          <w:spacing w:val="24"/>
        </w:rPr>
        <w:t> </w:t>
      </w:r>
      <w:r>
        <w:rPr>
          <w:w w:val="90"/>
        </w:rPr>
        <w:t>NOT</w:t>
      </w:r>
      <w:r>
        <w:rPr>
          <w:spacing w:val="21"/>
        </w:rPr>
        <w:t> </w:t>
      </w:r>
      <w:r>
        <w:rPr>
          <w:w w:val="90"/>
        </w:rPr>
        <w:t>BEING</w:t>
      </w:r>
      <w:r>
        <w:rPr>
          <w:spacing w:val="24"/>
        </w:rPr>
        <w:t> </w:t>
      </w:r>
      <w:r>
        <w:rPr>
          <w:spacing w:val="-2"/>
          <w:w w:val="90"/>
        </w:rPr>
        <w:t>BELIEVED</w:t>
      </w:r>
    </w:p>
    <w:p>
      <w:pPr>
        <w:pStyle w:val="BodyText"/>
        <w:spacing w:line="249" w:lineRule="auto" w:before="76"/>
        <w:ind w:right="1437" w:firstLine="432"/>
        <w:jc w:val="both"/>
      </w:pPr>
      <w:r>
        <w:rPr/>
        <w:t>According to a trauma-informed perspective, Desdemona’s </w:t>
      </w:r>
      <w:r>
        <w:rPr>
          <w:spacing w:val="10"/>
        </w:rPr>
        <w:t>traumatic</w:t>
      </w:r>
      <w:r>
        <w:rPr>
          <w:spacing w:val="10"/>
        </w:rPr>
        <w:t> </w:t>
      </w:r>
      <w:r>
        <w:rPr>
          <w:spacing w:val="11"/>
        </w:rPr>
        <w:t>experience</w:t>
      </w:r>
      <w:r>
        <w:rPr>
          <w:spacing w:val="11"/>
        </w:rPr>
        <w:t> </w:t>
      </w:r>
      <w:r>
        <w:rPr/>
        <w:t>can be </w:t>
      </w:r>
      <w:r>
        <w:rPr>
          <w:spacing w:val="11"/>
        </w:rPr>
        <w:t>understood</w:t>
      </w:r>
      <w:r>
        <w:rPr>
          <w:spacing w:val="11"/>
        </w:rPr>
        <w:t> neurologically</w:t>
      </w:r>
      <w:r>
        <w:rPr>
          <w:spacing w:val="11"/>
        </w:rPr>
        <w:t> </w:t>
      </w:r>
      <w:r>
        <w:rPr/>
        <w:t>and </w:t>
      </w:r>
      <w:r>
        <w:rPr>
          <w:spacing w:val="-2"/>
        </w:rPr>
        <w:t>psychologically.</w:t>
      </w:r>
      <w:r>
        <w:rPr>
          <w:spacing w:val="-7"/>
        </w:rPr>
        <w:t> </w:t>
      </w:r>
      <w:r>
        <w:rPr>
          <w:spacing w:val="-2"/>
        </w:rPr>
        <w:t>Despite</w:t>
      </w:r>
      <w:r>
        <w:rPr>
          <w:spacing w:val="-6"/>
        </w:rPr>
        <w:t> </w:t>
      </w:r>
      <w:r>
        <w:rPr>
          <w:spacing w:val="-2"/>
        </w:rPr>
        <w:t>being</w:t>
      </w:r>
      <w:r>
        <w:rPr>
          <w:spacing w:val="-11"/>
        </w:rPr>
        <w:t> </w:t>
      </w:r>
      <w:r>
        <w:rPr>
          <w:spacing w:val="-2"/>
        </w:rPr>
        <w:t>criticized</w:t>
      </w:r>
      <w:r>
        <w:rPr>
          <w:spacing w:val="-5"/>
        </w:rPr>
        <w:t> </w:t>
      </w:r>
      <w:r>
        <w:rPr>
          <w:spacing w:val="-2"/>
        </w:rPr>
        <w:t>for</w:t>
      </w:r>
      <w:r>
        <w:rPr>
          <w:spacing w:val="-6"/>
        </w:rPr>
        <w:t> </w:t>
      </w:r>
      <w:r>
        <w:rPr>
          <w:spacing w:val="-2"/>
        </w:rPr>
        <w:t>her</w:t>
      </w:r>
      <w:r>
        <w:rPr>
          <w:spacing w:val="-6"/>
        </w:rPr>
        <w:t> </w:t>
      </w:r>
      <w:r>
        <w:rPr>
          <w:spacing w:val="-2"/>
        </w:rPr>
        <w:t>willingness</w:t>
      </w:r>
      <w:r>
        <w:rPr>
          <w:spacing w:val="-10"/>
        </w:rPr>
        <w:t> </w:t>
      </w:r>
      <w:r>
        <w:rPr>
          <w:spacing w:val="-2"/>
        </w:rPr>
        <w:t>to</w:t>
      </w:r>
      <w:r>
        <w:rPr>
          <w:spacing w:val="-6"/>
        </w:rPr>
        <w:t> </w:t>
      </w:r>
      <w:r>
        <w:rPr>
          <w:spacing w:val="-2"/>
        </w:rPr>
        <w:t>be</w:t>
      </w:r>
      <w:r>
        <w:rPr>
          <w:spacing w:val="-8"/>
        </w:rPr>
        <w:t> </w:t>
      </w:r>
      <w:r>
        <w:rPr>
          <w:spacing w:val="-2"/>
        </w:rPr>
        <w:t>abused, </w:t>
      </w:r>
      <w:r>
        <w:rPr/>
        <w:t>her initial response to that trauma is not visible in her physical state; rather, her demeanour demonstrates to us as she internalizes her experience. This way of internalizing trauma is often referred to as “silent trauma,” which is defined in Trauma Theory as the pain experienced</w:t>
      </w:r>
      <w:r>
        <w:rPr>
          <w:spacing w:val="-11"/>
        </w:rPr>
        <w:t> </w:t>
      </w:r>
      <w:r>
        <w:rPr/>
        <w:t>from</w:t>
      </w:r>
      <w:r>
        <w:rPr>
          <w:spacing w:val="-12"/>
        </w:rPr>
        <w:t> </w:t>
      </w:r>
      <w:r>
        <w:rPr/>
        <w:t>traumatic</w:t>
      </w:r>
      <w:r>
        <w:rPr>
          <w:spacing w:val="-11"/>
        </w:rPr>
        <w:t> </w:t>
      </w:r>
      <w:r>
        <w:rPr/>
        <w:t>experiences</w:t>
      </w:r>
      <w:r>
        <w:rPr>
          <w:spacing w:val="-11"/>
        </w:rPr>
        <w:t> </w:t>
      </w:r>
      <w:r>
        <w:rPr/>
        <w:t>but</w:t>
      </w:r>
      <w:r>
        <w:rPr>
          <w:spacing w:val="-11"/>
        </w:rPr>
        <w:t> </w:t>
      </w:r>
      <w:r>
        <w:rPr/>
        <w:t>without</w:t>
      </w:r>
      <w:r>
        <w:rPr>
          <w:spacing w:val="-12"/>
        </w:rPr>
        <w:t> </w:t>
      </w:r>
      <w:r>
        <w:rPr/>
        <w:t>being</w:t>
      </w:r>
      <w:r>
        <w:rPr>
          <w:spacing w:val="-12"/>
        </w:rPr>
        <w:t> </w:t>
      </w:r>
      <w:r>
        <w:rPr/>
        <w:t>recognized</w:t>
      </w:r>
      <w:r>
        <w:rPr>
          <w:spacing w:val="-9"/>
        </w:rPr>
        <w:t> </w:t>
      </w:r>
      <w:r>
        <w:rPr/>
        <w:t>or supported by society. Psychoanalytic Theory suggests that her ability</w:t>
      </w:r>
      <w:r>
        <w:rPr>
          <w:spacing w:val="80"/>
        </w:rPr>
        <w:t> </w:t>
      </w:r>
      <w:r>
        <w:rPr/>
        <w:t>to</w:t>
      </w:r>
      <w:r>
        <w:rPr>
          <w:spacing w:val="-10"/>
        </w:rPr>
        <w:t> </w:t>
      </w:r>
      <w:r>
        <w:rPr/>
        <w:t>maintain</w:t>
      </w:r>
      <w:r>
        <w:rPr>
          <w:spacing w:val="-9"/>
        </w:rPr>
        <w:t> </w:t>
      </w:r>
      <w:r>
        <w:rPr/>
        <w:t>a</w:t>
      </w:r>
      <w:r>
        <w:rPr>
          <w:spacing w:val="-11"/>
        </w:rPr>
        <w:t> </w:t>
      </w:r>
      <w:r>
        <w:rPr/>
        <w:t>calm</w:t>
      </w:r>
      <w:r>
        <w:rPr>
          <w:spacing w:val="-13"/>
        </w:rPr>
        <w:t> </w:t>
      </w:r>
      <w:r>
        <w:rPr/>
        <w:t>manner</w:t>
      </w:r>
      <w:r>
        <w:rPr>
          <w:spacing w:val="-9"/>
        </w:rPr>
        <w:t> </w:t>
      </w:r>
      <w:r>
        <w:rPr/>
        <w:t>throughout</w:t>
      </w:r>
      <w:r>
        <w:rPr>
          <w:spacing w:val="-7"/>
        </w:rPr>
        <w:t> </w:t>
      </w:r>
      <w:r>
        <w:rPr/>
        <w:t>so</w:t>
      </w:r>
      <w:r>
        <w:rPr>
          <w:spacing w:val="-9"/>
        </w:rPr>
        <w:t> </w:t>
      </w:r>
      <w:r>
        <w:rPr/>
        <w:t>many</w:t>
      </w:r>
      <w:r>
        <w:rPr>
          <w:spacing w:val="-13"/>
        </w:rPr>
        <w:t> </w:t>
      </w:r>
      <w:r>
        <w:rPr/>
        <w:t>accusations</w:t>
      </w:r>
      <w:r>
        <w:rPr>
          <w:spacing w:val="-9"/>
        </w:rPr>
        <w:t> </w:t>
      </w:r>
      <w:r>
        <w:rPr/>
        <w:t>of</w:t>
      </w:r>
      <w:r>
        <w:rPr>
          <w:spacing w:val="-13"/>
        </w:rPr>
        <w:t> </w:t>
      </w:r>
      <w:r>
        <w:rPr/>
        <w:t>emotional detachment can be understood as psychological containment. She does </w:t>
      </w:r>
      <w:r>
        <w:rPr>
          <w:spacing w:val="-2"/>
        </w:rPr>
        <w:t>not</w:t>
      </w:r>
      <w:r>
        <w:rPr>
          <w:spacing w:val="-11"/>
        </w:rPr>
        <w:t> </w:t>
      </w:r>
      <w:r>
        <w:rPr>
          <w:spacing w:val="-2"/>
        </w:rPr>
        <w:t>exhibit</w:t>
      </w:r>
      <w:r>
        <w:rPr>
          <w:spacing w:val="-10"/>
        </w:rPr>
        <w:t> </w:t>
      </w:r>
      <w:r>
        <w:rPr>
          <w:spacing w:val="-2"/>
        </w:rPr>
        <w:t>fear</w:t>
      </w:r>
      <w:r>
        <w:rPr>
          <w:spacing w:val="-11"/>
        </w:rPr>
        <w:t> </w:t>
      </w:r>
      <w:r>
        <w:rPr>
          <w:spacing w:val="-2"/>
        </w:rPr>
        <w:t>or</w:t>
      </w:r>
      <w:r>
        <w:rPr>
          <w:spacing w:val="-9"/>
        </w:rPr>
        <w:t> </w:t>
      </w:r>
      <w:r>
        <w:rPr>
          <w:spacing w:val="-2"/>
        </w:rPr>
        <w:t>anger</w:t>
      </w:r>
      <w:r>
        <w:rPr>
          <w:spacing w:val="-9"/>
        </w:rPr>
        <w:t> </w:t>
      </w:r>
      <w:r>
        <w:rPr>
          <w:spacing w:val="-2"/>
        </w:rPr>
        <w:t>in</w:t>
      </w:r>
      <w:r>
        <w:rPr>
          <w:spacing w:val="-11"/>
        </w:rPr>
        <w:t> </w:t>
      </w:r>
      <w:r>
        <w:rPr>
          <w:spacing w:val="-2"/>
        </w:rPr>
        <w:t>response</w:t>
      </w:r>
      <w:r>
        <w:rPr>
          <w:spacing w:val="-6"/>
        </w:rPr>
        <w:t> </w:t>
      </w:r>
      <w:r>
        <w:rPr>
          <w:spacing w:val="-2"/>
        </w:rPr>
        <w:t>to</w:t>
      </w:r>
      <w:r>
        <w:rPr>
          <w:spacing w:val="-11"/>
        </w:rPr>
        <w:t> </w:t>
      </w:r>
      <w:r>
        <w:rPr>
          <w:spacing w:val="-2"/>
        </w:rPr>
        <w:t>patriarchal</w:t>
      </w:r>
      <w:r>
        <w:rPr>
          <w:spacing w:val="-9"/>
        </w:rPr>
        <w:t> </w:t>
      </w:r>
      <w:r>
        <w:rPr>
          <w:spacing w:val="-2"/>
        </w:rPr>
        <w:t>constructs</w:t>
      </w:r>
      <w:r>
        <w:rPr>
          <w:spacing w:val="-11"/>
        </w:rPr>
        <w:t> </w:t>
      </w:r>
      <w:r>
        <w:rPr>
          <w:spacing w:val="-2"/>
        </w:rPr>
        <w:t>of</w:t>
      </w:r>
      <w:r>
        <w:rPr>
          <w:spacing w:val="-8"/>
        </w:rPr>
        <w:t> </w:t>
      </w:r>
      <w:r>
        <w:rPr>
          <w:spacing w:val="-2"/>
        </w:rPr>
        <w:t>femininity </w:t>
      </w:r>
      <w:r>
        <w:rPr/>
        <w:t>or punitive patriarchy for her failures as a wife to live up to those expectations; instead, her composed manner could represent a reaction to emotions as an emotional seduction. In many ways, Desdemona serves as a great example of epistemic injustice; she cannot have her truth recognized by others because her truth is reliant on Othello’s perception of it. This illustrates that Desdemona’s suffering is not just emotional, but has also been perpetuated by systemic issues in relation to her identity and voice. In doing so, Desdemona contributes to refuting the idea that one experiences psychological suffering in a </w:t>
      </w:r>
      <w:r>
        <w:rPr>
          <w:spacing w:val="-2"/>
        </w:rPr>
        <w:t>tangible</w:t>
      </w:r>
      <w:r>
        <w:rPr>
          <w:spacing w:val="-7"/>
        </w:rPr>
        <w:t> </w:t>
      </w:r>
      <w:r>
        <w:rPr>
          <w:spacing w:val="-2"/>
        </w:rPr>
        <w:t>manner.She</w:t>
      </w:r>
      <w:r>
        <w:rPr>
          <w:spacing w:val="-6"/>
        </w:rPr>
        <w:t> </w:t>
      </w:r>
      <w:r>
        <w:rPr>
          <w:spacing w:val="-2"/>
        </w:rPr>
        <w:t>chose</w:t>
      </w:r>
      <w:r>
        <w:rPr>
          <w:spacing w:val="-8"/>
        </w:rPr>
        <w:t> </w:t>
      </w:r>
      <w:r>
        <w:rPr>
          <w:spacing w:val="-2"/>
        </w:rPr>
        <w:t>not</w:t>
      </w:r>
      <w:r>
        <w:rPr>
          <w:spacing w:val="-6"/>
        </w:rPr>
        <w:t> </w:t>
      </w:r>
      <w:r>
        <w:rPr>
          <w:spacing w:val="-2"/>
        </w:rPr>
        <w:t>to</w:t>
      </w:r>
      <w:r>
        <w:rPr>
          <w:spacing w:val="-3"/>
        </w:rPr>
        <w:t> </w:t>
      </w:r>
      <w:r>
        <w:rPr>
          <w:spacing w:val="-2"/>
        </w:rPr>
        <w:t>speak</w:t>
      </w:r>
      <w:r>
        <w:rPr>
          <w:spacing w:val="-8"/>
        </w:rPr>
        <w:t> </w:t>
      </w:r>
      <w:r>
        <w:rPr>
          <w:spacing w:val="-2"/>
        </w:rPr>
        <w:t>out</w:t>
      </w:r>
      <w:r>
        <w:rPr>
          <w:spacing w:val="-6"/>
        </w:rPr>
        <w:t> </w:t>
      </w:r>
      <w:r>
        <w:rPr>
          <w:spacing w:val="-2"/>
        </w:rPr>
        <w:t>about</w:t>
      </w:r>
      <w:r>
        <w:rPr>
          <w:spacing w:val="-7"/>
        </w:rPr>
        <w:t> </w:t>
      </w:r>
      <w:r>
        <w:rPr>
          <w:spacing w:val="-2"/>
        </w:rPr>
        <w:t>her</w:t>
      </w:r>
      <w:r>
        <w:rPr>
          <w:spacing w:val="-6"/>
        </w:rPr>
        <w:t> </w:t>
      </w:r>
      <w:r>
        <w:rPr>
          <w:spacing w:val="-2"/>
        </w:rPr>
        <w:t>power</w:t>
      </w:r>
      <w:r>
        <w:rPr>
          <w:spacing w:val="-6"/>
        </w:rPr>
        <w:t> </w:t>
      </w:r>
      <w:r>
        <w:rPr>
          <w:spacing w:val="-2"/>
        </w:rPr>
        <w:t>or</w:t>
      </w:r>
      <w:r>
        <w:rPr>
          <w:spacing w:val="-6"/>
        </w:rPr>
        <w:t> </w:t>
      </w:r>
      <w:r>
        <w:rPr>
          <w:spacing w:val="-2"/>
        </w:rPr>
        <w:t>weakness, </w:t>
      </w:r>
      <w:r>
        <w:rPr/>
        <w:t>which</w:t>
      </w:r>
      <w:r>
        <w:rPr>
          <w:spacing w:val="-13"/>
        </w:rPr>
        <w:t> </w:t>
      </w:r>
      <w:r>
        <w:rPr/>
        <w:t>is</w:t>
      </w:r>
      <w:r>
        <w:rPr>
          <w:spacing w:val="-12"/>
        </w:rPr>
        <w:t> </w:t>
      </w:r>
      <w:r>
        <w:rPr/>
        <w:t>a</w:t>
      </w:r>
      <w:r>
        <w:rPr>
          <w:spacing w:val="-13"/>
        </w:rPr>
        <w:t> </w:t>
      </w:r>
      <w:r>
        <w:rPr/>
        <w:t>clear</w:t>
      </w:r>
      <w:r>
        <w:rPr>
          <w:spacing w:val="-12"/>
        </w:rPr>
        <w:t> </w:t>
      </w:r>
      <w:r>
        <w:rPr/>
        <w:t>indication</w:t>
      </w:r>
      <w:r>
        <w:rPr>
          <w:spacing w:val="-13"/>
        </w:rPr>
        <w:t> </w:t>
      </w:r>
      <w:r>
        <w:rPr/>
        <w:t>of</w:t>
      </w:r>
      <w:r>
        <w:rPr>
          <w:spacing w:val="-12"/>
        </w:rPr>
        <w:t> </w:t>
      </w:r>
      <w:r>
        <w:rPr/>
        <w:t>the</w:t>
      </w:r>
      <w:r>
        <w:rPr>
          <w:spacing w:val="-13"/>
        </w:rPr>
        <w:t> </w:t>
      </w:r>
      <w:r>
        <w:rPr/>
        <w:t>emotional</w:t>
      </w:r>
      <w:r>
        <w:rPr>
          <w:spacing w:val="-12"/>
        </w:rPr>
        <w:t> </w:t>
      </w:r>
      <w:r>
        <w:rPr/>
        <w:t>damage</w:t>
      </w:r>
      <w:r>
        <w:rPr>
          <w:spacing w:val="-13"/>
        </w:rPr>
        <w:t> </w:t>
      </w:r>
      <w:r>
        <w:rPr/>
        <w:t>caused</w:t>
      </w:r>
      <w:r>
        <w:rPr>
          <w:spacing w:val="-12"/>
        </w:rPr>
        <w:t> </w:t>
      </w:r>
      <w:r>
        <w:rPr/>
        <w:t>by</w:t>
      </w:r>
      <w:r>
        <w:rPr>
          <w:spacing w:val="-13"/>
        </w:rPr>
        <w:t> </w:t>
      </w:r>
      <w:r>
        <w:rPr/>
        <w:t>patriarchal </w:t>
      </w:r>
      <w:r>
        <w:rPr>
          <w:spacing w:val="-2"/>
        </w:rPr>
        <w:t>systems.</w:t>
      </w:r>
    </w:p>
    <w:p>
      <w:pPr>
        <w:pStyle w:val="Heading3"/>
      </w:pPr>
      <w:r>
        <w:rPr>
          <w:w w:val="85"/>
        </w:rPr>
        <w:t>SILENT</w:t>
      </w:r>
      <w:r>
        <w:rPr>
          <w:spacing w:val="31"/>
        </w:rPr>
        <w:t> </w:t>
      </w:r>
      <w:r>
        <w:rPr>
          <w:w w:val="85"/>
        </w:rPr>
        <w:t>STRENGTH:</w:t>
      </w:r>
      <w:r>
        <w:rPr>
          <w:spacing w:val="33"/>
        </w:rPr>
        <w:t> </w:t>
      </w:r>
      <w:r>
        <w:rPr>
          <w:w w:val="85"/>
        </w:rPr>
        <w:t>CORDELIA</w:t>
      </w:r>
      <w:r>
        <w:rPr>
          <w:spacing w:val="32"/>
        </w:rPr>
        <w:t> </w:t>
      </w:r>
      <w:r>
        <w:rPr>
          <w:w w:val="85"/>
        </w:rPr>
        <w:t>AND</w:t>
      </w:r>
      <w:r>
        <w:rPr>
          <w:spacing w:val="31"/>
        </w:rPr>
        <w:t> </w:t>
      </w:r>
      <w:r>
        <w:rPr>
          <w:spacing w:val="-2"/>
          <w:w w:val="85"/>
        </w:rPr>
        <w:t>HELENA:</w:t>
      </w:r>
    </w:p>
    <w:p>
      <w:pPr>
        <w:pStyle w:val="BodyText"/>
        <w:spacing w:line="249" w:lineRule="auto" w:before="77"/>
        <w:ind w:right="1439" w:firstLine="432"/>
        <w:jc w:val="both"/>
      </w:pPr>
      <w:r>
        <w:rPr/>
        <w:t>The character of Cordelia is a prime example of how silence can be misinterpreted as passiveness, but actually serves as repression within petty society. Unlike other female characters that are forced to remain silent, Cordelia deliberately chooses restraint, choosing instead to</w:t>
      </w:r>
      <w:r>
        <w:rPr>
          <w:spacing w:val="-1"/>
        </w:rPr>
        <w:t> </w:t>
      </w:r>
      <w:r>
        <w:rPr/>
        <w:t>participate</w:t>
      </w:r>
      <w:r>
        <w:rPr>
          <w:spacing w:val="-1"/>
        </w:rPr>
        <w:t> </w:t>
      </w:r>
      <w:r>
        <w:rPr/>
        <w:t>in</w:t>
      </w:r>
      <w:r>
        <w:rPr>
          <w:spacing w:val="-1"/>
        </w:rPr>
        <w:t> </w:t>
      </w:r>
      <w:r>
        <w:rPr/>
        <w:t>Lear’s</w:t>
      </w:r>
      <w:r>
        <w:rPr>
          <w:spacing w:val="-2"/>
        </w:rPr>
        <w:t> </w:t>
      </w:r>
      <w:r>
        <w:rPr/>
        <w:t>per</w:t>
      </w:r>
      <w:r>
        <w:rPr>
          <w:spacing w:val="-1"/>
        </w:rPr>
        <w:t> </w:t>
      </w:r>
      <w:r>
        <w:rPr/>
        <w:t>formative</w:t>
      </w:r>
      <w:r>
        <w:rPr>
          <w:spacing w:val="-4"/>
        </w:rPr>
        <w:t> </w:t>
      </w:r>
      <w:r>
        <w:rPr/>
        <w:t>display</w:t>
      </w:r>
      <w:r>
        <w:rPr>
          <w:spacing w:val="-4"/>
        </w:rPr>
        <w:t> </w:t>
      </w:r>
      <w:r>
        <w:rPr/>
        <w:t>of</w:t>
      </w:r>
      <w:r>
        <w:rPr>
          <w:spacing w:val="-2"/>
        </w:rPr>
        <w:t> </w:t>
      </w:r>
      <w:r>
        <w:rPr/>
        <w:t>affection.</w:t>
      </w:r>
      <w:r>
        <w:rPr>
          <w:spacing w:val="-2"/>
        </w:rPr>
        <w:t> </w:t>
      </w:r>
      <w:r>
        <w:rPr/>
        <w:t>But</w:t>
      </w:r>
      <w:r>
        <w:rPr>
          <w:spacing w:val="-3"/>
        </w:rPr>
        <w:t> </w:t>
      </w:r>
      <w:r>
        <w:rPr/>
        <w:t>the act</w:t>
      </w:r>
      <w:r>
        <w:rPr>
          <w:spacing w:val="-1"/>
        </w:rPr>
        <w:t> </w:t>
      </w:r>
      <w:r>
        <w:rPr/>
        <w:t>of honesty leads to her rejection, and patriarchal systems often punish women who don’t fit in with their emotions. “.</w:t>
      </w:r>
    </w:p>
    <w:p>
      <w:pPr>
        <w:pStyle w:val="BodyText"/>
        <w:spacing w:line="249" w:lineRule="auto" w:before="64"/>
        <w:ind w:right="1441" w:firstLine="432"/>
        <w:jc w:val="both"/>
      </w:pPr>
      <w:r>
        <w:rPr/>
        <w:t>A feminist perspective points out the absence of a clear female voice, which is evident in Cordelia’s position. Despite her denial, she fails</w:t>
      </w:r>
      <w:r>
        <w:rPr>
          <w:spacing w:val="-8"/>
        </w:rPr>
        <w:t> </w:t>
      </w:r>
      <w:r>
        <w:rPr/>
        <w:t>to</w:t>
      </w:r>
      <w:r>
        <w:rPr>
          <w:spacing w:val="-5"/>
        </w:rPr>
        <w:t> </w:t>
      </w:r>
      <w:r>
        <w:rPr/>
        <w:t>live</w:t>
      </w:r>
      <w:r>
        <w:rPr>
          <w:spacing w:val="-7"/>
        </w:rPr>
        <w:t> </w:t>
      </w:r>
      <w:r>
        <w:rPr/>
        <w:t>up</w:t>
      </w:r>
      <w:r>
        <w:rPr>
          <w:spacing w:val="-7"/>
        </w:rPr>
        <w:t> </w:t>
      </w:r>
      <w:r>
        <w:rPr/>
        <w:t>to</w:t>
      </w:r>
      <w:r>
        <w:rPr>
          <w:spacing w:val="-5"/>
        </w:rPr>
        <w:t> </w:t>
      </w:r>
      <w:r>
        <w:rPr/>
        <w:t>the</w:t>
      </w:r>
      <w:r>
        <w:rPr>
          <w:spacing w:val="-7"/>
        </w:rPr>
        <w:t> </w:t>
      </w:r>
      <w:r>
        <w:rPr/>
        <w:t>expectations</w:t>
      </w:r>
      <w:r>
        <w:rPr>
          <w:spacing w:val="-9"/>
        </w:rPr>
        <w:t> </w:t>
      </w:r>
      <w:r>
        <w:rPr/>
        <w:t>of</w:t>
      </w:r>
      <w:r>
        <w:rPr>
          <w:spacing w:val="-9"/>
        </w:rPr>
        <w:t> </w:t>
      </w:r>
      <w:r>
        <w:rPr/>
        <w:t>her</w:t>
      </w:r>
      <w:r>
        <w:rPr>
          <w:spacing w:val="-5"/>
        </w:rPr>
        <w:t> </w:t>
      </w:r>
      <w:r>
        <w:rPr/>
        <w:t>own</w:t>
      </w:r>
      <w:r>
        <w:rPr>
          <w:spacing w:val="-9"/>
        </w:rPr>
        <w:t> </w:t>
      </w:r>
      <w:r>
        <w:rPr/>
        <w:t>love,</w:t>
      </w:r>
      <w:r>
        <w:rPr>
          <w:spacing w:val="-5"/>
        </w:rPr>
        <w:t> </w:t>
      </w:r>
      <w:r>
        <w:rPr/>
        <w:t>but</w:t>
      </w:r>
      <w:r>
        <w:rPr>
          <w:spacing w:val="-8"/>
        </w:rPr>
        <w:t> </w:t>
      </w:r>
      <w:r>
        <w:rPr/>
        <w:t>instead</w:t>
      </w:r>
      <w:r>
        <w:rPr>
          <w:spacing w:val="-7"/>
        </w:rPr>
        <w:t> </w:t>
      </w:r>
      <w:r>
        <w:rPr>
          <w:spacing w:val="-2"/>
        </w:rPr>
        <w:t>succumbs</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6384">
                <wp:simplePos x="0" y="0"/>
                <wp:positionH relativeFrom="page">
                  <wp:posOffset>2065020</wp:posOffset>
                </wp:positionH>
                <wp:positionV relativeFrom="paragraph">
                  <wp:posOffset>795020</wp:posOffset>
                </wp:positionV>
                <wp:extent cx="3657600" cy="12700"/>
                <wp:effectExtent l="0" t="0" r="0" b="0"/>
                <wp:wrapTopAndBottom/>
                <wp:docPr id="344" name="Graphic 344"/>
                <wp:cNvGraphicFramePr>
                  <a:graphicFrameLocks/>
                </wp:cNvGraphicFramePr>
                <a:graphic>
                  <a:graphicData uri="http://schemas.microsoft.com/office/word/2010/wordprocessingShape">
                    <wps:wsp>
                      <wps:cNvPr id="344" name="Graphic 34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20096;mso-wrap-distance-left:0;mso-wrap-distance-right:0" id="docshape340" filled="true" fillcolor="#000000" stroked="false">
                <v:fill type="solid"/>
                <w10:wrap type="topAndBottom"/>
              </v:rect>
            </w:pict>
          </mc:Fallback>
        </mc:AlternateContent>
      </w:r>
      <w:r>
        <w:rPr>
          <w:rFonts w:ascii="Verdana"/>
          <w:sz w:val="18"/>
        </w:rPr>
        <w:t>Madness</w:t>
      </w:r>
      <w:r>
        <w:rPr>
          <w:rFonts w:ascii="Verdana"/>
          <w:spacing w:val="-7"/>
          <w:sz w:val="18"/>
        </w:rPr>
        <w:t> </w:t>
      </w:r>
      <w:r>
        <w:rPr>
          <w:rFonts w:ascii="Verdana"/>
          <w:sz w:val="18"/>
        </w:rPr>
        <w:t>as</w:t>
      </w:r>
      <w:r>
        <w:rPr>
          <w:rFonts w:ascii="Verdana"/>
          <w:spacing w:val="-7"/>
          <w:sz w:val="18"/>
        </w:rPr>
        <w:t> </w:t>
      </w:r>
      <w:r>
        <w:rPr>
          <w:rFonts w:ascii="Verdana"/>
          <w:sz w:val="18"/>
        </w:rPr>
        <w:t>A</w:t>
      </w:r>
      <w:r>
        <w:rPr>
          <w:rFonts w:ascii="Verdana"/>
          <w:spacing w:val="-11"/>
          <w:sz w:val="18"/>
        </w:rPr>
        <w:t> </w:t>
      </w:r>
      <w:r>
        <w:rPr>
          <w:rFonts w:ascii="Verdana"/>
          <w:sz w:val="18"/>
        </w:rPr>
        <w:t>Social</w:t>
      </w:r>
      <w:r>
        <w:rPr>
          <w:rFonts w:ascii="Verdana"/>
          <w:spacing w:val="-7"/>
          <w:sz w:val="18"/>
        </w:rPr>
        <w:t> </w:t>
      </w:r>
      <w:r>
        <w:rPr>
          <w:rFonts w:ascii="Verdana"/>
          <w:sz w:val="18"/>
        </w:rPr>
        <w:t>Construction:</w:t>
      </w:r>
      <w:r>
        <w:rPr>
          <w:rFonts w:ascii="Verdana"/>
          <w:spacing w:val="-8"/>
          <w:sz w:val="18"/>
        </w:rPr>
        <w:t> </w:t>
      </w:r>
      <w:r>
        <w:rPr>
          <w:rFonts w:ascii="Verdana"/>
          <w:sz w:val="18"/>
        </w:rPr>
        <w:t>Trauma,</w:t>
      </w:r>
      <w:r>
        <w:rPr>
          <w:rFonts w:ascii="Verdana"/>
          <w:spacing w:val="-7"/>
          <w:sz w:val="18"/>
        </w:rPr>
        <w:t> </w:t>
      </w:r>
      <w:r>
        <w:rPr>
          <w:rFonts w:ascii="Verdana"/>
          <w:sz w:val="18"/>
        </w:rPr>
        <w:t>Guilt</w:t>
      </w:r>
      <w:r>
        <w:rPr>
          <w:rFonts w:ascii="Verdana"/>
          <w:spacing w:val="-6"/>
          <w:sz w:val="18"/>
        </w:rPr>
        <w:t> </w:t>
      </w:r>
      <w:r>
        <w:rPr>
          <w:rFonts w:ascii="Verdana"/>
          <w:spacing w:val="-5"/>
          <w:sz w:val="18"/>
        </w:rPr>
        <w:t>...</w:t>
      </w:r>
      <w:r>
        <w:rPr>
          <w:sz w:val="18"/>
        </w:rPr>
        <w:tab/>
      </w:r>
      <w:r>
        <w:rPr>
          <w:rFonts w:ascii="Verdana"/>
          <w:spacing w:val="-5"/>
          <w:sz w:val="18"/>
        </w:rPr>
        <w:t>125</w:t>
      </w:r>
    </w:p>
    <w:p>
      <w:pPr>
        <w:pStyle w:val="BodyText"/>
        <w:spacing w:line="249" w:lineRule="auto" w:before="192"/>
        <w:ind w:right="1439"/>
        <w:jc w:val="both"/>
      </w:pPr>
      <w:r>
        <w:rPr>
          <w:spacing w:val="-2"/>
        </w:rPr>
        <w:t>to exclusion and identity-defecation within</w:t>
      </w:r>
      <w:r>
        <w:rPr>
          <w:spacing w:val="-5"/>
        </w:rPr>
        <w:t> </w:t>
      </w:r>
      <w:r>
        <w:rPr>
          <w:spacing w:val="-2"/>
        </w:rPr>
        <w:t>the family</w:t>
      </w:r>
      <w:r>
        <w:rPr>
          <w:spacing w:val="-7"/>
        </w:rPr>
        <w:t> </w:t>
      </w:r>
      <w:r>
        <w:rPr>
          <w:spacing w:val="-2"/>
        </w:rPr>
        <w:t>unit. In</w:t>
      </w:r>
      <w:r>
        <w:rPr>
          <w:spacing w:val="-5"/>
        </w:rPr>
        <w:t> </w:t>
      </w:r>
      <w:r>
        <w:rPr>
          <w:spacing w:val="-2"/>
        </w:rPr>
        <w:t>accordance </w:t>
      </w:r>
      <w:r>
        <w:rPr/>
        <w:t>with</w:t>
      </w:r>
      <w:r>
        <w:rPr>
          <w:spacing w:val="-13"/>
        </w:rPr>
        <w:t> </w:t>
      </w:r>
      <w:r>
        <w:rPr/>
        <w:t>feminist</w:t>
      </w:r>
      <w:r>
        <w:rPr>
          <w:spacing w:val="-12"/>
        </w:rPr>
        <w:t> </w:t>
      </w:r>
      <w:r>
        <w:rPr/>
        <w:t>theory,</w:t>
      </w:r>
      <w:r>
        <w:rPr>
          <w:spacing w:val="-11"/>
        </w:rPr>
        <w:t> </w:t>
      </w:r>
      <w:r>
        <w:rPr/>
        <w:t>women</w:t>
      </w:r>
      <w:r>
        <w:rPr>
          <w:spacing w:val="-12"/>
        </w:rPr>
        <w:t> </w:t>
      </w:r>
      <w:r>
        <w:rPr/>
        <w:t>are</w:t>
      </w:r>
      <w:r>
        <w:rPr>
          <w:spacing w:val="-13"/>
        </w:rPr>
        <w:t> </w:t>
      </w:r>
      <w:r>
        <w:rPr/>
        <w:t>often</w:t>
      </w:r>
      <w:r>
        <w:rPr>
          <w:spacing w:val="-12"/>
        </w:rPr>
        <w:t> </w:t>
      </w:r>
      <w:r>
        <w:rPr/>
        <w:t>obligated</w:t>
      </w:r>
      <w:r>
        <w:rPr>
          <w:spacing w:val="-11"/>
        </w:rPr>
        <w:t> </w:t>
      </w:r>
      <w:r>
        <w:rPr/>
        <w:t>to</w:t>
      </w:r>
      <w:r>
        <w:rPr>
          <w:spacing w:val="-11"/>
        </w:rPr>
        <w:t> </w:t>
      </w:r>
      <w:r>
        <w:rPr/>
        <w:t>express</w:t>
      </w:r>
      <w:r>
        <w:rPr>
          <w:spacing w:val="-12"/>
        </w:rPr>
        <w:t> </w:t>
      </w:r>
      <w:r>
        <w:rPr/>
        <w:t>emotions</w:t>
      </w:r>
      <w:r>
        <w:rPr>
          <w:spacing w:val="-13"/>
        </w:rPr>
        <w:t> </w:t>
      </w:r>
      <w:r>
        <w:rPr/>
        <w:t>and </w:t>
      </w:r>
      <w:r>
        <w:rPr>
          <w:spacing w:val="-4"/>
        </w:rPr>
        <w:t>engage</w:t>
      </w:r>
      <w:r>
        <w:rPr>
          <w:spacing w:val="-7"/>
        </w:rPr>
        <w:t> </w:t>
      </w:r>
      <w:r>
        <w:rPr>
          <w:spacing w:val="-4"/>
        </w:rPr>
        <w:t>in</w:t>
      </w:r>
      <w:r>
        <w:rPr>
          <w:spacing w:val="-8"/>
        </w:rPr>
        <w:t> </w:t>
      </w:r>
      <w:r>
        <w:rPr>
          <w:spacing w:val="-4"/>
        </w:rPr>
        <w:t>socially</w:t>
      </w:r>
      <w:r>
        <w:rPr>
          <w:spacing w:val="-9"/>
        </w:rPr>
        <w:t> </w:t>
      </w:r>
      <w:r>
        <w:rPr>
          <w:spacing w:val="-4"/>
        </w:rPr>
        <w:t>acceptable</w:t>
      </w:r>
      <w:r>
        <w:rPr>
          <w:spacing w:val="-5"/>
        </w:rPr>
        <w:t> </w:t>
      </w:r>
      <w:r>
        <w:rPr>
          <w:spacing w:val="-4"/>
        </w:rPr>
        <w:t>emotional</w:t>
      </w:r>
      <w:r>
        <w:rPr>
          <w:spacing w:val="-7"/>
        </w:rPr>
        <w:t> </w:t>
      </w:r>
      <w:r>
        <w:rPr>
          <w:spacing w:val="-4"/>
        </w:rPr>
        <w:t>activities.</w:t>
      </w:r>
      <w:r>
        <w:rPr>
          <w:spacing w:val="-8"/>
        </w:rPr>
        <w:t> </w:t>
      </w:r>
      <w:r>
        <w:rPr>
          <w:spacing w:val="-4"/>
        </w:rPr>
        <w:t>(Hocks</w:t>
      </w:r>
      <w:r>
        <w:rPr>
          <w:spacing w:val="-5"/>
        </w:rPr>
        <w:t> </w:t>
      </w:r>
      <w:r>
        <w:rPr>
          <w:spacing w:val="-4"/>
        </w:rPr>
        <w:t>2000) Cordelia’s </w:t>
      </w:r>
      <w:r>
        <w:rPr/>
        <w:t>opposition to this performance makes her both morally strong and socially</w:t>
      </w:r>
      <w:r>
        <w:rPr>
          <w:spacing w:val="33"/>
        </w:rPr>
        <w:t> </w:t>
      </w:r>
      <w:r>
        <w:rPr/>
        <w:t>vulnerable.</w:t>
      </w:r>
      <w:r>
        <w:rPr>
          <w:spacing w:val="35"/>
        </w:rPr>
        <w:t> </w:t>
      </w:r>
      <w:r>
        <w:rPr/>
        <w:t>This</w:t>
      </w:r>
      <w:r>
        <w:rPr>
          <w:spacing w:val="38"/>
        </w:rPr>
        <w:t> </w:t>
      </w:r>
      <w:r>
        <w:rPr/>
        <w:t>is</w:t>
      </w:r>
      <w:r>
        <w:rPr>
          <w:spacing w:val="38"/>
        </w:rPr>
        <w:t> </w:t>
      </w:r>
      <w:r>
        <w:rPr/>
        <w:t>a</w:t>
      </w:r>
      <w:r>
        <w:rPr>
          <w:spacing w:val="35"/>
        </w:rPr>
        <w:t> </w:t>
      </w:r>
      <w:r>
        <w:rPr/>
        <w:t>form</w:t>
      </w:r>
      <w:r>
        <w:rPr>
          <w:spacing w:val="33"/>
        </w:rPr>
        <w:t> </w:t>
      </w:r>
      <w:r>
        <w:rPr/>
        <w:t>of</w:t>
      </w:r>
      <w:r>
        <w:rPr>
          <w:spacing w:val="38"/>
        </w:rPr>
        <w:t> </w:t>
      </w:r>
      <w:r>
        <w:rPr/>
        <w:t>resistance</w:t>
      </w:r>
      <w:r>
        <w:rPr>
          <w:spacing w:val="39"/>
        </w:rPr>
        <w:t> </w:t>
      </w:r>
      <w:r>
        <w:rPr/>
        <w:t>against</w:t>
      </w:r>
      <w:r>
        <w:rPr>
          <w:spacing w:val="35"/>
        </w:rPr>
        <w:t> </w:t>
      </w:r>
      <w:r>
        <w:rPr/>
        <w:t>the</w:t>
      </w:r>
      <w:r>
        <w:rPr>
          <w:spacing w:val="38"/>
        </w:rPr>
        <w:t> </w:t>
      </w:r>
      <w:r>
        <w:rPr/>
        <w:t>system.</w:t>
      </w:r>
    </w:p>
    <w:p>
      <w:pPr>
        <w:pStyle w:val="BodyText"/>
        <w:spacing w:line="249" w:lineRule="auto" w:before="62"/>
        <w:ind w:right="1440" w:firstLine="432"/>
        <w:jc w:val="both"/>
      </w:pPr>
      <w:r>
        <w:rPr/>
        <w:t>Her silence can be interpreted psychologically as an emotional response</w:t>
      </w:r>
      <w:r>
        <w:rPr>
          <w:spacing w:val="-4"/>
        </w:rPr>
        <w:t> </w:t>
      </w:r>
      <w:r>
        <w:rPr/>
        <w:t>rather than</w:t>
      </w:r>
      <w:r>
        <w:rPr>
          <w:spacing w:val="-5"/>
        </w:rPr>
        <w:t> </w:t>
      </w:r>
      <w:r>
        <w:rPr/>
        <w:t>a</w:t>
      </w:r>
      <w:r>
        <w:rPr>
          <w:spacing w:val="-1"/>
        </w:rPr>
        <w:t> </w:t>
      </w:r>
      <w:r>
        <w:rPr/>
        <w:t>suppression</w:t>
      </w:r>
      <w:r>
        <w:rPr>
          <w:spacing w:val="-3"/>
        </w:rPr>
        <w:t> </w:t>
      </w:r>
      <w:r>
        <w:rPr/>
        <w:t>attempt.</w:t>
      </w:r>
      <w:r>
        <w:rPr>
          <w:spacing w:val="-3"/>
        </w:rPr>
        <w:t> </w:t>
      </w:r>
      <w:r>
        <w:rPr/>
        <w:t>While</w:t>
      </w:r>
      <w:r>
        <w:rPr>
          <w:spacing w:val="-4"/>
        </w:rPr>
        <w:t> </w:t>
      </w:r>
      <w:r>
        <w:rPr/>
        <w:t>Ophelia’s</w:t>
      </w:r>
      <w:r>
        <w:rPr>
          <w:spacing w:val="-3"/>
        </w:rPr>
        <w:t> </w:t>
      </w:r>
      <w:r>
        <w:rPr/>
        <w:t>silence</w:t>
      </w:r>
      <w:r>
        <w:rPr>
          <w:spacing w:val="-3"/>
        </w:rPr>
        <w:t> </w:t>
      </w:r>
      <w:r>
        <w:rPr/>
        <w:t>can lead to confusion and disintegration, Cordelia remains true to herself. But this doesn’t mean she can’t go through pain because she goes through emotional pain and this is embedded in her mind which shows that even if someone resists a patriarchal system, they are still dealing with psychological damage. The theory of trauma has been discussed</w:t>
      </w:r>
      <w:r>
        <w:rPr>
          <w:spacing w:val="80"/>
        </w:rPr>
        <w:t> </w:t>
      </w:r>
      <w:r>
        <w:rPr/>
        <w:t>in regard to Cordelia’s trauma from being abandoned by her father and the</w:t>
      </w:r>
      <w:r>
        <w:rPr>
          <w:spacing w:val="-4"/>
        </w:rPr>
        <w:t> </w:t>
      </w:r>
      <w:r>
        <w:rPr/>
        <w:t>way</w:t>
      </w:r>
      <w:r>
        <w:rPr>
          <w:spacing w:val="-12"/>
        </w:rPr>
        <w:t> </w:t>
      </w:r>
      <w:r>
        <w:rPr/>
        <w:t>that</w:t>
      </w:r>
      <w:r>
        <w:rPr>
          <w:spacing w:val="-7"/>
        </w:rPr>
        <w:t> </w:t>
      </w:r>
      <w:r>
        <w:rPr/>
        <w:t>trauma</w:t>
      </w:r>
      <w:r>
        <w:rPr>
          <w:spacing w:val="-7"/>
        </w:rPr>
        <w:t> </w:t>
      </w:r>
      <w:r>
        <w:rPr/>
        <w:t>impacts</w:t>
      </w:r>
      <w:r>
        <w:rPr>
          <w:spacing w:val="-7"/>
        </w:rPr>
        <w:t> </w:t>
      </w:r>
      <w:r>
        <w:rPr/>
        <w:t>her</w:t>
      </w:r>
      <w:r>
        <w:rPr>
          <w:spacing w:val="-7"/>
        </w:rPr>
        <w:t> </w:t>
      </w:r>
      <w:r>
        <w:rPr/>
        <w:t>life;</w:t>
      </w:r>
      <w:r>
        <w:rPr>
          <w:spacing w:val="-6"/>
        </w:rPr>
        <w:t> </w:t>
      </w:r>
      <w:r>
        <w:rPr/>
        <w:t>this</w:t>
      </w:r>
      <w:r>
        <w:rPr>
          <w:spacing w:val="-7"/>
        </w:rPr>
        <w:t> </w:t>
      </w:r>
      <w:r>
        <w:rPr/>
        <w:t>trauma</w:t>
      </w:r>
      <w:r>
        <w:rPr>
          <w:spacing w:val="-7"/>
        </w:rPr>
        <w:t> </w:t>
      </w:r>
      <w:r>
        <w:rPr/>
        <w:t>changes</w:t>
      </w:r>
      <w:r>
        <w:rPr>
          <w:spacing w:val="-7"/>
        </w:rPr>
        <w:t> </w:t>
      </w:r>
      <w:r>
        <w:rPr/>
        <w:t>how</w:t>
      </w:r>
      <w:r>
        <w:rPr>
          <w:spacing w:val="-12"/>
        </w:rPr>
        <w:t> </w:t>
      </w:r>
      <w:r>
        <w:rPr/>
        <w:t>she</w:t>
      </w:r>
      <w:r>
        <w:rPr>
          <w:spacing w:val="-4"/>
        </w:rPr>
        <w:t> </w:t>
      </w:r>
      <w:r>
        <w:rPr/>
        <w:t>views identity and belonging from being rejected by her father. She remains emotionally “pure” compared to the other characters and is not broken by the</w:t>
      </w:r>
      <w:r>
        <w:rPr>
          <w:spacing w:val="16"/>
        </w:rPr>
        <w:t> </w:t>
      </w:r>
      <w:r>
        <w:rPr/>
        <w:t>patriarchal pressure</w:t>
      </w:r>
      <w:r>
        <w:rPr>
          <w:spacing w:val="17"/>
        </w:rPr>
        <w:t> </w:t>
      </w:r>
      <w:r>
        <w:rPr/>
        <w:t>that</w:t>
      </w:r>
      <w:r>
        <w:rPr>
          <w:spacing w:val="17"/>
        </w:rPr>
        <w:t> </w:t>
      </w:r>
      <w:r>
        <w:rPr/>
        <w:t>has</w:t>
      </w:r>
      <w:r>
        <w:rPr>
          <w:spacing w:val="16"/>
        </w:rPr>
        <w:t> </w:t>
      </w:r>
      <w:r>
        <w:rPr/>
        <w:t>been</w:t>
      </w:r>
      <w:r>
        <w:rPr>
          <w:spacing w:val="16"/>
        </w:rPr>
        <w:t> </w:t>
      </w:r>
      <w:r>
        <w:rPr/>
        <w:t>placed</w:t>
      </w:r>
      <w:r>
        <w:rPr>
          <w:spacing w:val="18"/>
        </w:rPr>
        <w:t> </w:t>
      </w:r>
      <w:r>
        <w:rPr/>
        <w:t>on her,</w:t>
      </w:r>
      <w:r>
        <w:rPr>
          <w:spacing w:val="16"/>
        </w:rPr>
        <w:t> </w:t>
      </w:r>
      <w:r>
        <w:rPr/>
        <w:t>but rather</w:t>
      </w:r>
      <w:r>
        <w:rPr>
          <w:spacing w:val="17"/>
        </w:rPr>
        <w:t> </w:t>
      </w:r>
      <w:r>
        <w:rPr/>
        <w:t>she is</w:t>
      </w:r>
      <w:r>
        <w:rPr>
          <w:spacing w:val="-7"/>
        </w:rPr>
        <w:t> </w:t>
      </w:r>
      <w:r>
        <w:rPr/>
        <w:t>an</w:t>
      </w:r>
      <w:r>
        <w:rPr>
          <w:spacing w:val="-9"/>
        </w:rPr>
        <w:t> </w:t>
      </w:r>
      <w:r>
        <w:rPr/>
        <w:t>example</w:t>
      </w:r>
      <w:r>
        <w:rPr>
          <w:spacing w:val="-7"/>
        </w:rPr>
        <w:t> </w:t>
      </w:r>
      <w:r>
        <w:rPr/>
        <w:t>of</w:t>
      </w:r>
      <w:r>
        <w:rPr>
          <w:spacing w:val="-5"/>
        </w:rPr>
        <w:t> </w:t>
      </w:r>
      <w:r>
        <w:rPr/>
        <w:t>quietly</w:t>
      </w:r>
      <w:r>
        <w:rPr>
          <w:spacing w:val="-11"/>
        </w:rPr>
        <w:t> </w:t>
      </w:r>
      <w:r>
        <w:rPr/>
        <w:t>suffering</w:t>
      </w:r>
      <w:r>
        <w:rPr>
          <w:spacing w:val="-7"/>
        </w:rPr>
        <w:t> </w:t>
      </w:r>
      <w:r>
        <w:rPr/>
        <w:t>from</w:t>
      </w:r>
      <w:r>
        <w:rPr>
          <w:spacing w:val="-10"/>
        </w:rPr>
        <w:t> </w:t>
      </w:r>
      <w:r>
        <w:rPr/>
        <w:t>this</w:t>
      </w:r>
      <w:r>
        <w:rPr>
          <w:spacing w:val="-7"/>
        </w:rPr>
        <w:t> </w:t>
      </w:r>
      <w:r>
        <w:rPr/>
        <w:t>pressure.</w:t>
      </w:r>
      <w:r>
        <w:rPr>
          <w:spacing w:val="-7"/>
        </w:rPr>
        <w:t> </w:t>
      </w:r>
      <w:r>
        <w:rPr/>
        <w:t>The</w:t>
      </w:r>
      <w:r>
        <w:rPr>
          <w:spacing w:val="-5"/>
        </w:rPr>
        <w:t> </w:t>
      </w:r>
      <w:r>
        <w:rPr/>
        <w:t>ways</w:t>
      </w:r>
      <w:r>
        <w:rPr>
          <w:spacing w:val="-7"/>
        </w:rPr>
        <w:t> </w:t>
      </w:r>
      <w:r>
        <w:rPr/>
        <w:t>in</w:t>
      </w:r>
      <w:r>
        <w:rPr>
          <w:spacing w:val="-7"/>
        </w:rPr>
        <w:t> </w:t>
      </w:r>
      <w:r>
        <w:rPr/>
        <w:t>which we typically read silence as an expression of weakness or acceptance does not apply to Cordelia; her silence does not indicate that she is weak, nor does it indicate that she is complacent, but rather her silence is</w:t>
      </w:r>
      <w:r>
        <w:rPr>
          <w:spacing w:val="-11"/>
        </w:rPr>
        <w:t> </w:t>
      </w:r>
      <w:r>
        <w:rPr/>
        <w:t>a</w:t>
      </w:r>
      <w:r>
        <w:rPr>
          <w:spacing w:val="-7"/>
        </w:rPr>
        <w:t> </w:t>
      </w:r>
      <w:r>
        <w:rPr/>
        <w:t>significant</w:t>
      </w:r>
      <w:r>
        <w:rPr>
          <w:spacing w:val="-10"/>
        </w:rPr>
        <w:t> </w:t>
      </w:r>
      <w:r>
        <w:rPr/>
        <w:t>expression</w:t>
      </w:r>
      <w:r>
        <w:rPr>
          <w:spacing w:val="-10"/>
        </w:rPr>
        <w:t> </w:t>
      </w:r>
      <w:r>
        <w:rPr/>
        <w:t>of</w:t>
      </w:r>
      <w:r>
        <w:rPr>
          <w:spacing w:val="-11"/>
        </w:rPr>
        <w:t> </w:t>
      </w:r>
      <w:r>
        <w:rPr/>
        <w:t>emotional</w:t>
      </w:r>
      <w:r>
        <w:rPr>
          <w:spacing w:val="-8"/>
        </w:rPr>
        <w:t> </w:t>
      </w:r>
      <w:r>
        <w:rPr/>
        <w:t>resiliency</w:t>
      </w:r>
      <w:r>
        <w:rPr>
          <w:spacing w:val="-12"/>
        </w:rPr>
        <w:t> </w:t>
      </w:r>
      <w:r>
        <w:rPr/>
        <w:t>within</w:t>
      </w:r>
      <w:r>
        <w:rPr>
          <w:spacing w:val="-8"/>
        </w:rPr>
        <w:t> </w:t>
      </w:r>
      <w:r>
        <w:rPr/>
        <w:t>social</w:t>
      </w:r>
      <w:r>
        <w:rPr>
          <w:spacing w:val="-9"/>
        </w:rPr>
        <w:t> </w:t>
      </w:r>
      <w:r>
        <w:rPr>
          <w:spacing w:val="-2"/>
        </w:rPr>
        <w:t>contexts.</w:t>
      </w:r>
    </w:p>
    <w:p>
      <w:pPr>
        <w:pStyle w:val="Heading3"/>
        <w:spacing w:before="167"/>
      </w:pPr>
      <w:r>
        <w:rPr>
          <w:spacing w:val="-2"/>
        </w:rPr>
        <w:t>HELENA:</w:t>
      </w:r>
    </w:p>
    <w:p>
      <w:pPr>
        <w:pStyle w:val="BodyText"/>
        <w:spacing w:line="249" w:lineRule="auto" w:before="76"/>
        <w:ind w:right="1437" w:firstLine="432"/>
        <w:jc w:val="both"/>
      </w:pPr>
      <w:r>
        <w:rPr/>
        <w:t>With her fervent pursuit of her desires, and her challenging of the prevailing</w:t>
      </w:r>
      <w:r>
        <w:rPr>
          <w:spacing w:val="-6"/>
        </w:rPr>
        <w:t> </w:t>
      </w:r>
      <w:r>
        <w:rPr/>
        <w:t>idea</w:t>
      </w:r>
      <w:r>
        <w:rPr>
          <w:spacing w:val="-5"/>
        </w:rPr>
        <w:t> </w:t>
      </w:r>
      <w:r>
        <w:rPr/>
        <w:t>that</w:t>
      </w:r>
      <w:r>
        <w:rPr>
          <w:spacing w:val="-7"/>
        </w:rPr>
        <w:t> </w:t>
      </w:r>
      <w:r>
        <w:rPr/>
        <w:t>women</w:t>
      </w:r>
      <w:r>
        <w:rPr>
          <w:spacing w:val="-6"/>
        </w:rPr>
        <w:t> </w:t>
      </w:r>
      <w:r>
        <w:rPr/>
        <w:t>are</w:t>
      </w:r>
      <w:r>
        <w:rPr>
          <w:spacing w:val="-5"/>
        </w:rPr>
        <w:t> </w:t>
      </w:r>
      <w:r>
        <w:rPr/>
        <w:t>to</w:t>
      </w:r>
      <w:r>
        <w:rPr>
          <w:spacing w:val="-4"/>
        </w:rPr>
        <w:t> </w:t>
      </w:r>
      <w:r>
        <w:rPr/>
        <w:t>be</w:t>
      </w:r>
      <w:r>
        <w:rPr>
          <w:spacing w:val="-5"/>
        </w:rPr>
        <w:t> </w:t>
      </w:r>
      <w:r>
        <w:rPr/>
        <w:t>passive</w:t>
      </w:r>
      <w:r>
        <w:rPr>
          <w:spacing w:val="-3"/>
        </w:rPr>
        <w:t> </w:t>
      </w:r>
      <w:r>
        <w:rPr/>
        <w:t>regarding</w:t>
      </w:r>
      <w:r>
        <w:rPr>
          <w:spacing w:val="-10"/>
        </w:rPr>
        <w:t> </w:t>
      </w:r>
      <w:r>
        <w:rPr/>
        <w:t>love</w:t>
      </w:r>
      <w:r>
        <w:rPr>
          <w:spacing w:val="-3"/>
        </w:rPr>
        <w:t> </w:t>
      </w:r>
      <w:r>
        <w:rPr/>
        <w:t>and</w:t>
      </w:r>
      <w:r>
        <w:rPr>
          <w:spacing w:val="-3"/>
        </w:rPr>
        <w:t> </w:t>
      </w:r>
      <w:r>
        <w:rPr/>
        <w:t>agency, Helena</w:t>
      </w:r>
      <w:r>
        <w:rPr>
          <w:spacing w:val="-13"/>
        </w:rPr>
        <w:t> </w:t>
      </w:r>
      <w:r>
        <w:rPr/>
        <w:t>represents</w:t>
      </w:r>
      <w:r>
        <w:rPr>
          <w:spacing w:val="-11"/>
        </w:rPr>
        <w:t> </w:t>
      </w:r>
      <w:r>
        <w:rPr/>
        <w:t>a</w:t>
      </w:r>
      <w:r>
        <w:rPr>
          <w:spacing w:val="-11"/>
        </w:rPr>
        <w:t> </w:t>
      </w:r>
      <w:r>
        <w:rPr/>
        <w:t>more</w:t>
      </w:r>
      <w:r>
        <w:rPr>
          <w:spacing w:val="-11"/>
        </w:rPr>
        <w:t> </w:t>
      </w:r>
      <w:r>
        <w:rPr/>
        <w:t>complicated</w:t>
      </w:r>
      <w:r>
        <w:rPr>
          <w:spacing w:val="-10"/>
        </w:rPr>
        <w:t> </w:t>
      </w:r>
      <w:r>
        <w:rPr/>
        <w:t>and</w:t>
      </w:r>
      <w:r>
        <w:rPr>
          <w:spacing w:val="-10"/>
        </w:rPr>
        <w:t> </w:t>
      </w:r>
      <w:r>
        <w:rPr/>
        <w:t>somewhat</w:t>
      </w:r>
      <w:r>
        <w:rPr>
          <w:spacing w:val="-11"/>
        </w:rPr>
        <w:t> </w:t>
      </w:r>
      <w:r>
        <w:rPr/>
        <w:t>contradictory</w:t>
      </w:r>
      <w:r>
        <w:rPr>
          <w:spacing w:val="-13"/>
        </w:rPr>
        <w:t> </w:t>
      </w:r>
      <w:r>
        <w:rPr/>
        <w:t>view of</w:t>
      </w:r>
      <w:r>
        <w:rPr>
          <w:spacing w:val="-4"/>
        </w:rPr>
        <w:t> </w:t>
      </w:r>
      <w:r>
        <w:rPr/>
        <w:t>female</w:t>
      </w:r>
      <w:r>
        <w:rPr>
          <w:spacing w:val="-1"/>
        </w:rPr>
        <w:t> </w:t>
      </w:r>
      <w:r>
        <w:rPr/>
        <w:t>agency</w:t>
      </w:r>
      <w:r>
        <w:rPr>
          <w:spacing w:val="-8"/>
        </w:rPr>
        <w:t> </w:t>
      </w:r>
      <w:r>
        <w:rPr/>
        <w:t>in</w:t>
      </w:r>
      <w:r>
        <w:rPr>
          <w:spacing w:val="-1"/>
        </w:rPr>
        <w:t> </w:t>
      </w:r>
      <w:r>
        <w:rPr/>
        <w:t>a</w:t>
      </w:r>
      <w:r>
        <w:rPr>
          <w:spacing w:val="-4"/>
        </w:rPr>
        <w:t> </w:t>
      </w:r>
      <w:r>
        <w:rPr/>
        <w:t>patriarchal</w:t>
      </w:r>
      <w:r>
        <w:rPr>
          <w:spacing w:val="-1"/>
        </w:rPr>
        <w:t> </w:t>
      </w:r>
      <w:r>
        <w:rPr/>
        <w:t>culture</w:t>
      </w:r>
      <w:r>
        <w:rPr>
          <w:spacing w:val="-3"/>
        </w:rPr>
        <w:t> </w:t>
      </w:r>
      <w:r>
        <w:rPr/>
        <w:t>than</w:t>
      </w:r>
      <w:r>
        <w:rPr>
          <w:spacing w:val="-3"/>
        </w:rPr>
        <w:t> </w:t>
      </w:r>
      <w:r>
        <w:rPr/>
        <w:t>do</w:t>
      </w:r>
      <w:r>
        <w:rPr>
          <w:spacing w:val="-3"/>
        </w:rPr>
        <w:t> </w:t>
      </w:r>
      <w:r>
        <w:rPr/>
        <w:t>the majority</w:t>
      </w:r>
      <w:r>
        <w:rPr>
          <w:spacing w:val="-6"/>
        </w:rPr>
        <w:t> </w:t>
      </w:r>
      <w:r>
        <w:rPr/>
        <w:t>of</w:t>
      </w:r>
      <w:r>
        <w:rPr>
          <w:spacing w:val="-3"/>
        </w:rPr>
        <w:t> </w:t>
      </w:r>
      <w:r>
        <w:rPr/>
        <w:t>women with</w:t>
      </w:r>
      <w:r>
        <w:rPr>
          <w:spacing w:val="-13"/>
        </w:rPr>
        <w:t> </w:t>
      </w:r>
      <w:r>
        <w:rPr/>
        <w:t>in</w:t>
      </w:r>
      <w:r>
        <w:rPr>
          <w:spacing w:val="-12"/>
        </w:rPr>
        <w:t> </w:t>
      </w:r>
      <w:r>
        <w:rPr/>
        <w:t>Shakespeare’s</w:t>
      </w:r>
      <w:r>
        <w:rPr>
          <w:spacing w:val="-13"/>
        </w:rPr>
        <w:t> </w:t>
      </w:r>
      <w:r>
        <w:rPr/>
        <w:t>works.</w:t>
      </w:r>
      <w:r>
        <w:rPr>
          <w:spacing w:val="-12"/>
        </w:rPr>
        <w:t> </w:t>
      </w:r>
      <w:r>
        <w:rPr/>
        <w:t>However,</w:t>
      </w:r>
      <w:r>
        <w:rPr>
          <w:spacing w:val="-13"/>
        </w:rPr>
        <w:t> </w:t>
      </w:r>
      <w:r>
        <w:rPr/>
        <w:t>with</w:t>
      </w:r>
      <w:r>
        <w:rPr>
          <w:spacing w:val="-12"/>
        </w:rPr>
        <w:t> </w:t>
      </w:r>
      <w:r>
        <w:rPr/>
        <w:t>the</w:t>
      </w:r>
      <w:r>
        <w:rPr>
          <w:spacing w:val="-13"/>
        </w:rPr>
        <w:t> </w:t>
      </w:r>
      <w:r>
        <w:rPr/>
        <w:t>restriction</w:t>
      </w:r>
      <w:r>
        <w:rPr>
          <w:spacing w:val="-12"/>
        </w:rPr>
        <w:t> </w:t>
      </w:r>
      <w:r>
        <w:rPr/>
        <w:t>of</w:t>
      </w:r>
      <w:r>
        <w:rPr>
          <w:spacing w:val="-13"/>
        </w:rPr>
        <w:t> </w:t>
      </w:r>
      <w:r>
        <w:rPr/>
        <w:t>her</w:t>
      </w:r>
      <w:r>
        <w:rPr>
          <w:spacing w:val="-12"/>
        </w:rPr>
        <w:t> </w:t>
      </w:r>
      <w:r>
        <w:rPr/>
        <w:t>agency due</w:t>
      </w:r>
      <w:r>
        <w:rPr>
          <w:spacing w:val="-13"/>
        </w:rPr>
        <w:t> </w:t>
      </w:r>
      <w:r>
        <w:rPr/>
        <w:t>to</w:t>
      </w:r>
      <w:r>
        <w:rPr>
          <w:spacing w:val="-12"/>
        </w:rPr>
        <w:t> </w:t>
      </w:r>
      <w:r>
        <w:rPr/>
        <w:t>the</w:t>
      </w:r>
      <w:r>
        <w:rPr>
          <w:spacing w:val="-13"/>
        </w:rPr>
        <w:t> </w:t>
      </w:r>
      <w:r>
        <w:rPr/>
        <w:t>emotional</w:t>
      </w:r>
      <w:r>
        <w:rPr>
          <w:spacing w:val="-12"/>
        </w:rPr>
        <w:t> </w:t>
      </w:r>
      <w:r>
        <w:rPr/>
        <w:t>limits</w:t>
      </w:r>
      <w:r>
        <w:rPr>
          <w:spacing w:val="-13"/>
        </w:rPr>
        <w:t> </w:t>
      </w:r>
      <w:r>
        <w:rPr/>
        <w:t>to</w:t>
      </w:r>
      <w:r>
        <w:rPr>
          <w:spacing w:val="-12"/>
        </w:rPr>
        <w:t> </w:t>
      </w:r>
      <w:r>
        <w:rPr/>
        <w:t>which</w:t>
      </w:r>
      <w:r>
        <w:rPr>
          <w:spacing w:val="-13"/>
        </w:rPr>
        <w:t> </w:t>
      </w:r>
      <w:r>
        <w:rPr/>
        <w:t>she</w:t>
      </w:r>
      <w:r>
        <w:rPr>
          <w:spacing w:val="-12"/>
        </w:rPr>
        <w:t> </w:t>
      </w:r>
      <w:r>
        <w:rPr/>
        <w:t>experiences</w:t>
      </w:r>
      <w:r>
        <w:rPr>
          <w:spacing w:val="-13"/>
        </w:rPr>
        <w:t> </w:t>
      </w:r>
      <w:r>
        <w:rPr/>
        <w:t>it,</w:t>
      </w:r>
      <w:r>
        <w:rPr>
          <w:spacing w:val="-12"/>
        </w:rPr>
        <w:t> </w:t>
      </w:r>
      <w:r>
        <w:rPr/>
        <w:t>her</w:t>
      </w:r>
      <w:r>
        <w:rPr>
          <w:spacing w:val="-13"/>
        </w:rPr>
        <w:t> </w:t>
      </w:r>
      <w:r>
        <w:rPr/>
        <w:t>determination serves to both motivate and frustrate women, or at least those who consider themselves feminists. While she does take charge of her own destiny by challenging the notion of women being passive, her desire for Bertram raises issues about consent, self-esteem and emotional </w:t>
      </w:r>
      <w:r>
        <w:rPr>
          <w:spacing w:val="-2"/>
        </w:rPr>
        <w:t>availability.</w:t>
      </w:r>
    </w:p>
    <w:p>
      <w:pPr>
        <w:pStyle w:val="BodyText"/>
        <w:spacing w:line="249" w:lineRule="auto" w:before="69"/>
        <w:ind w:right="1439" w:firstLine="432"/>
        <w:jc w:val="both"/>
      </w:pPr>
      <w:r>
        <w:rPr/>
        <w:t>Women’s agency in patriarchal systems is often negotiated in relation to a duality of experience; both desire and longing are </w:t>
      </w:r>
      <w:r>
        <w:rPr>
          <w:spacing w:val="-2"/>
        </w:rPr>
        <w:t>psychoanalytically</w:t>
      </w:r>
      <w:r>
        <w:rPr>
          <w:spacing w:val="-11"/>
        </w:rPr>
        <w:t> </w:t>
      </w:r>
      <w:r>
        <w:rPr>
          <w:spacing w:val="-2"/>
        </w:rPr>
        <w:t>examined</w:t>
      </w:r>
      <w:r>
        <w:rPr>
          <w:spacing w:val="-7"/>
        </w:rPr>
        <w:t> </w:t>
      </w:r>
      <w:r>
        <w:rPr>
          <w:spacing w:val="-2"/>
        </w:rPr>
        <w:t>and</w:t>
      </w:r>
      <w:r>
        <w:rPr>
          <w:spacing w:val="-9"/>
        </w:rPr>
        <w:t> </w:t>
      </w:r>
      <w:r>
        <w:rPr>
          <w:spacing w:val="-2"/>
        </w:rPr>
        <w:t>manifested</w:t>
      </w:r>
      <w:r>
        <w:rPr>
          <w:spacing w:val="-7"/>
        </w:rPr>
        <w:t> </w:t>
      </w:r>
      <w:r>
        <w:rPr>
          <w:spacing w:val="-2"/>
        </w:rPr>
        <w:t>throughout</w:t>
      </w:r>
      <w:r>
        <w:rPr>
          <w:spacing w:val="-9"/>
        </w:rPr>
        <w:t> </w:t>
      </w:r>
      <w:r>
        <w:rPr>
          <w:spacing w:val="-2"/>
        </w:rPr>
        <w:t>the</w:t>
      </w:r>
      <w:r>
        <w:rPr>
          <w:spacing w:val="-9"/>
        </w:rPr>
        <w:t> </w:t>
      </w:r>
      <w:r>
        <w:rPr>
          <w:spacing w:val="-2"/>
        </w:rPr>
        <w:t>development </w:t>
      </w:r>
      <w:r>
        <w:rPr/>
        <w:t>of Helena. Helen’s relentless pursuit of Bertram demonstrates some degree</w:t>
      </w:r>
      <w:r>
        <w:rPr>
          <w:spacing w:val="4"/>
        </w:rPr>
        <w:t> </w:t>
      </w:r>
      <w:r>
        <w:rPr/>
        <w:t>of</w:t>
      </w:r>
      <w:r>
        <w:rPr>
          <w:spacing w:val="3"/>
        </w:rPr>
        <w:t> </w:t>
      </w:r>
      <w:r>
        <w:rPr/>
        <w:t>unconscious</w:t>
      </w:r>
      <w:r>
        <w:rPr>
          <w:spacing w:val="5"/>
        </w:rPr>
        <w:t> </w:t>
      </w:r>
      <w:r>
        <w:rPr/>
        <w:t>desire</w:t>
      </w:r>
      <w:r>
        <w:rPr>
          <w:spacing w:val="4"/>
        </w:rPr>
        <w:t> </w:t>
      </w:r>
      <w:r>
        <w:rPr/>
        <w:t>for</w:t>
      </w:r>
      <w:r>
        <w:rPr>
          <w:spacing w:val="5"/>
        </w:rPr>
        <w:t> </w:t>
      </w:r>
      <w:r>
        <w:rPr/>
        <w:t>him.</w:t>
      </w:r>
      <w:r>
        <w:rPr>
          <w:spacing w:val="5"/>
        </w:rPr>
        <w:t> </w:t>
      </w:r>
      <w:r>
        <w:rPr/>
        <w:t>The</w:t>
      </w:r>
      <w:r>
        <w:rPr>
          <w:spacing w:val="4"/>
        </w:rPr>
        <w:t> </w:t>
      </w:r>
      <w:r>
        <w:rPr/>
        <w:t>expectations</w:t>
      </w:r>
      <w:r>
        <w:rPr>
          <w:spacing w:val="6"/>
        </w:rPr>
        <w:t> </w:t>
      </w:r>
      <w:r>
        <w:rPr/>
        <w:t>of</w:t>
      </w:r>
      <w:r>
        <w:rPr>
          <w:spacing w:val="3"/>
        </w:rPr>
        <w:t> </w:t>
      </w:r>
      <w:r>
        <w:rPr/>
        <w:t>society</w:t>
      </w:r>
      <w:r>
        <w:rPr>
          <w:spacing w:val="-1"/>
        </w:rPr>
        <w:t> </w:t>
      </w:r>
      <w:r>
        <w:rPr>
          <w:spacing w:val="-4"/>
        </w:rPr>
        <w:t>have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6896">
                <wp:simplePos x="0" y="0"/>
                <wp:positionH relativeFrom="page">
                  <wp:posOffset>2057400</wp:posOffset>
                </wp:positionH>
                <wp:positionV relativeFrom="paragraph">
                  <wp:posOffset>162604</wp:posOffset>
                </wp:positionV>
                <wp:extent cx="3657600" cy="12700"/>
                <wp:effectExtent l="0" t="0" r="0" b="0"/>
                <wp:wrapTopAndBottom/>
                <wp:docPr id="345" name="Graphic 345"/>
                <wp:cNvGraphicFramePr>
                  <a:graphicFrameLocks/>
                </wp:cNvGraphicFramePr>
                <a:graphic>
                  <a:graphicData uri="http://schemas.microsoft.com/office/word/2010/wordprocessingShape">
                    <wps:wsp>
                      <wps:cNvPr id="345" name="Graphic 34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19584;mso-wrap-distance-left:0;mso-wrap-distance-right:0" id="docshape341" filled="true" fillcolor="#000000" stroked="false">
                <v:fill type="solid"/>
                <w10:wrap type="topAndBottom"/>
              </v:rect>
            </w:pict>
          </mc:Fallback>
        </mc:AlternateContent>
      </w:r>
      <w:r>
        <w:rPr>
          <w:rFonts w:ascii="Verdana"/>
          <w:spacing w:val="-5"/>
          <w:sz w:val="18"/>
        </w:rPr>
        <w:t>126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shaped this desire (his benevolent act of marriage). In addition to this desire (unconscious and self-considered) there is also a sense of vulnerability resulting from this desire. Why? Because her behaviours reflect a need to be accepted by others regardless of whether it is romantic or not, and so other psychological issues may be at play. At the same time, an analysis of her feelings of rejection and shaming can illustrate that her overall emotional experiences may be analysed from</w:t>
      </w:r>
      <w:r>
        <w:rPr>
          <w:spacing w:val="40"/>
        </w:rPr>
        <w:t> </w:t>
      </w:r>
      <w:r>
        <w:rPr/>
        <w:t>a trauma perspective: “The child’s shameful behaviour was most often reinforced by the father’s judgement of her self-worth” Thus, as an orphan</w:t>
      </w:r>
      <w:r>
        <w:rPr>
          <w:spacing w:val="-4"/>
        </w:rPr>
        <w:t> </w:t>
      </w:r>
      <w:r>
        <w:rPr/>
        <w:t>without</w:t>
      </w:r>
      <w:r>
        <w:rPr>
          <w:spacing w:val="-3"/>
        </w:rPr>
        <w:t> </w:t>
      </w:r>
      <w:r>
        <w:rPr/>
        <w:t>any</w:t>
      </w:r>
      <w:r>
        <w:rPr>
          <w:spacing w:val="-6"/>
        </w:rPr>
        <w:t> </w:t>
      </w:r>
      <w:r>
        <w:rPr/>
        <w:t>means</w:t>
      </w:r>
      <w:r>
        <w:rPr>
          <w:spacing w:val="-4"/>
        </w:rPr>
        <w:t> </w:t>
      </w:r>
      <w:r>
        <w:rPr/>
        <w:t>of</w:t>
      </w:r>
      <w:r>
        <w:rPr>
          <w:spacing w:val="-4"/>
        </w:rPr>
        <w:t> </w:t>
      </w:r>
      <w:r>
        <w:rPr/>
        <w:t>power over</w:t>
      </w:r>
      <w:r>
        <w:rPr>
          <w:spacing w:val="-2"/>
        </w:rPr>
        <w:t> </w:t>
      </w:r>
      <w:r>
        <w:rPr/>
        <w:t>others</w:t>
      </w:r>
      <w:r>
        <w:rPr>
          <w:spacing w:val="-4"/>
        </w:rPr>
        <w:t> </w:t>
      </w:r>
      <w:r>
        <w:rPr/>
        <w:t>she</w:t>
      </w:r>
      <w:r>
        <w:rPr>
          <w:spacing w:val="-1"/>
        </w:rPr>
        <w:t> </w:t>
      </w:r>
      <w:r>
        <w:rPr/>
        <w:t>is</w:t>
      </w:r>
      <w:r>
        <w:rPr>
          <w:spacing w:val="-4"/>
        </w:rPr>
        <w:t> </w:t>
      </w:r>
      <w:r>
        <w:rPr/>
        <w:t>always</w:t>
      </w:r>
      <w:r>
        <w:rPr>
          <w:spacing w:val="-2"/>
        </w:rPr>
        <w:t> </w:t>
      </w:r>
      <w:r>
        <w:rPr/>
        <w:t>searching for evidence that she is worth something. Her insecurity ultimately interferes with her ability</w:t>
      </w:r>
      <w:r>
        <w:rPr>
          <w:spacing w:val="-2"/>
        </w:rPr>
        <w:t> </w:t>
      </w:r>
      <w:r>
        <w:rPr/>
        <w:t>to seek love in a manner that conforms to the norms</w:t>
      </w:r>
      <w:r>
        <w:rPr>
          <w:spacing w:val="40"/>
        </w:rPr>
        <w:t> </w:t>
      </w:r>
      <w:r>
        <w:rPr/>
        <w:t>of</w:t>
      </w:r>
      <w:r>
        <w:rPr>
          <w:spacing w:val="40"/>
        </w:rPr>
        <w:t> </w:t>
      </w:r>
      <w:r>
        <w:rPr/>
        <w:t>society.</w:t>
      </w:r>
    </w:p>
    <w:p>
      <w:pPr>
        <w:pStyle w:val="BodyText"/>
        <w:spacing w:line="266" w:lineRule="auto" w:before="78"/>
        <w:ind w:right="1438" w:firstLine="432"/>
        <w:jc w:val="both"/>
      </w:pPr>
      <w:r>
        <w:rPr/>
        <w:t>Helena’s narrative holds significance as it challenges the belief that having agency equates to being empowered. This notion comes </w:t>
      </w:r>
      <w:r>
        <w:rPr>
          <w:spacing w:val="-2"/>
        </w:rPr>
        <w:t>from</w:t>
      </w:r>
      <w:r>
        <w:rPr>
          <w:spacing w:val="-11"/>
        </w:rPr>
        <w:t> </w:t>
      </w:r>
      <w:r>
        <w:rPr>
          <w:spacing w:val="-2"/>
        </w:rPr>
        <w:t>Helena’s</w:t>
      </w:r>
      <w:r>
        <w:rPr>
          <w:spacing w:val="-10"/>
        </w:rPr>
        <w:t> </w:t>
      </w:r>
      <w:r>
        <w:rPr>
          <w:spacing w:val="-2"/>
        </w:rPr>
        <w:t>achievements,</w:t>
      </w:r>
      <w:r>
        <w:rPr>
          <w:spacing w:val="-11"/>
        </w:rPr>
        <w:t> </w:t>
      </w:r>
      <w:r>
        <w:rPr>
          <w:spacing w:val="-2"/>
        </w:rPr>
        <w:t>yet</w:t>
      </w:r>
      <w:r>
        <w:rPr>
          <w:spacing w:val="-10"/>
        </w:rPr>
        <w:t> </w:t>
      </w:r>
      <w:r>
        <w:rPr>
          <w:spacing w:val="-2"/>
        </w:rPr>
        <w:t>she</w:t>
      </w:r>
      <w:r>
        <w:rPr>
          <w:spacing w:val="-8"/>
        </w:rPr>
        <w:t> </w:t>
      </w:r>
      <w:r>
        <w:rPr>
          <w:spacing w:val="-2"/>
        </w:rPr>
        <w:t>also</w:t>
      </w:r>
      <w:r>
        <w:rPr>
          <w:spacing w:val="-10"/>
        </w:rPr>
        <w:t> </w:t>
      </w:r>
      <w:r>
        <w:rPr>
          <w:spacing w:val="-2"/>
        </w:rPr>
        <w:t>had</w:t>
      </w:r>
      <w:r>
        <w:rPr>
          <w:spacing w:val="-10"/>
        </w:rPr>
        <w:t> </w:t>
      </w:r>
      <w:r>
        <w:rPr>
          <w:spacing w:val="-2"/>
        </w:rPr>
        <w:t>to</w:t>
      </w:r>
      <w:r>
        <w:rPr>
          <w:spacing w:val="-10"/>
        </w:rPr>
        <w:t> </w:t>
      </w:r>
      <w:r>
        <w:rPr>
          <w:spacing w:val="-2"/>
        </w:rPr>
        <w:t>undergo</w:t>
      </w:r>
      <w:r>
        <w:rPr>
          <w:spacing w:val="-8"/>
        </w:rPr>
        <w:t> </w:t>
      </w:r>
      <w:r>
        <w:rPr>
          <w:spacing w:val="-2"/>
        </w:rPr>
        <w:t>major</w:t>
      </w:r>
      <w:r>
        <w:rPr>
          <w:spacing w:val="-10"/>
        </w:rPr>
        <w:t> </w:t>
      </w:r>
      <w:r>
        <w:rPr>
          <w:spacing w:val="-2"/>
        </w:rPr>
        <w:t>emotional </w:t>
      </w:r>
      <w:r>
        <w:rPr/>
        <w:t>suffering to achieve her goals. Helena faced many structural barriers and had many mental barriers that affect how she functions within the patriarchal system; however, she still managed to develop a sense of agency; thus, Helena represents an alternative resistance to feminism, which</w:t>
      </w:r>
      <w:r>
        <w:rPr>
          <w:spacing w:val="-5"/>
        </w:rPr>
        <w:t> </w:t>
      </w:r>
      <w:r>
        <w:rPr/>
        <w:t>is</w:t>
      </w:r>
      <w:r>
        <w:rPr>
          <w:spacing w:val="-2"/>
        </w:rPr>
        <w:t> </w:t>
      </w:r>
      <w:r>
        <w:rPr/>
        <w:t>both</w:t>
      </w:r>
      <w:r>
        <w:rPr>
          <w:spacing w:val="-5"/>
        </w:rPr>
        <w:t> </w:t>
      </w:r>
      <w:r>
        <w:rPr/>
        <w:t>an</w:t>
      </w:r>
      <w:r>
        <w:rPr>
          <w:spacing w:val="-5"/>
        </w:rPr>
        <w:t> </w:t>
      </w:r>
      <w:r>
        <w:rPr/>
        <w:t>agency</w:t>
      </w:r>
      <w:r>
        <w:rPr>
          <w:spacing w:val="-5"/>
        </w:rPr>
        <w:t> </w:t>
      </w:r>
      <w:r>
        <w:rPr/>
        <w:t>and</w:t>
      </w:r>
      <w:r>
        <w:rPr>
          <w:spacing w:val="-2"/>
        </w:rPr>
        <w:t> </w:t>
      </w:r>
      <w:r>
        <w:rPr/>
        <w:t>a</w:t>
      </w:r>
      <w:r>
        <w:rPr>
          <w:spacing w:val="-1"/>
        </w:rPr>
        <w:t> </w:t>
      </w:r>
      <w:r>
        <w:rPr/>
        <w:t>vulnerability,</w:t>
      </w:r>
      <w:r>
        <w:rPr>
          <w:spacing w:val="-2"/>
        </w:rPr>
        <w:t> </w:t>
      </w:r>
      <w:r>
        <w:rPr/>
        <w:t>while</w:t>
      </w:r>
      <w:r>
        <w:rPr>
          <w:spacing w:val="-4"/>
        </w:rPr>
        <w:t> </w:t>
      </w:r>
      <w:r>
        <w:rPr/>
        <w:t>also</w:t>
      </w:r>
      <w:r>
        <w:rPr>
          <w:spacing w:val="-2"/>
        </w:rPr>
        <w:t> </w:t>
      </w:r>
      <w:r>
        <w:rPr/>
        <w:t>emphasizing</w:t>
      </w:r>
      <w:r>
        <w:rPr>
          <w:spacing w:val="-4"/>
        </w:rPr>
        <w:t> </w:t>
      </w:r>
      <w:r>
        <w:rPr/>
        <w:t>the complex relationship between desire, power, and emotional state.</w:t>
      </w:r>
    </w:p>
    <w:p>
      <w:pPr>
        <w:pStyle w:val="Heading5"/>
        <w:spacing w:line="264" w:lineRule="auto" w:before="116"/>
        <w:ind w:right="1437"/>
      </w:pPr>
      <w:r>
        <w:rPr>
          <w:w w:val="105"/>
        </w:rPr>
        <w:t>4.</w:t>
      </w:r>
      <w:r>
        <w:rPr>
          <w:spacing w:val="40"/>
          <w:w w:val="105"/>
        </w:rPr>
        <w:t> </w:t>
      </w:r>
      <w:r>
        <w:rPr>
          <w:w w:val="105"/>
        </w:rPr>
        <w:t>Extending</w:t>
      </w:r>
      <w:r>
        <w:rPr>
          <w:spacing w:val="40"/>
          <w:w w:val="105"/>
        </w:rPr>
        <w:t> </w:t>
      </w:r>
      <w:r>
        <w:rPr>
          <w:w w:val="105"/>
        </w:rPr>
        <w:t>the</w:t>
      </w:r>
      <w:r>
        <w:rPr>
          <w:spacing w:val="40"/>
          <w:w w:val="105"/>
        </w:rPr>
        <w:t> </w:t>
      </w:r>
      <w:r>
        <w:rPr>
          <w:w w:val="105"/>
        </w:rPr>
        <w:t>#MeToo</w:t>
      </w:r>
      <w:r>
        <w:rPr>
          <w:spacing w:val="40"/>
          <w:w w:val="105"/>
        </w:rPr>
        <w:t> </w:t>
      </w:r>
      <w:r>
        <w:rPr>
          <w:w w:val="105"/>
        </w:rPr>
        <w:t>Perspective:</w:t>
      </w:r>
      <w:r>
        <w:rPr>
          <w:spacing w:val="40"/>
          <w:w w:val="105"/>
        </w:rPr>
        <w:t> </w:t>
      </w:r>
      <w:r>
        <w:rPr>
          <w:w w:val="105"/>
        </w:rPr>
        <w:t>Power,</w:t>
      </w:r>
      <w:r>
        <w:rPr>
          <w:spacing w:val="61"/>
          <w:w w:val="105"/>
        </w:rPr>
        <w:t> </w:t>
      </w:r>
      <w:r>
        <w:rPr>
          <w:w w:val="105"/>
        </w:rPr>
        <w:t>Voic</w:t>
      </w:r>
      <w:r>
        <w:rPr>
          <w:w w:val="105"/>
        </w:rPr>
        <w:t>e</w:t>
      </w:r>
      <w:r>
        <w:rPr>
          <w:spacing w:val="80"/>
          <w:w w:val="105"/>
        </w:rPr>
        <w:t> </w:t>
      </w:r>
      <w:r>
        <w:rPr>
          <w:w w:val="105"/>
        </w:rPr>
        <w:t>and</w:t>
      </w:r>
      <w:r>
        <w:rPr>
          <w:spacing w:val="40"/>
          <w:w w:val="105"/>
        </w:rPr>
        <w:t> </w:t>
      </w:r>
      <w:r>
        <w:rPr>
          <w:w w:val="105"/>
        </w:rPr>
        <w:t>Emotional</w:t>
      </w:r>
      <w:r>
        <w:rPr>
          <w:spacing w:val="40"/>
          <w:w w:val="105"/>
        </w:rPr>
        <w:t> </w:t>
      </w:r>
      <w:r>
        <w:rPr>
          <w:w w:val="105"/>
        </w:rPr>
        <w:t>Truth</w:t>
      </w:r>
    </w:p>
    <w:p>
      <w:pPr>
        <w:pStyle w:val="BodyText"/>
        <w:spacing w:line="266" w:lineRule="auto" w:before="60"/>
        <w:ind w:right="1439" w:firstLine="432"/>
        <w:jc w:val="both"/>
      </w:pPr>
      <w:r>
        <w:rPr/>
        <w:t>The #MeToo movement is an example of how women worldwide are able to disclose their suffering after being ignored or unable to talk about their suffering due to societal norms that have kept them silent.. Understanding this point in light of Shakespeare’s plays makes us </w:t>
      </w:r>
      <w:r>
        <w:rPr>
          <w:spacing w:val="-4"/>
        </w:rPr>
        <w:t>realize</w:t>
      </w:r>
      <w:r>
        <w:rPr>
          <w:spacing w:val="-9"/>
        </w:rPr>
        <w:t> </w:t>
      </w:r>
      <w:r>
        <w:rPr>
          <w:spacing w:val="-4"/>
        </w:rPr>
        <w:t>that</w:t>
      </w:r>
      <w:r>
        <w:rPr>
          <w:spacing w:val="-8"/>
        </w:rPr>
        <w:t> </w:t>
      </w:r>
      <w:r>
        <w:rPr>
          <w:spacing w:val="-4"/>
        </w:rPr>
        <w:t>Shakespeare’s</w:t>
      </w:r>
      <w:r>
        <w:rPr>
          <w:spacing w:val="-9"/>
        </w:rPr>
        <w:t> </w:t>
      </w:r>
      <w:r>
        <w:rPr>
          <w:spacing w:val="-4"/>
        </w:rPr>
        <w:t>female</w:t>
      </w:r>
      <w:r>
        <w:rPr>
          <w:spacing w:val="-5"/>
        </w:rPr>
        <w:t> </w:t>
      </w:r>
      <w:r>
        <w:rPr>
          <w:spacing w:val="-4"/>
        </w:rPr>
        <w:t>characters</w:t>
      </w:r>
      <w:r>
        <w:rPr>
          <w:spacing w:val="-7"/>
        </w:rPr>
        <w:t> </w:t>
      </w:r>
      <w:r>
        <w:rPr>
          <w:spacing w:val="-4"/>
        </w:rPr>
        <w:t>are</w:t>
      </w:r>
      <w:r>
        <w:rPr>
          <w:spacing w:val="-7"/>
        </w:rPr>
        <w:t> </w:t>
      </w:r>
      <w:r>
        <w:rPr>
          <w:spacing w:val="-4"/>
        </w:rPr>
        <w:t>not</w:t>
      </w:r>
      <w:r>
        <w:rPr>
          <w:spacing w:val="-9"/>
        </w:rPr>
        <w:t> </w:t>
      </w:r>
      <w:r>
        <w:rPr>
          <w:spacing w:val="-4"/>
        </w:rPr>
        <w:t>just</w:t>
      </w:r>
      <w:r>
        <w:rPr>
          <w:spacing w:val="-3"/>
        </w:rPr>
        <w:t> </w:t>
      </w:r>
      <w:r>
        <w:rPr>
          <w:spacing w:val="-4"/>
        </w:rPr>
        <w:t>imaginary</w:t>
      </w:r>
      <w:r>
        <w:rPr>
          <w:spacing w:val="-9"/>
        </w:rPr>
        <w:t> </w:t>
      </w:r>
      <w:r>
        <w:rPr>
          <w:spacing w:val="-4"/>
        </w:rPr>
        <w:t>females. </w:t>
      </w:r>
      <w:r>
        <w:rPr/>
        <w:t>Rather, they are representations of women who have not had the opportunity</w:t>
      </w:r>
      <w:r>
        <w:rPr>
          <w:spacing w:val="40"/>
        </w:rPr>
        <w:t> </w:t>
      </w:r>
      <w:r>
        <w:rPr/>
        <w:t>to</w:t>
      </w:r>
      <w:r>
        <w:rPr>
          <w:spacing w:val="40"/>
        </w:rPr>
        <w:t> </w:t>
      </w:r>
      <w:r>
        <w:rPr/>
        <w:t>voice</w:t>
      </w:r>
      <w:r>
        <w:rPr>
          <w:spacing w:val="40"/>
        </w:rPr>
        <w:t> </w:t>
      </w:r>
      <w:r>
        <w:rPr/>
        <w:t>their</w:t>
      </w:r>
      <w:r>
        <w:rPr>
          <w:spacing w:val="40"/>
        </w:rPr>
        <w:t> </w:t>
      </w:r>
      <w:r>
        <w:rPr/>
        <w:t>pain</w:t>
      </w:r>
      <w:r>
        <w:rPr>
          <w:spacing w:val="40"/>
        </w:rPr>
        <w:t> </w:t>
      </w:r>
      <w:r>
        <w:rPr/>
        <w:t>and</w:t>
      </w:r>
      <w:r>
        <w:rPr>
          <w:spacing w:val="40"/>
        </w:rPr>
        <w:t> </w:t>
      </w:r>
      <w:r>
        <w:rPr/>
        <w:t>experiences.</w:t>
      </w:r>
    </w:p>
    <w:p>
      <w:pPr>
        <w:pStyle w:val="BodyText"/>
        <w:spacing w:line="266" w:lineRule="auto" w:before="63"/>
        <w:ind w:right="1440" w:firstLine="432"/>
        <w:jc w:val="both"/>
      </w:pPr>
      <w:r>
        <w:rPr/>
        <w:t>When you look at the character of Ophelia in this way, you begin to see that she likely was not “mad,” but was an example of what happens to a woman when she suffers from emotional abandonment. Ophelia’s</w:t>
      </w:r>
      <w:r>
        <w:rPr>
          <w:spacing w:val="-3"/>
        </w:rPr>
        <w:t> </w:t>
      </w:r>
      <w:r>
        <w:rPr/>
        <w:t>breakdown</w:t>
      </w:r>
      <w:r>
        <w:rPr>
          <w:spacing w:val="-5"/>
        </w:rPr>
        <w:t> </w:t>
      </w:r>
      <w:r>
        <w:rPr/>
        <w:t>can</w:t>
      </w:r>
      <w:r>
        <w:rPr>
          <w:spacing w:val="-3"/>
        </w:rPr>
        <w:t> </w:t>
      </w:r>
      <w:r>
        <w:rPr/>
        <w:t>be</w:t>
      </w:r>
      <w:r>
        <w:rPr>
          <w:spacing w:val="-1"/>
        </w:rPr>
        <w:t> </w:t>
      </w:r>
      <w:r>
        <w:rPr/>
        <w:t>viewed</w:t>
      </w:r>
      <w:r>
        <w:rPr>
          <w:spacing w:val="-1"/>
        </w:rPr>
        <w:t> </w:t>
      </w:r>
      <w:r>
        <w:rPr/>
        <w:t>as</w:t>
      </w:r>
      <w:r>
        <w:rPr>
          <w:spacing w:val="-5"/>
        </w:rPr>
        <w:t> </w:t>
      </w:r>
      <w:r>
        <w:rPr/>
        <w:t>a direct</w:t>
      </w:r>
      <w:r>
        <w:rPr>
          <w:spacing w:val="-1"/>
        </w:rPr>
        <w:t> </w:t>
      </w:r>
      <w:r>
        <w:rPr/>
        <w:t>response</w:t>
      </w:r>
      <w:r>
        <w:rPr>
          <w:spacing w:val="-1"/>
        </w:rPr>
        <w:t> </w:t>
      </w:r>
      <w:r>
        <w:rPr/>
        <w:t>to</w:t>
      </w:r>
      <w:r>
        <w:rPr>
          <w:spacing w:val="-3"/>
        </w:rPr>
        <w:t> </w:t>
      </w:r>
      <w:r>
        <w:rPr/>
        <w:t>not</w:t>
      </w:r>
      <w:r>
        <w:rPr>
          <w:spacing w:val="-1"/>
        </w:rPr>
        <w:t> </w:t>
      </w:r>
      <w:r>
        <w:rPr/>
        <w:t>only</w:t>
      </w:r>
      <w:r>
        <w:rPr>
          <w:spacing w:val="-3"/>
        </w:rPr>
        <w:t> </w:t>
      </w:r>
      <w:r>
        <w:rPr/>
        <w:t>her emotional abandonment but also a continuation of the silence she experienced.</w:t>
      </w:r>
      <w:r>
        <w:rPr>
          <w:spacing w:val="23"/>
        </w:rPr>
        <w:t> </w:t>
      </w:r>
      <w:r>
        <w:rPr/>
        <w:t>In</w:t>
      </w:r>
      <w:r>
        <w:rPr>
          <w:spacing w:val="24"/>
        </w:rPr>
        <w:t> </w:t>
      </w:r>
      <w:r>
        <w:rPr/>
        <w:t>the</w:t>
      </w:r>
      <w:r>
        <w:rPr>
          <w:spacing w:val="23"/>
        </w:rPr>
        <w:t> </w:t>
      </w:r>
      <w:r>
        <w:rPr/>
        <w:t>#MeToo</w:t>
      </w:r>
      <w:r>
        <w:rPr>
          <w:spacing w:val="27"/>
        </w:rPr>
        <w:t> </w:t>
      </w:r>
      <w:r>
        <w:rPr/>
        <w:t>movement,</w:t>
      </w:r>
      <w:r>
        <w:rPr>
          <w:spacing w:val="26"/>
        </w:rPr>
        <w:t> </w:t>
      </w:r>
      <w:r>
        <w:rPr/>
        <w:t>she</w:t>
      </w:r>
      <w:r>
        <w:rPr>
          <w:spacing w:val="25"/>
        </w:rPr>
        <w:t> </w:t>
      </w:r>
      <w:r>
        <w:rPr/>
        <w:t>is</w:t>
      </w:r>
      <w:r>
        <w:rPr>
          <w:spacing w:val="24"/>
        </w:rPr>
        <w:t> </w:t>
      </w:r>
      <w:r>
        <w:rPr/>
        <w:t>similar</w:t>
      </w:r>
      <w:r>
        <w:rPr>
          <w:spacing w:val="26"/>
        </w:rPr>
        <w:t> </w:t>
      </w:r>
      <w:r>
        <w:rPr/>
        <w:t>to</w:t>
      </w:r>
      <w:r>
        <w:rPr>
          <w:spacing w:val="25"/>
        </w:rPr>
        <w:t> </w:t>
      </w:r>
      <w:r>
        <w:rPr/>
        <w:t>many</w:t>
      </w:r>
      <w:r>
        <w:rPr>
          <w:spacing w:val="24"/>
        </w:rPr>
        <w:t> </w:t>
      </w:r>
      <w:r>
        <w:rPr>
          <w:spacing w:val="-2"/>
        </w:rPr>
        <w:t>other</w:t>
      </w:r>
    </w:p>
    <w:p>
      <w:pPr>
        <w:pStyle w:val="BodyText"/>
        <w:spacing w:after="0" w:line="266"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7408">
                <wp:simplePos x="0" y="0"/>
                <wp:positionH relativeFrom="page">
                  <wp:posOffset>2065020</wp:posOffset>
                </wp:positionH>
                <wp:positionV relativeFrom="paragraph">
                  <wp:posOffset>795020</wp:posOffset>
                </wp:positionV>
                <wp:extent cx="3657600" cy="12700"/>
                <wp:effectExtent l="0" t="0" r="0" b="0"/>
                <wp:wrapTopAndBottom/>
                <wp:docPr id="346" name="Graphic 346"/>
                <wp:cNvGraphicFramePr>
                  <a:graphicFrameLocks/>
                </wp:cNvGraphicFramePr>
                <a:graphic>
                  <a:graphicData uri="http://schemas.microsoft.com/office/word/2010/wordprocessingShape">
                    <wps:wsp>
                      <wps:cNvPr id="346" name="Graphic 34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19072;mso-wrap-distance-left:0;mso-wrap-distance-right:0" id="docshape342" filled="true" fillcolor="#000000" stroked="false">
                <v:fill type="solid"/>
                <w10:wrap type="topAndBottom"/>
              </v:rect>
            </w:pict>
          </mc:Fallback>
        </mc:AlternateContent>
      </w:r>
      <w:r>
        <w:rPr>
          <w:rFonts w:ascii="Verdana"/>
          <w:sz w:val="18"/>
        </w:rPr>
        <w:t>Madness</w:t>
      </w:r>
      <w:r>
        <w:rPr>
          <w:rFonts w:ascii="Verdana"/>
          <w:spacing w:val="-7"/>
          <w:sz w:val="18"/>
        </w:rPr>
        <w:t> </w:t>
      </w:r>
      <w:r>
        <w:rPr>
          <w:rFonts w:ascii="Verdana"/>
          <w:sz w:val="18"/>
        </w:rPr>
        <w:t>as</w:t>
      </w:r>
      <w:r>
        <w:rPr>
          <w:rFonts w:ascii="Verdana"/>
          <w:spacing w:val="-7"/>
          <w:sz w:val="18"/>
        </w:rPr>
        <w:t> </w:t>
      </w:r>
      <w:r>
        <w:rPr>
          <w:rFonts w:ascii="Verdana"/>
          <w:sz w:val="18"/>
        </w:rPr>
        <w:t>A</w:t>
      </w:r>
      <w:r>
        <w:rPr>
          <w:rFonts w:ascii="Verdana"/>
          <w:spacing w:val="-11"/>
          <w:sz w:val="18"/>
        </w:rPr>
        <w:t> </w:t>
      </w:r>
      <w:r>
        <w:rPr>
          <w:rFonts w:ascii="Verdana"/>
          <w:sz w:val="18"/>
        </w:rPr>
        <w:t>Social</w:t>
      </w:r>
      <w:r>
        <w:rPr>
          <w:rFonts w:ascii="Verdana"/>
          <w:spacing w:val="-7"/>
          <w:sz w:val="18"/>
        </w:rPr>
        <w:t> </w:t>
      </w:r>
      <w:r>
        <w:rPr>
          <w:rFonts w:ascii="Verdana"/>
          <w:sz w:val="18"/>
        </w:rPr>
        <w:t>Construction:</w:t>
      </w:r>
      <w:r>
        <w:rPr>
          <w:rFonts w:ascii="Verdana"/>
          <w:spacing w:val="-8"/>
          <w:sz w:val="18"/>
        </w:rPr>
        <w:t> </w:t>
      </w:r>
      <w:r>
        <w:rPr>
          <w:rFonts w:ascii="Verdana"/>
          <w:sz w:val="18"/>
        </w:rPr>
        <w:t>Trauma,</w:t>
      </w:r>
      <w:r>
        <w:rPr>
          <w:rFonts w:ascii="Verdana"/>
          <w:spacing w:val="-7"/>
          <w:sz w:val="18"/>
        </w:rPr>
        <w:t> </w:t>
      </w:r>
      <w:r>
        <w:rPr>
          <w:rFonts w:ascii="Verdana"/>
          <w:sz w:val="18"/>
        </w:rPr>
        <w:t>Guilt</w:t>
      </w:r>
      <w:r>
        <w:rPr>
          <w:rFonts w:ascii="Verdana"/>
          <w:spacing w:val="-6"/>
          <w:sz w:val="18"/>
        </w:rPr>
        <w:t> </w:t>
      </w:r>
      <w:r>
        <w:rPr>
          <w:rFonts w:ascii="Verdana"/>
          <w:spacing w:val="-5"/>
          <w:sz w:val="18"/>
        </w:rPr>
        <w:t>...</w:t>
      </w:r>
      <w:r>
        <w:rPr>
          <w:sz w:val="18"/>
        </w:rPr>
        <w:tab/>
      </w:r>
      <w:r>
        <w:rPr>
          <w:rFonts w:ascii="Verdana"/>
          <w:spacing w:val="-5"/>
          <w:sz w:val="18"/>
        </w:rPr>
        <w:t>127</w:t>
      </w:r>
    </w:p>
    <w:p>
      <w:pPr>
        <w:pStyle w:val="BodyText"/>
        <w:spacing w:line="266" w:lineRule="auto" w:before="202"/>
        <w:ind w:right="1440"/>
        <w:jc w:val="both"/>
      </w:pPr>
      <w:r>
        <w:rPr/>
        <w:t>women who have been previously dismissed until their emotional pain come to the surface and even once it is visible, their pain is often </w:t>
      </w:r>
      <w:r>
        <w:rPr>
          <w:spacing w:val="-2"/>
        </w:rPr>
        <w:t>misinterpreted.</w:t>
      </w:r>
    </w:p>
    <w:p>
      <w:pPr>
        <w:pStyle w:val="BodyText"/>
        <w:spacing w:line="249" w:lineRule="auto" w:before="50"/>
        <w:ind w:right="1437" w:firstLine="432"/>
        <w:jc w:val="both"/>
      </w:pPr>
      <w:r>
        <w:rPr/>
        <w:t>Desdemona’s</w:t>
      </w:r>
      <w:r>
        <w:rPr>
          <w:spacing w:val="-11"/>
        </w:rPr>
        <w:t> </w:t>
      </w:r>
      <w:r>
        <w:rPr/>
        <w:t>story</w:t>
      </w:r>
      <w:r>
        <w:rPr>
          <w:spacing w:val="-13"/>
        </w:rPr>
        <w:t> </w:t>
      </w:r>
      <w:r>
        <w:rPr/>
        <w:t>can</w:t>
      </w:r>
      <w:r>
        <w:rPr>
          <w:spacing w:val="-9"/>
        </w:rPr>
        <w:t> </w:t>
      </w:r>
      <w:r>
        <w:rPr/>
        <w:t>be</w:t>
      </w:r>
      <w:r>
        <w:rPr>
          <w:spacing w:val="-10"/>
        </w:rPr>
        <w:t> </w:t>
      </w:r>
      <w:r>
        <w:rPr/>
        <w:t>viewed</w:t>
      </w:r>
      <w:r>
        <w:rPr>
          <w:spacing w:val="-8"/>
        </w:rPr>
        <w:t> </w:t>
      </w:r>
      <w:r>
        <w:rPr/>
        <w:t>in</w:t>
      </w:r>
      <w:r>
        <w:rPr>
          <w:spacing w:val="-11"/>
        </w:rPr>
        <w:t> </w:t>
      </w:r>
      <w:r>
        <w:rPr/>
        <w:t>a</w:t>
      </w:r>
      <w:r>
        <w:rPr>
          <w:spacing w:val="-9"/>
        </w:rPr>
        <w:t> </w:t>
      </w:r>
      <w:r>
        <w:rPr/>
        <w:t>similar</w:t>
      </w:r>
      <w:r>
        <w:rPr>
          <w:spacing w:val="-11"/>
        </w:rPr>
        <w:t> </w:t>
      </w:r>
      <w:r>
        <w:rPr/>
        <w:t>manner.</w:t>
      </w:r>
      <w:r>
        <w:rPr>
          <w:spacing w:val="-8"/>
        </w:rPr>
        <w:t> </w:t>
      </w:r>
      <w:r>
        <w:rPr/>
        <w:t>Desdemona was very honest and faithful to Othello; however; her voice was not taken seriously because she was a woman. Desdemona’s tragedy is not simply</w:t>
      </w:r>
      <w:r>
        <w:rPr>
          <w:spacing w:val="-3"/>
        </w:rPr>
        <w:t> </w:t>
      </w:r>
      <w:r>
        <w:rPr/>
        <w:t>in her being murdered, but rather that she never received justice because her voice was not believed a similar discussion too many current-day women are subject to; i.e. women are continuously asked</w:t>
      </w:r>
      <w:r>
        <w:rPr>
          <w:spacing w:val="80"/>
        </w:rPr>
        <w:t> </w:t>
      </w:r>
      <w:r>
        <w:rPr/>
        <w:t>to provide evidence to support their innocence when being accused of wrong</w:t>
      </w:r>
      <w:r>
        <w:rPr>
          <w:spacing w:val="40"/>
        </w:rPr>
        <w:t> </w:t>
      </w:r>
      <w:r>
        <w:rPr/>
        <w:t>doing.</w:t>
      </w:r>
    </w:p>
    <w:p>
      <w:pPr>
        <w:pStyle w:val="BodyText"/>
        <w:spacing w:line="249" w:lineRule="auto" w:before="64"/>
        <w:ind w:right="1435" w:firstLine="432"/>
        <w:jc w:val="both"/>
      </w:pPr>
      <w:r>
        <w:rPr/>
        <w:t>Lady Macbeth adds depth to the play. She seems all-powerful through much of the play, but her eventual mental collapse shows how she has internalized the pressures of living within a patriarchal system. In today’s society, Lady Macbeth represents a woman struggling to fulfil societal expectations of gender while suppressing her emotion a reality many women</w:t>
      </w:r>
      <w:r>
        <w:rPr>
          <w:spacing w:val="40"/>
        </w:rPr>
        <w:t> </w:t>
      </w:r>
      <w:r>
        <w:rPr/>
        <w:t>continue</w:t>
      </w:r>
      <w:r>
        <w:rPr>
          <w:spacing w:val="40"/>
        </w:rPr>
        <w:t> </w:t>
      </w:r>
      <w:r>
        <w:rPr/>
        <w:t>to</w:t>
      </w:r>
      <w:r>
        <w:rPr>
          <w:spacing w:val="40"/>
        </w:rPr>
        <w:t> </w:t>
      </w:r>
      <w:r>
        <w:rPr/>
        <w:t>face</w:t>
      </w:r>
      <w:r>
        <w:rPr>
          <w:spacing w:val="40"/>
        </w:rPr>
        <w:t> </w:t>
      </w:r>
      <w:r>
        <w:rPr/>
        <w:t>today.</w:t>
      </w:r>
    </w:p>
    <w:p>
      <w:pPr>
        <w:pStyle w:val="BodyText"/>
        <w:spacing w:line="249" w:lineRule="auto" w:before="63"/>
        <w:ind w:right="1437" w:firstLine="432"/>
        <w:jc w:val="both"/>
      </w:pPr>
      <w:r>
        <w:rPr>
          <w:spacing w:val="-2"/>
        </w:rPr>
        <w:t>The</w:t>
      </w:r>
      <w:r>
        <w:rPr>
          <w:spacing w:val="-11"/>
        </w:rPr>
        <w:t> </w:t>
      </w:r>
      <w:r>
        <w:rPr>
          <w:spacing w:val="-2"/>
        </w:rPr>
        <w:t>#MeToo</w:t>
      </w:r>
      <w:r>
        <w:rPr>
          <w:spacing w:val="-10"/>
        </w:rPr>
        <w:t> </w:t>
      </w:r>
      <w:r>
        <w:rPr>
          <w:spacing w:val="-2"/>
        </w:rPr>
        <w:t>movement</w:t>
      </w:r>
      <w:r>
        <w:rPr>
          <w:spacing w:val="-11"/>
        </w:rPr>
        <w:t> </w:t>
      </w:r>
      <w:r>
        <w:rPr>
          <w:spacing w:val="-2"/>
        </w:rPr>
        <w:t>demonstrates</w:t>
      </w:r>
      <w:r>
        <w:rPr>
          <w:spacing w:val="-10"/>
        </w:rPr>
        <w:t> </w:t>
      </w:r>
      <w:r>
        <w:rPr>
          <w:spacing w:val="-2"/>
        </w:rPr>
        <w:t>not</w:t>
      </w:r>
      <w:r>
        <w:rPr>
          <w:spacing w:val="-9"/>
        </w:rPr>
        <w:t> </w:t>
      </w:r>
      <w:r>
        <w:rPr>
          <w:spacing w:val="-2"/>
        </w:rPr>
        <w:t>only</w:t>
      </w:r>
      <w:r>
        <w:rPr>
          <w:spacing w:val="-11"/>
        </w:rPr>
        <w:t> </w:t>
      </w:r>
      <w:r>
        <w:rPr>
          <w:spacing w:val="-2"/>
        </w:rPr>
        <w:t>how</w:t>
      </w:r>
      <w:r>
        <w:rPr>
          <w:spacing w:val="-10"/>
        </w:rPr>
        <w:t> </w:t>
      </w:r>
      <w:r>
        <w:rPr>
          <w:spacing w:val="-2"/>
        </w:rPr>
        <w:t>external</w:t>
      </w:r>
      <w:r>
        <w:rPr>
          <w:spacing w:val="-9"/>
        </w:rPr>
        <w:t> </w:t>
      </w:r>
      <w:r>
        <w:rPr>
          <w:spacing w:val="-2"/>
        </w:rPr>
        <w:t>powers </w:t>
      </w:r>
      <w:r>
        <w:rPr/>
        <w:t>affect women, but how deeply rooted they are psychologically. They significantly influence women’s thoughts and feelings and often lead them to blame themselves. According to scholars of digital feminist activism, the #MeToo project has opened up more channels through which</w:t>
      </w:r>
      <w:r>
        <w:rPr>
          <w:spacing w:val="-7"/>
        </w:rPr>
        <w:t> </w:t>
      </w:r>
      <w:r>
        <w:rPr/>
        <w:t>women</w:t>
      </w:r>
      <w:r>
        <w:rPr>
          <w:spacing w:val="-7"/>
        </w:rPr>
        <w:t> </w:t>
      </w:r>
      <w:r>
        <w:rPr/>
        <w:t>can</w:t>
      </w:r>
      <w:r>
        <w:rPr>
          <w:spacing w:val="-6"/>
        </w:rPr>
        <w:t> </w:t>
      </w:r>
      <w:r>
        <w:rPr/>
        <w:t>take</w:t>
      </w:r>
      <w:r>
        <w:rPr>
          <w:spacing w:val="-6"/>
        </w:rPr>
        <w:t> </w:t>
      </w:r>
      <w:r>
        <w:rPr/>
        <w:t>back</w:t>
      </w:r>
      <w:r>
        <w:rPr>
          <w:spacing w:val="-7"/>
        </w:rPr>
        <w:t> </w:t>
      </w:r>
      <w:r>
        <w:rPr/>
        <w:t>their</w:t>
      </w:r>
      <w:r>
        <w:rPr>
          <w:spacing w:val="-6"/>
        </w:rPr>
        <w:t> </w:t>
      </w:r>
      <w:r>
        <w:rPr/>
        <w:t>own</w:t>
      </w:r>
      <w:r>
        <w:rPr>
          <w:spacing w:val="-6"/>
        </w:rPr>
        <w:t> </w:t>
      </w:r>
      <w:r>
        <w:rPr/>
        <w:t>voices</w:t>
      </w:r>
      <w:r>
        <w:rPr>
          <w:spacing w:val="-7"/>
        </w:rPr>
        <w:t> </w:t>
      </w:r>
      <w:r>
        <w:rPr/>
        <w:t>and</w:t>
      </w:r>
      <w:r>
        <w:rPr>
          <w:spacing w:val="-7"/>
        </w:rPr>
        <w:t> </w:t>
      </w:r>
      <w:r>
        <w:rPr/>
        <w:t>re-tell</w:t>
      </w:r>
      <w:r>
        <w:rPr>
          <w:spacing w:val="-7"/>
        </w:rPr>
        <w:t> </w:t>
      </w:r>
      <w:r>
        <w:rPr/>
        <w:t>the</w:t>
      </w:r>
      <w:r>
        <w:rPr>
          <w:spacing w:val="-6"/>
        </w:rPr>
        <w:t> </w:t>
      </w:r>
      <w:r>
        <w:rPr/>
        <w:t>history</w:t>
      </w:r>
      <w:r>
        <w:rPr>
          <w:spacing w:val="-9"/>
        </w:rPr>
        <w:t> </w:t>
      </w:r>
      <w:r>
        <w:rPr/>
        <w:t>they were denied from an earlier period (Mendes et al., 2019). Thus, within this</w:t>
      </w:r>
      <w:r>
        <w:rPr>
          <w:spacing w:val="-6"/>
        </w:rPr>
        <w:t> </w:t>
      </w:r>
      <w:r>
        <w:rPr/>
        <w:t>framework,</w:t>
      </w:r>
      <w:r>
        <w:rPr>
          <w:spacing w:val="-7"/>
        </w:rPr>
        <w:t> </w:t>
      </w:r>
      <w:r>
        <w:rPr/>
        <w:t>all</w:t>
      </w:r>
      <w:r>
        <w:rPr>
          <w:spacing w:val="-7"/>
        </w:rPr>
        <w:t> </w:t>
      </w:r>
      <w:r>
        <w:rPr/>
        <w:t>of</w:t>
      </w:r>
      <w:r>
        <w:rPr>
          <w:spacing w:val="-9"/>
        </w:rPr>
        <w:t> </w:t>
      </w:r>
      <w:r>
        <w:rPr/>
        <w:t>Shakespeare’s</w:t>
      </w:r>
      <w:r>
        <w:rPr>
          <w:spacing w:val="-7"/>
        </w:rPr>
        <w:t> </w:t>
      </w:r>
      <w:r>
        <w:rPr/>
        <w:t>female</w:t>
      </w:r>
      <w:r>
        <w:rPr>
          <w:spacing w:val="-7"/>
        </w:rPr>
        <w:t> </w:t>
      </w:r>
      <w:r>
        <w:rPr/>
        <w:t>characters</w:t>
      </w:r>
      <w:r>
        <w:rPr>
          <w:spacing w:val="-9"/>
        </w:rPr>
        <w:t> </w:t>
      </w:r>
      <w:r>
        <w:rPr/>
        <w:t>can</w:t>
      </w:r>
      <w:r>
        <w:rPr>
          <w:spacing w:val="-7"/>
        </w:rPr>
        <w:t> </w:t>
      </w:r>
      <w:r>
        <w:rPr/>
        <w:t>be</w:t>
      </w:r>
      <w:r>
        <w:rPr>
          <w:spacing w:val="-8"/>
        </w:rPr>
        <w:t> </w:t>
      </w:r>
      <w:r>
        <w:rPr/>
        <w:t>viewed</w:t>
      </w:r>
      <w:r>
        <w:rPr>
          <w:spacing w:val="-6"/>
        </w:rPr>
        <w:t> </w:t>
      </w:r>
      <w:r>
        <w:rPr/>
        <w:t>as simply being the voiceless casualties of their time; they also represent one of the earliest records of opposition, often expressed through silence, emotional breakdown, or withdrawal from the experience.</w:t>
      </w:r>
    </w:p>
    <w:p>
      <w:pPr>
        <w:pStyle w:val="Heading5"/>
        <w:spacing w:before="116"/>
      </w:pPr>
      <w:r>
        <w:rPr/>
        <w:t>4.</w:t>
      </w:r>
      <w:r>
        <w:rPr>
          <w:spacing w:val="64"/>
          <w:w w:val="150"/>
        </w:rPr>
        <w:t> </w:t>
      </w:r>
      <w:r>
        <w:rPr/>
        <w:t>Discussion:</w:t>
      </w:r>
      <w:r>
        <w:rPr>
          <w:spacing w:val="65"/>
          <w:w w:val="150"/>
        </w:rPr>
        <w:t> </w:t>
      </w:r>
      <w:r>
        <w:rPr/>
        <w:t>From</w:t>
      </w:r>
      <w:r>
        <w:rPr>
          <w:spacing w:val="63"/>
          <w:w w:val="150"/>
        </w:rPr>
        <w:t> </w:t>
      </w:r>
      <w:r>
        <w:rPr/>
        <w:t>Tragedy</w:t>
      </w:r>
      <w:r>
        <w:rPr>
          <w:spacing w:val="65"/>
          <w:w w:val="150"/>
        </w:rPr>
        <w:t> </w:t>
      </w:r>
      <w:r>
        <w:rPr/>
        <w:t>to</w:t>
      </w:r>
      <w:r>
        <w:rPr>
          <w:spacing w:val="68"/>
          <w:w w:val="150"/>
        </w:rPr>
        <w:t> </w:t>
      </w:r>
      <w:r>
        <w:rPr>
          <w:spacing w:val="-2"/>
        </w:rPr>
        <w:t>Insight</w:t>
      </w:r>
    </w:p>
    <w:p>
      <w:pPr>
        <w:pStyle w:val="BodyText"/>
        <w:spacing w:line="249" w:lineRule="auto" w:before="74"/>
        <w:ind w:right="1437" w:firstLine="432"/>
        <w:jc w:val="both"/>
      </w:pPr>
      <w:r>
        <w:rPr/>
        <w:t>By thinking of the women in these tragic scenarios not as victims or symbols of tragedy but rather as people acting out of desperation against oppressive or otherwise limiting circumstances allows for an expansion</w:t>
      </w:r>
      <w:r>
        <w:rPr>
          <w:spacing w:val="-3"/>
        </w:rPr>
        <w:t> </w:t>
      </w:r>
      <w:r>
        <w:rPr/>
        <w:t>and a</w:t>
      </w:r>
      <w:r>
        <w:rPr>
          <w:spacing w:val="-3"/>
        </w:rPr>
        <w:t> </w:t>
      </w:r>
      <w:r>
        <w:rPr/>
        <w:t>change</w:t>
      </w:r>
      <w:r>
        <w:rPr>
          <w:spacing w:val="-3"/>
        </w:rPr>
        <w:t> </w:t>
      </w:r>
      <w:r>
        <w:rPr/>
        <w:t>in</w:t>
      </w:r>
      <w:r>
        <w:rPr>
          <w:spacing w:val="-2"/>
        </w:rPr>
        <w:t> </w:t>
      </w:r>
      <w:r>
        <w:rPr/>
        <w:t>how</w:t>
      </w:r>
      <w:r>
        <w:rPr>
          <w:spacing w:val="-7"/>
        </w:rPr>
        <w:t> </w:t>
      </w:r>
      <w:r>
        <w:rPr/>
        <w:t>we</w:t>
      </w:r>
      <w:r>
        <w:rPr>
          <w:spacing w:val="-3"/>
        </w:rPr>
        <w:t> </w:t>
      </w:r>
      <w:r>
        <w:rPr/>
        <w:t>view</w:t>
      </w:r>
      <w:r>
        <w:rPr>
          <w:spacing w:val="-5"/>
        </w:rPr>
        <w:t> </w:t>
      </w:r>
      <w:r>
        <w:rPr/>
        <w:t>and feel</w:t>
      </w:r>
      <w:r>
        <w:rPr>
          <w:spacing w:val="-2"/>
        </w:rPr>
        <w:t> </w:t>
      </w:r>
      <w:r>
        <w:rPr/>
        <w:t>towards</w:t>
      </w:r>
      <w:r>
        <w:rPr>
          <w:spacing w:val="-3"/>
        </w:rPr>
        <w:t> </w:t>
      </w:r>
      <w:r>
        <w:rPr/>
        <w:t>these</w:t>
      </w:r>
      <w:r>
        <w:rPr>
          <w:spacing w:val="-1"/>
        </w:rPr>
        <w:t> </w:t>
      </w:r>
      <w:r>
        <w:rPr/>
        <w:t>women. We no longer relate to these women simply with passive sympathy but rather can view and understand their situation in a much more active way.</w:t>
      </w:r>
      <w:r>
        <w:rPr>
          <w:spacing w:val="-8"/>
        </w:rPr>
        <w:t> </w:t>
      </w:r>
      <w:r>
        <w:rPr/>
        <w:t>The</w:t>
      </w:r>
      <w:r>
        <w:rPr>
          <w:spacing w:val="-9"/>
        </w:rPr>
        <w:t> </w:t>
      </w:r>
      <w:r>
        <w:rPr/>
        <w:t>women</w:t>
      </w:r>
      <w:r>
        <w:rPr>
          <w:spacing w:val="-8"/>
        </w:rPr>
        <w:t> </w:t>
      </w:r>
      <w:r>
        <w:rPr/>
        <w:t>in</w:t>
      </w:r>
      <w:r>
        <w:rPr>
          <w:spacing w:val="-9"/>
        </w:rPr>
        <w:t> </w:t>
      </w:r>
      <w:r>
        <w:rPr/>
        <w:t>Shakespearean</w:t>
      </w:r>
      <w:r>
        <w:rPr>
          <w:spacing w:val="-8"/>
        </w:rPr>
        <w:t> </w:t>
      </w:r>
      <w:r>
        <w:rPr/>
        <w:t>plays</w:t>
      </w:r>
      <w:r>
        <w:rPr>
          <w:spacing w:val="-7"/>
        </w:rPr>
        <w:t> </w:t>
      </w:r>
      <w:r>
        <w:rPr/>
        <w:t>transform</w:t>
      </w:r>
      <w:r>
        <w:rPr>
          <w:spacing w:val="-11"/>
        </w:rPr>
        <w:t> </w:t>
      </w:r>
      <w:r>
        <w:rPr/>
        <w:t>from</w:t>
      </w:r>
      <w:r>
        <w:rPr>
          <w:spacing w:val="-11"/>
        </w:rPr>
        <w:t> </w:t>
      </w:r>
      <w:r>
        <w:rPr/>
        <w:t>being</w:t>
      </w:r>
      <w:r>
        <w:rPr>
          <w:spacing w:val="-8"/>
        </w:rPr>
        <w:t> </w:t>
      </w:r>
      <w:r>
        <w:rPr/>
        <w:t>fatalistic </w:t>
      </w:r>
      <w:r>
        <w:rPr>
          <w:spacing w:val="-2"/>
        </w:rPr>
        <w:t>characters</w:t>
      </w:r>
      <w:r>
        <w:rPr>
          <w:spacing w:val="-11"/>
        </w:rPr>
        <w:t> </w:t>
      </w:r>
      <w:r>
        <w:rPr>
          <w:spacing w:val="-2"/>
        </w:rPr>
        <w:t>distant</w:t>
      </w:r>
      <w:r>
        <w:rPr>
          <w:spacing w:val="-10"/>
        </w:rPr>
        <w:t> </w:t>
      </w:r>
      <w:r>
        <w:rPr>
          <w:spacing w:val="-2"/>
        </w:rPr>
        <w:t>from</w:t>
      </w:r>
      <w:r>
        <w:rPr>
          <w:spacing w:val="-11"/>
        </w:rPr>
        <w:t> </w:t>
      </w:r>
      <w:r>
        <w:rPr>
          <w:spacing w:val="-2"/>
        </w:rPr>
        <w:t>the</w:t>
      </w:r>
      <w:r>
        <w:rPr>
          <w:spacing w:val="-10"/>
        </w:rPr>
        <w:t> </w:t>
      </w:r>
      <w:r>
        <w:rPr>
          <w:spacing w:val="-2"/>
        </w:rPr>
        <w:t>audience</w:t>
      </w:r>
      <w:r>
        <w:rPr>
          <w:spacing w:val="-11"/>
        </w:rPr>
        <w:t> </w:t>
      </w:r>
      <w:r>
        <w:rPr>
          <w:spacing w:val="-2"/>
        </w:rPr>
        <w:t>to</w:t>
      </w:r>
      <w:r>
        <w:rPr>
          <w:spacing w:val="-10"/>
        </w:rPr>
        <w:t> </w:t>
      </w:r>
      <w:r>
        <w:rPr>
          <w:spacing w:val="-2"/>
        </w:rPr>
        <w:t>having</w:t>
      </w:r>
      <w:r>
        <w:rPr>
          <w:spacing w:val="-11"/>
        </w:rPr>
        <w:t> </w:t>
      </w:r>
      <w:r>
        <w:rPr>
          <w:spacing w:val="-2"/>
        </w:rPr>
        <w:t>real</w:t>
      </w:r>
      <w:r>
        <w:rPr>
          <w:spacing w:val="-10"/>
        </w:rPr>
        <w:t> </w:t>
      </w:r>
      <w:r>
        <w:rPr>
          <w:spacing w:val="-2"/>
        </w:rPr>
        <w:t>and</w:t>
      </w:r>
      <w:r>
        <w:rPr>
          <w:spacing w:val="-11"/>
        </w:rPr>
        <w:t> </w:t>
      </w:r>
      <w:r>
        <w:rPr>
          <w:spacing w:val="-2"/>
        </w:rPr>
        <w:t>complex</w:t>
      </w:r>
      <w:r>
        <w:rPr>
          <w:spacing w:val="-10"/>
        </w:rPr>
        <w:t> </w:t>
      </w:r>
      <w:r>
        <w:rPr>
          <w:spacing w:val="-2"/>
        </w:rPr>
        <w:t>emotional </w:t>
      </w:r>
      <w:r>
        <w:rPr/>
        <w:t>lives as they</w:t>
      </w:r>
      <w:r>
        <w:rPr>
          <w:spacing w:val="-2"/>
        </w:rPr>
        <w:t> </w:t>
      </w:r>
      <w:r>
        <w:rPr/>
        <w:t>attempt to negotiate power, silence, and their own identity in a patriarchal society.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7920">
                <wp:simplePos x="0" y="0"/>
                <wp:positionH relativeFrom="page">
                  <wp:posOffset>2057400</wp:posOffset>
                </wp:positionH>
                <wp:positionV relativeFrom="paragraph">
                  <wp:posOffset>162604</wp:posOffset>
                </wp:positionV>
                <wp:extent cx="3657600" cy="12700"/>
                <wp:effectExtent l="0" t="0" r="0" b="0"/>
                <wp:wrapTopAndBottom/>
                <wp:docPr id="347" name="Graphic 347"/>
                <wp:cNvGraphicFramePr>
                  <a:graphicFrameLocks/>
                </wp:cNvGraphicFramePr>
                <a:graphic>
                  <a:graphicData uri="http://schemas.microsoft.com/office/word/2010/wordprocessingShape">
                    <wps:wsp>
                      <wps:cNvPr id="347" name="Graphic 34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18560;mso-wrap-distance-left:0;mso-wrap-distance-right:0" id="docshape343" filled="true" fillcolor="#000000" stroked="false">
                <v:fill type="solid"/>
                <w10:wrap type="topAndBottom"/>
              </v:rect>
            </w:pict>
          </mc:Fallback>
        </mc:AlternateContent>
      </w:r>
      <w:r>
        <w:rPr>
          <w:rFonts w:ascii="Verdana"/>
          <w:spacing w:val="-5"/>
          <w:sz w:val="18"/>
        </w:rPr>
        <w:t>128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firstLine="432"/>
        <w:jc w:val="both"/>
      </w:pPr>
      <w:r>
        <w:rPr/>
        <w:t>By</w:t>
      </w:r>
      <w:r>
        <w:rPr>
          <w:spacing w:val="-10"/>
        </w:rPr>
        <w:t> </w:t>
      </w:r>
      <w:r>
        <w:rPr/>
        <w:t>examining</w:t>
      </w:r>
      <w:r>
        <w:rPr>
          <w:spacing w:val="-10"/>
        </w:rPr>
        <w:t> </w:t>
      </w:r>
      <w:r>
        <w:rPr/>
        <w:t>their</w:t>
      </w:r>
      <w:r>
        <w:rPr>
          <w:spacing w:val="-4"/>
        </w:rPr>
        <w:t> </w:t>
      </w:r>
      <w:r>
        <w:rPr/>
        <w:t>subjective</w:t>
      </w:r>
      <w:r>
        <w:rPr>
          <w:spacing w:val="-4"/>
        </w:rPr>
        <w:t> </w:t>
      </w:r>
      <w:r>
        <w:rPr/>
        <w:t>experience,</w:t>
      </w:r>
      <w:r>
        <w:rPr>
          <w:spacing w:val="-6"/>
        </w:rPr>
        <w:t> </w:t>
      </w:r>
      <w:r>
        <w:rPr/>
        <w:t>we</w:t>
      </w:r>
      <w:r>
        <w:rPr>
          <w:spacing w:val="-6"/>
        </w:rPr>
        <w:t> </w:t>
      </w:r>
      <w:r>
        <w:rPr/>
        <w:t>see</w:t>
      </w:r>
      <w:r>
        <w:rPr>
          <w:spacing w:val="-6"/>
        </w:rPr>
        <w:t> </w:t>
      </w:r>
      <w:r>
        <w:rPr/>
        <w:t>that</w:t>
      </w:r>
      <w:r>
        <w:rPr>
          <w:spacing w:val="-8"/>
        </w:rPr>
        <w:t> </w:t>
      </w:r>
      <w:r>
        <w:rPr/>
        <w:t>their</w:t>
      </w:r>
      <w:r>
        <w:rPr>
          <w:spacing w:val="-3"/>
        </w:rPr>
        <w:t> </w:t>
      </w:r>
      <w:r>
        <w:rPr/>
        <w:t>actions are less erratic and more predictable. Characters like Ophelia, Lady Macbeth, and Desdemona exist in a state of continuous emotional pressure, nurturing neglect, and denial of self-determination. Ophelia’s outburst of emotion upon her death is the result of years of repression that</w:t>
      </w:r>
      <w:r>
        <w:rPr>
          <w:spacing w:val="-13"/>
        </w:rPr>
        <w:t> </w:t>
      </w:r>
      <w:r>
        <w:rPr/>
        <w:t>have</w:t>
      </w:r>
      <w:r>
        <w:rPr>
          <w:spacing w:val="-12"/>
        </w:rPr>
        <w:t> </w:t>
      </w:r>
      <w:r>
        <w:rPr/>
        <w:t>prevented</w:t>
      </w:r>
      <w:r>
        <w:rPr>
          <w:spacing w:val="-13"/>
        </w:rPr>
        <w:t> </w:t>
      </w:r>
      <w:r>
        <w:rPr/>
        <w:t>the</w:t>
      </w:r>
      <w:r>
        <w:rPr>
          <w:spacing w:val="-12"/>
        </w:rPr>
        <w:t> </w:t>
      </w:r>
      <w:r>
        <w:rPr/>
        <w:t>growth</w:t>
      </w:r>
      <w:r>
        <w:rPr>
          <w:spacing w:val="-13"/>
        </w:rPr>
        <w:t> </w:t>
      </w:r>
      <w:r>
        <w:rPr/>
        <w:t>of</w:t>
      </w:r>
      <w:r>
        <w:rPr>
          <w:spacing w:val="-12"/>
        </w:rPr>
        <w:t> </w:t>
      </w:r>
      <w:r>
        <w:rPr/>
        <w:t>her</w:t>
      </w:r>
      <w:r>
        <w:rPr>
          <w:spacing w:val="-13"/>
        </w:rPr>
        <w:t> </w:t>
      </w:r>
      <w:r>
        <w:rPr/>
        <w:t>entire</w:t>
      </w:r>
      <w:r>
        <w:rPr>
          <w:spacing w:val="-12"/>
        </w:rPr>
        <w:t> </w:t>
      </w:r>
      <w:r>
        <w:rPr/>
        <w:t>personality;</w:t>
      </w:r>
      <w:r>
        <w:rPr>
          <w:spacing w:val="-13"/>
        </w:rPr>
        <w:t> </w:t>
      </w:r>
      <w:r>
        <w:rPr/>
        <w:t>Lady</w:t>
      </w:r>
      <w:r>
        <w:rPr>
          <w:spacing w:val="-12"/>
        </w:rPr>
        <w:t> </w:t>
      </w:r>
      <w:r>
        <w:rPr/>
        <w:t>Macbeth’s guilt</w:t>
      </w:r>
      <w:r>
        <w:rPr>
          <w:spacing w:val="-6"/>
        </w:rPr>
        <w:t> </w:t>
      </w:r>
      <w:r>
        <w:rPr/>
        <w:t>and</w:t>
      </w:r>
      <w:r>
        <w:rPr>
          <w:spacing w:val="-4"/>
        </w:rPr>
        <w:t> </w:t>
      </w:r>
      <w:r>
        <w:rPr/>
        <w:t>emotion</w:t>
      </w:r>
      <w:r>
        <w:rPr>
          <w:spacing w:val="-6"/>
        </w:rPr>
        <w:t> </w:t>
      </w:r>
      <w:r>
        <w:rPr/>
        <w:t>are</w:t>
      </w:r>
      <w:r>
        <w:rPr>
          <w:spacing w:val="-3"/>
        </w:rPr>
        <w:t> </w:t>
      </w:r>
      <w:r>
        <w:rPr/>
        <w:t>the</w:t>
      </w:r>
      <w:r>
        <w:rPr>
          <w:spacing w:val="-6"/>
        </w:rPr>
        <w:t> </w:t>
      </w:r>
      <w:r>
        <w:rPr/>
        <w:t>result</w:t>
      </w:r>
      <w:r>
        <w:rPr>
          <w:spacing w:val="-4"/>
        </w:rPr>
        <w:t> </w:t>
      </w:r>
      <w:r>
        <w:rPr/>
        <w:t>of</w:t>
      </w:r>
      <w:r>
        <w:rPr>
          <w:spacing w:val="-6"/>
        </w:rPr>
        <w:t> </w:t>
      </w:r>
      <w:r>
        <w:rPr/>
        <w:t>the</w:t>
      </w:r>
      <w:r>
        <w:rPr>
          <w:spacing w:val="-5"/>
        </w:rPr>
        <w:t> </w:t>
      </w:r>
      <w:r>
        <w:rPr/>
        <w:t>inability</w:t>
      </w:r>
      <w:r>
        <w:rPr>
          <w:spacing w:val="-8"/>
        </w:rPr>
        <w:t> </w:t>
      </w:r>
      <w:r>
        <w:rPr/>
        <w:t>to</w:t>
      </w:r>
      <w:r>
        <w:rPr>
          <w:spacing w:val="-4"/>
        </w:rPr>
        <w:t> </w:t>
      </w:r>
      <w:r>
        <w:rPr/>
        <w:t>live</w:t>
      </w:r>
      <w:r>
        <w:rPr>
          <w:spacing w:val="-4"/>
        </w:rPr>
        <w:t> </w:t>
      </w:r>
      <w:r>
        <w:rPr/>
        <w:t>up</w:t>
      </w:r>
      <w:r>
        <w:rPr>
          <w:spacing w:val="-4"/>
        </w:rPr>
        <w:t> </w:t>
      </w:r>
      <w:r>
        <w:rPr/>
        <w:t>to</w:t>
      </w:r>
      <w:r>
        <w:rPr>
          <w:spacing w:val="-4"/>
        </w:rPr>
        <w:t> </w:t>
      </w:r>
      <w:r>
        <w:rPr/>
        <w:t>what</w:t>
      </w:r>
      <w:r>
        <w:rPr>
          <w:spacing w:val="-6"/>
        </w:rPr>
        <w:t> </w:t>
      </w:r>
      <w:r>
        <w:rPr/>
        <w:t>society tells her she should be, and Desdemona’s silence is not an act of cowardice,</w:t>
      </w:r>
      <w:r>
        <w:rPr>
          <w:spacing w:val="40"/>
        </w:rPr>
        <w:t> </w:t>
      </w:r>
      <w:r>
        <w:rPr/>
        <w:t>but</w:t>
      </w:r>
      <w:r>
        <w:rPr>
          <w:spacing w:val="40"/>
        </w:rPr>
        <w:t> </w:t>
      </w:r>
      <w:r>
        <w:rPr/>
        <w:t>a</w:t>
      </w:r>
      <w:r>
        <w:rPr>
          <w:spacing w:val="40"/>
        </w:rPr>
        <w:t> </w:t>
      </w:r>
      <w:r>
        <w:rPr/>
        <w:t>testament</w:t>
      </w:r>
      <w:r>
        <w:rPr>
          <w:spacing w:val="40"/>
        </w:rPr>
        <w:t> </w:t>
      </w:r>
      <w:r>
        <w:rPr/>
        <w:t>to</w:t>
      </w:r>
      <w:r>
        <w:rPr>
          <w:spacing w:val="40"/>
        </w:rPr>
        <w:t> </w:t>
      </w:r>
      <w:r>
        <w:rPr/>
        <w:t>a</w:t>
      </w:r>
      <w:r>
        <w:rPr>
          <w:spacing w:val="40"/>
        </w:rPr>
        <w:t> </w:t>
      </w:r>
      <w:r>
        <w:rPr/>
        <w:t>society’s</w:t>
      </w:r>
      <w:r>
        <w:rPr>
          <w:spacing w:val="40"/>
        </w:rPr>
        <w:t> </w:t>
      </w:r>
      <w:r>
        <w:rPr/>
        <w:t>refusal</w:t>
      </w:r>
      <w:r>
        <w:rPr>
          <w:spacing w:val="40"/>
        </w:rPr>
        <w:t> </w:t>
      </w:r>
      <w:r>
        <w:rPr/>
        <w:t>to</w:t>
      </w:r>
      <w:r>
        <w:rPr>
          <w:spacing w:val="40"/>
        </w:rPr>
        <w:t> </w:t>
      </w:r>
      <w:r>
        <w:rPr/>
        <w:t>hear</w:t>
      </w:r>
      <w:r>
        <w:rPr>
          <w:spacing w:val="40"/>
        </w:rPr>
        <w:t> </w:t>
      </w:r>
      <w:r>
        <w:rPr/>
        <w:t>her.</w:t>
      </w:r>
    </w:p>
    <w:p>
      <w:pPr>
        <w:pStyle w:val="BodyText"/>
        <w:spacing w:line="249" w:lineRule="auto" w:before="65"/>
        <w:ind w:right="1438" w:firstLine="432"/>
        <w:jc w:val="both"/>
      </w:pPr>
      <w:r>
        <w:rPr/>
        <w:t>According to feminist theorists, mental disorders are part of a collective</w:t>
      </w:r>
      <w:r>
        <w:rPr>
          <w:spacing w:val="-5"/>
        </w:rPr>
        <w:t> </w:t>
      </w:r>
      <w:r>
        <w:rPr/>
        <w:t>whole;</w:t>
      </w:r>
      <w:r>
        <w:rPr>
          <w:spacing w:val="-4"/>
        </w:rPr>
        <w:t> </w:t>
      </w:r>
      <w:r>
        <w:rPr/>
        <w:t>they</w:t>
      </w:r>
      <w:r>
        <w:rPr>
          <w:spacing w:val="-8"/>
        </w:rPr>
        <w:t> </w:t>
      </w:r>
      <w:r>
        <w:rPr/>
        <w:t>do</w:t>
      </w:r>
      <w:r>
        <w:rPr>
          <w:spacing w:val="-2"/>
        </w:rPr>
        <w:t> </w:t>
      </w:r>
      <w:r>
        <w:rPr/>
        <w:t>not</w:t>
      </w:r>
      <w:r>
        <w:rPr>
          <w:spacing w:val="-4"/>
        </w:rPr>
        <w:t> </w:t>
      </w:r>
      <w:r>
        <w:rPr/>
        <w:t>exist</w:t>
      </w:r>
      <w:r>
        <w:rPr>
          <w:spacing w:val="-6"/>
        </w:rPr>
        <w:t> </w:t>
      </w:r>
      <w:r>
        <w:rPr/>
        <w:t>just</w:t>
      </w:r>
      <w:r>
        <w:rPr>
          <w:spacing w:val="-2"/>
        </w:rPr>
        <w:t> </w:t>
      </w:r>
      <w:r>
        <w:rPr/>
        <w:t>as</w:t>
      </w:r>
      <w:r>
        <w:rPr>
          <w:spacing w:val="-6"/>
        </w:rPr>
        <w:t> </w:t>
      </w:r>
      <w:r>
        <w:rPr/>
        <w:t>an</w:t>
      </w:r>
      <w:r>
        <w:rPr>
          <w:spacing w:val="-4"/>
        </w:rPr>
        <w:t> </w:t>
      </w:r>
      <w:r>
        <w:rPr/>
        <w:t>individual</w:t>
      </w:r>
      <w:r>
        <w:rPr>
          <w:spacing w:val="-6"/>
        </w:rPr>
        <w:t> </w:t>
      </w:r>
      <w:r>
        <w:rPr/>
        <w:t>problem,</w:t>
      </w:r>
      <w:r>
        <w:rPr>
          <w:spacing w:val="-2"/>
        </w:rPr>
        <w:t> </w:t>
      </w:r>
      <w:r>
        <w:rPr/>
        <w:t>but</w:t>
      </w:r>
      <w:r>
        <w:rPr>
          <w:spacing w:val="-5"/>
        </w:rPr>
        <w:t> </w:t>
      </w:r>
      <w:r>
        <w:rPr/>
        <w:t>are based on social and political realities (hooks, 2000). For many women, their emotional hardship arises out of their environments in which they have been controlled, not understood, and/or denied their right to voice their feelings.</w:t>
      </w:r>
      <w:r>
        <w:rPr>
          <w:spacing w:val="-2"/>
        </w:rPr>
        <w:t> </w:t>
      </w:r>
      <w:r>
        <w:rPr/>
        <w:t>Therefore, what Shakespeare’s a female character appear to be experiencing, as emotional instability, can be re-contacted as an outcome of the continuous structural oppression that has occurred to women</w:t>
      </w:r>
      <w:r>
        <w:rPr>
          <w:spacing w:val="40"/>
        </w:rPr>
        <w:t> </w:t>
      </w:r>
      <w:r>
        <w:rPr/>
        <w:t>throughout</w:t>
      </w:r>
      <w:r>
        <w:rPr>
          <w:spacing w:val="40"/>
        </w:rPr>
        <w:t> </w:t>
      </w:r>
      <w:r>
        <w:rPr/>
        <w:t>the</w:t>
      </w:r>
      <w:r>
        <w:rPr>
          <w:spacing w:val="40"/>
        </w:rPr>
        <w:t> </w:t>
      </w:r>
      <w:r>
        <w:rPr/>
        <w:t>ages.</w:t>
      </w:r>
    </w:p>
    <w:p>
      <w:pPr>
        <w:pStyle w:val="BodyText"/>
        <w:spacing w:line="249" w:lineRule="auto" w:before="65"/>
        <w:ind w:right="1440" w:firstLine="432"/>
        <w:jc w:val="both"/>
      </w:pPr>
      <w:r>
        <w:rPr/>
        <w:t>Emphasizing an understanding of this through the lens of the Me-Too movement provides further evidence to support this interpretation. The Me-Too movement has identified that the experience of women having</w:t>
      </w:r>
      <w:r>
        <w:rPr>
          <w:spacing w:val="-1"/>
        </w:rPr>
        <w:t> </w:t>
      </w:r>
      <w:r>
        <w:rPr/>
        <w:t>been</w:t>
      </w:r>
      <w:r>
        <w:rPr>
          <w:spacing w:val="-3"/>
        </w:rPr>
        <w:t> </w:t>
      </w:r>
      <w:r>
        <w:rPr/>
        <w:t>silenced, emotionally</w:t>
      </w:r>
      <w:r>
        <w:rPr>
          <w:spacing w:val="-3"/>
        </w:rPr>
        <w:t> </w:t>
      </w:r>
      <w:r>
        <w:rPr/>
        <w:t>abused, and experiencing inequity</w:t>
      </w:r>
      <w:r>
        <w:rPr>
          <w:spacing w:val="-3"/>
        </w:rPr>
        <w:t> </w:t>
      </w:r>
      <w:r>
        <w:rPr/>
        <w:t>in power</w:t>
      </w:r>
      <w:r>
        <w:rPr>
          <w:spacing w:val="-5"/>
        </w:rPr>
        <w:t> </w:t>
      </w:r>
      <w:r>
        <w:rPr/>
        <w:t>is</w:t>
      </w:r>
      <w:r>
        <w:rPr>
          <w:spacing w:val="-5"/>
        </w:rPr>
        <w:t> </w:t>
      </w:r>
      <w:r>
        <w:rPr/>
        <w:t>not</w:t>
      </w:r>
      <w:r>
        <w:rPr>
          <w:spacing w:val="-6"/>
        </w:rPr>
        <w:t> </w:t>
      </w:r>
      <w:r>
        <w:rPr/>
        <w:t>an</w:t>
      </w:r>
      <w:r>
        <w:rPr>
          <w:spacing w:val="-6"/>
        </w:rPr>
        <w:t> </w:t>
      </w:r>
      <w:r>
        <w:rPr/>
        <w:t>isolated</w:t>
      </w:r>
      <w:r>
        <w:rPr>
          <w:spacing w:val="-3"/>
        </w:rPr>
        <w:t> </w:t>
      </w:r>
      <w:r>
        <w:rPr/>
        <w:t>event;</w:t>
      </w:r>
      <w:r>
        <w:rPr>
          <w:spacing w:val="-5"/>
        </w:rPr>
        <w:t> </w:t>
      </w:r>
      <w:r>
        <w:rPr/>
        <w:t>these</w:t>
      </w:r>
      <w:r>
        <w:rPr>
          <w:spacing w:val="-6"/>
        </w:rPr>
        <w:t> </w:t>
      </w:r>
      <w:r>
        <w:rPr/>
        <w:t>events</w:t>
      </w:r>
      <w:r>
        <w:rPr>
          <w:spacing w:val="-5"/>
        </w:rPr>
        <w:t> </w:t>
      </w:r>
      <w:r>
        <w:rPr/>
        <w:t>reflect</w:t>
      </w:r>
      <w:r>
        <w:rPr>
          <w:spacing w:val="-6"/>
        </w:rPr>
        <w:t> </w:t>
      </w:r>
      <w:r>
        <w:rPr/>
        <w:t>a</w:t>
      </w:r>
      <w:r>
        <w:rPr>
          <w:spacing w:val="-6"/>
        </w:rPr>
        <w:t> </w:t>
      </w:r>
      <w:r>
        <w:rPr/>
        <w:t>much</w:t>
      </w:r>
      <w:r>
        <w:rPr>
          <w:spacing w:val="-5"/>
        </w:rPr>
        <w:t> </w:t>
      </w:r>
      <w:r>
        <w:rPr/>
        <w:t>larger</w:t>
      </w:r>
      <w:r>
        <w:rPr>
          <w:spacing w:val="-5"/>
        </w:rPr>
        <w:t> </w:t>
      </w:r>
      <w:r>
        <w:rPr/>
        <w:t>overall physical structure. When we perceive Shakespeare’s female characters through this modern day conceptualization, they have characteristics that appear to be familiar. Their anguish resonates deeply with us, not due</w:t>
      </w:r>
      <w:r>
        <w:rPr>
          <w:spacing w:val="17"/>
        </w:rPr>
        <w:t> </w:t>
      </w:r>
      <w:r>
        <w:rPr/>
        <w:t>to</w:t>
      </w:r>
      <w:r>
        <w:rPr>
          <w:spacing w:val="20"/>
        </w:rPr>
        <w:t> </w:t>
      </w:r>
      <w:r>
        <w:rPr/>
        <w:t>the</w:t>
      </w:r>
      <w:r>
        <w:rPr>
          <w:spacing w:val="16"/>
        </w:rPr>
        <w:t> </w:t>
      </w:r>
      <w:r>
        <w:rPr/>
        <w:t>drama</w:t>
      </w:r>
      <w:r>
        <w:rPr>
          <w:spacing w:val="18"/>
        </w:rPr>
        <w:t> </w:t>
      </w:r>
      <w:r>
        <w:rPr/>
        <w:t>in</w:t>
      </w:r>
      <w:r>
        <w:rPr>
          <w:spacing w:val="16"/>
        </w:rPr>
        <w:t> </w:t>
      </w:r>
      <w:r>
        <w:rPr/>
        <w:t>which</w:t>
      </w:r>
      <w:r>
        <w:rPr>
          <w:spacing w:val="18"/>
        </w:rPr>
        <w:t> </w:t>
      </w:r>
      <w:r>
        <w:rPr/>
        <w:t>it</w:t>
      </w:r>
      <w:r>
        <w:rPr>
          <w:spacing w:val="16"/>
        </w:rPr>
        <w:t> </w:t>
      </w:r>
      <w:r>
        <w:rPr/>
        <w:t>appears,</w:t>
      </w:r>
      <w:r>
        <w:rPr>
          <w:spacing w:val="20"/>
        </w:rPr>
        <w:t> </w:t>
      </w:r>
      <w:r>
        <w:rPr/>
        <w:t>rather,</w:t>
      </w:r>
      <w:r>
        <w:rPr>
          <w:spacing w:val="18"/>
        </w:rPr>
        <w:t> </w:t>
      </w:r>
      <w:r>
        <w:rPr/>
        <w:t>because</w:t>
      </w:r>
      <w:r>
        <w:rPr>
          <w:spacing w:val="19"/>
        </w:rPr>
        <w:t> </w:t>
      </w:r>
      <w:r>
        <w:rPr/>
        <w:t>of the</w:t>
      </w:r>
      <w:r>
        <w:rPr>
          <w:spacing w:val="18"/>
        </w:rPr>
        <w:t> </w:t>
      </w:r>
      <w:r>
        <w:rPr/>
        <w:t>reality of </w:t>
      </w:r>
      <w:r>
        <w:rPr>
          <w:spacing w:val="-4"/>
        </w:rPr>
        <w:t>it.</w:t>
      </w:r>
    </w:p>
    <w:p>
      <w:pPr>
        <w:pStyle w:val="BodyText"/>
        <w:spacing w:line="249" w:lineRule="auto" w:before="68"/>
        <w:ind w:right="1439" w:firstLine="432"/>
        <w:jc w:val="both"/>
      </w:pPr>
      <w:r>
        <w:rPr/>
        <w:t>The transformation from viewing these women solely as symbols of tragedy to now also being viewed as individual women who have been shaped through these circumstances, allows of a compassionate and</w:t>
      </w:r>
      <w:r>
        <w:rPr>
          <w:spacing w:val="40"/>
        </w:rPr>
        <w:t> </w:t>
      </w:r>
      <w:r>
        <w:rPr/>
        <w:t>thus</w:t>
      </w:r>
      <w:r>
        <w:rPr>
          <w:spacing w:val="40"/>
        </w:rPr>
        <w:t> </w:t>
      </w:r>
      <w:r>
        <w:rPr/>
        <w:t>meaningful</w:t>
      </w:r>
      <w:r>
        <w:rPr>
          <w:spacing w:val="40"/>
        </w:rPr>
        <w:t> </w:t>
      </w:r>
      <w:r>
        <w:rPr/>
        <w:t>reading</w:t>
      </w:r>
      <w:r>
        <w:rPr>
          <w:spacing w:val="40"/>
        </w:rPr>
        <w:t> </w:t>
      </w:r>
      <w:r>
        <w:rPr/>
        <w:t>of</w:t>
      </w:r>
      <w:r>
        <w:rPr>
          <w:spacing w:val="40"/>
        </w:rPr>
        <w:t> </w:t>
      </w:r>
      <w:r>
        <w:rPr/>
        <w:t>the</w:t>
      </w:r>
      <w:r>
        <w:rPr>
          <w:spacing w:val="40"/>
        </w:rPr>
        <w:t> </w:t>
      </w:r>
      <w:r>
        <w:rPr/>
        <w:t>characters</w:t>
      </w:r>
    </w:p>
    <w:p>
      <w:pPr>
        <w:pStyle w:val="BodyText"/>
        <w:spacing w:line="249" w:lineRule="auto" w:before="61"/>
        <w:ind w:right="1437" w:firstLine="432"/>
        <w:jc w:val="both"/>
      </w:pPr>
      <w:r>
        <w:rPr/>
        <w:t>Through this transformation, we are encouraged to listen more intently to their silence, to take their feelings into account, and to critique the structures through which they were/are victimized. During this period, the works of Shakespeare were evolving into living documents that represent the nature of humanity, and thus creating progressively combined relationships between a person’s gender, the power</w:t>
      </w:r>
      <w:r>
        <w:rPr>
          <w:spacing w:val="40"/>
        </w:rPr>
        <w:t> </w:t>
      </w:r>
      <w:r>
        <w:rPr/>
        <w:t>of</w:t>
      </w:r>
      <w:r>
        <w:rPr>
          <w:spacing w:val="40"/>
        </w:rPr>
        <w:t> </w:t>
      </w:r>
      <w:r>
        <w:rPr/>
        <w:t>personhood,</w:t>
      </w:r>
      <w:r>
        <w:rPr>
          <w:spacing w:val="40"/>
        </w:rPr>
        <w:t> </w:t>
      </w:r>
      <w:r>
        <w:rPr/>
        <w:t>and</w:t>
      </w:r>
      <w:r>
        <w:rPr>
          <w:spacing w:val="40"/>
        </w:rPr>
        <w:t> </w:t>
      </w:r>
      <w:r>
        <w:rPr/>
        <w:t>mental</w:t>
      </w:r>
      <w:r>
        <w:rPr>
          <w:spacing w:val="40"/>
        </w:rPr>
        <w:t> </w:t>
      </w:r>
      <w:r>
        <w:rPr/>
        <w:t>health.</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8432">
                <wp:simplePos x="0" y="0"/>
                <wp:positionH relativeFrom="page">
                  <wp:posOffset>2065020</wp:posOffset>
                </wp:positionH>
                <wp:positionV relativeFrom="paragraph">
                  <wp:posOffset>162604</wp:posOffset>
                </wp:positionV>
                <wp:extent cx="3657600" cy="12700"/>
                <wp:effectExtent l="0" t="0" r="0" b="0"/>
                <wp:wrapTopAndBottom/>
                <wp:docPr id="348" name="Graphic 348"/>
                <wp:cNvGraphicFramePr>
                  <a:graphicFrameLocks/>
                </wp:cNvGraphicFramePr>
                <a:graphic>
                  <a:graphicData uri="http://schemas.microsoft.com/office/word/2010/wordprocessingShape">
                    <wps:wsp>
                      <wps:cNvPr id="348" name="Graphic 34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618048;mso-wrap-distance-left:0;mso-wrap-distance-right:0" id="docshape344" filled="true" fillcolor="#000000" stroked="false">
                <v:fill type="solid"/>
                <w10:wrap type="topAndBottom"/>
              </v:rect>
            </w:pict>
          </mc:Fallback>
        </mc:AlternateContent>
      </w:r>
      <w:r>
        <w:rPr>
          <w:rFonts w:ascii="Verdana"/>
          <w:sz w:val="18"/>
        </w:rPr>
        <w:t>Madness</w:t>
      </w:r>
      <w:r>
        <w:rPr>
          <w:rFonts w:ascii="Verdana"/>
          <w:spacing w:val="-7"/>
          <w:sz w:val="18"/>
        </w:rPr>
        <w:t> </w:t>
      </w:r>
      <w:r>
        <w:rPr>
          <w:rFonts w:ascii="Verdana"/>
          <w:sz w:val="18"/>
        </w:rPr>
        <w:t>as</w:t>
      </w:r>
      <w:r>
        <w:rPr>
          <w:rFonts w:ascii="Verdana"/>
          <w:spacing w:val="-7"/>
          <w:sz w:val="18"/>
        </w:rPr>
        <w:t> </w:t>
      </w:r>
      <w:r>
        <w:rPr>
          <w:rFonts w:ascii="Verdana"/>
          <w:sz w:val="18"/>
        </w:rPr>
        <w:t>A</w:t>
      </w:r>
      <w:r>
        <w:rPr>
          <w:rFonts w:ascii="Verdana"/>
          <w:spacing w:val="-11"/>
          <w:sz w:val="18"/>
        </w:rPr>
        <w:t> </w:t>
      </w:r>
      <w:r>
        <w:rPr>
          <w:rFonts w:ascii="Verdana"/>
          <w:sz w:val="18"/>
        </w:rPr>
        <w:t>Social</w:t>
      </w:r>
      <w:r>
        <w:rPr>
          <w:rFonts w:ascii="Verdana"/>
          <w:spacing w:val="-7"/>
          <w:sz w:val="18"/>
        </w:rPr>
        <w:t> </w:t>
      </w:r>
      <w:r>
        <w:rPr>
          <w:rFonts w:ascii="Verdana"/>
          <w:sz w:val="18"/>
        </w:rPr>
        <w:t>Construction:</w:t>
      </w:r>
      <w:r>
        <w:rPr>
          <w:rFonts w:ascii="Verdana"/>
          <w:spacing w:val="-8"/>
          <w:sz w:val="18"/>
        </w:rPr>
        <w:t> </w:t>
      </w:r>
      <w:r>
        <w:rPr>
          <w:rFonts w:ascii="Verdana"/>
          <w:sz w:val="18"/>
        </w:rPr>
        <w:t>Trauma,</w:t>
      </w:r>
      <w:r>
        <w:rPr>
          <w:rFonts w:ascii="Verdana"/>
          <w:spacing w:val="-7"/>
          <w:sz w:val="18"/>
        </w:rPr>
        <w:t> </w:t>
      </w:r>
      <w:r>
        <w:rPr>
          <w:rFonts w:ascii="Verdana"/>
          <w:sz w:val="18"/>
        </w:rPr>
        <w:t>Guilt</w:t>
      </w:r>
      <w:r>
        <w:rPr>
          <w:rFonts w:ascii="Verdana"/>
          <w:spacing w:val="-6"/>
          <w:sz w:val="18"/>
        </w:rPr>
        <w:t> </w:t>
      </w:r>
      <w:r>
        <w:rPr>
          <w:rFonts w:ascii="Verdana"/>
          <w:spacing w:val="-5"/>
          <w:sz w:val="18"/>
        </w:rPr>
        <w:t>...</w:t>
      </w:r>
      <w:r>
        <w:rPr>
          <w:sz w:val="18"/>
        </w:rPr>
        <w:tab/>
      </w:r>
      <w:r>
        <w:rPr>
          <w:rFonts w:ascii="Verdana"/>
          <w:spacing w:val="-5"/>
          <w:sz w:val="18"/>
        </w:rPr>
        <w:t>129</w:t>
      </w:r>
    </w:p>
    <w:p>
      <w:pPr>
        <w:pStyle w:val="Heading3"/>
      </w:pPr>
      <w:r>
        <w:rPr>
          <w:spacing w:val="-2"/>
        </w:rPr>
        <w:t>CONCLUSION</w:t>
      </w:r>
    </w:p>
    <w:p>
      <w:pPr>
        <w:pStyle w:val="BodyText"/>
        <w:spacing w:line="249" w:lineRule="auto" w:before="75"/>
        <w:ind w:right="1435" w:firstLine="432"/>
        <w:jc w:val="both"/>
      </w:pPr>
      <w:r>
        <w:rPr/>
        <w:t>Feminist theory, trauma theory, and psychoanalysis provide new perspectives on the lives of women in William Shakespeare’s works. Rather than seeing characters such as Ophelia, Lady Macbeth, Desdemona, Cordelia (heir apparent), and the tragic Helena as simply “mad,” “nasty,” or “subterranean,” they</w:t>
      </w:r>
      <w:r>
        <w:rPr>
          <w:spacing w:val="-1"/>
        </w:rPr>
        <w:t> </w:t>
      </w:r>
      <w:r>
        <w:rPr/>
        <w:t>can be viewed through the lens of psychological complexity with regards to how their personal lives were shaped by systems of power, control, and the suppression of emotion.</w:t>
      </w:r>
      <w:r>
        <w:rPr>
          <w:spacing w:val="-1"/>
        </w:rPr>
        <w:t> </w:t>
      </w:r>
      <w:r>
        <w:rPr/>
        <w:t>What</w:t>
      </w:r>
      <w:r>
        <w:rPr>
          <w:spacing w:val="-5"/>
        </w:rPr>
        <w:t> </w:t>
      </w:r>
      <w:r>
        <w:rPr/>
        <w:t>is</w:t>
      </w:r>
      <w:r>
        <w:rPr>
          <w:spacing w:val="-3"/>
        </w:rPr>
        <w:t> </w:t>
      </w:r>
      <w:r>
        <w:rPr/>
        <w:t>commonly</w:t>
      </w:r>
      <w:r>
        <w:rPr>
          <w:spacing w:val="-8"/>
        </w:rPr>
        <w:t> </w:t>
      </w:r>
      <w:r>
        <w:rPr/>
        <w:t>labelled</w:t>
      </w:r>
      <w:r>
        <w:rPr>
          <w:spacing w:val="-1"/>
        </w:rPr>
        <w:t> </w:t>
      </w:r>
      <w:r>
        <w:rPr/>
        <w:t>as</w:t>
      </w:r>
      <w:r>
        <w:rPr>
          <w:spacing w:val="-6"/>
        </w:rPr>
        <w:t> </w:t>
      </w:r>
      <w:r>
        <w:rPr/>
        <w:t>“madness”</w:t>
      </w:r>
      <w:r>
        <w:rPr>
          <w:spacing w:val="-2"/>
        </w:rPr>
        <w:t> </w:t>
      </w:r>
      <w:r>
        <w:rPr/>
        <w:t>within</w:t>
      </w:r>
      <w:r>
        <w:rPr>
          <w:spacing w:val="-4"/>
        </w:rPr>
        <w:t> </w:t>
      </w:r>
      <w:r>
        <w:rPr/>
        <w:t>these</w:t>
      </w:r>
      <w:r>
        <w:rPr>
          <w:spacing w:val="-3"/>
        </w:rPr>
        <w:t> </w:t>
      </w:r>
      <w:r>
        <w:rPr/>
        <w:t>women should be reconceptualised as a socially constructed response to patriarchal</w:t>
      </w:r>
      <w:r>
        <w:rPr>
          <w:spacing w:val="-9"/>
        </w:rPr>
        <w:t> </w:t>
      </w:r>
      <w:r>
        <w:rPr/>
        <w:t>circumstances.</w:t>
      </w:r>
      <w:r>
        <w:rPr>
          <w:spacing w:val="-10"/>
        </w:rPr>
        <w:t> </w:t>
      </w:r>
      <w:r>
        <w:rPr/>
        <w:t>Each</w:t>
      </w:r>
      <w:r>
        <w:rPr>
          <w:spacing w:val="-13"/>
        </w:rPr>
        <w:t> </w:t>
      </w:r>
      <w:r>
        <w:rPr/>
        <w:t>character</w:t>
      </w:r>
      <w:r>
        <w:rPr>
          <w:spacing w:val="-7"/>
        </w:rPr>
        <w:t> </w:t>
      </w:r>
      <w:r>
        <w:rPr/>
        <w:t>experiences</w:t>
      </w:r>
      <w:r>
        <w:rPr>
          <w:spacing w:val="-10"/>
        </w:rPr>
        <w:t> </w:t>
      </w:r>
      <w:r>
        <w:rPr/>
        <w:t>distress</w:t>
      </w:r>
      <w:r>
        <w:rPr>
          <w:spacing w:val="-10"/>
        </w:rPr>
        <w:t> </w:t>
      </w:r>
      <w:r>
        <w:rPr/>
        <w:t>regarding feelings</w:t>
      </w:r>
      <w:r>
        <w:rPr>
          <w:spacing w:val="-8"/>
        </w:rPr>
        <w:t> </w:t>
      </w:r>
      <w:r>
        <w:rPr/>
        <w:t>of</w:t>
      </w:r>
      <w:r>
        <w:rPr>
          <w:spacing w:val="-6"/>
        </w:rPr>
        <w:t> </w:t>
      </w:r>
      <w:r>
        <w:rPr/>
        <w:t>isolation,</w:t>
      </w:r>
      <w:r>
        <w:rPr>
          <w:spacing w:val="-6"/>
        </w:rPr>
        <w:t> </w:t>
      </w:r>
      <w:r>
        <w:rPr/>
        <w:t>disconnection</w:t>
      </w:r>
      <w:r>
        <w:rPr>
          <w:spacing w:val="-5"/>
        </w:rPr>
        <w:t> </w:t>
      </w:r>
      <w:r>
        <w:rPr/>
        <w:t>from</w:t>
      </w:r>
      <w:r>
        <w:rPr>
          <w:spacing w:val="-10"/>
        </w:rPr>
        <w:t> </w:t>
      </w:r>
      <w:r>
        <w:rPr/>
        <w:t>reality,</w:t>
      </w:r>
      <w:r>
        <w:rPr>
          <w:spacing w:val="-5"/>
        </w:rPr>
        <w:t> </w:t>
      </w:r>
      <w:r>
        <w:rPr/>
        <w:t>and</w:t>
      </w:r>
      <w:r>
        <w:rPr>
          <w:spacing w:val="-5"/>
        </w:rPr>
        <w:t> </w:t>
      </w:r>
      <w:r>
        <w:rPr/>
        <w:t>emotional</w:t>
      </w:r>
      <w:r>
        <w:rPr>
          <w:spacing w:val="-5"/>
        </w:rPr>
        <w:t> </w:t>
      </w:r>
      <w:r>
        <w:rPr/>
        <w:t>solitude. As such, they illustrate that mental health cannot be viewed independently from societal constructs, but rather it is a primary expression</w:t>
      </w:r>
      <w:r>
        <w:rPr>
          <w:spacing w:val="40"/>
        </w:rPr>
        <w:t> </w:t>
      </w:r>
      <w:r>
        <w:rPr/>
        <w:t>of gender</w:t>
      </w:r>
      <w:r>
        <w:rPr>
          <w:spacing w:val="40"/>
        </w:rPr>
        <w:t> </w:t>
      </w:r>
      <w:r>
        <w:rPr/>
        <w:t>and</w:t>
      </w:r>
      <w:r>
        <w:rPr>
          <w:spacing w:val="40"/>
        </w:rPr>
        <w:t> </w:t>
      </w:r>
      <w:r>
        <w:rPr/>
        <w:t>power</w:t>
      </w:r>
      <w:r>
        <w:rPr>
          <w:spacing w:val="40"/>
        </w:rPr>
        <w:t> </w:t>
      </w:r>
      <w:r>
        <w:rPr/>
        <w:t>relations.</w:t>
      </w:r>
    </w:p>
    <w:p>
      <w:pPr>
        <w:pStyle w:val="BodyText"/>
        <w:spacing w:line="249" w:lineRule="auto" w:before="69"/>
        <w:ind w:right="1437" w:firstLine="432"/>
        <w:jc w:val="both"/>
      </w:pPr>
      <w:r>
        <w:rPr/>
        <w:t>This research also suggests that silence is an active, meaningful condition which may be imposed upon or voluntarily adopted, and serves</w:t>
      </w:r>
      <w:r>
        <w:rPr>
          <w:spacing w:val="27"/>
        </w:rPr>
        <w:t> </w:t>
      </w:r>
      <w:r>
        <w:rPr/>
        <w:t>both</w:t>
      </w:r>
      <w:r>
        <w:rPr>
          <w:spacing w:val="24"/>
        </w:rPr>
        <w:t> </w:t>
      </w:r>
      <w:r>
        <w:rPr/>
        <w:t>to</w:t>
      </w:r>
      <w:r>
        <w:rPr>
          <w:spacing w:val="29"/>
        </w:rPr>
        <w:t> </w:t>
      </w:r>
      <w:r>
        <w:rPr/>
        <w:t>suppress</w:t>
      </w:r>
      <w:r>
        <w:rPr>
          <w:spacing w:val="25"/>
        </w:rPr>
        <w:t> </w:t>
      </w:r>
      <w:r>
        <w:rPr/>
        <w:t>and</w:t>
      </w:r>
      <w:r>
        <w:rPr>
          <w:spacing w:val="29"/>
        </w:rPr>
        <w:t> </w:t>
      </w:r>
      <w:r>
        <w:rPr/>
        <w:t>to</w:t>
      </w:r>
      <w:r>
        <w:rPr>
          <w:spacing w:val="27"/>
        </w:rPr>
        <w:t> </w:t>
      </w:r>
      <w:r>
        <w:rPr/>
        <w:t>subtly</w:t>
      </w:r>
      <w:r>
        <w:rPr>
          <w:spacing w:val="25"/>
        </w:rPr>
        <w:t> </w:t>
      </w:r>
      <w:r>
        <w:rPr/>
        <w:t>resist.</w:t>
      </w:r>
      <w:r>
        <w:rPr>
          <w:spacing w:val="25"/>
        </w:rPr>
        <w:t> </w:t>
      </w:r>
      <w:r>
        <w:rPr/>
        <w:t>There</w:t>
      </w:r>
      <w:r>
        <w:rPr>
          <w:spacing w:val="28"/>
        </w:rPr>
        <w:t> </w:t>
      </w:r>
      <w:r>
        <w:rPr/>
        <w:t>are</w:t>
      </w:r>
      <w:r>
        <w:rPr>
          <w:spacing w:val="26"/>
        </w:rPr>
        <w:t> </w:t>
      </w:r>
      <w:r>
        <w:rPr/>
        <w:t>two</w:t>
      </w:r>
      <w:r>
        <w:rPr>
          <w:spacing w:val="29"/>
        </w:rPr>
        <w:t> </w:t>
      </w:r>
      <w:r>
        <w:rPr/>
        <w:t>examples of how females respond to male-dominated systems: Cordelia defies society’s expectations by not displaying expected emotions; Helena fights through limitation and finds ways to create agency independent</w:t>
      </w:r>
      <w:r>
        <w:rPr>
          <w:spacing w:val="40"/>
        </w:rPr>
        <w:t> </w:t>
      </w:r>
      <w:r>
        <w:rPr/>
        <w:t>of her limitations. Responses vary significantly across the board, as women have experienced everything from defecating to fighting; from openly communicating about their issues to having them manifest as internal conflict. The Me Too movement has called attention to this work for many reasons. One being that through the Me Too movement women have begun to see the effects from emotional violence, gas lighting, and the compounding effects of systemic silencing after years of</w:t>
      </w:r>
      <w:r>
        <w:rPr>
          <w:spacing w:val="-2"/>
        </w:rPr>
        <w:t> </w:t>
      </w:r>
      <w:r>
        <w:rPr/>
        <w:t>silence. Because all of</w:t>
      </w:r>
      <w:r>
        <w:rPr>
          <w:spacing w:val="-2"/>
        </w:rPr>
        <w:t> </w:t>
      </w:r>
      <w:r>
        <w:rPr/>
        <w:t>Shakespeare’s female characters</w:t>
      </w:r>
      <w:r>
        <w:rPr>
          <w:spacing w:val="-2"/>
        </w:rPr>
        <w:t> </w:t>
      </w:r>
      <w:r>
        <w:rPr/>
        <w:t>existed in an early modern period, there has been a continuing pattern that connects the</w:t>
      </w:r>
      <w:r>
        <w:rPr>
          <w:spacing w:val="40"/>
        </w:rPr>
        <w:t> </w:t>
      </w:r>
      <w:r>
        <w:rPr/>
        <w:t>stories</w:t>
      </w:r>
      <w:r>
        <w:rPr>
          <w:spacing w:val="40"/>
        </w:rPr>
        <w:t> </w:t>
      </w:r>
      <w:r>
        <w:rPr/>
        <w:t>being</w:t>
      </w:r>
      <w:r>
        <w:rPr>
          <w:spacing w:val="40"/>
        </w:rPr>
        <w:t> </w:t>
      </w:r>
      <w:r>
        <w:rPr/>
        <w:t>told</w:t>
      </w:r>
      <w:r>
        <w:rPr>
          <w:spacing w:val="40"/>
        </w:rPr>
        <w:t> </w:t>
      </w:r>
      <w:r>
        <w:rPr/>
        <w:t>to</w:t>
      </w:r>
      <w:r>
        <w:rPr>
          <w:spacing w:val="40"/>
        </w:rPr>
        <w:t> </w:t>
      </w:r>
      <w:r>
        <w:rPr/>
        <w:t>the</w:t>
      </w:r>
      <w:r>
        <w:rPr>
          <w:spacing w:val="40"/>
        </w:rPr>
        <w:t> </w:t>
      </w:r>
      <w:r>
        <w:rPr/>
        <w:t>experiences</w:t>
      </w:r>
      <w:r>
        <w:rPr>
          <w:spacing w:val="40"/>
        </w:rPr>
        <w:t> </w:t>
      </w:r>
      <w:r>
        <w:rPr/>
        <w:t>continue</w:t>
      </w:r>
      <w:r>
        <w:rPr>
          <w:spacing w:val="40"/>
        </w:rPr>
        <w:t> </w:t>
      </w:r>
      <w:r>
        <w:rPr/>
        <w:t>to</w:t>
      </w:r>
      <w:r>
        <w:rPr>
          <w:spacing w:val="40"/>
        </w:rPr>
        <w:t> </w:t>
      </w:r>
      <w:r>
        <w:rPr/>
        <w:t>occur</w:t>
      </w:r>
      <w:r>
        <w:rPr>
          <w:spacing w:val="40"/>
        </w:rPr>
        <w:t> </w:t>
      </w:r>
      <w:r>
        <w:rPr/>
        <w:t>today.</w:t>
      </w:r>
    </w:p>
    <w:p>
      <w:pPr>
        <w:pStyle w:val="BodyText"/>
        <w:spacing w:line="249" w:lineRule="auto" w:before="73"/>
        <w:ind w:right="1439" w:firstLine="432"/>
        <w:jc w:val="both"/>
      </w:pPr>
      <w:r>
        <w:rPr/>
        <w:t>Ultimately, this analysis departs from the idea that the women in </w:t>
      </w:r>
      <w:r>
        <w:rPr>
          <w:spacing w:val="-2"/>
        </w:rPr>
        <w:t>Shakespearean plays are simply</w:t>
      </w:r>
      <w:r>
        <w:rPr>
          <w:spacing w:val="-4"/>
        </w:rPr>
        <w:t> </w:t>
      </w:r>
      <w:r>
        <w:rPr>
          <w:spacing w:val="-2"/>
        </w:rPr>
        <w:t>literary</w:t>
      </w:r>
      <w:r>
        <w:rPr>
          <w:spacing w:val="-4"/>
        </w:rPr>
        <w:t> </w:t>
      </w:r>
      <w:r>
        <w:rPr>
          <w:spacing w:val="-2"/>
        </w:rPr>
        <w:t>figures; rather, they</w:t>
      </w:r>
      <w:r>
        <w:rPr>
          <w:spacing w:val="-4"/>
        </w:rPr>
        <w:t> </w:t>
      </w:r>
      <w:r>
        <w:rPr>
          <w:spacing w:val="-2"/>
        </w:rPr>
        <w:t>are locations </w:t>
      </w:r>
      <w:r>
        <w:rPr/>
        <w:t>where the issues of gender, power, and subjective experience meet. By doing so, this re-conceptualization of madness in the context of our analysis considers inertia to be not a (female) weakness (for having no agency) but, instead, an</w:t>
      </w:r>
      <w:r>
        <w:rPr>
          <w:spacing w:val="-1"/>
        </w:rPr>
        <w:t> </w:t>
      </w:r>
      <w:r>
        <w:rPr/>
        <w:t>attribute borne by</w:t>
      </w:r>
      <w:r>
        <w:rPr>
          <w:spacing w:val="-3"/>
        </w:rPr>
        <w:t> </w:t>
      </w:r>
      <w:r>
        <w:rPr/>
        <w:t>both individuals</w:t>
      </w:r>
      <w:r>
        <w:rPr>
          <w:spacing w:val="-1"/>
        </w:rPr>
        <w:t> </w:t>
      </w:r>
      <w:r>
        <w:rPr/>
        <w:t>and societal pressures as well as emotional experiences, thereby permitting a more empathetic,</w:t>
      </w:r>
      <w:r>
        <w:rPr>
          <w:spacing w:val="-8"/>
        </w:rPr>
        <w:t> </w:t>
      </w:r>
      <w:r>
        <w:rPr/>
        <w:t>critical,</w:t>
      </w:r>
      <w:r>
        <w:rPr>
          <w:spacing w:val="-4"/>
        </w:rPr>
        <w:t> </w:t>
      </w:r>
      <w:r>
        <w:rPr/>
        <w:t>and</w:t>
      </w:r>
      <w:r>
        <w:rPr>
          <w:spacing w:val="-6"/>
        </w:rPr>
        <w:t> </w:t>
      </w:r>
      <w:r>
        <w:rPr/>
        <w:t>politically</w:t>
      </w:r>
      <w:r>
        <w:rPr>
          <w:spacing w:val="-7"/>
        </w:rPr>
        <w:t> </w:t>
      </w:r>
      <w:r>
        <w:rPr/>
        <w:t>viable</w:t>
      </w:r>
      <w:r>
        <w:rPr>
          <w:spacing w:val="-5"/>
        </w:rPr>
        <w:t> </w:t>
      </w:r>
      <w:r>
        <w:rPr/>
        <w:t>interpretation</w:t>
      </w:r>
      <w:r>
        <w:rPr>
          <w:spacing w:val="-6"/>
        </w:rPr>
        <w:t> </w:t>
      </w:r>
      <w:r>
        <w:rPr/>
        <w:t>of</w:t>
      </w:r>
      <w:r>
        <w:rPr>
          <w:spacing w:val="-7"/>
        </w:rPr>
        <w:t> </w:t>
      </w:r>
      <w:r>
        <w:rPr/>
        <w:t>literary</w:t>
      </w:r>
      <w:r>
        <w:rPr>
          <w:spacing w:val="-8"/>
        </w:rPr>
        <w:t> </w:t>
      </w:r>
      <w:r>
        <w:rPr>
          <w:spacing w:val="-2"/>
        </w:rPr>
        <w:t>texts.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698944">
                <wp:simplePos x="0" y="0"/>
                <wp:positionH relativeFrom="page">
                  <wp:posOffset>2057400</wp:posOffset>
                </wp:positionH>
                <wp:positionV relativeFrom="paragraph">
                  <wp:posOffset>162604</wp:posOffset>
                </wp:positionV>
                <wp:extent cx="3657600" cy="12700"/>
                <wp:effectExtent l="0" t="0" r="0" b="0"/>
                <wp:wrapTopAndBottom/>
                <wp:docPr id="349" name="Graphic 349"/>
                <wp:cNvGraphicFramePr>
                  <a:graphicFrameLocks/>
                </wp:cNvGraphicFramePr>
                <a:graphic>
                  <a:graphicData uri="http://schemas.microsoft.com/office/word/2010/wordprocessingShape">
                    <wps:wsp>
                      <wps:cNvPr id="349" name="Graphic 34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17536;mso-wrap-distance-left:0;mso-wrap-distance-right:0" id="docshape345" filled="true" fillcolor="#000000" stroked="false">
                <v:fill type="solid"/>
                <w10:wrap type="topAndBottom"/>
              </v:rect>
            </w:pict>
          </mc:Fallback>
        </mc:AlternateContent>
      </w:r>
      <w:r>
        <w:rPr>
          <w:rFonts w:ascii="Verdana"/>
          <w:spacing w:val="-5"/>
          <w:sz w:val="18"/>
        </w:rPr>
        <w:t>130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Further, it posits that literature is still a critical component of modern society, and provides insight into those same unresolved issues regarding</w:t>
      </w:r>
      <w:r>
        <w:rPr>
          <w:spacing w:val="-2"/>
        </w:rPr>
        <w:t> </w:t>
      </w:r>
      <w:r>
        <w:rPr/>
        <w:t>women’s</w:t>
      </w:r>
      <w:r>
        <w:rPr>
          <w:spacing w:val="-3"/>
        </w:rPr>
        <w:t> </w:t>
      </w:r>
      <w:r>
        <w:rPr/>
        <w:t>experience</w:t>
      </w:r>
      <w:r>
        <w:rPr>
          <w:spacing w:val="-2"/>
        </w:rPr>
        <w:t> </w:t>
      </w:r>
      <w:r>
        <w:rPr/>
        <w:t>through</w:t>
      </w:r>
      <w:r>
        <w:rPr>
          <w:spacing w:val="-5"/>
        </w:rPr>
        <w:t> </w:t>
      </w:r>
      <w:r>
        <w:rPr/>
        <w:t>their voice, identity,</w:t>
      </w:r>
      <w:r>
        <w:rPr>
          <w:spacing w:val="-2"/>
        </w:rPr>
        <w:t> </w:t>
      </w:r>
      <w:r>
        <w:rPr/>
        <w:t>and mental </w:t>
      </w:r>
      <w:r>
        <w:rPr>
          <w:spacing w:val="-2"/>
        </w:rPr>
        <w:t>illness.</w:t>
      </w:r>
    </w:p>
    <w:p>
      <w:pPr>
        <w:pStyle w:val="Heading3"/>
        <w:spacing w:before="157"/>
      </w:pPr>
      <w:r>
        <w:rPr>
          <w:spacing w:val="-2"/>
          <w:w w:val="95"/>
        </w:rPr>
        <w:t>REFERENCES</w:t>
      </w:r>
    </w:p>
    <w:p>
      <w:pPr>
        <w:pStyle w:val="ListParagraph"/>
        <w:numPr>
          <w:ilvl w:val="0"/>
          <w:numId w:val="26"/>
        </w:numPr>
        <w:tabs>
          <w:tab w:pos="2158" w:val="left" w:leader="none"/>
          <w:tab w:pos="2160" w:val="left" w:leader="none"/>
        </w:tabs>
        <w:spacing w:line="261" w:lineRule="auto" w:before="82" w:after="0"/>
        <w:ind w:left="2160" w:right="1437" w:hanging="332"/>
        <w:jc w:val="both"/>
        <w:rPr>
          <w:sz w:val="19"/>
        </w:rPr>
      </w:pPr>
      <w:r>
        <w:rPr>
          <w:sz w:val="19"/>
        </w:rPr>
        <w:t>Gill, R. (2007).Postfeminist media culture: Elements of a sensibility.</w:t>
      </w:r>
      <w:r>
        <w:rPr>
          <w:spacing w:val="39"/>
          <w:sz w:val="19"/>
        </w:rPr>
        <w:t> </w:t>
      </w:r>
      <w:r>
        <w:rPr>
          <w:i/>
          <w:sz w:val="19"/>
        </w:rPr>
        <w:t>European</w:t>
      </w:r>
      <w:r>
        <w:rPr>
          <w:i/>
          <w:spacing w:val="40"/>
          <w:sz w:val="19"/>
        </w:rPr>
        <w:t> </w:t>
      </w:r>
      <w:r>
        <w:rPr>
          <w:i/>
          <w:sz w:val="19"/>
        </w:rPr>
        <w:t>Journal</w:t>
      </w:r>
      <w:r>
        <w:rPr>
          <w:i/>
          <w:spacing w:val="38"/>
          <w:sz w:val="19"/>
        </w:rPr>
        <w:t> </w:t>
      </w:r>
      <w:r>
        <w:rPr>
          <w:i/>
          <w:sz w:val="19"/>
        </w:rPr>
        <w:t>of</w:t>
      </w:r>
      <w:r>
        <w:rPr>
          <w:i/>
          <w:spacing w:val="36"/>
          <w:sz w:val="19"/>
        </w:rPr>
        <w:t> </w:t>
      </w:r>
      <w:r>
        <w:rPr>
          <w:i/>
          <w:sz w:val="19"/>
        </w:rPr>
        <w:t>Cultural</w:t>
      </w:r>
      <w:r>
        <w:rPr>
          <w:i/>
          <w:spacing w:val="40"/>
          <w:sz w:val="19"/>
        </w:rPr>
        <w:t> </w:t>
      </w:r>
      <w:r>
        <w:rPr>
          <w:i/>
          <w:sz w:val="19"/>
        </w:rPr>
        <w:t>Studies,</w:t>
      </w:r>
      <w:r>
        <w:rPr>
          <w:i/>
          <w:spacing w:val="40"/>
          <w:sz w:val="19"/>
        </w:rPr>
        <w:t> </w:t>
      </w:r>
      <w:r>
        <w:rPr>
          <w:i/>
          <w:sz w:val="19"/>
        </w:rPr>
        <w:t>10</w:t>
      </w:r>
      <w:r>
        <w:rPr>
          <w:sz w:val="19"/>
        </w:rPr>
        <w:t>(2),</w:t>
      </w:r>
      <w:r>
        <w:rPr>
          <w:spacing w:val="40"/>
          <w:sz w:val="19"/>
        </w:rPr>
        <w:t> </w:t>
      </w:r>
      <w:r>
        <w:rPr>
          <w:sz w:val="19"/>
        </w:rPr>
        <w:t>147–</w:t>
      </w:r>
      <w:r>
        <w:rPr>
          <w:spacing w:val="-4"/>
          <w:sz w:val="19"/>
        </w:rPr>
        <w:t>166.</w:t>
      </w:r>
    </w:p>
    <w:p>
      <w:pPr>
        <w:pStyle w:val="ListParagraph"/>
        <w:numPr>
          <w:ilvl w:val="0"/>
          <w:numId w:val="26"/>
        </w:numPr>
        <w:tabs>
          <w:tab w:pos="2158" w:val="left" w:leader="none"/>
          <w:tab w:pos="2160" w:val="left" w:leader="none"/>
        </w:tabs>
        <w:spacing w:line="261" w:lineRule="auto" w:before="59" w:after="0"/>
        <w:ind w:left="2160" w:right="1440" w:hanging="332"/>
        <w:jc w:val="both"/>
        <w:rPr>
          <w:sz w:val="19"/>
        </w:rPr>
      </w:pPr>
      <w:r>
        <w:rPr>
          <w:sz w:val="19"/>
        </w:rPr>
        <w:t>Greenblatt,</w:t>
      </w:r>
      <w:r>
        <w:rPr>
          <w:spacing w:val="40"/>
          <w:sz w:val="19"/>
        </w:rPr>
        <w:t> </w:t>
      </w:r>
      <w:r>
        <w:rPr>
          <w:sz w:val="19"/>
        </w:rPr>
        <w:t>S.</w:t>
      </w:r>
      <w:r>
        <w:rPr>
          <w:spacing w:val="40"/>
          <w:sz w:val="19"/>
        </w:rPr>
        <w:t> </w:t>
      </w:r>
      <w:r>
        <w:rPr>
          <w:sz w:val="19"/>
        </w:rPr>
        <w:t>(1980).</w:t>
      </w:r>
      <w:r>
        <w:rPr>
          <w:i/>
          <w:sz w:val="19"/>
        </w:rPr>
        <w:t>Renaissance</w:t>
      </w:r>
      <w:r>
        <w:rPr>
          <w:i/>
          <w:spacing w:val="40"/>
          <w:sz w:val="19"/>
        </w:rPr>
        <w:t> </w:t>
      </w:r>
      <w:r>
        <w:rPr>
          <w:i/>
          <w:sz w:val="19"/>
        </w:rPr>
        <w:t>self-fashioning:</w:t>
      </w:r>
      <w:r>
        <w:rPr>
          <w:i/>
          <w:spacing w:val="40"/>
          <w:sz w:val="19"/>
        </w:rPr>
        <w:t> </w:t>
      </w:r>
      <w:r>
        <w:rPr>
          <w:i/>
          <w:sz w:val="19"/>
        </w:rPr>
        <w:t>From</w:t>
      </w:r>
      <w:r>
        <w:rPr>
          <w:i/>
          <w:spacing w:val="40"/>
          <w:sz w:val="19"/>
        </w:rPr>
        <w:t> </w:t>
      </w:r>
      <w:r>
        <w:rPr>
          <w:i/>
          <w:sz w:val="19"/>
        </w:rPr>
        <w:t>More to</w:t>
      </w:r>
      <w:r>
        <w:rPr>
          <w:i/>
          <w:spacing w:val="40"/>
          <w:sz w:val="19"/>
        </w:rPr>
        <w:t> </w:t>
      </w:r>
      <w:r>
        <w:rPr>
          <w:i/>
          <w:sz w:val="19"/>
        </w:rPr>
        <w:t>Shakespeare</w:t>
      </w:r>
      <w:r>
        <w:rPr>
          <w:sz w:val="19"/>
        </w:rPr>
        <w:t>.</w:t>
      </w:r>
      <w:r>
        <w:rPr>
          <w:spacing w:val="40"/>
          <w:sz w:val="19"/>
        </w:rPr>
        <w:t> </w:t>
      </w:r>
      <w:r>
        <w:rPr>
          <w:sz w:val="19"/>
        </w:rPr>
        <w:t>University</w:t>
      </w:r>
      <w:r>
        <w:rPr>
          <w:spacing w:val="40"/>
          <w:sz w:val="19"/>
        </w:rPr>
        <w:t> </w:t>
      </w:r>
      <w:r>
        <w:rPr>
          <w:sz w:val="19"/>
        </w:rPr>
        <w:t>of</w:t>
      </w:r>
      <w:r>
        <w:rPr>
          <w:spacing w:val="40"/>
          <w:sz w:val="19"/>
        </w:rPr>
        <w:t> </w:t>
      </w:r>
      <w:r>
        <w:rPr>
          <w:sz w:val="19"/>
        </w:rPr>
        <w:t>Chicago</w:t>
      </w:r>
      <w:r>
        <w:rPr>
          <w:spacing w:val="40"/>
          <w:sz w:val="19"/>
        </w:rPr>
        <w:t> </w:t>
      </w:r>
      <w:r>
        <w:rPr>
          <w:sz w:val="19"/>
        </w:rPr>
        <w:t>Press.</w:t>
      </w:r>
    </w:p>
    <w:p>
      <w:pPr>
        <w:pStyle w:val="ListParagraph"/>
        <w:numPr>
          <w:ilvl w:val="0"/>
          <w:numId w:val="26"/>
        </w:numPr>
        <w:tabs>
          <w:tab w:pos="2158" w:val="left" w:leader="none"/>
          <w:tab w:pos="2160" w:val="left" w:leader="none"/>
        </w:tabs>
        <w:spacing w:line="264" w:lineRule="auto" w:before="56" w:after="0"/>
        <w:ind w:left="2160" w:right="1438" w:hanging="332"/>
        <w:jc w:val="both"/>
        <w:rPr>
          <w:sz w:val="19"/>
        </w:rPr>
      </w:pPr>
      <w:r>
        <w:rPr>
          <w:sz w:val="19"/>
        </w:rPr>
        <w:t>hooks, b. (2000). </w:t>
      </w:r>
      <w:r>
        <w:rPr>
          <w:i/>
          <w:sz w:val="19"/>
        </w:rPr>
        <w:t>Feminism is for everybody: Passionate politics</w:t>
      </w:r>
      <w:r>
        <w:rPr>
          <w:sz w:val="19"/>
        </w:rPr>
        <w:t>. South</w:t>
      </w:r>
      <w:r>
        <w:rPr>
          <w:spacing w:val="40"/>
          <w:sz w:val="19"/>
        </w:rPr>
        <w:t> </w:t>
      </w:r>
      <w:r>
        <w:rPr>
          <w:sz w:val="19"/>
        </w:rPr>
        <w:t>End</w:t>
      </w:r>
      <w:r>
        <w:rPr>
          <w:spacing w:val="40"/>
          <w:sz w:val="19"/>
        </w:rPr>
        <w:t> </w:t>
      </w:r>
      <w:r>
        <w:rPr>
          <w:sz w:val="19"/>
        </w:rPr>
        <w:t>Press.</w:t>
      </w:r>
    </w:p>
    <w:p>
      <w:pPr>
        <w:pStyle w:val="ListParagraph"/>
        <w:numPr>
          <w:ilvl w:val="0"/>
          <w:numId w:val="26"/>
        </w:numPr>
        <w:tabs>
          <w:tab w:pos="2158" w:val="left" w:leader="none"/>
          <w:tab w:pos="2160" w:val="left" w:leader="none"/>
        </w:tabs>
        <w:spacing w:line="261" w:lineRule="auto" w:before="55" w:after="0"/>
        <w:ind w:left="2160" w:right="1439" w:hanging="332"/>
        <w:jc w:val="both"/>
        <w:rPr>
          <w:sz w:val="19"/>
        </w:rPr>
      </w:pPr>
      <w:r>
        <w:rPr>
          <w:sz w:val="19"/>
        </w:rPr>
        <w:t>Mendes, K., Ringrose, J., &amp; Keller, J. (2019).</w:t>
      </w:r>
      <w:r>
        <w:rPr>
          <w:i/>
          <w:sz w:val="19"/>
        </w:rPr>
        <w:t>Digital feminist activism</w:t>
      </w:r>
      <w:r>
        <w:rPr>
          <w:sz w:val="19"/>
        </w:rPr>
        <w:t>.Oxford</w:t>
      </w:r>
      <w:r>
        <w:rPr>
          <w:spacing w:val="40"/>
          <w:sz w:val="19"/>
        </w:rPr>
        <w:t> </w:t>
      </w:r>
      <w:r>
        <w:rPr>
          <w:sz w:val="19"/>
        </w:rPr>
        <w:t>University</w:t>
      </w:r>
      <w:r>
        <w:rPr>
          <w:spacing w:val="40"/>
          <w:sz w:val="19"/>
        </w:rPr>
        <w:t> </w:t>
      </w:r>
      <w:r>
        <w:rPr>
          <w:sz w:val="19"/>
        </w:rPr>
        <w:t>Press.</w:t>
      </w:r>
    </w:p>
    <w:p>
      <w:pPr>
        <w:pStyle w:val="ListParagraph"/>
        <w:numPr>
          <w:ilvl w:val="0"/>
          <w:numId w:val="26"/>
        </w:numPr>
        <w:tabs>
          <w:tab w:pos="2158" w:val="left" w:leader="none"/>
          <w:tab w:pos="2160" w:val="left" w:leader="none"/>
        </w:tabs>
        <w:spacing w:line="261" w:lineRule="auto" w:before="56" w:after="0"/>
        <w:ind w:left="2160" w:right="1431" w:hanging="332"/>
        <w:jc w:val="both"/>
        <w:rPr>
          <w:sz w:val="19"/>
        </w:rPr>
      </w:pPr>
      <w:r>
        <w:rPr>
          <w:sz w:val="19"/>
        </w:rPr>
        <w:t>Neely,</w:t>
      </w:r>
      <w:r>
        <w:rPr>
          <w:spacing w:val="33"/>
          <w:sz w:val="19"/>
        </w:rPr>
        <w:t> </w:t>
      </w:r>
      <w:r>
        <w:rPr>
          <w:sz w:val="19"/>
        </w:rPr>
        <w:t>C.</w:t>
      </w:r>
      <w:r>
        <w:rPr>
          <w:spacing w:val="33"/>
          <w:sz w:val="19"/>
        </w:rPr>
        <w:t> </w:t>
      </w:r>
      <w:r>
        <w:rPr>
          <w:sz w:val="19"/>
        </w:rPr>
        <w:t>T.</w:t>
      </w:r>
      <w:r>
        <w:rPr>
          <w:spacing w:val="33"/>
          <w:sz w:val="19"/>
        </w:rPr>
        <w:t> </w:t>
      </w:r>
      <w:r>
        <w:rPr>
          <w:sz w:val="19"/>
        </w:rPr>
        <w:t>(2004).</w:t>
      </w:r>
      <w:r>
        <w:rPr>
          <w:spacing w:val="36"/>
          <w:sz w:val="19"/>
        </w:rPr>
        <w:t> </w:t>
      </w:r>
      <w:r>
        <w:rPr>
          <w:i/>
          <w:sz w:val="19"/>
        </w:rPr>
        <w:t>Distracted</w:t>
      </w:r>
      <w:r>
        <w:rPr>
          <w:i/>
          <w:spacing w:val="34"/>
          <w:sz w:val="19"/>
        </w:rPr>
        <w:t> </w:t>
      </w:r>
      <w:r>
        <w:rPr>
          <w:i/>
          <w:sz w:val="19"/>
        </w:rPr>
        <w:t>subjects:</w:t>
      </w:r>
      <w:r>
        <w:rPr>
          <w:i/>
          <w:spacing w:val="33"/>
          <w:sz w:val="19"/>
        </w:rPr>
        <w:t> </w:t>
      </w:r>
      <w:r>
        <w:rPr>
          <w:i/>
          <w:sz w:val="19"/>
        </w:rPr>
        <w:t>Madness</w:t>
      </w:r>
      <w:r>
        <w:rPr>
          <w:i/>
          <w:spacing w:val="34"/>
          <w:sz w:val="19"/>
        </w:rPr>
        <w:t> </w:t>
      </w:r>
      <w:r>
        <w:rPr>
          <w:i/>
          <w:sz w:val="19"/>
        </w:rPr>
        <w:t>and</w:t>
      </w:r>
      <w:r>
        <w:rPr>
          <w:i/>
          <w:spacing w:val="34"/>
          <w:sz w:val="19"/>
        </w:rPr>
        <w:t> </w:t>
      </w:r>
      <w:r>
        <w:rPr>
          <w:i/>
          <w:sz w:val="19"/>
        </w:rPr>
        <w:t>gender in Shakespeare and early modern culture</w:t>
      </w:r>
      <w:r>
        <w:rPr>
          <w:sz w:val="19"/>
        </w:rPr>
        <w:t>.Cornell University </w:t>
      </w:r>
      <w:r>
        <w:rPr>
          <w:spacing w:val="-2"/>
          <w:sz w:val="19"/>
        </w:rPr>
        <w:t>Press.</w:t>
      </w:r>
    </w:p>
    <w:p>
      <w:pPr>
        <w:pStyle w:val="ListParagraph"/>
        <w:numPr>
          <w:ilvl w:val="0"/>
          <w:numId w:val="26"/>
        </w:numPr>
        <w:tabs>
          <w:tab w:pos="2158" w:val="left" w:leader="none"/>
          <w:tab w:pos="2160" w:val="left" w:leader="none"/>
        </w:tabs>
        <w:spacing w:line="324" w:lineRule="auto" w:before="58" w:after="0"/>
        <w:ind w:left="2160" w:right="1438" w:hanging="332"/>
        <w:jc w:val="left"/>
        <w:rPr>
          <w:sz w:val="19"/>
        </w:rPr>
      </w:pPr>
      <w:r>
        <w:rPr>
          <w:sz w:val="19"/>
        </w:rPr>
        <w:t>Shakespeare,W.(2001).</w:t>
      </w:r>
      <w:r>
        <w:rPr>
          <w:spacing w:val="40"/>
          <w:sz w:val="19"/>
        </w:rPr>
        <w:t> </w:t>
      </w:r>
      <w:r>
        <w:rPr>
          <w:i/>
          <w:sz w:val="19"/>
        </w:rPr>
        <w:t>Macbeth</w:t>
      </w:r>
      <w:r>
        <w:rPr>
          <w:sz w:val="19"/>
        </w:rPr>
        <w:t>.</w:t>
      </w:r>
      <w:r>
        <w:rPr>
          <w:spacing w:val="40"/>
          <w:sz w:val="19"/>
        </w:rPr>
        <w:t> </w:t>
      </w:r>
      <w:r>
        <w:rPr>
          <w:sz w:val="19"/>
        </w:rPr>
        <w:t>Arden</w:t>
      </w:r>
      <w:r>
        <w:rPr>
          <w:spacing w:val="40"/>
          <w:sz w:val="19"/>
        </w:rPr>
        <w:t> </w:t>
      </w:r>
      <w:r>
        <w:rPr>
          <w:sz w:val="19"/>
        </w:rPr>
        <w:t>Shakespeare. Shakespeare,</w:t>
      </w:r>
      <w:r>
        <w:rPr>
          <w:spacing w:val="40"/>
          <w:sz w:val="19"/>
        </w:rPr>
        <w:t> </w:t>
      </w:r>
      <w:r>
        <w:rPr>
          <w:sz w:val="19"/>
        </w:rPr>
        <w:t>W.</w:t>
      </w:r>
      <w:r>
        <w:rPr>
          <w:spacing w:val="40"/>
          <w:sz w:val="19"/>
        </w:rPr>
        <w:t> </w:t>
      </w:r>
      <w:r>
        <w:rPr>
          <w:sz w:val="19"/>
        </w:rPr>
        <w:t>(2004).</w:t>
      </w:r>
      <w:r>
        <w:rPr>
          <w:i/>
          <w:sz w:val="19"/>
        </w:rPr>
        <w:t>Othello</w:t>
      </w:r>
      <w:r>
        <w:rPr>
          <w:sz w:val="19"/>
        </w:rPr>
        <w:t>.Arden</w:t>
      </w:r>
      <w:r>
        <w:rPr>
          <w:spacing w:val="40"/>
          <w:sz w:val="19"/>
        </w:rPr>
        <w:t> </w:t>
      </w:r>
      <w:r>
        <w:rPr>
          <w:sz w:val="19"/>
        </w:rPr>
        <w:t>Shakespeare. Shakespeare,</w:t>
      </w:r>
      <w:r>
        <w:rPr>
          <w:spacing w:val="40"/>
          <w:sz w:val="19"/>
        </w:rPr>
        <w:t> </w:t>
      </w:r>
      <w:r>
        <w:rPr>
          <w:sz w:val="19"/>
        </w:rPr>
        <w:t>W.</w:t>
      </w:r>
      <w:r>
        <w:rPr>
          <w:spacing w:val="40"/>
          <w:sz w:val="19"/>
        </w:rPr>
        <w:t> </w:t>
      </w:r>
      <w:r>
        <w:rPr>
          <w:sz w:val="19"/>
        </w:rPr>
        <w:t>(2006).</w:t>
      </w:r>
      <w:r>
        <w:rPr>
          <w:i/>
          <w:sz w:val="19"/>
        </w:rPr>
        <w:t>Hamlet</w:t>
      </w:r>
      <w:r>
        <w:rPr>
          <w:sz w:val="19"/>
        </w:rPr>
        <w:t>.Arden</w:t>
      </w:r>
      <w:r>
        <w:rPr>
          <w:spacing w:val="40"/>
          <w:sz w:val="19"/>
        </w:rPr>
        <w:t> </w:t>
      </w:r>
      <w:r>
        <w:rPr>
          <w:sz w:val="19"/>
        </w:rPr>
        <w:t>Shakespeare. Shakespeare,</w:t>
      </w:r>
      <w:r>
        <w:rPr>
          <w:spacing w:val="40"/>
          <w:sz w:val="19"/>
        </w:rPr>
        <w:t> </w:t>
      </w:r>
      <w:r>
        <w:rPr>
          <w:sz w:val="19"/>
        </w:rPr>
        <w:t>W.</w:t>
      </w:r>
      <w:r>
        <w:rPr>
          <w:spacing w:val="40"/>
          <w:sz w:val="19"/>
        </w:rPr>
        <w:t> </w:t>
      </w:r>
      <w:r>
        <w:rPr>
          <w:sz w:val="19"/>
        </w:rPr>
        <w:t>(2008).</w:t>
      </w:r>
      <w:r>
        <w:rPr>
          <w:i/>
          <w:sz w:val="19"/>
        </w:rPr>
        <w:t>King</w:t>
      </w:r>
      <w:r>
        <w:rPr>
          <w:i/>
          <w:spacing w:val="40"/>
          <w:sz w:val="19"/>
        </w:rPr>
        <w:t> </w:t>
      </w:r>
      <w:r>
        <w:rPr>
          <w:i/>
          <w:sz w:val="19"/>
        </w:rPr>
        <w:t>Lear</w:t>
      </w:r>
      <w:r>
        <w:rPr>
          <w:sz w:val="19"/>
        </w:rPr>
        <w:t>.</w:t>
      </w:r>
      <w:r>
        <w:rPr>
          <w:spacing w:val="40"/>
          <w:sz w:val="19"/>
        </w:rPr>
        <w:t> </w:t>
      </w:r>
      <w:r>
        <w:rPr>
          <w:sz w:val="19"/>
        </w:rPr>
        <w:t>Arden</w:t>
      </w:r>
      <w:r>
        <w:rPr>
          <w:spacing w:val="40"/>
          <w:sz w:val="19"/>
        </w:rPr>
        <w:t> </w:t>
      </w:r>
      <w:r>
        <w:rPr>
          <w:sz w:val="19"/>
        </w:rPr>
        <w:t>Shakespeare.</w:t>
      </w:r>
    </w:p>
    <w:p>
      <w:pPr>
        <w:spacing w:line="264" w:lineRule="auto" w:before="4"/>
        <w:ind w:left="2160" w:right="1437" w:firstLine="0"/>
        <w:jc w:val="left"/>
        <w:rPr>
          <w:sz w:val="19"/>
        </w:rPr>
      </w:pPr>
      <w:r>
        <w:rPr>
          <w:sz w:val="19"/>
        </w:rPr>
        <w:t>Shakespeare,</w:t>
      </w:r>
      <w:r>
        <w:rPr>
          <w:spacing w:val="80"/>
          <w:sz w:val="19"/>
        </w:rPr>
        <w:t> </w:t>
      </w:r>
      <w:r>
        <w:rPr>
          <w:sz w:val="19"/>
        </w:rPr>
        <w:t>W.</w:t>
      </w:r>
      <w:r>
        <w:rPr>
          <w:spacing w:val="80"/>
          <w:sz w:val="19"/>
        </w:rPr>
        <w:t> </w:t>
      </w:r>
      <w:r>
        <w:rPr>
          <w:sz w:val="19"/>
        </w:rPr>
        <w:t>(2010).</w:t>
      </w:r>
      <w:r>
        <w:rPr>
          <w:i/>
          <w:sz w:val="19"/>
        </w:rPr>
        <w:t>All’s</w:t>
      </w:r>
      <w:r>
        <w:rPr>
          <w:i/>
          <w:spacing w:val="80"/>
          <w:sz w:val="19"/>
        </w:rPr>
        <w:t> </w:t>
      </w:r>
      <w:r>
        <w:rPr>
          <w:i/>
          <w:sz w:val="19"/>
        </w:rPr>
        <w:t>well</w:t>
      </w:r>
      <w:r>
        <w:rPr>
          <w:i/>
          <w:spacing w:val="80"/>
          <w:sz w:val="19"/>
        </w:rPr>
        <w:t> </w:t>
      </w:r>
      <w:r>
        <w:rPr>
          <w:i/>
          <w:sz w:val="19"/>
        </w:rPr>
        <w:t>that</w:t>
      </w:r>
      <w:r>
        <w:rPr>
          <w:i/>
          <w:spacing w:val="80"/>
          <w:sz w:val="19"/>
        </w:rPr>
        <w:t> </w:t>
      </w:r>
      <w:r>
        <w:rPr>
          <w:i/>
          <w:sz w:val="19"/>
        </w:rPr>
        <w:t>ends</w:t>
      </w:r>
      <w:r>
        <w:rPr>
          <w:i/>
          <w:spacing w:val="80"/>
          <w:sz w:val="19"/>
        </w:rPr>
        <w:t> </w:t>
      </w:r>
      <w:r>
        <w:rPr>
          <w:i/>
          <w:sz w:val="19"/>
        </w:rPr>
        <w:t>well</w:t>
      </w:r>
      <w:r>
        <w:rPr>
          <w:sz w:val="19"/>
        </w:rPr>
        <w:t>.</w:t>
      </w:r>
      <w:r>
        <w:rPr>
          <w:spacing w:val="80"/>
          <w:sz w:val="19"/>
        </w:rPr>
        <w:t> </w:t>
      </w:r>
      <w:r>
        <w:rPr>
          <w:sz w:val="19"/>
        </w:rPr>
        <w:t>Arden </w:t>
      </w:r>
      <w:r>
        <w:rPr>
          <w:spacing w:val="-2"/>
          <w:sz w:val="19"/>
        </w:rPr>
        <w:t>Shakespeare.</w:t>
      </w:r>
    </w:p>
    <w:p>
      <w:pPr>
        <w:spacing w:after="0" w:line="264"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64128">
                <wp:simplePos x="0" y="0"/>
                <wp:positionH relativeFrom="page">
                  <wp:posOffset>2057400</wp:posOffset>
                </wp:positionH>
                <wp:positionV relativeFrom="page">
                  <wp:posOffset>1788723</wp:posOffset>
                </wp:positionV>
                <wp:extent cx="3656329" cy="140335"/>
                <wp:effectExtent l="0" t="0" r="0" b="0"/>
                <wp:wrapNone/>
                <wp:docPr id="350" name="Textbox 350"/>
                <wp:cNvGraphicFramePr>
                  <a:graphicFrameLocks/>
                </wp:cNvGraphicFramePr>
                <a:graphic>
                  <a:graphicData uri="http://schemas.microsoft.com/office/word/2010/wordprocessingShape">
                    <wps:wsp>
                      <wps:cNvPr id="350" name="Textbox 350"/>
                      <wps:cNvSpPr txBox="1"/>
                      <wps:spPr>
                        <a:xfrm>
                          <a:off x="0" y="0"/>
                          <a:ext cx="3656329" cy="140335"/>
                        </a:xfrm>
                        <a:prstGeom prst="rect">
                          <a:avLst/>
                        </a:prstGeom>
                      </wps:spPr>
                      <wps:txbx>
                        <w:txbxContent>
                          <w:p>
                            <w:pPr>
                              <w:tabs>
                                <w:tab w:pos="5756" w:val="right" w:leader="none"/>
                              </w:tabs>
                              <w:spacing w:line="219" w:lineRule="exact" w:before="0"/>
                              <w:ind w:left="0" w:right="0" w:firstLine="0"/>
                              <w:jc w:val="left"/>
                              <w:rPr>
                                <w:rFonts w:ascii="Verdana"/>
                                <w:sz w:val="18"/>
                              </w:rPr>
                            </w:pPr>
                            <w:r>
                              <w:rPr>
                                <w:rFonts w:ascii="Verdana"/>
                                <w:spacing w:val="-2"/>
                                <w:sz w:val="18"/>
                              </w:rPr>
                              <w:t>Eco-Feminist</w:t>
                            </w:r>
                            <w:r>
                              <w:rPr>
                                <w:rFonts w:ascii="Verdana"/>
                                <w:spacing w:val="11"/>
                                <w:sz w:val="18"/>
                              </w:rPr>
                              <w:t> </w:t>
                            </w:r>
                            <w:r>
                              <w:rPr>
                                <w:rFonts w:ascii="Verdana"/>
                                <w:spacing w:val="-2"/>
                                <w:sz w:val="18"/>
                              </w:rPr>
                              <w:t>Ethics</w:t>
                            </w:r>
                            <w:r>
                              <w:rPr>
                                <w:rFonts w:ascii="Verdana"/>
                                <w:spacing w:val="11"/>
                                <w:sz w:val="18"/>
                              </w:rPr>
                              <w:t> </w:t>
                            </w:r>
                            <w:r>
                              <w:rPr>
                                <w:rFonts w:ascii="Verdana"/>
                                <w:spacing w:val="-2"/>
                                <w:sz w:val="18"/>
                              </w:rPr>
                              <w:t>in</w:t>
                            </w:r>
                            <w:r>
                              <w:rPr>
                                <w:rFonts w:ascii="Verdana"/>
                                <w:spacing w:val="13"/>
                                <w:sz w:val="18"/>
                              </w:rPr>
                              <w:t> </w:t>
                            </w:r>
                            <w:r>
                              <w:rPr>
                                <w:rFonts w:ascii="Verdana"/>
                                <w:spacing w:val="-2"/>
                                <w:sz w:val="18"/>
                              </w:rPr>
                              <w:t>The</w:t>
                            </w:r>
                            <w:r>
                              <w:rPr>
                                <w:rFonts w:ascii="Verdana"/>
                                <w:spacing w:val="12"/>
                                <w:sz w:val="18"/>
                              </w:rPr>
                              <w:t> </w:t>
                            </w:r>
                            <w:r>
                              <w:rPr>
                                <w:rFonts w:ascii="Verdana"/>
                                <w:spacing w:val="-2"/>
                                <w:sz w:val="18"/>
                              </w:rPr>
                              <w:t>Selected</w:t>
                            </w:r>
                            <w:r>
                              <w:rPr>
                                <w:rFonts w:ascii="Verdana"/>
                                <w:spacing w:val="12"/>
                                <w:sz w:val="18"/>
                              </w:rPr>
                              <w:t> </w:t>
                            </w:r>
                            <w:r>
                              <w:rPr>
                                <w:rFonts w:ascii="Verdana"/>
                                <w:spacing w:val="-2"/>
                                <w:sz w:val="18"/>
                              </w:rPr>
                              <w:t>Works</w:t>
                            </w:r>
                            <w:r>
                              <w:rPr>
                                <w:rFonts w:ascii="Verdana"/>
                                <w:spacing w:val="13"/>
                                <w:sz w:val="18"/>
                              </w:rPr>
                              <w:t> </w:t>
                            </w:r>
                            <w:r>
                              <w:rPr>
                                <w:rFonts w:ascii="Verdana"/>
                                <w:spacing w:val="-2"/>
                                <w:sz w:val="18"/>
                              </w:rPr>
                              <w:t>of</w:t>
                            </w:r>
                            <w:r>
                              <w:rPr>
                                <w:rFonts w:ascii="Verdana"/>
                                <w:spacing w:val="12"/>
                                <w:sz w:val="18"/>
                              </w:rPr>
                              <w:t> </w:t>
                            </w:r>
                            <w:r>
                              <w:rPr>
                                <w:rFonts w:ascii="Verdana"/>
                                <w:spacing w:val="-2"/>
                                <w:sz w:val="18"/>
                              </w:rPr>
                              <w:t>William</w:t>
                            </w:r>
                            <w:r>
                              <w:rPr>
                                <w:sz w:val="18"/>
                              </w:rPr>
                              <w:tab/>
                            </w:r>
                            <w:r>
                              <w:rPr>
                                <w:rFonts w:ascii="Verdana"/>
                                <w:spacing w:val="-5"/>
                                <w:sz w:val="18"/>
                              </w:rPr>
                              <w:t>131</w:t>
                            </w:r>
                          </w:p>
                        </w:txbxContent>
                      </wps:txbx>
                      <wps:bodyPr wrap="square" lIns="0" tIns="0" rIns="0" bIns="0" rtlCol="0">
                        <a:noAutofit/>
                      </wps:bodyPr>
                    </wps:wsp>
                  </a:graphicData>
                </a:graphic>
              </wp:anchor>
            </w:drawing>
          </mc:Choice>
          <mc:Fallback>
            <w:pict>
              <v:shape style="position:absolute;margin-left:162pt;margin-top:140.844391pt;width:287.9pt;height:11.05pt;mso-position-horizontal-relative:page;mso-position-vertical-relative:page;z-index:-20452352" type="#_x0000_t202" id="docshape346" filled="false" stroked="false">
                <v:textbox inset="0,0,0,0">
                  <w:txbxContent>
                    <w:p>
                      <w:pPr>
                        <w:tabs>
                          <w:tab w:pos="5756" w:val="right" w:leader="none"/>
                        </w:tabs>
                        <w:spacing w:line="219" w:lineRule="exact" w:before="0"/>
                        <w:ind w:left="0" w:right="0" w:firstLine="0"/>
                        <w:jc w:val="left"/>
                        <w:rPr>
                          <w:rFonts w:ascii="Verdana"/>
                          <w:sz w:val="18"/>
                        </w:rPr>
                      </w:pPr>
                      <w:r>
                        <w:rPr>
                          <w:rFonts w:ascii="Verdana"/>
                          <w:spacing w:val="-2"/>
                          <w:sz w:val="18"/>
                        </w:rPr>
                        <w:t>Eco-Feminist</w:t>
                      </w:r>
                      <w:r>
                        <w:rPr>
                          <w:rFonts w:ascii="Verdana"/>
                          <w:spacing w:val="11"/>
                          <w:sz w:val="18"/>
                        </w:rPr>
                        <w:t> </w:t>
                      </w:r>
                      <w:r>
                        <w:rPr>
                          <w:rFonts w:ascii="Verdana"/>
                          <w:spacing w:val="-2"/>
                          <w:sz w:val="18"/>
                        </w:rPr>
                        <w:t>Ethics</w:t>
                      </w:r>
                      <w:r>
                        <w:rPr>
                          <w:rFonts w:ascii="Verdana"/>
                          <w:spacing w:val="11"/>
                          <w:sz w:val="18"/>
                        </w:rPr>
                        <w:t> </w:t>
                      </w:r>
                      <w:r>
                        <w:rPr>
                          <w:rFonts w:ascii="Verdana"/>
                          <w:spacing w:val="-2"/>
                          <w:sz w:val="18"/>
                        </w:rPr>
                        <w:t>in</w:t>
                      </w:r>
                      <w:r>
                        <w:rPr>
                          <w:rFonts w:ascii="Verdana"/>
                          <w:spacing w:val="13"/>
                          <w:sz w:val="18"/>
                        </w:rPr>
                        <w:t> </w:t>
                      </w:r>
                      <w:r>
                        <w:rPr>
                          <w:rFonts w:ascii="Verdana"/>
                          <w:spacing w:val="-2"/>
                          <w:sz w:val="18"/>
                        </w:rPr>
                        <w:t>The</w:t>
                      </w:r>
                      <w:r>
                        <w:rPr>
                          <w:rFonts w:ascii="Verdana"/>
                          <w:spacing w:val="12"/>
                          <w:sz w:val="18"/>
                        </w:rPr>
                        <w:t> </w:t>
                      </w:r>
                      <w:r>
                        <w:rPr>
                          <w:rFonts w:ascii="Verdana"/>
                          <w:spacing w:val="-2"/>
                          <w:sz w:val="18"/>
                        </w:rPr>
                        <w:t>Selected</w:t>
                      </w:r>
                      <w:r>
                        <w:rPr>
                          <w:rFonts w:ascii="Verdana"/>
                          <w:spacing w:val="12"/>
                          <w:sz w:val="18"/>
                        </w:rPr>
                        <w:t> </w:t>
                      </w:r>
                      <w:r>
                        <w:rPr>
                          <w:rFonts w:ascii="Verdana"/>
                          <w:spacing w:val="-2"/>
                          <w:sz w:val="18"/>
                        </w:rPr>
                        <w:t>Works</w:t>
                      </w:r>
                      <w:r>
                        <w:rPr>
                          <w:rFonts w:ascii="Verdana"/>
                          <w:spacing w:val="13"/>
                          <w:sz w:val="18"/>
                        </w:rPr>
                        <w:t> </w:t>
                      </w:r>
                      <w:r>
                        <w:rPr>
                          <w:rFonts w:ascii="Verdana"/>
                          <w:spacing w:val="-2"/>
                          <w:sz w:val="18"/>
                        </w:rPr>
                        <w:t>of</w:t>
                      </w:r>
                      <w:r>
                        <w:rPr>
                          <w:rFonts w:ascii="Verdana"/>
                          <w:spacing w:val="12"/>
                          <w:sz w:val="18"/>
                        </w:rPr>
                        <w:t> </w:t>
                      </w:r>
                      <w:r>
                        <w:rPr>
                          <w:rFonts w:ascii="Verdana"/>
                          <w:spacing w:val="-2"/>
                          <w:sz w:val="18"/>
                        </w:rPr>
                        <w:t>William</w:t>
                      </w:r>
                      <w:r>
                        <w:rPr>
                          <w:sz w:val="18"/>
                        </w:rPr>
                        <w:tab/>
                      </w:r>
                      <w:r>
                        <w:rPr>
                          <w:rFonts w:ascii="Verdana"/>
                          <w:spacing w:val="-5"/>
                          <w:sz w:val="18"/>
                        </w:rPr>
                        <w:t>131</w:t>
                      </w:r>
                    </w:p>
                  </w:txbxContent>
                </v:textbox>
                <w10:wrap type="none"/>
              </v:shape>
            </w:pict>
          </mc:Fallback>
        </mc:AlternateContent>
      </w:r>
    </w:p>
    <w:p>
      <w:pPr>
        <w:pStyle w:val="BodyText"/>
        <w:spacing w:before="184" w:after="1"/>
        <w:ind w:left="0"/>
      </w:pPr>
    </w:p>
    <w:p>
      <w:pPr>
        <w:spacing w:line="240" w:lineRule="auto"/>
        <w:ind w:left="1048" w:right="0" w:firstLine="0"/>
        <w:rPr>
          <w:sz w:val="20"/>
        </w:rPr>
      </w:pPr>
      <w:r>
        <w:rPr>
          <w:sz w:val="20"/>
        </w:rPr>
        <mc:AlternateContent>
          <mc:Choice Requires="wps">
            <w:drawing>
              <wp:inline distT="0" distB="0" distL="0" distR="0">
                <wp:extent cx="4044950" cy="699770"/>
                <wp:effectExtent l="0" t="0" r="0" b="0"/>
                <wp:docPr id="351" name="Group 351"/>
                <wp:cNvGraphicFramePr>
                  <a:graphicFrameLocks/>
                </wp:cNvGraphicFramePr>
                <a:graphic>
                  <a:graphicData uri="http://schemas.microsoft.com/office/word/2010/wordprocessingGroup">
                    <wpg:wgp>
                      <wpg:cNvPr id="351" name="Group 351"/>
                      <wpg:cNvGrpSpPr/>
                      <wpg:grpSpPr>
                        <a:xfrm>
                          <a:off x="0" y="0"/>
                          <a:ext cx="4044950" cy="699770"/>
                          <a:chExt cx="4044950" cy="699770"/>
                        </a:xfrm>
                      </wpg:grpSpPr>
                      <wps:wsp>
                        <wps:cNvPr id="352" name="Graphic 352"/>
                        <wps:cNvSpPr/>
                        <wps:spPr>
                          <a:xfrm>
                            <a:off x="0" y="0"/>
                            <a:ext cx="4044950" cy="699770"/>
                          </a:xfrm>
                          <a:custGeom>
                            <a:avLst/>
                            <a:gdLst/>
                            <a:ahLst/>
                            <a:cxnLst/>
                            <a:rect l="l" t="t" r="r" b="b"/>
                            <a:pathLst>
                              <a:path w="4044950" h="699770">
                                <a:moveTo>
                                  <a:pt x="4044695" y="699515"/>
                                </a:moveTo>
                                <a:lnTo>
                                  <a:pt x="0" y="699515"/>
                                </a:lnTo>
                                <a:lnTo>
                                  <a:pt x="0" y="0"/>
                                </a:lnTo>
                                <a:lnTo>
                                  <a:pt x="4044695" y="0"/>
                                </a:lnTo>
                                <a:lnTo>
                                  <a:pt x="4044695" y="699515"/>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347" coordorigin="0,0" coordsize="6370,1102">
                <v:rect style="position:absolute;left:0;top:0;width:6370;height:1102" id="docshape348"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699968">
                <wp:simplePos x="0" y="0"/>
                <wp:positionH relativeFrom="page">
                  <wp:posOffset>3477767</wp:posOffset>
                </wp:positionH>
                <wp:positionV relativeFrom="paragraph">
                  <wp:posOffset>272922</wp:posOffset>
                </wp:positionV>
                <wp:extent cx="728980" cy="654050"/>
                <wp:effectExtent l="0" t="0" r="0" b="0"/>
                <wp:wrapTopAndBottom/>
                <wp:docPr id="353" name="Group 353"/>
                <wp:cNvGraphicFramePr>
                  <a:graphicFrameLocks/>
                </wp:cNvGraphicFramePr>
                <a:graphic>
                  <a:graphicData uri="http://schemas.microsoft.com/office/word/2010/wordprocessingGroup">
                    <wpg:wgp>
                      <wpg:cNvPr id="353" name="Group 353"/>
                      <wpg:cNvGrpSpPr/>
                      <wpg:grpSpPr>
                        <a:xfrm>
                          <a:off x="0" y="0"/>
                          <a:ext cx="728980" cy="654050"/>
                          <a:chExt cx="728980" cy="654050"/>
                        </a:xfrm>
                      </wpg:grpSpPr>
                      <pic:pic>
                        <pic:nvPicPr>
                          <pic:cNvPr id="354" name="Image 354"/>
                          <pic:cNvPicPr/>
                        </pic:nvPicPr>
                        <pic:blipFill>
                          <a:blip r:embed="rId94" cstate="print"/>
                          <a:stretch>
                            <a:fillRect/>
                          </a:stretch>
                        </pic:blipFill>
                        <pic:spPr>
                          <a:xfrm>
                            <a:off x="0" y="0"/>
                            <a:ext cx="728471" cy="653796"/>
                          </a:xfrm>
                          <a:prstGeom prst="rect">
                            <a:avLst/>
                          </a:prstGeom>
                        </pic:spPr>
                      </pic:pic>
                      <wps:wsp>
                        <wps:cNvPr id="355" name="Textbox 355"/>
                        <wps:cNvSpPr txBox="1"/>
                        <wps:spPr>
                          <a:xfrm>
                            <a:off x="0" y="0"/>
                            <a:ext cx="728980" cy="654050"/>
                          </a:xfrm>
                          <a:prstGeom prst="rect">
                            <a:avLst/>
                          </a:prstGeom>
                        </wps:spPr>
                        <wps:txbx>
                          <w:txbxContent>
                            <w:p>
                              <w:pPr>
                                <w:spacing w:before="386"/>
                                <w:ind w:left="448" w:right="0" w:firstLine="0"/>
                                <w:jc w:val="left"/>
                                <w:rPr>
                                  <w:rFonts w:ascii="Tahoma"/>
                                  <w:b/>
                                  <w:sz w:val="36"/>
                                </w:rPr>
                              </w:pPr>
                              <w:r>
                                <w:rPr>
                                  <w:rFonts w:ascii="Tahoma"/>
                                  <w:b/>
                                  <w:spacing w:val="-5"/>
                                  <w:w w:val="95"/>
                                  <w:sz w:val="36"/>
                                </w:rPr>
                                <w:t>14</w:t>
                              </w:r>
                            </w:p>
                          </w:txbxContent>
                        </wps:txbx>
                        <wps:bodyPr wrap="square" lIns="0" tIns="0" rIns="0" bIns="0" rtlCol="0">
                          <a:noAutofit/>
                        </wps:bodyPr>
                      </wps:wsp>
                    </wpg:wgp>
                  </a:graphicData>
                </a:graphic>
              </wp:anchor>
            </w:drawing>
          </mc:Choice>
          <mc:Fallback>
            <w:pict>
              <v:group style="position:absolute;margin-left:273.839996pt;margin-top:21.489992pt;width:57.4pt;height:51.5pt;mso-position-horizontal-relative:page;mso-position-vertical-relative:paragraph;z-index:-15616512;mso-wrap-distance-left:0;mso-wrap-distance-right:0" id="docshapegroup349" coordorigin="5477,430" coordsize="1148,1030">
                <v:shape style="position:absolute;left:5476;top:429;width:1148;height:1030" type="#_x0000_t75" id="docshape350" stroked="false">
                  <v:imagedata r:id="rId94" o:title=""/>
                </v:shape>
                <v:shape style="position:absolute;left:5476;top:429;width:1148;height:1030" type="#_x0000_t202" id="docshape351" filled="false" stroked="false">
                  <v:textbox inset="0,0,0,0">
                    <w:txbxContent>
                      <w:p>
                        <w:pPr>
                          <w:spacing w:before="386"/>
                          <w:ind w:left="448" w:right="0" w:firstLine="0"/>
                          <w:jc w:val="left"/>
                          <w:rPr>
                            <w:rFonts w:ascii="Tahoma"/>
                            <w:b/>
                            <w:sz w:val="36"/>
                          </w:rPr>
                        </w:pPr>
                        <w:r>
                          <w:rPr>
                            <w:rFonts w:ascii="Tahoma"/>
                            <w:b/>
                            <w:spacing w:val="-5"/>
                            <w:w w:val="95"/>
                            <w:sz w:val="36"/>
                          </w:rPr>
                          <w:t>14</w:t>
                        </w:r>
                      </w:p>
                    </w:txbxContent>
                  </v:textbox>
                  <w10:wrap type="none"/>
                </v:shape>
                <w10:wrap type="topAndBottom"/>
              </v:group>
            </w:pict>
          </mc:Fallback>
        </mc:AlternateContent>
      </w:r>
    </w:p>
    <w:p>
      <w:pPr>
        <w:pStyle w:val="Heading1"/>
        <w:spacing w:line="211" w:lineRule="auto" w:before="42"/>
        <w:ind w:left="1605" w:right="1609" w:hanging="2"/>
      </w:pPr>
      <w:r>
        <w:rPr>
          <w:spacing w:val="-8"/>
        </w:rPr>
        <w:t>Eco-Feminist</w:t>
      </w:r>
      <w:r>
        <w:rPr>
          <w:spacing w:val="-13"/>
        </w:rPr>
        <w:t> </w:t>
      </w:r>
      <w:r>
        <w:rPr>
          <w:spacing w:val="-8"/>
        </w:rPr>
        <w:t>Ethics</w:t>
      </w:r>
      <w:r>
        <w:rPr>
          <w:spacing w:val="-13"/>
        </w:rPr>
        <w:t> </w:t>
      </w:r>
      <w:r>
        <w:rPr>
          <w:spacing w:val="-8"/>
        </w:rPr>
        <w:t>in</w:t>
      </w:r>
      <w:r>
        <w:rPr>
          <w:spacing w:val="-10"/>
        </w:rPr>
        <w:t> </w:t>
      </w:r>
      <w:r>
        <w:rPr>
          <w:spacing w:val="-8"/>
        </w:rPr>
        <w:t>The</w:t>
      </w:r>
      <w:r>
        <w:rPr>
          <w:spacing w:val="-13"/>
        </w:rPr>
        <w:t> </w:t>
      </w:r>
      <w:r>
        <w:rPr>
          <w:spacing w:val="-8"/>
        </w:rPr>
        <w:t>Selected </w:t>
      </w:r>
      <w:r>
        <w:rPr>
          <w:spacing w:val="-4"/>
        </w:rPr>
        <w:t>Works</w:t>
      </w:r>
      <w:r>
        <w:rPr>
          <w:spacing w:val="-20"/>
        </w:rPr>
        <w:t> </w:t>
      </w:r>
      <w:r>
        <w:rPr>
          <w:spacing w:val="-4"/>
        </w:rPr>
        <w:t>of</w:t>
      </w:r>
      <w:r>
        <w:rPr>
          <w:spacing w:val="-19"/>
        </w:rPr>
        <w:t> </w:t>
      </w:r>
      <w:r>
        <w:rPr>
          <w:spacing w:val="-4"/>
        </w:rPr>
        <w:t>William</w:t>
      </w:r>
      <w:r>
        <w:rPr>
          <w:spacing w:val="-18"/>
        </w:rPr>
        <w:t> </w:t>
      </w:r>
      <w:r>
        <w:rPr>
          <w:spacing w:val="-4"/>
        </w:rPr>
        <w:t>Shakespeare</w:t>
      </w:r>
      <w:r>
        <w:rPr>
          <w:spacing w:val="-19"/>
        </w:rPr>
        <w:t> </w:t>
      </w:r>
      <w:r>
        <w:rPr>
          <w:spacing w:val="-4"/>
        </w:rPr>
        <w:t>and </w:t>
      </w:r>
      <w:r>
        <w:rPr/>
        <w:t>Amitav Ghosh:</w:t>
      </w:r>
    </w:p>
    <w:p>
      <w:pPr>
        <w:tabs>
          <w:tab w:pos="1199" w:val="left" w:leader="none"/>
          <w:tab w:pos="5759" w:val="left" w:leader="none"/>
        </w:tabs>
        <w:spacing w:line="348" w:lineRule="exact" w:before="0"/>
        <w:ind w:left="0" w:right="0" w:firstLine="0"/>
        <w:jc w:val="center"/>
        <w:rPr>
          <w:rFonts w:ascii="Tahoma"/>
          <w:b/>
          <w:sz w:val="32"/>
        </w:rPr>
      </w:pPr>
      <w:r>
        <w:rPr>
          <w:sz w:val="32"/>
          <w:u w:val="single"/>
        </w:rPr>
        <w:tab/>
      </w:r>
      <w:r>
        <w:rPr>
          <w:rFonts w:ascii="Tahoma"/>
          <w:b/>
          <w:sz w:val="32"/>
          <w:u w:val="single"/>
        </w:rPr>
        <w:t>A</w:t>
      </w:r>
      <w:r>
        <w:rPr>
          <w:rFonts w:ascii="Tahoma"/>
          <w:b/>
          <w:spacing w:val="22"/>
          <w:sz w:val="32"/>
          <w:u w:val="single"/>
        </w:rPr>
        <w:t> </w:t>
      </w:r>
      <w:r>
        <w:rPr>
          <w:rFonts w:ascii="Tahoma"/>
          <w:b/>
          <w:sz w:val="32"/>
          <w:u w:val="single"/>
        </w:rPr>
        <w:t>Comparative</w:t>
      </w:r>
      <w:r>
        <w:rPr>
          <w:rFonts w:ascii="Tahoma"/>
          <w:b/>
          <w:spacing w:val="22"/>
          <w:sz w:val="32"/>
          <w:u w:val="single"/>
        </w:rPr>
        <w:t> </w:t>
      </w:r>
      <w:r>
        <w:rPr>
          <w:rFonts w:ascii="Tahoma"/>
          <w:b/>
          <w:spacing w:val="-4"/>
          <w:sz w:val="32"/>
          <w:u w:val="single"/>
        </w:rPr>
        <w:t>Study</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00480">
                <wp:simplePos x="0" y="0"/>
                <wp:positionH relativeFrom="page">
                  <wp:posOffset>2057400</wp:posOffset>
                </wp:positionH>
                <wp:positionV relativeFrom="paragraph">
                  <wp:posOffset>60305</wp:posOffset>
                </wp:positionV>
                <wp:extent cx="3657600" cy="7620"/>
                <wp:effectExtent l="0" t="0" r="0" b="0"/>
                <wp:wrapTopAndBottom/>
                <wp:docPr id="356" name="Graphic 356"/>
                <wp:cNvGraphicFramePr>
                  <a:graphicFrameLocks/>
                </wp:cNvGraphicFramePr>
                <a:graphic>
                  <a:graphicData uri="http://schemas.microsoft.com/office/word/2010/wordprocessingShape">
                    <wps:wsp>
                      <wps:cNvPr id="356" name="Graphic 356"/>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48477pt;width:288.000009pt;height:.599991pt;mso-position-horizontal-relative:page;mso-position-vertical-relative:paragraph;z-index:-15616000;mso-wrap-distance-left:0;mso-wrap-distance-right:0" id="docshape352" filled="true" fillcolor="#000000" stroked="false">
                <v:fill type="solid"/>
                <w10:wrap type="topAndBottom"/>
              </v:rect>
            </w:pict>
          </mc:Fallback>
        </mc:AlternateContent>
      </w:r>
    </w:p>
    <w:p>
      <w:pPr>
        <w:pStyle w:val="BodyText"/>
        <w:spacing w:before="15"/>
        <w:ind w:left="0"/>
        <w:rPr>
          <w:rFonts w:ascii="Tahoma"/>
          <w:b/>
          <w:sz w:val="32"/>
        </w:rPr>
      </w:pPr>
    </w:p>
    <w:p>
      <w:pPr>
        <w:spacing w:line="252" w:lineRule="auto" w:before="0"/>
        <w:ind w:left="2671" w:right="1436" w:firstLine="2023"/>
        <w:jc w:val="both"/>
        <w:rPr>
          <w:i/>
          <w:sz w:val="19"/>
        </w:rPr>
      </w:pPr>
      <w:r>
        <w:rPr>
          <w:b/>
          <w:i/>
          <w:sz w:val="22"/>
        </w:rPr>
        <w:t>Sushanta Kumar Mahalik </w:t>
      </w:r>
      <w:r>
        <w:rPr>
          <w:i/>
          <w:sz w:val="19"/>
        </w:rPr>
        <w:t>Ph.D Research Scholar, Department of Language and Literature,</w:t>
      </w:r>
      <w:r>
        <w:rPr>
          <w:i/>
          <w:spacing w:val="66"/>
          <w:sz w:val="19"/>
        </w:rPr>
        <w:t> </w:t>
      </w:r>
      <w:r>
        <w:rPr>
          <w:i/>
          <w:sz w:val="19"/>
        </w:rPr>
        <w:t>Fakir</w:t>
      </w:r>
      <w:r>
        <w:rPr>
          <w:i/>
          <w:spacing w:val="67"/>
          <w:sz w:val="19"/>
        </w:rPr>
        <w:t> </w:t>
      </w:r>
      <w:r>
        <w:rPr>
          <w:i/>
          <w:sz w:val="19"/>
        </w:rPr>
        <w:t>Mohan</w:t>
      </w:r>
      <w:r>
        <w:rPr>
          <w:i/>
          <w:spacing w:val="67"/>
          <w:sz w:val="19"/>
        </w:rPr>
        <w:t> </w:t>
      </w:r>
      <w:r>
        <w:rPr>
          <w:i/>
          <w:sz w:val="19"/>
        </w:rPr>
        <w:t>University,</w:t>
      </w:r>
      <w:r>
        <w:rPr>
          <w:i/>
          <w:spacing w:val="67"/>
          <w:sz w:val="19"/>
        </w:rPr>
        <w:t> </w:t>
      </w:r>
      <w:r>
        <w:rPr>
          <w:i/>
          <w:sz w:val="19"/>
        </w:rPr>
        <w:t>Balasore,</w:t>
      </w:r>
      <w:r>
        <w:rPr>
          <w:i/>
          <w:spacing w:val="65"/>
          <w:sz w:val="19"/>
        </w:rPr>
        <w:t> </w:t>
      </w:r>
      <w:r>
        <w:rPr>
          <w:i/>
          <w:spacing w:val="-2"/>
          <w:sz w:val="19"/>
        </w:rPr>
        <w:t>Odisha</w:t>
      </w:r>
    </w:p>
    <w:p>
      <w:pPr>
        <w:pStyle w:val="BodyText"/>
        <w:spacing w:before="151"/>
        <w:ind w:left="0"/>
        <w:rPr>
          <w:i/>
          <w:sz w:val="19"/>
        </w:rPr>
      </w:pPr>
    </w:p>
    <w:p>
      <w:pPr>
        <w:pStyle w:val="Heading3"/>
        <w:spacing w:before="0"/>
      </w:pPr>
      <w:r>
        <w:rPr>
          <w:spacing w:val="-2"/>
        </w:rPr>
        <w:t>ABSTRACT:</w:t>
      </w:r>
    </w:p>
    <w:p>
      <w:pPr>
        <w:pStyle w:val="BodyText"/>
        <w:spacing w:line="249" w:lineRule="auto" w:before="75"/>
        <w:ind w:right="1438" w:firstLine="432"/>
        <w:jc w:val="both"/>
      </w:pPr>
      <w:r>
        <w:rPr/>
        <w:t>Ecofeminist ethics is a branch of moral philosophy that combines the principles of feminism and environmental ethics to explore the relationship between the oppression of women and the exploitation of nature. It argues that both women and the natural world have been historically dominated and controlled by patriarchal systems that value power, hierarchy, and profit over care, equality, and sustainability. </w:t>
      </w:r>
      <w:r>
        <w:rPr>
          <w:spacing w:val="-2"/>
        </w:rPr>
        <w:t>Ecofeminist</w:t>
      </w:r>
      <w:r>
        <w:rPr>
          <w:spacing w:val="-6"/>
        </w:rPr>
        <w:t> </w:t>
      </w:r>
      <w:r>
        <w:rPr>
          <w:spacing w:val="-2"/>
        </w:rPr>
        <w:t>ethics</w:t>
      </w:r>
      <w:r>
        <w:rPr>
          <w:spacing w:val="-4"/>
        </w:rPr>
        <w:t> </w:t>
      </w:r>
      <w:r>
        <w:rPr>
          <w:spacing w:val="-2"/>
        </w:rPr>
        <w:t>also</w:t>
      </w:r>
      <w:r>
        <w:rPr>
          <w:spacing w:val="-4"/>
        </w:rPr>
        <w:t> </w:t>
      </w:r>
      <w:r>
        <w:rPr>
          <w:spacing w:val="-2"/>
        </w:rPr>
        <w:t>values</w:t>
      </w:r>
      <w:r>
        <w:rPr>
          <w:spacing w:val="-4"/>
        </w:rPr>
        <w:t> </w:t>
      </w:r>
      <w:r>
        <w:rPr>
          <w:spacing w:val="-2"/>
        </w:rPr>
        <w:t>the</w:t>
      </w:r>
      <w:r>
        <w:rPr>
          <w:spacing w:val="-6"/>
        </w:rPr>
        <w:t> </w:t>
      </w:r>
      <w:r>
        <w:rPr>
          <w:spacing w:val="-2"/>
        </w:rPr>
        <w:t>experiences</w:t>
      </w:r>
      <w:r>
        <w:rPr>
          <w:spacing w:val="-4"/>
        </w:rPr>
        <w:t> </w:t>
      </w:r>
      <w:r>
        <w:rPr>
          <w:spacing w:val="-2"/>
        </w:rPr>
        <w:t>and knowledge of</w:t>
      </w:r>
      <w:r>
        <w:rPr>
          <w:spacing w:val="-6"/>
        </w:rPr>
        <w:t> </w:t>
      </w:r>
      <w:r>
        <w:rPr>
          <w:spacing w:val="-2"/>
        </w:rPr>
        <w:t>women, </w:t>
      </w:r>
      <w:r>
        <w:rPr/>
        <w:t>especially those in rural and indigenous communities who are closely connected to the environment. These women often play a key role in </w:t>
      </w:r>
      <w:r>
        <w:rPr>
          <w:spacing w:val="-4"/>
        </w:rPr>
        <w:t>preserving natural</w:t>
      </w:r>
      <w:r>
        <w:rPr>
          <w:spacing w:val="-9"/>
        </w:rPr>
        <w:t> </w:t>
      </w:r>
      <w:r>
        <w:rPr>
          <w:spacing w:val="-4"/>
        </w:rPr>
        <w:t>resources</w:t>
      </w:r>
      <w:r>
        <w:rPr>
          <w:spacing w:val="-5"/>
        </w:rPr>
        <w:t> </w:t>
      </w:r>
      <w:r>
        <w:rPr>
          <w:spacing w:val="-4"/>
        </w:rPr>
        <w:t>and maintaining ecological</w:t>
      </w:r>
      <w:r>
        <w:rPr>
          <w:spacing w:val="-7"/>
        </w:rPr>
        <w:t> </w:t>
      </w:r>
      <w:r>
        <w:rPr>
          <w:spacing w:val="-4"/>
        </w:rPr>
        <w:t>balance. However, </w:t>
      </w:r>
      <w:r>
        <w:rPr/>
        <w:t>they are also among the most affected by environmental degradation, such</w:t>
      </w:r>
      <w:r>
        <w:rPr>
          <w:spacing w:val="-4"/>
        </w:rPr>
        <w:t> </w:t>
      </w:r>
      <w:r>
        <w:rPr/>
        <w:t>as</w:t>
      </w:r>
      <w:r>
        <w:rPr>
          <w:spacing w:val="-2"/>
        </w:rPr>
        <w:t> </w:t>
      </w:r>
      <w:r>
        <w:rPr/>
        <w:t>deforestation, pollution, and climate</w:t>
      </w:r>
      <w:r>
        <w:rPr>
          <w:spacing w:val="-1"/>
        </w:rPr>
        <w:t> </w:t>
      </w:r>
      <w:r>
        <w:rPr/>
        <w:t>change. Ecofeminist</w:t>
      </w:r>
      <w:r>
        <w:rPr>
          <w:spacing w:val="-2"/>
        </w:rPr>
        <w:t> </w:t>
      </w:r>
      <w:r>
        <w:rPr/>
        <w:t>ethics provides a powerful</w:t>
      </w:r>
      <w:r>
        <w:rPr>
          <w:spacing w:val="-1"/>
        </w:rPr>
        <w:t> </w:t>
      </w:r>
      <w:r>
        <w:rPr/>
        <w:t>critical framework for examining</w:t>
      </w:r>
      <w:r>
        <w:rPr>
          <w:spacing w:val="-2"/>
        </w:rPr>
        <w:t> </w:t>
      </w:r>
      <w:r>
        <w:rPr/>
        <w:t>literary</w:t>
      </w:r>
      <w:r>
        <w:rPr>
          <w:spacing w:val="-2"/>
        </w:rPr>
        <w:t> </w:t>
      </w:r>
      <w:r>
        <w:rPr/>
        <w:t>texts that explore the relationship between gender, power, and the natural environment.</w:t>
      </w:r>
      <w:r>
        <w:rPr>
          <w:spacing w:val="-1"/>
        </w:rPr>
        <w:t> </w:t>
      </w:r>
      <w:r>
        <w:rPr/>
        <w:t>By</w:t>
      </w:r>
      <w:r>
        <w:rPr>
          <w:spacing w:val="-4"/>
        </w:rPr>
        <w:t> </w:t>
      </w:r>
      <w:r>
        <w:rPr/>
        <w:t>linking</w:t>
      </w:r>
      <w:r>
        <w:rPr>
          <w:spacing w:val="-1"/>
        </w:rPr>
        <w:t> </w:t>
      </w:r>
      <w:r>
        <w:rPr/>
        <w:t>the</w:t>
      </w:r>
      <w:r>
        <w:rPr>
          <w:spacing w:val="-1"/>
        </w:rPr>
        <w:t> </w:t>
      </w:r>
      <w:r>
        <w:rPr/>
        <w:t>oppression</w:t>
      </w:r>
      <w:r>
        <w:rPr>
          <w:spacing w:val="-3"/>
        </w:rPr>
        <w:t> </w:t>
      </w:r>
      <w:r>
        <w:rPr/>
        <w:t>of</w:t>
      </w:r>
      <w:r>
        <w:rPr>
          <w:spacing w:val="-3"/>
        </w:rPr>
        <w:t> </w:t>
      </w:r>
      <w:r>
        <w:rPr/>
        <w:t>women</w:t>
      </w:r>
      <w:r>
        <w:rPr>
          <w:spacing w:val="-1"/>
        </w:rPr>
        <w:t> </w:t>
      </w:r>
      <w:r>
        <w:rPr/>
        <w:t>with</w:t>
      </w:r>
      <w:r>
        <w:rPr>
          <w:spacing w:val="-1"/>
        </w:rPr>
        <w:t> </w:t>
      </w:r>
      <w:r>
        <w:rPr/>
        <w:t>the</w:t>
      </w:r>
      <w:r>
        <w:rPr>
          <w:spacing w:val="-1"/>
        </w:rPr>
        <w:t> </w:t>
      </w:r>
      <w:r>
        <w:rPr/>
        <w:t>exploitation </w:t>
      </w:r>
      <w:r>
        <w:rPr>
          <w:spacing w:val="-2"/>
        </w:rPr>
        <w:t>of</w:t>
      </w:r>
      <w:r>
        <w:rPr>
          <w:spacing w:val="-11"/>
        </w:rPr>
        <w:t> </w:t>
      </w:r>
      <w:r>
        <w:rPr>
          <w:spacing w:val="-2"/>
        </w:rPr>
        <w:t>nature,</w:t>
      </w:r>
      <w:r>
        <w:rPr>
          <w:spacing w:val="-10"/>
        </w:rPr>
        <w:t> </w:t>
      </w:r>
      <w:r>
        <w:rPr>
          <w:spacing w:val="-2"/>
        </w:rPr>
        <w:t>ecofeminism</w:t>
      </w:r>
      <w:r>
        <w:rPr>
          <w:spacing w:val="-11"/>
        </w:rPr>
        <w:t> </w:t>
      </w:r>
      <w:r>
        <w:rPr>
          <w:spacing w:val="-2"/>
        </w:rPr>
        <w:t>highlights</w:t>
      </w:r>
      <w:r>
        <w:rPr>
          <w:spacing w:val="-9"/>
        </w:rPr>
        <w:t> </w:t>
      </w:r>
      <w:r>
        <w:rPr>
          <w:spacing w:val="-2"/>
        </w:rPr>
        <w:t>how</w:t>
      </w:r>
      <w:r>
        <w:rPr>
          <w:spacing w:val="-11"/>
        </w:rPr>
        <w:t> </w:t>
      </w:r>
      <w:r>
        <w:rPr>
          <w:spacing w:val="-2"/>
        </w:rPr>
        <w:t>systems</w:t>
      </w:r>
      <w:r>
        <w:rPr>
          <w:spacing w:val="-10"/>
        </w:rPr>
        <w:t> </w:t>
      </w:r>
      <w:r>
        <w:rPr>
          <w:spacing w:val="-2"/>
        </w:rPr>
        <w:t>of</w:t>
      </w:r>
      <w:r>
        <w:rPr>
          <w:spacing w:val="-8"/>
        </w:rPr>
        <w:t> </w:t>
      </w:r>
      <w:r>
        <w:rPr>
          <w:spacing w:val="-2"/>
        </w:rPr>
        <w:t>domination</w:t>
      </w:r>
      <w:r>
        <w:rPr>
          <w:spacing w:val="-8"/>
        </w:rPr>
        <w:t> </w:t>
      </w:r>
      <w:r>
        <w:rPr>
          <w:spacing w:val="-2"/>
        </w:rPr>
        <w:t>particularly </w:t>
      </w:r>
      <w:r>
        <w:rPr/>
        <w:t>patriarchy,</w:t>
      </w:r>
      <w:r>
        <w:rPr>
          <w:spacing w:val="-13"/>
        </w:rPr>
        <w:t> </w:t>
      </w:r>
      <w:r>
        <w:rPr/>
        <w:t>colonialism,</w:t>
      </w:r>
      <w:r>
        <w:rPr>
          <w:spacing w:val="-12"/>
        </w:rPr>
        <w:t> </w:t>
      </w:r>
      <w:r>
        <w:rPr/>
        <w:t>and</w:t>
      </w:r>
      <w:r>
        <w:rPr>
          <w:spacing w:val="-13"/>
        </w:rPr>
        <w:t> </w:t>
      </w:r>
      <w:r>
        <w:rPr/>
        <w:t>capitalism</w:t>
      </w:r>
      <w:r>
        <w:rPr>
          <w:spacing w:val="-12"/>
        </w:rPr>
        <w:t> </w:t>
      </w:r>
      <w:r>
        <w:rPr/>
        <w:t>shape</w:t>
      </w:r>
      <w:r>
        <w:rPr>
          <w:spacing w:val="-13"/>
        </w:rPr>
        <w:t> </w:t>
      </w:r>
      <w:r>
        <w:rPr/>
        <w:t>both</w:t>
      </w:r>
      <w:r>
        <w:rPr>
          <w:spacing w:val="-12"/>
        </w:rPr>
        <w:t> </w:t>
      </w:r>
      <w:r>
        <w:rPr/>
        <w:t>human</w:t>
      </w:r>
      <w:r>
        <w:rPr>
          <w:spacing w:val="-13"/>
        </w:rPr>
        <w:t> </w:t>
      </w:r>
      <w:r>
        <w:rPr/>
        <w:t>and</w:t>
      </w:r>
      <w:r>
        <w:rPr>
          <w:spacing w:val="-11"/>
        </w:rPr>
        <w:t> </w:t>
      </w:r>
      <w:r>
        <w:rPr/>
        <w:t>ecological relationships.</w:t>
      </w:r>
      <w:r>
        <w:rPr>
          <w:spacing w:val="-8"/>
        </w:rPr>
        <w:t> </w:t>
      </w:r>
      <w:r>
        <w:rPr/>
        <w:t>When</w:t>
      </w:r>
      <w:r>
        <w:rPr>
          <w:spacing w:val="-8"/>
        </w:rPr>
        <w:t> </w:t>
      </w:r>
      <w:r>
        <w:rPr/>
        <w:t>applied</w:t>
      </w:r>
      <w:r>
        <w:rPr>
          <w:spacing w:val="-4"/>
        </w:rPr>
        <w:t> </w:t>
      </w:r>
      <w:r>
        <w:rPr/>
        <w:t>to</w:t>
      </w:r>
      <w:r>
        <w:rPr>
          <w:spacing w:val="-4"/>
        </w:rPr>
        <w:t> </w:t>
      </w:r>
      <w:r>
        <w:rPr/>
        <w:t>the</w:t>
      </w:r>
      <w:r>
        <w:rPr>
          <w:spacing w:val="-6"/>
        </w:rPr>
        <w:t> </w:t>
      </w:r>
      <w:r>
        <w:rPr/>
        <w:t>selected</w:t>
      </w:r>
      <w:r>
        <w:rPr>
          <w:spacing w:val="-6"/>
        </w:rPr>
        <w:t> </w:t>
      </w:r>
      <w:r>
        <w:rPr/>
        <w:t>ecocritical</w:t>
      </w:r>
      <w:r>
        <w:rPr>
          <w:spacing w:val="-6"/>
        </w:rPr>
        <w:t> </w:t>
      </w:r>
      <w:r>
        <w:rPr/>
        <w:t>works</w:t>
      </w:r>
      <w:r>
        <w:rPr>
          <w:spacing w:val="-8"/>
        </w:rPr>
        <w:t> </w:t>
      </w:r>
      <w:r>
        <w:rPr/>
        <w:t>of</w:t>
      </w:r>
      <w:r>
        <w:rPr>
          <w:spacing w:val="-8"/>
        </w:rPr>
        <w:t> </w:t>
      </w:r>
      <w:r>
        <w:rPr/>
        <w:t>William Shakespeare</w:t>
      </w:r>
      <w:r>
        <w:rPr>
          <w:spacing w:val="45"/>
        </w:rPr>
        <w:t> </w:t>
      </w:r>
      <w:r>
        <w:rPr/>
        <w:t>and</w:t>
      </w:r>
      <w:r>
        <w:rPr>
          <w:spacing w:val="34"/>
        </w:rPr>
        <w:t> </w:t>
      </w:r>
      <w:r>
        <w:rPr/>
        <w:t>Amitav</w:t>
      </w:r>
      <w:r>
        <w:rPr>
          <w:spacing w:val="45"/>
        </w:rPr>
        <w:t> </w:t>
      </w:r>
      <w:r>
        <w:rPr/>
        <w:t>Ghosh,</w:t>
      </w:r>
      <w:r>
        <w:rPr>
          <w:spacing w:val="48"/>
        </w:rPr>
        <w:t> </w:t>
      </w:r>
      <w:r>
        <w:rPr/>
        <w:t>this</w:t>
      </w:r>
      <w:r>
        <w:rPr>
          <w:spacing w:val="44"/>
        </w:rPr>
        <w:t> </w:t>
      </w:r>
      <w:r>
        <w:rPr/>
        <w:t>perspective</w:t>
      </w:r>
      <w:r>
        <w:rPr>
          <w:spacing w:val="48"/>
        </w:rPr>
        <w:t> </w:t>
      </w:r>
      <w:r>
        <w:rPr/>
        <w:t>reveals</w:t>
      </w:r>
      <w:r>
        <w:rPr>
          <w:spacing w:val="44"/>
        </w:rPr>
        <w:t> </w:t>
      </w:r>
      <w:r>
        <w:rPr>
          <w:spacing w:val="-2"/>
        </w:rPr>
        <w:t>significant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1504">
                <wp:simplePos x="0" y="0"/>
                <wp:positionH relativeFrom="page">
                  <wp:posOffset>2057400</wp:posOffset>
                </wp:positionH>
                <wp:positionV relativeFrom="paragraph">
                  <wp:posOffset>162604</wp:posOffset>
                </wp:positionV>
                <wp:extent cx="3657600" cy="12700"/>
                <wp:effectExtent l="0" t="0" r="0" b="0"/>
                <wp:wrapTopAndBottom/>
                <wp:docPr id="357" name="Graphic 357"/>
                <wp:cNvGraphicFramePr>
                  <a:graphicFrameLocks/>
                </wp:cNvGraphicFramePr>
                <a:graphic>
                  <a:graphicData uri="http://schemas.microsoft.com/office/word/2010/wordprocessingShape">
                    <wps:wsp>
                      <wps:cNvPr id="357" name="Graphic 35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14976;mso-wrap-distance-left:0;mso-wrap-distance-right:0" id="docshape353" filled="true" fillcolor="#000000" stroked="false">
                <v:fill type="solid"/>
                <w10:wrap type="topAndBottom"/>
              </v:rect>
            </w:pict>
          </mc:Fallback>
        </mc:AlternateContent>
      </w:r>
      <w:r>
        <w:rPr>
          <w:rFonts w:ascii="Verdana"/>
          <w:spacing w:val="-5"/>
          <w:sz w:val="18"/>
        </w:rPr>
        <w:t>132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insights</w:t>
      </w:r>
      <w:r>
        <w:rPr>
          <w:spacing w:val="40"/>
        </w:rPr>
        <w:t> </w:t>
      </w:r>
      <w:r>
        <w:rPr/>
        <w:t>into</w:t>
      </w:r>
      <w:r>
        <w:rPr>
          <w:spacing w:val="40"/>
        </w:rPr>
        <w:t> </w:t>
      </w:r>
      <w:r>
        <w:rPr/>
        <w:t>how</w:t>
      </w:r>
      <w:r>
        <w:rPr>
          <w:spacing w:val="38"/>
        </w:rPr>
        <w:t> </w:t>
      </w:r>
      <w:r>
        <w:rPr/>
        <w:t>literature</w:t>
      </w:r>
      <w:r>
        <w:rPr>
          <w:spacing w:val="40"/>
        </w:rPr>
        <w:t> </w:t>
      </w:r>
      <w:r>
        <w:rPr/>
        <w:t>reflects</w:t>
      </w:r>
      <w:r>
        <w:rPr>
          <w:spacing w:val="40"/>
        </w:rPr>
        <w:t> </w:t>
      </w:r>
      <w:r>
        <w:rPr/>
        <w:t>and</w:t>
      </w:r>
      <w:r>
        <w:rPr>
          <w:spacing w:val="40"/>
        </w:rPr>
        <w:t> </w:t>
      </w:r>
      <w:r>
        <w:rPr/>
        <w:t>critiques</w:t>
      </w:r>
      <w:r>
        <w:rPr>
          <w:spacing w:val="40"/>
        </w:rPr>
        <w:t> </w:t>
      </w:r>
      <w:r>
        <w:rPr/>
        <w:t>the</w:t>
      </w:r>
      <w:r>
        <w:rPr>
          <w:spacing w:val="40"/>
        </w:rPr>
        <w:t> </w:t>
      </w:r>
      <w:r>
        <w:rPr/>
        <w:t>interconnected crises</w:t>
      </w:r>
      <w:r>
        <w:rPr>
          <w:spacing w:val="40"/>
        </w:rPr>
        <w:t> </w:t>
      </w:r>
      <w:r>
        <w:rPr/>
        <w:t>of</w:t>
      </w:r>
      <w:r>
        <w:rPr>
          <w:spacing w:val="40"/>
        </w:rPr>
        <w:t> </w:t>
      </w:r>
      <w:r>
        <w:rPr/>
        <w:t>gender</w:t>
      </w:r>
      <w:r>
        <w:rPr>
          <w:spacing w:val="40"/>
        </w:rPr>
        <w:t> </w:t>
      </w:r>
      <w:r>
        <w:rPr/>
        <w:t>inequality</w:t>
      </w:r>
      <w:r>
        <w:rPr>
          <w:spacing w:val="40"/>
        </w:rPr>
        <w:t> </w:t>
      </w:r>
      <w:r>
        <w:rPr/>
        <w:t>and</w:t>
      </w:r>
      <w:r>
        <w:rPr>
          <w:spacing w:val="40"/>
        </w:rPr>
        <w:t> </w:t>
      </w:r>
      <w:r>
        <w:rPr/>
        <w:t>environmental</w:t>
      </w:r>
      <w:r>
        <w:rPr>
          <w:spacing w:val="40"/>
        </w:rPr>
        <w:t> </w:t>
      </w:r>
      <w:r>
        <w:rPr/>
        <w:t>degradation.</w:t>
      </w:r>
    </w:p>
    <w:p>
      <w:pPr>
        <w:pStyle w:val="BodyText"/>
        <w:spacing w:line="249" w:lineRule="auto" w:before="59"/>
        <w:ind w:right="1439" w:firstLine="432"/>
        <w:jc w:val="both"/>
      </w:pPr>
      <w:r>
        <w:rPr>
          <w:b/>
          <w:spacing w:val="10"/>
        </w:rPr>
        <w:t>KEYWORDS:</w:t>
      </w:r>
      <w:r>
        <w:rPr>
          <w:b/>
          <w:spacing w:val="10"/>
        </w:rPr>
        <w:t> </w:t>
      </w:r>
      <w:r>
        <w:rPr>
          <w:spacing w:val="10"/>
        </w:rPr>
        <w:t>ecofeminist,</w:t>
      </w:r>
      <w:r>
        <w:rPr>
          <w:spacing w:val="10"/>
        </w:rPr>
        <w:t> </w:t>
      </w:r>
      <w:r>
        <w:rPr/>
        <w:t>gender, power, </w:t>
      </w:r>
      <w:r>
        <w:rPr>
          <w:spacing w:val="10"/>
        </w:rPr>
        <w:t>degradation, </w:t>
      </w:r>
      <w:r>
        <w:rPr/>
        <w:t>deforestation, ecological, climate change, patriarchy</w:t>
      </w:r>
    </w:p>
    <w:p>
      <w:pPr>
        <w:pStyle w:val="Heading3"/>
        <w:numPr>
          <w:ilvl w:val="0"/>
          <w:numId w:val="27"/>
        </w:numPr>
        <w:tabs>
          <w:tab w:pos="1627" w:val="left" w:leader="none"/>
        </w:tabs>
        <w:spacing w:line="240" w:lineRule="auto" w:before="155" w:after="0"/>
        <w:ind w:left="1627" w:right="0" w:hanging="187"/>
        <w:jc w:val="left"/>
      </w:pPr>
      <w:r>
        <w:rPr>
          <w:spacing w:val="-2"/>
          <w:w w:val="95"/>
        </w:rPr>
        <w:t>INTRODUCTION:</w:t>
      </w:r>
    </w:p>
    <w:p>
      <w:pPr>
        <w:pStyle w:val="BodyText"/>
        <w:spacing w:line="249" w:lineRule="auto" w:before="76"/>
        <w:ind w:right="1439" w:firstLine="432"/>
        <w:jc w:val="both"/>
      </w:pPr>
      <w:r>
        <w:rPr/>
        <w:t>Ecofeminist ethics is a branch of moral philosophy that combines the insights of feminism and environmental ethics. It examines the connection between the oppression of women and the exploitation of nature, arguing that both arise from the same systems of domination, particularly patriarchy. Ecofeminist ethics seeks to create a more just and sustainable world by promoting</w:t>
      </w:r>
      <w:r>
        <w:rPr>
          <w:spacing w:val="-2"/>
        </w:rPr>
        <w:t> </w:t>
      </w:r>
      <w:r>
        <w:rPr/>
        <w:t>care, equality, and respect for both human</w:t>
      </w:r>
      <w:r>
        <w:rPr>
          <w:spacing w:val="40"/>
        </w:rPr>
        <w:t> </w:t>
      </w:r>
      <w:r>
        <w:rPr/>
        <w:t>beings</w:t>
      </w:r>
      <w:r>
        <w:rPr>
          <w:spacing w:val="40"/>
        </w:rPr>
        <w:t> </w:t>
      </w:r>
      <w:r>
        <w:rPr/>
        <w:t>and</w:t>
      </w:r>
      <w:r>
        <w:rPr>
          <w:spacing w:val="40"/>
        </w:rPr>
        <w:t> </w:t>
      </w:r>
      <w:r>
        <w:rPr/>
        <w:t>the</w:t>
      </w:r>
      <w:r>
        <w:rPr>
          <w:spacing w:val="40"/>
        </w:rPr>
        <w:t> </w:t>
      </w:r>
      <w:r>
        <w:rPr/>
        <w:t>natural</w:t>
      </w:r>
      <w:r>
        <w:rPr>
          <w:spacing w:val="40"/>
        </w:rPr>
        <w:t> </w:t>
      </w:r>
      <w:r>
        <w:rPr/>
        <w:t>environment.</w:t>
      </w:r>
    </w:p>
    <w:p>
      <w:pPr>
        <w:pStyle w:val="BodyText"/>
        <w:spacing w:line="249" w:lineRule="auto" w:before="66"/>
        <w:ind w:right="1439" w:firstLine="432"/>
        <w:jc w:val="both"/>
      </w:pPr>
      <w:r>
        <w:rPr/>
        <w:t>The term ecofeminism gained prominence through thinkers like Françoise d’Eaubonne, who first used it to highlight the link between women’s liberation and ecological concerns. Later scholars such as Vandana Shiva and Karen J. Warren expanded the theory by showing how cultural, economic, and political systems treat both women and nature</w:t>
      </w:r>
      <w:r>
        <w:rPr>
          <w:spacing w:val="40"/>
        </w:rPr>
        <w:t> </w:t>
      </w:r>
      <w:r>
        <w:rPr/>
        <w:t>as</w:t>
      </w:r>
      <w:r>
        <w:rPr>
          <w:spacing w:val="40"/>
        </w:rPr>
        <w:t> </w:t>
      </w:r>
      <w:r>
        <w:rPr/>
        <w:t>resources</w:t>
      </w:r>
      <w:r>
        <w:rPr>
          <w:spacing w:val="40"/>
        </w:rPr>
        <w:t> </w:t>
      </w:r>
      <w:r>
        <w:rPr/>
        <w:t>to</w:t>
      </w:r>
      <w:r>
        <w:rPr>
          <w:spacing w:val="40"/>
        </w:rPr>
        <w:t> </w:t>
      </w:r>
      <w:r>
        <w:rPr/>
        <w:t>be</w:t>
      </w:r>
      <w:r>
        <w:rPr>
          <w:spacing w:val="40"/>
        </w:rPr>
        <w:t> </w:t>
      </w:r>
      <w:r>
        <w:rPr/>
        <w:t>controlled</w:t>
      </w:r>
      <w:r>
        <w:rPr>
          <w:spacing w:val="40"/>
        </w:rPr>
        <w:t> </w:t>
      </w:r>
      <w:r>
        <w:rPr/>
        <w:t>and</w:t>
      </w:r>
      <w:r>
        <w:rPr>
          <w:spacing w:val="40"/>
        </w:rPr>
        <w:t> </w:t>
      </w:r>
      <w:r>
        <w:rPr/>
        <w:t>exploited.</w:t>
      </w:r>
    </w:p>
    <w:p>
      <w:pPr>
        <w:pStyle w:val="BodyText"/>
        <w:spacing w:line="249" w:lineRule="auto" w:before="62"/>
        <w:ind w:right="1438" w:firstLine="432"/>
        <w:jc w:val="both"/>
      </w:pPr>
      <w:r>
        <w:rPr/>
        <w:t>A central idea of ecofeminist ethics is that the same mindset that justifies the domination of women—based on hierarchy, control, and power—also</w:t>
      </w:r>
      <w:r>
        <w:rPr>
          <w:spacing w:val="-8"/>
        </w:rPr>
        <w:t> </w:t>
      </w:r>
      <w:r>
        <w:rPr/>
        <w:t>justifies</w:t>
      </w:r>
      <w:r>
        <w:rPr>
          <w:spacing w:val="-10"/>
        </w:rPr>
        <w:t> </w:t>
      </w:r>
      <w:r>
        <w:rPr/>
        <w:t>the</w:t>
      </w:r>
      <w:r>
        <w:rPr>
          <w:spacing w:val="-7"/>
        </w:rPr>
        <w:t> </w:t>
      </w:r>
      <w:r>
        <w:rPr/>
        <w:t>exploitation</w:t>
      </w:r>
      <w:r>
        <w:rPr>
          <w:spacing w:val="-10"/>
        </w:rPr>
        <w:t> </w:t>
      </w:r>
      <w:r>
        <w:rPr/>
        <w:t>of</w:t>
      </w:r>
      <w:r>
        <w:rPr>
          <w:spacing w:val="-8"/>
        </w:rPr>
        <w:t> </w:t>
      </w:r>
      <w:r>
        <w:rPr/>
        <w:t>the</w:t>
      </w:r>
      <w:r>
        <w:rPr>
          <w:spacing w:val="-9"/>
        </w:rPr>
        <w:t> </w:t>
      </w:r>
      <w:r>
        <w:rPr/>
        <w:t>natural</w:t>
      </w:r>
      <w:r>
        <w:rPr>
          <w:spacing w:val="-7"/>
        </w:rPr>
        <w:t> </w:t>
      </w:r>
      <w:r>
        <w:rPr/>
        <w:t>world.</w:t>
      </w:r>
      <w:r>
        <w:rPr>
          <w:spacing w:val="-10"/>
        </w:rPr>
        <w:t> </w:t>
      </w:r>
      <w:r>
        <w:rPr/>
        <w:t>For</w:t>
      </w:r>
      <w:r>
        <w:rPr>
          <w:spacing w:val="-8"/>
        </w:rPr>
        <w:t> </w:t>
      </w:r>
      <w:r>
        <w:rPr/>
        <w:t>example, nature is often viewed as passive, inferior, and available for use, much like women have historically been perceived in patriarchal societies. Ecofeminists argue that such dualistic thinking (man/woman, culture/ nature, reason/emotion) leads to inequality and environmental </w:t>
      </w:r>
      <w:r>
        <w:rPr>
          <w:spacing w:val="-2"/>
        </w:rPr>
        <w:t>destruction.</w:t>
      </w:r>
    </w:p>
    <w:p>
      <w:pPr>
        <w:pStyle w:val="BodyText"/>
        <w:spacing w:line="249" w:lineRule="auto" w:before="64"/>
        <w:ind w:right="1438" w:firstLine="432"/>
        <w:jc w:val="both"/>
      </w:pPr>
      <w:r>
        <w:rPr/>
        <w:t>Ecofeminist ethics emphasizes an alternative moral approach grounded in care, interdependence, and respect for life. It draws from the ethics of care, associated with</w:t>
      </w:r>
      <w:r>
        <w:rPr>
          <w:spacing w:val="-1"/>
        </w:rPr>
        <w:t> </w:t>
      </w:r>
      <w:r>
        <w:rPr/>
        <w:t>thinkers like Carol Gilligan, to stress that humans are not separate from nature but deeply connected to it. Therefore, moral responsibility extends beyond human relationships to include animals, plants, and ecosystems. This perspective encourages </w:t>
      </w:r>
      <w:r>
        <w:rPr>
          <w:spacing w:val="-2"/>
        </w:rPr>
        <w:t>sustainable</w:t>
      </w:r>
      <w:r>
        <w:rPr>
          <w:spacing w:val="-4"/>
        </w:rPr>
        <w:t> </w:t>
      </w:r>
      <w:r>
        <w:rPr>
          <w:spacing w:val="-2"/>
        </w:rPr>
        <w:t>living,</w:t>
      </w:r>
      <w:r>
        <w:rPr>
          <w:spacing w:val="-4"/>
        </w:rPr>
        <w:t> </w:t>
      </w:r>
      <w:r>
        <w:rPr>
          <w:spacing w:val="-2"/>
        </w:rPr>
        <w:t>environmental</w:t>
      </w:r>
      <w:r>
        <w:rPr>
          <w:spacing w:val="-6"/>
        </w:rPr>
        <w:t> </w:t>
      </w:r>
      <w:r>
        <w:rPr>
          <w:spacing w:val="-2"/>
        </w:rPr>
        <w:t>protection,</w:t>
      </w:r>
      <w:r>
        <w:rPr>
          <w:spacing w:val="-6"/>
        </w:rPr>
        <w:t> </w:t>
      </w:r>
      <w:r>
        <w:rPr>
          <w:spacing w:val="-2"/>
        </w:rPr>
        <w:t>and</w:t>
      </w:r>
      <w:r>
        <w:rPr>
          <w:spacing w:val="-4"/>
        </w:rPr>
        <w:t> </w:t>
      </w:r>
      <w:r>
        <w:rPr>
          <w:spacing w:val="-2"/>
        </w:rPr>
        <w:t>a</w:t>
      </w:r>
      <w:r>
        <w:rPr>
          <w:spacing w:val="-4"/>
        </w:rPr>
        <w:t> </w:t>
      </w:r>
      <w:r>
        <w:rPr>
          <w:spacing w:val="-2"/>
        </w:rPr>
        <w:t>sense</w:t>
      </w:r>
      <w:r>
        <w:rPr>
          <w:spacing w:val="-4"/>
        </w:rPr>
        <w:t> </w:t>
      </w:r>
      <w:r>
        <w:rPr>
          <w:spacing w:val="-2"/>
        </w:rPr>
        <w:t>of</w:t>
      </w:r>
      <w:r>
        <w:rPr>
          <w:spacing w:val="-6"/>
        </w:rPr>
        <w:t> </w:t>
      </w:r>
      <w:r>
        <w:rPr>
          <w:spacing w:val="-2"/>
        </w:rPr>
        <w:t>responsibility </w:t>
      </w:r>
      <w:r>
        <w:rPr/>
        <w:t>toward</w:t>
      </w:r>
      <w:r>
        <w:rPr>
          <w:spacing w:val="40"/>
        </w:rPr>
        <w:t> </w:t>
      </w:r>
      <w:r>
        <w:rPr/>
        <w:t>future</w:t>
      </w:r>
      <w:r>
        <w:rPr>
          <w:spacing w:val="40"/>
        </w:rPr>
        <w:t> </w:t>
      </w:r>
      <w:r>
        <w:rPr/>
        <w:t>generations.</w:t>
      </w:r>
    </w:p>
    <w:p>
      <w:pPr>
        <w:pStyle w:val="BodyText"/>
        <w:spacing w:line="249" w:lineRule="auto" w:before="64"/>
        <w:ind w:right="1441" w:firstLine="432"/>
        <w:jc w:val="both"/>
      </w:pPr>
      <w:r>
        <w:rPr/>
        <w:t>In conclusion, ecofeminist ethics offers a holistic approach to morality that links social justice with environmental sustainability. It criticizes systems of domination and promotes values such as equality, care,</w:t>
      </w:r>
      <w:r>
        <w:rPr>
          <w:spacing w:val="9"/>
        </w:rPr>
        <w:t> </w:t>
      </w:r>
      <w:r>
        <w:rPr/>
        <w:t>cooperation,</w:t>
      </w:r>
      <w:r>
        <w:rPr>
          <w:spacing w:val="7"/>
        </w:rPr>
        <w:t> </w:t>
      </w:r>
      <w:r>
        <w:rPr/>
        <w:t>and</w:t>
      </w:r>
      <w:r>
        <w:rPr>
          <w:spacing w:val="9"/>
        </w:rPr>
        <w:t> </w:t>
      </w:r>
      <w:r>
        <w:rPr/>
        <w:t>respect</w:t>
      </w:r>
      <w:r>
        <w:rPr>
          <w:spacing w:val="8"/>
        </w:rPr>
        <w:t> </w:t>
      </w:r>
      <w:r>
        <w:rPr/>
        <w:t>for</w:t>
      </w:r>
      <w:r>
        <w:rPr>
          <w:spacing w:val="11"/>
        </w:rPr>
        <w:t> </w:t>
      </w:r>
      <w:r>
        <w:rPr/>
        <w:t>nature.</w:t>
      </w:r>
      <w:r>
        <w:rPr>
          <w:spacing w:val="11"/>
        </w:rPr>
        <w:t> </w:t>
      </w:r>
      <w:r>
        <w:rPr/>
        <w:t>Ultimately,</w:t>
      </w:r>
      <w:r>
        <w:rPr>
          <w:spacing w:val="9"/>
        </w:rPr>
        <w:t> </w:t>
      </w:r>
      <w:r>
        <w:rPr/>
        <w:t>it</w:t>
      </w:r>
      <w:r>
        <w:rPr>
          <w:spacing w:val="9"/>
        </w:rPr>
        <w:t> </w:t>
      </w:r>
      <w:r>
        <w:rPr/>
        <w:t>calls</w:t>
      </w:r>
      <w:r>
        <w:rPr>
          <w:spacing w:val="8"/>
        </w:rPr>
        <w:t> </w:t>
      </w:r>
      <w:r>
        <w:rPr/>
        <w:t>for</w:t>
      </w:r>
      <w:r>
        <w:rPr>
          <w:spacing w:val="11"/>
        </w:rPr>
        <w:t> </w:t>
      </w:r>
      <w:r>
        <w:rPr/>
        <w:t>a</w:t>
      </w:r>
      <w:r>
        <w:rPr>
          <w:spacing w:val="7"/>
        </w:rPr>
        <w:t> </w:t>
      </w:r>
      <w:r>
        <w:rPr>
          <w:spacing w:val="-2"/>
        </w:rPr>
        <w:t>shift</w:t>
      </w:r>
    </w:p>
    <w:p>
      <w:pPr>
        <w:pStyle w:val="BodyText"/>
        <w:spacing w:after="0" w:line="249" w:lineRule="auto"/>
        <w:jc w:val="both"/>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2016">
                <wp:simplePos x="0" y="0"/>
                <wp:positionH relativeFrom="page">
                  <wp:posOffset>2065020</wp:posOffset>
                </wp:positionH>
                <wp:positionV relativeFrom="paragraph">
                  <wp:posOffset>795020</wp:posOffset>
                </wp:positionV>
                <wp:extent cx="3657600" cy="12700"/>
                <wp:effectExtent l="0" t="0" r="0" b="0"/>
                <wp:wrapTopAndBottom/>
                <wp:docPr id="358" name="Graphic 358"/>
                <wp:cNvGraphicFramePr>
                  <a:graphicFrameLocks/>
                </wp:cNvGraphicFramePr>
                <a:graphic>
                  <a:graphicData uri="http://schemas.microsoft.com/office/word/2010/wordprocessingShape">
                    <wps:wsp>
                      <wps:cNvPr id="358" name="Graphic 35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14464;mso-wrap-distance-left:0;mso-wrap-distance-right:0" id="docshape354" filled="true" fillcolor="#000000" stroked="false">
                <v:fill type="solid"/>
                <w10:wrap type="topAndBottom"/>
              </v:rect>
            </w:pict>
          </mc:Fallback>
        </mc:AlternateContent>
      </w:r>
      <w:r>
        <w:rPr>
          <w:rFonts w:ascii="Verdana"/>
          <w:spacing w:val="-2"/>
          <w:sz w:val="18"/>
        </w:rPr>
        <w:t>Eco-Feminist</w:t>
      </w:r>
      <w:r>
        <w:rPr>
          <w:rFonts w:ascii="Verdana"/>
          <w:spacing w:val="11"/>
          <w:sz w:val="18"/>
        </w:rPr>
        <w:t> </w:t>
      </w:r>
      <w:r>
        <w:rPr>
          <w:rFonts w:ascii="Verdana"/>
          <w:spacing w:val="-2"/>
          <w:sz w:val="18"/>
        </w:rPr>
        <w:t>Ethics</w:t>
      </w:r>
      <w:r>
        <w:rPr>
          <w:rFonts w:ascii="Verdana"/>
          <w:spacing w:val="11"/>
          <w:sz w:val="18"/>
        </w:rPr>
        <w:t> </w:t>
      </w:r>
      <w:r>
        <w:rPr>
          <w:rFonts w:ascii="Verdana"/>
          <w:spacing w:val="-2"/>
          <w:sz w:val="18"/>
        </w:rPr>
        <w:t>in</w:t>
      </w:r>
      <w:r>
        <w:rPr>
          <w:rFonts w:ascii="Verdana"/>
          <w:spacing w:val="13"/>
          <w:sz w:val="18"/>
        </w:rPr>
        <w:t> </w:t>
      </w:r>
      <w:r>
        <w:rPr>
          <w:rFonts w:ascii="Verdana"/>
          <w:spacing w:val="-2"/>
          <w:sz w:val="18"/>
        </w:rPr>
        <w:t>The</w:t>
      </w:r>
      <w:r>
        <w:rPr>
          <w:rFonts w:ascii="Verdana"/>
          <w:spacing w:val="12"/>
          <w:sz w:val="18"/>
        </w:rPr>
        <w:t> </w:t>
      </w:r>
      <w:r>
        <w:rPr>
          <w:rFonts w:ascii="Verdana"/>
          <w:spacing w:val="-2"/>
          <w:sz w:val="18"/>
        </w:rPr>
        <w:t>Selected</w:t>
      </w:r>
      <w:r>
        <w:rPr>
          <w:rFonts w:ascii="Verdana"/>
          <w:spacing w:val="12"/>
          <w:sz w:val="18"/>
        </w:rPr>
        <w:t> </w:t>
      </w:r>
      <w:r>
        <w:rPr>
          <w:rFonts w:ascii="Verdana"/>
          <w:spacing w:val="-2"/>
          <w:sz w:val="18"/>
        </w:rPr>
        <w:t>Works</w:t>
      </w:r>
      <w:r>
        <w:rPr>
          <w:rFonts w:ascii="Verdana"/>
          <w:spacing w:val="13"/>
          <w:sz w:val="18"/>
        </w:rPr>
        <w:t> </w:t>
      </w:r>
      <w:r>
        <w:rPr>
          <w:rFonts w:ascii="Verdana"/>
          <w:spacing w:val="-2"/>
          <w:sz w:val="18"/>
        </w:rPr>
        <w:t>of</w:t>
      </w:r>
      <w:r>
        <w:rPr>
          <w:rFonts w:ascii="Verdana"/>
          <w:spacing w:val="12"/>
          <w:sz w:val="18"/>
        </w:rPr>
        <w:t> </w:t>
      </w:r>
      <w:r>
        <w:rPr>
          <w:rFonts w:ascii="Verdana"/>
          <w:spacing w:val="-2"/>
          <w:sz w:val="18"/>
        </w:rPr>
        <w:t>William</w:t>
      </w:r>
      <w:r>
        <w:rPr>
          <w:sz w:val="18"/>
        </w:rPr>
        <w:tab/>
      </w:r>
      <w:r>
        <w:rPr>
          <w:rFonts w:ascii="Verdana"/>
          <w:spacing w:val="-5"/>
          <w:sz w:val="18"/>
        </w:rPr>
        <w:t>133</w:t>
      </w:r>
    </w:p>
    <w:p>
      <w:pPr>
        <w:pStyle w:val="BodyText"/>
        <w:spacing w:line="249" w:lineRule="auto" w:before="192"/>
        <w:ind w:right="1439"/>
        <w:jc w:val="both"/>
      </w:pPr>
      <w:r>
        <w:rPr/>
        <w:t>from exploitation and control to harmony and coexistence between humans</w:t>
      </w:r>
      <w:r>
        <w:rPr>
          <w:spacing w:val="40"/>
        </w:rPr>
        <w:t> </w:t>
      </w:r>
      <w:r>
        <w:rPr/>
        <w:t>and</w:t>
      </w:r>
      <w:r>
        <w:rPr>
          <w:spacing w:val="40"/>
        </w:rPr>
        <w:t> </w:t>
      </w:r>
      <w:r>
        <w:rPr/>
        <w:t>the</w:t>
      </w:r>
      <w:r>
        <w:rPr>
          <w:spacing w:val="40"/>
        </w:rPr>
        <w:t> </w:t>
      </w:r>
      <w:r>
        <w:rPr/>
        <w:t>natural</w:t>
      </w:r>
      <w:r>
        <w:rPr>
          <w:spacing w:val="40"/>
        </w:rPr>
        <w:t> </w:t>
      </w:r>
      <w:r>
        <w:rPr/>
        <w:t>world.</w:t>
      </w:r>
    </w:p>
    <w:p>
      <w:pPr>
        <w:pStyle w:val="BodyText"/>
        <w:spacing w:line="249" w:lineRule="auto" w:before="59"/>
        <w:ind w:right="1439" w:firstLine="432"/>
        <w:jc w:val="both"/>
      </w:pPr>
      <w:r>
        <w:rPr/>
        <w:t>Ecofeminist</w:t>
      </w:r>
      <w:r>
        <w:rPr>
          <w:spacing w:val="-3"/>
        </w:rPr>
        <w:t> </w:t>
      </w:r>
      <w:r>
        <w:rPr/>
        <w:t>ethics,</w:t>
      </w:r>
      <w:r>
        <w:rPr>
          <w:spacing w:val="-4"/>
        </w:rPr>
        <w:t> </w:t>
      </w:r>
      <w:r>
        <w:rPr/>
        <w:t>which</w:t>
      </w:r>
      <w:r>
        <w:rPr>
          <w:spacing w:val="-4"/>
        </w:rPr>
        <w:t> </w:t>
      </w:r>
      <w:r>
        <w:rPr/>
        <w:t>links</w:t>
      </w:r>
      <w:r>
        <w:rPr>
          <w:spacing w:val="-3"/>
        </w:rPr>
        <w:t> </w:t>
      </w:r>
      <w:r>
        <w:rPr/>
        <w:t>the</w:t>
      </w:r>
      <w:r>
        <w:rPr>
          <w:spacing w:val="-4"/>
        </w:rPr>
        <w:t> </w:t>
      </w:r>
      <w:r>
        <w:rPr/>
        <w:t>domination</w:t>
      </w:r>
      <w:r>
        <w:rPr>
          <w:spacing w:val="-4"/>
        </w:rPr>
        <w:t> </w:t>
      </w:r>
      <w:r>
        <w:rPr/>
        <w:t>of</w:t>
      </w:r>
      <w:r>
        <w:rPr>
          <w:spacing w:val="-4"/>
        </w:rPr>
        <w:t> </w:t>
      </w:r>
      <w:r>
        <w:rPr/>
        <w:t>women</w:t>
      </w:r>
      <w:r>
        <w:rPr>
          <w:spacing w:val="-6"/>
        </w:rPr>
        <w:t> </w:t>
      </w:r>
      <w:r>
        <w:rPr/>
        <w:t>with</w:t>
      </w:r>
      <w:r>
        <w:rPr>
          <w:spacing w:val="-4"/>
        </w:rPr>
        <w:t> </w:t>
      </w:r>
      <w:r>
        <w:rPr/>
        <w:t>the exploitation of nature, provides a rich lens to interpret the plays of William</w:t>
      </w:r>
      <w:r>
        <w:rPr>
          <w:spacing w:val="-3"/>
        </w:rPr>
        <w:t> </w:t>
      </w:r>
      <w:r>
        <w:rPr/>
        <w:t>Shakespeare.</w:t>
      </w:r>
      <w:r>
        <w:rPr>
          <w:spacing w:val="-7"/>
        </w:rPr>
        <w:t> </w:t>
      </w:r>
      <w:r>
        <w:rPr/>
        <w:t>Although</w:t>
      </w:r>
      <w:r>
        <w:rPr>
          <w:spacing w:val="-2"/>
        </w:rPr>
        <w:t> </w:t>
      </w:r>
      <w:r>
        <w:rPr/>
        <w:t>Shakespeare wrote in the early modern period—long before the emergence of ecofeminist theory—his dramas often reflect deep connections between women, nature, and power structures. Through this perspective, we can see how the control of female characters is frequently paralleled by the disturbance or manipulation of the natural world.</w:t>
      </w:r>
    </w:p>
    <w:p>
      <w:pPr>
        <w:pStyle w:val="BodyText"/>
        <w:spacing w:line="249" w:lineRule="auto" w:before="65"/>
        <w:ind w:right="1440" w:firstLine="432"/>
        <w:jc w:val="both"/>
      </w:pPr>
      <w:r>
        <w:rPr/>
        <w:t>In many Shakespearean plays, nature is not merely a background setting but an active force that mirrors human emotions and social disorder. For example, in King Lear, the violent storm on the heath symbolizes both the inner turmoil of Lear and the breakdown of social and familial bonds. From</w:t>
      </w:r>
      <w:r>
        <w:rPr>
          <w:spacing w:val="-1"/>
        </w:rPr>
        <w:t> </w:t>
      </w:r>
      <w:r>
        <w:rPr/>
        <w:t>an ecofeminist viewpoint, the chaos in nature reflects the moral corruption and patriarchal injustice within society, </w:t>
      </w:r>
      <w:r>
        <w:rPr>
          <w:spacing w:val="-4"/>
        </w:rPr>
        <w:t>particularly Lear’s</w:t>
      </w:r>
      <w:r>
        <w:rPr>
          <w:spacing w:val="-6"/>
        </w:rPr>
        <w:t> </w:t>
      </w:r>
      <w:r>
        <w:rPr>
          <w:spacing w:val="-4"/>
        </w:rPr>
        <w:t>mistreatment of his daughters. Cordelia, who represents </w:t>
      </w:r>
      <w:r>
        <w:rPr/>
        <w:t>honesty and harmony, is rejected, while the manipulative Goneril and Regan</w:t>
      </w:r>
      <w:r>
        <w:rPr>
          <w:spacing w:val="17"/>
        </w:rPr>
        <w:t> </w:t>
      </w:r>
      <w:r>
        <w:rPr/>
        <w:t>are</w:t>
      </w:r>
      <w:r>
        <w:rPr>
          <w:spacing w:val="16"/>
        </w:rPr>
        <w:t> </w:t>
      </w:r>
      <w:r>
        <w:rPr/>
        <w:t>empowered—resulting</w:t>
      </w:r>
      <w:r>
        <w:rPr>
          <w:spacing w:val="18"/>
        </w:rPr>
        <w:t> </w:t>
      </w:r>
      <w:r>
        <w:rPr/>
        <w:t>in</w:t>
      </w:r>
      <w:r>
        <w:rPr>
          <w:spacing w:val="17"/>
        </w:rPr>
        <w:t> </w:t>
      </w:r>
      <w:r>
        <w:rPr/>
        <w:t>both</w:t>
      </w:r>
      <w:r>
        <w:rPr>
          <w:spacing w:val="18"/>
        </w:rPr>
        <w:t> </w:t>
      </w:r>
      <w:r>
        <w:rPr/>
        <w:t>human</w:t>
      </w:r>
      <w:r>
        <w:rPr>
          <w:spacing w:val="16"/>
        </w:rPr>
        <w:t> </w:t>
      </w:r>
      <w:r>
        <w:rPr/>
        <w:t>and</w:t>
      </w:r>
      <w:r>
        <w:rPr>
          <w:spacing w:val="21"/>
        </w:rPr>
        <w:t> </w:t>
      </w:r>
      <w:r>
        <w:rPr/>
        <w:t>natural</w:t>
      </w:r>
      <w:r>
        <w:rPr>
          <w:spacing w:val="18"/>
        </w:rPr>
        <w:t> </w:t>
      </w:r>
      <w:r>
        <w:rPr>
          <w:spacing w:val="-2"/>
        </w:rPr>
        <w:t>disorder.</w:t>
      </w:r>
    </w:p>
    <w:p>
      <w:pPr>
        <w:pStyle w:val="BodyText"/>
        <w:spacing w:line="249" w:lineRule="auto" w:before="67"/>
        <w:ind w:right="1439" w:firstLine="432"/>
        <w:jc w:val="both"/>
      </w:pPr>
      <w:r>
        <w:rPr/>
        <w:t>Similarly, in Macbeth, the unnatural events in the natural world such as darkness during the day and strange animal behaviour mirror the disruption caused by Macbeth’s violent ambition. Lady Macbeth’s character is especially significant from an ecofeminist perspective. She rejects</w:t>
      </w:r>
      <w:r>
        <w:rPr>
          <w:spacing w:val="-13"/>
        </w:rPr>
        <w:t> </w:t>
      </w:r>
      <w:r>
        <w:rPr/>
        <w:t>traditional</w:t>
      </w:r>
      <w:r>
        <w:rPr>
          <w:spacing w:val="-12"/>
        </w:rPr>
        <w:t> </w:t>
      </w:r>
      <w:r>
        <w:rPr/>
        <w:t>femininity</w:t>
      </w:r>
      <w:r>
        <w:rPr>
          <w:spacing w:val="-13"/>
        </w:rPr>
        <w:t> </w:t>
      </w:r>
      <w:r>
        <w:rPr/>
        <w:t>and</w:t>
      </w:r>
      <w:r>
        <w:rPr>
          <w:spacing w:val="-12"/>
        </w:rPr>
        <w:t> </w:t>
      </w:r>
      <w:r>
        <w:rPr/>
        <w:t>invokes</w:t>
      </w:r>
      <w:r>
        <w:rPr>
          <w:spacing w:val="-13"/>
        </w:rPr>
        <w:t> </w:t>
      </w:r>
      <w:r>
        <w:rPr/>
        <w:t>unnatural</w:t>
      </w:r>
      <w:r>
        <w:rPr>
          <w:spacing w:val="-12"/>
        </w:rPr>
        <w:t> </w:t>
      </w:r>
      <w:r>
        <w:rPr/>
        <w:t>forces</w:t>
      </w:r>
      <w:r>
        <w:rPr>
          <w:spacing w:val="-13"/>
        </w:rPr>
        <w:t> </w:t>
      </w:r>
      <w:r>
        <w:rPr/>
        <w:t>to</w:t>
      </w:r>
      <w:r>
        <w:rPr>
          <w:spacing w:val="-11"/>
        </w:rPr>
        <w:t> </w:t>
      </w:r>
      <w:r>
        <w:rPr/>
        <w:t>gain</w:t>
      </w:r>
      <w:r>
        <w:rPr>
          <w:spacing w:val="-12"/>
        </w:rPr>
        <w:t> </w:t>
      </w:r>
      <w:r>
        <w:rPr/>
        <w:t>power, symbolizing</w:t>
      </w:r>
      <w:r>
        <w:rPr>
          <w:spacing w:val="-8"/>
        </w:rPr>
        <w:t> </w:t>
      </w:r>
      <w:r>
        <w:rPr/>
        <w:t>a</w:t>
      </w:r>
      <w:r>
        <w:rPr>
          <w:spacing w:val="-7"/>
        </w:rPr>
        <w:t> </w:t>
      </w:r>
      <w:r>
        <w:rPr/>
        <w:t>break</w:t>
      </w:r>
      <w:r>
        <w:rPr>
          <w:spacing w:val="-6"/>
        </w:rPr>
        <w:t> </w:t>
      </w:r>
      <w:r>
        <w:rPr/>
        <w:t>from</w:t>
      </w:r>
      <w:r>
        <w:rPr>
          <w:spacing w:val="-9"/>
        </w:rPr>
        <w:t> </w:t>
      </w:r>
      <w:r>
        <w:rPr/>
        <w:t>natural</w:t>
      </w:r>
      <w:r>
        <w:rPr>
          <w:spacing w:val="-8"/>
        </w:rPr>
        <w:t> </w:t>
      </w:r>
      <w:r>
        <w:rPr/>
        <w:t>harmony.</w:t>
      </w:r>
      <w:r>
        <w:rPr>
          <w:spacing w:val="-8"/>
        </w:rPr>
        <w:t> </w:t>
      </w:r>
      <w:r>
        <w:rPr/>
        <w:t>The</w:t>
      </w:r>
      <w:r>
        <w:rPr>
          <w:spacing w:val="-7"/>
        </w:rPr>
        <w:t> </w:t>
      </w:r>
      <w:r>
        <w:rPr/>
        <w:t>play</w:t>
      </w:r>
      <w:r>
        <w:rPr>
          <w:spacing w:val="-8"/>
        </w:rPr>
        <w:t> </w:t>
      </w:r>
      <w:r>
        <w:rPr/>
        <w:t>suggests</w:t>
      </w:r>
      <w:r>
        <w:rPr>
          <w:spacing w:val="-6"/>
        </w:rPr>
        <w:t> </w:t>
      </w:r>
      <w:r>
        <w:rPr/>
        <w:t>that</w:t>
      </w:r>
      <w:r>
        <w:rPr>
          <w:spacing w:val="-8"/>
        </w:rPr>
        <w:t> </w:t>
      </w:r>
      <w:r>
        <w:rPr/>
        <w:t>when natural and moral orders are violated, both human life and the environment suffer.</w:t>
      </w:r>
    </w:p>
    <w:p>
      <w:pPr>
        <w:pStyle w:val="BodyText"/>
        <w:spacing w:line="249" w:lineRule="auto" w:before="64"/>
        <w:ind w:right="1440" w:firstLine="432"/>
        <w:jc w:val="both"/>
      </w:pPr>
      <w:r>
        <w:rPr/>
        <w:t>In</w:t>
      </w:r>
      <w:r>
        <w:rPr>
          <w:spacing w:val="-13"/>
        </w:rPr>
        <w:t> </w:t>
      </w:r>
      <w:r>
        <w:rPr/>
        <w:t>A</w:t>
      </w:r>
      <w:r>
        <w:rPr>
          <w:spacing w:val="-12"/>
        </w:rPr>
        <w:t> </w:t>
      </w:r>
      <w:r>
        <w:rPr/>
        <w:t>Midsummer</w:t>
      </w:r>
      <w:r>
        <w:rPr>
          <w:spacing w:val="-13"/>
        </w:rPr>
        <w:t> </w:t>
      </w:r>
      <w:r>
        <w:rPr/>
        <w:t>Night’s</w:t>
      </w:r>
      <w:r>
        <w:rPr>
          <w:spacing w:val="-12"/>
        </w:rPr>
        <w:t> </w:t>
      </w:r>
      <w:r>
        <w:rPr/>
        <w:t>Dream,</w:t>
      </w:r>
      <w:r>
        <w:rPr>
          <w:spacing w:val="-13"/>
        </w:rPr>
        <w:t> </w:t>
      </w:r>
      <w:r>
        <w:rPr/>
        <w:t>the</w:t>
      </w:r>
      <w:r>
        <w:rPr>
          <w:spacing w:val="-12"/>
        </w:rPr>
        <w:t> </w:t>
      </w:r>
      <w:r>
        <w:rPr/>
        <w:t>forest</w:t>
      </w:r>
      <w:r>
        <w:rPr>
          <w:spacing w:val="-13"/>
        </w:rPr>
        <w:t> </w:t>
      </w:r>
      <w:r>
        <w:rPr/>
        <w:t>serves</w:t>
      </w:r>
      <w:r>
        <w:rPr>
          <w:spacing w:val="-12"/>
        </w:rPr>
        <w:t> </w:t>
      </w:r>
      <w:r>
        <w:rPr/>
        <w:t>as</w:t>
      </w:r>
      <w:r>
        <w:rPr>
          <w:spacing w:val="-12"/>
        </w:rPr>
        <w:t> </w:t>
      </w:r>
      <w:r>
        <w:rPr/>
        <w:t>a</w:t>
      </w:r>
      <w:r>
        <w:rPr>
          <w:spacing w:val="-11"/>
        </w:rPr>
        <w:t> </w:t>
      </w:r>
      <w:r>
        <w:rPr/>
        <w:t>space</w:t>
      </w:r>
      <w:r>
        <w:rPr>
          <w:spacing w:val="-11"/>
        </w:rPr>
        <w:t> </w:t>
      </w:r>
      <w:r>
        <w:rPr/>
        <w:t>where human and natural worlds interact freely. The conflict between Titania and Oberon, the fairy queen and king, leads to imbalance in nature, causing environmental disturbances such as floods and failed crops. Titania’s</w:t>
      </w:r>
      <w:r>
        <w:rPr>
          <w:spacing w:val="-13"/>
        </w:rPr>
        <w:t> </w:t>
      </w:r>
      <w:r>
        <w:rPr/>
        <w:t>character</w:t>
      </w:r>
      <w:r>
        <w:rPr>
          <w:spacing w:val="-12"/>
        </w:rPr>
        <w:t> </w:t>
      </w:r>
      <w:r>
        <w:rPr/>
        <w:t>can</w:t>
      </w:r>
      <w:r>
        <w:rPr>
          <w:spacing w:val="-13"/>
        </w:rPr>
        <w:t> </w:t>
      </w:r>
      <w:r>
        <w:rPr/>
        <w:t>be</w:t>
      </w:r>
      <w:r>
        <w:rPr>
          <w:spacing w:val="-12"/>
        </w:rPr>
        <w:t> </w:t>
      </w:r>
      <w:r>
        <w:rPr/>
        <w:t>viewed</w:t>
      </w:r>
      <w:r>
        <w:rPr>
          <w:spacing w:val="-13"/>
        </w:rPr>
        <w:t> </w:t>
      </w:r>
      <w:r>
        <w:rPr/>
        <w:t>as</w:t>
      </w:r>
      <w:r>
        <w:rPr>
          <w:spacing w:val="-12"/>
        </w:rPr>
        <w:t> </w:t>
      </w:r>
      <w:r>
        <w:rPr/>
        <w:t>a</w:t>
      </w:r>
      <w:r>
        <w:rPr>
          <w:spacing w:val="-12"/>
        </w:rPr>
        <w:t> </w:t>
      </w:r>
      <w:r>
        <w:rPr/>
        <w:t>symbol</w:t>
      </w:r>
      <w:r>
        <w:rPr>
          <w:spacing w:val="-12"/>
        </w:rPr>
        <w:t> </w:t>
      </w:r>
      <w:r>
        <w:rPr/>
        <w:t>of</w:t>
      </w:r>
      <w:r>
        <w:rPr>
          <w:spacing w:val="-13"/>
        </w:rPr>
        <w:t> </w:t>
      </w:r>
      <w:r>
        <w:rPr/>
        <w:t>nature</w:t>
      </w:r>
      <w:r>
        <w:rPr>
          <w:spacing w:val="-12"/>
        </w:rPr>
        <w:t> </w:t>
      </w:r>
      <w:r>
        <w:rPr/>
        <w:t>itself—nurturing yet vulnerable to domination. Oberon’s attempt to control her reflects </w:t>
      </w:r>
      <w:r>
        <w:rPr>
          <w:spacing w:val="-2"/>
        </w:rPr>
        <w:t>patriarchal</w:t>
      </w:r>
      <w:r>
        <w:rPr>
          <w:spacing w:val="-11"/>
        </w:rPr>
        <w:t> </w:t>
      </w:r>
      <w:r>
        <w:rPr>
          <w:spacing w:val="-2"/>
        </w:rPr>
        <w:t>authority</w:t>
      </w:r>
      <w:r>
        <w:rPr>
          <w:spacing w:val="-10"/>
        </w:rPr>
        <w:t> </w:t>
      </w:r>
      <w:r>
        <w:rPr>
          <w:spacing w:val="-2"/>
        </w:rPr>
        <w:t>over</w:t>
      </w:r>
      <w:r>
        <w:rPr>
          <w:spacing w:val="-11"/>
        </w:rPr>
        <w:t> </w:t>
      </w:r>
      <w:r>
        <w:rPr>
          <w:spacing w:val="-2"/>
        </w:rPr>
        <w:t>both</w:t>
      </w:r>
      <w:r>
        <w:rPr>
          <w:spacing w:val="-10"/>
        </w:rPr>
        <w:t> </w:t>
      </w:r>
      <w:r>
        <w:rPr>
          <w:spacing w:val="-2"/>
        </w:rPr>
        <w:t>women</w:t>
      </w:r>
      <w:r>
        <w:rPr>
          <w:spacing w:val="-11"/>
        </w:rPr>
        <w:t> </w:t>
      </w:r>
      <w:r>
        <w:rPr>
          <w:spacing w:val="-2"/>
        </w:rPr>
        <w:t>and</w:t>
      </w:r>
      <w:r>
        <w:rPr>
          <w:spacing w:val="-10"/>
        </w:rPr>
        <w:t> </w:t>
      </w:r>
      <w:r>
        <w:rPr>
          <w:spacing w:val="-2"/>
        </w:rPr>
        <w:t>the</w:t>
      </w:r>
      <w:r>
        <w:rPr>
          <w:spacing w:val="-11"/>
        </w:rPr>
        <w:t> </w:t>
      </w:r>
      <w:r>
        <w:rPr>
          <w:spacing w:val="-2"/>
        </w:rPr>
        <w:t>natural</w:t>
      </w:r>
      <w:r>
        <w:rPr>
          <w:spacing w:val="-10"/>
        </w:rPr>
        <w:t> </w:t>
      </w:r>
      <w:r>
        <w:rPr>
          <w:spacing w:val="-2"/>
        </w:rPr>
        <w:t>world.</w:t>
      </w:r>
      <w:r>
        <w:rPr>
          <w:spacing w:val="-11"/>
        </w:rPr>
        <w:t> </w:t>
      </w:r>
      <w:r>
        <w:rPr>
          <w:spacing w:val="-2"/>
        </w:rPr>
        <w:t>The</w:t>
      </w:r>
      <w:r>
        <w:rPr>
          <w:spacing w:val="-10"/>
        </w:rPr>
        <w:t> </w:t>
      </w:r>
      <w:r>
        <w:rPr>
          <w:spacing w:val="-2"/>
        </w:rPr>
        <w:t>eventual </w:t>
      </w:r>
      <w:r>
        <w:rPr/>
        <w:t>reconciliation restores both social and ecological balance, reinforcing the</w:t>
      </w:r>
      <w:r>
        <w:rPr>
          <w:spacing w:val="40"/>
        </w:rPr>
        <w:t> </w:t>
      </w:r>
      <w:r>
        <w:rPr/>
        <w:t>ecofeminist</w:t>
      </w:r>
      <w:r>
        <w:rPr>
          <w:spacing w:val="40"/>
        </w:rPr>
        <w:t> </w:t>
      </w:r>
      <w:r>
        <w:rPr/>
        <w:t>idea</w:t>
      </w:r>
      <w:r>
        <w:rPr>
          <w:spacing w:val="40"/>
        </w:rPr>
        <w:t> </w:t>
      </w:r>
      <w:r>
        <w:rPr/>
        <w:t>of</w:t>
      </w:r>
      <w:r>
        <w:rPr>
          <w:spacing w:val="40"/>
        </w:rPr>
        <w:t> </w:t>
      </w:r>
      <w:r>
        <w:rPr/>
        <w:t>harmony</w:t>
      </w:r>
      <w:r>
        <w:rPr>
          <w:spacing w:val="40"/>
        </w:rPr>
        <w:t> </w:t>
      </w:r>
      <w:r>
        <w:rPr/>
        <w:t>through</w:t>
      </w:r>
      <w:r>
        <w:rPr>
          <w:spacing w:val="40"/>
        </w:rPr>
        <w:t> </w:t>
      </w:r>
      <w:r>
        <w:rPr/>
        <w:t>mutual</w:t>
      </w:r>
      <w:r>
        <w:rPr>
          <w:spacing w:val="40"/>
        </w:rPr>
        <w:t> </w:t>
      </w:r>
      <w:r>
        <w:rPr/>
        <w:t>respect.</w:t>
      </w:r>
    </w:p>
    <w:p>
      <w:pPr>
        <w:pStyle w:val="BodyText"/>
        <w:spacing w:line="249" w:lineRule="auto" w:before="65"/>
        <w:ind w:right="1438" w:firstLine="432"/>
        <w:jc w:val="both"/>
      </w:pPr>
      <w:r>
        <w:rPr/>
        <w:t>Another relevant play is The Tempest, where Prospero’s control over</w:t>
      </w:r>
      <w:r>
        <w:rPr>
          <w:spacing w:val="-13"/>
        </w:rPr>
        <w:t> </w:t>
      </w:r>
      <w:r>
        <w:rPr/>
        <w:t>the</w:t>
      </w:r>
      <w:r>
        <w:rPr>
          <w:spacing w:val="-8"/>
        </w:rPr>
        <w:t> </w:t>
      </w:r>
      <w:r>
        <w:rPr/>
        <w:t>island</w:t>
      </w:r>
      <w:r>
        <w:rPr>
          <w:spacing w:val="-8"/>
        </w:rPr>
        <w:t> </w:t>
      </w:r>
      <w:r>
        <w:rPr/>
        <w:t>and</w:t>
      </w:r>
      <w:r>
        <w:rPr>
          <w:spacing w:val="-8"/>
        </w:rPr>
        <w:t> </w:t>
      </w:r>
      <w:r>
        <w:rPr/>
        <w:t>its</w:t>
      </w:r>
      <w:r>
        <w:rPr>
          <w:spacing w:val="-9"/>
        </w:rPr>
        <w:t> </w:t>
      </w:r>
      <w:r>
        <w:rPr/>
        <w:t>inhabitants,</w:t>
      </w:r>
      <w:r>
        <w:rPr>
          <w:spacing w:val="-6"/>
        </w:rPr>
        <w:t> </w:t>
      </w:r>
      <w:r>
        <w:rPr/>
        <w:t>including</w:t>
      </w:r>
      <w:r>
        <w:rPr>
          <w:spacing w:val="-9"/>
        </w:rPr>
        <w:t> </w:t>
      </w:r>
      <w:r>
        <w:rPr/>
        <w:t>the</w:t>
      </w:r>
      <w:r>
        <w:rPr>
          <w:spacing w:val="-9"/>
        </w:rPr>
        <w:t> </w:t>
      </w:r>
      <w:r>
        <w:rPr/>
        <w:t>spirit</w:t>
      </w:r>
      <w:r>
        <w:rPr>
          <w:spacing w:val="-13"/>
        </w:rPr>
        <w:t> </w:t>
      </w:r>
      <w:r>
        <w:rPr/>
        <w:t>Ariel</w:t>
      </w:r>
      <w:r>
        <w:rPr>
          <w:spacing w:val="-6"/>
        </w:rPr>
        <w:t> </w:t>
      </w:r>
      <w:r>
        <w:rPr/>
        <w:t>and</w:t>
      </w:r>
      <w:r>
        <w:rPr>
          <w:spacing w:val="-9"/>
        </w:rPr>
        <w:t> </w:t>
      </w:r>
      <w:r>
        <w:rPr/>
        <w:t>Caliban, reflects</w:t>
      </w:r>
      <w:r>
        <w:rPr>
          <w:spacing w:val="-7"/>
        </w:rPr>
        <w:t> </w:t>
      </w:r>
      <w:r>
        <w:rPr/>
        <w:t>colonial</w:t>
      </w:r>
      <w:r>
        <w:rPr>
          <w:spacing w:val="-7"/>
        </w:rPr>
        <w:t> </w:t>
      </w:r>
      <w:r>
        <w:rPr/>
        <w:t>and</w:t>
      </w:r>
      <w:r>
        <w:rPr>
          <w:spacing w:val="-5"/>
        </w:rPr>
        <w:t> </w:t>
      </w:r>
      <w:r>
        <w:rPr/>
        <w:t>patriarchal</w:t>
      </w:r>
      <w:r>
        <w:rPr>
          <w:spacing w:val="-7"/>
        </w:rPr>
        <w:t> </w:t>
      </w:r>
      <w:r>
        <w:rPr/>
        <w:t>domination</w:t>
      </w:r>
      <w:r>
        <w:rPr>
          <w:spacing w:val="-10"/>
        </w:rPr>
        <w:t> </w:t>
      </w:r>
      <w:r>
        <w:rPr/>
        <w:t>of</w:t>
      </w:r>
      <w:r>
        <w:rPr>
          <w:spacing w:val="-7"/>
        </w:rPr>
        <w:t> </w:t>
      </w:r>
      <w:r>
        <w:rPr/>
        <w:t>nature.</w:t>
      </w:r>
      <w:r>
        <w:rPr>
          <w:spacing w:val="-5"/>
        </w:rPr>
        <w:t> </w:t>
      </w:r>
      <w:r>
        <w:rPr/>
        <w:t>Miranda,</w:t>
      </w:r>
      <w:r>
        <w:rPr>
          <w:spacing w:val="-6"/>
        </w:rPr>
        <w:t> </w:t>
      </w:r>
      <w:r>
        <w:rPr/>
        <w:t>the</w:t>
      </w:r>
      <w:r>
        <w:rPr>
          <w:spacing w:val="-7"/>
        </w:rPr>
        <w:t> </w:t>
      </w:r>
      <w:r>
        <w:rPr>
          <w:spacing w:val="-4"/>
        </w:rPr>
        <w:t>only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2528">
                <wp:simplePos x="0" y="0"/>
                <wp:positionH relativeFrom="page">
                  <wp:posOffset>2057400</wp:posOffset>
                </wp:positionH>
                <wp:positionV relativeFrom="paragraph">
                  <wp:posOffset>162604</wp:posOffset>
                </wp:positionV>
                <wp:extent cx="3657600" cy="12700"/>
                <wp:effectExtent l="0" t="0" r="0" b="0"/>
                <wp:wrapTopAndBottom/>
                <wp:docPr id="359" name="Graphic 359"/>
                <wp:cNvGraphicFramePr>
                  <a:graphicFrameLocks/>
                </wp:cNvGraphicFramePr>
                <a:graphic>
                  <a:graphicData uri="http://schemas.microsoft.com/office/word/2010/wordprocessingShape">
                    <wps:wsp>
                      <wps:cNvPr id="359" name="Graphic 35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13952;mso-wrap-distance-left:0;mso-wrap-distance-right:0" id="docshape355" filled="true" fillcolor="#000000" stroked="false">
                <v:fill type="solid"/>
                <w10:wrap type="topAndBottom"/>
              </v:rect>
            </w:pict>
          </mc:Fallback>
        </mc:AlternateContent>
      </w:r>
      <w:r>
        <w:rPr>
          <w:rFonts w:ascii="Verdana"/>
          <w:spacing w:val="-5"/>
          <w:sz w:val="18"/>
        </w:rPr>
        <w:t>134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major</w:t>
      </w:r>
      <w:r>
        <w:rPr>
          <w:spacing w:val="-4"/>
        </w:rPr>
        <w:t> </w:t>
      </w:r>
      <w:r>
        <w:rPr/>
        <w:t>female</w:t>
      </w:r>
      <w:r>
        <w:rPr>
          <w:spacing w:val="-5"/>
        </w:rPr>
        <w:t> </w:t>
      </w:r>
      <w:r>
        <w:rPr/>
        <w:t>character,</w:t>
      </w:r>
      <w:r>
        <w:rPr>
          <w:spacing w:val="-6"/>
        </w:rPr>
        <w:t> </w:t>
      </w:r>
      <w:r>
        <w:rPr/>
        <w:t>is</w:t>
      </w:r>
      <w:r>
        <w:rPr>
          <w:spacing w:val="-7"/>
        </w:rPr>
        <w:t> </w:t>
      </w:r>
      <w:r>
        <w:rPr/>
        <w:t>closely</w:t>
      </w:r>
      <w:r>
        <w:rPr>
          <w:spacing w:val="-13"/>
        </w:rPr>
        <w:t> </w:t>
      </w:r>
      <w:r>
        <w:rPr/>
        <w:t>associated</w:t>
      </w:r>
      <w:r>
        <w:rPr>
          <w:spacing w:val="-5"/>
        </w:rPr>
        <w:t> </w:t>
      </w:r>
      <w:r>
        <w:rPr/>
        <w:t>with</w:t>
      </w:r>
      <w:r>
        <w:rPr>
          <w:spacing w:val="-7"/>
        </w:rPr>
        <w:t> </w:t>
      </w:r>
      <w:r>
        <w:rPr/>
        <w:t>innocence</w:t>
      </w:r>
      <w:r>
        <w:rPr>
          <w:spacing w:val="-7"/>
        </w:rPr>
        <w:t> </w:t>
      </w:r>
      <w:r>
        <w:rPr/>
        <w:t>and</w:t>
      </w:r>
      <w:r>
        <w:rPr>
          <w:spacing w:val="-4"/>
        </w:rPr>
        <w:t> </w:t>
      </w:r>
      <w:r>
        <w:rPr/>
        <w:t>natural purity.</w:t>
      </w:r>
      <w:r>
        <w:rPr>
          <w:spacing w:val="-7"/>
        </w:rPr>
        <w:t> </w:t>
      </w:r>
      <w:r>
        <w:rPr/>
        <w:t>From</w:t>
      </w:r>
      <w:r>
        <w:rPr>
          <w:spacing w:val="-11"/>
        </w:rPr>
        <w:t> </w:t>
      </w:r>
      <w:r>
        <w:rPr/>
        <w:t>an</w:t>
      </w:r>
      <w:r>
        <w:rPr>
          <w:spacing w:val="-9"/>
        </w:rPr>
        <w:t> </w:t>
      </w:r>
      <w:r>
        <w:rPr/>
        <w:t>ecofeminist</w:t>
      </w:r>
      <w:r>
        <w:rPr>
          <w:spacing w:val="-10"/>
        </w:rPr>
        <w:t> </w:t>
      </w:r>
      <w:r>
        <w:rPr/>
        <w:t>perspective,</w:t>
      </w:r>
      <w:r>
        <w:rPr>
          <w:spacing w:val="-7"/>
        </w:rPr>
        <w:t> </w:t>
      </w:r>
      <w:r>
        <w:rPr/>
        <w:t>Prospero’s</w:t>
      </w:r>
      <w:r>
        <w:rPr>
          <w:spacing w:val="-10"/>
        </w:rPr>
        <w:t> </w:t>
      </w:r>
      <w:r>
        <w:rPr/>
        <w:t>authority</w:t>
      </w:r>
      <w:r>
        <w:rPr>
          <w:spacing w:val="-10"/>
        </w:rPr>
        <w:t> </w:t>
      </w:r>
      <w:r>
        <w:rPr/>
        <w:t>represents human attempts to dominate both women and the environment, while the</w:t>
      </w:r>
      <w:r>
        <w:rPr>
          <w:spacing w:val="31"/>
        </w:rPr>
        <w:t> </w:t>
      </w:r>
      <w:r>
        <w:rPr/>
        <w:t>play</w:t>
      </w:r>
      <w:r>
        <w:rPr>
          <w:spacing w:val="27"/>
        </w:rPr>
        <w:t> </w:t>
      </w:r>
      <w:r>
        <w:rPr/>
        <w:t>ultimately</w:t>
      </w:r>
      <w:r>
        <w:rPr>
          <w:spacing w:val="27"/>
        </w:rPr>
        <w:t> </w:t>
      </w:r>
      <w:r>
        <w:rPr/>
        <w:t>suggests</w:t>
      </w:r>
      <w:r>
        <w:rPr>
          <w:spacing w:val="30"/>
        </w:rPr>
        <w:t> </w:t>
      </w:r>
      <w:r>
        <w:rPr/>
        <w:t>the</w:t>
      </w:r>
      <w:r>
        <w:rPr>
          <w:spacing w:val="30"/>
        </w:rPr>
        <w:t> </w:t>
      </w:r>
      <w:r>
        <w:rPr/>
        <w:t>need</w:t>
      </w:r>
      <w:r>
        <w:rPr>
          <w:spacing w:val="30"/>
        </w:rPr>
        <w:t> </w:t>
      </w:r>
      <w:r>
        <w:rPr/>
        <w:t>for</w:t>
      </w:r>
      <w:r>
        <w:rPr>
          <w:spacing w:val="31"/>
        </w:rPr>
        <w:t> </w:t>
      </w:r>
      <w:r>
        <w:rPr/>
        <w:t>forgiveness</w:t>
      </w:r>
      <w:r>
        <w:rPr>
          <w:spacing w:val="30"/>
        </w:rPr>
        <w:t> </w:t>
      </w:r>
      <w:r>
        <w:rPr/>
        <w:t>and</w:t>
      </w:r>
      <w:r>
        <w:rPr>
          <w:spacing w:val="32"/>
        </w:rPr>
        <w:t> </w:t>
      </w:r>
      <w:r>
        <w:rPr/>
        <w:t>restoration of balance.</w:t>
      </w:r>
    </w:p>
    <w:p>
      <w:pPr>
        <w:pStyle w:val="BodyText"/>
        <w:spacing w:line="261" w:lineRule="auto" w:before="69"/>
        <w:ind w:right="1440" w:firstLine="432"/>
        <w:jc w:val="both"/>
      </w:pPr>
      <w:r>
        <w:rPr/>
        <w:t>Ecofeminist ethics also draws attention to how female characters are often linked with natural imagery—flowers, fertility, and nurturing qualities—while</w:t>
      </w:r>
      <w:r>
        <w:rPr>
          <w:spacing w:val="-7"/>
        </w:rPr>
        <w:t> </w:t>
      </w:r>
      <w:r>
        <w:rPr/>
        <w:t>male</w:t>
      </w:r>
      <w:r>
        <w:rPr>
          <w:spacing w:val="-8"/>
        </w:rPr>
        <w:t> </w:t>
      </w:r>
      <w:r>
        <w:rPr/>
        <w:t>characters</w:t>
      </w:r>
      <w:r>
        <w:rPr>
          <w:spacing w:val="-7"/>
        </w:rPr>
        <w:t> </w:t>
      </w:r>
      <w:r>
        <w:rPr/>
        <w:t>are</w:t>
      </w:r>
      <w:r>
        <w:rPr>
          <w:spacing w:val="-7"/>
        </w:rPr>
        <w:t> </w:t>
      </w:r>
      <w:r>
        <w:rPr/>
        <w:t>associated</w:t>
      </w:r>
      <w:r>
        <w:rPr>
          <w:spacing w:val="-6"/>
        </w:rPr>
        <w:t> </w:t>
      </w:r>
      <w:r>
        <w:rPr/>
        <w:t>with</w:t>
      </w:r>
      <w:r>
        <w:rPr>
          <w:spacing w:val="-9"/>
        </w:rPr>
        <w:t> </w:t>
      </w:r>
      <w:r>
        <w:rPr/>
        <w:t>control</w:t>
      </w:r>
      <w:r>
        <w:rPr>
          <w:spacing w:val="-6"/>
        </w:rPr>
        <w:t> </w:t>
      </w:r>
      <w:r>
        <w:rPr/>
        <w:t>and</w:t>
      </w:r>
      <w:r>
        <w:rPr>
          <w:spacing w:val="-4"/>
        </w:rPr>
        <w:t> </w:t>
      </w:r>
      <w:r>
        <w:rPr/>
        <w:t>reason. This symbolic connection reinforces the idea that both women and nature</w:t>
      </w:r>
      <w:r>
        <w:rPr>
          <w:spacing w:val="40"/>
        </w:rPr>
        <w:t> </w:t>
      </w:r>
      <w:r>
        <w:rPr/>
        <w:t>have</w:t>
      </w:r>
      <w:r>
        <w:rPr>
          <w:spacing w:val="40"/>
        </w:rPr>
        <w:t> </w:t>
      </w:r>
      <w:r>
        <w:rPr/>
        <w:t>been</w:t>
      </w:r>
      <w:r>
        <w:rPr>
          <w:spacing w:val="40"/>
        </w:rPr>
        <w:t> </w:t>
      </w:r>
      <w:r>
        <w:rPr/>
        <w:t>historically</w:t>
      </w:r>
      <w:r>
        <w:rPr>
          <w:spacing w:val="40"/>
        </w:rPr>
        <w:t> </w:t>
      </w:r>
      <w:r>
        <w:rPr/>
        <w:t>undervalued</w:t>
      </w:r>
      <w:r>
        <w:rPr>
          <w:spacing w:val="40"/>
        </w:rPr>
        <w:t> </w:t>
      </w:r>
      <w:r>
        <w:rPr/>
        <w:t>and</w:t>
      </w:r>
      <w:r>
        <w:rPr>
          <w:spacing w:val="40"/>
        </w:rPr>
        <w:t> </w:t>
      </w:r>
      <w:r>
        <w:rPr/>
        <w:t>exploited.</w:t>
      </w:r>
    </w:p>
    <w:p>
      <w:pPr>
        <w:pStyle w:val="Heading5"/>
        <w:numPr>
          <w:ilvl w:val="1"/>
          <w:numId w:val="27"/>
        </w:numPr>
        <w:tabs>
          <w:tab w:pos="1927" w:val="left" w:leader="none"/>
        </w:tabs>
        <w:spacing w:line="256" w:lineRule="auto" w:before="107" w:after="0"/>
        <w:ind w:left="1440" w:right="1437" w:firstLine="0"/>
        <w:jc w:val="left"/>
      </w:pPr>
      <w:r>
        <w:rPr>
          <w:spacing w:val="11"/>
        </w:rPr>
        <w:t>Ecofeminist</w:t>
      </w:r>
      <w:r>
        <w:rPr>
          <w:spacing w:val="80"/>
        </w:rPr>
        <w:t> </w:t>
      </w:r>
      <w:r>
        <w:rPr>
          <w:spacing w:val="11"/>
        </w:rPr>
        <w:t>Ethics</w:t>
      </w:r>
      <w:r>
        <w:rPr>
          <w:spacing w:val="80"/>
        </w:rPr>
        <w:t> </w:t>
      </w:r>
      <w:r>
        <w:rPr/>
        <w:t>in</w:t>
      </w:r>
      <w:r>
        <w:rPr>
          <w:spacing w:val="80"/>
        </w:rPr>
        <w:t> </w:t>
      </w:r>
      <w:r>
        <w:rPr/>
        <w:t>the</w:t>
      </w:r>
      <w:r>
        <w:rPr>
          <w:spacing w:val="80"/>
        </w:rPr>
        <w:t> </w:t>
      </w:r>
      <w:r>
        <w:rPr>
          <w:spacing w:val="10"/>
        </w:rPr>
        <w:t>works</w:t>
      </w:r>
      <w:r>
        <w:rPr>
          <w:spacing w:val="80"/>
        </w:rPr>
        <w:t> </w:t>
      </w:r>
      <w:r>
        <w:rPr/>
        <w:t>of</w:t>
      </w:r>
      <w:r>
        <w:rPr>
          <w:spacing w:val="80"/>
        </w:rPr>
        <w:t> </w:t>
      </w:r>
      <w:r>
        <w:rPr>
          <w:spacing w:val="11"/>
        </w:rPr>
        <w:t>Willliam</w:t>
      </w:r>
      <w:r>
        <w:rPr>
          <w:spacing w:val="80"/>
        </w:rPr>
        <w:t> </w:t>
      </w:r>
      <w:r>
        <w:rPr/>
        <w:t>Shakespeare</w:t>
      </w:r>
      <w:r>
        <w:rPr>
          <w:spacing w:val="40"/>
        </w:rPr>
        <w:t>  </w:t>
      </w:r>
      <w:r>
        <w:rPr/>
        <w:t>and</w:t>
      </w:r>
      <w:r>
        <w:rPr>
          <w:spacing w:val="40"/>
        </w:rPr>
        <w:t>  </w:t>
      </w:r>
      <w:r>
        <w:rPr/>
        <w:t>Amitav</w:t>
      </w:r>
      <w:r>
        <w:rPr>
          <w:spacing w:val="40"/>
        </w:rPr>
        <w:t>  </w:t>
      </w:r>
      <w:r>
        <w:rPr/>
        <w:t>Ghosh:</w:t>
      </w:r>
    </w:p>
    <w:p>
      <w:pPr>
        <w:pStyle w:val="BodyText"/>
        <w:spacing w:line="261" w:lineRule="auto" w:before="63"/>
        <w:ind w:right="1437" w:firstLine="432"/>
        <w:jc w:val="both"/>
      </w:pPr>
      <w:r>
        <w:rPr/>
        <w:t>Ecofeminist ethics to Shakespeare’s dramas reveals a deep interconnection</w:t>
      </w:r>
      <w:r>
        <w:rPr>
          <w:spacing w:val="-12"/>
        </w:rPr>
        <w:t> </w:t>
      </w:r>
      <w:r>
        <w:rPr/>
        <w:t>between</w:t>
      </w:r>
      <w:r>
        <w:rPr>
          <w:spacing w:val="-13"/>
        </w:rPr>
        <w:t> </w:t>
      </w:r>
      <w:r>
        <w:rPr/>
        <w:t>gender,</w:t>
      </w:r>
      <w:r>
        <w:rPr>
          <w:spacing w:val="-8"/>
        </w:rPr>
        <w:t> </w:t>
      </w:r>
      <w:r>
        <w:rPr/>
        <w:t>power,</w:t>
      </w:r>
      <w:r>
        <w:rPr>
          <w:spacing w:val="-8"/>
        </w:rPr>
        <w:t> </w:t>
      </w:r>
      <w:r>
        <w:rPr/>
        <w:t>and</w:t>
      </w:r>
      <w:r>
        <w:rPr>
          <w:spacing w:val="-10"/>
        </w:rPr>
        <w:t> </w:t>
      </w:r>
      <w:r>
        <w:rPr/>
        <w:t>the</w:t>
      </w:r>
      <w:r>
        <w:rPr>
          <w:spacing w:val="-9"/>
        </w:rPr>
        <w:t> </w:t>
      </w:r>
      <w:r>
        <w:rPr/>
        <w:t>natural</w:t>
      </w:r>
      <w:r>
        <w:rPr>
          <w:spacing w:val="-9"/>
        </w:rPr>
        <w:t> </w:t>
      </w:r>
      <w:r>
        <w:rPr/>
        <w:t>world.</w:t>
      </w:r>
      <w:r>
        <w:rPr>
          <w:spacing w:val="-12"/>
        </w:rPr>
        <w:t> </w:t>
      </w:r>
      <w:r>
        <w:rPr/>
        <w:t>His</w:t>
      </w:r>
      <w:r>
        <w:rPr>
          <w:spacing w:val="-10"/>
        </w:rPr>
        <w:t> </w:t>
      </w:r>
      <w:r>
        <w:rPr/>
        <w:t>plays illustrate how the domination of women and the disruption of nature often occur together, leading to chaos and suffering.</w:t>
      </w:r>
      <w:r>
        <w:rPr>
          <w:spacing w:val="-1"/>
        </w:rPr>
        <w:t> </w:t>
      </w:r>
      <w:r>
        <w:rPr/>
        <w:t>At the same time, they</w:t>
      </w:r>
      <w:r>
        <w:rPr>
          <w:spacing w:val="-9"/>
        </w:rPr>
        <w:t> </w:t>
      </w:r>
      <w:r>
        <w:rPr/>
        <w:t>also</w:t>
      </w:r>
      <w:r>
        <w:rPr>
          <w:spacing w:val="-4"/>
        </w:rPr>
        <w:t> </w:t>
      </w:r>
      <w:r>
        <w:rPr/>
        <w:t>suggest</w:t>
      </w:r>
      <w:r>
        <w:rPr>
          <w:spacing w:val="-6"/>
        </w:rPr>
        <w:t> </w:t>
      </w:r>
      <w:r>
        <w:rPr/>
        <w:t>that</w:t>
      </w:r>
      <w:r>
        <w:rPr>
          <w:spacing w:val="-7"/>
        </w:rPr>
        <w:t> </w:t>
      </w:r>
      <w:r>
        <w:rPr/>
        <w:t>harmony</w:t>
      </w:r>
      <w:r>
        <w:rPr>
          <w:spacing w:val="-9"/>
        </w:rPr>
        <w:t> </w:t>
      </w:r>
      <w:r>
        <w:rPr/>
        <w:t>can</w:t>
      </w:r>
      <w:r>
        <w:rPr>
          <w:spacing w:val="-7"/>
        </w:rPr>
        <w:t> </w:t>
      </w:r>
      <w:r>
        <w:rPr/>
        <w:t>be</w:t>
      </w:r>
      <w:r>
        <w:rPr>
          <w:spacing w:val="-6"/>
        </w:rPr>
        <w:t> </w:t>
      </w:r>
      <w:r>
        <w:rPr/>
        <w:t>restored</w:t>
      </w:r>
      <w:r>
        <w:rPr>
          <w:spacing w:val="-6"/>
        </w:rPr>
        <w:t> </w:t>
      </w:r>
      <w:r>
        <w:rPr/>
        <w:t>through</w:t>
      </w:r>
      <w:r>
        <w:rPr>
          <w:spacing w:val="-7"/>
        </w:rPr>
        <w:t> </w:t>
      </w:r>
      <w:r>
        <w:rPr/>
        <w:t>respect,</w:t>
      </w:r>
      <w:r>
        <w:rPr>
          <w:spacing w:val="-7"/>
        </w:rPr>
        <w:t> </w:t>
      </w:r>
      <w:r>
        <w:rPr/>
        <w:t>balance, and ethical responsibility. Thus, Shakespeare’s works remain highly relevant to modern ecofeminist thought, offering insights into the need for a more just and sustainable relationship between humanity, gender, and</w:t>
      </w:r>
      <w:r>
        <w:rPr>
          <w:spacing w:val="40"/>
        </w:rPr>
        <w:t> </w:t>
      </w:r>
      <w:r>
        <w:rPr/>
        <w:t>the</w:t>
      </w:r>
      <w:r>
        <w:rPr>
          <w:spacing w:val="40"/>
        </w:rPr>
        <w:t> </w:t>
      </w:r>
      <w:r>
        <w:rPr/>
        <w:t>environment.</w:t>
      </w:r>
    </w:p>
    <w:p>
      <w:pPr>
        <w:pStyle w:val="BodyText"/>
        <w:spacing w:line="261" w:lineRule="auto" w:before="53"/>
        <w:ind w:right="1439" w:firstLine="432"/>
        <w:jc w:val="both"/>
      </w:pPr>
      <w:r>
        <w:rPr/>
        <w:t>In Shakespeare’s plays, ecofeminist ethics appears in a symbolic and implicit form. Nature is not merely a backdrop but an active force that reflects human emotions, moral conditions, and social disorder. In King Lear, the violent storm on the heath mirrors Lear’s inner turmoil and the breakdown of familial and political order. From an ecofeminist viewpoint, this chaos is closely linked to patriarchal injustice. Lear’s rejection of Cordelia—who represents truth, care, and harmony—disrupts both human relationships and the natural world. The storm</w:t>
      </w:r>
      <w:r>
        <w:rPr>
          <w:spacing w:val="80"/>
        </w:rPr>
        <w:t> </w:t>
      </w:r>
      <w:r>
        <w:rPr/>
        <w:t>thus becomes a symbol of the consequences of violating ethical and relational</w:t>
      </w:r>
      <w:r>
        <w:rPr>
          <w:spacing w:val="40"/>
        </w:rPr>
        <w:t> </w:t>
      </w:r>
      <w:r>
        <w:rPr/>
        <w:t>bonds.</w:t>
      </w:r>
    </w:p>
    <w:p>
      <w:pPr>
        <w:pStyle w:val="BodyText"/>
        <w:spacing w:line="261" w:lineRule="auto" w:before="51"/>
        <w:ind w:right="1439" w:firstLine="432"/>
        <w:jc w:val="both"/>
      </w:pPr>
      <w:r>
        <w:rPr/>
        <w:t>Similarly,</w:t>
      </w:r>
      <w:r>
        <w:rPr>
          <w:spacing w:val="-2"/>
        </w:rPr>
        <w:t> </w:t>
      </w:r>
      <w:r>
        <w:rPr/>
        <w:t>Macbeth</w:t>
      </w:r>
      <w:r>
        <w:rPr>
          <w:spacing w:val="-4"/>
        </w:rPr>
        <w:t> </w:t>
      </w:r>
      <w:r>
        <w:rPr/>
        <w:t>portrays</w:t>
      </w:r>
      <w:r>
        <w:rPr>
          <w:spacing w:val="-2"/>
        </w:rPr>
        <w:t> </w:t>
      </w:r>
      <w:r>
        <w:rPr/>
        <w:t>a</w:t>
      </w:r>
      <w:r>
        <w:rPr>
          <w:spacing w:val="-3"/>
        </w:rPr>
        <w:t> </w:t>
      </w:r>
      <w:r>
        <w:rPr/>
        <w:t>world where</w:t>
      </w:r>
      <w:r>
        <w:rPr>
          <w:spacing w:val="-2"/>
        </w:rPr>
        <w:t> </w:t>
      </w:r>
      <w:r>
        <w:rPr/>
        <w:t>moral</w:t>
      </w:r>
      <w:r>
        <w:rPr>
          <w:spacing w:val="-3"/>
        </w:rPr>
        <w:t> </w:t>
      </w:r>
      <w:r>
        <w:rPr/>
        <w:t>corruption</w:t>
      </w:r>
      <w:r>
        <w:rPr>
          <w:spacing w:val="-4"/>
        </w:rPr>
        <w:t> </w:t>
      </w:r>
      <w:r>
        <w:rPr/>
        <w:t>leads to disturbances in nature. Unnatural events such as darkness during the day and erratic animal behaviour reflect the disruption of the natural order. Lady Macbeth’s character is central to this ecofeminist reading. </w:t>
      </w:r>
      <w:r>
        <w:rPr>
          <w:spacing w:val="-2"/>
        </w:rPr>
        <w:t>Her</w:t>
      </w:r>
      <w:r>
        <w:rPr>
          <w:spacing w:val="-5"/>
        </w:rPr>
        <w:t> </w:t>
      </w:r>
      <w:r>
        <w:rPr>
          <w:spacing w:val="-2"/>
        </w:rPr>
        <w:t>rejection</w:t>
      </w:r>
      <w:r>
        <w:rPr>
          <w:spacing w:val="-5"/>
        </w:rPr>
        <w:t> </w:t>
      </w:r>
      <w:r>
        <w:rPr>
          <w:spacing w:val="-2"/>
        </w:rPr>
        <w:t>of</w:t>
      </w:r>
      <w:r>
        <w:rPr>
          <w:spacing w:val="-7"/>
        </w:rPr>
        <w:t> </w:t>
      </w:r>
      <w:r>
        <w:rPr>
          <w:spacing w:val="-2"/>
        </w:rPr>
        <w:t>traditional</w:t>
      </w:r>
      <w:r>
        <w:rPr>
          <w:spacing w:val="-8"/>
        </w:rPr>
        <w:t> </w:t>
      </w:r>
      <w:r>
        <w:rPr>
          <w:spacing w:val="-2"/>
        </w:rPr>
        <w:t>femininity</w:t>
      </w:r>
      <w:r>
        <w:rPr>
          <w:spacing w:val="-10"/>
        </w:rPr>
        <w:t> </w:t>
      </w:r>
      <w:r>
        <w:rPr>
          <w:spacing w:val="-2"/>
        </w:rPr>
        <w:t>and her</w:t>
      </w:r>
      <w:r>
        <w:rPr>
          <w:spacing w:val="-5"/>
        </w:rPr>
        <w:t> </w:t>
      </w:r>
      <w:r>
        <w:rPr>
          <w:spacing w:val="-2"/>
        </w:rPr>
        <w:t>desire</w:t>
      </w:r>
      <w:r>
        <w:rPr>
          <w:spacing w:val="-5"/>
        </w:rPr>
        <w:t> </w:t>
      </w:r>
      <w:r>
        <w:rPr>
          <w:spacing w:val="-2"/>
        </w:rPr>
        <w:t>for</w:t>
      </w:r>
      <w:r>
        <w:rPr>
          <w:spacing w:val="-3"/>
        </w:rPr>
        <w:t> </w:t>
      </w:r>
      <w:r>
        <w:rPr>
          <w:spacing w:val="-2"/>
        </w:rPr>
        <w:t>power</w:t>
      </w:r>
      <w:r>
        <w:rPr>
          <w:spacing w:val="-5"/>
        </w:rPr>
        <w:t> </w:t>
      </w:r>
      <w:r>
        <w:rPr>
          <w:spacing w:val="-2"/>
        </w:rPr>
        <w:t>symbolize </w:t>
      </w:r>
      <w:r>
        <w:rPr/>
        <w:t>a</w:t>
      </w:r>
      <w:r>
        <w:rPr>
          <w:spacing w:val="12"/>
        </w:rPr>
        <w:t> </w:t>
      </w:r>
      <w:r>
        <w:rPr/>
        <w:t>break</w:t>
      </w:r>
      <w:r>
        <w:rPr>
          <w:spacing w:val="10"/>
        </w:rPr>
        <w:t> </w:t>
      </w:r>
      <w:r>
        <w:rPr/>
        <w:t>from</w:t>
      </w:r>
      <w:r>
        <w:rPr>
          <w:spacing w:val="7"/>
        </w:rPr>
        <w:t> </w:t>
      </w:r>
      <w:r>
        <w:rPr/>
        <w:t>nurturing</w:t>
      </w:r>
      <w:r>
        <w:rPr>
          <w:spacing w:val="10"/>
        </w:rPr>
        <w:t> </w:t>
      </w:r>
      <w:r>
        <w:rPr/>
        <w:t>values</w:t>
      </w:r>
      <w:r>
        <w:rPr>
          <w:spacing w:val="10"/>
        </w:rPr>
        <w:t> </w:t>
      </w:r>
      <w:r>
        <w:rPr/>
        <w:t>and</w:t>
      </w:r>
      <w:r>
        <w:rPr>
          <w:spacing w:val="14"/>
        </w:rPr>
        <w:t> </w:t>
      </w:r>
      <w:r>
        <w:rPr/>
        <w:t>harmony</w:t>
      </w:r>
      <w:r>
        <w:rPr>
          <w:spacing w:val="8"/>
        </w:rPr>
        <w:t> </w:t>
      </w:r>
      <w:r>
        <w:rPr/>
        <w:t>with</w:t>
      </w:r>
      <w:r>
        <w:rPr>
          <w:spacing w:val="8"/>
        </w:rPr>
        <w:t> </w:t>
      </w:r>
      <w:r>
        <w:rPr/>
        <w:t>nature.</w:t>
      </w:r>
      <w:r>
        <w:rPr>
          <w:spacing w:val="12"/>
        </w:rPr>
        <w:t> </w:t>
      </w:r>
      <w:r>
        <w:rPr/>
        <w:t>However,</w:t>
      </w:r>
      <w:r>
        <w:rPr>
          <w:spacing w:val="12"/>
        </w:rPr>
        <w:t> </w:t>
      </w:r>
      <w:r>
        <w:rPr>
          <w:spacing w:val="-5"/>
        </w:rPr>
        <w:t>her</w:t>
      </w:r>
    </w:p>
    <w:p>
      <w:pPr>
        <w:pStyle w:val="BodyText"/>
        <w:spacing w:after="0" w:line="261" w:lineRule="auto"/>
        <w:jc w:val="both"/>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3040">
                <wp:simplePos x="0" y="0"/>
                <wp:positionH relativeFrom="page">
                  <wp:posOffset>2065020</wp:posOffset>
                </wp:positionH>
                <wp:positionV relativeFrom="paragraph">
                  <wp:posOffset>795020</wp:posOffset>
                </wp:positionV>
                <wp:extent cx="3657600" cy="12700"/>
                <wp:effectExtent l="0" t="0" r="0" b="0"/>
                <wp:wrapTopAndBottom/>
                <wp:docPr id="360" name="Graphic 360"/>
                <wp:cNvGraphicFramePr>
                  <a:graphicFrameLocks/>
                </wp:cNvGraphicFramePr>
                <a:graphic>
                  <a:graphicData uri="http://schemas.microsoft.com/office/word/2010/wordprocessingShape">
                    <wps:wsp>
                      <wps:cNvPr id="360" name="Graphic 36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13440;mso-wrap-distance-left:0;mso-wrap-distance-right:0" id="docshape356" filled="true" fillcolor="#000000" stroked="false">
                <v:fill type="solid"/>
                <w10:wrap type="topAndBottom"/>
              </v:rect>
            </w:pict>
          </mc:Fallback>
        </mc:AlternateContent>
      </w:r>
      <w:r>
        <w:rPr>
          <w:rFonts w:ascii="Verdana"/>
          <w:spacing w:val="-2"/>
          <w:sz w:val="18"/>
        </w:rPr>
        <w:t>Eco-Feminist</w:t>
      </w:r>
      <w:r>
        <w:rPr>
          <w:rFonts w:ascii="Verdana"/>
          <w:spacing w:val="11"/>
          <w:sz w:val="18"/>
        </w:rPr>
        <w:t> </w:t>
      </w:r>
      <w:r>
        <w:rPr>
          <w:rFonts w:ascii="Verdana"/>
          <w:spacing w:val="-2"/>
          <w:sz w:val="18"/>
        </w:rPr>
        <w:t>Ethics</w:t>
      </w:r>
      <w:r>
        <w:rPr>
          <w:rFonts w:ascii="Verdana"/>
          <w:spacing w:val="11"/>
          <w:sz w:val="18"/>
        </w:rPr>
        <w:t> </w:t>
      </w:r>
      <w:r>
        <w:rPr>
          <w:rFonts w:ascii="Verdana"/>
          <w:spacing w:val="-2"/>
          <w:sz w:val="18"/>
        </w:rPr>
        <w:t>in</w:t>
      </w:r>
      <w:r>
        <w:rPr>
          <w:rFonts w:ascii="Verdana"/>
          <w:spacing w:val="13"/>
          <w:sz w:val="18"/>
        </w:rPr>
        <w:t> </w:t>
      </w:r>
      <w:r>
        <w:rPr>
          <w:rFonts w:ascii="Verdana"/>
          <w:spacing w:val="-2"/>
          <w:sz w:val="18"/>
        </w:rPr>
        <w:t>The</w:t>
      </w:r>
      <w:r>
        <w:rPr>
          <w:rFonts w:ascii="Verdana"/>
          <w:spacing w:val="12"/>
          <w:sz w:val="18"/>
        </w:rPr>
        <w:t> </w:t>
      </w:r>
      <w:r>
        <w:rPr>
          <w:rFonts w:ascii="Verdana"/>
          <w:spacing w:val="-2"/>
          <w:sz w:val="18"/>
        </w:rPr>
        <w:t>Selected</w:t>
      </w:r>
      <w:r>
        <w:rPr>
          <w:rFonts w:ascii="Verdana"/>
          <w:spacing w:val="12"/>
          <w:sz w:val="18"/>
        </w:rPr>
        <w:t> </w:t>
      </w:r>
      <w:r>
        <w:rPr>
          <w:rFonts w:ascii="Verdana"/>
          <w:spacing w:val="-2"/>
          <w:sz w:val="18"/>
        </w:rPr>
        <w:t>Works</w:t>
      </w:r>
      <w:r>
        <w:rPr>
          <w:rFonts w:ascii="Verdana"/>
          <w:spacing w:val="13"/>
          <w:sz w:val="18"/>
        </w:rPr>
        <w:t> </w:t>
      </w:r>
      <w:r>
        <w:rPr>
          <w:rFonts w:ascii="Verdana"/>
          <w:spacing w:val="-2"/>
          <w:sz w:val="18"/>
        </w:rPr>
        <w:t>of</w:t>
      </w:r>
      <w:r>
        <w:rPr>
          <w:rFonts w:ascii="Verdana"/>
          <w:spacing w:val="12"/>
          <w:sz w:val="18"/>
        </w:rPr>
        <w:t> </w:t>
      </w:r>
      <w:r>
        <w:rPr>
          <w:rFonts w:ascii="Verdana"/>
          <w:spacing w:val="-2"/>
          <w:sz w:val="18"/>
        </w:rPr>
        <w:t>William</w:t>
      </w:r>
      <w:r>
        <w:rPr>
          <w:sz w:val="18"/>
        </w:rPr>
        <w:tab/>
      </w:r>
      <w:r>
        <w:rPr>
          <w:rFonts w:ascii="Verdana"/>
          <w:spacing w:val="-5"/>
          <w:sz w:val="18"/>
        </w:rPr>
        <w:t>135</w:t>
      </w:r>
    </w:p>
    <w:p>
      <w:pPr>
        <w:pStyle w:val="BodyText"/>
        <w:spacing w:line="261" w:lineRule="auto" w:before="199"/>
        <w:ind w:right="1438"/>
        <w:jc w:val="both"/>
      </w:pPr>
      <w:r>
        <w:rPr/>
        <w:t>eventual mental collapse suggests the destructive consequences of aligning</w:t>
      </w:r>
      <w:r>
        <w:rPr>
          <w:spacing w:val="40"/>
        </w:rPr>
        <w:t> </w:t>
      </w:r>
      <w:r>
        <w:rPr/>
        <w:t>with</w:t>
      </w:r>
      <w:r>
        <w:rPr>
          <w:spacing w:val="40"/>
        </w:rPr>
        <w:t> </w:t>
      </w:r>
      <w:r>
        <w:rPr/>
        <w:t>systems</w:t>
      </w:r>
      <w:r>
        <w:rPr>
          <w:spacing w:val="40"/>
        </w:rPr>
        <w:t> </w:t>
      </w:r>
      <w:r>
        <w:rPr/>
        <w:t>of</w:t>
      </w:r>
      <w:r>
        <w:rPr>
          <w:spacing w:val="40"/>
        </w:rPr>
        <w:t> </w:t>
      </w:r>
      <w:r>
        <w:rPr/>
        <w:t>domination</w:t>
      </w:r>
      <w:r>
        <w:rPr>
          <w:spacing w:val="40"/>
        </w:rPr>
        <w:t> </w:t>
      </w:r>
      <w:r>
        <w:rPr/>
        <w:t>and</w:t>
      </w:r>
      <w:r>
        <w:rPr>
          <w:spacing w:val="40"/>
        </w:rPr>
        <w:t> </w:t>
      </w:r>
      <w:r>
        <w:rPr/>
        <w:t>control.</w:t>
      </w:r>
    </w:p>
    <w:p>
      <w:pPr>
        <w:pStyle w:val="BodyText"/>
        <w:spacing w:line="249" w:lineRule="auto" w:before="49"/>
        <w:ind w:right="1439" w:firstLine="432"/>
        <w:jc w:val="both"/>
      </w:pPr>
      <w:r>
        <w:rPr/>
        <w:t>In</w:t>
      </w:r>
      <w:r>
        <w:rPr>
          <w:spacing w:val="-9"/>
        </w:rPr>
        <w:t> </w:t>
      </w:r>
      <w:r>
        <w:rPr/>
        <w:t>A</w:t>
      </w:r>
      <w:r>
        <w:rPr>
          <w:spacing w:val="-13"/>
        </w:rPr>
        <w:t> </w:t>
      </w:r>
      <w:r>
        <w:rPr/>
        <w:t>Midsummer Night’s</w:t>
      </w:r>
      <w:r>
        <w:rPr>
          <w:spacing w:val="-1"/>
        </w:rPr>
        <w:t> </w:t>
      </w:r>
      <w:r>
        <w:rPr/>
        <w:t>Dream, the</w:t>
      </w:r>
      <w:r>
        <w:rPr>
          <w:spacing w:val="-1"/>
        </w:rPr>
        <w:t> </w:t>
      </w:r>
      <w:r>
        <w:rPr/>
        <w:t>conflict between</w:t>
      </w:r>
      <w:r>
        <w:rPr>
          <w:spacing w:val="-4"/>
        </w:rPr>
        <w:t> </w:t>
      </w:r>
      <w:r>
        <w:rPr/>
        <w:t>Titania and Oberon results in ecological imbalance, causing floods and failed harvests.</w:t>
      </w:r>
      <w:r>
        <w:rPr>
          <w:spacing w:val="-5"/>
        </w:rPr>
        <w:t> </w:t>
      </w:r>
      <w:r>
        <w:rPr/>
        <w:t>Titania,</w:t>
      </w:r>
      <w:r>
        <w:rPr>
          <w:spacing w:val="-5"/>
        </w:rPr>
        <w:t> </w:t>
      </w:r>
      <w:r>
        <w:rPr/>
        <w:t>associated</w:t>
      </w:r>
      <w:r>
        <w:rPr>
          <w:spacing w:val="-3"/>
        </w:rPr>
        <w:t> </w:t>
      </w:r>
      <w:r>
        <w:rPr/>
        <w:t>with</w:t>
      </w:r>
      <w:r>
        <w:rPr>
          <w:spacing w:val="-7"/>
        </w:rPr>
        <w:t> </w:t>
      </w:r>
      <w:r>
        <w:rPr/>
        <w:t>fertility</w:t>
      </w:r>
      <w:r>
        <w:rPr>
          <w:spacing w:val="-9"/>
        </w:rPr>
        <w:t> </w:t>
      </w:r>
      <w:r>
        <w:rPr/>
        <w:t>and</w:t>
      </w:r>
      <w:r>
        <w:rPr>
          <w:spacing w:val="-3"/>
        </w:rPr>
        <w:t> </w:t>
      </w:r>
      <w:r>
        <w:rPr/>
        <w:t>nature,</w:t>
      </w:r>
      <w:r>
        <w:rPr>
          <w:spacing w:val="-3"/>
        </w:rPr>
        <w:t> </w:t>
      </w:r>
      <w:r>
        <w:rPr/>
        <w:t>becomes</w:t>
      </w:r>
      <w:r>
        <w:rPr>
          <w:spacing w:val="-7"/>
        </w:rPr>
        <w:t> </w:t>
      </w:r>
      <w:r>
        <w:rPr/>
        <w:t>a</w:t>
      </w:r>
      <w:r>
        <w:rPr>
          <w:spacing w:val="-6"/>
        </w:rPr>
        <w:t> </w:t>
      </w:r>
      <w:r>
        <w:rPr/>
        <w:t>symbol of the natural world itself. Oberon’s attempt to dominate her reflects patriarchal authority over both women and the environment. The restoration of harmony at the end of the play reinforces the ecofeminist idea that balance and mutual respect are essential for both social and ecological</w:t>
      </w:r>
      <w:r>
        <w:rPr>
          <w:spacing w:val="-13"/>
        </w:rPr>
        <w:t> </w:t>
      </w:r>
      <w:r>
        <w:rPr/>
        <w:t>well-being.</w:t>
      </w:r>
    </w:p>
    <w:p>
      <w:pPr>
        <w:pStyle w:val="BodyText"/>
        <w:spacing w:line="249" w:lineRule="auto" w:before="66"/>
        <w:ind w:right="1439" w:firstLine="432"/>
        <w:jc w:val="both"/>
      </w:pPr>
      <w:r>
        <w:rPr/>
        <w:t>In</w:t>
      </w:r>
      <w:r>
        <w:rPr>
          <w:spacing w:val="-1"/>
        </w:rPr>
        <w:t> </w:t>
      </w:r>
      <w:r>
        <w:rPr/>
        <w:t>The Tempest, ecofeminist concerns emerge through Prospero’s control over the island and its inhabitants. His manipulation of natural forces and domination over Miranda and Caliban reflect hierarchical power structures. Miranda’s association with innocence and natural purity highlights the connection between women and nature, both of which are subjected to male authority. The play</w:t>
      </w:r>
      <w:r>
        <w:rPr>
          <w:spacing w:val="-1"/>
        </w:rPr>
        <w:t> </w:t>
      </w:r>
      <w:r>
        <w:rPr/>
        <w:t>ultimately suggests the need for reconciliation and</w:t>
      </w:r>
      <w:r>
        <w:rPr>
          <w:spacing w:val="40"/>
        </w:rPr>
        <w:t> </w:t>
      </w:r>
      <w:r>
        <w:rPr/>
        <w:t>ethical responsibility.</w:t>
      </w:r>
    </w:p>
    <w:p>
      <w:pPr>
        <w:pStyle w:val="BodyText"/>
        <w:spacing w:line="249" w:lineRule="auto" w:before="64"/>
        <w:ind w:right="1437" w:firstLine="432"/>
        <w:jc w:val="both"/>
      </w:pPr>
      <w:r>
        <w:rPr/>
        <w:t>While</w:t>
      </w:r>
      <w:r>
        <w:rPr>
          <w:spacing w:val="-13"/>
        </w:rPr>
        <w:t> </w:t>
      </w:r>
      <w:r>
        <w:rPr/>
        <w:t>Shakespeare’s</w:t>
      </w:r>
      <w:r>
        <w:rPr>
          <w:spacing w:val="-12"/>
        </w:rPr>
        <w:t> </w:t>
      </w:r>
      <w:r>
        <w:rPr/>
        <w:t>works</w:t>
      </w:r>
      <w:r>
        <w:rPr>
          <w:spacing w:val="-13"/>
        </w:rPr>
        <w:t> </w:t>
      </w:r>
      <w:r>
        <w:rPr/>
        <w:t>present</w:t>
      </w:r>
      <w:r>
        <w:rPr>
          <w:spacing w:val="-12"/>
        </w:rPr>
        <w:t> </w:t>
      </w:r>
      <w:r>
        <w:rPr/>
        <w:t>ecofeminist</w:t>
      </w:r>
      <w:r>
        <w:rPr>
          <w:spacing w:val="-13"/>
        </w:rPr>
        <w:t> </w:t>
      </w:r>
      <w:r>
        <w:rPr/>
        <w:t>ideas</w:t>
      </w:r>
      <w:r>
        <w:rPr>
          <w:spacing w:val="-12"/>
        </w:rPr>
        <w:t> </w:t>
      </w:r>
      <w:r>
        <w:rPr/>
        <w:t>in</w:t>
      </w:r>
      <w:r>
        <w:rPr>
          <w:spacing w:val="-13"/>
        </w:rPr>
        <w:t> </w:t>
      </w:r>
      <w:r>
        <w:rPr/>
        <w:t>a</w:t>
      </w:r>
      <w:r>
        <w:rPr>
          <w:spacing w:val="-12"/>
        </w:rPr>
        <w:t> </w:t>
      </w:r>
      <w:r>
        <w:rPr/>
        <w:t>symbolic manner,</w:t>
      </w:r>
      <w:r>
        <w:rPr>
          <w:spacing w:val="-10"/>
        </w:rPr>
        <w:t> </w:t>
      </w:r>
      <w:r>
        <w:rPr/>
        <w:t>the</w:t>
      </w:r>
      <w:r>
        <w:rPr>
          <w:spacing w:val="-4"/>
        </w:rPr>
        <w:t> </w:t>
      </w:r>
      <w:r>
        <w:rPr/>
        <w:t>writings</w:t>
      </w:r>
      <w:r>
        <w:rPr>
          <w:spacing w:val="-8"/>
        </w:rPr>
        <w:t> </w:t>
      </w:r>
      <w:r>
        <w:rPr/>
        <w:t>of</w:t>
      </w:r>
      <w:r>
        <w:rPr>
          <w:spacing w:val="-13"/>
        </w:rPr>
        <w:t> </w:t>
      </w:r>
      <w:r>
        <w:rPr/>
        <w:t>Amitav</w:t>
      </w:r>
      <w:r>
        <w:rPr>
          <w:spacing w:val="-7"/>
        </w:rPr>
        <w:t> </w:t>
      </w:r>
      <w:r>
        <w:rPr/>
        <w:t>Ghosh</w:t>
      </w:r>
      <w:r>
        <w:rPr>
          <w:spacing w:val="-6"/>
        </w:rPr>
        <w:t> </w:t>
      </w:r>
      <w:r>
        <w:rPr/>
        <w:t>engage</w:t>
      </w:r>
      <w:r>
        <w:rPr>
          <w:spacing w:val="-7"/>
        </w:rPr>
        <w:t> </w:t>
      </w:r>
      <w:r>
        <w:rPr/>
        <w:t>with</w:t>
      </w:r>
      <w:r>
        <w:rPr>
          <w:spacing w:val="-6"/>
        </w:rPr>
        <w:t> </w:t>
      </w:r>
      <w:r>
        <w:rPr/>
        <w:t>these</w:t>
      </w:r>
      <w:r>
        <w:rPr>
          <w:spacing w:val="-8"/>
        </w:rPr>
        <w:t> </w:t>
      </w:r>
      <w:r>
        <w:rPr/>
        <w:t>concerns</w:t>
      </w:r>
      <w:r>
        <w:rPr>
          <w:spacing w:val="-5"/>
        </w:rPr>
        <w:t> </w:t>
      </w:r>
      <w:r>
        <w:rPr/>
        <w:t>more directly</w:t>
      </w:r>
      <w:r>
        <w:rPr>
          <w:spacing w:val="-13"/>
        </w:rPr>
        <w:t> </w:t>
      </w:r>
      <w:r>
        <w:rPr/>
        <w:t>and</w:t>
      </w:r>
      <w:r>
        <w:rPr>
          <w:spacing w:val="-12"/>
        </w:rPr>
        <w:t> </w:t>
      </w:r>
      <w:r>
        <w:rPr/>
        <w:t>explicitly.</w:t>
      </w:r>
      <w:r>
        <w:rPr>
          <w:spacing w:val="-13"/>
        </w:rPr>
        <w:t> </w:t>
      </w:r>
      <w:r>
        <w:rPr/>
        <w:t>Ghosh’s</w:t>
      </w:r>
      <w:r>
        <w:rPr>
          <w:spacing w:val="-12"/>
        </w:rPr>
        <w:t> </w:t>
      </w:r>
      <w:r>
        <w:rPr/>
        <w:t>works</w:t>
      </w:r>
      <w:r>
        <w:rPr>
          <w:spacing w:val="-13"/>
        </w:rPr>
        <w:t> </w:t>
      </w:r>
      <w:r>
        <w:rPr/>
        <w:t>are</w:t>
      </w:r>
      <w:r>
        <w:rPr>
          <w:spacing w:val="-12"/>
        </w:rPr>
        <w:t> </w:t>
      </w:r>
      <w:r>
        <w:rPr/>
        <w:t>deeply</w:t>
      </w:r>
      <w:r>
        <w:rPr>
          <w:spacing w:val="-13"/>
        </w:rPr>
        <w:t> </w:t>
      </w:r>
      <w:r>
        <w:rPr/>
        <w:t>rooted</w:t>
      </w:r>
      <w:r>
        <w:rPr>
          <w:spacing w:val="-12"/>
        </w:rPr>
        <w:t> </w:t>
      </w:r>
      <w:r>
        <w:rPr/>
        <w:t>in</w:t>
      </w:r>
      <w:r>
        <w:rPr>
          <w:spacing w:val="-13"/>
        </w:rPr>
        <w:t> </w:t>
      </w:r>
      <w:r>
        <w:rPr/>
        <w:t>contemporary ecological crises, particularly climate change, and highlight the experiences of marginalized communities, especially women.</w:t>
      </w:r>
    </w:p>
    <w:p>
      <w:pPr>
        <w:pStyle w:val="BodyText"/>
        <w:spacing w:line="249" w:lineRule="auto" w:before="61"/>
        <w:ind w:right="1436" w:firstLine="432"/>
        <w:jc w:val="both"/>
      </w:pPr>
      <w:r>
        <w:rPr/>
        <w:t>In The Hungry Tide, the Sundarbans ecosystem plays a central role in shaping the narrative. The region is prone to natural disasters such as cyclones and tidal floods, which profoundly affect the lives of its inhabitants. From an ecofeminist perspective, the novel highlights how women, especially those from marginalized backgrounds, are disproportionately affected by environmental crises. Kusum’s story reflects</w:t>
      </w:r>
      <w:r>
        <w:rPr>
          <w:spacing w:val="-5"/>
        </w:rPr>
        <w:t> </w:t>
      </w:r>
      <w:r>
        <w:rPr/>
        <w:t>the</w:t>
      </w:r>
      <w:r>
        <w:rPr>
          <w:spacing w:val="-7"/>
        </w:rPr>
        <w:t> </w:t>
      </w:r>
      <w:r>
        <w:rPr/>
        <w:t>intersection</w:t>
      </w:r>
      <w:r>
        <w:rPr>
          <w:spacing w:val="-5"/>
        </w:rPr>
        <w:t> </w:t>
      </w:r>
      <w:r>
        <w:rPr/>
        <w:t>of</w:t>
      </w:r>
      <w:r>
        <w:rPr>
          <w:spacing w:val="-5"/>
        </w:rPr>
        <w:t> </w:t>
      </w:r>
      <w:r>
        <w:rPr/>
        <w:t>gender,</w:t>
      </w:r>
      <w:r>
        <w:rPr>
          <w:spacing w:val="-5"/>
        </w:rPr>
        <w:t> </w:t>
      </w:r>
      <w:r>
        <w:rPr/>
        <w:t>class,</w:t>
      </w:r>
      <w:r>
        <w:rPr>
          <w:spacing w:val="-4"/>
        </w:rPr>
        <w:t> </w:t>
      </w:r>
      <w:r>
        <w:rPr/>
        <w:t>and</w:t>
      </w:r>
      <w:r>
        <w:rPr>
          <w:spacing w:val="-2"/>
        </w:rPr>
        <w:t> </w:t>
      </w:r>
      <w:r>
        <w:rPr/>
        <w:t>ecological</w:t>
      </w:r>
      <w:r>
        <w:rPr>
          <w:spacing w:val="-6"/>
        </w:rPr>
        <w:t> </w:t>
      </w:r>
      <w:r>
        <w:rPr/>
        <w:t>vulnerability,</w:t>
      </w:r>
      <w:r>
        <w:rPr>
          <w:spacing w:val="-4"/>
        </w:rPr>
        <w:t> </w:t>
      </w:r>
      <w:r>
        <w:rPr/>
        <w:t>as she</w:t>
      </w:r>
      <w:r>
        <w:rPr>
          <w:spacing w:val="40"/>
        </w:rPr>
        <w:t> </w:t>
      </w:r>
      <w:r>
        <w:rPr/>
        <w:t>struggles</w:t>
      </w:r>
      <w:r>
        <w:rPr>
          <w:spacing w:val="40"/>
        </w:rPr>
        <w:t> </w:t>
      </w:r>
      <w:r>
        <w:rPr/>
        <w:t>against</w:t>
      </w:r>
      <w:r>
        <w:rPr>
          <w:spacing w:val="40"/>
        </w:rPr>
        <w:t> </w:t>
      </w:r>
      <w:r>
        <w:rPr/>
        <w:t>displacement</w:t>
      </w:r>
      <w:r>
        <w:rPr>
          <w:spacing w:val="40"/>
        </w:rPr>
        <w:t> </w:t>
      </w:r>
      <w:r>
        <w:rPr/>
        <w:t>and</w:t>
      </w:r>
      <w:r>
        <w:rPr>
          <w:spacing w:val="40"/>
        </w:rPr>
        <w:t> </w:t>
      </w:r>
      <w:r>
        <w:rPr/>
        <w:t>political</w:t>
      </w:r>
      <w:r>
        <w:rPr>
          <w:spacing w:val="40"/>
        </w:rPr>
        <w:t> </w:t>
      </w:r>
      <w:r>
        <w:rPr/>
        <w:t>neglect.</w:t>
      </w:r>
    </w:p>
    <w:p>
      <w:pPr>
        <w:pStyle w:val="BodyText"/>
        <w:spacing w:line="249" w:lineRule="auto" w:before="64"/>
        <w:ind w:right="1441" w:firstLine="432"/>
        <w:jc w:val="both"/>
      </w:pPr>
      <w:r>
        <w:rPr/>
        <w:t>At the same time, the character of Piya represents an alternative ethical approach to nature.</w:t>
      </w:r>
      <w:r>
        <w:rPr>
          <w:spacing w:val="-4"/>
        </w:rPr>
        <w:t> </w:t>
      </w:r>
      <w:r>
        <w:rPr/>
        <w:t>As a marine biologist, she engages with the environment through care, respect, and scientific understanding. Her relationship with nature contrasts with exploitative attitudes and aligns with</w:t>
      </w:r>
      <w:r>
        <w:rPr>
          <w:spacing w:val="40"/>
        </w:rPr>
        <w:t> </w:t>
      </w:r>
      <w:r>
        <w:rPr/>
        <w:t>ecofeminist</w:t>
      </w:r>
      <w:r>
        <w:rPr>
          <w:spacing w:val="40"/>
        </w:rPr>
        <w:t> </w:t>
      </w:r>
      <w:r>
        <w:rPr/>
        <w:t>values of</w:t>
      </w:r>
      <w:r>
        <w:rPr>
          <w:spacing w:val="40"/>
        </w:rPr>
        <w:t> </w:t>
      </w:r>
      <w:r>
        <w:rPr/>
        <w:t>coexistence</w:t>
      </w:r>
      <w:r>
        <w:rPr>
          <w:spacing w:val="40"/>
        </w:rPr>
        <w:t> </w:t>
      </w:r>
      <w:r>
        <w:rPr/>
        <w:t>and</w:t>
      </w:r>
      <w:r>
        <w:rPr>
          <w:spacing w:val="40"/>
        </w:rPr>
        <w:t> </w:t>
      </w:r>
      <w:r>
        <w:rPr/>
        <w:t>responsibility.</w:t>
      </w:r>
    </w:p>
    <w:p>
      <w:pPr>
        <w:pStyle w:val="BodyText"/>
        <w:spacing w:line="249" w:lineRule="auto" w:before="62"/>
        <w:ind w:right="1440" w:firstLine="432"/>
        <w:jc w:val="both"/>
      </w:pPr>
      <w:r>
        <w:rPr/>
        <w:t>In Gun Island, Ghosh expands ecofeminist concerns to a global </w:t>
      </w:r>
      <w:r>
        <w:rPr>
          <w:spacing w:val="-2"/>
        </w:rPr>
        <w:t>scale</w:t>
      </w:r>
      <w:r>
        <w:rPr>
          <w:spacing w:val="-7"/>
        </w:rPr>
        <w:t> </w:t>
      </w:r>
      <w:r>
        <w:rPr>
          <w:spacing w:val="-2"/>
        </w:rPr>
        <w:t>by</w:t>
      </w:r>
      <w:r>
        <w:rPr>
          <w:spacing w:val="-11"/>
        </w:rPr>
        <w:t> </w:t>
      </w:r>
      <w:r>
        <w:rPr>
          <w:spacing w:val="-2"/>
        </w:rPr>
        <w:t>linking</w:t>
      </w:r>
      <w:r>
        <w:rPr>
          <w:spacing w:val="-7"/>
        </w:rPr>
        <w:t> </w:t>
      </w:r>
      <w:r>
        <w:rPr>
          <w:spacing w:val="-2"/>
        </w:rPr>
        <w:t>climate</w:t>
      </w:r>
      <w:r>
        <w:rPr>
          <w:spacing w:val="-6"/>
        </w:rPr>
        <w:t> </w:t>
      </w:r>
      <w:r>
        <w:rPr>
          <w:spacing w:val="-2"/>
        </w:rPr>
        <w:t>change</w:t>
      </w:r>
      <w:r>
        <w:rPr>
          <w:spacing w:val="-6"/>
        </w:rPr>
        <w:t> </w:t>
      </w:r>
      <w:r>
        <w:rPr>
          <w:spacing w:val="-2"/>
        </w:rPr>
        <w:t>with</w:t>
      </w:r>
      <w:r>
        <w:rPr>
          <w:spacing w:val="-8"/>
        </w:rPr>
        <w:t> </w:t>
      </w:r>
      <w:r>
        <w:rPr>
          <w:spacing w:val="-2"/>
        </w:rPr>
        <w:t>migration</w:t>
      </w:r>
      <w:r>
        <w:rPr>
          <w:spacing w:val="-8"/>
        </w:rPr>
        <w:t> </w:t>
      </w:r>
      <w:r>
        <w:rPr>
          <w:spacing w:val="-2"/>
        </w:rPr>
        <w:t>and</w:t>
      </w:r>
      <w:r>
        <w:rPr>
          <w:spacing w:val="-6"/>
        </w:rPr>
        <w:t> </w:t>
      </w:r>
      <w:r>
        <w:rPr>
          <w:spacing w:val="-2"/>
        </w:rPr>
        <w:t>cultural</w:t>
      </w:r>
      <w:r>
        <w:rPr>
          <w:spacing w:val="-7"/>
        </w:rPr>
        <w:t> </w:t>
      </w:r>
      <w:r>
        <w:rPr>
          <w:spacing w:val="-2"/>
        </w:rPr>
        <w:t>displacement. </w:t>
      </w:r>
      <w:r>
        <w:rPr/>
        <w:t>Environmental disasters such as rising sea levels and extreme weather </w:t>
      </w:r>
      <w:r>
        <w:rPr>
          <w:spacing w:val="-2"/>
        </w:rPr>
        <w:t>events</w:t>
      </w:r>
      <w:r>
        <w:rPr>
          <w:spacing w:val="-8"/>
        </w:rPr>
        <w:t> </w:t>
      </w:r>
      <w:r>
        <w:rPr>
          <w:spacing w:val="-2"/>
        </w:rPr>
        <w:t>force</w:t>
      </w:r>
      <w:r>
        <w:rPr>
          <w:spacing w:val="-5"/>
        </w:rPr>
        <w:t> </w:t>
      </w:r>
      <w:r>
        <w:rPr>
          <w:spacing w:val="-2"/>
        </w:rPr>
        <w:t>communities</w:t>
      </w:r>
      <w:r>
        <w:rPr>
          <w:spacing w:val="-13"/>
        </w:rPr>
        <w:t> </w:t>
      </w:r>
      <w:r>
        <w:rPr>
          <w:spacing w:val="-2"/>
        </w:rPr>
        <w:t>to</w:t>
      </w:r>
      <w:r>
        <w:rPr>
          <w:spacing w:val="-5"/>
        </w:rPr>
        <w:t> </w:t>
      </w:r>
      <w:r>
        <w:rPr>
          <w:spacing w:val="-2"/>
        </w:rPr>
        <w:t>relocate,</w:t>
      </w:r>
      <w:r>
        <w:rPr>
          <w:spacing w:val="-7"/>
        </w:rPr>
        <w:t> </w:t>
      </w:r>
      <w:r>
        <w:rPr>
          <w:spacing w:val="-2"/>
        </w:rPr>
        <w:t>creating</w:t>
      </w:r>
      <w:r>
        <w:rPr>
          <w:spacing w:val="-8"/>
        </w:rPr>
        <w:t> </w:t>
      </w:r>
      <w:r>
        <w:rPr>
          <w:spacing w:val="-2"/>
        </w:rPr>
        <w:t>new</w:t>
      </w:r>
      <w:r>
        <w:rPr>
          <w:spacing w:val="-14"/>
        </w:rPr>
        <w:t> </w:t>
      </w:r>
      <w:r>
        <w:rPr>
          <w:spacing w:val="-2"/>
        </w:rPr>
        <w:t>forms</w:t>
      </w:r>
      <w:r>
        <w:rPr>
          <w:spacing w:val="-8"/>
        </w:rPr>
        <w:t> </w:t>
      </w:r>
      <w:r>
        <w:rPr>
          <w:spacing w:val="-2"/>
        </w:rPr>
        <w:t>of</w:t>
      </w:r>
      <w:r>
        <w:rPr>
          <w:spacing w:val="-8"/>
        </w:rPr>
        <w:t> </w:t>
      </w:r>
      <w:r>
        <w:rPr>
          <w:spacing w:val="-2"/>
        </w:rPr>
        <w:t>vulnerability.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3552">
                <wp:simplePos x="0" y="0"/>
                <wp:positionH relativeFrom="page">
                  <wp:posOffset>2057400</wp:posOffset>
                </wp:positionH>
                <wp:positionV relativeFrom="paragraph">
                  <wp:posOffset>162604</wp:posOffset>
                </wp:positionV>
                <wp:extent cx="3657600" cy="12700"/>
                <wp:effectExtent l="0" t="0" r="0" b="0"/>
                <wp:wrapTopAndBottom/>
                <wp:docPr id="361" name="Graphic 361"/>
                <wp:cNvGraphicFramePr>
                  <a:graphicFrameLocks/>
                </wp:cNvGraphicFramePr>
                <a:graphic>
                  <a:graphicData uri="http://schemas.microsoft.com/office/word/2010/wordprocessingShape">
                    <wps:wsp>
                      <wps:cNvPr id="361" name="Graphic 36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12928;mso-wrap-distance-left:0;mso-wrap-distance-right:0" id="docshape357" filled="true" fillcolor="#000000" stroked="false">
                <v:fill type="solid"/>
                <w10:wrap type="topAndBottom"/>
              </v:rect>
            </w:pict>
          </mc:Fallback>
        </mc:AlternateContent>
      </w:r>
      <w:r>
        <w:rPr>
          <w:rFonts w:ascii="Verdana"/>
          <w:spacing w:val="-5"/>
          <w:sz w:val="18"/>
        </w:rPr>
        <w:t>136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Women often face additional challenges in these situations, including economic insecurity and social marginalization. However, Ghosh also portrays</w:t>
      </w:r>
      <w:r>
        <w:rPr>
          <w:spacing w:val="-2"/>
        </w:rPr>
        <w:t> </w:t>
      </w:r>
      <w:r>
        <w:rPr/>
        <w:t>them</w:t>
      </w:r>
      <w:r>
        <w:rPr>
          <w:spacing w:val="-3"/>
        </w:rPr>
        <w:t> </w:t>
      </w:r>
      <w:r>
        <w:rPr/>
        <w:t>as</w:t>
      </w:r>
      <w:r>
        <w:rPr>
          <w:spacing w:val="-4"/>
        </w:rPr>
        <w:t> </w:t>
      </w:r>
      <w:r>
        <w:rPr/>
        <w:t>resilient</w:t>
      </w:r>
      <w:r>
        <w:rPr>
          <w:spacing w:val="-2"/>
        </w:rPr>
        <w:t> </w:t>
      </w:r>
      <w:r>
        <w:rPr/>
        <w:t>and adaptable,</w:t>
      </w:r>
      <w:r>
        <w:rPr>
          <w:spacing w:val="-2"/>
        </w:rPr>
        <w:t> </w:t>
      </w:r>
      <w:r>
        <w:rPr/>
        <w:t>capable</w:t>
      </w:r>
      <w:r>
        <w:rPr>
          <w:spacing w:val="-1"/>
        </w:rPr>
        <w:t> </w:t>
      </w:r>
      <w:r>
        <w:rPr/>
        <w:t>of navigating</w:t>
      </w:r>
      <w:r>
        <w:rPr>
          <w:spacing w:val="-4"/>
        </w:rPr>
        <w:t> </w:t>
      </w:r>
      <w:r>
        <w:rPr/>
        <w:t>complex global realities.</w:t>
      </w:r>
    </w:p>
    <w:p>
      <w:pPr>
        <w:pStyle w:val="BodyText"/>
        <w:spacing w:line="249" w:lineRule="auto" w:before="61"/>
        <w:ind w:right="1436" w:firstLine="432"/>
        <w:jc w:val="both"/>
      </w:pPr>
      <w:r>
        <w:rPr/>
        <w:t>Ghosh’s non-fiction work, The Great Derangement, further reinforces ecofeminist ethics by critiquing modern society’s failure to respond effectively to the climate crisis. He challenges dominant narratives</w:t>
      </w:r>
      <w:r>
        <w:rPr>
          <w:spacing w:val="-6"/>
        </w:rPr>
        <w:t> </w:t>
      </w:r>
      <w:r>
        <w:rPr/>
        <w:t>that</w:t>
      </w:r>
      <w:r>
        <w:rPr>
          <w:spacing w:val="-7"/>
        </w:rPr>
        <w:t> </w:t>
      </w:r>
      <w:r>
        <w:rPr/>
        <w:t>prioritize</w:t>
      </w:r>
      <w:r>
        <w:rPr>
          <w:spacing w:val="-4"/>
        </w:rPr>
        <w:t> </w:t>
      </w:r>
      <w:r>
        <w:rPr/>
        <w:t>economic</w:t>
      </w:r>
      <w:r>
        <w:rPr>
          <w:spacing w:val="-7"/>
        </w:rPr>
        <w:t> </w:t>
      </w:r>
      <w:r>
        <w:rPr/>
        <w:t>growth</w:t>
      </w:r>
      <w:r>
        <w:rPr>
          <w:spacing w:val="-4"/>
        </w:rPr>
        <w:t> </w:t>
      </w:r>
      <w:r>
        <w:rPr/>
        <w:t>over</w:t>
      </w:r>
      <w:r>
        <w:rPr>
          <w:spacing w:val="-6"/>
        </w:rPr>
        <w:t> </w:t>
      </w:r>
      <w:r>
        <w:rPr/>
        <w:t>ecological</w:t>
      </w:r>
      <w:r>
        <w:rPr>
          <w:spacing w:val="-5"/>
        </w:rPr>
        <w:t> </w:t>
      </w:r>
      <w:r>
        <w:rPr/>
        <w:t>sustainability and calls for a more ethical and imaginative engagement with environmental</w:t>
      </w:r>
      <w:r>
        <w:rPr>
          <w:spacing w:val="40"/>
        </w:rPr>
        <w:t> </w:t>
      </w:r>
      <w:r>
        <w:rPr/>
        <w:t>issues.</w:t>
      </w:r>
    </w:p>
    <w:p>
      <w:pPr>
        <w:pStyle w:val="BodyText"/>
        <w:spacing w:line="249" w:lineRule="auto" w:before="63"/>
        <w:ind w:right="1440" w:firstLine="432"/>
        <w:jc w:val="both"/>
      </w:pPr>
      <w:r>
        <w:rPr/>
        <w:t>A comparative analysis of Shakespeare and Ghosh reveals both similarities and differences in their treatment of ecofeminist themes. Shakespeare’s works reflect early insights into the connection between human actions and natural consequences, often using symbolism to explore</w:t>
      </w:r>
      <w:r>
        <w:rPr>
          <w:spacing w:val="23"/>
        </w:rPr>
        <w:t> </w:t>
      </w:r>
      <w:r>
        <w:rPr/>
        <w:t>these</w:t>
      </w:r>
      <w:r>
        <w:rPr>
          <w:spacing w:val="23"/>
        </w:rPr>
        <w:t> </w:t>
      </w:r>
      <w:r>
        <w:rPr/>
        <w:t>ideas.</w:t>
      </w:r>
      <w:r>
        <w:rPr>
          <w:spacing w:val="21"/>
        </w:rPr>
        <w:t> </w:t>
      </w:r>
      <w:r>
        <w:rPr/>
        <w:t>Ghosh,</w:t>
      </w:r>
      <w:r>
        <w:rPr>
          <w:spacing w:val="22"/>
        </w:rPr>
        <w:t> </w:t>
      </w:r>
      <w:r>
        <w:rPr/>
        <w:t>on</w:t>
      </w:r>
      <w:r>
        <w:rPr>
          <w:spacing w:val="21"/>
        </w:rPr>
        <w:t> </w:t>
      </w:r>
      <w:r>
        <w:rPr/>
        <w:t>the</w:t>
      </w:r>
      <w:r>
        <w:rPr>
          <w:spacing w:val="23"/>
        </w:rPr>
        <w:t> </w:t>
      </w:r>
      <w:r>
        <w:rPr/>
        <w:t>other</w:t>
      </w:r>
      <w:r>
        <w:rPr>
          <w:spacing w:val="23"/>
        </w:rPr>
        <w:t> </w:t>
      </w:r>
      <w:r>
        <w:rPr/>
        <w:t>hand,</w:t>
      </w:r>
      <w:r>
        <w:rPr>
          <w:spacing w:val="21"/>
        </w:rPr>
        <w:t> </w:t>
      </w:r>
      <w:r>
        <w:rPr/>
        <w:t>addresses</w:t>
      </w:r>
      <w:r>
        <w:rPr>
          <w:spacing w:val="21"/>
        </w:rPr>
        <w:t> </w:t>
      </w:r>
      <w:r>
        <w:rPr/>
        <w:t>these</w:t>
      </w:r>
      <w:r>
        <w:rPr>
          <w:spacing w:val="23"/>
        </w:rPr>
        <w:t> </w:t>
      </w:r>
      <w:r>
        <w:rPr/>
        <w:t>issues in</w:t>
      </w:r>
      <w:r>
        <w:rPr>
          <w:spacing w:val="-8"/>
        </w:rPr>
        <w:t> </w:t>
      </w:r>
      <w:r>
        <w:rPr/>
        <w:t>a</w:t>
      </w:r>
      <w:r>
        <w:rPr>
          <w:spacing w:val="-4"/>
        </w:rPr>
        <w:t> </w:t>
      </w:r>
      <w:r>
        <w:rPr/>
        <w:t>contemporary</w:t>
      </w:r>
      <w:r>
        <w:rPr>
          <w:spacing w:val="-10"/>
        </w:rPr>
        <w:t> </w:t>
      </w:r>
      <w:r>
        <w:rPr/>
        <w:t>context,</w:t>
      </w:r>
      <w:r>
        <w:rPr>
          <w:spacing w:val="-6"/>
        </w:rPr>
        <w:t> </w:t>
      </w:r>
      <w:r>
        <w:rPr/>
        <w:t>providing</w:t>
      </w:r>
      <w:r>
        <w:rPr>
          <w:spacing w:val="-8"/>
        </w:rPr>
        <w:t> </w:t>
      </w:r>
      <w:r>
        <w:rPr/>
        <w:t>a</w:t>
      </w:r>
      <w:r>
        <w:rPr>
          <w:spacing w:val="-5"/>
        </w:rPr>
        <w:t> </w:t>
      </w:r>
      <w:r>
        <w:rPr/>
        <w:t>more</w:t>
      </w:r>
      <w:r>
        <w:rPr>
          <w:spacing w:val="-7"/>
        </w:rPr>
        <w:t> </w:t>
      </w:r>
      <w:r>
        <w:rPr/>
        <w:t>explicit</w:t>
      </w:r>
      <w:r>
        <w:rPr>
          <w:spacing w:val="-8"/>
        </w:rPr>
        <w:t> </w:t>
      </w:r>
      <w:r>
        <w:rPr/>
        <w:t>critique</w:t>
      </w:r>
      <w:r>
        <w:rPr>
          <w:spacing w:val="-3"/>
        </w:rPr>
        <w:t> </w:t>
      </w:r>
      <w:r>
        <w:rPr/>
        <w:t>of</w:t>
      </w:r>
      <w:r>
        <w:rPr>
          <w:spacing w:val="-8"/>
        </w:rPr>
        <w:t> </w:t>
      </w:r>
      <w:r>
        <w:rPr/>
        <w:t>systems that</w:t>
      </w:r>
      <w:r>
        <w:rPr>
          <w:spacing w:val="40"/>
        </w:rPr>
        <w:t> </w:t>
      </w:r>
      <w:r>
        <w:rPr/>
        <w:t>exploit</w:t>
      </w:r>
      <w:r>
        <w:rPr>
          <w:spacing w:val="40"/>
        </w:rPr>
        <w:t> </w:t>
      </w:r>
      <w:r>
        <w:rPr/>
        <w:t>both</w:t>
      </w:r>
      <w:r>
        <w:rPr>
          <w:spacing w:val="40"/>
        </w:rPr>
        <w:t> </w:t>
      </w:r>
      <w:r>
        <w:rPr/>
        <w:t>women</w:t>
      </w:r>
      <w:r>
        <w:rPr>
          <w:spacing w:val="40"/>
        </w:rPr>
        <w:t> </w:t>
      </w:r>
      <w:r>
        <w:rPr/>
        <w:t>and</w:t>
      </w:r>
      <w:r>
        <w:rPr>
          <w:spacing w:val="40"/>
        </w:rPr>
        <w:t> </w:t>
      </w:r>
      <w:r>
        <w:rPr/>
        <w:t>nature</w:t>
      </w:r>
    </w:p>
    <w:p>
      <w:pPr>
        <w:pStyle w:val="BodyText"/>
        <w:spacing w:line="252" w:lineRule="auto" w:before="63"/>
        <w:ind w:right="1438" w:firstLine="432"/>
        <w:jc w:val="both"/>
      </w:pPr>
      <w:r>
        <w:rPr/>
        <w:t>Ecofeminist ethics in the selected ecocritical works of William Shakespeare and</w:t>
      </w:r>
      <w:r>
        <w:rPr>
          <w:spacing w:val="-6"/>
        </w:rPr>
        <w:t> </w:t>
      </w:r>
      <w:r>
        <w:rPr/>
        <w:t>Amitav Ghosh highlights the deep interconnectedness of gender, power, and the environment. While Shakespeare’s plays symbolically represent the consequences of imbalance and domination, Ghosh’s</w:t>
      </w:r>
      <w:r>
        <w:rPr>
          <w:spacing w:val="-9"/>
        </w:rPr>
        <w:t> </w:t>
      </w:r>
      <w:r>
        <w:rPr/>
        <w:t>works</w:t>
      </w:r>
      <w:r>
        <w:rPr>
          <w:spacing w:val="-7"/>
        </w:rPr>
        <w:t> </w:t>
      </w:r>
      <w:r>
        <w:rPr/>
        <w:t>directly</w:t>
      </w:r>
      <w:r>
        <w:rPr>
          <w:spacing w:val="-12"/>
        </w:rPr>
        <w:t> </w:t>
      </w:r>
      <w:r>
        <w:rPr/>
        <w:t>engage</w:t>
      </w:r>
      <w:r>
        <w:rPr>
          <w:spacing w:val="-8"/>
        </w:rPr>
        <w:t> </w:t>
      </w:r>
      <w:r>
        <w:rPr/>
        <w:t>with</w:t>
      </w:r>
      <w:r>
        <w:rPr>
          <w:spacing w:val="-9"/>
        </w:rPr>
        <w:t> </w:t>
      </w:r>
      <w:r>
        <w:rPr/>
        <w:t>the</w:t>
      </w:r>
      <w:r>
        <w:rPr>
          <w:spacing w:val="-6"/>
        </w:rPr>
        <w:t> </w:t>
      </w:r>
      <w:r>
        <w:rPr/>
        <w:t>realities</w:t>
      </w:r>
      <w:r>
        <w:rPr>
          <w:spacing w:val="-9"/>
        </w:rPr>
        <w:t> </w:t>
      </w:r>
      <w:r>
        <w:rPr/>
        <w:t>of</w:t>
      </w:r>
      <w:r>
        <w:rPr>
          <w:spacing w:val="-9"/>
        </w:rPr>
        <w:t> </w:t>
      </w:r>
      <w:r>
        <w:rPr/>
        <w:t>ecological</w:t>
      </w:r>
      <w:r>
        <w:rPr>
          <w:spacing w:val="-6"/>
        </w:rPr>
        <w:t> </w:t>
      </w:r>
      <w:r>
        <w:rPr/>
        <w:t>crises</w:t>
      </w:r>
      <w:r>
        <w:rPr>
          <w:spacing w:val="-9"/>
        </w:rPr>
        <w:t> </w:t>
      </w:r>
      <w:r>
        <w:rPr/>
        <w:t>and social injustice. Together, they offer valuable insights into the need for a more compassionate, sustainable, and equitable relationship between humans</w:t>
      </w:r>
      <w:r>
        <w:rPr>
          <w:spacing w:val="40"/>
        </w:rPr>
        <w:t> </w:t>
      </w:r>
      <w:r>
        <w:rPr/>
        <w:t>and</w:t>
      </w:r>
      <w:r>
        <w:rPr>
          <w:spacing w:val="40"/>
        </w:rPr>
        <w:t> </w:t>
      </w:r>
      <w:r>
        <w:rPr/>
        <w:t>the</w:t>
      </w:r>
      <w:r>
        <w:rPr>
          <w:spacing w:val="40"/>
        </w:rPr>
        <w:t> </w:t>
      </w:r>
      <w:r>
        <w:rPr/>
        <w:t>natural</w:t>
      </w:r>
      <w:r>
        <w:rPr>
          <w:spacing w:val="40"/>
        </w:rPr>
        <w:t> </w:t>
      </w:r>
      <w:r>
        <w:rPr/>
        <w:t>world.</w:t>
      </w:r>
    </w:p>
    <w:p>
      <w:pPr>
        <w:pStyle w:val="BodyText"/>
        <w:spacing w:line="249" w:lineRule="auto" w:before="48"/>
        <w:ind w:right="1439" w:firstLine="432"/>
        <w:jc w:val="both"/>
      </w:pPr>
      <w:r>
        <w:rPr/>
        <w:t>Ecofeminist ethics, which explores the connection between the exploitation of nature and the oppression of women, finds a powerful expression</w:t>
      </w:r>
      <w:r>
        <w:rPr>
          <w:spacing w:val="-13"/>
        </w:rPr>
        <w:t> </w:t>
      </w:r>
      <w:r>
        <w:rPr/>
        <w:t>in</w:t>
      </w:r>
      <w:r>
        <w:rPr>
          <w:spacing w:val="-12"/>
        </w:rPr>
        <w:t> </w:t>
      </w:r>
      <w:r>
        <w:rPr/>
        <w:t>the</w:t>
      </w:r>
      <w:r>
        <w:rPr>
          <w:spacing w:val="-8"/>
        </w:rPr>
        <w:t> </w:t>
      </w:r>
      <w:r>
        <w:rPr/>
        <w:t>writings</w:t>
      </w:r>
      <w:r>
        <w:rPr>
          <w:spacing w:val="-11"/>
        </w:rPr>
        <w:t> </w:t>
      </w:r>
      <w:r>
        <w:rPr/>
        <w:t>of</w:t>
      </w:r>
      <w:r>
        <w:rPr>
          <w:spacing w:val="-13"/>
        </w:rPr>
        <w:t> </w:t>
      </w:r>
      <w:r>
        <w:rPr/>
        <w:t>Amitav</w:t>
      </w:r>
      <w:r>
        <w:rPr>
          <w:spacing w:val="-8"/>
        </w:rPr>
        <w:t> </w:t>
      </w:r>
      <w:r>
        <w:rPr/>
        <w:t>Ghosh.</w:t>
      </w:r>
      <w:r>
        <w:rPr>
          <w:spacing w:val="-9"/>
        </w:rPr>
        <w:t> </w:t>
      </w:r>
      <w:r>
        <w:rPr/>
        <w:t>His</w:t>
      </w:r>
      <w:r>
        <w:rPr>
          <w:spacing w:val="-9"/>
        </w:rPr>
        <w:t> </w:t>
      </w:r>
      <w:r>
        <w:rPr/>
        <w:t>novels,</w:t>
      </w:r>
      <w:r>
        <w:rPr>
          <w:spacing w:val="-9"/>
        </w:rPr>
        <w:t> </w:t>
      </w:r>
      <w:r>
        <w:rPr/>
        <w:t>especially</w:t>
      </w:r>
      <w:r>
        <w:rPr>
          <w:spacing w:val="-12"/>
        </w:rPr>
        <w:t> </w:t>
      </w:r>
      <w:r>
        <w:rPr/>
        <w:t>those </w:t>
      </w:r>
      <w:r>
        <w:rPr>
          <w:spacing w:val="-4"/>
        </w:rPr>
        <w:t>dealing with</w:t>
      </w:r>
      <w:r>
        <w:rPr>
          <w:spacing w:val="-7"/>
        </w:rPr>
        <w:t> </w:t>
      </w:r>
      <w:r>
        <w:rPr>
          <w:spacing w:val="-4"/>
        </w:rPr>
        <w:t>climate change, displacement, and ecological crises, highlight how</w:t>
      </w:r>
      <w:r>
        <w:rPr>
          <w:spacing w:val="-9"/>
        </w:rPr>
        <w:t> </w:t>
      </w:r>
      <w:r>
        <w:rPr>
          <w:spacing w:val="-4"/>
        </w:rPr>
        <w:t>marginalized</w:t>
      </w:r>
      <w:r>
        <w:rPr>
          <w:spacing w:val="-5"/>
        </w:rPr>
        <w:t> </w:t>
      </w:r>
      <w:r>
        <w:rPr>
          <w:spacing w:val="-4"/>
        </w:rPr>
        <w:t>communities—particularly</w:t>
      </w:r>
      <w:r>
        <w:rPr>
          <w:spacing w:val="-9"/>
        </w:rPr>
        <w:t> </w:t>
      </w:r>
      <w:r>
        <w:rPr>
          <w:spacing w:val="-4"/>
        </w:rPr>
        <w:t>women—are deeply</w:t>
      </w:r>
      <w:r>
        <w:rPr>
          <w:spacing w:val="-8"/>
        </w:rPr>
        <w:t> </w:t>
      </w:r>
      <w:r>
        <w:rPr>
          <w:spacing w:val="-4"/>
        </w:rPr>
        <w:t>affected </w:t>
      </w:r>
      <w:r>
        <w:rPr/>
        <w:t>by environmental degradation. Through his narratives, Ghosh presents an ethical vision that emphasizes interconnectedness, care, and respect for</w:t>
      </w:r>
      <w:r>
        <w:rPr>
          <w:spacing w:val="40"/>
        </w:rPr>
        <w:t> </w:t>
      </w:r>
      <w:r>
        <w:rPr/>
        <w:t>both human</w:t>
      </w:r>
      <w:r>
        <w:rPr>
          <w:spacing w:val="40"/>
        </w:rPr>
        <w:t> </w:t>
      </w:r>
      <w:r>
        <w:rPr/>
        <w:t>and</w:t>
      </w:r>
      <w:r>
        <w:rPr>
          <w:spacing w:val="40"/>
        </w:rPr>
        <w:t> </w:t>
      </w:r>
      <w:r>
        <w:rPr/>
        <w:t>non-human</w:t>
      </w:r>
      <w:r>
        <w:rPr>
          <w:spacing w:val="40"/>
        </w:rPr>
        <w:t> </w:t>
      </w:r>
      <w:r>
        <w:rPr/>
        <w:t>life.</w:t>
      </w:r>
    </w:p>
    <w:p>
      <w:pPr>
        <w:pStyle w:val="BodyText"/>
        <w:spacing w:line="249" w:lineRule="auto" w:before="64"/>
        <w:ind w:right="1437" w:firstLine="432"/>
        <w:jc w:val="both"/>
      </w:pPr>
      <w:r>
        <w:rPr/>
        <w:t>In novels like The Hungry Tide, ecofeminist ethics is vividly portrayed through the relationship between humans and the fragile ecosystem of the Sundarbans. The novel presents nature not as a</w:t>
      </w:r>
      <w:r>
        <w:rPr>
          <w:spacing w:val="40"/>
        </w:rPr>
        <w:t> </w:t>
      </w:r>
      <w:r>
        <w:rPr/>
        <w:t>passive background but as a powerful and unpredictable force. Characters like Piya, a marine biologist, and Kusum, a marginalized </w:t>
      </w:r>
      <w:r>
        <w:rPr>
          <w:spacing w:val="-2"/>
        </w:rPr>
        <w:t>village</w:t>
      </w:r>
      <w:r>
        <w:rPr>
          <w:spacing w:val="-11"/>
        </w:rPr>
        <w:t> </w:t>
      </w:r>
      <w:r>
        <w:rPr>
          <w:spacing w:val="-2"/>
        </w:rPr>
        <w:t>woman,</w:t>
      </w:r>
      <w:r>
        <w:rPr>
          <w:spacing w:val="-13"/>
        </w:rPr>
        <w:t> </w:t>
      </w:r>
      <w:r>
        <w:rPr>
          <w:spacing w:val="-2"/>
        </w:rPr>
        <w:t>embody</w:t>
      </w:r>
      <w:r>
        <w:rPr>
          <w:spacing w:val="-19"/>
        </w:rPr>
        <w:t> </w:t>
      </w:r>
      <w:r>
        <w:rPr>
          <w:spacing w:val="-2"/>
        </w:rPr>
        <w:t>ecofeminist</w:t>
      </w:r>
      <w:r>
        <w:rPr>
          <w:spacing w:val="-13"/>
        </w:rPr>
        <w:t> </w:t>
      </w:r>
      <w:r>
        <w:rPr>
          <w:spacing w:val="-2"/>
        </w:rPr>
        <w:t>values</w:t>
      </w:r>
      <w:r>
        <w:rPr>
          <w:spacing w:val="-15"/>
        </w:rPr>
        <w:t> </w:t>
      </w:r>
      <w:r>
        <w:rPr>
          <w:spacing w:val="-2"/>
        </w:rPr>
        <w:t>through</w:t>
      </w:r>
      <w:r>
        <w:rPr>
          <w:spacing w:val="-15"/>
        </w:rPr>
        <w:t> </w:t>
      </w:r>
      <w:r>
        <w:rPr>
          <w:spacing w:val="-2"/>
        </w:rPr>
        <w:t>their</w:t>
      </w:r>
      <w:r>
        <w:rPr>
          <w:spacing w:val="-12"/>
        </w:rPr>
        <w:t> </w:t>
      </w:r>
      <w:r>
        <w:rPr>
          <w:spacing w:val="-2"/>
        </w:rPr>
        <w:t>close</w:t>
      </w:r>
      <w:r>
        <w:rPr>
          <w:spacing w:val="-13"/>
        </w:rPr>
        <w:t> </w:t>
      </w:r>
      <w:r>
        <w:rPr>
          <w:spacing w:val="-2"/>
        </w:rPr>
        <w:t>connection</w:t>
      </w:r>
    </w:p>
    <w:p>
      <w:pPr>
        <w:pStyle w:val="BodyText"/>
        <w:spacing w:after="0" w:line="249" w:lineRule="auto"/>
        <w:jc w:val="both"/>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4064">
                <wp:simplePos x="0" y="0"/>
                <wp:positionH relativeFrom="page">
                  <wp:posOffset>2065020</wp:posOffset>
                </wp:positionH>
                <wp:positionV relativeFrom="paragraph">
                  <wp:posOffset>795020</wp:posOffset>
                </wp:positionV>
                <wp:extent cx="3657600" cy="12700"/>
                <wp:effectExtent l="0" t="0" r="0" b="0"/>
                <wp:wrapTopAndBottom/>
                <wp:docPr id="362" name="Graphic 362"/>
                <wp:cNvGraphicFramePr>
                  <a:graphicFrameLocks/>
                </wp:cNvGraphicFramePr>
                <a:graphic>
                  <a:graphicData uri="http://schemas.microsoft.com/office/word/2010/wordprocessingShape">
                    <wps:wsp>
                      <wps:cNvPr id="362" name="Graphic 36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12416;mso-wrap-distance-left:0;mso-wrap-distance-right:0" id="docshape358" filled="true" fillcolor="#000000" stroked="false">
                <v:fill type="solid"/>
                <w10:wrap type="topAndBottom"/>
              </v:rect>
            </w:pict>
          </mc:Fallback>
        </mc:AlternateContent>
      </w:r>
      <w:r>
        <w:rPr>
          <w:rFonts w:ascii="Verdana"/>
          <w:spacing w:val="-2"/>
          <w:sz w:val="18"/>
        </w:rPr>
        <w:t>Eco-Feminist</w:t>
      </w:r>
      <w:r>
        <w:rPr>
          <w:rFonts w:ascii="Verdana"/>
          <w:spacing w:val="11"/>
          <w:sz w:val="18"/>
        </w:rPr>
        <w:t> </w:t>
      </w:r>
      <w:r>
        <w:rPr>
          <w:rFonts w:ascii="Verdana"/>
          <w:spacing w:val="-2"/>
          <w:sz w:val="18"/>
        </w:rPr>
        <w:t>Ethics</w:t>
      </w:r>
      <w:r>
        <w:rPr>
          <w:rFonts w:ascii="Verdana"/>
          <w:spacing w:val="11"/>
          <w:sz w:val="18"/>
        </w:rPr>
        <w:t> </w:t>
      </w:r>
      <w:r>
        <w:rPr>
          <w:rFonts w:ascii="Verdana"/>
          <w:spacing w:val="-2"/>
          <w:sz w:val="18"/>
        </w:rPr>
        <w:t>in</w:t>
      </w:r>
      <w:r>
        <w:rPr>
          <w:rFonts w:ascii="Verdana"/>
          <w:spacing w:val="13"/>
          <w:sz w:val="18"/>
        </w:rPr>
        <w:t> </w:t>
      </w:r>
      <w:r>
        <w:rPr>
          <w:rFonts w:ascii="Verdana"/>
          <w:spacing w:val="-2"/>
          <w:sz w:val="18"/>
        </w:rPr>
        <w:t>The</w:t>
      </w:r>
      <w:r>
        <w:rPr>
          <w:rFonts w:ascii="Verdana"/>
          <w:spacing w:val="12"/>
          <w:sz w:val="18"/>
        </w:rPr>
        <w:t> </w:t>
      </w:r>
      <w:r>
        <w:rPr>
          <w:rFonts w:ascii="Verdana"/>
          <w:spacing w:val="-2"/>
          <w:sz w:val="18"/>
        </w:rPr>
        <w:t>Selected</w:t>
      </w:r>
      <w:r>
        <w:rPr>
          <w:rFonts w:ascii="Verdana"/>
          <w:spacing w:val="12"/>
          <w:sz w:val="18"/>
        </w:rPr>
        <w:t> </w:t>
      </w:r>
      <w:r>
        <w:rPr>
          <w:rFonts w:ascii="Verdana"/>
          <w:spacing w:val="-2"/>
          <w:sz w:val="18"/>
        </w:rPr>
        <w:t>Works</w:t>
      </w:r>
      <w:r>
        <w:rPr>
          <w:rFonts w:ascii="Verdana"/>
          <w:spacing w:val="13"/>
          <w:sz w:val="18"/>
        </w:rPr>
        <w:t> </w:t>
      </w:r>
      <w:r>
        <w:rPr>
          <w:rFonts w:ascii="Verdana"/>
          <w:spacing w:val="-2"/>
          <w:sz w:val="18"/>
        </w:rPr>
        <w:t>of</w:t>
      </w:r>
      <w:r>
        <w:rPr>
          <w:rFonts w:ascii="Verdana"/>
          <w:spacing w:val="12"/>
          <w:sz w:val="18"/>
        </w:rPr>
        <w:t> </w:t>
      </w:r>
      <w:r>
        <w:rPr>
          <w:rFonts w:ascii="Verdana"/>
          <w:spacing w:val="-2"/>
          <w:sz w:val="18"/>
        </w:rPr>
        <w:t>William</w:t>
      </w:r>
      <w:r>
        <w:rPr>
          <w:sz w:val="18"/>
        </w:rPr>
        <w:tab/>
      </w:r>
      <w:r>
        <w:rPr>
          <w:rFonts w:ascii="Verdana"/>
          <w:spacing w:val="-5"/>
          <w:sz w:val="18"/>
        </w:rPr>
        <w:t>137</w:t>
      </w:r>
    </w:p>
    <w:p>
      <w:pPr>
        <w:pStyle w:val="BodyText"/>
        <w:spacing w:line="249" w:lineRule="auto" w:before="192"/>
        <w:ind w:right="1437"/>
        <w:jc w:val="both"/>
      </w:pPr>
      <w:r>
        <w:rPr/>
        <w:t>with nature. Kusum’s life reflects the struggles of poor women who depend on natural resources for survival and are the first to suffer from ecological and political exploitation. Her tragic fate reveals how both women</w:t>
      </w:r>
      <w:r>
        <w:rPr>
          <w:spacing w:val="29"/>
        </w:rPr>
        <w:t> </w:t>
      </w:r>
      <w:r>
        <w:rPr/>
        <w:t>and</w:t>
      </w:r>
      <w:r>
        <w:rPr>
          <w:spacing w:val="31"/>
        </w:rPr>
        <w:t> </w:t>
      </w:r>
      <w:r>
        <w:rPr/>
        <w:t>nature</w:t>
      </w:r>
      <w:r>
        <w:rPr>
          <w:spacing w:val="32"/>
        </w:rPr>
        <w:t> </w:t>
      </w:r>
      <w:r>
        <w:rPr/>
        <w:t>are</w:t>
      </w:r>
      <w:r>
        <w:rPr>
          <w:spacing w:val="29"/>
        </w:rPr>
        <w:t> </w:t>
      </w:r>
      <w:r>
        <w:rPr/>
        <w:t>subjected</w:t>
      </w:r>
      <w:r>
        <w:rPr>
          <w:spacing w:val="31"/>
        </w:rPr>
        <w:t> </w:t>
      </w:r>
      <w:r>
        <w:rPr/>
        <w:t>to</w:t>
      </w:r>
      <w:r>
        <w:rPr>
          <w:spacing w:val="31"/>
        </w:rPr>
        <w:t> </w:t>
      </w:r>
      <w:r>
        <w:rPr/>
        <w:t>systems</w:t>
      </w:r>
      <w:r>
        <w:rPr>
          <w:spacing w:val="29"/>
        </w:rPr>
        <w:t> </w:t>
      </w:r>
      <w:r>
        <w:rPr/>
        <w:t>of</w:t>
      </w:r>
      <w:r>
        <w:rPr>
          <w:spacing w:val="30"/>
        </w:rPr>
        <w:t> </w:t>
      </w:r>
      <w:r>
        <w:rPr/>
        <w:t>control</w:t>
      </w:r>
      <w:r>
        <w:rPr>
          <w:spacing w:val="29"/>
        </w:rPr>
        <w:t> </w:t>
      </w:r>
      <w:r>
        <w:rPr/>
        <w:t>and</w:t>
      </w:r>
      <w:r>
        <w:rPr>
          <w:spacing w:val="31"/>
        </w:rPr>
        <w:t> </w:t>
      </w:r>
      <w:r>
        <w:rPr/>
        <w:t>violence.</w:t>
      </w:r>
    </w:p>
    <w:p>
      <w:pPr>
        <w:pStyle w:val="BodyText"/>
        <w:spacing w:line="249" w:lineRule="auto" w:before="61"/>
        <w:ind w:right="1436" w:firstLine="432"/>
        <w:jc w:val="both"/>
      </w:pPr>
      <w:r>
        <w:rPr/>
        <w:t>Ghosh also highlights the importance of indigenous knowledge and local practices, often associated with women, in maintaining ecological balance. This aligns with the ideas of ecofeminist thinkers like</w:t>
      </w:r>
      <w:r>
        <w:rPr>
          <w:spacing w:val="-12"/>
        </w:rPr>
        <w:t> </w:t>
      </w:r>
      <w:r>
        <w:rPr/>
        <w:t>Vandana</w:t>
      </w:r>
      <w:r>
        <w:rPr>
          <w:spacing w:val="-10"/>
        </w:rPr>
        <w:t> </w:t>
      </w:r>
      <w:r>
        <w:rPr/>
        <w:t>Shiva,</w:t>
      </w:r>
      <w:r>
        <w:rPr>
          <w:spacing w:val="-11"/>
        </w:rPr>
        <w:t> </w:t>
      </w:r>
      <w:r>
        <w:rPr/>
        <w:t>who</w:t>
      </w:r>
      <w:r>
        <w:rPr>
          <w:spacing w:val="-9"/>
        </w:rPr>
        <w:t> </w:t>
      </w:r>
      <w:r>
        <w:rPr/>
        <w:t>emphasize</w:t>
      </w:r>
      <w:r>
        <w:rPr>
          <w:spacing w:val="-10"/>
        </w:rPr>
        <w:t> </w:t>
      </w:r>
      <w:r>
        <w:rPr/>
        <w:t>the</w:t>
      </w:r>
      <w:r>
        <w:rPr>
          <w:spacing w:val="-10"/>
        </w:rPr>
        <w:t> </w:t>
      </w:r>
      <w:r>
        <w:rPr/>
        <w:t>role</w:t>
      </w:r>
      <w:r>
        <w:rPr>
          <w:spacing w:val="-11"/>
        </w:rPr>
        <w:t> </w:t>
      </w:r>
      <w:r>
        <w:rPr/>
        <w:t>of</w:t>
      </w:r>
      <w:r>
        <w:rPr>
          <w:spacing w:val="-11"/>
        </w:rPr>
        <w:t> </w:t>
      </w:r>
      <w:r>
        <w:rPr/>
        <w:t>women</w:t>
      </w:r>
      <w:r>
        <w:rPr>
          <w:spacing w:val="-11"/>
        </w:rPr>
        <w:t> </w:t>
      </w:r>
      <w:r>
        <w:rPr/>
        <w:t>in</w:t>
      </w:r>
      <w:r>
        <w:rPr>
          <w:spacing w:val="-11"/>
        </w:rPr>
        <w:t> </w:t>
      </w:r>
      <w:r>
        <w:rPr/>
        <w:t>environmental conservation.</w:t>
      </w:r>
      <w:r>
        <w:rPr>
          <w:spacing w:val="-9"/>
        </w:rPr>
        <w:t> </w:t>
      </w:r>
      <w:r>
        <w:rPr/>
        <w:t>In</w:t>
      </w:r>
      <w:r>
        <w:rPr>
          <w:spacing w:val="-6"/>
        </w:rPr>
        <w:t> </w:t>
      </w:r>
      <w:r>
        <w:rPr>
          <w:i/>
        </w:rPr>
        <w:t>The</w:t>
      </w:r>
      <w:r>
        <w:rPr>
          <w:i/>
          <w:spacing w:val="-9"/>
        </w:rPr>
        <w:t> </w:t>
      </w:r>
      <w:r>
        <w:rPr>
          <w:i/>
        </w:rPr>
        <w:t>Hungry</w:t>
      </w:r>
      <w:r>
        <w:rPr>
          <w:i/>
          <w:spacing w:val="-7"/>
        </w:rPr>
        <w:t> </w:t>
      </w:r>
      <w:r>
        <w:rPr>
          <w:i/>
        </w:rPr>
        <w:t>Tide</w:t>
      </w:r>
      <w:r>
        <w:rPr/>
        <w:t>,</w:t>
      </w:r>
      <w:r>
        <w:rPr>
          <w:spacing w:val="-9"/>
        </w:rPr>
        <w:t> </w:t>
      </w:r>
      <w:r>
        <w:rPr/>
        <w:t>the</w:t>
      </w:r>
      <w:r>
        <w:rPr>
          <w:spacing w:val="-7"/>
        </w:rPr>
        <w:t> </w:t>
      </w:r>
      <w:r>
        <w:rPr/>
        <w:t>traditional</w:t>
      </w:r>
      <w:r>
        <w:rPr>
          <w:spacing w:val="-9"/>
        </w:rPr>
        <w:t> </w:t>
      </w:r>
      <w:r>
        <w:rPr/>
        <w:t>knowledge</w:t>
      </w:r>
      <w:r>
        <w:rPr>
          <w:spacing w:val="-6"/>
        </w:rPr>
        <w:t> </w:t>
      </w:r>
      <w:r>
        <w:rPr/>
        <w:t>of</w:t>
      </w:r>
      <w:r>
        <w:rPr>
          <w:spacing w:val="-9"/>
        </w:rPr>
        <w:t> </w:t>
      </w:r>
      <w:r>
        <w:rPr/>
        <w:t>the</w:t>
      </w:r>
      <w:r>
        <w:rPr>
          <w:spacing w:val="-7"/>
        </w:rPr>
        <w:t> </w:t>
      </w:r>
      <w:r>
        <w:rPr/>
        <w:t>local people</w:t>
      </w:r>
      <w:r>
        <w:rPr>
          <w:spacing w:val="-6"/>
        </w:rPr>
        <w:t> </w:t>
      </w:r>
      <w:r>
        <w:rPr/>
        <w:t>about</w:t>
      </w:r>
      <w:r>
        <w:rPr>
          <w:spacing w:val="-6"/>
        </w:rPr>
        <w:t> </w:t>
      </w:r>
      <w:r>
        <w:rPr/>
        <w:t>tides,</w:t>
      </w:r>
      <w:r>
        <w:rPr>
          <w:spacing w:val="-1"/>
        </w:rPr>
        <w:t> </w:t>
      </w:r>
      <w:r>
        <w:rPr/>
        <w:t>animals,</w:t>
      </w:r>
      <w:r>
        <w:rPr>
          <w:spacing w:val="-5"/>
        </w:rPr>
        <w:t> </w:t>
      </w:r>
      <w:r>
        <w:rPr/>
        <w:t>and</w:t>
      </w:r>
      <w:r>
        <w:rPr>
          <w:spacing w:val="-3"/>
        </w:rPr>
        <w:t> </w:t>
      </w:r>
      <w:r>
        <w:rPr/>
        <w:t>forests</w:t>
      </w:r>
      <w:r>
        <w:rPr>
          <w:spacing w:val="-5"/>
        </w:rPr>
        <w:t> </w:t>
      </w:r>
      <w:r>
        <w:rPr/>
        <w:t>contrasts</w:t>
      </w:r>
      <w:r>
        <w:rPr>
          <w:spacing w:val="-3"/>
        </w:rPr>
        <w:t> </w:t>
      </w:r>
      <w:r>
        <w:rPr/>
        <w:t>with</w:t>
      </w:r>
      <w:r>
        <w:rPr>
          <w:spacing w:val="-6"/>
        </w:rPr>
        <w:t> </w:t>
      </w:r>
      <w:r>
        <w:rPr/>
        <w:t>modern</w:t>
      </w:r>
      <w:r>
        <w:rPr>
          <w:spacing w:val="-6"/>
        </w:rPr>
        <w:t> </w:t>
      </w:r>
      <w:r>
        <w:rPr/>
        <w:t>scientific approaches, suggesting that a harmonious relationship with nature requires</w:t>
      </w:r>
      <w:r>
        <w:rPr>
          <w:spacing w:val="40"/>
        </w:rPr>
        <w:t> </w:t>
      </w:r>
      <w:r>
        <w:rPr/>
        <w:t>respect</w:t>
      </w:r>
      <w:r>
        <w:rPr>
          <w:spacing w:val="40"/>
        </w:rPr>
        <w:t> </w:t>
      </w:r>
      <w:r>
        <w:rPr/>
        <w:t>for</w:t>
      </w:r>
      <w:r>
        <w:rPr>
          <w:spacing w:val="40"/>
        </w:rPr>
        <w:t> </w:t>
      </w:r>
      <w:r>
        <w:rPr/>
        <w:t>both.</w:t>
      </w:r>
    </w:p>
    <w:p>
      <w:pPr>
        <w:pStyle w:val="BodyText"/>
        <w:spacing w:line="249" w:lineRule="auto" w:before="64"/>
        <w:ind w:right="1437" w:firstLine="432"/>
        <w:jc w:val="both"/>
      </w:pPr>
      <w:r>
        <w:rPr>
          <w:spacing w:val="-2"/>
        </w:rPr>
        <w:t>Another important work,</w:t>
      </w:r>
      <w:r>
        <w:rPr>
          <w:spacing w:val="-5"/>
        </w:rPr>
        <w:t> </w:t>
      </w:r>
      <w:r>
        <w:rPr>
          <w:spacing w:val="-2"/>
        </w:rPr>
        <w:t>Gun</w:t>
      </w:r>
      <w:r>
        <w:rPr>
          <w:spacing w:val="-5"/>
        </w:rPr>
        <w:t> </w:t>
      </w:r>
      <w:r>
        <w:rPr>
          <w:spacing w:val="-2"/>
        </w:rPr>
        <w:t>Island, expands</w:t>
      </w:r>
      <w:r>
        <w:rPr>
          <w:spacing w:val="-5"/>
        </w:rPr>
        <w:t> </w:t>
      </w:r>
      <w:r>
        <w:rPr>
          <w:spacing w:val="-2"/>
        </w:rPr>
        <w:t>ecofeminist</w:t>
      </w:r>
      <w:r>
        <w:rPr>
          <w:spacing w:val="-5"/>
        </w:rPr>
        <w:t> </w:t>
      </w:r>
      <w:r>
        <w:rPr>
          <w:spacing w:val="-2"/>
        </w:rPr>
        <w:t>concerns </w:t>
      </w:r>
      <w:r>
        <w:rPr/>
        <w:t>to</w:t>
      </w:r>
      <w:r>
        <w:rPr>
          <w:spacing w:val="-3"/>
        </w:rPr>
        <w:t> </w:t>
      </w:r>
      <w:r>
        <w:rPr/>
        <w:t>a</w:t>
      </w:r>
      <w:r>
        <w:rPr>
          <w:spacing w:val="-1"/>
        </w:rPr>
        <w:t> </w:t>
      </w:r>
      <w:r>
        <w:rPr/>
        <w:t>global</w:t>
      </w:r>
      <w:r>
        <w:rPr>
          <w:spacing w:val="-5"/>
        </w:rPr>
        <w:t> </w:t>
      </w:r>
      <w:r>
        <w:rPr/>
        <w:t>scale.</w:t>
      </w:r>
      <w:r>
        <w:rPr>
          <w:spacing w:val="-5"/>
        </w:rPr>
        <w:t> </w:t>
      </w:r>
      <w:r>
        <w:rPr/>
        <w:t>The</w:t>
      </w:r>
      <w:r>
        <w:rPr>
          <w:spacing w:val="-2"/>
        </w:rPr>
        <w:t> </w:t>
      </w:r>
      <w:r>
        <w:rPr/>
        <w:t>novel</w:t>
      </w:r>
      <w:r>
        <w:rPr>
          <w:spacing w:val="-5"/>
        </w:rPr>
        <w:t> </w:t>
      </w:r>
      <w:r>
        <w:rPr/>
        <w:t>links</w:t>
      </w:r>
      <w:r>
        <w:rPr>
          <w:spacing w:val="-2"/>
        </w:rPr>
        <w:t> </w:t>
      </w:r>
      <w:r>
        <w:rPr/>
        <w:t>climate</w:t>
      </w:r>
      <w:r>
        <w:rPr>
          <w:spacing w:val="-4"/>
        </w:rPr>
        <w:t> </w:t>
      </w:r>
      <w:r>
        <w:rPr/>
        <w:t>change,</w:t>
      </w:r>
      <w:r>
        <w:rPr>
          <w:spacing w:val="-5"/>
        </w:rPr>
        <w:t> </w:t>
      </w:r>
      <w:r>
        <w:rPr/>
        <w:t>migration,</w:t>
      </w:r>
      <w:r>
        <w:rPr>
          <w:spacing w:val="-2"/>
        </w:rPr>
        <w:t> </w:t>
      </w:r>
      <w:r>
        <w:rPr/>
        <w:t>and</w:t>
      </w:r>
      <w:r>
        <w:rPr>
          <w:spacing w:val="-2"/>
        </w:rPr>
        <w:t> </w:t>
      </w:r>
      <w:r>
        <w:rPr/>
        <w:t>human </w:t>
      </w:r>
      <w:r>
        <w:rPr>
          <w:spacing w:val="-2"/>
        </w:rPr>
        <w:t>vulnerability,</w:t>
      </w:r>
      <w:r>
        <w:rPr>
          <w:spacing w:val="-11"/>
        </w:rPr>
        <w:t> </w:t>
      </w:r>
      <w:r>
        <w:rPr>
          <w:spacing w:val="-2"/>
        </w:rPr>
        <w:t>showing</w:t>
      </w:r>
      <w:r>
        <w:rPr>
          <w:spacing w:val="-10"/>
        </w:rPr>
        <w:t> </w:t>
      </w:r>
      <w:r>
        <w:rPr>
          <w:spacing w:val="-2"/>
        </w:rPr>
        <w:t>how</w:t>
      </w:r>
      <w:r>
        <w:rPr>
          <w:spacing w:val="-11"/>
        </w:rPr>
        <w:t> </w:t>
      </w:r>
      <w:r>
        <w:rPr>
          <w:spacing w:val="-2"/>
        </w:rPr>
        <w:t>environmental</w:t>
      </w:r>
      <w:r>
        <w:rPr>
          <w:spacing w:val="-10"/>
        </w:rPr>
        <w:t> </w:t>
      </w:r>
      <w:r>
        <w:rPr>
          <w:spacing w:val="-2"/>
        </w:rPr>
        <w:t>crises</w:t>
      </w:r>
      <w:r>
        <w:rPr>
          <w:spacing w:val="-11"/>
        </w:rPr>
        <w:t> </w:t>
      </w:r>
      <w:r>
        <w:rPr>
          <w:spacing w:val="-2"/>
        </w:rPr>
        <w:t>disproportionately</w:t>
      </w:r>
      <w:r>
        <w:rPr>
          <w:spacing w:val="-10"/>
        </w:rPr>
        <w:t> </w:t>
      </w:r>
      <w:r>
        <w:rPr>
          <w:spacing w:val="-2"/>
        </w:rPr>
        <w:t>affect </w:t>
      </w:r>
      <w:r>
        <w:rPr/>
        <w:t>the</w:t>
      </w:r>
      <w:r>
        <w:rPr>
          <w:spacing w:val="-2"/>
        </w:rPr>
        <w:t> </w:t>
      </w:r>
      <w:r>
        <w:rPr/>
        <w:t>poor</w:t>
      </w:r>
      <w:r>
        <w:rPr>
          <w:spacing w:val="-4"/>
        </w:rPr>
        <w:t> </w:t>
      </w:r>
      <w:r>
        <w:rPr/>
        <w:t>and</w:t>
      </w:r>
      <w:r>
        <w:rPr>
          <w:spacing w:val="-1"/>
        </w:rPr>
        <w:t> </w:t>
      </w:r>
      <w:r>
        <w:rPr/>
        <w:t>marginalized,</w:t>
      </w:r>
      <w:r>
        <w:rPr>
          <w:spacing w:val="-2"/>
        </w:rPr>
        <w:t> </w:t>
      </w:r>
      <w:r>
        <w:rPr/>
        <w:t>including</w:t>
      </w:r>
      <w:r>
        <w:rPr>
          <w:spacing w:val="-6"/>
        </w:rPr>
        <w:t> </w:t>
      </w:r>
      <w:r>
        <w:rPr/>
        <w:t>women.</w:t>
      </w:r>
      <w:r>
        <w:rPr>
          <w:spacing w:val="-2"/>
        </w:rPr>
        <w:t> </w:t>
      </w:r>
      <w:r>
        <w:rPr/>
        <w:t>The</w:t>
      </w:r>
      <w:r>
        <w:rPr>
          <w:spacing w:val="-3"/>
        </w:rPr>
        <w:t> </w:t>
      </w:r>
      <w:r>
        <w:rPr/>
        <w:t>recurring</w:t>
      </w:r>
      <w:r>
        <w:rPr>
          <w:spacing w:val="-6"/>
        </w:rPr>
        <w:t> </w:t>
      </w:r>
      <w:r>
        <w:rPr/>
        <w:t>presence</w:t>
      </w:r>
      <w:r>
        <w:rPr>
          <w:spacing w:val="-3"/>
        </w:rPr>
        <w:t> </w:t>
      </w:r>
      <w:r>
        <w:rPr/>
        <w:t>of myths</w:t>
      </w:r>
      <w:r>
        <w:rPr>
          <w:spacing w:val="-13"/>
        </w:rPr>
        <w:t> </w:t>
      </w:r>
      <w:r>
        <w:rPr/>
        <w:t>and</w:t>
      </w:r>
      <w:r>
        <w:rPr>
          <w:spacing w:val="-12"/>
        </w:rPr>
        <w:t> </w:t>
      </w:r>
      <w:r>
        <w:rPr/>
        <w:t>folklore</w:t>
      </w:r>
      <w:r>
        <w:rPr>
          <w:spacing w:val="-13"/>
        </w:rPr>
        <w:t> </w:t>
      </w:r>
      <w:r>
        <w:rPr/>
        <w:t>in</w:t>
      </w:r>
      <w:r>
        <w:rPr>
          <w:spacing w:val="-12"/>
        </w:rPr>
        <w:t> </w:t>
      </w:r>
      <w:r>
        <w:rPr/>
        <w:t>the</w:t>
      </w:r>
      <w:r>
        <w:rPr>
          <w:spacing w:val="-13"/>
        </w:rPr>
        <w:t> </w:t>
      </w:r>
      <w:r>
        <w:rPr/>
        <w:t>narrative</w:t>
      </w:r>
      <w:r>
        <w:rPr>
          <w:spacing w:val="-12"/>
        </w:rPr>
        <w:t> </w:t>
      </w:r>
      <w:r>
        <w:rPr/>
        <w:t>reflects</w:t>
      </w:r>
      <w:r>
        <w:rPr>
          <w:spacing w:val="-13"/>
        </w:rPr>
        <w:t> </w:t>
      </w:r>
      <w:r>
        <w:rPr/>
        <w:t>a</w:t>
      </w:r>
      <w:r>
        <w:rPr>
          <w:spacing w:val="-12"/>
        </w:rPr>
        <w:t> </w:t>
      </w:r>
      <w:r>
        <w:rPr/>
        <w:t>worldview</w:t>
      </w:r>
      <w:r>
        <w:rPr>
          <w:spacing w:val="-13"/>
        </w:rPr>
        <w:t> </w:t>
      </w:r>
      <w:r>
        <w:rPr/>
        <w:t>in</w:t>
      </w:r>
      <w:r>
        <w:rPr>
          <w:spacing w:val="-12"/>
        </w:rPr>
        <w:t> </w:t>
      </w:r>
      <w:r>
        <w:rPr/>
        <w:t>which</w:t>
      </w:r>
      <w:r>
        <w:rPr>
          <w:spacing w:val="-13"/>
        </w:rPr>
        <w:t> </w:t>
      </w:r>
      <w:r>
        <w:rPr/>
        <w:t>humans are deeply connected to nature, reinforcing ecofeminist ideas of </w:t>
      </w:r>
      <w:r>
        <w:rPr>
          <w:spacing w:val="-2"/>
        </w:rPr>
        <w:t>interdependence.</w:t>
      </w:r>
    </w:p>
    <w:p>
      <w:pPr>
        <w:pStyle w:val="BodyText"/>
        <w:spacing w:line="249" w:lineRule="auto" w:before="66"/>
        <w:ind w:right="1438" w:firstLine="432"/>
        <w:jc w:val="both"/>
      </w:pPr>
      <w:r>
        <w:rPr/>
        <w:t>In The Great Derangement, Ghosh directly addresses the climate crisis and criticizes modern society’s failure to respond ethically to environmental challenges. Although not explicitly feminist, the text supports ecofeminist ethics by questioning dominant systems that prioritize</w:t>
      </w:r>
      <w:r>
        <w:rPr>
          <w:spacing w:val="-13"/>
        </w:rPr>
        <w:t> </w:t>
      </w:r>
      <w:r>
        <w:rPr/>
        <w:t>profit</w:t>
      </w:r>
      <w:r>
        <w:rPr>
          <w:spacing w:val="-12"/>
        </w:rPr>
        <w:t> </w:t>
      </w:r>
      <w:r>
        <w:rPr/>
        <w:t>and</w:t>
      </w:r>
      <w:r>
        <w:rPr>
          <w:spacing w:val="-13"/>
        </w:rPr>
        <w:t> </w:t>
      </w:r>
      <w:r>
        <w:rPr/>
        <w:t>technological</w:t>
      </w:r>
      <w:r>
        <w:rPr>
          <w:spacing w:val="-12"/>
        </w:rPr>
        <w:t> </w:t>
      </w:r>
      <w:r>
        <w:rPr/>
        <w:t>progress</w:t>
      </w:r>
      <w:r>
        <w:rPr>
          <w:spacing w:val="-13"/>
        </w:rPr>
        <w:t> </w:t>
      </w:r>
      <w:r>
        <w:rPr/>
        <w:t>over</w:t>
      </w:r>
      <w:r>
        <w:rPr>
          <w:spacing w:val="-12"/>
        </w:rPr>
        <w:t> </w:t>
      </w:r>
      <w:r>
        <w:rPr/>
        <w:t>ecological</w:t>
      </w:r>
      <w:r>
        <w:rPr>
          <w:spacing w:val="-13"/>
        </w:rPr>
        <w:t> </w:t>
      </w:r>
      <w:r>
        <w:rPr/>
        <w:t>sustainability and human well-being.</w:t>
      </w:r>
    </w:p>
    <w:p>
      <w:pPr>
        <w:pStyle w:val="BodyText"/>
        <w:spacing w:line="249" w:lineRule="auto" w:before="62"/>
        <w:ind w:right="1439" w:firstLine="432"/>
        <w:jc w:val="both"/>
      </w:pPr>
      <w:r>
        <w:rPr>
          <w:spacing w:val="-2"/>
        </w:rPr>
        <w:t>A</w:t>
      </w:r>
      <w:r>
        <w:rPr>
          <w:spacing w:val="-11"/>
        </w:rPr>
        <w:t> </w:t>
      </w:r>
      <w:r>
        <w:rPr>
          <w:spacing w:val="-2"/>
        </w:rPr>
        <w:t>key</w:t>
      </w:r>
      <w:r>
        <w:rPr>
          <w:spacing w:val="-10"/>
        </w:rPr>
        <w:t> </w:t>
      </w:r>
      <w:r>
        <w:rPr>
          <w:spacing w:val="-2"/>
        </w:rPr>
        <w:t>element</w:t>
      </w:r>
      <w:r>
        <w:rPr>
          <w:spacing w:val="-11"/>
        </w:rPr>
        <w:t> </w:t>
      </w:r>
      <w:r>
        <w:rPr>
          <w:spacing w:val="-2"/>
        </w:rPr>
        <w:t>of</w:t>
      </w:r>
      <w:r>
        <w:rPr>
          <w:spacing w:val="-7"/>
        </w:rPr>
        <w:t> </w:t>
      </w:r>
      <w:r>
        <w:rPr>
          <w:spacing w:val="-2"/>
        </w:rPr>
        <w:t>ecofeminist</w:t>
      </w:r>
      <w:r>
        <w:rPr>
          <w:spacing w:val="-6"/>
        </w:rPr>
        <w:t> </w:t>
      </w:r>
      <w:r>
        <w:rPr>
          <w:spacing w:val="-2"/>
        </w:rPr>
        <w:t>ethics</w:t>
      </w:r>
      <w:r>
        <w:rPr>
          <w:spacing w:val="-8"/>
        </w:rPr>
        <w:t> </w:t>
      </w:r>
      <w:r>
        <w:rPr>
          <w:spacing w:val="-2"/>
        </w:rPr>
        <w:t>in</w:t>
      </w:r>
      <w:r>
        <w:rPr>
          <w:spacing w:val="-6"/>
        </w:rPr>
        <w:t> </w:t>
      </w:r>
      <w:r>
        <w:rPr>
          <w:spacing w:val="-2"/>
        </w:rPr>
        <w:t>Ghosh’s</w:t>
      </w:r>
      <w:r>
        <w:rPr>
          <w:spacing w:val="-6"/>
        </w:rPr>
        <w:t> </w:t>
      </w:r>
      <w:r>
        <w:rPr>
          <w:spacing w:val="-2"/>
        </w:rPr>
        <w:t>works</w:t>
      </w:r>
      <w:r>
        <w:rPr>
          <w:spacing w:val="-6"/>
        </w:rPr>
        <w:t> </w:t>
      </w:r>
      <w:r>
        <w:rPr>
          <w:spacing w:val="-2"/>
        </w:rPr>
        <w:t>is</w:t>
      </w:r>
      <w:r>
        <w:rPr>
          <w:spacing w:val="-8"/>
        </w:rPr>
        <w:t> </w:t>
      </w:r>
      <w:r>
        <w:rPr>
          <w:spacing w:val="-2"/>
        </w:rPr>
        <w:t>the</w:t>
      </w:r>
      <w:r>
        <w:rPr>
          <w:spacing w:val="-3"/>
        </w:rPr>
        <w:t> </w:t>
      </w:r>
      <w:r>
        <w:rPr>
          <w:spacing w:val="-2"/>
        </w:rPr>
        <w:t>critique </w:t>
      </w:r>
      <w:r>
        <w:rPr/>
        <w:t>of power structures such as colonialism, capitalism, and patriarchy. These</w:t>
      </w:r>
      <w:r>
        <w:rPr>
          <w:spacing w:val="-13"/>
        </w:rPr>
        <w:t> </w:t>
      </w:r>
      <w:r>
        <w:rPr/>
        <w:t>systems</w:t>
      </w:r>
      <w:r>
        <w:rPr>
          <w:spacing w:val="-12"/>
        </w:rPr>
        <w:t> </w:t>
      </w:r>
      <w:r>
        <w:rPr/>
        <w:t>exploit</w:t>
      </w:r>
      <w:r>
        <w:rPr>
          <w:spacing w:val="-13"/>
        </w:rPr>
        <w:t> </w:t>
      </w:r>
      <w:r>
        <w:rPr/>
        <w:t>both</w:t>
      </w:r>
      <w:r>
        <w:rPr>
          <w:spacing w:val="-12"/>
        </w:rPr>
        <w:t> </w:t>
      </w:r>
      <w:r>
        <w:rPr/>
        <w:t>natural</w:t>
      </w:r>
      <w:r>
        <w:rPr>
          <w:spacing w:val="-13"/>
        </w:rPr>
        <w:t> </w:t>
      </w:r>
      <w:r>
        <w:rPr/>
        <w:t>resources</w:t>
      </w:r>
      <w:r>
        <w:rPr>
          <w:spacing w:val="-12"/>
        </w:rPr>
        <w:t> </w:t>
      </w:r>
      <w:r>
        <w:rPr/>
        <w:t>and</w:t>
      </w:r>
      <w:r>
        <w:rPr>
          <w:spacing w:val="-13"/>
        </w:rPr>
        <w:t> </w:t>
      </w:r>
      <w:r>
        <w:rPr/>
        <w:t>vulnerable</w:t>
      </w:r>
      <w:r>
        <w:rPr>
          <w:spacing w:val="-12"/>
        </w:rPr>
        <w:t> </w:t>
      </w:r>
      <w:r>
        <w:rPr/>
        <w:t>populations. Women, particularly in rural and coastal areas, are shown as both </w:t>
      </w:r>
      <w:r>
        <w:rPr>
          <w:spacing w:val="-2"/>
        </w:rPr>
        <w:t>victims</w:t>
      </w:r>
      <w:r>
        <w:rPr>
          <w:spacing w:val="-9"/>
        </w:rPr>
        <w:t> </w:t>
      </w:r>
      <w:r>
        <w:rPr>
          <w:spacing w:val="-2"/>
        </w:rPr>
        <w:t>of</w:t>
      </w:r>
      <w:r>
        <w:rPr>
          <w:spacing w:val="-13"/>
        </w:rPr>
        <w:t> </w:t>
      </w:r>
      <w:r>
        <w:rPr>
          <w:spacing w:val="-2"/>
        </w:rPr>
        <w:t>these</w:t>
      </w:r>
      <w:r>
        <w:rPr>
          <w:spacing w:val="-6"/>
        </w:rPr>
        <w:t> </w:t>
      </w:r>
      <w:r>
        <w:rPr>
          <w:spacing w:val="-2"/>
        </w:rPr>
        <w:t>forces</w:t>
      </w:r>
      <w:r>
        <w:rPr>
          <w:spacing w:val="-8"/>
        </w:rPr>
        <w:t> </w:t>
      </w:r>
      <w:r>
        <w:rPr>
          <w:spacing w:val="-2"/>
        </w:rPr>
        <w:t>and</w:t>
      </w:r>
      <w:r>
        <w:rPr>
          <w:spacing w:val="-6"/>
        </w:rPr>
        <w:t> </w:t>
      </w:r>
      <w:r>
        <w:rPr>
          <w:spacing w:val="-2"/>
        </w:rPr>
        <w:t>as</w:t>
      </w:r>
      <w:r>
        <w:rPr>
          <w:spacing w:val="-11"/>
        </w:rPr>
        <w:t> </w:t>
      </w:r>
      <w:r>
        <w:rPr>
          <w:spacing w:val="-2"/>
        </w:rPr>
        <w:t>potential</w:t>
      </w:r>
      <w:r>
        <w:rPr>
          <w:spacing w:val="-9"/>
        </w:rPr>
        <w:t> </w:t>
      </w:r>
      <w:r>
        <w:rPr>
          <w:spacing w:val="-2"/>
        </w:rPr>
        <w:t>agents</w:t>
      </w:r>
      <w:r>
        <w:rPr>
          <w:spacing w:val="-8"/>
        </w:rPr>
        <w:t> </w:t>
      </w:r>
      <w:r>
        <w:rPr>
          <w:spacing w:val="-2"/>
        </w:rPr>
        <w:t>of</w:t>
      </w:r>
      <w:r>
        <w:rPr>
          <w:spacing w:val="-8"/>
        </w:rPr>
        <w:t> </w:t>
      </w:r>
      <w:r>
        <w:rPr>
          <w:spacing w:val="-2"/>
        </w:rPr>
        <w:t>resistance</w:t>
      </w:r>
      <w:r>
        <w:rPr>
          <w:spacing w:val="-11"/>
        </w:rPr>
        <w:t> </w:t>
      </w:r>
      <w:r>
        <w:rPr>
          <w:spacing w:val="-2"/>
        </w:rPr>
        <w:t>and</w:t>
      </w:r>
      <w:r>
        <w:rPr>
          <w:spacing w:val="-6"/>
        </w:rPr>
        <w:t> </w:t>
      </w:r>
      <w:r>
        <w:rPr>
          <w:spacing w:val="-2"/>
        </w:rPr>
        <w:t>resilience.</w:t>
      </w:r>
    </w:p>
    <w:p>
      <w:pPr>
        <w:pStyle w:val="BodyText"/>
        <w:spacing w:line="249" w:lineRule="auto" w:before="62"/>
        <w:ind w:right="1438" w:firstLine="432"/>
        <w:jc w:val="both"/>
      </w:pPr>
      <w:r>
        <w:rPr/>
        <w:t>Furthermore, Ghosh portrays nature as an active participant in human life rather than a resource to be controlled. Storms, floods, and </w:t>
      </w:r>
      <w:r>
        <w:rPr>
          <w:spacing w:val="-2"/>
        </w:rPr>
        <w:t>animal</w:t>
      </w:r>
      <w:r>
        <w:rPr>
          <w:spacing w:val="-10"/>
        </w:rPr>
        <w:t> </w:t>
      </w:r>
      <w:r>
        <w:rPr>
          <w:spacing w:val="-2"/>
        </w:rPr>
        <w:t>behavior</w:t>
      </w:r>
      <w:r>
        <w:rPr>
          <w:spacing w:val="-8"/>
        </w:rPr>
        <w:t> </w:t>
      </w:r>
      <w:r>
        <w:rPr>
          <w:spacing w:val="-2"/>
        </w:rPr>
        <w:t>in</w:t>
      </w:r>
      <w:r>
        <w:rPr>
          <w:spacing w:val="-8"/>
        </w:rPr>
        <w:t> </w:t>
      </w:r>
      <w:r>
        <w:rPr>
          <w:spacing w:val="-2"/>
        </w:rPr>
        <w:t>his</w:t>
      </w:r>
      <w:r>
        <w:rPr>
          <w:spacing w:val="-10"/>
        </w:rPr>
        <w:t> </w:t>
      </w:r>
      <w:r>
        <w:rPr>
          <w:spacing w:val="-2"/>
        </w:rPr>
        <w:t>novels</w:t>
      </w:r>
      <w:r>
        <w:rPr>
          <w:spacing w:val="-10"/>
        </w:rPr>
        <w:t> </w:t>
      </w:r>
      <w:r>
        <w:rPr>
          <w:spacing w:val="-2"/>
        </w:rPr>
        <w:t>often</w:t>
      </w:r>
      <w:r>
        <w:rPr>
          <w:spacing w:val="-10"/>
        </w:rPr>
        <w:t> </w:t>
      </w:r>
      <w:r>
        <w:rPr>
          <w:spacing w:val="-2"/>
        </w:rPr>
        <w:t>challenge</w:t>
      </w:r>
      <w:r>
        <w:rPr>
          <w:spacing w:val="-5"/>
        </w:rPr>
        <w:t> </w:t>
      </w:r>
      <w:r>
        <w:rPr>
          <w:spacing w:val="-2"/>
        </w:rPr>
        <w:t>human</w:t>
      </w:r>
      <w:r>
        <w:rPr>
          <w:spacing w:val="-10"/>
        </w:rPr>
        <w:t> </w:t>
      </w:r>
      <w:r>
        <w:rPr>
          <w:spacing w:val="-2"/>
        </w:rPr>
        <w:t>authority,</w:t>
      </w:r>
      <w:r>
        <w:rPr>
          <w:spacing w:val="-8"/>
        </w:rPr>
        <w:t> </w:t>
      </w:r>
      <w:r>
        <w:rPr>
          <w:spacing w:val="-2"/>
        </w:rPr>
        <w:t>reminding </w:t>
      </w:r>
      <w:r>
        <w:rPr/>
        <w:t>readers of the limits of human power. This perspective aligns with ecofeminist ethics, which calls for humility, respect, and a shift from domination to</w:t>
      </w:r>
      <w:r>
        <w:rPr>
          <w:spacing w:val="40"/>
        </w:rPr>
        <w:t> </w:t>
      </w:r>
      <w:r>
        <w:rPr/>
        <w:t>coexistence.</w:t>
      </w:r>
    </w:p>
    <w:p>
      <w:pPr>
        <w:pStyle w:val="BodyText"/>
        <w:spacing w:line="249" w:lineRule="auto" w:before="63"/>
        <w:ind w:right="1440" w:firstLine="432"/>
        <w:jc w:val="both"/>
      </w:pPr>
      <w:r>
        <w:rPr/>
        <w:t>The works of Amitav Ghosh strongly reflect ecofeminist ethical principles. By highlighting the interconnected oppression of women</w:t>
      </w:r>
      <w:r>
        <w:rPr>
          <w:spacing w:val="40"/>
        </w:rPr>
        <w:t> </w:t>
      </w:r>
      <w:r>
        <w:rPr/>
        <w:t>and</w:t>
      </w:r>
      <w:r>
        <w:rPr>
          <w:spacing w:val="18"/>
        </w:rPr>
        <w:t> </w:t>
      </w:r>
      <w:r>
        <w:rPr/>
        <w:t>nature,</w:t>
      </w:r>
      <w:r>
        <w:rPr>
          <w:spacing w:val="18"/>
        </w:rPr>
        <w:t> </w:t>
      </w:r>
      <w:r>
        <w:rPr/>
        <w:t>valuing</w:t>
      </w:r>
      <w:r>
        <w:rPr>
          <w:spacing w:val="16"/>
        </w:rPr>
        <w:t> </w:t>
      </w:r>
      <w:r>
        <w:rPr/>
        <w:t>indigenous</w:t>
      </w:r>
      <w:r>
        <w:rPr>
          <w:spacing w:val="19"/>
        </w:rPr>
        <w:t> </w:t>
      </w:r>
      <w:r>
        <w:rPr/>
        <w:t>knowledge,</w:t>
      </w:r>
      <w:r>
        <w:rPr>
          <w:spacing w:val="18"/>
        </w:rPr>
        <w:t> </w:t>
      </w:r>
      <w:r>
        <w:rPr/>
        <w:t>and</w:t>
      </w:r>
      <w:r>
        <w:rPr>
          <w:spacing w:val="20"/>
        </w:rPr>
        <w:t> </w:t>
      </w:r>
      <w:r>
        <w:rPr/>
        <w:t>critiquing</w:t>
      </w:r>
      <w:r>
        <w:rPr>
          <w:spacing w:val="16"/>
        </w:rPr>
        <w:t> </w:t>
      </w:r>
      <w:r>
        <w:rPr>
          <w:spacing w:val="-2"/>
        </w:rPr>
        <w:t>exploitative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4576">
                <wp:simplePos x="0" y="0"/>
                <wp:positionH relativeFrom="page">
                  <wp:posOffset>2057400</wp:posOffset>
                </wp:positionH>
                <wp:positionV relativeFrom="paragraph">
                  <wp:posOffset>162604</wp:posOffset>
                </wp:positionV>
                <wp:extent cx="3657600" cy="12700"/>
                <wp:effectExtent l="0" t="0" r="0" b="0"/>
                <wp:wrapTopAndBottom/>
                <wp:docPr id="363" name="Graphic 363"/>
                <wp:cNvGraphicFramePr>
                  <a:graphicFrameLocks/>
                </wp:cNvGraphicFramePr>
                <a:graphic>
                  <a:graphicData uri="http://schemas.microsoft.com/office/word/2010/wordprocessingShape">
                    <wps:wsp>
                      <wps:cNvPr id="363" name="Graphic 36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11904;mso-wrap-distance-left:0;mso-wrap-distance-right:0" id="docshape359" filled="true" fillcolor="#000000" stroked="false">
                <v:fill type="solid"/>
                <w10:wrap type="topAndBottom"/>
              </v:rect>
            </w:pict>
          </mc:Fallback>
        </mc:AlternateContent>
      </w:r>
      <w:r>
        <w:rPr>
          <w:rFonts w:ascii="Verdana"/>
          <w:spacing w:val="-5"/>
          <w:sz w:val="18"/>
        </w:rPr>
        <w:t>138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2"/>
        <w:jc w:val="both"/>
      </w:pPr>
      <w:r>
        <w:rPr/>
        <w:t>systems, Ghosh presents a compelling vision of ecological and social justice. His writings urge readers to rethink their relationship with the environment and to adopt a more caring, inclusive, and sustainable approach</w:t>
      </w:r>
      <w:r>
        <w:rPr>
          <w:spacing w:val="40"/>
        </w:rPr>
        <w:t> </w:t>
      </w:r>
      <w:r>
        <w:rPr/>
        <w:t>to</w:t>
      </w:r>
      <w:r>
        <w:rPr>
          <w:spacing w:val="40"/>
        </w:rPr>
        <w:t> </w:t>
      </w:r>
      <w:r>
        <w:rPr/>
        <w:t>the</w:t>
      </w:r>
      <w:r>
        <w:rPr>
          <w:spacing w:val="40"/>
        </w:rPr>
        <w:t> </w:t>
      </w:r>
      <w:r>
        <w:rPr/>
        <w:t>world.</w:t>
      </w:r>
    </w:p>
    <w:p>
      <w:pPr>
        <w:pStyle w:val="BodyText"/>
        <w:spacing w:line="261" w:lineRule="auto" w:before="68"/>
        <w:ind w:right="1438" w:firstLine="432"/>
        <w:jc w:val="both"/>
      </w:pPr>
      <w:r>
        <w:rPr/>
        <w:t>In the works of Amitav Ghosh, ecofeminist ethics is explicitly present through his focus on environmental crises, marginalized communities, and the role of women in sustaining ecological balance.</w:t>
      </w:r>
      <w:r>
        <w:rPr>
          <w:spacing w:val="40"/>
        </w:rPr>
        <w:t> </w:t>
      </w:r>
      <w:r>
        <w:rPr/>
        <w:t>In The Hungry Tide, the fragile ecosystem of the Sundarbans becomes</w:t>
      </w:r>
      <w:r>
        <w:rPr>
          <w:spacing w:val="40"/>
        </w:rPr>
        <w:t> </w:t>
      </w:r>
      <w:r>
        <w:rPr/>
        <w:t>a central force that shapes human life. Women characters such as Kusum represent the suffering of those who depend directly on nature for survival. Her tragic fate reflects how</w:t>
      </w:r>
      <w:r>
        <w:rPr>
          <w:spacing w:val="-4"/>
        </w:rPr>
        <w:t> </w:t>
      </w:r>
      <w:r>
        <w:rPr/>
        <w:t>poor and marginalized women are often the first victims of environmental destruction and political neglect.</w:t>
      </w:r>
      <w:r>
        <w:rPr>
          <w:spacing w:val="-8"/>
        </w:rPr>
        <w:t> </w:t>
      </w:r>
      <w:r>
        <w:rPr/>
        <w:t>Similarly,</w:t>
      </w:r>
      <w:r>
        <w:rPr>
          <w:spacing w:val="-8"/>
        </w:rPr>
        <w:t> </w:t>
      </w:r>
      <w:r>
        <w:rPr/>
        <w:t>Piya’s</w:t>
      </w:r>
      <w:r>
        <w:rPr>
          <w:spacing w:val="-11"/>
        </w:rPr>
        <w:t> </w:t>
      </w:r>
      <w:r>
        <w:rPr/>
        <w:t>scientific</w:t>
      </w:r>
      <w:r>
        <w:rPr>
          <w:spacing w:val="-7"/>
        </w:rPr>
        <w:t> </w:t>
      </w:r>
      <w:r>
        <w:rPr/>
        <w:t>engagement</w:t>
      </w:r>
      <w:r>
        <w:rPr>
          <w:spacing w:val="-10"/>
        </w:rPr>
        <w:t> </w:t>
      </w:r>
      <w:r>
        <w:rPr/>
        <w:t>with</w:t>
      </w:r>
      <w:r>
        <w:rPr>
          <w:spacing w:val="-8"/>
        </w:rPr>
        <w:t> </w:t>
      </w:r>
      <w:r>
        <w:rPr/>
        <w:t>marine</w:t>
      </w:r>
      <w:r>
        <w:rPr>
          <w:spacing w:val="-9"/>
        </w:rPr>
        <w:t> </w:t>
      </w:r>
      <w:r>
        <w:rPr/>
        <w:t>life</w:t>
      </w:r>
      <w:r>
        <w:rPr>
          <w:spacing w:val="-8"/>
        </w:rPr>
        <w:t> </w:t>
      </w:r>
      <w:r>
        <w:rPr/>
        <w:t>reflects a respectful and ethical relationship with nature, rather than one based on domination.</w:t>
      </w:r>
    </w:p>
    <w:p>
      <w:pPr>
        <w:pStyle w:val="BodyText"/>
        <w:spacing w:line="261" w:lineRule="auto" w:before="51"/>
        <w:ind w:right="1437" w:firstLine="432"/>
        <w:jc w:val="both"/>
      </w:pPr>
      <w:r>
        <w:rPr/>
        <w:t>In Gun Island, Ghosh expands ecofeminist concerns to a global level, linking climate change with migration and social inequality. The novel shows how environmental disasters disproportionately affect vulnerable populations, especially women. Ghosh’s works emphasize interconnectedness, indigenous knowledge, and the need for a harmonious relationship between humans and nature, aligning closely with</w:t>
      </w:r>
      <w:r>
        <w:rPr>
          <w:spacing w:val="10"/>
        </w:rPr>
        <w:t> </w:t>
      </w:r>
      <w:r>
        <w:rPr/>
        <w:t>ecofeminist</w:t>
      </w:r>
      <w:r>
        <w:rPr>
          <w:spacing w:val="9"/>
        </w:rPr>
        <w:t> </w:t>
      </w:r>
      <w:r>
        <w:rPr/>
        <w:t>principles</w:t>
      </w:r>
      <w:r>
        <w:rPr>
          <w:spacing w:val="10"/>
        </w:rPr>
        <w:t> </w:t>
      </w:r>
      <w:r>
        <w:rPr/>
        <w:t>advocated</w:t>
      </w:r>
      <w:r>
        <w:rPr>
          <w:spacing w:val="13"/>
        </w:rPr>
        <w:t> </w:t>
      </w:r>
      <w:r>
        <w:rPr/>
        <w:t>by</w:t>
      </w:r>
      <w:r>
        <w:rPr>
          <w:spacing w:val="7"/>
        </w:rPr>
        <w:t> </w:t>
      </w:r>
      <w:r>
        <w:rPr/>
        <w:t>thinkers</w:t>
      </w:r>
      <w:r>
        <w:rPr>
          <w:spacing w:val="7"/>
        </w:rPr>
        <w:t> </w:t>
      </w:r>
      <w:r>
        <w:rPr/>
        <w:t>like</w:t>
      </w:r>
      <w:r>
        <w:rPr>
          <w:spacing w:val="9"/>
        </w:rPr>
        <w:t> </w:t>
      </w:r>
      <w:r>
        <w:rPr/>
        <w:t>Vandana</w:t>
      </w:r>
      <w:r>
        <w:rPr>
          <w:spacing w:val="11"/>
        </w:rPr>
        <w:t> </w:t>
      </w:r>
      <w:r>
        <w:rPr>
          <w:spacing w:val="-2"/>
        </w:rPr>
        <w:t>Shiva.</w:t>
      </w:r>
    </w:p>
    <w:p>
      <w:pPr>
        <w:pStyle w:val="BodyText"/>
        <w:spacing w:line="261" w:lineRule="auto" w:before="55"/>
        <w:ind w:right="1439" w:firstLine="432"/>
        <w:jc w:val="both"/>
      </w:pPr>
      <w:r>
        <w:rPr/>
        <w:t>On the other hand, the works of William Shakespeare present ecofeminist</w:t>
      </w:r>
      <w:r>
        <w:rPr>
          <w:spacing w:val="-10"/>
        </w:rPr>
        <w:t> </w:t>
      </w:r>
      <w:r>
        <w:rPr/>
        <w:t>ideas</w:t>
      </w:r>
      <w:r>
        <w:rPr>
          <w:spacing w:val="-13"/>
        </w:rPr>
        <w:t> </w:t>
      </w:r>
      <w:r>
        <w:rPr/>
        <w:t>in</w:t>
      </w:r>
      <w:r>
        <w:rPr>
          <w:spacing w:val="-9"/>
        </w:rPr>
        <w:t> </w:t>
      </w:r>
      <w:r>
        <w:rPr/>
        <w:t>a</w:t>
      </w:r>
      <w:r>
        <w:rPr>
          <w:spacing w:val="-9"/>
        </w:rPr>
        <w:t> </w:t>
      </w:r>
      <w:r>
        <w:rPr/>
        <w:t>more</w:t>
      </w:r>
      <w:r>
        <w:rPr>
          <w:spacing w:val="-11"/>
        </w:rPr>
        <w:t> </w:t>
      </w:r>
      <w:r>
        <w:rPr/>
        <w:t>implicit</w:t>
      </w:r>
      <w:r>
        <w:rPr>
          <w:spacing w:val="-10"/>
        </w:rPr>
        <w:t> </w:t>
      </w:r>
      <w:r>
        <w:rPr/>
        <w:t>and</w:t>
      </w:r>
      <w:r>
        <w:rPr>
          <w:spacing w:val="-10"/>
        </w:rPr>
        <w:t> </w:t>
      </w:r>
      <w:r>
        <w:rPr/>
        <w:t>symbolic</w:t>
      </w:r>
      <w:r>
        <w:rPr>
          <w:spacing w:val="-9"/>
        </w:rPr>
        <w:t> </w:t>
      </w:r>
      <w:r>
        <w:rPr/>
        <w:t>manner.</w:t>
      </w:r>
      <w:r>
        <w:rPr>
          <w:spacing w:val="-10"/>
        </w:rPr>
        <w:t> </w:t>
      </w:r>
      <w:r>
        <w:rPr/>
        <w:t>In</w:t>
      </w:r>
      <w:r>
        <w:rPr>
          <w:spacing w:val="-11"/>
        </w:rPr>
        <w:t> </w:t>
      </w:r>
      <w:r>
        <w:rPr/>
        <w:t>King</w:t>
      </w:r>
      <w:r>
        <w:rPr>
          <w:spacing w:val="-10"/>
        </w:rPr>
        <w:t> </w:t>
      </w:r>
      <w:r>
        <w:rPr/>
        <w:t>Lear, the disturbance in the natural world, represented by the storm, reflects the breakdown of moral and familial order, particularly Lear’s unjust treatment of his daughters. The chaos in nature parallels the consequences</w:t>
      </w:r>
      <w:r>
        <w:rPr>
          <w:spacing w:val="-9"/>
        </w:rPr>
        <w:t> </w:t>
      </w:r>
      <w:r>
        <w:rPr/>
        <w:t>of</w:t>
      </w:r>
      <w:r>
        <w:rPr>
          <w:spacing w:val="-13"/>
        </w:rPr>
        <w:t> </w:t>
      </w:r>
      <w:r>
        <w:rPr/>
        <w:t>patriarchal</w:t>
      </w:r>
      <w:r>
        <w:rPr>
          <w:spacing w:val="-9"/>
        </w:rPr>
        <w:t> </w:t>
      </w:r>
      <w:r>
        <w:rPr/>
        <w:t>authority</w:t>
      </w:r>
      <w:r>
        <w:rPr>
          <w:spacing w:val="-11"/>
        </w:rPr>
        <w:t> </w:t>
      </w:r>
      <w:r>
        <w:rPr/>
        <w:t>and</w:t>
      </w:r>
      <w:r>
        <w:rPr>
          <w:spacing w:val="-9"/>
        </w:rPr>
        <w:t> </w:t>
      </w:r>
      <w:r>
        <w:rPr/>
        <w:t>misuse</w:t>
      </w:r>
      <w:r>
        <w:rPr>
          <w:spacing w:val="-8"/>
        </w:rPr>
        <w:t> </w:t>
      </w:r>
      <w:r>
        <w:rPr/>
        <w:t>of</w:t>
      </w:r>
      <w:r>
        <w:rPr>
          <w:spacing w:val="-9"/>
        </w:rPr>
        <w:t> </w:t>
      </w:r>
      <w:r>
        <w:rPr/>
        <w:t>power.</w:t>
      </w:r>
      <w:r>
        <w:rPr>
          <w:spacing w:val="-11"/>
        </w:rPr>
        <w:t> </w:t>
      </w:r>
      <w:r>
        <w:rPr/>
        <w:t>Similarly,</w:t>
      </w:r>
      <w:r>
        <w:rPr>
          <w:spacing w:val="-8"/>
        </w:rPr>
        <w:t> </w:t>
      </w:r>
      <w:r>
        <w:rPr/>
        <w:t>in Macbeth, unnatural events in</w:t>
      </w:r>
      <w:r>
        <w:rPr>
          <w:spacing w:val="-2"/>
        </w:rPr>
        <w:t> </w:t>
      </w:r>
      <w:r>
        <w:rPr/>
        <w:t>nature</w:t>
      </w:r>
      <w:r>
        <w:rPr>
          <w:spacing w:val="-2"/>
        </w:rPr>
        <w:t> </w:t>
      </w:r>
      <w:r>
        <w:rPr/>
        <w:t>mirror the moral</w:t>
      </w:r>
      <w:r>
        <w:rPr>
          <w:spacing w:val="-1"/>
        </w:rPr>
        <w:t> </w:t>
      </w:r>
      <w:r>
        <w:rPr/>
        <w:t>corruption</w:t>
      </w:r>
      <w:r>
        <w:rPr>
          <w:spacing w:val="-2"/>
        </w:rPr>
        <w:t> </w:t>
      </w:r>
      <w:r>
        <w:rPr/>
        <w:t>caused by ambition and violence. Lady Macbeth’s rejection of traditional femininity and the disruption of natural order highlight the dangers of imbalance</w:t>
      </w:r>
      <w:r>
        <w:rPr>
          <w:spacing w:val="40"/>
        </w:rPr>
        <w:t> </w:t>
      </w:r>
      <w:r>
        <w:rPr/>
        <w:t>between</w:t>
      </w:r>
      <w:r>
        <w:rPr>
          <w:spacing w:val="40"/>
        </w:rPr>
        <w:t> </w:t>
      </w:r>
      <w:r>
        <w:rPr/>
        <w:t>gender</w:t>
      </w:r>
      <w:r>
        <w:rPr>
          <w:spacing w:val="40"/>
        </w:rPr>
        <w:t> </w:t>
      </w:r>
      <w:r>
        <w:rPr/>
        <w:t>roles</w:t>
      </w:r>
      <w:r>
        <w:rPr>
          <w:spacing w:val="40"/>
        </w:rPr>
        <w:t> </w:t>
      </w:r>
      <w:r>
        <w:rPr/>
        <w:t>and</w:t>
      </w:r>
      <w:r>
        <w:rPr>
          <w:spacing w:val="40"/>
        </w:rPr>
        <w:t> </w:t>
      </w:r>
      <w:r>
        <w:rPr/>
        <w:t>ethical</w:t>
      </w:r>
      <w:r>
        <w:rPr>
          <w:spacing w:val="40"/>
        </w:rPr>
        <w:t> </w:t>
      </w:r>
      <w:r>
        <w:rPr/>
        <w:t>values.</w:t>
      </w:r>
    </w:p>
    <w:p>
      <w:pPr>
        <w:pStyle w:val="BodyText"/>
        <w:spacing w:line="261" w:lineRule="auto" w:before="49"/>
        <w:ind w:right="1440" w:firstLine="432"/>
        <w:jc w:val="both"/>
      </w:pPr>
      <w:r>
        <w:rPr/>
        <w:t>In</w:t>
      </w:r>
      <w:r>
        <w:rPr>
          <w:spacing w:val="-10"/>
        </w:rPr>
        <w:t> </w:t>
      </w:r>
      <w:r>
        <w:rPr/>
        <w:t>A</w:t>
      </w:r>
      <w:r>
        <w:rPr>
          <w:spacing w:val="-13"/>
        </w:rPr>
        <w:t> </w:t>
      </w:r>
      <w:r>
        <w:rPr/>
        <w:t>Midsummer Night’s</w:t>
      </w:r>
      <w:r>
        <w:rPr>
          <w:spacing w:val="-1"/>
        </w:rPr>
        <w:t> </w:t>
      </w:r>
      <w:r>
        <w:rPr/>
        <w:t>Dream, the</w:t>
      </w:r>
      <w:r>
        <w:rPr>
          <w:spacing w:val="-1"/>
        </w:rPr>
        <w:t> </w:t>
      </w:r>
      <w:r>
        <w:rPr/>
        <w:t>conflict between</w:t>
      </w:r>
      <w:r>
        <w:rPr>
          <w:spacing w:val="-4"/>
        </w:rPr>
        <w:t> </w:t>
      </w:r>
      <w:r>
        <w:rPr/>
        <w:t>Titania and </w:t>
      </w:r>
      <w:r>
        <w:rPr>
          <w:spacing w:val="-2"/>
        </w:rPr>
        <w:t>Oberon</w:t>
      </w:r>
      <w:r>
        <w:rPr>
          <w:spacing w:val="-4"/>
        </w:rPr>
        <w:t> </w:t>
      </w:r>
      <w:r>
        <w:rPr>
          <w:spacing w:val="-2"/>
        </w:rPr>
        <w:t>leads</w:t>
      </w:r>
      <w:r>
        <w:rPr>
          <w:spacing w:val="-4"/>
        </w:rPr>
        <w:t> </w:t>
      </w:r>
      <w:r>
        <w:rPr>
          <w:spacing w:val="-2"/>
        </w:rPr>
        <w:t>to ecological</w:t>
      </w:r>
      <w:r>
        <w:rPr>
          <w:spacing w:val="-4"/>
        </w:rPr>
        <w:t> </w:t>
      </w:r>
      <w:r>
        <w:rPr>
          <w:spacing w:val="-2"/>
        </w:rPr>
        <w:t>imbalance, symbolizing</w:t>
      </w:r>
      <w:r>
        <w:rPr>
          <w:spacing w:val="-4"/>
        </w:rPr>
        <w:t> </w:t>
      </w:r>
      <w:r>
        <w:rPr>
          <w:spacing w:val="-2"/>
        </w:rPr>
        <w:t>how</w:t>
      </w:r>
      <w:r>
        <w:rPr>
          <w:spacing w:val="-4"/>
        </w:rPr>
        <w:t> </w:t>
      </w:r>
      <w:r>
        <w:rPr>
          <w:spacing w:val="-2"/>
        </w:rPr>
        <w:t>domination</w:t>
      </w:r>
      <w:r>
        <w:rPr>
          <w:spacing w:val="-4"/>
        </w:rPr>
        <w:t> </w:t>
      </w:r>
      <w:r>
        <w:rPr>
          <w:spacing w:val="-2"/>
        </w:rPr>
        <w:t>over </w:t>
      </w:r>
      <w:r>
        <w:rPr/>
        <w:t>women is linked with disruption in nature. Titania’s association with fertility</w:t>
      </w:r>
      <w:r>
        <w:rPr>
          <w:spacing w:val="-10"/>
        </w:rPr>
        <w:t> </w:t>
      </w:r>
      <w:r>
        <w:rPr/>
        <w:t>and</w:t>
      </w:r>
      <w:r>
        <w:rPr>
          <w:spacing w:val="-5"/>
        </w:rPr>
        <w:t> </w:t>
      </w:r>
      <w:r>
        <w:rPr/>
        <w:t>the</w:t>
      </w:r>
      <w:r>
        <w:rPr>
          <w:spacing w:val="-8"/>
        </w:rPr>
        <w:t> </w:t>
      </w:r>
      <w:r>
        <w:rPr/>
        <w:t>natural</w:t>
      </w:r>
      <w:r>
        <w:rPr>
          <w:spacing w:val="-8"/>
        </w:rPr>
        <w:t> </w:t>
      </w:r>
      <w:r>
        <w:rPr/>
        <w:t>world</w:t>
      </w:r>
      <w:r>
        <w:rPr>
          <w:spacing w:val="-6"/>
        </w:rPr>
        <w:t> </w:t>
      </w:r>
      <w:r>
        <w:rPr/>
        <w:t>reflects</w:t>
      </w:r>
      <w:r>
        <w:rPr>
          <w:spacing w:val="-5"/>
        </w:rPr>
        <w:t> </w:t>
      </w:r>
      <w:r>
        <w:rPr/>
        <w:t>ecofeminist</w:t>
      </w:r>
      <w:r>
        <w:rPr>
          <w:spacing w:val="-6"/>
        </w:rPr>
        <w:t> </w:t>
      </w:r>
      <w:r>
        <w:rPr/>
        <w:t>ideas</w:t>
      </w:r>
      <w:r>
        <w:rPr>
          <w:spacing w:val="-8"/>
        </w:rPr>
        <w:t> </w:t>
      </w:r>
      <w:r>
        <w:rPr/>
        <w:t>of</w:t>
      </w:r>
      <w:r>
        <w:rPr>
          <w:spacing w:val="-6"/>
        </w:rPr>
        <w:t> </w:t>
      </w:r>
      <w:r>
        <w:rPr/>
        <w:t>nurturing</w:t>
      </w:r>
      <w:r>
        <w:rPr>
          <w:spacing w:val="-10"/>
        </w:rPr>
        <w:t> </w:t>
      </w:r>
      <w:r>
        <w:rPr/>
        <w:t>and interconnectedness.</w:t>
      </w:r>
      <w:r>
        <w:rPr>
          <w:spacing w:val="-2"/>
        </w:rPr>
        <w:t> </w:t>
      </w:r>
      <w:r>
        <w:rPr/>
        <w:t>Likewise,</w:t>
      </w:r>
      <w:r>
        <w:rPr>
          <w:spacing w:val="-2"/>
        </w:rPr>
        <w:t> </w:t>
      </w:r>
      <w:r>
        <w:rPr/>
        <w:t>The</w:t>
      </w:r>
      <w:r>
        <w:rPr>
          <w:spacing w:val="-5"/>
        </w:rPr>
        <w:t> </w:t>
      </w:r>
      <w:r>
        <w:rPr/>
        <w:t>Tempest</w:t>
      </w:r>
      <w:r>
        <w:rPr>
          <w:spacing w:val="-2"/>
        </w:rPr>
        <w:t> </w:t>
      </w:r>
      <w:r>
        <w:rPr/>
        <w:t>presents</w:t>
      </w:r>
      <w:r>
        <w:rPr>
          <w:spacing w:val="-2"/>
        </w:rPr>
        <w:t> </w:t>
      </w:r>
      <w:r>
        <w:rPr/>
        <w:t>Prospero’s</w:t>
      </w:r>
      <w:r>
        <w:rPr>
          <w:spacing w:val="-3"/>
        </w:rPr>
        <w:t> </w:t>
      </w:r>
      <w:r>
        <w:rPr/>
        <w:t>control over</w:t>
      </w:r>
      <w:r>
        <w:rPr>
          <w:spacing w:val="-8"/>
        </w:rPr>
        <w:t> </w:t>
      </w:r>
      <w:r>
        <w:rPr/>
        <w:t>the</w:t>
      </w:r>
      <w:r>
        <w:rPr>
          <w:spacing w:val="-9"/>
        </w:rPr>
        <w:t> </w:t>
      </w:r>
      <w:r>
        <w:rPr/>
        <w:t>island</w:t>
      </w:r>
      <w:r>
        <w:rPr>
          <w:spacing w:val="-9"/>
        </w:rPr>
        <w:t> </w:t>
      </w:r>
      <w:r>
        <w:rPr/>
        <w:t>as</w:t>
      </w:r>
      <w:r>
        <w:rPr>
          <w:spacing w:val="-9"/>
        </w:rPr>
        <w:t> </w:t>
      </w:r>
      <w:r>
        <w:rPr/>
        <w:t>a</w:t>
      </w:r>
      <w:r>
        <w:rPr>
          <w:spacing w:val="-8"/>
        </w:rPr>
        <w:t> </w:t>
      </w:r>
      <w:r>
        <w:rPr/>
        <w:t>form</w:t>
      </w:r>
      <w:r>
        <w:rPr>
          <w:spacing w:val="-12"/>
        </w:rPr>
        <w:t> </w:t>
      </w:r>
      <w:r>
        <w:rPr/>
        <w:t>of</w:t>
      </w:r>
      <w:r>
        <w:rPr>
          <w:spacing w:val="-11"/>
        </w:rPr>
        <w:t> </w:t>
      </w:r>
      <w:r>
        <w:rPr/>
        <w:t>domination</w:t>
      </w:r>
      <w:r>
        <w:rPr>
          <w:spacing w:val="-9"/>
        </w:rPr>
        <w:t> </w:t>
      </w:r>
      <w:r>
        <w:rPr/>
        <w:t>over</w:t>
      </w:r>
      <w:r>
        <w:rPr>
          <w:spacing w:val="-7"/>
        </w:rPr>
        <w:t> </w:t>
      </w:r>
      <w:r>
        <w:rPr/>
        <w:t>both</w:t>
      </w:r>
      <w:r>
        <w:rPr>
          <w:spacing w:val="-9"/>
        </w:rPr>
        <w:t> </w:t>
      </w:r>
      <w:r>
        <w:rPr/>
        <w:t>nature</w:t>
      </w:r>
      <w:r>
        <w:rPr>
          <w:spacing w:val="-8"/>
        </w:rPr>
        <w:t> </w:t>
      </w:r>
      <w:r>
        <w:rPr/>
        <w:t>and</w:t>
      </w:r>
      <w:r>
        <w:rPr>
          <w:spacing w:val="-7"/>
        </w:rPr>
        <w:t> </w:t>
      </w:r>
      <w:r>
        <w:rPr>
          <w:spacing w:val="-2"/>
        </w:rPr>
        <w:t>subordinate</w:t>
      </w:r>
    </w:p>
    <w:p>
      <w:pPr>
        <w:pStyle w:val="BodyText"/>
        <w:spacing w:after="0" w:line="261" w:lineRule="auto"/>
        <w:jc w:val="both"/>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5088">
                <wp:simplePos x="0" y="0"/>
                <wp:positionH relativeFrom="page">
                  <wp:posOffset>2065020</wp:posOffset>
                </wp:positionH>
                <wp:positionV relativeFrom="paragraph">
                  <wp:posOffset>795020</wp:posOffset>
                </wp:positionV>
                <wp:extent cx="3657600" cy="12700"/>
                <wp:effectExtent l="0" t="0" r="0" b="0"/>
                <wp:wrapTopAndBottom/>
                <wp:docPr id="364" name="Graphic 364"/>
                <wp:cNvGraphicFramePr>
                  <a:graphicFrameLocks/>
                </wp:cNvGraphicFramePr>
                <a:graphic>
                  <a:graphicData uri="http://schemas.microsoft.com/office/word/2010/wordprocessingShape">
                    <wps:wsp>
                      <wps:cNvPr id="364" name="Graphic 36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11392;mso-wrap-distance-left:0;mso-wrap-distance-right:0" id="docshape360" filled="true" fillcolor="#000000" stroked="false">
                <v:fill type="solid"/>
                <w10:wrap type="topAndBottom"/>
              </v:rect>
            </w:pict>
          </mc:Fallback>
        </mc:AlternateContent>
      </w:r>
      <w:r>
        <w:rPr>
          <w:rFonts w:ascii="Verdana"/>
          <w:spacing w:val="-2"/>
          <w:sz w:val="18"/>
        </w:rPr>
        <w:t>Eco-Feminist</w:t>
      </w:r>
      <w:r>
        <w:rPr>
          <w:rFonts w:ascii="Verdana"/>
          <w:spacing w:val="11"/>
          <w:sz w:val="18"/>
        </w:rPr>
        <w:t> </w:t>
      </w:r>
      <w:r>
        <w:rPr>
          <w:rFonts w:ascii="Verdana"/>
          <w:spacing w:val="-2"/>
          <w:sz w:val="18"/>
        </w:rPr>
        <w:t>Ethics</w:t>
      </w:r>
      <w:r>
        <w:rPr>
          <w:rFonts w:ascii="Verdana"/>
          <w:spacing w:val="11"/>
          <w:sz w:val="18"/>
        </w:rPr>
        <w:t> </w:t>
      </w:r>
      <w:r>
        <w:rPr>
          <w:rFonts w:ascii="Verdana"/>
          <w:spacing w:val="-2"/>
          <w:sz w:val="18"/>
        </w:rPr>
        <w:t>in</w:t>
      </w:r>
      <w:r>
        <w:rPr>
          <w:rFonts w:ascii="Verdana"/>
          <w:spacing w:val="13"/>
          <w:sz w:val="18"/>
        </w:rPr>
        <w:t> </w:t>
      </w:r>
      <w:r>
        <w:rPr>
          <w:rFonts w:ascii="Verdana"/>
          <w:spacing w:val="-2"/>
          <w:sz w:val="18"/>
        </w:rPr>
        <w:t>The</w:t>
      </w:r>
      <w:r>
        <w:rPr>
          <w:rFonts w:ascii="Verdana"/>
          <w:spacing w:val="12"/>
          <w:sz w:val="18"/>
        </w:rPr>
        <w:t> </w:t>
      </w:r>
      <w:r>
        <w:rPr>
          <w:rFonts w:ascii="Verdana"/>
          <w:spacing w:val="-2"/>
          <w:sz w:val="18"/>
        </w:rPr>
        <w:t>Selected</w:t>
      </w:r>
      <w:r>
        <w:rPr>
          <w:rFonts w:ascii="Verdana"/>
          <w:spacing w:val="12"/>
          <w:sz w:val="18"/>
        </w:rPr>
        <w:t> </w:t>
      </w:r>
      <w:r>
        <w:rPr>
          <w:rFonts w:ascii="Verdana"/>
          <w:spacing w:val="-2"/>
          <w:sz w:val="18"/>
        </w:rPr>
        <w:t>Works</w:t>
      </w:r>
      <w:r>
        <w:rPr>
          <w:rFonts w:ascii="Verdana"/>
          <w:spacing w:val="13"/>
          <w:sz w:val="18"/>
        </w:rPr>
        <w:t> </w:t>
      </w:r>
      <w:r>
        <w:rPr>
          <w:rFonts w:ascii="Verdana"/>
          <w:spacing w:val="-2"/>
          <w:sz w:val="18"/>
        </w:rPr>
        <w:t>of</w:t>
      </w:r>
      <w:r>
        <w:rPr>
          <w:rFonts w:ascii="Verdana"/>
          <w:spacing w:val="12"/>
          <w:sz w:val="18"/>
        </w:rPr>
        <w:t> </w:t>
      </w:r>
      <w:r>
        <w:rPr>
          <w:rFonts w:ascii="Verdana"/>
          <w:spacing w:val="-2"/>
          <w:sz w:val="18"/>
        </w:rPr>
        <w:t>William</w:t>
      </w:r>
      <w:r>
        <w:rPr>
          <w:sz w:val="18"/>
        </w:rPr>
        <w:tab/>
      </w:r>
      <w:r>
        <w:rPr>
          <w:rFonts w:ascii="Verdana"/>
          <w:spacing w:val="-5"/>
          <w:sz w:val="18"/>
        </w:rPr>
        <w:t>139</w:t>
      </w:r>
    </w:p>
    <w:p>
      <w:pPr>
        <w:pStyle w:val="BodyText"/>
        <w:spacing w:line="261" w:lineRule="auto" w:before="199"/>
        <w:ind w:right="1437"/>
      </w:pPr>
      <w:r>
        <w:rPr/>
        <w:t>figures,</w:t>
      </w:r>
      <w:r>
        <w:rPr>
          <w:spacing w:val="23"/>
        </w:rPr>
        <w:t> </w:t>
      </w:r>
      <w:r>
        <w:rPr/>
        <w:t>including</w:t>
      </w:r>
      <w:r>
        <w:rPr>
          <w:spacing w:val="21"/>
        </w:rPr>
        <w:t> </w:t>
      </w:r>
      <w:r>
        <w:rPr/>
        <w:t>Miranda</w:t>
      </w:r>
      <w:r>
        <w:rPr>
          <w:spacing w:val="22"/>
        </w:rPr>
        <w:t> </w:t>
      </w:r>
      <w:r>
        <w:rPr/>
        <w:t>and</w:t>
      </w:r>
      <w:r>
        <w:rPr>
          <w:spacing w:val="25"/>
        </w:rPr>
        <w:t> </w:t>
      </w:r>
      <w:r>
        <w:rPr/>
        <w:t>Caliban,</w:t>
      </w:r>
      <w:r>
        <w:rPr>
          <w:spacing w:val="21"/>
        </w:rPr>
        <w:t> </w:t>
      </w:r>
      <w:r>
        <w:rPr/>
        <w:t>reflecting</w:t>
      </w:r>
      <w:r>
        <w:rPr>
          <w:spacing w:val="23"/>
        </w:rPr>
        <w:t> </w:t>
      </w:r>
      <w:r>
        <w:rPr/>
        <w:t>hierarchical</w:t>
      </w:r>
      <w:r>
        <w:rPr>
          <w:spacing w:val="21"/>
        </w:rPr>
        <w:t> </w:t>
      </w:r>
      <w:r>
        <w:rPr/>
        <w:t>power </w:t>
      </w:r>
      <w:r>
        <w:rPr>
          <w:spacing w:val="-2"/>
        </w:rPr>
        <w:t>structures.</w:t>
      </w:r>
    </w:p>
    <w:p>
      <w:pPr>
        <w:pStyle w:val="Heading5"/>
        <w:numPr>
          <w:ilvl w:val="1"/>
          <w:numId w:val="27"/>
        </w:numPr>
        <w:tabs>
          <w:tab w:pos="1866" w:val="left" w:leader="none"/>
        </w:tabs>
        <w:spacing w:line="244" w:lineRule="auto" w:before="98" w:after="0"/>
        <w:ind w:left="1440" w:right="1445" w:firstLine="0"/>
        <w:jc w:val="left"/>
      </w:pPr>
      <w:r>
        <w:rPr>
          <w:w w:val="105"/>
        </w:rPr>
        <w:t>Women</w:t>
      </w:r>
      <w:r>
        <w:rPr>
          <w:spacing w:val="40"/>
          <w:w w:val="105"/>
        </w:rPr>
        <w:t> </w:t>
      </w:r>
      <w:r>
        <w:rPr>
          <w:w w:val="105"/>
        </w:rPr>
        <w:t>in</w:t>
      </w:r>
      <w:r>
        <w:rPr>
          <w:spacing w:val="40"/>
          <w:w w:val="105"/>
        </w:rPr>
        <w:t> </w:t>
      </w:r>
      <w:r>
        <w:rPr>
          <w:w w:val="105"/>
        </w:rPr>
        <w:t>Shakespeare:</w:t>
      </w:r>
      <w:r>
        <w:rPr>
          <w:spacing w:val="40"/>
          <w:w w:val="105"/>
        </w:rPr>
        <w:t> </w:t>
      </w:r>
      <w:r>
        <w:rPr>
          <w:w w:val="105"/>
        </w:rPr>
        <w:t>Between</w:t>
      </w:r>
      <w:r>
        <w:rPr>
          <w:spacing w:val="40"/>
          <w:w w:val="105"/>
        </w:rPr>
        <w:t> </w:t>
      </w:r>
      <w:r>
        <w:rPr>
          <w:w w:val="105"/>
        </w:rPr>
        <w:t>Subordination and</w:t>
      </w:r>
      <w:r>
        <w:rPr>
          <w:spacing w:val="40"/>
          <w:w w:val="105"/>
        </w:rPr>
        <w:t> </w:t>
      </w:r>
      <w:r>
        <w:rPr>
          <w:w w:val="105"/>
        </w:rPr>
        <w:t>Strength</w:t>
      </w:r>
    </w:p>
    <w:p>
      <w:pPr>
        <w:pStyle w:val="BodyText"/>
        <w:spacing w:line="242" w:lineRule="auto" w:before="63"/>
        <w:ind w:right="1438" w:firstLine="432"/>
        <w:jc w:val="both"/>
      </w:pPr>
      <w:r>
        <w:rPr/>
        <w:t>Shakespeare’s plays present a wide range of female characters, from obedient daughters and wives to intelligent, assertive, and even rebellious women. However, these characters are largely shaped by the patriarchal norms of his time, where women were expected to be submissive and dependent on male authority. Despite these limitations, Shakespeare often creates women who challenge these expectations in subtle</w:t>
      </w:r>
      <w:r>
        <w:rPr>
          <w:spacing w:val="40"/>
        </w:rPr>
        <w:t> </w:t>
      </w:r>
      <w:r>
        <w:rPr/>
        <w:t>yet</w:t>
      </w:r>
      <w:r>
        <w:rPr>
          <w:spacing w:val="40"/>
        </w:rPr>
        <w:t> </w:t>
      </w:r>
      <w:r>
        <w:rPr/>
        <w:t>powerful</w:t>
      </w:r>
      <w:r>
        <w:rPr>
          <w:spacing w:val="40"/>
        </w:rPr>
        <w:t> </w:t>
      </w:r>
      <w:r>
        <w:rPr/>
        <w:t>ways.</w:t>
      </w:r>
    </w:p>
    <w:p>
      <w:pPr>
        <w:pStyle w:val="BodyText"/>
        <w:spacing w:line="242" w:lineRule="auto" w:before="56"/>
        <w:ind w:right="1438" w:firstLine="432"/>
        <w:jc w:val="both"/>
      </w:pPr>
      <w:r>
        <w:rPr/>
        <w:t>In tragedies like </w:t>
      </w:r>
      <w:r>
        <w:rPr>
          <w:i/>
        </w:rPr>
        <w:t>King Lear</w:t>
      </w:r>
      <w:r>
        <w:rPr/>
        <w:t>, </w:t>
      </w:r>
      <w:r>
        <w:rPr>
          <w:i/>
        </w:rPr>
        <w:t>Macbeth</w:t>
      </w:r>
      <w:r>
        <w:rPr/>
        <w:t>, and </w:t>
      </w:r>
      <w:r>
        <w:rPr>
          <w:i/>
        </w:rPr>
        <w:t>Othello</w:t>
      </w:r>
      <w:r>
        <w:rPr/>
        <w:t>, women are deeply entangled in the consequences of male ambition, jealousy, and power</w:t>
      </w:r>
      <w:r>
        <w:rPr>
          <w:spacing w:val="-4"/>
        </w:rPr>
        <w:t> </w:t>
      </w:r>
      <w:r>
        <w:rPr/>
        <w:t>struggles.</w:t>
      </w:r>
      <w:r>
        <w:rPr>
          <w:spacing w:val="-7"/>
        </w:rPr>
        <w:t> </w:t>
      </w:r>
      <w:r>
        <w:rPr/>
        <w:t>In</w:t>
      </w:r>
      <w:r>
        <w:rPr>
          <w:spacing w:val="-6"/>
        </w:rPr>
        <w:t> </w:t>
      </w:r>
      <w:r>
        <w:rPr>
          <w:i/>
        </w:rPr>
        <w:t>King</w:t>
      </w:r>
      <w:r>
        <w:rPr>
          <w:i/>
          <w:spacing w:val="-6"/>
        </w:rPr>
        <w:t> </w:t>
      </w:r>
      <w:r>
        <w:rPr>
          <w:i/>
        </w:rPr>
        <w:t>Lear</w:t>
      </w:r>
      <w:r>
        <w:rPr/>
        <w:t>,</w:t>
      </w:r>
      <w:r>
        <w:rPr>
          <w:spacing w:val="-6"/>
        </w:rPr>
        <w:t> </w:t>
      </w:r>
      <w:r>
        <w:rPr/>
        <w:t>Cordelia</w:t>
      </w:r>
      <w:r>
        <w:rPr>
          <w:spacing w:val="-6"/>
        </w:rPr>
        <w:t> </w:t>
      </w:r>
      <w:r>
        <w:rPr/>
        <w:t>represents</w:t>
      </w:r>
      <w:r>
        <w:rPr>
          <w:spacing w:val="-9"/>
        </w:rPr>
        <w:t> </w:t>
      </w:r>
      <w:r>
        <w:rPr/>
        <w:t>honesty,</w:t>
      </w:r>
      <w:r>
        <w:rPr>
          <w:spacing w:val="-6"/>
        </w:rPr>
        <w:t> </w:t>
      </w:r>
      <w:r>
        <w:rPr/>
        <w:t>loyalty,</w:t>
      </w:r>
      <w:r>
        <w:rPr>
          <w:spacing w:val="-6"/>
        </w:rPr>
        <w:t> </w:t>
      </w:r>
      <w:r>
        <w:rPr/>
        <w:t>and moral strength. Her refusal to flatter her father results in her rejection, highlighting the limited space for female independence. Goneril and Regan,</w:t>
      </w:r>
      <w:r>
        <w:rPr>
          <w:spacing w:val="-10"/>
        </w:rPr>
        <w:t> </w:t>
      </w:r>
      <w:r>
        <w:rPr/>
        <w:t>on</w:t>
      </w:r>
      <w:r>
        <w:rPr>
          <w:spacing w:val="-11"/>
        </w:rPr>
        <w:t> </w:t>
      </w:r>
      <w:r>
        <w:rPr/>
        <w:t>the</w:t>
      </w:r>
      <w:r>
        <w:rPr>
          <w:spacing w:val="-11"/>
        </w:rPr>
        <w:t> </w:t>
      </w:r>
      <w:r>
        <w:rPr/>
        <w:t>other</w:t>
      </w:r>
      <w:r>
        <w:rPr>
          <w:spacing w:val="-9"/>
        </w:rPr>
        <w:t> </w:t>
      </w:r>
      <w:r>
        <w:rPr/>
        <w:t>hand,</w:t>
      </w:r>
      <w:r>
        <w:rPr>
          <w:spacing w:val="-11"/>
        </w:rPr>
        <w:t> </w:t>
      </w:r>
      <w:r>
        <w:rPr/>
        <w:t>defy</w:t>
      </w:r>
      <w:r>
        <w:rPr>
          <w:spacing w:val="-11"/>
        </w:rPr>
        <w:t> </w:t>
      </w:r>
      <w:r>
        <w:rPr/>
        <w:t>traditional</w:t>
      </w:r>
      <w:r>
        <w:rPr>
          <w:spacing w:val="-11"/>
        </w:rPr>
        <w:t> </w:t>
      </w:r>
      <w:r>
        <w:rPr/>
        <w:t>femininity</w:t>
      </w:r>
      <w:r>
        <w:rPr>
          <w:spacing w:val="-12"/>
        </w:rPr>
        <w:t> </w:t>
      </w:r>
      <w:r>
        <w:rPr/>
        <w:t>by</w:t>
      </w:r>
      <w:r>
        <w:rPr>
          <w:spacing w:val="-13"/>
        </w:rPr>
        <w:t> </w:t>
      </w:r>
      <w:r>
        <w:rPr/>
        <w:t>asserting</w:t>
      </w:r>
      <w:r>
        <w:rPr>
          <w:spacing w:val="-10"/>
        </w:rPr>
        <w:t> </w:t>
      </w:r>
      <w:r>
        <w:rPr/>
        <w:t>power, but they are portrayed negatively, suggesting anxiety about powerful </w:t>
      </w:r>
      <w:r>
        <w:rPr>
          <w:spacing w:val="-2"/>
        </w:rPr>
        <w:t>women.</w:t>
      </w:r>
    </w:p>
    <w:p>
      <w:pPr>
        <w:pStyle w:val="BodyText"/>
        <w:spacing w:line="242" w:lineRule="auto" w:before="57"/>
        <w:ind w:right="1438" w:firstLine="432"/>
        <w:jc w:val="both"/>
      </w:pPr>
      <w:r>
        <w:rPr/>
        <w:t>In</w:t>
      </w:r>
      <w:r>
        <w:rPr>
          <w:spacing w:val="-1"/>
        </w:rPr>
        <w:t> </w:t>
      </w:r>
      <w:r>
        <w:rPr>
          <w:i/>
        </w:rPr>
        <w:t>Macbeth</w:t>
      </w:r>
      <w:r>
        <w:rPr/>
        <w:t>, Lady Macbeth</w:t>
      </w:r>
      <w:r>
        <w:rPr>
          <w:spacing w:val="-2"/>
        </w:rPr>
        <w:t> </w:t>
      </w:r>
      <w:r>
        <w:rPr/>
        <w:t>is one of Shakespeare’s most complex female characters. She challenges gender norms</w:t>
      </w:r>
      <w:r>
        <w:rPr>
          <w:spacing w:val="-2"/>
        </w:rPr>
        <w:t> </w:t>
      </w:r>
      <w:r>
        <w:rPr/>
        <w:t>by</w:t>
      </w:r>
      <w:r>
        <w:rPr>
          <w:spacing w:val="-1"/>
        </w:rPr>
        <w:t> </w:t>
      </w:r>
      <w:r>
        <w:rPr/>
        <w:t>rejecting</w:t>
      </w:r>
      <w:r>
        <w:rPr>
          <w:spacing w:val="-1"/>
        </w:rPr>
        <w:t> </w:t>
      </w:r>
      <w:r>
        <w:rPr/>
        <w:t>traditional notions of femininity and invoking cruelty to achieve power. However, her eventual mental breakdown reinforces the idea that deviation from prescribed gender roles leads to destruction. Similarly, in </w:t>
      </w:r>
      <w:r>
        <w:rPr>
          <w:i/>
        </w:rPr>
        <w:t>Othello</w:t>
      </w:r>
      <w:r>
        <w:rPr/>
        <w:t>, Desdemona is portrayed as innocent and loyal, yet she becomes a</w:t>
      </w:r>
      <w:r>
        <w:rPr>
          <w:spacing w:val="40"/>
        </w:rPr>
        <w:t> </w:t>
      </w:r>
      <w:r>
        <w:rPr/>
        <w:t>victim of male suspicion and violence, reflecting the vulnerability of women in a patriarchal society.</w:t>
      </w:r>
    </w:p>
    <w:p>
      <w:pPr>
        <w:pStyle w:val="BodyText"/>
        <w:spacing w:line="242" w:lineRule="auto" w:before="55"/>
        <w:ind w:right="1438" w:firstLine="432"/>
        <w:jc w:val="both"/>
      </w:pPr>
      <w:r>
        <w:rPr/>
        <w:t>In contrast, Shakespeare’s comedies offer more space for female agency and wit. In plays like </w:t>
      </w:r>
      <w:r>
        <w:rPr>
          <w:i/>
        </w:rPr>
        <w:t>As You Like It</w:t>
      </w:r>
      <w:r>
        <w:rPr/>
        <w:t>, </w:t>
      </w:r>
      <w:r>
        <w:rPr>
          <w:i/>
        </w:rPr>
        <w:t>Twelfth Night</w:t>
      </w:r>
      <w:r>
        <w:rPr/>
        <w:t>, and </w:t>
      </w:r>
      <w:r>
        <w:rPr>
          <w:i/>
        </w:rPr>
        <w:t>A Midsummer Night’s Dream</w:t>
      </w:r>
      <w:r>
        <w:rPr/>
        <w:t>, women often disguise themselves as men, gaining</w:t>
      </w:r>
      <w:r>
        <w:rPr>
          <w:spacing w:val="-9"/>
        </w:rPr>
        <w:t> </w:t>
      </w:r>
      <w:r>
        <w:rPr/>
        <w:t>temporary</w:t>
      </w:r>
      <w:r>
        <w:rPr>
          <w:spacing w:val="-11"/>
        </w:rPr>
        <w:t> </w:t>
      </w:r>
      <w:r>
        <w:rPr/>
        <w:t>freedom</w:t>
      </w:r>
      <w:r>
        <w:rPr>
          <w:spacing w:val="-9"/>
        </w:rPr>
        <w:t> </w:t>
      </w:r>
      <w:r>
        <w:rPr/>
        <w:t>and</w:t>
      </w:r>
      <w:r>
        <w:rPr>
          <w:spacing w:val="-6"/>
        </w:rPr>
        <w:t> </w:t>
      </w:r>
      <w:r>
        <w:rPr/>
        <w:t>autonomy.</w:t>
      </w:r>
      <w:r>
        <w:rPr>
          <w:spacing w:val="-8"/>
        </w:rPr>
        <w:t> </w:t>
      </w:r>
      <w:r>
        <w:rPr/>
        <w:t>Characters</w:t>
      </w:r>
      <w:r>
        <w:rPr>
          <w:spacing w:val="-9"/>
        </w:rPr>
        <w:t> </w:t>
      </w:r>
      <w:r>
        <w:rPr/>
        <w:t>like</w:t>
      </w:r>
      <w:r>
        <w:rPr>
          <w:spacing w:val="-5"/>
        </w:rPr>
        <w:t> </w:t>
      </w:r>
      <w:r>
        <w:rPr/>
        <w:t>Rosalind</w:t>
      </w:r>
      <w:r>
        <w:rPr>
          <w:spacing w:val="-6"/>
        </w:rPr>
        <w:t> </w:t>
      </w:r>
      <w:r>
        <w:rPr/>
        <w:t>and </w:t>
      </w:r>
      <w:r>
        <w:rPr>
          <w:spacing w:val="-2"/>
        </w:rPr>
        <w:t>Viola display</w:t>
      </w:r>
      <w:r>
        <w:rPr>
          <w:spacing w:val="-5"/>
        </w:rPr>
        <w:t> </w:t>
      </w:r>
      <w:r>
        <w:rPr>
          <w:spacing w:val="-2"/>
        </w:rPr>
        <w:t>intelligence, independence, and emotional depth. Rosalind, </w:t>
      </w:r>
      <w:r>
        <w:rPr/>
        <w:t>in</w:t>
      </w:r>
      <w:r>
        <w:rPr>
          <w:spacing w:val="-3"/>
        </w:rPr>
        <w:t> </w:t>
      </w:r>
      <w:r>
        <w:rPr/>
        <w:t>particular,</w:t>
      </w:r>
      <w:r>
        <w:rPr>
          <w:spacing w:val="-3"/>
        </w:rPr>
        <w:t> </w:t>
      </w:r>
      <w:r>
        <w:rPr/>
        <w:t>controls</w:t>
      </w:r>
      <w:r>
        <w:rPr>
          <w:spacing w:val="-1"/>
        </w:rPr>
        <w:t> </w:t>
      </w:r>
      <w:r>
        <w:rPr/>
        <w:t>the</w:t>
      </w:r>
      <w:r>
        <w:rPr>
          <w:spacing w:val="-2"/>
        </w:rPr>
        <w:t> </w:t>
      </w:r>
      <w:r>
        <w:rPr/>
        <w:t>narrative</w:t>
      </w:r>
      <w:r>
        <w:rPr>
          <w:spacing w:val="-1"/>
        </w:rPr>
        <w:t> </w:t>
      </w:r>
      <w:r>
        <w:rPr/>
        <w:t>through</w:t>
      </w:r>
      <w:r>
        <w:rPr>
          <w:spacing w:val="-5"/>
        </w:rPr>
        <w:t> </w:t>
      </w:r>
      <w:r>
        <w:rPr/>
        <w:t>her</w:t>
      </w:r>
      <w:r>
        <w:rPr>
          <w:spacing w:val="-1"/>
        </w:rPr>
        <w:t> </w:t>
      </w:r>
      <w:r>
        <w:rPr/>
        <w:t>wit</w:t>
      </w:r>
      <w:r>
        <w:rPr>
          <w:spacing w:val="-3"/>
        </w:rPr>
        <w:t> </w:t>
      </w:r>
      <w:r>
        <w:rPr/>
        <w:t>and resourcefulness, </w:t>
      </w:r>
      <w:r>
        <w:rPr>
          <w:spacing w:val="-2"/>
        </w:rPr>
        <w:t>challenging</w:t>
      </w:r>
      <w:r>
        <w:rPr>
          <w:spacing w:val="-7"/>
        </w:rPr>
        <w:t> </w:t>
      </w:r>
      <w:r>
        <w:rPr>
          <w:spacing w:val="-2"/>
        </w:rPr>
        <w:t>traditional</w:t>
      </w:r>
      <w:r>
        <w:rPr>
          <w:spacing w:val="-9"/>
        </w:rPr>
        <w:t> </w:t>
      </w:r>
      <w:r>
        <w:rPr>
          <w:spacing w:val="-2"/>
        </w:rPr>
        <w:t>gender</w:t>
      </w:r>
      <w:r>
        <w:rPr>
          <w:spacing w:val="-4"/>
        </w:rPr>
        <w:t> </w:t>
      </w:r>
      <w:r>
        <w:rPr>
          <w:spacing w:val="-2"/>
        </w:rPr>
        <w:t>roles.</w:t>
      </w:r>
      <w:r>
        <w:rPr>
          <w:spacing w:val="-7"/>
        </w:rPr>
        <w:t> </w:t>
      </w:r>
      <w:r>
        <w:rPr>
          <w:spacing w:val="-2"/>
        </w:rPr>
        <w:t>However,</w:t>
      </w:r>
      <w:r>
        <w:rPr>
          <w:spacing w:val="-4"/>
        </w:rPr>
        <w:t> </w:t>
      </w:r>
      <w:r>
        <w:rPr>
          <w:spacing w:val="-2"/>
        </w:rPr>
        <w:t>these</w:t>
      </w:r>
      <w:r>
        <w:rPr>
          <w:spacing w:val="-9"/>
        </w:rPr>
        <w:t> </w:t>
      </w:r>
      <w:r>
        <w:rPr>
          <w:spacing w:val="-2"/>
        </w:rPr>
        <w:t>freedoms</w:t>
      </w:r>
      <w:r>
        <w:rPr>
          <w:spacing w:val="-7"/>
        </w:rPr>
        <w:t> </w:t>
      </w:r>
      <w:r>
        <w:rPr>
          <w:spacing w:val="-2"/>
        </w:rPr>
        <w:t>are</w:t>
      </w:r>
      <w:r>
        <w:rPr>
          <w:spacing w:val="-4"/>
        </w:rPr>
        <w:t> </w:t>
      </w:r>
      <w:r>
        <w:rPr>
          <w:spacing w:val="-2"/>
        </w:rPr>
        <w:t>usually </w:t>
      </w:r>
      <w:r>
        <w:rPr/>
        <w:t>temporary, as the plays end with marriage, restoring social order and reinforcing conventional</w:t>
      </w:r>
      <w:r>
        <w:rPr>
          <w:spacing w:val="40"/>
        </w:rPr>
        <w:t> </w:t>
      </w:r>
      <w:r>
        <w:rPr/>
        <w:t>norms.</w:t>
      </w:r>
    </w:p>
    <w:p>
      <w:pPr>
        <w:pStyle w:val="BodyText"/>
        <w:spacing w:line="249" w:lineRule="auto" w:before="60"/>
        <w:ind w:right="1441" w:firstLine="432"/>
        <w:jc w:val="both"/>
      </w:pPr>
      <w:r>
        <w:rPr/>
        <w:t>Thus, Shakespeare’s women exist in a tension between constraint and empowerment. While they often display strength and individuality, they ultimately remain within a framework that limits their autonomy.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5600">
                <wp:simplePos x="0" y="0"/>
                <wp:positionH relativeFrom="page">
                  <wp:posOffset>2057400</wp:posOffset>
                </wp:positionH>
                <wp:positionV relativeFrom="paragraph">
                  <wp:posOffset>162604</wp:posOffset>
                </wp:positionV>
                <wp:extent cx="3657600" cy="12700"/>
                <wp:effectExtent l="0" t="0" r="0" b="0"/>
                <wp:wrapTopAndBottom/>
                <wp:docPr id="365" name="Graphic 365"/>
                <wp:cNvGraphicFramePr>
                  <a:graphicFrameLocks/>
                </wp:cNvGraphicFramePr>
                <a:graphic>
                  <a:graphicData uri="http://schemas.microsoft.com/office/word/2010/wordprocessingShape">
                    <wps:wsp>
                      <wps:cNvPr id="365" name="Graphic 36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10880;mso-wrap-distance-left:0;mso-wrap-distance-right:0" id="docshape361" filled="true" fillcolor="#000000" stroked="false">
                <v:fill type="solid"/>
                <w10:wrap type="topAndBottom"/>
              </v:rect>
            </w:pict>
          </mc:Fallback>
        </mc:AlternateContent>
      </w:r>
      <w:r>
        <w:rPr>
          <w:rFonts w:ascii="Verdana"/>
          <w:spacing w:val="-5"/>
          <w:sz w:val="18"/>
        </w:rPr>
        <w:t>140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5"/>
        <w:numPr>
          <w:ilvl w:val="1"/>
          <w:numId w:val="27"/>
        </w:numPr>
        <w:tabs>
          <w:tab w:pos="1879" w:val="left" w:leader="none"/>
        </w:tabs>
        <w:spacing w:line="244" w:lineRule="auto" w:before="184" w:after="0"/>
        <w:ind w:left="1440" w:right="1441" w:firstLine="0"/>
        <w:jc w:val="left"/>
      </w:pPr>
      <w:r>
        <w:rPr>
          <w:w w:val="105"/>
        </w:rPr>
        <w:t>Women</w:t>
      </w:r>
      <w:r>
        <w:rPr>
          <w:spacing w:val="80"/>
          <w:w w:val="105"/>
        </w:rPr>
        <w:t> </w:t>
      </w:r>
      <w:r>
        <w:rPr>
          <w:w w:val="105"/>
        </w:rPr>
        <w:t>in</w:t>
      </w:r>
      <w:r>
        <w:rPr>
          <w:spacing w:val="80"/>
          <w:w w:val="105"/>
        </w:rPr>
        <w:t> </w:t>
      </w:r>
      <w:r>
        <w:rPr>
          <w:w w:val="105"/>
        </w:rPr>
        <w:t>Amitav</w:t>
      </w:r>
      <w:r>
        <w:rPr>
          <w:spacing w:val="80"/>
          <w:w w:val="105"/>
        </w:rPr>
        <w:t> </w:t>
      </w:r>
      <w:r>
        <w:rPr>
          <w:w w:val="105"/>
        </w:rPr>
        <w:t>Ghosh:</w:t>
      </w:r>
      <w:r>
        <w:rPr>
          <w:spacing w:val="80"/>
          <w:w w:val="105"/>
        </w:rPr>
        <w:t> </w:t>
      </w:r>
      <w:r>
        <w:rPr>
          <w:w w:val="105"/>
        </w:rPr>
        <w:t>Agency,</w:t>
      </w:r>
      <w:r>
        <w:rPr>
          <w:spacing w:val="80"/>
          <w:w w:val="105"/>
        </w:rPr>
        <w:t> </w:t>
      </w:r>
      <w:r>
        <w:rPr>
          <w:w w:val="105"/>
        </w:rPr>
        <w:t>Resistance,</w:t>
      </w:r>
      <w:r>
        <w:rPr>
          <w:spacing w:val="80"/>
          <w:w w:val="105"/>
        </w:rPr>
        <w:t> </w:t>
      </w:r>
      <w:r>
        <w:rPr>
          <w:w w:val="105"/>
        </w:rPr>
        <w:t>and</w:t>
      </w:r>
      <w:r>
        <w:rPr>
          <w:spacing w:val="40"/>
          <w:w w:val="105"/>
        </w:rPr>
        <w:t> </w:t>
      </w:r>
      <w:r>
        <w:rPr>
          <w:w w:val="105"/>
        </w:rPr>
        <w:t>Identity</w:t>
      </w:r>
    </w:p>
    <w:p>
      <w:pPr>
        <w:pStyle w:val="BodyText"/>
        <w:spacing w:line="249" w:lineRule="auto" w:before="68"/>
        <w:ind w:right="1440" w:firstLine="432"/>
        <w:jc w:val="both"/>
      </w:pPr>
      <w:r>
        <w:rPr/>
        <w:t>In contrast to Shakespeare, the works of Amitav Ghosh present women</w:t>
      </w:r>
      <w:r>
        <w:rPr>
          <w:spacing w:val="-5"/>
        </w:rPr>
        <w:t> </w:t>
      </w:r>
      <w:r>
        <w:rPr/>
        <w:t>as</w:t>
      </w:r>
      <w:r>
        <w:rPr>
          <w:spacing w:val="-5"/>
        </w:rPr>
        <w:t> </w:t>
      </w:r>
      <w:r>
        <w:rPr/>
        <w:t>active</w:t>
      </w:r>
      <w:r>
        <w:rPr>
          <w:spacing w:val="-6"/>
        </w:rPr>
        <w:t> </w:t>
      </w:r>
      <w:r>
        <w:rPr/>
        <w:t>participants</w:t>
      </w:r>
      <w:r>
        <w:rPr>
          <w:spacing w:val="-3"/>
        </w:rPr>
        <w:t> </w:t>
      </w:r>
      <w:r>
        <w:rPr/>
        <w:t>in</w:t>
      </w:r>
      <w:r>
        <w:rPr>
          <w:spacing w:val="-3"/>
        </w:rPr>
        <w:t> </w:t>
      </w:r>
      <w:r>
        <w:rPr/>
        <w:t>shaping</w:t>
      </w:r>
      <w:r>
        <w:rPr>
          <w:spacing w:val="-5"/>
        </w:rPr>
        <w:t> </w:t>
      </w:r>
      <w:r>
        <w:rPr/>
        <w:t>their</w:t>
      </w:r>
      <w:r>
        <w:rPr>
          <w:spacing w:val="-3"/>
        </w:rPr>
        <w:t> </w:t>
      </w:r>
      <w:r>
        <w:rPr/>
        <w:t>own</w:t>
      </w:r>
      <w:r>
        <w:rPr>
          <w:spacing w:val="-6"/>
        </w:rPr>
        <w:t> </w:t>
      </w:r>
      <w:r>
        <w:rPr/>
        <w:t>lives</w:t>
      </w:r>
      <w:r>
        <w:rPr>
          <w:spacing w:val="-3"/>
        </w:rPr>
        <w:t> </w:t>
      </w:r>
      <w:r>
        <w:rPr/>
        <w:t>and</w:t>
      </w:r>
      <w:r>
        <w:rPr>
          <w:spacing w:val="-1"/>
        </w:rPr>
        <w:t> </w:t>
      </w:r>
      <w:r>
        <w:rPr/>
        <w:t>confronting social</w:t>
      </w:r>
      <w:r>
        <w:rPr>
          <w:spacing w:val="-2"/>
        </w:rPr>
        <w:t> </w:t>
      </w:r>
      <w:r>
        <w:rPr/>
        <w:t>and environmental</w:t>
      </w:r>
      <w:r>
        <w:rPr>
          <w:spacing w:val="-2"/>
        </w:rPr>
        <w:t> </w:t>
      </w:r>
      <w:r>
        <w:rPr/>
        <w:t>challenges. Ghosh’s</w:t>
      </w:r>
      <w:r>
        <w:rPr>
          <w:spacing w:val="-2"/>
        </w:rPr>
        <w:t> </w:t>
      </w:r>
      <w:r>
        <w:rPr/>
        <w:t>female</w:t>
      </w:r>
      <w:r>
        <w:rPr>
          <w:spacing w:val="-1"/>
        </w:rPr>
        <w:t> </w:t>
      </w:r>
      <w:r>
        <w:rPr/>
        <w:t>characters</w:t>
      </w:r>
      <w:r>
        <w:rPr>
          <w:spacing w:val="-2"/>
        </w:rPr>
        <w:t> </w:t>
      </w:r>
      <w:r>
        <w:rPr/>
        <w:t>are</w:t>
      </w:r>
      <w:r>
        <w:rPr>
          <w:spacing w:val="-2"/>
        </w:rPr>
        <w:t> </w:t>
      </w:r>
      <w:r>
        <w:rPr/>
        <w:t>not merely defined by their relationships with men but are portrayed as individuals</w:t>
      </w:r>
      <w:r>
        <w:rPr>
          <w:spacing w:val="40"/>
        </w:rPr>
        <w:t> </w:t>
      </w:r>
      <w:r>
        <w:rPr/>
        <w:t>with</w:t>
      </w:r>
      <w:r>
        <w:rPr>
          <w:spacing w:val="40"/>
        </w:rPr>
        <w:t> </w:t>
      </w:r>
      <w:r>
        <w:rPr/>
        <w:t>their</w:t>
      </w:r>
      <w:r>
        <w:rPr>
          <w:spacing w:val="40"/>
        </w:rPr>
        <w:t> </w:t>
      </w:r>
      <w:r>
        <w:rPr/>
        <w:t>own</w:t>
      </w:r>
      <w:r>
        <w:rPr>
          <w:spacing w:val="40"/>
        </w:rPr>
        <w:t> </w:t>
      </w:r>
      <w:r>
        <w:rPr/>
        <w:t>desires,</w:t>
      </w:r>
      <w:r>
        <w:rPr>
          <w:spacing w:val="40"/>
        </w:rPr>
        <w:t> </w:t>
      </w:r>
      <w:r>
        <w:rPr/>
        <w:t>struggles,</w:t>
      </w:r>
      <w:r>
        <w:rPr>
          <w:spacing w:val="40"/>
        </w:rPr>
        <w:t> </w:t>
      </w:r>
      <w:r>
        <w:rPr/>
        <w:t>and</w:t>
      </w:r>
      <w:r>
        <w:rPr>
          <w:spacing w:val="40"/>
        </w:rPr>
        <w:t> </w:t>
      </w:r>
      <w:r>
        <w:rPr/>
        <w:t>identities.</w:t>
      </w:r>
    </w:p>
    <w:p>
      <w:pPr>
        <w:pStyle w:val="BodyText"/>
        <w:spacing w:line="249" w:lineRule="auto" w:before="61"/>
        <w:ind w:right="1439" w:firstLine="432"/>
        <w:jc w:val="both"/>
      </w:pPr>
      <w:r>
        <w:rPr/>
        <w:t>In </w:t>
      </w:r>
      <w:r>
        <w:rPr>
          <w:i/>
        </w:rPr>
        <w:t>The Hungry Tide</w:t>
      </w:r>
      <w:r>
        <w:rPr/>
        <w:t>, characters like Piya and Kusum illustrate the diverse roles of women in different social contexts. Piya, a marine biologist,</w:t>
      </w:r>
      <w:r>
        <w:rPr>
          <w:spacing w:val="-9"/>
        </w:rPr>
        <w:t> </w:t>
      </w:r>
      <w:r>
        <w:rPr/>
        <w:t>represents</w:t>
      </w:r>
      <w:r>
        <w:rPr>
          <w:spacing w:val="-9"/>
        </w:rPr>
        <w:t> </w:t>
      </w:r>
      <w:r>
        <w:rPr/>
        <w:t>modern,</w:t>
      </w:r>
      <w:r>
        <w:rPr>
          <w:spacing w:val="-8"/>
        </w:rPr>
        <w:t> </w:t>
      </w:r>
      <w:r>
        <w:rPr/>
        <w:t>educated</w:t>
      </w:r>
      <w:r>
        <w:rPr>
          <w:spacing w:val="-11"/>
        </w:rPr>
        <w:t> </w:t>
      </w:r>
      <w:r>
        <w:rPr/>
        <w:t>womanhood.</w:t>
      </w:r>
      <w:r>
        <w:rPr>
          <w:spacing w:val="-9"/>
        </w:rPr>
        <w:t> </w:t>
      </w:r>
      <w:r>
        <w:rPr/>
        <w:t>She</w:t>
      </w:r>
      <w:r>
        <w:rPr>
          <w:spacing w:val="-9"/>
        </w:rPr>
        <w:t> </w:t>
      </w:r>
      <w:r>
        <w:rPr/>
        <w:t>is</w:t>
      </w:r>
      <w:r>
        <w:rPr>
          <w:spacing w:val="-9"/>
        </w:rPr>
        <w:t> </w:t>
      </w:r>
      <w:r>
        <w:rPr/>
        <w:t>independent, rational,</w:t>
      </w:r>
      <w:r>
        <w:rPr>
          <w:spacing w:val="-9"/>
        </w:rPr>
        <w:t> </w:t>
      </w:r>
      <w:r>
        <w:rPr/>
        <w:t>and</w:t>
      </w:r>
      <w:r>
        <w:rPr>
          <w:spacing w:val="-8"/>
        </w:rPr>
        <w:t> </w:t>
      </w:r>
      <w:r>
        <w:rPr/>
        <w:t>deeply</w:t>
      </w:r>
      <w:r>
        <w:rPr>
          <w:spacing w:val="-13"/>
        </w:rPr>
        <w:t> </w:t>
      </w:r>
      <w:r>
        <w:rPr/>
        <w:t>committed</w:t>
      </w:r>
      <w:r>
        <w:rPr>
          <w:spacing w:val="-8"/>
        </w:rPr>
        <w:t> </w:t>
      </w:r>
      <w:r>
        <w:rPr/>
        <w:t>to</w:t>
      </w:r>
      <w:r>
        <w:rPr>
          <w:spacing w:val="-8"/>
        </w:rPr>
        <w:t> </w:t>
      </w:r>
      <w:r>
        <w:rPr/>
        <w:t>her</w:t>
      </w:r>
      <w:r>
        <w:rPr>
          <w:spacing w:val="-7"/>
        </w:rPr>
        <w:t> </w:t>
      </w:r>
      <w:r>
        <w:rPr/>
        <w:t>work.</w:t>
      </w:r>
      <w:r>
        <w:rPr>
          <w:spacing w:val="-10"/>
        </w:rPr>
        <w:t> </w:t>
      </w:r>
      <w:r>
        <w:rPr/>
        <w:t>Her</w:t>
      </w:r>
      <w:r>
        <w:rPr>
          <w:spacing w:val="-10"/>
        </w:rPr>
        <w:t> </w:t>
      </w:r>
      <w:r>
        <w:rPr/>
        <w:t>relationship</w:t>
      </w:r>
      <w:r>
        <w:rPr>
          <w:spacing w:val="-8"/>
        </w:rPr>
        <w:t> </w:t>
      </w:r>
      <w:r>
        <w:rPr/>
        <w:t>with</w:t>
      </w:r>
      <w:r>
        <w:rPr>
          <w:spacing w:val="-12"/>
        </w:rPr>
        <w:t> </w:t>
      </w:r>
      <w:r>
        <w:rPr/>
        <w:t>nature reflects an ecofeminist perspective, where care and respect replace domination. Kusum, on the other hand, represents marginalized rural women who struggle for survival in the face of political and environmental forces. Her tragic story highlights the intersection of gender,</w:t>
      </w:r>
      <w:r>
        <w:rPr>
          <w:spacing w:val="40"/>
        </w:rPr>
        <w:t> </w:t>
      </w:r>
      <w:r>
        <w:rPr/>
        <w:t>class,</w:t>
      </w:r>
      <w:r>
        <w:rPr>
          <w:spacing w:val="40"/>
        </w:rPr>
        <w:t> </w:t>
      </w:r>
      <w:r>
        <w:rPr/>
        <w:t>and</w:t>
      </w:r>
      <w:r>
        <w:rPr>
          <w:spacing w:val="40"/>
        </w:rPr>
        <w:t> </w:t>
      </w:r>
      <w:r>
        <w:rPr/>
        <w:t>ecology.</w:t>
      </w:r>
    </w:p>
    <w:p>
      <w:pPr>
        <w:pStyle w:val="BodyText"/>
        <w:spacing w:line="252" w:lineRule="auto" w:before="65"/>
        <w:ind w:right="1435" w:firstLine="432"/>
        <w:jc w:val="both"/>
      </w:pPr>
      <w:r>
        <w:rPr/>
        <w:t>In </w:t>
      </w:r>
      <w:r>
        <w:rPr>
          <w:i/>
        </w:rPr>
        <w:t>Gun Island</w:t>
      </w:r>
      <w:r>
        <w:rPr/>
        <w:t>, Ghosh expands the role of women to a global context. Female characters navigate issues such as migration, climate change, and cultural displacement. They are shown as resilient and adaptable, capable of negotiating complex realities. Ghosh does not idealize women but portrays them as real individuals shaped by </w:t>
      </w:r>
      <w:r>
        <w:rPr>
          <w:spacing w:val="-2"/>
        </w:rPr>
        <w:t>circumstances.</w:t>
      </w:r>
    </w:p>
    <w:p>
      <w:pPr>
        <w:pStyle w:val="Heading5"/>
        <w:numPr>
          <w:ilvl w:val="1"/>
          <w:numId w:val="27"/>
        </w:numPr>
        <w:tabs>
          <w:tab w:pos="1879" w:val="left" w:leader="none"/>
        </w:tabs>
        <w:spacing w:line="240" w:lineRule="auto" w:before="99" w:after="0"/>
        <w:ind w:left="1879" w:right="0" w:hanging="439"/>
        <w:jc w:val="left"/>
      </w:pPr>
      <w:r>
        <w:rPr>
          <w:w w:val="105"/>
        </w:rPr>
        <w:t>Comparative</w:t>
      </w:r>
      <w:r>
        <w:rPr>
          <w:spacing w:val="50"/>
          <w:w w:val="105"/>
        </w:rPr>
        <w:t>  </w:t>
      </w:r>
      <w:r>
        <w:rPr>
          <w:spacing w:val="-2"/>
          <w:w w:val="105"/>
        </w:rPr>
        <w:t>Analysis</w:t>
      </w:r>
    </w:p>
    <w:p>
      <w:pPr>
        <w:pStyle w:val="BodyText"/>
        <w:spacing w:line="249" w:lineRule="auto" w:before="74"/>
        <w:ind w:right="1439" w:firstLine="432"/>
        <w:jc w:val="both"/>
      </w:pPr>
      <w:r>
        <w:rPr/>
        <w:t>A comparison between Shakespeare and Ghosh highlights both continuity and change in the portrayal of women. Shakespeare’s works reflect a society where women’s roles are largely confined to domestic and relational spheres. Even when women display strength and intelligence, their actions are often constrained by social expectations. Ghosh, on the other hand, presents women as agents of change who challenge</w:t>
      </w:r>
      <w:r>
        <w:rPr>
          <w:spacing w:val="40"/>
        </w:rPr>
        <w:t> </w:t>
      </w:r>
      <w:r>
        <w:rPr/>
        <w:t>and</w:t>
      </w:r>
      <w:r>
        <w:rPr>
          <w:spacing w:val="40"/>
        </w:rPr>
        <w:t> </w:t>
      </w:r>
      <w:r>
        <w:rPr/>
        <w:t>reshape</w:t>
      </w:r>
      <w:r>
        <w:rPr>
          <w:spacing w:val="40"/>
        </w:rPr>
        <w:t> </w:t>
      </w:r>
      <w:r>
        <w:rPr/>
        <w:t>their</w:t>
      </w:r>
      <w:r>
        <w:rPr>
          <w:spacing w:val="40"/>
        </w:rPr>
        <w:t> </w:t>
      </w:r>
      <w:r>
        <w:rPr/>
        <w:t>circumstances.</w:t>
      </w:r>
    </w:p>
    <w:p>
      <w:pPr>
        <w:pStyle w:val="BodyText"/>
        <w:spacing w:line="249" w:lineRule="auto" w:before="63"/>
        <w:ind w:right="1437" w:firstLine="432"/>
        <w:jc w:val="both"/>
      </w:pPr>
      <w:r>
        <w:rPr>
          <w:spacing w:val="-4"/>
        </w:rPr>
        <w:t>Another</w:t>
      </w:r>
      <w:r>
        <w:rPr>
          <w:spacing w:val="-9"/>
        </w:rPr>
        <w:t> </w:t>
      </w:r>
      <w:r>
        <w:rPr>
          <w:spacing w:val="-4"/>
        </w:rPr>
        <w:t>key</w:t>
      </w:r>
      <w:r>
        <w:rPr>
          <w:spacing w:val="-8"/>
        </w:rPr>
        <w:t> </w:t>
      </w:r>
      <w:r>
        <w:rPr>
          <w:spacing w:val="-4"/>
        </w:rPr>
        <w:t>difference</w:t>
      </w:r>
      <w:r>
        <w:rPr>
          <w:spacing w:val="-9"/>
        </w:rPr>
        <w:t> </w:t>
      </w:r>
      <w:r>
        <w:rPr>
          <w:spacing w:val="-4"/>
        </w:rPr>
        <w:t>lies</w:t>
      </w:r>
      <w:r>
        <w:rPr>
          <w:spacing w:val="-8"/>
        </w:rPr>
        <w:t> </w:t>
      </w:r>
      <w:r>
        <w:rPr>
          <w:spacing w:val="-4"/>
        </w:rPr>
        <w:t>in</w:t>
      </w:r>
      <w:r>
        <w:rPr>
          <w:spacing w:val="-9"/>
        </w:rPr>
        <w:t> </w:t>
      </w:r>
      <w:r>
        <w:rPr>
          <w:spacing w:val="-4"/>
        </w:rPr>
        <w:t>the</w:t>
      </w:r>
      <w:r>
        <w:rPr>
          <w:spacing w:val="-8"/>
        </w:rPr>
        <w:t> </w:t>
      </w:r>
      <w:r>
        <w:rPr>
          <w:spacing w:val="-4"/>
        </w:rPr>
        <w:t>treatment</w:t>
      </w:r>
      <w:r>
        <w:rPr>
          <w:spacing w:val="-9"/>
        </w:rPr>
        <w:t> </w:t>
      </w:r>
      <w:r>
        <w:rPr>
          <w:spacing w:val="-4"/>
        </w:rPr>
        <w:t>of</w:t>
      </w:r>
      <w:r>
        <w:rPr>
          <w:spacing w:val="-8"/>
        </w:rPr>
        <w:t> </w:t>
      </w:r>
      <w:r>
        <w:rPr>
          <w:spacing w:val="-4"/>
        </w:rPr>
        <w:t>power.</w:t>
      </w:r>
      <w:r>
        <w:rPr>
          <w:spacing w:val="-9"/>
        </w:rPr>
        <w:t> </w:t>
      </w:r>
      <w:r>
        <w:rPr>
          <w:spacing w:val="-4"/>
        </w:rPr>
        <w:t>In</w:t>
      </w:r>
      <w:r>
        <w:rPr>
          <w:spacing w:val="-8"/>
        </w:rPr>
        <w:t> </w:t>
      </w:r>
      <w:r>
        <w:rPr>
          <w:spacing w:val="-4"/>
        </w:rPr>
        <w:t>Shakespeare, </w:t>
      </w:r>
      <w:r>
        <w:rPr/>
        <w:t>women who seek power, such as Lady Macbeth, are often portrayed negatively or punished. In Ghosh’s works, women’s empowerment is depicted more positively, as a necessary response to social and </w:t>
      </w:r>
      <w:r>
        <w:rPr>
          <w:spacing w:val="-4"/>
        </w:rPr>
        <w:t>environmental</w:t>
      </w:r>
      <w:r>
        <w:rPr>
          <w:spacing w:val="-5"/>
        </w:rPr>
        <w:t> </w:t>
      </w:r>
      <w:r>
        <w:rPr>
          <w:spacing w:val="-4"/>
        </w:rPr>
        <w:t>challenges.However,</w:t>
      </w:r>
      <w:r>
        <w:rPr>
          <w:spacing w:val="-7"/>
        </w:rPr>
        <w:t> </w:t>
      </w:r>
      <w:r>
        <w:rPr>
          <w:spacing w:val="-4"/>
        </w:rPr>
        <w:t>there</w:t>
      </w:r>
      <w:r>
        <w:rPr>
          <w:spacing w:val="-7"/>
        </w:rPr>
        <w:t> </w:t>
      </w:r>
      <w:r>
        <w:rPr>
          <w:spacing w:val="-4"/>
        </w:rPr>
        <w:t>are</w:t>
      </w:r>
      <w:r>
        <w:rPr>
          <w:spacing w:val="-7"/>
        </w:rPr>
        <w:t> </w:t>
      </w:r>
      <w:r>
        <w:rPr>
          <w:spacing w:val="-4"/>
        </w:rPr>
        <w:t>also</w:t>
      </w:r>
      <w:r>
        <w:rPr>
          <w:spacing w:val="-5"/>
        </w:rPr>
        <w:t> </w:t>
      </w:r>
      <w:r>
        <w:rPr>
          <w:spacing w:val="-4"/>
        </w:rPr>
        <w:t>similarities.</w:t>
      </w:r>
      <w:r>
        <w:rPr>
          <w:spacing w:val="-5"/>
        </w:rPr>
        <w:t> </w:t>
      </w:r>
      <w:r>
        <w:rPr>
          <w:spacing w:val="-4"/>
        </w:rPr>
        <w:t>Both</w:t>
      </w:r>
      <w:r>
        <w:rPr>
          <w:spacing w:val="-5"/>
        </w:rPr>
        <w:t> </w:t>
      </w:r>
      <w:r>
        <w:rPr>
          <w:spacing w:val="-4"/>
        </w:rPr>
        <w:t>writers </w:t>
      </w:r>
      <w:r>
        <w:rPr/>
        <w:t>recognize</w:t>
      </w:r>
      <w:r>
        <w:rPr>
          <w:spacing w:val="-8"/>
        </w:rPr>
        <w:t> </w:t>
      </w:r>
      <w:r>
        <w:rPr/>
        <w:t>the</w:t>
      </w:r>
      <w:r>
        <w:rPr>
          <w:spacing w:val="-8"/>
        </w:rPr>
        <w:t> </w:t>
      </w:r>
      <w:r>
        <w:rPr/>
        <w:t>emotional</w:t>
      </w:r>
      <w:r>
        <w:rPr>
          <w:spacing w:val="-8"/>
        </w:rPr>
        <w:t> </w:t>
      </w:r>
      <w:r>
        <w:rPr/>
        <w:t>depth,</w:t>
      </w:r>
      <w:r>
        <w:rPr>
          <w:spacing w:val="-8"/>
        </w:rPr>
        <w:t> </w:t>
      </w:r>
      <w:r>
        <w:rPr/>
        <w:t>resilience,</w:t>
      </w:r>
      <w:r>
        <w:rPr>
          <w:spacing w:val="-6"/>
        </w:rPr>
        <w:t> </w:t>
      </w:r>
      <w:r>
        <w:rPr/>
        <w:t>and</w:t>
      </w:r>
      <w:r>
        <w:rPr>
          <w:spacing w:val="-8"/>
        </w:rPr>
        <w:t> </w:t>
      </w:r>
      <w:r>
        <w:rPr/>
        <w:t>moral</w:t>
      </w:r>
      <w:r>
        <w:rPr>
          <w:spacing w:val="-7"/>
        </w:rPr>
        <w:t> </w:t>
      </w:r>
      <w:r>
        <w:rPr/>
        <w:t>strength</w:t>
      </w:r>
      <w:r>
        <w:rPr>
          <w:spacing w:val="-8"/>
        </w:rPr>
        <w:t> </w:t>
      </w:r>
      <w:r>
        <w:rPr/>
        <w:t>of</w:t>
      </w:r>
      <w:r>
        <w:rPr>
          <w:spacing w:val="-8"/>
        </w:rPr>
        <w:t> </w:t>
      </w:r>
      <w:r>
        <w:rPr/>
        <w:t>women. </w:t>
      </w:r>
      <w:r>
        <w:rPr>
          <w:spacing w:val="-4"/>
        </w:rPr>
        <w:t>Characters like</w:t>
      </w:r>
      <w:r>
        <w:rPr>
          <w:spacing w:val="-8"/>
        </w:rPr>
        <w:t> </w:t>
      </w:r>
      <w:r>
        <w:rPr>
          <w:spacing w:val="-4"/>
        </w:rPr>
        <w:t>Cordelia and Desdemona,</w:t>
      </w:r>
      <w:r>
        <w:rPr>
          <w:spacing w:val="-6"/>
        </w:rPr>
        <w:t> </w:t>
      </w:r>
      <w:r>
        <w:rPr>
          <w:spacing w:val="-4"/>
        </w:rPr>
        <w:t>despite</w:t>
      </w:r>
      <w:r>
        <w:rPr>
          <w:spacing w:val="-8"/>
        </w:rPr>
        <w:t> </w:t>
      </w:r>
      <w:r>
        <w:rPr>
          <w:spacing w:val="-4"/>
        </w:rPr>
        <w:t>their limitations, embody </w:t>
      </w:r>
      <w:r>
        <w:rPr/>
        <w:t>virtues</w:t>
      </w:r>
      <w:r>
        <w:rPr>
          <w:spacing w:val="21"/>
        </w:rPr>
        <w:t> </w:t>
      </w:r>
      <w:r>
        <w:rPr/>
        <w:t>such</w:t>
      </w:r>
      <w:r>
        <w:rPr>
          <w:spacing w:val="24"/>
        </w:rPr>
        <w:t> </w:t>
      </w:r>
      <w:r>
        <w:rPr/>
        <w:t>as</w:t>
      </w:r>
      <w:r>
        <w:rPr>
          <w:spacing w:val="22"/>
        </w:rPr>
        <w:t> </w:t>
      </w:r>
      <w:r>
        <w:rPr/>
        <w:t>loyalty,</w:t>
      </w:r>
      <w:r>
        <w:rPr>
          <w:spacing w:val="25"/>
        </w:rPr>
        <w:t> </w:t>
      </w:r>
      <w:r>
        <w:rPr/>
        <w:t>compassion,</w:t>
      </w:r>
      <w:r>
        <w:rPr>
          <w:spacing w:val="24"/>
        </w:rPr>
        <w:t> </w:t>
      </w:r>
      <w:r>
        <w:rPr/>
        <w:t>and</w:t>
      </w:r>
      <w:r>
        <w:rPr>
          <w:spacing w:val="25"/>
        </w:rPr>
        <w:t> </w:t>
      </w:r>
      <w:r>
        <w:rPr/>
        <w:t>integrity.</w:t>
      </w:r>
      <w:r>
        <w:rPr>
          <w:spacing w:val="23"/>
        </w:rPr>
        <w:t> </w:t>
      </w:r>
      <w:r>
        <w:rPr/>
        <w:t>Similarly,</w:t>
      </w:r>
      <w:r>
        <w:rPr>
          <w:spacing w:val="26"/>
        </w:rPr>
        <w:t> </w:t>
      </w:r>
      <w:r>
        <w:rPr>
          <w:spacing w:val="-2"/>
        </w:rPr>
        <w:t>Ghosh’s</w:t>
      </w:r>
    </w:p>
    <w:p>
      <w:pPr>
        <w:pStyle w:val="BodyText"/>
        <w:spacing w:after="0" w:line="249" w:lineRule="auto"/>
        <w:jc w:val="both"/>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6112">
                <wp:simplePos x="0" y="0"/>
                <wp:positionH relativeFrom="page">
                  <wp:posOffset>2065020</wp:posOffset>
                </wp:positionH>
                <wp:positionV relativeFrom="paragraph">
                  <wp:posOffset>795020</wp:posOffset>
                </wp:positionV>
                <wp:extent cx="3657600" cy="12700"/>
                <wp:effectExtent l="0" t="0" r="0" b="0"/>
                <wp:wrapTopAndBottom/>
                <wp:docPr id="366" name="Graphic 366"/>
                <wp:cNvGraphicFramePr>
                  <a:graphicFrameLocks/>
                </wp:cNvGraphicFramePr>
                <a:graphic>
                  <a:graphicData uri="http://schemas.microsoft.com/office/word/2010/wordprocessingShape">
                    <wps:wsp>
                      <wps:cNvPr id="366" name="Graphic 36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10368;mso-wrap-distance-left:0;mso-wrap-distance-right:0" id="docshape362" filled="true" fillcolor="#000000" stroked="false">
                <v:fill type="solid"/>
                <w10:wrap type="topAndBottom"/>
              </v:rect>
            </w:pict>
          </mc:Fallback>
        </mc:AlternateContent>
      </w:r>
      <w:r>
        <w:rPr>
          <w:rFonts w:ascii="Verdana"/>
          <w:spacing w:val="-2"/>
          <w:sz w:val="18"/>
        </w:rPr>
        <w:t>Eco-Feminist</w:t>
      </w:r>
      <w:r>
        <w:rPr>
          <w:rFonts w:ascii="Verdana"/>
          <w:spacing w:val="11"/>
          <w:sz w:val="18"/>
        </w:rPr>
        <w:t> </w:t>
      </w:r>
      <w:r>
        <w:rPr>
          <w:rFonts w:ascii="Verdana"/>
          <w:spacing w:val="-2"/>
          <w:sz w:val="18"/>
        </w:rPr>
        <w:t>Ethics</w:t>
      </w:r>
      <w:r>
        <w:rPr>
          <w:rFonts w:ascii="Verdana"/>
          <w:spacing w:val="11"/>
          <w:sz w:val="18"/>
        </w:rPr>
        <w:t> </w:t>
      </w:r>
      <w:r>
        <w:rPr>
          <w:rFonts w:ascii="Verdana"/>
          <w:spacing w:val="-2"/>
          <w:sz w:val="18"/>
        </w:rPr>
        <w:t>in</w:t>
      </w:r>
      <w:r>
        <w:rPr>
          <w:rFonts w:ascii="Verdana"/>
          <w:spacing w:val="13"/>
          <w:sz w:val="18"/>
        </w:rPr>
        <w:t> </w:t>
      </w:r>
      <w:r>
        <w:rPr>
          <w:rFonts w:ascii="Verdana"/>
          <w:spacing w:val="-2"/>
          <w:sz w:val="18"/>
        </w:rPr>
        <w:t>The</w:t>
      </w:r>
      <w:r>
        <w:rPr>
          <w:rFonts w:ascii="Verdana"/>
          <w:spacing w:val="12"/>
          <w:sz w:val="18"/>
        </w:rPr>
        <w:t> </w:t>
      </w:r>
      <w:r>
        <w:rPr>
          <w:rFonts w:ascii="Verdana"/>
          <w:spacing w:val="-2"/>
          <w:sz w:val="18"/>
        </w:rPr>
        <w:t>Selected</w:t>
      </w:r>
      <w:r>
        <w:rPr>
          <w:rFonts w:ascii="Verdana"/>
          <w:spacing w:val="12"/>
          <w:sz w:val="18"/>
        </w:rPr>
        <w:t> </w:t>
      </w:r>
      <w:r>
        <w:rPr>
          <w:rFonts w:ascii="Verdana"/>
          <w:spacing w:val="-2"/>
          <w:sz w:val="18"/>
        </w:rPr>
        <w:t>Works</w:t>
      </w:r>
      <w:r>
        <w:rPr>
          <w:rFonts w:ascii="Verdana"/>
          <w:spacing w:val="13"/>
          <w:sz w:val="18"/>
        </w:rPr>
        <w:t> </w:t>
      </w:r>
      <w:r>
        <w:rPr>
          <w:rFonts w:ascii="Verdana"/>
          <w:spacing w:val="-2"/>
          <w:sz w:val="18"/>
        </w:rPr>
        <w:t>of</w:t>
      </w:r>
      <w:r>
        <w:rPr>
          <w:rFonts w:ascii="Verdana"/>
          <w:spacing w:val="12"/>
          <w:sz w:val="18"/>
        </w:rPr>
        <w:t> </w:t>
      </w:r>
      <w:r>
        <w:rPr>
          <w:rFonts w:ascii="Verdana"/>
          <w:spacing w:val="-2"/>
          <w:sz w:val="18"/>
        </w:rPr>
        <w:t>William</w:t>
      </w:r>
      <w:r>
        <w:rPr>
          <w:sz w:val="18"/>
        </w:rPr>
        <w:tab/>
      </w:r>
      <w:r>
        <w:rPr>
          <w:rFonts w:ascii="Verdana"/>
          <w:spacing w:val="-5"/>
          <w:sz w:val="18"/>
        </w:rPr>
        <w:t>141</w:t>
      </w:r>
    </w:p>
    <w:p>
      <w:pPr>
        <w:pStyle w:val="BodyText"/>
        <w:spacing w:line="249" w:lineRule="auto" w:before="192"/>
        <w:ind w:right="1437"/>
      </w:pPr>
      <w:r>
        <w:rPr/>
        <w:t>female</w:t>
      </w:r>
      <w:r>
        <w:rPr>
          <w:spacing w:val="35"/>
        </w:rPr>
        <w:t> </w:t>
      </w:r>
      <w:r>
        <w:rPr/>
        <w:t>characters</w:t>
      </w:r>
      <w:r>
        <w:rPr>
          <w:spacing w:val="30"/>
        </w:rPr>
        <w:t> </w:t>
      </w:r>
      <w:r>
        <w:rPr/>
        <w:t>demonstrate</w:t>
      </w:r>
      <w:r>
        <w:rPr>
          <w:spacing w:val="34"/>
        </w:rPr>
        <w:t> </w:t>
      </w:r>
      <w:r>
        <w:rPr/>
        <w:t>courage</w:t>
      </w:r>
      <w:r>
        <w:rPr>
          <w:spacing w:val="31"/>
        </w:rPr>
        <w:t> </w:t>
      </w:r>
      <w:r>
        <w:rPr/>
        <w:t>and</w:t>
      </w:r>
      <w:r>
        <w:rPr>
          <w:spacing w:val="34"/>
        </w:rPr>
        <w:t> </w:t>
      </w:r>
      <w:r>
        <w:rPr/>
        <w:t>endurance</w:t>
      </w:r>
      <w:r>
        <w:rPr>
          <w:spacing w:val="31"/>
        </w:rPr>
        <w:t> </w:t>
      </w:r>
      <w:r>
        <w:rPr/>
        <w:t>in</w:t>
      </w:r>
      <w:r>
        <w:rPr>
          <w:spacing w:val="32"/>
        </w:rPr>
        <w:t> </w:t>
      </w:r>
      <w:r>
        <w:rPr/>
        <w:t>the</w:t>
      </w:r>
      <w:r>
        <w:rPr>
          <w:spacing w:val="32"/>
        </w:rPr>
        <w:t> </w:t>
      </w:r>
      <w:r>
        <w:rPr/>
        <w:t>face</w:t>
      </w:r>
      <w:r>
        <w:rPr>
          <w:spacing w:val="34"/>
        </w:rPr>
        <w:t> </w:t>
      </w:r>
      <w:r>
        <w:rPr/>
        <w:t>of </w:t>
      </w:r>
      <w:r>
        <w:rPr>
          <w:spacing w:val="-2"/>
        </w:rPr>
        <w:t>adversity.</w:t>
      </w:r>
    </w:p>
    <w:p>
      <w:pPr>
        <w:pStyle w:val="Heading5"/>
        <w:numPr>
          <w:ilvl w:val="1"/>
          <w:numId w:val="27"/>
        </w:numPr>
        <w:tabs>
          <w:tab w:pos="1881" w:val="left" w:leader="none"/>
        </w:tabs>
        <w:spacing w:line="240" w:lineRule="auto" w:before="109" w:after="0"/>
        <w:ind w:left="1881" w:right="0" w:hanging="441"/>
        <w:jc w:val="left"/>
      </w:pPr>
      <w:r>
        <w:rPr>
          <w:w w:val="105"/>
        </w:rPr>
        <w:t>Ecofeminist</w:t>
      </w:r>
      <w:r>
        <w:rPr>
          <w:spacing w:val="58"/>
          <w:w w:val="150"/>
        </w:rPr>
        <w:t> </w:t>
      </w:r>
      <w:r>
        <w:rPr>
          <w:spacing w:val="-2"/>
          <w:w w:val="105"/>
        </w:rPr>
        <w:t>Perspective</w:t>
      </w:r>
    </w:p>
    <w:p>
      <w:pPr>
        <w:pStyle w:val="BodyText"/>
        <w:spacing w:line="261" w:lineRule="auto" w:before="79"/>
        <w:ind w:right="1438" w:firstLine="432"/>
        <w:jc w:val="both"/>
      </w:pPr>
      <w:r>
        <w:rPr/>
        <w:t>From an ecofeminist perspective, both Shakespeare and Ghosh reveal connections between women and nature. In Shakespeare, this connection is often symbolic, as seen in </w:t>
      </w:r>
      <w:r>
        <w:rPr>
          <w:i/>
        </w:rPr>
        <w:t>A Midsummer Night’s Dream</w:t>
      </w:r>
      <w:r>
        <w:rPr/>
        <w:t>, </w:t>
      </w:r>
      <w:r>
        <w:rPr>
          <w:spacing w:val="-2"/>
        </w:rPr>
        <w:t>where</w:t>
      </w:r>
      <w:r>
        <w:rPr>
          <w:spacing w:val="-6"/>
        </w:rPr>
        <w:t> </w:t>
      </w:r>
      <w:r>
        <w:rPr>
          <w:spacing w:val="-2"/>
        </w:rPr>
        <w:t>female</w:t>
      </w:r>
      <w:r>
        <w:rPr>
          <w:spacing w:val="-6"/>
        </w:rPr>
        <w:t> </w:t>
      </w:r>
      <w:r>
        <w:rPr>
          <w:spacing w:val="-2"/>
        </w:rPr>
        <w:t>characters</w:t>
      </w:r>
      <w:r>
        <w:rPr>
          <w:spacing w:val="-9"/>
        </w:rPr>
        <w:t> </w:t>
      </w:r>
      <w:r>
        <w:rPr>
          <w:spacing w:val="-2"/>
        </w:rPr>
        <w:t>are</w:t>
      </w:r>
      <w:r>
        <w:rPr>
          <w:spacing w:val="-9"/>
        </w:rPr>
        <w:t> </w:t>
      </w:r>
      <w:r>
        <w:rPr>
          <w:spacing w:val="-2"/>
        </w:rPr>
        <w:t>associated</w:t>
      </w:r>
      <w:r>
        <w:rPr>
          <w:spacing w:val="-6"/>
        </w:rPr>
        <w:t> </w:t>
      </w:r>
      <w:r>
        <w:rPr>
          <w:spacing w:val="-2"/>
        </w:rPr>
        <w:t>with</w:t>
      </w:r>
      <w:r>
        <w:rPr>
          <w:spacing w:val="-9"/>
        </w:rPr>
        <w:t> </w:t>
      </w:r>
      <w:r>
        <w:rPr>
          <w:spacing w:val="-2"/>
        </w:rPr>
        <w:t>fertility</w:t>
      </w:r>
      <w:r>
        <w:rPr>
          <w:spacing w:val="-11"/>
        </w:rPr>
        <w:t> </w:t>
      </w:r>
      <w:r>
        <w:rPr>
          <w:spacing w:val="-2"/>
        </w:rPr>
        <w:t>and</w:t>
      </w:r>
      <w:r>
        <w:rPr>
          <w:spacing w:val="-8"/>
        </w:rPr>
        <w:t> </w:t>
      </w:r>
      <w:r>
        <w:rPr>
          <w:spacing w:val="-2"/>
        </w:rPr>
        <w:t>natural</w:t>
      </w:r>
      <w:r>
        <w:rPr>
          <w:spacing w:val="-9"/>
        </w:rPr>
        <w:t> </w:t>
      </w:r>
      <w:r>
        <w:rPr>
          <w:spacing w:val="-2"/>
        </w:rPr>
        <w:t>harmony. In</w:t>
      </w:r>
      <w:r>
        <w:rPr>
          <w:spacing w:val="-11"/>
        </w:rPr>
        <w:t> </w:t>
      </w:r>
      <w:r>
        <w:rPr>
          <w:spacing w:val="-2"/>
        </w:rPr>
        <w:t>Ghosh’s</w:t>
      </w:r>
      <w:r>
        <w:rPr>
          <w:spacing w:val="-10"/>
        </w:rPr>
        <w:t> </w:t>
      </w:r>
      <w:r>
        <w:rPr>
          <w:spacing w:val="-2"/>
        </w:rPr>
        <w:t>works,</w:t>
      </w:r>
      <w:r>
        <w:rPr>
          <w:spacing w:val="-11"/>
        </w:rPr>
        <w:t> </w:t>
      </w:r>
      <w:r>
        <w:rPr>
          <w:spacing w:val="-2"/>
        </w:rPr>
        <w:t>the</w:t>
      </w:r>
      <w:r>
        <w:rPr>
          <w:spacing w:val="-10"/>
        </w:rPr>
        <w:t> </w:t>
      </w:r>
      <w:r>
        <w:rPr>
          <w:spacing w:val="-2"/>
        </w:rPr>
        <w:t>connection</w:t>
      </w:r>
      <w:r>
        <w:rPr>
          <w:spacing w:val="-11"/>
        </w:rPr>
        <w:t> </w:t>
      </w:r>
      <w:r>
        <w:rPr>
          <w:spacing w:val="-2"/>
        </w:rPr>
        <w:t>is</w:t>
      </w:r>
      <w:r>
        <w:rPr>
          <w:spacing w:val="-10"/>
        </w:rPr>
        <w:t> </w:t>
      </w:r>
      <w:r>
        <w:rPr>
          <w:spacing w:val="-2"/>
        </w:rPr>
        <w:t>more</w:t>
      </w:r>
      <w:r>
        <w:rPr>
          <w:spacing w:val="-11"/>
        </w:rPr>
        <w:t> </w:t>
      </w:r>
      <w:r>
        <w:rPr>
          <w:spacing w:val="-2"/>
        </w:rPr>
        <w:t>direct</w:t>
      </w:r>
      <w:r>
        <w:rPr>
          <w:spacing w:val="-10"/>
        </w:rPr>
        <w:t> </w:t>
      </w:r>
      <w:r>
        <w:rPr>
          <w:spacing w:val="-2"/>
        </w:rPr>
        <w:t>and</w:t>
      </w:r>
      <w:r>
        <w:rPr>
          <w:spacing w:val="-11"/>
        </w:rPr>
        <w:t> </w:t>
      </w:r>
      <w:r>
        <w:rPr>
          <w:spacing w:val="-2"/>
        </w:rPr>
        <w:t>political,</w:t>
      </w:r>
      <w:r>
        <w:rPr>
          <w:spacing w:val="-10"/>
        </w:rPr>
        <w:t> </w:t>
      </w:r>
      <w:r>
        <w:rPr>
          <w:spacing w:val="-2"/>
        </w:rPr>
        <w:t>highlighting </w:t>
      </w:r>
      <w:r>
        <w:rPr/>
        <w:t>how</w:t>
      </w:r>
      <w:r>
        <w:rPr>
          <w:spacing w:val="40"/>
        </w:rPr>
        <w:t> </w:t>
      </w:r>
      <w:r>
        <w:rPr/>
        <w:t>environmental</w:t>
      </w:r>
      <w:r>
        <w:rPr>
          <w:spacing w:val="40"/>
        </w:rPr>
        <w:t> </w:t>
      </w:r>
      <w:r>
        <w:rPr/>
        <w:t>degradation</w:t>
      </w:r>
      <w:r>
        <w:rPr>
          <w:spacing w:val="40"/>
        </w:rPr>
        <w:t> </w:t>
      </w:r>
      <w:r>
        <w:rPr/>
        <w:t>disproportionately</w:t>
      </w:r>
      <w:r>
        <w:rPr>
          <w:spacing w:val="40"/>
        </w:rPr>
        <w:t> </w:t>
      </w:r>
      <w:r>
        <w:rPr/>
        <w:t>affects</w:t>
      </w:r>
      <w:r>
        <w:rPr>
          <w:spacing w:val="40"/>
        </w:rPr>
        <w:t> </w:t>
      </w:r>
      <w:r>
        <w:rPr/>
        <w:t>women.</w:t>
      </w:r>
    </w:p>
    <w:p>
      <w:pPr>
        <w:pStyle w:val="BodyText"/>
        <w:spacing w:line="261" w:lineRule="auto" w:before="53"/>
        <w:ind w:right="1440" w:firstLine="432"/>
        <w:jc w:val="both"/>
      </w:pPr>
      <w:r>
        <w:rPr/>
        <w:t>Ghosh’s narratives align closely with ecofeminist thinkers like </w:t>
      </w:r>
      <w:r>
        <w:rPr>
          <w:spacing w:val="-2"/>
        </w:rPr>
        <w:t>Vandana</w:t>
      </w:r>
      <w:r>
        <w:rPr>
          <w:spacing w:val="-5"/>
        </w:rPr>
        <w:t> </w:t>
      </w:r>
      <w:r>
        <w:rPr>
          <w:spacing w:val="-2"/>
        </w:rPr>
        <w:t>Shiva,</w:t>
      </w:r>
      <w:r>
        <w:rPr>
          <w:spacing w:val="-8"/>
        </w:rPr>
        <w:t> </w:t>
      </w:r>
      <w:r>
        <w:rPr>
          <w:spacing w:val="-2"/>
        </w:rPr>
        <w:t>emphasizing</w:t>
      </w:r>
      <w:r>
        <w:rPr>
          <w:spacing w:val="-8"/>
        </w:rPr>
        <w:t> </w:t>
      </w:r>
      <w:r>
        <w:rPr>
          <w:spacing w:val="-2"/>
        </w:rPr>
        <w:t>sustainability,</w:t>
      </w:r>
      <w:r>
        <w:rPr>
          <w:spacing w:val="-6"/>
        </w:rPr>
        <w:t> </w:t>
      </w:r>
      <w:r>
        <w:rPr>
          <w:spacing w:val="-2"/>
        </w:rPr>
        <w:t>care,</w:t>
      </w:r>
      <w:r>
        <w:rPr>
          <w:spacing w:val="-8"/>
        </w:rPr>
        <w:t> </w:t>
      </w:r>
      <w:r>
        <w:rPr>
          <w:spacing w:val="-2"/>
        </w:rPr>
        <w:t>and</w:t>
      </w:r>
      <w:r>
        <w:rPr>
          <w:spacing w:val="-3"/>
        </w:rPr>
        <w:t> </w:t>
      </w:r>
      <w:r>
        <w:rPr>
          <w:spacing w:val="-2"/>
        </w:rPr>
        <w:t>interconnectedness. </w:t>
      </w:r>
      <w:r>
        <w:rPr/>
        <w:t>Shakespeare, though not explicitly ecofeminist, anticipates these ideas through</w:t>
      </w:r>
      <w:r>
        <w:rPr>
          <w:spacing w:val="-5"/>
        </w:rPr>
        <w:t> </w:t>
      </w:r>
      <w:r>
        <w:rPr/>
        <w:t>his</w:t>
      </w:r>
      <w:r>
        <w:rPr>
          <w:spacing w:val="-7"/>
        </w:rPr>
        <w:t> </w:t>
      </w:r>
      <w:r>
        <w:rPr/>
        <w:t>portrayal</w:t>
      </w:r>
      <w:r>
        <w:rPr>
          <w:spacing w:val="-5"/>
        </w:rPr>
        <w:t> </w:t>
      </w:r>
      <w:r>
        <w:rPr/>
        <w:t>of</w:t>
      </w:r>
      <w:r>
        <w:rPr>
          <w:spacing w:val="-7"/>
        </w:rPr>
        <w:t> </w:t>
      </w:r>
      <w:r>
        <w:rPr/>
        <w:t>the</w:t>
      </w:r>
      <w:r>
        <w:rPr>
          <w:spacing w:val="-3"/>
        </w:rPr>
        <w:t> </w:t>
      </w:r>
      <w:r>
        <w:rPr/>
        <w:t>consequences</w:t>
      </w:r>
      <w:r>
        <w:rPr>
          <w:spacing w:val="-7"/>
        </w:rPr>
        <w:t> </w:t>
      </w:r>
      <w:r>
        <w:rPr/>
        <w:t>of</w:t>
      </w:r>
      <w:r>
        <w:rPr>
          <w:spacing w:val="-5"/>
        </w:rPr>
        <w:t> </w:t>
      </w:r>
      <w:r>
        <w:rPr/>
        <w:t>imbalance</w:t>
      </w:r>
      <w:r>
        <w:rPr>
          <w:spacing w:val="-7"/>
        </w:rPr>
        <w:t> </w:t>
      </w:r>
      <w:r>
        <w:rPr/>
        <w:t>and</w:t>
      </w:r>
      <w:r>
        <w:rPr>
          <w:spacing w:val="-1"/>
        </w:rPr>
        <w:t> </w:t>
      </w:r>
      <w:r>
        <w:rPr>
          <w:spacing w:val="-2"/>
        </w:rPr>
        <w:t>domination.</w:t>
      </w:r>
    </w:p>
    <w:p>
      <w:pPr>
        <w:pStyle w:val="BodyText"/>
        <w:spacing w:line="261" w:lineRule="auto" w:before="56"/>
        <w:ind w:right="1438" w:firstLine="432"/>
        <w:jc w:val="both"/>
      </w:pPr>
      <w:r>
        <w:rPr/>
        <w:t>The intersection of natural disasters and the role of women in literature reveals deep insights into social structures, vulnerability, and resilience. In the works of William Shakespeare and Amitav Ghosh, natural forces such</w:t>
      </w:r>
      <w:r>
        <w:rPr>
          <w:spacing w:val="-2"/>
        </w:rPr>
        <w:t> </w:t>
      </w:r>
      <w:r>
        <w:rPr/>
        <w:t>as storms, floods, and ecological</w:t>
      </w:r>
      <w:r>
        <w:rPr>
          <w:spacing w:val="-1"/>
        </w:rPr>
        <w:t> </w:t>
      </w:r>
      <w:r>
        <w:rPr/>
        <w:t>disruptions are not merely physical events but symbolic and thematic elements that shape human</w:t>
      </w:r>
      <w:r>
        <w:rPr>
          <w:spacing w:val="-7"/>
        </w:rPr>
        <w:t> </w:t>
      </w:r>
      <w:r>
        <w:rPr/>
        <w:t>lives,</w:t>
      </w:r>
      <w:r>
        <w:rPr>
          <w:spacing w:val="-7"/>
        </w:rPr>
        <w:t> </w:t>
      </w:r>
      <w:r>
        <w:rPr/>
        <w:t>particularly</w:t>
      </w:r>
      <w:r>
        <w:rPr>
          <w:spacing w:val="-9"/>
        </w:rPr>
        <w:t> </w:t>
      </w:r>
      <w:r>
        <w:rPr/>
        <w:t>the</w:t>
      </w:r>
      <w:r>
        <w:rPr>
          <w:spacing w:val="-7"/>
        </w:rPr>
        <w:t> </w:t>
      </w:r>
      <w:r>
        <w:rPr/>
        <w:t>experiences</w:t>
      </w:r>
      <w:r>
        <w:rPr>
          <w:spacing w:val="-7"/>
        </w:rPr>
        <w:t> </w:t>
      </w:r>
      <w:r>
        <w:rPr/>
        <w:t>of</w:t>
      </w:r>
      <w:r>
        <w:rPr>
          <w:spacing w:val="-7"/>
        </w:rPr>
        <w:t> </w:t>
      </w:r>
      <w:r>
        <w:rPr/>
        <w:t>women.</w:t>
      </w:r>
      <w:r>
        <w:rPr>
          <w:spacing w:val="-6"/>
        </w:rPr>
        <w:t> </w:t>
      </w:r>
      <w:r>
        <w:rPr/>
        <w:t>While</w:t>
      </w:r>
      <w:r>
        <w:rPr>
          <w:spacing w:val="-6"/>
        </w:rPr>
        <w:t> </w:t>
      </w:r>
      <w:r>
        <w:rPr/>
        <w:t>Shakespeare uses natural disturbances metaphorically to reflect inner and social </w:t>
      </w:r>
      <w:r>
        <w:rPr>
          <w:spacing w:val="10"/>
        </w:rPr>
        <w:t>chaos,</w:t>
      </w:r>
      <w:r>
        <w:rPr>
          <w:spacing w:val="10"/>
        </w:rPr>
        <w:t> </w:t>
      </w:r>
      <w:r>
        <w:rPr>
          <w:spacing w:val="9"/>
        </w:rPr>
        <w:t>Ghosh</w:t>
      </w:r>
      <w:r>
        <w:rPr>
          <w:spacing w:val="9"/>
        </w:rPr>
        <w:t> </w:t>
      </w:r>
      <w:r>
        <w:rPr>
          <w:spacing w:val="10"/>
        </w:rPr>
        <w:t>presents</w:t>
      </w:r>
      <w:r>
        <w:rPr>
          <w:spacing w:val="10"/>
        </w:rPr>
        <w:t> </w:t>
      </w:r>
      <w:r>
        <w:rPr/>
        <w:t>them as </w:t>
      </w:r>
      <w:r>
        <w:rPr>
          <w:spacing w:val="10"/>
        </w:rPr>
        <w:t>real,</w:t>
      </w:r>
      <w:r>
        <w:rPr>
          <w:spacing w:val="10"/>
        </w:rPr>
        <w:t> material</w:t>
      </w:r>
      <w:r>
        <w:rPr>
          <w:spacing w:val="10"/>
        </w:rPr>
        <w:t> crises</w:t>
      </w:r>
      <w:r>
        <w:rPr>
          <w:spacing w:val="10"/>
        </w:rPr>
        <w:t> </w:t>
      </w:r>
      <w:r>
        <w:rPr/>
        <w:t>that disproportionately</w:t>
      </w:r>
      <w:r>
        <w:rPr>
          <w:spacing w:val="-5"/>
        </w:rPr>
        <w:t> </w:t>
      </w:r>
      <w:r>
        <w:rPr/>
        <w:t>affect</w:t>
      </w:r>
      <w:r>
        <w:rPr>
          <w:spacing w:val="-1"/>
        </w:rPr>
        <w:t> </w:t>
      </w:r>
      <w:r>
        <w:rPr/>
        <w:t>marginalized</w:t>
      </w:r>
      <w:r>
        <w:rPr>
          <w:spacing w:val="3"/>
        </w:rPr>
        <w:t> </w:t>
      </w:r>
      <w:r>
        <w:rPr/>
        <w:t>communities, especially</w:t>
      </w:r>
      <w:r>
        <w:rPr>
          <w:spacing w:val="-4"/>
        </w:rPr>
        <w:t> </w:t>
      </w:r>
      <w:r>
        <w:rPr>
          <w:spacing w:val="-2"/>
        </w:rPr>
        <w:t>women.</w:t>
      </w:r>
    </w:p>
    <w:p>
      <w:pPr>
        <w:pStyle w:val="BodyText"/>
        <w:spacing w:line="261" w:lineRule="auto" w:before="53"/>
        <w:ind w:right="1436" w:firstLine="432"/>
        <w:jc w:val="both"/>
      </w:pPr>
      <w:r>
        <w:rPr/>
        <w:t>In Shakespeare’s plays, natural disasters often mirror emotional turmoil and moral disorder. In King Lear, the storm on the heath is one of the most powerful representations of natural chaos. It reflects Lear’s mental</w:t>
      </w:r>
      <w:r>
        <w:rPr>
          <w:spacing w:val="-6"/>
        </w:rPr>
        <w:t> </w:t>
      </w:r>
      <w:r>
        <w:rPr/>
        <w:t>breakdown</w:t>
      </w:r>
      <w:r>
        <w:rPr>
          <w:spacing w:val="-4"/>
        </w:rPr>
        <w:t> </w:t>
      </w:r>
      <w:r>
        <w:rPr/>
        <w:t>and</w:t>
      </w:r>
      <w:r>
        <w:rPr>
          <w:spacing w:val="-3"/>
        </w:rPr>
        <w:t> </w:t>
      </w:r>
      <w:r>
        <w:rPr/>
        <w:t>the</w:t>
      </w:r>
      <w:r>
        <w:rPr>
          <w:spacing w:val="-4"/>
        </w:rPr>
        <w:t> </w:t>
      </w:r>
      <w:r>
        <w:rPr/>
        <w:t>collapse</w:t>
      </w:r>
      <w:r>
        <w:rPr>
          <w:spacing w:val="-4"/>
        </w:rPr>
        <w:t> </w:t>
      </w:r>
      <w:r>
        <w:rPr/>
        <w:t>of</w:t>
      </w:r>
      <w:r>
        <w:rPr>
          <w:spacing w:val="-6"/>
        </w:rPr>
        <w:t> </w:t>
      </w:r>
      <w:r>
        <w:rPr/>
        <w:t>familial</w:t>
      </w:r>
      <w:r>
        <w:rPr>
          <w:spacing w:val="-3"/>
        </w:rPr>
        <w:t> </w:t>
      </w:r>
      <w:r>
        <w:rPr/>
        <w:t>and</w:t>
      </w:r>
      <w:r>
        <w:rPr>
          <w:spacing w:val="-3"/>
        </w:rPr>
        <w:t> </w:t>
      </w:r>
      <w:r>
        <w:rPr/>
        <w:t>political</w:t>
      </w:r>
      <w:r>
        <w:rPr>
          <w:spacing w:val="-4"/>
        </w:rPr>
        <w:t> </w:t>
      </w:r>
      <w:r>
        <w:rPr/>
        <w:t>order.</w:t>
      </w:r>
      <w:r>
        <w:rPr>
          <w:spacing w:val="-4"/>
        </w:rPr>
        <w:t> </w:t>
      </w:r>
      <w:r>
        <w:rPr/>
        <w:t>From a gendered perspective, the suffering of</w:t>
      </w:r>
      <w:r>
        <w:rPr>
          <w:spacing w:val="-1"/>
        </w:rPr>
        <w:t> </w:t>
      </w:r>
      <w:r>
        <w:rPr/>
        <w:t>female characters like Cordelia is closely tied to this disorder. Cordelia’s honesty and integrity are rejected</w:t>
      </w:r>
      <w:r>
        <w:rPr>
          <w:spacing w:val="-1"/>
        </w:rPr>
        <w:t> </w:t>
      </w:r>
      <w:r>
        <w:rPr/>
        <w:t>in</w:t>
      </w:r>
      <w:r>
        <w:rPr>
          <w:spacing w:val="-2"/>
        </w:rPr>
        <w:t> </w:t>
      </w:r>
      <w:r>
        <w:rPr/>
        <w:t>a patriarchal</w:t>
      </w:r>
      <w:r>
        <w:rPr>
          <w:spacing w:val="-1"/>
        </w:rPr>
        <w:t> </w:t>
      </w:r>
      <w:r>
        <w:rPr/>
        <w:t>system,</w:t>
      </w:r>
      <w:r>
        <w:rPr>
          <w:spacing w:val="-1"/>
        </w:rPr>
        <w:t> </w:t>
      </w:r>
      <w:r>
        <w:rPr/>
        <w:t>leading</w:t>
      </w:r>
      <w:r>
        <w:rPr>
          <w:spacing w:val="-2"/>
        </w:rPr>
        <w:t> </w:t>
      </w:r>
      <w:r>
        <w:rPr/>
        <w:t>to</w:t>
      </w:r>
      <w:r>
        <w:rPr>
          <w:spacing w:val="-1"/>
        </w:rPr>
        <w:t> </w:t>
      </w:r>
      <w:r>
        <w:rPr/>
        <w:t>her</w:t>
      </w:r>
      <w:r>
        <w:rPr>
          <w:spacing w:val="-1"/>
        </w:rPr>
        <w:t> </w:t>
      </w:r>
      <w:r>
        <w:rPr/>
        <w:t>exile and eventual</w:t>
      </w:r>
      <w:r>
        <w:rPr>
          <w:spacing w:val="-1"/>
        </w:rPr>
        <w:t> </w:t>
      </w:r>
      <w:r>
        <w:rPr/>
        <w:t>death. The storm thus symbolizes not only personal suffering but also the consequences</w:t>
      </w:r>
      <w:r>
        <w:rPr>
          <w:spacing w:val="40"/>
        </w:rPr>
        <w:t> </w:t>
      </w:r>
      <w:r>
        <w:rPr/>
        <w:t>of</w:t>
      </w:r>
      <w:r>
        <w:rPr>
          <w:spacing w:val="40"/>
        </w:rPr>
        <w:t> </w:t>
      </w:r>
      <w:r>
        <w:rPr/>
        <w:t>injustice</w:t>
      </w:r>
      <w:r>
        <w:rPr>
          <w:spacing w:val="40"/>
        </w:rPr>
        <w:t> </w:t>
      </w:r>
      <w:r>
        <w:rPr/>
        <w:t>toward</w:t>
      </w:r>
      <w:r>
        <w:rPr>
          <w:spacing w:val="40"/>
        </w:rPr>
        <w:t> </w:t>
      </w:r>
      <w:r>
        <w:rPr/>
        <w:t>women.</w:t>
      </w:r>
    </w:p>
    <w:p>
      <w:pPr>
        <w:pStyle w:val="BodyText"/>
        <w:spacing w:line="261" w:lineRule="auto" w:before="50"/>
        <w:ind w:right="1440" w:firstLine="432"/>
        <w:jc w:val="both"/>
      </w:pPr>
      <w:r>
        <w:rPr/>
        <w:t>Similarly, in The Tempest, the opening shipwreck caused by a violent storm initiates the entire narrative. The island becomes a space where power, control, and survival are negotiated. Miranda, the central female character, is closely associated with innocence and harmony. However, she remains under the authority of Prospero, whose control over</w:t>
      </w:r>
      <w:r>
        <w:rPr>
          <w:spacing w:val="25"/>
        </w:rPr>
        <w:t> </w:t>
      </w:r>
      <w:r>
        <w:rPr/>
        <w:t>the</w:t>
      </w:r>
      <w:r>
        <w:rPr>
          <w:spacing w:val="21"/>
        </w:rPr>
        <w:t> </w:t>
      </w:r>
      <w:r>
        <w:rPr/>
        <w:t>natural</w:t>
      </w:r>
      <w:r>
        <w:rPr>
          <w:spacing w:val="24"/>
        </w:rPr>
        <w:t> </w:t>
      </w:r>
      <w:r>
        <w:rPr/>
        <w:t>elements</w:t>
      </w:r>
      <w:r>
        <w:rPr>
          <w:spacing w:val="25"/>
        </w:rPr>
        <w:t> </w:t>
      </w:r>
      <w:r>
        <w:rPr/>
        <w:t>reflects</w:t>
      </w:r>
      <w:r>
        <w:rPr>
          <w:spacing w:val="22"/>
        </w:rPr>
        <w:t> </w:t>
      </w:r>
      <w:r>
        <w:rPr/>
        <w:t>patriarchal</w:t>
      </w:r>
      <w:r>
        <w:rPr>
          <w:spacing w:val="22"/>
        </w:rPr>
        <w:t> </w:t>
      </w:r>
      <w:r>
        <w:rPr/>
        <w:t>domination.</w:t>
      </w:r>
      <w:r>
        <w:rPr>
          <w:spacing w:val="25"/>
        </w:rPr>
        <w:t> </w:t>
      </w:r>
      <w:r>
        <w:rPr/>
        <w:t>The</w:t>
      </w:r>
      <w:r>
        <w:rPr>
          <w:spacing w:val="25"/>
        </w:rPr>
        <w:t> </w:t>
      </w:r>
      <w:r>
        <w:rPr>
          <w:spacing w:val="-2"/>
        </w:rPr>
        <w:t>natural</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6624">
                <wp:simplePos x="0" y="0"/>
                <wp:positionH relativeFrom="page">
                  <wp:posOffset>2057400</wp:posOffset>
                </wp:positionH>
                <wp:positionV relativeFrom="paragraph">
                  <wp:posOffset>162604</wp:posOffset>
                </wp:positionV>
                <wp:extent cx="3657600" cy="12700"/>
                <wp:effectExtent l="0" t="0" r="0" b="0"/>
                <wp:wrapTopAndBottom/>
                <wp:docPr id="367" name="Graphic 367"/>
                <wp:cNvGraphicFramePr>
                  <a:graphicFrameLocks/>
                </wp:cNvGraphicFramePr>
                <a:graphic>
                  <a:graphicData uri="http://schemas.microsoft.com/office/word/2010/wordprocessingShape">
                    <wps:wsp>
                      <wps:cNvPr id="367" name="Graphic 36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09856;mso-wrap-distance-left:0;mso-wrap-distance-right:0" id="docshape363" filled="true" fillcolor="#000000" stroked="false">
                <v:fill type="solid"/>
                <w10:wrap type="topAndBottom"/>
              </v:rect>
            </w:pict>
          </mc:Fallback>
        </mc:AlternateContent>
      </w:r>
      <w:r>
        <w:rPr>
          <w:rFonts w:ascii="Verdana"/>
          <w:spacing w:val="-5"/>
          <w:sz w:val="18"/>
        </w:rPr>
        <w:t>142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1" w:lineRule="auto" w:before="199"/>
        <w:ind w:right="1440"/>
        <w:jc w:val="both"/>
      </w:pPr>
      <w:r>
        <w:rPr/>
        <w:t>disaster here serves as a tool of power, shaping the lives of both men and women.</w:t>
      </w:r>
    </w:p>
    <w:p>
      <w:pPr>
        <w:pStyle w:val="BodyText"/>
        <w:spacing w:line="261" w:lineRule="auto" w:before="56"/>
        <w:ind w:right="1434" w:firstLine="432"/>
        <w:jc w:val="both"/>
      </w:pPr>
      <w:r>
        <w:rPr/>
        <w:t>In Macbeth, unnatural occurrences in nature such as storms, darkness, and disturbances in animal behaviour accompany the moral corruption of the characters. Lady Macbeth’s role is particularly </w:t>
      </w:r>
      <w:r>
        <w:rPr>
          <w:spacing w:val="-2"/>
        </w:rPr>
        <w:t>significant.</w:t>
      </w:r>
      <w:r>
        <w:rPr>
          <w:spacing w:val="-8"/>
        </w:rPr>
        <w:t> </w:t>
      </w:r>
      <w:r>
        <w:rPr>
          <w:spacing w:val="-2"/>
        </w:rPr>
        <w:t>Her</w:t>
      </w:r>
      <w:r>
        <w:rPr>
          <w:spacing w:val="-3"/>
        </w:rPr>
        <w:t> </w:t>
      </w:r>
      <w:r>
        <w:rPr>
          <w:spacing w:val="-2"/>
        </w:rPr>
        <w:t>ambition</w:t>
      </w:r>
      <w:r>
        <w:rPr>
          <w:spacing w:val="-10"/>
        </w:rPr>
        <w:t> </w:t>
      </w:r>
      <w:r>
        <w:rPr>
          <w:spacing w:val="-2"/>
        </w:rPr>
        <w:t>and</w:t>
      </w:r>
      <w:r>
        <w:rPr>
          <w:spacing w:val="-8"/>
        </w:rPr>
        <w:t> </w:t>
      </w:r>
      <w:r>
        <w:rPr>
          <w:spacing w:val="-2"/>
        </w:rPr>
        <w:t>rejection</w:t>
      </w:r>
      <w:r>
        <w:rPr>
          <w:spacing w:val="-6"/>
        </w:rPr>
        <w:t> </w:t>
      </w:r>
      <w:r>
        <w:rPr>
          <w:spacing w:val="-2"/>
        </w:rPr>
        <w:t>of</w:t>
      </w:r>
      <w:r>
        <w:rPr>
          <w:spacing w:val="-6"/>
        </w:rPr>
        <w:t> </w:t>
      </w:r>
      <w:r>
        <w:rPr>
          <w:spacing w:val="-2"/>
        </w:rPr>
        <w:t>traditional</w:t>
      </w:r>
      <w:r>
        <w:rPr>
          <w:spacing w:val="-8"/>
        </w:rPr>
        <w:t> </w:t>
      </w:r>
      <w:r>
        <w:rPr>
          <w:spacing w:val="-2"/>
        </w:rPr>
        <w:t>femininity</w:t>
      </w:r>
      <w:r>
        <w:rPr>
          <w:spacing w:val="-11"/>
        </w:rPr>
        <w:t> </w:t>
      </w:r>
      <w:r>
        <w:rPr>
          <w:spacing w:val="-2"/>
        </w:rPr>
        <w:t>align</w:t>
      </w:r>
      <w:r>
        <w:rPr>
          <w:spacing w:val="-5"/>
        </w:rPr>
        <w:t> </w:t>
      </w:r>
      <w:r>
        <w:rPr>
          <w:spacing w:val="-2"/>
        </w:rPr>
        <w:t>with </w:t>
      </w:r>
      <w:r>
        <w:rPr/>
        <w:t>the disruption of natural order. Although not directly affected by a natural disaster, her psychological breakdown parallels the chaos in the environment,</w:t>
      </w:r>
      <w:r>
        <w:rPr>
          <w:spacing w:val="22"/>
        </w:rPr>
        <w:t> </w:t>
      </w:r>
      <w:r>
        <w:rPr/>
        <w:t>suggesting</w:t>
      </w:r>
      <w:r>
        <w:rPr>
          <w:spacing w:val="21"/>
        </w:rPr>
        <w:t> </w:t>
      </w:r>
      <w:r>
        <w:rPr/>
        <w:t>a</w:t>
      </w:r>
      <w:r>
        <w:rPr>
          <w:spacing w:val="23"/>
        </w:rPr>
        <w:t> </w:t>
      </w:r>
      <w:r>
        <w:rPr/>
        <w:t>link</w:t>
      </w:r>
      <w:r>
        <w:rPr>
          <w:spacing w:val="21"/>
        </w:rPr>
        <w:t> </w:t>
      </w:r>
      <w:r>
        <w:rPr/>
        <w:t>between</w:t>
      </w:r>
      <w:r>
        <w:rPr>
          <w:spacing w:val="21"/>
        </w:rPr>
        <w:t> </w:t>
      </w:r>
      <w:r>
        <w:rPr/>
        <w:t>gender,</w:t>
      </w:r>
      <w:r>
        <w:rPr>
          <w:spacing w:val="22"/>
        </w:rPr>
        <w:t> </w:t>
      </w:r>
      <w:r>
        <w:rPr/>
        <w:t>morality,</w:t>
      </w:r>
      <w:r>
        <w:rPr>
          <w:spacing w:val="24"/>
        </w:rPr>
        <w:t> </w:t>
      </w:r>
      <w:r>
        <w:rPr/>
        <w:t>and</w:t>
      </w:r>
      <w:r>
        <w:rPr>
          <w:spacing w:val="24"/>
        </w:rPr>
        <w:t> </w:t>
      </w:r>
      <w:r>
        <w:rPr/>
        <w:t>nature.</w:t>
      </w:r>
    </w:p>
    <w:p>
      <w:pPr>
        <w:pStyle w:val="BodyText"/>
        <w:spacing w:line="261" w:lineRule="auto" w:before="55"/>
        <w:ind w:right="1439" w:firstLine="432"/>
        <w:jc w:val="both"/>
      </w:pPr>
      <w:r>
        <w:rPr/>
        <w:t>Thus, in Shakespeare, natural disasters are largely symbolic, </w:t>
      </w:r>
      <w:r>
        <w:rPr>
          <w:spacing w:val="-2"/>
        </w:rPr>
        <w:t>reflecting</w:t>
      </w:r>
      <w:r>
        <w:rPr>
          <w:spacing w:val="-8"/>
        </w:rPr>
        <w:t> </w:t>
      </w:r>
      <w:r>
        <w:rPr>
          <w:spacing w:val="-2"/>
        </w:rPr>
        <w:t>the</w:t>
      </w:r>
      <w:r>
        <w:rPr>
          <w:spacing w:val="-5"/>
        </w:rPr>
        <w:t> </w:t>
      </w:r>
      <w:r>
        <w:rPr>
          <w:spacing w:val="-2"/>
        </w:rPr>
        <w:t>imbalance</w:t>
      </w:r>
      <w:r>
        <w:rPr>
          <w:spacing w:val="-7"/>
        </w:rPr>
        <w:t> </w:t>
      </w:r>
      <w:r>
        <w:rPr>
          <w:spacing w:val="-2"/>
        </w:rPr>
        <w:t>caused</w:t>
      </w:r>
      <w:r>
        <w:rPr>
          <w:spacing w:val="-5"/>
        </w:rPr>
        <w:t> </w:t>
      </w:r>
      <w:r>
        <w:rPr>
          <w:spacing w:val="-2"/>
        </w:rPr>
        <w:t>by</w:t>
      </w:r>
      <w:r>
        <w:rPr>
          <w:spacing w:val="-10"/>
        </w:rPr>
        <w:t> </w:t>
      </w:r>
      <w:r>
        <w:rPr>
          <w:spacing w:val="-2"/>
        </w:rPr>
        <w:t>human</w:t>
      </w:r>
      <w:r>
        <w:rPr>
          <w:spacing w:val="-7"/>
        </w:rPr>
        <w:t> </w:t>
      </w:r>
      <w:r>
        <w:rPr>
          <w:spacing w:val="-2"/>
        </w:rPr>
        <w:t>actions,</w:t>
      </w:r>
      <w:r>
        <w:rPr>
          <w:spacing w:val="-5"/>
        </w:rPr>
        <w:t> </w:t>
      </w:r>
      <w:r>
        <w:rPr>
          <w:spacing w:val="-2"/>
        </w:rPr>
        <w:t>particularly</w:t>
      </w:r>
      <w:r>
        <w:rPr>
          <w:spacing w:val="-11"/>
        </w:rPr>
        <w:t> </w:t>
      </w:r>
      <w:r>
        <w:rPr>
          <w:spacing w:val="-2"/>
        </w:rPr>
        <w:t>the</w:t>
      </w:r>
      <w:r>
        <w:rPr>
          <w:spacing w:val="-7"/>
        </w:rPr>
        <w:t> </w:t>
      </w:r>
      <w:r>
        <w:rPr>
          <w:spacing w:val="-2"/>
        </w:rPr>
        <w:t>misuse </w:t>
      </w:r>
      <w:r>
        <w:rPr/>
        <w:t>of</w:t>
      </w:r>
      <w:r>
        <w:rPr>
          <w:spacing w:val="-4"/>
        </w:rPr>
        <w:t> </w:t>
      </w:r>
      <w:r>
        <w:rPr/>
        <w:t>power.</w:t>
      </w:r>
      <w:r>
        <w:rPr>
          <w:spacing w:val="-7"/>
        </w:rPr>
        <w:t> </w:t>
      </w:r>
      <w:r>
        <w:rPr/>
        <w:t>Women, in</w:t>
      </w:r>
      <w:r>
        <w:rPr>
          <w:spacing w:val="-2"/>
        </w:rPr>
        <w:t> </w:t>
      </w:r>
      <w:r>
        <w:rPr/>
        <w:t>this</w:t>
      </w:r>
      <w:r>
        <w:rPr>
          <w:spacing w:val="-5"/>
        </w:rPr>
        <w:t> </w:t>
      </w:r>
      <w:r>
        <w:rPr/>
        <w:t>context, are</w:t>
      </w:r>
      <w:r>
        <w:rPr>
          <w:spacing w:val="-4"/>
        </w:rPr>
        <w:t> </w:t>
      </w:r>
      <w:r>
        <w:rPr/>
        <w:t>often</w:t>
      </w:r>
      <w:r>
        <w:rPr>
          <w:spacing w:val="-4"/>
        </w:rPr>
        <w:t> </w:t>
      </w:r>
      <w:r>
        <w:rPr/>
        <w:t>victims</w:t>
      </w:r>
      <w:r>
        <w:rPr>
          <w:spacing w:val="-4"/>
        </w:rPr>
        <w:t> </w:t>
      </w:r>
      <w:r>
        <w:rPr/>
        <w:t>of</w:t>
      </w:r>
      <w:r>
        <w:rPr>
          <w:spacing w:val="-5"/>
        </w:rPr>
        <w:t> </w:t>
      </w:r>
      <w:r>
        <w:rPr/>
        <w:t>these</w:t>
      </w:r>
      <w:r>
        <w:rPr>
          <w:spacing w:val="-2"/>
        </w:rPr>
        <w:t> </w:t>
      </w:r>
      <w:r>
        <w:rPr/>
        <w:t>imbalances or</w:t>
      </w:r>
      <w:r>
        <w:rPr>
          <w:spacing w:val="40"/>
        </w:rPr>
        <w:t> </w:t>
      </w:r>
      <w:r>
        <w:rPr/>
        <w:t>symbols</w:t>
      </w:r>
      <w:r>
        <w:rPr>
          <w:spacing w:val="40"/>
        </w:rPr>
        <w:t> </w:t>
      </w:r>
      <w:r>
        <w:rPr/>
        <w:t>of lost</w:t>
      </w:r>
      <w:r>
        <w:rPr>
          <w:spacing w:val="40"/>
        </w:rPr>
        <w:t> </w:t>
      </w:r>
      <w:r>
        <w:rPr/>
        <w:t>harmony.</w:t>
      </w:r>
    </w:p>
    <w:p>
      <w:pPr>
        <w:pStyle w:val="BodyText"/>
        <w:spacing w:line="261" w:lineRule="auto" w:before="55"/>
        <w:ind w:right="1436" w:firstLine="432"/>
        <w:jc w:val="both"/>
      </w:pPr>
      <w:r>
        <w:rPr/>
        <w:t>In contrast, the works of Amitav Ghosh present natural disasters</w:t>
      </w:r>
      <w:r>
        <w:rPr>
          <w:spacing w:val="40"/>
        </w:rPr>
        <w:t> </w:t>
      </w:r>
      <w:r>
        <w:rPr/>
        <w:t>as real and pressing concerns, especially in the context of climate change. In The Hungry Tide, the Sundarbans region is frequently affected by cyclones, floods, and tidal waves. These natural disasters</w:t>
      </w:r>
      <w:r>
        <w:rPr>
          <w:spacing w:val="40"/>
        </w:rPr>
        <w:t> </w:t>
      </w:r>
      <w:r>
        <w:rPr/>
        <w:t>are not symbolic but deeply embedded in the daily lives of the people. </w:t>
      </w:r>
      <w:r>
        <w:rPr>
          <w:spacing w:val="-2"/>
        </w:rPr>
        <w:t>Women, particularly</w:t>
      </w:r>
      <w:r>
        <w:rPr>
          <w:spacing w:val="-8"/>
        </w:rPr>
        <w:t> </w:t>
      </w:r>
      <w:r>
        <w:rPr>
          <w:spacing w:val="-2"/>
        </w:rPr>
        <w:t>those from</w:t>
      </w:r>
      <w:r>
        <w:rPr>
          <w:spacing w:val="-9"/>
        </w:rPr>
        <w:t> </w:t>
      </w:r>
      <w:r>
        <w:rPr>
          <w:spacing w:val="-2"/>
        </w:rPr>
        <w:t>marginalized communities, are</w:t>
      </w:r>
      <w:r>
        <w:rPr>
          <w:spacing w:val="-4"/>
        </w:rPr>
        <w:t> </w:t>
      </w:r>
      <w:r>
        <w:rPr>
          <w:spacing w:val="-2"/>
        </w:rPr>
        <w:t>shown to </w:t>
      </w:r>
      <w:r>
        <w:rPr/>
        <w:t>be the most vulnerable. Characters like Kusum represent the struggles of women who</w:t>
      </w:r>
      <w:r>
        <w:rPr>
          <w:spacing w:val="23"/>
        </w:rPr>
        <w:t> </w:t>
      </w:r>
      <w:r>
        <w:rPr/>
        <w:t>depend</w:t>
      </w:r>
      <w:r>
        <w:rPr>
          <w:spacing w:val="23"/>
        </w:rPr>
        <w:t> </w:t>
      </w:r>
      <w:r>
        <w:rPr/>
        <w:t>on nature for survival and</w:t>
      </w:r>
      <w:r>
        <w:rPr>
          <w:spacing w:val="21"/>
        </w:rPr>
        <w:t> </w:t>
      </w:r>
      <w:r>
        <w:rPr/>
        <w:t>are often displaced</w:t>
      </w:r>
      <w:r>
        <w:rPr>
          <w:spacing w:val="40"/>
        </w:rPr>
        <w:t> </w:t>
      </w:r>
      <w:r>
        <w:rPr/>
        <w:t>or</w:t>
      </w:r>
      <w:r>
        <w:rPr>
          <w:spacing w:val="40"/>
        </w:rPr>
        <w:t> </w:t>
      </w:r>
      <w:r>
        <w:rPr/>
        <w:t>destroyed</w:t>
      </w:r>
      <w:r>
        <w:rPr>
          <w:spacing w:val="40"/>
        </w:rPr>
        <w:t> </w:t>
      </w:r>
      <w:r>
        <w:rPr/>
        <w:t>by</w:t>
      </w:r>
      <w:r>
        <w:rPr>
          <w:spacing w:val="40"/>
        </w:rPr>
        <w:t> </w:t>
      </w:r>
      <w:r>
        <w:rPr/>
        <w:t>environmental</w:t>
      </w:r>
      <w:r>
        <w:rPr>
          <w:spacing w:val="40"/>
        </w:rPr>
        <w:t> </w:t>
      </w:r>
      <w:r>
        <w:rPr/>
        <w:t>forces</w:t>
      </w:r>
      <w:r>
        <w:rPr>
          <w:spacing w:val="40"/>
        </w:rPr>
        <w:t> </w:t>
      </w:r>
      <w:r>
        <w:rPr/>
        <w:t>and</w:t>
      </w:r>
      <w:r>
        <w:rPr>
          <w:spacing w:val="40"/>
        </w:rPr>
        <w:t> </w:t>
      </w:r>
      <w:r>
        <w:rPr/>
        <w:t>political</w:t>
      </w:r>
      <w:r>
        <w:rPr>
          <w:spacing w:val="40"/>
        </w:rPr>
        <w:t> </w:t>
      </w:r>
      <w:r>
        <w:rPr/>
        <w:t>neglect.</w:t>
      </w:r>
    </w:p>
    <w:p>
      <w:pPr>
        <w:pStyle w:val="BodyText"/>
        <w:spacing w:line="261" w:lineRule="auto" w:before="51"/>
        <w:ind w:right="1437" w:firstLine="432"/>
        <w:jc w:val="both"/>
      </w:pPr>
      <w:r>
        <w:rPr/>
        <w:t>Ghosh also highlights the resilience and strength of women in the face of such disasters. Piya, a marine biologist, represents a different dimension of womanhood—educated, independent, and engaged in understanding and protecting the environment. Her work reflects an </w:t>
      </w:r>
      <w:r>
        <w:rPr>
          <w:spacing w:val="-2"/>
        </w:rPr>
        <w:t>ethical</w:t>
      </w:r>
      <w:r>
        <w:rPr>
          <w:spacing w:val="-10"/>
        </w:rPr>
        <w:t> </w:t>
      </w:r>
      <w:r>
        <w:rPr>
          <w:spacing w:val="-2"/>
        </w:rPr>
        <w:t>relationship</w:t>
      </w:r>
      <w:r>
        <w:rPr>
          <w:spacing w:val="-11"/>
        </w:rPr>
        <w:t> </w:t>
      </w:r>
      <w:r>
        <w:rPr>
          <w:spacing w:val="-2"/>
        </w:rPr>
        <w:t>with</w:t>
      </w:r>
      <w:r>
        <w:rPr>
          <w:spacing w:val="-13"/>
        </w:rPr>
        <w:t> </w:t>
      </w:r>
      <w:r>
        <w:rPr>
          <w:spacing w:val="-2"/>
        </w:rPr>
        <w:t>nature,</w:t>
      </w:r>
      <w:r>
        <w:rPr>
          <w:spacing w:val="-14"/>
        </w:rPr>
        <w:t> </w:t>
      </w:r>
      <w:r>
        <w:rPr>
          <w:spacing w:val="-2"/>
        </w:rPr>
        <w:t>emphasizing</w:t>
      </w:r>
      <w:r>
        <w:rPr>
          <w:spacing w:val="-11"/>
        </w:rPr>
        <w:t> </w:t>
      </w:r>
      <w:r>
        <w:rPr>
          <w:spacing w:val="-2"/>
        </w:rPr>
        <w:t>care</w:t>
      </w:r>
      <w:r>
        <w:rPr>
          <w:spacing w:val="-15"/>
        </w:rPr>
        <w:t> </w:t>
      </w:r>
      <w:r>
        <w:rPr>
          <w:spacing w:val="-2"/>
        </w:rPr>
        <w:t>rather</w:t>
      </w:r>
      <w:r>
        <w:rPr>
          <w:spacing w:val="-12"/>
        </w:rPr>
        <w:t> </w:t>
      </w:r>
      <w:r>
        <w:rPr>
          <w:spacing w:val="-2"/>
        </w:rPr>
        <w:t>than</w:t>
      </w:r>
      <w:r>
        <w:rPr>
          <w:spacing w:val="-11"/>
        </w:rPr>
        <w:t> </w:t>
      </w:r>
      <w:r>
        <w:rPr>
          <w:spacing w:val="-2"/>
        </w:rPr>
        <w:t>exploitation.</w:t>
      </w:r>
    </w:p>
    <w:p>
      <w:pPr>
        <w:pStyle w:val="BodyText"/>
        <w:spacing w:line="261" w:lineRule="auto" w:before="54"/>
        <w:ind w:right="1439" w:firstLine="432"/>
        <w:jc w:val="both"/>
      </w:pPr>
      <w:r>
        <w:rPr/>
        <w:t>In Gun Island, Ghosh expands the theme of natural disaster to a global</w:t>
      </w:r>
      <w:r>
        <w:rPr>
          <w:spacing w:val="-13"/>
        </w:rPr>
        <w:t> </w:t>
      </w:r>
      <w:r>
        <w:rPr/>
        <w:t>scale,</w:t>
      </w:r>
      <w:r>
        <w:rPr>
          <w:spacing w:val="-12"/>
        </w:rPr>
        <w:t> </w:t>
      </w:r>
      <w:r>
        <w:rPr/>
        <w:t>linking</w:t>
      </w:r>
      <w:r>
        <w:rPr>
          <w:spacing w:val="-13"/>
        </w:rPr>
        <w:t> </w:t>
      </w:r>
      <w:r>
        <w:rPr/>
        <w:t>climate</w:t>
      </w:r>
      <w:r>
        <w:rPr>
          <w:spacing w:val="-12"/>
        </w:rPr>
        <w:t> </w:t>
      </w:r>
      <w:r>
        <w:rPr/>
        <w:t>change</w:t>
      </w:r>
      <w:r>
        <w:rPr>
          <w:spacing w:val="-13"/>
        </w:rPr>
        <w:t> </w:t>
      </w:r>
      <w:r>
        <w:rPr/>
        <w:t>with</w:t>
      </w:r>
      <w:r>
        <w:rPr>
          <w:spacing w:val="-12"/>
        </w:rPr>
        <w:t> </w:t>
      </w:r>
      <w:r>
        <w:rPr/>
        <w:t>migration</w:t>
      </w:r>
      <w:r>
        <w:rPr>
          <w:spacing w:val="-13"/>
        </w:rPr>
        <w:t> </w:t>
      </w:r>
      <w:r>
        <w:rPr/>
        <w:t>and</w:t>
      </w:r>
      <w:r>
        <w:rPr>
          <w:spacing w:val="-12"/>
        </w:rPr>
        <w:t> </w:t>
      </w:r>
      <w:r>
        <w:rPr/>
        <w:t>human</w:t>
      </w:r>
      <w:r>
        <w:rPr>
          <w:spacing w:val="-13"/>
        </w:rPr>
        <w:t> </w:t>
      </w:r>
      <w:r>
        <w:rPr/>
        <w:t>suffering. Environmental crises such as rising sea levels and extreme weather events force people to leave their homes. Women, once again, are among the most affected, facing not only environmental challenges but also social and economic insecurity. Ghosh portrays them as both victims</w:t>
      </w:r>
      <w:r>
        <w:rPr>
          <w:spacing w:val="15"/>
        </w:rPr>
        <w:t> </w:t>
      </w:r>
      <w:r>
        <w:rPr/>
        <w:t>and</w:t>
      </w:r>
      <w:r>
        <w:rPr>
          <w:spacing w:val="16"/>
        </w:rPr>
        <w:t> </w:t>
      </w:r>
      <w:r>
        <w:rPr/>
        <w:t>survivors,</w:t>
      </w:r>
      <w:r>
        <w:rPr>
          <w:spacing w:val="15"/>
        </w:rPr>
        <w:t> </w:t>
      </w:r>
      <w:r>
        <w:rPr/>
        <w:t>capable</w:t>
      </w:r>
      <w:r>
        <w:rPr>
          <w:spacing w:val="16"/>
        </w:rPr>
        <w:t> </w:t>
      </w:r>
      <w:r>
        <w:rPr/>
        <w:t>of</w:t>
      </w:r>
      <w:r>
        <w:rPr>
          <w:spacing w:val="17"/>
        </w:rPr>
        <w:t> </w:t>
      </w:r>
      <w:r>
        <w:rPr/>
        <w:t>adapting</w:t>
      </w:r>
      <w:r>
        <w:rPr>
          <w:spacing w:val="15"/>
        </w:rPr>
        <w:t> </w:t>
      </w:r>
      <w:r>
        <w:rPr/>
        <w:t>to</w:t>
      </w:r>
      <w:r>
        <w:rPr>
          <w:spacing w:val="19"/>
        </w:rPr>
        <w:t> </w:t>
      </w:r>
      <w:r>
        <w:rPr/>
        <w:t>changing</w:t>
      </w:r>
      <w:r>
        <w:rPr>
          <w:spacing w:val="13"/>
        </w:rPr>
        <w:t> </w:t>
      </w:r>
      <w:r>
        <w:rPr>
          <w:spacing w:val="-2"/>
        </w:rPr>
        <w:t>circumstances.</w:t>
      </w:r>
    </w:p>
    <w:p>
      <w:pPr>
        <w:pStyle w:val="BodyText"/>
        <w:spacing w:line="261" w:lineRule="auto" w:before="55"/>
        <w:ind w:right="1440" w:firstLine="432"/>
        <w:jc w:val="both"/>
      </w:pPr>
      <w:r>
        <w:rPr/>
        <w:t>A key difference between Shakespeare and Ghosh lies in their treatment of</w:t>
      </w:r>
      <w:r>
        <w:rPr>
          <w:spacing w:val="-1"/>
        </w:rPr>
        <w:t> </w:t>
      </w:r>
      <w:r>
        <w:rPr/>
        <w:t>natural disasters. Shakespeare uses them</w:t>
      </w:r>
      <w:r>
        <w:rPr>
          <w:spacing w:val="-2"/>
        </w:rPr>
        <w:t> </w:t>
      </w:r>
      <w:r>
        <w:rPr/>
        <w:t>metaphorically</w:t>
      </w:r>
      <w:r>
        <w:rPr>
          <w:spacing w:val="-1"/>
        </w:rPr>
        <w:t> </w:t>
      </w:r>
      <w:r>
        <w:rPr/>
        <w:t>to explore</w:t>
      </w:r>
      <w:r>
        <w:rPr>
          <w:spacing w:val="31"/>
        </w:rPr>
        <w:t> </w:t>
      </w:r>
      <w:r>
        <w:rPr/>
        <w:t>human</w:t>
      </w:r>
      <w:r>
        <w:rPr>
          <w:spacing w:val="30"/>
        </w:rPr>
        <w:t> </w:t>
      </w:r>
      <w:r>
        <w:rPr/>
        <w:t>emotions</w:t>
      </w:r>
      <w:r>
        <w:rPr>
          <w:spacing w:val="30"/>
        </w:rPr>
        <w:t> </w:t>
      </w:r>
      <w:r>
        <w:rPr/>
        <w:t>and</w:t>
      </w:r>
      <w:r>
        <w:rPr>
          <w:spacing w:val="34"/>
        </w:rPr>
        <w:t> </w:t>
      </w:r>
      <w:r>
        <w:rPr/>
        <w:t>moral</w:t>
      </w:r>
      <w:r>
        <w:rPr>
          <w:spacing w:val="28"/>
        </w:rPr>
        <w:t> </w:t>
      </w:r>
      <w:r>
        <w:rPr/>
        <w:t>dilemmas,</w:t>
      </w:r>
      <w:r>
        <w:rPr>
          <w:spacing w:val="32"/>
        </w:rPr>
        <w:t> </w:t>
      </w:r>
      <w:r>
        <w:rPr/>
        <w:t>while</w:t>
      </w:r>
      <w:r>
        <w:rPr>
          <w:spacing w:val="29"/>
        </w:rPr>
        <w:t> </w:t>
      </w:r>
      <w:r>
        <w:rPr/>
        <w:t>Ghosh</w:t>
      </w:r>
      <w:r>
        <w:rPr>
          <w:spacing w:val="30"/>
        </w:rPr>
        <w:t> </w:t>
      </w:r>
      <w:r>
        <w:rPr>
          <w:spacing w:val="-2"/>
        </w:rPr>
        <w:t>presents</w:t>
      </w:r>
    </w:p>
    <w:p>
      <w:pPr>
        <w:pStyle w:val="BodyText"/>
        <w:spacing w:after="0" w:line="261" w:lineRule="auto"/>
        <w:jc w:val="both"/>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7136">
                <wp:simplePos x="0" y="0"/>
                <wp:positionH relativeFrom="page">
                  <wp:posOffset>2065020</wp:posOffset>
                </wp:positionH>
                <wp:positionV relativeFrom="paragraph">
                  <wp:posOffset>795020</wp:posOffset>
                </wp:positionV>
                <wp:extent cx="3657600" cy="12700"/>
                <wp:effectExtent l="0" t="0" r="0" b="0"/>
                <wp:wrapTopAndBottom/>
                <wp:docPr id="368" name="Graphic 368"/>
                <wp:cNvGraphicFramePr>
                  <a:graphicFrameLocks/>
                </wp:cNvGraphicFramePr>
                <a:graphic>
                  <a:graphicData uri="http://schemas.microsoft.com/office/word/2010/wordprocessingShape">
                    <wps:wsp>
                      <wps:cNvPr id="368" name="Graphic 36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09344;mso-wrap-distance-left:0;mso-wrap-distance-right:0" id="docshape364" filled="true" fillcolor="#000000" stroked="false">
                <v:fill type="solid"/>
                <w10:wrap type="topAndBottom"/>
              </v:rect>
            </w:pict>
          </mc:Fallback>
        </mc:AlternateContent>
      </w:r>
      <w:r>
        <w:rPr>
          <w:rFonts w:ascii="Verdana"/>
          <w:spacing w:val="-2"/>
          <w:sz w:val="18"/>
        </w:rPr>
        <w:t>Eco-Feminist</w:t>
      </w:r>
      <w:r>
        <w:rPr>
          <w:rFonts w:ascii="Verdana"/>
          <w:spacing w:val="11"/>
          <w:sz w:val="18"/>
        </w:rPr>
        <w:t> </w:t>
      </w:r>
      <w:r>
        <w:rPr>
          <w:rFonts w:ascii="Verdana"/>
          <w:spacing w:val="-2"/>
          <w:sz w:val="18"/>
        </w:rPr>
        <w:t>Ethics</w:t>
      </w:r>
      <w:r>
        <w:rPr>
          <w:rFonts w:ascii="Verdana"/>
          <w:spacing w:val="11"/>
          <w:sz w:val="18"/>
        </w:rPr>
        <w:t> </w:t>
      </w:r>
      <w:r>
        <w:rPr>
          <w:rFonts w:ascii="Verdana"/>
          <w:spacing w:val="-2"/>
          <w:sz w:val="18"/>
        </w:rPr>
        <w:t>in</w:t>
      </w:r>
      <w:r>
        <w:rPr>
          <w:rFonts w:ascii="Verdana"/>
          <w:spacing w:val="13"/>
          <w:sz w:val="18"/>
        </w:rPr>
        <w:t> </w:t>
      </w:r>
      <w:r>
        <w:rPr>
          <w:rFonts w:ascii="Verdana"/>
          <w:spacing w:val="-2"/>
          <w:sz w:val="18"/>
        </w:rPr>
        <w:t>The</w:t>
      </w:r>
      <w:r>
        <w:rPr>
          <w:rFonts w:ascii="Verdana"/>
          <w:spacing w:val="12"/>
          <w:sz w:val="18"/>
        </w:rPr>
        <w:t> </w:t>
      </w:r>
      <w:r>
        <w:rPr>
          <w:rFonts w:ascii="Verdana"/>
          <w:spacing w:val="-2"/>
          <w:sz w:val="18"/>
        </w:rPr>
        <w:t>Selected</w:t>
      </w:r>
      <w:r>
        <w:rPr>
          <w:rFonts w:ascii="Verdana"/>
          <w:spacing w:val="12"/>
          <w:sz w:val="18"/>
        </w:rPr>
        <w:t> </w:t>
      </w:r>
      <w:r>
        <w:rPr>
          <w:rFonts w:ascii="Verdana"/>
          <w:spacing w:val="-2"/>
          <w:sz w:val="18"/>
        </w:rPr>
        <w:t>Works</w:t>
      </w:r>
      <w:r>
        <w:rPr>
          <w:rFonts w:ascii="Verdana"/>
          <w:spacing w:val="13"/>
          <w:sz w:val="18"/>
        </w:rPr>
        <w:t> </w:t>
      </w:r>
      <w:r>
        <w:rPr>
          <w:rFonts w:ascii="Verdana"/>
          <w:spacing w:val="-2"/>
          <w:sz w:val="18"/>
        </w:rPr>
        <w:t>of</w:t>
      </w:r>
      <w:r>
        <w:rPr>
          <w:rFonts w:ascii="Verdana"/>
          <w:spacing w:val="12"/>
          <w:sz w:val="18"/>
        </w:rPr>
        <w:t> </w:t>
      </w:r>
      <w:r>
        <w:rPr>
          <w:rFonts w:ascii="Verdana"/>
          <w:spacing w:val="-2"/>
          <w:sz w:val="18"/>
        </w:rPr>
        <w:t>William</w:t>
      </w:r>
      <w:r>
        <w:rPr>
          <w:sz w:val="18"/>
        </w:rPr>
        <w:tab/>
      </w:r>
      <w:r>
        <w:rPr>
          <w:rFonts w:ascii="Verdana"/>
          <w:spacing w:val="-5"/>
          <w:sz w:val="18"/>
        </w:rPr>
        <w:t>143</w:t>
      </w:r>
    </w:p>
    <w:p>
      <w:pPr>
        <w:pStyle w:val="BodyText"/>
        <w:spacing w:line="261" w:lineRule="auto" w:before="199"/>
        <w:ind w:right="1442"/>
        <w:jc w:val="both"/>
      </w:pPr>
      <w:r>
        <w:rPr/>
        <w:t>them</w:t>
      </w:r>
      <w:r>
        <w:rPr>
          <w:spacing w:val="-5"/>
        </w:rPr>
        <w:t> </w:t>
      </w:r>
      <w:r>
        <w:rPr/>
        <w:t>as</w:t>
      </w:r>
      <w:r>
        <w:rPr>
          <w:spacing w:val="-2"/>
        </w:rPr>
        <w:t> </w:t>
      </w:r>
      <w:r>
        <w:rPr/>
        <w:t>concrete</w:t>
      </w:r>
      <w:r>
        <w:rPr>
          <w:spacing w:val="-2"/>
        </w:rPr>
        <w:t> </w:t>
      </w:r>
      <w:r>
        <w:rPr/>
        <w:t>realities</w:t>
      </w:r>
      <w:r>
        <w:rPr>
          <w:spacing w:val="-2"/>
        </w:rPr>
        <w:t> </w:t>
      </w:r>
      <w:r>
        <w:rPr/>
        <w:t>shaped</w:t>
      </w:r>
      <w:r>
        <w:rPr>
          <w:spacing w:val="-2"/>
        </w:rPr>
        <w:t> </w:t>
      </w:r>
      <w:r>
        <w:rPr/>
        <w:t>by</w:t>
      </w:r>
      <w:r>
        <w:rPr>
          <w:spacing w:val="-4"/>
        </w:rPr>
        <w:t> </w:t>
      </w:r>
      <w:r>
        <w:rPr/>
        <w:t>climate</w:t>
      </w:r>
      <w:r>
        <w:rPr>
          <w:spacing w:val="-1"/>
        </w:rPr>
        <w:t> </w:t>
      </w:r>
      <w:r>
        <w:rPr/>
        <w:t>change</w:t>
      </w:r>
      <w:r>
        <w:rPr>
          <w:spacing w:val="-2"/>
        </w:rPr>
        <w:t> </w:t>
      </w:r>
      <w:r>
        <w:rPr/>
        <w:t>and human</w:t>
      </w:r>
      <w:r>
        <w:rPr>
          <w:spacing w:val="-4"/>
        </w:rPr>
        <w:t> </w:t>
      </w:r>
      <w:r>
        <w:rPr/>
        <w:t>actions. However, both writers reveal that women often bear the brunt of these disruptions,</w:t>
      </w:r>
      <w:r>
        <w:rPr>
          <w:spacing w:val="40"/>
        </w:rPr>
        <w:t> </w:t>
      </w:r>
      <w:r>
        <w:rPr/>
        <w:t>whether symbolic</w:t>
      </w:r>
      <w:r>
        <w:rPr>
          <w:spacing w:val="40"/>
        </w:rPr>
        <w:t> </w:t>
      </w:r>
      <w:r>
        <w:rPr/>
        <w:t>or</w:t>
      </w:r>
      <w:r>
        <w:rPr>
          <w:spacing w:val="40"/>
        </w:rPr>
        <w:t> </w:t>
      </w:r>
      <w:r>
        <w:rPr/>
        <w:t>real.</w:t>
      </w:r>
    </w:p>
    <w:p>
      <w:pPr>
        <w:pStyle w:val="BodyText"/>
        <w:spacing w:line="249" w:lineRule="auto" w:before="50"/>
        <w:ind w:right="1438" w:firstLine="432"/>
        <w:jc w:val="both"/>
      </w:pPr>
      <w:r>
        <w:rPr/>
        <w:t>From an ecofeminist perspective, both authors highlight the connection between the exploitation of nature and the marginalization of women. In Shakespeare, this connection is implicit, seen in the symbolic</w:t>
      </w:r>
      <w:r>
        <w:rPr>
          <w:spacing w:val="-12"/>
        </w:rPr>
        <w:t> </w:t>
      </w:r>
      <w:r>
        <w:rPr/>
        <w:t>association</w:t>
      </w:r>
      <w:r>
        <w:rPr>
          <w:spacing w:val="-13"/>
        </w:rPr>
        <w:t> </w:t>
      </w:r>
      <w:r>
        <w:rPr/>
        <w:t>between</w:t>
      </w:r>
      <w:r>
        <w:rPr>
          <w:spacing w:val="-12"/>
        </w:rPr>
        <w:t> </w:t>
      </w:r>
      <w:r>
        <w:rPr/>
        <w:t>female</w:t>
      </w:r>
      <w:r>
        <w:rPr>
          <w:spacing w:val="-11"/>
        </w:rPr>
        <w:t> </w:t>
      </w:r>
      <w:r>
        <w:rPr/>
        <w:t>characters</w:t>
      </w:r>
      <w:r>
        <w:rPr>
          <w:spacing w:val="-12"/>
        </w:rPr>
        <w:t> </w:t>
      </w:r>
      <w:r>
        <w:rPr/>
        <w:t>and</w:t>
      </w:r>
      <w:r>
        <w:rPr>
          <w:spacing w:val="-12"/>
        </w:rPr>
        <w:t> </w:t>
      </w:r>
      <w:r>
        <w:rPr/>
        <w:t>natural</w:t>
      </w:r>
      <w:r>
        <w:rPr>
          <w:spacing w:val="-12"/>
        </w:rPr>
        <w:t> </w:t>
      </w:r>
      <w:r>
        <w:rPr/>
        <w:t>harmony.</w:t>
      </w:r>
      <w:r>
        <w:rPr>
          <w:spacing w:val="-12"/>
        </w:rPr>
        <w:t> </w:t>
      </w:r>
      <w:r>
        <w:rPr/>
        <w:t>In Ghosh, it is explicit, as he directly addresses how environmental degradation</w:t>
      </w:r>
      <w:r>
        <w:rPr>
          <w:spacing w:val="40"/>
        </w:rPr>
        <w:t> </w:t>
      </w:r>
      <w:r>
        <w:rPr/>
        <w:t>affects</w:t>
      </w:r>
      <w:r>
        <w:rPr>
          <w:spacing w:val="40"/>
        </w:rPr>
        <w:t> </w:t>
      </w:r>
      <w:r>
        <w:rPr/>
        <w:t>women’s</w:t>
      </w:r>
      <w:r>
        <w:rPr>
          <w:spacing w:val="40"/>
        </w:rPr>
        <w:t> </w:t>
      </w:r>
      <w:r>
        <w:rPr/>
        <w:t>lives.</w:t>
      </w:r>
    </w:p>
    <w:p>
      <w:pPr>
        <w:pStyle w:val="BodyText"/>
        <w:spacing w:line="249" w:lineRule="auto" w:before="62"/>
        <w:ind w:right="1439" w:firstLine="432"/>
        <w:jc w:val="both"/>
      </w:pPr>
      <w:r>
        <w:rPr/>
        <w:t>In</w:t>
      </w:r>
      <w:r>
        <w:rPr>
          <w:spacing w:val="-13"/>
        </w:rPr>
        <w:t> </w:t>
      </w:r>
      <w:r>
        <w:rPr/>
        <w:t>Shakespeare’s</w:t>
      </w:r>
      <w:r>
        <w:rPr>
          <w:spacing w:val="-12"/>
        </w:rPr>
        <w:t> </w:t>
      </w:r>
      <w:r>
        <w:rPr/>
        <w:t>plays,</w:t>
      </w:r>
      <w:r>
        <w:rPr>
          <w:spacing w:val="-13"/>
        </w:rPr>
        <w:t> </w:t>
      </w:r>
      <w:r>
        <w:rPr/>
        <w:t>natural</w:t>
      </w:r>
      <w:r>
        <w:rPr>
          <w:spacing w:val="-12"/>
        </w:rPr>
        <w:t> </w:t>
      </w:r>
      <w:r>
        <w:rPr/>
        <w:t>disasters</w:t>
      </w:r>
      <w:r>
        <w:rPr>
          <w:spacing w:val="-13"/>
        </w:rPr>
        <w:t> </w:t>
      </w:r>
      <w:r>
        <w:rPr/>
        <w:t>often</w:t>
      </w:r>
      <w:r>
        <w:rPr>
          <w:spacing w:val="-12"/>
        </w:rPr>
        <w:t> </w:t>
      </w:r>
      <w:r>
        <w:rPr/>
        <w:t>function</w:t>
      </w:r>
      <w:r>
        <w:rPr>
          <w:spacing w:val="-13"/>
        </w:rPr>
        <w:t> </w:t>
      </w:r>
      <w:r>
        <w:rPr/>
        <w:t>as</w:t>
      </w:r>
      <w:r>
        <w:rPr>
          <w:spacing w:val="-12"/>
        </w:rPr>
        <w:t> </w:t>
      </w:r>
      <w:r>
        <w:rPr/>
        <w:t>symbolic representations</w:t>
      </w:r>
      <w:r>
        <w:rPr>
          <w:spacing w:val="-13"/>
        </w:rPr>
        <w:t> </w:t>
      </w:r>
      <w:r>
        <w:rPr/>
        <w:t>of</w:t>
      </w:r>
      <w:r>
        <w:rPr>
          <w:spacing w:val="-12"/>
        </w:rPr>
        <w:t> </w:t>
      </w:r>
      <w:r>
        <w:rPr/>
        <w:t>inner</w:t>
      </w:r>
      <w:r>
        <w:rPr>
          <w:spacing w:val="-13"/>
        </w:rPr>
        <w:t> </w:t>
      </w:r>
      <w:r>
        <w:rPr/>
        <w:t>turmoil</w:t>
      </w:r>
      <w:r>
        <w:rPr>
          <w:spacing w:val="-12"/>
        </w:rPr>
        <w:t> </w:t>
      </w:r>
      <w:r>
        <w:rPr/>
        <w:t>and</w:t>
      </w:r>
      <w:r>
        <w:rPr>
          <w:spacing w:val="-13"/>
        </w:rPr>
        <w:t> </w:t>
      </w:r>
      <w:r>
        <w:rPr/>
        <w:t>ethical</w:t>
      </w:r>
      <w:r>
        <w:rPr>
          <w:spacing w:val="-12"/>
        </w:rPr>
        <w:t> </w:t>
      </w:r>
      <w:r>
        <w:rPr/>
        <w:t>breakdown.</w:t>
      </w:r>
      <w:r>
        <w:rPr>
          <w:spacing w:val="-13"/>
        </w:rPr>
        <w:t> </w:t>
      </w:r>
      <w:r>
        <w:rPr/>
        <w:t>In</w:t>
      </w:r>
      <w:r>
        <w:rPr>
          <w:spacing w:val="-12"/>
        </w:rPr>
        <w:t> </w:t>
      </w:r>
      <w:r>
        <w:rPr/>
        <w:t>King</w:t>
      </w:r>
      <w:r>
        <w:rPr>
          <w:spacing w:val="-13"/>
        </w:rPr>
        <w:t> </w:t>
      </w:r>
      <w:r>
        <w:rPr/>
        <w:t>Lear,</w:t>
      </w:r>
      <w:r>
        <w:rPr>
          <w:spacing w:val="-12"/>
        </w:rPr>
        <w:t> </w:t>
      </w:r>
      <w:r>
        <w:rPr/>
        <w:t>the storm on the heath is a powerful image of chaos that mirrors Lear’s psychological disintegration and the collapse of social order. From an ecofeminist perspective, this disruption is closely tied to patriarchal injustice.</w:t>
      </w:r>
      <w:r>
        <w:rPr>
          <w:spacing w:val="-13"/>
        </w:rPr>
        <w:t> </w:t>
      </w:r>
      <w:r>
        <w:rPr/>
        <w:t>Lear’s</w:t>
      </w:r>
      <w:r>
        <w:rPr>
          <w:spacing w:val="-12"/>
        </w:rPr>
        <w:t> </w:t>
      </w:r>
      <w:r>
        <w:rPr/>
        <w:t>rejection</w:t>
      </w:r>
      <w:r>
        <w:rPr>
          <w:spacing w:val="-13"/>
        </w:rPr>
        <w:t> </w:t>
      </w:r>
      <w:r>
        <w:rPr/>
        <w:t>of</w:t>
      </w:r>
      <w:r>
        <w:rPr>
          <w:spacing w:val="-12"/>
        </w:rPr>
        <w:t> </w:t>
      </w:r>
      <w:r>
        <w:rPr/>
        <w:t>Cordelia,</w:t>
      </w:r>
      <w:r>
        <w:rPr>
          <w:spacing w:val="-13"/>
        </w:rPr>
        <w:t> </w:t>
      </w:r>
      <w:r>
        <w:rPr/>
        <w:t>who</w:t>
      </w:r>
      <w:r>
        <w:rPr>
          <w:spacing w:val="-12"/>
        </w:rPr>
        <w:t> </w:t>
      </w:r>
      <w:r>
        <w:rPr/>
        <w:t>embodies</w:t>
      </w:r>
      <w:r>
        <w:rPr>
          <w:spacing w:val="-13"/>
        </w:rPr>
        <w:t> </w:t>
      </w:r>
      <w:r>
        <w:rPr/>
        <w:t>truth</w:t>
      </w:r>
      <w:r>
        <w:rPr>
          <w:spacing w:val="-12"/>
        </w:rPr>
        <w:t> </w:t>
      </w:r>
      <w:r>
        <w:rPr/>
        <w:t>and</w:t>
      </w:r>
      <w:r>
        <w:rPr>
          <w:spacing w:val="-11"/>
        </w:rPr>
        <w:t> </w:t>
      </w:r>
      <w:r>
        <w:rPr/>
        <w:t>harmony, leads to both familial and natural disorder. The storm thus reflects not only Lear’s madness but also the consequences of violating ethical and relational bonds. Cordelia’s marginalization highlights how women associated with honesty and care are often silenced in patriarchal </w:t>
      </w:r>
      <w:r>
        <w:rPr>
          <w:spacing w:val="-2"/>
        </w:rPr>
        <w:t>systems.</w:t>
      </w:r>
    </w:p>
    <w:p>
      <w:pPr>
        <w:pStyle w:val="BodyText"/>
        <w:spacing w:line="249" w:lineRule="auto" w:before="67"/>
        <w:ind w:right="1437" w:firstLine="432"/>
        <w:jc w:val="both"/>
      </w:pPr>
      <w:r>
        <w:rPr/>
        <w:t>Similarly, in Macbeth, unnatural disturbances in nature—such as storms, darkness, and strange animal behaviour accompany the moral corruption</w:t>
      </w:r>
      <w:r>
        <w:rPr>
          <w:spacing w:val="-2"/>
        </w:rPr>
        <w:t> </w:t>
      </w:r>
      <w:r>
        <w:rPr/>
        <w:t>caused by</w:t>
      </w:r>
      <w:r>
        <w:rPr>
          <w:spacing w:val="-4"/>
        </w:rPr>
        <w:t> </w:t>
      </w:r>
      <w:r>
        <w:rPr/>
        <w:t>Macbeth’s</w:t>
      </w:r>
      <w:r>
        <w:rPr>
          <w:spacing w:val="-2"/>
        </w:rPr>
        <w:t> </w:t>
      </w:r>
      <w:r>
        <w:rPr/>
        <w:t>ambition. The disruption of the natural order</w:t>
      </w:r>
      <w:r>
        <w:rPr>
          <w:spacing w:val="-13"/>
        </w:rPr>
        <w:t> </w:t>
      </w:r>
      <w:r>
        <w:rPr/>
        <w:t>reflects</w:t>
      </w:r>
      <w:r>
        <w:rPr>
          <w:spacing w:val="-12"/>
        </w:rPr>
        <w:t> </w:t>
      </w:r>
      <w:r>
        <w:rPr/>
        <w:t>the</w:t>
      </w:r>
      <w:r>
        <w:rPr>
          <w:spacing w:val="-13"/>
        </w:rPr>
        <w:t> </w:t>
      </w:r>
      <w:r>
        <w:rPr/>
        <w:t>breakdown</w:t>
      </w:r>
      <w:r>
        <w:rPr>
          <w:spacing w:val="-12"/>
        </w:rPr>
        <w:t> </w:t>
      </w:r>
      <w:r>
        <w:rPr/>
        <w:t>of</w:t>
      </w:r>
      <w:r>
        <w:rPr>
          <w:spacing w:val="-13"/>
        </w:rPr>
        <w:t> </w:t>
      </w:r>
      <w:r>
        <w:rPr/>
        <w:t>ethical</w:t>
      </w:r>
      <w:r>
        <w:rPr>
          <w:spacing w:val="-12"/>
        </w:rPr>
        <w:t> </w:t>
      </w:r>
      <w:r>
        <w:rPr/>
        <w:t>values.</w:t>
      </w:r>
      <w:r>
        <w:rPr>
          <w:spacing w:val="-13"/>
        </w:rPr>
        <w:t> </w:t>
      </w:r>
      <w:r>
        <w:rPr/>
        <w:t>Lady</w:t>
      </w:r>
      <w:r>
        <w:rPr>
          <w:spacing w:val="-12"/>
        </w:rPr>
        <w:t> </w:t>
      </w:r>
      <w:r>
        <w:rPr/>
        <w:t>Macbeth’s</w:t>
      </w:r>
      <w:r>
        <w:rPr>
          <w:spacing w:val="-13"/>
        </w:rPr>
        <w:t> </w:t>
      </w:r>
      <w:r>
        <w:rPr/>
        <w:t>character is particularly significant in an ecofeminist reading. Her rejection of traditional femininity and invocation of violent forces symbolize a departure</w:t>
      </w:r>
      <w:r>
        <w:rPr>
          <w:spacing w:val="-10"/>
        </w:rPr>
        <w:t> </w:t>
      </w:r>
      <w:r>
        <w:rPr/>
        <w:t>from</w:t>
      </w:r>
      <w:r>
        <w:rPr>
          <w:spacing w:val="-11"/>
        </w:rPr>
        <w:t> </w:t>
      </w:r>
      <w:r>
        <w:rPr/>
        <w:t>nurturing</w:t>
      </w:r>
      <w:r>
        <w:rPr>
          <w:spacing w:val="-12"/>
        </w:rPr>
        <w:t> </w:t>
      </w:r>
      <w:r>
        <w:rPr/>
        <w:t>and</w:t>
      </w:r>
      <w:r>
        <w:rPr>
          <w:spacing w:val="-10"/>
        </w:rPr>
        <w:t> </w:t>
      </w:r>
      <w:r>
        <w:rPr/>
        <w:t>harmonious</w:t>
      </w:r>
      <w:r>
        <w:rPr>
          <w:spacing w:val="-8"/>
        </w:rPr>
        <w:t> </w:t>
      </w:r>
      <w:r>
        <w:rPr/>
        <w:t>values.</w:t>
      </w:r>
      <w:r>
        <w:rPr>
          <w:spacing w:val="-10"/>
        </w:rPr>
        <w:t> </w:t>
      </w:r>
      <w:r>
        <w:rPr/>
        <w:t>However,</w:t>
      </w:r>
      <w:r>
        <w:rPr>
          <w:spacing w:val="-10"/>
        </w:rPr>
        <w:t> </w:t>
      </w:r>
      <w:r>
        <w:rPr/>
        <w:t>her</w:t>
      </w:r>
      <w:r>
        <w:rPr>
          <w:spacing w:val="-8"/>
        </w:rPr>
        <w:t> </w:t>
      </w:r>
      <w:r>
        <w:rPr/>
        <w:t>eventual psychological collapse suggests the destructive consequences of aligning</w:t>
      </w:r>
      <w:r>
        <w:rPr>
          <w:spacing w:val="40"/>
        </w:rPr>
        <w:t> </w:t>
      </w:r>
      <w:r>
        <w:rPr/>
        <w:t>with</w:t>
      </w:r>
      <w:r>
        <w:rPr>
          <w:spacing w:val="40"/>
        </w:rPr>
        <w:t> </w:t>
      </w:r>
      <w:r>
        <w:rPr/>
        <w:t>systems</w:t>
      </w:r>
      <w:r>
        <w:rPr>
          <w:spacing w:val="40"/>
        </w:rPr>
        <w:t> </w:t>
      </w:r>
      <w:r>
        <w:rPr/>
        <w:t>of</w:t>
      </w:r>
      <w:r>
        <w:rPr>
          <w:spacing w:val="40"/>
        </w:rPr>
        <w:t> </w:t>
      </w:r>
      <w:r>
        <w:rPr/>
        <w:t>domination</w:t>
      </w:r>
      <w:r>
        <w:rPr>
          <w:spacing w:val="40"/>
        </w:rPr>
        <w:t> </w:t>
      </w:r>
      <w:r>
        <w:rPr/>
        <w:t>and</w:t>
      </w:r>
      <w:r>
        <w:rPr>
          <w:spacing w:val="40"/>
        </w:rPr>
        <w:t> </w:t>
      </w:r>
      <w:r>
        <w:rPr/>
        <w:t>control.</w:t>
      </w:r>
    </w:p>
    <w:p>
      <w:pPr>
        <w:pStyle w:val="BodyText"/>
        <w:spacing w:line="249" w:lineRule="auto" w:before="65"/>
        <w:ind w:right="1436" w:firstLine="432"/>
        <w:jc w:val="both"/>
      </w:pPr>
      <w:r>
        <w:rPr/>
        <w:t>In The Tempest, the narrative begins with a violent storm that shipwrecks the characters on an island. This natural disaster is not accidental but orchestrated by Prospero, symbolizing human control over nature. From an ecofeminist viewpoint, Prospero’s domination of the island, along with his authority</w:t>
      </w:r>
      <w:r>
        <w:rPr>
          <w:spacing w:val="-1"/>
        </w:rPr>
        <w:t> </w:t>
      </w:r>
      <w:r>
        <w:rPr/>
        <w:t>over Miranda and other inhabitants, reflects patriarchal and colonial power structures. Miranda, often </w:t>
      </w:r>
      <w:r>
        <w:rPr>
          <w:spacing w:val="-2"/>
        </w:rPr>
        <w:t>associated</w:t>
      </w:r>
      <w:r>
        <w:rPr>
          <w:spacing w:val="-8"/>
        </w:rPr>
        <w:t> </w:t>
      </w:r>
      <w:r>
        <w:rPr>
          <w:spacing w:val="-2"/>
        </w:rPr>
        <w:t>with</w:t>
      </w:r>
      <w:r>
        <w:rPr>
          <w:spacing w:val="-5"/>
        </w:rPr>
        <w:t> </w:t>
      </w:r>
      <w:r>
        <w:rPr>
          <w:spacing w:val="-2"/>
        </w:rPr>
        <w:t>innocence</w:t>
      </w:r>
      <w:r>
        <w:rPr>
          <w:spacing w:val="-8"/>
        </w:rPr>
        <w:t> </w:t>
      </w:r>
      <w:r>
        <w:rPr>
          <w:spacing w:val="-2"/>
        </w:rPr>
        <w:t>and</w:t>
      </w:r>
      <w:r>
        <w:rPr>
          <w:spacing w:val="-5"/>
        </w:rPr>
        <w:t> </w:t>
      </w:r>
      <w:r>
        <w:rPr>
          <w:spacing w:val="-2"/>
        </w:rPr>
        <w:t>natural</w:t>
      </w:r>
      <w:r>
        <w:rPr>
          <w:spacing w:val="-5"/>
        </w:rPr>
        <w:t> </w:t>
      </w:r>
      <w:r>
        <w:rPr>
          <w:spacing w:val="-2"/>
        </w:rPr>
        <w:t>purity,</w:t>
      </w:r>
      <w:r>
        <w:rPr>
          <w:spacing w:val="-5"/>
        </w:rPr>
        <w:t> </w:t>
      </w:r>
      <w:r>
        <w:rPr>
          <w:spacing w:val="-2"/>
        </w:rPr>
        <w:t>remains</w:t>
      </w:r>
      <w:r>
        <w:rPr>
          <w:spacing w:val="-8"/>
        </w:rPr>
        <w:t> </w:t>
      </w:r>
      <w:r>
        <w:rPr>
          <w:spacing w:val="-2"/>
        </w:rPr>
        <w:t>under</w:t>
      </w:r>
      <w:r>
        <w:rPr>
          <w:spacing w:val="-3"/>
        </w:rPr>
        <w:t> </w:t>
      </w:r>
      <w:r>
        <w:rPr>
          <w:spacing w:val="-2"/>
        </w:rPr>
        <w:t>male</w:t>
      </w:r>
      <w:r>
        <w:rPr>
          <w:spacing w:val="-8"/>
        </w:rPr>
        <w:t> </w:t>
      </w:r>
      <w:r>
        <w:rPr>
          <w:spacing w:val="-2"/>
        </w:rPr>
        <w:t>control, </w:t>
      </w:r>
      <w:r>
        <w:rPr/>
        <w:t>highlighting</w:t>
      </w:r>
      <w:r>
        <w:rPr>
          <w:spacing w:val="40"/>
        </w:rPr>
        <w:t> </w:t>
      </w:r>
      <w:r>
        <w:rPr/>
        <w:t>the</w:t>
      </w:r>
      <w:r>
        <w:rPr>
          <w:spacing w:val="40"/>
        </w:rPr>
        <w:t> </w:t>
      </w:r>
      <w:r>
        <w:rPr/>
        <w:t>parallel</w:t>
      </w:r>
      <w:r>
        <w:rPr>
          <w:spacing w:val="40"/>
        </w:rPr>
        <w:t> </w:t>
      </w:r>
      <w:r>
        <w:rPr/>
        <w:t>subjugation</w:t>
      </w:r>
      <w:r>
        <w:rPr>
          <w:spacing w:val="40"/>
        </w:rPr>
        <w:t> </w:t>
      </w:r>
      <w:r>
        <w:rPr/>
        <w:t>of</w:t>
      </w:r>
      <w:r>
        <w:rPr>
          <w:spacing w:val="40"/>
        </w:rPr>
        <w:t> </w:t>
      </w:r>
      <w:r>
        <w:rPr/>
        <w:t>women</w:t>
      </w:r>
      <w:r>
        <w:rPr>
          <w:spacing w:val="40"/>
        </w:rPr>
        <w:t> </w:t>
      </w:r>
      <w:r>
        <w:rPr/>
        <w:t>and</w:t>
      </w:r>
      <w:r>
        <w:rPr>
          <w:spacing w:val="40"/>
        </w:rPr>
        <w:t> </w:t>
      </w:r>
      <w:r>
        <w:rPr/>
        <w:t>nature.</w:t>
      </w:r>
    </w:p>
    <w:p>
      <w:pPr>
        <w:pStyle w:val="BodyText"/>
        <w:spacing w:line="249" w:lineRule="auto" w:before="64"/>
        <w:ind w:right="1441" w:firstLine="432"/>
        <w:jc w:val="both"/>
      </w:pPr>
      <w:r>
        <w:rPr/>
        <w:t>In</w:t>
      </w:r>
      <w:r>
        <w:rPr>
          <w:spacing w:val="-10"/>
        </w:rPr>
        <w:t> </w:t>
      </w:r>
      <w:r>
        <w:rPr/>
        <w:t>A</w:t>
      </w:r>
      <w:r>
        <w:rPr>
          <w:spacing w:val="-13"/>
        </w:rPr>
        <w:t> </w:t>
      </w:r>
      <w:r>
        <w:rPr/>
        <w:t>Midsummer Night’s</w:t>
      </w:r>
      <w:r>
        <w:rPr>
          <w:spacing w:val="-1"/>
        </w:rPr>
        <w:t> </w:t>
      </w:r>
      <w:r>
        <w:rPr/>
        <w:t>Dream, the</w:t>
      </w:r>
      <w:r>
        <w:rPr>
          <w:spacing w:val="-1"/>
        </w:rPr>
        <w:t> </w:t>
      </w:r>
      <w:r>
        <w:rPr/>
        <w:t>conflict between</w:t>
      </w:r>
      <w:r>
        <w:rPr>
          <w:spacing w:val="-5"/>
        </w:rPr>
        <w:t> </w:t>
      </w:r>
      <w:r>
        <w:rPr/>
        <w:t>Titania and Oberon</w:t>
      </w:r>
      <w:r>
        <w:rPr>
          <w:spacing w:val="-13"/>
        </w:rPr>
        <w:t> </w:t>
      </w:r>
      <w:r>
        <w:rPr/>
        <w:t>disrupts</w:t>
      </w:r>
      <w:r>
        <w:rPr>
          <w:spacing w:val="-10"/>
        </w:rPr>
        <w:t> </w:t>
      </w:r>
      <w:r>
        <w:rPr/>
        <w:t>the</w:t>
      </w:r>
      <w:r>
        <w:rPr>
          <w:spacing w:val="-12"/>
        </w:rPr>
        <w:t> </w:t>
      </w:r>
      <w:r>
        <w:rPr/>
        <w:t>natural</w:t>
      </w:r>
      <w:r>
        <w:rPr>
          <w:spacing w:val="-10"/>
        </w:rPr>
        <w:t> </w:t>
      </w:r>
      <w:r>
        <w:rPr/>
        <w:t>environment,</w:t>
      </w:r>
      <w:r>
        <w:rPr>
          <w:spacing w:val="-11"/>
        </w:rPr>
        <w:t> </w:t>
      </w:r>
      <w:r>
        <w:rPr/>
        <w:t>causing</w:t>
      </w:r>
      <w:r>
        <w:rPr>
          <w:spacing w:val="-12"/>
        </w:rPr>
        <w:t> </w:t>
      </w:r>
      <w:r>
        <w:rPr/>
        <w:t>floods</w:t>
      </w:r>
      <w:r>
        <w:rPr>
          <w:spacing w:val="-12"/>
        </w:rPr>
        <w:t> </w:t>
      </w:r>
      <w:r>
        <w:rPr/>
        <w:t>and</w:t>
      </w:r>
      <w:r>
        <w:rPr>
          <w:spacing w:val="-8"/>
        </w:rPr>
        <w:t> </w:t>
      </w:r>
      <w:r>
        <w:rPr>
          <w:spacing w:val="-2"/>
        </w:rPr>
        <w:t>agricultural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7648">
                <wp:simplePos x="0" y="0"/>
                <wp:positionH relativeFrom="page">
                  <wp:posOffset>2057400</wp:posOffset>
                </wp:positionH>
                <wp:positionV relativeFrom="paragraph">
                  <wp:posOffset>162604</wp:posOffset>
                </wp:positionV>
                <wp:extent cx="3657600" cy="12700"/>
                <wp:effectExtent l="0" t="0" r="0" b="0"/>
                <wp:wrapTopAndBottom/>
                <wp:docPr id="369" name="Graphic 369"/>
                <wp:cNvGraphicFramePr>
                  <a:graphicFrameLocks/>
                </wp:cNvGraphicFramePr>
                <a:graphic>
                  <a:graphicData uri="http://schemas.microsoft.com/office/word/2010/wordprocessingShape">
                    <wps:wsp>
                      <wps:cNvPr id="369" name="Graphic 36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08832;mso-wrap-distance-left:0;mso-wrap-distance-right:0" id="docshape365" filled="true" fillcolor="#000000" stroked="false">
                <v:fill type="solid"/>
                <w10:wrap type="topAndBottom"/>
              </v:rect>
            </w:pict>
          </mc:Fallback>
        </mc:AlternateContent>
      </w:r>
      <w:r>
        <w:rPr>
          <w:rFonts w:ascii="Verdana"/>
          <w:spacing w:val="-5"/>
          <w:sz w:val="18"/>
        </w:rPr>
        <w:t>144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failures. Titania, as the queen of the fairies, represents fertility and the natural world. Oberon’s attempt to control her reflects patriarchal domination over both women and nature. The ecological imbalance caused by their conflict underscores the ecofeminist idea that harmony can only be achieved through mutual respect and balance rather than </w:t>
      </w:r>
      <w:r>
        <w:rPr>
          <w:spacing w:val="-2"/>
        </w:rPr>
        <w:t>control.</w:t>
      </w:r>
    </w:p>
    <w:p>
      <w:pPr>
        <w:pStyle w:val="BodyText"/>
        <w:spacing w:line="249" w:lineRule="auto" w:before="63"/>
        <w:ind w:right="1440" w:firstLine="432"/>
        <w:jc w:val="both"/>
      </w:pPr>
      <w:r>
        <w:rPr>
          <w:spacing w:val="-2"/>
        </w:rPr>
        <w:t>Thus,</w:t>
      </w:r>
      <w:r>
        <w:rPr>
          <w:spacing w:val="-11"/>
        </w:rPr>
        <w:t> </w:t>
      </w:r>
      <w:r>
        <w:rPr>
          <w:spacing w:val="-2"/>
        </w:rPr>
        <w:t>in</w:t>
      </w:r>
      <w:r>
        <w:rPr>
          <w:spacing w:val="-10"/>
        </w:rPr>
        <w:t> </w:t>
      </w:r>
      <w:r>
        <w:rPr>
          <w:spacing w:val="-2"/>
        </w:rPr>
        <w:t>Shakespeare’s</w:t>
      </w:r>
      <w:r>
        <w:rPr>
          <w:spacing w:val="-11"/>
        </w:rPr>
        <w:t> </w:t>
      </w:r>
      <w:r>
        <w:rPr>
          <w:spacing w:val="-2"/>
        </w:rPr>
        <w:t>works,</w:t>
      </w:r>
      <w:r>
        <w:rPr>
          <w:spacing w:val="-10"/>
        </w:rPr>
        <w:t> </w:t>
      </w:r>
      <w:r>
        <w:rPr>
          <w:spacing w:val="-2"/>
        </w:rPr>
        <w:t>natural</w:t>
      </w:r>
      <w:r>
        <w:rPr>
          <w:spacing w:val="-11"/>
        </w:rPr>
        <w:t> </w:t>
      </w:r>
      <w:r>
        <w:rPr>
          <w:spacing w:val="-2"/>
        </w:rPr>
        <w:t>disasters</w:t>
      </w:r>
      <w:r>
        <w:rPr>
          <w:spacing w:val="-10"/>
        </w:rPr>
        <w:t> </w:t>
      </w:r>
      <w:r>
        <w:rPr>
          <w:spacing w:val="-2"/>
        </w:rPr>
        <w:t>are</w:t>
      </w:r>
      <w:r>
        <w:rPr>
          <w:spacing w:val="-11"/>
        </w:rPr>
        <w:t> </w:t>
      </w:r>
      <w:r>
        <w:rPr>
          <w:spacing w:val="-2"/>
        </w:rPr>
        <w:t>largely</w:t>
      </w:r>
      <w:r>
        <w:rPr>
          <w:spacing w:val="-10"/>
        </w:rPr>
        <w:t> </w:t>
      </w:r>
      <w:r>
        <w:rPr>
          <w:spacing w:val="-2"/>
        </w:rPr>
        <w:t>symbolic, </w:t>
      </w:r>
      <w:r>
        <w:rPr/>
        <w:t>representing the consequences of moral and social imbalance. Women are often linked with nature, embodying harmony, care, and fertility, while</w:t>
      </w:r>
      <w:r>
        <w:rPr>
          <w:spacing w:val="-3"/>
        </w:rPr>
        <w:t> </w:t>
      </w:r>
      <w:r>
        <w:rPr/>
        <w:t>male</w:t>
      </w:r>
      <w:r>
        <w:rPr>
          <w:spacing w:val="-2"/>
        </w:rPr>
        <w:t> </w:t>
      </w:r>
      <w:r>
        <w:rPr/>
        <w:t>characters</w:t>
      </w:r>
      <w:r>
        <w:rPr>
          <w:spacing w:val="-5"/>
        </w:rPr>
        <w:t> </w:t>
      </w:r>
      <w:r>
        <w:rPr/>
        <w:t>represent</w:t>
      </w:r>
      <w:r>
        <w:rPr>
          <w:spacing w:val="-2"/>
        </w:rPr>
        <w:t> </w:t>
      </w:r>
      <w:r>
        <w:rPr/>
        <w:t>control</w:t>
      </w:r>
      <w:r>
        <w:rPr>
          <w:spacing w:val="-4"/>
        </w:rPr>
        <w:t> </w:t>
      </w:r>
      <w:r>
        <w:rPr/>
        <w:t>and authority.</w:t>
      </w:r>
      <w:r>
        <w:rPr>
          <w:spacing w:val="-5"/>
        </w:rPr>
        <w:t> </w:t>
      </w:r>
      <w:r>
        <w:rPr/>
        <w:t>The</w:t>
      </w:r>
      <w:r>
        <w:rPr>
          <w:spacing w:val="-1"/>
        </w:rPr>
        <w:t> </w:t>
      </w:r>
      <w:r>
        <w:rPr/>
        <w:t>disruption</w:t>
      </w:r>
      <w:r>
        <w:rPr>
          <w:spacing w:val="-5"/>
        </w:rPr>
        <w:t> </w:t>
      </w:r>
      <w:r>
        <w:rPr/>
        <w:t>of these relationships leads to chaos, reinforcing ecofeminist concerns about</w:t>
      </w:r>
      <w:r>
        <w:rPr>
          <w:spacing w:val="40"/>
        </w:rPr>
        <w:t> </w:t>
      </w:r>
      <w:r>
        <w:rPr/>
        <w:t>domination and</w:t>
      </w:r>
      <w:r>
        <w:rPr>
          <w:spacing w:val="40"/>
        </w:rPr>
        <w:t> </w:t>
      </w:r>
      <w:r>
        <w:rPr/>
        <w:t>imbalance.</w:t>
      </w:r>
    </w:p>
    <w:p>
      <w:pPr>
        <w:pStyle w:val="BodyText"/>
        <w:spacing w:line="249" w:lineRule="auto" w:before="62"/>
        <w:ind w:right="1437" w:firstLine="432"/>
        <w:jc w:val="both"/>
      </w:pPr>
      <w:r>
        <w:rPr/>
        <w:t>In contrast, the works of Amitav Ghosh present natural disasters</w:t>
      </w:r>
      <w:r>
        <w:rPr>
          <w:spacing w:val="40"/>
        </w:rPr>
        <w:t> </w:t>
      </w:r>
      <w:r>
        <w:rPr/>
        <w:t>as real, urgent, and deeply connected to contemporary issues such as climate change, migration, and globalization. In </w:t>
      </w:r>
      <w:r>
        <w:rPr>
          <w:i/>
        </w:rPr>
        <w:t>The Hungry Tide, t</w:t>
      </w:r>
      <w:r>
        <w:rPr/>
        <w:t>he Sundarbans region is portrayed as a dynamic and fragile ecosystem prone to cyclones, floods, and tidal surges. These natural disasters are not merely symbolic but shape the everyday lives of the inhabitants. From an ecofeminist perspective, the novel highlights how women, </w:t>
      </w:r>
      <w:r>
        <w:rPr>
          <w:spacing w:val="-6"/>
        </w:rPr>
        <w:t>particularly from marginalized</w:t>
      </w:r>
      <w:r>
        <w:rPr/>
        <w:t> </w:t>
      </w:r>
      <w:r>
        <w:rPr>
          <w:spacing w:val="-6"/>
        </w:rPr>
        <w:t>communities,</w:t>
      </w:r>
      <w:r>
        <w:rPr/>
        <w:t> </w:t>
      </w:r>
      <w:r>
        <w:rPr>
          <w:spacing w:val="-6"/>
        </w:rPr>
        <w:t>are</w:t>
      </w:r>
      <w:r>
        <w:rPr/>
        <w:t> </w:t>
      </w:r>
      <w:r>
        <w:rPr>
          <w:spacing w:val="-6"/>
        </w:rPr>
        <w:t>disproportionately affected </w:t>
      </w:r>
      <w:r>
        <w:rPr/>
        <w:t>by</w:t>
      </w:r>
      <w:r>
        <w:rPr>
          <w:spacing w:val="40"/>
        </w:rPr>
        <w:t> </w:t>
      </w:r>
      <w:r>
        <w:rPr/>
        <w:t>environmental</w:t>
      </w:r>
      <w:r>
        <w:rPr>
          <w:spacing w:val="40"/>
        </w:rPr>
        <w:t> </w:t>
      </w:r>
      <w:r>
        <w:rPr/>
        <w:t>crises.</w:t>
      </w:r>
    </w:p>
    <w:p>
      <w:pPr>
        <w:pStyle w:val="BodyText"/>
        <w:spacing w:line="249" w:lineRule="auto" w:before="68"/>
        <w:ind w:right="1438" w:firstLine="432"/>
        <w:jc w:val="both"/>
      </w:pPr>
      <w:r>
        <w:rPr/>
        <w:t>The character of Kusum represents the vulnerability of women who depend on nature for survival. Her struggle against displacement and political oppression reflects the intersection of gender, class, and ecology. Her tragic fate underscores</w:t>
      </w:r>
      <w:r>
        <w:rPr>
          <w:spacing w:val="-2"/>
        </w:rPr>
        <w:t> </w:t>
      </w:r>
      <w:r>
        <w:rPr/>
        <w:t>the harsh</w:t>
      </w:r>
      <w:r>
        <w:rPr>
          <w:spacing w:val="-2"/>
        </w:rPr>
        <w:t> </w:t>
      </w:r>
      <w:r>
        <w:rPr/>
        <w:t>realities faced by</w:t>
      </w:r>
      <w:r>
        <w:rPr>
          <w:spacing w:val="-4"/>
        </w:rPr>
        <w:t> </w:t>
      </w:r>
      <w:r>
        <w:rPr/>
        <w:t>women in disaster-prone regions. At the same time, Piya, a marine biologist, represents a different dimension of ecofeminist ethics. Her respectful engagement</w:t>
      </w:r>
      <w:r>
        <w:rPr>
          <w:spacing w:val="-13"/>
        </w:rPr>
        <w:t> </w:t>
      </w:r>
      <w:r>
        <w:rPr/>
        <w:t>with</w:t>
      </w:r>
      <w:r>
        <w:rPr>
          <w:spacing w:val="-12"/>
        </w:rPr>
        <w:t> </w:t>
      </w:r>
      <w:r>
        <w:rPr/>
        <w:t>nature</w:t>
      </w:r>
      <w:r>
        <w:rPr>
          <w:spacing w:val="-13"/>
        </w:rPr>
        <w:t> </w:t>
      </w:r>
      <w:r>
        <w:rPr/>
        <w:t>and</w:t>
      </w:r>
      <w:r>
        <w:rPr>
          <w:spacing w:val="-12"/>
        </w:rPr>
        <w:t> </w:t>
      </w:r>
      <w:r>
        <w:rPr/>
        <w:t>commitment</w:t>
      </w:r>
      <w:r>
        <w:rPr>
          <w:spacing w:val="-13"/>
        </w:rPr>
        <w:t> </w:t>
      </w:r>
      <w:r>
        <w:rPr/>
        <w:t>to</w:t>
      </w:r>
      <w:r>
        <w:rPr>
          <w:spacing w:val="-12"/>
        </w:rPr>
        <w:t> </w:t>
      </w:r>
      <w:r>
        <w:rPr/>
        <w:t>conservation</w:t>
      </w:r>
      <w:r>
        <w:rPr>
          <w:spacing w:val="-13"/>
        </w:rPr>
        <w:t> </w:t>
      </w:r>
      <w:r>
        <w:rPr/>
        <w:t>reflect</w:t>
      </w:r>
      <w:r>
        <w:rPr>
          <w:spacing w:val="-12"/>
        </w:rPr>
        <w:t> </w:t>
      </w:r>
      <w:r>
        <w:rPr/>
        <w:t>a</w:t>
      </w:r>
      <w:r>
        <w:rPr>
          <w:spacing w:val="-13"/>
        </w:rPr>
        <w:t> </w:t>
      </w:r>
      <w:r>
        <w:rPr/>
        <w:t>model of care and coexistence</w:t>
      </w:r>
      <w:r>
        <w:rPr>
          <w:spacing w:val="40"/>
        </w:rPr>
        <w:t> </w:t>
      </w:r>
      <w:r>
        <w:rPr/>
        <w:t>rather than exploitation.</w:t>
      </w:r>
    </w:p>
    <w:p>
      <w:pPr>
        <w:pStyle w:val="BodyText"/>
        <w:spacing w:line="249" w:lineRule="auto" w:before="64"/>
        <w:ind w:right="1437" w:firstLine="432"/>
        <w:jc w:val="both"/>
      </w:pPr>
      <w:r>
        <w:rPr/>
        <w:t>In Gun Island, Ghosh expands the theme of natural disaster to a global context, linking climate change with migration and cultural displacement.</w:t>
      </w:r>
      <w:r>
        <w:rPr>
          <w:spacing w:val="-4"/>
        </w:rPr>
        <w:t> </w:t>
      </w:r>
      <w:r>
        <w:rPr/>
        <w:t>Rising</w:t>
      </w:r>
      <w:r>
        <w:rPr>
          <w:spacing w:val="-6"/>
        </w:rPr>
        <w:t> </w:t>
      </w:r>
      <w:r>
        <w:rPr/>
        <w:t>sea</w:t>
      </w:r>
      <w:r>
        <w:rPr>
          <w:spacing w:val="-3"/>
        </w:rPr>
        <w:t> </w:t>
      </w:r>
      <w:r>
        <w:rPr/>
        <w:t>levels,</w:t>
      </w:r>
      <w:r>
        <w:rPr>
          <w:spacing w:val="-4"/>
        </w:rPr>
        <w:t> </w:t>
      </w:r>
      <w:r>
        <w:rPr/>
        <w:t>extreme</w:t>
      </w:r>
      <w:r>
        <w:rPr>
          <w:spacing w:val="-4"/>
        </w:rPr>
        <w:t> </w:t>
      </w:r>
      <w:r>
        <w:rPr/>
        <w:t>weather</w:t>
      </w:r>
      <w:r>
        <w:rPr>
          <w:spacing w:val="-3"/>
        </w:rPr>
        <w:t> </w:t>
      </w:r>
      <w:r>
        <w:rPr/>
        <w:t>events,</w:t>
      </w:r>
      <w:r>
        <w:rPr>
          <w:spacing w:val="-3"/>
        </w:rPr>
        <w:t> </w:t>
      </w:r>
      <w:r>
        <w:rPr/>
        <w:t>and</w:t>
      </w:r>
      <w:r>
        <w:rPr>
          <w:spacing w:val="-3"/>
        </w:rPr>
        <w:t> </w:t>
      </w:r>
      <w:r>
        <w:rPr/>
        <w:t>ecological disruptions force communities to relocate, creating new forms of vulnerability.</w:t>
      </w:r>
      <w:r>
        <w:rPr>
          <w:spacing w:val="-2"/>
        </w:rPr>
        <w:t> </w:t>
      </w:r>
      <w:r>
        <w:rPr/>
        <w:t>Women, in</w:t>
      </w:r>
      <w:r>
        <w:rPr>
          <w:spacing w:val="-2"/>
        </w:rPr>
        <w:t> </w:t>
      </w:r>
      <w:r>
        <w:rPr/>
        <w:t>particular,</w:t>
      </w:r>
      <w:r>
        <w:rPr>
          <w:spacing w:val="-1"/>
        </w:rPr>
        <w:t> </w:t>
      </w:r>
      <w:r>
        <w:rPr/>
        <w:t>face</w:t>
      </w:r>
      <w:r>
        <w:rPr>
          <w:spacing w:val="-2"/>
        </w:rPr>
        <w:t> </w:t>
      </w:r>
      <w:r>
        <w:rPr/>
        <w:t>multiple challenges,</w:t>
      </w:r>
      <w:r>
        <w:rPr>
          <w:spacing w:val="-1"/>
        </w:rPr>
        <w:t> </w:t>
      </w:r>
      <w:r>
        <w:rPr/>
        <w:t>including economic insecurity and social marginalization. However, Ghosh also portrays them as resilient and adaptable, capable of navigating these complex</w:t>
      </w:r>
      <w:r>
        <w:rPr>
          <w:spacing w:val="-17"/>
        </w:rPr>
        <w:t> </w:t>
      </w:r>
      <w:r>
        <w:rPr/>
        <w:t>realities.</w:t>
      </w:r>
    </w:p>
    <w:p>
      <w:pPr>
        <w:pStyle w:val="BodyText"/>
        <w:spacing w:line="249" w:lineRule="auto" w:before="64"/>
        <w:ind w:right="1435" w:firstLine="432"/>
        <w:jc w:val="both"/>
      </w:pPr>
      <w:r>
        <w:rPr/>
        <w:t>Ghosh’s non-fiction work, The Great Derangement, directly addresses</w:t>
      </w:r>
      <w:r>
        <w:rPr>
          <w:spacing w:val="29"/>
        </w:rPr>
        <w:t> </w:t>
      </w:r>
      <w:r>
        <w:rPr/>
        <w:t>the</w:t>
      </w:r>
      <w:r>
        <w:rPr>
          <w:spacing w:val="29"/>
        </w:rPr>
        <w:t> </w:t>
      </w:r>
      <w:r>
        <w:rPr/>
        <w:t>climate</w:t>
      </w:r>
      <w:r>
        <w:rPr>
          <w:spacing w:val="32"/>
        </w:rPr>
        <w:t> </w:t>
      </w:r>
      <w:r>
        <w:rPr/>
        <w:t>crisis</w:t>
      </w:r>
      <w:r>
        <w:rPr>
          <w:spacing w:val="29"/>
        </w:rPr>
        <w:t> </w:t>
      </w:r>
      <w:r>
        <w:rPr/>
        <w:t>and</w:t>
      </w:r>
      <w:r>
        <w:rPr>
          <w:spacing w:val="35"/>
        </w:rPr>
        <w:t> </w:t>
      </w:r>
      <w:r>
        <w:rPr/>
        <w:t>critiques</w:t>
      </w:r>
      <w:r>
        <w:rPr>
          <w:spacing w:val="29"/>
        </w:rPr>
        <w:t> </w:t>
      </w:r>
      <w:r>
        <w:rPr/>
        <w:t>modern</w:t>
      </w:r>
      <w:r>
        <w:rPr>
          <w:spacing w:val="30"/>
        </w:rPr>
        <w:t> </w:t>
      </w:r>
      <w:r>
        <w:rPr/>
        <w:t>society’s</w:t>
      </w:r>
      <w:r>
        <w:rPr>
          <w:spacing w:val="29"/>
        </w:rPr>
        <w:t> </w:t>
      </w:r>
      <w:r>
        <w:rPr/>
        <w:t>failure</w:t>
      </w:r>
      <w:r>
        <w:rPr>
          <w:spacing w:val="30"/>
        </w:rPr>
        <w:t> </w:t>
      </w:r>
      <w:r>
        <w:rPr>
          <w:spacing w:val="-5"/>
        </w:rPr>
        <w:t>to</w:t>
      </w:r>
    </w:p>
    <w:p>
      <w:pPr>
        <w:pStyle w:val="BodyText"/>
        <w:spacing w:after="0" w:line="249" w:lineRule="auto"/>
        <w:jc w:val="both"/>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8160">
                <wp:simplePos x="0" y="0"/>
                <wp:positionH relativeFrom="page">
                  <wp:posOffset>2065020</wp:posOffset>
                </wp:positionH>
                <wp:positionV relativeFrom="paragraph">
                  <wp:posOffset>795020</wp:posOffset>
                </wp:positionV>
                <wp:extent cx="3657600" cy="12700"/>
                <wp:effectExtent l="0" t="0" r="0" b="0"/>
                <wp:wrapTopAndBottom/>
                <wp:docPr id="370" name="Graphic 370"/>
                <wp:cNvGraphicFramePr>
                  <a:graphicFrameLocks/>
                </wp:cNvGraphicFramePr>
                <a:graphic>
                  <a:graphicData uri="http://schemas.microsoft.com/office/word/2010/wordprocessingShape">
                    <wps:wsp>
                      <wps:cNvPr id="370" name="Graphic 37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08320;mso-wrap-distance-left:0;mso-wrap-distance-right:0" id="docshape366" filled="true" fillcolor="#000000" stroked="false">
                <v:fill type="solid"/>
                <w10:wrap type="topAndBottom"/>
              </v:rect>
            </w:pict>
          </mc:Fallback>
        </mc:AlternateContent>
      </w:r>
      <w:r>
        <w:rPr>
          <w:rFonts w:ascii="Verdana"/>
          <w:spacing w:val="-2"/>
          <w:sz w:val="18"/>
        </w:rPr>
        <w:t>Eco-Feminist</w:t>
      </w:r>
      <w:r>
        <w:rPr>
          <w:rFonts w:ascii="Verdana"/>
          <w:spacing w:val="11"/>
          <w:sz w:val="18"/>
        </w:rPr>
        <w:t> </w:t>
      </w:r>
      <w:r>
        <w:rPr>
          <w:rFonts w:ascii="Verdana"/>
          <w:spacing w:val="-2"/>
          <w:sz w:val="18"/>
        </w:rPr>
        <w:t>Ethics</w:t>
      </w:r>
      <w:r>
        <w:rPr>
          <w:rFonts w:ascii="Verdana"/>
          <w:spacing w:val="11"/>
          <w:sz w:val="18"/>
        </w:rPr>
        <w:t> </w:t>
      </w:r>
      <w:r>
        <w:rPr>
          <w:rFonts w:ascii="Verdana"/>
          <w:spacing w:val="-2"/>
          <w:sz w:val="18"/>
        </w:rPr>
        <w:t>in</w:t>
      </w:r>
      <w:r>
        <w:rPr>
          <w:rFonts w:ascii="Verdana"/>
          <w:spacing w:val="13"/>
          <w:sz w:val="18"/>
        </w:rPr>
        <w:t> </w:t>
      </w:r>
      <w:r>
        <w:rPr>
          <w:rFonts w:ascii="Verdana"/>
          <w:spacing w:val="-2"/>
          <w:sz w:val="18"/>
        </w:rPr>
        <w:t>The</w:t>
      </w:r>
      <w:r>
        <w:rPr>
          <w:rFonts w:ascii="Verdana"/>
          <w:spacing w:val="12"/>
          <w:sz w:val="18"/>
        </w:rPr>
        <w:t> </w:t>
      </w:r>
      <w:r>
        <w:rPr>
          <w:rFonts w:ascii="Verdana"/>
          <w:spacing w:val="-2"/>
          <w:sz w:val="18"/>
        </w:rPr>
        <w:t>Selected</w:t>
      </w:r>
      <w:r>
        <w:rPr>
          <w:rFonts w:ascii="Verdana"/>
          <w:spacing w:val="12"/>
          <w:sz w:val="18"/>
        </w:rPr>
        <w:t> </w:t>
      </w:r>
      <w:r>
        <w:rPr>
          <w:rFonts w:ascii="Verdana"/>
          <w:spacing w:val="-2"/>
          <w:sz w:val="18"/>
        </w:rPr>
        <w:t>Works</w:t>
      </w:r>
      <w:r>
        <w:rPr>
          <w:rFonts w:ascii="Verdana"/>
          <w:spacing w:val="13"/>
          <w:sz w:val="18"/>
        </w:rPr>
        <w:t> </w:t>
      </w:r>
      <w:r>
        <w:rPr>
          <w:rFonts w:ascii="Verdana"/>
          <w:spacing w:val="-2"/>
          <w:sz w:val="18"/>
        </w:rPr>
        <w:t>of</w:t>
      </w:r>
      <w:r>
        <w:rPr>
          <w:rFonts w:ascii="Verdana"/>
          <w:spacing w:val="12"/>
          <w:sz w:val="18"/>
        </w:rPr>
        <w:t> </w:t>
      </w:r>
      <w:r>
        <w:rPr>
          <w:rFonts w:ascii="Verdana"/>
          <w:spacing w:val="-2"/>
          <w:sz w:val="18"/>
        </w:rPr>
        <w:t>William</w:t>
      </w:r>
      <w:r>
        <w:rPr>
          <w:sz w:val="18"/>
        </w:rPr>
        <w:tab/>
      </w:r>
      <w:r>
        <w:rPr>
          <w:rFonts w:ascii="Verdana"/>
          <w:spacing w:val="-5"/>
          <w:sz w:val="18"/>
        </w:rPr>
        <w:t>145</w:t>
      </w:r>
    </w:p>
    <w:p>
      <w:pPr>
        <w:pStyle w:val="BodyText"/>
        <w:spacing w:line="249" w:lineRule="auto" w:before="192"/>
        <w:ind w:right="1439"/>
        <w:jc w:val="both"/>
      </w:pPr>
      <w:r>
        <w:rPr>
          <w:spacing w:val="-2"/>
        </w:rPr>
        <w:t>respond</w:t>
      </w:r>
      <w:r>
        <w:rPr>
          <w:spacing w:val="-11"/>
        </w:rPr>
        <w:t> </w:t>
      </w:r>
      <w:r>
        <w:rPr>
          <w:spacing w:val="-2"/>
        </w:rPr>
        <w:t>effectively.</w:t>
      </w:r>
      <w:r>
        <w:rPr>
          <w:spacing w:val="-10"/>
        </w:rPr>
        <w:t> </w:t>
      </w:r>
      <w:r>
        <w:rPr>
          <w:spacing w:val="-2"/>
        </w:rPr>
        <w:t>Although</w:t>
      </w:r>
      <w:r>
        <w:rPr>
          <w:spacing w:val="-8"/>
        </w:rPr>
        <w:t> </w:t>
      </w:r>
      <w:r>
        <w:rPr>
          <w:spacing w:val="-2"/>
        </w:rPr>
        <w:t>not</w:t>
      </w:r>
      <w:r>
        <w:rPr>
          <w:spacing w:val="-5"/>
        </w:rPr>
        <w:t> </w:t>
      </w:r>
      <w:r>
        <w:rPr>
          <w:spacing w:val="-2"/>
        </w:rPr>
        <w:t>explicitly</w:t>
      </w:r>
      <w:r>
        <w:rPr>
          <w:spacing w:val="-10"/>
        </w:rPr>
        <w:t> </w:t>
      </w:r>
      <w:r>
        <w:rPr>
          <w:spacing w:val="-2"/>
        </w:rPr>
        <w:t>ecofeminist,</w:t>
      </w:r>
      <w:r>
        <w:rPr>
          <w:spacing w:val="-3"/>
        </w:rPr>
        <w:t> </w:t>
      </w:r>
      <w:r>
        <w:rPr>
          <w:spacing w:val="-2"/>
        </w:rPr>
        <w:t>the</w:t>
      </w:r>
      <w:r>
        <w:rPr>
          <w:spacing w:val="-8"/>
        </w:rPr>
        <w:t> </w:t>
      </w:r>
      <w:r>
        <w:rPr>
          <w:spacing w:val="-2"/>
        </w:rPr>
        <w:t>text</w:t>
      </w:r>
      <w:r>
        <w:rPr>
          <w:spacing w:val="-3"/>
        </w:rPr>
        <w:t> </w:t>
      </w:r>
      <w:r>
        <w:rPr>
          <w:spacing w:val="-2"/>
        </w:rPr>
        <w:t>supports </w:t>
      </w:r>
      <w:r>
        <w:rPr/>
        <w:t>ecofeminist principles by challenging systems that prioritize profit and technological advancement over ecological sustainability and human well-being.</w:t>
      </w:r>
      <w:r>
        <w:rPr>
          <w:spacing w:val="-3"/>
        </w:rPr>
        <w:t> </w:t>
      </w:r>
      <w:r>
        <w:rPr/>
        <w:t>Ghosh</w:t>
      </w:r>
      <w:r>
        <w:rPr>
          <w:spacing w:val="-6"/>
        </w:rPr>
        <w:t> </w:t>
      </w:r>
      <w:r>
        <w:rPr/>
        <w:t>emphasizes</w:t>
      </w:r>
      <w:r>
        <w:rPr>
          <w:spacing w:val="-4"/>
        </w:rPr>
        <w:t> </w:t>
      </w:r>
      <w:r>
        <w:rPr/>
        <w:t>the</w:t>
      </w:r>
      <w:r>
        <w:rPr>
          <w:spacing w:val="-4"/>
        </w:rPr>
        <w:t> </w:t>
      </w:r>
      <w:r>
        <w:rPr/>
        <w:t>need</w:t>
      </w:r>
      <w:r>
        <w:rPr>
          <w:spacing w:val="-3"/>
        </w:rPr>
        <w:t> </w:t>
      </w:r>
      <w:r>
        <w:rPr/>
        <w:t>for</w:t>
      </w:r>
      <w:r>
        <w:rPr>
          <w:spacing w:val="-3"/>
        </w:rPr>
        <w:t> </w:t>
      </w:r>
      <w:r>
        <w:rPr/>
        <w:t>a</w:t>
      </w:r>
      <w:r>
        <w:rPr>
          <w:spacing w:val="-4"/>
        </w:rPr>
        <w:t> </w:t>
      </w:r>
      <w:r>
        <w:rPr/>
        <w:t>collective</w:t>
      </w:r>
      <w:r>
        <w:rPr>
          <w:spacing w:val="-6"/>
        </w:rPr>
        <w:t> </w:t>
      </w:r>
      <w:r>
        <w:rPr/>
        <w:t>ethical</w:t>
      </w:r>
      <w:r>
        <w:rPr>
          <w:spacing w:val="-4"/>
        </w:rPr>
        <w:t> </w:t>
      </w:r>
      <w:r>
        <w:rPr/>
        <w:t>response to</w:t>
      </w:r>
      <w:r>
        <w:rPr>
          <w:spacing w:val="-13"/>
        </w:rPr>
        <w:t> </w:t>
      </w:r>
      <w:r>
        <w:rPr/>
        <w:t>environmental</w:t>
      </w:r>
      <w:r>
        <w:rPr>
          <w:spacing w:val="-12"/>
        </w:rPr>
        <w:t> </w:t>
      </w:r>
      <w:r>
        <w:rPr/>
        <w:t>crises,</w:t>
      </w:r>
      <w:r>
        <w:rPr>
          <w:spacing w:val="-13"/>
        </w:rPr>
        <w:t> </w:t>
      </w:r>
      <w:r>
        <w:rPr/>
        <w:t>aligning</w:t>
      </w:r>
      <w:r>
        <w:rPr>
          <w:spacing w:val="-12"/>
        </w:rPr>
        <w:t> </w:t>
      </w:r>
      <w:r>
        <w:rPr/>
        <w:t>with</w:t>
      </w:r>
      <w:r>
        <w:rPr>
          <w:spacing w:val="-13"/>
        </w:rPr>
        <w:t> </w:t>
      </w:r>
      <w:r>
        <w:rPr/>
        <w:t>ecofeminist</w:t>
      </w:r>
      <w:r>
        <w:rPr>
          <w:spacing w:val="-12"/>
        </w:rPr>
        <w:t> </w:t>
      </w:r>
      <w:r>
        <w:rPr/>
        <w:t>calls</w:t>
      </w:r>
      <w:r>
        <w:rPr>
          <w:spacing w:val="-13"/>
        </w:rPr>
        <w:t> </w:t>
      </w:r>
      <w:r>
        <w:rPr/>
        <w:t>for</w:t>
      </w:r>
      <w:r>
        <w:rPr>
          <w:spacing w:val="-12"/>
        </w:rPr>
        <w:t> </w:t>
      </w:r>
      <w:r>
        <w:rPr/>
        <w:t>responsibility and</w:t>
      </w:r>
      <w:r>
        <w:rPr>
          <w:spacing w:val="40"/>
        </w:rPr>
        <w:t> </w:t>
      </w:r>
      <w:r>
        <w:rPr/>
        <w:t>care.</w:t>
      </w:r>
    </w:p>
    <w:p>
      <w:pPr>
        <w:pStyle w:val="Heading5"/>
        <w:numPr>
          <w:ilvl w:val="1"/>
          <w:numId w:val="27"/>
        </w:numPr>
        <w:tabs>
          <w:tab w:pos="1879" w:val="left" w:leader="none"/>
        </w:tabs>
        <w:spacing w:line="240" w:lineRule="auto" w:before="112" w:after="0"/>
        <w:ind w:left="1879" w:right="0" w:hanging="439"/>
        <w:jc w:val="left"/>
      </w:pPr>
      <w:r>
        <w:rPr>
          <w:spacing w:val="-2"/>
          <w:w w:val="110"/>
        </w:rPr>
        <w:t>Conclusion</w:t>
      </w:r>
    </w:p>
    <w:p>
      <w:pPr>
        <w:pStyle w:val="BodyText"/>
        <w:spacing w:line="249" w:lineRule="auto" w:before="72"/>
        <w:ind w:right="1438" w:firstLine="432"/>
        <w:jc w:val="both"/>
      </w:pPr>
      <w:r>
        <w:rPr/>
        <w:t>The</w:t>
      </w:r>
      <w:r>
        <w:rPr>
          <w:spacing w:val="-13"/>
        </w:rPr>
        <w:t> </w:t>
      </w:r>
      <w:r>
        <w:rPr/>
        <w:t>role</w:t>
      </w:r>
      <w:r>
        <w:rPr>
          <w:spacing w:val="-6"/>
        </w:rPr>
        <w:t> </w:t>
      </w:r>
      <w:r>
        <w:rPr/>
        <w:t>of</w:t>
      </w:r>
      <w:r>
        <w:rPr>
          <w:spacing w:val="-11"/>
        </w:rPr>
        <w:t> </w:t>
      </w:r>
      <w:r>
        <w:rPr/>
        <w:t>women</w:t>
      </w:r>
      <w:r>
        <w:rPr>
          <w:spacing w:val="-11"/>
        </w:rPr>
        <w:t> </w:t>
      </w:r>
      <w:r>
        <w:rPr/>
        <w:t>in</w:t>
      </w:r>
      <w:r>
        <w:rPr>
          <w:spacing w:val="-9"/>
        </w:rPr>
        <w:t> </w:t>
      </w:r>
      <w:r>
        <w:rPr/>
        <w:t>the</w:t>
      </w:r>
      <w:r>
        <w:rPr>
          <w:spacing w:val="-6"/>
        </w:rPr>
        <w:t> </w:t>
      </w:r>
      <w:r>
        <w:rPr/>
        <w:t>works</w:t>
      </w:r>
      <w:r>
        <w:rPr>
          <w:spacing w:val="-9"/>
        </w:rPr>
        <w:t> </w:t>
      </w:r>
      <w:r>
        <w:rPr/>
        <w:t>of</w:t>
      </w:r>
      <w:r>
        <w:rPr>
          <w:spacing w:val="-11"/>
        </w:rPr>
        <w:t> </w:t>
      </w:r>
      <w:r>
        <w:rPr/>
        <w:t>Shakespeare</w:t>
      </w:r>
      <w:r>
        <w:rPr>
          <w:spacing w:val="-8"/>
        </w:rPr>
        <w:t> </w:t>
      </w:r>
      <w:r>
        <w:rPr/>
        <w:t>and</w:t>
      </w:r>
      <w:r>
        <w:rPr>
          <w:spacing w:val="-13"/>
        </w:rPr>
        <w:t> </w:t>
      </w:r>
      <w:r>
        <w:rPr/>
        <w:t>Amitav</w:t>
      </w:r>
      <w:r>
        <w:rPr>
          <w:spacing w:val="-10"/>
        </w:rPr>
        <w:t> </w:t>
      </w:r>
      <w:r>
        <w:rPr/>
        <w:t>Ghosh reflects both historical context and evolving literary perspectives. Shakespeare’s female characters, though constrained by patriarchal norms, exhibit strength, intelligence, and emotional depth. Ghosh’s women, in contrast, are more autonomous and actively engaged in addressing</w:t>
      </w:r>
      <w:r>
        <w:rPr>
          <w:spacing w:val="40"/>
        </w:rPr>
        <w:t> </w:t>
      </w:r>
      <w:r>
        <w:rPr/>
        <w:t>social</w:t>
      </w:r>
      <w:r>
        <w:rPr>
          <w:spacing w:val="40"/>
        </w:rPr>
        <w:t> </w:t>
      </w:r>
      <w:r>
        <w:rPr/>
        <w:t>and</w:t>
      </w:r>
      <w:r>
        <w:rPr>
          <w:spacing w:val="40"/>
        </w:rPr>
        <w:t> </w:t>
      </w:r>
      <w:r>
        <w:rPr/>
        <w:t>environmental</w:t>
      </w:r>
      <w:r>
        <w:rPr>
          <w:spacing w:val="40"/>
        </w:rPr>
        <w:t> </w:t>
      </w:r>
      <w:r>
        <w:rPr/>
        <w:t>issues.</w:t>
      </w:r>
    </w:p>
    <w:p>
      <w:pPr>
        <w:pStyle w:val="BodyText"/>
        <w:spacing w:line="249" w:lineRule="auto" w:before="63"/>
        <w:ind w:right="1438" w:firstLine="432"/>
        <w:jc w:val="both"/>
      </w:pPr>
      <w:r>
        <w:rPr/>
        <w:t>Together, these authors offer a comprehensive view of women’s roles</w:t>
      </w:r>
      <w:r>
        <w:rPr>
          <w:spacing w:val="-6"/>
        </w:rPr>
        <w:t> </w:t>
      </w:r>
      <w:r>
        <w:rPr/>
        <w:t>across</w:t>
      </w:r>
      <w:r>
        <w:rPr>
          <w:spacing w:val="-4"/>
        </w:rPr>
        <w:t> </w:t>
      </w:r>
      <w:r>
        <w:rPr/>
        <w:t>time—from</w:t>
      </w:r>
      <w:r>
        <w:rPr>
          <w:spacing w:val="-7"/>
        </w:rPr>
        <w:t> </w:t>
      </w:r>
      <w:r>
        <w:rPr/>
        <w:t>marginalization</w:t>
      </w:r>
      <w:r>
        <w:rPr>
          <w:spacing w:val="-2"/>
        </w:rPr>
        <w:t> </w:t>
      </w:r>
      <w:r>
        <w:rPr/>
        <w:t>and</w:t>
      </w:r>
      <w:r>
        <w:rPr>
          <w:spacing w:val="-2"/>
        </w:rPr>
        <w:t> </w:t>
      </w:r>
      <w:r>
        <w:rPr/>
        <w:t>symbolic</w:t>
      </w:r>
      <w:r>
        <w:rPr>
          <w:spacing w:val="-2"/>
        </w:rPr>
        <w:t> </w:t>
      </w:r>
      <w:r>
        <w:rPr/>
        <w:t>representation</w:t>
      </w:r>
      <w:r>
        <w:rPr>
          <w:spacing w:val="-6"/>
        </w:rPr>
        <w:t> </w:t>
      </w:r>
      <w:r>
        <w:rPr/>
        <w:t>to agency and resistance. Their works highlight the enduring importance of gender equality, ethical responsibility, and the interconnectedness of human</w:t>
      </w:r>
      <w:r>
        <w:rPr>
          <w:spacing w:val="-1"/>
        </w:rPr>
        <w:t> </w:t>
      </w:r>
      <w:r>
        <w:rPr/>
        <w:t>and natural worlds. By</w:t>
      </w:r>
      <w:r>
        <w:rPr>
          <w:spacing w:val="-3"/>
        </w:rPr>
        <w:t> </w:t>
      </w:r>
      <w:r>
        <w:rPr/>
        <w:t>examining these texts through</w:t>
      </w:r>
      <w:r>
        <w:rPr>
          <w:spacing w:val="-1"/>
        </w:rPr>
        <w:t> </w:t>
      </w:r>
      <w:r>
        <w:rPr/>
        <w:t>a feminist and ecofeminist lens, we gain deeper insight into the complexities of women’s experiences and the ongoing struggle for j A key difference between Shakespeare and Ghosh lies in their treatment of natural disasters. Shakespeare uses them as metaphors to explore moral and psychological states, while Ghosh presents them as tangible realities shaped by human actions and climate change. However, both authors reveal a connection between the disruption of nature and the marginalization of women.</w:t>
      </w:r>
    </w:p>
    <w:p>
      <w:pPr>
        <w:pStyle w:val="BodyText"/>
        <w:spacing w:line="249" w:lineRule="auto" w:before="68"/>
        <w:ind w:right="1440" w:firstLine="432"/>
        <w:jc w:val="both"/>
      </w:pPr>
      <w:r>
        <w:rPr/>
        <w:t>In</w:t>
      </w:r>
      <w:r>
        <w:rPr>
          <w:spacing w:val="-13"/>
        </w:rPr>
        <w:t> </w:t>
      </w:r>
      <w:r>
        <w:rPr/>
        <w:t>Shakespeare,</w:t>
      </w:r>
      <w:r>
        <w:rPr>
          <w:spacing w:val="-12"/>
        </w:rPr>
        <w:t> </w:t>
      </w:r>
      <w:r>
        <w:rPr/>
        <w:t>this</w:t>
      </w:r>
      <w:r>
        <w:rPr>
          <w:spacing w:val="-13"/>
        </w:rPr>
        <w:t> </w:t>
      </w:r>
      <w:r>
        <w:rPr/>
        <w:t>connection</w:t>
      </w:r>
      <w:r>
        <w:rPr>
          <w:spacing w:val="-12"/>
        </w:rPr>
        <w:t> </w:t>
      </w:r>
      <w:r>
        <w:rPr/>
        <w:t>is</w:t>
      </w:r>
      <w:r>
        <w:rPr>
          <w:spacing w:val="-11"/>
        </w:rPr>
        <w:t> </w:t>
      </w:r>
      <w:r>
        <w:rPr/>
        <w:t>implicit</w:t>
      </w:r>
      <w:r>
        <w:rPr>
          <w:spacing w:val="-12"/>
        </w:rPr>
        <w:t> </w:t>
      </w:r>
      <w:r>
        <w:rPr/>
        <w:t>and</w:t>
      </w:r>
      <w:r>
        <w:rPr>
          <w:spacing w:val="-11"/>
        </w:rPr>
        <w:t> </w:t>
      </w:r>
      <w:r>
        <w:rPr/>
        <w:t>symbolic;</w:t>
      </w:r>
      <w:r>
        <w:rPr>
          <w:spacing w:val="-11"/>
        </w:rPr>
        <w:t> </w:t>
      </w:r>
      <w:r>
        <w:rPr/>
        <w:t>in</w:t>
      </w:r>
      <w:r>
        <w:rPr>
          <w:spacing w:val="-13"/>
        </w:rPr>
        <w:t> </w:t>
      </w:r>
      <w:r>
        <w:rPr/>
        <w:t>Ghosh, it is explicit In conclusion, the theme</w:t>
      </w:r>
      <w:r>
        <w:rPr>
          <w:spacing w:val="-1"/>
        </w:rPr>
        <w:t> </w:t>
      </w:r>
      <w:r>
        <w:rPr/>
        <w:t>of natural disaster in the works of William Shakespeare and Amitav Ghosh provides a powerful lens to understand the role of women in different historical contexts. While Shakespeare reflects the symbolic and moral dimensions of natural chaos, Ghosh brings attention to the real and urgent challenges of environmental</w:t>
      </w:r>
      <w:r>
        <w:rPr>
          <w:spacing w:val="-3"/>
        </w:rPr>
        <w:t> </w:t>
      </w:r>
      <w:r>
        <w:rPr/>
        <w:t>crises.</w:t>
      </w:r>
      <w:r>
        <w:rPr>
          <w:spacing w:val="-3"/>
        </w:rPr>
        <w:t> </w:t>
      </w:r>
      <w:r>
        <w:rPr/>
        <w:t>In</w:t>
      </w:r>
      <w:r>
        <w:rPr>
          <w:spacing w:val="-3"/>
        </w:rPr>
        <w:t> </w:t>
      </w:r>
      <w:r>
        <w:rPr/>
        <w:t>both</w:t>
      </w:r>
      <w:r>
        <w:rPr>
          <w:spacing w:val="-5"/>
        </w:rPr>
        <w:t> </w:t>
      </w:r>
      <w:r>
        <w:rPr/>
        <w:t>cases,</w:t>
      </w:r>
      <w:r>
        <w:rPr>
          <w:spacing w:val="-3"/>
        </w:rPr>
        <w:t> </w:t>
      </w:r>
      <w:r>
        <w:rPr/>
        <w:t>women</w:t>
      </w:r>
      <w:r>
        <w:rPr>
          <w:spacing w:val="-5"/>
        </w:rPr>
        <w:t> </w:t>
      </w:r>
      <w:r>
        <w:rPr/>
        <w:t>emerge</w:t>
      </w:r>
      <w:r>
        <w:rPr>
          <w:spacing w:val="-1"/>
        </w:rPr>
        <w:t> </w:t>
      </w:r>
      <w:r>
        <w:rPr/>
        <w:t>as</w:t>
      </w:r>
      <w:r>
        <w:rPr>
          <w:spacing w:val="-5"/>
        </w:rPr>
        <w:t> </w:t>
      </w:r>
      <w:r>
        <w:rPr/>
        <w:t>central</w:t>
      </w:r>
      <w:r>
        <w:rPr>
          <w:spacing w:val="-4"/>
        </w:rPr>
        <w:t> </w:t>
      </w:r>
      <w:r>
        <w:rPr/>
        <w:t>figures—often</w:t>
      </w:r>
      <w:r>
        <w:rPr>
          <w:spacing w:val="-10"/>
        </w:rPr>
        <w:t> </w:t>
      </w:r>
      <w:r>
        <w:rPr/>
        <w:t>vulnerable,</w:t>
      </w:r>
      <w:r>
        <w:rPr>
          <w:spacing w:val="-7"/>
        </w:rPr>
        <w:t> </w:t>
      </w:r>
      <w:r>
        <w:rPr/>
        <w:t>yet</w:t>
      </w:r>
      <w:r>
        <w:rPr>
          <w:spacing w:val="-10"/>
        </w:rPr>
        <w:t> </w:t>
      </w:r>
      <w:r>
        <w:rPr/>
        <w:t>resilient—highlighting</w:t>
      </w:r>
      <w:r>
        <w:rPr>
          <w:spacing w:val="-9"/>
        </w:rPr>
        <w:t> </w:t>
      </w:r>
      <w:r>
        <w:rPr/>
        <w:t>the</w:t>
      </w:r>
      <w:r>
        <w:rPr>
          <w:spacing w:val="-10"/>
        </w:rPr>
        <w:t> </w:t>
      </w:r>
      <w:r>
        <w:rPr/>
        <w:t>need</w:t>
      </w:r>
      <w:r>
        <w:rPr>
          <w:spacing w:val="-7"/>
        </w:rPr>
        <w:t> </w:t>
      </w:r>
      <w:r>
        <w:rPr/>
        <w:t>for</w:t>
      </w:r>
      <w:r>
        <w:rPr>
          <w:spacing w:val="-9"/>
        </w:rPr>
        <w:t> </w:t>
      </w:r>
      <w:r>
        <w:rPr/>
        <w:t>a</w:t>
      </w:r>
      <w:r>
        <w:rPr>
          <w:spacing w:val="-9"/>
        </w:rPr>
        <w:t> </w:t>
      </w:r>
      <w:r>
        <w:rPr/>
        <w:t>more</w:t>
      </w:r>
      <w:r>
        <w:rPr>
          <w:spacing w:val="-10"/>
        </w:rPr>
        <w:t> </w:t>
      </w:r>
      <w:r>
        <w:rPr/>
        <w:t>just</w:t>
      </w:r>
      <w:r>
        <w:rPr>
          <w:spacing w:val="-9"/>
        </w:rPr>
        <w:t> </w:t>
      </w:r>
      <w:r>
        <w:rPr/>
        <w:t>and sustainable</w:t>
      </w:r>
      <w:r>
        <w:rPr>
          <w:spacing w:val="40"/>
        </w:rPr>
        <w:t> </w:t>
      </w:r>
      <w:r>
        <w:rPr/>
        <w:t>relationship</w:t>
      </w:r>
      <w:r>
        <w:rPr>
          <w:spacing w:val="40"/>
        </w:rPr>
        <w:t> </w:t>
      </w:r>
      <w:r>
        <w:rPr/>
        <w:t>between</w:t>
      </w:r>
      <w:r>
        <w:rPr>
          <w:spacing w:val="40"/>
        </w:rPr>
        <w:t> </w:t>
      </w:r>
      <w:r>
        <w:rPr/>
        <w:t>humanity,</w:t>
      </w:r>
      <w:r>
        <w:rPr>
          <w:spacing w:val="40"/>
        </w:rPr>
        <w:t> </w:t>
      </w:r>
      <w:r>
        <w:rPr/>
        <w:t>gender,</w:t>
      </w:r>
      <w:r>
        <w:rPr>
          <w:spacing w:val="40"/>
        </w:rPr>
        <w:t> </w:t>
      </w:r>
      <w:r>
        <w:rPr/>
        <w:t>and</w:t>
      </w:r>
      <w:r>
        <w:rPr>
          <w:spacing w:val="40"/>
        </w:rPr>
        <w:t> </w:t>
      </w:r>
      <w:r>
        <w:rPr/>
        <w:t>nature.</w:t>
      </w:r>
    </w:p>
    <w:p>
      <w:pPr>
        <w:pStyle w:val="BodyText"/>
        <w:spacing w:line="249" w:lineRule="auto" w:before="67"/>
        <w:ind w:right="1440" w:firstLine="432"/>
        <w:jc w:val="both"/>
      </w:pPr>
      <w:r>
        <w:rPr/>
        <w:t>The</w:t>
      </w:r>
      <w:r>
        <w:rPr>
          <w:spacing w:val="-2"/>
        </w:rPr>
        <w:t> </w:t>
      </w:r>
      <w:r>
        <w:rPr/>
        <w:t>relationship</w:t>
      </w:r>
      <w:r>
        <w:rPr>
          <w:spacing w:val="-1"/>
        </w:rPr>
        <w:t> </w:t>
      </w:r>
      <w:r>
        <w:rPr/>
        <w:t>between</w:t>
      </w:r>
      <w:r>
        <w:rPr>
          <w:spacing w:val="-4"/>
        </w:rPr>
        <w:t> </w:t>
      </w:r>
      <w:r>
        <w:rPr/>
        <w:t>natural</w:t>
      </w:r>
      <w:r>
        <w:rPr>
          <w:spacing w:val="-1"/>
        </w:rPr>
        <w:t> </w:t>
      </w:r>
      <w:r>
        <w:rPr/>
        <w:t>disasters</w:t>
      </w:r>
      <w:r>
        <w:rPr>
          <w:spacing w:val="-4"/>
        </w:rPr>
        <w:t> </w:t>
      </w:r>
      <w:r>
        <w:rPr/>
        <w:t>and</w:t>
      </w:r>
      <w:r>
        <w:rPr>
          <w:spacing w:val="-1"/>
        </w:rPr>
        <w:t> </w:t>
      </w:r>
      <w:r>
        <w:rPr/>
        <w:t>ecofeminism</w:t>
      </w:r>
      <w:r>
        <w:rPr>
          <w:spacing w:val="-5"/>
        </w:rPr>
        <w:t> </w:t>
      </w:r>
      <w:r>
        <w:rPr/>
        <w:t>offers </w:t>
      </w:r>
      <w:r>
        <w:rPr>
          <w:spacing w:val="-4"/>
        </w:rPr>
        <w:t>a</w:t>
      </w:r>
      <w:r>
        <w:rPr>
          <w:spacing w:val="-3"/>
        </w:rPr>
        <w:t> </w:t>
      </w:r>
      <w:r>
        <w:rPr>
          <w:spacing w:val="-4"/>
        </w:rPr>
        <w:t>compelling framework</w:t>
      </w:r>
      <w:r>
        <w:rPr>
          <w:spacing w:val="-9"/>
        </w:rPr>
        <w:t> </w:t>
      </w:r>
      <w:r>
        <w:rPr>
          <w:spacing w:val="-4"/>
        </w:rPr>
        <w:t>to interpret literary</w:t>
      </w:r>
      <w:r>
        <w:rPr>
          <w:spacing w:val="-9"/>
        </w:rPr>
        <w:t> </w:t>
      </w:r>
      <w:r>
        <w:rPr>
          <w:spacing w:val="-4"/>
        </w:rPr>
        <w:t>texts</w:t>
      </w:r>
      <w:r>
        <w:rPr>
          <w:spacing w:val="-8"/>
        </w:rPr>
        <w:t> </w:t>
      </w:r>
      <w:r>
        <w:rPr>
          <w:spacing w:val="-4"/>
        </w:rPr>
        <w:t>across</w:t>
      </w:r>
      <w:r>
        <w:rPr>
          <w:spacing w:val="-5"/>
        </w:rPr>
        <w:t> </w:t>
      </w:r>
      <w:r>
        <w:rPr>
          <w:spacing w:val="-4"/>
        </w:rPr>
        <w:t>different historical </w:t>
      </w:r>
      <w:r>
        <w:rPr/>
        <w:t>periods. Ecofeminism, which links the domination of women with the exploitation</w:t>
      </w:r>
      <w:r>
        <w:rPr>
          <w:spacing w:val="-7"/>
        </w:rPr>
        <w:t> </w:t>
      </w:r>
      <w:r>
        <w:rPr/>
        <w:t>of</w:t>
      </w:r>
      <w:r>
        <w:rPr>
          <w:spacing w:val="-8"/>
        </w:rPr>
        <w:t> </w:t>
      </w:r>
      <w:r>
        <w:rPr/>
        <w:t>nature,</w:t>
      </w:r>
      <w:r>
        <w:rPr>
          <w:spacing w:val="-4"/>
        </w:rPr>
        <w:t> </w:t>
      </w:r>
      <w:r>
        <w:rPr/>
        <w:t>emphasizes</w:t>
      </w:r>
      <w:r>
        <w:rPr>
          <w:spacing w:val="-6"/>
        </w:rPr>
        <w:t> </w:t>
      </w:r>
      <w:r>
        <w:rPr/>
        <w:t>care,</w:t>
      </w:r>
      <w:r>
        <w:rPr>
          <w:spacing w:val="-5"/>
        </w:rPr>
        <w:t> </w:t>
      </w:r>
      <w:r>
        <w:rPr/>
        <w:t>interdependence,</w:t>
      </w:r>
      <w:r>
        <w:rPr>
          <w:spacing w:val="-6"/>
        </w:rPr>
        <w:t> </w:t>
      </w:r>
      <w:r>
        <w:rPr/>
        <w:t>and</w:t>
      </w:r>
      <w:r>
        <w:rPr>
          <w:spacing w:val="-3"/>
        </w:rPr>
        <w:t> </w:t>
      </w:r>
      <w:r>
        <w:rPr>
          <w:spacing w:val="-2"/>
        </w:rPr>
        <w:t>resistance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8672">
                <wp:simplePos x="0" y="0"/>
                <wp:positionH relativeFrom="page">
                  <wp:posOffset>2057400</wp:posOffset>
                </wp:positionH>
                <wp:positionV relativeFrom="paragraph">
                  <wp:posOffset>162604</wp:posOffset>
                </wp:positionV>
                <wp:extent cx="3657600" cy="12700"/>
                <wp:effectExtent l="0" t="0" r="0" b="0"/>
                <wp:wrapTopAndBottom/>
                <wp:docPr id="371" name="Graphic 371"/>
                <wp:cNvGraphicFramePr>
                  <a:graphicFrameLocks/>
                </wp:cNvGraphicFramePr>
                <a:graphic>
                  <a:graphicData uri="http://schemas.microsoft.com/office/word/2010/wordprocessingShape">
                    <wps:wsp>
                      <wps:cNvPr id="371" name="Graphic 37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07808;mso-wrap-distance-left:0;mso-wrap-distance-right:0" id="docshape367" filled="true" fillcolor="#000000" stroked="false">
                <v:fill type="solid"/>
                <w10:wrap type="topAndBottom"/>
              </v:rect>
            </w:pict>
          </mc:Fallback>
        </mc:AlternateContent>
      </w:r>
      <w:r>
        <w:rPr>
          <w:rFonts w:ascii="Verdana"/>
          <w:spacing w:val="-5"/>
          <w:sz w:val="18"/>
        </w:rPr>
        <w:t>146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spacing w:val="-4"/>
        </w:rPr>
        <w:t>to</w:t>
      </w:r>
      <w:r>
        <w:rPr>
          <w:spacing w:val="-9"/>
        </w:rPr>
        <w:t> </w:t>
      </w:r>
      <w:r>
        <w:rPr>
          <w:spacing w:val="-4"/>
        </w:rPr>
        <w:t>hierarchical</w:t>
      </w:r>
      <w:r>
        <w:rPr>
          <w:spacing w:val="-8"/>
        </w:rPr>
        <w:t> </w:t>
      </w:r>
      <w:r>
        <w:rPr>
          <w:spacing w:val="-4"/>
        </w:rPr>
        <w:t>systems.</w:t>
      </w:r>
      <w:r>
        <w:rPr>
          <w:spacing w:val="-9"/>
        </w:rPr>
        <w:t> </w:t>
      </w:r>
      <w:r>
        <w:rPr>
          <w:spacing w:val="-4"/>
        </w:rPr>
        <w:t>When</w:t>
      </w:r>
      <w:r>
        <w:rPr>
          <w:spacing w:val="-8"/>
        </w:rPr>
        <w:t> </w:t>
      </w:r>
      <w:r>
        <w:rPr>
          <w:spacing w:val="-4"/>
        </w:rPr>
        <w:t>applied</w:t>
      </w:r>
      <w:r>
        <w:rPr>
          <w:spacing w:val="-9"/>
        </w:rPr>
        <w:t> </w:t>
      </w:r>
      <w:r>
        <w:rPr>
          <w:spacing w:val="-4"/>
        </w:rPr>
        <w:t>to</w:t>
      </w:r>
      <w:r>
        <w:rPr>
          <w:spacing w:val="-8"/>
        </w:rPr>
        <w:t> </w:t>
      </w:r>
      <w:r>
        <w:rPr>
          <w:spacing w:val="-4"/>
        </w:rPr>
        <w:t>the</w:t>
      </w:r>
      <w:r>
        <w:rPr>
          <w:spacing w:val="-9"/>
        </w:rPr>
        <w:t> </w:t>
      </w:r>
      <w:r>
        <w:rPr>
          <w:spacing w:val="-4"/>
        </w:rPr>
        <w:t>works</w:t>
      </w:r>
      <w:r>
        <w:rPr>
          <w:spacing w:val="-8"/>
        </w:rPr>
        <w:t> </w:t>
      </w:r>
      <w:r>
        <w:rPr>
          <w:spacing w:val="-4"/>
        </w:rPr>
        <w:t>of</w:t>
      </w:r>
      <w:r>
        <w:rPr>
          <w:spacing w:val="-9"/>
        </w:rPr>
        <w:t> </w:t>
      </w:r>
      <w:r>
        <w:rPr>
          <w:spacing w:val="-4"/>
        </w:rPr>
        <w:t>William</w:t>
      </w:r>
      <w:r>
        <w:rPr>
          <w:spacing w:val="-8"/>
        </w:rPr>
        <w:t> </w:t>
      </w:r>
      <w:r>
        <w:rPr>
          <w:spacing w:val="-4"/>
        </w:rPr>
        <w:t>Shakespeare </w:t>
      </w:r>
      <w:r>
        <w:rPr/>
        <w:t>and</w:t>
      </w:r>
      <w:r>
        <w:rPr>
          <w:spacing w:val="-8"/>
        </w:rPr>
        <w:t> </w:t>
      </w:r>
      <w:r>
        <w:rPr/>
        <w:t>Amitav</w:t>
      </w:r>
      <w:r>
        <w:rPr>
          <w:spacing w:val="-1"/>
        </w:rPr>
        <w:t> </w:t>
      </w:r>
      <w:r>
        <w:rPr/>
        <w:t>Ghosh, this perspective reveals how</w:t>
      </w:r>
      <w:r>
        <w:rPr>
          <w:spacing w:val="-3"/>
        </w:rPr>
        <w:t> </w:t>
      </w:r>
      <w:r>
        <w:rPr/>
        <w:t>natural</w:t>
      </w:r>
      <w:r>
        <w:rPr>
          <w:spacing w:val="-1"/>
        </w:rPr>
        <w:t> </w:t>
      </w:r>
      <w:r>
        <w:rPr/>
        <w:t>disturbances—whether symbolic or real—intersect with gender dynamics and power structures. While Shakespeare employs natural disasters as metaphors for moral and social disorder, Ghosh presents them as material consequences of ecological imbalance, deeply affecting marginalized communities, especially women.</w:t>
      </w:r>
    </w:p>
    <w:p>
      <w:pPr>
        <w:pStyle w:val="BodyText"/>
        <w:spacing w:line="261" w:lineRule="auto" w:before="71"/>
        <w:ind w:right="1440" w:firstLine="432"/>
        <w:jc w:val="both"/>
      </w:pPr>
      <w:r>
        <w:rPr/>
        <w:t>A comparison of Ghosh and Shakespeare reveals both similarities and differences. Ghosh’s works directly address environmental issues </w:t>
      </w:r>
      <w:r>
        <w:rPr>
          <w:spacing w:val="-2"/>
        </w:rPr>
        <w:t>and</w:t>
      </w:r>
      <w:r>
        <w:rPr>
          <w:spacing w:val="-11"/>
        </w:rPr>
        <w:t> </w:t>
      </w:r>
      <w:r>
        <w:rPr>
          <w:spacing w:val="-2"/>
        </w:rPr>
        <w:t>give</w:t>
      </w:r>
      <w:r>
        <w:rPr>
          <w:spacing w:val="-10"/>
        </w:rPr>
        <w:t> </w:t>
      </w:r>
      <w:r>
        <w:rPr>
          <w:spacing w:val="-2"/>
        </w:rPr>
        <w:t>voice</w:t>
      </w:r>
      <w:r>
        <w:rPr>
          <w:spacing w:val="-11"/>
        </w:rPr>
        <w:t> </w:t>
      </w:r>
      <w:r>
        <w:rPr>
          <w:spacing w:val="-2"/>
        </w:rPr>
        <w:t>to</w:t>
      </w:r>
      <w:r>
        <w:rPr>
          <w:spacing w:val="-10"/>
        </w:rPr>
        <w:t> </w:t>
      </w:r>
      <w:r>
        <w:rPr>
          <w:spacing w:val="-2"/>
        </w:rPr>
        <w:t>marginalized</w:t>
      </w:r>
      <w:r>
        <w:rPr>
          <w:spacing w:val="-11"/>
        </w:rPr>
        <w:t> </w:t>
      </w:r>
      <w:r>
        <w:rPr>
          <w:spacing w:val="-2"/>
        </w:rPr>
        <w:t>women,</w:t>
      </w:r>
      <w:r>
        <w:rPr>
          <w:spacing w:val="-10"/>
        </w:rPr>
        <w:t> </w:t>
      </w:r>
      <w:r>
        <w:rPr>
          <w:spacing w:val="-2"/>
        </w:rPr>
        <w:t>making</w:t>
      </w:r>
      <w:r>
        <w:rPr>
          <w:spacing w:val="-11"/>
        </w:rPr>
        <w:t> </w:t>
      </w:r>
      <w:r>
        <w:rPr>
          <w:spacing w:val="-2"/>
        </w:rPr>
        <w:t>ecofeminist</w:t>
      </w:r>
      <w:r>
        <w:rPr>
          <w:spacing w:val="-10"/>
        </w:rPr>
        <w:t> </w:t>
      </w:r>
      <w:r>
        <w:rPr>
          <w:spacing w:val="-2"/>
        </w:rPr>
        <w:t>ethics</w:t>
      </w:r>
      <w:r>
        <w:rPr>
          <w:spacing w:val="-11"/>
        </w:rPr>
        <w:t> </w:t>
      </w:r>
      <w:r>
        <w:rPr>
          <w:spacing w:val="-2"/>
        </w:rPr>
        <w:t>explicit </w:t>
      </w:r>
      <w:r>
        <w:rPr>
          <w:spacing w:val="-4"/>
        </w:rPr>
        <w:t>and contemporary. In contrast, Shakespeare’s plays</w:t>
      </w:r>
      <w:r>
        <w:rPr>
          <w:spacing w:val="-5"/>
        </w:rPr>
        <w:t> </w:t>
      </w:r>
      <w:r>
        <w:rPr>
          <w:spacing w:val="-4"/>
        </w:rPr>
        <w:t>symbolically represent </w:t>
      </w:r>
      <w:r>
        <w:rPr/>
        <w:t>the</w:t>
      </w:r>
      <w:r>
        <w:rPr>
          <w:spacing w:val="-13"/>
        </w:rPr>
        <w:t> </w:t>
      </w:r>
      <w:r>
        <w:rPr/>
        <w:t>link</w:t>
      </w:r>
      <w:r>
        <w:rPr>
          <w:spacing w:val="-12"/>
        </w:rPr>
        <w:t> </w:t>
      </w:r>
      <w:r>
        <w:rPr/>
        <w:t>between</w:t>
      </w:r>
      <w:r>
        <w:rPr>
          <w:spacing w:val="-13"/>
        </w:rPr>
        <w:t> </w:t>
      </w:r>
      <w:r>
        <w:rPr/>
        <w:t>gender</w:t>
      </w:r>
      <w:r>
        <w:rPr>
          <w:spacing w:val="-11"/>
        </w:rPr>
        <w:t> </w:t>
      </w:r>
      <w:r>
        <w:rPr/>
        <w:t>and</w:t>
      </w:r>
      <w:r>
        <w:rPr>
          <w:spacing w:val="-10"/>
        </w:rPr>
        <w:t> </w:t>
      </w:r>
      <w:r>
        <w:rPr/>
        <w:t>nature,</w:t>
      </w:r>
      <w:r>
        <w:rPr>
          <w:spacing w:val="-13"/>
        </w:rPr>
        <w:t> </w:t>
      </w:r>
      <w:r>
        <w:rPr/>
        <w:t>reflecting</w:t>
      </w:r>
      <w:r>
        <w:rPr>
          <w:spacing w:val="-10"/>
        </w:rPr>
        <w:t> </w:t>
      </w:r>
      <w:r>
        <w:rPr/>
        <w:t>early</w:t>
      </w:r>
      <w:r>
        <w:rPr>
          <w:spacing w:val="-13"/>
        </w:rPr>
        <w:t> </w:t>
      </w:r>
      <w:r>
        <w:rPr/>
        <w:t>forms</w:t>
      </w:r>
      <w:r>
        <w:rPr>
          <w:spacing w:val="-10"/>
        </w:rPr>
        <w:t> </w:t>
      </w:r>
      <w:r>
        <w:rPr/>
        <w:t>of</w:t>
      </w:r>
      <w:r>
        <w:rPr>
          <w:spacing w:val="-13"/>
        </w:rPr>
        <w:t> </w:t>
      </w:r>
      <w:r>
        <w:rPr/>
        <w:t>ecofeminist </w:t>
      </w:r>
      <w:r>
        <w:rPr>
          <w:spacing w:val="-2"/>
        </w:rPr>
        <w:t>thought</w:t>
      </w:r>
      <w:r>
        <w:rPr>
          <w:spacing w:val="-6"/>
        </w:rPr>
        <w:t> </w:t>
      </w:r>
      <w:r>
        <w:rPr>
          <w:spacing w:val="-2"/>
        </w:rPr>
        <w:t>without</w:t>
      </w:r>
      <w:r>
        <w:rPr>
          <w:spacing w:val="-10"/>
        </w:rPr>
        <w:t> </w:t>
      </w:r>
      <w:r>
        <w:rPr>
          <w:spacing w:val="-2"/>
        </w:rPr>
        <w:t>directly</w:t>
      </w:r>
      <w:r>
        <w:rPr>
          <w:spacing w:val="-11"/>
        </w:rPr>
        <w:t> </w:t>
      </w:r>
      <w:r>
        <w:rPr>
          <w:spacing w:val="-2"/>
        </w:rPr>
        <w:t>articulating</w:t>
      </w:r>
      <w:r>
        <w:rPr>
          <w:spacing w:val="-7"/>
        </w:rPr>
        <w:t> </w:t>
      </w:r>
      <w:r>
        <w:rPr>
          <w:spacing w:val="-2"/>
        </w:rPr>
        <w:t>them.</w:t>
      </w:r>
      <w:r>
        <w:rPr>
          <w:spacing w:val="-5"/>
        </w:rPr>
        <w:t> </w:t>
      </w:r>
      <w:r>
        <w:rPr>
          <w:spacing w:val="-2"/>
        </w:rPr>
        <w:t>While</w:t>
      </w:r>
      <w:r>
        <w:rPr>
          <w:spacing w:val="-7"/>
        </w:rPr>
        <w:t> </w:t>
      </w:r>
      <w:r>
        <w:rPr>
          <w:spacing w:val="-2"/>
        </w:rPr>
        <w:t>Ghosh</w:t>
      </w:r>
      <w:r>
        <w:rPr>
          <w:spacing w:val="-7"/>
        </w:rPr>
        <w:t> </w:t>
      </w:r>
      <w:r>
        <w:rPr>
          <w:spacing w:val="-2"/>
        </w:rPr>
        <w:t>critiques</w:t>
      </w:r>
      <w:r>
        <w:rPr>
          <w:spacing w:val="-7"/>
        </w:rPr>
        <w:t> </w:t>
      </w:r>
      <w:r>
        <w:rPr>
          <w:spacing w:val="-2"/>
        </w:rPr>
        <w:t>modern </w:t>
      </w:r>
      <w:r>
        <w:rPr/>
        <w:t>systems like capitalism and colonialism, Shakespeare focuses more on moral</w:t>
      </w:r>
      <w:r>
        <w:rPr>
          <w:spacing w:val="40"/>
        </w:rPr>
        <w:t> </w:t>
      </w:r>
      <w:r>
        <w:rPr/>
        <w:t>and</w:t>
      </w:r>
      <w:r>
        <w:rPr>
          <w:spacing w:val="40"/>
        </w:rPr>
        <w:t> </w:t>
      </w:r>
      <w:r>
        <w:rPr/>
        <w:t>psychological</w:t>
      </w:r>
      <w:r>
        <w:rPr>
          <w:spacing w:val="40"/>
        </w:rPr>
        <w:t> </w:t>
      </w:r>
      <w:r>
        <w:rPr/>
        <w:t>consequences</w:t>
      </w:r>
      <w:r>
        <w:rPr>
          <w:spacing w:val="40"/>
        </w:rPr>
        <w:t> </w:t>
      </w:r>
      <w:r>
        <w:rPr/>
        <w:t>of</w:t>
      </w:r>
      <w:r>
        <w:rPr>
          <w:spacing w:val="40"/>
        </w:rPr>
        <w:t> </w:t>
      </w:r>
      <w:r>
        <w:rPr/>
        <w:t>power</w:t>
      </w:r>
      <w:r>
        <w:rPr>
          <w:spacing w:val="40"/>
        </w:rPr>
        <w:t> </w:t>
      </w:r>
      <w:r>
        <w:rPr/>
        <w:t>and</w:t>
      </w:r>
      <w:r>
        <w:rPr>
          <w:spacing w:val="40"/>
        </w:rPr>
        <w:t> </w:t>
      </w:r>
      <w:r>
        <w:rPr/>
        <w:t>domination.</w:t>
      </w:r>
    </w:p>
    <w:p>
      <w:pPr>
        <w:pStyle w:val="BodyText"/>
        <w:spacing w:line="261" w:lineRule="auto" w:before="53"/>
        <w:ind w:right="1436" w:firstLine="432"/>
        <w:jc w:val="both"/>
      </w:pPr>
      <w:r>
        <w:rPr/>
        <w:t>Both</w:t>
      </w:r>
      <w:r>
        <w:rPr>
          <w:spacing w:val="-8"/>
        </w:rPr>
        <w:t> </w:t>
      </w:r>
      <w:r>
        <w:rPr/>
        <w:t>Amitav Ghosh and William</w:t>
      </w:r>
      <w:r>
        <w:rPr>
          <w:spacing w:val="-2"/>
        </w:rPr>
        <w:t> </w:t>
      </w:r>
      <w:r>
        <w:rPr/>
        <w:t>Shakespeare, in their own ways, highlight the interconnectedness of human life, gender relations, and</w:t>
      </w:r>
      <w:r>
        <w:rPr>
          <w:spacing w:val="40"/>
        </w:rPr>
        <w:t> </w:t>
      </w:r>
      <w:r>
        <w:rPr/>
        <w:t>the natural world. Through ecofeminist ethics, their works reveal how the domination of women and nature leads to imbalance and suffering, while harmony and justice can be achieved through respect, care, and ethical responsibility. Thus, their writings remain relevant in understanding</w:t>
      </w:r>
      <w:r>
        <w:rPr>
          <w:spacing w:val="-3"/>
        </w:rPr>
        <w:t> </w:t>
      </w:r>
      <w:r>
        <w:rPr/>
        <w:t>the</w:t>
      </w:r>
      <w:r>
        <w:rPr>
          <w:spacing w:val="-7"/>
        </w:rPr>
        <w:t> </w:t>
      </w:r>
      <w:r>
        <w:rPr/>
        <w:t>need</w:t>
      </w:r>
      <w:r>
        <w:rPr>
          <w:spacing w:val="-3"/>
        </w:rPr>
        <w:t> </w:t>
      </w:r>
      <w:r>
        <w:rPr/>
        <w:t>for</w:t>
      </w:r>
      <w:r>
        <w:rPr>
          <w:spacing w:val="-3"/>
        </w:rPr>
        <w:t> </w:t>
      </w:r>
      <w:r>
        <w:rPr/>
        <w:t>ecological</w:t>
      </w:r>
      <w:r>
        <w:rPr>
          <w:spacing w:val="-4"/>
        </w:rPr>
        <w:t> </w:t>
      </w:r>
      <w:r>
        <w:rPr/>
        <w:t>sustainability</w:t>
      </w:r>
      <w:r>
        <w:rPr>
          <w:spacing w:val="-8"/>
        </w:rPr>
        <w:t> </w:t>
      </w:r>
      <w:r>
        <w:rPr/>
        <w:t>and</w:t>
      </w:r>
      <w:r>
        <w:rPr>
          <w:spacing w:val="-2"/>
        </w:rPr>
        <w:t> </w:t>
      </w:r>
      <w:r>
        <w:rPr/>
        <w:t>gender</w:t>
      </w:r>
      <w:r>
        <w:rPr>
          <w:spacing w:val="-3"/>
        </w:rPr>
        <w:t> </w:t>
      </w:r>
      <w:r>
        <w:rPr/>
        <w:t>equality in today’s</w:t>
      </w:r>
      <w:r>
        <w:rPr>
          <w:spacing w:val="40"/>
        </w:rPr>
        <w:t> </w:t>
      </w:r>
      <w:r>
        <w:rPr/>
        <w:t>world.</w:t>
      </w:r>
    </w:p>
    <w:p>
      <w:pPr>
        <w:pStyle w:val="BodyText"/>
        <w:spacing w:line="261" w:lineRule="auto" w:before="52"/>
        <w:ind w:right="1440" w:firstLine="432"/>
        <w:jc w:val="both"/>
      </w:pPr>
      <w:r>
        <w:rPr/>
        <w:t>The representation</w:t>
      </w:r>
      <w:r>
        <w:rPr>
          <w:spacing w:val="-2"/>
        </w:rPr>
        <w:t> </w:t>
      </w:r>
      <w:r>
        <w:rPr/>
        <w:t>of</w:t>
      </w:r>
      <w:r>
        <w:rPr>
          <w:spacing w:val="-2"/>
        </w:rPr>
        <w:t> </w:t>
      </w:r>
      <w:r>
        <w:rPr/>
        <w:t>women</w:t>
      </w:r>
      <w:r>
        <w:rPr>
          <w:spacing w:val="-2"/>
        </w:rPr>
        <w:t> </w:t>
      </w:r>
      <w:r>
        <w:rPr/>
        <w:t>in literature has</w:t>
      </w:r>
      <w:r>
        <w:rPr>
          <w:spacing w:val="-2"/>
        </w:rPr>
        <w:t> </w:t>
      </w:r>
      <w:r>
        <w:rPr/>
        <w:t>always reflected the cultural, social, and political conditions of a given time.</w:t>
      </w:r>
      <w:r>
        <w:rPr>
          <w:spacing w:val="-6"/>
        </w:rPr>
        <w:t> </w:t>
      </w:r>
      <w:r>
        <w:rPr/>
        <w:t>A</w:t>
      </w:r>
      <w:r>
        <w:rPr>
          <w:spacing w:val="-8"/>
        </w:rPr>
        <w:t> </w:t>
      </w:r>
      <w:r>
        <w:rPr/>
        <w:t>comparative study of the works of William Shakespeare and Amitav Ghosh reveals</w:t>
      </w:r>
      <w:r>
        <w:rPr>
          <w:spacing w:val="40"/>
        </w:rPr>
        <w:t> </w:t>
      </w:r>
      <w:r>
        <w:rPr/>
        <w:t>a fascinating evolution in the portrayal of women—from symbolic and often constrained roles in early modern drama to complex, self-aware, </w:t>
      </w:r>
      <w:r>
        <w:rPr>
          <w:spacing w:val="-2"/>
        </w:rPr>
        <w:t>and resistant</w:t>
      </w:r>
      <w:r>
        <w:rPr>
          <w:spacing w:val="-4"/>
        </w:rPr>
        <w:t> </w:t>
      </w:r>
      <w:r>
        <w:rPr>
          <w:spacing w:val="-2"/>
        </w:rPr>
        <w:t>figures</w:t>
      </w:r>
      <w:r>
        <w:rPr>
          <w:spacing w:val="-4"/>
        </w:rPr>
        <w:t> </w:t>
      </w:r>
      <w:r>
        <w:rPr>
          <w:spacing w:val="-2"/>
        </w:rPr>
        <w:t>in</w:t>
      </w:r>
      <w:r>
        <w:rPr>
          <w:spacing w:val="-4"/>
        </w:rPr>
        <w:t> </w:t>
      </w:r>
      <w:r>
        <w:rPr>
          <w:spacing w:val="-2"/>
        </w:rPr>
        <w:t>contemporary</w:t>
      </w:r>
      <w:r>
        <w:rPr>
          <w:spacing w:val="-6"/>
        </w:rPr>
        <w:t> </w:t>
      </w:r>
      <w:r>
        <w:rPr>
          <w:spacing w:val="-2"/>
        </w:rPr>
        <w:t>fiction.</w:t>
      </w:r>
      <w:r>
        <w:rPr>
          <w:spacing w:val="-6"/>
        </w:rPr>
        <w:t> </w:t>
      </w:r>
      <w:r>
        <w:rPr>
          <w:spacing w:val="-2"/>
        </w:rPr>
        <w:t>While Shakespeare’s</w:t>
      </w:r>
      <w:r>
        <w:rPr>
          <w:spacing w:val="-4"/>
        </w:rPr>
        <w:t> </w:t>
      </w:r>
      <w:r>
        <w:rPr>
          <w:spacing w:val="-2"/>
        </w:rPr>
        <w:t>works </w:t>
      </w:r>
      <w:r>
        <w:rPr/>
        <w:t>mirror</w:t>
      </w:r>
      <w:r>
        <w:rPr>
          <w:spacing w:val="-13"/>
        </w:rPr>
        <w:t> </w:t>
      </w:r>
      <w:r>
        <w:rPr/>
        <w:t>the</w:t>
      </w:r>
      <w:r>
        <w:rPr>
          <w:spacing w:val="-12"/>
        </w:rPr>
        <w:t> </w:t>
      </w:r>
      <w:r>
        <w:rPr/>
        <w:t>patriarchal</w:t>
      </w:r>
      <w:r>
        <w:rPr>
          <w:spacing w:val="-13"/>
        </w:rPr>
        <w:t> </w:t>
      </w:r>
      <w:r>
        <w:rPr/>
        <w:t>structures</w:t>
      </w:r>
      <w:r>
        <w:rPr>
          <w:spacing w:val="-12"/>
        </w:rPr>
        <w:t> </w:t>
      </w:r>
      <w:r>
        <w:rPr/>
        <w:t>of</w:t>
      </w:r>
      <w:r>
        <w:rPr>
          <w:spacing w:val="-13"/>
        </w:rPr>
        <w:t> </w:t>
      </w:r>
      <w:r>
        <w:rPr/>
        <w:t>the</w:t>
      </w:r>
      <w:r>
        <w:rPr>
          <w:spacing w:val="-12"/>
        </w:rPr>
        <w:t> </w:t>
      </w:r>
      <w:r>
        <w:rPr/>
        <w:t>Elizabethan</w:t>
      </w:r>
      <w:r>
        <w:rPr>
          <w:spacing w:val="-13"/>
        </w:rPr>
        <w:t> </w:t>
      </w:r>
      <w:r>
        <w:rPr/>
        <w:t>age,</w:t>
      </w:r>
      <w:r>
        <w:rPr>
          <w:spacing w:val="-12"/>
        </w:rPr>
        <w:t> </w:t>
      </w:r>
      <w:r>
        <w:rPr/>
        <w:t>Ghosh’s</w:t>
      </w:r>
      <w:r>
        <w:rPr>
          <w:spacing w:val="-13"/>
        </w:rPr>
        <w:t> </w:t>
      </w:r>
      <w:r>
        <w:rPr/>
        <w:t>writings engage with modern issues such as ecology, displacement, and globalization, giving women more agency and voice.</w:t>
      </w:r>
    </w:p>
    <w:p>
      <w:pPr>
        <w:pStyle w:val="Heading3"/>
        <w:spacing w:before="148"/>
        <w:jc w:val="both"/>
      </w:pPr>
      <w:r>
        <w:rPr>
          <w:w w:val="90"/>
        </w:rPr>
        <w:t>WORKS</w:t>
      </w:r>
      <w:r>
        <w:rPr>
          <w:spacing w:val="2"/>
        </w:rPr>
        <w:t> </w:t>
      </w:r>
      <w:r>
        <w:rPr>
          <w:spacing w:val="-2"/>
          <w:w w:val="95"/>
        </w:rPr>
        <w:t>CITED:</w:t>
      </w:r>
    </w:p>
    <w:p>
      <w:pPr>
        <w:pStyle w:val="ListParagraph"/>
        <w:numPr>
          <w:ilvl w:val="0"/>
          <w:numId w:val="28"/>
        </w:numPr>
        <w:tabs>
          <w:tab w:pos="2157" w:val="left" w:leader="none"/>
          <w:tab w:pos="2160" w:val="left" w:leader="none"/>
        </w:tabs>
        <w:spacing w:line="261" w:lineRule="auto" w:before="87" w:after="0"/>
        <w:ind w:left="2160" w:right="1439" w:hanging="315"/>
        <w:jc w:val="left"/>
        <w:rPr>
          <w:sz w:val="19"/>
        </w:rPr>
      </w:pPr>
      <w:r>
        <w:rPr>
          <w:sz w:val="19"/>
        </w:rPr>
        <w:t>Ghosh,</w:t>
      </w:r>
      <w:r>
        <w:rPr>
          <w:spacing w:val="35"/>
          <w:sz w:val="19"/>
        </w:rPr>
        <w:t> </w:t>
      </w:r>
      <w:r>
        <w:rPr>
          <w:sz w:val="19"/>
        </w:rPr>
        <w:t>Amitav.</w:t>
      </w:r>
      <w:r>
        <w:rPr>
          <w:spacing w:val="40"/>
          <w:sz w:val="19"/>
        </w:rPr>
        <w:t> </w:t>
      </w:r>
      <w:r>
        <w:rPr>
          <w:i/>
          <w:sz w:val="19"/>
        </w:rPr>
        <w:t>The</w:t>
      </w:r>
      <w:r>
        <w:rPr>
          <w:i/>
          <w:spacing w:val="40"/>
          <w:sz w:val="19"/>
        </w:rPr>
        <w:t> </w:t>
      </w:r>
      <w:r>
        <w:rPr>
          <w:i/>
          <w:sz w:val="19"/>
        </w:rPr>
        <w:t>Hungry</w:t>
      </w:r>
      <w:r>
        <w:rPr>
          <w:i/>
          <w:spacing w:val="40"/>
          <w:sz w:val="19"/>
        </w:rPr>
        <w:t> </w:t>
      </w:r>
      <w:r>
        <w:rPr>
          <w:i/>
          <w:sz w:val="19"/>
        </w:rPr>
        <w:t>Tide</w:t>
      </w:r>
      <w:r>
        <w:rPr>
          <w:sz w:val="19"/>
        </w:rPr>
        <w:t>.</w:t>
      </w:r>
      <w:r>
        <w:rPr>
          <w:spacing w:val="40"/>
          <w:sz w:val="19"/>
        </w:rPr>
        <w:t> </w:t>
      </w:r>
      <w:r>
        <w:rPr>
          <w:sz w:val="19"/>
        </w:rPr>
        <w:t>New</w:t>
      </w:r>
      <w:r>
        <w:rPr>
          <w:spacing w:val="40"/>
          <w:sz w:val="19"/>
        </w:rPr>
        <w:t> </w:t>
      </w:r>
      <w:r>
        <w:rPr>
          <w:sz w:val="19"/>
        </w:rPr>
        <w:t>Delhi:</w:t>
      </w:r>
      <w:r>
        <w:rPr>
          <w:spacing w:val="40"/>
          <w:sz w:val="19"/>
        </w:rPr>
        <w:t> </w:t>
      </w:r>
      <w:r>
        <w:rPr>
          <w:sz w:val="19"/>
        </w:rPr>
        <w:t>HarperCollins, </w:t>
      </w:r>
      <w:r>
        <w:rPr>
          <w:spacing w:val="-2"/>
          <w:sz w:val="19"/>
        </w:rPr>
        <w:t>2004.</w:t>
      </w:r>
    </w:p>
    <w:p>
      <w:pPr>
        <w:pStyle w:val="ListParagraph"/>
        <w:numPr>
          <w:ilvl w:val="0"/>
          <w:numId w:val="28"/>
        </w:numPr>
        <w:tabs>
          <w:tab w:pos="2157" w:val="left" w:leader="none"/>
          <w:tab w:pos="2160" w:val="left" w:leader="none"/>
        </w:tabs>
        <w:spacing w:line="264" w:lineRule="auto" w:before="57" w:after="0"/>
        <w:ind w:left="2160" w:right="1441" w:hanging="315"/>
        <w:jc w:val="left"/>
        <w:rPr>
          <w:sz w:val="19"/>
        </w:rPr>
      </w:pPr>
      <w:r>
        <w:rPr>
          <w:sz w:val="19"/>
        </w:rPr>
        <w:t>Ghosh,</w:t>
      </w:r>
      <w:r>
        <w:rPr>
          <w:spacing w:val="-8"/>
          <w:sz w:val="19"/>
        </w:rPr>
        <w:t> </w:t>
      </w:r>
      <w:r>
        <w:rPr>
          <w:sz w:val="19"/>
        </w:rPr>
        <w:t>Amitav. </w:t>
      </w:r>
      <w:r>
        <w:rPr>
          <w:i/>
          <w:sz w:val="19"/>
        </w:rPr>
        <w:t>Gun Island</w:t>
      </w:r>
      <w:r>
        <w:rPr>
          <w:sz w:val="19"/>
        </w:rPr>
        <w:t>. New Delhi: Penguin Random House India, 2019.</w:t>
      </w:r>
    </w:p>
    <w:p>
      <w:pPr>
        <w:pStyle w:val="ListParagraph"/>
        <w:spacing w:after="0" w:line="264" w:lineRule="auto"/>
        <w:jc w:val="left"/>
        <w:rPr>
          <w:sz w:val="19"/>
        </w:rPr>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09184">
                <wp:simplePos x="0" y="0"/>
                <wp:positionH relativeFrom="page">
                  <wp:posOffset>2065020</wp:posOffset>
                </wp:positionH>
                <wp:positionV relativeFrom="paragraph">
                  <wp:posOffset>795020</wp:posOffset>
                </wp:positionV>
                <wp:extent cx="3657600" cy="12700"/>
                <wp:effectExtent l="0" t="0" r="0" b="0"/>
                <wp:wrapTopAndBottom/>
                <wp:docPr id="372" name="Graphic 372"/>
                <wp:cNvGraphicFramePr>
                  <a:graphicFrameLocks/>
                </wp:cNvGraphicFramePr>
                <a:graphic>
                  <a:graphicData uri="http://schemas.microsoft.com/office/word/2010/wordprocessingShape">
                    <wps:wsp>
                      <wps:cNvPr id="372" name="Graphic 37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07296;mso-wrap-distance-left:0;mso-wrap-distance-right:0" id="docshape368" filled="true" fillcolor="#000000" stroked="false">
                <v:fill type="solid"/>
                <w10:wrap type="topAndBottom"/>
              </v:rect>
            </w:pict>
          </mc:Fallback>
        </mc:AlternateContent>
      </w:r>
      <w:r>
        <w:rPr>
          <w:rFonts w:ascii="Verdana"/>
          <w:spacing w:val="-2"/>
          <w:sz w:val="18"/>
        </w:rPr>
        <w:t>Eco-Feminist</w:t>
      </w:r>
      <w:r>
        <w:rPr>
          <w:rFonts w:ascii="Verdana"/>
          <w:spacing w:val="11"/>
          <w:sz w:val="18"/>
        </w:rPr>
        <w:t> </w:t>
      </w:r>
      <w:r>
        <w:rPr>
          <w:rFonts w:ascii="Verdana"/>
          <w:spacing w:val="-2"/>
          <w:sz w:val="18"/>
        </w:rPr>
        <w:t>Ethics</w:t>
      </w:r>
      <w:r>
        <w:rPr>
          <w:rFonts w:ascii="Verdana"/>
          <w:spacing w:val="11"/>
          <w:sz w:val="18"/>
        </w:rPr>
        <w:t> </w:t>
      </w:r>
      <w:r>
        <w:rPr>
          <w:rFonts w:ascii="Verdana"/>
          <w:spacing w:val="-2"/>
          <w:sz w:val="18"/>
        </w:rPr>
        <w:t>in</w:t>
      </w:r>
      <w:r>
        <w:rPr>
          <w:rFonts w:ascii="Verdana"/>
          <w:spacing w:val="13"/>
          <w:sz w:val="18"/>
        </w:rPr>
        <w:t> </w:t>
      </w:r>
      <w:r>
        <w:rPr>
          <w:rFonts w:ascii="Verdana"/>
          <w:spacing w:val="-2"/>
          <w:sz w:val="18"/>
        </w:rPr>
        <w:t>The</w:t>
      </w:r>
      <w:r>
        <w:rPr>
          <w:rFonts w:ascii="Verdana"/>
          <w:spacing w:val="12"/>
          <w:sz w:val="18"/>
        </w:rPr>
        <w:t> </w:t>
      </w:r>
      <w:r>
        <w:rPr>
          <w:rFonts w:ascii="Verdana"/>
          <w:spacing w:val="-2"/>
          <w:sz w:val="18"/>
        </w:rPr>
        <w:t>Selected</w:t>
      </w:r>
      <w:r>
        <w:rPr>
          <w:rFonts w:ascii="Verdana"/>
          <w:spacing w:val="12"/>
          <w:sz w:val="18"/>
        </w:rPr>
        <w:t> </w:t>
      </w:r>
      <w:r>
        <w:rPr>
          <w:rFonts w:ascii="Verdana"/>
          <w:spacing w:val="-2"/>
          <w:sz w:val="18"/>
        </w:rPr>
        <w:t>Works</w:t>
      </w:r>
      <w:r>
        <w:rPr>
          <w:rFonts w:ascii="Verdana"/>
          <w:spacing w:val="13"/>
          <w:sz w:val="18"/>
        </w:rPr>
        <w:t> </w:t>
      </w:r>
      <w:r>
        <w:rPr>
          <w:rFonts w:ascii="Verdana"/>
          <w:spacing w:val="-2"/>
          <w:sz w:val="18"/>
        </w:rPr>
        <w:t>of</w:t>
      </w:r>
      <w:r>
        <w:rPr>
          <w:rFonts w:ascii="Verdana"/>
          <w:spacing w:val="12"/>
          <w:sz w:val="18"/>
        </w:rPr>
        <w:t> </w:t>
      </w:r>
      <w:r>
        <w:rPr>
          <w:rFonts w:ascii="Verdana"/>
          <w:spacing w:val="-2"/>
          <w:sz w:val="18"/>
        </w:rPr>
        <w:t>William</w:t>
      </w:r>
      <w:r>
        <w:rPr>
          <w:sz w:val="18"/>
        </w:rPr>
        <w:tab/>
      </w:r>
      <w:r>
        <w:rPr>
          <w:rFonts w:ascii="Verdana"/>
          <w:spacing w:val="-5"/>
          <w:sz w:val="18"/>
        </w:rPr>
        <w:t>147</w:t>
      </w:r>
    </w:p>
    <w:p>
      <w:pPr>
        <w:pStyle w:val="ListParagraph"/>
        <w:numPr>
          <w:ilvl w:val="0"/>
          <w:numId w:val="28"/>
        </w:numPr>
        <w:tabs>
          <w:tab w:pos="2157" w:val="left" w:leader="none"/>
          <w:tab w:pos="2160" w:val="left" w:leader="none"/>
        </w:tabs>
        <w:spacing w:line="261" w:lineRule="auto" w:before="199" w:after="0"/>
        <w:ind w:left="2160" w:right="1434" w:hanging="315"/>
        <w:jc w:val="both"/>
        <w:rPr>
          <w:sz w:val="19"/>
        </w:rPr>
      </w:pPr>
      <w:r>
        <w:rPr>
          <w:sz w:val="19"/>
        </w:rPr>
        <w:t>Ghosh,</w:t>
      </w:r>
      <w:r>
        <w:rPr>
          <w:spacing w:val="36"/>
          <w:sz w:val="19"/>
        </w:rPr>
        <w:t> </w:t>
      </w:r>
      <w:r>
        <w:rPr>
          <w:sz w:val="19"/>
        </w:rPr>
        <w:t>Amitav.</w:t>
      </w:r>
      <w:r>
        <w:rPr>
          <w:spacing w:val="40"/>
          <w:sz w:val="19"/>
        </w:rPr>
        <w:t> </w:t>
      </w:r>
      <w:r>
        <w:rPr>
          <w:i/>
          <w:sz w:val="19"/>
        </w:rPr>
        <w:t>The</w:t>
      </w:r>
      <w:r>
        <w:rPr>
          <w:i/>
          <w:spacing w:val="40"/>
          <w:sz w:val="19"/>
        </w:rPr>
        <w:t> </w:t>
      </w:r>
      <w:r>
        <w:rPr>
          <w:i/>
          <w:sz w:val="19"/>
        </w:rPr>
        <w:t>Great</w:t>
      </w:r>
      <w:r>
        <w:rPr>
          <w:i/>
          <w:spacing w:val="40"/>
          <w:sz w:val="19"/>
        </w:rPr>
        <w:t> </w:t>
      </w:r>
      <w:r>
        <w:rPr>
          <w:i/>
          <w:sz w:val="19"/>
        </w:rPr>
        <w:t>Derangement</w:t>
      </w:r>
      <w:r>
        <w:rPr>
          <w:sz w:val="19"/>
        </w:rPr>
        <w:t>.</w:t>
      </w:r>
      <w:r>
        <w:rPr>
          <w:spacing w:val="40"/>
          <w:sz w:val="19"/>
        </w:rPr>
        <w:t> </w:t>
      </w:r>
      <w:r>
        <w:rPr>
          <w:sz w:val="19"/>
        </w:rPr>
        <w:t>Chicago:</w:t>
      </w:r>
      <w:r>
        <w:rPr>
          <w:spacing w:val="40"/>
          <w:sz w:val="19"/>
        </w:rPr>
        <w:t> </w:t>
      </w:r>
      <w:r>
        <w:rPr>
          <w:sz w:val="19"/>
        </w:rPr>
        <w:t>University of</w:t>
      </w:r>
      <w:r>
        <w:rPr>
          <w:spacing w:val="40"/>
          <w:sz w:val="19"/>
        </w:rPr>
        <w:t> </w:t>
      </w:r>
      <w:r>
        <w:rPr>
          <w:sz w:val="19"/>
        </w:rPr>
        <w:t>Chicago</w:t>
      </w:r>
      <w:r>
        <w:rPr>
          <w:spacing w:val="40"/>
          <w:sz w:val="19"/>
        </w:rPr>
        <w:t> </w:t>
      </w:r>
      <w:r>
        <w:rPr>
          <w:sz w:val="19"/>
        </w:rPr>
        <w:t>Press,</w:t>
      </w:r>
      <w:r>
        <w:rPr>
          <w:spacing w:val="40"/>
          <w:sz w:val="19"/>
        </w:rPr>
        <w:t> </w:t>
      </w:r>
      <w:r>
        <w:rPr>
          <w:sz w:val="19"/>
        </w:rPr>
        <w:t>2016.</w:t>
      </w:r>
    </w:p>
    <w:p>
      <w:pPr>
        <w:pStyle w:val="ListParagraph"/>
        <w:numPr>
          <w:ilvl w:val="0"/>
          <w:numId w:val="28"/>
        </w:numPr>
        <w:tabs>
          <w:tab w:pos="2157" w:val="left" w:leader="none"/>
          <w:tab w:pos="2160" w:val="left" w:leader="none"/>
        </w:tabs>
        <w:spacing w:line="264" w:lineRule="auto" w:before="57" w:after="0"/>
        <w:ind w:left="2160" w:right="1438" w:hanging="315"/>
        <w:jc w:val="both"/>
        <w:rPr>
          <w:sz w:val="19"/>
        </w:rPr>
      </w:pPr>
      <w:r>
        <w:rPr>
          <w:sz w:val="19"/>
        </w:rPr>
        <w:t>Shakespeare, William. </w:t>
      </w:r>
      <w:r>
        <w:rPr>
          <w:i/>
          <w:sz w:val="19"/>
        </w:rPr>
        <w:t>King Lear</w:t>
      </w:r>
      <w:r>
        <w:rPr>
          <w:sz w:val="19"/>
        </w:rPr>
        <w:t>. Edited by various editors. London:</w:t>
      </w:r>
      <w:r>
        <w:rPr>
          <w:spacing w:val="40"/>
          <w:sz w:val="19"/>
        </w:rPr>
        <w:t> </w:t>
      </w:r>
      <w:r>
        <w:rPr>
          <w:sz w:val="19"/>
        </w:rPr>
        <w:t>Arden</w:t>
      </w:r>
      <w:r>
        <w:rPr>
          <w:spacing w:val="40"/>
          <w:sz w:val="19"/>
        </w:rPr>
        <w:t> </w:t>
      </w:r>
      <w:r>
        <w:rPr>
          <w:sz w:val="19"/>
        </w:rPr>
        <w:t>Shakespeare.</w:t>
      </w:r>
    </w:p>
    <w:p>
      <w:pPr>
        <w:pStyle w:val="ListParagraph"/>
        <w:numPr>
          <w:ilvl w:val="0"/>
          <w:numId w:val="28"/>
        </w:numPr>
        <w:tabs>
          <w:tab w:pos="2157" w:val="left" w:leader="none"/>
          <w:tab w:pos="2160" w:val="left" w:leader="none"/>
        </w:tabs>
        <w:spacing w:line="261" w:lineRule="auto" w:before="54" w:after="0"/>
        <w:ind w:left="2160" w:right="1439" w:hanging="315"/>
        <w:jc w:val="both"/>
        <w:rPr>
          <w:sz w:val="19"/>
        </w:rPr>
      </w:pPr>
      <w:r>
        <w:rPr>
          <w:sz w:val="19"/>
        </w:rPr>
        <w:t>Shakespeare, William. </w:t>
      </w:r>
      <w:r>
        <w:rPr>
          <w:i/>
          <w:sz w:val="19"/>
        </w:rPr>
        <w:t>Macbeth</w:t>
      </w:r>
      <w:r>
        <w:rPr>
          <w:sz w:val="19"/>
        </w:rPr>
        <w:t>. Edited by various editors. London:</w:t>
      </w:r>
      <w:r>
        <w:rPr>
          <w:spacing w:val="40"/>
          <w:sz w:val="19"/>
        </w:rPr>
        <w:t> </w:t>
      </w:r>
      <w:r>
        <w:rPr>
          <w:sz w:val="19"/>
        </w:rPr>
        <w:t>Arden</w:t>
      </w:r>
      <w:r>
        <w:rPr>
          <w:spacing w:val="40"/>
          <w:sz w:val="19"/>
        </w:rPr>
        <w:t> </w:t>
      </w:r>
      <w:r>
        <w:rPr>
          <w:sz w:val="19"/>
        </w:rPr>
        <w:t>Shakespeare.</w:t>
      </w:r>
    </w:p>
    <w:p>
      <w:pPr>
        <w:pStyle w:val="ListParagraph"/>
        <w:numPr>
          <w:ilvl w:val="0"/>
          <w:numId w:val="28"/>
        </w:numPr>
        <w:tabs>
          <w:tab w:pos="2157" w:val="left" w:leader="none"/>
          <w:tab w:pos="2160" w:val="left" w:leader="none"/>
        </w:tabs>
        <w:spacing w:line="264" w:lineRule="auto" w:before="57" w:after="0"/>
        <w:ind w:left="2160" w:right="1432" w:hanging="315"/>
        <w:jc w:val="both"/>
        <w:rPr>
          <w:sz w:val="19"/>
        </w:rPr>
      </w:pPr>
      <w:r>
        <w:rPr>
          <w:sz w:val="19"/>
        </w:rPr>
        <w:t>Shakespeare, William. </w:t>
      </w:r>
      <w:r>
        <w:rPr>
          <w:i/>
          <w:sz w:val="19"/>
        </w:rPr>
        <w:t>A Midsummer Night’s Dream</w:t>
      </w:r>
      <w:r>
        <w:rPr>
          <w:sz w:val="19"/>
        </w:rPr>
        <w:t>. Edited by various</w:t>
      </w:r>
      <w:r>
        <w:rPr>
          <w:spacing w:val="40"/>
          <w:sz w:val="19"/>
        </w:rPr>
        <w:t> </w:t>
      </w:r>
      <w:r>
        <w:rPr>
          <w:sz w:val="19"/>
        </w:rPr>
        <w:t>editors.</w:t>
      </w:r>
      <w:r>
        <w:rPr>
          <w:spacing w:val="40"/>
          <w:sz w:val="19"/>
        </w:rPr>
        <w:t> </w:t>
      </w:r>
      <w:r>
        <w:rPr>
          <w:sz w:val="19"/>
        </w:rPr>
        <w:t>London:</w:t>
      </w:r>
      <w:r>
        <w:rPr>
          <w:spacing w:val="40"/>
          <w:sz w:val="19"/>
        </w:rPr>
        <w:t> </w:t>
      </w:r>
      <w:r>
        <w:rPr>
          <w:sz w:val="19"/>
        </w:rPr>
        <w:t>Arden</w:t>
      </w:r>
      <w:r>
        <w:rPr>
          <w:spacing w:val="40"/>
          <w:sz w:val="19"/>
        </w:rPr>
        <w:t> </w:t>
      </w:r>
      <w:r>
        <w:rPr>
          <w:sz w:val="19"/>
        </w:rPr>
        <w:t>Shakespeare.</w:t>
      </w:r>
    </w:p>
    <w:p>
      <w:pPr>
        <w:pStyle w:val="ListParagraph"/>
        <w:numPr>
          <w:ilvl w:val="0"/>
          <w:numId w:val="28"/>
        </w:numPr>
        <w:tabs>
          <w:tab w:pos="2157" w:val="left" w:leader="none"/>
          <w:tab w:pos="2160" w:val="left" w:leader="none"/>
        </w:tabs>
        <w:spacing w:line="261" w:lineRule="auto" w:before="54" w:after="0"/>
        <w:ind w:left="2160" w:right="1440" w:hanging="315"/>
        <w:jc w:val="both"/>
        <w:rPr>
          <w:sz w:val="19"/>
        </w:rPr>
      </w:pPr>
      <w:r>
        <w:rPr>
          <w:sz w:val="19"/>
        </w:rPr>
        <w:t>Shakespeare, William. </w:t>
      </w:r>
      <w:r>
        <w:rPr>
          <w:i/>
          <w:sz w:val="19"/>
        </w:rPr>
        <w:t>The Tempest</w:t>
      </w:r>
      <w:r>
        <w:rPr>
          <w:sz w:val="19"/>
        </w:rPr>
        <w:t>. Edited by various editors. London:</w:t>
      </w:r>
      <w:r>
        <w:rPr>
          <w:spacing w:val="40"/>
          <w:sz w:val="19"/>
        </w:rPr>
        <w:t> </w:t>
      </w:r>
      <w:r>
        <w:rPr>
          <w:sz w:val="19"/>
        </w:rPr>
        <w:t>Arden</w:t>
      </w:r>
      <w:r>
        <w:rPr>
          <w:spacing w:val="40"/>
          <w:sz w:val="19"/>
        </w:rPr>
        <w:t> </w:t>
      </w:r>
      <w:r>
        <w:rPr>
          <w:sz w:val="19"/>
        </w:rPr>
        <w:t>Shakespeare.</w:t>
      </w:r>
    </w:p>
    <w:p>
      <w:pPr>
        <w:pStyle w:val="ListParagraph"/>
        <w:numPr>
          <w:ilvl w:val="0"/>
          <w:numId w:val="28"/>
        </w:numPr>
        <w:tabs>
          <w:tab w:pos="2157" w:val="left" w:leader="none"/>
          <w:tab w:pos="2160" w:val="left" w:leader="none"/>
        </w:tabs>
        <w:spacing w:line="261" w:lineRule="auto" w:before="57" w:after="0"/>
        <w:ind w:left="2160" w:right="1439" w:hanging="315"/>
        <w:jc w:val="both"/>
        <w:rPr>
          <w:sz w:val="19"/>
        </w:rPr>
      </w:pPr>
      <w:r>
        <w:rPr>
          <w:sz w:val="19"/>
        </w:rPr>
        <w:t>Warren, Karen J. </w:t>
      </w:r>
      <w:r>
        <w:rPr>
          <w:i/>
          <w:spacing w:val="10"/>
          <w:sz w:val="19"/>
        </w:rPr>
        <w:t>Ecofeminist</w:t>
      </w:r>
      <w:r>
        <w:rPr>
          <w:i/>
          <w:spacing w:val="10"/>
          <w:sz w:val="19"/>
        </w:rPr>
        <w:t> </w:t>
      </w:r>
      <w:r>
        <w:rPr>
          <w:i/>
          <w:spacing w:val="11"/>
          <w:sz w:val="19"/>
        </w:rPr>
        <w:t>Philosophy: </w:t>
      </w:r>
      <w:r>
        <w:rPr>
          <w:i/>
          <w:sz w:val="19"/>
        </w:rPr>
        <w:t>A Western Perspective on What It Is and Why It Matters</w:t>
      </w:r>
      <w:r>
        <w:rPr>
          <w:sz w:val="19"/>
        </w:rPr>
        <w:t>. Lanham: Rowman &amp; Littlefield, 2000.</w:t>
      </w:r>
    </w:p>
    <w:p>
      <w:pPr>
        <w:pStyle w:val="ListParagraph"/>
        <w:numPr>
          <w:ilvl w:val="0"/>
          <w:numId w:val="28"/>
        </w:numPr>
        <w:tabs>
          <w:tab w:pos="2157" w:val="left" w:leader="none"/>
          <w:tab w:pos="2160" w:val="left" w:leader="none"/>
        </w:tabs>
        <w:spacing w:line="261" w:lineRule="auto" w:before="58" w:after="0"/>
        <w:ind w:left="2160" w:right="1439" w:hanging="315"/>
        <w:jc w:val="both"/>
        <w:rPr>
          <w:sz w:val="19"/>
        </w:rPr>
      </w:pPr>
      <w:r>
        <w:rPr>
          <w:spacing w:val="9"/>
          <w:sz w:val="19"/>
        </w:rPr>
        <w:t>Shiva,</w:t>
      </w:r>
      <w:r>
        <w:rPr>
          <w:spacing w:val="9"/>
          <w:sz w:val="19"/>
        </w:rPr>
        <w:t> </w:t>
      </w:r>
      <w:r>
        <w:rPr>
          <w:sz w:val="19"/>
        </w:rPr>
        <w:t>Vandana. </w:t>
      </w:r>
      <w:r>
        <w:rPr>
          <w:i/>
          <w:spacing w:val="9"/>
          <w:sz w:val="19"/>
        </w:rPr>
        <w:t>Staying</w:t>
      </w:r>
      <w:r>
        <w:rPr>
          <w:i/>
          <w:spacing w:val="9"/>
          <w:sz w:val="19"/>
        </w:rPr>
        <w:t> Alive:</w:t>
      </w:r>
      <w:r>
        <w:rPr>
          <w:i/>
          <w:spacing w:val="9"/>
          <w:sz w:val="19"/>
        </w:rPr>
        <w:t> </w:t>
      </w:r>
      <w:r>
        <w:rPr>
          <w:i/>
          <w:sz w:val="19"/>
        </w:rPr>
        <w:t>Women, </w:t>
      </w:r>
      <w:r>
        <w:rPr>
          <w:i/>
          <w:spacing w:val="10"/>
          <w:sz w:val="19"/>
        </w:rPr>
        <w:t>Ecology</w:t>
      </w:r>
      <w:r>
        <w:rPr>
          <w:i/>
          <w:spacing w:val="10"/>
          <w:sz w:val="19"/>
        </w:rPr>
        <w:t> </w:t>
      </w:r>
      <w:r>
        <w:rPr>
          <w:i/>
          <w:sz w:val="19"/>
        </w:rPr>
        <w:t>and Development</w:t>
      </w:r>
      <w:r>
        <w:rPr>
          <w:sz w:val="19"/>
        </w:rPr>
        <w:t>.</w:t>
      </w:r>
      <w:r>
        <w:rPr>
          <w:spacing w:val="40"/>
          <w:sz w:val="19"/>
        </w:rPr>
        <w:t> </w:t>
      </w:r>
      <w:r>
        <w:rPr>
          <w:sz w:val="19"/>
        </w:rPr>
        <w:t>New</w:t>
      </w:r>
      <w:r>
        <w:rPr>
          <w:spacing w:val="40"/>
          <w:sz w:val="19"/>
        </w:rPr>
        <w:t> </w:t>
      </w:r>
      <w:r>
        <w:rPr>
          <w:sz w:val="19"/>
        </w:rPr>
        <w:t>Delhi:</w:t>
      </w:r>
      <w:r>
        <w:rPr>
          <w:spacing w:val="40"/>
          <w:sz w:val="19"/>
        </w:rPr>
        <w:t> </w:t>
      </w:r>
      <w:r>
        <w:rPr>
          <w:sz w:val="19"/>
        </w:rPr>
        <w:t>Kali</w:t>
      </w:r>
      <w:r>
        <w:rPr>
          <w:spacing w:val="40"/>
          <w:sz w:val="19"/>
        </w:rPr>
        <w:t> </w:t>
      </w:r>
      <w:r>
        <w:rPr>
          <w:sz w:val="19"/>
        </w:rPr>
        <w:t>for</w:t>
      </w:r>
      <w:r>
        <w:rPr>
          <w:spacing w:val="40"/>
          <w:sz w:val="19"/>
        </w:rPr>
        <w:t> </w:t>
      </w:r>
      <w:r>
        <w:rPr>
          <w:sz w:val="19"/>
        </w:rPr>
        <w:t>Women,</w:t>
      </w:r>
      <w:r>
        <w:rPr>
          <w:spacing w:val="40"/>
          <w:sz w:val="19"/>
        </w:rPr>
        <w:t> </w:t>
      </w:r>
      <w:r>
        <w:rPr>
          <w:sz w:val="19"/>
        </w:rPr>
        <w:t>1988.</w:t>
      </w:r>
    </w:p>
    <w:p>
      <w:pPr>
        <w:pStyle w:val="ListParagraph"/>
        <w:numPr>
          <w:ilvl w:val="0"/>
          <w:numId w:val="28"/>
        </w:numPr>
        <w:tabs>
          <w:tab w:pos="2157" w:val="left" w:leader="none"/>
          <w:tab w:pos="2160" w:val="left" w:leader="none"/>
        </w:tabs>
        <w:spacing w:line="261" w:lineRule="auto" w:before="59" w:after="0"/>
        <w:ind w:left="2160" w:right="1439" w:hanging="406"/>
        <w:jc w:val="both"/>
        <w:rPr>
          <w:sz w:val="19"/>
        </w:rPr>
      </w:pPr>
      <w:r>
        <w:rPr>
          <w:sz w:val="19"/>
        </w:rPr>
        <w:t>Gilligan, Carol. </w:t>
      </w:r>
      <w:r>
        <w:rPr>
          <w:i/>
          <w:sz w:val="19"/>
        </w:rPr>
        <w:t>In a Different Voice: Psychological Theory and Women’s Development</w:t>
      </w:r>
      <w:r>
        <w:rPr>
          <w:sz w:val="19"/>
        </w:rPr>
        <w:t>. Cambridge: Harvard University Press, </w:t>
      </w:r>
      <w:r>
        <w:rPr>
          <w:spacing w:val="-2"/>
          <w:sz w:val="19"/>
        </w:rPr>
        <w:t>1982.</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74368">
                <wp:simplePos x="0" y="0"/>
                <wp:positionH relativeFrom="page">
                  <wp:posOffset>2057400</wp:posOffset>
                </wp:positionH>
                <wp:positionV relativeFrom="page">
                  <wp:posOffset>1788723</wp:posOffset>
                </wp:positionV>
                <wp:extent cx="3656965" cy="140335"/>
                <wp:effectExtent l="0" t="0" r="0" b="0"/>
                <wp:wrapNone/>
                <wp:docPr id="373" name="Textbox 373"/>
                <wp:cNvGraphicFramePr>
                  <a:graphicFrameLocks/>
                </wp:cNvGraphicFramePr>
                <a:graphic>
                  <a:graphicData uri="http://schemas.microsoft.com/office/word/2010/wordprocessingShape">
                    <wps:wsp>
                      <wps:cNvPr id="373" name="Textbox 373"/>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148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442112" type="#_x0000_t202" id="docshape369"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148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spacing w:before="228"/>
        <w:ind w:left="0"/>
      </w:pPr>
    </w:p>
    <w:p>
      <w:pPr>
        <w:spacing w:line="240" w:lineRule="auto"/>
        <w:ind w:left="1080" w:right="0" w:firstLine="0"/>
        <w:rPr>
          <w:sz w:val="20"/>
        </w:rPr>
      </w:pPr>
      <w:r>
        <w:rPr>
          <w:sz w:val="20"/>
        </w:rPr>
        <mc:AlternateContent>
          <mc:Choice Requires="wps">
            <w:drawing>
              <wp:inline distT="0" distB="0" distL="0" distR="0">
                <wp:extent cx="4043679" cy="701040"/>
                <wp:effectExtent l="0" t="0" r="0" b="0"/>
                <wp:docPr id="374" name="Group 374"/>
                <wp:cNvGraphicFramePr>
                  <a:graphicFrameLocks/>
                </wp:cNvGraphicFramePr>
                <a:graphic>
                  <a:graphicData uri="http://schemas.microsoft.com/office/word/2010/wordprocessingGroup">
                    <wpg:wgp>
                      <wpg:cNvPr id="374" name="Group 374"/>
                      <wpg:cNvGrpSpPr/>
                      <wpg:grpSpPr>
                        <a:xfrm>
                          <a:off x="0" y="0"/>
                          <a:ext cx="4043679" cy="701040"/>
                          <a:chExt cx="4043679" cy="701040"/>
                        </a:xfrm>
                      </wpg:grpSpPr>
                      <wps:wsp>
                        <wps:cNvPr id="375" name="Graphic 375"/>
                        <wps:cNvSpPr/>
                        <wps:spPr>
                          <a:xfrm>
                            <a:off x="0" y="0"/>
                            <a:ext cx="4043679" cy="701040"/>
                          </a:xfrm>
                          <a:custGeom>
                            <a:avLst/>
                            <a:gdLst/>
                            <a:ahLst/>
                            <a:cxnLst/>
                            <a:rect l="l" t="t" r="r" b="b"/>
                            <a:pathLst>
                              <a:path w="4043679" h="701040">
                                <a:moveTo>
                                  <a:pt x="4043171" y="701040"/>
                                </a:moveTo>
                                <a:lnTo>
                                  <a:pt x="0" y="701040"/>
                                </a:lnTo>
                                <a:lnTo>
                                  <a:pt x="0" y="0"/>
                                </a:lnTo>
                                <a:lnTo>
                                  <a:pt x="4043171" y="0"/>
                                </a:lnTo>
                                <a:lnTo>
                                  <a:pt x="4043171" y="70104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2pt;mso-position-horizontal-relative:char;mso-position-vertical-relative:line" id="docshapegroup370" coordorigin="0,0" coordsize="6368,1104">
                <v:rect style="position:absolute;left:0;top:0;width:6368;height:1104" id="docshape371" filled="true" fillcolor="#ffffff" stroked="false">
                  <v:fill type="solid"/>
                </v:rect>
              </v:group>
            </w:pict>
          </mc:Fallback>
        </mc:AlternateContent>
      </w:r>
      <w:r>
        <w:rPr>
          <w:sz w:val="20"/>
        </w:rPr>
      </w:r>
    </w:p>
    <w:p>
      <w:pPr>
        <w:pStyle w:val="BodyText"/>
        <w:spacing w:before="178"/>
        <w:ind w:left="0"/>
      </w:pPr>
      <w:r>
        <w:rPr/>
        <mc:AlternateContent>
          <mc:Choice Requires="wps">
            <w:drawing>
              <wp:anchor distT="0" distB="0" distL="0" distR="0" allowOverlap="1" layoutInCell="1" locked="0" behindDoc="1" simplePos="0" relativeHeight="487710208">
                <wp:simplePos x="0" y="0"/>
                <wp:positionH relativeFrom="page">
                  <wp:posOffset>3497579</wp:posOffset>
                </wp:positionH>
                <wp:positionV relativeFrom="paragraph">
                  <wp:posOffset>274447</wp:posOffset>
                </wp:positionV>
                <wp:extent cx="728980" cy="654050"/>
                <wp:effectExtent l="0" t="0" r="0" b="0"/>
                <wp:wrapTopAndBottom/>
                <wp:docPr id="376" name="Group 376"/>
                <wp:cNvGraphicFramePr>
                  <a:graphicFrameLocks/>
                </wp:cNvGraphicFramePr>
                <a:graphic>
                  <a:graphicData uri="http://schemas.microsoft.com/office/word/2010/wordprocessingGroup">
                    <wpg:wgp>
                      <wpg:cNvPr id="376" name="Group 376"/>
                      <wpg:cNvGrpSpPr/>
                      <wpg:grpSpPr>
                        <a:xfrm>
                          <a:off x="0" y="0"/>
                          <a:ext cx="728980" cy="654050"/>
                          <a:chExt cx="728980" cy="654050"/>
                        </a:xfrm>
                      </wpg:grpSpPr>
                      <pic:pic>
                        <pic:nvPicPr>
                          <pic:cNvPr id="377" name="Image 377"/>
                          <pic:cNvPicPr/>
                        </pic:nvPicPr>
                        <pic:blipFill>
                          <a:blip r:embed="rId90" cstate="print"/>
                          <a:stretch>
                            <a:fillRect/>
                          </a:stretch>
                        </pic:blipFill>
                        <pic:spPr>
                          <a:xfrm>
                            <a:off x="0" y="0"/>
                            <a:ext cx="728472" cy="653795"/>
                          </a:xfrm>
                          <a:prstGeom prst="rect">
                            <a:avLst/>
                          </a:prstGeom>
                        </pic:spPr>
                      </pic:pic>
                      <wps:wsp>
                        <wps:cNvPr id="378" name="Textbox 378"/>
                        <wps:cNvSpPr txBox="1"/>
                        <wps:spPr>
                          <a:xfrm>
                            <a:off x="0" y="0"/>
                            <a:ext cx="728980" cy="654050"/>
                          </a:xfrm>
                          <a:prstGeom prst="rect">
                            <a:avLst/>
                          </a:prstGeom>
                        </wps:spPr>
                        <wps:txbx>
                          <w:txbxContent>
                            <w:p>
                              <w:pPr>
                                <w:spacing w:before="408"/>
                                <w:ind w:left="417" w:right="0" w:firstLine="0"/>
                                <w:jc w:val="left"/>
                                <w:rPr>
                                  <w:rFonts w:ascii="Tahoma"/>
                                  <w:b/>
                                  <w:sz w:val="36"/>
                                </w:rPr>
                              </w:pPr>
                              <w:r>
                                <w:rPr>
                                  <w:rFonts w:ascii="Tahoma"/>
                                  <w:b/>
                                  <w:spacing w:val="-5"/>
                                  <w:w w:val="95"/>
                                  <w:sz w:val="36"/>
                                </w:rPr>
                                <w:t>15</w:t>
                              </w:r>
                            </w:p>
                          </w:txbxContent>
                        </wps:txbx>
                        <wps:bodyPr wrap="square" lIns="0" tIns="0" rIns="0" bIns="0" rtlCol="0">
                          <a:noAutofit/>
                        </wps:bodyPr>
                      </wps:wsp>
                    </wpg:wgp>
                  </a:graphicData>
                </a:graphic>
              </wp:anchor>
            </w:drawing>
          </mc:Choice>
          <mc:Fallback>
            <w:pict>
              <v:group style="position:absolute;margin-left:275.399994pt;margin-top:21.610006pt;width:57.4pt;height:51.5pt;mso-position-horizontal-relative:page;mso-position-vertical-relative:paragraph;z-index:-15606272;mso-wrap-distance-left:0;mso-wrap-distance-right:0" id="docshapegroup372" coordorigin="5508,432" coordsize="1148,1030">
                <v:shape style="position:absolute;left:5508;top:432;width:1148;height:1030" type="#_x0000_t75" id="docshape373" stroked="false">
                  <v:imagedata r:id="rId90" o:title=""/>
                </v:shape>
                <v:shape style="position:absolute;left:5508;top:432;width:1148;height:1030" type="#_x0000_t202" id="docshape374" filled="false" stroked="false">
                  <v:textbox inset="0,0,0,0">
                    <w:txbxContent>
                      <w:p>
                        <w:pPr>
                          <w:spacing w:before="408"/>
                          <w:ind w:left="417" w:right="0" w:firstLine="0"/>
                          <w:jc w:val="left"/>
                          <w:rPr>
                            <w:rFonts w:ascii="Tahoma"/>
                            <w:b/>
                            <w:sz w:val="36"/>
                          </w:rPr>
                        </w:pPr>
                        <w:r>
                          <w:rPr>
                            <w:rFonts w:ascii="Tahoma"/>
                            <w:b/>
                            <w:spacing w:val="-5"/>
                            <w:w w:val="95"/>
                            <w:sz w:val="36"/>
                          </w:rPr>
                          <w:t>15</w:t>
                        </w:r>
                      </w:p>
                    </w:txbxContent>
                  </v:textbox>
                  <w10:wrap type="none"/>
                </v:shape>
                <w10:wrap type="topAndBottom"/>
              </v:group>
            </w:pict>
          </mc:Fallback>
        </mc:AlternateContent>
      </w:r>
    </w:p>
    <w:p>
      <w:pPr>
        <w:pStyle w:val="Heading1"/>
        <w:spacing w:line="211" w:lineRule="auto" w:before="64"/>
        <w:ind w:left="1479" w:right="1482"/>
      </w:pPr>
      <w:r>
        <w:rPr>
          <w:spacing w:val="-4"/>
        </w:rPr>
        <w:t>Voices</w:t>
      </w:r>
      <w:r>
        <w:rPr>
          <w:spacing w:val="-14"/>
        </w:rPr>
        <w:t> </w:t>
      </w:r>
      <w:r>
        <w:rPr>
          <w:spacing w:val="-4"/>
        </w:rPr>
        <w:t>in</w:t>
      </w:r>
      <w:r>
        <w:rPr>
          <w:spacing w:val="-14"/>
        </w:rPr>
        <w:t> </w:t>
      </w:r>
      <w:r>
        <w:rPr>
          <w:spacing w:val="-4"/>
        </w:rPr>
        <w:t>Silence:</w:t>
      </w:r>
      <w:r>
        <w:rPr>
          <w:spacing w:val="-17"/>
        </w:rPr>
        <w:t> </w:t>
      </w:r>
      <w:r>
        <w:rPr>
          <w:spacing w:val="-4"/>
        </w:rPr>
        <w:t>A</w:t>
      </w:r>
      <w:r>
        <w:rPr>
          <w:spacing w:val="-14"/>
        </w:rPr>
        <w:t> </w:t>
      </w:r>
      <w:r>
        <w:rPr>
          <w:spacing w:val="-4"/>
        </w:rPr>
        <w:t>Feminist</w:t>
      </w:r>
      <w:r>
        <w:rPr>
          <w:spacing w:val="-14"/>
        </w:rPr>
        <w:t> </w:t>
      </w:r>
      <w:r>
        <w:rPr>
          <w:spacing w:val="-4"/>
        </w:rPr>
        <w:t>Study </w:t>
      </w:r>
      <w:r>
        <w:rPr/>
        <w:t>of Language, Power, and Suppression</w:t>
      </w:r>
      <w:r>
        <w:rPr>
          <w:spacing w:val="-23"/>
        </w:rPr>
        <w:t> </w:t>
      </w:r>
      <w:r>
        <w:rPr/>
        <w:t>in</w:t>
      </w:r>
      <w:r>
        <w:rPr>
          <w:spacing w:val="-22"/>
        </w:rPr>
        <w:t> </w:t>
      </w:r>
      <w:r>
        <w:rPr/>
        <w:t>Shakespeare’s</w:t>
      </w:r>
    </w:p>
    <w:p>
      <w:pPr>
        <w:tabs>
          <w:tab w:pos="1408" w:val="left" w:leader="none"/>
          <w:tab w:pos="5759" w:val="left" w:leader="none"/>
        </w:tabs>
        <w:spacing w:line="348" w:lineRule="exact" w:before="0"/>
        <w:ind w:left="0" w:right="0" w:firstLine="0"/>
        <w:jc w:val="center"/>
        <w:rPr>
          <w:rFonts w:ascii="Tahoma"/>
          <w:b/>
          <w:sz w:val="32"/>
        </w:rPr>
      </w:pPr>
      <w:r>
        <w:rPr>
          <w:sz w:val="32"/>
          <w:u w:val="single"/>
        </w:rPr>
        <w:tab/>
      </w:r>
      <w:r>
        <w:rPr>
          <w:rFonts w:ascii="Tahoma"/>
          <w:b/>
          <w:spacing w:val="-4"/>
          <w:sz w:val="32"/>
          <w:u w:val="single"/>
        </w:rPr>
        <w:t>Female</w:t>
      </w:r>
      <w:r>
        <w:rPr>
          <w:rFonts w:ascii="Tahoma"/>
          <w:b/>
          <w:spacing w:val="-15"/>
          <w:sz w:val="32"/>
          <w:u w:val="single"/>
        </w:rPr>
        <w:t> </w:t>
      </w:r>
      <w:r>
        <w:rPr>
          <w:rFonts w:ascii="Tahoma"/>
          <w:b/>
          <w:spacing w:val="-2"/>
          <w:sz w:val="32"/>
          <w:u w:val="single"/>
        </w:rPr>
        <w:t>Characters</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10720">
                <wp:simplePos x="0" y="0"/>
                <wp:positionH relativeFrom="page">
                  <wp:posOffset>2057400</wp:posOffset>
                </wp:positionH>
                <wp:positionV relativeFrom="paragraph">
                  <wp:posOffset>60050</wp:posOffset>
                </wp:positionV>
                <wp:extent cx="3657600" cy="7620"/>
                <wp:effectExtent l="0" t="0" r="0" b="0"/>
                <wp:wrapTopAndBottom/>
                <wp:docPr id="379" name="Graphic 379"/>
                <wp:cNvGraphicFramePr>
                  <a:graphicFrameLocks/>
                </wp:cNvGraphicFramePr>
                <a:graphic>
                  <a:graphicData uri="http://schemas.microsoft.com/office/word/2010/wordprocessingShape">
                    <wps:wsp>
                      <wps:cNvPr id="379" name="Graphic 379"/>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11pt;width:288.000009pt;height:.600014pt;mso-position-horizontal-relative:page;mso-position-vertical-relative:paragraph;z-index:-15605760;mso-wrap-distance-left:0;mso-wrap-distance-right:0" id="docshape375"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9"/>
        <w:jc w:val="right"/>
        <w:rPr>
          <w:rFonts w:ascii="Times New Roman"/>
        </w:rPr>
      </w:pPr>
      <w:r>
        <w:rPr>
          <w:rFonts w:ascii="Times New Roman"/>
        </w:rPr>
        <w:t>H.</w:t>
      </w:r>
      <w:r>
        <w:rPr>
          <w:rFonts w:ascii="Times New Roman"/>
          <w:spacing w:val="54"/>
        </w:rPr>
        <w:t> </w:t>
      </w:r>
      <w:r>
        <w:rPr>
          <w:rFonts w:ascii="Times New Roman"/>
        </w:rPr>
        <w:t>B.</w:t>
      </w:r>
      <w:r>
        <w:rPr>
          <w:rFonts w:ascii="Times New Roman"/>
          <w:spacing w:val="49"/>
        </w:rPr>
        <w:t> </w:t>
      </w:r>
      <w:r>
        <w:rPr>
          <w:rFonts w:ascii="Times New Roman"/>
        </w:rPr>
        <w:t>Razia</w:t>
      </w:r>
      <w:r>
        <w:rPr>
          <w:rFonts w:ascii="Times New Roman"/>
          <w:spacing w:val="52"/>
        </w:rPr>
        <w:t> </w:t>
      </w:r>
      <w:r>
        <w:rPr>
          <w:rFonts w:ascii="Times New Roman"/>
          <w:spacing w:val="-2"/>
        </w:rPr>
        <w:t>Sultana</w:t>
      </w:r>
    </w:p>
    <w:p>
      <w:pPr>
        <w:spacing w:before="15"/>
        <w:ind w:left="0" w:right="1439" w:firstLine="0"/>
        <w:jc w:val="right"/>
        <w:rPr>
          <w:i/>
          <w:sz w:val="19"/>
        </w:rPr>
      </w:pPr>
      <w:r>
        <w:rPr>
          <w:i/>
          <w:sz w:val="19"/>
        </w:rPr>
        <w:t>Assistant</w:t>
      </w:r>
      <w:r>
        <w:rPr>
          <w:i/>
          <w:spacing w:val="54"/>
          <w:sz w:val="19"/>
        </w:rPr>
        <w:t> </w:t>
      </w:r>
      <w:r>
        <w:rPr>
          <w:i/>
          <w:sz w:val="19"/>
        </w:rPr>
        <w:t>Professor</w:t>
      </w:r>
      <w:r>
        <w:rPr>
          <w:i/>
          <w:spacing w:val="53"/>
          <w:sz w:val="19"/>
        </w:rPr>
        <w:t> </w:t>
      </w:r>
      <w:r>
        <w:rPr>
          <w:i/>
          <w:sz w:val="19"/>
        </w:rPr>
        <w:t>of</w:t>
      </w:r>
      <w:r>
        <w:rPr>
          <w:i/>
          <w:spacing w:val="55"/>
          <w:sz w:val="19"/>
        </w:rPr>
        <w:t> </w:t>
      </w:r>
      <w:r>
        <w:rPr>
          <w:i/>
          <w:sz w:val="19"/>
        </w:rPr>
        <w:t>English,</w:t>
      </w:r>
      <w:r>
        <w:rPr>
          <w:i/>
          <w:spacing w:val="56"/>
          <w:sz w:val="19"/>
        </w:rPr>
        <w:t> </w:t>
      </w:r>
      <w:r>
        <w:rPr>
          <w:i/>
          <w:sz w:val="19"/>
        </w:rPr>
        <w:t>Government</w:t>
      </w:r>
      <w:r>
        <w:rPr>
          <w:i/>
          <w:spacing w:val="53"/>
          <w:sz w:val="19"/>
        </w:rPr>
        <w:t> </w:t>
      </w:r>
      <w:r>
        <w:rPr>
          <w:i/>
          <w:sz w:val="19"/>
        </w:rPr>
        <w:t>Womens</w:t>
      </w:r>
      <w:r>
        <w:rPr>
          <w:i/>
          <w:spacing w:val="57"/>
          <w:sz w:val="19"/>
        </w:rPr>
        <w:t> </w:t>
      </w:r>
      <w:r>
        <w:rPr>
          <w:i/>
          <w:spacing w:val="-2"/>
          <w:sz w:val="19"/>
        </w:rPr>
        <w:t>College,</w:t>
      </w:r>
    </w:p>
    <w:p>
      <w:pPr>
        <w:spacing w:before="10"/>
        <w:ind w:left="0" w:right="1437" w:firstLine="0"/>
        <w:jc w:val="right"/>
        <w:rPr>
          <w:i/>
          <w:sz w:val="19"/>
        </w:rPr>
      </w:pPr>
      <w:r>
        <w:rPr>
          <w:i/>
          <w:sz w:val="19"/>
        </w:rPr>
        <w:t>Hunsur,</w:t>
      </w:r>
      <w:r>
        <w:rPr>
          <w:i/>
          <w:spacing w:val="51"/>
          <w:sz w:val="19"/>
        </w:rPr>
        <w:t> </w:t>
      </w:r>
      <w:r>
        <w:rPr>
          <w:i/>
          <w:spacing w:val="-2"/>
          <w:sz w:val="19"/>
        </w:rPr>
        <w:t>Mysore</w:t>
      </w:r>
    </w:p>
    <w:p>
      <w:pPr>
        <w:pStyle w:val="BodyText"/>
        <w:spacing w:before="160"/>
        <w:ind w:left="0"/>
        <w:rPr>
          <w:i/>
          <w:sz w:val="19"/>
        </w:rPr>
      </w:pPr>
    </w:p>
    <w:p>
      <w:pPr>
        <w:pStyle w:val="Heading3"/>
        <w:spacing w:before="1"/>
      </w:pPr>
      <w:r>
        <w:rPr>
          <w:spacing w:val="-2"/>
        </w:rPr>
        <w:t>ABSTRACT</w:t>
      </w:r>
    </w:p>
    <w:p>
      <w:pPr>
        <w:pStyle w:val="BodyText"/>
        <w:spacing w:line="249" w:lineRule="auto" w:before="75"/>
        <w:ind w:right="1436" w:firstLine="432"/>
        <w:jc w:val="both"/>
      </w:pPr>
      <w:r>
        <w:rPr/>
        <w:t>This research paper explores the representation of women in Shakespeare’s plays through a feminist perspective, focusing on language, power, and suppression. Shakespeare’s female characters, though intelligent and emotionally rich, are often constrained within patriarchal structures that limit their voice and agency. This study examines how silence operates not merely as absence of speech but as</w:t>
      </w:r>
      <w:r>
        <w:rPr>
          <w:spacing w:val="80"/>
        </w:rPr>
        <w:t> </w:t>
      </w:r>
      <w:r>
        <w:rPr/>
        <w:t>a powerful tool of control, resistance, and marginalization. Characters such</w:t>
      </w:r>
      <w:r>
        <w:rPr>
          <w:spacing w:val="-5"/>
        </w:rPr>
        <w:t> </w:t>
      </w:r>
      <w:r>
        <w:rPr/>
        <w:t>as</w:t>
      </w:r>
      <w:r>
        <w:rPr>
          <w:spacing w:val="-5"/>
        </w:rPr>
        <w:t> </w:t>
      </w:r>
      <w:r>
        <w:rPr/>
        <w:t>Desdemona,</w:t>
      </w:r>
      <w:r>
        <w:rPr>
          <w:spacing w:val="-2"/>
        </w:rPr>
        <w:t> </w:t>
      </w:r>
      <w:r>
        <w:rPr/>
        <w:t>Ophelia,</w:t>
      </w:r>
      <w:r>
        <w:rPr>
          <w:spacing w:val="-3"/>
        </w:rPr>
        <w:t> </w:t>
      </w:r>
      <w:r>
        <w:rPr/>
        <w:t>Lady</w:t>
      </w:r>
      <w:r>
        <w:rPr>
          <w:spacing w:val="-7"/>
        </w:rPr>
        <w:t> </w:t>
      </w:r>
      <w:r>
        <w:rPr/>
        <w:t>Macbeth,</w:t>
      </w:r>
      <w:r>
        <w:rPr>
          <w:spacing w:val="-3"/>
        </w:rPr>
        <w:t> </w:t>
      </w:r>
      <w:r>
        <w:rPr/>
        <w:t>and Cordelia</w:t>
      </w:r>
      <w:r>
        <w:rPr>
          <w:spacing w:val="-3"/>
        </w:rPr>
        <w:t> </w:t>
      </w:r>
      <w:r>
        <w:rPr/>
        <w:t>are</w:t>
      </w:r>
      <w:r>
        <w:rPr>
          <w:spacing w:val="-5"/>
        </w:rPr>
        <w:t> </w:t>
      </w:r>
      <w:r>
        <w:rPr/>
        <w:t>analyzed to understand how their voices are shaped, restricted, or erased within male-dominated narratives. The paper argues that language plays a crucial role in constructing gender hierarchies, where women’s speech is</w:t>
      </w:r>
      <w:r>
        <w:rPr>
          <w:spacing w:val="-1"/>
        </w:rPr>
        <w:t> </w:t>
      </w:r>
      <w:r>
        <w:rPr/>
        <w:t>often</w:t>
      </w:r>
      <w:r>
        <w:rPr>
          <w:spacing w:val="-4"/>
        </w:rPr>
        <w:t> </w:t>
      </w:r>
      <w:r>
        <w:rPr/>
        <w:t>dismissed, interrupted,</w:t>
      </w:r>
      <w:r>
        <w:rPr>
          <w:spacing w:val="-1"/>
        </w:rPr>
        <w:t> </w:t>
      </w:r>
      <w:r>
        <w:rPr/>
        <w:t>or</w:t>
      </w:r>
      <w:r>
        <w:rPr>
          <w:spacing w:val="-3"/>
        </w:rPr>
        <w:t> </w:t>
      </w:r>
      <w:r>
        <w:rPr/>
        <w:t>punished.</w:t>
      </w:r>
      <w:r>
        <w:rPr>
          <w:spacing w:val="-11"/>
        </w:rPr>
        <w:t> </w:t>
      </w:r>
      <w:r>
        <w:rPr/>
        <w:t>At</w:t>
      </w:r>
      <w:r>
        <w:rPr>
          <w:spacing w:val="-1"/>
        </w:rPr>
        <w:t> </w:t>
      </w:r>
      <w:r>
        <w:rPr/>
        <w:t>the same</w:t>
      </w:r>
      <w:r>
        <w:rPr>
          <w:spacing w:val="-4"/>
        </w:rPr>
        <w:t> </w:t>
      </w:r>
      <w:r>
        <w:rPr/>
        <w:t>time,</w:t>
      </w:r>
      <w:r>
        <w:rPr>
          <w:spacing w:val="-1"/>
        </w:rPr>
        <w:t> </w:t>
      </w:r>
      <w:r>
        <w:rPr/>
        <w:t>moments of silence may reflect resistance and emotional depth. Using feminist theory and textual analysis, this research highlights how Shakespeare both reflects and critiques the patriarchal norms of his time. The study also</w:t>
      </w:r>
      <w:r>
        <w:rPr>
          <w:spacing w:val="-13"/>
        </w:rPr>
        <w:t> </w:t>
      </w:r>
      <w:r>
        <w:rPr/>
        <w:t>identifies</w:t>
      </w:r>
      <w:r>
        <w:rPr>
          <w:spacing w:val="-12"/>
        </w:rPr>
        <w:t> </w:t>
      </w:r>
      <w:r>
        <w:rPr/>
        <w:t>the</w:t>
      </w:r>
      <w:r>
        <w:rPr>
          <w:spacing w:val="-13"/>
        </w:rPr>
        <w:t> </w:t>
      </w:r>
      <w:r>
        <w:rPr/>
        <w:t>relevance</w:t>
      </w:r>
      <w:r>
        <w:rPr>
          <w:spacing w:val="-12"/>
        </w:rPr>
        <w:t> </w:t>
      </w:r>
      <w:r>
        <w:rPr/>
        <w:t>of</w:t>
      </w:r>
      <w:r>
        <w:rPr>
          <w:spacing w:val="-13"/>
        </w:rPr>
        <w:t> </w:t>
      </w:r>
      <w:r>
        <w:rPr/>
        <w:t>these</w:t>
      </w:r>
      <w:r>
        <w:rPr>
          <w:spacing w:val="-12"/>
        </w:rPr>
        <w:t> </w:t>
      </w:r>
      <w:r>
        <w:rPr/>
        <w:t>themes</w:t>
      </w:r>
      <w:r>
        <w:rPr>
          <w:spacing w:val="-13"/>
        </w:rPr>
        <w:t> </w:t>
      </w:r>
      <w:r>
        <w:rPr/>
        <w:t>in</w:t>
      </w:r>
      <w:r>
        <w:rPr>
          <w:spacing w:val="-12"/>
        </w:rPr>
        <w:t> </w:t>
      </w:r>
      <w:r>
        <w:rPr/>
        <w:t>contemporary</w:t>
      </w:r>
      <w:r>
        <w:rPr>
          <w:spacing w:val="-13"/>
        </w:rPr>
        <w:t> </w:t>
      </w:r>
      <w:r>
        <w:rPr/>
        <w:t>discussions of gender inequality. Ultimately, this paper shows that the silencing of women</w:t>
      </w:r>
      <w:r>
        <w:rPr>
          <w:spacing w:val="-7"/>
        </w:rPr>
        <w:t> </w:t>
      </w:r>
      <w:r>
        <w:rPr/>
        <w:t>in</w:t>
      </w:r>
      <w:r>
        <w:rPr>
          <w:spacing w:val="-7"/>
        </w:rPr>
        <w:t> </w:t>
      </w:r>
      <w:r>
        <w:rPr/>
        <w:t>Shakespeare</w:t>
      </w:r>
      <w:r>
        <w:rPr>
          <w:spacing w:val="-7"/>
        </w:rPr>
        <w:t> </w:t>
      </w:r>
      <w:r>
        <w:rPr/>
        <w:t>is</w:t>
      </w:r>
      <w:r>
        <w:rPr>
          <w:spacing w:val="-7"/>
        </w:rPr>
        <w:t> </w:t>
      </w:r>
      <w:r>
        <w:rPr/>
        <w:t>not</w:t>
      </w:r>
      <w:r>
        <w:rPr>
          <w:spacing w:val="-7"/>
        </w:rPr>
        <w:t> </w:t>
      </w:r>
      <w:r>
        <w:rPr/>
        <w:t>accidental</w:t>
      </w:r>
      <w:r>
        <w:rPr>
          <w:spacing w:val="-7"/>
        </w:rPr>
        <w:t> </w:t>
      </w:r>
      <w:r>
        <w:rPr/>
        <w:t>but</w:t>
      </w:r>
      <w:r>
        <w:rPr>
          <w:spacing w:val="-5"/>
        </w:rPr>
        <w:t> </w:t>
      </w:r>
      <w:r>
        <w:rPr/>
        <w:t>a</w:t>
      </w:r>
      <w:r>
        <w:rPr>
          <w:spacing w:val="-7"/>
        </w:rPr>
        <w:t> </w:t>
      </w:r>
      <w:r>
        <w:rPr/>
        <w:t>deliberate</w:t>
      </w:r>
      <w:r>
        <w:rPr>
          <w:spacing w:val="-6"/>
        </w:rPr>
        <w:t> </w:t>
      </w:r>
      <w:r>
        <w:rPr/>
        <w:t>literary</w:t>
      </w:r>
      <w:r>
        <w:rPr>
          <w:spacing w:val="-10"/>
        </w:rPr>
        <w:t> </w:t>
      </w:r>
      <w:r>
        <w:rPr/>
        <w:t>strategy that reveals the complexities of gender, power, and identity.</w:t>
      </w:r>
    </w:p>
    <w:p>
      <w:pPr>
        <w:pStyle w:val="BodyText"/>
        <w:spacing w:after="0" w:line="249" w:lineRule="auto"/>
        <w:jc w:val="both"/>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11744">
                <wp:simplePos x="0" y="0"/>
                <wp:positionH relativeFrom="page">
                  <wp:posOffset>2065020</wp:posOffset>
                </wp:positionH>
                <wp:positionV relativeFrom="paragraph">
                  <wp:posOffset>795020</wp:posOffset>
                </wp:positionV>
                <wp:extent cx="3657600" cy="12700"/>
                <wp:effectExtent l="0" t="0" r="0" b="0"/>
                <wp:wrapTopAndBottom/>
                <wp:docPr id="380" name="Graphic 380"/>
                <wp:cNvGraphicFramePr>
                  <a:graphicFrameLocks/>
                </wp:cNvGraphicFramePr>
                <a:graphic>
                  <a:graphicData uri="http://schemas.microsoft.com/office/word/2010/wordprocessingShape">
                    <wps:wsp>
                      <wps:cNvPr id="380" name="Graphic 38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04736;mso-wrap-distance-left:0;mso-wrap-distance-right:0" id="docshape376" filled="true" fillcolor="#000000" stroked="false">
                <v:fill type="solid"/>
                <w10:wrap type="topAndBottom"/>
              </v:rect>
            </w:pict>
          </mc:Fallback>
        </mc:AlternateContent>
      </w:r>
      <w:r>
        <w:rPr>
          <w:rFonts w:ascii="Verdana"/>
          <w:sz w:val="18"/>
        </w:rPr>
        <w:t>Voices</w:t>
      </w:r>
      <w:r>
        <w:rPr>
          <w:rFonts w:ascii="Verdana"/>
          <w:spacing w:val="-1"/>
          <w:sz w:val="18"/>
        </w:rPr>
        <w:t> </w:t>
      </w:r>
      <w:r>
        <w:rPr>
          <w:rFonts w:ascii="Verdana"/>
          <w:sz w:val="18"/>
        </w:rPr>
        <w:t>in</w:t>
      </w:r>
      <w:r>
        <w:rPr>
          <w:rFonts w:ascii="Verdana"/>
          <w:spacing w:val="-1"/>
          <w:sz w:val="18"/>
        </w:rPr>
        <w:t> </w:t>
      </w:r>
      <w:r>
        <w:rPr>
          <w:rFonts w:ascii="Verdana"/>
          <w:sz w:val="18"/>
        </w:rPr>
        <w:t>Silence:</w:t>
      </w:r>
      <w:r>
        <w:rPr>
          <w:rFonts w:ascii="Verdana"/>
          <w:spacing w:val="-2"/>
          <w:sz w:val="18"/>
        </w:rPr>
        <w:t> </w:t>
      </w:r>
      <w:r>
        <w:rPr>
          <w:rFonts w:ascii="Verdana"/>
          <w:sz w:val="18"/>
        </w:rPr>
        <w:t>A</w:t>
      </w:r>
      <w:r>
        <w:rPr>
          <w:rFonts w:ascii="Verdana"/>
          <w:spacing w:val="-7"/>
          <w:sz w:val="18"/>
        </w:rPr>
        <w:t> </w:t>
      </w:r>
      <w:r>
        <w:rPr>
          <w:rFonts w:ascii="Verdana"/>
          <w:sz w:val="18"/>
        </w:rPr>
        <w:t>Feminist</w:t>
      </w:r>
      <w:r>
        <w:rPr>
          <w:rFonts w:ascii="Verdana"/>
          <w:spacing w:val="-3"/>
          <w:sz w:val="18"/>
        </w:rPr>
        <w:t> </w:t>
      </w:r>
      <w:r>
        <w:rPr>
          <w:rFonts w:ascii="Verdana"/>
          <w:sz w:val="18"/>
        </w:rPr>
        <w:t>Study</w:t>
      </w:r>
      <w:r>
        <w:rPr>
          <w:rFonts w:ascii="Verdana"/>
          <w:spacing w:val="-1"/>
          <w:sz w:val="18"/>
        </w:rPr>
        <w:t> </w:t>
      </w:r>
      <w:r>
        <w:rPr>
          <w:rFonts w:ascii="Verdana"/>
          <w:sz w:val="18"/>
        </w:rPr>
        <w:t>of</w:t>
      </w:r>
      <w:r>
        <w:rPr>
          <w:rFonts w:ascii="Verdana"/>
          <w:spacing w:val="-1"/>
          <w:sz w:val="18"/>
        </w:rPr>
        <w:t> </w:t>
      </w:r>
      <w:r>
        <w:rPr>
          <w:rFonts w:ascii="Verdana"/>
          <w:spacing w:val="-2"/>
          <w:sz w:val="18"/>
        </w:rPr>
        <w:t>Language...</w:t>
      </w:r>
      <w:r>
        <w:rPr>
          <w:sz w:val="18"/>
        </w:rPr>
        <w:tab/>
      </w:r>
      <w:r>
        <w:rPr>
          <w:rFonts w:ascii="Verdana"/>
          <w:spacing w:val="-5"/>
          <w:sz w:val="18"/>
        </w:rPr>
        <w:t>149</w:t>
      </w:r>
    </w:p>
    <w:p>
      <w:pPr>
        <w:pStyle w:val="BodyText"/>
        <w:spacing w:line="249" w:lineRule="auto" w:before="192"/>
        <w:ind w:right="1441" w:firstLine="432"/>
        <w:jc w:val="both"/>
      </w:pPr>
      <w:r>
        <w:rPr>
          <w:b/>
        </w:rPr>
        <w:t>Keywords: </w:t>
      </w:r>
      <w:r>
        <w:rPr/>
        <w:t>Feminism, Shakespeare, Language, Power, Silence, </w:t>
      </w:r>
      <w:r>
        <w:rPr>
          <w:spacing w:val="-2"/>
        </w:rPr>
        <w:t>Patriarchy</w:t>
      </w:r>
    </w:p>
    <w:p>
      <w:pPr>
        <w:pStyle w:val="Heading3"/>
        <w:spacing w:before="155"/>
      </w:pPr>
      <w:r>
        <w:rPr>
          <w:spacing w:val="-2"/>
          <w:w w:val="95"/>
        </w:rPr>
        <w:t>INTRODUCTION</w:t>
      </w:r>
    </w:p>
    <w:p>
      <w:pPr>
        <w:pStyle w:val="BodyText"/>
        <w:spacing w:line="264" w:lineRule="auto" w:before="83"/>
        <w:ind w:right="1438" w:firstLine="432"/>
        <w:jc w:val="both"/>
      </w:pPr>
      <w:r>
        <w:rPr/>
        <w:t>William</w:t>
      </w:r>
      <w:r>
        <w:rPr>
          <w:spacing w:val="-13"/>
        </w:rPr>
        <w:t> </w:t>
      </w:r>
      <w:r>
        <w:rPr/>
        <w:t>Shakespeare’s</w:t>
      </w:r>
      <w:r>
        <w:rPr>
          <w:spacing w:val="-12"/>
        </w:rPr>
        <w:t> </w:t>
      </w:r>
      <w:r>
        <w:rPr/>
        <w:t>plays</w:t>
      </w:r>
      <w:r>
        <w:rPr>
          <w:spacing w:val="-13"/>
        </w:rPr>
        <w:t> </w:t>
      </w:r>
      <w:r>
        <w:rPr/>
        <w:t>continue</w:t>
      </w:r>
      <w:r>
        <w:rPr>
          <w:spacing w:val="-12"/>
        </w:rPr>
        <w:t> </w:t>
      </w:r>
      <w:r>
        <w:rPr/>
        <w:t>to</w:t>
      </w:r>
      <w:r>
        <w:rPr>
          <w:spacing w:val="-13"/>
        </w:rPr>
        <w:t> </w:t>
      </w:r>
      <w:r>
        <w:rPr/>
        <w:t>be</w:t>
      </w:r>
      <w:r>
        <w:rPr>
          <w:spacing w:val="-12"/>
        </w:rPr>
        <w:t> </w:t>
      </w:r>
      <w:r>
        <w:rPr/>
        <w:t>widely</w:t>
      </w:r>
      <w:r>
        <w:rPr>
          <w:spacing w:val="-13"/>
        </w:rPr>
        <w:t> </w:t>
      </w:r>
      <w:r>
        <w:rPr/>
        <w:t>studied</w:t>
      </w:r>
      <w:r>
        <w:rPr>
          <w:spacing w:val="-12"/>
        </w:rPr>
        <w:t> </w:t>
      </w:r>
      <w:r>
        <w:rPr/>
        <w:t>because of</w:t>
      </w:r>
      <w:r>
        <w:rPr>
          <w:spacing w:val="-13"/>
        </w:rPr>
        <w:t> </w:t>
      </w:r>
      <w:r>
        <w:rPr/>
        <w:t>their</w:t>
      </w:r>
      <w:r>
        <w:rPr>
          <w:spacing w:val="-12"/>
        </w:rPr>
        <w:t> </w:t>
      </w:r>
      <w:r>
        <w:rPr/>
        <w:t>deep</w:t>
      </w:r>
      <w:r>
        <w:rPr>
          <w:spacing w:val="-13"/>
        </w:rPr>
        <w:t> </w:t>
      </w:r>
      <w:r>
        <w:rPr/>
        <w:t>understanding</w:t>
      </w:r>
      <w:r>
        <w:rPr>
          <w:spacing w:val="-12"/>
        </w:rPr>
        <w:t> </w:t>
      </w:r>
      <w:r>
        <w:rPr/>
        <w:t>of</w:t>
      </w:r>
      <w:r>
        <w:rPr>
          <w:spacing w:val="-13"/>
        </w:rPr>
        <w:t> </w:t>
      </w:r>
      <w:r>
        <w:rPr/>
        <w:t>human</w:t>
      </w:r>
      <w:r>
        <w:rPr>
          <w:spacing w:val="-12"/>
        </w:rPr>
        <w:t> </w:t>
      </w:r>
      <w:r>
        <w:rPr/>
        <w:t>nature,</w:t>
      </w:r>
      <w:r>
        <w:rPr>
          <w:spacing w:val="-13"/>
        </w:rPr>
        <w:t> </w:t>
      </w:r>
      <w:r>
        <w:rPr/>
        <w:t>society,</w:t>
      </w:r>
      <w:r>
        <w:rPr>
          <w:spacing w:val="-12"/>
        </w:rPr>
        <w:t> </w:t>
      </w:r>
      <w:r>
        <w:rPr/>
        <w:t>and</w:t>
      </w:r>
      <w:r>
        <w:rPr>
          <w:spacing w:val="-13"/>
        </w:rPr>
        <w:t> </w:t>
      </w:r>
      <w:r>
        <w:rPr/>
        <w:t>power.</w:t>
      </w:r>
      <w:r>
        <w:rPr>
          <w:spacing w:val="-12"/>
        </w:rPr>
        <w:t> </w:t>
      </w:r>
      <w:r>
        <w:rPr/>
        <w:t>Among the many themes explored in his works, the representation of women has gained significant attention in modern literary criticism, especially from a feminist perspective. Feminist criticism</w:t>
      </w:r>
      <w:r>
        <w:rPr>
          <w:spacing w:val="-1"/>
        </w:rPr>
        <w:t> </w:t>
      </w:r>
      <w:r>
        <w:rPr/>
        <w:t>examines how</w:t>
      </w:r>
      <w:r>
        <w:rPr>
          <w:spacing w:val="-2"/>
        </w:rPr>
        <w:t> </w:t>
      </w:r>
      <w:r>
        <w:rPr/>
        <w:t>literature reflects or challenges gender inequalities and patriarchal structures. In Shakespeare’s</w:t>
      </w:r>
      <w:r>
        <w:rPr>
          <w:spacing w:val="-4"/>
        </w:rPr>
        <w:t> </w:t>
      </w:r>
      <w:r>
        <w:rPr/>
        <w:t>time,</w:t>
      </w:r>
      <w:r>
        <w:rPr>
          <w:spacing w:val="-3"/>
        </w:rPr>
        <w:t> </w:t>
      </w:r>
      <w:r>
        <w:rPr/>
        <w:t>society</w:t>
      </w:r>
      <w:r>
        <w:rPr>
          <w:spacing w:val="-7"/>
        </w:rPr>
        <w:t> </w:t>
      </w:r>
      <w:r>
        <w:rPr/>
        <w:t>was</w:t>
      </w:r>
      <w:r>
        <w:rPr>
          <w:spacing w:val="-3"/>
        </w:rPr>
        <w:t> </w:t>
      </w:r>
      <w:r>
        <w:rPr/>
        <w:t>largely</w:t>
      </w:r>
      <w:r>
        <w:rPr>
          <w:spacing w:val="-7"/>
        </w:rPr>
        <w:t> </w:t>
      </w:r>
      <w:r>
        <w:rPr/>
        <w:t>patriarchal,</w:t>
      </w:r>
      <w:r>
        <w:rPr>
          <w:spacing w:val="-3"/>
        </w:rPr>
        <w:t> </w:t>
      </w:r>
      <w:r>
        <w:rPr/>
        <w:t>where</w:t>
      </w:r>
      <w:r>
        <w:rPr>
          <w:spacing w:val="-4"/>
        </w:rPr>
        <w:t> </w:t>
      </w:r>
      <w:r>
        <w:rPr/>
        <w:t>women</w:t>
      </w:r>
      <w:r>
        <w:rPr>
          <w:spacing w:val="-4"/>
        </w:rPr>
        <w:t> </w:t>
      </w:r>
      <w:r>
        <w:rPr/>
        <w:t>were expected to be obedient, silent, and dependent on men. This social context strongly influenced the portrayal of female characters in his plays. (Granthaalayah Publication)</w:t>
      </w:r>
    </w:p>
    <w:p>
      <w:pPr>
        <w:pStyle w:val="BodyText"/>
        <w:spacing w:line="264" w:lineRule="auto" w:before="48"/>
        <w:ind w:right="1434" w:firstLine="432"/>
        <w:jc w:val="both"/>
      </w:pPr>
      <w:r>
        <w:rPr/>
        <w:t>Shakespeare’s female characters are often complex and powerful, yet their voices are frequently</w:t>
      </w:r>
      <w:r>
        <w:rPr>
          <w:spacing w:val="-2"/>
        </w:rPr>
        <w:t> </w:t>
      </w:r>
      <w:r>
        <w:rPr/>
        <w:t>suppressed or controlled. Characters like Desdemona in </w:t>
      </w:r>
      <w:r>
        <w:rPr>
          <w:i/>
        </w:rPr>
        <w:t>Othello</w:t>
      </w:r>
      <w:r>
        <w:rPr/>
        <w:t>, Ophelia in </w:t>
      </w:r>
      <w:r>
        <w:rPr>
          <w:i/>
        </w:rPr>
        <w:t>Hamlet</w:t>
      </w:r>
      <w:r>
        <w:rPr/>
        <w:t>, and Cordelia in </w:t>
      </w:r>
      <w:r>
        <w:rPr>
          <w:i/>
        </w:rPr>
        <w:t>King Lear </w:t>
      </w:r>
      <w:r>
        <w:rPr/>
        <w:t>experience limitations in expressing their thoughts and emotions. Their silence is often misunderstood or punished, showing how society restricts female expression. Feminist critics argue that this silencing reflects broader power structures where men dominate both public and private spaces. (Encyclopedia Britannica)</w:t>
      </w:r>
    </w:p>
    <w:p>
      <w:pPr>
        <w:pStyle w:val="BodyText"/>
        <w:spacing w:line="264" w:lineRule="auto" w:before="52"/>
        <w:ind w:right="1439" w:firstLine="432"/>
        <w:jc w:val="both"/>
      </w:pPr>
      <w:r>
        <w:rPr>
          <w:spacing w:val="-2"/>
        </w:rPr>
        <w:t>Language</w:t>
      </w:r>
      <w:r>
        <w:rPr>
          <w:spacing w:val="-5"/>
        </w:rPr>
        <w:t> </w:t>
      </w:r>
      <w:r>
        <w:rPr>
          <w:spacing w:val="-2"/>
        </w:rPr>
        <w:t>plays</w:t>
      </w:r>
      <w:r>
        <w:rPr>
          <w:spacing w:val="-5"/>
        </w:rPr>
        <w:t> </w:t>
      </w:r>
      <w:r>
        <w:rPr>
          <w:spacing w:val="-2"/>
        </w:rPr>
        <w:t>an</w:t>
      </w:r>
      <w:r>
        <w:rPr>
          <w:spacing w:val="-7"/>
        </w:rPr>
        <w:t> </w:t>
      </w:r>
      <w:r>
        <w:rPr>
          <w:spacing w:val="-2"/>
        </w:rPr>
        <w:t>important</w:t>
      </w:r>
      <w:r>
        <w:rPr>
          <w:spacing w:val="-5"/>
        </w:rPr>
        <w:t> </w:t>
      </w:r>
      <w:r>
        <w:rPr>
          <w:spacing w:val="-2"/>
        </w:rPr>
        <w:t>role</w:t>
      </w:r>
      <w:r>
        <w:rPr>
          <w:spacing w:val="-6"/>
        </w:rPr>
        <w:t> </w:t>
      </w:r>
      <w:r>
        <w:rPr>
          <w:spacing w:val="-2"/>
        </w:rPr>
        <w:t>in</w:t>
      </w:r>
      <w:r>
        <w:rPr>
          <w:spacing w:val="-5"/>
        </w:rPr>
        <w:t> </w:t>
      </w:r>
      <w:r>
        <w:rPr>
          <w:spacing w:val="-2"/>
        </w:rPr>
        <w:t>this</w:t>
      </w:r>
      <w:r>
        <w:rPr>
          <w:spacing w:val="-5"/>
        </w:rPr>
        <w:t> </w:t>
      </w:r>
      <w:r>
        <w:rPr>
          <w:spacing w:val="-2"/>
        </w:rPr>
        <w:t>dynamic.</w:t>
      </w:r>
      <w:r>
        <w:rPr>
          <w:spacing w:val="-7"/>
        </w:rPr>
        <w:t> </w:t>
      </w:r>
      <w:r>
        <w:rPr>
          <w:spacing w:val="-2"/>
        </w:rPr>
        <w:t>Women’s</w:t>
      </w:r>
      <w:r>
        <w:rPr>
          <w:spacing w:val="-7"/>
        </w:rPr>
        <w:t> </w:t>
      </w:r>
      <w:r>
        <w:rPr>
          <w:spacing w:val="-2"/>
        </w:rPr>
        <w:t>speech </w:t>
      </w:r>
      <w:r>
        <w:rPr/>
        <w:t>is often questioned, ignored, or manipulated, while male voices are given authority and importance. However, silence itself can also be meaningful. It may represent resistance, emotional depth, or a form of protest</w:t>
      </w:r>
      <w:r>
        <w:rPr>
          <w:spacing w:val="40"/>
        </w:rPr>
        <w:t> </w:t>
      </w:r>
      <w:r>
        <w:rPr/>
        <w:t>against</w:t>
      </w:r>
      <w:r>
        <w:rPr>
          <w:spacing w:val="40"/>
        </w:rPr>
        <w:t> </w:t>
      </w:r>
      <w:r>
        <w:rPr/>
        <w:t>oppression.</w:t>
      </w:r>
    </w:p>
    <w:p>
      <w:pPr>
        <w:pStyle w:val="BodyText"/>
        <w:spacing w:line="264" w:lineRule="auto" w:before="52"/>
        <w:ind w:right="1440" w:firstLine="432"/>
        <w:jc w:val="both"/>
      </w:pPr>
      <w:r>
        <w:rPr/>
        <w:t>This research paper aims to analyze how language and silence </w:t>
      </w:r>
      <w:r>
        <w:rPr>
          <w:spacing w:val="-2"/>
        </w:rPr>
        <w:t>function</w:t>
      </w:r>
      <w:r>
        <w:rPr>
          <w:spacing w:val="-8"/>
        </w:rPr>
        <w:t> </w:t>
      </w:r>
      <w:r>
        <w:rPr>
          <w:spacing w:val="-2"/>
        </w:rPr>
        <w:t>in</w:t>
      </w:r>
      <w:r>
        <w:rPr>
          <w:spacing w:val="-6"/>
        </w:rPr>
        <w:t> </w:t>
      </w:r>
      <w:r>
        <w:rPr>
          <w:spacing w:val="-2"/>
        </w:rPr>
        <w:t>shaping</w:t>
      </w:r>
      <w:r>
        <w:rPr>
          <w:spacing w:val="-8"/>
        </w:rPr>
        <w:t> </w:t>
      </w:r>
      <w:r>
        <w:rPr>
          <w:spacing w:val="-2"/>
        </w:rPr>
        <w:t>the</w:t>
      </w:r>
      <w:r>
        <w:rPr>
          <w:spacing w:val="-6"/>
        </w:rPr>
        <w:t> </w:t>
      </w:r>
      <w:r>
        <w:rPr>
          <w:spacing w:val="-2"/>
        </w:rPr>
        <w:t>experiences</w:t>
      </w:r>
      <w:r>
        <w:rPr>
          <w:spacing w:val="-8"/>
        </w:rPr>
        <w:t> </w:t>
      </w:r>
      <w:r>
        <w:rPr>
          <w:spacing w:val="-2"/>
        </w:rPr>
        <w:t>of</w:t>
      </w:r>
      <w:r>
        <w:rPr>
          <w:spacing w:val="-6"/>
        </w:rPr>
        <w:t> </w:t>
      </w:r>
      <w:r>
        <w:rPr>
          <w:spacing w:val="-2"/>
        </w:rPr>
        <w:t>female</w:t>
      </w:r>
      <w:r>
        <w:rPr>
          <w:spacing w:val="-6"/>
        </w:rPr>
        <w:t> </w:t>
      </w:r>
      <w:r>
        <w:rPr>
          <w:spacing w:val="-2"/>
        </w:rPr>
        <w:t>characters</w:t>
      </w:r>
      <w:r>
        <w:rPr>
          <w:spacing w:val="-6"/>
        </w:rPr>
        <w:t> </w:t>
      </w:r>
      <w:r>
        <w:rPr>
          <w:spacing w:val="-2"/>
        </w:rPr>
        <w:t>in</w:t>
      </w:r>
      <w:r>
        <w:rPr>
          <w:spacing w:val="-8"/>
        </w:rPr>
        <w:t> </w:t>
      </w:r>
      <w:r>
        <w:rPr>
          <w:spacing w:val="-2"/>
        </w:rPr>
        <w:t>Shakespeare’s </w:t>
      </w:r>
      <w:r>
        <w:rPr/>
        <w:t>plays. By applying feminist theory, the study explores how power operates through speech and</w:t>
      </w:r>
      <w:r>
        <w:rPr>
          <w:spacing w:val="35"/>
        </w:rPr>
        <w:t> </w:t>
      </w:r>
      <w:r>
        <w:rPr/>
        <w:t>silence, and</w:t>
      </w:r>
      <w:r>
        <w:rPr>
          <w:spacing w:val="35"/>
        </w:rPr>
        <w:t> </w:t>
      </w:r>
      <w:r>
        <w:rPr/>
        <w:t>how these elements reveal</w:t>
      </w:r>
      <w:r>
        <w:rPr>
          <w:spacing w:val="40"/>
        </w:rPr>
        <w:t> </w:t>
      </w:r>
      <w:r>
        <w:rPr/>
        <w:t>the</w:t>
      </w:r>
      <w:r>
        <w:rPr>
          <w:spacing w:val="40"/>
        </w:rPr>
        <w:t> </w:t>
      </w:r>
      <w:r>
        <w:rPr/>
        <w:t>struggles</w:t>
      </w:r>
      <w:r>
        <w:rPr>
          <w:spacing w:val="40"/>
        </w:rPr>
        <w:t> </w:t>
      </w:r>
      <w:r>
        <w:rPr/>
        <w:t>of</w:t>
      </w:r>
      <w:r>
        <w:rPr>
          <w:spacing w:val="40"/>
        </w:rPr>
        <w:t> </w:t>
      </w:r>
      <w:r>
        <w:rPr/>
        <w:t>women</w:t>
      </w:r>
      <w:r>
        <w:rPr>
          <w:spacing w:val="40"/>
        </w:rPr>
        <w:t> </w:t>
      </w:r>
      <w:r>
        <w:rPr/>
        <w:t>in</w:t>
      </w:r>
      <w:r>
        <w:rPr>
          <w:spacing w:val="40"/>
        </w:rPr>
        <w:t> </w:t>
      </w:r>
      <w:r>
        <w:rPr/>
        <w:t>a</w:t>
      </w:r>
      <w:r>
        <w:rPr>
          <w:spacing w:val="40"/>
        </w:rPr>
        <w:t> </w:t>
      </w:r>
      <w:r>
        <w:rPr/>
        <w:t>patriarchal</w:t>
      </w:r>
      <w:r>
        <w:rPr>
          <w:spacing w:val="40"/>
        </w:rPr>
        <w:t> </w:t>
      </w:r>
      <w:r>
        <w:rPr/>
        <w:t>society.</w:t>
      </w:r>
    </w:p>
    <w:p>
      <w:pPr>
        <w:pStyle w:val="Heading3"/>
        <w:spacing w:before="149"/>
      </w:pPr>
      <w:r>
        <w:rPr>
          <w:w w:val="90"/>
        </w:rPr>
        <w:t>REVIEW</w:t>
      </w:r>
      <w:r>
        <w:rPr>
          <w:spacing w:val="-5"/>
        </w:rPr>
        <w:t> </w:t>
      </w:r>
      <w:r>
        <w:rPr>
          <w:w w:val="90"/>
        </w:rPr>
        <w:t>OF</w:t>
      </w:r>
      <w:r>
        <w:rPr/>
        <w:t> </w:t>
      </w:r>
      <w:r>
        <w:rPr>
          <w:spacing w:val="-2"/>
          <w:w w:val="90"/>
        </w:rPr>
        <w:t>LITERATURE</w:t>
      </w:r>
    </w:p>
    <w:p>
      <w:pPr>
        <w:pStyle w:val="BodyText"/>
        <w:spacing w:line="264" w:lineRule="auto" w:before="90"/>
        <w:ind w:right="1440" w:firstLine="432"/>
        <w:jc w:val="both"/>
      </w:pPr>
      <w:r>
        <w:rPr/>
        <w:t>Feminist</w:t>
      </w:r>
      <w:r>
        <w:rPr>
          <w:spacing w:val="-13"/>
        </w:rPr>
        <w:t> </w:t>
      </w:r>
      <w:r>
        <w:rPr/>
        <w:t>scholars</w:t>
      </w:r>
      <w:r>
        <w:rPr>
          <w:spacing w:val="-12"/>
        </w:rPr>
        <w:t> </w:t>
      </w:r>
      <w:r>
        <w:rPr/>
        <w:t>have</w:t>
      </w:r>
      <w:r>
        <w:rPr>
          <w:spacing w:val="-13"/>
        </w:rPr>
        <w:t> </w:t>
      </w:r>
      <w:r>
        <w:rPr/>
        <w:t>widely</w:t>
      </w:r>
      <w:r>
        <w:rPr>
          <w:spacing w:val="-12"/>
        </w:rPr>
        <w:t> </w:t>
      </w:r>
      <w:r>
        <w:rPr/>
        <w:t>studied</w:t>
      </w:r>
      <w:r>
        <w:rPr>
          <w:spacing w:val="-13"/>
        </w:rPr>
        <w:t> </w:t>
      </w:r>
      <w:r>
        <w:rPr/>
        <w:t>the</w:t>
      </w:r>
      <w:r>
        <w:rPr>
          <w:spacing w:val="-12"/>
        </w:rPr>
        <w:t> </w:t>
      </w:r>
      <w:r>
        <w:rPr/>
        <w:t>representation</w:t>
      </w:r>
      <w:r>
        <w:rPr>
          <w:spacing w:val="-13"/>
        </w:rPr>
        <w:t> </w:t>
      </w:r>
      <w:r>
        <w:rPr/>
        <w:t>of</w:t>
      </w:r>
      <w:r>
        <w:rPr>
          <w:spacing w:val="-12"/>
        </w:rPr>
        <w:t> </w:t>
      </w:r>
      <w:r>
        <w:rPr/>
        <w:t>women in Shakespeare’s works. One important study highlights that women in Shakespeare’s plays are often restricted by patriarchal expectations, which</w:t>
      </w:r>
      <w:r>
        <w:rPr>
          <w:spacing w:val="5"/>
        </w:rPr>
        <w:t> </w:t>
      </w:r>
      <w:r>
        <w:rPr/>
        <w:t>demand</w:t>
      </w:r>
      <w:r>
        <w:rPr>
          <w:spacing w:val="8"/>
        </w:rPr>
        <w:t> </w:t>
      </w:r>
      <w:r>
        <w:rPr/>
        <w:t>obedience</w:t>
      </w:r>
      <w:r>
        <w:rPr>
          <w:spacing w:val="5"/>
        </w:rPr>
        <w:t> </w:t>
      </w:r>
      <w:r>
        <w:rPr/>
        <w:t>and</w:t>
      </w:r>
      <w:r>
        <w:rPr>
          <w:spacing w:val="8"/>
        </w:rPr>
        <w:t> </w:t>
      </w:r>
      <w:r>
        <w:rPr/>
        <w:t>silence,</w:t>
      </w:r>
      <w:r>
        <w:rPr>
          <w:spacing w:val="7"/>
        </w:rPr>
        <w:t> </w:t>
      </w:r>
      <w:r>
        <w:rPr/>
        <w:t>yet</w:t>
      </w:r>
      <w:r>
        <w:rPr>
          <w:spacing w:val="8"/>
        </w:rPr>
        <w:t> </w:t>
      </w:r>
      <w:r>
        <w:rPr/>
        <w:t>they</w:t>
      </w:r>
      <w:r>
        <w:rPr>
          <w:spacing w:val="4"/>
        </w:rPr>
        <w:t> </w:t>
      </w:r>
      <w:r>
        <w:rPr/>
        <w:t>display</w:t>
      </w:r>
      <w:r>
        <w:rPr>
          <w:spacing w:val="4"/>
        </w:rPr>
        <w:t> </w:t>
      </w:r>
      <w:r>
        <w:rPr/>
        <w:t>intelligence</w:t>
      </w:r>
      <w:r>
        <w:rPr>
          <w:spacing w:val="6"/>
        </w:rPr>
        <w:t> </w:t>
      </w:r>
      <w:r>
        <w:rPr>
          <w:spacing w:val="-5"/>
        </w:rPr>
        <w:t>and</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12256">
                <wp:simplePos x="0" y="0"/>
                <wp:positionH relativeFrom="page">
                  <wp:posOffset>2057400</wp:posOffset>
                </wp:positionH>
                <wp:positionV relativeFrom="paragraph">
                  <wp:posOffset>162604</wp:posOffset>
                </wp:positionV>
                <wp:extent cx="3657600" cy="12700"/>
                <wp:effectExtent l="0" t="0" r="0" b="0"/>
                <wp:wrapTopAndBottom/>
                <wp:docPr id="381" name="Graphic 381"/>
                <wp:cNvGraphicFramePr>
                  <a:graphicFrameLocks/>
                </wp:cNvGraphicFramePr>
                <a:graphic>
                  <a:graphicData uri="http://schemas.microsoft.com/office/word/2010/wordprocessingShape">
                    <wps:wsp>
                      <wps:cNvPr id="381" name="Graphic 38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04224;mso-wrap-distance-left:0;mso-wrap-distance-right:0" id="docshape377" filled="true" fillcolor="#000000" stroked="false">
                <v:fill type="solid"/>
                <w10:wrap type="topAndBottom"/>
              </v:rect>
            </w:pict>
          </mc:Fallback>
        </mc:AlternateContent>
      </w:r>
      <w:r>
        <w:rPr>
          <w:rFonts w:ascii="Verdana"/>
          <w:spacing w:val="-5"/>
          <w:sz w:val="18"/>
        </w:rPr>
        <w:t>150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4" w:lineRule="auto" w:before="199"/>
        <w:ind w:right="1441"/>
        <w:jc w:val="both"/>
      </w:pPr>
      <w:r>
        <w:rPr/>
        <w:t>emotional depth (Granthaalayah Publication). This contradiction forms the</w:t>
      </w:r>
      <w:r>
        <w:rPr>
          <w:spacing w:val="40"/>
        </w:rPr>
        <w:t> </w:t>
      </w:r>
      <w:r>
        <w:rPr/>
        <w:t>basis</w:t>
      </w:r>
      <w:r>
        <w:rPr>
          <w:spacing w:val="40"/>
        </w:rPr>
        <w:t> </w:t>
      </w:r>
      <w:r>
        <w:rPr/>
        <w:t>of</w:t>
      </w:r>
      <w:r>
        <w:rPr>
          <w:spacing w:val="40"/>
        </w:rPr>
        <w:t> </w:t>
      </w:r>
      <w:r>
        <w:rPr/>
        <w:t>feminist</w:t>
      </w:r>
      <w:r>
        <w:rPr>
          <w:spacing w:val="40"/>
        </w:rPr>
        <w:t> </w:t>
      </w:r>
      <w:r>
        <w:rPr/>
        <w:t>interpretations.</w:t>
      </w:r>
    </w:p>
    <w:p>
      <w:pPr>
        <w:pStyle w:val="BodyText"/>
        <w:spacing w:line="249" w:lineRule="auto" w:before="49"/>
        <w:ind w:right="1438" w:firstLine="432"/>
        <w:jc w:val="both"/>
      </w:pPr>
      <w:r>
        <w:rPr/>
        <w:t>Another recent study by Sekar (2025) focuses on the idea of “muted power,”</w:t>
      </w:r>
      <w:r>
        <w:rPr>
          <w:spacing w:val="-1"/>
        </w:rPr>
        <w:t> </w:t>
      </w:r>
      <w:r>
        <w:rPr/>
        <w:t>arguing</w:t>
      </w:r>
      <w:r>
        <w:rPr>
          <w:spacing w:val="-2"/>
        </w:rPr>
        <w:t> </w:t>
      </w:r>
      <w:r>
        <w:rPr/>
        <w:t>that female</w:t>
      </w:r>
      <w:r>
        <w:rPr>
          <w:spacing w:val="-1"/>
        </w:rPr>
        <w:t> </w:t>
      </w:r>
      <w:r>
        <w:rPr/>
        <w:t>characters in tragedies</w:t>
      </w:r>
      <w:r>
        <w:rPr>
          <w:spacing w:val="-2"/>
        </w:rPr>
        <w:t> </w:t>
      </w:r>
      <w:r>
        <w:rPr/>
        <w:t>like </w:t>
      </w:r>
      <w:r>
        <w:rPr>
          <w:i/>
        </w:rPr>
        <w:t>Othello </w:t>
      </w:r>
      <w:r>
        <w:rPr/>
        <w:t>and </w:t>
      </w:r>
      <w:r>
        <w:rPr>
          <w:i/>
        </w:rPr>
        <w:t>King Lear </w:t>
      </w:r>
      <w:r>
        <w:rPr/>
        <w:t>are systematically silenced through social and narrative structures (ResearchGate). The research shows that silence is not </w:t>
      </w:r>
      <w:r>
        <w:rPr>
          <w:spacing w:val="-2"/>
        </w:rPr>
        <w:t>accidental</w:t>
      </w:r>
      <w:r>
        <w:rPr>
          <w:spacing w:val="-11"/>
        </w:rPr>
        <w:t> </w:t>
      </w:r>
      <w:r>
        <w:rPr>
          <w:spacing w:val="-2"/>
        </w:rPr>
        <w:t>but</w:t>
      </w:r>
      <w:r>
        <w:rPr>
          <w:spacing w:val="-10"/>
        </w:rPr>
        <w:t> </w:t>
      </w:r>
      <w:r>
        <w:rPr>
          <w:spacing w:val="-2"/>
        </w:rPr>
        <w:t>intentionally</w:t>
      </w:r>
      <w:r>
        <w:rPr>
          <w:spacing w:val="-11"/>
        </w:rPr>
        <w:t> </w:t>
      </w:r>
      <w:r>
        <w:rPr>
          <w:spacing w:val="-2"/>
        </w:rPr>
        <w:t>used</w:t>
      </w:r>
      <w:r>
        <w:rPr>
          <w:spacing w:val="-8"/>
        </w:rPr>
        <w:t> </w:t>
      </w:r>
      <w:r>
        <w:rPr>
          <w:spacing w:val="-2"/>
        </w:rPr>
        <w:t>to</w:t>
      </w:r>
      <w:r>
        <w:rPr>
          <w:spacing w:val="-9"/>
        </w:rPr>
        <w:t> </w:t>
      </w:r>
      <w:r>
        <w:rPr>
          <w:spacing w:val="-2"/>
        </w:rPr>
        <w:t>maintain</w:t>
      </w:r>
      <w:r>
        <w:rPr>
          <w:spacing w:val="-10"/>
        </w:rPr>
        <w:t> </w:t>
      </w:r>
      <w:r>
        <w:rPr>
          <w:spacing w:val="-2"/>
        </w:rPr>
        <w:t>male</w:t>
      </w:r>
      <w:r>
        <w:rPr>
          <w:spacing w:val="-10"/>
        </w:rPr>
        <w:t> </w:t>
      </w:r>
      <w:r>
        <w:rPr>
          <w:spacing w:val="-2"/>
        </w:rPr>
        <w:t>authority</w:t>
      </w:r>
      <w:r>
        <w:rPr>
          <w:spacing w:val="-11"/>
        </w:rPr>
        <w:t> </w:t>
      </w:r>
      <w:r>
        <w:rPr>
          <w:spacing w:val="-2"/>
        </w:rPr>
        <w:t>while</w:t>
      </w:r>
      <w:r>
        <w:rPr>
          <w:spacing w:val="-7"/>
        </w:rPr>
        <w:t> </w:t>
      </w:r>
      <w:r>
        <w:rPr>
          <w:spacing w:val="-2"/>
        </w:rPr>
        <w:t>limiting </w:t>
      </w:r>
      <w:r>
        <w:rPr/>
        <w:t>female agency.</w:t>
      </w:r>
    </w:p>
    <w:p>
      <w:pPr>
        <w:pStyle w:val="BodyText"/>
        <w:spacing w:line="249" w:lineRule="auto" w:before="62"/>
        <w:ind w:right="1440" w:firstLine="432"/>
        <w:jc w:val="both"/>
      </w:pPr>
      <w:r>
        <w:rPr/>
        <w:t>Further, feminist criticism since the 1980s has emphasized that Shakespeare’s</w:t>
      </w:r>
      <w:r>
        <w:rPr>
          <w:spacing w:val="-9"/>
        </w:rPr>
        <w:t> </w:t>
      </w:r>
      <w:r>
        <w:rPr/>
        <w:t>works</w:t>
      </w:r>
      <w:r>
        <w:rPr>
          <w:spacing w:val="-9"/>
        </w:rPr>
        <w:t> </w:t>
      </w:r>
      <w:r>
        <w:rPr/>
        <w:t>reflect</w:t>
      </w:r>
      <w:r>
        <w:rPr>
          <w:spacing w:val="-8"/>
        </w:rPr>
        <w:t> </w:t>
      </w:r>
      <w:r>
        <w:rPr/>
        <w:t>a</w:t>
      </w:r>
      <w:r>
        <w:rPr>
          <w:spacing w:val="-9"/>
        </w:rPr>
        <w:t> </w:t>
      </w:r>
      <w:r>
        <w:rPr/>
        <w:t>patriarchal</w:t>
      </w:r>
      <w:r>
        <w:rPr>
          <w:spacing w:val="-10"/>
        </w:rPr>
        <w:t> </w:t>
      </w:r>
      <w:r>
        <w:rPr/>
        <w:t>culture</w:t>
      </w:r>
      <w:r>
        <w:rPr>
          <w:spacing w:val="-9"/>
        </w:rPr>
        <w:t> </w:t>
      </w:r>
      <w:r>
        <w:rPr/>
        <w:t>where</w:t>
      </w:r>
      <w:r>
        <w:rPr>
          <w:spacing w:val="-7"/>
        </w:rPr>
        <w:t> </w:t>
      </w:r>
      <w:r>
        <w:rPr/>
        <w:t>women</w:t>
      </w:r>
      <w:r>
        <w:rPr>
          <w:spacing w:val="-10"/>
        </w:rPr>
        <w:t> </w:t>
      </w:r>
      <w:r>
        <w:rPr/>
        <w:t>function </w:t>
      </w:r>
      <w:r>
        <w:rPr>
          <w:spacing w:val="-2"/>
        </w:rPr>
        <w:t>as</w:t>
      </w:r>
      <w:r>
        <w:rPr>
          <w:spacing w:val="-11"/>
        </w:rPr>
        <w:t> </w:t>
      </w:r>
      <w:r>
        <w:rPr>
          <w:spacing w:val="-2"/>
        </w:rPr>
        <w:t>objects</w:t>
      </w:r>
      <w:r>
        <w:rPr>
          <w:spacing w:val="-10"/>
        </w:rPr>
        <w:t> </w:t>
      </w:r>
      <w:r>
        <w:rPr>
          <w:spacing w:val="-2"/>
        </w:rPr>
        <w:t>within</w:t>
      </w:r>
      <w:r>
        <w:rPr>
          <w:spacing w:val="-11"/>
        </w:rPr>
        <w:t> </w:t>
      </w:r>
      <w:r>
        <w:rPr>
          <w:spacing w:val="-2"/>
        </w:rPr>
        <w:t>male</w:t>
      </w:r>
      <w:r>
        <w:rPr>
          <w:spacing w:val="-10"/>
        </w:rPr>
        <w:t> </w:t>
      </w:r>
      <w:r>
        <w:rPr>
          <w:spacing w:val="-2"/>
        </w:rPr>
        <w:t>power</w:t>
      </w:r>
      <w:r>
        <w:rPr>
          <w:spacing w:val="-11"/>
        </w:rPr>
        <w:t> </w:t>
      </w:r>
      <w:r>
        <w:rPr>
          <w:spacing w:val="-2"/>
        </w:rPr>
        <w:t>relations</w:t>
      </w:r>
      <w:r>
        <w:rPr>
          <w:spacing w:val="-10"/>
        </w:rPr>
        <w:t> </w:t>
      </w:r>
      <w:r>
        <w:rPr>
          <w:spacing w:val="-2"/>
        </w:rPr>
        <w:t>rather</w:t>
      </w:r>
      <w:r>
        <w:rPr>
          <w:spacing w:val="-11"/>
        </w:rPr>
        <w:t> </w:t>
      </w:r>
      <w:r>
        <w:rPr>
          <w:spacing w:val="-2"/>
        </w:rPr>
        <w:t>than</w:t>
      </w:r>
      <w:r>
        <w:rPr>
          <w:spacing w:val="-10"/>
        </w:rPr>
        <w:t> </w:t>
      </w:r>
      <w:r>
        <w:rPr>
          <w:spacing w:val="-2"/>
        </w:rPr>
        <w:t>independent</w:t>
      </w:r>
      <w:r>
        <w:rPr>
          <w:spacing w:val="-11"/>
        </w:rPr>
        <w:t> </w:t>
      </w:r>
      <w:r>
        <w:rPr>
          <w:spacing w:val="-2"/>
        </w:rPr>
        <w:t>individuals </w:t>
      </w:r>
      <w:r>
        <w:rPr/>
        <w:t>(Encyclopedia Britannica). This approach highlights how gender roles influence</w:t>
      </w:r>
      <w:r>
        <w:rPr>
          <w:spacing w:val="40"/>
        </w:rPr>
        <w:t> </w:t>
      </w:r>
      <w:r>
        <w:rPr/>
        <w:t>speech</w:t>
      </w:r>
      <w:r>
        <w:rPr>
          <w:spacing w:val="40"/>
        </w:rPr>
        <w:t> </w:t>
      </w:r>
      <w:r>
        <w:rPr/>
        <w:t>and</w:t>
      </w:r>
      <w:r>
        <w:rPr>
          <w:spacing w:val="40"/>
        </w:rPr>
        <w:t> </w:t>
      </w:r>
      <w:r>
        <w:rPr/>
        <w:t>silence</w:t>
      </w:r>
      <w:r>
        <w:rPr>
          <w:spacing w:val="40"/>
        </w:rPr>
        <w:t> </w:t>
      </w:r>
      <w:r>
        <w:rPr/>
        <w:t>in</w:t>
      </w:r>
      <w:r>
        <w:rPr>
          <w:spacing w:val="40"/>
        </w:rPr>
        <w:t> </w:t>
      </w:r>
      <w:r>
        <w:rPr/>
        <w:t>the</w:t>
      </w:r>
      <w:r>
        <w:rPr>
          <w:spacing w:val="40"/>
        </w:rPr>
        <w:t> </w:t>
      </w:r>
      <w:r>
        <w:rPr/>
        <w:t>plays.</w:t>
      </w:r>
    </w:p>
    <w:p>
      <w:pPr>
        <w:pStyle w:val="BodyText"/>
        <w:spacing w:line="249" w:lineRule="auto" w:before="62"/>
        <w:ind w:right="1441" w:firstLine="432"/>
        <w:jc w:val="both"/>
      </w:pPr>
      <w:r>
        <w:rPr/>
        <w:t>Additionally, studies on rhetorical silence suggest that silence in Shakespeare is</w:t>
      </w:r>
      <w:r>
        <w:rPr>
          <w:spacing w:val="-3"/>
        </w:rPr>
        <w:t> </w:t>
      </w:r>
      <w:r>
        <w:rPr/>
        <w:t>a meaningful</w:t>
      </w:r>
      <w:r>
        <w:rPr>
          <w:spacing w:val="-2"/>
        </w:rPr>
        <w:t> </w:t>
      </w:r>
      <w:r>
        <w:rPr/>
        <w:t>strategy</w:t>
      </w:r>
      <w:r>
        <w:rPr>
          <w:spacing w:val="-1"/>
        </w:rPr>
        <w:t> </w:t>
      </w:r>
      <w:r>
        <w:rPr/>
        <w:t>rather than absence.</w:t>
      </w:r>
      <w:r>
        <w:rPr>
          <w:spacing w:val="-1"/>
        </w:rPr>
        <w:t> </w:t>
      </w:r>
      <w:r>
        <w:rPr/>
        <w:t>For example, characters</w:t>
      </w:r>
      <w:r>
        <w:rPr>
          <w:spacing w:val="-13"/>
        </w:rPr>
        <w:t> </w:t>
      </w:r>
      <w:r>
        <w:rPr/>
        <w:t>like</w:t>
      </w:r>
      <w:r>
        <w:rPr>
          <w:spacing w:val="-12"/>
        </w:rPr>
        <w:t> </w:t>
      </w:r>
      <w:r>
        <w:rPr/>
        <w:t>Isabella</w:t>
      </w:r>
      <w:r>
        <w:rPr>
          <w:spacing w:val="-13"/>
        </w:rPr>
        <w:t> </w:t>
      </w:r>
      <w:r>
        <w:rPr/>
        <w:t>in</w:t>
      </w:r>
      <w:r>
        <w:rPr>
          <w:spacing w:val="-11"/>
        </w:rPr>
        <w:t> </w:t>
      </w:r>
      <w:r>
        <w:rPr>
          <w:i/>
        </w:rPr>
        <w:t>Measure</w:t>
      </w:r>
      <w:r>
        <w:rPr>
          <w:i/>
          <w:spacing w:val="-12"/>
        </w:rPr>
        <w:t> </w:t>
      </w:r>
      <w:r>
        <w:rPr>
          <w:i/>
        </w:rPr>
        <w:t>for</w:t>
      </w:r>
      <w:r>
        <w:rPr>
          <w:i/>
          <w:spacing w:val="-11"/>
        </w:rPr>
        <w:t> </w:t>
      </w:r>
      <w:r>
        <w:rPr>
          <w:i/>
        </w:rPr>
        <w:t>Measure</w:t>
      </w:r>
      <w:r>
        <w:rPr>
          <w:i/>
          <w:spacing w:val="-10"/>
        </w:rPr>
        <w:t> </w:t>
      </w:r>
      <w:r>
        <w:rPr/>
        <w:t>use</w:t>
      </w:r>
      <w:r>
        <w:rPr>
          <w:spacing w:val="-13"/>
        </w:rPr>
        <w:t> </w:t>
      </w:r>
      <w:r>
        <w:rPr/>
        <w:t>speech</w:t>
      </w:r>
      <w:r>
        <w:rPr>
          <w:spacing w:val="-12"/>
        </w:rPr>
        <w:t> </w:t>
      </w:r>
      <w:r>
        <w:rPr/>
        <w:t>as</w:t>
      </w:r>
      <w:r>
        <w:rPr>
          <w:spacing w:val="-13"/>
        </w:rPr>
        <w:t> </w:t>
      </w:r>
      <w:r>
        <w:rPr/>
        <w:t>resistance, while others are silenced to show power imbalance (OUP Academic).</w:t>
      </w:r>
    </w:p>
    <w:p>
      <w:pPr>
        <w:pStyle w:val="Heading3"/>
        <w:spacing w:before="159"/>
      </w:pPr>
      <w:r>
        <w:rPr>
          <w:w w:val="90"/>
        </w:rPr>
        <w:t>RESEARCH</w:t>
      </w:r>
      <w:r>
        <w:rPr>
          <w:spacing w:val="-1"/>
        </w:rPr>
        <w:t> </w:t>
      </w:r>
      <w:r>
        <w:rPr>
          <w:spacing w:val="-5"/>
        </w:rPr>
        <w:t>GAP</w:t>
      </w:r>
    </w:p>
    <w:p>
      <w:pPr>
        <w:pStyle w:val="BodyText"/>
        <w:spacing w:line="249" w:lineRule="auto" w:before="76"/>
        <w:ind w:right="1435" w:firstLine="432"/>
        <w:jc w:val="both"/>
      </w:pPr>
      <w:r>
        <w:rPr/>
        <w:t>While many studies discuss female oppression and agency, there</w:t>
      </w:r>
      <w:r>
        <w:rPr>
          <w:spacing w:val="40"/>
        </w:rPr>
        <w:t> </w:t>
      </w:r>
      <w:r>
        <w:rPr/>
        <w:t>is limited focus on how language and silence together function as a combined system of power. This research aims to fill this gap by analyzing silence not only as suppression but also as a form of communication</w:t>
      </w:r>
      <w:r>
        <w:rPr>
          <w:spacing w:val="7"/>
        </w:rPr>
        <w:t> </w:t>
      </w:r>
      <w:r>
        <w:rPr/>
        <w:t>and</w:t>
      </w:r>
      <w:r>
        <w:rPr>
          <w:spacing w:val="9"/>
        </w:rPr>
        <w:t> </w:t>
      </w:r>
      <w:r>
        <w:rPr/>
        <w:t>resistance</w:t>
      </w:r>
      <w:r>
        <w:rPr>
          <w:spacing w:val="8"/>
        </w:rPr>
        <w:t> </w:t>
      </w:r>
      <w:r>
        <w:rPr/>
        <w:t>within</w:t>
      </w:r>
      <w:r>
        <w:rPr>
          <w:spacing w:val="7"/>
        </w:rPr>
        <w:t> </w:t>
      </w:r>
      <w:r>
        <w:rPr/>
        <w:t>Shakespeare’s</w:t>
      </w:r>
      <w:r>
        <w:rPr>
          <w:spacing w:val="7"/>
        </w:rPr>
        <w:t> </w:t>
      </w:r>
      <w:r>
        <w:rPr/>
        <w:t>female</w:t>
      </w:r>
      <w:r>
        <w:rPr>
          <w:spacing w:val="7"/>
        </w:rPr>
        <w:t> </w:t>
      </w:r>
      <w:r>
        <w:rPr>
          <w:spacing w:val="-2"/>
        </w:rPr>
        <w:t>characters.</w:t>
      </w:r>
    </w:p>
    <w:p>
      <w:pPr>
        <w:pStyle w:val="Heading3"/>
        <w:spacing w:before="157"/>
      </w:pPr>
      <w:r>
        <w:rPr>
          <w:spacing w:val="-2"/>
        </w:rPr>
        <w:t>OBJECTIVES</w:t>
      </w:r>
    </w:p>
    <w:p>
      <w:pPr>
        <w:pStyle w:val="ListParagraph"/>
        <w:numPr>
          <w:ilvl w:val="0"/>
          <w:numId w:val="29"/>
        </w:numPr>
        <w:tabs>
          <w:tab w:pos="2160" w:val="left" w:leader="none"/>
        </w:tabs>
        <w:spacing w:line="261" w:lineRule="auto" w:before="83" w:after="0"/>
        <w:ind w:left="2160" w:right="1440" w:hanging="240"/>
        <w:jc w:val="left"/>
        <w:rPr>
          <w:sz w:val="20"/>
        </w:rPr>
      </w:pPr>
      <w:r>
        <w:rPr>
          <w:sz w:val="20"/>
        </w:rPr>
        <w:t>To analyze the role of language in shaping female identity in Shakespeare’s</w:t>
      </w:r>
      <w:r>
        <w:rPr>
          <w:spacing w:val="40"/>
          <w:sz w:val="20"/>
        </w:rPr>
        <w:t> </w:t>
      </w:r>
      <w:r>
        <w:rPr>
          <w:sz w:val="20"/>
        </w:rPr>
        <w:t>plays.</w:t>
      </w:r>
    </w:p>
    <w:p>
      <w:pPr>
        <w:pStyle w:val="ListParagraph"/>
        <w:numPr>
          <w:ilvl w:val="0"/>
          <w:numId w:val="29"/>
        </w:numPr>
        <w:tabs>
          <w:tab w:pos="2159" w:val="left" w:leader="none"/>
        </w:tabs>
        <w:spacing w:line="240" w:lineRule="auto" w:before="57" w:after="0"/>
        <w:ind w:left="2159" w:right="0" w:hanging="239"/>
        <w:jc w:val="left"/>
        <w:rPr>
          <w:sz w:val="20"/>
        </w:rPr>
      </w:pPr>
      <w:r>
        <w:rPr>
          <w:sz w:val="20"/>
        </w:rPr>
        <w:t>To</w:t>
      </w:r>
      <w:r>
        <w:rPr>
          <w:spacing w:val="24"/>
          <w:sz w:val="20"/>
        </w:rPr>
        <w:t> </w:t>
      </w:r>
      <w:r>
        <w:rPr>
          <w:sz w:val="20"/>
        </w:rPr>
        <w:t>examine</w:t>
      </w:r>
      <w:r>
        <w:rPr>
          <w:spacing w:val="24"/>
          <w:sz w:val="20"/>
        </w:rPr>
        <w:t> </w:t>
      </w:r>
      <w:r>
        <w:rPr>
          <w:sz w:val="20"/>
        </w:rPr>
        <w:t>how</w:t>
      </w:r>
      <w:r>
        <w:rPr>
          <w:spacing w:val="19"/>
          <w:sz w:val="20"/>
        </w:rPr>
        <w:t> </w:t>
      </w:r>
      <w:r>
        <w:rPr>
          <w:sz w:val="20"/>
        </w:rPr>
        <w:t>silence</w:t>
      </w:r>
      <w:r>
        <w:rPr>
          <w:spacing w:val="26"/>
          <w:sz w:val="20"/>
        </w:rPr>
        <w:t> </w:t>
      </w:r>
      <w:r>
        <w:rPr>
          <w:sz w:val="20"/>
        </w:rPr>
        <w:t>reflects</w:t>
      </w:r>
      <w:r>
        <w:rPr>
          <w:spacing w:val="21"/>
          <w:sz w:val="20"/>
        </w:rPr>
        <w:t> </w:t>
      </w:r>
      <w:r>
        <w:rPr>
          <w:sz w:val="20"/>
        </w:rPr>
        <w:t>suppression</w:t>
      </w:r>
      <w:r>
        <w:rPr>
          <w:spacing w:val="21"/>
          <w:sz w:val="20"/>
        </w:rPr>
        <w:t> </w:t>
      </w:r>
      <w:r>
        <w:rPr>
          <w:sz w:val="20"/>
        </w:rPr>
        <w:t>and</w:t>
      </w:r>
      <w:r>
        <w:rPr>
          <w:spacing w:val="24"/>
          <w:sz w:val="20"/>
        </w:rPr>
        <w:t> </w:t>
      </w:r>
      <w:r>
        <w:rPr>
          <w:spacing w:val="-2"/>
          <w:sz w:val="20"/>
        </w:rPr>
        <w:t>resistance.</w:t>
      </w:r>
    </w:p>
    <w:p>
      <w:pPr>
        <w:pStyle w:val="ListParagraph"/>
        <w:numPr>
          <w:ilvl w:val="0"/>
          <w:numId w:val="29"/>
        </w:numPr>
        <w:tabs>
          <w:tab w:pos="2159" w:val="left" w:leader="none"/>
        </w:tabs>
        <w:spacing w:line="240" w:lineRule="auto" w:before="78" w:after="0"/>
        <w:ind w:left="2159" w:right="0" w:hanging="239"/>
        <w:jc w:val="left"/>
        <w:rPr>
          <w:sz w:val="20"/>
        </w:rPr>
      </w:pPr>
      <w:r>
        <w:rPr>
          <w:sz w:val="20"/>
        </w:rPr>
        <w:t>To</w:t>
      </w:r>
      <w:r>
        <w:rPr>
          <w:spacing w:val="29"/>
          <w:sz w:val="20"/>
        </w:rPr>
        <w:t> </w:t>
      </w:r>
      <w:r>
        <w:rPr>
          <w:sz w:val="20"/>
        </w:rPr>
        <w:t>study</w:t>
      </w:r>
      <w:r>
        <w:rPr>
          <w:spacing w:val="26"/>
          <w:sz w:val="20"/>
        </w:rPr>
        <w:t> </w:t>
      </w:r>
      <w:r>
        <w:rPr>
          <w:sz w:val="20"/>
        </w:rPr>
        <w:t>the</w:t>
      </w:r>
      <w:r>
        <w:rPr>
          <w:spacing w:val="28"/>
          <w:sz w:val="20"/>
        </w:rPr>
        <w:t> </w:t>
      </w:r>
      <w:r>
        <w:rPr>
          <w:sz w:val="20"/>
        </w:rPr>
        <w:t>relationship</w:t>
      </w:r>
      <w:r>
        <w:rPr>
          <w:spacing w:val="31"/>
          <w:sz w:val="20"/>
        </w:rPr>
        <w:t> </w:t>
      </w:r>
      <w:r>
        <w:rPr>
          <w:sz w:val="20"/>
        </w:rPr>
        <w:t>between</w:t>
      </w:r>
      <w:r>
        <w:rPr>
          <w:spacing w:val="28"/>
          <w:sz w:val="20"/>
        </w:rPr>
        <w:t> </w:t>
      </w:r>
      <w:r>
        <w:rPr>
          <w:sz w:val="20"/>
        </w:rPr>
        <w:t>gender</w:t>
      </w:r>
      <w:r>
        <w:rPr>
          <w:spacing w:val="28"/>
          <w:sz w:val="20"/>
        </w:rPr>
        <w:t> </w:t>
      </w:r>
      <w:r>
        <w:rPr>
          <w:sz w:val="20"/>
        </w:rPr>
        <w:t>and</w:t>
      </w:r>
      <w:r>
        <w:rPr>
          <w:spacing w:val="29"/>
          <w:sz w:val="20"/>
        </w:rPr>
        <w:t> </w:t>
      </w:r>
      <w:r>
        <w:rPr>
          <w:spacing w:val="-2"/>
          <w:sz w:val="20"/>
        </w:rPr>
        <w:t>power.</w:t>
      </w:r>
    </w:p>
    <w:p>
      <w:pPr>
        <w:pStyle w:val="ListParagraph"/>
        <w:numPr>
          <w:ilvl w:val="0"/>
          <w:numId w:val="29"/>
        </w:numPr>
        <w:tabs>
          <w:tab w:pos="2160" w:val="left" w:leader="none"/>
        </w:tabs>
        <w:spacing w:line="261" w:lineRule="auto" w:before="77" w:after="0"/>
        <w:ind w:left="2160" w:right="1439" w:hanging="240"/>
        <w:jc w:val="left"/>
        <w:rPr>
          <w:sz w:val="20"/>
        </w:rPr>
      </w:pPr>
      <w:r>
        <w:rPr>
          <w:sz w:val="20"/>
        </w:rPr>
        <w:t>To explore the relevance of feminist interpretation in modern literary</w:t>
      </w:r>
      <w:r>
        <w:rPr>
          <w:spacing w:val="40"/>
          <w:sz w:val="20"/>
        </w:rPr>
        <w:t> </w:t>
      </w:r>
      <w:r>
        <w:rPr>
          <w:sz w:val="20"/>
        </w:rPr>
        <w:t>studies.</w:t>
      </w:r>
    </w:p>
    <w:p>
      <w:pPr>
        <w:pStyle w:val="Heading3"/>
        <w:spacing w:before="146"/>
      </w:pPr>
      <w:r>
        <w:rPr>
          <w:spacing w:val="-2"/>
        </w:rPr>
        <w:t>METHODOLOGY</w:t>
      </w:r>
    </w:p>
    <w:p>
      <w:pPr>
        <w:pStyle w:val="BodyText"/>
        <w:spacing w:line="249" w:lineRule="auto" w:before="76"/>
        <w:ind w:right="1437" w:firstLine="432"/>
        <w:jc w:val="both"/>
      </w:pPr>
      <w:r>
        <w:rPr/>
        <w:t>This research adopts a qualitative approach based on textual analysis of selected Shakespearean plays such as </w:t>
      </w:r>
      <w:r>
        <w:rPr>
          <w:i/>
        </w:rPr>
        <w:t>Othello</w:t>
      </w:r>
      <w:r>
        <w:rPr/>
        <w:t>, </w:t>
      </w:r>
      <w:r>
        <w:rPr>
          <w:i/>
        </w:rPr>
        <w:t>Hamlet</w:t>
      </w:r>
      <w:r>
        <w:rPr/>
        <w:t>, </w:t>
      </w:r>
      <w:r>
        <w:rPr>
          <w:i/>
        </w:rPr>
        <w:t>Macbeth</w:t>
      </w:r>
      <w:r>
        <w:rPr/>
        <w:t>, and </w:t>
      </w:r>
      <w:r>
        <w:rPr>
          <w:i/>
        </w:rPr>
        <w:t>King Lear</w:t>
      </w:r>
      <w:r>
        <w:rPr/>
        <w:t>. A feminist theoretical framework is used to interpret</w:t>
      </w:r>
      <w:r>
        <w:rPr>
          <w:spacing w:val="23"/>
        </w:rPr>
        <w:t> </w:t>
      </w:r>
      <w:r>
        <w:rPr/>
        <w:t>the</w:t>
      </w:r>
      <w:r>
        <w:rPr>
          <w:spacing w:val="25"/>
        </w:rPr>
        <w:t> </w:t>
      </w:r>
      <w:r>
        <w:rPr/>
        <w:t>representation</w:t>
      </w:r>
      <w:r>
        <w:rPr>
          <w:spacing w:val="24"/>
        </w:rPr>
        <w:t> </w:t>
      </w:r>
      <w:r>
        <w:rPr/>
        <w:t>of</w:t>
      </w:r>
      <w:r>
        <w:rPr>
          <w:spacing w:val="25"/>
        </w:rPr>
        <w:t> </w:t>
      </w:r>
      <w:r>
        <w:rPr/>
        <w:t>female</w:t>
      </w:r>
      <w:r>
        <w:rPr>
          <w:spacing w:val="28"/>
        </w:rPr>
        <w:t> </w:t>
      </w:r>
      <w:r>
        <w:rPr/>
        <w:t>characters.</w:t>
      </w:r>
      <w:r>
        <w:rPr>
          <w:spacing w:val="27"/>
        </w:rPr>
        <w:t> </w:t>
      </w:r>
      <w:r>
        <w:rPr/>
        <w:t>The</w:t>
      </w:r>
      <w:r>
        <w:rPr>
          <w:spacing w:val="26"/>
        </w:rPr>
        <w:t> </w:t>
      </w:r>
      <w:r>
        <w:rPr/>
        <w:t>study</w:t>
      </w:r>
      <w:r>
        <w:rPr>
          <w:spacing w:val="21"/>
        </w:rPr>
        <w:t> </w:t>
      </w:r>
      <w:r>
        <w:rPr/>
        <w:t>draws</w:t>
      </w:r>
      <w:r>
        <w:rPr>
          <w:spacing w:val="23"/>
        </w:rPr>
        <w:t> </w:t>
      </w:r>
      <w:r>
        <w:rPr>
          <w:spacing w:val="-5"/>
        </w:rPr>
        <w:t>on</w:t>
      </w:r>
    </w:p>
    <w:p>
      <w:pPr>
        <w:pStyle w:val="BodyText"/>
        <w:spacing w:after="0" w:line="249" w:lineRule="auto"/>
        <w:jc w:val="both"/>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12768">
                <wp:simplePos x="0" y="0"/>
                <wp:positionH relativeFrom="page">
                  <wp:posOffset>2065020</wp:posOffset>
                </wp:positionH>
                <wp:positionV relativeFrom="paragraph">
                  <wp:posOffset>795020</wp:posOffset>
                </wp:positionV>
                <wp:extent cx="3657600" cy="12700"/>
                <wp:effectExtent l="0" t="0" r="0" b="0"/>
                <wp:wrapTopAndBottom/>
                <wp:docPr id="382" name="Graphic 382"/>
                <wp:cNvGraphicFramePr>
                  <a:graphicFrameLocks/>
                </wp:cNvGraphicFramePr>
                <a:graphic>
                  <a:graphicData uri="http://schemas.microsoft.com/office/word/2010/wordprocessingShape">
                    <wps:wsp>
                      <wps:cNvPr id="382" name="Graphic 38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03712;mso-wrap-distance-left:0;mso-wrap-distance-right:0" id="docshape378" filled="true" fillcolor="#000000" stroked="false">
                <v:fill type="solid"/>
                <w10:wrap type="topAndBottom"/>
              </v:rect>
            </w:pict>
          </mc:Fallback>
        </mc:AlternateContent>
      </w:r>
      <w:r>
        <w:rPr>
          <w:rFonts w:ascii="Verdana"/>
          <w:sz w:val="18"/>
        </w:rPr>
        <w:t>Voices</w:t>
      </w:r>
      <w:r>
        <w:rPr>
          <w:rFonts w:ascii="Verdana"/>
          <w:spacing w:val="-1"/>
          <w:sz w:val="18"/>
        </w:rPr>
        <w:t> </w:t>
      </w:r>
      <w:r>
        <w:rPr>
          <w:rFonts w:ascii="Verdana"/>
          <w:sz w:val="18"/>
        </w:rPr>
        <w:t>in</w:t>
      </w:r>
      <w:r>
        <w:rPr>
          <w:rFonts w:ascii="Verdana"/>
          <w:spacing w:val="-1"/>
          <w:sz w:val="18"/>
        </w:rPr>
        <w:t> </w:t>
      </w:r>
      <w:r>
        <w:rPr>
          <w:rFonts w:ascii="Verdana"/>
          <w:sz w:val="18"/>
        </w:rPr>
        <w:t>Silence:</w:t>
      </w:r>
      <w:r>
        <w:rPr>
          <w:rFonts w:ascii="Verdana"/>
          <w:spacing w:val="-2"/>
          <w:sz w:val="18"/>
        </w:rPr>
        <w:t> </w:t>
      </w:r>
      <w:r>
        <w:rPr>
          <w:rFonts w:ascii="Verdana"/>
          <w:sz w:val="18"/>
        </w:rPr>
        <w:t>A</w:t>
      </w:r>
      <w:r>
        <w:rPr>
          <w:rFonts w:ascii="Verdana"/>
          <w:spacing w:val="-7"/>
          <w:sz w:val="18"/>
        </w:rPr>
        <w:t> </w:t>
      </w:r>
      <w:r>
        <w:rPr>
          <w:rFonts w:ascii="Verdana"/>
          <w:sz w:val="18"/>
        </w:rPr>
        <w:t>Feminist</w:t>
      </w:r>
      <w:r>
        <w:rPr>
          <w:rFonts w:ascii="Verdana"/>
          <w:spacing w:val="-3"/>
          <w:sz w:val="18"/>
        </w:rPr>
        <w:t> </w:t>
      </w:r>
      <w:r>
        <w:rPr>
          <w:rFonts w:ascii="Verdana"/>
          <w:sz w:val="18"/>
        </w:rPr>
        <w:t>Study</w:t>
      </w:r>
      <w:r>
        <w:rPr>
          <w:rFonts w:ascii="Verdana"/>
          <w:spacing w:val="-1"/>
          <w:sz w:val="18"/>
        </w:rPr>
        <w:t> </w:t>
      </w:r>
      <w:r>
        <w:rPr>
          <w:rFonts w:ascii="Verdana"/>
          <w:sz w:val="18"/>
        </w:rPr>
        <w:t>of</w:t>
      </w:r>
      <w:r>
        <w:rPr>
          <w:rFonts w:ascii="Verdana"/>
          <w:spacing w:val="-1"/>
          <w:sz w:val="18"/>
        </w:rPr>
        <w:t> </w:t>
      </w:r>
      <w:r>
        <w:rPr>
          <w:rFonts w:ascii="Verdana"/>
          <w:spacing w:val="-2"/>
          <w:sz w:val="18"/>
        </w:rPr>
        <w:t>Language...</w:t>
      </w:r>
      <w:r>
        <w:rPr>
          <w:sz w:val="18"/>
        </w:rPr>
        <w:tab/>
      </w:r>
      <w:r>
        <w:rPr>
          <w:rFonts w:ascii="Verdana"/>
          <w:spacing w:val="-5"/>
          <w:sz w:val="18"/>
        </w:rPr>
        <w:t>151</w:t>
      </w:r>
    </w:p>
    <w:p>
      <w:pPr>
        <w:pStyle w:val="BodyText"/>
        <w:spacing w:line="249" w:lineRule="auto" w:before="192"/>
        <w:ind w:right="1441"/>
        <w:jc w:val="both"/>
      </w:pPr>
      <w:r>
        <w:rPr/>
        <w:t>the works of feminist theorists like Judith Butler and Gayatri Spivak to analyze</w:t>
      </w:r>
      <w:r>
        <w:rPr>
          <w:spacing w:val="16"/>
        </w:rPr>
        <w:t> </w:t>
      </w:r>
      <w:r>
        <w:rPr/>
        <w:t>how</w:t>
      </w:r>
      <w:r>
        <w:rPr>
          <w:spacing w:val="17"/>
        </w:rPr>
        <w:t> </w:t>
      </w:r>
      <w:r>
        <w:rPr/>
        <w:t>gender</w:t>
      </w:r>
      <w:r>
        <w:rPr>
          <w:spacing w:val="18"/>
        </w:rPr>
        <w:t> </w:t>
      </w:r>
      <w:r>
        <w:rPr/>
        <w:t>and</w:t>
      </w:r>
      <w:r>
        <w:rPr>
          <w:spacing w:val="18"/>
        </w:rPr>
        <w:t> </w:t>
      </w:r>
      <w:r>
        <w:rPr/>
        <w:t>power</w:t>
      </w:r>
      <w:r>
        <w:rPr>
          <w:spacing w:val="20"/>
        </w:rPr>
        <w:t> </w:t>
      </w:r>
      <w:r>
        <w:rPr/>
        <w:t>operate</w:t>
      </w:r>
      <w:r>
        <w:rPr>
          <w:spacing w:val="17"/>
        </w:rPr>
        <w:t> </w:t>
      </w:r>
      <w:r>
        <w:rPr/>
        <w:t>through</w:t>
      </w:r>
      <w:r>
        <w:rPr>
          <w:spacing w:val="17"/>
        </w:rPr>
        <w:t> </w:t>
      </w:r>
      <w:r>
        <w:rPr/>
        <w:t>language</w:t>
      </w:r>
      <w:r>
        <w:rPr>
          <w:spacing w:val="21"/>
        </w:rPr>
        <w:t> </w:t>
      </w:r>
      <w:r>
        <w:rPr/>
        <w:t>and</w:t>
      </w:r>
      <w:r>
        <w:rPr>
          <w:spacing w:val="20"/>
        </w:rPr>
        <w:t> </w:t>
      </w:r>
      <w:r>
        <w:rPr>
          <w:spacing w:val="-2"/>
        </w:rPr>
        <w:t>silence.</w:t>
      </w:r>
    </w:p>
    <w:p>
      <w:pPr>
        <w:pStyle w:val="BodyText"/>
        <w:spacing w:line="249" w:lineRule="auto" w:before="59"/>
        <w:ind w:right="1434" w:firstLine="432"/>
        <w:jc w:val="both"/>
      </w:pPr>
      <w:r>
        <w:rPr/>
        <w:t>Primary texts are closely examined to identify patterns of speech, interruption,</w:t>
      </w:r>
      <w:r>
        <w:rPr>
          <w:spacing w:val="-3"/>
        </w:rPr>
        <w:t> </w:t>
      </w:r>
      <w:r>
        <w:rPr/>
        <w:t>silence,</w:t>
      </w:r>
      <w:r>
        <w:rPr>
          <w:spacing w:val="-3"/>
        </w:rPr>
        <w:t> </w:t>
      </w:r>
      <w:r>
        <w:rPr/>
        <w:t>and</w:t>
      </w:r>
      <w:r>
        <w:rPr>
          <w:spacing w:val="-2"/>
        </w:rPr>
        <w:t> </w:t>
      </w:r>
      <w:r>
        <w:rPr/>
        <w:t>marginalization.</w:t>
      </w:r>
      <w:r>
        <w:rPr>
          <w:spacing w:val="-3"/>
        </w:rPr>
        <w:t> </w:t>
      </w:r>
      <w:r>
        <w:rPr/>
        <w:t>Secondary</w:t>
      </w:r>
      <w:r>
        <w:rPr>
          <w:spacing w:val="-7"/>
        </w:rPr>
        <w:t> </w:t>
      </w:r>
      <w:r>
        <w:rPr/>
        <w:t>sources,</w:t>
      </w:r>
      <w:r>
        <w:rPr>
          <w:spacing w:val="-2"/>
        </w:rPr>
        <w:t> </w:t>
      </w:r>
      <w:r>
        <w:rPr/>
        <w:t>including journal articles and critical</w:t>
      </w:r>
      <w:r>
        <w:rPr>
          <w:spacing w:val="-1"/>
        </w:rPr>
        <w:t> </w:t>
      </w:r>
      <w:r>
        <w:rPr/>
        <w:t>essays, are used to support the analysis. The method focuses on understanding both explicit dialogue and implied meanings within the text. This approach helps in exploring how Shakespeare constructs female voices and how these voices are controlled</w:t>
      </w:r>
      <w:r>
        <w:rPr>
          <w:spacing w:val="40"/>
        </w:rPr>
        <w:t> </w:t>
      </w:r>
      <w:r>
        <w:rPr/>
        <w:t>or</w:t>
      </w:r>
      <w:r>
        <w:rPr>
          <w:spacing w:val="40"/>
        </w:rPr>
        <w:t> </w:t>
      </w:r>
      <w:r>
        <w:rPr/>
        <w:t>suppressed</w:t>
      </w:r>
      <w:r>
        <w:rPr>
          <w:spacing w:val="40"/>
        </w:rPr>
        <w:t> </w:t>
      </w:r>
      <w:r>
        <w:rPr/>
        <w:t>within</w:t>
      </w:r>
      <w:r>
        <w:rPr>
          <w:spacing w:val="40"/>
        </w:rPr>
        <w:t> </w:t>
      </w:r>
      <w:r>
        <w:rPr/>
        <w:t>a</w:t>
      </w:r>
      <w:r>
        <w:rPr>
          <w:spacing w:val="40"/>
        </w:rPr>
        <w:t> </w:t>
      </w:r>
      <w:r>
        <w:rPr/>
        <w:t>patriarchal</w:t>
      </w:r>
      <w:r>
        <w:rPr>
          <w:spacing w:val="40"/>
        </w:rPr>
        <w:t> </w:t>
      </w:r>
      <w:r>
        <w:rPr/>
        <w:t>context.</w:t>
      </w:r>
    </w:p>
    <w:p>
      <w:pPr>
        <w:pStyle w:val="Heading3"/>
        <w:spacing w:before="160"/>
        <w:jc w:val="both"/>
      </w:pPr>
      <w:r>
        <w:rPr>
          <w:w w:val="90"/>
        </w:rPr>
        <w:t>ANALYSIS</w:t>
      </w:r>
      <w:r>
        <w:rPr>
          <w:spacing w:val="20"/>
        </w:rPr>
        <w:t> </w:t>
      </w:r>
      <w:r>
        <w:rPr>
          <w:w w:val="90"/>
        </w:rPr>
        <w:t>AND</w:t>
      </w:r>
      <w:r>
        <w:rPr>
          <w:spacing w:val="20"/>
        </w:rPr>
        <w:t> </w:t>
      </w:r>
      <w:r>
        <w:rPr>
          <w:spacing w:val="-2"/>
          <w:w w:val="90"/>
        </w:rPr>
        <w:t>DISCUSSION</w:t>
      </w:r>
    </w:p>
    <w:p>
      <w:pPr>
        <w:pStyle w:val="BodyText"/>
        <w:ind w:left="0"/>
        <w:rPr>
          <w:rFonts w:ascii="Tahoma"/>
          <w:b/>
          <w:sz w:val="5"/>
        </w:rPr>
      </w:pPr>
      <w:r>
        <w:rPr>
          <w:rFonts w:ascii="Tahoma"/>
          <w:b/>
          <w:sz w:val="5"/>
        </w:rPr>
        <w:drawing>
          <wp:anchor distT="0" distB="0" distL="0" distR="0" allowOverlap="1" layoutInCell="1" locked="0" behindDoc="1" simplePos="0" relativeHeight="487713280">
            <wp:simplePos x="0" y="0"/>
            <wp:positionH relativeFrom="page">
              <wp:posOffset>2100072</wp:posOffset>
            </wp:positionH>
            <wp:positionV relativeFrom="paragraph">
              <wp:posOffset>53572</wp:posOffset>
            </wp:positionV>
            <wp:extent cx="3612280" cy="2399442"/>
            <wp:effectExtent l="0" t="0" r="0" b="0"/>
            <wp:wrapTopAndBottom/>
            <wp:docPr id="383" name="Image 383"/>
            <wp:cNvGraphicFramePr>
              <a:graphicFrameLocks/>
            </wp:cNvGraphicFramePr>
            <a:graphic>
              <a:graphicData uri="http://schemas.openxmlformats.org/drawingml/2006/picture">
                <pic:pic>
                  <pic:nvPicPr>
                    <pic:cNvPr id="383" name="Image 383"/>
                    <pic:cNvPicPr/>
                  </pic:nvPicPr>
                  <pic:blipFill>
                    <a:blip r:embed="rId95" cstate="print"/>
                    <a:stretch>
                      <a:fillRect/>
                    </a:stretch>
                  </pic:blipFill>
                  <pic:spPr>
                    <a:xfrm>
                      <a:off x="0" y="0"/>
                      <a:ext cx="3612280" cy="2399442"/>
                    </a:xfrm>
                    <a:prstGeom prst="rect">
                      <a:avLst/>
                    </a:prstGeom>
                  </pic:spPr>
                </pic:pic>
              </a:graphicData>
            </a:graphic>
          </wp:anchor>
        </w:drawing>
      </w:r>
    </w:p>
    <w:p>
      <w:pPr>
        <w:pStyle w:val="Heading5"/>
        <w:numPr>
          <w:ilvl w:val="0"/>
          <w:numId w:val="30"/>
        </w:numPr>
        <w:tabs>
          <w:tab w:pos="1754" w:val="left" w:leader="none"/>
        </w:tabs>
        <w:spacing w:line="240" w:lineRule="auto" w:before="44" w:after="0"/>
        <w:ind w:left="1754" w:right="0" w:hanging="314"/>
        <w:jc w:val="left"/>
      </w:pPr>
      <w:r>
        <w:rPr>
          <w:w w:val="105"/>
        </w:rPr>
        <w:t>Silence</w:t>
      </w:r>
      <w:r>
        <w:rPr>
          <w:spacing w:val="26"/>
          <w:w w:val="105"/>
        </w:rPr>
        <w:t>  </w:t>
      </w:r>
      <w:r>
        <w:rPr>
          <w:w w:val="105"/>
        </w:rPr>
        <w:t>as</w:t>
      </w:r>
      <w:r>
        <w:rPr>
          <w:spacing w:val="79"/>
          <w:w w:val="150"/>
        </w:rPr>
        <w:t> </w:t>
      </w:r>
      <w:r>
        <w:rPr>
          <w:spacing w:val="-2"/>
          <w:w w:val="105"/>
        </w:rPr>
        <w:t>Suppression</w:t>
      </w:r>
    </w:p>
    <w:p>
      <w:pPr>
        <w:pStyle w:val="BodyText"/>
        <w:spacing w:line="249" w:lineRule="auto" w:before="72"/>
        <w:ind w:right="1438" w:firstLine="432"/>
        <w:jc w:val="both"/>
      </w:pPr>
      <w:r>
        <w:rPr/>
        <w:t>In Shakespeare’s plays, silence often represents the suppression</w:t>
      </w:r>
      <w:r>
        <w:rPr>
          <w:spacing w:val="80"/>
        </w:rPr>
        <w:t> </w:t>
      </w:r>
      <w:r>
        <w:rPr/>
        <w:t>of women under patriarchal control. Female characters are expected to obey</w:t>
      </w:r>
      <w:r>
        <w:rPr>
          <w:spacing w:val="-6"/>
        </w:rPr>
        <w:t> </w:t>
      </w:r>
      <w:r>
        <w:rPr/>
        <w:t>male</w:t>
      </w:r>
      <w:r>
        <w:rPr>
          <w:spacing w:val="-2"/>
        </w:rPr>
        <w:t> </w:t>
      </w:r>
      <w:r>
        <w:rPr/>
        <w:t>authority</w:t>
      </w:r>
      <w:r>
        <w:rPr>
          <w:spacing w:val="-6"/>
        </w:rPr>
        <w:t> </w:t>
      </w:r>
      <w:r>
        <w:rPr/>
        <w:t>and</w:t>
      </w:r>
      <w:r>
        <w:rPr>
          <w:spacing w:val="-1"/>
        </w:rPr>
        <w:t> </w:t>
      </w:r>
      <w:r>
        <w:rPr/>
        <w:t>avoid</w:t>
      </w:r>
      <w:r>
        <w:rPr>
          <w:spacing w:val="-1"/>
        </w:rPr>
        <w:t> </w:t>
      </w:r>
      <w:r>
        <w:rPr/>
        <w:t>expressing</w:t>
      </w:r>
      <w:r>
        <w:rPr>
          <w:spacing w:val="-4"/>
        </w:rPr>
        <w:t> </w:t>
      </w:r>
      <w:r>
        <w:rPr/>
        <w:t>their</w:t>
      </w:r>
      <w:r>
        <w:rPr>
          <w:spacing w:val="-2"/>
        </w:rPr>
        <w:t> </w:t>
      </w:r>
      <w:r>
        <w:rPr/>
        <w:t>opinions.</w:t>
      </w:r>
      <w:r>
        <w:rPr>
          <w:spacing w:val="-2"/>
        </w:rPr>
        <w:t> </w:t>
      </w:r>
      <w:r>
        <w:rPr/>
        <w:t>Desdemona</w:t>
      </w:r>
      <w:r>
        <w:rPr>
          <w:spacing w:val="-2"/>
        </w:rPr>
        <w:t> </w:t>
      </w:r>
      <w:r>
        <w:rPr/>
        <w:t>in </w:t>
      </w:r>
      <w:r>
        <w:rPr>
          <w:i/>
        </w:rPr>
        <w:t>Othello </w:t>
      </w:r>
      <w:r>
        <w:rPr/>
        <w:t>is a</w:t>
      </w:r>
      <w:r>
        <w:rPr>
          <w:spacing w:val="-2"/>
        </w:rPr>
        <w:t> </w:t>
      </w:r>
      <w:r>
        <w:rPr/>
        <w:t>clear example. Despite her innocence, her voice is ignored, </w:t>
      </w:r>
      <w:r>
        <w:rPr>
          <w:spacing w:val="-2"/>
        </w:rPr>
        <w:t>and</w:t>
      </w:r>
      <w:r>
        <w:rPr>
          <w:spacing w:val="-8"/>
        </w:rPr>
        <w:t> </w:t>
      </w:r>
      <w:r>
        <w:rPr>
          <w:spacing w:val="-2"/>
        </w:rPr>
        <w:t>she</w:t>
      </w:r>
      <w:r>
        <w:rPr>
          <w:spacing w:val="-7"/>
        </w:rPr>
        <w:t> </w:t>
      </w:r>
      <w:r>
        <w:rPr>
          <w:spacing w:val="-2"/>
        </w:rPr>
        <w:t>is</w:t>
      </w:r>
      <w:r>
        <w:rPr>
          <w:spacing w:val="-11"/>
        </w:rPr>
        <w:t> </w:t>
      </w:r>
      <w:r>
        <w:rPr>
          <w:spacing w:val="-2"/>
        </w:rPr>
        <w:t>ultimately</w:t>
      </w:r>
      <w:r>
        <w:rPr>
          <w:spacing w:val="-10"/>
        </w:rPr>
        <w:t> </w:t>
      </w:r>
      <w:r>
        <w:rPr>
          <w:spacing w:val="-2"/>
        </w:rPr>
        <w:t>silenced</w:t>
      </w:r>
      <w:r>
        <w:rPr>
          <w:spacing w:val="-7"/>
        </w:rPr>
        <w:t> </w:t>
      </w:r>
      <w:r>
        <w:rPr>
          <w:spacing w:val="-2"/>
        </w:rPr>
        <w:t>through</w:t>
      </w:r>
      <w:r>
        <w:rPr>
          <w:spacing w:val="-9"/>
        </w:rPr>
        <w:t> </w:t>
      </w:r>
      <w:r>
        <w:rPr>
          <w:spacing w:val="-2"/>
        </w:rPr>
        <w:t>death.</w:t>
      </w:r>
      <w:r>
        <w:rPr>
          <w:spacing w:val="-9"/>
        </w:rPr>
        <w:t> </w:t>
      </w:r>
      <w:r>
        <w:rPr>
          <w:spacing w:val="-2"/>
        </w:rPr>
        <w:t>Similarly,</w:t>
      </w:r>
      <w:r>
        <w:rPr>
          <w:spacing w:val="-11"/>
        </w:rPr>
        <w:t> </w:t>
      </w:r>
      <w:r>
        <w:rPr>
          <w:spacing w:val="-2"/>
        </w:rPr>
        <w:t>Ophelia</w:t>
      </w:r>
      <w:r>
        <w:rPr>
          <w:spacing w:val="-9"/>
        </w:rPr>
        <w:t> </w:t>
      </w:r>
      <w:r>
        <w:rPr>
          <w:spacing w:val="-2"/>
        </w:rPr>
        <w:t>in</w:t>
      </w:r>
      <w:r>
        <w:rPr>
          <w:spacing w:val="-5"/>
        </w:rPr>
        <w:t> </w:t>
      </w:r>
      <w:r>
        <w:rPr>
          <w:i/>
          <w:spacing w:val="-2"/>
        </w:rPr>
        <w:t>Hamlet </w:t>
      </w:r>
      <w:r>
        <w:rPr/>
        <w:t>is</w:t>
      </w:r>
      <w:r>
        <w:rPr>
          <w:spacing w:val="-9"/>
        </w:rPr>
        <w:t> </w:t>
      </w:r>
      <w:r>
        <w:rPr/>
        <w:t>controlled</w:t>
      </w:r>
      <w:r>
        <w:rPr>
          <w:spacing w:val="-8"/>
        </w:rPr>
        <w:t> </w:t>
      </w:r>
      <w:r>
        <w:rPr/>
        <w:t>by</w:t>
      </w:r>
      <w:r>
        <w:rPr>
          <w:spacing w:val="-11"/>
        </w:rPr>
        <w:t> </w:t>
      </w:r>
      <w:r>
        <w:rPr/>
        <w:t>her</w:t>
      </w:r>
      <w:r>
        <w:rPr>
          <w:spacing w:val="-8"/>
        </w:rPr>
        <w:t> </w:t>
      </w:r>
      <w:r>
        <w:rPr/>
        <w:t>father</w:t>
      </w:r>
      <w:r>
        <w:rPr>
          <w:spacing w:val="-9"/>
        </w:rPr>
        <w:t> </w:t>
      </w:r>
      <w:r>
        <w:rPr/>
        <w:t>and</w:t>
      </w:r>
      <w:r>
        <w:rPr>
          <w:spacing w:val="-9"/>
        </w:rPr>
        <w:t> </w:t>
      </w:r>
      <w:r>
        <w:rPr/>
        <w:t>brother,</w:t>
      </w:r>
      <w:r>
        <w:rPr>
          <w:spacing w:val="-8"/>
        </w:rPr>
        <w:t> </w:t>
      </w:r>
      <w:r>
        <w:rPr/>
        <w:t>leading</w:t>
      </w:r>
      <w:r>
        <w:rPr>
          <w:spacing w:val="-11"/>
        </w:rPr>
        <w:t> </w:t>
      </w:r>
      <w:r>
        <w:rPr/>
        <w:t>to</w:t>
      </w:r>
      <w:r>
        <w:rPr>
          <w:spacing w:val="-8"/>
        </w:rPr>
        <w:t> </w:t>
      </w:r>
      <w:r>
        <w:rPr/>
        <w:t>her</w:t>
      </w:r>
      <w:r>
        <w:rPr>
          <w:spacing w:val="-8"/>
        </w:rPr>
        <w:t> </w:t>
      </w:r>
      <w:r>
        <w:rPr/>
        <w:t>mental</w:t>
      </w:r>
      <w:r>
        <w:rPr>
          <w:spacing w:val="-9"/>
        </w:rPr>
        <w:t> </w:t>
      </w:r>
      <w:r>
        <w:rPr/>
        <w:t>breakdown. Her madness becomes a form of speech, showing how repression can destroy</w:t>
      </w:r>
      <w:r>
        <w:rPr>
          <w:spacing w:val="40"/>
        </w:rPr>
        <w:t> </w:t>
      </w:r>
      <w:r>
        <w:rPr/>
        <w:t>identity.</w:t>
      </w:r>
    </w:p>
    <w:p>
      <w:pPr>
        <w:pStyle w:val="Heading5"/>
        <w:numPr>
          <w:ilvl w:val="0"/>
          <w:numId w:val="30"/>
        </w:numPr>
        <w:tabs>
          <w:tab w:pos="1740" w:val="left" w:leader="none"/>
        </w:tabs>
        <w:spacing w:line="240" w:lineRule="auto" w:before="113" w:after="0"/>
        <w:ind w:left="1740" w:right="0" w:hanging="300"/>
        <w:jc w:val="left"/>
      </w:pPr>
      <w:r>
        <w:rPr>
          <w:w w:val="110"/>
        </w:rPr>
        <w:t>Language</w:t>
      </w:r>
      <w:r>
        <w:rPr>
          <w:spacing w:val="62"/>
          <w:w w:val="110"/>
        </w:rPr>
        <w:t> </w:t>
      </w:r>
      <w:r>
        <w:rPr>
          <w:w w:val="110"/>
        </w:rPr>
        <w:t>and</w:t>
      </w:r>
      <w:r>
        <w:rPr>
          <w:spacing w:val="65"/>
          <w:w w:val="110"/>
        </w:rPr>
        <w:t> </w:t>
      </w:r>
      <w:r>
        <w:rPr>
          <w:spacing w:val="-2"/>
          <w:w w:val="110"/>
        </w:rPr>
        <w:t>Power</w:t>
      </w:r>
    </w:p>
    <w:p>
      <w:pPr>
        <w:pStyle w:val="BodyText"/>
        <w:spacing w:line="249" w:lineRule="auto" w:before="72"/>
        <w:ind w:right="1439" w:firstLine="432"/>
        <w:jc w:val="both"/>
      </w:pPr>
      <w:r>
        <w:rPr/>
        <w:t>Language in Shakespeare’s plays is closely connected to power. Male</w:t>
      </w:r>
      <w:r>
        <w:rPr>
          <w:spacing w:val="10"/>
        </w:rPr>
        <w:t> </w:t>
      </w:r>
      <w:r>
        <w:rPr/>
        <w:t>characters</w:t>
      </w:r>
      <w:r>
        <w:rPr>
          <w:spacing w:val="13"/>
        </w:rPr>
        <w:t> </w:t>
      </w:r>
      <w:r>
        <w:rPr/>
        <w:t>dominate</w:t>
      </w:r>
      <w:r>
        <w:rPr>
          <w:spacing w:val="12"/>
        </w:rPr>
        <w:t> </w:t>
      </w:r>
      <w:r>
        <w:rPr/>
        <w:t>public</w:t>
      </w:r>
      <w:r>
        <w:rPr>
          <w:spacing w:val="11"/>
        </w:rPr>
        <w:t> </w:t>
      </w:r>
      <w:r>
        <w:rPr/>
        <w:t>speech</w:t>
      </w:r>
      <w:r>
        <w:rPr>
          <w:spacing w:val="9"/>
        </w:rPr>
        <w:t> </w:t>
      </w:r>
      <w:r>
        <w:rPr/>
        <w:t>and</w:t>
      </w:r>
      <w:r>
        <w:rPr>
          <w:spacing w:val="15"/>
        </w:rPr>
        <w:t> </w:t>
      </w:r>
      <w:r>
        <w:rPr/>
        <w:t>decision-making.</w:t>
      </w:r>
      <w:r>
        <w:rPr>
          <w:spacing w:val="9"/>
        </w:rPr>
        <w:t> </w:t>
      </w:r>
      <w:r>
        <w:rPr>
          <w:spacing w:val="-2"/>
        </w:rPr>
        <w:t>Women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13792">
                <wp:simplePos x="0" y="0"/>
                <wp:positionH relativeFrom="page">
                  <wp:posOffset>2057400</wp:posOffset>
                </wp:positionH>
                <wp:positionV relativeFrom="paragraph">
                  <wp:posOffset>162604</wp:posOffset>
                </wp:positionV>
                <wp:extent cx="3657600" cy="12700"/>
                <wp:effectExtent l="0" t="0" r="0" b="0"/>
                <wp:wrapTopAndBottom/>
                <wp:docPr id="384" name="Graphic 384"/>
                <wp:cNvGraphicFramePr>
                  <a:graphicFrameLocks/>
                </wp:cNvGraphicFramePr>
                <a:graphic>
                  <a:graphicData uri="http://schemas.microsoft.com/office/word/2010/wordprocessingShape">
                    <wps:wsp>
                      <wps:cNvPr id="384" name="Graphic 38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02688;mso-wrap-distance-left:0;mso-wrap-distance-right:0" id="docshape379" filled="true" fillcolor="#000000" stroked="false">
                <v:fill type="solid"/>
                <w10:wrap type="topAndBottom"/>
              </v:rect>
            </w:pict>
          </mc:Fallback>
        </mc:AlternateContent>
      </w:r>
      <w:r>
        <w:rPr>
          <w:rFonts w:ascii="Verdana"/>
          <w:spacing w:val="-5"/>
          <w:sz w:val="18"/>
        </w:rPr>
        <w:t>152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who</w:t>
      </w:r>
      <w:r>
        <w:rPr>
          <w:spacing w:val="-2"/>
        </w:rPr>
        <w:t> </w:t>
      </w:r>
      <w:r>
        <w:rPr/>
        <w:t>speak</w:t>
      </w:r>
      <w:r>
        <w:rPr>
          <w:spacing w:val="-2"/>
        </w:rPr>
        <w:t> </w:t>
      </w:r>
      <w:r>
        <w:rPr/>
        <w:t>strongly</w:t>
      </w:r>
      <w:r>
        <w:rPr>
          <w:spacing w:val="-5"/>
        </w:rPr>
        <w:t> </w:t>
      </w:r>
      <w:r>
        <w:rPr/>
        <w:t>are often</w:t>
      </w:r>
      <w:r>
        <w:rPr>
          <w:spacing w:val="-3"/>
        </w:rPr>
        <w:t> </w:t>
      </w:r>
      <w:r>
        <w:rPr/>
        <w:t>seen</w:t>
      </w:r>
      <w:r>
        <w:rPr>
          <w:spacing w:val="-3"/>
        </w:rPr>
        <w:t> </w:t>
      </w:r>
      <w:r>
        <w:rPr/>
        <w:t>as dangerous.</w:t>
      </w:r>
      <w:r>
        <w:rPr>
          <w:spacing w:val="-2"/>
        </w:rPr>
        <w:t> </w:t>
      </w:r>
      <w:r>
        <w:rPr/>
        <w:t>Lady</w:t>
      </w:r>
      <w:r>
        <w:rPr>
          <w:spacing w:val="-2"/>
        </w:rPr>
        <w:t> </w:t>
      </w:r>
      <w:r>
        <w:rPr/>
        <w:t>Macbeth</w:t>
      </w:r>
      <w:r>
        <w:rPr>
          <w:spacing w:val="-3"/>
        </w:rPr>
        <w:t> </w:t>
      </w:r>
      <w:r>
        <w:rPr/>
        <w:t>initially challenges this norm by using powerful language to influence her husband. However, her authority is temporary, and she is later reduced to silence due to guilt. This shows that women’s access to language is limited and controlled.</w:t>
      </w:r>
    </w:p>
    <w:p>
      <w:pPr>
        <w:pStyle w:val="Heading5"/>
        <w:numPr>
          <w:ilvl w:val="0"/>
          <w:numId w:val="30"/>
        </w:numPr>
        <w:tabs>
          <w:tab w:pos="1754" w:val="left" w:leader="none"/>
        </w:tabs>
        <w:spacing w:line="240" w:lineRule="auto" w:before="112" w:after="0"/>
        <w:ind w:left="1754" w:right="0" w:hanging="314"/>
        <w:jc w:val="left"/>
      </w:pPr>
      <w:r>
        <w:rPr>
          <w:w w:val="110"/>
        </w:rPr>
        <w:t>Silence</w:t>
      </w:r>
      <w:r>
        <w:rPr>
          <w:spacing w:val="61"/>
          <w:w w:val="150"/>
        </w:rPr>
        <w:t> </w:t>
      </w:r>
      <w:r>
        <w:rPr>
          <w:w w:val="110"/>
        </w:rPr>
        <w:t>as</w:t>
      </w:r>
      <w:r>
        <w:rPr>
          <w:spacing w:val="78"/>
          <w:w w:val="110"/>
        </w:rPr>
        <w:t> </w:t>
      </w:r>
      <w:r>
        <w:rPr>
          <w:spacing w:val="-2"/>
          <w:w w:val="110"/>
        </w:rPr>
        <w:t>Resistance</w:t>
      </w:r>
    </w:p>
    <w:p>
      <w:pPr>
        <w:pStyle w:val="BodyText"/>
        <w:spacing w:line="249" w:lineRule="auto" w:before="71"/>
        <w:ind w:right="1439" w:firstLine="432"/>
        <w:jc w:val="both"/>
      </w:pPr>
      <w:r>
        <w:rPr/>
        <w:t>Silence</w:t>
      </w:r>
      <w:r>
        <w:rPr>
          <w:spacing w:val="-12"/>
        </w:rPr>
        <w:t> </w:t>
      </w:r>
      <w:r>
        <w:rPr/>
        <w:t>is</w:t>
      </w:r>
      <w:r>
        <w:rPr>
          <w:spacing w:val="-10"/>
        </w:rPr>
        <w:t> </w:t>
      </w:r>
      <w:r>
        <w:rPr/>
        <w:t>not</w:t>
      </w:r>
      <w:r>
        <w:rPr>
          <w:spacing w:val="-12"/>
        </w:rPr>
        <w:t> </w:t>
      </w:r>
      <w:r>
        <w:rPr/>
        <w:t>always</w:t>
      </w:r>
      <w:r>
        <w:rPr>
          <w:spacing w:val="-10"/>
        </w:rPr>
        <w:t> </w:t>
      </w:r>
      <w:r>
        <w:rPr/>
        <w:t>a</w:t>
      </w:r>
      <w:r>
        <w:rPr>
          <w:spacing w:val="-11"/>
        </w:rPr>
        <w:t> </w:t>
      </w:r>
      <w:r>
        <w:rPr/>
        <w:t>sign</w:t>
      </w:r>
      <w:r>
        <w:rPr>
          <w:spacing w:val="-11"/>
        </w:rPr>
        <w:t> </w:t>
      </w:r>
      <w:r>
        <w:rPr/>
        <w:t>of</w:t>
      </w:r>
      <w:r>
        <w:rPr>
          <w:spacing w:val="-13"/>
        </w:rPr>
        <w:t> </w:t>
      </w:r>
      <w:r>
        <w:rPr/>
        <w:t>weakness.</w:t>
      </w:r>
      <w:r>
        <w:rPr>
          <w:spacing w:val="-7"/>
        </w:rPr>
        <w:t> </w:t>
      </w:r>
      <w:r>
        <w:rPr/>
        <w:t>In</w:t>
      </w:r>
      <w:r>
        <w:rPr>
          <w:spacing w:val="-13"/>
        </w:rPr>
        <w:t> </w:t>
      </w:r>
      <w:r>
        <w:rPr/>
        <w:t>some</w:t>
      </w:r>
      <w:r>
        <w:rPr>
          <w:spacing w:val="-8"/>
        </w:rPr>
        <w:t> </w:t>
      </w:r>
      <w:r>
        <w:rPr/>
        <w:t>cases,</w:t>
      </w:r>
      <w:r>
        <w:rPr>
          <w:spacing w:val="-10"/>
        </w:rPr>
        <w:t> </w:t>
      </w:r>
      <w:r>
        <w:rPr/>
        <w:t>it</w:t>
      </w:r>
      <w:r>
        <w:rPr>
          <w:spacing w:val="-9"/>
        </w:rPr>
        <w:t> </w:t>
      </w:r>
      <w:r>
        <w:rPr/>
        <w:t>becomes a powerful form of resistance. Cordelia in </w:t>
      </w:r>
      <w:r>
        <w:rPr>
          <w:i/>
        </w:rPr>
        <w:t>King Lear </w:t>
      </w:r>
      <w:r>
        <w:rPr/>
        <w:t>refuses to flatter her father with false words. Her silence represents honesty and moral strength. This challenges the idea that women must always speak to please</w:t>
      </w:r>
      <w:r>
        <w:rPr>
          <w:spacing w:val="36"/>
        </w:rPr>
        <w:t> </w:t>
      </w:r>
      <w:r>
        <w:rPr/>
        <w:t>men.</w:t>
      </w:r>
      <w:r>
        <w:rPr>
          <w:spacing w:val="35"/>
        </w:rPr>
        <w:t> </w:t>
      </w:r>
      <w:r>
        <w:rPr/>
        <w:t>Her</w:t>
      </w:r>
      <w:r>
        <w:rPr>
          <w:spacing w:val="36"/>
        </w:rPr>
        <w:t> </w:t>
      </w:r>
      <w:r>
        <w:rPr/>
        <w:t>silence</w:t>
      </w:r>
      <w:r>
        <w:rPr>
          <w:spacing w:val="35"/>
        </w:rPr>
        <w:t> </w:t>
      </w:r>
      <w:r>
        <w:rPr/>
        <w:t>becomes</w:t>
      </w:r>
      <w:r>
        <w:rPr>
          <w:spacing w:val="33"/>
        </w:rPr>
        <w:t> </w:t>
      </w:r>
      <w:r>
        <w:rPr/>
        <w:t>a</w:t>
      </w:r>
      <w:r>
        <w:rPr>
          <w:spacing w:val="36"/>
        </w:rPr>
        <w:t> </w:t>
      </w:r>
      <w:r>
        <w:rPr/>
        <w:t>statement</w:t>
      </w:r>
      <w:r>
        <w:rPr>
          <w:spacing w:val="35"/>
        </w:rPr>
        <w:t> </w:t>
      </w:r>
      <w:r>
        <w:rPr/>
        <w:t>of</w:t>
      </w:r>
      <w:r>
        <w:rPr>
          <w:spacing w:val="32"/>
        </w:rPr>
        <w:t> </w:t>
      </w:r>
      <w:r>
        <w:rPr/>
        <w:t>truth</w:t>
      </w:r>
      <w:r>
        <w:rPr>
          <w:spacing w:val="35"/>
        </w:rPr>
        <w:t> </w:t>
      </w:r>
      <w:r>
        <w:rPr/>
        <w:t>and</w:t>
      </w:r>
      <w:r>
        <w:rPr>
          <w:spacing w:val="37"/>
        </w:rPr>
        <w:t> </w:t>
      </w:r>
      <w:r>
        <w:rPr/>
        <w:t>integrity.</w:t>
      </w:r>
    </w:p>
    <w:p>
      <w:pPr>
        <w:pStyle w:val="Heading5"/>
        <w:numPr>
          <w:ilvl w:val="0"/>
          <w:numId w:val="30"/>
        </w:numPr>
        <w:tabs>
          <w:tab w:pos="1754" w:val="left" w:leader="none"/>
        </w:tabs>
        <w:spacing w:line="240" w:lineRule="auto" w:before="112" w:after="0"/>
        <w:ind w:left="1754" w:right="0" w:hanging="314"/>
        <w:jc w:val="left"/>
      </w:pPr>
      <w:r>
        <w:rPr/>
        <w:t>Emotional</w:t>
      </w:r>
      <w:r>
        <w:rPr>
          <w:spacing w:val="30"/>
        </w:rPr>
        <w:t>  </w:t>
      </w:r>
      <w:r>
        <w:rPr/>
        <w:t>Expression</w:t>
      </w:r>
      <w:r>
        <w:rPr>
          <w:spacing w:val="31"/>
        </w:rPr>
        <w:t>  </w:t>
      </w:r>
      <w:r>
        <w:rPr/>
        <w:t>through</w:t>
      </w:r>
      <w:r>
        <w:rPr>
          <w:spacing w:val="30"/>
        </w:rPr>
        <w:t>  </w:t>
      </w:r>
      <w:r>
        <w:rPr>
          <w:spacing w:val="-2"/>
        </w:rPr>
        <w:t>Silence</w:t>
      </w:r>
    </w:p>
    <w:p>
      <w:pPr>
        <w:pStyle w:val="BodyText"/>
        <w:spacing w:line="249" w:lineRule="auto" w:before="71"/>
        <w:ind w:right="1439" w:firstLine="432"/>
        <w:jc w:val="both"/>
      </w:pPr>
      <w:r>
        <w:rPr>
          <w:spacing w:val="-2"/>
        </w:rPr>
        <w:t>Silence also reflects deep emotional experiences.</w:t>
      </w:r>
      <w:r>
        <w:rPr>
          <w:spacing w:val="-5"/>
        </w:rPr>
        <w:t> </w:t>
      </w:r>
      <w:r>
        <w:rPr>
          <w:spacing w:val="-2"/>
        </w:rPr>
        <w:t>Female characters </w:t>
      </w:r>
      <w:r>
        <w:rPr/>
        <w:t>often express grief, love, and suffering without words. Ophelia’s silent suffering and Lady Macbeth’s sleepwalking scene show how emotions can be communicated without direct speech. These moments highlight the</w:t>
      </w:r>
      <w:r>
        <w:rPr>
          <w:spacing w:val="40"/>
        </w:rPr>
        <w:t> </w:t>
      </w:r>
      <w:r>
        <w:rPr/>
        <w:t>psychological</w:t>
      </w:r>
      <w:r>
        <w:rPr>
          <w:spacing w:val="40"/>
        </w:rPr>
        <w:t> </w:t>
      </w:r>
      <w:r>
        <w:rPr/>
        <w:t>impact</w:t>
      </w:r>
      <w:r>
        <w:rPr>
          <w:spacing w:val="40"/>
        </w:rPr>
        <w:t> </w:t>
      </w:r>
      <w:r>
        <w:rPr/>
        <w:t>of</w:t>
      </w:r>
      <w:r>
        <w:rPr>
          <w:spacing w:val="40"/>
        </w:rPr>
        <w:t> </w:t>
      </w:r>
      <w:r>
        <w:rPr/>
        <w:t>suppression.</w:t>
      </w:r>
    </w:p>
    <w:p>
      <w:pPr>
        <w:pStyle w:val="Heading5"/>
        <w:numPr>
          <w:ilvl w:val="0"/>
          <w:numId w:val="30"/>
        </w:numPr>
        <w:tabs>
          <w:tab w:pos="1752" w:val="left" w:leader="none"/>
        </w:tabs>
        <w:spacing w:line="240" w:lineRule="auto" w:before="112" w:after="0"/>
        <w:ind w:left="1752" w:right="0" w:hanging="312"/>
        <w:jc w:val="left"/>
      </w:pPr>
      <w:r>
        <w:rPr>
          <w:w w:val="105"/>
        </w:rPr>
        <w:t>Patriarchal</w:t>
      </w:r>
      <w:r>
        <w:rPr>
          <w:spacing w:val="66"/>
          <w:w w:val="105"/>
        </w:rPr>
        <w:t> </w:t>
      </w:r>
      <w:r>
        <w:rPr>
          <w:w w:val="105"/>
        </w:rPr>
        <w:t>Control</w:t>
      </w:r>
      <w:r>
        <w:rPr>
          <w:spacing w:val="63"/>
          <w:w w:val="105"/>
        </w:rPr>
        <w:t> </w:t>
      </w:r>
      <w:r>
        <w:rPr>
          <w:w w:val="105"/>
        </w:rPr>
        <w:t>of</w:t>
      </w:r>
      <w:r>
        <w:rPr>
          <w:spacing w:val="68"/>
          <w:w w:val="105"/>
        </w:rPr>
        <w:t> </w:t>
      </w:r>
      <w:r>
        <w:rPr>
          <w:w w:val="105"/>
        </w:rPr>
        <w:t>Female</w:t>
      </w:r>
      <w:r>
        <w:rPr>
          <w:spacing w:val="68"/>
          <w:w w:val="105"/>
        </w:rPr>
        <w:t> </w:t>
      </w:r>
      <w:r>
        <w:rPr>
          <w:spacing w:val="-4"/>
          <w:w w:val="105"/>
        </w:rPr>
        <w:t>Voice</w:t>
      </w:r>
    </w:p>
    <w:p>
      <w:pPr>
        <w:pStyle w:val="BodyText"/>
        <w:spacing w:line="249" w:lineRule="auto" w:before="71"/>
        <w:ind w:right="1437" w:firstLine="432"/>
        <w:jc w:val="both"/>
      </w:pPr>
      <w:r>
        <w:rPr/>
        <w:t>The patriarchal society in Shakespeare’s time restricted women’s roles and voices. Women were seen as dependent and inferior. This is reflected in how their speech is interrupted, ignored, or punished. The system ensures that male authority remains dominant. However, Shakespeare</w:t>
      </w:r>
      <w:r>
        <w:rPr>
          <w:spacing w:val="-13"/>
        </w:rPr>
        <w:t> </w:t>
      </w:r>
      <w:r>
        <w:rPr/>
        <w:t>also</w:t>
      </w:r>
      <w:r>
        <w:rPr>
          <w:spacing w:val="-12"/>
        </w:rPr>
        <w:t> </w:t>
      </w:r>
      <w:r>
        <w:rPr/>
        <w:t>presents</w:t>
      </w:r>
      <w:r>
        <w:rPr>
          <w:spacing w:val="-13"/>
        </w:rPr>
        <w:t> </w:t>
      </w:r>
      <w:r>
        <w:rPr/>
        <w:t>moments</w:t>
      </w:r>
      <w:r>
        <w:rPr>
          <w:spacing w:val="-12"/>
        </w:rPr>
        <w:t> </w:t>
      </w:r>
      <w:r>
        <w:rPr/>
        <w:t>where</w:t>
      </w:r>
      <w:r>
        <w:rPr>
          <w:spacing w:val="-13"/>
        </w:rPr>
        <w:t> </w:t>
      </w:r>
      <w:r>
        <w:rPr/>
        <w:t>women</w:t>
      </w:r>
      <w:r>
        <w:rPr>
          <w:spacing w:val="-12"/>
        </w:rPr>
        <w:t> </w:t>
      </w:r>
      <w:r>
        <w:rPr/>
        <w:t>challenge</w:t>
      </w:r>
      <w:r>
        <w:rPr>
          <w:spacing w:val="-13"/>
        </w:rPr>
        <w:t> </w:t>
      </w:r>
      <w:r>
        <w:rPr/>
        <w:t>this</w:t>
      </w:r>
      <w:r>
        <w:rPr>
          <w:spacing w:val="-12"/>
        </w:rPr>
        <w:t> </w:t>
      </w:r>
      <w:r>
        <w:rPr/>
        <w:t>system, even if indirectly.</w:t>
      </w:r>
    </w:p>
    <w:p>
      <w:pPr>
        <w:pStyle w:val="Heading5"/>
        <w:numPr>
          <w:ilvl w:val="0"/>
          <w:numId w:val="30"/>
        </w:numPr>
        <w:tabs>
          <w:tab w:pos="1745" w:val="left" w:leader="none"/>
        </w:tabs>
        <w:spacing w:line="240" w:lineRule="auto" w:before="112" w:after="0"/>
        <w:ind w:left="1745" w:right="0" w:hanging="305"/>
        <w:jc w:val="left"/>
      </w:pPr>
      <w:r>
        <w:rPr>
          <w:w w:val="105"/>
        </w:rPr>
        <w:t>Dual</w:t>
      </w:r>
      <w:r>
        <w:rPr>
          <w:spacing w:val="59"/>
          <w:w w:val="105"/>
        </w:rPr>
        <w:t> </w:t>
      </w:r>
      <w:r>
        <w:rPr>
          <w:w w:val="105"/>
        </w:rPr>
        <w:t>Nature</w:t>
      </w:r>
      <w:r>
        <w:rPr>
          <w:spacing w:val="63"/>
          <w:w w:val="105"/>
        </w:rPr>
        <w:t> </w:t>
      </w:r>
      <w:r>
        <w:rPr>
          <w:w w:val="105"/>
        </w:rPr>
        <w:t>of</w:t>
      </w:r>
      <w:r>
        <w:rPr>
          <w:spacing w:val="63"/>
          <w:w w:val="105"/>
        </w:rPr>
        <w:t> </w:t>
      </w:r>
      <w:r>
        <w:rPr>
          <w:spacing w:val="-2"/>
          <w:w w:val="105"/>
        </w:rPr>
        <w:t>Silence</w:t>
      </w:r>
    </w:p>
    <w:p>
      <w:pPr>
        <w:pStyle w:val="BodyText"/>
        <w:spacing w:line="249" w:lineRule="auto" w:before="72"/>
        <w:ind w:right="1439" w:firstLine="432"/>
        <w:jc w:val="both"/>
      </w:pPr>
      <w:r>
        <w:rPr/>
        <w:t>The study shows that silence has a dual meaning. It can represent oppression</w:t>
      </w:r>
      <w:r>
        <w:rPr>
          <w:spacing w:val="-1"/>
        </w:rPr>
        <w:t> </w:t>
      </w:r>
      <w:r>
        <w:rPr/>
        <w:t>as well as</w:t>
      </w:r>
      <w:r>
        <w:rPr>
          <w:spacing w:val="-1"/>
        </w:rPr>
        <w:t> </w:t>
      </w:r>
      <w:r>
        <w:rPr/>
        <w:t>resistance. While some characters are silenced by force,</w:t>
      </w:r>
      <w:r>
        <w:rPr>
          <w:spacing w:val="-2"/>
        </w:rPr>
        <w:t> </w:t>
      </w:r>
      <w:r>
        <w:rPr/>
        <w:t>others</w:t>
      </w:r>
      <w:r>
        <w:rPr>
          <w:spacing w:val="-2"/>
        </w:rPr>
        <w:t> </w:t>
      </w:r>
      <w:r>
        <w:rPr/>
        <w:t>choose</w:t>
      </w:r>
      <w:r>
        <w:rPr>
          <w:spacing w:val="-1"/>
        </w:rPr>
        <w:t> </w:t>
      </w:r>
      <w:r>
        <w:rPr/>
        <w:t>silence as</w:t>
      </w:r>
      <w:r>
        <w:rPr>
          <w:spacing w:val="-3"/>
        </w:rPr>
        <w:t> </w:t>
      </w:r>
      <w:r>
        <w:rPr/>
        <w:t>a form</w:t>
      </w:r>
      <w:r>
        <w:rPr>
          <w:spacing w:val="-6"/>
        </w:rPr>
        <w:t> </w:t>
      </w:r>
      <w:r>
        <w:rPr/>
        <w:t>of</w:t>
      </w:r>
      <w:r>
        <w:rPr>
          <w:spacing w:val="-2"/>
        </w:rPr>
        <w:t> </w:t>
      </w:r>
      <w:r>
        <w:rPr/>
        <w:t>power.</w:t>
      </w:r>
      <w:r>
        <w:rPr>
          <w:spacing w:val="-3"/>
        </w:rPr>
        <w:t> </w:t>
      </w:r>
      <w:r>
        <w:rPr/>
        <w:t>This complexity</w:t>
      </w:r>
      <w:r>
        <w:rPr>
          <w:spacing w:val="-5"/>
        </w:rPr>
        <w:t> </w:t>
      </w:r>
      <w:r>
        <w:rPr/>
        <w:t>makes Shakespeare’s portrayal of women rich and meaningful.</w:t>
      </w:r>
    </w:p>
    <w:p>
      <w:pPr>
        <w:pStyle w:val="Heading3"/>
        <w:spacing w:before="157"/>
      </w:pPr>
      <w:r>
        <w:rPr>
          <w:spacing w:val="-2"/>
          <w:w w:val="95"/>
        </w:rPr>
        <w:t>FINDINGS</w:t>
      </w:r>
    </w:p>
    <w:p>
      <w:pPr>
        <w:pStyle w:val="BodyText"/>
        <w:spacing w:line="249" w:lineRule="auto" w:before="77"/>
        <w:ind w:right="1440" w:firstLine="432"/>
        <w:jc w:val="both"/>
      </w:pPr>
      <w:r>
        <w:rPr/>
        <w:t>The study finds that silence plays a central role in shaping the experiences of female characters in Shakespeare’s plays. Women are often denied the opportunity to express themselves fully, and their voices are frequently controlled by male authority. This reflects the patriarchal</w:t>
      </w:r>
      <w:r>
        <w:rPr>
          <w:spacing w:val="-13"/>
        </w:rPr>
        <w:t> </w:t>
      </w:r>
      <w:r>
        <w:rPr/>
        <w:t>norms</w:t>
      </w:r>
      <w:r>
        <w:rPr>
          <w:spacing w:val="-11"/>
        </w:rPr>
        <w:t> </w:t>
      </w:r>
      <w:r>
        <w:rPr/>
        <w:t>of</w:t>
      </w:r>
      <w:r>
        <w:rPr>
          <w:spacing w:val="-12"/>
        </w:rPr>
        <w:t> </w:t>
      </w:r>
      <w:r>
        <w:rPr/>
        <w:t>the</w:t>
      </w:r>
      <w:r>
        <w:rPr>
          <w:spacing w:val="-12"/>
        </w:rPr>
        <w:t> </w:t>
      </w:r>
      <w:r>
        <w:rPr/>
        <w:t>Elizabethan</w:t>
      </w:r>
      <w:r>
        <w:rPr>
          <w:spacing w:val="-13"/>
        </w:rPr>
        <w:t> </w:t>
      </w:r>
      <w:r>
        <w:rPr/>
        <w:t>era,</w:t>
      </w:r>
      <w:r>
        <w:rPr>
          <w:spacing w:val="-11"/>
        </w:rPr>
        <w:t> </w:t>
      </w:r>
      <w:r>
        <w:rPr/>
        <w:t>where</w:t>
      </w:r>
      <w:r>
        <w:rPr>
          <w:spacing w:val="-12"/>
        </w:rPr>
        <w:t> </w:t>
      </w:r>
      <w:r>
        <w:rPr/>
        <w:t>women</w:t>
      </w:r>
      <w:r>
        <w:rPr>
          <w:spacing w:val="-13"/>
        </w:rPr>
        <w:t> </w:t>
      </w:r>
      <w:r>
        <w:rPr/>
        <w:t>were</w:t>
      </w:r>
      <w:r>
        <w:rPr>
          <w:spacing w:val="-12"/>
        </w:rPr>
        <w:t> </w:t>
      </w:r>
      <w:r>
        <w:rPr/>
        <w:t>expected</w:t>
      </w:r>
      <w:r>
        <w:rPr>
          <w:spacing w:val="-12"/>
        </w:rPr>
        <w:t> </w:t>
      </w:r>
      <w:r>
        <w:rPr/>
        <w:t>to remain</w:t>
      </w:r>
      <w:r>
        <w:rPr>
          <w:spacing w:val="-10"/>
        </w:rPr>
        <w:t> </w:t>
      </w:r>
      <w:r>
        <w:rPr/>
        <w:t>obedient</w:t>
      </w:r>
      <w:r>
        <w:rPr>
          <w:spacing w:val="-4"/>
        </w:rPr>
        <w:t> </w:t>
      </w:r>
      <w:r>
        <w:rPr/>
        <w:t>and</w:t>
      </w:r>
      <w:r>
        <w:rPr>
          <w:spacing w:val="-6"/>
        </w:rPr>
        <w:t> </w:t>
      </w:r>
      <w:r>
        <w:rPr/>
        <w:t>silent.</w:t>
      </w:r>
      <w:r>
        <w:rPr>
          <w:spacing w:val="-13"/>
        </w:rPr>
        <w:t> </w:t>
      </w:r>
      <w:r>
        <w:rPr/>
        <w:t>Another</w:t>
      </w:r>
      <w:r>
        <w:rPr>
          <w:spacing w:val="-6"/>
        </w:rPr>
        <w:t> </w:t>
      </w:r>
      <w:r>
        <w:rPr/>
        <w:t>important</w:t>
      </w:r>
      <w:r>
        <w:rPr>
          <w:spacing w:val="-7"/>
        </w:rPr>
        <w:t> </w:t>
      </w:r>
      <w:r>
        <w:rPr/>
        <w:t>finding</w:t>
      </w:r>
      <w:r>
        <w:rPr>
          <w:spacing w:val="-6"/>
        </w:rPr>
        <w:t> </w:t>
      </w:r>
      <w:r>
        <w:rPr/>
        <w:t>is</w:t>
      </w:r>
      <w:r>
        <w:rPr>
          <w:spacing w:val="-8"/>
        </w:rPr>
        <w:t> </w:t>
      </w:r>
      <w:r>
        <w:rPr/>
        <w:t>that</w:t>
      </w:r>
      <w:r>
        <w:rPr>
          <w:spacing w:val="-6"/>
        </w:rPr>
        <w:t> </w:t>
      </w:r>
      <w:r>
        <w:rPr/>
        <w:t>silence</w:t>
      </w:r>
      <w:r>
        <w:rPr>
          <w:spacing w:val="-8"/>
        </w:rPr>
        <w:t> </w:t>
      </w:r>
      <w:r>
        <w:rPr>
          <w:spacing w:val="-5"/>
        </w:rPr>
        <w:t>can</w:t>
      </w:r>
    </w:p>
    <w:p>
      <w:pPr>
        <w:pStyle w:val="BodyText"/>
        <w:spacing w:after="0" w:line="249" w:lineRule="auto"/>
        <w:jc w:val="both"/>
        <w:sectPr>
          <w:pgSz w:w="12240" w:h="15840"/>
          <w:pgMar w:top="1820" w:bottom="280" w:left="1800" w:right="1800"/>
        </w:sectPr>
      </w:pPr>
    </w:p>
    <w:p>
      <w:pPr>
        <w:tabs>
          <w:tab w:pos="7196"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14304">
                <wp:simplePos x="0" y="0"/>
                <wp:positionH relativeFrom="page">
                  <wp:posOffset>2065020</wp:posOffset>
                </wp:positionH>
                <wp:positionV relativeFrom="paragraph">
                  <wp:posOffset>795020</wp:posOffset>
                </wp:positionV>
                <wp:extent cx="3657600" cy="12700"/>
                <wp:effectExtent l="0" t="0" r="0" b="0"/>
                <wp:wrapTopAndBottom/>
                <wp:docPr id="385" name="Graphic 385"/>
                <wp:cNvGraphicFramePr>
                  <a:graphicFrameLocks/>
                </wp:cNvGraphicFramePr>
                <a:graphic>
                  <a:graphicData uri="http://schemas.microsoft.com/office/word/2010/wordprocessingShape">
                    <wps:wsp>
                      <wps:cNvPr id="385" name="Graphic 38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602176;mso-wrap-distance-left:0;mso-wrap-distance-right:0" id="docshape380" filled="true" fillcolor="#000000" stroked="false">
                <v:fill type="solid"/>
                <w10:wrap type="topAndBottom"/>
              </v:rect>
            </w:pict>
          </mc:Fallback>
        </mc:AlternateContent>
      </w:r>
      <w:r>
        <w:rPr>
          <w:rFonts w:ascii="Verdana"/>
          <w:sz w:val="18"/>
        </w:rPr>
        <w:t>Voices</w:t>
      </w:r>
      <w:r>
        <w:rPr>
          <w:rFonts w:ascii="Verdana"/>
          <w:spacing w:val="-1"/>
          <w:sz w:val="18"/>
        </w:rPr>
        <w:t> </w:t>
      </w:r>
      <w:r>
        <w:rPr>
          <w:rFonts w:ascii="Verdana"/>
          <w:sz w:val="18"/>
        </w:rPr>
        <w:t>in</w:t>
      </w:r>
      <w:r>
        <w:rPr>
          <w:rFonts w:ascii="Verdana"/>
          <w:spacing w:val="-1"/>
          <w:sz w:val="18"/>
        </w:rPr>
        <w:t> </w:t>
      </w:r>
      <w:r>
        <w:rPr>
          <w:rFonts w:ascii="Verdana"/>
          <w:sz w:val="18"/>
        </w:rPr>
        <w:t>Silence:</w:t>
      </w:r>
      <w:r>
        <w:rPr>
          <w:rFonts w:ascii="Verdana"/>
          <w:spacing w:val="-2"/>
          <w:sz w:val="18"/>
        </w:rPr>
        <w:t> </w:t>
      </w:r>
      <w:r>
        <w:rPr>
          <w:rFonts w:ascii="Verdana"/>
          <w:sz w:val="18"/>
        </w:rPr>
        <w:t>A</w:t>
      </w:r>
      <w:r>
        <w:rPr>
          <w:rFonts w:ascii="Verdana"/>
          <w:spacing w:val="-7"/>
          <w:sz w:val="18"/>
        </w:rPr>
        <w:t> </w:t>
      </w:r>
      <w:r>
        <w:rPr>
          <w:rFonts w:ascii="Verdana"/>
          <w:sz w:val="18"/>
        </w:rPr>
        <w:t>Feminist</w:t>
      </w:r>
      <w:r>
        <w:rPr>
          <w:rFonts w:ascii="Verdana"/>
          <w:spacing w:val="-3"/>
          <w:sz w:val="18"/>
        </w:rPr>
        <w:t> </w:t>
      </w:r>
      <w:r>
        <w:rPr>
          <w:rFonts w:ascii="Verdana"/>
          <w:sz w:val="18"/>
        </w:rPr>
        <w:t>Study</w:t>
      </w:r>
      <w:r>
        <w:rPr>
          <w:rFonts w:ascii="Verdana"/>
          <w:spacing w:val="-1"/>
          <w:sz w:val="18"/>
        </w:rPr>
        <w:t> </w:t>
      </w:r>
      <w:r>
        <w:rPr>
          <w:rFonts w:ascii="Verdana"/>
          <w:sz w:val="18"/>
        </w:rPr>
        <w:t>of</w:t>
      </w:r>
      <w:r>
        <w:rPr>
          <w:rFonts w:ascii="Verdana"/>
          <w:spacing w:val="-1"/>
          <w:sz w:val="18"/>
        </w:rPr>
        <w:t> </w:t>
      </w:r>
      <w:r>
        <w:rPr>
          <w:rFonts w:ascii="Verdana"/>
          <w:spacing w:val="-2"/>
          <w:sz w:val="18"/>
        </w:rPr>
        <w:t>Language...</w:t>
      </w:r>
      <w:r>
        <w:rPr>
          <w:sz w:val="18"/>
        </w:rPr>
        <w:tab/>
      </w:r>
      <w:r>
        <w:rPr>
          <w:rFonts w:ascii="Verdana"/>
          <w:spacing w:val="-5"/>
          <w:sz w:val="18"/>
        </w:rPr>
        <w:t>153</w:t>
      </w:r>
    </w:p>
    <w:p>
      <w:pPr>
        <w:pStyle w:val="BodyText"/>
        <w:spacing w:line="249" w:lineRule="auto" w:before="192"/>
        <w:ind w:right="1437"/>
        <w:jc w:val="both"/>
      </w:pPr>
      <w:r>
        <w:rPr/>
        <w:t>have multiple meanings. It may represent submission, resistance, or </w:t>
      </w:r>
      <w:r>
        <w:rPr>
          <w:spacing w:val="-4"/>
        </w:rPr>
        <w:t>emotional depth. For example, Ophelia’s silence reflects her psychological </w:t>
      </w:r>
      <w:r>
        <w:rPr/>
        <w:t>breakdown, while Cordelia’s silence represents moral strength. This shows that silence is not a simple concept but a complex form of expression. The research also highlights the connection between language and power. Male characters use language to assert control, while female characters struggle to be heard. This imbalance creates a hierarchy</w:t>
      </w:r>
      <w:r>
        <w:rPr>
          <w:spacing w:val="-5"/>
        </w:rPr>
        <w:t> </w:t>
      </w:r>
      <w:r>
        <w:rPr/>
        <w:t>where</w:t>
      </w:r>
      <w:r>
        <w:rPr>
          <w:spacing w:val="-2"/>
        </w:rPr>
        <w:t> </w:t>
      </w:r>
      <w:r>
        <w:rPr/>
        <w:t>men</w:t>
      </w:r>
      <w:r>
        <w:rPr>
          <w:spacing w:val="-5"/>
        </w:rPr>
        <w:t> </w:t>
      </w:r>
      <w:r>
        <w:rPr/>
        <w:t>dominate</w:t>
      </w:r>
      <w:r>
        <w:rPr>
          <w:spacing w:val="-2"/>
        </w:rPr>
        <w:t> </w:t>
      </w:r>
      <w:r>
        <w:rPr/>
        <w:t>and women</w:t>
      </w:r>
      <w:r>
        <w:rPr>
          <w:spacing w:val="-3"/>
        </w:rPr>
        <w:t> </w:t>
      </w:r>
      <w:r>
        <w:rPr/>
        <w:t>are</w:t>
      </w:r>
      <w:r>
        <w:rPr>
          <w:spacing w:val="-4"/>
        </w:rPr>
        <w:t> </w:t>
      </w:r>
      <w:r>
        <w:rPr/>
        <w:t>marginalized.</w:t>
      </w:r>
      <w:r>
        <w:rPr>
          <w:spacing w:val="-2"/>
        </w:rPr>
        <w:t> </w:t>
      </w:r>
      <w:r>
        <w:rPr/>
        <w:t>The</w:t>
      </w:r>
      <w:r>
        <w:rPr>
          <w:spacing w:val="-1"/>
        </w:rPr>
        <w:t> </w:t>
      </w:r>
      <w:r>
        <w:rPr/>
        <w:t>study shows that Shakespeare’s portrayal of women is both reflective and critical</w:t>
      </w:r>
      <w:r>
        <w:rPr>
          <w:spacing w:val="-5"/>
        </w:rPr>
        <w:t> </w:t>
      </w:r>
      <w:r>
        <w:rPr/>
        <w:t>of</w:t>
      </w:r>
      <w:r>
        <w:rPr>
          <w:spacing w:val="-7"/>
        </w:rPr>
        <w:t> </w:t>
      </w:r>
      <w:r>
        <w:rPr/>
        <w:t>his</w:t>
      </w:r>
      <w:r>
        <w:rPr>
          <w:spacing w:val="-3"/>
        </w:rPr>
        <w:t> </w:t>
      </w:r>
      <w:r>
        <w:rPr/>
        <w:t>society.</w:t>
      </w:r>
      <w:r>
        <w:rPr>
          <w:spacing w:val="-5"/>
        </w:rPr>
        <w:t> </w:t>
      </w:r>
      <w:r>
        <w:rPr/>
        <w:t>While</w:t>
      </w:r>
      <w:r>
        <w:rPr>
          <w:spacing w:val="-6"/>
        </w:rPr>
        <w:t> </w:t>
      </w:r>
      <w:r>
        <w:rPr/>
        <w:t>he</w:t>
      </w:r>
      <w:r>
        <w:rPr>
          <w:spacing w:val="-3"/>
        </w:rPr>
        <w:t> </w:t>
      </w:r>
      <w:r>
        <w:rPr/>
        <w:t>presents</w:t>
      </w:r>
      <w:r>
        <w:rPr>
          <w:spacing w:val="-3"/>
        </w:rPr>
        <w:t> </w:t>
      </w:r>
      <w:r>
        <w:rPr/>
        <w:t>women</w:t>
      </w:r>
      <w:r>
        <w:rPr>
          <w:spacing w:val="-5"/>
        </w:rPr>
        <w:t> </w:t>
      </w:r>
      <w:r>
        <w:rPr/>
        <w:t>within</w:t>
      </w:r>
      <w:r>
        <w:rPr>
          <w:spacing w:val="-7"/>
        </w:rPr>
        <w:t> </w:t>
      </w:r>
      <w:r>
        <w:rPr/>
        <w:t>traditional</w:t>
      </w:r>
      <w:r>
        <w:rPr>
          <w:spacing w:val="-5"/>
        </w:rPr>
        <w:t> </w:t>
      </w:r>
      <w:r>
        <w:rPr/>
        <w:t>roles, he also exposes the limitations and injustices they face. This dual perspective makes his work relevant to feminist criticism.</w:t>
      </w:r>
    </w:p>
    <w:p>
      <w:pPr>
        <w:pStyle w:val="BodyText"/>
        <w:spacing w:line="249" w:lineRule="auto" w:before="68"/>
        <w:ind w:right="1437" w:firstLine="432"/>
        <w:jc w:val="both"/>
      </w:pPr>
      <w:r>
        <w:rPr/>
        <w:t>The research emphasizes the importance of reinterpreting Shakespeare’s</w:t>
      </w:r>
      <w:r>
        <w:rPr>
          <w:spacing w:val="-4"/>
        </w:rPr>
        <w:t> </w:t>
      </w:r>
      <w:r>
        <w:rPr/>
        <w:t>plays</w:t>
      </w:r>
      <w:r>
        <w:rPr>
          <w:spacing w:val="-8"/>
        </w:rPr>
        <w:t> </w:t>
      </w:r>
      <w:r>
        <w:rPr/>
        <w:t>from</w:t>
      </w:r>
      <w:r>
        <w:rPr>
          <w:spacing w:val="-7"/>
        </w:rPr>
        <w:t> </w:t>
      </w:r>
      <w:r>
        <w:rPr/>
        <w:t>a</w:t>
      </w:r>
      <w:r>
        <w:rPr>
          <w:spacing w:val="-4"/>
        </w:rPr>
        <w:t> </w:t>
      </w:r>
      <w:r>
        <w:rPr/>
        <w:t>feminist</w:t>
      </w:r>
      <w:r>
        <w:rPr>
          <w:spacing w:val="-8"/>
        </w:rPr>
        <w:t> </w:t>
      </w:r>
      <w:r>
        <w:rPr/>
        <w:t>perspective.</w:t>
      </w:r>
      <w:r>
        <w:rPr>
          <w:spacing w:val="-4"/>
        </w:rPr>
        <w:t> </w:t>
      </w:r>
      <w:r>
        <w:rPr/>
        <w:t>By</w:t>
      </w:r>
      <w:r>
        <w:rPr>
          <w:spacing w:val="-8"/>
        </w:rPr>
        <w:t> </w:t>
      </w:r>
      <w:r>
        <w:rPr/>
        <w:t>focusing</w:t>
      </w:r>
      <w:r>
        <w:rPr>
          <w:spacing w:val="-8"/>
        </w:rPr>
        <w:t> </w:t>
      </w:r>
      <w:r>
        <w:rPr/>
        <w:t>on</w:t>
      </w:r>
      <w:r>
        <w:rPr>
          <w:spacing w:val="-6"/>
        </w:rPr>
        <w:t> </w:t>
      </w:r>
      <w:r>
        <w:rPr/>
        <w:t>female voices and experiences, readers can gain a deeper understanding of the themes of power,</w:t>
      </w:r>
      <w:r>
        <w:rPr>
          <w:spacing w:val="40"/>
        </w:rPr>
        <w:t> </w:t>
      </w:r>
      <w:r>
        <w:rPr/>
        <w:t>identity, and</w:t>
      </w:r>
      <w:r>
        <w:rPr>
          <w:spacing w:val="40"/>
        </w:rPr>
        <w:t> </w:t>
      </w:r>
      <w:r>
        <w:rPr/>
        <w:t>inequality.</w:t>
      </w:r>
    </w:p>
    <w:p>
      <w:pPr>
        <w:pStyle w:val="Heading3"/>
        <w:spacing w:before="156"/>
      </w:pPr>
      <w:r>
        <w:rPr>
          <w:spacing w:val="-2"/>
        </w:rPr>
        <w:t>CONCLUSION</w:t>
      </w:r>
    </w:p>
    <w:p>
      <w:pPr>
        <w:pStyle w:val="BodyText"/>
        <w:spacing w:line="249" w:lineRule="auto" w:before="76"/>
        <w:ind w:right="1437" w:firstLine="432"/>
        <w:jc w:val="both"/>
      </w:pPr>
      <w:r>
        <w:rPr>
          <w:spacing w:val="-2"/>
        </w:rPr>
        <w:t>This</w:t>
      </w:r>
      <w:r>
        <w:rPr>
          <w:spacing w:val="-9"/>
        </w:rPr>
        <w:t> </w:t>
      </w:r>
      <w:r>
        <w:rPr>
          <w:spacing w:val="-2"/>
        </w:rPr>
        <w:t>research</w:t>
      </w:r>
      <w:r>
        <w:rPr>
          <w:spacing w:val="-10"/>
        </w:rPr>
        <w:t> </w:t>
      </w:r>
      <w:r>
        <w:rPr>
          <w:spacing w:val="-2"/>
        </w:rPr>
        <w:t>paper</w:t>
      </w:r>
      <w:r>
        <w:rPr>
          <w:spacing w:val="-5"/>
        </w:rPr>
        <w:t> </w:t>
      </w:r>
      <w:r>
        <w:rPr>
          <w:spacing w:val="-2"/>
        </w:rPr>
        <w:t>has</w:t>
      </w:r>
      <w:r>
        <w:rPr>
          <w:spacing w:val="-8"/>
        </w:rPr>
        <w:t> </w:t>
      </w:r>
      <w:r>
        <w:rPr>
          <w:spacing w:val="-2"/>
        </w:rPr>
        <w:t>examined</w:t>
      </w:r>
      <w:r>
        <w:rPr>
          <w:spacing w:val="-8"/>
        </w:rPr>
        <w:t> </w:t>
      </w:r>
      <w:r>
        <w:rPr>
          <w:spacing w:val="-2"/>
        </w:rPr>
        <w:t>how</w:t>
      </w:r>
      <w:r>
        <w:rPr>
          <w:spacing w:val="-11"/>
        </w:rPr>
        <w:t> </w:t>
      </w:r>
      <w:r>
        <w:rPr>
          <w:spacing w:val="-2"/>
        </w:rPr>
        <w:t>language,</w:t>
      </w:r>
      <w:r>
        <w:rPr>
          <w:spacing w:val="-5"/>
        </w:rPr>
        <w:t> </w:t>
      </w:r>
      <w:r>
        <w:rPr>
          <w:spacing w:val="-2"/>
        </w:rPr>
        <w:t>power,</w:t>
      </w:r>
      <w:r>
        <w:rPr>
          <w:spacing w:val="-8"/>
        </w:rPr>
        <w:t> </w:t>
      </w:r>
      <w:r>
        <w:rPr>
          <w:spacing w:val="-2"/>
        </w:rPr>
        <w:t>and</w:t>
      </w:r>
      <w:r>
        <w:rPr>
          <w:spacing w:val="-8"/>
        </w:rPr>
        <w:t> </w:t>
      </w:r>
      <w:r>
        <w:rPr>
          <w:spacing w:val="-2"/>
        </w:rPr>
        <w:t>silence </w:t>
      </w:r>
      <w:r>
        <w:rPr/>
        <w:t>shape the representation of female characters in Shakespeare’s plays. It is clear that Shakespeare’s works reflect a patriarchal society where women’s</w:t>
      </w:r>
      <w:r>
        <w:rPr>
          <w:spacing w:val="20"/>
        </w:rPr>
        <w:t> </w:t>
      </w:r>
      <w:r>
        <w:rPr/>
        <w:t>voices</w:t>
      </w:r>
      <w:r>
        <w:rPr>
          <w:spacing w:val="22"/>
        </w:rPr>
        <w:t> </w:t>
      </w:r>
      <w:r>
        <w:rPr/>
        <w:t>are</w:t>
      </w:r>
      <w:r>
        <w:rPr>
          <w:spacing w:val="22"/>
        </w:rPr>
        <w:t> </w:t>
      </w:r>
      <w:r>
        <w:rPr/>
        <w:t>often</w:t>
      </w:r>
      <w:r>
        <w:rPr>
          <w:spacing w:val="22"/>
        </w:rPr>
        <w:t> </w:t>
      </w:r>
      <w:r>
        <w:rPr/>
        <w:t>restricted</w:t>
      </w:r>
      <w:r>
        <w:rPr>
          <w:spacing w:val="24"/>
        </w:rPr>
        <w:t> </w:t>
      </w:r>
      <w:r>
        <w:rPr/>
        <w:t>or</w:t>
      </w:r>
      <w:r>
        <w:rPr>
          <w:spacing w:val="25"/>
        </w:rPr>
        <w:t> </w:t>
      </w:r>
      <w:r>
        <w:rPr/>
        <w:t>suppressed.</w:t>
      </w:r>
      <w:r>
        <w:rPr>
          <w:spacing w:val="22"/>
        </w:rPr>
        <w:t> </w:t>
      </w:r>
      <w:r>
        <w:rPr/>
        <w:t>Silence</w:t>
      </w:r>
      <w:r>
        <w:rPr>
          <w:spacing w:val="25"/>
        </w:rPr>
        <w:t> </w:t>
      </w:r>
      <w:r>
        <w:rPr/>
        <w:t>is</w:t>
      </w:r>
      <w:r>
        <w:rPr>
          <w:spacing w:val="22"/>
        </w:rPr>
        <w:t> </w:t>
      </w:r>
      <w:r>
        <w:rPr/>
        <w:t>used</w:t>
      </w:r>
      <w:r>
        <w:rPr>
          <w:spacing w:val="24"/>
        </w:rPr>
        <w:t> </w:t>
      </w:r>
      <w:r>
        <w:rPr/>
        <w:t>as </w:t>
      </w:r>
      <w:r>
        <w:rPr>
          <w:spacing w:val="-2"/>
        </w:rPr>
        <w:t>a</w:t>
      </w:r>
      <w:r>
        <w:rPr>
          <w:spacing w:val="-6"/>
        </w:rPr>
        <w:t> </w:t>
      </w:r>
      <w:r>
        <w:rPr>
          <w:spacing w:val="-2"/>
        </w:rPr>
        <w:t>tool</w:t>
      </w:r>
      <w:r>
        <w:rPr>
          <w:spacing w:val="-7"/>
        </w:rPr>
        <w:t> </w:t>
      </w:r>
      <w:r>
        <w:rPr>
          <w:spacing w:val="-2"/>
        </w:rPr>
        <w:t>of</w:t>
      </w:r>
      <w:r>
        <w:rPr>
          <w:spacing w:val="-11"/>
        </w:rPr>
        <w:t> </w:t>
      </w:r>
      <w:r>
        <w:rPr>
          <w:spacing w:val="-2"/>
        </w:rPr>
        <w:t>control,</w:t>
      </w:r>
      <w:r>
        <w:rPr>
          <w:spacing w:val="-6"/>
        </w:rPr>
        <w:t> </w:t>
      </w:r>
      <w:r>
        <w:rPr>
          <w:spacing w:val="-2"/>
        </w:rPr>
        <w:t>limiting</w:t>
      </w:r>
      <w:r>
        <w:rPr>
          <w:spacing w:val="-7"/>
        </w:rPr>
        <w:t> </w:t>
      </w:r>
      <w:r>
        <w:rPr>
          <w:spacing w:val="-2"/>
        </w:rPr>
        <w:t>female</w:t>
      </w:r>
      <w:r>
        <w:rPr>
          <w:spacing w:val="-7"/>
        </w:rPr>
        <w:t> </w:t>
      </w:r>
      <w:r>
        <w:rPr>
          <w:spacing w:val="-2"/>
        </w:rPr>
        <w:t>agency</w:t>
      </w:r>
      <w:r>
        <w:rPr>
          <w:spacing w:val="-11"/>
        </w:rPr>
        <w:t> </w:t>
      </w:r>
      <w:r>
        <w:rPr>
          <w:spacing w:val="-2"/>
        </w:rPr>
        <w:t>and</w:t>
      </w:r>
      <w:r>
        <w:rPr>
          <w:spacing w:val="-6"/>
        </w:rPr>
        <w:t> </w:t>
      </w:r>
      <w:r>
        <w:rPr>
          <w:spacing w:val="-2"/>
        </w:rPr>
        <w:t>reinforcing</w:t>
      </w:r>
      <w:r>
        <w:rPr>
          <w:spacing w:val="-7"/>
        </w:rPr>
        <w:t> </w:t>
      </w:r>
      <w:r>
        <w:rPr>
          <w:spacing w:val="-2"/>
        </w:rPr>
        <w:t>male</w:t>
      </w:r>
      <w:r>
        <w:rPr>
          <w:spacing w:val="-7"/>
        </w:rPr>
        <w:t> </w:t>
      </w:r>
      <w:r>
        <w:rPr>
          <w:spacing w:val="-2"/>
        </w:rPr>
        <w:t>dominance. </w:t>
      </w:r>
      <w:r>
        <w:rPr/>
        <w:t>The study also reveals that silence is not always negative. It can serve</w:t>
      </w:r>
      <w:r>
        <w:rPr>
          <w:spacing w:val="40"/>
        </w:rPr>
        <w:t> </w:t>
      </w:r>
      <w:r>
        <w:rPr/>
        <w:t>as a form of resistance, emotional expression, and moral strength. Characters like Cordelia and Ophelia demonstrate that silence can communicate</w:t>
      </w:r>
      <w:r>
        <w:rPr>
          <w:spacing w:val="-11"/>
        </w:rPr>
        <w:t> </w:t>
      </w:r>
      <w:r>
        <w:rPr/>
        <w:t>powerful</w:t>
      </w:r>
      <w:r>
        <w:rPr>
          <w:spacing w:val="-12"/>
        </w:rPr>
        <w:t> </w:t>
      </w:r>
      <w:r>
        <w:rPr/>
        <w:t>meanings</w:t>
      </w:r>
      <w:r>
        <w:rPr>
          <w:spacing w:val="-12"/>
        </w:rPr>
        <w:t> </w:t>
      </w:r>
      <w:r>
        <w:rPr/>
        <w:t>beyond</w:t>
      </w:r>
      <w:r>
        <w:rPr>
          <w:spacing w:val="-10"/>
        </w:rPr>
        <w:t> </w:t>
      </w:r>
      <w:r>
        <w:rPr/>
        <w:t>words.</w:t>
      </w:r>
      <w:r>
        <w:rPr>
          <w:spacing w:val="-10"/>
        </w:rPr>
        <w:t> </w:t>
      </w:r>
      <w:r>
        <w:rPr/>
        <w:t>The</w:t>
      </w:r>
      <w:r>
        <w:rPr>
          <w:spacing w:val="-12"/>
        </w:rPr>
        <w:t> </w:t>
      </w:r>
      <w:r>
        <w:rPr/>
        <w:t>analysis</w:t>
      </w:r>
      <w:r>
        <w:rPr>
          <w:spacing w:val="-12"/>
        </w:rPr>
        <w:t> </w:t>
      </w:r>
      <w:r>
        <w:rPr/>
        <w:t>highlights that</w:t>
      </w:r>
      <w:r>
        <w:rPr>
          <w:spacing w:val="-2"/>
        </w:rPr>
        <w:t> </w:t>
      </w:r>
      <w:r>
        <w:rPr/>
        <w:t>Shakespeare’s</w:t>
      </w:r>
      <w:r>
        <w:rPr>
          <w:spacing w:val="-2"/>
        </w:rPr>
        <w:t> </w:t>
      </w:r>
      <w:r>
        <w:rPr/>
        <w:t>female characters</w:t>
      </w:r>
      <w:r>
        <w:rPr>
          <w:spacing w:val="-4"/>
        </w:rPr>
        <w:t> </w:t>
      </w:r>
      <w:r>
        <w:rPr/>
        <w:t>are</w:t>
      </w:r>
      <w:r>
        <w:rPr>
          <w:spacing w:val="-1"/>
        </w:rPr>
        <w:t> </w:t>
      </w:r>
      <w:r>
        <w:rPr/>
        <w:t>not</w:t>
      </w:r>
      <w:r>
        <w:rPr>
          <w:spacing w:val="-3"/>
        </w:rPr>
        <w:t> </w:t>
      </w:r>
      <w:r>
        <w:rPr/>
        <w:t>merely</w:t>
      </w:r>
      <w:r>
        <w:rPr>
          <w:spacing w:val="-2"/>
        </w:rPr>
        <w:t> </w:t>
      </w:r>
      <w:r>
        <w:rPr/>
        <w:t>passive</w:t>
      </w:r>
      <w:r>
        <w:rPr>
          <w:spacing w:val="-1"/>
        </w:rPr>
        <w:t> </w:t>
      </w:r>
      <w:r>
        <w:rPr/>
        <w:t>victims</w:t>
      </w:r>
      <w:r>
        <w:rPr>
          <w:spacing w:val="-4"/>
        </w:rPr>
        <w:t> </w:t>
      </w:r>
      <w:r>
        <w:rPr/>
        <w:t>but complex</w:t>
      </w:r>
      <w:r>
        <w:rPr>
          <w:spacing w:val="-12"/>
        </w:rPr>
        <w:t> </w:t>
      </w:r>
      <w:r>
        <w:rPr/>
        <w:t>individuals</w:t>
      </w:r>
      <w:r>
        <w:rPr>
          <w:spacing w:val="-10"/>
        </w:rPr>
        <w:t> </w:t>
      </w:r>
      <w:r>
        <w:rPr/>
        <w:t>navigating</w:t>
      </w:r>
      <w:r>
        <w:rPr>
          <w:spacing w:val="-10"/>
        </w:rPr>
        <w:t> </w:t>
      </w:r>
      <w:r>
        <w:rPr/>
        <w:t>a</w:t>
      </w:r>
      <w:r>
        <w:rPr>
          <w:spacing w:val="-9"/>
        </w:rPr>
        <w:t> </w:t>
      </w:r>
      <w:r>
        <w:rPr/>
        <w:t>system</w:t>
      </w:r>
      <w:r>
        <w:rPr>
          <w:spacing w:val="-13"/>
        </w:rPr>
        <w:t> </w:t>
      </w:r>
      <w:r>
        <w:rPr/>
        <w:t>of</w:t>
      </w:r>
      <w:r>
        <w:rPr>
          <w:spacing w:val="-10"/>
        </w:rPr>
        <w:t> </w:t>
      </w:r>
      <w:r>
        <w:rPr/>
        <w:t>power.</w:t>
      </w:r>
      <w:r>
        <w:rPr>
          <w:spacing w:val="-10"/>
        </w:rPr>
        <w:t> </w:t>
      </w:r>
      <w:r>
        <w:rPr/>
        <w:t>Their</w:t>
      </w:r>
      <w:r>
        <w:rPr>
          <w:spacing w:val="-7"/>
        </w:rPr>
        <w:t> </w:t>
      </w:r>
      <w:r>
        <w:rPr/>
        <w:t>silence</w:t>
      </w:r>
      <w:r>
        <w:rPr>
          <w:spacing w:val="-9"/>
        </w:rPr>
        <w:t> </w:t>
      </w:r>
      <w:r>
        <w:rPr/>
        <w:t>reflects both oppression and hidden strength. By applying feminist theory, the study</w:t>
      </w:r>
      <w:r>
        <w:rPr>
          <w:spacing w:val="-2"/>
        </w:rPr>
        <w:t> </w:t>
      </w:r>
      <w:r>
        <w:rPr/>
        <w:t>shows</w:t>
      </w:r>
      <w:r>
        <w:rPr>
          <w:spacing w:val="-4"/>
        </w:rPr>
        <w:t> </w:t>
      </w:r>
      <w:r>
        <w:rPr/>
        <w:t>that Shakespeare’s</w:t>
      </w:r>
      <w:r>
        <w:rPr>
          <w:spacing w:val="-4"/>
        </w:rPr>
        <w:t> </w:t>
      </w:r>
      <w:r>
        <w:rPr/>
        <w:t>portrayal of</w:t>
      </w:r>
      <w:r>
        <w:rPr>
          <w:spacing w:val="-4"/>
        </w:rPr>
        <w:t> </w:t>
      </w:r>
      <w:r>
        <w:rPr/>
        <w:t>women</w:t>
      </w:r>
      <w:r>
        <w:rPr>
          <w:spacing w:val="-2"/>
        </w:rPr>
        <w:t> </w:t>
      </w:r>
      <w:r>
        <w:rPr/>
        <w:t>remains</w:t>
      </w:r>
      <w:r>
        <w:rPr>
          <w:spacing w:val="-2"/>
        </w:rPr>
        <w:t> </w:t>
      </w:r>
      <w:r>
        <w:rPr/>
        <w:t>relevant</w:t>
      </w:r>
      <w:r>
        <w:rPr>
          <w:spacing w:val="-1"/>
        </w:rPr>
        <w:t> </w:t>
      </w:r>
      <w:r>
        <w:rPr/>
        <w:t>to modern discussions on gender, voice, and equality. The “voices in silence” of Shakespeare’s women continue to speak to contemporary audiences,</w:t>
      </w:r>
      <w:r>
        <w:rPr>
          <w:spacing w:val="9"/>
        </w:rPr>
        <w:t> </w:t>
      </w:r>
      <w:r>
        <w:rPr/>
        <w:t>reminding</w:t>
      </w:r>
      <w:r>
        <w:rPr>
          <w:spacing w:val="11"/>
        </w:rPr>
        <w:t> </w:t>
      </w:r>
      <w:r>
        <w:rPr/>
        <w:t>us</w:t>
      </w:r>
      <w:r>
        <w:rPr>
          <w:spacing w:val="8"/>
        </w:rPr>
        <w:t> </w:t>
      </w:r>
      <w:r>
        <w:rPr/>
        <w:t>that</w:t>
      </w:r>
      <w:r>
        <w:rPr>
          <w:spacing w:val="7"/>
        </w:rPr>
        <w:t> </w:t>
      </w:r>
      <w:r>
        <w:rPr/>
        <w:t>silence</w:t>
      </w:r>
      <w:r>
        <w:rPr>
          <w:spacing w:val="8"/>
        </w:rPr>
        <w:t> </w:t>
      </w:r>
      <w:r>
        <w:rPr/>
        <w:t>itself</w:t>
      </w:r>
      <w:r>
        <w:rPr>
          <w:spacing w:val="9"/>
        </w:rPr>
        <w:t> </w:t>
      </w:r>
      <w:r>
        <w:rPr/>
        <w:t>can</w:t>
      </w:r>
      <w:r>
        <w:rPr>
          <w:spacing w:val="8"/>
        </w:rPr>
        <w:t> </w:t>
      </w:r>
      <w:r>
        <w:rPr/>
        <w:t>be</w:t>
      </w:r>
      <w:r>
        <w:rPr>
          <w:spacing w:val="7"/>
        </w:rPr>
        <w:t> </w:t>
      </w:r>
      <w:r>
        <w:rPr/>
        <w:t>a</w:t>
      </w:r>
      <w:r>
        <w:rPr>
          <w:spacing w:val="12"/>
        </w:rPr>
        <w:t> </w:t>
      </w:r>
      <w:r>
        <w:rPr/>
        <w:t>powerful</w:t>
      </w:r>
      <w:r>
        <w:rPr>
          <w:spacing w:val="9"/>
        </w:rPr>
        <w:t> </w:t>
      </w:r>
      <w:r>
        <w:rPr>
          <w:spacing w:val="-2"/>
        </w:rPr>
        <w:t>language.</w:t>
      </w:r>
    </w:p>
    <w:p>
      <w:pPr>
        <w:pStyle w:val="Heading3"/>
        <w:spacing w:before="169"/>
      </w:pPr>
      <w:r>
        <w:rPr>
          <w:spacing w:val="-2"/>
          <w:w w:val="95"/>
        </w:rPr>
        <w:t>REFERENCES</w:t>
      </w:r>
    </w:p>
    <w:p>
      <w:pPr>
        <w:pStyle w:val="ListParagraph"/>
        <w:numPr>
          <w:ilvl w:val="1"/>
          <w:numId w:val="30"/>
        </w:numPr>
        <w:tabs>
          <w:tab w:pos="2157" w:val="left" w:leader="none"/>
        </w:tabs>
        <w:spacing w:line="240" w:lineRule="auto" w:before="82" w:after="0"/>
        <w:ind w:left="2157" w:right="0" w:hanging="312"/>
        <w:jc w:val="left"/>
        <w:rPr>
          <w:sz w:val="19"/>
        </w:rPr>
      </w:pPr>
      <w:r>
        <w:rPr>
          <w:sz w:val="19"/>
        </w:rPr>
        <w:t>Butler,</w:t>
      </w:r>
      <w:r>
        <w:rPr>
          <w:spacing w:val="36"/>
          <w:sz w:val="19"/>
        </w:rPr>
        <w:t> </w:t>
      </w:r>
      <w:r>
        <w:rPr>
          <w:sz w:val="19"/>
        </w:rPr>
        <w:t>J.</w:t>
      </w:r>
      <w:r>
        <w:rPr>
          <w:spacing w:val="37"/>
          <w:sz w:val="19"/>
        </w:rPr>
        <w:t> </w:t>
      </w:r>
      <w:r>
        <w:rPr>
          <w:sz w:val="19"/>
        </w:rPr>
        <w:t>(1990).</w:t>
      </w:r>
      <w:r>
        <w:rPr>
          <w:spacing w:val="37"/>
          <w:sz w:val="19"/>
        </w:rPr>
        <w:t> </w:t>
      </w:r>
      <w:r>
        <w:rPr>
          <w:i/>
          <w:sz w:val="19"/>
        </w:rPr>
        <w:t>Gender</w:t>
      </w:r>
      <w:r>
        <w:rPr>
          <w:i/>
          <w:spacing w:val="36"/>
          <w:sz w:val="19"/>
        </w:rPr>
        <w:t> </w:t>
      </w:r>
      <w:r>
        <w:rPr>
          <w:i/>
          <w:sz w:val="19"/>
        </w:rPr>
        <w:t>trouble</w:t>
      </w:r>
      <w:r>
        <w:rPr>
          <w:sz w:val="19"/>
        </w:rPr>
        <w:t>.</w:t>
      </w:r>
      <w:r>
        <w:rPr>
          <w:spacing w:val="39"/>
          <w:sz w:val="19"/>
        </w:rPr>
        <w:t> </w:t>
      </w:r>
      <w:r>
        <w:rPr>
          <w:spacing w:val="-2"/>
          <w:sz w:val="19"/>
        </w:rPr>
        <w:t>Routledge.</w:t>
      </w:r>
    </w:p>
    <w:p>
      <w:pPr>
        <w:pStyle w:val="ListParagraph"/>
        <w:numPr>
          <w:ilvl w:val="1"/>
          <w:numId w:val="30"/>
        </w:numPr>
        <w:tabs>
          <w:tab w:pos="2157" w:val="left" w:leader="none"/>
        </w:tabs>
        <w:spacing w:line="240" w:lineRule="auto" w:before="77" w:after="0"/>
        <w:ind w:left="2157" w:right="0" w:hanging="312"/>
        <w:jc w:val="left"/>
        <w:rPr>
          <w:sz w:val="19"/>
        </w:rPr>
      </w:pPr>
      <w:r>
        <w:rPr>
          <w:sz w:val="19"/>
        </w:rPr>
        <w:t>Spivak,</w:t>
      </w:r>
      <w:r>
        <w:rPr>
          <w:spacing w:val="33"/>
          <w:sz w:val="19"/>
        </w:rPr>
        <w:t> </w:t>
      </w:r>
      <w:r>
        <w:rPr>
          <w:sz w:val="19"/>
        </w:rPr>
        <w:t>G.</w:t>
      </w:r>
      <w:r>
        <w:rPr>
          <w:spacing w:val="36"/>
          <w:sz w:val="19"/>
        </w:rPr>
        <w:t> </w:t>
      </w:r>
      <w:r>
        <w:rPr>
          <w:sz w:val="19"/>
        </w:rPr>
        <w:t>C.</w:t>
      </w:r>
      <w:r>
        <w:rPr>
          <w:spacing w:val="33"/>
          <w:sz w:val="19"/>
        </w:rPr>
        <w:t> </w:t>
      </w:r>
      <w:r>
        <w:rPr>
          <w:sz w:val="19"/>
        </w:rPr>
        <w:t>(1988).</w:t>
      </w:r>
      <w:r>
        <w:rPr>
          <w:spacing w:val="36"/>
          <w:sz w:val="19"/>
        </w:rPr>
        <w:t> </w:t>
      </w:r>
      <w:r>
        <w:rPr>
          <w:i/>
          <w:sz w:val="19"/>
        </w:rPr>
        <w:t>Can</w:t>
      </w:r>
      <w:r>
        <w:rPr>
          <w:i/>
          <w:spacing w:val="36"/>
          <w:sz w:val="19"/>
        </w:rPr>
        <w:t> </w:t>
      </w:r>
      <w:r>
        <w:rPr>
          <w:i/>
          <w:sz w:val="19"/>
        </w:rPr>
        <w:t>the</w:t>
      </w:r>
      <w:r>
        <w:rPr>
          <w:i/>
          <w:spacing w:val="31"/>
          <w:sz w:val="19"/>
        </w:rPr>
        <w:t> </w:t>
      </w:r>
      <w:r>
        <w:rPr>
          <w:i/>
          <w:sz w:val="19"/>
        </w:rPr>
        <w:t>subaltern</w:t>
      </w:r>
      <w:r>
        <w:rPr>
          <w:i/>
          <w:spacing w:val="36"/>
          <w:sz w:val="19"/>
        </w:rPr>
        <w:t> </w:t>
      </w:r>
      <w:r>
        <w:rPr>
          <w:i/>
          <w:sz w:val="19"/>
        </w:rPr>
        <w:t>speak?</w:t>
      </w:r>
      <w:r>
        <w:rPr>
          <w:i/>
          <w:spacing w:val="37"/>
          <w:sz w:val="19"/>
        </w:rPr>
        <w:t> </w:t>
      </w:r>
      <w:r>
        <w:rPr>
          <w:spacing w:val="-2"/>
          <w:sz w:val="19"/>
        </w:rPr>
        <w:t>Macmillan.</w:t>
      </w:r>
    </w:p>
    <w:p>
      <w:pPr>
        <w:pStyle w:val="ListParagraph"/>
        <w:numPr>
          <w:ilvl w:val="1"/>
          <w:numId w:val="30"/>
        </w:numPr>
        <w:tabs>
          <w:tab w:pos="2157" w:val="left" w:leader="none"/>
        </w:tabs>
        <w:spacing w:line="240" w:lineRule="auto" w:before="76" w:after="0"/>
        <w:ind w:left="2157" w:right="0" w:hanging="312"/>
        <w:jc w:val="left"/>
        <w:rPr>
          <w:sz w:val="19"/>
        </w:rPr>
      </w:pPr>
      <w:r>
        <w:rPr>
          <w:sz w:val="19"/>
        </w:rPr>
        <w:t>Beauvoir,</w:t>
      </w:r>
      <w:r>
        <w:rPr>
          <w:spacing w:val="32"/>
          <w:sz w:val="19"/>
        </w:rPr>
        <w:t> </w:t>
      </w:r>
      <w:r>
        <w:rPr>
          <w:sz w:val="19"/>
        </w:rPr>
        <w:t>S.</w:t>
      </w:r>
      <w:r>
        <w:rPr>
          <w:spacing w:val="33"/>
          <w:sz w:val="19"/>
        </w:rPr>
        <w:t> </w:t>
      </w:r>
      <w:r>
        <w:rPr>
          <w:sz w:val="19"/>
        </w:rPr>
        <w:t>de.</w:t>
      </w:r>
      <w:r>
        <w:rPr>
          <w:spacing w:val="32"/>
          <w:sz w:val="19"/>
        </w:rPr>
        <w:t> </w:t>
      </w:r>
      <w:r>
        <w:rPr>
          <w:sz w:val="19"/>
        </w:rPr>
        <w:t>(1949).</w:t>
      </w:r>
      <w:r>
        <w:rPr>
          <w:spacing w:val="33"/>
          <w:sz w:val="19"/>
        </w:rPr>
        <w:t> </w:t>
      </w:r>
      <w:r>
        <w:rPr>
          <w:i/>
          <w:sz w:val="19"/>
        </w:rPr>
        <w:t>The</w:t>
      </w:r>
      <w:r>
        <w:rPr>
          <w:i/>
          <w:spacing w:val="31"/>
          <w:sz w:val="19"/>
        </w:rPr>
        <w:t> </w:t>
      </w:r>
      <w:r>
        <w:rPr>
          <w:i/>
          <w:sz w:val="19"/>
        </w:rPr>
        <w:t>second</w:t>
      </w:r>
      <w:r>
        <w:rPr>
          <w:i/>
          <w:spacing w:val="32"/>
          <w:sz w:val="19"/>
        </w:rPr>
        <w:t> </w:t>
      </w:r>
      <w:r>
        <w:rPr>
          <w:i/>
          <w:sz w:val="19"/>
        </w:rPr>
        <w:t>sex</w:t>
      </w:r>
      <w:r>
        <w:rPr>
          <w:sz w:val="19"/>
        </w:rPr>
        <w:t>.</w:t>
      </w:r>
      <w:r>
        <w:rPr>
          <w:spacing w:val="33"/>
          <w:sz w:val="19"/>
        </w:rPr>
        <w:t> </w:t>
      </w:r>
      <w:r>
        <w:rPr>
          <w:spacing w:val="-2"/>
          <w:sz w:val="19"/>
        </w:rPr>
        <w:t>Vintage.</w:t>
      </w:r>
    </w:p>
    <w:p>
      <w:pPr>
        <w:pStyle w:val="ListParagraph"/>
        <w:spacing w:after="0" w:line="240" w:lineRule="auto"/>
        <w:jc w:val="left"/>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14816">
                <wp:simplePos x="0" y="0"/>
                <wp:positionH relativeFrom="page">
                  <wp:posOffset>2057400</wp:posOffset>
                </wp:positionH>
                <wp:positionV relativeFrom="paragraph">
                  <wp:posOffset>162604</wp:posOffset>
                </wp:positionV>
                <wp:extent cx="3657600" cy="12700"/>
                <wp:effectExtent l="0" t="0" r="0" b="0"/>
                <wp:wrapTopAndBottom/>
                <wp:docPr id="386" name="Graphic 386"/>
                <wp:cNvGraphicFramePr>
                  <a:graphicFrameLocks/>
                </wp:cNvGraphicFramePr>
                <a:graphic>
                  <a:graphicData uri="http://schemas.microsoft.com/office/word/2010/wordprocessingShape">
                    <wps:wsp>
                      <wps:cNvPr id="386" name="Graphic 38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601664;mso-wrap-distance-left:0;mso-wrap-distance-right:0" id="docshape381" filled="true" fillcolor="#000000" stroked="false">
                <v:fill type="solid"/>
                <w10:wrap type="topAndBottom"/>
              </v:rect>
            </w:pict>
          </mc:Fallback>
        </mc:AlternateContent>
      </w:r>
      <w:r>
        <w:rPr>
          <w:rFonts w:ascii="Verdana"/>
          <w:spacing w:val="-5"/>
          <w:sz w:val="18"/>
        </w:rPr>
        <w:t>154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1"/>
          <w:numId w:val="30"/>
        </w:numPr>
        <w:tabs>
          <w:tab w:pos="2157" w:val="left" w:leader="none"/>
          <w:tab w:pos="2160" w:val="left" w:leader="none"/>
        </w:tabs>
        <w:spacing w:line="261" w:lineRule="auto" w:before="199" w:after="0"/>
        <w:ind w:left="2160" w:right="1438" w:hanging="315"/>
        <w:jc w:val="left"/>
        <w:rPr>
          <w:sz w:val="19"/>
        </w:rPr>
      </w:pPr>
      <w:r>
        <w:rPr>
          <w:spacing w:val="10"/>
          <w:sz w:val="19"/>
        </w:rPr>
        <w:t>Ghorpade,</w:t>
      </w:r>
      <w:r>
        <w:rPr>
          <w:spacing w:val="80"/>
          <w:sz w:val="19"/>
        </w:rPr>
        <w:t> </w:t>
      </w:r>
      <w:r>
        <w:rPr>
          <w:sz w:val="19"/>
        </w:rPr>
        <w:t>R.</w:t>
      </w:r>
      <w:r>
        <w:rPr>
          <w:spacing w:val="80"/>
          <w:sz w:val="19"/>
        </w:rPr>
        <w:t> </w:t>
      </w:r>
      <w:r>
        <w:rPr>
          <w:sz w:val="19"/>
        </w:rPr>
        <w:t>P.</w:t>
      </w:r>
      <w:r>
        <w:rPr>
          <w:spacing w:val="80"/>
          <w:sz w:val="19"/>
        </w:rPr>
        <w:t> </w:t>
      </w:r>
      <w:r>
        <w:rPr>
          <w:spacing w:val="10"/>
          <w:sz w:val="19"/>
        </w:rPr>
        <w:t>(2023).</w:t>
      </w:r>
      <w:r>
        <w:rPr>
          <w:spacing w:val="80"/>
          <w:sz w:val="19"/>
        </w:rPr>
        <w:t> </w:t>
      </w:r>
      <w:r>
        <w:rPr>
          <w:spacing w:val="11"/>
          <w:sz w:val="19"/>
        </w:rPr>
        <w:t>Representation</w:t>
      </w:r>
      <w:r>
        <w:rPr>
          <w:spacing w:val="80"/>
          <w:sz w:val="19"/>
        </w:rPr>
        <w:t> </w:t>
      </w:r>
      <w:r>
        <w:rPr>
          <w:sz w:val="19"/>
        </w:rPr>
        <w:t>of</w:t>
      </w:r>
      <w:r>
        <w:rPr>
          <w:spacing w:val="80"/>
          <w:sz w:val="19"/>
        </w:rPr>
        <w:t> </w:t>
      </w:r>
      <w:r>
        <w:rPr>
          <w:spacing w:val="9"/>
          <w:sz w:val="19"/>
        </w:rPr>
        <w:t>women</w:t>
      </w:r>
      <w:r>
        <w:rPr>
          <w:spacing w:val="80"/>
          <w:sz w:val="19"/>
        </w:rPr>
        <w:t> </w:t>
      </w:r>
      <w:r>
        <w:rPr>
          <w:sz w:val="19"/>
        </w:rPr>
        <w:t>in Shakespeare’s</w:t>
      </w:r>
      <w:r>
        <w:rPr>
          <w:spacing w:val="40"/>
          <w:sz w:val="19"/>
        </w:rPr>
        <w:t> </w:t>
      </w:r>
      <w:r>
        <w:rPr>
          <w:sz w:val="19"/>
        </w:rPr>
        <w:t>plays.</w:t>
      </w:r>
      <w:r>
        <w:rPr>
          <w:spacing w:val="40"/>
          <w:sz w:val="19"/>
        </w:rPr>
        <w:t> </w:t>
      </w:r>
      <w:r>
        <w:rPr>
          <w:sz w:val="19"/>
        </w:rPr>
        <w:t>(Granthaalayah</w:t>
      </w:r>
      <w:r>
        <w:rPr>
          <w:spacing w:val="40"/>
          <w:sz w:val="19"/>
        </w:rPr>
        <w:t> </w:t>
      </w:r>
      <w:r>
        <w:rPr>
          <w:sz w:val="19"/>
        </w:rPr>
        <w:t>Publication)</w:t>
      </w:r>
    </w:p>
    <w:p>
      <w:pPr>
        <w:pStyle w:val="ListParagraph"/>
        <w:numPr>
          <w:ilvl w:val="1"/>
          <w:numId w:val="30"/>
        </w:numPr>
        <w:tabs>
          <w:tab w:pos="2157" w:val="left" w:leader="none"/>
          <w:tab w:pos="2160" w:val="left" w:leader="none"/>
        </w:tabs>
        <w:spacing w:line="264" w:lineRule="auto" w:before="57" w:after="0"/>
        <w:ind w:left="2160" w:right="1444" w:hanging="315"/>
        <w:jc w:val="left"/>
        <w:rPr>
          <w:sz w:val="19"/>
        </w:rPr>
      </w:pPr>
      <w:r>
        <w:rPr>
          <w:sz w:val="19"/>
        </w:rPr>
        <w:t>Sekar,</w:t>
      </w:r>
      <w:r>
        <w:rPr>
          <w:spacing w:val="-10"/>
          <w:sz w:val="19"/>
        </w:rPr>
        <w:t> </w:t>
      </w:r>
      <w:r>
        <w:rPr>
          <w:sz w:val="19"/>
        </w:rPr>
        <w:t>J.</w:t>
      </w:r>
      <w:r>
        <w:rPr>
          <w:spacing w:val="-9"/>
          <w:sz w:val="19"/>
        </w:rPr>
        <w:t> </w:t>
      </w:r>
      <w:r>
        <w:rPr>
          <w:sz w:val="19"/>
        </w:rPr>
        <w:t>J.</w:t>
      </w:r>
      <w:r>
        <w:rPr>
          <w:spacing w:val="-9"/>
          <w:sz w:val="19"/>
        </w:rPr>
        <w:t> </w:t>
      </w:r>
      <w:r>
        <w:rPr>
          <w:sz w:val="19"/>
        </w:rPr>
        <w:t>(2025).</w:t>
      </w:r>
      <w:r>
        <w:rPr>
          <w:spacing w:val="-9"/>
          <w:sz w:val="19"/>
        </w:rPr>
        <w:t> </w:t>
      </w:r>
      <w:r>
        <w:rPr>
          <w:sz w:val="19"/>
        </w:rPr>
        <w:t>Muted</w:t>
      </w:r>
      <w:r>
        <w:rPr>
          <w:spacing w:val="-10"/>
          <w:sz w:val="19"/>
        </w:rPr>
        <w:t> </w:t>
      </w:r>
      <w:r>
        <w:rPr>
          <w:sz w:val="19"/>
        </w:rPr>
        <w:t>power:</w:t>
      </w:r>
      <w:r>
        <w:rPr>
          <w:spacing w:val="-7"/>
          <w:sz w:val="19"/>
        </w:rPr>
        <w:t> </w:t>
      </w:r>
      <w:r>
        <w:rPr>
          <w:sz w:val="19"/>
        </w:rPr>
        <w:t>Feminist</w:t>
      </w:r>
      <w:r>
        <w:rPr>
          <w:spacing w:val="-10"/>
          <w:sz w:val="19"/>
        </w:rPr>
        <w:t> </w:t>
      </w:r>
      <w:r>
        <w:rPr>
          <w:sz w:val="19"/>
        </w:rPr>
        <w:t>reading.</w:t>
      </w:r>
      <w:r>
        <w:rPr>
          <w:spacing w:val="-9"/>
          <w:sz w:val="19"/>
        </w:rPr>
        <w:t> </w:t>
      </w:r>
      <w:r>
        <w:rPr>
          <w:sz w:val="19"/>
        </w:rPr>
        <w:t>(Asian</w:t>
      </w:r>
      <w:r>
        <w:rPr>
          <w:spacing w:val="-10"/>
          <w:sz w:val="19"/>
        </w:rPr>
        <w:t> </w:t>
      </w:r>
      <w:r>
        <w:rPr>
          <w:sz w:val="19"/>
        </w:rPr>
        <w:t>Journal of</w:t>
      </w:r>
      <w:r>
        <w:rPr>
          <w:spacing w:val="40"/>
          <w:sz w:val="19"/>
        </w:rPr>
        <w:t> </w:t>
      </w:r>
      <w:r>
        <w:rPr>
          <w:sz w:val="19"/>
        </w:rPr>
        <w:t>Culture</w:t>
      </w:r>
      <w:r>
        <w:rPr>
          <w:spacing w:val="40"/>
          <w:sz w:val="19"/>
        </w:rPr>
        <w:t> </w:t>
      </w:r>
      <w:r>
        <w:rPr>
          <w:sz w:val="19"/>
        </w:rPr>
        <w:t>Studies)</w:t>
      </w:r>
    </w:p>
    <w:p>
      <w:pPr>
        <w:pStyle w:val="ListParagraph"/>
        <w:numPr>
          <w:ilvl w:val="1"/>
          <w:numId w:val="30"/>
        </w:numPr>
        <w:tabs>
          <w:tab w:pos="2157" w:val="left" w:leader="none"/>
          <w:tab w:pos="2160" w:val="left" w:leader="none"/>
        </w:tabs>
        <w:spacing w:line="261" w:lineRule="auto" w:before="54" w:after="0"/>
        <w:ind w:left="2160" w:right="1440" w:hanging="315"/>
        <w:jc w:val="left"/>
        <w:rPr>
          <w:sz w:val="19"/>
        </w:rPr>
      </w:pPr>
      <w:r>
        <w:rPr>
          <w:sz w:val="19"/>
        </w:rPr>
        <w:t>Bevington,</w:t>
      </w:r>
      <w:r>
        <w:rPr>
          <w:spacing w:val="40"/>
          <w:sz w:val="19"/>
        </w:rPr>
        <w:t> </w:t>
      </w:r>
      <w:r>
        <w:rPr>
          <w:sz w:val="19"/>
        </w:rPr>
        <w:t>D.</w:t>
      </w:r>
      <w:r>
        <w:rPr>
          <w:spacing w:val="40"/>
          <w:sz w:val="19"/>
        </w:rPr>
        <w:t> </w:t>
      </w:r>
      <w:r>
        <w:rPr>
          <w:sz w:val="19"/>
        </w:rPr>
        <w:t>(2026).</w:t>
      </w:r>
      <w:r>
        <w:rPr>
          <w:spacing w:val="40"/>
          <w:sz w:val="19"/>
        </w:rPr>
        <w:t> </w:t>
      </w:r>
      <w:r>
        <w:rPr>
          <w:sz w:val="19"/>
        </w:rPr>
        <w:t>Feminist</w:t>
      </w:r>
      <w:r>
        <w:rPr>
          <w:spacing w:val="40"/>
          <w:sz w:val="19"/>
        </w:rPr>
        <w:t> </w:t>
      </w:r>
      <w:r>
        <w:rPr>
          <w:sz w:val="19"/>
        </w:rPr>
        <w:t>criticism</w:t>
      </w:r>
      <w:r>
        <w:rPr>
          <w:spacing w:val="40"/>
          <w:sz w:val="19"/>
        </w:rPr>
        <w:t> </w:t>
      </w:r>
      <w:r>
        <w:rPr>
          <w:sz w:val="19"/>
        </w:rPr>
        <w:t>and</w:t>
      </w:r>
      <w:r>
        <w:rPr>
          <w:spacing w:val="40"/>
          <w:sz w:val="19"/>
        </w:rPr>
        <w:t> </w:t>
      </w:r>
      <w:r>
        <w:rPr>
          <w:sz w:val="19"/>
        </w:rPr>
        <w:t>gender</w:t>
      </w:r>
      <w:r>
        <w:rPr>
          <w:spacing w:val="40"/>
          <w:sz w:val="19"/>
        </w:rPr>
        <w:t> </w:t>
      </w:r>
      <w:r>
        <w:rPr>
          <w:sz w:val="19"/>
        </w:rPr>
        <w:t>studies. (Encyclopedia</w:t>
      </w:r>
      <w:r>
        <w:rPr>
          <w:spacing w:val="40"/>
          <w:sz w:val="19"/>
        </w:rPr>
        <w:t> </w:t>
      </w:r>
      <w:r>
        <w:rPr>
          <w:sz w:val="19"/>
        </w:rPr>
        <w:t>Britannica)</w:t>
      </w:r>
    </w:p>
    <w:p>
      <w:pPr>
        <w:pStyle w:val="ListParagraph"/>
        <w:numPr>
          <w:ilvl w:val="1"/>
          <w:numId w:val="30"/>
        </w:numPr>
        <w:tabs>
          <w:tab w:pos="2157" w:val="left" w:leader="none"/>
        </w:tabs>
        <w:spacing w:line="240" w:lineRule="auto" w:before="57" w:after="0"/>
        <w:ind w:left="2157" w:right="0" w:hanging="312"/>
        <w:jc w:val="left"/>
        <w:rPr>
          <w:sz w:val="19"/>
        </w:rPr>
      </w:pPr>
      <w:r>
        <w:rPr>
          <w:sz w:val="19"/>
        </w:rPr>
        <w:t>Showalter,</w:t>
      </w:r>
      <w:r>
        <w:rPr>
          <w:spacing w:val="23"/>
          <w:sz w:val="19"/>
        </w:rPr>
        <w:t> </w:t>
      </w:r>
      <w:r>
        <w:rPr>
          <w:sz w:val="19"/>
        </w:rPr>
        <w:t>E.</w:t>
      </w:r>
      <w:r>
        <w:rPr>
          <w:spacing w:val="26"/>
          <w:sz w:val="19"/>
        </w:rPr>
        <w:t> </w:t>
      </w:r>
      <w:r>
        <w:rPr>
          <w:sz w:val="19"/>
        </w:rPr>
        <w:t>(1985).</w:t>
      </w:r>
      <w:r>
        <w:rPr>
          <w:spacing w:val="25"/>
          <w:sz w:val="19"/>
        </w:rPr>
        <w:t> </w:t>
      </w:r>
      <w:r>
        <w:rPr>
          <w:i/>
          <w:sz w:val="19"/>
        </w:rPr>
        <w:t>The</w:t>
      </w:r>
      <w:r>
        <w:rPr>
          <w:i/>
          <w:spacing w:val="22"/>
          <w:sz w:val="19"/>
        </w:rPr>
        <w:t> </w:t>
      </w:r>
      <w:r>
        <w:rPr>
          <w:i/>
          <w:sz w:val="19"/>
        </w:rPr>
        <w:t>female</w:t>
      </w:r>
      <w:r>
        <w:rPr>
          <w:i/>
          <w:spacing w:val="27"/>
          <w:sz w:val="19"/>
        </w:rPr>
        <w:t> </w:t>
      </w:r>
      <w:r>
        <w:rPr>
          <w:i/>
          <w:sz w:val="19"/>
        </w:rPr>
        <w:t>malady</w:t>
      </w:r>
      <w:r>
        <w:rPr>
          <w:sz w:val="19"/>
        </w:rPr>
        <w:t>.</w:t>
      </w:r>
      <w:r>
        <w:rPr>
          <w:spacing w:val="24"/>
          <w:sz w:val="19"/>
        </w:rPr>
        <w:t> </w:t>
      </w:r>
      <w:r>
        <w:rPr>
          <w:spacing w:val="-2"/>
          <w:sz w:val="19"/>
        </w:rPr>
        <w:t>Virago.</w:t>
      </w:r>
    </w:p>
    <w:p>
      <w:pPr>
        <w:pStyle w:val="ListParagraph"/>
        <w:numPr>
          <w:ilvl w:val="1"/>
          <w:numId w:val="30"/>
        </w:numPr>
        <w:tabs>
          <w:tab w:pos="2157" w:val="left" w:leader="none"/>
          <w:tab w:pos="2160" w:val="left" w:leader="none"/>
        </w:tabs>
        <w:spacing w:line="261" w:lineRule="auto" w:before="79" w:after="0"/>
        <w:ind w:left="2160" w:right="1438" w:hanging="315"/>
        <w:jc w:val="left"/>
        <w:rPr>
          <w:sz w:val="19"/>
        </w:rPr>
      </w:pPr>
      <w:r>
        <w:rPr>
          <w:sz w:val="19"/>
        </w:rPr>
        <w:t>Gilbert, S., &amp; Gubar, S. (1979). </w:t>
      </w:r>
      <w:r>
        <w:rPr>
          <w:i/>
          <w:sz w:val="19"/>
        </w:rPr>
        <w:t>The madwoman in the attic</w:t>
      </w:r>
      <w:r>
        <w:rPr>
          <w:sz w:val="19"/>
        </w:rPr>
        <w:t>.</w:t>
      </w:r>
      <w:r>
        <w:rPr>
          <w:spacing w:val="-2"/>
          <w:sz w:val="19"/>
        </w:rPr>
        <w:t> </w:t>
      </w:r>
      <w:r>
        <w:rPr>
          <w:sz w:val="19"/>
        </w:rPr>
        <w:t>Yale University</w:t>
      </w:r>
      <w:r>
        <w:rPr>
          <w:spacing w:val="40"/>
          <w:sz w:val="19"/>
        </w:rPr>
        <w:t> </w:t>
      </w:r>
      <w:r>
        <w:rPr>
          <w:sz w:val="19"/>
        </w:rPr>
        <w:t>Press.</w:t>
      </w:r>
    </w:p>
    <w:p>
      <w:pPr>
        <w:pStyle w:val="ListParagraph"/>
        <w:numPr>
          <w:ilvl w:val="1"/>
          <w:numId w:val="30"/>
        </w:numPr>
        <w:tabs>
          <w:tab w:pos="2157" w:val="left" w:leader="none"/>
        </w:tabs>
        <w:spacing w:line="240" w:lineRule="auto" w:before="56" w:after="0"/>
        <w:ind w:left="2157" w:right="0" w:hanging="312"/>
        <w:jc w:val="left"/>
        <w:rPr>
          <w:sz w:val="19"/>
        </w:rPr>
      </w:pPr>
      <w:r>
        <w:rPr>
          <w:sz w:val="19"/>
        </w:rPr>
        <w:t>Callaghan,</w:t>
      </w:r>
      <w:r>
        <w:rPr>
          <w:spacing w:val="35"/>
          <w:sz w:val="19"/>
        </w:rPr>
        <w:t> </w:t>
      </w:r>
      <w:r>
        <w:rPr>
          <w:sz w:val="19"/>
        </w:rPr>
        <w:t>D.</w:t>
      </w:r>
      <w:r>
        <w:rPr>
          <w:spacing w:val="36"/>
          <w:sz w:val="19"/>
        </w:rPr>
        <w:t> </w:t>
      </w:r>
      <w:r>
        <w:rPr>
          <w:sz w:val="19"/>
        </w:rPr>
        <w:t>(2000).</w:t>
      </w:r>
      <w:r>
        <w:rPr>
          <w:spacing w:val="35"/>
          <w:sz w:val="19"/>
        </w:rPr>
        <w:t> </w:t>
      </w:r>
      <w:r>
        <w:rPr>
          <w:i/>
          <w:sz w:val="19"/>
        </w:rPr>
        <w:t>Shakespeare</w:t>
      </w:r>
      <w:r>
        <w:rPr>
          <w:i/>
          <w:spacing w:val="35"/>
          <w:sz w:val="19"/>
        </w:rPr>
        <w:t> </w:t>
      </w:r>
      <w:r>
        <w:rPr>
          <w:i/>
          <w:sz w:val="19"/>
        </w:rPr>
        <w:t>without</w:t>
      </w:r>
      <w:r>
        <w:rPr>
          <w:i/>
          <w:spacing w:val="36"/>
          <w:sz w:val="19"/>
        </w:rPr>
        <w:t> </w:t>
      </w:r>
      <w:r>
        <w:rPr>
          <w:i/>
          <w:sz w:val="19"/>
        </w:rPr>
        <w:t>women</w:t>
      </w:r>
      <w:r>
        <w:rPr>
          <w:sz w:val="19"/>
        </w:rPr>
        <w:t>.</w:t>
      </w:r>
      <w:r>
        <w:rPr>
          <w:spacing w:val="36"/>
          <w:sz w:val="19"/>
        </w:rPr>
        <w:t> </w:t>
      </w:r>
      <w:r>
        <w:rPr>
          <w:spacing w:val="-2"/>
          <w:sz w:val="19"/>
        </w:rPr>
        <w:t>Routledge.</w:t>
      </w:r>
    </w:p>
    <w:p>
      <w:pPr>
        <w:pStyle w:val="ListParagraph"/>
        <w:numPr>
          <w:ilvl w:val="1"/>
          <w:numId w:val="30"/>
        </w:numPr>
        <w:tabs>
          <w:tab w:pos="2157" w:val="left" w:leader="none"/>
          <w:tab w:pos="2160" w:val="left" w:leader="none"/>
        </w:tabs>
        <w:spacing w:line="261" w:lineRule="auto" w:before="79" w:after="0"/>
        <w:ind w:left="2160" w:right="1433" w:hanging="406"/>
        <w:jc w:val="left"/>
        <w:rPr>
          <w:sz w:val="19"/>
        </w:rPr>
      </w:pPr>
      <w:r>
        <w:rPr>
          <w:sz w:val="19"/>
        </w:rPr>
        <w:t>Greenblatt,</w:t>
      </w:r>
      <w:r>
        <w:rPr>
          <w:spacing w:val="40"/>
          <w:sz w:val="19"/>
        </w:rPr>
        <w:t> </w:t>
      </w:r>
      <w:r>
        <w:rPr>
          <w:sz w:val="19"/>
        </w:rPr>
        <w:t>S.</w:t>
      </w:r>
      <w:r>
        <w:rPr>
          <w:spacing w:val="40"/>
          <w:sz w:val="19"/>
        </w:rPr>
        <w:t> </w:t>
      </w:r>
      <w:r>
        <w:rPr>
          <w:sz w:val="19"/>
        </w:rPr>
        <w:t>(1988).</w:t>
      </w:r>
      <w:r>
        <w:rPr>
          <w:spacing w:val="40"/>
          <w:sz w:val="19"/>
        </w:rPr>
        <w:t> </w:t>
      </w:r>
      <w:r>
        <w:rPr>
          <w:i/>
          <w:sz w:val="19"/>
        </w:rPr>
        <w:t>Shakespearean</w:t>
      </w:r>
      <w:r>
        <w:rPr>
          <w:i/>
          <w:spacing w:val="40"/>
          <w:sz w:val="19"/>
        </w:rPr>
        <w:t> </w:t>
      </w:r>
      <w:r>
        <w:rPr>
          <w:i/>
          <w:sz w:val="19"/>
        </w:rPr>
        <w:t>negotiations</w:t>
      </w:r>
      <w:r>
        <w:rPr>
          <w:sz w:val="19"/>
        </w:rPr>
        <w:t>.</w:t>
      </w:r>
      <w:r>
        <w:rPr>
          <w:spacing w:val="40"/>
          <w:sz w:val="19"/>
        </w:rPr>
        <w:t> </w:t>
      </w:r>
      <w:r>
        <w:rPr>
          <w:sz w:val="19"/>
        </w:rPr>
        <w:t>University of</w:t>
      </w:r>
      <w:r>
        <w:rPr>
          <w:spacing w:val="40"/>
          <w:sz w:val="19"/>
        </w:rPr>
        <w:t> </w:t>
      </w:r>
      <w:r>
        <w:rPr>
          <w:sz w:val="19"/>
        </w:rPr>
        <w:t>California</w:t>
      </w:r>
      <w:r>
        <w:rPr>
          <w:spacing w:val="40"/>
          <w:sz w:val="19"/>
        </w:rPr>
        <w:t> </w:t>
      </w:r>
      <w:r>
        <w:rPr>
          <w:sz w:val="19"/>
        </w:rPr>
        <w:t>Press.</w:t>
      </w:r>
    </w:p>
    <w:p>
      <w:pPr>
        <w:pStyle w:val="ListParagraph"/>
        <w:numPr>
          <w:ilvl w:val="1"/>
          <w:numId w:val="30"/>
        </w:numPr>
        <w:tabs>
          <w:tab w:pos="2157" w:val="left" w:leader="none"/>
        </w:tabs>
        <w:spacing w:line="240" w:lineRule="auto" w:before="57" w:after="0"/>
        <w:ind w:left="2157" w:right="0" w:hanging="403"/>
        <w:jc w:val="left"/>
        <w:rPr>
          <w:sz w:val="19"/>
        </w:rPr>
      </w:pPr>
      <w:r>
        <w:rPr>
          <w:sz w:val="19"/>
        </w:rPr>
        <w:t>Adelman,</w:t>
      </w:r>
      <w:r>
        <w:rPr>
          <w:spacing w:val="44"/>
          <w:sz w:val="19"/>
        </w:rPr>
        <w:t> </w:t>
      </w:r>
      <w:r>
        <w:rPr>
          <w:sz w:val="19"/>
        </w:rPr>
        <w:t>J.</w:t>
      </w:r>
      <w:r>
        <w:rPr>
          <w:spacing w:val="47"/>
          <w:sz w:val="19"/>
        </w:rPr>
        <w:t> </w:t>
      </w:r>
      <w:r>
        <w:rPr>
          <w:sz w:val="19"/>
        </w:rPr>
        <w:t>(1992).</w:t>
      </w:r>
      <w:r>
        <w:rPr>
          <w:spacing w:val="45"/>
          <w:sz w:val="19"/>
        </w:rPr>
        <w:t> </w:t>
      </w:r>
      <w:r>
        <w:rPr>
          <w:i/>
          <w:sz w:val="19"/>
        </w:rPr>
        <w:t>Suffocating</w:t>
      </w:r>
      <w:r>
        <w:rPr>
          <w:i/>
          <w:spacing w:val="47"/>
          <w:sz w:val="19"/>
        </w:rPr>
        <w:t> </w:t>
      </w:r>
      <w:r>
        <w:rPr>
          <w:i/>
          <w:sz w:val="19"/>
        </w:rPr>
        <w:t>mothers</w:t>
      </w:r>
      <w:r>
        <w:rPr>
          <w:sz w:val="19"/>
        </w:rPr>
        <w:t>.</w:t>
      </w:r>
      <w:r>
        <w:rPr>
          <w:spacing w:val="45"/>
          <w:sz w:val="19"/>
        </w:rPr>
        <w:t> </w:t>
      </w:r>
      <w:r>
        <w:rPr>
          <w:spacing w:val="-2"/>
          <w:sz w:val="19"/>
        </w:rPr>
        <w:t>Routledge.</w:t>
      </w:r>
    </w:p>
    <w:p>
      <w:pPr>
        <w:pStyle w:val="ListParagraph"/>
        <w:numPr>
          <w:ilvl w:val="1"/>
          <w:numId w:val="30"/>
        </w:numPr>
        <w:tabs>
          <w:tab w:pos="2157" w:val="left" w:leader="none"/>
          <w:tab w:pos="2160" w:val="left" w:leader="none"/>
        </w:tabs>
        <w:spacing w:line="264" w:lineRule="auto" w:before="77" w:after="0"/>
        <w:ind w:left="2160" w:right="1440" w:hanging="406"/>
        <w:jc w:val="left"/>
        <w:rPr>
          <w:sz w:val="19"/>
        </w:rPr>
      </w:pPr>
      <w:r>
        <w:rPr>
          <w:sz w:val="19"/>
        </w:rPr>
        <w:t>Novy, M. (1989). </w:t>
      </w:r>
      <w:r>
        <w:rPr>
          <w:i/>
          <w:sz w:val="19"/>
        </w:rPr>
        <w:t>Love’s argument</w:t>
      </w:r>
      <w:r>
        <w:rPr>
          <w:sz w:val="19"/>
        </w:rPr>
        <w:t>. University of North Carolina </w:t>
      </w:r>
      <w:r>
        <w:rPr>
          <w:spacing w:val="-2"/>
          <w:sz w:val="19"/>
        </w:rPr>
        <w:t>Press.</w:t>
      </w:r>
    </w:p>
    <w:p>
      <w:pPr>
        <w:pStyle w:val="ListParagraph"/>
        <w:numPr>
          <w:ilvl w:val="1"/>
          <w:numId w:val="30"/>
        </w:numPr>
        <w:tabs>
          <w:tab w:pos="2157" w:val="left" w:leader="none"/>
          <w:tab w:pos="2160" w:val="left" w:leader="none"/>
        </w:tabs>
        <w:spacing w:line="261" w:lineRule="auto" w:before="54" w:after="0"/>
        <w:ind w:left="2160" w:right="1439" w:hanging="406"/>
        <w:jc w:val="left"/>
        <w:rPr>
          <w:sz w:val="19"/>
        </w:rPr>
      </w:pPr>
      <w:r>
        <w:rPr>
          <w:sz w:val="19"/>
        </w:rPr>
        <w:t>Dollimore,</w:t>
      </w:r>
      <w:r>
        <w:rPr>
          <w:spacing w:val="40"/>
          <w:sz w:val="19"/>
        </w:rPr>
        <w:t> </w:t>
      </w:r>
      <w:r>
        <w:rPr>
          <w:sz w:val="19"/>
        </w:rPr>
        <w:t>J.</w:t>
      </w:r>
      <w:r>
        <w:rPr>
          <w:spacing w:val="40"/>
          <w:sz w:val="19"/>
        </w:rPr>
        <w:t> </w:t>
      </w:r>
      <w:r>
        <w:rPr>
          <w:sz w:val="19"/>
        </w:rPr>
        <w:t>(1984).</w:t>
      </w:r>
      <w:r>
        <w:rPr>
          <w:spacing w:val="40"/>
          <w:sz w:val="19"/>
        </w:rPr>
        <w:t> </w:t>
      </w:r>
      <w:r>
        <w:rPr>
          <w:i/>
          <w:sz w:val="19"/>
        </w:rPr>
        <w:t>Radical</w:t>
      </w:r>
      <w:r>
        <w:rPr>
          <w:i/>
          <w:spacing w:val="40"/>
          <w:sz w:val="19"/>
        </w:rPr>
        <w:t> </w:t>
      </w:r>
      <w:r>
        <w:rPr>
          <w:i/>
          <w:sz w:val="19"/>
        </w:rPr>
        <w:t>tragedy</w:t>
      </w:r>
      <w:r>
        <w:rPr>
          <w:sz w:val="19"/>
        </w:rPr>
        <w:t>.</w:t>
      </w:r>
      <w:r>
        <w:rPr>
          <w:spacing w:val="40"/>
          <w:sz w:val="19"/>
        </w:rPr>
        <w:t> </w:t>
      </w:r>
      <w:r>
        <w:rPr>
          <w:sz w:val="19"/>
        </w:rPr>
        <w:t>University</w:t>
      </w:r>
      <w:r>
        <w:rPr>
          <w:spacing w:val="40"/>
          <w:sz w:val="19"/>
        </w:rPr>
        <w:t> </w:t>
      </w:r>
      <w:r>
        <w:rPr>
          <w:sz w:val="19"/>
        </w:rPr>
        <w:t>of</w:t>
      </w:r>
      <w:r>
        <w:rPr>
          <w:spacing w:val="40"/>
          <w:sz w:val="19"/>
        </w:rPr>
        <w:t> </w:t>
      </w:r>
      <w:r>
        <w:rPr>
          <w:sz w:val="19"/>
        </w:rPr>
        <w:t>Chicago </w:t>
      </w:r>
      <w:r>
        <w:rPr>
          <w:spacing w:val="-2"/>
          <w:sz w:val="19"/>
        </w:rPr>
        <w:t>Press.</w:t>
      </w:r>
    </w:p>
    <w:p>
      <w:pPr>
        <w:pStyle w:val="ListParagraph"/>
        <w:numPr>
          <w:ilvl w:val="1"/>
          <w:numId w:val="30"/>
        </w:numPr>
        <w:tabs>
          <w:tab w:pos="2157" w:val="left" w:leader="none"/>
        </w:tabs>
        <w:spacing w:line="240" w:lineRule="auto" w:before="59" w:after="0"/>
        <w:ind w:left="2157" w:right="0" w:hanging="403"/>
        <w:jc w:val="left"/>
        <w:rPr>
          <w:sz w:val="19"/>
        </w:rPr>
      </w:pPr>
      <w:r>
        <w:rPr>
          <w:sz w:val="19"/>
        </w:rPr>
        <w:t>Sinfield,</w:t>
      </w:r>
      <w:r>
        <w:rPr>
          <w:spacing w:val="27"/>
          <w:sz w:val="19"/>
        </w:rPr>
        <w:t> </w:t>
      </w:r>
      <w:r>
        <w:rPr>
          <w:sz w:val="19"/>
        </w:rPr>
        <w:t>A.</w:t>
      </w:r>
      <w:r>
        <w:rPr>
          <w:spacing w:val="39"/>
          <w:sz w:val="19"/>
        </w:rPr>
        <w:t> </w:t>
      </w:r>
      <w:r>
        <w:rPr>
          <w:sz w:val="19"/>
        </w:rPr>
        <w:t>(1992).</w:t>
      </w:r>
      <w:r>
        <w:rPr>
          <w:spacing w:val="37"/>
          <w:sz w:val="19"/>
        </w:rPr>
        <w:t> </w:t>
      </w:r>
      <w:r>
        <w:rPr>
          <w:i/>
          <w:sz w:val="19"/>
        </w:rPr>
        <w:t>Faultlines</w:t>
      </w:r>
      <w:r>
        <w:rPr>
          <w:sz w:val="19"/>
        </w:rPr>
        <w:t>.</w:t>
      </w:r>
      <w:r>
        <w:rPr>
          <w:spacing w:val="36"/>
          <w:sz w:val="19"/>
        </w:rPr>
        <w:t> </w:t>
      </w:r>
      <w:r>
        <w:rPr>
          <w:sz w:val="19"/>
        </w:rPr>
        <w:t>University</w:t>
      </w:r>
      <w:r>
        <w:rPr>
          <w:spacing w:val="34"/>
          <w:sz w:val="19"/>
        </w:rPr>
        <w:t> </w:t>
      </w:r>
      <w:r>
        <w:rPr>
          <w:sz w:val="19"/>
        </w:rPr>
        <w:t>of</w:t>
      </w:r>
      <w:r>
        <w:rPr>
          <w:spacing w:val="38"/>
          <w:sz w:val="19"/>
        </w:rPr>
        <w:t> </w:t>
      </w:r>
      <w:r>
        <w:rPr>
          <w:sz w:val="19"/>
        </w:rPr>
        <w:t>California</w:t>
      </w:r>
      <w:r>
        <w:rPr>
          <w:spacing w:val="40"/>
          <w:sz w:val="19"/>
        </w:rPr>
        <w:t> </w:t>
      </w:r>
      <w:r>
        <w:rPr>
          <w:spacing w:val="-2"/>
          <w:sz w:val="19"/>
        </w:rPr>
        <w:t>Press.</w:t>
      </w:r>
    </w:p>
    <w:p>
      <w:pPr>
        <w:pStyle w:val="ListParagraph"/>
        <w:numPr>
          <w:ilvl w:val="1"/>
          <w:numId w:val="30"/>
        </w:numPr>
        <w:tabs>
          <w:tab w:pos="2157" w:val="left" w:leader="none"/>
          <w:tab w:pos="2160" w:val="left" w:leader="none"/>
        </w:tabs>
        <w:spacing w:line="261" w:lineRule="auto" w:before="77" w:after="0"/>
        <w:ind w:left="2160" w:right="1437" w:hanging="406"/>
        <w:jc w:val="left"/>
        <w:rPr>
          <w:sz w:val="19"/>
        </w:rPr>
      </w:pPr>
      <w:r>
        <w:rPr>
          <w:sz w:val="19"/>
        </w:rPr>
        <w:t>Jardine,</w:t>
      </w:r>
      <w:r>
        <w:rPr>
          <w:spacing w:val="80"/>
          <w:sz w:val="19"/>
        </w:rPr>
        <w:t> </w:t>
      </w:r>
      <w:r>
        <w:rPr>
          <w:sz w:val="19"/>
        </w:rPr>
        <w:t>L.</w:t>
      </w:r>
      <w:r>
        <w:rPr>
          <w:spacing w:val="80"/>
          <w:sz w:val="19"/>
        </w:rPr>
        <w:t> </w:t>
      </w:r>
      <w:r>
        <w:rPr>
          <w:sz w:val="19"/>
        </w:rPr>
        <w:t>(1983).</w:t>
      </w:r>
      <w:r>
        <w:rPr>
          <w:spacing w:val="80"/>
          <w:sz w:val="19"/>
        </w:rPr>
        <w:t> </w:t>
      </w:r>
      <w:r>
        <w:rPr>
          <w:i/>
          <w:sz w:val="19"/>
        </w:rPr>
        <w:t>Still</w:t>
      </w:r>
      <w:r>
        <w:rPr>
          <w:i/>
          <w:spacing w:val="80"/>
          <w:sz w:val="19"/>
        </w:rPr>
        <w:t> </w:t>
      </w:r>
      <w:r>
        <w:rPr>
          <w:i/>
          <w:sz w:val="19"/>
        </w:rPr>
        <w:t>harping</w:t>
      </w:r>
      <w:r>
        <w:rPr>
          <w:i/>
          <w:spacing w:val="80"/>
          <w:sz w:val="19"/>
        </w:rPr>
        <w:t> </w:t>
      </w:r>
      <w:r>
        <w:rPr>
          <w:i/>
          <w:sz w:val="19"/>
        </w:rPr>
        <w:t>on</w:t>
      </w:r>
      <w:r>
        <w:rPr>
          <w:i/>
          <w:spacing w:val="80"/>
          <w:sz w:val="19"/>
        </w:rPr>
        <w:t> </w:t>
      </w:r>
      <w:r>
        <w:rPr>
          <w:i/>
          <w:sz w:val="19"/>
        </w:rPr>
        <w:t>daughters</w:t>
      </w:r>
      <w:r>
        <w:rPr>
          <w:sz w:val="19"/>
        </w:rPr>
        <w:t>.</w:t>
      </w:r>
      <w:r>
        <w:rPr>
          <w:spacing w:val="80"/>
          <w:sz w:val="19"/>
        </w:rPr>
        <w:t> </w:t>
      </w:r>
      <w:r>
        <w:rPr>
          <w:sz w:val="19"/>
        </w:rPr>
        <w:t>Columbia University</w:t>
      </w:r>
      <w:r>
        <w:rPr>
          <w:spacing w:val="40"/>
          <w:sz w:val="19"/>
        </w:rPr>
        <w:t> </w:t>
      </w:r>
      <w:r>
        <w:rPr>
          <w:sz w:val="19"/>
        </w:rPr>
        <w:t>Press.</w:t>
      </w:r>
    </w:p>
    <w:p>
      <w:pPr>
        <w:pStyle w:val="ListParagraph"/>
        <w:numPr>
          <w:ilvl w:val="1"/>
          <w:numId w:val="30"/>
        </w:numPr>
        <w:tabs>
          <w:tab w:pos="2157" w:val="left" w:leader="none"/>
          <w:tab w:pos="2160" w:val="left" w:leader="none"/>
        </w:tabs>
        <w:spacing w:line="264" w:lineRule="auto" w:before="56" w:after="0"/>
        <w:ind w:left="2160" w:right="1434" w:hanging="406"/>
        <w:jc w:val="left"/>
        <w:rPr>
          <w:sz w:val="19"/>
        </w:rPr>
      </w:pPr>
      <w:r>
        <w:rPr>
          <w:sz w:val="19"/>
        </w:rPr>
        <w:t>Barker, F. (1995). </w:t>
      </w:r>
      <w:r>
        <w:rPr>
          <w:i/>
          <w:sz w:val="19"/>
        </w:rPr>
        <w:t>The culture of violence</w:t>
      </w:r>
      <w:r>
        <w:rPr>
          <w:sz w:val="19"/>
        </w:rPr>
        <w:t>. Manchester University </w:t>
      </w:r>
      <w:r>
        <w:rPr>
          <w:spacing w:val="-2"/>
          <w:sz w:val="19"/>
        </w:rPr>
        <w:t>Press.</w:t>
      </w:r>
    </w:p>
    <w:p>
      <w:pPr>
        <w:pStyle w:val="ListParagraph"/>
        <w:numPr>
          <w:ilvl w:val="1"/>
          <w:numId w:val="30"/>
        </w:numPr>
        <w:tabs>
          <w:tab w:pos="2157" w:val="left" w:leader="none"/>
          <w:tab w:pos="2160" w:val="left" w:leader="none"/>
        </w:tabs>
        <w:spacing w:line="261" w:lineRule="auto" w:before="55" w:after="0"/>
        <w:ind w:left="2160" w:right="1438" w:hanging="406"/>
        <w:jc w:val="left"/>
        <w:rPr>
          <w:sz w:val="19"/>
        </w:rPr>
      </w:pPr>
      <w:r>
        <w:rPr>
          <w:sz w:val="19"/>
        </w:rPr>
        <w:t>Loomba,</w:t>
      </w:r>
      <w:r>
        <w:rPr>
          <w:spacing w:val="40"/>
          <w:sz w:val="19"/>
        </w:rPr>
        <w:t> </w:t>
      </w:r>
      <w:r>
        <w:rPr>
          <w:sz w:val="19"/>
        </w:rPr>
        <w:t>A.</w:t>
      </w:r>
      <w:r>
        <w:rPr>
          <w:spacing w:val="40"/>
          <w:sz w:val="19"/>
        </w:rPr>
        <w:t> </w:t>
      </w:r>
      <w:r>
        <w:rPr>
          <w:sz w:val="19"/>
        </w:rPr>
        <w:t>(1998).</w:t>
      </w:r>
      <w:r>
        <w:rPr>
          <w:spacing w:val="40"/>
          <w:sz w:val="19"/>
        </w:rPr>
        <w:t> </w:t>
      </w:r>
      <w:r>
        <w:rPr>
          <w:i/>
          <w:sz w:val="19"/>
        </w:rPr>
        <w:t>Gender,</w:t>
      </w:r>
      <w:r>
        <w:rPr>
          <w:i/>
          <w:spacing w:val="40"/>
          <w:sz w:val="19"/>
        </w:rPr>
        <w:t> </w:t>
      </w:r>
      <w:r>
        <w:rPr>
          <w:i/>
          <w:sz w:val="19"/>
        </w:rPr>
        <w:t>race,</w:t>
      </w:r>
      <w:r>
        <w:rPr>
          <w:i/>
          <w:spacing w:val="40"/>
          <w:sz w:val="19"/>
        </w:rPr>
        <w:t> </w:t>
      </w:r>
      <w:r>
        <w:rPr>
          <w:i/>
          <w:sz w:val="19"/>
        </w:rPr>
        <w:t>and</w:t>
      </w:r>
      <w:r>
        <w:rPr>
          <w:i/>
          <w:spacing w:val="40"/>
          <w:sz w:val="19"/>
        </w:rPr>
        <w:t> </w:t>
      </w:r>
      <w:r>
        <w:rPr>
          <w:i/>
          <w:sz w:val="19"/>
        </w:rPr>
        <w:t>Renaissance</w:t>
      </w:r>
      <w:r>
        <w:rPr>
          <w:i/>
          <w:spacing w:val="40"/>
          <w:sz w:val="19"/>
        </w:rPr>
        <w:t> </w:t>
      </w:r>
      <w:r>
        <w:rPr>
          <w:i/>
          <w:sz w:val="19"/>
        </w:rPr>
        <w:t>drama</w:t>
      </w:r>
      <w:r>
        <w:rPr>
          <w:sz w:val="19"/>
        </w:rPr>
        <w:t>. Manchester</w:t>
      </w:r>
      <w:r>
        <w:rPr>
          <w:spacing w:val="40"/>
          <w:sz w:val="19"/>
        </w:rPr>
        <w:t> </w:t>
      </w:r>
      <w:r>
        <w:rPr>
          <w:sz w:val="19"/>
        </w:rPr>
        <w:t>University</w:t>
      </w:r>
      <w:r>
        <w:rPr>
          <w:spacing w:val="40"/>
          <w:sz w:val="19"/>
        </w:rPr>
        <w:t> </w:t>
      </w:r>
      <w:r>
        <w:rPr>
          <w:sz w:val="19"/>
        </w:rPr>
        <w:t>Press.</w:t>
      </w:r>
    </w:p>
    <w:p>
      <w:pPr>
        <w:pStyle w:val="ListParagraph"/>
        <w:numPr>
          <w:ilvl w:val="1"/>
          <w:numId w:val="30"/>
        </w:numPr>
        <w:tabs>
          <w:tab w:pos="2157" w:val="left" w:leader="none"/>
        </w:tabs>
        <w:spacing w:line="240" w:lineRule="auto" w:before="56" w:after="0"/>
        <w:ind w:left="2157" w:right="0" w:hanging="403"/>
        <w:jc w:val="left"/>
        <w:rPr>
          <w:sz w:val="19"/>
        </w:rPr>
      </w:pPr>
      <w:r>
        <w:rPr>
          <w:sz w:val="19"/>
        </w:rPr>
        <w:t>Henderson,</w:t>
      </w:r>
      <w:r>
        <w:rPr>
          <w:spacing w:val="44"/>
          <w:sz w:val="19"/>
        </w:rPr>
        <w:t> </w:t>
      </w:r>
      <w:r>
        <w:rPr>
          <w:sz w:val="19"/>
        </w:rPr>
        <w:t>D.</w:t>
      </w:r>
      <w:r>
        <w:rPr>
          <w:spacing w:val="47"/>
          <w:sz w:val="19"/>
        </w:rPr>
        <w:t> </w:t>
      </w:r>
      <w:r>
        <w:rPr>
          <w:sz w:val="19"/>
        </w:rPr>
        <w:t>(2007).</w:t>
      </w:r>
      <w:r>
        <w:rPr>
          <w:spacing w:val="43"/>
          <w:sz w:val="19"/>
        </w:rPr>
        <w:t> </w:t>
      </w:r>
      <w:r>
        <w:rPr>
          <w:sz w:val="19"/>
        </w:rPr>
        <w:t>Feminist</w:t>
      </w:r>
      <w:r>
        <w:rPr>
          <w:spacing w:val="44"/>
          <w:sz w:val="19"/>
        </w:rPr>
        <w:t> </w:t>
      </w:r>
      <w:r>
        <w:rPr>
          <w:sz w:val="19"/>
        </w:rPr>
        <w:t>readings</w:t>
      </w:r>
      <w:r>
        <w:rPr>
          <w:spacing w:val="45"/>
          <w:sz w:val="19"/>
        </w:rPr>
        <w:t> </w:t>
      </w:r>
      <w:r>
        <w:rPr>
          <w:sz w:val="19"/>
        </w:rPr>
        <w:t>of</w:t>
      </w:r>
      <w:r>
        <w:rPr>
          <w:spacing w:val="44"/>
          <w:sz w:val="19"/>
        </w:rPr>
        <w:t> </w:t>
      </w:r>
      <w:r>
        <w:rPr>
          <w:spacing w:val="-2"/>
          <w:sz w:val="19"/>
        </w:rPr>
        <w:t>Shakespeare.</w:t>
      </w:r>
    </w:p>
    <w:p>
      <w:pPr>
        <w:pStyle w:val="ListParagraph"/>
        <w:spacing w:after="0" w:line="240"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80000">
                <wp:simplePos x="0" y="0"/>
                <wp:positionH relativeFrom="page">
                  <wp:posOffset>2057400</wp:posOffset>
                </wp:positionH>
                <wp:positionV relativeFrom="page">
                  <wp:posOffset>1788723</wp:posOffset>
                </wp:positionV>
                <wp:extent cx="3655060" cy="140335"/>
                <wp:effectExtent l="0" t="0" r="0" b="0"/>
                <wp:wrapNone/>
                <wp:docPr id="387" name="Textbox 387"/>
                <wp:cNvGraphicFramePr>
                  <a:graphicFrameLocks/>
                </wp:cNvGraphicFramePr>
                <a:graphic>
                  <a:graphicData uri="http://schemas.microsoft.com/office/word/2010/wordprocessingShape">
                    <wps:wsp>
                      <wps:cNvPr id="387" name="Textbox 387"/>
                      <wps:cNvSpPr txBox="1"/>
                      <wps:spPr>
                        <a:xfrm>
                          <a:off x="0" y="0"/>
                          <a:ext cx="3655060" cy="140335"/>
                        </a:xfrm>
                        <a:prstGeom prst="rect">
                          <a:avLst/>
                        </a:prstGeom>
                      </wps:spPr>
                      <wps:txbx>
                        <w:txbxContent>
                          <w:p>
                            <w:pPr>
                              <w:tabs>
                                <w:tab w:pos="5755" w:val="right" w:leader="none"/>
                              </w:tabs>
                              <w:spacing w:line="219" w:lineRule="exact" w:before="0"/>
                              <w:ind w:left="0" w:right="0" w:firstLine="0"/>
                              <w:jc w:val="left"/>
                              <w:rPr>
                                <w:rFonts w:ascii="Verdana" w:hAnsi="Verdana"/>
                                <w:sz w:val="18"/>
                              </w:rPr>
                            </w:pP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6"/>
                                <w:sz w:val="18"/>
                              </w:rPr>
                              <w:t> </w:t>
                            </w:r>
                            <w:r>
                              <w:rPr>
                                <w:rFonts w:ascii="Verdana" w:hAnsi="Verdana"/>
                                <w:sz w:val="18"/>
                              </w:rPr>
                              <w:t>Marginalisation:</w:t>
                            </w:r>
                            <w:r>
                              <w:rPr>
                                <w:rFonts w:ascii="Verdana" w:hAnsi="Verdana"/>
                                <w:spacing w:val="4"/>
                                <w:sz w:val="18"/>
                              </w:rPr>
                              <w:t> </w:t>
                            </w:r>
                            <w:r>
                              <w:rPr>
                                <w:rFonts w:ascii="Verdana" w:hAnsi="Verdana"/>
                                <w:sz w:val="18"/>
                              </w:rPr>
                              <w:t>Women</w:t>
                            </w:r>
                            <w:r>
                              <w:rPr>
                                <w:rFonts w:ascii="Verdana" w:hAnsi="Verdana"/>
                                <w:spacing w:val="9"/>
                                <w:sz w:val="18"/>
                              </w:rPr>
                              <w:t> </w:t>
                            </w:r>
                            <w:r>
                              <w:rPr>
                                <w:rFonts w:ascii="Verdana" w:hAnsi="Verdana"/>
                                <w:sz w:val="18"/>
                              </w:rPr>
                              <w:t>as</w:t>
                            </w:r>
                            <w:r>
                              <w:rPr>
                                <w:rFonts w:ascii="Verdana" w:hAnsi="Verdana"/>
                                <w:spacing w:val="4"/>
                                <w:sz w:val="18"/>
                              </w:rPr>
                              <w:t> </w:t>
                            </w:r>
                            <w:r>
                              <w:rPr>
                                <w:rFonts w:ascii="Verdana" w:hAnsi="Verdana"/>
                                <w:sz w:val="18"/>
                              </w:rPr>
                              <w:t>“Other”</w:t>
                            </w:r>
                            <w:r>
                              <w:rPr>
                                <w:rFonts w:ascii="Verdana" w:hAnsi="Verdana"/>
                                <w:spacing w:val="4"/>
                                <w:sz w:val="18"/>
                              </w:rPr>
                              <w:t> </w:t>
                            </w:r>
                            <w:r>
                              <w:rPr>
                                <w:rFonts w:ascii="Verdana" w:hAnsi="Verdana"/>
                                <w:spacing w:val="-2"/>
                                <w:sz w:val="18"/>
                              </w:rPr>
                              <w:t>in...</w:t>
                            </w:r>
                            <w:r>
                              <w:rPr>
                                <w:sz w:val="18"/>
                              </w:rPr>
                              <w:tab/>
                            </w:r>
                            <w:r>
                              <w:rPr>
                                <w:rFonts w:ascii="Verdana" w:hAnsi="Verdana"/>
                                <w:spacing w:val="-5"/>
                                <w:sz w:val="18"/>
                              </w:rPr>
                              <w:t>155</w:t>
                            </w:r>
                          </w:p>
                        </w:txbxContent>
                      </wps:txbx>
                      <wps:bodyPr wrap="square" lIns="0" tIns="0" rIns="0" bIns="0" rtlCol="0">
                        <a:noAutofit/>
                      </wps:bodyPr>
                    </wps:wsp>
                  </a:graphicData>
                </a:graphic>
              </wp:anchor>
            </w:drawing>
          </mc:Choice>
          <mc:Fallback>
            <w:pict>
              <v:shape style="position:absolute;margin-left:162pt;margin-top:140.844391pt;width:287.8pt;height:11.05pt;mso-position-horizontal-relative:page;mso-position-vertical-relative:page;z-index:-20436480" type="#_x0000_t202" id="docshape382" filled="false" stroked="false">
                <v:textbox inset="0,0,0,0">
                  <w:txbxContent>
                    <w:p>
                      <w:pPr>
                        <w:tabs>
                          <w:tab w:pos="5755" w:val="right" w:leader="none"/>
                        </w:tabs>
                        <w:spacing w:line="219" w:lineRule="exact" w:before="0"/>
                        <w:ind w:left="0" w:right="0" w:firstLine="0"/>
                        <w:jc w:val="left"/>
                        <w:rPr>
                          <w:rFonts w:ascii="Verdana" w:hAnsi="Verdana"/>
                          <w:sz w:val="18"/>
                        </w:rPr>
                      </w:pP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6"/>
                          <w:sz w:val="18"/>
                        </w:rPr>
                        <w:t> </w:t>
                      </w:r>
                      <w:r>
                        <w:rPr>
                          <w:rFonts w:ascii="Verdana" w:hAnsi="Verdana"/>
                          <w:sz w:val="18"/>
                        </w:rPr>
                        <w:t>Marginalisation:</w:t>
                      </w:r>
                      <w:r>
                        <w:rPr>
                          <w:rFonts w:ascii="Verdana" w:hAnsi="Verdana"/>
                          <w:spacing w:val="4"/>
                          <w:sz w:val="18"/>
                        </w:rPr>
                        <w:t> </w:t>
                      </w:r>
                      <w:r>
                        <w:rPr>
                          <w:rFonts w:ascii="Verdana" w:hAnsi="Verdana"/>
                          <w:sz w:val="18"/>
                        </w:rPr>
                        <w:t>Women</w:t>
                      </w:r>
                      <w:r>
                        <w:rPr>
                          <w:rFonts w:ascii="Verdana" w:hAnsi="Verdana"/>
                          <w:spacing w:val="9"/>
                          <w:sz w:val="18"/>
                        </w:rPr>
                        <w:t> </w:t>
                      </w:r>
                      <w:r>
                        <w:rPr>
                          <w:rFonts w:ascii="Verdana" w:hAnsi="Verdana"/>
                          <w:sz w:val="18"/>
                        </w:rPr>
                        <w:t>as</w:t>
                      </w:r>
                      <w:r>
                        <w:rPr>
                          <w:rFonts w:ascii="Verdana" w:hAnsi="Verdana"/>
                          <w:spacing w:val="4"/>
                          <w:sz w:val="18"/>
                        </w:rPr>
                        <w:t> </w:t>
                      </w:r>
                      <w:r>
                        <w:rPr>
                          <w:rFonts w:ascii="Verdana" w:hAnsi="Verdana"/>
                          <w:sz w:val="18"/>
                        </w:rPr>
                        <w:t>“Other”</w:t>
                      </w:r>
                      <w:r>
                        <w:rPr>
                          <w:rFonts w:ascii="Verdana" w:hAnsi="Verdana"/>
                          <w:spacing w:val="4"/>
                          <w:sz w:val="18"/>
                        </w:rPr>
                        <w:t> </w:t>
                      </w:r>
                      <w:r>
                        <w:rPr>
                          <w:rFonts w:ascii="Verdana" w:hAnsi="Verdana"/>
                          <w:spacing w:val="-2"/>
                          <w:sz w:val="18"/>
                        </w:rPr>
                        <w:t>in...</w:t>
                      </w:r>
                      <w:r>
                        <w:rPr>
                          <w:sz w:val="18"/>
                        </w:rPr>
                        <w:tab/>
                      </w:r>
                      <w:r>
                        <w:rPr>
                          <w:rFonts w:ascii="Verdana" w:hAnsi="Verdana"/>
                          <w:spacing w:val="-5"/>
                          <w:sz w:val="18"/>
                        </w:rPr>
                        <w:t>155</w:t>
                      </w:r>
                    </w:p>
                  </w:txbxContent>
                </v:textbox>
                <w10:wrap type="none"/>
              </v:shape>
            </w:pict>
          </mc:Fallback>
        </mc:AlternateContent>
      </w:r>
    </w:p>
    <w:p>
      <w:pPr>
        <w:pStyle w:val="BodyText"/>
        <w:spacing w:before="223"/>
        <w:ind w:left="0"/>
      </w:pPr>
    </w:p>
    <w:p>
      <w:pPr>
        <w:spacing w:line="240" w:lineRule="auto"/>
        <w:ind w:left="1101" w:right="0" w:firstLine="0"/>
        <w:rPr>
          <w:sz w:val="20"/>
        </w:rPr>
      </w:pPr>
      <w:r>
        <w:rPr>
          <w:sz w:val="20"/>
        </w:rPr>
        <mc:AlternateContent>
          <mc:Choice Requires="wps">
            <w:drawing>
              <wp:inline distT="0" distB="0" distL="0" distR="0">
                <wp:extent cx="4043679" cy="699770"/>
                <wp:effectExtent l="0" t="0" r="0" b="0"/>
                <wp:docPr id="388" name="Group 388"/>
                <wp:cNvGraphicFramePr>
                  <a:graphicFrameLocks/>
                </wp:cNvGraphicFramePr>
                <a:graphic>
                  <a:graphicData uri="http://schemas.microsoft.com/office/word/2010/wordprocessingGroup">
                    <wpg:wgp>
                      <wpg:cNvPr id="388" name="Group 388"/>
                      <wpg:cNvGrpSpPr/>
                      <wpg:grpSpPr>
                        <a:xfrm>
                          <a:off x="0" y="0"/>
                          <a:ext cx="4043679" cy="699770"/>
                          <a:chExt cx="4043679" cy="699770"/>
                        </a:xfrm>
                      </wpg:grpSpPr>
                      <wps:wsp>
                        <wps:cNvPr id="389" name="Graphic 389"/>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383" coordorigin="0,0" coordsize="6368,1102">
                <v:rect style="position:absolute;left:0;top:0;width:6368;height:1102" id="docshape384"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15840">
                <wp:simplePos x="0" y="0"/>
                <wp:positionH relativeFrom="page">
                  <wp:posOffset>3511295</wp:posOffset>
                </wp:positionH>
                <wp:positionV relativeFrom="paragraph">
                  <wp:posOffset>272922</wp:posOffset>
                </wp:positionV>
                <wp:extent cx="728980" cy="655320"/>
                <wp:effectExtent l="0" t="0" r="0" b="0"/>
                <wp:wrapTopAndBottom/>
                <wp:docPr id="390" name="Group 390"/>
                <wp:cNvGraphicFramePr>
                  <a:graphicFrameLocks/>
                </wp:cNvGraphicFramePr>
                <a:graphic>
                  <a:graphicData uri="http://schemas.microsoft.com/office/word/2010/wordprocessingGroup">
                    <wpg:wgp>
                      <wpg:cNvPr id="390" name="Group 390"/>
                      <wpg:cNvGrpSpPr/>
                      <wpg:grpSpPr>
                        <a:xfrm>
                          <a:off x="0" y="0"/>
                          <a:ext cx="728980" cy="655320"/>
                          <a:chExt cx="728980" cy="655320"/>
                        </a:xfrm>
                      </wpg:grpSpPr>
                      <pic:pic>
                        <pic:nvPicPr>
                          <pic:cNvPr id="391" name="Image 391"/>
                          <pic:cNvPicPr/>
                        </pic:nvPicPr>
                        <pic:blipFill>
                          <a:blip r:embed="rId96" cstate="print"/>
                          <a:stretch>
                            <a:fillRect/>
                          </a:stretch>
                        </pic:blipFill>
                        <pic:spPr>
                          <a:xfrm>
                            <a:off x="0" y="0"/>
                            <a:ext cx="728472" cy="655320"/>
                          </a:xfrm>
                          <a:prstGeom prst="rect">
                            <a:avLst/>
                          </a:prstGeom>
                        </pic:spPr>
                      </pic:pic>
                      <wps:wsp>
                        <wps:cNvPr id="392" name="Textbox 392"/>
                        <wps:cNvSpPr txBox="1"/>
                        <wps:spPr>
                          <a:xfrm>
                            <a:off x="0" y="0"/>
                            <a:ext cx="728980" cy="655320"/>
                          </a:xfrm>
                          <a:prstGeom prst="rect">
                            <a:avLst/>
                          </a:prstGeom>
                        </wps:spPr>
                        <wps:txbx>
                          <w:txbxContent>
                            <w:p>
                              <w:pPr>
                                <w:spacing w:before="348"/>
                                <w:ind w:left="396" w:right="0" w:firstLine="0"/>
                                <w:jc w:val="left"/>
                                <w:rPr>
                                  <w:rFonts w:ascii="Tahoma"/>
                                  <w:b/>
                                  <w:sz w:val="36"/>
                                </w:rPr>
                              </w:pPr>
                              <w:r>
                                <w:rPr>
                                  <w:rFonts w:ascii="Tahoma"/>
                                  <w:b/>
                                  <w:spacing w:val="-5"/>
                                  <w:w w:val="95"/>
                                  <w:sz w:val="36"/>
                                </w:rPr>
                                <w:t>16</w:t>
                              </w:r>
                            </w:p>
                          </w:txbxContent>
                        </wps:txbx>
                        <wps:bodyPr wrap="square" lIns="0" tIns="0" rIns="0" bIns="0" rtlCol="0">
                          <a:noAutofit/>
                        </wps:bodyPr>
                      </wps:wsp>
                    </wpg:wgp>
                  </a:graphicData>
                </a:graphic>
              </wp:anchor>
            </w:drawing>
          </mc:Choice>
          <mc:Fallback>
            <w:pict>
              <v:group style="position:absolute;margin-left:276.47998pt;margin-top:21.489992pt;width:57.4pt;height:51.6pt;mso-position-horizontal-relative:page;mso-position-vertical-relative:paragraph;z-index:-15600640;mso-wrap-distance-left:0;mso-wrap-distance-right:0" id="docshapegroup385" coordorigin="5530,430" coordsize="1148,1032">
                <v:shape style="position:absolute;left:5529;top:429;width:1148;height:1032" type="#_x0000_t75" id="docshape386" stroked="false">
                  <v:imagedata r:id="rId96" o:title=""/>
                </v:shape>
                <v:shape style="position:absolute;left:5529;top:429;width:1148;height:1032" type="#_x0000_t202" id="docshape387" filled="false" stroked="false">
                  <v:textbox inset="0,0,0,0">
                    <w:txbxContent>
                      <w:p>
                        <w:pPr>
                          <w:spacing w:before="348"/>
                          <w:ind w:left="396" w:right="0" w:firstLine="0"/>
                          <w:jc w:val="left"/>
                          <w:rPr>
                            <w:rFonts w:ascii="Tahoma"/>
                            <w:b/>
                            <w:sz w:val="36"/>
                          </w:rPr>
                        </w:pPr>
                        <w:r>
                          <w:rPr>
                            <w:rFonts w:ascii="Tahoma"/>
                            <w:b/>
                            <w:spacing w:val="-5"/>
                            <w:w w:val="95"/>
                            <w:sz w:val="36"/>
                          </w:rPr>
                          <w:t>16</w:t>
                        </w:r>
                      </w:p>
                    </w:txbxContent>
                  </v:textbox>
                  <w10:wrap type="none"/>
                </v:shape>
                <w10:wrap type="topAndBottom"/>
              </v:group>
            </w:pict>
          </mc:Fallback>
        </mc:AlternateContent>
      </w:r>
    </w:p>
    <w:p>
      <w:pPr>
        <w:pStyle w:val="Heading1"/>
        <w:spacing w:line="327" w:lineRule="exact"/>
        <w:ind w:left="1545"/>
        <w:jc w:val="left"/>
      </w:pPr>
      <w:r>
        <w:rPr>
          <w:spacing w:val="-6"/>
        </w:rPr>
        <w:t>Power</w:t>
      </w:r>
      <w:r>
        <w:rPr>
          <w:spacing w:val="-9"/>
        </w:rPr>
        <w:t> </w:t>
      </w:r>
      <w:r>
        <w:rPr>
          <w:spacing w:val="-6"/>
        </w:rPr>
        <w:t>and</w:t>
      </w:r>
      <w:r>
        <w:rPr>
          <w:spacing w:val="-8"/>
        </w:rPr>
        <w:t> </w:t>
      </w:r>
      <w:r>
        <w:rPr>
          <w:spacing w:val="-6"/>
        </w:rPr>
        <w:t>Marginalisation:</w:t>
      </w:r>
      <w:r>
        <w:rPr>
          <w:spacing w:val="-11"/>
        </w:rPr>
        <w:t> </w:t>
      </w:r>
      <w:r>
        <w:rPr>
          <w:spacing w:val="-6"/>
        </w:rPr>
        <w:t>Women</w:t>
      </w:r>
    </w:p>
    <w:p>
      <w:pPr>
        <w:tabs>
          <w:tab w:pos="2234" w:val="left" w:leader="none"/>
          <w:tab w:pos="7199" w:val="left" w:leader="none"/>
        </w:tabs>
        <w:spacing w:line="364" w:lineRule="exact" w:before="0"/>
        <w:ind w:left="1440" w:right="0" w:firstLine="0"/>
        <w:jc w:val="left"/>
        <w:rPr>
          <w:rFonts w:ascii="Tahoma" w:hAnsi="Tahoma"/>
          <w:b/>
          <w:sz w:val="32"/>
        </w:rPr>
      </w:pPr>
      <w:r>
        <w:rPr>
          <w:sz w:val="32"/>
          <w:u w:val="single"/>
        </w:rPr>
        <w:tab/>
      </w:r>
      <w:r>
        <w:rPr>
          <w:rFonts w:ascii="Tahoma" w:hAnsi="Tahoma"/>
          <w:b/>
          <w:sz w:val="32"/>
          <w:u w:val="single"/>
        </w:rPr>
        <w:t>as</w:t>
      </w:r>
      <w:r>
        <w:rPr>
          <w:rFonts w:ascii="Tahoma" w:hAnsi="Tahoma"/>
          <w:b/>
          <w:spacing w:val="-13"/>
          <w:sz w:val="32"/>
          <w:u w:val="single"/>
        </w:rPr>
        <w:t> </w:t>
      </w:r>
      <w:r>
        <w:rPr>
          <w:rFonts w:ascii="Tahoma" w:hAnsi="Tahoma"/>
          <w:b/>
          <w:sz w:val="32"/>
          <w:u w:val="single"/>
        </w:rPr>
        <w:t>“Other”</w:t>
      </w:r>
      <w:r>
        <w:rPr>
          <w:rFonts w:ascii="Tahoma" w:hAnsi="Tahoma"/>
          <w:b/>
          <w:spacing w:val="-14"/>
          <w:sz w:val="32"/>
          <w:u w:val="single"/>
        </w:rPr>
        <w:t> </w:t>
      </w:r>
      <w:r>
        <w:rPr>
          <w:rFonts w:ascii="Tahoma" w:hAnsi="Tahoma"/>
          <w:b/>
          <w:sz w:val="32"/>
          <w:u w:val="single"/>
        </w:rPr>
        <w:t>in</w:t>
      </w:r>
      <w:r>
        <w:rPr>
          <w:rFonts w:ascii="Tahoma" w:hAnsi="Tahoma"/>
          <w:b/>
          <w:spacing w:val="-15"/>
          <w:sz w:val="32"/>
          <w:u w:val="single"/>
        </w:rPr>
        <w:t> </w:t>
      </w:r>
      <w:r>
        <w:rPr>
          <w:rFonts w:ascii="Tahoma" w:hAnsi="Tahoma"/>
          <w:b/>
          <w:spacing w:val="-2"/>
          <w:sz w:val="32"/>
          <w:u w:val="single"/>
        </w:rPr>
        <w:t>Shakespeare</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16352">
                <wp:simplePos x="0" y="0"/>
                <wp:positionH relativeFrom="page">
                  <wp:posOffset>2057400</wp:posOffset>
                </wp:positionH>
                <wp:positionV relativeFrom="paragraph">
                  <wp:posOffset>60138</wp:posOffset>
                </wp:positionV>
                <wp:extent cx="3657600" cy="7620"/>
                <wp:effectExtent l="0" t="0" r="0" b="0"/>
                <wp:wrapTopAndBottom/>
                <wp:docPr id="393" name="Graphic 393"/>
                <wp:cNvGraphicFramePr>
                  <a:graphicFrameLocks/>
                </wp:cNvGraphicFramePr>
                <a:graphic>
                  <a:graphicData uri="http://schemas.microsoft.com/office/word/2010/wordprocessingShape">
                    <wps:wsp>
                      <wps:cNvPr id="393" name="Graphic 393"/>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35314pt;width:288.000009pt;height:.599991pt;mso-position-horizontal-relative:page;mso-position-vertical-relative:paragraph;z-index:-15600128;mso-wrap-distance-left:0;mso-wrap-distance-right:0" id="docshape388" filled="true" fillcolor="#000000" stroked="false">
                <v:fill type="solid"/>
                <w10:wrap type="topAndBottom"/>
              </v:rect>
            </w:pict>
          </mc:Fallback>
        </mc:AlternateContent>
      </w:r>
    </w:p>
    <w:p>
      <w:pPr>
        <w:pStyle w:val="BodyText"/>
        <w:spacing w:before="13"/>
        <w:ind w:left="0"/>
        <w:rPr>
          <w:rFonts w:ascii="Tahoma"/>
          <w:b/>
          <w:sz w:val="32"/>
        </w:rPr>
      </w:pPr>
    </w:p>
    <w:p>
      <w:pPr>
        <w:spacing w:line="252" w:lineRule="auto" w:before="0"/>
        <w:ind w:left="1905" w:right="1438" w:firstLine="3720"/>
        <w:jc w:val="both"/>
        <w:rPr>
          <w:i/>
          <w:sz w:val="19"/>
        </w:rPr>
      </w:pPr>
      <w:r>
        <w:rPr>
          <w:b/>
          <w:i/>
          <w:sz w:val="22"/>
        </w:rPr>
        <w:t>Dr. B. </w:t>
      </w:r>
      <w:r>
        <w:rPr>
          <w:b/>
          <w:i/>
          <w:sz w:val="22"/>
        </w:rPr>
        <w:t>Prathima </w:t>
      </w:r>
      <w:r>
        <w:rPr>
          <w:i/>
          <w:sz w:val="19"/>
        </w:rPr>
        <w:t>Associate Professor, Department of Commerce &amp; Management, Government</w:t>
      </w:r>
      <w:r>
        <w:rPr>
          <w:i/>
          <w:spacing w:val="66"/>
          <w:sz w:val="19"/>
        </w:rPr>
        <w:t> </w:t>
      </w:r>
      <w:r>
        <w:rPr>
          <w:i/>
          <w:sz w:val="19"/>
        </w:rPr>
        <w:t>College</w:t>
      </w:r>
      <w:r>
        <w:rPr>
          <w:i/>
          <w:spacing w:val="65"/>
          <w:sz w:val="19"/>
        </w:rPr>
        <w:t> </w:t>
      </w:r>
      <w:r>
        <w:rPr>
          <w:i/>
          <w:sz w:val="19"/>
        </w:rPr>
        <w:t>(A),</w:t>
      </w:r>
      <w:r>
        <w:rPr>
          <w:i/>
          <w:spacing w:val="63"/>
          <w:sz w:val="19"/>
        </w:rPr>
        <w:t> </w:t>
      </w:r>
      <w:r>
        <w:rPr>
          <w:i/>
          <w:sz w:val="19"/>
        </w:rPr>
        <w:t>Rajahmundry,</w:t>
      </w:r>
      <w:r>
        <w:rPr>
          <w:i/>
          <w:spacing w:val="62"/>
          <w:sz w:val="19"/>
        </w:rPr>
        <w:t> </w:t>
      </w:r>
      <w:r>
        <w:rPr>
          <w:i/>
          <w:sz w:val="19"/>
        </w:rPr>
        <w:t>Andhra</w:t>
      </w:r>
      <w:r>
        <w:rPr>
          <w:i/>
          <w:spacing w:val="66"/>
          <w:sz w:val="19"/>
        </w:rPr>
        <w:t> </w:t>
      </w:r>
      <w:r>
        <w:rPr>
          <w:i/>
          <w:sz w:val="19"/>
        </w:rPr>
        <w:t>Pradesh,</w:t>
      </w:r>
      <w:r>
        <w:rPr>
          <w:i/>
          <w:spacing w:val="64"/>
          <w:sz w:val="19"/>
        </w:rPr>
        <w:t> </w:t>
      </w:r>
      <w:r>
        <w:rPr>
          <w:i/>
          <w:spacing w:val="-4"/>
          <w:sz w:val="19"/>
        </w:rPr>
        <w:t>India</w:t>
      </w:r>
    </w:p>
    <w:p>
      <w:pPr>
        <w:pStyle w:val="BodyText"/>
        <w:spacing w:before="153"/>
        <w:ind w:left="0"/>
        <w:rPr>
          <w:i/>
          <w:sz w:val="19"/>
        </w:rPr>
      </w:pPr>
    </w:p>
    <w:p>
      <w:pPr>
        <w:pStyle w:val="Heading3"/>
        <w:spacing w:before="0"/>
      </w:pPr>
      <w:r>
        <w:rPr>
          <w:spacing w:val="-2"/>
        </w:rPr>
        <w:t>ABSTRACT</w:t>
      </w:r>
    </w:p>
    <w:p>
      <w:pPr>
        <w:pStyle w:val="BodyText"/>
        <w:spacing w:line="249" w:lineRule="auto" w:before="75"/>
        <w:ind w:right="1437" w:firstLine="432"/>
        <w:jc w:val="both"/>
      </w:pPr>
      <w:r>
        <w:rPr/>
        <w:t>Silence, power, and marginalization are significant themes in </w:t>
      </w:r>
      <w:r>
        <w:rPr>
          <w:spacing w:val="-4"/>
        </w:rPr>
        <w:t>Shakespeare’s portrayal of</w:t>
      </w:r>
      <w:r>
        <w:rPr>
          <w:spacing w:val="-8"/>
        </w:rPr>
        <w:t> </w:t>
      </w:r>
      <w:r>
        <w:rPr>
          <w:spacing w:val="-4"/>
        </w:rPr>
        <w:t>women. In many</w:t>
      </w:r>
      <w:r>
        <w:rPr>
          <w:spacing w:val="-8"/>
        </w:rPr>
        <w:t> </w:t>
      </w:r>
      <w:r>
        <w:rPr>
          <w:spacing w:val="-4"/>
        </w:rPr>
        <w:t>of</w:t>
      </w:r>
      <w:r>
        <w:rPr>
          <w:spacing w:val="-6"/>
        </w:rPr>
        <w:t> </w:t>
      </w:r>
      <w:r>
        <w:rPr>
          <w:spacing w:val="-4"/>
        </w:rPr>
        <w:t>his</w:t>
      </w:r>
      <w:r>
        <w:rPr>
          <w:spacing w:val="-6"/>
        </w:rPr>
        <w:t> </w:t>
      </w:r>
      <w:r>
        <w:rPr>
          <w:spacing w:val="-4"/>
        </w:rPr>
        <w:t>plays, female</w:t>
      </w:r>
      <w:r>
        <w:rPr/>
        <w:t> </w:t>
      </w:r>
      <w:r>
        <w:rPr>
          <w:spacing w:val="-4"/>
        </w:rPr>
        <w:t>characters </w:t>
      </w:r>
      <w:r>
        <w:rPr>
          <w:spacing w:val="-2"/>
        </w:rPr>
        <w:t>exist</w:t>
      </w:r>
      <w:r>
        <w:rPr>
          <w:spacing w:val="-7"/>
        </w:rPr>
        <w:t> </w:t>
      </w:r>
      <w:r>
        <w:rPr>
          <w:spacing w:val="-2"/>
        </w:rPr>
        <w:t>within</w:t>
      </w:r>
      <w:r>
        <w:rPr>
          <w:spacing w:val="-8"/>
        </w:rPr>
        <w:t> </w:t>
      </w:r>
      <w:r>
        <w:rPr>
          <w:spacing w:val="-2"/>
        </w:rPr>
        <w:t>rigid</w:t>
      </w:r>
      <w:r>
        <w:rPr>
          <w:spacing w:val="-5"/>
        </w:rPr>
        <w:t> </w:t>
      </w:r>
      <w:r>
        <w:rPr>
          <w:spacing w:val="-2"/>
        </w:rPr>
        <w:t>patriarchal</w:t>
      </w:r>
      <w:r>
        <w:rPr>
          <w:spacing w:val="-8"/>
        </w:rPr>
        <w:t> </w:t>
      </w:r>
      <w:r>
        <w:rPr>
          <w:spacing w:val="-2"/>
        </w:rPr>
        <w:t>systems</w:t>
      </w:r>
      <w:r>
        <w:rPr>
          <w:spacing w:val="-5"/>
        </w:rPr>
        <w:t> </w:t>
      </w:r>
      <w:r>
        <w:rPr>
          <w:spacing w:val="-2"/>
        </w:rPr>
        <w:t>that</w:t>
      </w:r>
      <w:r>
        <w:rPr>
          <w:spacing w:val="-7"/>
        </w:rPr>
        <w:t> </w:t>
      </w:r>
      <w:r>
        <w:rPr>
          <w:spacing w:val="-2"/>
        </w:rPr>
        <w:t>restrict</w:t>
      </w:r>
      <w:r>
        <w:rPr>
          <w:spacing w:val="-8"/>
        </w:rPr>
        <w:t> </w:t>
      </w:r>
      <w:r>
        <w:rPr>
          <w:spacing w:val="-2"/>
        </w:rPr>
        <w:t>their</w:t>
      </w:r>
      <w:r>
        <w:rPr>
          <w:spacing w:val="-5"/>
        </w:rPr>
        <w:t> </w:t>
      </w:r>
      <w:r>
        <w:rPr>
          <w:spacing w:val="-2"/>
        </w:rPr>
        <w:t>freedom,</w:t>
      </w:r>
      <w:r>
        <w:rPr>
          <w:spacing w:val="-5"/>
        </w:rPr>
        <w:t> </w:t>
      </w:r>
      <w:r>
        <w:rPr>
          <w:spacing w:val="-2"/>
        </w:rPr>
        <w:t>authority, </w:t>
      </w:r>
      <w:r>
        <w:rPr/>
        <w:t>and</w:t>
      </w:r>
      <w:r>
        <w:rPr>
          <w:spacing w:val="-9"/>
        </w:rPr>
        <w:t> </w:t>
      </w:r>
      <w:r>
        <w:rPr/>
        <w:t>ability</w:t>
      </w:r>
      <w:r>
        <w:rPr>
          <w:spacing w:val="-10"/>
        </w:rPr>
        <w:t> </w:t>
      </w:r>
      <w:r>
        <w:rPr/>
        <w:t>to</w:t>
      </w:r>
      <w:r>
        <w:rPr>
          <w:spacing w:val="-9"/>
        </w:rPr>
        <w:t> </w:t>
      </w:r>
      <w:r>
        <w:rPr/>
        <w:t>express</w:t>
      </w:r>
      <w:r>
        <w:rPr>
          <w:spacing w:val="-10"/>
        </w:rPr>
        <w:t> </w:t>
      </w:r>
      <w:r>
        <w:rPr/>
        <w:t>their</w:t>
      </w:r>
      <w:r>
        <w:rPr>
          <w:spacing w:val="-7"/>
        </w:rPr>
        <w:t> </w:t>
      </w:r>
      <w:r>
        <w:rPr/>
        <w:t>views.</w:t>
      </w:r>
      <w:r>
        <w:rPr>
          <w:spacing w:val="-12"/>
        </w:rPr>
        <w:t> </w:t>
      </w:r>
      <w:r>
        <w:rPr/>
        <w:t>Women</w:t>
      </w:r>
      <w:r>
        <w:rPr>
          <w:spacing w:val="-9"/>
        </w:rPr>
        <w:t> </w:t>
      </w:r>
      <w:r>
        <w:rPr/>
        <w:t>are</w:t>
      </w:r>
      <w:r>
        <w:rPr>
          <w:spacing w:val="-10"/>
        </w:rPr>
        <w:t> </w:t>
      </w:r>
      <w:r>
        <w:rPr/>
        <w:t>often</w:t>
      </w:r>
      <w:r>
        <w:rPr>
          <w:spacing w:val="-10"/>
        </w:rPr>
        <w:t> </w:t>
      </w:r>
      <w:r>
        <w:rPr/>
        <w:t>expected</w:t>
      </w:r>
      <w:r>
        <w:rPr>
          <w:spacing w:val="-7"/>
        </w:rPr>
        <w:t> </w:t>
      </w:r>
      <w:r>
        <w:rPr/>
        <w:t>to</w:t>
      </w:r>
      <w:r>
        <w:rPr>
          <w:spacing w:val="-9"/>
        </w:rPr>
        <w:t> </w:t>
      </w:r>
      <w:r>
        <w:rPr/>
        <w:t>conform to social norms defined by male authority, and those who challenge these expectations frequently face criticism, punishment or exclusion. This study explores how Shakespeare presents women as the “Other,” shaped by societal expectations, gender roles, and structures of male </w:t>
      </w:r>
      <w:r>
        <w:rPr>
          <w:spacing w:val="-2"/>
        </w:rPr>
        <w:t>dominance.</w:t>
      </w:r>
    </w:p>
    <w:p>
      <w:pPr>
        <w:pStyle w:val="BodyText"/>
        <w:spacing w:line="249" w:lineRule="auto" w:before="65"/>
        <w:ind w:right="1436" w:firstLine="432"/>
        <w:jc w:val="both"/>
      </w:pPr>
      <w:r>
        <w:rPr/>
        <w:t>Using feminist literary perspectives, particularly the idea of “otherness” proposed by Simone de Beauvoir, this study examines key female characters such as Ophelia in Hamlet, Desdemona in Othello, Cordelia in King Lear, and Lady Macbeth in Macbeth. Each represents a</w:t>
      </w:r>
      <w:r>
        <w:rPr>
          <w:spacing w:val="-4"/>
        </w:rPr>
        <w:t> </w:t>
      </w:r>
      <w:r>
        <w:rPr/>
        <w:t>different</w:t>
      </w:r>
      <w:r>
        <w:rPr>
          <w:spacing w:val="-5"/>
        </w:rPr>
        <w:t> </w:t>
      </w:r>
      <w:r>
        <w:rPr/>
        <w:t>aspect</w:t>
      </w:r>
      <w:r>
        <w:rPr>
          <w:spacing w:val="-3"/>
        </w:rPr>
        <w:t> </w:t>
      </w:r>
      <w:r>
        <w:rPr/>
        <w:t>of</w:t>
      </w:r>
      <w:r>
        <w:rPr>
          <w:spacing w:val="-5"/>
        </w:rPr>
        <w:t> </w:t>
      </w:r>
      <w:r>
        <w:rPr/>
        <w:t>gendered</w:t>
      </w:r>
      <w:r>
        <w:rPr>
          <w:spacing w:val="-3"/>
        </w:rPr>
        <w:t> </w:t>
      </w:r>
      <w:r>
        <w:rPr/>
        <w:t>marginalization.</w:t>
      </w:r>
      <w:r>
        <w:rPr>
          <w:spacing w:val="-5"/>
        </w:rPr>
        <w:t> </w:t>
      </w:r>
      <w:r>
        <w:rPr/>
        <w:t>Ophelia</w:t>
      </w:r>
      <w:r>
        <w:rPr>
          <w:spacing w:val="-3"/>
        </w:rPr>
        <w:t> </w:t>
      </w:r>
      <w:r>
        <w:rPr/>
        <w:t>and</w:t>
      </w:r>
      <w:r>
        <w:rPr>
          <w:spacing w:val="-1"/>
        </w:rPr>
        <w:t> </w:t>
      </w:r>
      <w:r>
        <w:rPr/>
        <w:t>Desdemona illustrate obedience and vulnerability to patriarchal authority, while Cordelia’s silence is a form of moral resistance. Lady Macbeth, on the other hand, challenges traditional gender expectations through her ambition, yet her power is portrayed as unsettling and ultimately </w:t>
      </w:r>
      <w:r>
        <w:rPr>
          <w:spacing w:val="-2"/>
        </w:rPr>
        <w:t>destructive.</w:t>
      </w:r>
    </w:p>
    <w:p>
      <w:pPr>
        <w:pStyle w:val="BodyText"/>
        <w:spacing w:line="249" w:lineRule="auto" w:before="66"/>
        <w:ind w:right="1440" w:firstLine="432"/>
        <w:jc w:val="both"/>
      </w:pPr>
      <w:r>
        <w:rPr/>
        <w:t>Through the analysis of these characters, this study argues that Shakespeare’s</w:t>
      </w:r>
      <w:r>
        <w:rPr>
          <w:spacing w:val="24"/>
        </w:rPr>
        <w:t> </w:t>
      </w:r>
      <w:r>
        <w:rPr/>
        <w:t>works</w:t>
      </w:r>
      <w:r>
        <w:rPr>
          <w:spacing w:val="26"/>
        </w:rPr>
        <w:t> </w:t>
      </w:r>
      <w:r>
        <w:rPr/>
        <w:t>reveal</w:t>
      </w:r>
      <w:r>
        <w:rPr>
          <w:spacing w:val="25"/>
        </w:rPr>
        <w:t> </w:t>
      </w:r>
      <w:r>
        <w:rPr/>
        <w:t>both</w:t>
      </w:r>
      <w:r>
        <w:rPr>
          <w:spacing w:val="26"/>
        </w:rPr>
        <w:t> </w:t>
      </w:r>
      <w:r>
        <w:rPr/>
        <w:t>the</w:t>
      </w:r>
      <w:r>
        <w:rPr>
          <w:spacing w:val="25"/>
        </w:rPr>
        <w:t> </w:t>
      </w:r>
      <w:r>
        <w:rPr/>
        <w:t>limitations</w:t>
      </w:r>
      <w:r>
        <w:rPr>
          <w:spacing w:val="28"/>
        </w:rPr>
        <w:t> </w:t>
      </w:r>
      <w:r>
        <w:rPr/>
        <w:t>placed</w:t>
      </w:r>
      <w:r>
        <w:rPr>
          <w:spacing w:val="25"/>
        </w:rPr>
        <w:t> </w:t>
      </w:r>
      <w:r>
        <w:rPr/>
        <w:t>on</w:t>
      </w:r>
      <w:r>
        <w:rPr>
          <w:spacing w:val="26"/>
        </w:rPr>
        <w:t> </w:t>
      </w:r>
      <w:r>
        <w:rPr/>
        <w:t>women</w:t>
      </w:r>
      <w:r>
        <w:rPr>
          <w:spacing w:val="25"/>
        </w:rPr>
        <w:t> </w:t>
      </w:r>
      <w:r>
        <w:rPr>
          <w:spacing w:val="-5"/>
        </w:rPr>
        <w:t>in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17376">
                <wp:simplePos x="0" y="0"/>
                <wp:positionH relativeFrom="page">
                  <wp:posOffset>2057400</wp:posOffset>
                </wp:positionH>
                <wp:positionV relativeFrom="paragraph">
                  <wp:posOffset>162604</wp:posOffset>
                </wp:positionV>
                <wp:extent cx="3657600" cy="12700"/>
                <wp:effectExtent l="0" t="0" r="0" b="0"/>
                <wp:wrapTopAndBottom/>
                <wp:docPr id="394" name="Graphic 394"/>
                <wp:cNvGraphicFramePr>
                  <a:graphicFrameLocks/>
                </wp:cNvGraphicFramePr>
                <a:graphic>
                  <a:graphicData uri="http://schemas.microsoft.com/office/word/2010/wordprocessingShape">
                    <wps:wsp>
                      <wps:cNvPr id="394" name="Graphic 39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99104;mso-wrap-distance-left:0;mso-wrap-distance-right:0" id="docshape389" filled="true" fillcolor="#000000" stroked="false">
                <v:fill type="solid"/>
                <w10:wrap type="topAndBottom"/>
              </v:rect>
            </w:pict>
          </mc:Fallback>
        </mc:AlternateContent>
      </w:r>
      <w:r>
        <w:rPr>
          <w:rFonts w:ascii="Verdana"/>
          <w:spacing w:val="-5"/>
          <w:sz w:val="18"/>
        </w:rPr>
        <w:t>156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6"/>
        <w:jc w:val="both"/>
      </w:pPr>
      <w:r>
        <w:rPr>
          <w:spacing w:val="-2"/>
        </w:rPr>
        <w:t>early</w:t>
      </w:r>
      <w:r>
        <w:rPr>
          <w:spacing w:val="-7"/>
        </w:rPr>
        <w:t> </w:t>
      </w:r>
      <w:r>
        <w:rPr>
          <w:spacing w:val="-2"/>
        </w:rPr>
        <w:t>modern society</w:t>
      </w:r>
      <w:r>
        <w:rPr>
          <w:spacing w:val="-9"/>
        </w:rPr>
        <w:t> </w:t>
      </w:r>
      <w:r>
        <w:rPr>
          <w:spacing w:val="-2"/>
        </w:rPr>
        <w:t>and</w:t>
      </w:r>
      <w:r>
        <w:rPr>
          <w:spacing w:val="-4"/>
        </w:rPr>
        <w:t> </w:t>
      </w:r>
      <w:r>
        <w:rPr>
          <w:spacing w:val="-2"/>
        </w:rPr>
        <w:t>the anxieties</w:t>
      </w:r>
      <w:r>
        <w:rPr>
          <w:spacing w:val="-4"/>
        </w:rPr>
        <w:t> </w:t>
      </w:r>
      <w:r>
        <w:rPr>
          <w:spacing w:val="-2"/>
        </w:rPr>
        <w:t>surrounding female</w:t>
      </w:r>
      <w:r>
        <w:rPr>
          <w:spacing w:val="-4"/>
        </w:rPr>
        <w:t> </w:t>
      </w:r>
      <w:r>
        <w:rPr>
          <w:spacing w:val="-2"/>
        </w:rPr>
        <w:t>independence. </w:t>
      </w:r>
      <w:r>
        <w:rPr/>
        <w:t>These portrayals continue to offer valuable insights into ongoing discussions</w:t>
      </w:r>
      <w:r>
        <w:rPr>
          <w:spacing w:val="40"/>
        </w:rPr>
        <w:t> </w:t>
      </w:r>
      <w:r>
        <w:rPr/>
        <w:t>of</w:t>
      </w:r>
      <w:r>
        <w:rPr>
          <w:spacing w:val="40"/>
        </w:rPr>
        <w:t> </w:t>
      </w:r>
      <w:r>
        <w:rPr/>
        <w:t>gender,</w:t>
      </w:r>
      <w:r>
        <w:rPr>
          <w:spacing w:val="40"/>
        </w:rPr>
        <w:t> </w:t>
      </w:r>
      <w:r>
        <w:rPr/>
        <w:t>identity,</w:t>
      </w:r>
      <w:r>
        <w:rPr>
          <w:spacing w:val="40"/>
        </w:rPr>
        <w:t> </w:t>
      </w:r>
      <w:r>
        <w:rPr/>
        <w:t>and</w:t>
      </w:r>
      <w:r>
        <w:rPr>
          <w:spacing w:val="40"/>
        </w:rPr>
        <w:t> </w:t>
      </w:r>
      <w:r>
        <w:rPr/>
        <w:t>power.</w:t>
      </w:r>
    </w:p>
    <w:p>
      <w:pPr>
        <w:pStyle w:val="BodyText"/>
        <w:spacing w:line="249" w:lineRule="auto" w:before="60"/>
        <w:ind w:right="1439" w:firstLine="432"/>
        <w:jc w:val="both"/>
      </w:pPr>
      <w:r>
        <w:rPr>
          <w:b/>
          <w:spacing w:val="-4"/>
        </w:rPr>
        <w:t>Keywords:</w:t>
      </w:r>
      <w:r>
        <w:rPr>
          <w:b/>
          <w:spacing w:val="-9"/>
        </w:rPr>
        <w:t> </w:t>
      </w:r>
      <w:r>
        <w:rPr>
          <w:spacing w:val="-4"/>
        </w:rPr>
        <w:t>Shakespeare,</w:t>
      </w:r>
      <w:r>
        <w:rPr>
          <w:spacing w:val="-8"/>
        </w:rPr>
        <w:t> </w:t>
      </w:r>
      <w:r>
        <w:rPr>
          <w:spacing w:val="-4"/>
        </w:rPr>
        <w:t>Gender</w:t>
      </w:r>
      <w:r>
        <w:rPr>
          <w:spacing w:val="-9"/>
        </w:rPr>
        <w:t> </w:t>
      </w:r>
      <w:r>
        <w:rPr>
          <w:spacing w:val="-4"/>
        </w:rPr>
        <w:t>and</w:t>
      </w:r>
      <w:r>
        <w:rPr>
          <w:spacing w:val="-8"/>
        </w:rPr>
        <w:t> </w:t>
      </w:r>
      <w:r>
        <w:rPr>
          <w:spacing w:val="-4"/>
        </w:rPr>
        <w:t>Otherness,</w:t>
      </w:r>
      <w:r>
        <w:rPr>
          <w:spacing w:val="-9"/>
        </w:rPr>
        <w:t> </w:t>
      </w:r>
      <w:r>
        <w:rPr>
          <w:spacing w:val="-4"/>
        </w:rPr>
        <w:t>Patriarchy,</w:t>
      </w:r>
      <w:r>
        <w:rPr>
          <w:spacing w:val="-8"/>
        </w:rPr>
        <w:t> </w:t>
      </w:r>
      <w:r>
        <w:rPr>
          <w:spacing w:val="-4"/>
        </w:rPr>
        <w:t>Feminist </w:t>
      </w:r>
      <w:r>
        <w:rPr/>
        <w:t>Literary Criticism, Modern Drama, Marginalisation of Women.</w:t>
      </w:r>
    </w:p>
    <w:p>
      <w:pPr>
        <w:pStyle w:val="Heading3"/>
        <w:numPr>
          <w:ilvl w:val="0"/>
          <w:numId w:val="31"/>
        </w:numPr>
        <w:tabs>
          <w:tab w:pos="1685" w:val="left" w:leader="none"/>
        </w:tabs>
        <w:spacing w:line="240" w:lineRule="auto" w:before="155" w:after="0"/>
        <w:ind w:left="1685" w:right="0" w:hanging="245"/>
        <w:jc w:val="left"/>
      </w:pPr>
      <w:r>
        <w:rPr>
          <w:spacing w:val="-2"/>
          <w:w w:val="95"/>
        </w:rPr>
        <w:t>INTRODUCTION</w:t>
      </w:r>
    </w:p>
    <w:p>
      <w:pPr>
        <w:pStyle w:val="BodyText"/>
        <w:spacing w:line="249" w:lineRule="auto" w:before="76"/>
        <w:ind w:right="1437" w:firstLine="432"/>
        <w:jc w:val="both"/>
      </w:pPr>
      <w:r>
        <w:rPr/>
        <w:t>In Shakespeare’s era, early modern England was characterised by rigid patriarchal structures that strictly defined and limited women’s societal roles. Women were expected to adhere to social norms that emphasised obedience, chastity, and subservience to male authority figures,</w:t>
      </w:r>
      <w:r>
        <w:rPr>
          <w:spacing w:val="-13"/>
        </w:rPr>
        <w:t> </w:t>
      </w:r>
      <w:r>
        <w:rPr/>
        <w:t>such</w:t>
      </w:r>
      <w:r>
        <w:rPr>
          <w:spacing w:val="-12"/>
        </w:rPr>
        <w:t> </w:t>
      </w:r>
      <w:r>
        <w:rPr/>
        <w:t>as</w:t>
      </w:r>
      <w:r>
        <w:rPr>
          <w:spacing w:val="-13"/>
        </w:rPr>
        <w:t> </w:t>
      </w:r>
      <w:r>
        <w:rPr/>
        <w:t>fathers,</w:t>
      </w:r>
      <w:r>
        <w:rPr>
          <w:spacing w:val="-12"/>
        </w:rPr>
        <w:t> </w:t>
      </w:r>
      <w:r>
        <w:rPr/>
        <w:t>husbands,</w:t>
      </w:r>
      <w:r>
        <w:rPr>
          <w:spacing w:val="-13"/>
        </w:rPr>
        <w:t> </w:t>
      </w:r>
      <w:r>
        <w:rPr/>
        <w:t>and</w:t>
      </w:r>
      <w:r>
        <w:rPr>
          <w:spacing w:val="-12"/>
        </w:rPr>
        <w:t> </w:t>
      </w:r>
      <w:r>
        <w:rPr/>
        <w:t>rulers.</w:t>
      </w:r>
      <w:r>
        <w:rPr>
          <w:spacing w:val="-13"/>
        </w:rPr>
        <w:t> </w:t>
      </w:r>
      <w:r>
        <w:rPr/>
        <w:t>This</w:t>
      </w:r>
      <w:r>
        <w:rPr>
          <w:spacing w:val="-12"/>
        </w:rPr>
        <w:t> </w:t>
      </w:r>
      <w:r>
        <w:rPr/>
        <w:t>patriarchal</w:t>
      </w:r>
      <w:r>
        <w:rPr>
          <w:spacing w:val="-13"/>
        </w:rPr>
        <w:t> </w:t>
      </w:r>
      <w:r>
        <w:rPr/>
        <w:t>framework marginalises women by restricting their access to power, voice, and autonomy in both public and private spheres. In this context, Shakespeare’s female characters often embody societal constraints, revealing the</w:t>
      </w:r>
      <w:r>
        <w:rPr>
          <w:spacing w:val="40"/>
        </w:rPr>
        <w:t> </w:t>
      </w:r>
      <w:r>
        <w:rPr/>
        <w:t>gendered power dynamics of their time.</w:t>
      </w:r>
    </w:p>
    <w:p>
      <w:pPr>
        <w:pStyle w:val="BodyText"/>
        <w:spacing w:line="249" w:lineRule="auto" w:before="67"/>
        <w:ind w:right="1439" w:firstLine="432"/>
        <w:jc w:val="both"/>
      </w:pPr>
      <w:r>
        <w:rPr/>
        <w:t>Feminist theory, particularly Simone de Beauvoir’s concept of “otherness,” provides a critical lens for understanding these dynamics. </w:t>
      </w:r>
      <w:r>
        <w:rPr>
          <w:spacing w:val="-2"/>
        </w:rPr>
        <w:t>De</w:t>
      </w:r>
      <w:r>
        <w:rPr>
          <w:spacing w:val="-11"/>
        </w:rPr>
        <w:t> </w:t>
      </w:r>
      <w:r>
        <w:rPr>
          <w:spacing w:val="-2"/>
        </w:rPr>
        <w:t>Beauvoir</w:t>
      </w:r>
      <w:r>
        <w:rPr>
          <w:spacing w:val="-10"/>
        </w:rPr>
        <w:t> </w:t>
      </w:r>
      <w:r>
        <w:rPr>
          <w:spacing w:val="-2"/>
        </w:rPr>
        <w:t>argues</w:t>
      </w:r>
      <w:r>
        <w:rPr>
          <w:spacing w:val="-11"/>
        </w:rPr>
        <w:t> </w:t>
      </w:r>
      <w:r>
        <w:rPr>
          <w:spacing w:val="-2"/>
        </w:rPr>
        <w:t>in</w:t>
      </w:r>
      <w:r>
        <w:rPr>
          <w:spacing w:val="-10"/>
        </w:rPr>
        <w:t> </w:t>
      </w:r>
      <w:r>
        <w:rPr>
          <w:spacing w:val="-2"/>
        </w:rPr>
        <w:t>The</w:t>
      </w:r>
      <w:r>
        <w:rPr>
          <w:spacing w:val="-11"/>
        </w:rPr>
        <w:t> </w:t>
      </w:r>
      <w:r>
        <w:rPr>
          <w:spacing w:val="-2"/>
        </w:rPr>
        <w:t>Second</w:t>
      </w:r>
      <w:r>
        <w:rPr>
          <w:spacing w:val="-10"/>
        </w:rPr>
        <w:t> </w:t>
      </w:r>
      <w:r>
        <w:rPr>
          <w:spacing w:val="-2"/>
        </w:rPr>
        <w:t>Sex</w:t>
      </w:r>
      <w:r>
        <w:rPr>
          <w:spacing w:val="-11"/>
        </w:rPr>
        <w:t> </w:t>
      </w:r>
      <w:r>
        <w:rPr>
          <w:spacing w:val="-2"/>
        </w:rPr>
        <w:t>(1949)</w:t>
      </w:r>
      <w:r>
        <w:rPr>
          <w:spacing w:val="-10"/>
        </w:rPr>
        <w:t> </w:t>
      </w:r>
      <w:r>
        <w:rPr>
          <w:spacing w:val="-2"/>
        </w:rPr>
        <w:t>that</w:t>
      </w:r>
      <w:r>
        <w:rPr>
          <w:spacing w:val="-11"/>
        </w:rPr>
        <w:t> </w:t>
      </w:r>
      <w:r>
        <w:rPr>
          <w:spacing w:val="-2"/>
        </w:rPr>
        <w:t>women</w:t>
      </w:r>
      <w:r>
        <w:rPr>
          <w:spacing w:val="-10"/>
        </w:rPr>
        <w:t> </w:t>
      </w:r>
      <w:r>
        <w:rPr>
          <w:spacing w:val="-2"/>
        </w:rPr>
        <w:t>are</w:t>
      </w:r>
      <w:r>
        <w:rPr>
          <w:spacing w:val="-11"/>
        </w:rPr>
        <w:t> </w:t>
      </w:r>
      <w:r>
        <w:rPr>
          <w:spacing w:val="-2"/>
        </w:rPr>
        <w:t>constructed </w:t>
      </w:r>
      <w:r>
        <w:rPr/>
        <w:t>as</w:t>
      </w:r>
      <w:r>
        <w:rPr>
          <w:spacing w:val="-1"/>
        </w:rPr>
        <w:t> </w:t>
      </w:r>
      <w:r>
        <w:rPr/>
        <w:t>the “Other” in a male-dominated society, defined not as autonomous subjects</w:t>
      </w:r>
      <w:r>
        <w:rPr>
          <w:spacing w:val="-11"/>
        </w:rPr>
        <w:t> </w:t>
      </w:r>
      <w:r>
        <w:rPr/>
        <w:t>but</w:t>
      </w:r>
      <w:r>
        <w:rPr>
          <w:spacing w:val="-10"/>
        </w:rPr>
        <w:t> </w:t>
      </w:r>
      <w:r>
        <w:rPr/>
        <w:t>in</w:t>
      </w:r>
      <w:r>
        <w:rPr>
          <w:spacing w:val="-12"/>
        </w:rPr>
        <w:t> </w:t>
      </w:r>
      <w:r>
        <w:rPr/>
        <w:t>relation</w:t>
      </w:r>
      <w:r>
        <w:rPr>
          <w:spacing w:val="-12"/>
        </w:rPr>
        <w:t> </w:t>
      </w:r>
      <w:r>
        <w:rPr/>
        <w:t>to</w:t>
      </w:r>
      <w:r>
        <w:rPr>
          <w:spacing w:val="-8"/>
        </w:rPr>
        <w:t> </w:t>
      </w:r>
      <w:r>
        <w:rPr/>
        <w:t>men,</w:t>
      </w:r>
      <w:r>
        <w:rPr>
          <w:spacing w:val="-12"/>
        </w:rPr>
        <w:t> </w:t>
      </w:r>
      <w:r>
        <w:rPr/>
        <w:t>who</w:t>
      </w:r>
      <w:r>
        <w:rPr>
          <w:spacing w:val="-10"/>
        </w:rPr>
        <w:t> </w:t>
      </w:r>
      <w:r>
        <w:rPr/>
        <w:t>occupy</w:t>
      </w:r>
      <w:r>
        <w:rPr>
          <w:spacing w:val="-13"/>
        </w:rPr>
        <w:t> </w:t>
      </w:r>
      <w:r>
        <w:rPr/>
        <w:t>the</w:t>
      </w:r>
      <w:r>
        <w:rPr>
          <w:spacing w:val="-10"/>
        </w:rPr>
        <w:t> </w:t>
      </w:r>
      <w:r>
        <w:rPr/>
        <w:t>position</w:t>
      </w:r>
      <w:r>
        <w:rPr>
          <w:spacing w:val="-12"/>
        </w:rPr>
        <w:t> </w:t>
      </w:r>
      <w:r>
        <w:rPr/>
        <w:t>of</w:t>
      </w:r>
      <w:r>
        <w:rPr>
          <w:spacing w:val="-12"/>
        </w:rPr>
        <w:t> </w:t>
      </w:r>
      <w:r>
        <w:rPr/>
        <w:t>the</w:t>
      </w:r>
      <w:r>
        <w:rPr>
          <w:spacing w:val="-10"/>
        </w:rPr>
        <w:t> </w:t>
      </w:r>
      <w:r>
        <w:rPr/>
        <w:t>normative “Self.”</w:t>
      </w:r>
      <w:r>
        <w:rPr>
          <w:spacing w:val="-5"/>
        </w:rPr>
        <w:t> </w:t>
      </w:r>
      <w:r>
        <w:rPr/>
        <w:t>This</w:t>
      </w:r>
      <w:r>
        <w:rPr>
          <w:spacing w:val="-7"/>
        </w:rPr>
        <w:t> </w:t>
      </w:r>
      <w:r>
        <w:rPr/>
        <w:t>framework</w:t>
      </w:r>
      <w:r>
        <w:rPr>
          <w:spacing w:val="-5"/>
        </w:rPr>
        <w:t> </w:t>
      </w:r>
      <w:r>
        <w:rPr/>
        <w:t>highlights</w:t>
      </w:r>
      <w:r>
        <w:rPr>
          <w:spacing w:val="-5"/>
        </w:rPr>
        <w:t> </w:t>
      </w:r>
      <w:r>
        <w:rPr/>
        <w:t>how</w:t>
      </w:r>
      <w:r>
        <w:rPr>
          <w:spacing w:val="-7"/>
        </w:rPr>
        <w:t> </w:t>
      </w:r>
      <w:r>
        <w:rPr/>
        <w:t>women’s</w:t>
      </w:r>
      <w:r>
        <w:rPr>
          <w:spacing w:val="-7"/>
        </w:rPr>
        <w:t> </w:t>
      </w:r>
      <w:r>
        <w:rPr/>
        <w:t>identities</w:t>
      </w:r>
      <w:r>
        <w:rPr>
          <w:spacing w:val="-5"/>
        </w:rPr>
        <w:t> </w:t>
      </w:r>
      <w:r>
        <w:rPr/>
        <w:t>and</w:t>
      </w:r>
      <w:r>
        <w:rPr>
          <w:spacing w:val="-3"/>
        </w:rPr>
        <w:t> </w:t>
      </w:r>
      <w:r>
        <w:rPr/>
        <w:t>roles</w:t>
      </w:r>
      <w:r>
        <w:rPr>
          <w:spacing w:val="-5"/>
        </w:rPr>
        <w:t> </w:t>
      </w:r>
      <w:r>
        <w:rPr/>
        <w:t>are shaped by exclusion, marginalisation, and</w:t>
      </w:r>
      <w:r>
        <w:rPr>
          <w:spacing w:val="35"/>
        </w:rPr>
        <w:t> </w:t>
      </w:r>
      <w:r>
        <w:rPr/>
        <w:t>denial of full subjectivity.</w:t>
      </w:r>
    </w:p>
    <w:p>
      <w:pPr>
        <w:pStyle w:val="BodyText"/>
        <w:spacing w:line="249" w:lineRule="auto" w:before="63"/>
        <w:ind w:right="1439" w:firstLine="432"/>
        <w:jc w:val="both"/>
      </w:pPr>
      <w:r>
        <w:rPr>
          <w:spacing w:val="-2"/>
        </w:rPr>
        <w:t>This</w:t>
      </w:r>
      <w:r>
        <w:rPr>
          <w:spacing w:val="-7"/>
        </w:rPr>
        <w:t> </w:t>
      </w:r>
      <w:r>
        <w:rPr>
          <w:spacing w:val="-2"/>
        </w:rPr>
        <w:t>study</w:t>
      </w:r>
      <w:r>
        <w:rPr>
          <w:spacing w:val="-7"/>
        </w:rPr>
        <w:t> </w:t>
      </w:r>
      <w:r>
        <w:rPr>
          <w:spacing w:val="-2"/>
        </w:rPr>
        <w:t>aims</w:t>
      </w:r>
      <w:r>
        <w:rPr>
          <w:spacing w:val="-7"/>
        </w:rPr>
        <w:t> </w:t>
      </w:r>
      <w:r>
        <w:rPr>
          <w:spacing w:val="-2"/>
        </w:rPr>
        <w:t>to</w:t>
      </w:r>
      <w:r>
        <w:rPr>
          <w:spacing w:val="-3"/>
        </w:rPr>
        <w:t> </w:t>
      </w:r>
      <w:r>
        <w:rPr>
          <w:spacing w:val="-2"/>
        </w:rPr>
        <w:t>analyse</w:t>
      </w:r>
      <w:r>
        <w:rPr>
          <w:spacing w:val="-6"/>
        </w:rPr>
        <w:t> </w:t>
      </w:r>
      <w:r>
        <w:rPr>
          <w:spacing w:val="-2"/>
        </w:rPr>
        <w:t>Shakespeare’s</w:t>
      </w:r>
      <w:r>
        <w:rPr>
          <w:spacing w:val="-3"/>
        </w:rPr>
        <w:t> </w:t>
      </w:r>
      <w:r>
        <w:rPr>
          <w:spacing w:val="-2"/>
        </w:rPr>
        <w:t>female</w:t>
      </w:r>
      <w:r>
        <w:rPr>
          <w:spacing w:val="-4"/>
        </w:rPr>
        <w:t> </w:t>
      </w:r>
      <w:r>
        <w:rPr>
          <w:spacing w:val="-2"/>
        </w:rPr>
        <w:t>characters</w:t>
      </w:r>
      <w:r>
        <w:rPr>
          <w:spacing w:val="-5"/>
        </w:rPr>
        <w:t> </w:t>
      </w:r>
      <w:r>
        <w:rPr>
          <w:spacing w:val="-2"/>
        </w:rPr>
        <w:t>through </w:t>
      </w:r>
      <w:r>
        <w:rPr/>
        <w:t>the lens of feminist theory, focusing on how they are represented as “Other” within patriarchal systems. By examining characters such as Ophelia, Desdemona, Cordelia, and Lady Macbeth, this study explores how Shakespeare’s plays reflect and interrogate the marginalisation of women,</w:t>
      </w:r>
      <w:r>
        <w:rPr>
          <w:spacing w:val="-6"/>
        </w:rPr>
        <w:t> </w:t>
      </w:r>
      <w:r>
        <w:rPr/>
        <w:t>their</w:t>
      </w:r>
      <w:r>
        <w:rPr>
          <w:spacing w:val="-5"/>
        </w:rPr>
        <w:t> </w:t>
      </w:r>
      <w:r>
        <w:rPr/>
        <w:t>silencing,</w:t>
      </w:r>
      <w:r>
        <w:rPr>
          <w:spacing w:val="-6"/>
        </w:rPr>
        <w:t> </w:t>
      </w:r>
      <w:r>
        <w:rPr/>
        <w:t>and</w:t>
      </w:r>
      <w:r>
        <w:rPr>
          <w:spacing w:val="-5"/>
        </w:rPr>
        <w:t> </w:t>
      </w:r>
      <w:r>
        <w:rPr/>
        <w:t>the</w:t>
      </w:r>
      <w:r>
        <w:rPr>
          <w:spacing w:val="-5"/>
        </w:rPr>
        <w:t> </w:t>
      </w:r>
      <w:r>
        <w:rPr/>
        <w:t>anxieties</w:t>
      </w:r>
      <w:r>
        <w:rPr>
          <w:spacing w:val="-8"/>
        </w:rPr>
        <w:t> </w:t>
      </w:r>
      <w:r>
        <w:rPr/>
        <w:t>surrounding</w:t>
      </w:r>
      <w:r>
        <w:rPr>
          <w:spacing w:val="-10"/>
        </w:rPr>
        <w:t> </w:t>
      </w:r>
      <w:r>
        <w:rPr/>
        <w:t>female</w:t>
      </w:r>
      <w:r>
        <w:rPr>
          <w:spacing w:val="-4"/>
        </w:rPr>
        <w:t> </w:t>
      </w:r>
      <w:r>
        <w:rPr/>
        <w:t>power</w:t>
      </w:r>
      <w:r>
        <w:rPr>
          <w:spacing w:val="-6"/>
        </w:rPr>
        <w:t> </w:t>
      </w:r>
      <w:r>
        <w:rPr/>
        <w:t>and independence. Through close readings of these characters and their narrative trajectories, this paper illuminates the intersections of silence, power, and marginalisation in Shakespeare’s portrayal of women.</w:t>
      </w:r>
    </w:p>
    <w:p>
      <w:pPr>
        <w:pStyle w:val="Heading5"/>
        <w:numPr>
          <w:ilvl w:val="1"/>
          <w:numId w:val="31"/>
        </w:numPr>
        <w:tabs>
          <w:tab w:pos="1892" w:val="left" w:leader="none"/>
        </w:tabs>
        <w:spacing w:line="244" w:lineRule="auto" w:before="115" w:after="0"/>
        <w:ind w:left="1440" w:right="1439" w:firstLine="0"/>
        <w:jc w:val="left"/>
      </w:pPr>
      <w:r>
        <w:rPr>
          <w:w w:val="105"/>
        </w:rPr>
        <w:t>Textual</w:t>
      </w:r>
      <w:r>
        <w:rPr>
          <w:spacing w:val="80"/>
          <w:w w:val="105"/>
        </w:rPr>
        <w:t> </w:t>
      </w:r>
      <w:r>
        <w:rPr>
          <w:w w:val="105"/>
        </w:rPr>
        <w:t>Evidence</w:t>
      </w:r>
      <w:r>
        <w:rPr>
          <w:spacing w:val="80"/>
          <w:w w:val="105"/>
        </w:rPr>
        <w:t> </w:t>
      </w:r>
      <w:r>
        <w:rPr>
          <w:w w:val="105"/>
        </w:rPr>
        <w:t>and</w:t>
      </w:r>
      <w:r>
        <w:rPr>
          <w:spacing w:val="80"/>
          <w:w w:val="105"/>
        </w:rPr>
        <w:t> </w:t>
      </w:r>
      <w:r>
        <w:rPr>
          <w:w w:val="105"/>
        </w:rPr>
        <w:t>Close</w:t>
      </w:r>
      <w:r>
        <w:rPr>
          <w:spacing w:val="80"/>
          <w:w w:val="105"/>
        </w:rPr>
        <w:t> </w:t>
      </w:r>
      <w:r>
        <w:rPr>
          <w:w w:val="105"/>
        </w:rPr>
        <w:t>Readings</w:t>
      </w:r>
      <w:r>
        <w:rPr>
          <w:spacing w:val="80"/>
          <w:w w:val="105"/>
        </w:rPr>
        <w:t> </w:t>
      </w:r>
      <w:r>
        <w:rPr>
          <w:w w:val="105"/>
        </w:rPr>
        <w:t>Linking</w:t>
      </w:r>
      <w:r>
        <w:rPr>
          <w:spacing w:val="40"/>
          <w:w w:val="105"/>
        </w:rPr>
        <w:t> </w:t>
      </w:r>
      <w:r>
        <w:rPr>
          <w:w w:val="105"/>
        </w:rPr>
        <w:t>Feminist</w:t>
      </w:r>
      <w:r>
        <w:rPr>
          <w:spacing w:val="40"/>
          <w:w w:val="105"/>
        </w:rPr>
        <w:t> </w:t>
      </w:r>
      <w:r>
        <w:rPr>
          <w:w w:val="105"/>
        </w:rPr>
        <w:t>Context</w:t>
      </w:r>
    </w:p>
    <w:p>
      <w:pPr>
        <w:pStyle w:val="ListParagraph"/>
        <w:numPr>
          <w:ilvl w:val="2"/>
          <w:numId w:val="31"/>
        </w:numPr>
        <w:tabs>
          <w:tab w:pos="2160" w:val="left" w:leader="none"/>
        </w:tabs>
        <w:spacing w:line="261" w:lineRule="auto" w:before="75" w:after="0"/>
        <w:ind w:left="2160" w:right="1440" w:hanging="540"/>
        <w:jc w:val="both"/>
        <w:rPr>
          <w:sz w:val="20"/>
        </w:rPr>
      </w:pPr>
      <w:r>
        <w:rPr>
          <w:sz w:val="20"/>
        </w:rPr>
        <w:t>Ophelia (Hamlet): Ophelia’s obedience to her father Polonius </w:t>
      </w:r>
      <w:r>
        <w:rPr>
          <w:spacing w:val="-2"/>
          <w:sz w:val="20"/>
        </w:rPr>
        <w:t>and</w:t>
      </w:r>
      <w:r>
        <w:rPr>
          <w:spacing w:val="-4"/>
          <w:sz w:val="20"/>
        </w:rPr>
        <w:t> </w:t>
      </w:r>
      <w:r>
        <w:rPr>
          <w:spacing w:val="-2"/>
          <w:sz w:val="20"/>
        </w:rPr>
        <w:t>brother</w:t>
      </w:r>
      <w:r>
        <w:rPr>
          <w:spacing w:val="-4"/>
          <w:sz w:val="20"/>
        </w:rPr>
        <w:t> </w:t>
      </w:r>
      <w:r>
        <w:rPr>
          <w:spacing w:val="-2"/>
          <w:sz w:val="20"/>
        </w:rPr>
        <w:t>Laertes</w:t>
      </w:r>
      <w:r>
        <w:rPr>
          <w:spacing w:val="-6"/>
          <w:sz w:val="20"/>
        </w:rPr>
        <w:t> </w:t>
      </w:r>
      <w:r>
        <w:rPr>
          <w:spacing w:val="-2"/>
          <w:sz w:val="20"/>
        </w:rPr>
        <w:t>exemplifies</w:t>
      </w:r>
      <w:r>
        <w:rPr>
          <w:spacing w:val="-8"/>
          <w:sz w:val="20"/>
        </w:rPr>
        <w:t> </w:t>
      </w:r>
      <w:r>
        <w:rPr>
          <w:spacing w:val="-2"/>
          <w:sz w:val="20"/>
        </w:rPr>
        <w:t>the expected</w:t>
      </w:r>
      <w:r>
        <w:rPr>
          <w:spacing w:val="-4"/>
          <w:sz w:val="20"/>
        </w:rPr>
        <w:t> </w:t>
      </w:r>
      <w:r>
        <w:rPr>
          <w:spacing w:val="-2"/>
          <w:sz w:val="20"/>
        </w:rPr>
        <w:t>female</w:t>
      </w:r>
      <w:r>
        <w:rPr>
          <w:spacing w:val="-4"/>
          <w:sz w:val="20"/>
        </w:rPr>
        <w:t> </w:t>
      </w:r>
      <w:r>
        <w:rPr>
          <w:spacing w:val="-2"/>
          <w:sz w:val="20"/>
        </w:rPr>
        <w:t>submission </w:t>
      </w:r>
      <w:r>
        <w:rPr>
          <w:sz w:val="20"/>
        </w:rPr>
        <w:t>in</w:t>
      </w:r>
      <w:r>
        <w:rPr>
          <w:spacing w:val="-5"/>
          <w:sz w:val="20"/>
        </w:rPr>
        <w:t> </w:t>
      </w:r>
      <w:r>
        <w:rPr>
          <w:sz w:val="20"/>
        </w:rPr>
        <w:t>a</w:t>
      </w:r>
      <w:r>
        <w:rPr>
          <w:spacing w:val="-2"/>
          <w:sz w:val="20"/>
        </w:rPr>
        <w:t> </w:t>
      </w:r>
      <w:r>
        <w:rPr>
          <w:sz w:val="20"/>
        </w:rPr>
        <w:t>patriarchal</w:t>
      </w:r>
      <w:r>
        <w:rPr>
          <w:spacing w:val="-2"/>
          <w:sz w:val="20"/>
        </w:rPr>
        <w:t> </w:t>
      </w:r>
      <w:r>
        <w:rPr>
          <w:sz w:val="20"/>
        </w:rPr>
        <w:t>order.</w:t>
      </w:r>
      <w:r>
        <w:rPr>
          <w:spacing w:val="-1"/>
          <w:sz w:val="20"/>
        </w:rPr>
        <w:t> </w:t>
      </w:r>
      <w:r>
        <w:rPr>
          <w:sz w:val="20"/>
        </w:rPr>
        <w:t>Her</w:t>
      </w:r>
      <w:r>
        <w:rPr>
          <w:spacing w:val="-3"/>
          <w:sz w:val="20"/>
        </w:rPr>
        <w:t> </w:t>
      </w:r>
      <w:r>
        <w:rPr>
          <w:sz w:val="20"/>
        </w:rPr>
        <w:t>limited</w:t>
      </w:r>
      <w:r>
        <w:rPr>
          <w:spacing w:val="-3"/>
          <w:sz w:val="20"/>
        </w:rPr>
        <w:t> </w:t>
      </w:r>
      <w:r>
        <w:rPr>
          <w:sz w:val="20"/>
        </w:rPr>
        <w:t>agency</w:t>
      </w:r>
      <w:r>
        <w:rPr>
          <w:spacing w:val="-5"/>
          <w:sz w:val="20"/>
        </w:rPr>
        <w:t> </w:t>
      </w:r>
      <w:r>
        <w:rPr>
          <w:sz w:val="20"/>
        </w:rPr>
        <w:t>and</w:t>
      </w:r>
      <w:r>
        <w:rPr>
          <w:spacing w:val="-1"/>
          <w:sz w:val="20"/>
        </w:rPr>
        <w:t> </w:t>
      </w:r>
      <w:r>
        <w:rPr>
          <w:sz w:val="20"/>
        </w:rPr>
        <w:t>eventual</w:t>
      </w:r>
      <w:r>
        <w:rPr>
          <w:spacing w:val="-3"/>
          <w:sz w:val="20"/>
        </w:rPr>
        <w:t> </w:t>
      </w:r>
      <w:r>
        <w:rPr>
          <w:sz w:val="20"/>
        </w:rPr>
        <w:t>descent into madness reflect the destructive consequences of enforced</w:t>
      </w:r>
    </w:p>
    <w:p>
      <w:pPr>
        <w:pStyle w:val="ListParagraph"/>
        <w:spacing w:after="0" w:line="261" w:lineRule="auto"/>
        <w:jc w:val="both"/>
        <w:rPr>
          <w:sz w:val="20"/>
        </w:rPr>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17888">
                <wp:simplePos x="0" y="0"/>
                <wp:positionH relativeFrom="page">
                  <wp:posOffset>2065020</wp:posOffset>
                </wp:positionH>
                <wp:positionV relativeFrom="paragraph">
                  <wp:posOffset>795020</wp:posOffset>
                </wp:positionV>
                <wp:extent cx="3657600" cy="12700"/>
                <wp:effectExtent l="0" t="0" r="0" b="0"/>
                <wp:wrapTopAndBottom/>
                <wp:docPr id="395" name="Graphic 395"/>
                <wp:cNvGraphicFramePr>
                  <a:graphicFrameLocks/>
                </wp:cNvGraphicFramePr>
                <a:graphic>
                  <a:graphicData uri="http://schemas.microsoft.com/office/word/2010/wordprocessingShape">
                    <wps:wsp>
                      <wps:cNvPr id="395" name="Graphic 39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98592;mso-wrap-distance-left:0;mso-wrap-distance-right:0" id="docshape390" filled="true" fillcolor="#000000" stroked="false">
                <v:fill type="solid"/>
                <w10:wrap type="topAndBottom"/>
              </v:rect>
            </w:pict>
          </mc:Fallback>
        </mc:AlternateContent>
      </w: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6"/>
          <w:sz w:val="18"/>
        </w:rPr>
        <w:t> </w:t>
      </w:r>
      <w:r>
        <w:rPr>
          <w:rFonts w:ascii="Verdana" w:hAnsi="Verdana"/>
          <w:sz w:val="18"/>
        </w:rPr>
        <w:t>Marginalisation:</w:t>
      </w:r>
      <w:r>
        <w:rPr>
          <w:rFonts w:ascii="Verdana" w:hAnsi="Verdana"/>
          <w:spacing w:val="4"/>
          <w:sz w:val="18"/>
        </w:rPr>
        <w:t> </w:t>
      </w:r>
      <w:r>
        <w:rPr>
          <w:rFonts w:ascii="Verdana" w:hAnsi="Verdana"/>
          <w:sz w:val="18"/>
        </w:rPr>
        <w:t>Women</w:t>
      </w:r>
      <w:r>
        <w:rPr>
          <w:rFonts w:ascii="Verdana" w:hAnsi="Verdana"/>
          <w:spacing w:val="9"/>
          <w:sz w:val="18"/>
        </w:rPr>
        <w:t> </w:t>
      </w:r>
      <w:r>
        <w:rPr>
          <w:rFonts w:ascii="Verdana" w:hAnsi="Verdana"/>
          <w:sz w:val="18"/>
        </w:rPr>
        <w:t>as</w:t>
      </w:r>
      <w:r>
        <w:rPr>
          <w:rFonts w:ascii="Verdana" w:hAnsi="Verdana"/>
          <w:spacing w:val="4"/>
          <w:sz w:val="18"/>
        </w:rPr>
        <w:t> </w:t>
      </w:r>
      <w:r>
        <w:rPr>
          <w:rFonts w:ascii="Verdana" w:hAnsi="Verdana"/>
          <w:sz w:val="18"/>
        </w:rPr>
        <w:t>“Other”</w:t>
      </w:r>
      <w:r>
        <w:rPr>
          <w:rFonts w:ascii="Verdana" w:hAnsi="Verdana"/>
          <w:spacing w:val="4"/>
          <w:sz w:val="18"/>
        </w:rPr>
        <w:t> </w:t>
      </w:r>
      <w:r>
        <w:rPr>
          <w:rFonts w:ascii="Verdana" w:hAnsi="Verdana"/>
          <w:spacing w:val="-2"/>
          <w:sz w:val="18"/>
        </w:rPr>
        <w:t>in...</w:t>
      </w:r>
      <w:r>
        <w:rPr>
          <w:sz w:val="18"/>
        </w:rPr>
        <w:tab/>
      </w:r>
      <w:r>
        <w:rPr>
          <w:rFonts w:ascii="Verdana" w:hAnsi="Verdana"/>
          <w:spacing w:val="-5"/>
          <w:sz w:val="18"/>
        </w:rPr>
        <w:t>157</w:t>
      </w:r>
    </w:p>
    <w:p>
      <w:pPr>
        <w:pStyle w:val="BodyText"/>
        <w:spacing w:line="261" w:lineRule="auto" w:before="199"/>
        <w:ind w:left="2160" w:right="1438"/>
        <w:jc w:val="both"/>
      </w:pPr>
      <w:r>
        <w:rPr/>
        <w:t>silence</w:t>
      </w:r>
      <w:r>
        <w:rPr>
          <w:spacing w:val="-4"/>
        </w:rPr>
        <w:t> </w:t>
      </w:r>
      <w:r>
        <w:rPr/>
        <w:t>and</w:t>
      </w:r>
      <w:r>
        <w:rPr>
          <w:spacing w:val="-3"/>
        </w:rPr>
        <w:t> </w:t>
      </w:r>
      <w:r>
        <w:rPr/>
        <w:t>marginalization.</w:t>
      </w:r>
      <w:r>
        <w:rPr>
          <w:spacing w:val="-4"/>
        </w:rPr>
        <w:t> </w:t>
      </w:r>
      <w:r>
        <w:rPr/>
        <w:t>For</w:t>
      </w:r>
      <w:r>
        <w:rPr>
          <w:spacing w:val="-1"/>
        </w:rPr>
        <w:t> </w:t>
      </w:r>
      <w:r>
        <w:rPr/>
        <w:t>example,</w:t>
      </w:r>
      <w:r>
        <w:rPr>
          <w:spacing w:val="-4"/>
        </w:rPr>
        <w:t> </w:t>
      </w:r>
      <w:r>
        <w:rPr/>
        <w:t>Polonius</w:t>
      </w:r>
      <w:r>
        <w:rPr>
          <w:spacing w:val="-6"/>
        </w:rPr>
        <w:t> </w:t>
      </w:r>
      <w:r>
        <w:rPr/>
        <w:t>commands Ophelia,</w:t>
      </w:r>
      <w:r>
        <w:rPr>
          <w:spacing w:val="-9"/>
        </w:rPr>
        <w:t> </w:t>
      </w:r>
      <w:r>
        <w:rPr/>
        <w:t>“I</w:t>
      </w:r>
      <w:r>
        <w:rPr>
          <w:spacing w:val="-9"/>
        </w:rPr>
        <w:t> </w:t>
      </w:r>
      <w:r>
        <w:rPr/>
        <w:t>would</w:t>
      </w:r>
      <w:r>
        <w:rPr>
          <w:spacing w:val="-6"/>
        </w:rPr>
        <w:t> </w:t>
      </w:r>
      <w:r>
        <w:rPr/>
        <w:t>not,</w:t>
      </w:r>
      <w:r>
        <w:rPr>
          <w:spacing w:val="-9"/>
        </w:rPr>
        <w:t> </w:t>
      </w:r>
      <w:r>
        <w:rPr/>
        <w:t>in</w:t>
      </w:r>
      <w:r>
        <w:rPr>
          <w:spacing w:val="-9"/>
        </w:rPr>
        <w:t> </w:t>
      </w:r>
      <w:r>
        <w:rPr/>
        <w:t>plain</w:t>
      </w:r>
      <w:r>
        <w:rPr>
          <w:spacing w:val="-9"/>
        </w:rPr>
        <w:t> </w:t>
      </w:r>
      <w:r>
        <w:rPr/>
        <w:t>terms,</w:t>
      </w:r>
      <w:r>
        <w:rPr>
          <w:spacing w:val="-8"/>
        </w:rPr>
        <w:t> </w:t>
      </w:r>
      <w:r>
        <w:rPr/>
        <w:t>from</w:t>
      </w:r>
      <w:r>
        <w:rPr>
          <w:spacing w:val="-12"/>
        </w:rPr>
        <w:t> </w:t>
      </w:r>
      <w:r>
        <w:rPr/>
        <w:t>this</w:t>
      </w:r>
      <w:r>
        <w:rPr>
          <w:spacing w:val="-8"/>
        </w:rPr>
        <w:t> </w:t>
      </w:r>
      <w:r>
        <w:rPr/>
        <w:t>time</w:t>
      </w:r>
      <w:r>
        <w:rPr>
          <w:spacing w:val="-9"/>
        </w:rPr>
        <w:t> </w:t>
      </w:r>
      <w:r>
        <w:rPr/>
        <w:t>forth,</w:t>
      </w:r>
      <w:r>
        <w:rPr>
          <w:spacing w:val="-8"/>
        </w:rPr>
        <w:t> </w:t>
      </w:r>
      <w:r>
        <w:rPr/>
        <w:t>have you so slander any moment leisure as to give words or talk with</w:t>
      </w:r>
      <w:r>
        <w:rPr>
          <w:spacing w:val="-12"/>
        </w:rPr>
        <w:t> </w:t>
      </w:r>
      <w:r>
        <w:rPr/>
        <w:t>the</w:t>
      </w:r>
      <w:r>
        <w:rPr>
          <w:spacing w:val="-11"/>
        </w:rPr>
        <w:t> </w:t>
      </w:r>
      <w:r>
        <w:rPr/>
        <w:t>Lord</w:t>
      </w:r>
      <w:r>
        <w:rPr>
          <w:spacing w:val="-11"/>
        </w:rPr>
        <w:t> </w:t>
      </w:r>
      <w:r>
        <w:rPr/>
        <w:t>Hamlet”</w:t>
      </w:r>
      <w:r>
        <w:rPr>
          <w:spacing w:val="-12"/>
        </w:rPr>
        <w:t> </w:t>
      </w:r>
      <w:r>
        <w:rPr/>
        <w:t>(Act</w:t>
      </w:r>
      <w:r>
        <w:rPr>
          <w:spacing w:val="-11"/>
        </w:rPr>
        <w:t> </w:t>
      </w:r>
      <w:r>
        <w:rPr/>
        <w:t>1,</w:t>
      </w:r>
      <w:r>
        <w:rPr>
          <w:spacing w:val="-11"/>
        </w:rPr>
        <w:t> </w:t>
      </w:r>
      <w:r>
        <w:rPr/>
        <w:t>Scene</w:t>
      </w:r>
      <w:r>
        <w:rPr>
          <w:spacing w:val="-10"/>
        </w:rPr>
        <w:t> </w:t>
      </w:r>
      <w:r>
        <w:rPr/>
        <w:t>3),</w:t>
      </w:r>
      <w:r>
        <w:rPr>
          <w:spacing w:val="-11"/>
        </w:rPr>
        <w:t> </w:t>
      </w:r>
      <w:r>
        <w:rPr/>
        <w:t>silencing</w:t>
      </w:r>
      <w:r>
        <w:rPr>
          <w:spacing w:val="-12"/>
        </w:rPr>
        <w:t> </w:t>
      </w:r>
      <w:r>
        <w:rPr/>
        <w:t>her</w:t>
      </w:r>
      <w:r>
        <w:rPr>
          <w:spacing w:val="-9"/>
        </w:rPr>
        <w:t> </w:t>
      </w:r>
      <w:r>
        <w:rPr/>
        <w:t>voice</w:t>
      </w:r>
      <w:r>
        <w:rPr>
          <w:spacing w:val="-11"/>
        </w:rPr>
        <w:t> </w:t>
      </w:r>
      <w:r>
        <w:rPr/>
        <w:t>and autonomy.</w:t>
      </w:r>
      <w:r>
        <w:rPr>
          <w:spacing w:val="-6"/>
        </w:rPr>
        <w:t> </w:t>
      </w:r>
      <w:r>
        <w:rPr/>
        <w:t>Ophelia’s</w:t>
      </w:r>
      <w:r>
        <w:rPr>
          <w:spacing w:val="-7"/>
        </w:rPr>
        <w:t> </w:t>
      </w:r>
      <w:r>
        <w:rPr/>
        <w:t>tragic</w:t>
      </w:r>
      <w:r>
        <w:rPr>
          <w:spacing w:val="-5"/>
        </w:rPr>
        <w:t> </w:t>
      </w:r>
      <w:r>
        <w:rPr/>
        <w:t>fate</w:t>
      </w:r>
      <w:r>
        <w:rPr>
          <w:spacing w:val="-6"/>
        </w:rPr>
        <w:t> </w:t>
      </w:r>
      <w:r>
        <w:rPr/>
        <w:t>underscores</w:t>
      </w:r>
      <w:r>
        <w:rPr>
          <w:spacing w:val="-7"/>
        </w:rPr>
        <w:t> </w:t>
      </w:r>
      <w:r>
        <w:rPr/>
        <w:t>her</w:t>
      </w:r>
      <w:r>
        <w:rPr>
          <w:spacing w:val="-6"/>
        </w:rPr>
        <w:t> </w:t>
      </w:r>
      <w:r>
        <w:rPr/>
        <w:t>position</w:t>
      </w:r>
      <w:r>
        <w:rPr>
          <w:spacing w:val="-7"/>
        </w:rPr>
        <w:t> </w:t>
      </w:r>
      <w:r>
        <w:rPr/>
        <w:t>as</w:t>
      </w:r>
      <w:r>
        <w:rPr>
          <w:spacing w:val="-7"/>
        </w:rPr>
        <w:t> </w:t>
      </w:r>
      <w:r>
        <w:rPr/>
        <w:t>the “Other,” voiceless and vulnerable within the male-dominated power structures (Showalter, 1985).</w:t>
      </w:r>
    </w:p>
    <w:p>
      <w:pPr>
        <w:pStyle w:val="ListParagraph"/>
        <w:numPr>
          <w:ilvl w:val="2"/>
          <w:numId w:val="31"/>
        </w:numPr>
        <w:tabs>
          <w:tab w:pos="2160" w:val="left" w:leader="none"/>
        </w:tabs>
        <w:spacing w:line="261" w:lineRule="auto" w:before="53" w:after="0"/>
        <w:ind w:left="2160" w:right="1436" w:hanging="540"/>
        <w:jc w:val="both"/>
        <w:rPr>
          <w:sz w:val="20"/>
        </w:rPr>
      </w:pPr>
      <w:r>
        <w:rPr>
          <w:sz w:val="20"/>
        </w:rPr>
        <w:t>Desdemona (Othello): Desdemona’s loyalty and obedience to Othello</w:t>
      </w:r>
      <w:r>
        <w:rPr>
          <w:spacing w:val="-7"/>
          <w:sz w:val="20"/>
        </w:rPr>
        <w:t> </w:t>
      </w:r>
      <w:r>
        <w:rPr>
          <w:sz w:val="20"/>
        </w:rPr>
        <w:t>initially</w:t>
      </w:r>
      <w:r>
        <w:rPr>
          <w:spacing w:val="-12"/>
          <w:sz w:val="20"/>
        </w:rPr>
        <w:t> </w:t>
      </w:r>
      <w:r>
        <w:rPr>
          <w:sz w:val="20"/>
        </w:rPr>
        <w:t>position</w:t>
      </w:r>
      <w:r>
        <w:rPr>
          <w:spacing w:val="-9"/>
          <w:sz w:val="20"/>
        </w:rPr>
        <w:t> </w:t>
      </w:r>
      <w:r>
        <w:rPr>
          <w:sz w:val="20"/>
        </w:rPr>
        <w:t>her</w:t>
      </w:r>
      <w:r>
        <w:rPr>
          <w:spacing w:val="-9"/>
          <w:sz w:val="20"/>
        </w:rPr>
        <w:t> </w:t>
      </w:r>
      <w:r>
        <w:rPr>
          <w:sz w:val="20"/>
        </w:rPr>
        <w:t>within</w:t>
      </w:r>
      <w:r>
        <w:rPr>
          <w:spacing w:val="-9"/>
          <w:sz w:val="20"/>
        </w:rPr>
        <w:t> </w:t>
      </w:r>
      <w:r>
        <w:rPr>
          <w:sz w:val="20"/>
        </w:rPr>
        <w:t>the</w:t>
      </w:r>
      <w:r>
        <w:rPr>
          <w:spacing w:val="-9"/>
          <w:sz w:val="20"/>
        </w:rPr>
        <w:t> </w:t>
      </w:r>
      <w:r>
        <w:rPr>
          <w:sz w:val="20"/>
        </w:rPr>
        <w:t>idealized</w:t>
      </w:r>
      <w:r>
        <w:rPr>
          <w:spacing w:val="-7"/>
          <w:sz w:val="20"/>
        </w:rPr>
        <w:t> </w:t>
      </w:r>
      <w:r>
        <w:rPr>
          <w:sz w:val="20"/>
        </w:rPr>
        <w:t>feminine</w:t>
      </w:r>
      <w:r>
        <w:rPr>
          <w:spacing w:val="-9"/>
          <w:sz w:val="20"/>
        </w:rPr>
        <w:t> </w:t>
      </w:r>
      <w:r>
        <w:rPr>
          <w:sz w:val="20"/>
        </w:rPr>
        <w:t>role, yet</w:t>
      </w:r>
      <w:r>
        <w:rPr>
          <w:spacing w:val="-10"/>
          <w:sz w:val="20"/>
        </w:rPr>
        <w:t> </w:t>
      </w:r>
      <w:r>
        <w:rPr>
          <w:sz w:val="20"/>
        </w:rPr>
        <w:t>her</w:t>
      </w:r>
      <w:r>
        <w:rPr>
          <w:spacing w:val="-10"/>
          <w:sz w:val="20"/>
        </w:rPr>
        <w:t> </w:t>
      </w:r>
      <w:r>
        <w:rPr>
          <w:sz w:val="20"/>
        </w:rPr>
        <w:t>assertiveness</w:t>
      </w:r>
      <w:r>
        <w:rPr>
          <w:spacing w:val="-10"/>
          <w:sz w:val="20"/>
        </w:rPr>
        <w:t> </w:t>
      </w:r>
      <w:r>
        <w:rPr>
          <w:sz w:val="20"/>
        </w:rPr>
        <w:t>in</w:t>
      </w:r>
      <w:r>
        <w:rPr>
          <w:spacing w:val="-10"/>
          <w:sz w:val="20"/>
        </w:rPr>
        <w:t> </w:t>
      </w:r>
      <w:r>
        <w:rPr>
          <w:sz w:val="20"/>
        </w:rPr>
        <w:t>choosing</w:t>
      </w:r>
      <w:r>
        <w:rPr>
          <w:spacing w:val="-11"/>
          <w:sz w:val="20"/>
        </w:rPr>
        <w:t> </w:t>
      </w:r>
      <w:r>
        <w:rPr>
          <w:sz w:val="20"/>
        </w:rPr>
        <w:t>Othello</w:t>
      </w:r>
      <w:r>
        <w:rPr>
          <w:spacing w:val="-10"/>
          <w:sz w:val="20"/>
        </w:rPr>
        <w:t> </w:t>
      </w:r>
      <w:r>
        <w:rPr>
          <w:sz w:val="20"/>
        </w:rPr>
        <w:t>challenges</w:t>
      </w:r>
      <w:r>
        <w:rPr>
          <w:spacing w:val="-10"/>
          <w:sz w:val="20"/>
        </w:rPr>
        <w:t> </w:t>
      </w:r>
      <w:r>
        <w:rPr>
          <w:sz w:val="20"/>
        </w:rPr>
        <w:t>patriarchal expectations. Despite this, her ultimate fate—being murdered by Othello—reveals the violent control exerted over women who transgress the prescribed boundaries. Desdemona’s repeated assertions of fidelity and innocence, such as “I am hitherto your daughter. However, here’s my husband” (Act 1, Scene 3), highlights the tension between female agency and patriarchal ownership (Loomba, 1989).</w:t>
      </w:r>
    </w:p>
    <w:p>
      <w:pPr>
        <w:pStyle w:val="ListParagraph"/>
        <w:numPr>
          <w:ilvl w:val="2"/>
          <w:numId w:val="31"/>
        </w:numPr>
        <w:tabs>
          <w:tab w:pos="2160" w:val="left" w:leader="none"/>
        </w:tabs>
        <w:spacing w:line="261" w:lineRule="auto" w:before="51" w:after="0"/>
        <w:ind w:left="2160" w:right="1437" w:hanging="540"/>
        <w:jc w:val="both"/>
        <w:rPr>
          <w:sz w:val="20"/>
        </w:rPr>
      </w:pPr>
      <w:r>
        <w:rPr>
          <w:spacing w:val="-2"/>
          <w:sz w:val="20"/>
        </w:rPr>
        <w:t>Cordelia</w:t>
      </w:r>
      <w:r>
        <w:rPr>
          <w:spacing w:val="-11"/>
          <w:sz w:val="20"/>
        </w:rPr>
        <w:t> </w:t>
      </w:r>
      <w:r>
        <w:rPr>
          <w:spacing w:val="-2"/>
          <w:sz w:val="20"/>
        </w:rPr>
        <w:t>(King</w:t>
      </w:r>
      <w:r>
        <w:rPr>
          <w:spacing w:val="-10"/>
          <w:sz w:val="20"/>
        </w:rPr>
        <w:t> </w:t>
      </w:r>
      <w:r>
        <w:rPr>
          <w:spacing w:val="-2"/>
          <w:sz w:val="20"/>
        </w:rPr>
        <w:t>Lear):</w:t>
      </w:r>
      <w:r>
        <w:rPr>
          <w:spacing w:val="-11"/>
          <w:sz w:val="20"/>
        </w:rPr>
        <w:t> </w:t>
      </w:r>
      <w:r>
        <w:rPr>
          <w:spacing w:val="-2"/>
          <w:sz w:val="20"/>
        </w:rPr>
        <w:t>Cordelia’s</w:t>
      </w:r>
      <w:r>
        <w:rPr>
          <w:spacing w:val="-10"/>
          <w:sz w:val="20"/>
        </w:rPr>
        <w:t> </w:t>
      </w:r>
      <w:r>
        <w:rPr>
          <w:spacing w:val="-2"/>
          <w:sz w:val="20"/>
        </w:rPr>
        <w:t>refusal</w:t>
      </w:r>
      <w:r>
        <w:rPr>
          <w:spacing w:val="-8"/>
          <w:sz w:val="20"/>
        </w:rPr>
        <w:t> </w:t>
      </w:r>
      <w:r>
        <w:rPr>
          <w:spacing w:val="-2"/>
          <w:sz w:val="20"/>
        </w:rPr>
        <w:t>to</w:t>
      </w:r>
      <w:r>
        <w:rPr>
          <w:spacing w:val="-9"/>
          <w:sz w:val="20"/>
        </w:rPr>
        <w:t> </w:t>
      </w:r>
      <w:r>
        <w:rPr>
          <w:spacing w:val="-2"/>
          <w:sz w:val="20"/>
        </w:rPr>
        <w:t>flatter</w:t>
      </w:r>
      <w:r>
        <w:rPr>
          <w:spacing w:val="-11"/>
          <w:sz w:val="20"/>
        </w:rPr>
        <w:t> </w:t>
      </w:r>
      <w:r>
        <w:rPr>
          <w:spacing w:val="-2"/>
          <w:sz w:val="20"/>
        </w:rPr>
        <w:t>Lear</w:t>
      </w:r>
      <w:r>
        <w:rPr>
          <w:spacing w:val="-6"/>
          <w:sz w:val="20"/>
        </w:rPr>
        <w:t> </w:t>
      </w:r>
      <w:r>
        <w:rPr>
          <w:spacing w:val="-2"/>
          <w:sz w:val="20"/>
        </w:rPr>
        <w:t>with</w:t>
      </w:r>
      <w:r>
        <w:rPr>
          <w:spacing w:val="-11"/>
          <w:sz w:val="20"/>
        </w:rPr>
        <w:t> </w:t>
      </w:r>
      <w:r>
        <w:rPr>
          <w:spacing w:val="-2"/>
          <w:sz w:val="20"/>
        </w:rPr>
        <w:t>false </w:t>
      </w:r>
      <w:r>
        <w:rPr>
          <w:sz w:val="20"/>
        </w:rPr>
        <w:t>declarations</w:t>
      </w:r>
      <w:r>
        <w:rPr>
          <w:spacing w:val="-2"/>
          <w:sz w:val="20"/>
        </w:rPr>
        <w:t> </w:t>
      </w:r>
      <w:r>
        <w:rPr>
          <w:sz w:val="20"/>
        </w:rPr>
        <w:t>of</w:t>
      </w:r>
      <w:r>
        <w:rPr>
          <w:spacing w:val="-1"/>
          <w:sz w:val="20"/>
        </w:rPr>
        <w:t> </w:t>
      </w:r>
      <w:r>
        <w:rPr>
          <w:sz w:val="20"/>
        </w:rPr>
        <w:t>love is</w:t>
      </w:r>
      <w:r>
        <w:rPr>
          <w:spacing w:val="-1"/>
          <w:sz w:val="20"/>
        </w:rPr>
        <w:t> </w:t>
      </w:r>
      <w:r>
        <w:rPr>
          <w:sz w:val="20"/>
        </w:rPr>
        <w:t>a form</w:t>
      </w:r>
      <w:r>
        <w:rPr>
          <w:spacing w:val="-2"/>
          <w:sz w:val="20"/>
        </w:rPr>
        <w:t> </w:t>
      </w:r>
      <w:r>
        <w:rPr>
          <w:sz w:val="20"/>
        </w:rPr>
        <w:t>of</w:t>
      </w:r>
      <w:r>
        <w:rPr>
          <w:spacing w:val="-2"/>
          <w:sz w:val="20"/>
        </w:rPr>
        <w:t> </w:t>
      </w:r>
      <w:r>
        <w:rPr>
          <w:sz w:val="20"/>
        </w:rPr>
        <w:t>moral and</w:t>
      </w:r>
      <w:r>
        <w:rPr>
          <w:spacing w:val="-1"/>
          <w:sz w:val="20"/>
        </w:rPr>
        <w:t> </w:t>
      </w:r>
      <w:r>
        <w:rPr>
          <w:sz w:val="20"/>
        </w:rPr>
        <w:t>feminist resistance. Her silence and honesty contrast with the performative obedience expected of daughters, positioning her as an ethical “Other.” When Lear disowns her for this refusal, it marks the punitive marginalization of women who resist patriarchal </w:t>
      </w:r>
      <w:r>
        <w:rPr>
          <w:spacing w:val="-4"/>
          <w:sz w:val="20"/>
        </w:rPr>
        <w:t>demands:</w:t>
      </w:r>
      <w:r>
        <w:rPr>
          <w:spacing w:val="-8"/>
          <w:sz w:val="20"/>
        </w:rPr>
        <w:t> </w:t>
      </w:r>
      <w:r>
        <w:rPr>
          <w:spacing w:val="-4"/>
          <w:sz w:val="20"/>
        </w:rPr>
        <w:t>“Nothing, my</w:t>
      </w:r>
      <w:r>
        <w:rPr>
          <w:spacing w:val="-9"/>
          <w:sz w:val="20"/>
        </w:rPr>
        <w:t> </w:t>
      </w:r>
      <w:r>
        <w:rPr>
          <w:spacing w:val="-4"/>
          <w:sz w:val="20"/>
        </w:rPr>
        <w:t>lord” (Act 1, Scene</w:t>
      </w:r>
      <w:r>
        <w:rPr>
          <w:spacing w:val="-7"/>
          <w:sz w:val="20"/>
        </w:rPr>
        <w:t> </w:t>
      </w:r>
      <w:r>
        <w:rPr>
          <w:spacing w:val="-4"/>
          <w:sz w:val="20"/>
        </w:rPr>
        <w:t>1). Cordelia’s silence </w:t>
      </w:r>
      <w:r>
        <w:rPr>
          <w:sz w:val="20"/>
        </w:rPr>
        <w:t>here</w:t>
      </w:r>
      <w:r>
        <w:rPr>
          <w:spacing w:val="-2"/>
          <w:sz w:val="20"/>
        </w:rPr>
        <w:t> </w:t>
      </w:r>
      <w:r>
        <w:rPr>
          <w:sz w:val="20"/>
        </w:rPr>
        <w:t>is not</w:t>
      </w:r>
      <w:r>
        <w:rPr>
          <w:spacing w:val="-1"/>
          <w:sz w:val="20"/>
        </w:rPr>
        <w:t> </w:t>
      </w:r>
      <w:r>
        <w:rPr>
          <w:sz w:val="20"/>
        </w:rPr>
        <w:t>submission</w:t>
      </w:r>
      <w:r>
        <w:rPr>
          <w:spacing w:val="-1"/>
          <w:sz w:val="20"/>
        </w:rPr>
        <w:t> </w:t>
      </w:r>
      <w:r>
        <w:rPr>
          <w:sz w:val="20"/>
        </w:rPr>
        <w:t>but</w:t>
      </w:r>
      <w:r>
        <w:rPr>
          <w:spacing w:val="-2"/>
          <w:sz w:val="20"/>
        </w:rPr>
        <w:t> </w:t>
      </w:r>
      <w:r>
        <w:rPr>
          <w:sz w:val="20"/>
        </w:rPr>
        <w:t>a powerful</w:t>
      </w:r>
      <w:r>
        <w:rPr>
          <w:spacing w:val="-1"/>
          <w:sz w:val="20"/>
        </w:rPr>
        <w:t> </w:t>
      </w:r>
      <w:r>
        <w:rPr>
          <w:sz w:val="20"/>
        </w:rPr>
        <w:t>assertion</w:t>
      </w:r>
      <w:r>
        <w:rPr>
          <w:spacing w:val="-1"/>
          <w:sz w:val="20"/>
        </w:rPr>
        <w:t> </w:t>
      </w:r>
      <w:r>
        <w:rPr>
          <w:sz w:val="20"/>
        </w:rPr>
        <w:t>of</w:t>
      </w:r>
      <w:r>
        <w:rPr>
          <w:spacing w:val="-3"/>
          <w:sz w:val="20"/>
        </w:rPr>
        <w:t> </w:t>
      </w:r>
      <w:r>
        <w:rPr>
          <w:sz w:val="20"/>
        </w:rPr>
        <w:t>her integrity (French,</w:t>
      </w:r>
      <w:r>
        <w:rPr>
          <w:spacing w:val="-15"/>
          <w:sz w:val="20"/>
        </w:rPr>
        <w:t> </w:t>
      </w:r>
      <w:r>
        <w:rPr>
          <w:sz w:val="20"/>
        </w:rPr>
        <w:t>1981).</w:t>
      </w:r>
    </w:p>
    <w:p>
      <w:pPr>
        <w:pStyle w:val="ListParagraph"/>
        <w:numPr>
          <w:ilvl w:val="2"/>
          <w:numId w:val="31"/>
        </w:numPr>
        <w:tabs>
          <w:tab w:pos="2160" w:val="left" w:leader="none"/>
        </w:tabs>
        <w:spacing w:line="261" w:lineRule="auto" w:before="53" w:after="0"/>
        <w:ind w:left="2160" w:right="1438" w:hanging="540"/>
        <w:jc w:val="both"/>
        <w:rPr>
          <w:sz w:val="20"/>
        </w:rPr>
      </w:pPr>
      <w:r>
        <w:rPr>
          <w:sz w:val="20"/>
        </w:rPr>
        <w:t>Lady Macbeth (Macbeth): Lady Macbeth subverts traditional gender roles through her ambition and invocation of spirits to “unsex me here” (Act 1, Scene 5), seeking to shed feminine weakness and assume masculine power. Shakespeare portrays her power as both formidable and destabilizing, provoking anxieties about female independence. Her eventual descent into madness and death reflects the tragic consequences of transgressing gender norms and the patriarchal framing of female</w:t>
      </w:r>
      <w:r>
        <w:rPr>
          <w:spacing w:val="-9"/>
          <w:sz w:val="20"/>
        </w:rPr>
        <w:t> </w:t>
      </w:r>
      <w:r>
        <w:rPr>
          <w:sz w:val="20"/>
        </w:rPr>
        <w:t>ambition</w:t>
      </w:r>
      <w:r>
        <w:rPr>
          <w:spacing w:val="-9"/>
          <w:sz w:val="20"/>
        </w:rPr>
        <w:t> </w:t>
      </w:r>
      <w:r>
        <w:rPr>
          <w:sz w:val="20"/>
        </w:rPr>
        <w:t>as</w:t>
      </w:r>
      <w:r>
        <w:rPr>
          <w:spacing w:val="-10"/>
          <w:sz w:val="20"/>
        </w:rPr>
        <w:t> </w:t>
      </w:r>
      <w:r>
        <w:rPr>
          <w:sz w:val="20"/>
        </w:rPr>
        <w:t>unnatural</w:t>
      </w:r>
      <w:r>
        <w:rPr>
          <w:spacing w:val="-9"/>
          <w:sz w:val="20"/>
        </w:rPr>
        <w:t> </w:t>
      </w:r>
      <w:r>
        <w:rPr>
          <w:sz w:val="20"/>
        </w:rPr>
        <w:t>and</w:t>
      </w:r>
      <w:r>
        <w:rPr>
          <w:spacing w:val="-7"/>
          <w:sz w:val="20"/>
        </w:rPr>
        <w:t> </w:t>
      </w:r>
      <w:r>
        <w:rPr>
          <w:sz w:val="20"/>
        </w:rPr>
        <w:t>destructive</w:t>
      </w:r>
      <w:r>
        <w:rPr>
          <w:spacing w:val="-8"/>
          <w:sz w:val="20"/>
        </w:rPr>
        <w:t> </w:t>
      </w:r>
      <w:r>
        <w:rPr>
          <w:sz w:val="20"/>
        </w:rPr>
        <w:t>(Adelman,</w:t>
      </w:r>
      <w:r>
        <w:rPr>
          <w:spacing w:val="-9"/>
          <w:sz w:val="20"/>
        </w:rPr>
        <w:t> </w:t>
      </w:r>
      <w:r>
        <w:rPr>
          <w:sz w:val="20"/>
        </w:rPr>
        <w:t>1992).</w:t>
      </w:r>
    </w:p>
    <w:p>
      <w:pPr>
        <w:pStyle w:val="BodyText"/>
        <w:spacing w:line="249" w:lineRule="auto" w:before="46"/>
        <w:ind w:right="1438" w:firstLine="432"/>
        <w:jc w:val="both"/>
      </w:pPr>
      <w:r>
        <w:rPr/>
        <w:t>These close readings demonstrate how Shakespeare’s female characters embody various facets of “otherness” as defined by Simone de</w:t>
      </w:r>
      <w:r>
        <w:rPr>
          <w:spacing w:val="15"/>
        </w:rPr>
        <w:t> </w:t>
      </w:r>
      <w:r>
        <w:rPr/>
        <w:t>Beauvoir.</w:t>
      </w:r>
      <w:r>
        <w:rPr>
          <w:spacing w:val="17"/>
        </w:rPr>
        <w:t> </w:t>
      </w:r>
      <w:r>
        <w:rPr/>
        <w:t>They</w:t>
      </w:r>
      <w:r>
        <w:rPr>
          <w:spacing w:val="12"/>
        </w:rPr>
        <w:t> </w:t>
      </w:r>
      <w:r>
        <w:rPr/>
        <w:t>navigate</w:t>
      </w:r>
      <w:r>
        <w:rPr>
          <w:spacing w:val="19"/>
        </w:rPr>
        <w:t> </w:t>
      </w:r>
      <w:r>
        <w:rPr/>
        <w:t>patriarchal</w:t>
      </w:r>
      <w:r>
        <w:rPr>
          <w:spacing w:val="15"/>
        </w:rPr>
        <w:t> </w:t>
      </w:r>
      <w:r>
        <w:rPr/>
        <w:t>constraints</w:t>
      </w:r>
      <w:r>
        <w:rPr>
          <w:spacing w:val="17"/>
        </w:rPr>
        <w:t> </w:t>
      </w:r>
      <w:r>
        <w:rPr/>
        <w:t>through</w:t>
      </w:r>
      <w:r>
        <w:rPr>
          <w:spacing w:val="15"/>
        </w:rPr>
        <w:t> </w:t>
      </w:r>
      <w:r>
        <w:rPr>
          <w:spacing w:val="-2"/>
        </w:rPr>
        <w:t>obedience,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18400">
                <wp:simplePos x="0" y="0"/>
                <wp:positionH relativeFrom="page">
                  <wp:posOffset>2057400</wp:posOffset>
                </wp:positionH>
                <wp:positionV relativeFrom="paragraph">
                  <wp:posOffset>162604</wp:posOffset>
                </wp:positionV>
                <wp:extent cx="3657600" cy="12700"/>
                <wp:effectExtent l="0" t="0" r="0" b="0"/>
                <wp:wrapTopAndBottom/>
                <wp:docPr id="396" name="Graphic 396"/>
                <wp:cNvGraphicFramePr>
                  <a:graphicFrameLocks/>
                </wp:cNvGraphicFramePr>
                <a:graphic>
                  <a:graphicData uri="http://schemas.microsoft.com/office/word/2010/wordprocessingShape">
                    <wps:wsp>
                      <wps:cNvPr id="396" name="Graphic 39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98080;mso-wrap-distance-left:0;mso-wrap-distance-right:0" id="docshape391" filled="true" fillcolor="#000000" stroked="false">
                <v:fill type="solid"/>
                <w10:wrap type="topAndBottom"/>
              </v:rect>
            </w:pict>
          </mc:Fallback>
        </mc:AlternateContent>
      </w:r>
      <w:r>
        <w:rPr>
          <w:rFonts w:ascii="Verdana"/>
          <w:spacing w:val="-5"/>
          <w:sz w:val="18"/>
        </w:rPr>
        <w:t>158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silence, resistance, or transgression, revealing the complex interplay between</w:t>
      </w:r>
      <w:r>
        <w:rPr>
          <w:spacing w:val="-5"/>
        </w:rPr>
        <w:t> </w:t>
      </w:r>
      <w:r>
        <w:rPr/>
        <w:t>power and</w:t>
      </w:r>
      <w:r>
        <w:rPr>
          <w:spacing w:val="-1"/>
        </w:rPr>
        <w:t> </w:t>
      </w:r>
      <w:r>
        <w:rPr/>
        <w:t>marginalisation</w:t>
      </w:r>
      <w:r>
        <w:rPr>
          <w:spacing w:val="-3"/>
        </w:rPr>
        <w:t> </w:t>
      </w:r>
      <w:r>
        <w:rPr/>
        <w:t>that</w:t>
      </w:r>
      <w:r>
        <w:rPr>
          <w:spacing w:val="-4"/>
        </w:rPr>
        <w:t> </w:t>
      </w:r>
      <w:r>
        <w:rPr/>
        <w:t>continues</w:t>
      </w:r>
      <w:r>
        <w:rPr>
          <w:spacing w:val="-1"/>
        </w:rPr>
        <w:t> </w:t>
      </w:r>
      <w:r>
        <w:rPr/>
        <w:t>to</w:t>
      </w:r>
      <w:r>
        <w:rPr>
          <w:spacing w:val="-1"/>
        </w:rPr>
        <w:t> </w:t>
      </w:r>
      <w:r>
        <w:rPr/>
        <w:t>resonate in</w:t>
      </w:r>
      <w:r>
        <w:rPr>
          <w:spacing w:val="-5"/>
        </w:rPr>
        <w:t> </w:t>
      </w:r>
      <w:r>
        <w:rPr/>
        <w:t>gender </w:t>
      </w:r>
      <w:r>
        <w:rPr>
          <w:spacing w:val="-2"/>
        </w:rPr>
        <w:t>discourse.</w:t>
      </w:r>
    </w:p>
    <w:p>
      <w:pPr>
        <w:pStyle w:val="Heading3"/>
        <w:numPr>
          <w:ilvl w:val="0"/>
          <w:numId w:val="31"/>
        </w:numPr>
        <w:tabs>
          <w:tab w:pos="1699" w:val="left" w:leader="none"/>
        </w:tabs>
        <w:spacing w:line="240" w:lineRule="auto" w:before="156" w:after="0"/>
        <w:ind w:left="1699" w:right="0" w:hanging="259"/>
        <w:jc w:val="left"/>
      </w:pPr>
      <w:r>
        <w:rPr>
          <w:w w:val="85"/>
        </w:rPr>
        <w:t>THEORETICAL</w:t>
      </w:r>
      <w:r>
        <w:rPr>
          <w:spacing w:val="27"/>
        </w:rPr>
        <w:t> </w:t>
      </w:r>
      <w:r>
        <w:rPr>
          <w:spacing w:val="-2"/>
        </w:rPr>
        <w:t>FRAMEWORK</w:t>
      </w:r>
    </w:p>
    <w:p>
      <w:pPr>
        <w:pStyle w:val="BodyText"/>
        <w:spacing w:line="249" w:lineRule="auto" w:before="75"/>
        <w:ind w:right="1440" w:firstLine="432"/>
        <w:jc w:val="both"/>
      </w:pPr>
      <w:r>
        <w:rPr/>
        <w:t>Feminist</w:t>
      </w:r>
      <w:r>
        <w:rPr>
          <w:spacing w:val="-3"/>
        </w:rPr>
        <w:t> </w:t>
      </w:r>
      <w:r>
        <w:rPr/>
        <w:t>literary</w:t>
      </w:r>
      <w:r>
        <w:rPr>
          <w:spacing w:val="-9"/>
        </w:rPr>
        <w:t> </w:t>
      </w:r>
      <w:r>
        <w:rPr/>
        <w:t>criticism</w:t>
      </w:r>
      <w:r>
        <w:rPr>
          <w:spacing w:val="-4"/>
        </w:rPr>
        <w:t> </w:t>
      </w:r>
      <w:r>
        <w:rPr/>
        <w:t>provides</w:t>
      </w:r>
      <w:r>
        <w:rPr>
          <w:spacing w:val="-5"/>
        </w:rPr>
        <w:t> </w:t>
      </w:r>
      <w:r>
        <w:rPr/>
        <w:t>a</w:t>
      </w:r>
      <w:r>
        <w:rPr>
          <w:spacing w:val="-4"/>
        </w:rPr>
        <w:t> </w:t>
      </w:r>
      <w:r>
        <w:rPr/>
        <w:t>critical</w:t>
      </w:r>
      <w:r>
        <w:rPr>
          <w:spacing w:val="-4"/>
        </w:rPr>
        <w:t> </w:t>
      </w:r>
      <w:r>
        <w:rPr/>
        <w:t>approach</w:t>
      </w:r>
      <w:r>
        <w:rPr>
          <w:spacing w:val="-3"/>
        </w:rPr>
        <w:t> </w:t>
      </w:r>
      <w:r>
        <w:rPr/>
        <w:t>to</w:t>
      </w:r>
      <w:r>
        <w:rPr>
          <w:spacing w:val="-3"/>
        </w:rPr>
        <w:t> </w:t>
      </w:r>
      <w:r>
        <w:rPr/>
        <w:t>literature analysis by examining how texts reflect, reinforce, or challenge gender roles,</w:t>
      </w:r>
      <w:r>
        <w:rPr>
          <w:spacing w:val="-5"/>
        </w:rPr>
        <w:t> </w:t>
      </w:r>
      <w:r>
        <w:rPr/>
        <w:t>power</w:t>
      </w:r>
      <w:r>
        <w:rPr>
          <w:spacing w:val="-4"/>
        </w:rPr>
        <w:t> </w:t>
      </w:r>
      <w:r>
        <w:rPr/>
        <w:t>relations,</w:t>
      </w:r>
      <w:r>
        <w:rPr>
          <w:spacing w:val="-4"/>
        </w:rPr>
        <w:t> </w:t>
      </w:r>
      <w:r>
        <w:rPr/>
        <w:t>and</w:t>
      </w:r>
      <w:r>
        <w:rPr>
          <w:spacing w:val="-2"/>
        </w:rPr>
        <w:t> </w:t>
      </w:r>
      <w:r>
        <w:rPr/>
        <w:t>social</w:t>
      </w:r>
      <w:r>
        <w:rPr>
          <w:spacing w:val="-7"/>
        </w:rPr>
        <w:t> </w:t>
      </w:r>
      <w:r>
        <w:rPr/>
        <w:t>hierarchies.</w:t>
      </w:r>
      <w:r>
        <w:rPr>
          <w:spacing w:val="-4"/>
        </w:rPr>
        <w:t> </w:t>
      </w:r>
      <w:r>
        <w:rPr/>
        <w:t>Central</w:t>
      </w:r>
      <w:r>
        <w:rPr>
          <w:spacing w:val="-5"/>
        </w:rPr>
        <w:t> </w:t>
      </w:r>
      <w:r>
        <w:rPr/>
        <w:t>to</w:t>
      </w:r>
      <w:r>
        <w:rPr>
          <w:spacing w:val="-2"/>
        </w:rPr>
        <w:t> </w:t>
      </w:r>
      <w:r>
        <w:rPr/>
        <w:t>this</w:t>
      </w:r>
      <w:r>
        <w:rPr>
          <w:spacing w:val="-5"/>
        </w:rPr>
        <w:t> </w:t>
      </w:r>
      <w:r>
        <w:rPr/>
        <w:t>perspective is the concept of “otherness,” which addresses how women have historically</w:t>
      </w:r>
      <w:r>
        <w:rPr>
          <w:spacing w:val="-2"/>
        </w:rPr>
        <w:t> </w:t>
      </w:r>
      <w:r>
        <w:rPr/>
        <w:t>been positioned as the subordinate or marginalized “Other” in</w:t>
      </w:r>
      <w:r>
        <w:rPr>
          <w:spacing w:val="-13"/>
        </w:rPr>
        <w:t> </w:t>
      </w:r>
      <w:r>
        <w:rPr/>
        <w:t>relation</w:t>
      </w:r>
      <w:r>
        <w:rPr>
          <w:spacing w:val="-12"/>
        </w:rPr>
        <w:t> </w:t>
      </w:r>
      <w:r>
        <w:rPr/>
        <w:t>to</w:t>
      </w:r>
      <w:r>
        <w:rPr>
          <w:spacing w:val="-13"/>
        </w:rPr>
        <w:t> </w:t>
      </w:r>
      <w:r>
        <w:rPr/>
        <w:t>the</w:t>
      </w:r>
      <w:r>
        <w:rPr>
          <w:spacing w:val="-12"/>
        </w:rPr>
        <w:t> </w:t>
      </w:r>
      <w:r>
        <w:rPr/>
        <w:t>male</w:t>
      </w:r>
      <w:r>
        <w:rPr>
          <w:spacing w:val="-13"/>
        </w:rPr>
        <w:t> </w:t>
      </w:r>
      <w:r>
        <w:rPr/>
        <w:t>“Self.”</w:t>
      </w:r>
      <w:r>
        <w:rPr>
          <w:spacing w:val="-12"/>
        </w:rPr>
        <w:t> </w:t>
      </w:r>
      <w:r>
        <w:rPr/>
        <w:t>This</w:t>
      </w:r>
      <w:r>
        <w:rPr>
          <w:spacing w:val="-13"/>
        </w:rPr>
        <w:t> </w:t>
      </w:r>
      <w:r>
        <w:rPr/>
        <w:t>framework</w:t>
      </w:r>
      <w:r>
        <w:rPr>
          <w:spacing w:val="-12"/>
        </w:rPr>
        <w:t> </w:t>
      </w:r>
      <w:r>
        <w:rPr/>
        <w:t>interrogates</w:t>
      </w:r>
      <w:r>
        <w:rPr>
          <w:spacing w:val="-13"/>
        </w:rPr>
        <w:t> </w:t>
      </w:r>
      <w:r>
        <w:rPr/>
        <w:t>how</w:t>
      </w:r>
      <w:r>
        <w:rPr>
          <w:spacing w:val="-12"/>
        </w:rPr>
        <w:t> </w:t>
      </w:r>
      <w:r>
        <w:rPr/>
        <w:t>literature </w:t>
      </w:r>
      <w:r>
        <w:rPr>
          <w:spacing w:val="-2"/>
        </w:rPr>
        <w:t>constructs gendered identities and power dynamics, revealing underlying </w:t>
      </w:r>
      <w:r>
        <w:rPr/>
        <w:t>patriarchal ideologies (Moi, 1985).</w:t>
      </w:r>
    </w:p>
    <w:p>
      <w:pPr>
        <w:pStyle w:val="BodyText"/>
        <w:spacing w:line="249" w:lineRule="auto" w:before="65"/>
        <w:ind w:right="1437" w:firstLine="432"/>
        <w:jc w:val="both"/>
      </w:pPr>
      <w:r>
        <w:rPr/>
        <w:t>Simone</w:t>
      </w:r>
      <w:r>
        <w:rPr>
          <w:spacing w:val="-4"/>
        </w:rPr>
        <w:t> </w:t>
      </w:r>
      <w:r>
        <w:rPr/>
        <w:t>de</w:t>
      </w:r>
      <w:r>
        <w:rPr>
          <w:spacing w:val="-3"/>
        </w:rPr>
        <w:t> </w:t>
      </w:r>
      <w:r>
        <w:rPr/>
        <w:t>Beauvoir’s</w:t>
      </w:r>
      <w:r>
        <w:rPr>
          <w:spacing w:val="-7"/>
        </w:rPr>
        <w:t> </w:t>
      </w:r>
      <w:r>
        <w:rPr/>
        <w:t>theory</w:t>
      </w:r>
      <w:r>
        <w:rPr>
          <w:spacing w:val="-7"/>
        </w:rPr>
        <w:t> </w:t>
      </w:r>
      <w:r>
        <w:rPr/>
        <w:t>of</w:t>
      </w:r>
      <w:r>
        <w:rPr>
          <w:spacing w:val="-5"/>
        </w:rPr>
        <w:t> </w:t>
      </w:r>
      <w:r>
        <w:rPr/>
        <w:t>women</w:t>
      </w:r>
      <w:r>
        <w:rPr>
          <w:spacing w:val="-5"/>
        </w:rPr>
        <w:t> </w:t>
      </w:r>
      <w:r>
        <w:rPr/>
        <w:t>as</w:t>
      </w:r>
      <w:r>
        <w:rPr>
          <w:spacing w:val="-7"/>
        </w:rPr>
        <w:t> </w:t>
      </w:r>
      <w:r>
        <w:rPr/>
        <w:t>the</w:t>
      </w:r>
      <w:r>
        <w:rPr>
          <w:spacing w:val="-4"/>
        </w:rPr>
        <w:t> </w:t>
      </w:r>
      <w:r>
        <w:rPr/>
        <w:t>“Other,”</w:t>
      </w:r>
      <w:r>
        <w:rPr>
          <w:spacing w:val="-3"/>
        </w:rPr>
        <w:t> </w:t>
      </w:r>
      <w:r>
        <w:rPr/>
        <w:t>articulated </w:t>
      </w:r>
      <w:r>
        <w:rPr>
          <w:spacing w:val="-2"/>
        </w:rPr>
        <w:t>in</w:t>
      </w:r>
      <w:r>
        <w:rPr>
          <w:spacing w:val="-11"/>
        </w:rPr>
        <w:t> </w:t>
      </w:r>
      <w:r>
        <w:rPr>
          <w:spacing w:val="-2"/>
        </w:rPr>
        <w:t>The</w:t>
      </w:r>
      <w:r>
        <w:rPr>
          <w:spacing w:val="-10"/>
        </w:rPr>
        <w:t> </w:t>
      </w:r>
      <w:r>
        <w:rPr>
          <w:spacing w:val="-2"/>
        </w:rPr>
        <w:t>Second</w:t>
      </w:r>
      <w:r>
        <w:rPr>
          <w:spacing w:val="-11"/>
        </w:rPr>
        <w:t> </w:t>
      </w:r>
      <w:r>
        <w:rPr>
          <w:spacing w:val="-2"/>
        </w:rPr>
        <w:t>Sex</w:t>
      </w:r>
      <w:r>
        <w:rPr>
          <w:spacing w:val="-10"/>
        </w:rPr>
        <w:t> </w:t>
      </w:r>
      <w:r>
        <w:rPr>
          <w:spacing w:val="-2"/>
        </w:rPr>
        <w:t>(1949),</w:t>
      </w:r>
      <w:r>
        <w:rPr>
          <w:spacing w:val="-11"/>
        </w:rPr>
        <w:t> </w:t>
      </w:r>
      <w:r>
        <w:rPr>
          <w:spacing w:val="-2"/>
        </w:rPr>
        <w:t>is</w:t>
      </w:r>
      <w:r>
        <w:rPr>
          <w:spacing w:val="-10"/>
        </w:rPr>
        <w:t> </w:t>
      </w:r>
      <w:r>
        <w:rPr>
          <w:spacing w:val="-2"/>
        </w:rPr>
        <w:t>foundational</w:t>
      </w:r>
      <w:r>
        <w:rPr>
          <w:spacing w:val="-11"/>
        </w:rPr>
        <w:t> </w:t>
      </w:r>
      <w:r>
        <w:rPr>
          <w:spacing w:val="-2"/>
        </w:rPr>
        <w:t>to</w:t>
      </w:r>
      <w:r>
        <w:rPr>
          <w:spacing w:val="-10"/>
        </w:rPr>
        <w:t> </w:t>
      </w:r>
      <w:r>
        <w:rPr>
          <w:spacing w:val="-2"/>
        </w:rPr>
        <w:t>feminist</w:t>
      </w:r>
      <w:r>
        <w:rPr>
          <w:spacing w:val="-11"/>
        </w:rPr>
        <w:t> </w:t>
      </w:r>
      <w:r>
        <w:rPr>
          <w:spacing w:val="-2"/>
        </w:rPr>
        <w:t>theory.</w:t>
      </w:r>
      <w:r>
        <w:rPr>
          <w:spacing w:val="-10"/>
        </w:rPr>
        <w:t> </w:t>
      </w:r>
      <w:r>
        <w:rPr>
          <w:spacing w:val="-2"/>
        </w:rPr>
        <w:t>De</w:t>
      </w:r>
      <w:r>
        <w:rPr>
          <w:spacing w:val="-11"/>
        </w:rPr>
        <w:t> </w:t>
      </w:r>
      <w:r>
        <w:rPr>
          <w:spacing w:val="-2"/>
        </w:rPr>
        <w:t>Beauvoir </w:t>
      </w:r>
      <w:r>
        <w:rPr/>
        <w:t>argues that women are not autonomous subjects but are defined in relation to men, who occupy the normative position of the “Self.” This relational</w:t>
      </w:r>
      <w:r>
        <w:rPr>
          <w:spacing w:val="-1"/>
        </w:rPr>
        <w:t> </w:t>
      </w:r>
      <w:r>
        <w:rPr/>
        <w:t>identity</w:t>
      </w:r>
      <w:r>
        <w:rPr>
          <w:spacing w:val="-4"/>
        </w:rPr>
        <w:t> </w:t>
      </w:r>
      <w:r>
        <w:rPr/>
        <w:t>results</w:t>
      </w:r>
      <w:r>
        <w:rPr>
          <w:spacing w:val="-1"/>
        </w:rPr>
        <w:t> </w:t>
      </w:r>
      <w:r>
        <w:rPr/>
        <w:t>in</w:t>
      </w:r>
      <w:r>
        <w:rPr>
          <w:spacing w:val="-3"/>
        </w:rPr>
        <w:t> </w:t>
      </w:r>
      <w:r>
        <w:rPr/>
        <w:t>women</w:t>
      </w:r>
      <w:r>
        <w:rPr>
          <w:spacing w:val="-1"/>
        </w:rPr>
        <w:t> </w:t>
      </w:r>
      <w:r>
        <w:rPr/>
        <w:t>being</w:t>
      </w:r>
      <w:r>
        <w:rPr>
          <w:spacing w:val="-1"/>
        </w:rPr>
        <w:t> </w:t>
      </w:r>
      <w:r>
        <w:rPr/>
        <w:t>systematically</w:t>
      </w:r>
      <w:r>
        <w:rPr>
          <w:spacing w:val="-3"/>
        </w:rPr>
        <w:t> </w:t>
      </w:r>
      <w:r>
        <w:rPr/>
        <w:t>excluded from full subjectivity and agency, relegating them to roles that emphasize difference, dependency, and marginality. The “Other” status is not inherent but is socially constructed through cultural, social, and institutional</w:t>
      </w:r>
      <w:r>
        <w:rPr>
          <w:spacing w:val="40"/>
        </w:rPr>
        <w:t> </w:t>
      </w:r>
      <w:r>
        <w:rPr/>
        <w:t>practices</w:t>
      </w:r>
      <w:r>
        <w:rPr>
          <w:spacing w:val="40"/>
        </w:rPr>
        <w:t> </w:t>
      </w:r>
      <w:r>
        <w:rPr/>
        <w:t>that</w:t>
      </w:r>
      <w:r>
        <w:rPr>
          <w:spacing w:val="40"/>
        </w:rPr>
        <w:t> </w:t>
      </w:r>
      <w:r>
        <w:rPr/>
        <w:t>sustain</w:t>
      </w:r>
      <w:r>
        <w:rPr>
          <w:spacing w:val="40"/>
        </w:rPr>
        <w:t> </w:t>
      </w:r>
      <w:r>
        <w:rPr/>
        <w:t>male</w:t>
      </w:r>
      <w:r>
        <w:rPr>
          <w:spacing w:val="40"/>
        </w:rPr>
        <w:t> </w:t>
      </w:r>
      <w:r>
        <w:rPr/>
        <w:t>dominance.</w:t>
      </w:r>
    </w:p>
    <w:p>
      <w:pPr>
        <w:pStyle w:val="BodyText"/>
        <w:spacing w:line="249" w:lineRule="auto" w:before="67"/>
        <w:ind w:right="1439" w:firstLine="432"/>
        <w:jc w:val="both"/>
      </w:pPr>
      <w:r>
        <w:rPr/>
        <w:t>Applying this framework to Shakespeare’s portrayal of women </w:t>
      </w:r>
      <w:r>
        <w:rPr>
          <w:spacing w:val="-2"/>
        </w:rPr>
        <w:t>reveals</w:t>
      </w:r>
      <w:r>
        <w:rPr>
          <w:spacing w:val="-7"/>
        </w:rPr>
        <w:t> </w:t>
      </w:r>
      <w:r>
        <w:rPr>
          <w:spacing w:val="-2"/>
        </w:rPr>
        <w:t>how</w:t>
      </w:r>
      <w:r>
        <w:rPr>
          <w:spacing w:val="-11"/>
        </w:rPr>
        <w:t> </w:t>
      </w:r>
      <w:r>
        <w:rPr>
          <w:spacing w:val="-2"/>
        </w:rPr>
        <w:t>his</w:t>
      </w:r>
      <w:r>
        <w:rPr>
          <w:spacing w:val="-8"/>
        </w:rPr>
        <w:t> </w:t>
      </w:r>
      <w:r>
        <w:rPr>
          <w:spacing w:val="-2"/>
        </w:rPr>
        <w:t>female</w:t>
      </w:r>
      <w:r>
        <w:rPr>
          <w:spacing w:val="-6"/>
        </w:rPr>
        <w:t> </w:t>
      </w:r>
      <w:r>
        <w:rPr>
          <w:spacing w:val="-2"/>
        </w:rPr>
        <w:t>characters</w:t>
      </w:r>
      <w:r>
        <w:rPr>
          <w:spacing w:val="-6"/>
        </w:rPr>
        <w:t> </w:t>
      </w:r>
      <w:r>
        <w:rPr>
          <w:spacing w:val="-2"/>
        </w:rPr>
        <w:t>embody</w:t>
      </w:r>
      <w:r>
        <w:rPr>
          <w:spacing w:val="-11"/>
        </w:rPr>
        <w:t> </w:t>
      </w:r>
      <w:r>
        <w:rPr>
          <w:spacing w:val="-2"/>
        </w:rPr>
        <w:t>the</w:t>
      </w:r>
      <w:r>
        <w:rPr>
          <w:spacing w:val="-10"/>
        </w:rPr>
        <w:t> </w:t>
      </w:r>
      <w:r>
        <w:rPr>
          <w:spacing w:val="-2"/>
        </w:rPr>
        <w:t>tensions</w:t>
      </w:r>
      <w:r>
        <w:rPr>
          <w:spacing w:val="-6"/>
        </w:rPr>
        <w:t> </w:t>
      </w:r>
      <w:r>
        <w:rPr>
          <w:spacing w:val="-2"/>
        </w:rPr>
        <w:t>and</w:t>
      </w:r>
      <w:r>
        <w:rPr>
          <w:spacing w:val="-4"/>
        </w:rPr>
        <w:t> </w:t>
      </w:r>
      <w:r>
        <w:rPr>
          <w:spacing w:val="-2"/>
        </w:rPr>
        <w:t>contradictions </w:t>
      </w:r>
      <w:r>
        <w:rPr/>
        <w:t>of “otherness” in patriarchal systems. Shakespeare’s women are frequently depicted as constrained by societal expectations that limit their autonomy</w:t>
      </w:r>
      <w:r>
        <w:rPr>
          <w:spacing w:val="-2"/>
        </w:rPr>
        <w:t> </w:t>
      </w:r>
      <w:r>
        <w:rPr/>
        <w:t>and voice. For example, characters such</w:t>
      </w:r>
      <w:r>
        <w:rPr>
          <w:spacing w:val="-1"/>
        </w:rPr>
        <w:t> </w:t>
      </w:r>
      <w:r>
        <w:rPr/>
        <w:t>as Ophelia and Desdemona</w:t>
      </w:r>
      <w:r>
        <w:rPr>
          <w:spacing w:val="-13"/>
        </w:rPr>
        <w:t> </w:t>
      </w:r>
      <w:r>
        <w:rPr/>
        <w:t>exemplify</w:t>
      </w:r>
      <w:r>
        <w:rPr>
          <w:spacing w:val="-12"/>
        </w:rPr>
        <w:t> </w:t>
      </w:r>
      <w:r>
        <w:rPr/>
        <w:t>obedient</w:t>
      </w:r>
      <w:r>
        <w:rPr>
          <w:spacing w:val="-13"/>
        </w:rPr>
        <w:t> </w:t>
      </w:r>
      <w:r>
        <w:rPr/>
        <w:t>and</w:t>
      </w:r>
      <w:r>
        <w:rPr>
          <w:spacing w:val="-12"/>
        </w:rPr>
        <w:t> </w:t>
      </w:r>
      <w:r>
        <w:rPr/>
        <w:t>vulnerable</w:t>
      </w:r>
      <w:r>
        <w:rPr>
          <w:spacing w:val="-13"/>
        </w:rPr>
        <w:t> </w:t>
      </w:r>
      <w:r>
        <w:rPr/>
        <w:t>women,</w:t>
      </w:r>
      <w:r>
        <w:rPr>
          <w:spacing w:val="-12"/>
        </w:rPr>
        <w:t> </w:t>
      </w:r>
      <w:r>
        <w:rPr/>
        <w:t>whose</w:t>
      </w:r>
      <w:r>
        <w:rPr>
          <w:spacing w:val="-13"/>
        </w:rPr>
        <w:t> </w:t>
      </w:r>
      <w:r>
        <w:rPr/>
        <w:t>identities are shaped by male authority and whose marginalization is enforced through silence or victimization. Cordelia’s refusal to conform to performative expressions of love positions her as an ethical “Other,” challenging patriarchal norms while facing exclusion. Lady Macbeth’s </w:t>
      </w:r>
      <w:r>
        <w:rPr>
          <w:spacing w:val="-2"/>
        </w:rPr>
        <w:t>ambition</w:t>
      </w:r>
      <w:r>
        <w:rPr>
          <w:spacing w:val="-11"/>
        </w:rPr>
        <w:t> </w:t>
      </w:r>
      <w:r>
        <w:rPr>
          <w:spacing w:val="-2"/>
        </w:rPr>
        <w:t>and</w:t>
      </w:r>
      <w:r>
        <w:rPr>
          <w:spacing w:val="-10"/>
        </w:rPr>
        <w:t> </w:t>
      </w:r>
      <w:r>
        <w:rPr>
          <w:spacing w:val="-2"/>
        </w:rPr>
        <w:t>rejection</w:t>
      </w:r>
      <w:r>
        <w:rPr>
          <w:spacing w:val="-11"/>
        </w:rPr>
        <w:t> </w:t>
      </w:r>
      <w:r>
        <w:rPr>
          <w:spacing w:val="-2"/>
        </w:rPr>
        <w:t>of</w:t>
      </w:r>
      <w:r>
        <w:rPr>
          <w:spacing w:val="-10"/>
        </w:rPr>
        <w:t> </w:t>
      </w:r>
      <w:r>
        <w:rPr>
          <w:spacing w:val="-2"/>
        </w:rPr>
        <w:t>traditional</w:t>
      </w:r>
      <w:r>
        <w:rPr>
          <w:spacing w:val="-11"/>
        </w:rPr>
        <w:t> </w:t>
      </w:r>
      <w:r>
        <w:rPr>
          <w:spacing w:val="-2"/>
        </w:rPr>
        <w:t>femininity</w:t>
      </w:r>
      <w:r>
        <w:rPr>
          <w:spacing w:val="-10"/>
        </w:rPr>
        <w:t> </w:t>
      </w:r>
      <w:r>
        <w:rPr>
          <w:spacing w:val="-2"/>
        </w:rPr>
        <w:t>disrupt</w:t>
      </w:r>
      <w:r>
        <w:rPr>
          <w:spacing w:val="-11"/>
        </w:rPr>
        <w:t> </w:t>
      </w:r>
      <w:r>
        <w:rPr>
          <w:spacing w:val="-2"/>
        </w:rPr>
        <w:t>gender</w:t>
      </w:r>
      <w:r>
        <w:rPr>
          <w:spacing w:val="-10"/>
        </w:rPr>
        <w:t> </w:t>
      </w:r>
      <w:r>
        <w:rPr>
          <w:spacing w:val="-2"/>
        </w:rPr>
        <w:t>boundaries, </w:t>
      </w:r>
      <w:r>
        <w:rPr/>
        <w:t>provoking anxieties about female power and independence that are ultimately framed as dangerous and destabilizing (Jardine, 1983).</w:t>
      </w:r>
    </w:p>
    <w:p>
      <w:pPr>
        <w:pStyle w:val="BodyText"/>
        <w:spacing w:line="249" w:lineRule="auto" w:before="68"/>
        <w:ind w:right="1437" w:firstLine="432"/>
        <w:jc w:val="both"/>
      </w:pPr>
      <w:r>
        <w:rPr/>
        <w:t>Thus, de Beauvoir’s concept of “otherness” offers a lens through which to understand Shakespeare’s female characters not merely as individuals but</w:t>
      </w:r>
      <w:r>
        <w:rPr>
          <w:spacing w:val="-2"/>
        </w:rPr>
        <w:t> </w:t>
      </w:r>
      <w:r>
        <w:rPr/>
        <w:t>as embodiments</w:t>
      </w:r>
      <w:r>
        <w:rPr>
          <w:spacing w:val="-2"/>
        </w:rPr>
        <w:t> </w:t>
      </w:r>
      <w:r>
        <w:rPr/>
        <w:t>of gendered marginalisation</w:t>
      </w:r>
      <w:r>
        <w:rPr>
          <w:spacing w:val="-2"/>
        </w:rPr>
        <w:t> </w:t>
      </w:r>
      <w:r>
        <w:rPr/>
        <w:t>and power relations.</w:t>
      </w:r>
      <w:r>
        <w:rPr>
          <w:spacing w:val="11"/>
        </w:rPr>
        <w:t> </w:t>
      </w:r>
      <w:r>
        <w:rPr/>
        <w:t>This</w:t>
      </w:r>
      <w:r>
        <w:rPr>
          <w:spacing w:val="11"/>
        </w:rPr>
        <w:t> </w:t>
      </w:r>
      <w:r>
        <w:rPr/>
        <w:t>theoretical</w:t>
      </w:r>
      <w:r>
        <w:rPr>
          <w:spacing w:val="11"/>
        </w:rPr>
        <w:t> </w:t>
      </w:r>
      <w:r>
        <w:rPr/>
        <w:t>approach</w:t>
      </w:r>
      <w:r>
        <w:rPr>
          <w:spacing w:val="9"/>
        </w:rPr>
        <w:t> </w:t>
      </w:r>
      <w:r>
        <w:rPr/>
        <w:t>enables</w:t>
      </w:r>
      <w:r>
        <w:rPr>
          <w:spacing w:val="8"/>
        </w:rPr>
        <w:t> </w:t>
      </w:r>
      <w:r>
        <w:rPr/>
        <w:t>a</w:t>
      </w:r>
      <w:r>
        <w:rPr>
          <w:spacing w:val="12"/>
        </w:rPr>
        <w:t> </w:t>
      </w:r>
      <w:r>
        <w:rPr/>
        <w:t>nuanced</w:t>
      </w:r>
      <w:r>
        <w:rPr>
          <w:spacing w:val="13"/>
        </w:rPr>
        <w:t> </w:t>
      </w:r>
      <w:r>
        <w:rPr/>
        <w:t>analysis</w:t>
      </w:r>
      <w:r>
        <w:rPr>
          <w:spacing w:val="12"/>
        </w:rPr>
        <w:t> </w:t>
      </w:r>
      <w:r>
        <w:rPr/>
        <w:t>of</w:t>
      </w:r>
      <w:r>
        <w:rPr>
          <w:spacing w:val="9"/>
        </w:rPr>
        <w:t> </w:t>
      </w:r>
      <w:r>
        <w:rPr>
          <w:spacing w:val="-5"/>
        </w:rPr>
        <w:t>how</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18912">
                <wp:simplePos x="0" y="0"/>
                <wp:positionH relativeFrom="page">
                  <wp:posOffset>2065020</wp:posOffset>
                </wp:positionH>
                <wp:positionV relativeFrom="paragraph">
                  <wp:posOffset>795020</wp:posOffset>
                </wp:positionV>
                <wp:extent cx="3657600" cy="12700"/>
                <wp:effectExtent l="0" t="0" r="0" b="0"/>
                <wp:wrapTopAndBottom/>
                <wp:docPr id="397" name="Graphic 397"/>
                <wp:cNvGraphicFramePr>
                  <a:graphicFrameLocks/>
                </wp:cNvGraphicFramePr>
                <a:graphic>
                  <a:graphicData uri="http://schemas.microsoft.com/office/word/2010/wordprocessingShape">
                    <wps:wsp>
                      <wps:cNvPr id="397" name="Graphic 39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97568;mso-wrap-distance-left:0;mso-wrap-distance-right:0" id="docshape392" filled="true" fillcolor="#000000" stroked="false">
                <v:fill type="solid"/>
                <w10:wrap type="topAndBottom"/>
              </v:rect>
            </w:pict>
          </mc:Fallback>
        </mc:AlternateContent>
      </w: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6"/>
          <w:sz w:val="18"/>
        </w:rPr>
        <w:t> </w:t>
      </w:r>
      <w:r>
        <w:rPr>
          <w:rFonts w:ascii="Verdana" w:hAnsi="Verdana"/>
          <w:sz w:val="18"/>
        </w:rPr>
        <w:t>Marginalisation:</w:t>
      </w:r>
      <w:r>
        <w:rPr>
          <w:rFonts w:ascii="Verdana" w:hAnsi="Verdana"/>
          <w:spacing w:val="4"/>
          <w:sz w:val="18"/>
        </w:rPr>
        <w:t> </w:t>
      </w:r>
      <w:r>
        <w:rPr>
          <w:rFonts w:ascii="Verdana" w:hAnsi="Verdana"/>
          <w:sz w:val="18"/>
        </w:rPr>
        <w:t>Women</w:t>
      </w:r>
      <w:r>
        <w:rPr>
          <w:rFonts w:ascii="Verdana" w:hAnsi="Verdana"/>
          <w:spacing w:val="9"/>
          <w:sz w:val="18"/>
        </w:rPr>
        <w:t> </w:t>
      </w:r>
      <w:r>
        <w:rPr>
          <w:rFonts w:ascii="Verdana" w:hAnsi="Verdana"/>
          <w:sz w:val="18"/>
        </w:rPr>
        <w:t>as</w:t>
      </w:r>
      <w:r>
        <w:rPr>
          <w:rFonts w:ascii="Verdana" w:hAnsi="Verdana"/>
          <w:spacing w:val="4"/>
          <w:sz w:val="18"/>
        </w:rPr>
        <w:t> </w:t>
      </w:r>
      <w:r>
        <w:rPr>
          <w:rFonts w:ascii="Verdana" w:hAnsi="Verdana"/>
          <w:sz w:val="18"/>
        </w:rPr>
        <w:t>“Other”</w:t>
      </w:r>
      <w:r>
        <w:rPr>
          <w:rFonts w:ascii="Verdana" w:hAnsi="Verdana"/>
          <w:spacing w:val="4"/>
          <w:sz w:val="18"/>
        </w:rPr>
        <w:t> </w:t>
      </w:r>
      <w:r>
        <w:rPr>
          <w:rFonts w:ascii="Verdana" w:hAnsi="Verdana"/>
          <w:spacing w:val="-2"/>
          <w:sz w:val="18"/>
        </w:rPr>
        <w:t>in...</w:t>
      </w:r>
      <w:r>
        <w:rPr>
          <w:sz w:val="18"/>
        </w:rPr>
        <w:tab/>
      </w:r>
      <w:r>
        <w:rPr>
          <w:rFonts w:ascii="Verdana" w:hAnsi="Verdana"/>
          <w:spacing w:val="-5"/>
          <w:sz w:val="18"/>
        </w:rPr>
        <w:t>159</w:t>
      </w:r>
    </w:p>
    <w:p>
      <w:pPr>
        <w:pStyle w:val="BodyText"/>
        <w:spacing w:line="249" w:lineRule="auto" w:before="192"/>
        <w:ind w:right="1439"/>
        <w:jc w:val="both"/>
      </w:pPr>
      <w:r>
        <w:rPr/>
        <w:t>Shakespeare’s plays reflect and critique the patriarchal structures of </w:t>
      </w:r>
      <w:r>
        <w:rPr>
          <w:spacing w:val="-2"/>
        </w:rPr>
        <w:t>early</w:t>
      </w:r>
      <w:r>
        <w:rPr>
          <w:spacing w:val="-11"/>
        </w:rPr>
        <w:t> </w:t>
      </w:r>
      <w:r>
        <w:rPr>
          <w:spacing w:val="-2"/>
        </w:rPr>
        <w:t>modern</w:t>
      </w:r>
      <w:r>
        <w:rPr>
          <w:spacing w:val="-10"/>
        </w:rPr>
        <w:t> </w:t>
      </w:r>
      <w:r>
        <w:rPr>
          <w:spacing w:val="-2"/>
        </w:rPr>
        <w:t>society,</w:t>
      </w:r>
      <w:r>
        <w:rPr>
          <w:spacing w:val="-8"/>
        </w:rPr>
        <w:t> </w:t>
      </w:r>
      <w:r>
        <w:rPr>
          <w:spacing w:val="-2"/>
        </w:rPr>
        <w:t>highlighting</w:t>
      </w:r>
      <w:r>
        <w:rPr>
          <w:spacing w:val="-7"/>
        </w:rPr>
        <w:t> </w:t>
      </w:r>
      <w:r>
        <w:rPr>
          <w:spacing w:val="-2"/>
        </w:rPr>
        <w:t>the</w:t>
      </w:r>
      <w:r>
        <w:rPr>
          <w:spacing w:val="-5"/>
        </w:rPr>
        <w:t> </w:t>
      </w:r>
      <w:r>
        <w:rPr>
          <w:spacing w:val="-2"/>
        </w:rPr>
        <w:t>complex</w:t>
      </w:r>
      <w:r>
        <w:rPr>
          <w:spacing w:val="-10"/>
        </w:rPr>
        <w:t> </w:t>
      </w:r>
      <w:r>
        <w:rPr>
          <w:spacing w:val="-2"/>
        </w:rPr>
        <w:t>interplay</w:t>
      </w:r>
      <w:r>
        <w:rPr>
          <w:spacing w:val="-11"/>
        </w:rPr>
        <w:t> </w:t>
      </w:r>
      <w:r>
        <w:rPr>
          <w:spacing w:val="-2"/>
        </w:rPr>
        <w:t>between</w:t>
      </w:r>
      <w:r>
        <w:rPr>
          <w:spacing w:val="-9"/>
        </w:rPr>
        <w:t> </w:t>
      </w:r>
      <w:r>
        <w:rPr>
          <w:spacing w:val="-2"/>
        </w:rPr>
        <w:t>silence, </w:t>
      </w:r>
      <w:r>
        <w:rPr/>
        <w:t>agency,</w:t>
      </w:r>
      <w:r>
        <w:rPr>
          <w:spacing w:val="40"/>
        </w:rPr>
        <w:t> </w:t>
      </w:r>
      <w:r>
        <w:rPr/>
        <w:t>and</w:t>
      </w:r>
      <w:r>
        <w:rPr>
          <w:spacing w:val="40"/>
        </w:rPr>
        <w:t> </w:t>
      </w:r>
      <w:r>
        <w:rPr/>
        <w:t>resistance</w:t>
      </w:r>
      <w:r>
        <w:rPr>
          <w:spacing w:val="40"/>
        </w:rPr>
        <w:t> </w:t>
      </w:r>
      <w:r>
        <w:rPr/>
        <w:t>in women’s</w:t>
      </w:r>
      <w:r>
        <w:rPr>
          <w:spacing w:val="40"/>
        </w:rPr>
        <w:t> </w:t>
      </w:r>
      <w:r>
        <w:rPr/>
        <w:t>experiences</w:t>
      </w:r>
      <w:r>
        <w:rPr>
          <w:spacing w:val="40"/>
        </w:rPr>
        <w:t> </w:t>
      </w:r>
      <w:r>
        <w:rPr/>
        <w:t>of</w:t>
      </w:r>
      <w:r>
        <w:rPr>
          <w:spacing w:val="40"/>
        </w:rPr>
        <w:t> </w:t>
      </w:r>
      <w:r>
        <w:rPr/>
        <w:t>them.</w:t>
      </w:r>
    </w:p>
    <w:p>
      <w:pPr>
        <w:pStyle w:val="Heading3"/>
        <w:numPr>
          <w:ilvl w:val="0"/>
          <w:numId w:val="31"/>
        </w:numPr>
        <w:tabs>
          <w:tab w:pos="1696" w:val="left" w:leader="none"/>
        </w:tabs>
        <w:spacing w:line="240" w:lineRule="auto" w:before="156" w:after="0"/>
        <w:ind w:left="1696" w:right="0" w:hanging="256"/>
        <w:jc w:val="left"/>
      </w:pPr>
      <w:r>
        <w:rPr>
          <w:w w:val="90"/>
        </w:rPr>
        <w:t>PATRIARCHAL</w:t>
      </w:r>
      <w:r>
        <w:rPr>
          <w:spacing w:val="-9"/>
          <w:w w:val="90"/>
        </w:rPr>
        <w:t> </w:t>
      </w:r>
      <w:r>
        <w:rPr>
          <w:w w:val="90"/>
        </w:rPr>
        <w:t>CONTEXT</w:t>
      </w:r>
      <w:r>
        <w:rPr>
          <w:spacing w:val="-8"/>
          <w:w w:val="90"/>
        </w:rPr>
        <w:t> </w:t>
      </w:r>
      <w:r>
        <w:rPr>
          <w:w w:val="90"/>
        </w:rPr>
        <w:t>IN</w:t>
      </w:r>
      <w:r>
        <w:rPr>
          <w:spacing w:val="-8"/>
          <w:w w:val="90"/>
        </w:rPr>
        <w:t> </w:t>
      </w:r>
      <w:r>
        <w:rPr>
          <w:w w:val="90"/>
        </w:rPr>
        <w:t>SHAKESPEARE’S</w:t>
      </w:r>
      <w:r>
        <w:rPr>
          <w:spacing w:val="-7"/>
          <w:w w:val="90"/>
        </w:rPr>
        <w:t> </w:t>
      </w:r>
      <w:r>
        <w:rPr>
          <w:spacing w:val="-4"/>
          <w:w w:val="90"/>
        </w:rPr>
        <w:t>PLAYS</w:t>
      </w:r>
    </w:p>
    <w:p>
      <w:pPr>
        <w:pStyle w:val="BodyText"/>
        <w:spacing w:line="249" w:lineRule="auto" w:before="75"/>
        <w:ind w:right="1438" w:firstLine="432"/>
        <w:jc w:val="both"/>
      </w:pPr>
      <w:r>
        <w:rPr/>
        <w:t>In early modern England, societal expectations of women were firmly rooted in patriarchal ideology, which prescribed strict roles and behaviors. Women were expected to embody obedience, chastity, and subservience, primarily to male figures, such as fathers, husbands, and rulers. Their social identity and worth were largely defined through these relationships, reflecting a broader system that denied women’s autonomy and agency. This cultural framework relegates women to the private sphere, limiting their participation in public life and access to power (Dusinberre, 1975).</w:t>
      </w:r>
    </w:p>
    <w:p>
      <w:pPr>
        <w:pStyle w:val="BodyText"/>
        <w:spacing w:line="249" w:lineRule="auto" w:before="65"/>
        <w:ind w:right="1439" w:firstLine="432"/>
        <w:jc w:val="both"/>
      </w:pPr>
      <w:r>
        <w:rPr/>
        <w:t>Shakespeare’s plays vividly reflect these patriarchal norms, portraying women as constrained within rigid social structures that enforce male dominance. Female characters are often</w:t>
      </w:r>
      <w:r>
        <w:rPr>
          <w:spacing w:val="-1"/>
        </w:rPr>
        <w:t> </w:t>
      </w:r>
      <w:r>
        <w:rPr/>
        <w:t>depicted as</w:t>
      </w:r>
      <w:r>
        <w:rPr>
          <w:spacing w:val="-1"/>
        </w:rPr>
        <w:t> </w:t>
      </w:r>
      <w:r>
        <w:rPr/>
        <w:t>being subject to male authority, with their voices and choices circumscribed </w:t>
      </w:r>
      <w:r>
        <w:rPr>
          <w:spacing w:val="-2"/>
        </w:rPr>
        <w:t>by</w:t>
      </w:r>
      <w:r>
        <w:rPr>
          <w:spacing w:val="-7"/>
        </w:rPr>
        <w:t> </w:t>
      </w:r>
      <w:r>
        <w:rPr>
          <w:spacing w:val="-2"/>
        </w:rPr>
        <w:t>societal</w:t>
      </w:r>
      <w:r>
        <w:rPr>
          <w:spacing w:val="-4"/>
        </w:rPr>
        <w:t> </w:t>
      </w:r>
      <w:r>
        <w:rPr>
          <w:spacing w:val="-2"/>
        </w:rPr>
        <w:t>expectations. For example, Ophelia</w:t>
      </w:r>
      <w:r>
        <w:rPr>
          <w:spacing w:val="-4"/>
        </w:rPr>
        <w:t> </w:t>
      </w:r>
      <w:r>
        <w:rPr>
          <w:spacing w:val="-2"/>
        </w:rPr>
        <w:t>in Hamlet exemplifies</w:t>
      </w:r>
      <w:r>
        <w:rPr>
          <w:spacing w:val="-4"/>
        </w:rPr>
        <w:t> </w:t>
      </w:r>
      <w:r>
        <w:rPr>
          <w:spacing w:val="-2"/>
        </w:rPr>
        <w:t>the </w:t>
      </w:r>
      <w:r>
        <w:rPr/>
        <w:t>ideal of female obedience as she complies with her father Polonius’s commands to avoid Hamlet, sacrificing her own desires and autonomy. Similarly,</w:t>
      </w:r>
      <w:r>
        <w:rPr>
          <w:spacing w:val="-5"/>
        </w:rPr>
        <w:t> </w:t>
      </w:r>
      <w:r>
        <w:rPr/>
        <w:t>Desdemona</w:t>
      </w:r>
      <w:r>
        <w:rPr>
          <w:spacing w:val="-7"/>
        </w:rPr>
        <w:t> </w:t>
      </w:r>
      <w:r>
        <w:rPr/>
        <w:t>in</w:t>
      </w:r>
      <w:r>
        <w:rPr>
          <w:spacing w:val="-6"/>
        </w:rPr>
        <w:t> </w:t>
      </w:r>
      <w:r>
        <w:rPr/>
        <w:t>Othello</w:t>
      </w:r>
      <w:r>
        <w:rPr>
          <w:spacing w:val="-5"/>
        </w:rPr>
        <w:t> </w:t>
      </w:r>
      <w:r>
        <w:rPr/>
        <w:t>initially</w:t>
      </w:r>
      <w:r>
        <w:rPr>
          <w:spacing w:val="-10"/>
        </w:rPr>
        <w:t> </w:t>
      </w:r>
      <w:r>
        <w:rPr/>
        <w:t>appears</w:t>
      </w:r>
      <w:r>
        <w:rPr>
          <w:spacing w:val="-6"/>
        </w:rPr>
        <w:t> </w:t>
      </w:r>
      <w:r>
        <w:rPr/>
        <w:t>within</w:t>
      </w:r>
      <w:r>
        <w:rPr>
          <w:spacing w:val="-6"/>
        </w:rPr>
        <w:t> </w:t>
      </w:r>
      <w:r>
        <w:rPr/>
        <w:t>the</w:t>
      </w:r>
      <w:r>
        <w:rPr>
          <w:spacing w:val="-8"/>
        </w:rPr>
        <w:t> </w:t>
      </w:r>
      <w:r>
        <w:rPr/>
        <w:t>confines</w:t>
      </w:r>
      <w:r>
        <w:rPr>
          <w:spacing w:val="-6"/>
        </w:rPr>
        <w:t> </w:t>
      </w:r>
      <w:r>
        <w:rPr/>
        <w:t>of loyalty and submission to her husband, although her assertiveness in choosing Othello complicates her role.</w:t>
      </w:r>
    </w:p>
    <w:p>
      <w:pPr>
        <w:pStyle w:val="BodyText"/>
        <w:spacing w:line="249" w:lineRule="auto" w:before="69"/>
        <w:ind w:right="1438" w:firstLine="432"/>
        <w:jc w:val="both"/>
      </w:pPr>
      <w:r>
        <w:rPr/>
        <w:t>The plays also illustrate the consequences of women deviating from these prescribed norms. Such deviations provoke criticism, punishment or exclusion, reinforcing the patriarchal order. Cordelia’s refusal to engage in performative flattery of King Lear results in her disinheritance and marginalization, demonstrating the punitive mechanisms that enforce conformity. Lady Macbeth’s ambition and rejection of traditional femininity disrupt gender expectations, eliciting fear</w:t>
      </w:r>
      <w:r>
        <w:rPr>
          <w:spacing w:val="-4"/>
        </w:rPr>
        <w:t> </w:t>
      </w:r>
      <w:r>
        <w:rPr/>
        <w:t>and portraying</w:t>
      </w:r>
      <w:r>
        <w:rPr>
          <w:spacing w:val="-6"/>
        </w:rPr>
        <w:t> </w:t>
      </w:r>
      <w:r>
        <w:rPr/>
        <w:t>her power</w:t>
      </w:r>
      <w:r>
        <w:rPr>
          <w:spacing w:val="-4"/>
        </w:rPr>
        <w:t> </w:t>
      </w:r>
      <w:r>
        <w:rPr/>
        <w:t>as</w:t>
      </w:r>
      <w:r>
        <w:rPr>
          <w:spacing w:val="-4"/>
        </w:rPr>
        <w:t> </w:t>
      </w:r>
      <w:r>
        <w:rPr/>
        <w:t>unnatural</w:t>
      </w:r>
      <w:r>
        <w:rPr>
          <w:spacing w:val="-6"/>
        </w:rPr>
        <w:t> </w:t>
      </w:r>
      <w:r>
        <w:rPr/>
        <w:t>and dangerous.</w:t>
      </w:r>
      <w:r>
        <w:rPr>
          <w:spacing w:val="-4"/>
        </w:rPr>
        <w:t> </w:t>
      </w:r>
      <w:r>
        <w:rPr/>
        <w:t>Her</w:t>
      </w:r>
      <w:r>
        <w:rPr>
          <w:spacing w:val="-2"/>
        </w:rPr>
        <w:t> </w:t>
      </w:r>
      <w:r>
        <w:rPr/>
        <w:t>eventual psychological unraveling and death underscore societal anxieties about female autonomy and the harsh repercussions of transgressing gender </w:t>
      </w:r>
      <w:r>
        <w:rPr>
          <w:spacing w:val="-2"/>
        </w:rPr>
        <w:t>boundaries.</w:t>
      </w:r>
    </w:p>
    <w:p>
      <w:pPr>
        <w:pStyle w:val="BodyText"/>
        <w:spacing w:line="249" w:lineRule="auto" w:before="66"/>
        <w:ind w:right="1439" w:firstLine="432"/>
        <w:jc w:val="both"/>
      </w:pPr>
      <w:r>
        <w:rPr/>
        <w:t>Through these portrayals, Shakespeare exposes the mechanisms</w:t>
      </w:r>
      <w:r>
        <w:rPr>
          <w:spacing w:val="40"/>
        </w:rPr>
        <w:t> </w:t>
      </w:r>
      <w:r>
        <w:rPr/>
        <w:t>by</w:t>
      </w:r>
      <w:r>
        <w:rPr>
          <w:spacing w:val="-3"/>
        </w:rPr>
        <w:t> </w:t>
      </w:r>
      <w:r>
        <w:rPr/>
        <w:t>which patriarchal systems maintain control over women, illustrating </w:t>
      </w:r>
      <w:r>
        <w:rPr>
          <w:spacing w:val="-2"/>
        </w:rPr>
        <w:t>both</w:t>
      </w:r>
      <w:r>
        <w:rPr>
          <w:spacing w:val="-5"/>
        </w:rPr>
        <w:t> </w:t>
      </w:r>
      <w:r>
        <w:rPr>
          <w:spacing w:val="-2"/>
        </w:rPr>
        <w:t>the</w:t>
      </w:r>
      <w:r>
        <w:rPr>
          <w:spacing w:val="-3"/>
        </w:rPr>
        <w:t> </w:t>
      </w:r>
      <w:r>
        <w:rPr>
          <w:spacing w:val="-2"/>
        </w:rPr>
        <w:t>internalization</w:t>
      </w:r>
      <w:r>
        <w:rPr>
          <w:spacing w:val="-5"/>
        </w:rPr>
        <w:t> </w:t>
      </w:r>
      <w:r>
        <w:rPr>
          <w:spacing w:val="-2"/>
        </w:rPr>
        <w:t>of</w:t>
      </w:r>
      <w:r>
        <w:rPr>
          <w:spacing w:val="-8"/>
        </w:rPr>
        <w:t> </w:t>
      </w:r>
      <w:r>
        <w:rPr>
          <w:spacing w:val="-2"/>
        </w:rPr>
        <w:t>gender</w:t>
      </w:r>
      <w:r>
        <w:rPr>
          <w:spacing w:val="-3"/>
        </w:rPr>
        <w:t> </w:t>
      </w:r>
      <w:r>
        <w:rPr>
          <w:spacing w:val="-2"/>
        </w:rPr>
        <w:t>roles</w:t>
      </w:r>
      <w:r>
        <w:rPr>
          <w:spacing w:val="-3"/>
        </w:rPr>
        <w:t> </w:t>
      </w:r>
      <w:r>
        <w:rPr>
          <w:spacing w:val="-2"/>
        </w:rPr>
        <w:t>and</w:t>
      </w:r>
      <w:r>
        <w:rPr>
          <w:spacing w:val="-3"/>
        </w:rPr>
        <w:t> </w:t>
      </w:r>
      <w:r>
        <w:rPr>
          <w:spacing w:val="-2"/>
        </w:rPr>
        <w:t>social</w:t>
      </w:r>
      <w:r>
        <w:rPr>
          <w:spacing w:val="-5"/>
        </w:rPr>
        <w:t> </w:t>
      </w:r>
      <w:r>
        <w:rPr>
          <w:spacing w:val="-2"/>
        </w:rPr>
        <w:t>penalties</w:t>
      </w:r>
      <w:r>
        <w:rPr>
          <w:spacing w:val="-5"/>
        </w:rPr>
        <w:t> </w:t>
      </w:r>
      <w:r>
        <w:rPr>
          <w:spacing w:val="-2"/>
        </w:rPr>
        <w:t>for</w:t>
      </w:r>
      <w:r>
        <w:rPr>
          <w:spacing w:val="-3"/>
        </w:rPr>
        <w:t> </w:t>
      </w:r>
      <w:r>
        <w:rPr>
          <w:spacing w:val="-2"/>
        </w:rPr>
        <w:t>resistance. </w:t>
      </w:r>
      <w:r>
        <w:rPr/>
        <w:t>Thus,</w:t>
      </w:r>
      <w:r>
        <w:rPr>
          <w:spacing w:val="-7"/>
        </w:rPr>
        <w:t> </w:t>
      </w:r>
      <w:r>
        <w:rPr/>
        <w:t>these</w:t>
      </w:r>
      <w:r>
        <w:rPr>
          <w:spacing w:val="-7"/>
        </w:rPr>
        <w:t> </w:t>
      </w:r>
      <w:r>
        <w:rPr/>
        <w:t>plays</w:t>
      </w:r>
      <w:r>
        <w:rPr>
          <w:spacing w:val="-8"/>
        </w:rPr>
        <w:t> </w:t>
      </w:r>
      <w:r>
        <w:rPr/>
        <w:t>serve</w:t>
      </w:r>
      <w:r>
        <w:rPr>
          <w:spacing w:val="-7"/>
        </w:rPr>
        <w:t> </w:t>
      </w:r>
      <w:r>
        <w:rPr/>
        <w:t>as</w:t>
      </w:r>
      <w:r>
        <w:rPr>
          <w:spacing w:val="-10"/>
        </w:rPr>
        <w:t> </w:t>
      </w:r>
      <w:r>
        <w:rPr/>
        <w:t>a</w:t>
      </w:r>
      <w:r>
        <w:rPr>
          <w:spacing w:val="-9"/>
        </w:rPr>
        <w:t> </w:t>
      </w:r>
      <w:r>
        <w:rPr/>
        <w:t>critical</w:t>
      </w:r>
      <w:r>
        <w:rPr>
          <w:spacing w:val="-8"/>
        </w:rPr>
        <w:t> </w:t>
      </w:r>
      <w:r>
        <w:rPr/>
        <w:t>site</w:t>
      </w:r>
      <w:r>
        <w:rPr>
          <w:spacing w:val="-7"/>
        </w:rPr>
        <w:t> </w:t>
      </w:r>
      <w:r>
        <w:rPr/>
        <w:t>for</w:t>
      </w:r>
      <w:r>
        <w:rPr>
          <w:spacing w:val="-6"/>
        </w:rPr>
        <w:t> </w:t>
      </w:r>
      <w:r>
        <w:rPr/>
        <w:t>examining</w:t>
      </w:r>
      <w:r>
        <w:rPr>
          <w:spacing w:val="-8"/>
        </w:rPr>
        <w:t> </w:t>
      </w:r>
      <w:r>
        <w:rPr/>
        <w:t>how</w:t>
      </w:r>
      <w:r>
        <w:rPr>
          <w:spacing w:val="-12"/>
        </w:rPr>
        <w:t> </w:t>
      </w:r>
      <w:r>
        <w:rPr/>
        <w:t>early</w:t>
      </w:r>
      <w:r>
        <w:rPr>
          <w:spacing w:val="-12"/>
        </w:rPr>
        <w:t> </w:t>
      </w:r>
      <w:r>
        <w:rPr>
          <w:spacing w:val="-2"/>
        </w:rPr>
        <w:t>modern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19424">
                <wp:simplePos x="0" y="0"/>
                <wp:positionH relativeFrom="page">
                  <wp:posOffset>2057400</wp:posOffset>
                </wp:positionH>
                <wp:positionV relativeFrom="paragraph">
                  <wp:posOffset>162604</wp:posOffset>
                </wp:positionV>
                <wp:extent cx="3657600" cy="12700"/>
                <wp:effectExtent l="0" t="0" r="0" b="0"/>
                <wp:wrapTopAndBottom/>
                <wp:docPr id="398" name="Graphic 398"/>
                <wp:cNvGraphicFramePr>
                  <a:graphicFrameLocks/>
                </wp:cNvGraphicFramePr>
                <a:graphic>
                  <a:graphicData uri="http://schemas.microsoft.com/office/word/2010/wordprocessingShape">
                    <wps:wsp>
                      <wps:cNvPr id="398" name="Graphic 39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97056;mso-wrap-distance-left:0;mso-wrap-distance-right:0" id="docshape393" filled="true" fillcolor="#000000" stroked="false">
                <v:fill type="solid"/>
                <w10:wrap type="topAndBottom"/>
              </v:rect>
            </w:pict>
          </mc:Fallback>
        </mc:AlternateContent>
      </w:r>
      <w:r>
        <w:rPr>
          <w:rFonts w:ascii="Verdana"/>
          <w:spacing w:val="-5"/>
          <w:sz w:val="18"/>
        </w:rPr>
        <w:t>160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spacing w:val="-4"/>
        </w:rPr>
        <w:t>patriarchal</w:t>
      </w:r>
      <w:r>
        <w:rPr>
          <w:spacing w:val="-5"/>
        </w:rPr>
        <w:t> </w:t>
      </w:r>
      <w:r>
        <w:rPr>
          <w:spacing w:val="-4"/>
        </w:rPr>
        <w:t>norms</w:t>
      </w:r>
      <w:r>
        <w:rPr>
          <w:spacing w:val="-6"/>
        </w:rPr>
        <w:t> </w:t>
      </w:r>
      <w:r>
        <w:rPr>
          <w:spacing w:val="-4"/>
        </w:rPr>
        <w:t>shaped women’s experiences</w:t>
      </w:r>
      <w:r>
        <w:rPr>
          <w:spacing w:val="-6"/>
        </w:rPr>
        <w:t> </w:t>
      </w:r>
      <w:r>
        <w:rPr>
          <w:spacing w:val="-4"/>
        </w:rPr>
        <w:t>of</w:t>
      </w:r>
      <w:r>
        <w:rPr>
          <w:spacing w:val="-9"/>
        </w:rPr>
        <w:t> </w:t>
      </w:r>
      <w:r>
        <w:rPr>
          <w:spacing w:val="-4"/>
        </w:rPr>
        <w:t>marginalization, silence, </w:t>
      </w:r>
      <w:r>
        <w:rPr/>
        <w:t>and</w:t>
      </w:r>
      <w:r>
        <w:rPr>
          <w:spacing w:val="40"/>
        </w:rPr>
        <w:t> </w:t>
      </w:r>
      <w:r>
        <w:rPr/>
        <w:t>constrained</w:t>
      </w:r>
      <w:r>
        <w:rPr>
          <w:spacing w:val="40"/>
        </w:rPr>
        <w:t> </w:t>
      </w:r>
      <w:r>
        <w:rPr/>
        <w:t>power.</w:t>
      </w:r>
    </w:p>
    <w:p>
      <w:pPr>
        <w:pStyle w:val="Heading3"/>
        <w:numPr>
          <w:ilvl w:val="0"/>
          <w:numId w:val="31"/>
        </w:numPr>
        <w:tabs>
          <w:tab w:pos="1690" w:val="left" w:leader="none"/>
        </w:tabs>
        <w:spacing w:line="240" w:lineRule="auto" w:before="155" w:after="0"/>
        <w:ind w:left="1690" w:right="0" w:hanging="250"/>
        <w:jc w:val="left"/>
      </w:pPr>
      <w:r>
        <w:rPr>
          <w:spacing w:val="2"/>
          <w:w w:val="90"/>
        </w:rPr>
        <w:t>CHARACTER</w:t>
      </w:r>
      <w:r>
        <w:rPr>
          <w:spacing w:val="34"/>
        </w:rPr>
        <w:t> </w:t>
      </w:r>
      <w:r>
        <w:rPr>
          <w:spacing w:val="-2"/>
        </w:rPr>
        <w:t>ANALYSIS</w:t>
      </w:r>
    </w:p>
    <w:p>
      <w:pPr>
        <w:pStyle w:val="Heading5"/>
        <w:numPr>
          <w:ilvl w:val="1"/>
          <w:numId w:val="31"/>
        </w:numPr>
        <w:tabs>
          <w:tab w:pos="1900" w:val="left" w:leader="none"/>
        </w:tabs>
        <w:spacing w:line="244" w:lineRule="auto" w:before="125" w:after="0"/>
        <w:ind w:left="1440" w:right="1439" w:firstLine="0"/>
        <w:jc w:val="left"/>
      </w:pPr>
      <w:r>
        <w:rPr>
          <w:w w:val="110"/>
        </w:rPr>
        <w:t>Ophelia</w:t>
      </w:r>
      <w:r>
        <w:rPr>
          <w:spacing w:val="80"/>
          <w:w w:val="110"/>
        </w:rPr>
        <w:t> </w:t>
      </w:r>
      <w:r>
        <w:rPr>
          <w:w w:val="110"/>
        </w:rPr>
        <w:t>(Hamlet)</w:t>
      </w:r>
      <w:r>
        <w:rPr>
          <w:spacing w:val="80"/>
          <w:w w:val="110"/>
        </w:rPr>
        <w:t> </w:t>
      </w:r>
      <w:r>
        <w:rPr>
          <w:w w:val="110"/>
        </w:rPr>
        <w:t>and</w:t>
      </w:r>
      <w:r>
        <w:rPr>
          <w:spacing w:val="80"/>
          <w:w w:val="110"/>
        </w:rPr>
        <w:t> </w:t>
      </w:r>
      <w:r>
        <w:rPr>
          <w:w w:val="110"/>
        </w:rPr>
        <w:t>Desdemona</w:t>
      </w:r>
      <w:r>
        <w:rPr>
          <w:spacing w:val="80"/>
          <w:w w:val="110"/>
        </w:rPr>
        <w:t> </w:t>
      </w:r>
      <w:r>
        <w:rPr>
          <w:w w:val="110"/>
        </w:rPr>
        <w:t>(Othello): Obedience</w:t>
      </w:r>
      <w:r>
        <w:rPr>
          <w:spacing w:val="40"/>
          <w:w w:val="110"/>
        </w:rPr>
        <w:t> </w:t>
      </w:r>
      <w:r>
        <w:rPr>
          <w:w w:val="110"/>
        </w:rPr>
        <w:t>and</w:t>
      </w:r>
      <w:r>
        <w:rPr>
          <w:spacing w:val="40"/>
          <w:w w:val="110"/>
        </w:rPr>
        <w:t> </w:t>
      </w:r>
      <w:r>
        <w:rPr>
          <w:w w:val="110"/>
        </w:rPr>
        <w:t>Vulnerability</w:t>
      </w:r>
    </w:p>
    <w:p>
      <w:pPr>
        <w:pStyle w:val="BodyText"/>
        <w:spacing w:line="249" w:lineRule="auto" w:before="68"/>
        <w:ind w:right="1438" w:firstLine="432"/>
        <w:jc w:val="both"/>
      </w:pPr>
      <w:r>
        <w:rPr/>
        <w:t>Ophelia and Desdemona epitomize submission to patriarchal authority,</w:t>
      </w:r>
      <w:r>
        <w:rPr>
          <w:spacing w:val="-6"/>
        </w:rPr>
        <w:t> </w:t>
      </w:r>
      <w:r>
        <w:rPr/>
        <w:t>embodying</w:t>
      </w:r>
      <w:r>
        <w:rPr>
          <w:spacing w:val="-6"/>
        </w:rPr>
        <w:t> </w:t>
      </w:r>
      <w:r>
        <w:rPr/>
        <w:t>the</w:t>
      </w:r>
      <w:r>
        <w:rPr>
          <w:spacing w:val="-6"/>
        </w:rPr>
        <w:t> </w:t>
      </w:r>
      <w:r>
        <w:rPr/>
        <w:t>social</w:t>
      </w:r>
      <w:r>
        <w:rPr>
          <w:spacing w:val="-6"/>
        </w:rPr>
        <w:t> </w:t>
      </w:r>
      <w:r>
        <w:rPr/>
        <w:t>expectations</w:t>
      </w:r>
      <w:r>
        <w:rPr>
          <w:spacing w:val="-8"/>
        </w:rPr>
        <w:t> </w:t>
      </w:r>
      <w:r>
        <w:rPr/>
        <w:t>imposed</w:t>
      </w:r>
      <w:r>
        <w:rPr>
          <w:spacing w:val="-5"/>
        </w:rPr>
        <w:t> </w:t>
      </w:r>
      <w:r>
        <w:rPr/>
        <w:t>on</w:t>
      </w:r>
      <w:r>
        <w:rPr>
          <w:spacing w:val="-8"/>
        </w:rPr>
        <w:t> </w:t>
      </w:r>
      <w:r>
        <w:rPr/>
        <w:t>women</w:t>
      </w:r>
      <w:r>
        <w:rPr>
          <w:spacing w:val="-8"/>
        </w:rPr>
        <w:t> </w:t>
      </w:r>
      <w:r>
        <w:rPr/>
        <w:t>during Shakespeare’s time. Ophelia’s obedience is illustrated through her compliance with her father Polonius and brother Laertes, whose commands severely restrict her autonomy. Polonius’s injunction—”I would not, in plain</w:t>
      </w:r>
      <w:r>
        <w:rPr>
          <w:spacing w:val="-1"/>
        </w:rPr>
        <w:t> </w:t>
      </w:r>
      <w:r>
        <w:rPr/>
        <w:t>terms, from</w:t>
      </w:r>
      <w:r>
        <w:rPr>
          <w:spacing w:val="-2"/>
        </w:rPr>
        <w:t> </w:t>
      </w:r>
      <w:r>
        <w:rPr/>
        <w:t>this time forth, have you so slander any moment</w:t>
      </w:r>
      <w:r>
        <w:rPr>
          <w:spacing w:val="-5"/>
        </w:rPr>
        <w:t> </w:t>
      </w:r>
      <w:r>
        <w:rPr/>
        <w:t>leisure</w:t>
      </w:r>
      <w:r>
        <w:rPr>
          <w:spacing w:val="-5"/>
        </w:rPr>
        <w:t> </w:t>
      </w:r>
      <w:r>
        <w:rPr/>
        <w:t>as</w:t>
      </w:r>
      <w:r>
        <w:rPr>
          <w:spacing w:val="-7"/>
        </w:rPr>
        <w:t> </w:t>
      </w:r>
      <w:r>
        <w:rPr/>
        <w:t>to</w:t>
      </w:r>
      <w:r>
        <w:rPr>
          <w:spacing w:val="-4"/>
        </w:rPr>
        <w:t> </w:t>
      </w:r>
      <w:r>
        <w:rPr/>
        <w:t>give</w:t>
      </w:r>
      <w:r>
        <w:rPr>
          <w:spacing w:val="-7"/>
        </w:rPr>
        <w:t> </w:t>
      </w:r>
      <w:r>
        <w:rPr/>
        <w:t>words</w:t>
      </w:r>
      <w:r>
        <w:rPr>
          <w:spacing w:val="-4"/>
        </w:rPr>
        <w:t> </w:t>
      </w:r>
      <w:r>
        <w:rPr/>
        <w:t>or</w:t>
      </w:r>
      <w:r>
        <w:rPr>
          <w:spacing w:val="-5"/>
        </w:rPr>
        <w:t> </w:t>
      </w:r>
      <w:r>
        <w:rPr/>
        <w:t>talk</w:t>
      </w:r>
      <w:r>
        <w:rPr>
          <w:spacing w:val="-5"/>
        </w:rPr>
        <w:t> </w:t>
      </w:r>
      <w:r>
        <w:rPr/>
        <w:t>with</w:t>
      </w:r>
      <w:r>
        <w:rPr>
          <w:spacing w:val="-7"/>
        </w:rPr>
        <w:t> </w:t>
      </w:r>
      <w:r>
        <w:rPr/>
        <w:t>the</w:t>
      </w:r>
      <w:r>
        <w:rPr>
          <w:spacing w:val="-5"/>
        </w:rPr>
        <w:t> </w:t>
      </w:r>
      <w:r>
        <w:rPr/>
        <w:t>Lord</w:t>
      </w:r>
      <w:r>
        <w:rPr>
          <w:spacing w:val="-5"/>
        </w:rPr>
        <w:t> </w:t>
      </w:r>
      <w:r>
        <w:rPr/>
        <w:t>Hamlet”</w:t>
      </w:r>
      <w:r>
        <w:rPr>
          <w:spacing w:val="-5"/>
        </w:rPr>
        <w:t> </w:t>
      </w:r>
      <w:r>
        <w:rPr/>
        <w:t>(Hamlet, Act 1, Scene 3)—exemplifies the silencing of her voice, confining her within the male control. Ophelia’s limited agency culminates in her psychological</w:t>
      </w:r>
      <w:r>
        <w:rPr>
          <w:spacing w:val="-6"/>
        </w:rPr>
        <w:t> </w:t>
      </w:r>
      <w:r>
        <w:rPr/>
        <w:t>breakdown</w:t>
      </w:r>
      <w:r>
        <w:rPr>
          <w:spacing w:val="-9"/>
        </w:rPr>
        <w:t> </w:t>
      </w:r>
      <w:r>
        <w:rPr/>
        <w:t>and</w:t>
      </w:r>
      <w:r>
        <w:rPr>
          <w:spacing w:val="-5"/>
        </w:rPr>
        <w:t> </w:t>
      </w:r>
      <w:r>
        <w:rPr/>
        <w:t>death,</w:t>
      </w:r>
      <w:r>
        <w:rPr>
          <w:spacing w:val="-5"/>
        </w:rPr>
        <w:t> </w:t>
      </w:r>
      <w:r>
        <w:rPr/>
        <w:t>symbolizing</w:t>
      </w:r>
      <w:r>
        <w:rPr>
          <w:spacing w:val="-8"/>
        </w:rPr>
        <w:t> </w:t>
      </w:r>
      <w:r>
        <w:rPr/>
        <w:t>the</w:t>
      </w:r>
      <w:r>
        <w:rPr>
          <w:spacing w:val="-8"/>
        </w:rPr>
        <w:t> </w:t>
      </w:r>
      <w:r>
        <w:rPr/>
        <w:t>destructive</w:t>
      </w:r>
      <w:r>
        <w:rPr>
          <w:spacing w:val="-6"/>
        </w:rPr>
        <w:t> </w:t>
      </w:r>
      <w:r>
        <w:rPr/>
        <w:t>effects of</w:t>
      </w:r>
      <w:r>
        <w:rPr>
          <w:spacing w:val="-12"/>
        </w:rPr>
        <w:t> </w:t>
      </w:r>
      <w:r>
        <w:rPr/>
        <w:t>enforced</w:t>
      </w:r>
      <w:r>
        <w:rPr>
          <w:spacing w:val="-9"/>
        </w:rPr>
        <w:t> </w:t>
      </w:r>
      <w:r>
        <w:rPr/>
        <w:t>silence</w:t>
      </w:r>
      <w:r>
        <w:rPr>
          <w:spacing w:val="-9"/>
        </w:rPr>
        <w:t> </w:t>
      </w:r>
      <w:r>
        <w:rPr/>
        <w:t>and</w:t>
      </w:r>
      <w:r>
        <w:rPr>
          <w:spacing w:val="-8"/>
        </w:rPr>
        <w:t> </w:t>
      </w:r>
      <w:r>
        <w:rPr/>
        <w:t>marginalization</w:t>
      </w:r>
      <w:r>
        <w:rPr>
          <w:spacing w:val="-11"/>
        </w:rPr>
        <w:t> </w:t>
      </w:r>
      <w:r>
        <w:rPr/>
        <w:t>(Showalter,</w:t>
      </w:r>
      <w:r>
        <w:rPr>
          <w:spacing w:val="-9"/>
        </w:rPr>
        <w:t> </w:t>
      </w:r>
      <w:r>
        <w:rPr/>
        <w:t>1985;</w:t>
      </w:r>
      <w:r>
        <w:rPr>
          <w:spacing w:val="-9"/>
        </w:rPr>
        <w:t> </w:t>
      </w:r>
      <w:r>
        <w:rPr/>
        <w:t>Neely,</w:t>
      </w:r>
      <w:r>
        <w:rPr>
          <w:spacing w:val="-9"/>
        </w:rPr>
        <w:t> </w:t>
      </w:r>
      <w:r>
        <w:rPr>
          <w:spacing w:val="-2"/>
        </w:rPr>
        <w:t>1985).</w:t>
      </w:r>
    </w:p>
    <w:p>
      <w:pPr>
        <w:pStyle w:val="BodyText"/>
        <w:spacing w:line="249" w:lineRule="auto" w:before="66"/>
        <w:ind w:right="1439" w:firstLine="432"/>
        <w:jc w:val="both"/>
      </w:pPr>
      <w:r>
        <w:rPr>
          <w:spacing w:val="-4"/>
        </w:rPr>
        <w:t>Desdemona’s</w:t>
      </w:r>
      <w:r>
        <w:rPr>
          <w:spacing w:val="-9"/>
        </w:rPr>
        <w:t> </w:t>
      </w:r>
      <w:r>
        <w:rPr>
          <w:spacing w:val="-4"/>
        </w:rPr>
        <w:t>character</w:t>
      </w:r>
      <w:r>
        <w:rPr>
          <w:spacing w:val="-8"/>
        </w:rPr>
        <w:t> </w:t>
      </w:r>
      <w:r>
        <w:rPr>
          <w:spacing w:val="-4"/>
        </w:rPr>
        <w:t>similarly</w:t>
      </w:r>
      <w:r>
        <w:rPr>
          <w:spacing w:val="-9"/>
        </w:rPr>
        <w:t> </w:t>
      </w:r>
      <w:r>
        <w:rPr>
          <w:spacing w:val="-4"/>
        </w:rPr>
        <w:t>reflects</w:t>
      </w:r>
      <w:r>
        <w:rPr>
          <w:spacing w:val="-8"/>
        </w:rPr>
        <w:t> </w:t>
      </w:r>
      <w:r>
        <w:rPr>
          <w:spacing w:val="-4"/>
        </w:rPr>
        <w:t>obedience</w:t>
      </w:r>
      <w:r>
        <w:rPr>
          <w:spacing w:val="-9"/>
        </w:rPr>
        <w:t> </w:t>
      </w:r>
      <w:r>
        <w:rPr>
          <w:spacing w:val="-4"/>
        </w:rPr>
        <w:t>and</w:t>
      </w:r>
      <w:r>
        <w:rPr>
          <w:spacing w:val="-8"/>
        </w:rPr>
        <w:t> </w:t>
      </w:r>
      <w:r>
        <w:rPr>
          <w:spacing w:val="-4"/>
        </w:rPr>
        <w:t>vulnerability, </w:t>
      </w:r>
      <w:r>
        <w:rPr/>
        <w:t>as she initially conforms to the ideal feminine role by demonstrating loyalty</w:t>
      </w:r>
      <w:r>
        <w:rPr>
          <w:spacing w:val="-13"/>
        </w:rPr>
        <w:t> </w:t>
      </w:r>
      <w:r>
        <w:rPr/>
        <w:t>and</w:t>
      </w:r>
      <w:r>
        <w:rPr>
          <w:spacing w:val="-12"/>
        </w:rPr>
        <w:t> </w:t>
      </w:r>
      <w:r>
        <w:rPr/>
        <w:t>submission</w:t>
      </w:r>
      <w:r>
        <w:rPr>
          <w:spacing w:val="-13"/>
        </w:rPr>
        <w:t> </w:t>
      </w:r>
      <w:r>
        <w:rPr/>
        <w:t>to</w:t>
      </w:r>
      <w:r>
        <w:rPr>
          <w:spacing w:val="-12"/>
        </w:rPr>
        <w:t> </w:t>
      </w:r>
      <w:r>
        <w:rPr/>
        <w:t>Othello.</w:t>
      </w:r>
      <w:r>
        <w:rPr>
          <w:spacing w:val="-13"/>
        </w:rPr>
        <w:t> </w:t>
      </w:r>
      <w:r>
        <w:rPr/>
        <w:t>However,</w:t>
      </w:r>
      <w:r>
        <w:rPr>
          <w:spacing w:val="-12"/>
        </w:rPr>
        <w:t> </w:t>
      </w:r>
      <w:r>
        <w:rPr/>
        <w:t>her</w:t>
      </w:r>
      <w:r>
        <w:rPr>
          <w:spacing w:val="-13"/>
        </w:rPr>
        <w:t> </w:t>
      </w:r>
      <w:r>
        <w:rPr/>
        <w:t>choice</w:t>
      </w:r>
      <w:r>
        <w:rPr>
          <w:spacing w:val="-10"/>
        </w:rPr>
        <w:t> </w:t>
      </w:r>
      <w:r>
        <w:rPr/>
        <w:t>to</w:t>
      </w:r>
      <w:r>
        <w:rPr>
          <w:spacing w:val="-12"/>
        </w:rPr>
        <w:t> </w:t>
      </w:r>
      <w:r>
        <w:rPr/>
        <w:t>marry</w:t>
      </w:r>
      <w:r>
        <w:rPr>
          <w:spacing w:val="-13"/>
        </w:rPr>
        <w:t> </w:t>
      </w:r>
      <w:r>
        <w:rPr/>
        <w:t>Othello independently challenges patriarchal norms, marking her as a transgressive figure. Despite her assertiveness, Desdemona remains trapped</w:t>
      </w:r>
      <w:r>
        <w:rPr>
          <w:spacing w:val="-13"/>
        </w:rPr>
        <w:t> </w:t>
      </w:r>
      <w:r>
        <w:rPr/>
        <w:t>within</w:t>
      </w:r>
      <w:r>
        <w:rPr>
          <w:spacing w:val="-12"/>
        </w:rPr>
        <w:t> </w:t>
      </w:r>
      <w:r>
        <w:rPr/>
        <w:t>a</w:t>
      </w:r>
      <w:r>
        <w:rPr>
          <w:spacing w:val="-13"/>
        </w:rPr>
        <w:t> </w:t>
      </w:r>
      <w:r>
        <w:rPr/>
        <w:t>system</w:t>
      </w:r>
      <w:r>
        <w:rPr>
          <w:spacing w:val="-12"/>
        </w:rPr>
        <w:t> </w:t>
      </w:r>
      <w:r>
        <w:rPr/>
        <w:t>that</w:t>
      </w:r>
      <w:r>
        <w:rPr>
          <w:spacing w:val="-13"/>
        </w:rPr>
        <w:t> </w:t>
      </w:r>
      <w:r>
        <w:rPr/>
        <w:t>ultimately</w:t>
      </w:r>
      <w:r>
        <w:rPr>
          <w:spacing w:val="-12"/>
        </w:rPr>
        <w:t> </w:t>
      </w:r>
      <w:r>
        <w:rPr/>
        <w:t>punishes</w:t>
      </w:r>
      <w:r>
        <w:rPr>
          <w:spacing w:val="-13"/>
        </w:rPr>
        <w:t> </w:t>
      </w:r>
      <w:r>
        <w:rPr/>
        <w:t>her</w:t>
      </w:r>
      <w:r>
        <w:rPr>
          <w:spacing w:val="-12"/>
        </w:rPr>
        <w:t> </w:t>
      </w:r>
      <w:r>
        <w:rPr/>
        <w:t>for</w:t>
      </w:r>
      <w:r>
        <w:rPr>
          <w:spacing w:val="-13"/>
        </w:rPr>
        <w:t> </w:t>
      </w:r>
      <w:r>
        <w:rPr/>
        <w:t>Othello’s</w:t>
      </w:r>
      <w:r>
        <w:rPr>
          <w:spacing w:val="-12"/>
        </w:rPr>
        <w:t> </w:t>
      </w:r>
      <w:r>
        <w:rPr/>
        <w:t>violent jealousy. Her declaration, “I am hitherto your daughter. But here’s my husband”</w:t>
      </w:r>
      <w:r>
        <w:rPr>
          <w:spacing w:val="-5"/>
        </w:rPr>
        <w:t> </w:t>
      </w:r>
      <w:r>
        <w:rPr/>
        <w:t>(Othello,</w:t>
      </w:r>
      <w:r>
        <w:rPr>
          <w:spacing w:val="-13"/>
        </w:rPr>
        <w:t> </w:t>
      </w:r>
      <w:r>
        <w:rPr/>
        <w:t>Act</w:t>
      </w:r>
      <w:r>
        <w:rPr>
          <w:spacing w:val="-2"/>
        </w:rPr>
        <w:t> </w:t>
      </w:r>
      <w:r>
        <w:rPr/>
        <w:t>1,</w:t>
      </w:r>
      <w:r>
        <w:rPr>
          <w:spacing w:val="-3"/>
        </w:rPr>
        <w:t> </w:t>
      </w:r>
      <w:r>
        <w:rPr/>
        <w:t>Scene 3)</w:t>
      </w:r>
      <w:r>
        <w:rPr>
          <w:spacing w:val="-1"/>
        </w:rPr>
        <w:t> </w:t>
      </w:r>
      <w:r>
        <w:rPr/>
        <w:t>underscores</w:t>
      </w:r>
      <w:r>
        <w:rPr>
          <w:spacing w:val="-5"/>
        </w:rPr>
        <w:t> </w:t>
      </w:r>
      <w:r>
        <w:rPr/>
        <w:t>the tension</w:t>
      </w:r>
      <w:r>
        <w:rPr>
          <w:spacing w:val="-5"/>
        </w:rPr>
        <w:t> </w:t>
      </w:r>
      <w:r>
        <w:rPr/>
        <w:t>between</w:t>
      </w:r>
      <w:r>
        <w:rPr>
          <w:spacing w:val="-3"/>
        </w:rPr>
        <w:t> </w:t>
      </w:r>
      <w:r>
        <w:rPr/>
        <w:t>her agency and patriarchal ownership. Desdemona’s silencing is literal and fatal,</w:t>
      </w:r>
      <w:r>
        <w:rPr>
          <w:spacing w:val="-13"/>
        </w:rPr>
        <w:t> </w:t>
      </w:r>
      <w:r>
        <w:rPr/>
        <w:t>as</w:t>
      </w:r>
      <w:r>
        <w:rPr>
          <w:spacing w:val="-12"/>
        </w:rPr>
        <w:t> </w:t>
      </w:r>
      <w:r>
        <w:rPr/>
        <w:t>she</w:t>
      </w:r>
      <w:r>
        <w:rPr>
          <w:spacing w:val="-13"/>
        </w:rPr>
        <w:t> </w:t>
      </w:r>
      <w:r>
        <w:rPr/>
        <w:t>is</w:t>
      </w:r>
      <w:r>
        <w:rPr>
          <w:spacing w:val="-12"/>
        </w:rPr>
        <w:t> </w:t>
      </w:r>
      <w:r>
        <w:rPr/>
        <w:t>murdered</w:t>
      </w:r>
      <w:r>
        <w:rPr>
          <w:spacing w:val="-13"/>
        </w:rPr>
        <w:t> </w:t>
      </w:r>
      <w:r>
        <w:rPr/>
        <w:t>by</w:t>
      </w:r>
      <w:r>
        <w:rPr>
          <w:spacing w:val="-12"/>
        </w:rPr>
        <w:t> </w:t>
      </w:r>
      <w:r>
        <w:rPr/>
        <w:t>Othello,</w:t>
      </w:r>
      <w:r>
        <w:rPr>
          <w:spacing w:val="-13"/>
        </w:rPr>
        <w:t> </w:t>
      </w:r>
      <w:r>
        <w:rPr/>
        <w:t>reflecting</w:t>
      </w:r>
      <w:r>
        <w:rPr>
          <w:spacing w:val="-12"/>
        </w:rPr>
        <w:t> </w:t>
      </w:r>
      <w:r>
        <w:rPr/>
        <w:t>the</w:t>
      </w:r>
      <w:r>
        <w:rPr>
          <w:spacing w:val="-11"/>
        </w:rPr>
        <w:t> </w:t>
      </w:r>
      <w:r>
        <w:rPr/>
        <w:t>extreme</w:t>
      </w:r>
      <w:r>
        <w:rPr>
          <w:spacing w:val="-11"/>
        </w:rPr>
        <w:t> </w:t>
      </w:r>
      <w:r>
        <w:rPr/>
        <w:t>consequences </w:t>
      </w:r>
      <w:r>
        <w:rPr>
          <w:spacing w:val="-4"/>
        </w:rPr>
        <w:t>of</w:t>
      </w:r>
      <w:r>
        <w:rPr>
          <w:spacing w:val="-6"/>
        </w:rPr>
        <w:t> </w:t>
      </w:r>
      <w:r>
        <w:rPr>
          <w:spacing w:val="-4"/>
        </w:rPr>
        <w:t>female transgression</w:t>
      </w:r>
      <w:r>
        <w:rPr>
          <w:spacing w:val="-9"/>
        </w:rPr>
        <w:t> </w:t>
      </w:r>
      <w:r>
        <w:rPr>
          <w:spacing w:val="-4"/>
        </w:rPr>
        <w:t>in a patriarchal society</w:t>
      </w:r>
      <w:r>
        <w:rPr>
          <w:spacing w:val="-9"/>
        </w:rPr>
        <w:t> </w:t>
      </w:r>
      <w:r>
        <w:rPr>
          <w:spacing w:val="-4"/>
        </w:rPr>
        <w:t>(Loomba, 1989; Greenblatt, </w:t>
      </w:r>
      <w:r>
        <w:rPr>
          <w:spacing w:val="-2"/>
        </w:rPr>
        <w:t>1980).</w:t>
      </w:r>
    </w:p>
    <w:p>
      <w:pPr>
        <w:pStyle w:val="BodyText"/>
        <w:spacing w:line="249" w:lineRule="auto" w:before="70"/>
        <w:ind w:right="1437" w:firstLine="432"/>
        <w:jc w:val="both"/>
      </w:pPr>
      <w:r>
        <w:rPr/>
        <w:t>Both characters’ trajectories reveal how submission within patriarchal structures limits female agency, with obedience resulting in marginalization, silencing, and vulnerability.</w:t>
      </w:r>
    </w:p>
    <w:p>
      <w:pPr>
        <w:pStyle w:val="Heading5"/>
        <w:numPr>
          <w:ilvl w:val="1"/>
          <w:numId w:val="31"/>
        </w:numPr>
        <w:tabs>
          <w:tab w:pos="1838" w:val="left" w:leader="none"/>
        </w:tabs>
        <w:spacing w:line="240" w:lineRule="auto" w:before="107" w:after="0"/>
        <w:ind w:left="1838" w:right="0" w:hanging="398"/>
        <w:jc w:val="left"/>
      </w:pPr>
      <w:r>
        <w:rPr>
          <w:w w:val="105"/>
        </w:rPr>
        <w:t>Cordelia</w:t>
      </w:r>
      <w:r>
        <w:rPr>
          <w:spacing w:val="34"/>
          <w:w w:val="105"/>
        </w:rPr>
        <w:t> </w:t>
      </w:r>
      <w:r>
        <w:rPr>
          <w:w w:val="105"/>
        </w:rPr>
        <w:t>(King</w:t>
      </w:r>
      <w:r>
        <w:rPr>
          <w:spacing w:val="40"/>
          <w:w w:val="105"/>
        </w:rPr>
        <w:t> </w:t>
      </w:r>
      <w:r>
        <w:rPr>
          <w:w w:val="105"/>
        </w:rPr>
        <w:t>Lear):</w:t>
      </w:r>
      <w:r>
        <w:rPr>
          <w:spacing w:val="38"/>
          <w:w w:val="105"/>
        </w:rPr>
        <w:t> </w:t>
      </w:r>
      <w:r>
        <w:rPr>
          <w:w w:val="105"/>
        </w:rPr>
        <w:t>Silence</w:t>
      </w:r>
      <w:r>
        <w:rPr>
          <w:spacing w:val="38"/>
          <w:w w:val="105"/>
        </w:rPr>
        <w:t> </w:t>
      </w:r>
      <w:r>
        <w:rPr>
          <w:w w:val="105"/>
        </w:rPr>
        <w:t>as</w:t>
      </w:r>
      <w:r>
        <w:rPr>
          <w:spacing w:val="35"/>
          <w:w w:val="105"/>
        </w:rPr>
        <w:t> </w:t>
      </w:r>
      <w:r>
        <w:rPr>
          <w:w w:val="105"/>
        </w:rPr>
        <w:t>Moral</w:t>
      </w:r>
      <w:r>
        <w:rPr>
          <w:spacing w:val="38"/>
          <w:w w:val="105"/>
        </w:rPr>
        <w:t> </w:t>
      </w:r>
      <w:r>
        <w:rPr>
          <w:spacing w:val="-2"/>
          <w:w w:val="105"/>
        </w:rPr>
        <w:t>Resistance</w:t>
      </w:r>
    </w:p>
    <w:p>
      <w:pPr>
        <w:pStyle w:val="BodyText"/>
        <w:spacing w:line="249" w:lineRule="auto" w:before="74"/>
        <w:ind w:right="1441" w:firstLine="432"/>
        <w:jc w:val="both"/>
      </w:pPr>
      <w:r>
        <w:rPr/>
        <w:t>Cordelia’s refusal to engage in performative declarations of love for her father, King Lear, manifests as deliberate ethical resistance to patriarchal expectations. When Lear demands flattery, Cordelia replies succinctly,</w:t>
      </w:r>
      <w:r>
        <w:rPr>
          <w:spacing w:val="-13"/>
        </w:rPr>
        <w:t> </w:t>
      </w:r>
      <w:r>
        <w:rPr/>
        <w:t>“Nothing,</w:t>
      </w:r>
      <w:r>
        <w:rPr>
          <w:spacing w:val="-11"/>
        </w:rPr>
        <w:t> </w:t>
      </w:r>
      <w:r>
        <w:rPr/>
        <w:t>my</w:t>
      </w:r>
      <w:r>
        <w:rPr>
          <w:spacing w:val="-13"/>
        </w:rPr>
        <w:t> </w:t>
      </w:r>
      <w:r>
        <w:rPr/>
        <w:t>lord”</w:t>
      </w:r>
      <w:r>
        <w:rPr>
          <w:spacing w:val="-10"/>
        </w:rPr>
        <w:t> </w:t>
      </w:r>
      <w:r>
        <w:rPr/>
        <w:t>(King</w:t>
      </w:r>
      <w:r>
        <w:rPr>
          <w:spacing w:val="-9"/>
        </w:rPr>
        <w:t> </w:t>
      </w:r>
      <w:r>
        <w:rPr/>
        <w:t>Lear,</w:t>
      </w:r>
      <w:r>
        <w:rPr>
          <w:spacing w:val="-13"/>
        </w:rPr>
        <w:t> </w:t>
      </w:r>
      <w:r>
        <w:rPr/>
        <w:t>Act</w:t>
      </w:r>
      <w:r>
        <w:rPr>
          <w:spacing w:val="-9"/>
        </w:rPr>
        <w:t> </w:t>
      </w:r>
      <w:r>
        <w:rPr/>
        <w:t>1,</w:t>
      </w:r>
      <w:r>
        <w:rPr>
          <w:spacing w:val="-11"/>
        </w:rPr>
        <w:t> </w:t>
      </w:r>
      <w:r>
        <w:rPr/>
        <w:t>Scene</w:t>
      </w:r>
      <w:r>
        <w:rPr>
          <w:spacing w:val="-8"/>
        </w:rPr>
        <w:t> </w:t>
      </w:r>
      <w:r>
        <w:rPr/>
        <w:t>1),</w:t>
      </w:r>
      <w:r>
        <w:rPr>
          <w:spacing w:val="-9"/>
        </w:rPr>
        <w:t> </w:t>
      </w:r>
      <w:r>
        <w:rPr/>
        <w:t>rejecting</w:t>
      </w:r>
      <w:r>
        <w:rPr>
          <w:spacing w:val="-9"/>
        </w:rPr>
        <w:t> </w:t>
      </w:r>
      <w:r>
        <w:rPr/>
        <w:t>the superficial</w:t>
      </w:r>
      <w:r>
        <w:rPr>
          <w:spacing w:val="-5"/>
        </w:rPr>
        <w:t> </w:t>
      </w:r>
      <w:r>
        <w:rPr/>
        <w:t>expressions</w:t>
      </w:r>
      <w:r>
        <w:rPr>
          <w:spacing w:val="-6"/>
        </w:rPr>
        <w:t> </w:t>
      </w:r>
      <w:r>
        <w:rPr/>
        <w:t>of</w:t>
      </w:r>
      <w:r>
        <w:rPr>
          <w:spacing w:val="-7"/>
        </w:rPr>
        <w:t> </w:t>
      </w:r>
      <w:r>
        <w:rPr/>
        <w:t>obedience</w:t>
      </w:r>
      <w:r>
        <w:rPr>
          <w:spacing w:val="-5"/>
        </w:rPr>
        <w:t> </w:t>
      </w:r>
      <w:r>
        <w:rPr/>
        <w:t>expected</w:t>
      </w:r>
      <w:r>
        <w:rPr>
          <w:spacing w:val="-4"/>
        </w:rPr>
        <w:t> </w:t>
      </w:r>
      <w:r>
        <w:rPr/>
        <w:t>of</w:t>
      </w:r>
      <w:r>
        <w:rPr>
          <w:spacing w:val="-6"/>
        </w:rPr>
        <w:t> </w:t>
      </w:r>
      <w:r>
        <w:rPr/>
        <w:t>women.</w:t>
      </w:r>
      <w:r>
        <w:rPr>
          <w:spacing w:val="-5"/>
        </w:rPr>
        <w:t> </w:t>
      </w:r>
      <w:r>
        <w:rPr/>
        <w:t>This</w:t>
      </w:r>
      <w:r>
        <w:rPr>
          <w:spacing w:val="-4"/>
        </w:rPr>
        <w:t> </w:t>
      </w:r>
      <w:r>
        <w:rPr/>
        <w:t>silence</w:t>
      </w:r>
      <w:r>
        <w:rPr>
          <w:spacing w:val="-4"/>
        </w:rPr>
        <w:t> </w:t>
      </w:r>
      <w:r>
        <w:rPr>
          <w:spacing w:val="-5"/>
        </w:rPr>
        <w:t>is</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19936">
                <wp:simplePos x="0" y="0"/>
                <wp:positionH relativeFrom="page">
                  <wp:posOffset>2065020</wp:posOffset>
                </wp:positionH>
                <wp:positionV relativeFrom="paragraph">
                  <wp:posOffset>795020</wp:posOffset>
                </wp:positionV>
                <wp:extent cx="3657600" cy="12700"/>
                <wp:effectExtent l="0" t="0" r="0" b="0"/>
                <wp:wrapTopAndBottom/>
                <wp:docPr id="399" name="Graphic 399"/>
                <wp:cNvGraphicFramePr>
                  <a:graphicFrameLocks/>
                </wp:cNvGraphicFramePr>
                <a:graphic>
                  <a:graphicData uri="http://schemas.microsoft.com/office/word/2010/wordprocessingShape">
                    <wps:wsp>
                      <wps:cNvPr id="399" name="Graphic 39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96544;mso-wrap-distance-left:0;mso-wrap-distance-right:0" id="docshape394" filled="true" fillcolor="#000000" stroked="false">
                <v:fill type="solid"/>
                <w10:wrap type="topAndBottom"/>
              </v:rect>
            </w:pict>
          </mc:Fallback>
        </mc:AlternateContent>
      </w: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6"/>
          <w:sz w:val="18"/>
        </w:rPr>
        <w:t> </w:t>
      </w:r>
      <w:r>
        <w:rPr>
          <w:rFonts w:ascii="Verdana" w:hAnsi="Verdana"/>
          <w:sz w:val="18"/>
        </w:rPr>
        <w:t>Marginalisation:</w:t>
      </w:r>
      <w:r>
        <w:rPr>
          <w:rFonts w:ascii="Verdana" w:hAnsi="Verdana"/>
          <w:spacing w:val="4"/>
          <w:sz w:val="18"/>
        </w:rPr>
        <w:t> </w:t>
      </w:r>
      <w:r>
        <w:rPr>
          <w:rFonts w:ascii="Verdana" w:hAnsi="Verdana"/>
          <w:sz w:val="18"/>
        </w:rPr>
        <w:t>Women</w:t>
      </w:r>
      <w:r>
        <w:rPr>
          <w:rFonts w:ascii="Verdana" w:hAnsi="Verdana"/>
          <w:spacing w:val="9"/>
          <w:sz w:val="18"/>
        </w:rPr>
        <w:t> </w:t>
      </w:r>
      <w:r>
        <w:rPr>
          <w:rFonts w:ascii="Verdana" w:hAnsi="Verdana"/>
          <w:sz w:val="18"/>
        </w:rPr>
        <w:t>as</w:t>
      </w:r>
      <w:r>
        <w:rPr>
          <w:rFonts w:ascii="Verdana" w:hAnsi="Verdana"/>
          <w:spacing w:val="4"/>
          <w:sz w:val="18"/>
        </w:rPr>
        <w:t> </w:t>
      </w:r>
      <w:r>
        <w:rPr>
          <w:rFonts w:ascii="Verdana" w:hAnsi="Verdana"/>
          <w:sz w:val="18"/>
        </w:rPr>
        <w:t>“Other”</w:t>
      </w:r>
      <w:r>
        <w:rPr>
          <w:rFonts w:ascii="Verdana" w:hAnsi="Verdana"/>
          <w:spacing w:val="4"/>
          <w:sz w:val="18"/>
        </w:rPr>
        <w:t> </w:t>
      </w:r>
      <w:r>
        <w:rPr>
          <w:rFonts w:ascii="Verdana" w:hAnsi="Verdana"/>
          <w:spacing w:val="-2"/>
          <w:sz w:val="18"/>
        </w:rPr>
        <w:t>in...</w:t>
      </w:r>
      <w:r>
        <w:rPr>
          <w:sz w:val="18"/>
        </w:rPr>
        <w:tab/>
      </w:r>
      <w:r>
        <w:rPr>
          <w:rFonts w:ascii="Verdana" w:hAnsi="Verdana"/>
          <w:spacing w:val="-5"/>
          <w:sz w:val="18"/>
        </w:rPr>
        <w:t>161</w:t>
      </w:r>
    </w:p>
    <w:p>
      <w:pPr>
        <w:pStyle w:val="BodyText"/>
        <w:spacing w:line="249" w:lineRule="auto" w:before="192"/>
        <w:ind w:right="1440"/>
        <w:jc w:val="both"/>
      </w:pPr>
      <w:r>
        <w:rPr/>
        <w:t>not a passive submission but a principled stance that challenges the patriarchal demand for performative loyalty (French, 1981).</w:t>
      </w:r>
    </w:p>
    <w:p>
      <w:pPr>
        <w:pStyle w:val="BodyText"/>
        <w:spacing w:line="249" w:lineRule="auto" w:before="59"/>
        <w:ind w:right="1439" w:firstLine="432"/>
        <w:jc w:val="both"/>
      </w:pPr>
      <w:r>
        <w:rPr/>
        <w:t>Her moral resistance results in disinheritance and exile, demonstrating the punitive mechanisms that enforce conformity to patriarchal</w:t>
      </w:r>
      <w:r>
        <w:rPr>
          <w:spacing w:val="-13"/>
        </w:rPr>
        <w:t> </w:t>
      </w:r>
      <w:r>
        <w:rPr/>
        <w:t>systems.</w:t>
      </w:r>
      <w:r>
        <w:rPr>
          <w:spacing w:val="-12"/>
        </w:rPr>
        <w:t> </w:t>
      </w:r>
      <w:r>
        <w:rPr/>
        <w:t>Cordelia’s</w:t>
      </w:r>
      <w:r>
        <w:rPr>
          <w:spacing w:val="-13"/>
        </w:rPr>
        <w:t> </w:t>
      </w:r>
      <w:r>
        <w:rPr/>
        <w:t>silence</w:t>
      </w:r>
      <w:r>
        <w:rPr>
          <w:spacing w:val="-12"/>
        </w:rPr>
        <w:t> </w:t>
      </w:r>
      <w:r>
        <w:rPr/>
        <w:t>thus</w:t>
      </w:r>
      <w:r>
        <w:rPr>
          <w:spacing w:val="-13"/>
        </w:rPr>
        <w:t> </w:t>
      </w:r>
      <w:r>
        <w:rPr/>
        <w:t>becomes</w:t>
      </w:r>
      <w:r>
        <w:rPr>
          <w:spacing w:val="-12"/>
        </w:rPr>
        <w:t> </w:t>
      </w:r>
      <w:r>
        <w:rPr/>
        <w:t>a</w:t>
      </w:r>
      <w:r>
        <w:rPr>
          <w:spacing w:val="-13"/>
        </w:rPr>
        <w:t> </w:t>
      </w:r>
      <w:r>
        <w:rPr/>
        <w:t>powerful</w:t>
      </w:r>
      <w:r>
        <w:rPr>
          <w:spacing w:val="-12"/>
        </w:rPr>
        <w:t> </w:t>
      </w:r>
      <w:r>
        <w:rPr/>
        <w:t>feminist assertion of integrity and autonomy, standing in opposition to male authority, even at great personal cost. Her marginalization underscores the</w:t>
      </w:r>
      <w:r>
        <w:rPr>
          <w:spacing w:val="-1"/>
        </w:rPr>
        <w:t> </w:t>
      </w:r>
      <w:r>
        <w:rPr/>
        <w:t>tension</w:t>
      </w:r>
      <w:r>
        <w:rPr>
          <w:spacing w:val="-2"/>
        </w:rPr>
        <w:t> </w:t>
      </w:r>
      <w:r>
        <w:rPr/>
        <w:t>between</w:t>
      </w:r>
      <w:r>
        <w:rPr>
          <w:spacing w:val="-4"/>
        </w:rPr>
        <w:t> </w:t>
      </w:r>
      <w:r>
        <w:rPr/>
        <w:t>female</w:t>
      </w:r>
      <w:r>
        <w:rPr>
          <w:spacing w:val="-2"/>
        </w:rPr>
        <w:t> </w:t>
      </w:r>
      <w:r>
        <w:rPr/>
        <w:t>agency</w:t>
      </w:r>
      <w:r>
        <w:rPr>
          <w:spacing w:val="-4"/>
        </w:rPr>
        <w:t> </w:t>
      </w:r>
      <w:r>
        <w:rPr/>
        <w:t>and</w:t>
      </w:r>
      <w:r>
        <w:rPr>
          <w:spacing w:val="-2"/>
        </w:rPr>
        <w:t> </w:t>
      </w:r>
      <w:r>
        <w:rPr/>
        <w:t>patriarchal</w:t>
      </w:r>
      <w:r>
        <w:rPr>
          <w:spacing w:val="-3"/>
        </w:rPr>
        <w:t> </w:t>
      </w:r>
      <w:r>
        <w:rPr/>
        <w:t>control,</w:t>
      </w:r>
      <w:r>
        <w:rPr>
          <w:spacing w:val="-1"/>
        </w:rPr>
        <w:t> </w:t>
      </w:r>
      <w:r>
        <w:rPr/>
        <w:t>highlighting how the refusal to conform disrupts established power relations (Kahn, </w:t>
      </w:r>
      <w:r>
        <w:rPr>
          <w:spacing w:val="-2"/>
        </w:rPr>
        <w:t>1986).</w:t>
      </w:r>
    </w:p>
    <w:p>
      <w:pPr>
        <w:pStyle w:val="Heading5"/>
        <w:numPr>
          <w:ilvl w:val="1"/>
          <w:numId w:val="31"/>
        </w:numPr>
        <w:tabs>
          <w:tab w:pos="1963" w:val="left" w:leader="none"/>
        </w:tabs>
        <w:spacing w:line="244" w:lineRule="auto" w:before="114" w:after="0"/>
        <w:ind w:left="1440" w:right="1439" w:firstLine="0"/>
        <w:jc w:val="left"/>
      </w:pPr>
      <w:r>
        <w:rPr>
          <w:spacing w:val="12"/>
          <w:w w:val="105"/>
        </w:rPr>
        <w:t>Lady</w:t>
      </w:r>
      <w:r>
        <w:rPr>
          <w:spacing w:val="40"/>
          <w:w w:val="105"/>
        </w:rPr>
        <w:t>  </w:t>
      </w:r>
      <w:r>
        <w:rPr>
          <w:spacing w:val="13"/>
          <w:w w:val="105"/>
        </w:rPr>
        <w:t>Macbeth</w:t>
      </w:r>
      <w:r>
        <w:rPr>
          <w:spacing w:val="40"/>
          <w:w w:val="105"/>
        </w:rPr>
        <w:t>  </w:t>
      </w:r>
      <w:r>
        <w:rPr>
          <w:spacing w:val="13"/>
          <w:w w:val="105"/>
        </w:rPr>
        <w:t>(Macbeth):</w:t>
      </w:r>
      <w:r>
        <w:rPr>
          <w:spacing w:val="40"/>
          <w:w w:val="105"/>
        </w:rPr>
        <w:t>  </w:t>
      </w:r>
      <w:r>
        <w:rPr>
          <w:spacing w:val="13"/>
          <w:w w:val="105"/>
        </w:rPr>
        <w:t>Ambition</w:t>
      </w:r>
      <w:r>
        <w:rPr>
          <w:spacing w:val="40"/>
          <w:w w:val="105"/>
        </w:rPr>
        <w:t>  </w:t>
      </w:r>
      <w:r>
        <w:rPr>
          <w:spacing w:val="10"/>
          <w:w w:val="105"/>
        </w:rPr>
        <w:t>and </w:t>
      </w:r>
      <w:r>
        <w:rPr>
          <w:w w:val="105"/>
        </w:rPr>
        <w:t>Disrupting</w:t>
      </w:r>
      <w:r>
        <w:rPr>
          <w:spacing w:val="40"/>
          <w:w w:val="105"/>
        </w:rPr>
        <w:t> </w:t>
      </w:r>
      <w:r>
        <w:rPr>
          <w:w w:val="105"/>
        </w:rPr>
        <w:t>Gender</w:t>
      </w:r>
      <w:r>
        <w:rPr>
          <w:spacing w:val="40"/>
          <w:w w:val="105"/>
        </w:rPr>
        <w:t> </w:t>
      </w:r>
      <w:r>
        <w:rPr>
          <w:w w:val="105"/>
        </w:rPr>
        <w:t>Norms</w:t>
      </w:r>
    </w:p>
    <w:p>
      <w:pPr>
        <w:pStyle w:val="BodyText"/>
        <w:spacing w:line="249" w:lineRule="auto" w:before="68"/>
        <w:ind w:right="1438" w:firstLine="432"/>
        <w:jc w:val="both"/>
      </w:pPr>
      <w:r>
        <w:rPr>
          <w:spacing w:val="-2"/>
        </w:rPr>
        <w:t>Lady</w:t>
      </w:r>
      <w:r>
        <w:rPr>
          <w:spacing w:val="-11"/>
        </w:rPr>
        <w:t> </w:t>
      </w:r>
      <w:r>
        <w:rPr>
          <w:spacing w:val="-2"/>
        </w:rPr>
        <w:t>Macbeth</w:t>
      </w:r>
      <w:r>
        <w:rPr>
          <w:spacing w:val="-3"/>
        </w:rPr>
        <w:t> </w:t>
      </w:r>
      <w:r>
        <w:rPr>
          <w:spacing w:val="-2"/>
        </w:rPr>
        <w:t>represents</w:t>
      </w:r>
      <w:r>
        <w:rPr>
          <w:spacing w:val="-6"/>
        </w:rPr>
        <w:t> </w:t>
      </w:r>
      <w:r>
        <w:rPr>
          <w:spacing w:val="-2"/>
        </w:rPr>
        <w:t>a</w:t>
      </w:r>
      <w:r>
        <w:rPr>
          <w:spacing w:val="-4"/>
        </w:rPr>
        <w:t> </w:t>
      </w:r>
      <w:r>
        <w:rPr>
          <w:spacing w:val="-2"/>
        </w:rPr>
        <w:t>direct challenge</w:t>
      </w:r>
      <w:r>
        <w:rPr>
          <w:spacing w:val="-4"/>
        </w:rPr>
        <w:t> </w:t>
      </w:r>
      <w:r>
        <w:rPr>
          <w:spacing w:val="-2"/>
        </w:rPr>
        <w:t>to traditional</w:t>
      </w:r>
      <w:r>
        <w:rPr>
          <w:spacing w:val="-6"/>
        </w:rPr>
        <w:t> </w:t>
      </w:r>
      <w:r>
        <w:rPr>
          <w:spacing w:val="-2"/>
        </w:rPr>
        <w:t>femininity </w:t>
      </w:r>
      <w:r>
        <w:rPr/>
        <w:t>through</w:t>
      </w:r>
      <w:r>
        <w:rPr>
          <w:spacing w:val="-13"/>
        </w:rPr>
        <w:t> </w:t>
      </w:r>
      <w:r>
        <w:rPr/>
        <w:t>her</w:t>
      </w:r>
      <w:r>
        <w:rPr>
          <w:spacing w:val="-8"/>
        </w:rPr>
        <w:t> </w:t>
      </w:r>
      <w:r>
        <w:rPr/>
        <w:t>explicit</w:t>
      </w:r>
      <w:r>
        <w:rPr>
          <w:spacing w:val="-12"/>
        </w:rPr>
        <w:t> </w:t>
      </w:r>
      <w:r>
        <w:rPr/>
        <w:t>ambition</w:t>
      </w:r>
      <w:r>
        <w:rPr>
          <w:spacing w:val="-10"/>
        </w:rPr>
        <w:t> </w:t>
      </w:r>
      <w:r>
        <w:rPr/>
        <w:t>and</w:t>
      </w:r>
      <w:r>
        <w:rPr>
          <w:spacing w:val="-10"/>
        </w:rPr>
        <w:t> </w:t>
      </w:r>
      <w:r>
        <w:rPr/>
        <w:t>desire</w:t>
      </w:r>
      <w:r>
        <w:rPr>
          <w:spacing w:val="-9"/>
        </w:rPr>
        <w:t> </w:t>
      </w:r>
      <w:r>
        <w:rPr/>
        <w:t>for</w:t>
      </w:r>
      <w:r>
        <w:rPr>
          <w:spacing w:val="-12"/>
        </w:rPr>
        <w:t> </w:t>
      </w:r>
      <w:r>
        <w:rPr/>
        <w:t>power.</w:t>
      </w:r>
      <w:r>
        <w:rPr>
          <w:spacing w:val="-8"/>
        </w:rPr>
        <w:t> </w:t>
      </w:r>
      <w:r>
        <w:rPr/>
        <w:t>Her</w:t>
      </w:r>
      <w:r>
        <w:rPr>
          <w:spacing w:val="-12"/>
        </w:rPr>
        <w:t> </w:t>
      </w:r>
      <w:r>
        <w:rPr/>
        <w:t>invocation</w:t>
      </w:r>
      <w:r>
        <w:rPr>
          <w:spacing w:val="-10"/>
        </w:rPr>
        <w:t> </w:t>
      </w:r>
      <w:r>
        <w:rPr/>
        <w:t>to</w:t>
      </w:r>
      <w:r>
        <w:rPr>
          <w:spacing w:val="-10"/>
        </w:rPr>
        <w:t> </w:t>
      </w:r>
      <w:r>
        <w:rPr/>
        <w:t>the spirits—”Come, you spirits / That tend on mortal thoughts, unsex me here” (Macbeth, Act 1, Scene 5)—expresses a wish to shed feminine qualities associated with weakness and assume masculine traits associated with strength and ruthlessness. This invocation signals her rejection of prescribed gender roles and her aspiration to transcend patriarchal boundaries (Adelman, 1992).</w:t>
      </w:r>
    </w:p>
    <w:p>
      <w:pPr>
        <w:pStyle w:val="BodyText"/>
        <w:spacing w:line="249" w:lineRule="auto" w:before="64"/>
        <w:ind w:right="1438" w:firstLine="432"/>
        <w:jc w:val="both"/>
      </w:pPr>
      <w:r>
        <w:rPr/>
        <w:t>Shakespeare frames Lady Macbeth’s power as both formidable and destabilizing. Her manipulation of Macbeth and orchestration of Duncan’s murder evoke anxieties about female autonomy and the </w:t>
      </w:r>
      <w:r>
        <w:rPr>
          <w:spacing w:val="-2"/>
        </w:rPr>
        <w:t>disruption</w:t>
      </w:r>
      <w:r>
        <w:rPr>
          <w:spacing w:val="-9"/>
        </w:rPr>
        <w:t> </w:t>
      </w:r>
      <w:r>
        <w:rPr>
          <w:spacing w:val="-2"/>
        </w:rPr>
        <w:t>of</w:t>
      </w:r>
      <w:r>
        <w:rPr>
          <w:spacing w:val="-7"/>
        </w:rPr>
        <w:t> </w:t>
      </w:r>
      <w:r>
        <w:rPr>
          <w:spacing w:val="-2"/>
        </w:rPr>
        <w:t>gender</w:t>
      </w:r>
      <w:r>
        <w:rPr>
          <w:spacing w:val="-7"/>
        </w:rPr>
        <w:t> </w:t>
      </w:r>
      <w:r>
        <w:rPr>
          <w:spacing w:val="-2"/>
        </w:rPr>
        <w:t>hierarchy.</w:t>
      </w:r>
      <w:r>
        <w:rPr>
          <w:spacing w:val="-9"/>
        </w:rPr>
        <w:t> </w:t>
      </w:r>
      <w:r>
        <w:rPr>
          <w:spacing w:val="-2"/>
        </w:rPr>
        <w:t>The</w:t>
      </w:r>
      <w:r>
        <w:rPr>
          <w:spacing w:val="-5"/>
        </w:rPr>
        <w:t> </w:t>
      </w:r>
      <w:r>
        <w:rPr>
          <w:spacing w:val="-2"/>
        </w:rPr>
        <w:t>portrayal</w:t>
      </w:r>
      <w:r>
        <w:rPr>
          <w:spacing w:val="-4"/>
        </w:rPr>
        <w:t> </w:t>
      </w:r>
      <w:r>
        <w:rPr>
          <w:spacing w:val="-2"/>
        </w:rPr>
        <w:t>of</w:t>
      </w:r>
      <w:r>
        <w:rPr>
          <w:spacing w:val="-7"/>
        </w:rPr>
        <w:t> </w:t>
      </w:r>
      <w:r>
        <w:rPr>
          <w:spacing w:val="-2"/>
        </w:rPr>
        <w:t>her</w:t>
      </w:r>
      <w:r>
        <w:rPr>
          <w:spacing w:val="-5"/>
        </w:rPr>
        <w:t> </w:t>
      </w:r>
      <w:r>
        <w:rPr>
          <w:spacing w:val="-2"/>
        </w:rPr>
        <w:t>ambition</w:t>
      </w:r>
      <w:r>
        <w:rPr>
          <w:spacing w:val="-9"/>
        </w:rPr>
        <w:t> </w:t>
      </w:r>
      <w:r>
        <w:rPr>
          <w:spacing w:val="-2"/>
        </w:rPr>
        <w:t>as</w:t>
      </w:r>
      <w:r>
        <w:rPr>
          <w:spacing w:val="-7"/>
        </w:rPr>
        <w:t> </w:t>
      </w:r>
      <w:r>
        <w:rPr>
          <w:spacing w:val="-2"/>
        </w:rPr>
        <w:t>unnatural </w:t>
      </w:r>
      <w:r>
        <w:rPr/>
        <w:t>and destructive culminates in her psychological unraveling and death, reinforcing patriarchal fears of independent women wielding power. Lady</w:t>
      </w:r>
      <w:r>
        <w:rPr>
          <w:spacing w:val="-13"/>
        </w:rPr>
        <w:t> </w:t>
      </w:r>
      <w:r>
        <w:rPr/>
        <w:t>Macbeth’s</w:t>
      </w:r>
      <w:r>
        <w:rPr>
          <w:spacing w:val="-9"/>
        </w:rPr>
        <w:t> </w:t>
      </w:r>
      <w:r>
        <w:rPr/>
        <w:t>trajectory</w:t>
      </w:r>
      <w:r>
        <w:rPr>
          <w:spacing w:val="-12"/>
        </w:rPr>
        <w:t> </w:t>
      </w:r>
      <w:r>
        <w:rPr/>
        <w:t>embodies</w:t>
      </w:r>
      <w:r>
        <w:rPr>
          <w:spacing w:val="-11"/>
        </w:rPr>
        <w:t> </w:t>
      </w:r>
      <w:r>
        <w:rPr/>
        <w:t>the</w:t>
      </w:r>
      <w:r>
        <w:rPr>
          <w:spacing w:val="-11"/>
        </w:rPr>
        <w:t> </w:t>
      </w:r>
      <w:r>
        <w:rPr/>
        <w:t>gendered</w:t>
      </w:r>
      <w:r>
        <w:rPr>
          <w:spacing w:val="-7"/>
        </w:rPr>
        <w:t> </w:t>
      </w:r>
      <w:r>
        <w:rPr/>
        <w:t>anxieties</w:t>
      </w:r>
      <w:r>
        <w:rPr>
          <w:spacing w:val="-11"/>
        </w:rPr>
        <w:t> </w:t>
      </w:r>
      <w:r>
        <w:rPr/>
        <w:t>surrounding female agency, illustrating how patriarchal discourse pathologizes and punishes female ambition (Callaghan, 1989).</w:t>
      </w:r>
    </w:p>
    <w:p>
      <w:pPr>
        <w:pStyle w:val="BodyText"/>
        <w:spacing w:line="249" w:lineRule="auto" w:before="67"/>
        <w:ind w:right="1438" w:firstLine="432"/>
        <w:jc w:val="both"/>
      </w:pPr>
      <w:r>
        <w:rPr/>
        <w:t>These character analyses, grounded in feminist theoretical perspectives on “otherness,” reveal the multifaceted ways in which Shakespeare’s women navigate, resist, or succumb to patriarchal constraints. Their experiences of obedience, silence, resistance, and </w:t>
      </w:r>
      <w:r>
        <w:rPr>
          <w:spacing w:val="-2"/>
        </w:rPr>
        <w:t>transgression</w:t>
      </w:r>
      <w:r>
        <w:rPr>
          <w:spacing w:val="-3"/>
        </w:rPr>
        <w:t> </w:t>
      </w:r>
      <w:r>
        <w:rPr>
          <w:spacing w:val="-2"/>
        </w:rPr>
        <w:t>collectively</w:t>
      </w:r>
      <w:r>
        <w:rPr>
          <w:spacing w:val="-5"/>
        </w:rPr>
        <w:t> </w:t>
      </w:r>
      <w:r>
        <w:rPr>
          <w:spacing w:val="-2"/>
        </w:rPr>
        <w:t>illuminate the complex</w:t>
      </w:r>
      <w:r>
        <w:rPr>
          <w:spacing w:val="-3"/>
        </w:rPr>
        <w:t> </w:t>
      </w:r>
      <w:r>
        <w:rPr>
          <w:spacing w:val="-2"/>
        </w:rPr>
        <w:t>dynamics</w:t>
      </w:r>
      <w:r>
        <w:rPr>
          <w:spacing w:val="-3"/>
        </w:rPr>
        <w:t> </w:t>
      </w:r>
      <w:r>
        <w:rPr>
          <w:spacing w:val="-2"/>
        </w:rPr>
        <w:t>of power and </w:t>
      </w:r>
      <w:r>
        <w:rPr/>
        <w:t>marginalization in early modern gender relations.</w:t>
      </w:r>
    </w:p>
    <w:p>
      <w:pPr>
        <w:pStyle w:val="Heading5"/>
        <w:numPr>
          <w:ilvl w:val="1"/>
          <w:numId w:val="31"/>
        </w:numPr>
        <w:tabs>
          <w:tab w:pos="1873" w:val="left" w:leader="none"/>
        </w:tabs>
        <w:spacing w:line="240" w:lineRule="auto" w:before="112" w:after="0"/>
        <w:ind w:left="1873" w:right="0" w:hanging="433"/>
        <w:jc w:val="left"/>
      </w:pPr>
      <w:r>
        <w:rPr>
          <w:w w:val="105"/>
        </w:rPr>
        <w:t>Themes</w:t>
      </w:r>
      <w:r>
        <w:rPr>
          <w:spacing w:val="66"/>
          <w:w w:val="150"/>
        </w:rPr>
        <w:t> </w:t>
      </w:r>
      <w:r>
        <w:rPr>
          <w:w w:val="105"/>
        </w:rPr>
        <w:t>of</w:t>
      </w:r>
      <w:r>
        <w:rPr>
          <w:spacing w:val="66"/>
          <w:w w:val="150"/>
        </w:rPr>
        <w:t> </w:t>
      </w:r>
      <w:r>
        <w:rPr>
          <w:w w:val="105"/>
        </w:rPr>
        <w:t>Silence,</w:t>
      </w:r>
      <w:r>
        <w:rPr>
          <w:spacing w:val="68"/>
          <w:w w:val="150"/>
        </w:rPr>
        <w:t> </w:t>
      </w:r>
      <w:r>
        <w:rPr>
          <w:w w:val="105"/>
        </w:rPr>
        <w:t>Power,</w:t>
      </w:r>
      <w:r>
        <w:rPr>
          <w:spacing w:val="66"/>
          <w:w w:val="150"/>
        </w:rPr>
        <w:t> </w:t>
      </w:r>
      <w:r>
        <w:rPr>
          <w:w w:val="105"/>
        </w:rPr>
        <w:t>and</w:t>
      </w:r>
      <w:r>
        <w:rPr>
          <w:spacing w:val="68"/>
          <w:w w:val="150"/>
        </w:rPr>
        <w:t> </w:t>
      </w:r>
      <w:r>
        <w:rPr>
          <w:spacing w:val="-2"/>
          <w:w w:val="105"/>
        </w:rPr>
        <w:t>Marginalisation</w:t>
      </w:r>
    </w:p>
    <w:p>
      <w:pPr>
        <w:pStyle w:val="BodyText"/>
        <w:spacing w:line="249" w:lineRule="auto" w:before="72"/>
        <w:ind w:right="1441" w:firstLine="432"/>
        <w:jc w:val="both"/>
      </w:pPr>
      <w:r>
        <w:rPr/>
        <w:t>In Shakespeare’s portrayal of women, silence functions as both a </w:t>
      </w:r>
      <w:r>
        <w:rPr>
          <w:spacing w:val="-2"/>
        </w:rPr>
        <w:t>mechanism</w:t>
      </w:r>
      <w:r>
        <w:rPr>
          <w:spacing w:val="-10"/>
        </w:rPr>
        <w:t> </w:t>
      </w:r>
      <w:r>
        <w:rPr>
          <w:spacing w:val="-2"/>
        </w:rPr>
        <w:t>of</w:t>
      </w:r>
      <w:r>
        <w:rPr>
          <w:spacing w:val="-6"/>
        </w:rPr>
        <w:t> </w:t>
      </w:r>
      <w:r>
        <w:rPr>
          <w:spacing w:val="-2"/>
        </w:rPr>
        <w:t>enforced</w:t>
      </w:r>
      <w:r>
        <w:rPr>
          <w:spacing w:val="-3"/>
        </w:rPr>
        <w:t> </w:t>
      </w:r>
      <w:r>
        <w:rPr>
          <w:spacing w:val="-2"/>
        </w:rPr>
        <w:t>marginalization</w:t>
      </w:r>
      <w:r>
        <w:rPr>
          <w:spacing w:val="-6"/>
        </w:rPr>
        <w:t> </w:t>
      </w:r>
      <w:r>
        <w:rPr>
          <w:spacing w:val="-2"/>
        </w:rPr>
        <w:t>and</w:t>
      </w:r>
      <w:r>
        <w:rPr>
          <w:spacing w:val="-4"/>
        </w:rPr>
        <w:t> </w:t>
      </w:r>
      <w:r>
        <w:rPr>
          <w:spacing w:val="-2"/>
        </w:rPr>
        <w:t>a strategic</w:t>
      </w:r>
      <w:r>
        <w:rPr>
          <w:spacing w:val="-5"/>
        </w:rPr>
        <w:t> </w:t>
      </w:r>
      <w:r>
        <w:rPr>
          <w:spacing w:val="-2"/>
        </w:rPr>
        <w:t>form</w:t>
      </w:r>
      <w:r>
        <w:rPr>
          <w:spacing w:val="-7"/>
        </w:rPr>
        <w:t> </w:t>
      </w:r>
      <w:r>
        <w:rPr>
          <w:spacing w:val="-2"/>
        </w:rPr>
        <w:t>of</w:t>
      </w:r>
      <w:r>
        <w:rPr>
          <w:spacing w:val="-6"/>
        </w:rPr>
        <w:t> </w:t>
      </w:r>
      <w:r>
        <w:rPr>
          <w:spacing w:val="-2"/>
        </w:rPr>
        <w:t>resistance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20448">
                <wp:simplePos x="0" y="0"/>
                <wp:positionH relativeFrom="page">
                  <wp:posOffset>2057400</wp:posOffset>
                </wp:positionH>
                <wp:positionV relativeFrom="paragraph">
                  <wp:posOffset>162604</wp:posOffset>
                </wp:positionV>
                <wp:extent cx="3657600" cy="12700"/>
                <wp:effectExtent l="0" t="0" r="0" b="0"/>
                <wp:wrapTopAndBottom/>
                <wp:docPr id="400" name="Graphic 400"/>
                <wp:cNvGraphicFramePr>
                  <a:graphicFrameLocks/>
                </wp:cNvGraphicFramePr>
                <a:graphic>
                  <a:graphicData uri="http://schemas.microsoft.com/office/word/2010/wordprocessingShape">
                    <wps:wsp>
                      <wps:cNvPr id="400" name="Graphic 40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96032;mso-wrap-distance-left:0;mso-wrap-distance-right:0" id="docshape395" filled="true" fillcolor="#000000" stroked="false">
                <v:fill type="solid"/>
                <w10:wrap type="topAndBottom"/>
              </v:rect>
            </w:pict>
          </mc:Fallback>
        </mc:AlternateContent>
      </w:r>
      <w:r>
        <w:rPr>
          <w:rFonts w:ascii="Verdana"/>
          <w:spacing w:val="-5"/>
          <w:sz w:val="18"/>
        </w:rPr>
        <w:t>162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within patriarchal frameworks. Female characters are often silenced by male authority, their voices suppressed to maintain the social order and male dominance. For instance, Ophelia’s obedience to Polonius’s injunction</w:t>
      </w:r>
      <w:r>
        <w:rPr>
          <w:spacing w:val="-11"/>
        </w:rPr>
        <w:t> </w:t>
      </w:r>
      <w:r>
        <w:rPr/>
        <w:t>to</w:t>
      </w:r>
      <w:r>
        <w:rPr>
          <w:spacing w:val="-12"/>
        </w:rPr>
        <w:t> </w:t>
      </w:r>
      <w:r>
        <w:rPr/>
        <w:t>avoid</w:t>
      </w:r>
      <w:r>
        <w:rPr>
          <w:spacing w:val="-9"/>
        </w:rPr>
        <w:t> </w:t>
      </w:r>
      <w:r>
        <w:rPr/>
        <w:t>Hamlet</w:t>
      </w:r>
      <w:r>
        <w:rPr>
          <w:spacing w:val="-11"/>
        </w:rPr>
        <w:t> </w:t>
      </w:r>
      <w:r>
        <w:rPr/>
        <w:t>exemplifies</w:t>
      </w:r>
      <w:r>
        <w:rPr>
          <w:spacing w:val="-12"/>
        </w:rPr>
        <w:t> </w:t>
      </w:r>
      <w:r>
        <w:rPr/>
        <w:t>the</w:t>
      </w:r>
      <w:r>
        <w:rPr>
          <w:spacing w:val="-10"/>
        </w:rPr>
        <w:t> </w:t>
      </w:r>
      <w:r>
        <w:rPr/>
        <w:t>enforced</w:t>
      </w:r>
      <w:r>
        <w:rPr>
          <w:spacing w:val="-9"/>
        </w:rPr>
        <w:t> </w:t>
      </w:r>
      <w:r>
        <w:rPr/>
        <w:t>silence</w:t>
      </w:r>
      <w:r>
        <w:rPr>
          <w:spacing w:val="-12"/>
        </w:rPr>
        <w:t> </w:t>
      </w:r>
      <w:r>
        <w:rPr/>
        <w:t>that</w:t>
      </w:r>
      <w:r>
        <w:rPr>
          <w:spacing w:val="-11"/>
        </w:rPr>
        <w:t> </w:t>
      </w:r>
      <w:r>
        <w:rPr/>
        <w:t>restricts her agency, ultimately contributing to her psychological collapse and death.</w:t>
      </w:r>
      <w:r>
        <w:rPr>
          <w:spacing w:val="-13"/>
        </w:rPr>
        <w:t> </w:t>
      </w:r>
      <w:r>
        <w:rPr/>
        <w:t>This</w:t>
      </w:r>
      <w:r>
        <w:rPr>
          <w:spacing w:val="-11"/>
        </w:rPr>
        <w:t> </w:t>
      </w:r>
      <w:r>
        <w:rPr/>
        <w:t>silence</w:t>
      </w:r>
      <w:r>
        <w:rPr>
          <w:spacing w:val="-10"/>
        </w:rPr>
        <w:t> </w:t>
      </w:r>
      <w:r>
        <w:rPr/>
        <w:t>is</w:t>
      </w:r>
      <w:r>
        <w:rPr>
          <w:spacing w:val="-11"/>
        </w:rPr>
        <w:t> </w:t>
      </w:r>
      <w:r>
        <w:rPr/>
        <w:t>symptomatic</w:t>
      </w:r>
      <w:r>
        <w:rPr>
          <w:spacing w:val="-12"/>
        </w:rPr>
        <w:t> </w:t>
      </w:r>
      <w:r>
        <w:rPr/>
        <w:t>of</w:t>
      </w:r>
      <w:r>
        <w:rPr>
          <w:spacing w:val="-13"/>
        </w:rPr>
        <w:t> </w:t>
      </w:r>
      <w:r>
        <w:rPr/>
        <w:t>her</w:t>
      </w:r>
      <w:r>
        <w:rPr>
          <w:spacing w:val="-9"/>
        </w:rPr>
        <w:t> </w:t>
      </w:r>
      <w:r>
        <w:rPr/>
        <w:t>marginalization</w:t>
      </w:r>
      <w:r>
        <w:rPr>
          <w:spacing w:val="-11"/>
        </w:rPr>
        <w:t> </w:t>
      </w:r>
      <w:r>
        <w:rPr/>
        <w:t>as</w:t>
      </w:r>
      <w:r>
        <w:rPr>
          <w:spacing w:val="-11"/>
        </w:rPr>
        <w:t> </w:t>
      </w:r>
      <w:r>
        <w:rPr/>
        <w:t>the</w:t>
      </w:r>
      <w:r>
        <w:rPr>
          <w:spacing w:val="-11"/>
        </w:rPr>
        <w:t> </w:t>
      </w:r>
      <w:r>
        <w:rPr/>
        <w:t>“Other,” voiceless</w:t>
      </w:r>
      <w:r>
        <w:rPr>
          <w:spacing w:val="-11"/>
        </w:rPr>
        <w:t> </w:t>
      </w:r>
      <w:r>
        <w:rPr/>
        <w:t>within</w:t>
      </w:r>
      <w:r>
        <w:rPr>
          <w:spacing w:val="-10"/>
        </w:rPr>
        <w:t> </w:t>
      </w:r>
      <w:r>
        <w:rPr/>
        <w:t>the</w:t>
      </w:r>
      <w:r>
        <w:rPr>
          <w:spacing w:val="-10"/>
        </w:rPr>
        <w:t> </w:t>
      </w:r>
      <w:r>
        <w:rPr/>
        <w:t>male-dominated</w:t>
      </w:r>
      <w:r>
        <w:rPr>
          <w:spacing w:val="-9"/>
        </w:rPr>
        <w:t> </w:t>
      </w:r>
      <w:r>
        <w:rPr/>
        <w:t>power</w:t>
      </w:r>
      <w:r>
        <w:rPr>
          <w:spacing w:val="-9"/>
        </w:rPr>
        <w:t> </w:t>
      </w:r>
      <w:r>
        <w:rPr/>
        <w:t>structure</w:t>
      </w:r>
      <w:r>
        <w:rPr>
          <w:spacing w:val="-10"/>
        </w:rPr>
        <w:t> </w:t>
      </w:r>
      <w:r>
        <w:rPr/>
        <w:t>(Showalter,</w:t>
      </w:r>
      <w:r>
        <w:rPr>
          <w:spacing w:val="-9"/>
        </w:rPr>
        <w:t> </w:t>
      </w:r>
      <w:r>
        <w:rPr>
          <w:spacing w:val="-2"/>
        </w:rPr>
        <w:t>1985).</w:t>
      </w:r>
    </w:p>
    <w:p>
      <w:pPr>
        <w:pStyle w:val="BodyText"/>
        <w:spacing w:line="244" w:lineRule="auto" w:before="59"/>
        <w:ind w:right="1440" w:firstLine="432"/>
        <w:jc w:val="both"/>
      </w:pPr>
      <w:r>
        <w:rPr/>
        <w:t>Conversely, silence can signify moral and feminist resistance, as </w:t>
      </w:r>
      <w:r>
        <w:rPr>
          <w:spacing w:val="-2"/>
        </w:rPr>
        <w:t>seen</w:t>
      </w:r>
      <w:r>
        <w:rPr>
          <w:spacing w:val="-6"/>
        </w:rPr>
        <w:t> </w:t>
      </w:r>
      <w:r>
        <w:rPr>
          <w:spacing w:val="-2"/>
        </w:rPr>
        <w:t>in</w:t>
      </w:r>
      <w:r>
        <w:rPr>
          <w:spacing w:val="-6"/>
        </w:rPr>
        <w:t> </w:t>
      </w:r>
      <w:r>
        <w:rPr>
          <w:spacing w:val="-2"/>
        </w:rPr>
        <w:t>Cordelia’s</w:t>
      </w:r>
      <w:r>
        <w:rPr>
          <w:spacing w:val="-4"/>
        </w:rPr>
        <w:t> </w:t>
      </w:r>
      <w:r>
        <w:rPr>
          <w:spacing w:val="-2"/>
        </w:rPr>
        <w:t>refusal</w:t>
      </w:r>
      <w:r>
        <w:rPr>
          <w:spacing w:val="-4"/>
        </w:rPr>
        <w:t> </w:t>
      </w:r>
      <w:r>
        <w:rPr>
          <w:spacing w:val="-2"/>
        </w:rPr>
        <w:t>to engage</w:t>
      </w:r>
      <w:r>
        <w:rPr>
          <w:spacing w:val="-7"/>
        </w:rPr>
        <w:t> </w:t>
      </w:r>
      <w:r>
        <w:rPr>
          <w:spacing w:val="-2"/>
        </w:rPr>
        <w:t>in</w:t>
      </w:r>
      <w:r>
        <w:rPr>
          <w:spacing w:val="-6"/>
        </w:rPr>
        <w:t> </w:t>
      </w:r>
      <w:r>
        <w:rPr>
          <w:spacing w:val="-2"/>
        </w:rPr>
        <w:t>performative</w:t>
      </w:r>
      <w:r>
        <w:rPr>
          <w:spacing w:val="-3"/>
        </w:rPr>
        <w:t> </w:t>
      </w:r>
      <w:r>
        <w:rPr>
          <w:spacing w:val="-2"/>
        </w:rPr>
        <w:t>flattery</w:t>
      </w:r>
      <w:r>
        <w:rPr>
          <w:spacing w:val="-8"/>
        </w:rPr>
        <w:t> </w:t>
      </w:r>
      <w:r>
        <w:rPr>
          <w:spacing w:val="-2"/>
        </w:rPr>
        <w:t>in</w:t>
      </w:r>
      <w:r>
        <w:rPr>
          <w:spacing w:val="-6"/>
        </w:rPr>
        <w:t> </w:t>
      </w:r>
      <w:r>
        <w:rPr>
          <w:spacing w:val="-2"/>
        </w:rPr>
        <w:t>King</w:t>
      </w:r>
      <w:r>
        <w:rPr>
          <w:spacing w:val="-6"/>
        </w:rPr>
        <w:t> </w:t>
      </w:r>
      <w:r>
        <w:rPr>
          <w:spacing w:val="-2"/>
        </w:rPr>
        <w:t>Lear. </w:t>
      </w:r>
      <w:r>
        <w:rPr/>
        <w:t>Her succinct response, “Nothing, my lord” (Act 1, Scene 1), defies </w:t>
      </w:r>
      <w:r>
        <w:rPr>
          <w:spacing w:val="-2"/>
        </w:rPr>
        <w:t>patriarchal</w:t>
      </w:r>
      <w:r>
        <w:rPr>
          <w:spacing w:val="-3"/>
        </w:rPr>
        <w:t> </w:t>
      </w:r>
      <w:r>
        <w:rPr>
          <w:spacing w:val="-2"/>
        </w:rPr>
        <w:t>expectations</w:t>
      </w:r>
      <w:r>
        <w:rPr>
          <w:spacing w:val="-5"/>
        </w:rPr>
        <w:t> </w:t>
      </w:r>
      <w:r>
        <w:rPr>
          <w:spacing w:val="-2"/>
        </w:rPr>
        <w:t>of</w:t>
      </w:r>
      <w:r>
        <w:rPr>
          <w:spacing w:val="-5"/>
        </w:rPr>
        <w:t> </w:t>
      </w:r>
      <w:r>
        <w:rPr>
          <w:spacing w:val="-2"/>
        </w:rPr>
        <w:t>female submission and articulates</w:t>
      </w:r>
      <w:r>
        <w:rPr>
          <w:spacing w:val="-5"/>
        </w:rPr>
        <w:t> </w:t>
      </w:r>
      <w:r>
        <w:rPr>
          <w:spacing w:val="-2"/>
        </w:rPr>
        <w:t>a</w:t>
      </w:r>
      <w:r>
        <w:rPr>
          <w:spacing w:val="-5"/>
        </w:rPr>
        <w:t> </w:t>
      </w:r>
      <w:r>
        <w:rPr>
          <w:spacing w:val="-2"/>
        </w:rPr>
        <w:t>principled </w:t>
      </w:r>
      <w:r>
        <w:rPr/>
        <w:t>stand against superficial obedience to men. Cordelia’s silence is thus a deliberate assertion of integrity that challenges patriarchal power, even though</w:t>
      </w:r>
      <w:r>
        <w:rPr>
          <w:spacing w:val="-13"/>
        </w:rPr>
        <w:t> </w:t>
      </w:r>
      <w:r>
        <w:rPr/>
        <w:t>it</w:t>
      </w:r>
      <w:r>
        <w:rPr>
          <w:spacing w:val="-9"/>
        </w:rPr>
        <w:t> </w:t>
      </w:r>
      <w:r>
        <w:rPr/>
        <w:t>results</w:t>
      </w:r>
      <w:r>
        <w:rPr>
          <w:spacing w:val="-13"/>
        </w:rPr>
        <w:t> </w:t>
      </w:r>
      <w:r>
        <w:rPr/>
        <w:t>in</w:t>
      </w:r>
      <w:r>
        <w:rPr>
          <w:spacing w:val="-11"/>
        </w:rPr>
        <w:t> </w:t>
      </w:r>
      <w:r>
        <w:rPr/>
        <w:t>her</w:t>
      </w:r>
      <w:r>
        <w:rPr>
          <w:spacing w:val="-8"/>
        </w:rPr>
        <w:t> </w:t>
      </w:r>
      <w:r>
        <w:rPr/>
        <w:t>disinheritance</w:t>
      </w:r>
      <w:r>
        <w:rPr>
          <w:spacing w:val="-11"/>
        </w:rPr>
        <w:t> </w:t>
      </w:r>
      <w:r>
        <w:rPr/>
        <w:t>and</w:t>
      </w:r>
      <w:r>
        <w:rPr>
          <w:spacing w:val="-8"/>
        </w:rPr>
        <w:t> </w:t>
      </w:r>
      <w:r>
        <w:rPr/>
        <w:t>exile.</w:t>
      </w:r>
      <w:r>
        <w:rPr>
          <w:spacing w:val="-11"/>
        </w:rPr>
        <w:t> </w:t>
      </w:r>
      <w:r>
        <w:rPr/>
        <w:t>This</w:t>
      </w:r>
      <w:r>
        <w:rPr>
          <w:spacing w:val="-11"/>
        </w:rPr>
        <w:t> </w:t>
      </w:r>
      <w:r>
        <w:rPr/>
        <w:t>duality</w:t>
      </w:r>
      <w:r>
        <w:rPr>
          <w:spacing w:val="-11"/>
        </w:rPr>
        <w:t> </w:t>
      </w:r>
      <w:r>
        <w:rPr/>
        <w:t>of</w:t>
      </w:r>
      <w:r>
        <w:rPr>
          <w:spacing w:val="-11"/>
        </w:rPr>
        <w:t> </w:t>
      </w:r>
      <w:r>
        <w:rPr/>
        <w:t>silence—as both a tool of oppression and a form of resistance—highlights the complex</w:t>
      </w:r>
      <w:r>
        <w:rPr>
          <w:spacing w:val="-13"/>
        </w:rPr>
        <w:t> </w:t>
      </w:r>
      <w:r>
        <w:rPr/>
        <w:t>negotiation</w:t>
      </w:r>
      <w:r>
        <w:rPr>
          <w:spacing w:val="-12"/>
        </w:rPr>
        <w:t> </w:t>
      </w:r>
      <w:r>
        <w:rPr/>
        <w:t>of</w:t>
      </w:r>
      <w:r>
        <w:rPr>
          <w:spacing w:val="-13"/>
        </w:rPr>
        <w:t> </w:t>
      </w:r>
      <w:r>
        <w:rPr/>
        <w:t>female</w:t>
      </w:r>
      <w:r>
        <w:rPr>
          <w:spacing w:val="-12"/>
        </w:rPr>
        <w:t> </w:t>
      </w:r>
      <w:r>
        <w:rPr/>
        <w:t>agency</w:t>
      </w:r>
      <w:r>
        <w:rPr>
          <w:spacing w:val="-13"/>
        </w:rPr>
        <w:t> </w:t>
      </w:r>
      <w:r>
        <w:rPr/>
        <w:t>under</w:t>
      </w:r>
      <w:r>
        <w:rPr>
          <w:spacing w:val="-10"/>
        </w:rPr>
        <w:t> </w:t>
      </w:r>
      <w:r>
        <w:rPr/>
        <w:t>patriarchal</w:t>
      </w:r>
      <w:r>
        <w:rPr>
          <w:spacing w:val="-12"/>
        </w:rPr>
        <w:t> </w:t>
      </w:r>
      <w:r>
        <w:rPr/>
        <w:t>control</w:t>
      </w:r>
      <w:r>
        <w:rPr>
          <w:spacing w:val="-10"/>
        </w:rPr>
        <w:t> </w:t>
      </w:r>
      <w:r>
        <w:rPr/>
        <w:t>(French, 1981; Kahn, 1986).</w:t>
      </w:r>
    </w:p>
    <w:p>
      <w:pPr>
        <w:pStyle w:val="BodyText"/>
        <w:spacing w:line="244" w:lineRule="auto" w:before="52"/>
        <w:ind w:right="1436" w:firstLine="432"/>
        <w:jc w:val="both"/>
      </w:pPr>
      <w:r>
        <w:rPr/>
        <w:t>The tension between female agency and patriarchal authority is </w:t>
      </w:r>
      <w:r>
        <w:rPr>
          <w:spacing w:val="-2"/>
        </w:rPr>
        <w:t>further</w:t>
      </w:r>
      <w:r>
        <w:rPr>
          <w:spacing w:val="-11"/>
        </w:rPr>
        <w:t> </w:t>
      </w:r>
      <w:r>
        <w:rPr>
          <w:spacing w:val="-2"/>
        </w:rPr>
        <w:t>complicated</w:t>
      </w:r>
      <w:r>
        <w:rPr>
          <w:spacing w:val="-10"/>
        </w:rPr>
        <w:t> </w:t>
      </w:r>
      <w:r>
        <w:rPr>
          <w:spacing w:val="-2"/>
        </w:rPr>
        <w:t>by</w:t>
      </w:r>
      <w:r>
        <w:rPr>
          <w:spacing w:val="-11"/>
        </w:rPr>
        <w:t> </w:t>
      </w:r>
      <w:r>
        <w:rPr>
          <w:spacing w:val="-2"/>
        </w:rPr>
        <w:t>the</w:t>
      </w:r>
      <w:r>
        <w:rPr>
          <w:spacing w:val="-10"/>
        </w:rPr>
        <w:t> </w:t>
      </w:r>
      <w:r>
        <w:rPr>
          <w:spacing w:val="-2"/>
        </w:rPr>
        <w:t>representation</w:t>
      </w:r>
      <w:r>
        <w:rPr>
          <w:spacing w:val="-11"/>
        </w:rPr>
        <w:t> </w:t>
      </w:r>
      <w:r>
        <w:rPr>
          <w:spacing w:val="-2"/>
        </w:rPr>
        <w:t>of</w:t>
      </w:r>
      <w:r>
        <w:rPr>
          <w:spacing w:val="-10"/>
        </w:rPr>
        <w:t> </w:t>
      </w:r>
      <w:r>
        <w:rPr>
          <w:spacing w:val="-2"/>
        </w:rPr>
        <w:t>female</w:t>
      </w:r>
      <w:r>
        <w:rPr>
          <w:spacing w:val="-11"/>
        </w:rPr>
        <w:t> </w:t>
      </w:r>
      <w:r>
        <w:rPr>
          <w:spacing w:val="-2"/>
        </w:rPr>
        <w:t>power</w:t>
      </w:r>
      <w:r>
        <w:rPr>
          <w:spacing w:val="-10"/>
        </w:rPr>
        <w:t> </w:t>
      </w:r>
      <w:r>
        <w:rPr>
          <w:spacing w:val="-2"/>
        </w:rPr>
        <w:t>as</w:t>
      </w:r>
      <w:r>
        <w:rPr>
          <w:spacing w:val="-10"/>
        </w:rPr>
        <w:t> </w:t>
      </w:r>
      <w:r>
        <w:rPr>
          <w:spacing w:val="-2"/>
        </w:rPr>
        <w:t>destabilizing </w:t>
      </w:r>
      <w:r>
        <w:rPr/>
        <w:t>and threatening. Lady Macbeth’s ambition in Macbeth exemplifies this dynamic. Her invocation to “unsex me here” (Act 1, Scene 5) signals a rejection of traditional femininity and an embrace of masculine power, which unsettles the prevailing gender order. Shakespeare frames her power as unnatural and destructive, evoking anxieties about female independence that culminate in her psychological disintegration. This portrayal</w:t>
      </w:r>
      <w:r>
        <w:rPr>
          <w:spacing w:val="-1"/>
        </w:rPr>
        <w:t> </w:t>
      </w:r>
      <w:r>
        <w:rPr/>
        <w:t>reflects</w:t>
      </w:r>
      <w:r>
        <w:rPr>
          <w:spacing w:val="-1"/>
        </w:rPr>
        <w:t> </w:t>
      </w:r>
      <w:r>
        <w:rPr/>
        <w:t>patriarchal fears</w:t>
      </w:r>
      <w:r>
        <w:rPr>
          <w:spacing w:val="-3"/>
        </w:rPr>
        <w:t> </w:t>
      </w:r>
      <w:r>
        <w:rPr/>
        <w:t>of</w:t>
      </w:r>
      <w:r>
        <w:rPr>
          <w:spacing w:val="-3"/>
        </w:rPr>
        <w:t> </w:t>
      </w:r>
      <w:r>
        <w:rPr/>
        <w:t>female autonomy, illustrating</w:t>
      </w:r>
      <w:r>
        <w:rPr>
          <w:spacing w:val="-1"/>
        </w:rPr>
        <w:t> </w:t>
      </w:r>
      <w:r>
        <w:rPr/>
        <w:t>how female power is often pathologized and punished in male-dominated narratives (Adelman, 1992; Callaghan, 1989).</w:t>
      </w:r>
    </w:p>
    <w:p>
      <w:pPr>
        <w:pStyle w:val="BodyText"/>
        <w:spacing w:line="244" w:lineRule="auto" w:before="52"/>
        <w:ind w:right="1437" w:firstLine="432"/>
        <w:jc w:val="both"/>
      </w:pPr>
      <w:r>
        <w:rPr>
          <w:spacing w:val="-2"/>
        </w:rPr>
        <w:t>Together, these</w:t>
      </w:r>
      <w:r>
        <w:rPr>
          <w:spacing w:val="-4"/>
        </w:rPr>
        <w:t> </w:t>
      </w:r>
      <w:r>
        <w:rPr>
          <w:spacing w:val="-2"/>
        </w:rPr>
        <w:t>themes</w:t>
      </w:r>
      <w:r>
        <w:rPr>
          <w:spacing w:val="-4"/>
        </w:rPr>
        <w:t> </w:t>
      </w:r>
      <w:r>
        <w:rPr>
          <w:spacing w:val="-2"/>
        </w:rPr>
        <w:t>reveal</w:t>
      </w:r>
      <w:r>
        <w:rPr>
          <w:spacing w:val="-5"/>
        </w:rPr>
        <w:t> </w:t>
      </w:r>
      <w:r>
        <w:rPr>
          <w:spacing w:val="-2"/>
        </w:rPr>
        <w:t>how</w:t>
      </w:r>
      <w:r>
        <w:rPr>
          <w:spacing w:val="-6"/>
        </w:rPr>
        <w:t> </w:t>
      </w:r>
      <w:r>
        <w:rPr>
          <w:spacing w:val="-2"/>
        </w:rPr>
        <w:t>Shakespeare’s</w:t>
      </w:r>
      <w:r>
        <w:rPr>
          <w:spacing w:val="-4"/>
        </w:rPr>
        <w:t> </w:t>
      </w:r>
      <w:r>
        <w:rPr>
          <w:spacing w:val="-2"/>
        </w:rPr>
        <w:t>female characters navigate</w:t>
      </w:r>
      <w:r>
        <w:rPr>
          <w:spacing w:val="-9"/>
        </w:rPr>
        <w:t> </w:t>
      </w:r>
      <w:r>
        <w:rPr>
          <w:spacing w:val="-2"/>
        </w:rPr>
        <w:t>a</w:t>
      </w:r>
      <w:r>
        <w:rPr>
          <w:spacing w:val="-7"/>
        </w:rPr>
        <w:t> </w:t>
      </w:r>
      <w:r>
        <w:rPr>
          <w:spacing w:val="-2"/>
        </w:rPr>
        <w:t>fraught</w:t>
      </w:r>
      <w:r>
        <w:rPr>
          <w:spacing w:val="-11"/>
        </w:rPr>
        <w:t> </w:t>
      </w:r>
      <w:r>
        <w:rPr>
          <w:spacing w:val="-2"/>
        </w:rPr>
        <w:t>landscape</w:t>
      </w:r>
      <w:r>
        <w:rPr>
          <w:spacing w:val="-8"/>
        </w:rPr>
        <w:t> </w:t>
      </w:r>
      <w:r>
        <w:rPr>
          <w:spacing w:val="-2"/>
        </w:rPr>
        <w:t>in</w:t>
      </w:r>
      <w:r>
        <w:rPr>
          <w:spacing w:val="-9"/>
        </w:rPr>
        <w:t> </w:t>
      </w:r>
      <w:r>
        <w:rPr>
          <w:spacing w:val="-2"/>
        </w:rPr>
        <w:t>which</w:t>
      </w:r>
      <w:r>
        <w:rPr>
          <w:spacing w:val="-11"/>
        </w:rPr>
        <w:t> </w:t>
      </w:r>
      <w:r>
        <w:rPr>
          <w:spacing w:val="-2"/>
        </w:rPr>
        <w:t>silence,</w:t>
      </w:r>
      <w:r>
        <w:rPr>
          <w:spacing w:val="-10"/>
        </w:rPr>
        <w:t> </w:t>
      </w:r>
      <w:r>
        <w:rPr>
          <w:spacing w:val="-2"/>
        </w:rPr>
        <w:t>power,</w:t>
      </w:r>
      <w:r>
        <w:rPr>
          <w:spacing w:val="-7"/>
        </w:rPr>
        <w:t> </w:t>
      </w:r>
      <w:r>
        <w:rPr>
          <w:spacing w:val="-2"/>
        </w:rPr>
        <w:t>and</w:t>
      </w:r>
      <w:r>
        <w:rPr>
          <w:spacing w:val="-7"/>
        </w:rPr>
        <w:t> </w:t>
      </w:r>
      <w:r>
        <w:rPr>
          <w:spacing w:val="-2"/>
        </w:rPr>
        <w:t>marginalization </w:t>
      </w:r>
      <w:r>
        <w:rPr/>
        <w:t>intersect. Women’s voices are suppressed to enforce conformity, yet silence can also be reclaimed as an act of resistance. Female power disrupts</w:t>
      </w:r>
      <w:r>
        <w:rPr>
          <w:spacing w:val="-7"/>
        </w:rPr>
        <w:t> </w:t>
      </w:r>
      <w:r>
        <w:rPr/>
        <w:t>patriarchal</w:t>
      </w:r>
      <w:r>
        <w:rPr>
          <w:spacing w:val="-3"/>
        </w:rPr>
        <w:t> </w:t>
      </w:r>
      <w:r>
        <w:rPr/>
        <w:t>hierarchies</w:t>
      </w:r>
      <w:r>
        <w:rPr>
          <w:spacing w:val="-7"/>
        </w:rPr>
        <w:t> </w:t>
      </w:r>
      <w:r>
        <w:rPr/>
        <w:t>and</w:t>
      </w:r>
      <w:r>
        <w:rPr>
          <w:spacing w:val="-2"/>
        </w:rPr>
        <w:t> </w:t>
      </w:r>
      <w:r>
        <w:rPr/>
        <w:t>is</w:t>
      </w:r>
      <w:r>
        <w:rPr>
          <w:spacing w:val="-7"/>
        </w:rPr>
        <w:t> </w:t>
      </w:r>
      <w:r>
        <w:rPr/>
        <w:t>met</w:t>
      </w:r>
      <w:r>
        <w:rPr>
          <w:spacing w:val="-7"/>
        </w:rPr>
        <w:t> </w:t>
      </w:r>
      <w:r>
        <w:rPr/>
        <w:t>with</w:t>
      </w:r>
      <w:r>
        <w:rPr>
          <w:spacing w:val="-5"/>
        </w:rPr>
        <w:t> </w:t>
      </w:r>
      <w:r>
        <w:rPr/>
        <w:t>fear</w:t>
      </w:r>
      <w:r>
        <w:rPr>
          <w:spacing w:val="-5"/>
        </w:rPr>
        <w:t> </w:t>
      </w:r>
      <w:r>
        <w:rPr/>
        <w:t>and</w:t>
      </w:r>
      <w:r>
        <w:rPr>
          <w:spacing w:val="-3"/>
        </w:rPr>
        <w:t> </w:t>
      </w:r>
      <w:r>
        <w:rPr/>
        <w:t>repression.</w:t>
      </w:r>
      <w:r>
        <w:rPr>
          <w:spacing w:val="-5"/>
        </w:rPr>
        <w:t> </w:t>
      </w:r>
      <w:r>
        <w:rPr/>
        <w:t>This interplay underscores the enduring relevance of Shakespeare’s work in exploring gendered power relations and the complex dynamics of marginalization and</w:t>
      </w:r>
      <w:r>
        <w:rPr>
          <w:spacing w:val="40"/>
        </w:rPr>
        <w:t> </w:t>
      </w:r>
      <w:r>
        <w:rPr/>
        <w:t>agency in the contemporary world.</w:t>
      </w:r>
    </w:p>
    <w:p>
      <w:pPr>
        <w:pStyle w:val="Heading3"/>
        <w:numPr>
          <w:ilvl w:val="0"/>
          <w:numId w:val="31"/>
        </w:numPr>
        <w:tabs>
          <w:tab w:pos="1715" w:val="left" w:leader="none"/>
        </w:tabs>
        <w:spacing w:line="240" w:lineRule="auto" w:before="154" w:after="0"/>
        <w:ind w:left="1715" w:right="0" w:hanging="275"/>
        <w:jc w:val="left"/>
      </w:pPr>
      <w:r>
        <w:rPr>
          <w:w w:val="90"/>
        </w:rPr>
        <w:t>IMPLICATIONS</w:t>
      </w:r>
      <w:r>
        <w:rPr>
          <w:spacing w:val="19"/>
        </w:rPr>
        <w:t> </w:t>
      </w:r>
      <w:r>
        <w:rPr>
          <w:w w:val="90"/>
        </w:rPr>
        <w:t>FOR</w:t>
      </w:r>
      <w:r>
        <w:rPr>
          <w:spacing w:val="20"/>
        </w:rPr>
        <w:t> </w:t>
      </w:r>
      <w:r>
        <w:rPr>
          <w:w w:val="90"/>
        </w:rPr>
        <w:t>MODERN</w:t>
      </w:r>
      <w:r>
        <w:rPr>
          <w:spacing w:val="18"/>
        </w:rPr>
        <w:t> </w:t>
      </w:r>
      <w:r>
        <w:rPr>
          <w:w w:val="90"/>
        </w:rPr>
        <w:t>GENDER</w:t>
      </w:r>
      <w:r>
        <w:rPr>
          <w:spacing w:val="19"/>
        </w:rPr>
        <w:t> </w:t>
      </w:r>
      <w:r>
        <w:rPr>
          <w:spacing w:val="-2"/>
          <w:w w:val="90"/>
        </w:rPr>
        <w:t>DISCOURSE</w:t>
      </w:r>
    </w:p>
    <w:p>
      <w:pPr>
        <w:pStyle w:val="BodyText"/>
        <w:spacing w:line="249" w:lineRule="auto" w:before="75"/>
        <w:ind w:right="1441" w:firstLine="432"/>
        <w:jc w:val="both"/>
      </w:pPr>
      <w:r>
        <w:rPr>
          <w:spacing w:val="-2"/>
        </w:rPr>
        <w:t>Shakespeare’s</w:t>
      </w:r>
      <w:r>
        <w:rPr>
          <w:spacing w:val="-3"/>
        </w:rPr>
        <w:t> </w:t>
      </w:r>
      <w:r>
        <w:rPr>
          <w:spacing w:val="-2"/>
        </w:rPr>
        <w:t>portrayal</w:t>
      </w:r>
      <w:r>
        <w:rPr>
          <w:spacing w:val="-4"/>
        </w:rPr>
        <w:t> </w:t>
      </w:r>
      <w:r>
        <w:rPr>
          <w:spacing w:val="-2"/>
        </w:rPr>
        <w:t>of</w:t>
      </w:r>
      <w:r>
        <w:rPr>
          <w:spacing w:val="-5"/>
        </w:rPr>
        <w:t> </w:t>
      </w:r>
      <w:r>
        <w:rPr>
          <w:spacing w:val="-2"/>
        </w:rPr>
        <w:t>women</w:t>
      </w:r>
      <w:r>
        <w:rPr>
          <w:spacing w:val="-5"/>
        </w:rPr>
        <w:t> </w:t>
      </w:r>
      <w:r>
        <w:rPr>
          <w:spacing w:val="-2"/>
        </w:rPr>
        <w:t>as</w:t>
      </w:r>
      <w:r>
        <w:rPr>
          <w:spacing w:val="-5"/>
        </w:rPr>
        <w:t> </w:t>
      </w:r>
      <w:r>
        <w:rPr>
          <w:spacing w:val="-2"/>
        </w:rPr>
        <w:t>the</w:t>
      </w:r>
      <w:r>
        <w:rPr>
          <w:spacing w:val="-3"/>
        </w:rPr>
        <w:t> </w:t>
      </w:r>
      <w:r>
        <w:rPr>
          <w:spacing w:val="-2"/>
        </w:rPr>
        <w:t>“Other”</w:t>
      </w:r>
      <w:r>
        <w:rPr>
          <w:spacing w:val="-3"/>
        </w:rPr>
        <w:t> </w:t>
      </w:r>
      <w:r>
        <w:rPr>
          <w:spacing w:val="-2"/>
        </w:rPr>
        <w:t>within</w:t>
      </w:r>
      <w:r>
        <w:rPr>
          <w:spacing w:val="-3"/>
        </w:rPr>
        <w:t> </w:t>
      </w:r>
      <w:r>
        <w:rPr>
          <w:spacing w:val="-2"/>
        </w:rPr>
        <w:t>patriarchal </w:t>
      </w:r>
      <w:r>
        <w:rPr/>
        <w:t>systems</w:t>
      </w:r>
      <w:r>
        <w:rPr>
          <w:spacing w:val="-9"/>
        </w:rPr>
        <w:t> </w:t>
      </w:r>
      <w:r>
        <w:rPr/>
        <w:t>resonates</w:t>
      </w:r>
      <w:r>
        <w:rPr>
          <w:spacing w:val="-9"/>
        </w:rPr>
        <w:t> </w:t>
      </w:r>
      <w:r>
        <w:rPr/>
        <w:t>profoundly</w:t>
      </w:r>
      <w:r>
        <w:rPr>
          <w:spacing w:val="-10"/>
        </w:rPr>
        <w:t> </w:t>
      </w:r>
      <w:r>
        <w:rPr/>
        <w:t>with</w:t>
      </w:r>
      <w:r>
        <w:rPr>
          <w:spacing w:val="-7"/>
        </w:rPr>
        <w:t> </w:t>
      </w:r>
      <w:r>
        <w:rPr/>
        <w:t>contemporary</w:t>
      </w:r>
      <w:r>
        <w:rPr>
          <w:spacing w:val="-10"/>
        </w:rPr>
        <w:t> </w:t>
      </w:r>
      <w:r>
        <w:rPr/>
        <w:t>discussions</w:t>
      </w:r>
      <w:r>
        <w:rPr>
          <w:spacing w:val="-8"/>
        </w:rPr>
        <w:t> </w:t>
      </w:r>
      <w:r>
        <w:rPr/>
        <w:t>on</w:t>
      </w:r>
      <w:r>
        <w:rPr>
          <w:spacing w:val="-9"/>
        </w:rPr>
        <w:t> </w:t>
      </w:r>
      <w:r>
        <w:rPr>
          <w:spacing w:val="-2"/>
        </w:rPr>
        <w:t>gender,</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20960">
                <wp:simplePos x="0" y="0"/>
                <wp:positionH relativeFrom="page">
                  <wp:posOffset>2065020</wp:posOffset>
                </wp:positionH>
                <wp:positionV relativeFrom="paragraph">
                  <wp:posOffset>795020</wp:posOffset>
                </wp:positionV>
                <wp:extent cx="3657600" cy="12700"/>
                <wp:effectExtent l="0" t="0" r="0" b="0"/>
                <wp:wrapTopAndBottom/>
                <wp:docPr id="401" name="Graphic 401"/>
                <wp:cNvGraphicFramePr>
                  <a:graphicFrameLocks/>
                </wp:cNvGraphicFramePr>
                <a:graphic>
                  <a:graphicData uri="http://schemas.microsoft.com/office/word/2010/wordprocessingShape">
                    <wps:wsp>
                      <wps:cNvPr id="401" name="Graphic 40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95520;mso-wrap-distance-left:0;mso-wrap-distance-right:0" id="docshape396" filled="true" fillcolor="#000000" stroked="false">
                <v:fill type="solid"/>
                <w10:wrap type="topAndBottom"/>
              </v:rect>
            </w:pict>
          </mc:Fallback>
        </mc:AlternateContent>
      </w: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6"/>
          <w:sz w:val="18"/>
        </w:rPr>
        <w:t> </w:t>
      </w:r>
      <w:r>
        <w:rPr>
          <w:rFonts w:ascii="Verdana" w:hAnsi="Verdana"/>
          <w:sz w:val="18"/>
        </w:rPr>
        <w:t>Marginalisation:</w:t>
      </w:r>
      <w:r>
        <w:rPr>
          <w:rFonts w:ascii="Verdana" w:hAnsi="Verdana"/>
          <w:spacing w:val="4"/>
          <w:sz w:val="18"/>
        </w:rPr>
        <w:t> </w:t>
      </w:r>
      <w:r>
        <w:rPr>
          <w:rFonts w:ascii="Verdana" w:hAnsi="Verdana"/>
          <w:sz w:val="18"/>
        </w:rPr>
        <w:t>Women</w:t>
      </w:r>
      <w:r>
        <w:rPr>
          <w:rFonts w:ascii="Verdana" w:hAnsi="Verdana"/>
          <w:spacing w:val="9"/>
          <w:sz w:val="18"/>
        </w:rPr>
        <w:t> </w:t>
      </w:r>
      <w:r>
        <w:rPr>
          <w:rFonts w:ascii="Verdana" w:hAnsi="Verdana"/>
          <w:sz w:val="18"/>
        </w:rPr>
        <w:t>as</w:t>
      </w:r>
      <w:r>
        <w:rPr>
          <w:rFonts w:ascii="Verdana" w:hAnsi="Verdana"/>
          <w:spacing w:val="4"/>
          <w:sz w:val="18"/>
        </w:rPr>
        <w:t> </w:t>
      </w:r>
      <w:r>
        <w:rPr>
          <w:rFonts w:ascii="Verdana" w:hAnsi="Verdana"/>
          <w:sz w:val="18"/>
        </w:rPr>
        <w:t>“Other”</w:t>
      </w:r>
      <w:r>
        <w:rPr>
          <w:rFonts w:ascii="Verdana" w:hAnsi="Verdana"/>
          <w:spacing w:val="4"/>
          <w:sz w:val="18"/>
        </w:rPr>
        <w:t> </w:t>
      </w:r>
      <w:r>
        <w:rPr>
          <w:rFonts w:ascii="Verdana" w:hAnsi="Verdana"/>
          <w:spacing w:val="-2"/>
          <w:sz w:val="18"/>
        </w:rPr>
        <w:t>in...</w:t>
      </w:r>
      <w:r>
        <w:rPr>
          <w:sz w:val="18"/>
        </w:rPr>
        <w:tab/>
      </w:r>
      <w:r>
        <w:rPr>
          <w:rFonts w:ascii="Verdana" w:hAnsi="Verdana"/>
          <w:spacing w:val="-5"/>
          <w:sz w:val="18"/>
        </w:rPr>
        <w:t>163</w:t>
      </w:r>
    </w:p>
    <w:p>
      <w:pPr>
        <w:pStyle w:val="BodyText"/>
        <w:spacing w:line="249" w:lineRule="auto" w:before="192"/>
        <w:ind w:right="1440"/>
        <w:jc w:val="both"/>
      </w:pPr>
      <w:r>
        <w:rPr/>
        <w:t>identity, and power. His female characters exemplify enduring patterns of marginalization, silencing, and constrained agency that continue to inform feminist literary studies and gender theory. By illustrating the complex interplay between female submission, resistance, and transgression, Shakespeare’s works provide a critical historical lens </w:t>
      </w:r>
      <w:r>
        <w:rPr>
          <w:spacing w:val="-2"/>
        </w:rPr>
        <w:t>through</w:t>
      </w:r>
      <w:r>
        <w:rPr>
          <w:spacing w:val="-11"/>
        </w:rPr>
        <w:t> </w:t>
      </w:r>
      <w:r>
        <w:rPr>
          <w:spacing w:val="-2"/>
        </w:rPr>
        <w:t>which</w:t>
      </w:r>
      <w:r>
        <w:rPr>
          <w:spacing w:val="-10"/>
        </w:rPr>
        <w:t> </w:t>
      </w:r>
      <w:r>
        <w:rPr>
          <w:spacing w:val="-2"/>
        </w:rPr>
        <w:t>modern</w:t>
      </w:r>
      <w:r>
        <w:rPr>
          <w:spacing w:val="-11"/>
        </w:rPr>
        <w:t> </w:t>
      </w:r>
      <w:r>
        <w:rPr>
          <w:spacing w:val="-2"/>
        </w:rPr>
        <w:t>audiences</w:t>
      </w:r>
      <w:r>
        <w:rPr>
          <w:spacing w:val="-10"/>
        </w:rPr>
        <w:t> </w:t>
      </w:r>
      <w:r>
        <w:rPr>
          <w:spacing w:val="-2"/>
        </w:rPr>
        <w:t>can</w:t>
      </w:r>
      <w:r>
        <w:rPr>
          <w:spacing w:val="-11"/>
        </w:rPr>
        <w:t> </w:t>
      </w:r>
      <w:r>
        <w:rPr>
          <w:spacing w:val="-2"/>
        </w:rPr>
        <w:t>examine</w:t>
      </w:r>
      <w:r>
        <w:rPr>
          <w:spacing w:val="-10"/>
        </w:rPr>
        <w:t> </w:t>
      </w:r>
      <w:r>
        <w:rPr>
          <w:spacing w:val="-2"/>
        </w:rPr>
        <w:t>the</w:t>
      </w:r>
      <w:r>
        <w:rPr>
          <w:spacing w:val="-11"/>
        </w:rPr>
        <w:t> </w:t>
      </w:r>
      <w:r>
        <w:rPr>
          <w:spacing w:val="-2"/>
        </w:rPr>
        <w:t>persistence</w:t>
      </w:r>
      <w:r>
        <w:rPr>
          <w:spacing w:val="-10"/>
        </w:rPr>
        <w:t> </w:t>
      </w:r>
      <w:r>
        <w:rPr>
          <w:spacing w:val="-2"/>
        </w:rPr>
        <w:t>of</w:t>
      </w:r>
      <w:r>
        <w:rPr>
          <w:spacing w:val="-11"/>
        </w:rPr>
        <w:t> </w:t>
      </w:r>
      <w:r>
        <w:rPr>
          <w:spacing w:val="-2"/>
        </w:rPr>
        <w:t>gendered </w:t>
      </w:r>
      <w:r>
        <w:rPr/>
        <w:t>power imbalances in contemporary society (Belsey, 1985).</w:t>
      </w:r>
    </w:p>
    <w:p>
      <w:pPr>
        <w:pStyle w:val="BodyText"/>
        <w:spacing w:line="261" w:lineRule="auto" w:before="71"/>
        <w:ind w:right="1440" w:firstLine="432"/>
        <w:jc w:val="both"/>
      </w:pPr>
      <w:r>
        <w:rPr/>
        <w:t>In contemporary gender discourse, the concept of “otherness” remains central to understanding how societal structures continue to define</w:t>
      </w:r>
      <w:r>
        <w:rPr>
          <w:spacing w:val="-3"/>
        </w:rPr>
        <w:t> </w:t>
      </w:r>
      <w:r>
        <w:rPr/>
        <w:t>and</w:t>
      </w:r>
      <w:r>
        <w:rPr>
          <w:spacing w:val="-3"/>
        </w:rPr>
        <w:t> </w:t>
      </w:r>
      <w:r>
        <w:rPr/>
        <w:t>limit</w:t>
      </w:r>
      <w:r>
        <w:rPr>
          <w:spacing w:val="-3"/>
        </w:rPr>
        <w:t> </w:t>
      </w:r>
      <w:r>
        <w:rPr/>
        <w:t>women’s</w:t>
      </w:r>
      <w:r>
        <w:rPr>
          <w:spacing w:val="-4"/>
        </w:rPr>
        <w:t> </w:t>
      </w:r>
      <w:r>
        <w:rPr/>
        <w:t>identities</w:t>
      </w:r>
      <w:r>
        <w:rPr>
          <w:spacing w:val="-6"/>
        </w:rPr>
        <w:t> </w:t>
      </w:r>
      <w:r>
        <w:rPr/>
        <w:t>in</w:t>
      </w:r>
      <w:r>
        <w:rPr>
          <w:spacing w:val="-3"/>
        </w:rPr>
        <w:t> </w:t>
      </w:r>
      <w:r>
        <w:rPr/>
        <w:t>relation</w:t>
      </w:r>
      <w:r>
        <w:rPr>
          <w:spacing w:val="-4"/>
        </w:rPr>
        <w:t> </w:t>
      </w:r>
      <w:r>
        <w:rPr/>
        <w:t>to</w:t>
      </w:r>
      <w:r>
        <w:rPr>
          <w:spacing w:val="-1"/>
        </w:rPr>
        <w:t> </w:t>
      </w:r>
      <w:r>
        <w:rPr/>
        <w:t>dominant</w:t>
      </w:r>
      <w:r>
        <w:rPr>
          <w:spacing w:val="-4"/>
        </w:rPr>
        <w:t> </w:t>
      </w:r>
      <w:r>
        <w:rPr/>
        <w:t>male</w:t>
      </w:r>
      <w:r>
        <w:rPr>
          <w:spacing w:val="-2"/>
        </w:rPr>
        <w:t> </w:t>
      </w:r>
      <w:r>
        <w:rPr/>
        <w:t>norms. Shakespeare’s characters such as Ophelia, Desdemona, Cordelia, and </w:t>
      </w:r>
      <w:r>
        <w:rPr>
          <w:spacing w:val="-2"/>
        </w:rPr>
        <w:t>Lady</w:t>
      </w:r>
      <w:r>
        <w:rPr>
          <w:spacing w:val="-3"/>
        </w:rPr>
        <w:t> </w:t>
      </w:r>
      <w:r>
        <w:rPr>
          <w:spacing w:val="-2"/>
        </w:rPr>
        <w:t>Macbeth</w:t>
      </w:r>
      <w:r>
        <w:rPr>
          <w:spacing w:val="-3"/>
        </w:rPr>
        <w:t> </w:t>
      </w:r>
      <w:r>
        <w:rPr>
          <w:spacing w:val="-2"/>
        </w:rPr>
        <w:t>embody</w:t>
      </w:r>
      <w:r>
        <w:rPr>
          <w:spacing w:val="-3"/>
        </w:rPr>
        <w:t> </w:t>
      </w:r>
      <w:r>
        <w:rPr>
          <w:spacing w:val="-2"/>
        </w:rPr>
        <w:t>facets</w:t>
      </w:r>
      <w:r>
        <w:rPr>
          <w:spacing w:val="-3"/>
        </w:rPr>
        <w:t> </w:t>
      </w:r>
      <w:r>
        <w:rPr>
          <w:spacing w:val="-2"/>
        </w:rPr>
        <w:t>of this dynamic—obedience, vulnerability, moral</w:t>
      </w:r>
      <w:r>
        <w:rPr>
          <w:spacing w:val="-11"/>
        </w:rPr>
        <w:t> </w:t>
      </w:r>
      <w:r>
        <w:rPr>
          <w:spacing w:val="-2"/>
        </w:rPr>
        <w:t>resistance,</w:t>
      </w:r>
      <w:r>
        <w:rPr>
          <w:spacing w:val="-10"/>
        </w:rPr>
        <w:t> </w:t>
      </w:r>
      <w:r>
        <w:rPr>
          <w:spacing w:val="-2"/>
        </w:rPr>
        <w:t>and</w:t>
      </w:r>
      <w:r>
        <w:rPr>
          <w:spacing w:val="-11"/>
        </w:rPr>
        <w:t> </w:t>
      </w:r>
      <w:r>
        <w:rPr>
          <w:spacing w:val="-2"/>
        </w:rPr>
        <w:t>disruptive</w:t>
      </w:r>
      <w:r>
        <w:rPr>
          <w:spacing w:val="-10"/>
        </w:rPr>
        <w:t> </w:t>
      </w:r>
      <w:r>
        <w:rPr>
          <w:spacing w:val="-2"/>
        </w:rPr>
        <w:t>ambition—that</w:t>
      </w:r>
      <w:r>
        <w:rPr>
          <w:spacing w:val="-11"/>
        </w:rPr>
        <w:t> </w:t>
      </w:r>
      <w:r>
        <w:rPr>
          <w:spacing w:val="-2"/>
        </w:rPr>
        <w:t>parallel</w:t>
      </w:r>
      <w:r>
        <w:rPr>
          <w:spacing w:val="-10"/>
        </w:rPr>
        <w:t> </w:t>
      </w:r>
      <w:r>
        <w:rPr>
          <w:spacing w:val="-2"/>
        </w:rPr>
        <w:t>ongoing</w:t>
      </w:r>
      <w:r>
        <w:rPr>
          <w:spacing w:val="-11"/>
        </w:rPr>
        <w:t> </w:t>
      </w:r>
      <w:r>
        <w:rPr>
          <w:spacing w:val="-2"/>
        </w:rPr>
        <w:t>struggles for</w:t>
      </w:r>
      <w:r>
        <w:rPr>
          <w:spacing w:val="-6"/>
        </w:rPr>
        <w:t> </w:t>
      </w:r>
      <w:r>
        <w:rPr>
          <w:spacing w:val="-2"/>
        </w:rPr>
        <w:t>female</w:t>
      </w:r>
      <w:r>
        <w:rPr>
          <w:spacing w:val="-8"/>
        </w:rPr>
        <w:t> </w:t>
      </w:r>
      <w:r>
        <w:rPr>
          <w:spacing w:val="-2"/>
        </w:rPr>
        <w:t>autonomy</w:t>
      </w:r>
      <w:r>
        <w:rPr>
          <w:spacing w:val="-11"/>
        </w:rPr>
        <w:t> </w:t>
      </w:r>
      <w:r>
        <w:rPr>
          <w:spacing w:val="-2"/>
        </w:rPr>
        <w:t>and</w:t>
      </w:r>
      <w:r>
        <w:rPr>
          <w:spacing w:val="-6"/>
        </w:rPr>
        <w:t> </w:t>
      </w:r>
      <w:r>
        <w:rPr>
          <w:spacing w:val="-2"/>
        </w:rPr>
        <w:t>self-definition.</w:t>
      </w:r>
      <w:r>
        <w:rPr>
          <w:spacing w:val="-6"/>
        </w:rPr>
        <w:t> </w:t>
      </w:r>
      <w:r>
        <w:rPr>
          <w:spacing w:val="-2"/>
        </w:rPr>
        <w:t>For</w:t>
      </w:r>
      <w:r>
        <w:rPr>
          <w:spacing w:val="-8"/>
        </w:rPr>
        <w:t> </w:t>
      </w:r>
      <w:r>
        <w:rPr>
          <w:spacing w:val="-2"/>
        </w:rPr>
        <w:t>instance,</w:t>
      </w:r>
      <w:r>
        <w:rPr>
          <w:spacing w:val="-8"/>
        </w:rPr>
        <w:t> </w:t>
      </w:r>
      <w:r>
        <w:rPr>
          <w:spacing w:val="-2"/>
        </w:rPr>
        <w:t>Ophelia’s</w:t>
      </w:r>
      <w:r>
        <w:rPr>
          <w:spacing w:val="-8"/>
        </w:rPr>
        <w:t> </w:t>
      </w:r>
      <w:r>
        <w:rPr>
          <w:spacing w:val="-2"/>
        </w:rPr>
        <w:t>enforced silence</w:t>
      </w:r>
      <w:r>
        <w:rPr>
          <w:spacing w:val="-6"/>
        </w:rPr>
        <w:t> </w:t>
      </w:r>
      <w:r>
        <w:rPr>
          <w:spacing w:val="-2"/>
        </w:rPr>
        <w:t>and</w:t>
      </w:r>
      <w:r>
        <w:rPr>
          <w:spacing w:val="-4"/>
        </w:rPr>
        <w:t> </w:t>
      </w:r>
      <w:r>
        <w:rPr>
          <w:spacing w:val="-2"/>
        </w:rPr>
        <w:t>Desdemona’s</w:t>
      </w:r>
      <w:r>
        <w:rPr>
          <w:spacing w:val="-8"/>
        </w:rPr>
        <w:t> </w:t>
      </w:r>
      <w:r>
        <w:rPr>
          <w:spacing w:val="-2"/>
        </w:rPr>
        <w:t>fatal</w:t>
      </w:r>
      <w:r>
        <w:rPr>
          <w:spacing w:val="-6"/>
        </w:rPr>
        <w:t> </w:t>
      </w:r>
      <w:r>
        <w:rPr>
          <w:spacing w:val="-2"/>
        </w:rPr>
        <w:t>victimization</w:t>
      </w:r>
      <w:r>
        <w:rPr>
          <w:spacing w:val="-8"/>
        </w:rPr>
        <w:t> </w:t>
      </w:r>
      <w:r>
        <w:rPr>
          <w:spacing w:val="-2"/>
        </w:rPr>
        <w:t>echo modern</w:t>
      </w:r>
      <w:r>
        <w:rPr>
          <w:spacing w:val="-8"/>
        </w:rPr>
        <w:t> </w:t>
      </w:r>
      <w:r>
        <w:rPr>
          <w:spacing w:val="-2"/>
        </w:rPr>
        <w:t>concerns</w:t>
      </w:r>
      <w:r>
        <w:rPr>
          <w:spacing w:val="-4"/>
        </w:rPr>
        <w:t> </w:t>
      </w:r>
      <w:r>
        <w:rPr>
          <w:spacing w:val="-2"/>
        </w:rPr>
        <w:t>about </w:t>
      </w:r>
      <w:r>
        <w:rPr/>
        <w:t>the suppression or dismissal of women’s voices within patriarchal institutions.</w:t>
      </w:r>
      <w:r>
        <w:rPr>
          <w:spacing w:val="-13"/>
        </w:rPr>
        <w:t> </w:t>
      </w:r>
      <w:r>
        <w:rPr/>
        <w:t>Cordelia’s</w:t>
      </w:r>
      <w:r>
        <w:rPr>
          <w:spacing w:val="-12"/>
        </w:rPr>
        <w:t> </w:t>
      </w:r>
      <w:r>
        <w:rPr/>
        <w:t>principled</w:t>
      </w:r>
      <w:r>
        <w:rPr>
          <w:spacing w:val="-13"/>
        </w:rPr>
        <w:t> </w:t>
      </w:r>
      <w:r>
        <w:rPr/>
        <w:t>refusal</w:t>
      </w:r>
      <w:r>
        <w:rPr>
          <w:spacing w:val="-12"/>
        </w:rPr>
        <w:t> </w:t>
      </w:r>
      <w:r>
        <w:rPr/>
        <w:t>to</w:t>
      </w:r>
      <w:r>
        <w:rPr>
          <w:spacing w:val="-13"/>
        </w:rPr>
        <w:t> </w:t>
      </w:r>
      <w:r>
        <w:rPr/>
        <w:t>conform</w:t>
      </w:r>
      <w:r>
        <w:rPr>
          <w:spacing w:val="-12"/>
        </w:rPr>
        <w:t> </w:t>
      </w:r>
      <w:r>
        <w:rPr/>
        <w:t>anticipates</w:t>
      </w:r>
      <w:r>
        <w:rPr>
          <w:spacing w:val="-13"/>
        </w:rPr>
        <w:t> </w:t>
      </w:r>
      <w:r>
        <w:rPr/>
        <w:t>feminist </w:t>
      </w:r>
      <w:r>
        <w:rPr>
          <w:spacing w:val="-2"/>
        </w:rPr>
        <w:t>assertions</w:t>
      </w:r>
      <w:r>
        <w:rPr>
          <w:spacing w:val="-5"/>
        </w:rPr>
        <w:t> </w:t>
      </w:r>
      <w:r>
        <w:rPr>
          <w:spacing w:val="-2"/>
        </w:rPr>
        <w:t>of</w:t>
      </w:r>
      <w:r>
        <w:rPr>
          <w:spacing w:val="-11"/>
        </w:rPr>
        <w:t> </w:t>
      </w:r>
      <w:r>
        <w:rPr>
          <w:spacing w:val="-2"/>
        </w:rPr>
        <w:t>integrity</w:t>
      </w:r>
      <w:r>
        <w:rPr>
          <w:spacing w:val="-6"/>
        </w:rPr>
        <w:t> </w:t>
      </w:r>
      <w:r>
        <w:rPr>
          <w:spacing w:val="-2"/>
        </w:rPr>
        <w:t>and resistance</w:t>
      </w:r>
      <w:r>
        <w:rPr>
          <w:spacing w:val="-4"/>
        </w:rPr>
        <w:t> </w:t>
      </w:r>
      <w:r>
        <w:rPr>
          <w:spacing w:val="-2"/>
        </w:rPr>
        <w:t>to</w:t>
      </w:r>
      <w:r>
        <w:rPr>
          <w:spacing w:val="-4"/>
        </w:rPr>
        <w:t> </w:t>
      </w:r>
      <w:r>
        <w:rPr>
          <w:spacing w:val="-2"/>
        </w:rPr>
        <w:t>performative gender</w:t>
      </w:r>
      <w:r>
        <w:rPr>
          <w:spacing w:val="-7"/>
        </w:rPr>
        <w:t> </w:t>
      </w:r>
      <w:r>
        <w:rPr>
          <w:spacing w:val="-2"/>
        </w:rPr>
        <w:t>expectations. </w:t>
      </w:r>
      <w:r>
        <w:rPr/>
        <w:t>Lady Macbeth’s challenge to traditional femininity and the anxieties it provokes</w:t>
      </w:r>
      <w:r>
        <w:rPr>
          <w:spacing w:val="-13"/>
        </w:rPr>
        <w:t> </w:t>
      </w:r>
      <w:r>
        <w:rPr/>
        <w:t>prefigure</w:t>
      </w:r>
      <w:r>
        <w:rPr>
          <w:spacing w:val="-12"/>
        </w:rPr>
        <w:t> </w:t>
      </w:r>
      <w:r>
        <w:rPr/>
        <w:t>contemporary</w:t>
      </w:r>
      <w:r>
        <w:rPr>
          <w:spacing w:val="-13"/>
        </w:rPr>
        <w:t> </w:t>
      </w:r>
      <w:r>
        <w:rPr/>
        <w:t>debates</w:t>
      </w:r>
      <w:r>
        <w:rPr>
          <w:spacing w:val="-12"/>
        </w:rPr>
        <w:t> </w:t>
      </w:r>
      <w:r>
        <w:rPr/>
        <w:t>over</w:t>
      </w:r>
      <w:r>
        <w:rPr>
          <w:spacing w:val="-13"/>
        </w:rPr>
        <w:t> </w:t>
      </w:r>
      <w:r>
        <w:rPr/>
        <w:t>women’s</w:t>
      </w:r>
      <w:r>
        <w:rPr>
          <w:spacing w:val="-12"/>
        </w:rPr>
        <w:t> </w:t>
      </w:r>
      <w:r>
        <w:rPr/>
        <w:t>access</w:t>
      </w:r>
      <w:r>
        <w:rPr>
          <w:spacing w:val="-13"/>
        </w:rPr>
        <w:t> </w:t>
      </w:r>
      <w:r>
        <w:rPr/>
        <w:t>to</w:t>
      </w:r>
      <w:r>
        <w:rPr>
          <w:spacing w:val="-12"/>
        </w:rPr>
        <w:t> </w:t>
      </w:r>
      <w:r>
        <w:rPr/>
        <w:t>power and the social penalties for defying gender norms (Butler, 1990).</w:t>
      </w:r>
    </w:p>
    <w:p>
      <w:pPr>
        <w:pStyle w:val="BodyText"/>
        <w:spacing w:line="261" w:lineRule="auto" w:before="49"/>
        <w:ind w:right="1436" w:firstLine="432"/>
        <w:jc w:val="both"/>
      </w:pPr>
      <w:r>
        <w:rPr/>
        <w:t>These </w:t>
      </w:r>
      <w:r>
        <w:rPr>
          <w:spacing w:val="10"/>
        </w:rPr>
        <w:t>portrayals</w:t>
      </w:r>
      <w:r>
        <w:rPr>
          <w:spacing w:val="10"/>
        </w:rPr>
        <w:t> underscore</w:t>
      </w:r>
      <w:r>
        <w:rPr>
          <w:spacing w:val="10"/>
        </w:rPr>
        <w:t> </w:t>
      </w:r>
      <w:r>
        <w:rPr/>
        <w:t>the </w:t>
      </w:r>
      <w:r>
        <w:rPr>
          <w:spacing w:val="9"/>
        </w:rPr>
        <w:t>continued</w:t>
      </w:r>
      <w:r>
        <w:rPr>
          <w:spacing w:val="9"/>
        </w:rPr>
        <w:t> relevance</w:t>
      </w:r>
      <w:r>
        <w:rPr>
          <w:spacing w:val="9"/>
        </w:rPr>
        <w:t> </w:t>
      </w:r>
      <w:r>
        <w:rPr/>
        <w:t>of Shakespeare’s</w:t>
      </w:r>
      <w:r>
        <w:rPr>
          <w:spacing w:val="-3"/>
        </w:rPr>
        <w:t> </w:t>
      </w:r>
      <w:r>
        <w:rPr/>
        <w:t>work</w:t>
      </w:r>
      <w:r>
        <w:rPr>
          <w:spacing w:val="-5"/>
        </w:rPr>
        <w:t> </w:t>
      </w:r>
      <w:r>
        <w:rPr/>
        <w:t>in</w:t>
      </w:r>
      <w:r>
        <w:rPr>
          <w:spacing w:val="-1"/>
        </w:rPr>
        <w:t> </w:t>
      </w:r>
      <w:r>
        <w:rPr/>
        <w:t>illuminating</w:t>
      </w:r>
      <w:r>
        <w:rPr>
          <w:spacing w:val="-3"/>
        </w:rPr>
        <w:t> </w:t>
      </w:r>
      <w:r>
        <w:rPr/>
        <w:t>the</w:t>
      </w:r>
      <w:r>
        <w:rPr>
          <w:spacing w:val="-2"/>
        </w:rPr>
        <w:t> </w:t>
      </w:r>
      <w:r>
        <w:rPr/>
        <w:t>mechanisms</w:t>
      </w:r>
      <w:r>
        <w:rPr>
          <w:spacing w:val="-3"/>
        </w:rPr>
        <w:t> </w:t>
      </w:r>
      <w:r>
        <w:rPr/>
        <w:t>by</w:t>
      </w:r>
      <w:r>
        <w:rPr>
          <w:spacing w:val="-3"/>
        </w:rPr>
        <w:t> </w:t>
      </w:r>
      <w:r>
        <w:rPr/>
        <w:t>which</w:t>
      </w:r>
      <w:r>
        <w:rPr>
          <w:spacing w:val="-3"/>
        </w:rPr>
        <w:t> </w:t>
      </w:r>
      <w:r>
        <w:rPr/>
        <w:t>gendered marginalization operates both</w:t>
      </w:r>
      <w:r>
        <w:rPr>
          <w:spacing w:val="-2"/>
        </w:rPr>
        <w:t> </w:t>
      </w:r>
      <w:r>
        <w:rPr/>
        <w:t>historically</w:t>
      </w:r>
      <w:r>
        <w:rPr>
          <w:spacing w:val="-2"/>
        </w:rPr>
        <w:t> </w:t>
      </w:r>
      <w:r>
        <w:rPr/>
        <w:t>and in</w:t>
      </w:r>
      <w:r>
        <w:rPr>
          <w:spacing w:val="-2"/>
        </w:rPr>
        <w:t> </w:t>
      </w:r>
      <w:r>
        <w:rPr/>
        <w:t>present contexts. They invite reflection on</w:t>
      </w:r>
      <w:r>
        <w:rPr>
          <w:spacing w:val="-2"/>
        </w:rPr>
        <w:t> </w:t>
      </w:r>
      <w:r>
        <w:rPr/>
        <w:t>how</w:t>
      </w:r>
      <w:r>
        <w:rPr>
          <w:spacing w:val="-2"/>
        </w:rPr>
        <w:t> </w:t>
      </w:r>
      <w:r>
        <w:rPr/>
        <w:t>societal anxieties about</w:t>
      </w:r>
      <w:r>
        <w:rPr>
          <w:spacing w:val="-1"/>
        </w:rPr>
        <w:t> </w:t>
      </w:r>
      <w:r>
        <w:rPr/>
        <w:t>female power manifest in</w:t>
      </w:r>
      <w:r>
        <w:rPr>
          <w:spacing w:val="-13"/>
        </w:rPr>
        <w:t> </w:t>
      </w:r>
      <w:r>
        <w:rPr/>
        <w:t>cultural</w:t>
      </w:r>
      <w:r>
        <w:rPr>
          <w:spacing w:val="-12"/>
        </w:rPr>
        <w:t> </w:t>
      </w:r>
      <w:r>
        <w:rPr/>
        <w:t>narratives</w:t>
      </w:r>
      <w:r>
        <w:rPr>
          <w:spacing w:val="-13"/>
        </w:rPr>
        <w:t> </w:t>
      </w:r>
      <w:r>
        <w:rPr/>
        <w:t>and</w:t>
      </w:r>
      <w:r>
        <w:rPr>
          <w:spacing w:val="-12"/>
        </w:rPr>
        <w:t> </w:t>
      </w:r>
      <w:r>
        <w:rPr/>
        <w:t>how</w:t>
      </w:r>
      <w:r>
        <w:rPr>
          <w:spacing w:val="-13"/>
        </w:rPr>
        <w:t> </w:t>
      </w:r>
      <w:r>
        <w:rPr/>
        <w:t>women</w:t>
      </w:r>
      <w:r>
        <w:rPr>
          <w:spacing w:val="-12"/>
        </w:rPr>
        <w:t> </w:t>
      </w:r>
      <w:r>
        <w:rPr/>
        <w:t>negotiate,</w:t>
      </w:r>
      <w:r>
        <w:rPr>
          <w:spacing w:val="-13"/>
        </w:rPr>
        <w:t> </w:t>
      </w:r>
      <w:r>
        <w:rPr/>
        <w:t>resist,</w:t>
      </w:r>
      <w:r>
        <w:rPr>
          <w:spacing w:val="-12"/>
        </w:rPr>
        <w:t> </w:t>
      </w:r>
      <w:r>
        <w:rPr/>
        <w:t>or</w:t>
      </w:r>
      <w:r>
        <w:rPr>
          <w:spacing w:val="-13"/>
        </w:rPr>
        <w:t> </w:t>
      </w:r>
      <w:r>
        <w:rPr/>
        <w:t>are</w:t>
      </w:r>
      <w:r>
        <w:rPr>
          <w:spacing w:val="-12"/>
        </w:rPr>
        <w:t> </w:t>
      </w:r>
      <w:r>
        <w:rPr/>
        <w:t>constrained by these forces. Moreover, Shakespeare’s nuanced depiction of female characters as complex agents—rather than one-dimensional victims or villains—enriches feminist literary criticism by highlighting the multifaceted nature of gendered experience (Bamber, 1982).</w:t>
      </w:r>
    </w:p>
    <w:p>
      <w:pPr>
        <w:pStyle w:val="BodyText"/>
        <w:spacing w:line="261" w:lineRule="auto" w:before="51"/>
        <w:ind w:right="1438" w:firstLine="432"/>
        <w:jc w:val="both"/>
      </w:pPr>
      <w:r>
        <w:rPr>
          <w:spacing w:val="9"/>
        </w:rPr>
        <w:t>Thus,</w:t>
      </w:r>
      <w:r>
        <w:rPr>
          <w:spacing w:val="9"/>
        </w:rPr>
        <w:t> </w:t>
      </w:r>
      <w:r>
        <w:rPr>
          <w:spacing w:val="10"/>
        </w:rPr>
        <w:t>Shakespeare’s</w:t>
      </w:r>
      <w:r>
        <w:rPr>
          <w:spacing w:val="10"/>
        </w:rPr>
        <w:t> </w:t>
      </w:r>
      <w:r>
        <w:rPr>
          <w:spacing w:val="11"/>
        </w:rPr>
        <w:t>exploration</w:t>
      </w:r>
      <w:r>
        <w:rPr>
          <w:spacing w:val="11"/>
        </w:rPr>
        <w:t> </w:t>
      </w:r>
      <w:r>
        <w:rPr/>
        <w:t>of </w:t>
      </w:r>
      <w:r>
        <w:rPr>
          <w:spacing w:val="10"/>
        </w:rPr>
        <w:t>silence,</w:t>
      </w:r>
      <w:r>
        <w:rPr>
          <w:spacing w:val="10"/>
        </w:rPr>
        <w:t> </w:t>
      </w:r>
      <w:r>
        <w:rPr/>
        <w:t>power, and </w:t>
      </w:r>
      <w:r>
        <w:rPr>
          <w:spacing w:val="-2"/>
        </w:rPr>
        <w:t>marginalisation</w:t>
      </w:r>
      <w:r>
        <w:rPr>
          <w:spacing w:val="-6"/>
        </w:rPr>
        <w:t> </w:t>
      </w:r>
      <w:r>
        <w:rPr>
          <w:spacing w:val="-2"/>
        </w:rPr>
        <w:t>offers</w:t>
      </w:r>
      <w:r>
        <w:rPr>
          <w:spacing w:val="-8"/>
        </w:rPr>
        <w:t> </w:t>
      </w:r>
      <w:r>
        <w:rPr>
          <w:spacing w:val="-2"/>
        </w:rPr>
        <w:t>valuable</w:t>
      </w:r>
      <w:r>
        <w:rPr>
          <w:spacing w:val="-3"/>
        </w:rPr>
        <w:t> </w:t>
      </w:r>
      <w:r>
        <w:rPr>
          <w:spacing w:val="-2"/>
        </w:rPr>
        <w:t>insights</w:t>
      </w:r>
      <w:r>
        <w:rPr>
          <w:spacing w:val="-6"/>
        </w:rPr>
        <w:t> </w:t>
      </w:r>
      <w:r>
        <w:rPr>
          <w:spacing w:val="-2"/>
        </w:rPr>
        <w:t>into</w:t>
      </w:r>
      <w:r>
        <w:rPr>
          <w:spacing w:val="-3"/>
        </w:rPr>
        <w:t> </w:t>
      </w:r>
      <w:r>
        <w:rPr>
          <w:spacing w:val="-2"/>
        </w:rPr>
        <w:t>ongoing</w:t>
      </w:r>
      <w:r>
        <w:rPr>
          <w:spacing w:val="-10"/>
        </w:rPr>
        <w:t> </w:t>
      </w:r>
      <w:r>
        <w:rPr>
          <w:spacing w:val="-2"/>
        </w:rPr>
        <w:t>feminist</w:t>
      </w:r>
      <w:r>
        <w:rPr>
          <w:spacing w:val="-6"/>
        </w:rPr>
        <w:t> </w:t>
      </w:r>
      <w:r>
        <w:rPr>
          <w:spacing w:val="-2"/>
        </w:rPr>
        <w:t>scholarship </w:t>
      </w:r>
      <w:r>
        <w:rPr/>
        <w:t>and activism. His characters serve as archetypes through which he interrogates persistent issues of identity formation, patriarchal control, </w:t>
      </w:r>
      <w:r>
        <w:rPr>
          <w:spacing w:val="-2"/>
        </w:rPr>
        <w:t>and</w:t>
      </w:r>
      <w:r>
        <w:rPr>
          <w:spacing w:val="-3"/>
        </w:rPr>
        <w:t> </w:t>
      </w:r>
      <w:r>
        <w:rPr>
          <w:spacing w:val="-2"/>
        </w:rPr>
        <w:t>the</w:t>
      </w:r>
      <w:r>
        <w:rPr>
          <w:spacing w:val="-5"/>
        </w:rPr>
        <w:t> </w:t>
      </w:r>
      <w:r>
        <w:rPr>
          <w:spacing w:val="-2"/>
        </w:rPr>
        <w:t>quest</w:t>
      </w:r>
      <w:r>
        <w:rPr>
          <w:spacing w:val="-7"/>
        </w:rPr>
        <w:t> </w:t>
      </w:r>
      <w:r>
        <w:rPr>
          <w:spacing w:val="-2"/>
        </w:rPr>
        <w:t>for</w:t>
      </w:r>
      <w:r>
        <w:rPr>
          <w:spacing w:val="-5"/>
        </w:rPr>
        <w:t> </w:t>
      </w:r>
      <w:r>
        <w:rPr>
          <w:spacing w:val="-2"/>
        </w:rPr>
        <w:t>female</w:t>
      </w:r>
      <w:r>
        <w:rPr>
          <w:spacing w:val="-6"/>
        </w:rPr>
        <w:t> </w:t>
      </w:r>
      <w:r>
        <w:rPr>
          <w:spacing w:val="-2"/>
        </w:rPr>
        <w:t>autonomy.</w:t>
      </w:r>
      <w:r>
        <w:rPr>
          <w:spacing w:val="-5"/>
        </w:rPr>
        <w:t> </w:t>
      </w:r>
      <w:r>
        <w:rPr>
          <w:spacing w:val="-2"/>
        </w:rPr>
        <w:t>Engaging</w:t>
      </w:r>
      <w:r>
        <w:rPr>
          <w:spacing w:val="-5"/>
        </w:rPr>
        <w:t> </w:t>
      </w:r>
      <w:r>
        <w:rPr>
          <w:spacing w:val="-2"/>
        </w:rPr>
        <w:t>with</w:t>
      </w:r>
      <w:r>
        <w:rPr>
          <w:spacing w:val="-9"/>
        </w:rPr>
        <w:t> </w:t>
      </w:r>
      <w:r>
        <w:rPr>
          <w:spacing w:val="-2"/>
        </w:rPr>
        <w:t>these</w:t>
      </w:r>
      <w:r>
        <w:rPr>
          <w:spacing w:val="-4"/>
        </w:rPr>
        <w:t> </w:t>
      </w:r>
      <w:r>
        <w:rPr>
          <w:spacing w:val="-2"/>
        </w:rPr>
        <w:t>texts</w:t>
      </w:r>
      <w:r>
        <w:rPr>
          <w:spacing w:val="-5"/>
        </w:rPr>
        <w:t> </w:t>
      </w:r>
      <w:r>
        <w:rPr>
          <w:spacing w:val="-2"/>
        </w:rPr>
        <w:t>encourages </w:t>
      </w:r>
      <w:r>
        <w:rPr/>
        <w:t>a deeper understanding of how historical representations of gender inform</w:t>
      </w:r>
      <w:r>
        <w:rPr>
          <w:spacing w:val="-13"/>
        </w:rPr>
        <w:t> </w:t>
      </w:r>
      <w:r>
        <w:rPr/>
        <w:t>contemporary</w:t>
      </w:r>
      <w:r>
        <w:rPr>
          <w:spacing w:val="-12"/>
        </w:rPr>
        <w:t> </w:t>
      </w:r>
      <w:r>
        <w:rPr/>
        <w:t>struggles</w:t>
      </w:r>
      <w:r>
        <w:rPr>
          <w:spacing w:val="-13"/>
        </w:rPr>
        <w:t> </w:t>
      </w:r>
      <w:r>
        <w:rPr/>
        <w:t>against</w:t>
      </w:r>
      <w:r>
        <w:rPr>
          <w:spacing w:val="-11"/>
        </w:rPr>
        <w:t> </w:t>
      </w:r>
      <w:r>
        <w:rPr/>
        <w:t>marginalization,</w:t>
      </w:r>
      <w:r>
        <w:rPr>
          <w:spacing w:val="-10"/>
        </w:rPr>
        <w:t> </w:t>
      </w:r>
      <w:r>
        <w:rPr/>
        <w:t>enabling</w:t>
      </w:r>
      <w:r>
        <w:rPr>
          <w:spacing w:val="-13"/>
        </w:rPr>
        <w:t> </w:t>
      </w:r>
      <w:r>
        <w:rPr/>
        <w:t>critical dialogue</w:t>
      </w:r>
      <w:r>
        <w:rPr>
          <w:spacing w:val="40"/>
        </w:rPr>
        <w:t> </w:t>
      </w:r>
      <w:r>
        <w:rPr/>
        <w:t>between</w:t>
      </w:r>
      <w:r>
        <w:rPr>
          <w:spacing w:val="40"/>
        </w:rPr>
        <w:t> </w:t>
      </w:r>
      <w:r>
        <w:rPr/>
        <w:t>past</w:t>
      </w:r>
      <w:r>
        <w:rPr>
          <w:spacing w:val="40"/>
        </w:rPr>
        <w:t> </w:t>
      </w:r>
      <w:r>
        <w:rPr/>
        <w:t>and</w:t>
      </w:r>
      <w:r>
        <w:rPr>
          <w:spacing w:val="40"/>
        </w:rPr>
        <w:t> </w:t>
      </w:r>
      <w:r>
        <w:rPr/>
        <w:t>present</w:t>
      </w:r>
      <w:r>
        <w:rPr>
          <w:spacing w:val="40"/>
        </w:rPr>
        <w:t> </w:t>
      </w:r>
      <w:r>
        <w:rPr/>
        <w:t>feminist</w:t>
      </w:r>
      <w:r>
        <w:rPr>
          <w:spacing w:val="40"/>
        </w:rPr>
        <w:t> </w:t>
      </w:r>
      <w:r>
        <w:rPr/>
        <w:t>thought.</w:t>
      </w:r>
    </w:p>
    <w:p>
      <w:pPr>
        <w:pStyle w:val="BodyText"/>
        <w:spacing w:after="0" w:line="261"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0" w:right="26" w:firstLine="0"/>
        <w:jc w:val="center"/>
        <w:rPr>
          <w:rFonts w:ascii="Verdana"/>
          <w:sz w:val="18"/>
        </w:rPr>
      </w:pPr>
      <w:r>
        <w:rPr>
          <w:rFonts w:ascii="Verdana"/>
          <w:sz w:val="18"/>
        </w:rPr>
        <mc:AlternateContent>
          <mc:Choice Requires="wps">
            <w:drawing>
              <wp:anchor distT="0" distB="0" distL="0" distR="0" allowOverlap="1" layoutInCell="1" locked="0" behindDoc="0" simplePos="0" relativeHeight="15862272">
                <wp:simplePos x="0" y="0"/>
                <wp:positionH relativeFrom="page">
                  <wp:posOffset>2057400</wp:posOffset>
                </wp:positionH>
                <wp:positionV relativeFrom="paragraph">
                  <wp:posOffset>226097</wp:posOffset>
                </wp:positionV>
                <wp:extent cx="3657600" cy="12700"/>
                <wp:effectExtent l="0" t="0" r="0" b="0"/>
                <wp:wrapNone/>
                <wp:docPr id="402" name="Graphic 402"/>
                <wp:cNvGraphicFramePr>
                  <a:graphicFrameLocks/>
                </wp:cNvGraphicFramePr>
                <a:graphic>
                  <a:graphicData uri="http://schemas.microsoft.com/office/word/2010/wordprocessingShape">
                    <wps:wsp>
                      <wps:cNvPr id="402" name="Graphic 40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5862272" id="docshape397" filled="true" fillcolor="#000000" stroked="false">
                <v:fill type="solid"/>
                <w10:wrap type="none"/>
              </v:rect>
            </w:pict>
          </mc:Fallback>
        </mc:AlternateContent>
      </w:r>
      <w:r>
        <w:rPr>
          <w:rFonts w:ascii="Verdana"/>
          <w:spacing w:val="-5"/>
          <w:w w:val="95"/>
          <w:sz w:val="18"/>
        </w:rPr>
        <w:t>164</w:t>
      </w:r>
    </w:p>
    <w:p>
      <w:pPr>
        <w:pStyle w:val="BodyText"/>
        <w:spacing w:before="10"/>
        <w:ind w:left="0"/>
        <w:rPr>
          <w:rFonts w:ascii="Verdana"/>
          <w:sz w:val="18"/>
        </w:rPr>
      </w:pPr>
    </w:p>
    <w:p>
      <w:pPr>
        <w:pStyle w:val="Heading3"/>
        <w:numPr>
          <w:ilvl w:val="0"/>
          <w:numId w:val="31"/>
        </w:numPr>
        <w:tabs>
          <w:tab w:pos="1703" w:val="left" w:leader="none"/>
        </w:tabs>
        <w:spacing w:line="240" w:lineRule="auto" w:before="1" w:after="0"/>
        <w:ind w:left="1703" w:right="0" w:hanging="263"/>
        <w:jc w:val="left"/>
      </w:pPr>
      <w:r>
        <w:rPr>
          <w:spacing w:val="-8"/>
        </w:rPr>
        <w:t>CONCLUSION</w:t>
      </w:r>
    </w:p>
    <w:p>
      <w:pPr>
        <w:spacing w:before="100"/>
        <w:ind w:left="1058"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3222" w:space="40"/>
            <w:col w:w="5378"/>
          </w:cols>
        </w:sectPr>
      </w:pPr>
    </w:p>
    <w:p>
      <w:pPr>
        <w:pStyle w:val="BodyText"/>
        <w:spacing w:line="249" w:lineRule="auto" w:before="75"/>
        <w:ind w:right="1439" w:firstLine="432"/>
        <w:jc w:val="both"/>
      </w:pPr>
      <w:r>
        <w:rPr/>
        <w:t>Shakespeare’s female characters are constructed as the “Other” within patriarchal frameworks that define and confine their identities, roles, and agency. Through characters such as Ophelia, Desdemona, </w:t>
      </w:r>
      <w:r>
        <w:rPr>
          <w:spacing w:val="-2"/>
        </w:rPr>
        <w:t>Cordelia,</w:t>
      </w:r>
      <w:r>
        <w:rPr>
          <w:spacing w:val="-6"/>
        </w:rPr>
        <w:t> </w:t>
      </w:r>
      <w:r>
        <w:rPr>
          <w:spacing w:val="-2"/>
        </w:rPr>
        <w:t>and</w:t>
      </w:r>
      <w:r>
        <w:rPr>
          <w:spacing w:val="-6"/>
        </w:rPr>
        <w:t> </w:t>
      </w:r>
      <w:r>
        <w:rPr>
          <w:spacing w:val="-2"/>
        </w:rPr>
        <w:t>Lady</w:t>
      </w:r>
      <w:r>
        <w:rPr>
          <w:spacing w:val="-11"/>
        </w:rPr>
        <w:t> </w:t>
      </w:r>
      <w:r>
        <w:rPr>
          <w:spacing w:val="-2"/>
        </w:rPr>
        <w:t>Macbeth,</w:t>
      </w:r>
      <w:r>
        <w:rPr>
          <w:spacing w:val="-3"/>
        </w:rPr>
        <w:t> </w:t>
      </w:r>
      <w:r>
        <w:rPr>
          <w:spacing w:val="-2"/>
        </w:rPr>
        <w:t>Shakespeare</w:t>
      </w:r>
      <w:r>
        <w:rPr>
          <w:spacing w:val="-4"/>
        </w:rPr>
        <w:t> </w:t>
      </w:r>
      <w:r>
        <w:rPr>
          <w:spacing w:val="-2"/>
        </w:rPr>
        <w:t>reveals</w:t>
      </w:r>
      <w:r>
        <w:rPr>
          <w:spacing w:val="-9"/>
        </w:rPr>
        <w:t> </w:t>
      </w:r>
      <w:r>
        <w:rPr>
          <w:spacing w:val="-2"/>
        </w:rPr>
        <w:t>the</w:t>
      </w:r>
      <w:r>
        <w:rPr>
          <w:spacing w:val="-6"/>
        </w:rPr>
        <w:t> </w:t>
      </w:r>
      <w:r>
        <w:rPr>
          <w:spacing w:val="-2"/>
        </w:rPr>
        <w:t>multifaceted</w:t>
      </w:r>
      <w:r>
        <w:rPr>
          <w:spacing w:val="-9"/>
        </w:rPr>
        <w:t> </w:t>
      </w:r>
      <w:r>
        <w:rPr>
          <w:spacing w:val="-2"/>
        </w:rPr>
        <w:t>nature </w:t>
      </w:r>
      <w:r>
        <w:rPr/>
        <w:t>of women’s marginalization, ranging from enforced obedience and vulnerability to ethical resistance and disruptive ambition. These portrayals underscore how women are systematically positioned as subordinate to male authority, their voices silenced or constrained, and their power</w:t>
      </w:r>
      <w:r>
        <w:rPr>
          <w:spacing w:val="40"/>
        </w:rPr>
        <w:t> </w:t>
      </w:r>
      <w:r>
        <w:rPr/>
        <w:t>viewed</w:t>
      </w:r>
      <w:r>
        <w:rPr>
          <w:spacing w:val="40"/>
        </w:rPr>
        <w:t> </w:t>
      </w:r>
      <w:r>
        <w:rPr/>
        <w:t>with</w:t>
      </w:r>
      <w:r>
        <w:rPr>
          <w:spacing w:val="40"/>
        </w:rPr>
        <w:t> </w:t>
      </w:r>
      <w:r>
        <w:rPr/>
        <w:t>suspicion or</w:t>
      </w:r>
      <w:r>
        <w:rPr>
          <w:spacing w:val="40"/>
        </w:rPr>
        <w:t> </w:t>
      </w:r>
      <w:r>
        <w:rPr/>
        <w:t>hostility.</w:t>
      </w:r>
    </w:p>
    <w:p>
      <w:pPr>
        <w:pStyle w:val="BodyText"/>
        <w:spacing w:line="249" w:lineRule="auto" w:before="65"/>
        <w:ind w:right="1439" w:firstLine="432"/>
        <w:jc w:val="both"/>
      </w:pPr>
      <w:r>
        <w:rPr>
          <w:spacing w:val="-2"/>
        </w:rPr>
        <w:t>Feminist</w:t>
      </w:r>
      <w:r>
        <w:rPr>
          <w:spacing w:val="-11"/>
        </w:rPr>
        <w:t> </w:t>
      </w:r>
      <w:r>
        <w:rPr>
          <w:spacing w:val="-2"/>
        </w:rPr>
        <w:t>theoretical</w:t>
      </w:r>
      <w:r>
        <w:rPr>
          <w:spacing w:val="-10"/>
        </w:rPr>
        <w:t> </w:t>
      </w:r>
      <w:r>
        <w:rPr>
          <w:spacing w:val="-2"/>
        </w:rPr>
        <w:t>perspectives,</w:t>
      </w:r>
      <w:r>
        <w:rPr>
          <w:spacing w:val="-11"/>
        </w:rPr>
        <w:t> </w:t>
      </w:r>
      <w:r>
        <w:rPr>
          <w:spacing w:val="-2"/>
        </w:rPr>
        <w:t>particularly</w:t>
      </w:r>
      <w:r>
        <w:rPr>
          <w:spacing w:val="-10"/>
        </w:rPr>
        <w:t> </w:t>
      </w:r>
      <w:r>
        <w:rPr>
          <w:spacing w:val="-2"/>
        </w:rPr>
        <w:t>Simone</w:t>
      </w:r>
      <w:r>
        <w:rPr>
          <w:spacing w:val="-11"/>
        </w:rPr>
        <w:t> </w:t>
      </w:r>
      <w:r>
        <w:rPr>
          <w:spacing w:val="-2"/>
        </w:rPr>
        <w:t>de</w:t>
      </w:r>
      <w:r>
        <w:rPr>
          <w:spacing w:val="-10"/>
        </w:rPr>
        <w:t> </w:t>
      </w:r>
      <w:r>
        <w:rPr>
          <w:spacing w:val="-2"/>
        </w:rPr>
        <w:t>Beauvoir’s </w:t>
      </w:r>
      <w:r>
        <w:rPr/>
        <w:t>concept of “otherness,” are essential for analysing these portrayals. They</w:t>
      </w:r>
      <w:r>
        <w:rPr>
          <w:spacing w:val="-13"/>
        </w:rPr>
        <w:t> </w:t>
      </w:r>
      <w:r>
        <w:rPr/>
        <w:t>provide</w:t>
      </w:r>
      <w:r>
        <w:rPr>
          <w:spacing w:val="-12"/>
        </w:rPr>
        <w:t> </w:t>
      </w:r>
      <w:r>
        <w:rPr/>
        <w:t>critical</w:t>
      </w:r>
      <w:r>
        <w:rPr>
          <w:spacing w:val="-10"/>
        </w:rPr>
        <w:t> </w:t>
      </w:r>
      <w:r>
        <w:rPr/>
        <w:t>tools</w:t>
      </w:r>
      <w:r>
        <w:rPr>
          <w:spacing w:val="-13"/>
        </w:rPr>
        <w:t> </w:t>
      </w:r>
      <w:r>
        <w:rPr/>
        <w:t>for</w:t>
      </w:r>
      <w:r>
        <w:rPr>
          <w:spacing w:val="-8"/>
        </w:rPr>
        <w:t> </w:t>
      </w:r>
      <w:r>
        <w:rPr/>
        <w:t>understanding</w:t>
      </w:r>
      <w:r>
        <w:rPr>
          <w:spacing w:val="-10"/>
        </w:rPr>
        <w:t> </w:t>
      </w:r>
      <w:r>
        <w:rPr/>
        <w:t>how</w:t>
      </w:r>
      <w:r>
        <w:rPr>
          <w:spacing w:val="-13"/>
        </w:rPr>
        <w:t> </w:t>
      </w:r>
      <w:r>
        <w:rPr/>
        <w:t>Shakespeare’s</w:t>
      </w:r>
      <w:r>
        <w:rPr>
          <w:spacing w:val="-11"/>
        </w:rPr>
        <w:t> </w:t>
      </w:r>
      <w:r>
        <w:rPr/>
        <w:t>women embody the tensions between submission and resistance, silence and expression,</w:t>
      </w:r>
      <w:r>
        <w:rPr>
          <w:spacing w:val="-13"/>
        </w:rPr>
        <w:t> </w:t>
      </w:r>
      <w:r>
        <w:rPr/>
        <w:t>and</w:t>
      </w:r>
      <w:r>
        <w:rPr>
          <w:spacing w:val="-12"/>
        </w:rPr>
        <w:t> </w:t>
      </w:r>
      <w:r>
        <w:rPr/>
        <w:t>marginalization</w:t>
      </w:r>
      <w:r>
        <w:rPr>
          <w:spacing w:val="-13"/>
        </w:rPr>
        <w:t> </w:t>
      </w:r>
      <w:r>
        <w:rPr/>
        <w:t>and</w:t>
      </w:r>
      <w:r>
        <w:rPr>
          <w:spacing w:val="-12"/>
        </w:rPr>
        <w:t> </w:t>
      </w:r>
      <w:r>
        <w:rPr/>
        <w:t>agency.</w:t>
      </w:r>
      <w:r>
        <w:rPr>
          <w:spacing w:val="-13"/>
        </w:rPr>
        <w:t> </w:t>
      </w:r>
      <w:r>
        <w:rPr/>
        <w:t>This</w:t>
      </w:r>
      <w:r>
        <w:rPr>
          <w:spacing w:val="-12"/>
        </w:rPr>
        <w:t> </w:t>
      </w:r>
      <w:r>
        <w:rPr/>
        <w:t>framework</w:t>
      </w:r>
      <w:r>
        <w:rPr>
          <w:spacing w:val="-13"/>
        </w:rPr>
        <w:t> </w:t>
      </w:r>
      <w:r>
        <w:rPr/>
        <w:t>illuminates the</w:t>
      </w:r>
      <w:r>
        <w:rPr>
          <w:spacing w:val="-4"/>
        </w:rPr>
        <w:t> </w:t>
      </w:r>
      <w:r>
        <w:rPr/>
        <w:t>social</w:t>
      </w:r>
      <w:r>
        <w:rPr>
          <w:spacing w:val="-5"/>
        </w:rPr>
        <w:t> </w:t>
      </w:r>
      <w:r>
        <w:rPr/>
        <w:t>constructions</w:t>
      </w:r>
      <w:r>
        <w:rPr>
          <w:spacing w:val="-10"/>
        </w:rPr>
        <w:t> </w:t>
      </w:r>
      <w:r>
        <w:rPr/>
        <w:t>and</w:t>
      </w:r>
      <w:r>
        <w:rPr>
          <w:spacing w:val="-5"/>
        </w:rPr>
        <w:t> </w:t>
      </w:r>
      <w:r>
        <w:rPr/>
        <w:t>power</w:t>
      </w:r>
      <w:r>
        <w:rPr>
          <w:spacing w:val="-5"/>
        </w:rPr>
        <w:t> </w:t>
      </w:r>
      <w:r>
        <w:rPr/>
        <w:t>relations</w:t>
      </w:r>
      <w:r>
        <w:rPr>
          <w:spacing w:val="-6"/>
        </w:rPr>
        <w:t> </w:t>
      </w:r>
      <w:r>
        <w:rPr/>
        <w:t>that</w:t>
      </w:r>
      <w:r>
        <w:rPr>
          <w:spacing w:val="-8"/>
        </w:rPr>
        <w:t> </w:t>
      </w:r>
      <w:r>
        <w:rPr/>
        <w:t>shape</w:t>
      </w:r>
      <w:r>
        <w:rPr>
          <w:spacing w:val="-6"/>
        </w:rPr>
        <w:t> </w:t>
      </w:r>
      <w:r>
        <w:rPr/>
        <w:t>gender</w:t>
      </w:r>
      <w:r>
        <w:rPr>
          <w:spacing w:val="-5"/>
        </w:rPr>
        <w:t> </w:t>
      </w:r>
      <w:r>
        <w:rPr/>
        <w:t>dynamics in Shakespeare’s works, exposing patriarchal anxieties and the mechanisms</w:t>
      </w:r>
      <w:r>
        <w:rPr>
          <w:spacing w:val="40"/>
        </w:rPr>
        <w:t> </w:t>
      </w:r>
      <w:r>
        <w:rPr/>
        <w:t>that</w:t>
      </w:r>
      <w:r>
        <w:rPr>
          <w:spacing w:val="40"/>
        </w:rPr>
        <w:t> </w:t>
      </w:r>
      <w:r>
        <w:rPr/>
        <w:t>govern</w:t>
      </w:r>
      <w:r>
        <w:rPr>
          <w:spacing w:val="40"/>
        </w:rPr>
        <w:t> </w:t>
      </w:r>
      <w:r>
        <w:rPr/>
        <w:t>female</w:t>
      </w:r>
      <w:r>
        <w:rPr>
          <w:spacing w:val="40"/>
        </w:rPr>
        <w:t> </w:t>
      </w:r>
      <w:r>
        <w:rPr/>
        <w:t>identity</w:t>
      </w:r>
      <w:r>
        <w:rPr>
          <w:spacing w:val="40"/>
        </w:rPr>
        <w:t> </w:t>
      </w:r>
      <w:r>
        <w:rPr/>
        <w:t>and</w:t>
      </w:r>
      <w:r>
        <w:rPr>
          <w:spacing w:val="40"/>
        </w:rPr>
        <w:t> </w:t>
      </w:r>
      <w:r>
        <w:rPr/>
        <w:t>autonomy.</w:t>
      </w:r>
    </w:p>
    <w:p>
      <w:pPr>
        <w:pStyle w:val="BodyText"/>
        <w:spacing w:line="249" w:lineRule="auto" w:before="64"/>
        <w:ind w:right="1440" w:firstLine="432"/>
        <w:jc w:val="both"/>
      </w:pPr>
      <w:r>
        <w:rPr/>
        <w:t>The enduring impact of Shakespeare’s depiction of women lies in its</w:t>
      </w:r>
      <w:r>
        <w:rPr>
          <w:spacing w:val="-13"/>
        </w:rPr>
        <w:t> </w:t>
      </w:r>
      <w:r>
        <w:rPr/>
        <w:t>capacity</w:t>
      </w:r>
      <w:r>
        <w:rPr>
          <w:spacing w:val="-12"/>
        </w:rPr>
        <w:t> </w:t>
      </w:r>
      <w:r>
        <w:rPr/>
        <w:t>to</w:t>
      </w:r>
      <w:r>
        <w:rPr>
          <w:spacing w:val="-13"/>
        </w:rPr>
        <w:t> </w:t>
      </w:r>
      <w:r>
        <w:rPr/>
        <w:t>engage</w:t>
      </w:r>
      <w:r>
        <w:rPr>
          <w:spacing w:val="-12"/>
        </w:rPr>
        <w:t> </w:t>
      </w:r>
      <w:r>
        <w:rPr/>
        <w:t>with</w:t>
      </w:r>
      <w:r>
        <w:rPr>
          <w:spacing w:val="-13"/>
        </w:rPr>
        <w:t> </w:t>
      </w:r>
      <w:r>
        <w:rPr/>
        <w:t>contemporary</w:t>
      </w:r>
      <w:r>
        <w:rPr>
          <w:spacing w:val="-12"/>
        </w:rPr>
        <w:t> </w:t>
      </w:r>
      <w:r>
        <w:rPr/>
        <w:t>discussions</w:t>
      </w:r>
      <w:r>
        <w:rPr>
          <w:spacing w:val="-13"/>
        </w:rPr>
        <w:t> </w:t>
      </w:r>
      <w:r>
        <w:rPr/>
        <w:t>on</w:t>
      </w:r>
      <w:r>
        <w:rPr>
          <w:spacing w:val="-12"/>
        </w:rPr>
        <w:t> </w:t>
      </w:r>
      <w:r>
        <w:rPr/>
        <w:t>gender,</w:t>
      </w:r>
      <w:r>
        <w:rPr>
          <w:spacing w:val="-13"/>
        </w:rPr>
        <w:t> </w:t>
      </w:r>
      <w:r>
        <w:rPr/>
        <w:t>identity, and power. His nuanced characters offer profound insights into the historical roots of gendered marginalization and persistent struggles surrounding female autonomy and voice. By critically engaging with these texts through feminist lenses, scholars and readers can deepen their understanding of the complex interplay between silence, power, and marginalization in early modern contexts and in ongoing gender discourses</w:t>
      </w:r>
      <w:r>
        <w:rPr>
          <w:spacing w:val="40"/>
        </w:rPr>
        <w:t> </w:t>
      </w:r>
      <w:r>
        <w:rPr/>
        <w:t>today.</w:t>
      </w:r>
    </w:p>
    <w:p>
      <w:pPr>
        <w:pStyle w:val="Heading3"/>
        <w:spacing w:before="163"/>
      </w:pPr>
      <w:r>
        <w:rPr>
          <w:spacing w:val="-2"/>
          <w:w w:val="95"/>
        </w:rPr>
        <w:t>REFERENCES:</w:t>
      </w:r>
    </w:p>
    <w:p>
      <w:pPr>
        <w:pStyle w:val="ListParagraph"/>
        <w:numPr>
          <w:ilvl w:val="0"/>
          <w:numId w:val="32"/>
        </w:numPr>
        <w:tabs>
          <w:tab w:pos="2157" w:val="left" w:leader="none"/>
          <w:tab w:pos="2160" w:val="left" w:leader="none"/>
        </w:tabs>
        <w:spacing w:line="261" w:lineRule="auto" w:before="83" w:after="0"/>
        <w:ind w:left="2160" w:right="1438" w:hanging="315"/>
        <w:jc w:val="both"/>
        <w:rPr>
          <w:sz w:val="19"/>
        </w:rPr>
      </w:pPr>
      <w:r>
        <w:rPr>
          <w:sz w:val="19"/>
        </w:rPr>
        <w:t>Adelman, J. (1992). Suffocating mothers: Fantasies of maternal origin in </w:t>
      </w:r>
      <w:r>
        <w:rPr>
          <w:spacing w:val="9"/>
          <w:sz w:val="19"/>
        </w:rPr>
        <w:t>Shakespeare’s</w:t>
      </w:r>
      <w:r>
        <w:rPr>
          <w:spacing w:val="9"/>
          <w:sz w:val="19"/>
        </w:rPr>
        <w:t> </w:t>
      </w:r>
      <w:r>
        <w:rPr>
          <w:sz w:val="19"/>
        </w:rPr>
        <w:t>plays, Hamlet to The Tempest. </w:t>
      </w:r>
      <w:r>
        <w:rPr>
          <w:spacing w:val="-2"/>
          <w:sz w:val="19"/>
        </w:rPr>
        <w:t>Routledge.</w:t>
      </w:r>
    </w:p>
    <w:p>
      <w:pPr>
        <w:pStyle w:val="ListParagraph"/>
        <w:numPr>
          <w:ilvl w:val="0"/>
          <w:numId w:val="32"/>
        </w:numPr>
        <w:tabs>
          <w:tab w:pos="2157" w:val="left" w:leader="none"/>
          <w:tab w:pos="2160" w:val="left" w:leader="none"/>
        </w:tabs>
        <w:spacing w:line="264" w:lineRule="auto" w:before="56" w:after="0"/>
        <w:ind w:left="2160" w:right="1440" w:hanging="315"/>
        <w:jc w:val="both"/>
        <w:rPr>
          <w:sz w:val="19"/>
        </w:rPr>
      </w:pPr>
      <w:r>
        <w:rPr>
          <w:sz w:val="19"/>
        </w:rPr>
        <w:t>Bamber, L. (1982). Comic women, tragic men:</w:t>
      </w:r>
      <w:r>
        <w:rPr>
          <w:spacing w:val="-7"/>
          <w:sz w:val="19"/>
        </w:rPr>
        <w:t> </w:t>
      </w:r>
      <w:r>
        <w:rPr>
          <w:sz w:val="19"/>
        </w:rPr>
        <w:t>A</w:t>
      </w:r>
      <w:r>
        <w:rPr>
          <w:spacing w:val="-4"/>
          <w:sz w:val="19"/>
        </w:rPr>
        <w:t> </w:t>
      </w:r>
      <w:r>
        <w:rPr>
          <w:sz w:val="19"/>
        </w:rPr>
        <w:t>study</w:t>
      </w:r>
      <w:r>
        <w:rPr>
          <w:spacing w:val="-4"/>
          <w:sz w:val="19"/>
        </w:rPr>
        <w:t> </w:t>
      </w:r>
      <w:r>
        <w:rPr>
          <w:sz w:val="19"/>
        </w:rPr>
        <w:t>of gender and</w:t>
      </w:r>
      <w:r>
        <w:rPr>
          <w:spacing w:val="40"/>
          <w:sz w:val="19"/>
        </w:rPr>
        <w:t> </w:t>
      </w:r>
      <w:r>
        <w:rPr>
          <w:sz w:val="19"/>
        </w:rPr>
        <w:t>genre</w:t>
      </w:r>
      <w:r>
        <w:rPr>
          <w:spacing w:val="40"/>
          <w:sz w:val="19"/>
        </w:rPr>
        <w:t> </w:t>
      </w:r>
      <w:r>
        <w:rPr>
          <w:sz w:val="19"/>
        </w:rPr>
        <w:t>in</w:t>
      </w:r>
      <w:r>
        <w:rPr>
          <w:spacing w:val="40"/>
          <w:sz w:val="19"/>
        </w:rPr>
        <w:t> </w:t>
      </w:r>
      <w:r>
        <w:rPr>
          <w:sz w:val="19"/>
        </w:rPr>
        <w:t>Shakespeare.</w:t>
      </w:r>
      <w:r>
        <w:rPr>
          <w:spacing w:val="40"/>
          <w:sz w:val="19"/>
        </w:rPr>
        <w:t> </w:t>
      </w:r>
      <w:r>
        <w:rPr>
          <w:sz w:val="19"/>
        </w:rPr>
        <w:t>Stanford</w:t>
      </w:r>
      <w:r>
        <w:rPr>
          <w:spacing w:val="40"/>
          <w:sz w:val="19"/>
        </w:rPr>
        <w:t> </w:t>
      </w:r>
      <w:r>
        <w:rPr>
          <w:sz w:val="19"/>
        </w:rPr>
        <w:t>University</w:t>
      </w:r>
      <w:r>
        <w:rPr>
          <w:spacing w:val="40"/>
          <w:sz w:val="19"/>
        </w:rPr>
        <w:t> </w:t>
      </w:r>
      <w:r>
        <w:rPr>
          <w:sz w:val="19"/>
        </w:rPr>
        <w:t>Press.</w:t>
      </w:r>
    </w:p>
    <w:p>
      <w:pPr>
        <w:pStyle w:val="ListParagraph"/>
        <w:numPr>
          <w:ilvl w:val="0"/>
          <w:numId w:val="32"/>
        </w:numPr>
        <w:tabs>
          <w:tab w:pos="2157" w:val="left" w:leader="none"/>
          <w:tab w:pos="2160" w:val="left" w:leader="none"/>
        </w:tabs>
        <w:spacing w:line="261" w:lineRule="auto" w:before="54" w:after="0"/>
        <w:ind w:left="2160" w:right="1441" w:hanging="315"/>
        <w:jc w:val="both"/>
        <w:rPr>
          <w:sz w:val="19"/>
        </w:rPr>
      </w:pPr>
      <w:r>
        <w:rPr>
          <w:sz w:val="19"/>
        </w:rPr>
        <w:t>Belsey, C. (1985). The subject of tragedy: Identity</w:t>
      </w:r>
      <w:r>
        <w:rPr>
          <w:spacing w:val="-1"/>
          <w:sz w:val="19"/>
        </w:rPr>
        <w:t> </w:t>
      </w:r>
      <w:r>
        <w:rPr>
          <w:sz w:val="19"/>
        </w:rPr>
        <w:t>and difference in</w:t>
      </w:r>
      <w:r>
        <w:rPr>
          <w:spacing w:val="40"/>
          <w:sz w:val="19"/>
        </w:rPr>
        <w:t> </w:t>
      </w:r>
      <w:r>
        <w:rPr>
          <w:sz w:val="19"/>
        </w:rPr>
        <w:t>Renaissance</w:t>
      </w:r>
      <w:r>
        <w:rPr>
          <w:spacing w:val="40"/>
          <w:sz w:val="19"/>
        </w:rPr>
        <w:t> </w:t>
      </w:r>
      <w:r>
        <w:rPr>
          <w:sz w:val="19"/>
        </w:rPr>
        <w:t>drama.</w:t>
      </w:r>
      <w:r>
        <w:rPr>
          <w:spacing w:val="40"/>
          <w:sz w:val="19"/>
        </w:rPr>
        <w:t> </w:t>
      </w:r>
      <w:r>
        <w:rPr>
          <w:sz w:val="19"/>
        </w:rPr>
        <w:t>Methuen.</w:t>
      </w:r>
    </w:p>
    <w:p>
      <w:pPr>
        <w:pStyle w:val="ListParagraph"/>
        <w:numPr>
          <w:ilvl w:val="0"/>
          <w:numId w:val="32"/>
        </w:numPr>
        <w:tabs>
          <w:tab w:pos="2157" w:val="left" w:leader="none"/>
          <w:tab w:pos="2160" w:val="left" w:leader="none"/>
        </w:tabs>
        <w:spacing w:line="264" w:lineRule="auto" w:before="57" w:after="0"/>
        <w:ind w:left="2160" w:right="1444" w:hanging="315"/>
        <w:jc w:val="both"/>
        <w:rPr>
          <w:sz w:val="19"/>
        </w:rPr>
      </w:pPr>
      <w:r>
        <w:rPr>
          <w:sz w:val="19"/>
        </w:rPr>
        <w:t>Butler, J. (1990). Gender trouble: Feminism and the subversion</w:t>
      </w:r>
      <w:r>
        <w:rPr>
          <w:spacing w:val="80"/>
          <w:sz w:val="19"/>
        </w:rPr>
        <w:t> </w:t>
      </w:r>
      <w:r>
        <w:rPr>
          <w:sz w:val="19"/>
        </w:rPr>
        <w:t>of</w:t>
      </w:r>
      <w:r>
        <w:rPr>
          <w:spacing w:val="40"/>
          <w:sz w:val="19"/>
        </w:rPr>
        <w:t> </w:t>
      </w:r>
      <w:r>
        <w:rPr>
          <w:sz w:val="19"/>
        </w:rPr>
        <w:t>identity.</w:t>
      </w:r>
      <w:r>
        <w:rPr>
          <w:spacing w:val="40"/>
          <w:sz w:val="19"/>
        </w:rPr>
        <w:t> </w:t>
      </w:r>
      <w:r>
        <w:rPr>
          <w:sz w:val="19"/>
        </w:rPr>
        <w:t>Routledge.</w:t>
      </w:r>
    </w:p>
    <w:p>
      <w:pPr>
        <w:pStyle w:val="ListParagraph"/>
        <w:spacing w:after="0" w:line="264" w:lineRule="auto"/>
        <w:jc w:val="both"/>
        <w:rPr>
          <w:sz w:val="19"/>
        </w:rPr>
        <w:sectPr>
          <w:type w:val="continuous"/>
          <w:pgSz w:w="12240" w:h="15840"/>
          <w:pgMar w:top="138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21984">
                <wp:simplePos x="0" y="0"/>
                <wp:positionH relativeFrom="page">
                  <wp:posOffset>2065020</wp:posOffset>
                </wp:positionH>
                <wp:positionV relativeFrom="paragraph">
                  <wp:posOffset>795020</wp:posOffset>
                </wp:positionV>
                <wp:extent cx="3657600" cy="12700"/>
                <wp:effectExtent l="0" t="0" r="0" b="0"/>
                <wp:wrapTopAndBottom/>
                <wp:docPr id="403" name="Graphic 403"/>
                <wp:cNvGraphicFramePr>
                  <a:graphicFrameLocks/>
                </wp:cNvGraphicFramePr>
                <a:graphic>
                  <a:graphicData uri="http://schemas.microsoft.com/office/word/2010/wordprocessingShape">
                    <wps:wsp>
                      <wps:cNvPr id="403" name="Graphic 40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94496;mso-wrap-distance-left:0;mso-wrap-distance-right:0" id="docshape398" filled="true" fillcolor="#000000" stroked="false">
                <v:fill type="solid"/>
                <w10:wrap type="topAndBottom"/>
              </v:rect>
            </w:pict>
          </mc:Fallback>
        </mc:AlternateContent>
      </w: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6"/>
          <w:sz w:val="18"/>
        </w:rPr>
        <w:t> </w:t>
      </w:r>
      <w:r>
        <w:rPr>
          <w:rFonts w:ascii="Verdana" w:hAnsi="Verdana"/>
          <w:sz w:val="18"/>
        </w:rPr>
        <w:t>Marginalisation:</w:t>
      </w:r>
      <w:r>
        <w:rPr>
          <w:rFonts w:ascii="Verdana" w:hAnsi="Verdana"/>
          <w:spacing w:val="4"/>
          <w:sz w:val="18"/>
        </w:rPr>
        <w:t> </w:t>
      </w:r>
      <w:r>
        <w:rPr>
          <w:rFonts w:ascii="Verdana" w:hAnsi="Verdana"/>
          <w:sz w:val="18"/>
        </w:rPr>
        <w:t>Women</w:t>
      </w:r>
      <w:r>
        <w:rPr>
          <w:rFonts w:ascii="Verdana" w:hAnsi="Verdana"/>
          <w:spacing w:val="9"/>
          <w:sz w:val="18"/>
        </w:rPr>
        <w:t> </w:t>
      </w:r>
      <w:r>
        <w:rPr>
          <w:rFonts w:ascii="Verdana" w:hAnsi="Verdana"/>
          <w:sz w:val="18"/>
        </w:rPr>
        <w:t>as</w:t>
      </w:r>
      <w:r>
        <w:rPr>
          <w:rFonts w:ascii="Verdana" w:hAnsi="Verdana"/>
          <w:spacing w:val="4"/>
          <w:sz w:val="18"/>
        </w:rPr>
        <w:t> </w:t>
      </w:r>
      <w:r>
        <w:rPr>
          <w:rFonts w:ascii="Verdana" w:hAnsi="Verdana"/>
          <w:sz w:val="18"/>
        </w:rPr>
        <w:t>“Other”</w:t>
      </w:r>
      <w:r>
        <w:rPr>
          <w:rFonts w:ascii="Verdana" w:hAnsi="Verdana"/>
          <w:spacing w:val="4"/>
          <w:sz w:val="18"/>
        </w:rPr>
        <w:t> </w:t>
      </w:r>
      <w:r>
        <w:rPr>
          <w:rFonts w:ascii="Verdana" w:hAnsi="Verdana"/>
          <w:spacing w:val="-2"/>
          <w:sz w:val="18"/>
        </w:rPr>
        <w:t>in...</w:t>
      </w:r>
      <w:r>
        <w:rPr>
          <w:sz w:val="18"/>
        </w:rPr>
        <w:tab/>
      </w:r>
      <w:r>
        <w:rPr>
          <w:rFonts w:ascii="Verdana" w:hAnsi="Verdana"/>
          <w:spacing w:val="-5"/>
          <w:sz w:val="18"/>
        </w:rPr>
        <w:t>165</w:t>
      </w:r>
    </w:p>
    <w:p>
      <w:pPr>
        <w:pStyle w:val="ListParagraph"/>
        <w:numPr>
          <w:ilvl w:val="0"/>
          <w:numId w:val="32"/>
        </w:numPr>
        <w:tabs>
          <w:tab w:pos="2157" w:val="left" w:leader="none"/>
          <w:tab w:pos="2160" w:val="left" w:leader="none"/>
        </w:tabs>
        <w:spacing w:line="261" w:lineRule="auto" w:before="199" w:after="0"/>
        <w:ind w:left="2160" w:right="1441" w:hanging="315"/>
        <w:jc w:val="both"/>
        <w:rPr>
          <w:sz w:val="19"/>
        </w:rPr>
      </w:pPr>
      <w:r>
        <w:rPr>
          <w:sz w:val="19"/>
        </w:rPr>
        <w:t>Callaghan,</w:t>
      </w:r>
      <w:r>
        <w:rPr>
          <w:spacing w:val="-4"/>
          <w:sz w:val="19"/>
        </w:rPr>
        <w:t> </w:t>
      </w:r>
      <w:r>
        <w:rPr>
          <w:sz w:val="19"/>
        </w:rPr>
        <w:t>D.</w:t>
      </w:r>
      <w:r>
        <w:rPr>
          <w:spacing w:val="-4"/>
          <w:sz w:val="19"/>
        </w:rPr>
        <w:t> </w:t>
      </w:r>
      <w:r>
        <w:rPr>
          <w:sz w:val="19"/>
        </w:rPr>
        <w:t>(1989).</w:t>
      </w:r>
      <w:r>
        <w:rPr>
          <w:spacing w:val="-6"/>
          <w:sz w:val="19"/>
        </w:rPr>
        <w:t> </w:t>
      </w:r>
      <w:r>
        <w:rPr>
          <w:sz w:val="19"/>
        </w:rPr>
        <w:t>Woman</w:t>
      </w:r>
      <w:r>
        <w:rPr>
          <w:spacing w:val="-6"/>
          <w:sz w:val="19"/>
        </w:rPr>
        <w:t> </w:t>
      </w:r>
      <w:r>
        <w:rPr>
          <w:sz w:val="19"/>
        </w:rPr>
        <w:t>and</w:t>
      </w:r>
      <w:r>
        <w:rPr>
          <w:spacing w:val="-4"/>
          <w:sz w:val="19"/>
        </w:rPr>
        <w:t> </w:t>
      </w:r>
      <w:r>
        <w:rPr>
          <w:sz w:val="19"/>
        </w:rPr>
        <w:t>gender</w:t>
      </w:r>
      <w:r>
        <w:rPr>
          <w:spacing w:val="-6"/>
          <w:sz w:val="19"/>
        </w:rPr>
        <w:t> </w:t>
      </w:r>
      <w:r>
        <w:rPr>
          <w:sz w:val="19"/>
        </w:rPr>
        <w:t>in</w:t>
      </w:r>
      <w:r>
        <w:rPr>
          <w:spacing w:val="-3"/>
          <w:sz w:val="19"/>
        </w:rPr>
        <w:t> </w:t>
      </w:r>
      <w:r>
        <w:rPr>
          <w:sz w:val="19"/>
        </w:rPr>
        <w:t>Renaissance</w:t>
      </w:r>
      <w:r>
        <w:rPr>
          <w:spacing w:val="-6"/>
          <w:sz w:val="19"/>
        </w:rPr>
        <w:t> </w:t>
      </w:r>
      <w:r>
        <w:rPr>
          <w:sz w:val="19"/>
        </w:rPr>
        <w:t>tragedy: A study of King Lear, Othello, The Duchess of Malfi and The White</w:t>
      </w:r>
      <w:r>
        <w:rPr>
          <w:spacing w:val="40"/>
          <w:sz w:val="19"/>
        </w:rPr>
        <w:t> </w:t>
      </w:r>
      <w:r>
        <w:rPr>
          <w:sz w:val="19"/>
        </w:rPr>
        <w:t>Devil.</w:t>
      </w:r>
      <w:r>
        <w:rPr>
          <w:spacing w:val="40"/>
          <w:sz w:val="19"/>
        </w:rPr>
        <w:t> </w:t>
      </w:r>
      <w:r>
        <w:rPr>
          <w:sz w:val="19"/>
        </w:rPr>
        <w:t>Harvester</w:t>
      </w:r>
      <w:r>
        <w:rPr>
          <w:spacing w:val="40"/>
          <w:sz w:val="19"/>
        </w:rPr>
        <w:t> </w:t>
      </w:r>
      <w:r>
        <w:rPr>
          <w:sz w:val="19"/>
        </w:rPr>
        <w:t>Wheatsheaf.</w:t>
      </w:r>
    </w:p>
    <w:p>
      <w:pPr>
        <w:pStyle w:val="ListParagraph"/>
        <w:numPr>
          <w:ilvl w:val="0"/>
          <w:numId w:val="32"/>
        </w:numPr>
        <w:tabs>
          <w:tab w:pos="2157" w:val="left" w:leader="none"/>
          <w:tab w:pos="2160" w:val="left" w:leader="none"/>
        </w:tabs>
        <w:spacing w:line="261" w:lineRule="auto" w:before="58" w:after="0"/>
        <w:ind w:left="2160" w:right="1442" w:hanging="315"/>
        <w:jc w:val="both"/>
        <w:rPr>
          <w:sz w:val="19"/>
        </w:rPr>
      </w:pPr>
      <w:r>
        <w:rPr>
          <w:sz w:val="19"/>
        </w:rPr>
        <w:t>de Beauvoir, S. (1949). The second sex (H. M. Parshley, Trans.). Gallimard.</w:t>
      </w:r>
      <w:r>
        <w:rPr>
          <w:spacing w:val="40"/>
          <w:sz w:val="19"/>
        </w:rPr>
        <w:t> </w:t>
      </w:r>
      <w:r>
        <w:rPr>
          <w:sz w:val="19"/>
        </w:rPr>
        <w:t>(English</w:t>
      </w:r>
      <w:r>
        <w:rPr>
          <w:spacing w:val="40"/>
          <w:sz w:val="19"/>
        </w:rPr>
        <w:t> </w:t>
      </w:r>
      <w:r>
        <w:rPr>
          <w:sz w:val="19"/>
        </w:rPr>
        <w:t>translation,</w:t>
      </w:r>
      <w:r>
        <w:rPr>
          <w:spacing w:val="40"/>
          <w:sz w:val="19"/>
        </w:rPr>
        <w:t> </w:t>
      </w:r>
      <w:r>
        <w:rPr>
          <w:sz w:val="19"/>
        </w:rPr>
        <w:t>Jonathan</w:t>
      </w:r>
      <w:r>
        <w:rPr>
          <w:spacing w:val="40"/>
          <w:sz w:val="19"/>
        </w:rPr>
        <w:t> </w:t>
      </w:r>
      <w:r>
        <w:rPr>
          <w:sz w:val="19"/>
        </w:rPr>
        <w:t>Cape,</w:t>
      </w:r>
      <w:r>
        <w:rPr>
          <w:spacing w:val="40"/>
          <w:sz w:val="19"/>
        </w:rPr>
        <w:t> </w:t>
      </w:r>
      <w:r>
        <w:rPr>
          <w:sz w:val="19"/>
        </w:rPr>
        <w:t>1953).</w:t>
      </w:r>
    </w:p>
    <w:p>
      <w:pPr>
        <w:pStyle w:val="ListParagraph"/>
        <w:numPr>
          <w:ilvl w:val="0"/>
          <w:numId w:val="32"/>
        </w:numPr>
        <w:tabs>
          <w:tab w:pos="2157" w:val="left" w:leader="none"/>
          <w:tab w:pos="2160" w:val="left" w:leader="none"/>
        </w:tabs>
        <w:spacing w:line="242" w:lineRule="auto" w:before="45" w:after="0"/>
        <w:ind w:left="2160" w:right="1443" w:hanging="315"/>
        <w:jc w:val="both"/>
        <w:rPr>
          <w:sz w:val="19"/>
        </w:rPr>
      </w:pPr>
      <w:r>
        <w:rPr>
          <w:sz w:val="19"/>
        </w:rPr>
        <w:t>Dusinberre, J. (1975). Shakespeare and the nature of women. </w:t>
      </w:r>
      <w:r>
        <w:rPr>
          <w:spacing w:val="-2"/>
          <w:sz w:val="19"/>
        </w:rPr>
        <w:t>Macmillan.</w:t>
      </w:r>
    </w:p>
    <w:p>
      <w:pPr>
        <w:pStyle w:val="ListParagraph"/>
        <w:numPr>
          <w:ilvl w:val="0"/>
          <w:numId w:val="32"/>
        </w:numPr>
        <w:tabs>
          <w:tab w:pos="2157" w:val="left" w:leader="none"/>
          <w:tab w:pos="2160" w:val="left" w:leader="none"/>
        </w:tabs>
        <w:spacing w:line="240" w:lineRule="auto" w:before="58" w:after="0"/>
        <w:ind w:left="2160" w:right="1443" w:hanging="315"/>
        <w:jc w:val="both"/>
        <w:rPr>
          <w:sz w:val="19"/>
        </w:rPr>
      </w:pPr>
      <w:r>
        <w:rPr>
          <w:sz w:val="19"/>
        </w:rPr>
        <w:t>French,</w:t>
      </w:r>
      <w:r>
        <w:rPr>
          <w:spacing w:val="-3"/>
          <w:sz w:val="19"/>
        </w:rPr>
        <w:t> </w:t>
      </w:r>
      <w:r>
        <w:rPr>
          <w:sz w:val="19"/>
        </w:rPr>
        <w:t>M. (1981).</w:t>
      </w:r>
      <w:r>
        <w:rPr>
          <w:spacing w:val="-3"/>
          <w:sz w:val="19"/>
        </w:rPr>
        <w:t> </w:t>
      </w:r>
      <w:r>
        <w:rPr>
          <w:sz w:val="19"/>
        </w:rPr>
        <w:t>Shakespeare’s</w:t>
      </w:r>
      <w:r>
        <w:rPr>
          <w:spacing w:val="-3"/>
          <w:sz w:val="19"/>
        </w:rPr>
        <w:t> </w:t>
      </w:r>
      <w:r>
        <w:rPr>
          <w:sz w:val="19"/>
        </w:rPr>
        <w:t>division</w:t>
      </w:r>
      <w:r>
        <w:rPr>
          <w:spacing w:val="-1"/>
          <w:sz w:val="19"/>
        </w:rPr>
        <w:t> </w:t>
      </w:r>
      <w:r>
        <w:rPr>
          <w:sz w:val="19"/>
        </w:rPr>
        <w:t>of experience.</w:t>
      </w:r>
      <w:r>
        <w:rPr>
          <w:spacing w:val="-3"/>
          <w:sz w:val="19"/>
        </w:rPr>
        <w:t> </w:t>
      </w:r>
      <w:r>
        <w:rPr>
          <w:sz w:val="19"/>
        </w:rPr>
        <w:t>Summit </w:t>
      </w:r>
      <w:r>
        <w:rPr>
          <w:spacing w:val="-2"/>
          <w:sz w:val="19"/>
        </w:rPr>
        <w:t>Books.</w:t>
      </w:r>
    </w:p>
    <w:p>
      <w:pPr>
        <w:pStyle w:val="ListParagraph"/>
        <w:numPr>
          <w:ilvl w:val="0"/>
          <w:numId w:val="32"/>
        </w:numPr>
        <w:tabs>
          <w:tab w:pos="2157" w:val="left" w:leader="none"/>
          <w:tab w:pos="2160" w:val="left" w:leader="none"/>
        </w:tabs>
        <w:spacing w:line="242" w:lineRule="auto" w:before="60" w:after="0"/>
        <w:ind w:left="2160" w:right="1443" w:hanging="315"/>
        <w:jc w:val="both"/>
        <w:rPr>
          <w:sz w:val="19"/>
        </w:rPr>
      </w:pPr>
      <w:r>
        <w:rPr>
          <w:sz w:val="19"/>
        </w:rPr>
        <w:t>Greenblatt,</w:t>
      </w:r>
      <w:r>
        <w:rPr>
          <w:spacing w:val="34"/>
          <w:sz w:val="19"/>
        </w:rPr>
        <w:t> </w:t>
      </w:r>
      <w:r>
        <w:rPr>
          <w:sz w:val="19"/>
        </w:rPr>
        <w:t>S.</w:t>
      </w:r>
      <w:r>
        <w:rPr>
          <w:spacing w:val="35"/>
          <w:sz w:val="19"/>
        </w:rPr>
        <w:t> </w:t>
      </w:r>
      <w:r>
        <w:rPr>
          <w:sz w:val="19"/>
        </w:rPr>
        <w:t>(1980). Renaissance</w:t>
      </w:r>
      <w:r>
        <w:rPr>
          <w:spacing w:val="34"/>
          <w:sz w:val="19"/>
        </w:rPr>
        <w:t> </w:t>
      </w:r>
      <w:r>
        <w:rPr>
          <w:sz w:val="19"/>
        </w:rPr>
        <w:t>self-fashioning: From</w:t>
      </w:r>
      <w:r>
        <w:rPr>
          <w:spacing w:val="34"/>
          <w:sz w:val="19"/>
        </w:rPr>
        <w:t> </w:t>
      </w:r>
      <w:r>
        <w:rPr>
          <w:sz w:val="19"/>
        </w:rPr>
        <w:t>More to</w:t>
      </w:r>
      <w:r>
        <w:rPr>
          <w:spacing w:val="40"/>
          <w:sz w:val="19"/>
        </w:rPr>
        <w:t> </w:t>
      </w:r>
      <w:r>
        <w:rPr>
          <w:sz w:val="19"/>
        </w:rPr>
        <w:t>Shakespeare.</w:t>
      </w:r>
      <w:r>
        <w:rPr>
          <w:spacing w:val="40"/>
          <w:sz w:val="19"/>
        </w:rPr>
        <w:t> </w:t>
      </w:r>
      <w:r>
        <w:rPr>
          <w:sz w:val="19"/>
        </w:rPr>
        <w:t>University</w:t>
      </w:r>
      <w:r>
        <w:rPr>
          <w:spacing w:val="40"/>
          <w:sz w:val="19"/>
        </w:rPr>
        <w:t> </w:t>
      </w:r>
      <w:r>
        <w:rPr>
          <w:sz w:val="19"/>
        </w:rPr>
        <w:t>of</w:t>
      </w:r>
      <w:r>
        <w:rPr>
          <w:spacing w:val="40"/>
          <w:sz w:val="19"/>
        </w:rPr>
        <w:t> </w:t>
      </w:r>
      <w:r>
        <w:rPr>
          <w:sz w:val="19"/>
        </w:rPr>
        <w:t>Chicago</w:t>
      </w:r>
      <w:r>
        <w:rPr>
          <w:spacing w:val="40"/>
          <w:sz w:val="19"/>
        </w:rPr>
        <w:t> </w:t>
      </w:r>
      <w:r>
        <w:rPr>
          <w:sz w:val="19"/>
        </w:rPr>
        <w:t>Press.</w:t>
      </w:r>
    </w:p>
    <w:p>
      <w:pPr>
        <w:pStyle w:val="ListParagraph"/>
        <w:numPr>
          <w:ilvl w:val="0"/>
          <w:numId w:val="32"/>
        </w:numPr>
        <w:tabs>
          <w:tab w:pos="2157" w:val="left" w:leader="none"/>
          <w:tab w:pos="2160" w:val="left" w:leader="none"/>
        </w:tabs>
        <w:spacing w:line="240" w:lineRule="auto" w:before="58" w:after="0"/>
        <w:ind w:left="2160" w:right="1443" w:hanging="406"/>
        <w:jc w:val="both"/>
        <w:rPr>
          <w:sz w:val="19"/>
        </w:rPr>
      </w:pPr>
      <w:r>
        <w:rPr>
          <w:sz w:val="19"/>
        </w:rPr>
        <w:t>Jardine, L. (1983). Still harping on daughters:</w:t>
      </w:r>
      <w:r>
        <w:rPr>
          <w:spacing w:val="-1"/>
          <w:sz w:val="19"/>
        </w:rPr>
        <w:t> </w:t>
      </w:r>
      <w:r>
        <w:rPr>
          <w:sz w:val="19"/>
        </w:rPr>
        <w:t>Women and drama in</w:t>
      </w:r>
      <w:r>
        <w:rPr>
          <w:spacing w:val="40"/>
          <w:sz w:val="19"/>
        </w:rPr>
        <w:t> </w:t>
      </w:r>
      <w:r>
        <w:rPr>
          <w:sz w:val="19"/>
        </w:rPr>
        <w:t>the</w:t>
      </w:r>
      <w:r>
        <w:rPr>
          <w:spacing w:val="40"/>
          <w:sz w:val="19"/>
        </w:rPr>
        <w:t> </w:t>
      </w:r>
      <w:r>
        <w:rPr>
          <w:sz w:val="19"/>
        </w:rPr>
        <w:t>age</w:t>
      </w:r>
      <w:r>
        <w:rPr>
          <w:spacing w:val="40"/>
          <w:sz w:val="19"/>
        </w:rPr>
        <w:t> </w:t>
      </w:r>
      <w:r>
        <w:rPr>
          <w:sz w:val="19"/>
        </w:rPr>
        <w:t>of</w:t>
      </w:r>
      <w:r>
        <w:rPr>
          <w:spacing w:val="40"/>
          <w:sz w:val="19"/>
        </w:rPr>
        <w:t> </w:t>
      </w:r>
      <w:r>
        <w:rPr>
          <w:sz w:val="19"/>
        </w:rPr>
        <w:t>Shakespeare.</w:t>
      </w:r>
      <w:r>
        <w:rPr>
          <w:spacing w:val="40"/>
          <w:sz w:val="19"/>
        </w:rPr>
        <w:t> </w:t>
      </w:r>
      <w:r>
        <w:rPr>
          <w:sz w:val="19"/>
        </w:rPr>
        <w:t>Harvester</w:t>
      </w:r>
      <w:r>
        <w:rPr>
          <w:spacing w:val="40"/>
          <w:sz w:val="19"/>
        </w:rPr>
        <w:t> </w:t>
      </w:r>
      <w:r>
        <w:rPr>
          <w:sz w:val="19"/>
        </w:rPr>
        <w:t>Press.</w:t>
      </w:r>
    </w:p>
    <w:p>
      <w:pPr>
        <w:pStyle w:val="ListParagraph"/>
        <w:numPr>
          <w:ilvl w:val="0"/>
          <w:numId w:val="32"/>
        </w:numPr>
        <w:tabs>
          <w:tab w:pos="2157" w:val="left" w:leader="none"/>
          <w:tab w:pos="2160" w:val="left" w:leader="none"/>
        </w:tabs>
        <w:spacing w:line="242" w:lineRule="auto" w:before="59" w:after="0"/>
        <w:ind w:left="2160" w:right="1441" w:hanging="406"/>
        <w:jc w:val="both"/>
        <w:rPr>
          <w:sz w:val="19"/>
        </w:rPr>
      </w:pPr>
      <w:r>
        <w:rPr>
          <w:sz w:val="19"/>
        </w:rPr>
        <w:t>Kahn, C. (1986). The absent mother in King Lear. In M. W. Ferguson, M. Quilligan, &amp; N. J. Vickers (Eds.), Rewriting the Renaissance: The discourses of sexual difference in early</w:t>
      </w:r>
      <w:r>
        <w:rPr>
          <w:spacing w:val="-3"/>
          <w:sz w:val="19"/>
        </w:rPr>
        <w:t> </w:t>
      </w:r>
      <w:r>
        <w:rPr>
          <w:sz w:val="19"/>
        </w:rPr>
        <w:t>modern Europe</w:t>
      </w:r>
      <w:r>
        <w:rPr>
          <w:spacing w:val="40"/>
          <w:sz w:val="19"/>
        </w:rPr>
        <w:t> </w:t>
      </w:r>
      <w:r>
        <w:rPr>
          <w:sz w:val="19"/>
        </w:rPr>
        <w:t>(pp.</w:t>
      </w:r>
      <w:r>
        <w:rPr>
          <w:spacing w:val="40"/>
          <w:sz w:val="19"/>
        </w:rPr>
        <w:t> </w:t>
      </w:r>
      <w:r>
        <w:rPr>
          <w:sz w:val="19"/>
        </w:rPr>
        <w:t>33–49).</w:t>
      </w:r>
      <w:r>
        <w:rPr>
          <w:spacing w:val="40"/>
          <w:sz w:val="19"/>
        </w:rPr>
        <w:t> </w:t>
      </w:r>
      <w:r>
        <w:rPr>
          <w:sz w:val="19"/>
        </w:rPr>
        <w:t>University</w:t>
      </w:r>
      <w:r>
        <w:rPr>
          <w:spacing w:val="40"/>
          <w:sz w:val="19"/>
        </w:rPr>
        <w:t> </w:t>
      </w:r>
      <w:r>
        <w:rPr>
          <w:sz w:val="19"/>
        </w:rPr>
        <w:t>of</w:t>
      </w:r>
      <w:r>
        <w:rPr>
          <w:spacing w:val="40"/>
          <w:sz w:val="19"/>
        </w:rPr>
        <w:t> </w:t>
      </w:r>
      <w:r>
        <w:rPr>
          <w:sz w:val="19"/>
        </w:rPr>
        <w:t>Chicago</w:t>
      </w:r>
      <w:r>
        <w:rPr>
          <w:spacing w:val="40"/>
          <w:sz w:val="19"/>
        </w:rPr>
        <w:t> </w:t>
      </w:r>
      <w:r>
        <w:rPr>
          <w:sz w:val="19"/>
        </w:rPr>
        <w:t>Press.</w:t>
      </w:r>
    </w:p>
    <w:p>
      <w:pPr>
        <w:pStyle w:val="ListParagraph"/>
        <w:numPr>
          <w:ilvl w:val="0"/>
          <w:numId w:val="32"/>
        </w:numPr>
        <w:tabs>
          <w:tab w:pos="2157" w:val="left" w:leader="none"/>
          <w:tab w:pos="2160" w:val="left" w:leader="none"/>
        </w:tabs>
        <w:spacing w:line="242" w:lineRule="auto" w:before="56" w:after="0"/>
        <w:ind w:left="2160" w:right="1442" w:hanging="406"/>
        <w:jc w:val="both"/>
        <w:rPr>
          <w:sz w:val="19"/>
        </w:rPr>
      </w:pPr>
      <w:r>
        <w:rPr>
          <w:sz w:val="19"/>
        </w:rPr>
        <w:t>Loomba,</w:t>
      </w:r>
      <w:r>
        <w:rPr>
          <w:spacing w:val="-12"/>
          <w:sz w:val="19"/>
        </w:rPr>
        <w:t> </w:t>
      </w:r>
      <w:r>
        <w:rPr>
          <w:sz w:val="19"/>
        </w:rPr>
        <w:t>A.</w:t>
      </w:r>
      <w:r>
        <w:rPr>
          <w:spacing w:val="-12"/>
          <w:sz w:val="19"/>
        </w:rPr>
        <w:t> </w:t>
      </w:r>
      <w:r>
        <w:rPr>
          <w:sz w:val="19"/>
        </w:rPr>
        <w:t>(1989).</w:t>
      </w:r>
      <w:r>
        <w:rPr>
          <w:spacing w:val="-11"/>
          <w:sz w:val="19"/>
        </w:rPr>
        <w:t> </w:t>
      </w:r>
      <w:r>
        <w:rPr>
          <w:sz w:val="19"/>
        </w:rPr>
        <w:t>Gender,</w:t>
      </w:r>
      <w:r>
        <w:rPr>
          <w:spacing w:val="-9"/>
          <w:sz w:val="19"/>
        </w:rPr>
        <w:t> </w:t>
      </w:r>
      <w:r>
        <w:rPr>
          <w:sz w:val="19"/>
        </w:rPr>
        <w:t>race,</w:t>
      </w:r>
      <w:r>
        <w:rPr>
          <w:spacing w:val="-9"/>
          <w:sz w:val="19"/>
        </w:rPr>
        <w:t> </w:t>
      </w:r>
      <w:r>
        <w:rPr>
          <w:sz w:val="19"/>
        </w:rPr>
        <w:t>Renaissance</w:t>
      </w:r>
      <w:r>
        <w:rPr>
          <w:spacing w:val="-9"/>
          <w:sz w:val="19"/>
        </w:rPr>
        <w:t> </w:t>
      </w:r>
      <w:r>
        <w:rPr>
          <w:sz w:val="19"/>
        </w:rPr>
        <w:t>drama.</w:t>
      </w:r>
      <w:r>
        <w:rPr>
          <w:spacing w:val="-9"/>
          <w:sz w:val="19"/>
        </w:rPr>
        <w:t> </w:t>
      </w:r>
      <w:r>
        <w:rPr>
          <w:sz w:val="19"/>
        </w:rPr>
        <w:t>Manchester University</w:t>
      </w:r>
      <w:r>
        <w:rPr>
          <w:spacing w:val="40"/>
          <w:sz w:val="19"/>
        </w:rPr>
        <w:t> </w:t>
      </w:r>
      <w:r>
        <w:rPr>
          <w:sz w:val="19"/>
        </w:rPr>
        <w:t>Press.</w:t>
      </w:r>
    </w:p>
    <w:p>
      <w:pPr>
        <w:pStyle w:val="ListParagraph"/>
        <w:numPr>
          <w:ilvl w:val="0"/>
          <w:numId w:val="32"/>
        </w:numPr>
        <w:tabs>
          <w:tab w:pos="2157" w:val="left" w:leader="none"/>
          <w:tab w:pos="2160" w:val="left" w:leader="none"/>
        </w:tabs>
        <w:spacing w:line="240" w:lineRule="auto" w:before="58" w:after="0"/>
        <w:ind w:left="2160" w:right="1442" w:hanging="406"/>
        <w:jc w:val="both"/>
        <w:rPr>
          <w:sz w:val="19"/>
        </w:rPr>
      </w:pPr>
      <w:r>
        <w:rPr>
          <w:sz w:val="19"/>
        </w:rPr>
        <w:t>Moi, T. (1985). Sexual/textual politics: Feminist literary theory. </w:t>
      </w:r>
      <w:r>
        <w:rPr>
          <w:spacing w:val="-2"/>
          <w:sz w:val="19"/>
        </w:rPr>
        <w:t>Methuen.</w:t>
      </w:r>
    </w:p>
    <w:p>
      <w:pPr>
        <w:pStyle w:val="ListParagraph"/>
        <w:numPr>
          <w:ilvl w:val="0"/>
          <w:numId w:val="32"/>
        </w:numPr>
        <w:tabs>
          <w:tab w:pos="2157" w:val="left" w:leader="none"/>
          <w:tab w:pos="2160" w:val="left" w:leader="none"/>
        </w:tabs>
        <w:spacing w:line="242" w:lineRule="auto" w:before="60" w:after="0"/>
        <w:ind w:left="2160" w:right="1440" w:hanging="406"/>
        <w:jc w:val="both"/>
        <w:rPr>
          <w:sz w:val="19"/>
        </w:rPr>
      </w:pPr>
      <w:r>
        <w:rPr>
          <w:sz w:val="19"/>
        </w:rPr>
        <w:t>Neely, C. T. (1985). Broken nuptials in Shakespeare’s plays.</w:t>
      </w:r>
      <w:r>
        <w:rPr>
          <w:spacing w:val="80"/>
          <w:sz w:val="19"/>
        </w:rPr>
        <w:t> </w:t>
      </w:r>
      <w:r>
        <w:rPr>
          <w:sz w:val="19"/>
        </w:rPr>
        <w:t>Yale</w:t>
      </w:r>
      <w:r>
        <w:rPr>
          <w:spacing w:val="40"/>
          <w:sz w:val="19"/>
        </w:rPr>
        <w:t> </w:t>
      </w:r>
      <w:r>
        <w:rPr>
          <w:sz w:val="19"/>
        </w:rPr>
        <w:t>University</w:t>
      </w:r>
      <w:r>
        <w:rPr>
          <w:spacing w:val="40"/>
          <w:sz w:val="19"/>
        </w:rPr>
        <w:t> </w:t>
      </w:r>
      <w:r>
        <w:rPr>
          <w:sz w:val="19"/>
        </w:rPr>
        <w:t>Press.</w:t>
      </w:r>
    </w:p>
    <w:p>
      <w:pPr>
        <w:pStyle w:val="ListParagraph"/>
        <w:numPr>
          <w:ilvl w:val="0"/>
          <w:numId w:val="32"/>
        </w:numPr>
        <w:tabs>
          <w:tab w:pos="2157" w:val="left" w:leader="none"/>
          <w:tab w:pos="2160" w:val="left" w:leader="none"/>
        </w:tabs>
        <w:spacing w:line="240" w:lineRule="auto" w:before="58" w:after="0"/>
        <w:ind w:left="2160" w:right="1439" w:hanging="406"/>
        <w:jc w:val="both"/>
        <w:rPr>
          <w:sz w:val="19"/>
        </w:rPr>
      </w:pPr>
      <w:r>
        <w:rPr>
          <w:sz w:val="19"/>
        </w:rPr>
        <w:t>Novy, M. (1984). Love’s argument: Gender relations in Shakespeare.</w:t>
      </w:r>
      <w:r>
        <w:rPr>
          <w:spacing w:val="40"/>
          <w:sz w:val="19"/>
        </w:rPr>
        <w:t> </w:t>
      </w:r>
      <w:r>
        <w:rPr>
          <w:sz w:val="19"/>
        </w:rPr>
        <w:t>University</w:t>
      </w:r>
      <w:r>
        <w:rPr>
          <w:spacing w:val="40"/>
          <w:sz w:val="19"/>
        </w:rPr>
        <w:t> </w:t>
      </w:r>
      <w:r>
        <w:rPr>
          <w:sz w:val="19"/>
        </w:rPr>
        <w:t>of</w:t>
      </w:r>
      <w:r>
        <w:rPr>
          <w:spacing w:val="40"/>
          <w:sz w:val="19"/>
        </w:rPr>
        <w:t> </w:t>
      </w:r>
      <w:r>
        <w:rPr>
          <w:sz w:val="19"/>
        </w:rPr>
        <w:t>North</w:t>
      </w:r>
      <w:r>
        <w:rPr>
          <w:spacing w:val="40"/>
          <w:sz w:val="19"/>
        </w:rPr>
        <w:t> </w:t>
      </w:r>
      <w:r>
        <w:rPr>
          <w:sz w:val="19"/>
        </w:rPr>
        <w:t>Carolina</w:t>
      </w:r>
      <w:r>
        <w:rPr>
          <w:spacing w:val="40"/>
          <w:sz w:val="19"/>
        </w:rPr>
        <w:t> </w:t>
      </w:r>
      <w:r>
        <w:rPr>
          <w:sz w:val="19"/>
        </w:rPr>
        <w:t>Press.</w:t>
      </w:r>
    </w:p>
    <w:p>
      <w:pPr>
        <w:pStyle w:val="ListParagraph"/>
        <w:numPr>
          <w:ilvl w:val="0"/>
          <w:numId w:val="32"/>
        </w:numPr>
        <w:tabs>
          <w:tab w:pos="2157" w:val="left" w:leader="none"/>
          <w:tab w:pos="2160" w:val="left" w:leader="none"/>
        </w:tabs>
        <w:spacing w:line="242" w:lineRule="auto" w:before="60" w:after="0"/>
        <w:ind w:left="2160" w:right="1439" w:hanging="406"/>
        <w:jc w:val="both"/>
        <w:rPr>
          <w:sz w:val="19"/>
        </w:rPr>
      </w:pPr>
      <w:r>
        <w:rPr>
          <w:spacing w:val="10"/>
          <w:sz w:val="19"/>
        </w:rPr>
        <w:t>Rackin,</w:t>
      </w:r>
      <w:r>
        <w:rPr>
          <w:spacing w:val="10"/>
          <w:sz w:val="19"/>
        </w:rPr>
        <w:t> </w:t>
      </w:r>
      <w:r>
        <w:rPr>
          <w:sz w:val="19"/>
        </w:rPr>
        <w:t>P. </w:t>
      </w:r>
      <w:r>
        <w:rPr>
          <w:spacing w:val="10"/>
          <w:sz w:val="19"/>
        </w:rPr>
        <w:t>(1987).</w:t>
      </w:r>
      <w:r>
        <w:rPr>
          <w:spacing w:val="10"/>
          <w:sz w:val="19"/>
        </w:rPr>
        <w:t> </w:t>
      </w:r>
      <w:r>
        <w:rPr>
          <w:spacing w:val="11"/>
          <w:sz w:val="19"/>
        </w:rPr>
        <w:t>Anti-</w:t>
      </w:r>
      <w:r>
        <w:rPr>
          <w:spacing w:val="10"/>
          <w:sz w:val="19"/>
        </w:rPr>
        <w:t>historians:</w:t>
      </w:r>
      <w:r>
        <w:rPr>
          <w:spacing w:val="10"/>
          <w:sz w:val="19"/>
        </w:rPr>
        <w:t> </w:t>
      </w:r>
      <w:r>
        <w:rPr>
          <w:sz w:val="19"/>
        </w:rPr>
        <w:t>Women’s </w:t>
      </w:r>
      <w:r>
        <w:rPr>
          <w:spacing w:val="9"/>
          <w:sz w:val="19"/>
        </w:rPr>
        <w:t>roles</w:t>
      </w:r>
      <w:r>
        <w:rPr>
          <w:spacing w:val="9"/>
          <w:sz w:val="19"/>
        </w:rPr>
        <w:t> </w:t>
      </w:r>
      <w:r>
        <w:rPr>
          <w:sz w:val="19"/>
        </w:rPr>
        <w:t>in Shakespeare’s</w:t>
      </w:r>
      <w:r>
        <w:rPr>
          <w:spacing w:val="40"/>
          <w:sz w:val="19"/>
        </w:rPr>
        <w:t> </w:t>
      </w:r>
      <w:r>
        <w:rPr>
          <w:sz w:val="19"/>
        </w:rPr>
        <w:t>histories.</w:t>
      </w:r>
      <w:r>
        <w:rPr>
          <w:spacing w:val="40"/>
          <w:sz w:val="19"/>
        </w:rPr>
        <w:t> </w:t>
      </w:r>
      <w:r>
        <w:rPr>
          <w:sz w:val="19"/>
        </w:rPr>
        <w:t>Theatre</w:t>
      </w:r>
      <w:r>
        <w:rPr>
          <w:spacing w:val="40"/>
          <w:sz w:val="19"/>
        </w:rPr>
        <w:t> </w:t>
      </w:r>
      <w:r>
        <w:rPr>
          <w:sz w:val="19"/>
        </w:rPr>
        <w:t>Journal,</w:t>
      </w:r>
      <w:r>
        <w:rPr>
          <w:spacing w:val="40"/>
          <w:sz w:val="19"/>
        </w:rPr>
        <w:t> </w:t>
      </w:r>
      <w:r>
        <w:rPr>
          <w:sz w:val="19"/>
        </w:rPr>
        <w:t>37(3),</w:t>
      </w:r>
      <w:r>
        <w:rPr>
          <w:spacing w:val="40"/>
          <w:sz w:val="19"/>
        </w:rPr>
        <w:t> </w:t>
      </w:r>
      <w:r>
        <w:rPr>
          <w:sz w:val="19"/>
        </w:rPr>
        <w:t>329–344.</w:t>
      </w:r>
    </w:p>
    <w:p>
      <w:pPr>
        <w:pStyle w:val="ListParagraph"/>
        <w:numPr>
          <w:ilvl w:val="0"/>
          <w:numId w:val="32"/>
        </w:numPr>
        <w:tabs>
          <w:tab w:pos="2157" w:val="left" w:leader="none"/>
          <w:tab w:pos="2160" w:val="left" w:leader="none"/>
        </w:tabs>
        <w:spacing w:line="242" w:lineRule="auto" w:before="57" w:after="0"/>
        <w:ind w:left="2160" w:right="1440" w:hanging="406"/>
        <w:jc w:val="both"/>
        <w:rPr>
          <w:sz w:val="19"/>
        </w:rPr>
      </w:pPr>
      <w:r>
        <w:rPr>
          <w:sz w:val="19"/>
        </w:rPr>
        <w:t>Showalter, E. (1985). Representing Ophelia: Women, madness, and the responsibilities of feminist criticism. In P. Parker &amp; G. Hartman</w:t>
      </w:r>
      <w:r>
        <w:rPr>
          <w:spacing w:val="40"/>
          <w:sz w:val="19"/>
        </w:rPr>
        <w:t> </w:t>
      </w:r>
      <w:r>
        <w:rPr>
          <w:sz w:val="19"/>
        </w:rPr>
        <w:t>(Eds.),</w:t>
      </w:r>
      <w:r>
        <w:rPr>
          <w:spacing w:val="40"/>
          <w:sz w:val="19"/>
        </w:rPr>
        <w:t> </w:t>
      </w:r>
      <w:r>
        <w:rPr>
          <w:sz w:val="19"/>
        </w:rPr>
        <w:t>Shakespeare</w:t>
      </w:r>
      <w:r>
        <w:rPr>
          <w:spacing w:val="40"/>
          <w:sz w:val="19"/>
        </w:rPr>
        <w:t> </w:t>
      </w:r>
      <w:r>
        <w:rPr>
          <w:sz w:val="19"/>
        </w:rPr>
        <w:t>and</w:t>
      </w:r>
      <w:r>
        <w:rPr>
          <w:spacing w:val="40"/>
          <w:sz w:val="19"/>
        </w:rPr>
        <w:t> </w:t>
      </w:r>
      <w:r>
        <w:rPr>
          <w:sz w:val="19"/>
        </w:rPr>
        <w:t>the</w:t>
      </w:r>
      <w:r>
        <w:rPr>
          <w:spacing w:val="40"/>
          <w:sz w:val="19"/>
        </w:rPr>
        <w:t> </w:t>
      </w:r>
      <w:r>
        <w:rPr>
          <w:sz w:val="19"/>
        </w:rPr>
        <w:t>question</w:t>
      </w:r>
      <w:r>
        <w:rPr>
          <w:spacing w:val="40"/>
          <w:sz w:val="19"/>
        </w:rPr>
        <w:t> </w:t>
      </w:r>
      <w:r>
        <w:rPr>
          <w:sz w:val="19"/>
        </w:rPr>
        <w:t>of</w:t>
      </w:r>
      <w:r>
        <w:rPr>
          <w:spacing w:val="40"/>
          <w:sz w:val="19"/>
        </w:rPr>
        <w:t> </w:t>
      </w:r>
      <w:r>
        <w:rPr>
          <w:sz w:val="19"/>
        </w:rPr>
        <w:t>theory</w:t>
      </w:r>
      <w:r>
        <w:rPr>
          <w:spacing w:val="40"/>
          <w:sz w:val="19"/>
        </w:rPr>
        <w:t> </w:t>
      </w:r>
      <w:r>
        <w:rPr>
          <w:sz w:val="19"/>
        </w:rPr>
        <w:t>(pp. 77–94).</w:t>
      </w:r>
      <w:r>
        <w:rPr>
          <w:spacing w:val="40"/>
          <w:sz w:val="19"/>
        </w:rPr>
        <w:t> </w:t>
      </w:r>
      <w:r>
        <w:rPr>
          <w:sz w:val="19"/>
        </w:rPr>
        <w:t>Methuen.</w:t>
      </w:r>
    </w:p>
    <w:p>
      <w:pPr>
        <w:pStyle w:val="ListParagraph"/>
        <w:numPr>
          <w:ilvl w:val="0"/>
          <w:numId w:val="32"/>
        </w:numPr>
        <w:tabs>
          <w:tab w:pos="2157" w:val="left" w:leader="none"/>
          <w:tab w:pos="2160" w:val="left" w:leader="none"/>
        </w:tabs>
        <w:spacing w:line="242" w:lineRule="auto" w:before="54" w:after="0"/>
        <w:ind w:left="2160" w:right="1439" w:hanging="406"/>
        <w:jc w:val="both"/>
        <w:rPr>
          <w:sz w:val="19"/>
        </w:rPr>
      </w:pPr>
      <w:r>
        <w:rPr>
          <w:sz w:val="19"/>
        </w:rPr>
        <w:t>Singh, J. (1994). Othello’s identity, postcolonial theory, and contemporary African rewritings of Othello. In M. Hendricks &amp;</w:t>
      </w:r>
    </w:p>
    <w:p>
      <w:pPr>
        <w:spacing w:before="0"/>
        <w:ind w:left="2160" w:right="1442" w:firstLine="0"/>
        <w:jc w:val="both"/>
        <w:rPr>
          <w:sz w:val="19"/>
        </w:rPr>
      </w:pPr>
      <w:r>
        <w:rPr>
          <w:sz w:val="19"/>
        </w:rPr>
        <w:t>P. Parker (Eds.), Women, “race,” and writing in the early</w:t>
      </w:r>
      <w:r>
        <w:rPr>
          <w:spacing w:val="-1"/>
          <w:sz w:val="19"/>
        </w:rPr>
        <w:t> </w:t>
      </w:r>
      <w:r>
        <w:rPr>
          <w:sz w:val="19"/>
        </w:rPr>
        <w:t>modern period</w:t>
      </w:r>
      <w:r>
        <w:rPr>
          <w:spacing w:val="40"/>
          <w:sz w:val="19"/>
        </w:rPr>
        <w:t> </w:t>
      </w:r>
      <w:r>
        <w:rPr>
          <w:sz w:val="19"/>
        </w:rPr>
        <w:t>(pp.</w:t>
      </w:r>
      <w:r>
        <w:rPr>
          <w:spacing w:val="40"/>
          <w:sz w:val="19"/>
        </w:rPr>
        <w:t> </w:t>
      </w:r>
      <w:r>
        <w:rPr>
          <w:sz w:val="19"/>
        </w:rPr>
        <w:t>287–299).</w:t>
      </w:r>
      <w:r>
        <w:rPr>
          <w:spacing w:val="40"/>
          <w:sz w:val="19"/>
        </w:rPr>
        <w:t> </w:t>
      </w:r>
      <w:r>
        <w:rPr>
          <w:sz w:val="19"/>
        </w:rPr>
        <w:t>Routledge.</w:t>
      </w:r>
    </w:p>
    <w:p>
      <w:pPr>
        <w:pStyle w:val="ListParagraph"/>
        <w:numPr>
          <w:ilvl w:val="0"/>
          <w:numId w:val="32"/>
        </w:numPr>
        <w:tabs>
          <w:tab w:pos="2157" w:val="left" w:leader="none"/>
          <w:tab w:pos="2160" w:val="left" w:leader="none"/>
        </w:tabs>
        <w:spacing w:line="261" w:lineRule="auto" w:before="72" w:after="0"/>
        <w:ind w:left="2160" w:right="1445" w:hanging="406"/>
        <w:jc w:val="both"/>
        <w:rPr>
          <w:sz w:val="19"/>
        </w:rPr>
      </w:pPr>
      <w:r>
        <w:rPr>
          <w:sz w:val="19"/>
        </w:rPr>
        <w:t>Traub, V. (1992). Desire and anxiety: Circulations of sexuality</w:t>
      </w:r>
      <w:r>
        <w:rPr>
          <w:spacing w:val="-1"/>
          <w:sz w:val="19"/>
        </w:rPr>
        <w:t> </w:t>
      </w:r>
      <w:r>
        <w:rPr>
          <w:sz w:val="19"/>
        </w:rPr>
        <w:t>in Shakespearean</w:t>
      </w:r>
      <w:r>
        <w:rPr>
          <w:spacing w:val="40"/>
          <w:sz w:val="19"/>
        </w:rPr>
        <w:t> </w:t>
      </w:r>
      <w:r>
        <w:rPr>
          <w:sz w:val="19"/>
        </w:rPr>
        <w:t>drama.</w:t>
      </w:r>
      <w:r>
        <w:rPr>
          <w:spacing w:val="40"/>
          <w:sz w:val="19"/>
        </w:rPr>
        <w:t> </w:t>
      </w:r>
      <w:r>
        <w:rPr>
          <w:sz w:val="19"/>
        </w:rPr>
        <w:t>Routledge.</w:t>
      </w:r>
    </w:p>
    <w:p>
      <w:pPr>
        <w:pStyle w:val="ListParagraph"/>
        <w:numPr>
          <w:ilvl w:val="0"/>
          <w:numId w:val="32"/>
        </w:numPr>
        <w:tabs>
          <w:tab w:pos="2157" w:val="left" w:leader="none"/>
          <w:tab w:pos="2160" w:val="left" w:leader="none"/>
        </w:tabs>
        <w:spacing w:line="261" w:lineRule="auto" w:before="59" w:after="0"/>
        <w:ind w:left="2160" w:right="1443" w:hanging="406"/>
        <w:jc w:val="both"/>
        <w:rPr>
          <w:sz w:val="19"/>
        </w:rPr>
      </w:pPr>
      <w:r>
        <w:rPr>
          <w:sz w:val="19"/>
        </w:rPr>
        <w:t>Wayne, V. (1991). The matter of difference: Materialist feminist criticism</w:t>
      </w:r>
      <w:r>
        <w:rPr>
          <w:spacing w:val="40"/>
          <w:sz w:val="19"/>
        </w:rPr>
        <w:t> </w:t>
      </w:r>
      <w:r>
        <w:rPr>
          <w:sz w:val="19"/>
        </w:rPr>
        <w:t>of</w:t>
      </w:r>
      <w:r>
        <w:rPr>
          <w:spacing w:val="40"/>
          <w:sz w:val="19"/>
        </w:rPr>
        <w:t> </w:t>
      </w:r>
      <w:r>
        <w:rPr>
          <w:sz w:val="19"/>
        </w:rPr>
        <w:t>Shakespeare.</w:t>
      </w:r>
      <w:r>
        <w:rPr>
          <w:spacing w:val="40"/>
          <w:sz w:val="19"/>
        </w:rPr>
        <w:t> </w:t>
      </w:r>
      <w:r>
        <w:rPr>
          <w:sz w:val="19"/>
        </w:rPr>
        <w:t>Harvester</w:t>
      </w:r>
      <w:r>
        <w:rPr>
          <w:spacing w:val="40"/>
          <w:sz w:val="19"/>
        </w:rPr>
        <w:t> </w:t>
      </w:r>
      <w:r>
        <w:rPr>
          <w:sz w:val="19"/>
        </w:rPr>
        <w:t>Wheatsheaf.</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87168">
                <wp:simplePos x="0" y="0"/>
                <wp:positionH relativeFrom="page">
                  <wp:posOffset>2057400</wp:posOffset>
                </wp:positionH>
                <wp:positionV relativeFrom="page">
                  <wp:posOffset>1788723</wp:posOffset>
                </wp:positionV>
                <wp:extent cx="3656965" cy="140335"/>
                <wp:effectExtent l="0" t="0" r="0" b="0"/>
                <wp:wrapNone/>
                <wp:docPr id="404" name="Textbox 404"/>
                <wp:cNvGraphicFramePr>
                  <a:graphicFrameLocks/>
                </wp:cNvGraphicFramePr>
                <a:graphic>
                  <a:graphicData uri="http://schemas.microsoft.com/office/word/2010/wordprocessingShape">
                    <wps:wsp>
                      <wps:cNvPr id="404" name="Textbox 404"/>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166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429312" type="#_x0000_t202" id="docshape399"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166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spacing w:before="199"/>
        <w:ind w:left="0"/>
      </w:pPr>
    </w:p>
    <w:p>
      <w:pPr>
        <w:spacing w:line="240" w:lineRule="auto"/>
        <w:ind w:left="1080" w:right="0" w:firstLine="0"/>
        <w:rPr>
          <w:sz w:val="20"/>
        </w:rPr>
      </w:pPr>
      <w:r>
        <w:rPr>
          <w:sz w:val="20"/>
        </w:rPr>
        <mc:AlternateContent>
          <mc:Choice Requires="wps">
            <w:drawing>
              <wp:inline distT="0" distB="0" distL="0" distR="0">
                <wp:extent cx="4043679" cy="699770"/>
                <wp:effectExtent l="0" t="0" r="0" b="0"/>
                <wp:docPr id="405" name="Group 405"/>
                <wp:cNvGraphicFramePr>
                  <a:graphicFrameLocks/>
                </wp:cNvGraphicFramePr>
                <a:graphic>
                  <a:graphicData uri="http://schemas.microsoft.com/office/word/2010/wordprocessingGroup">
                    <wpg:wgp>
                      <wpg:cNvPr id="405" name="Group 405"/>
                      <wpg:cNvGrpSpPr/>
                      <wpg:grpSpPr>
                        <a:xfrm>
                          <a:off x="0" y="0"/>
                          <a:ext cx="4043679" cy="699770"/>
                          <a:chExt cx="4043679" cy="699770"/>
                        </a:xfrm>
                      </wpg:grpSpPr>
                      <wps:wsp>
                        <wps:cNvPr id="406" name="Graphic 406"/>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400" coordorigin="0,0" coordsize="6368,1102">
                <v:rect style="position:absolute;left:0;top:0;width:6368;height:1102" id="docshape401"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23008">
                <wp:simplePos x="0" y="0"/>
                <wp:positionH relativeFrom="page">
                  <wp:posOffset>3497579</wp:posOffset>
                </wp:positionH>
                <wp:positionV relativeFrom="paragraph">
                  <wp:posOffset>272922</wp:posOffset>
                </wp:positionV>
                <wp:extent cx="728980" cy="655320"/>
                <wp:effectExtent l="0" t="0" r="0" b="0"/>
                <wp:wrapTopAndBottom/>
                <wp:docPr id="407" name="Group 407"/>
                <wp:cNvGraphicFramePr>
                  <a:graphicFrameLocks/>
                </wp:cNvGraphicFramePr>
                <a:graphic>
                  <a:graphicData uri="http://schemas.microsoft.com/office/word/2010/wordprocessingGroup">
                    <wpg:wgp>
                      <wpg:cNvPr id="407" name="Group 407"/>
                      <wpg:cNvGrpSpPr/>
                      <wpg:grpSpPr>
                        <a:xfrm>
                          <a:off x="0" y="0"/>
                          <a:ext cx="728980" cy="655320"/>
                          <a:chExt cx="728980" cy="655320"/>
                        </a:xfrm>
                      </wpg:grpSpPr>
                      <pic:pic>
                        <pic:nvPicPr>
                          <pic:cNvPr id="408" name="Image 408"/>
                          <pic:cNvPicPr/>
                        </pic:nvPicPr>
                        <pic:blipFill>
                          <a:blip r:embed="rId97" cstate="print"/>
                          <a:stretch>
                            <a:fillRect/>
                          </a:stretch>
                        </pic:blipFill>
                        <pic:spPr>
                          <a:xfrm>
                            <a:off x="0" y="0"/>
                            <a:ext cx="728472" cy="655320"/>
                          </a:xfrm>
                          <a:prstGeom prst="rect">
                            <a:avLst/>
                          </a:prstGeom>
                        </pic:spPr>
                      </pic:pic>
                      <wps:wsp>
                        <wps:cNvPr id="409" name="Textbox 409"/>
                        <wps:cNvSpPr txBox="1"/>
                        <wps:spPr>
                          <a:xfrm>
                            <a:off x="0" y="0"/>
                            <a:ext cx="728980" cy="655320"/>
                          </a:xfrm>
                          <a:prstGeom prst="rect">
                            <a:avLst/>
                          </a:prstGeom>
                        </wps:spPr>
                        <wps:txbx>
                          <w:txbxContent>
                            <w:p>
                              <w:pPr>
                                <w:spacing w:line="240" w:lineRule="auto" w:before="3"/>
                                <w:rPr>
                                  <w:sz w:val="36"/>
                                </w:rPr>
                              </w:pPr>
                            </w:p>
                            <w:p>
                              <w:pPr>
                                <w:spacing w:before="0"/>
                                <w:ind w:left="417" w:right="0" w:firstLine="0"/>
                                <w:jc w:val="left"/>
                                <w:rPr>
                                  <w:rFonts w:ascii="Tahoma"/>
                                  <w:b/>
                                  <w:sz w:val="36"/>
                                </w:rPr>
                              </w:pPr>
                              <w:r>
                                <w:rPr>
                                  <w:rFonts w:ascii="Tahoma"/>
                                  <w:b/>
                                  <w:spacing w:val="-5"/>
                                  <w:w w:val="95"/>
                                  <w:sz w:val="36"/>
                                </w:rPr>
                                <w:t>17</w:t>
                              </w:r>
                            </w:p>
                          </w:txbxContent>
                        </wps:txbx>
                        <wps:bodyPr wrap="square" lIns="0" tIns="0" rIns="0" bIns="0" rtlCol="0">
                          <a:noAutofit/>
                        </wps:bodyPr>
                      </wps:wsp>
                    </wpg:wgp>
                  </a:graphicData>
                </a:graphic>
              </wp:anchor>
            </w:drawing>
          </mc:Choice>
          <mc:Fallback>
            <w:pict>
              <v:group style="position:absolute;margin-left:275.399994pt;margin-top:21.489992pt;width:57.4pt;height:51.6pt;mso-position-horizontal-relative:page;mso-position-vertical-relative:paragraph;z-index:-15593472;mso-wrap-distance-left:0;mso-wrap-distance-right:0" id="docshapegroup402" coordorigin="5508,430" coordsize="1148,1032">
                <v:shape style="position:absolute;left:5508;top:429;width:1148;height:1032" type="#_x0000_t75" id="docshape403" stroked="false">
                  <v:imagedata r:id="rId97" o:title=""/>
                </v:shape>
                <v:shape style="position:absolute;left:5508;top:429;width:1148;height:1032" type="#_x0000_t202" id="docshape404" filled="false" stroked="false">
                  <v:textbox inset="0,0,0,0">
                    <w:txbxContent>
                      <w:p>
                        <w:pPr>
                          <w:spacing w:line="240" w:lineRule="auto" w:before="3"/>
                          <w:rPr>
                            <w:sz w:val="36"/>
                          </w:rPr>
                        </w:pPr>
                      </w:p>
                      <w:p>
                        <w:pPr>
                          <w:spacing w:before="0"/>
                          <w:ind w:left="417" w:right="0" w:firstLine="0"/>
                          <w:jc w:val="left"/>
                          <w:rPr>
                            <w:rFonts w:ascii="Tahoma"/>
                            <w:b/>
                            <w:sz w:val="36"/>
                          </w:rPr>
                        </w:pPr>
                        <w:r>
                          <w:rPr>
                            <w:rFonts w:ascii="Tahoma"/>
                            <w:b/>
                            <w:spacing w:val="-5"/>
                            <w:w w:val="95"/>
                            <w:sz w:val="36"/>
                          </w:rPr>
                          <w:t>17</w:t>
                        </w:r>
                      </w:p>
                    </w:txbxContent>
                  </v:textbox>
                  <w10:wrap type="none"/>
                </v:shape>
                <w10:wrap type="topAndBottom"/>
              </v:group>
            </w:pict>
          </mc:Fallback>
        </mc:AlternateContent>
      </w:r>
    </w:p>
    <w:p>
      <w:pPr>
        <w:pStyle w:val="Heading1"/>
        <w:spacing w:line="364" w:lineRule="exact" w:before="32"/>
        <w:ind w:right="6"/>
      </w:pPr>
      <w:r>
        <w:rPr>
          <w:w w:val="90"/>
        </w:rPr>
        <w:t>Revisiting</w:t>
      </w:r>
      <w:r>
        <w:rPr>
          <w:spacing w:val="75"/>
        </w:rPr>
        <w:t> </w:t>
      </w:r>
      <w:r>
        <w:rPr>
          <w:w w:val="90"/>
        </w:rPr>
        <w:t>Shakespeare’s</w:t>
      </w:r>
      <w:r>
        <w:rPr>
          <w:spacing w:val="75"/>
        </w:rPr>
        <w:t> </w:t>
      </w:r>
      <w:r>
        <w:rPr>
          <w:spacing w:val="-2"/>
          <w:w w:val="90"/>
        </w:rPr>
        <w:t>Women:</w:t>
      </w:r>
    </w:p>
    <w:p>
      <w:pPr>
        <w:tabs>
          <w:tab w:pos="772" w:val="left" w:leader="none"/>
          <w:tab w:pos="5759" w:val="left" w:leader="none"/>
        </w:tabs>
        <w:spacing w:line="364" w:lineRule="exact" w:before="0"/>
        <w:ind w:left="0" w:right="0" w:firstLine="0"/>
        <w:jc w:val="center"/>
        <w:rPr>
          <w:rFonts w:ascii="Tahoma"/>
          <w:b/>
          <w:sz w:val="32"/>
        </w:rPr>
      </w:pPr>
      <w:r>
        <w:rPr>
          <w:sz w:val="32"/>
          <w:u w:val="single"/>
        </w:rPr>
        <w:tab/>
      </w:r>
      <w:r>
        <w:rPr>
          <w:rFonts w:ascii="Tahoma"/>
          <w:b/>
          <w:spacing w:val="-4"/>
          <w:sz w:val="32"/>
          <w:u w:val="single"/>
        </w:rPr>
        <w:t>Traces</w:t>
      </w:r>
      <w:r>
        <w:rPr>
          <w:rFonts w:ascii="Tahoma"/>
          <w:b/>
          <w:spacing w:val="-9"/>
          <w:sz w:val="32"/>
          <w:u w:val="single"/>
        </w:rPr>
        <w:t> </w:t>
      </w:r>
      <w:r>
        <w:rPr>
          <w:rFonts w:ascii="Tahoma"/>
          <w:b/>
          <w:spacing w:val="-4"/>
          <w:sz w:val="32"/>
          <w:u w:val="single"/>
        </w:rPr>
        <w:t>of</w:t>
      </w:r>
      <w:r>
        <w:rPr>
          <w:rFonts w:ascii="Tahoma"/>
          <w:b/>
          <w:spacing w:val="-8"/>
          <w:sz w:val="32"/>
          <w:u w:val="single"/>
        </w:rPr>
        <w:t> </w:t>
      </w:r>
      <w:r>
        <w:rPr>
          <w:rFonts w:ascii="Tahoma"/>
          <w:b/>
          <w:spacing w:val="-4"/>
          <w:sz w:val="32"/>
          <w:u w:val="single"/>
        </w:rPr>
        <w:t>Fluidity</w:t>
      </w:r>
      <w:r>
        <w:rPr>
          <w:rFonts w:ascii="Tahoma"/>
          <w:b/>
          <w:spacing w:val="-8"/>
          <w:sz w:val="32"/>
          <w:u w:val="single"/>
        </w:rPr>
        <w:t> </w:t>
      </w:r>
      <w:r>
        <w:rPr>
          <w:rFonts w:ascii="Tahoma"/>
          <w:b/>
          <w:spacing w:val="-4"/>
          <w:sz w:val="32"/>
          <w:u w:val="single"/>
        </w:rPr>
        <w:t>and</w:t>
      </w:r>
      <w:r>
        <w:rPr>
          <w:rFonts w:ascii="Tahoma"/>
          <w:b/>
          <w:spacing w:val="-6"/>
          <w:sz w:val="32"/>
          <w:u w:val="single"/>
        </w:rPr>
        <w:t> </w:t>
      </w:r>
      <w:r>
        <w:rPr>
          <w:rFonts w:ascii="Tahoma"/>
          <w:b/>
          <w:spacing w:val="-4"/>
          <w:sz w:val="32"/>
          <w:u w:val="single"/>
        </w:rPr>
        <w:t>Form</w:t>
      </w:r>
      <w:r>
        <w:rPr>
          <w:rFonts w:ascii="Tahoma"/>
          <w:b/>
          <w:sz w:val="32"/>
          <w:u w:val="single"/>
        </w:rPr>
        <w:tab/>
      </w:r>
    </w:p>
    <w:p>
      <w:pPr>
        <w:pStyle w:val="BodyText"/>
        <w:spacing w:before="11"/>
        <w:ind w:left="0"/>
        <w:rPr>
          <w:rFonts w:ascii="Tahoma"/>
          <w:b/>
          <w:sz w:val="5"/>
        </w:rPr>
      </w:pPr>
      <w:r>
        <w:rPr>
          <w:rFonts w:ascii="Tahoma"/>
          <w:b/>
          <w:sz w:val="5"/>
        </w:rPr>
        <mc:AlternateContent>
          <mc:Choice Requires="wps">
            <w:drawing>
              <wp:anchor distT="0" distB="0" distL="0" distR="0" allowOverlap="1" layoutInCell="1" locked="0" behindDoc="1" simplePos="0" relativeHeight="487723520">
                <wp:simplePos x="0" y="0"/>
                <wp:positionH relativeFrom="page">
                  <wp:posOffset>2057400</wp:posOffset>
                </wp:positionH>
                <wp:positionV relativeFrom="paragraph">
                  <wp:posOffset>60546</wp:posOffset>
                </wp:positionV>
                <wp:extent cx="3657600" cy="7620"/>
                <wp:effectExtent l="0" t="0" r="0" b="0"/>
                <wp:wrapTopAndBottom/>
                <wp:docPr id="410" name="Graphic 410"/>
                <wp:cNvGraphicFramePr>
                  <a:graphicFrameLocks/>
                </wp:cNvGraphicFramePr>
                <a:graphic>
                  <a:graphicData uri="http://schemas.microsoft.com/office/word/2010/wordprocessingShape">
                    <wps:wsp>
                      <wps:cNvPr id="410" name="Graphic 410"/>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6748pt;width:288.000009pt;height:.600014pt;mso-position-horizontal-relative:page;mso-position-vertical-relative:paragraph;z-index:-15592960;mso-wrap-distance-left:0;mso-wrap-distance-right:0" id="docshape405" filled="true" fillcolor="#000000" stroked="false">
                <v:fill type="solid"/>
                <w10:wrap type="topAndBottom"/>
              </v:rect>
            </w:pict>
          </mc:Fallback>
        </mc:AlternateContent>
      </w:r>
    </w:p>
    <w:p>
      <w:pPr>
        <w:pStyle w:val="BodyText"/>
        <w:spacing w:before="13"/>
        <w:ind w:left="0"/>
        <w:rPr>
          <w:rFonts w:ascii="Tahoma"/>
          <w:b/>
          <w:sz w:val="32"/>
        </w:rPr>
      </w:pPr>
    </w:p>
    <w:p>
      <w:pPr>
        <w:spacing w:line="252" w:lineRule="auto" w:before="0"/>
        <w:ind w:left="3688" w:right="1438" w:firstLine="1785"/>
        <w:jc w:val="right"/>
        <w:rPr>
          <w:i/>
          <w:sz w:val="19"/>
        </w:rPr>
      </w:pPr>
      <w:r>
        <w:rPr>
          <w:b/>
          <w:i/>
          <w:sz w:val="22"/>
        </w:rPr>
        <w:t>Aishwarya</w:t>
      </w:r>
      <w:r>
        <w:rPr>
          <w:b/>
          <w:i/>
          <w:spacing w:val="20"/>
          <w:sz w:val="22"/>
        </w:rPr>
        <w:t> </w:t>
      </w:r>
      <w:r>
        <w:rPr>
          <w:b/>
          <w:i/>
          <w:sz w:val="22"/>
        </w:rPr>
        <w:t>Vedula </w:t>
      </w:r>
      <w:r>
        <w:rPr>
          <w:i/>
          <w:sz w:val="19"/>
        </w:rPr>
        <w:t>Research</w:t>
      </w:r>
      <w:r>
        <w:rPr>
          <w:i/>
          <w:spacing w:val="40"/>
          <w:sz w:val="19"/>
        </w:rPr>
        <w:t> </w:t>
      </w:r>
      <w:r>
        <w:rPr>
          <w:i/>
          <w:sz w:val="19"/>
        </w:rPr>
        <w:t>Scholar,</w:t>
      </w:r>
      <w:r>
        <w:rPr>
          <w:i/>
          <w:spacing w:val="40"/>
          <w:sz w:val="19"/>
        </w:rPr>
        <w:t> </w:t>
      </w:r>
      <w:r>
        <w:rPr>
          <w:i/>
          <w:sz w:val="19"/>
        </w:rPr>
        <w:t>Department</w:t>
      </w:r>
      <w:r>
        <w:rPr>
          <w:i/>
          <w:spacing w:val="40"/>
          <w:sz w:val="19"/>
        </w:rPr>
        <w:t> </w:t>
      </w:r>
      <w:r>
        <w:rPr>
          <w:i/>
          <w:sz w:val="19"/>
        </w:rPr>
        <w:t>of</w:t>
      </w:r>
      <w:r>
        <w:rPr>
          <w:i/>
          <w:spacing w:val="40"/>
          <w:sz w:val="19"/>
        </w:rPr>
        <w:t> </w:t>
      </w:r>
      <w:r>
        <w:rPr>
          <w:i/>
          <w:sz w:val="19"/>
        </w:rPr>
        <w:t>English, Anurag</w:t>
      </w:r>
      <w:r>
        <w:rPr>
          <w:i/>
          <w:spacing w:val="40"/>
          <w:sz w:val="19"/>
        </w:rPr>
        <w:t> </w:t>
      </w:r>
      <w:r>
        <w:rPr>
          <w:i/>
          <w:sz w:val="19"/>
        </w:rPr>
        <w:t>University,</w:t>
      </w:r>
      <w:r>
        <w:rPr>
          <w:i/>
          <w:spacing w:val="40"/>
          <w:sz w:val="19"/>
        </w:rPr>
        <w:t> </w:t>
      </w:r>
      <w:r>
        <w:rPr>
          <w:i/>
          <w:sz w:val="19"/>
        </w:rPr>
        <w:t>Hyderabad</w:t>
      </w:r>
    </w:p>
    <w:p>
      <w:pPr>
        <w:pStyle w:val="BodyText"/>
        <w:spacing w:before="150"/>
        <w:ind w:left="0"/>
        <w:rPr>
          <w:i/>
          <w:sz w:val="19"/>
        </w:rPr>
      </w:pPr>
    </w:p>
    <w:p>
      <w:pPr>
        <w:pStyle w:val="Heading3"/>
        <w:spacing w:before="1"/>
      </w:pPr>
      <w:r>
        <w:rPr>
          <w:spacing w:val="-2"/>
        </w:rPr>
        <w:t>ABSTRACT</w:t>
      </w:r>
    </w:p>
    <w:p>
      <w:pPr>
        <w:pStyle w:val="BodyText"/>
        <w:spacing w:line="249" w:lineRule="auto" w:before="75"/>
        <w:ind w:right="1436" w:firstLine="432"/>
        <w:jc w:val="both"/>
      </w:pPr>
      <w:r>
        <w:rPr/>
        <w:t>This paper undertakes a reappraisal of Shakespeare’s women through a medifeminist and hydrofeminist optic, attending to the early modern imagination of the female body as porous, excessive, and curiously</w:t>
      </w:r>
      <w:r>
        <w:rPr>
          <w:spacing w:val="-1"/>
        </w:rPr>
        <w:t> </w:t>
      </w:r>
      <w:r>
        <w:rPr/>
        <w:t>resistant to stabilisation.</w:t>
      </w:r>
      <w:r>
        <w:rPr>
          <w:spacing w:val="-1"/>
        </w:rPr>
        <w:t> </w:t>
      </w:r>
      <w:r>
        <w:rPr/>
        <w:t>Situated within the</w:t>
      </w:r>
      <w:r>
        <w:rPr>
          <w:spacing w:val="-1"/>
        </w:rPr>
        <w:t> </w:t>
      </w:r>
      <w:r>
        <w:rPr/>
        <w:t>period’s humoral epistemology, the body is understood here as a site of perpetual circulation</w:t>
      </w:r>
      <w:r>
        <w:rPr>
          <w:spacing w:val="-8"/>
        </w:rPr>
        <w:t> </w:t>
      </w:r>
      <w:r>
        <w:rPr/>
        <w:t>—</w:t>
      </w:r>
      <w:r>
        <w:rPr>
          <w:spacing w:val="-5"/>
        </w:rPr>
        <w:t> </w:t>
      </w:r>
      <w:r>
        <w:rPr/>
        <w:t>of</w:t>
      </w:r>
      <w:r>
        <w:rPr>
          <w:spacing w:val="-5"/>
        </w:rPr>
        <w:t> </w:t>
      </w:r>
      <w:r>
        <w:rPr/>
        <w:t>blood,</w:t>
      </w:r>
      <w:r>
        <w:rPr>
          <w:spacing w:val="-5"/>
        </w:rPr>
        <w:t> </w:t>
      </w:r>
      <w:r>
        <w:rPr/>
        <w:t>tears,</w:t>
      </w:r>
      <w:r>
        <w:rPr>
          <w:spacing w:val="-6"/>
        </w:rPr>
        <w:t> </w:t>
      </w:r>
      <w:r>
        <w:rPr/>
        <w:t>and</w:t>
      </w:r>
      <w:r>
        <w:rPr>
          <w:spacing w:val="-5"/>
        </w:rPr>
        <w:t> </w:t>
      </w:r>
      <w:r>
        <w:rPr/>
        <w:t>water</w:t>
      </w:r>
      <w:r>
        <w:rPr>
          <w:spacing w:val="-5"/>
        </w:rPr>
        <w:t> </w:t>
      </w:r>
      <w:r>
        <w:rPr/>
        <w:t>—</w:t>
      </w:r>
      <w:r>
        <w:rPr>
          <w:spacing w:val="-6"/>
        </w:rPr>
        <w:t> </w:t>
      </w:r>
      <w:r>
        <w:rPr/>
        <w:t>through</w:t>
      </w:r>
      <w:r>
        <w:rPr>
          <w:spacing w:val="-5"/>
        </w:rPr>
        <w:t> </w:t>
      </w:r>
      <w:r>
        <w:rPr/>
        <w:t>which</w:t>
      </w:r>
      <w:r>
        <w:rPr>
          <w:spacing w:val="-8"/>
        </w:rPr>
        <w:t> </w:t>
      </w:r>
      <w:r>
        <w:rPr/>
        <w:t>affect</w:t>
      </w:r>
      <w:r>
        <w:rPr>
          <w:spacing w:val="-6"/>
        </w:rPr>
        <w:t> </w:t>
      </w:r>
      <w:r>
        <w:rPr/>
        <w:t>inheres and moves. These fluid registers, long read as indices of fragility or imbalance, warrant more careful attention as modes of embodied signification. Through close engagement with Lady Macbeth, Ophelia, Hermione, Desdemona, Katherina, and Miranda, the paper traces what</w:t>
      </w:r>
      <w:r>
        <w:rPr>
          <w:spacing w:val="40"/>
        </w:rPr>
        <w:t> </w:t>
      </w:r>
      <w:r>
        <w:rPr/>
        <w:t>it terms a dramaturgy of liquid corporeality: blood that persists as mnemonic stain, water that absorbs and recomposes, tears that move between testimony and suspicion, and speech that carries the cadence</w:t>
      </w:r>
      <w:r>
        <w:rPr>
          <w:spacing w:val="40"/>
        </w:rPr>
        <w:t> </w:t>
      </w:r>
      <w:r>
        <w:rPr/>
        <w:t>of</w:t>
      </w:r>
      <w:r>
        <w:rPr>
          <w:spacing w:val="-3"/>
        </w:rPr>
        <w:t> </w:t>
      </w:r>
      <w:r>
        <w:rPr/>
        <w:t>overflow</w:t>
      </w:r>
      <w:r>
        <w:rPr>
          <w:spacing w:val="-5"/>
        </w:rPr>
        <w:t> </w:t>
      </w:r>
      <w:r>
        <w:rPr/>
        <w:t>or the</w:t>
      </w:r>
      <w:r>
        <w:rPr>
          <w:spacing w:val="-1"/>
        </w:rPr>
        <w:t> </w:t>
      </w:r>
      <w:r>
        <w:rPr/>
        <w:t>discipline</w:t>
      </w:r>
      <w:r>
        <w:rPr>
          <w:spacing w:val="-1"/>
        </w:rPr>
        <w:t> </w:t>
      </w:r>
      <w:r>
        <w:rPr/>
        <w:t>of</w:t>
      </w:r>
      <w:r>
        <w:rPr>
          <w:spacing w:val="-3"/>
        </w:rPr>
        <w:t> </w:t>
      </w:r>
      <w:r>
        <w:rPr/>
        <w:t>enforced</w:t>
      </w:r>
      <w:r>
        <w:rPr>
          <w:spacing w:val="-2"/>
        </w:rPr>
        <w:t> </w:t>
      </w:r>
      <w:r>
        <w:rPr/>
        <w:t>containment.</w:t>
      </w:r>
      <w:r>
        <w:rPr>
          <w:spacing w:val="-2"/>
        </w:rPr>
        <w:t> </w:t>
      </w:r>
      <w:r>
        <w:rPr/>
        <w:t>The</w:t>
      </w:r>
      <w:r>
        <w:rPr>
          <w:spacing w:val="-2"/>
        </w:rPr>
        <w:t> </w:t>
      </w:r>
      <w:r>
        <w:rPr/>
        <w:t>female</w:t>
      </w:r>
      <w:r>
        <w:rPr>
          <w:spacing w:val="-1"/>
        </w:rPr>
        <w:t> </w:t>
      </w:r>
      <w:r>
        <w:rPr/>
        <w:t>body becomes legible, in each case, at precisely those moments where it outruns the terms set for its legibility. In advancing the notion of liquid epistemics, the study points towards forms of knowing that reside in movement, sensation, and material trace — forms that declarative coherence alone cannot capture. Positioned alongside contemporary feminist accounts of testimony, credibility, and epistemic injustice, this framework</w:t>
      </w:r>
      <w:r>
        <w:rPr>
          <w:spacing w:val="70"/>
        </w:rPr>
        <w:t> </w:t>
      </w:r>
      <w:r>
        <w:rPr/>
        <w:t>illuminates</w:t>
      </w:r>
      <w:r>
        <w:rPr>
          <w:spacing w:val="68"/>
        </w:rPr>
        <w:t> </w:t>
      </w:r>
      <w:r>
        <w:rPr/>
        <w:t>the</w:t>
      </w:r>
      <w:r>
        <w:rPr>
          <w:spacing w:val="72"/>
        </w:rPr>
        <w:t> </w:t>
      </w:r>
      <w:r>
        <w:rPr/>
        <w:t>durable</w:t>
      </w:r>
      <w:r>
        <w:rPr>
          <w:spacing w:val="71"/>
        </w:rPr>
        <w:t> </w:t>
      </w:r>
      <w:r>
        <w:rPr/>
        <w:t>unease</w:t>
      </w:r>
      <w:r>
        <w:rPr>
          <w:spacing w:val="72"/>
        </w:rPr>
        <w:t> </w:t>
      </w:r>
      <w:r>
        <w:rPr/>
        <w:t>surrounding</w:t>
      </w:r>
      <w:r>
        <w:rPr>
          <w:spacing w:val="70"/>
        </w:rPr>
        <w:t> </w:t>
      </w:r>
      <w:r>
        <w:rPr/>
        <w:t>affect</w:t>
      </w:r>
      <w:r>
        <w:rPr>
          <w:spacing w:val="71"/>
        </w:rPr>
        <w:t> </w:t>
      </w:r>
      <w:r>
        <w:rPr>
          <w:spacing w:val="-5"/>
        </w:rPr>
        <w:t>and</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24544">
                <wp:simplePos x="0" y="0"/>
                <wp:positionH relativeFrom="page">
                  <wp:posOffset>2065020</wp:posOffset>
                </wp:positionH>
                <wp:positionV relativeFrom="paragraph">
                  <wp:posOffset>795020</wp:posOffset>
                </wp:positionV>
                <wp:extent cx="3657600" cy="12700"/>
                <wp:effectExtent l="0" t="0" r="0" b="0"/>
                <wp:wrapTopAndBottom/>
                <wp:docPr id="411" name="Graphic 411"/>
                <wp:cNvGraphicFramePr>
                  <a:graphicFrameLocks/>
                </wp:cNvGraphicFramePr>
                <a:graphic>
                  <a:graphicData uri="http://schemas.microsoft.com/office/word/2010/wordprocessingShape">
                    <wps:wsp>
                      <wps:cNvPr id="411" name="Graphic 41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91936;mso-wrap-distance-left:0;mso-wrap-distance-right:0" id="docshape406" filled="true" fillcolor="#000000" stroked="false">
                <v:fill type="solid"/>
                <w10:wrap type="topAndBottom"/>
              </v:rect>
            </w:pict>
          </mc:Fallback>
        </mc:AlternateContent>
      </w:r>
      <w:r>
        <w:rPr>
          <w:rFonts w:ascii="Verdana" w:hAnsi="Verdana"/>
          <w:spacing w:val="-2"/>
          <w:sz w:val="18"/>
        </w:rPr>
        <w:t>Revisiting</w:t>
      </w:r>
      <w:r>
        <w:rPr>
          <w:rFonts w:ascii="Verdana" w:hAnsi="Verdana"/>
          <w:spacing w:val="-1"/>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Women: Traces</w:t>
      </w:r>
      <w:r>
        <w:rPr>
          <w:rFonts w:ascii="Verdana" w:hAnsi="Verdana"/>
          <w:sz w:val="18"/>
        </w:rPr>
        <w:t> </w:t>
      </w:r>
      <w:r>
        <w:rPr>
          <w:rFonts w:ascii="Verdana" w:hAnsi="Verdana"/>
          <w:spacing w:val="-2"/>
          <w:sz w:val="18"/>
        </w:rPr>
        <w:t>of</w:t>
      </w:r>
      <w:r>
        <w:rPr>
          <w:rFonts w:ascii="Verdana" w:hAnsi="Verdana"/>
          <w:spacing w:val="2"/>
          <w:sz w:val="18"/>
        </w:rPr>
        <w:t> </w:t>
      </w:r>
      <w:r>
        <w:rPr>
          <w:rFonts w:ascii="Verdana" w:hAnsi="Verdana"/>
          <w:spacing w:val="-2"/>
          <w:sz w:val="18"/>
        </w:rPr>
        <w:t>Fluidity</w:t>
      </w:r>
      <w:r>
        <w:rPr>
          <w:rFonts w:ascii="Verdana" w:hAnsi="Verdana"/>
          <w:sz w:val="18"/>
        </w:rPr>
        <w:t> </w:t>
      </w:r>
      <w:r>
        <w:rPr>
          <w:rFonts w:ascii="Verdana" w:hAnsi="Verdana"/>
          <w:spacing w:val="-5"/>
          <w:sz w:val="18"/>
        </w:rPr>
        <w:t>...</w:t>
      </w:r>
      <w:r>
        <w:rPr>
          <w:sz w:val="18"/>
        </w:rPr>
        <w:tab/>
      </w:r>
      <w:r>
        <w:rPr>
          <w:rFonts w:ascii="Verdana" w:hAnsi="Verdana"/>
          <w:spacing w:val="-5"/>
          <w:sz w:val="18"/>
        </w:rPr>
        <w:t>167</w:t>
      </w:r>
    </w:p>
    <w:p>
      <w:pPr>
        <w:pStyle w:val="BodyText"/>
        <w:spacing w:line="249" w:lineRule="auto" w:before="192"/>
        <w:ind w:right="1440"/>
        <w:jc w:val="both"/>
      </w:pPr>
      <w:r>
        <w:rPr/>
        <w:t>gendered embodiment. Shakespeare’s stage, on this reading, functions as an archive of circulating intensities, a space where women’s bodies, even under constraint, continue to register, retain, and relay meanings that</w:t>
      </w:r>
      <w:r>
        <w:rPr>
          <w:spacing w:val="40"/>
        </w:rPr>
        <w:t> </w:t>
      </w:r>
      <w:r>
        <w:rPr/>
        <w:t>elude</w:t>
      </w:r>
      <w:r>
        <w:rPr>
          <w:spacing w:val="40"/>
        </w:rPr>
        <w:t> </w:t>
      </w:r>
      <w:r>
        <w:rPr/>
        <w:t>containment.</w:t>
      </w:r>
    </w:p>
    <w:p>
      <w:pPr>
        <w:pStyle w:val="BodyText"/>
        <w:spacing w:line="249" w:lineRule="auto" w:before="61"/>
        <w:ind w:right="1440" w:firstLine="432"/>
        <w:jc w:val="both"/>
      </w:pPr>
      <w:r>
        <w:rPr>
          <w:b/>
        </w:rPr>
        <w:t>Keywords: </w:t>
      </w:r>
      <w:r>
        <w:rPr/>
        <w:t>Shakespeare; Gender; Feminist Criticism; Medical Humanities; Blue Humanities;; Hydrofeminism</w:t>
      </w:r>
    </w:p>
    <w:p>
      <w:pPr>
        <w:pStyle w:val="Heading3"/>
        <w:numPr>
          <w:ilvl w:val="0"/>
          <w:numId w:val="33"/>
        </w:numPr>
        <w:tabs>
          <w:tab w:pos="1783" w:val="left" w:leader="none"/>
        </w:tabs>
        <w:spacing w:line="240" w:lineRule="auto" w:before="155" w:after="0"/>
        <w:ind w:left="1440" w:right="1437" w:firstLine="0"/>
        <w:jc w:val="left"/>
      </w:pPr>
      <w:r>
        <w:rPr>
          <w:w w:val="90"/>
        </w:rPr>
        <w:t>INTRODUCTION:</w:t>
      </w:r>
      <w:r>
        <w:rPr>
          <w:spacing w:val="80"/>
        </w:rPr>
        <w:t> </w:t>
      </w:r>
      <w:r>
        <w:rPr>
          <w:w w:val="90"/>
        </w:rPr>
        <w:t>THE</w:t>
      </w:r>
      <w:r>
        <w:rPr>
          <w:spacing w:val="80"/>
        </w:rPr>
        <w:t> </w:t>
      </w:r>
      <w:r>
        <w:rPr>
          <w:w w:val="90"/>
        </w:rPr>
        <w:t>LEAKING</w:t>
      </w:r>
      <w:r>
        <w:rPr>
          <w:spacing w:val="80"/>
        </w:rPr>
        <w:t> </w:t>
      </w:r>
      <w:r>
        <w:rPr>
          <w:w w:val="90"/>
        </w:rPr>
        <w:t>BODY</w:t>
      </w:r>
      <w:r>
        <w:rPr>
          <w:spacing w:val="80"/>
        </w:rPr>
        <w:t> </w:t>
      </w:r>
      <w:r>
        <w:rPr>
          <w:w w:val="90"/>
        </w:rPr>
        <w:t>AND</w:t>
      </w:r>
      <w:r>
        <w:rPr>
          <w:spacing w:val="40"/>
        </w:rPr>
        <w:t> </w:t>
      </w:r>
      <w:r>
        <w:rPr>
          <w:w w:val="90"/>
        </w:rPr>
        <w:t>ITS </w:t>
      </w:r>
      <w:r>
        <w:rPr>
          <w:spacing w:val="-2"/>
          <w:w w:val="95"/>
        </w:rPr>
        <w:t>DISCONTENTS</w:t>
      </w:r>
    </w:p>
    <w:p>
      <w:pPr>
        <w:pStyle w:val="BodyText"/>
        <w:spacing w:line="249" w:lineRule="auto" w:before="74"/>
        <w:ind w:right="1438" w:firstLine="432"/>
        <w:jc w:val="both"/>
      </w:pPr>
      <w:r>
        <w:rPr/>
        <w:t>The female body in sixteenth- and seventeenth-century England was never simply an anatomical fact. It was a cultural production, shaped by overlapping discourses of Galenic medicine, Protestant </w:t>
      </w:r>
      <w:r>
        <w:rPr>
          <w:spacing w:val="-4"/>
        </w:rPr>
        <w:t>theology, common law, and theatrical convention, each making competing </w:t>
      </w:r>
      <w:r>
        <w:rPr/>
        <w:t>and occasionally contradictory claims upon it. Within the humoral tradition that dominated European medicine from antiquity through the early eighteenth century, the female body was constitutively wetter, cooler, and more open to the world than its male counterpart — a constitution that carried far-reaching moral and epistemological consequences. Bodies that could not hold their fluids were bodies that had forfeited rational self-governance, and this forfeiture licensed a range</w:t>
      </w:r>
      <w:r>
        <w:rPr>
          <w:spacing w:val="-12"/>
        </w:rPr>
        <w:t> </w:t>
      </w:r>
      <w:r>
        <w:rPr/>
        <w:t>of</w:t>
      </w:r>
      <w:r>
        <w:rPr>
          <w:spacing w:val="-10"/>
        </w:rPr>
        <w:t> </w:t>
      </w:r>
      <w:r>
        <w:rPr/>
        <w:t>social</w:t>
      </w:r>
      <w:r>
        <w:rPr>
          <w:spacing w:val="-11"/>
        </w:rPr>
        <w:t> </w:t>
      </w:r>
      <w:r>
        <w:rPr/>
        <w:t>judgements</w:t>
      </w:r>
      <w:r>
        <w:rPr>
          <w:spacing w:val="-9"/>
        </w:rPr>
        <w:t> </w:t>
      </w:r>
      <w:r>
        <w:rPr/>
        <w:t>about</w:t>
      </w:r>
      <w:r>
        <w:rPr>
          <w:spacing w:val="-8"/>
        </w:rPr>
        <w:t> </w:t>
      </w:r>
      <w:r>
        <w:rPr/>
        <w:t>female</w:t>
      </w:r>
      <w:r>
        <w:rPr>
          <w:spacing w:val="-8"/>
        </w:rPr>
        <w:t> </w:t>
      </w:r>
      <w:r>
        <w:rPr/>
        <w:t>incapacity.</w:t>
      </w:r>
      <w:r>
        <w:rPr>
          <w:spacing w:val="-13"/>
        </w:rPr>
        <w:t> </w:t>
      </w:r>
      <w:r>
        <w:rPr/>
        <w:t>As</w:t>
      </w:r>
      <w:r>
        <w:rPr>
          <w:spacing w:val="-10"/>
        </w:rPr>
        <w:t> </w:t>
      </w:r>
      <w:r>
        <w:rPr/>
        <w:t>Gail</w:t>
      </w:r>
      <w:r>
        <w:rPr>
          <w:spacing w:val="-8"/>
        </w:rPr>
        <w:t> </w:t>
      </w:r>
      <w:r>
        <w:rPr/>
        <w:t>Kern</w:t>
      </w:r>
      <w:r>
        <w:rPr>
          <w:spacing w:val="-9"/>
        </w:rPr>
        <w:t> </w:t>
      </w:r>
      <w:r>
        <w:rPr/>
        <w:t>Paster has documented, the humoral framework served as a technology of gender: it conferred medical authority upon claims about women’s unreliability, incontinence,</w:t>
      </w:r>
      <w:r>
        <w:rPr>
          <w:spacing w:val="-2"/>
        </w:rPr>
        <w:t> </w:t>
      </w:r>
      <w:r>
        <w:rPr/>
        <w:t>and susceptibility</w:t>
      </w:r>
      <w:r>
        <w:rPr>
          <w:spacing w:val="-2"/>
        </w:rPr>
        <w:t> </w:t>
      </w:r>
      <w:r>
        <w:rPr/>
        <w:t>that</w:t>
      </w:r>
      <w:r>
        <w:rPr>
          <w:spacing w:val="-1"/>
        </w:rPr>
        <w:t> </w:t>
      </w:r>
      <w:r>
        <w:rPr/>
        <w:t>otherwise</w:t>
      </w:r>
      <w:r>
        <w:rPr>
          <w:spacing w:val="-1"/>
        </w:rPr>
        <w:t> </w:t>
      </w:r>
      <w:r>
        <w:rPr/>
        <w:t>might</w:t>
      </w:r>
      <w:r>
        <w:rPr>
          <w:spacing w:val="-2"/>
        </w:rPr>
        <w:t> </w:t>
      </w:r>
      <w:r>
        <w:rPr/>
        <w:t>have seemed merely prejudicial.</w:t>
      </w:r>
    </w:p>
    <w:p>
      <w:pPr>
        <w:pStyle w:val="BodyText"/>
        <w:spacing w:line="249" w:lineRule="auto" w:before="73"/>
        <w:ind w:right="1437" w:firstLine="432"/>
        <w:jc w:val="both"/>
      </w:pPr>
      <w:r>
        <w:rPr/>
        <w:t>This paper argues that Shakespeare’s dramatic practice both participates in and, at moments of considerable theatrical pressure, </w:t>
      </w:r>
      <w:r>
        <w:rPr>
          <w:spacing w:val="-4"/>
        </w:rPr>
        <w:t>disarranges</w:t>
      </w:r>
      <w:r>
        <w:rPr>
          <w:spacing w:val="-8"/>
        </w:rPr>
        <w:t> </w:t>
      </w:r>
      <w:r>
        <w:rPr>
          <w:spacing w:val="-4"/>
        </w:rPr>
        <w:t>that logic.</w:t>
      </w:r>
      <w:r>
        <w:rPr>
          <w:spacing w:val="-5"/>
        </w:rPr>
        <w:t> </w:t>
      </w:r>
      <w:r>
        <w:rPr>
          <w:spacing w:val="-4"/>
        </w:rPr>
        <w:t>Drawing</w:t>
      </w:r>
      <w:r>
        <w:rPr>
          <w:spacing w:val="-5"/>
        </w:rPr>
        <w:t> </w:t>
      </w:r>
      <w:r>
        <w:rPr>
          <w:spacing w:val="-4"/>
        </w:rPr>
        <w:t>on</w:t>
      </w:r>
      <w:r>
        <w:rPr>
          <w:spacing w:val="-5"/>
        </w:rPr>
        <w:t> </w:t>
      </w:r>
      <w:r>
        <w:rPr>
          <w:spacing w:val="-4"/>
        </w:rPr>
        <w:t>medifeminist criticism</w:t>
      </w:r>
      <w:r>
        <w:rPr>
          <w:spacing w:val="-9"/>
        </w:rPr>
        <w:t> </w:t>
      </w:r>
      <w:r>
        <w:rPr>
          <w:spacing w:val="-4"/>
        </w:rPr>
        <w:t>— which attends </w:t>
      </w:r>
      <w:r>
        <w:rPr>
          <w:spacing w:val="-2"/>
        </w:rPr>
        <w:t>to</w:t>
      </w:r>
      <w:r>
        <w:rPr>
          <w:spacing w:val="-9"/>
        </w:rPr>
        <w:t> </w:t>
      </w:r>
      <w:r>
        <w:rPr>
          <w:spacing w:val="-2"/>
        </w:rPr>
        <w:t>the</w:t>
      </w:r>
      <w:r>
        <w:rPr>
          <w:spacing w:val="-3"/>
        </w:rPr>
        <w:t> </w:t>
      </w:r>
      <w:r>
        <w:rPr>
          <w:spacing w:val="-2"/>
        </w:rPr>
        <w:t>intersections</w:t>
      </w:r>
      <w:r>
        <w:rPr>
          <w:spacing w:val="-11"/>
        </w:rPr>
        <w:t> </w:t>
      </w:r>
      <w:r>
        <w:rPr>
          <w:spacing w:val="-2"/>
        </w:rPr>
        <w:t>of</w:t>
      </w:r>
      <w:r>
        <w:rPr>
          <w:spacing w:val="-10"/>
        </w:rPr>
        <w:t> </w:t>
      </w:r>
      <w:r>
        <w:rPr>
          <w:spacing w:val="-2"/>
        </w:rPr>
        <w:t>medical</w:t>
      </w:r>
      <w:r>
        <w:rPr>
          <w:spacing w:val="-7"/>
        </w:rPr>
        <w:t> </w:t>
      </w:r>
      <w:r>
        <w:rPr>
          <w:spacing w:val="-2"/>
        </w:rPr>
        <w:t>discourse,</w:t>
      </w:r>
      <w:r>
        <w:rPr>
          <w:spacing w:val="-4"/>
        </w:rPr>
        <w:t> </w:t>
      </w:r>
      <w:r>
        <w:rPr>
          <w:spacing w:val="-2"/>
        </w:rPr>
        <w:t>bodily</w:t>
      </w:r>
      <w:r>
        <w:rPr>
          <w:spacing w:val="-11"/>
        </w:rPr>
        <w:t> </w:t>
      </w:r>
      <w:r>
        <w:rPr>
          <w:spacing w:val="-2"/>
        </w:rPr>
        <w:t>experience,</w:t>
      </w:r>
      <w:r>
        <w:rPr>
          <w:spacing w:val="-6"/>
        </w:rPr>
        <w:t> </w:t>
      </w:r>
      <w:r>
        <w:rPr>
          <w:spacing w:val="-2"/>
        </w:rPr>
        <w:t>and</w:t>
      </w:r>
      <w:r>
        <w:rPr>
          <w:spacing w:val="-4"/>
        </w:rPr>
        <w:t> </w:t>
      </w:r>
      <w:r>
        <w:rPr>
          <w:spacing w:val="-2"/>
        </w:rPr>
        <w:t>gendered power</w:t>
      </w:r>
      <w:r>
        <w:rPr>
          <w:spacing w:val="-11"/>
        </w:rPr>
        <w:t> </w:t>
      </w:r>
      <w:r>
        <w:rPr>
          <w:spacing w:val="-2"/>
        </w:rPr>
        <w:t>—</w:t>
      </w:r>
      <w:r>
        <w:rPr>
          <w:spacing w:val="-7"/>
        </w:rPr>
        <w:t> </w:t>
      </w:r>
      <w:r>
        <w:rPr>
          <w:spacing w:val="-2"/>
        </w:rPr>
        <w:t>alongside</w:t>
      </w:r>
      <w:r>
        <w:rPr>
          <w:spacing w:val="-11"/>
        </w:rPr>
        <w:t> </w:t>
      </w:r>
      <w:r>
        <w:rPr>
          <w:spacing w:val="-2"/>
        </w:rPr>
        <w:t>Astrida</w:t>
      </w:r>
      <w:r>
        <w:rPr>
          <w:spacing w:val="-8"/>
        </w:rPr>
        <w:t> </w:t>
      </w:r>
      <w:r>
        <w:rPr>
          <w:spacing w:val="-2"/>
        </w:rPr>
        <w:t>Neimanis’s</w:t>
      </w:r>
      <w:r>
        <w:rPr>
          <w:spacing w:val="-8"/>
        </w:rPr>
        <w:t> </w:t>
      </w:r>
      <w:r>
        <w:rPr>
          <w:spacing w:val="-2"/>
        </w:rPr>
        <w:t>hydrofeminism,</w:t>
      </w:r>
      <w:r>
        <w:rPr>
          <w:spacing w:val="-6"/>
        </w:rPr>
        <w:t> </w:t>
      </w:r>
      <w:r>
        <w:rPr>
          <w:spacing w:val="-2"/>
        </w:rPr>
        <w:t>a</w:t>
      </w:r>
      <w:r>
        <w:rPr>
          <w:spacing w:val="-4"/>
        </w:rPr>
        <w:t> </w:t>
      </w:r>
      <w:r>
        <w:rPr>
          <w:spacing w:val="-2"/>
        </w:rPr>
        <w:t>framework</w:t>
      </w:r>
      <w:r>
        <w:rPr>
          <w:spacing w:val="-8"/>
        </w:rPr>
        <w:t> </w:t>
      </w:r>
      <w:r>
        <w:rPr>
          <w:spacing w:val="-2"/>
        </w:rPr>
        <w:t>that </w:t>
      </w:r>
      <w:r>
        <w:rPr/>
        <w:t>reads the watery constitution of bodies as a condition of relation and posthuman</w:t>
      </w:r>
      <w:r>
        <w:rPr>
          <w:spacing w:val="-4"/>
        </w:rPr>
        <w:t> </w:t>
      </w:r>
      <w:r>
        <w:rPr/>
        <w:t>becoming,</w:t>
      </w:r>
      <w:r>
        <w:rPr>
          <w:spacing w:val="-2"/>
        </w:rPr>
        <w:t> </w:t>
      </w:r>
      <w:r>
        <w:rPr/>
        <w:t>the</w:t>
      </w:r>
      <w:r>
        <w:rPr>
          <w:spacing w:val="-5"/>
        </w:rPr>
        <w:t> </w:t>
      </w:r>
      <w:r>
        <w:rPr/>
        <w:t>study</w:t>
      </w:r>
      <w:r>
        <w:rPr>
          <w:spacing w:val="-5"/>
        </w:rPr>
        <w:t> </w:t>
      </w:r>
      <w:r>
        <w:rPr/>
        <w:t>traces</w:t>
      </w:r>
      <w:r>
        <w:rPr>
          <w:spacing w:val="-4"/>
        </w:rPr>
        <w:t> </w:t>
      </w:r>
      <w:r>
        <w:rPr/>
        <w:t>what</w:t>
      </w:r>
      <w:r>
        <w:rPr>
          <w:spacing w:val="-2"/>
        </w:rPr>
        <w:t> </w:t>
      </w:r>
      <w:r>
        <w:rPr/>
        <w:t>it</w:t>
      </w:r>
      <w:r>
        <w:rPr>
          <w:spacing w:val="-2"/>
        </w:rPr>
        <w:t> </w:t>
      </w:r>
      <w:r>
        <w:rPr/>
        <w:t>calls</w:t>
      </w:r>
      <w:r>
        <w:rPr>
          <w:spacing w:val="-5"/>
        </w:rPr>
        <w:t> </w:t>
      </w:r>
      <w:r>
        <w:rPr/>
        <w:t>a</w:t>
      </w:r>
      <w:r>
        <w:rPr>
          <w:spacing w:val="-3"/>
        </w:rPr>
        <w:t> </w:t>
      </w:r>
      <w:r>
        <w:rPr/>
        <w:t>liquid corporeality across six figures: Lady Macbeth, Ophelia, Hermione, Desdemona, Katherina, and Miranda. Each enacts a distinct modality of fluid embodiment — the mnemonic stain, the absorptive dissolution, the </w:t>
      </w:r>
      <w:r>
        <w:rPr>
          <w:spacing w:val="-2"/>
        </w:rPr>
        <w:t>credibility</w:t>
      </w:r>
      <w:r>
        <w:rPr>
          <w:spacing w:val="-9"/>
        </w:rPr>
        <w:t> </w:t>
      </w:r>
      <w:r>
        <w:rPr>
          <w:spacing w:val="-2"/>
        </w:rPr>
        <w:t>crisis</w:t>
      </w:r>
      <w:r>
        <w:rPr>
          <w:spacing w:val="-6"/>
        </w:rPr>
        <w:t> </w:t>
      </w:r>
      <w:r>
        <w:rPr>
          <w:spacing w:val="-2"/>
        </w:rPr>
        <w:t>of</w:t>
      </w:r>
      <w:r>
        <w:rPr>
          <w:spacing w:val="-11"/>
        </w:rPr>
        <w:t> </w:t>
      </w:r>
      <w:r>
        <w:rPr>
          <w:spacing w:val="-2"/>
        </w:rPr>
        <w:t>tears,</w:t>
      </w:r>
      <w:r>
        <w:rPr>
          <w:spacing w:val="-8"/>
        </w:rPr>
        <w:t> </w:t>
      </w:r>
      <w:r>
        <w:rPr>
          <w:spacing w:val="-2"/>
        </w:rPr>
        <w:t>the</w:t>
      </w:r>
      <w:r>
        <w:rPr>
          <w:spacing w:val="-4"/>
        </w:rPr>
        <w:t> </w:t>
      </w:r>
      <w:r>
        <w:rPr>
          <w:spacing w:val="-2"/>
        </w:rPr>
        <w:t>archival</w:t>
      </w:r>
      <w:r>
        <w:rPr>
          <w:spacing w:val="-6"/>
        </w:rPr>
        <w:t> </w:t>
      </w:r>
      <w:r>
        <w:rPr>
          <w:spacing w:val="-2"/>
        </w:rPr>
        <w:t>suspension,</w:t>
      </w:r>
      <w:r>
        <w:rPr>
          <w:spacing w:val="-9"/>
        </w:rPr>
        <w:t> </w:t>
      </w:r>
      <w:r>
        <w:rPr>
          <w:spacing w:val="-2"/>
        </w:rPr>
        <w:t>the</w:t>
      </w:r>
      <w:r>
        <w:rPr>
          <w:spacing w:val="-6"/>
        </w:rPr>
        <w:t> </w:t>
      </w:r>
      <w:r>
        <w:rPr>
          <w:spacing w:val="-2"/>
        </w:rPr>
        <w:t>overflowing</w:t>
      </w:r>
      <w:r>
        <w:rPr>
          <w:spacing w:val="-6"/>
        </w:rPr>
        <w:t> </w:t>
      </w:r>
      <w:r>
        <w:rPr>
          <w:spacing w:val="-2"/>
        </w:rPr>
        <w:t>tongue, </w:t>
      </w:r>
      <w:r>
        <w:rPr/>
        <w:t>and the calibrated voice — and each participates in what the paper theorises as a liquid epistemics: a form of knowledge written into the material</w:t>
      </w:r>
      <w:r>
        <w:rPr>
          <w:spacing w:val="-9"/>
        </w:rPr>
        <w:t> </w:t>
      </w:r>
      <w:r>
        <w:rPr/>
        <w:t>and</w:t>
      </w:r>
      <w:r>
        <w:rPr>
          <w:spacing w:val="-9"/>
        </w:rPr>
        <w:t> </w:t>
      </w:r>
      <w:r>
        <w:rPr/>
        <w:t>affective</w:t>
      </w:r>
      <w:r>
        <w:rPr>
          <w:spacing w:val="-9"/>
        </w:rPr>
        <w:t> </w:t>
      </w:r>
      <w:r>
        <w:rPr/>
        <w:t>registers</w:t>
      </w:r>
      <w:r>
        <w:rPr>
          <w:spacing w:val="-9"/>
        </w:rPr>
        <w:t> </w:t>
      </w:r>
      <w:r>
        <w:rPr/>
        <w:t>of</w:t>
      </w:r>
      <w:r>
        <w:rPr>
          <w:spacing w:val="-12"/>
        </w:rPr>
        <w:t> </w:t>
      </w:r>
      <w:r>
        <w:rPr/>
        <w:t>the</w:t>
      </w:r>
      <w:r>
        <w:rPr>
          <w:spacing w:val="-8"/>
        </w:rPr>
        <w:t> </w:t>
      </w:r>
      <w:r>
        <w:rPr/>
        <w:t>body</w:t>
      </w:r>
      <w:r>
        <w:rPr>
          <w:spacing w:val="-10"/>
        </w:rPr>
        <w:t> </w:t>
      </w:r>
      <w:r>
        <w:rPr/>
        <w:t>rather</w:t>
      </w:r>
      <w:r>
        <w:rPr>
          <w:spacing w:val="-9"/>
        </w:rPr>
        <w:t> </w:t>
      </w:r>
      <w:r>
        <w:rPr/>
        <w:t>than</w:t>
      </w:r>
      <w:r>
        <w:rPr>
          <w:spacing w:val="-10"/>
        </w:rPr>
        <w:t> </w:t>
      </w:r>
      <w:r>
        <w:rPr/>
        <w:t>produced</w:t>
      </w:r>
      <w:r>
        <w:rPr>
          <w:spacing w:val="-7"/>
        </w:rPr>
        <w:t> </w:t>
      </w:r>
      <w:r>
        <w:rPr/>
        <w:t>through propositional</w:t>
      </w:r>
      <w:r>
        <w:rPr>
          <w:spacing w:val="40"/>
        </w:rPr>
        <w:t> </w:t>
      </w:r>
      <w:r>
        <w:rPr/>
        <w:t>statement.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25056">
                <wp:simplePos x="0" y="0"/>
                <wp:positionH relativeFrom="page">
                  <wp:posOffset>2057400</wp:posOffset>
                </wp:positionH>
                <wp:positionV relativeFrom="paragraph">
                  <wp:posOffset>162604</wp:posOffset>
                </wp:positionV>
                <wp:extent cx="3657600" cy="12700"/>
                <wp:effectExtent l="0" t="0" r="0" b="0"/>
                <wp:wrapTopAndBottom/>
                <wp:docPr id="412" name="Graphic 412"/>
                <wp:cNvGraphicFramePr>
                  <a:graphicFrameLocks/>
                </wp:cNvGraphicFramePr>
                <a:graphic>
                  <a:graphicData uri="http://schemas.microsoft.com/office/word/2010/wordprocessingShape">
                    <wps:wsp>
                      <wps:cNvPr id="412" name="Graphic 41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91424;mso-wrap-distance-left:0;mso-wrap-distance-right:0" id="docshape407" filled="true" fillcolor="#000000" stroked="false">
                <v:fill type="solid"/>
                <w10:wrap type="topAndBottom"/>
              </v:rect>
            </w:pict>
          </mc:Fallback>
        </mc:AlternateContent>
      </w:r>
      <w:r>
        <w:rPr>
          <w:rFonts w:ascii="Verdana"/>
          <w:spacing w:val="-5"/>
          <w:sz w:val="18"/>
        </w:rPr>
        <w:t>168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firstLine="432"/>
        <w:jc w:val="both"/>
      </w:pPr>
      <w:r>
        <w:rPr/>
        <w:t>The structure of the argument runs as follows. Section Two establishes the theoretical foundation, threading together humoral </w:t>
      </w:r>
      <w:r>
        <w:rPr>
          <w:spacing w:val="-4"/>
        </w:rPr>
        <w:t>epistemology, hydrofeminism,</w:t>
      </w:r>
      <w:r>
        <w:rPr>
          <w:spacing w:val="-5"/>
        </w:rPr>
        <w:t> </w:t>
      </w:r>
      <w:r>
        <w:rPr>
          <w:spacing w:val="-4"/>
        </w:rPr>
        <w:t>and Miranda Fricker’s account of</w:t>
      </w:r>
      <w:r>
        <w:rPr>
          <w:spacing w:val="-5"/>
        </w:rPr>
        <w:t> </w:t>
      </w:r>
      <w:r>
        <w:rPr>
          <w:spacing w:val="-4"/>
        </w:rPr>
        <w:t>epistemic </w:t>
      </w:r>
      <w:r>
        <w:rPr/>
        <w:t>injustice. Sections Three through Seven offer close dramatic readings</w:t>
      </w:r>
      <w:r>
        <w:rPr>
          <w:spacing w:val="40"/>
        </w:rPr>
        <w:t> </w:t>
      </w:r>
      <w:r>
        <w:rPr/>
        <w:t>of the six figures, attending in each case to the specific form that fluid embodiment takes and to its epistemological stakes. Section Eight consolidates these readings under the rubric of liquid epistemics, and the Conclusion situates the argument within contemporary feminist discourse on testimony and credibility. Throughout, the paper remains attentive to both the historicity of its materials and the ways in which </w:t>
      </w:r>
      <w:r>
        <w:rPr>
          <w:spacing w:val="-2"/>
        </w:rPr>
        <w:t>the</w:t>
      </w:r>
      <w:r>
        <w:rPr>
          <w:spacing w:val="-4"/>
        </w:rPr>
        <w:t> </w:t>
      </w:r>
      <w:r>
        <w:rPr>
          <w:spacing w:val="-2"/>
        </w:rPr>
        <w:t>epistemological</w:t>
      </w:r>
      <w:r>
        <w:rPr>
          <w:spacing w:val="-5"/>
        </w:rPr>
        <w:t> </w:t>
      </w:r>
      <w:r>
        <w:rPr>
          <w:spacing w:val="-2"/>
        </w:rPr>
        <w:t>structures</w:t>
      </w:r>
      <w:r>
        <w:rPr>
          <w:spacing w:val="-8"/>
        </w:rPr>
        <w:t> </w:t>
      </w:r>
      <w:r>
        <w:rPr>
          <w:spacing w:val="-2"/>
        </w:rPr>
        <w:t>it</w:t>
      </w:r>
      <w:r>
        <w:rPr>
          <w:spacing w:val="-4"/>
        </w:rPr>
        <w:t> </w:t>
      </w:r>
      <w:r>
        <w:rPr>
          <w:spacing w:val="-2"/>
        </w:rPr>
        <w:t>identifies</w:t>
      </w:r>
      <w:r>
        <w:rPr>
          <w:spacing w:val="-6"/>
        </w:rPr>
        <w:t> </w:t>
      </w:r>
      <w:r>
        <w:rPr>
          <w:spacing w:val="-2"/>
        </w:rPr>
        <w:t>in</w:t>
      </w:r>
      <w:r>
        <w:rPr>
          <w:spacing w:val="-6"/>
        </w:rPr>
        <w:t> </w:t>
      </w:r>
      <w:r>
        <w:rPr>
          <w:spacing w:val="-2"/>
        </w:rPr>
        <w:t>early</w:t>
      </w:r>
      <w:r>
        <w:rPr>
          <w:spacing w:val="-11"/>
        </w:rPr>
        <w:t> </w:t>
      </w:r>
      <w:r>
        <w:rPr>
          <w:spacing w:val="-2"/>
        </w:rPr>
        <w:t>modernity</w:t>
      </w:r>
      <w:r>
        <w:rPr>
          <w:spacing w:val="-8"/>
        </w:rPr>
        <w:t> </w:t>
      </w:r>
      <w:r>
        <w:rPr>
          <w:spacing w:val="-2"/>
        </w:rPr>
        <w:t>have</w:t>
      </w:r>
      <w:r>
        <w:rPr>
          <w:spacing w:val="-4"/>
        </w:rPr>
        <w:t> </w:t>
      </w:r>
      <w:r>
        <w:rPr>
          <w:spacing w:val="-2"/>
        </w:rPr>
        <w:t>proved </w:t>
      </w:r>
      <w:r>
        <w:rPr/>
        <w:t>tenacious</w:t>
      </w:r>
      <w:r>
        <w:rPr>
          <w:spacing w:val="40"/>
        </w:rPr>
        <w:t> </w:t>
      </w:r>
      <w:r>
        <w:rPr/>
        <w:t>well</w:t>
      </w:r>
      <w:r>
        <w:rPr>
          <w:spacing w:val="40"/>
        </w:rPr>
        <w:t> </w:t>
      </w:r>
      <w:r>
        <w:rPr/>
        <w:t>beyond</w:t>
      </w:r>
      <w:r>
        <w:rPr>
          <w:spacing w:val="40"/>
        </w:rPr>
        <w:t> </w:t>
      </w:r>
      <w:r>
        <w:rPr/>
        <w:t>it.</w:t>
      </w:r>
    </w:p>
    <w:p>
      <w:pPr>
        <w:pStyle w:val="BodyText"/>
        <w:spacing w:line="249" w:lineRule="auto" w:before="68"/>
        <w:ind w:right="1437" w:firstLine="432"/>
        <w:jc w:val="both"/>
      </w:pPr>
      <w:r>
        <w:rPr/>
        <w:t>The claim the paper advances occupies a middle ground between two critical commonplaces. Shakespeare was neither a proto-feminist ahead of his culture nor a straightforward agent of its ideological formations.</w:t>
      </w:r>
      <w:r>
        <w:rPr>
          <w:spacing w:val="-10"/>
        </w:rPr>
        <w:t> </w:t>
      </w:r>
      <w:r>
        <w:rPr/>
        <w:t>His</w:t>
      </w:r>
      <w:r>
        <w:rPr>
          <w:spacing w:val="-13"/>
        </w:rPr>
        <w:t> </w:t>
      </w:r>
      <w:r>
        <w:rPr/>
        <w:t>dramatic</w:t>
      </w:r>
      <w:r>
        <w:rPr>
          <w:spacing w:val="-10"/>
        </w:rPr>
        <w:t> </w:t>
      </w:r>
      <w:r>
        <w:rPr/>
        <w:t>practice</w:t>
      </w:r>
      <w:r>
        <w:rPr>
          <w:spacing w:val="-13"/>
        </w:rPr>
        <w:t> </w:t>
      </w:r>
      <w:r>
        <w:rPr/>
        <w:t>—</w:t>
      </w:r>
      <w:r>
        <w:rPr>
          <w:spacing w:val="-10"/>
        </w:rPr>
        <w:t> </w:t>
      </w:r>
      <w:r>
        <w:rPr/>
        <w:t>the</w:t>
      </w:r>
      <w:r>
        <w:rPr>
          <w:spacing w:val="-10"/>
        </w:rPr>
        <w:t> </w:t>
      </w:r>
      <w:r>
        <w:rPr/>
        <w:t>specific</w:t>
      </w:r>
      <w:r>
        <w:rPr>
          <w:spacing w:val="-12"/>
        </w:rPr>
        <w:t> </w:t>
      </w:r>
      <w:r>
        <w:rPr/>
        <w:t>ways</w:t>
      </w:r>
      <w:r>
        <w:rPr>
          <w:spacing w:val="-11"/>
        </w:rPr>
        <w:t> </w:t>
      </w:r>
      <w:r>
        <w:rPr/>
        <w:t>his</w:t>
      </w:r>
      <w:r>
        <w:rPr>
          <w:spacing w:val="-13"/>
        </w:rPr>
        <w:t> </w:t>
      </w:r>
      <w:r>
        <w:rPr/>
        <w:t>women</w:t>
      </w:r>
      <w:r>
        <w:rPr>
          <w:spacing w:val="-10"/>
        </w:rPr>
        <w:t> </w:t>
      </w:r>
      <w:r>
        <w:rPr/>
        <w:t>speak, weep, bleed, drown, and fall silent — reveals an epistemological order under</w:t>
      </w:r>
      <w:r>
        <w:rPr>
          <w:spacing w:val="-1"/>
        </w:rPr>
        <w:t> </w:t>
      </w:r>
      <w:r>
        <w:rPr/>
        <w:t>pressure, one that cannot</w:t>
      </w:r>
      <w:r>
        <w:rPr>
          <w:spacing w:val="-1"/>
        </w:rPr>
        <w:t> </w:t>
      </w:r>
      <w:r>
        <w:rPr/>
        <w:t>quite absorb</w:t>
      </w:r>
      <w:r>
        <w:rPr>
          <w:spacing w:val="-1"/>
        </w:rPr>
        <w:t> </w:t>
      </w:r>
      <w:r>
        <w:rPr/>
        <w:t>what it</w:t>
      </w:r>
      <w:r>
        <w:rPr>
          <w:spacing w:val="-1"/>
        </w:rPr>
        <w:t> </w:t>
      </w:r>
      <w:r>
        <w:rPr/>
        <w:t>attempts</w:t>
      </w:r>
      <w:r>
        <w:rPr>
          <w:spacing w:val="-1"/>
        </w:rPr>
        <w:t> </w:t>
      </w:r>
      <w:r>
        <w:rPr/>
        <w:t>to govern. The female body, in these plays, exceeds the terms of its legibility by virtue</w:t>
      </w:r>
      <w:r>
        <w:rPr>
          <w:spacing w:val="-11"/>
        </w:rPr>
        <w:t> </w:t>
      </w:r>
      <w:r>
        <w:rPr/>
        <w:t>of</w:t>
      </w:r>
      <w:r>
        <w:rPr>
          <w:spacing w:val="-12"/>
        </w:rPr>
        <w:t> </w:t>
      </w:r>
      <w:r>
        <w:rPr/>
        <w:t>its</w:t>
      </w:r>
      <w:r>
        <w:rPr>
          <w:spacing w:val="-10"/>
        </w:rPr>
        <w:t> </w:t>
      </w:r>
      <w:r>
        <w:rPr/>
        <w:t>fluid</w:t>
      </w:r>
      <w:r>
        <w:rPr>
          <w:spacing w:val="-7"/>
        </w:rPr>
        <w:t> </w:t>
      </w:r>
      <w:r>
        <w:rPr/>
        <w:t>excess,</w:t>
      </w:r>
      <w:r>
        <w:rPr>
          <w:spacing w:val="-11"/>
        </w:rPr>
        <w:t> </w:t>
      </w:r>
      <w:r>
        <w:rPr/>
        <w:t>and</w:t>
      </w:r>
      <w:r>
        <w:rPr>
          <w:spacing w:val="-8"/>
        </w:rPr>
        <w:t> </w:t>
      </w:r>
      <w:r>
        <w:rPr/>
        <w:t>it</w:t>
      </w:r>
      <w:r>
        <w:rPr>
          <w:spacing w:val="-9"/>
        </w:rPr>
        <w:t> </w:t>
      </w:r>
      <w:r>
        <w:rPr/>
        <w:t>is</w:t>
      </w:r>
      <w:r>
        <w:rPr>
          <w:spacing w:val="-11"/>
        </w:rPr>
        <w:t> </w:t>
      </w:r>
      <w:r>
        <w:rPr/>
        <w:t>in</w:t>
      </w:r>
      <w:r>
        <w:rPr>
          <w:spacing w:val="-13"/>
        </w:rPr>
        <w:t> </w:t>
      </w:r>
      <w:r>
        <w:rPr/>
        <w:t>that</w:t>
      </w:r>
      <w:r>
        <w:rPr>
          <w:spacing w:val="-9"/>
        </w:rPr>
        <w:t> </w:t>
      </w:r>
      <w:r>
        <w:rPr/>
        <w:t>excess</w:t>
      </w:r>
      <w:r>
        <w:rPr>
          <w:spacing w:val="-9"/>
        </w:rPr>
        <w:t> </w:t>
      </w:r>
      <w:r>
        <w:rPr/>
        <w:t>that</w:t>
      </w:r>
      <w:r>
        <w:rPr>
          <w:spacing w:val="-12"/>
        </w:rPr>
        <w:t> </w:t>
      </w:r>
      <w:r>
        <w:rPr/>
        <w:t>a</w:t>
      </w:r>
      <w:r>
        <w:rPr>
          <w:spacing w:val="-9"/>
        </w:rPr>
        <w:t> </w:t>
      </w:r>
      <w:r>
        <w:rPr/>
        <w:t>counter-</w:t>
      </w:r>
      <w:r>
        <w:rPr>
          <w:spacing w:val="-2"/>
        </w:rPr>
        <w:t>knowledge</w:t>
      </w:r>
    </w:p>
    <w:p>
      <w:pPr>
        <w:pStyle w:val="BodyText"/>
        <w:spacing w:before="6"/>
        <w:jc w:val="both"/>
      </w:pPr>
      <w:r>
        <w:rPr/>
        <w:t>—</w:t>
      </w:r>
      <w:r>
        <w:rPr>
          <w:spacing w:val="9"/>
        </w:rPr>
        <w:t> </w:t>
      </w:r>
      <w:r>
        <w:rPr/>
        <w:t>partial,</w:t>
      </w:r>
      <w:r>
        <w:rPr>
          <w:spacing w:val="9"/>
        </w:rPr>
        <w:t> </w:t>
      </w:r>
      <w:r>
        <w:rPr/>
        <w:t>mobile,</w:t>
      </w:r>
      <w:r>
        <w:rPr>
          <w:spacing w:val="9"/>
        </w:rPr>
        <w:t> </w:t>
      </w:r>
      <w:r>
        <w:rPr/>
        <w:t>materially</w:t>
      </w:r>
      <w:r>
        <w:rPr>
          <w:spacing w:val="2"/>
        </w:rPr>
        <w:t> </w:t>
      </w:r>
      <w:r>
        <w:rPr/>
        <w:t>grounded</w:t>
      </w:r>
      <w:r>
        <w:rPr>
          <w:spacing w:val="9"/>
        </w:rPr>
        <w:t> </w:t>
      </w:r>
      <w:r>
        <w:rPr/>
        <w:t>—</w:t>
      </w:r>
      <w:r>
        <w:rPr>
          <w:spacing w:val="9"/>
        </w:rPr>
        <w:t> </w:t>
      </w:r>
      <w:r>
        <w:rPr/>
        <w:t>finds</w:t>
      </w:r>
      <w:r>
        <w:rPr>
          <w:spacing w:val="9"/>
        </w:rPr>
        <w:t> </w:t>
      </w:r>
      <w:r>
        <w:rPr/>
        <w:t>its</w:t>
      </w:r>
      <w:r>
        <w:rPr>
          <w:spacing w:val="9"/>
        </w:rPr>
        <w:t> </w:t>
      </w:r>
      <w:r>
        <w:rPr>
          <w:spacing w:val="-4"/>
        </w:rPr>
        <w:t>form.</w:t>
      </w:r>
    </w:p>
    <w:p>
      <w:pPr>
        <w:pStyle w:val="Heading3"/>
        <w:numPr>
          <w:ilvl w:val="0"/>
          <w:numId w:val="33"/>
        </w:numPr>
        <w:tabs>
          <w:tab w:pos="1774" w:val="left" w:leader="none"/>
        </w:tabs>
        <w:spacing w:line="240" w:lineRule="auto" w:before="164" w:after="0"/>
        <w:ind w:left="1440" w:right="1439" w:firstLine="0"/>
        <w:jc w:val="left"/>
      </w:pPr>
      <w:r>
        <w:rPr>
          <w:w w:val="90"/>
        </w:rPr>
        <w:t>THEORETICAL</w:t>
      </w:r>
      <w:r>
        <w:rPr>
          <w:spacing w:val="40"/>
        </w:rPr>
        <w:t> </w:t>
      </w:r>
      <w:r>
        <w:rPr>
          <w:w w:val="90"/>
        </w:rPr>
        <w:t>FRAMEWORK:</w:t>
      </w:r>
      <w:r>
        <w:rPr>
          <w:spacing w:val="40"/>
        </w:rPr>
        <w:t> </w:t>
      </w:r>
      <w:r>
        <w:rPr>
          <w:w w:val="90"/>
        </w:rPr>
        <w:t>HUMORAL</w:t>
      </w:r>
      <w:r>
        <w:rPr>
          <w:spacing w:val="40"/>
        </w:rPr>
        <w:t> </w:t>
      </w:r>
      <w:r>
        <w:rPr>
          <w:w w:val="90"/>
        </w:rPr>
        <w:t>BODIES, HYDROFEMINISM, AND LIQUID EPISTEMICS</w:t>
      </w:r>
    </w:p>
    <w:p>
      <w:pPr>
        <w:pStyle w:val="Heading5"/>
        <w:numPr>
          <w:ilvl w:val="1"/>
          <w:numId w:val="33"/>
        </w:numPr>
        <w:tabs>
          <w:tab w:pos="1864" w:val="left" w:leader="none"/>
        </w:tabs>
        <w:spacing w:line="240" w:lineRule="auto" w:before="123" w:after="0"/>
        <w:ind w:left="1864" w:right="0" w:hanging="424"/>
        <w:jc w:val="left"/>
      </w:pPr>
      <w:r>
        <w:rPr>
          <w:w w:val="105"/>
        </w:rPr>
        <w:t>The</w:t>
      </w:r>
      <w:r>
        <w:rPr>
          <w:spacing w:val="70"/>
          <w:w w:val="105"/>
        </w:rPr>
        <w:t> </w:t>
      </w:r>
      <w:r>
        <w:rPr>
          <w:w w:val="105"/>
        </w:rPr>
        <w:t>Humoral</w:t>
      </w:r>
      <w:r>
        <w:rPr>
          <w:spacing w:val="72"/>
          <w:w w:val="105"/>
        </w:rPr>
        <w:t> </w:t>
      </w:r>
      <w:r>
        <w:rPr>
          <w:w w:val="105"/>
        </w:rPr>
        <w:t>Body</w:t>
      </w:r>
      <w:r>
        <w:rPr>
          <w:spacing w:val="68"/>
          <w:w w:val="105"/>
        </w:rPr>
        <w:t> </w:t>
      </w:r>
      <w:r>
        <w:rPr>
          <w:w w:val="105"/>
        </w:rPr>
        <w:t>and</w:t>
      </w:r>
      <w:r>
        <w:rPr>
          <w:spacing w:val="71"/>
          <w:w w:val="105"/>
        </w:rPr>
        <w:t> </w:t>
      </w:r>
      <w:r>
        <w:rPr>
          <w:w w:val="105"/>
        </w:rPr>
        <w:t>the</w:t>
      </w:r>
      <w:r>
        <w:rPr>
          <w:spacing w:val="70"/>
          <w:w w:val="105"/>
        </w:rPr>
        <w:t> </w:t>
      </w:r>
      <w:r>
        <w:rPr>
          <w:w w:val="105"/>
        </w:rPr>
        <w:t>Gender</w:t>
      </w:r>
      <w:r>
        <w:rPr>
          <w:spacing w:val="73"/>
          <w:w w:val="105"/>
        </w:rPr>
        <w:t> </w:t>
      </w:r>
      <w:r>
        <w:rPr>
          <w:w w:val="105"/>
        </w:rPr>
        <w:t>of</w:t>
      </w:r>
      <w:r>
        <w:rPr>
          <w:spacing w:val="70"/>
          <w:w w:val="105"/>
        </w:rPr>
        <w:t> </w:t>
      </w:r>
      <w:r>
        <w:rPr>
          <w:spacing w:val="-2"/>
          <w:w w:val="105"/>
        </w:rPr>
        <w:t>Moisture</w:t>
      </w:r>
    </w:p>
    <w:p>
      <w:pPr>
        <w:pStyle w:val="BodyText"/>
        <w:spacing w:line="249" w:lineRule="auto" w:before="72"/>
        <w:ind w:right="1440" w:firstLine="432"/>
        <w:jc w:val="both"/>
      </w:pPr>
      <w:r>
        <w:rPr/>
        <w:t>The</w:t>
      </w:r>
      <w:r>
        <w:rPr>
          <w:spacing w:val="-7"/>
        </w:rPr>
        <w:t> </w:t>
      </w:r>
      <w:r>
        <w:rPr/>
        <w:t>humoral</w:t>
      </w:r>
      <w:r>
        <w:rPr>
          <w:spacing w:val="-8"/>
        </w:rPr>
        <w:t> </w:t>
      </w:r>
      <w:r>
        <w:rPr/>
        <w:t>body</w:t>
      </w:r>
      <w:r>
        <w:rPr>
          <w:spacing w:val="-8"/>
        </w:rPr>
        <w:t> </w:t>
      </w:r>
      <w:r>
        <w:rPr/>
        <w:t>of</w:t>
      </w:r>
      <w:r>
        <w:rPr>
          <w:spacing w:val="-8"/>
        </w:rPr>
        <w:t> </w:t>
      </w:r>
      <w:r>
        <w:rPr/>
        <w:t>early</w:t>
      </w:r>
      <w:r>
        <w:rPr>
          <w:spacing w:val="-11"/>
        </w:rPr>
        <w:t> </w:t>
      </w:r>
      <w:r>
        <w:rPr/>
        <w:t>modernity</w:t>
      </w:r>
      <w:r>
        <w:rPr>
          <w:spacing w:val="-9"/>
        </w:rPr>
        <w:t> </w:t>
      </w:r>
      <w:r>
        <w:rPr/>
        <w:t>was,</w:t>
      </w:r>
      <w:r>
        <w:rPr>
          <w:spacing w:val="-6"/>
        </w:rPr>
        <w:t> </w:t>
      </w:r>
      <w:r>
        <w:rPr/>
        <w:t>as</w:t>
      </w:r>
      <w:r>
        <w:rPr>
          <w:spacing w:val="-8"/>
        </w:rPr>
        <w:t> </w:t>
      </w:r>
      <w:r>
        <w:rPr/>
        <w:t>Michael</w:t>
      </w:r>
      <w:r>
        <w:rPr>
          <w:spacing w:val="-7"/>
        </w:rPr>
        <w:t> </w:t>
      </w:r>
      <w:r>
        <w:rPr/>
        <w:t>Schoenfeldt has shown, a site of perpetual negotiation between interior constitution and</w:t>
      </w:r>
      <w:r>
        <w:rPr>
          <w:spacing w:val="-13"/>
        </w:rPr>
        <w:t> </w:t>
      </w:r>
      <w:r>
        <w:rPr/>
        <w:t>exterior</w:t>
      </w:r>
      <w:r>
        <w:rPr>
          <w:spacing w:val="-12"/>
        </w:rPr>
        <w:t> </w:t>
      </w:r>
      <w:r>
        <w:rPr/>
        <w:t>world.</w:t>
      </w:r>
      <w:r>
        <w:rPr>
          <w:spacing w:val="-13"/>
        </w:rPr>
        <w:t> </w:t>
      </w:r>
      <w:r>
        <w:rPr/>
        <w:t>The</w:t>
      </w:r>
      <w:r>
        <w:rPr>
          <w:spacing w:val="-12"/>
        </w:rPr>
        <w:t> </w:t>
      </w:r>
      <w:r>
        <w:rPr/>
        <w:t>four</w:t>
      </w:r>
      <w:r>
        <w:rPr>
          <w:spacing w:val="-13"/>
        </w:rPr>
        <w:t> </w:t>
      </w:r>
      <w:r>
        <w:rPr/>
        <w:t>humours</w:t>
      </w:r>
      <w:r>
        <w:rPr>
          <w:spacing w:val="-12"/>
        </w:rPr>
        <w:t> </w:t>
      </w:r>
      <w:r>
        <w:rPr/>
        <w:t>—</w:t>
      </w:r>
      <w:r>
        <w:rPr>
          <w:spacing w:val="-13"/>
        </w:rPr>
        <w:t> </w:t>
      </w:r>
      <w:r>
        <w:rPr/>
        <w:t>blood,</w:t>
      </w:r>
      <w:r>
        <w:rPr>
          <w:spacing w:val="-12"/>
        </w:rPr>
        <w:t> </w:t>
      </w:r>
      <w:r>
        <w:rPr/>
        <w:t>phlegm,</w:t>
      </w:r>
      <w:r>
        <w:rPr>
          <w:spacing w:val="-13"/>
        </w:rPr>
        <w:t> </w:t>
      </w:r>
      <w:r>
        <w:rPr/>
        <w:t>yellow</w:t>
      </w:r>
      <w:r>
        <w:rPr>
          <w:spacing w:val="-12"/>
        </w:rPr>
        <w:t> </w:t>
      </w:r>
      <w:r>
        <w:rPr/>
        <w:t>bile,</w:t>
      </w:r>
      <w:r>
        <w:rPr>
          <w:spacing w:val="-13"/>
        </w:rPr>
        <w:t> </w:t>
      </w:r>
      <w:r>
        <w:rPr/>
        <w:t>and black</w:t>
      </w:r>
      <w:r>
        <w:rPr>
          <w:spacing w:val="-3"/>
        </w:rPr>
        <w:t> </w:t>
      </w:r>
      <w:r>
        <w:rPr/>
        <w:t>bile</w:t>
      </w:r>
      <w:r>
        <w:rPr>
          <w:spacing w:val="-2"/>
        </w:rPr>
        <w:t> </w:t>
      </w:r>
      <w:r>
        <w:rPr/>
        <w:t>—</w:t>
      </w:r>
      <w:r>
        <w:rPr>
          <w:spacing w:val="-3"/>
        </w:rPr>
        <w:t> </w:t>
      </w:r>
      <w:r>
        <w:rPr/>
        <w:t>circulated</w:t>
      </w:r>
      <w:r>
        <w:rPr>
          <w:spacing w:val="-3"/>
        </w:rPr>
        <w:t> </w:t>
      </w:r>
      <w:r>
        <w:rPr/>
        <w:t>through</w:t>
      </w:r>
      <w:r>
        <w:rPr>
          <w:spacing w:val="-3"/>
        </w:rPr>
        <w:t> </w:t>
      </w:r>
      <w:r>
        <w:rPr/>
        <w:t>the</w:t>
      </w:r>
      <w:r>
        <w:rPr>
          <w:spacing w:val="-2"/>
        </w:rPr>
        <w:t> </w:t>
      </w:r>
      <w:r>
        <w:rPr/>
        <w:t>body</w:t>
      </w:r>
      <w:r>
        <w:rPr>
          <w:spacing w:val="-4"/>
        </w:rPr>
        <w:t> </w:t>
      </w:r>
      <w:r>
        <w:rPr/>
        <w:t>in</w:t>
      </w:r>
      <w:r>
        <w:rPr>
          <w:spacing w:val="-3"/>
        </w:rPr>
        <w:t> </w:t>
      </w:r>
      <w:r>
        <w:rPr/>
        <w:t>a</w:t>
      </w:r>
      <w:r>
        <w:rPr>
          <w:spacing w:val="-2"/>
        </w:rPr>
        <w:t> </w:t>
      </w:r>
      <w:r>
        <w:rPr/>
        <w:t>dynamic</w:t>
      </w:r>
      <w:r>
        <w:rPr>
          <w:spacing w:val="-1"/>
        </w:rPr>
        <w:t> </w:t>
      </w:r>
      <w:r>
        <w:rPr/>
        <w:t>balance</w:t>
      </w:r>
      <w:r>
        <w:rPr>
          <w:spacing w:val="-4"/>
        </w:rPr>
        <w:t> </w:t>
      </w:r>
      <w:r>
        <w:rPr/>
        <w:t>that</w:t>
      </w:r>
      <w:r>
        <w:rPr>
          <w:spacing w:val="-1"/>
        </w:rPr>
        <w:t> </w:t>
      </w:r>
      <w:r>
        <w:rPr/>
        <w:t>was easily</w:t>
      </w:r>
      <w:r>
        <w:rPr>
          <w:spacing w:val="-5"/>
        </w:rPr>
        <w:t> </w:t>
      </w:r>
      <w:r>
        <w:rPr/>
        <w:t>disturbed</w:t>
      </w:r>
      <w:r>
        <w:rPr>
          <w:spacing w:val="-3"/>
        </w:rPr>
        <w:t> </w:t>
      </w:r>
      <w:r>
        <w:rPr/>
        <w:t>and slow</w:t>
      </w:r>
      <w:r>
        <w:rPr>
          <w:spacing w:val="-6"/>
        </w:rPr>
        <w:t> </w:t>
      </w:r>
      <w:r>
        <w:rPr/>
        <w:t>to restore.</w:t>
      </w:r>
      <w:r>
        <w:rPr>
          <w:spacing w:val="-5"/>
        </w:rPr>
        <w:t> </w:t>
      </w:r>
      <w:r>
        <w:rPr/>
        <w:t>Of</w:t>
      </w:r>
      <w:r>
        <w:rPr>
          <w:spacing w:val="-3"/>
        </w:rPr>
        <w:t> </w:t>
      </w:r>
      <w:r>
        <w:rPr/>
        <w:t>these,</w:t>
      </w:r>
      <w:r>
        <w:rPr>
          <w:spacing w:val="-3"/>
        </w:rPr>
        <w:t> </w:t>
      </w:r>
      <w:r>
        <w:rPr/>
        <w:t>the moist</w:t>
      </w:r>
      <w:r>
        <w:rPr>
          <w:spacing w:val="-5"/>
        </w:rPr>
        <w:t> </w:t>
      </w:r>
      <w:r>
        <w:rPr/>
        <w:t>humours,</w:t>
      </w:r>
      <w:r>
        <w:rPr>
          <w:spacing w:val="-1"/>
        </w:rPr>
        <w:t> </w:t>
      </w:r>
      <w:r>
        <w:rPr/>
        <w:t>blood and phlegm, were gendered feminine in the medical literature of the period, aligning women with a constitutional dampness that rendered them susceptible to emotional disturbance, moral incontinence, and cognitive</w:t>
      </w:r>
      <w:r>
        <w:rPr>
          <w:spacing w:val="22"/>
        </w:rPr>
        <w:t> </w:t>
      </w:r>
      <w:r>
        <w:rPr/>
        <w:t>instability. The</w:t>
      </w:r>
      <w:r>
        <w:rPr>
          <w:spacing w:val="22"/>
        </w:rPr>
        <w:t> </w:t>
      </w:r>
      <w:r>
        <w:rPr/>
        <w:t>image of</w:t>
      </w:r>
      <w:r>
        <w:rPr>
          <w:spacing w:val="19"/>
        </w:rPr>
        <w:t> </w:t>
      </w:r>
      <w:r>
        <w:rPr/>
        <w:t>the</w:t>
      </w:r>
      <w:r>
        <w:rPr>
          <w:spacing w:val="20"/>
        </w:rPr>
        <w:t> </w:t>
      </w:r>
      <w:r>
        <w:rPr/>
        <w:t>female</w:t>
      </w:r>
      <w:r>
        <w:rPr>
          <w:spacing w:val="21"/>
        </w:rPr>
        <w:t> </w:t>
      </w:r>
      <w:r>
        <w:rPr/>
        <w:t>body as</w:t>
      </w:r>
      <w:r>
        <w:rPr>
          <w:spacing w:val="19"/>
        </w:rPr>
        <w:t> </w:t>
      </w:r>
      <w:r>
        <w:rPr/>
        <w:t>a</w:t>
      </w:r>
      <w:r>
        <w:rPr>
          <w:spacing w:val="20"/>
        </w:rPr>
        <w:t> </w:t>
      </w:r>
      <w:r>
        <w:rPr/>
        <w:t>vessel</w:t>
      </w:r>
      <w:r>
        <w:rPr>
          <w:spacing w:val="19"/>
        </w:rPr>
        <w:t> </w:t>
      </w:r>
      <w:r>
        <w:rPr/>
        <w:t>prone to leakage was medically sanctioned, not merely figurative.</w:t>
      </w:r>
    </w:p>
    <w:p>
      <w:pPr>
        <w:pStyle w:val="BodyText"/>
        <w:spacing w:line="249" w:lineRule="auto" w:before="68"/>
        <w:ind w:right="1441" w:firstLine="432"/>
        <w:jc w:val="both"/>
      </w:pPr>
      <w:r>
        <w:rPr/>
        <w:t>The epistemological stakes of this physiology were considerable. Dry, warm bodies — the masculine ideal — were associated with the capacity for stable, propositional thought. Cool, moist constitutions </w:t>
      </w:r>
      <w:r>
        <w:rPr>
          <w:spacing w:val="-2"/>
        </w:rPr>
        <w:t>were</w:t>
      </w:r>
      <w:r>
        <w:rPr>
          <w:spacing w:val="1"/>
        </w:rPr>
        <w:t> </w:t>
      </w:r>
      <w:r>
        <w:rPr>
          <w:spacing w:val="-2"/>
        </w:rPr>
        <w:t>associated</w:t>
      </w:r>
      <w:r>
        <w:rPr>
          <w:spacing w:val="4"/>
        </w:rPr>
        <w:t> </w:t>
      </w:r>
      <w:r>
        <w:rPr>
          <w:spacing w:val="-2"/>
        </w:rPr>
        <w:t>with</w:t>
      </w:r>
      <w:r>
        <w:rPr/>
        <w:t> </w:t>
      </w:r>
      <w:r>
        <w:rPr>
          <w:spacing w:val="-2"/>
        </w:rPr>
        <w:t>changeability,</w:t>
      </w:r>
      <w:r>
        <w:rPr>
          <w:spacing w:val="4"/>
        </w:rPr>
        <w:t> </w:t>
      </w:r>
      <w:r>
        <w:rPr>
          <w:spacing w:val="-2"/>
        </w:rPr>
        <w:t>impressionability,</w:t>
      </w:r>
      <w:r>
        <w:rPr>
          <w:spacing w:val="2"/>
        </w:rPr>
        <w:t> </w:t>
      </w:r>
      <w:r>
        <w:rPr>
          <w:spacing w:val="-2"/>
        </w:rPr>
        <w:t>and</w:t>
      </w:r>
      <w:r>
        <w:rPr>
          <w:spacing w:val="5"/>
        </w:rPr>
        <w:t> </w:t>
      </w:r>
      <w:r>
        <w:rPr>
          <w:spacing w:val="-2"/>
        </w:rPr>
        <w:t>an inability</w:t>
      </w:r>
      <w:r>
        <w:rPr/>
        <w:t> </w:t>
      </w:r>
      <w:r>
        <w:rPr>
          <w:spacing w:val="-5"/>
        </w:rPr>
        <w:t>to</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25568">
                <wp:simplePos x="0" y="0"/>
                <wp:positionH relativeFrom="page">
                  <wp:posOffset>2065020</wp:posOffset>
                </wp:positionH>
                <wp:positionV relativeFrom="paragraph">
                  <wp:posOffset>795020</wp:posOffset>
                </wp:positionV>
                <wp:extent cx="3657600" cy="12700"/>
                <wp:effectExtent l="0" t="0" r="0" b="0"/>
                <wp:wrapTopAndBottom/>
                <wp:docPr id="413" name="Graphic 413"/>
                <wp:cNvGraphicFramePr>
                  <a:graphicFrameLocks/>
                </wp:cNvGraphicFramePr>
                <a:graphic>
                  <a:graphicData uri="http://schemas.microsoft.com/office/word/2010/wordprocessingShape">
                    <wps:wsp>
                      <wps:cNvPr id="413" name="Graphic 41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90912;mso-wrap-distance-left:0;mso-wrap-distance-right:0" id="docshape408" filled="true" fillcolor="#000000" stroked="false">
                <v:fill type="solid"/>
                <w10:wrap type="topAndBottom"/>
              </v:rect>
            </w:pict>
          </mc:Fallback>
        </mc:AlternateContent>
      </w:r>
      <w:r>
        <w:rPr>
          <w:rFonts w:ascii="Verdana" w:hAnsi="Verdana"/>
          <w:spacing w:val="-2"/>
          <w:sz w:val="18"/>
        </w:rPr>
        <w:t>Revisiting</w:t>
      </w:r>
      <w:r>
        <w:rPr>
          <w:rFonts w:ascii="Verdana" w:hAnsi="Verdana"/>
          <w:spacing w:val="-1"/>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Women: Traces</w:t>
      </w:r>
      <w:r>
        <w:rPr>
          <w:rFonts w:ascii="Verdana" w:hAnsi="Verdana"/>
          <w:sz w:val="18"/>
        </w:rPr>
        <w:t> </w:t>
      </w:r>
      <w:r>
        <w:rPr>
          <w:rFonts w:ascii="Verdana" w:hAnsi="Verdana"/>
          <w:spacing w:val="-2"/>
          <w:sz w:val="18"/>
        </w:rPr>
        <w:t>of</w:t>
      </w:r>
      <w:r>
        <w:rPr>
          <w:rFonts w:ascii="Verdana" w:hAnsi="Verdana"/>
          <w:spacing w:val="2"/>
          <w:sz w:val="18"/>
        </w:rPr>
        <w:t> </w:t>
      </w:r>
      <w:r>
        <w:rPr>
          <w:rFonts w:ascii="Verdana" w:hAnsi="Verdana"/>
          <w:spacing w:val="-2"/>
          <w:sz w:val="18"/>
        </w:rPr>
        <w:t>Fluidity</w:t>
      </w:r>
      <w:r>
        <w:rPr>
          <w:rFonts w:ascii="Verdana" w:hAnsi="Verdana"/>
          <w:sz w:val="18"/>
        </w:rPr>
        <w:t> </w:t>
      </w:r>
      <w:r>
        <w:rPr>
          <w:rFonts w:ascii="Verdana" w:hAnsi="Verdana"/>
          <w:spacing w:val="-5"/>
          <w:sz w:val="18"/>
        </w:rPr>
        <w:t>...</w:t>
      </w:r>
      <w:r>
        <w:rPr>
          <w:sz w:val="18"/>
        </w:rPr>
        <w:tab/>
      </w:r>
      <w:r>
        <w:rPr>
          <w:rFonts w:ascii="Verdana" w:hAnsi="Verdana"/>
          <w:spacing w:val="-5"/>
          <w:sz w:val="18"/>
        </w:rPr>
        <w:t>169</w:t>
      </w:r>
    </w:p>
    <w:p>
      <w:pPr>
        <w:pStyle w:val="BodyText"/>
        <w:spacing w:line="249" w:lineRule="auto" w:before="192"/>
        <w:ind w:right="1435"/>
        <w:jc w:val="both"/>
      </w:pPr>
      <w:r>
        <w:rPr/>
        <w:t>hold a consistent position: qualities that made women’s testimony structurally</w:t>
      </w:r>
      <w:r>
        <w:rPr>
          <w:spacing w:val="-8"/>
        </w:rPr>
        <w:t> </w:t>
      </w:r>
      <w:r>
        <w:rPr/>
        <w:t>suspect</w:t>
      </w:r>
      <w:r>
        <w:rPr>
          <w:spacing w:val="-4"/>
        </w:rPr>
        <w:t> </w:t>
      </w:r>
      <w:r>
        <w:rPr/>
        <w:t>and</w:t>
      </w:r>
      <w:r>
        <w:rPr>
          <w:spacing w:val="-5"/>
        </w:rPr>
        <w:t> </w:t>
      </w:r>
      <w:r>
        <w:rPr/>
        <w:t>their</w:t>
      </w:r>
      <w:r>
        <w:rPr>
          <w:spacing w:val="-1"/>
        </w:rPr>
        <w:t> </w:t>
      </w:r>
      <w:r>
        <w:rPr/>
        <w:t>judgement</w:t>
      </w:r>
      <w:r>
        <w:rPr>
          <w:spacing w:val="-5"/>
        </w:rPr>
        <w:t> </w:t>
      </w:r>
      <w:r>
        <w:rPr/>
        <w:t>inherently</w:t>
      </w:r>
      <w:r>
        <w:rPr>
          <w:spacing w:val="-6"/>
        </w:rPr>
        <w:t> </w:t>
      </w:r>
      <w:r>
        <w:rPr/>
        <w:t>provisional.</w:t>
      </w:r>
      <w:r>
        <w:rPr>
          <w:spacing w:val="-3"/>
        </w:rPr>
        <w:t> </w:t>
      </w:r>
      <w:r>
        <w:rPr/>
        <w:t>Primary sources</w:t>
      </w:r>
      <w:r>
        <w:rPr>
          <w:spacing w:val="-13"/>
        </w:rPr>
        <w:t> </w:t>
      </w:r>
      <w:r>
        <w:rPr/>
        <w:t>available</w:t>
      </w:r>
      <w:r>
        <w:rPr>
          <w:spacing w:val="-12"/>
        </w:rPr>
        <w:t> </w:t>
      </w:r>
      <w:r>
        <w:rPr/>
        <w:t>to</w:t>
      </w:r>
      <w:r>
        <w:rPr>
          <w:spacing w:val="-10"/>
        </w:rPr>
        <w:t> </w:t>
      </w:r>
      <w:r>
        <w:rPr/>
        <w:t>Shakespeare’s</w:t>
      </w:r>
      <w:r>
        <w:rPr>
          <w:spacing w:val="-13"/>
        </w:rPr>
        <w:t> </w:t>
      </w:r>
      <w:r>
        <w:rPr/>
        <w:t>audiences</w:t>
      </w:r>
      <w:r>
        <w:rPr>
          <w:spacing w:val="-12"/>
        </w:rPr>
        <w:t> </w:t>
      </w:r>
      <w:r>
        <w:rPr/>
        <w:t>reinforced</w:t>
      </w:r>
      <w:r>
        <w:rPr>
          <w:spacing w:val="-12"/>
        </w:rPr>
        <w:t> </w:t>
      </w:r>
      <w:r>
        <w:rPr/>
        <w:t>this</w:t>
      </w:r>
      <w:r>
        <w:rPr>
          <w:spacing w:val="-13"/>
        </w:rPr>
        <w:t> </w:t>
      </w:r>
      <w:r>
        <w:rPr/>
        <w:t>association. Thomas</w:t>
      </w:r>
      <w:r>
        <w:rPr>
          <w:spacing w:val="-8"/>
        </w:rPr>
        <w:t> </w:t>
      </w:r>
      <w:r>
        <w:rPr/>
        <w:t>Vicary’s</w:t>
      </w:r>
      <w:r>
        <w:rPr>
          <w:spacing w:val="-5"/>
        </w:rPr>
        <w:t> </w:t>
      </w:r>
      <w:r>
        <w:rPr>
          <w:i/>
        </w:rPr>
        <w:t>The</w:t>
      </w:r>
      <w:r>
        <w:rPr>
          <w:i/>
          <w:spacing w:val="-6"/>
        </w:rPr>
        <w:t> </w:t>
      </w:r>
      <w:r>
        <w:rPr>
          <w:i/>
        </w:rPr>
        <w:t>Englishman’s</w:t>
      </w:r>
      <w:r>
        <w:rPr>
          <w:i/>
          <w:spacing w:val="-3"/>
        </w:rPr>
        <w:t> </w:t>
      </w:r>
      <w:r>
        <w:rPr>
          <w:i/>
        </w:rPr>
        <w:t>Treasure</w:t>
      </w:r>
      <w:r>
        <w:rPr>
          <w:i/>
          <w:spacing w:val="-2"/>
        </w:rPr>
        <w:t> </w:t>
      </w:r>
      <w:r>
        <w:rPr/>
        <w:t>(1587),</w:t>
      </w:r>
      <w:r>
        <w:rPr>
          <w:spacing w:val="-5"/>
        </w:rPr>
        <w:t> </w:t>
      </w:r>
      <w:r>
        <w:rPr/>
        <w:t>Helkiah</w:t>
      </w:r>
      <w:r>
        <w:rPr>
          <w:spacing w:val="-5"/>
        </w:rPr>
        <w:t> </w:t>
      </w:r>
      <w:r>
        <w:rPr/>
        <w:t>Crooke’s </w:t>
      </w:r>
      <w:r>
        <w:rPr>
          <w:i/>
        </w:rPr>
        <w:t>Microcosmographia </w:t>
      </w:r>
      <w:r>
        <w:rPr/>
        <w:t>(1615), and the widely circulated pseudo-</w:t>
      </w:r>
      <w:r>
        <w:rPr>
          <w:i/>
          <w:spacing w:val="-2"/>
        </w:rPr>
        <w:t>Aristotelian</w:t>
      </w:r>
      <w:r>
        <w:rPr>
          <w:i/>
          <w:spacing w:val="-11"/>
        </w:rPr>
        <w:t> </w:t>
      </w:r>
      <w:r>
        <w:rPr>
          <w:i/>
          <w:spacing w:val="-2"/>
        </w:rPr>
        <w:t>Problemes</w:t>
      </w:r>
      <w:r>
        <w:rPr>
          <w:i/>
          <w:spacing w:val="-10"/>
        </w:rPr>
        <w:t> </w:t>
      </w:r>
      <w:r>
        <w:rPr>
          <w:spacing w:val="-2"/>
        </w:rPr>
        <w:t>(1595)</w:t>
      </w:r>
      <w:r>
        <w:rPr>
          <w:spacing w:val="-11"/>
        </w:rPr>
        <w:t> </w:t>
      </w:r>
      <w:r>
        <w:rPr>
          <w:spacing w:val="-2"/>
        </w:rPr>
        <w:t>each</w:t>
      </w:r>
      <w:r>
        <w:rPr>
          <w:spacing w:val="-10"/>
        </w:rPr>
        <w:t> </w:t>
      </w:r>
      <w:r>
        <w:rPr>
          <w:spacing w:val="-2"/>
        </w:rPr>
        <w:t>linked</w:t>
      </w:r>
      <w:r>
        <w:rPr>
          <w:spacing w:val="-11"/>
        </w:rPr>
        <w:t> </w:t>
      </w:r>
      <w:r>
        <w:rPr>
          <w:spacing w:val="-2"/>
        </w:rPr>
        <w:t>female</w:t>
      </w:r>
      <w:r>
        <w:rPr>
          <w:spacing w:val="-10"/>
        </w:rPr>
        <w:t> </w:t>
      </w:r>
      <w:r>
        <w:rPr>
          <w:spacing w:val="-2"/>
        </w:rPr>
        <w:t>moisture</w:t>
      </w:r>
      <w:r>
        <w:rPr>
          <w:spacing w:val="-11"/>
        </w:rPr>
        <w:t> </w:t>
      </w:r>
      <w:r>
        <w:rPr>
          <w:spacing w:val="-2"/>
        </w:rPr>
        <w:t>with</w:t>
      </w:r>
      <w:r>
        <w:rPr>
          <w:spacing w:val="-10"/>
        </w:rPr>
        <w:t> </w:t>
      </w:r>
      <w:r>
        <w:rPr>
          <w:spacing w:val="-2"/>
        </w:rPr>
        <w:t>cognitive </w:t>
      </w:r>
      <w:r>
        <w:rPr/>
        <w:t>volatility, treating physiological and epistemological deficit as aspects of a single constitutional condition. Katharine Park’s work on early modern dissection history further demonstrates how the interior of the female</w:t>
      </w:r>
      <w:r>
        <w:rPr>
          <w:spacing w:val="11"/>
        </w:rPr>
        <w:t> </w:t>
      </w:r>
      <w:r>
        <w:rPr/>
        <w:t>body</w:t>
      </w:r>
      <w:r>
        <w:rPr>
          <w:spacing w:val="6"/>
        </w:rPr>
        <w:t> </w:t>
      </w:r>
      <w:r>
        <w:rPr/>
        <w:t>—</w:t>
      </w:r>
      <w:r>
        <w:rPr>
          <w:spacing w:val="9"/>
        </w:rPr>
        <w:t> </w:t>
      </w:r>
      <w:r>
        <w:rPr/>
        <w:t>opaque,</w:t>
      </w:r>
      <w:r>
        <w:rPr>
          <w:spacing w:val="10"/>
        </w:rPr>
        <w:t> </w:t>
      </w:r>
      <w:r>
        <w:rPr/>
        <w:t>labyrinthine,</w:t>
      </w:r>
      <w:r>
        <w:rPr>
          <w:spacing w:val="10"/>
        </w:rPr>
        <w:t> </w:t>
      </w:r>
      <w:r>
        <w:rPr/>
        <w:t>resistant</w:t>
      </w:r>
      <w:r>
        <w:rPr>
          <w:spacing w:val="10"/>
        </w:rPr>
        <w:t> </w:t>
      </w:r>
      <w:r>
        <w:rPr/>
        <w:t>to</w:t>
      </w:r>
      <w:r>
        <w:rPr>
          <w:spacing w:val="12"/>
        </w:rPr>
        <w:t> </w:t>
      </w:r>
      <w:r>
        <w:rPr/>
        <w:t>full</w:t>
      </w:r>
      <w:r>
        <w:rPr>
          <w:spacing w:val="11"/>
        </w:rPr>
        <w:t> </w:t>
      </w:r>
      <w:r>
        <w:rPr/>
        <w:t>visual</w:t>
      </w:r>
      <w:r>
        <w:rPr>
          <w:spacing w:val="10"/>
        </w:rPr>
        <w:t> </w:t>
      </w:r>
      <w:r>
        <w:rPr>
          <w:spacing w:val="-2"/>
        </w:rPr>
        <w:t>inspection</w:t>
      </w:r>
    </w:p>
    <w:p>
      <w:pPr>
        <w:pStyle w:val="BodyText"/>
        <w:spacing w:line="249" w:lineRule="auto" w:before="8"/>
        <w:ind w:right="1442"/>
        <w:jc w:val="both"/>
      </w:pPr>
      <w:r>
        <w:rPr/>
        <w:t>— was consistently associated with epistemological excess: with the production of meanings that refused to stay within their appointed </w:t>
      </w:r>
      <w:r>
        <w:rPr>
          <w:spacing w:val="-2"/>
        </w:rPr>
        <w:t>boundaries.</w:t>
      </w:r>
    </w:p>
    <w:p>
      <w:pPr>
        <w:pStyle w:val="BodyText"/>
        <w:spacing w:line="266" w:lineRule="auto" w:before="70"/>
        <w:ind w:right="1439" w:firstLine="432"/>
        <w:jc w:val="both"/>
      </w:pPr>
      <w:r>
        <w:rPr/>
        <w:t>What the present study draws from this historical context is the recognition that the humoral body is always already an epistemological body. To speak of the female body in early modernity is to speak, simultaneously, of the standing</w:t>
      </w:r>
      <w:r>
        <w:rPr>
          <w:spacing w:val="-1"/>
        </w:rPr>
        <w:t> </w:t>
      </w:r>
      <w:r>
        <w:rPr/>
        <w:t>of its testimony</w:t>
      </w:r>
      <w:r>
        <w:rPr>
          <w:spacing w:val="-1"/>
        </w:rPr>
        <w:t> </w:t>
      </w:r>
      <w:r>
        <w:rPr/>
        <w:t>and the reliability</w:t>
      </w:r>
      <w:r>
        <w:rPr>
          <w:spacing w:val="-1"/>
        </w:rPr>
        <w:t> </w:t>
      </w:r>
      <w:r>
        <w:rPr/>
        <w:t>of its </w:t>
      </w:r>
      <w:r>
        <w:rPr>
          <w:spacing w:val="-2"/>
        </w:rPr>
        <w:t>knowledge.</w:t>
      </w:r>
      <w:r>
        <w:rPr>
          <w:spacing w:val="-3"/>
        </w:rPr>
        <w:t> </w:t>
      </w:r>
      <w:r>
        <w:rPr>
          <w:spacing w:val="-2"/>
        </w:rPr>
        <w:t>These</w:t>
      </w:r>
      <w:r>
        <w:rPr>
          <w:spacing w:val="-5"/>
        </w:rPr>
        <w:t> </w:t>
      </w:r>
      <w:r>
        <w:rPr>
          <w:spacing w:val="-2"/>
        </w:rPr>
        <w:t>cannot be</w:t>
      </w:r>
      <w:r>
        <w:rPr>
          <w:spacing w:val="-6"/>
        </w:rPr>
        <w:t> </w:t>
      </w:r>
      <w:r>
        <w:rPr>
          <w:spacing w:val="-2"/>
        </w:rPr>
        <w:t>separated, and any</w:t>
      </w:r>
      <w:r>
        <w:rPr>
          <w:spacing w:val="-6"/>
        </w:rPr>
        <w:t> </w:t>
      </w:r>
      <w:r>
        <w:rPr>
          <w:spacing w:val="-2"/>
        </w:rPr>
        <w:t>reading</w:t>
      </w:r>
      <w:r>
        <w:rPr>
          <w:spacing w:val="-6"/>
        </w:rPr>
        <w:t> </w:t>
      </w:r>
      <w:r>
        <w:rPr>
          <w:spacing w:val="-2"/>
        </w:rPr>
        <w:t>of</w:t>
      </w:r>
      <w:r>
        <w:rPr>
          <w:spacing w:val="-3"/>
        </w:rPr>
        <w:t> </w:t>
      </w:r>
      <w:r>
        <w:rPr>
          <w:spacing w:val="-2"/>
        </w:rPr>
        <w:t>Shakespeare’s </w:t>
      </w:r>
      <w:r>
        <w:rPr/>
        <w:t>women that brackets either dimension will find itself working with an incomplete picture.</w:t>
      </w:r>
    </w:p>
    <w:p>
      <w:pPr>
        <w:pStyle w:val="Heading5"/>
        <w:numPr>
          <w:ilvl w:val="1"/>
          <w:numId w:val="33"/>
        </w:numPr>
        <w:tabs>
          <w:tab w:pos="1870" w:val="left" w:leader="none"/>
        </w:tabs>
        <w:spacing w:line="240" w:lineRule="auto" w:before="116" w:after="0"/>
        <w:ind w:left="1870" w:right="0" w:hanging="430"/>
        <w:jc w:val="left"/>
      </w:pPr>
      <w:r>
        <w:rPr/>
        <w:t>Hydrofeminism</w:t>
      </w:r>
      <w:r>
        <w:rPr>
          <w:spacing w:val="30"/>
        </w:rPr>
        <w:t>  </w:t>
      </w:r>
      <w:r>
        <w:rPr/>
        <w:t>and</w:t>
      </w:r>
      <w:r>
        <w:rPr>
          <w:spacing w:val="32"/>
        </w:rPr>
        <w:t>  </w:t>
      </w:r>
      <w:r>
        <w:rPr/>
        <w:t>the</w:t>
      </w:r>
      <w:r>
        <w:rPr>
          <w:spacing w:val="31"/>
        </w:rPr>
        <w:t>  </w:t>
      </w:r>
      <w:r>
        <w:rPr/>
        <w:t>Archival</w:t>
      </w:r>
      <w:r>
        <w:rPr>
          <w:spacing w:val="31"/>
        </w:rPr>
        <w:t>  </w:t>
      </w:r>
      <w:r>
        <w:rPr>
          <w:spacing w:val="-4"/>
        </w:rPr>
        <w:t>Water</w:t>
      </w:r>
    </w:p>
    <w:p>
      <w:pPr>
        <w:pStyle w:val="BodyText"/>
        <w:spacing w:line="266" w:lineRule="auto" w:before="86"/>
        <w:ind w:right="1439" w:firstLine="432"/>
        <w:jc w:val="both"/>
      </w:pPr>
      <w:r>
        <w:rPr>
          <w:spacing w:val="-2"/>
        </w:rPr>
        <w:t>Astrida</w:t>
      </w:r>
      <w:r>
        <w:rPr>
          <w:spacing w:val="-11"/>
        </w:rPr>
        <w:t> </w:t>
      </w:r>
      <w:r>
        <w:rPr>
          <w:spacing w:val="-2"/>
        </w:rPr>
        <w:t>Neimanis’s</w:t>
      </w:r>
      <w:r>
        <w:rPr>
          <w:spacing w:val="-10"/>
        </w:rPr>
        <w:t> </w:t>
      </w:r>
      <w:r>
        <w:rPr>
          <w:i/>
          <w:spacing w:val="-2"/>
        </w:rPr>
        <w:t>Bodies</w:t>
      </w:r>
      <w:r>
        <w:rPr>
          <w:i/>
          <w:spacing w:val="-11"/>
        </w:rPr>
        <w:t> </w:t>
      </w:r>
      <w:r>
        <w:rPr>
          <w:i/>
          <w:spacing w:val="-2"/>
        </w:rPr>
        <w:t>of</w:t>
      </w:r>
      <w:r>
        <w:rPr>
          <w:i/>
          <w:spacing w:val="-10"/>
        </w:rPr>
        <w:t> </w:t>
      </w:r>
      <w:r>
        <w:rPr>
          <w:i/>
          <w:spacing w:val="-2"/>
        </w:rPr>
        <w:t>Water</w:t>
      </w:r>
      <w:r>
        <w:rPr>
          <w:i/>
          <w:spacing w:val="-11"/>
        </w:rPr>
        <w:t> </w:t>
      </w:r>
      <w:r>
        <w:rPr>
          <w:spacing w:val="-2"/>
        </w:rPr>
        <w:t>(2017)</w:t>
      </w:r>
      <w:r>
        <w:rPr>
          <w:spacing w:val="-10"/>
        </w:rPr>
        <w:t> </w:t>
      </w:r>
      <w:r>
        <w:rPr>
          <w:spacing w:val="-2"/>
        </w:rPr>
        <w:t>offers</w:t>
      </w:r>
      <w:r>
        <w:rPr>
          <w:spacing w:val="-11"/>
        </w:rPr>
        <w:t> </w:t>
      </w:r>
      <w:r>
        <w:rPr>
          <w:spacing w:val="-2"/>
        </w:rPr>
        <w:t>the</w:t>
      </w:r>
      <w:r>
        <w:rPr>
          <w:spacing w:val="-10"/>
        </w:rPr>
        <w:t> </w:t>
      </w:r>
      <w:r>
        <w:rPr>
          <w:spacing w:val="-2"/>
        </w:rPr>
        <w:t>most</w:t>
      </w:r>
      <w:r>
        <w:rPr>
          <w:spacing w:val="-11"/>
        </w:rPr>
        <w:t> </w:t>
      </w:r>
      <w:r>
        <w:rPr>
          <w:spacing w:val="-2"/>
        </w:rPr>
        <w:t>sustained </w:t>
      </w:r>
      <w:r>
        <w:rPr/>
        <w:t>account currently available of water as a medium of feminist thought. For Neimanis, the watery composition of the body — human bodies </w:t>
      </w:r>
      <w:r>
        <w:rPr>
          <w:spacing w:val="-2"/>
        </w:rPr>
        <w:t>average</w:t>
      </w:r>
      <w:r>
        <w:rPr>
          <w:spacing w:val="-5"/>
        </w:rPr>
        <w:t> </w:t>
      </w:r>
      <w:r>
        <w:rPr>
          <w:spacing w:val="-2"/>
        </w:rPr>
        <w:t>sixty</w:t>
      </w:r>
      <w:r>
        <w:rPr>
          <w:spacing w:val="-11"/>
        </w:rPr>
        <w:t> </w:t>
      </w:r>
      <w:r>
        <w:rPr>
          <w:spacing w:val="-2"/>
        </w:rPr>
        <w:t>per</w:t>
      </w:r>
      <w:r>
        <w:rPr>
          <w:spacing w:val="-3"/>
        </w:rPr>
        <w:t> </w:t>
      </w:r>
      <w:r>
        <w:rPr>
          <w:spacing w:val="-2"/>
        </w:rPr>
        <w:t>cent</w:t>
      </w:r>
      <w:r>
        <w:rPr>
          <w:spacing w:val="-6"/>
        </w:rPr>
        <w:t> </w:t>
      </w:r>
      <w:r>
        <w:rPr>
          <w:spacing w:val="-2"/>
        </w:rPr>
        <w:t>water</w:t>
      </w:r>
      <w:r>
        <w:rPr>
          <w:spacing w:val="-4"/>
        </w:rPr>
        <w:t> </w:t>
      </w:r>
      <w:r>
        <w:rPr>
          <w:spacing w:val="-2"/>
        </w:rPr>
        <w:t>—</w:t>
      </w:r>
      <w:r>
        <w:rPr>
          <w:spacing w:val="-8"/>
        </w:rPr>
        <w:t> </w:t>
      </w:r>
      <w:r>
        <w:rPr>
          <w:spacing w:val="-2"/>
        </w:rPr>
        <w:t>is</w:t>
      </w:r>
      <w:r>
        <w:rPr>
          <w:spacing w:val="-6"/>
        </w:rPr>
        <w:t> </w:t>
      </w:r>
      <w:r>
        <w:rPr>
          <w:spacing w:val="-2"/>
        </w:rPr>
        <w:t>a</w:t>
      </w:r>
      <w:r>
        <w:rPr>
          <w:spacing w:val="-3"/>
        </w:rPr>
        <w:t> </w:t>
      </w:r>
      <w:r>
        <w:rPr>
          <w:spacing w:val="-2"/>
        </w:rPr>
        <w:t>condition</w:t>
      </w:r>
      <w:r>
        <w:rPr>
          <w:spacing w:val="-6"/>
        </w:rPr>
        <w:t> </w:t>
      </w:r>
      <w:r>
        <w:rPr>
          <w:spacing w:val="-2"/>
        </w:rPr>
        <w:t>of</w:t>
      </w:r>
      <w:r>
        <w:rPr>
          <w:spacing w:val="-8"/>
        </w:rPr>
        <w:t> </w:t>
      </w:r>
      <w:r>
        <w:rPr>
          <w:spacing w:val="-2"/>
        </w:rPr>
        <w:t>relation</w:t>
      </w:r>
      <w:r>
        <w:rPr>
          <w:spacing w:val="-6"/>
        </w:rPr>
        <w:t> </w:t>
      </w:r>
      <w:r>
        <w:rPr>
          <w:spacing w:val="-2"/>
        </w:rPr>
        <w:t>and vulnerability </w:t>
      </w:r>
      <w:r>
        <w:rPr/>
        <w:t>rather than a deficiency requiring management. Water moves through bodies, between bodies, and beyond bodies, dissolving the fantasy of the bounded, self-determining subject that liberal political philosophy has</w:t>
      </w:r>
      <w:r>
        <w:rPr>
          <w:spacing w:val="-12"/>
        </w:rPr>
        <w:t> </w:t>
      </w:r>
      <w:r>
        <w:rPr/>
        <w:t>long</w:t>
      </w:r>
      <w:r>
        <w:rPr>
          <w:spacing w:val="-13"/>
        </w:rPr>
        <w:t> </w:t>
      </w:r>
      <w:r>
        <w:rPr/>
        <w:t>required.</w:t>
      </w:r>
      <w:r>
        <w:rPr>
          <w:spacing w:val="-11"/>
        </w:rPr>
        <w:t> </w:t>
      </w:r>
      <w:r>
        <w:rPr/>
        <w:t>To</w:t>
      </w:r>
      <w:r>
        <w:rPr>
          <w:spacing w:val="-8"/>
        </w:rPr>
        <w:t> </w:t>
      </w:r>
      <w:r>
        <w:rPr/>
        <w:t>think</w:t>
      </w:r>
      <w:r>
        <w:rPr>
          <w:spacing w:val="-12"/>
        </w:rPr>
        <w:t> </w:t>
      </w:r>
      <w:r>
        <w:rPr/>
        <w:t>through</w:t>
      </w:r>
      <w:r>
        <w:rPr>
          <w:spacing w:val="-13"/>
        </w:rPr>
        <w:t> </w:t>
      </w:r>
      <w:r>
        <w:rPr/>
        <w:t>water</w:t>
      </w:r>
      <w:r>
        <w:rPr>
          <w:spacing w:val="-8"/>
        </w:rPr>
        <w:t> </w:t>
      </w:r>
      <w:r>
        <w:rPr/>
        <w:t>is</w:t>
      </w:r>
      <w:r>
        <w:rPr>
          <w:spacing w:val="-10"/>
        </w:rPr>
        <w:t> </w:t>
      </w:r>
      <w:r>
        <w:rPr/>
        <w:t>to</w:t>
      </w:r>
      <w:r>
        <w:rPr>
          <w:spacing w:val="-8"/>
        </w:rPr>
        <w:t> </w:t>
      </w:r>
      <w:r>
        <w:rPr/>
        <w:t>think</w:t>
      </w:r>
      <w:r>
        <w:rPr>
          <w:spacing w:val="-13"/>
        </w:rPr>
        <w:t> </w:t>
      </w:r>
      <w:r>
        <w:rPr/>
        <w:t>through</w:t>
      </w:r>
      <w:r>
        <w:rPr>
          <w:spacing w:val="-11"/>
        </w:rPr>
        <w:t> </w:t>
      </w:r>
      <w:r>
        <w:rPr/>
        <w:t>connection, porosity,</w:t>
      </w:r>
      <w:r>
        <w:rPr>
          <w:spacing w:val="40"/>
        </w:rPr>
        <w:t> </w:t>
      </w:r>
      <w:r>
        <w:rPr/>
        <w:t>and</w:t>
      </w:r>
      <w:r>
        <w:rPr>
          <w:spacing w:val="40"/>
        </w:rPr>
        <w:t> </w:t>
      </w:r>
      <w:r>
        <w:rPr/>
        <w:t>the</w:t>
      </w:r>
      <w:r>
        <w:rPr>
          <w:spacing w:val="40"/>
        </w:rPr>
        <w:t> </w:t>
      </w:r>
      <w:r>
        <w:rPr/>
        <w:t>impossibility of</w:t>
      </w:r>
      <w:r>
        <w:rPr>
          <w:spacing w:val="39"/>
        </w:rPr>
        <w:t> </w:t>
      </w:r>
      <w:r>
        <w:rPr/>
        <w:t>the</w:t>
      </w:r>
      <w:r>
        <w:rPr>
          <w:spacing w:val="40"/>
        </w:rPr>
        <w:t> </w:t>
      </w:r>
      <w:r>
        <w:rPr/>
        <w:t>fully sovereign</w:t>
      </w:r>
      <w:r>
        <w:rPr>
          <w:spacing w:val="40"/>
        </w:rPr>
        <w:t> </w:t>
      </w:r>
      <w:r>
        <w:rPr/>
        <w:t>individual.</w:t>
      </w:r>
    </w:p>
    <w:p>
      <w:pPr>
        <w:pStyle w:val="BodyText"/>
        <w:spacing w:line="266" w:lineRule="auto" w:before="66"/>
        <w:ind w:right="1440" w:firstLine="432"/>
        <w:jc w:val="both"/>
      </w:pPr>
      <w:r>
        <w:rPr/>
        <w:t>Applied</w:t>
      </w:r>
      <w:r>
        <w:rPr>
          <w:spacing w:val="-13"/>
        </w:rPr>
        <w:t> </w:t>
      </w:r>
      <w:r>
        <w:rPr/>
        <w:t>to</w:t>
      </w:r>
      <w:r>
        <w:rPr>
          <w:spacing w:val="-12"/>
        </w:rPr>
        <w:t> </w:t>
      </w:r>
      <w:r>
        <w:rPr/>
        <w:t>Shakespeare’s</w:t>
      </w:r>
      <w:r>
        <w:rPr>
          <w:spacing w:val="-13"/>
        </w:rPr>
        <w:t> </w:t>
      </w:r>
      <w:r>
        <w:rPr/>
        <w:t>women,</w:t>
      </w:r>
      <w:r>
        <w:rPr>
          <w:spacing w:val="-12"/>
        </w:rPr>
        <w:t> </w:t>
      </w:r>
      <w:r>
        <w:rPr/>
        <w:t>this</w:t>
      </w:r>
      <w:r>
        <w:rPr>
          <w:spacing w:val="-13"/>
        </w:rPr>
        <w:t> </w:t>
      </w:r>
      <w:r>
        <w:rPr/>
        <w:t>framework</w:t>
      </w:r>
      <w:r>
        <w:rPr>
          <w:spacing w:val="-12"/>
        </w:rPr>
        <w:t> </w:t>
      </w:r>
      <w:r>
        <w:rPr/>
        <w:t>does</w:t>
      </w:r>
      <w:r>
        <w:rPr>
          <w:spacing w:val="-13"/>
        </w:rPr>
        <w:t> </w:t>
      </w:r>
      <w:r>
        <w:rPr/>
        <w:t>not</w:t>
      </w:r>
      <w:r>
        <w:rPr>
          <w:spacing w:val="-12"/>
        </w:rPr>
        <w:t> </w:t>
      </w:r>
      <w:r>
        <w:rPr/>
        <w:t>produce anachronism.</w:t>
      </w:r>
      <w:r>
        <w:rPr>
          <w:spacing w:val="-13"/>
        </w:rPr>
        <w:t> </w:t>
      </w:r>
      <w:r>
        <w:rPr/>
        <w:t>Rather,</w:t>
      </w:r>
      <w:r>
        <w:rPr>
          <w:spacing w:val="-12"/>
        </w:rPr>
        <w:t> </w:t>
      </w:r>
      <w:r>
        <w:rPr/>
        <w:t>it</w:t>
      </w:r>
      <w:r>
        <w:rPr>
          <w:spacing w:val="-13"/>
        </w:rPr>
        <w:t> </w:t>
      </w:r>
      <w:r>
        <w:rPr/>
        <w:t>recovers</w:t>
      </w:r>
      <w:r>
        <w:rPr>
          <w:spacing w:val="-12"/>
        </w:rPr>
        <w:t> </w:t>
      </w:r>
      <w:r>
        <w:rPr/>
        <w:t>dimensions</w:t>
      </w:r>
      <w:r>
        <w:rPr>
          <w:spacing w:val="-13"/>
        </w:rPr>
        <w:t> </w:t>
      </w:r>
      <w:r>
        <w:rPr/>
        <w:t>of</w:t>
      </w:r>
      <w:r>
        <w:rPr>
          <w:spacing w:val="-12"/>
        </w:rPr>
        <w:t> </w:t>
      </w:r>
      <w:r>
        <w:rPr/>
        <w:t>the</w:t>
      </w:r>
      <w:r>
        <w:rPr>
          <w:spacing w:val="-13"/>
        </w:rPr>
        <w:t> </w:t>
      </w:r>
      <w:r>
        <w:rPr/>
        <w:t>text</w:t>
      </w:r>
      <w:r>
        <w:rPr>
          <w:spacing w:val="-12"/>
        </w:rPr>
        <w:t> </w:t>
      </w:r>
      <w:r>
        <w:rPr/>
        <w:t>that</w:t>
      </w:r>
      <w:r>
        <w:rPr>
          <w:spacing w:val="-13"/>
        </w:rPr>
        <w:t> </w:t>
      </w:r>
      <w:r>
        <w:rPr/>
        <w:t>the</w:t>
      </w:r>
      <w:r>
        <w:rPr>
          <w:spacing w:val="-12"/>
        </w:rPr>
        <w:t> </w:t>
      </w:r>
      <w:r>
        <w:rPr/>
        <w:t>dominant critical tradition — shaped by many of the same assumptions that Neimanis’s hydrofeminism contests — has tended to compress. The humoral</w:t>
      </w:r>
      <w:r>
        <w:rPr>
          <w:spacing w:val="-13"/>
        </w:rPr>
        <w:t> </w:t>
      </w:r>
      <w:r>
        <w:rPr/>
        <w:t>tradition’s</w:t>
      </w:r>
      <w:r>
        <w:rPr>
          <w:spacing w:val="-12"/>
        </w:rPr>
        <w:t> </w:t>
      </w:r>
      <w:r>
        <w:rPr/>
        <w:t>association</w:t>
      </w:r>
      <w:r>
        <w:rPr>
          <w:spacing w:val="-13"/>
        </w:rPr>
        <w:t> </w:t>
      </w:r>
      <w:r>
        <w:rPr/>
        <w:t>of</w:t>
      </w:r>
      <w:r>
        <w:rPr>
          <w:spacing w:val="-12"/>
        </w:rPr>
        <w:t> </w:t>
      </w:r>
      <w:r>
        <w:rPr/>
        <w:t>femininity</w:t>
      </w:r>
      <w:r>
        <w:rPr>
          <w:spacing w:val="-13"/>
        </w:rPr>
        <w:t> </w:t>
      </w:r>
      <w:r>
        <w:rPr/>
        <w:t>with</w:t>
      </w:r>
      <w:r>
        <w:rPr>
          <w:spacing w:val="-12"/>
        </w:rPr>
        <w:t> </w:t>
      </w:r>
      <w:r>
        <w:rPr/>
        <w:t>moisture,</w:t>
      </w:r>
      <w:r>
        <w:rPr>
          <w:spacing w:val="-13"/>
        </w:rPr>
        <w:t> </w:t>
      </w:r>
      <w:r>
        <w:rPr/>
        <w:t>read</w:t>
      </w:r>
      <w:r>
        <w:rPr>
          <w:spacing w:val="-12"/>
        </w:rPr>
        <w:t> </w:t>
      </w:r>
      <w:r>
        <w:rPr/>
        <w:t>through </w:t>
      </w:r>
      <w:r>
        <w:rPr>
          <w:spacing w:val="-2"/>
        </w:rPr>
        <w:t>Neimanis’s optic, reveals</w:t>
      </w:r>
      <w:r>
        <w:rPr>
          <w:spacing w:val="-4"/>
        </w:rPr>
        <w:t> </w:t>
      </w:r>
      <w:r>
        <w:rPr>
          <w:spacing w:val="-2"/>
        </w:rPr>
        <w:t>a genuine truth</w:t>
      </w:r>
      <w:r>
        <w:rPr>
          <w:spacing w:val="-4"/>
        </w:rPr>
        <w:t> </w:t>
      </w:r>
      <w:r>
        <w:rPr>
          <w:spacing w:val="-2"/>
        </w:rPr>
        <w:t>about</w:t>
      </w:r>
      <w:r>
        <w:rPr>
          <w:spacing w:val="-4"/>
        </w:rPr>
        <w:t> </w:t>
      </w:r>
      <w:r>
        <w:rPr>
          <w:spacing w:val="-2"/>
        </w:rPr>
        <w:t>the relational constitution of</w:t>
      </w:r>
      <w:r>
        <w:rPr>
          <w:spacing w:val="-9"/>
        </w:rPr>
        <w:t> </w:t>
      </w:r>
      <w:r>
        <w:rPr>
          <w:spacing w:val="-2"/>
        </w:rPr>
        <w:t>embodied</w:t>
      </w:r>
      <w:r>
        <w:rPr>
          <w:spacing w:val="-8"/>
        </w:rPr>
        <w:t> </w:t>
      </w:r>
      <w:r>
        <w:rPr>
          <w:spacing w:val="-2"/>
        </w:rPr>
        <w:t>life,</w:t>
      </w:r>
      <w:r>
        <w:rPr>
          <w:spacing w:val="-6"/>
        </w:rPr>
        <w:t> </w:t>
      </w:r>
      <w:r>
        <w:rPr>
          <w:spacing w:val="-2"/>
        </w:rPr>
        <w:t>however</w:t>
      </w:r>
      <w:r>
        <w:rPr>
          <w:spacing w:val="-6"/>
        </w:rPr>
        <w:t> </w:t>
      </w:r>
      <w:r>
        <w:rPr>
          <w:spacing w:val="-2"/>
        </w:rPr>
        <w:t>distorted</w:t>
      </w:r>
      <w:r>
        <w:rPr>
          <w:spacing w:val="-6"/>
        </w:rPr>
        <w:t> </w:t>
      </w:r>
      <w:r>
        <w:rPr>
          <w:spacing w:val="-2"/>
        </w:rPr>
        <w:t>its</w:t>
      </w:r>
      <w:r>
        <w:rPr>
          <w:spacing w:val="-11"/>
        </w:rPr>
        <w:t> </w:t>
      </w:r>
      <w:r>
        <w:rPr>
          <w:spacing w:val="-2"/>
        </w:rPr>
        <w:t>cultural</w:t>
      </w:r>
      <w:r>
        <w:rPr>
          <w:spacing w:val="-7"/>
        </w:rPr>
        <w:t> </w:t>
      </w:r>
      <w:r>
        <w:rPr>
          <w:spacing w:val="-2"/>
        </w:rPr>
        <w:t>expression.</w:t>
      </w:r>
      <w:r>
        <w:rPr>
          <w:spacing w:val="-8"/>
        </w:rPr>
        <w:t> </w:t>
      </w:r>
      <w:r>
        <w:rPr>
          <w:spacing w:val="-2"/>
        </w:rPr>
        <w:t>Shakespeare’s</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26080">
                <wp:simplePos x="0" y="0"/>
                <wp:positionH relativeFrom="page">
                  <wp:posOffset>2057400</wp:posOffset>
                </wp:positionH>
                <wp:positionV relativeFrom="paragraph">
                  <wp:posOffset>162604</wp:posOffset>
                </wp:positionV>
                <wp:extent cx="3657600" cy="12700"/>
                <wp:effectExtent l="0" t="0" r="0" b="0"/>
                <wp:wrapTopAndBottom/>
                <wp:docPr id="414" name="Graphic 414"/>
                <wp:cNvGraphicFramePr>
                  <a:graphicFrameLocks/>
                </wp:cNvGraphicFramePr>
                <a:graphic>
                  <a:graphicData uri="http://schemas.microsoft.com/office/word/2010/wordprocessingShape">
                    <wps:wsp>
                      <wps:cNvPr id="414" name="Graphic 41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90400;mso-wrap-distance-left:0;mso-wrap-distance-right:0" id="docshape409" filled="true" fillcolor="#000000" stroked="false">
                <v:fill type="solid"/>
                <w10:wrap type="topAndBottom"/>
              </v:rect>
            </w:pict>
          </mc:Fallback>
        </mc:AlternateContent>
      </w:r>
      <w:r>
        <w:rPr>
          <w:rFonts w:ascii="Verdana"/>
          <w:spacing w:val="-5"/>
          <w:sz w:val="18"/>
        </w:rPr>
        <w:t>170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6" w:lineRule="auto" w:before="202"/>
        <w:ind w:right="1440"/>
        <w:jc w:val="both"/>
      </w:pPr>
      <w:r>
        <w:rPr/>
        <w:t>women</w:t>
      </w:r>
      <w:r>
        <w:rPr>
          <w:spacing w:val="-13"/>
        </w:rPr>
        <w:t> </w:t>
      </w:r>
      <w:r>
        <w:rPr/>
        <w:t>are</w:t>
      </w:r>
      <w:r>
        <w:rPr>
          <w:spacing w:val="-11"/>
        </w:rPr>
        <w:t> </w:t>
      </w:r>
      <w:r>
        <w:rPr/>
        <w:t>nodes</w:t>
      </w:r>
      <w:r>
        <w:rPr>
          <w:spacing w:val="-10"/>
        </w:rPr>
        <w:t> </w:t>
      </w:r>
      <w:r>
        <w:rPr/>
        <w:t>in</w:t>
      </w:r>
      <w:r>
        <w:rPr>
          <w:spacing w:val="-13"/>
        </w:rPr>
        <w:t> </w:t>
      </w:r>
      <w:r>
        <w:rPr/>
        <w:t>a</w:t>
      </w:r>
      <w:r>
        <w:rPr>
          <w:spacing w:val="-10"/>
        </w:rPr>
        <w:t> </w:t>
      </w:r>
      <w:r>
        <w:rPr/>
        <w:t>larger</w:t>
      </w:r>
      <w:r>
        <w:rPr>
          <w:spacing w:val="-10"/>
        </w:rPr>
        <w:t> </w:t>
      </w:r>
      <w:r>
        <w:rPr/>
        <w:t>circulation</w:t>
      </w:r>
      <w:r>
        <w:rPr>
          <w:spacing w:val="-12"/>
        </w:rPr>
        <w:t> </w:t>
      </w:r>
      <w:r>
        <w:rPr/>
        <w:t>of</w:t>
      </w:r>
      <w:r>
        <w:rPr>
          <w:spacing w:val="-13"/>
        </w:rPr>
        <w:t> </w:t>
      </w:r>
      <w:r>
        <w:rPr/>
        <w:t>affect,</w:t>
      </w:r>
      <w:r>
        <w:rPr>
          <w:spacing w:val="-8"/>
        </w:rPr>
        <w:t> </w:t>
      </w:r>
      <w:r>
        <w:rPr/>
        <w:t>memory,</w:t>
      </w:r>
      <w:r>
        <w:rPr>
          <w:spacing w:val="-10"/>
        </w:rPr>
        <w:t> </w:t>
      </w:r>
      <w:r>
        <w:rPr/>
        <w:t>and</w:t>
      </w:r>
      <w:r>
        <w:rPr>
          <w:spacing w:val="-10"/>
        </w:rPr>
        <w:t> </w:t>
      </w:r>
      <w:r>
        <w:rPr/>
        <w:t>meaning; </w:t>
      </w:r>
      <w:r>
        <w:rPr>
          <w:spacing w:val="-4"/>
        </w:rPr>
        <w:t>their</w:t>
      </w:r>
      <w:r>
        <w:rPr>
          <w:spacing w:val="-6"/>
        </w:rPr>
        <w:t> </w:t>
      </w:r>
      <w:r>
        <w:rPr>
          <w:spacing w:val="-4"/>
        </w:rPr>
        <w:t>fluid</w:t>
      </w:r>
      <w:r>
        <w:rPr>
          <w:spacing w:val="-5"/>
        </w:rPr>
        <w:t> </w:t>
      </w:r>
      <w:r>
        <w:rPr>
          <w:spacing w:val="-4"/>
        </w:rPr>
        <w:t>economies</w:t>
      </w:r>
      <w:r>
        <w:rPr>
          <w:spacing w:val="-5"/>
        </w:rPr>
        <w:t> </w:t>
      </w:r>
      <w:r>
        <w:rPr>
          <w:spacing w:val="-4"/>
        </w:rPr>
        <w:t>carry</w:t>
      </w:r>
      <w:r>
        <w:rPr>
          <w:spacing w:val="-9"/>
        </w:rPr>
        <w:t> </w:t>
      </w:r>
      <w:r>
        <w:rPr>
          <w:spacing w:val="-4"/>
        </w:rPr>
        <w:t>what</w:t>
      </w:r>
      <w:r>
        <w:rPr>
          <w:spacing w:val="-6"/>
        </w:rPr>
        <w:t> </w:t>
      </w:r>
      <w:r>
        <w:rPr>
          <w:spacing w:val="-4"/>
        </w:rPr>
        <w:t>the</w:t>
      </w:r>
      <w:r>
        <w:rPr>
          <w:spacing w:val="-5"/>
        </w:rPr>
        <w:t> </w:t>
      </w:r>
      <w:r>
        <w:rPr>
          <w:spacing w:val="-4"/>
        </w:rPr>
        <w:t>dominant</w:t>
      </w:r>
      <w:r>
        <w:rPr>
          <w:spacing w:val="-5"/>
        </w:rPr>
        <w:t> </w:t>
      </w:r>
      <w:r>
        <w:rPr>
          <w:spacing w:val="-4"/>
        </w:rPr>
        <w:t>epistemological</w:t>
      </w:r>
      <w:r>
        <w:rPr>
          <w:spacing w:val="-6"/>
        </w:rPr>
        <w:t> </w:t>
      </w:r>
      <w:r>
        <w:rPr>
          <w:spacing w:val="-4"/>
        </w:rPr>
        <w:t>frameworks </w:t>
      </w:r>
      <w:r>
        <w:rPr/>
        <w:t>of their world cannot accommodate.</w:t>
      </w:r>
    </w:p>
    <w:p>
      <w:pPr>
        <w:pStyle w:val="BodyText"/>
        <w:spacing w:line="249" w:lineRule="auto" w:before="50"/>
        <w:ind w:right="1439" w:firstLine="432"/>
        <w:jc w:val="both"/>
      </w:pPr>
      <w:r>
        <w:rPr/>
        <w:t>Particularly</w:t>
      </w:r>
      <w:r>
        <w:rPr>
          <w:spacing w:val="-1"/>
        </w:rPr>
        <w:t> </w:t>
      </w:r>
      <w:r>
        <w:rPr/>
        <w:t>generative for this study</w:t>
      </w:r>
      <w:r>
        <w:rPr>
          <w:spacing w:val="-1"/>
        </w:rPr>
        <w:t> </w:t>
      </w:r>
      <w:r>
        <w:rPr/>
        <w:t>is Neimanis’s theorisation of water as archival. Water dissolves, but it also carries, deposits, and transmits. Groundwater moves through geological strata, acquiring and releasing</w:t>
      </w:r>
      <w:r>
        <w:rPr>
          <w:spacing w:val="-12"/>
        </w:rPr>
        <w:t> </w:t>
      </w:r>
      <w:r>
        <w:rPr/>
        <w:t>mineral</w:t>
      </w:r>
      <w:r>
        <w:rPr>
          <w:spacing w:val="-8"/>
        </w:rPr>
        <w:t> </w:t>
      </w:r>
      <w:r>
        <w:rPr/>
        <w:t>memory;</w:t>
      </w:r>
      <w:r>
        <w:rPr>
          <w:spacing w:val="-10"/>
        </w:rPr>
        <w:t> </w:t>
      </w:r>
      <w:r>
        <w:rPr/>
        <w:t>tidal</w:t>
      </w:r>
      <w:r>
        <w:rPr>
          <w:spacing w:val="-7"/>
        </w:rPr>
        <w:t> </w:t>
      </w:r>
      <w:r>
        <w:rPr/>
        <w:t>water</w:t>
      </w:r>
      <w:r>
        <w:rPr>
          <w:spacing w:val="-10"/>
        </w:rPr>
        <w:t> </w:t>
      </w:r>
      <w:r>
        <w:rPr/>
        <w:t>holds</w:t>
      </w:r>
      <w:r>
        <w:rPr>
          <w:spacing w:val="-8"/>
        </w:rPr>
        <w:t> </w:t>
      </w:r>
      <w:r>
        <w:rPr/>
        <w:t>the</w:t>
      </w:r>
      <w:r>
        <w:rPr>
          <w:spacing w:val="-9"/>
        </w:rPr>
        <w:t> </w:t>
      </w:r>
      <w:r>
        <w:rPr/>
        <w:t>traces</w:t>
      </w:r>
      <w:r>
        <w:rPr>
          <w:spacing w:val="-8"/>
        </w:rPr>
        <w:t> </w:t>
      </w:r>
      <w:r>
        <w:rPr/>
        <w:t>of</w:t>
      </w:r>
      <w:r>
        <w:rPr>
          <w:spacing w:val="-10"/>
        </w:rPr>
        <w:t> </w:t>
      </w:r>
      <w:r>
        <w:rPr/>
        <w:t>everybody</w:t>
      </w:r>
      <w:r>
        <w:rPr>
          <w:spacing w:val="-10"/>
        </w:rPr>
        <w:t> </w:t>
      </w:r>
      <w:r>
        <w:rPr/>
        <w:t>that has passed through it. Translated to the Shakespearean stage, this archival</w:t>
      </w:r>
      <w:r>
        <w:rPr>
          <w:spacing w:val="-3"/>
        </w:rPr>
        <w:t> </w:t>
      </w:r>
      <w:r>
        <w:rPr/>
        <w:t>logic reframes</w:t>
      </w:r>
      <w:r>
        <w:rPr>
          <w:spacing w:val="-1"/>
        </w:rPr>
        <w:t> </w:t>
      </w:r>
      <w:r>
        <w:rPr/>
        <w:t>the</w:t>
      </w:r>
      <w:r>
        <w:rPr>
          <w:spacing w:val="-3"/>
        </w:rPr>
        <w:t> </w:t>
      </w:r>
      <w:r>
        <w:rPr/>
        <w:t>fluid</w:t>
      </w:r>
      <w:r>
        <w:rPr>
          <w:spacing w:val="-1"/>
        </w:rPr>
        <w:t> </w:t>
      </w:r>
      <w:r>
        <w:rPr/>
        <w:t>economies</w:t>
      </w:r>
      <w:r>
        <w:rPr>
          <w:spacing w:val="-3"/>
        </w:rPr>
        <w:t> </w:t>
      </w:r>
      <w:r>
        <w:rPr/>
        <w:t>of</w:t>
      </w:r>
      <w:r>
        <w:rPr>
          <w:spacing w:val="-3"/>
        </w:rPr>
        <w:t> </w:t>
      </w:r>
      <w:r>
        <w:rPr/>
        <w:t>the</w:t>
      </w:r>
      <w:r>
        <w:rPr>
          <w:spacing w:val="-3"/>
        </w:rPr>
        <w:t> </w:t>
      </w:r>
      <w:r>
        <w:rPr/>
        <w:t>female body</w:t>
      </w:r>
      <w:r>
        <w:rPr>
          <w:spacing w:val="-5"/>
        </w:rPr>
        <w:t> </w:t>
      </w:r>
      <w:r>
        <w:rPr/>
        <w:t>—</w:t>
      </w:r>
      <w:r>
        <w:rPr>
          <w:spacing w:val="-1"/>
        </w:rPr>
        <w:t> </w:t>
      </w:r>
      <w:r>
        <w:rPr/>
        <w:t>Lady Macbeth’s indelible blood, Ophelia’s absorption into the brook, the suspended vitality of Hermione — as forms of preservation rather than mere dissolution. The body’s fluids do not simply carry experience away; they archive what the dominant structures of meaning-making refuse</w:t>
      </w:r>
      <w:r>
        <w:rPr>
          <w:spacing w:val="40"/>
        </w:rPr>
        <w:t> </w:t>
      </w:r>
      <w:r>
        <w:rPr/>
        <w:t>to</w:t>
      </w:r>
      <w:r>
        <w:rPr>
          <w:spacing w:val="40"/>
        </w:rPr>
        <w:t> </w:t>
      </w:r>
      <w:r>
        <w:rPr/>
        <w:t>hold.</w:t>
      </w:r>
    </w:p>
    <w:p>
      <w:pPr>
        <w:pStyle w:val="Heading5"/>
        <w:numPr>
          <w:ilvl w:val="1"/>
          <w:numId w:val="33"/>
        </w:numPr>
        <w:tabs>
          <w:tab w:pos="1905" w:val="left" w:leader="none"/>
        </w:tabs>
        <w:spacing w:line="244" w:lineRule="auto" w:before="116" w:after="0"/>
        <w:ind w:left="1440" w:right="1439" w:firstLine="0"/>
        <w:jc w:val="left"/>
      </w:pPr>
      <w:r>
        <w:rPr/>
        <w:t>Epistemic</w:t>
      </w:r>
      <w:r>
        <w:rPr>
          <w:spacing w:val="40"/>
        </w:rPr>
        <w:t>  </w:t>
      </w:r>
      <w:r>
        <w:rPr/>
        <w:t>Injustice</w:t>
      </w:r>
      <w:r>
        <w:rPr>
          <w:spacing w:val="40"/>
        </w:rPr>
        <w:t>  </w:t>
      </w:r>
      <w:r>
        <w:rPr/>
        <w:t>and</w:t>
      </w:r>
      <w:r>
        <w:rPr>
          <w:spacing w:val="40"/>
        </w:rPr>
        <w:t>  </w:t>
      </w:r>
      <w:r>
        <w:rPr/>
        <w:t>the</w:t>
      </w:r>
      <w:r>
        <w:rPr>
          <w:spacing w:val="40"/>
        </w:rPr>
        <w:t>  </w:t>
      </w:r>
      <w:r>
        <w:rPr/>
        <w:t>Theory</w:t>
      </w:r>
      <w:r>
        <w:rPr>
          <w:spacing w:val="40"/>
        </w:rPr>
        <w:t>  </w:t>
      </w:r>
      <w:r>
        <w:rPr/>
        <w:t>of</w:t>
      </w:r>
      <w:r>
        <w:rPr>
          <w:spacing w:val="40"/>
        </w:rPr>
        <w:t>  </w:t>
      </w:r>
      <w:r>
        <w:rPr/>
        <w:t>Liquid </w:t>
      </w:r>
      <w:r>
        <w:rPr>
          <w:spacing w:val="-2"/>
        </w:rPr>
        <w:t>Epistemics</w:t>
      </w:r>
    </w:p>
    <w:p>
      <w:pPr>
        <w:pStyle w:val="BodyText"/>
        <w:spacing w:before="58"/>
        <w:ind w:right="1438" w:firstLine="432"/>
        <w:jc w:val="both"/>
      </w:pPr>
      <w:r>
        <w:rPr/>
        <w:t>Miranda Fricker’s </w:t>
      </w:r>
      <w:r>
        <w:rPr>
          <w:i/>
        </w:rPr>
        <w:t>Epistemic Injustice </w:t>
      </w:r>
      <w:r>
        <w:rPr/>
        <w:t>(2007) furnishes a third conceptual strand. Fricker distinguishes testimonial injustice — the deflation of a speaker’s credibility owing to identity prejudice — from </w:t>
      </w:r>
      <w:r>
        <w:rPr>
          <w:spacing w:val="-2"/>
        </w:rPr>
        <w:t>hermeneutical</w:t>
      </w:r>
      <w:r>
        <w:rPr>
          <w:spacing w:val="-9"/>
        </w:rPr>
        <w:t> </w:t>
      </w:r>
      <w:r>
        <w:rPr>
          <w:spacing w:val="-2"/>
        </w:rPr>
        <w:t>injustice,</w:t>
      </w:r>
      <w:r>
        <w:rPr>
          <w:spacing w:val="-11"/>
        </w:rPr>
        <w:t> </w:t>
      </w:r>
      <w:r>
        <w:rPr>
          <w:spacing w:val="-2"/>
        </w:rPr>
        <w:t>which</w:t>
      </w:r>
      <w:r>
        <w:rPr>
          <w:spacing w:val="-9"/>
        </w:rPr>
        <w:t> </w:t>
      </w:r>
      <w:r>
        <w:rPr>
          <w:spacing w:val="-2"/>
        </w:rPr>
        <w:t>occurs</w:t>
      </w:r>
      <w:r>
        <w:rPr>
          <w:spacing w:val="-9"/>
        </w:rPr>
        <w:t> </w:t>
      </w:r>
      <w:r>
        <w:rPr>
          <w:spacing w:val="-2"/>
        </w:rPr>
        <w:t>when</w:t>
      </w:r>
      <w:r>
        <w:rPr>
          <w:spacing w:val="-9"/>
        </w:rPr>
        <w:t> </w:t>
      </w:r>
      <w:r>
        <w:rPr>
          <w:spacing w:val="-2"/>
        </w:rPr>
        <w:t>gaps</w:t>
      </w:r>
      <w:r>
        <w:rPr>
          <w:spacing w:val="-11"/>
        </w:rPr>
        <w:t> </w:t>
      </w:r>
      <w:r>
        <w:rPr>
          <w:spacing w:val="-2"/>
        </w:rPr>
        <w:t>in</w:t>
      </w:r>
      <w:r>
        <w:rPr>
          <w:spacing w:val="-9"/>
        </w:rPr>
        <w:t> </w:t>
      </w:r>
      <w:r>
        <w:rPr>
          <w:spacing w:val="-2"/>
        </w:rPr>
        <w:t>collective</w:t>
      </w:r>
      <w:r>
        <w:rPr>
          <w:spacing w:val="-9"/>
        </w:rPr>
        <w:t> </w:t>
      </w:r>
      <w:r>
        <w:rPr>
          <w:spacing w:val="-2"/>
        </w:rPr>
        <w:t>interpretive </w:t>
      </w:r>
      <w:r>
        <w:rPr/>
        <w:t>resources prevent an experience from being made intelligible. Both forms are operative in Shakespeare’s treatment of</w:t>
      </w:r>
      <w:r>
        <w:rPr>
          <w:spacing w:val="-1"/>
        </w:rPr>
        <w:t> </w:t>
      </w:r>
      <w:r>
        <w:rPr/>
        <w:t>his women, and both follow from the humoral logic traced above: women’s testimony is discounted because constitutional moisture renders them unreliable,</w:t>
      </w:r>
      <w:r>
        <w:rPr>
          <w:spacing w:val="40"/>
        </w:rPr>
        <w:t> </w:t>
      </w:r>
      <w:r>
        <w:rPr/>
        <w:t>and the</w:t>
      </w:r>
      <w:r>
        <w:rPr>
          <w:spacing w:val="-1"/>
        </w:rPr>
        <w:t> </w:t>
      </w:r>
      <w:r>
        <w:rPr/>
        <w:t>somatic knowledge inscribed in</w:t>
      </w:r>
      <w:r>
        <w:rPr>
          <w:spacing w:val="-3"/>
        </w:rPr>
        <w:t> </w:t>
      </w:r>
      <w:r>
        <w:rPr/>
        <w:t>their</w:t>
      </w:r>
      <w:r>
        <w:rPr>
          <w:spacing w:val="-1"/>
        </w:rPr>
        <w:t> </w:t>
      </w:r>
      <w:r>
        <w:rPr/>
        <w:t>bodies</w:t>
      </w:r>
      <w:r>
        <w:rPr>
          <w:spacing w:val="-3"/>
        </w:rPr>
        <w:t> </w:t>
      </w:r>
      <w:r>
        <w:rPr/>
        <w:t>—</w:t>
      </w:r>
      <w:r>
        <w:rPr>
          <w:spacing w:val="-1"/>
        </w:rPr>
        <w:t> </w:t>
      </w:r>
      <w:r>
        <w:rPr/>
        <w:t>in</w:t>
      </w:r>
      <w:r>
        <w:rPr>
          <w:spacing w:val="-3"/>
        </w:rPr>
        <w:t> </w:t>
      </w:r>
      <w:r>
        <w:rPr/>
        <w:t>blood,</w:t>
      </w:r>
      <w:r>
        <w:rPr>
          <w:spacing w:val="-1"/>
        </w:rPr>
        <w:t> </w:t>
      </w:r>
      <w:r>
        <w:rPr/>
        <w:t>affect, </w:t>
      </w:r>
      <w:r>
        <w:rPr>
          <w:spacing w:val="-2"/>
        </w:rPr>
        <w:t>and</w:t>
      </w:r>
      <w:r>
        <w:rPr>
          <w:spacing w:val="-6"/>
        </w:rPr>
        <w:t> </w:t>
      </w:r>
      <w:r>
        <w:rPr>
          <w:spacing w:val="-2"/>
        </w:rPr>
        <w:t>the</w:t>
      </w:r>
      <w:r>
        <w:rPr>
          <w:spacing w:val="-8"/>
        </w:rPr>
        <w:t> </w:t>
      </w:r>
      <w:r>
        <w:rPr>
          <w:spacing w:val="-2"/>
        </w:rPr>
        <w:t>archival</w:t>
      </w:r>
      <w:r>
        <w:rPr>
          <w:spacing w:val="-8"/>
        </w:rPr>
        <w:t> </w:t>
      </w:r>
      <w:r>
        <w:rPr>
          <w:spacing w:val="-2"/>
        </w:rPr>
        <w:t>work</w:t>
      </w:r>
      <w:r>
        <w:rPr>
          <w:spacing w:val="-11"/>
        </w:rPr>
        <w:t> </w:t>
      </w:r>
      <w:r>
        <w:rPr>
          <w:spacing w:val="-2"/>
        </w:rPr>
        <w:t>of</w:t>
      </w:r>
      <w:r>
        <w:rPr>
          <w:spacing w:val="-8"/>
        </w:rPr>
        <w:t> </w:t>
      </w:r>
      <w:r>
        <w:rPr>
          <w:spacing w:val="-2"/>
        </w:rPr>
        <w:t>fluid</w:t>
      </w:r>
      <w:r>
        <w:rPr>
          <w:spacing w:val="-4"/>
        </w:rPr>
        <w:t> </w:t>
      </w:r>
      <w:r>
        <w:rPr>
          <w:spacing w:val="-2"/>
        </w:rPr>
        <w:t>matter</w:t>
      </w:r>
      <w:r>
        <w:rPr>
          <w:spacing w:val="-6"/>
        </w:rPr>
        <w:t> </w:t>
      </w:r>
      <w:r>
        <w:rPr>
          <w:spacing w:val="-2"/>
        </w:rPr>
        <w:t>—</w:t>
      </w:r>
      <w:r>
        <w:rPr>
          <w:spacing w:val="-8"/>
        </w:rPr>
        <w:t> </w:t>
      </w:r>
      <w:r>
        <w:rPr>
          <w:spacing w:val="-2"/>
        </w:rPr>
        <w:t>lacks</w:t>
      </w:r>
      <w:r>
        <w:rPr>
          <w:spacing w:val="-8"/>
        </w:rPr>
        <w:t> </w:t>
      </w:r>
      <w:r>
        <w:rPr>
          <w:spacing w:val="-2"/>
        </w:rPr>
        <w:t>the</w:t>
      </w:r>
      <w:r>
        <w:rPr>
          <w:spacing w:val="-8"/>
        </w:rPr>
        <w:t> </w:t>
      </w:r>
      <w:r>
        <w:rPr>
          <w:spacing w:val="-2"/>
        </w:rPr>
        <w:t>interpretive</w:t>
      </w:r>
      <w:r>
        <w:rPr>
          <w:spacing w:val="-8"/>
        </w:rPr>
        <w:t> </w:t>
      </w:r>
      <w:r>
        <w:rPr>
          <w:spacing w:val="-2"/>
        </w:rPr>
        <w:t>frameworks </w:t>
      </w:r>
      <w:r>
        <w:rPr/>
        <w:t>necessary</w:t>
      </w:r>
      <w:r>
        <w:rPr>
          <w:spacing w:val="40"/>
        </w:rPr>
        <w:t> </w:t>
      </w:r>
      <w:r>
        <w:rPr/>
        <w:t>for</w:t>
      </w:r>
      <w:r>
        <w:rPr>
          <w:spacing w:val="40"/>
        </w:rPr>
        <w:t> </w:t>
      </w:r>
      <w:r>
        <w:rPr/>
        <w:t>reception</w:t>
      </w:r>
      <w:r>
        <w:rPr>
          <w:spacing w:val="40"/>
        </w:rPr>
        <w:t> </w:t>
      </w:r>
      <w:r>
        <w:rPr/>
        <w:t>as</w:t>
      </w:r>
      <w:r>
        <w:rPr>
          <w:spacing w:val="40"/>
        </w:rPr>
        <w:t> </w:t>
      </w:r>
      <w:r>
        <w:rPr/>
        <w:t>knowledge</w:t>
      </w:r>
      <w:r>
        <w:rPr>
          <w:spacing w:val="40"/>
        </w:rPr>
        <w:t> </w:t>
      </w:r>
      <w:r>
        <w:rPr/>
        <w:t>at</w:t>
      </w:r>
      <w:r>
        <w:rPr>
          <w:spacing w:val="40"/>
        </w:rPr>
        <w:t> </w:t>
      </w:r>
      <w:r>
        <w:rPr/>
        <w:t>all.</w:t>
      </w:r>
    </w:p>
    <w:p>
      <w:pPr>
        <w:pStyle w:val="BodyText"/>
        <w:spacing w:before="36"/>
        <w:ind w:right="1439" w:firstLine="432"/>
        <w:jc w:val="both"/>
      </w:pPr>
      <w:r>
        <w:rPr/>
        <w:t>Kristie Dotson’s theorisation of epistemic violence — the active failure</w:t>
      </w:r>
      <w:r>
        <w:rPr>
          <w:spacing w:val="-3"/>
        </w:rPr>
        <w:t> </w:t>
      </w:r>
      <w:r>
        <w:rPr/>
        <w:t>to supply</w:t>
      </w:r>
      <w:r>
        <w:rPr>
          <w:spacing w:val="-5"/>
        </w:rPr>
        <w:t> </w:t>
      </w:r>
      <w:r>
        <w:rPr/>
        <w:t>the</w:t>
      </w:r>
      <w:r>
        <w:rPr>
          <w:spacing w:val="-1"/>
        </w:rPr>
        <w:t> </w:t>
      </w:r>
      <w:r>
        <w:rPr/>
        <w:t>interpretive</w:t>
      </w:r>
      <w:r>
        <w:rPr>
          <w:spacing w:val="-3"/>
        </w:rPr>
        <w:t> </w:t>
      </w:r>
      <w:r>
        <w:rPr/>
        <w:t>tools</w:t>
      </w:r>
      <w:r>
        <w:rPr>
          <w:spacing w:val="-2"/>
        </w:rPr>
        <w:t> </w:t>
      </w:r>
      <w:r>
        <w:rPr/>
        <w:t>a</w:t>
      </w:r>
      <w:r>
        <w:rPr>
          <w:spacing w:val="-2"/>
        </w:rPr>
        <w:t> </w:t>
      </w:r>
      <w:r>
        <w:rPr/>
        <w:t>speaker’s</w:t>
      </w:r>
      <w:r>
        <w:rPr>
          <w:spacing w:val="-3"/>
        </w:rPr>
        <w:t> </w:t>
      </w:r>
      <w:r>
        <w:rPr/>
        <w:t>testimony</w:t>
      </w:r>
      <w:r>
        <w:rPr>
          <w:spacing w:val="-5"/>
        </w:rPr>
        <w:t> </w:t>
      </w:r>
      <w:r>
        <w:rPr/>
        <w:t>requires</w:t>
      </w:r>
      <w:r>
        <w:rPr>
          <w:spacing w:val="-3"/>
        </w:rPr>
        <w:t> </w:t>
      </w:r>
      <w:r>
        <w:rPr/>
        <w:t>— </w:t>
      </w:r>
      <w:r>
        <w:rPr>
          <w:spacing w:val="-2"/>
        </w:rPr>
        <w:t>extends</w:t>
      </w:r>
      <w:r>
        <w:rPr>
          <w:spacing w:val="-7"/>
        </w:rPr>
        <w:t> </w:t>
      </w:r>
      <w:r>
        <w:rPr>
          <w:spacing w:val="-2"/>
        </w:rPr>
        <w:t>Fricker’s</w:t>
      </w:r>
      <w:r>
        <w:rPr>
          <w:spacing w:val="-7"/>
        </w:rPr>
        <w:t> </w:t>
      </w:r>
      <w:r>
        <w:rPr>
          <w:spacing w:val="-2"/>
        </w:rPr>
        <w:t>account</w:t>
      </w:r>
      <w:r>
        <w:rPr>
          <w:spacing w:val="-6"/>
        </w:rPr>
        <w:t> </w:t>
      </w:r>
      <w:r>
        <w:rPr>
          <w:spacing w:val="-2"/>
        </w:rPr>
        <w:t>in</w:t>
      </w:r>
      <w:r>
        <w:rPr>
          <w:spacing w:val="-4"/>
        </w:rPr>
        <w:t> </w:t>
      </w:r>
      <w:r>
        <w:rPr>
          <w:spacing w:val="-2"/>
        </w:rPr>
        <w:t>productive</w:t>
      </w:r>
      <w:r>
        <w:rPr>
          <w:spacing w:val="-7"/>
        </w:rPr>
        <w:t> </w:t>
      </w:r>
      <w:r>
        <w:rPr>
          <w:spacing w:val="-2"/>
        </w:rPr>
        <w:t>directions.</w:t>
      </w:r>
      <w:r>
        <w:rPr>
          <w:spacing w:val="-4"/>
        </w:rPr>
        <w:t> </w:t>
      </w:r>
      <w:r>
        <w:rPr>
          <w:spacing w:val="-2"/>
        </w:rPr>
        <w:t>Shakespeare’s</w:t>
      </w:r>
      <w:r>
        <w:rPr>
          <w:spacing w:val="-7"/>
        </w:rPr>
        <w:t> </w:t>
      </w:r>
      <w:r>
        <w:rPr>
          <w:spacing w:val="-2"/>
        </w:rPr>
        <w:t>women </w:t>
      </w:r>
      <w:r>
        <w:rPr/>
        <w:t>operate within structures of meaning-making that are constituted, in part, to render their particular forms of knowing illegible. This is the condition that the present study names liquid epistemics: a mode of knowing</w:t>
      </w:r>
      <w:r>
        <w:rPr>
          <w:spacing w:val="-4"/>
        </w:rPr>
        <w:t> </w:t>
      </w:r>
      <w:r>
        <w:rPr/>
        <w:t>that</w:t>
      </w:r>
      <w:r>
        <w:rPr>
          <w:spacing w:val="-3"/>
        </w:rPr>
        <w:t> </w:t>
      </w:r>
      <w:r>
        <w:rPr/>
        <w:t>is</w:t>
      </w:r>
      <w:r>
        <w:rPr>
          <w:spacing w:val="-4"/>
        </w:rPr>
        <w:t> </w:t>
      </w:r>
      <w:r>
        <w:rPr/>
        <w:t>partial,</w:t>
      </w:r>
      <w:r>
        <w:rPr>
          <w:spacing w:val="-3"/>
        </w:rPr>
        <w:t> </w:t>
      </w:r>
      <w:r>
        <w:rPr/>
        <w:t>processual,</w:t>
      </w:r>
      <w:r>
        <w:rPr>
          <w:spacing w:val="-1"/>
        </w:rPr>
        <w:t> </w:t>
      </w:r>
      <w:r>
        <w:rPr/>
        <w:t>and</w:t>
      </w:r>
      <w:r>
        <w:rPr>
          <w:spacing w:val="-1"/>
        </w:rPr>
        <w:t> </w:t>
      </w:r>
      <w:r>
        <w:rPr/>
        <w:t>materially</w:t>
      </w:r>
      <w:r>
        <w:rPr>
          <w:spacing w:val="-6"/>
        </w:rPr>
        <w:t> </w:t>
      </w:r>
      <w:r>
        <w:rPr/>
        <w:t>grounded,</w:t>
      </w:r>
      <w:r>
        <w:rPr>
          <w:spacing w:val="-3"/>
        </w:rPr>
        <w:t> </w:t>
      </w:r>
      <w:r>
        <w:rPr/>
        <w:t>residing</w:t>
      </w:r>
      <w:r>
        <w:rPr>
          <w:spacing w:val="-3"/>
        </w:rPr>
        <w:t> </w:t>
      </w:r>
      <w:r>
        <w:rPr/>
        <w:t>in movement, sensation, and trace rather than in the stable propositions </w:t>
      </w:r>
      <w:r>
        <w:rPr>
          <w:spacing w:val="-2"/>
        </w:rPr>
        <w:t>that</w:t>
      </w:r>
      <w:r>
        <w:rPr>
          <w:spacing w:val="-10"/>
        </w:rPr>
        <w:t> </w:t>
      </w:r>
      <w:r>
        <w:rPr>
          <w:spacing w:val="-2"/>
        </w:rPr>
        <w:t>patriarchal</w:t>
      </w:r>
      <w:r>
        <w:rPr>
          <w:spacing w:val="-9"/>
        </w:rPr>
        <w:t> </w:t>
      </w:r>
      <w:r>
        <w:rPr>
          <w:spacing w:val="-2"/>
        </w:rPr>
        <w:t>epistemology</w:t>
      </w:r>
      <w:r>
        <w:rPr>
          <w:spacing w:val="-11"/>
        </w:rPr>
        <w:t> </w:t>
      </w:r>
      <w:r>
        <w:rPr>
          <w:spacing w:val="-2"/>
        </w:rPr>
        <w:t>has</w:t>
      </w:r>
      <w:r>
        <w:rPr>
          <w:spacing w:val="-7"/>
        </w:rPr>
        <w:t> </w:t>
      </w:r>
      <w:r>
        <w:rPr>
          <w:spacing w:val="-2"/>
        </w:rPr>
        <w:t>typically</w:t>
      </w:r>
      <w:r>
        <w:rPr>
          <w:spacing w:val="-11"/>
        </w:rPr>
        <w:t> </w:t>
      </w:r>
      <w:r>
        <w:rPr>
          <w:spacing w:val="-2"/>
        </w:rPr>
        <w:t>demanded</w:t>
      </w:r>
      <w:r>
        <w:rPr>
          <w:spacing w:val="-7"/>
        </w:rPr>
        <w:t> </w:t>
      </w:r>
      <w:r>
        <w:rPr>
          <w:spacing w:val="-2"/>
        </w:rPr>
        <w:t>of</w:t>
      </w:r>
      <w:r>
        <w:rPr>
          <w:spacing w:val="-8"/>
        </w:rPr>
        <w:t> </w:t>
      </w:r>
      <w:r>
        <w:rPr>
          <w:spacing w:val="-2"/>
        </w:rPr>
        <w:t>women’s</w:t>
      </w:r>
      <w:r>
        <w:rPr>
          <w:spacing w:val="-8"/>
        </w:rPr>
        <w:t> </w:t>
      </w:r>
      <w:r>
        <w:rPr>
          <w:spacing w:val="-2"/>
        </w:rPr>
        <w:t>speech. </w:t>
      </w:r>
      <w:r>
        <w:rPr/>
        <w:t>Liquid epistemics cannot be dried out into statement without losing what is essential to it — which is precisely why the epistemological order surrounding these women works so consistently to demand such </w:t>
      </w:r>
      <w:r>
        <w:rPr>
          <w:spacing w:val="-2"/>
        </w:rPr>
        <w:t>drying.</w:t>
      </w:r>
    </w:p>
    <w:p>
      <w:pPr>
        <w:pStyle w:val="BodyText"/>
        <w:spacing w:after="0"/>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26592">
                <wp:simplePos x="0" y="0"/>
                <wp:positionH relativeFrom="page">
                  <wp:posOffset>2065020</wp:posOffset>
                </wp:positionH>
                <wp:positionV relativeFrom="paragraph">
                  <wp:posOffset>162604</wp:posOffset>
                </wp:positionV>
                <wp:extent cx="3657600" cy="12700"/>
                <wp:effectExtent l="0" t="0" r="0" b="0"/>
                <wp:wrapTopAndBottom/>
                <wp:docPr id="415" name="Graphic 415"/>
                <wp:cNvGraphicFramePr>
                  <a:graphicFrameLocks/>
                </wp:cNvGraphicFramePr>
                <a:graphic>
                  <a:graphicData uri="http://schemas.microsoft.com/office/word/2010/wordprocessingShape">
                    <wps:wsp>
                      <wps:cNvPr id="415" name="Graphic 41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89888;mso-wrap-distance-left:0;mso-wrap-distance-right:0" id="docshape410" filled="true" fillcolor="#000000" stroked="false">
                <v:fill type="solid"/>
                <w10:wrap type="topAndBottom"/>
              </v:rect>
            </w:pict>
          </mc:Fallback>
        </mc:AlternateContent>
      </w:r>
      <w:r>
        <w:rPr>
          <w:rFonts w:ascii="Verdana" w:hAnsi="Verdana"/>
          <w:spacing w:val="-2"/>
          <w:sz w:val="18"/>
        </w:rPr>
        <w:t>Revisiting</w:t>
      </w:r>
      <w:r>
        <w:rPr>
          <w:rFonts w:ascii="Verdana" w:hAnsi="Verdana"/>
          <w:spacing w:val="-1"/>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Women: Traces</w:t>
      </w:r>
      <w:r>
        <w:rPr>
          <w:rFonts w:ascii="Verdana" w:hAnsi="Verdana"/>
          <w:sz w:val="18"/>
        </w:rPr>
        <w:t> </w:t>
      </w:r>
      <w:r>
        <w:rPr>
          <w:rFonts w:ascii="Verdana" w:hAnsi="Verdana"/>
          <w:spacing w:val="-2"/>
          <w:sz w:val="18"/>
        </w:rPr>
        <w:t>of</w:t>
      </w:r>
      <w:r>
        <w:rPr>
          <w:rFonts w:ascii="Verdana" w:hAnsi="Verdana"/>
          <w:spacing w:val="2"/>
          <w:sz w:val="18"/>
        </w:rPr>
        <w:t> </w:t>
      </w:r>
      <w:r>
        <w:rPr>
          <w:rFonts w:ascii="Verdana" w:hAnsi="Verdana"/>
          <w:spacing w:val="-2"/>
          <w:sz w:val="18"/>
        </w:rPr>
        <w:t>Fluidity</w:t>
      </w:r>
      <w:r>
        <w:rPr>
          <w:rFonts w:ascii="Verdana" w:hAnsi="Verdana"/>
          <w:sz w:val="18"/>
        </w:rPr>
        <w:t> </w:t>
      </w:r>
      <w:r>
        <w:rPr>
          <w:rFonts w:ascii="Verdana" w:hAnsi="Verdana"/>
          <w:spacing w:val="-5"/>
          <w:sz w:val="18"/>
        </w:rPr>
        <w:t>...</w:t>
      </w:r>
      <w:r>
        <w:rPr>
          <w:sz w:val="18"/>
        </w:rPr>
        <w:tab/>
      </w:r>
      <w:r>
        <w:rPr>
          <w:rFonts w:ascii="Verdana" w:hAnsi="Verdana"/>
          <w:spacing w:val="-5"/>
          <w:sz w:val="18"/>
        </w:rPr>
        <w:t>171</w:t>
      </w:r>
    </w:p>
    <w:p>
      <w:pPr>
        <w:pStyle w:val="Heading3"/>
        <w:numPr>
          <w:ilvl w:val="0"/>
          <w:numId w:val="33"/>
        </w:numPr>
        <w:tabs>
          <w:tab w:pos="1772" w:val="left" w:leader="none"/>
        </w:tabs>
        <w:spacing w:line="240" w:lineRule="auto" w:before="173" w:after="0"/>
        <w:ind w:left="1440" w:right="1439" w:firstLine="0"/>
        <w:jc w:val="left"/>
      </w:pPr>
      <w:r>
        <w:rPr/>
        <w:t>LADY</w:t>
      </w:r>
      <w:r>
        <w:rPr>
          <w:spacing w:val="21"/>
        </w:rPr>
        <w:t> </w:t>
      </w:r>
      <w:r>
        <w:rPr/>
        <w:t>MACBETH:</w:t>
      </w:r>
      <w:r>
        <w:rPr>
          <w:spacing w:val="21"/>
        </w:rPr>
        <w:t> </w:t>
      </w:r>
      <w:r>
        <w:rPr/>
        <w:t>MNEMONIC</w:t>
      </w:r>
      <w:r>
        <w:rPr>
          <w:spacing w:val="20"/>
        </w:rPr>
        <w:t> </w:t>
      </w:r>
      <w:r>
        <w:rPr/>
        <w:t>BLOOD</w:t>
      </w:r>
      <w:r>
        <w:rPr>
          <w:spacing w:val="22"/>
        </w:rPr>
        <w:t> </w:t>
      </w:r>
      <w:r>
        <w:rPr/>
        <w:t>AND</w:t>
      </w:r>
      <w:r>
        <w:rPr>
          <w:spacing w:val="22"/>
        </w:rPr>
        <w:t> </w:t>
      </w:r>
      <w:r>
        <w:rPr/>
        <w:t>THE SOMATIC ARCHIVE</w:t>
      </w:r>
    </w:p>
    <w:p>
      <w:pPr>
        <w:pStyle w:val="BodyText"/>
        <w:spacing w:line="249" w:lineRule="auto" w:before="74"/>
        <w:ind w:right="1438" w:firstLine="432"/>
        <w:jc w:val="both"/>
      </w:pPr>
      <w:r>
        <w:rPr>
          <w:spacing w:val="-2"/>
        </w:rPr>
        <w:t>Lady</w:t>
      </w:r>
      <w:r>
        <w:rPr>
          <w:spacing w:val="-11"/>
        </w:rPr>
        <w:t> </w:t>
      </w:r>
      <w:r>
        <w:rPr>
          <w:spacing w:val="-2"/>
        </w:rPr>
        <w:t>Macbeth’s</w:t>
      </w:r>
      <w:r>
        <w:rPr>
          <w:spacing w:val="-10"/>
        </w:rPr>
        <w:t> </w:t>
      </w:r>
      <w:r>
        <w:rPr>
          <w:spacing w:val="-2"/>
        </w:rPr>
        <w:t>relation</w:t>
      </w:r>
      <w:r>
        <w:rPr>
          <w:spacing w:val="-11"/>
        </w:rPr>
        <w:t> </w:t>
      </w:r>
      <w:r>
        <w:rPr>
          <w:spacing w:val="-2"/>
        </w:rPr>
        <w:t>to</w:t>
      </w:r>
      <w:r>
        <w:rPr>
          <w:spacing w:val="-6"/>
        </w:rPr>
        <w:t> </w:t>
      </w:r>
      <w:r>
        <w:rPr>
          <w:spacing w:val="-2"/>
        </w:rPr>
        <w:t>blood</w:t>
      </w:r>
      <w:r>
        <w:rPr>
          <w:spacing w:val="-4"/>
        </w:rPr>
        <w:t> </w:t>
      </w:r>
      <w:r>
        <w:rPr>
          <w:spacing w:val="-2"/>
        </w:rPr>
        <w:t>is</w:t>
      </w:r>
      <w:r>
        <w:rPr>
          <w:spacing w:val="-8"/>
        </w:rPr>
        <w:t> </w:t>
      </w:r>
      <w:r>
        <w:rPr>
          <w:spacing w:val="-2"/>
        </w:rPr>
        <w:t>among</w:t>
      </w:r>
      <w:r>
        <w:rPr>
          <w:spacing w:val="-8"/>
        </w:rPr>
        <w:t> </w:t>
      </w:r>
      <w:r>
        <w:rPr>
          <w:spacing w:val="-2"/>
        </w:rPr>
        <w:t>the</w:t>
      </w:r>
      <w:r>
        <w:rPr>
          <w:spacing w:val="-6"/>
        </w:rPr>
        <w:t> </w:t>
      </w:r>
      <w:r>
        <w:rPr>
          <w:spacing w:val="-2"/>
        </w:rPr>
        <w:t>most</w:t>
      </w:r>
      <w:r>
        <w:rPr>
          <w:spacing w:val="-7"/>
        </w:rPr>
        <w:t> </w:t>
      </w:r>
      <w:r>
        <w:rPr>
          <w:spacing w:val="-2"/>
        </w:rPr>
        <w:t>philosophically </w:t>
      </w:r>
      <w:r>
        <w:rPr/>
        <w:t>demanding in the Shakespearean canon. It is structured, from her first extended speech to her final appearance, as a confrontation between</w:t>
      </w:r>
      <w:r>
        <w:rPr>
          <w:spacing w:val="40"/>
        </w:rPr>
        <w:t> </w:t>
      </w:r>
      <w:r>
        <w:rPr/>
        <w:t>two</w:t>
      </w:r>
      <w:r>
        <w:rPr>
          <w:spacing w:val="-13"/>
        </w:rPr>
        <w:t> </w:t>
      </w:r>
      <w:r>
        <w:rPr/>
        <w:t>modes</w:t>
      </w:r>
      <w:r>
        <w:rPr>
          <w:spacing w:val="-12"/>
        </w:rPr>
        <w:t> </w:t>
      </w:r>
      <w:r>
        <w:rPr/>
        <w:t>of</w:t>
      </w:r>
      <w:r>
        <w:rPr>
          <w:spacing w:val="-12"/>
        </w:rPr>
        <w:t> </w:t>
      </w:r>
      <w:r>
        <w:rPr/>
        <w:t>knowing:</w:t>
      </w:r>
      <w:r>
        <w:rPr>
          <w:spacing w:val="-11"/>
        </w:rPr>
        <w:t> </w:t>
      </w:r>
      <w:r>
        <w:rPr/>
        <w:t>the</w:t>
      </w:r>
      <w:r>
        <w:rPr>
          <w:spacing w:val="-13"/>
        </w:rPr>
        <w:t> </w:t>
      </w:r>
      <w:r>
        <w:rPr/>
        <w:t>voluntary,</w:t>
      </w:r>
      <w:r>
        <w:rPr>
          <w:spacing w:val="-9"/>
        </w:rPr>
        <w:t> </w:t>
      </w:r>
      <w:r>
        <w:rPr/>
        <w:t>deliberative,</w:t>
      </w:r>
      <w:r>
        <w:rPr>
          <w:spacing w:val="-13"/>
        </w:rPr>
        <w:t> </w:t>
      </w:r>
      <w:r>
        <w:rPr/>
        <w:t>rational</w:t>
      </w:r>
      <w:r>
        <w:rPr>
          <w:spacing w:val="-10"/>
        </w:rPr>
        <w:t> </w:t>
      </w:r>
      <w:r>
        <w:rPr/>
        <w:t>knowing</w:t>
      </w:r>
      <w:r>
        <w:rPr>
          <w:spacing w:val="-13"/>
        </w:rPr>
        <w:t> </w:t>
      </w:r>
      <w:r>
        <w:rPr/>
        <w:t>she attempts to command, and the involuntary somatic knowing that the body</w:t>
      </w:r>
      <w:r>
        <w:rPr>
          <w:spacing w:val="40"/>
        </w:rPr>
        <w:t> </w:t>
      </w:r>
      <w:r>
        <w:rPr/>
        <w:t>sustains</w:t>
      </w:r>
      <w:r>
        <w:rPr>
          <w:spacing w:val="40"/>
        </w:rPr>
        <w:t> </w:t>
      </w:r>
      <w:r>
        <w:rPr/>
        <w:t>regardless</w:t>
      </w:r>
      <w:r>
        <w:rPr>
          <w:spacing w:val="40"/>
        </w:rPr>
        <w:t> </w:t>
      </w:r>
      <w:r>
        <w:rPr/>
        <w:t>of</w:t>
      </w:r>
      <w:r>
        <w:rPr>
          <w:spacing w:val="40"/>
        </w:rPr>
        <w:t> </w:t>
      </w:r>
      <w:r>
        <w:rPr/>
        <w:t>her</w:t>
      </w:r>
      <w:r>
        <w:rPr>
          <w:spacing w:val="40"/>
        </w:rPr>
        <w:t> </w:t>
      </w:r>
      <w:r>
        <w:rPr/>
        <w:t>will.</w:t>
      </w:r>
    </w:p>
    <w:p>
      <w:pPr>
        <w:pStyle w:val="BodyText"/>
        <w:spacing w:line="249" w:lineRule="auto" w:before="62"/>
        <w:ind w:right="1435" w:firstLine="432"/>
        <w:jc w:val="both"/>
      </w:pPr>
      <w:r>
        <w:rPr/>
        <w:t>The invocation in Act One, Scene Five is the play’s inaugural statement of this conflict. Having read Macbeth’s letter, Lady Macbeth immediately</w:t>
      </w:r>
      <w:r>
        <w:rPr>
          <w:spacing w:val="-6"/>
        </w:rPr>
        <w:t> </w:t>
      </w:r>
      <w:r>
        <w:rPr/>
        <w:t>identifies</w:t>
      </w:r>
      <w:r>
        <w:rPr>
          <w:spacing w:val="-6"/>
        </w:rPr>
        <w:t> </w:t>
      </w:r>
      <w:r>
        <w:rPr/>
        <w:t>what</w:t>
      </w:r>
      <w:r>
        <w:rPr>
          <w:spacing w:val="-2"/>
        </w:rPr>
        <w:t> </w:t>
      </w:r>
      <w:r>
        <w:rPr/>
        <w:t>she</w:t>
      </w:r>
      <w:r>
        <w:rPr>
          <w:spacing w:val="-1"/>
        </w:rPr>
        <w:t> </w:t>
      </w:r>
      <w:r>
        <w:rPr/>
        <w:t>takes</w:t>
      </w:r>
      <w:r>
        <w:rPr>
          <w:spacing w:val="-6"/>
        </w:rPr>
        <w:t> </w:t>
      </w:r>
      <w:r>
        <w:rPr/>
        <w:t>to</w:t>
      </w:r>
      <w:r>
        <w:rPr>
          <w:spacing w:val="-1"/>
        </w:rPr>
        <w:t> </w:t>
      </w:r>
      <w:r>
        <w:rPr/>
        <w:t>be</w:t>
      </w:r>
      <w:r>
        <w:rPr>
          <w:spacing w:val="-1"/>
        </w:rPr>
        <w:t> </w:t>
      </w:r>
      <w:r>
        <w:rPr/>
        <w:t>his</w:t>
      </w:r>
      <w:r>
        <w:rPr>
          <w:spacing w:val="-4"/>
        </w:rPr>
        <w:t> </w:t>
      </w:r>
      <w:r>
        <w:rPr/>
        <w:t>constitutional</w:t>
      </w:r>
      <w:r>
        <w:rPr>
          <w:spacing w:val="-2"/>
        </w:rPr>
        <w:t> </w:t>
      </w:r>
      <w:r>
        <w:rPr/>
        <w:t>weakness: he is “too full o’th’milk of human kindness” (1.5.17), too moist and yielding, too open to the compunctions that flow through a body insufficiently hardened against affect. The remedy she calls for is physiological in its precision — she asks the “murdering ministers” to “make thick my blood” (1.5.44), to “stop up the access and passage to remorse” (1.5.45). What is notable here, as Paster observes, is the specificity of the demand. She does not ask to be emptied of blood but to have its</w:t>
      </w:r>
      <w:r>
        <w:rPr>
          <w:spacing w:val="-1"/>
        </w:rPr>
        <w:t> </w:t>
      </w:r>
      <w:r>
        <w:rPr/>
        <w:t>circulation arrested, its receptivity</w:t>
      </w:r>
      <w:r>
        <w:rPr>
          <w:spacing w:val="-1"/>
        </w:rPr>
        <w:t> </w:t>
      </w:r>
      <w:r>
        <w:rPr/>
        <w:t>sealed. The project is one of impermeability, a particular modality of embodiment rather than its transcendence.</w:t>
      </w:r>
      <w:r>
        <w:rPr>
          <w:spacing w:val="-1"/>
        </w:rPr>
        <w:t> </w:t>
      </w:r>
      <w:r>
        <w:rPr/>
        <w:t>She wants</w:t>
      </w:r>
      <w:r>
        <w:rPr>
          <w:spacing w:val="-1"/>
        </w:rPr>
        <w:t> </w:t>
      </w:r>
      <w:r>
        <w:rPr/>
        <w:t>a body</w:t>
      </w:r>
      <w:r>
        <w:rPr>
          <w:spacing w:val="-5"/>
        </w:rPr>
        <w:t> </w:t>
      </w:r>
      <w:r>
        <w:rPr/>
        <w:t>that blood</w:t>
      </w:r>
      <w:r>
        <w:rPr>
          <w:spacing w:val="-1"/>
        </w:rPr>
        <w:t> </w:t>
      </w:r>
      <w:r>
        <w:rPr/>
        <w:t>will not</w:t>
      </w:r>
      <w:r>
        <w:rPr>
          <w:spacing w:val="-1"/>
        </w:rPr>
        <w:t> </w:t>
      </w:r>
      <w:r>
        <w:rPr/>
        <w:t>move through,</w:t>
      </w:r>
      <w:r>
        <w:rPr>
          <w:spacing w:val="-1"/>
        </w:rPr>
        <w:t> </w:t>
      </w:r>
      <w:r>
        <w:rPr/>
        <w:t>that affect</w:t>
      </w:r>
      <w:r>
        <w:rPr>
          <w:spacing w:val="40"/>
        </w:rPr>
        <w:t> </w:t>
      </w:r>
      <w:r>
        <w:rPr/>
        <w:t>cannot</w:t>
      </w:r>
      <w:r>
        <w:rPr>
          <w:spacing w:val="40"/>
        </w:rPr>
        <w:t> </w:t>
      </w:r>
      <w:r>
        <w:rPr/>
        <w:t>reach</w:t>
      </w:r>
      <w:r>
        <w:rPr>
          <w:spacing w:val="40"/>
        </w:rPr>
        <w:t> </w:t>
      </w:r>
      <w:r>
        <w:rPr/>
        <w:t>by</w:t>
      </w:r>
      <w:r>
        <w:rPr>
          <w:spacing w:val="40"/>
        </w:rPr>
        <w:t> </w:t>
      </w:r>
      <w:r>
        <w:rPr/>
        <w:t>its</w:t>
      </w:r>
      <w:r>
        <w:rPr>
          <w:spacing w:val="40"/>
        </w:rPr>
        <w:t> </w:t>
      </w:r>
      <w:r>
        <w:rPr/>
        <w:t>usual</w:t>
      </w:r>
      <w:r>
        <w:rPr>
          <w:spacing w:val="40"/>
        </w:rPr>
        <w:t> </w:t>
      </w:r>
      <w:r>
        <w:rPr/>
        <w:t>channels.</w:t>
      </w:r>
    </w:p>
    <w:p>
      <w:pPr>
        <w:pStyle w:val="BodyText"/>
        <w:spacing w:line="249" w:lineRule="auto" w:before="72"/>
        <w:ind w:right="1439" w:firstLine="432"/>
        <w:jc w:val="both"/>
      </w:pPr>
      <w:r>
        <w:rPr/>
        <w:t>The play’s subsequent irony is exquisite. The thickening she calls for does not arrive; or, if it does, it reverses itself at the moment of greatest</w:t>
      </w:r>
      <w:r>
        <w:rPr>
          <w:spacing w:val="-7"/>
        </w:rPr>
        <w:t> </w:t>
      </w:r>
      <w:r>
        <w:rPr/>
        <w:t>consequence.</w:t>
      </w:r>
      <w:r>
        <w:rPr>
          <w:spacing w:val="-5"/>
        </w:rPr>
        <w:t> </w:t>
      </w:r>
      <w:r>
        <w:rPr/>
        <w:t>By</w:t>
      </w:r>
      <w:r>
        <w:rPr>
          <w:spacing w:val="-5"/>
        </w:rPr>
        <w:t> </w:t>
      </w:r>
      <w:r>
        <w:rPr/>
        <w:t>the</w:t>
      </w:r>
      <w:r>
        <w:rPr>
          <w:spacing w:val="-5"/>
        </w:rPr>
        <w:t> </w:t>
      </w:r>
      <w:r>
        <w:rPr/>
        <w:t>time</w:t>
      </w:r>
      <w:r>
        <w:rPr>
          <w:spacing w:val="-4"/>
        </w:rPr>
        <w:t> </w:t>
      </w:r>
      <w:r>
        <w:rPr/>
        <w:t>she</w:t>
      </w:r>
      <w:r>
        <w:rPr>
          <w:spacing w:val="-2"/>
        </w:rPr>
        <w:t> </w:t>
      </w:r>
      <w:r>
        <w:rPr/>
        <w:t>sleepwalks</w:t>
      </w:r>
      <w:r>
        <w:rPr>
          <w:spacing w:val="-5"/>
        </w:rPr>
        <w:t> </w:t>
      </w:r>
      <w:r>
        <w:rPr/>
        <w:t>in</w:t>
      </w:r>
      <w:r>
        <w:rPr>
          <w:spacing w:val="-13"/>
        </w:rPr>
        <w:t> </w:t>
      </w:r>
      <w:r>
        <w:rPr/>
        <w:t>Act</w:t>
      </w:r>
      <w:r>
        <w:rPr>
          <w:spacing w:val="-2"/>
        </w:rPr>
        <w:t> </w:t>
      </w:r>
      <w:r>
        <w:rPr/>
        <w:t>Five,</w:t>
      </w:r>
      <w:r>
        <w:rPr>
          <w:spacing w:val="-3"/>
        </w:rPr>
        <w:t> </w:t>
      </w:r>
      <w:r>
        <w:rPr/>
        <w:t>the</w:t>
      </w:r>
      <w:r>
        <w:rPr>
          <w:spacing w:val="-4"/>
        </w:rPr>
        <w:t> </w:t>
      </w:r>
      <w:r>
        <w:rPr/>
        <w:t>blood she attempted to manage has become precisely the medium of her body’s most intimate knowing. “Out, damned spot! out, I say” (5.1.35) is the play’s most compressed epistemological statement: a mind attempting to override what the body</w:t>
      </w:r>
      <w:r>
        <w:rPr>
          <w:spacing w:val="-2"/>
        </w:rPr>
        <w:t> </w:t>
      </w:r>
      <w:r>
        <w:rPr/>
        <w:t>has recorded and will not release. The</w:t>
      </w:r>
      <w:r>
        <w:rPr>
          <w:spacing w:val="26"/>
        </w:rPr>
        <w:t> </w:t>
      </w:r>
      <w:r>
        <w:rPr/>
        <w:t>stain</w:t>
      </w:r>
      <w:r>
        <w:rPr>
          <w:spacing w:val="27"/>
        </w:rPr>
        <w:t> </w:t>
      </w:r>
      <w:r>
        <w:rPr/>
        <w:t>she</w:t>
      </w:r>
      <w:r>
        <w:rPr>
          <w:spacing w:val="25"/>
        </w:rPr>
        <w:t> </w:t>
      </w:r>
      <w:r>
        <w:rPr/>
        <w:t>cannot</w:t>
      </w:r>
      <w:r>
        <w:rPr>
          <w:spacing w:val="25"/>
        </w:rPr>
        <w:t> </w:t>
      </w:r>
      <w:r>
        <w:rPr/>
        <w:t>see</w:t>
      </w:r>
      <w:r>
        <w:rPr>
          <w:spacing w:val="27"/>
        </w:rPr>
        <w:t> </w:t>
      </w:r>
      <w:r>
        <w:rPr/>
        <w:t>but</w:t>
      </w:r>
      <w:r>
        <w:rPr>
          <w:spacing w:val="25"/>
        </w:rPr>
        <w:t> </w:t>
      </w:r>
      <w:r>
        <w:rPr/>
        <w:t>insistently</w:t>
      </w:r>
      <w:r>
        <w:rPr>
          <w:spacing w:val="25"/>
        </w:rPr>
        <w:t> </w:t>
      </w:r>
      <w:r>
        <w:rPr/>
        <w:t>traces —</w:t>
      </w:r>
      <w:r>
        <w:rPr>
          <w:spacing w:val="25"/>
        </w:rPr>
        <w:t> </w:t>
      </w:r>
      <w:r>
        <w:rPr/>
        <w:t>rubbing</w:t>
      </w:r>
      <w:r>
        <w:rPr>
          <w:spacing w:val="27"/>
        </w:rPr>
        <w:t> </w:t>
      </w:r>
      <w:r>
        <w:rPr/>
        <w:t>her</w:t>
      </w:r>
      <w:r>
        <w:rPr>
          <w:spacing w:val="26"/>
        </w:rPr>
        <w:t> </w:t>
      </w:r>
      <w:r>
        <w:rPr/>
        <w:t>hands, re-enacting the washing — is somatic memory in its purest form, a registration that consciousness cannot revoke and voluntary action cannot</w:t>
      </w:r>
      <w:r>
        <w:rPr>
          <w:spacing w:val="40"/>
        </w:rPr>
        <w:t> </w:t>
      </w:r>
      <w:r>
        <w:rPr/>
        <w:t>undo.</w:t>
      </w:r>
    </w:p>
    <w:p>
      <w:pPr>
        <w:pStyle w:val="BodyText"/>
        <w:spacing w:line="249" w:lineRule="auto" w:before="66"/>
        <w:ind w:right="1440" w:firstLine="432"/>
        <w:jc w:val="both"/>
      </w:pPr>
      <w:r>
        <w:rPr/>
        <w:t>The sleepwalking scene is constructed with care to maximise this ambiguity. Lady</w:t>
      </w:r>
      <w:r>
        <w:rPr>
          <w:spacing w:val="-5"/>
        </w:rPr>
        <w:t> </w:t>
      </w:r>
      <w:r>
        <w:rPr/>
        <w:t>Macbeth</w:t>
      </w:r>
      <w:r>
        <w:rPr>
          <w:spacing w:val="-3"/>
        </w:rPr>
        <w:t> </w:t>
      </w:r>
      <w:r>
        <w:rPr/>
        <w:t>moves</w:t>
      </w:r>
      <w:r>
        <w:rPr>
          <w:spacing w:val="-3"/>
        </w:rPr>
        <w:t> </w:t>
      </w:r>
      <w:r>
        <w:rPr/>
        <w:t>through</w:t>
      </w:r>
      <w:r>
        <w:rPr>
          <w:spacing w:val="-5"/>
        </w:rPr>
        <w:t> </w:t>
      </w:r>
      <w:r>
        <w:rPr/>
        <w:t>her past</w:t>
      </w:r>
      <w:r>
        <w:rPr>
          <w:spacing w:val="-2"/>
        </w:rPr>
        <w:t> </w:t>
      </w:r>
      <w:r>
        <w:rPr/>
        <w:t>actions</w:t>
      </w:r>
      <w:r>
        <w:rPr>
          <w:spacing w:val="-3"/>
        </w:rPr>
        <w:t> </w:t>
      </w:r>
      <w:r>
        <w:rPr/>
        <w:t>in</w:t>
      </w:r>
      <w:r>
        <w:rPr>
          <w:spacing w:val="-3"/>
        </w:rPr>
        <w:t> </w:t>
      </w:r>
      <w:r>
        <w:rPr/>
        <w:t>a sequence that collapses ordinary chronology; the Doctor and the Gentlewoman who observe her function as epistemological bystanders, unable to interpret</w:t>
      </w:r>
      <w:r>
        <w:rPr>
          <w:spacing w:val="-2"/>
        </w:rPr>
        <w:t> </w:t>
      </w:r>
      <w:r>
        <w:rPr/>
        <w:t>what</w:t>
      </w:r>
      <w:r>
        <w:rPr>
          <w:spacing w:val="-3"/>
        </w:rPr>
        <w:t> </w:t>
      </w:r>
      <w:r>
        <w:rPr/>
        <w:t>they</w:t>
      </w:r>
      <w:r>
        <w:rPr>
          <w:spacing w:val="-5"/>
        </w:rPr>
        <w:t> </w:t>
      </w:r>
      <w:r>
        <w:rPr/>
        <w:t>witness</w:t>
      </w:r>
      <w:r>
        <w:rPr>
          <w:spacing w:val="-3"/>
        </w:rPr>
        <w:t> </w:t>
      </w:r>
      <w:r>
        <w:rPr/>
        <w:t>within</w:t>
      </w:r>
      <w:r>
        <w:rPr>
          <w:spacing w:val="-3"/>
        </w:rPr>
        <w:t> </w:t>
      </w:r>
      <w:r>
        <w:rPr/>
        <w:t>the</w:t>
      </w:r>
      <w:r>
        <w:rPr>
          <w:spacing w:val="-5"/>
        </w:rPr>
        <w:t> </w:t>
      </w:r>
      <w:r>
        <w:rPr/>
        <w:t>available</w:t>
      </w:r>
      <w:r>
        <w:rPr>
          <w:spacing w:val="-1"/>
        </w:rPr>
        <w:t> </w:t>
      </w:r>
      <w:r>
        <w:rPr/>
        <w:t>medical</w:t>
      </w:r>
      <w:r>
        <w:rPr>
          <w:spacing w:val="-3"/>
        </w:rPr>
        <w:t> </w:t>
      </w:r>
      <w:r>
        <w:rPr/>
        <w:t>categories.</w:t>
      </w:r>
      <w:r>
        <w:rPr>
          <w:spacing w:val="-1"/>
        </w:rPr>
        <w:t> </w:t>
      </w:r>
      <w:r>
        <w:rPr/>
        <w:t>The Doctor’s</w:t>
      </w:r>
      <w:r>
        <w:rPr>
          <w:spacing w:val="1"/>
        </w:rPr>
        <w:t> </w:t>
      </w:r>
      <w:r>
        <w:rPr/>
        <w:t>conclusion</w:t>
      </w:r>
      <w:r>
        <w:rPr>
          <w:spacing w:val="2"/>
        </w:rPr>
        <w:t> </w:t>
      </w:r>
      <w:r>
        <w:rPr/>
        <w:t>—</w:t>
      </w:r>
      <w:r>
        <w:rPr>
          <w:spacing w:val="3"/>
        </w:rPr>
        <w:t> </w:t>
      </w:r>
      <w:r>
        <w:rPr/>
        <w:t>“More</w:t>
      </w:r>
      <w:r>
        <w:rPr>
          <w:spacing w:val="5"/>
        </w:rPr>
        <w:t> </w:t>
      </w:r>
      <w:r>
        <w:rPr/>
        <w:t>needs</w:t>
      </w:r>
      <w:r>
        <w:rPr>
          <w:spacing w:val="2"/>
        </w:rPr>
        <w:t> </w:t>
      </w:r>
      <w:r>
        <w:rPr/>
        <w:t>she</w:t>
      </w:r>
      <w:r>
        <w:rPr>
          <w:spacing w:val="4"/>
        </w:rPr>
        <w:t> </w:t>
      </w:r>
      <w:r>
        <w:rPr/>
        <w:t>the</w:t>
      </w:r>
      <w:r>
        <w:rPr>
          <w:spacing w:val="4"/>
        </w:rPr>
        <w:t> </w:t>
      </w:r>
      <w:r>
        <w:rPr/>
        <w:t>divine</w:t>
      </w:r>
      <w:r>
        <w:rPr>
          <w:spacing w:val="4"/>
        </w:rPr>
        <w:t> </w:t>
      </w:r>
      <w:r>
        <w:rPr/>
        <w:t>than</w:t>
      </w:r>
      <w:r>
        <w:rPr>
          <w:spacing w:val="4"/>
        </w:rPr>
        <w:t> </w:t>
      </w:r>
      <w:r>
        <w:rPr/>
        <w:t>the</w:t>
      </w:r>
      <w:r>
        <w:rPr>
          <w:spacing w:val="3"/>
        </w:rPr>
        <w:t> </w:t>
      </w:r>
      <w:r>
        <w:rPr>
          <w:spacing w:val="-2"/>
        </w:rPr>
        <w:t>physician”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27104">
                <wp:simplePos x="0" y="0"/>
                <wp:positionH relativeFrom="page">
                  <wp:posOffset>2057400</wp:posOffset>
                </wp:positionH>
                <wp:positionV relativeFrom="paragraph">
                  <wp:posOffset>162604</wp:posOffset>
                </wp:positionV>
                <wp:extent cx="3657600" cy="12700"/>
                <wp:effectExtent l="0" t="0" r="0" b="0"/>
                <wp:wrapTopAndBottom/>
                <wp:docPr id="416" name="Graphic 416"/>
                <wp:cNvGraphicFramePr>
                  <a:graphicFrameLocks/>
                </wp:cNvGraphicFramePr>
                <a:graphic>
                  <a:graphicData uri="http://schemas.microsoft.com/office/word/2010/wordprocessingShape">
                    <wps:wsp>
                      <wps:cNvPr id="416" name="Graphic 41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89376;mso-wrap-distance-left:0;mso-wrap-distance-right:0" id="docshape411" filled="true" fillcolor="#000000" stroked="false">
                <v:fill type="solid"/>
                <w10:wrap type="topAndBottom"/>
              </v:rect>
            </w:pict>
          </mc:Fallback>
        </mc:AlternateContent>
      </w:r>
      <w:r>
        <w:rPr>
          <w:rFonts w:ascii="Verdana"/>
          <w:spacing w:val="-5"/>
          <w:sz w:val="18"/>
        </w:rPr>
        <w:t>172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(5.1.74) — is an acknowledgement that the somatic archive opening in her sleep exceeds the reach of</w:t>
      </w:r>
      <w:r>
        <w:rPr>
          <w:spacing w:val="-1"/>
        </w:rPr>
        <w:t> </w:t>
      </w:r>
      <w:r>
        <w:rPr/>
        <w:t>his discipline. The body’s knowledge, in </w:t>
      </w:r>
      <w:r>
        <w:rPr>
          <w:spacing w:val="-2"/>
        </w:rPr>
        <w:t>other</w:t>
      </w:r>
      <w:r>
        <w:rPr>
          <w:spacing w:val="-11"/>
        </w:rPr>
        <w:t> </w:t>
      </w:r>
      <w:r>
        <w:rPr>
          <w:spacing w:val="-2"/>
        </w:rPr>
        <w:t>words,</w:t>
      </w:r>
      <w:r>
        <w:rPr>
          <w:spacing w:val="-10"/>
        </w:rPr>
        <w:t> </w:t>
      </w:r>
      <w:r>
        <w:rPr>
          <w:spacing w:val="-2"/>
        </w:rPr>
        <w:t>is</w:t>
      </w:r>
      <w:r>
        <w:rPr>
          <w:spacing w:val="-11"/>
        </w:rPr>
        <w:t> </w:t>
      </w:r>
      <w:r>
        <w:rPr>
          <w:spacing w:val="-2"/>
        </w:rPr>
        <w:t>real;</w:t>
      </w:r>
      <w:r>
        <w:rPr>
          <w:spacing w:val="-10"/>
        </w:rPr>
        <w:t> </w:t>
      </w:r>
      <w:r>
        <w:rPr>
          <w:spacing w:val="-2"/>
        </w:rPr>
        <w:t>what</w:t>
      </w:r>
      <w:r>
        <w:rPr>
          <w:spacing w:val="-11"/>
        </w:rPr>
        <w:t> </w:t>
      </w:r>
      <w:r>
        <w:rPr>
          <w:spacing w:val="-2"/>
        </w:rPr>
        <w:t>is</w:t>
      </w:r>
      <w:r>
        <w:rPr>
          <w:spacing w:val="-10"/>
        </w:rPr>
        <w:t> </w:t>
      </w:r>
      <w:r>
        <w:rPr>
          <w:spacing w:val="-2"/>
        </w:rPr>
        <w:t>lacking</w:t>
      </w:r>
      <w:r>
        <w:rPr>
          <w:spacing w:val="-11"/>
        </w:rPr>
        <w:t> </w:t>
      </w:r>
      <w:r>
        <w:rPr>
          <w:spacing w:val="-2"/>
        </w:rPr>
        <w:t>is</w:t>
      </w:r>
      <w:r>
        <w:rPr>
          <w:spacing w:val="-10"/>
        </w:rPr>
        <w:t> </w:t>
      </w:r>
      <w:r>
        <w:rPr>
          <w:spacing w:val="-2"/>
        </w:rPr>
        <w:t>any</w:t>
      </w:r>
      <w:r>
        <w:rPr>
          <w:spacing w:val="-11"/>
        </w:rPr>
        <w:t> </w:t>
      </w:r>
      <w:r>
        <w:rPr>
          <w:spacing w:val="-2"/>
        </w:rPr>
        <w:t>framework</w:t>
      </w:r>
      <w:r>
        <w:rPr>
          <w:spacing w:val="-10"/>
        </w:rPr>
        <w:t> </w:t>
      </w:r>
      <w:r>
        <w:rPr>
          <w:spacing w:val="-2"/>
        </w:rPr>
        <w:t>capable</w:t>
      </w:r>
      <w:r>
        <w:rPr>
          <w:spacing w:val="-11"/>
        </w:rPr>
        <w:t> </w:t>
      </w:r>
      <w:r>
        <w:rPr>
          <w:spacing w:val="-2"/>
        </w:rPr>
        <w:t>of</w:t>
      </w:r>
      <w:r>
        <w:rPr>
          <w:spacing w:val="-9"/>
        </w:rPr>
        <w:t> </w:t>
      </w:r>
      <w:r>
        <w:rPr>
          <w:spacing w:val="-2"/>
        </w:rPr>
        <w:t>receiving </w:t>
      </w:r>
      <w:r>
        <w:rPr/>
        <w:t>it</w:t>
      </w:r>
      <w:r>
        <w:rPr>
          <w:spacing w:val="40"/>
        </w:rPr>
        <w:t> </w:t>
      </w:r>
      <w:r>
        <w:rPr/>
        <w:t>as</w:t>
      </w:r>
      <w:r>
        <w:rPr>
          <w:spacing w:val="40"/>
        </w:rPr>
        <w:t> </w:t>
      </w:r>
      <w:r>
        <w:rPr/>
        <w:t>such.</w:t>
      </w:r>
    </w:p>
    <w:p>
      <w:pPr>
        <w:pStyle w:val="BodyText"/>
        <w:spacing w:line="249" w:lineRule="auto" w:before="61"/>
        <w:ind w:right="1442" w:firstLine="432"/>
        <w:jc w:val="both"/>
      </w:pPr>
      <w:r>
        <w:rPr/>
        <w:t>The gender politics of this staging are worth pressing. Macbeth, equally</w:t>
      </w:r>
      <w:r>
        <w:rPr>
          <w:spacing w:val="-7"/>
        </w:rPr>
        <w:t> </w:t>
      </w:r>
      <w:r>
        <w:rPr/>
        <w:t>culpable,</w:t>
      </w:r>
      <w:r>
        <w:rPr>
          <w:spacing w:val="-4"/>
        </w:rPr>
        <w:t> </w:t>
      </w:r>
      <w:r>
        <w:rPr/>
        <w:t>undergoes</w:t>
      </w:r>
      <w:r>
        <w:rPr>
          <w:spacing w:val="-2"/>
        </w:rPr>
        <w:t> </w:t>
      </w:r>
      <w:r>
        <w:rPr/>
        <w:t>no</w:t>
      </w:r>
      <w:r>
        <w:rPr>
          <w:spacing w:val="-2"/>
        </w:rPr>
        <w:t> </w:t>
      </w:r>
      <w:r>
        <w:rPr/>
        <w:t>equivalent</w:t>
      </w:r>
      <w:r>
        <w:rPr>
          <w:spacing w:val="-4"/>
        </w:rPr>
        <w:t> </w:t>
      </w:r>
      <w:r>
        <w:rPr/>
        <w:t>somatic</w:t>
      </w:r>
      <w:r>
        <w:rPr>
          <w:spacing w:val="-5"/>
        </w:rPr>
        <w:t> </w:t>
      </w:r>
      <w:r>
        <w:rPr/>
        <w:t>inscription. His</w:t>
      </w:r>
      <w:r>
        <w:rPr>
          <w:spacing w:val="-5"/>
        </w:rPr>
        <w:t> </w:t>
      </w:r>
      <w:r>
        <w:rPr/>
        <w:t>guilt externalises</w:t>
      </w:r>
      <w:r>
        <w:rPr>
          <w:spacing w:val="16"/>
        </w:rPr>
        <w:t> </w:t>
      </w:r>
      <w:r>
        <w:rPr/>
        <w:t>itself</w:t>
      </w:r>
      <w:r>
        <w:rPr>
          <w:spacing w:val="17"/>
        </w:rPr>
        <w:t> </w:t>
      </w:r>
      <w:r>
        <w:rPr/>
        <w:t>in</w:t>
      </w:r>
      <w:r>
        <w:rPr>
          <w:spacing w:val="19"/>
        </w:rPr>
        <w:t> </w:t>
      </w:r>
      <w:r>
        <w:rPr/>
        <w:t>hallucination</w:t>
      </w:r>
      <w:r>
        <w:rPr>
          <w:spacing w:val="17"/>
        </w:rPr>
        <w:t> </w:t>
      </w:r>
      <w:r>
        <w:rPr/>
        <w:t>—</w:t>
      </w:r>
      <w:r>
        <w:rPr>
          <w:spacing w:val="17"/>
        </w:rPr>
        <w:t> </w:t>
      </w:r>
      <w:r>
        <w:rPr/>
        <w:t>the</w:t>
      </w:r>
      <w:r>
        <w:rPr>
          <w:spacing w:val="18"/>
        </w:rPr>
        <w:t> </w:t>
      </w:r>
      <w:r>
        <w:rPr/>
        <w:t>dagger,</w:t>
      </w:r>
      <w:r>
        <w:rPr>
          <w:spacing w:val="19"/>
        </w:rPr>
        <w:t> </w:t>
      </w:r>
      <w:r>
        <w:rPr/>
        <w:t>the</w:t>
      </w:r>
      <w:r>
        <w:rPr>
          <w:spacing w:val="19"/>
        </w:rPr>
        <w:t> </w:t>
      </w:r>
      <w:r>
        <w:rPr/>
        <w:t>ghost</w:t>
      </w:r>
      <w:r>
        <w:rPr>
          <w:spacing w:val="18"/>
        </w:rPr>
        <w:t> </w:t>
      </w:r>
      <w:r>
        <w:rPr/>
        <w:t>of</w:t>
      </w:r>
      <w:r>
        <w:rPr>
          <w:spacing w:val="16"/>
        </w:rPr>
        <w:t> </w:t>
      </w:r>
      <w:r>
        <w:rPr>
          <w:spacing w:val="-2"/>
        </w:rPr>
        <w:t>Banquo</w:t>
      </w:r>
    </w:p>
    <w:p>
      <w:pPr>
        <w:pStyle w:val="ListParagraph"/>
        <w:numPr>
          <w:ilvl w:val="0"/>
          <w:numId w:val="34"/>
        </w:numPr>
        <w:tabs>
          <w:tab w:pos="1699" w:val="left" w:leader="none"/>
        </w:tabs>
        <w:spacing w:line="249" w:lineRule="auto" w:before="3" w:after="0"/>
        <w:ind w:left="1440" w:right="1438" w:firstLine="0"/>
        <w:jc w:val="both"/>
        <w:rPr>
          <w:sz w:val="20"/>
        </w:rPr>
      </w:pPr>
      <w:r>
        <w:rPr>
          <w:sz w:val="20"/>
        </w:rPr>
        <w:t>projections that are vivid but ultimately resistible, absorbed into the performative stoicism he adopts as the play’s action continues. Lady Macbeth’s guilt, by contrast, writes itself into her hands, her body, the flesh she cannot wash clean. The play distributes somatic knowledge along gendered lines: what her body carries, his body</w:t>
      </w:r>
      <w:r>
        <w:rPr>
          <w:spacing w:val="-1"/>
          <w:sz w:val="20"/>
        </w:rPr>
        <w:t> </w:t>
      </w:r>
      <w:r>
        <w:rPr>
          <w:sz w:val="20"/>
        </w:rPr>
        <w:t>expels. Blood, in her</w:t>
      </w:r>
      <w:r>
        <w:rPr>
          <w:spacing w:val="-6"/>
          <w:sz w:val="20"/>
        </w:rPr>
        <w:t> </w:t>
      </w:r>
      <w:r>
        <w:rPr>
          <w:sz w:val="20"/>
        </w:rPr>
        <w:t>case,</w:t>
      </w:r>
      <w:r>
        <w:rPr>
          <w:spacing w:val="-6"/>
          <w:sz w:val="20"/>
        </w:rPr>
        <w:t> </w:t>
      </w:r>
      <w:r>
        <w:rPr>
          <w:sz w:val="20"/>
        </w:rPr>
        <w:t>is</w:t>
      </w:r>
      <w:r>
        <w:rPr>
          <w:spacing w:val="-7"/>
          <w:sz w:val="20"/>
        </w:rPr>
        <w:t> </w:t>
      </w:r>
      <w:r>
        <w:rPr>
          <w:sz w:val="20"/>
        </w:rPr>
        <w:t>a</w:t>
      </w:r>
      <w:r>
        <w:rPr>
          <w:spacing w:val="-7"/>
          <w:sz w:val="20"/>
        </w:rPr>
        <w:t> </w:t>
      </w:r>
      <w:r>
        <w:rPr>
          <w:sz w:val="20"/>
        </w:rPr>
        <w:t>mnemonic</w:t>
      </w:r>
      <w:r>
        <w:rPr>
          <w:spacing w:val="-7"/>
          <w:sz w:val="20"/>
        </w:rPr>
        <w:t> </w:t>
      </w:r>
      <w:r>
        <w:rPr>
          <w:sz w:val="20"/>
        </w:rPr>
        <w:t>fluid</w:t>
      </w:r>
      <w:r>
        <w:rPr>
          <w:spacing w:val="-7"/>
          <w:sz w:val="20"/>
        </w:rPr>
        <w:t> </w:t>
      </w:r>
      <w:r>
        <w:rPr>
          <w:sz w:val="20"/>
        </w:rPr>
        <w:t>—</w:t>
      </w:r>
      <w:r>
        <w:rPr>
          <w:spacing w:val="-6"/>
          <w:sz w:val="20"/>
        </w:rPr>
        <w:t> </w:t>
      </w:r>
      <w:r>
        <w:rPr>
          <w:sz w:val="20"/>
        </w:rPr>
        <w:t>patient,</w:t>
      </w:r>
      <w:r>
        <w:rPr>
          <w:spacing w:val="-6"/>
          <w:sz w:val="20"/>
        </w:rPr>
        <w:t> </w:t>
      </w:r>
      <w:r>
        <w:rPr>
          <w:sz w:val="20"/>
        </w:rPr>
        <w:t>indelible,</w:t>
      </w:r>
      <w:r>
        <w:rPr>
          <w:spacing w:val="-7"/>
          <w:sz w:val="20"/>
        </w:rPr>
        <w:t> </w:t>
      </w:r>
      <w:r>
        <w:rPr>
          <w:sz w:val="20"/>
        </w:rPr>
        <w:t>indifferent</w:t>
      </w:r>
      <w:r>
        <w:rPr>
          <w:spacing w:val="-6"/>
          <w:sz w:val="20"/>
        </w:rPr>
        <w:t> </w:t>
      </w:r>
      <w:r>
        <w:rPr>
          <w:sz w:val="20"/>
        </w:rPr>
        <w:t>to</w:t>
      </w:r>
      <w:r>
        <w:rPr>
          <w:spacing w:val="-6"/>
          <w:sz w:val="20"/>
        </w:rPr>
        <w:t> </w:t>
      </w:r>
      <w:r>
        <w:rPr>
          <w:sz w:val="20"/>
        </w:rPr>
        <w:t>the</w:t>
      </w:r>
      <w:r>
        <w:rPr>
          <w:spacing w:val="-7"/>
          <w:sz w:val="20"/>
        </w:rPr>
        <w:t> </w:t>
      </w:r>
      <w:r>
        <w:rPr>
          <w:sz w:val="20"/>
        </w:rPr>
        <w:t>will</w:t>
      </w:r>
    </w:p>
    <w:p>
      <w:pPr>
        <w:pStyle w:val="ListParagraph"/>
        <w:numPr>
          <w:ilvl w:val="0"/>
          <w:numId w:val="34"/>
        </w:numPr>
        <w:tabs>
          <w:tab w:pos="1703" w:val="left" w:leader="none"/>
        </w:tabs>
        <w:spacing w:line="249" w:lineRule="auto" w:before="4" w:after="0"/>
        <w:ind w:left="1440" w:right="1440" w:firstLine="0"/>
        <w:jc w:val="both"/>
        <w:rPr>
          <w:sz w:val="20"/>
        </w:rPr>
      </w:pPr>
      <w:r>
        <w:rPr>
          <w:sz w:val="20"/>
        </w:rPr>
        <w:t>and its archival persistence constitutes both her punishment and the </w:t>
      </w:r>
      <w:r>
        <w:rPr>
          <w:spacing w:val="-4"/>
          <w:sz w:val="20"/>
        </w:rPr>
        <w:t>play’s most</w:t>
      </w:r>
      <w:r>
        <w:rPr>
          <w:spacing w:val="-5"/>
          <w:sz w:val="20"/>
        </w:rPr>
        <w:t> </w:t>
      </w:r>
      <w:r>
        <w:rPr>
          <w:spacing w:val="-4"/>
          <w:sz w:val="20"/>
        </w:rPr>
        <w:t>precise</w:t>
      </w:r>
      <w:r>
        <w:rPr>
          <w:sz w:val="20"/>
        </w:rPr>
        <w:t> </w:t>
      </w:r>
      <w:r>
        <w:rPr>
          <w:spacing w:val="-4"/>
          <w:sz w:val="20"/>
        </w:rPr>
        <w:t>account of what embodied knowing, unacknowledged, </w:t>
      </w:r>
      <w:r>
        <w:rPr>
          <w:sz w:val="20"/>
        </w:rPr>
        <w:t>can</w:t>
      </w:r>
      <w:r>
        <w:rPr>
          <w:spacing w:val="40"/>
          <w:sz w:val="20"/>
        </w:rPr>
        <w:t> </w:t>
      </w:r>
      <w:r>
        <w:rPr>
          <w:sz w:val="20"/>
        </w:rPr>
        <w:t>do</w:t>
      </w:r>
      <w:r>
        <w:rPr>
          <w:spacing w:val="40"/>
          <w:sz w:val="20"/>
        </w:rPr>
        <w:t> </w:t>
      </w:r>
      <w:r>
        <w:rPr>
          <w:sz w:val="20"/>
        </w:rPr>
        <w:t>to</w:t>
      </w:r>
      <w:r>
        <w:rPr>
          <w:spacing w:val="40"/>
          <w:sz w:val="20"/>
        </w:rPr>
        <w:t> </w:t>
      </w:r>
      <w:r>
        <w:rPr>
          <w:sz w:val="20"/>
        </w:rPr>
        <w:t>a</w:t>
      </w:r>
      <w:r>
        <w:rPr>
          <w:spacing w:val="40"/>
          <w:sz w:val="20"/>
        </w:rPr>
        <w:t> </w:t>
      </w:r>
      <w:r>
        <w:rPr>
          <w:sz w:val="20"/>
        </w:rPr>
        <w:t>person.</w:t>
      </w:r>
    </w:p>
    <w:p>
      <w:pPr>
        <w:pStyle w:val="Heading3"/>
        <w:numPr>
          <w:ilvl w:val="0"/>
          <w:numId w:val="33"/>
        </w:numPr>
        <w:tabs>
          <w:tab w:pos="1703" w:val="left" w:leader="none"/>
        </w:tabs>
        <w:spacing w:line="240" w:lineRule="auto" w:before="156" w:after="0"/>
        <w:ind w:left="1440" w:right="1447" w:firstLine="0"/>
        <w:jc w:val="left"/>
      </w:pPr>
      <w:r>
        <w:rPr>
          <w:w w:val="85"/>
        </w:rPr>
        <w:t>OPHELIA: DISSOLUTION, UNDECIDABILITY, AND </w:t>
      </w:r>
      <w:r>
        <w:rPr>
          <w:w w:val="85"/>
        </w:rPr>
        <w:t>THE </w:t>
      </w:r>
      <w:r>
        <w:rPr>
          <w:w w:val="90"/>
        </w:rPr>
        <w:t>HYDROFEMINIST</w:t>
      </w:r>
      <w:r>
        <w:rPr>
          <w:spacing w:val="-7"/>
          <w:w w:val="90"/>
        </w:rPr>
        <w:t> </w:t>
      </w:r>
      <w:r>
        <w:rPr>
          <w:w w:val="90"/>
        </w:rPr>
        <w:t>SUBJECT</w:t>
      </w:r>
    </w:p>
    <w:p>
      <w:pPr>
        <w:pStyle w:val="BodyText"/>
        <w:spacing w:line="249" w:lineRule="auto" w:before="74"/>
        <w:ind w:right="1439" w:firstLine="432"/>
        <w:jc w:val="both"/>
      </w:pPr>
      <w:r>
        <w:rPr/>
        <w:t>Ophelia’s death is the most openly hydrofeminist moment in the Shakespearean corpus, and also the one most thoroughly entangled in the</w:t>
      </w:r>
      <w:r>
        <w:rPr>
          <w:spacing w:val="-12"/>
        </w:rPr>
        <w:t> </w:t>
      </w:r>
      <w:r>
        <w:rPr/>
        <w:t>epistemological</w:t>
      </w:r>
      <w:r>
        <w:rPr>
          <w:spacing w:val="-12"/>
        </w:rPr>
        <w:t> </w:t>
      </w:r>
      <w:r>
        <w:rPr/>
        <w:t>problems</w:t>
      </w:r>
      <w:r>
        <w:rPr>
          <w:spacing w:val="-13"/>
        </w:rPr>
        <w:t> </w:t>
      </w:r>
      <w:r>
        <w:rPr/>
        <w:t>hydrofeminism</w:t>
      </w:r>
      <w:r>
        <w:rPr>
          <w:spacing w:val="-12"/>
        </w:rPr>
        <w:t> </w:t>
      </w:r>
      <w:r>
        <w:rPr/>
        <w:t>illuminates.</w:t>
      </w:r>
      <w:r>
        <w:rPr>
          <w:spacing w:val="-13"/>
        </w:rPr>
        <w:t> </w:t>
      </w:r>
      <w:r>
        <w:rPr/>
        <w:t>The</w:t>
      </w:r>
      <w:r>
        <w:rPr>
          <w:spacing w:val="-11"/>
        </w:rPr>
        <w:t> </w:t>
      </w:r>
      <w:r>
        <w:rPr/>
        <w:t>drowning is not represented directly; it comes to us through Gertrude’s narration in</w:t>
      </w:r>
      <w:r>
        <w:rPr>
          <w:spacing w:val="-13"/>
        </w:rPr>
        <w:t> </w:t>
      </w:r>
      <w:r>
        <w:rPr/>
        <w:t>Act</w:t>
      </w:r>
      <w:r>
        <w:rPr>
          <w:spacing w:val="-2"/>
        </w:rPr>
        <w:t> </w:t>
      </w:r>
      <w:r>
        <w:rPr/>
        <w:t>Four,</w:t>
      </w:r>
      <w:r>
        <w:rPr>
          <w:spacing w:val="-1"/>
        </w:rPr>
        <w:t> </w:t>
      </w:r>
      <w:r>
        <w:rPr/>
        <w:t>Scene Seven, a</w:t>
      </w:r>
      <w:r>
        <w:rPr>
          <w:spacing w:val="-1"/>
        </w:rPr>
        <w:t> </w:t>
      </w:r>
      <w:r>
        <w:rPr/>
        <w:t>piece</w:t>
      </w:r>
      <w:r>
        <w:rPr>
          <w:spacing w:val="-2"/>
        </w:rPr>
        <w:t> </w:t>
      </w:r>
      <w:r>
        <w:rPr/>
        <w:t>of</w:t>
      </w:r>
      <w:r>
        <w:rPr>
          <w:spacing w:val="-3"/>
        </w:rPr>
        <w:t> </w:t>
      </w:r>
      <w:r>
        <w:rPr/>
        <w:t>lyrical</w:t>
      </w:r>
      <w:r>
        <w:rPr>
          <w:spacing w:val="-1"/>
        </w:rPr>
        <w:t> </w:t>
      </w:r>
      <w:r>
        <w:rPr/>
        <w:t>reportage whose</w:t>
      </w:r>
      <w:r>
        <w:rPr>
          <w:spacing w:val="-1"/>
        </w:rPr>
        <w:t> </w:t>
      </w:r>
      <w:r>
        <w:rPr/>
        <w:t>beauty</w:t>
      </w:r>
      <w:r>
        <w:rPr>
          <w:spacing w:val="-5"/>
        </w:rPr>
        <w:t> </w:t>
      </w:r>
      <w:r>
        <w:rPr/>
        <w:t>has attracted centuries of commentary, most of it attentive to the aestheticisation of female suffering and the political cost of rendering violence</w:t>
      </w:r>
      <w:r>
        <w:rPr>
          <w:spacing w:val="40"/>
        </w:rPr>
        <w:t> </w:t>
      </w:r>
      <w:r>
        <w:rPr/>
        <w:t>picturesque.</w:t>
      </w:r>
    </w:p>
    <w:p>
      <w:pPr>
        <w:pStyle w:val="BodyText"/>
        <w:spacing w:line="249" w:lineRule="auto" w:before="67"/>
        <w:ind w:right="1441" w:firstLine="432"/>
        <w:jc w:val="both"/>
      </w:pPr>
      <w:r>
        <w:rPr/>
        <w:t>What Gertrude’s account performs, at the level of grammar and image, is a gradual dissolution of the boundary between Ophelia and</w:t>
      </w:r>
      <w:r>
        <w:rPr>
          <w:spacing w:val="40"/>
        </w:rPr>
        <w:t> </w:t>
      </w:r>
      <w:r>
        <w:rPr>
          <w:spacing w:val="-2"/>
        </w:rPr>
        <w:t>the</w:t>
      </w:r>
      <w:r>
        <w:rPr>
          <w:spacing w:val="-11"/>
        </w:rPr>
        <w:t> </w:t>
      </w:r>
      <w:r>
        <w:rPr>
          <w:spacing w:val="-2"/>
        </w:rPr>
        <w:t>water</w:t>
      </w:r>
      <w:r>
        <w:rPr>
          <w:spacing w:val="-10"/>
        </w:rPr>
        <w:t> </w:t>
      </w:r>
      <w:r>
        <w:rPr>
          <w:spacing w:val="-2"/>
        </w:rPr>
        <w:t>that</w:t>
      </w:r>
      <w:r>
        <w:rPr>
          <w:spacing w:val="-11"/>
        </w:rPr>
        <w:t> </w:t>
      </w:r>
      <w:r>
        <w:rPr>
          <w:spacing w:val="-2"/>
        </w:rPr>
        <w:t>receives</w:t>
      </w:r>
      <w:r>
        <w:rPr>
          <w:spacing w:val="-10"/>
        </w:rPr>
        <w:t> </w:t>
      </w:r>
      <w:r>
        <w:rPr>
          <w:spacing w:val="-2"/>
        </w:rPr>
        <w:t>her.</w:t>
      </w:r>
      <w:r>
        <w:rPr>
          <w:spacing w:val="-11"/>
        </w:rPr>
        <w:t> </w:t>
      </w:r>
      <w:r>
        <w:rPr>
          <w:spacing w:val="-2"/>
        </w:rPr>
        <w:t>She</w:t>
      </w:r>
      <w:r>
        <w:rPr>
          <w:spacing w:val="-10"/>
        </w:rPr>
        <w:t> </w:t>
      </w:r>
      <w:r>
        <w:rPr>
          <w:spacing w:val="-2"/>
        </w:rPr>
        <w:t>falls</w:t>
      </w:r>
      <w:r>
        <w:rPr>
          <w:spacing w:val="-11"/>
        </w:rPr>
        <w:t> </w:t>
      </w:r>
      <w:r>
        <w:rPr>
          <w:spacing w:val="-2"/>
        </w:rPr>
        <w:t>“mermaid-like”</w:t>
      </w:r>
      <w:r>
        <w:rPr>
          <w:spacing w:val="-10"/>
        </w:rPr>
        <w:t> </w:t>
      </w:r>
      <w:r>
        <w:rPr>
          <w:spacing w:val="-2"/>
        </w:rPr>
        <w:t>(4.7.175),</w:t>
      </w:r>
      <w:r>
        <w:rPr>
          <w:spacing w:val="-9"/>
        </w:rPr>
        <w:t> </w:t>
      </w:r>
      <w:r>
        <w:rPr>
          <w:spacing w:val="-2"/>
        </w:rPr>
        <w:t>her</w:t>
      </w:r>
      <w:r>
        <w:rPr>
          <w:spacing w:val="-10"/>
        </w:rPr>
        <w:t> </w:t>
      </w:r>
      <w:r>
        <w:rPr>
          <w:spacing w:val="-2"/>
        </w:rPr>
        <w:t>clothes </w:t>
      </w:r>
      <w:r>
        <w:rPr/>
        <w:t>spreading wide, holding her briefly afloat; she sings “snatches of old tunes” (4.7.177) as if “incapable of her own distress” (4.7.178); her garments,</w:t>
      </w:r>
      <w:r>
        <w:rPr>
          <w:spacing w:val="-5"/>
        </w:rPr>
        <w:t> </w:t>
      </w:r>
      <w:r>
        <w:rPr/>
        <w:t>“heavy</w:t>
      </w:r>
      <w:r>
        <w:rPr>
          <w:spacing w:val="-7"/>
        </w:rPr>
        <w:t> </w:t>
      </w:r>
      <w:r>
        <w:rPr/>
        <w:t>with</w:t>
      </w:r>
      <w:r>
        <w:rPr>
          <w:spacing w:val="-7"/>
        </w:rPr>
        <w:t> </w:t>
      </w:r>
      <w:r>
        <w:rPr/>
        <w:t>their</w:t>
      </w:r>
      <w:r>
        <w:rPr>
          <w:spacing w:val="-2"/>
        </w:rPr>
        <w:t> </w:t>
      </w:r>
      <w:r>
        <w:rPr/>
        <w:t>drink”</w:t>
      </w:r>
      <w:r>
        <w:rPr>
          <w:spacing w:val="-6"/>
        </w:rPr>
        <w:t> </w:t>
      </w:r>
      <w:r>
        <w:rPr/>
        <w:t>(4.7.180),</w:t>
      </w:r>
      <w:r>
        <w:rPr>
          <w:spacing w:val="-5"/>
        </w:rPr>
        <w:t> </w:t>
      </w:r>
      <w:r>
        <w:rPr/>
        <w:t>finally</w:t>
      </w:r>
      <w:r>
        <w:rPr>
          <w:spacing w:val="-7"/>
        </w:rPr>
        <w:t> </w:t>
      </w:r>
      <w:r>
        <w:rPr/>
        <w:t>pull</w:t>
      </w:r>
      <w:r>
        <w:rPr>
          <w:spacing w:val="-7"/>
        </w:rPr>
        <w:t> </w:t>
      </w:r>
      <w:r>
        <w:rPr/>
        <w:t>her</w:t>
      </w:r>
      <w:r>
        <w:rPr>
          <w:spacing w:val="-3"/>
        </w:rPr>
        <w:t> </w:t>
      </w:r>
      <w:r>
        <w:rPr/>
        <w:t>under.</w:t>
      </w:r>
      <w:r>
        <w:rPr>
          <w:spacing w:val="-8"/>
        </w:rPr>
        <w:t> </w:t>
      </w:r>
      <w:r>
        <w:rPr/>
        <w:t>The progression is one of increasing continuity between body and element, until the distinction</w:t>
      </w:r>
      <w:r>
        <w:rPr>
          <w:spacing w:val="-1"/>
        </w:rPr>
        <w:t> </w:t>
      </w:r>
      <w:r>
        <w:rPr/>
        <w:t>ceases to hold.</w:t>
      </w:r>
      <w:r>
        <w:rPr>
          <w:spacing w:val="-1"/>
        </w:rPr>
        <w:t> </w:t>
      </w:r>
      <w:r>
        <w:rPr/>
        <w:t>Ophelia does not simply</w:t>
      </w:r>
      <w:r>
        <w:rPr>
          <w:spacing w:val="-3"/>
        </w:rPr>
        <w:t> </w:t>
      </w:r>
      <w:r>
        <w:rPr/>
        <w:t>drown; she becomes water.</w:t>
      </w:r>
    </w:p>
    <w:p>
      <w:pPr>
        <w:pStyle w:val="BodyText"/>
        <w:spacing w:line="249" w:lineRule="auto" w:before="65"/>
        <w:ind w:right="1437" w:firstLine="432"/>
        <w:jc w:val="both"/>
      </w:pPr>
      <w:r>
        <w:rPr/>
        <w:t>This dissolution carries more interpretive weight than the aestheticisation critique alone can account for. Ophelia’s interiority throughout</w:t>
      </w:r>
      <w:r>
        <w:rPr>
          <w:spacing w:val="74"/>
        </w:rPr>
        <w:t> </w:t>
      </w:r>
      <w:r>
        <w:rPr/>
        <w:t>the</w:t>
      </w:r>
      <w:r>
        <w:rPr>
          <w:spacing w:val="76"/>
        </w:rPr>
        <w:t> </w:t>
      </w:r>
      <w:r>
        <w:rPr/>
        <w:t>play</w:t>
      </w:r>
      <w:r>
        <w:rPr>
          <w:spacing w:val="72"/>
        </w:rPr>
        <w:t> </w:t>
      </w:r>
      <w:r>
        <w:rPr/>
        <w:t>has</w:t>
      </w:r>
      <w:r>
        <w:rPr>
          <w:spacing w:val="74"/>
        </w:rPr>
        <w:t> </w:t>
      </w:r>
      <w:r>
        <w:rPr/>
        <w:t>been</w:t>
      </w:r>
      <w:r>
        <w:rPr>
          <w:spacing w:val="75"/>
        </w:rPr>
        <w:t> </w:t>
      </w:r>
      <w:r>
        <w:rPr/>
        <w:t>constituted</w:t>
      </w:r>
      <w:r>
        <w:rPr>
          <w:spacing w:val="79"/>
        </w:rPr>
        <w:t> </w:t>
      </w:r>
      <w:r>
        <w:rPr/>
        <w:t>almost</w:t>
      </w:r>
      <w:r>
        <w:rPr>
          <w:spacing w:val="74"/>
        </w:rPr>
        <w:t> </w:t>
      </w:r>
      <w:r>
        <w:rPr/>
        <w:t>entirely</w:t>
      </w:r>
      <w:r>
        <w:rPr>
          <w:spacing w:val="70"/>
        </w:rPr>
        <w:t> </w:t>
      </w:r>
      <w:r>
        <w:rPr/>
        <w:t>by</w:t>
      </w:r>
      <w:r>
        <w:rPr>
          <w:spacing w:val="72"/>
        </w:rPr>
        <w:t> </w:t>
      </w:r>
      <w:r>
        <w:rPr>
          <w:spacing w:val="-5"/>
        </w:rPr>
        <w:t>her</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27616">
                <wp:simplePos x="0" y="0"/>
                <wp:positionH relativeFrom="page">
                  <wp:posOffset>2065020</wp:posOffset>
                </wp:positionH>
                <wp:positionV relativeFrom="paragraph">
                  <wp:posOffset>795020</wp:posOffset>
                </wp:positionV>
                <wp:extent cx="3657600" cy="12700"/>
                <wp:effectExtent l="0" t="0" r="0" b="0"/>
                <wp:wrapTopAndBottom/>
                <wp:docPr id="417" name="Graphic 417"/>
                <wp:cNvGraphicFramePr>
                  <a:graphicFrameLocks/>
                </wp:cNvGraphicFramePr>
                <a:graphic>
                  <a:graphicData uri="http://schemas.microsoft.com/office/word/2010/wordprocessingShape">
                    <wps:wsp>
                      <wps:cNvPr id="417" name="Graphic 41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88864;mso-wrap-distance-left:0;mso-wrap-distance-right:0" id="docshape412" filled="true" fillcolor="#000000" stroked="false">
                <v:fill type="solid"/>
                <w10:wrap type="topAndBottom"/>
              </v:rect>
            </w:pict>
          </mc:Fallback>
        </mc:AlternateContent>
      </w:r>
      <w:r>
        <w:rPr>
          <w:rFonts w:ascii="Verdana" w:hAnsi="Verdana"/>
          <w:spacing w:val="-2"/>
          <w:sz w:val="18"/>
        </w:rPr>
        <w:t>Revisiting</w:t>
      </w:r>
      <w:r>
        <w:rPr>
          <w:rFonts w:ascii="Verdana" w:hAnsi="Verdana"/>
          <w:spacing w:val="-1"/>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Women: Traces</w:t>
      </w:r>
      <w:r>
        <w:rPr>
          <w:rFonts w:ascii="Verdana" w:hAnsi="Verdana"/>
          <w:sz w:val="18"/>
        </w:rPr>
        <w:t> </w:t>
      </w:r>
      <w:r>
        <w:rPr>
          <w:rFonts w:ascii="Verdana" w:hAnsi="Verdana"/>
          <w:spacing w:val="-2"/>
          <w:sz w:val="18"/>
        </w:rPr>
        <w:t>of</w:t>
      </w:r>
      <w:r>
        <w:rPr>
          <w:rFonts w:ascii="Verdana" w:hAnsi="Verdana"/>
          <w:spacing w:val="2"/>
          <w:sz w:val="18"/>
        </w:rPr>
        <w:t> </w:t>
      </w:r>
      <w:r>
        <w:rPr>
          <w:rFonts w:ascii="Verdana" w:hAnsi="Verdana"/>
          <w:spacing w:val="-2"/>
          <w:sz w:val="18"/>
        </w:rPr>
        <w:t>Fluidity</w:t>
      </w:r>
      <w:r>
        <w:rPr>
          <w:rFonts w:ascii="Verdana" w:hAnsi="Verdana"/>
          <w:sz w:val="18"/>
        </w:rPr>
        <w:t> </w:t>
      </w:r>
      <w:r>
        <w:rPr>
          <w:rFonts w:ascii="Verdana" w:hAnsi="Verdana"/>
          <w:spacing w:val="-5"/>
          <w:sz w:val="18"/>
        </w:rPr>
        <w:t>...</w:t>
      </w:r>
      <w:r>
        <w:rPr>
          <w:sz w:val="18"/>
        </w:rPr>
        <w:tab/>
      </w:r>
      <w:r>
        <w:rPr>
          <w:rFonts w:ascii="Verdana" w:hAnsi="Verdana"/>
          <w:spacing w:val="-5"/>
          <w:sz w:val="18"/>
        </w:rPr>
        <w:t>173</w:t>
      </w:r>
    </w:p>
    <w:p>
      <w:pPr>
        <w:pStyle w:val="BodyText"/>
        <w:spacing w:line="249" w:lineRule="auto" w:before="192"/>
        <w:ind w:right="1434"/>
        <w:jc w:val="both"/>
      </w:pPr>
      <w:r>
        <w:rPr/>
        <w:t>responsiveness to others: Polonius’s commands determine her conduct toward Hamlet; Hamlet’s disappointments constitute her primary </w:t>
      </w:r>
      <w:r>
        <w:rPr>
          <w:spacing w:val="-2"/>
        </w:rPr>
        <w:t>emotional</w:t>
      </w:r>
      <w:r>
        <w:rPr>
          <w:spacing w:val="-11"/>
        </w:rPr>
        <w:t> </w:t>
      </w:r>
      <w:r>
        <w:rPr>
          <w:spacing w:val="-2"/>
        </w:rPr>
        <w:t>reality;</w:t>
      </w:r>
      <w:r>
        <w:rPr>
          <w:spacing w:val="-10"/>
        </w:rPr>
        <w:t> </w:t>
      </w:r>
      <w:r>
        <w:rPr>
          <w:spacing w:val="-2"/>
        </w:rPr>
        <w:t>Laertes’s</w:t>
      </w:r>
      <w:r>
        <w:rPr>
          <w:spacing w:val="-11"/>
        </w:rPr>
        <w:t> </w:t>
      </w:r>
      <w:r>
        <w:rPr>
          <w:spacing w:val="-2"/>
        </w:rPr>
        <w:t>protectiveness</w:t>
      </w:r>
      <w:r>
        <w:rPr>
          <w:spacing w:val="-10"/>
        </w:rPr>
        <w:t> </w:t>
      </w:r>
      <w:r>
        <w:rPr>
          <w:spacing w:val="-2"/>
        </w:rPr>
        <w:t>frames</w:t>
      </w:r>
      <w:r>
        <w:rPr>
          <w:spacing w:val="-11"/>
        </w:rPr>
        <w:t> </w:t>
      </w:r>
      <w:r>
        <w:rPr>
          <w:spacing w:val="-2"/>
        </w:rPr>
        <w:t>her</w:t>
      </w:r>
      <w:r>
        <w:rPr>
          <w:spacing w:val="-8"/>
        </w:rPr>
        <w:t> </w:t>
      </w:r>
      <w:r>
        <w:rPr>
          <w:spacing w:val="-2"/>
        </w:rPr>
        <w:t>social</w:t>
      </w:r>
      <w:r>
        <w:rPr>
          <w:spacing w:val="-10"/>
        </w:rPr>
        <w:t> </w:t>
      </w:r>
      <w:r>
        <w:rPr>
          <w:spacing w:val="-2"/>
        </w:rPr>
        <w:t>world.</w:t>
      </w:r>
      <w:r>
        <w:rPr>
          <w:spacing w:val="-7"/>
        </w:rPr>
        <w:t> </w:t>
      </w:r>
      <w:r>
        <w:rPr>
          <w:spacing w:val="-2"/>
        </w:rPr>
        <w:t>Elaine </w:t>
      </w:r>
      <w:r>
        <w:rPr/>
        <w:t>Showalter’s foundational essay on Ophelia observes that she has been made, across the play’s</w:t>
      </w:r>
      <w:r>
        <w:rPr>
          <w:spacing w:val="-2"/>
        </w:rPr>
        <w:t> </w:t>
      </w:r>
      <w:r>
        <w:rPr/>
        <w:t>critical history, into a mirror for the desires</w:t>
      </w:r>
      <w:r>
        <w:rPr>
          <w:spacing w:val="-2"/>
        </w:rPr>
        <w:t> </w:t>
      </w:r>
      <w:r>
        <w:rPr/>
        <w:t>and anxieties of those around her, a surface that reflects rather than a</w:t>
      </w:r>
      <w:r>
        <w:rPr>
          <w:spacing w:val="40"/>
        </w:rPr>
        <w:t> </w:t>
      </w:r>
      <w:r>
        <w:rPr/>
        <w:t>subject that originates. Her madness — which erupts after her father’s murder and Hamlet’s disappearance — represents, in this context, the collapse of the relational structures that had given her form. When</w:t>
      </w:r>
      <w:r>
        <w:rPr>
          <w:spacing w:val="40"/>
        </w:rPr>
        <w:t> </w:t>
      </w:r>
      <w:r>
        <w:rPr/>
        <w:t>those</w:t>
      </w:r>
      <w:r>
        <w:rPr>
          <w:spacing w:val="40"/>
        </w:rPr>
        <w:t> </w:t>
      </w:r>
      <w:r>
        <w:rPr/>
        <w:t>structures</w:t>
      </w:r>
      <w:r>
        <w:rPr>
          <w:spacing w:val="40"/>
        </w:rPr>
        <w:t> </w:t>
      </w:r>
      <w:r>
        <w:rPr/>
        <w:t>dissolve,</w:t>
      </w:r>
      <w:r>
        <w:rPr>
          <w:spacing w:val="40"/>
        </w:rPr>
        <w:t> </w:t>
      </w:r>
      <w:r>
        <w:rPr/>
        <w:t>so,</w:t>
      </w:r>
      <w:r>
        <w:rPr>
          <w:spacing w:val="40"/>
        </w:rPr>
        <w:t> </w:t>
      </w:r>
      <w:r>
        <w:rPr/>
        <w:t>in</w:t>
      </w:r>
      <w:r>
        <w:rPr>
          <w:spacing w:val="40"/>
        </w:rPr>
        <w:t> </w:t>
      </w:r>
      <w:r>
        <w:rPr/>
        <w:t>a</w:t>
      </w:r>
      <w:r>
        <w:rPr>
          <w:spacing w:val="40"/>
        </w:rPr>
        <w:t> </w:t>
      </w:r>
      <w:r>
        <w:rPr/>
        <w:t>real</w:t>
      </w:r>
      <w:r>
        <w:rPr>
          <w:spacing w:val="40"/>
        </w:rPr>
        <w:t> </w:t>
      </w:r>
      <w:r>
        <w:rPr/>
        <w:t>sense,</w:t>
      </w:r>
      <w:r>
        <w:rPr>
          <w:spacing w:val="40"/>
        </w:rPr>
        <w:t> </w:t>
      </w:r>
      <w:r>
        <w:rPr/>
        <w:t>does</w:t>
      </w:r>
      <w:r>
        <w:rPr>
          <w:spacing w:val="40"/>
        </w:rPr>
        <w:t> </w:t>
      </w:r>
      <w:r>
        <w:rPr/>
        <w:t>she.</w:t>
      </w:r>
    </w:p>
    <w:p>
      <w:pPr>
        <w:pStyle w:val="BodyText"/>
        <w:spacing w:line="249" w:lineRule="auto" w:before="66"/>
        <w:ind w:right="1438" w:firstLine="432"/>
        <w:jc w:val="both"/>
      </w:pPr>
      <w:r>
        <w:rPr/>
        <w:t>The hydrofeminist reading adds to this an attention to what is gained, and what is transmitted, in the dissolution. Neimanis’s theorisation of water as archival medium suggests that Ophelia’s becoming-water is also a becoming-archive. The songs she sings in her madness — the fragments of ballads and popular music that her disordered</w:t>
      </w:r>
      <w:r>
        <w:rPr>
          <w:spacing w:val="-13"/>
        </w:rPr>
        <w:t> </w:t>
      </w:r>
      <w:r>
        <w:rPr/>
        <w:t>state</w:t>
      </w:r>
      <w:r>
        <w:rPr>
          <w:spacing w:val="-12"/>
        </w:rPr>
        <w:t> </w:t>
      </w:r>
      <w:r>
        <w:rPr/>
        <w:t>releases</w:t>
      </w:r>
      <w:r>
        <w:rPr>
          <w:spacing w:val="-13"/>
        </w:rPr>
        <w:t> </w:t>
      </w:r>
      <w:r>
        <w:rPr/>
        <w:t>—</w:t>
      </w:r>
      <w:r>
        <w:rPr>
          <w:spacing w:val="-12"/>
        </w:rPr>
        <w:t> </w:t>
      </w:r>
      <w:r>
        <w:rPr/>
        <w:t>are</w:t>
      </w:r>
      <w:r>
        <w:rPr>
          <w:spacing w:val="-13"/>
        </w:rPr>
        <w:t> </w:t>
      </w:r>
      <w:r>
        <w:rPr/>
        <w:t>dense</w:t>
      </w:r>
      <w:r>
        <w:rPr>
          <w:spacing w:val="-12"/>
        </w:rPr>
        <w:t> </w:t>
      </w:r>
      <w:r>
        <w:rPr/>
        <w:t>concentrations</w:t>
      </w:r>
      <w:r>
        <w:rPr>
          <w:spacing w:val="-13"/>
        </w:rPr>
        <w:t> </w:t>
      </w:r>
      <w:r>
        <w:rPr/>
        <w:t>of</w:t>
      </w:r>
      <w:r>
        <w:rPr>
          <w:spacing w:val="-12"/>
        </w:rPr>
        <w:t> </w:t>
      </w:r>
      <w:r>
        <w:rPr/>
        <w:t>cultural</w:t>
      </w:r>
      <w:r>
        <w:rPr>
          <w:spacing w:val="-13"/>
        </w:rPr>
        <w:t> </w:t>
      </w:r>
      <w:r>
        <w:rPr/>
        <w:t>memory, carrying</w:t>
      </w:r>
      <w:r>
        <w:rPr>
          <w:spacing w:val="-12"/>
        </w:rPr>
        <w:t> </w:t>
      </w:r>
      <w:r>
        <w:rPr/>
        <w:t>the</w:t>
      </w:r>
      <w:r>
        <w:rPr>
          <w:spacing w:val="-12"/>
        </w:rPr>
        <w:t> </w:t>
      </w:r>
      <w:r>
        <w:rPr/>
        <w:t>accumulated</w:t>
      </w:r>
      <w:r>
        <w:rPr>
          <w:spacing w:val="-10"/>
        </w:rPr>
        <w:t> </w:t>
      </w:r>
      <w:r>
        <w:rPr/>
        <w:t>affective</w:t>
      </w:r>
      <w:r>
        <w:rPr>
          <w:spacing w:val="-11"/>
        </w:rPr>
        <w:t> </w:t>
      </w:r>
      <w:r>
        <w:rPr/>
        <w:t>knowledge</w:t>
      </w:r>
      <w:r>
        <w:rPr>
          <w:spacing w:val="-8"/>
        </w:rPr>
        <w:t> </w:t>
      </w:r>
      <w:r>
        <w:rPr/>
        <w:t>of</w:t>
      </w:r>
      <w:r>
        <w:rPr>
          <w:spacing w:val="-12"/>
        </w:rPr>
        <w:t> </w:t>
      </w:r>
      <w:r>
        <w:rPr/>
        <w:t>a</w:t>
      </w:r>
      <w:r>
        <w:rPr>
          <w:spacing w:val="-12"/>
        </w:rPr>
        <w:t> </w:t>
      </w:r>
      <w:r>
        <w:rPr/>
        <w:t>community.</w:t>
      </w:r>
      <w:r>
        <w:rPr>
          <w:spacing w:val="-12"/>
        </w:rPr>
        <w:t> </w:t>
      </w:r>
      <w:r>
        <w:rPr/>
        <w:t>They</w:t>
      </w:r>
      <w:r>
        <w:rPr>
          <w:spacing w:val="-13"/>
        </w:rPr>
        <w:t> </w:t>
      </w:r>
      <w:r>
        <w:rPr/>
        <w:t>are transmitted through her dissolving body into the water that receives it, and from there, in the form</w:t>
      </w:r>
      <w:r>
        <w:rPr>
          <w:spacing w:val="-1"/>
        </w:rPr>
        <w:t> </w:t>
      </w:r>
      <w:r>
        <w:rPr/>
        <w:t>of Gertrude’s narration, into the play’s own archival</w:t>
      </w:r>
      <w:r>
        <w:rPr>
          <w:spacing w:val="40"/>
        </w:rPr>
        <w:t> </w:t>
      </w:r>
      <w:r>
        <w:rPr/>
        <w:t>tissue.</w:t>
      </w:r>
      <w:r>
        <w:rPr>
          <w:spacing w:val="40"/>
        </w:rPr>
        <w:t> </w:t>
      </w:r>
      <w:r>
        <w:rPr/>
        <w:t>Ophelia</w:t>
      </w:r>
      <w:r>
        <w:rPr>
          <w:spacing w:val="40"/>
        </w:rPr>
        <w:t> </w:t>
      </w:r>
      <w:r>
        <w:rPr/>
        <w:t>does</w:t>
      </w:r>
      <w:r>
        <w:rPr>
          <w:spacing w:val="40"/>
        </w:rPr>
        <w:t> </w:t>
      </w:r>
      <w:r>
        <w:rPr/>
        <w:t>not</w:t>
      </w:r>
      <w:r>
        <w:rPr>
          <w:spacing w:val="40"/>
        </w:rPr>
        <w:t> </w:t>
      </w:r>
      <w:r>
        <w:rPr/>
        <w:t>simply</w:t>
      </w:r>
      <w:r>
        <w:rPr>
          <w:spacing w:val="40"/>
        </w:rPr>
        <w:t> </w:t>
      </w:r>
      <w:r>
        <w:rPr/>
        <w:t>disappear;</w:t>
      </w:r>
      <w:r>
        <w:rPr>
          <w:spacing w:val="40"/>
        </w:rPr>
        <w:t> </w:t>
      </w:r>
      <w:r>
        <w:rPr/>
        <w:t>she</w:t>
      </w:r>
      <w:r>
        <w:rPr>
          <w:spacing w:val="40"/>
        </w:rPr>
        <w:t> </w:t>
      </w:r>
      <w:r>
        <w:rPr/>
        <w:t>deposits.</w:t>
      </w:r>
    </w:p>
    <w:p>
      <w:pPr>
        <w:pStyle w:val="BodyText"/>
        <w:spacing w:line="249" w:lineRule="auto" w:before="66"/>
        <w:ind w:right="1437" w:firstLine="432"/>
        <w:jc w:val="both"/>
      </w:pPr>
      <w:r>
        <w:rPr/>
        <w:t>The scene in the graveyard that follows her death enacts the epistemological consequences of this dissolution. The First Clown’s debate — “Is she to be buried in Christian</w:t>
      </w:r>
      <w:r>
        <w:rPr>
          <w:spacing w:val="-2"/>
        </w:rPr>
        <w:t> </w:t>
      </w:r>
      <w:r>
        <w:rPr/>
        <w:t>burial that wilfully</w:t>
      </w:r>
      <w:r>
        <w:rPr>
          <w:spacing w:val="-2"/>
        </w:rPr>
        <w:t> </w:t>
      </w:r>
      <w:r>
        <w:rPr/>
        <w:t>seeks her own</w:t>
      </w:r>
      <w:r>
        <w:rPr>
          <w:spacing w:val="-9"/>
        </w:rPr>
        <w:t> </w:t>
      </w:r>
      <w:r>
        <w:rPr/>
        <w:t>salvation?”</w:t>
      </w:r>
      <w:r>
        <w:rPr>
          <w:spacing w:val="-9"/>
        </w:rPr>
        <w:t> </w:t>
      </w:r>
      <w:r>
        <w:rPr/>
        <w:t>(5.1.1-2)</w:t>
      </w:r>
      <w:r>
        <w:rPr>
          <w:spacing w:val="-5"/>
        </w:rPr>
        <w:t> </w:t>
      </w:r>
      <w:r>
        <w:rPr/>
        <w:t>—</w:t>
      </w:r>
      <w:r>
        <w:rPr>
          <w:spacing w:val="-7"/>
        </w:rPr>
        <w:t> </w:t>
      </w:r>
      <w:r>
        <w:rPr/>
        <w:t>rehearses,</w:t>
      </w:r>
      <w:r>
        <w:rPr>
          <w:spacing w:val="-7"/>
        </w:rPr>
        <w:t> </w:t>
      </w:r>
      <w:r>
        <w:rPr/>
        <w:t>in</w:t>
      </w:r>
      <w:r>
        <w:rPr>
          <w:spacing w:val="-9"/>
        </w:rPr>
        <w:t> </w:t>
      </w:r>
      <w:r>
        <w:rPr/>
        <w:t>the</w:t>
      </w:r>
      <w:r>
        <w:rPr>
          <w:spacing w:val="-6"/>
        </w:rPr>
        <w:t> </w:t>
      </w:r>
      <w:r>
        <w:rPr/>
        <w:t>play’s</w:t>
      </w:r>
      <w:r>
        <w:rPr>
          <w:spacing w:val="-9"/>
        </w:rPr>
        <w:t> </w:t>
      </w:r>
      <w:r>
        <w:rPr/>
        <w:t>characteristic</w:t>
      </w:r>
      <w:r>
        <w:rPr>
          <w:spacing w:val="-8"/>
        </w:rPr>
        <w:t> </w:t>
      </w:r>
      <w:r>
        <w:rPr/>
        <w:t>mode of comic displacement, the genuine difficulty of reading water as evidence. Did Ophelia intend to die? The question resists resolution, and the play does not resolve it. Water absorbs intention; it leaves no trace of agency. The epistemological demand for determinacy — for a clear</w:t>
      </w:r>
      <w:r>
        <w:rPr>
          <w:spacing w:val="-4"/>
        </w:rPr>
        <w:t> </w:t>
      </w:r>
      <w:r>
        <w:rPr/>
        <w:t>answer</w:t>
      </w:r>
      <w:r>
        <w:rPr>
          <w:spacing w:val="-1"/>
        </w:rPr>
        <w:t> </w:t>
      </w:r>
      <w:r>
        <w:rPr/>
        <w:t>about</w:t>
      </w:r>
      <w:r>
        <w:rPr>
          <w:spacing w:val="-4"/>
        </w:rPr>
        <w:t> </w:t>
      </w:r>
      <w:r>
        <w:rPr/>
        <w:t>what</w:t>
      </w:r>
      <w:r>
        <w:rPr>
          <w:spacing w:val="-4"/>
        </w:rPr>
        <w:t> </w:t>
      </w:r>
      <w:r>
        <w:rPr/>
        <w:t>Ophelia</w:t>
      </w:r>
      <w:r>
        <w:rPr>
          <w:spacing w:val="-3"/>
        </w:rPr>
        <w:t> </w:t>
      </w:r>
      <w:r>
        <w:rPr/>
        <w:t>meant,</w:t>
      </w:r>
      <w:r>
        <w:rPr>
          <w:spacing w:val="-1"/>
        </w:rPr>
        <w:t> </w:t>
      </w:r>
      <w:r>
        <w:rPr/>
        <w:t>what</w:t>
      </w:r>
      <w:r>
        <w:rPr>
          <w:spacing w:val="-4"/>
        </w:rPr>
        <w:t> </w:t>
      </w:r>
      <w:r>
        <w:rPr/>
        <w:t>she</w:t>
      </w:r>
      <w:r>
        <w:rPr>
          <w:spacing w:val="-3"/>
        </w:rPr>
        <w:t> </w:t>
      </w:r>
      <w:r>
        <w:rPr/>
        <w:t>knew,</w:t>
      </w:r>
      <w:r>
        <w:rPr>
          <w:spacing w:val="-4"/>
        </w:rPr>
        <w:t> </w:t>
      </w:r>
      <w:r>
        <w:rPr/>
        <w:t>what</w:t>
      </w:r>
      <w:r>
        <w:rPr>
          <w:spacing w:val="-2"/>
        </w:rPr>
        <w:t> </w:t>
      </w:r>
      <w:r>
        <w:rPr/>
        <w:t>she</w:t>
      </w:r>
      <w:r>
        <w:rPr>
          <w:spacing w:val="-3"/>
        </w:rPr>
        <w:t> </w:t>
      </w:r>
      <w:r>
        <w:rPr>
          <w:spacing w:val="-2"/>
        </w:rPr>
        <w:t>chose</w:t>
      </w:r>
    </w:p>
    <w:p>
      <w:pPr>
        <w:pStyle w:val="BodyText"/>
        <w:spacing w:line="249" w:lineRule="auto" w:before="7"/>
        <w:ind w:right="1438"/>
        <w:jc w:val="both"/>
      </w:pPr>
      <w:r>
        <w:rPr/>
        <w:t>— meets in the medium of her death the very substance most constitutionally opposed to providing it. Her body’s undecidability is,</w:t>
      </w:r>
      <w:r>
        <w:rPr>
          <w:spacing w:val="40"/>
        </w:rPr>
        <w:t> </w:t>
      </w:r>
      <w:r>
        <w:rPr/>
        <w:t>in this reading, a form of persistence: the fluid body refuses the epistemological closure that the surrounding authority figures have consistently</w:t>
      </w:r>
      <w:r>
        <w:rPr>
          <w:spacing w:val="40"/>
        </w:rPr>
        <w:t> </w:t>
      </w:r>
      <w:r>
        <w:rPr/>
        <w:t>imposed</w:t>
      </w:r>
      <w:r>
        <w:rPr>
          <w:spacing w:val="40"/>
        </w:rPr>
        <w:t> </w:t>
      </w:r>
      <w:r>
        <w:rPr/>
        <w:t>upon</w:t>
      </w:r>
      <w:r>
        <w:rPr>
          <w:spacing w:val="40"/>
        </w:rPr>
        <w:t> </w:t>
      </w:r>
      <w:r>
        <w:rPr/>
        <w:t>her</w:t>
      </w:r>
      <w:r>
        <w:rPr>
          <w:spacing w:val="40"/>
        </w:rPr>
        <w:t> </w:t>
      </w:r>
      <w:r>
        <w:rPr/>
        <w:t>living</w:t>
      </w:r>
      <w:r>
        <w:rPr>
          <w:spacing w:val="40"/>
        </w:rPr>
        <w:t> </w:t>
      </w:r>
      <w:r>
        <w:rPr/>
        <w:t>one.</w:t>
      </w:r>
    </w:p>
    <w:p>
      <w:pPr>
        <w:pStyle w:val="Heading3"/>
        <w:numPr>
          <w:ilvl w:val="0"/>
          <w:numId w:val="33"/>
        </w:numPr>
        <w:tabs>
          <w:tab w:pos="1780" w:val="left" w:leader="none"/>
        </w:tabs>
        <w:spacing w:line="240" w:lineRule="auto" w:before="158" w:after="0"/>
        <w:ind w:left="1440" w:right="1437" w:firstLine="0"/>
        <w:jc w:val="left"/>
      </w:pPr>
      <w:r>
        <w:rPr>
          <w:w w:val="95"/>
        </w:rPr>
        <w:t>DESDEMONA:</w:t>
      </w:r>
      <w:r>
        <w:rPr>
          <w:spacing w:val="40"/>
        </w:rPr>
        <w:t> </w:t>
      </w:r>
      <w:r>
        <w:rPr>
          <w:w w:val="95"/>
        </w:rPr>
        <w:t>TEARS,</w:t>
      </w:r>
      <w:r>
        <w:rPr>
          <w:spacing w:val="40"/>
        </w:rPr>
        <w:t> </w:t>
      </w:r>
      <w:r>
        <w:rPr>
          <w:w w:val="95"/>
        </w:rPr>
        <w:t>THE</w:t>
      </w:r>
      <w:r>
        <w:rPr>
          <w:spacing w:val="40"/>
        </w:rPr>
        <w:t> </w:t>
      </w:r>
      <w:r>
        <w:rPr>
          <w:w w:val="95"/>
        </w:rPr>
        <w:t>DOUBLE</w:t>
      </w:r>
      <w:r>
        <w:rPr>
          <w:spacing w:val="40"/>
        </w:rPr>
        <w:t> </w:t>
      </w:r>
      <w:r>
        <w:rPr>
          <w:w w:val="95"/>
        </w:rPr>
        <w:t>BIND,</w:t>
      </w:r>
      <w:r>
        <w:rPr>
          <w:spacing w:val="40"/>
        </w:rPr>
        <w:t> </w:t>
      </w:r>
      <w:r>
        <w:rPr>
          <w:w w:val="95"/>
        </w:rPr>
        <w:t>AND </w:t>
      </w:r>
      <w:r>
        <w:rPr>
          <w:w w:val="90"/>
        </w:rPr>
        <w:t>TESTIMONIAL</w:t>
      </w:r>
      <w:r>
        <w:rPr>
          <w:spacing w:val="-7"/>
          <w:w w:val="90"/>
        </w:rPr>
        <w:t> </w:t>
      </w:r>
      <w:r>
        <w:rPr>
          <w:w w:val="90"/>
        </w:rPr>
        <w:t>INJUSTICE</w:t>
      </w:r>
    </w:p>
    <w:p>
      <w:pPr>
        <w:pStyle w:val="BodyText"/>
        <w:spacing w:line="249" w:lineRule="auto" w:before="76"/>
        <w:ind w:right="1439" w:firstLine="432"/>
        <w:jc w:val="both"/>
      </w:pPr>
      <w:r>
        <w:rPr/>
        <w:t>The</w:t>
      </w:r>
      <w:r>
        <w:rPr>
          <w:spacing w:val="-5"/>
        </w:rPr>
        <w:t> </w:t>
      </w:r>
      <w:r>
        <w:rPr/>
        <w:t>epistemological</w:t>
      </w:r>
      <w:r>
        <w:rPr>
          <w:spacing w:val="-3"/>
        </w:rPr>
        <w:t> </w:t>
      </w:r>
      <w:r>
        <w:rPr/>
        <w:t>machinery</w:t>
      </w:r>
      <w:r>
        <w:rPr>
          <w:spacing w:val="-7"/>
        </w:rPr>
        <w:t> </w:t>
      </w:r>
      <w:r>
        <w:rPr/>
        <w:t>of</w:t>
      </w:r>
      <w:r>
        <w:rPr>
          <w:spacing w:val="-5"/>
        </w:rPr>
        <w:t> </w:t>
      </w:r>
      <w:r>
        <w:rPr/>
        <w:t>Othello</w:t>
      </w:r>
      <w:r>
        <w:rPr>
          <w:spacing w:val="-2"/>
        </w:rPr>
        <w:t> </w:t>
      </w:r>
      <w:r>
        <w:rPr/>
        <w:t>turns</w:t>
      </w:r>
      <w:r>
        <w:rPr>
          <w:spacing w:val="-5"/>
        </w:rPr>
        <w:t> </w:t>
      </w:r>
      <w:r>
        <w:rPr/>
        <w:t>on</w:t>
      </w:r>
      <w:r>
        <w:rPr>
          <w:spacing w:val="-5"/>
        </w:rPr>
        <w:t> </w:t>
      </w:r>
      <w:r>
        <w:rPr/>
        <w:t>the</w:t>
      </w:r>
      <w:r>
        <w:rPr>
          <w:spacing w:val="-4"/>
        </w:rPr>
        <w:t> </w:t>
      </w:r>
      <w:r>
        <w:rPr/>
        <w:t>question</w:t>
      </w:r>
      <w:r>
        <w:rPr>
          <w:spacing w:val="-5"/>
        </w:rPr>
        <w:t> </w:t>
      </w:r>
      <w:r>
        <w:rPr/>
        <w:t>of what counts as evidence, who is authorised to interpret it, and how the body’s</w:t>
      </w:r>
      <w:r>
        <w:rPr>
          <w:spacing w:val="-3"/>
        </w:rPr>
        <w:t> </w:t>
      </w:r>
      <w:r>
        <w:rPr/>
        <w:t>fluid expressions — tears,</w:t>
      </w:r>
      <w:r>
        <w:rPr>
          <w:spacing w:val="-1"/>
        </w:rPr>
        <w:t> </w:t>
      </w:r>
      <w:r>
        <w:rPr/>
        <w:t>gestures,</w:t>
      </w:r>
      <w:r>
        <w:rPr>
          <w:spacing w:val="-2"/>
        </w:rPr>
        <w:t> </w:t>
      </w:r>
      <w:r>
        <w:rPr/>
        <w:t>the material life of</w:t>
      </w:r>
      <w:r>
        <w:rPr>
          <w:spacing w:val="-2"/>
        </w:rPr>
        <w:t> </w:t>
      </w:r>
      <w:r>
        <w:rPr/>
        <w:t>affect </w:t>
      </w:r>
      <w:r>
        <w:rPr>
          <w:spacing w:val="-10"/>
        </w:rPr>
        <w: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28128">
                <wp:simplePos x="0" y="0"/>
                <wp:positionH relativeFrom="page">
                  <wp:posOffset>2057400</wp:posOffset>
                </wp:positionH>
                <wp:positionV relativeFrom="paragraph">
                  <wp:posOffset>162604</wp:posOffset>
                </wp:positionV>
                <wp:extent cx="3657600" cy="12700"/>
                <wp:effectExtent l="0" t="0" r="0" b="0"/>
                <wp:wrapTopAndBottom/>
                <wp:docPr id="418" name="Graphic 418"/>
                <wp:cNvGraphicFramePr>
                  <a:graphicFrameLocks/>
                </wp:cNvGraphicFramePr>
                <a:graphic>
                  <a:graphicData uri="http://schemas.microsoft.com/office/word/2010/wordprocessingShape">
                    <wps:wsp>
                      <wps:cNvPr id="418" name="Graphic 41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88352;mso-wrap-distance-left:0;mso-wrap-distance-right:0" id="docshape413" filled="true" fillcolor="#000000" stroked="false">
                <v:fill type="solid"/>
                <w10:wrap type="topAndBottom"/>
              </v:rect>
            </w:pict>
          </mc:Fallback>
        </mc:AlternateContent>
      </w:r>
      <w:r>
        <w:rPr>
          <w:rFonts w:ascii="Verdana"/>
          <w:spacing w:val="-5"/>
          <w:sz w:val="18"/>
        </w:rPr>
        <w:t>174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4"/>
        <w:jc w:val="both"/>
      </w:pPr>
      <w:r>
        <w:rPr/>
        <w:t>fare within an economy of knowledge governed by jealousy and manipulation. Iago’s particular genius lies in his understanding that he need</w:t>
      </w:r>
      <w:r>
        <w:rPr>
          <w:spacing w:val="-3"/>
        </w:rPr>
        <w:t> </w:t>
      </w:r>
      <w:r>
        <w:rPr/>
        <w:t>not</w:t>
      </w:r>
      <w:r>
        <w:rPr>
          <w:spacing w:val="-3"/>
        </w:rPr>
        <w:t> </w:t>
      </w:r>
      <w:r>
        <w:rPr/>
        <w:t>fabricate</w:t>
      </w:r>
      <w:r>
        <w:rPr>
          <w:spacing w:val="-5"/>
        </w:rPr>
        <w:t> </w:t>
      </w:r>
      <w:r>
        <w:rPr/>
        <w:t>evidence;</w:t>
      </w:r>
      <w:r>
        <w:rPr>
          <w:spacing w:val="-3"/>
        </w:rPr>
        <w:t> </w:t>
      </w:r>
      <w:r>
        <w:rPr/>
        <w:t>he</w:t>
      </w:r>
      <w:r>
        <w:rPr>
          <w:spacing w:val="-4"/>
        </w:rPr>
        <w:t> </w:t>
      </w:r>
      <w:r>
        <w:rPr/>
        <w:t>need</w:t>
      </w:r>
      <w:r>
        <w:rPr>
          <w:spacing w:val="-2"/>
        </w:rPr>
        <w:t> </w:t>
      </w:r>
      <w:r>
        <w:rPr/>
        <w:t>only</w:t>
      </w:r>
      <w:r>
        <w:rPr>
          <w:spacing w:val="-7"/>
        </w:rPr>
        <w:t> </w:t>
      </w:r>
      <w:r>
        <w:rPr/>
        <w:t>redirect</w:t>
      </w:r>
      <w:r>
        <w:rPr>
          <w:spacing w:val="-3"/>
        </w:rPr>
        <w:t> </w:t>
      </w:r>
      <w:r>
        <w:rPr/>
        <w:t>its</w:t>
      </w:r>
      <w:r>
        <w:rPr>
          <w:spacing w:val="-5"/>
        </w:rPr>
        <w:t> </w:t>
      </w:r>
      <w:r>
        <w:rPr/>
        <w:t>interpretation.</w:t>
      </w:r>
      <w:r>
        <w:rPr>
          <w:spacing w:val="-2"/>
        </w:rPr>
        <w:t> </w:t>
      </w:r>
      <w:r>
        <w:rPr/>
        <w:t>The tears Desdemona sheds for Cassio are real, her friendship with him genuine, her advocacy sincere. What Iago accomplishes is the substitution</w:t>
      </w:r>
      <w:r>
        <w:rPr>
          <w:spacing w:val="-6"/>
        </w:rPr>
        <w:t> </w:t>
      </w:r>
      <w:r>
        <w:rPr/>
        <w:t>of</w:t>
      </w:r>
      <w:r>
        <w:rPr>
          <w:spacing w:val="-6"/>
        </w:rPr>
        <w:t> </w:t>
      </w:r>
      <w:r>
        <w:rPr/>
        <w:t>one</w:t>
      </w:r>
      <w:r>
        <w:rPr>
          <w:spacing w:val="-7"/>
        </w:rPr>
        <w:t> </w:t>
      </w:r>
      <w:r>
        <w:rPr/>
        <w:t>interpretive</w:t>
      </w:r>
      <w:r>
        <w:rPr>
          <w:spacing w:val="-6"/>
        </w:rPr>
        <w:t> </w:t>
      </w:r>
      <w:r>
        <w:rPr/>
        <w:t>frame</w:t>
      </w:r>
      <w:r>
        <w:rPr>
          <w:spacing w:val="-5"/>
        </w:rPr>
        <w:t> </w:t>
      </w:r>
      <w:r>
        <w:rPr/>
        <w:t>for</w:t>
      </w:r>
      <w:r>
        <w:rPr>
          <w:spacing w:val="-5"/>
        </w:rPr>
        <w:t> </w:t>
      </w:r>
      <w:r>
        <w:rPr/>
        <w:t>another,</w:t>
      </w:r>
      <w:r>
        <w:rPr>
          <w:spacing w:val="-6"/>
        </w:rPr>
        <w:t> </w:t>
      </w:r>
      <w:r>
        <w:rPr/>
        <w:t>exploiting</w:t>
      </w:r>
      <w:r>
        <w:rPr>
          <w:spacing w:val="-6"/>
        </w:rPr>
        <w:t> </w:t>
      </w:r>
      <w:r>
        <w:rPr/>
        <w:t>the</w:t>
      </w:r>
      <w:r>
        <w:rPr>
          <w:spacing w:val="-6"/>
        </w:rPr>
        <w:t> </w:t>
      </w:r>
      <w:r>
        <w:rPr/>
        <w:t>cultural logic that renders women’s affective expressions simultaneously inescapable</w:t>
      </w:r>
      <w:r>
        <w:rPr>
          <w:spacing w:val="40"/>
        </w:rPr>
        <w:t> </w:t>
      </w:r>
      <w:r>
        <w:rPr/>
        <w:t>and</w:t>
      </w:r>
      <w:r>
        <w:rPr>
          <w:spacing w:val="40"/>
        </w:rPr>
        <w:t> </w:t>
      </w:r>
      <w:r>
        <w:rPr/>
        <w:t>inherently</w:t>
      </w:r>
      <w:r>
        <w:rPr>
          <w:spacing w:val="40"/>
        </w:rPr>
        <w:t> </w:t>
      </w:r>
      <w:r>
        <w:rPr/>
        <w:t>untrustworthy.</w:t>
      </w:r>
    </w:p>
    <w:p>
      <w:pPr>
        <w:pStyle w:val="BodyText"/>
        <w:spacing w:line="249" w:lineRule="auto" w:before="64"/>
        <w:ind w:right="1438" w:firstLine="432"/>
        <w:jc w:val="both"/>
      </w:pPr>
      <w:r>
        <w:rPr/>
        <w:t>Act Three, Scene Three — the play’s central epistemological </w:t>
      </w:r>
      <w:r>
        <w:rPr>
          <w:spacing w:val="-2"/>
        </w:rPr>
        <w:t>catastrophe</w:t>
      </w:r>
      <w:r>
        <w:rPr>
          <w:spacing w:val="-5"/>
        </w:rPr>
        <w:t> </w:t>
      </w:r>
      <w:r>
        <w:rPr>
          <w:spacing w:val="-2"/>
        </w:rPr>
        <w:t>—</w:t>
      </w:r>
      <w:r>
        <w:rPr>
          <w:spacing w:val="-6"/>
        </w:rPr>
        <w:t> </w:t>
      </w:r>
      <w:r>
        <w:rPr>
          <w:spacing w:val="-2"/>
        </w:rPr>
        <w:t>stages</w:t>
      </w:r>
      <w:r>
        <w:rPr>
          <w:spacing w:val="-6"/>
        </w:rPr>
        <w:t> </w:t>
      </w:r>
      <w:r>
        <w:rPr>
          <w:spacing w:val="-2"/>
        </w:rPr>
        <w:t>this</w:t>
      </w:r>
      <w:r>
        <w:rPr>
          <w:spacing w:val="-8"/>
        </w:rPr>
        <w:t> </w:t>
      </w:r>
      <w:r>
        <w:rPr>
          <w:spacing w:val="-2"/>
        </w:rPr>
        <w:t>substitution</w:t>
      </w:r>
      <w:r>
        <w:rPr>
          <w:spacing w:val="-6"/>
        </w:rPr>
        <w:t> </w:t>
      </w:r>
      <w:r>
        <w:rPr>
          <w:spacing w:val="-2"/>
        </w:rPr>
        <w:t>with</w:t>
      </w:r>
      <w:r>
        <w:rPr>
          <w:spacing w:val="-6"/>
        </w:rPr>
        <w:t> </w:t>
      </w:r>
      <w:r>
        <w:rPr>
          <w:spacing w:val="-2"/>
        </w:rPr>
        <w:t>clinical</w:t>
      </w:r>
      <w:r>
        <w:rPr>
          <w:spacing w:val="-7"/>
        </w:rPr>
        <w:t> </w:t>
      </w:r>
      <w:r>
        <w:rPr>
          <w:spacing w:val="-2"/>
        </w:rPr>
        <w:t>economy.</w:t>
      </w:r>
      <w:r>
        <w:rPr>
          <w:spacing w:val="-6"/>
        </w:rPr>
        <w:t> </w:t>
      </w:r>
      <w:r>
        <w:rPr>
          <w:spacing w:val="-2"/>
        </w:rPr>
        <w:t>Desdemona </w:t>
      </w:r>
      <w:r>
        <w:rPr/>
        <w:t>weeps for Cassio; she presses Othello on his behalf; she is warm, open, and unguarded in ways that the scene makes readable, through Iago’s running commentary, as signs of guilty attachment. The mechanism of this reading is precisely the humoral logic of female affect: tears, understood within the early modern physiological imagination as a superfluity of moisture, bespeak the constitutional inability to contain feeling</w:t>
      </w:r>
      <w:r>
        <w:rPr>
          <w:spacing w:val="-13"/>
        </w:rPr>
        <w:t> </w:t>
      </w:r>
      <w:r>
        <w:rPr/>
        <w:t>that</w:t>
      </w:r>
      <w:r>
        <w:rPr>
          <w:spacing w:val="-12"/>
        </w:rPr>
        <w:t> </w:t>
      </w:r>
      <w:r>
        <w:rPr/>
        <w:t>also</w:t>
      </w:r>
      <w:r>
        <w:rPr>
          <w:spacing w:val="-11"/>
        </w:rPr>
        <w:t> </w:t>
      </w:r>
      <w:r>
        <w:rPr/>
        <w:t>disqualifies</w:t>
      </w:r>
      <w:r>
        <w:rPr>
          <w:spacing w:val="-11"/>
        </w:rPr>
        <w:t> </w:t>
      </w:r>
      <w:r>
        <w:rPr/>
        <w:t>a</w:t>
      </w:r>
      <w:r>
        <w:rPr>
          <w:spacing w:val="-13"/>
        </w:rPr>
        <w:t> </w:t>
      </w:r>
      <w:r>
        <w:rPr/>
        <w:t>woman’s</w:t>
      </w:r>
      <w:r>
        <w:rPr>
          <w:spacing w:val="-11"/>
        </w:rPr>
        <w:t> </w:t>
      </w:r>
      <w:r>
        <w:rPr/>
        <w:t>rational</w:t>
      </w:r>
      <w:r>
        <w:rPr>
          <w:spacing w:val="-11"/>
        </w:rPr>
        <w:t> </w:t>
      </w:r>
      <w:r>
        <w:rPr/>
        <w:t>judgement.</w:t>
      </w:r>
      <w:r>
        <w:rPr>
          <w:spacing w:val="-13"/>
        </w:rPr>
        <w:t> </w:t>
      </w:r>
      <w:r>
        <w:rPr/>
        <w:t>The</w:t>
      </w:r>
      <w:r>
        <w:rPr>
          <w:spacing w:val="-12"/>
        </w:rPr>
        <w:t> </w:t>
      </w:r>
      <w:r>
        <w:rPr/>
        <w:t>tear</w:t>
      </w:r>
      <w:r>
        <w:rPr>
          <w:spacing w:val="-11"/>
        </w:rPr>
        <w:t> </w:t>
      </w:r>
      <w:r>
        <w:rPr/>
        <w:t>that evidences sincerity evidences, by the same token, the very excess that makes sincerity epistemologically suspect. This is the double bind that Fricker’s account of testimonial injustice names: the identity-related deflation of credibility that operates independently of, and prior to, any assessment</w:t>
      </w:r>
      <w:r>
        <w:rPr>
          <w:spacing w:val="40"/>
        </w:rPr>
        <w:t> </w:t>
      </w:r>
      <w:r>
        <w:rPr/>
        <w:t>of</w:t>
      </w:r>
      <w:r>
        <w:rPr>
          <w:spacing w:val="40"/>
        </w:rPr>
        <w:t> </w:t>
      </w:r>
      <w:r>
        <w:rPr/>
        <w:t>the</w:t>
      </w:r>
      <w:r>
        <w:rPr>
          <w:spacing w:val="40"/>
        </w:rPr>
        <w:t> </w:t>
      </w:r>
      <w:r>
        <w:rPr/>
        <w:t>content</w:t>
      </w:r>
      <w:r>
        <w:rPr>
          <w:spacing w:val="40"/>
        </w:rPr>
        <w:t> </w:t>
      </w:r>
      <w:r>
        <w:rPr/>
        <w:t>of</w:t>
      </w:r>
      <w:r>
        <w:rPr>
          <w:spacing w:val="40"/>
        </w:rPr>
        <w:t> </w:t>
      </w:r>
      <w:r>
        <w:rPr/>
        <w:t>what</w:t>
      </w:r>
      <w:r>
        <w:rPr>
          <w:spacing w:val="40"/>
        </w:rPr>
        <w:t> </w:t>
      </w:r>
      <w:r>
        <w:rPr/>
        <w:t>is</w:t>
      </w:r>
      <w:r>
        <w:rPr>
          <w:spacing w:val="40"/>
        </w:rPr>
        <w:t> </w:t>
      </w:r>
      <w:r>
        <w:rPr/>
        <w:t>said.</w:t>
      </w:r>
    </w:p>
    <w:p>
      <w:pPr>
        <w:pStyle w:val="BodyText"/>
        <w:spacing w:line="249" w:lineRule="auto" w:before="69"/>
        <w:ind w:right="1434" w:firstLine="432"/>
        <w:jc w:val="both"/>
      </w:pPr>
      <w:r>
        <w:rPr/>
        <w:t>The bind is absolute. Silence from Desdemona would read as concealment; advocacy reads as importunity; tears read as guilty attachment. Every expression of her embodied subjectivity — every fluid discharge of affect — is available for conscription into Iago’s narrative,</w:t>
      </w:r>
      <w:r>
        <w:rPr>
          <w:spacing w:val="-1"/>
        </w:rPr>
        <w:t> </w:t>
      </w:r>
      <w:r>
        <w:rPr/>
        <w:t>because</w:t>
      </w:r>
      <w:r>
        <w:rPr>
          <w:spacing w:val="-4"/>
        </w:rPr>
        <w:t> </w:t>
      </w:r>
      <w:r>
        <w:rPr/>
        <w:t>that</w:t>
      </w:r>
      <w:r>
        <w:rPr>
          <w:spacing w:val="-2"/>
        </w:rPr>
        <w:t> </w:t>
      </w:r>
      <w:r>
        <w:rPr/>
        <w:t>narrative</w:t>
      </w:r>
      <w:r>
        <w:rPr>
          <w:spacing w:val="-1"/>
        </w:rPr>
        <w:t> </w:t>
      </w:r>
      <w:r>
        <w:rPr/>
        <w:t>is</w:t>
      </w:r>
      <w:r>
        <w:rPr>
          <w:spacing w:val="-3"/>
        </w:rPr>
        <w:t> </w:t>
      </w:r>
      <w:r>
        <w:rPr/>
        <w:t>structured</w:t>
      </w:r>
      <w:r>
        <w:rPr>
          <w:spacing w:val="-1"/>
        </w:rPr>
        <w:t> </w:t>
      </w:r>
      <w:r>
        <w:rPr/>
        <w:t>upon,</w:t>
      </w:r>
      <w:r>
        <w:rPr>
          <w:spacing w:val="-1"/>
        </w:rPr>
        <w:t> </w:t>
      </w:r>
      <w:r>
        <w:rPr/>
        <w:t>and</w:t>
      </w:r>
      <w:r>
        <w:rPr>
          <w:spacing w:val="-3"/>
        </w:rPr>
        <w:t> </w:t>
      </w:r>
      <w:r>
        <w:rPr/>
        <w:t>indeed</w:t>
      </w:r>
      <w:r>
        <w:rPr>
          <w:spacing w:val="-1"/>
        </w:rPr>
        <w:t> </w:t>
      </w:r>
      <w:r>
        <w:rPr/>
        <w:t>parasitic upon, the humoral logic that associates female moisture with cognitive unreliability. The tragedy</w:t>
      </w:r>
      <w:r>
        <w:rPr>
          <w:spacing w:val="-3"/>
        </w:rPr>
        <w:t> </w:t>
      </w:r>
      <w:r>
        <w:rPr/>
        <w:t>of</w:t>
      </w:r>
      <w:r>
        <w:rPr>
          <w:spacing w:val="-2"/>
        </w:rPr>
        <w:t> </w:t>
      </w:r>
      <w:r>
        <w:rPr/>
        <w:t>Othello, on this</w:t>
      </w:r>
      <w:r>
        <w:rPr>
          <w:spacing w:val="-2"/>
        </w:rPr>
        <w:t> </w:t>
      </w:r>
      <w:r>
        <w:rPr/>
        <w:t>reading, is less the tragedy of a credulous husband or a malicious ensign than the tragedy of a </w:t>
      </w:r>
      <w:r>
        <w:rPr>
          <w:spacing w:val="-2"/>
        </w:rPr>
        <w:t>woman whose body’s testimonial resources are constitutively</w:t>
      </w:r>
      <w:r>
        <w:rPr>
          <w:spacing w:val="-3"/>
        </w:rPr>
        <w:t> </w:t>
      </w:r>
      <w:r>
        <w:rPr>
          <w:spacing w:val="-2"/>
        </w:rPr>
        <w:t>unreadable </w:t>
      </w:r>
      <w:r>
        <w:rPr/>
        <w:t>within the epistemological frameworks available to her world.</w:t>
      </w:r>
    </w:p>
    <w:p>
      <w:pPr>
        <w:pStyle w:val="BodyText"/>
        <w:spacing w:line="249" w:lineRule="auto" w:before="69"/>
        <w:ind w:right="1441" w:firstLine="432"/>
        <w:jc w:val="both"/>
      </w:pPr>
      <w:r>
        <w:rPr/>
        <w:t>The handkerchief participates in this logic with particular acuity.</w:t>
      </w:r>
      <w:r>
        <w:rPr>
          <w:spacing w:val="40"/>
        </w:rPr>
        <w:t> </w:t>
      </w:r>
      <w:r>
        <w:rPr/>
        <w:t>It is, in the first instance, a material object rather than a symbol — a thing</w:t>
      </w:r>
      <w:r>
        <w:rPr>
          <w:spacing w:val="-8"/>
        </w:rPr>
        <w:t> </w:t>
      </w:r>
      <w:r>
        <w:rPr/>
        <w:t>woven</w:t>
      </w:r>
      <w:r>
        <w:rPr>
          <w:spacing w:val="-11"/>
        </w:rPr>
        <w:t> </w:t>
      </w:r>
      <w:r>
        <w:rPr/>
        <w:t>“in</w:t>
      </w:r>
      <w:r>
        <w:rPr>
          <w:spacing w:val="-8"/>
        </w:rPr>
        <w:t> </w:t>
      </w:r>
      <w:r>
        <w:rPr/>
        <w:t>[a]</w:t>
      </w:r>
      <w:r>
        <w:rPr>
          <w:spacing w:val="-9"/>
        </w:rPr>
        <w:t> </w:t>
      </w:r>
      <w:r>
        <w:rPr/>
        <w:t>prophet’s</w:t>
      </w:r>
      <w:r>
        <w:rPr>
          <w:spacing w:val="-8"/>
        </w:rPr>
        <w:t> </w:t>
      </w:r>
      <w:r>
        <w:rPr/>
        <w:t>fury”</w:t>
      </w:r>
      <w:r>
        <w:rPr>
          <w:spacing w:val="-7"/>
        </w:rPr>
        <w:t> </w:t>
      </w:r>
      <w:r>
        <w:rPr/>
        <w:t>(3.4.69),</w:t>
      </w:r>
      <w:r>
        <w:rPr>
          <w:spacing w:val="-8"/>
        </w:rPr>
        <w:t> </w:t>
      </w:r>
      <w:r>
        <w:rPr/>
        <w:t>saturated</w:t>
      </w:r>
      <w:r>
        <w:rPr>
          <w:spacing w:val="-6"/>
        </w:rPr>
        <w:t> </w:t>
      </w:r>
      <w:r>
        <w:rPr/>
        <w:t>with</w:t>
      </w:r>
      <w:r>
        <w:rPr>
          <w:spacing w:val="-9"/>
        </w:rPr>
        <w:t> </w:t>
      </w:r>
      <w:r>
        <w:rPr/>
        <w:t>the</w:t>
      </w:r>
      <w:r>
        <w:rPr>
          <w:spacing w:val="-7"/>
        </w:rPr>
        <w:t> </w:t>
      </w:r>
      <w:r>
        <w:rPr/>
        <w:t>affective history of</w:t>
      </w:r>
      <w:r>
        <w:rPr>
          <w:spacing w:val="-2"/>
        </w:rPr>
        <w:t> </w:t>
      </w:r>
      <w:r>
        <w:rPr/>
        <w:t>a first gift</w:t>
      </w:r>
      <w:r>
        <w:rPr>
          <w:spacing w:val="-1"/>
        </w:rPr>
        <w:t> </w:t>
      </w:r>
      <w:r>
        <w:rPr/>
        <w:t>and charged with maternal inheritance. Its passage from Desdemona’s possession to Cassio’s becomes, in Iago’s hands, what Othello demands: “ocular proof” (3.3.363). The irony is that this proof</w:t>
      </w:r>
      <w:r>
        <w:rPr>
          <w:spacing w:val="-3"/>
        </w:rPr>
        <w:t> </w:t>
      </w:r>
      <w:r>
        <w:rPr/>
        <w:t>is</w:t>
      </w:r>
      <w:r>
        <w:rPr>
          <w:spacing w:val="-1"/>
        </w:rPr>
        <w:t> </w:t>
      </w:r>
      <w:r>
        <w:rPr/>
        <w:t>the</w:t>
      </w:r>
      <w:r>
        <w:rPr>
          <w:spacing w:val="-1"/>
        </w:rPr>
        <w:t> </w:t>
      </w:r>
      <w:r>
        <w:rPr/>
        <w:t>most</w:t>
      </w:r>
      <w:r>
        <w:rPr>
          <w:spacing w:val="-1"/>
        </w:rPr>
        <w:t> </w:t>
      </w:r>
      <w:r>
        <w:rPr/>
        <w:t>liquid imaginable —</w:t>
      </w:r>
      <w:r>
        <w:rPr>
          <w:spacing w:val="-1"/>
        </w:rPr>
        <w:t> </w:t>
      </w:r>
      <w:r>
        <w:rPr/>
        <w:t>an</w:t>
      </w:r>
      <w:r>
        <w:rPr>
          <w:spacing w:val="-3"/>
        </w:rPr>
        <w:t> </w:t>
      </w:r>
      <w:r>
        <w:rPr/>
        <w:t>object</w:t>
      </w:r>
      <w:r>
        <w:rPr>
          <w:spacing w:val="-1"/>
        </w:rPr>
        <w:t> </w:t>
      </w:r>
      <w:r>
        <w:rPr/>
        <w:t>that carries</w:t>
      </w:r>
      <w:r>
        <w:rPr>
          <w:spacing w:val="-3"/>
        </w:rPr>
        <w:t> </w:t>
      </w:r>
      <w:r>
        <w:rPr/>
        <w:t>suggestion, association,</w:t>
      </w:r>
      <w:r>
        <w:rPr>
          <w:spacing w:val="10"/>
        </w:rPr>
        <w:t> </w:t>
      </w:r>
      <w:r>
        <w:rPr/>
        <w:t>and</w:t>
      </w:r>
      <w:r>
        <w:rPr>
          <w:spacing w:val="12"/>
        </w:rPr>
        <w:t> </w:t>
      </w:r>
      <w:r>
        <w:rPr/>
        <w:t>emotional</w:t>
      </w:r>
      <w:r>
        <w:rPr>
          <w:spacing w:val="11"/>
        </w:rPr>
        <w:t> </w:t>
      </w:r>
      <w:r>
        <w:rPr/>
        <w:t>trace</w:t>
      </w:r>
      <w:r>
        <w:rPr>
          <w:spacing w:val="13"/>
        </w:rPr>
        <w:t> </w:t>
      </w:r>
      <w:r>
        <w:rPr/>
        <w:t>rather</w:t>
      </w:r>
      <w:r>
        <w:rPr>
          <w:spacing w:val="11"/>
        </w:rPr>
        <w:t> </w:t>
      </w:r>
      <w:r>
        <w:rPr/>
        <w:t>than</w:t>
      </w:r>
      <w:r>
        <w:rPr>
          <w:spacing w:val="8"/>
        </w:rPr>
        <w:t> </w:t>
      </w:r>
      <w:r>
        <w:rPr/>
        <w:t>propositional</w:t>
      </w:r>
      <w:r>
        <w:rPr>
          <w:spacing w:val="11"/>
        </w:rPr>
        <w:t> </w:t>
      </w:r>
      <w:r>
        <w:rPr>
          <w:spacing w:val="-2"/>
        </w:rPr>
        <w:t>determinacy.</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28640">
                <wp:simplePos x="0" y="0"/>
                <wp:positionH relativeFrom="page">
                  <wp:posOffset>2065020</wp:posOffset>
                </wp:positionH>
                <wp:positionV relativeFrom="paragraph">
                  <wp:posOffset>795020</wp:posOffset>
                </wp:positionV>
                <wp:extent cx="3657600" cy="12700"/>
                <wp:effectExtent l="0" t="0" r="0" b="0"/>
                <wp:wrapTopAndBottom/>
                <wp:docPr id="419" name="Graphic 419"/>
                <wp:cNvGraphicFramePr>
                  <a:graphicFrameLocks/>
                </wp:cNvGraphicFramePr>
                <a:graphic>
                  <a:graphicData uri="http://schemas.microsoft.com/office/word/2010/wordprocessingShape">
                    <wps:wsp>
                      <wps:cNvPr id="419" name="Graphic 41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87840;mso-wrap-distance-left:0;mso-wrap-distance-right:0" id="docshape414" filled="true" fillcolor="#000000" stroked="false">
                <v:fill type="solid"/>
                <w10:wrap type="topAndBottom"/>
              </v:rect>
            </w:pict>
          </mc:Fallback>
        </mc:AlternateContent>
      </w:r>
      <w:r>
        <w:rPr>
          <w:rFonts w:ascii="Verdana" w:hAnsi="Verdana"/>
          <w:spacing w:val="-2"/>
          <w:sz w:val="18"/>
        </w:rPr>
        <w:t>Revisiting</w:t>
      </w:r>
      <w:r>
        <w:rPr>
          <w:rFonts w:ascii="Verdana" w:hAnsi="Verdana"/>
          <w:spacing w:val="-1"/>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Women: Traces</w:t>
      </w:r>
      <w:r>
        <w:rPr>
          <w:rFonts w:ascii="Verdana" w:hAnsi="Verdana"/>
          <w:sz w:val="18"/>
        </w:rPr>
        <w:t> </w:t>
      </w:r>
      <w:r>
        <w:rPr>
          <w:rFonts w:ascii="Verdana" w:hAnsi="Verdana"/>
          <w:spacing w:val="-2"/>
          <w:sz w:val="18"/>
        </w:rPr>
        <w:t>of</w:t>
      </w:r>
      <w:r>
        <w:rPr>
          <w:rFonts w:ascii="Verdana" w:hAnsi="Verdana"/>
          <w:spacing w:val="2"/>
          <w:sz w:val="18"/>
        </w:rPr>
        <w:t> </w:t>
      </w:r>
      <w:r>
        <w:rPr>
          <w:rFonts w:ascii="Verdana" w:hAnsi="Verdana"/>
          <w:spacing w:val="-2"/>
          <w:sz w:val="18"/>
        </w:rPr>
        <w:t>Fluidity</w:t>
      </w:r>
      <w:r>
        <w:rPr>
          <w:rFonts w:ascii="Verdana" w:hAnsi="Verdana"/>
          <w:sz w:val="18"/>
        </w:rPr>
        <w:t> </w:t>
      </w:r>
      <w:r>
        <w:rPr>
          <w:rFonts w:ascii="Verdana" w:hAnsi="Verdana"/>
          <w:spacing w:val="-5"/>
          <w:sz w:val="18"/>
        </w:rPr>
        <w:t>...</w:t>
      </w:r>
      <w:r>
        <w:rPr>
          <w:sz w:val="18"/>
        </w:rPr>
        <w:tab/>
      </w:r>
      <w:r>
        <w:rPr>
          <w:rFonts w:ascii="Verdana" w:hAnsi="Verdana"/>
          <w:spacing w:val="-5"/>
          <w:sz w:val="18"/>
        </w:rPr>
        <w:t>175</w:t>
      </w:r>
    </w:p>
    <w:p>
      <w:pPr>
        <w:pStyle w:val="BodyText"/>
        <w:spacing w:line="249" w:lineRule="auto" w:before="192"/>
        <w:ind w:right="1441"/>
        <w:jc w:val="both"/>
      </w:pPr>
      <w:r>
        <w:rPr/>
        <w:t>Love does not leave dry evidence; its testimonies circulate in affective registers that the demand for visual, propositional proof is designed, in practice,</w:t>
      </w:r>
      <w:r>
        <w:rPr>
          <w:spacing w:val="40"/>
        </w:rPr>
        <w:t> </w:t>
      </w:r>
      <w:r>
        <w:rPr/>
        <w:t>to</w:t>
      </w:r>
      <w:r>
        <w:rPr>
          <w:spacing w:val="40"/>
        </w:rPr>
        <w:t> </w:t>
      </w:r>
      <w:r>
        <w:rPr/>
        <w:t>discount.</w:t>
      </w:r>
    </w:p>
    <w:p>
      <w:pPr>
        <w:pStyle w:val="BodyText"/>
        <w:spacing w:line="249" w:lineRule="auto" w:before="60"/>
        <w:ind w:right="1439" w:firstLine="432"/>
        <w:jc w:val="both"/>
      </w:pPr>
      <w:r>
        <w:rPr/>
        <w:t>Desdemona’s death by smothering is formally antithetical to </w:t>
      </w:r>
      <w:r>
        <w:rPr>
          <w:spacing w:val="-2"/>
        </w:rPr>
        <w:t>Ophelia’s</w:t>
      </w:r>
      <w:r>
        <w:rPr>
          <w:spacing w:val="-11"/>
        </w:rPr>
        <w:t> </w:t>
      </w:r>
      <w:r>
        <w:rPr>
          <w:spacing w:val="-2"/>
        </w:rPr>
        <w:t>dissolution</w:t>
      </w:r>
      <w:r>
        <w:rPr>
          <w:spacing w:val="-10"/>
        </w:rPr>
        <w:t> </w:t>
      </w:r>
      <w:r>
        <w:rPr>
          <w:spacing w:val="-2"/>
        </w:rPr>
        <w:t>in</w:t>
      </w:r>
      <w:r>
        <w:rPr>
          <w:spacing w:val="-11"/>
        </w:rPr>
        <w:t> </w:t>
      </w:r>
      <w:r>
        <w:rPr>
          <w:spacing w:val="-2"/>
        </w:rPr>
        <w:t>water.</w:t>
      </w:r>
      <w:r>
        <w:rPr>
          <w:spacing w:val="-10"/>
        </w:rPr>
        <w:t> </w:t>
      </w:r>
      <w:r>
        <w:rPr>
          <w:spacing w:val="-2"/>
        </w:rPr>
        <w:t>Where</w:t>
      </w:r>
      <w:r>
        <w:rPr>
          <w:spacing w:val="-11"/>
        </w:rPr>
        <w:t> </w:t>
      </w:r>
      <w:r>
        <w:rPr>
          <w:spacing w:val="-2"/>
        </w:rPr>
        <w:t>Ophelia</w:t>
      </w:r>
      <w:r>
        <w:rPr>
          <w:spacing w:val="-10"/>
        </w:rPr>
        <w:t> </w:t>
      </w:r>
      <w:r>
        <w:rPr>
          <w:spacing w:val="-2"/>
        </w:rPr>
        <w:t>becomes</w:t>
      </w:r>
      <w:r>
        <w:rPr>
          <w:spacing w:val="-11"/>
        </w:rPr>
        <w:t> </w:t>
      </w:r>
      <w:r>
        <w:rPr>
          <w:spacing w:val="-2"/>
        </w:rPr>
        <w:t>fluid,</w:t>
      </w:r>
      <w:r>
        <w:rPr>
          <w:spacing w:val="-10"/>
        </w:rPr>
        <w:t> </w:t>
      </w:r>
      <w:r>
        <w:rPr>
          <w:spacing w:val="-2"/>
        </w:rPr>
        <w:t>Desdemona </w:t>
      </w:r>
      <w:r>
        <w:rPr/>
        <w:t>is dried out: the breath stopped, the moisture of life suppressed. Her dying words — “Nobody; I myself” (5.2.126) — constitute a final act</w:t>
      </w:r>
      <w:r>
        <w:rPr>
          <w:spacing w:val="40"/>
        </w:rPr>
        <w:t> </w:t>
      </w:r>
      <w:r>
        <w:rPr/>
        <w:t>of testimonial generosity, an utterance that simultaneously protects Othello and asserts her own subjectivity for the last time. She speaks truthfully in the moment of her death, and the play receives what her world could not: a record, held in the theatrical archive, of what her testimony</w:t>
      </w:r>
      <w:r>
        <w:rPr>
          <w:spacing w:val="40"/>
        </w:rPr>
        <w:t> </w:t>
      </w:r>
      <w:r>
        <w:rPr/>
        <w:t>was</w:t>
      </w:r>
      <w:r>
        <w:rPr>
          <w:spacing w:val="40"/>
        </w:rPr>
        <w:t> </w:t>
      </w:r>
      <w:r>
        <w:rPr/>
        <w:t>worth.</w:t>
      </w:r>
    </w:p>
    <w:p>
      <w:pPr>
        <w:pStyle w:val="Heading3"/>
        <w:numPr>
          <w:ilvl w:val="0"/>
          <w:numId w:val="33"/>
        </w:numPr>
        <w:tabs>
          <w:tab w:pos="1687" w:val="left" w:leader="none"/>
        </w:tabs>
        <w:spacing w:line="240" w:lineRule="auto" w:before="161" w:after="0"/>
        <w:ind w:left="1440" w:right="1446" w:firstLine="0"/>
        <w:jc w:val="left"/>
      </w:pPr>
      <w:r>
        <w:rPr>
          <w:w w:val="85"/>
        </w:rPr>
        <w:t>HERMIONE: THE ARCHIVAL BODY, SUSPENDED </w:t>
      </w:r>
      <w:r>
        <w:rPr>
          <w:w w:val="85"/>
        </w:rPr>
        <w:t>TIME, </w:t>
      </w:r>
      <w:r>
        <w:rPr>
          <w:w w:val="95"/>
        </w:rPr>
        <w:t>AND</w:t>
      </w:r>
      <w:r>
        <w:rPr>
          <w:spacing w:val="-14"/>
          <w:w w:val="95"/>
        </w:rPr>
        <w:t> </w:t>
      </w:r>
      <w:r>
        <w:rPr>
          <w:w w:val="95"/>
        </w:rPr>
        <w:t>RECONSTITUTION</w:t>
      </w:r>
    </w:p>
    <w:p>
      <w:pPr>
        <w:pStyle w:val="BodyText"/>
        <w:spacing w:line="249" w:lineRule="auto" w:before="74"/>
        <w:ind w:right="1440" w:firstLine="432"/>
        <w:jc w:val="both"/>
      </w:pPr>
      <w:r>
        <w:rPr/>
        <w:t>Of the six figures considered in this paper, Hermione is the one whose</w:t>
      </w:r>
      <w:r>
        <w:rPr>
          <w:spacing w:val="-9"/>
        </w:rPr>
        <w:t> </w:t>
      </w:r>
      <w:r>
        <w:rPr/>
        <w:t>body</w:t>
      </w:r>
      <w:r>
        <w:rPr>
          <w:spacing w:val="-11"/>
        </w:rPr>
        <w:t> </w:t>
      </w:r>
      <w:r>
        <w:rPr/>
        <w:t>most</w:t>
      </w:r>
      <w:r>
        <w:rPr>
          <w:spacing w:val="-8"/>
        </w:rPr>
        <w:t> </w:t>
      </w:r>
      <w:r>
        <w:rPr/>
        <w:t>fully</w:t>
      </w:r>
      <w:r>
        <w:rPr>
          <w:spacing w:val="-11"/>
        </w:rPr>
        <w:t> </w:t>
      </w:r>
      <w:r>
        <w:rPr/>
        <w:t>embodies</w:t>
      </w:r>
      <w:r>
        <w:rPr>
          <w:spacing w:val="-9"/>
        </w:rPr>
        <w:t> </w:t>
      </w:r>
      <w:r>
        <w:rPr/>
        <w:t>the</w:t>
      </w:r>
      <w:r>
        <w:rPr>
          <w:spacing w:val="-9"/>
        </w:rPr>
        <w:t> </w:t>
      </w:r>
      <w:r>
        <w:rPr/>
        <w:t>archival</w:t>
      </w:r>
      <w:r>
        <w:rPr>
          <w:spacing w:val="-9"/>
        </w:rPr>
        <w:t> </w:t>
      </w:r>
      <w:r>
        <w:rPr/>
        <w:t>logic</w:t>
      </w:r>
      <w:r>
        <w:rPr>
          <w:spacing w:val="-8"/>
        </w:rPr>
        <w:t> </w:t>
      </w:r>
      <w:r>
        <w:rPr/>
        <w:t>of</w:t>
      </w:r>
      <w:r>
        <w:rPr>
          <w:spacing w:val="-9"/>
        </w:rPr>
        <w:t> </w:t>
      </w:r>
      <w:r>
        <w:rPr/>
        <w:t>Neimanis’s</w:t>
      </w:r>
      <w:r>
        <w:rPr>
          <w:spacing w:val="-7"/>
        </w:rPr>
        <w:t> </w:t>
      </w:r>
      <w:r>
        <w:rPr/>
        <w:t>water. Her trajectory in The Winter’s Tale — from the warmth and social plenitude of her pregnant body in the play’s first half to her apparent death and eventual reanimation in Act Five — enacts, at the level of dramatic form, what the study has been calling the archival patience of the fluid body: its capacity to retain what unjust authority has struck from the record and restore it, eventually, to legibility.</w:t>
      </w:r>
    </w:p>
    <w:p>
      <w:pPr>
        <w:pStyle w:val="BodyText"/>
        <w:spacing w:line="249" w:lineRule="auto" w:before="66"/>
        <w:ind w:right="1439" w:firstLine="432"/>
        <w:jc w:val="both"/>
      </w:pPr>
      <w:r>
        <w:rPr/>
        <w:t>Leontes’s jealousy constitutes itself as an epistemological crisis before it becomes a moral one. He does not gradually accumulate evidence and then misconstrue it; he is overtaken, without apparent external cause, by a sudden inability to interpret the signs of his wife’s body</w:t>
      </w:r>
      <w:r>
        <w:rPr>
          <w:spacing w:val="-10"/>
        </w:rPr>
        <w:t> </w:t>
      </w:r>
      <w:r>
        <w:rPr/>
        <w:t>correctly.</w:t>
      </w:r>
      <w:r>
        <w:rPr>
          <w:spacing w:val="-10"/>
        </w:rPr>
        <w:t> </w:t>
      </w:r>
      <w:r>
        <w:rPr/>
        <w:t>Her</w:t>
      </w:r>
      <w:r>
        <w:rPr>
          <w:spacing w:val="-7"/>
        </w:rPr>
        <w:t> </w:t>
      </w:r>
      <w:r>
        <w:rPr/>
        <w:t>warmth</w:t>
      </w:r>
      <w:r>
        <w:rPr>
          <w:spacing w:val="-10"/>
        </w:rPr>
        <w:t> </w:t>
      </w:r>
      <w:r>
        <w:rPr/>
        <w:t>in</w:t>
      </w:r>
      <w:r>
        <w:rPr>
          <w:spacing w:val="-9"/>
        </w:rPr>
        <w:t> </w:t>
      </w:r>
      <w:r>
        <w:rPr/>
        <w:t>company,</w:t>
      </w:r>
      <w:r>
        <w:rPr>
          <w:spacing w:val="-7"/>
        </w:rPr>
        <w:t> </w:t>
      </w:r>
      <w:r>
        <w:rPr/>
        <w:t>her</w:t>
      </w:r>
      <w:r>
        <w:rPr>
          <w:spacing w:val="-9"/>
        </w:rPr>
        <w:t> </w:t>
      </w:r>
      <w:r>
        <w:rPr/>
        <w:t>physical</w:t>
      </w:r>
      <w:r>
        <w:rPr>
          <w:spacing w:val="-9"/>
        </w:rPr>
        <w:t> </w:t>
      </w:r>
      <w:r>
        <w:rPr/>
        <w:t>ease,</w:t>
      </w:r>
      <w:r>
        <w:rPr>
          <w:spacing w:val="-9"/>
        </w:rPr>
        <w:t> </w:t>
      </w:r>
      <w:r>
        <w:rPr/>
        <w:t>the</w:t>
      </w:r>
      <w:r>
        <w:rPr>
          <w:spacing w:val="-8"/>
        </w:rPr>
        <w:t> </w:t>
      </w:r>
      <w:r>
        <w:rPr/>
        <w:t>openness of her manner — all become, under the pressure of his “tremor cordis” (1.2.110),</w:t>
      </w:r>
      <w:r>
        <w:rPr>
          <w:spacing w:val="-11"/>
        </w:rPr>
        <w:t> </w:t>
      </w:r>
      <w:r>
        <w:rPr/>
        <w:t>indicators</w:t>
      </w:r>
      <w:r>
        <w:rPr>
          <w:spacing w:val="-9"/>
        </w:rPr>
        <w:t> </w:t>
      </w:r>
      <w:r>
        <w:rPr/>
        <w:t>of</w:t>
      </w:r>
      <w:r>
        <w:rPr>
          <w:spacing w:val="-12"/>
        </w:rPr>
        <w:t> </w:t>
      </w:r>
      <w:r>
        <w:rPr/>
        <w:t>guilt.</w:t>
      </w:r>
      <w:r>
        <w:rPr>
          <w:spacing w:val="-11"/>
        </w:rPr>
        <w:t> </w:t>
      </w:r>
      <w:r>
        <w:rPr/>
        <w:t>The</w:t>
      </w:r>
      <w:r>
        <w:rPr>
          <w:spacing w:val="-11"/>
        </w:rPr>
        <w:t> </w:t>
      </w:r>
      <w:r>
        <w:rPr/>
        <w:t>trembling</w:t>
      </w:r>
      <w:r>
        <w:rPr>
          <w:spacing w:val="-11"/>
        </w:rPr>
        <w:t> </w:t>
      </w:r>
      <w:r>
        <w:rPr/>
        <w:t>he</w:t>
      </w:r>
      <w:r>
        <w:rPr>
          <w:spacing w:val="-11"/>
        </w:rPr>
        <w:t> </w:t>
      </w:r>
      <w:r>
        <w:rPr/>
        <w:t>names</w:t>
      </w:r>
      <w:r>
        <w:rPr>
          <w:spacing w:val="-12"/>
        </w:rPr>
        <w:t> </w:t>
      </w:r>
      <w:r>
        <w:rPr/>
        <w:t>is</w:t>
      </w:r>
      <w:r>
        <w:rPr>
          <w:spacing w:val="-9"/>
        </w:rPr>
        <w:t> </w:t>
      </w:r>
      <w:r>
        <w:rPr/>
        <w:t>physiological</w:t>
      </w:r>
      <w:r>
        <w:rPr>
          <w:spacing w:val="-11"/>
        </w:rPr>
        <w:t> </w:t>
      </w:r>
      <w:r>
        <w:rPr/>
        <w:t>as well as emotional, and it infects his reading of everything around him. What he sees is filtered through the disturbance of his own humoral interior, and the result is systematic misreading: a husband who experiences his</w:t>
      </w:r>
      <w:r>
        <w:rPr>
          <w:spacing w:val="38"/>
        </w:rPr>
        <w:t> </w:t>
      </w:r>
      <w:r>
        <w:rPr/>
        <w:t>wife’s</w:t>
      </w:r>
      <w:r>
        <w:rPr>
          <w:spacing w:val="38"/>
        </w:rPr>
        <w:t> </w:t>
      </w:r>
      <w:r>
        <w:rPr/>
        <w:t>generosity as evidence</w:t>
      </w:r>
      <w:r>
        <w:rPr>
          <w:spacing w:val="38"/>
        </w:rPr>
        <w:t> </w:t>
      </w:r>
      <w:r>
        <w:rPr/>
        <w:t>of her</w:t>
      </w:r>
      <w:r>
        <w:rPr>
          <w:spacing w:val="38"/>
        </w:rPr>
        <w:t> </w:t>
      </w:r>
      <w:r>
        <w:rPr/>
        <w:t>infidelity.</w:t>
      </w:r>
    </w:p>
    <w:p>
      <w:pPr>
        <w:pStyle w:val="BodyText"/>
        <w:spacing w:line="249" w:lineRule="auto" w:before="67"/>
        <w:ind w:right="1439" w:firstLine="432"/>
        <w:jc w:val="both"/>
      </w:pPr>
      <w:r>
        <w:rPr/>
        <w:t>The pregnant body is central to this crisis precisely because it is the</w:t>
      </w:r>
      <w:r>
        <w:rPr>
          <w:spacing w:val="-13"/>
        </w:rPr>
        <w:t> </w:t>
      </w:r>
      <w:r>
        <w:rPr/>
        <w:t>site</w:t>
      </w:r>
      <w:r>
        <w:rPr>
          <w:spacing w:val="-12"/>
        </w:rPr>
        <w:t> </w:t>
      </w:r>
      <w:r>
        <w:rPr/>
        <w:t>of</w:t>
      </w:r>
      <w:r>
        <w:rPr>
          <w:spacing w:val="-13"/>
        </w:rPr>
        <w:t> </w:t>
      </w:r>
      <w:r>
        <w:rPr/>
        <w:t>epistemological</w:t>
      </w:r>
      <w:r>
        <w:rPr>
          <w:spacing w:val="-12"/>
        </w:rPr>
        <w:t> </w:t>
      </w:r>
      <w:r>
        <w:rPr/>
        <w:t>opacity</w:t>
      </w:r>
      <w:r>
        <w:rPr>
          <w:spacing w:val="-13"/>
        </w:rPr>
        <w:t> </w:t>
      </w:r>
      <w:r>
        <w:rPr/>
        <w:t>within</w:t>
      </w:r>
      <w:r>
        <w:rPr>
          <w:spacing w:val="-12"/>
        </w:rPr>
        <w:t> </w:t>
      </w:r>
      <w:r>
        <w:rPr/>
        <w:t>the</w:t>
      </w:r>
      <w:r>
        <w:rPr>
          <w:spacing w:val="-13"/>
        </w:rPr>
        <w:t> </w:t>
      </w:r>
      <w:r>
        <w:rPr/>
        <w:t>marriage.</w:t>
      </w:r>
      <w:r>
        <w:rPr>
          <w:spacing w:val="-12"/>
        </w:rPr>
        <w:t> </w:t>
      </w:r>
      <w:r>
        <w:rPr/>
        <w:t>Hermione</w:t>
      </w:r>
      <w:r>
        <w:rPr>
          <w:spacing w:val="-13"/>
        </w:rPr>
        <w:t> </w:t>
      </w:r>
      <w:r>
        <w:rPr/>
        <w:t>carries a</w:t>
      </w:r>
      <w:r>
        <w:rPr>
          <w:spacing w:val="-2"/>
        </w:rPr>
        <w:t> </w:t>
      </w:r>
      <w:r>
        <w:rPr/>
        <w:t>child</w:t>
      </w:r>
      <w:r>
        <w:rPr>
          <w:spacing w:val="-3"/>
        </w:rPr>
        <w:t> </w:t>
      </w:r>
      <w:r>
        <w:rPr/>
        <w:t>whose</w:t>
      </w:r>
      <w:r>
        <w:rPr>
          <w:spacing w:val="-1"/>
        </w:rPr>
        <w:t> </w:t>
      </w:r>
      <w:r>
        <w:rPr/>
        <w:t>paternity</w:t>
      </w:r>
      <w:r>
        <w:rPr>
          <w:spacing w:val="-5"/>
        </w:rPr>
        <w:t> </w:t>
      </w:r>
      <w:r>
        <w:rPr/>
        <w:t>cannot</w:t>
      </w:r>
      <w:r>
        <w:rPr>
          <w:spacing w:val="-4"/>
        </w:rPr>
        <w:t> </w:t>
      </w:r>
      <w:r>
        <w:rPr/>
        <w:t>be</w:t>
      </w:r>
      <w:r>
        <w:rPr>
          <w:spacing w:val="-2"/>
        </w:rPr>
        <w:t> </w:t>
      </w:r>
      <w:r>
        <w:rPr/>
        <w:t>visually</w:t>
      </w:r>
      <w:r>
        <w:rPr>
          <w:spacing w:val="-7"/>
        </w:rPr>
        <w:t> </w:t>
      </w:r>
      <w:r>
        <w:rPr/>
        <w:t>confirmed;</w:t>
      </w:r>
      <w:r>
        <w:rPr>
          <w:spacing w:val="-2"/>
        </w:rPr>
        <w:t> </w:t>
      </w:r>
      <w:r>
        <w:rPr/>
        <w:t>the</w:t>
      </w:r>
      <w:r>
        <w:rPr>
          <w:spacing w:val="-1"/>
        </w:rPr>
        <w:t> </w:t>
      </w:r>
      <w:r>
        <w:rPr/>
        <w:t>interior</w:t>
      </w:r>
      <w:r>
        <w:rPr>
          <w:spacing w:val="-3"/>
        </w:rPr>
        <w:t> </w:t>
      </w:r>
      <w:r>
        <w:rPr/>
        <w:t>of</w:t>
      </w:r>
      <w:r>
        <w:rPr>
          <w:spacing w:val="-3"/>
        </w:rPr>
        <w:t> </w:t>
      </w:r>
      <w:r>
        <w:rPr/>
        <w:t>her body</w:t>
      </w:r>
      <w:r>
        <w:rPr>
          <w:spacing w:val="-3"/>
        </w:rPr>
        <w:t> </w:t>
      </w:r>
      <w:r>
        <w:rPr/>
        <w:t>is a space that</w:t>
      </w:r>
      <w:r>
        <w:rPr>
          <w:spacing w:val="-1"/>
        </w:rPr>
        <w:t> </w:t>
      </w:r>
      <w:r>
        <w:rPr/>
        <w:t>Leontes cannot enter or fully</w:t>
      </w:r>
      <w:r>
        <w:rPr>
          <w:spacing w:val="-3"/>
        </w:rPr>
        <w:t> </w:t>
      </w:r>
      <w:r>
        <w:rPr/>
        <w:t>know. Her pregnancy is</w:t>
      </w:r>
      <w:r>
        <w:rPr>
          <w:spacing w:val="32"/>
        </w:rPr>
        <w:t> </w:t>
      </w:r>
      <w:r>
        <w:rPr/>
        <w:t>simultaneously</w:t>
      </w:r>
      <w:r>
        <w:rPr>
          <w:spacing w:val="32"/>
        </w:rPr>
        <w:t> </w:t>
      </w:r>
      <w:r>
        <w:rPr/>
        <w:t>the</w:t>
      </w:r>
      <w:r>
        <w:rPr>
          <w:spacing w:val="35"/>
        </w:rPr>
        <w:t> </w:t>
      </w:r>
      <w:r>
        <w:rPr/>
        <w:t>most</w:t>
      </w:r>
      <w:r>
        <w:rPr>
          <w:spacing w:val="35"/>
        </w:rPr>
        <w:t> </w:t>
      </w:r>
      <w:r>
        <w:rPr/>
        <w:t>intimate</w:t>
      </w:r>
      <w:r>
        <w:rPr>
          <w:spacing w:val="35"/>
        </w:rPr>
        <w:t> </w:t>
      </w:r>
      <w:r>
        <w:rPr/>
        <w:t>possible</w:t>
      </w:r>
      <w:r>
        <w:rPr>
          <w:spacing w:val="36"/>
        </w:rPr>
        <w:t> </w:t>
      </w:r>
      <w:r>
        <w:rPr/>
        <w:t>expression</w:t>
      </w:r>
      <w:r>
        <w:rPr>
          <w:spacing w:val="32"/>
        </w:rPr>
        <w:t> </w:t>
      </w:r>
      <w:r>
        <w:rPr/>
        <w:t>of</w:t>
      </w:r>
      <w:r>
        <w:rPr>
          <w:spacing w:val="33"/>
        </w:rPr>
        <w:t> </w:t>
      </w:r>
      <w:r>
        <w:rPr/>
        <w:t>her</w:t>
      </w:r>
      <w:r>
        <w:rPr>
          <w:spacing w:val="35"/>
        </w:rPr>
        <w:t> </w:t>
      </w:r>
      <w:r>
        <w:rPr>
          <w:spacing w:val="-4"/>
        </w:rPr>
        <w:t>bond</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29152">
                <wp:simplePos x="0" y="0"/>
                <wp:positionH relativeFrom="page">
                  <wp:posOffset>2057400</wp:posOffset>
                </wp:positionH>
                <wp:positionV relativeFrom="paragraph">
                  <wp:posOffset>162604</wp:posOffset>
                </wp:positionV>
                <wp:extent cx="3657600" cy="12700"/>
                <wp:effectExtent l="0" t="0" r="0" b="0"/>
                <wp:wrapTopAndBottom/>
                <wp:docPr id="420" name="Graphic 420"/>
                <wp:cNvGraphicFramePr>
                  <a:graphicFrameLocks/>
                </wp:cNvGraphicFramePr>
                <a:graphic>
                  <a:graphicData uri="http://schemas.microsoft.com/office/word/2010/wordprocessingShape">
                    <wps:wsp>
                      <wps:cNvPr id="420" name="Graphic 42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87328;mso-wrap-distance-left:0;mso-wrap-distance-right:0" id="docshape415" filled="true" fillcolor="#000000" stroked="false">
                <v:fill type="solid"/>
                <w10:wrap type="topAndBottom"/>
              </v:rect>
            </w:pict>
          </mc:Fallback>
        </mc:AlternateContent>
      </w:r>
      <w:r>
        <w:rPr>
          <w:rFonts w:ascii="Verdana"/>
          <w:spacing w:val="-5"/>
          <w:sz w:val="18"/>
        </w:rPr>
        <w:t>176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6"/>
        <w:jc w:val="both"/>
      </w:pPr>
      <w:r>
        <w:rPr/>
        <w:t>with him and the most decisive evidence of its limits — there are dimensions of her body, and of her life, that exceed his surveillance. This is what the play, through Leontes’s jealousy, renders pathological: the ordinary interiority of another person, the irreducible opacity of embodied</w:t>
      </w:r>
      <w:r>
        <w:rPr>
          <w:spacing w:val="-4"/>
        </w:rPr>
        <w:t> </w:t>
      </w:r>
      <w:r>
        <w:rPr/>
        <w:t>female</w:t>
      </w:r>
      <w:r>
        <w:rPr>
          <w:spacing w:val="-8"/>
        </w:rPr>
        <w:t> </w:t>
      </w:r>
      <w:r>
        <w:rPr/>
        <w:t>life.</w:t>
      </w:r>
      <w:r>
        <w:rPr>
          <w:spacing w:val="-6"/>
        </w:rPr>
        <w:t> </w:t>
      </w:r>
      <w:r>
        <w:rPr/>
        <w:t>His</w:t>
      </w:r>
      <w:r>
        <w:rPr>
          <w:spacing w:val="-6"/>
        </w:rPr>
        <w:t> </w:t>
      </w:r>
      <w:r>
        <w:rPr/>
        <w:t>demand</w:t>
      </w:r>
      <w:r>
        <w:rPr>
          <w:spacing w:val="-6"/>
        </w:rPr>
        <w:t> </w:t>
      </w:r>
      <w:r>
        <w:rPr/>
        <w:t>for</w:t>
      </w:r>
      <w:r>
        <w:rPr>
          <w:spacing w:val="-6"/>
        </w:rPr>
        <w:t> </w:t>
      </w:r>
      <w:r>
        <w:rPr/>
        <w:t>an</w:t>
      </w:r>
      <w:r>
        <w:rPr>
          <w:spacing w:val="-6"/>
        </w:rPr>
        <w:t> </w:t>
      </w:r>
      <w:r>
        <w:rPr/>
        <w:t>oracle</w:t>
      </w:r>
      <w:r>
        <w:rPr>
          <w:spacing w:val="-6"/>
        </w:rPr>
        <w:t> </w:t>
      </w:r>
      <w:r>
        <w:rPr/>
        <w:t>—</w:t>
      </w:r>
      <w:r>
        <w:rPr>
          <w:spacing w:val="-4"/>
        </w:rPr>
        <w:t> </w:t>
      </w:r>
      <w:r>
        <w:rPr/>
        <w:t>for</w:t>
      </w:r>
      <w:r>
        <w:rPr>
          <w:spacing w:val="-6"/>
        </w:rPr>
        <w:t> </w:t>
      </w:r>
      <w:r>
        <w:rPr/>
        <w:t>a</w:t>
      </w:r>
      <w:r>
        <w:rPr>
          <w:spacing w:val="-5"/>
        </w:rPr>
        <w:t> </w:t>
      </w:r>
      <w:r>
        <w:rPr/>
        <w:t>divine,</w:t>
      </w:r>
      <w:r>
        <w:rPr>
          <w:spacing w:val="-6"/>
        </w:rPr>
        <w:t> </w:t>
      </w:r>
      <w:r>
        <w:rPr/>
        <w:t>external source of certainty — is the demand for a form of knowledge that will supplement</w:t>
      </w:r>
      <w:r>
        <w:rPr>
          <w:spacing w:val="-13"/>
        </w:rPr>
        <w:t> </w:t>
      </w:r>
      <w:r>
        <w:rPr/>
        <w:t>and</w:t>
      </w:r>
      <w:r>
        <w:rPr>
          <w:spacing w:val="-12"/>
        </w:rPr>
        <w:t> </w:t>
      </w:r>
      <w:r>
        <w:rPr/>
        <w:t>override</w:t>
      </w:r>
      <w:r>
        <w:rPr>
          <w:spacing w:val="-13"/>
        </w:rPr>
        <w:t> </w:t>
      </w:r>
      <w:r>
        <w:rPr/>
        <w:t>the</w:t>
      </w:r>
      <w:r>
        <w:rPr>
          <w:spacing w:val="-12"/>
        </w:rPr>
        <w:t> </w:t>
      </w:r>
      <w:r>
        <w:rPr/>
        <w:t>testimony</w:t>
      </w:r>
      <w:r>
        <w:rPr>
          <w:spacing w:val="-13"/>
        </w:rPr>
        <w:t> </w:t>
      </w:r>
      <w:r>
        <w:rPr/>
        <w:t>that</w:t>
      </w:r>
      <w:r>
        <w:rPr>
          <w:spacing w:val="-12"/>
        </w:rPr>
        <w:t> </w:t>
      </w:r>
      <w:r>
        <w:rPr/>
        <w:t>her</w:t>
      </w:r>
      <w:r>
        <w:rPr>
          <w:spacing w:val="-13"/>
        </w:rPr>
        <w:t> </w:t>
      </w:r>
      <w:r>
        <w:rPr/>
        <w:t>body</w:t>
      </w:r>
      <w:r>
        <w:rPr>
          <w:spacing w:val="-12"/>
        </w:rPr>
        <w:t> </w:t>
      </w:r>
      <w:r>
        <w:rPr/>
        <w:t>provides,</w:t>
      </w:r>
      <w:r>
        <w:rPr>
          <w:spacing w:val="-13"/>
        </w:rPr>
        <w:t> </w:t>
      </w:r>
      <w:r>
        <w:rPr/>
        <w:t>testimony he</w:t>
      </w:r>
      <w:r>
        <w:rPr>
          <w:spacing w:val="40"/>
        </w:rPr>
        <w:t> </w:t>
      </w:r>
      <w:r>
        <w:rPr/>
        <w:t>has</w:t>
      </w:r>
      <w:r>
        <w:rPr>
          <w:spacing w:val="40"/>
        </w:rPr>
        <w:t> </w:t>
      </w:r>
      <w:r>
        <w:rPr/>
        <w:t>found</w:t>
      </w:r>
      <w:r>
        <w:rPr>
          <w:spacing w:val="40"/>
        </w:rPr>
        <w:t> </w:t>
      </w:r>
      <w:r>
        <w:rPr/>
        <w:t>himself</w:t>
      </w:r>
      <w:r>
        <w:rPr>
          <w:spacing w:val="40"/>
        </w:rPr>
        <w:t> </w:t>
      </w:r>
      <w:r>
        <w:rPr/>
        <w:t>unable</w:t>
      </w:r>
      <w:r>
        <w:rPr>
          <w:spacing w:val="40"/>
        </w:rPr>
        <w:t> </w:t>
      </w:r>
      <w:r>
        <w:rPr/>
        <w:t>to</w:t>
      </w:r>
      <w:r>
        <w:rPr>
          <w:spacing w:val="40"/>
        </w:rPr>
        <w:t> </w:t>
      </w:r>
      <w:r>
        <w:rPr/>
        <w:t>receive.</w:t>
      </w:r>
    </w:p>
    <w:p>
      <w:pPr>
        <w:pStyle w:val="BodyText"/>
        <w:spacing w:line="242" w:lineRule="auto" w:before="60"/>
        <w:ind w:right="1439" w:firstLine="432"/>
        <w:jc w:val="both"/>
      </w:pPr>
      <w:r>
        <w:rPr/>
        <w:t>The Oracle’s verdict overrides him cleanly: “Hermione is chaste; Polixenes blameless; Camillo a true subject; Leontes a jealous tyrant” (3.2.132-34).</w:t>
      </w:r>
      <w:r>
        <w:rPr>
          <w:spacing w:val="-11"/>
        </w:rPr>
        <w:t> </w:t>
      </w:r>
      <w:r>
        <w:rPr/>
        <w:t>But</w:t>
      </w:r>
      <w:r>
        <w:rPr>
          <w:spacing w:val="-8"/>
        </w:rPr>
        <w:t> </w:t>
      </w:r>
      <w:r>
        <w:rPr/>
        <w:t>its</w:t>
      </w:r>
      <w:r>
        <w:rPr>
          <w:spacing w:val="-11"/>
        </w:rPr>
        <w:t> </w:t>
      </w:r>
      <w:r>
        <w:rPr/>
        <w:t>legal</w:t>
      </w:r>
      <w:r>
        <w:rPr>
          <w:spacing w:val="-9"/>
        </w:rPr>
        <w:t> </w:t>
      </w:r>
      <w:r>
        <w:rPr/>
        <w:t>clarity</w:t>
      </w:r>
      <w:r>
        <w:rPr>
          <w:spacing w:val="-13"/>
        </w:rPr>
        <w:t> </w:t>
      </w:r>
      <w:r>
        <w:rPr/>
        <w:t>is</w:t>
      </w:r>
      <w:r>
        <w:rPr>
          <w:spacing w:val="-9"/>
        </w:rPr>
        <w:t> </w:t>
      </w:r>
      <w:r>
        <w:rPr/>
        <w:t>immediately</w:t>
      </w:r>
      <w:r>
        <w:rPr>
          <w:spacing w:val="-13"/>
        </w:rPr>
        <w:t> </w:t>
      </w:r>
      <w:r>
        <w:rPr/>
        <w:t>refused</w:t>
      </w:r>
      <w:r>
        <w:rPr>
          <w:spacing w:val="-7"/>
        </w:rPr>
        <w:t> </w:t>
      </w:r>
      <w:r>
        <w:rPr/>
        <w:t>by</w:t>
      </w:r>
      <w:r>
        <w:rPr>
          <w:spacing w:val="-13"/>
        </w:rPr>
        <w:t> </w:t>
      </w:r>
      <w:r>
        <w:rPr/>
        <w:t>Leontes,</w:t>
      </w:r>
      <w:r>
        <w:rPr>
          <w:spacing w:val="-9"/>
        </w:rPr>
        <w:t> </w:t>
      </w:r>
      <w:r>
        <w:rPr/>
        <w:t>and the</w:t>
      </w:r>
      <w:r>
        <w:rPr>
          <w:spacing w:val="-7"/>
        </w:rPr>
        <w:t> </w:t>
      </w:r>
      <w:r>
        <w:rPr/>
        <w:t>consequence</w:t>
      </w:r>
      <w:r>
        <w:rPr>
          <w:spacing w:val="-7"/>
        </w:rPr>
        <w:t> </w:t>
      </w:r>
      <w:r>
        <w:rPr/>
        <w:t>is</w:t>
      </w:r>
      <w:r>
        <w:rPr>
          <w:spacing w:val="-6"/>
        </w:rPr>
        <w:t> </w:t>
      </w:r>
      <w:r>
        <w:rPr/>
        <w:t>Hermione’s</w:t>
      </w:r>
      <w:r>
        <w:rPr>
          <w:spacing w:val="-10"/>
        </w:rPr>
        <w:t> </w:t>
      </w:r>
      <w:r>
        <w:rPr/>
        <w:t>collapse</w:t>
      </w:r>
      <w:r>
        <w:rPr>
          <w:spacing w:val="-7"/>
        </w:rPr>
        <w:t> </w:t>
      </w:r>
      <w:r>
        <w:rPr/>
        <w:t>and</w:t>
      </w:r>
      <w:r>
        <w:rPr>
          <w:spacing w:val="-8"/>
        </w:rPr>
        <w:t> </w:t>
      </w:r>
      <w:r>
        <w:rPr/>
        <w:t>apparent</w:t>
      </w:r>
      <w:r>
        <w:rPr>
          <w:spacing w:val="-6"/>
        </w:rPr>
        <w:t> </w:t>
      </w:r>
      <w:r>
        <w:rPr/>
        <w:t>death.</w:t>
      </w:r>
      <w:r>
        <w:rPr>
          <w:spacing w:val="-10"/>
        </w:rPr>
        <w:t> </w:t>
      </w:r>
      <w:r>
        <w:rPr/>
        <w:t>The</w:t>
      </w:r>
      <w:r>
        <w:rPr>
          <w:spacing w:val="-7"/>
        </w:rPr>
        <w:t> </w:t>
      </w:r>
      <w:r>
        <w:rPr/>
        <w:t>sixteen years that follow function in the play</w:t>
      </w:r>
      <w:r>
        <w:rPr>
          <w:spacing w:val="-1"/>
        </w:rPr>
        <w:t> </w:t>
      </w:r>
      <w:r>
        <w:rPr/>
        <w:t>as a period of archival waiting — a suspension of time in which the truth Leontes refused is preserved against</w:t>
      </w:r>
      <w:r>
        <w:rPr>
          <w:spacing w:val="-13"/>
        </w:rPr>
        <w:t> </w:t>
      </w:r>
      <w:r>
        <w:rPr/>
        <w:t>the</w:t>
      </w:r>
      <w:r>
        <w:rPr>
          <w:spacing w:val="-12"/>
        </w:rPr>
        <w:t> </w:t>
      </w:r>
      <w:r>
        <w:rPr/>
        <w:t>moment</w:t>
      </w:r>
      <w:r>
        <w:rPr>
          <w:spacing w:val="-13"/>
        </w:rPr>
        <w:t> </w:t>
      </w:r>
      <w:r>
        <w:rPr/>
        <w:t>of</w:t>
      </w:r>
      <w:r>
        <w:rPr>
          <w:spacing w:val="-11"/>
        </w:rPr>
        <w:t> </w:t>
      </w:r>
      <w:r>
        <w:rPr/>
        <w:t>its</w:t>
      </w:r>
      <w:r>
        <w:rPr>
          <w:spacing w:val="-13"/>
        </w:rPr>
        <w:t> </w:t>
      </w:r>
      <w:r>
        <w:rPr/>
        <w:t>recognition.</w:t>
      </w:r>
      <w:r>
        <w:rPr>
          <w:spacing w:val="-10"/>
        </w:rPr>
        <w:t> </w:t>
      </w:r>
      <w:r>
        <w:rPr/>
        <w:t>Hermione</w:t>
      </w:r>
      <w:r>
        <w:rPr>
          <w:spacing w:val="-11"/>
        </w:rPr>
        <w:t> </w:t>
      </w:r>
      <w:r>
        <w:rPr/>
        <w:t>does</w:t>
      </w:r>
      <w:r>
        <w:rPr>
          <w:spacing w:val="-13"/>
        </w:rPr>
        <w:t> </w:t>
      </w:r>
      <w:r>
        <w:rPr/>
        <w:t>not</w:t>
      </w:r>
      <w:r>
        <w:rPr>
          <w:spacing w:val="-11"/>
        </w:rPr>
        <w:t> </w:t>
      </w:r>
      <w:r>
        <w:rPr/>
        <w:t>simply</w:t>
      </w:r>
      <w:r>
        <w:rPr>
          <w:spacing w:val="-13"/>
        </w:rPr>
        <w:t> </w:t>
      </w:r>
      <w:r>
        <w:rPr/>
        <w:t>survive those years; she endures them as an archive endures: holding what has been</w:t>
      </w:r>
      <w:r>
        <w:rPr>
          <w:spacing w:val="40"/>
        </w:rPr>
        <w:t> </w:t>
      </w:r>
      <w:r>
        <w:rPr/>
        <w:t>suppressed,</w:t>
      </w:r>
      <w:r>
        <w:rPr>
          <w:spacing w:val="40"/>
        </w:rPr>
        <w:t> </w:t>
      </w:r>
      <w:r>
        <w:rPr/>
        <w:t>patient</w:t>
      </w:r>
      <w:r>
        <w:rPr>
          <w:spacing w:val="40"/>
        </w:rPr>
        <w:t> </w:t>
      </w:r>
      <w:r>
        <w:rPr/>
        <w:t>against</w:t>
      </w:r>
      <w:r>
        <w:rPr>
          <w:spacing w:val="40"/>
        </w:rPr>
        <w:t> </w:t>
      </w:r>
      <w:r>
        <w:rPr/>
        <w:t>the</w:t>
      </w:r>
      <w:r>
        <w:rPr>
          <w:spacing w:val="40"/>
        </w:rPr>
        <w:t> </w:t>
      </w:r>
      <w:r>
        <w:rPr/>
        <w:t>moment</w:t>
      </w:r>
      <w:r>
        <w:rPr>
          <w:spacing w:val="40"/>
        </w:rPr>
        <w:t> </w:t>
      </w:r>
      <w:r>
        <w:rPr/>
        <w:t>of</w:t>
      </w:r>
      <w:r>
        <w:rPr>
          <w:spacing w:val="40"/>
        </w:rPr>
        <w:t> </w:t>
      </w:r>
      <w:r>
        <w:rPr/>
        <w:t>its</w:t>
      </w:r>
      <w:r>
        <w:rPr>
          <w:spacing w:val="40"/>
        </w:rPr>
        <w:t> </w:t>
      </w:r>
      <w:r>
        <w:rPr/>
        <w:t>vindication.</w:t>
      </w:r>
    </w:p>
    <w:p>
      <w:pPr>
        <w:pStyle w:val="BodyText"/>
        <w:spacing w:line="242" w:lineRule="auto" w:before="55"/>
        <w:ind w:right="1437" w:firstLine="432"/>
        <w:jc w:val="both"/>
      </w:pPr>
      <w:r>
        <w:rPr>
          <w:spacing w:val="-2"/>
        </w:rPr>
        <w:t>The</w:t>
      </w:r>
      <w:r>
        <w:rPr>
          <w:spacing w:val="-11"/>
        </w:rPr>
        <w:t> </w:t>
      </w:r>
      <w:r>
        <w:rPr>
          <w:spacing w:val="-2"/>
        </w:rPr>
        <w:t>statue</w:t>
      </w:r>
      <w:r>
        <w:rPr>
          <w:spacing w:val="-4"/>
        </w:rPr>
        <w:t> </w:t>
      </w:r>
      <w:r>
        <w:rPr>
          <w:spacing w:val="-2"/>
        </w:rPr>
        <w:t>scene of</w:t>
      </w:r>
      <w:r>
        <w:rPr>
          <w:spacing w:val="-11"/>
        </w:rPr>
        <w:t> </w:t>
      </w:r>
      <w:r>
        <w:rPr>
          <w:spacing w:val="-2"/>
        </w:rPr>
        <w:t>Act</w:t>
      </w:r>
      <w:r>
        <w:rPr>
          <w:spacing w:val="-4"/>
        </w:rPr>
        <w:t> </w:t>
      </w:r>
      <w:r>
        <w:rPr>
          <w:spacing w:val="-2"/>
        </w:rPr>
        <w:t>Five</w:t>
      </w:r>
      <w:r>
        <w:rPr>
          <w:spacing w:val="-5"/>
        </w:rPr>
        <w:t> </w:t>
      </w:r>
      <w:r>
        <w:rPr>
          <w:spacing w:val="-2"/>
        </w:rPr>
        <w:t>is</w:t>
      </w:r>
      <w:r>
        <w:rPr>
          <w:spacing w:val="-5"/>
        </w:rPr>
        <w:t> </w:t>
      </w:r>
      <w:r>
        <w:rPr>
          <w:spacing w:val="-2"/>
        </w:rPr>
        <w:t>the</w:t>
      </w:r>
      <w:r>
        <w:rPr>
          <w:spacing w:val="-6"/>
        </w:rPr>
        <w:t> </w:t>
      </w:r>
      <w:r>
        <w:rPr>
          <w:spacing w:val="-2"/>
        </w:rPr>
        <w:t>play’s most</w:t>
      </w:r>
      <w:r>
        <w:rPr>
          <w:spacing w:val="-5"/>
        </w:rPr>
        <w:t> </w:t>
      </w:r>
      <w:r>
        <w:rPr>
          <w:spacing w:val="-2"/>
        </w:rPr>
        <w:t>searching</w:t>
      </w:r>
      <w:r>
        <w:rPr>
          <w:spacing w:val="-7"/>
        </w:rPr>
        <w:t> </w:t>
      </w:r>
      <w:r>
        <w:rPr>
          <w:spacing w:val="-2"/>
        </w:rPr>
        <w:t>meditation </w:t>
      </w:r>
      <w:r>
        <w:rPr/>
        <w:t>on</w:t>
      </w:r>
      <w:r>
        <w:rPr>
          <w:spacing w:val="-8"/>
        </w:rPr>
        <w:t> </w:t>
      </w:r>
      <w:r>
        <w:rPr/>
        <w:t>the</w:t>
      </w:r>
      <w:r>
        <w:rPr>
          <w:spacing w:val="-8"/>
        </w:rPr>
        <w:t> </w:t>
      </w:r>
      <w:r>
        <w:rPr/>
        <w:t>archival</w:t>
      </w:r>
      <w:r>
        <w:rPr>
          <w:spacing w:val="-10"/>
        </w:rPr>
        <w:t> </w:t>
      </w:r>
      <w:r>
        <w:rPr/>
        <w:t>body</w:t>
      </w:r>
      <w:r>
        <w:rPr>
          <w:spacing w:val="-10"/>
        </w:rPr>
        <w:t> </w:t>
      </w:r>
      <w:r>
        <w:rPr/>
        <w:t>and</w:t>
      </w:r>
      <w:r>
        <w:rPr>
          <w:spacing w:val="-6"/>
        </w:rPr>
        <w:t> </w:t>
      </w:r>
      <w:r>
        <w:rPr/>
        <w:t>the</w:t>
      </w:r>
      <w:r>
        <w:rPr>
          <w:spacing w:val="-8"/>
        </w:rPr>
        <w:t> </w:t>
      </w:r>
      <w:r>
        <w:rPr/>
        <w:t>conditions</w:t>
      </w:r>
      <w:r>
        <w:rPr>
          <w:spacing w:val="-8"/>
        </w:rPr>
        <w:t> </w:t>
      </w:r>
      <w:r>
        <w:rPr/>
        <w:t>under</w:t>
      </w:r>
      <w:r>
        <w:rPr>
          <w:spacing w:val="-8"/>
        </w:rPr>
        <w:t> </w:t>
      </w:r>
      <w:r>
        <w:rPr/>
        <w:t>which</w:t>
      </w:r>
      <w:r>
        <w:rPr>
          <w:spacing w:val="-8"/>
        </w:rPr>
        <w:t> </w:t>
      </w:r>
      <w:r>
        <w:rPr/>
        <w:t>somatic</w:t>
      </w:r>
      <w:r>
        <w:rPr>
          <w:spacing w:val="-7"/>
        </w:rPr>
        <w:t> </w:t>
      </w:r>
      <w:r>
        <w:rPr/>
        <w:t>knowledge can be received. Stanley Cavell reads the scene as a drama of acknowledgement — of what it costs to recognise another person as fully real. The hydrofeminist reading adds a temporal dimension: what Hermione’s reconstituted body restores is the warmth that Leontes’s jealousy</w:t>
      </w:r>
      <w:r>
        <w:rPr>
          <w:spacing w:val="-13"/>
        </w:rPr>
        <w:t> </w:t>
      </w:r>
      <w:r>
        <w:rPr/>
        <w:t>had,</w:t>
      </w:r>
      <w:r>
        <w:rPr>
          <w:spacing w:val="-12"/>
        </w:rPr>
        <w:t> </w:t>
      </w:r>
      <w:r>
        <w:rPr/>
        <w:t>in</w:t>
      </w:r>
      <w:r>
        <w:rPr>
          <w:spacing w:val="-13"/>
        </w:rPr>
        <w:t> </w:t>
      </w:r>
      <w:r>
        <w:rPr/>
        <w:t>effect,</w:t>
      </w:r>
      <w:r>
        <w:rPr>
          <w:spacing w:val="-12"/>
        </w:rPr>
        <w:t> </w:t>
      </w:r>
      <w:r>
        <w:rPr/>
        <w:t>frozen.</w:t>
      </w:r>
      <w:r>
        <w:rPr>
          <w:spacing w:val="-13"/>
        </w:rPr>
        <w:t> </w:t>
      </w:r>
      <w:r>
        <w:rPr/>
        <w:t>The</w:t>
      </w:r>
      <w:r>
        <w:rPr>
          <w:spacing w:val="-12"/>
        </w:rPr>
        <w:t> </w:t>
      </w:r>
      <w:r>
        <w:rPr/>
        <w:t>statue’s</w:t>
      </w:r>
      <w:r>
        <w:rPr>
          <w:spacing w:val="-13"/>
        </w:rPr>
        <w:t> </w:t>
      </w:r>
      <w:r>
        <w:rPr/>
        <w:t>“warmth”</w:t>
      </w:r>
      <w:r>
        <w:rPr>
          <w:spacing w:val="-12"/>
        </w:rPr>
        <w:t> </w:t>
      </w:r>
      <w:r>
        <w:rPr/>
        <w:t>(5.3.109)</w:t>
      </w:r>
      <w:r>
        <w:rPr>
          <w:spacing w:val="-13"/>
        </w:rPr>
        <w:t> </w:t>
      </w:r>
      <w:r>
        <w:rPr/>
        <w:t>returning to its surface is the archival body releasing what it has been holding, rehydrating,</w:t>
      </w:r>
      <w:r>
        <w:rPr>
          <w:spacing w:val="-3"/>
        </w:rPr>
        <w:t> </w:t>
      </w:r>
      <w:r>
        <w:rPr/>
        <w:t>re-entering</w:t>
      </w:r>
      <w:r>
        <w:rPr>
          <w:spacing w:val="-1"/>
        </w:rPr>
        <w:t> </w:t>
      </w:r>
      <w:r>
        <w:rPr/>
        <w:t>the</w:t>
      </w:r>
      <w:r>
        <w:rPr>
          <w:spacing w:val="-3"/>
        </w:rPr>
        <w:t> </w:t>
      </w:r>
      <w:r>
        <w:rPr/>
        <w:t>flow</w:t>
      </w:r>
      <w:r>
        <w:rPr>
          <w:spacing w:val="-6"/>
        </w:rPr>
        <w:t> </w:t>
      </w:r>
      <w:r>
        <w:rPr/>
        <w:t>of</w:t>
      </w:r>
      <w:r>
        <w:rPr>
          <w:spacing w:val="-4"/>
        </w:rPr>
        <w:t> </w:t>
      </w:r>
      <w:r>
        <w:rPr/>
        <w:t>time and</w:t>
      </w:r>
      <w:r>
        <w:rPr>
          <w:spacing w:val="-1"/>
        </w:rPr>
        <w:t> </w:t>
      </w:r>
      <w:r>
        <w:rPr/>
        <w:t>relation</w:t>
      </w:r>
      <w:r>
        <w:rPr>
          <w:spacing w:val="-4"/>
        </w:rPr>
        <w:t> </w:t>
      </w:r>
      <w:r>
        <w:rPr/>
        <w:t>from</w:t>
      </w:r>
      <w:r>
        <w:rPr>
          <w:spacing w:val="-4"/>
        </w:rPr>
        <w:t> </w:t>
      </w:r>
      <w:r>
        <w:rPr/>
        <w:t>which</w:t>
      </w:r>
      <w:r>
        <w:rPr>
          <w:spacing w:val="-4"/>
        </w:rPr>
        <w:t> </w:t>
      </w:r>
      <w:r>
        <w:rPr/>
        <w:t>unjust authority</w:t>
      </w:r>
      <w:r>
        <w:rPr>
          <w:spacing w:val="-4"/>
        </w:rPr>
        <w:t> </w:t>
      </w:r>
      <w:r>
        <w:rPr/>
        <w:t>had</w:t>
      </w:r>
      <w:r>
        <w:rPr>
          <w:spacing w:val="-1"/>
        </w:rPr>
        <w:t> </w:t>
      </w:r>
      <w:r>
        <w:rPr/>
        <w:t>excluded</w:t>
      </w:r>
      <w:r>
        <w:rPr>
          <w:spacing w:val="-1"/>
        </w:rPr>
        <w:t> </w:t>
      </w:r>
      <w:r>
        <w:rPr/>
        <w:t>it.</w:t>
      </w:r>
      <w:r>
        <w:rPr>
          <w:spacing w:val="-1"/>
        </w:rPr>
        <w:t> </w:t>
      </w:r>
      <w:r>
        <w:rPr/>
        <w:t>The</w:t>
      </w:r>
      <w:r>
        <w:rPr>
          <w:spacing w:val="-3"/>
        </w:rPr>
        <w:t> </w:t>
      </w:r>
      <w:r>
        <w:rPr/>
        <w:t>scene is</w:t>
      </w:r>
      <w:r>
        <w:rPr>
          <w:spacing w:val="-3"/>
        </w:rPr>
        <w:t> </w:t>
      </w:r>
      <w:r>
        <w:rPr/>
        <w:t>deliberately</w:t>
      </w:r>
      <w:r>
        <w:rPr>
          <w:spacing w:val="-4"/>
        </w:rPr>
        <w:t> </w:t>
      </w:r>
      <w:r>
        <w:rPr/>
        <w:t>ambiguous</w:t>
      </w:r>
      <w:r>
        <w:rPr>
          <w:spacing w:val="-1"/>
        </w:rPr>
        <w:t> </w:t>
      </w:r>
      <w:r>
        <w:rPr/>
        <w:t>about</w:t>
      </w:r>
      <w:r>
        <w:rPr>
          <w:spacing w:val="-2"/>
        </w:rPr>
        <w:t> </w:t>
      </w:r>
      <w:r>
        <w:rPr/>
        <w:t>its own ontological status — miracle or theatrical fiction — and the play does not resolve this ambiguity. That ambiguity is the scene’s epistemological point: the truth of what has happened can only be received through a willingness to suspend the demand for dry, propositional</w:t>
      </w:r>
      <w:r>
        <w:rPr>
          <w:spacing w:val="-5"/>
        </w:rPr>
        <w:t> </w:t>
      </w:r>
      <w:r>
        <w:rPr/>
        <w:t>certainty,</w:t>
      </w:r>
      <w:r>
        <w:rPr>
          <w:spacing w:val="-4"/>
        </w:rPr>
        <w:t> </w:t>
      </w:r>
      <w:r>
        <w:rPr/>
        <w:t>to</w:t>
      </w:r>
      <w:r>
        <w:rPr>
          <w:spacing w:val="-4"/>
        </w:rPr>
        <w:t> </w:t>
      </w:r>
      <w:r>
        <w:rPr/>
        <w:t>allow</w:t>
      </w:r>
      <w:r>
        <w:rPr>
          <w:spacing w:val="-8"/>
        </w:rPr>
        <w:t> </w:t>
      </w:r>
      <w:r>
        <w:rPr/>
        <w:t>the</w:t>
      </w:r>
      <w:r>
        <w:rPr>
          <w:spacing w:val="-4"/>
        </w:rPr>
        <w:t> </w:t>
      </w:r>
      <w:r>
        <w:rPr/>
        <w:t>evidence</w:t>
      </w:r>
      <w:r>
        <w:rPr>
          <w:spacing w:val="-5"/>
        </w:rPr>
        <w:t> </w:t>
      </w:r>
      <w:r>
        <w:rPr/>
        <w:t>of</w:t>
      </w:r>
      <w:r>
        <w:rPr>
          <w:spacing w:val="-6"/>
        </w:rPr>
        <w:t> </w:t>
      </w:r>
      <w:r>
        <w:rPr/>
        <w:t>the</w:t>
      </w:r>
      <w:r>
        <w:rPr>
          <w:spacing w:val="-4"/>
        </w:rPr>
        <w:t> </w:t>
      </w:r>
      <w:r>
        <w:rPr/>
        <w:t>body’s</w:t>
      </w:r>
      <w:r>
        <w:rPr>
          <w:spacing w:val="-6"/>
        </w:rPr>
        <w:t> </w:t>
      </w:r>
      <w:r>
        <w:rPr/>
        <w:t>own</w:t>
      </w:r>
      <w:r>
        <w:rPr>
          <w:spacing w:val="-6"/>
        </w:rPr>
        <w:t> </w:t>
      </w:r>
      <w:r>
        <w:rPr/>
        <w:t>warmth to</w:t>
      </w:r>
      <w:r>
        <w:rPr>
          <w:spacing w:val="40"/>
        </w:rPr>
        <w:t> </w:t>
      </w:r>
      <w:r>
        <w:rPr/>
        <w:t>be</w:t>
      </w:r>
      <w:r>
        <w:rPr>
          <w:spacing w:val="40"/>
        </w:rPr>
        <w:t> </w:t>
      </w:r>
      <w:r>
        <w:rPr/>
        <w:t>enough.</w:t>
      </w:r>
    </w:p>
    <w:p>
      <w:pPr>
        <w:pStyle w:val="Heading3"/>
        <w:numPr>
          <w:ilvl w:val="0"/>
          <w:numId w:val="33"/>
        </w:numPr>
        <w:tabs>
          <w:tab w:pos="1801" w:val="left" w:leader="none"/>
        </w:tabs>
        <w:spacing w:line="240" w:lineRule="auto" w:before="154" w:after="0"/>
        <w:ind w:left="1440" w:right="1437" w:firstLine="0"/>
        <w:jc w:val="left"/>
      </w:pPr>
      <w:r>
        <w:rPr/>
        <w:t>KATHERINA</w:t>
      </w:r>
      <w:r>
        <w:rPr>
          <w:spacing w:val="40"/>
        </w:rPr>
        <w:t> </w:t>
      </w:r>
      <w:r>
        <w:rPr/>
        <w:t>AND</w:t>
      </w:r>
      <w:r>
        <w:rPr>
          <w:spacing w:val="40"/>
        </w:rPr>
        <w:t> </w:t>
      </w:r>
      <w:r>
        <w:rPr/>
        <w:t>MIRANDA:</w:t>
      </w:r>
      <w:r>
        <w:rPr>
          <w:spacing w:val="40"/>
        </w:rPr>
        <w:t> </w:t>
      </w:r>
      <w:r>
        <w:rPr/>
        <w:t>CONTAINMENT, CALIBRATION,</w:t>
      </w:r>
      <w:r>
        <w:rPr>
          <w:spacing w:val="-17"/>
        </w:rPr>
        <w:t> </w:t>
      </w:r>
      <w:r>
        <w:rPr/>
        <w:t>AND</w:t>
      </w:r>
      <w:r>
        <w:rPr>
          <w:spacing w:val="-17"/>
        </w:rPr>
        <w:t> </w:t>
      </w:r>
      <w:r>
        <w:rPr/>
        <w:t>THE</w:t>
      </w:r>
      <w:r>
        <w:rPr>
          <w:spacing w:val="-17"/>
        </w:rPr>
        <w:t> </w:t>
      </w:r>
      <w:r>
        <w:rPr/>
        <w:t>MANAGED</w:t>
      </w:r>
      <w:r>
        <w:rPr>
          <w:spacing w:val="-17"/>
        </w:rPr>
        <w:t> </w:t>
      </w:r>
      <w:r>
        <w:rPr/>
        <w:t>VOICE</w:t>
      </w:r>
    </w:p>
    <w:p>
      <w:pPr>
        <w:pStyle w:val="Heading5"/>
        <w:numPr>
          <w:ilvl w:val="1"/>
          <w:numId w:val="33"/>
        </w:numPr>
        <w:tabs>
          <w:tab w:pos="1912" w:val="left" w:leader="none"/>
        </w:tabs>
        <w:spacing w:line="244" w:lineRule="auto" w:before="124" w:after="0"/>
        <w:ind w:left="1440" w:right="1439" w:firstLine="0"/>
        <w:jc w:val="left"/>
      </w:pPr>
      <w:r>
        <w:rPr/>
        <w:t>Katherina:</w:t>
      </w:r>
      <w:r>
        <w:rPr>
          <w:spacing w:val="40"/>
        </w:rPr>
        <w:t>  </w:t>
      </w:r>
      <w:r>
        <w:rPr/>
        <w:t>The</w:t>
      </w:r>
      <w:r>
        <w:rPr>
          <w:spacing w:val="40"/>
        </w:rPr>
        <w:t>  </w:t>
      </w:r>
      <w:r>
        <w:rPr/>
        <w:t>Overflowing</w:t>
      </w:r>
      <w:r>
        <w:rPr>
          <w:spacing w:val="40"/>
        </w:rPr>
        <w:t>  </w:t>
      </w:r>
      <w:r>
        <w:rPr/>
        <w:t>Tongue</w:t>
      </w:r>
      <w:r>
        <w:rPr>
          <w:spacing w:val="40"/>
        </w:rPr>
        <w:t>  </w:t>
      </w:r>
      <w:r>
        <w:rPr/>
        <w:t>and</w:t>
      </w:r>
      <w:r>
        <w:rPr>
          <w:spacing w:val="40"/>
        </w:rPr>
        <w:t>  </w:t>
      </w:r>
      <w:r>
        <w:rPr/>
        <w:t>the</w:t>
      </w:r>
      <w:r>
        <w:rPr>
          <w:spacing w:val="80"/>
          <w:w w:val="150"/>
        </w:rPr>
        <w:t> </w:t>
      </w:r>
      <w:r>
        <w:rPr/>
        <w:t>Rhetoric</w:t>
      </w:r>
      <w:r>
        <w:rPr>
          <w:spacing w:val="80"/>
        </w:rPr>
        <w:t> </w:t>
      </w:r>
      <w:r>
        <w:rPr/>
        <w:t>of</w:t>
      </w:r>
      <w:r>
        <w:rPr>
          <w:spacing w:val="80"/>
        </w:rPr>
        <w:t> </w:t>
      </w:r>
      <w:r>
        <w:rPr/>
        <w:t>Submission</w:t>
      </w:r>
    </w:p>
    <w:p>
      <w:pPr>
        <w:pStyle w:val="BodyText"/>
        <w:spacing w:line="249" w:lineRule="auto" w:before="67"/>
        <w:ind w:right="1441" w:firstLine="432"/>
        <w:jc w:val="both"/>
      </w:pPr>
      <w:r>
        <w:rPr/>
        <w:t>Katherina’s trajectory in The Taming of the Shrew occupies the other</w:t>
      </w:r>
      <w:r>
        <w:rPr>
          <w:spacing w:val="18"/>
        </w:rPr>
        <w:t> </w:t>
      </w:r>
      <w:r>
        <w:rPr/>
        <w:t>side</w:t>
      </w:r>
      <w:r>
        <w:rPr>
          <w:spacing w:val="18"/>
        </w:rPr>
        <w:t> </w:t>
      </w:r>
      <w:r>
        <w:rPr/>
        <w:t>of</w:t>
      </w:r>
      <w:r>
        <w:rPr>
          <w:spacing w:val="18"/>
        </w:rPr>
        <w:t> </w:t>
      </w:r>
      <w:r>
        <w:rPr/>
        <w:t>the</w:t>
      </w:r>
      <w:r>
        <w:rPr>
          <w:spacing w:val="19"/>
        </w:rPr>
        <w:t> </w:t>
      </w:r>
      <w:r>
        <w:rPr/>
        <w:t>plays’</w:t>
      </w:r>
      <w:r>
        <w:rPr>
          <w:spacing w:val="13"/>
        </w:rPr>
        <w:t> </w:t>
      </w:r>
      <w:r>
        <w:rPr/>
        <w:t>fluid</w:t>
      </w:r>
      <w:r>
        <w:rPr>
          <w:spacing w:val="21"/>
        </w:rPr>
        <w:t> </w:t>
      </w:r>
      <w:r>
        <w:rPr/>
        <w:t>economy</w:t>
      </w:r>
      <w:r>
        <w:rPr>
          <w:spacing w:val="16"/>
        </w:rPr>
        <w:t> </w:t>
      </w:r>
      <w:r>
        <w:rPr/>
        <w:t>from</w:t>
      </w:r>
      <w:r>
        <w:rPr>
          <w:spacing w:val="17"/>
        </w:rPr>
        <w:t> </w:t>
      </w:r>
      <w:r>
        <w:rPr/>
        <w:t>Ophelia</w:t>
      </w:r>
      <w:r>
        <w:rPr>
          <w:spacing w:val="19"/>
        </w:rPr>
        <w:t> </w:t>
      </w:r>
      <w:r>
        <w:rPr/>
        <w:t>and</w:t>
      </w:r>
      <w:r>
        <w:rPr>
          <w:spacing w:val="18"/>
        </w:rPr>
        <w:t> </w:t>
      </w:r>
      <w:r>
        <w:rPr>
          <w:spacing w:val="-2"/>
        </w:rPr>
        <w:t>Desdemona:</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29664">
                <wp:simplePos x="0" y="0"/>
                <wp:positionH relativeFrom="page">
                  <wp:posOffset>2065020</wp:posOffset>
                </wp:positionH>
                <wp:positionV relativeFrom="paragraph">
                  <wp:posOffset>795020</wp:posOffset>
                </wp:positionV>
                <wp:extent cx="3657600" cy="12700"/>
                <wp:effectExtent l="0" t="0" r="0" b="0"/>
                <wp:wrapTopAndBottom/>
                <wp:docPr id="421" name="Graphic 421"/>
                <wp:cNvGraphicFramePr>
                  <a:graphicFrameLocks/>
                </wp:cNvGraphicFramePr>
                <a:graphic>
                  <a:graphicData uri="http://schemas.microsoft.com/office/word/2010/wordprocessingShape">
                    <wps:wsp>
                      <wps:cNvPr id="421" name="Graphic 42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86816;mso-wrap-distance-left:0;mso-wrap-distance-right:0" id="docshape416" filled="true" fillcolor="#000000" stroked="false">
                <v:fill type="solid"/>
                <w10:wrap type="topAndBottom"/>
              </v:rect>
            </w:pict>
          </mc:Fallback>
        </mc:AlternateContent>
      </w:r>
      <w:r>
        <w:rPr>
          <w:rFonts w:ascii="Verdana" w:hAnsi="Verdana"/>
          <w:spacing w:val="-2"/>
          <w:sz w:val="18"/>
        </w:rPr>
        <w:t>Revisiting</w:t>
      </w:r>
      <w:r>
        <w:rPr>
          <w:rFonts w:ascii="Verdana" w:hAnsi="Verdana"/>
          <w:spacing w:val="-1"/>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Women: Traces</w:t>
      </w:r>
      <w:r>
        <w:rPr>
          <w:rFonts w:ascii="Verdana" w:hAnsi="Verdana"/>
          <w:sz w:val="18"/>
        </w:rPr>
        <w:t> </w:t>
      </w:r>
      <w:r>
        <w:rPr>
          <w:rFonts w:ascii="Verdana" w:hAnsi="Verdana"/>
          <w:spacing w:val="-2"/>
          <w:sz w:val="18"/>
        </w:rPr>
        <w:t>of</w:t>
      </w:r>
      <w:r>
        <w:rPr>
          <w:rFonts w:ascii="Verdana" w:hAnsi="Verdana"/>
          <w:spacing w:val="2"/>
          <w:sz w:val="18"/>
        </w:rPr>
        <w:t> </w:t>
      </w:r>
      <w:r>
        <w:rPr>
          <w:rFonts w:ascii="Verdana" w:hAnsi="Verdana"/>
          <w:spacing w:val="-2"/>
          <w:sz w:val="18"/>
        </w:rPr>
        <w:t>Fluidity</w:t>
      </w:r>
      <w:r>
        <w:rPr>
          <w:rFonts w:ascii="Verdana" w:hAnsi="Verdana"/>
          <w:sz w:val="18"/>
        </w:rPr>
        <w:t> </w:t>
      </w:r>
      <w:r>
        <w:rPr>
          <w:rFonts w:ascii="Verdana" w:hAnsi="Verdana"/>
          <w:spacing w:val="-5"/>
          <w:sz w:val="18"/>
        </w:rPr>
        <w:t>...</w:t>
      </w:r>
      <w:r>
        <w:rPr>
          <w:sz w:val="18"/>
        </w:rPr>
        <w:tab/>
      </w:r>
      <w:r>
        <w:rPr>
          <w:rFonts w:ascii="Verdana" w:hAnsi="Verdana"/>
          <w:spacing w:val="-5"/>
          <w:sz w:val="18"/>
        </w:rPr>
        <w:t>177</w:t>
      </w:r>
    </w:p>
    <w:p>
      <w:pPr>
        <w:pStyle w:val="BodyText"/>
        <w:spacing w:line="249" w:lineRule="auto" w:before="192"/>
        <w:ind w:right="1437"/>
        <w:jc w:val="both"/>
      </w:pPr>
      <w:r>
        <w:rPr/>
        <w:t>where those figures embody liquid excess in its most intimate and involuntary forms, Katherina’s excess is vocal, social, and publicly scandalous. Her speech</w:t>
      </w:r>
      <w:r>
        <w:rPr>
          <w:spacing w:val="-2"/>
        </w:rPr>
        <w:t> </w:t>
      </w:r>
      <w:r>
        <w:rPr/>
        <w:t>throughout the play’s</w:t>
      </w:r>
      <w:r>
        <w:rPr>
          <w:spacing w:val="-2"/>
        </w:rPr>
        <w:t> </w:t>
      </w:r>
      <w:r>
        <w:rPr/>
        <w:t>early</w:t>
      </w:r>
      <w:r>
        <w:rPr>
          <w:spacing w:val="-4"/>
        </w:rPr>
        <w:t> </w:t>
      </w:r>
      <w:r>
        <w:rPr/>
        <w:t>acts is</w:t>
      </w:r>
      <w:r>
        <w:rPr>
          <w:spacing w:val="-2"/>
        </w:rPr>
        <w:t> </w:t>
      </w:r>
      <w:r>
        <w:rPr/>
        <w:t>characterised by overflow — she speaks too much, too freely, too rapidly, and too forcefully</w:t>
      </w:r>
      <w:r>
        <w:rPr>
          <w:spacing w:val="-11"/>
        </w:rPr>
        <w:t> </w:t>
      </w:r>
      <w:r>
        <w:rPr/>
        <w:t>for</w:t>
      </w:r>
      <w:r>
        <w:rPr>
          <w:spacing w:val="-8"/>
        </w:rPr>
        <w:t> </w:t>
      </w:r>
      <w:r>
        <w:rPr/>
        <w:t>the</w:t>
      </w:r>
      <w:r>
        <w:rPr>
          <w:spacing w:val="-5"/>
        </w:rPr>
        <w:t> </w:t>
      </w:r>
      <w:r>
        <w:rPr/>
        <w:t>conventions</w:t>
      </w:r>
      <w:r>
        <w:rPr>
          <w:spacing w:val="-9"/>
        </w:rPr>
        <w:t> </w:t>
      </w:r>
      <w:r>
        <w:rPr/>
        <w:t>of</w:t>
      </w:r>
      <w:r>
        <w:rPr>
          <w:spacing w:val="-9"/>
        </w:rPr>
        <w:t> </w:t>
      </w:r>
      <w:r>
        <w:rPr/>
        <w:t>feminine</w:t>
      </w:r>
      <w:r>
        <w:rPr>
          <w:spacing w:val="-9"/>
        </w:rPr>
        <w:t> </w:t>
      </w:r>
      <w:r>
        <w:rPr/>
        <w:t>decorum</w:t>
      </w:r>
      <w:r>
        <w:rPr>
          <w:spacing w:val="-12"/>
        </w:rPr>
        <w:t> </w:t>
      </w:r>
      <w:r>
        <w:rPr/>
        <w:t>that</w:t>
      </w:r>
      <w:r>
        <w:rPr>
          <w:spacing w:val="-8"/>
        </w:rPr>
        <w:t> </w:t>
      </w:r>
      <w:r>
        <w:rPr/>
        <w:t>the</w:t>
      </w:r>
      <w:r>
        <w:rPr>
          <w:spacing w:val="-9"/>
        </w:rPr>
        <w:t> </w:t>
      </w:r>
      <w:r>
        <w:rPr/>
        <w:t>play’s</w:t>
      </w:r>
      <w:r>
        <w:rPr>
          <w:spacing w:val="-9"/>
        </w:rPr>
        <w:t> </w:t>
      </w:r>
      <w:r>
        <w:rPr/>
        <w:t>world enforces. The metaphor of speech as liquid — as something that can overflow,</w:t>
      </w:r>
      <w:r>
        <w:rPr>
          <w:spacing w:val="-13"/>
        </w:rPr>
        <w:t> </w:t>
      </w:r>
      <w:r>
        <w:rPr/>
        <w:t>be</w:t>
      </w:r>
      <w:r>
        <w:rPr>
          <w:spacing w:val="-12"/>
        </w:rPr>
        <w:t> </w:t>
      </w:r>
      <w:r>
        <w:rPr/>
        <w:t>channelled,</w:t>
      </w:r>
      <w:r>
        <w:rPr>
          <w:spacing w:val="-13"/>
        </w:rPr>
        <w:t> </w:t>
      </w:r>
      <w:r>
        <w:rPr/>
        <w:t>be</w:t>
      </w:r>
      <w:r>
        <w:rPr>
          <w:spacing w:val="-12"/>
        </w:rPr>
        <w:t> </w:t>
      </w:r>
      <w:r>
        <w:rPr/>
        <w:t>dammed</w:t>
      </w:r>
      <w:r>
        <w:rPr>
          <w:spacing w:val="-13"/>
        </w:rPr>
        <w:t> </w:t>
      </w:r>
      <w:r>
        <w:rPr/>
        <w:t>—</w:t>
      </w:r>
      <w:r>
        <w:rPr>
          <w:spacing w:val="-12"/>
        </w:rPr>
        <w:t> </w:t>
      </w:r>
      <w:r>
        <w:rPr/>
        <w:t>is</w:t>
      </w:r>
      <w:r>
        <w:rPr>
          <w:spacing w:val="-13"/>
        </w:rPr>
        <w:t> </w:t>
      </w:r>
      <w:r>
        <w:rPr/>
        <w:t>active</w:t>
      </w:r>
      <w:r>
        <w:rPr>
          <w:spacing w:val="-12"/>
        </w:rPr>
        <w:t> </w:t>
      </w:r>
      <w:r>
        <w:rPr/>
        <w:t>in</w:t>
      </w:r>
      <w:r>
        <w:rPr>
          <w:spacing w:val="-13"/>
        </w:rPr>
        <w:t> </w:t>
      </w:r>
      <w:r>
        <w:rPr/>
        <w:t>early</w:t>
      </w:r>
      <w:r>
        <w:rPr>
          <w:spacing w:val="-12"/>
        </w:rPr>
        <w:t> </w:t>
      </w:r>
      <w:r>
        <w:rPr/>
        <w:t>modern</w:t>
      </w:r>
      <w:r>
        <w:rPr>
          <w:spacing w:val="-13"/>
        </w:rPr>
        <w:t> </w:t>
      </w:r>
      <w:r>
        <w:rPr/>
        <w:t>culture, and Katherina’s verbal excess participates in the same humoral logic that associates unconstrained female moisture with moral incontinence and</w:t>
      </w:r>
      <w:r>
        <w:rPr>
          <w:spacing w:val="40"/>
        </w:rPr>
        <w:t> </w:t>
      </w:r>
      <w:r>
        <w:rPr/>
        <w:t>social</w:t>
      </w:r>
      <w:r>
        <w:rPr>
          <w:spacing w:val="40"/>
        </w:rPr>
        <w:t> </w:t>
      </w:r>
      <w:r>
        <w:rPr/>
        <w:t>disorder.</w:t>
      </w:r>
    </w:p>
    <w:p>
      <w:pPr>
        <w:pStyle w:val="BodyText"/>
        <w:spacing w:line="249" w:lineRule="auto" w:before="66"/>
        <w:ind w:right="1438" w:firstLine="432"/>
        <w:jc w:val="both"/>
      </w:pPr>
      <w:r>
        <w:rPr/>
        <w:t>Petruchio’s project, in these terms, is one of physiological management:</w:t>
      </w:r>
      <w:r>
        <w:rPr>
          <w:spacing w:val="-4"/>
        </w:rPr>
        <w:t> </w:t>
      </w:r>
      <w:r>
        <w:rPr/>
        <w:t>a</w:t>
      </w:r>
      <w:r>
        <w:rPr>
          <w:spacing w:val="-7"/>
        </w:rPr>
        <w:t> </w:t>
      </w:r>
      <w:r>
        <w:rPr/>
        <w:t>systematic</w:t>
      </w:r>
      <w:r>
        <w:rPr>
          <w:spacing w:val="-4"/>
        </w:rPr>
        <w:t> </w:t>
      </w:r>
      <w:r>
        <w:rPr/>
        <w:t>disruption</w:t>
      </w:r>
      <w:r>
        <w:rPr>
          <w:spacing w:val="-8"/>
        </w:rPr>
        <w:t> </w:t>
      </w:r>
      <w:r>
        <w:rPr/>
        <w:t>of</w:t>
      </w:r>
      <w:r>
        <w:rPr>
          <w:spacing w:val="-4"/>
        </w:rPr>
        <w:t> </w:t>
      </w:r>
      <w:r>
        <w:rPr/>
        <w:t>Katherina’s</w:t>
      </w:r>
      <w:r>
        <w:rPr>
          <w:spacing w:val="-4"/>
        </w:rPr>
        <w:t> </w:t>
      </w:r>
      <w:r>
        <w:rPr/>
        <w:t>bodily</w:t>
      </w:r>
      <w:r>
        <w:rPr>
          <w:spacing w:val="-9"/>
        </w:rPr>
        <w:t> </w:t>
      </w:r>
      <w:r>
        <w:rPr/>
        <w:t>economy</w:t>
      </w:r>
      <w:r>
        <w:rPr>
          <w:spacing w:val="-6"/>
        </w:rPr>
        <w:t> </w:t>
      </w:r>
      <w:r>
        <w:rPr/>
        <w:t>— </w:t>
      </w:r>
      <w:r>
        <w:rPr>
          <w:spacing w:val="-2"/>
        </w:rPr>
        <w:t>through</w:t>
      </w:r>
      <w:r>
        <w:rPr>
          <w:spacing w:val="-11"/>
        </w:rPr>
        <w:t> </w:t>
      </w:r>
      <w:r>
        <w:rPr>
          <w:spacing w:val="-2"/>
        </w:rPr>
        <w:t>sleep</w:t>
      </w:r>
      <w:r>
        <w:rPr>
          <w:spacing w:val="-8"/>
        </w:rPr>
        <w:t> </w:t>
      </w:r>
      <w:r>
        <w:rPr>
          <w:spacing w:val="-2"/>
        </w:rPr>
        <w:t>deprivation,</w:t>
      </w:r>
      <w:r>
        <w:rPr>
          <w:spacing w:val="-11"/>
        </w:rPr>
        <w:t> </w:t>
      </w:r>
      <w:r>
        <w:rPr>
          <w:spacing w:val="-2"/>
        </w:rPr>
        <w:t>food</w:t>
      </w:r>
      <w:r>
        <w:rPr>
          <w:spacing w:val="-8"/>
        </w:rPr>
        <w:t> </w:t>
      </w:r>
      <w:r>
        <w:rPr>
          <w:spacing w:val="-2"/>
        </w:rPr>
        <w:t>withdrawal,</w:t>
      </w:r>
      <w:r>
        <w:rPr>
          <w:spacing w:val="-7"/>
        </w:rPr>
        <w:t> </w:t>
      </w:r>
      <w:r>
        <w:rPr>
          <w:spacing w:val="-2"/>
        </w:rPr>
        <w:t>and</w:t>
      </w:r>
      <w:r>
        <w:rPr>
          <w:spacing w:val="-9"/>
        </w:rPr>
        <w:t> </w:t>
      </w:r>
      <w:r>
        <w:rPr>
          <w:spacing w:val="-2"/>
        </w:rPr>
        <w:t>the</w:t>
      </w:r>
      <w:r>
        <w:rPr>
          <w:spacing w:val="-9"/>
        </w:rPr>
        <w:t> </w:t>
      </w:r>
      <w:r>
        <w:rPr>
          <w:spacing w:val="-2"/>
        </w:rPr>
        <w:t>deliberate</w:t>
      </w:r>
      <w:r>
        <w:rPr>
          <w:spacing w:val="-9"/>
        </w:rPr>
        <w:t> </w:t>
      </w:r>
      <w:r>
        <w:rPr>
          <w:spacing w:val="-2"/>
        </w:rPr>
        <w:t>misreading </w:t>
      </w:r>
      <w:r>
        <w:rPr/>
        <w:t>of her perceptions — designed to unsettle the humoral equilibrium that underlies her capacity for resistance. The play frames these techniques as comic and corrective, which is itself a significant ideological move, </w:t>
      </w:r>
      <w:r>
        <w:rPr>
          <w:spacing w:val="-2"/>
        </w:rPr>
        <w:t>and one</w:t>
      </w:r>
      <w:r>
        <w:rPr>
          <w:spacing w:val="-3"/>
        </w:rPr>
        <w:t> </w:t>
      </w:r>
      <w:r>
        <w:rPr>
          <w:spacing w:val="-2"/>
        </w:rPr>
        <w:t>that</w:t>
      </w:r>
      <w:r>
        <w:rPr>
          <w:spacing w:val="-3"/>
        </w:rPr>
        <w:t> </w:t>
      </w:r>
      <w:r>
        <w:rPr>
          <w:spacing w:val="-2"/>
        </w:rPr>
        <w:t>feminist</w:t>
      </w:r>
      <w:r>
        <w:rPr>
          <w:spacing w:val="-5"/>
        </w:rPr>
        <w:t> </w:t>
      </w:r>
      <w:r>
        <w:rPr>
          <w:spacing w:val="-2"/>
        </w:rPr>
        <w:t>criticism</w:t>
      </w:r>
      <w:r>
        <w:rPr>
          <w:spacing w:val="-6"/>
        </w:rPr>
        <w:t> </w:t>
      </w:r>
      <w:r>
        <w:rPr>
          <w:spacing w:val="-2"/>
        </w:rPr>
        <w:t>has</w:t>
      </w:r>
      <w:r>
        <w:rPr>
          <w:spacing w:val="-5"/>
        </w:rPr>
        <w:t> </w:t>
      </w:r>
      <w:r>
        <w:rPr>
          <w:spacing w:val="-2"/>
        </w:rPr>
        <w:t>rightly</w:t>
      </w:r>
      <w:r>
        <w:rPr>
          <w:spacing w:val="-7"/>
        </w:rPr>
        <w:t> </w:t>
      </w:r>
      <w:r>
        <w:rPr>
          <w:spacing w:val="-2"/>
        </w:rPr>
        <w:t>subjected</w:t>
      </w:r>
      <w:r>
        <w:rPr>
          <w:spacing w:val="-3"/>
        </w:rPr>
        <w:t> </w:t>
      </w:r>
      <w:r>
        <w:rPr>
          <w:spacing w:val="-2"/>
        </w:rPr>
        <w:t>to</w:t>
      </w:r>
      <w:r>
        <w:rPr>
          <w:spacing w:val="-3"/>
        </w:rPr>
        <w:t> </w:t>
      </w:r>
      <w:r>
        <w:rPr>
          <w:spacing w:val="-2"/>
        </w:rPr>
        <w:t>sustained scrutiny. </w:t>
      </w:r>
      <w:r>
        <w:rPr/>
        <w:t>What the present study adds is attention to what happens at the play’s conclusion,</w:t>
      </w:r>
      <w:r>
        <w:rPr>
          <w:spacing w:val="40"/>
        </w:rPr>
        <w:t> </w:t>
      </w:r>
      <w:r>
        <w:rPr/>
        <w:t>when</w:t>
      </w:r>
      <w:r>
        <w:rPr>
          <w:spacing w:val="40"/>
        </w:rPr>
        <w:t> </w:t>
      </w:r>
      <w:r>
        <w:rPr/>
        <w:t>the</w:t>
      </w:r>
      <w:r>
        <w:rPr>
          <w:spacing w:val="40"/>
        </w:rPr>
        <w:t> </w:t>
      </w:r>
      <w:r>
        <w:rPr/>
        <w:t>containment</w:t>
      </w:r>
      <w:r>
        <w:rPr>
          <w:spacing w:val="40"/>
        </w:rPr>
        <w:t> </w:t>
      </w:r>
      <w:r>
        <w:rPr/>
        <w:t>project</w:t>
      </w:r>
      <w:r>
        <w:rPr>
          <w:spacing w:val="40"/>
        </w:rPr>
        <w:t> </w:t>
      </w:r>
      <w:r>
        <w:rPr/>
        <w:t>ostensibly</w:t>
      </w:r>
      <w:r>
        <w:rPr>
          <w:spacing w:val="40"/>
        </w:rPr>
        <w:t> </w:t>
      </w:r>
      <w:r>
        <w:rPr/>
        <w:t>succeeds.</w:t>
      </w:r>
    </w:p>
    <w:p>
      <w:pPr>
        <w:pStyle w:val="BodyText"/>
        <w:spacing w:line="249" w:lineRule="auto" w:before="65"/>
        <w:ind w:right="1438" w:firstLine="432"/>
        <w:jc w:val="both"/>
      </w:pPr>
      <w:r>
        <w:rPr/>
        <w:t>Katherina’s final speech on wifely duty — forty-three lines of elaborately structured argument — is the most interpretively contested passage in the play. Its length alone is significant: it is a rhetorical </w:t>
      </w:r>
      <w:r>
        <w:rPr>
          <w:spacing w:val="-2"/>
        </w:rPr>
        <w:t>performance</w:t>
      </w:r>
      <w:r>
        <w:rPr>
          <w:spacing w:val="-5"/>
        </w:rPr>
        <w:t> </w:t>
      </w:r>
      <w:r>
        <w:rPr>
          <w:spacing w:val="-2"/>
        </w:rPr>
        <w:t>of</w:t>
      </w:r>
      <w:r>
        <w:rPr>
          <w:spacing w:val="-5"/>
        </w:rPr>
        <w:t> </w:t>
      </w:r>
      <w:r>
        <w:rPr>
          <w:spacing w:val="-2"/>
        </w:rPr>
        <w:t>extraordinary</w:t>
      </w:r>
      <w:r>
        <w:rPr>
          <w:spacing w:val="-9"/>
        </w:rPr>
        <w:t> </w:t>
      </w:r>
      <w:r>
        <w:rPr>
          <w:spacing w:val="-2"/>
        </w:rPr>
        <w:t>formal</w:t>
      </w:r>
      <w:r>
        <w:rPr>
          <w:spacing w:val="-5"/>
        </w:rPr>
        <w:t> </w:t>
      </w:r>
      <w:r>
        <w:rPr>
          <w:spacing w:val="-2"/>
        </w:rPr>
        <w:t>control, far in</w:t>
      </w:r>
      <w:r>
        <w:rPr>
          <w:spacing w:val="-5"/>
        </w:rPr>
        <w:t> </w:t>
      </w:r>
      <w:r>
        <w:rPr>
          <w:spacing w:val="-2"/>
        </w:rPr>
        <w:t>excess</w:t>
      </w:r>
      <w:r>
        <w:rPr>
          <w:spacing w:val="-7"/>
        </w:rPr>
        <w:t> </w:t>
      </w:r>
      <w:r>
        <w:rPr>
          <w:spacing w:val="-2"/>
        </w:rPr>
        <w:t>of</w:t>
      </w:r>
      <w:r>
        <w:rPr>
          <w:spacing w:val="-5"/>
        </w:rPr>
        <w:t> </w:t>
      </w:r>
      <w:r>
        <w:rPr>
          <w:spacing w:val="-2"/>
        </w:rPr>
        <w:t>what</w:t>
      </w:r>
      <w:r>
        <w:rPr>
          <w:spacing w:val="-5"/>
        </w:rPr>
        <w:t> </w:t>
      </w:r>
      <w:r>
        <w:rPr>
          <w:spacing w:val="-2"/>
        </w:rPr>
        <w:t>simple </w:t>
      </w:r>
      <w:r>
        <w:rPr/>
        <w:t>submission would require. The woman who has been subjected to the project of drying out produces, at the play’s end, a torrent of eloquent advocacy for the very submission she has been compelled to perform. Whether the speech reads as sincere endorsement, elaborate irony, or </w:t>
      </w:r>
      <w:r>
        <w:rPr>
          <w:spacing w:val="-2"/>
        </w:rPr>
        <w:t>some</w:t>
      </w:r>
      <w:r>
        <w:rPr>
          <w:spacing w:val="-11"/>
        </w:rPr>
        <w:t> </w:t>
      </w:r>
      <w:r>
        <w:rPr>
          <w:spacing w:val="-2"/>
        </w:rPr>
        <w:t>unresolvable</w:t>
      </w:r>
      <w:r>
        <w:rPr>
          <w:spacing w:val="-10"/>
        </w:rPr>
        <w:t> </w:t>
      </w:r>
      <w:r>
        <w:rPr>
          <w:spacing w:val="-2"/>
        </w:rPr>
        <w:t>combination</w:t>
      </w:r>
      <w:r>
        <w:rPr>
          <w:spacing w:val="-11"/>
        </w:rPr>
        <w:t> </w:t>
      </w:r>
      <w:r>
        <w:rPr>
          <w:spacing w:val="-2"/>
        </w:rPr>
        <w:t>of</w:t>
      </w:r>
      <w:r>
        <w:rPr>
          <w:spacing w:val="-10"/>
        </w:rPr>
        <w:t> </w:t>
      </w:r>
      <w:r>
        <w:rPr>
          <w:spacing w:val="-2"/>
        </w:rPr>
        <w:t>both</w:t>
      </w:r>
      <w:r>
        <w:rPr>
          <w:spacing w:val="-11"/>
        </w:rPr>
        <w:t> </w:t>
      </w:r>
      <w:r>
        <w:rPr>
          <w:spacing w:val="-2"/>
        </w:rPr>
        <w:t>—</w:t>
      </w:r>
      <w:r>
        <w:rPr>
          <w:spacing w:val="-10"/>
        </w:rPr>
        <w:t> </w:t>
      </w:r>
      <w:r>
        <w:rPr>
          <w:spacing w:val="-2"/>
        </w:rPr>
        <w:t>and</w:t>
      </w:r>
      <w:r>
        <w:rPr>
          <w:spacing w:val="-11"/>
        </w:rPr>
        <w:t> </w:t>
      </w:r>
      <w:r>
        <w:rPr>
          <w:spacing w:val="-2"/>
        </w:rPr>
        <w:t>the</w:t>
      </w:r>
      <w:r>
        <w:rPr>
          <w:spacing w:val="-10"/>
        </w:rPr>
        <w:t> </w:t>
      </w:r>
      <w:r>
        <w:rPr>
          <w:spacing w:val="-2"/>
        </w:rPr>
        <w:t>play,</w:t>
      </w:r>
      <w:r>
        <w:rPr>
          <w:spacing w:val="-11"/>
        </w:rPr>
        <w:t> </w:t>
      </w:r>
      <w:r>
        <w:rPr>
          <w:spacing w:val="-2"/>
        </w:rPr>
        <w:t>characteristically, </w:t>
      </w:r>
      <w:r>
        <w:rPr/>
        <w:t>provides no stable ground from which to decide — it performs its own excess. The liquid has found a new channel, the channel of apparent compliance, but it has not been eliminated. Katherina’s body continues to speak beyond the terms of its containment precisely in the act of seeming</w:t>
      </w:r>
      <w:r>
        <w:rPr>
          <w:spacing w:val="40"/>
        </w:rPr>
        <w:t> </w:t>
      </w:r>
      <w:r>
        <w:rPr/>
        <w:t>to</w:t>
      </w:r>
      <w:r>
        <w:rPr>
          <w:spacing w:val="40"/>
        </w:rPr>
        <w:t> </w:t>
      </w:r>
      <w:r>
        <w:rPr/>
        <w:t>endorse</w:t>
      </w:r>
      <w:r>
        <w:rPr>
          <w:spacing w:val="40"/>
        </w:rPr>
        <w:t> </w:t>
      </w:r>
      <w:r>
        <w:rPr/>
        <w:t>them.</w:t>
      </w:r>
    </w:p>
    <w:p>
      <w:pPr>
        <w:pStyle w:val="BodyText"/>
        <w:spacing w:line="249" w:lineRule="auto" w:before="71"/>
        <w:ind w:right="1439" w:firstLine="432"/>
        <w:jc w:val="both"/>
      </w:pPr>
      <w:r>
        <w:rPr/>
        <w:t>This</w:t>
      </w:r>
      <w:r>
        <w:rPr>
          <w:spacing w:val="-1"/>
        </w:rPr>
        <w:t> </w:t>
      </w:r>
      <w:r>
        <w:rPr/>
        <w:t>is liquid</w:t>
      </w:r>
      <w:r>
        <w:rPr>
          <w:spacing w:val="-1"/>
        </w:rPr>
        <w:t> </w:t>
      </w:r>
      <w:r>
        <w:rPr/>
        <w:t>epistemics</w:t>
      </w:r>
      <w:r>
        <w:rPr>
          <w:spacing w:val="-3"/>
        </w:rPr>
        <w:t> </w:t>
      </w:r>
      <w:r>
        <w:rPr/>
        <w:t>in</w:t>
      </w:r>
      <w:r>
        <w:rPr>
          <w:spacing w:val="-1"/>
        </w:rPr>
        <w:t> </w:t>
      </w:r>
      <w:r>
        <w:rPr/>
        <w:t>its</w:t>
      </w:r>
      <w:r>
        <w:rPr>
          <w:spacing w:val="-1"/>
        </w:rPr>
        <w:t> </w:t>
      </w:r>
      <w:r>
        <w:rPr/>
        <w:t>most politically</w:t>
      </w:r>
      <w:r>
        <w:rPr>
          <w:spacing w:val="-5"/>
        </w:rPr>
        <w:t> </w:t>
      </w:r>
      <w:r>
        <w:rPr/>
        <w:t>acute form: a mode of knowing and signifying that operates within imposed constraints while simultaneously registering those constraints as insufficient to contain it. The speech gives</w:t>
      </w:r>
      <w:r>
        <w:rPr>
          <w:spacing w:val="-1"/>
        </w:rPr>
        <w:t> </w:t>
      </w:r>
      <w:r>
        <w:rPr/>
        <w:t>the audience everything it has been primed to</w:t>
      </w:r>
      <w:r>
        <w:rPr>
          <w:spacing w:val="-4"/>
        </w:rPr>
        <w:t> </w:t>
      </w:r>
      <w:r>
        <w:rPr/>
        <w:t>want</w:t>
      </w:r>
      <w:r>
        <w:rPr>
          <w:spacing w:val="-4"/>
        </w:rPr>
        <w:t> </w:t>
      </w:r>
      <w:r>
        <w:rPr/>
        <w:t>—</w:t>
      </w:r>
      <w:r>
        <w:rPr>
          <w:spacing w:val="-7"/>
        </w:rPr>
        <w:t> </w:t>
      </w:r>
      <w:r>
        <w:rPr/>
        <w:t>submission,</w:t>
      </w:r>
      <w:r>
        <w:rPr>
          <w:spacing w:val="-4"/>
        </w:rPr>
        <w:t> </w:t>
      </w:r>
      <w:r>
        <w:rPr/>
        <w:t>eloquence,</w:t>
      </w:r>
      <w:r>
        <w:rPr>
          <w:spacing w:val="-6"/>
        </w:rPr>
        <w:t> </w:t>
      </w:r>
      <w:r>
        <w:rPr/>
        <w:t>formal</w:t>
      </w:r>
      <w:r>
        <w:rPr>
          <w:spacing w:val="-5"/>
        </w:rPr>
        <w:t> </w:t>
      </w:r>
      <w:r>
        <w:rPr/>
        <w:t>resolution</w:t>
      </w:r>
      <w:r>
        <w:rPr>
          <w:spacing w:val="-6"/>
        </w:rPr>
        <w:t> </w:t>
      </w:r>
      <w:r>
        <w:rPr/>
        <w:t>—</w:t>
      </w:r>
      <w:r>
        <w:rPr>
          <w:spacing w:val="-7"/>
        </w:rPr>
        <w:t> </w:t>
      </w:r>
      <w:r>
        <w:rPr/>
        <w:t>and</w:t>
      </w:r>
      <w:r>
        <w:rPr>
          <w:spacing w:val="-2"/>
        </w:rPr>
        <w:t> </w:t>
      </w:r>
      <w:r>
        <w:rPr/>
        <w:t>provides</w:t>
      </w:r>
      <w:r>
        <w:rPr>
          <w:spacing w:val="-6"/>
        </w:rPr>
        <w:t> </w:t>
      </w:r>
      <w:r>
        <w:rPr/>
        <w:t>no stable way</w:t>
      </w:r>
      <w:r>
        <w:rPr>
          <w:spacing w:val="-2"/>
        </w:rPr>
        <w:t> </w:t>
      </w:r>
      <w:r>
        <w:rPr/>
        <w:t>of knowing whether any of it is genuine. The undecidability is</w:t>
      </w:r>
      <w:r>
        <w:rPr>
          <w:spacing w:val="40"/>
        </w:rPr>
        <w:t> </w:t>
      </w:r>
      <w:r>
        <w:rPr/>
        <w:t>the</w:t>
      </w:r>
      <w:r>
        <w:rPr>
          <w:spacing w:val="40"/>
        </w:rPr>
        <w:t> </w:t>
      </w:r>
      <w:r>
        <w:rPr/>
        <w:t>point.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30176">
                <wp:simplePos x="0" y="0"/>
                <wp:positionH relativeFrom="page">
                  <wp:posOffset>2057400</wp:posOffset>
                </wp:positionH>
                <wp:positionV relativeFrom="paragraph">
                  <wp:posOffset>162604</wp:posOffset>
                </wp:positionV>
                <wp:extent cx="3657600" cy="12700"/>
                <wp:effectExtent l="0" t="0" r="0" b="0"/>
                <wp:wrapTopAndBottom/>
                <wp:docPr id="422" name="Graphic 422"/>
                <wp:cNvGraphicFramePr>
                  <a:graphicFrameLocks/>
                </wp:cNvGraphicFramePr>
                <a:graphic>
                  <a:graphicData uri="http://schemas.microsoft.com/office/word/2010/wordprocessingShape">
                    <wps:wsp>
                      <wps:cNvPr id="422" name="Graphic 42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86304;mso-wrap-distance-left:0;mso-wrap-distance-right:0" id="docshape417" filled="true" fillcolor="#000000" stroked="false">
                <v:fill type="solid"/>
                <w10:wrap type="topAndBottom"/>
              </v:rect>
            </w:pict>
          </mc:Fallback>
        </mc:AlternateContent>
      </w:r>
      <w:r>
        <w:rPr>
          <w:rFonts w:ascii="Verdana"/>
          <w:spacing w:val="-5"/>
          <w:sz w:val="18"/>
        </w:rPr>
        <w:t>178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5"/>
        <w:numPr>
          <w:ilvl w:val="1"/>
          <w:numId w:val="33"/>
        </w:numPr>
        <w:tabs>
          <w:tab w:pos="1892" w:val="left" w:leader="none"/>
        </w:tabs>
        <w:spacing w:line="244" w:lineRule="auto" w:before="184" w:after="0"/>
        <w:ind w:left="1440" w:right="1439" w:firstLine="0"/>
        <w:jc w:val="left"/>
      </w:pPr>
      <w:r>
        <w:rPr>
          <w:w w:val="105"/>
        </w:rPr>
        <w:t>Miranda:</w:t>
      </w:r>
      <w:r>
        <w:rPr>
          <w:spacing w:val="80"/>
          <w:w w:val="105"/>
        </w:rPr>
        <w:t> </w:t>
      </w:r>
      <w:r>
        <w:rPr>
          <w:w w:val="105"/>
        </w:rPr>
        <w:t>Reflective</w:t>
      </w:r>
      <w:r>
        <w:rPr>
          <w:spacing w:val="80"/>
          <w:w w:val="105"/>
        </w:rPr>
        <w:t> </w:t>
      </w:r>
      <w:r>
        <w:rPr>
          <w:w w:val="105"/>
        </w:rPr>
        <w:t>Wonder</w:t>
      </w:r>
      <w:r>
        <w:rPr>
          <w:spacing w:val="80"/>
          <w:w w:val="105"/>
        </w:rPr>
        <w:t> </w:t>
      </w:r>
      <w:r>
        <w:rPr>
          <w:w w:val="105"/>
        </w:rPr>
        <w:t>and</w:t>
      </w:r>
      <w:r>
        <w:rPr>
          <w:spacing w:val="80"/>
          <w:w w:val="105"/>
        </w:rPr>
        <w:t> </w:t>
      </w:r>
      <w:r>
        <w:rPr>
          <w:w w:val="105"/>
        </w:rPr>
        <w:t>the</w:t>
      </w:r>
      <w:r>
        <w:rPr>
          <w:spacing w:val="80"/>
          <w:w w:val="105"/>
        </w:rPr>
        <w:t> </w:t>
      </w:r>
      <w:r>
        <w:rPr>
          <w:w w:val="105"/>
        </w:rPr>
        <w:t>Limits</w:t>
      </w:r>
      <w:r>
        <w:rPr>
          <w:spacing w:val="80"/>
          <w:w w:val="105"/>
        </w:rPr>
        <w:t> </w:t>
      </w:r>
      <w:r>
        <w:rPr>
          <w:w w:val="105"/>
        </w:rPr>
        <w:t>of Prospero’s</w:t>
      </w:r>
      <w:r>
        <w:rPr>
          <w:spacing w:val="40"/>
          <w:w w:val="105"/>
        </w:rPr>
        <w:t> </w:t>
      </w:r>
      <w:r>
        <w:rPr>
          <w:w w:val="105"/>
        </w:rPr>
        <w:t>Management</w:t>
      </w:r>
    </w:p>
    <w:p>
      <w:pPr>
        <w:pStyle w:val="BodyText"/>
        <w:spacing w:line="249" w:lineRule="auto" w:before="68"/>
        <w:ind w:right="1437" w:firstLine="432"/>
        <w:jc w:val="both"/>
      </w:pPr>
      <w:r>
        <w:rPr/>
        <w:t>Miranda’s</w:t>
      </w:r>
      <w:r>
        <w:rPr>
          <w:spacing w:val="-1"/>
        </w:rPr>
        <w:t> </w:t>
      </w:r>
      <w:r>
        <w:rPr/>
        <w:t>situation in</w:t>
      </w:r>
      <w:r>
        <w:rPr>
          <w:spacing w:val="-1"/>
        </w:rPr>
        <w:t> </w:t>
      </w:r>
      <w:r>
        <w:rPr/>
        <w:t>The Tempest is more oblique, and the fluid signification she enacts is correspondingly subtler. She is introduced through Prospero’s management of her memory: his account of their history in Act One, Scene Two is simultaneously narrative and epistemological administration, an attempt to ensure that Miranda’s understanding of her own past conforms to his version of it. She is constituted, from her first substantial appearance, as an object of management — her education, her emotional life, and her social world all under Prospero’s supervision, a supervision the play presents as benevolent</w:t>
      </w:r>
      <w:r>
        <w:rPr>
          <w:spacing w:val="40"/>
        </w:rPr>
        <w:t> </w:t>
      </w:r>
      <w:r>
        <w:rPr/>
        <w:t>without</w:t>
      </w:r>
      <w:r>
        <w:rPr>
          <w:spacing w:val="40"/>
        </w:rPr>
        <w:t> </w:t>
      </w:r>
      <w:r>
        <w:rPr/>
        <w:t>fully</w:t>
      </w:r>
      <w:r>
        <w:rPr>
          <w:spacing w:val="40"/>
        </w:rPr>
        <w:t> </w:t>
      </w:r>
      <w:r>
        <w:rPr/>
        <w:t>endorsing.</w:t>
      </w:r>
    </w:p>
    <w:p>
      <w:pPr>
        <w:pStyle w:val="BodyText"/>
        <w:spacing w:line="249" w:lineRule="auto" w:before="65"/>
        <w:ind w:right="1440" w:firstLine="432"/>
        <w:jc w:val="both"/>
      </w:pPr>
      <w:r>
        <w:rPr/>
        <w:t>Her</w:t>
      </w:r>
      <w:r>
        <w:rPr>
          <w:spacing w:val="-1"/>
        </w:rPr>
        <w:t> </w:t>
      </w:r>
      <w:r>
        <w:rPr/>
        <w:t>name,</w:t>
      </w:r>
      <w:r>
        <w:rPr>
          <w:spacing w:val="-5"/>
        </w:rPr>
        <w:t> </w:t>
      </w:r>
      <w:r>
        <w:rPr/>
        <w:t>from</w:t>
      </w:r>
      <w:r>
        <w:rPr>
          <w:spacing w:val="-4"/>
        </w:rPr>
        <w:t> </w:t>
      </w:r>
      <w:r>
        <w:rPr/>
        <w:t>the</w:t>
      </w:r>
      <w:r>
        <w:rPr>
          <w:spacing w:val="-3"/>
        </w:rPr>
        <w:t> </w:t>
      </w:r>
      <w:r>
        <w:rPr/>
        <w:t>Latin</w:t>
      </w:r>
      <w:r>
        <w:rPr>
          <w:spacing w:val="-3"/>
        </w:rPr>
        <w:t> </w:t>
      </w:r>
      <w:r>
        <w:rPr/>
        <w:t>mirari,</w:t>
      </w:r>
      <w:r>
        <w:rPr>
          <w:spacing w:val="-3"/>
        </w:rPr>
        <w:t> </w:t>
      </w:r>
      <w:r>
        <w:rPr/>
        <w:t>marks</w:t>
      </w:r>
      <w:r>
        <w:rPr>
          <w:spacing w:val="-1"/>
        </w:rPr>
        <w:t> </w:t>
      </w:r>
      <w:r>
        <w:rPr/>
        <w:t>her</w:t>
      </w:r>
      <w:r>
        <w:rPr>
          <w:spacing w:val="-1"/>
        </w:rPr>
        <w:t> </w:t>
      </w:r>
      <w:r>
        <w:rPr/>
        <w:t>as</w:t>
      </w:r>
      <w:r>
        <w:rPr>
          <w:spacing w:val="-5"/>
        </w:rPr>
        <w:t> </w:t>
      </w:r>
      <w:r>
        <w:rPr/>
        <w:t>one to</w:t>
      </w:r>
      <w:r>
        <w:rPr>
          <w:spacing w:val="-3"/>
        </w:rPr>
        <w:t> </w:t>
      </w:r>
      <w:r>
        <w:rPr/>
        <w:t>be</w:t>
      </w:r>
      <w:r>
        <w:rPr>
          <w:spacing w:val="-1"/>
        </w:rPr>
        <w:t> </w:t>
      </w:r>
      <w:r>
        <w:rPr/>
        <w:t>wondered at, yet the play builds her as a subject of wonder in her own right: someone who receives the world with</w:t>
      </w:r>
      <w:r>
        <w:rPr>
          <w:spacing w:val="-2"/>
        </w:rPr>
        <w:t> </w:t>
      </w:r>
      <w:r>
        <w:rPr/>
        <w:t>an affective openness that is also a form of knowing. When she responds to the wreck of the ship with “O, I have suffered / With those that I saw suffer!” (1.2.5-6), she demonstrates</w:t>
      </w:r>
      <w:r>
        <w:rPr>
          <w:spacing w:val="15"/>
        </w:rPr>
        <w:t> </w:t>
      </w:r>
      <w:r>
        <w:rPr/>
        <w:t>somatic</w:t>
      </w:r>
      <w:r>
        <w:rPr>
          <w:spacing w:val="16"/>
        </w:rPr>
        <w:t> </w:t>
      </w:r>
      <w:r>
        <w:rPr/>
        <w:t>empathy</w:t>
      </w:r>
      <w:r>
        <w:rPr>
          <w:spacing w:val="14"/>
        </w:rPr>
        <w:t> </w:t>
      </w:r>
      <w:r>
        <w:rPr/>
        <w:t>—</w:t>
      </w:r>
      <w:r>
        <w:rPr>
          <w:spacing w:val="18"/>
        </w:rPr>
        <w:t> </w:t>
      </w:r>
      <w:r>
        <w:rPr/>
        <w:t>a</w:t>
      </w:r>
      <w:r>
        <w:rPr>
          <w:spacing w:val="18"/>
        </w:rPr>
        <w:t> </w:t>
      </w:r>
      <w:r>
        <w:rPr/>
        <w:t>kind</w:t>
      </w:r>
      <w:r>
        <w:rPr>
          <w:spacing w:val="17"/>
        </w:rPr>
        <w:t> </w:t>
      </w:r>
      <w:r>
        <w:rPr/>
        <w:t>of</w:t>
      </w:r>
      <w:r>
        <w:rPr>
          <w:spacing w:val="16"/>
        </w:rPr>
        <w:t> </w:t>
      </w:r>
      <w:r>
        <w:rPr/>
        <w:t>knowledge</w:t>
      </w:r>
      <w:r>
        <w:rPr>
          <w:spacing w:val="16"/>
        </w:rPr>
        <w:t> </w:t>
      </w:r>
      <w:r>
        <w:rPr/>
        <w:t>through</w:t>
      </w:r>
      <w:r>
        <w:rPr>
          <w:spacing w:val="16"/>
        </w:rPr>
        <w:t> </w:t>
      </w:r>
      <w:r>
        <w:rPr>
          <w:spacing w:val="-2"/>
        </w:rPr>
        <w:t>affect</w:t>
      </w:r>
    </w:p>
    <w:p>
      <w:pPr>
        <w:pStyle w:val="BodyText"/>
        <w:spacing w:line="249" w:lineRule="auto" w:before="5"/>
        <w:ind w:right="1440"/>
        <w:jc w:val="both"/>
      </w:pPr>
      <w:r>
        <w:rPr/>
        <w:t>— that Prospero’s more calculating intelligence conspicuously lacks. This is not simple naïveté; it is a mode of apprehension that takes seriously the material and emotional dimensions of experience rather than</w:t>
      </w:r>
      <w:r>
        <w:rPr>
          <w:spacing w:val="40"/>
        </w:rPr>
        <w:t> </w:t>
      </w:r>
      <w:r>
        <w:rPr/>
        <w:t>subordinating</w:t>
      </w:r>
      <w:r>
        <w:rPr>
          <w:spacing w:val="40"/>
        </w:rPr>
        <w:t> </w:t>
      </w:r>
      <w:r>
        <w:rPr/>
        <w:t>them immediately to</w:t>
      </w:r>
      <w:r>
        <w:rPr>
          <w:spacing w:val="40"/>
        </w:rPr>
        <w:t> </w:t>
      </w:r>
      <w:r>
        <w:rPr/>
        <w:t>rational</w:t>
      </w:r>
      <w:r>
        <w:rPr>
          <w:spacing w:val="40"/>
        </w:rPr>
        <w:t> </w:t>
      </w:r>
      <w:r>
        <w:rPr/>
        <w:t>purpose.</w:t>
      </w:r>
    </w:p>
    <w:p>
      <w:pPr>
        <w:pStyle w:val="BodyText"/>
        <w:spacing w:line="249" w:lineRule="auto" w:before="64"/>
        <w:ind w:right="1437" w:firstLine="432"/>
        <w:jc w:val="both"/>
      </w:pPr>
      <w:r>
        <w:rPr/>
        <w:t>The calibration of Miranda’s voice by Prospero’s authority does not empty it. Her exclamation near the play’s close — “O brave new world / That has such people in’t” (5.1.183-84) — is one of the most radically</w:t>
      </w:r>
      <w:r>
        <w:rPr>
          <w:spacing w:val="-2"/>
        </w:rPr>
        <w:t> </w:t>
      </w:r>
      <w:r>
        <w:rPr/>
        <w:t>under-determined</w:t>
      </w:r>
      <w:r>
        <w:rPr>
          <w:spacing w:val="-2"/>
        </w:rPr>
        <w:t> </w:t>
      </w:r>
      <w:r>
        <w:rPr/>
        <w:t>lines in the</w:t>
      </w:r>
      <w:r>
        <w:rPr>
          <w:spacing w:val="-2"/>
        </w:rPr>
        <w:t> </w:t>
      </w:r>
      <w:r>
        <w:rPr/>
        <w:t>canon: it has</w:t>
      </w:r>
      <w:r>
        <w:rPr>
          <w:spacing w:val="-3"/>
        </w:rPr>
        <w:t> </w:t>
      </w:r>
      <w:r>
        <w:rPr/>
        <w:t>supported readings of</w:t>
      </w:r>
      <w:r>
        <w:rPr>
          <w:spacing w:val="-2"/>
        </w:rPr>
        <w:t> </w:t>
      </w:r>
      <w:r>
        <w:rPr/>
        <w:t>naïve</w:t>
      </w:r>
      <w:r>
        <w:rPr>
          <w:spacing w:val="-1"/>
        </w:rPr>
        <w:t> </w:t>
      </w:r>
      <w:r>
        <w:rPr/>
        <w:t>rapture, of</w:t>
      </w:r>
      <w:r>
        <w:rPr>
          <w:spacing w:val="-2"/>
        </w:rPr>
        <w:t> </w:t>
      </w:r>
      <w:r>
        <w:rPr/>
        <w:t>mordant</w:t>
      </w:r>
      <w:r>
        <w:rPr>
          <w:spacing w:val="-3"/>
        </w:rPr>
        <w:t> </w:t>
      </w:r>
      <w:r>
        <w:rPr/>
        <w:t>irony, and of</w:t>
      </w:r>
      <w:r>
        <w:rPr>
          <w:spacing w:val="-3"/>
        </w:rPr>
        <w:t> </w:t>
      </w:r>
      <w:r>
        <w:rPr/>
        <w:t>a complex</w:t>
      </w:r>
      <w:r>
        <w:rPr>
          <w:spacing w:val="-2"/>
        </w:rPr>
        <w:t> </w:t>
      </w:r>
      <w:r>
        <w:rPr/>
        <w:t>amalgam</w:t>
      </w:r>
      <w:r>
        <w:rPr>
          <w:spacing w:val="-6"/>
        </w:rPr>
        <w:t> </w:t>
      </w:r>
      <w:r>
        <w:rPr/>
        <w:t>in which the speaker’s inexperience and the audience’s superior knowledge generate a meaning that exceeds either alone. What the hydrofeminist optic draws attention to is its aqueous quality: it reflects the world it receives,</w:t>
      </w:r>
      <w:r>
        <w:rPr>
          <w:spacing w:val="-9"/>
        </w:rPr>
        <w:t> </w:t>
      </w:r>
      <w:r>
        <w:rPr/>
        <w:t>as</w:t>
      </w:r>
      <w:r>
        <w:rPr>
          <w:spacing w:val="-10"/>
        </w:rPr>
        <w:t> </w:t>
      </w:r>
      <w:r>
        <w:rPr/>
        <w:t>water</w:t>
      </w:r>
      <w:r>
        <w:rPr>
          <w:spacing w:val="-7"/>
        </w:rPr>
        <w:t> </w:t>
      </w:r>
      <w:r>
        <w:rPr/>
        <w:t>reflects,</w:t>
      </w:r>
      <w:r>
        <w:rPr>
          <w:spacing w:val="-7"/>
        </w:rPr>
        <w:t> </w:t>
      </w:r>
      <w:r>
        <w:rPr/>
        <w:t>but</w:t>
      </w:r>
      <w:r>
        <w:rPr>
          <w:spacing w:val="-10"/>
        </w:rPr>
        <w:t> </w:t>
      </w:r>
      <w:r>
        <w:rPr/>
        <w:t>in</w:t>
      </w:r>
      <w:r>
        <w:rPr>
          <w:spacing w:val="-9"/>
        </w:rPr>
        <w:t> </w:t>
      </w:r>
      <w:r>
        <w:rPr/>
        <w:t>reflecting</w:t>
      </w:r>
      <w:r>
        <w:rPr>
          <w:spacing w:val="-9"/>
        </w:rPr>
        <w:t> </w:t>
      </w:r>
      <w:r>
        <w:rPr/>
        <w:t>it</w:t>
      </w:r>
      <w:r>
        <w:rPr>
          <w:spacing w:val="-7"/>
        </w:rPr>
        <w:t> </w:t>
      </w:r>
      <w:r>
        <w:rPr/>
        <w:t>distorts.</w:t>
      </w:r>
      <w:r>
        <w:rPr>
          <w:spacing w:val="-10"/>
        </w:rPr>
        <w:t> </w:t>
      </w:r>
      <w:r>
        <w:rPr/>
        <w:t>Miranda’s</w:t>
      </w:r>
      <w:r>
        <w:rPr>
          <w:spacing w:val="-9"/>
        </w:rPr>
        <w:t> </w:t>
      </w:r>
      <w:r>
        <w:rPr/>
        <w:t>wonder is</w:t>
      </w:r>
      <w:r>
        <w:rPr>
          <w:spacing w:val="-6"/>
        </w:rPr>
        <w:t> </w:t>
      </w:r>
      <w:r>
        <w:rPr/>
        <w:t>not</w:t>
      </w:r>
      <w:r>
        <w:rPr>
          <w:spacing w:val="-7"/>
        </w:rPr>
        <w:t> </w:t>
      </w:r>
      <w:r>
        <w:rPr/>
        <w:t>passive</w:t>
      </w:r>
      <w:r>
        <w:rPr>
          <w:spacing w:val="-3"/>
        </w:rPr>
        <w:t> </w:t>
      </w:r>
      <w:r>
        <w:rPr/>
        <w:t>mirroring;</w:t>
      </w:r>
      <w:r>
        <w:rPr>
          <w:spacing w:val="-4"/>
        </w:rPr>
        <w:t> </w:t>
      </w:r>
      <w:r>
        <w:rPr/>
        <w:t>it</w:t>
      </w:r>
      <w:r>
        <w:rPr>
          <w:spacing w:val="-6"/>
        </w:rPr>
        <w:t> </w:t>
      </w:r>
      <w:r>
        <w:rPr/>
        <w:t>is</w:t>
      </w:r>
      <w:r>
        <w:rPr>
          <w:spacing w:val="-4"/>
        </w:rPr>
        <w:t> </w:t>
      </w:r>
      <w:r>
        <w:rPr/>
        <w:t>an</w:t>
      </w:r>
      <w:r>
        <w:rPr>
          <w:spacing w:val="-7"/>
        </w:rPr>
        <w:t> </w:t>
      </w:r>
      <w:r>
        <w:rPr/>
        <w:t>active,</w:t>
      </w:r>
      <w:r>
        <w:rPr>
          <w:spacing w:val="-4"/>
        </w:rPr>
        <w:t> </w:t>
      </w:r>
      <w:r>
        <w:rPr/>
        <w:t>affective</w:t>
      </w:r>
      <w:r>
        <w:rPr>
          <w:spacing w:val="-6"/>
        </w:rPr>
        <w:t> </w:t>
      </w:r>
      <w:r>
        <w:rPr/>
        <w:t>re-composition</w:t>
      </w:r>
      <w:r>
        <w:rPr>
          <w:spacing w:val="-7"/>
        </w:rPr>
        <w:t> </w:t>
      </w:r>
      <w:r>
        <w:rPr/>
        <w:t>of</w:t>
      </w:r>
      <w:r>
        <w:rPr>
          <w:spacing w:val="-6"/>
        </w:rPr>
        <w:t> </w:t>
      </w:r>
      <w:r>
        <w:rPr/>
        <w:t>what she has encountered, and its very underdetermination is the sign of its excess</w:t>
      </w:r>
      <w:r>
        <w:rPr>
          <w:spacing w:val="40"/>
        </w:rPr>
        <w:t> </w:t>
      </w:r>
      <w:r>
        <w:rPr/>
        <w:t>over</w:t>
      </w:r>
      <w:r>
        <w:rPr>
          <w:spacing w:val="40"/>
        </w:rPr>
        <w:t> </w:t>
      </w:r>
      <w:r>
        <w:rPr/>
        <w:t>the</w:t>
      </w:r>
      <w:r>
        <w:rPr>
          <w:spacing w:val="40"/>
        </w:rPr>
        <w:t> </w:t>
      </w:r>
      <w:r>
        <w:rPr/>
        <w:t>management</w:t>
      </w:r>
      <w:r>
        <w:rPr>
          <w:spacing w:val="40"/>
        </w:rPr>
        <w:t> </w:t>
      </w:r>
      <w:r>
        <w:rPr/>
        <w:t>that</w:t>
      </w:r>
      <w:r>
        <w:rPr>
          <w:spacing w:val="40"/>
        </w:rPr>
        <w:t> </w:t>
      </w:r>
      <w:r>
        <w:rPr/>
        <w:t>has</w:t>
      </w:r>
      <w:r>
        <w:rPr>
          <w:spacing w:val="40"/>
        </w:rPr>
        <w:t> </w:t>
      </w:r>
      <w:r>
        <w:rPr/>
        <w:t>shaped</w:t>
      </w:r>
      <w:r>
        <w:rPr>
          <w:spacing w:val="40"/>
        </w:rPr>
        <w:t> </w:t>
      </w:r>
      <w:r>
        <w:rPr/>
        <w:t>it.</w:t>
      </w:r>
    </w:p>
    <w:p>
      <w:pPr>
        <w:pStyle w:val="BodyText"/>
        <w:spacing w:line="249" w:lineRule="auto" w:before="67"/>
        <w:ind w:right="1436" w:firstLine="432"/>
        <w:jc w:val="both"/>
      </w:pPr>
      <w:r>
        <w:rPr/>
        <w:t>Prospero’s correction — “’Tis new to thee” (5.1.184) — is the play’s most economical act of epistemic dismissal: a paternal reduction of complex affective response to the simplicity of inexperience, a dam placed against the overflow of her wonder. Its inadequacy is the line’s gift</w:t>
      </w:r>
      <w:r>
        <w:rPr>
          <w:spacing w:val="48"/>
        </w:rPr>
        <w:t> </w:t>
      </w:r>
      <w:r>
        <w:rPr/>
        <w:t>to</w:t>
      </w:r>
      <w:r>
        <w:rPr>
          <w:spacing w:val="51"/>
        </w:rPr>
        <w:t> </w:t>
      </w:r>
      <w:r>
        <w:rPr/>
        <w:t>the</w:t>
      </w:r>
      <w:r>
        <w:rPr>
          <w:spacing w:val="51"/>
        </w:rPr>
        <w:t> </w:t>
      </w:r>
      <w:r>
        <w:rPr/>
        <w:t>audience.</w:t>
      </w:r>
      <w:r>
        <w:rPr>
          <w:spacing w:val="50"/>
        </w:rPr>
        <w:t> </w:t>
      </w:r>
      <w:r>
        <w:rPr/>
        <w:t>Miranda’s</w:t>
      </w:r>
      <w:r>
        <w:rPr>
          <w:spacing w:val="49"/>
        </w:rPr>
        <w:t> </w:t>
      </w:r>
      <w:r>
        <w:rPr/>
        <w:t>utterance</w:t>
      </w:r>
      <w:r>
        <w:rPr>
          <w:spacing w:val="51"/>
        </w:rPr>
        <w:t> </w:t>
      </w:r>
      <w:r>
        <w:rPr/>
        <w:t>continues</w:t>
      </w:r>
      <w:r>
        <w:rPr>
          <w:spacing w:val="49"/>
        </w:rPr>
        <w:t> </w:t>
      </w:r>
      <w:r>
        <w:rPr/>
        <w:t>to</w:t>
      </w:r>
      <w:r>
        <w:rPr>
          <w:spacing w:val="52"/>
        </w:rPr>
        <w:t> </w:t>
      </w:r>
      <w:r>
        <w:rPr/>
        <w:t>vibrate</w:t>
      </w:r>
      <w:r>
        <w:rPr>
          <w:spacing w:val="51"/>
        </w:rPr>
        <w:t> </w:t>
      </w:r>
      <w:r>
        <w:rPr>
          <w:spacing w:val="-4"/>
        </w:rPr>
        <w:t>with</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30688">
                <wp:simplePos x="0" y="0"/>
                <wp:positionH relativeFrom="page">
                  <wp:posOffset>2065020</wp:posOffset>
                </wp:positionH>
                <wp:positionV relativeFrom="paragraph">
                  <wp:posOffset>795020</wp:posOffset>
                </wp:positionV>
                <wp:extent cx="3657600" cy="12700"/>
                <wp:effectExtent l="0" t="0" r="0" b="0"/>
                <wp:wrapTopAndBottom/>
                <wp:docPr id="423" name="Graphic 423"/>
                <wp:cNvGraphicFramePr>
                  <a:graphicFrameLocks/>
                </wp:cNvGraphicFramePr>
                <a:graphic>
                  <a:graphicData uri="http://schemas.microsoft.com/office/word/2010/wordprocessingShape">
                    <wps:wsp>
                      <wps:cNvPr id="423" name="Graphic 42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85792;mso-wrap-distance-left:0;mso-wrap-distance-right:0" id="docshape418" filled="true" fillcolor="#000000" stroked="false">
                <v:fill type="solid"/>
                <w10:wrap type="topAndBottom"/>
              </v:rect>
            </w:pict>
          </mc:Fallback>
        </mc:AlternateContent>
      </w:r>
      <w:r>
        <w:rPr>
          <w:rFonts w:ascii="Verdana" w:hAnsi="Verdana"/>
          <w:spacing w:val="-2"/>
          <w:sz w:val="18"/>
        </w:rPr>
        <w:t>Revisiting</w:t>
      </w:r>
      <w:r>
        <w:rPr>
          <w:rFonts w:ascii="Verdana" w:hAnsi="Verdana"/>
          <w:spacing w:val="-1"/>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Women: Traces</w:t>
      </w:r>
      <w:r>
        <w:rPr>
          <w:rFonts w:ascii="Verdana" w:hAnsi="Verdana"/>
          <w:sz w:val="18"/>
        </w:rPr>
        <w:t> </w:t>
      </w:r>
      <w:r>
        <w:rPr>
          <w:rFonts w:ascii="Verdana" w:hAnsi="Verdana"/>
          <w:spacing w:val="-2"/>
          <w:sz w:val="18"/>
        </w:rPr>
        <w:t>of</w:t>
      </w:r>
      <w:r>
        <w:rPr>
          <w:rFonts w:ascii="Verdana" w:hAnsi="Verdana"/>
          <w:spacing w:val="2"/>
          <w:sz w:val="18"/>
        </w:rPr>
        <w:t> </w:t>
      </w:r>
      <w:r>
        <w:rPr>
          <w:rFonts w:ascii="Verdana" w:hAnsi="Verdana"/>
          <w:spacing w:val="-2"/>
          <w:sz w:val="18"/>
        </w:rPr>
        <w:t>Fluidity</w:t>
      </w:r>
      <w:r>
        <w:rPr>
          <w:rFonts w:ascii="Verdana" w:hAnsi="Verdana"/>
          <w:sz w:val="18"/>
        </w:rPr>
        <w:t> </w:t>
      </w:r>
      <w:r>
        <w:rPr>
          <w:rFonts w:ascii="Verdana" w:hAnsi="Verdana"/>
          <w:spacing w:val="-5"/>
          <w:sz w:val="18"/>
        </w:rPr>
        <w:t>...</w:t>
      </w:r>
      <w:r>
        <w:rPr>
          <w:sz w:val="18"/>
        </w:rPr>
        <w:tab/>
      </w:r>
      <w:r>
        <w:rPr>
          <w:rFonts w:ascii="Verdana" w:hAnsi="Verdana"/>
          <w:spacing w:val="-5"/>
          <w:sz w:val="18"/>
        </w:rPr>
        <w:t>179</w:t>
      </w:r>
    </w:p>
    <w:p>
      <w:pPr>
        <w:pStyle w:val="BodyText"/>
        <w:spacing w:line="249" w:lineRule="auto" w:before="192"/>
        <w:ind w:right="1440"/>
        <w:jc w:val="both"/>
      </w:pPr>
      <w:r>
        <w:rPr/>
        <w:t>meanings that Prospero’s one short sentence cannot absorb, and it is</w:t>
      </w:r>
      <w:r>
        <w:rPr>
          <w:spacing w:val="40"/>
        </w:rPr>
        <w:t> </w:t>
      </w:r>
      <w:r>
        <w:rPr/>
        <w:t>this vibrational remainder — this refusal of full containment — that constitutes</w:t>
      </w:r>
      <w:r>
        <w:rPr>
          <w:spacing w:val="-4"/>
        </w:rPr>
        <w:t> </w:t>
      </w:r>
      <w:r>
        <w:rPr/>
        <w:t>her</w:t>
      </w:r>
      <w:r>
        <w:rPr>
          <w:spacing w:val="-4"/>
        </w:rPr>
        <w:t> </w:t>
      </w:r>
      <w:r>
        <w:rPr/>
        <w:t>most</w:t>
      </w:r>
      <w:r>
        <w:rPr>
          <w:spacing w:val="-4"/>
        </w:rPr>
        <w:t> </w:t>
      </w:r>
      <w:r>
        <w:rPr/>
        <w:t>enduring</w:t>
      </w:r>
      <w:r>
        <w:rPr>
          <w:spacing w:val="-4"/>
        </w:rPr>
        <w:t> </w:t>
      </w:r>
      <w:r>
        <w:rPr/>
        <w:t>contribution</w:t>
      </w:r>
      <w:r>
        <w:rPr>
          <w:spacing w:val="-4"/>
        </w:rPr>
        <w:t> </w:t>
      </w:r>
      <w:r>
        <w:rPr/>
        <w:t>to</w:t>
      </w:r>
      <w:r>
        <w:rPr>
          <w:spacing w:val="-2"/>
        </w:rPr>
        <w:t> </w:t>
      </w:r>
      <w:r>
        <w:rPr/>
        <w:t>the</w:t>
      </w:r>
      <w:r>
        <w:rPr>
          <w:spacing w:val="-3"/>
        </w:rPr>
        <w:t> </w:t>
      </w:r>
      <w:r>
        <w:rPr/>
        <w:t>play’s</w:t>
      </w:r>
      <w:r>
        <w:rPr>
          <w:spacing w:val="-5"/>
        </w:rPr>
        <w:t> </w:t>
      </w:r>
      <w:r>
        <w:rPr/>
        <w:t>epistemological </w:t>
      </w:r>
      <w:r>
        <w:rPr>
          <w:spacing w:val="-2"/>
        </w:rPr>
        <w:t>drama.</w:t>
      </w:r>
    </w:p>
    <w:p>
      <w:pPr>
        <w:pStyle w:val="Heading3"/>
        <w:numPr>
          <w:ilvl w:val="0"/>
          <w:numId w:val="33"/>
        </w:numPr>
        <w:tabs>
          <w:tab w:pos="1788" w:val="left" w:leader="none"/>
        </w:tabs>
        <w:spacing w:line="240" w:lineRule="auto" w:before="157" w:after="0"/>
        <w:ind w:left="1440" w:right="1437" w:firstLine="0"/>
        <w:jc w:val="left"/>
      </w:pPr>
      <w:r>
        <w:rPr>
          <w:w w:val="90"/>
        </w:rPr>
        <w:t>LIQUID</w:t>
      </w:r>
      <w:r>
        <w:rPr>
          <w:spacing w:val="80"/>
        </w:rPr>
        <w:t> </w:t>
      </w:r>
      <w:r>
        <w:rPr>
          <w:w w:val="90"/>
        </w:rPr>
        <w:t>EPISTEMICS:</w:t>
      </w:r>
      <w:r>
        <w:rPr>
          <w:spacing w:val="80"/>
        </w:rPr>
        <w:t> </w:t>
      </w:r>
      <w:r>
        <w:rPr>
          <w:w w:val="90"/>
        </w:rPr>
        <w:t>TOWARDS</w:t>
      </w:r>
      <w:r>
        <w:rPr>
          <w:spacing w:val="80"/>
        </w:rPr>
        <w:t> </w:t>
      </w:r>
      <w:r>
        <w:rPr>
          <w:w w:val="90"/>
        </w:rPr>
        <w:t>A</w:t>
      </w:r>
      <w:r>
        <w:rPr>
          <w:spacing w:val="80"/>
        </w:rPr>
        <w:t> </w:t>
      </w:r>
      <w:r>
        <w:rPr>
          <w:w w:val="90"/>
        </w:rPr>
        <w:t>THEORY</w:t>
      </w:r>
      <w:r>
        <w:rPr>
          <w:spacing w:val="80"/>
        </w:rPr>
        <w:t> </w:t>
      </w:r>
      <w:r>
        <w:rPr>
          <w:w w:val="90"/>
        </w:rPr>
        <w:t>OF </w:t>
      </w:r>
      <w:r>
        <w:rPr/>
        <w:t>EMBODIED</w:t>
      </w:r>
      <w:r>
        <w:rPr>
          <w:spacing w:val="-17"/>
        </w:rPr>
        <w:t> </w:t>
      </w:r>
      <w:r>
        <w:rPr/>
        <w:t>KNOWING</w:t>
      </w:r>
    </w:p>
    <w:p>
      <w:pPr>
        <w:pStyle w:val="BodyText"/>
        <w:spacing w:line="249" w:lineRule="auto" w:before="74"/>
        <w:ind w:right="1437" w:firstLine="432"/>
        <w:jc w:val="both"/>
      </w:pPr>
      <w:r>
        <w:rPr/>
        <w:t>The six readings developed above share a common structure, and it</w:t>
      </w:r>
      <w:r>
        <w:rPr>
          <w:spacing w:val="-13"/>
        </w:rPr>
        <w:t> </w:t>
      </w:r>
      <w:r>
        <w:rPr/>
        <w:t>is</w:t>
      </w:r>
      <w:r>
        <w:rPr>
          <w:spacing w:val="-12"/>
        </w:rPr>
        <w:t> </w:t>
      </w:r>
      <w:r>
        <w:rPr/>
        <w:t>worth</w:t>
      </w:r>
      <w:r>
        <w:rPr>
          <w:spacing w:val="-13"/>
        </w:rPr>
        <w:t> </w:t>
      </w:r>
      <w:r>
        <w:rPr/>
        <w:t>making</w:t>
      </w:r>
      <w:r>
        <w:rPr>
          <w:spacing w:val="-12"/>
        </w:rPr>
        <w:t> </w:t>
      </w:r>
      <w:r>
        <w:rPr/>
        <w:t>that</w:t>
      </w:r>
      <w:r>
        <w:rPr>
          <w:spacing w:val="-13"/>
        </w:rPr>
        <w:t> </w:t>
      </w:r>
      <w:r>
        <w:rPr/>
        <w:t>structure</w:t>
      </w:r>
      <w:r>
        <w:rPr>
          <w:spacing w:val="-12"/>
        </w:rPr>
        <w:t> </w:t>
      </w:r>
      <w:r>
        <w:rPr/>
        <w:t>explicit</w:t>
      </w:r>
      <w:r>
        <w:rPr>
          <w:spacing w:val="-13"/>
        </w:rPr>
        <w:t> </w:t>
      </w:r>
      <w:r>
        <w:rPr/>
        <w:t>before</w:t>
      </w:r>
      <w:r>
        <w:rPr>
          <w:spacing w:val="-12"/>
        </w:rPr>
        <w:t> </w:t>
      </w:r>
      <w:r>
        <w:rPr/>
        <w:t>turning</w:t>
      </w:r>
      <w:r>
        <w:rPr>
          <w:spacing w:val="-13"/>
        </w:rPr>
        <w:t> </w:t>
      </w:r>
      <w:r>
        <w:rPr/>
        <w:t>to</w:t>
      </w:r>
      <w:r>
        <w:rPr>
          <w:spacing w:val="-12"/>
        </w:rPr>
        <w:t> </w:t>
      </w:r>
      <w:r>
        <w:rPr/>
        <w:t>the</w:t>
      </w:r>
      <w:r>
        <w:rPr>
          <w:spacing w:val="-13"/>
        </w:rPr>
        <w:t> </w:t>
      </w:r>
      <w:r>
        <w:rPr/>
        <w:t>conclusion. In each case, the female body’s fluid economy — blood, tears, water, overflowing speech, archival suspension — constitutes a form of knowledge that the dominant epistemological frameworks of the play’s world cannot adequately receive. This failure of reception is structural rather than contingent: it is produced by the same humoral logic that associates femininity with moisture and moisture with cognitive unreliability. Each of these women’s bodies carries, transmits, and archives meanings that the rational, voluntary, propositional modes of knowing that patriarchal</w:t>
      </w:r>
      <w:r>
        <w:rPr>
          <w:spacing w:val="2"/>
        </w:rPr>
        <w:t> </w:t>
      </w:r>
      <w:r>
        <w:rPr/>
        <w:t>authority</w:t>
      </w:r>
      <w:r>
        <w:rPr>
          <w:spacing w:val="-1"/>
        </w:rPr>
        <w:t> </w:t>
      </w:r>
      <w:r>
        <w:rPr/>
        <w:t>privileges</w:t>
      </w:r>
      <w:r>
        <w:rPr>
          <w:spacing w:val="2"/>
        </w:rPr>
        <w:t> </w:t>
      </w:r>
      <w:r>
        <w:rPr/>
        <w:t>are constituted</w:t>
      </w:r>
      <w:r>
        <w:rPr>
          <w:spacing w:val="4"/>
        </w:rPr>
        <w:t> </w:t>
      </w:r>
      <w:r>
        <w:rPr/>
        <w:t>to</w:t>
      </w:r>
      <w:r>
        <w:rPr>
          <w:spacing w:val="4"/>
        </w:rPr>
        <w:t> </w:t>
      </w:r>
      <w:r>
        <w:rPr>
          <w:spacing w:val="-2"/>
        </w:rPr>
        <w:t>exclude.</w:t>
      </w:r>
    </w:p>
    <w:p>
      <w:pPr>
        <w:pStyle w:val="BodyText"/>
        <w:spacing w:line="249" w:lineRule="auto" w:before="66"/>
        <w:ind w:right="1439" w:firstLine="432"/>
        <w:jc w:val="both"/>
      </w:pPr>
      <w:r>
        <w:rPr/>
        <w:t>Liquid epistemics, as this paper has been developing the term, </w:t>
      </w:r>
      <w:r>
        <w:rPr>
          <w:spacing w:val="-2"/>
        </w:rPr>
        <w:t>designates</w:t>
      </w:r>
      <w:r>
        <w:rPr>
          <w:spacing w:val="-11"/>
        </w:rPr>
        <w:t> </w:t>
      </w:r>
      <w:r>
        <w:rPr>
          <w:spacing w:val="-2"/>
        </w:rPr>
        <w:t>a</w:t>
      </w:r>
      <w:r>
        <w:rPr>
          <w:spacing w:val="-10"/>
        </w:rPr>
        <w:t> </w:t>
      </w:r>
      <w:r>
        <w:rPr>
          <w:spacing w:val="-2"/>
        </w:rPr>
        <w:t>mode</w:t>
      </w:r>
      <w:r>
        <w:rPr>
          <w:spacing w:val="-11"/>
        </w:rPr>
        <w:t> </w:t>
      </w:r>
      <w:r>
        <w:rPr>
          <w:spacing w:val="-2"/>
        </w:rPr>
        <w:t>of</w:t>
      </w:r>
      <w:r>
        <w:rPr>
          <w:spacing w:val="-10"/>
        </w:rPr>
        <w:t> </w:t>
      </w:r>
      <w:r>
        <w:rPr>
          <w:spacing w:val="-2"/>
        </w:rPr>
        <w:t>knowing</w:t>
      </w:r>
      <w:r>
        <w:rPr>
          <w:spacing w:val="-11"/>
        </w:rPr>
        <w:t> </w:t>
      </w:r>
      <w:r>
        <w:rPr>
          <w:spacing w:val="-2"/>
        </w:rPr>
        <w:t>characterised</w:t>
      </w:r>
      <w:r>
        <w:rPr>
          <w:spacing w:val="-5"/>
        </w:rPr>
        <w:t> </w:t>
      </w:r>
      <w:r>
        <w:rPr>
          <w:spacing w:val="-2"/>
        </w:rPr>
        <w:t>by</w:t>
      </w:r>
      <w:r>
        <w:rPr>
          <w:spacing w:val="-11"/>
        </w:rPr>
        <w:t> </w:t>
      </w:r>
      <w:r>
        <w:rPr>
          <w:spacing w:val="-2"/>
        </w:rPr>
        <w:t>four</w:t>
      </w:r>
      <w:r>
        <w:rPr>
          <w:spacing w:val="-5"/>
        </w:rPr>
        <w:t> </w:t>
      </w:r>
      <w:r>
        <w:rPr>
          <w:spacing w:val="-2"/>
        </w:rPr>
        <w:t>inter-related</w:t>
      </w:r>
      <w:r>
        <w:rPr>
          <w:spacing w:val="-8"/>
        </w:rPr>
        <w:t> </w:t>
      </w:r>
      <w:r>
        <w:rPr>
          <w:spacing w:val="-2"/>
        </w:rPr>
        <w:t>features. </w:t>
      </w:r>
      <w:r>
        <w:rPr/>
        <w:t>It</w:t>
      </w:r>
      <w:r>
        <w:rPr>
          <w:spacing w:val="-2"/>
        </w:rPr>
        <w:t> </w:t>
      </w:r>
      <w:r>
        <w:rPr/>
        <w:t>is, first, material and embodied:</w:t>
      </w:r>
      <w:r>
        <w:rPr>
          <w:spacing w:val="-2"/>
        </w:rPr>
        <w:t> </w:t>
      </w:r>
      <w:r>
        <w:rPr/>
        <w:t>it inheres</w:t>
      </w:r>
      <w:r>
        <w:rPr>
          <w:spacing w:val="-2"/>
        </w:rPr>
        <w:t> </w:t>
      </w:r>
      <w:r>
        <w:rPr/>
        <w:t>in the physical economy</w:t>
      </w:r>
      <w:r>
        <w:rPr>
          <w:spacing w:val="-4"/>
        </w:rPr>
        <w:t> </w:t>
      </w:r>
      <w:r>
        <w:rPr/>
        <w:t>of the</w:t>
      </w:r>
      <w:r>
        <w:rPr>
          <w:spacing w:val="-7"/>
        </w:rPr>
        <w:t> </w:t>
      </w:r>
      <w:r>
        <w:rPr/>
        <w:t>body</w:t>
      </w:r>
      <w:r>
        <w:rPr>
          <w:spacing w:val="-8"/>
        </w:rPr>
        <w:t> </w:t>
      </w:r>
      <w:r>
        <w:rPr/>
        <w:t>—</w:t>
      </w:r>
      <w:r>
        <w:rPr>
          <w:spacing w:val="-8"/>
        </w:rPr>
        <w:t> </w:t>
      </w:r>
      <w:r>
        <w:rPr/>
        <w:t>in</w:t>
      </w:r>
      <w:r>
        <w:rPr>
          <w:spacing w:val="-6"/>
        </w:rPr>
        <w:t> </w:t>
      </w:r>
      <w:r>
        <w:rPr/>
        <w:t>blood,</w:t>
      </w:r>
      <w:r>
        <w:rPr>
          <w:spacing w:val="-6"/>
        </w:rPr>
        <w:t> </w:t>
      </w:r>
      <w:r>
        <w:rPr/>
        <w:t>tears,</w:t>
      </w:r>
      <w:r>
        <w:rPr>
          <w:spacing w:val="-8"/>
        </w:rPr>
        <w:t> </w:t>
      </w:r>
      <w:r>
        <w:rPr/>
        <w:t>the</w:t>
      </w:r>
      <w:r>
        <w:rPr>
          <w:spacing w:val="-5"/>
        </w:rPr>
        <w:t> </w:t>
      </w:r>
      <w:r>
        <w:rPr/>
        <w:t>moisture</w:t>
      </w:r>
      <w:r>
        <w:rPr>
          <w:spacing w:val="-7"/>
        </w:rPr>
        <w:t> </w:t>
      </w:r>
      <w:r>
        <w:rPr/>
        <w:t>of</w:t>
      </w:r>
      <w:r>
        <w:rPr>
          <w:spacing w:val="-6"/>
        </w:rPr>
        <w:t> </w:t>
      </w:r>
      <w:r>
        <w:rPr/>
        <w:t>speech,</w:t>
      </w:r>
      <w:r>
        <w:rPr>
          <w:spacing w:val="-6"/>
        </w:rPr>
        <w:t> </w:t>
      </w:r>
      <w:r>
        <w:rPr/>
        <w:t>the</w:t>
      </w:r>
      <w:r>
        <w:rPr>
          <w:spacing w:val="-6"/>
        </w:rPr>
        <w:t> </w:t>
      </w:r>
      <w:r>
        <w:rPr/>
        <w:t>archival</w:t>
      </w:r>
      <w:r>
        <w:rPr>
          <w:spacing w:val="-8"/>
        </w:rPr>
        <w:t> </w:t>
      </w:r>
      <w:r>
        <w:rPr/>
        <w:t>patience of suspended life — rather than in abstract or disembodied mental operations.</w:t>
      </w:r>
      <w:r>
        <w:rPr>
          <w:spacing w:val="-4"/>
        </w:rPr>
        <w:t> </w:t>
      </w:r>
      <w:r>
        <w:rPr/>
        <w:t>Second, it</w:t>
      </w:r>
      <w:r>
        <w:rPr>
          <w:spacing w:val="-2"/>
        </w:rPr>
        <w:t> </w:t>
      </w:r>
      <w:r>
        <w:rPr/>
        <w:t>is</w:t>
      </w:r>
      <w:r>
        <w:rPr>
          <w:spacing w:val="-2"/>
        </w:rPr>
        <w:t> </w:t>
      </w:r>
      <w:r>
        <w:rPr/>
        <w:t>processual</w:t>
      </w:r>
      <w:r>
        <w:rPr>
          <w:spacing w:val="-4"/>
        </w:rPr>
        <w:t> </w:t>
      </w:r>
      <w:r>
        <w:rPr/>
        <w:t>and</w:t>
      </w:r>
      <w:r>
        <w:rPr>
          <w:spacing w:val="-2"/>
        </w:rPr>
        <w:t> </w:t>
      </w:r>
      <w:r>
        <w:rPr/>
        <w:t>temporal:</w:t>
      </w:r>
      <w:r>
        <w:rPr>
          <w:spacing w:val="-2"/>
        </w:rPr>
        <w:t> </w:t>
      </w:r>
      <w:r>
        <w:rPr/>
        <w:t>it</w:t>
      </w:r>
      <w:r>
        <w:rPr>
          <w:spacing w:val="-2"/>
        </w:rPr>
        <w:t> </w:t>
      </w:r>
      <w:r>
        <w:rPr/>
        <w:t>unfolds</w:t>
      </w:r>
      <w:r>
        <w:rPr>
          <w:spacing w:val="-2"/>
        </w:rPr>
        <w:t> </w:t>
      </w:r>
      <w:r>
        <w:rPr/>
        <w:t>through</w:t>
      </w:r>
      <w:r>
        <w:rPr>
          <w:spacing w:val="-6"/>
        </w:rPr>
        <w:t> </w:t>
      </w:r>
      <w:r>
        <w:rPr/>
        <w:t>the movements and changes</w:t>
      </w:r>
      <w:r>
        <w:rPr>
          <w:spacing w:val="-2"/>
        </w:rPr>
        <w:t> </w:t>
      </w:r>
      <w:r>
        <w:rPr/>
        <w:t>of</w:t>
      </w:r>
      <w:r>
        <w:rPr>
          <w:spacing w:val="-2"/>
        </w:rPr>
        <w:t> </w:t>
      </w:r>
      <w:r>
        <w:rPr/>
        <w:t>the body</w:t>
      </w:r>
      <w:r>
        <w:rPr>
          <w:spacing w:val="-2"/>
        </w:rPr>
        <w:t> </w:t>
      </w:r>
      <w:r>
        <w:rPr/>
        <w:t>across</w:t>
      </w:r>
      <w:r>
        <w:rPr>
          <w:spacing w:val="-2"/>
        </w:rPr>
        <w:t> </w:t>
      </w:r>
      <w:r>
        <w:rPr/>
        <w:t>time, rather than</w:t>
      </w:r>
      <w:r>
        <w:rPr>
          <w:spacing w:val="-2"/>
        </w:rPr>
        <w:t> </w:t>
      </w:r>
      <w:r>
        <w:rPr/>
        <w:t>presenting itself as a proposition available all at once. Third, it is relational and porous: it is produced in and through the body’s relations with others and</w:t>
      </w:r>
      <w:r>
        <w:rPr>
          <w:spacing w:val="-6"/>
        </w:rPr>
        <w:t> </w:t>
      </w:r>
      <w:r>
        <w:rPr/>
        <w:t>with</w:t>
      </w:r>
      <w:r>
        <w:rPr>
          <w:spacing w:val="-6"/>
        </w:rPr>
        <w:t> </w:t>
      </w:r>
      <w:r>
        <w:rPr/>
        <w:t>its</w:t>
      </w:r>
      <w:r>
        <w:rPr>
          <w:spacing w:val="-8"/>
        </w:rPr>
        <w:t> </w:t>
      </w:r>
      <w:r>
        <w:rPr/>
        <w:t>material</w:t>
      </w:r>
      <w:r>
        <w:rPr>
          <w:spacing w:val="-6"/>
        </w:rPr>
        <w:t> </w:t>
      </w:r>
      <w:r>
        <w:rPr/>
        <w:t>environment,</w:t>
      </w:r>
      <w:r>
        <w:rPr>
          <w:spacing w:val="-6"/>
        </w:rPr>
        <w:t> </w:t>
      </w:r>
      <w:r>
        <w:rPr/>
        <w:t>rather</w:t>
      </w:r>
      <w:r>
        <w:rPr>
          <w:spacing w:val="-6"/>
        </w:rPr>
        <w:t> </w:t>
      </w:r>
      <w:r>
        <w:rPr/>
        <w:t>than</w:t>
      </w:r>
      <w:r>
        <w:rPr>
          <w:spacing w:val="-6"/>
        </w:rPr>
        <w:t> </w:t>
      </w:r>
      <w:r>
        <w:rPr/>
        <w:t>being</w:t>
      </w:r>
      <w:r>
        <w:rPr>
          <w:spacing w:val="-8"/>
        </w:rPr>
        <w:t> </w:t>
      </w:r>
      <w:r>
        <w:rPr/>
        <w:t>the</w:t>
      </w:r>
      <w:r>
        <w:rPr>
          <w:spacing w:val="-4"/>
        </w:rPr>
        <w:t> </w:t>
      </w:r>
      <w:r>
        <w:rPr/>
        <w:t>private</w:t>
      </w:r>
      <w:r>
        <w:rPr>
          <w:spacing w:val="-7"/>
        </w:rPr>
        <w:t> </w:t>
      </w:r>
      <w:r>
        <w:rPr/>
        <w:t>property of a sealed individual subject. Fourth, and crucially for the study’s broader argument, it is epistemically discounted: the same features that characterise it are precisely those that the dominant epistemological frameworks of the early modern world identify as disqualifying. Materiality is discounted in favour of abstraction; process in favour of proposition; porosity in favour of the bounded rational agent. The</w:t>
      </w:r>
      <w:r>
        <w:rPr>
          <w:spacing w:val="80"/>
        </w:rPr>
        <w:t> </w:t>
      </w:r>
      <w:r>
        <w:rPr/>
        <w:t>result is the systematic exclusion that Fricker and Dotson have named epistemic</w:t>
      </w:r>
      <w:r>
        <w:rPr>
          <w:spacing w:val="-4"/>
        </w:rPr>
        <w:t> </w:t>
      </w:r>
      <w:r>
        <w:rPr/>
        <w:t>injustice</w:t>
      </w:r>
      <w:r>
        <w:rPr>
          <w:spacing w:val="-4"/>
        </w:rPr>
        <w:t> </w:t>
      </w:r>
      <w:r>
        <w:rPr/>
        <w:t>—</w:t>
      </w:r>
      <w:r>
        <w:rPr>
          <w:spacing w:val="-3"/>
        </w:rPr>
        <w:t> </w:t>
      </w:r>
      <w:r>
        <w:rPr/>
        <w:t>a</w:t>
      </w:r>
      <w:r>
        <w:rPr>
          <w:spacing w:val="-1"/>
        </w:rPr>
        <w:t> </w:t>
      </w:r>
      <w:r>
        <w:rPr/>
        <w:t>wrong</w:t>
      </w:r>
      <w:r>
        <w:rPr>
          <w:spacing w:val="-5"/>
        </w:rPr>
        <w:t> </w:t>
      </w:r>
      <w:r>
        <w:rPr/>
        <w:t>done</w:t>
      </w:r>
      <w:r>
        <w:rPr>
          <w:spacing w:val="-2"/>
        </w:rPr>
        <w:t> </w:t>
      </w:r>
      <w:r>
        <w:rPr/>
        <w:t>not</w:t>
      </w:r>
      <w:r>
        <w:rPr>
          <w:spacing w:val="-5"/>
        </w:rPr>
        <w:t> </w:t>
      </w:r>
      <w:r>
        <w:rPr/>
        <w:t>to</w:t>
      </w:r>
      <w:r>
        <w:rPr>
          <w:spacing w:val="-3"/>
        </w:rPr>
        <w:t> </w:t>
      </w:r>
      <w:r>
        <w:rPr/>
        <w:t>the</w:t>
      </w:r>
      <w:r>
        <w:rPr>
          <w:spacing w:val="-3"/>
        </w:rPr>
        <w:t> </w:t>
      </w:r>
      <w:r>
        <w:rPr/>
        <w:t>content</w:t>
      </w:r>
      <w:r>
        <w:rPr>
          <w:spacing w:val="-2"/>
        </w:rPr>
        <w:t> </w:t>
      </w:r>
      <w:r>
        <w:rPr/>
        <w:t>of</w:t>
      </w:r>
      <w:r>
        <w:rPr>
          <w:spacing w:val="-5"/>
        </w:rPr>
        <w:t> </w:t>
      </w:r>
      <w:r>
        <w:rPr/>
        <w:t>what</w:t>
      </w:r>
      <w:r>
        <w:rPr>
          <w:spacing w:val="-3"/>
        </w:rPr>
        <w:t> </w:t>
      </w:r>
      <w:r>
        <w:rPr/>
        <w:t>is</w:t>
      </w:r>
      <w:r>
        <w:rPr>
          <w:spacing w:val="-3"/>
        </w:rPr>
        <w:t> </w:t>
      </w:r>
      <w:r>
        <w:rPr/>
        <w:t>known but</w:t>
      </w:r>
      <w:r>
        <w:rPr>
          <w:spacing w:val="37"/>
        </w:rPr>
        <w:t> </w:t>
      </w:r>
      <w:r>
        <w:rPr/>
        <w:t>to</w:t>
      </w:r>
      <w:r>
        <w:rPr>
          <w:spacing w:val="39"/>
        </w:rPr>
        <w:t> </w:t>
      </w:r>
      <w:r>
        <w:rPr/>
        <w:t>the</w:t>
      </w:r>
      <w:r>
        <w:rPr>
          <w:spacing w:val="35"/>
        </w:rPr>
        <w:t> </w:t>
      </w:r>
      <w:r>
        <w:rPr/>
        <w:t>knower,</w:t>
      </w:r>
      <w:r>
        <w:rPr>
          <w:spacing w:val="39"/>
        </w:rPr>
        <w:t> </w:t>
      </w:r>
      <w:r>
        <w:rPr/>
        <w:t>and</w:t>
      </w:r>
      <w:r>
        <w:rPr>
          <w:spacing w:val="37"/>
        </w:rPr>
        <w:t> </w:t>
      </w:r>
      <w:r>
        <w:rPr/>
        <w:t>to</w:t>
      </w:r>
      <w:r>
        <w:rPr>
          <w:spacing w:val="39"/>
        </w:rPr>
        <w:t> </w:t>
      </w:r>
      <w:r>
        <w:rPr/>
        <w:t>the</w:t>
      </w:r>
      <w:r>
        <w:rPr>
          <w:spacing w:val="40"/>
        </w:rPr>
        <w:t> </w:t>
      </w:r>
      <w:r>
        <w:rPr/>
        <w:t>mode</w:t>
      </w:r>
      <w:r>
        <w:rPr>
          <w:spacing w:val="36"/>
        </w:rPr>
        <w:t> </w:t>
      </w:r>
      <w:r>
        <w:rPr/>
        <w:t>of</w:t>
      </w:r>
      <w:r>
        <w:rPr>
          <w:spacing w:val="37"/>
        </w:rPr>
        <w:t> </w:t>
      </w:r>
      <w:r>
        <w:rPr/>
        <w:t>knowing,</w:t>
      </w:r>
      <w:r>
        <w:rPr>
          <w:spacing w:val="37"/>
        </w:rPr>
        <w:t> </w:t>
      </w:r>
      <w:r>
        <w:rPr/>
        <w:t>itself.</w:t>
      </w:r>
    </w:p>
    <w:p>
      <w:pPr>
        <w:pStyle w:val="BodyText"/>
        <w:spacing w:line="249" w:lineRule="auto" w:before="76"/>
        <w:ind w:right="1437" w:firstLine="432"/>
        <w:jc w:val="both"/>
      </w:pPr>
      <w:r>
        <w:rPr/>
        <w:t>The </w:t>
      </w:r>
      <w:r>
        <w:rPr>
          <w:spacing w:val="11"/>
        </w:rPr>
        <w:t>contemporary</w:t>
      </w:r>
      <w:r>
        <w:rPr>
          <w:spacing w:val="11"/>
        </w:rPr>
        <w:t> </w:t>
      </w:r>
      <w:r>
        <w:rPr>
          <w:spacing w:val="10"/>
        </w:rPr>
        <w:t>resonance</w:t>
      </w:r>
      <w:r>
        <w:rPr>
          <w:spacing w:val="10"/>
        </w:rPr>
        <w:t> </w:t>
      </w:r>
      <w:r>
        <w:rPr/>
        <w:t>of this </w:t>
      </w:r>
      <w:r>
        <w:rPr>
          <w:spacing w:val="10"/>
        </w:rPr>
        <w:t>argument</w:t>
      </w:r>
      <w:r>
        <w:rPr>
          <w:spacing w:val="10"/>
        </w:rPr>
        <w:t> deserves </w:t>
      </w:r>
      <w:r>
        <w:rPr/>
        <w:t>acknowledgement. The structural discounting of affective, embodied, </w:t>
      </w:r>
      <w:r>
        <w:rPr>
          <w:spacing w:val="-2"/>
        </w:rPr>
        <w:t>relational knowledge — of</w:t>
      </w:r>
      <w:r>
        <w:rPr>
          <w:spacing w:val="-3"/>
        </w:rPr>
        <w:t> </w:t>
      </w:r>
      <w:r>
        <w:rPr>
          <w:spacing w:val="-2"/>
        </w:rPr>
        <w:t>knowing</w:t>
      </w:r>
      <w:r>
        <w:rPr>
          <w:spacing w:val="-6"/>
        </w:rPr>
        <w:t> </w:t>
      </w:r>
      <w:r>
        <w:rPr>
          <w:spacing w:val="-2"/>
        </w:rPr>
        <w:t>that</w:t>
      </w:r>
      <w:r>
        <w:rPr>
          <w:spacing w:val="-1"/>
        </w:rPr>
        <w:t> </w:t>
      </w:r>
      <w:r>
        <w:rPr>
          <w:spacing w:val="-2"/>
        </w:rPr>
        <w:t>flows</w:t>
      </w:r>
      <w:r>
        <w:rPr>
          <w:spacing w:val="-1"/>
        </w:rPr>
        <w:t> </w:t>
      </w:r>
      <w:r>
        <w:rPr>
          <w:spacing w:val="-2"/>
        </w:rPr>
        <w:t>and</w:t>
      </w:r>
      <w:r>
        <w:rPr>
          <w:spacing w:val="1"/>
        </w:rPr>
        <w:t> </w:t>
      </w:r>
      <w:r>
        <w:rPr>
          <w:spacing w:val="-2"/>
        </w:rPr>
        <w:t>circulates</w:t>
      </w:r>
      <w:r>
        <w:rPr>
          <w:spacing w:val="-6"/>
        </w:rPr>
        <w:t> </w:t>
      </w:r>
      <w:r>
        <w:rPr>
          <w:spacing w:val="-2"/>
        </w:rPr>
        <w:t>and</w:t>
      </w:r>
      <w:r>
        <w:rPr>
          <w:spacing w:val="-1"/>
        </w:rPr>
        <w:t> </w:t>
      </w:r>
      <w:r>
        <w:rPr>
          <w:spacing w:val="-2"/>
        </w:rPr>
        <w:t>refuses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31200">
                <wp:simplePos x="0" y="0"/>
                <wp:positionH relativeFrom="page">
                  <wp:posOffset>2057400</wp:posOffset>
                </wp:positionH>
                <wp:positionV relativeFrom="paragraph">
                  <wp:posOffset>162604</wp:posOffset>
                </wp:positionV>
                <wp:extent cx="3657600" cy="12700"/>
                <wp:effectExtent l="0" t="0" r="0" b="0"/>
                <wp:wrapTopAndBottom/>
                <wp:docPr id="424" name="Graphic 424"/>
                <wp:cNvGraphicFramePr>
                  <a:graphicFrameLocks/>
                </wp:cNvGraphicFramePr>
                <a:graphic>
                  <a:graphicData uri="http://schemas.microsoft.com/office/word/2010/wordprocessingShape">
                    <wps:wsp>
                      <wps:cNvPr id="424" name="Graphic 42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85280;mso-wrap-distance-left:0;mso-wrap-distance-right:0" id="docshape419" filled="true" fillcolor="#000000" stroked="false">
                <v:fill type="solid"/>
                <w10:wrap type="topAndBottom"/>
              </v:rect>
            </w:pict>
          </mc:Fallback>
        </mc:AlternateContent>
      </w:r>
      <w:r>
        <w:rPr>
          <w:rFonts w:ascii="Verdana"/>
          <w:spacing w:val="-5"/>
          <w:sz w:val="18"/>
        </w:rPr>
        <w:t>180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to dry out into statement — remains a recognisable feature of the epistemological</w:t>
      </w:r>
      <w:r>
        <w:rPr>
          <w:spacing w:val="-13"/>
        </w:rPr>
        <w:t> </w:t>
      </w:r>
      <w:r>
        <w:rPr/>
        <w:t>order</w:t>
      </w:r>
      <w:r>
        <w:rPr>
          <w:spacing w:val="-12"/>
        </w:rPr>
        <w:t> </w:t>
      </w:r>
      <w:r>
        <w:rPr/>
        <w:t>within</w:t>
      </w:r>
      <w:r>
        <w:rPr>
          <w:spacing w:val="-13"/>
        </w:rPr>
        <w:t> </w:t>
      </w:r>
      <w:r>
        <w:rPr/>
        <w:t>which</w:t>
      </w:r>
      <w:r>
        <w:rPr>
          <w:spacing w:val="-12"/>
        </w:rPr>
        <w:t> </w:t>
      </w:r>
      <w:r>
        <w:rPr/>
        <w:t>women</w:t>
      </w:r>
      <w:r>
        <w:rPr>
          <w:spacing w:val="-13"/>
        </w:rPr>
        <w:t> </w:t>
      </w:r>
      <w:r>
        <w:rPr/>
        <w:t>operate</w:t>
      </w:r>
      <w:r>
        <w:rPr>
          <w:spacing w:val="-12"/>
        </w:rPr>
        <w:t> </w:t>
      </w:r>
      <w:r>
        <w:rPr/>
        <w:t>today.</w:t>
      </w:r>
      <w:r>
        <w:rPr>
          <w:spacing w:val="-13"/>
        </w:rPr>
        <w:t> </w:t>
      </w:r>
      <w:r>
        <w:rPr/>
        <w:t>The</w:t>
      </w:r>
      <w:r>
        <w:rPr>
          <w:spacing w:val="-12"/>
        </w:rPr>
        <w:t> </w:t>
      </w:r>
      <w:r>
        <w:rPr/>
        <w:t>suspicion attending emotional testimony, the demand that credible speech be composed and unfluid, the association of tearful or affectively vivid </w:t>
      </w:r>
      <w:r>
        <w:rPr>
          <w:spacing w:val="-2"/>
        </w:rPr>
        <w:t>expression</w:t>
      </w:r>
      <w:r>
        <w:rPr>
          <w:spacing w:val="-7"/>
        </w:rPr>
        <w:t> </w:t>
      </w:r>
      <w:r>
        <w:rPr>
          <w:spacing w:val="-2"/>
        </w:rPr>
        <w:t>with</w:t>
      </w:r>
      <w:r>
        <w:rPr>
          <w:spacing w:val="-7"/>
        </w:rPr>
        <w:t> </w:t>
      </w:r>
      <w:r>
        <w:rPr>
          <w:spacing w:val="-2"/>
        </w:rPr>
        <w:t>cognitive unreliability:</w:t>
      </w:r>
      <w:r>
        <w:rPr>
          <w:spacing w:val="-4"/>
        </w:rPr>
        <w:t> </w:t>
      </w:r>
      <w:r>
        <w:rPr>
          <w:spacing w:val="-2"/>
        </w:rPr>
        <w:t>these</w:t>
      </w:r>
      <w:r>
        <w:rPr>
          <w:spacing w:val="-7"/>
        </w:rPr>
        <w:t> </w:t>
      </w:r>
      <w:r>
        <w:rPr>
          <w:spacing w:val="-2"/>
        </w:rPr>
        <w:t>are</w:t>
      </w:r>
      <w:r>
        <w:rPr>
          <w:spacing w:val="-7"/>
        </w:rPr>
        <w:t> </w:t>
      </w:r>
      <w:r>
        <w:rPr>
          <w:spacing w:val="-2"/>
        </w:rPr>
        <w:t>not simply</w:t>
      </w:r>
      <w:r>
        <w:rPr>
          <w:spacing w:val="-11"/>
        </w:rPr>
        <w:t> </w:t>
      </w:r>
      <w:r>
        <w:rPr>
          <w:spacing w:val="-2"/>
        </w:rPr>
        <w:t>early</w:t>
      </w:r>
      <w:r>
        <w:rPr>
          <w:spacing w:val="-9"/>
        </w:rPr>
        <w:t> </w:t>
      </w:r>
      <w:r>
        <w:rPr>
          <w:spacing w:val="-2"/>
        </w:rPr>
        <w:t>modern </w:t>
      </w:r>
      <w:r>
        <w:rPr/>
        <w:t>prejudices</w:t>
      </w:r>
      <w:r>
        <w:rPr>
          <w:spacing w:val="-1"/>
        </w:rPr>
        <w:t> </w:t>
      </w:r>
      <w:r>
        <w:rPr/>
        <w:t>that</w:t>
      </w:r>
      <w:r>
        <w:rPr>
          <w:spacing w:val="-1"/>
        </w:rPr>
        <w:t> </w:t>
      </w:r>
      <w:r>
        <w:rPr/>
        <w:t>modernity</w:t>
      </w:r>
      <w:r>
        <w:rPr>
          <w:spacing w:val="-1"/>
        </w:rPr>
        <w:t> </w:t>
      </w:r>
      <w:r>
        <w:rPr/>
        <w:t>has</w:t>
      </w:r>
      <w:r>
        <w:rPr>
          <w:spacing w:val="-1"/>
        </w:rPr>
        <w:t> </w:t>
      </w:r>
      <w:r>
        <w:rPr/>
        <w:t>left</w:t>
      </w:r>
      <w:r>
        <w:rPr>
          <w:spacing w:val="-2"/>
        </w:rPr>
        <w:t> </w:t>
      </w:r>
      <w:r>
        <w:rPr/>
        <w:t>behind. They</w:t>
      </w:r>
      <w:r>
        <w:rPr>
          <w:spacing w:val="-3"/>
        </w:rPr>
        <w:t> </w:t>
      </w:r>
      <w:r>
        <w:rPr/>
        <w:t>persist,</w:t>
      </w:r>
      <w:r>
        <w:rPr>
          <w:spacing w:val="-1"/>
        </w:rPr>
        <w:t> </w:t>
      </w:r>
      <w:r>
        <w:rPr/>
        <w:t>transformed but structurally recognisable, in the conditions under which women’s testimony is received and evaluated. Shakespeare’s plays do not solve these problems, but they stage them with a precision and a theatrical force</w:t>
      </w:r>
      <w:r>
        <w:rPr>
          <w:spacing w:val="24"/>
        </w:rPr>
        <w:t> </w:t>
      </w:r>
      <w:r>
        <w:rPr/>
        <w:t>that</w:t>
      </w:r>
      <w:r>
        <w:rPr>
          <w:spacing w:val="25"/>
        </w:rPr>
        <w:t> </w:t>
      </w:r>
      <w:r>
        <w:rPr/>
        <w:t>makes</w:t>
      </w:r>
      <w:r>
        <w:rPr>
          <w:spacing w:val="25"/>
        </w:rPr>
        <w:t> </w:t>
      </w:r>
      <w:r>
        <w:rPr/>
        <w:t>the</w:t>
      </w:r>
      <w:r>
        <w:rPr>
          <w:spacing w:val="25"/>
        </w:rPr>
        <w:t> </w:t>
      </w:r>
      <w:r>
        <w:rPr/>
        <w:t>staging</w:t>
      </w:r>
      <w:r>
        <w:rPr>
          <w:spacing w:val="24"/>
        </w:rPr>
        <w:t> </w:t>
      </w:r>
      <w:r>
        <w:rPr/>
        <w:t>itself</w:t>
      </w:r>
      <w:r>
        <w:rPr>
          <w:spacing w:val="25"/>
        </w:rPr>
        <w:t> </w:t>
      </w:r>
      <w:r>
        <w:rPr/>
        <w:t>a</w:t>
      </w:r>
      <w:r>
        <w:rPr>
          <w:spacing w:val="25"/>
        </w:rPr>
        <w:t> </w:t>
      </w:r>
      <w:r>
        <w:rPr/>
        <w:t>contribution</w:t>
      </w:r>
      <w:r>
        <w:rPr>
          <w:spacing w:val="24"/>
        </w:rPr>
        <w:t> </w:t>
      </w:r>
      <w:r>
        <w:rPr/>
        <w:t>to</w:t>
      </w:r>
      <w:r>
        <w:rPr>
          <w:spacing w:val="26"/>
        </w:rPr>
        <w:t> </w:t>
      </w:r>
      <w:r>
        <w:rPr/>
        <w:t>feminist</w:t>
      </w:r>
      <w:r>
        <w:rPr>
          <w:spacing w:val="25"/>
        </w:rPr>
        <w:t> </w:t>
      </w:r>
      <w:r>
        <w:rPr>
          <w:spacing w:val="-2"/>
        </w:rPr>
        <w:t>thought.</w:t>
      </w:r>
    </w:p>
    <w:p>
      <w:pPr>
        <w:pStyle w:val="Heading3"/>
        <w:numPr>
          <w:ilvl w:val="0"/>
          <w:numId w:val="33"/>
        </w:numPr>
        <w:tabs>
          <w:tab w:pos="1774" w:val="left" w:leader="none"/>
        </w:tabs>
        <w:spacing w:line="240" w:lineRule="auto" w:before="162" w:after="0"/>
        <w:ind w:left="1440" w:right="1439" w:firstLine="0"/>
        <w:jc w:val="left"/>
      </w:pPr>
      <w:r>
        <w:rPr>
          <w:w w:val="95"/>
        </w:rPr>
        <w:t>CONCLUSION:</w:t>
      </w:r>
      <w:r>
        <w:rPr>
          <w:spacing w:val="40"/>
        </w:rPr>
        <w:t> </w:t>
      </w:r>
      <w:r>
        <w:rPr>
          <w:w w:val="95"/>
        </w:rPr>
        <w:t>THE</w:t>
      </w:r>
      <w:r>
        <w:rPr>
          <w:spacing w:val="40"/>
        </w:rPr>
        <w:t> </w:t>
      </w:r>
      <w:r>
        <w:rPr>
          <w:w w:val="95"/>
        </w:rPr>
        <w:t>ARCHIVE</w:t>
      </w:r>
      <w:r>
        <w:rPr>
          <w:spacing w:val="40"/>
        </w:rPr>
        <w:t> </w:t>
      </w:r>
      <w:r>
        <w:rPr>
          <w:w w:val="95"/>
        </w:rPr>
        <w:t>OF</w:t>
      </w:r>
      <w:r>
        <w:rPr>
          <w:spacing w:val="40"/>
        </w:rPr>
        <w:t> </w:t>
      </w:r>
      <w:r>
        <w:rPr>
          <w:w w:val="95"/>
        </w:rPr>
        <w:t>CIRCULATING </w:t>
      </w:r>
      <w:r>
        <w:rPr>
          <w:spacing w:val="-4"/>
          <w:w w:val="90"/>
        </w:rPr>
        <w:t>INTENSITIES</w:t>
      </w:r>
    </w:p>
    <w:p>
      <w:pPr>
        <w:pStyle w:val="BodyText"/>
        <w:spacing w:line="249" w:lineRule="auto" w:before="74"/>
        <w:ind w:right="1439" w:firstLine="432"/>
        <w:jc w:val="both"/>
      </w:pPr>
      <w:r>
        <w:rPr/>
        <w:t>This paper has argued that Shakespeare’s treatment of the female body constitutes a complex and differentiated engagement with the epistemological structures of early modernity. Through sustained readings of</w:t>
      </w:r>
      <w:r>
        <w:rPr>
          <w:spacing w:val="-3"/>
        </w:rPr>
        <w:t> </w:t>
      </w:r>
      <w:r>
        <w:rPr/>
        <w:t>Lady</w:t>
      </w:r>
      <w:r>
        <w:rPr>
          <w:spacing w:val="-2"/>
        </w:rPr>
        <w:t> </w:t>
      </w:r>
      <w:r>
        <w:rPr/>
        <w:t>Macbeth, Ophelia, Desdemona,</w:t>
      </w:r>
      <w:r>
        <w:rPr>
          <w:spacing w:val="-2"/>
        </w:rPr>
        <w:t> </w:t>
      </w:r>
      <w:r>
        <w:rPr/>
        <w:t>Hermione, Katherina, and Miranda, it has traced a dramaturgy</w:t>
      </w:r>
      <w:r>
        <w:rPr>
          <w:spacing w:val="-2"/>
        </w:rPr>
        <w:t> </w:t>
      </w:r>
      <w:r>
        <w:rPr/>
        <w:t>of liquid corporeality</w:t>
      </w:r>
      <w:r>
        <w:rPr>
          <w:spacing w:val="-2"/>
        </w:rPr>
        <w:t> </w:t>
      </w:r>
      <w:r>
        <w:rPr/>
        <w:t>in which blood, water, tears, and speech function as modes of embodied signification — as elements of what the study has called a liquid epistemics. This concept, developed at the intersection of humoral theory, hydrofeminism, and the contemporary discourse of epistemic injustice, names a form of knowing that inheres in the material and affective</w:t>
      </w:r>
      <w:r>
        <w:rPr>
          <w:spacing w:val="-13"/>
        </w:rPr>
        <w:t> </w:t>
      </w:r>
      <w:r>
        <w:rPr/>
        <w:t>life</w:t>
      </w:r>
      <w:r>
        <w:rPr>
          <w:spacing w:val="-12"/>
        </w:rPr>
        <w:t> </w:t>
      </w:r>
      <w:r>
        <w:rPr/>
        <w:t>of</w:t>
      </w:r>
      <w:r>
        <w:rPr>
          <w:spacing w:val="-13"/>
        </w:rPr>
        <w:t> </w:t>
      </w:r>
      <w:r>
        <w:rPr/>
        <w:t>the</w:t>
      </w:r>
      <w:r>
        <w:rPr>
          <w:spacing w:val="-12"/>
        </w:rPr>
        <w:t> </w:t>
      </w:r>
      <w:r>
        <w:rPr/>
        <w:t>body</w:t>
      </w:r>
      <w:r>
        <w:rPr>
          <w:spacing w:val="-13"/>
        </w:rPr>
        <w:t> </w:t>
      </w:r>
      <w:r>
        <w:rPr/>
        <w:t>and</w:t>
      </w:r>
      <w:r>
        <w:rPr>
          <w:spacing w:val="-10"/>
        </w:rPr>
        <w:t> </w:t>
      </w:r>
      <w:r>
        <w:rPr/>
        <w:t>that</w:t>
      </w:r>
      <w:r>
        <w:rPr>
          <w:spacing w:val="-12"/>
        </w:rPr>
        <w:t> </w:t>
      </w:r>
      <w:r>
        <w:rPr/>
        <w:t>the</w:t>
      </w:r>
      <w:r>
        <w:rPr>
          <w:spacing w:val="-12"/>
        </w:rPr>
        <w:t> </w:t>
      </w:r>
      <w:r>
        <w:rPr/>
        <w:t>epistemological</w:t>
      </w:r>
      <w:r>
        <w:rPr>
          <w:spacing w:val="-13"/>
        </w:rPr>
        <w:t> </w:t>
      </w:r>
      <w:r>
        <w:rPr/>
        <w:t>orders</w:t>
      </w:r>
      <w:r>
        <w:rPr>
          <w:spacing w:val="-12"/>
        </w:rPr>
        <w:t> </w:t>
      </w:r>
      <w:r>
        <w:rPr/>
        <w:t>surrounding these</w:t>
      </w:r>
      <w:r>
        <w:rPr>
          <w:spacing w:val="40"/>
        </w:rPr>
        <w:t> </w:t>
      </w:r>
      <w:r>
        <w:rPr/>
        <w:t>women</w:t>
      </w:r>
      <w:r>
        <w:rPr>
          <w:spacing w:val="40"/>
        </w:rPr>
        <w:t> </w:t>
      </w:r>
      <w:r>
        <w:rPr/>
        <w:t>are</w:t>
      </w:r>
      <w:r>
        <w:rPr>
          <w:spacing w:val="40"/>
        </w:rPr>
        <w:t> </w:t>
      </w:r>
      <w:r>
        <w:rPr/>
        <w:t>constituted</w:t>
      </w:r>
      <w:r>
        <w:rPr>
          <w:spacing w:val="40"/>
        </w:rPr>
        <w:t> </w:t>
      </w:r>
      <w:r>
        <w:rPr/>
        <w:t>to</w:t>
      </w:r>
      <w:r>
        <w:rPr>
          <w:spacing w:val="40"/>
        </w:rPr>
        <w:t> </w:t>
      </w:r>
      <w:r>
        <w:rPr/>
        <w:t>refuse.</w:t>
      </w:r>
    </w:p>
    <w:p>
      <w:pPr>
        <w:pStyle w:val="BodyText"/>
        <w:spacing w:line="249" w:lineRule="auto" w:before="67"/>
        <w:ind w:right="1436" w:firstLine="432"/>
        <w:jc w:val="both"/>
      </w:pPr>
      <w:r>
        <w:rPr/>
        <w:t>Looking backwards, towards the early modern period, the paper contributes to the body of scholarship that takes seriously the medical and</w:t>
      </w:r>
      <w:r>
        <w:rPr>
          <w:spacing w:val="-9"/>
        </w:rPr>
        <w:t> </w:t>
      </w:r>
      <w:r>
        <w:rPr/>
        <w:t>physiological</w:t>
      </w:r>
      <w:r>
        <w:rPr>
          <w:spacing w:val="-11"/>
        </w:rPr>
        <w:t> </w:t>
      </w:r>
      <w:r>
        <w:rPr/>
        <w:t>dimensions</w:t>
      </w:r>
      <w:r>
        <w:rPr>
          <w:spacing w:val="-11"/>
        </w:rPr>
        <w:t> </w:t>
      </w:r>
      <w:r>
        <w:rPr/>
        <w:t>of</w:t>
      </w:r>
      <w:r>
        <w:rPr>
          <w:spacing w:val="-12"/>
        </w:rPr>
        <w:t> </w:t>
      </w:r>
      <w:r>
        <w:rPr/>
        <w:t>Shakespeare’s</w:t>
      </w:r>
      <w:r>
        <w:rPr>
          <w:spacing w:val="-9"/>
        </w:rPr>
        <w:t> </w:t>
      </w:r>
      <w:r>
        <w:rPr/>
        <w:t>dramatic</w:t>
      </w:r>
      <w:r>
        <w:rPr>
          <w:spacing w:val="-11"/>
        </w:rPr>
        <w:t> </w:t>
      </w:r>
      <w:r>
        <w:rPr/>
        <w:t>imagination</w:t>
      </w:r>
      <w:r>
        <w:rPr>
          <w:spacing w:val="-11"/>
        </w:rPr>
        <w:t> </w:t>
      </w:r>
      <w:r>
        <w:rPr/>
        <w:t>— scholarship associated with Paster, Schoenfeldt, Mary Floyd-Wilson, and others — while bringing to that conversation a more explicitly feminist and epistemological orientation. The humoral body in Shakespeare is a site of epistemological politics, and the politics of the female humoral body are the politics of what counts as knowledge: whose</w:t>
      </w:r>
      <w:r>
        <w:rPr>
          <w:spacing w:val="-2"/>
        </w:rPr>
        <w:t> </w:t>
      </w:r>
      <w:r>
        <w:rPr/>
        <w:t>ways</w:t>
      </w:r>
      <w:r>
        <w:rPr>
          <w:spacing w:val="-4"/>
        </w:rPr>
        <w:t> </w:t>
      </w:r>
      <w:r>
        <w:rPr/>
        <w:t>of</w:t>
      </w:r>
      <w:r>
        <w:rPr>
          <w:spacing w:val="-2"/>
        </w:rPr>
        <w:t> </w:t>
      </w:r>
      <w:r>
        <w:rPr/>
        <w:t>knowing</w:t>
      </w:r>
      <w:r>
        <w:rPr>
          <w:spacing w:val="-6"/>
        </w:rPr>
        <w:t> </w:t>
      </w:r>
      <w:r>
        <w:rPr/>
        <w:t>attract</w:t>
      </w:r>
      <w:r>
        <w:rPr>
          <w:spacing w:val="-2"/>
        </w:rPr>
        <w:t> </w:t>
      </w:r>
      <w:r>
        <w:rPr/>
        <w:t>authority,</w:t>
      </w:r>
      <w:r>
        <w:rPr>
          <w:spacing w:val="-4"/>
        </w:rPr>
        <w:t> </w:t>
      </w:r>
      <w:r>
        <w:rPr/>
        <w:t>and</w:t>
      </w:r>
      <w:r>
        <w:rPr>
          <w:spacing w:val="-1"/>
        </w:rPr>
        <w:t> </w:t>
      </w:r>
      <w:r>
        <w:rPr/>
        <w:t>at</w:t>
      </w:r>
      <w:r>
        <w:rPr>
          <w:spacing w:val="-5"/>
        </w:rPr>
        <w:t> </w:t>
      </w:r>
      <w:r>
        <w:rPr/>
        <w:t>what</w:t>
      </w:r>
      <w:r>
        <w:rPr>
          <w:spacing w:val="-2"/>
        </w:rPr>
        <w:t> </w:t>
      </w:r>
      <w:r>
        <w:rPr/>
        <w:t>cost</w:t>
      </w:r>
      <w:r>
        <w:rPr>
          <w:spacing w:val="-4"/>
        </w:rPr>
        <w:t> </w:t>
      </w:r>
      <w:r>
        <w:rPr/>
        <w:t>the</w:t>
      </w:r>
      <w:r>
        <w:rPr>
          <w:spacing w:val="-2"/>
        </w:rPr>
        <w:t> </w:t>
      </w:r>
      <w:r>
        <w:rPr/>
        <w:t>dominant epistemological</w:t>
      </w:r>
      <w:r>
        <w:rPr>
          <w:spacing w:val="40"/>
        </w:rPr>
        <w:t> </w:t>
      </w:r>
      <w:r>
        <w:rPr/>
        <w:t>order</w:t>
      </w:r>
      <w:r>
        <w:rPr>
          <w:spacing w:val="40"/>
        </w:rPr>
        <w:t> </w:t>
      </w:r>
      <w:r>
        <w:rPr/>
        <w:t>sustains</w:t>
      </w:r>
      <w:r>
        <w:rPr>
          <w:spacing w:val="40"/>
        </w:rPr>
        <w:t> </w:t>
      </w:r>
      <w:r>
        <w:rPr/>
        <w:t>itself.</w:t>
      </w:r>
    </w:p>
    <w:p>
      <w:pPr>
        <w:pStyle w:val="BodyText"/>
        <w:spacing w:line="249" w:lineRule="auto" w:before="68"/>
        <w:ind w:right="1436" w:firstLine="432"/>
        <w:jc w:val="both"/>
      </w:pPr>
      <w:r>
        <w:rPr/>
        <w:t>Looking forward, the argument makes a claim about the ongoing relevance</w:t>
      </w:r>
      <w:r>
        <w:rPr>
          <w:spacing w:val="29"/>
        </w:rPr>
        <w:t> </w:t>
      </w:r>
      <w:r>
        <w:rPr/>
        <w:t>of</w:t>
      </w:r>
      <w:r>
        <w:rPr>
          <w:spacing w:val="30"/>
        </w:rPr>
        <w:t> </w:t>
      </w:r>
      <w:r>
        <w:rPr/>
        <w:t>Shakespeare’s</w:t>
      </w:r>
      <w:r>
        <w:rPr>
          <w:spacing w:val="30"/>
        </w:rPr>
        <w:t> </w:t>
      </w:r>
      <w:r>
        <w:rPr/>
        <w:t>staging</w:t>
      </w:r>
      <w:r>
        <w:rPr>
          <w:spacing w:val="30"/>
        </w:rPr>
        <w:t> </w:t>
      </w:r>
      <w:r>
        <w:rPr/>
        <w:t>of</w:t>
      </w:r>
      <w:r>
        <w:rPr>
          <w:spacing w:val="27"/>
        </w:rPr>
        <w:t> </w:t>
      </w:r>
      <w:r>
        <w:rPr/>
        <w:t>these</w:t>
      </w:r>
      <w:r>
        <w:rPr>
          <w:spacing w:val="32"/>
        </w:rPr>
        <w:t> </w:t>
      </w:r>
      <w:r>
        <w:rPr/>
        <w:t>concerns.</w:t>
      </w:r>
      <w:r>
        <w:rPr>
          <w:spacing w:val="28"/>
        </w:rPr>
        <w:t> </w:t>
      </w:r>
      <w:r>
        <w:rPr/>
        <w:t>The</w:t>
      </w:r>
      <w:r>
        <w:rPr>
          <w:spacing w:val="31"/>
        </w:rPr>
        <w:t> </w:t>
      </w:r>
      <w:r>
        <w:rPr/>
        <w:t>structures of epistemic injustice that Fricker and Dotson have mapped in contemporary</w:t>
      </w:r>
      <w:r>
        <w:rPr>
          <w:spacing w:val="-9"/>
        </w:rPr>
        <w:t> </w:t>
      </w:r>
      <w:r>
        <w:rPr/>
        <w:t>culture</w:t>
      </w:r>
      <w:r>
        <w:rPr>
          <w:spacing w:val="-3"/>
        </w:rPr>
        <w:t> </w:t>
      </w:r>
      <w:r>
        <w:rPr/>
        <w:t>are</w:t>
      </w:r>
      <w:r>
        <w:rPr>
          <w:spacing w:val="-7"/>
        </w:rPr>
        <w:t> </w:t>
      </w:r>
      <w:r>
        <w:rPr/>
        <w:t>continuous</w:t>
      </w:r>
      <w:r>
        <w:rPr>
          <w:spacing w:val="-7"/>
        </w:rPr>
        <w:t> </w:t>
      </w:r>
      <w:r>
        <w:rPr/>
        <w:t>with,</w:t>
      </w:r>
      <w:r>
        <w:rPr>
          <w:spacing w:val="-4"/>
        </w:rPr>
        <w:t> </w:t>
      </w:r>
      <w:r>
        <w:rPr/>
        <w:t>rather</w:t>
      </w:r>
      <w:r>
        <w:rPr>
          <w:spacing w:val="-6"/>
        </w:rPr>
        <w:t> </w:t>
      </w:r>
      <w:r>
        <w:rPr/>
        <w:t>than</w:t>
      </w:r>
      <w:r>
        <w:rPr>
          <w:spacing w:val="-6"/>
        </w:rPr>
        <w:t> </w:t>
      </w:r>
      <w:r>
        <w:rPr/>
        <w:t>merely</w:t>
      </w:r>
      <w:r>
        <w:rPr>
          <w:spacing w:val="-9"/>
        </w:rPr>
        <w:t> </w:t>
      </w:r>
      <w:r>
        <w:rPr/>
        <w:t>analogous to,</w:t>
      </w:r>
      <w:r>
        <w:rPr>
          <w:spacing w:val="10"/>
        </w:rPr>
        <w:t> </w:t>
      </w:r>
      <w:r>
        <w:rPr/>
        <w:t>the</w:t>
      </w:r>
      <w:r>
        <w:rPr>
          <w:spacing w:val="13"/>
        </w:rPr>
        <w:t> </w:t>
      </w:r>
      <w:r>
        <w:rPr/>
        <w:t>structures</w:t>
      </w:r>
      <w:r>
        <w:rPr>
          <w:spacing w:val="8"/>
        </w:rPr>
        <w:t> </w:t>
      </w:r>
      <w:r>
        <w:rPr/>
        <w:t>at</w:t>
      </w:r>
      <w:r>
        <w:rPr>
          <w:spacing w:val="12"/>
        </w:rPr>
        <w:t> </w:t>
      </w:r>
      <w:r>
        <w:rPr/>
        <w:t>work</w:t>
      </w:r>
      <w:r>
        <w:rPr>
          <w:spacing w:val="8"/>
        </w:rPr>
        <w:t> </w:t>
      </w:r>
      <w:r>
        <w:rPr/>
        <w:t>in</w:t>
      </w:r>
      <w:r>
        <w:rPr>
          <w:spacing w:val="11"/>
        </w:rPr>
        <w:t> </w:t>
      </w:r>
      <w:r>
        <w:rPr/>
        <w:t>the</w:t>
      </w:r>
      <w:r>
        <w:rPr>
          <w:spacing w:val="12"/>
        </w:rPr>
        <w:t> </w:t>
      </w:r>
      <w:r>
        <w:rPr/>
        <w:t>plays</w:t>
      </w:r>
      <w:r>
        <w:rPr>
          <w:spacing w:val="12"/>
        </w:rPr>
        <w:t> </w:t>
      </w:r>
      <w:r>
        <w:rPr/>
        <w:t>studied</w:t>
      </w:r>
      <w:r>
        <w:rPr>
          <w:spacing w:val="11"/>
        </w:rPr>
        <w:t> </w:t>
      </w:r>
      <w:r>
        <w:rPr/>
        <w:t>here.</w:t>
      </w:r>
      <w:r>
        <w:rPr>
          <w:spacing w:val="12"/>
        </w:rPr>
        <w:t> </w:t>
      </w:r>
      <w:r>
        <w:rPr/>
        <w:t>The</w:t>
      </w:r>
      <w:r>
        <w:rPr>
          <w:spacing w:val="11"/>
        </w:rPr>
        <w:t> </w:t>
      </w:r>
      <w:r>
        <w:rPr/>
        <w:t>cultural</w:t>
      </w:r>
      <w:r>
        <w:rPr>
          <w:spacing w:val="11"/>
        </w:rPr>
        <w:t> </w:t>
      </w:r>
      <w:r>
        <w:rPr/>
        <w:t>life</w:t>
      </w:r>
      <w:r>
        <w:rPr>
          <w:spacing w:val="9"/>
        </w:rPr>
        <w:t> </w:t>
      </w:r>
      <w:r>
        <w:rPr>
          <w:spacing w:val="-5"/>
        </w:rPr>
        <w:t>of</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31712">
                <wp:simplePos x="0" y="0"/>
                <wp:positionH relativeFrom="page">
                  <wp:posOffset>2065020</wp:posOffset>
                </wp:positionH>
                <wp:positionV relativeFrom="paragraph">
                  <wp:posOffset>795020</wp:posOffset>
                </wp:positionV>
                <wp:extent cx="3657600" cy="12700"/>
                <wp:effectExtent l="0" t="0" r="0" b="0"/>
                <wp:wrapTopAndBottom/>
                <wp:docPr id="425" name="Graphic 425"/>
                <wp:cNvGraphicFramePr>
                  <a:graphicFrameLocks/>
                </wp:cNvGraphicFramePr>
                <a:graphic>
                  <a:graphicData uri="http://schemas.microsoft.com/office/word/2010/wordprocessingShape">
                    <wps:wsp>
                      <wps:cNvPr id="425" name="Graphic 42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84768;mso-wrap-distance-left:0;mso-wrap-distance-right:0" id="docshape420" filled="true" fillcolor="#000000" stroked="false">
                <v:fill type="solid"/>
                <w10:wrap type="topAndBottom"/>
              </v:rect>
            </w:pict>
          </mc:Fallback>
        </mc:AlternateContent>
      </w:r>
      <w:r>
        <w:rPr>
          <w:rFonts w:ascii="Verdana" w:hAnsi="Verdana"/>
          <w:spacing w:val="-2"/>
          <w:sz w:val="18"/>
        </w:rPr>
        <w:t>Revisiting</w:t>
      </w:r>
      <w:r>
        <w:rPr>
          <w:rFonts w:ascii="Verdana" w:hAnsi="Verdana"/>
          <w:spacing w:val="-1"/>
          <w:sz w:val="18"/>
        </w:rPr>
        <w:t> </w:t>
      </w:r>
      <w:r>
        <w:rPr>
          <w:rFonts w:ascii="Verdana" w:hAnsi="Verdana"/>
          <w:spacing w:val="-2"/>
          <w:sz w:val="18"/>
        </w:rPr>
        <w:t>Shakespeare’s</w:t>
      </w:r>
      <w:r>
        <w:rPr>
          <w:rFonts w:ascii="Verdana" w:hAnsi="Verdana"/>
          <w:spacing w:val="-1"/>
          <w:sz w:val="18"/>
        </w:rPr>
        <w:t> </w:t>
      </w:r>
      <w:r>
        <w:rPr>
          <w:rFonts w:ascii="Verdana" w:hAnsi="Verdana"/>
          <w:spacing w:val="-2"/>
          <w:sz w:val="18"/>
        </w:rPr>
        <w:t>Women: Traces</w:t>
      </w:r>
      <w:r>
        <w:rPr>
          <w:rFonts w:ascii="Verdana" w:hAnsi="Verdana"/>
          <w:sz w:val="18"/>
        </w:rPr>
        <w:t> </w:t>
      </w:r>
      <w:r>
        <w:rPr>
          <w:rFonts w:ascii="Verdana" w:hAnsi="Verdana"/>
          <w:spacing w:val="-2"/>
          <w:sz w:val="18"/>
        </w:rPr>
        <w:t>of</w:t>
      </w:r>
      <w:r>
        <w:rPr>
          <w:rFonts w:ascii="Verdana" w:hAnsi="Verdana"/>
          <w:spacing w:val="2"/>
          <w:sz w:val="18"/>
        </w:rPr>
        <w:t> </w:t>
      </w:r>
      <w:r>
        <w:rPr>
          <w:rFonts w:ascii="Verdana" w:hAnsi="Verdana"/>
          <w:spacing w:val="-2"/>
          <w:sz w:val="18"/>
        </w:rPr>
        <w:t>Fluidity</w:t>
      </w:r>
      <w:r>
        <w:rPr>
          <w:rFonts w:ascii="Verdana" w:hAnsi="Verdana"/>
          <w:sz w:val="18"/>
        </w:rPr>
        <w:t> </w:t>
      </w:r>
      <w:r>
        <w:rPr>
          <w:rFonts w:ascii="Verdana" w:hAnsi="Verdana"/>
          <w:spacing w:val="-5"/>
          <w:sz w:val="18"/>
        </w:rPr>
        <w:t>...</w:t>
      </w:r>
      <w:r>
        <w:rPr>
          <w:sz w:val="18"/>
        </w:rPr>
        <w:tab/>
      </w:r>
      <w:r>
        <w:rPr>
          <w:rFonts w:ascii="Verdana" w:hAnsi="Verdana"/>
          <w:spacing w:val="-5"/>
          <w:sz w:val="18"/>
        </w:rPr>
        <w:t>181</w:t>
      </w:r>
    </w:p>
    <w:p>
      <w:pPr>
        <w:pStyle w:val="BodyText"/>
        <w:spacing w:line="249" w:lineRule="auto" w:before="192"/>
        <w:ind w:right="1438"/>
        <w:jc w:val="both"/>
      </w:pPr>
      <w:r>
        <w:rPr/>
        <w:t>the early</w:t>
      </w:r>
      <w:r>
        <w:rPr>
          <w:spacing w:val="-1"/>
        </w:rPr>
        <w:t> </w:t>
      </w:r>
      <w:r>
        <w:rPr/>
        <w:t>modern period is part of the genealogy</w:t>
      </w:r>
      <w:r>
        <w:rPr>
          <w:spacing w:val="-1"/>
        </w:rPr>
        <w:t> </w:t>
      </w:r>
      <w:r>
        <w:rPr/>
        <w:t>of the present, and the forms</w:t>
      </w:r>
      <w:r>
        <w:rPr>
          <w:spacing w:val="-13"/>
        </w:rPr>
        <w:t> </w:t>
      </w:r>
      <w:r>
        <w:rPr/>
        <w:t>of</w:t>
      </w:r>
      <w:r>
        <w:rPr>
          <w:spacing w:val="-12"/>
        </w:rPr>
        <w:t> </w:t>
      </w:r>
      <w:r>
        <w:rPr/>
        <w:t>knowing</w:t>
      </w:r>
      <w:r>
        <w:rPr>
          <w:spacing w:val="-13"/>
        </w:rPr>
        <w:t> </w:t>
      </w:r>
      <w:r>
        <w:rPr/>
        <w:t>that</w:t>
      </w:r>
      <w:r>
        <w:rPr>
          <w:spacing w:val="-10"/>
        </w:rPr>
        <w:t> </w:t>
      </w:r>
      <w:r>
        <w:rPr/>
        <w:t>Shakespeare’s</w:t>
      </w:r>
      <w:r>
        <w:rPr>
          <w:spacing w:val="-12"/>
        </w:rPr>
        <w:t> </w:t>
      </w:r>
      <w:r>
        <w:rPr/>
        <w:t>women</w:t>
      </w:r>
      <w:r>
        <w:rPr>
          <w:spacing w:val="-11"/>
        </w:rPr>
        <w:t> </w:t>
      </w:r>
      <w:r>
        <w:rPr/>
        <w:t>embody</w:t>
      </w:r>
      <w:r>
        <w:rPr>
          <w:spacing w:val="-13"/>
        </w:rPr>
        <w:t> </w:t>
      </w:r>
      <w:r>
        <w:rPr/>
        <w:t>—</w:t>
      </w:r>
      <w:r>
        <w:rPr>
          <w:spacing w:val="-10"/>
        </w:rPr>
        <w:t> </w:t>
      </w:r>
      <w:r>
        <w:rPr/>
        <w:t>partial,</w:t>
      </w:r>
      <w:r>
        <w:rPr>
          <w:spacing w:val="-12"/>
        </w:rPr>
        <w:t> </w:t>
      </w:r>
      <w:r>
        <w:rPr/>
        <w:t>mobile, materially grounded, and stubbornly resistant to the demand for dry declarative statement — remain available as resources for feminist thought</w:t>
      </w:r>
      <w:r>
        <w:rPr>
          <w:spacing w:val="11"/>
        </w:rPr>
        <w:t> </w:t>
      </w:r>
      <w:r>
        <w:rPr/>
        <w:t>wherever</w:t>
      </w:r>
      <w:r>
        <w:rPr>
          <w:spacing w:val="12"/>
        </w:rPr>
        <w:t> </w:t>
      </w:r>
      <w:r>
        <w:rPr/>
        <w:t>the</w:t>
      </w:r>
      <w:r>
        <w:rPr>
          <w:spacing w:val="11"/>
        </w:rPr>
        <w:t> </w:t>
      </w:r>
      <w:r>
        <w:rPr/>
        <w:t>conditions</w:t>
      </w:r>
      <w:r>
        <w:rPr>
          <w:spacing w:val="9"/>
        </w:rPr>
        <w:t> </w:t>
      </w:r>
      <w:r>
        <w:rPr/>
        <w:t>for</w:t>
      </w:r>
      <w:r>
        <w:rPr>
          <w:spacing w:val="9"/>
        </w:rPr>
        <w:t> </w:t>
      </w:r>
      <w:r>
        <w:rPr/>
        <w:t>their</w:t>
      </w:r>
      <w:r>
        <w:rPr>
          <w:spacing w:val="12"/>
        </w:rPr>
        <w:t> </w:t>
      </w:r>
      <w:r>
        <w:rPr/>
        <w:t>reception</w:t>
      </w:r>
      <w:r>
        <w:rPr>
          <w:spacing w:val="10"/>
        </w:rPr>
        <w:t> </w:t>
      </w:r>
      <w:r>
        <w:rPr/>
        <w:t>can</w:t>
      </w:r>
      <w:r>
        <w:rPr>
          <w:spacing w:val="9"/>
        </w:rPr>
        <w:t> </w:t>
      </w:r>
      <w:r>
        <w:rPr/>
        <w:t>be</w:t>
      </w:r>
      <w:r>
        <w:rPr>
          <w:spacing w:val="11"/>
        </w:rPr>
        <w:t> </w:t>
      </w:r>
      <w:r>
        <w:rPr>
          <w:spacing w:val="-2"/>
        </w:rPr>
        <w:t>established.</w:t>
      </w:r>
    </w:p>
    <w:p>
      <w:pPr>
        <w:pStyle w:val="BodyText"/>
        <w:spacing w:line="266" w:lineRule="auto" w:before="71"/>
        <w:ind w:right="1437" w:firstLine="432"/>
        <w:jc w:val="both"/>
      </w:pPr>
      <w:r>
        <w:rPr/>
        <w:t>Shakespeare’s stage may be approached, finally, as an archive of circulating intensities: a space in which the fluid economies of the female body are dramatised with a complexity that resists absorption into any single interpretive frame. The women studied here are neither simply</w:t>
      </w:r>
      <w:r>
        <w:rPr>
          <w:spacing w:val="-3"/>
        </w:rPr>
        <w:t> </w:t>
      </w:r>
      <w:r>
        <w:rPr/>
        <w:t>victims</w:t>
      </w:r>
      <w:r>
        <w:rPr>
          <w:spacing w:val="-3"/>
        </w:rPr>
        <w:t> </w:t>
      </w:r>
      <w:r>
        <w:rPr/>
        <w:t>of</w:t>
      </w:r>
      <w:r>
        <w:rPr>
          <w:spacing w:val="-1"/>
        </w:rPr>
        <w:t> </w:t>
      </w:r>
      <w:r>
        <w:rPr/>
        <w:t>an</w:t>
      </w:r>
      <w:r>
        <w:rPr>
          <w:spacing w:val="-3"/>
        </w:rPr>
        <w:t> </w:t>
      </w:r>
      <w:r>
        <w:rPr/>
        <w:t>ideology</w:t>
      </w:r>
      <w:r>
        <w:rPr>
          <w:spacing w:val="-3"/>
        </w:rPr>
        <w:t> </w:t>
      </w:r>
      <w:r>
        <w:rPr/>
        <w:t>nor simple agents</w:t>
      </w:r>
      <w:r>
        <w:rPr>
          <w:spacing w:val="-1"/>
        </w:rPr>
        <w:t> </w:t>
      </w:r>
      <w:r>
        <w:rPr/>
        <w:t>of</w:t>
      </w:r>
      <w:r>
        <w:rPr>
          <w:spacing w:val="-1"/>
        </w:rPr>
        <w:t> </w:t>
      </w:r>
      <w:r>
        <w:rPr/>
        <w:t>its</w:t>
      </w:r>
      <w:r>
        <w:rPr>
          <w:spacing w:val="-1"/>
        </w:rPr>
        <w:t> </w:t>
      </w:r>
      <w:r>
        <w:rPr/>
        <w:t>subversion. They are, more interestingly, figures in whose bodies the contradictions of humoral</w:t>
      </w:r>
      <w:r>
        <w:rPr>
          <w:spacing w:val="-8"/>
        </w:rPr>
        <w:t> </w:t>
      </w:r>
      <w:r>
        <w:rPr/>
        <w:t>epistemology</w:t>
      </w:r>
      <w:r>
        <w:rPr>
          <w:spacing w:val="-8"/>
        </w:rPr>
        <w:t> </w:t>
      </w:r>
      <w:r>
        <w:rPr/>
        <w:t>become</w:t>
      </w:r>
      <w:r>
        <w:rPr>
          <w:spacing w:val="-8"/>
        </w:rPr>
        <w:t> </w:t>
      </w:r>
      <w:r>
        <w:rPr/>
        <w:t>visible</w:t>
      </w:r>
      <w:r>
        <w:rPr>
          <w:spacing w:val="-4"/>
        </w:rPr>
        <w:t> </w:t>
      </w:r>
      <w:r>
        <w:rPr/>
        <w:t>and</w:t>
      </w:r>
      <w:r>
        <w:rPr>
          <w:spacing w:val="-7"/>
        </w:rPr>
        <w:t> </w:t>
      </w:r>
      <w:r>
        <w:rPr/>
        <w:t>productive</w:t>
      </w:r>
      <w:r>
        <w:rPr>
          <w:spacing w:val="-7"/>
        </w:rPr>
        <w:t> </w:t>
      </w:r>
      <w:r>
        <w:rPr/>
        <w:t>—</w:t>
      </w:r>
      <w:r>
        <w:rPr>
          <w:spacing w:val="-7"/>
        </w:rPr>
        <w:t> </w:t>
      </w:r>
      <w:r>
        <w:rPr/>
        <w:t>sites</w:t>
      </w:r>
      <w:r>
        <w:rPr>
          <w:spacing w:val="-7"/>
        </w:rPr>
        <w:t> </w:t>
      </w:r>
      <w:r>
        <w:rPr/>
        <w:t>where</w:t>
      </w:r>
      <w:r>
        <w:rPr>
          <w:spacing w:val="-8"/>
        </w:rPr>
        <w:t> </w:t>
      </w:r>
      <w:r>
        <w:rPr/>
        <w:t>the demand for containment generates overflow, where the attempt to fix meaning produces undecidability, where the body’s material life runs ahead of the cultural scripts written for it. Revisiting these figures, this study has</w:t>
      </w:r>
      <w:r>
        <w:rPr>
          <w:spacing w:val="40"/>
        </w:rPr>
        <w:t> </w:t>
      </w:r>
      <w:r>
        <w:rPr/>
        <w:t>sought</w:t>
      </w:r>
      <w:r>
        <w:rPr>
          <w:spacing w:val="40"/>
        </w:rPr>
        <w:t> </w:t>
      </w:r>
      <w:r>
        <w:rPr/>
        <w:t>to</w:t>
      </w:r>
      <w:r>
        <w:rPr>
          <w:spacing w:val="40"/>
        </w:rPr>
        <w:t> </w:t>
      </w:r>
      <w:r>
        <w:rPr/>
        <w:t>restore to</w:t>
      </w:r>
      <w:r>
        <w:rPr>
          <w:spacing w:val="40"/>
        </w:rPr>
        <w:t> </w:t>
      </w:r>
      <w:r>
        <w:rPr/>
        <w:t>them the</w:t>
      </w:r>
      <w:r>
        <w:rPr>
          <w:spacing w:val="40"/>
        </w:rPr>
        <w:t> </w:t>
      </w:r>
      <w:r>
        <w:rPr/>
        <w:t>epistemological</w:t>
      </w:r>
      <w:r>
        <w:rPr>
          <w:spacing w:val="40"/>
        </w:rPr>
        <w:t> </w:t>
      </w:r>
      <w:r>
        <w:rPr/>
        <w:t>seriousness that the history of their reception has often withheld — and, in doing</w:t>
      </w:r>
      <w:r>
        <w:rPr>
          <w:spacing w:val="40"/>
        </w:rPr>
        <w:t> </w:t>
      </w:r>
      <w:r>
        <w:rPr/>
        <w:t>so, to recover from the Shakespearean archive something of the force that their fluidity always carried.</w:t>
      </w:r>
    </w:p>
    <w:p>
      <w:pPr>
        <w:pStyle w:val="Heading3"/>
        <w:spacing w:before="168"/>
        <w:jc w:val="both"/>
      </w:pPr>
      <w:r>
        <w:rPr>
          <w:w w:val="90"/>
        </w:rPr>
        <w:t>WORKS</w:t>
      </w:r>
      <w:r>
        <w:rPr>
          <w:spacing w:val="6"/>
        </w:rPr>
        <w:t> </w:t>
      </w:r>
      <w:r>
        <w:rPr>
          <w:spacing w:val="-2"/>
          <w:w w:val="95"/>
        </w:rPr>
        <w:t>CITED</w:t>
      </w:r>
    </w:p>
    <w:p>
      <w:pPr>
        <w:pStyle w:val="ListParagraph"/>
        <w:numPr>
          <w:ilvl w:val="0"/>
          <w:numId w:val="35"/>
        </w:numPr>
        <w:tabs>
          <w:tab w:pos="2160" w:val="left" w:leader="none"/>
        </w:tabs>
        <w:spacing w:line="268" w:lineRule="auto" w:before="92" w:after="0"/>
        <w:ind w:left="2160" w:right="1439" w:hanging="329"/>
        <w:jc w:val="left"/>
        <w:rPr>
          <w:sz w:val="19"/>
        </w:rPr>
      </w:pPr>
      <w:r>
        <w:rPr>
          <w:sz w:val="19"/>
        </w:rPr>
        <w:t>Cavell,</w:t>
      </w:r>
      <w:r>
        <w:rPr>
          <w:spacing w:val="80"/>
          <w:sz w:val="19"/>
        </w:rPr>
        <w:t> </w:t>
      </w:r>
      <w:r>
        <w:rPr>
          <w:sz w:val="19"/>
        </w:rPr>
        <w:t>Stanley.</w:t>
      </w:r>
      <w:r>
        <w:rPr>
          <w:spacing w:val="80"/>
          <w:sz w:val="19"/>
        </w:rPr>
        <w:t> </w:t>
      </w:r>
      <w:r>
        <w:rPr>
          <w:sz w:val="19"/>
        </w:rPr>
        <w:t>Disowning</w:t>
      </w:r>
      <w:r>
        <w:rPr>
          <w:spacing w:val="80"/>
          <w:sz w:val="19"/>
        </w:rPr>
        <w:t> </w:t>
      </w:r>
      <w:r>
        <w:rPr>
          <w:sz w:val="19"/>
        </w:rPr>
        <w:t>Knowledge</w:t>
      </w:r>
      <w:r>
        <w:rPr>
          <w:spacing w:val="80"/>
          <w:sz w:val="19"/>
        </w:rPr>
        <w:t> </w:t>
      </w:r>
      <w:r>
        <w:rPr>
          <w:sz w:val="19"/>
        </w:rPr>
        <w:t>in</w:t>
      </w:r>
      <w:r>
        <w:rPr>
          <w:spacing w:val="80"/>
          <w:sz w:val="19"/>
        </w:rPr>
        <w:t> </w:t>
      </w:r>
      <w:r>
        <w:rPr>
          <w:sz w:val="19"/>
        </w:rPr>
        <w:t>Seven</w:t>
      </w:r>
      <w:r>
        <w:rPr>
          <w:spacing w:val="80"/>
          <w:sz w:val="19"/>
        </w:rPr>
        <w:t> </w:t>
      </w:r>
      <w:r>
        <w:rPr>
          <w:sz w:val="19"/>
        </w:rPr>
        <w:t>Plays</w:t>
      </w:r>
      <w:r>
        <w:rPr>
          <w:spacing w:val="80"/>
          <w:sz w:val="19"/>
        </w:rPr>
        <w:t> </w:t>
      </w:r>
      <w:r>
        <w:rPr>
          <w:sz w:val="19"/>
        </w:rPr>
        <w:t>of Shakespeare.</w:t>
      </w:r>
      <w:r>
        <w:rPr>
          <w:spacing w:val="40"/>
          <w:sz w:val="19"/>
        </w:rPr>
        <w:t> </w:t>
      </w:r>
      <w:r>
        <w:rPr>
          <w:sz w:val="19"/>
        </w:rPr>
        <w:t>Updated</w:t>
      </w:r>
      <w:r>
        <w:rPr>
          <w:spacing w:val="40"/>
          <w:sz w:val="19"/>
        </w:rPr>
        <w:t> </w:t>
      </w:r>
      <w:r>
        <w:rPr>
          <w:sz w:val="19"/>
        </w:rPr>
        <w:t>ed.,</w:t>
      </w:r>
      <w:r>
        <w:rPr>
          <w:spacing w:val="40"/>
          <w:sz w:val="19"/>
        </w:rPr>
        <w:t> </w:t>
      </w:r>
      <w:r>
        <w:rPr>
          <w:sz w:val="19"/>
        </w:rPr>
        <w:t>Cambridge</w:t>
      </w:r>
      <w:r>
        <w:rPr>
          <w:spacing w:val="40"/>
          <w:sz w:val="19"/>
        </w:rPr>
        <w:t> </w:t>
      </w:r>
      <w:r>
        <w:rPr>
          <w:sz w:val="19"/>
        </w:rPr>
        <w:t>University</w:t>
      </w:r>
      <w:r>
        <w:rPr>
          <w:spacing w:val="40"/>
          <w:sz w:val="19"/>
        </w:rPr>
        <w:t> </w:t>
      </w:r>
      <w:r>
        <w:rPr>
          <w:sz w:val="19"/>
        </w:rPr>
        <w:t>Press,</w:t>
      </w:r>
      <w:r>
        <w:rPr>
          <w:spacing w:val="40"/>
          <w:sz w:val="19"/>
        </w:rPr>
        <w:t> </w:t>
      </w:r>
      <w:r>
        <w:rPr>
          <w:sz w:val="19"/>
        </w:rPr>
        <w:t>2003.</w:t>
      </w:r>
    </w:p>
    <w:p>
      <w:pPr>
        <w:pStyle w:val="ListParagraph"/>
        <w:numPr>
          <w:ilvl w:val="0"/>
          <w:numId w:val="35"/>
        </w:numPr>
        <w:tabs>
          <w:tab w:pos="2160" w:val="left" w:leader="none"/>
        </w:tabs>
        <w:spacing w:line="266" w:lineRule="auto" w:before="58" w:after="0"/>
        <w:ind w:left="2160" w:right="1437" w:hanging="329"/>
        <w:jc w:val="left"/>
        <w:rPr>
          <w:sz w:val="19"/>
        </w:rPr>
      </w:pPr>
      <w:r>
        <w:rPr>
          <w:sz w:val="19"/>
        </w:rPr>
        <w:t>Crooke, Helkiah. Microcosmographia:</w:t>
      </w:r>
      <w:r>
        <w:rPr>
          <w:spacing w:val="-6"/>
          <w:sz w:val="19"/>
        </w:rPr>
        <w:t> </w:t>
      </w:r>
      <w:r>
        <w:rPr>
          <w:sz w:val="19"/>
        </w:rPr>
        <w:t>A</w:t>
      </w:r>
      <w:r>
        <w:rPr>
          <w:spacing w:val="-6"/>
          <w:sz w:val="19"/>
        </w:rPr>
        <w:t> </w:t>
      </w:r>
      <w:r>
        <w:rPr>
          <w:sz w:val="19"/>
        </w:rPr>
        <w:t>Description of the Body of</w:t>
      </w:r>
      <w:r>
        <w:rPr>
          <w:spacing w:val="40"/>
          <w:sz w:val="19"/>
        </w:rPr>
        <w:t> </w:t>
      </w:r>
      <w:r>
        <w:rPr>
          <w:sz w:val="19"/>
        </w:rPr>
        <w:t>Man.</w:t>
      </w:r>
      <w:r>
        <w:rPr>
          <w:spacing w:val="40"/>
          <w:sz w:val="19"/>
        </w:rPr>
        <w:t> </w:t>
      </w:r>
      <w:r>
        <w:rPr>
          <w:sz w:val="19"/>
        </w:rPr>
        <w:t>William</w:t>
      </w:r>
      <w:r>
        <w:rPr>
          <w:spacing w:val="40"/>
          <w:sz w:val="19"/>
        </w:rPr>
        <w:t> </w:t>
      </w:r>
      <w:r>
        <w:rPr>
          <w:sz w:val="19"/>
        </w:rPr>
        <w:t>Jaggard,</w:t>
      </w:r>
      <w:r>
        <w:rPr>
          <w:spacing w:val="40"/>
          <w:sz w:val="19"/>
        </w:rPr>
        <w:t> </w:t>
      </w:r>
      <w:r>
        <w:rPr>
          <w:sz w:val="19"/>
        </w:rPr>
        <w:t>1615.</w:t>
      </w:r>
    </w:p>
    <w:p>
      <w:pPr>
        <w:pStyle w:val="ListParagraph"/>
        <w:numPr>
          <w:ilvl w:val="0"/>
          <w:numId w:val="35"/>
        </w:numPr>
        <w:tabs>
          <w:tab w:pos="2160" w:val="left" w:leader="none"/>
        </w:tabs>
        <w:spacing w:line="268" w:lineRule="auto" w:before="59" w:after="0"/>
        <w:ind w:left="2160" w:right="1437" w:hanging="329"/>
        <w:jc w:val="left"/>
        <w:rPr>
          <w:sz w:val="19"/>
        </w:rPr>
      </w:pPr>
      <w:r>
        <w:rPr>
          <w:sz w:val="19"/>
        </w:rPr>
        <w:t>Dotson,</w:t>
      </w:r>
      <w:r>
        <w:rPr>
          <w:spacing w:val="80"/>
          <w:sz w:val="19"/>
        </w:rPr>
        <w:t> </w:t>
      </w:r>
      <w:r>
        <w:rPr>
          <w:sz w:val="19"/>
        </w:rPr>
        <w:t>Kristie.</w:t>
      </w:r>
      <w:r>
        <w:rPr>
          <w:spacing w:val="80"/>
          <w:sz w:val="19"/>
        </w:rPr>
        <w:t> </w:t>
      </w:r>
      <w:r>
        <w:rPr>
          <w:sz w:val="19"/>
        </w:rPr>
        <w:t>“Tracking</w:t>
      </w:r>
      <w:r>
        <w:rPr>
          <w:spacing w:val="80"/>
          <w:sz w:val="19"/>
        </w:rPr>
        <w:t> </w:t>
      </w:r>
      <w:r>
        <w:rPr>
          <w:sz w:val="19"/>
        </w:rPr>
        <w:t>Epistemic</w:t>
      </w:r>
      <w:r>
        <w:rPr>
          <w:spacing w:val="80"/>
          <w:sz w:val="19"/>
        </w:rPr>
        <w:t> </w:t>
      </w:r>
      <w:r>
        <w:rPr>
          <w:sz w:val="19"/>
        </w:rPr>
        <w:t>Violence,</w:t>
      </w:r>
      <w:r>
        <w:rPr>
          <w:spacing w:val="80"/>
          <w:sz w:val="19"/>
        </w:rPr>
        <w:t> </w:t>
      </w:r>
      <w:r>
        <w:rPr>
          <w:sz w:val="19"/>
        </w:rPr>
        <w:t>Tracking</w:t>
      </w:r>
      <w:r>
        <w:rPr>
          <w:spacing w:val="80"/>
          <w:sz w:val="19"/>
        </w:rPr>
        <w:t> </w:t>
      </w:r>
      <w:r>
        <w:rPr>
          <w:sz w:val="19"/>
        </w:rPr>
        <w:t>Practices</w:t>
      </w:r>
      <w:r>
        <w:rPr>
          <w:spacing w:val="21"/>
          <w:sz w:val="19"/>
        </w:rPr>
        <w:t> </w:t>
      </w:r>
      <w:r>
        <w:rPr>
          <w:sz w:val="19"/>
        </w:rPr>
        <w:t>of</w:t>
      </w:r>
      <w:r>
        <w:rPr>
          <w:spacing w:val="25"/>
          <w:sz w:val="19"/>
        </w:rPr>
        <w:t> </w:t>
      </w:r>
      <w:r>
        <w:rPr>
          <w:sz w:val="19"/>
        </w:rPr>
        <w:t>Silencing.”</w:t>
      </w:r>
      <w:r>
        <w:rPr>
          <w:spacing w:val="21"/>
          <w:sz w:val="19"/>
        </w:rPr>
        <w:t> </w:t>
      </w:r>
      <w:r>
        <w:rPr>
          <w:sz w:val="19"/>
        </w:rPr>
        <w:t>Hypatia,</w:t>
      </w:r>
      <w:r>
        <w:rPr>
          <w:spacing w:val="25"/>
          <w:sz w:val="19"/>
        </w:rPr>
        <w:t> </w:t>
      </w:r>
      <w:r>
        <w:rPr>
          <w:sz w:val="19"/>
        </w:rPr>
        <w:t>vol.</w:t>
      </w:r>
      <w:r>
        <w:rPr>
          <w:spacing w:val="21"/>
          <w:sz w:val="19"/>
        </w:rPr>
        <w:t> </w:t>
      </w:r>
      <w:r>
        <w:rPr>
          <w:sz w:val="19"/>
        </w:rPr>
        <w:t>26,</w:t>
      </w:r>
      <w:r>
        <w:rPr>
          <w:spacing w:val="23"/>
          <w:sz w:val="19"/>
        </w:rPr>
        <w:t> </w:t>
      </w:r>
      <w:r>
        <w:rPr>
          <w:sz w:val="19"/>
        </w:rPr>
        <w:t>no.</w:t>
      </w:r>
      <w:r>
        <w:rPr>
          <w:spacing w:val="21"/>
          <w:sz w:val="19"/>
        </w:rPr>
        <w:t> </w:t>
      </w:r>
      <w:r>
        <w:rPr>
          <w:sz w:val="19"/>
        </w:rPr>
        <w:t>2,</w:t>
      </w:r>
      <w:r>
        <w:rPr>
          <w:spacing w:val="23"/>
          <w:sz w:val="19"/>
        </w:rPr>
        <w:t> </w:t>
      </w:r>
      <w:r>
        <w:rPr>
          <w:sz w:val="19"/>
        </w:rPr>
        <w:t>2011,</w:t>
      </w:r>
      <w:r>
        <w:rPr>
          <w:spacing w:val="23"/>
          <w:sz w:val="19"/>
        </w:rPr>
        <w:t> </w:t>
      </w:r>
      <w:r>
        <w:rPr>
          <w:sz w:val="19"/>
        </w:rPr>
        <w:t>pp.</w:t>
      </w:r>
      <w:r>
        <w:rPr>
          <w:spacing w:val="25"/>
          <w:sz w:val="19"/>
        </w:rPr>
        <w:t> </w:t>
      </w:r>
      <w:r>
        <w:rPr>
          <w:sz w:val="19"/>
        </w:rPr>
        <w:t>236–</w:t>
      </w:r>
    </w:p>
    <w:p>
      <w:pPr>
        <w:spacing w:before="1"/>
        <w:ind w:left="2160" w:right="0" w:firstLine="0"/>
        <w:jc w:val="left"/>
        <w:rPr>
          <w:sz w:val="19"/>
        </w:rPr>
      </w:pPr>
      <w:r>
        <w:rPr>
          <w:spacing w:val="-5"/>
          <w:sz w:val="19"/>
        </w:rPr>
        <w:t>57.</w:t>
      </w:r>
    </w:p>
    <w:p>
      <w:pPr>
        <w:pStyle w:val="ListParagraph"/>
        <w:numPr>
          <w:ilvl w:val="0"/>
          <w:numId w:val="35"/>
        </w:numPr>
        <w:tabs>
          <w:tab w:pos="2160" w:val="left" w:leader="none"/>
        </w:tabs>
        <w:spacing w:line="268" w:lineRule="auto" w:before="81" w:after="0"/>
        <w:ind w:left="2160" w:right="1445" w:hanging="329"/>
        <w:jc w:val="both"/>
        <w:rPr>
          <w:sz w:val="19"/>
        </w:rPr>
      </w:pPr>
      <w:r>
        <w:rPr>
          <w:sz w:val="19"/>
        </w:rPr>
        <w:t>Floyd-Wilson,</w:t>
      </w:r>
      <w:r>
        <w:rPr>
          <w:spacing w:val="-5"/>
          <w:sz w:val="19"/>
        </w:rPr>
        <w:t> </w:t>
      </w:r>
      <w:r>
        <w:rPr>
          <w:sz w:val="19"/>
        </w:rPr>
        <w:t>Mary.</w:t>
      </w:r>
      <w:r>
        <w:rPr>
          <w:spacing w:val="-4"/>
          <w:sz w:val="19"/>
        </w:rPr>
        <w:t> </w:t>
      </w:r>
      <w:r>
        <w:rPr>
          <w:sz w:val="19"/>
        </w:rPr>
        <w:t>English</w:t>
      </w:r>
      <w:r>
        <w:rPr>
          <w:spacing w:val="-5"/>
          <w:sz w:val="19"/>
        </w:rPr>
        <w:t> </w:t>
      </w:r>
      <w:r>
        <w:rPr>
          <w:sz w:val="19"/>
        </w:rPr>
        <w:t>Ethnicity</w:t>
      </w:r>
      <w:r>
        <w:rPr>
          <w:spacing w:val="-8"/>
          <w:sz w:val="19"/>
        </w:rPr>
        <w:t> </w:t>
      </w:r>
      <w:r>
        <w:rPr>
          <w:sz w:val="19"/>
        </w:rPr>
        <w:t>and</w:t>
      </w:r>
      <w:r>
        <w:rPr>
          <w:spacing w:val="-5"/>
          <w:sz w:val="19"/>
        </w:rPr>
        <w:t> </w:t>
      </w:r>
      <w:r>
        <w:rPr>
          <w:sz w:val="19"/>
        </w:rPr>
        <w:t>Race</w:t>
      </w:r>
      <w:r>
        <w:rPr>
          <w:spacing w:val="-4"/>
          <w:sz w:val="19"/>
        </w:rPr>
        <w:t> </w:t>
      </w:r>
      <w:r>
        <w:rPr>
          <w:sz w:val="19"/>
        </w:rPr>
        <w:t>in</w:t>
      </w:r>
      <w:r>
        <w:rPr>
          <w:spacing w:val="-4"/>
          <w:sz w:val="19"/>
        </w:rPr>
        <w:t> </w:t>
      </w:r>
      <w:r>
        <w:rPr>
          <w:sz w:val="19"/>
        </w:rPr>
        <w:t>Early</w:t>
      </w:r>
      <w:r>
        <w:rPr>
          <w:spacing w:val="-8"/>
          <w:sz w:val="19"/>
        </w:rPr>
        <w:t> </w:t>
      </w:r>
      <w:r>
        <w:rPr>
          <w:sz w:val="19"/>
        </w:rPr>
        <w:t>Modern Drama.</w:t>
      </w:r>
      <w:r>
        <w:rPr>
          <w:spacing w:val="40"/>
          <w:sz w:val="19"/>
        </w:rPr>
        <w:t> </w:t>
      </w:r>
      <w:r>
        <w:rPr>
          <w:sz w:val="19"/>
        </w:rPr>
        <w:t>Cambridge</w:t>
      </w:r>
      <w:r>
        <w:rPr>
          <w:spacing w:val="40"/>
          <w:sz w:val="19"/>
        </w:rPr>
        <w:t> </w:t>
      </w:r>
      <w:r>
        <w:rPr>
          <w:sz w:val="19"/>
        </w:rPr>
        <w:t>University</w:t>
      </w:r>
      <w:r>
        <w:rPr>
          <w:spacing w:val="40"/>
          <w:sz w:val="19"/>
        </w:rPr>
        <w:t> </w:t>
      </w:r>
      <w:r>
        <w:rPr>
          <w:sz w:val="19"/>
        </w:rPr>
        <w:t>Press,</w:t>
      </w:r>
      <w:r>
        <w:rPr>
          <w:spacing w:val="40"/>
          <w:sz w:val="19"/>
        </w:rPr>
        <w:t> </w:t>
      </w:r>
      <w:r>
        <w:rPr>
          <w:sz w:val="19"/>
        </w:rPr>
        <w:t>2003.</w:t>
      </w:r>
    </w:p>
    <w:p>
      <w:pPr>
        <w:pStyle w:val="ListParagraph"/>
        <w:numPr>
          <w:ilvl w:val="0"/>
          <w:numId w:val="35"/>
        </w:numPr>
        <w:tabs>
          <w:tab w:pos="2160" w:val="left" w:leader="none"/>
        </w:tabs>
        <w:spacing w:line="268" w:lineRule="auto" w:before="58" w:after="0"/>
        <w:ind w:left="2160" w:right="1444" w:hanging="329"/>
        <w:jc w:val="both"/>
        <w:rPr>
          <w:sz w:val="19"/>
        </w:rPr>
      </w:pPr>
      <w:r>
        <w:rPr>
          <w:sz w:val="19"/>
        </w:rPr>
        <w:t>Fricker, Miranda. Epistemic Injustice: Power and the Ethics of Knowing.</w:t>
      </w:r>
      <w:r>
        <w:rPr>
          <w:spacing w:val="40"/>
          <w:sz w:val="19"/>
        </w:rPr>
        <w:t> </w:t>
      </w:r>
      <w:r>
        <w:rPr>
          <w:sz w:val="19"/>
        </w:rPr>
        <w:t>Oxford</w:t>
      </w:r>
      <w:r>
        <w:rPr>
          <w:spacing w:val="40"/>
          <w:sz w:val="19"/>
        </w:rPr>
        <w:t> </w:t>
      </w:r>
      <w:r>
        <w:rPr>
          <w:sz w:val="19"/>
        </w:rPr>
        <w:t>University</w:t>
      </w:r>
      <w:r>
        <w:rPr>
          <w:spacing w:val="40"/>
          <w:sz w:val="19"/>
        </w:rPr>
        <w:t> </w:t>
      </w:r>
      <w:r>
        <w:rPr>
          <w:sz w:val="19"/>
        </w:rPr>
        <w:t>Press,</w:t>
      </w:r>
      <w:r>
        <w:rPr>
          <w:spacing w:val="40"/>
          <w:sz w:val="19"/>
        </w:rPr>
        <w:t> </w:t>
      </w:r>
      <w:r>
        <w:rPr>
          <w:sz w:val="19"/>
        </w:rPr>
        <w:t>2007.</w:t>
      </w:r>
    </w:p>
    <w:p>
      <w:pPr>
        <w:pStyle w:val="ListParagraph"/>
        <w:numPr>
          <w:ilvl w:val="0"/>
          <w:numId w:val="35"/>
        </w:numPr>
        <w:tabs>
          <w:tab w:pos="2160" w:val="left" w:leader="none"/>
        </w:tabs>
        <w:spacing w:line="268" w:lineRule="auto" w:before="55" w:after="0"/>
        <w:ind w:left="2160" w:right="1441" w:hanging="329"/>
        <w:jc w:val="both"/>
        <w:rPr>
          <w:sz w:val="19"/>
        </w:rPr>
      </w:pPr>
      <w:r>
        <w:rPr>
          <w:sz w:val="19"/>
        </w:rPr>
        <w:t>Harding, Sandra. Whose Science? Whose Knowledge? Thinking from</w:t>
      </w:r>
      <w:r>
        <w:rPr>
          <w:spacing w:val="40"/>
          <w:sz w:val="19"/>
        </w:rPr>
        <w:t> </w:t>
      </w:r>
      <w:r>
        <w:rPr>
          <w:sz w:val="19"/>
        </w:rPr>
        <w:t>Women’s</w:t>
      </w:r>
      <w:r>
        <w:rPr>
          <w:spacing w:val="40"/>
          <w:sz w:val="19"/>
        </w:rPr>
        <w:t> </w:t>
      </w:r>
      <w:r>
        <w:rPr>
          <w:sz w:val="19"/>
        </w:rPr>
        <w:t>Lives.</w:t>
      </w:r>
      <w:r>
        <w:rPr>
          <w:spacing w:val="40"/>
          <w:sz w:val="19"/>
        </w:rPr>
        <w:t> </w:t>
      </w:r>
      <w:r>
        <w:rPr>
          <w:sz w:val="19"/>
        </w:rPr>
        <w:t>Cornell</w:t>
      </w:r>
      <w:r>
        <w:rPr>
          <w:spacing w:val="40"/>
          <w:sz w:val="19"/>
        </w:rPr>
        <w:t> </w:t>
      </w:r>
      <w:r>
        <w:rPr>
          <w:sz w:val="19"/>
        </w:rPr>
        <w:t>University</w:t>
      </w:r>
      <w:r>
        <w:rPr>
          <w:spacing w:val="40"/>
          <w:sz w:val="19"/>
        </w:rPr>
        <w:t> </w:t>
      </w:r>
      <w:r>
        <w:rPr>
          <w:sz w:val="19"/>
        </w:rPr>
        <w:t>Press,</w:t>
      </w:r>
      <w:r>
        <w:rPr>
          <w:spacing w:val="40"/>
          <w:sz w:val="19"/>
        </w:rPr>
        <w:t> </w:t>
      </w:r>
      <w:r>
        <w:rPr>
          <w:sz w:val="19"/>
        </w:rPr>
        <w:t>1991.</w:t>
      </w:r>
    </w:p>
    <w:p>
      <w:pPr>
        <w:pStyle w:val="ListParagraph"/>
        <w:numPr>
          <w:ilvl w:val="0"/>
          <w:numId w:val="35"/>
        </w:numPr>
        <w:tabs>
          <w:tab w:pos="2160" w:val="left" w:leader="none"/>
        </w:tabs>
        <w:spacing w:line="266" w:lineRule="auto" w:before="58" w:after="0"/>
        <w:ind w:left="2160" w:right="1435" w:hanging="329"/>
        <w:jc w:val="both"/>
        <w:rPr>
          <w:sz w:val="19"/>
        </w:rPr>
      </w:pPr>
      <w:r>
        <w:rPr>
          <w:sz w:val="19"/>
        </w:rPr>
        <w:t>Hayles, N. Katherine. How We Became Posthuman: Virtual Bodies</w:t>
      </w:r>
      <w:r>
        <w:rPr>
          <w:spacing w:val="40"/>
          <w:sz w:val="19"/>
        </w:rPr>
        <w:t> </w:t>
      </w:r>
      <w:r>
        <w:rPr>
          <w:sz w:val="19"/>
        </w:rPr>
        <w:t>in</w:t>
      </w:r>
      <w:r>
        <w:rPr>
          <w:spacing w:val="40"/>
          <w:sz w:val="19"/>
        </w:rPr>
        <w:t> </w:t>
      </w:r>
      <w:r>
        <w:rPr>
          <w:sz w:val="19"/>
        </w:rPr>
        <w:t>Cybernetics,</w:t>
      </w:r>
      <w:r>
        <w:rPr>
          <w:spacing w:val="40"/>
          <w:sz w:val="19"/>
        </w:rPr>
        <w:t> </w:t>
      </w:r>
      <w:r>
        <w:rPr>
          <w:sz w:val="19"/>
        </w:rPr>
        <w:t>Literature,</w:t>
      </w:r>
      <w:r>
        <w:rPr>
          <w:spacing w:val="40"/>
          <w:sz w:val="19"/>
        </w:rPr>
        <w:t> </w:t>
      </w:r>
      <w:r>
        <w:rPr>
          <w:sz w:val="19"/>
        </w:rPr>
        <w:t>and</w:t>
      </w:r>
      <w:r>
        <w:rPr>
          <w:spacing w:val="40"/>
          <w:sz w:val="19"/>
        </w:rPr>
        <w:t> </w:t>
      </w:r>
      <w:r>
        <w:rPr>
          <w:sz w:val="19"/>
        </w:rPr>
        <w:t>Informatics.</w:t>
      </w:r>
      <w:r>
        <w:rPr>
          <w:spacing w:val="40"/>
          <w:sz w:val="19"/>
        </w:rPr>
        <w:t> </w:t>
      </w:r>
      <w:r>
        <w:rPr>
          <w:sz w:val="19"/>
        </w:rPr>
        <w:t>University of</w:t>
      </w:r>
      <w:r>
        <w:rPr>
          <w:spacing w:val="40"/>
          <w:sz w:val="19"/>
        </w:rPr>
        <w:t> </w:t>
      </w:r>
      <w:r>
        <w:rPr>
          <w:sz w:val="19"/>
        </w:rPr>
        <w:t>Chicago</w:t>
      </w:r>
      <w:r>
        <w:rPr>
          <w:spacing w:val="40"/>
          <w:sz w:val="19"/>
        </w:rPr>
        <w:t> </w:t>
      </w:r>
      <w:r>
        <w:rPr>
          <w:sz w:val="19"/>
        </w:rPr>
        <w:t>Press,</w:t>
      </w:r>
      <w:r>
        <w:rPr>
          <w:spacing w:val="40"/>
          <w:sz w:val="19"/>
        </w:rPr>
        <w:t> </w:t>
      </w:r>
      <w:r>
        <w:rPr>
          <w:sz w:val="19"/>
        </w:rPr>
        <w:t>1999.</w:t>
      </w:r>
    </w:p>
    <w:p>
      <w:pPr>
        <w:pStyle w:val="ListParagraph"/>
        <w:spacing w:after="0" w:line="266" w:lineRule="auto"/>
        <w:jc w:val="both"/>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32224">
                <wp:simplePos x="0" y="0"/>
                <wp:positionH relativeFrom="page">
                  <wp:posOffset>2057400</wp:posOffset>
                </wp:positionH>
                <wp:positionV relativeFrom="paragraph">
                  <wp:posOffset>162604</wp:posOffset>
                </wp:positionV>
                <wp:extent cx="3657600" cy="12700"/>
                <wp:effectExtent l="0" t="0" r="0" b="0"/>
                <wp:wrapTopAndBottom/>
                <wp:docPr id="426" name="Graphic 426"/>
                <wp:cNvGraphicFramePr>
                  <a:graphicFrameLocks/>
                </wp:cNvGraphicFramePr>
                <a:graphic>
                  <a:graphicData uri="http://schemas.microsoft.com/office/word/2010/wordprocessingShape">
                    <wps:wsp>
                      <wps:cNvPr id="426" name="Graphic 42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84256;mso-wrap-distance-left:0;mso-wrap-distance-right:0" id="docshape421" filled="true" fillcolor="#000000" stroked="false">
                <v:fill type="solid"/>
                <w10:wrap type="topAndBottom"/>
              </v:rect>
            </w:pict>
          </mc:Fallback>
        </mc:AlternateContent>
      </w:r>
      <w:r>
        <w:rPr>
          <w:rFonts w:ascii="Verdana"/>
          <w:spacing w:val="-5"/>
          <w:sz w:val="18"/>
        </w:rPr>
        <w:t>182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35"/>
        </w:numPr>
        <w:tabs>
          <w:tab w:pos="2158" w:val="left" w:leader="none"/>
          <w:tab w:pos="2160" w:val="left" w:leader="none"/>
        </w:tabs>
        <w:spacing w:line="261" w:lineRule="auto" w:before="199" w:after="0"/>
        <w:ind w:left="2160" w:right="1438" w:hanging="332"/>
        <w:jc w:val="both"/>
        <w:rPr>
          <w:sz w:val="19"/>
        </w:rPr>
      </w:pPr>
      <w:r>
        <w:rPr>
          <w:sz w:val="19"/>
        </w:rPr>
        <w:t>Neimanis, Astrida. Bodies of Water: Posthuman Feminist Phenomenology.</w:t>
      </w:r>
      <w:r>
        <w:rPr>
          <w:spacing w:val="40"/>
          <w:sz w:val="19"/>
        </w:rPr>
        <w:t> </w:t>
      </w:r>
      <w:r>
        <w:rPr>
          <w:sz w:val="19"/>
        </w:rPr>
        <w:t>Bloomsbury</w:t>
      </w:r>
      <w:r>
        <w:rPr>
          <w:spacing w:val="40"/>
          <w:sz w:val="19"/>
        </w:rPr>
        <w:t> </w:t>
      </w:r>
      <w:r>
        <w:rPr>
          <w:sz w:val="19"/>
        </w:rPr>
        <w:t>Academic,</w:t>
      </w:r>
      <w:r>
        <w:rPr>
          <w:spacing w:val="40"/>
          <w:sz w:val="19"/>
        </w:rPr>
        <w:t> </w:t>
      </w:r>
      <w:r>
        <w:rPr>
          <w:sz w:val="19"/>
        </w:rPr>
        <w:t>2017.</w:t>
      </w:r>
    </w:p>
    <w:p>
      <w:pPr>
        <w:pStyle w:val="ListParagraph"/>
        <w:numPr>
          <w:ilvl w:val="0"/>
          <w:numId w:val="35"/>
        </w:numPr>
        <w:tabs>
          <w:tab w:pos="2158" w:val="left" w:leader="none"/>
          <w:tab w:pos="2160" w:val="left" w:leader="none"/>
        </w:tabs>
        <w:spacing w:line="264" w:lineRule="auto" w:before="57" w:after="0"/>
        <w:ind w:left="2160" w:right="1441" w:hanging="332"/>
        <w:jc w:val="both"/>
        <w:rPr>
          <w:sz w:val="19"/>
        </w:rPr>
      </w:pPr>
      <w:r>
        <w:rPr>
          <w:sz w:val="19"/>
        </w:rPr>
        <w:t>Park,</w:t>
      </w:r>
      <w:r>
        <w:rPr>
          <w:spacing w:val="40"/>
          <w:sz w:val="19"/>
        </w:rPr>
        <w:t> </w:t>
      </w:r>
      <w:r>
        <w:rPr>
          <w:sz w:val="19"/>
        </w:rPr>
        <w:t>Katharine.</w:t>
      </w:r>
      <w:r>
        <w:rPr>
          <w:spacing w:val="40"/>
          <w:sz w:val="19"/>
        </w:rPr>
        <w:t> </w:t>
      </w:r>
      <w:r>
        <w:rPr>
          <w:sz w:val="19"/>
        </w:rPr>
        <w:t>Secrets</w:t>
      </w:r>
      <w:r>
        <w:rPr>
          <w:spacing w:val="40"/>
          <w:sz w:val="19"/>
        </w:rPr>
        <w:t> </w:t>
      </w:r>
      <w:r>
        <w:rPr>
          <w:sz w:val="19"/>
        </w:rPr>
        <w:t>of</w:t>
      </w:r>
      <w:r>
        <w:rPr>
          <w:spacing w:val="40"/>
          <w:sz w:val="19"/>
        </w:rPr>
        <w:t> </w:t>
      </w:r>
      <w:r>
        <w:rPr>
          <w:sz w:val="19"/>
        </w:rPr>
        <w:t>Women:</w:t>
      </w:r>
      <w:r>
        <w:rPr>
          <w:spacing w:val="40"/>
          <w:sz w:val="19"/>
        </w:rPr>
        <w:t> </w:t>
      </w:r>
      <w:r>
        <w:rPr>
          <w:sz w:val="19"/>
        </w:rPr>
        <w:t>Gender,</w:t>
      </w:r>
      <w:r>
        <w:rPr>
          <w:spacing w:val="40"/>
          <w:sz w:val="19"/>
        </w:rPr>
        <w:t> </w:t>
      </w:r>
      <w:r>
        <w:rPr>
          <w:sz w:val="19"/>
        </w:rPr>
        <w:t>Generation,</w:t>
      </w:r>
      <w:r>
        <w:rPr>
          <w:spacing w:val="40"/>
          <w:sz w:val="19"/>
        </w:rPr>
        <w:t> </w:t>
      </w:r>
      <w:r>
        <w:rPr>
          <w:sz w:val="19"/>
        </w:rPr>
        <w:t>and the</w:t>
      </w:r>
      <w:r>
        <w:rPr>
          <w:spacing w:val="40"/>
          <w:sz w:val="19"/>
        </w:rPr>
        <w:t> </w:t>
      </w:r>
      <w:r>
        <w:rPr>
          <w:sz w:val="19"/>
        </w:rPr>
        <w:t>Origins</w:t>
      </w:r>
      <w:r>
        <w:rPr>
          <w:spacing w:val="40"/>
          <w:sz w:val="19"/>
        </w:rPr>
        <w:t> </w:t>
      </w:r>
      <w:r>
        <w:rPr>
          <w:sz w:val="19"/>
        </w:rPr>
        <w:t>of</w:t>
      </w:r>
      <w:r>
        <w:rPr>
          <w:spacing w:val="40"/>
          <w:sz w:val="19"/>
        </w:rPr>
        <w:t> </w:t>
      </w:r>
      <w:r>
        <w:rPr>
          <w:sz w:val="19"/>
        </w:rPr>
        <w:t>Human</w:t>
      </w:r>
      <w:r>
        <w:rPr>
          <w:spacing w:val="40"/>
          <w:sz w:val="19"/>
        </w:rPr>
        <w:t> </w:t>
      </w:r>
      <w:r>
        <w:rPr>
          <w:sz w:val="19"/>
        </w:rPr>
        <w:t>Dissection.</w:t>
      </w:r>
      <w:r>
        <w:rPr>
          <w:spacing w:val="40"/>
          <w:sz w:val="19"/>
        </w:rPr>
        <w:t> </w:t>
      </w:r>
      <w:r>
        <w:rPr>
          <w:sz w:val="19"/>
        </w:rPr>
        <w:t>Zone</w:t>
      </w:r>
      <w:r>
        <w:rPr>
          <w:spacing w:val="40"/>
          <w:sz w:val="19"/>
        </w:rPr>
        <w:t> </w:t>
      </w:r>
      <w:r>
        <w:rPr>
          <w:sz w:val="19"/>
        </w:rPr>
        <w:t>Books,</w:t>
      </w:r>
      <w:r>
        <w:rPr>
          <w:spacing w:val="40"/>
          <w:sz w:val="19"/>
        </w:rPr>
        <w:t> </w:t>
      </w:r>
      <w:r>
        <w:rPr>
          <w:sz w:val="19"/>
        </w:rPr>
        <w:t>2006.</w:t>
      </w:r>
    </w:p>
    <w:p>
      <w:pPr>
        <w:pStyle w:val="ListParagraph"/>
        <w:numPr>
          <w:ilvl w:val="0"/>
          <w:numId w:val="35"/>
        </w:numPr>
        <w:tabs>
          <w:tab w:pos="2160" w:val="left" w:leader="none"/>
        </w:tabs>
        <w:spacing w:line="261" w:lineRule="auto" w:before="54" w:after="0"/>
        <w:ind w:left="2160" w:right="1437" w:hanging="420"/>
        <w:jc w:val="both"/>
        <w:rPr>
          <w:sz w:val="19"/>
        </w:rPr>
      </w:pPr>
      <w:r>
        <w:rPr>
          <w:sz w:val="19"/>
        </w:rPr>
        <w:t>Paster, Gail Kern. The Body Embarrassed: Drama and the Disciplines of Shame in Early Modern England. Cornell University</w:t>
      </w:r>
      <w:r>
        <w:rPr>
          <w:spacing w:val="40"/>
          <w:sz w:val="19"/>
        </w:rPr>
        <w:t> </w:t>
      </w:r>
      <w:r>
        <w:rPr>
          <w:sz w:val="19"/>
        </w:rPr>
        <w:t>Press,</w:t>
      </w:r>
      <w:r>
        <w:rPr>
          <w:spacing w:val="40"/>
          <w:sz w:val="19"/>
        </w:rPr>
        <w:t> </w:t>
      </w:r>
      <w:r>
        <w:rPr>
          <w:sz w:val="19"/>
        </w:rPr>
        <w:t>1993.</w:t>
      </w:r>
    </w:p>
    <w:p>
      <w:pPr>
        <w:pStyle w:val="ListParagraph"/>
        <w:numPr>
          <w:ilvl w:val="0"/>
          <w:numId w:val="35"/>
        </w:numPr>
        <w:tabs>
          <w:tab w:pos="2160" w:val="left" w:leader="none"/>
        </w:tabs>
        <w:spacing w:line="261" w:lineRule="auto" w:before="59" w:after="0"/>
        <w:ind w:left="2160" w:right="1442" w:hanging="420"/>
        <w:jc w:val="both"/>
        <w:rPr>
          <w:sz w:val="19"/>
        </w:rPr>
      </w:pPr>
      <w:r>
        <w:rPr>
          <w:sz w:val="19"/>
        </w:rPr>
        <w:t>—. Humoring the Body: Emotions and the Shakespearean Stage. University</w:t>
      </w:r>
      <w:r>
        <w:rPr>
          <w:spacing w:val="40"/>
          <w:sz w:val="19"/>
        </w:rPr>
        <w:t> </w:t>
      </w:r>
      <w:r>
        <w:rPr>
          <w:sz w:val="19"/>
        </w:rPr>
        <w:t>of</w:t>
      </w:r>
      <w:r>
        <w:rPr>
          <w:spacing w:val="40"/>
          <w:sz w:val="19"/>
        </w:rPr>
        <w:t> </w:t>
      </w:r>
      <w:r>
        <w:rPr>
          <w:sz w:val="19"/>
        </w:rPr>
        <w:t>Chicago</w:t>
      </w:r>
      <w:r>
        <w:rPr>
          <w:spacing w:val="40"/>
          <w:sz w:val="19"/>
        </w:rPr>
        <w:t> </w:t>
      </w:r>
      <w:r>
        <w:rPr>
          <w:sz w:val="19"/>
        </w:rPr>
        <w:t>Press,</w:t>
      </w:r>
      <w:r>
        <w:rPr>
          <w:spacing w:val="40"/>
          <w:sz w:val="19"/>
        </w:rPr>
        <w:t> </w:t>
      </w:r>
      <w:r>
        <w:rPr>
          <w:sz w:val="19"/>
        </w:rPr>
        <w:t>2004.</w:t>
      </w:r>
    </w:p>
    <w:p>
      <w:pPr>
        <w:pStyle w:val="ListParagraph"/>
        <w:numPr>
          <w:ilvl w:val="0"/>
          <w:numId w:val="35"/>
        </w:numPr>
        <w:tabs>
          <w:tab w:pos="2160" w:val="left" w:leader="none"/>
        </w:tabs>
        <w:spacing w:line="261" w:lineRule="auto" w:before="56" w:after="0"/>
        <w:ind w:left="2160" w:right="1441" w:hanging="420"/>
        <w:jc w:val="both"/>
        <w:rPr>
          <w:sz w:val="19"/>
        </w:rPr>
      </w:pPr>
      <w:r>
        <w:rPr>
          <w:sz w:val="19"/>
        </w:rPr>
        <w:t>Schoenfeldt, Michael C. Bodies and Selves in Early Modern England: Physiology and Inwardness in Spenser, Shakespeare, Herbert,</w:t>
      </w:r>
      <w:r>
        <w:rPr>
          <w:spacing w:val="40"/>
          <w:sz w:val="19"/>
        </w:rPr>
        <w:t> </w:t>
      </w:r>
      <w:r>
        <w:rPr>
          <w:sz w:val="19"/>
        </w:rPr>
        <w:t>and</w:t>
      </w:r>
      <w:r>
        <w:rPr>
          <w:spacing w:val="40"/>
          <w:sz w:val="19"/>
        </w:rPr>
        <w:t> </w:t>
      </w:r>
      <w:r>
        <w:rPr>
          <w:sz w:val="19"/>
        </w:rPr>
        <w:t>Milton.</w:t>
      </w:r>
      <w:r>
        <w:rPr>
          <w:spacing w:val="40"/>
          <w:sz w:val="19"/>
        </w:rPr>
        <w:t> </w:t>
      </w:r>
      <w:r>
        <w:rPr>
          <w:sz w:val="19"/>
        </w:rPr>
        <w:t>Cambridge</w:t>
      </w:r>
      <w:r>
        <w:rPr>
          <w:spacing w:val="40"/>
          <w:sz w:val="19"/>
        </w:rPr>
        <w:t> </w:t>
      </w:r>
      <w:r>
        <w:rPr>
          <w:sz w:val="19"/>
        </w:rPr>
        <w:t>University</w:t>
      </w:r>
      <w:r>
        <w:rPr>
          <w:spacing w:val="40"/>
          <w:sz w:val="19"/>
        </w:rPr>
        <w:t> </w:t>
      </w:r>
      <w:r>
        <w:rPr>
          <w:sz w:val="19"/>
        </w:rPr>
        <w:t>Press,</w:t>
      </w:r>
      <w:r>
        <w:rPr>
          <w:spacing w:val="40"/>
          <w:sz w:val="19"/>
        </w:rPr>
        <w:t> </w:t>
      </w:r>
      <w:r>
        <w:rPr>
          <w:sz w:val="19"/>
        </w:rPr>
        <w:t>1999.</w:t>
      </w:r>
    </w:p>
    <w:p>
      <w:pPr>
        <w:pStyle w:val="ListParagraph"/>
        <w:numPr>
          <w:ilvl w:val="0"/>
          <w:numId w:val="35"/>
        </w:numPr>
        <w:tabs>
          <w:tab w:pos="2160" w:val="left" w:leader="none"/>
        </w:tabs>
        <w:spacing w:line="261" w:lineRule="auto" w:before="58" w:after="0"/>
        <w:ind w:left="2160" w:right="1443" w:hanging="420"/>
        <w:jc w:val="both"/>
        <w:rPr>
          <w:sz w:val="19"/>
        </w:rPr>
      </w:pPr>
      <w:r>
        <w:rPr>
          <w:sz w:val="19"/>
        </w:rPr>
        <w:t>Shakespeare, William. Hamlet. Edited by Ann Thompson and Neil</w:t>
      </w:r>
      <w:r>
        <w:rPr>
          <w:spacing w:val="40"/>
          <w:sz w:val="19"/>
        </w:rPr>
        <w:t> </w:t>
      </w:r>
      <w:r>
        <w:rPr>
          <w:sz w:val="19"/>
        </w:rPr>
        <w:t>Taylor,</w:t>
      </w:r>
      <w:r>
        <w:rPr>
          <w:spacing w:val="40"/>
          <w:sz w:val="19"/>
        </w:rPr>
        <w:t> </w:t>
      </w:r>
      <w:r>
        <w:rPr>
          <w:sz w:val="19"/>
        </w:rPr>
        <w:t>3rd</w:t>
      </w:r>
      <w:r>
        <w:rPr>
          <w:spacing w:val="40"/>
          <w:sz w:val="19"/>
        </w:rPr>
        <w:t> </w:t>
      </w:r>
      <w:r>
        <w:rPr>
          <w:sz w:val="19"/>
        </w:rPr>
        <w:t>ed.,</w:t>
      </w:r>
      <w:r>
        <w:rPr>
          <w:spacing w:val="40"/>
          <w:sz w:val="19"/>
        </w:rPr>
        <w:t> </w:t>
      </w:r>
      <w:r>
        <w:rPr>
          <w:sz w:val="19"/>
        </w:rPr>
        <w:t>Arden</w:t>
      </w:r>
      <w:r>
        <w:rPr>
          <w:spacing w:val="40"/>
          <w:sz w:val="19"/>
        </w:rPr>
        <w:t> </w:t>
      </w:r>
      <w:r>
        <w:rPr>
          <w:sz w:val="19"/>
        </w:rPr>
        <w:t>Shakespeare,</w:t>
      </w:r>
      <w:r>
        <w:rPr>
          <w:spacing w:val="40"/>
          <w:sz w:val="19"/>
        </w:rPr>
        <w:t> </w:t>
      </w:r>
      <w:r>
        <w:rPr>
          <w:sz w:val="19"/>
        </w:rPr>
        <w:t>2006.</w:t>
      </w:r>
    </w:p>
    <w:p>
      <w:pPr>
        <w:pStyle w:val="ListParagraph"/>
        <w:numPr>
          <w:ilvl w:val="0"/>
          <w:numId w:val="35"/>
        </w:numPr>
        <w:tabs>
          <w:tab w:pos="2160" w:val="left" w:leader="none"/>
        </w:tabs>
        <w:spacing w:line="261" w:lineRule="auto" w:before="57" w:after="0"/>
        <w:ind w:left="2160" w:right="1444" w:hanging="420"/>
        <w:jc w:val="both"/>
        <w:rPr>
          <w:sz w:val="19"/>
        </w:rPr>
      </w:pPr>
      <w:r>
        <w:rPr>
          <w:sz w:val="19"/>
        </w:rPr>
        <w:t>—.</w:t>
      </w:r>
      <w:r>
        <w:rPr>
          <w:spacing w:val="36"/>
          <w:sz w:val="19"/>
        </w:rPr>
        <w:t> </w:t>
      </w:r>
      <w:r>
        <w:rPr>
          <w:sz w:val="19"/>
        </w:rPr>
        <w:t>Macbeth.</w:t>
      </w:r>
      <w:r>
        <w:rPr>
          <w:spacing w:val="38"/>
          <w:sz w:val="19"/>
        </w:rPr>
        <w:t> </w:t>
      </w:r>
      <w:r>
        <w:rPr>
          <w:sz w:val="19"/>
        </w:rPr>
        <w:t>Edited</w:t>
      </w:r>
      <w:r>
        <w:rPr>
          <w:spacing w:val="38"/>
          <w:sz w:val="19"/>
        </w:rPr>
        <w:t> </w:t>
      </w:r>
      <w:r>
        <w:rPr>
          <w:sz w:val="19"/>
        </w:rPr>
        <w:t>by Sandra</w:t>
      </w:r>
      <w:r>
        <w:rPr>
          <w:spacing w:val="38"/>
          <w:sz w:val="19"/>
        </w:rPr>
        <w:t> </w:t>
      </w:r>
      <w:r>
        <w:rPr>
          <w:sz w:val="19"/>
        </w:rPr>
        <w:t>Clark and</w:t>
      </w:r>
      <w:r>
        <w:rPr>
          <w:spacing w:val="36"/>
          <w:sz w:val="19"/>
        </w:rPr>
        <w:t> </w:t>
      </w:r>
      <w:r>
        <w:rPr>
          <w:sz w:val="19"/>
        </w:rPr>
        <w:t>Pamela</w:t>
      </w:r>
      <w:r>
        <w:rPr>
          <w:spacing w:val="38"/>
          <w:sz w:val="19"/>
        </w:rPr>
        <w:t> </w:t>
      </w:r>
      <w:r>
        <w:rPr>
          <w:sz w:val="19"/>
        </w:rPr>
        <w:t>Mason,</w:t>
      </w:r>
      <w:r>
        <w:rPr>
          <w:spacing w:val="38"/>
          <w:sz w:val="19"/>
        </w:rPr>
        <w:t> </w:t>
      </w:r>
      <w:r>
        <w:rPr>
          <w:sz w:val="19"/>
        </w:rPr>
        <w:t>3rd ed.,</w:t>
      </w:r>
      <w:r>
        <w:rPr>
          <w:spacing w:val="40"/>
          <w:sz w:val="19"/>
        </w:rPr>
        <w:t> </w:t>
      </w:r>
      <w:r>
        <w:rPr>
          <w:sz w:val="19"/>
        </w:rPr>
        <w:t>Arden</w:t>
      </w:r>
      <w:r>
        <w:rPr>
          <w:spacing w:val="40"/>
          <w:sz w:val="19"/>
        </w:rPr>
        <w:t> </w:t>
      </w:r>
      <w:r>
        <w:rPr>
          <w:sz w:val="19"/>
        </w:rPr>
        <w:t>Shakespeare,</w:t>
      </w:r>
      <w:r>
        <w:rPr>
          <w:spacing w:val="40"/>
          <w:sz w:val="19"/>
        </w:rPr>
        <w:t> </w:t>
      </w:r>
      <w:r>
        <w:rPr>
          <w:sz w:val="19"/>
        </w:rPr>
        <w:t>2015.</w:t>
      </w:r>
    </w:p>
    <w:p>
      <w:pPr>
        <w:pStyle w:val="ListParagraph"/>
        <w:numPr>
          <w:ilvl w:val="0"/>
          <w:numId w:val="35"/>
        </w:numPr>
        <w:tabs>
          <w:tab w:pos="2160" w:val="left" w:leader="none"/>
        </w:tabs>
        <w:spacing w:line="261" w:lineRule="auto" w:before="59" w:after="0"/>
        <w:ind w:left="2160" w:right="1438" w:hanging="420"/>
        <w:jc w:val="both"/>
        <w:rPr>
          <w:sz w:val="19"/>
        </w:rPr>
      </w:pPr>
      <w:r>
        <w:rPr>
          <w:sz w:val="19"/>
        </w:rPr>
        <w:t>—. Othello. Edited by E. A. J. Honigmann, 3rd ed., Arden Shakespeare,</w:t>
      </w:r>
      <w:r>
        <w:rPr>
          <w:spacing w:val="40"/>
          <w:sz w:val="19"/>
        </w:rPr>
        <w:t> </w:t>
      </w:r>
      <w:r>
        <w:rPr>
          <w:sz w:val="19"/>
        </w:rPr>
        <w:t>2001.</w:t>
      </w:r>
    </w:p>
    <w:p>
      <w:pPr>
        <w:pStyle w:val="ListParagraph"/>
        <w:numPr>
          <w:ilvl w:val="0"/>
          <w:numId w:val="35"/>
        </w:numPr>
        <w:tabs>
          <w:tab w:pos="2160" w:val="left" w:leader="none"/>
        </w:tabs>
        <w:spacing w:line="264" w:lineRule="auto" w:before="56" w:after="0"/>
        <w:ind w:left="2160" w:right="1442" w:hanging="420"/>
        <w:jc w:val="both"/>
        <w:rPr>
          <w:sz w:val="19"/>
        </w:rPr>
      </w:pPr>
      <w:r>
        <w:rPr>
          <w:sz w:val="19"/>
        </w:rPr>
        <w:t>—. The Taming of the Shrew. Edited by Barbara Hodgdon, 3rd ed.,</w:t>
      </w:r>
      <w:r>
        <w:rPr>
          <w:spacing w:val="40"/>
          <w:sz w:val="19"/>
        </w:rPr>
        <w:t> </w:t>
      </w:r>
      <w:r>
        <w:rPr>
          <w:sz w:val="19"/>
        </w:rPr>
        <w:t>Arden</w:t>
      </w:r>
      <w:r>
        <w:rPr>
          <w:spacing w:val="40"/>
          <w:sz w:val="19"/>
        </w:rPr>
        <w:t> </w:t>
      </w:r>
      <w:r>
        <w:rPr>
          <w:sz w:val="19"/>
        </w:rPr>
        <w:t>Shakespeare,</w:t>
      </w:r>
      <w:r>
        <w:rPr>
          <w:spacing w:val="40"/>
          <w:sz w:val="19"/>
        </w:rPr>
        <w:t> </w:t>
      </w:r>
      <w:r>
        <w:rPr>
          <w:sz w:val="19"/>
        </w:rPr>
        <w:t>2010.</w:t>
      </w:r>
    </w:p>
    <w:p>
      <w:pPr>
        <w:pStyle w:val="ListParagraph"/>
        <w:numPr>
          <w:ilvl w:val="0"/>
          <w:numId w:val="35"/>
        </w:numPr>
        <w:tabs>
          <w:tab w:pos="2159" w:val="left" w:leader="none"/>
        </w:tabs>
        <w:spacing w:line="240" w:lineRule="auto" w:before="55" w:after="0"/>
        <w:ind w:left="2159" w:right="0" w:hanging="419"/>
        <w:jc w:val="both"/>
        <w:rPr>
          <w:sz w:val="19"/>
        </w:rPr>
      </w:pPr>
      <w:r>
        <w:rPr>
          <w:sz w:val="19"/>
        </w:rPr>
        <w:t>—.</w:t>
      </w:r>
      <w:r>
        <w:rPr>
          <w:spacing w:val="9"/>
          <w:sz w:val="19"/>
        </w:rPr>
        <w:t> </w:t>
      </w:r>
      <w:r>
        <w:rPr>
          <w:sz w:val="19"/>
        </w:rPr>
        <w:t>The</w:t>
      </w:r>
      <w:r>
        <w:rPr>
          <w:spacing w:val="9"/>
          <w:sz w:val="19"/>
        </w:rPr>
        <w:t> </w:t>
      </w:r>
      <w:r>
        <w:rPr>
          <w:sz w:val="19"/>
        </w:rPr>
        <w:t>Tempest.</w:t>
      </w:r>
      <w:r>
        <w:rPr>
          <w:spacing w:val="9"/>
          <w:sz w:val="19"/>
        </w:rPr>
        <w:t> </w:t>
      </w:r>
      <w:r>
        <w:rPr>
          <w:sz w:val="19"/>
        </w:rPr>
        <w:t>Edited</w:t>
      </w:r>
      <w:r>
        <w:rPr>
          <w:spacing w:val="11"/>
          <w:sz w:val="19"/>
        </w:rPr>
        <w:t> </w:t>
      </w:r>
      <w:r>
        <w:rPr>
          <w:sz w:val="19"/>
        </w:rPr>
        <w:t>by</w:t>
      </w:r>
      <w:r>
        <w:rPr>
          <w:spacing w:val="3"/>
          <w:sz w:val="19"/>
        </w:rPr>
        <w:t> </w:t>
      </w:r>
      <w:r>
        <w:rPr>
          <w:sz w:val="19"/>
        </w:rPr>
        <w:t>Virginia</w:t>
      </w:r>
      <w:r>
        <w:rPr>
          <w:spacing w:val="11"/>
          <w:sz w:val="19"/>
        </w:rPr>
        <w:t> </w:t>
      </w:r>
      <w:r>
        <w:rPr>
          <w:sz w:val="19"/>
        </w:rPr>
        <w:t>Mason</w:t>
      </w:r>
      <w:r>
        <w:rPr>
          <w:spacing w:val="7"/>
          <w:sz w:val="19"/>
        </w:rPr>
        <w:t> </w:t>
      </w:r>
      <w:r>
        <w:rPr>
          <w:sz w:val="19"/>
        </w:rPr>
        <w:t>Vaughan</w:t>
      </w:r>
      <w:r>
        <w:rPr>
          <w:spacing w:val="11"/>
          <w:sz w:val="19"/>
        </w:rPr>
        <w:t> </w:t>
      </w:r>
      <w:r>
        <w:rPr>
          <w:sz w:val="19"/>
        </w:rPr>
        <w:t>and</w:t>
      </w:r>
      <w:r>
        <w:rPr>
          <w:spacing w:val="4"/>
          <w:sz w:val="19"/>
        </w:rPr>
        <w:t> </w:t>
      </w:r>
      <w:r>
        <w:rPr>
          <w:spacing w:val="-4"/>
          <w:sz w:val="19"/>
        </w:rPr>
        <w:t>Alden</w:t>
      </w:r>
    </w:p>
    <w:p>
      <w:pPr>
        <w:spacing w:before="19"/>
        <w:ind w:left="2160" w:right="0" w:firstLine="0"/>
        <w:jc w:val="both"/>
        <w:rPr>
          <w:sz w:val="19"/>
        </w:rPr>
      </w:pPr>
      <w:r>
        <w:rPr>
          <w:sz w:val="19"/>
        </w:rPr>
        <w:t>T.</w:t>
      </w:r>
      <w:r>
        <w:rPr>
          <w:spacing w:val="33"/>
          <w:sz w:val="19"/>
        </w:rPr>
        <w:t> </w:t>
      </w:r>
      <w:r>
        <w:rPr>
          <w:sz w:val="19"/>
        </w:rPr>
        <w:t>Vaughan,</w:t>
      </w:r>
      <w:r>
        <w:rPr>
          <w:spacing w:val="33"/>
          <w:sz w:val="19"/>
        </w:rPr>
        <w:t> </w:t>
      </w:r>
      <w:r>
        <w:rPr>
          <w:sz w:val="19"/>
        </w:rPr>
        <w:t>3rd</w:t>
      </w:r>
      <w:r>
        <w:rPr>
          <w:spacing w:val="31"/>
          <w:sz w:val="19"/>
        </w:rPr>
        <w:t> </w:t>
      </w:r>
      <w:r>
        <w:rPr>
          <w:sz w:val="19"/>
        </w:rPr>
        <w:t>ed.,</w:t>
      </w:r>
      <w:r>
        <w:rPr>
          <w:spacing w:val="27"/>
          <w:sz w:val="19"/>
        </w:rPr>
        <w:t> </w:t>
      </w:r>
      <w:r>
        <w:rPr>
          <w:sz w:val="19"/>
        </w:rPr>
        <w:t>Arden</w:t>
      </w:r>
      <w:r>
        <w:rPr>
          <w:spacing w:val="35"/>
          <w:sz w:val="19"/>
        </w:rPr>
        <w:t> </w:t>
      </w:r>
      <w:r>
        <w:rPr>
          <w:sz w:val="19"/>
        </w:rPr>
        <w:t>Shakespeare,</w:t>
      </w:r>
      <w:r>
        <w:rPr>
          <w:spacing w:val="33"/>
          <w:sz w:val="19"/>
        </w:rPr>
        <w:t> </w:t>
      </w:r>
      <w:r>
        <w:rPr>
          <w:spacing w:val="-4"/>
          <w:sz w:val="19"/>
        </w:rPr>
        <w:t>1999.</w:t>
      </w:r>
    </w:p>
    <w:p>
      <w:pPr>
        <w:pStyle w:val="ListParagraph"/>
        <w:numPr>
          <w:ilvl w:val="0"/>
          <w:numId w:val="35"/>
        </w:numPr>
        <w:tabs>
          <w:tab w:pos="2160" w:val="left" w:leader="none"/>
        </w:tabs>
        <w:spacing w:line="264" w:lineRule="auto" w:before="77" w:after="0"/>
        <w:ind w:left="2160" w:right="1443" w:hanging="420"/>
        <w:jc w:val="both"/>
        <w:rPr>
          <w:sz w:val="19"/>
        </w:rPr>
      </w:pPr>
      <w:r>
        <w:rPr>
          <w:sz w:val="19"/>
        </w:rPr>
        <w:t>—. The Winter’s Tale. Edited by John Pitcher, 3rd ed., Arden Shakespeare,</w:t>
      </w:r>
      <w:r>
        <w:rPr>
          <w:spacing w:val="40"/>
          <w:sz w:val="19"/>
        </w:rPr>
        <w:t> </w:t>
      </w:r>
      <w:r>
        <w:rPr>
          <w:sz w:val="19"/>
        </w:rPr>
        <w:t>2010.</w:t>
      </w:r>
    </w:p>
    <w:p>
      <w:pPr>
        <w:pStyle w:val="ListParagraph"/>
        <w:numPr>
          <w:ilvl w:val="0"/>
          <w:numId w:val="35"/>
        </w:numPr>
        <w:tabs>
          <w:tab w:pos="2160" w:val="left" w:leader="none"/>
        </w:tabs>
        <w:spacing w:line="261" w:lineRule="auto" w:before="54" w:after="0"/>
        <w:ind w:left="2160" w:right="1438" w:hanging="420"/>
        <w:jc w:val="both"/>
        <w:rPr>
          <w:sz w:val="19"/>
        </w:rPr>
      </w:pPr>
      <w:r>
        <w:rPr>
          <w:sz w:val="19"/>
        </w:rPr>
        <w:t>Showalter, Elaine. “Representing Ophelia: Women, Madness,</w:t>
      </w:r>
      <w:r>
        <w:rPr>
          <w:spacing w:val="80"/>
          <w:sz w:val="19"/>
        </w:rPr>
        <w:t> </w:t>
      </w:r>
      <w:r>
        <w:rPr>
          <w:sz w:val="19"/>
        </w:rPr>
        <w:t>and</w:t>
      </w:r>
      <w:r>
        <w:rPr>
          <w:spacing w:val="40"/>
          <w:sz w:val="19"/>
        </w:rPr>
        <w:t> </w:t>
      </w:r>
      <w:r>
        <w:rPr>
          <w:sz w:val="19"/>
        </w:rPr>
        <w:t>the</w:t>
      </w:r>
      <w:r>
        <w:rPr>
          <w:spacing w:val="40"/>
          <w:sz w:val="19"/>
        </w:rPr>
        <w:t> </w:t>
      </w:r>
      <w:r>
        <w:rPr>
          <w:sz w:val="19"/>
        </w:rPr>
        <w:t>Responsibilities</w:t>
      </w:r>
      <w:r>
        <w:rPr>
          <w:spacing w:val="40"/>
          <w:sz w:val="19"/>
        </w:rPr>
        <w:t> </w:t>
      </w:r>
      <w:r>
        <w:rPr>
          <w:sz w:val="19"/>
        </w:rPr>
        <w:t>of</w:t>
      </w:r>
      <w:r>
        <w:rPr>
          <w:spacing w:val="40"/>
          <w:sz w:val="19"/>
        </w:rPr>
        <w:t> </w:t>
      </w:r>
      <w:r>
        <w:rPr>
          <w:sz w:val="19"/>
        </w:rPr>
        <w:t>Feminist</w:t>
      </w:r>
      <w:r>
        <w:rPr>
          <w:spacing w:val="40"/>
          <w:sz w:val="19"/>
        </w:rPr>
        <w:t> </w:t>
      </w:r>
      <w:r>
        <w:rPr>
          <w:sz w:val="19"/>
        </w:rPr>
        <w:t>Criticism.”</w:t>
      </w:r>
      <w:r>
        <w:rPr>
          <w:spacing w:val="40"/>
          <w:sz w:val="19"/>
        </w:rPr>
        <w:t> </w:t>
      </w:r>
      <w:r>
        <w:rPr>
          <w:sz w:val="19"/>
        </w:rPr>
        <w:t>Shakespeare and the Question of Theory, edited by Patricia Parker and Geoffrey</w:t>
      </w:r>
      <w:r>
        <w:rPr>
          <w:spacing w:val="40"/>
          <w:sz w:val="19"/>
        </w:rPr>
        <w:t> </w:t>
      </w:r>
      <w:r>
        <w:rPr>
          <w:sz w:val="19"/>
        </w:rPr>
        <w:t>Hartman,</w:t>
      </w:r>
      <w:r>
        <w:rPr>
          <w:spacing w:val="40"/>
          <w:sz w:val="19"/>
        </w:rPr>
        <w:t> </w:t>
      </w:r>
      <w:r>
        <w:rPr>
          <w:sz w:val="19"/>
        </w:rPr>
        <w:t>Methuen,</w:t>
      </w:r>
      <w:r>
        <w:rPr>
          <w:spacing w:val="40"/>
          <w:sz w:val="19"/>
        </w:rPr>
        <w:t> </w:t>
      </w:r>
      <w:r>
        <w:rPr>
          <w:sz w:val="19"/>
        </w:rPr>
        <w:t>1985,</w:t>
      </w:r>
      <w:r>
        <w:rPr>
          <w:spacing w:val="40"/>
          <w:sz w:val="19"/>
        </w:rPr>
        <w:t> </w:t>
      </w:r>
      <w:r>
        <w:rPr>
          <w:sz w:val="19"/>
        </w:rPr>
        <w:t>pp.</w:t>
      </w:r>
      <w:r>
        <w:rPr>
          <w:spacing w:val="40"/>
          <w:sz w:val="19"/>
        </w:rPr>
        <w:t> </w:t>
      </w:r>
      <w:r>
        <w:rPr>
          <w:sz w:val="19"/>
        </w:rPr>
        <w:t>77–94.</w:t>
      </w:r>
    </w:p>
    <w:p>
      <w:pPr>
        <w:pStyle w:val="ListParagraph"/>
        <w:numPr>
          <w:ilvl w:val="0"/>
          <w:numId w:val="35"/>
        </w:numPr>
        <w:tabs>
          <w:tab w:pos="2160" w:val="left" w:leader="none"/>
        </w:tabs>
        <w:spacing w:line="261" w:lineRule="auto" w:before="58" w:after="0"/>
        <w:ind w:left="2160" w:right="1438" w:hanging="420"/>
        <w:jc w:val="both"/>
        <w:rPr>
          <w:sz w:val="19"/>
        </w:rPr>
      </w:pPr>
      <w:r>
        <w:rPr>
          <w:sz w:val="19"/>
        </w:rPr>
        <w:t>Stern, Tiffany. Making Shakespeare: From Stage to Page. Routledge,</w:t>
      </w:r>
      <w:r>
        <w:rPr>
          <w:spacing w:val="40"/>
          <w:sz w:val="19"/>
        </w:rPr>
        <w:t> </w:t>
      </w:r>
      <w:r>
        <w:rPr>
          <w:sz w:val="19"/>
        </w:rPr>
        <w:t>2004.</w:t>
      </w:r>
    </w:p>
    <w:p>
      <w:pPr>
        <w:pStyle w:val="ListParagraph"/>
        <w:numPr>
          <w:ilvl w:val="0"/>
          <w:numId w:val="35"/>
        </w:numPr>
        <w:tabs>
          <w:tab w:pos="2160" w:val="left" w:leader="none"/>
        </w:tabs>
        <w:spacing w:line="261" w:lineRule="auto" w:before="57" w:after="0"/>
        <w:ind w:left="2160" w:right="1438" w:hanging="420"/>
        <w:jc w:val="both"/>
        <w:rPr>
          <w:sz w:val="19"/>
        </w:rPr>
      </w:pPr>
      <w:r>
        <w:rPr>
          <w:sz w:val="19"/>
        </w:rPr>
        <w:t>Vicary, Thomas. The Englishman’s Treasure: With the True Anatomy</w:t>
      </w:r>
      <w:r>
        <w:rPr>
          <w:spacing w:val="40"/>
          <w:sz w:val="19"/>
        </w:rPr>
        <w:t> </w:t>
      </w:r>
      <w:r>
        <w:rPr>
          <w:sz w:val="19"/>
        </w:rPr>
        <w:t>of</w:t>
      </w:r>
      <w:r>
        <w:rPr>
          <w:spacing w:val="40"/>
          <w:sz w:val="19"/>
        </w:rPr>
        <w:t> </w:t>
      </w:r>
      <w:r>
        <w:rPr>
          <w:sz w:val="19"/>
        </w:rPr>
        <w:t>Man’s</w:t>
      </w:r>
      <w:r>
        <w:rPr>
          <w:spacing w:val="40"/>
          <w:sz w:val="19"/>
        </w:rPr>
        <w:t> </w:t>
      </w:r>
      <w:r>
        <w:rPr>
          <w:sz w:val="19"/>
        </w:rPr>
        <w:t>Body.</w:t>
      </w:r>
      <w:r>
        <w:rPr>
          <w:spacing w:val="40"/>
          <w:sz w:val="19"/>
        </w:rPr>
        <w:t> </w:t>
      </w:r>
      <w:r>
        <w:rPr>
          <w:sz w:val="19"/>
        </w:rPr>
        <w:t>George</w:t>
      </w:r>
      <w:r>
        <w:rPr>
          <w:spacing w:val="40"/>
          <w:sz w:val="19"/>
        </w:rPr>
        <w:t> </w:t>
      </w:r>
      <w:r>
        <w:rPr>
          <w:sz w:val="19"/>
        </w:rPr>
        <w:t>Robinson,</w:t>
      </w:r>
      <w:r>
        <w:rPr>
          <w:spacing w:val="40"/>
          <w:sz w:val="19"/>
        </w:rPr>
        <w:t> </w:t>
      </w:r>
      <w:r>
        <w:rPr>
          <w:sz w:val="19"/>
        </w:rPr>
        <w:t>1587.</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897408">
                <wp:simplePos x="0" y="0"/>
                <wp:positionH relativeFrom="page">
                  <wp:posOffset>2057400</wp:posOffset>
                </wp:positionH>
                <wp:positionV relativeFrom="page">
                  <wp:posOffset>1788723</wp:posOffset>
                </wp:positionV>
                <wp:extent cx="3654425" cy="140335"/>
                <wp:effectExtent l="0" t="0" r="0" b="0"/>
                <wp:wrapNone/>
                <wp:docPr id="427" name="Textbox 427"/>
                <wp:cNvGraphicFramePr>
                  <a:graphicFrameLocks/>
                </wp:cNvGraphicFramePr>
                <a:graphic>
                  <a:graphicData uri="http://schemas.microsoft.com/office/word/2010/wordprocessingShape">
                    <wps:wsp>
                      <wps:cNvPr id="427" name="Textbox 427"/>
                      <wps:cNvSpPr txBox="1"/>
                      <wps:spPr>
                        <a:xfrm>
                          <a:off x="0" y="0"/>
                          <a:ext cx="3654425" cy="140335"/>
                        </a:xfrm>
                        <a:prstGeom prst="rect">
                          <a:avLst/>
                        </a:prstGeom>
                      </wps:spPr>
                      <wps:txbx>
                        <w:txbxContent>
                          <w:p>
                            <w:pPr>
                              <w:tabs>
                                <w:tab w:pos="5754" w:val="right" w:leader="none"/>
                              </w:tabs>
                              <w:spacing w:line="219" w:lineRule="exact" w:before="0"/>
                              <w:ind w:left="0" w:right="0" w:firstLine="0"/>
                              <w:jc w:val="left"/>
                              <w:rPr>
                                <w:rFonts w:ascii="Verdana"/>
                                <w:sz w:val="18"/>
                              </w:rPr>
                            </w:pPr>
                            <w:r>
                              <w:rPr>
                                <w:rFonts w:ascii="Verdana"/>
                                <w:sz w:val="18"/>
                              </w:rPr>
                              <w:t>Juxtaposing</w:t>
                            </w:r>
                            <w:r>
                              <w:rPr>
                                <w:rFonts w:ascii="Verdana"/>
                                <w:spacing w:val="16"/>
                                <w:sz w:val="18"/>
                              </w:rPr>
                              <w:t> </w:t>
                            </w:r>
                            <w:r>
                              <w:rPr>
                                <w:rFonts w:ascii="Verdana"/>
                                <w:sz w:val="18"/>
                              </w:rPr>
                              <w:t>Female</w:t>
                            </w:r>
                            <w:r>
                              <w:rPr>
                                <w:rFonts w:ascii="Verdana"/>
                                <w:spacing w:val="19"/>
                                <w:sz w:val="18"/>
                              </w:rPr>
                              <w:t> </w:t>
                            </w:r>
                            <w:r>
                              <w:rPr>
                                <w:rFonts w:ascii="Verdana"/>
                                <w:sz w:val="18"/>
                              </w:rPr>
                              <w:t>Characters</w:t>
                            </w:r>
                            <w:r>
                              <w:rPr>
                                <w:rFonts w:ascii="Verdana"/>
                                <w:spacing w:val="15"/>
                                <w:sz w:val="18"/>
                              </w:rPr>
                              <w:t> </w:t>
                            </w:r>
                            <w:r>
                              <w:rPr>
                                <w:rFonts w:ascii="Verdana"/>
                                <w:sz w:val="18"/>
                              </w:rPr>
                              <w:t>in</w:t>
                            </w:r>
                            <w:r>
                              <w:rPr>
                                <w:rFonts w:ascii="Verdana"/>
                                <w:spacing w:val="17"/>
                                <w:sz w:val="18"/>
                              </w:rPr>
                              <w:t> </w:t>
                            </w:r>
                            <w:r>
                              <w:rPr>
                                <w:rFonts w:ascii="Verdana"/>
                                <w:sz w:val="18"/>
                              </w:rPr>
                              <w:t>Macbeth</w:t>
                            </w:r>
                            <w:r>
                              <w:rPr>
                                <w:rFonts w:ascii="Verdana"/>
                                <w:spacing w:val="19"/>
                                <w:sz w:val="18"/>
                              </w:rPr>
                              <w:t> </w:t>
                            </w:r>
                            <w:r>
                              <w:rPr>
                                <w:rFonts w:ascii="Verdana"/>
                                <w:sz w:val="18"/>
                              </w:rPr>
                              <w:t>and</w:t>
                            </w:r>
                            <w:r>
                              <w:rPr>
                                <w:rFonts w:ascii="Verdana"/>
                                <w:spacing w:val="18"/>
                                <w:sz w:val="18"/>
                              </w:rPr>
                              <w:t> </w:t>
                            </w:r>
                            <w:r>
                              <w:rPr>
                                <w:rFonts w:ascii="Verdana"/>
                                <w:spacing w:val="-2"/>
                                <w:sz w:val="18"/>
                              </w:rPr>
                              <w:t>The...</w:t>
                            </w:r>
                            <w:r>
                              <w:rPr>
                                <w:sz w:val="18"/>
                              </w:rPr>
                              <w:tab/>
                            </w:r>
                            <w:r>
                              <w:rPr>
                                <w:rFonts w:ascii="Verdana"/>
                                <w:spacing w:val="-5"/>
                                <w:sz w:val="18"/>
                              </w:rPr>
                              <w:t>183</w:t>
                            </w:r>
                          </w:p>
                        </w:txbxContent>
                      </wps:txbx>
                      <wps:bodyPr wrap="square" lIns="0" tIns="0" rIns="0" bIns="0" rtlCol="0">
                        <a:noAutofit/>
                      </wps:bodyPr>
                    </wps:wsp>
                  </a:graphicData>
                </a:graphic>
              </wp:anchor>
            </w:drawing>
          </mc:Choice>
          <mc:Fallback>
            <w:pict>
              <v:shape style="position:absolute;margin-left:162pt;margin-top:140.844391pt;width:287.75pt;height:11.05pt;mso-position-horizontal-relative:page;mso-position-vertical-relative:page;z-index:-20419072" type="#_x0000_t202" id="docshape422" filled="false" stroked="false">
                <v:textbox inset="0,0,0,0">
                  <w:txbxContent>
                    <w:p>
                      <w:pPr>
                        <w:tabs>
                          <w:tab w:pos="5754" w:val="right" w:leader="none"/>
                        </w:tabs>
                        <w:spacing w:line="219" w:lineRule="exact" w:before="0"/>
                        <w:ind w:left="0" w:right="0" w:firstLine="0"/>
                        <w:jc w:val="left"/>
                        <w:rPr>
                          <w:rFonts w:ascii="Verdana"/>
                          <w:sz w:val="18"/>
                        </w:rPr>
                      </w:pPr>
                      <w:r>
                        <w:rPr>
                          <w:rFonts w:ascii="Verdana"/>
                          <w:sz w:val="18"/>
                        </w:rPr>
                        <w:t>Juxtaposing</w:t>
                      </w:r>
                      <w:r>
                        <w:rPr>
                          <w:rFonts w:ascii="Verdana"/>
                          <w:spacing w:val="16"/>
                          <w:sz w:val="18"/>
                        </w:rPr>
                        <w:t> </w:t>
                      </w:r>
                      <w:r>
                        <w:rPr>
                          <w:rFonts w:ascii="Verdana"/>
                          <w:sz w:val="18"/>
                        </w:rPr>
                        <w:t>Female</w:t>
                      </w:r>
                      <w:r>
                        <w:rPr>
                          <w:rFonts w:ascii="Verdana"/>
                          <w:spacing w:val="19"/>
                          <w:sz w:val="18"/>
                        </w:rPr>
                        <w:t> </w:t>
                      </w:r>
                      <w:r>
                        <w:rPr>
                          <w:rFonts w:ascii="Verdana"/>
                          <w:sz w:val="18"/>
                        </w:rPr>
                        <w:t>Characters</w:t>
                      </w:r>
                      <w:r>
                        <w:rPr>
                          <w:rFonts w:ascii="Verdana"/>
                          <w:spacing w:val="15"/>
                          <w:sz w:val="18"/>
                        </w:rPr>
                        <w:t> </w:t>
                      </w:r>
                      <w:r>
                        <w:rPr>
                          <w:rFonts w:ascii="Verdana"/>
                          <w:sz w:val="18"/>
                        </w:rPr>
                        <w:t>in</w:t>
                      </w:r>
                      <w:r>
                        <w:rPr>
                          <w:rFonts w:ascii="Verdana"/>
                          <w:spacing w:val="17"/>
                          <w:sz w:val="18"/>
                        </w:rPr>
                        <w:t> </w:t>
                      </w:r>
                      <w:r>
                        <w:rPr>
                          <w:rFonts w:ascii="Verdana"/>
                          <w:sz w:val="18"/>
                        </w:rPr>
                        <w:t>Macbeth</w:t>
                      </w:r>
                      <w:r>
                        <w:rPr>
                          <w:rFonts w:ascii="Verdana"/>
                          <w:spacing w:val="19"/>
                          <w:sz w:val="18"/>
                        </w:rPr>
                        <w:t> </w:t>
                      </w:r>
                      <w:r>
                        <w:rPr>
                          <w:rFonts w:ascii="Verdana"/>
                          <w:sz w:val="18"/>
                        </w:rPr>
                        <w:t>and</w:t>
                      </w:r>
                      <w:r>
                        <w:rPr>
                          <w:rFonts w:ascii="Verdana"/>
                          <w:spacing w:val="18"/>
                          <w:sz w:val="18"/>
                        </w:rPr>
                        <w:t> </w:t>
                      </w:r>
                      <w:r>
                        <w:rPr>
                          <w:rFonts w:ascii="Verdana"/>
                          <w:spacing w:val="-2"/>
                          <w:sz w:val="18"/>
                        </w:rPr>
                        <w:t>The...</w:t>
                      </w:r>
                      <w:r>
                        <w:rPr>
                          <w:sz w:val="18"/>
                        </w:rPr>
                        <w:tab/>
                      </w:r>
                      <w:r>
                        <w:rPr>
                          <w:rFonts w:ascii="Verdana"/>
                          <w:spacing w:val="-5"/>
                          <w:sz w:val="18"/>
                        </w:rPr>
                        <w:t>183</w:t>
                      </w:r>
                    </w:p>
                  </w:txbxContent>
                </v:textbox>
                <w10:wrap type="none"/>
              </v:shape>
            </w:pict>
          </mc:Fallback>
        </mc:AlternateContent>
      </w:r>
    </w:p>
    <w:p>
      <w:pPr>
        <w:pStyle w:val="BodyText"/>
        <w:spacing w:before="199"/>
        <w:ind w:left="0"/>
      </w:pPr>
    </w:p>
    <w:p>
      <w:pPr>
        <w:spacing w:line="240" w:lineRule="auto"/>
        <w:ind w:left="1135" w:right="0" w:firstLine="0"/>
        <w:rPr>
          <w:sz w:val="20"/>
        </w:rPr>
      </w:pPr>
      <w:r>
        <w:rPr>
          <w:sz w:val="20"/>
        </w:rPr>
        <mc:AlternateContent>
          <mc:Choice Requires="wps">
            <w:drawing>
              <wp:inline distT="0" distB="0" distL="0" distR="0">
                <wp:extent cx="4044950" cy="701040"/>
                <wp:effectExtent l="0" t="0" r="0" b="0"/>
                <wp:docPr id="428" name="Group 428"/>
                <wp:cNvGraphicFramePr>
                  <a:graphicFrameLocks/>
                </wp:cNvGraphicFramePr>
                <a:graphic>
                  <a:graphicData uri="http://schemas.microsoft.com/office/word/2010/wordprocessingGroup">
                    <wpg:wgp>
                      <wpg:cNvPr id="428" name="Group 428"/>
                      <wpg:cNvGrpSpPr/>
                      <wpg:grpSpPr>
                        <a:xfrm>
                          <a:off x="0" y="0"/>
                          <a:ext cx="4044950" cy="701040"/>
                          <a:chExt cx="4044950" cy="701040"/>
                        </a:xfrm>
                      </wpg:grpSpPr>
                      <wps:wsp>
                        <wps:cNvPr id="429" name="Graphic 429"/>
                        <wps:cNvSpPr/>
                        <wps:spPr>
                          <a:xfrm>
                            <a:off x="0" y="0"/>
                            <a:ext cx="4044950" cy="701040"/>
                          </a:xfrm>
                          <a:custGeom>
                            <a:avLst/>
                            <a:gdLst/>
                            <a:ahLst/>
                            <a:cxnLst/>
                            <a:rect l="l" t="t" r="r" b="b"/>
                            <a:pathLst>
                              <a:path w="4044950" h="701040">
                                <a:moveTo>
                                  <a:pt x="4044696" y="701040"/>
                                </a:moveTo>
                                <a:lnTo>
                                  <a:pt x="0" y="701040"/>
                                </a:lnTo>
                                <a:lnTo>
                                  <a:pt x="0" y="0"/>
                                </a:lnTo>
                                <a:lnTo>
                                  <a:pt x="4044696" y="0"/>
                                </a:lnTo>
                                <a:lnTo>
                                  <a:pt x="4044696" y="70104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2pt;mso-position-horizontal-relative:char;mso-position-vertical-relative:line" id="docshapegroup423" coordorigin="0,0" coordsize="6370,1104">
                <v:rect style="position:absolute;left:0;top:0;width:6370;height:1104" id="docshape424" filled="true" fillcolor="#ffffff" stroked="false">
                  <v:fill type="solid"/>
                </v:rect>
              </v:group>
            </w:pict>
          </mc:Fallback>
        </mc:AlternateContent>
      </w:r>
      <w:r>
        <w:rPr>
          <w:sz w:val="20"/>
        </w:rPr>
      </w:r>
    </w:p>
    <w:p>
      <w:pPr>
        <w:pStyle w:val="BodyText"/>
        <w:spacing w:before="178"/>
        <w:ind w:left="0"/>
      </w:pPr>
      <w:r>
        <w:rPr/>
        <mc:AlternateContent>
          <mc:Choice Requires="wps">
            <w:drawing>
              <wp:anchor distT="0" distB="0" distL="0" distR="0" allowOverlap="1" layoutInCell="1" locked="0" behindDoc="1" simplePos="0" relativeHeight="487733248">
                <wp:simplePos x="0" y="0"/>
                <wp:positionH relativeFrom="page">
                  <wp:posOffset>3532632</wp:posOffset>
                </wp:positionH>
                <wp:positionV relativeFrom="paragraph">
                  <wp:posOffset>274446</wp:posOffset>
                </wp:positionV>
                <wp:extent cx="728980" cy="654050"/>
                <wp:effectExtent l="0" t="0" r="0" b="0"/>
                <wp:wrapTopAndBottom/>
                <wp:docPr id="430" name="Group 430"/>
                <wp:cNvGraphicFramePr>
                  <a:graphicFrameLocks/>
                </wp:cNvGraphicFramePr>
                <a:graphic>
                  <a:graphicData uri="http://schemas.microsoft.com/office/word/2010/wordprocessingGroup">
                    <wpg:wgp>
                      <wpg:cNvPr id="430" name="Group 430"/>
                      <wpg:cNvGrpSpPr/>
                      <wpg:grpSpPr>
                        <a:xfrm>
                          <a:off x="0" y="0"/>
                          <a:ext cx="728980" cy="654050"/>
                          <a:chExt cx="728980" cy="654050"/>
                        </a:xfrm>
                      </wpg:grpSpPr>
                      <pic:pic>
                        <pic:nvPicPr>
                          <pic:cNvPr id="431" name="Image 431"/>
                          <pic:cNvPicPr/>
                        </pic:nvPicPr>
                        <pic:blipFill>
                          <a:blip r:embed="rId98" cstate="print"/>
                          <a:stretch>
                            <a:fillRect/>
                          </a:stretch>
                        </pic:blipFill>
                        <pic:spPr>
                          <a:xfrm>
                            <a:off x="0" y="0"/>
                            <a:ext cx="728472" cy="653796"/>
                          </a:xfrm>
                          <a:prstGeom prst="rect">
                            <a:avLst/>
                          </a:prstGeom>
                        </pic:spPr>
                      </pic:pic>
                      <wps:wsp>
                        <wps:cNvPr id="432" name="Textbox 432"/>
                        <wps:cNvSpPr txBox="1"/>
                        <wps:spPr>
                          <a:xfrm>
                            <a:off x="0" y="0"/>
                            <a:ext cx="728980" cy="654050"/>
                          </a:xfrm>
                          <a:prstGeom prst="rect">
                            <a:avLst/>
                          </a:prstGeom>
                        </wps:spPr>
                        <wps:txbx>
                          <w:txbxContent>
                            <w:p>
                              <w:pPr>
                                <w:spacing w:before="391"/>
                                <w:ind w:left="362" w:right="0" w:firstLine="0"/>
                                <w:jc w:val="left"/>
                                <w:rPr>
                                  <w:rFonts w:ascii="Tahoma"/>
                                  <w:b/>
                                  <w:sz w:val="36"/>
                                </w:rPr>
                              </w:pPr>
                              <w:r>
                                <w:rPr>
                                  <w:rFonts w:ascii="Tahoma"/>
                                  <w:b/>
                                  <w:spacing w:val="-5"/>
                                  <w:w w:val="95"/>
                                  <w:sz w:val="36"/>
                                </w:rPr>
                                <w:t>18</w:t>
                              </w:r>
                            </w:p>
                          </w:txbxContent>
                        </wps:txbx>
                        <wps:bodyPr wrap="square" lIns="0" tIns="0" rIns="0" bIns="0" rtlCol="0">
                          <a:noAutofit/>
                        </wps:bodyPr>
                      </wps:wsp>
                    </wpg:wgp>
                  </a:graphicData>
                </a:graphic>
              </wp:anchor>
            </w:drawing>
          </mc:Choice>
          <mc:Fallback>
            <w:pict>
              <v:group style="position:absolute;margin-left:278.160004pt;margin-top:21.609993pt;width:57.4pt;height:51.5pt;mso-position-horizontal-relative:page;mso-position-vertical-relative:paragraph;z-index:-15583232;mso-wrap-distance-left:0;mso-wrap-distance-right:0" id="docshapegroup425" coordorigin="5563,432" coordsize="1148,1030">
                <v:shape style="position:absolute;left:5563;top:432;width:1148;height:1030" type="#_x0000_t75" id="docshape426" stroked="false">
                  <v:imagedata r:id="rId98" o:title=""/>
                </v:shape>
                <v:shape style="position:absolute;left:5563;top:432;width:1148;height:1030" type="#_x0000_t202" id="docshape427" filled="false" stroked="false">
                  <v:textbox inset="0,0,0,0">
                    <w:txbxContent>
                      <w:p>
                        <w:pPr>
                          <w:spacing w:before="391"/>
                          <w:ind w:left="362" w:right="0" w:firstLine="0"/>
                          <w:jc w:val="left"/>
                          <w:rPr>
                            <w:rFonts w:ascii="Tahoma"/>
                            <w:b/>
                            <w:sz w:val="36"/>
                          </w:rPr>
                        </w:pPr>
                        <w:r>
                          <w:rPr>
                            <w:rFonts w:ascii="Tahoma"/>
                            <w:b/>
                            <w:spacing w:val="-5"/>
                            <w:w w:val="95"/>
                            <w:sz w:val="36"/>
                          </w:rPr>
                          <w:t>18</w:t>
                        </w:r>
                      </w:p>
                    </w:txbxContent>
                  </v:textbox>
                  <w10:wrap type="none"/>
                </v:shape>
                <w10:wrap type="topAndBottom"/>
              </v:group>
            </w:pict>
          </mc:Fallback>
        </mc:AlternateContent>
      </w:r>
    </w:p>
    <w:p>
      <w:pPr>
        <w:pStyle w:val="Heading1"/>
        <w:spacing w:line="211" w:lineRule="auto" w:before="47"/>
        <w:ind w:left="1352" w:right="1356"/>
      </w:pPr>
      <w:r>
        <w:rPr>
          <w:spacing w:val="-2"/>
        </w:rPr>
        <w:t>Juxtaposing</w:t>
      </w:r>
      <w:r>
        <w:rPr>
          <w:spacing w:val="-22"/>
        </w:rPr>
        <w:t> </w:t>
      </w:r>
      <w:r>
        <w:rPr>
          <w:spacing w:val="-2"/>
        </w:rPr>
        <w:t>Female</w:t>
      </w:r>
      <w:r>
        <w:rPr>
          <w:spacing w:val="-21"/>
        </w:rPr>
        <w:t> </w:t>
      </w:r>
      <w:r>
        <w:rPr>
          <w:spacing w:val="-2"/>
        </w:rPr>
        <w:t>Characters</w:t>
      </w:r>
      <w:r>
        <w:rPr>
          <w:spacing w:val="-22"/>
        </w:rPr>
        <w:t> </w:t>
      </w:r>
      <w:r>
        <w:rPr>
          <w:spacing w:val="-2"/>
        </w:rPr>
        <w:t>in </w:t>
      </w:r>
      <w:r>
        <w:rPr/>
        <w:t>Macbeth and The Merchant</w:t>
      </w:r>
    </w:p>
    <w:p>
      <w:pPr>
        <w:tabs>
          <w:tab w:pos="2131" w:val="left" w:leader="none"/>
          <w:tab w:pos="5759" w:val="left" w:leader="none"/>
        </w:tabs>
        <w:spacing w:line="350" w:lineRule="exact" w:before="0"/>
        <w:ind w:left="0" w:right="0" w:firstLine="0"/>
        <w:jc w:val="center"/>
        <w:rPr>
          <w:rFonts w:ascii="Tahoma"/>
          <w:b/>
          <w:sz w:val="32"/>
        </w:rPr>
      </w:pPr>
      <w:r>
        <w:rPr>
          <w:sz w:val="32"/>
          <w:u w:val="single"/>
        </w:rPr>
        <w:tab/>
      </w:r>
      <w:r>
        <w:rPr>
          <w:rFonts w:ascii="Tahoma"/>
          <w:b/>
          <w:sz w:val="32"/>
          <w:u w:val="single"/>
        </w:rPr>
        <w:t>of</w:t>
      </w:r>
      <w:r>
        <w:rPr>
          <w:rFonts w:ascii="Tahoma"/>
          <w:b/>
          <w:spacing w:val="-21"/>
          <w:sz w:val="32"/>
          <w:u w:val="single"/>
        </w:rPr>
        <w:t> </w:t>
      </w:r>
      <w:r>
        <w:rPr>
          <w:rFonts w:ascii="Tahoma"/>
          <w:b/>
          <w:spacing w:val="-2"/>
          <w:sz w:val="32"/>
          <w:u w:val="single"/>
        </w:rPr>
        <w:t>Venice</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33760">
                <wp:simplePos x="0" y="0"/>
                <wp:positionH relativeFrom="page">
                  <wp:posOffset>2057400</wp:posOffset>
                </wp:positionH>
                <wp:positionV relativeFrom="paragraph">
                  <wp:posOffset>60178</wp:posOffset>
                </wp:positionV>
                <wp:extent cx="3657600" cy="7620"/>
                <wp:effectExtent l="0" t="0" r="0" b="0"/>
                <wp:wrapTopAndBottom/>
                <wp:docPr id="433" name="Graphic 433"/>
                <wp:cNvGraphicFramePr>
                  <a:graphicFrameLocks/>
                </wp:cNvGraphicFramePr>
                <a:graphic>
                  <a:graphicData uri="http://schemas.microsoft.com/office/word/2010/wordprocessingShape">
                    <wps:wsp>
                      <wps:cNvPr id="433" name="Graphic 433"/>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38429pt;width:288.000009pt;height:.599991pt;mso-position-horizontal-relative:page;mso-position-vertical-relative:paragraph;z-index:-15582720;mso-wrap-distance-left:0;mso-wrap-distance-right:0" id="docshape428" filled="true" fillcolor="#000000" stroked="false">
                <v:fill type="solid"/>
                <w10:wrap type="topAndBottom"/>
              </v:rect>
            </w:pict>
          </mc:Fallback>
        </mc:AlternateContent>
      </w:r>
    </w:p>
    <w:p>
      <w:pPr>
        <w:pStyle w:val="BodyText"/>
        <w:spacing w:before="13"/>
        <w:ind w:left="0"/>
        <w:rPr>
          <w:rFonts w:ascii="Tahoma"/>
          <w:b/>
          <w:sz w:val="32"/>
        </w:rPr>
      </w:pPr>
    </w:p>
    <w:p>
      <w:pPr>
        <w:spacing w:line="252" w:lineRule="auto" w:before="0"/>
        <w:ind w:left="2205" w:right="1438" w:firstLine="3374"/>
        <w:jc w:val="both"/>
        <w:rPr>
          <w:i/>
          <w:sz w:val="19"/>
        </w:rPr>
      </w:pPr>
      <w:r>
        <w:rPr>
          <w:b/>
          <w:i/>
          <w:sz w:val="22"/>
        </w:rPr>
        <w:t>Dr. P. </w:t>
      </w:r>
      <w:r>
        <w:rPr>
          <w:b/>
          <w:i/>
          <w:sz w:val="22"/>
        </w:rPr>
        <w:t>Kiruthika</w:t>
      </w:r>
      <w:r>
        <w:rPr>
          <w:b/>
          <w:i/>
          <w:position w:val="7"/>
          <w:sz w:val="12"/>
        </w:rPr>
        <w:t>1</w:t>
      </w:r>
      <w:r>
        <w:rPr>
          <w:b/>
          <w:i/>
          <w:spacing w:val="40"/>
          <w:position w:val="7"/>
          <w:sz w:val="12"/>
        </w:rPr>
        <w:t> </w:t>
      </w:r>
      <w:r>
        <w:rPr>
          <w:i/>
          <w:sz w:val="19"/>
        </w:rPr>
        <w:t>Assistant Professor, PG &amp; Research Department of English</w:t>
      </w:r>
      <w:r>
        <w:rPr>
          <w:i/>
          <w:spacing w:val="80"/>
          <w:sz w:val="19"/>
        </w:rPr>
        <w:t> </w:t>
      </w:r>
      <w:r>
        <w:rPr>
          <w:i/>
          <w:sz w:val="19"/>
        </w:rPr>
        <w:t>(SF),</w:t>
      </w:r>
      <w:r>
        <w:rPr>
          <w:i/>
          <w:spacing w:val="60"/>
          <w:sz w:val="19"/>
        </w:rPr>
        <w:t> </w:t>
      </w:r>
      <w:r>
        <w:rPr>
          <w:i/>
          <w:sz w:val="19"/>
        </w:rPr>
        <w:t>Vellalar</w:t>
      </w:r>
      <w:r>
        <w:rPr>
          <w:i/>
          <w:spacing w:val="62"/>
          <w:sz w:val="19"/>
        </w:rPr>
        <w:t> </w:t>
      </w:r>
      <w:r>
        <w:rPr>
          <w:i/>
          <w:sz w:val="19"/>
        </w:rPr>
        <w:t>College</w:t>
      </w:r>
      <w:r>
        <w:rPr>
          <w:i/>
          <w:spacing w:val="62"/>
          <w:sz w:val="19"/>
        </w:rPr>
        <w:t> </w:t>
      </w:r>
      <w:r>
        <w:rPr>
          <w:i/>
          <w:sz w:val="19"/>
        </w:rPr>
        <w:t>for</w:t>
      </w:r>
      <w:r>
        <w:rPr>
          <w:i/>
          <w:spacing w:val="62"/>
          <w:sz w:val="19"/>
        </w:rPr>
        <w:t> </w:t>
      </w:r>
      <w:r>
        <w:rPr>
          <w:i/>
          <w:sz w:val="19"/>
        </w:rPr>
        <w:t>Women</w:t>
      </w:r>
      <w:r>
        <w:rPr>
          <w:i/>
          <w:spacing w:val="61"/>
          <w:sz w:val="19"/>
        </w:rPr>
        <w:t> </w:t>
      </w:r>
      <w:r>
        <w:rPr>
          <w:i/>
          <w:sz w:val="19"/>
        </w:rPr>
        <w:t>(Autonomous),</w:t>
      </w:r>
      <w:r>
        <w:rPr>
          <w:i/>
          <w:spacing w:val="62"/>
          <w:sz w:val="19"/>
        </w:rPr>
        <w:t> </w:t>
      </w:r>
      <w:r>
        <w:rPr>
          <w:i/>
          <w:sz w:val="19"/>
        </w:rPr>
        <w:t>Erode-</w:t>
      </w:r>
      <w:r>
        <w:rPr>
          <w:i/>
          <w:spacing w:val="-5"/>
          <w:sz w:val="19"/>
        </w:rPr>
        <w:t>12,</w:t>
      </w:r>
    </w:p>
    <w:p>
      <w:pPr>
        <w:spacing w:line="218" w:lineRule="exact" w:before="0"/>
        <w:ind w:left="5774" w:right="0" w:firstLine="0"/>
        <w:jc w:val="both"/>
        <w:rPr>
          <w:i/>
          <w:sz w:val="19"/>
        </w:rPr>
      </w:pPr>
      <w:r>
        <w:rPr>
          <w:i/>
          <w:sz w:val="19"/>
        </w:rPr>
        <w:t>Tamilnadu,</w:t>
      </w:r>
      <w:r>
        <w:rPr>
          <w:i/>
          <w:spacing w:val="75"/>
          <w:sz w:val="19"/>
        </w:rPr>
        <w:t> </w:t>
      </w:r>
      <w:r>
        <w:rPr>
          <w:i/>
          <w:spacing w:val="-2"/>
          <w:sz w:val="19"/>
        </w:rPr>
        <w:t>India</w:t>
      </w:r>
    </w:p>
    <w:p>
      <w:pPr>
        <w:pStyle w:val="BodyText"/>
        <w:spacing w:before="3"/>
        <w:ind w:left="0"/>
        <w:rPr>
          <w:i/>
          <w:sz w:val="19"/>
        </w:rPr>
      </w:pPr>
    </w:p>
    <w:p>
      <w:pPr>
        <w:pStyle w:val="Heading5"/>
        <w:ind w:left="0" w:right="1439"/>
        <w:jc w:val="right"/>
        <w:rPr>
          <w:rFonts w:ascii="Times New Roman"/>
          <w:position w:val="7"/>
          <w:sz w:val="12"/>
        </w:rPr>
      </w:pPr>
      <w:r>
        <w:rPr>
          <w:rFonts w:ascii="Times New Roman"/>
        </w:rPr>
        <w:t>Dr.T.</w:t>
      </w:r>
      <w:r>
        <w:rPr>
          <w:rFonts w:ascii="Times New Roman"/>
          <w:spacing w:val="39"/>
        </w:rPr>
        <w:t> </w:t>
      </w:r>
      <w:r>
        <w:rPr>
          <w:rFonts w:ascii="Times New Roman"/>
          <w:spacing w:val="-2"/>
        </w:rPr>
        <w:t>Geetha</w:t>
      </w:r>
      <w:r>
        <w:rPr>
          <w:rFonts w:ascii="Times New Roman"/>
          <w:spacing w:val="-2"/>
          <w:position w:val="7"/>
          <w:sz w:val="12"/>
        </w:rPr>
        <w:t>2</w:t>
      </w:r>
    </w:p>
    <w:p>
      <w:pPr>
        <w:spacing w:line="249" w:lineRule="auto" w:before="15"/>
        <w:ind w:left="1605" w:right="1438" w:firstLine="614"/>
        <w:jc w:val="right"/>
        <w:rPr>
          <w:i/>
          <w:sz w:val="19"/>
        </w:rPr>
      </w:pPr>
      <w:r>
        <w:rPr>
          <w:i/>
          <w:sz w:val="19"/>
        </w:rPr>
        <w:t>Assistant</w:t>
      </w:r>
      <w:r>
        <w:rPr>
          <w:i/>
          <w:spacing w:val="40"/>
          <w:sz w:val="19"/>
        </w:rPr>
        <w:t> </w:t>
      </w:r>
      <w:r>
        <w:rPr>
          <w:i/>
          <w:sz w:val="19"/>
        </w:rPr>
        <w:t>Professor</w:t>
      </w:r>
      <w:r>
        <w:rPr>
          <w:i/>
          <w:spacing w:val="40"/>
          <w:sz w:val="19"/>
        </w:rPr>
        <w:t> </w:t>
      </w:r>
      <w:r>
        <w:rPr>
          <w:i/>
          <w:sz w:val="19"/>
        </w:rPr>
        <w:t>(Senior</w:t>
      </w:r>
      <w:r>
        <w:rPr>
          <w:i/>
          <w:spacing w:val="40"/>
          <w:sz w:val="19"/>
        </w:rPr>
        <w:t> </w:t>
      </w:r>
      <w:r>
        <w:rPr>
          <w:i/>
          <w:sz w:val="19"/>
        </w:rPr>
        <w:t>Grade),</w:t>
      </w:r>
      <w:r>
        <w:rPr>
          <w:i/>
          <w:spacing w:val="40"/>
          <w:sz w:val="19"/>
        </w:rPr>
        <w:t> </w:t>
      </w:r>
      <w:r>
        <w:rPr>
          <w:i/>
          <w:sz w:val="19"/>
        </w:rPr>
        <w:t>Department</w:t>
      </w:r>
      <w:r>
        <w:rPr>
          <w:i/>
          <w:spacing w:val="40"/>
          <w:sz w:val="19"/>
        </w:rPr>
        <w:t> </w:t>
      </w:r>
      <w:r>
        <w:rPr>
          <w:i/>
          <w:sz w:val="19"/>
        </w:rPr>
        <w:t>of</w:t>
      </w:r>
      <w:r>
        <w:rPr>
          <w:i/>
          <w:spacing w:val="40"/>
          <w:sz w:val="19"/>
        </w:rPr>
        <w:t> </w:t>
      </w:r>
      <w:r>
        <w:rPr>
          <w:i/>
          <w:sz w:val="19"/>
        </w:rPr>
        <w:t>English, Kongu</w:t>
      </w:r>
      <w:r>
        <w:rPr>
          <w:i/>
          <w:spacing w:val="74"/>
          <w:sz w:val="19"/>
        </w:rPr>
        <w:t> </w:t>
      </w:r>
      <w:r>
        <w:rPr>
          <w:i/>
          <w:sz w:val="19"/>
        </w:rPr>
        <w:t>Engineering</w:t>
      </w:r>
      <w:r>
        <w:rPr>
          <w:i/>
          <w:spacing w:val="74"/>
          <w:sz w:val="19"/>
        </w:rPr>
        <w:t> </w:t>
      </w:r>
      <w:r>
        <w:rPr>
          <w:i/>
          <w:sz w:val="19"/>
        </w:rPr>
        <w:t>College,</w:t>
      </w:r>
      <w:r>
        <w:rPr>
          <w:i/>
          <w:spacing w:val="74"/>
          <w:sz w:val="19"/>
        </w:rPr>
        <w:t> </w:t>
      </w:r>
      <w:r>
        <w:rPr>
          <w:i/>
          <w:sz w:val="19"/>
        </w:rPr>
        <w:t>Perundurai,</w:t>
      </w:r>
      <w:r>
        <w:rPr>
          <w:i/>
          <w:spacing w:val="75"/>
          <w:sz w:val="19"/>
        </w:rPr>
        <w:t> </w:t>
      </w:r>
      <w:r>
        <w:rPr>
          <w:i/>
          <w:sz w:val="19"/>
        </w:rPr>
        <w:t>Erode,</w:t>
      </w:r>
      <w:r>
        <w:rPr>
          <w:i/>
          <w:spacing w:val="75"/>
          <w:sz w:val="19"/>
        </w:rPr>
        <w:t> </w:t>
      </w:r>
      <w:r>
        <w:rPr>
          <w:i/>
          <w:sz w:val="19"/>
        </w:rPr>
        <w:t>Tamilnadu,</w:t>
      </w:r>
      <w:r>
        <w:rPr>
          <w:i/>
          <w:spacing w:val="75"/>
          <w:sz w:val="19"/>
        </w:rPr>
        <w:t> </w:t>
      </w:r>
      <w:r>
        <w:rPr>
          <w:i/>
          <w:spacing w:val="-2"/>
          <w:sz w:val="19"/>
        </w:rPr>
        <w:t>India</w:t>
      </w:r>
    </w:p>
    <w:p>
      <w:pPr>
        <w:pStyle w:val="BodyText"/>
        <w:spacing w:before="152"/>
        <w:ind w:left="0"/>
        <w:rPr>
          <w:i/>
          <w:sz w:val="19"/>
        </w:rPr>
      </w:pPr>
    </w:p>
    <w:p>
      <w:pPr>
        <w:pStyle w:val="Heading3"/>
        <w:spacing w:before="1"/>
      </w:pPr>
      <w:r>
        <w:rPr>
          <w:spacing w:val="-2"/>
        </w:rPr>
        <w:t>ABSTRACT</w:t>
      </w:r>
    </w:p>
    <w:p>
      <w:pPr>
        <w:pStyle w:val="BodyText"/>
        <w:spacing w:line="249" w:lineRule="auto" w:before="77"/>
        <w:ind w:right="1437" w:firstLine="432"/>
        <w:jc w:val="both"/>
        <w:rPr>
          <w:i/>
        </w:rPr>
      </w:pPr>
      <w:r>
        <w:rPr>
          <w:spacing w:val="-4"/>
        </w:rPr>
        <w:t>Strong</w:t>
      </w:r>
      <w:r>
        <w:rPr>
          <w:spacing w:val="-9"/>
        </w:rPr>
        <w:t> </w:t>
      </w:r>
      <w:r>
        <w:rPr>
          <w:spacing w:val="-4"/>
        </w:rPr>
        <w:t>female</w:t>
      </w:r>
      <w:r>
        <w:rPr>
          <w:spacing w:val="-8"/>
        </w:rPr>
        <w:t> </w:t>
      </w:r>
      <w:r>
        <w:rPr>
          <w:spacing w:val="-4"/>
        </w:rPr>
        <w:t>characters</w:t>
      </w:r>
      <w:r>
        <w:rPr>
          <w:spacing w:val="-9"/>
        </w:rPr>
        <w:t> </w:t>
      </w:r>
      <w:r>
        <w:rPr>
          <w:spacing w:val="-4"/>
        </w:rPr>
        <w:t>like</w:t>
      </w:r>
      <w:r>
        <w:rPr>
          <w:spacing w:val="-8"/>
        </w:rPr>
        <w:t> </w:t>
      </w:r>
      <w:r>
        <w:rPr>
          <w:spacing w:val="-4"/>
        </w:rPr>
        <w:t>Portia,</w:t>
      </w:r>
      <w:r>
        <w:rPr>
          <w:spacing w:val="-9"/>
        </w:rPr>
        <w:t> </w:t>
      </w:r>
      <w:r>
        <w:rPr>
          <w:spacing w:val="-4"/>
        </w:rPr>
        <w:t>Cleopatra,</w:t>
      </w:r>
      <w:r>
        <w:rPr>
          <w:spacing w:val="-8"/>
        </w:rPr>
        <w:t> </w:t>
      </w:r>
      <w:r>
        <w:rPr>
          <w:spacing w:val="-4"/>
        </w:rPr>
        <w:t>Beatrice,</w:t>
      </w:r>
      <w:r>
        <w:rPr>
          <w:spacing w:val="-9"/>
        </w:rPr>
        <w:t> </w:t>
      </w:r>
      <w:r>
        <w:rPr>
          <w:spacing w:val="-4"/>
        </w:rPr>
        <w:t>Desdemona, </w:t>
      </w:r>
      <w:r>
        <w:rPr/>
        <w:t>Lady</w:t>
      </w:r>
      <w:r>
        <w:rPr>
          <w:spacing w:val="-1"/>
        </w:rPr>
        <w:t> </w:t>
      </w:r>
      <w:r>
        <w:rPr/>
        <w:t>Macbeth, Rosalind, Ophelia, Cordelia, and Viola are described in Shakespeare’s plays to explore feminist ideas. They lead the story and </w:t>
      </w:r>
      <w:r>
        <w:rPr>
          <w:spacing w:val="-2"/>
        </w:rPr>
        <w:t>action,</w:t>
      </w:r>
      <w:r>
        <w:rPr>
          <w:spacing w:val="-10"/>
        </w:rPr>
        <w:t> </w:t>
      </w:r>
      <w:r>
        <w:rPr>
          <w:spacing w:val="-2"/>
        </w:rPr>
        <w:t>exhibit</w:t>
      </w:r>
      <w:r>
        <w:rPr>
          <w:spacing w:val="-10"/>
        </w:rPr>
        <w:t> </w:t>
      </w:r>
      <w:r>
        <w:rPr>
          <w:spacing w:val="-2"/>
        </w:rPr>
        <w:t>intelligence</w:t>
      </w:r>
      <w:r>
        <w:rPr>
          <w:spacing w:val="-7"/>
        </w:rPr>
        <w:t> </w:t>
      </w:r>
      <w:r>
        <w:rPr>
          <w:spacing w:val="-2"/>
        </w:rPr>
        <w:t>and</w:t>
      </w:r>
      <w:r>
        <w:rPr>
          <w:spacing w:val="-7"/>
        </w:rPr>
        <w:t> </w:t>
      </w:r>
      <w:r>
        <w:rPr>
          <w:spacing w:val="-2"/>
        </w:rPr>
        <w:t>independence,</w:t>
      </w:r>
      <w:r>
        <w:rPr>
          <w:spacing w:val="-11"/>
        </w:rPr>
        <w:t> </w:t>
      </w:r>
      <w:r>
        <w:rPr>
          <w:spacing w:val="-2"/>
        </w:rPr>
        <w:t>and</w:t>
      </w:r>
      <w:r>
        <w:rPr>
          <w:spacing w:val="-10"/>
        </w:rPr>
        <w:t> </w:t>
      </w:r>
      <w:r>
        <w:rPr>
          <w:spacing w:val="-2"/>
        </w:rPr>
        <w:t>question</w:t>
      </w:r>
      <w:r>
        <w:rPr>
          <w:spacing w:val="-10"/>
        </w:rPr>
        <w:t> </w:t>
      </w:r>
      <w:r>
        <w:rPr>
          <w:spacing w:val="-2"/>
        </w:rPr>
        <w:t>gender</w:t>
      </w:r>
      <w:r>
        <w:rPr>
          <w:spacing w:val="-10"/>
        </w:rPr>
        <w:t> </w:t>
      </w:r>
      <w:r>
        <w:rPr>
          <w:spacing w:val="-2"/>
        </w:rPr>
        <w:t>norms. </w:t>
      </w:r>
      <w:r>
        <w:rPr/>
        <w:t>Shakespeare’s plays questioned patriarchal conventions, examined psychological dynamics, and produced enduring stories with strong female characters who were able to exhibit self-assurance, humor, and agency despite the fact that most women in society are confined to household and family duties. The female characters in his plays are vivid</w:t>
      </w:r>
      <w:r>
        <w:rPr>
          <w:spacing w:val="-13"/>
        </w:rPr>
        <w:t> </w:t>
      </w:r>
      <w:r>
        <w:rPr/>
        <w:t>and</w:t>
      </w:r>
      <w:r>
        <w:rPr>
          <w:spacing w:val="-12"/>
        </w:rPr>
        <w:t> </w:t>
      </w:r>
      <w:r>
        <w:rPr/>
        <w:t>energetic,</w:t>
      </w:r>
      <w:r>
        <w:rPr>
          <w:spacing w:val="-13"/>
        </w:rPr>
        <w:t> </w:t>
      </w:r>
      <w:r>
        <w:rPr/>
        <w:t>and</w:t>
      </w:r>
      <w:r>
        <w:rPr>
          <w:spacing w:val="-12"/>
        </w:rPr>
        <w:t> </w:t>
      </w:r>
      <w:r>
        <w:rPr/>
        <w:t>all</w:t>
      </w:r>
      <w:r>
        <w:rPr>
          <w:spacing w:val="-13"/>
        </w:rPr>
        <w:t> </w:t>
      </w:r>
      <w:r>
        <w:rPr/>
        <w:t>of</w:t>
      </w:r>
      <w:r>
        <w:rPr>
          <w:spacing w:val="-12"/>
        </w:rPr>
        <w:t> </w:t>
      </w:r>
      <w:r>
        <w:rPr/>
        <w:t>the</w:t>
      </w:r>
      <w:r>
        <w:rPr>
          <w:spacing w:val="-13"/>
        </w:rPr>
        <w:t> </w:t>
      </w:r>
      <w:r>
        <w:rPr/>
        <w:t>brilliant</w:t>
      </w:r>
      <w:r>
        <w:rPr>
          <w:spacing w:val="-12"/>
        </w:rPr>
        <w:t> </w:t>
      </w:r>
      <w:r>
        <w:rPr/>
        <w:t>ladies</w:t>
      </w:r>
      <w:r>
        <w:rPr>
          <w:spacing w:val="-13"/>
        </w:rPr>
        <w:t> </w:t>
      </w:r>
      <w:r>
        <w:rPr/>
        <w:t>exhibit</w:t>
      </w:r>
      <w:r>
        <w:rPr>
          <w:spacing w:val="-12"/>
        </w:rPr>
        <w:t> </w:t>
      </w:r>
      <w:r>
        <w:rPr/>
        <w:t>their</w:t>
      </w:r>
      <w:r>
        <w:rPr>
          <w:spacing w:val="-13"/>
        </w:rPr>
        <w:t> </w:t>
      </w:r>
      <w:r>
        <w:rPr/>
        <w:t>intelligence and skill wherever they</w:t>
      </w:r>
      <w:r>
        <w:rPr>
          <w:spacing w:val="-1"/>
        </w:rPr>
        <w:t> </w:t>
      </w:r>
      <w:r>
        <w:rPr/>
        <w:t>are shown in his several exceptional plays. The present paper is a small attempt to highlight the constructive and destructive characters and roles of strong women Portia and Lady Macbeth</w:t>
      </w:r>
      <w:r>
        <w:rPr>
          <w:spacing w:val="34"/>
        </w:rPr>
        <w:t> </w:t>
      </w:r>
      <w:r>
        <w:rPr/>
        <w:t>from</w:t>
      </w:r>
      <w:r>
        <w:rPr>
          <w:spacing w:val="28"/>
        </w:rPr>
        <w:t> </w:t>
      </w:r>
      <w:r>
        <w:rPr/>
        <w:t>Shakespeare’s</w:t>
      </w:r>
      <w:r>
        <w:rPr>
          <w:spacing w:val="36"/>
        </w:rPr>
        <w:t> </w:t>
      </w:r>
      <w:r>
        <w:rPr>
          <w:i/>
        </w:rPr>
        <w:t>Macbeth</w:t>
      </w:r>
      <w:r>
        <w:rPr>
          <w:i/>
          <w:spacing w:val="37"/>
        </w:rPr>
        <w:t> </w:t>
      </w:r>
      <w:r>
        <w:rPr/>
        <w:t>and</w:t>
      </w:r>
      <w:r>
        <w:rPr>
          <w:spacing w:val="34"/>
        </w:rPr>
        <w:t> </w:t>
      </w:r>
      <w:r>
        <w:rPr>
          <w:i/>
        </w:rPr>
        <w:t>The</w:t>
      </w:r>
      <w:r>
        <w:rPr>
          <w:i/>
          <w:spacing w:val="34"/>
        </w:rPr>
        <w:t> </w:t>
      </w:r>
      <w:r>
        <w:rPr>
          <w:i/>
        </w:rPr>
        <w:t>Merchant</w:t>
      </w:r>
      <w:r>
        <w:rPr>
          <w:i/>
          <w:spacing w:val="34"/>
        </w:rPr>
        <w:t> </w:t>
      </w:r>
      <w:r>
        <w:rPr>
          <w:i/>
        </w:rPr>
        <w:t>of</w:t>
      </w:r>
      <w:r>
        <w:rPr>
          <w:i/>
          <w:spacing w:val="34"/>
        </w:rPr>
        <w:t> </w:t>
      </w:r>
      <w:r>
        <w:rPr>
          <w:i/>
        </w:rPr>
        <w:t>Venice.</w:t>
      </w:r>
    </w:p>
    <w:p>
      <w:pPr>
        <w:pStyle w:val="BodyText"/>
        <w:spacing w:before="70"/>
        <w:ind w:left="1872"/>
        <w:jc w:val="both"/>
      </w:pPr>
      <w:r>
        <w:rPr>
          <w:b/>
        </w:rPr>
        <w:t>Keywords:</w:t>
      </w:r>
      <w:r>
        <w:rPr>
          <w:b/>
          <w:spacing w:val="-10"/>
        </w:rPr>
        <w:t> </w:t>
      </w:r>
      <w:r>
        <w:rPr/>
        <w:t>Gender,</w:t>
      </w:r>
      <w:r>
        <w:rPr>
          <w:spacing w:val="-11"/>
        </w:rPr>
        <w:t> </w:t>
      </w:r>
      <w:r>
        <w:rPr/>
        <w:t>Women,</w:t>
      </w:r>
      <w:r>
        <w:rPr>
          <w:spacing w:val="-11"/>
        </w:rPr>
        <w:t> </w:t>
      </w:r>
      <w:r>
        <w:rPr/>
        <w:t>Constructive,</w:t>
      </w:r>
      <w:r>
        <w:rPr>
          <w:spacing w:val="-9"/>
        </w:rPr>
        <w:t> </w:t>
      </w:r>
      <w:r>
        <w:rPr/>
        <w:t>Society,</w:t>
      </w:r>
      <w:r>
        <w:rPr>
          <w:spacing w:val="-9"/>
        </w:rPr>
        <w:t> </w:t>
      </w:r>
      <w:r>
        <w:rPr>
          <w:spacing w:val="-2"/>
        </w:rPr>
        <w:t>Psychological</w:t>
      </w:r>
    </w:p>
    <w:p>
      <w:pPr>
        <w:pStyle w:val="BodyText"/>
        <w:spacing w:after="0"/>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5875584">
                <wp:simplePos x="0" y="0"/>
                <wp:positionH relativeFrom="page">
                  <wp:posOffset>2057400</wp:posOffset>
                </wp:positionH>
                <wp:positionV relativeFrom="paragraph">
                  <wp:posOffset>226097</wp:posOffset>
                </wp:positionV>
                <wp:extent cx="3657600" cy="12700"/>
                <wp:effectExtent l="0" t="0" r="0" b="0"/>
                <wp:wrapNone/>
                <wp:docPr id="434" name="Graphic 434"/>
                <wp:cNvGraphicFramePr>
                  <a:graphicFrameLocks/>
                </wp:cNvGraphicFramePr>
                <a:graphic>
                  <a:graphicData uri="http://schemas.microsoft.com/office/word/2010/wordprocessingShape">
                    <wps:wsp>
                      <wps:cNvPr id="434" name="Graphic 43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5875584" id="docshape429" filled="true" fillcolor="#000000" stroked="false">
                <v:fill type="solid"/>
                <w10:wrap type="none"/>
              </v:rect>
            </w:pict>
          </mc:Fallback>
        </mc:AlternateContent>
      </w:r>
      <w:r>
        <w:rPr>
          <w:rFonts w:ascii="Verdana"/>
          <w:spacing w:val="-5"/>
          <w:w w:val="95"/>
          <w:sz w:val="18"/>
        </w:rPr>
        <w:t>184</w:t>
      </w:r>
    </w:p>
    <w:p>
      <w:pPr>
        <w:pStyle w:val="BodyText"/>
        <w:spacing w:before="10"/>
        <w:ind w:left="0"/>
        <w:rPr>
          <w:rFonts w:ascii="Verdana"/>
          <w:sz w:val="18"/>
        </w:rPr>
      </w:pPr>
    </w:p>
    <w:p>
      <w:pPr>
        <w:pStyle w:val="Heading3"/>
        <w:spacing w:before="1"/>
      </w:pPr>
      <w:r>
        <w:rPr>
          <w:spacing w:val="-2"/>
          <w:w w:val="85"/>
        </w:rPr>
        <w:t>INTRODUCTION</w:t>
      </w:r>
    </w:p>
    <w:p>
      <w:pPr>
        <w:spacing w:before="100"/>
        <w:ind w:left="1189"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3091" w:space="40"/>
            <w:col w:w="5509"/>
          </w:cols>
        </w:sectPr>
      </w:pPr>
    </w:p>
    <w:p>
      <w:pPr>
        <w:pStyle w:val="BodyText"/>
        <w:spacing w:line="249" w:lineRule="auto" w:before="75"/>
        <w:ind w:right="1437" w:firstLine="432"/>
        <w:jc w:val="both"/>
      </w:pPr>
      <w:r>
        <w:rPr>
          <w:spacing w:val="-6"/>
        </w:rPr>
        <w:t>The</w:t>
      </w:r>
      <w:r>
        <w:rPr/>
        <w:t> </w:t>
      </w:r>
      <w:r>
        <w:rPr>
          <w:spacing w:val="-6"/>
        </w:rPr>
        <w:t>world’s</w:t>
      </w:r>
      <w:r>
        <w:rPr/>
        <w:t> </w:t>
      </w:r>
      <w:r>
        <w:rPr>
          <w:spacing w:val="-6"/>
        </w:rPr>
        <w:t>pre-eminent dramatist, William Shakespeare</w:t>
      </w:r>
      <w:r>
        <w:rPr/>
        <w:t> </w:t>
      </w:r>
      <w:r>
        <w:rPr>
          <w:spacing w:val="-6"/>
        </w:rPr>
        <w:t>(1564-1616) </w:t>
      </w:r>
      <w:r>
        <w:rPr/>
        <w:t>is regarded as the greatest writer in the English language. He is often called as “Bard of Avon”. He has contributed 39 plays for English Literature including collaborations. His contributions extended of 154 sonnets, three narrative poems. Major parts of his plays have been translated in almost all major languages in the world. Shakespeare remains as the most influential writer in English language.</w:t>
      </w:r>
      <w:r>
        <w:rPr>
          <w:spacing w:val="-4"/>
        </w:rPr>
        <w:t> </w:t>
      </w:r>
      <w:r>
        <w:rPr/>
        <w:t>And still, in this contemporary era, his works have been prescribed in syllabus of various state and central universities. Even more, it has been taken by many research scholars and academicians for reinterpretations. In the same track, this</w:t>
      </w:r>
      <w:r>
        <w:rPr>
          <w:spacing w:val="-2"/>
        </w:rPr>
        <w:t> </w:t>
      </w:r>
      <w:r>
        <w:rPr/>
        <w:t>research paper has also chosen</w:t>
      </w:r>
      <w:r>
        <w:rPr>
          <w:spacing w:val="-2"/>
        </w:rPr>
        <w:t> </w:t>
      </w:r>
      <w:r>
        <w:rPr/>
        <w:t>Shakespeare’s plays for the</w:t>
      </w:r>
      <w:r>
        <w:rPr>
          <w:spacing w:val="-1"/>
        </w:rPr>
        <w:t> </w:t>
      </w:r>
      <w:r>
        <w:rPr/>
        <w:t>study.</w:t>
      </w:r>
      <w:r>
        <w:rPr>
          <w:spacing w:val="-2"/>
        </w:rPr>
        <w:t> </w:t>
      </w:r>
      <w:r>
        <w:rPr/>
        <w:t>This</w:t>
      </w:r>
      <w:r>
        <w:rPr>
          <w:spacing w:val="-3"/>
        </w:rPr>
        <w:t> </w:t>
      </w:r>
      <w:r>
        <w:rPr/>
        <w:t>paper</w:t>
      </w:r>
      <w:r>
        <w:rPr>
          <w:spacing w:val="-2"/>
        </w:rPr>
        <w:t> </w:t>
      </w:r>
      <w:r>
        <w:rPr/>
        <w:t>aims to compare</w:t>
      </w:r>
      <w:r>
        <w:rPr>
          <w:spacing w:val="-3"/>
        </w:rPr>
        <w:t> </w:t>
      </w:r>
      <w:r>
        <w:rPr/>
        <w:t>the women</w:t>
      </w:r>
      <w:r>
        <w:rPr>
          <w:spacing w:val="-3"/>
        </w:rPr>
        <w:t> </w:t>
      </w:r>
      <w:r>
        <w:rPr/>
        <w:t>characters</w:t>
      </w:r>
      <w:r>
        <w:rPr>
          <w:spacing w:val="-3"/>
        </w:rPr>
        <w:t> </w:t>
      </w:r>
      <w:r>
        <w:rPr/>
        <w:t>in</w:t>
      </w:r>
      <w:r>
        <w:rPr>
          <w:spacing w:val="-2"/>
        </w:rPr>
        <w:t> </w:t>
      </w:r>
      <w:r>
        <w:rPr/>
        <w:t>the</w:t>
      </w:r>
      <w:r>
        <w:rPr>
          <w:spacing w:val="-2"/>
        </w:rPr>
        <w:t> </w:t>
      </w:r>
      <w:r>
        <w:rPr/>
        <w:t>play </w:t>
      </w:r>
      <w:r>
        <w:rPr>
          <w:i/>
        </w:rPr>
        <w:t>Macbeth </w:t>
      </w:r>
      <w:r>
        <w:rPr/>
        <w:t>and </w:t>
      </w:r>
      <w:r>
        <w:rPr>
          <w:i/>
        </w:rPr>
        <w:t>The Merchant of Venice</w:t>
      </w:r>
      <w:r>
        <w:rPr/>
        <w:t>. It also aims to analyse how the women characters are constructive and destructive in their nature. The female characters nature of thought and behaviour plays a significant mark</w:t>
      </w:r>
      <w:r>
        <w:rPr>
          <w:spacing w:val="40"/>
        </w:rPr>
        <w:t> </w:t>
      </w:r>
      <w:r>
        <w:rPr/>
        <w:t>in the</w:t>
      </w:r>
      <w:r>
        <w:rPr>
          <w:spacing w:val="40"/>
        </w:rPr>
        <w:t> </w:t>
      </w:r>
      <w:r>
        <w:rPr/>
        <w:t>plot</w:t>
      </w:r>
      <w:r>
        <w:rPr>
          <w:spacing w:val="40"/>
        </w:rPr>
        <w:t> </w:t>
      </w:r>
      <w:r>
        <w:rPr/>
        <w:t>of the</w:t>
      </w:r>
      <w:r>
        <w:rPr>
          <w:spacing w:val="40"/>
        </w:rPr>
        <w:t> </w:t>
      </w:r>
      <w:r>
        <w:rPr/>
        <w:t>above</w:t>
      </w:r>
      <w:r>
        <w:rPr>
          <w:spacing w:val="40"/>
        </w:rPr>
        <w:t> </w:t>
      </w:r>
      <w:r>
        <w:rPr/>
        <w:t>mentioned</w:t>
      </w:r>
      <w:r>
        <w:rPr>
          <w:spacing w:val="40"/>
        </w:rPr>
        <w:t> </w:t>
      </w:r>
      <w:r>
        <w:rPr/>
        <w:t>two</w:t>
      </w:r>
      <w:r>
        <w:rPr>
          <w:spacing w:val="40"/>
        </w:rPr>
        <w:t> </w:t>
      </w:r>
      <w:r>
        <w:rPr/>
        <w:t>plays.</w:t>
      </w:r>
    </w:p>
    <w:p>
      <w:pPr>
        <w:pStyle w:val="BodyText"/>
        <w:spacing w:line="249" w:lineRule="auto" w:before="71"/>
        <w:ind w:right="1440" w:firstLine="432"/>
        <w:jc w:val="both"/>
      </w:pPr>
      <w:r>
        <w:rPr/>
        <w:t>Shakespeare</w:t>
      </w:r>
      <w:r>
        <w:rPr>
          <w:spacing w:val="26"/>
        </w:rPr>
        <w:t> </w:t>
      </w:r>
      <w:r>
        <w:rPr/>
        <w:t>does</w:t>
      </w:r>
      <w:r>
        <w:rPr>
          <w:spacing w:val="21"/>
        </w:rPr>
        <w:t> </w:t>
      </w:r>
      <w:r>
        <w:rPr/>
        <w:t>not</w:t>
      </w:r>
      <w:r>
        <w:rPr>
          <w:spacing w:val="25"/>
        </w:rPr>
        <w:t> </w:t>
      </w:r>
      <w:r>
        <w:rPr/>
        <w:t>create</w:t>
      </w:r>
      <w:r>
        <w:rPr>
          <w:spacing w:val="26"/>
        </w:rPr>
        <w:t> </w:t>
      </w:r>
      <w:r>
        <w:rPr/>
        <w:t>the</w:t>
      </w:r>
      <w:r>
        <w:rPr>
          <w:spacing w:val="26"/>
        </w:rPr>
        <w:t> </w:t>
      </w:r>
      <w:r>
        <w:rPr/>
        <w:t>gap</w:t>
      </w:r>
      <w:r>
        <w:rPr>
          <w:spacing w:val="23"/>
        </w:rPr>
        <w:t> </w:t>
      </w:r>
      <w:r>
        <w:rPr/>
        <w:t>in</w:t>
      </w:r>
      <w:r>
        <w:rPr>
          <w:spacing w:val="25"/>
        </w:rPr>
        <w:t> </w:t>
      </w:r>
      <w:r>
        <w:rPr/>
        <w:t>human</w:t>
      </w:r>
      <w:r>
        <w:rPr>
          <w:spacing w:val="25"/>
        </w:rPr>
        <w:t> </w:t>
      </w:r>
      <w:r>
        <w:rPr/>
        <w:t>life,</w:t>
      </w:r>
      <w:r>
        <w:rPr>
          <w:spacing w:val="25"/>
        </w:rPr>
        <w:t> </w:t>
      </w:r>
      <w:r>
        <w:rPr/>
        <w:t>but</w:t>
      </w:r>
      <w:r>
        <w:rPr>
          <w:spacing w:val="23"/>
        </w:rPr>
        <w:t> </w:t>
      </w:r>
      <w:r>
        <w:rPr/>
        <w:t>he</w:t>
      </w:r>
      <w:r>
        <w:rPr>
          <w:spacing w:val="26"/>
        </w:rPr>
        <w:t> </w:t>
      </w:r>
      <w:r>
        <w:rPr/>
        <w:t>does so in a more beautiful and creative manner than anyone else has. Because</w:t>
      </w:r>
      <w:r>
        <w:rPr>
          <w:spacing w:val="-8"/>
        </w:rPr>
        <w:t> </w:t>
      </w:r>
      <w:r>
        <w:rPr/>
        <w:t>of</w:t>
      </w:r>
      <w:r>
        <w:rPr>
          <w:spacing w:val="-6"/>
        </w:rPr>
        <w:t> </w:t>
      </w:r>
      <w:r>
        <w:rPr/>
        <w:t>the</w:t>
      </w:r>
      <w:r>
        <w:rPr>
          <w:spacing w:val="-7"/>
        </w:rPr>
        <w:t> </w:t>
      </w:r>
      <w:r>
        <w:rPr/>
        <w:t>truth</w:t>
      </w:r>
      <w:r>
        <w:rPr>
          <w:spacing w:val="-6"/>
        </w:rPr>
        <w:t> </w:t>
      </w:r>
      <w:r>
        <w:rPr/>
        <w:t>of</w:t>
      </w:r>
      <w:r>
        <w:rPr>
          <w:spacing w:val="-10"/>
        </w:rPr>
        <w:t> </w:t>
      </w:r>
      <w:r>
        <w:rPr/>
        <w:t>the</w:t>
      </w:r>
      <w:r>
        <w:rPr>
          <w:spacing w:val="-6"/>
        </w:rPr>
        <w:t> </w:t>
      </w:r>
      <w:r>
        <w:rPr/>
        <w:t>feeling,</w:t>
      </w:r>
      <w:r>
        <w:rPr>
          <w:spacing w:val="-6"/>
        </w:rPr>
        <w:t> </w:t>
      </w:r>
      <w:r>
        <w:rPr/>
        <w:t>as</w:t>
      </w:r>
      <w:r>
        <w:rPr>
          <w:spacing w:val="-6"/>
        </w:rPr>
        <w:t> </w:t>
      </w:r>
      <w:r>
        <w:rPr/>
        <w:t>well</w:t>
      </w:r>
      <w:r>
        <w:rPr>
          <w:spacing w:val="-8"/>
        </w:rPr>
        <w:t> </w:t>
      </w:r>
      <w:r>
        <w:rPr/>
        <w:t>as</w:t>
      </w:r>
      <w:r>
        <w:rPr>
          <w:spacing w:val="-6"/>
        </w:rPr>
        <w:t> </w:t>
      </w:r>
      <w:r>
        <w:rPr/>
        <w:t>the</w:t>
      </w:r>
      <w:r>
        <w:rPr>
          <w:spacing w:val="-7"/>
        </w:rPr>
        <w:t> </w:t>
      </w:r>
      <w:r>
        <w:rPr/>
        <w:t>beauty</w:t>
      </w:r>
      <w:r>
        <w:rPr>
          <w:spacing w:val="-8"/>
        </w:rPr>
        <w:t> </w:t>
      </w:r>
      <w:r>
        <w:rPr/>
        <w:t>and</w:t>
      </w:r>
      <w:r>
        <w:rPr>
          <w:spacing w:val="-8"/>
        </w:rPr>
        <w:t> </w:t>
      </w:r>
      <w:r>
        <w:rPr/>
        <w:t>compassion of</w:t>
      </w:r>
      <w:r>
        <w:rPr>
          <w:spacing w:val="-4"/>
        </w:rPr>
        <w:t> </w:t>
      </w:r>
      <w:r>
        <w:rPr/>
        <w:t>the idea</w:t>
      </w:r>
      <w:r>
        <w:rPr>
          <w:spacing w:val="-2"/>
        </w:rPr>
        <w:t> </w:t>
      </w:r>
      <w:r>
        <w:rPr/>
        <w:t>that life</w:t>
      </w:r>
      <w:r>
        <w:rPr>
          <w:spacing w:val="-4"/>
        </w:rPr>
        <w:t> </w:t>
      </w:r>
      <w:r>
        <w:rPr/>
        <w:t>is a</w:t>
      </w:r>
      <w:r>
        <w:rPr>
          <w:spacing w:val="-4"/>
        </w:rPr>
        <w:t> </w:t>
      </w:r>
      <w:r>
        <w:rPr/>
        <w:t>stage</w:t>
      </w:r>
      <w:r>
        <w:rPr>
          <w:spacing w:val="-3"/>
        </w:rPr>
        <w:t> </w:t>
      </w:r>
      <w:r>
        <w:rPr/>
        <w:t>with</w:t>
      </w:r>
      <w:r>
        <w:rPr>
          <w:spacing w:val="-2"/>
        </w:rPr>
        <w:t> </w:t>
      </w:r>
      <w:r>
        <w:rPr/>
        <w:t>moments</w:t>
      </w:r>
      <w:r>
        <w:rPr>
          <w:spacing w:val="-4"/>
        </w:rPr>
        <w:t> </w:t>
      </w:r>
      <w:r>
        <w:rPr/>
        <w:t>of</w:t>
      </w:r>
      <w:r>
        <w:rPr>
          <w:spacing w:val="-2"/>
        </w:rPr>
        <w:t> </w:t>
      </w:r>
      <w:r>
        <w:rPr/>
        <w:t>joy</w:t>
      </w:r>
      <w:r>
        <w:rPr>
          <w:spacing w:val="-6"/>
        </w:rPr>
        <w:t> </w:t>
      </w:r>
      <w:r>
        <w:rPr/>
        <w:t>and pain</w:t>
      </w:r>
      <w:r>
        <w:rPr>
          <w:spacing w:val="-4"/>
        </w:rPr>
        <w:t> </w:t>
      </w:r>
      <w:r>
        <w:rPr/>
        <w:t>intertwined, it</w:t>
      </w:r>
      <w:r>
        <w:rPr>
          <w:spacing w:val="-13"/>
        </w:rPr>
        <w:t> </w:t>
      </w:r>
      <w:r>
        <w:rPr/>
        <w:t>would</w:t>
      </w:r>
      <w:r>
        <w:rPr>
          <w:spacing w:val="-12"/>
        </w:rPr>
        <w:t> </w:t>
      </w:r>
      <w:r>
        <w:rPr/>
        <w:t>have</w:t>
      </w:r>
      <w:r>
        <w:rPr>
          <w:spacing w:val="-13"/>
        </w:rPr>
        <w:t> </w:t>
      </w:r>
      <w:r>
        <w:rPr/>
        <w:t>remained</w:t>
      </w:r>
      <w:r>
        <w:rPr>
          <w:spacing w:val="-12"/>
        </w:rPr>
        <w:t> </w:t>
      </w:r>
      <w:r>
        <w:rPr/>
        <w:t>in</w:t>
      </w:r>
      <w:r>
        <w:rPr>
          <w:spacing w:val="-13"/>
        </w:rPr>
        <w:t> </w:t>
      </w:r>
      <w:r>
        <w:rPr/>
        <w:t>public</w:t>
      </w:r>
      <w:r>
        <w:rPr>
          <w:spacing w:val="-12"/>
        </w:rPr>
        <w:t> </w:t>
      </w:r>
      <w:r>
        <w:rPr/>
        <w:t>view</w:t>
      </w:r>
      <w:r>
        <w:rPr>
          <w:spacing w:val="-13"/>
        </w:rPr>
        <w:t> </w:t>
      </w:r>
      <w:r>
        <w:rPr/>
        <w:t>indefinitely.</w:t>
      </w:r>
      <w:r>
        <w:rPr>
          <w:spacing w:val="-12"/>
        </w:rPr>
        <w:t> </w:t>
      </w:r>
      <w:r>
        <w:rPr/>
        <w:t>The</w:t>
      </w:r>
      <w:r>
        <w:rPr>
          <w:spacing w:val="-13"/>
        </w:rPr>
        <w:t> </w:t>
      </w:r>
      <w:r>
        <w:rPr/>
        <w:t>premise</w:t>
      </w:r>
      <w:r>
        <w:rPr>
          <w:spacing w:val="-12"/>
        </w:rPr>
        <w:t> </w:t>
      </w:r>
      <w:r>
        <w:rPr/>
        <w:t>that</w:t>
      </w:r>
      <w:r>
        <w:rPr>
          <w:spacing w:val="-13"/>
        </w:rPr>
        <w:t> </w:t>
      </w:r>
      <w:r>
        <w:rPr/>
        <w:t>men are frequently created by the women in their lives implies that women have a strong influence on males in the plays. Shakespeare’s plays regularly</w:t>
      </w:r>
      <w:r>
        <w:rPr>
          <w:spacing w:val="-13"/>
        </w:rPr>
        <w:t> </w:t>
      </w:r>
      <w:r>
        <w:rPr/>
        <w:t>include</w:t>
      </w:r>
      <w:r>
        <w:rPr>
          <w:spacing w:val="-12"/>
        </w:rPr>
        <w:t> </w:t>
      </w:r>
      <w:r>
        <w:rPr/>
        <w:t>women</w:t>
      </w:r>
      <w:r>
        <w:rPr>
          <w:spacing w:val="-13"/>
        </w:rPr>
        <w:t> </w:t>
      </w:r>
      <w:r>
        <w:rPr/>
        <w:t>dressed</w:t>
      </w:r>
      <w:r>
        <w:rPr>
          <w:spacing w:val="-12"/>
        </w:rPr>
        <w:t> </w:t>
      </w:r>
      <w:r>
        <w:rPr/>
        <w:t>as</w:t>
      </w:r>
      <w:r>
        <w:rPr>
          <w:spacing w:val="-13"/>
        </w:rPr>
        <w:t> </w:t>
      </w:r>
      <w:r>
        <w:rPr/>
        <w:t>men</w:t>
      </w:r>
      <w:r>
        <w:rPr>
          <w:spacing w:val="-12"/>
        </w:rPr>
        <w:t> </w:t>
      </w:r>
      <w:r>
        <w:rPr/>
        <w:t>as</w:t>
      </w:r>
      <w:r>
        <w:rPr>
          <w:spacing w:val="-13"/>
        </w:rPr>
        <w:t> </w:t>
      </w:r>
      <w:r>
        <w:rPr/>
        <w:t>a</w:t>
      </w:r>
      <w:r>
        <w:rPr>
          <w:spacing w:val="-12"/>
        </w:rPr>
        <w:t> </w:t>
      </w:r>
      <w:r>
        <w:rPr/>
        <w:t>dramatic</w:t>
      </w:r>
      <w:r>
        <w:rPr>
          <w:spacing w:val="-13"/>
        </w:rPr>
        <w:t> </w:t>
      </w:r>
      <w:r>
        <w:rPr/>
        <w:t>device</w:t>
      </w:r>
      <w:r>
        <w:rPr>
          <w:spacing w:val="-12"/>
        </w:rPr>
        <w:t> </w:t>
      </w:r>
      <w:r>
        <w:rPr/>
        <w:t>to</w:t>
      </w:r>
      <w:r>
        <w:rPr>
          <w:spacing w:val="-13"/>
        </w:rPr>
        <w:t> </w:t>
      </w:r>
      <w:r>
        <w:rPr/>
        <w:t>progress the plot and place them in situations that would be impossible for women in real life.</w:t>
      </w:r>
    </w:p>
    <w:p>
      <w:pPr>
        <w:pStyle w:val="BodyText"/>
        <w:spacing w:line="249" w:lineRule="auto" w:before="68"/>
        <w:ind w:right="1438" w:firstLine="432"/>
        <w:jc w:val="both"/>
      </w:pPr>
      <w:r>
        <w:rPr/>
        <w:t>Portia from The Merchant of Venice and Lady Macbeth from Macbeth are two different, powerful, and clever female figures in Shakespeare’s</w:t>
      </w:r>
      <w:r>
        <w:rPr>
          <w:spacing w:val="-13"/>
        </w:rPr>
        <w:t> </w:t>
      </w:r>
      <w:r>
        <w:rPr/>
        <w:t>works.</w:t>
      </w:r>
      <w:r>
        <w:rPr>
          <w:spacing w:val="-12"/>
        </w:rPr>
        <w:t> </w:t>
      </w:r>
      <w:r>
        <w:rPr/>
        <w:t>While</w:t>
      </w:r>
      <w:r>
        <w:rPr>
          <w:spacing w:val="-11"/>
        </w:rPr>
        <w:t> </w:t>
      </w:r>
      <w:r>
        <w:rPr/>
        <w:t>both</w:t>
      </w:r>
      <w:r>
        <w:rPr>
          <w:spacing w:val="-12"/>
        </w:rPr>
        <w:t> </w:t>
      </w:r>
      <w:r>
        <w:rPr/>
        <w:t>characters</w:t>
      </w:r>
      <w:r>
        <w:rPr>
          <w:spacing w:val="-12"/>
        </w:rPr>
        <w:t> </w:t>
      </w:r>
      <w:r>
        <w:rPr/>
        <w:t>violate</w:t>
      </w:r>
      <w:r>
        <w:rPr>
          <w:spacing w:val="-11"/>
        </w:rPr>
        <w:t> </w:t>
      </w:r>
      <w:r>
        <w:rPr/>
        <w:t>the</w:t>
      </w:r>
      <w:r>
        <w:rPr>
          <w:spacing w:val="-11"/>
        </w:rPr>
        <w:t> </w:t>
      </w:r>
      <w:r>
        <w:rPr/>
        <w:t>harsh</w:t>
      </w:r>
      <w:r>
        <w:rPr>
          <w:spacing w:val="-13"/>
        </w:rPr>
        <w:t> </w:t>
      </w:r>
      <w:r>
        <w:rPr/>
        <w:t>patriarchal confines of</w:t>
      </w:r>
      <w:r>
        <w:rPr>
          <w:spacing w:val="-2"/>
        </w:rPr>
        <w:t> </w:t>
      </w:r>
      <w:r>
        <w:rPr/>
        <w:t>their respective eras, they</w:t>
      </w:r>
      <w:r>
        <w:rPr>
          <w:spacing w:val="-2"/>
        </w:rPr>
        <w:t> </w:t>
      </w:r>
      <w:r>
        <w:rPr/>
        <w:t>do so with opposing</w:t>
      </w:r>
      <w:r>
        <w:rPr>
          <w:spacing w:val="-2"/>
        </w:rPr>
        <w:t> </w:t>
      </w:r>
      <w:r>
        <w:rPr/>
        <w:t>goals: Portia seeks to restore order, justice, and kindness, whereas Lady Macbeth intentionally destroys</w:t>
      </w:r>
      <w:r>
        <w:rPr>
          <w:spacing w:val="40"/>
        </w:rPr>
        <w:t> </w:t>
      </w:r>
      <w:r>
        <w:rPr/>
        <w:t>order</w:t>
      </w:r>
      <w:r>
        <w:rPr>
          <w:spacing w:val="40"/>
        </w:rPr>
        <w:t> </w:t>
      </w:r>
      <w:r>
        <w:rPr/>
        <w:t>in</w:t>
      </w:r>
      <w:r>
        <w:rPr>
          <w:spacing w:val="40"/>
        </w:rPr>
        <w:t> </w:t>
      </w:r>
      <w:r>
        <w:rPr/>
        <w:t>pursuit</w:t>
      </w:r>
      <w:r>
        <w:rPr>
          <w:spacing w:val="40"/>
        </w:rPr>
        <w:t> </w:t>
      </w:r>
      <w:r>
        <w:rPr/>
        <w:t>of</w:t>
      </w:r>
      <w:r>
        <w:rPr>
          <w:spacing w:val="40"/>
        </w:rPr>
        <w:t> </w:t>
      </w:r>
      <w:r>
        <w:rPr/>
        <w:t>raw power.</w:t>
      </w:r>
    </w:p>
    <w:p>
      <w:pPr>
        <w:pStyle w:val="BodyText"/>
        <w:spacing w:line="249" w:lineRule="auto" w:before="62"/>
        <w:ind w:right="1439" w:firstLine="432"/>
        <w:jc w:val="both"/>
      </w:pPr>
      <w:r>
        <w:rPr/>
        <w:t>Shakespeare’s play The Merchant of Venice features a character named</w:t>
      </w:r>
      <w:r>
        <w:rPr>
          <w:spacing w:val="-3"/>
        </w:rPr>
        <w:t> </w:t>
      </w:r>
      <w:r>
        <w:rPr/>
        <w:t>Portia.</w:t>
      </w:r>
      <w:r>
        <w:rPr>
          <w:spacing w:val="-7"/>
        </w:rPr>
        <w:t> </w:t>
      </w:r>
      <w:r>
        <w:rPr/>
        <w:t>She</w:t>
      </w:r>
      <w:r>
        <w:rPr>
          <w:spacing w:val="-2"/>
        </w:rPr>
        <w:t> </w:t>
      </w:r>
      <w:r>
        <w:rPr/>
        <w:t>isn’t</w:t>
      </w:r>
      <w:r>
        <w:rPr>
          <w:spacing w:val="-5"/>
        </w:rPr>
        <w:t> </w:t>
      </w:r>
      <w:r>
        <w:rPr/>
        <w:t>quite</w:t>
      </w:r>
      <w:r>
        <w:rPr>
          <w:spacing w:val="-2"/>
        </w:rPr>
        <w:t> </w:t>
      </w:r>
      <w:r>
        <w:rPr/>
        <w:t>like</w:t>
      </w:r>
      <w:r>
        <w:rPr>
          <w:spacing w:val="-7"/>
        </w:rPr>
        <w:t> </w:t>
      </w:r>
      <w:r>
        <w:rPr/>
        <w:t>the</w:t>
      </w:r>
      <w:r>
        <w:rPr>
          <w:spacing w:val="-5"/>
        </w:rPr>
        <w:t> </w:t>
      </w:r>
      <w:r>
        <w:rPr/>
        <w:t>characters</w:t>
      </w:r>
      <w:r>
        <w:rPr>
          <w:spacing w:val="-5"/>
        </w:rPr>
        <w:t> </w:t>
      </w:r>
      <w:r>
        <w:rPr/>
        <w:t>in</w:t>
      </w:r>
      <w:r>
        <w:rPr>
          <w:spacing w:val="-5"/>
        </w:rPr>
        <w:t> </w:t>
      </w:r>
      <w:r>
        <w:rPr/>
        <w:t>Shakespeare</w:t>
      </w:r>
      <w:r>
        <w:rPr>
          <w:spacing w:val="-6"/>
        </w:rPr>
        <w:t> </w:t>
      </w:r>
      <w:r>
        <w:rPr/>
        <w:t>who</w:t>
      </w:r>
      <w:r>
        <w:rPr>
          <w:spacing w:val="-3"/>
        </w:rPr>
        <w:t> </w:t>
      </w:r>
      <w:r>
        <w:rPr/>
        <w:t>are typically categorized as strong women, such as Lady Macbeth or Rosalind,</w:t>
      </w:r>
      <w:r>
        <w:rPr>
          <w:spacing w:val="27"/>
        </w:rPr>
        <w:t> </w:t>
      </w:r>
      <w:r>
        <w:rPr/>
        <w:t>because</w:t>
      </w:r>
      <w:r>
        <w:rPr>
          <w:spacing w:val="25"/>
        </w:rPr>
        <w:t> </w:t>
      </w:r>
      <w:r>
        <w:rPr/>
        <w:t>she</w:t>
      </w:r>
      <w:r>
        <w:rPr>
          <w:spacing w:val="26"/>
        </w:rPr>
        <w:t> </w:t>
      </w:r>
      <w:r>
        <w:rPr/>
        <w:t>isn’t</w:t>
      </w:r>
      <w:r>
        <w:rPr>
          <w:spacing w:val="25"/>
        </w:rPr>
        <w:t> </w:t>
      </w:r>
      <w:r>
        <w:rPr/>
        <w:t>asked</w:t>
      </w:r>
      <w:r>
        <w:rPr>
          <w:spacing w:val="23"/>
        </w:rPr>
        <w:t> </w:t>
      </w:r>
      <w:r>
        <w:rPr/>
        <w:t>to</w:t>
      </w:r>
      <w:r>
        <w:rPr>
          <w:spacing w:val="27"/>
        </w:rPr>
        <w:t> </w:t>
      </w:r>
      <w:r>
        <w:rPr/>
        <w:t>take</w:t>
      </w:r>
      <w:r>
        <w:rPr>
          <w:spacing w:val="26"/>
        </w:rPr>
        <w:t> </w:t>
      </w:r>
      <w:r>
        <w:rPr/>
        <w:t>a</w:t>
      </w:r>
      <w:r>
        <w:rPr>
          <w:spacing w:val="26"/>
        </w:rPr>
        <w:t> </w:t>
      </w:r>
      <w:r>
        <w:rPr/>
        <w:t>position,</w:t>
      </w:r>
      <w:r>
        <w:rPr>
          <w:spacing w:val="27"/>
        </w:rPr>
        <w:t> </w:t>
      </w:r>
      <w:r>
        <w:rPr/>
        <w:t>behave</w:t>
      </w:r>
      <w:r>
        <w:rPr>
          <w:spacing w:val="25"/>
        </w:rPr>
        <w:t> </w:t>
      </w:r>
      <w:r>
        <w:rPr/>
        <w:t>bravely, or overcome some of the barriers that were in place for women in Elizabethan times. However, she is also not a victim of oppression.</w:t>
      </w:r>
    </w:p>
    <w:p>
      <w:pPr>
        <w:pStyle w:val="BodyText"/>
        <w:spacing w:after="0" w:line="249" w:lineRule="auto"/>
        <w:jc w:val="both"/>
        <w:sectPr>
          <w:type w:val="continuous"/>
          <w:pgSz w:w="12240" w:h="15840"/>
          <w:pgMar w:top="138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35296">
                <wp:simplePos x="0" y="0"/>
                <wp:positionH relativeFrom="page">
                  <wp:posOffset>2065020</wp:posOffset>
                </wp:positionH>
                <wp:positionV relativeFrom="paragraph">
                  <wp:posOffset>795020</wp:posOffset>
                </wp:positionV>
                <wp:extent cx="3657600" cy="12700"/>
                <wp:effectExtent l="0" t="0" r="0" b="0"/>
                <wp:wrapTopAndBottom/>
                <wp:docPr id="435" name="Graphic 435"/>
                <wp:cNvGraphicFramePr>
                  <a:graphicFrameLocks/>
                </wp:cNvGraphicFramePr>
                <a:graphic>
                  <a:graphicData uri="http://schemas.microsoft.com/office/word/2010/wordprocessingShape">
                    <wps:wsp>
                      <wps:cNvPr id="435" name="Graphic 43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81184;mso-wrap-distance-left:0;mso-wrap-distance-right:0" id="docshape430" filled="true" fillcolor="#000000" stroked="false">
                <v:fill type="solid"/>
                <w10:wrap type="topAndBottom"/>
              </v:rect>
            </w:pict>
          </mc:Fallback>
        </mc:AlternateContent>
      </w:r>
      <w:r>
        <w:rPr>
          <w:rFonts w:ascii="Verdana"/>
          <w:sz w:val="18"/>
        </w:rPr>
        <w:t>Juxtaposing</w:t>
      </w:r>
      <w:r>
        <w:rPr>
          <w:rFonts w:ascii="Verdana"/>
          <w:spacing w:val="16"/>
          <w:sz w:val="18"/>
        </w:rPr>
        <w:t> </w:t>
      </w:r>
      <w:r>
        <w:rPr>
          <w:rFonts w:ascii="Verdana"/>
          <w:sz w:val="18"/>
        </w:rPr>
        <w:t>Female</w:t>
      </w:r>
      <w:r>
        <w:rPr>
          <w:rFonts w:ascii="Verdana"/>
          <w:spacing w:val="19"/>
          <w:sz w:val="18"/>
        </w:rPr>
        <w:t> </w:t>
      </w:r>
      <w:r>
        <w:rPr>
          <w:rFonts w:ascii="Verdana"/>
          <w:sz w:val="18"/>
        </w:rPr>
        <w:t>Characters</w:t>
      </w:r>
      <w:r>
        <w:rPr>
          <w:rFonts w:ascii="Verdana"/>
          <w:spacing w:val="15"/>
          <w:sz w:val="18"/>
        </w:rPr>
        <w:t> </w:t>
      </w:r>
      <w:r>
        <w:rPr>
          <w:rFonts w:ascii="Verdana"/>
          <w:sz w:val="18"/>
        </w:rPr>
        <w:t>in</w:t>
      </w:r>
      <w:r>
        <w:rPr>
          <w:rFonts w:ascii="Verdana"/>
          <w:spacing w:val="17"/>
          <w:sz w:val="18"/>
        </w:rPr>
        <w:t> </w:t>
      </w:r>
      <w:r>
        <w:rPr>
          <w:rFonts w:ascii="Verdana"/>
          <w:sz w:val="18"/>
        </w:rPr>
        <w:t>Macbeth</w:t>
      </w:r>
      <w:r>
        <w:rPr>
          <w:rFonts w:ascii="Verdana"/>
          <w:spacing w:val="19"/>
          <w:sz w:val="18"/>
        </w:rPr>
        <w:t> </w:t>
      </w:r>
      <w:r>
        <w:rPr>
          <w:rFonts w:ascii="Verdana"/>
          <w:sz w:val="18"/>
        </w:rPr>
        <w:t>and</w:t>
      </w:r>
      <w:r>
        <w:rPr>
          <w:rFonts w:ascii="Verdana"/>
          <w:spacing w:val="18"/>
          <w:sz w:val="18"/>
        </w:rPr>
        <w:t> </w:t>
      </w:r>
      <w:r>
        <w:rPr>
          <w:rFonts w:ascii="Verdana"/>
          <w:spacing w:val="-2"/>
          <w:sz w:val="18"/>
        </w:rPr>
        <w:t>The...</w:t>
      </w:r>
      <w:r>
        <w:rPr>
          <w:sz w:val="18"/>
        </w:rPr>
        <w:tab/>
      </w:r>
      <w:r>
        <w:rPr>
          <w:rFonts w:ascii="Verdana"/>
          <w:spacing w:val="-5"/>
          <w:sz w:val="18"/>
        </w:rPr>
        <w:t>185</w:t>
      </w:r>
    </w:p>
    <w:p>
      <w:pPr>
        <w:pStyle w:val="BodyText"/>
        <w:spacing w:line="249" w:lineRule="auto" w:before="192"/>
        <w:ind w:right="1438" w:firstLine="432"/>
        <w:jc w:val="both"/>
      </w:pPr>
      <w:r>
        <w:rPr/>
        <w:t>One of Shakespeare’s female characters, Portia, spends the most of her time on stage masquerading as a man. Shakespeare employed a gender flip in addition to its dramatic purpose to ease the audience’s suspension</w:t>
      </w:r>
      <w:r>
        <w:rPr>
          <w:spacing w:val="-13"/>
        </w:rPr>
        <w:t> </w:t>
      </w:r>
      <w:r>
        <w:rPr/>
        <w:t>of</w:t>
      </w:r>
      <w:r>
        <w:rPr>
          <w:spacing w:val="-12"/>
        </w:rPr>
        <w:t> </w:t>
      </w:r>
      <w:r>
        <w:rPr/>
        <w:t>disbelief.</w:t>
      </w:r>
      <w:r>
        <w:rPr>
          <w:spacing w:val="-13"/>
        </w:rPr>
        <w:t> </w:t>
      </w:r>
      <w:r>
        <w:rPr/>
        <w:t>In</w:t>
      </w:r>
      <w:r>
        <w:rPr>
          <w:spacing w:val="-12"/>
        </w:rPr>
        <w:t> </w:t>
      </w:r>
      <w:r>
        <w:rPr/>
        <w:t>order</w:t>
      </w:r>
      <w:r>
        <w:rPr>
          <w:spacing w:val="-12"/>
        </w:rPr>
        <w:t> </w:t>
      </w:r>
      <w:r>
        <w:rPr/>
        <w:t>to</w:t>
      </w:r>
      <w:r>
        <w:rPr>
          <w:spacing w:val="-8"/>
        </w:rPr>
        <w:t> </w:t>
      </w:r>
      <w:r>
        <w:rPr/>
        <w:t>make</w:t>
      </w:r>
      <w:r>
        <w:rPr>
          <w:spacing w:val="-11"/>
        </w:rPr>
        <w:t> </w:t>
      </w:r>
      <w:r>
        <w:rPr/>
        <w:t>himself</w:t>
      </w:r>
      <w:r>
        <w:rPr>
          <w:spacing w:val="-12"/>
        </w:rPr>
        <w:t> </w:t>
      </w:r>
      <w:r>
        <w:rPr/>
        <w:t>feel</w:t>
      </w:r>
      <w:r>
        <w:rPr>
          <w:spacing w:val="-12"/>
        </w:rPr>
        <w:t> </w:t>
      </w:r>
      <w:r>
        <w:rPr/>
        <w:t>a</w:t>
      </w:r>
      <w:r>
        <w:rPr>
          <w:spacing w:val="-10"/>
        </w:rPr>
        <w:t> </w:t>
      </w:r>
      <w:r>
        <w:rPr/>
        <w:t>little</w:t>
      </w:r>
      <w:r>
        <w:rPr>
          <w:spacing w:val="-11"/>
        </w:rPr>
        <w:t> </w:t>
      </w:r>
      <w:r>
        <w:rPr/>
        <w:t>more</w:t>
      </w:r>
      <w:r>
        <w:rPr>
          <w:spacing w:val="-9"/>
        </w:rPr>
        <w:t> </w:t>
      </w:r>
      <w:r>
        <w:rPr/>
        <w:t>at</w:t>
      </w:r>
      <w:r>
        <w:rPr>
          <w:spacing w:val="-13"/>
        </w:rPr>
        <w:t> </w:t>
      </w:r>
      <w:r>
        <w:rPr/>
        <w:t>ease as a boy playing a boy, the boy actor would first appear as a woman before</w:t>
      </w:r>
      <w:r>
        <w:rPr>
          <w:spacing w:val="-13"/>
        </w:rPr>
        <w:t> </w:t>
      </w:r>
      <w:r>
        <w:rPr/>
        <w:t>quickly</w:t>
      </w:r>
      <w:r>
        <w:rPr>
          <w:spacing w:val="-12"/>
        </w:rPr>
        <w:t> </w:t>
      </w:r>
      <w:r>
        <w:rPr/>
        <w:t>disguising</w:t>
      </w:r>
      <w:r>
        <w:rPr>
          <w:spacing w:val="-13"/>
        </w:rPr>
        <w:t> </w:t>
      </w:r>
      <w:r>
        <w:rPr/>
        <w:t>herself</w:t>
      </w:r>
      <w:r>
        <w:rPr>
          <w:spacing w:val="-12"/>
        </w:rPr>
        <w:t> </w:t>
      </w:r>
      <w:r>
        <w:rPr/>
        <w:t>as</w:t>
      </w:r>
      <w:r>
        <w:rPr>
          <w:spacing w:val="-13"/>
        </w:rPr>
        <w:t> </w:t>
      </w:r>
      <w:r>
        <w:rPr/>
        <w:t>a</w:t>
      </w:r>
      <w:r>
        <w:rPr>
          <w:spacing w:val="-12"/>
        </w:rPr>
        <w:t> </w:t>
      </w:r>
      <w:r>
        <w:rPr/>
        <w:t>man</w:t>
      </w:r>
      <w:r>
        <w:rPr>
          <w:spacing w:val="-13"/>
        </w:rPr>
        <w:t> </w:t>
      </w:r>
      <w:r>
        <w:rPr/>
        <w:t>and</w:t>
      </w:r>
      <w:r>
        <w:rPr>
          <w:spacing w:val="-12"/>
        </w:rPr>
        <w:t> </w:t>
      </w:r>
      <w:r>
        <w:rPr/>
        <w:t>appearing</w:t>
      </w:r>
      <w:r>
        <w:rPr>
          <w:spacing w:val="-13"/>
        </w:rPr>
        <w:t> </w:t>
      </w:r>
      <w:r>
        <w:rPr/>
        <w:t>more</w:t>
      </w:r>
      <w:r>
        <w:rPr>
          <w:spacing w:val="-12"/>
        </w:rPr>
        <w:t> </w:t>
      </w:r>
      <w:r>
        <w:rPr/>
        <w:t>authentic. For</w:t>
      </w:r>
      <w:r>
        <w:rPr>
          <w:spacing w:val="17"/>
        </w:rPr>
        <w:t> </w:t>
      </w:r>
      <w:r>
        <w:rPr/>
        <w:t>the</w:t>
      </w:r>
      <w:r>
        <w:rPr>
          <w:spacing w:val="17"/>
        </w:rPr>
        <w:t> </w:t>
      </w:r>
      <w:r>
        <w:rPr/>
        <w:t>majority of</w:t>
      </w:r>
      <w:r>
        <w:rPr>
          <w:spacing w:val="17"/>
        </w:rPr>
        <w:t> </w:t>
      </w:r>
      <w:r>
        <w:rPr/>
        <w:t>the</w:t>
      </w:r>
      <w:r>
        <w:rPr>
          <w:spacing w:val="18"/>
        </w:rPr>
        <w:t> </w:t>
      </w:r>
      <w:r>
        <w:rPr/>
        <w:t>play,</w:t>
      </w:r>
      <w:r>
        <w:rPr>
          <w:spacing w:val="19"/>
        </w:rPr>
        <w:t> </w:t>
      </w:r>
      <w:r>
        <w:rPr/>
        <w:t>he</w:t>
      </w:r>
      <w:r>
        <w:rPr>
          <w:spacing w:val="18"/>
        </w:rPr>
        <w:t> </w:t>
      </w:r>
      <w:r>
        <w:rPr/>
        <w:t>would</w:t>
      </w:r>
      <w:r>
        <w:rPr>
          <w:spacing w:val="23"/>
        </w:rPr>
        <w:t> </w:t>
      </w:r>
      <w:r>
        <w:rPr/>
        <w:t>do</w:t>
      </w:r>
      <w:r>
        <w:rPr>
          <w:spacing w:val="19"/>
        </w:rPr>
        <w:t> </w:t>
      </w:r>
      <w:r>
        <w:rPr/>
        <w:t>that,</w:t>
      </w:r>
      <w:r>
        <w:rPr>
          <w:spacing w:val="19"/>
        </w:rPr>
        <w:t> </w:t>
      </w:r>
      <w:r>
        <w:rPr/>
        <w:t>but</w:t>
      </w:r>
      <w:r>
        <w:rPr>
          <w:spacing w:val="18"/>
        </w:rPr>
        <w:t> </w:t>
      </w:r>
      <w:r>
        <w:rPr/>
        <w:t>in</w:t>
      </w:r>
      <w:r>
        <w:rPr>
          <w:spacing w:val="17"/>
        </w:rPr>
        <w:t> </w:t>
      </w:r>
      <w:r>
        <w:rPr/>
        <w:t>the</w:t>
      </w:r>
      <w:r>
        <w:rPr>
          <w:spacing w:val="17"/>
        </w:rPr>
        <w:t> </w:t>
      </w:r>
      <w:r>
        <w:rPr/>
        <w:t>final</w:t>
      </w:r>
      <w:r>
        <w:rPr>
          <w:spacing w:val="17"/>
        </w:rPr>
        <w:t> </w:t>
      </w:r>
      <w:r>
        <w:rPr/>
        <w:t>scene, he would reveal himself to be a woman.</w:t>
      </w:r>
    </w:p>
    <w:p>
      <w:pPr>
        <w:pStyle w:val="BodyText"/>
        <w:spacing w:line="249" w:lineRule="auto" w:before="64"/>
        <w:ind w:right="1441" w:firstLine="432"/>
        <w:jc w:val="both"/>
      </w:pPr>
      <w:r>
        <w:rPr/>
        <w:t>Portia is Shakespeare’s portrayal of a female character in The Merchant</w:t>
      </w:r>
      <w:r>
        <w:rPr>
          <w:spacing w:val="-1"/>
        </w:rPr>
        <w:t> </w:t>
      </w:r>
      <w:r>
        <w:rPr/>
        <w:t>of</w:t>
      </w:r>
      <w:r>
        <w:rPr>
          <w:spacing w:val="-4"/>
        </w:rPr>
        <w:t> </w:t>
      </w:r>
      <w:r>
        <w:rPr/>
        <w:t>Venice. She must assume the</w:t>
      </w:r>
      <w:r>
        <w:rPr>
          <w:spacing w:val="-4"/>
        </w:rPr>
        <w:t> </w:t>
      </w:r>
      <w:r>
        <w:rPr/>
        <w:t>job of a man</w:t>
      </w:r>
      <w:r>
        <w:rPr>
          <w:spacing w:val="-2"/>
        </w:rPr>
        <w:t> </w:t>
      </w:r>
      <w:r>
        <w:rPr/>
        <w:t>and oversee the affluent estate following the death of her father and the absence of a sibling.</w:t>
      </w:r>
      <w:r>
        <w:rPr>
          <w:spacing w:val="-1"/>
        </w:rPr>
        <w:t> </w:t>
      </w:r>
      <w:r>
        <w:rPr/>
        <w:t>She is</w:t>
      </w:r>
      <w:r>
        <w:rPr>
          <w:spacing w:val="-1"/>
        </w:rPr>
        <w:t> </w:t>
      </w:r>
      <w:r>
        <w:rPr/>
        <w:t>a wealthy,</w:t>
      </w:r>
      <w:r>
        <w:rPr>
          <w:spacing w:val="-1"/>
        </w:rPr>
        <w:t> </w:t>
      </w:r>
      <w:r>
        <w:rPr/>
        <w:t>attractive, and</w:t>
      </w:r>
      <w:r>
        <w:rPr>
          <w:spacing w:val="-1"/>
        </w:rPr>
        <w:t> </w:t>
      </w:r>
      <w:r>
        <w:rPr/>
        <w:t>wise Belmont</w:t>
      </w:r>
      <w:r>
        <w:rPr>
          <w:spacing w:val="-1"/>
        </w:rPr>
        <w:t> </w:t>
      </w:r>
      <w:r>
        <w:rPr/>
        <w:t>heiress. Later on in the play, she poses</w:t>
      </w:r>
      <w:r>
        <w:rPr>
          <w:spacing w:val="-2"/>
        </w:rPr>
        <w:t> </w:t>
      </w:r>
      <w:r>
        <w:rPr/>
        <w:t>as a male and takes</w:t>
      </w:r>
      <w:r>
        <w:rPr>
          <w:spacing w:val="-2"/>
        </w:rPr>
        <w:t> </w:t>
      </w:r>
      <w:r>
        <w:rPr/>
        <w:t>on the character of Balthazar, a lawyer’s apprentice. Her wisdom is what gives her strength. In court, she protects</w:t>
      </w:r>
      <w:r>
        <w:rPr>
          <w:spacing w:val="-9"/>
        </w:rPr>
        <w:t> </w:t>
      </w:r>
      <w:r>
        <w:rPr/>
        <w:t>Antonio, Bassanio’s friend, from</w:t>
      </w:r>
      <w:r>
        <w:rPr>
          <w:spacing w:val="-2"/>
        </w:rPr>
        <w:t> </w:t>
      </w:r>
      <w:r>
        <w:rPr/>
        <w:t>both death and Shylock’s brutality. In addition to saving her husband’s buddy Antonio’s life, Portia</w:t>
      </w:r>
      <w:r>
        <w:rPr>
          <w:spacing w:val="40"/>
        </w:rPr>
        <w:t> </w:t>
      </w:r>
      <w:r>
        <w:rPr/>
        <w:t>is</w:t>
      </w:r>
      <w:r>
        <w:rPr>
          <w:spacing w:val="40"/>
        </w:rPr>
        <w:t> </w:t>
      </w:r>
      <w:r>
        <w:rPr/>
        <w:t>crucial</w:t>
      </w:r>
      <w:r>
        <w:rPr>
          <w:spacing w:val="40"/>
        </w:rPr>
        <w:t> </w:t>
      </w:r>
      <w:r>
        <w:rPr/>
        <w:t>to</w:t>
      </w:r>
      <w:r>
        <w:rPr>
          <w:spacing w:val="40"/>
        </w:rPr>
        <w:t> </w:t>
      </w:r>
      <w:r>
        <w:rPr/>
        <w:t>her</w:t>
      </w:r>
      <w:r>
        <w:rPr>
          <w:spacing w:val="40"/>
        </w:rPr>
        <w:t> </w:t>
      </w:r>
      <w:r>
        <w:rPr/>
        <w:t>husband</w:t>
      </w:r>
      <w:r>
        <w:rPr>
          <w:spacing w:val="40"/>
        </w:rPr>
        <w:t> </w:t>
      </w:r>
      <w:r>
        <w:rPr/>
        <w:t>Bassanio’s</w:t>
      </w:r>
      <w:r>
        <w:rPr>
          <w:spacing w:val="40"/>
        </w:rPr>
        <w:t> </w:t>
      </w:r>
      <w:r>
        <w:rPr/>
        <w:t>career.</w:t>
      </w:r>
    </w:p>
    <w:p>
      <w:pPr>
        <w:pStyle w:val="BodyText"/>
        <w:spacing w:line="249" w:lineRule="auto" w:before="65"/>
        <w:ind w:right="1440" w:firstLine="432"/>
        <w:jc w:val="both"/>
        <w:rPr>
          <w:i/>
        </w:rPr>
      </w:pPr>
      <w:r>
        <w:rPr/>
        <w:t>In</w:t>
      </w:r>
      <w:r>
        <w:rPr>
          <w:spacing w:val="-12"/>
        </w:rPr>
        <w:t> </w:t>
      </w:r>
      <w:r>
        <w:rPr/>
        <w:t>the</w:t>
      </w:r>
      <w:r>
        <w:rPr>
          <w:spacing w:val="-10"/>
        </w:rPr>
        <w:t> </w:t>
      </w:r>
      <w:r>
        <w:rPr/>
        <w:t>halls</w:t>
      </w:r>
      <w:r>
        <w:rPr>
          <w:spacing w:val="-10"/>
        </w:rPr>
        <w:t> </w:t>
      </w:r>
      <w:r>
        <w:rPr/>
        <w:t>of</w:t>
      </w:r>
      <w:r>
        <w:rPr>
          <w:spacing w:val="-10"/>
        </w:rPr>
        <w:t> </w:t>
      </w:r>
      <w:r>
        <w:rPr/>
        <w:t>English</w:t>
      </w:r>
      <w:r>
        <w:rPr>
          <w:spacing w:val="-13"/>
        </w:rPr>
        <w:t> </w:t>
      </w:r>
      <w:r>
        <w:rPr/>
        <w:t>dramatic</w:t>
      </w:r>
      <w:r>
        <w:rPr>
          <w:spacing w:val="-9"/>
        </w:rPr>
        <w:t> </w:t>
      </w:r>
      <w:r>
        <w:rPr/>
        <w:t>literature,</w:t>
      </w:r>
      <w:r>
        <w:rPr>
          <w:spacing w:val="-10"/>
        </w:rPr>
        <w:t> </w:t>
      </w:r>
      <w:r>
        <w:rPr/>
        <w:t>Portia’s</w:t>
      </w:r>
      <w:r>
        <w:rPr>
          <w:spacing w:val="-10"/>
        </w:rPr>
        <w:t> </w:t>
      </w:r>
      <w:r>
        <w:rPr/>
        <w:t>primary</w:t>
      </w:r>
      <w:r>
        <w:rPr>
          <w:spacing w:val="-13"/>
        </w:rPr>
        <w:t> </w:t>
      </w:r>
      <w:r>
        <w:rPr/>
        <w:t>claim</w:t>
      </w:r>
      <w:r>
        <w:rPr>
          <w:spacing w:val="-12"/>
        </w:rPr>
        <w:t> </w:t>
      </w:r>
      <w:r>
        <w:rPr/>
        <w:t>to fame is that she gives one of the most well-known monologues, which contains some of Shakespeare’s most exquisite poetry and conveys some of the most insightful ideas found in any play: The quality of mercy is</w:t>
      </w:r>
      <w:r>
        <w:rPr>
          <w:spacing w:val="40"/>
        </w:rPr>
        <w:t> </w:t>
      </w:r>
      <w:r>
        <w:rPr/>
        <w:t>not</w:t>
      </w:r>
      <w:r>
        <w:rPr>
          <w:spacing w:val="40"/>
        </w:rPr>
        <w:t> </w:t>
      </w:r>
      <w:r>
        <w:rPr/>
        <w:t>strained</w:t>
      </w:r>
      <w:r>
        <w:rPr>
          <w:i/>
        </w:rPr>
        <w:t>.</w:t>
      </w:r>
    </w:p>
    <w:p>
      <w:pPr>
        <w:pStyle w:val="BodyText"/>
        <w:spacing w:line="249" w:lineRule="auto" w:before="64"/>
        <w:ind w:right="1438" w:firstLine="432"/>
        <w:jc w:val="both"/>
      </w:pPr>
      <w:r>
        <w:rPr/>
        <w:t>Portia is an intriguingly unique character in a Shakespeare play. Although that sounds absurd, she doesn’t really play a significant role</w:t>
      </w:r>
      <w:r>
        <w:rPr>
          <w:spacing w:val="40"/>
        </w:rPr>
        <w:t> </w:t>
      </w:r>
      <w:r>
        <w:rPr/>
        <w:t>in the narrative because of how she handled the trial and her verdict. She does not, however, contribute much</w:t>
      </w:r>
      <w:r>
        <w:rPr>
          <w:spacing w:val="-1"/>
        </w:rPr>
        <w:t> </w:t>
      </w:r>
      <w:r>
        <w:rPr/>
        <w:t>to the main</w:t>
      </w:r>
      <w:r>
        <w:rPr>
          <w:spacing w:val="-1"/>
        </w:rPr>
        <w:t> </w:t>
      </w:r>
      <w:r>
        <w:rPr/>
        <w:t>plot’s progression. With</w:t>
      </w:r>
      <w:r>
        <w:rPr>
          <w:spacing w:val="-7"/>
        </w:rPr>
        <w:t> </w:t>
      </w:r>
      <w:r>
        <w:rPr/>
        <w:t>a</w:t>
      </w:r>
      <w:r>
        <w:rPr>
          <w:spacing w:val="-8"/>
        </w:rPr>
        <w:t> </w:t>
      </w:r>
      <w:r>
        <w:rPr/>
        <w:t>cast</w:t>
      </w:r>
      <w:r>
        <w:rPr>
          <w:spacing w:val="-6"/>
        </w:rPr>
        <w:t> </w:t>
      </w:r>
      <w:r>
        <w:rPr/>
        <w:t>of</w:t>
      </w:r>
      <w:r>
        <w:rPr>
          <w:spacing w:val="-9"/>
        </w:rPr>
        <w:t> </w:t>
      </w:r>
      <w:r>
        <w:rPr/>
        <w:t>individuals</w:t>
      </w:r>
      <w:r>
        <w:rPr>
          <w:spacing w:val="-7"/>
        </w:rPr>
        <w:t> </w:t>
      </w:r>
      <w:r>
        <w:rPr/>
        <w:t>that</w:t>
      </w:r>
      <w:r>
        <w:rPr>
          <w:spacing w:val="-9"/>
        </w:rPr>
        <w:t> </w:t>
      </w:r>
      <w:r>
        <w:rPr/>
        <w:t>shape</w:t>
      </w:r>
      <w:r>
        <w:rPr>
          <w:spacing w:val="-7"/>
        </w:rPr>
        <w:t> </w:t>
      </w:r>
      <w:r>
        <w:rPr/>
        <w:t>the</w:t>
      </w:r>
      <w:r>
        <w:rPr>
          <w:spacing w:val="-6"/>
        </w:rPr>
        <w:t> </w:t>
      </w:r>
      <w:r>
        <w:rPr/>
        <w:t>narrative,</w:t>
      </w:r>
      <w:r>
        <w:rPr>
          <w:spacing w:val="-9"/>
        </w:rPr>
        <w:t> </w:t>
      </w:r>
      <w:r>
        <w:rPr/>
        <w:t>it</w:t>
      </w:r>
      <w:r>
        <w:rPr>
          <w:spacing w:val="-7"/>
        </w:rPr>
        <w:t> </w:t>
      </w:r>
      <w:r>
        <w:rPr/>
        <w:t>is</w:t>
      </w:r>
      <w:r>
        <w:rPr>
          <w:spacing w:val="-9"/>
        </w:rPr>
        <w:t> </w:t>
      </w:r>
      <w:r>
        <w:rPr/>
        <w:t>a</w:t>
      </w:r>
      <w:r>
        <w:rPr>
          <w:spacing w:val="-6"/>
        </w:rPr>
        <w:t> </w:t>
      </w:r>
      <w:r>
        <w:rPr/>
        <w:t>tale</w:t>
      </w:r>
      <w:r>
        <w:rPr>
          <w:spacing w:val="-8"/>
        </w:rPr>
        <w:t> </w:t>
      </w:r>
      <w:r>
        <w:rPr/>
        <w:t>of</w:t>
      </w:r>
      <w:r>
        <w:rPr>
          <w:spacing w:val="-11"/>
        </w:rPr>
        <w:t> </w:t>
      </w:r>
      <w:r>
        <w:rPr/>
        <w:t>Venetian culture and the connection between Christians and Jews. The plot involves a trial, which is when Portia enters the picture. This lengthy scene is dominated by Shylock, a key character in the main narrative, and</w:t>
      </w:r>
      <w:r>
        <w:rPr>
          <w:spacing w:val="40"/>
        </w:rPr>
        <w:t> </w:t>
      </w:r>
      <w:r>
        <w:rPr/>
        <w:t>her,</w:t>
      </w:r>
      <w:r>
        <w:rPr>
          <w:spacing w:val="40"/>
        </w:rPr>
        <w:t> </w:t>
      </w:r>
      <w:r>
        <w:rPr/>
        <w:t>an</w:t>
      </w:r>
      <w:r>
        <w:rPr>
          <w:spacing w:val="40"/>
        </w:rPr>
        <w:t> </w:t>
      </w:r>
      <w:r>
        <w:rPr/>
        <w:t>outsider.</w:t>
      </w:r>
    </w:p>
    <w:p>
      <w:pPr>
        <w:pStyle w:val="BodyText"/>
        <w:spacing w:line="249" w:lineRule="auto" w:before="65"/>
        <w:ind w:right="1436" w:firstLine="432"/>
        <w:jc w:val="both"/>
      </w:pPr>
      <w:r>
        <w:rPr/>
        <w:t>It is possible to depict Portia as a young woman who is morally upright, honest, fun, and humorous. Her traits and dispositions fit the scenario naturally. She uses cunning, cleverness, and intellectual superiority to get what she wants. She dresses as a guy to get around</w:t>
      </w:r>
      <w:r>
        <w:rPr>
          <w:spacing w:val="40"/>
        </w:rPr>
        <w:t> </w:t>
      </w:r>
      <w:r>
        <w:rPr/>
        <w:t>the male-dominated legal field, but she utilizes her position to enforce mercy</w:t>
      </w:r>
      <w:r>
        <w:rPr>
          <w:spacing w:val="-6"/>
        </w:rPr>
        <w:t> </w:t>
      </w:r>
      <w:r>
        <w:rPr/>
        <w:t>rather</w:t>
      </w:r>
      <w:r>
        <w:rPr>
          <w:spacing w:val="-3"/>
        </w:rPr>
        <w:t> </w:t>
      </w:r>
      <w:r>
        <w:rPr/>
        <w:t>than</w:t>
      </w:r>
      <w:r>
        <w:rPr>
          <w:spacing w:val="-5"/>
        </w:rPr>
        <w:t> </w:t>
      </w:r>
      <w:r>
        <w:rPr/>
        <w:t>to</w:t>
      </w:r>
      <w:r>
        <w:rPr>
          <w:spacing w:val="-1"/>
        </w:rPr>
        <w:t> </w:t>
      </w:r>
      <w:r>
        <w:rPr/>
        <w:t>destroy.</w:t>
      </w:r>
      <w:r>
        <w:rPr>
          <w:spacing w:val="-3"/>
        </w:rPr>
        <w:t> </w:t>
      </w:r>
      <w:r>
        <w:rPr/>
        <w:t>She is</w:t>
      </w:r>
      <w:r>
        <w:rPr>
          <w:spacing w:val="-5"/>
        </w:rPr>
        <w:t> </w:t>
      </w:r>
      <w:r>
        <w:rPr/>
        <w:t>exercising</w:t>
      </w:r>
      <w:r>
        <w:rPr>
          <w:spacing w:val="-5"/>
        </w:rPr>
        <w:t> </w:t>
      </w:r>
      <w:r>
        <w:rPr/>
        <w:t>positive</w:t>
      </w:r>
      <w:r>
        <w:rPr>
          <w:spacing w:val="-4"/>
        </w:rPr>
        <w:t> </w:t>
      </w:r>
      <w:r>
        <w:rPr/>
        <w:t>moral</w:t>
      </w:r>
      <w:r>
        <w:rPr>
          <w:spacing w:val="-4"/>
        </w:rPr>
        <w:t> </w:t>
      </w:r>
      <w:r>
        <w:rPr/>
        <w:t>influence. She demonstrates a “quality of mercy” by using deceit (disguising herself)</w:t>
      </w:r>
      <w:r>
        <w:rPr>
          <w:spacing w:val="1"/>
        </w:rPr>
        <w:t> </w:t>
      </w:r>
      <w:r>
        <w:rPr/>
        <w:t>in</w:t>
      </w:r>
      <w:r>
        <w:rPr>
          <w:spacing w:val="-4"/>
        </w:rPr>
        <w:t> </w:t>
      </w:r>
      <w:r>
        <w:rPr/>
        <w:t>order</w:t>
      </w:r>
      <w:r>
        <w:rPr>
          <w:spacing w:val="-1"/>
        </w:rPr>
        <w:t> </w:t>
      </w:r>
      <w:r>
        <w:rPr/>
        <w:t>to save</w:t>
      </w:r>
      <w:r>
        <w:rPr>
          <w:spacing w:val="-11"/>
        </w:rPr>
        <w:t> </w:t>
      </w:r>
      <w:r>
        <w:rPr/>
        <w:t>Antonio and</w:t>
      </w:r>
      <w:r>
        <w:rPr>
          <w:spacing w:val="1"/>
        </w:rPr>
        <w:t> </w:t>
      </w:r>
      <w:r>
        <w:rPr/>
        <w:t>bring</w:t>
      </w:r>
      <w:r>
        <w:rPr>
          <w:spacing w:val="-2"/>
        </w:rPr>
        <w:t> </w:t>
      </w:r>
      <w:r>
        <w:rPr/>
        <w:t>peace</w:t>
      </w:r>
      <w:r>
        <w:rPr>
          <w:spacing w:val="-3"/>
        </w:rPr>
        <w:t> </w:t>
      </w:r>
      <w:r>
        <w:rPr/>
        <w:t>back.</w:t>
      </w:r>
      <w:r>
        <w:rPr>
          <w:spacing w:val="2"/>
        </w:rPr>
        <w:t> </w:t>
      </w:r>
      <w:r>
        <w:rPr/>
        <w:t>By</w:t>
      </w:r>
      <w:r>
        <w:rPr>
          <w:spacing w:val="-6"/>
        </w:rPr>
        <w:t> </w:t>
      </w:r>
      <w:r>
        <w:rPr/>
        <w:t>imitating</w:t>
      </w:r>
      <w:r>
        <w:rPr>
          <w:spacing w:val="-3"/>
        </w:rPr>
        <w:t> </w:t>
      </w:r>
      <w:r>
        <w:rPr>
          <w:spacing w:val="-5"/>
        </w:rPr>
        <w:t>the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35808">
                <wp:simplePos x="0" y="0"/>
                <wp:positionH relativeFrom="page">
                  <wp:posOffset>2057400</wp:posOffset>
                </wp:positionH>
                <wp:positionV relativeFrom="paragraph">
                  <wp:posOffset>162604</wp:posOffset>
                </wp:positionV>
                <wp:extent cx="3657600" cy="12700"/>
                <wp:effectExtent l="0" t="0" r="0" b="0"/>
                <wp:wrapTopAndBottom/>
                <wp:docPr id="436" name="Graphic 436"/>
                <wp:cNvGraphicFramePr>
                  <a:graphicFrameLocks/>
                </wp:cNvGraphicFramePr>
                <a:graphic>
                  <a:graphicData uri="http://schemas.microsoft.com/office/word/2010/wordprocessingShape">
                    <wps:wsp>
                      <wps:cNvPr id="436" name="Graphic 43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80672;mso-wrap-distance-left:0;mso-wrap-distance-right:0" id="docshape431" filled="true" fillcolor="#000000" stroked="false">
                <v:fill type="solid"/>
                <w10:wrap type="topAndBottom"/>
              </v:rect>
            </w:pict>
          </mc:Fallback>
        </mc:AlternateContent>
      </w:r>
      <w:r>
        <w:rPr>
          <w:rFonts w:ascii="Verdana"/>
          <w:spacing w:val="-5"/>
          <w:sz w:val="18"/>
        </w:rPr>
        <w:t>186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5"/>
        <w:jc w:val="both"/>
      </w:pPr>
      <w:r>
        <w:rPr/>
        <w:t>powerful men, she gains credibility while working inside the system to change it. She is prosperous, in charge, and contentedly married at the play’s conclusion. She maintains her wit and agency, successfully bridging the gap between her private life in Belmont and the public sphere of Venice.</w:t>
      </w:r>
    </w:p>
    <w:p>
      <w:pPr>
        <w:pStyle w:val="BodyText"/>
        <w:spacing w:line="249" w:lineRule="auto" w:before="62"/>
        <w:ind w:right="1436" w:firstLine="432"/>
        <w:jc w:val="both"/>
      </w:pPr>
      <w:r>
        <w:rPr/>
        <w:t>Another female character who is even more obsessed with power is Lady Macbeth. Ambition and wickedness gradually take control of her soul and behaviour. She compels her husband to fulfill the witches’ prophecies. Her ultimate goal is to become queen at all costs. She pushes her husband to kill King Duncan. The entire murder scene is under her control. She gives her husband the dagger, but on the inside, she is tortured. She loses control and becomes insane. Consequently, Lady Macbeth, who had before thought that consciousness was only</w:t>
      </w:r>
      <w:r>
        <w:rPr>
          <w:spacing w:val="80"/>
        </w:rPr>
        <w:t> </w:t>
      </w:r>
      <w:r>
        <w:rPr/>
        <w:t>for cowards, is devastated with regret and dies. She uses force, psychological</w:t>
      </w:r>
      <w:r>
        <w:rPr>
          <w:spacing w:val="-1"/>
        </w:rPr>
        <w:t> </w:t>
      </w:r>
      <w:r>
        <w:rPr/>
        <w:t>manipulation,</w:t>
      </w:r>
      <w:r>
        <w:rPr>
          <w:spacing w:val="-3"/>
        </w:rPr>
        <w:t> </w:t>
      </w:r>
      <w:r>
        <w:rPr/>
        <w:t>and disobedience</w:t>
      </w:r>
      <w:r>
        <w:rPr>
          <w:spacing w:val="-1"/>
        </w:rPr>
        <w:t> </w:t>
      </w:r>
      <w:r>
        <w:rPr/>
        <w:t>of</w:t>
      </w:r>
      <w:r>
        <w:rPr>
          <w:spacing w:val="-3"/>
        </w:rPr>
        <w:t> </w:t>
      </w:r>
      <w:r>
        <w:rPr/>
        <w:t>the</w:t>
      </w:r>
      <w:r>
        <w:rPr>
          <w:spacing w:val="-4"/>
        </w:rPr>
        <w:t> </w:t>
      </w:r>
      <w:r>
        <w:rPr/>
        <w:t>natural</w:t>
      </w:r>
      <w:r>
        <w:rPr>
          <w:spacing w:val="-1"/>
        </w:rPr>
        <w:t> </w:t>
      </w:r>
      <w:r>
        <w:rPr/>
        <w:t>world.</w:t>
      </w:r>
      <w:r>
        <w:rPr>
          <w:spacing w:val="-1"/>
        </w:rPr>
        <w:t> </w:t>
      </w:r>
      <w:r>
        <w:rPr/>
        <w:t>She makes an effort to “unsex” herself, rejecting feminine vulnerability in order to assert</w:t>
      </w:r>
      <w:r>
        <w:rPr>
          <w:spacing w:val="-4"/>
        </w:rPr>
        <w:t> </w:t>
      </w:r>
      <w:r>
        <w:rPr/>
        <w:t>authority</w:t>
      </w:r>
      <w:r>
        <w:rPr>
          <w:spacing w:val="-5"/>
        </w:rPr>
        <w:t> </w:t>
      </w:r>
      <w:r>
        <w:rPr/>
        <w:t>and</w:t>
      </w:r>
      <w:r>
        <w:rPr>
          <w:spacing w:val="-1"/>
        </w:rPr>
        <w:t> </w:t>
      </w:r>
      <w:r>
        <w:rPr/>
        <w:t>provoke murder.</w:t>
      </w:r>
      <w:r>
        <w:rPr>
          <w:spacing w:val="-1"/>
        </w:rPr>
        <w:t> </w:t>
      </w:r>
      <w:r>
        <w:rPr/>
        <w:t>She</w:t>
      </w:r>
      <w:r>
        <w:rPr>
          <w:spacing w:val="-1"/>
        </w:rPr>
        <w:t> </w:t>
      </w:r>
      <w:r>
        <w:rPr/>
        <w:t>is</w:t>
      </w:r>
      <w:r>
        <w:rPr>
          <w:spacing w:val="-3"/>
        </w:rPr>
        <w:t> </w:t>
      </w:r>
      <w:r>
        <w:rPr/>
        <w:t>a</w:t>
      </w:r>
      <w:r>
        <w:rPr>
          <w:spacing w:val="-1"/>
        </w:rPr>
        <w:t> </w:t>
      </w:r>
      <w:r>
        <w:rPr/>
        <w:t>destructive</w:t>
      </w:r>
      <w:r>
        <w:rPr>
          <w:spacing w:val="-1"/>
        </w:rPr>
        <w:t> </w:t>
      </w:r>
      <w:r>
        <w:rPr/>
        <w:t>force. In order to fulfil her goals, she invites evil and pushes her husband to commit regicide. She plots the King’s murder in her own home, using deceit</w:t>
      </w:r>
      <w:r>
        <w:rPr>
          <w:spacing w:val="-10"/>
        </w:rPr>
        <w:t> </w:t>
      </w:r>
      <w:r>
        <w:rPr/>
        <w:t>to</w:t>
      </w:r>
      <w:r>
        <w:rPr>
          <w:spacing w:val="-8"/>
        </w:rPr>
        <w:t> </w:t>
      </w:r>
      <w:r>
        <w:rPr/>
        <w:t>fight</w:t>
      </w:r>
      <w:r>
        <w:rPr>
          <w:spacing w:val="-10"/>
        </w:rPr>
        <w:t> </w:t>
      </w:r>
      <w:r>
        <w:rPr/>
        <w:t>against</w:t>
      </w:r>
      <w:r>
        <w:rPr>
          <w:spacing w:val="-10"/>
        </w:rPr>
        <w:t> </w:t>
      </w:r>
      <w:r>
        <w:rPr/>
        <w:t>the</w:t>
      </w:r>
      <w:r>
        <w:rPr>
          <w:spacing w:val="-9"/>
        </w:rPr>
        <w:t> </w:t>
      </w:r>
      <w:r>
        <w:rPr/>
        <w:t>system.</w:t>
      </w:r>
      <w:r>
        <w:rPr>
          <w:spacing w:val="-10"/>
        </w:rPr>
        <w:t> </w:t>
      </w:r>
      <w:r>
        <w:rPr/>
        <w:t>Strong</w:t>
      </w:r>
      <w:r>
        <w:rPr>
          <w:spacing w:val="-10"/>
        </w:rPr>
        <w:t> </w:t>
      </w:r>
      <w:r>
        <w:rPr/>
        <w:t>at</w:t>
      </w:r>
      <w:r>
        <w:rPr>
          <w:spacing w:val="-10"/>
        </w:rPr>
        <w:t> </w:t>
      </w:r>
      <w:r>
        <w:rPr/>
        <w:t>first,</w:t>
      </w:r>
      <w:r>
        <w:rPr>
          <w:spacing w:val="-8"/>
        </w:rPr>
        <w:t> </w:t>
      </w:r>
      <w:r>
        <w:rPr/>
        <w:t>she</w:t>
      </w:r>
      <w:r>
        <w:rPr>
          <w:spacing w:val="-10"/>
        </w:rPr>
        <w:t> </w:t>
      </w:r>
      <w:r>
        <w:rPr/>
        <w:t>eventually</w:t>
      </w:r>
      <w:r>
        <w:rPr>
          <w:spacing w:val="-13"/>
        </w:rPr>
        <w:t> </w:t>
      </w:r>
      <w:r>
        <w:rPr/>
        <w:t>becomes insane due to guilt (“Out, damned spot!”), emphasizing the deadly results of her deeds. Lady Macbeth pushes Macbeth to fulfill the witches’ prophecies because her main goal is to become queen at all costs. She makes her husband murder the king. Shakespeare’s plays frequently feature women who</w:t>
      </w:r>
      <w:r>
        <w:rPr>
          <w:spacing w:val="40"/>
        </w:rPr>
        <w:t> </w:t>
      </w:r>
      <w:r>
        <w:rPr/>
        <w:t>use</w:t>
      </w:r>
      <w:r>
        <w:rPr>
          <w:spacing w:val="40"/>
        </w:rPr>
        <w:t> </w:t>
      </w:r>
      <w:r>
        <w:rPr/>
        <w:t>logic</w:t>
      </w:r>
      <w:r>
        <w:rPr>
          <w:spacing w:val="40"/>
        </w:rPr>
        <w:t> </w:t>
      </w:r>
      <w:r>
        <w:rPr/>
        <w:t>to</w:t>
      </w:r>
      <w:r>
        <w:rPr>
          <w:spacing w:val="40"/>
        </w:rPr>
        <w:t> </w:t>
      </w:r>
      <w:r>
        <w:rPr/>
        <w:t>maintain control.</w:t>
      </w:r>
    </w:p>
    <w:p>
      <w:pPr>
        <w:pStyle w:val="BodyText"/>
        <w:spacing w:line="249" w:lineRule="auto" w:before="74"/>
        <w:ind w:right="1440" w:firstLine="432"/>
        <w:jc w:val="both"/>
      </w:pPr>
      <w:r>
        <w:rPr/>
        <w:t>Lady Macbeth symbolizes the darker, tragic result of opposing</w:t>
      </w:r>
      <w:r>
        <w:rPr>
          <w:spacing w:val="40"/>
        </w:rPr>
        <w:t> </w:t>
      </w:r>
      <w:r>
        <w:rPr/>
        <w:t>that same society through immoral methods, whereas Portia is a good, proactive</w:t>
      </w:r>
      <w:r>
        <w:rPr>
          <w:spacing w:val="-10"/>
        </w:rPr>
        <w:t> </w:t>
      </w:r>
      <w:r>
        <w:rPr/>
        <w:t>force</w:t>
      </w:r>
      <w:r>
        <w:rPr>
          <w:spacing w:val="-7"/>
        </w:rPr>
        <w:t> </w:t>
      </w:r>
      <w:r>
        <w:rPr/>
        <w:t>that</w:t>
      </w:r>
      <w:r>
        <w:rPr>
          <w:spacing w:val="-10"/>
        </w:rPr>
        <w:t> </w:t>
      </w:r>
      <w:r>
        <w:rPr/>
        <w:t>finds</w:t>
      </w:r>
      <w:r>
        <w:rPr>
          <w:spacing w:val="-10"/>
        </w:rPr>
        <w:t> </w:t>
      </w:r>
      <w:r>
        <w:rPr/>
        <w:t>room</w:t>
      </w:r>
      <w:r>
        <w:rPr>
          <w:spacing w:val="-12"/>
        </w:rPr>
        <w:t> </w:t>
      </w:r>
      <w:r>
        <w:rPr/>
        <w:t>for</w:t>
      </w:r>
      <w:r>
        <w:rPr>
          <w:spacing w:val="-6"/>
        </w:rPr>
        <w:t> </w:t>
      </w:r>
      <w:r>
        <w:rPr/>
        <w:t>female</w:t>
      </w:r>
      <w:r>
        <w:rPr>
          <w:spacing w:val="-9"/>
        </w:rPr>
        <w:t> </w:t>
      </w:r>
      <w:r>
        <w:rPr/>
        <w:t>autonomy</w:t>
      </w:r>
      <w:r>
        <w:rPr>
          <w:spacing w:val="-12"/>
        </w:rPr>
        <w:t> </w:t>
      </w:r>
      <w:r>
        <w:rPr/>
        <w:t>within</w:t>
      </w:r>
      <w:r>
        <w:rPr>
          <w:spacing w:val="-8"/>
        </w:rPr>
        <w:t> </w:t>
      </w:r>
      <w:r>
        <w:rPr/>
        <w:t>a</w:t>
      </w:r>
      <w:r>
        <w:rPr>
          <w:spacing w:val="-10"/>
        </w:rPr>
        <w:t> </w:t>
      </w:r>
      <w:r>
        <w:rPr/>
        <w:t>patriarchal </w:t>
      </w:r>
      <w:r>
        <w:rPr>
          <w:spacing w:val="-2"/>
        </w:rPr>
        <w:t>society.</w:t>
      </w:r>
    </w:p>
    <w:p>
      <w:pPr>
        <w:pStyle w:val="Heading3"/>
        <w:spacing w:before="157"/>
      </w:pPr>
      <w:r>
        <w:rPr>
          <w:spacing w:val="-2"/>
        </w:rPr>
        <w:t>CONCLUSION</w:t>
      </w:r>
    </w:p>
    <w:p>
      <w:pPr>
        <w:pStyle w:val="BodyText"/>
        <w:spacing w:line="249" w:lineRule="auto" w:before="77"/>
        <w:ind w:right="1435" w:firstLine="432"/>
        <w:jc w:val="both"/>
      </w:pPr>
      <w:r>
        <w:rPr/>
        <w:t>In</w:t>
      </w:r>
      <w:r>
        <w:rPr>
          <w:spacing w:val="-13"/>
        </w:rPr>
        <w:t> </w:t>
      </w:r>
      <w:r>
        <w:rPr/>
        <w:t>Shakespeare’s</w:t>
      </w:r>
      <w:r>
        <w:rPr>
          <w:spacing w:val="-12"/>
        </w:rPr>
        <w:t> </w:t>
      </w:r>
      <w:r>
        <w:rPr/>
        <w:t>plays,</w:t>
      </w:r>
      <w:r>
        <w:rPr>
          <w:spacing w:val="-13"/>
        </w:rPr>
        <w:t> </w:t>
      </w:r>
      <w:r>
        <w:rPr/>
        <w:t>several</w:t>
      </w:r>
      <w:r>
        <w:rPr>
          <w:spacing w:val="-12"/>
        </w:rPr>
        <w:t> </w:t>
      </w:r>
      <w:r>
        <w:rPr/>
        <w:t>female</w:t>
      </w:r>
      <w:r>
        <w:rPr>
          <w:spacing w:val="-13"/>
        </w:rPr>
        <w:t> </w:t>
      </w:r>
      <w:r>
        <w:rPr/>
        <w:t>characters</w:t>
      </w:r>
      <w:r>
        <w:rPr>
          <w:spacing w:val="-12"/>
        </w:rPr>
        <w:t> </w:t>
      </w:r>
      <w:r>
        <w:rPr/>
        <w:t>influence</w:t>
      </w:r>
      <w:r>
        <w:rPr>
          <w:spacing w:val="-13"/>
        </w:rPr>
        <w:t> </w:t>
      </w:r>
      <w:r>
        <w:rPr/>
        <w:t>or</w:t>
      </w:r>
      <w:r>
        <w:rPr>
          <w:spacing w:val="-11"/>
        </w:rPr>
        <w:t> </w:t>
      </w:r>
      <w:r>
        <w:rPr/>
        <w:t>have an</w:t>
      </w:r>
      <w:r>
        <w:rPr>
          <w:spacing w:val="-13"/>
        </w:rPr>
        <w:t> </w:t>
      </w:r>
      <w:r>
        <w:rPr/>
        <w:t>effect</w:t>
      </w:r>
      <w:r>
        <w:rPr>
          <w:spacing w:val="-12"/>
        </w:rPr>
        <w:t> </w:t>
      </w:r>
      <w:r>
        <w:rPr/>
        <w:t>on</w:t>
      </w:r>
      <w:r>
        <w:rPr>
          <w:spacing w:val="-13"/>
        </w:rPr>
        <w:t> </w:t>
      </w:r>
      <w:r>
        <w:rPr/>
        <w:t>other</w:t>
      </w:r>
      <w:r>
        <w:rPr>
          <w:spacing w:val="-11"/>
        </w:rPr>
        <w:t> </w:t>
      </w:r>
      <w:r>
        <w:rPr/>
        <w:t>characters.</w:t>
      </w:r>
      <w:r>
        <w:rPr>
          <w:spacing w:val="-12"/>
        </w:rPr>
        <w:t> </w:t>
      </w:r>
      <w:r>
        <w:rPr/>
        <w:t>Shakespeare’s</w:t>
      </w:r>
      <w:r>
        <w:rPr>
          <w:spacing w:val="-12"/>
        </w:rPr>
        <w:t> </w:t>
      </w:r>
      <w:r>
        <w:rPr/>
        <w:t>plays</w:t>
      </w:r>
      <w:r>
        <w:rPr>
          <w:spacing w:val="-13"/>
        </w:rPr>
        <w:t> </w:t>
      </w:r>
      <w:r>
        <w:rPr/>
        <w:t>have</w:t>
      </w:r>
      <w:r>
        <w:rPr>
          <w:spacing w:val="-10"/>
        </w:rPr>
        <w:t> </w:t>
      </w:r>
      <w:r>
        <w:rPr/>
        <w:t>important</w:t>
      </w:r>
      <w:r>
        <w:rPr>
          <w:spacing w:val="-12"/>
        </w:rPr>
        <w:t> </w:t>
      </w:r>
      <w:r>
        <w:rPr/>
        <w:t>female characters. Their motivations make them the primary characters. Shakespeare’s writings are more than just the canon of beauty enthusiasts; they are a storehouse and treasure trove of ideas about domestic, social, civil, and political perfection that cut across national boundaries. Shakespeare is the greatest representative of national life during one of its most glorious periods. Despite women’s apparent </w:t>
      </w:r>
      <w:r>
        <w:rPr>
          <w:spacing w:val="-2"/>
        </w:rPr>
        <w:t>insignificance</w:t>
      </w:r>
      <w:r>
        <w:rPr>
          <w:spacing w:val="-9"/>
        </w:rPr>
        <w:t> </w:t>
      </w:r>
      <w:r>
        <w:rPr>
          <w:spacing w:val="-2"/>
        </w:rPr>
        <w:t>in</w:t>
      </w:r>
      <w:r>
        <w:rPr>
          <w:spacing w:val="-14"/>
        </w:rPr>
        <w:t> </w:t>
      </w:r>
      <w:r>
        <w:rPr>
          <w:spacing w:val="-2"/>
        </w:rPr>
        <w:t>the</w:t>
      </w:r>
      <w:r>
        <w:rPr>
          <w:spacing w:val="-13"/>
        </w:rPr>
        <w:t> </w:t>
      </w:r>
      <w:r>
        <w:rPr>
          <w:spacing w:val="-2"/>
        </w:rPr>
        <w:t>patriarchal</w:t>
      </w:r>
      <w:r>
        <w:rPr>
          <w:spacing w:val="-12"/>
        </w:rPr>
        <w:t> </w:t>
      </w:r>
      <w:r>
        <w:rPr>
          <w:spacing w:val="-2"/>
        </w:rPr>
        <w:t>and</w:t>
      </w:r>
      <w:r>
        <w:rPr>
          <w:spacing w:val="-9"/>
        </w:rPr>
        <w:t> </w:t>
      </w:r>
      <w:r>
        <w:rPr>
          <w:spacing w:val="-2"/>
        </w:rPr>
        <w:t>Elizabethan</w:t>
      </w:r>
      <w:r>
        <w:rPr>
          <w:spacing w:val="-17"/>
        </w:rPr>
        <w:t> </w:t>
      </w:r>
      <w:r>
        <w:rPr>
          <w:spacing w:val="-2"/>
        </w:rPr>
        <w:t>social</w:t>
      </w:r>
      <w:r>
        <w:rPr>
          <w:spacing w:val="-12"/>
        </w:rPr>
        <w:t> </w:t>
      </w:r>
      <w:r>
        <w:rPr>
          <w:spacing w:val="-2"/>
        </w:rPr>
        <w:t>order,</w:t>
      </w:r>
      <w:r>
        <w:rPr>
          <w:spacing w:val="-11"/>
        </w:rPr>
        <w:t> </w:t>
      </w:r>
      <w:r>
        <w:rPr>
          <w:spacing w:val="-2"/>
        </w:rPr>
        <w:t>Shakespeare</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36320">
                <wp:simplePos x="0" y="0"/>
                <wp:positionH relativeFrom="page">
                  <wp:posOffset>2065020</wp:posOffset>
                </wp:positionH>
                <wp:positionV relativeFrom="paragraph">
                  <wp:posOffset>795020</wp:posOffset>
                </wp:positionV>
                <wp:extent cx="3657600" cy="12700"/>
                <wp:effectExtent l="0" t="0" r="0" b="0"/>
                <wp:wrapTopAndBottom/>
                <wp:docPr id="437" name="Graphic 437"/>
                <wp:cNvGraphicFramePr>
                  <a:graphicFrameLocks/>
                </wp:cNvGraphicFramePr>
                <a:graphic>
                  <a:graphicData uri="http://schemas.microsoft.com/office/word/2010/wordprocessingShape">
                    <wps:wsp>
                      <wps:cNvPr id="437" name="Graphic 43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80160;mso-wrap-distance-left:0;mso-wrap-distance-right:0" id="docshape432" filled="true" fillcolor="#000000" stroked="false">
                <v:fill type="solid"/>
                <w10:wrap type="topAndBottom"/>
              </v:rect>
            </w:pict>
          </mc:Fallback>
        </mc:AlternateContent>
      </w:r>
      <w:r>
        <w:rPr>
          <w:rFonts w:ascii="Verdana"/>
          <w:sz w:val="18"/>
        </w:rPr>
        <w:t>Juxtaposing</w:t>
      </w:r>
      <w:r>
        <w:rPr>
          <w:rFonts w:ascii="Verdana"/>
          <w:spacing w:val="16"/>
          <w:sz w:val="18"/>
        </w:rPr>
        <w:t> </w:t>
      </w:r>
      <w:r>
        <w:rPr>
          <w:rFonts w:ascii="Verdana"/>
          <w:sz w:val="18"/>
        </w:rPr>
        <w:t>Female</w:t>
      </w:r>
      <w:r>
        <w:rPr>
          <w:rFonts w:ascii="Verdana"/>
          <w:spacing w:val="19"/>
          <w:sz w:val="18"/>
        </w:rPr>
        <w:t> </w:t>
      </w:r>
      <w:r>
        <w:rPr>
          <w:rFonts w:ascii="Verdana"/>
          <w:sz w:val="18"/>
        </w:rPr>
        <w:t>Characters</w:t>
      </w:r>
      <w:r>
        <w:rPr>
          <w:rFonts w:ascii="Verdana"/>
          <w:spacing w:val="15"/>
          <w:sz w:val="18"/>
        </w:rPr>
        <w:t> </w:t>
      </w:r>
      <w:r>
        <w:rPr>
          <w:rFonts w:ascii="Verdana"/>
          <w:sz w:val="18"/>
        </w:rPr>
        <w:t>in</w:t>
      </w:r>
      <w:r>
        <w:rPr>
          <w:rFonts w:ascii="Verdana"/>
          <w:spacing w:val="17"/>
          <w:sz w:val="18"/>
        </w:rPr>
        <w:t> </w:t>
      </w:r>
      <w:r>
        <w:rPr>
          <w:rFonts w:ascii="Verdana"/>
          <w:sz w:val="18"/>
        </w:rPr>
        <w:t>Macbeth</w:t>
      </w:r>
      <w:r>
        <w:rPr>
          <w:rFonts w:ascii="Verdana"/>
          <w:spacing w:val="19"/>
          <w:sz w:val="18"/>
        </w:rPr>
        <w:t> </w:t>
      </w:r>
      <w:r>
        <w:rPr>
          <w:rFonts w:ascii="Verdana"/>
          <w:sz w:val="18"/>
        </w:rPr>
        <w:t>and</w:t>
      </w:r>
      <w:r>
        <w:rPr>
          <w:rFonts w:ascii="Verdana"/>
          <w:spacing w:val="18"/>
          <w:sz w:val="18"/>
        </w:rPr>
        <w:t> </w:t>
      </w:r>
      <w:r>
        <w:rPr>
          <w:rFonts w:ascii="Verdana"/>
          <w:spacing w:val="-2"/>
          <w:sz w:val="18"/>
        </w:rPr>
        <w:t>The...</w:t>
      </w:r>
      <w:r>
        <w:rPr>
          <w:sz w:val="18"/>
        </w:rPr>
        <w:tab/>
      </w:r>
      <w:r>
        <w:rPr>
          <w:rFonts w:ascii="Verdana"/>
          <w:spacing w:val="-5"/>
          <w:sz w:val="18"/>
        </w:rPr>
        <w:t>187</w:t>
      </w:r>
    </w:p>
    <w:p>
      <w:pPr>
        <w:pStyle w:val="BodyText"/>
        <w:spacing w:line="249" w:lineRule="auto" w:before="192"/>
        <w:ind w:right="1439"/>
        <w:jc w:val="both"/>
      </w:pPr>
      <w:r>
        <w:rPr/>
        <w:t>respects them and makes significant use of them. Shakespeare is well aware of the significant contributions women make to society, the country, and the broader creation, even if they are often ignored. Shakespeare’s plays feature knowledgeable, dignified, and beautiful portrayals of women. He was not for a particular epoch but rather for</w:t>
      </w:r>
      <w:r>
        <w:rPr>
          <w:spacing w:val="40"/>
        </w:rPr>
        <w:t> </w:t>
      </w:r>
      <w:r>
        <w:rPr/>
        <w:t>all time since his characters are true to the everlasting qualities of human life and are not limited to any current culture. Shakespeare’s writings</w:t>
      </w:r>
      <w:r>
        <w:rPr>
          <w:spacing w:val="26"/>
        </w:rPr>
        <w:t> </w:t>
      </w:r>
      <w:r>
        <w:rPr/>
        <w:t>are</w:t>
      </w:r>
      <w:r>
        <w:rPr>
          <w:spacing w:val="24"/>
        </w:rPr>
        <w:t> </w:t>
      </w:r>
      <w:r>
        <w:rPr/>
        <w:t>more</w:t>
      </w:r>
      <w:r>
        <w:rPr>
          <w:spacing w:val="27"/>
        </w:rPr>
        <w:t> </w:t>
      </w:r>
      <w:r>
        <w:rPr/>
        <w:t>than</w:t>
      </w:r>
      <w:r>
        <w:rPr>
          <w:spacing w:val="26"/>
        </w:rPr>
        <w:t> </w:t>
      </w:r>
      <w:r>
        <w:rPr/>
        <w:t>just</w:t>
      </w:r>
      <w:r>
        <w:rPr>
          <w:spacing w:val="24"/>
        </w:rPr>
        <w:t> </w:t>
      </w:r>
      <w:r>
        <w:rPr/>
        <w:t>the</w:t>
      </w:r>
      <w:r>
        <w:rPr>
          <w:spacing w:val="27"/>
        </w:rPr>
        <w:t> </w:t>
      </w:r>
      <w:r>
        <w:rPr/>
        <w:t>canon</w:t>
      </w:r>
      <w:r>
        <w:rPr>
          <w:spacing w:val="24"/>
        </w:rPr>
        <w:t> </w:t>
      </w:r>
      <w:r>
        <w:rPr/>
        <w:t>of</w:t>
      </w:r>
      <w:r>
        <w:rPr>
          <w:spacing w:val="26"/>
        </w:rPr>
        <w:t> </w:t>
      </w:r>
      <w:r>
        <w:rPr/>
        <w:t>beauty</w:t>
      </w:r>
      <w:r>
        <w:rPr>
          <w:spacing w:val="24"/>
        </w:rPr>
        <w:t> </w:t>
      </w:r>
      <w:r>
        <w:rPr/>
        <w:t>enthusiasts;</w:t>
      </w:r>
      <w:r>
        <w:rPr>
          <w:spacing w:val="24"/>
        </w:rPr>
        <w:t> </w:t>
      </w:r>
      <w:r>
        <w:rPr/>
        <w:t>they</w:t>
      </w:r>
      <w:r>
        <w:rPr>
          <w:spacing w:val="23"/>
        </w:rPr>
        <w:t> </w:t>
      </w:r>
      <w:r>
        <w:rPr/>
        <w:t>are a storehouse and treasure trove of ideas about domestic, social, civil, and</w:t>
      </w:r>
      <w:r>
        <w:rPr>
          <w:spacing w:val="-6"/>
        </w:rPr>
        <w:t> </w:t>
      </w:r>
      <w:r>
        <w:rPr/>
        <w:t>political</w:t>
      </w:r>
      <w:r>
        <w:rPr>
          <w:spacing w:val="-7"/>
        </w:rPr>
        <w:t> </w:t>
      </w:r>
      <w:r>
        <w:rPr/>
        <w:t>perfection</w:t>
      </w:r>
      <w:r>
        <w:rPr>
          <w:spacing w:val="-7"/>
        </w:rPr>
        <w:t> </w:t>
      </w:r>
      <w:r>
        <w:rPr/>
        <w:t>that</w:t>
      </w:r>
      <w:r>
        <w:rPr>
          <w:spacing w:val="-7"/>
        </w:rPr>
        <w:t> </w:t>
      </w:r>
      <w:r>
        <w:rPr/>
        <w:t>cut</w:t>
      </w:r>
      <w:r>
        <w:rPr>
          <w:spacing w:val="-4"/>
        </w:rPr>
        <w:t> </w:t>
      </w:r>
      <w:r>
        <w:rPr/>
        <w:t>across</w:t>
      </w:r>
      <w:r>
        <w:rPr>
          <w:spacing w:val="-7"/>
        </w:rPr>
        <w:t> </w:t>
      </w:r>
      <w:r>
        <w:rPr/>
        <w:t>national</w:t>
      </w:r>
      <w:r>
        <w:rPr>
          <w:spacing w:val="-7"/>
        </w:rPr>
        <w:t> </w:t>
      </w:r>
      <w:r>
        <w:rPr/>
        <w:t>boundaries.</w:t>
      </w:r>
      <w:r>
        <w:rPr>
          <w:spacing w:val="-7"/>
        </w:rPr>
        <w:t> </w:t>
      </w:r>
      <w:r>
        <w:rPr/>
        <w:t>Shakespeare is the greatest representative of national life during one of its most glorious</w:t>
      </w:r>
      <w:r>
        <w:rPr>
          <w:spacing w:val="40"/>
        </w:rPr>
        <w:t> </w:t>
      </w:r>
      <w:r>
        <w:rPr/>
        <w:t>periods.</w:t>
      </w:r>
    </w:p>
    <w:p>
      <w:pPr>
        <w:pStyle w:val="Heading3"/>
        <w:spacing w:before="163"/>
        <w:jc w:val="both"/>
      </w:pPr>
      <w:r>
        <w:rPr>
          <w:w w:val="90"/>
        </w:rPr>
        <w:t>WORKS</w:t>
      </w:r>
      <w:r>
        <w:rPr>
          <w:spacing w:val="6"/>
        </w:rPr>
        <w:t> </w:t>
      </w:r>
      <w:r>
        <w:rPr>
          <w:spacing w:val="-2"/>
          <w:w w:val="95"/>
        </w:rPr>
        <w:t>CITED</w:t>
      </w:r>
    </w:p>
    <w:p>
      <w:pPr>
        <w:pStyle w:val="ListParagraph"/>
        <w:numPr>
          <w:ilvl w:val="0"/>
          <w:numId w:val="36"/>
        </w:numPr>
        <w:tabs>
          <w:tab w:pos="2157" w:val="left" w:leader="none"/>
          <w:tab w:pos="2160" w:val="left" w:leader="none"/>
        </w:tabs>
        <w:spacing w:line="261" w:lineRule="auto" w:before="83" w:after="0"/>
        <w:ind w:left="2160" w:right="1439" w:hanging="315"/>
        <w:jc w:val="both"/>
        <w:rPr>
          <w:sz w:val="19"/>
        </w:rPr>
      </w:pPr>
      <w:r>
        <w:rPr>
          <w:sz w:val="19"/>
        </w:rPr>
        <w:t>Tiltyard, E.M.W. </w:t>
      </w:r>
      <w:r>
        <w:rPr>
          <w:i/>
          <w:sz w:val="19"/>
        </w:rPr>
        <w:t>Shakespeare’s Last Plays</w:t>
      </w:r>
      <w:r>
        <w:rPr>
          <w:sz w:val="19"/>
        </w:rPr>
        <w:t>. London: Humanities Press:</w:t>
      </w:r>
      <w:r>
        <w:rPr>
          <w:spacing w:val="40"/>
          <w:sz w:val="19"/>
        </w:rPr>
        <w:t> </w:t>
      </w:r>
      <w:r>
        <w:rPr>
          <w:sz w:val="19"/>
        </w:rPr>
        <w:t>1983.</w:t>
      </w:r>
    </w:p>
    <w:p>
      <w:pPr>
        <w:pStyle w:val="ListParagraph"/>
        <w:numPr>
          <w:ilvl w:val="0"/>
          <w:numId w:val="36"/>
        </w:numPr>
        <w:tabs>
          <w:tab w:pos="2157" w:val="left" w:leader="none"/>
          <w:tab w:pos="2160" w:val="left" w:leader="none"/>
          <w:tab w:pos="4535" w:val="left" w:leader="none"/>
        </w:tabs>
        <w:spacing w:line="261" w:lineRule="auto" w:before="59" w:after="0"/>
        <w:ind w:left="2160" w:right="1439" w:hanging="315"/>
        <w:jc w:val="both"/>
        <w:rPr>
          <w:sz w:val="19"/>
        </w:rPr>
      </w:pPr>
      <w:r>
        <w:rPr>
          <w:sz w:val="19"/>
        </w:rPr>
        <w:t>Andretti, Richard</w:t>
      </w:r>
      <w:r>
        <w:rPr>
          <w:spacing w:val="-6"/>
          <w:sz w:val="19"/>
        </w:rPr>
        <w:t> </w:t>
      </w:r>
      <w:r>
        <w:rPr>
          <w:sz w:val="19"/>
        </w:rPr>
        <w:t>A. </w:t>
      </w:r>
      <w:r>
        <w:rPr>
          <w:i/>
          <w:sz w:val="19"/>
        </w:rPr>
        <w:t>Shakespeare’s Romances</w:t>
      </w:r>
      <w:r>
        <w:rPr>
          <w:sz w:val="19"/>
        </w:rPr>
        <w:t>. Ghaziabad: Vikas Publishing</w:t>
      </w:r>
      <w:r>
        <w:rPr>
          <w:spacing w:val="40"/>
          <w:sz w:val="19"/>
        </w:rPr>
        <w:t> </w:t>
      </w:r>
      <w:r>
        <w:rPr>
          <w:sz w:val="19"/>
        </w:rPr>
        <w:t>House</w:t>
      </w:r>
      <w:r>
        <w:rPr>
          <w:spacing w:val="40"/>
          <w:sz w:val="19"/>
        </w:rPr>
        <w:t> </w:t>
      </w:r>
      <w:r>
        <w:rPr>
          <w:sz w:val="19"/>
        </w:rPr>
        <w:t>PVT</w:t>
        <w:tab/>
      </w:r>
      <w:r>
        <w:rPr>
          <w:spacing w:val="-2"/>
          <w:sz w:val="19"/>
        </w:rPr>
        <w:t>Ltd.,1981.</w:t>
      </w:r>
    </w:p>
    <w:p>
      <w:pPr>
        <w:pStyle w:val="ListParagraph"/>
        <w:numPr>
          <w:ilvl w:val="0"/>
          <w:numId w:val="36"/>
        </w:numPr>
        <w:tabs>
          <w:tab w:pos="2157" w:val="left" w:leader="none"/>
          <w:tab w:pos="2160" w:val="left" w:leader="none"/>
        </w:tabs>
        <w:spacing w:line="261" w:lineRule="auto" w:before="56" w:after="0"/>
        <w:ind w:left="2160" w:right="1439" w:hanging="315"/>
        <w:jc w:val="both"/>
        <w:rPr>
          <w:sz w:val="19"/>
        </w:rPr>
      </w:pPr>
      <w:r>
        <w:rPr>
          <w:sz w:val="19"/>
        </w:rPr>
        <w:t>Barker, Harley Granville. </w:t>
      </w:r>
      <w:r>
        <w:rPr>
          <w:i/>
          <w:sz w:val="19"/>
        </w:rPr>
        <w:t>Preface to Shakespeare </w:t>
      </w:r>
      <w:r>
        <w:rPr>
          <w:sz w:val="19"/>
        </w:rPr>
        <w:t>(Volume-1), Hamlet. Delhi: Atlantic</w:t>
      </w:r>
      <w:r>
        <w:rPr>
          <w:spacing w:val="80"/>
          <w:sz w:val="19"/>
        </w:rPr>
        <w:t> </w:t>
      </w:r>
      <w:r>
        <w:rPr>
          <w:sz w:val="19"/>
        </w:rPr>
        <w:t>Publishers &amp; Distributers (P) LTD.</w:t>
      </w:r>
      <w:r>
        <w:rPr>
          <w:spacing w:val="40"/>
          <w:sz w:val="19"/>
        </w:rPr>
        <w:t> </w:t>
      </w:r>
      <w:r>
        <w:rPr>
          <w:spacing w:val="-2"/>
          <w:sz w:val="19"/>
        </w:rPr>
        <w:t>2007.</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01504">
                <wp:simplePos x="0" y="0"/>
                <wp:positionH relativeFrom="page">
                  <wp:posOffset>2057400</wp:posOffset>
                </wp:positionH>
                <wp:positionV relativeFrom="page">
                  <wp:posOffset>1788723</wp:posOffset>
                </wp:positionV>
                <wp:extent cx="3656965" cy="140335"/>
                <wp:effectExtent l="0" t="0" r="0" b="0"/>
                <wp:wrapNone/>
                <wp:docPr id="438" name="Textbox 438"/>
                <wp:cNvGraphicFramePr>
                  <a:graphicFrameLocks/>
                </wp:cNvGraphicFramePr>
                <a:graphic>
                  <a:graphicData uri="http://schemas.microsoft.com/office/word/2010/wordprocessingShape">
                    <wps:wsp>
                      <wps:cNvPr id="438" name="Textbox 438"/>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188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414976" type="#_x0000_t202" id="docshape433"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188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spacing w:before="199"/>
        <w:ind w:left="0"/>
      </w:pPr>
    </w:p>
    <w:p>
      <w:pPr>
        <w:spacing w:line="240" w:lineRule="auto"/>
        <w:ind w:left="1080" w:right="0" w:firstLine="0"/>
        <w:rPr>
          <w:sz w:val="20"/>
        </w:rPr>
      </w:pPr>
      <w:r>
        <w:rPr>
          <w:sz w:val="20"/>
        </w:rPr>
        <mc:AlternateContent>
          <mc:Choice Requires="wps">
            <w:drawing>
              <wp:inline distT="0" distB="0" distL="0" distR="0">
                <wp:extent cx="4043679" cy="699770"/>
                <wp:effectExtent l="0" t="0" r="0" b="0"/>
                <wp:docPr id="439" name="Group 439"/>
                <wp:cNvGraphicFramePr>
                  <a:graphicFrameLocks/>
                </wp:cNvGraphicFramePr>
                <a:graphic>
                  <a:graphicData uri="http://schemas.microsoft.com/office/word/2010/wordprocessingGroup">
                    <wpg:wgp>
                      <wpg:cNvPr id="439" name="Group 439"/>
                      <wpg:cNvGrpSpPr/>
                      <wpg:grpSpPr>
                        <a:xfrm>
                          <a:off x="0" y="0"/>
                          <a:ext cx="4043679" cy="699770"/>
                          <a:chExt cx="4043679" cy="699770"/>
                        </a:xfrm>
                      </wpg:grpSpPr>
                      <wps:wsp>
                        <wps:cNvPr id="440" name="Graphic 440"/>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434" coordorigin="0,0" coordsize="6368,1102">
                <v:rect style="position:absolute;left:0;top:0;width:6368;height:1102" id="docshape435"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37344">
                <wp:simplePos x="0" y="0"/>
                <wp:positionH relativeFrom="page">
                  <wp:posOffset>3497579</wp:posOffset>
                </wp:positionH>
                <wp:positionV relativeFrom="paragraph">
                  <wp:posOffset>272922</wp:posOffset>
                </wp:positionV>
                <wp:extent cx="728980" cy="655320"/>
                <wp:effectExtent l="0" t="0" r="0" b="0"/>
                <wp:wrapTopAndBottom/>
                <wp:docPr id="441" name="Group 441"/>
                <wp:cNvGraphicFramePr>
                  <a:graphicFrameLocks/>
                </wp:cNvGraphicFramePr>
                <a:graphic>
                  <a:graphicData uri="http://schemas.microsoft.com/office/word/2010/wordprocessingGroup">
                    <wpg:wgp>
                      <wpg:cNvPr id="441" name="Group 441"/>
                      <wpg:cNvGrpSpPr/>
                      <wpg:grpSpPr>
                        <a:xfrm>
                          <a:off x="0" y="0"/>
                          <a:ext cx="728980" cy="655320"/>
                          <a:chExt cx="728980" cy="655320"/>
                        </a:xfrm>
                      </wpg:grpSpPr>
                      <pic:pic>
                        <pic:nvPicPr>
                          <pic:cNvPr id="442" name="Image 442"/>
                          <pic:cNvPicPr/>
                        </pic:nvPicPr>
                        <pic:blipFill>
                          <a:blip r:embed="rId97" cstate="print"/>
                          <a:stretch>
                            <a:fillRect/>
                          </a:stretch>
                        </pic:blipFill>
                        <pic:spPr>
                          <a:xfrm>
                            <a:off x="0" y="0"/>
                            <a:ext cx="728472" cy="655320"/>
                          </a:xfrm>
                          <a:prstGeom prst="rect">
                            <a:avLst/>
                          </a:prstGeom>
                        </pic:spPr>
                      </pic:pic>
                      <wps:wsp>
                        <wps:cNvPr id="443" name="Textbox 443"/>
                        <wps:cNvSpPr txBox="1"/>
                        <wps:spPr>
                          <a:xfrm>
                            <a:off x="0" y="0"/>
                            <a:ext cx="728980" cy="655320"/>
                          </a:xfrm>
                          <a:prstGeom prst="rect">
                            <a:avLst/>
                          </a:prstGeom>
                        </wps:spPr>
                        <wps:txbx>
                          <w:txbxContent>
                            <w:p>
                              <w:pPr>
                                <w:spacing w:before="372"/>
                                <w:ind w:left="417" w:right="0" w:firstLine="0"/>
                                <w:jc w:val="left"/>
                                <w:rPr>
                                  <w:rFonts w:ascii="Tahoma"/>
                                  <w:b/>
                                  <w:sz w:val="36"/>
                                </w:rPr>
                              </w:pPr>
                              <w:r>
                                <w:rPr>
                                  <w:rFonts w:ascii="Tahoma"/>
                                  <w:b/>
                                  <w:spacing w:val="-5"/>
                                  <w:w w:val="95"/>
                                  <w:sz w:val="36"/>
                                </w:rPr>
                                <w:t>19</w:t>
                              </w:r>
                            </w:p>
                          </w:txbxContent>
                        </wps:txbx>
                        <wps:bodyPr wrap="square" lIns="0" tIns="0" rIns="0" bIns="0" rtlCol="0">
                          <a:noAutofit/>
                        </wps:bodyPr>
                      </wps:wsp>
                    </wpg:wgp>
                  </a:graphicData>
                </a:graphic>
              </wp:anchor>
            </w:drawing>
          </mc:Choice>
          <mc:Fallback>
            <w:pict>
              <v:group style="position:absolute;margin-left:275.399994pt;margin-top:21.489992pt;width:57.4pt;height:51.6pt;mso-position-horizontal-relative:page;mso-position-vertical-relative:paragraph;z-index:-15579136;mso-wrap-distance-left:0;mso-wrap-distance-right:0" id="docshapegroup436" coordorigin="5508,430" coordsize="1148,1032">
                <v:shape style="position:absolute;left:5508;top:429;width:1148;height:1032" type="#_x0000_t75" id="docshape437" stroked="false">
                  <v:imagedata r:id="rId97" o:title=""/>
                </v:shape>
                <v:shape style="position:absolute;left:5508;top:429;width:1148;height:1032" type="#_x0000_t202" id="docshape438" filled="false" stroked="false">
                  <v:textbox inset="0,0,0,0">
                    <w:txbxContent>
                      <w:p>
                        <w:pPr>
                          <w:spacing w:before="372"/>
                          <w:ind w:left="417" w:right="0" w:firstLine="0"/>
                          <w:jc w:val="left"/>
                          <w:rPr>
                            <w:rFonts w:ascii="Tahoma"/>
                            <w:b/>
                            <w:sz w:val="36"/>
                          </w:rPr>
                        </w:pPr>
                        <w:r>
                          <w:rPr>
                            <w:rFonts w:ascii="Tahoma"/>
                            <w:b/>
                            <w:spacing w:val="-5"/>
                            <w:w w:val="95"/>
                            <w:sz w:val="36"/>
                          </w:rPr>
                          <w:t>19</w:t>
                        </w:r>
                      </w:p>
                    </w:txbxContent>
                  </v:textbox>
                  <w10:wrap type="none"/>
                </v:shape>
                <w10:wrap type="topAndBottom"/>
              </v:group>
            </w:pict>
          </mc:Fallback>
        </mc:AlternateContent>
      </w:r>
    </w:p>
    <w:p>
      <w:pPr>
        <w:pStyle w:val="Heading1"/>
        <w:spacing w:line="211" w:lineRule="auto" w:before="25"/>
        <w:ind w:left="2392" w:right="2396" w:firstLine="1"/>
      </w:pPr>
      <w:r>
        <w:rPr>
          <w:spacing w:val="-2"/>
        </w:rPr>
        <w:t>Beyond</w:t>
      </w:r>
      <w:r>
        <w:rPr>
          <w:spacing w:val="-16"/>
        </w:rPr>
        <w:t> </w:t>
      </w:r>
      <w:r>
        <w:rPr>
          <w:spacing w:val="-2"/>
        </w:rPr>
        <w:t>Kings</w:t>
      </w:r>
      <w:r>
        <w:rPr>
          <w:spacing w:val="-15"/>
        </w:rPr>
        <w:t> </w:t>
      </w:r>
      <w:r>
        <w:rPr>
          <w:spacing w:val="-2"/>
        </w:rPr>
        <w:t>and</w:t>
      </w:r>
      <w:r>
        <w:rPr>
          <w:spacing w:val="-15"/>
        </w:rPr>
        <w:t> </w:t>
      </w:r>
      <w:r>
        <w:rPr>
          <w:spacing w:val="-2"/>
        </w:rPr>
        <w:t>Wars: </w:t>
      </w:r>
      <w:r>
        <w:rPr>
          <w:spacing w:val="-4"/>
        </w:rPr>
        <w:t>Re-examining</w:t>
      </w:r>
      <w:r>
        <w:rPr>
          <w:spacing w:val="-13"/>
        </w:rPr>
        <w:t> </w:t>
      </w:r>
      <w:r>
        <w:rPr>
          <w:spacing w:val="-4"/>
        </w:rPr>
        <w:t>Women</w:t>
      </w:r>
      <w:r>
        <w:rPr>
          <w:spacing w:val="-10"/>
        </w:rPr>
        <w:t> </w:t>
      </w:r>
      <w:r>
        <w:rPr>
          <w:spacing w:val="-15"/>
        </w:rPr>
        <w:t>in</w:t>
      </w:r>
    </w:p>
    <w:p>
      <w:pPr>
        <w:tabs>
          <w:tab w:pos="563" w:val="left" w:leader="none"/>
          <w:tab w:pos="5759" w:val="left" w:leader="none"/>
        </w:tabs>
        <w:spacing w:line="347" w:lineRule="exact" w:before="0"/>
        <w:ind w:left="0" w:right="0" w:firstLine="0"/>
        <w:jc w:val="center"/>
        <w:rPr>
          <w:rFonts w:ascii="Tahoma" w:hAnsi="Tahoma"/>
          <w:b/>
          <w:sz w:val="32"/>
        </w:rPr>
      </w:pPr>
      <w:r>
        <w:rPr>
          <w:sz w:val="32"/>
          <w:u w:val="single"/>
        </w:rPr>
        <w:tab/>
      </w:r>
      <w:r>
        <w:rPr>
          <w:rFonts w:ascii="Tahoma" w:hAnsi="Tahoma"/>
          <w:b/>
          <w:spacing w:val="-8"/>
          <w:sz w:val="32"/>
          <w:u w:val="single"/>
        </w:rPr>
        <w:t>Shakespeare’s</w:t>
      </w:r>
      <w:r>
        <w:rPr>
          <w:rFonts w:ascii="Tahoma" w:hAnsi="Tahoma"/>
          <w:b/>
          <w:spacing w:val="-14"/>
          <w:sz w:val="32"/>
          <w:u w:val="single"/>
        </w:rPr>
        <w:t> </w:t>
      </w:r>
      <w:r>
        <w:rPr>
          <w:rFonts w:ascii="Tahoma" w:hAnsi="Tahoma"/>
          <w:b/>
          <w:spacing w:val="-8"/>
          <w:sz w:val="32"/>
          <w:u w:val="single"/>
        </w:rPr>
        <w:t>Historical</w:t>
      </w:r>
      <w:r>
        <w:rPr>
          <w:rFonts w:ascii="Tahoma" w:hAnsi="Tahoma"/>
          <w:b/>
          <w:spacing w:val="-13"/>
          <w:sz w:val="32"/>
          <w:u w:val="single"/>
        </w:rPr>
        <w:t> </w:t>
      </w:r>
      <w:r>
        <w:rPr>
          <w:rFonts w:ascii="Tahoma" w:hAnsi="Tahoma"/>
          <w:b/>
          <w:spacing w:val="-8"/>
          <w:sz w:val="32"/>
          <w:u w:val="single"/>
        </w:rPr>
        <w:t>Plays</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37856">
                <wp:simplePos x="0" y="0"/>
                <wp:positionH relativeFrom="page">
                  <wp:posOffset>2057400</wp:posOffset>
                </wp:positionH>
                <wp:positionV relativeFrom="paragraph">
                  <wp:posOffset>60432</wp:posOffset>
                </wp:positionV>
                <wp:extent cx="3657600" cy="7620"/>
                <wp:effectExtent l="0" t="0" r="0" b="0"/>
                <wp:wrapTopAndBottom/>
                <wp:docPr id="444" name="Graphic 444"/>
                <wp:cNvGraphicFramePr>
                  <a:graphicFrameLocks/>
                </wp:cNvGraphicFramePr>
                <a:graphic>
                  <a:graphicData uri="http://schemas.microsoft.com/office/word/2010/wordprocessingShape">
                    <wps:wsp>
                      <wps:cNvPr id="444" name="Graphic 444"/>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58481pt;width:288.000009pt;height:.599991pt;mso-position-horizontal-relative:page;mso-position-vertical-relative:paragraph;z-index:-15578624;mso-wrap-distance-left:0;mso-wrap-distance-right:0" id="docshape439"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41"/>
        <w:jc w:val="right"/>
        <w:rPr>
          <w:rFonts w:ascii="Times New Roman"/>
        </w:rPr>
      </w:pPr>
      <w:r>
        <w:rPr>
          <w:rFonts w:ascii="Times New Roman"/>
        </w:rPr>
        <w:t>Boddupalli</w:t>
      </w:r>
      <w:r>
        <w:rPr>
          <w:rFonts w:ascii="Times New Roman"/>
          <w:spacing w:val="75"/>
        </w:rPr>
        <w:t> </w:t>
      </w:r>
      <w:r>
        <w:rPr>
          <w:rFonts w:ascii="Times New Roman"/>
          <w:spacing w:val="-2"/>
        </w:rPr>
        <w:t>Bhavani</w:t>
      </w:r>
    </w:p>
    <w:p>
      <w:pPr>
        <w:spacing w:before="15"/>
        <w:ind w:left="0" w:right="1439" w:firstLine="0"/>
        <w:jc w:val="right"/>
        <w:rPr>
          <w:i/>
          <w:sz w:val="19"/>
        </w:rPr>
      </w:pPr>
      <w:r>
        <w:rPr>
          <w:i/>
          <w:sz w:val="19"/>
        </w:rPr>
        <w:t>Department</w:t>
      </w:r>
      <w:r>
        <w:rPr>
          <w:i/>
          <w:spacing w:val="65"/>
          <w:sz w:val="19"/>
        </w:rPr>
        <w:t> </w:t>
      </w:r>
      <w:r>
        <w:rPr>
          <w:i/>
          <w:sz w:val="19"/>
        </w:rPr>
        <w:t>of</w:t>
      </w:r>
      <w:r>
        <w:rPr>
          <w:i/>
          <w:spacing w:val="67"/>
          <w:sz w:val="19"/>
        </w:rPr>
        <w:t> </w:t>
      </w:r>
      <w:r>
        <w:rPr>
          <w:i/>
          <w:sz w:val="19"/>
        </w:rPr>
        <w:t>English,</w:t>
      </w:r>
      <w:r>
        <w:rPr>
          <w:i/>
          <w:spacing w:val="70"/>
          <w:sz w:val="19"/>
        </w:rPr>
        <w:t> </w:t>
      </w:r>
      <w:r>
        <w:rPr>
          <w:i/>
          <w:sz w:val="19"/>
        </w:rPr>
        <w:t>Palamuru</w:t>
      </w:r>
      <w:r>
        <w:rPr>
          <w:i/>
          <w:spacing w:val="69"/>
          <w:sz w:val="19"/>
        </w:rPr>
        <w:t> </w:t>
      </w:r>
      <w:r>
        <w:rPr>
          <w:i/>
          <w:sz w:val="19"/>
        </w:rPr>
        <w:t>University,</w:t>
      </w:r>
      <w:r>
        <w:rPr>
          <w:i/>
          <w:spacing w:val="70"/>
          <w:sz w:val="19"/>
        </w:rPr>
        <w:t> </w:t>
      </w:r>
      <w:r>
        <w:rPr>
          <w:i/>
          <w:spacing w:val="-2"/>
          <w:sz w:val="19"/>
        </w:rPr>
        <w:t>Mahabubnagar</w:t>
      </w:r>
    </w:p>
    <w:p>
      <w:pPr>
        <w:pStyle w:val="BodyText"/>
        <w:spacing w:before="161"/>
        <w:ind w:left="0"/>
        <w:rPr>
          <w:i/>
          <w:sz w:val="19"/>
        </w:rPr>
      </w:pPr>
    </w:p>
    <w:p>
      <w:pPr>
        <w:pStyle w:val="Heading3"/>
        <w:spacing w:before="0"/>
      </w:pPr>
      <w:r>
        <w:rPr>
          <w:spacing w:val="-2"/>
        </w:rPr>
        <w:t>ABSTRACT:</w:t>
      </w:r>
    </w:p>
    <w:p>
      <w:pPr>
        <w:pStyle w:val="BodyText"/>
        <w:spacing w:line="249" w:lineRule="auto" w:before="75"/>
        <w:ind w:right="1437" w:firstLine="432"/>
        <w:jc w:val="both"/>
      </w:pPr>
      <w:r>
        <w:rPr/>
        <w:t>William</w:t>
      </w:r>
      <w:r>
        <w:rPr>
          <w:spacing w:val="-13"/>
        </w:rPr>
        <w:t> </w:t>
      </w:r>
      <w:r>
        <w:rPr/>
        <w:t>Shakespeare’s</w:t>
      </w:r>
      <w:r>
        <w:rPr>
          <w:spacing w:val="-12"/>
        </w:rPr>
        <w:t> </w:t>
      </w:r>
      <w:r>
        <w:rPr/>
        <w:t>historical</w:t>
      </w:r>
      <w:r>
        <w:rPr>
          <w:spacing w:val="-13"/>
        </w:rPr>
        <w:t> </w:t>
      </w:r>
      <w:r>
        <w:rPr/>
        <w:t>dramas</w:t>
      </w:r>
      <w:r>
        <w:rPr>
          <w:spacing w:val="-12"/>
        </w:rPr>
        <w:t> </w:t>
      </w:r>
      <w:r>
        <w:rPr/>
        <w:t>are</w:t>
      </w:r>
      <w:r>
        <w:rPr>
          <w:spacing w:val="-13"/>
        </w:rPr>
        <w:t> </w:t>
      </w:r>
      <w:r>
        <w:rPr/>
        <w:t>analyzed</w:t>
      </w:r>
      <w:r>
        <w:rPr>
          <w:spacing w:val="-12"/>
        </w:rPr>
        <w:t> </w:t>
      </w:r>
      <w:r>
        <w:rPr/>
        <w:t>in</w:t>
      </w:r>
      <w:r>
        <w:rPr>
          <w:spacing w:val="-13"/>
        </w:rPr>
        <w:t> </w:t>
      </w:r>
      <w:r>
        <w:rPr/>
        <w:t>this</w:t>
      </w:r>
      <w:r>
        <w:rPr>
          <w:spacing w:val="-12"/>
        </w:rPr>
        <w:t> </w:t>
      </w:r>
      <w:r>
        <w:rPr/>
        <w:t>paper, particularly</w:t>
      </w:r>
      <w:r>
        <w:rPr>
          <w:spacing w:val="-2"/>
        </w:rPr>
        <w:t> </w:t>
      </w:r>
      <w:r>
        <w:rPr/>
        <w:t>the</w:t>
      </w:r>
      <w:r>
        <w:rPr>
          <w:spacing w:val="-1"/>
        </w:rPr>
        <w:t> </w:t>
      </w:r>
      <w:r>
        <w:rPr/>
        <w:t>interplay</w:t>
      </w:r>
      <w:r>
        <w:rPr>
          <w:spacing w:val="-4"/>
        </w:rPr>
        <w:t> </w:t>
      </w:r>
      <w:r>
        <w:rPr/>
        <w:t>of gender,</w:t>
      </w:r>
      <w:r>
        <w:rPr>
          <w:spacing w:val="-2"/>
        </w:rPr>
        <w:t> </w:t>
      </w:r>
      <w:r>
        <w:rPr/>
        <w:t>power, and influence</w:t>
      </w:r>
      <w:r>
        <w:rPr>
          <w:spacing w:val="-2"/>
        </w:rPr>
        <w:t> </w:t>
      </w:r>
      <w:r>
        <w:rPr/>
        <w:t>within storied representations of political power, warfare, and nation-building. The scope of this research is female characters in Shakespearean historical drama. These findings show us those female characters, although few</w:t>
      </w:r>
      <w:r>
        <w:rPr>
          <w:spacing w:val="40"/>
        </w:rPr>
        <w:t> </w:t>
      </w:r>
      <w:r>
        <w:rPr/>
        <w:t>in number, exert a profound impact on various aspects of the political discourse and emotional states as well as ideological conflicts. Specific examples of female characters highlighted include Queen Margaret, Lady</w:t>
      </w:r>
      <w:r>
        <w:rPr>
          <w:spacing w:val="-13"/>
        </w:rPr>
        <w:t> </w:t>
      </w:r>
      <w:r>
        <w:rPr/>
        <w:t>Anne, Constance, and Queen</w:t>
      </w:r>
      <w:r>
        <w:rPr>
          <w:spacing w:val="-1"/>
        </w:rPr>
        <w:t> </w:t>
      </w:r>
      <w:r>
        <w:rPr/>
        <w:t>Elizabeth. The relationship between these female</w:t>
      </w:r>
      <w:r>
        <w:rPr>
          <w:spacing w:val="26"/>
        </w:rPr>
        <w:t> </w:t>
      </w:r>
      <w:r>
        <w:rPr/>
        <w:t>characters can be found</w:t>
      </w:r>
      <w:r>
        <w:rPr>
          <w:spacing w:val="27"/>
        </w:rPr>
        <w:t> </w:t>
      </w:r>
      <w:r>
        <w:rPr/>
        <w:t>both within patriarchal systems</w:t>
      </w:r>
      <w:r>
        <w:rPr>
          <w:spacing w:val="40"/>
        </w:rPr>
        <w:t> </w:t>
      </w:r>
      <w:r>
        <w:rPr/>
        <w:t>of power and the systems that exist outside of men, where they share their perspectives.</w:t>
      </w:r>
      <w:r>
        <w:rPr>
          <w:spacing w:val="-3"/>
        </w:rPr>
        <w:t> </w:t>
      </w:r>
      <w:r>
        <w:rPr/>
        <w:t>As a result, Shakespearean female characters do not implement observe; they act in male-dominated spheres through their grief, rage against men, and resistance to men, all of which appears to be</w:t>
      </w:r>
      <w:r>
        <w:rPr>
          <w:spacing w:val="-1"/>
        </w:rPr>
        <w:t> </w:t>
      </w:r>
      <w:r>
        <w:rPr/>
        <w:t>antithetical</w:t>
      </w:r>
      <w:r>
        <w:rPr>
          <w:spacing w:val="-2"/>
        </w:rPr>
        <w:t> </w:t>
      </w:r>
      <w:r>
        <w:rPr/>
        <w:t>to their masculine</w:t>
      </w:r>
      <w:r>
        <w:rPr>
          <w:spacing w:val="-1"/>
        </w:rPr>
        <w:t> </w:t>
      </w:r>
      <w:r>
        <w:rPr/>
        <w:t>counterparts. In</w:t>
      </w:r>
      <w:r>
        <w:rPr>
          <w:spacing w:val="-1"/>
        </w:rPr>
        <w:t> </w:t>
      </w:r>
      <w:r>
        <w:rPr/>
        <w:t>conclusion,</w:t>
      </w:r>
      <w:r>
        <w:rPr>
          <w:spacing w:val="-1"/>
        </w:rPr>
        <w:t> </w:t>
      </w:r>
      <w:r>
        <w:rPr/>
        <w:t>women</w:t>
      </w:r>
      <w:r>
        <w:rPr>
          <w:spacing w:val="-3"/>
        </w:rPr>
        <w:t> </w:t>
      </w:r>
      <w:r>
        <w:rPr/>
        <w:t>in the historical drama of Shakespeare function as communicators of </w:t>
      </w:r>
      <w:r>
        <w:rPr>
          <w:spacing w:val="-2"/>
        </w:rPr>
        <w:t>memory,</w:t>
      </w:r>
      <w:r>
        <w:rPr>
          <w:spacing w:val="-5"/>
        </w:rPr>
        <w:t> </w:t>
      </w:r>
      <w:r>
        <w:rPr>
          <w:spacing w:val="-2"/>
        </w:rPr>
        <w:t>conscience,</w:t>
      </w:r>
      <w:r>
        <w:rPr>
          <w:spacing w:val="-5"/>
        </w:rPr>
        <w:t> </w:t>
      </w:r>
      <w:r>
        <w:rPr>
          <w:spacing w:val="-2"/>
        </w:rPr>
        <w:t>and</w:t>
      </w:r>
      <w:r>
        <w:rPr>
          <w:spacing w:val="-3"/>
        </w:rPr>
        <w:t> </w:t>
      </w:r>
      <w:r>
        <w:rPr>
          <w:spacing w:val="-2"/>
        </w:rPr>
        <w:t>critique</w:t>
      </w:r>
      <w:r>
        <w:rPr>
          <w:spacing w:val="-7"/>
        </w:rPr>
        <w:t> </w:t>
      </w:r>
      <w:r>
        <w:rPr>
          <w:spacing w:val="-2"/>
        </w:rPr>
        <w:t>through</w:t>
      </w:r>
      <w:r>
        <w:rPr>
          <w:spacing w:val="-7"/>
        </w:rPr>
        <w:t> </w:t>
      </w:r>
      <w:r>
        <w:rPr>
          <w:spacing w:val="-2"/>
        </w:rPr>
        <w:t>a</w:t>
      </w:r>
      <w:r>
        <w:rPr>
          <w:spacing w:val="-6"/>
        </w:rPr>
        <w:t> </w:t>
      </w:r>
      <w:r>
        <w:rPr>
          <w:spacing w:val="-2"/>
        </w:rPr>
        <w:t>feminist</w:t>
      </w:r>
      <w:r>
        <w:rPr>
          <w:spacing w:val="-5"/>
        </w:rPr>
        <w:t> </w:t>
      </w:r>
      <w:r>
        <w:rPr>
          <w:spacing w:val="-2"/>
        </w:rPr>
        <w:t>and</w:t>
      </w:r>
      <w:r>
        <w:rPr>
          <w:spacing w:val="-3"/>
        </w:rPr>
        <w:t> </w:t>
      </w:r>
      <w:r>
        <w:rPr>
          <w:spacing w:val="-2"/>
        </w:rPr>
        <w:t>psycho-political </w:t>
      </w:r>
      <w:r>
        <w:rPr/>
        <w:t>view. How does this happen? Because of their frequent expressions of the emotional impact of war and the struggles associated therewith, as well as the human toll of ambition for political purposes. Similarly, women’s</w:t>
      </w:r>
      <w:r>
        <w:rPr>
          <w:spacing w:val="23"/>
        </w:rPr>
        <w:t> </w:t>
      </w:r>
      <w:r>
        <w:rPr/>
        <w:t>experiences</w:t>
      </w:r>
      <w:r>
        <w:rPr>
          <w:spacing w:val="25"/>
        </w:rPr>
        <w:t> </w:t>
      </w:r>
      <w:r>
        <w:rPr/>
        <w:t>may</w:t>
      </w:r>
      <w:r>
        <w:rPr>
          <w:spacing w:val="20"/>
        </w:rPr>
        <w:t> </w:t>
      </w:r>
      <w:r>
        <w:rPr/>
        <w:t>be</w:t>
      </w:r>
      <w:r>
        <w:rPr>
          <w:spacing w:val="26"/>
        </w:rPr>
        <w:t> </w:t>
      </w:r>
      <w:r>
        <w:rPr/>
        <w:t>affected</w:t>
      </w:r>
      <w:r>
        <w:rPr>
          <w:spacing w:val="23"/>
        </w:rPr>
        <w:t> </w:t>
      </w:r>
      <w:r>
        <w:rPr/>
        <w:t>by</w:t>
      </w:r>
      <w:r>
        <w:rPr>
          <w:spacing w:val="20"/>
        </w:rPr>
        <w:t> </w:t>
      </w:r>
      <w:r>
        <w:rPr/>
        <w:t>social</w:t>
      </w:r>
      <w:r>
        <w:rPr>
          <w:spacing w:val="25"/>
        </w:rPr>
        <w:t> </w:t>
      </w:r>
      <w:r>
        <w:rPr/>
        <w:t>inequities</w:t>
      </w:r>
      <w:r>
        <w:rPr>
          <w:spacing w:val="24"/>
        </w:rPr>
        <w:t> </w:t>
      </w:r>
      <w:r>
        <w:rPr/>
        <w:t>due</w:t>
      </w:r>
      <w:r>
        <w:rPr>
          <w:spacing w:val="25"/>
        </w:rPr>
        <w:t> </w:t>
      </w:r>
      <w:r>
        <w:rPr/>
        <w:t>to</w:t>
      </w:r>
      <w:r>
        <w:rPr>
          <w:spacing w:val="25"/>
        </w:rPr>
        <w:t> </w:t>
      </w:r>
      <w:r>
        <w:rPr>
          <w:spacing w:val="-5"/>
        </w:rPr>
        <w:t>the</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38880">
                <wp:simplePos x="0" y="0"/>
                <wp:positionH relativeFrom="page">
                  <wp:posOffset>2065020</wp:posOffset>
                </wp:positionH>
                <wp:positionV relativeFrom="paragraph">
                  <wp:posOffset>795020</wp:posOffset>
                </wp:positionV>
                <wp:extent cx="3657600" cy="12700"/>
                <wp:effectExtent l="0" t="0" r="0" b="0"/>
                <wp:wrapTopAndBottom/>
                <wp:docPr id="445" name="Graphic 445"/>
                <wp:cNvGraphicFramePr>
                  <a:graphicFrameLocks/>
                </wp:cNvGraphicFramePr>
                <a:graphic>
                  <a:graphicData uri="http://schemas.microsoft.com/office/word/2010/wordprocessingShape">
                    <wps:wsp>
                      <wps:cNvPr id="445" name="Graphic 44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77600;mso-wrap-distance-left:0;mso-wrap-distance-right:0" id="docshape440" filled="true" fillcolor="#000000" stroked="false">
                <v:fill type="solid"/>
                <w10:wrap type="topAndBottom"/>
              </v:rect>
            </w:pict>
          </mc:Fallback>
        </mc:AlternateContent>
      </w:r>
      <w:r>
        <w:rPr>
          <w:rFonts w:ascii="Verdana"/>
          <w:spacing w:val="-2"/>
          <w:sz w:val="18"/>
        </w:rPr>
        <w:t>Beyond</w:t>
      </w:r>
      <w:r>
        <w:rPr>
          <w:rFonts w:ascii="Verdana"/>
          <w:spacing w:val="-6"/>
          <w:sz w:val="18"/>
        </w:rPr>
        <w:t> </w:t>
      </w:r>
      <w:r>
        <w:rPr>
          <w:rFonts w:ascii="Verdana"/>
          <w:spacing w:val="-2"/>
          <w:sz w:val="18"/>
        </w:rPr>
        <w:t>Kings</w:t>
      </w:r>
      <w:r>
        <w:rPr>
          <w:rFonts w:ascii="Verdana"/>
          <w:spacing w:val="-1"/>
          <w:sz w:val="18"/>
        </w:rPr>
        <w:t> </w:t>
      </w:r>
      <w:r>
        <w:rPr>
          <w:rFonts w:ascii="Verdana"/>
          <w:spacing w:val="-2"/>
          <w:sz w:val="18"/>
        </w:rPr>
        <w:t>and</w:t>
      </w:r>
      <w:r>
        <w:rPr>
          <w:rFonts w:ascii="Verdana"/>
          <w:spacing w:val="-4"/>
          <w:sz w:val="18"/>
        </w:rPr>
        <w:t> </w:t>
      </w:r>
      <w:r>
        <w:rPr>
          <w:rFonts w:ascii="Verdana"/>
          <w:spacing w:val="-2"/>
          <w:sz w:val="18"/>
        </w:rPr>
        <w:t>Wars:</w:t>
      </w:r>
      <w:r>
        <w:rPr>
          <w:rFonts w:ascii="Verdana"/>
          <w:spacing w:val="-4"/>
          <w:sz w:val="18"/>
        </w:rPr>
        <w:t> </w:t>
      </w:r>
      <w:r>
        <w:rPr>
          <w:rFonts w:ascii="Verdana"/>
          <w:spacing w:val="-2"/>
          <w:sz w:val="18"/>
        </w:rPr>
        <w:t>Re-examining</w:t>
      </w:r>
      <w:r>
        <w:rPr>
          <w:rFonts w:ascii="Verdana"/>
          <w:spacing w:val="-5"/>
          <w:sz w:val="18"/>
        </w:rPr>
        <w:t> </w:t>
      </w:r>
      <w:r>
        <w:rPr>
          <w:rFonts w:ascii="Verdana"/>
          <w:spacing w:val="-2"/>
          <w:sz w:val="18"/>
        </w:rPr>
        <w:t>Women</w:t>
      </w:r>
      <w:r>
        <w:rPr>
          <w:rFonts w:ascii="Verdana"/>
          <w:spacing w:val="-1"/>
          <w:sz w:val="18"/>
        </w:rPr>
        <w:t> </w:t>
      </w:r>
      <w:r>
        <w:rPr>
          <w:rFonts w:ascii="Verdana"/>
          <w:spacing w:val="-4"/>
          <w:sz w:val="18"/>
        </w:rPr>
        <w:t>in...</w:t>
      </w:r>
      <w:r>
        <w:rPr>
          <w:sz w:val="18"/>
        </w:rPr>
        <w:tab/>
      </w:r>
      <w:r>
        <w:rPr>
          <w:rFonts w:ascii="Verdana"/>
          <w:spacing w:val="-5"/>
          <w:sz w:val="18"/>
        </w:rPr>
        <w:t>189</w:t>
      </w:r>
    </w:p>
    <w:p>
      <w:pPr>
        <w:pStyle w:val="BodyText"/>
        <w:spacing w:line="249" w:lineRule="auto" w:before="192"/>
        <w:ind w:right="1438"/>
        <w:jc w:val="both"/>
      </w:pPr>
      <w:r>
        <w:rPr/>
        <w:t>power dynamic between males and females as identified throughout history.</w:t>
      </w:r>
      <w:r>
        <w:rPr>
          <w:spacing w:val="-2"/>
        </w:rPr>
        <w:t> </w:t>
      </w:r>
      <w:r>
        <w:rPr/>
        <w:t>The</w:t>
      </w:r>
      <w:r>
        <w:rPr>
          <w:spacing w:val="-1"/>
        </w:rPr>
        <w:t> </w:t>
      </w:r>
      <w:r>
        <w:rPr/>
        <w:t>stories</w:t>
      </w:r>
      <w:r>
        <w:rPr>
          <w:spacing w:val="-1"/>
        </w:rPr>
        <w:t> </w:t>
      </w:r>
      <w:r>
        <w:rPr/>
        <w:t>of</w:t>
      </w:r>
      <w:r>
        <w:rPr>
          <w:spacing w:val="-2"/>
        </w:rPr>
        <w:t> </w:t>
      </w:r>
      <w:r>
        <w:rPr/>
        <w:t>these</w:t>
      </w:r>
      <w:r>
        <w:rPr>
          <w:spacing w:val="-1"/>
        </w:rPr>
        <w:t> </w:t>
      </w:r>
      <w:r>
        <w:rPr/>
        <w:t>women</w:t>
      </w:r>
      <w:r>
        <w:rPr>
          <w:spacing w:val="-2"/>
        </w:rPr>
        <w:t> </w:t>
      </w:r>
      <w:r>
        <w:rPr/>
        <w:t>connect</w:t>
      </w:r>
      <w:r>
        <w:rPr>
          <w:spacing w:val="-2"/>
        </w:rPr>
        <w:t> </w:t>
      </w:r>
      <w:r>
        <w:rPr/>
        <w:t>with</w:t>
      </w:r>
      <w:r>
        <w:rPr>
          <w:spacing w:val="-2"/>
        </w:rPr>
        <w:t> </w:t>
      </w:r>
      <w:r>
        <w:rPr/>
        <w:t>modern</w:t>
      </w:r>
      <w:r>
        <w:rPr>
          <w:spacing w:val="-3"/>
        </w:rPr>
        <w:t> </w:t>
      </w:r>
      <w:r>
        <w:rPr/>
        <w:t>day</w:t>
      </w:r>
      <w:r>
        <w:rPr>
          <w:spacing w:val="-4"/>
        </w:rPr>
        <w:t> </w:t>
      </w:r>
      <w:r>
        <w:rPr/>
        <w:t>discourse relating to gender and power as they continue to raise awareness of</w:t>
      </w:r>
      <w:r>
        <w:rPr>
          <w:spacing w:val="40"/>
        </w:rPr>
        <w:t> </w:t>
      </w:r>
      <w:r>
        <w:rPr/>
        <w:t>their plight when facing institutions that would rather they remain unheard. The author’s assertion is that the women in Shakespeare’s plays who are based in history are not secondary characters, but rather critical</w:t>
      </w:r>
      <w:r>
        <w:rPr>
          <w:spacing w:val="-13"/>
        </w:rPr>
        <w:t> </w:t>
      </w:r>
      <w:r>
        <w:rPr/>
        <w:t>perspectives</w:t>
      </w:r>
      <w:r>
        <w:rPr>
          <w:spacing w:val="-12"/>
        </w:rPr>
        <w:t> </w:t>
      </w:r>
      <w:r>
        <w:rPr/>
        <w:t>into</w:t>
      </w:r>
      <w:r>
        <w:rPr>
          <w:spacing w:val="-13"/>
        </w:rPr>
        <w:t> </w:t>
      </w:r>
      <w:r>
        <w:rPr/>
        <w:t>the</w:t>
      </w:r>
      <w:r>
        <w:rPr>
          <w:spacing w:val="-12"/>
        </w:rPr>
        <w:t> </w:t>
      </w:r>
      <w:r>
        <w:rPr/>
        <w:t>ethical</w:t>
      </w:r>
      <w:r>
        <w:rPr>
          <w:spacing w:val="-13"/>
        </w:rPr>
        <w:t> </w:t>
      </w:r>
      <w:r>
        <w:rPr/>
        <w:t>and</w:t>
      </w:r>
      <w:r>
        <w:rPr>
          <w:spacing w:val="-12"/>
        </w:rPr>
        <w:t> </w:t>
      </w:r>
      <w:r>
        <w:rPr/>
        <w:t>emotional</w:t>
      </w:r>
      <w:r>
        <w:rPr>
          <w:spacing w:val="-13"/>
        </w:rPr>
        <w:t> </w:t>
      </w:r>
      <w:r>
        <w:rPr/>
        <w:t>components</w:t>
      </w:r>
      <w:r>
        <w:rPr>
          <w:spacing w:val="-12"/>
        </w:rPr>
        <w:t> </w:t>
      </w:r>
      <w:r>
        <w:rPr/>
        <w:t>of</w:t>
      </w:r>
      <w:r>
        <w:rPr>
          <w:spacing w:val="-13"/>
        </w:rPr>
        <w:t> </w:t>
      </w:r>
      <w:r>
        <w:rPr/>
        <w:t>history are essential for understanding how gender impacts historical narrative and collective memory.</w:t>
      </w:r>
    </w:p>
    <w:p>
      <w:pPr>
        <w:pStyle w:val="BodyText"/>
        <w:spacing w:line="249" w:lineRule="auto" w:before="65"/>
        <w:ind w:right="1442" w:firstLine="432"/>
        <w:jc w:val="both"/>
      </w:pPr>
      <w:r>
        <w:rPr>
          <w:b/>
          <w:spacing w:val="-2"/>
        </w:rPr>
        <w:t>Keywords:</w:t>
      </w:r>
      <w:r>
        <w:rPr>
          <w:b/>
          <w:spacing w:val="-9"/>
        </w:rPr>
        <w:t> </w:t>
      </w:r>
      <w:r>
        <w:rPr>
          <w:spacing w:val="-2"/>
        </w:rPr>
        <w:t>Shakespeare,</w:t>
      </w:r>
      <w:r>
        <w:rPr>
          <w:spacing w:val="-6"/>
        </w:rPr>
        <w:t> </w:t>
      </w:r>
      <w:r>
        <w:rPr>
          <w:spacing w:val="-2"/>
        </w:rPr>
        <w:t>Historical</w:t>
      </w:r>
      <w:r>
        <w:rPr>
          <w:spacing w:val="-9"/>
        </w:rPr>
        <w:t> </w:t>
      </w:r>
      <w:r>
        <w:rPr>
          <w:spacing w:val="-2"/>
        </w:rPr>
        <w:t>Plays,</w:t>
      </w:r>
      <w:r>
        <w:rPr>
          <w:spacing w:val="-11"/>
        </w:rPr>
        <w:t> </w:t>
      </w:r>
      <w:r>
        <w:rPr>
          <w:spacing w:val="-2"/>
        </w:rPr>
        <w:t>Women,</w:t>
      </w:r>
      <w:r>
        <w:rPr>
          <w:spacing w:val="-8"/>
        </w:rPr>
        <w:t> </w:t>
      </w:r>
      <w:r>
        <w:rPr>
          <w:spacing w:val="-2"/>
        </w:rPr>
        <w:t>Power,</w:t>
      </w:r>
      <w:r>
        <w:rPr>
          <w:spacing w:val="-6"/>
        </w:rPr>
        <w:t> </w:t>
      </w:r>
      <w:r>
        <w:rPr>
          <w:spacing w:val="-2"/>
        </w:rPr>
        <w:t>Politics, </w:t>
      </w:r>
      <w:r>
        <w:rPr/>
        <w:t>Patriarchy, Gender, Voice, Resistance, Memory</w:t>
      </w:r>
    </w:p>
    <w:p>
      <w:pPr>
        <w:pStyle w:val="Heading3"/>
        <w:numPr>
          <w:ilvl w:val="0"/>
          <w:numId w:val="37"/>
        </w:numPr>
        <w:tabs>
          <w:tab w:pos="1680" w:val="left" w:leader="none"/>
        </w:tabs>
        <w:spacing w:line="240" w:lineRule="auto" w:before="155" w:after="0"/>
        <w:ind w:left="1680" w:right="0" w:hanging="240"/>
        <w:jc w:val="left"/>
      </w:pPr>
      <w:r>
        <w:rPr>
          <w:spacing w:val="-2"/>
          <w:w w:val="95"/>
        </w:rPr>
        <w:t>INTRODUCTION:</w:t>
      </w:r>
    </w:p>
    <w:p>
      <w:pPr>
        <w:pStyle w:val="BodyText"/>
        <w:spacing w:line="249" w:lineRule="auto" w:before="76"/>
        <w:ind w:right="1438" w:firstLine="432"/>
        <w:jc w:val="both"/>
      </w:pPr>
      <w:r>
        <w:rPr>
          <w:spacing w:val="-4"/>
        </w:rPr>
        <w:t>Historically, William Shakespeare’s historical dramas are considered </w:t>
      </w:r>
      <w:r>
        <w:rPr/>
        <w:t>to explore kingship, succession, and the creation of national identity. These works emphasize male power (kings, soldiers, strategists) while females are typically represented in subordinate and/or restricted roles. Nonetheless, such an interpretation often overlooks the intricate ways that females interact with, challenge, and reinterpret political authority. Feminist theory has long asserted that literature embodies and perpetuates the nature of patriarchy. Thus, female authors lack direct authority when it comes to asserting themselves politically, but nonetheless, they suffer as a result of the political situation (Showalter, 1985). Although female characters are not physically separated from politics</w:t>
      </w:r>
      <w:r>
        <w:rPr>
          <w:spacing w:val="-1"/>
        </w:rPr>
        <w:t> </w:t>
      </w:r>
      <w:r>
        <w:rPr/>
        <w:t>in</w:t>
      </w:r>
      <w:r>
        <w:rPr>
          <w:spacing w:val="-1"/>
        </w:rPr>
        <w:t> </w:t>
      </w:r>
      <w:r>
        <w:rPr/>
        <w:t>their inclusion</w:t>
      </w:r>
      <w:r>
        <w:rPr>
          <w:spacing w:val="-3"/>
        </w:rPr>
        <w:t> </w:t>
      </w:r>
      <w:r>
        <w:rPr/>
        <w:t>in Shakespeare’s</w:t>
      </w:r>
      <w:r>
        <w:rPr>
          <w:spacing w:val="-1"/>
        </w:rPr>
        <w:t> </w:t>
      </w:r>
      <w:r>
        <w:rPr/>
        <w:t>historical narratives, they</w:t>
      </w:r>
      <w:r>
        <w:rPr>
          <w:spacing w:val="-3"/>
        </w:rPr>
        <w:t> </w:t>
      </w:r>
      <w:r>
        <w:rPr/>
        <w:t>do not have direct access to formal political arenas or institutions. Rather, they</w:t>
      </w:r>
      <w:r>
        <w:rPr>
          <w:spacing w:val="-10"/>
        </w:rPr>
        <w:t> </w:t>
      </w:r>
      <w:r>
        <w:rPr/>
        <w:t>utilize</w:t>
      </w:r>
      <w:r>
        <w:rPr>
          <w:spacing w:val="-10"/>
        </w:rPr>
        <w:t> </w:t>
      </w:r>
      <w:r>
        <w:rPr/>
        <w:t>alternative</w:t>
      </w:r>
      <w:r>
        <w:rPr>
          <w:spacing w:val="-8"/>
        </w:rPr>
        <w:t> </w:t>
      </w:r>
      <w:r>
        <w:rPr/>
        <w:t>means</w:t>
      </w:r>
      <w:r>
        <w:rPr>
          <w:spacing w:val="-9"/>
        </w:rPr>
        <w:t> </w:t>
      </w:r>
      <w:r>
        <w:rPr/>
        <w:t>of</w:t>
      </w:r>
      <w:r>
        <w:rPr>
          <w:spacing w:val="-12"/>
        </w:rPr>
        <w:t> </w:t>
      </w:r>
      <w:r>
        <w:rPr/>
        <w:t>expressing</w:t>
      </w:r>
      <w:r>
        <w:rPr>
          <w:spacing w:val="-9"/>
        </w:rPr>
        <w:t> </w:t>
      </w:r>
      <w:r>
        <w:rPr/>
        <w:t>their</w:t>
      </w:r>
      <w:r>
        <w:rPr>
          <w:spacing w:val="-7"/>
        </w:rPr>
        <w:t> </w:t>
      </w:r>
      <w:r>
        <w:rPr/>
        <w:t>political</w:t>
      </w:r>
      <w:r>
        <w:rPr>
          <w:spacing w:val="-10"/>
        </w:rPr>
        <w:t> </w:t>
      </w:r>
      <w:r>
        <w:rPr/>
        <w:t>opinions,</w:t>
      </w:r>
      <w:r>
        <w:rPr>
          <w:spacing w:val="-7"/>
        </w:rPr>
        <w:t> </w:t>
      </w:r>
      <w:r>
        <w:rPr/>
        <w:t>such as through dialogue, memory, mourning, or negotiation. It is through these methods of expression that they illuminate the emotional and ethical</w:t>
      </w:r>
      <w:r>
        <w:rPr>
          <w:spacing w:val="-13"/>
        </w:rPr>
        <w:t> </w:t>
      </w:r>
      <w:r>
        <w:rPr/>
        <w:t>aspects</w:t>
      </w:r>
      <w:r>
        <w:rPr>
          <w:spacing w:val="-12"/>
        </w:rPr>
        <w:t> </w:t>
      </w:r>
      <w:r>
        <w:rPr/>
        <w:t>of</w:t>
      </w:r>
      <w:r>
        <w:rPr>
          <w:spacing w:val="-13"/>
        </w:rPr>
        <w:t> </w:t>
      </w:r>
      <w:r>
        <w:rPr/>
        <w:t>authority</w:t>
      </w:r>
      <w:r>
        <w:rPr>
          <w:spacing w:val="-12"/>
        </w:rPr>
        <w:t> </w:t>
      </w:r>
      <w:r>
        <w:rPr/>
        <w:t>that</w:t>
      </w:r>
      <w:r>
        <w:rPr>
          <w:spacing w:val="-11"/>
        </w:rPr>
        <w:t> </w:t>
      </w:r>
      <w:r>
        <w:rPr/>
        <w:t>are</w:t>
      </w:r>
      <w:r>
        <w:rPr>
          <w:spacing w:val="-11"/>
        </w:rPr>
        <w:t> </w:t>
      </w:r>
      <w:r>
        <w:rPr/>
        <w:t>typically</w:t>
      </w:r>
      <w:r>
        <w:rPr>
          <w:spacing w:val="-13"/>
        </w:rPr>
        <w:t> </w:t>
      </w:r>
      <w:r>
        <w:rPr/>
        <w:t>overlooked</w:t>
      </w:r>
      <w:r>
        <w:rPr>
          <w:spacing w:val="-8"/>
        </w:rPr>
        <w:t> </w:t>
      </w:r>
      <w:r>
        <w:rPr/>
        <w:t>in</w:t>
      </w:r>
      <w:r>
        <w:rPr>
          <w:spacing w:val="-13"/>
        </w:rPr>
        <w:t> </w:t>
      </w:r>
      <w:r>
        <w:rPr/>
        <w:t>male-focused political narratives.</w:t>
      </w:r>
    </w:p>
    <w:p>
      <w:pPr>
        <w:pStyle w:val="BodyText"/>
        <w:spacing w:line="249" w:lineRule="auto" w:before="74"/>
        <w:ind w:right="1437" w:firstLine="432"/>
        <w:jc w:val="both"/>
      </w:pPr>
      <w:r>
        <w:rPr/>
        <w:t>Subjectively,</w:t>
      </w:r>
      <w:r>
        <w:rPr>
          <w:spacing w:val="-5"/>
        </w:rPr>
        <w:t> </w:t>
      </w:r>
      <w:r>
        <w:rPr/>
        <w:t>these</w:t>
      </w:r>
      <w:r>
        <w:rPr>
          <w:spacing w:val="-4"/>
        </w:rPr>
        <w:t> </w:t>
      </w:r>
      <w:r>
        <w:rPr/>
        <w:t>women</w:t>
      </w:r>
      <w:r>
        <w:rPr>
          <w:spacing w:val="-7"/>
        </w:rPr>
        <w:t> </w:t>
      </w:r>
      <w:r>
        <w:rPr/>
        <w:t>experience</w:t>
      </w:r>
      <w:r>
        <w:rPr>
          <w:spacing w:val="-6"/>
        </w:rPr>
        <w:t> </w:t>
      </w:r>
      <w:r>
        <w:rPr/>
        <w:t>a</w:t>
      </w:r>
      <w:r>
        <w:rPr>
          <w:spacing w:val="-3"/>
        </w:rPr>
        <w:t> </w:t>
      </w:r>
      <w:r>
        <w:rPr/>
        <w:t>heightened</w:t>
      </w:r>
      <w:r>
        <w:rPr>
          <w:spacing w:val="-5"/>
        </w:rPr>
        <w:t> </w:t>
      </w:r>
      <w:r>
        <w:rPr/>
        <w:t>sense</w:t>
      </w:r>
      <w:r>
        <w:rPr>
          <w:spacing w:val="-3"/>
        </w:rPr>
        <w:t> </w:t>
      </w:r>
      <w:r>
        <w:rPr/>
        <w:t>of</w:t>
      </w:r>
      <w:r>
        <w:rPr>
          <w:spacing w:val="-7"/>
        </w:rPr>
        <w:t> </w:t>
      </w:r>
      <w:r>
        <w:rPr/>
        <w:t>being in the moment - regardless of the systemic marginalization that may occur around them. The authors express themselves through emotional depth and strong moral positioning; these voices reflect the human</w:t>
      </w:r>
      <w:r>
        <w:rPr>
          <w:spacing w:val="40"/>
        </w:rPr>
        <w:t> </w:t>
      </w:r>
      <w:r>
        <w:rPr/>
        <w:t>costs associated with trying to obtain power from political ambitions. According</w:t>
      </w:r>
      <w:r>
        <w:rPr>
          <w:spacing w:val="-12"/>
        </w:rPr>
        <w:t> </w:t>
      </w:r>
      <w:r>
        <w:rPr/>
        <w:t>to</w:t>
      </w:r>
      <w:r>
        <w:rPr>
          <w:spacing w:val="-9"/>
        </w:rPr>
        <w:t> </w:t>
      </w:r>
      <w:r>
        <w:rPr/>
        <w:t>Greenblatt</w:t>
      </w:r>
      <w:r>
        <w:rPr>
          <w:spacing w:val="-11"/>
        </w:rPr>
        <w:t> </w:t>
      </w:r>
      <w:r>
        <w:rPr/>
        <w:t>(1988),</w:t>
      </w:r>
      <w:r>
        <w:rPr>
          <w:spacing w:val="-11"/>
        </w:rPr>
        <w:t> </w:t>
      </w:r>
      <w:r>
        <w:rPr/>
        <w:t>power</w:t>
      </w:r>
      <w:r>
        <w:rPr>
          <w:spacing w:val="-9"/>
        </w:rPr>
        <w:t> </w:t>
      </w:r>
      <w:r>
        <w:rPr/>
        <w:t>is</w:t>
      </w:r>
      <w:r>
        <w:rPr>
          <w:spacing w:val="-11"/>
        </w:rPr>
        <w:t> </w:t>
      </w:r>
      <w:r>
        <w:rPr/>
        <w:t>present</w:t>
      </w:r>
      <w:r>
        <w:rPr>
          <w:spacing w:val="-12"/>
        </w:rPr>
        <w:t> </w:t>
      </w:r>
      <w:r>
        <w:rPr/>
        <w:t>on</w:t>
      </w:r>
      <w:r>
        <w:rPr>
          <w:spacing w:val="-12"/>
        </w:rPr>
        <w:t> </w:t>
      </w:r>
      <w:r>
        <w:rPr/>
        <w:t>all</w:t>
      </w:r>
      <w:r>
        <w:rPr>
          <w:spacing w:val="-11"/>
        </w:rPr>
        <w:t> </w:t>
      </w:r>
      <w:r>
        <w:rPr/>
        <w:t>levels</w:t>
      </w:r>
      <w:r>
        <w:rPr>
          <w:spacing w:val="-11"/>
        </w:rPr>
        <w:t> </w:t>
      </w:r>
      <w:r>
        <w:rPr/>
        <w:t>of</w:t>
      </w:r>
      <w:r>
        <w:rPr>
          <w:spacing w:val="-12"/>
        </w:rPr>
        <w:t> </w:t>
      </w:r>
      <w:r>
        <w:rPr/>
        <w:t>society, even those called marginal to society (p. 97). Consequently, this paper argues that women in the historical plays of Shakespeare do not serve</w:t>
      </w:r>
      <w:r>
        <w:rPr>
          <w:spacing w:val="40"/>
        </w:rPr>
        <w:t> </w:t>
      </w:r>
      <w:r>
        <w:rPr/>
        <w:t>as</w:t>
      </w:r>
      <w:r>
        <w:rPr>
          <w:spacing w:val="36"/>
        </w:rPr>
        <w:t> </w:t>
      </w:r>
      <w:r>
        <w:rPr/>
        <w:t>passive</w:t>
      </w:r>
      <w:r>
        <w:rPr>
          <w:spacing w:val="38"/>
        </w:rPr>
        <w:t> </w:t>
      </w:r>
      <w:r>
        <w:rPr/>
        <w:t>entities</w:t>
      </w:r>
      <w:r>
        <w:rPr>
          <w:spacing w:val="38"/>
        </w:rPr>
        <w:t> </w:t>
      </w:r>
      <w:r>
        <w:rPr/>
        <w:t>in</w:t>
      </w:r>
      <w:r>
        <w:rPr>
          <w:spacing w:val="39"/>
        </w:rPr>
        <w:t> </w:t>
      </w:r>
      <w:r>
        <w:rPr/>
        <w:t>relation</w:t>
      </w:r>
      <w:r>
        <w:rPr>
          <w:spacing w:val="35"/>
        </w:rPr>
        <w:t> </w:t>
      </w:r>
      <w:r>
        <w:rPr/>
        <w:t>to</w:t>
      </w:r>
      <w:r>
        <w:rPr>
          <w:spacing w:val="40"/>
        </w:rPr>
        <w:t> </w:t>
      </w:r>
      <w:r>
        <w:rPr/>
        <w:t>authority</w:t>
      </w:r>
      <w:r>
        <w:rPr>
          <w:spacing w:val="33"/>
        </w:rPr>
        <w:t> </w:t>
      </w:r>
      <w:r>
        <w:rPr/>
        <w:t>but</w:t>
      </w:r>
      <w:r>
        <w:rPr>
          <w:spacing w:val="39"/>
        </w:rPr>
        <w:t> </w:t>
      </w:r>
      <w:r>
        <w:rPr/>
        <w:t>rather</w:t>
      </w:r>
      <w:r>
        <w:rPr>
          <w:spacing w:val="39"/>
        </w:rPr>
        <w:t> </w:t>
      </w:r>
      <w:r>
        <w:rPr/>
        <w:t>serve</w:t>
      </w:r>
      <w:r>
        <w:rPr>
          <w:spacing w:val="38"/>
        </w:rPr>
        <w:t> </w:t>
      </w:r>
      <w:r>
        <w:rPr/>
        <w:t>as</w:t>
      </w:r>
      <w:r>
        <w:rPr>
          <w:spacing w:val="37"/>
        </w:rPr>
        <w:t> </w:t>
      </w:r>
      <w:r>
        <w:rPr>
          <w:spacing w:val="-2"/>
        </w:rPr>
        <w:t>active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39392">
                <wp:simplePos x="0" y="0"/>
                <wp:positionH relativeFrom="page">
                  <wp:posOffset>2057400</wp:posOffset>
                </wp:positionH>
                <wp:positionV relativeFrom="paragraph">
                  <wp:posOffset>162604</wp:posOffset>
                </wp:positionV>
                <wp:extent cx="3657600" cy="12700"/>
                <wp:effectExtent l="0" t="0" r="0" b="0"/>
                <wp:wrapTopAndBottom/>
                <wp:docPr id="446" name="Graphic 446"/>
                <wp:cNvGraphicFramePr>
                  <a:graphicFrameLocks/>
                </wp:cNvGraphicFramePr>
                <a:graphic>
                  <a:graphicData uri="http://schemas.microsoft.com/office/word/2010/wordprocessingShape">
                    <wps:wsp>
                      <wps:cNvPr id="446" name="Graphic 44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77088;mso-wrap-distance-left:0;mso-wrap-distance-right:0" id="docshape441" filled="true" fillcolor="#000000" stroked="false">
                <v:fill type="solid"/>
                <w10:wrap type="topAndBottom"/>
              </v:rect>
            </w:pict>
          </mc:Fallback>
        </mc:AlternateContent>
      </w:r>
      <w:r>
        <w:rPr>
          <w:rFonts w:ascii="Verdana"/>
          <w:spacing w:val="-5"/>
          <w:sz w:val="18"/>
        </w:rPr>
        <w:t>190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interpreters</w:t>
      </w:r>
      <w:r>
        <w:rPr>
          <w:spacing w:val="40"/>
        </w:rPr>
        <w:t> </w:t>
      </w:r>
      <w:r>
        <w:rPr/>
        <w:t>of</w:t>
      </w:r>
      <w:r>
        <w:rPr>
          <w:spacing w:val="40"/>
        </w:rPr>
        <w:t> </w:t>
      </w:r>
      <w:r>
        <w:rPr/>
        <w:t>the</w:t>
      </w:r>
      <w:r>
        <w:rPr>
          <w:spacing w:val="40"/>
        </w:rPr>
        <w:t> </w:t>
      </w:r>
      <w:r>
        <w:rPr/>
        <w:t>political</w:t>
      </w:r>
      <w:r>
        <w:rPr>
          <w:spacing w:val="40"/>
        </w:rPr>
        <w:t> </w:t>
      </w:r>
      <w:r>
        <w:rPr/>
        <w:t>reality,</w:t>
      </w:r>
      <w:r>
        <w:rPr>
          <w:spacing w:val="40"/>
        </w:rPr>
        <w:t> </w:t>
      </w:r>
      <w:r>
        <w:rPr/>
        <w:t>thereby</w:t>
      </w:r>
      <w:r>
        <w:rPr>
          <w:spacing w:val="39"/>
        </w:rPr>
        <w:t> </w:t>
      </w:r>
      <w:r>
        <w:rPr/>
        <w:t>confronting</w:t>
      </w:r>
      <w:r>
        <w:rPr>
          <w:spacing w:val="40"/>
        </w:rPr>
        <w:t> </w:t>
      </w:r>
      <w:r>
        <w:rPr/>
        <w:t>the</w:t>
      </w:r>
      <w:r>
        <w:rPr>
          <w:spacing w:val="40"/>
        </w:rPr>
        <w:t> </w:t>
      </w:r>
      <w:r>
        <w:rPr/>
        <w:t>reigning interpretations</w:t>
      </w:r>
      <w:r>
        <w:rPr>
          <w:spacing w:val="40"/>
        </w:rPr>
        <w:t> </w:t>
      </w:r>
      <w:r>
        <w:rPr/>
        <w:t>of</w:t>
      </w:r>
      <w:r>
        <w:rPr>
          <w:spacing w:val="40"/>
        </w:rPr>
        <w:t> </w:t>
      </w:r>
      <w:r>
        <w:rPr/>
        <w:t>authority.</w:t>
      </w:r>
    </w:p>
    <w:p>
      <w:pPr>
        <w:pStyle w:val="Heading3"/>
        <w:numPr>
          <w:ilvl w:val="0"/>
          <w:numId w:val="37"/>
        </w:numPr>
        <w:tabs>
          <w:tab w:pos="1713" w:val="left" w:leader="none"/>
        </w:tabs>
        <w:spacing w:line="240" w:lineRule="auto" w:before="155" w:after="0"/>
        <w:ind w:left="1713" w:right="0" w:hanging="273"/>
        <w:jc w:val="left"/>
      </w:pPr>
      <w:r>
        <w:rPr>
          <w:w w:val="90"/>
        </w:rPr>
        <w:t>REVIEW</w:t>
      </w:r>
      <w:r>
        <w:rPr>
          <w:spacing w:val="-1"/>
          <w:w w:val="90"/>
        </w:rPr>
        <w:t> </w:t>
      </w:r>
      <w:r>
        <w:rPr>
          <w:w w:val="90"/>
        </w:rPr>
        <w:t>OF</w:t>
      </w:r>
      <w:r>
        <w:rPr>
          <w:spacing w:val="-7"/>
        </w:rPr>
        <w:t> </w:t>
      </w:r>
      <w:r>
        <w:rPr>
          <w:spacing w:val="-2"/>
          <w:w w:val="90"/>
        </w:rPr>
        <w:t>LITERATURE:</w:t>
      </w:r>
    </w:p>
    <w:p>
      <w:pPr>
        <w:pStyle w:val="BodyText"/>
        <w:spacing w:line="249" w:lineRule="auto" w:before="76"/>
        <w:ind w:right="1439" w:firstLine="432"/>
        <w:jc w:val="both"/>
      </w:pPr>
      <w:r>
        <w:rPr/>
        <w:t>With the emergence of</w:t>
      </w:r>
      <w:r>
        <w:rPr>
          <w:spacing w:val="-2"/>
        </w:rPr>
        <w:t> </w:t>
      </w:r>
      <w:r>
        <w:rPr/>
        <w:t>new</w:t>
      </w:r>
      <w:r>
        <w:rPr>
          <w:spacing w:val="-4"/>
        </w:rPr>
        <w:t> </w:t>
      </w:r>
      <w:r>
        <w:rPr/>
        <w:t>feminist theories, there has</w:t>
      </w:r>
      <w:r>
        <w:rPr>
          <w:spacing w:val="-2"/>
        </w:rPr>
        <w:t> </w:t>
      </w:r>
      <w:r>
        <w:rPr/>
        <w:t>been</w:t>
      </w:r>
      <w:r>
        <w:rPr>
          <w:spacing w:val="-2"/>
        </w:rPr>
        <w:t> </w:t>
      </w:r>
      <w:r>
        <w:rPr/>
        <w:t>great interest in the representation of women in Shakespeare’s work. (Elaine Showalter 1985)</w:t>
      </w:r>
      <w:r>
        <w:rPr>
          <w:spacing w:val="15"/>
        </w:rPr>
        <w:t> </w:t>
      </w:r>
      <w:r>
        <w:rPr/>
        <w:t>has pointed</w:t>
      </w:r>
      <w:r>
        <w:rPr>
          <w:spacing w:val="15"/>
        </w:rPr>
        <w:t> </w:t>
      </w:r>
      <w:r>
        <w:rPr/>
        <w:t>out that</w:t>
      </w:r>
      <w:r>
        <w:rPr>
          <w:spacing w:val="15"/>
        </w:rPr>
        <w:t> </w:t>
      </w:r>
      <w:r>
        <w:rPr/>
        <w:t>female characters are</w:t>
      </w:r>
      <w:r>
        <w:rPr>
          <w:spacing w:val="15"/>
        </w:rPr>
        <w:t> </w:t>
      </w:r>
      <w:r>
        <w:rPr/>
        <w:t>created</w:t>
      </w:r>
      <w:r>
        <w:rPr>
          <w:spacing w:val="15"/>
        </w:rPr>
        <w:t> </w:t>
      </w:r>
      <w:r>
        <w:rPr/>
        <w:t>by</w:t>
      </w:r>
      <w:r>
        <w:rPr>
          <w:spacing w:val="40"/>
        </w:rPr>
        <w:t> </w:t>
      </w:r>
      <w:r>
        <w:rPr/>
        <w:t>a patriarchal culture, with clear limitations on both their roles and capacity to express themselves. In her opinion, women’s voices are conditioned by society’s expectations; thus, their acts of emotional </w:t>
      </w:r>
      <w:r>
        <w:rPr>
          <w:spacing w:val="-2"/>
        </w:rPr>
        <w:t>expression</w:t>
      </w:r>
      <w:r>
        <w:rPr>
          <w:spacing w:val="-3"/>
        </w:rPr>
        <w:t> </w:t>
      </w:r>
      <w:r>
        <w:rPr>
          <w:spacing w:val="-2"/>
        </w:rPr>
        <w:t>and resistance</w:t>
      </w:r>
      <w:r>
        <w:rPr>
          <w:spacing w:val="-3"/>
        </w:rPr>
        <w:t> </w:t>
      </w:r>
      <w:r>
        <w:rPr>
          <w:spacing w:val="-2"/>
        </w:rPr>
        <w:t>are extremely</w:t>
      </w:r>
      <w:r>
        <w:rPr>
          <w:spacing w:val="-3"/>
        </w:rPr>
        <w:t> </w:t>
      </w:r>
      <w:r>
        <w:rPr>
          <w:spacing w:val="-2"/>
        </w:rPr>
        <w:t>important. (Phyllis</w:t>
      </w:r>
      <w:r>
        <w:rPr>
          <w:spacing w:val="-3"/>
        </w:rPr>
        <w:t> </w:t>
      </w:r>
      <w:r>
        <w:rPr>
          <w:spacing w:val="-2"/>
        </w:rPr>
        <w:t>Rackin</w:t>
      </w:r>
      <w:r>
        <w:rPr>
          <w:spacing w:val="-3"/>
        </w:rPr>
        <w:t> </w:t>
      </w:r>
      <w:r>
        <w:rPr>
          <w:spacing w:val="-2"/>
        </w:rPr>
        <w:t>2005) </w:t>
      </w:r>
      <w:r>
        <w:rPr/>
        <w:t>has</w:t>
      </w:r>
      <w:r>
        <w:rPr>
          <w:spacing w:val="-1"/>
        </w:rPr>
        <w:t> </w:t>
      </w:r>
      <w:r>
        <w:rPr/>
        <w:t>studied</w:t>
      </w:r>
      <w:r>
        <w:rPr>
          <w:spacing w:val="-1"/>
        </w:rPr>
        <w:t> </w:t>
      </w:r>
      <w:r>
        <w:rPr/>
        <w:t>women</w:t>
      </w:r>
      <w:r>
        <w:rPr>
          <w:spacing w:val="-1"/>
        </w:rPr>
        <w:t> </w:t>
      </w:r>
      <w:r>
        <w:rPr/>
        <w:t>in</w:t>
      </w:r>
      <w:r>
        <w:rPr>
          <w:spacing w:val="-2"/>
        </w:rPr>
        <w:t> </w:t>
      </w:r>
      <w:r>
        <w:rPr/>
        <w:t>Shakespeare’s</w:t>
      </w:r>
      <w:r>
        <w:rPr>
          <w:spacing w:val="-1"/>
        </w:rPr>
        <w:t> </w:t>
      </w:r>
      <w:r>
        <w:rPr/>
        <w:t>historical</w:t>
      </w:r>
      <w:r>
        <w:rPr>
          <w:spacing w:val="-2"/>
        </w:rPr>
        <w:t> </w:t>
      </w:r>
      <w:r>
        <w:rPr/>
        <w:t>plays</w:t>
      </w:r>
      <w:r>
        <w:rPr>
          <w:spacing w:val="-1"/>
        </w:rPr>
        <w:t> </w:t>
      </w:r>
      <w:r>
        <w:rPr/>
        <w:t>and</w:t>
      </w:r>
      <w:r>
        <w:rPr>
          <w:spacing w:val="-1"/>
        </w:rPr>
        <w:t> </w:t>
      </w:r>
      <w:r>
        <w:rPr/>
        <w:t>has</w:t>
      </w:r>
      <w:r>
        <w:rPr>
          <w:spacing w:val="-1"/>
        </w:rPr>
        <w:t> </w:t>
      </w:r>
      <w:r>
        <w:rPr/>
        <w:t>concluded that they are exemplars of memory and morality, serving as reminders of the consequences of men’s struggles for power. Whereas men participate in conflict to obtain power, women articulate the losses caused by such struggles; they raise awareness of loss, injustice, and </w:t>
      </w:r>
      <w:r>
        <w:rPr>
          <w:spacing w:val="-2"/>
        </w:rPr>
        <w:t>suffering</w:t>
      </w:r>
      <w:r>
        <w:rPr>
          <w:spacing w:val="-11"/>
        </w:rPr>
        <w:t> </w:t>
      </w:r>
      <w:r>
        <w:rPr>
          <w:spacing w:val="-2"/>
        </w:rPr>
        <w:t>in</w:t>
      </w:r>
      <w:r>
        <w:rPr>
          <w:spacing w:val="-10"/>
        </w:rPr>
        <w:t> </w:t>
      </w:r>
      <w:r>
        <w:rPr>
          <w:spacing w:val="-2"/>
        </w:rPr>
        <w:t>their</w:t>
      </w:r>
      <w:r>
        <w:rPr>
          <w:spacing w:val="-11"/>
        </w:rPr>
        <w:t> </w:t>
      </w:r>
      <w:r>
        <w:rPr>
          <w:spacing w:val="-2"/>
        </w:rPr>
        <w:t>communities.</w:t>
      </w:r>
      <w:r>
        <w:rPr>
          <w:spacing w:val="-10"/>
        </w:rPr>
        <w:t> </w:t>
      </w:r>
      <w:r>
        <w:rPr>
          <w:spacing w:val="-2"/>
        </w:rPr>
        <w:t>Using</w:t>
      </w:r>
      <w:r>
        <w:rPr>
          <w:spacing w:val="-11"/>
        </w:rPr>
        <w:t> </w:t>
      </w:r>
      <w:r>
        <w:rPr>
          <w:spacing w:val="-2"/>
        </w:rPr>
        <w:t>a</w:t>
      </w:r>
      <w:r>
        <w:rPr>
          <w:spacing w:val="-10"/>
        </w:rPr>
        <w:t> </w:t>
      </w:r>
      <w:r>
        <w:rPr>
          <w:spacing w:val="-2"/>
        </w:rPr>
        <w:t>new</w:t>
      </w:r>
      <w:r>
        <w:rPr>
          <w:spacing w:val="-11"/>
        </w:rPr>
        <w:t> </w:t>
      </w:r>
      <w:r>
        <w:rPr>
          <w:spacing w:val="-2"/>
        </w:rPr>
        <w:t>historicist</w:t>
      </w:r>
      <w:r>
        <w:rPr>
          <w:spacing w:val="-10"/>
        </w:rPr>
        <w:t> </w:t>
      </w:r>
      <w:r>
        <w:rPr>
          <w:spacing w:val="-2"/>
        </w:rPr>
        <w:t>approach,</w:t>
      </w:r>
      <w:r>
        <w:rPr>
          <w:spacing w:val="-11"/>
        </w:rPr>
        <w:t> </w:t>
      </w:r>
      <w:r>
        <w:rPr>
          <w:spacing w:val="-2"/>
        </w:rPr>
        <w:t>(Stephen </w:t>
      </w:r>
      <w:r>
        <w:rPr/>
        <w:t>Greenblatt 1988) describes how power does not belong to individuals rather, it moves through shared social/cultural interactions; therefore, even the most marginalized of people can give meaning to political situations. Thus, while women’s words may have been neglected historically, they also can provide an alternate interpretation of events</w:t>
      </w:r>
      <w:r>
        <w:rPr>
          <w:spacing w:val="40"/>
        </w:rPr>
        <w:t> </w:t>
      </w:r>
      <w:r>
        <w:rPr/>
        <w:t>in the political sphere.</w:t>
      </w:r>
    </w:p>
    <w:p>
      <w:pPr>
        <w:pStyle w:val="BodyText"/>
        <w:spacing w:line="249" w:lineRule="auto" w:before="73"/>
        <w:ind w:right="1438" w:firstLine="432"/>
        <w:jc w:val="both"/>
      </w:pPr>
      <w:r>
        <w:rPr/>
        <w:t>Carol Thomas Neely likewise examines the role that gender plays in shaping how emotion is expressed within the works of Shakespeare (2004),</w:t>
      </w:r>
      <w:r>
        <w:rPr>
          <w:spacing w:val="-4"/>
        </w:rPr>
        <w:t> </w:t>
      </w:r>
      <w:r>
        <w:rPr/>
        <w:t>arguing</w:t>
      </w:r>
      <w:r>
        <w:rPr>
          <w:spacing w:val="-5"/>
        </w:rPr>
        <w:t> </w:t>
      </w:r>
      <w:r>
        <w:rPr/>
        <w:t>that</w:t>
      </w:r>
      <w:r>
        <w:rPr>
          <w:spacing w:val="-2"/>
        </w:rPr>
        <w:t> </w:t>
      </w:r>
      <w:r>
        <w:rPr/>
        <w:t>grief</w:t>
      </w:r>
      <w:r>
        <w:rPr>
          <w:spacing w:val="-5"/>
        </w:rPr>
        <w:t> </w:t>
      </w:r>
      <w:r>
        <w:rPr/>
        <w:t>and</w:t>
      </w:r>
      <w:r>
        <w:rPr>
          <w:spacing w:val="-2"/>
        </w:rPr>
        <w:t> </w:t>
      </w:r>
      <w:r>
        <w:rPr/>
        <w:t>anguish</w:t>
      </w:r>
      <w:r>
        <w:rPr>
          <w:spacing w:val="-5"/>
        </w:rPr>
        <w:t> </w:t>
      </w:r>
      <w:r>
        <w:rPr/>
        <w:t>experienced</w:t>
      </w:r>
      <w:r>
        <w:rPr>
          <w:spacing w:val="-4"/>
        </w:rPr>
        <w:t> </w:t>
      </w:r>
      <w:r>
        <w:rPr/>
        <w:t>by</w:t>
      </w:r>
      <w:r>
        <w:rPr>
          <w:spacing w:val="-5"/>
        </w:rPr>
        <w:t> </w:t>
      </w:r>
      <w:r>
        <w:rPr/>
        <w:t>women</w:t>
      </w:r>
      <w:r>
        <w:rPr>
          <w:spacing w:val="-5"/>
        </w:rPr>
        <w:t> </w:t>
      </w:r>
      <w:r>
        <w:rPr/>
        <w:t>should</w:t>
      </w:r>
      <w:r>
        <w:rPr>
          <w:spacing w:val="-4"/>
        </w:rPr>
        <w:t> </w:t>
      </w:r>
      <w:r>
        <w:rPr/>
        <w:t>be respected as valid reactions rather than seen solely as irrational </w:t>
      </w:r>
      <w:r>
        <w:rPr>
          <w:spacing w:val="-2"/>
        </w:rPr>
        <w:t>responses</w:t>
      </w:r>
      <w:r>
        <w:rPr>
          <w:spacing w:val="-3"/>
        </w:rPr>
        <w:t> </w:t>
      </w:r>
      <w:r>
        <w:rPr>
          <w:spacing w:val="-2"/>
        </w:rPr>
        <w:t>to forced</w:t>
      </w:r>
      <w:r>
        <w:rPr>
          <w:spacing w:val="-3"/>
        </w:rPr>
        <w:t> </w:t>
      </w:r>
      <w:r>
        <w:rPr>
          <w:spacing w:val="-2"/>
        </w:rPr>
        <w:t>constraints on</w:t>
      </w:r>
      <w:r>
        <w:rPr>
          <w:spacing w:val="-3"/>
        </w:rPr>
        <w:t> </w:t>
      </w:r>
      <w:r>
        <w:rPr>
          <w:spacing w:val="-2"/>
        </w:rPr>
        <w:t>their lives.</w:t>
      </w:r>
      <w:r>
        <w:rPr>
          <w:spacing w:val="-3"/>
        </w:rPr>
        <w:t> </w:t>
      </w:r>
      <w:r>
        <w:rPr>
          <w:spacing w:val="-2"/>
        </w:rPr>
        <w:t>Neely’s</w:t>
      </w:r>
      <w:r>
        <w:rPr>
          <w:spacing w:val="-3"/>
        </w:rPr>
        <w:t> </w:t>
      </w:r>
      <w:r>
        <w:rPr>
          <w:spacing w:val="-2"/>
        </w:rPr>
        <w:t>viewpoint prov;des </w:t>
      </w:r>
      <w:r>
        <w:rPr/>
        <w:t>a useful way to look at female characters who have a strong emotional display,</w:t>
      </w:r>
      <w:r>
        <w:rPr>
          <w:spacing w:val="-11"/>
        </w:rPr>
        <w:t> </w:t>
      </w:r>
      <w:r>
        <w:rPr/>
        <w:t>such</w:t>
      </w:r>
      <w:r>
        <w:rPr>
          <w:spacing w:val="-10"/>
        </w:rPr>
        <w:t> </w:t>
      </w:r>
      <w:r>
        <w:rPr/>
        <w:t>as</w:t>
      </w:r>
      <w:r>
        <w:rPr>
          <w:spacing w:val="-13"/>
        </w:rPr>
        <w:t> </w:t>
      </w:r>
      <w:r>
        <w:rPr/>
        <w:t>that</w:t>
      </w:r>
      <w:r>
        <w:rPr>
          <w:spacing w:val="-10"/>
        </w:rPr>
        <w:t> </w:t>
      </w:r>
      <w:r>
        <w:rPr/>
        <w:t>displayed</w:t>
      </w:r>
      <w:r>
        <w:rPr>
          <w:spacing w:val="-8"/>
        </w:rPr>
        <w:t> </w:t>
      </w:r>
      <w:r>
        <w:rPr/>
        <w:t>by</w:t>
      </w:r>
      <w:r>
        <w:rPr>
          <w:spacing w:val="-12"/>
        </w:rPr>
        <w:t> </w:t>
      </w:r>
      <w:r>
        <w:rPr/>
        <w:t>Constance,</w:t>
      </w:r>
      <w:r>
        <w:rPr>
          <w:spacing w:val="-10"/>
        </w:rPr>
        <w:t> </w:t>
      </w:r>
      <w:r>
        <w:rPr/>
        <w:t>from</w:t>
      </w:r>
      <w:r>
        <w:rPr>
          <w:spacing w:val="-12"/>
        </w:rPr>
        <w:t> </w:t>
      </w:r>
      <w:r>
        <w:rPr/>
        <w:t>a</w:t>
      </w:r>
      <w:r>
        <w:rPr>
          <w:spacing w:val="-10"/>
        </w:rPr>
        <w:t> </w:t>
      </w:r>
      <w:r>
        <w:rPr/>
        <w:t>political</w:t>
      </w:r>
      <w:r>
        <w:rPr>
          <w:spacing w:val="-10"/>
        </w:rPr>
        <w:t> </w:t>
      </w:r>
      <w:r>
        <w:rPr>
          <w:spacing w:val="-2"/>
        </w:rPr>
        <w:t>standpoint.</w:t>
      </w:r>
    </w:p>
    <w:p>
      <w:pPr>
        <w:pStyle w:val="Heading3"/>
        <w:numPr>
          <w:ilvl w:val="0"/>
          <w:numId w:val="37"/>
        </w:numPr>
        <w:tabs>
          <w:tab w:pos="1699" w:val="left" w:leader="none"/>
        </w:tabs>
        <w:spacing w:line="240" w:lineRule="auto" w:before="161" w:after="0"/>
        <w:ind w:left="1699" w:right="0" w:hanging="259"/>
        <w:jc w:val="left"/>
      </w:pPr>
      <w:r>
        <w:rPr>
          <w:spacing w:val="-2"/>
        </w:rPr>
        <w:t>METHODOLOGY:</w:t>
      </w:r>
    </w:p>
    <w:p>
      <w:pPr>
        <w:pStyle w:val="BodyText"/>
        <w:spacing w:line="249" w:lineRule="auto" w:before="76"/>
        <w:ind w:right="1437" w:firstLine="432"/>
        <w:jc w:val="both"/>
      </w:pPr>
      <w:r>
        <w:rPr/>
        <w:t>An</w:t>
      </w:r>
      <w:r>
        <w:rPr>
          <w:spacing w:val="-8"/>
        </w:rPr>
        <w:t> </w:t>
      </w:r>
      <w:r>
        <w:rPr/>
        <w:t>interpretive</w:t>
      </w:r>
      <w:r>
        <w:rPr>
          <w:spacing w:val="-6"/>
        </w:rPr>
        <w:t> </w:t>
      </w:r>
      <w:r>
        <w:rPr/>
        <w:t>qualitative</w:t>
      </w:r>
      <w:r>
        <w:rPr>
          <w:spacing w:val="-8"/>
        </w:rPr>
        <w:t> </w:t>
      </w:r>
      <w:r>
        <w:rPr/>
        <w:t>methodology</w:t>
      </w:r>
      <w:r>
        <w:rPr>
          <w:spacing w:val="-7"/>
        </w:rPr>
        <w:t> </w:t>
      </w:r>
      <w:r>
        <w:rPr/>
        <w:t>was</w:t>
      </w:r>
      <w:r>
        <w:rPr>
          <w:spacing w:val="-8"/>
        </w:rPr>
        <w:t> </w:t>
      </w:r>
      <w:r>
        <w:rPr/>
        <w:t>employed</w:t>
      </w:r>
      <w:r>
        <w:rPr>
          <w:spacing w:val="-5"/>
        </w:rPr>
        <w:t> </w:t>
      </w:r>
      <w:r>
        <w:rPr/>
        <w:t>to</w:t>
      </w:r>
      <w:r>
        <w:rPr>
          <w:spacing w:val="-7"/>
        </w:rPr>
        <w:t> </w:t>
      </w:r>
      <w:r>
        <w:rPr/>
        <w:t>evaluate the representation of women in selected historical plays by William Shakespeare. The plays have historically demonstrated a consistent representation of women in various forms of power; however, there are multiple forms of power displayed throughout the plays. Selected </w:t>
      </w:r>
      <w:r>
        <w:rPr>
          <w:spacing w:val="-2"/>
        </w:rPr>
        <w:t>historical</w:t>
      </w:r>
      <w:r>
        <w:rPr>
          <w:spacing w:val="-11"/>
        </w:rPr>
        <w:t> </w:t>
      </w:r>
      <w:r>
        <w:rPr>
          <w:spacing w:val="-2"/>
        </w:rPr>
        <w:t>women</w:t>
      </w:r>
      <w:r>
        <w:rPr>
          <w:spacing w:val="-10"/>
        </w:rPr>
        <w:t> </w:t>
      </w:r>
      <w:r>
        <w:rPr>
          <w:spacing w:val="-2"/>
        </w:rPr>
        <w:t>used</w:t>
      </w:r>
      <w:r>
        <w:rPr>
          <w:spacing w:val="-11"/>
        </w:rPr>
        <w:t> </w:t>
      </w:r>
      <w:r>
        <w:rPr>
          <w:spacing w:val="-2"/>
        </w:rPr>
        <w:t>as</w:t>
      </w:r>
      <w:r>
        <w:rPr>
          <w:spacing w:val="-10"/>
        </w:rPr>
        <w:t> </w:t>
      </w:r>
      <w:r>
        <w:rPr>
          <w:spacing w:val="-2"/>
        </w:rPr>
        <w:t>examples</w:t>
      </w:r>
      <w:r>
        <w:rPr>
          <w:spacing w:val="-9"/>
        </w:rPr>
        <w:t> </w:t>
      </w:r>
      <w:r>
        <w:rPr>
          <w:spacing w:val="-2"/>
        </w:rPr>
        <w:t>in</w:t>
      </w:r>
      <w:r>
        <w:rPr>
          <w:spacing w:val="-11"/>
        </w:rPr>
        <w:t> </w:t>
      </w:r>
      <w:r>
        <w:rPr>
          <w:spacing w:val="-2"/>
        </w:rPr>
        <w:t>this</w:t>
      </w:r>
      <w:r>
        <w:rPr>
          <w:spacing w:val="-10"/>
        </w:rPr>
        <w:t> </w:t>
      </w:r>
      <w:r>
        <w:rPr>
          <w:spacing w:val="-2"/>
        </w:rPr>
        <w:t>study</w:t>
      </w:r>
      <w:r>
        <w:rPr>
          <w:spacing w:val="-11"/>
        </w:rPr>
        <w:t> </w:t>
      </w:r>
      <w:r>
        <w:rPr>
          <w:spacing w:val="-2"/>
        </w:rPr>
        <w:t>include:</w:t>
      </w:r>
      <w:r>
        <w:rPr>
          <w:spacing w:val="-9"/>
        </w:rPr>
        <w:t> </w:t>
      </w:r>
      <w:r>
        <w:rPr>
          <w:spacing w:val="-2"/>
        </w:rPr>
        <w:t>Queen</w:t>
      </w:r>
      <w:r>
        <w:rPr>
          <w:spacing w:val="-11"/>
        </w:rPr>
        <w:t> </w:t>
      </w:r>
      <w:r>
        <w:rPr>
          <w:spacing w:val="-2"/>
        </w:rPr>
        <w:t>Margaret, </w:t>
      </w:r>
      <w:r>
        <w:rPr/>
        <w:t>Lady</w:t>
      </w:r>
      <w:r>
        <w:rPr>
          <w:spacing w:val="-13"/>
        </w:rPr>
        <w:t> </w:t>
      </w:r>
      <w:r>
        <w:rPr/>
        <w:t>Anne,</w:t>
      </w:r>
      <w:r>
        <w:rPr>
          <w:spacing w:val="-3"/>
        </w:rPr>
        <w:t> </w:t>
      </w:r>
      <w:r>
        <w:rPr/>
        <w:t>Constance</w:t>
      </w:r>
      <w:r>
        <w:rPr>
          <w:spacing w:val="-1"/>
        </w:rPr>
        <w:t> </w:t>
      </w:r>
      <w:r>
        <w:rPr/>
        <w:t>and</w:t>
      </w:r>
      <w:r>
        <w:rPr>
          <w:spacing w:val="-1"/>
        </w:rPr>
        <w:t> </w:t>
      </w:r>
      <w:r>
        <w:rPr/>
        <w:t>Queen</w:t>
      </w:r>
      <w:r>
        <w:rPr>
          <w:spacing w:val="-2"/>
        </w:rPr>
        <w:t> </w:t>
      </w:r>
      <w:r>
        <w:rPr/>
        <w:t>Elizabeth, who</w:t>
      </w:r>
      <w:r>
        <w:rPr>
          <w:spacing w:val="-1"/>
        </w:rPr>
        <w:t> </w:t>
      </w:r>
      <w:r>
        <w:rPr/>
        <w:t>each</w:t>
      </w:r>
      <w:r>
        <w:rPr>
          <w:spacing w:val="-2"/>
        </w:rPr>
        <w:t> </w:t>
      </w:r>
      <w:r>
        <w:rPr/>
        <w:t>exhibit</w:t>
      </w:r>
      <w:r>
        <w:rPr>
          <w:spacing w:val="-2"/>
        </w:rPr>
        <w:t> </w:t>
      </w:r>
      <w:r>
        <w:rPr/>
        <w:t>a</w:t>
      </w:r>
      <w:r>
        <w:rPr>
          <w:spacing w:val="-1"/>
        </w:rPr>
        <w:t> </w:t>
      </w:r>
      <w:r>
        <w:rPr/>
        <w:t>unique way</w:t>
      </w:r>
      <w:r>
        <w:rPr>
          <w:spacing w:val="10"/>
        </w:rPr>
        <w:t> </w:t>
      </w:r>
      <w:r>
        <w:rPr/>
        <w:t>they</w:t>
      </w:r>
      <w:r>
        <w:rPr>
          <w:spacing w:val="10"/>
        </w:rPr>
        <w:t> </w:t>
      </w:r>
      <w:r>
        <w:rPr/>
        <w:t>engage</w:t>
      </w:r>
      <w:r>
        <w:rPr>
          <w:spacing w:val="13"/>
        </w:rPr>
        <w:t> </w:t>
      </w:r>
      <w:r>
        <w:rPr/>
        <w:t>with</w:t>
      </w:r>
      <w:r>
        <w:rPr>
          <w:spacing w:val="14"/>
        </w:rPr>
        <w:t> </w:t>
      </w:r>
      <w:r>
        <w:rPr/>
        <w:t>emotion,</w:t>
      </w:r>
      <w:r>
        <w:rPr>
          <w:spacing w:val="16"/>
        </w:rPr>
        <w:t> </w:t>
      </w:r>
      <w:r>
        <w:rPr/>
        <w:t>power</w:t>
      </w:r>
      <w:r>
        <w:rPr>
          <w:spacing w:val="15"/>
        </w:rPr>
        <w:t> </w:t>
      </w:r>
      <w:r>
        <w:rPr/>
        <w:t>and</w:t>
      </w:r>
      <w:r>
        <w:rPr>
          <w:spacing w:val="16"/>
        </w:rPr>
        <w:t> </w:t>
      </w:r>
      <w:r>
        <w:rPr/>
        <w:t>political</w:t>
      </w:r>
      <w:r>
        <w:rPr>
          <w:spacing w:val="12"/>
        </w:rPr>
        <w:t> </w:t>
      </w:r>
      <w:r>
        <w:rPr/>
        <w:t>discourse.</w:t>
      </w:r>
      <w:r>
        <w:rPr>
          <w:spacing w:val="3"/>
        </w:rPr>
        <w:t> </w:t>
      </w:r>
      <w:r>
        <w:rPr/>
        <w:t>A</w:t>
      </w:r>
      <w:r>
        <w:rPr>
          <w:spacing w:val="4"/>
        </w:rPr>
        <w:t> </w:t>
      </w:r>
      <w:r>
        <w:rPr>
          <w:spacing w:val="-2"/>
        </w:rPr>
        <w:t>close</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39904">
                <wp:simplePos x="0" y="0"/>
                <wp:positionH relativeFrom="page">
                  <wp:posOffset>2065020</wp:posOffset>
                </wp:positionH>
                <wp:positionV relativeFrom="paragraph">
                  <wp:posOffset>795020</wp:posOffset>
                </wp:positionV>
                <wp:extent cx="3657600" cy="12700"/>
                <wp:effectExtent l="0" t="0" r="0" b="0"/>
                <wp:wrapTopAndBottom/>
                <wp:docPr id="447" name="Graphic 447"/>
                <wp:cNvGraphicFramePr>
                  <a:graphicFrameLocks/>
                </wp:cNvGraphicFramePr>
                <a:graphic>
                  <a:graphicData uri="http://schemas.microsoft.com/office/word/2010/wordprocessingShape">
                    <wps:wsp>
                      <wps:cNvPr id="447" name="Graphic 44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76576;mso-wrap-distance-left:0;mso-wrap-distance-right:0" id="docshape442" filled="true" fillcolor="#000000" stroked="false">
                <v:fill type="solid"/>
                <w10:wrap type="topAndBottom"/>
              </v:rect>
            </w:pict>
          </mc:Fallback>
        </mc:AlternateContent>
      </w:r>
      <w:r>
        <w:rPr>
          <w:rFonts w:ascii="Verdana"/>
          <w:spacing w:val="-2"/>
          <w:sz w:val="18"/>
        </w:rPr>
        <w:t>Beyond</w:t>
      </w:r>
      <w:r>
        <w:rPr>
          <w:rFonts w:ascii="Verdana"/>
          <w:spacing w:val="-6"/>
          <w:sz w:val="18"/>
        </w:rPr>
        <w:t> </w:t>
      </w:r>
      <w:r>
        <w:rPr>
          <w:rFonts w:ascii="Verdana"/>
          <w:spacing w:val="-2"/>
          <w:sz w:val="18"/>
        </w:rPr>
        <w:t>Kings</w:t>
      </w:r>
      <w:r>
        <w:rPr>
          <w:rFonts w:ascii="Verdana"/>
          <w:spacing w:val="-1"/>
          <w:sz w:val="18"/>
        </w:rPr>
        <w:t> </w:t>
      </w:r>
      <w:r>
        <w:rPr>
          <w:rFonts w:ascii="Verdana"/>
          <w:spacing w:val="-2"/>
          <w:sz w:val="18"/>
        </w:rPr>
        <w:t>and</w:t>
      </w:r>
      <w:r>
        <w:rPr>
          <w:rFonts w:ascii="Verdana"/>
          <w:spacing w:val="-4"/>
          <w:sz w:val="18"/>
        </w:rPr>
        <w:t> </w:t>
      </w:r>
      <w:r>
        <w:rPr>
          <w:rFonts w:ascii="Verdana"/>
          <w:spacing w:val="-2"/>
          <w:sz w:val="18"/>
        </w:rPr>
        <w:t>Wars:</w:t>
      </w:r>
      <w:r>
        <w:rPr>
          <w:rFonts w:ascii="Verdana"/>
          <w:spacing w:val="-4"/>
          <w:sz w:val="18"/>
        </w:rPr>
        <w:t> </w:t>
      </w:r>
      <w:r>
        <w:rPr>
          <w:rFonts w:ascii="Verdana"/>
          <w:spacing w:val="-2"/>
          <w:sz w:val="18"/>
        </w:rPr>
        <w:t>Re-examining</w:t>
      </w:r>
      <w:r>
        <w:rPr>
          <w:rFonts w:ascii="Verdana"/>
          <w:spacing w:val="-5"/>
          <w:sz w:val="18"/>
        </w:rPr>
        <w:t> </w:t>
      </w:r>
      <w:r>
        <w:rPr>
          <w:rFonts w:ascii="Verdana"/>
          <w:spacing w:val="-2"/>
          <w:sz w:val="18"/>
        </w:rPr>
        <w:t>Women</w:t>
      </w:r>
      <w:r>
        <w:rPr>
          <w:rFonts w:ascii="Verdana"/>
          <w:spacing w:val="-1"/>
          <w:sz w:val="18"/>
        </w:rPr>
        <w:t> </w:t>
      </w:r>
      <w:r>
        <w:rPr>
          <w:rFonts w:ascii="Verdana"/>
          <w:spacing w:val="-4"/>
          <w:sz w:val="18"/>
        </w:rPr>
        <w:t>in...</w:t>
      </w:r>
      <w:r>
        <w:rPr>
          <w:sz w:val="18"/>
        </w:rPr>
        <w:tab/>
      </w:r>
      <w:r>
        <w:rPr>
          <w:rFonts w:ascii="Verdana"/>
          <w:spacing w:val="-5"/>
          <w:sz w:val="18"/>
        </w:rPr>
        <w:t>191</w:t>
      </w:r>
    </w:p>
    <w:p>
      <w:pPr>
        <w:pStyle w:val="BodyText"/>
        <w:spacing w:line="249" w:lineRule="auto" w:before="192"/>
        <w:ind w:right="1436"/>
        <w:jc w:val="both"/>
      </w:pPr>
      <w:r>
        <w:rPr/>
        <w:t>textual analysis of the texts was conducted to identify all instances of dialogue,</w:t>
      </w:r>
      <w:r>
        <w:rPr>
          <w:spacing w:val="-2"/>
        </w:rPr>
        <w:t> </w:t>
      </w:r>
      <w:r>
        <w:rPr/>
        <w:t>silence,</w:t>
      </w:r>
      <w:r>
        <w:rPr>
          <w:spacing w:val="-2"/>
        </w:rPr>
        <w:t> </w:t>
      </w:r>
      <w:r>
        <w:rPr/>
        <w:t>and emotional</w:t>
      </w:r>
      <w:r>
        <w:rPr>
          <w:spacing w:val="-2"/>
        </w:rPr>
        <w:t> </w:t>
      </w:r>
      <w:r>
        <w:rPr/>
        <w:t>expression</w:t>
      </w:r>
      <w:r>
        <w:rPr>
          <w:spacing w:val="-4"/>
        </w:rPr>
        <w:t> </w:t>
      </w:r>
      <w:r>
        <w:rPr/>
        <w:t>as</w:t>
      </w:r>
      <w:r>
        <w:rPr>
          <w:spacing w:val="-4"/>
        </w:rPr>
        <w:t> </w:t>
      </w:r>
      <w:r>
        <w:rPr/>
        <w:t>primary</w:t>
      </w:r>
      <w:r>
        <w:rPr>
          <w:spacing w:val="-6"/>
        </w:rPr>
        <w:t> </w:t>
      </w:r>
      <w:r>
        <w:rPr/>
        <w:t>sites</w:t>
      </w:r>
      <w:r>
        <w:rPr>
          <w:spacing w:val="-4"/>
        </w:rPr>
        <w:t> </w:t>
      </w:r>
      <w:r>
        <w:rPr/>
        <w:t>of</w:t>
      </w:r>
      <w:r>
        <w:rPr>
          <w:spacing w:val="-4"/>
        </w:rPr>
        <w:t> </w:t>
      </w:r>
      <w:r>
        <w:rPr/>
        <w:t>meaning within</w:t>
      </w:r>
      <w:r>
        <w:rPr>
          <w:spacing w:val="-13"/>
        </w:rPr>
        <w:t> </w:t>
      </w:r>
      <w:r>
        <w:rPr/>
        <w:t>the</w:t>
      </w:r>
      <w:r>
        <w:rPr>
          <w:spacing w:val="-12"/>
        </w:rPr>
        <w:t> </w:t>
      </w:r>
      <w:r>
        <w:rPr/>
        <w:t>plays.</w:t>
      </w:r>
      <w:r>
        <w:rPr>
          <w:spacing w:val="-13"/>
        </w:rPr>
        <w:t> </w:t>
      </w:r>
      <w:r>
        <w:rPr/>
        <w:t>Additionally,</w:t>
      </w:r>
      <w:r>
        <w:rPr>
          <w:spacing w:val="-12"/>
        </w:rPr>
        <w:t> </w:t>
      </w:r>
      <w:r>
        <w:rPr/>
        <w:t>this</w:t>
      </w:r>
      <w:r>
        <w:rPr>
          <w:spacing w:val="-13"/>
        </w:rPr>
        <w:t> </w:t>
      </w:r>
      <w:r>
        <w:rPr/>
        <w:t>study</w:t>
      </w:r>
      <w:r>
        <w:rPr>
          <w:spacing w:val="-12"/>
        </w:rPr>
        <w:t> </w:t>
      </w:r>
      <w:r>
        <w:rPr/>
        <w:t>applied</w:t>
      </w:r>
      <w:r>
        <w:rPr>
          <w:spacing w:val="-13"/>
        </w:rPr>
        <w:t> </w:t>
      </w:r>
      <w:r>
        <w:rPr/>
        <w:t>the</w:t>
      </w:r>
      <w:r>
        <w:rPr>
          <w:spacing w:val="-12"/>
        </w:rPr>
        <w:t> </w:t>
      </w:r>
      <w:r>
        <w:rPr/>
        <w:t>concepts</w:t>
      </w:r>
      <w:r>
        <w:rPr>
          <w:spacing w:val="-13"/>
        </w:rPr>
        <w:t> </w:t>
      </w:r>
      <w:r>
        <w:rPr/>
        <w:t>of</w:t>
      </w:r>
      <w:r>
        <w:rPr>
          <w:spacing w:val="-12"/>
        </w:rPr>
        <w:t> </w:t>
      </w:r>
      <w:r>
        <w:rPr/>
        <w:t>feminist theory (Showalter, 1985) to highlight the effect Patriarchy has on the historical</w:t>
      </w:r>
      <w:r>
        <w:rPr>
          <w:spacing w:val="-11"/>
        </w:rPr>
        <w:t> </w:t>
      </w:r>
      <w:r>
        <w:rPr/>
        <w:t>women,</w:t>
      </w:r>
      <w:r>
        <w:rPr>
          <w:spacing w:val="-9"/>
        </w:rPr>
        <w:t> </w:t>
      </w:r>
      <w:r>
        <w:rPr/>
        <w:t>the</w:t>
      </w:r>
      <w:r>
        <w:rPr>
          <w:spacing w:val="-10"/>
        </w:rPr>
        <w:t> </w:t>
      </w:r>
      <w:r>
        <w:rPr/>
        <w:t>concepts</w:t>
      </w:r>
      <w:r>
        <w:rPr>
          <w:spacing w:val="-10"/>
        </w:rPr>
        <w:t> </w:t>
      </w:r>
      <w:r>
        <w:rPr/>
        <w:t>of</w:t>
      </w:r>
      <w:r>
        <w:rPr>
          <w:spacing w:val="-12"/>
        </w:rPr>
        <w:t> </w:t>
      </w:r>
      <w:r>
        <w:rPr/>
        <w:t>New</w:t>
      </w:r>
      <w:r>
        <w:rPr>
          <w:spacing w:val="-13"/>
        </w:rPr>
        <w:t> </w:t>
      </w:r>
      <w:r>
        <w:rPr/>
        <w:t>Historicism</w:t>
      </w:r>
      <w:r>
        <w:rPr>
          <w:spacing w:val="-12"/>
        </w:rPr>
        <w:t> </w:t>
      </w:r>
      <w:r>
        <w:rPr/>
        <w:t>(Stephen</w:t>
      </w:r>
      <w:r>
        <w:rPr>
          <w:spacing w:val="-12"/>
        </w:rPr>
        <w:t> </w:t>
      </w:r>
      <w:r>
        <w:rPr/>
        <w:t>Greenblatt, </w:t>
      </w:r>
      <w:r>
        <w:rPr>
          <w:spacing w:val="-2"/>
        </w:rPr>
        <w:t>1988)</w:t>
      </w:r>
      <w:r>
        <w:rPr>
          <w:spacing w:val="-3"/>
        </w:rPr>
        <w:t> </w:t>
      </w:r>
      <w:r>
        <w:rPr>
          <w:spacing w:val="-2"/>
        </w:rPr>
        <w:t>to</w:t>
      </w:r>
      <w:r>
        <w:rPr>
          <w:spacing w:val="-5"/>
        </w:rPr>
        <w:t> </w:t>
      </w:r>
      <w:r>
        <w:rPr>
          <w:spacing w:val="-2"/>
        </w:rPr>
        <w:t>identify</w:t>
      </w:r>
      <w:r>
        <w:rPr>
          <w:spacing w:val="-10"/>
        </w:rPr>
        <w:t> </w:t>
      </w:r>
      <w:r>
        <w:rPr>
          <w:spacing w:val="-2"/>
        </w:rPr>
        <w:t>the</w:t>
      </w:r>
      <w:r>
        <w:rPr>
          <w:spacing w:val="-5"/>
        </w:rPr>
        <w:t> </w:t>
      </w:r>
      <w:r>
        <w:rPr>
          <w:spacing w:val="-2"/>
        </w:rPr>
        <w:t>methods</w:t>
      </w:r>
      <w:r>
        <w:rPr>
          <w:spacing w:val="-7"/>
        </w:rPr>
        <w:t> </w:t>
      </w:r>
      <w:r>
        <w:rPr>
          <w:spacing w:val="-2"/>
        </w:rPr>
        <w:t>by</w:t>
      </w:r>
      <w:r>
        <w:rPr>
          <w:spacing w:val="-7"/>
        </w:rPr>
        <w:t> </w:t>
      </w:r>
      <w:r>
        <w:rPr>
          <w:spacing w:val="-2"/>
        </w:rPr>
        <w:t>which</w:t>
      </w:r>
      <w:r>
        <w:rPr>
          <w:spacing w:val="-7"/>
        </w:rPr>
        <w:t> </w:t>
      </w:r>
      <w:r>
        <w:rPr>
          <w:spacing w:val="-2"/>
        </w:rPr>
        <w:t>power</w:t>
      </w:r>
      <w:r>
        <w:rPr>
          <w:spacing w:val="-3"/>
        </w:rPr>
        <w:t> </w:t>
      </w:r>
      <w:r>
        <w:rPr>
          <w:spacing w:val="-2"/>
        </w:rPr>
        <w:t>circulates</w:t>
      </w:r>
      <w:r>
        <w:rPr>
          <w:spacing w:val="-5"/>
        </w:rPr>
        <w:t> </w:t>
      </w:r>
      <w:r>
        <w:rPr>
          <w:spacing w:val="-2"/>
        </w:rPr>
        <w:t>and</w:t>
      </w:r>
      <w:r>
        <w:rPr>
          <w:spacing w:val="-5"/>
        </w:rPr>
        <w:t> </w:t>
      </w:r>
      <w:r>
        <w:rPr>
          <w:spacing w:val="-2"/>
        </w:rPr>
        <w:t>the</w:t>
      </w:r>
      <w:r>
        <w:rPr>
          <w:spacing w:val="-5"/>
        </w:rPr>
        <w:t> </w:t>
      </w:r>
      <w:r>
        <w:rPr>
          <w:spacing w:val="-2"/>
        </w:rPr>
        <w:t>concepts </w:t>
      </w:r>
      <w:r>
        <w:rPr/>
        <w:t>of Psychoanalytic Theory (Sigmund Freud, 1917/1957) for the purpose of interpreting the emotional intensity of the historical women and the trauma they have experienced. The study discovered that when combining</w:t>
      </w:r>
      <w:r>
        <w:rPr>
          <w:spacing w:val="-7"/>
        </w:rPr>
        <w:t> </w:t>
      </w:r>
      <w:r>
        <w:rPr/>
        <w:t>the</w:t>
      </w:r>
      <w:r>
        <w:rPr>
          <w:spacing w:val="-6"/>
        </w:rPr>
        <w:t> </w:t>
      </w:r>
      <w:r>
        <w:rPr/>
        <w:t>theories</w:t>
      </w:r>
      <w:r>
        <w:rPr>
          <w:spacing w:val="-7"/>
        </w:rPr>
        <w:t> </w:t>
      </w:r>
      <w:r>
        <w:rPr/>
        <w:t>of</w:t>
      </w:r>
      <w:r>
        <w:rPr>
          <w:spacing w:val="-9"/>
        </w:rPr>
        <w:t> </w:t>
      </w:r>
      <w:r>
        <w:rPr/>
        <w:t>feminist,</w:t>
      </w:r>
      <w:r>
        <w:rPr>
          <w:spacing w:val="-5"/>
        </w:rPr>
        <w:t> </w:t>
      </w:r>
      <w:r>
        <w:rPr/>
        <w:t>new</w:t>
      </w:r>
      <w:r>
        <w:rPr>
          <w:spacing w:val="-9"/>
        </w:rPr>
        <w:t> </w:t>
      </w:r>
      <w:r>
        <w:rPr/>
        <w:t>historicism</w:t>
      </w:r>
      <w:r>
        <w:rPr>
          <w:spacing w:val="-10"/>
        </w:rPr>
        <w:t> </w:t>
      </w:r>
      <w:r>
        <w:rPr/>
        <w:t>and</w:t>
      </w:r>
      <w:r>
        <w:rPr>
          <w:spacing w:val="-4"/>
        </w:rPr>
        <w:t> </w:t>
      </w:r>
      <w:r>
        <w:rPr/>
        <w:t>psychoanalysis, </w:t>
      </w:r>
      <w:r>
        <w:rPr>
          <w:spacing w:val="-2"/>
        </w:rPr>
        <w:t>the</w:t>
      </w:r>
      <w:r>
        <w:rPr>
          <w:spacing w:val="-4"/>
        </w:rPr>
        <w:t> </w:t>
      </w:r>
      <w:r>
        <w:rPr>
          <w:spacing w:val="-2"/>
        </w:rPr>
        <w:t>historical</w:t>
      </w:r>
      <w:r>
        <w:rPr>
          <w:spacing w:val="-8"/>
        </w:rPr>
        <w:t> </w:t>
      </w:r>
      <w:r>
        <w:rPr>
          <w:spacing w:val="-2"/>
        </w:rPr>
        <w:t>women’s</w:t>
      </w:r>
      <w:r>
        <w:rPr>
          <w:spacing w:val="-7"/>
        </w:rPr>
        <w:t> </w:t>
      </w:r>
      <w:r>
        <w:rPr>
          <w:spacing w:val="-2"/>
        </w:rPr>
        <w:t>voices</w:t>
      </w:r>
      <w:r>
        <w:rPr>
          <w:spacing w:val="-7"/>
        </w:rPr>
        <w:t> </w:t>
      </w:r>
      <w:r>
        <w:rPr>
          <w:spacing w:val="-2"/>
        </w:rPr>
        <w:t>are</w:t>
      </w:r>
      <w:r>
        <w:rPr>
          <w:spacing w:val="-10"/>
        </w:rPr>
        <w:t> </w:t>
      </w:r>
      <w:r>
        <w:rPr>
          <w:spacing w:val="-2"/>
        </w:rPr>
        <w:t>not</w:t>
      </w:r>
      <w:r>
        <w:rPr>
          <w:spacing w:val="-5"/>
        </w:rPr>
        <w:t> </w:t>
      </w:r>
      <w:r>
        <w:rPr>
          <w:spacing w:val="-2"/>
        </w:rPr>
        <w:t>just</w:t>
      </w:r>
      <w:r>
        <w:rPr>
          <w:spacing w:val="-6"/>
        </w:rPr>
        <w:t> </w:t>
      </w:r>
      <w:r>
        <w:rPr>
          <w:spacing w:val="-2"/>
        </w:rPr>
        <w:t>passive</w:t>
      </w:r>
      <w:r>
        <w:rPr>
          <w:spacing w:val="-10"/>
        </w:rPr>
        <w:t> </w:t>
      </w:r>
      <w:r>
        <w:rPr>
          <w:spacing w:val="-2"/>
        </w:rPr>
        <w:t>as</w:t>
      </w:r>
      <w:r>
        <w:rPr>
          <w:spacing w:val="-7"/>
        </w:rPr>
        <w:t> </w:t>
      </w:r>
      <w:r>
        <w:rPr>
          <w:spacing w:val="-2"/>
        </w:rPr>
        <w:t>a</w:t>
      </w:r>
      <w:r>
        <w:rPr>
          <w:spacing w:val="-7"/>
        </w:rPr>
        <w:t> </w:t>
      </w:r>
      <w:r>
        <w:rPr>
          <w:spacing w:val="-2"/>
        </w:rPr>
        <w:t>result</w:t>
      </w:r>
      <w:r>
        <w:rPr>
          <w:spacing w:val="-10"/>
        </w:rPr>
        <w:t> </w:t>
      </w:r>
      <w:r>
        <w:rPr>
          <w:spacing w:val="-2"/>
        </w:rPr>
        <w:t>of</w:t>
      </w:r>
      <w:r>
        <w:rPr>
          <w:spacing w:val="-7"/>
        </w:rPr>
        <w:t> </w:t>
      </w:r>
      <w:r>
        <w:rPr>
          <w:spacing w:val="-2"/>
        </w:rPr>
        <w:t>patriarchy, </w:t>
      </w:r>
      <w:r>
        <w:rPr/>
        <w:t>but that their responses to the historical and political structures of their times were active responses to these structures, thus demonstrating a greater understanding of the dynamics of gendered power in Shakespeare’s</w:t>
      </w:r>
      <w:r>
        <w:rPr>
          <w:spacing w:val="40"/>
        </w:rPr>
        <w:t> </w:t>
      </w:r>
      <w:r>
        <w:rPr/>
        <w:t>historical</w:t>
      </w:r>
      <w:r>
        <w:rPr>
          <w:spacing w:val="40"/>
        </w:rPr>
        <w:t> </w:t>
      </w:r>
      <w:r>
        <w:rPr/>
        <w:t>plays.</w:t>
      </w:r>
    </w:p>
    <w:p>
      <w:pPr>
        <w:pStyle w:val="Heading3"/>
        <w:numPr>
          <w:ilvl w:val="0"/>
          <w:numId w:val="37"/>
        </w:numPr>
        <w:tabs>
          <w:tab w:pos="1703" w:val="left" w:leader="none"/>
        </w:tabs>
        <w:spacing w:line="240" w:lineRule="auto" w:before="166" w:after="0"/>
        <w:ind w:left="1703" w:right="0" w:hanging="263"/>
        <w:jc w:val="left"/>
      </w:pPr>
      <w:r>
        <w:rPr>
          <w:w w:val="90"/>
        </w:rPr>
        <w:t>ANALYSIS</w:t>
      </w:r>
      <w:r>
        <w:rPr>
          <w:spacing w:val="23"/>
        </w:rPr>
        <w:t> </w:t>
      </w:r>
      <w:r>
        <w:rPr>
          <w:w w:val="90"/>
        </w:rPr>
        <w:t>AND</w:t>
      </w:r>
      <w:r>
        <w:rPr>
          <w:spacing w:val="17"/>
        </w:rPr>
        <w:t> </w:t>
      </w:r>
      <w:r>
        <w:rPr>
          <w:spacing w:val="-2"/>
          <w:w w:val="90"/>
        </w:rPr>
        <w:t>DISCUSSION:</w:t>
      </w:r>
    </w:p>
    <w:p>
      <w:pPr>
        <w:pStyle w:val="Heading5"/>
        <w:numPr>
          <w:ilvl w:val="1"/>
          <w:numId w:val="37"/>
        </w:numPr>
        <w:tabs>
          <w:tab w:pos="1873" w:val="left" w:leader="none"/>
        </w:tabs>
        <w:spacing w:line="240" w:lineRule="auto" w:before="125" w:after="0"/>
        <w:ind w:left="1873" w:right="0" w:hanging="433"/>
        <w:jc w:val="left"/>
      </w:pPr>
      <w:r>
        <w:rPr>
          <w:w w:val="110"/>
        </w:rPr>
        <w:t>Queen</w:t>
      </w:r>
      <w:r>
        <w:rPr>
          <w:spacing w:val="27"/>
          <w:w w:val="110"/>
        </w:rPr>
        <w:t>  </w:t>
      </w:r>
      <w:r>
        <w:rPr>
          <w:spacing w:val="-2"/>
          <w:w w:val="110"/>
        </w:rPr>
        <w:t>Margaret:</w:t>
      </w:r>
    </w:p>
    <w:p>
      <w:pPr>
        <w:pStyle w:val="BodyText"/>
        <w:spacing w:line="249" w:lineRule="auto" w:before="72"/>
        <w:ind w:right="1436" w:firstLine="432"/>
        <w:jc w:val="both"/>
      </w:pPr>
      <w:r>
        <w:rPr/>
        <w:t>Emotion, Memory and Awareness of Political Issues Margaret is much more than a grieving wife or an exiled queen, she is one of the most</w:t>
      </w:r>
      <w:r>
        <w:rPr>
          <w:spacing w:val="-7"/>
        </w:rPr>
        <w:t> </w:t>
      </w:r>
      <w:r>
        <w:rPr/>
        <w:t>politically</w:t>
      </w:r>
      <w:r>
        <w:rPr>
          <w:spacing w:val="-8"/>
        </w:rPr>
        <w:t> </w:t>
      </w:r>
      <w:r>
        <w:rPr/>
        <w:t>astute</w:t>
      </w:r>
      <w:r>
        <w:rPr>
          <w:spacing w:val="-8"/>
        </w:rPr>
        <w:t> </w:t>
      </w:r>
      <w:r>
        <w:rPr/>
        <w:t>characters</w:t>
      </w:r>
      <w:r>
        <w:rPr>
          <w:spacing w:val="-7"/>
        </w:rPr>
        <w:t> </w:t>
      </w:r>
      <w:r>
        <w:rPr/>
        <w:t>portrayed</w:t>
      </w:r>
      <w:r>
        <w:rPr>
          <w:spacing w:val="-7"/>
        </w:rPr>
        <w:t> </w:t>
      </w:r>
      <w:r>
        <w:rPr/>
        <w:t>in</w:t>
      </w:r>
      <w:r>
        <w:rPr>
          <w:spacing w:val="-7"/>
        </w:rPr>
        <w:t> </w:t>
      </w:r>
      <w:r>
        <w:rPr/>
        <w:t>[Shakespeare’s]</w:t>
      </w:r>
      <w:r>
        <w:rPr>
          <w:spacing w:val="-7"/>
        </w:rPr>
        <w:t> </w:t>
      </w:r>
      <w:r>
        <w:rPr/>
        <w:t>historical plays.</w:t>
      </w:r>
      <w:r>
        <w:rPr>
          <w:spacing w:val="-1"/>
        </w:rPr>
        <w:t> </w:t>
      </w:r>
      <w:r>
        <w:rPr/>
        <w:t>Unlike men</w:t>
      </w:r>
      <w:r>
        <w:rPr>
          <w:spacing w:val="-2"/>
        </w:rPr>
        <w:t> </w:t>
      </w:r>
      <w:r>
        <w:rPr/>
        <w:t>who exert</w:t>
      </w:r>
      <w:r>
        <w:rPr>
          <w:spacing w:val="-1"/>
        </w:rPr>
        <w:t> </w:t>
      </w:r>
      <w:r>
        <w:rPr/>
        <w:t>their power through acts</w:t>
      </w:r>
      <w:r>
        <w:rPr>
          <w:spacing w:val="-1"/>
        </w:rPr>
        <w:t> </w:t>
      </w:r>
      <w:r>
        <w:rPr/>
        <w:t>of</w:t>
      </w:r>
      <w:r>
        <w:rPr>
          <w:spacing w:val="-1"/>
        </w:rPr>
        <w:t> </w:t>
      </w:r>
      <w:r>
        <w:rPr/>
        <w:t>war, treachery or</w:t>
      </w:r>
      <w:r>
        <w:rPr>
          <w:spacing w:val="-1"/>
        </w:rPr>
        <w:t> </w:t>
      </w:r>
      <w:r>
        <w:rPr/>
        <w:t>seizing</w:t>
      </w:r>
      <w:r>
        <w:rPr>
          <w:spacing w:val="-1"/>
        </w:rPr>
        <w:t> </w:t>
      </w:r>
      <w:r>
        <w:rPr/>
        <w:t>the throne, Margaret</w:t>
      </w:r>
      <w:r>
        <w:rPr>
          <w:spacing w:val="-1"/>
        </w:rPr>
        <w:t> </w:t>
      </w:r>
      <w:r>
        <w:rPr/>
        <w:t>wields</w:t>
      </w:r>
      <w:r>
        <w:rPr>
          <w:spacing w:val="-1"/>
        </w:rPr>
        <w:t> </w:t>
      </w:r>
      <w:r>
        <w:rPr/>
        <w:t>her</w:t>
      </w:r>
      <w:r>
        <w:rPr>
          <w:spacing w:val="-1"/>
        </w:rPr>
        <w:t> </w:t>
      </w:r>
      <w:r>
        <w:rPr/>
        <w:t>power through</w:t>
      </w:r>
      <w:r>
        <w:rPr>
          <w:spacing w:val="-3"/>
        </w:rPr>
        <w:t> </w:t>
      </w:r>
      <w:r>
        <w:rPr/>
        <w:t>spoken</w:t>
      </w:r>
      <w:r>
        <w:rPr>
          <w:spacing w:val="-1"/>
        </w:rPr>
        <w:t> </w:t>
      </w:r>
      <w:r>
        <w:rPr/>
        <w:t>words and her memory. Her continual reference to past injustices alters the straightforward order of political history and leads both the characters and the audience to confront the violence that accompanies the ascension of kings. From Margaret’s point of view, she seems to be a person with nothing left to lose and therefore, nothing to be afraid of. That lack of fear converts her spoken word into a forceful weapon of defiance. Her curse-filled comments are not impulsive, but rather a conscious political intervention</w:t>
      </w:r>
      <w:r>
        <w:rPr>
          <w:spacing w:val="-1"/>
        </w:rPr>
        <w:t> </w:t>
      </w:r>
      <w:r>
        <w:rPr/>
        <w:t>on</w:t>
      </w:r>
      <w:r>
        <w:rPr>
          <w:spacing w:val="-1"/>
        </w:rPr>
        <w:t> </w:t>
      </w:r>
      <w:r>
        <w:rPr/>
        <w:t>her part. She denounces wrongdoers and reminds them of their treachery; she predicts the consequences of their treachery; and in many instances she functions as an ethical historian within the play. Rackin (2005) argues that women throughout the</w:t>
      </w:r>
      <w:r>
        <w:rPr>
          <w:spacing w:val="-7"/>
        </w:rPr>
        <w:t> </w:t>
      </w:r>
      <w:r>
        <w:rPr/>
        <w:t>historical</w:t>
      </w:r>
      <w:r>
        <w:rPr>
          <w:spacing w:val="-5"/>
        </w:rPr>
        <w:t> </w:t>
      </w:r>
      <w:r>
        <w:rPr/>
        <w:t>fictional</w:t>
      </w:r>
      <w:r>
        <w:rPr>
          <w:spacing w:val="-8"/>
        </w:rPr>
        <w:t> </w:t>
      </w:r>
      <w:r>
        <w:rPr/>
        <w:t>works</w:t>
      </w:r>
      <w:r>
        <w:rPr>
          <w:spacing w:val="-8"/>
        </w:rPr>
        <w:t> </w:t>
      </w:r>
      <w:r>
        <w:rPr/>
        <w:t>of</w:t>
      </w:r>
      <w:r>
        <w:rPr>
          <w:spacing w:val="-8"/>
        </w:rPr>
        <w:t> </w:t>
      </w:r>
      <w:r>
        <w:rPr/>
        <w:t>Shakespeare</w:t>
      </w:r>
      <w:r>
        <w:rPr>
          <w:spacing w:val="-5"/>
        </w:rPr>
        <w:t> </w:t>
      </w:r>
      <w:r>
        <w:rPr/>
        <w:t>have</w:t>
      </w:r>
      <w:r>
        <w:rPr>
          <w:spacing w:val="-7"/>
        </w:rPr>
        <w:t> </w:t>
      </w:r>
      <w:r>
        <w:rPr/>
        <w:t>served</w:t>
      </w:r>
      <w:r>
        <w:rPr>
          <w:spacing w:val="-6"/>
        </w:rPr>
        <w:t> </w:t>
      </w:r>
      <w:r>
        <w:rPr/>
        <w:t>as</w:t>
      </w:r>
      <w:r>
        <w:rPr>
          <w:spacing w:val="-6"/>
        </w:rPr>
        <w:t> </w:t>
      </w:r>
      <w:r>
        <w:rPr/>
        <w:t>the</w:t>
      </w:r>
      <w:r>
        <w:rPr>
          <w:spacing w:val="-7"/>
        </w:rPr>
        <w:t> </w:t>
      </w:r>
      <w:r>
        <w:rPr/>
        <w:t>memory keepers, recording what political histories attempt to expunge from the </w:t>
      </w:r>
      <w:r>
        <w:rPr>
          <w:spacing w:val="-2"/>
        </w:rPr>
        <w:t>record.</w:t>
      </w:r>
    </w:p>
    <w:p>
      <w:pPr>
        <w:pStyle w:val="BodyText"/>
        <w:spacing w:line="249" w:lineRule="auto" w:before="73"/>
        <w:ind w:right="1441" w:firstLine="432"/>
        <w:jc w:val="both"/>
      </w:pPr>
      <w:r>
        <w:rPr/>
        <w:t>Margaret’s marginalization, viewed through the lens of feminism, </w:t>
      </w:r>
      <w:r>
        <w:rPr>
          <w:spacing w:val="-2"/>
        </w:rPr>
        <w:t>creates</w:t>
      </w:r>
      <w:r>
        <w:rPr>
          <w:spacing w:val="-15"/>
        </w:rPr>
        <w:t> </w:t>
      </w:r>
      <w:r>
        <w:rPr>
          <w:spacing w:val="-2"/>
        </w:rPr>
        <w:t>a</w:t>
      </w:r>
      <w:r>
        <w:rPr>
          <w:spacing w:val="-7"/>
        </w:rPr>
        <w:t> </w:t>
      </w:r>
      <w:r>
        <w:rPr>
          <w:spacing w:val="-2"/>
        </w:rPr>
        <w:t>powerful</w:t>
      </w:r>
      <w:r>
        <w:rPr>
          <w:spacing w:val="-14"/>
        </w:rPr>
        <w:t> </w:t>
      </w:r>
      <w:r>
        <w:rPr>
          <w:spacing w:val="-2"/>
        </w:rPr>
        <w:t>amplification</w:t>
      </w:r>
      <w:r>
        <w:rPr>
          <w:spacing w:val="-10"/>
        </w:rPr>
        <w:t> </w:t>
      </w:r>
      <w:r>
        <w:rPr>
          <w:spacing w:val="-2"/>
        </w:rPr>
        <w:t>of</w:t>
      </w:r>
      <w:r>
        <w:rPr>
          <w:spacing w:val="-12"/>
        </w:rPr>
        <w:t> </w:t>
      </w:r>
      <w:r>
        <w:rPr>
          <w:spacing w:val="-2"/>
        </w:rPr>
        <w:t>her</w:t>
      </w:r>
      <w:r>
        <w:rPr>
          <w:spacing w:val="-10"/>
        </w:rPr>
        <w:t> </w:t>
      </w:r>
      <w:r>
        <w:rPr>
          <w:spacing w:val="-2"/>
        </w:rPr>
        <w:t>voice.</w:t>
      </w:r>
      <w:r>
        <w:rPr>
          <w:spacing w:val="-8"/>
        </w:rPr>
        <w:t> </w:t>
      </w:r>
      <w:r>
        <w:rPr>
          <w:spacing w:val="-2"/>
        </w:rPr>
        <w:t>By</w:t>
      </w:r>
      <w:r>
        <w:rPr>
          <w:spacing w:val="-14"/>
        </w:rPr>
        <w:t> </w:t>
      </w:r>
      <w:r>
        <w:rPr>
          <w:spacing w:val="-2"/>
        </w:rPr>
        <w:t>lacking</w:t>
      </w:r>
      <w:r>
        <w:rPr>
          <w:spacing w:val="-12"/>
        </w:rPr>
        <w:t> </w:t>
      </w:r>
      <w:r>
        <w:rPr>
          <w:spacing w:val="-2"/>
        </w:rPr>
        <w:t>formal</w:t>
      </w:r>
      <w:r>
        <w:rPr>
          <w:spacing w:val="-8"/>
        </w:rPr>
        <w:t> </w:t>
      </w:r>
      <w:r>
        <w:rPr>
          <w:spacing w:val="-2"/>
        </w:rPr>
        <w:t>authority,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40416">
                <wp:simplePos x="0" y="0"/>
                <wp:positionH relativeFrom="page">
                  <wp:posOffset>2057400</wp:posOffset>
                </wp:positionH>
                <wp:positionV relativeFrom="paragraph">
                  <wp:posOffset>162604</wp:posOffset>
                </wp:positionV>
                <wp:extent cx="3657600" cy="12700"/>
                <wp:effectExtent l="0" t="0" r="0" b="0"/>
                <wp:wrapTopAndBottom/>
                <wp:docPr id="448" name="Graphic 448"/>
                <wp:cNvGraphicFramePr>
                  <a:graphicFrameLocks/>
                </wp:cNvGraphicFramePr>
                <a:graphic>
                  <a:graphicData uri="http://schemas.microsoft.com/office/word/2010/wordprocessingShape">
                    <wps:wsp>
                      <wps:cNvPr id="448" name="Graphic 44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76064;mso-wrap-distance-left:0;mso-wrap-distance-right:0" id="docshape443" filled="true" fillcolor="#000000" stroked="false">
                <v:fill type="solid"/>
                <w10:wrap type="topAndBottom"/>
              </v:rect>
            </w:pict>
          </mc:Fallback>
        </mc:AlternateContent>
      </w:r>
      <w:r>
        <w:rPr>
          <w:rFonts w:ascii="Verdana"/>
          <w:spacing w:val="-5"/>
          <w:sz w:val="18"/>
        </w:rPr>
        <w:t>192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she</w:t>
      </w:r>
      <w:r>
        <w:rPr>
          <w:spacing w:val="-4"/>
        </w:rPr>
        <w:t> </w:t>
      </w:r>
      <w:r>
        <w:rPr/>
        <w:t>has</w:t>
      </w:r>
      <w:r>
        <w:rPr>
          <w:spacing w:val="-4"/>
        </w:rPr>
        <w:t> </w:t>
      </w:r>
      <w:r>
        <w:rPr/>
        <w:t>developed</w:t>
      </w:r>
      <w:r>
        <w:rPr>
          <w:spacing w:val="-4"/>
        </w:rPr>
        <w:t> </w:t>
      </w:r>
      <w:r>
        <w:rPr/>
        <w:t>a</w:t>
      </w:r>
      <w:r>
        <w:rPr>
          <w:spacing w:val="-4"/>
        </w:rPr>
        <w:t> </w:t>
      </w:r>
      <w:r>
        <w:rPr/>
        <w:t>liminal</w:t>
      </w:r>
      <w:r>
        <w:rPr>
          <w:spacing w:val="-2"/>
        </w:rPr>
        <w:t> </w:t>
      </w:r>
      <w:r>
        <w:rPr/>
        <w:t>identity</w:t>
      </w:r>
      <w:r>
        <w:rPr>
          <w:spacing w:val="-7"/>
        </w:rPr>
        <w:t> </w:t>
      </w:r>
      <w:r>
        <w:rPr/>
        <w:t>where</w:t>
      </w:r>
      <w:r>
        <w:rPr>
          <w:spacing w:val="-4"/>
        </w:rPr>
        <w:t> </w:t>
      </w:r>
      <w:r>
        <w:rPr/>
        <w:t>she</w:t>
      </w:r>
      <w:r>
        <w:rPr>
          <w:spacing w:val="-5"/>
        </w:rPr>
        <w:t> </w:t>
      </w:r>
      <w:r>
        <w:rPr/>
        <w:t>can</w:t>
      </w:r>
      <w:r>
        <w:rPr>
          <w:spacing w:val="-5"/>
        </w:rPr>
        <w:t> </w:t>
      </w:r>
      <w:r>
        <w:rPr/>
        <w:t>critique</w:t>
      </w:r>
      <w:r>
        <w:rPr>
          <w:spacing w:val="-1"/>
        </w:rPr>
        <w:t> </w:t>
      </w:r>
      <w:r>
        <w:rPr/>
        <w:t>power</w:t>
      </w:r>
      <w:r>
        <w:rPr>
          <w:spacing w:val="-4"/>
        </w:rPr>
        <w:t> </w:t>
      </w:r>
      <w:r>
        <w:rPr/>
        <w:t>while </w:t>
      </w:r>
      <w:r>
        <w:rPr>
          <w:spacing w:val="-2"/>
        </w:rPr>
        <w:t>not</w:t>
      </w:r>
      <w:r>
        <w:rPr>
          <w:spacing w:val="-9"/>
        </w:rPr>
        <w:t> </w:t>
      </w:r>
      <w:r>
        <w:rPr>
          <w:spacing w:val="-2"/>
        </w:rPr>
        <w:t>being</w:t>
      </w:r>
      <w:r>
        <w:rPr>
          <w:spacing w:val="-6"/>
        </w:rPr>
        <w:t> </w:t>
      </w:r>
      <w:r>
        <w:rPr>
          <w:spacing w:val="-2"/>
        </w:rPr>
        <w:t>entirely</w:t>
      </w:r>
      <w:r>
        <w:rPr>
          <w:spacing w:val="-11"/>
        </w:rPr>
        <w:t> </w:t>
      </w:r>
      <w:r>
        <w:rPr>
          <w:spacing w:val="-2"/>
        </w:rPr>
        <w:t>compelled</w:t>
      </w:r>
      <w:r>
        <w:rPr>
          <w:spacing w:val="-3"/>
        </w:rPr>
        <w:t> </w:t>
      </w:r>
      <w:r>
        <w:rPr>
          <w:spacing w:val="-2"/>
        </w:rPr>
        <w:t>by</w:t>
      </w:r>
      <w:r>
        <w:rPr>
          <w:spacing w:val="-11"/>
        </w:rPr>
        <w:t> </w:t>
      </w:r>
      <w:r>
        <w:rPr>
          <w:spacing w:val="-2"/>
        </w:rPr>
        <w:t>it.</w:t>
      </w:r>
      <w:r>
        <w:rPr>
          <w:spacing w:val="-3"/>
        </w:rPr>
        <w:t> </w:t>
      </w:r>
      <w:r>
        <w:rPr>
          <w:spacing w:val="-2"/>
        </w:rPr>
        <w:t>Furthermore,</w:t>
      </w:r>
      <w:r>
        <w:rPr>
          <w:spacing w:val="-6"/>
        </w:rPr>
        <w:t> </w:t>
      </w:r>
      <w:r>
        <w:rPr>
          <w:spacing w:val="-2"/>
        </w:rPr>
        <w:t>Elaine</w:t>
      </w:r>
      <w:r>
        <w:rPr>
          <w:spacing w:val="-6"/>
        </w:rPr>
        <w:t> </w:t>
      </w:r>
      <w:r>
        <w:rPr>
          <w:spacing w:val="-2"/>
        </w:rPr>
        <w:t>Showalter</w:t>
      </w:r>
      <w:r>
        <w:rPr>
          <w:spacing w:val="-4"/>
        </w:rPr>
        <w:t> </w:t>
      </w:r>
      <w:r>
        <w:rPr>
          <w:spacing w:val="-2"/>
        </w:rPr>
        <w:t>viewed </w:t>
      </w:r>
      <w:r>
        <w:rPr/>
        <w:t>Margaret’s ‘madness-like’ intensity as an example of the way women express their gender in the absence of the ability to participate in </w:t>
      </w:r>
      <w:r>
        <w:rPr>
          <w:spacing w:val="-2"/>
        </w:rPr>
        <w:t>rational political</w:t>
      </w:r>
      <w:r>
        <w:rPr>
          <w:spacing w:val="-9"/>
        </w:rPr>
        <w:t> </w:t>
      </w:r>
      <w:r>
        <w:rPr>
          <w:spacing w:val="-2"/>
        </w:rPr>
        <w:t>discourse.</w:t>
      </w:r>
      <w:r>
        <w:rPr>
          <w:spacing w:val="-3"/>
        </w:rPr>
        <w:t> </w:t>
      </w:r>
      <w:r>
        <w:rPr>
          <w:spacing w:val="-2"/>
        </w:rPr>
        <w:t>Therefore, rather than</w:t>
      </w:r>
      <w:r>
        <w:rPr>
          <w:spacing w:val="-5"/>
        </w:rPr>
        <w:t> </w:t>
      </w:r>
      <w:r>
        <w:rPr>
          <w:spacing w:val="-2"/>
        </w:rPr>
        <w:t>representing</w:t>
      </w:r>
      <w:r>
        <w:rPr>
          <w:spacing w:val="-3"/>
        </w:rPr>
        <w:t> </w:t>
      </w:r>
      <w:r>
        <w:rPr>
          <w:spacing w:val="-2"/>
        </w:rPr>
        <w:t>excessive, </w:t>
      </w:r>
      <w:r>
        <w:rPr/>
        <w:t>Margaret’s</w:t>
      </w:r>
      <w:r>
        <w:rPr>
          <w:spacing w:val="40"/>
        </w:rPr>
        <w:t> </w:t>
      </w:r>
      <w:r>
        <w:rPr/>
        <w:t>voice</w:t>
      </w:r>
      <w:r>
        <w:rPr>
          <w:spacing w:val="40"/>
        </w:rPr>
        <w:t> </w:t>
      </w:r>
      <w:r>
        <w:rPr/>
        <w:t>represents</w:t>
      </w:r>
      <w:r>
        <w:rPr>
          <w:spacing w:val="40"/>
        </w:rPr>
        <w:t> </w:t>
      </w:r>
      <w:r>
        <w:rPr/>
        <w:t>necessary</w:t>
      </w:r>
      <w:r>
        <w:rPr>
          <w:spacing w:val="40"/>
        </w:rPr>
        <w:t> </w:t>
      </w:r>
      <w:r>
        <w:rPr/>
        <w:t>disruption.</w:t>
      </w:r>
    </w:p>
    <w:p>
      <w:pPr>
        <w:pStyle w:val="Heading5"/>
        <w:numPr>
          <w:ilvl w:val="1"/>
          <w:numId w:val="37"/>
        </w:numPr>
        <w:tabs>
          <w:tab w:pos="1840" w:val="left" w:leader="none"/>
        </w:tabs>
        <w:spacing w:line="244" w:lineRule="auto" w:before="112" w:after="0"/>
        <w:ind w:left="1440" w:right="1443" w:firstLine="0"/>
        <w:jc w:val="left"/>
      </w:pPr>
      <w:r>
        <w:rPr>
          <w:w w:val="110"/>
        </w:rPr>
        <w:t>Lady</w:t>
      </w:r>
      <w:r>
        <w:rPr>
          <w:spacing w:val="22"/>
          <w:w w:val="110"/>
        </w:rPr>
        <w:t> </w:t>
      </w:r>
      <w:r>
        <w:rPr>
          <w:w w:val="110"/>
        </w:rPr>
        <w:t>Anne:</w:t>
      </w:r>
      <w:r>
        <w:rPr>
          <w:spacing w:val="23"/>
          <w:w w:val="110"/>
        </w:rPr>
        <w:t> </w:t>
      </w:r>
      <w:r>
        <w:rPr>
          <w:w w:val="110"/>
        </w:rPr>
        <w:t>Trauma,</w:t>
      </w:r>
      <w:r>
        <w:rPr>
          <w:spacing w:val="25"/>
          <w:w w:val="110"/>
        </w:rPr>
        <w:t> </w:t>
      </w:r>
      <w:r>
        <w:rPr>
          <w:w w:val="110"/>
        </w:rPr>
        <w:t>Coercion</w:t>
      </w:r>
      <w:r>
        <w:rPr>
          <w:spacing w:val="22"/>
          <w:w w:val="110"/>
        </w:rPr>
        <w:t> </w:t>
      </w:r>
      <w:r>
        <w:rPr>
          <w:w w:val="110"/>
        </w:rPr>
        <w:t>and</w:t>
      </w:r>
      <w:r>
        <w:rPr>
          <w:spacing w:val="23"/>
          <w:w w:val="110"/>
        </w:rPr>
        <w:t> </w:t>
      </w:r>
      <w:r>
        <w:rPr>
          <w:w w:val="110"/>
        </w:rPr>
        <w:t>Psychological </w:t>
      </w:r>
      <w:r>
        <w:rPr>
          <w:spacing w:val="-2"/>
          <w:w w:val="110"/>
        </w:rPr>
        <w:t>Collapse</w:t>
      </w:r>
    </w:p>
    <w:p>
      <w:pPr>
        <w:pStyle w:val="BodyText"/>
        <w:spacing w:line="266" w:lineRule="auto" w:before="77"/>
        <w:ind w:right="1438" w:firstLine="432"/>
        <w:jc w:val="both"/>
      </w:pPr>
      <w:r>
        <w:rPr/>
        <w:t>Lady Anne exhibits a character arc with some of the most excruciating</w:t>
      </w:r>
      <w:r>
        <w:rPr>
          <w:spacing w:val="-13"/>
        </w:rPr>
        <w:t> </w:t>
      </w:r>
      <w:r>
        <w:rPr/>
        <w:t>emotional</w:t>
      </w:r>
      <w:r>
        <w:rPr>
          <w:spacing w:val="-12"/>
        </w:rPr>
        <w:t> </w:t>
      </w:r>
      <w:r>
        <w:rPr/>
        <w:t>gradients</w:t>
      </w:r>
      <w:r>
        <w:rPr>
          <w:spacing w:val="-13"/>
        </w:rPr>
        <w:t> </w:t>
      </w:r>
      <w:r>
        <w:rPr/>
        <w:t>of</w:t>
      </w:r>
      <w:r>
        <w:rPr>
          <w:spacing w:val="-12"/>
        </w:rPr>
        <w:t> </w:t>
      </w:r>
      <w:r>
        <w:rPr/>
        <w:t>any</w:t>
      </w:r>
      <w:r>
        <w:rPr>
          <w:spacing w:val="-13"/>
        </w:rPr>
        <w:t> </w:t>
      </w:r>
      <w:r>
        <w:rPr/>
        <w:t>other</w:t>
      </w:r>
      <w:r>
        <w:rPr>
          <w:spacing w:val="-11"/>
        </w:rPr>
        <w:t> </w:t>
      </w:r>
      <w:r>
        <w:rPr/>
        <w:t>character</w:t>
      </w:r>
      <w:r>
        <w:rPr>
          <w:spacing w:val="-12"/>
        </w:rPr>
        <w:t> </w:t>
      </w:r>
      <w:r>
        <w:rPr/>
        <w:t>in</w:t>
      </w:r>
      <w:r>
        <w:rPr>
          <w:spacing w:val="-13"/>
        </w:rPr>
        <w:t> </w:t>
      </w:r>
      <w:r>
        <w:rPr/>
        <w:t>Shakespeare’s histories. Initially, she represents the sense of mourning, anger, and </w:t>
      </w:r>
      <w:r>
        <w:rPr>
          <w:spacing w:val="-2"/>
        </w:rPr>
        <w:t>moral</w:t>
      </w:r>
      <w:r>
        <w:rPr>
          <w:spacing w:val="-11"/>
        </w:rPr>
        <w:t> </w:t>
      </w:r>
      <w:r>
        <w:rPr>
          <w:spacing w:val="-2"/>
        </w:rPr>
        <w:t>clarity</w:t>
      </w:r>
      <w:r>
        <w:rPr>
          <w:spacing w:val="-10"/>
        </w:rPr>
        <w:t> </w:t>
      </w:r>
      <w:r>
        <w:rPr>
          <w:spacing w:val="-2"/>
        </w:rPr>
        <w:t>by</w:t>
      </w:r>
      <w:r>
        <w:rPr>
          <w:spacing w:val="-11"/>
        </w:rPr>
        <w:t> </w:t>
      </w:r>
      <w:r>
        <w:rPr>
          <w:spacing w:val="-2"/>
        </w:rPr>
        <w:t>vocally</w:t>
      </w:r>
      <w:r>
        <w:rPr>
          <w:spacing w:val="-10"/>
        </w:rPr>
        <w:t> </w:t>
      </w:r>
      <w:r>
        <w:rPr>
          <w:spacing w:val="-2"/>
        </w:rPr>
        <w:t>chastising</w:t>
      </w:r>
      <w:r>
        <w:rPr>
          <w:spacing w:val="-11"/>
        </w:rPr>
        <w:t> </w:t>
      </w:r>
      <w:r>
        <w:rPr>
          <w:spacing w:val="-2"/>
        </w:rPr>
        <w:t>Richard,</w:t>
      </w:r>
      <w:r>
        <w:rPr>
          <w:spacing w:val="-10"/>
        </w:rPr>
        <w:t> </w:t>
      </w:r>
      <w:r>
        <w:rPr>
          <w:spacing w:val="-2"/>
        </w:rPr>
        <w:t>having</w:t>
      </w:r>
      <w:r>
        <w:rPr>
          <w:spacing w:val="-11"/>
        </w:rPr>
        <w:t> </w:t>
      </w:r>
      <w:r>
        <w:rPr>
          <w:spacing w:val="-2"/>
        </w:rPr>
        <w:t>murdered</w:t>
      </w:r>
      <w:r>
        <w:rPr>
          <w:spacing w:val="-6"/>
        </w:rPr>
        <w:t> </w:t>
      </w:r>
      <w:r>
        <w:rPr>
          <w:spacing w:val="-2"/>
        </w:rPr>
        <w:t>her</w:t>
      </w:r>
      <w:r>
        <w:rPr>
          <w:spacing w:val="-5"/>
        </w:rPr>
        <w:t> </w:t>
      </w:r>
      <w:r>
        <w:rPr>
          <w:spacing w:val="-2"/>
        </w:rPr>
        <w:t>husband </w:t>
      </w:r>
      <w:r>
        <w:rPr/>
        <w:t>and her father-in-law. What happens next is not a neutral attempt at persuading Anne, but, rather, an intrinsically horrific form of coercive psychological</w:t>
      </w:r>
      <w:r>
        <w:rPr>
          <w:spacing w:val="-3"/>
        </w:rPr>
        <w:t> </w:t>
      </w:r>
      <w:r>
        <w:rPr/>
        <w:t>manipulation.</w:t>
      </w:r>
      <w:r>
        <w:rPr>
          <w:spacing w:val="-2"/>
        </w:rPr>
        <w:t> </w:t>
      </w:r>
      <w:r>
        <w:rPr/>
        <w:t>This</w:t>
      </w:r>
      <w:r>
        <w:rPr>
          <w:spacing w:val="-3"/>
        </w:rPr>
        <w:t> </w:t>
      </w:r>
      <w:r>
        <w:rPr/>
        <w:t>terrible</w:t>
      </w:r>
      <w:r>
        <w:rPr>
          <w:spacing w:val="-3"/>
        </w:rPr>
        <w:t> </w:t>
      </w:r>
      <w:r>
        <w:rPr/>
        <w:t>predicate</w:t>
      </w:r>
      <w:r>
        <w:rPr>
          <w:spacing w:val="-4"/>
        </w:rPr>
        <w:t> </w:t>
      </w:r>
      <w:r>
        <w:rPr/>
        <w:t>of</w:t>
      </w:r>
      <w:r>
        <w:rPr>
          <w:spacing w:val="-3"/>
        </w:rPr>
        <w:t> </w:t>
      </w:r>
      <w:r>
        <w:rPr/>
        <w:t>manipulation</w:t>
      </w:r>
      <w:r>
        <w:rPr>
          <w:spacing w:val="-5"/>
        </w:rPr>
        <w:t> </w:t>
      </w:r>
      <w:r>
        <w:rPr/>
        <w:t>and coercion can be tracked in the very subjective experience of moving from the resistance she originally displayed to the submission she ultimately exhibits. The experience of this transformation is not one of fluidity or naturalness; it is one of violence against one’s person, as though</w:t>
      </w:r>
      <w:r>
        <w:rPr>
          <w:spacing w:val="-3"/>
        </w:rPr>
        <w:t> </w:t>
      </w:r>
      <w:r>
        <w:rPr/>
        <w:t>physically</w:t>
      </w:r>
      <w:r>
        <w:rPr>
          <w:spacing w:val="-3"/>
        </w:rPr>
        <w:t> </w:t>
      </w:r>
      <w:r>
        <w:rPr/>
        <w:t>and</w:t>
      </w:r>
      <w:r>
        <w:rPr>
          <w:spacing w:val="-1"/>
        </w:rPr>
        <w:t> </w:t>
      </w:r>
      <w:r>
        <w:rPr/>
        <w:t>psychologically</w:t>
      </w:r>
      <w:r>
        <w:rPr>
          <w:spacing w:val="-5"/>
        </w:rPr>
        <w:t> </w:t>
      </w:r>
      <w:r>
        <w:rPr/>
        <w:t>forced</w:t>
      </w:r>
      <w:r>
        <w:rPr>
          <w:spacing w:val="-1"/>
        </w:rPr>
        <w:t> </w:t>
      </w:r>
      <w:r>
        <w:rPr/>
        <w:t>into a</w:t>
      </w:r>
      <w:r>
        <w:rPr>
          <w:spacing w:val="-4"/>
        </w:rPr>
        <w:t> </w:t>
      </w:r>
      <w:r>
        <w:rPr/>
        <w:t>new</w:t>
      </w:r>
      <w:r>
        <w:rPr>
          <w:spacing w:val="-5"/>
        </w:rPr>
        <w:t> </w:t>
      </w:r>
      <w:r>
        <w:rPr/>
        <w:t>and dangerous state of being. The discomfort associated with power can be seen as doing two things, first by physically violent means, secondly by the ongoing manipulation of an individual’s self-image, such as Richard </w:t>
      </w:r>
      <w:r>
        <w:rPr>
          <w:spacing w:val="-2"/>
        </w:rPr>
        <w:t>does</w:t>
      </w:r>
      <w:r>
        <w:rPr>
          <w:spacing w:val="-4"/>
        </w:rPr>
        <w:t> </w:t>
      </w:r>
      <w:r>
        <w:rPr>
          <w:spacing w:val="-2"/>
        </w:rPr>
        <w:t>to</w:t>
      </w:r>
      <w:r>
        <w:rPr>
          <w:spacing w:val="-11"/>
        </w:rPr>
        <w:t> </w:t>
      </w:r>
      <w:r>
        <w:rPr>
          <w:spacing w:val="-2"/>
        </w:rPr>
        <w:t>Anne. By</w:t>
      </w:r>
      <w:r>
        <w:rPr>
          <w:spacing w:val="-6"/>
        </w:rPr>
        <w:t> </w:t>
      </w:r>
      <w:r>
        <w:rPr>
          <w:spacing w:val="-2"/>
        </w:rPr>
        <w:t>manipulating</w:t>
      </w:r>
      <w:r>
        <w:rPr>
          <w:spacing w:val="-11"/>
        </w:rPr>
        <w:t> </w:t>
      </w:r>
      <w:r>
        <w:rPr>
          <w:spacing w:val="-2"/>
        </w:rPr>
        <w:t>Anne’s</w:t>
      </w:r>
      <w:r>
        <w:rPr>
          <w:spacing w:val="-3"/>
        </w:rPr>
        <w:t> </w:t>
      </w:r>
      <w:r>
        <w:rPr>
          <w:spacing w:val="-2"/>
        </w:rPr>
        <w:t>emotions and self-image, Richard </w:t>
      </w:r>
      <w:r>
        <w:rPr/>
        <w:t>is</w:t>
      </w:r>
      <w:r>
        <w:rPr>
          <w:spacing w:val="-13"/>
        </w:rPr>
        <w:t> </w:t>
      </w:r>
      <w:r>
        <w:rPr/>
        <w:t>able</w:t>
      </w:r>
      <w:r>
        <w:rPr>
          <w:spacing w:val="-12"/>
        </w:rPr>
        <w:t> </w:t>
      </w:r>
      <w:r>
        <w:rPr/>
        <w:t>to</w:t>
      </w:r>
      <w:r>
        <w:rPr>
          <w:spacing w:val="-11"/>
        </w:rPr>
        <w:t> </w:t>
      </w:r>
      <w:r>
        <w:rPr/>
        <w:t>create</w:t>
      </w:r>
      <w:r>
        <w:rPr>
          <w:spacing w:val="-10"/>
        </w:rPr>
        <w:t> </w:t>
      </w:r>
      <w:r>
        <w:rPr/>
        <w:t>a</w:t>
      </w:r>
      <w:r>
        <w:rPr>
          <w:spacing w:val="-10"/>
        </w:rPr>
        <w:t> </w:t>
      </w:r>
      <w:r>
        <w:rPr/>
        <w:t>new</w:t>
      </w:r>
      <w:r>
        <w:rPr>
          <w:spacing w:val="-13"/>
        </w:rPr>
        <w:t> </w:t>
      </w:r>
      <w:r>
        <w:rPr/>
        <w:t>reality</w:t>
      </w:r>
      <w:r>
        <w:rPr>
          <w:spacing w:val="-12"/>
        </w:rPr>
        <w:t> </w:t>
      </w:r>
      <w:r>
        <w:rPr/>
        <w:t>for</w:t>
      </w:r>
      <w:r>
        <w:rPr>
          <w:spacing w:val="-9"/>
        </w:rPr>
        <w:t> </w:t>
      </w:r>
      <w:r>
        <w:rPr/>
        <w:t>her.</w:t>
      </w:r>
      <w:r>
        <w:rPr>
          <w:spacing w:val="-9"/>
        </w:rPr>
        <w:t> </w:t>
      </w:r>
      <w:r>
        <w:rPr/>
        <w:t>From</w:t>
      </w:r>
      <w:r>
        <w:rPr>
          <w:spacing w:val="-13"/>
        </w:rPr>
        <w:t> </w:t>
      </w:r>
      <w:r>
        <w:rPr/>
        <w:t>a</w:t>
      </w:r>
      <w:r>
        <w:rPr>
          <w:spacing w:val="-11"/>
        </w:rPr>
        <w:t> </w:t>
      </w:r>
      <w:r>
        <w:rPr/>
        <w:t>psychoanalytic</w:t>
      </w:r>
      <w:r>
        <w:rPr>
          <w:spacing w:val="-10"/>
        </w:rPr>
        <w:t> </w:t>
      </w:r>
      <w:r>
        <w:rPr/>
        <w:t>perspective, this would represent a loss of emotional autonomy through trauma and the subsequent pressures of the trauma on the individual and how the trauma</w:t>
      </w:r>
      <w:r>
        <w:rPr>
          <w:spacing w:val="-3"/>
        </w:rPr>
        <w:t> </w:t>
      </w:r>
      <w:r>
        <w:rPr/>
        <w:t>will</w:t>
      </w:r>
      <w:r>
        <w:rPr>
          <w:spacing w:val="-4"/>
        </w:rPr>
        <w:t> </w:t>
      </w:r>
      <w:r>
        <w:rPr/>
        <w:t>be</w:t>
      </w:r>
      <w:r>
        <w:rPr>
          <w:spacing w:val="-6"/>
        </w:rPr>
        <w:t> </w:t>
      </w:r>
      <w:r>
        <w:rPr/>
        <w:t>used</w:t>
      </w:r>
      <w:r>
        <w:rPr>
          <w:spacing w:val="-4"/>
        </w:rPr>
        <w:t> </w:t>
      </w:r>
      <w:r>
        <w:rPr/>
        <w:t>to</w:t>
      </w:r>
      <w:r>
        <w:rPr>
          <w:spacing w:val="-4"/>
        </w:rPr>
        <w:t> </w:t>
      </w:r>
      <w:r>
        <w:rPr/>
        <w:t>impede</w:t>
      </w:r>
      <w:r>
        <w:rPr>
          <w:spacing w:val="-1"/>
        </w:rPr>
        <w:t> </w:t>
      </w:r>
      <w:r>
        <w:rPr/>
        <w:t>their</w:t>
      </w:r>
      <w:r>
        <w:rPr>
          <w:spacing w:val="-4"/>
        </w:rPr>
        <w:t> </w:t>
      </w:r>
      <w:r>
        <w:rPr/>
        <w:t>ability</w:t>
      </w:r>
      <w:r>
        <w:rPr>
          <w:spacing w:val="-7"/>
        </w:rPr>
        <w:t> </w:t>
      </w:r>
      <w:r>
        <w:rPr/>
        <w:t>to</w:t>
      </w:r>
      <w:r>
        <w:rPr>
          <w:spacing w:val="-4"/>
        </w:rPr>
        <w:t> </w:t>
      </w:r>
      <w:r>
        <w:rPr/>
        <w:t>make</w:t>
      </w:r>
      <w:r>
        <w:rPr>
          <w:spacing w:val="-3"/>
        </w:rPr>
        <w:t> </w:t>
      </w:r>
      <w:r>
        <w:rPr/>
        <w:t>independent</w:t>
      </w:r>
      <w:r>
        <w:rPr>
          <w:spacing w:val="-4"/>
        </w:rPr>
        <w:t> </w:t>
      </w:r>
      <w:r>
        <w:rPr/>
        <w:t>choices (Freud, 1917/1957). From a feminist theory point of view, this can be viewed as a classic example of how patriarchal systems legitimise the use of coercive means as an acceptable means of persuasion. Lady</w:t>
      </w:r>
      <w:r>
        <w:rPr>
          <w:spacing w:val="40"/>
        </w:rPr>
        <w:t> </w:t>
      </w:r>
      <w:r>
        <w:rPr/>
        <w:t>Anne is not weak; she is simply not capable of resisting the patriarchal institutionally-based coercive processes that limit her ability to resist. The fact</w:t>
      </w:r>
      <w:r>
        <w:rPr>
          <w:spacing w:val="-1"/>
        </w:rPr>
        <w:t> </w:t>
      </w:r>
      <w:r>
        <w:rPr/>
        <w:t>that</w:t>
      </w:r>
      <w:r>
        <w:rPr>
          <w:spacing w:val="-1"/>
        </w:rPr>
        <w:t> </w:t>
      </w:r>
      <w:r>
        <w:rPr/>
        <w:t>she is silent following the</w:t>
      </w:r>
      <w:r>
        <w:rPr>
          <w:spacing w:val="-2"/>
        </w:rPr>
        <w:t> </w:t>
      </w:r>
      <w:r>
        <w:rPr/>
        <w:t>marriage is</w:t>
      </w:r>
      <w:r>
        <w:rPr>
          <w:spacing w:val="-2"/>
        </w:rPr>
        <w:t> </w:t>
      </w:r>
      <w:r>
        <w:rPr/>
        <w:t>not indicative of</w:t>
      </w:r>
      <w:r>
        <w:rPr>
          <w:spacing w:val="-2"/>
        </w:rPr>
        <w:t> </w:t>
      </w:r>
      <w:r>
        <w:rPr/>
        <w:t>her acceptance</w:t>
      </w:r>
      <w:r>
        <w:rPr>
          <w:spacing w:val="-2"/>
        </w:rPr>
        <w:t> </w:t>
      </w:r>
      <w:r>
        <w:rPr/>
        <w:t>of</w:t>
      </w:r>
      <w:r>
        <w:rPr>
          <w:spacing w:val="-1"/>
        </w:rPr>
        <w:t> </w:t>
      </w:r>
      <w:r>
        <w:rPr/>
        <w:t>the</w:t>
      </w:r>
      <w:r>
        <w:rPr>
          <w:spacing w:val="-1"/>
        </w:rPr>
        <w:t> </w:t>
      </w:r>
      <w:r>
        <w:rPr/>
        <w:t>situation; her</w:t>
      </w:r>
      <w:r>
        <w:rPr>
          <w:spacing w:val="-1"/>
        </w:rPr>
        <w:t> </w:t>
      </w:r>
      <w:r>
        <w:rPr/>
        <w:t>silence</w:t>
      </w:r>
      <w:r>
        <w:rPr>
          <w:spacing w:val="-1"/>
        </w:rPr>
        <w:t> </w:t>
      </w:r>
      <w:r>
        <w:rPr/>
        <w:t>indicates her</w:t>
      </w:r>
      <w:r>
        <w:rPr>
          <w:spacing w:val="-1"/>
        </w:rPr>
        <w:t> </w:t>
      </w:r>
      <w:r>
        <w:rPr/>
        <w:t>erasure, and shows how women’s voices are systematically assimilated into the prevailing power</w:t>
      </w:r>
      <w:r>
        <w:rPr>
          <w:spacing w:val="40"/>
        </w:rPr>
        <w:t> </w:t>
      </w:r>
      <w:r>
        <w:rPr/>
        <w:t>structure.</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40928">
                <wp:simplePos x="0" y="0"/>
                <wp:positionH relativeFrom="page">
                  <wp:posOffset>2065020</wp:posOffset>
                </wp:positionH>
                <wp:positionV relativeFrom="paragraph">
                  <wp:posOffset>162604</wp:posOffset>
                </wp:positionV>
                <wp:extent cx="3657600" cy="12700"/>
                <wp:effectExtent l="0" t="0" r="0" b="0"/>
                <wp:wrapTopAndBottom/>
                <wp:docPr id="449" name="Graphic 449"/>
                <wp:cNvGraphicFramePr>
                  <a:graphicFrameLocks/>
                </wp:cNvGraphicFramePr>
                <a:graphic>
                  <a:graphicData uri="http://schemas.microsoft.com/office/word/2010/wordprocessingShape">
                    <wps:wsp>
                      <wps:cNvPr id="449" name="Graphic 44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75552;mso-wrap-distance-left:0;mso-wrap-distance-right:0" id="docshape444" filled="true" fillcolor="#000000" stroked="false">
                <v:fill type="solid"/>
                <w10:wrap type="topAndBottom"/>
              </v:rect>
            </w:pict>
          </mc:Fallback>
        </mc:AlternateContent>
      </w:r>
      <w:r>
        <w:rPr>
          <w:rFonts w:ascii="Verdana"/>
          <w:spacing w:val="-2"/>
          <w:sz w:val="18"/>
        </w:rPr>
        <w:t>Beyond</w:t>
      </w:r>
      <w:r>
        <w:rPr>
          <w:rFonts w:ascii="Verdana"/>
          <w:spacing w:val="-6"/>
          <w:sz w:val="18"/>
        </w:rPr>
        <w:t> </w:t>
      </w:r>
      <w:r>
        <w:rPr>
          <w:rFonts w:ascii="Verdana"/>
          <w:spacing w:val="-2"/>
          <w:sz w:val="18"/>
        </w:rPr>
        <w:t>Kings</w:t>
      </w:r>
      <w:r>
        <w:rPr>
          <w:rFonts w:ascii="Verdana"/>
          <w:spacing w:val="-1"/>
          <w:sz w:val="18"/>
        </w:rPr>
        <w:t> </w:t>
      </w:r>
      <w:r>
        <w:rPr>
          <w:rFonts w:ascii="Verdana"/>
          <w:spacing w:val="-2"/>
          <w:sz w:val="18"/>
        </w:rPr>
        <w:t>and</w:t>
      </w:r>
      <w:r>
        <w:rPr>
          <w:rFonts w:ascii="Verdana"/>
          <w:spacing w:val="-4"/>
          <w:sz w:val="18"/>
        </w:rPr>
        <w:t> </w:t>
      </w:r>
      <w:r>
        <w:rPr>
          <w:rFonts w:ascii="Verdana"/>
          <w:spacing w:val="-2"/>
          <w:sz w:val="18"/>
        </w:rPr>
        <w:t>Wars:</w:t>
      </w:r>
      <w:r>
        <w:rPr>
          <w:rFonts w:ascii="Verdana"/>
          <w:spacing w:val="-4"/>
          <w:sz w:val="18"/>
        </w:rPr>
        <w:t> </w:t>
      </w:r>
      <w:r>
        <w:rPr>
          <w:rFonts w:ascii="Verdana"/>
          <w:spacing w:val="-2"/>
          <w:sz w:val="18"/>
        </w:rPr>
        <w:t>Re-examining</w:t>
      </w:r>
      <w:r>
        <w:rPr>
          <w:rFonts w:ascii="Verdana"/>
          <w:spacing w:val="-5"/>
          <w:sz w:val="18"/>
        </w:rPr>
        <w:t> </w:t>
      </w:r>
      <w:r>
        <w:rPr>
          <w:rFonts w:ascii="Verdana"/>
          <w:spacing w:val="-2"/>
          <w:sz w:val="18"/>
        </w:rPr>
        <w:t>Women</w:t>
      </w:r>
      <w:r>
        <w:rPr>
          <w:rFonts w:ascii="Verdana"/>
          <w:spacing w:val="-1"/>
          <w:sz w:val="18"/>
        </w:rPr>
        <w:t> </w:t>
      </w:r>
      <w:r>
        <w:rPr>
          <w:rFonts w:ascii="Verdana"/>
          <w:spacing w:val="-4"/>
          <w:sz w:val="18"/>
        </w:rPr>
        <w:t>in...</w:t>
      </w:r>
      <w:r>
        <w:rPr>
          <w:sz w:val="18"/>
        </w:rPr>
        <w:tab/>
      </w:r>
      <w:r>
        <w:rPr>
          <w:rFonts w:ascii="Verdana"/>
          <w:spacing w:val="-5"/>
          <w:sz w:val="18"/>
        </w:rPr>
        <w:t>193</w:t>
      </w:r>
    </w:p>
    <w:p>
      <w:pPr>
        <w:pStyle w:val="Heading5"/>
        <w:numPr>
          <w:ilvl w:val="1"/>
          <w:numId w:val="37"/>
        </w:numPr>
        <w:tabs>
          <w:tab w:pos="1877" w:val="left" w:leader="none"/>
        </w:tabs>
        <w:spacing w:line="240" w:lineRule="auto" w:before="184" w:after="0"/>
        <w:ind w:left="1877" w:right="0" w:hanging="437"/>
        <w:jc w:val="left"/>
      </w:pPr>
      <w:r>
        <w:rPr>
          <w:w w:val="105"/>
        </w:rPr>
        <w:t>Constance:</w:t>
      </w:r>
      <w:r>
        <w:rPr>
          <w:spacing w:val="69"/>
          <w:w w:val="150"/>
        </w:rPr>
        <w:t> </w:t>
      </w:r>
      <w:r>
        <w:rPr>
          <w:w w:val="105"/>
        </w:rPr>
        <w:t>Maternal</w:t>
      </w:r>
      <w:r>
        <w:rPr>
          <w:spacing w:val="68"/>
          <w:w w:val="150"/>
        </w:rPr>
        <w:t> </w:t>
      </w:r>
      <w:r>
        <w:rPr>
          <w:w w:val="105"/>
        </w:rPr>
        <w:t>Grief</w:t>
      </w:r>
      <w:r>
        <w:rPr>
          <w:spacing w:val="70"/>
          <w:w w:val="150"/>
        </w:rPr>
        <w:t> </w:t>
      </w:r>
      <w:r>
        <w:rPr>
          <w:w w:val="105"/>
        </w:rPr>
        <w:t>as</w:t>
      </w:r>
      <w:r>
        <w:rPr>
          <w:spacing w:val="65"/>
          <w:w w:val="150"/>
        </w:rPr>
        <w:t> </w:t>
      </w:r>
      <w:r>
        <w:rPr>
          <w:w w:val="105"/>
        </w:rPr>
        <w:t>Political</w:t>
      </w:r>
      <w:r>
        <w:rPr>
          <w:spacing w:val="65"/>
          <w:w w:val="150"/>
        </w:rPr>
        <w:t> </w:t>
      </w:r>
      <w:r>
        <w:rPr>
          <w:spacing w:val="-2"/>
          <w:w w:val="105"/>
        </w:rPr>
        <w:t>Protest</w:t>
      </w:r>
    </w:p>
    <w:p>
      <w:pPr>
        <w:pStyle w:val="BodyText"/>
        <w:spacing w:line="249" w:lineRule="auto" w:before="72"/>
        <w:ind w:right="1438" w:firstLine="432"/>
        <w:jc w:val="both"/>
      </w:pPr>
      <w:r>
        <w:rPr/>
        <w:t>Constance is an emotional character without limits. Her grief for the death of her son is not expressed in private but as something that </w:t>
      </w:r>
      <w:r>
        <w:rPr>
          <w:spacing w:val="-2"/>
        </w:rPr>
        <w:t>disrupts society</w:t>
      </w:r>
      <w:r>
        <w:rPr>
          <w:spacing w:val="-4"/>
        </w:rPr>
        <w:t> </w:t>
      </w:r>
      <w:r>
        <w:rPr>
          <w:spacing w:val="-2"/>
        </w:rPr>
        <w:t>and challenges</w:t>
      </w:r>
      <w:r>
        <w:rPr>
          <w:spacing w:val="-4"/>
        </w:rPr>
        <w:t> </w:t>
      </w:r>
      <w:r>
        <w:rPr>
          <w:spacing w:val="-2"/>
        </w:rPr>
        <w:t>political power. Whereas men understand </w:t>
      </w:r>
      <w:r>
        <w:rPr/>
        <w:t>power and succession as strategic in nature, Constance understands</w:t>
      </w:r>
      <w:r>
        <w:rPr>
          <w:spacing w:val="40"/>
        </w:rPr>
        <w:t> </w:t>
      </w:r>
      <w:r>
        <w:rPr/>
        <w:t>how much it costs to make decisions regarding those two concepts. </w:t>
      </w:r>
      <w:r>
        <w:rPr>
          <w:spacing w:val="-2"/>
        </w:rPr>
        <w:t>When</w:t>
      </w:r>
      <w:r>
        <w:rPr>
          <w:spacing w:val="-5"/>
        </w:rPr>
        <w:t> </w:t>
      </w:r>
      <w:r>
        <w:rPr>
          <w:spacing w:val="-2"/>
        </w:rPr>
        <w:t>Constance</w:t>
      </w:r>
      <w:r>
        <w:rPr>
          <w:spacing w:val="-4"/>
        </w:rPr>
        <w:t> </w:t>
      </w:r>
      <w:r>
        <w:rPr>
          <w:spacing w:val="-2"/>
        </w:rPr>
        <w:t>feels</w:t>
      </w:r>
      <w:r>
        <w:rPr>
          <w:spacing w:val="-5"/>
        </w:rPr>
        <w:t> </w:t>
      </w:r>
      <w:r>
        <w:rPr>
          <w:spacing w:val="-2"/>
        </w:rPr>
        <w:t>her</w:t>
      </w:r>
      <w:r>
        <w:rPr>
          <w:spacing w:val="-3"/>
        </w:rPr>
        <w:t> </w:t>
      </w:r>
      <w:r>
        <w:rPr>
          <w:spacing w:val="-2"/>
        </w:rPr>
        <w:t>grief</w:t>
      </w:r>
      <w:r>
        <w:rPr>
          <w:spacing w:val="-5"/>
        </w:rPr>
        <w:t> </w:t>
      </w:r>
      <w:r>
        <w:rPr>
          <w:spacing w:val="-2"/>
        </w:rPr>
        <w:t>subjectively, she feels</w:t>
      </w:r>
      <w:r>
        <w:rPr>
          <w:spacing w:val="-3"/>
        </w:rPr>
        <w:t> </w:t>
      </w:r>
      <w:r>
        <w:rPr>
          <w:spacing w:val="-2"/>
        </w:rPr>
        <w:t>it</w:t>
      </w:r>
      <w:r>
        <w:rPr>
          <w:spacing w:val="-5"/>
        </w:rPr>
        <w:t> </w:t>
      </w:r>
      <w:r>
        <w:rPr>
          <w:spacing w:val="-2"/>
        </w:rPr>
        <w:t>is</w:t>
      </w:r>
      <w:r>
        <w:rPr>
          <w:spacing w:val="-3"/>
        </w:rPr>
        <w:t> </w:t>
      </w:r>
      <w:r>
        <w:rPr>
          <w:spacing w:val="-2"/>
        </w:rPr>
        <w:t>overwhelming </w:t>
      </w:r>
      <w:r>
        <w:rPr/>
        <w:t>(near to being unbearable); however, its power comes from having the potential to disrupt political discourse by breaking its emotional neutrality. While others speak in terms of legitimacy and alliances, Constance speaks of loss, pain, and injustice. By refusing to moderate her emotions, she has created a situation where she defies the idea that women</w:t>
      </w:r>
      <w:r>
        <w:rPr>
          <w:spacing w:val="6"/>
        </w:rPr>
        <w:t> </w:t>
      </w:r>
      <w:r>
        <w:rPr/>
        <w:t>need</w:t>
      </w:r>
      <w:r>
        <w:rPr>
          <w:spacing w:val="4"/>
        </w:rPr>
        <w:t> </w:t>
      </w:r>
      <w:r>
        <w:rPr/>
        <w:t>to</w:t>
      </w:r>
      <w:r>
        <w:rPr>
          <w:spacing w:val="8"/>
        </w:rPr>
        <w:t> </w:t>
      </w:r>
      <w:r>
        <w:rPr/>
        <w:t>express</w:t>
      </w:r>
      <w:r>
        <w:rPr>
          <w:spacing w:val="4"/>
        </w:rPr>
        <w:t> </w:t>
      </w:r>
      <w:r>
        <w:rPr/>
        <w:t>their</w:t>
      </w:r>
      <w:r>
        <w:rPr>
          <w:spacing w:val="8"/>
        </w:rPr>
        <w:t> </w:t>
      </w:r>
      <w:r>
        <w:rPr/>
        <w:t>grief</w:t>
      </w:r>
      <w:r>
        <w:rPr>
          <w:spacing w:val="3"/>
        </w:rPr>
        <w:t> </w:t>
      </w:r>
      <w:r>
        <w:rPr/>
        <w:t>only</w:t>
      </w:r>
      <w:r>
        <w:rPr>
          <w:spacing w:val="4"/>
        </w:rPr>
        <w:t> </w:t>
      </w:r>
      <w:r>
        <w:rPr/>
        <w:t>in</w:t>
      </w:r>
      <w:r>
        <w:rPr>
          <w:spacing w:val="4"/>
        </w:rPr>
        <w:t> </w:t>
      </w:r>
      <w:r>
        <w:rPr/>
        <w:t>a</w:t>
      </w:r>
      <w:r>
        <w:rPr>
          <w:spacing w:val="6"/>
        </w:rPr>
        <w:t> </w:t>
      </w:r>
      <w:r>
        <w:rPr/>
        <w:t>proper,</w:t>
      </w:r>
      <w:r>
        <w:rPr>
          <w:spacing w:val="5"/>
        </w:rPr>
        <w:t> </w:t>
      </w:r>
      <w:r>
        <w:rPr/>
        <w:t>acceptable</w:t>
      </w:r>
      <w:r>
        <w:rPr>
          <w:spacing w:val="6"/>
        </w:rPr>
        <w:t> </w:t>
      </w:r>
      <w:r>
        <w:rPr>
          <w:spacing w:val="-2"/>
        </w:rPr>
        <w:t>manner.</w:t>
      </w:r>
    </w:p>
    <w:p>
      <w:pPr>
        <w:pStyle w:val="Heading5"/>
        <w:numPr>
          <w:ilvl w:val="1"/>
          <w:numId w:val="37"/>
        </w:numPr>
        <w:tabs>
          <w:tab w:pos="1853" w:val="left" w:leader="none"/>
        </w:tabs>
        <w:spacing w:line="244" w:lineRule="auto" w:before="117" w:after="0"/>
        <w:ind w:left="1440" w:right="1443" w:firstLine="0"/>
        <w:jc w:val="left"/>
      </w:pPr>
      <w:r>
        <w:rPr>
          <w:w w:val="105"/>
        </w:rPr>
        <w:t>Queen</w:t>
      </w:r>
      <w:r>
        <w:rPr>
          <w:spacing w:val="40"/>
          <w:w w:val="105"/>
        </w:rPr>
        <w:t> </w:t>
      </w:r>
      <w:r>
        <w:rPr>
          <w:w w:val="105"/>
        </w:rPr>
        <w:t>Elizabeth</w:t>
      </w:r>
      <w:r>
        <w:rPr>
          <w:spacing w:val="40"/>
          <w:w w:val="105"/>
        </w:rPr>
        <w:t> </w:t>
      </w:r>
      <w:r>
        <w:rPr>
          <w:w w:val="105"/>
        </w:rPr>
        <w:t>gives</w:t>
      </w:r>
      <w:r>
        <w:rPr>
          <w:spacing w:val="40"/>
          <w:w w:val="105"/>
        </w:rPr>
        <w:t> </w:t>
      </w:r>
      <w:r>
        <w:rPr>
          <w:w w:val="105"/>
        </w:rPr>
        <w:t>monarchy</w:t>
      </w:r>
      <w:r>
        <w:rPr>
          <w:spacing w:val="40"/>
          <w:w w:val="105"/>
        </w:rPr>
        <w:t> </w:t>
      </w:r>
      <w:r>
        <w:rPr>
          <w:w w:val="105"/>
        </w:rPr>
        <w:t>a</w:t>
      </w:r>
      <w:r>
        <w:rPr>
          <w:spacing w:val="40"/>
          <w:w w:val="105"/>
        </w:rPr>
        <w:t> </w:t>
      </w:r>
      <w:r>
        <w:rPr>
          <w:w w:val="105"/>
        </w:rPr>
        <w:t>new</w:t>
      </w:r>
      <w:r>
        <w:rPr>
          <w:spacing w:val="40"/>
          <w:w w:val="105"/>
        </w:rPr>
        <w:t> </w:t>
      </w:r>
      <w:r>
        <w:rPr>
          <w:w w:val="105"/>
        </w:rPr>
        <w:t>form</w:t>
      </w:r>
      <w:r>
        <w:rPr>
          <w:spacing w:val="40"/>
          <w:w w:val="105"/>
        </w:rPr>
        <w:t> </w:t>
      </w:r>
      <w:r>
        <w:rPr>
          <w:w w:val="105"/>
        </w:rPr>
        <w:t>of</w:t>
      </w:r>
      <w:r>
        <w:rPr>
          <w:spacing w:val="40"/>
          <w:w w:val="105"/>
        </w:rPr>
        <w:t> </w:t>
      </w:r>
      <w:r>
        <w:rPr>
          <w:w w:val="105"/>
        </w:rPr>
        <w:t>engagement</w:t>
      </w:r>
      <w:r>
        <w:rPr>
          <w:spacing w:val="80"/>
          <w:w w:val="105"/>
        </w:rPr>
        <w:t> </w:t>
      </w:r>
      <w:r>
        <w:rPr>
          <w:w w:val="105"/>
        </w:rPr>
        <w:t>with</w:t>
      </w:r>
      <w:r>
        <w:rPr>
          <w:spacing w:val="80"/>
          <w:w w:val="105"/>
        </w:rPr>
        <w:t> </w:t>
      </w:r>
      <w:r>
        <w:rPr>
          <w:w w:val="105"/>
        </w:rPr>
        <w:t>power:</w:t>
      </w:r>
    </w:p>
    <w:p>
      <w:pPr>
        <w:pStyle w:val="BodyText"/>
        <w:spacing w:line="249" w:lineRule="auto" w:before="67"/>
        <w:ind w:right="1438" w:firstLine="432"/>
        <w:jc w:val="both"/>
      </w:pPr>
      <w:r>
        <w:rPr/>
        <w:t>It</w:t>
      </w:r>
      <w:r>
        <w:rPr>
          <w:spacing w:val="-5"/>
        </w:rPr>
        <w:t> </w:t>
      </w:r>
      <w:r>
        <w:rPr/>
        <w:t>is</w:t>
      </w:r>
      <w:r>
        <w:rPr>
          <w:spacing w:val="-1"/>
        </w:rPr>
        <w:t> </w:t>
      </w:r>
      <w:r>
        <w:rPr/>
        <w:t>quieter</w:t>
      </w:r>
      <w:r>
        <w:rPr>
          <w:spacing w:val="-3"/>
        </w:rPr>
        <w:t> </w:t>
      </w:r>
      <w:r>
        <w:rPr/>
        <w:t>than</w:t>
      </w:r>
      <w:r>
        <w:rPr>
          <w:spacing w:val="-5"/>
        </w:rPr>
        <w:t> </w:t>
      </w:r>
      <w:r>
        <w:rPr/>
        <w:t>that</w:t>
      </w:r>
      <w:r>
        <w:rPr>
          <w:spacing w:val="-3"/>
        </w:rPr>
        <w:t> </w:t>
      </w:r>
      <w:r>
        <w:rPr/>
        <w:t>of</w:t>
      </w:r>
      <w:r>
        <w:rPr>
          <w:spacing w:val="-3"/>
        </w:rPr>
        <w:t> </w:t>
      </w:r>
      <w:r>
        <w:rPr/>
        <w:t>other</w:t>
      </w:r>
      <w:r>
        <w:rPr>
          <w:spacing w:val="-3"/>
        </w:rPr>
        <w:t> </w:t>
      </w:r>
      <w:r>
        <w:rPr/>
        <w:t>characters</w:t>
      </w:r>
      <w:r>
        <w:rPr>
          <w:spacing w:val="-5"/>
        </w:rPr>
        <w:t> </w:t>
      </w:r>
      <w:r>
        <w:rPr/>
        <w:t>though</w:t>
      </w:r>
      <w:r>
        <w:rPr>
          <w:spacing w:val="-3"/>
        </w:rPr>
        <w:t> </w:t>
      </w:r>
      <w:r>
        <w:rPr/>
        <w:t>equally</w:t>
      </w:r>
      <w:r>
        <w:rPr>
          <w:spacing w:val="-6"/>
        </w:rPr>
        <w:t> </w:t>
      </w:r>
      <w:r>
        <w:rPr/>
        <w:t>important; it also has an element of calculation. In contrast to Margaret’s open </w:t>
      </w:r>
      <w:r>
        <w:rPr>
          <w:spacing w:val="-2"/>
        </w:rPr>
        <w:t>defiant</w:t>
      </w:r>
      <w:r>
        <w:rPr>
          <w:spacing w:val="-4"/>
        </w:rPr>
        <w:t> </w:t>
      </w:r>
      <w:r>
        <w:rPr>
          <w:spacing w:val="-2"/>
        </w:rPr>
        <w:t>behaviour</w:t>
      </w:r>
      <w:r>
        <w:rPr>
          <w:spacing w:val="-3"/>
        </w:rPr>
        <w:t> </w:t>
      </w:r>
      <w:r>
        <w:rPr>
          <w:spacing w:val="-2"/>
        </w:rPr>
        <w:t>and</w:t>
      </w:r>
      <w:r>
        <w:rPr>
          <w:spacing w:val="-5"/>
        </w:rPr>
        <w:t> </w:t>
      </w:r>
      <w:r>
        <w:rPr>
          <w:spacing w:val="-2"/>
        </w:rPr>
        <w:t>Constance’s</w:t>
      </w:r>
      <w:r>
        <w:rPr>
          <w:spacing w:val="-3"/>
        </w:rPr>
        <w:t> </w:t>
      </w:r>
      <w:r>
        <w:rPr>
          <w:spacing w:val="-2"/>
        </w:rPr>
        <w:t>emotional</w:t>
      </w:r>
      <w:r>
        <w:rPr>
          <w:spacing w:val="-5"/>
        </w:rPr>
        <w:t> </w:t>
      </w:r>
      <w:r>
        <w:rPr>
          <w:spacing w:val="-2"/>
        </w:rPr>
        <w:t>outbursts, Elizabeth</w:t>
      </w:r>
      <w:r>
        <w:rPr>
          <w:spacing w:val="-5"/>
        </w:rPr>
        <w:t> </w:t>
      </w:r>
      <w:r>
        <w:rPr>
          <w:spacing w:val="-2"/>
        </w:rPr>
        <w:t>utilises </w:t>
      </w:r>
      <w:r>
        <w:rPr/>
        <w:t>negotiation to achieve her ends. She knows the limits of her position and</w:t>
      </w:r>
      <w:r>
        <w:rPr>
          <w:spacing w:val="-6"/>
        </w:rPr>
        <w:t> </w:t>
      </w:r>
      <w:r>
        <w:rPr/>
        <w:t>works</w:t>
      </w:r>
      <w:r>
        <w:rPr>
          <w:spacing w:val="-9"/>
        </w:rPr>
        <w:t> </w:t>
      </w:r>
      <w:r>
        <w:rPr/>
        <w:t>within</w:t>
      </w:r>
      <w:r>
        <w:rPr>
          <w:spacing w:val="-8"/>
        </w:rPr>
        <w:t> </w:t>
      </w:r>
      <w:r>
        <w:rPr/>
        <w:t>them</w:t>
      </w:r>
      <w:r>
        <w:rPr>
          <w:spacing w:val="-10"/>
        </w:rPr>
        <w:t> </w:t>
      </w:r>
      <w:r>
        <w:rPr/>
        <w:t>to</w:t>
      </w:r>
      <w:r>
        <w:rPr>
          <w:spacing w:val="-8"/>
        </w:rPr>
        <w:t> </w:t>
      </w:r>
      <w:r>
        <w:rPr/>
        <w:t>protect</w:t>
      </w:r>
      <w:r>
        <w:rPr>
          <w:spacing w:val="-8"/>
        </w:rPr>
        <w:t> </w:t>
      </w:r>
      <w:r>
        <w:rPr/>
        <w:t>her</w:t>
      </w:r>
      <w:r>
        <w:rPr>
          <w:spacing w:val="-8"/>
        </w:rPr>
        <w:t> </w:t>
      </w:r>
      <w:r>
        <w:rPr/>
        <w:t>children</w:t>
      </w:r>
      <w:r>
        <w:rPr>
          <w:spacing w:val="-8"/>
        </w:rPr>
        <w:t> </w:t>
      </w:r>
      <w:r>
        <w:rPr/>
        <w:t>and</w:t>
      </w:r>
      <w:r>
        <w:rPr>
          <w:spacing w:val="-8"/>
        </w:rPr>
        <w:t> </w:t>
      </w:r>
      <w:r>
        <w:rPr/>
        <w:t>maintain</w:t>
      </w:r>
      <w:r>
        <w:rPr>
          <w:spacing w:val="-9"/>
        </w:rPr>
        <w:t> </w:t>
      </w:r>
      <w:r>
        <w:rPr/>
        <w:t>some</w:t>
      </w:r>
      <w:r>
        <w:rPr>
          <w:spacing w:val="-7"/>
        </w:rPr>
        <w:t> </w:t>
      </w:r>
      <w:r>
        <w:rPr/>
        <w:t>degree of stability. Elizabeth subjectively seems to be an individual who constantly</w:t>
      </w:r>
      <w:r>
        <w:rPr>
          <w:spacing w:val="-3"/>
        </w:rPr>
        <w:t> </w:t>
      </w:r>
      <w:r>
        <w:rPr/>
        <w:t>walks</w:t>
      </w:r>
      <w:r>
        <w:rPr>
          <w:spacing w:val="-1"/>
        </w:rPr>
        <w:t> </w:t>
      </w:r>
      <w:r>
        <w:rPr/>
        <w:t>the line between</w:t>
      </w:r>
      <w:r>
        <w:rPr>
          <w:spacing w:val="-1"/>
        </w:rPr>
        <w:t> </w:t>
      </w:r>
      <w:r>
        <w:rPr/>
        <w:t>fear</w:t>
      </w:r>
      <w:r>
        <w:rPr>
          <w:spacing w:val="-1"/>
        </w:rPr>
        <w:t> </w:t>
      </w:r>
      <w:r>
        <w:rPr/>
        <w:t>and intellect. She is</w:t>
      </w:r>
      <w:r>
        <w:rPr>
          <w:spacing w:val="-1"/>
        </w:rPr>
        <w:t> </w:t>
      </w:r>
      <w:r>
        <w:rPr/>
        <w:t>aware of the dangers posed by those in her vicinity, especially when dealing with King Richard; however, she does not give in to fear or become overwhelmed. Instead, she uses careful words, asks careful questions and utilises strategies based on timing. From a New Historicist perspective, her actions demonstrate that power is not only possessed, but also negotiated through social interactions (Greenblatt, 1988); therefore,</w:t>
      </w:r>
      <w:r>
        <w:rPr>
          <w:spacing w:val="-9"/>
        </w:rPr>
        <w:t> </w:t>
      </w:r>
      <w:r>
        <w:rPr/>
        <w:t>while</w:t>
      </w:r>
      <w:r>
        <w:rPr>
          <w:spacing w:val="-9"/>
        </w:rPr>
        <w:t> </w:t>
      </w:r>
      <w:r>
        <w:rPr/>
        <w:t>Queen</w:t>
      </w:r>
      <w:r>
        <w:rPr>
          <w:spacing w:val="-7"/>
        </w:rPr>
        <w:t> </w:t>
      </w:r>
      <w:r>
        <w:rPr/>
        <w:t>Elizabeth</w:t>
      </w:r>
      <w:r>
        <w:rPr>
          <w:spacing w:val="-9"/>
        </w:rPr>
        <w:t> </w:t>
      </w:r>
      <w:r>
        <w:rPr/>
        <w:t>does</w:t>
      </w:r>
      <w:r>
        <w:rPr>
          <w:spacing w:val="-9"/>
        </w:rPr>
        <w:t> </w:t>
      </w:r>
      <w:r>
        <w:rPr/>
        <w:t>not</w:t>
      </w:r>
      <w:r>
        <w:rPr>
          <w:spacing w:val="-9"/>
        </w:rPr>
        <w:t> </w:t>
      </w:r>
      <w:r>
        <w:rPr/>
        <w:t>overthrow</w:t>
      </w:r>
      <w:r>
        <w:rPr>
          <w:spacing w:val="-9"/>
        </w:rPr>
        <w:t> </w:t>
      </w:r>
      <w:r>
        <w:rPr/>
        <w:t>authority,</w:t>
      </w:r>
      <w:r>
        <w:rPr>
          <w:spacing w:val="-7"/>
        </w:rPr>
        <w:t> </w:t>
      </w:r>
      <w:r>
        <w:rPr/>
        <w:t>she</w:t>
      </w:r>
      <w:r>
        <w:rPr>
          <w:spacing w:val="-8"/>
        </w:rPr>
        <w:t> </w:t>
      </w:r>
      <w:r>
        <w:rPr/>
        <w:t>does have some influence over it. In some instances, her silence may be misunderstood as a weakness; others would see it as a method of adapting to her particular situation. Feminist theorists argue that negotiating agency is a form of resistance, not through defiance, but through adaptation. Queen Elizabeth’s strength comes from her ability to</w:t>
      </w:r>
      <w:r>
        <w:rPr>
          <w:spacing w:val="39"/>
        </w:rPr>
        <w:t> </w:t>
      </w:r>
      <w:r>
        <w:rPr/>
        <w:t>endure</w:t>
      </w:r>
      <w:r>
        <w:rPr>
          <w:spacing w:val="36"/>
        </w:rPr>
        <w:t> </w:t>
      </w:r>
      <w:r>
        <w:rPr/>
        <w:t>and</w:t>
      </w:r>
      <w:r>
        <w:rPr>
          <w:spacing w:val="40"/>
        </w:rPr>
        <w:t> </w:t>
      </w:r>
      <w:r>
        <w:rPr/>
        <w:t>plan</w:t>
      </w:r>
      <w:r>
        <w:rPr>
          <w:spacing w:val="35"/>
        </w:rPr>
        <w:t> </w:t>
      </w:r>
      <w:r>
        <w:rPr/>
        <w:t>rather</w:t>
      </w:r>
      <w:r>
        <w:rPr>
          <w:spacing w:val="40"/>
        </w:rPr>
        <w:t> </w:t>
      </w:r>
      <w:r>
        <w:rPr/>
        <w:t>than</w:t>
      </w:r>
      <w:r>
        <w:rPr>
          <w:spacing w:val="35"/>
        </w:rPr>
        <w:t> </w:t>
      </w:r>
      <w:r>
        <w:rPr/>
        <w:t>from</w:t>
      </w:r>
      <w:r>
        <w:rPr>
          <w:spacing w:val="35"/>
        </w:rPr>
        <w:t> </w:t>
      </w:r>
      <w:r>
        <w:rPr/>
        <w:t>her</w:t>
      </w:r>
      <w:r>
        <w:rPr>
          <w:spacing w:val="36"/>
        </w:rPr>
        <w:t> </w:t>
      </w:r>
      <w:r>
        <w:rPr/>
        <w:t>ability</w:t>
      </w:r>
      <w:r>
        <w:rPr>
          <w:spacing w:val="35"/>
        </w:rPr>
        <w:t> </w:t>
      </w:r>
      <w:r>
        <w:rPr/>
        <w:t>to</w:t>
      </w:r>
      <w:r>
        <w:rPr>
          <w:spacing w:val="37"/>
        </w:rPr>
        <w:t> </w:t>
      </w:r>
      <w:r>
        <w:rPr/>
        <w:t>confront</w:t>
      </w:r>
      <w:r>
        <w:rPr>
          <w:spacing w:val="39"/>
        </w:rPr>
        <w:t> </w:t>
      </w:r>
      <w:r>
        <w:rPr/>
        <w:t>power.</w:t>
      </w:r>
    </w:p>
    <w:p>
      <w:pPr>
        <w:pStyle w:val="Heading3"/>
        <w:spacing w:before="170"/>
      </w:pPr>
      <w:r>
        <w:rPr>
          <w:spacing w:val="-2"/>
        </w:rPr>
        <w:t>CONCLUSION:</w:t>
      </w:r>
    </w:p>
    <w:p>
      <w:pPr>
        <w:pStyle w:val="BodyText"/>
        <w:spacing w:line="249" w:lineRule="auto" w:before="78"/>
        <w:ind w:right="1440" w:firstLine="432"/>
        <w:jc w:val="both"/>
      </w:pPr>
      <w:r>
        <w:rPr/>
        <w:t>In conclusion (expanded and subjective), re-examination of the women</w:t>
      </w:r>
      <w:r>
        <w:rPr>
          <w:spacing w:val="-9"/>
        </w:rPr>
        <w:t> </w:t>
      </w:r>
      <w:r>
        <w:rPr/>
        <w:t>of</w:t>
      </w:r>
      <w:r>
        <w:rPr>
          <w:spacing w:val="-9"/>
        </w:rPr>
        <w:t> </w:t>
      </w:r>
      <w:r>
        <w:rPr/>
        <w:t>William</w:t>
      </w:r>
      <w:r>
        <w:rPr>
          <w:spacing w:val="-11"/>
        </w:rPr>
        <w:t> </w:t>
      </w:r>
      <w:r>
        <w:rPr/>
        <w:t>Shakespeare</w:t>
      </w:r>
      <w:r>
        <w:rPr>
          <w:spacing w:val="-8"/>
        </w:rPr>
        <w:t> </w:t>
      </w:r>
      <w:r>
        <w:rPr/>
        <w:t>in</w:t>
      </w:r>
      <w:r>
        <w:rPr>
          <w:spacing w:val="-10"/>
        </w:rPr>
        <w:t> </w:t>
      </w:r>
      <w:r>
        <w:rPr/>
        <w:t>his</w:t>
      </w:r>
      <w:r>
        <w:rPr>
          <w:spacing w:val="-8"/>
        </w:rPr>
        <w:t> </w:t>
      </w:r>
      <w:r>
        <w:rPr/>
        <w:t>historical</w:t>
      </w:r>
      <w:r>
        <w:rPr>
          <w:spacing w:val="-8"/>
        </w:rPr>
        <w:t> </w:t>
      </w:r>
      <w:r>
        <w:rPr/>
        <w:t>works</w:t>
      </w:r>
      <w:r>
        <w:rPr>
          <w:spacing w:val="-8"/>
        </w:rPr>
        <w:t> </w:t>
      </w:r>
      <w:r>
        <w:rPr/>
        <w:t>reveals</w:t>
      </w:r>
      <w:r>
        <w:rPr>
          <w:spacing w:val="-8"/>
        </w:rPr>
        <w:t> </w:t>
      </w:r>
      <w:r>
        <w:rPr/>
        <w:t>that</w:t>
      </w:r>
      <w:r>
        <w:rPr>
          <w:spacing w:val="-7"/>
        </w:rPr>
        <w:t> </w:t>
      </w:r>
      <w:r>
        <w:rPr>
          <w:spacing w:val="-2"/>
        </w:rPr>
        <w:t>these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41440">
                <wp:simplePos x="0" y="0"/>
                <wp:positionH relativeFrom="page">
                  <wp:posOffset>2057400</wp:posOffset>
                </wp:positionH>
                <wp:positionV relativeFrom="paragraph">
                  <wp:posOffset>162604</wp:posOffset>
                </wp:positionV>
                <wp:extent cx="3657600" cy="12700"/>
                <wp:effectExtent l="0" t="0" r="0" b="0"/>
                <wp:wrapTopAndBottom/>
                <wp:docPr id="450" name="Graphic 450"/>
                <wp:cNvGraphicFramePr>
                  <a:graphicFrameLocks/>
                </wp:cNvGraphicFramePr>
                <a:graphic>
                  <a:graphicData uri="http://schemas.microsoft.com/office/word/2010/wordprocessingShape">
                    <wps:wsp>
                      <wps:cNvPr id="450" name="Graphic 45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75040;mso-wrap-distance-left:0;mso-wrap-distance-right:0" id="docshape445" filled="true" fillcolor="#000000" stroked="false">
                <v:fill type="solid"/>
                <w10:wrap type="topAndBottom"/>
              </v:rect>
            </w:pict>
          </mc:Fallback>
        </mc:AlternateContent>
      </w:r>
      <w:r>
        <w:rPr>
          <w:rFonts w:ascii="Verdana"/>
          <w:spacing w:val="-5"/>
          <w:sz w:val="18"/>
        </w:rPr>
        <w:t>194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women play an important role in understanding the political narratives presented.</w:t>
      </w:r>
      <w:r>
        <w:rPr>
          <w:spacing w:val="-2"/>
        </w:rPr>
        <w:t> </w:t>
      </w:r>
      <w:r>
        <w:rPr/>
        <w:t>The voices</w:t>
      </w:r>
      <w:r>
        <w:rPr>
          <w:spacing w:val="-2"/>
        </w:rPr>
        <w:t> </w:t>
      </w:r>
      <w:r>
        <w:rPr/>
        <w:t>of these women</w:t>
      </w:r>
      <w:r>
        <w:rPr>
          <w:spacing w:val="-2"/>
        </w:rPr>
        <w:t> </w:t>
      </w:r>
      <w:r>
        <w:rPr/>
        <w:t>offer alternative views of</w:t>
      </w:r>
      <w:r>
        <w:rPr>
          <w:spacing w:val="-2"/>
        </w:rPr>
        <w:t> </w:t>
      </w:r>
      <w:r>
        <w:rPr/>
        <w:t>power, whether expressed through mourning, resistance, or negotiation. In Shakespeare’s historics, his female characters are relatable, as they don’t have power, and they have reflections of how power affects individuals. They serve to remind us that political history is based on more than just the rulers; it is based on the individuals who the actions impact of the ruler. Feminist theorists identify that, although a woman may be without power, the way a woman uses her voice to express herself is often more creative and different than how men use their voices to express themselves (Showalter 1985). This study illustrates that women in Shakespeare’s historical works serve as emotional and ethical guides in the search for political power, while also illustrating how political ambition impacts humanity. By focusing on the voices of these women, we are provided with a more comprehensive and critical representation</w:t>
      </w:r>
      <w:r>
        <w:rPr>
          <w:spacing w:val="27"/>
        </w:rPr>
        <w:t> </w:t>
      </w:r>
      <w:r>
        <w:rPr/>
        <w:t>of</w:t>
      </w:r>
      <w:r>
        <w:rPr>
          <w:spacing w:val="26"/>
        </w:rPr>
        <w:t> </w:t>
      </w:r>
      <w:r>
        <w:rPr/>
        <w:t>how</w:t>
      </w:r>
      <w:r>
        <w:rPr>
          <w:spacing w:val="25"/>
        </w:rPr>
        <w:t> </w:t>
      </w:r>
      <w:r>
        <w:rPr/>
        <w:t>power</w:t>
      </w:r>
      <w:r>
        <w:rPr>
          <w:spacing w:val="28"/>
        </w:rPr>
        <w:t> </w:t>
      </w:r>
      <w:r>
        <w:rPr/>
        <w:t>functions</w:t>
      </w:r>
      <w:r>
        <w:rPr>
          <w:spacing w:val="27"/>
        </w:rPr>
        <w:t> </w:t>
      </w:r>
      <w:r>
        <w:rPr/>
        <w:t>both</w:t>
      </w:r>
      <w:r>
        <w:rPr>
          <w:spacing w:val="27"/>
        </w:rPr>
        <w:t> </w:t>
      </w:r>
      <w:r>
        <w:rPr/>
        <w:t>in</w:t>
      </w:r>
      <w:r>
        <w:rPr>
          <w:spacing w:val="28"/>
        </w:rPr>
        <w:t> </w:t>
      </w:r>
      <w:r>
        <w:rPr/>
        <w:t>literature</w:t>
      </w:r>
      <w:r>
        <w:rPr>
          <w:spacing w:val="28"/>
        </w:rPr>
        <w:t> </w:t>
      </w:r>
      <w:r>
        <w:rPr/>
        <w:t>and</w:t>
      </w:r>
      <w:r>
        <w:rPr>
          <w:spacing w:val="28"/>
        </w:rPr>
        <w:t> </w:t>
      </w:r>
      <w:r>
        <w:rPr/>
        <w:t>society.</w:t>
      </w:r>
    </w:p>
    <w:p>
      <w:pPr>
        <w:pStyle w:val="Heading3"/>
        <w:spacing w:before="179"/>
      </w:pPr>
      <w:r>
        <w:rPr>
          <w:spacing w:val="-2"/>
          <w:w w:val="95"/>
        </w:rPr>
        <w:t>REFERENCES</w:t>
      </w:r>
    </w:p>
    <w:p>
      <w:pPr>
        <w:pStyle w:val="ListParagraph"/>
        <w:numPr>
          <w:ilvl w:val="0"/>
          <w:numId w:val="38"/>
        </w:numPr>
        <w:tabs>
          <w:tab w:pos="2158" w:val="left" w:leader="none"/>
        </w:tabs>
        <w:spacing w:line="240" w:lineRule="auto" w:before="94" w:after="0"/>
        <w:ind w:left="2158" w:right="0" w:hanging="330"/>
        <w:jc w:val="left"/>
        <w:rPr>
          <w:sz w:val="19"/>
        </w:rPr>
      </w:pPr>
      <w:r>
        <w:rPr>
          <w:sz w:val="19"/>
        </w:rPr>
        <w:t>William</w:t>
      </w:r>
      <w:r>
        <w:rPr>
          <w:spacing w:val="43"/>
          <w:sz w:val="19"/>
        </w:rPr>
        <w:t> </w:t>
      </w:r>
      <w:r>
        <w:rPr>
          <w:sz w:val="19"/>
        </w:rPr>
        <w:t>Shakespeare.</w:t>
      </w:r>
      <w:r>
        <w:rPr>
          <w:spacing w:val="41"/>
          <w:sz w:val="19"/>
        </w:rPr>
        <w:t> </w:t>
      </w:r>
      <w:r>
        <w:rPr>
          <w:sz w:val="19"/>
        </w:rPr>
        <w:t>(2000).</w:t>
      </w:r>
      <w:r>
        <w:rPr>
          <w:spacing w:val="45"/>
          <w:sz w:val="19"/>
        </w:rPr>
        <w:t> </w:t>
      </w:r>
      <w:r>
        <w:rPr>
          <w:i/>
          <w:sz w:val="19"/>
        </w:rPr>
        <w:t>King</w:t>
      </w:r>
      <w:r>
        <w:rPr>
          <w:i/>
          <w:spacing w:val="47"/>
          <w:sz w:val="19"/>
        </w:rPr>
        <w:t> </w:t>
      </w:r>
      <w:r>
        <w:rPr>
          <w:i/>
          <w:sz w:val="19"/>
        </w:rPr>
        <w:t>John</w:t>
      </w:r>
      <w:r>
        <w:rPr>
          <w:sz w:val="19"/>
        </w:rPr>
        <w:t>.</w:t>
      </w:r>
      <w:r>
        <w:rPr>
          <w:spacing w:val="35"/>
          <w:sz w:val="19"/>
        </w:rPr>
        <w:t> </w:t>
      </w:r>
      <w:r>
        <w:rPr>
          <w:sz w:val="19"/>
        </w:rPr>
        <w:t>Arden</w:t>
      </w:r>
      <w:r>
        <w:rPr>
          <w:spacing w:val="44"/>
          <w:sz w:val="19"/>
        </w:rPr>
        <w:t> </w:t>
      </w:r>
      <w:r>
        <w:rPr>
          <w:spacing w:val="-2"/>
          <w:sz w:val="19"/>
        </w:rPr>
        <w:t>Shakespeare.</w:t>
      </w:r>
    </w:p>
    <w:p>
      <w:pPr>
        <w:pStyle w:val="ListParagraph"/>
        <w:numPr>
          <w:ilvl w:val="0"/>
          <w:numId w:val="38"/>
        </w:numPr>
        <w:tabs>
          <w:tab w:pos="2158" w:val="left" w:leader="none"/>
          <w:tab w:pos="2160" w:val="left" w:leader="none"/>
        </w:tabs>
        <w:spacing w:line="266" w:lineRule="auto" w:before="84" w:after="0"/>
        <w:ind w:left="2160" w:right="1439" w:hanging="332"/>
        <w:jc w:val="left"/>
        <w:rPr>
          <w:sz w:val="19"/>
        </w:rPr>
      </w:pPr>
      <w:r>
        <w:rPr>
          <w:sz w:val="19"/>
        </w:rPr>
        <w:t>William</w:t>
      </w:r>
      <w:r>
        <w:rPr>
          <w:spacing w:val="80"/>
          <w:sz w:val="19"/>
        </w:rPr>
        <w:t> </w:t>
      </w:r>
      <w:r>
        <w:rPr>
          <w:spacing w:val="9"/>
          <w:sz w:val="19"/>
        </w:rPr>
        <w:t>Shakespeare.</w:t>
      </w:r>
      <w:r>
        <w:rPr>
          <w:spacing w:val="80"/>
          <w:sz w:val="19"/>
        </w:rPr>
        <w:t> </w:t>
      </w:r>
      <w:r>
        <w:rPr>
          <w:spacing w:val="9"/>
          <w:sz w:val="19"/>
        </w:rPr>
        <w:t>(2001).</w:t>
      </w:r>
      <w:r>
        <w:rPr>
          <w:spacing w:val="80"/>
          <w:sz w:val="19"/>
        </w:rPr>
        <w:t> </w:t>
      </w:r>
      <w:r>
        <w:rPr>
          <w:i/>
          <w:sz w:val="19"/>
        </w:rPr>
        <w:t>Henry</w:t>
      </w:r>
      <w:r>
        <w:rPr>
          <w:i/>
          <w:spacing w:val="80"/>
          <w:sz w:val="19"/>
        </w:rPr>
        <w:t> </w:t>
      </w:r>
      <w:r>
        <w:rPr>
          <w:i/>
          <w:sz w:val="19"/>
        </w:rPr>
        <w:t>VI,</w:t>
      </w:r>
      <w:r>
        <w:rPr>
          <w:i/>
          <w:spacing w:val="80"/>
          <w:sz w:val="19"/>
        </w:rPr>
        <w:t> </w:t>
      </w:r>
      <w:r>
        <w:rPr>
          <w:i/>
          <w:sz w:val="19"/>
        </w:rPr>
        <w:t>Part</w:t>
      </w:r>
      <w:r>
        <w:rPr>
          <w:i/>
          <w:spacing w:val="80"/>
          <w:sz w:val="19"/>
        </w:rPr>
        <w:t> </w:t>
      </w:r>
      <w:r>
        <w:rPr>
          <w:i/>
          <w:sz w:val="19"/>
        </w:rPr>
        <w:t>3</w:t>
      </w:r>
      <w:r>
        <w:rPr>
          <w:sz w:val="19"/>
        </w:rPr>
        <w:t>.</w:t>
      </w:r>
      <w:r>
        <w:rPr>
          <w:spacing w:val="80"/>
          <w:sz w:val="19"/>
        </w:rPr>
        <w:t> </w:t>
      </w:r>
      <w:r>
        <w:rPr>
          <w:sz w:val="19"/>
        </w:rPr>
        <w:t>Arden </w:t>
      </w:r>
      <w:r>
        <w:rPr>
          <w:spacing w:val="-2"/>
          <w:sz w:val="19"/>
        </w:rPr>
        <w:t>Shakespeare.</w:t>
      </w:r>
    </w:p>
    <w:p>
      <w:pPr>
        <w:pStyle w:val="ListParagraph"/>
        <w:numPr>
          <w:ilvl w:val="0"/>
          <w:numId w:val="38"/>
        </w:numPr>
        <w:tabs>
          <w:tab w:pos="2158" w:val="left" w:leader="none"/>
        </w:tabs>
        <w:spacing w:line="240" w:lineRule="auto" w:before="60" w:after="0"/>
        <w:ind w:left="2158" w:right="0" w:hanging="330"/>
        <w:jc w:val="left"/>
        <w:rPr>
          <w:sz w:val="19"/>
        </w:rPr>
      </w:pPr>
      <w:r>
        <w:rPr>
          <w:sz w:val="19"/>
        </w:rPr>
        <w:t>William</w:t>
      </w:r>
      <w:r>
        <w:rPr>
          <w:spacing w:val="39"/>
          <w:sz w:val="19"/>
        </w:rPr>
        <w:t> </w:t>
      </w:r>
      <w:r>
        <w:rPr>
          <w:sz w:val="19"/>
        </w:rPr>
        <w:t>Shakespeare.</w:t>
      </w:r>
      <w:r>
        <w:rPr>
          <w:spacing w:val="36"/>
          <w:sz w:val="19"/>
        </w:rPr>
        <w:t> </w:t>
      </w:r>
      <w:r>
        <w:rPr>
          <w:sz w:val="19"/>
        </w:rPr>
        <w:t>(2003).</w:t>
      </w:r>
      <w:r>
        <w:rPr>
          <w:spacing w:val="41"/>
          <w:sz w:val="19"/>
        </w:rPr>
        <w:t> </w:t>
      </w:r>
      <w:r>
        <w:rPr>
          <w:i/>
          <w:sz w:val="19"/>
        </w:rPr>
        <w:t>Richard</w:t>
      </w:r>
      <w:r>
        <w:rPr>
          <w:i/>
          <w:spacing w:val="38"/>
          <w:sz w:val="19"/>
        </w:rPr>
        <w:t> </w:t>
      </w:r>
      <w:r>
        <w:rPr>
          <w:i/>
          <w:sz w:val="19"/>
        </w:rPr>
        <w:t>III</w:t>
      </w:r>
      <w:r>
        <w:rPr>
          <w:sz w:val="19"/>
        </w:rPr>
        <w:t>.</w:t>
      </w:r>
      <w:r>
        <w:rPr>
          <w:spacing w:val="32"/>
          <w:sz w:val="19"/>
        </w:rPr>
        <w:t> </w:t>
      </w:r>
      <w:r>
        <w:rPr>
          <w:sz w:val="19"/>
        </w:rPr>
        <w:t>Arden</w:t>
      </w:r>
      <w:r>
        <w:rPr>
          <w:spacing w:val="40"/>
          <w:sz w:val="19"/>
        </w:rPr>
        <w:t> </w:t>
      </w:r>
      <w:r>
        <w:rPr>
          <w:spacing w:val="-2"/>
          <w:sz w:val="19"/>
        </w:rPr>
        <w:t>Shakespeare.</w:t>
      </w:r>
    </w:p>
    <w:p>
      <w:pPr>
        <w:pStyle w:val="ListParagraph"/>
        <w:numPr>
          <w:ilvl w:val="0"/>
          <w:numId w:val="38"/>
        </w:numPr>
        <w:tabs>
          <w:tab w:pos="2158" w:val="left" w:leader="none"/>
          <w:tab w:pos="2160" w:val="left" w:leader="none"/>
        </w:tabs>
        <w:spacing w:line="268" w:lineRule="auto" w:before="84" w:after="0"/>
        <w:ind w:left="2160" w:right="1437" w:hanging="332"/>
        <w:jc w:val="both"/>
        <w:rPr>
          <w:sz w:val="19"/>
        </w:rPr>
      </w:pPr>
      <w:r>
        <w:rPr>
          <w:sz w:val="19"/>
        </w:rPr>
        <w:t>Judith Butler. (1990). </w:t>
      </w:r>
      <w:r>
        <w:rPr>
          <w:i/>
          <w:sz w:val="19"/>
        </w:rPr>
        <w:t>Gender trouble: Feminism and the subversion</w:t>
      </w:r>
      <w:r>
        <w:rPr>
          <w:i/>
          <w:spacing w:val="40"/>
          <w:sz w:val="19"/>
        </w:rPr>
        <w:t> </w:t>
      </w:r>
      <w:r>
        <w:rPr>
          <w:i/>
          <w:sz w:val="19"/>
        </w:rPr>
        <w:t>of</w:t>
      </w:r>
      <w:r>
        <w:rPr>
          <w:i/>
          <w:spacing w:val="40"/>
          <w:sz w:val="19"/>
        </w:rPr>
        <w:t> </w:t>
      </w:r>
      <w:r>
        <w:rPr>
          <w:i/>
          <w:sz w:val="19"/>
        </w:rPr>
        <w:t>identity</w:t>
      </w:r>
      <w:r>
        <w:rPr>
          <w:sz w:val="19"/>
        </w:rPr>
        <w:t>.</w:t>
      </w:r>
      <w:r>
        <w:rPr>
          <w:spacing w:val="40"/>
          <w:sz w:val="19"/>
        </w:rPr>
        <w:t> </w:t>
      </w:r>
      <w:r>
        <w:rPr>
          <w:sz w:val="19"/>
        </w:rPr>
        <w:t>Routledge.</w:t>
      </w:r>
    </w:p>
    <w:p>
      <w:pPr>
        <w:pStyle w:val="ListParagraph"/>
        <w:numPr>
          <w:ilvl w:val="0"/>
          <w:numId w:val="38"/>
        </w:numPr>
        <w:tabs>
          <w:tab w:pos="2158" w:val="left" w:leader="none"/>
          <w:tab w:pos="2160" w:val="left" w:leader="none"/>
        </w:tabs>
        <w:spacing w:line="268" w:lineRule="auto" w:before="55" w:after="0"/>
        <w:ind w:left="2160" w:right="1440" w:hanging="332"/>
        <w:jc w:val="both"/>
        <w:rPr>
          <w:sz w:val="19"/>
        </w:rPr>
      </w:pPr>
      <w:r>
        <w:rPr>
          <w:sz w:val="19"/>
        </w:rPr>
        <w:t>Sigmund Freud. (1957). </w:t>
      </w:r>
      <w:r>
        <w:rPr>
          <w:i/>
          <w:sz w:val="19"/>
        </w:rPr>
        <w:t>Introductory lectures on psychoanalysis </w:t>
      </w:r>
      <w:r>
        <w:rPr>
          <w:sz w:val="19"/>
        </w:rPr>
        <w:t>(J. Strachey, Trans.). Basic Books. (Original work published </w:t>
      </w:r>
      <w:r>
        <w:rPr>
          <w:spacing w:val="-2"/>
          <w:sz w:val="19"/>
        </w:rPr>
        <w:t>1917)</w:t>
      </w:r>
    </w:p>
    <w:p>
      <w:pPr>
        <w:pStyle w:val="ListParagraph"/>
        <w:numPr>
          <w:ilvl w:val="0"/>
          <w:numId w:val="38"/>
        </w:numPr>
        <w:tabs>
          <w:tab w:pos="2158" w:val="left" w:leader="none"/>
          <w:tab w:pos="2160" w:val="left" w:leader="none"/>
        </w:tabs>
        <w:spacing w:line="266" w:lineRule="auto" w:before="58" w:after="0"/>
        <w:ind w:left="2160" w:right="1438" w:hanging="332"/>
        <w:jc w:val="both"/>
        <w:rPr>
          <w:sz w:val="19"/>
        </w:rPr>
      </w:pPr>
      <w:r>
        <w:rPr>
          <w:sz w:val="19"/>
        </w:rPr>
        <w:t>Stephen Greenblatt. (1988). </w:t>
      </w:r>
      <w:r>
        <w:rPr>
          <w:i/>
          <w:sz w:val="19"/>
        </w:rPr>
        <w:t>Shakespearean negotiations: The </w:t>
      </w:r>
      <w:r>
        <w:rPr>
          <w:i/>
          <w:spacing w:val="10"/>
          <w:sz w:val="19"/>
        </w:rPr>
        <w:t>circulation</w:t>
      </w:r>
      <w:r>
        <w:rPr>
          <w:i/>
          <w:spacing w:val="10"/>
          <w:sz w:val="19"/>
        </w:rPr>
        <w:t> </w:t>
      </w:r>
      <w:r>
        <w:rPr>
          <w:i/>
          <w:sz w:val="19"/>
        </w:rPr>
        <w:t>of </w:t>
      </w:r>
      <w:r>
        <w:rPr>
          <w:i/>
          <w:spacing w:val="10"/>
          <w:sz w:val="19"/>
        </w:rPr>
        <w:t>social</w:t>
      </w:r>
      <w:r>
        <w:rPr>
          <w:i/>
          <w:spacing w:val="10"/>
          <w:sz w:val="19"/>
        </w:rPr>
        <w:t> energy</w:t>
      </w:r>
      <w:r>
        <w:rPr>
          <w:i/>
          <w:spacing w:val="10"/>
          <w:sz w:val="19"/>
        </w:rPr>
        <w:t> </w:t>
      </w:r>
      <w:r>
        <w:rPr>
          <w:i/>
          <w:sz w:val="19"/>
        </w:rPr>
        <w:t>in </w:t>
      </w:r>
      <w:r>
        <w:rPr>
          <w:i/>
          <w:spacing w:val="11"/>
          <w:sz w:val="19"/>
        </w:rPr>
        <w:t>Renaissance</w:t>
      </w:r>
      <w:r>
        <w:rPr>
          <w:i/>
          <w:spacing w:val="11"/>
          <w:sz w:val="19"/>
        </w:rPr>
        <w:t> England</w:t>
      </w:r>
      <w:r>
        <w:rPr>
          <w:spacing w:val="11"/>
          <w:sz w:val="19"/>
        </w:rPr>
        <w:t>. </w:t>
      </w:r>
      <w:r>
        <w:rPr>
          <w:sz w:val="19"/>
        </w:rPr>
        <w:t>University</w:t>
      </w:r>
      <w:r>
        <w:rPr>
          <w:spacing w:val="40"/>
          <w:sz w:val="19"/>
        </w:rPr>
        <w:t> </w:t>
      </w:r>
      <w:r>
        <w:rPr>
          <w:sz w:val="19"/>
        </w:rPr>
        <w:t>of</w:t>
      </w:r>
      <w:r>
        <w:rPr>
          <w:spacing w:val="40"/>
          <w:sz w:val="19"/>
        </w:rPr>
        <w:t> </w:t>
      </w:r>
      <w:r>
        <w:rPr>
          <w:sz w:val="19"/>
        </w:rPr>
        <w:t>California</w:t>
      </w:r>
      <w:r>
        <w:rPr>
          <w:spacing w:val="40"/>
          <w:sz w:val="19"/>
        </w:rPr>
        <w:t> </w:t>
      </w:r>
      <w:r>
        <w:rPr>
          <w:sz w:val="19"/>
        </w:rPr>
        <w:t>Press.</w:t>
      </w:r>
    </w:p>
    <w:p>
      <w:pPr>
        <w:pStyle w:val="ListParagraph"/>
        <w:numPr>
          <w:ilvl w:val="0"/>
          <w:numId w:val="38"/>
        </w:numPr>
        <w:tabs>
          <w:tab w:pos="2158" w:val="left" w:leader="none"/>
          <w:tab w:pos="2160" w:val="left" w:leader="none"/>
        </w:tabs>
        <w:spacing w:line="266" w:lineRule="auto" w:before="62" w:after="0"/>
        <w:ind w:left="2160" w:right="1437" w:hanging="332"/>
        <w:jc w:val="both"/>
        <w:rPr>
          <w:sz w:val="19"/>
        </w:rPr>
      </w:pPr>
      <w:r>
        <w:rPr>
          <w:sz w:val="19"/>
        </w:rPr>
        <w:t>bell hooks. (2000). </w:t>
      </w:r>
      <w:r>
        <w:rPr>
          <w:i/>
          <w:sz w:val="19"/>
        </w:rPr>
        <w:t>Feminism is for everybody: Passionate politics</w:t>
      </w:r>
      <w:r>
        <w:rPr>
          <w:sz w:val="19"/>
        </w:rPr>
        <w:t>.</w:t>
      </w:r>
      <w:r>
        <w:rPr>
          <w:spacing w:val="40"/>
          <w:sz w:val="19"/>
        </w:rPr>
        <w:t> </w:t>
      </w:r>
      <w:r>
        <w:rPr>
          <w:sz w:val="19"/>
        </w:rPr>
        <w:t>South</w:t>
      </w:r>
      <w:r>
        <w:rPr>
          <w:spacing w:val="40"/>
          <w:sz w:val="19"/>
        </w:rPr>
        <w:t> </w:t>
      </w:r>
      <w:r>
        <w:rPr>
          <w:sz w:val="19"/>
        </w:rPr>
        <w:t>End</w:t>
      </w:r>
      <w:r>
        <w:rPr>
          <w:spacing w:val="40"/>
          <w:sz w:val="19"/>
        </w:rPr>
        <w:t> </w:t>
      </w:r>
      <w:r>
        <w:rPr>
          <w:sz w:val="19"/>
        </w:rPr>
        <w:t>Press.</w:t>
      </w:r>
    </w:p>
    <w:p>
      <w:pPr>
        <w:pStyle w:val="ListParagraph"/>
        <w:numPr>
          <w:ilvl w:val="0"/>
          <w:numId w:val="38"/>
        </w:numPr>
        <w:tabs>
          <w:tab w:pos="2158" w:val="left" w:leader="none"/>
          <w:tab w:pos="2160" w:val="left" w:leader="none"/>
        </w:tabs>
        <w:spacing w:line="268" w:lineRule="auto" w:before="60" w:after="0"/>
        <w:ind w:left="2160" w:right="1438" w:hanging="332"/>
        <w:jc w:val="both"/>
        <w:rPr>
          <w:sz w:val="19"/>
        </w:rPr>
      </w:pPr>
      <w:r>
        <w:rPr>
          <w:sz w:val="19"/>
        </w:rPr>
        <w:t>Carol Thomas Neely. (2004). </w:t>
      </w:r>
      <w:r>
        <w:rPr>
          <w:i/>
          <w:sz w:val="19"/>
        </w:rPr>
        <w:t>Distracted subjects: Madness and gender in Shakespeare and early modern culture</w:t>
      </w:r>
      <w:r>
        <w:rPr>
          <w:sz w:val="19"/>
        </w:rPr>
        <w:t>. Cornell University</w:t>
      </w:r>
      <w:r>
        <w:rPr>
          <w:spacing w:val="40"/>
          <w:sz w:val="19"/>
        </w:rPr>
        <w:t> </w:t>
      </w:r>
      <w:r>
        <w:rPr>
          <w:sz w:val="19"/>
        </w:rPr>
        <w:t>Press.</w:t>
      </w:r>
    </w:p>
    <w:p>
      <w:pPr>
        <w:pStyle w:val="ListParagraph"/>
        <w:numPr>
          <w:ilvl w:val="0"/>
          <w:numId w:val="38"/>
        </w:numPr>
        <w:tabs>
          <w:tab w:pos="2158" w:val="left" w:leader="none"/>
          <w:tab w:pos="2160" w:val="left" w:leader="none"/>
        </w:tabs>
        <w:spacing w:line="268" w:lineRule="auto" w:before="55" w:after="0"/>
        <w:ind w:left="2160" w:right="1439" w:hanging="332"/>
        <w:jc w:val="both"/>
        <w:rPr>
          <w:sz w:val="19"/>
        </w:rPr>
      </w:pPr>
      <w:r>
        <w:rPr>
          <w:sz w:val="19"/>
        </w:rPr>
        <w:t>Phyllis Rackin. (2005). </w:t>
      </w:r>
      <w:r>
        <w:rPr>
          <w:i/>
          <w:sz w:val="19"/>
        </w:rPr>
        <w:t>Shakespeare and women</w:t>
      </w:r>
      <w:r>
        <w:rPr>
          <w:sz w:val="19"/>
        </w:rPr>
        <w:t>. Oxford University</w:t>
      </w:r>
      <w:r>
        <w:rPr>
          <w:spacing w:val="40"/>
          <w:sz w:val="19"/>
        </w:rPr>
        <w:t> </w:t>
      </w:r>
      <w:r>
        <w:rPr>
          <w:sz w:val="19"/>
        </w:rPr>
        <w:t>Press.</w:t>
      </w:r>
    </w:p>
    <w:p>
      <w:pPr>
        <w:pStyle w:val="ListParagraph"/>
        <w:spacing w:after="0" w:line="268" w:lineRule="auto"/>
        <w:jc w:val="both"/>
        <w:rPr>
          <w:sz w:val="19"/>
        </w:rPr>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41952">
                <wp:simplePos x="0" y="0"/>
                <wp:positionH relativeFrom="page">
                  <wp:posOffset>2065020</wp:posOffset>
                </wp:positionH>
                <wp:positionV relativeFrom="paragraph">
                  <wp:posOffset>795020</wp:posOffset>
                </wp:positionV>
                <wp:extent cx="3657600" cy="12700"/>
                <wp:effectExtent l="0" t="0" r="0" b="0"/>
                <wp:wrapTopAndBottom/>
                <wp:docPr id="451" name="Graphic 451"/>
                <wp:cNvGraphicFramePr>
                  <a:graphicFrameLocks/>
                </wp:cNvGraphicFramePr>
                <a:graphic>
                  <a:graphicData uri="http://schemas.microsoft.com/office/word/2010/wordprocessingShape">
                    <wps:wsp>
                      <wps:cNvPr id="451" name="Graphic 45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74528;mso-wrap-distance-left:0;mso-wrap-distance-right:0" id="docshape446" filled="true" fillcolor="#000000" stroked="false">
                <v:fill type="solid"/>
                <w10:wrap type="topAndBottom"/>
              </v:rect>
            </w:pict>
          </mc:Fallback>
        </mc:AlternateContent>
      </w:r>
      <w:r>
        <w:rPr>
          <w:rFonts w:ascii="Verdana"/>
          <w:spacing w:val="-2"/>
          <w:sz w:val="18"/>
        </w:rPr>
        <w:t>Beyond</w:t>
      </w:r>
      <w:r>
        <w:rPr>
          <w:rFonts w:ascii="Verdana"/>
          <w:spacing w:val="-6"/>
          <w:sz w:val="18"/>
        </w:rPr>
        <w:t> </w:t>
      </w:r>
      <w:r>
        <w:rPr>
          <w:rFonts w:ascii="Verdana"/>
          <w:spacing w:val="-2"/>
          <w:sz w:val="18"/>
        </w:rPr>
        <w:t>Kings</w:t>
      </w:r>
      <w:r>
        <w:rPr>
          <w:rFonts w:ascii="Verdana"/>
          <w:spacing w:val="-1"/>
          <w:sz w:val="18"/>
        </w:rPr>
        <w:t> </w:t>
      </w:r>
      <w:r>
        <w:rPr>
          <w:rFonts w:ascii="Verdana"/>
          <w:spacing w:val="-2"/>
          <w:sz w:val="18"/>
        </w:rPr>
        <w:t>and</w:t>
      </w:r>
      <w:r>
        <w:rPr>
          <w:rFonts w:ascii="Verdana"/>
          <w:spacing w:val="-4"/>
          <w:sz w:val="18"/>
        </w:rPr>
        <w:t> </w:t>
      </w:r>
      <w:r>
        <w:rPr>
          <w:rFonts w:ascii="Verdana"/>
          <w:spacing w:val="-2"/>
          <w:sz w:val="18"/>
        </w:rPr>
        <w:t>Wars:</w:t>
      </w:r>
      <w:r>
        <w:rPr>
          <w:rFonts w:ascii="Verdana"/>
          <w:spacing w:val="-4"/>
          <w:sz w:val="18"/>
        </w:rPr>
        <w:t> </w:t>
      </w:r>
      <w:r>
        <w:rPr>
          <w:rFonts w:ascii="Verdana"/>
          <w:spacing w:val="-2"/>
          <w:sz w:val="18"/>
        </w:rPr>
        <w:t>Re-examining</w:t>
      </w:r>
      <w:r>
        <w:rPr>
          <w:rFonts w:ascii="Verdana"/>
          <w:spacing w:val="-5"/>
          <w:sz w:val="18"/>
        </w:rPr>
        <w:t> </w:t>
      </w:r>
      <w:r>
        <w:rPr>
          <w:rFonts w:ascii="Verdana"/>
          <w:spacing w:val="-2"/>
          <w:sz w:val="18"/>
        </w:rPr>
        <w:t>Women</w:t>
      </w:r>
      <w:r>
        <w:rPr>
          <w:rFonts w:ascii="Verdana"/>
          <w:spacing w:val="-1"/>
          <w:sz w:val="18"/>
        </w:rPr>
        <w:t> </w:t>
      </w:r>
      <w:r>
        <w:rPr>
          <w:rFonts w:ascii="Verdana"/>
          <w:spacing w:val="-4"/>
          <w:sz w:val="18"/>
        </w:rPr>
        <w:t>in...</w:t>
      </w:r>
      <w:r>
        <w:rPr>
          <w:sz w:val="18"/>
        </w:rPr>
        <w:tab/>
      </w:r>
      <w:r>
        <w:rPr>
          <w:rFonts w:ascii="Verdana"/>
          <w:spacing w:val="-5"/>
          <w:sz w:val="18"/>
        </w:rPr>
        <w:t>195</w:t>
      </w:r>
    </w:p>
    <w:p>
      <w:pPr>
        <w:pStyle w:val="ListParagraph"/>
        <w:numPr>
          <w:ilvl w:val="0"/>
          <w:numId w:val="38"/>
        </w:numPr>
        <w:tabs>
          <w:tab w:pos="2160" w:val="left" w:leader="none"/>
        </w:tabs>
        <w:spacing w:line="268" w:lineRule="auto" w:before="204" w:after="0"/>
        <w:ind w:left="2160" w:right="1442" w:hanging="420"/>
        <w:jc w:val="left"/>
        <w:rPr>
          <w:sz w:val="19"/>
        </w:rPr>
      </w:pPr>
      <w:r>
        <w:rPr>
          <w:sz w:val="19"/>
        </w:rPr>
        <w:t>Elaine Showalter. (1985). </w:t>
      </w:r>
      <w:r>
        <w:rPr>
          <w:i/>
          <w:sz w:val="19"/>
        </w:rPr>
        <w:t>The female malady: Women, madness, and</w:t>
      </w:r>
      <w:r>
        <w:rPr>
          <w:i/>
          <w:spacing w:val="80"/>
          <w:sz w:val="19"/>
        </w:rPr>
        <w:t> </w:t>
      </w:r>
      <w:r>
        <w:rPr>
          <w:i/>
          <w:sz w:val="19"/>
        </w:rPr>
        <w:t>English</w:t>
      </w:r>
      <w:r>
        <w:rPr>
          <w:i/>
          <w:spacing w:val="80"/>
          <w:sz w:val="19"/>
        </w:rPr>
        <w:t> </w:t>
      </w:r>
      <w:r>
        <w:rPr>
          <w:i/>
          <w:sz w:val="19"/>
        </w:rPr>
        <w:t>culture,</w:t>
      </w:r>
      <w:r>
        <w:rPr>
          <w:i/>
          <w:spacing w:val="40"/>
          <w:sz w:val="19"/>
        </w:rPr>
        <w:t> </w:t>
      </w:r>
      <w:r>
        <w:rPr>
          <w:i/>
          <w:sz w:val="19"/>
        </w:rPr>
        <w:t>1830–1980</w:t>
      </w:r>
      <w:r>
        <w:rPr>
          <w:sz w:val="19"/>
        </w:rPr>
        <w:t>.</w:t>
      </w:r>
      <w:r>
        <w:rPr>
          <w:spacing w:val="40"/>
          <w:sz w:val="19"/>
        </w:rPr>
        <w:t> </w:t>
      </w:r>
      <w:r>
        <w:rPr>
          <w:sz w:val="19"/>
        </w:rPr>
        <w:t>Pantheon</w:t>
      </w:r>
      <w:r>
        <w:rPr>
          <w:spacing w:val="80"/>
          <w:sz w:val="19"/>
        </w:rPr>
        <w:t> </w:t>
      </w:r>
      <w:r>
        <w:rPr>
          <w:sz w:val="19"/>
        </w:rPr>
        <w:t>Books.</w:t>
      </w:r>
    </w:p>
    <w:p>
      <w:pPr>
        <w:pStyle w:val="ListParagraph"/>
        <w:numPr>
          <w:ilvl w:val="0"/>
          <w:numId w:val="38"/>
        </w:numPr>
        <w:tabs>
          <w:tab w:pos="2160" w:val="left" w:leader="none"/>
        </w:tabs>
        <w:spacing w:line="264" w:lineRule="auto" w:before="51" w:after="0"/>
        <w:ind w:left="2160" w:right="1439" w:hanging="420"/>
        <w:jc w:val="left"/>
        <w:rPr>
          <w:sz w:val="19"/>
        </w:rPr>
      </w:pPr>
      <w:r>
        <w:rPr>
          <w:sz w:val="19"/>
        </w:rPr>
        <w:t>Howard,</w:t>
      </w:r>
      <w:r>
        <w:rPr>
          <w:spacing w:val="35"/>
          <w:sz w:val="19"/>
        </w:rPr>
        <w:t> </w:t>
      </w:r>
      <w:r>
        <w:rPr>
          <w:sz w:val="19"/>
        </w:rPr>
        <w:t>J.</w:t>
      </w:r>
      <w:r>
        <w:rPr>
          <w:spacing w:val="34"/>
          <w:sz w:val="19"/>
        </w:rPr>
        <w:t> </w:t>
      </w:r>
      <w:r>
        <w:rPr>
          <w:sz w:val="19"/>
        </w:rPr>
        <w:t>E.,</w:t>
      </w:r>
      <w:r>
        <w:rPr>
          <w:spacing w:val="35"/>
          <w:sz w:val="19"/>
        </w:rPr>
        <w:t> </w:t>
      </w:r>
      <w:r>
        <w:rPr>
          <w:sz w:val="19"/>
        </w:rPr>
        <w:t>&amp;</w:t>
      </w:r>
      <w:r>
        <w:rPr>
          <w:spacing w:val="32"/>
          <w:sz w:val="19"/>
        </w:rPr>
        <w:t> </w:t>
      </w:r>
      <w:r>
        <w:rPr>
          <w:sz w:val="19"/>
        </w:rPr>
        <w:t>Rackin,</w:t>
      </w:r>
      <w:r>
        <w:rPr>
          <w:spacing w:val="35"/>
          <w:sz w:val="19"/>
        </w:rPr>
        <w:t> </w:t>
      </w:r>
      <w:r>
        <w:rPr>
          <w:sz w:val="19"/>
        </w:rPr>
        <w:t>P.</w:t>
      </w:r>
      <w:r>
        <w:rPr>
          <w:spacing w:val="34"/>
          <w:sz w:val="19"/>
        </w:rPr>
        <w:t> </w:t>
      </w:r>
      <w:r>
        <w:rPr>
          <w:sz w:val="19"/>
        </w:rPr>
        <w:t>(1997).</w:t>
      </w:r>
      <w:r>
        <w:rPr>
          <w:spacing w:val="37"/>
          <w:sz w:val="19"/>
        </w:rPr>
        <w:t> </w:t>
      </w:r>
      <w:r>
        <w:rPr>
          <w:i/>
          <w:sz w:val="19"/>
        </w:rPr>
        <w:t>Engendering</w:t>
      </w:r>
      <w:r>
        <w:rPr>
          <w:i/>
          <w:spacing w:val="35"/>
          <w:sz w:val="19"/>
        </w:rPr>
        <w:t> </w:t>
      </w:r>
      <w:r>
        <w:rPr>
          <w:i/>
          <w:sz w:val="19"/>
        </w:rPr>
        <w:t>a</w:t>
      </w:r>
      <w:r>
        <w:rPr>
          <w:i/>
          <w:spacing w:val="35"/>
          <w:sz w:val="19"/>
        </w:rPr>
        <w:t> </w:t>
      </w:r>
      <w:r>
        <w:rPr>
          <w:i/>
          <w:sz w:val="19"/>
        </w:rPr>
        <w:t>nation:</w:t>
      </w:r>
      <w:r>
        <w:rPr>
          <w:i/>
          <w:spacing w:val="32"/>
          <w:sz w:val="19"/>
        </w:rPr>
        <w:t> </w:t>
      </w:r>
      <w:r>
        <w:rPr>
          <w:i/>
          <w:sz w:val="19"/>
        </w:rPr>
        <w:t>A feminist</w:t>
      </w:r>
      <w:r>
        <w:rPr>
          <w:i/>
          <w:spacing w:val="24"/>
          <w:sz w:val="19"/>
        </w:rPr>
        <w:t> </w:t>
      </w:r>
      <w:r>
        <w:rPr>
          <w:i/>
          <w:sz w:val="19"/>
        </w:rPr>
        <w:t>account</w:t>
      </w:r>
      <w:r>
        <w:rPr>
          <w:i/>
          <w:spacing w:val="24"/>
          <w:sz w:val="19"/>
        </w:rPr>
        <w:t> </w:t>
      </w:r>
      <w:r>
        <w:rPr>
          <w:i/>
          <w:sz w:val="19"/>
        </w:rPr>
        <w:t>of</w:t>
      </w:r>
      <w:r>
        <w:rPr>
          <w:i/>
          <w:spacing w:val="26"/>
          <w:sz w:val="19"/>
        </w:rPr>
        <w:t> </w:t>
      </w:r>
      <w:r>
        <w:rPr>
          <w:i/>
          <w:sz w:val="19"/>
        </w:rPr>
        <w:t>Shakespeare’s</w:t>
      </w:r>
      <w:r>
        <w:rPr>
          <w:i/>
          <w:spacing w:val="24"/>
          <w:sz w:val="19"/>
        </w:rPr>
        <w:t> </w:t>
      </w:r>
      <w:r>
        <w:rPr>
          <w:i/>
          <w:sz w:val="19"/>
        </w:rPr>
        <w:t>English</w:t>
      </w:r>
      <w:r>
        <w:rPr>
          <w:i/>
          <w:spacing w:val="26"/>
          <w:sz w:val="19"/>
        </w:rPr>
        <w:t> </w:t>
      </w:r>
      <w:r>
        <w:rPr>
          <w:i/>
          <w:sz w:val="19"/>
        </w:rPr>
        <w:t>histories</w:t>
      </w:r>
      <w:r>
        <w:rPr>
          <w:sz w:val="19"/>
        </w:rPr>
        <w:t>.</w:t>
      </w:r>
      <w:r>
        <w:rPr>
          <w:spacing w:val="28"/>
          <w:sz w:val="19"/>
        </w:rPr>
        <w:t> </w:t>
      </w:r>
      <w:r>
        <w:rPr>
          <w:sz w:val="19"/>
        </w:rPr>
        <w:t>Routledge.</w:t>
      </w:r>
    </w:p>
    <w:p>
      <w:pPr>
        <w:pStyle w:val="ListParagraph"/>
        <w:numPr>
          <w:ilvl w:val="0"/>
          <w:numId w:val="38"/>
        </w:numPr>
        <w:tabs>
          <w:tab w:pos="2160" w:val="left" w:leader="none"/>
        </w:tabs>
        <w:spacing w:line="261" w:lineRule="auto" w:before="54" w:after="0"/>
        <w:ind w:left="2160" w:right="1440" w:hanging="420"/>
        <w:jc w:val="left"/>
        <w:rPr>
          <w:sz w:val="19"/>
        </w:rPr>
      </w:pPr>
      <w:r>
        <w:rPr>
          <w:sz w:val="19"/>
        </w:rPr>
        <w:t>Rackin,</w:t>
      </w:r>
      <w:r>
        <w:rPr>
          <w:spacing w:val="40"/>
          <w:sz w:val="19"/>
        </w:rPr>
        <w:t> </w:t>
      </w:r>
      <w:r>
        <w:rPr>
          <w:sz w:val="19"/>
        </w:rPr>
        <w:t>P.</w:t>
      </w:r>
      <w:r>
        <w:rPr>
          <w:spacing w:val="40"/>
          <w:sz w:val="19"/>
        </w:rPr>
        <w:t> </w:t>
      </w:r>
      <w:r>
        <w:rPr>
          <w:sz w:val="19"/>
        </w:rPr>
        <w:t>(1990).</w:t>
      </w:r>
      <w:r>
        <w:rPr>
          <w:spacing w:val="40"/>
          <w:sz w:val="19"/>
        </w:rPr>
        <w:t> </w:t>
      </w:r>
      <w:r>
        <w:rPr>
          <w:i/>
          <w:sz w:val="19"/>
        </w:rPr>
        <w:t>Stages</w:t>
      </w:r>
      <w:r>
        <w:rPr>
          <w:i/>
          <w:spacing w:val="40"/>
          <w:sz w:val="19"/>
        </w:rPr>
        <w:t> </w:t>
      </w:r>
      <w:r>
        <w:rPr>
          <w:i/>
          <w:sz w:val="19"/>
        </w:rPr>
        <w:t>of</w:t>
      </w:r>
      <w:r>
        <w:rPr>
          <w:i/>
          <w:spacing w:val="40"/>
          <w:sz w:val="19"/>
        </w:rPr>
        <w:t> </w:t>
      </w:r>
      <w:r>
        <w:rPr>
          <w:i/>
          <w:sz w:val="19"/>
        </w:rPr>
        <w:t>history:</w:t>
      </w:r>
      <w:r>
        <w:rPr>
          <w:i/>
          <w:spacing w:val="40"/>
          <w:sz w:val="19"/>
        </w:rPr>
        <w:t> </w:t>
      </w:r>
      <w:r>
        <w:rPr>
          <w:i/>
          <w:sz w:val="19"/>
        </w:rPr>
        <w:t>Shakespeare’s</w:t>
      </w:r>
      <w:r>
        <w:rPr>
          <w:i/>
          <w:spacing w:val="40"/>
          <w:sz w:val="19"/>
        </w:rPr>
        <w:t> </w:t>
      </w:r>
      <w:r>
        <w:rPr>
          <w:i/>
          <w:sz w:val="19"/>
        </w:rPr>
        <w:t>English chronicles</w:t>
      </w:r>
      <w:r>
        <w:rPr>
          <w:sz w:val="19"/>
        </w:rPr>
        <w:t>.</w:t>
      </w:r>
      <w:r>
        <w:rPr>
          <w:spacing w:val="40"/>
          <w:sz w:val="19"/>
        </w:rPr>
        <w:t> </w:t>
      </w:r>
      <w:r>
        <w:rPr>
          <w:sz w:val="19"/>
        </w:rPr>
        <w:t>Cornell</w:t>
      </w:r>
      <w:r>
        <w:rPr>
          <w:spacing w:val="40"/>
          <w:sz w:val="19"/>
        </w:rPr>
        <w:t> </w:t>
      </w:r>
      <w:r>
        <w:rPr>
          <w:sz w:val="19"/>
        </w:rPr>
        <w:t>University</w:t>
      </w:r>
      <w:r>
        <w:rPr>
          <w:spacing w:val="40"/>
          <w:sz w:val="19"/>
        </w:rPr>
        <w:t> </w:t>
      </w:r>
      <w:r>
        <w:rPr>
          <w:sz w:val="19"/>
        </w:rPr>
        <w:t>Press.</w:t>
      </w:r>
    </w:p>
    <w:p>
      <w:pPr>
        <w:pStyle w:val="ListParagraph"/>
        <w:spacing w:after="0" w:line="261"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07136">
                <wp:simplePos x="0" y="0"/>
                <wp:positionH relativeFrom="page">
                  <wp:posOffset>2057400</wp:posOffset>
                </wp:positionH>
                <wp:positionV relativeFrom="page">
                  <wp:posOffset>1788723</wp:posOffset>
                </wp:positionV>
                <wp:extent cx="3656965" cy="140335"/>
                <wp:effectExtent l="0" t="0" r="0" b="0"/>
                <wp:wrapNone/>
                <wp:docPr id="452" name="Textbox 452"/>
                <wp:cNvGraphicFramePr>
                  <a:graphicFrameLocks/>
                </wp:cNvGraphicFramePr>
                <a:graphic>
                  <a:graphicData uri="http://schemas.microsoft.com/office/word/2010/wordprocessingShape">
                    <wps:wsp>
                      <wps:cNvPr id="452" name="Textbox 452"/>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196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409344" type="#_x0000_t202" id="docshape447"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196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453" name="Group 453"/>
                <wp:cNvGraphicFramePr>
                  <a:graphicFrameLocks/>
                </wp:cNvGraphicFramePr>
                <a:graphic>
                  <a:graphicData uri="http://schemas.microsoft.com/office/word/2010/wordprocessingGroup">
                    <wpg:wgp>
                      <wpg:cNvPr id="453" name="Group 453"/>
                      <wpg:cNvGrpSpPr/>
                      <wpg:grpSpPr>
                        <a:xfrm>
                          <a:off x="0" y="0"/>
                          <a:ext cx="4044950" cy="699770"/>
                          <a:chExt cx="4044950" cy="699770"/>
                        </a:xfrm>
                      </wpg:grpSpPr>
                      <wps:wsp>
                        <wps:cNvPr id="454" name="Graphic 454"/>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448" coordorigin="0,0" coordsize="6370,1102">
                <v:rect style="position:absolute;left:0;top:0;width:6370;height:1102" id="docshape449"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42976">
                <wp:simplePos x="0" y="0"/>
                <wp:positionH relativeFrom="page">
                  <wp:posOffset>3488435</wp:posOffset>
                </wp:positionH>
                <wp:positionV relativeFrom="paragraph">
                  <wp:posOffset>272922</wp:posOffset>
                </wp:positionV>
                <wp:extent cx="728980" cy="655320"/>
                <wp:effectExtent l="0" t="0" r="0" b="0"/>
                <wp:wrapTopAndBottom/>
                <wp:docPr id="455" name="Group 455"/>
                <wp:cNvGraphicFramePr>
                  <a:graphicFrameLocks/>
                </wp:cNvGraphicFramePr>
                <a:graphic>
                  <a:graphicData uri="http://schemas.microsoft.com/office/word/2010/wordprocessingGroup">
                    <wpg:wgp>
                      <wpg:cNvPr id="455" name="Group 455"/>
                      <wpg:cNvGrpSpPr/>
                      <wpg:grpSpPr>
                        <a:xfrm>
                          <a:off x="0" y="0"/>
                          <a:ext cx="728980" cy="655320"/>
                          <a:chExt cx="728980" cy="655320"/>
                        </a:xfrm>
                      </wpg:grpSpPr>
                      <pic:pic>
                        <pic:nvPicPr>
                          <pic:cNvPr id="456" name="Image 456"/>
                          <pic:cNvPicPr/>
                        </pic:nvPicPr>
                        <pic:blipFill>
                          <a:blip r:embed="rId99" cstate="print"/>
                          <a:stretch>
                            <a:fillRect/>
                          </a:stretch>
                        </pic:blipFill>
                        <pic:spPr>
                          <a:xfrm>
                            <a:off x="0" y="0"/>
                            <a:ext cx="728471" cy="655320"/>
                          </a:xfrm>
                          <a:prstGeom prst="rect">
                            <a:avLst/>
                          </a:prstGeom>
                        </pic:spPr>
                      </pic:pic>
                      <wps:wsp>
                        <wps:cNvPr id="457" name="Textbox 457"/>
                        <wps:cNvSpPr txBox="1"/>
                        <wps:spPr>
                          <a:xfrm>
                            <a:off x="0" y="0"/>
                            <a:ext cx="728980" cy="655320"/>
                          </a:xfrm>
                          <a:prstGeom prst="rect">
                            <a:avLst/>
                          </a:prstGeom>
                        </wps:spPr>
                        <wps:txbx>
                          <w:txbxContent>
                            <w:p>
                              <w:pPr>
                                <w:spacing w:before="396"/>
                                <w:ind w:left="432" w:right="0" w:firstLine="0"/>
                                <w:jc w:val="left"/>
                                <w:rPr>
                                  <w:rFonts w:ascii="Tahoma"/>
                                  <w:b/>
                                  <w:sz w:val="36"/>
                                </w:rPr>
                              </w:pPr>
                              <w:r>
                                <w:rPr>
                                  <w:rFonts w:ascii="Tahoma"/>
                                  <w:b/>
                                  <w:spacing w:val="-5"/>
                                  <w:w w:val="95"/>
                                  <w:sz w:val="36"/>
                                </w:rPr>
                                <w:t>20</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573504;mso-wrap-distance-left:0;mso-wrap-distance-right:0" id="docshapegroup450" coordorigin="5494,430" coordsize="1148,1032">
                <v:shape style="position:absolute;left:5493;top:429;width:1148;height:1032" type="#_x0000_t75" id="docshape451" stroked="false">
                  <v:imagedata r:id="rId99" o:title=""/>
                </v:shape>
                <v:shape style="position:absolute;left:5493;top:429;width:1148;height:1032" type="#_x0000_t202" id="docshape452" filled="false" stroked="false">
                  <v:textbox inset="0,0,0,0">
                    <w:txbxContent>
                      <w:p>
                        <w:pPr>
                          <w:spacing w:before="396"/>
                          <w:ind w:left="432" w:right="0" w:firstLine="0"/>
                          <w:jc w:val="left"/>
                          <w:rPr>
                            <w:rFonts w:ascii="Tahoma"/>
                            <w:b/>
                            <w:sz w:val="36"/>
                          </w:rPr>
                        </w:pPr>
                        <w:r>
                          <w:rPr>
                            <w:rFonts w:ascii="Tahoma"/>
                            <w:b/>
                            <w:spacing w:val="-5"/>
                            <w:w w:val="95"/>
                            <w:sz w:val="36"/>
                          </w:rPr>
                          <w:t>20</w:t>
                        </w:r>
                      </w:p>
                    </w:txbxContent>
                  </v:textbox>
                  <w10:wrap type="none"/>
                </v:shape>
                <w10:wrap type="topAndBottom"/>
              </v:group>
            </w:pict>
          </mc:Fallback>
        </mc:AlternateContent>
      </w:r>
    </w:p>
    <w:p>
      <w:pPr>
        <w:pStyle w:val="Heading1"/>
        <w:spacing w:line="364" w:lineRule="exact" w:before="11"/>
        <w:ind w:right="7"/>
      </w:pPr>
      <w:r>
        <w:rPr>
          <w:spacing w:val="-10"/>
        </w:rPr>
        <w:t>Revisiting</w:t>
      </w:r>
      <w:r>
        <w:rPr>
          <w:spacing w:val="-3"/>
        </w:rPr>
        <w:t> </w:t>
      </w:r>
      <w:r>
        <w:rPr>
          <w:spacing w:val="-10"/>
        </w:rPr>
        <w:t>Shakespeare’s</w:t>
      </w:r>
      <w:r>
        <w:rPr>
          <w:spacing w:val="-2"/>
        </w:rPr>
        <w:t> </w:t>
      </w:r>
      <w:r>
        <w:rPr>
          <w:spacing w:val="-10"/>
        </w:rPr>
        <w:t>“Bad</w:t>
      </w:r>
    </w:p>
    <w:p>
      <w:pPr>
        <w:tabs>
          <w:tab w:pos="412" w:val="left" w:leader="none"/>
          <w:tab w:pos="5759" w:val="left" w:leader="none"/>
        </w:tabs>
        <w:spacing w:line="364" w:lineRule="exact" w:before="0"/>
        <w:ind w:left="0" w:right="0" w:firstLine="0"/>
        <w:jc w:val="center"/>
        <w:rPr>
          <w:rFonts w:ascii="Tahoma" w:hAnsi="Tahoma"/>
          <w:b/>
          <w:sz w:val="32"/>
        </w:rPr>
      </w:pPr>
      <w:r>
        <w:rPr>
          <w:rFonts w:ascii="Tahoma" w:hAnsi="Tahoma"/>
          <w:b/>
          <w:sz w:val="32"/>
          <w:u w:val="single"/>
        </w:rPr>
        <w:tab/>
        <w:t>Women”:</w:t>
      </w:r>
      <w:r>
        <w:rPr>
          <w:rFonts w:ascii="Tahoma" w:hAnsi="Tahoma"/>
          <w:b/>
          <w:spacing w:val="-15"/>
          <w:sz w:val="32"/>
          <w:u w:val="single"/>
        </w:rPr>
        <w:t> </w:t>
      </w:r>
      <w:r>
        <w:rPr>
          <w:rFonts w:ascii="Tahoma" w:hAnsi="Tahoma"/>
          <w:b/>
          <w:sz w:val="32"/>
          <w:u w:val="single"/>
        </w:rPr>
        <w:t>A</w:t>
      </w:r>
      <w:r>
        <w:rPr>
          <w:rFonts w:ascii="Tahoma" w:hAnsi="Tahoma"/>
          <w:b/>
          <w:spacing w:val="-12"/>
          <w:sz w:val="32"/>
          <w:u w:val="single"/>
        </w:rPr>
        <w:t> </w:t>
      </w:r>
      <w:r>
        <w:rPr>
          <w:rFonts w:ascii="Tahoma" w:hAnsi="Tahoma"/>
          <w:b/>
          <w:sz w:val="32"/>
          <w:u w:val="single"/>
        </w:rPr>
        <w:t>Female</w:t>
      </w:r>
      <w:r>
        <w:rPr>
          <w:rFonts w:ascii="Tahoma" w:hAnsi="Tahoma"/>
          <w:b/>
          <w:spacing w:val="-15"/>
          <w:sz w:val="32"/>
          <w:u w:val="single"/>
        </w:rPr>
        <w:t> </w:t>
      </w:r>
      <w:r>
        <w:rPr>
          <w:rFonts w:ascii="Tahoma" w:hAnsi="Tahoma"/>
          <w:b/>
          <w:spacing w:val="-2"/>
          <w:sz w:val="32"/>
          <w:u w:val="single"/>
        </w:rPr>
        <w:t>Perspective</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43488">
                <wp:simplePos x="0" y="0"/>
                <wp:positionH relativeFrom="page">
                  <wp:posOffset>2057400</wp:posOffset>
                </wp:positionH>
                <wp:positionV relativeFrom="paragraph">
                  <wp:posOffset>60165</wp:posOffset>
                </wp:positionV>
                <wp:extent cx="3657600" cy="7620"/>
                <wp:effectExtent l="0" t="0" r="0" b="0"/>
                <wp:wrapTopAndBottom/>
                <wp:docPr id="458" name="Graphic 458"/>
                <wp:cNvGraphicFramePr>
                  <a:graphicFrameLocks/>
                </wp:cNvGraphicFramePr>
                <a:graphic>
                  <a:graphicData uri="http://schemas.microsoft.com/office/word/2010/wordprocessingShape">
                    <wps:wsp>
                      <wps:cNvPr id="458" name="Graphic 458"/>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37458pt;width:288.000009pt;height:.600014pt;mso-position-horizontal-relative:page;mso-position-vertical-relative:paragraph;z-index:-15572992;mso-wrap-distance-left:0;mso-wrap-distance-right:0" id="docshape453"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9"/>
        <w:jc w:val="right"/>
        <w:rPr>
          <w:rFonts w:ascii="Times New Roman"/>
        </w:rPr>
      </w:pPr>
      <w:r>
        <w:rPr>
          <w:rFonts w:ascii="Times New Roman"/>
        </w:rPr>
        <w:t>Ramesh</w:t>
      </w:r>
      <w:r>
        <w:rPr>
          <w:rFonts w:ascii="Times New Roman"/>
          <w:spacing w:val="70"/>
        </w:rPr>
        <w:t> </w:t>
      </w:r>
      <w:r>
        <w:rPr>
          <w:rFonts w:ascii="Times New Roman"/>
        </w:rPr>
        <w:t>Chandra</w:t>
      </w:r>
      <w:r>
        <w:rPr>
          <w:rFonts w:ascii="Times New Roman"/>
          <w:spacing w:val="69"/>
        </w:rPr>
        <w:t> </w:t>
      </w:r>
      <w:r>
        <w:rPr>
          <w:rFonts w:ascii="Times New Roman"/>
          <w:spacing w:val="-2"/>
        </w:rPr>
        <w:t>Pradhani</w:t>
      </w:r>
    </w:p>
    <w:p>
      <w:pPr>
        <w:spacing w:before="15"/>
        <w:ind w:left="0" w:right="1439" w:firstLine="0"/>
        <w:jc w:val="right"/>
        <w:rPr>
          <w:i/>
          <w:sz w:val="19"/>
        </w:rPr>
      </w:pPr>
      <w:r>
        <w:rPr>
          <w:i/>
          <w:sz w:val="19"/>
        </w:rPr>
        <w:t>Assistant</w:t>
      </w:r>
      <w:r>
        <w:rPr>
          <w:i/>
          <w:spacing w:val="48"/>
          <w:sz w:val="19"/>
        </w:rPr>
        <w:t> </w:t>
      </w:r>
      <w:r>
        <w:rPr>
          <w:i/>
          <w:sz w:val="19"/>
        </w:rPr>
        <w:t>Professor,</w:t>
      </w:r>
      <w:r>
        <w:rPr>
          <w:i/>
          <w:spacing w:val="50"/>
          <w:sz w:val="19"/>
        </w:rPr>
        <w:t> </w:t>
      </w:r>
      <w:r>
        <w:rPr>
          <w:i/>
          <w:sz w:val="19"/>
        </w:rPr>
        <w:t>Department</w:t>
      </w:r>
      <w:r>
        <w:rPr>
          <w:i/>
          <w:spacing w:val="48"/>
          <w:sz w:val="19"/>
        </w:rPr>
        <w:t> </w:t>
      </w:r>
      <w:r>
        <w:rPr>
          <w:i/>
          <w:sz w:val="19"/>
        </w:rPr>
        <w:t>of</w:t>
      </w:r>
      <w:r>
        <w:rPr>
          <w:i/>
          <w:spacing w:val="48"/>
          <w:sz w:val="19"/>
        </w:rPr>
        <w:t> </w:t>
      </w:r>
      <w:r>
        <w:rPr>
          <w:i/>
          <w:sz w:val="19"/>
        </w:rPr>
        <w:t>English,</w:t>
      </w:r>
      <w:r>
        <w:rPr>
          <w:i/>
          <w:spacing w:val="51"/>
          <w:sz w:val="19"/>
        </w:rPr>
        <w:t> </w:t>
      </w:r>
      <w:r>
        <w:rPr>
          <w:i/>
          <w:sz w:val="19"/>
        </w:rPr>
        <w:t>P</w:t>
      </w:r>
      <w:r>
        <w:rPr>
          <w:i/>
          <w:spacing w:val="44"/>
          <w:sz w:val="19"/>
        </w:rPr>
        <w:t> </w:t>
      </w:r>
      <w:r>
        <w:rPr>
          <w:i/>
          <w:sz w:val="19"/>
        </w:rPr>
        <w:t>S</w:t>
      </w:r>
      <w:r>
        <w:rPr>
          <w:i/>
          <w:spacing w:val="50"/>
          <w:sz w:val="19"/>
        </w:rPr>
        <w:t> </w:t>
      </w:r>
      <w:r>
        <w:rPr>
          <w:i/>
          <w:sz w:val="19"/>
        </w:rPr>
        <w:t>D</w:t>
      </w:r>
      <w:r>
        <w:rPr>
          <w:i/>
          <w:spacing w:val="49"/>
          <w:sz w:val="19"/>
        </w:rPr>
        <w:t> </w:t>
      </w:r>
      <w:r>
        <w:rPr>
          <w:i/>
          <w:spacing w:val="-2"/>
          <w:sz w:val="19"/>
        </w:rPr>
        <w:t>College</w:t>
      </w:r>
    </w:p>
    <w:p>
      <w:pPr>
        <w:spacing w:before="10"/>
        <w:ind w:left="0" w:right="1439" w:firstLine="0"/>
        <w:jc w:val="right"/>
        <w:rPr>
          <w:i/>
          <w:sz w:val="19"/>
        </w:rPr>
      </w:pPr>
      <w:r>
        <w:rPr>
          <w:i/>
          <w:sz w:val="19"/>
        </w:rPr>
        <w:t>Deogaon</w:t>
      </w:r>
      <w:r>
        <w:rPr>
          <w:i/>
          <w:spacing w:val="71"/>
          <w:sz w:val="19"/>
        </w:rPr>
        <w:t> </w:t>
      </w:r>
      <w:r>
        <w:rPr>
          <w:i/>
          <w:sz w:val="19"/>
        </w:rPr>
        <w:t>Balangir</w:t>
      </w:r>
      <w:r>
        <w:rPr>
          <w:i/>
          <w:spacing w:val="72"/>
          <w:sz w:val="19"/>
        </w:rPr>
        <w:t> </w:t>
      </w:r>
      <w:r>
        <w:rPr>
          <w:i/>
          <w:sz w:val="19"/>
        </w:rPr>
        <w:t>Odisha</w:t>
      </w:r>
      <w:r>
        <w:rPr>
          <w:i/>
          <w:spacing w:val="72"/>
          <w:sz w:val="19"/>
        </w:rPr>
        <w:t> </w:t>
      </w:r>
      <w:r>
        <w:rPr>
          <w:i/>
          <w:sz w:val="19"/>
        </w:rPr>
        <w:t>Pin-</w:t>
      </w:r>
      <w:r>
        <w:rPr>
          <w:i/>
          <w:spacing w:val="68"/>
          <w:sz w:val="19"/>
        </w:rPr>
        <w:t> </w:t>
      </w:r>
      <w:r>
        <w:rPr>
          <w:i/>
          <w:spacing w:val="-2"/>
          <w:sz w:val="19"/>
        </w:rPr>
        <w:t>767029</w:t>
      </w:r>
    </w:p>
    <w:p>
      <w:pPr>
        <w:pStyle w:val="BodyText"/>
        <w:spacing w:before="160"/>
        <w:ind w:left="0"/>
        <w:rPr>
          <w:i/>
          <w:sz w:val="19"/>
        </w:rPr>
      </w:pPr>
    </w:p>
    <w:p>
      <w:pPr>
        <w:pStyle w:val="Heading3"/>
        <w:spacing w:before="1"/>
      </w:pPr>
      <w:r>
        <w:rPr>
          <w:spacing w:val="-2"/>
        </w:rPr>
        <w:t>ABSTRACT</w:t>
      </w:r>
    </w:p>
    <w:p>
      <w:pPr>
        <w:pStyle w:val="BodyText"/>
        <w:spacing w:line="249" w:lineRule="auto" w:before="75"/>
        <w:ind w:right="1436" w:firstLine="432"/>
        <w:jc w:val="both"/>
      </w:pPr>
      <w:r>
        <w:rPr/>
        <w:t>The paper critically examines Shakespeare’s utilization of his dramatic canon to construct archetypal female villains: Lady Macbeth, Goneril,</w:t>
      </w:r>
      <w:r>
        <w:rPr>
          <w:spacing w:val="-9"/>
        </w:rPr>
        <w:t> </w:t>
      </w:r>
      <w:r>
        <w:rPr/>
        <w:t>Regan,</w:t>
      </w:r>
      <w:r>
        <w:rPr>
          <w:spacing w:val="-11"/>
        </w:rPr>
        <w:t> </w:t>
      </w:r>
      <w:r>
        <w:rPr/>
        <w:t>Tamora,</w:t>
      </w:r>
      <w:r>
        <w:rPr>
          <w:spacing w:val="-9"/>
        </w:rPr>
        <w:t> </w:t>
      </w:r>
      <w:r>
        <w:rPr/>
        <w:t>Cleopatra,</w:t>
      </w:r>
      <w:r>
        <w:rPr>
          <w:spacing w:val="-13"/>
        </w:rPr>
        <w:t> </w:t>
      </w:r>
      <w:r>
        <w:rPr/>
        <w:t>Volumnia,</w:t>
      </w:r>
      <w:r>
        <w:rPr>
          <w:spacing w:val="-7"/>
        </w:rPr>
        <w:t> </w:t>
      </w:r>
      <w:r>
        <w:rPr/>
        <w:t>and</w:t>
      </w:r>
      <w:r>
        <w:rPr>
          <w:spacing w:val="-8"/>
        </w:rPr>
        <w:t> </w:t>
      </w:r>
      <w:r>
        <w:rPr/>
        <w:t>Portia,</w:t>
      </w:r>
      <w:r>
        <w:rPr>
          <w:spacing w:val="-9"/>
        </w:rPr>
        <w:t> </w:t>
      </w:r>
      <w:r>
        <w:rPr/>
        <w:t>an</w:t>
      </w:r>
      <w:r>
        <w:rPr>
          <w:spacing w:val="-11"/>
        </w:rPr>
        <w:t> </w:t>
      </w:r>
      <w:r>
        <w:rPr/>
        <w:t>antagonist </w:t>
      </w:r>
      <w:r>
        <w:rPr>
          <w:spacing w:val="-2"/>
        </w:rPr>
        <w:t>of</w:t>
      </w:r>
      <w:r>
        <w:rPr>
          <w:spacing w:val="-11"/>
        </w:rPr>
        <w:t> </w:t>
      </w:r>
      <w:r>
        <w:rPr>
          <w:spacing w:val="-2"/>
        </w:rPr>
        <w:t>Shylock,</w:t>
      </w:r>
      <w:r>
        <w:rPr>
          <w:spacing w:val="-7"/>
        </w:rPr>
        <w:t> </w:t>
      </w:r>
      <w:r>
        <w:rPr>
          <w:spacing w:val="-2"/>
        </w:rPr>
        <w:t>within</w:t>
      </w:r>
      <w:r>
        <w:rPr>
          <w:spacing w:val="-11"/>
        </w:rPr>
        <w:t> </w:t>
      </w:r>
      <w:r>
        <w:rPr>
          <w:spacing w:val="-2"/>
        </w:rPr>
        <w:t>the</w:t>
      </w:r>
      <w:r>
        <w:rPr>
          <w:spacing w:val="-5"/>
        </w:rPr>
        <w:t> </w:t>
      </w:r>
      <w:r>
        <w:rPr>
          <w:spacing w:val="-2"/>
        </w:rPr>
        <w:t>framework</w:t>
      </w:r>
      <w:r>
        <w:rPr>
          <w:spacing w:val="-8"/>
        </w:rPr>
        <w:t> </w:t>
      </w:r>
      <w:r>
        <w:rPr>
          <w:spacing w:val="-2"/>
        </w:rPr>
        <w:t>of</w:t>
      </w:r>
      <w:r>
        <w:rPr>
          <w:spacing w:val="-11"/>
        </w:rPr>
        <w:t> </w:t>
      </w:r>
      <w:r>
        <w:rPr>
          <w:spacing w:val="-2"/>
        </w:rPr>
        <w:t>feminist</w:t>
      </w:r>
      <w:r>
        <w:rPr>
          <w:spacing w:val="-8"/>
        </w:rPr>
        <w:t> </w:t>
      </w:r>
      <w:r>
        <w:rPr>
          <w:spacing w:val="-2"/>
        </w:rPr>
        <w:t>literary</w:t>
      </w:r>
      <w:r>
        <w:rPr>
          <w:spacing w:val="-11"/>
        </w:rPr>
        <w:t> </w:t>
      </w:r>
      <w:r>
        <w:rPr>
          <w:spacing w:val="-2"/>
        </w:rPr>
        <w:t>criticism</w:t>
      </w:r>
      <w:r>
        <w:rPr>
          <w:spacing w:val="-10"/>
        </w:rPr>
        <w:t> </w:t>
      </w:r>
      <w:r>
        <w:rPr>
          <w:spacing w:val="-2"/>
        </w:rPr>
        <w:t>and</w:t>
      </w:r>
      <w:r>
        <w:rPr>
          <w:spacing w:val="-6"/>
        </w:rPr>
        <w:t> </w:t>
      </w:r>
      <w:r>
        <w:rPr>
          <w:spacing w:val="-2"/>
        </w:rPr>
        <w:t>gender </w:t>
      </w:r>
      <w:r>
        <w:rPr/>
        <w:t>theory. Drawing from the scholarship of Lisa Jardine, Phyllis Rackin, Coppelia Kahn, and Valerie Traub, who have provided substantial evidence regarding the misinterpretation of these characters within patriarchal frameworks that conflate female agency, desire, and transgression with moral decay, the study asserts that these characters </w:t>
      </w:r>
      <w:r>
        <w:rPr>
          <w:spacing w:val="-2"/>
        </w:rPr>
        <w:t>have</w:t>
      </w:r>
      <w:r>
        <w:rPr>
          <w:spacing w:val="-5"/>
        </w:rPr>
        <w:t> </w:t>
      </w:r>
      <w:r>
        <w:rPr>
          <w:spacing w:val="-2"/>
        </w:rPr>
        <w:t>been</w:t>
      </w:r>
      <w:r>
        <w:rPr>
          <w:spacing w:val="-7"/>
        </w:rPr>
        <w:t> </w:t>
      </w:r>
      <w:r>
        <w:rPr>
          <w:spacing w:val="-2"/>
        </w:rPr>
        <w:t>systematically</w:t>
      </w:r>
      <w:r>
        <w:rPr>
          <w:spacing w:val="-5"/>
        </w:rPr>
        <w:t> </w:t>
      </w:r>
      <w:r>
        <w:rPr>
          <w:spacing w:val="-2"/>
        </w:rPr>
        <w:t>misread.</w:t>
      </w:r>
      <w:r>
        <w:rPr>
          <w:spacing w:val="-5"/>
        </w:rPr>
        <w:t> </w:t>
      </w:r>
      <w:r>
        <w:rPr>
          <w:spacing w:val="-2"/>
        </w:rPr>
        <w:t>By</w:t>
      </w:r>
      <w:r>
        <w:rPr>
          <w:spacing w:val="-10"/>
        </w:rPr>
        <w:t> </w:t>
      </w:r>
      <w:r>
        <w:rPr>
          <w:spacing w:val="-2"/>
        </w:rPr>
        <w:t>reinterpreting</w:t>
      </w:r>
      <w:r>
        <w:rPr>
          <w:spacing w:val="-5"/>
        </w:rPr>
        <w:t> </w:t>
      </w:r>
      <w:r>
        <w:rPr>
          <w:spacing w:val="-2"/>
        </w:rPr>
        <w:t>these figures</w:t>
      </w:r>
      <w:r>
        <w:rPr>
          <w:spacing w:val="-5"/>
        </w:rPr>
        <w:t> </w:t>
      </w:r>
      <w:r>
        <w:rPr>
          <w:spacing w:val="-2"/>
        </w:rPr>
        <w:t>through </w:t>
      </w:r>
      <w:r>
        <w:rPr/>
        <w:t>a feminine lens, acknowledging women’s subjectivity, contextualizing their societal constraints, and interrogating the ideological function of their vilification, this paper restores a nuanced understanding of Shakespearean femininity. This conversation has shown that the “bad woman” archetype doesn’t really reflect what women are like; instead, it’s</w:t>
      </w:r>
      <w:r>
        <w:rPr>
          <w:spacing w:val="-3"/>
        </w:rPr>
        <w:t> </w:t>
      </w:r>
      <w:r>
        <w:rPr/>
        <w:t>a</w:t>
      </w:r>
      <w:r>
        <w:rPr>
          <w:spacing w:val="-5"/>
        </w:rPr>
        <w:t> </w:t>
      </w:r>
      <w:r>
        <w:rPr/>
        <w:t>way</w:t>
      </w:r>
      <w:r>
        <w:rPr>
          <w:spacing w:val="-6"/>
        </w:rPr>
        <w:t> </w:t>
      </w:r>
      <w:r>
        <w:rPr/>
        <w:t>to</w:t>
      </w:r>
      <w:r>
        <w:rPr>
          <w:spacing w:val="-3"/>
        </w:rPr>
        <w:t> </w:t>
      </w:r>
      <w:r>
        <w:rPr/>
        <w:t>deal</w:t>
      </w:r>
      <w:r>
        <w:rPr>
          <w:spacing w:val="-4"/>
        </w:rPr>
        <w:t> </w:t>
      </w:r>
      <w:r>
        <w:rPr/>
        <w:t>with</w:t>
      </w:r>
      <w:r>
        <w:rPr>
          <w:spacing w:val="-5"/>
        </w:rPr>
        <w:t> </w:t>
      </w:r>
      <w:r>
        <w:rPr/>
        <w:t>the</w:t>
      </w:r>
      <w:r>
        <w:rPr>
          <w:spacing w:val="-4"/>
        </w:rPr>
        <w:t> </w:t>
      </w:r>
      <w:r>
        <w:rPr/>
        <w:t>fear</w:t>
      </w:r>
      <w:r>
        <w:rPr>
          <w:spacing w:val="-3"/>
        </w:rPr>
        <w:t> </w:t>
      </w:r>
      <w:r>
        <w:rPr/>
        <w:t>of</w:t>
      </w:r>
      <w:r>
        <w:rPr>
          <w:spacing w:val="-5"/>
        </w:rPr>
        <w:t> </w:t>
      </w:r>
      <w:r>
        <w:rPr/>
        <w:t>changing</w:t>
      </w:r>
      <w:r>
        <w:rPr>
          <w:spacing w:val="-5"/>
        </w:rPr>
        <w:t> </w:t>
      </w:r>
      <w:r>
        <w:rPr/>
        <w:t>gender</w:t>
      </w:r>
      <w:r>
        <w:rPr>
          <w:spacing w:val="-3"/>
        </w:rPr>
        <w:t> </w:t>
      </w:r>
      <w:r>
        <w:rPr/>
        <w:t>roles</w:t>
      </w:r>
      <w:r>
        <w:rPr>
          <w:spacing w:val="-5"/>
        </w:rPr>
        <w:t> </w:t>
      </w:r>
      <w:r>
        <w:rPr/>
        <w:t>in</w:t>
      </w:r>
      <w:r>
        <w:rPr>
          <w:spacing w:val="-5"/>
        </w:rPr>
        <w:t> </w:t>
      </w:r>
      <w:r>
        <w:rPr/>
        <w:t>early</w:t>
      </w:r>
      <w:r>
        <w:rPr>
          <w:spacing w:val="-6"/>
        </w:rPr>
        <w:t> </w:t>
      </w:r>
      <w:r>
        <w:rPr/>
        <w:t>modern England. They resist, contest, or negotiate the patriarchal structures of their fictional realms, necessitating critical evaluation by these women. The paper concludes by asserting that the reclamation of such numbers is</w:t>
      </w:r>
      <w:r>
        <w:rPr>
          <w:spacing w:val="-7"/>
        </w:rPr>
        <w:t> </w:t>
      </w:r>
      <w:r>
        <w:rPr/>
        <w:t>not</w:t>
      </w:r>
      <w:r>
        <w:rPr>
          <w:spacing w:val="-7"/>
        </w:rPr>
        <w:t> </w:t>
      </w:r>
      <w:r>
        <w:rPr/>
        <w:t>merely</w:t>
      </w:r>
      <w:r>
        <w:rPr>
          <w:spacing w:val="-7"/>
        </w:rPr>
        <w:t> </w:t>
      </w:r>
      <w:r>
        <w:rPr/>
        <w:t>an</w:t>
      </w:r>
      <w:r>
        <w:rPr>
          <w:spacing w:val="-7"/>
        </w:rPr>
        <w:t> </w:t>
      </w:r>
      <w:r>
        <w:rPr/>
        <w:t>academic</w:t>
      </w:r>
      <w:r>
        <w:rPr>
          <w:spacing w:val="-7"/>
        </w:rPr>
        <w:t> </w:t>
      </w:r>
      <w:r>
        <w:rPr/>
        <w:t>endeavor</w:t>
      </w:r>
      <w:r>
        <w:rPr>
          <w:spacing w:val="-5"/>
        </w:rPr>
        <w:t> </w:t>
      </w:r>
      <w:r>
        <w:rPr/>
        <w:t>but</w:t>
      </w:r>
      <w:r>
        <w:rPr>
          <w:spacing w:val="-5"/>
        </w:rPr>
        <w:t> </w:t>
      </w:r>
      <w:r>
        <w:rPr/>
        <w:t>a</w:t>
      </w:r>
      <w:r>
        <w:rPr>
          <w:spacing w:val="-5"/>
        </w:rPr>
        <w:t> </w:t>
      </w:r>
      <w:r>
        <w:rPr/>
        <w:t>culturally</w:t>
      </w:r>
      <w:r>
        <w:rPr>
          <w:spacing w:val="-9"/>
        </w:rPr>
        <w:t> </w:t>
      </w:r>
      <w:r>
        <w:rPr/>
        <w:t>imperative</w:t>
      </w:r>
      <w:r>
        <w:rPr>
          <w:spacing w:val="-6"/>
        </w:rPr>
        <w:t> </w:t>
      </w:r>
      <w:r>
        <w:rPr/>
        <w:t>recovery initiative that elucidates the persistence of misogynistic stereotypes in both</w:t>
      </w:r>
      <w:r>
        <w:rPr>
          <w:spacing w:val="40"/>
        </w:rPr>
        <w:t> </w:t>
      </w:r>
      <w:r>
        <w:rPr/>
        <w:t>literary and</w:t>
      </w:r>
      <w:r>
        <w:rPr>
          <w:spacing w:val="40"/>
        </w:rPr>
        <w:t> </w:t>
      </w:r>
      <w:r>
        <w:rPr/>
        <w:t>popular</w:t>
      </w:r>
      <w:r>
        <w:rPr>
          <w:spacing w:val="40"/>
        </w:rPr>
        <w:t> </w:t>
      </w:r>
      <w:r>
        <w:rPr/>
        <w:t>culture.</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44512">
                <wp:simplePos x="0" y="0"/>
                <wp:positionH relativeFrom="page">
                  <wp:posOffset>2065020</wp:posOffset>
                </wp:positionH>
                <wp:positionV relativeFrom="paragraph">
                  <wp:posOffset>795020</wp:posOffset>
                </wp:positionV>
                <wp:extent cx="3657600" cy="12700"/>
                <wp:effectExtent l="0" t="0" r="0" b="0"/>
                <wp:wrapTopAndBottom/>
                <wp:docPr id="459" name="Graphic 459"/>
                <wp:cNvGraphicFramePr>
                  <a:graphicFrameLocks/>
                </wp:cNvGraphicFramePr>
                <a:graphic>
                  <a:graphicData uri="http://schemas.microsoft.com/office/word/2010/wordprocessingShape">
                    <wps:wsp>
                      <wps:cNvPr id="459" name="Graphic 45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71968;mso-wrap-distance-left:0;mso-wrap-distance-right:0" id="docshape454" filled="true" fillcolor="#000000" stroked="false">
                <v:fill type="solid"/>
                <w10:wrap type="topAndBottom"/>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197</w:t>
      </w:r>
    </w:p>
    <w:p>
      <w:pPr>
        <w:pStyle w:val="BodyText"/>
        <w:spacing w:line="249" w:lineRule="auto" w:before="192"/>
        <w:ind w:right="1441" w:firstLine="432"/>
        <w:jc w:val="both"/>
      </w:pPr>
      <w:r>
        <w:rPr>
          <w:b/>
          <w:spacing w:val="-2"/>
        </w:rPr>
        <w:t>Keywords-</w:t>
      </w:r>
      <w:r>
        <w:rPr>
          <w:b/>
          <w:spacing w:val="-11"/>
        </w:rPr>
        <w:t> </w:t>
      </w:r>
      <w:r>
        <w:rPr>
          <w:spacing w:val="-2"/>
        </w:rPr>
        <w:t>Shakespeare,</w:t>
      </w:r>
      <w:r>
        <w:rPr>
          <w:spacing w:val="-10"/>
        </w:rPr>
        <w:t> </w:t>
      </w:r>
      <w:r>
        <w:rPr>
          <w:spacing w:val="-2"/>
        </w:rPr>
        <w:t>feminist</w:t>
      </w:r>
      <w:r>
        <w:rPr>
          <w:spacing w:val="-11"/>
        </w:rPr>
        <w:t> </w:t>
      </w:r>
      <w:r>
        <w:rPr>
          <w:spacing w:val="-2"/>
        </w:rPr>
        <w:t>criticism,</w:t>
      </w:r>
      <w:r>
        <w:rPr>
          <w:spacing w:val="-10"/>
        </w:rPr>
        <w:t> </w:t>
      </w:r>
      <w:r>
        <w:rPr>
          <w:spacing w:val="-2"/>
        </w:rPr>
        <w:t>bad</w:t>
      </w:r>
      <w:r>
        <w:rPr>
          <w:spacing w:val="-11"/>
        </w:rPr>
        <w:t> </w:t>
      </w:r>
      <w:r>
        <w:rPr>
          <w:spacing w:val="-2"/>
        </w:rPr>
        <w:t>women,</w:t>
      </w:r>
      <w:r>
        <w:rPr>
          <w:spacing w:val="-10"/>
        </w:rPr>
        <w:t> </w:t>
      </w:r>
      <w:r>
        <w:rPr>
          <w:spacing w:val="-2"/>
        </w:rPr>
        <w:t>gender</w:t>
      </w:r>
      <w:r>
        <w:rPr>
          <w:spacing w:val="-11"/>
        </w:rPr>
        <w:t> </w:t>
      </w:r>
      <w:r>
        <w:rPr>
          <w:spacing w:val="-2"/>
        </w:rPr>
        <w:t>and </w:t>
      </w:r>
      <w:r>
        <w:rPr/>
        <w:t>power, Lady Macbeth, Cleopatra, early modern drama, female agency, patriarchy, literary canon</w:t>
      </w:r>
    </w:p>
    <w:p>
      <w:pPr>
        <w:pStyle w:val="Heading3"/>
        <w:numPr>
          <w:ilvl w:val="0"/>
          <w:numId w:val="39"/>
        </w:numPr>
        <w:tabs>
          <w:tab w:pos="1685" w:val="left" w:leader="none"/>
        </w:tabs>
        <w:spacing w:line="240" w:lineRule="auto" w:before="156" w:after="0"/>
        <w:ind w:left="1685" w:right="0" w:hanging="245"/>
        <w:jc w:val="left"/>
      </w:pPr>
      <w:r>
        <w:rPr>
          <w:spacing w:val="-2"/>
          <w:w w:val="95"/>
        </w:rPr>
        <w:t>INTRODUCTION</w:t>
      </w:r>
    </w:p>
    <w:p>
      <w:pPr>
        <w:pStyle w:val="BodyText"/>
        <w:spacing w:line="249" w:lineRule="auto" w:before="75"/>
        <w:ind w:right="1439" w:firstLine="432"/>
        <w:jc w:val="both"/>
      </w:pPr>
      <w:r>
        <w:rPr/>
        <w:t>For four centuries, critics have spoken confidently about what makes a Shakespearean woman “bad.” She usurps authority. She expresses desire. She refuses silence. She refuses domesticity. She schemes, seduces, and survives.</w:t>
      </w:r>
      <w:r>
        <w:rPr>
          <w:spacing w:val="-1"/>
        </w:rPr>
        <w:t> </w:t>
      </w:r>
      <w:r>
        <w:rPr/>
        <w:t>From</w:t>
      </w:r>
      <w:r>
        <w:rPr>
          <w:spacing w:val="-4"/>
        </w:rPr>
        <w:t> </w:t>
      </w:r>
      <w:r>
        <w:rPr/>
        <w:t>Samuel Johnson’s</w:t>
      </w:r>
      <w:r>
        <w:rPr>
          <w:spacing w:val="-1"/>
        </w:rPr>
        <w:t> </w:t>
      </w:r>
      <w:r>
        <w:rPr/>
        <w:t>condemnation </w:t>
      </w:r>
      <w:r>
        <w:rPr>
          <w:spacing w:val="-4"/>
        </w:rPr>
        <w:t>of</w:t>
      </w:r>
      <w:r>
        <w:rPr>
          <w:spacing w:val="-9"/>
        </w:rPr>
        <w:t> </w:t>
      </w:r>
      <w:r>
        <w:rPr>
          <w:spacing w:val="-4"/>
        </w:rPr>
        <w:t>Lady</w:t>
      </w:r>
      <w:r>
        <w:rPr>
          <w:spacing w:val="-8"/>
        </w:rPr>
        <w:t> </w:t>
      </w:r>
      <w:r>
        <w:rPr>
          <w:spacing w:val="-4"/>
        </w:rPr>
        <w:t>Macbeth</w:t>
      </w:r>
      <w:r>
        <w:rPr>
          <w:spacing w:val="-9"/>
        </w:rPr>
        <w:t> </w:t>
      </w:r>
      <w:r>
        <w:rPr>
          <w:spacing w:val="-4"/>
        </w:rPr>
        <w:t>to</w:t>
      </w:r>
      <w:r>
        <w:rPr>
          <w:spacing w:val="-8"/>
        </w:rPr>
        <w:t> </w:t>
      </w:r>
      <w:r>
        <w:rPr>
          <w:spacing w:val="-4"/>
        </w:rPr>
        <w:t>A.</w:t>
      </w:r>
      <w:r>
        <w:rPr>
          <w:spacing w:val="-6"/>
        </w:rPr>
        <w:t> </w:t>
      </w:r>
      <w:r>
        <w:rPr>
          <w:spacing w:val="-4"/>
        </w:rPr>
        <w:t>C. Bradley’s</w:t>
      </w:r>
      <w:r>
        <w:rPr>
          <w:spacing w:val="-6"/>
        </w:rPr>
        <w:t> </w:t>
      </w:r>
      <w:r>
        <w:rPr>
          <w:spacing w:val="-4"/>
        </w:rPr>
        <w:t>ambivalent</w:t>
      </w:r>
      <w:r>
        <w:rPr>
          <w:spacing w:val="-9"/>
        </w:rPr>
        <w:t> </w:t>
      </w:r>
      <w:r>
        <w:rPr>
          <w:spacing w:val="-4"/>
        </w:rPr>
        <w:t>fascination with</w:t>
      </w:r>
      <w:r>
        <w:rPr>
          <w:spacing w:val="-6"/>
        </w:rPr>
        <w:t> </w:t>
      </w:r>
      <w:r>
        <w:rPr>
          <w:spacing w:val="-4"/>
        </w:rPr>
        <w:t>Cleopatra, </w:t>
      </w:r>
      <w:r>
        <w:rPr/>
        <w:t>the history of Shakespeare scholarship is, in no small part, a history of critics grappling with women who exceed the permissible limits of femininity.</w:t>
      </w:r>
      <w:r>
        <w:rPr>
          <w:spacing w:val="-8"/>
        </w:rPr>
        <w:t> </w:t>
      </w:r>
      <w:r>
        <w:rPr/>
        <w:t>The</w:t>
      </w:r>
      <w:r>
        <w:rPr>
          <w:spacing w:val="-7"/>
        </w:rPr>
        <w:t> </w:t>
      </w:r>
      <w:r>
        <w:rPr/>
        <w:t>label</w:t>
      </w:r>
      <w:r>
        <w:rPr>
          <w:spacing w:val="-10"/>
        </w:rPr>
        <w:t> </w:t>
      </w:r>
      <w:r>
        <w:rPr/>
        <w:t>“bad</w:t>
      </w:r>
      <w:r>
        <w:rPr>
          <w:spacing w:val="-6"/>
        </w:rPr>
        <w:t> </w:t>
      </w:r>
      <w:r>
        <w:rPr/>
        <w:t>woman”—never</w:t>
      </w:r>
      <w:r>
        <w:rPr>
          <w:spacing w:val="-6"/>
        </w:rPr>
        <w:t> </w:t>
      </w:r>
      <w:r>
        <w:rPr/>
        <w:t>quite</w:t>
      </w:r>
      <w:r>
        <w:rPr>
          <w:spacing w:val="-7"/>
        </w:rPr>
        <w:t> </w:t>
      </w:r>
      <w:r>
        <w:rPr/>
        <w:t>stated</w:t>
      </w:r>
      <w:r>
        <w:rPr>
          <w:spacing w:val="-6"/>
        </w:rPr>
        <w:t> </w:t>
      </w:r>
      <w:r>
        <w:rPr/>
        <w:t>so</w:t>
      </w:r>
      <w:r>
        <w:rPr>
          <w:spacing w:val="-8"/>
        </w:rPr>
        <w:t> </w:t>
      </w:r>
      <w:r>
        <w:rPr/>
        <w:t>bluntly</w:t>
      </w:r>
      <w:r>
        <w:rPr>
          <w:spacing w:val="-10"/>
        </w:rPr>
        <w:t> </w:t>
      </w:r>
      <w:r>
        <w:rPr/>
        <w:t>in</w:t>
      </w:r>
      <w:r>
        <w:rPr>
          <w:spacing w:val="-8"/>
        </w:rPr>
        <w:t> </w:t>
      </w:r>
      <w:r>
        <w:rPr/>
        <w:t>the plays</w:t>
      </w:r>
      <w:r>
        <w:rPr>
          <w:spacing w:val="-13"/>
        </w:rPr>
        <w:t> </w:t>
      </w:r>
      <w:r>
        <w:rPr/>
        <w:t>themselves—has</w:t>
      </w:r>
      <w:r>
        <w:rPr>
          <w:spacing w:val="-12"/>
        </w:rPr>
        <w:t> </w:t>
      </w:r>
      <w:r>
        <w:rPr/>
        <w:t>been</w:t>
      </w:r>
      <w:r>
        <w:rPr>
          <w:spacing w:val="-13"/>
        </w:rPr>
        <w:t> </w:t>
      </w:r>
      <w:r>
        <w:rPr/>
        <w:t>generated</w:t>
      </w:r>
      <w:r>
        <w:rPr>
          <w:spacing w:val="-12"/>
        </w:rPr>
        <w:t> </w:t>
      </w:r>
      <w:r>
        <w:rPr/>
        <w:t>almost</w:t>
      </w:r>
      <w:r>
        <w:rPr>
          <w:spacing w:val="-13"/>
        </w:rPr>
        <w:t> </w:t>
      </w:r>
      <w:r>
        <w:rPr/>
        <w:t>entirely</w:t>
      </w:r>
      <w:r>
        <w:rPr>
          <w:spacing w:val="-12"/>
        </w:rPr>
        <w:t> </w:t>
      </w:r>
      <w:r>
        <w:rPr/>
        <w:t>by</w:t>
      </w:r>
      <w:r>
        <w:rPr>
          <w:spacing w:val="-13"/>
        </w:rPr>
        <w:t> </w:t>
      </w:r>
      <w:r>
        <w:rPr/>
        <w:t>the</w:t>
      </w:r>
      <w:r>
        <w:rPr>
          <w:spacing w:val="-12"/>
        </w:rPr>
        <w:t> </w:t>
      </w:r>
      <w:r>
        <w:rPr/>
        <w:t>interpretive communities that receive them.</w:t>
      </w:r>
    </w:p>
    <w:p>
      <w:pPr>
        <w:pStyle w:val="BodyText"/>
        <w:spacing w:line="249" w:lineRule="auto" w:before="66"/>
        <w:ind w:right="1438" w:firstLine="432"/>
        <w:jc w:val="both"/>
      </w:pPr>
      <w:r>
        <w:rPr/>
        <w:t>This paper undertakes a deliberate act of critical revisitation. It asks: what happens when we read these women not through the evaluative gaze of a tradition that has been overwhelmingly male, but through</w:t>
      </w:r>
      <w:r>
        <w:rPr>
          <w:spacing w:val="-7"/>
        </w:rPr>
        <w:t> </w:t>
      </w:r>
      <w:r>
        <w:rPr/>
        <w:t>a</w:t>
      </w:r>
      <w:r>
        <w:rPr>
          <w:spacing w:val="-6"/>
        </w:rPr>
        <w:t> </w:t>
      </w:r>
      <w:r>
        <w:rPr/>
        <w:t>feminist</w:t>
      </w:r>
      <w:r>
        <w:rPr>
          <w:spacing w:val="-5"/>
        </w:rPr>
        <w:t> </w:t>
      </w:r>
      <w:r>
        <w:rPr/>
        <w:t>optic</w:t>
      </w:r>
      <w:r>
        <w:rPr>
          <w:spacing w:val="-5"/>
        </w:rPr>
        <w:t> </w:t>
      </w:r>
      <w:r>
        <w:rPr/>
        <w:t>that</w:t>
      </w:r>
      <w:r>
        <w:rPr>
          <w:spacing w:val="-8"/>
        </w:rPr>
        <w:t> </w:t>
      </w:r>
      <w:r>
        <w:rPr/>
        <w:t>takes</w:t>
      </w:r>
      <w:r>
        <w:rPr>
          <w:spacing w:val="-7"/>
        </w:rPr>
        <w:t> </w:t>
      </w:r>
      <w:r>
        <w:rPr/>
        <w:t>women’s</w:t>
      </w:r>
      <w:r>
        <w:rPr>
          <w:spacing w:val="-7"/>
        </w:rPr>
        <w:t> </w:t>
      </w:r>
      <w:r>
        <w:rPr/>
        <w:t>experience</w:t>
      </w:r>
      <w:r>
        <w:rPr>
          <w:spacing w:val="-5"/>
        </w:rPr>
        <w:t> </w:t>
      </w:r>
      <w:r>
        <w:rPr/>
        <w:t>seriously?</w:t>
      </w:r>
      <w:r>
        <w:rPr>
          <w:spacing w:val="-4"/>
        </w:rPr>
        <w:t> </w:t>
      </w:r>
      <w:r>
        <w:rPr/>
        <w:t>What </w:t>
      </w:r>
      <w:r>
        <w:rPr>
          <w:spacing w:val="-2"/>
        </w:rPr>
        <w:t>becomes</w:t>
      </w:r>
      <w:r>
        <w:rPr>
          <w:spacing w:val="-7"/>
        </w:rPr>
        <w:t> </w:t>
      </w:r>
      <w:r>
        <w:rPr>
          <w:spacing w:val="-2"/>
        </w:rPr>
        <w:t>visible</w:t>
      </w:r>
      <w:r>
        <w:rPr>
          <w:spacing w:val="-5"/>
        </w:rPr>
        <w:t> </w:t>
      </w:r>
      <w:r>
        <w:rPr>
          <w:spacing w:val="-2"/>
        </w:rPr>
        <w:t>when</w:t>
      </w:r>
      <w:r>
        <w:rPr>
          <w:spacing w:val="-7"/>
        </w:rPr>
        <w:t> </w:t>
      </w:r>
      <w:r>
        <w:rPr>
          <w:spacing w:val="-2"/>
        </w:rPr>
        <w:t>we</w:t>
      </w:r>
      <w:r>
        <w:rPr>
          <w:spacing w:val="-7"/>
        </w:rPr>
        <w:t> </w:t>
      </w:r>
      <w:r>
        <w:rPr>
          <w:spacing w:val="-2"/>
        </w:rPr>
        <w:t>refuse</w:t>
      </w:r>
      <w:r>
        <w:rPr>
          <w:spacing w:val="-3"/>
        </w:rPr>
        <w:t> </w:t>
      </w:r>
      <w:r>
        <w:rPr>
          <w:spacing w:val="-2"/>
        </w:rPr>
        <w:t>the</w:t>
      </w:r>
      <w:r>
        <w:rPr>
          <w:spacing w:val="-7"/>
        </w:rPr>
        <w:t> </w:t>
      </w:r>
      <w:r>
        <w:rPr>
          <w:spacing w:val="-2"/>
        </w:rPr>
        <w:t>assumption</w:t>
      </w:r>
      <w:r>
        <w:rPr>
          <w:spacing w:val="-7"/>
        </w:rPr>
        <w:t> </w:t>
      </w:r>
      <w:r>
        <w:rPr>
          <w:spacing w:val="-2"/>
        </w:rPr>
        <w:t>that</w:t>
      </w:r>
      <w:r>
        <w:rPr>
          <w:spacing w:val="-7"/>
        </w:rPr>
        <w:t> </w:t>
      </w:r>
      <w:r>
        <w:rPr>
          <w:spacing w:val="-2"/>
        </w:rPr>
        <w:t>female</w:t>
      </w:r>
      <w:r>
        <w:rPr>
          <w:spacing w:val="-3"/>
        </w:rPr>
        <w:t> </w:t>
      </w:r>
      <w:r>
        <w:rPr>
          <w:spacing w:val="-2"/>
        </w:rPr>
        <w:t>transgression </w:t>
      </w:r>
      <w:r>
        <w:rPr/>
        <w:t>is self-evidently corrupt, and instead ask why transgression was so threatening</w:t>
      </w:r>
      <w:r>
        <w:rPr>
          <w:spacing w:val="40"/>
        </w:rPr>
        <w:t> </w:t>
      </w:r>
      <w:r>
        <w:rPr/>
        <w:t>and</w:t>
      </w:r>
      <w:r>
        <w:rPr>
          <w:spacing w:val="40"/>
        </w:rPr>
        <w:t> </w:t>
      </w:r>
      <w:r>
        <w:rPr/>
        <w:t>what</w:t>
      </w:r>
      <w:r>
        <w:rPr>
          <w:spacing w:val="40"/>
        </w:rPr>
        <w:t> </w:t>
      </w:r>
      <w:r>
        <w:rPr/>
        <w:t>it</w:t>
      </w:r>
      <w:r>
        <w:rPr>
          <w:spacing w:val="40"/>
        </w:rPr>
        <w:t> </w:t>
      </w:r>
      <w:r>
        <w:rPr/>
        <w:t>transgressed</w:t>
      </w:r>
      <w:r>
        <w:rPr>
          <w:spacing w:val="40"/>
        </w:rPr>
        <w:t> </w:t>
      </w:r>
      <w:r>
        <w:rPr/>
        <w:t>against?</w:t>
      </w:r>
    </w:p>
    <w:p>
      <w:pPr>
        <w:pStyle w:val="BodyText"/>
        <w:spacing w:line="249" w:lineRule="auto" w:before="66"/>
        <w:ind w:right="1438" w:firstLine="432"/>
        <w:jc w:val="both"/>
      </w:pPr>
      <w:r>
        <w:rPr/>
        <w:t>The question is more than academic. In a culture still deeply ambivalent about women’s power—still prone to describing assertive women</w:t>
      </w:r>
      <w:r>
        <w:rPr>
          <w:spacing w:val="-1"/>
        </w:rPr>
        <w:t> </w:t>
      </w:r>
      <w:r>
        <w:rPr/>
        <w:t>as</w:t>
      </w:r>
      <w:r>
        <w:rPr>
          <w:spacing w:val="-1"/>
        </w:rPr>
        <w:t> </w:t>
      </w:r>
      <w:r>
        <w:rPr/>
        <w:t>“aggressive,” ambitious</w:t>
      </w:r>
      <w:r>
        <w:rPr>
          <w:spacing w:val="-1"/>
        </w:rPr>
        <w:t> </w:t>
      </w:r>
      <w:r>
        <w:rPr/>
        <w:t>women</w:t>
      </w:r>
      <w:r>
        <w:rPr>
          <w:spacing w:val="-1"/>
        </w:rPr>
        <w:t> </w:t>
      </w:r>
      <w:r>
        <w:rPr/>
        <w:t>as</w:t>
      </w:r>
      <w:r>
        <w:rPr>
          <w:spacing w:val="-1"/>
        </w:rPr>
        <w:t> </w:t>
      </w:r>
      <w:r>
        <w:rPr/>
        <w:t>“scheming,” and sexually confident women as “dangerous”—the archetypes Shakespeare is said to have bequeathed us retain a living ideological force. Lady Macbeth </w:t>
      </w:r>
      <w:r>
        <w:rPr>
          <w:spacing w:val="-2"/>
        </w:rPr>
        <w:t>haunts</w:t>
      </w:r>
      <w:r>
        <w:rPr>
          <w:spacing w:val="-3"/>
        </w:rPr>
        <w:t> </w:t>
      </w:r>
      <w:r>
        <w:rPr>
          <w:spacing w:val="-2"/>
        </w:rPr>
        <w:t>political coverage of</w:t>
      </w:r>
      <w:r>
        <w:rPr>
          <w:spacing w:val="-3"/>
        </w:rPr>
        <w:t> </w:t>
      </w:r>
      <w:r>
        <w:rPr>
          <w:spacing w:val="-2"/>
        </w:rPr>
        <w:t>female leaders. Cleopatra’s “infinite variety” </w:t>
      </w:r>
      <w:r>
        <w:rPr/>
        <w:t>is invoked to explain and excuse male obsession. Goneril and Regan stand as cautionary tales about daughters who abandon filial piety. Revisiting them is, therefore, not merely a literary-historical task but a cultural intervention.</w:t>
      </w:r>
    </w:p>
    <w:p>
      <w:pPr>
        <w:pStyle w:val="BodyText"/>
        <w:spacing w:line="249" w:lineRule="auto" w:before="66"/>
        <w:ind w:right="1438" w:firstLine="432"/>
        <w:jc w:val="both"/>
      </w:pPr>
      <w:r>
        <w:rPr/>
        <w:t>The paper proceeds in several stages. First, it situates the “bad woman” trope within the historical and ideological context of early modern England, where anxieties about female governance, sexuality, and speech were acutely present. Second, it surveys the dominant critical traditions that have shaped our reading of Shakespeare’s transgressive women. Third, it performs close feminist readings of a selection</w:t>
      </w:r>
      <w:r>
        <w:rPr>
          <w:spacing w:val="25"/>
        </w:rPr>
        <w:t> </w:t>
      </w:r>
      <w:r>
        <w:rPr/>
        <w:t>of</w:t>
      </w:r>
      <w:r>
        <w:rPr>
          <w:spacing w:val="23"/>
        </w:rPr>
        <w:t> </w:t>
      </w:r>
      <w:r>
        <w:rPr/>
        <w:t>key</w:t>
      </w:r>
      <w:r>
        <w:rPr>
          <w:spacing w:val="22"/>
        </w:rPr>
        <w:t> </w:t>
      </w:r>
      <w:r>
        <w:rPr/>
        <w:t>figures:</w:t>
      </w:r>
      <w:r>
        <w:rPr>
          <w:spacing w:val="25"/>
        </w:rPr>
        <w:t> </w:t>
      </w:r>
      <w:r>
        <w:rPr/>
        <w:t>Lady</w:t>
      </w:r>
      <w:r>
        <w:rPr>
          <w:spacing w:val="24"/>
        </w:rPr>
        <w:t> </w:t>
      </w:r>
      <w:r>
        <w:rPr/>
        <w:t>Macbeth,</w:t>
      </w:r>
      <w:r>
        <w:rPr>
          <w:spacing w:val="27"/>
        </w:rPr>
        <w:t> </w:t>
      </w:r>
      <w:r>
        <w:rPr/>
        <w:t>Goneril</w:t>
      </w:r>
      <w:r>
        <w:rPr>
          <w:spacing w:val="25"/>
        </w:rPr>
        <w:t> </w:t>
      </w:r>
      <w:r>
        <w:rPr/>
        <w:t>and</w:t>
      </w:r>
      <w:r>
        <w:rPr>
          <w:spacing w:val="27"/>
        </w:rPr>
        <w:t> </w:t>
      </w:r>
      <w:r>
        <w:rPr/>
        <w:t>Regan,</w:t>
      </w:r>
      <w:r>
        <w:rPr>
          <w:spacing w:val="24"/>
        </w:rPr>
        <w:t> </w:t>
      </w:r>
      <w:r>
        <w:rPr>
          <w:spacing w:val="-2"/>
        </w:rPr>
        <w:t>Tamora,</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45024">
                <wp:simplePos x="0" y="0"/>
                <wp:positionH relativeFrom="page">
                  <wp:posOffset>2057400</wp:posOffset>
                </wp:positionH>
                <wp:positionV relativeFrom="paragraph">
                  <wp:posOffset>162604</wp:posOffset>
                </wp:positionV>
                <wp:extent cx="3657600" cy="12700"/>
                <wp:effectExtent l="0" t="0" r="0" b="0"/>
                <wp:wrapTopAndBottom/>
                <wp:docPr id="460" name="Graphic 460"/>
                <wp:cNvGraphicFramePr>
                  <a:graphicFrameLocks/>
                </wp:cNvGraphicFramePr>
                <a:graphic>
                  <a:graphicData uri="http://schemas.microsoft.com/office/word/2010/wordprocessingShape">
                    <wps:wsp>
                      <wps:cNvPr id="460" name="Graphic 46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71456;mso-wrap-distance-left:0;mso-wrap-distance-right:0" id="docshape455" filled="true" fillcolor="#000000" stroked="false">
                <v:fill type="solid"/>
                <w10:wrap type="topAndBottom"/>
              </v:rect>
            </w:pict>
          </mc:Fallback>
        </mc:AlternateContent>
      </w:r>
      <w:r>
        <w:rPr>
          <w:rFonts w:ascii="Verdana"/>
          <w:spacing w:val="-5"/>
          <w:sz w:val="18"/>
        </w:rPr>
        <w:t>198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Cleopatra, and Volumnia. Finally, it argues</w:t>
      </w:r>
      <w:r>
        <w:rPr>
          <w:spacing w:val="-1"/>
        </w:rPr>
        <w:t> </w:t>
      </w:r>
      <w:r>
        <w:rPr/>
        <w:t>for a feminist</w:t>
      </w:r>
      <w:r>
        <w:rPr>
          <w:spacing w:val="-1"/>
        </w:rPr>
        <w:t> </w:t>
      </w:r>
      <w:r>
        <w:rPr/>
        <w:t>hermeneutics that neither idealizes these characters nor condemns them, but reads them as complex negotiations of power within systems designed to contain</w:t>
      </w:r>
      <w:r>
        <w:rPr>
          <w:spacing w:val="40"/>
        </w:rPr>
        <w:t> </w:t>
      </w:r>
      <w:r>
        <w:rPr/>
        <w:t>them.</w:t>
      </w:r>
    </w:p>
    <w:p>
      <w:pPr>
        <w:pStyle w:val="Heading3"/>
        <w:numPr>
          <w:ilvl w:val="0"/>
          <w:numId w:val="39"/>
        </w:numPr>
        <w:tabs>
          <w:tab w:pos="1720" w:val="left" w:leader="none"/>
        </w:tabs>
        <w:spacing w:line="240" w:lineRule="auto" w:before="157" w:after="0"/>
        <w:ind w:left="1440" w:right="1444" w:firstLine="0"/>
        <w:jc w:val="left"/>
      </w:pPr>
      <w:r>
        <w:rPr>
          <w:w w:val="90"/>
        </w:rPr>
        <w:t>HISTORICAL CONTEXT: GENDER, POWER, AND </w:t>
      </w:r>
      <w:r>
        <w:rPr>
          <w:w w:val="90"/>
        </w:rPr>
        <w:t>THE </w:t>
      </w:r>
      <w:r>
        <w:rPr/>
        <w:t>EARLY MODERN BODY</w:t>
      </w:r>
    </w:p>
    <w:p>
      <w:pPr>
        <w:pStyle w:val="BodyText"/>
        <w:spacing w:line="249" w:lineRule="auto" w:before="74"/>
        <w:ind w:right="1437" w:firstLine="432"/>
        <w:jc w:val="both"/>
      </w:pPr>
      <w:r>
        <w:rPr>
          <w:spacing w:val="-2"/>
        </w:rPr>
        <w:t>Any</w:t>
      </w:r>
      <w:r>
        <w:rPr>
          <w:spacing w:val="-9"/>
        </w:rPr>
        <w:t> </w:t>
      </w:r>
      <w:r>
        <w:rPr>
          <w:spacing w:val="-2"/>
        </w:rPr>
        <w:t>feminist</w:t>
      </w:r>
      <w:r>
        <w:rPr>
          <w:spacing w:val="-7"/>
        </w:rPr>
        <w:t> </w:t>
      </w:r>
      <w:r>
        <w:rPr>
          <w:spacing w:val="-2"/>
        </w:rPr>
        <w:t>reading</w:t>
      </w:r>
      <w:r>
        <w:rPr>
          <w:spacing w:val="-4"/>
        </w:rPr>
        <w:t> </w:t>
      </w:r>
      <w:r>
        <w:rPr>
          <w:spacing w:val="-2"/>
        </w:rPr>
        <w:t>of</w:t>
      </w:r>
      <w:r>
        <w:rPr>
          <w:spacing w:val="-7"/>
        </w:rPr>
        <w:t> </w:t>
      </w:r>
      <w:r>
        <w:rPr>
          <w:spacing w:val="-2"/>
        </w:rPr>
        <w:t>Shakespeare</w:t>
      </w:r>
      <w:r>
        <w:rPr>
          <w:spacing w:val="-3"/>
        </w:rPr>
        <w:t> </w:t>
      </w:r>
      <w:r>
        <w:rPr>
          <w:spacing w:val="-2"/>
        </w:rPr>
        <w:t>must be</w:t>
      </w:r>
      <w:r>
        <w:rPr>
          <w:spacing w:val="-7"/>
        </w:rPr>
        <w:t> </w:t>
      </w:r>
      <w:r>
        <w:rPr>
          <w:spacing w:val="-2"/>
        </w:rPr>
        <w:t>historically</w:t>
      </w:r>
      <w:r>
        <w:rPr>
          <w:spacing w:val="-7"/>
        </w:rPr>
        <w:t> </w:t>
      </w:r>
      <w:r>
        <w:rPr>
          <w:spacing w:val="-2"/>
        </w:rPr>
        <w:t>grounded. </w:t>
      </w:r>
      <w:r>
        <w:rPr/>
        <w:t>The plays were written in a culture with sharply delineated, vigorously policed gender boundaries, and the women who crossed those </w:t>
      </w:r>
      <w:r>
        <w:rPr>
          <w:spacing w:val="12"/>
        </w:rPr>
        <w:t>boundaries—</w:t>
      </w:r>
      <w:r>
        <w:rPr>
          <w:spacing w:val="9"/>
        </w:rPr>
        <w:t>whether</w:t>
      </w:r>
      <w:r>
        <w:rPr>
          <w:spacing w:val="9"/>
        </w:rPr>
        <w:t> </w:t>
      </w:r>
      <w:r>
        <w:rPr/>
        <w:t>in </w:t>
      </w:r>
      <w:r>
        <w:rPr>
          <w:spacing w:val="10"/>
        </w:rPr>
        <w:t>fiction</w:t>
      </w:r>
      <w:r>
        <w:rPr>
          <w:spacing w:val="10"/>
        </w:rPr>
        <w:t> </w:t>
      </w:r>
      <w:r>
        <w:rPr/>
        <w:t>or in </w:t>
      </w:r>
      <w:r>
        <w:rPr>
          <w:spacing w:val="12"/>
        </w:rPr>
        <w:t>life—</w:t>
      </w:r>
      <w:r>
        <w:rPr>
          <w:spacing w:val="10"/>
        </w:rPr>
        <w:t>faced</w:t>
      </w:r>
      <w:r>
        <w:rPr>
          <w:spacing w:val="10"/>
        </w:rPr>
        <w:t> systematic </w:t>
      </w:r>
      <w:r>
        <w:rPr/>
        <w:t>delegitimization. Understanding what it meant to be a woman in Elizabethan and Jacobean England is indispensable to understanding why</w:t>
      </w:r>
      <w:r>
        <w:rPr>
          <w:spacing w:val="40"/>
        </w:rPr>
        <w:t> </w:t>
      </w:r>
      <w:r>
        <w:rPr/>
        <w:t>certain</w:t>
      </w:r>
      <w:r>
        <w:rPr>
          <w:spacing w:val="40"/>
        </w:rPr>
        <w:t> </w:t>
      </w:r>
      <w:r>
        <w:rPr/>
        <w:t>female</w:t>
      </w:r>
      <w:r>
        <w:rPr>
          <w:spacing w:val="40"/>
        </w:rPr>
        <w:t> </w:t>
      </w:r>
      <w:r>
        <w:rPr/>
        <w:t>behaviors</w:t>
      </w:r>
      <w:r>
        <w:rPr>
          <w:spacing w:val="40"/>
        </w:rPr>
        <w:t> </w:t>
      </w:r>
      <w:r>
        <w:rPr/>
        <w:t>were</w:t>
      </w:r>
      <w:r>
        <w:rPr>
          <w:spacing w:val="40"/>
        </w:rPr>
        <w:t> </w:t>
      </w:r>
      <w:r>
        <w:rPr/>
        <w:t>coded</w:t>
      </w:r>
      <w:r>
        <w:rPr>
          <w:spacing w:val="40"/>
        </w:rPr>
        <w:t> </w:t>
      </w:r>
      <w:r>
        <w:rPr/>
        <w:t>as</w:t>
      </w:r>
      <w:r>
        <w:rPr>
          <w:spacing w:val="40"/>
        </w:rPr>
        <w:t> </w:t>
      </w:r>
      <w:r>
        <w:rPr/>
        <w:t>monstrous.</w:t>
      </w:r>
    </w:p>
    <w:p>
      <w:pPr>
        <w:pStyle w:val="BodyText"/>
        <w:spacing w:line="249" w:lineRule="auto" w:before="63"/>
        <w:ind w:right="1436" w:firstLine="432"/>
        <w:jc w:val="both"/>
      </w:pPr>
      <w:r>
        <w:rPr/>
        <w:t>Sixteenth- and seventeenth-century England was a patriarchal society in both its formal structures and its quotidian lived realities. Women were legally subsumed under the doctrine of coverture, which rendered them</w:t>
      </w:r>
      <w:r>
        <w:rPr>
          <w:spacing w:val="-4"/>
        </w:rPr>
        <w:t> </w:t>
      </w:r>
      <w:r>
        <w:rPr/>
        <w:t>juridically</w:t>
      </w:r>
      <w:r>
        <w:rPr>
          <w:spacing w:val="-1"/>
        </w:rPr>
        <w:t> </w:t>
      </w:r>
      <w:r>
        <w:rPr/>
        <w:t>invisible upon</w:t>
      </w:r>
      <w:r>
        <w:rPr>
          <w:spacing w:val="-1"/>
        </w:rPr>
        <w:t> </w:t>
      </w:r>
      <w:r>
        <w:rPr/>
        <w:t>marriage.</w:t>
      </w:r>
      <w:r>
        <w:rPr>
          <w:spacing w:val="-1"/>
        </w:rPr>
        <w:t> </w:t>
      </w:r>
      <w:r>
        <w:rPr/>
        <w:t>They</w:t>
      </w:r>
      <w:r>
        <w:rPr>
          <w:spacing w:val="-3"/>
        </w:rPr>
        <w:t> </w:t>
      </w:r>
      <w:r>
        <w:rPr/>
        <w:t>could not vote, hold public office, own property independently, or, for the most part, appear in public theatrical performance. The widely-read conduct literature of</w:t>
      </w:r>
      <w:r>
        <w:rPr>
          <w:spacing w:val="-1"/>
        </w:rPr>
        <w:t> </w:t>
      </w:r>
      <w:r>
        <w:rPr/>
        <w:t>the period—texts like Juan Luis Vives’s The Instruction of a Christian Woman (1523), Thomas Becon’s The Book of Matrimony, and William Gouge’s Of Domesticall Duties (1622)—consistently prescribed silence, chastity, and obedience as the cardinal virtues of femininity. The woman who spoke too much, desired too openly, or sought power too visibly was not simply socially deviant; she was morally corrupt, theologically suspect, and potentially dangerous to the entire social order.</w:t>
      </w:r>
    </w:p>
    <w:p>
      <w:pPr>
        <w:pStyle w:val="BodyText"/>
        <w:spacing w:line="249" w:lineRule="auto" w:before="71"/>
        <w:ind w:right="1438" w:firstLine="432"/>
        <w:jc w:val="both"/>
      </w:pPr>
      <w:r>
        <w:rPr/>
        <w:t>Yet this was also a period of conspicuous female power—most notably, the reign of Elizabeth I (1558–1603), whose longevity and effectiveness as a monarch generated profound cultural unease about the relationship between femininity and authority. Elizabeth navigated this unease through a complex rhetoric of sexual renunciation and symbolic masculinity, famously declaring at Tilbury that she had “the heart and stomach of a king.” Her reign did not dissolve patriarchal ideology; it produced, in many ways, a more anxious and elaborate reassertion of it (Levin 23). The figure of the “unruly woman”—a term historicized</w:t>
      </w:r>
      <w:r>
        <w:rPr>
          <w:spacing w:val="-10"/>
        </w:rPr>
        <w:t> </w:t>
      </w:r>
      <w:r>
        <w:rPr/>
        <w:t>by</w:t>
      </w:r>
      <w:r>
        <w:rPr>
          <w:spacing w:val="-13"/>
        </w:rPr>
        <w:t> </w:t>
      </w:r>
      <w:r>
        <w:rPr/>
        <w:t>Natalie</w:t>
      </w:r>
      <w:r>
        <w:rPr>
          <w:spacing w:val="-11"/>
        </w:rPr>
        <w:t> </w:t>
      </w:r>
      <w:r>
        <w:rPr/>
        <w:t>Zemon</w:t>
      </w:r>
      <w:r>
        <w:rPr>
          <w:spacing w:val="-13"/>
        </w:rPr>
        <w:t> </w:t>
      </w:r>
      <w:r>
        <w:rPr/>
        <w:t>Davis</w:t>
      </w:r>
      <w:r>
        <w:rPr>
          <w:spacing w:val="-9"/>
        </w:rPr>
        <w:t> </w:t>
      </w:r>
      <w:r>
        <w:rPr/>
        <w:t>in</w:t>
      </w:r>
      <w:r>
        <w:rPr>
          <w:spacing w:val="-13"/>
        </w:rPr>
        <w:t> </w:t>
      </w:r>
      <w:r>
        <w:rPr/>
        <w:t>her</w:t>
      </w:r>
      <w:r>
        <w:rPr>
          <w:spacing w:val="-11"/>
        </w:rPr>
        <w:t> </w:t>
      </w:r>
      <w:r>
        <w:rPr/>
        <w:t>foundational</w:t>
      </w:r>
      <w:r>
        <w:rPr>
          <w:spacing w:val="-10"/>
        </w:rPr>
        <w:t> </w:t>
      </w:r>
      <w:r>
        <w:rPr/>
        <w:t>essay—became a site of cultural preoccupation</w:t>
      </w:r>
      <w:r>
        <w:rPr>
          <w:spacing w:val="-2"/>
        </w:rPr>
        <w:t> </w:t>
      </w:r>
      <w:r>
        <w:rPr/>
        <w:t>precisely</w:t>
      </w:r>
      <w:r>
        <w:rPr>
          <w:spacing w:val="-2"/>
        </w:rPr>
        <w:t> </w:t>
      </w:r>
      <w:r>
        <w:rPr/>
        <w:t>because women’s capacity</w:t>
      </w:r>
      <w:r>
        <w:rPr>
          <w:spacing w:val="-2"/>
        </w:rPr>
        <w:t> </w:t>
      </w:r>
      <w:r>
        <w:rPr/>
        <w:t>for rule</w:t>
      </w:r>
      <w:r>
        <w:rPr>
          <w:spacing w:val="40"/>
        </w:rPr>
        <w:t> </w:t>
      </w:r>
      <w:r>
        <w:rPr/>
        <w:t>had</w:t>
      </w:r>
      <w:r>
        <w:rPr>
          <w:spacing w:val="40"/>
        </w:rPr>
        <w:t> </w:t>
      </w:r>
      <w:r>
        <w:rPr/>
        <w:t>been</w:t>
      </w:r>
      <w:r>
        <w:rPr>
          <w:spacing w:val="40"/>
        </w:rPr>
        <w:t> </w:t>
      </w:r>
      <w:r>
        <w:rPr/>
        <w:t>demonstrated</w:t>
      </w:r>
      <w:r>
        <w:rPr>
          <w:spacing w:val="40"/>
        </w:rPr>
        <w:t> </w:t>
      </w:r>
      <w:r>
        <w:rPr/>
        <w:t>and</w:t>
      </w:r>
      <w:r>
        <w:rPr>
          <w:spacing w:val="40"/>
        </w:rPr>
        <w:t> </w:t>
      </w:r>
      <w:r>
        <w:rPr/>
        <w:t>could</w:t>
      </w:r>
      <w:r>
        <w:rPr>
          <w:spacing w:val="40"/>
        </w:rPr>
        <w:t> </w:t>
      </w:r>
      <w:r>
        <w:rPr/>
        <w:t>not</w:t>
      </w:r>
      <w:r>
        <w:rPr>
          <w:spacing w:val="40"/>
        </w:rPr>
        <w:t> </w:t>
      </w:r>
      <w:r>
        <w:rPr/>
        <w:t>be</w:t>
      </w:r>
      <w:r>
        <w:rPr>
          <w:spacing w:val="40"/>
        </w:rPr>
        <w:t> </w:t>
      </w:r>
      <w:r>
        <w:rPr/>
        <w:t>entirely</w:t>
      </w:r>
      <w:r>
        <w:rPr>
          <w:spacing w:val="40"/>
        </w:rPr>
        <w:t> </w:t>
      </w:r>
      <w:r>
        <w:rPr/>
        <w:t>disavowed.</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45536">
                <wp:simplePos x="0" y="0"/>
                <wp:positionH relativeFrom="page">
                  <wp:posOffset>2065020</wp:posOffset>
                </wp:positionH>
                <wp:positionV relativeFrom="paragraph">
                  <wp:posOffset>795020</wp:posOffset>
                </wp:positionV>
                <wp:extent cx="3657600" cy="12700"/>
                <wp:effectExtent l="0" t="0" r="0" b="0"/>
                <wp:wrapTopAndBottom/>
                <wp:docPr id="461" name="Graphic 461"/>
                <wp:cNvGraphicFramePr>
                  <a:graphicFrameLocks/>
                </wp:cNvGraphicFramePr>
                <a:graphic>
                  <a:graphicData uri="http://schemas.microsoft.com/office/word/2010/wordprocessingShape">
                    <wps:wsp>
                      <wps:cNvPr id="461" name="Graphic 46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70944;mso-wrap-distance-left:0;mso-wrap-distance-right:0" id="docshape456" filled="true" fillcolor="#000000" stroked="false">
                <v:fill type="solid"/>
                <w10:wrap type="topAndBottom"/>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199</w:t>
      </w:r>
    </w:p>
    <w:p>
      <w:pPr>
        <w:pStyle w:val="BodyText"/>
        <w:spacing w:line="249" w:lineRule="auto" w:before="192"/>
        <w:ind w:right="1439" w:firstLine="432"/>
        <w:jc w:val="both"/>
      </w:pPr>
      <w:r>
        <w:rPr/>
        <w:t>Shakespeare’s theater is saturated with this anxiety. The plays were performed in a context where women’s bodies on stage were literally replaced by boys—a substitution that, as critics from Lisa Jardine to Stephen Orgel have argued, itself registers profound cultural ambivalence about femininity and its representation. The cross-dressed heroines of the comedies have attracted extensive critical attention for the way they play with gender instability; but the “bad women” of the tragedies</w:t>
      </w:r>
      <w:r>
        <w:rPr>
          <w:spacing w:val="-4"/>
        </w:rPr>
        <w:t> </w:t>
      </w:r>
      <w:r>
        <w:rPr/>
        <w:t>and</w:t>
      </w:r>
      <w:r>
        <w:rPr>
          <w:spacing w:val="-1"/>
        </w:rPr>
        <w:t> </w:t>
      </w:r>
      <w:r>
        <w:rPr/>
        <w:t>histories</w:t>
      </w:r>
      <w:r>
        <w:rPr>
          <w:spacing w:val="-4"/>
        </w:rPr>
        <w:t> </w:t>
      </w:r>
      <w:r>
        <w:rPr/>
        <w:t>perform</w:t>
      </w:r>
      <w:r>
        <w:rPr>
          <w:spacing w:val="-5"/>
        </w:rPr>
        <w:t> </w:t>
      </w:r>
      <w:r>
        <w:rPr/>
        <w:t>a</w:t>
      </w:r>
      <w:r>
        <w:rPr>
          <w:spacing w:val="-6"/>
        </w:rPr>
        <w:t> </w:t>
      </w:r>
      <w:r>
        <w:rPr/>
        <w:t>different</w:t>
      </w:r>
      <w:r>
        <w:rPr>
          <w:spacing w:val="-2"/>
        </w:rPr>
        <w:t> </w:t>
      </w:r>
      <w:r>
        <w:rPr/>
        <w:t>and</w:t>
      </w:r>
      <w:r>
        <w:rPr>
          <w:spacing w:val="-1"/>
        </w:rPr>
        <w:t> </w:t>
      </w:r>
      <w:r>
        <w:rPr/>
        <w:t>arguably</w:t>
      </w:r>
      <w:r>
        <w:rPr>
          <w:spacing w:val="-6"/>
        </w:rPr>
        <w:t> </w:t>
      </w:r>
      <w:r>
        <w:rPr/>
        <w:t>more</w:t>
      </w:r>
      <w:r>
        <w:rPr>
          <w:spacing w:val="-3"/>
        </w:rPr>
        <w:t> </w:t>
      </w:r>
      <w:r>
        <w:rPr/>
        <w:t>unsettling </w:t>
      </w:r>
      <w:r>
        <w:rPr>
          <w:spacing w:val="-2"/>
        </w:rPr>
        <w:t>function.</w:t>
      </w:r>
      <w:r>
        <w:rPr>
          <w:spacing w:val="-6"/>
        </w:rPr>
        <w:t> </w:t>
      </w:r>
      <w:r>
        <w:rPr>
          <w:spacing w:val="-2"/>
        </w:rPr>
        <w:t>They</w:t>
      </w:r>
      <w:r>
        <w:rPr>
          <w:spacing w:val="-9"/>
        </w:rPr>
        <w:t> </w:t>
      </w:r>
      <w:r>
        <w:rPr>
          <w:spacing w:val="-2"/>
        </w:rPr>
        <w:t>expose</w:t>
      </w:r>
      <w:r>
        <w:rPr>
          <w:spacing w:val="-6"/>
        </w:rPr>
        <w:t> </w:t>
      </w:r>
      <w:r>
        <w:rPr>
          <w:spacing w:val="-2"/>
        </w:rPr>
        <w:t>the</w:t>
      </w:r>
      <w:r>
        <w:rPr>
          <w:spacing w:val="-6"/>
        </w:rPr>
        <w:t> </w:t>
      </w:r>
      <w:r>
        <w:rPr>
          <w:spacing w:val="-2"/>
        </w:rPr>
        <w:t>violence</w:t>
      </w:r>
      <w:r>
        <w:rPr>
          <w:spacing w:val="-4"/>
        </w:rPr>
        <w:t> </w:t>
      </w:r>
      <w:r>
        <w:rPr>
          <w:spacing w:val="-2"/>
        </w:rPr>
        <w:t>that</w:t>
      </w:r>
      <w:r>
        <w:rPr>
          <w:spacing w:val="-6"/>
        </w:rPr>
        <w:t> </w:t>
      </w:r>
      <w:r>
        <w:rPr>
          <w:spacing w:val="-2"/>
        </w:rPr>
        <w:t>patriarchal</w:t>
      </w:r>
      <w:r>
        <w:rPr>
          <w:spacing w:val="-10"/>
        </w:rPr>
        <w:t> </w:t>
      </w:r>
      <w:r>
        <w:rPr>
          <w:spacing w:val="-2"/>
        </w:rPr>
        <w:t>ideology</w:t>
      </w:r>
      <w:r>
        <w:rPr>
          <w:spacing w:val="-9"/>
        </w:rPr>
        <w:t> </w:t>
      </w:r>
      <w:r>
        <w:rPr>
          <w:spacing w:val="-2"/>
        </w:rPr>
        <w:t>both</w:t>
      </w:r>
      <w:r>
        <w:rPr>
          <w:spacing w:val="-6"/>
        </w:rPr>
        <w:t> </w:t>
      </w:r>
      <w:r>
        <w:rPr>
          <w:spacing w:val="-2"/>
        </w:rPr>
        <w:t>requires </w:t>
      </w:r>
      <w:r>
        <w:rPr/>
        <w:t>and</w:t>
      </w:r>
      <w:r>
        <w:rPr>
          <w:spacing w:val="40"/>
        </w:rPr>
        <w:t> </w:t>
      </w:r>
      <w:r>
        <w:rPr/>
        <w:t>seeks</w:t>
      </w:r>
      <w:r>
        <w:rPr>
          <w:spacing w:val="40"/>
        </w:rPr>
        <w:t> </w:t>
      </w:r>
      <w:r>
        <w:rPr/>
        <w:t>to</w:t>
      </w:r>
      <w:r>
        <w:rPr>
          <w:spacing w:val="40"/>
        </w:rPr>
        <w:t> </w:t>
      </w:r>
      <w:r>
        <w:rPr/>
        <w:t>conceal.</w:t>
      </w:r>
    </w:p>
    <w:p>
      <w:pPr>
        <w:pStyle w:val="BodyText"/>
        <w:spacing w:line="249" w:lineRule="auto" w:before="66"/>
        <w:ind w:right="1438" w:firstLine="432"/>
        <w:jc w:val="both"/>
      </w:pPr>
      <w:r>
        <w:rPr/>
        <w:t>Feminist historians like Frances Dolan have shown that the early modern period was particularly</w:t>
      </w:r>
      <w:r>
        <w:rPr>
          <w:spacing w:val="-2"/>
        </w:rPr>
        <w:t> </w:t>
      </w:r>
      <w:r>
        <w:rPr/>
        <w:t>exercised by what she calls “dangerous familiars”—women within the household whose proximity made their potential for transgression intimate and therefore specially threatening. Petty</w:t>
      </w:r>
      <w:r>
        <w:rPr>
          <w:spacing w:val="-6"/>
        </w:rPr>
        <w:t> </w:t>
      </w:r>
      <w:r>
        <w:rPr/>
        <w:t>treason—the</w:t>
      </w:r>
      <w:r>
        <w:rPr>
          <w:spacing w:val="-4"/>
        </w:rPr>
        <w:t> </w:t>
      </w:r>
      <w:r>
        <w:rPr/>
        <w:t>killing</w:t>
      </w:r>
      <w:r>
        <w:rPr>
          <w:spacing w:val="-4"/>
        </w:rPr>
        <w:t> </w:t>
      </w:r>
      <w:r>
        <w:rPr/>
        <w:t>of</w:t>
      </w:r>
      <w:r>
        <w:rPr>
          <w:spacing w:val="-4"/>
        </w:rPr>
        <w:t> </w:t>
      </w:r>
      <w:r>
        <w:rPr/>
        <w:t>a</w:t>
      </w:r>
      <w:r>
        <w:rPr>
          <w:spacing w:val="-4"/>
        </w:rPr>
        <w:t> </w:t>
      </w:r>
      <w:r>
        <w:rPr/>
        <w:t>husband</w:t>
      </w:r>
      <w:r>
        <w:rPr>
          <w:spacing w:val="-4"/>
        </w:rPr>
        <w:t> </w:t>
      </w:r>
      <w:r>
        <w:rPr/>
        <w:t>or</w:t>
      </w:r>
      <w:r>
        <w:rPr>
          <w:spacing w:val="-3"/>
        </w:rPr>
        <w:t> </w:t>
      </w:r>
      <w:r>
        <w:rPr/>
        <w:t>master</w:t>
      </w:r>
      <w:r>
        <w:rPr>
          <w:spacing w:val="-1"/>
        </w:rPr>
        <w:t> </w:t>
      </w:r>
      <w:r>
        <w:rPr/>
        <w:t>by</w:t>
      </w:r>
      <w:r>
        <w:rPr>
          <w:spacing w:val="-6"/>
        </w:rPr>
        <w:t> </w:t>
      </w:r>
      <w:r>
        <w:rPr/>
        <w:t>a</w:t>
      </w:r>
      <w:r>
        <w:rPr>
          <w:spacing w:val="-4"/>
        </w:rPr>
        <w:t> </w:t>
      </w:r>
      <w:r>
        <w:rPr/>
        <w:t>wife</w:t>
      </w:r>
      <w:r>
        <w:rPr>
          <w:spacing w:val="-4"/>
        </w:rPr>
        <w:t> </w:t>
      </w:r>
      <w:r>
        <w:rPr/>
        <w:t>or</w:t>
      </w:r>
      <w:r>
        <w:rPr>
          <w:spacing w:val="-3"/>
        </w:rPr>
        <w:t> </w:t>
      </w:r>
      <w:r>
        <w:rPr/>
        <w:t>servant—was treated as more serious than ordinary murder, punished by</w:t>
      </w:r>
      <w:r>
        <w:rPr>
          <w:spacing w:val="-1"/>
        </w:rPr>
        <w:t> </w:t>
      </w:r>
      <w:r>
        <w:rPr/>
        <w:t>burning rather than hanging, because it violated the domestic hierarchy that mirrored the political one. Lady Macbeth, who moves from domestic space</w:t>
      </w:r>
      <w:r>
        <w:rPr>
          <w:spacing w:val="-8"/>
        </w:rPr>
        <w:t> </w:t>
      </w:r>
      <w:r>
        <w:rPr/>
        <w:t>to</w:t>
      </w:r>
      <w:r>
        <w:rPr>
          <w:spacing w:val="-6"/>
        </w:rPr>
        <w:t> </w:t>
      </w:r>
      <w:r>
        <w:rPr/>
        <w:t>the</w:t>
      </w:r>
      <w:r>
        <w:rPr>
          <w:spacing w:val="-8"/>
        </w:rPr>
        <w:t> </w:t>
      </w:r>
      <w:r>
        <w:rPr/>
        <w:t>center</w:t>
      </w:r>
      <w:r>
        <w:rPr>
          <w:spacing w:val="-6"/>
        </w:rPr>
        <w:t> </w:t>
      </w:r>
      <w:r>
        <w:rPr/>
        <w:t>of</w:t>
      </w:r>
      <w:r>
        <w:rPr>
          <w:spacing w:val="-8"/>
        </w:rPr>
        <w:t> </w:t>
      </w:r>
      <w:r>
        <w:rPr/>
        <w:t>political</w:t>
      </w:r>
      <w:r>
        <w:rPr>
          <w:spacing w:val="-11"/>
        </w:rPr>
        <w:t> </w:t>
      </w:r>
      <w:r>
        <w:rPr/>
        <w:t>violence,</w:t>
      </w:r>
      <w:r>
        <w:rPr>
          <w:spacing w:val="-8"/>
        </w:rPr>
        <w:t> </w:t>
      </w:r>
      <w:r>
        <w:rPr/>
        <w:t>draws</w:t>
      </w:r>
      <w:r>
        <w:rPr>
          <w:spacing w:val="-8"/>
        </w:rPr>
        <w:t> </w:t>
      </w:r>
      <w:r>
        <w:rPr/>
        <w:t>on</w:t>
      </w:r>
      <w:r>
        <w:rPr>
          <w:spacing w:val="-8"/>
        </w:rPr>
        <w:t> </w:t>
      </w:r>
      <w:r>
        <w:rPr/>
        <w:t>precisely</w:t>
      </w:r>
      <w:r>
        <w:rPr>
          <w:spacing w:val="-12"/>
        </w:rPr>
        <w:t> </w:t>
      </w:r>
      <w:r>
        <w:rPr/>
        <w:t>this</w:t>
      </w:r>
      <w:r>
        <w:rPr>
          <w:spacing w:val="-10"/>
        </w:rPr>
        <w:t> </w:t>
      </w:r>
      <w:r>
        <w:rPr/>
        <w:t>complex of anxieties (Dolan 32).</w:t>
      </w:r>
    </w:p>
    <w:p>
      <w:pPr>
        <w:pStyle w:val="BodyText"/>
        <w:spacing w:line="249" w:lineRule="auto" w:before="66"/>
        <w:ind w:right="1441" w:firstLine="432"/>
        <w:jc w:val="both"/>
      </w:pPr>
      <w:r>
        <w:rPr/>
        <w:t>It</w:t>
      </w:r>
      <w:r>
        <w:rPr>
          <w:spacing w:val="-2"/>
        </w:rPr>
        <w:t> </w:t>
      </w:r>
      <w:r>
        <w:rPr/>
        <w:t>is</w:t>
      </w:r>
      <w:r>
        <w:rPr>
          <w:spacing w:val="-4"/>
        </w:rPr>
        <w:t> </w:t>
      </w:r>
      <w:r>
        <w:rPr/>
        <w:t>within</w:t>
      </w:r>
      <w:r>
        <w:rPr>
          <w:spacing w:val="-2"/>
        </w:rPr>
        <w:t> </w:t>
      </w:r>
      <w:r>
        <w:rPr/>
        <w:t>this</w:t>
      </w:r>
      <w:r>
        <w:rPr>
          <w:spacing w:val="-2"/>
        </w:rPr>
        <w:t> </w:t>
      </w:r>
      <w:r>
        <w:rPr/>
        <w:t>historically</w:t>
      </w:r>
      <w:r>
        <w:rPr>
          <w:spacing w:val="-7"/>
        </w:rPr>
        <w:t> </w:t>
      </w:r>
      <w:r>
        <w:rPr/>
        <w:t>specific</w:t>
      </w:r>
      <w:r>
        <w:rPr>
          <w:spacing w:val="-1"/>
        </w:rPr>
        <w:t> </w:t>
      </w:r>
      <w:r>
        <w:rPr/>
        <w:t>matrix</w:t>
      </w:r>
      <w:r>
        <w:rPr>
          <w:spacing w:val="-4"/>
        </w:rPr>
        <w:t> </w:t>
      </w:r>
      <w:r>
        <w:rPr/>
        <w:t>of</w:t>
      </w:r>
      <w:r>
        <w:rPr>
          <w:spacing w:val="-4"/>
        </w:rPr>
        <w:t> </w:t>
      </w:r>
      <w:r>
        <w:rPr/>
        <w:t>control,</w:t>
      </w:r>
      <w:r>
        <w:rPr>
          <w:spacing w:val="-2"/>
        </w:rPr>
        <w:t> </w:t>
      </w:r>
      <w:r>
        <w:rPr/>
        <w:t>anxiety, and transgression that Shakespeare’s “bad women” must be read. They are not free-floating archetypes of timeless female wickedness; they are products of a particular cultural moment, shaped by</w:t>
      </w:r>
      <w:r>
        <w:rPr>
          <w:spacing w:val="-1"/>
        </w:rPr>
        <w:t> </w:t>
      </w:r>
      <w:r>
        <w:rPr/>
        <w:t>its particular fears, and their “badness” is, to a significant degree, a projection of those </w:t>
      </w:r>
      <w:r>
        <w:rPr>
          <w:spacing w:val="-2"/>
        </w:rPr>
        <w:t>fears.</w:t>
      </w:r>
    </w:p>
    <w:p>
      <w:pPr>
        <w:pStyle w:val="Heading3"/>
        <w:numPr>
          <w:ilvl w:val="0"/>
          <w:numId w:val="39"/>
        </w:numPr>
        <w:tabs>
          <w:tab w:pos="1720" w:val="left" w:leader="none"/>
        </w:tabs>
        <w:spacing w:line="240" w:lineRule="auto" w:before="158" w:after="0"/>
        <w:ind w:left="1440" w:right="1447" w:firstLine="0"/>
        <w:jc w:val="left"/>
      </w:pPr>
      <w:r>
        <w:rPr>
          <w:w w:val="90"/>
        </w:rPr>
        <w:t>CRITICAL TRADITIONS: HOW “BAD WOMEN” </w:t>
      </w:r>
      <w:r>
        <w:rPr>
          <w:w w:val="90"/>
        </w:rPr>
        <w:t>WERE </w:t>
      </w:r>
      <w:r>
        <w:rPr>
          <w:spacing w:val="-4"/>
        </w:rPr>
        <w:t>MADE</w:t>
      </w:r>
    </w:p>
    <w:p>
      <w:pPr>
        <w:pStyle w:val="BodyText"/>
        <w:spacing w:line="249" w:lineRule="auto" w:before="76"/>
        <w:ind w:right="1434" w:firstLine="432"/>
        <w:jc w:val="both"/>
      </w:pPr>
      <w:r>
        <w:rPr/>
        <w:t>The critical tradition that has bequeathed us the “bad women” of Shakespeare</w:t>
      </w:r>
      <w:r>
        <w:rPr>
          <w:spacing w:val="-11"/>
        </w:rPr>
        <w:t> </w:t>
      </w:r>
      <w:r>
        <w:rPr/>
        <w:t>is</w:t>
      </w:r>
      <w:r>
        <w:rPr>
          <w:spacing w:val="-11"/>
        </w:rPr>
        <w:t> </w:t>
      </w:r>
      <w:r>
        <w:rPr/>
        <w:t>long,</w:t>
      </w:r>
      <w:r>
        <w:rPr>
          <w:spacing w:val="-13"/>
        </w:rPr>
        <w:t> </w:t>
      </w:r>
      <w:r>
        <w:rPr/>
        <w:t>influential,</w:t>
      </w:r>
      <w:r>
        <w:rPr>
          <w:spacing w:val="-11"/>
        </w:rPr>
        <w:t> </w:t>
      </w:r>
      <w:r>
        <w:rPr/>
        <w:t>and,</w:t>
      </w:r>
      <w:r>
        <w:rPr>
          <w:spacing w:val="-12"/>
        </w:rPr>
        <w:t> </w:t>
      </w:r>
      <w:r>
        <w:rPr/>
        <w:t>from</w:t>
      </w:r>
      <w:r>
        <w:rPr>
          <w:spacing w:val="-12"/>
        </w:rPr>
        <w:t> </w:t>
      </w:r>
      <w:r>
        <w:rPr/>
        <w:t>a</w:t>
      </w:r>
      <w:r>
        <w:rPr>
          <w:spacing w:val="-13"/>
        </w:rPr>
        <w:t> </w:t>
      </w:r>
      <w:r>
        <w:rPr/>
        <w:t>feminist</w:t>
      </w:r>
      <w:r>
        <w:rPr>
          <w:spacing w:val="-10"/>
        </w:rPr>
        <w:t> </w:t>
      </w:r>
      <w:r>
        <w:rPr/>
        <w:t>perspective,</w:t>
      </w:r>
      <w:r>
        <w:rPr>
          <w:spacing w:val="-11"/>
        </w:rPr>
        <w:t> </w:t>
      </w:r>
      <w:r>
        <w:rPr/>
        <w:t>deeply </w:t>
      </w:r>
      <w:r>
        <w:rPr>
          <w:spacing w:val="-2"/>
        </w:rPr>
        <w:t>problematic. It</w:t>
      </w:r>
      <w:r>
        <w:rPr>
          <w:spacing w:val="-3"/>
        </w:rPr>
        <w:t> </w:t>
      </w:r>
      <w:r>
        <w:rPr>
          <w:spacing w:val="-2"/>
        </w:rPr>
        <w:t>is</w:t>
      </w:r>
      <w:r>
        <w:rPr>
          <w:spacing w:val="-3"/>
        </w:rPr>
        <w:t> </w:t>
      </w:r>
      <w:r>
        <w:rPr>
          <w:spacing w:val="-2"/>
        </w:rPr>
        <w:t>worth</w:t>
      </w:r>
      <w:r>
        <w:rPr>
          <w:spacing w:val="-3"/>
        </w:rPr>
        <w:t> </w:t>
      </w:r>
      <w:r>
        <w:rPr>
          <w:spacing w:val="-2"/>
        </w:rPr>
        <w:t>tracing</w:t>
      </w:r>
      <w:r>
        <w:rPr>
          <w:spacing w:val="-3"/>
        </w:rPr>
        <w:t> </w:t>
      </w:r>
      <w:r>
        <w:rPr>
          <w:spacing w:val="-2"/>
        </w:rPr>
        <w:t>its</w:t>
      </w:r>
      <w:r>
        <w:rPr/>
        <w:t> </w:t>
      </w:r>
      <w:r>
        <w:rPr>
          <w:spacing w:val="-2"/>
        </w:rPr>
        <w:t>contours before</w:t>
      </w:r>
      <w:r>
        <w:rPr>
          <w:spacing w:val="-1"/>
        </w:rPr>
        <w:t> </w:t>
      </w:r>
      <w:r>
        <w:rPr>
          <w:spacing w:val="-2"/>
        </w:rPr>
        <w:t>attempting to</w:t>
      </w:r>
      <w:r>
        <w:rPr/>
        <w:t> </w:t>
      </w:r>
      <w:r>
        <w:rPr>
          <w:spacing w:val="-2"/>
        </w:rPr>
        <w:t>revise </w:t>
      </w:r>
      <w:r>
        <w:rPr>
          <w:spacing w:val="-5"/>
        </w:rPr>
        <w:t>it.</w:t>
      </w:r>
    </w:p>
    <w:p>
      <w:pPr>
        <w:pStyle w:val="BodyText"/>
        <w:spacing w:line="249" w:lineRule="auto" w:before="60"/>
        <w:ind w:right="1439" w:firstLine="432"/>
        <w:jc w:val="both"/>
      </w:pPr>
      <w:r>
        <w:rPr/>
        <w:t>The eighteenth and nineteenth centuries produced what we might call</w:t>
      </w:r>
      <w:r>
        <w:rPr>
          <w:spacing w:val="-9"/>
        </w:rPr>
        <w:t> </w:t>
      </w:r>
      <w:r>
        <w:rPr/>
        <w:t>the</w:t>
      </w:r>
      <w:r>
        <w:rPr>
          <w:spacing w:val="-8"/>
        </w:rPr>
        <w:t> </w:t>
      </w:r>
      <w:r>
        <w:rPr/>
        <w:t>moralized</w:t>
      </w:r>
      <w:r>
        <w:rPr>
          <w:spacing w:val="-7"/>
        </w:rPr>
        <w:t> </w:t>
      </w:r>
      <w:r>
        <w:rPr/>
        <w:t>characterological</w:t>
      </w:r>
      <w:r>
        <w:rPr>
          <w:spacing w:val="-6"/>
        </w:rPr>
        <w:t> </w:t>
      </w:r>
      <w:r>
        <w:rPr/>
        <w:t>approach</w:t>
      </w:r>
      <w:r>
        <w:rPr>
          <w:spacing w:val="-9"/>
        </w:rPr>
        <w:t> </w:t>
      </w:r>
      <w:r>
        <w:rPr/>
        <w:t>to</w:t>
      </w:r>
      <w:r>
        <w:rPr>
          <w:spacing w:val="-7"/>
        </w:rPr>
        <w:t> </w:t>
      </w:r>
      <w:r>
        <w:rPr/>
        <w:t>Shakespearean</w:t>
      </w:r>
      <w:r>
        <w:rPr>
          <w:spacing w:val="-11"/>
        </w:rPr>
        <w:t> </w:t>
      </w:r>
      <w:r>
        <w:rPr/>
        <w:t>women. Critics like Samuel Johnson and, later, Anna Jameson approached the female characters as coherent moral exemplars or cautionary figures. Jameson’s</w:t>
      </w:r>
      <w:r>
        <w:rPr>
          <w:spacing w:val="-8"/>
        </w:rPr>
        <w:t> </w:t>
      </w:r>
      <w:r>
        <w:rPr/>
        <w:t>Shakespeare’s</w:t>
      </w:r>
      <w:r>
        <w:rPr>
          <w:spacing w:val="-10"/>
        </w:rPr>
        <w:t> </w:t>
      </w:r>
      <w:r>
        <w:rPr/>
        <w:t>Heroines</w:t>
      </w:r>
      <w:r>
        <w:rPr>
          <w:spacing w:val="-8"/>
        </w:rPr>
        <w:t> </w:t>
      </w:r>
      <w:r>
        <w:rPr/>
        <w:t>(1832)</w:t>
      </w:r>
      <w:r>
        <w:rPr>
          <w:spacing w:val="-8"/>
        </w:rPr>
        <w:t> </w:t>
      </w:r>
      <w:r>
        <w:rPr/>
        <w:t>is</w:t>
      </w:r>
      <w:r>
        <w:rPr>
          <w:spacing w:val="-8"/>
        </w:rPr>
        <w:t> </w:t>
      </w:r>
      <w:r>
        <w:rPr/>
        <w:t>a</w:t>
      </w:r>
      <w:r>
        <w:rPr>
          <w:spacing w:val="-9"/>
        </w:rPr>
        <w:t> </w:t>
      </w:r>
      <w:r>
        <w:rPr/>
        <w:t>foundational</w:t>
      </w:r>
      <w:r>
        <w:rPr>
          <w:spacing w:val="-7"/>
        </w:rPr>
        <w:t> </w:t>
      </w:r>
      <w:r>
        <w:rPr/>
        <w:t>text:</w:t>
      </w:r>
      <w:r>
        <w:rPr>
          <w:spacing w:val="-10"/>
        </w:rPr>
        <w:t> </w:t>
      </w:r>
      <w:r>
        <w:rPr/>
        <w:t>it</w:t>
      </w:r>
      <w:r>
        <w:rPr>
          <w:spacing w:val="-7"/>
        </w:rPr>
        <w:t> </w:t>
      </w:r>
      <w:r>
        <w:rPr/>
        <w:t>takes the women seriously as subjects, but reads them through a Victorian lens</w:t>
      </w:r>
      <w:r>
        <w:rPr>
          <w:spacing w:val="-13"/>
        </w:rPr>
        <w:t> </w:t>
      </w:r>
      <w:r>
        <w:rPr/>
        <w:t>that</w:t>
      </w:r>
      <w:r>
        <w:rPr>
          <w:spacing w:val="-12"/>
        </w:rPr>
        <w:t> </w:t>
      </w:r>
      <w:r>
        <w:rPr/>
        <w:t>prizes</w:t>
      </w:r>
      <w:r>
        <w:rPr>
          <w:spacing w:val="-13"/>
        </w:rPr>
        <w:t> </w:t>
      </w:r>
      <w:r>
        <w:rPr/>
        <w:t>femininity</w:t>
      </w:r>
      <w:r>
        <w:rPr>
          <w:spacing w:val="-12"/>
        </w:rPr>
        <w:t> </w:t>
      </w:r>
      <w:r>
        <w:rPr/>
        <w:t>as</w:t>
      </w:r>
      <w:r>
        <w:rPr>
          <w:spacing w:val="-13"/>
        </w:rPr>
        <w:t> </w:t>
      </w:r>
      <w:r>
        <w:rPr/>
        <w:t>naturally</w:t>
      </w:r>
      <w:r>
        <w:rPr>
          <w:spacing w:val="-12"/>
        </w:rPr>
        <w:t> </w:t>
      </w:r>
      <w:r>
        <w:rPr/>
        <w:t>nurturing</w:t>
      </w:r>
      <w:r>
        <w:rPr>
          <w:spacing w:val="-13"/>
        </w:rPr>
        <w:t> </w:t>
      </w:r>
      <w:r>
        <w:rPr/>
        <w:t>and</w:t>
      </w:r>
      <w:r>
        <w:rPr>
          <w:spacing w:val="-12"/>
        </w:rPr>
        <w:t> </w:t>
      </w:r>
      <w:r>
        <w:rPr/>
        <w:t>self-sacrificing,</w:t>
      </w:r>
      <w:r>
        <w:rPr>
          <w:spacing w:val="-11"/>
        </w:rPr>
        <w:t> </w:t>
      </w:r>
      <w:r>
        <w:rPr>
          <w:spacing w:val="-5"/>
        </w:rPr>
        <w:t>and</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46048">
                <wp:simplePos x="0" y="0"/>
                <wp:positionH relativeFrom="page">
                  <wp:posOffset>2057400</wp:posOffset>
                </wp:positionH>
                <wp:positionV relativeFrom="paragraph">
                  <wp:posOffset>162604</wp:posOffset>
                </wp:positionV>
                <wp:extent cx="3657600" cy="12700"/>
                <wp:effectExtent l="0" t="0" r="0" b="0"/>
                <wp:wrapTopAndBottom/>
                <wp:docPr id="462" name="Graphic 462"/>
                <wp:cNvGraphicFramePr>
                  <a:graphicFrameLocks/>
                </wp:cNvGraphicFramePr>
                <a:graphic>
                  <a:graphicData uri="http://schemas.microsoft.com/office/word/2010/wordprocessingShape">
                    <wps:wsp>
                      <wps:cNvPr id="462" name="Graphic 46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70432;mso-wrap-distance-left:0;mso-wrap-distance-right:0" id="docshape457" filled="true" fillcolor="#000000" stroked="false">
                <v:fill type="solid"/>
                <w10:wrap type="topAndBottom"/>
              </v:rect>
            </w:pict>
          </mc:Fallback>
        </mc:AlternateContent>
      </w:r>
      <w:r>
        <w:rPr>
          <w:rFonts w:ascii="Verdana"/>
          <w:spacing w:val="-5"/>
          <w:sz w:val="18"/>
        </w:rPr>
        <w:t>200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therefore cannot do justice to women who are neither. Lady Macbeth,</w:t>
      </w:r>
      <w:r>
        <w:rPr>
          <w:spacing w:val="40"/>
        </w:rPr>
        <w:t> </w:t>
      </w:r>
      <w:r>
        <w:rPr/>
        <w:t>in Jameson’s reading, is a study</w:t>
      </w:r>
      <w:r>
        <w:rPr>
          <w:spacing w:val="-3"/>
        </w:rPr>
        <w:t> </w:t>
      </w:r>
      <w:r>
        <w:rPr/>
        <w:t>in the destruction wrought by</w:t>
      </w:r>
      <w:r>
        <w:rPr>
          <w:spacing w:val="-1"/>
        </w:rPr>
        <w:t> </w:t>
      </w:r>
      <w:r>
        <w:rPr/>
        <w:t>feminine </w:t>
      </w:r>
      <w:r>
        <w:rPr>
          <w:spacing w:val="-2"/>
        </w:rPr>
        <w:t>ambition;</w:t>
      </w:r>
      <w:r>
        <w:rPr>
          <w:spacing w:val="-11"/>
        </w:rPr>
        <w:t> </w:t>
      </w:r>
      <w:r>
        <w:rPr>
          <w:spacing w:val="-2"/>
        </w:rPr>
        <w:t>Cleopatra</w:t>
      </w:r>
      <w:r>
        <w:rPr>
          <w:spacing w:val="-10"/>
        </w:rPr>
        <w:t> </w:t>
      </w:r>
      <w:r>
        <w:rPr>
          <w:spacing w:val="-2"/>
        </w:rPr>
        <w:t>is</w:t>
      </w:r>
      <w:r>
        <w:rPr>
          <w:spacing w:val="-11"/>
        </w:rPr>
        <w:t> </w:t>
      </w:r>
      <w:r>
        <w:rPr>
          <w:spacing w:val="-2"/>
        </w:rPr>
        <w:t>a</w:t>
      </w:r>
      <w:r>
        <w:rPr>
          <w:spacing w:val="-10"/>
        </w:rPr>
        <w:t> </w:t>
      </w:r>
      <w:r>
        <w:rPr>
          <w:spacing w:val="-2"/>
        </w:rPr>
        <w:t>dazzling</w:t>
      </w:r>
      <w:r>
        <w:rPr>
          <w:spacing w:val="-11"/>
        </w:rPr>
        <w:t> </w:t>
      </w:r>
      <w:r>
        <w:rPr>
          <w:spacing w:val="-2"/>
        </w:rPr>
        <w:t>but</w:t>
      </w:r>
      <w:r>
        <w:rPr>
          <w:spacing w:val="-5"/>
        </w:rPr>
        <w:t> </w:t>
      </w:r>
      <w:r>
        <w:rPr>
          <w:spacing w:val="-2"/>
        </w:rPr>
        <w:t>ultimately</w:t>
      </w:r>
      <w:r>
        <w:rPr>
          <w:spacing w:val="-11"/>
        </w:rPr>
        <w:t> </w:t>
      </w:r>
      <w:r>
        <w:rPr>
          <w:spacing w:val="-2"/>
        </w:rPr>
        <w:t>vapid</w:t>
      </w:r>
      <w:r>
        <w:rPr>
          <w:spacing w:val="-10"/>
        </w:rPr>
        <w:t> </w:t>
      </w:r>
      <w:r>
        <w:rPr>
          <w:spacing w:val="-2"/>
        </w:rPr>
        <w:t>sensualist</w:t>
      </w:r>
      <w:r>
        <w:rPr>
          <w:spacing w:val="-10"/>
        </w:rPr>
        <w:t> </w:t>
      </w:r>
      <w:r>
        <w:rPr>
          <w:spacing w:val="-2"/>
        </w:rPr>
        <w:t>(Jameson </w:t>
      </w:r>
      <w:r>
        <w:rPr/>
        <w:t>178). The hermeneutic is not misogynist in the crude sense, but it is deeply ideologically invested in a particular model of acceptable femininity against which the “bad” women are measured and found </w:t>
      </w:r>
      <w:r>
        <w:rPr>
          <w:spacing w:val="-2"/>
        </w:rPr>
        <w:t>wanting.</w:t>
      </w:r>
    </w:p>
    <w:p>
      <w:pPr>
        <w:pStyle w:val="BodyText"/>
        <w:spacing w:line="261" w:lineRule="auto" w:before="71"/>
        <w:ind w:right="1440" w:firstLine="432"/>
        <w:jc w:val="both"/>
      </w:pPr>
      <w:r>
        <w:rPr/>
        <w:t>The twentieth century brought more sophisticated, but not always less patriarchal, approaches. The New Criticism’s emphasis on close textual reading produced brilliant analyses of imagery, structure, and language that often noticed the complexity of Shakespeare’s female characterizations</w:t>
      </w:r>
      <w:r>
        <w:rPr>
          <w:spacing w:val="-8"/>
        </w:rPr>
        <w:t> </w:t>
      </w:r>
      <w:r>
        <w:rPr/>
        <w:t>but</w:t>
      </w:r>
      <w:r>
        <w:rPr>
          <w:spacing w:val="-7"/>
        </w:rPr>
        <w:t> </w:t>
      </w:r>
      <w:r>
        <w:rPr/>
        <w:t>typically</w:t>
      </w:r>
      <w:r>
        <w:rPr>
          <w:spacing w:val="-10"/>
        </w:rPr>
        <w:t> </w:t>
      </w:r>
      <w:r>
        <w:rPr/>
        <w:t>subordinated</w:t>
      </w:r>
      <w:r>
        <w:rPr>
          <w:spacing w:val="-5"/>
        </w:rPr>
        <w:t> </w:t>
      </w:r>
      <w:r>
        <w:rPr/>
        <w:t>that</w:t>
      </w:r>
      <w:r>
        <w:rPr>
          <w:spacing w:val="-8"/>
        </w:rPr>
        <w:t> </w:t>
      </w:r>
      <w:r>
        <w:rPr/>
        <w:t>complexity</w:t>
      </w:r>
      <w:r>
        <w:rPr>
          <w:spacing w:val="-10"/>
        </w:rPr>
        <w:t> </w:t>
      </w:r>
      <w:r>
        <w:rPr/>
        <w:t>to</w:t>
      </w:r>
      <w:r>
        <w:rPr>
          <w:spacing w:val="-7"/>
        </w:rPr>
        <w:t> </w:t>
      </w:r>
      <w:r>
        <w:rPr/>
        <w:t>formalist concerns. A. C. Bradley’s Shakespearean Tragedy (1904), the most </w:t>
      </w:r>
      <w:r>
        <w:rPr>
          <w:spacing w:val="-2"/>
        </w:rPr>
        <w:t>influential</w:t>
      </w:r>
      <w:r>
        <w:rPr>
          <w:spacing w:val="-11"/>
        </w:rPr>
        <w:t> </w:t>
      </w:r>
      <w:r>
        <w:rPr>
          <w:spacing w:val="-2"/>
        </w:rPr>
        <w:t>work</w:t>
      </w:r>
      <w:r>
        <w:rPr>
          <w:spacing w:val="-10"/>
        </w:rPr>
        <w:t> </w:t>
      </w:r>
      <w:r>
        <w:rPr>
          <w:spacing w:val="-2"/>
        </w:rPr>
        <w:t>of</w:t>
      </w:r>
      <w:r>
        <w:rPr>
          <w:spacing w:val="-11"/>
        </w:rPr>
        <w:t> </w:t>
      </w:r>
      <w:r>
        <w:rPr>
          <w:spacing w:val="-2"/>
        </w:rPr>
        <w:t>Shakespearean</w:t>
      </w:r>
      <w:r>
        <w:rPr>
          <w:spacing w:val="-10"/>
        </w:rPr>
        <w:t> </w:t>
      </w:r>
      <w:r>
        <w:rPr>
          <w:spacing w:val="-2"/>
        </w:rPr>
        <w:t>criticism</w:t>
      </w:r>
      <w:r>
        <w:rPr>
          <w:spacing w:val="-11"/>
        </w:rPr>
        <w:t> </w:t>
      </w:r>
      <w:r>
        <w:rPr>
          <w:spacing w:val="-2"/>
        </w:rPr>
        <w:t>of</w:t>
      </w:r>
      <w:r>
        <w:rPr>
          <w:spacing w:val="-10"/>
        </w:rPr>
        <w:t> </w:t>
      </w:r>
      <w:r>
        <w:rPr>
          <w:spacing w:val="-2"/>
        </w:rPr>
        <w:t>its</w:t>
      </w:r>
      <w:r>
        <w:rPr>
          <w:spacing w:val="-11"/>
        </w:rPr>
        <w:t> </w:t>
      </w:r>
      <w:r>
        <w:rPr>
          <w:spacing w:val="-2"/>
        </w:rPr>
        <w:t>era,</w:t>
      </w:r>
      <w:r>
        <w:rPr>
          <w:spacing w:val="-10"/>
        </w:rPr>
        <w:t> </w:t>
      </w:r>
      <w:r>
        <w:rPr>
          <w:spacing w:val="-2"/>
        </w:rPr>
        <w:t>reads</w:t>
      </w:r>
      <w:r>
        <w:rPr>
          <w:spacing w:val="-11"/>
        </w:rPr>
        <w:t> </w:t>
      </w:r>
      <w:r>
        <w:rPr>
          <w:spacing w:val="-2"/>
        </w:rPr>
        <w:t>Lady</w:t>
      </w:r>
      <w:r>
        <w:rPr>
          <w:spacing w:val="-10"/>
        </w:rPr>
        <w:t> </w:t>
      </w:r>
      <w:r>
        <w:rPr>
          <w:spacing w:val="-2"/>
        </w:rPr>
        <w:t>Macbeth </w:t>
      </w:r>
      <w:r>
        <w:rPr/>
        <w:t>with real psychological acuity but ultimately frames her as a figure whose</w:t>
      </w:r>
      <w:r>
        <w:rPr>
          <w:spacing w:val="-8"/>
        </w:rPr>
        <w:t> </w:t>
      </w:r>
      <w:r>
        <w:rPr/>
        <w:t>“masculine”</w:t>
      </w:r>
      <w:r>
        <w:rPr>
          <w:spacing w:val="-9"/>
        </w:rPr>
        <w:t> </w:t>
      </w:r>
      <w:r>
        <w:rPr/>
        <w:t>will</w:t>
      </w:r>
      <w:r>
        <w:rPr>
          <w:spacing w:val="-8"/>
        </w:rPr>
        <w:t> </w:t>
      </w:r>
      <w:r>
        <w:rPr/>
        <w:t>is</w:t>
      </w:r>
      <w:r>
        <w:rPr>
          <w:spacing w:val="-10"/>
        </w:rPr>
        <w:t> </w:t>
      </w:r>
      <w:r>
        <w:rPr/>
        <w:t>at</w:t>
      </w:r>
      <w:r>
        <w:rPr>
          <w:spacing w:val="-8"/>
        </w:rPr>
        <w:t> </w:t>
      </w:r>
      <w:r>
        <w:rPr/>
        <w:t>war</w:t>
      </w:r>
      <w:r>
        <w:rPr>
          <w:spacing w:val="-7"/>
        </w:rPr>
        <w:t> </w:t>
      </w:r>
      <w:r>
        <w:rPr/>
        <w:t>with</w:t>
      </w:r>
      <w:r>
        <w:rPr>
          <w:spacing w:val="-10"/>
        </w:rPr>
        <w:t> </w:t>
      </w:r>
      <w:r>
        <w:rPr/>
        <w:t>a</w:t>
      </w:r>
      <w:r>
        <w:rPr>
          <w:spacing w:val="-8"/>
        </w:rPr>
        <w:t> </w:t>
      </w:r>
      <w:r>
        <w:rPr/>
        <w:t>suppressed</w:t>
      </w:r>
      <w:r>
        <w:rPr>
          <w:spacing w:val="-8"/>
        </w:rPr>
        <w:t> </w:t>
      </w:r>
      <w:r>
        <w:rPr/>
        <w:t>“feminine”</w:t>
      </w:r>
      <w:r>
        <w:rPr>
          <w:spacing w:val="-7"/>
        </w:rPr>
        <w:t> </w:t>
      </w:r>
      <w:r>
        <w:rPr/>
        <w:t>nature—a reading that both inscribes and naturalizes the very gender binary it claims merely to observe (Bradley 349).</w:t>
      </w:r>
    </w:p>
    <w:p>
      <w:pPr>
        <w:pStyle w:val="BodyText"/>
        <w:spacing w:line="261" w:lineRule="auto" w:before="50"/>
        <w:ind w:right="1438" w:firstLine="432"/>
        <w:jc w:val="both"/>
      </w:pPr>
      <w:r>
        <w:rPr/>
        <w:t>The</w:t>
      </w:r>
      <w:r>
        <w:rPr>
          <w:spacing w:val="-13"/>
        </w:rPr>
        <w:t> </w:t>
      </w:r>
      <w:r>
        <w:rPr/>
        <w:t>psychoanalytic</w:t>
      </w:r>
      <w:r>
        <w:rPr>
          <w:spacing w:val="-12"/>
        </w:rPr>
        <w:t> </w:t>
      </w:r>
      <w:r>
        <w:rPr/>
        <w:t>tradition,</w:t>
      </w:r>
      <w:r>
        <w:rPr>
          <w:spacing w:val="-13"/>
        </w:rPr>
        <w:t> </w:t>
      </w:r>
      <w:r>
        <w:rPr/>
        <w:t>from</w:t>
      </w:r>
      <w:r>
        <w:rPr>
          <w:spacing w:val="-12"/>
        </w:rPr>
        <w:t> </w:t>
      </w:r>
      <w:r>
        <w:rPr/>
        <w:t>Ernest</w:t>
      </w:r>
      <w:r>
        <w:rPr>
          <w:spacing w:val="-13"/>
        </w:rPr>
        <w:t> </w:t>
      </w:r>
      <w:r>
        <w:rPr/>
        <w:t>Jones’s</w:t>
      </w:r>
      <w:r>
        <w:rPr>
          <w:spacing w:val="-12"/>
        </w:rPr>
        <w:t> </w:t>
      </w:r>
      <w:r>
        <w:rPr/>
        <w:t>Freudian</w:t>
      </w:r>
      <w:r>
        <w:rPr>
          <w:spacing w:val="-13"/>
        </w:rPr>
        <w:t> </w:t>
      </w:r>
      <w:r>
        <w:rPr/>
        <w:t>reading of Hamlet onward, brought new tools to bear on the female characters but</w:t>
      </w:r>
      <w:r>
        <w:rPr>
          <w:spacing w:val="-7"/>
        </w:rPr>
        <w:t> </w:t>
      </w:r>
      <w:r>
        <w:rPr/>
        <w:t>often</w:t>
      </w:r>
      <w:r>
        <w:rPr>
          <w:spacing w:val="-7"/>
        </w:rPr>
        <w:t> </w:t>
      </w:r>
      <w:r>
        <w:rPr/>
        <w:t>reinforced</w:t>
      </w:r>
      <w:r>
        <w:rPr>
          <w:spacing w:val="-7"/>
        </w:rPr>
        <w:t> </w:t>
      </w:r>
      <w:r>
        <w:rPr/>
        <w:t>the</w:t>
      </w:r>
      <w:r>
        <w:rPr>
          <w:spacing w:val="-6"/>
        </w:rPr>
        <w:t> </w:t>
      </w:r>
      <w:r>
        <w:rPr/>
        <w:t>same</w:t>
      </w:r>
      <w:r>
        <w:rPr>
          <w:spacing w:val="-6"/>
        </w:rPr>
        <w:t> </w:t>
      </w:r>
      <w:r>
        <w:rPr/>
        <w:t>ideological</w:t>
      </w:r>
      <w:r>
        <w:rPr>
          <w:spacing w:val="-8"/>
        </w:rPr>
        <w:t> </w:t>
      </w:r>
      <w:r>
        <w:rPr/>
        <w:t>assumptions.</w:t>
      </w:r>
      <w:r>
        <w:rPr>
          <w:spacing w:val="-5"/>
        </w:rPr>
        <w:t> </w:t>
      </w:r>
      <w:r>
        <w:rPr/>
        <w:t>Coppélia</w:t>
      </w:r>
      <w:r>
        <w:rPr>
          <w:spacing w:val="-8"/>
        </w:rPr>
        <w:t> </w:t>
      </w:r>
      <w:r>
        <w:rPr/>
        <w:t>Kahn’s groundbreaking work Man’s Estate: Masculine Identity in Shakespeare (1981) represents a significant advance because it uses psychoanalytic concepts</w:t>
      </w:r>
      <w:r>
        <w:rPr>
          <w:spacing w:val="-13"/>
        </w:rPr>
        <w:t> </w:t>
      </w:r>
      <w:r>
        <w:rPr/>
        <w:t>critically</w:t>
      </w:r>
      <w:r>
        <w:rPr>
          <w:spacing w:val="-12"/>
        </w:rPr>
        <w:t> </w:t>
      </w:r>
      <w:r>
        <w:rPr/>
        <w:t>and</w:t>
      </w:r>
      <w:r>
        <w:rPr>
          <w:spacing w:val="-13"/>
        </w:rPr>
        <w:t> </w:t>
      </w:r>
      <w:r>
        <w:rPr/>
        <w:t>historically,</w:t>
      </w:r>
      <w:r>
        <w:rPr>
          <w:spacing w:val="-12"/>
        </w:rPr>
        <w:t> </w:t>
      </w:r>
      <w:r>
        <w:rPr/>
        <w:t>asking</w:t>
      </w:r>
      <w:r>
        <w:rPr>
          <w:spacing w:val="-13"/>
        </w:rPr>
        <w:t> </w:t>
      </w:r>
      <w:r>
        <w:rPr/>
        <w:t>not</w:t>
      </w:r>
      <w:r>
        <w:rPr>
          <w:spacing w:val="-12"/>
        </w:rPr>
        <w:t> </w:t>
      </w:r>
      <w:r>
        <w:rPr/>
        <w:t>what</w:t>
      </w:r>
      <w:r>
        <w:rPr>
          <w:spacing w:val="-13"/>
        </w:rPr>
        <w:t> </w:t>
      </w:r>
      <w:r>
        <w:rPr/>
        <w:t>the</w:t>
      </w:r>
      <w:r>
        <w:rPr>
          <w:spacing w:val="-12"/>
        </w:rPr>
        <w:t> </w:t>
      </w:r>
      <w:r>
        <w:rPr/>
        <w:t>female</w:t>
      </w:r>
      <w:r>
        <w:rPr>
          <w:spacing w:val="-13"/>
        </w:rPr>
        <w:t> </w:t>
      </w:r>
      <w:r>
        <w:rPr/>
        <w:t>characters reveal about universal female psychology but what they reveal about</w:t>
      </w:r>
      <w:r>
        <w:rPr>
          <w:spacing w:val="40"/>
        </w:rPr>
        <w:t> </w:t>
      </w:r>
      <w:r>
        <w:rPr/>
        <w:t>the anxieties of a patriarchal culture. But even Kahn’s feminist psychoanalysis tends to read women in relation to men—as mothers, </w:t>
      </w:r>
      <w:r>
        <w:rPr>
          <w:spacing w:val="-4"/>
        </w:rPr>
        <w:t>wives,</w:t>
      </w:r>
      <w:r>
        <w:rPr>
          <w:spacing w:val="-8"/>
        </w:rPr>
        <w:t> </w:t>
      </w:r>
      <w:r>
        <w:rPr>
          <w:spacing w:val="-4"/>
        </w:rPr>
        <w:t>or</w:t>
      </w:r>
      <w:r>
        <w:rPr>
          <w:spacing w:val="-10"/>
        </w:rPr>
        <w:t> </w:t>
      </w:r>
      <w:r>
        <w:rPr>
          <w:spacing w:val="-4"/>
        </w:rPr>
        <w:t>erotic</w:t>
      </w:r>
      <w:r>
        <w:rPr>
          <w:spacing w:val="-13"/>
        </w:rPr>
        <w:t> </w:t>
      </w:r>
      <w:r>
        <w:rPr>
          <w:spacing w:val="-4"/>
        </w:rPr>
        <w:t>objects</w:t>
      </w:r>
      <w:r>
        <w:rPr>
          <w:spacing w:val="-10"/>
        </w:rPr>
        <w:t> </w:t>
      </w:r>
      <w:r>
        <w:rPr>
          <w:spacing w:val="-4"/>
        </w:rPr>
        <w:t>whose</w:t>
      </w:r>
      <w:r>
        <w:rPr>
          <w:spacing w:val="-10"/>
        </w:rPr>
        <w:t> </w:t>
      </w:r>
      <w:r>
        <w:rPr>
          <w:spacing w:val="-4"/>
        </w:rPr>
        <w:t>primary</w:t>
      </w:r>
      <w:r>
        <w:rPr>
          <w:spacing w:val="-15"/>
        </w:rPr>
        <w:t> </w:t>
      </w:r>
      <w:r>
        <w:rPr>
          <w:spacing w:val="-4"/>
        </w:rPr>
        <w:t>function</w:t>
      </w:r>
      <w:r>
        <w:rPr>
          <w:spacing w:val="-13"/>
        </w:rPr>
        <w:t> </w:t>
      </w:r>
      <w:r>
        <w:rPr>
          <w:spacing w:val="-4"/>
        </w:rPr>
        <w:t>is</w:t>
      </w:r>
      <w:r>
        <w:rPr>
          <w:spacing w:val="-13"/>
        </w:rPr>
        <w:t> </w:t>
      </w:r>
      <w:r>
        <w:rPr>
          <w:spacing w:val="-4"/>
        </w:rPr>
        <w:t>to</w:t>
      </w:r>
      <w:r>
        <w:rPr>
          <w:spacing w:val="-10"/>
        </w:rPr>
        <w:t> </w:t>
      </w:r>
      <w:r>
        <w:rPr>
          <w:spacing w:val="-4"/>
        </w:rPr>
        <w:t>illuminate</w:t>
      </w:r>
      <w:r>
        <w:rPr>
          <w:spacing w:val="-8"/>
        </w:rPr>
        <w:t> </w:t>
      </w:r>
      <w:r>
        <w:rPr>
          <w:spacing w:val="-4"/>
        </w:rPr>
        <w:t>masculinity.</w:t>
      </w:r>
    </w:p>
    <w:p>
      <w:pPr>
        <w:pStyle w:val="BodyText"/>
        <w:spacing w:line="261" w:lineRule="auto" w:before="52"/>
        <w:ind w:right="1438" w:firstLine="432"/>
        <w:jc w:val="both"/>
      </w:pPr>
      <w:r>
        <w:rPr/>
        <w:t>The rise of feminist Shakespeare studies in the 1980s and 1990s transformed the field. Scholars like Phyllis Rackin, Lisa Jardine, Juliet Dusinberre,</w:t>
      </w:r>
      <w:r>
        <w:rPr>
          <w:spacing w:val="-1"/>
        </w:rPr>
        <w:t> </w:t>
      </w:r>
      <w:r>
        <w:rPr/>
        <w:t>Carol</w:t>
      </w:r>
      <w:r>
        <w:rPr>
          <w:spacing w:val="-3"/>
        </w:rPr>
        <w:t> </w:t>
      </w:r>
      <w:r>
        <w:rPr/>
        <w:t>Thomas</w:t>
      </w:r>
      <w:r>
        <w:rPr>
          <w:spacing w:val="-1"/>
        </w:rPr>
        <w:t> </w:t>
      </w:r>
      <w:r>
        <w:rPr/>
        <w:t>Neely,</w:t>
      </w:r>
      <w:r>
        <w:rPr>
          <w:spacing w:val="-1"/>
        </w:rPr>
        <w:t> </w:t>
      </w:r>
      <w:r>
        <w:rPr/>
        <w:t>and Linda Bamber brought</w:t>
      </w:r>
      <w:r>
        <w:rPr>
          <w:spacing w:val="-1"/>
        </w:rPr>
        <w:t> </w:t>
      </w:r>
      <w:r>
        <w:rPr/>
        <w:t>explicitly feminist</w:t>
      </w:r>
      <w:r>
        <w:rPr>
          <w:spacing w:val="-4"/>
        </w:rPr>
        <w:t> </w:t>
      </w:r>
      <w:r>
        <w:rPr/>
        <w:t>frameworks</w:t>
      </w:r>
      <w:r>
        <w:rPr>
          <w:spacing w:val="-5"/>
        </w:rPr>
        <w:t> </w:t>
      </w:r>
      <w:r>
        <w:rPr/>
        <w:t>to</w:t>
      </w:r>
      <w:r>
        <w:rPr>
          <w:spacing w:val="-4"/>
        </w:rPr>
        <w:t> </w:t>
      </w:r>
      <w:r>
        <w:rPr/>
        <w:t>bear</w:t>
      </w:r>
      <w:r>
        <w:rPr>
          <w:spacing w:val="-2"/>
        </w:rPr>
        <w:t> </w:t>
      </w:r>
      <w:r>
        <w:rPr/>
        <w:t>and</w:t>
      </w:r>
      <w:r>
        <w:rPr>
          <w:spacing w:val="-4"/>
        </w:rPr>
        <w:t> </w:t>
      </w:r>
      <w:r>
        <w:rPr/>
        <w:t>argued</w:t>
      </w:r>
      <w:r>
        <w:rPr>
          <w:spacing w:val="-2"/>
        </w:rPr>
        <w:t> </w:t>
      </w:r>
      <w:r>
        <w:rPr/>
        <w:t>collectively</w:t>
      </w:r>
      <w:r>
        <w:rPr>
          <w:spacing w:val="-7"/>
        </w:rPr>
        <w:t> </w:t>
      </w:r>
      <w:r>
        <w:rPr/>
        <w:t>for</w:t>
      </w:r>
      <w:r>
        <w:rPr>
          <w:spacing w:val="-5"/>
        </w:rPr>
        <w:t> </w:t>
      </w:r>
      <w:r>
        <w:rPr/>
        <w:t>the</w:t>
      </w:r>
      <w:r>
        <w:rPr>
          <w:spacing w:val="-4"/>
        </w:rPr>
        <w:t> </w:t>
      </w:r>
      <w:r>
        <w:rPr/>
        <w:t>complexity, subversiveness, and cultural significance of Shakespeare’s female characters.</w:t>
      </w:r>
      <w:r>
        <w:rPr>
          <w:spacing w:val="-4"/>
        </w:rPr>
        <w:t> </w:t>
      </w:r>
      <w:r>
        <w:rPr/>
        <w:t>Jardine’s</w:t>
      </w:r>
      <w:r>
        <w:rPr>
          <w:spacing w:val="-7"/>
        </w:rPr>
        <w:t> </w:t>
      </w:r>
      <w:r>
        <w:rPr/>
        <w:t>Still</w:t>
      </w:r>
      <w:r>
        <w:rPr>
          <w:spacing w:val="-4"/>
        </w:rPr>
        <w:t> </w:t>
      </w:r>
      <w:r>
        <w:rPr/>
        <w:t>Harping</w:t>
      </w:r>
      <w:r>
        <w:rPr>
          <w:spacing w:val="-6"/>
        </w:rPr>
        <w:t> </w:t>
      </w:r>
      <w:r>
        <w:rPr/>
        <w:t>on</w:t>
      </w:r>
      <w:r>
        <w:rPr>
          <w:spacing w:val="-4"/>
        </w:rPr>
        <w:t> </w:t>
      </w:r>
      <w:r>
        <w:rPr/>
        <w:t>Daughters</w:t>
      </w:r>
      <w:r>
        <w:rPr>
          <w:spacing w:val="-7"/>
        </w:rPr>
        <w:t> </w:t>
      </w:r>
      <w:r>
        <w:rPr/>
        <w:t>(1983)</w:t>
      </w:r>
      <w:r>
        <w:rPr>
          <w:spacing w:val="-2"/>
        </w:rPr>
        <w:t> </w:t>
      </w:r>
      <w:r>
        <w:rPr/>
        <w:t>was</w:t>
      </w:r>
      <w:r>
        <w:rPr>
          <w:spacing w:val="-6"/>
        </w:rPr>
        <w:t> </w:t>
      </w:r>
      <w:r>
        <w:rPr/>
        <w:t>particularly important for its insistence that the female characters must be read in the context of early modern ideologies of gender, and that their “troublesomeness” is a register of cultural anxiety rather than authentic wickedness.</w:t>
      </w:r>
      <w:r>
        <w:rPr>
          <w:spacing w:val="20"/>
        </w:rPr>
        <w:t> </w:t>
      </w:r>
      <w:r>
        <w:rPr/>
        <w:t>Rackin</w:t>
      </w:r>
      <w:r>
        <w:rPr>
          <w:spacing w:val="19"/>
        </w:rPr>
        <w:t> </w:t>
      </w:r>
      <w:r>
        <w:rPr/>
        <w:t>and</w:t>
      </w:r>
      <w:r>
        <w:rPr>
          <w:spacing w:val="22"/>
        </w:rPr>
        <w:t> </w:t>
      </w:r>
      <w:r>
        <w:rPr/>
        <w:t>Jean</w:t>
      </w:r>
      <w:r>
        <w:rPr>
          <w:spacing w:val="19"/>
        </w:rPr>
        <w:t> </w:t>
      </w:r>
      <w:r>
        <w:rPr/>
        <w:t>Howard’s</w:t>
      </w:r>
      <w:r>
        <w:rPr>
          <w:spacing w:val="19"/>
        </w:rPr>
        <w:t> </w:t>
      </w:r>
      <w:r>
        <w:rPr/>
        <w:t>Engendering</w:t>
      </w:r>
      <w:r>
        <w:rPr>
          <w:spacing w:val="18"/>
        </w:rPr>
        <w:t> </w:t>
      </w:r>
      <w:r>
        <w:rPr/>
        <w:t>a</w:t>
      </w:r>
      <w:r>
        <w:rPr>
          <w:spacing w:val="24"/>
        </w:rPr>
        <w:t> </w:t>
      </w:r>
      <w:r>
        <w:rPr/>
        <w:t>Nation</w:t>
      </w:r>
      <w:r>
        <w:rPr>
          <w:spacing w:val="18"/>
        </w:rPr>
        <w:t> </w:t>
      </w:r>
      <w:r>
        <w:rPr>
          <w:spacing w:val="-2"/>
        </w:rPr>
        <w:t>(1997)</w:t>
      </w:r>
    </w:p>
    <w:p>
      <w:pPr>
        <w:pStyle w:val="BodyText"/>
        <w:spacing w:after="0" w:line="261"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46560">
                <wp:simplePos x="0" y="0"/>
                <wp:positionH relativeFrom="page">
                  <wp:posOffset>2065020</wp:posOffset>
                </wp:positionH>
                <wp:positionV relativeFrom="paragraph">
                  <wp:posOffset>795020</wp:posOffset>
                </wp:positionV>
                <wp:extent cx="3657600" cy="12700"/>
                <wp:effectExtent l="0" t="0" r="0" b="0"/>
                <wp:wrapTopAndBottom/>
                <wp:docPr id="463" name="Graphic 463"/>
                <wp:cNvGraphicFramePr>
                  <a:graphicFrameLocks/>
                </wp:cNvGraphicFramePr>
                <a:graphic>
                  <a:graphicData uri="http://schemas.microsoft.com/office/word/2010/wordprocessingShape">
                    <wps:wsp>
                      <wps:cNvPr id="463" name="Graphic 46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69920;mso-wrap-distance-left:0;mso-wrap-distance-right:0" id="docshape458" filled="true" fillcolor="#000000" stroked="false">
                <v:fill type="solid"/>
                <w10:wrap type="topAndBottom"/>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201</w:t>
      </w:r>
    </w:p>
    <w:p>
      <w:pPr>
        <w:pStyle w:val="BodyText"/>
        <w:spacing w:line="261" w:lineRule="auto" w:before="199"/>
        <w:ind w:right="1439"/>
        <w:jc w:val="both"/>
      </w:pPr>
      <w:r>
        <w:rPr/>
        <w:t>extended this analysis to the history plays, showing how female bodies function as sites for negotiating political anxieties about dynastic succession and</w:t>
      </w:r>
      <w:r>
        <w:rPr>
          <w:spacing w:val="40"/>
        </w:rPr>
        <w:t> </w:t>
      </w:r>
      <w:r>
        <w:rPr/>
        <w:t>national identity (Howard</w:t>
      </w:r>
      <w:r>
        <w:rPr>
          <w:spacing w:val="40"/>
        </w:rPr>
        <w:t> </w:t>
      </w:r>
      <w:r>
        <w:rPr/>
        <w:t>and</w:t>
      </w:r>
      <w:r>
        <w:rPr>
          <w:spacing w:val="40"/>
        </w:rPr>
        <w:t> </w:t>
      </w:r>
      <w:r>
        <w:rPr/>
        <w:t>Rackin 19).</w:t>
      </w:r>
    </w:p>
    <w:p>
      <w:pPr>
        <w:pStyle w:val="BodyText"/>
        <w:spacing w:line="249" w:lineRule="auto" w:before="50"/>
        <w:ind w:right="1439" w:firstLine="432"/>
        <w:jc w:val="both"/>
      </w:pPr>
      <w:r>
        <w:rPr/>
        <w:t>More recent scholarship has built on these foundations while drawing on postcolonial theory, queer theory, and performance studies. Ania</w:t>
      </w:r>
      <w:r>
        <w:rPr>
          <w:spacing w:val="-13"/>
        </w:rPr>
        <w:t> </w:t>
      </w:r>
      <w:r>
        <w:rPr/>
        <w:t>Loomba’s</w:t>
      </w:r>
      <w:r>
        <w:rPr>
          <w:spacing w:val="-12"/>
        </w:rPr>
        <w:t> </w:t>
      </w:r>
      <w:r>
        <w:rPr/>
        <w:t>Shakespeare,</w:t>
      </w:r>
      <w:r>
        <w:rPr>
          <w:spacing w:val="-13"/>
        </w:rPr>
        <w:t> </w:t>
      </w:r>
      <w:r>
        <w:rPr/>
        <w:t>Race,</w:t>
      </w:r>
      <w:r>
        <w:rPr>
          <w:spacing w:val="-11"/>
        </w:rPr>
        <w:t> </w:t>
      </w:r>
      <w:r>
        <w:rPr/>
        <w:t>and</w:t>
      </w:r>
      <w:r>
        <w:rPr>
          <w:spacing w:val="-11"/>
        </w:rPr>
        <w:t> </w:t>
      </w:r>
      <w:r>
        <w:rPr/>
        <w:t>Colonialism</w:t>
      </w:r>
      <w:r>
        <w:rPr>
          <w:spacing w:val="-13"/>
        </w:rPr>
        <w:t> </w:t>
      </w:r>
      <w:r>
        <w:rPr/>
        <w:t>(2002)</w:t>
      </w:r>
      <w:r>
        <w:rPr>
          <w:spacing w:val="-11"/>
        </w:rPr>
        <w:t> </w:t>
      </w:r>
      <w:r>
        <w:rPr/>
        <w:t>complicates feminist readings of figures like Cleopatra and Tamora by attending to the intersection of gender and race—a dimension that earlier feminist criticism</w:t>
      </w:r>
      <w:r>
        <w:rPr>
          <w:spacing w:val="-13"/>
        </w:rPr>
        <w:t> </w:t>
      </w:r>
      <w:r>
        <w:rPr/>
        <w:t>sometimes</w:t>
      </w:r>
      <w:r>
        <w:rPr>
          <w:spacing w:val="-12"/>
        </w:rPr>
        <w:t> </w:t>
      </w:r>
      <w:r>
        <w:rPr/>
        <w:t>elided.</w:t>
      </w:r>
      <w:r>
        <w:rPr>
          <w:spacing w:val="-13"/>
        </w:rPr>
        <w:t> </w:t>
      </w:r>
      <w:r>
        <w:rPr/>
        <w:t>Valerie</w:t>
      </w:r>
      <w:r>
        <w:rPr>
          <w:spacing w:val="-12"/>
        </w:rPr>
        <w:t> </w:t>
      </w:r>
      <w:r>
        <w:rPr/>
        <w:t>Traub’s</w:t>
      </w:r>
      <w:r>
        <w:rPr>
          <w:spacing w:val="-13"/>
        </w:rPr>
        <w:t> </w:t>
      </w:r>
      <w:r>
        <w:rPr/>
        <w:t>work</w:t>
      </w:r>
      <w:r>
        <w:rPr>
          <w:spacing w:val="-12"/>
        </w:rPr>
        <w:t> </w:t>
      </w:r>
      <w:r>
        <w:rPr/>
        <w:t>on</w:t>
      </w:r>
      <w:r>
        <w:rPr>
          <w:spacing w:val="-13"/>
        </w:rPr>
        <w:t> </w:t>
      </w:r>
      <w:r>
        <w:rPr/>
        <w:t>desire</w:t>
      </w:r>
      <w:r>
        <w:rPr>
          <w:spacing w:val="-12"/>
        </w:rPr>
        <w:t> </w:t>
      </w:r>
      <w:r>
        <w:rPr/>
        <w:t>and</w:t>
      </w:r>
      <w:r>
        <w:rPr>
          <w:spacing w:val="-13"/>
        </w:rPr>
        <w:t> </w:t>
      </w:r>
      <w:r>
        <w:rPr/>
        <w:t>sexuality in early modern England has shown how normative femininity was constituted through</w:t>
      </w:r>
      <w:r>
        <w:rPr>
          <w:spacing w:val="-2"/>
        </w:rPr>
        <w:t> </w:t>
      </w:r>
      <w:r>
        <w:rPr/>
        <w:t>the exclusion</w:t>
      </w:r>
      <w:r>
        <w:rPr>
          <w:spacing w:val="-2"/>
        </w:rPr>
        <w:t> </w:t>
      </w:r>
      <w:r>
        <w:rPr/>
        <w:t>and demonization</w:t>
      </w:r>
      <w:r>
        <w:rPr>
          <w:spacing w:val="-2"/>
        </w:rPr>
        <w:t> </w:t>
      </w:r>
      <w:r>
        <w:rPr/>
        <w:t>of</w:t>
      </w:r>
      <w:r>
        <w:rPr>
          <w:spacing w:val="-2"/>
        </w:rPr>
        <w:t> </w:t>
      </w:r>
      <w:r>
        <w:rPr/>
        <w:t>deviant forms</w:t>
      </w:r>
      <w:r>
        <w:rPr>
          <w:spacing w:val="-2"/>
        </w:rPr>
        <w:t> </w:t>
      </w:r>
      <w:r>
        <w:rPr/>
        <w:t>of female desire. Performance-based approaches, from Ann Thompson’s work on editorial history to</w:t>
      </w:r>
      <w:r>
        <w:rPr>
          <w:spacing w:val="-5"/>
        </w:rPr>
        <w:t> </w:t>
      </w:r>
      <w:r>
        <w:rPr/>
        <w:t>Ayanna Thompson’s studies of casting and embodiment, have shown how</w:t>
      </w:r>
      <w:r>
        <w:rPr>
          <w:spacing w:val="-3"/>
        </w:rPr>
        <w:t> </w:t>
      </w:r>
      <w:r>
        <w:rPr/>
        <w:t>the “bad women” have been staged, and how</w:t>
      </w:r>
      <w:r>
        <w:rPr>
          <w:spacing w:val="-13"/>
        </w:rPr>
        <w:t> </w:t>
      </w:r>
      <w:r>
        <w:rPr/>
        <w:t>performance</w:t>
      </w:r>
      <w:r>
        <w:rPr>
          <w:spacing w:val="-12"/>
        </w:rPr>
        <w:t> </w:t>
      </w:r>
      <w:r>
        <w:rPr/>
        <w:t>can</w:t>
      </w:r>
      <w:r>
        <w:rPr>
          <w:spacing w:val="-13"/>
        </w:rPr>
        <w:t> </w:t>
      </w:r>
      <w:r>
        <w:rPr/>
        <w:t>either</w:t>
      </w:r>
      <w:r>
        <w:rPr>
          <w:spacing w:val="-12"/>
        </w:rPr>
        <w:t> </w:t>
      </w:r>
      <w:r>
        <w:rPr/>
        <w:t>reinforce</w:t>
      </w:r>
      <w:r>
        <w:rPr>
          <w:spacing w:val="-13"/>
        </w:rPr>
        <w:t> </w:t>
      </w:r>
      <w:r>
        <w:rPr/>
        <w:t>or</w:t>
      </w:r>
      <w:r>
        <w:rPr>
          <w:spacing w:val="-12"/>
        </w:rPr>
        <w:t> </w:t>
      </w:r>
      <w:r>
        <w:rPr/>
        <w:t>contest</w:t>
      </w:r>
      <w:r>
        <w:rPr>
          <w:spacing w:val="-13"/>
        </w:rPr>
        <w:t> </w:t>
      </w:r>
      <w:r>
        <w:rPr/>
        <w:t>the</w:t>
      </w:r>
      <w:r>
        <w:rPr>
          <w:spacing w:val="-12"/>
        </w:rPr>
        <w:t> </w:t>
      </w:r>
      <w:r>
        <w:rPr/>
        <w:t>ideological</w:t>
      </w:r>
      <w:r>
        <w:rPr>
          <w:spacing w:val="-13"/>
        </w:rPr>
        <w:t> </w:t>
      </w:r>
      <w:r>
        <w:rPr/>
        <w:t>framings embedded in the text.</w:t>
      </w:r>
    </w:p>
    <w:p>
      <w:pPr>
        <w:pStyle w:val="BodyText"/>
        <w:spacing w:line="249" w:lineRule="auto" w:before="68"/>
        <w:ind w:right="1438" w:firstLine="432"/>
        <w:jc w:val="both"/>
      </w:pPr>
      <w:r>
        <w:rPr/>
        <w:t>What this survey reveals is that the “badness” of Shakespeare’s bad women is not a natural feature of the texts but a product of interpretation—interpretation conducted within and in the service of particular ideological frameworks. A feminist hermeneutics must not simply</w:t>
      </w:r>
      <w:r>
        <w:rPr>
          <w:spacing w:val="-9"/>
        </w:rPr>
        <w:t> </w:t>
      </w:r>
      <w:r>
        <w:rPr/>
        <w:t>reverse</w:t>
      </w:r>
      <w:r>
        <w:rPr>
          <w:spacing w:val="-3"/>
        </w:rPr>
        <w:t> </w:t>
      </w:r>
      <w:r>
        <w:rPr/>
        <w:t>the</w:t>
      </w:r>
      <w:r>
        <w:rPr>
          <w:spacing w:val="-5"/>
        </w:rPr>
        <w:t> </w:t>
      </w:r>
      <w:r>
        <w:rPr/>
        <w:t>valuation</w:t>
      </w:r>
      <w:r>
        <w:rPr>
          <w:spacing w:val="-7"/>
        </w:rPr>
        <w:t> </w:t>
      </w:r>
      <w:r>
        <w:rPr/>
        <w:t>(celebrating</w:t>
      </w:r>
      <w:r>
        <w:rPr>
          <w:spacing w:val="-6"/>
        </w:rPr>
        <w:t> </w:t>
      </w:r>
      <w:r>
        <w:rPr/>
        <w:t>what</w:t>
      </w:r>
      <w:r>
        <w:rPr>
          <w:spacing w:val="-6"/>
        </w:rPr>
        <w:t> </w:t>
      </w:r>
      <w:r>
        <w:rPr/>
        <w:t>the</w:t>
      </w:r>
      <w:r>
        <w:rPr>
          <w:spacing w:val="-3"/>
        </w:rPr>
        <w:t> </w:t>
      </w:r>
      <w:r>
        <w:rPr/>
        <w:t>tradition</w:t>
      </w:r>
      <w:r>
        <w:rPr>
          <w:spacing w:val="-7"/>
        </w:rPr>
        <w:t> </w:t>
      </w:r>
      <w:r>
        <w:rPr/>
        <w:t>condemned) but interrogate the evaluative framework itself.</w:t>
      </w:r>
    </w:p>
    <w:p>
      <w:pPr>
        <w:pStyle w:val="Heading3"/>
        <w:numPr>
          <w:ilvl w:val="0"/>
          <w:numId w:val="39"/>
        </w:numPr>
        <w:tabs>
          <w:tab w:pos="1708" w:val="left" w:leader="none"/>
        </w:tabs>
        <w:spacing w:line="240" w:lineRule="auto" w:before="159" w:after="0"/>
        <w:ind w:left="1708" w:right="0" w:hanging="268"/>
        <w:jc w:val="left"/>
      </w:pPr>
      <w:r>
        <w:rPr>
          <w:w w:val="90"/>
        </w:rPr>
        <w:t>LADY</w:t>
      </w:r>
      <w:r>
        <w:rPr>
          <w:spacing w:val="-2"/>
        </w:rPr>
        <w:t> </w:t>
      </w:r>
      <w:r>
        <w:rPr>
          <w:w w:val="90"/>
        </w:rPr>
        <w:t>MACBETH:</w:t>
      </w:r>
      <w:r>
        <w:rPr>
          <w:spacing w:val="-1"/>
        </w:rPr>
        <w:t> </w:t>
      </w:r>
      <w:r>
        <w:rPr>
          <w:w w:val="90"/>
        </w:rPr>
        <w:t>THE</w:t>
      </w:r>
      <w:r>
        <w:rPr>
          <w:spacing w:val="-3"/>
        </w:rPr>
        <w:t> </w:t>
      </w:r>
      <w:r>
        <w:rPr>
          <w:w w:val="90"/>
        </w:rPr>
        <w:t>POLITICS</w:t>
      </w:r>
      <w:r>
        <w:rPr>
          <w:spacing w:val="-3"/>
        </w:rPr>
        <w:t> </w:t>
      </w:r>
      <w:r>
        <w:rPr>
          <w:w w:val="90"/>
        </w:rPr>
        <w:t>OF</w:t>
      </w:r>
      <w:r>
        <w:rPr>
          <w:spacing w:val="-3"/>
        </w:rPr>
        <w:t> </w:t>
      </w:r>
      <w:r>
        <w:rPr>
          <w:spacing w:val="-2"/>
          <w:w w:val="90"/>
        </w:rPr>
        <w:t>UNSEXING</w:t>
      </w:r>
    </w:p>
    <w:p>
      <w:pPr>
        <w:pStyle w:val="BodyText"/>
        <w:spacing w:line="249" w:lineRule="auto" w:before="75"/>
        <w:ind w:right="1439" w:firstLine="432"/>
        <w:jc w:val="both"/>
      </w:pPr>
      <w:r>
        <w:rPr/>
        <w:t>Lady Macbeth is perhaps the most contested figure in the Shakespearean canon. Her famous invocation—”Come, you spirits / That tend on mortal thoughts, unsex me here” (Macbeth 1.5.40–41)—has been read as a revelation of evil, a psychological symptom, and a </w:t>
      </w:r>
      <w:r>
        <w:rPr>
          <w:spacing w:val="-2"/>
        </w:rPr>
        <w:t>theatrical</w:t>
      </w:r>
      <w:r>
        <w:rPr>
          <w:spacing w:val="-8"/>
        </w:rPr>
        <w:t> </w:t>
      </w:r>
      <w:r>
        <w:rPr>
          <w:spacing w:val="-2"/>
        </w:rPr>
        <w:t>tour</w:t>
      </w:r>
      <w:r>
        <w:rPr>
          <w:spacing w:val="-6"/>
        </w:rPr>
        <w:t> </w:t>
      </w:r>
      <w:r>
        <w:rPr>
          <w:spacing w:val="-2"/>
        </w:rPr>
        <w:t>de</w:t>
      </w:r>
      <w:r>
        <w:rPr>
          <w:spacing w:val="-6"/>
        </w:rPr>
        <w:t> </w:t>
      </w:r>
      <w:r>
        <w:rPr>
          <w:spacing w:val="-2"/>
        </w:rPr>
        <w:t>force.</w:t>
      </w:r>
      <w:r>
        <w:rPr>
          <w:spacing w:val="-8"/>
        </w:rPr>
        <w:t> </w:t>
      </w:r>
      <w:r>
        <w:rPr>
          <w:spacing w:val="-2"/>
        </w:rPr>
        <w:t>From</w:t>
      </w:r>
      <w:r>
        <w:rPr>
          <w:spacing w:val="-11"/>
        </w:rPr>
        <w:t> </w:t>
      </w:r>
      <w:r>
        <w:rPr>
          <w:spacing w:val="-2"/>
        </w:rPr>
        <w:t>a</w:t>
      </w:r>
      <w:r>
        <w:rPr>
          <w:spacing w:val="-7"/>
        </w:rPr>
        <w:t> </w:t>
      </w:r>
      <w:r>
        <w:rPr>
          <w:spacing w:val="-2"/>
        </w:rPr>
        <w:t>feminist</w:t>
      </w:r>
      <w:r>
        <w:rPr>
          <w:spacing w:val="-6"/>
        </w:rPr>
        <w:t> </w:t>
      </w:r>
      <w:r>
        <w:rPr>
          <w:spacing w:val="-2"/>
        </w:rPr>
        <w:t>perspective,</w:t>
      </w:r>
      <w:r>
        <w:rPr>
          <w:spacing w:val="-8"/>
        </w:rPr>
        <w:t> </w:t>
      </w:r>
      <w:r>
        <w:rPr>
          <w:spacing w:val="-2"/>
        </w:rPr>
        <w:t>however,</w:t>
      </w:r>
      <w:r>
        <w:rPr>
          <w:spacing w:val="-6"/>
        </w:rPr>
        <w:t> </w:t>
      </w:r>
      <w:r>
        <w:rPr>
          <w:spacing w:val="-2"/>
        </w:rPr>
        <w:t>it</w:t>
      </w:r>
      <w:r>
        <w:rPr>
          <w:spacing w:val="-6"/>
        </w:rPr>
        <w:t> </w:t>
      </w:r>
      <w:r>
        <w:rPr>
          <w:spacing w:val="-2"/>
        </w:rPr>
        <w:t>demands </w:t>
      </w:r>
      <w:r>
        <w:rPr/>
        <w:t>a</w:t>
      </w:r>
      <w:r>
        <w:rPr>
          <w:spacing w:val="-10"/>
        </w:rPr>
        <w:t> </w:t>
      </w:r>
      <w:r>
        <w:rPr/>
        <w:t>different</w:t>
      </w:r>
      <w:r>
        <w:rPr>
          <w:spacing w:val="-7"/>
        </w:rPr>
        <w:t> </w:t>
      </w:r>
      <w:r>
        <w:rPr/>
        <w:t>reading:</w:t>
      </w:r>
      <w:r>
        <w:rPr>
          <w:spacing w:val="-11"/>
        </w:rPr>
        <w:t> </w:t>
      </w:r>
      <w:r>
        <w:rPr/>
        <w:t>it</w:t>
      </w:r>
      <w:r>
        <w:rPr>
          <w:spacing w:val="-11"/>
        </w:rPr>
        <w:t> </w:t>
      </w:r>
      <w:r>
        <w:rPr/>
        <w:t>is</w:t>
      </w:r>
      <w:r>
        <w:rPr>
          <w:spacing w:val="-11"/>
        </w:rPr>
        <w:t> </w:t>
      </w:r>
      <w:r>
        <w:rPr/>
        <w:t>a</w:t>
      </w:r>
      <w:r>
        <w:rPr>
          <w:spacing w:val="-8"/>
        </w:rPr>
        <w:t> </w:t>
      </w:r>
      <w:r>
        <w:rPr/>
        <w:t>woman’s</w:t>
      </w:r>
      <w:r>
        <w:rPr>
          <w:spacing w:val="-11"/>
        </w:rPr>
        <w:t> </w:t>
      </w:r>
      <w:r>
        <w:rPr/>
        <w:t>desperate</w:t>
      </w:r>
      <w:r>
        <w:rPr>
          <w:spacing w:val="-10"/>
        </w:rPr>
        <w:t> </w:t>
      </w:r>
      <w:r>
        <w:rPr/>
        <w:t>attempt</w:t>
      </w:r>
      <w:r>
        <w:rPr>
          <w:spacing w:val="-10"/>
        </w:rPr>
        <w:t> </w:t>
      </w:r>
      <w:r>
        <w:rPr/>
        <w:t>to</w:t>
      </w:r>
      <w:r>
        <w:rPr>
          <w:spacing w:val="-7"/>
        </w:rPr>
        <w:t> </w:t>
      </w:r>
      <w:r>
        <w:rPr/>
        <w:t>acquire,</w:t>
      </w:r>
      <w:r>
        <w:rPr>
          <w:spacing w:val="-11"/>
        </w:rPr>
        <w:t> </w:t>
      </w:r>
      <w:r>
        <w:rPr/>
        <w:t>through supernatural means, the agency that her society systematically denies </w:t>
      </w:r>
      <w:r>
        <w:rPr>
          <w:spacing w:val="-4"/>
        </w:rPr>
        <w:t>her.</w:t>
      </w:r>
    </w:p>
    <w:p>
      <w:pPr>
        <w:pStyle w:val="BodyText"/>
        <w:spacing w:line="249" w:lineRule="auto" w:before="64"/>
        <w:ind w:right="1438" w:firstLine="432"/>
        <w:jc w:val="both"/>
      </w:pPr>
      <w:r>
        <w:rPr/>
        <w:t>The logic of Lady Macbeth’s “unsexing” speech is revealing precisely because of what it implies about the sex she is asking to be removed from. She does not wish to be evil; she wishes</w:t>
      </w:r>
      <w:r>
        <w:rPr>
          <w:spacing w:val="-1"/>
        </w:rPr>
        <w:t> </w:t>
      </w:r>
      <w:r>
        <w:rPr/>
        <w:t>to be effective. She</w:t>
      </w:r>
      <w:r>
        <w:rPr>
          <w:spacing w:val="-5"/>
        </w:rPr>
        <w:t> </w:t>
      </w:r>
      <w:r>
        <w:rPr/>
        <w:t>recognizes,</w:t>
      </w:r>
      <w:r>
        <w:rPr>
          <w:spacing w:val="-5"/>
        </w:rPr>
        <w:t> </w:t>
      </w:r>
      <w:r>
        <w:rPr/>
        <w:t>with</w:t>
      </w:r>
      <w:r>
        <w:rPr>
          <w:spacing w:val="-8"/>
        </w:rPr>
        <w:t> </w:t>
      </w:r>
      <w:r>
        <w:rPr/>
        <w:t>bitter</w:t>
      </w:r>
      <w:r>
        <w:rPr>
          <w:spacing w:val="-6"/>
        </w:rPr>
        <w:t> </w:t>
      </w:r>
      <w:r>
        <w:rPr/>
        <w:t>lucidity,</w:t>
      </w:r>
      <w:r>
        <w:rPr>
          <w:spacing w:val="-3"/>
        </w:rPr>
        <w:t> </w:t>
      </w:r>
      <w:r>
        <w:rPr/>
        <w:t>that</w:t>
      </w:r>
      <w:r>
        <w:rPr>
          <w:spacing w:val="-8"/>
        </w:rPr>
        <w:t> </w:t>
      </w:r>
      <w:r>
        <w:rPr/>
        <w:t>the</w:t>
      </w:r>
      <w:r>
        <w:rPr>
          <w:spacing w:val="-6"/>
        </w:rPr>
        <w:t> </w:t>
      </w:r>
      <w:r>
        <w:rPr/>
        <w:t>qualities</w:t>
      </w:r>
      <w:r>
        <w:rPr>
          <w:spacing w:val="-6"/>
        </w:rPr>
        <w:t> </w:t>
      </w:r>
      <w:r>
        <w:rPr/>
        <w:t>she</w:t>
      </w:r>
      <w:r>
        <w:rPr>
          <w:spacing w:val="-5"/>
        </w:rPr>
        <w:t> </w:t>
      </w:r>
      <w:r>
        <w:rPr/>
        <w:t>needs—”direst cruelty,” the capacity for violence, the suppression of “compunctious visitings of nature”—are qualities that her culture codes as masculine and</w:t>
      </w:r>
      <w:r>
        <w:rPr>
          <w:spacing w:val="14"/>
        </w:rPr>
        <w:t> </w:t>
      </w:r>
      <w:r>
        <w:rPr/>
        <w:t>denies</w:t>
      </w:r>
      <w:r>
        <w:rPr>
          <w:spacing w:val="10"/>
        </w:rPr>
        <w:t> </w:t>
      </w:r>
      <w:r>
        <w:rPr/>
        <w:t>to</w:t>
      </w:r>
      <w:r>
        <w:rPr>
          <w:spacing w:val="14"/>
        </w:rPr>
        <w:t> </w:t>
      </w:r>
      <w:r>
        <w:rPr/>
        <w:t>women.</w:t>
      </w:r>
      <w:r>
        <w:rPr>
          <w:spacing w:val="12"/>
        </w:rPr>
        <w:t> </w:t>
      </w:r>
      <w:r>
        <w:rPr/>
        <w:t>Her</w:t>
      </w:r>
      <w:r>
        <w:rPr>
          <w:spacing w:val="13"/>
        </w:rPr>
        <w:t> </w:t>
      </w:r>
      <w:r>
        <w:rPr/>
        <w:t>request</w:t>
      </w:r>
      <w:r>
        <w:rPr>
          <w:spacing w:val="11"/>
        </w:rPr>
        <w:t> </w:t>
      </w:r>
      <w:r>
        <w:rPr/>
        <w:t>to</w:t>
      </w:r>
      <w:r>
        <w:rPr>
          <w:spacing w:val="14"/>
        </w:rPr>
        <w:t> </w:t>
      </w:r>
      <w:r>
        <w:rPr/>
        <w:t>be</w:t>
      </w:r>
      <w:r>
        <w:rPr>
          <w:spacing w:val="13"/>
        </w:rPr>
        <w:t> </w:t>
      </w:r>
      <w:r>
        <w:rPr/>
        <w:t>“unsexed”</w:t>
      </w:r>
      <w:r>
        <w:rPr>
          <w:spacing w:val="12"/>
        </w:rPr>
        <w:t> </w:t>
      </w:r>
      <w:r>
        <w:rPr/>
        <w:t>is</w:t>
      </w:r>
      <w:r>
        <w:rPr>
          <w:spacing w:val="13"/>
        </w:rPr>
        <w:t> </w:t>
      </w:r>
      <w:r>
        <w:rPr/>
        <w:t>not</w:t>
      </w:r>
      <w:r>
        <w:rPr>
          <w:spacing w:val="12"/>
        </w:rPr>
        <w:t> </w:t>
      </w:r>
      <w:r>
        <w:rPr/>
        <w:t>a</w:t>
      </w:r>
      <w:r>
        <w:rPr>
          <w:spacing w:val="12"/>
        </w:rPr>
        <w:t> </w:t>
      </w:r>
      <w:r>
        <w:rPr>
          <w:spacing w:val="-2"/>
        </w:rPr>
        <w:t>confession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47072">
                <wp:simplePos x="0" y="0"/>
                <wp:positionH relativeFrom="page">
                  <wp:posOffset>2057400</wp:posOffset>
                </wp:positionH>
                <wp:positionV relativeFrom="paragraph">
                  <wp:posOffset>162604</wp:posOffset>
                </wp:positionV>
                <wp:extent cx="3657600" cy="12700"/>
                <wp:effectExtent l="0" t="0" r="0" b="0"/>
                <wp:wrapTopAndBottom/>
                <wp:docPr id="464" name="Graphic 464"/>
                <wp:cNvGraphicFramePr>
                  <a:graphicFrameLocks/>
                </wp:cNvGraphicFramePr>
                <a:graphic>
                  <a:graphicData uri="http://schemas.microsoft.com/office/word/2010/wordprocessingShape">
                    <wps:wsp>
                      <wps:cNvPr id="464" name="Graphic 46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69408;mso-wrap-distance-left:0;mso-wrap-distance-right:0" id="docshape459" filled="true" fillcolor="#000000" stroked="false">
                <v:fill type="solid"/>
                <w10:wrap type="topAndBottom"/>
              </v:rect>
            </w:pict>
          </mc:Fallback>
        </mc:AlternateContent>
      </w:r>
      <w:r>
        <w:rPr>
          <w:rFonts w:ascii="Verdana"/>
          <w:spacing w:val="-5"/>
          <w:sz w:val="18"/>
        </w:rPr>
        <w:t>202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of</w:t>
      </w:r>
      <w:r>
        <w:rPr>
          <w:spacing w:val="-2"/>
        </w:rPr>
        <w:t> </w:t>
      </w:r>
      <w:r>
        <w:rPr/>
        <w:t>innate monstrosity</w:t>
      </w:r>
      <w:r>
        <w:rPr>
          <w:spacing w:val="-4"/>
        </w:rPr>
        <w:t> </w:t>
      </w:r>
      <w:r>
        <w:rPr/>
        <w:t>but</w:t>
      </w:r>
      <w:r>
        <w:rPr>
          <w:spacing w:val="-2"/>
        </w:rPr>
        <w:t> </w:t>
      </w:r>
      <w:r>
        <w:rPr/>
        <w:t>a</w:t>
      </w:r>
      <w:r>
        <w:rPr>
          <w:spacing w:val="-2"/>
        </w:rPr>
        <w:t> </w:t>
      </w:r>
      <w:r>
        <w:rPr/>
        <w:t>structural</w:t>
      </w:r>
      <w:r>
        <w:rPr>
          <w:spacing w:val="-4"/>
        </w:rPr>
        <w:t> </w:t>
      </w:r>
      <w:r>
        <w:rPr/>
        <w:t>critique</w:t>
      </w:r>
      <w:r>
        <w:rPr>
          <w:spacing w:val="-2"/>
        </w:rPr>
        <w:t> </w:t>
      </w:r>
      <w:r>
        <w:rPr/>
        <w:t>of</w:t>
      </w:r>
      <w:r>
        <w:rPr>
          <w:spacing w:val="-2"/>
        </w:rPr>
        <w:t> </w:t>
      </w:r>
      <w:r>
        <w:rPr/>
        <w:t>the</w:t>
      </w:r>
      <w:r>
        <w:rPr>
          <w:spacing w:val="-2"/>
        </w:rPr>
        <w:t> </w:t>
      </w:r>
      <w:r>
        <w:rPr/>
        <w:t>way</w:t>
      </w:r>
      <w:r>
        <w:rPr>
          <w:spacing w:val="-4"/>
        </w:rPr>
        <w:t> </w:t>
      </w:r>
      <w:r>
        <w:rPr/>
        <w:t>her</w:t>
      </w:r>
      <w:r>
        <w:rPr>
          <w:spacing w:val="-1"/>
        </w:rPr>
        <w:t> </w:t>
      </w:r>
      <w:r>
        <w:rPr/>
        <w:t>society</w:t>
      </w:r>
      <w:r>
        <w:rPr>
          <w:spacing w:val="-4"/>
        </w:rPr>
        <w:t> </w:t>
      </w:r>
      <w:r>
        <w:rPr/>
        <w:t>has constructed femininity as powerlessness. She cannot act within the system;</w:t>
      </w:r>
      <w:r>
        <w:rPr>
          <w:spacing w:val="40"/>
        </w:rPr>
        <w:t> </w:t>
      </w:r>
      <w:r>
        <w:rPr/>
        <w:t>she</w:t>
      </w:r>
      <w:r>
        <w:rPr>
          <w:spacing w:val="40"/>
        </w:rPr>
        <w:t> </w:t>
      </w:r>
      <w:r>
        <w:rPr/>
        <w:t>can</w:t>
      </w:r>
      <w:r>
        <w:rPr>
          <w:spacing w:val="40"/>
        </w:rPr>
        <w:t> </w:t>
      </w:r>
      <w:r>
        <w:rPr/>
        <w:t>only</w:t>
      </w:r>
      <w:r>
        <w:rPr>
          <w:spacing w:val="40"/>
        </w:rPr>
        <w:t> </w:t>
      </w:r>
      <w:r>
        <w:rPr/>
        <w:t>try</w:t>
      </w:r>
      <w:r>
        <w:rPr>
          <w:spacing w:val="40"/>
        </w:rPr>
        <w:t> </w:t>
      </w:r>
      <w:r>
        <w:rPr/>
        <w:t>to</w:t>
      </w:r>
      <w:r>
        <w:rPr>
          <w:spacing w:val="40"/>
        </w:rPr>
        <w:t> </w:t>
      </w:r>
      <w:r>
        <w:rPr/>
        <w:t>exit</w:t>
      </w:r>
      <w:r>
        <w:rPr>
          <w:spacing w:val="40"/>
        </w:rPr>
        <w:t> </w:t>
      </w:r>
      <w:r>
        <w:rPr/>
        <w:t>it.</w:t>
      </w:r>
    </w:p>
    <w:p>
      <w:pPr>
        <w:pStyle w:val="BodyText"/>
        <w:spacing w:line="249" w:lineRule="auto" w:before="60"/>
        <w:ind w:right="1436" w:firstLine="432"/>
        <w:jc w:val="both"/>
      </w:pPr>
      <w:r>
        <w:rPr/>
        <w:t>Her relationship with Macbeth is itself a feminist text. In the opening acts, she is more decisive than he is: she formulates the plan, manages</w:t>
      </w:r>
      <w:r>
        <w:rPr>
          <w:spacing w:val="-13"/>
        </w:rPr>
        <w:t> </w:t>
      </w:r>
      <w:r>
        <w:rPr/>
        <w:t>his</w:t>
      </w:r>
      <w:r>
        <w:rPr>
          <w:spacing w:val="-12"/>
        </w:rPr>
        <w:t> </w:t>
      </w:r>
      <w:r>
        <w:rPr/>
        <w:t>hesitation,</w:t>
      </w:r>
      <w:r>
        <w:rPr>
          <w:spacing w:val="-13"/>
        </w:rPr>
        <w:t> </w:t>
      </w:r>
      <w:r>
        <w:rPr/>
        <w:t>and</w:t>
      </w:r>
      <w:r>
        <w:rPr>
          <w:spacing w:val="-9"/>
        </w:rPr>
        <w:t> </w:t>
      </w:r>
      <w:r>
        <w:rPr/>
        <w:t>steers</w:t>
      </w:r>
      <w:r>
        <w:rPr>
          <w:spacing w:val="-13"/>
        </w:rPr>
        <w:t> </w:t>
      </w:r>
      <w:r>
        <w:rPr/>
        <w:t>the</w:t>
      </w:r>
      <w:r>
        <w:rPr>
          <w:spacing w:val="-11"/>
        </w:rPr>
        <w:t> </w:t>
      </w:r>
      <w:r>
        <w:rPr/>
        <w:t>action</w:t>
      </w:r>
      <w:r>
        <w:rPr>
          <w:spacing w:val="-13"/>
        </w:rPr>
        <w:t> </w:t>
      </w:r>
      <w:r>
        <w:rPr/>
        <w:t>toward</w:t>
      </w:r>
      <w:r>
        <w:rPr>
          <w:spacing w:val="-12"/>
        </w:rPr>
        <w:t> </w:t>
      </w:r>
      <w:r>
        <w:rPr/>
        <w:t>its</w:t>
      </w:r>
      <w:r>
        <w:rPr>
          <w:spacing w:val="-13"/>
        </w:rPr>
        <w:t> </w:t>
      </w:r>
      <w:r>
        <w:rPr/>
        <w:t>lethal</w:t>
      </w:r>
      <w:r>
        <w:rPr>
          <w:spacing w:val="-11"/>
        </w:rPr>
        <w:t> </w:t>
      </w:r>
      <w:r>
        <w:rPr/>
        <w:t>conclusion. Critics</w:t>
      </w:r>
      <w:r>
        <w:rPr>
          <w:spacing w:val="-13"/>
        </w:rPr>
        <w:t> </w:t>
      </w:r>
      <w:r>
        <w:rPr/>
        <w:t>who</w:t>
      </w:r>
      <w:r>
        <w:rPr>
          <w:spacing w:val="-12"/>
        </w:rPr>
        <w:t> </w:t>
      </w:r>
      <w:r>
        <w:rPr/>
        <w:t>read</w:t>
      </w:r>
      <w:r>
        <w:rPr>
          <w:spacing w:val="-12"/>
        </w:rPr>
        <w:t> </w:t>
      </w:r>
      <w:r>
        <w:rPr/>
        <w:t>this</w:t>
      </w:r>
      <w:r>
        <w:rPr>
          <w:spacing w:val="-12"/>
        </w:rPr>
        <w:t> </w:t>
      </w:r>
      <w:r>
        <w:rPr/>
        <w:t>as</w:t>
      </w:r>
      <w:r>
        <w:rPr>
          <w:spacing w:val="-13"/>
        </w:rPr>
        <w:t> </w:t>
      </w:r>
      <w:r>
        <w:rPr/>
        <w:t>straightforwardly</w:t>
      </w:r>
      <w:r>
        <w:rPr>
          <w:spacing w:val="-12"/>
        </w:rPr>
        <w:t> </w:t>
      </w:r>
      <w:r>
        <w:rPr/>
        <w:t>threatening</w:t>
      </w:r>
      <w:r>
        <w:rPr>
          <w:spacing w:val="-12"/>
        </w:rPr>
        <w:t> </w:t>
      </w:r>
      <w:r>
        <w:rPr/>
        <w:t>female</w:t>
      </w:r>
      <w:r>
        <w:rPr>
          <w:spacing w:val="-12"/>
        </w:rPr>
        <w:t> </w:t>
      </w:r>
      <w:r>
        <w:rPr/>
        <w:t>domination </w:t>
      </w:r>
      <w:r>
        <w:rPr>
          <w:spacing w:val="-2"/>
        </w:rPr>
        <w:t>miss</w:t>
      </w:r>
      <w:r>
        <w:rPr>
          <w:spacing w:val="-11"/>
        </w:rPr>
        <w:t> </w:t>
      </w:r>
      <w:r>
        <w:rPr>
          <w:spacing w:val="-2"/>
        </w:rPr>
        <w:t>the</w:t>
      </w:r>
      <w:r>
        <w:rPr>
          <w:spacing w:val="-10"/>
        </w:rPr>
        <w:t> </w:t>
      </w:r>
      <w:r>
        <w:rPr>
          <w:spacing w:val="-2"/>
        </w:rPr>
        <w:t>historical</w:t>
      </w:r>
      <w:r>
        <w:rPr>
          <w:spacing w:val="-8"/>
        </w:rPr>
        <w:t> </w:t>
      </w:r>
      <w:r>
        <w:rPr>
          <w:spacing w:val="-2"/>
        </w:rPr>
        <w:t>irony.</w:t>
      </w:r>
      <w:r>
        <w:rPr>
          <w:spacing w:val="-11"/>
        </w:rPr>
        <w:t> </w:t>
      </w:r>
      <w:r>
        <w:rPr>
          <w:spacing w:val="-2"/>
        </w:rPr>
        <w:t>A</w:t>
      </w:r>
      <w:r>
        <w:rPr>
          <w:spacing w:val="-10"/>
        </w:rPr>
        <w:t> </w:t>
      </w:r>
      <w:r>
        <w:rPr>
          <w:spacing w:val="-2"/>
        </w:rPr>
        <w:t>woman</w:t>
      </w:r>
      <w:r>
        <w:rPr>
          <w:spacing w:val="-9"/>
        </w:rPr>
        <w:t> </w:t>
      </w:r>
      <w:r>
        <w:rPr>
          <w:spacing w:val="-2"/>
        </w:rPr>
        <w:t>who</w:t>
      </w:r>
      <w:r>
        <w:rPr>
          <w:spacing w:val="-3"/>
        </w:rPr>
        <w:t> </w:t>
      </w:r>
      <w:r>
        <w:rPr>
          <w:spacing w:val="-2"/>
        </w:rPr>
        <w:t>is</w:t>
      </w:r>
      <w:r>
        <w:rPr>
          <w:spacing w:val="-7"/>
        </w:rPr>
        <w:t> </w:t>
      </w:r>
      <w:r>
        <w:rPr>
          <w:spacing w:val="-2"/>
        </w:rPr>
        <w:t>more</w:t>
      </w:r>
      <w:r>
        <w:rPr>
          <w:spacing w:val="-5"/>
        </w:rPr>
        <w:t> </w:t>
      </w:r>
      <w:r>
        <w:rPr>
          <w:spacing w:val="-2"/>
        </w:rPr>
        <w:t>capable</w:t>
      </w:r>
      <w:r>
        <w:rPr>
          <w:spacing w:val="-4"/>
        </w:rPr>
        <w:t> </w:t>
      </w:r>
      <w:r>
        <w:rPr>
          <w:spacing w:val="-2"/>
        </w:rPr>
        <w:t>than</w:t>
      </w:r>
      <w:r>
        <w:rPr>
          <w:spacing w:val="-7"/>
        </w:rPr>
        <w:t> </w:t>
      </w:r>
      <w:r>
        <w:rPr>
          <w:spacing w:val="-2"/>
        </w:rPr>
        <w:t>her</w:t>
      </w:r>
      <w:r>
        <w:rPr>
          <w:spacing w:val="-5"/>
        </w:rPr>
        <w:t> </w:t>
      </w:r>
      <w:r>
        <w:rPr>
          <w:spacing w:val="-2"/>
        </w:rPr>
        <w:t>husband </w:t>
      </w:r>
      <w:r>
        <w:rPr/>
        <w:t>is threatening in a patriarchal culture precisely because the culture insists on male supremacy as natural; when the natural order is visibly </w:t>
      </w:r>
      <w:r>
        <w:rPr>
          <w:spacing w:val="-2"/>
        </w:rPr>
        <w:t>inverted,</w:t>
      </w:r>
      <w:r>
        <w:rPr>
          <w:spacing w:val="-10"/>
        </w:rPr>
        <w:t> </w:t>
      </w:r>
      <w:r>
        <w:rPr>
          <w:spacing w:val="-2"/>
        </w:rPr>
        <w:t>the</w:t>
      </w:r>
      <w:r>
        <w:rPr>
          <w:spacing w:val="-6"/>
        </w:rPr>
        <w:t> </w:t>
      </w:r>
      <w:r>
        <w:rPr>
          <w:spacing w:val="-2"/>
        </w:rPr>
        <w:t>woman</w:t>
      </w:r>
      <w:r>
        <w:rPr>
          <w:spacing w:val="-11"/>
        </w:rPr>
        <w:t> </w:t>
      </w:r>
      <w:r>
        <w:rPr>
          <w:spacing w:val="-2"/>
        </w:rPr>
        <w:t>is</w:t>
      </w:r>
      <w:r>
        <w:rPr>
          <w:spacing w:val="-7"/>
        </w:rPr>
        <w:t> </w:t>
      </w:r>
      <w:r>
        <w:rPr>
          <w:spacing w:val="-2"/>
        </w:rPr>
        <w:t>blamed.</w:t>
      </w:r>
      <w:r>
        <w:rPr>
          <w:spacing w:val="-7"/>
        </w:rPr>
        <w:t> </w:t>
      </w:r>
      <w:r>
        <w:rPr>
          <w:spacing w:val="-2"/>
        </w:rPr>
        <w:t>Lady</w:t>
      </w:r>
      <w:r>
        <w:rPr>
          <w:spacing w:val="-11"/>
        </w:rPr>
        <w:t> </w:t>
      </w:r>
      <w:r>
        <w:rPr>
          <w:spacing w:val="-2"/>
        </w:rPr>
        <w:t>Macbeth</w:t>
      </w:r>
      <w:r>
        <w:rPr>
          <w:spacing w:val="-7"/>
        </w:rPr>
        <w:t> </w:t>
      </w:r>
      <w:r>
        <w:rPr>
          <w:spacing w:val="-2"/>
        </w:rPr>
        <w:t>does</w:t>
      </w:r>
      <w:r>
        <w:rPr>
          <w:spacing w:val="-11"/>
        </w:rPr>
        <w:t> </w:t>
      </w:r>
      <w:r>
        <w:rPr>
          <w:spacing w:val="-2"/>
        </w:rPr>
        <w:t>not</w:t>
      </w:r>
      <w:r>
        <w:rPr>
          <w:spacing w:val="-7"/>
        </w:rPr>
        <w:t> </w:t>
      </w:r>
      <w:r>
        <w:rPr>
          <w:spacing w:val="-2"/>
        </w:rPr>
        <w:t>become</w:t>
      </w:r>
      <w:r>
        <w:rPr>
          <w:spacing w:val="-7"/>
        </w:rPr>
        <w:t> </w:t>
      </w:r>
      <w:r>
        <w:rPr>
          <w:spacing w:val="-2"/>
        </w:rPr>
        <w:t>dominant </w:t>
      </w:r>
      <w:r>
        <w:rPr/>
        <w:t>by exceeding normal female capacity; she becomes dominant by exercising</w:t>
      </w:r>
      <w:r>
        <w:rPr>
          <w:spacing w:val="-4"/>
        </w:rPr>
        <w:t> </w:t>
      </w:r>
      <w:r>
        <w:rPr/>
        <w:t>ordinary</w:t>
      </w:r>
      <w:r>
        <w:rPr>
          <w:spacing w:val="-6"/>
        </w:rPr>
        <w:t> </w:t>
      </w:r>
      <w:r>
        <w:rPr/>
        <w:t>human</w:t>
      </w:r>
      <w:r>
        <w:rPr>
          <w:spacing w:val="-6"/>
        </w:rPr>
        <w:t> </w:t>
      </w:r>
      <w:r>
        <w:rPr/>
        <w:t>capacity</w:t>
      </w:r>
      <w:r>
        <w:rPr>
          <w:spacing w:val="-6"/>
        </w:rPr>
        <w:t> </w:t>
      </w:r>
      <w:r>
        <w:rPr/>
        <w:t>in</w:t>
      </w:r>
      <w:r>
        <w:rPr>
          <w:spacing w:val="-4"/>
        </w:rPr>
        <w:t> </w:t>
      </w:r>
      <w:r>
        <w:rPr/>
        <w:t>a</w:t>
      </w:r>
      <w:r>
        <w:rPr>
          <w:spacing w:val="-3"/>
        </w:rPr>
        <w:t> </w:t>
      </w:r>
      <w:r>
        <w:rPr/>
        <w:t>context</w:t>
      </w:r>
      <w:r>
        <w:rPr>
          <w:spacing w:val="-2"/>
        </w:rPr>
        <w:t> </w:t>
      </w:r>
      <w:r>
        <w:rPr/>
        <w:t>that</w:t>
      </w:r>
      <w:r>
        <w:rPr>
          <w:spacing w:val="-3"/>
        </w:rPr>
        <w:t> </w:t>
      </w:r>
      <w:r>
        <w:rPr/>
        <w:t>has</w:t>
      </w:r>
      <w:r>
        <w:rPr>
          <w:spacing w:val="-6"/>
        </w:rPr>
        <w:t> </w:t>
      </w:r>
      <w:r>
        <w:rPr/>
        <w:t>denied</w:t>
      </w:r>
      <w:r>
        <w:rPr>
          <w:spacing w:val="-2"/>
        </w:rPr>
        <w:t> </w:t>
      </w:r>
      <w:r>
        <w:rPr/>
        <w:t>it</w:t>
      </w:r>
      <w:r>
        <w:rPr>
          <w:spacing w:val="-2"/>
        </w:rPr>
        <w:t> </w:t>
      </w:r>
      <w:r>
        <w:rPr/>
        <w:t>to</w:t>
      </w:r>
      <w:r>
        <w:rPr>
          <w:spacing w:val="-1"/>
        </w:rPr>
        <w:t> </w:t>
      </w:r>
      <w:r>
        <w:rPr/>
        <w:t>her </w:t>
      </w:r>
      <w:r>
        <w:rPr>
          <w:spacing w:val="-2"/>
        </w:rPr>
        <w:t>gender.</w:t>
      </w:r>
    </w:p>
    <w:p>
      <w:pPr>
        <w:pStyle w:val="BodyText"/>
        <w:spacing w:line="249" w:lineRule="auto" w:before="67"/>
        <w:ind w:right="1436" w:firstLine="432"/>
        <w:jc w:val="both"/>
      </w:pPr>
      <w:r>
        <w:rPr/>
        <w:t>The sleepwalking scene (5.1) has traditionally been read as the return</w:t>
      </w:r>
      <w:r>
        <w:rPr>
          <w:spacing w:val="-7"/>
        </w:rPr>
        <w:t> </w:t>
      </w:r>
      <w:r>
        <w:rPr/>
        <w:t>of</w:t>
      </w:r>
      <w:r>
        <w:rPr>
          <w:spacing w:val="-5"/>
        </w:rPr>
        <w:t> </w:t>
      </w:r>
      <w:r>
        <w:rPr/>
        <w:t>suppressed</w:t>
      </w:r>
      <w:r>
        <w:rPr>
          <w:spacing w:val="-5"/>
        </w:rPr>
        <w:t> </w:t>
      </w:r>
      <w:r>
        <w:rPr/>
        <w:t>femininity,</w:t>
      </w:r>
      <w:r>
        <w:rPr>
          <w:spacing w:val="-3"/>
        </w:rPr>
        <w:t> </w:t>
      </w:r>
      <w:r>
        <w:rPr/>
        <w:t>the</w:t>
      </w:r>
      <w:r>
        <w:rPr>
          <w:spacing w:val="-5"/>
        </w:rPr>
        <w:t> </w:t>
      </w:r>
      <w:r>
        <w:rPr/>
        <w:t>conscience</w:t>
      </w:r>
      <w:r>
        <w:rPr>
          <w:spacing w:val="-3"/>
        </w:rPr>
        <w:t> </w:t>
      </w:r>
      <w:r>
        <w:rPr/>
        <w:t>reasserting</w:t>
      </w:r>
      <w:r>
        <w:rPr>
          <w:spacing w:val="-7"/>
        </w:rPr>
        <w:t> </w:t>
      </w:r>
      <w:r>
        <w:rPr/>
        <w:t>itself</w:t>
      </w:r>
      <w:r>
        <w:rPr>
          <w:spacing w:val="-3"/>
        </w:rPr>
        <w:t> </w:t>
      </w:r>
      <w:r>
        <w:rPr/>
        <w:t>against the will. But this reading is too comfortable. It allows the critic to have it both ways: Lady Macbeth is frightening</w:t>
      </w:r>
      <w:r>
        <w:rPr>
          <w:spacing w:val="-2"/>
        </w:rPr>
        <w:t> </w:t>
      </w:r>
      <w:r>
        <w:rPr/>
        <w:t>because she unsexed herself, and her breakdown confirms that women cannot sustain such unnaturalness. A feminist reading notes instead that the sleepwalking scene</w:t>
      </w:r>
      <w:r>
        <w:rPr>
          <w:spacing w:val="-11"/>
        </w:rPr>
        <w:t> </w:t>
      </w:r>
      <w:r>
        <w:rPr/>
        <w:t>shows</w:t>
      </w:r>
      <w:r>
        <w:rPr>
          <w:spacing w:val="-11"/>
        </w:rPr>
        <w:t> </w:t>
      </w:r>
      <w:r>
        <w:rPr/>
        <w:t>the</w:t>
      </w:r>
      <w:r>
        <w:rPr>
          <w:spacing w:val="-10"/>
        </w:rPr>
        <w:t> </w:t>
      </w:r>
      <w:r>
        <w:rPr/>
        <w:t>cost—paid</w:t>
      </w:r>
      <w:r>
        <w:rPr>
          <w:spacing w:val="-9"/>
        </w:rPr>
        <w:t> </w:t>
      </w:r>
      <w:r>
        <w:rPr/>
        <w:t>in</w:t>
      </w:r>
      <w:r>
        <w:rPr>
          <w:spacing w:val="-11"/>
        </w:rPr>
        <w:t> </w:t>
      </w:r>
      <w:r>
        <w:rPr/>
        <w:t>psychological</w:t>
      </w:r>
      <w:r>
        <w:rPr>
          <w:spacing w:val="-11"/>
        </w:rPr>
        <w:t> </w:t>
      </w:r>
      <w:r>
        <w:rPr/>
        <w:t>devastation—of</w:t>
      </w:r>
      <w:r>
        <w:rPr>
          <w:spacing w:val="-11"/>
        </w:rPr>
        <w:t> </w:t>
      </w:r>
      <w:r>
        <w:rPr/>
        <w:t>navigating the impossible contradictions of her position. She has used the only tools</w:t>
      </w:r>
      <w:r>
        <w:rPr>
          <w:spacing w:val="-1"/>
        </w:rPr>
        <w:t> </w:t>
      </w:r>
      <w:r>
        <w:rPr/>
        <w:t>available to</w:t>
      </w:r>
      <w:r>
        <w:rPr>
          <w:spacing w:val="-1"/>
        </w:rPr>
        <w:t> </w:t>
      </w:r>
      <w:r>
        <w:rPr/>
        <w:t>her:</w:t>
      </w:r>
      <w:r>
        <w:rPr>
          <w:spacing w:val="-1"/>
        </w:rPr>
        <w:t> </w:t>
      </w:r>
      <w:r>
        <w:rPr/>
        <w:t>manipulation,</w:t>
      </w:r>
      <w:r>
        <w:rPr>
          <w:spacing w:val="-1"/>
        </w:rPr>
        <w:t> </w:t>
      </w:r>
      <w:r>
        <w:rPr/>
        <w:t>persuasion,</w:t>
      </w:r>
      <w:r>
        <w:rPr>
          <w:spacing w:val="-1"/>
        </w:rPr>
        <w:t> </w:t>
      </w:r>
      <w:r>
        <w:rPr/>
        <w:t>complicity</w:t>
      </w:r>
      <w:r>
        <w:rPr>
          <w:spacing w:val="-2"/>
        </w:rPr>
        <w:t> </w:t>
      </w:r>
      <w:r>
        <w:rPr/>
        <w:t>in</w:t>
      </w:r>
      <w:r>
        <w:rPr>
          <w:spacing w:val="-1"/>
        </w:rPr>
        <w:t> </w:t>
      </w:r>
      <w:r>
        <w:rPr/>
        <w:t>violence. The</w:t>
      </w:r>
      <w:r>
        <w:rPr>
          <w:spacing w:val="-4"/>
        </w:rPr>
        <w:t> </w:t>
      </w:r>
      <w:r>
        <w:rPr/>
        <w:t>price</w:t>
      </w:r>
      <w:r>
        <w:rPr>
          <w:spacing w:val="-5"/>
        </w:rPr>
        <w:t> </w:t>
      </w:r>
      <w:r>
        <w:rPr/>
        <w:t>of</w:t>
      </w:r>
      <w:r>
        <w:rPr>
          <w:spacing w:val="-5"/>
        </w:rPr>
        <w:t> </w:t>
      </w:r>
      <w:r>
        <w:rPr/>
        <w:t>that</w:t>
      </w:r>
      <w:r>
        <w:rPr>
          <w:spacing w:val="-7"/>
        </w:rPr>
        <w:t> </w:t>
      </w:r>
      <w:r>
        <w:rPr/>
        <w:t>complicity,</w:t>
      </w:r>
      <w:r>
        <w:rPr>
          <w:spacing w:val="-5"/>
        </w:rPr>
        <w:t> </w:t>
      </w:r>
      <w:r>
        <w:rPr/>
        <w:t>in</w:t>
      </w:r>
      <w:r>
        <w:rPr>
          <w:spacing w:val="-5"/>
        </w:rPr>
        <w:t> </w:t>
      </w:r>
      <w:r>
        <w:rPr/>
        <w:t>a</w:t>
      </w:r>
      <w:r>
        <w:rPr>
          <w:spacing w:val="-2"/>
        </w:rPr>
        <w:t> </w:t>
      </w:r>
      <w:r>
        <w:rPr/>
        <w:t>world</w:t>
      </w:r>
      <w:r>
        <w:rPr>
          <w:spacing w:val="-3"/>
        </w:rPr>
        <w:t> </w:t>
      </w:r>
      <w:r>
        <w:rPr/>
        <w:t>that</w:t>
      </w:r>
      <w:r>
        <w:rPr>
          <w:spacing w:val="-4"/>
        </w:rPr>
        <w:t> </w:t>
      </w:r>
      <w:r>
        <w:rPr/>
        <w:t>will</w:t>
      </w:r>
      <w:r>
        <w:rPr>
          <w:spacing w:val="-7"/>
        </w:rPr>
        <w:t> </w:t>
      </w:r>
      <w:r>
        <w:rPr/>
        <w:t>not</w:t>
      </w:r>
      <w:r>
        <w:rPr>
          <w:spacing w:val="-3"/>
        </w:rPr>
        <w:t> </w:t>
      </w:r>
      <w:r>
        <w:rPr/>
        <w:t>grant</w:t>
      </w:r>
      <w:r>
        <w:rPr>
          <w:spacing w:val="-5"/>
        </w:rPr>
        <w:t> </w:t>
      </w:r>
      <w:r>
        <w:rPr/>
        <w:t>her</w:t>
      </w:r>
      <w:r>
        <w:rPr>
          <w:spacing w:val="-3"/>
        </w:rPr>
        <w:t> </w:t>
      </w:r>
      <w:r>
        <w:rPr/>
        <w:t>legitimate power, is her mind.</w:t>
      </w:r>
    </w:p>
    <w:p>
      <w:pPr>
        <w:pStyle w:val="BodyText"/>
        <w:spacing w:line="249" w:lineRule="auto" w:before="69"/>
        <w:ind w:right="1438" w:firstLine="432"/>
        <w:jc w:val="both"/>
      </w:pPr>
      <w:r>
        <w:rPr/>
        <w:t>Marianne Novy’s analysis of “mutuality and subjection” in Shakespeare’s</w:t>
      </w:r>
      <w:r>
        <w:rPr>
          <w:spacing w:val="-12"/>
        </w:rPr>
        <w:t> </w:t>
      </w:r>
      <w:r>
        <w:rPr/>
        <w:t>marriages</w:t>
      </w:r>
      <w:r>
        <w:rPr>
          <w:spacing w:val="-11"/>
        </w:rPr>
        <w:t> </w:t>
      </w:r>
      <w:r>
        <w:rPr/>
        <w:t>is</w:t>
      </w:r>
      <w:r>
        <w:rPr>
          <w:spacing w:val="-12"/>
        </w:rPr>
        <w:t> </w:t>
      </w:r>
      <w:r>
        <w:rPr/>
        <w:t>illuminating</w:t>
      </w:r>
      <w:r>
        <w:rPr>
          <w:spacing w:val="-11"/>
        </w:rPr>
        <w:t> </w:t>
      </w:r>
      <w:r>
        <w:rPr/>
        <w:t>here.</w:t>
      </w:r>
      <w:r>
        <w:rPr>
          <w:spacing w:val="-11"/>
        </w:rPr>
        <w:t> </w:t>
      </w:r>
      <w:r>
        <w:rPr/>
        <w:t>Novy</w:t>
      </w:r>
      <w:r>
        <w:rPr>
          <w:spacing w:val="-13"/>
        </w:rPr>
        <w:t> </w:t>
      </w:r>
      <w:r>
        <w:rPr/>
        <w:t>argues</w:t>
      </w:r>
      <w:r>
        <w:rPr>
          <w:spacing w:val="-12"/>
        </w:rPr>
        <w:t> </w:t>
      </w:r>
      <w:r>
        <w:rPr/>
        <w:t>that</w:t>
      </w:r>
      <w:r>
        <w:rPr>
          <w:spacing w:val="-11"/>
        </w:rPr>
        <w:t> </w:t>
      </w:r>
      <w:r>
        <w:rPr/>
        <w:t>the</w:t>
      </w:r>
      <w:r>
        <w:rPr>
          <w:spacing w:val="-11"/>
        </w:rPr>
        <w:t> </w:t>
      </w:r>
      <w:r>
        <w:rPr/>
        <w:t>plays consistently register the tension between an emerging early modern ideology of companionate marriage—in which husband and wife are genuine partners—and the legal and social structures that subordinated wives to husbands (Novy 15). Lady Macbeth and Macbeth are, in a perverse sense, a companionate couple: they plan together, confide in each other, and are bound</w:t>
      </w:r>
      <w:r>
        <w:rPr>
          <w:spacing w:val="18"/>
        </w:rPr>
        <w:t> </w:t>
      </w:r>
      <w:r>
        <w:rPr/>
        <w:t>by a shared</w:t>
      </w:r>
      <w:r>
        <w:rPr>
          <w:spacing w:val="18"/>
        </w:rPr>
        <w:t> </w:t>
      </w:r>
      <w:r>
        <w:rPr/>
        <w:t>project. But the political world</w:t>
      </w:r>
      <w:r>
        <w:rPr>
          <w:spacing w:val="40"/>
        </w:rPr>
        <w:t> </w:t>
      </w:r>
      <w:r>
        <w:rPr/>
        <w:t>in which they act admits no legitimate space for female partnership in power. Lady Macbeth cannot be a ruler; she can only be a ruler’s wife. The violence she unleashes, and the violence that eventually consumes her,</w:t>
      </w:r>
      <w:r>
        <w:rPr>
          <w:spacing w:val="40"/>
        </w:rPr>
        <w:t> </w:t>
      </w:r>
      <w:r>
        <w:rPr/>
        <w:t>is</w:t>
      </w:r>
      <w:r>
        <w:rPr>
          <w:spacing w:val="40"/>
        </w:rPr>
        <w:t> </w:t>
      </w:r>
      <w:r>
        <w:rPr/>
        <w:t>partly</w:t>
      </w:r>
      <w:r>
        <w:rPr>
          <w:spacing w:val="40"/>
        </w:rPr>
        <w:t> </w:t>
      </w:r>
      <w:r>
        <w:rPr/>
        <w:t>a</w:t>
      </w:r>
      <w:r>
        <w:rPr>
          <w:spacing w:val="40"/>
        </w:rPr>
        <w:t> </w:t>
      </w:r>
      <w:r>
        <w:rPr/>
        <w:t>consequence</w:t>
      </w:r>
      <w:r>
        <w:rPr>
          <w:spacing w:val="40"/>
        </w:rPr>
        <w:t> </w:t>
      </w:r>
      <w:r>
        <w:rPr/>
        <w:t>of</w:t>
      </w:r>
      <w:r>
        <w:rPr>
          <w:spacing w:val="40"/>
        </w:rPr>
        <w:t> </w:t>
      </w:r>
      <w:r>
        <w:rPr/>
        <w:t>this</w:t>
      </w:r>
      <w:r>
        <w:rPr>
          <w:spacing w:val="39"/>
        </w:rPr>
        <w:t> </w:t>
      </w:r>
      <w:r>
        <w:rPr/>
        <w:t>structural</w:t>
      </w:r>
      <w:r>
        <w:rPr>
          <w:spacing w:val="40"/>
        </w:rPr>
        <w:t> </w:t>
      </w:r>
      <w:r>
        <w:rPr/>
        <w:t>impossibility.</w:t>
      </w:r>
    </w:p>
    <w:p>
      <w:pPr>
        <w:pStyle w:val="BodyText"/>
        <w:spacing w:line="249" w:lineRule="auto" w:before="67"/>
        <w:ind w:right="1440" w:firstLine="432"/>
        <w:jc w:val="both"/>
      </w:pPr>
      <w:r>
        <w:rPr>
          <w:spacing w:val="-2"/>
        </w:rPr>
        <w:t>Her</w:t>
      </w:r>
      <w:r>
        <w:rPr>
          <w:spacing w:val="-5"/>
        </w:rPr>
        <w:t> </w:t>
      </w:r>
      <w:r>
        <w:rPr>
          <w:spacing w:val="-2"/>
        </w:rPr>
        <w:t>famous</w:t>
      </w:r>
      <w:r>
        <w:rPr>
          <w:spacing w:val="-5"/>
        </w:rPr>
        <w:t> </w:t>
      </w:r>
      <w:r>
        <w:rPr>
          <w:spacing w:val="-2"/>
        </w:rPr>
        <w:t>characterization</w:t>
      </w:r>
      <w:r>
        <w:rPr>
          <w:spacing w:val="-8"/>
        </w:rPr>
        <w:t> </w:t>
      </w:r>
      <w:r>
        <w:rPr>
          <w:spacing w:val="-2"/>
        </w:rPr>
        <w:t>as</w:t>
      </w:r>
      <w:r>
        <w:rPr>
          <w:spacing w:val="-10"/>
        </w:rPr>
        <w:t> </w:t>
      </w:r>
      <w:r>
        <w:rPr>
          <w:spacing w:val="-2"/>
        </w:rPr>
        <w:t>a study</w:t>
      </w:r>
      <w:r>
        <w:rPr>
          <w:spacing w:val="-10"/>
        </w:rPr>
        <w:t> </w:t>
      </w:r>
      <w:r>
        <w:rPr>
          <w:spacing w:val="-2"/>
        </w:rPr>
        <w:t>in</w:t>
      </w:r>
      <w:r>
        <w:rPr>
          <w:spacing w:val="-8"/>
        </w:rPr>
        <w:t> </w:t>
      </w:r>
      <w:r>
        <w:rPr>
          <w:spacing w:val="-2"/>
        </w:rPr>
        <w:t>“ambition”</w:t>
      </w:r>
      <w:r>
        <w:rPr>
          <w:spacing w:val="-4"/>
        </w:rPr>
        <w:t> </w:t>
      </w:r>
      <w:r>
        <w:rPr>
          <w:spacing w:val="-2"/>
        </w:rPr>
        <w:t>further</w:t>
      </w:r>
      <w:r>
        <w:rPr>
          <w:spacing w:val="-5"/>
        </w:rPr>
        <w:t> </w:t>
      </w:r>
      <w:r>
        <w:rPr>
          <w:spacing w:val="-2"/>
        </w:rPr>
        <w:t>reveals the</w:t>
      </w:r>
      <w:r>
        <w:rPr/>
        <w:t> </w:t>
      </w:r>
      <w:r>
        <w:rPr>
          <w:spacing w:val="-2"/>
        </w:rPr>
        <w:t>ideology</w:t>
      </w:r>
      <w:r>
        <w:rPr>
          <w:spacing w:val="-6"/>
        </w:rPr>
        <w:t> </w:t>
      </w:r>
      <w:r>
        <w:rPr>
          <w:spacing w:val="-2"/>
        </w:rPr>
        <w:t>at work.</w:t>
      </w:r>
      <w:r>
        <w:rPr>
          <w:spacing w:val="-3"/>
        </w:rPr>
        <w:t> </w:t>
      </w:r>
      <w:r>
        <w:rPr>
          <w:spacing w:val="-2"/>
        </w:rPr>
        <w:t>Male</w:t>
      </w:r>
      <w:r>
        <w:rPr/>
        <w:t> </w:t>
      </w:r>
      <w:r>
        <w:rPr>
          <w:spacing w:val="-2"/>
        </w:rPr>
        <w:t>ambition</w:t>
      </w:r>
      <w:r>
        <w:rPr>
          <w:spacing w:val="-5"/>
        </w:rPr>
        <w:t> </w:t>
      </w:r>
      <w:r>
        <w:rPr>
          <w:spacing w:val="-2"/>
        </w:rPr>
        <w:t>in</w:t>
      </w:r>
      <w:r>
        <w:rPr>
          <w:spacing w:val="-4"/>
        </w:rPr>
        <w:t> </w:t>
      </w:r>
      <w:r>
        <w:rPr>
          <w:spacing w:val="-2"/>
        </w:rPr>
        <w:t>the</w:t>
      </w:r>
      <w:r>
        <w:rPr>
          <w:spacing w:val="-3"/>
        </w:rPr>
        <w:t> </w:t>
      </w:r>
      <w:r>
        <w:rPr>
          <w:spacing w:val="-2"/>
        </w:rPr>
        <w:t>plays—Bolingbroke’s</w:t>
      </w:r>
      <w:r>
        <w:rPr>
          <w:spacing w:val="-3"/>
        </w:rPr>
        <w:t> </w:t>
      </w:r>
      <w:r>
        <w:rPr>
          <w:spacing w:val="-2"/>
        </w:rPr>
        <w:t>seizure</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47584">
                <wp:simplePos x="0" y="0"/>
                <wp:positionH relativeFrom="page">
                  <wp:posOffset>2065020</wp:posOffset>
                </wp:positionH>
                <wp:positionV relativeFrom="paragraph">
                  <wp:posOffset>795020</wp:posOffset>
                </wp:positionV>
                <wp:extent cx="3657600" cy="12700"/>
                <wp:effectExtent l="0" t="0" r="0" b="0"/>
                <wp:wrapTopAndBottom/>
                <wp:docPr id="465" name="Graphic 465"/>
                <wp:cNvGraphicFramePr>
                  <a:graphicFrameLocks/>
                </wp:cNvGraphicFramePr>
                <a:graphic>
                  <a:graphicData uri="http://schemas.microsoft.com/office/word/2010/wordprocessingShape">
                    <wps:wsp>
                      <wps:cNvPr id="465" name="Graphic 46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68896;mso-wrap-distance-left:0;mso-wrap-distance-right:0" id="docshape460" filled="true" fillcolor="#000000" stroked="false">
                <v:fill type="solid"/>
                <w10:wrap type="topAndBottom"/>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203</w:t>
      </w:r>
    </w:p>
    <w:p>
      <w:pPr>
        <w:pStyle w:val="BodyText"/>
        <w:spacing w:line="249" w:lineRule="auto" w:before="192"/>
        <w:ind w:right="1438"/>
        <w:jc w:val="both"/>
      </w:pPr>
      <w:r>
        <w:rPr/>
        <w:t>of the English crown, Octavius Caesar’s pursuit of empire, even Macbeth’s own desire—is treated as a complex human failing, understandable if destructive. Female ambition is monstrosity. The asymmetry is instructive: it tells us not about the essential nature of women but about the different moral valences that culture assigns to desire in men and women.</w:t>
      </w:r>
    </w:p>
    <w:p>
      <w:pPr>
        <w:pStyle w:val="Heading3"/>
        <w:numPr>
          <w:ilvl w:val="0"/>
          <w:numId w:val="39"/>
        </w:numPr>
        <w:tabs>
          <w:tab w:pos="1675" w:val="left" w:leader="none"/>
        </w:tabs>
        <w:spacing w:line="240" w:lineRule="auto" w:before="159" w:after="0"/>
        <w:ind w:left="1440" w:right="1442" w:firstLine="0"/>
        <w:jc w:val="left"/>
      </w:pPr>
      <w:r>
        <w:rPr>
          <w:w w:val="90"/>
        </w:rPr>
        <w:t>GONERIL</w:t>
      </w:r>
      <w:r>
        <w:rPr>
          <w:spacing w:val="-15"/>
          <w:w w:val="90"/>
        </w:rPr>
        <w:t> </w:t>
      </w:r>
      <w:r>
        <w:rPr>
          <w:w w:val="90"/>
        </w:rPr>
        <w:t>AND</w:t>
      </w:r>
      <w:r>
        <w:rPr>
          <w:spacing w:val="-13"/>
          <w:w w:val="90"/>
        </w:rPr>
        <w:t> </w:t>
      </w:r>
      <w:r>
        <w:rPr>
          <w:w w:val="90"/>
        </w:rPr>
        <w:t>REGAN:</w:t>
      </w:r>
      <w:r>
        <w:rPr>
          <w:spacing w:val="-13"/>
          <w:w w:val="90"/>
        </w:rPr>
        <w:t> </w:t>
      </w:r>
      <w:r>
        <w:rPr>
          <w:w w:val="90"/>
        </w:rPr>
        <w:t>DAUGHTERS,</w:t>
      </w:r>
      <w:r>
        <w:rPr>
          <w:spacing w:val="-13"/>
          <w:w w:val="90"/>
        </w:rPr>
        <w:t> </w:t>
      </w:r>
      <w:r>
        <w:rPr>
          <w:w w:val="90"/>
        </w:rPr>
        <w:t>PROPERTY,</w:t>
      </w:r>
      <w:r>
        <w:rPr>
          <w:spacing w:val="-15"/>
          <w:w w:val="90"/>
        </w:rPr>
        <w:t> </w:t>
      </w:r>
      <w:r>
        <w:rPr>
          <w:w w:val="90"/>
        </w:rPr>
        <w:t>AND THE LIMITS OF FILIAL OBLIGATION</w:t>
      </w:r>
    </w:p>
    <w:p>
      <w:pPr>
        <w:pStyle w:val="BodyText"/>
        <w:spacing w:line="249" w:lineRule="auto" w:before="73"/>
        <w:ind w:right="1440" w:firstLine="432"/>
        <w:jc w:val="both"/>
      </w:pPr>
      <w:r>
        <w:rPr/>
        <w:t>Goneril and Regan are the archetypal ungrateful daughters, their names having become cultural shorthand for filial cruelty. They have been read as embodiments of evil, as the chaos that results from</w:t>
      </w:r>
      <w:r>
        <w:rPr>
          <w:spacing w:val="-1"/>
        </w:rPr>
        <w:t> </w:t>
      </w:r>
      <w:r>
        <w:rPr/>
        <w:t>female rule, and as psychopathic personalities who lack any capacity for empathy. Against these readings, a feminist approach asks a prior question: what exactly do Goneril and Regan do, and what does the structure of the play reveal about the conditions under which they do</w:t>
      </w:r>
      <w:r>
        <w:rPr>
          <w:spacing w:val="80"/>
        </w:rPr>
        <w:t> </w:t>
      </w:r>
      <w:r>
        <w:rPr>
          <w:spacing w:val="-4"/>
        </w:rPr>
        <w:t>it?</w:t>
      </w:r>
    </w:p>
    <w:p>
      <w:pPr>
        <w:pStyle w:val="BodyText"/>
        <w:spacing w:line="249" w:lineRule="auto" w:before="64"/>
        <w:ind w:right="1437" w:firstLine="432"/>
        <w:jc w:val="both"/>
      </w:pPr>
      <w:r>
        <w:rPr/>
        <w:t>What they do, in the opening scenes of King Lear, is precisely what their father demands: they perform the love that he has staged as</w:t>
      </w:r>
      <w:r>
        <w:rPr>
          <w:spacing w:val="80"/>
        </w:rPr>
        <w:t> </w:t>
      </w:r>
      <w:r>
        <w:rPr/>
        <w:t>a competition for property. Lear’s love test is itself a peculiar and </w:t>
      </w:r>
      <w:r>
        <w:rPr>
          <w:spacing w:val="-2"/>
        </w:rPr>
        <w:t>troubling</w:t>
      </w:r>
      <w:r>
        <w:rPr>
          <w:spacing w:val="-6"/>
        </w:rPr>
        <w:t> </w:t>
      </w:r>
      <w:r>
        <w:rPr>
          <w:spacing w:val="-2"/>
        </w:rPr>
        <w:t>act—the</w:t>
      </w:r>
      <w:r>
        <w:rPr>
          <w:spacing w:val="-4"/>
        </w:rPr>
        <w:t> </w:t>
      </w:r>
      <w:r>
        <w:rPr>
          <w:spacing w:val="-2"/>
        </w:rPr>
        <w:t>reduction</w:t>
      </w:r>
      <w:r>
        <w:rPr>
          <w:spacing w:val="-9"/>
        </w:rPr>
        <w:t> </w:t>
      </w:r>
      <w:r>
        <w:rPr>
          <w:spacing w:val="-2"/>
        </w:rPr>
        <w:t>of</w:t>
      </w:r>
      <w:r>
        <w:rPr>
          <w:spacing w:val="-4"/>
        </w:rPr>
        <w:t> </w:t>
      </w:r>
      <w:r>
        <w:rPr>
          <w:spacing w:val="-2"/>
        </w:rPr>
        <w:t>filial</w:t>
      </w:r>
      <w:r>
        <w:rPr>
          <w:spacing w:val="-4"/>
        </w:rPr>
        <w:t> </w:t>
      </w:r>
      <w:r>
        <w:rPr>
          <w:spacing w:val="-2"/>
        </w:rPr>
        <w:t>affection</w:t>
      </w:r>
      <w:r>
        <w:rPr>
          <w:spacing w:val="-4"/>
        </w:rPr>
        <w:t> </w:t>
      </w:r>
      <w:r>
        <w:rPr>
          <w:spacing w:val="-2"/>
        </w:rPr>
        <w:t>to</w:t>
      </w:r>
      <w:r>
        <w:rPr>
          <w:spacing w:val="-4"/>
        </w:rPr>
        <w:t> </w:t>
      </w:r>
      <w:r>
        <w:rPr>
          <w:spacing w:val="-2"/>
        </w:rPr>
        <w:t>a</w:t>
      </w:r>
      <w:r>
        <w:rPr>
          <w:spacing w:val="-4"/>
        </w:rPr>
        <w:t> </w:t>
      </w:r>
      <w:r>
        <w:rPr>
          <w:spacing w:val="-2"/>
        </w:rPr>
        <w:t>rhetorical</w:t>
      </w:r>
      <w:r>
        <w:rPr>
          <w:spacing w:val="-3"/>
        </w:rPr>
        <w:t> </w:t>
      </w:r>
      <w:r>
        <w:rPr>
          <w:spacing w:val="-2"/>
        </w:rPr>
        <w:t>performance </w:t>
      </w:r>
      <w:r>
        <w:rPr/>
        <w:t>in</w:t>
      </w:r>
      <w:r>
        <w:rPr>
          <w:spacing w:val="-6"/>
        </w:rPr>
        <w:t> </w:t>
      </w:r>
      <w:r>
        <w:rPr/>
        <w:t>service</w:t>
      </w:r>
      <w:r>
        <w:rPr>
          <w:spacing w:val="-3"/>
        </w:rPr>
        <w:t> </w:t>
      </w:r>
      <w:r>
        <w:rPr/>
        <w:t>of</w:t>
      </w:r>
      <w:r>
        <w:rPr>
          <w:spacing w:val="-6"/>
        </w:rPr>
        <w:t> </w:t>
      </w:r>
      <w:r>
        <w:rPr/>
        <w:t>a</w:t>
      </w:r>
      <w:r>
        <w:rPr>
          <w:spacing w:val="-6"/>
        </w:rPr>
        <w:t> </w:t>
      </w:r>
      <w:r>
        <w:rPr/>
        <w:t>property</w:t>
      </w:r>
      <w:r>
        <w:rPr>
          <w:spacing w:val="-6"/>
        </w:rPr>
        <w:t> </w:t>
      </w:r>
      <w:r>
        <w:rPr/>
        <w:t>transaction.</w:t>
      </w:r>
      <w:r>
        <w:rPr>
          <w:spacing w:val="-4"/>
        </w:rPr>
        <w:t> </w:t>
      </w:r>
      <w:r>
        <w:rPr/>
        <w:t>Goneril</w:t>
      </w:r>
      <w:r>
        <w:rPr>
          <w:spacing w:val="-3"/>
        </w:rPr>
        <w:t> </w:t>
      </w:r>
      <w:r>
        <w:rPr/>
        <w:t>and</w:t>
      </w:r>
      <w:r>
        <w:rPr>
          <w:spacing w:val="-4"/>
        </w:rPr>
        <w:t> </w:t>
      </w:r>
      <w:r>
        <w:rPr/>
        <w:t>Regan,</w:t>
      </w:r>
      <w:r>
        <w:rPr>
          <w:spacing w:val="-6"/>
        </w:rPr>
        <w:t> </w:t>
      </w:r>
      <w:r>
        <w:rPr/>
        <w:t>who</w:t>
      </w:r>
      <w:r>
        <w:rPr>
          <w:spacing w:val="-2"/>
        </w:rPr>
        <w:t> </w:t>
      </w:r>
      <w:r>
        <w:rPr/>
        <w:t>are</w:t>
      </w:r>
      <w:r>
        <w:rPr>
          <w:spacing w:val="-6"/>
        </w:rPr>
        <w:t> </w:t>
      </w:r>
      <w:r>
        <w:rPr/>
        <w:t>already mature women with established households and husbands, participate</w:t>
      </w:r>
      <w:r>
        <w:rPr>
          <w:spacing w:val="40"/>
        </w:rPr>
        <w:t> </w:t>
      </w:r>
      <w:r>
        <w:rPr/>
        <w:t>in this performance with the facility of women who have learned, as </w:t>
      </w:r>
      <w:r>
        <w:rPr>
          <w:spacing w:val="-2"/>
        </w:rPr>
        <w:t>daughters</w:t>
      </w:r>
      <w:r>
        <w:rPr>
          <w:spacing w:val="-11"/>
        </w:rPr>
        <w:t> </w:t>
      </w:r>
      <w:r>
        <w:rPr>
          <w:spacing w:val="-2"/>
        </w:rPr>
        <w:t>must</w:t>
      </w:r>
      <w:r>
        <w:rPr>
          <w:spacing w:val="-10"/>
        </w:rPr>
        <w:t> </w:t>
      </w:r>
      <w:r>
        <w:rPr>
          <w:spacing w:val="-2"/>
        </w:rPr>
        <w:t>in</w:t>
      </w:r>
      <w:r>
        <w:rPr>
          <w:spacing w:val="-11"/>
        </w:rPr>
        <w:t> </w:t>
      </w:r>
      <w:r>
        <w:rPr>
          <w:spacing w:val="-2"/>
        </w:rPr>
        <w:t>their</w:t>
      </w:r>
      <w:r>
        <w:rPr>
          <w:spacing w:val="-10"/>
        </w:rPr>
        <w:t> </w:t>
      </w:r>
      <w:r>
        <w:rPr>
          <w:spacing w:val="-2"/>
        </w:rPr>
        <w:t>world,</w:t>
      </w:r>
      <w:r>
        <w:rPr>
          <w:spacing w:val="-11"/>
        </w:rPr>
        <w:t> </w:t>
      </w:r>
      <w:r>
        <w:rPr>
          <w:spacing w:val="-2"/>
        </w:rPr>
        <w:t>to</w:t>
      </w:r>
      <w:r>
        <w:rPr>
          <w:spacing w:val="-10"/>
        </w:rPr>
        <w:t> </w:t>
      </w:r>
      <w:r>
        <w:rPr>
          <w:spacing w:val="-2"/>
        </w:rPr>
        <w:t>manage</w:t>
      </w:r>
      <w:r>
        <w:rPr>
          <w:spacing w:val="-11"/>
        </w:rPr>
        <w:t> </w:t>
      </w:r>
      <w:r>
        <w:rPr>
          <w:spacing w:val="-2"/>
        </w:rPr>
        <w:t>a</w:t>
      </w:r>
      <w:r>
        <w:rPr>
          <w:spacing w:val="-10"/>
        </w:rPr>
        <w:t> </w:t>
      </w:r>
      <w:r>
        <w:rPr>
          <w:spacing w:val="-2"/>
        </w:rPr>
        <w:t>powerful</w:t>
      </w:r>
      <w:r>
        <w:rPr>
          <w:spacing w:val="-9"/>
        </w:rPr>
        <w:t> </w:t>
      </w:r>
      <w:r>
        <w:rPr>
          <w:spacing w:val="-2"/>
        </w:rPr>
        <w:t>father’s</w:t>
      </w:r>
      <w:r>
        <w:rPr>
          <w:spacing w:val="-10"/>
        </w:rPr>
        <w:t> </w:t>
      </w:r>
      <w:r>
        <w:rPr>
          <w:spacing w:val="-2"/>
        </w:rPr>
        <w:t>expectations. </w:t>
      </w:r>
      <w:r>
        <w:rPr/>
        <w:t>Cordelia’s refusal to perform is the play’s moral pivot, but it is worth noting that Goneril and Regan’s performance is not inherently more dishonest than the social performances required of women generally in a culture that demanded the public enactment of sentiments that might or</w:t>
      </w:r>
      <w:r>
        <w:rPr>
          <w:spacing w:val="40"/>
        </w:rPr>
        <w:t> </w:t>
      </w:r>
      <w:r>
        <w:rPr/>
        <w:t>might</w:t>
      </w:r>
      <w:r>
        <w:rPr>
          <w:spacing w:val="40"/>
        </w:rPr>
        <w:t> </w:t>
      </w:r>
      <w:r>
        <w:rPr/>
        <w:t>not correspond</w:t>
      </w:r>
      <w:r>
        <w:rPr>
          <w:spacing w:val="40"/>
        </w:rPr>
        <w:t> </w:t>
      </w:r>
      <w:r>
        <w:rPr/>
        <w:t>to</w:t>
      </w:r>
      <w:r>
        <w:rPr>
          <w:spacing w:val="40"/>
        </w:rPr>
        <w:t> </w:t>
      </w:r>
      <w:r>
        <w:rPr/>
        <w:t>private</w:t>
      </w:r>
      <w:r>
        <w:rPr>
          <w:spacing w:val="40"/>
        </w:rPr>
        <w:t> </w:t>
      </w:r>
      <w:r>
        <w:rPr/>
        <w:t>feeling.</w:t>
      </w:r>
    </w:p>
    <w:p>
      <w:pPr>
        <w:pStyle w:val="BodyText"/>
        <w:spacing w:line="249" w:lineRule="auto" w:before="71"/>
        <w:ind w:right="1439" w:firstLine="432"/>
        <w:jc w:val="both"/>
      </w:pPr>
      <w:r>
        <w:rPr/>
        <w:t>Their subsequent behavior—curtailing Lear’s retinue, refusing to house him, eventually conniving at his exposure on the heath—has</w:t>
      </w:r>
      <w:r>
        <w:rPr>
          <w:spacing w:val="40"/>
        </w:rPr>
        <w:t> </w:t>
      </w:r>
      <w:r>
        <w:rPr/>
        <w:t>been almost universally read as monstrous</w:t>
      </w:r>
      <w:r>
        <w:rPr>
          <w:spacing w:val="-1"/>
        </w:rPr>
        <w:t> </w:t>
      </w:r>
      <w:r>
        <w:rPr/>
        <w:t>ingratitude. But the feminist critic Patricia Parker and others have noted that the daughters are also responding to a genuinely problematic situation: a powerful patriarch who has transferred legal authority to his sons-in-law and daughters</w:t>
      </w:r>
      <w:r>
        <w:rPr>
          <w:spacing w:val="80"/>
        </w:rPr>
        <w:t> </w:t>
      </w:r>
      <w:r>
        <w:rPr/>
        <w:t>but who refuses to relinquish behavioral authority, treating his hundred knights as a private army whose presence in his daughters’ households represents a real material and political intrusion</w:t>
      </w:r>
      <w:r>
        <w:rPr>
          <w:spacing w:val="-1"/>
        </w:rPr>
        <w:t> </w:t>
      </w:r>
      <w:r>
        <w:rPr/>
        <w:t>(Parker 56). This is</w:t>
      </w:r>
      <w:r>
        <w:rPr>
          <w:spacing w:val="-1"/>
        </w:rPr>
        <w:t> </w:t>
      </w:r>
      <w:r>
        <w:rPr/>
        <w:t>not to</w:t>
      </w:r>
      <w:r>
        <w:rPr>
          <w:spacing w:val="30"/>
        </w:rPr>
        <w:t> </w:t>
      </w:r>
      <w:r>
        <w:rPr/>
        <w:t>excuse</w:t>
      </w:r>
      <w:r>
        <w:rPr>
          <w:spacing w:val="26"/>
        </w:rPr>
        <w:t> </w:t>
      </w:r>
      <w:r>
        <w:rPr/>
        <w:t>the</w:t>
      </w:r>
      <w:r>
        <w:rPr>
          <w:spacing w:val="30"/>
        </w:rPr>
        <w:t> </w:t>
      </w:r>
      <w:r>
        <w:rPr/>
        <w:t>cruelty</w:t>
      </w:r>
      <w:r>
        <w:rPr>
          <w:spacing w:val="23"/>
        </w:rPr>
        <w:t> </w:t>
      </w:r>
      <w:r>
        <w:rPr/>
        <w:t>of</w:t>
      </w:r>
      <w:r>
        <w:rPr>
          <w:spacing w:val="27"/>
        </w:rPr>
        <w:t> </w:t>
      </w:r>
      <w:r>
        <w:rPr/>
        <w:t>Lear’s</w:t>
      </w:r>
      <w:r>
        <w:rPr>
          <w:spacing w:val="27"/>
        </w:rPr>
        <w:t> </w:t>
      </w:r>
      <w:r>
        <w:rPr/>
        <w:t>exposure;</w:t>
      </w:r>
      <w:r>
        <w:rPr>
          <w:spacing w:val="28"/>
        </w:rPr>
        <w:t> </w:t>
      </w:r>
      <w:r>
        <w:rPr/>
        <w:t>it</w:t>
      </w:r>
      <w:r>
        <w:rPr>
          <w:spacing w:val="27"/>
        </w:rPr>
        <w:t> </w:t>
      </w:r>
      <w:r>
        <w:rPr/>
        <w:t>is</w:t>
      </w:r>
      <w:r>
        <w:rPr>
          <w:spacing w:val="28"/>
        </w:rPr>
        <w:t> </w:t>
      </w:r>
      <w:r>
        <w:rPr/>
        <w:t>to</w:t>
      </w:r>
      <w:r>
        <w:rPr>
          <w:spacing w:val="29"/>
        </w:rPr>
        <w:t> </w:t>
      </w:r>
      <w:r>
        <w:rPr/>
        <w:t>note</w:t>
      </w:r>
      <w:r>
        <w:rPr>
          <w:spacing w:val="29"/>
        </w:rPr>
        <w:t> </w:t>
      </w:r>
      <w:r>
        <w:rPr/>
        <w:t>that</w:t>
      </w:r>
      <w:r>
        <w:rPr>
          <w:spacing w:val="27"/>
        </w:rPr>
        <w:t> </w:t>
      </w:r>
      <w:r>
        <w:rPr/>
        <w:t>the</w:t>
      </w:r>
      <w:r>
        <w:rPr>
          <w:spacing w:val="29"/>
        </w:rPr>
        <w:t> </w:t>
      </w:r>
      <w:r>
        <w:rPr>
          <w:spacing w:val="-2"/>
        </w:rPr>
        <w:t>play’s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48096">
                <wp:simplePos x="0" y="0"/>
                <wp:positionH relativeFrom="page">
                  <wp:posOffset>2057400</wp:posOffset>
                </wp:positionH>
                <wp:positionV relativeFrom="paragraph">
                  <wp:posOffset>162604</wp:posOffset>
                </wp:positionV>
                <wp:extent cx="3657600" cy="12700"/>
                <wp:effectExtent l="0" t="0" r="0" b="0"/>
                <wp:wrapTopAndBottom/>
                <wp:docPr id="466" name="Graphic 466"/>
                <wp:cNvGraphicFramePr>
                  <a:graphicFrameLocks/>
                </wp:cNvGraphicFramePr>
                <a:graphic>
                  <a:graphicData uri="http://schemas.microsoft.com/office/word/2010/wordprocessingShape">
                    <wps:wsp>
                      <wps:cNvPr id="466" name="Graphic 46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68384;mso-wrap-distance-left:0;mso-wrap-distance-right:0" id="docshape461" filled="true" fillcolor="#000000" stroked="false">
                <v:fill type="solid"/>
                <w10:wrap type="topAndBottom"/>
              </v:rect>
            </w:pict>
          </mc:Fallback>
        </mc:AlternateContent>
      </w:r>
      <w:r>
        <w:rPr>
          <w:rFonts w:ascii="Verdana"/>
          <w:spacing w:val="-5"/>
          <w:sz w:val="18"/>
        </w:rPr>
        <w:t>204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6"/>
        <w:jc w:val="both"/>
      </w:pPr>
      <w:r>
        <w:rPr/>
        <w:t>structure is not as simple as it first appears, and that reading Goneril</w:t>
      </w:r>
      <w:r>
        <w:rPr>
          <w:spacing w:val="40"/>
        </w:rPr>
        <w:t> </w:t>
      </w:r>
      <w:r>
        <w:rPr/>
        <w:t>and Regan exclusively as monsters requires suppressing the legitimate grievances of women who have received a kingdom and a problem </w:t>
      </w:r>
      <w:r>
        <w:rPr>
          <w:spacing w:val="-2"/>
        </w:rPr>
        <w:t>simultaneously.</w:t>
      </w:r>
    </w:p>
    <w:p>
      <w:pPr>
        <w:pStyle w:val="BodyText"/>
        <w:spacing w:line="249" w:lineRule="auto" w:before="61"/>
        <w:ind w:right="1438" w:firstLine="432"/>
        <w:jc w:val="both"/>
      </w:pPr>
      <w:r>
        <w:rPr>
          <w:spacing w:val="-2"/>
        </w:rPr>
        <w:t>The</w:t>
      </w:r>
      <w:r>
        <w:rPr>
          <w:spacing w:val="-11"/>
        </w:rPr>
        <w:t> </w:t>
      </w:r>
      <w:r>
        <w:rPr>
          <w:spacing w:val="-2"/>
        </w:rPr>
        <w:t>play’s</w:t>
      </w:r>
      <w:r>
        <w:rPr>
          <w:spacing w:val="-10"/>
        </w:rPr>
        <w:t> </w:t>
      </w:r>
      <w:r>
        <w:rPr>
          <w:spacing w:val="-2"/>
        </w:rPr>
        <w:t>sexual</w:t>
      </w:r>
      <w:r>
        <w:rPr>
          <w:spacing w:val="-11"/>
        </w:rPr>
        <w:t> </w:t>
      </w:r>
      <w:r>
        <w:rPr>
          <w:spacing w:val="-2"/>
        </w:rPr>
        <w:t>politics</w:t>
      </w:r>
      <w:r>
        <w:rPr>
          <w:spacing w:val="-10"/>
        </w:rPr>
        <w:t> </w:t>
      </w:r>
      <w:r>
        <w:rPr>
          <w:spacing w:val="-2"/>
        </w:rPr>
        <w:t>are</w:t>
      </w:r>
      <w:r>
        <w:rPr>
          <w:spacing w:val="-11"/>
        </w:rPr>
        <w:t> </w:t>
      </w:r>
      <w:r>
        <w:rPr>
          <w:spacing w:val="-2"/>
        </w:rPr>
        <w:t>also</w:t>
      </w:r>
      <w:r>
        <w:rPr>
          <w:spacing w:val="-10"/>
        </w:rPr>
        <w:t> </w:t>
      </w:r>
      <w:r>
        <w:rPr>
          <w:spacing w:val="-2"/>
        </w:rPr>
        <w:t>worth</w:t>
      </w:r>
      <w:r>
        <w:rPr>
          <w:spacing w:val="-11"/>
        </w:rPr>
        <w:t> </w:t>
      </w:r>
      <w:r>
        <w:rPr>
          <w:spacing w:val="-2"/>
        </w:rPr>
        <w:t>examining.</w:t>
      </w:r>
      <w:r>
        <w:rPr>
          <w:spacing w:val="-10"/>
        </w:rPr>
        <w:t> </w:t>
      </w:r>
      <w:r>
        <w:rPr>
          <w:spacing w:val="-2"/>
        </w:rPr>
        <w:t>Goneril’s</w:t>
      </w:r>
      <w:r>
        <w:rPr>
          <w:spacing w:val="-11"/>
        </w:rPr>
        <w:t> </w:t>
      </w:r>
      <w:r>
        <w:rPr>
          <w:spacing w:val="-2"/>
        </w:rPr>
        <w:t>desire </w:t>
      </w:r>
      <w:r>
        <w:rPr/>
        <w:t>for Edmund, and Regan’s rivalry with her over him, has been read as evidence of their depravity—sexuality</w:t>
      </w:r>
      <w:r>
        <w:rPr>
          <w:spacing w:val="-3"/>
        </w:rPr>
        <w:t> </w:t>
      </w:r>
      <w:r>
        <w:rPr/>
        <w:t>uncontrolled by</w:t>
      </w:r>
      <w:r>
        <w:rPr>
          <w:spacing w:val="-1"/>
        </w:rPr>
        <w:t> </w:t>
      </w:r>
      <w:r>
        <w:rPr/>
        <w:t>moral principle, desire that destroys all social bonds. But female desire in the plays is almost always coded negatively, and the readiness with which both women abandon their husbands for a younger, more virile man reflects not simply</w:t>
      </w:r>
      <w:r>
        <w:rPr>
          <w:spacing w:val="-4"/>
        </w:rPr>
        <w:t> </w:t>
      </w:r>
      <w:r>
        <w:rPr/>
        <w:t>their individual</w:t>
      </w:r>
      <w:r>
        <w:rPr>
          <w:spacing w:val="-1"/>
        </w:rPr>
        <w:t> </w:t>
      </w:r>
      <w:r>
        <w:rPr/>
        <w:t>corruption but</w:t>
      </w:r>
      <w:r>
        <w:rPr>
          <w:spacing w:val="-1"/>
        </w:rPr>
        <w:t> </w:t>
      </w:r>
      <w:r>
        <w:rPr/>
        <w:t>a culturally</w:t>
      </w:r>
      <w:r>
        <w:rPr>
          <w:spacing w:val="-4"/>
        </w:rPr>
        <w:t> </w:t>
      </w:r>
      <w:r>
        <w:rPr/>
        <w:t>pervasive anxiety about female sexuality as inherently unruly and dangerous. Edmund, who</w:t>
      </w:r>
      <w:r>
        <w:rPr>
          <w:spacing w:val="-1"/>
        </w:rPr>
        <w:t> </w:t>
      </w:r>
      <w:r>
        <w:rPr/>
        <w:t>manipulates</w:t>
      </w:r>
      <w:r>
        <w:rPr>
          <w:spacing w:val="-1"/>
        </w:rPr>
        <w:t> </w:t>
      </w:r>
      <w:r>
        <w:rPr/>
        <w:t>both</w:t>
      </w:r>
      <w:r>
        <w:rPr>
          <w:spacing w:val="-1"/>
        </w:rPr>
        <w:t> </w:t>
      </w:r>
      <w:r>
        <w:rPr/>
        <w:t>women</w:t>
      </w:r>
      <w:r>
        <w:rPr>
          <w:spacing w:val="-1"/>
        </w:rPr>
        <w:t> </w:t>
      </w:r>
      <w:r>
        <w:rPr/>
        <w:t>with calculating</w:t>
      </w:r>
      <w:r>
        <w:rPr>
          <w:spacing w:val="-3"/>
        </w:rPr>
        <w:t> </w:t>
      </w:r>
      <w:r>
        <w:rPr/>
        <w:t>intelligence,</w:t>
      </w:r>
      <w:r>
        <w:rPr>
          <w:spacing w:val="-1"/>
        </w:rPr>
        <w:t> </w:t>
      </w:r>
      <w:r>
        <w:rPr/>
        <w:t>escapes</w:t>
      </w:r>
      <w:r>
        <w:rPr>
          <w:spacing w:val="-1"/>
        </w:rPr>
        <w:t> </w:t>
      </w:r>
      <w:r>
        <w:rPr/>
        <w:t>the worst of the moral condemnation that falls on them; his cynical exploitation of their desire is treated as evidence of his wit, while their susceptibility</w:t>
      </w:r>
      <w:r>
        <w:rPr>
          <w:spacing w:val="40"/>
        </w:rPr>
        <w:t> </w:t>
      </w:r>
      <w:r>
        <w:rPr/>
        <w:t>to</w:t>
      </w:r>
      <w:r>
        <w:rPr>
          <w:spacing w:val="40"/>
        </w:rPr>
        <w:t> </w:t>
      </w:r>
      <w:r>
        <w:rPr/>
        <w:t>desire</w:t>
      </w:r>
      <w:r>
        <w:rPr>
          <w:spacing w:val="40"/>
        </w:rPr>
        <w:t> </w:t>
      </w:r>
      <w:r>
        <w:rPr/>
        <w:t>is</w:t>
      </w:r>
      <w:r>
        <w:rPr>
          <w:spacing w:val="40"/>
        </w:rPr>
        <w:t> </w:t>
      </w:r>
      <w:r>
        <w:rPr/>
        <w:t>evidence</w:t>
      </w:r>
      <w:r>
        <w:rPr>
          <w:spacing w:val="40"/>
        </w:rPr>
        <w:t> </w:t>
      </w:r>
      <w:r>
        <w:rPr/>
        <w:t>of</w:t>
      </w:r>
      <w:r>
        <w:rPr>
          <w:spacing w:val="40"/>
        </w:rPr>
        <w:t> </w:t>
      </w:r>
      <w:r>
        <w:rPr/>
        <w:t>their</w:t>
      </w:r>
      <w:r>
        <w:rPr>
          <w:spacing w:val="40"/>
        </w:rPr>
        <w:t> </w:t>
      </w:r>
      <w:r>
        <w:rPr/>
        <w:t>depravity.</w:t>
      </w:r>
    </w:p>
    <w:p>
      <w:pPr>
        <w:pStyle w:val="BodyText"/>
        <w:spacing w:line="249" w:lineRule="auto" w:before="68"/>
        <w:ind w:right="1440" w:firstLine="432"/>
        <w:jc w:val="both"/>
      </w:pPr>
      <w:r>
        <w:rPr/>
        <w:t>Kate</w:t>
      </w:r>
      <w:r>
        <w:rPr>
          <w:spacing w:val="-13"/>
        </w:rPr>
        <w:t> </w:t>
      </w:r>
      <w:r>
        <w:rPr/>
        <w:t>McLuskie’s</w:t>
      </w:r>
      <w:r>
        <w:rPr>
          <w:spacing w:val="-12"/>
        </w:rPr>
        <w:t> </w:t>
      </w:r>
      <w:r>
        <w:rPr/>
        <w:t>controversial</w:t>
      </w:r>
      <w:r>
        <w:rPr>
          <w:spacing w:val="-13"/>
        </w:rPr>
        <w:t> </w:t>
      </w:r>
      <w:r>
        <w:rPr/>
        <w:t>argument</w:t>
      </w:r>
      <w:r>
        <w:rPr>
          <w:spacing w:val="-12"/>
        </w:rPr>
        <w:t> </w:t>
      </w:r>
      <w:r>
        <w:rPr/>
        <w:t>in</w:t>
      </w:r>
      <w:r>
        <w:rPr>
          <w:spacing w:val="-13"/>
        </w:rPr>
        <w:t> </w:t>
      </w:r>
      <w:r>
        <w:rPr/>
        <w:t>“The</w:t>
      </w:r>
      <w:r>
        <w:rPr>
          <w:spacing w:val="-12"/>
        </w:rPr>
        <w:t> </w:t>
      </w:r>
      <w:r>
        <w:rPr/>
        <w:t>Patriarchal</w:t>
      </w:r>
      <w:r>
        <w:rPr>
          <w:spacing w:val="-13"/>
        </w:rPr>
        <w:t> </w:t>
      </w:r>
      <w:r>
        <w:rPr/>
        <w:t>Bard” is relevant here. McLuskie contended that King Lear constructs a deeply misogynist universe in which the very category “woman” is associated with the forces of chaos and ingratitude that destroy the old king</w:t>
      </w:r>
      <w:r>
        <w:rPr>
          <w:spacing w:val="-1"/>
        </w:rPr>
        <w:t> </w:t>
      </w:r>
      <w:r>
        <w:rPr/>
        <w:t>(McLuskie 98). To respond emotionally</w:t>
      </w:r>
      <w:r>
        <w:rPr>
          <w:spacing w:val="-3"/>
        </w:rPr>
        <w:t> </w:t>
      </w:r>
      <w:r>
        <w:rPr/>
        <w:t>to Lear’s suffering, as the play</w:t>
      </w:r>
      <w:r>
        <w:rPr>
          <w:spacing w:val="-2"/>
        </w:rPr>
        <w:t> </w:t>
      </w:r>
      <w:r>
        <w:rPr/>
        <w:t>invites</w:t>
      </w:r>
      <w:r>
        <w:rPr>
          <w:spacing w:val="-1"/>
        </w:rPr>
        <w:t> </w:t>
      </w:r>
      <w:r>
        <w:rPr/>
        <w:t>us</w:t>
      </w:r>
      <w:r>
        <w:rPr>
          <w:spacing w:val="-1"/>
        </w:rPr>
        <w:t> </w:t>
      </w:r>
      <w:r>
        <w:rPr/>
        <w:t>to,</w:t>
      </w:r>
      <w:r>
        <w:rPr>
          <w:spacing w:val="-1"/>
        </w:rPr>
        <w:t> </w:t>
      </w:r>
      <w:r>
        <w:rPr/>
        <w:t>is to accept the framework</w:t>
      </w:r>
      <w:r>
        <w:rPr>
          <w:spacing w:val="-1"/>
        </w:rPr>
        <w:t> </w:t>
      </w:r>
      <w:r>
        <w:rPr/>
        <w:t>that</w:t>
      </w:r>
      <w:r>
        <w:rPr>
          <w:spacing w:val="-1"/>
        </w:rPr>
        <w:t> </w:t>
      </w:r>
      <w:r>
        <w:rPr/>
        <w:t>defines women</w:t>
      </w:r>
      <w:r>
        <w:rPr>
          <w:spacing w:val="-1"/>
        </w:rPr>
        <w:t> </w:t>
      </w:r>
      <w:r>
        <w:rPr/>
        <w:t>as the source of his destruction. The feminist reader’s task, in McLuskie’s view,</w:t>
      </w:r>
      <w:r>
        <w:rPr>
          <w:spacing w:val="-2"/>
        </w:rPr>
        <w:t> </w:t>
      </w:r>
      <w:r>
        <w:rPr/>
        <w:t>is</w:t>
      </w:r>
      <w:r>
        <w:rPr>
          <w:spacing w:val="-2"/>
        </w:rPr>
        <w:t> </w:t>
      </w:r>
      <w:r>
        <w:rPr/>
        <w:t>not</w:t>
      </w:r>
      <w:r>
        <w:rPr>
          <w:spacing w:val="-2"/>
        </w:rPr>
        <w:t> </w:t>
      </w:r>
      <w:r>
        <w:rPr/>
        <w:t>to find</w:t>
      </w:r>
      <w:r>
        <w:rPr>
          <w:spacing w:val="-2"/>
        </w:rPr>
        <w:t> </w:t>
      </w:r>
      <w:r>
        <w:rPr/>
        <w:t>the</w:t>
      </w:r>
      <w:r>
        <w:rPr>
          <w:spacing w:val="-1"/>
        </w:rPr>
        <w:t> </w:t>
      </w:r>
      <w:r>
        <w:rPr/>
        <w:t>play’s</w:t>
      </w:r>
      <w:r>
        <w:rPr>
          <w:spacing w:val="-3"/>
        </w:rPr>
        <w:t> </w:t>
      </w:r>
      <w:r>
        <w:rPr/>
        <w:t>hidden</w:t>
      </w:r>
      <w:r>
        <w:rPr>
          <w:spacing w:val="-3"/>
        </w:rPr>
        <w:t> </w:t>
      </w:r>
      <w:r>
        <w:rPr/>
        <w:t>feminist</w:t>
      </w:r>
      <w:r>
        <w:rPr>
          <w:spacing w:val="-2"/>
        </w:rPr>
        <w:t> </w:t>
      </w:r>
      <w:r>
        <w:rPr/>
        <w:t>meanings</w:t>
      </w:r>
      <w:r>
        <w:rPr>
          <w:spacing w:val="-2"/>
        </w:rPr>
        <w:t> </w:t>
      </w:r>
      <w:r>
        <w:rPr/>
        <w:t>but</w:t>
      </w:r>
      <w:r>
        <w:rPr>
          <w:spacing w:val="-2"/>
        </w:rPr>
        <w:t> </w:t>
      </w:r>
      <w:r>
        <w:rPr/>
        <w:t>to resist</w:t>
      </w:r>
      <w:r>
        <w:rPr>
          <w:spacing w:val="-2"/>
        </w:rPr>
        <w:t> </w:t>
      </w:r>
      <w:r>
        <w:rPr/>
        <w:t>the play’s ideological demands. Whether or not one accepts this strong reading, it productively challenges the assumption that Goneril and Regan’s</w:t>
      </w:r>
      <w:r>
        <w:rPr>
          <w:spacing w:val="40"/>
        </w:rPr>
        <w:t> </w:t>
      </w:r>
      <w:r>
        <w:rPr/>
        <w:t>badness</w:t>
      </w:r>
      <w:r>
        <w:rPr>
          <w:spacing w:val="40"/>
        </w:rPr>
        <w:t> </w:t>
      </w:r>
      <w:r>
        <w:rPr/>
        <w:t>is</w:t>
      </w:r>
      <w:r>
        <w:rPr>
          <w:spacing w:val="40"/>
        </w:rPr>
        <w:t> </w:t>
      </w:r>
      <w:r>
        <w:rPr/>
        <w:t>simply</w:t>
      </w:r>
      <w:r>
        <w:rPr>
          <w:spacing w:val="40"/>
        </w:rPr>
        <w:t> </w:t>
      </w:r>
      <w:r>
        <w:rPr/>
        <w:t>natural</w:t>
      </w:r>
      <w:r>
        <w:rPr>
          <w:spacing w:val="40"/>
        </w:rPr>
        <w:t> </w:t>
      </w:r>
      <w:r>
        <w:rPr/>
        <w:t>and</w:t>
      </w:r>
      <w:r>
        <w:rPr>
          <w:spacing w:val="40"/>
        </w:rPr>
        <w:t> </w:t>
      </w:r>
      <w:r>
        <w:rPr/>
        <w:t>self-evident.</w:t>
      </w:r>
    </w:p>
    <w:p>
      <w:pPr>
        <w:pStyle w:val="Heading3"/>
        <w:numPr>
          <w:ilvl w:val="0"/>
          <w:numId w:val="39"/>
        </w:numPr>
        <w:tabs>
          <w:tab w:pos="1738" w:val="left" w:leader="none"/>
        </w:tabs>
        <w:spacing w:line="240" w:lineRule="auto" w:before="162" w:after="0"/>
        <w:ind w:left="1440" w:right="1447" w:firstLine="0"/>
        <w:jc w:val="left"/>
      </w:pPr>
      <w:r>
        <w:rPr>
          <w:spacing w:val="-6"/>
        </w:rPr>
        <w:t>TAMORA:</w:t>
      </w:r>
      <w:r>
        <w:rPr>
          <w:spacing w:val="2"/>
        </w:rPr>
        <w:t> </w:t>
      </w:r>
      <w:r>
        <w:rPr>
          <w:spacing w:val="-6"/>
        </w:rPr>
        <w:t>RACE,</w:t>
      </w:r>
      <w:r>
        <w:rPr>
          <w:spacing w:val="1"/>
        </w:rPr>
        <w:t> </w:t>
      </w:r>
      <w:r>
        <w:rPr>
          <w:spacing w:val="-6"/>
        </w:rPr>
        <w:t>GENDER,</w:t>
      </w:r>
      <w:r>
        <w:rPr>
          <w:spacing w:val="1"/>
        </w:rPr>
        <w:t> </w:t>
      </w:r>
      <w:r>
        <w:rPr>
          <w:spacing w:val="-6"/>
        </w:rPr>
        <w:t>AND</w:t>
      </w:r>
      <w:r>
        <w:rPr>
          <w:spacing w:val="3"/>
        </w:rPr>
        <w:t> </w:t>
      </w:r>
      <w:r>
        <w:rPr>
          <w:spacing w:val="-6"/>
        </w:rPr>
        <w:t>THE</w:t>
      </w:r>
      <w:r>
        <w:rPr>
          <w:spacing w:val="1"/>
        </w:rPr>
        <w:t> </w:t>
      </w:r>
      <w:r>
        <w:rPr>
          <w:spacing w:val="-6"/>
        </w:rPr>
        <w:t>MONSTROUS </w:t>
      </w:r>
      <w:r>
        <w:rPr>
          <w:spacing w:val="-4"/>
        </w:rPr>
        <w:t>BODY</w:t>
      </w:r>
    </w:p>
    <w:p>
      <w:pPr>
        <w:pStyle w:val="BodyText"/>
        <w:spacing w:line="249" w:lineRule="auto" w:before="76"/>
        <w:ind w:right="1437" w:firstLine="432"/>
        <w:jc w:val="both"/>
      </w:pPr>
      <w:r>
        <w:rPr/>
        <w:t>Tamora, Queen of the Goths in Titus Andronicus, is among Shakespeare’s most complex and most neglected “bad women.” She is simultaneously</w:t>
      </w:r>
      <w:r>
        <w:rPr>
          <w:spacing w:val="-9"/>
        </w:rPr>
        <w:t> </w:t>
      </w:r>
      <w:r>
        <w:rPr/>
        <w:t>a</w:t>
      </w:r>
      <w:r>
        <w:rPr>
          <w:spacing w:val="-9"/>
        </w:rPr>
        <w:t> </w:t>
      </w:r>
      <w:r>
        <w:rPr/>
        <w:t>grieving</w:t>
      </w:r>
      <w:r>
        <w:rPr>
          <w:spacing w:val="-8"/>
        </w:rPr>
        <w:t> </w:t>
      </w:r>
      <w:r>
        <w:rPr/>
        <w:t>mother,</w:t>
      </w:r>
      <w:r>
        <w:rPr>
          <w:spacing w:val="-8"/>
        </w:rPr>
        <w:t> </w:t>
      </w:r>
      <w:r>
        <w:rPr/>
        <w:t>a</w:t>
      </w:r>
      <w:r>
        <w:rPr>
          <w:spacing w:val="-8"/>
        </w:rPr>
        <w:t> </w:t>
      </w:r>
      <w:r>
        <w:rPr/>
        <w:t>vengeful</w:t>
      </w:r>
      <w:r>
        <w:rPr>
          <w:spacing w:val="-9"/>
        </w:rPr>
        <w:t> </w:t>
      </w:r>
      <w:r>
        <w:rPr/>
        <w:t>political</w:t>
      </w:r>
      <w:r>
        <w:rPr>
          <w:spacing w:val="-7"/>
        </w:rPr>
        <w:t> </w:t>
      </w:r>
      <w:r>
        <w:rPr/>
        <w:t>actor,</w:t>
      </w:r>
      <w:r>
        <w:rPr>
          <w:spacing w:val="-9"/>
        </w:rPr>
        <w:t> </w:t>
      </w:r>
      <w:r>
        <w:rPr/>
        <w:t>a</w:t>
      </w:r>
      <w:r>
        <w:rPr>
          <w:spacing w:val="-7"/>
        </w:rPr>
        <w:t> </w:t>
      </w:r>
      <w:r>
        <w:rPr/>
        <w:t>colonized figure who subverts her captors, and a figure in whom early modern anxieties about race, sexuality, and female power are most nakedly </w:t>
      </w:r>
      <w:r>
        <w:rPr>
          <w:spacing w:val="-4"/>
        </w:rPr>
        <w:t>expressed.</w:t>
      </w:r>
      <w:r>
        <w:rPr>
          <w:spacing w:val="-9"/>
        </w:rPr>
        <w:t> </w:t>
      </w:r>
      <w:r>
        <w:rPr>
          <w:spacing w:val="-4"/>
        </w:rPr>
        <w:t>A</w:t>
      </w:r>
      <w:r>
        <w:rPr>
          <w:spacing w:val="-8"/>
        </w:rPr>
        <w:t> </w:t>
      </w:r>
      <w:r>
        <w:rPr>
          <w:spacing w:val="-4"/>
        </w:rPr>
        <w:t>feminist</w:t>
      </w:r>
      <w:r>
        <w:rPr>
          <w:spacing w:val="-9"/>
        </w:rPr>
        <w:t> </w:t>
      </w:r>
      <w:r>
        <w:rPr>
          <w:spacing w:val="-4"/>
        </w:rPr>
        <w:t>analysis</w:t>
      </w:r>
      <w:r>
        <w:rPr>
          <w:spacing w:val="-8"/>
        </w:rPr>
        <w:t> </w:t>
      </w:r>
      <w:r>
        <w:rPr>
          <w:spacing w:val="-4"/>
        </w:rPr>
        <w:t>of</w:t>
      </w:r>
      <w:r>
        <w:rPr>
          <w:spacing w:val="-9"/>
        </w:rPr>
        <w:t> </w:t>
      </w:r>
      <w:r>
        <w:rPr>
          <w:spacing w:val="-4"/>
        </w:rPr>
        <w:t>Tamora</w:t>
      </w:r>
      <w:r>
        <w:rPr>
          <w:spacing w:val="-8"/>
        </w:rPr>
        <w:t> </w:t>
      </w:r>
      <w:r>
        <w:rPr>
          <w:spacing w:val="-4"/>
        </w:rPr>
        <w:t>is</w:t>
      </w:r>
      <w:r>
        <w:rPr>
          <w:spacing w:val="-9"/>
        </w:rPr>
        <w:t> </w:t>
      </w:r>
      <w:r>
        <w:rPr>
          <w:spacing w:val="-4"/>
        </w:rPr>
        <w:t>inseparable</w:t>
      </w:r>
      <w:r>
        <w:rPr>
          <w:spacing w:val="-8"/>
        </w:rPr>
        <w:t> </w:t>
      </w:r>
      <w:r>
        <w:rPr>
          <w:spacing w:val="-4"/>
        </w:rPr>
        <w:t>from</w:t>
      </w:r>
      <w:r>
        <w:rPr>
          <w:spacing w:val="-9"/>
        </w:rPr>
        <w:t> </w:t>
      </w:r>
      <w:r>
        <w:rPr>
          <w:spacing w:val="-4"/>
        </w:rPr>
        <w:t>a</w:t>
      </w:r>
      <w:r>
        <w:rPr>
          <w:spacing w:val="-8"/>
        </w:rPr>
        <w:t> </w:t>
      </w:r>
      <w:r>
        <w:rPr>
          <w:spacing w:val="-4"/>
        </w:rPr>
        <w:t>postcolonial one.</w:t>
      </w:r>
    </w:p>
    <w:p>
      <w:pPr>
        <w:pStyle w:val="BodyText"/>
        <w:spacing w:line="249" w:lineRule="auto" w:before="63"/>
        <w:ind w:right="1437" w:firstLine="432"/>
      </w:pPr>
      <w:r>
        <w:rPr/>
        <w:t>Tamora</w:t>
      </w:r>
      <w:r>
        <w:rPr>
          <w:spacing w:val="-8"/>
        </w:rPr>
        <w:t> </w:t>
      </w:r>
      <w:r>
        <w:rPr/>
        <w:t>enters</w:t>
      </w:r>
      <w:r>
        <w:rPr>
          <w:spacing w:val="-5"/>
        </w:rPr>
        <w:t> </w:t>
      </w:r>
      <w:r>
        <w:rPr/>
        <w:t>the</w:t>
      </w:r>
      <w:r>
        <w:rPr>
          <w:spacing w:val="-5"/>
        </w:rPr>
        <w:t> </w:t>
      </w:r>
      <w:r>
        <w:rPr/>
        <w:t>play</w:t>
      </w:r>
      <w:r>
        <w:rPr>
          <w:spacing w:val="-7"/>
        </w:rPr>
        <w:t> </w:t>
      </w:r>
      <w:r>
        <w:rPr/>
        <w:t>as</w:t>
      </w:r>
      <w:r>
        <w:rPr>
          <w:spacing w:val="-5"/>
        </w:rPr>
        <w:t> </w:t>
      </w:r>
      <w:r>
        <w:rPr/>
        <w:t>a</w:t>
      </w:r>
      <w:r>
        <w:rPr>
          <w:spacing w:val="-5"/>
        </w:rPr>
        <w:t> </w:t>
      </w:r>
      <w:r>
        <w:rPr/>
        <w:t>prisoner of</w:t>
      </w:r>
      <w:r>
        <w:rPr>
          <w:spacing w:val="-5"/>
        </w:rPr>
        <w:t> </w:t>
      </w:r>
      <w:r>
        <w:rPr/>
        <w:t>war,</w:t>
      </w:r>
      <w:r>
        <w:rPr>
          <w:spacing w:val="-4"/>
        </w:rPr>
        <w:t> </w:t>
      </w:r>
      <w:r>
        <w:rPr/>
        <w:t>her</w:t>
      </w:r>
      <w:r>
        <w:rPr>
          <w:spacing w:val="-4"/>
        </w:rPr>
        <w:t> </w:t>
      </w:r>
      <w:r>
        <w:rPr/>
        <w:t>eldest</w:t>
      </w:r>
      <w:r>
        <w:rPr>
          <w:spacing w:val="-5"/>
        </w:rPr>
        <w:t> </w:t>
      </w:r>
      <w:r>
        <w:rPr/>
        <w:t>son</w:t>
      </w:r>
      <w:r>
        <w:rPr>
          <w:spacing w:val="-13"/>
        </w:rPr>
        <w:t> </w:t>
      </w:r>
      <w:r>
        <w:rPr/>
        <w:t>Alarbus </w:t>
      </w:r>
      <w:r>
        <w:rPr>
          <w:spacing w:val="-2"/>
        </w:rPr>
        <w:t>condemned</w:t>
      </w:r>
      <w:r>
        <w:rPr>
          <w:spacing w:val="2"/>
        </w:rPr>
        <w:t> </w:t>
      </w:r>
      <w:r>
        <w:rPr>
          <w:spacing w:val="-2"/>
        </w:rPr>
        <w:t>to</w:t>
      </w:r>
      <w:r>
        <w:rPr>
          <w:spacing w:val="1"/>
        </w:rPr>
        <w:t> </w:t>
      </w:r>
      <w:r>
        <w:rPr>
          <w:spacing w:val="-2"/>
        </w:rPr>
        <w:t>sacrificial</w:t>
      </w:r>
      <w:r>
        <w:rPr>
          <w:spacing w:val="-1"/>
        </w:rPr>
        <w:t> </w:t>
      </w:r>
      <w:r>
        <w:rPr>
          <w:spacing w:val="-2"/>
        </w:rPr>
        <w:t>execution</w:t>
      </w:r>
      <w:r>
        <w:rPr>
          <w:spacing w:val="-1"/>
        </w:rPr>
        <w:t> </w:t>
      </w:r>
      <w:r>
        <w:rPr>
          <w:spacing w:val="-2"/>
        </w:rPr>
        <w:t>by</w:t>
      </w:r>
      <w:r>
        <w:rPr>
          <w:spacing w:val="-7"/>
        </w:rPr>
        <w:t> </w:t>
      </w:r>
      <w:r>
        <w:rPr>
          <w:spacing w:val="-2"/>
        </w:rPr>
        <w:t>Titus</w:t>
      </w:r>
      <w:r>
        <w:rPr>
          <w:spacing w:val="-13"/>
        </w:rPr>
        <w:t> </w:t>
      </w:r>
      <w:r>
        <w:rPr>
          <w:spacing w:val="-2"/>
        </w:rPr>
        <w:t>Andronicus</w:t>
      </w:r>
      <w:r>
        <w:rPr>
          <w:spacing w:val="1"/>
        </w:rPr>
        <w:t> </w:t>
      </w:r>
      <w:r>
        <w:rPr>
          <w:spacing w:val="-2"/>
        </w:rPr>
        <w:t>over</w:t>
      </w:r>
      <w:r>
        <w:rPr>
          <w:spacing w:val="3"/>
        </w:rPr>
        <w:t> </w:t>
      </w:r>
      <w:r>
        <w:rPr>
          <w:spacing w:val="-2"/>
        </w:rPr>
        <w:t>her</w:t>
      </w:r>
      <w:r>
        <w:rPr>
          <w:spacing w:val="3"/>
        </w:rPr>
        <w:t> </w:t>
      </w:r>
      <w:r>
        <w:rPr>
          <w:spacing w:val="-2"/>
        </w:rPr>
        <w:t>explicit</w:t>
      </w:r>
    </w:p>
    <w:p>
      <w:pPr>
        <w:pStyle w:val="BodyText"/>
        <w:spacing w:after="0" w:line="249" w:lineRule="auto"/>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0" simplePos="0" relativeHeight="15889408">
                <wp:simplePos x="0" y="0"/>
                <wp:positionH relativeFrom="page">
                  <wp:posOffset>2065020</wp:posOffset>
                </wp:positionH>
                <wp:positionV relativeFrom="paragraph">
                  <wp:posOffset>795020</wp:posOffset>
                </wp:positionV>
                <wp:extent cx="3657600" cy="12700"/>
                <wp:effectExtent l="0" t="0" r="0" b="0"/>
                <wp:wrapNone/>
                <wp:docPr id="467" name="Graphic 467"/>
                <wp:cNvGraphicFramePr>
                  <a:graphicFrameLocks/>
                </wp:cNvGraphicFramePr>
                <a:graphic>
                  <a:graphicData uri="http://schemas.microsoft.com/office/word/2010/wordprocessingShape">
                    <wps:wsp>
                      <wps:cNvPr id="467" name="Graphic 46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889408" id="docshape462" filled="true" fillcolor="#000000" stroked="false">
                <v:fill type="solid"/>
                <w10:wrap type="none"/>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205</w:t>
      </w:r>
    </w:p>
    <w:p>
      <w:pPr>
        <w:pStyle w:val="BodyText"/>
        <w:spacing w:line="249" w:lineRule="auto" w:before="249"/>
        <w:ind w:right="1439"/>
        <w:jc w:val="both"/>
      </w:pPr>
      <w:r>
        <w:rPr>
          <w:spacing w:val="-2"/>
        </w:rPr>
        <w:t>protests.</w:t>
      </w:r>
      <w:r>
        <w:rPr>
          <w:spacing w:val="-7"/>
        </w:rPr>
        <w:t> </w:t>
      </w:r>
      <w:r>
        <w:rPr>
          <w:spacing w:val="-2"/>
        </w:rPr>
        <w:t>Her</w:t>
      </w:r>
      <w:r>
        <w:rPr>
          <w:spacing w:val="-5"/>
        </w:rPr>
        <w:t> </w:t>
      </w:r>
      <w:r>
        <w:rPr>
          <w:spacing w:val="-2"/>
        </w:rPr>
        <w:t>initial</w:t>
      </w:r>
      <w:r>
        <w:rPr>
          <w:spacing w:val="-9"/>
        </w:rPr>
        <w:t> </w:t>
      </w:r>
      <w:r>
        <w:rPr>
          <w:spacing w:val="-2"/>
        </w:rPr>
        <w:t>plea—a</w:t>
      </w:r>
      <w:r>
        <w:rPr>
          <w:spacing w:val="-9"/>
        </w:rPr>
        <w:t> </w:t>
      </w:r>
      <w:r>
        <w:rPr>
          <w:spacing w:val="-2"/>
        </w:rPr>
        <w:t>mother’s</w:t>
      </w:r>
      <w:r>
        <w:rPr>
          <w:spacing w:val="-9"/>
        </w:rPr>
        <w:t> </w:t>
      </w:r>
      <w:r>
        <w:rPr>
          <w:spacing w:val="-2"/>
        </w:rPr>
        <w:t>appeal</w:t>
      </w:r>
      <w:r>
        <w:rPr>
          <w:spacing w:val="-6"/>
        </w:rPr>
        <w:t> </w:t>
      </w:r>
      <w:r>
        <w:rPr>
          <w:spacing w:val="-2"/>
        </w:rPr>
        <w:t>for</w:t>
      </w:r>
      <w:r>
        <w:rPr>
          <w:spacing w:val="-7"/>
        </w:rPr>
        <w:t> </w:t>
      </w:r>
      <w:r>
        <w:rPr>
          <w:spacing w:val="-2"/>
        </w:rPr>
        <w:t>her</w:t>
      </w:r>
      <w:r>
        <w:rPr>
          <w:spacing w:val="-7"/>
        </w:rPr>
        <w:t> </w:t>
      </w:r>
      <w:r>
        <w:rPr>
          <w:spacing w:val="-2"/>
        </w:rPr>
        <w:t>son’s</w:t>
      </w:r>
      <w:r>
        <w:rPr>
          <w:spacing w:val="-7"/>
        </w:rPr>
        <w:t> </w:t>
      </w:r>
      <w:r>
        <w:rPr>
          <w:spacing w:val="-2"/>
        </w:rPr>
        <w:t>life—is</w:t>
      </w:r>
      <w:r>
        <w:rPr>
          <w:spacing w:val="-9"/>
        </w:rPr>
        <w:t> </w:t>
      </w:r>
      <w:r>
        <w:rPr>
          <w:spacing w:val="-2"/>
        </w:rPr>
        <w:t>moving </w:t>
      </w:r>
      <w:r>
        <w:rPr/>
        <w:t>and humane; it is only when that plea is rejected that she becomes the instrument of revenge. This trajectory matters: Tamora’s “wickedness” is explicitly reactive, a response to Roman violence visited upon her body and her family. The play does not allow us to forget that she has been</w:t>
      </w:r>
      <w:r>
        <w:rPr>
          <w:spacing w:val="-8"/>
        </w:rPr>
        <w:t> </w:t>
      </w:r>
      <w:r>
        <w:rPr/>
        <w:t>wronged,</w:t>
      </w:r>
      <w:r>
        <w:rPr>
          <w:spacing w:val="-8"/>
        </w:rPr>
        <w:t> </w:t>
      </w:r>
      <w:r>
        <w:rPr/>
        <w:t>even</w:t>
      </w:r>
      <w:r>
        <w:rPr>
          <w:spacing w:val="-7"/>
        </w:rPr>
        <w:t> </w:t>
      </w:r>
      <w:r>
        <w:rPr/>
        <w:t>as</w:t>
      </w:r>
      <w:r>
        <w:rPr>
          <w:spacing w:val="-8"/>
        </w:rPr>
        <w:t> </w:t>
      </w:r>
      <w:r>
        <w:rPr/>
        <w:t>it</w:t>
      </w:r>
      <w:r>
        <w:rPr>
          <w:spacing w:val="-5"/>
        </w:rPr>
        <w:t> </w:t>
      </w:r>
      <w:r>
        <w:rPr/>
        <w:t>increasingly</w:t>
      </w:r>
      <w:r>
        <w:rPr>
          <w:spacing w:val="-10"/>
        </w:rPr>
        <w:t> </w:t>
      </w:r>
      <w:r>
        <w:rPr/>
        <w:t>codes</w:t>
      </w:r>
      <w:r>
        <w:rPr>
          <w:spacing w:val="-7"/>
        </w:rPr>
        <w:t> </w:t>
      </w:r>
      <w:r>
        <w:rPr/>
        <w:t>her</w:t>
      </w:r>
      <w:r>
        <w:rPr>
          <w:spacing w:val="-5"/>
        </w:rPr>
        <w:t> </w:t>
      </w:r>
      <w:r>
        <w:rPr/>
        <w:t>as</w:t>
      </w:r>
      <w:r>
        <w:rPr>
          <w:spacing w:val="-10"/>
        </w:rPr>
        <w:t> </w:t>
      </w:r>
      <w:r>
        <w:rPr/>
        <w:t>a</w:t>
      </w:r>
      <w:r>
        <w:rPr>
          <w:spacing w:val="-6"/>
        </w:rPr>
        <w:t> </w:t>
      </w:r>
      <w:r>
        <w:rPr/>
        <w:t>figure</w:t>
      </w:r>
      <w:r>
        <w:rPr>
          <w:spacing w:val="-8"/>
        </w:rPr>
        <w:t> </w:t>
      </w:r>
      <w:r>
        <w:rPr/>
        <w:t>of</w:t>
      </w:r>
      <w:r>
        <w:rPr>
          <w:spacing w:val="-7"/>
        </w:rPr>
        <w:t> </w:t>
      </w:r>
      <w:r>
        <w:rPr/>
        <w:t>monstrous </w:t>
      </w:r>
      <w:r>
        <w:rPr>
          <w:spacing w:val="-2"/>
        </w:rPr>
        <w:t>evil.</w:t>
      </w:r>
    </w:p>
    <w:p>
      <w:pPr>
        <w:pStyle w:val="BodyText"/>
        <w:spacing w:line="249" w:lineRule="auto" w:before="63"/>
        <w:ind w:right="1437" w:firstLine="432"/>
        <w:jc w:val="both"/>
      </w:pPr>
      <w:r>
        <w:rPr/>
        <w:t>The intersection of gender and race in Tamora’s characterization</w:t>
      </w:r>
      <w:r>
        <w:rPr>
          <w:spacing w:val="40"/>
        </w:rPr>
        <w:t> </w:t>
      </w:r>
      <w:r>
        <w:rPr/>
        <w:t>is</w:t>
      </w:r>
      <w:r>
        <w:rPr>
          <w:spacing w:val="-10"/>
        </w:rPr>
        <w:t> </w:t>
      </w:r>
      <w:r>
        <w:rPr/>
        <w:t>analyzed</w:t>
      </w:r>
      <w:r>
        <w:rPr>
          <w:spacing w:val="-3"/>
        </w:rPr>
        <w:t> </w:t>
      </w:r>
      <w:r>
        <w:rPr/>
        <w:t>with</w:t>
      </w:r>
      <w:r>
        <w:rPr>
          <w:spacing w:val="-4"/>
        </w:rPr>
        <w:t> </w:t>
      </w:r>
      <w:r>
        <w:rPr/>
        <w:t>great</w:t>
      </w:r>
      <w:r>
        <w:rPr>
          <w:spacing w:val="-3"/>
        </w:rPr>
        <w:t> </w:t>
      </w:r>
      <w:r>
        <w:rPr/>
        <w:t>acuity</w:t>
      </w:r>
      <w:r>
        <w:rPr>
          <w:spacing w:val="-6"/>
        </w:rPr>
        <w:t> </w:t>
      </w:r>
      <w:r>
        <w:rPr/>
        <w:t>by</w:t>
      </w:r>
      <w:r>
        <w:rPr>
          <w:spacing w:val="-13"/>
        </w:rPr>
        <w:t> </w:t>
      </w:r>
      <w:r>
        <w:rPr/>
        <w:t>Ania</w:t>
      </w:r>
      <w:r>
        <w:rPr>
          <w:spacing w:val="-1"/>
        </w:rPr>
        <w:t> </w:t>
      </w:r>
      <w:r>
        <w:rPr/>
        <w:t>Loomba,</w:t>
      </w:r>
      <w:r>
        <w:rPr>
          <w:spacing w:val="-3"/>
        </w:rPr>
        <w:t> </w:t>
      </w:r>
      <w:r>
        <w:rPr/>
        <w:t>who</w:t>
      </w:r>
      <w:r>
        <w:rPr>
          <w:spacing w:val="-1"/>
        </w:rPr>
        <w:t> </w:t>
      </w:r>
      <w:r>
        <w:rPr/>
        <w:t>shows</w:t>
      </w:r>
      <w:r>
        <w:rPr>
          <w:spacing w:val="-3"/>
        </w:rPr>
        <w:t> </w:t>
      </w:r>
      <w:r>
        <w:rPr/>
        <w:t>how</w:t>
      </w:r>
      <w:r>
        <w:rPr>
          <w:spacing w:val="-6"/>
        </w:rPr>
        <w:t> </w:t>
      </w:r>
      <w:r>
        <w:rPr/>
        <w:t>the</w:t>
      </w:r>
      <w:r>
        <w:rPr>
          <w:spacing w:val="-2"/>
        </w:rPr>
        <w:t> </w:t>
      </w:r>
      <w:r>
        <w:rPr/>
        <w:t>play </w:t>
      </w:r>
      <w:r>
        <w:rPr>
          <w:spacing w:val="-2"/>
        </w:rPr>
        <w:t>draws</w:t>
      </w:r>
      <w:r>
        <w:rPr>
          <w:spacing w:val="-3"/>
        </w:rPr>
        <w:t> </w:t>
      </w:r>
      <w:r>
        <w:rPr>
          <w:spacing w:val="-2"/>
        </w:rPr>
        <w:t>on contemporary</w:t>
      </w:r>
      <w:r>
        <w:rPr>
          <w:spacing w:val="-8"/>
        </w:rPr>
        <w:t> </w:t>
      </w:r>
      <w:r>
        <w:rPr>
          <w:spacing w:val="-2"/>
        </w:rPr>
        <w:t>discourses of</w:t>
      </w:r>
      <w:r>
        <w:rPr>
          <w:spacing w:val="-3"/>
        </w:rPr>
        <w:t> </w:t>
      </w:r>
      <w:r>
        <w:rPr>
          <w:spacing w:val="-2"/>
        </w:rPr>
        <w:t>Orientalism and colonial encounter to</w:t>
      </w:r>
      <w:r>
        <w:rPr>
          <w:spacing w:val="-11"/>
        </w:rPr>
        <w:t> </w:t>
      </w:r>
      <w:r>
        <w:rPr>
          <w:spacing w:val="-2"/>
        </w:rPr>
        <w:t>construct</w:t>
      </w:r>
      <w:r>
        <w:rPr>
          <w:spacing w:val="-10"/>
        </w:rPr>
        <w:t> </w:t>
      </w:r>
      <w:r>
        <w:rPr>
          <w:spacing w:val="-2"/>
        </w:rPr>
        <w:t>Tamora</w:t>
      </w:r>
      <w:r>
        <w:rPr>
          <w:spacing w:val="-11"/>
        </w:rPr>
        <w:t> </w:t>
      </w:r>
      <w:r>
        <w:rPr>
          <w:spacing w:val="-2"/>
        </w:rPr>
        <w:t>as</w:t>
      </w:r>
      <w:r>
        <w:rPr>
          <w:spacing w:val="-10"/>
        </w:rPr>
        <w:t> </w:t>
      </w:r>
      <w:r>
        <w:rPr>
          <w:spacing w:val="-2"/>
        </w:rPr>
        <w:t>a</w:t>
      </w:r>
      <w:r>
        <w:rPr>
          <w:spacing w:val="-11"/>
        </w:rPr>
        <w:t> </w:t>
      </w:r>
      <w:r>
        <w:rPr>
          <w:spacing w:val="-2"/>
        </w:rPr>
        <w:t>figure</w:t>
      </w:r>
      <w:r>
        <w:rPr>
          <w:spacing w:val="-10"/>
        </w:rPr>
        <w:t> </w:t>
      </w:r>
      <w:r>
        <w:rPr>
          <w:spacing w:val="-2"/>
        </w:rPr>
        <w:t>of</w:t>
      </w:r>
      <w:r>
        <w:rPr>
          <w:spacing w:val="-9"/>
        </w:rPr>
        <w:t> </w:t>
      </w:r>
      <w:r>
        <w:rPr>
          <w:spacing w:val="-2"/>
        </w:rPr>
        <w:t>barbaric,</w:t>
      </w:r>
      <w:r>
        <w:rPr>
          <w:spacing w:val="-11"/>
        </w:rPr>
        <w:t> </w:t>
      </w:r>
      <w:r>
        <w:rPr>
          <w:spacing w:val="-2"/>
        </w:rPr>
        <w:t>excessive</w:t>
      </w:r>
      <w:r>
        <w:rPr>
          <w:spacing w:val="-7"/>
        </w:rPr>
        <w:t> </w:t>
      </w:r>
      <w:r>
        <w:rPr>
          <w:spacing w:val="-2"/>
        </w:rPr>
        <w:t>femininity</w:t>
      </w:r>
      <w:r>
        <w:rPr>
          <w:spacing w:val="-11"/>
        </w:rPr>
        <w:t> </w:t>
      </w:r>
      <w:r>
        <w:rPr>
          <w:spacing w:val="-2"/>
        </w:rPr>
        <w:t>(Loomba </w:t>
      </w:r>
      <w:r>
        <w:rPr/>
        <w:t>76). Her relationship with</w:t>
      </w:r>
      <w:r>
        <w:rPr>
          <w:spacing w:val="-12"/>
        </w:rPr>
        <w:t> </w:t>
      </w:r>
      <w:r>
        <w:rPr/>
        <w:t>Aaron</w:t>
      </w:r>
      <w:r>
        <w:rPr>
          <w:spacing w:val="-2"/>
        </w:rPr>
        <w:t> </w:t>
      </w:r>
      <w:r>
        <w:rPr/>
        <w:t>the Moor, through</w:t>
      </w:r>
      <w:r>
        <w:rPr>
          <w:spacing w:val="-2"/>
        </w:rPr>
        <w:t> </w:t>
      </w:r>
      <w:r>
        <w:rPr/>
        <w:t>which</w:t>
      </w:r>
      <w:r>
        <w:rPr>
          <w:spacing w:val="-2"/>
        </w:rPr>
        <w:t> </w:t>
      </w:r>
      <w:r>
        <w:rPr/>
        <w:t>she becomes pregnant</w:t>
      </w:r>
      <w:r>
        <w:rPr>
          <w:spacing w:val="-13"/>
        </w:rPr>
        <w:t> </w:t>
      </w:r>
      <w:r>
        <w:rPr/>
        <w:t>with</w:t>
      </w:r>
      <w:r>
        <w:rPr>
          <w:spacing w:val="-12"/>
        </w:rPr>
        <w:t> </w:t>
      </w:r>
      <w:r>
        <w:rPr/>
        <w:t>a</w:t>
      </w:r>
      <w:r>
        <w:rPr>
          <w:spacing w:val="-13"/>
        </w:rPr>
        <w:t> </w:t>
      </w:r>
      <w:r>
        <w:rPr/>
        <w:t>mixed-race</w:t>
      </w:r>
      <w:r>
        <w:rPr>
          <w:spacing w:val="-12"/>
        </w:rPr>
        <w:t> </w:t>
      </w:r>
      <w:r>
        <w:rPr/>
        <w:t>child,</w:t>
      </w:r>
      <w:r>
        <w:rPr>
          <w:spacing w:val="-13"/>
        </w:rPr>
        <w:t> </w:t>
      </w:r>
      <w:r>
        <w:rPr/>
        <w:t>is</w:t>
      </w:r>
      <w:r>
        <w:rPr>
          <w:spacing w:val="-12"/>
        </w:rPr>
        <w:t> </w:t>
      </w:r>
      <w:r>
        <w:rPr/>
        <w:t>the</w:t>
      </w:r>
      <w:r>
        <w:rPr>
          <w:spacing w:val="-13"/>
        </w:rPr>
        <w:t> </w:t>
      </w:r>
      <w:r>
        <w:rPr/>
        <w:t>play’s</w:t>
      </w:r>
      <w:r>
        <w:rPr>
          <w:spacing w:val="-12"/>
        </w:rPr>
        <w:t> </w:t>
      </w:r>
      <w:r>
        <w:rPr/>
        <w:t>most</w:t>
      </w:r>
      <w:r>
        <w:rPr>
          <w:spacing w:val="-13"/>
        </w:rPr>
        <w:t> </w:t>
      </w:r>
      <w:r>
        <w:rPr/>
        <w:t>charged</w:t>
      </w:r>
      <w:r>
        <w:rPr>
          <w:spacing w:val="-12"/>
        </w:rPr>
        <w:t> </w:t>
      </w:r>
      <w:r>
        <w:rPr/>
        <w:t>site</w:t>
      </w:r>
      <w:r>
        <w:rPr>
          <w:spacing w:val="-10"/>
        </w:rPr>
        <w:t> </w:t>
      </w:r>
      <w:r>
        <w:rPr/>
        <w:t>of</w:t>
      </w:r>
      <w:r>
        <w:rPr>
          <w:spacing w:val="-13"/>
        </w:rPr>
        <w:t> </w:t>
      </w:r>
      <w:r>
        <w:rPr/>
        <w:t>racial anxiety. The illegitimate black baby is figured as a monstrous product of unnatural desire—an anxiety that has everything to do with early modern constructions of racial otherness and almost nothing to do with any</w:t>
      </w:r>
      <w:r>
        <w:rPr>
          <w:spacing w:val="40"/>
        </w:rPr>
        <w:t> </w:t>
      </w:r>
      <w:r>
        <w:rPr/>
        <w:t>authentic</w:t>
      </w:r>
      <w:r>
        <w:rPr>
          <w:spacing w:val="40"/>
        </w:rPr>
        <w:t> </w:t>
      </w:r>
      <w:r>
        <w:rPr/>
        <w:t>ethical</w:t>
      </w:r>
      <w:r>
        <w:rPr>
          <w:spacing w:val="40"/>
        </w:rPr>
        <w:t> </w:t>
      </w:r>
      <w:r>
        <w:rPr/>
        <w:t>assessment</w:t>
      </w:r>
      <w:r>
        <w:rPr>
          <w:spacing w:val="40"/>
        </w:rPr>
        <w:t> </w:t>
      </w:r>
      <w:r>
        <w:rPr/>
        <w:t>of</w:t>
      </w:r>
      <w:r>
        <w:rPr>
          <w:spacing w:val="40"/>
        </w:rPr>
        <w:t> </w:t>
      </w:r>
      <w:r>
        <w:rPr/>
        <w:t>Tamora’s</w:t>
      </w:r>
      <w:r>
        <w:rPr>
          <w:spacing w:val="40"/>
        </w:rPr>
        <w:t> </w:t>
      </w:r>
      <w:r>
        <w:rPr/>
        <w:t>character.</w:t>
      </w:r>
    </w:p>
    <w:p>
      <w:pPr>
        <w:pStyle w:val="BodyText"/>
        <w:spacing w:line="249" w:lineRule="auto" w:before="66"/>
        <w:ind w:right="1441" w:firstLine="432"/>
        <w:jc w:val="both"/>
      </w:pPr>
      <w:r>
        <w:rPr/>
        <w:t>What a feminist reading of Tamora recovers is the figure of a woman who refuses the subjection that conquest is supposed to entail. She does not accept defeat passively; she uses the tools available to her—her sexuality, her eloquence, her alliance with</w:t>
      </w:r>
      <w:r>
        <w:rPr>
          <w:spacing w:val="-1"/>
        </w:rPr>
        <w:t> </w:t>
      </w:r>
      <w:r>
        <w:rPr/>
        <w:t>Aaron—to exact a terrible but coherent revenge. In a play saturated with violence, her violence is not qualitatively different from the Roman violence that frames</w:t>
      </w:r>
      <w:r>
        <w:rPr>
          <w:spacing w:val="-5"/>
        </w:rPr>
        <w:t> </w:t>
      </w:r>
      <w:r>
        <w:rPr/>
        <w:t>and</w:t>
      </w:r>
      <w:r>
        <w:rPr>
          <w:spacing w:val="-2"/>
        </w:rPr>
        <w:t> </w:t>
      </w:r>
      <w:r>
        <w:rPr/>
        <w:t>exceeds</w:t>
      </w:r>
      <w:r>
        <w:rPr>
          <w:spacing w:val="-5"/>
        </w:rPr>
        <w:t> </w:t>
      </w:r>
      <w:r>
        <w:rPr/>
        <w:t>it;</w:t>
      </w:r>
      <w:r>
        <w:rPr>
          <w:spacing w:val="-3"/>
        </w:rPr>
        <w:t> </w:t>
      </w:r>
      <w:r>
        <w:rPr/>
        <w:t>it</w:t>
      </w:r>
      <w:r>
        <w:rPr>
          <w:spacing w:val="-3"/>
        </w:rPr>
        <w:t> </w:t>
      </w:r>
      <w:r>
        <w:rPr/>
        <w:t>is,</w:t>
      </w:r>
      <w:r>
        <w:rPr>
          <w:spacing w:val="-3"/>
        </w:rPr>
        <w:t> </w:t>
      </w:r>
      <w:r>
        <w:rPr/>
        <w:t>however,</w:t>
      </w:r>
      <w:r>
        <w:rPr>
          <w:spacing w:val="-3"/>
        </w:rPr>
        <w:t> </w:t>
      </w:r>
      <w:r>
        <w:rPr/>
        <w:t>gendered</w:t>
      </w:r>
      <w:r>
        <w:rPr>
          <w:spacing w:val="-5"/>
        </w:rPr>
        <w:t> </w:t>
      </w:r>
      <w:r>
        <w:rPr/>
        <w:t>differently</w:t>
      </w:r>
      <w:r>
        <w:rPr>
          <w:spacing w:val="-7"/>
        </w:rPr>
        <w:t> </w:t>
      </w:r>
      <w:r>
        <w:rPr/>
        <w:t>and</w:t>
      </w:r>
      <w:r>
        <w:rPr>
          <w:spacing w:val="-2"/>
        </w:rPr>
        <w:t> </w:t>
      </w:r>
      <w:r>
        <w:rPr/>
        <w:t>therefore coded differently. Roman violence is martial and therefore legitimate; Tamora’s violence is sexual and therefore corrupt.</w:t>
      </w:r>
    </w:p>
    <w:p>
      <w:pPr>
        <w:pStyle w:val="BodyText"/>
        <w:spacing w:line="249" w:lineRule="auto" w:before="67"/>
        <w:ind w:right="1437" w:firstLine="432"/>
        <w:jc w:val="both"/>
      </w:pPr>
      <w:r>
        <w:rPr/>
        <w:t>Her death—consumed by the Romans, literally fed to birds and beasts—is a striking image of the cultural anxiety</w:t>
      </w:r>
      <w:r>
        <w:rPr>
          <w:spacing w:val="-1"/>
        </w:rPr>
        <w:t> </w:t>
      </w:r>
      <w:r>
        <w:rPr/>
        <w:t>she embodies. She is not</w:t>
      </w:r>
      <w:r>
        <w:rPr>
          <w:spacing w:val="-3"/>
        </w:rPr>
        <w:t> </w:t>
      </w:r>
      <w:r>
        <w:rPr/>
        <w:t>merely</w:t>
      </w:r>
      <w:r>
        <w:rPr>
          <w:spacing w:val="-7"/>
        </w:rPr>
        <w:t> </w:t>
      </w:r>
      <w:r>
        <w:rPr/>
        <w:t>killed</w:t>
      </w:r>
      <w:r>
        <w:rPr>
          <w:spacing w:val="-5"/>
        </w:rPr>
        <w:t> </w:t>
      </w:r>
      <w:r>
        <w:rPr/>
        <w:t>but</w:t>
      </w:r>
      <w:r>
        <w:rPr>
          <w:spacing w:val="-4"/>
        </w:rPr>
        <w:t> </w:t>
      </w:r>
      <w:r>
        <w:rPr/>
        <w:t>eliminated</w:t>
      </w:r>
      <w:r>
        <w:rPr>
          <w:spacing w:val="-3"/>
        </w:rPr>
        <w:t> </w:t>
      </w:r>
      <w:r>
        <w:rPr/>
        <w:t>from</w:t>
      </w:r>
      <w:r>
        <w:rPr>
          <w:spacing w:val="-8"/>
        </w:rPr>
        <w:t> </w:t>
      </w:r>
      <w:r>
        <w:rPr/>
        <w:t>the</w:t>
      </w:r>
      <w:r>
        <w:rPr>
          <w:spacing w:val="-5"/>
        </w:rPr>
        <w:t> </w:t>
      </w:r>
      <w:r>
        <w:rPr/>
        <w:t>category</w:t>
      </w:r>
      <w:r>
        <w:rPr>
          <w:spacing w:val="-7"/>
        </w:rPr>
        <w:t> </w:t>
      </w:r>
      <w:r>
        <w:rPr/>
        <w:t>of</w:t>
      </w:r>
      <w:r>
        <w:rPr>
          <w:spacing w:val="-8"/>
        </w:rPr>
        <w:t> </w:t>
      </w:r>
      <w:r>
        <w:rPr/>
        <w:t>the</w:t>
      </w:r>
      <w:r>
        <w:rPr>
          <w:spacing w:val="-5"/>
        </w:rPr>
        <w:t> </w:t>
      </w:r>
      <w:r>
        <w:rPr/>
        <w:t>human,</w:t>
      </w:r>
      <w:r>
        <w:rPr>
          <w:spacing w:val="-5"/>
        </w:rPr>
        <w:t> </w:t>
      </w:r>
      <w:r>
        <w:rPr/>
        <w:t>denied even</w:t>
      </w:r>
      <w:r>
        <w:rPr>
          <w:spacing w:val="-4"/>
        </w:rPr>
        <w:t> </w:t>
      </w:r>
      <w:r>
        <w:rPr/>
        <w:t>the</w:t>
      </w:r>
      <w:r>
        <w:rPr>
          <w:spacing w:val="-2"/>
        </w:rPr>
        <w:t> </w:t>
      </w:r>
      <w:r>
        <w:rPr/>
        <w:t>burial</w:t>
      </w:r>
      <w:r>
        <w:rPr>
          <w:spacing w:val="-2"/>
        </w:rPr>
        <w:t> </w:t>
      </w:r>
      <w:r>
        <w:rPr/>
        <w:t>rites</w:t>
      </w:r>
      <w:r>
        <w:rPr>
          <w:spacing w:val="-4"/>
        </w:rPr>
        <w:t> </w:t>
      </w:r>
      <w:r>
        <w:rPr/>
        <w:t>that</w:t>
      </w:r>
      <w:r>
        <w:rPr>
          <w:spacing w:val="-4"/>
        </w:rPr>
        <w:t> </w:t>
      </w:r>
      <w:r>
        <w:rPr/>
        <w:t>would</w:t>
      </w:r>
      <w:r>
        <w:rPr>
          <w:spacing w:val="-3"/>
        </w:rPr>
        <w:t> </w:t>
      </w:r>
      <w:r>
        <w:rPr/>
        <w:t>acknowledge</w:t>
      </w:r>
      <w:r>
        <w:rPr>
          <w:spacing w:val="-1"/>
        </w:rPr>
        <w:t> </w:t>
      </w:r>
      <w:r>
        <w:rPr/>
        <w:t>her</w:t>
      </w:r>
      <w:r>
        <w:rPr>
          <w:spacing w:val="-3"/>
        </w:rPr>
        <w:t> </w:t>
      </w:r>
      <w:r>
        <w:rPr/>
        <w:t>as</w:t>
      </w:r>
      <w:r>
        <w:rPr>
          <w:spacing w:val="-4"/>
        </w:rPr>
        <w:t> </w:t>
      </w:r>
      <w:r>
        <w:rPr/>
        <w:t>a</w:t>
      </w:r>
      <w:r>
        <w:rPr>
          <w:spacing w:val="-4"/>
        </w:rPr>
        <w:t> </w:t>
      </w:r>
      <w:r>
        <w:rPr/>
        <w:t>person</w:t>
      </w:r>
      <w:r>
        <w:rPr>
          <w:spacing w:val="-3"/>
        </w:rPr>
        <w:t> </w:t>
      </w:r>
      <w:r>
        <w:rPr/>
        <w:t>with</w:t>
      </w:r>
      <w:r>
        <w:rPr>
          <w:spacing w:val="-4"/>
        </w:rPr>
        <w:t> </w:t>
      </w:r>
      <w:r>
        <w:rPr/>
        <w:t>social bonds.</w:t>
      </w:r>
      <w:r>
        <w:rPr>
          <w:spacing w:val="-4"/>
        </w:rPr>
        <w:t> </w:t>
      </w:r>
      <w:r>
        <w:rPr/>
        <w:t>The</w:t>
      </w:r>
      <w:r>
        <w:rPr>
          <w:spacing w:val="-6"/>
        </w:rPr>
        <w:t> </w:t>
      </w:r>
      <w:r>
        <w:rPr/>
        <w:t>extremity</w:t>
      </w:r>
      <w:r>
        <w:rPr>
          <w:spacing w:val="-7"/>
        </w:rPr>
        <w:t> </w:t>
      </w:r>
      <w:r>
        <w:rPr/>
        <w:t>of</w:t>
      </w:r>
      <w:r>
        <w:rPr>
          <w:spacing w:val="-5"/>
        </w:rPr>
        <w:t> </w:t>
      </w:r>
      <w:r>
        <w:rPr/>
        <w:t>this</w:t>
      </w:r>
      <w:r>
        <w:rPr>
          <w:spacing w:val="-4"/>
        </w:rPr>
        <w:t> </w:t>
      </w:r>
      <w:r>
        <w:rPr/>
        <w:t>symbolic</w:t>
      </w:r>
      <w:r>
        <w:rPr>
          <w:spacing w:val="-7"/>
        </w:rPr>
        <w:t> </w:t>
      </w:r>
      <w:r>
        <w:rPr/>
        <w:t>violence</w:t>
      </w:r>
      <w:r>
        <w:rPr>
          <w:spacing w:val="-4"/>
        </w:rPr>
        <w:t> </w:t>
      </w:r>
      <w:r>
        <w:rPr/>
        <w:t>is</w:t>
      </w:r>
      <w:r>
        <w:rPr>
          <w:spacing w:val="-5"/>
        </w:rPr>
        <w:t> </w:t>
      </w:r>
      <w:r>
        <w:rPr/>
        <w:t>itself</w:t>
      </w:r>
      <w:r>
        <w:rPr>
          <w:spacing w:val="-5"/>
        </w:rPr>
        <w:t> </w:t>
      </w:r>
      <w:r>
        <w:rPr/>
        <w:t>evidence</w:t>
      </w:r>
      <w:r>
        <w:rPr>
          <w:spacing w:val="-6"/>
        </w:rPr>
        <w:t> </w:t>
      </w:r>
      <w:r>
        <w:rPr/>
        <w:t>of</w:t>
      </w:r>
      <w:r>
        <w:rPr>
          <w:spacing w:val="-5"/>
        </w:rPr>
        <w:t> </w:t>
      </w:r>
      <w:r>
        <w:rPr/>
        <w:t>how deeply her transgressions have threatened the symbolic order the play seeks to restore. A feminist reading must attend to this extremity: the ferocity</w:t>
      </w:r>
      <w:r>
        <w:rPr>
          <w:spacing w:val="40"/>
        </w:rPr>
        <w:t> </w:t>
      </w:r>
      <w:r>
        <w:rPr/>
        <w:t>of</w:t>
      </w:r>
      <w:r>
        <w:rPr>
          <w:spacing w:val="40"/>
        </w:rPr>
        <w:t> </w:t>
      </w:r>
      <w:r>
        <w:rPr/>
        <w:t>the</w:t>
      </w:r>
      <w:r>
        <w:rPr>
          <w:spacing w:val="40"/>
        </w:rPr>
        <w:t> </w:t>
      </w:r>
      <w:r>
        <w:rPr/>
        <w:t>punishment</w:t>
      </w:r>
      <w:r>
        <w:rPr>
          <w:spacing w:val="40"/>
        </w:rPr>
        <w:t> </w:t>
      </w:r>
      <w:r>
        <w:rPr/>
        <w:t>is</w:t>
      </w:r>
      <w:r>
        <w:rPr>
          <w:spacing w:val="40"/>
        </w:rPr>
        <w:t> </w:t>
      </w:r>
      <w:r>
        <w:rPr/>
        <w:t>a</w:t>
      </w:r>
      <w:r>
        <w:rPr>
          <w:spacing w:val="40"/>
        </w:rPr>
        <w:t> </w:t>
      </w:r>
      <w:r>
        <w:rPr/>
        <w:t>measure</w:t>
      </w:r>
      <w:r>
        <w:rPr>
          <w:spacing w:val="40"/>
        </w:rPr>
        <w:t> </w:t>
      </w:r>
      <w:r>
        <w:rPr/>
        <w:t>of</w:t>
      </w:r>
      <w:r>
        <w:rPr>
          <w:spacing w:val="40"/>
        </w:rPr>
        <w:t> </w:t>
      </w:r>
      <w:r>
        <w:rPr/>
        <w:t>the</w:t>
      </w:r>
      <w:r>
        <w:rPr>
          <w:spacing w:val="40"/>
        </w:rPr>
        <w:t> </w:t>
      </w:r>
      <w:r>
        <w:rPr/>
        <w:t>threat.</w:t>
      </w:r>
    </w:p>
    <w:p>
      <w:pPr>
        <w:pStyle w:val="Heading3"/>
        <w:numPr>
          <w:ilvl w:val="0"/>
          <w:numId w:val="39"/>
        </w:numPr>
        <w:tabs>
          <w:tab w:pos="1671" w:val="left" w:leader="none"/>
        </w:tabs>
        <w:spacing w:line="240" w:lineRule="auto" w:before="160" w:after="0"/>
        <w:ind w:left="1440" w:right="1439" w:firstLine="0"/>
        <w:jc w:val="left"/>
      </w:pPr>
      <w:r>
        <w:rPr>
          <w:w w:val="85"/>
        </w:rPr>
        <w:t>CLEOPATRA: DESIRE, PERFORMANCE, AND THE LIMITS </w:t>
      </w:r>
      <w:r>
        <w:rPr>
          <w:w w:val="95"/>
        </w:rPr>
        <w:t>OF</w:t>
      </w:r>
      <w:r>
        <w:rPr>
          <w:spacing w:val="-10"/>
          <w:w w:val="95"/>
        </w:rPr>
        <w:t> </w:t>
      </w:r>
      <w:r>
        <w:rPr>
          <w:w w:val="95"/>
        </w:rPr>
        <w:t>CONTAINMENT</w:t>
      </w:r>
    </w:p>
    <w:p>
      <w:pPr>
        <w:pStyle w:val="BodyText"/>
        <w:spacing w:line="249" w:lineRule="auto" w:before="74"/>
        <w:ind w:right="1439" w:firstLine="432"/>
        <w:jc w:val="both"/>
      </w:pPr>
      <w:r>
        <w:rPr/>
        <w:t>Antony</w:t>
      </w:r>
      <w:r>
        <w:rPr>
          <w:spacing w:val="-11"/>
        </w:rPr>
        <w:t> </w:t>
      </w:r>
      <w:r>
        <w:rPr/>
        <w:t>and</w:t>
      </w:r>
      <w:r>
        <w:rPr>
          <w:spacing w:val="-6"/>
        </w:rPr>
        <w:t> </w:t>
      </w:r>
      <w:r>
        <w:rPr/>
        <w:t>Cleopatra</w:t>
      </w:r>
      <w:r>
        <w:rPr>
          <w:spacing w:val="-6"/>
        </w:rPr>
        <w:t> </w:t>
      </w:r>
      <w:r>
        <w:rPr/>
        <w:t>offers</w:t>
      </w:r>
      <w:r>
        <w:rPr>
          <w:spacing w:val="-8"/>
        </w:rPr>
        <w:t> </w:t>
      </w:r>
      <w:r>
        <w:rPr/>
        <w:t>perhaps</w:t>
      </w:r>
      <w:r>
        <w:rPr>
          <w:spacing w:val="-8"/>
        </w:rPr>
        <w:t> </w:t>
      </w:r>
      <w:r>
        <w:rPr/>
        <w:t>the</w:t>
      </w:r>
      <w:r>
        <w:rPr>
          <w:spacing w:val="-8"/>
        </w:rPr>
        <w:t> </w:t>
      </w:r>
      <w:r>
        <w:rPr/>
        <w:t>richest</w:t>
      </w:r>
      <w:r>
        <w:rPr>
          <w:spacing w:val="-4"/>
        </w:rPr>
        <w:t> </w:t>
      </w:r>
      <w:r>
        <w:rPr/>
        <w:t>and</w:t>
      </w:r>
      <w:r>
        <w:rPr>
          <w:spacing w:val="-6"/>
        </w:rPr>
        <w:t> </w:t>
      </w:r>
      <w:r>
        <w:rPr/>
        <w:t>most</w:t>
      </w:r>
      <w:r>
        <w:rPr>
          <w:spacing w:val="-8"/>
        </w:rPr>
        <w:t> </w:t>
      </w:r>
      <w:r>
        <w:rPr/>
        <w:t>complex engagement</w:t>
      </w:r>
      <w:r>
        <w:rPr>
          <w:spacing w:val="47"/>
        </w:rPr>
        <w:t> </w:t>
      </w:r>
      <w:r>
        <w:rPr/>
        <w:t>with</w:t>
      </w:r>
      <w:r>
        <w:rPr>
          <w:spacing w:val="45"/>
        </w:rPr>
        <w:t> </w:t>
      </w:r>
      <w:r>
        <w:rPr/>
        <w:t>female</w:t>
      </w:r>
      <w:r>
        <w:rPr>
          <w:spacing w:val="46"/>
        </w:rPr>
        <w:t> </w:t>
      </w:r>
      <w:r>
        <w:rPr/>
        <w:t>power</w:t>
      </w:r>
      <w:r>
        <w:rPr>
          <w:spacing w:val="44"/>
        </w:rPr>
        <w:t> </w:t>
      </w:r>
      <w:r>
        <w:rPr/>
        <w:t>and</w:t>
      </w:r>
      <w:r>
        <w:rPr>
          <w:spacing w:val="50"/>
        </w:rPr>
        <w:t> </w:t>
      </w:r>
      <w:r>
        <w:rPr/>
        <w:t>sexuality</w:t>
      </w:r>
      <w:r>
        <w:rPr>
          <w:spacing w:val="41"/>
        </w:rPr>
        <w:t> </w:t>
      </w:r>
      <w:r>
        <w:rPr/>
        <w:t>in</w:t>
      </w:r>
      <w:r>
        <w:rPr>
          <w:spacing w:val="43"/>
        </w:rPr>
        <w:t> </w:t>
      </w:r>
      <w:r>
        <w:rPr/>
        <w:t>the</w:t>
      </w:r>
      <w:r>
        <w:rPr>
          <w:spacing w:val="45"/>
        </w:rPr>
        <w:t> </w:t>
      </w:r>
      <w:r>
        <w:rPr>
          <w:spacing w:val="-2"/>
        </w:rPr>
        <w:t>Shakespearean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49120">
                <wp:simplePos x="0" y="0"/>
                <wp:positionH relativeFrom="page">
                  <wp:posOffset>2057400</wp:posOffset>
                </wp:positionH>
                <wp:positionV relativeFrom="paragraph">
                  <wp:posOffset>162604</wp:posOffset>
                </wp:positionV>
                <wp:extent cx="3657600" cy="12700"/>
                <wp:effectExtent l="0" t="0" r="0" b="0"/>
                <wp:wrapTopAndBottom/>
                <wp:docPr id="468" name="Graphic 468"/>
                <wp:cNvGraphicFramePr>
                  <a:graphicFrameLocks/>
                </wp:cNvGraphicFramePr>
                <a:graphic>
                  <a:graphicData uri="http://schemas.microsoft.com/office/word/2010/wordprocessingShape">
                    <wps:wsp>
                      <wps:cNvPr id="468" name="Graphic 46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67360;mso-wrap-distance-left:0;mso-wrap-distance-right:0" id="docshape463" filled="true" fillcolor="#000000" stroked="false">
                <v:fill type="solid"/>
                <w10:wrap type="topAndBottom"/>
              </v:rect>
            </w:pict>
          </mc:Fallback>
        </mc:AlternateContent>
      </w:r>
      <w:r>
        <w:rPr>
          <w:rFonts w:ascii="Verdana"/>
          <w:spacing w:val="-5"/>
          <w:sz w:val="18"/>
        </w:rPr>
        <w:t>206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spacing w:val="-2"/>
        </w:rPr>
        <w:t>canon.</w:t>
      </w:r>
      <w:r>
        <w:rPr>
          <w:spacing w:val="-6"/>
        </w:rPr>
        <w:t> </w:t>
      </w:r>
      <w:r>
        <w:rPr>
          <w:spacing w:val="-2"/>
        </w:rPr>
        <w:t>Cleopatra is</w:t>
      </w:r>
      <w:r>
        <w:rPr>
          <w:spacing w:val="-3"/>
        </w:rPr>
        <w:t> </w:t>
      </w:r>
      <w:r>
        <w:rPr>
          <w:spacing w:val="-2"/>
        </w:rPr>
        <w:t>the</w:t>
      </w:r>
      <w:r>
        <w:rPr>
          <w:spacing w:val="-3"/>
        </w:rPr>
        <w:t> </w:t>
      </w:r>
      <w:r>
        <w:rPr>
          <w:spacing w:val="-2"/>
        </w:rPr>
        <w:t>play’s</w:t>
      </w:r>
      <w:r>
        <w:rPr>
          <w:spacing w:val="-6"/>
        </w:rPr>
        <w:t> </w:t>
      </w:r>
      <w:r>
        <w:rPr>
          <w:spacing w:val="-2"/>
        </w:rPr>
        <w:t>most fully</w:t>
      </w:r>
      <w:r>
        <w:rPr>
          <w:spacing w:val="-8"/>
        </w:rPr>
        <w:t> </w:t>
      </w:r>
      <w:r>
        <w:rPr>
          <w:spacing w:val="-2"/>
        </w:rPr>
        <w:t>realized</w:t>
      </w:r>
      <w:r>
        <w:rPr>
          <w:spacing w:val="-3"/>
        </w:rPr>
        <w:t> </w:t>
      </w:r>
      <w:r>
        <w:rPr>
          <w:spacing w:val="-2"/>
        </w:rPr>
        <w:t>female subjectivity,</w:t>
      </w:r>
      <w:r>
        <w:rPr>
          <w:spacing w:val="-3"/>
        </w:rPr>
        <w:t> </w:t>
      </w:r>
      <w:r>
        <w:rPr>
          <w:spacing w:val="-2"/>
        </w:rPr>
        <w:t>and </w:t>
      </w:r>
      <w:r>
        <w:rPr/>
        <w:t>she has attracted more critical attention than almost any other Shakespearean woman. The question of her “badness”—her betrayal of Antony, her political scheming, her erotic power—is inseparable from the</w:t>
      </w:r>
      <w:r>
        <w:rPr>
          <w:spacing w:val="-7"/>
        </w:rPr>
        <w:t> </w:t>
      </w:r>
      <w:r>
        <w:rPr/>
        <w:t>question</w:t>
      </w:r>
      <w:r>
        <w:rPr>
          <w:spacing w:val="-7"/>
        </w:rPr>
        <w:t> </w:t>
      </w:r>
      <w:r>
        <w:rPr/>
        <w:t>of</w:t>
      </w:r>
      <w:r>
        <w:rPr>
          <w:spacing w:val="-6"/>
        </w:rPr>
        <w:t> </w:t>
      </w:r>
      <w:r>
        <w:rPr/>
        <w:t>what</w:t>
      </w:r>
      <w:r>
        <w:rPr>
          <w:spacing w:val="-7"/>
        </w:rPr>
        <w:t> </w:t>
      </w:r>
      <w:r>
        <w:rPr/>
        <w:t>the</w:t>
      </w:r>
      <w:r>
        <w:rPr>
          <w:spacing w:val="-7"/>
        </w:rPr>
        <w:t> </w:t>
      </w:r>
      <w:r>
        <w:rPr/>
        <w:t>play</w:t>
      </w:r>
      <w:r>
        <w:rPr>
          <w:spacing w:val="-9"/>
        </w:rPr>
        <w:t> </w:t>
      </w:r>
      <w:r>
        <w:rPr/>
        <w:t>makes</w:t>
      </w:r>
      <w:r>
        <w:rPr>
          <w:spacing w:val="-6"/>
        </w:rPr>
        <w:t> </w:t>
      </w:r>
      <w:r>
        <w:rPr/>
        <w:t>of</w:t>
      </w:r>
      <w:r>
        <w:rPr>
          <w:spacing w:val="-9"/>
        </w:rPr>
        <w:t> </w:t>
      </w:r>
      <w:r>
        <w:rPr/>
        <w:t>female</w:t>
      </w:r>
      <w:r>
        <w:rPr>
          <w:spacing w:val="-7"/>
        </w:rPr>
        <w:t> </w:t>
      </w:r>
      <w:r>
        <w:rPr/>
        <w:t>desire,</w:t>
      </w:r>
      <w:r>
        <w:rPr>
          <w:spacing w:val="-7"/>
        </w:rPr>
        <w:t> </w:t>
      </w:r>
      <w:r>
        <w:rPr/>
        <w:t>female</w:t>
      </w:r>
      <w:r>
        <w:rPr>
          <w:spacing w:val="-5"/>
        </w:rPr>
        <w:t> </w:t>
      </w:r>
      <w:r>
        <w:rPr/>
        <w:t>power,</w:t>
      </w:r>
      <w:r>
        <w:rPr>
          <w:spacing w:val="-6"/>
        </w:rPr>
        <w:t> </w:t>
      </w:r>
      <w:r>
        <w:rPr/>
        <w:t>and the</w:t>
      </w:r>
      <w:r>
        <w:rPr>
          <w:spacing w:val="40"/>
        </w:rPr>
        <w:t> </w:t>
      </w:r>
      <w:r>
        <w:rPr/>
        <w:t>relationship</w:t>
      </w:r>
      <w:r>
        <w:rPr>
          <w:spacing w:val="40"/>
        </w:rPr>
        <w:t> </w:t>
      </w:r>
      <w:r>
        <w:rPr/>
        <w:t>between</w:t>
      </w:r>
      <w:r>
        <w:rPr>
          <w:spacing w:val="40"/>
        </w:rPr>
        <w:t> </w:t>
      </w:r>
      <w:r>
        <w:rPr/>
        <w:t>the</w:t>
      </w:r>
      <w:r>
        <w:rPr>
          <w:spacing w:val="40"/>
        </w:rPr>
        <w:t> </w:t>
      </w:r>
      <w:r>
        <w:rPr/>
        <w:t>two.</w:t>
      </w:r>
    </w:p>
    <w:p>
      <w:pPr>
        <w:pStyle w:val="BodyText"/>
        <w:spacing w:line="249" w:lineRule="auto" w:before="63"/>
        <w:ind w:right="1438" w:firstLine="432"/>
        <w:jc w:val="both"/>
      </w:pPr>
      <w:r>
        <w:rPr/>
        <w:t>The play</w:t>
      </w:r>
      <w:r>
        <w:rPr>
          <w:spacing w:val="-2"/>
        </w:rPr>
        <w:t> </w:t>
      </w:r>
      <w:r>
        <w:rPr/>
        <w:t>opens with the Roman perspective on Cleopatra: Philo’s famous speech characterizes Antony as a man whose “captain’s heart” has been reduced by Cleopatra’s “tawny front” to the status of a</w:t>
      </w:r>
      <w:r>
        <w:rPr>
          <w:spacing w:val="40"/>
        </w:rPr>
        <w:t> </w:t>
      </w:r>
      <w:r>
        <w:rPr/>
        <w:t>bellows</w:t>
      </w:r>
      <w:r>
        <w:rPr>
          <w:spacing w:val="-11"/>
        </w:rPr>
        <w:t> </w:t>
      </w:r>
      <w:r>
        <w:rPr/>
        <w:t>and</w:t>
      </w:r>
      <w:r>
        <w:rPr>
          <w:spacing w:val="-9"/>
        </w:rPr>
        <w:t> </w:t>
      </w:r>
      <w:r>
        <w:rPr/>
        <w:t>a</w:t>
      </w:r>
      <w:r>
        <w:rPr>
          <w:spacing w:val="-9"/>
        </w:rPr>
        <w:t> </w:t>
      </w:r>
      <w:r>
        <w:rPr/>
        <w:t>fan</w:t>
      </w:r>
      <w:r>
        <w:rPr>
          <w:spacing w:val="-12"/>
        </w:rPr>
        <w:t> </w:t>
      </w:r>
      <w:r>
        <w:rPr/>
        <w:t>(1.1.1–10).</w:t>
      </w:r>
      <w:r>
        <w:rPr>
          <w:spacing w:val="-11"/>
        </w:rPr>
        <w:t> </w:t>
      </w:r>
      <w:r>
        <w:rPr/>
        <w:t>This</w:t>
      </w:r>
      <w:r>
        <w:rPr>
          <w:spacing w:val="-11"/>
        </w:rPr>
        <w:t> </w:t>
      </w:r>
      <w:r>
        <w:rPr/>
        <w:t>framing</w:t>
      </w:r>
      <w:r>
        <w:rPr>
          <w:spacing w:val="-11"/>
        </w:rPr>
        <w:t> </w:t>
      </w:r>
      <w:r>
        <w:rPr/>
        <w:t>is</w:t>
      </w:r>
      <w:r>
        <w:rPr>
          <w:spacing w:val="-11"/>
        </w:rPr>
        <w:t> </w:t>
      </w:r>
      <w:r>
        <w:rPr/>
        <w:t>important:</w:t>
      </w:r>
      <w:r>
        <w:rPr>
          <w:spacing w:val="-9"/>
        </w:rPr>
        <w:t> </w:t>
      </w:r>
      <w:r>
        <w:rPr/>
        <w:t>the</w:t>
      </w:r>
      <w:r>
        <w:rPr>
          <w:spacing w:val="-11"/>
        </w:rPr>
        <w:t> </w:t>
      </w:r>
      <w:r>
        <w:rPr/>
        <w:t>Roman</w:t>
      </w:r>
      <w:r>
        <w:rPr>
          <w:spacing w:val="-12"/>
        </w:rPr>
        <w:t> </w:t>
      </w:r>
      <w:r>
        <w:rPr/>
        <w:t>gaze constructs</w:t>
      </w:r>
      <w:r>
        <w:rPr>
          <w:spacing w:val="-1"/>
        </w:rPr>
        <w:t> </w:t>
      </w:r>
      <w:r>
        <w:rPr/>
        <w:t>Cleopatra as a</w:t>
      </w:r>
      <w:r>
        <w:rPr>
          <w:spacing w:val="-3"/>
        </w:rPr>
        <w:t> </w:t>
      </w:r>
      <w:r>
        <w:rPr/>
        <w:t>destructive</w:t>
      </w:r>
      <w:r>
        <w:rPr>
          <w:spacing w:val="-2"/>
        </w:rPr>
        <w:t> </w:t>
      </w:r>
      <w:r>
        <w:rPr/>
        <w:t>erotic force,</w:t>
      </w:r>
      <w:r>
        <w:rPr>
          <w:spacing w:val="-1"/>
        </w:rPr>
        <w:t> </w:t>
      </w:r>
      <w:r>
        <w:rPr/>
        <w:t>and the play</w:t>
      </w:r>
      <w:r>
        <w:rPr>
          <w:spacing w:val="-5"/>
        </w:rPr>
        <w:t> </w:t>
      </w:r>
      <w:r>
        <w:rPr/>
        <w:t>carefully marks</w:t>
      </w:r>
      <w:r>
        <w:rPr>
          <w:spacing w:val="-3"/>
        </w:rPr>
        <w:t> </w:t>
      </w:r>
      <w:r>
        <w:rPr/>
        <w:t>this</w:t>
      </w:r>
      <w:r>
        <w:rPr>
          <w:spacing w:val="-2"/>
        </w:rPr>
        <w:t> </w:t>
      </w:r>
      <w:r>
        <w:rPr/>
        <w:t>as</w:t>
      </w:r>
      <w:r>
        <w:rPr>
          <w:spacing w:val="-3"/>
        </w:rPr>
        <w:t> </w:t>
      </w:r>
      <w:r>
        <w:rPr/>
        <w:t>a</w:t>
      </w:r>
      <w:r>
        <w:rPr>
          <w:spacing w:val="-2"/>
        </w:rPr>
        <w:t> </w:t>
      </w:r>
      <w:r>
        <w:rPr/>
        <w:t>perspective—partial, interested,</w:t>
      </w:r>
      <w:r>
        <w:rPr>
          <w:spacing w:val="-2"/>
        </w:rPr>
        <w:t> </w:t>
      </w:r>
      <w:r>
        <w:rPr/>
        <w:t>and male.</w:t>
      </w:r>
      <w:r>
        <w:rPr>
          <w:spacing w:val="-2"/>
        </w:rPr>
        <w:t> </w:t>
      </w:r>
      <w:r>
        <w:rPr/>
        <w:t>The</w:t>
      </w:r>
      <w:r>
        <w:rPr>
          <w:spacing w:val="-1"/>
        </w:rPr>
        <w:t> </w:t>
      </w:r>
      <w:r>
        <w:rPr/>
        <w:t>audience is invited, from the beginning, to notice the gap between the Roman representation of Cleopatra and</w:t>
      </w:r>
      <w:r>
        <w:rPr>
          <w:spacing w:val="40"/>
        </w:rPr>
        <w:t> </w:t>
      </w:r>
      <w:r>
        <w:rPr/>
        <w:t>Cleopatra</w:t>
      </w:r>
      <w:r>
        <w:rPr>
          <w:spacing w:val="40"/>
        </w:rPr>
        <w:t> </w:t>
      </w:r>
      <w:r>
        <w:rPr/>
        <w:t>herself.</w:t>
      </w:r>
    </w:p>
    <w:p>
      <w:pPr>
        <w:pStyle w:val="BodyText"/>
        <w:spacing w:line="249" w:lineRule="auto" w:before="64"/>
        <w:ind w:right="1437" w:firstLine="432"/>
        <w:jc w:val="both"/>
      </w:pPr>
      <w:r>
        <w:rPr/>
        <w:t>Enobarbus’s famous</w:t>
      </w:r>
      <w:r>
        <w:rPr>
          <w:spacing w:val="-3"/>
        </w:rPr>
        <w:t> </w:t>
      </w:r>
      <w:r>
        <w:rPr/>
        <w:t>description</w:t>
      </w:r>
      <w:r>
        <w:rPr>
          <w:spacing w:val="-1"/>
        </w:rPr>
        <w:t> </w:t>
      </w:r>
      <w:r>
        <w:rPr/>
        <w:t>of</w:t>
      </w:r>
      <w:r>
        <w:rPr>
          <w:spacing w:val="-3"/>
        </w:rPr>
        <w:t> </w:t>
      </w:r>
      <w:r>
        <w:rPr/>
        <w:t>Cleopatra at</w:t>
      </w:r>
      <w:r>
        <w:rPr>
          <w:spacing w:val="-2"/>
        </w:rPr>
        <w:t> </w:t>
      </w:r>
      <w:r>
        <w:rPr/>
        <w:t>Cydnus (2.2.191–228)</w:t>
      </w:r>
      <w:r>
        <w:rPr>
          <w:spacing w:val="-4"/>
        </w:rPr>
        <w:t> </w:t>
      </w:r>
      <w:r>
        <w:rPr/>
        <w:t>is</w:t>
      </w:r>
      <w:r>
        <w:rPr>
          <w:spacing w:val="-4"/>
        </w:rPr>
        <w:t> </w:t>
      </w:r>
      <w:r>
        <w:rPr/>
        <w:t>not</w:t>
      </w:r>
      <w:r>
        <w:rPr>
          <w:spacing w:val="-6"/>
        </w:rPr>
        <w:t> </w:t>
      </w:r>
      <w:r>
        <w:rPr/>
        <w:t>a</w:t>
      </w:r>
      <w:r>
        <w:rPr>
          <w:spacing w:val="-1"/>
        </w:rPr>
        <w:t> </w:t>
      </w:r>
      <w:r>
        <w:rPr/>
        <w:t>straightforward</w:t>
      </w:r>
      <w:r>
        <w:rPr>
          <w:spacing w:val="-4"/>
        </w:rPr>
        <w:t> </w:t>
      </w:r>
      <w:r>
        <w:rPr/>
        <w:t>celebration</w:t>
      </w:r>
      <w:r>
        <w:rPr>
          <w:spacing w:val="-4"/>
        </w:rPr>
        <w:t> </w:t>
      </w:r>
      <w:r>
        <w:rPr/>
        <w:t>of</w:t>
      </w:r>
      <w:r>
        <w:rPr>
          <w:spacing w:val="-6"/>
        </w:rPr>
        <w:t> </w:t>
      </w:r>
      <w:r>
        <w:rPr/>
        <w:t>her</w:t>
      </w:r>
      <w:r>
        <w:rPr>
          <w:spacing w:val="-2"/>
        </w:rPr>
        <w:t> </w:t>
      </w:r>
      <w:r>
        <w:rPr/>
        <w:t>beauty;</w:t>
      </w:r>
      <w:r>
        <w:rPr>
          <w:spacing w:val="-5"/>
        </w:rPr>
        <w:t> </w:t>
      </w:r>
      <w:r>
        <w:rPr/>
        <w:t>it</w:t>
      </w:r>
      <w:r>
        <w:rPr>
          <w:spacing w:val="-2"/>
        </w:rPr>
        <w:t> </w:t>
      </w:r>
      <w:r>
        <w:rPr/>
        <w:t>is</w:t>
      </w:r>
      <w:r>
        <w:rPr>
          <w:spacing w:val="-6"/>
        </w:rPr>
        <w:t> </w:t>
      </w:r>
      <w:r>
        <w:rPr/>
        <w:t>a</w:t>
      </w:r>
      <w:r>
        <w:rPr>
          <w:spacing w:val="-2"/>
        </w:rPr>
        <w:t> </w:t>
      </w:r>
      <w:r>
        <w:rPr/>
        <w:t>meditation on the inadequacy of representation, on the way Cleopatra exceeds any attempt to contain her in language or image. “For her own person, / It beggared all description”—the phrase is remarkable because it acknowledges that Cleopatra cannot be fully known through the usual tools of male appraisal. Her “infinite variety” is not simply sexual availability but</w:t>
      </w:r>
      <w:r>
        <w:rPr>
          <w:spacing w:val="33"/>
        </w:rPr>
        <w:t> </w:t>
      </w:r>
      <w:r>
        <w:rPr/>
        <w:t>a</w:t>
      </w:r>
      <w:r>
        <w:rPr>
          <w:spacing w:val="30"/>
        </w:rPr>
        <w:t> </w:t>
      </w:r>
      <w:r>
        <w:rPr/>
        <w:t>kind</w:t>
      </w:r>
      <w:r>
        <w:rPr>
          <w:spacing w:val="33"/>
        </w:rPr>
        <w:t> </w:t>
      </w:r>
      <w:r>
        <w:rPr/>
        <w:t>of irreducible</w:t>
      </w:r>
      <w:r>
        <w:rPr>
          <w:spacing w:val="34"/>
        </w:rPr>
        <w:t> </w:t>
      </w:r>
      <w:r>
        <w:rPr/>
        <w:t>selfhood</w:t>
      </w:r>
      <w:r>
        <w:rPr>
          <w:spacing w:val="31"/>
        </w:rPr>
        <w:t> </w:t>
      </w:r>
      <w:r>
        <w:rPr/>
        <w:t>that</w:t>
      </w:r>
      <w:r>
        <w:rPr>
          <w:spacing w:val="33"/>
        </w:rPr>
        <w:t> </w:t>
      </w:r>
      <w:r>
        <w:rPr/>
        <w:t>refuses reduction.</w:t>
      </w:r>
    </w:p>
    <w:p>
      <w:pPr>
        <w:pStyle w:val="BodyText"/>
        <w:spacing w:line="249" w:lineRule="auto" w:before="66"/>
        <w:ind w:right="1438" w:firstLine="432"/>
        <w:jc w:val="both"/>
      </w:pPr>
      <w:r>
        <w:rPr/>
        <w:t>Janet Adelman’s reading of Cleopatra in Suffocating Mothers argues that she represents, for Antony and for the Roman symbolic order, the threat</w:t>
      </w:r>
      <w:r>
        <w:rPr>
          <w:spacing w:val="-1"/>
        </w:rPr>
        <w:t> </w:t>
      </w:r>
      <w:r>
        <w:rPr/>
        <w:t>of incorporation—a femininity so total that it threatens to dissolve the masculine self (Adelman 177). This is a psychoanalytic reading, but it has real purchase if we ask what cultural work the figure of an overwhelmingly desirable foreign woman does in a play written during a period of English imperial expansion and anxiety about the corrupting influence of non-European cultures. Cleopatra is Egypt, and Egypt</w:t>
      </w:r>
      <w:r>
        <w:rPr>
          <w:spacing w:val="-2"/>
        </w:rPr>
        <w:t> </w:t>
      </w:r>
      <w:r>
        <w:rPr/>
        <w:t>is</w:t>
      </w:r>
      <w:r>
        <w:rPr>
          <w:spacing w:val="-4"/>
        </w:rPr>
        <w:t> </w:t>
      </w:r>
      <w:r>
        <w:rPr/>
        <w:t>femininity,</w:t>
      </w:r>
      <w:r>
        <w:rPr>
          <w:spacing w:val="-4"/>
        </w:rPr>
        <w:t> </w:t>
      </w:r>
      <w:r>
        <w:rPr/>
        <w:t>and both</w:t>
      </w:r>
      <w:r>
        <w:rPr>
          <w:spacing w:val="-2"/>
        </w:rPr>
        <w:t> </w:t>
      </w:r>
      <w:r>
        <w:rPr/>
        <w:t>are</w:t>
      </w:r>
      <w:r>
        <w:rPr>
          <w:spacing w:val="-2"/>
        </w:rPr>
        <w:t> </w:t>
      </w:r>
      <w:r>
        <w:rPr/>
        <w:t>figured</w:t>
      </w:r>
      <w:r>
        <w:rPr>
          <w:spacing w:val="-2"/>
        </w:rPr>
        <w:t> </w:t>
      </w:r>
      <w:r>
        <w:rPr/>
        <w:t>as</w:t>
      </w:r>
      <w:r>
        <w:rPr>
          <w:spacing w:val="-6"/>
        </w:rPr>
        <w:t> </w:t>
      </w:r>
      <w:r>
        <w:rPr/>
        <w:t>simultaneously</w:t>
      </w:r>
      <w:r>
        <w:rPr>
          <w:spacing w:val="-6"/>
        </w:rPr>
        <w:t> </w:t>
      </w:r>
      <w:r>
        <w:rPr/>
        <w:t>alluring</w:t>
      </w:r>
      <w:r>
        <w:rPr>
          <w:spacing w:val="-4"/>
        </w:rPr>
        <w:t> </w:t>
      </w:r>
      <w:r>
        <w:rPr/>
        <w:t>and </w:t>
      </w:r>
      <w:r>
        <w:rPr>
          <w:spacing w:val="-2"/>
        </w:rPr>
        <w:t>threatening.</w:t>
      </w:r>
    </w:p>
    <w:p>
      <w:pPr>
        <w:pStyle w:val="BodyText"/>
        <w:spacing w:line="249" w:lineRule="auto" w:before="66"/>
        <w:ind w:right="1439" w:firstLine="432"/>
        <w:jc w:val="both"/>
      </w:pPr>
      <w:r>
        <w:rPr/>
        <w:t>But</w:t>
      </w:r>
      <w:r>
        <w:rPr>
          <w:spacing w:val="-13"/>
        </w:rPr>
        <w:t> </w:t>
      </w:r>
      <w:r>
        <w:rPr/>
        <w:t>Cleopatra</w:t>
      </w:r>
      <w:r>
        <w:rPr>
          <w:spacing w:val="-12"/>
        </w:rPr>
        <w:t> </w:t>
      </w:r>
      <w:r>
        <w:rPr/>
        <w:t>is</w:t>
      </w:r>
      <w:r>
        <w:rPr>
          <w:spacing w:val="-13"/>
        </w:rPr>
        <w:t> </w:t>
      </w:r>
      <w:r>
        <w:rPr/>
        <w:t>also</w:t>
      </w:r>
      <w:r>
        <w:rPr>
          <w:spacing w:val="-12"/>
        </w:rPr>
        <w:t> </w:t>
      </w:r>
      <w:r>
        <w:rPr/>
        <w:t>a</w:t>
      </w:r>
      <w:r>
        <w:rPr>
          <w:spacing w:val="-13"/>
        </w:rPr>
        <w:t> </w:t>
      </w:r>
      <w:r>
        <w:rPr/>
        <w:t>political</w:t>
      </w:r>
      <w:r>
        <w:rPr>
          <w:spacing w:val="-12"/>
        </w:rPr>
        <w:t> </w:t>
      </w:r>
      <w:r>
        <w:rPr/>
        <w:t>actor—a</w:t>
      </w:r>
      <w:r>
        <w:rPr>
          <w:spacing w:val="-13"/>
        </w:rPr>
        <w:t> </w:t>
      </w:r>
      <w:r>
        <w:rPr/>
        <w:t>queen</w:t>
      </w:r>
      <w:r>
        <w:rPr>
          <w:spacing w:val="-12"/>
        </w:rPr>
        <w:t> </w:t>
      </w:r>
      <w:r>
        <w:rPr/>
        <w:t>who</w:t>
      </w:r>
      <w:r>
        <w:rPr>
          <w:spacing w:val="-13"/>
        </w:rPr>
        <w:t> </w:t>
      </w:r>
      <w:r>
        <w:rPr/>
        <w:t>has</w:t>
      </w:r>
      <w:r>
        <w:rPr>
          <w:spacing w:val="-12"/>
        </w:rPr>
        <w:t> </w:t>
      </w:r>
      <w:r>
        <w:rPr/>
        <w:t>maintained her throne</w:t>
      </w:r>
      <w:r>
        <w:rPr>
          <w:spacing w:val="-2"/>
        </w:rPr>
        <w:t> </w:t>
      </w:r>
      <w:r>
        <w:rPr/>
        <w:t>through</w:t>
      </w:r>
      <w:r>
        <w:rPr>
          <w:spacing w:val="-2"/>
        </w:rPr>
        <w:t> </w:t>
      </w:r>
      <w:r>
        <w:rPr/>
        <w:t>a</w:t>
      </w:r>
      <w:r>
        <w:rPr>
          <w:spacing w:val="-1"/>
        </w:rPr>
        <w:t> </w:t>
      </w:r>
      <w:r>
        <w:rPr/>
        <w:t>series</w:t>
      </w:r>
      <w:r>
        <w:rPr>
          <w:spacing w:val="-4"/>
        </w:rPr>
        <w:t> </w:t>
      </w:r>
      <w:r>
        <w:rPr/>
        <w:t>of</w:t>
      </w:r>
      <w:r>
        <w:rPr>
          <w:spacing w:val="-4"/>
        </w:rPr>
        <w:t> </w:t>
      </w:r>
      <w:r>
        <w:rPr/>
        <w:t>strategic</w:t>
      </w:r>
      <w:r>
        <w:rPr>
          <w:spacing w:val="-1"/>
        </w:rPr>
        <w:t> </w:t>
      </w:r>
      <w:r>
        <w:rPr/>
        <w:t>alliances</w:t>
      </w:r>
      <w:r>
        <w:rPr>
          <w:spacing w:val="-4"/>
        </w:rPr>
        <w:t> </w:t>
      </w:r>
      <w:r>
        <w:rPr/>
        <w:t>with</w:t>
      </w:r>
      <w:r>
        <w:rPr>
          <w:spacing w:val="-2"/>
        </w:rPr>
        <w:t> </w:t>
      </w:r>
      <w:r>
        <w:rPr/>
        <w:t>the</w:t>
      </w:r>
      <w:r>
        <w:rPr>
          <w:spacing w:val="-2"/>
        </w:rPr>
        <w:t> </w:t>
      </w:r>
      <w:r>
        <w:rPr/>
        <w:t>most</w:t>
      </w:r>
      <w:r>
        <w:rPr>
          <w:spacing w:val="-2"/>
        </w:rPr>
        <w:t> </w:t>
      </w:r>
      <w:r>
        <w:rPr/>
        <w:t>powerful men of her age. Her relationship with Antony is genuine, but it is not politically</w:t>
      </w:r>
      <w:r>
        <w:rPr>
          <w:spacing w:val="-13"/>
        </w:rPr>
        <w:t> </w:t>
      </w:r>
      <w:r>
        <w:rPr/>
        <w:t>naive.</w:t>
      </w:r>
      <w:r>
        <w:rPr>
          <w:spacing w:val="-8"/>
        </w:rPr>
        <w:t> </w:t>
      </w:r>
      <w:r>
        <w:rPr/>
        <w:t>When</w:t>
      </w:r>
      <w:r>
        <w:rPr>
          <w:spacing w:val="-9"/>
        </w:rPr>
        <w:t> </w:t>
      </w:r>
      <w:r>
        <w:rPr/>
        <w:t>she</w:t>
      </w:r>
      <w:r>
        <w:rPr>
          <w:spacing w:val="-5"/>
        </w:rPr>
        <w:t> </w:t>
      </w:r>
      <w:r>
        <w:rPr/>
        <w:t>negotiates</w:t>
      </w:r>
      <w:r>
        <w:rPr>
          <w:spacing w:val="-9"/>
        </w:rPr>
        <w:t> </w:t>
      </w:r>
      <w:r>
        <w:rPr/>
        <w:t>with</w:t>
      </w:r>
      <w:r>
        <w:rPr>
          <w:spacing w:val="-5"/>
        </w:rPr>
        <w:t> </w:t>
      </w:r>
      <w:r>
        <w:rPr/>
        <w:t>Caesar</w:t>
      </w:r>
      <w:r>
        <w:rPr>
          <w:spacing w:val="-7"/>
        </w:rPr>
        <w:t> </w:t>
      </w:r>
      <w:r>
        <w:rPr/>
        <w:t>after</w:t>
      </w:r>
      <w:r>
        <w:rPr>
          <w:spacing w:val="-13"/>
        </w:rPr>
        <w:t> </w:t>
      </w:r>
      <w:r>
        <w:rPr/>
        <w:t>Antony’s</w:t>
      </w:r>
      <w:r>
        <w:rPr>
          <w:spacing w:val="-7"/>
        </w:rPr>
        <w:t> </w:t>
      </w:r>
      <w:r>
        <w:rPr/>
        <w:t>death, she is</w:t>
      </w:r>
      <w:r>
        <w:rPr>
          <w:spacing w:val="-1"/>
        </w:rPr>
        <w:t> </w:t>
      </w:r>
      <w:r>
        <w:rPr/>
        <w:t>doing</w:t>
      </w:r>
      <w:r>
        <w:rPr>
          <w:spacing w:val="-1"/>
        </w:rPr>
        <w:t> </w:t>
      </w:r>
      <w:r>
        <w:rPr/>
        <w:t>what queens do: managing the terms of</w:t>
      </w:r>
      <w:r>
        <w:rPr>
          <w:spacing w:val="-1"/>
        </w:rPr>
        <w:t> </w:t>
      </w:r>
      <w:r>
        <w:rPr/>
        <w:t>survival in</w:t>
      </w:r>
      <w:r>
        <w:rPr>
          <w:spacing w:val="-1"/>
        </w:rPr>
        <w:t> </w:t>
      </w:r>
      <w:r>
        <w:rPr/>
        <w:t>a world that has just destroyed the man she loved. Her eventual suicide—choosing</w:t>
      </w:r>
      <w:r>
        <w:rPr>
          <w:spacing w:val="33"/>
        </w:rPr>
        <w:t> </w:t>
      </w:r>
      <w:r>
        <w:rPr/>
        <w:t>death</w:t>
      </w:r>
      <w:r>
        <w:rPr>
          <w:spacing w:val="32"/>
        </w:rPr>
        <w:t> </w:t>
      </w:r>
      <w:r>
        <w:rPr/>
        <w:t>over</w:t>
      </w:r>
      <w:r>
        <w:rPr>
          <w:spacing w:val="37"/>
        </w:rPr>
        <w:t> </w:t>
      </w:r>
      <w:r>
        <w:rPr/>
        <w:t>the</w:t>
      </w:r>
      <w:r>
        <w:rPr>
          <w:spacing w:val="36"/>
        </w:rPr>
        <w:t> </w:t>
      </w:r>
      <w:r>
        <w:rPr/>
        <w:t>humiliation</w:t>
      </w:r>
      <w:r>
        <w:rPr>
          <w:spacing w:val="32"/>
        </w:rPr>
        <w:t> </w:t>
      </w:r>
      <w:r>
        <w:rPr/>
        <w:t>of</w:t>
      </w:r>
      <w:r>
        <w:rPr>
          <w:spacing w:val="34"/>
        </w:rPr>
        <w:t> </w:t>
      </w:r>
      <w:r>
        <w:rPr/>
        <w:t>being</w:t>
      </w:r>
      <w:r>
        <w:rPr>
          <w:spacing w:val="34"/>
        </w:rPr>
        <w:t> </w:t>
      </w:r>
      <w:r>
        <w:rPr/>
        <w:t>displayed</w:t>
      </w:r>
      <w:r>
        <w:rPr>
          <w:spacing w:val="36"/>
        </w:rPr>
        <w:t> </w:t>
      </w:r>
      <w:r>
        <w:rPr/>
        <w:t>as</w:t>
      </w:r>
      <w:r>
        <w:rPr>
          <w:spacing w:val="32"/>
        </w:rPr>
        <w:t> </w:t>
      </w:r>
      <w:r>
        <w:rPr/>
        <w:t>a</w:t>
      </w:r>
      <w:r>
        <w:rPr>
          <w:spacing w:val="36"/>
        </w:rPr>
        <w:t> </w:t>
      </w:r>
      <w:r>
        <w:rPr>
          <w:spacing w:val="-2"/>
        </w:rPr>
        <w:t>Roman</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49632">
                <wp:simplePos x="0" y="0"/>
                <wp:positionH relativeFrom="page">
                  <wp:posOffset>2065020</wp:posOffset>
                </wp:positionH>
                <wp:positionV relativeFrom="paragraph">
                  <wp:posOffset>795020</wp:posOffset>
                </wp:positionV>
                <wp:extent cx="3657600" cy="12700"/>
                <wp:effectExtent l="0" t="0" r="0" b="0"/>
                <wp:wrapTopAndBottom/>
                <wp:docPr id="469" name="Graphic 469"/>
                <wp:cNvGraphicFramePr>
                  <a:graphicFrameLocks/>
                </wp:cNvGraphicFramePr>
                <a:graphic>
                  <a:graphicData uri="http://schemas.microsoft.com/office/word/2010/wordprocessingShape">
                    <wps:wsp>
                      <wps:cNvPr id="469" name="Graphic 46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66848;mso-wrap-distance-left:0;mso-wrap-distance-right:0" id="docshape464" filled="true" fillcolor="#000000" stroked="false">
                <v:fill type="solid"/>
                <w10:wrap type="topAndBottom"/>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207</w:t>
      </w:r>
    </w:p>
    <w:p>
      <w:pPr>
        <w:pStyle w:val="BodyText"/>
        <w:spacing w:line="249" w:lineRule="auto" w:before="192"/>
        <w:ind w:right="1440"/>
        <w:jc w:val="both"/>
      </w:pPr>
      <w:r>
        <w:rPr/>
        <w:t>trophy—is,</w:t>
      </w:r>
      <w:r>
        <w:rPr>
          <w:spacing w:val="-13"/>
        </w:rPr>
        <w:t> </w:t>
      </w:r>
      <w:r>
        <w:rPr/>
        <w:t>in</w:t>
      </w:r>
      <w:r>
        <w:rPr>
          <w:spacing w:val="-12"/>
        </w:rPr>
        <w:t> </w:t>
      </w:r>
      <w:r>
        <w:rPr/>
        <w:t>feminist</w:t>
      </w:r>
      <w:r>
        <w:rPr>
          <w:spacing w:val="-13"/>
        </w:rPr>
        <w:t> </w:t>
      </w:r>
      <w:r>
        <w:rPr/>
        <w:t>terms,</w:t>
      </w:r>
      <w:r>
        <w:rPr>
          <w:spacing w:val="-12"/>
        </w:rPr>
        <w:t> </w:t>
      </w:r>
      <w:r>
        <w:rPr/>
        <w:t>an</w:t>
      </w:r>
      <w:r>
        <w:rPr>
          <w:spacing w:val="-13"/>
        </w:rPr>
        <w:t> </w:t>
      </w:r>
      <w:r>
        <w:rPr/>
        <w:t>act</w:t>
      </w:r>
      <w:r>
        <w:rPr>
          <w:spacing w:val="-12"/>
        </w:rPr>
        <w:t> </w:t>
      </w:r>
      <w:r>
        <w:rPr/>
        <w:t>of</w:t>
      </w:r>
      <w:r>
        <w:rPr>
          <w:spacing w:val="-13"/>
        </w:rPr>
        <w:t> </w:t>
      </w:r>
      <w:r>
        <w:rPr/>
        <w:t>sovereign</w:t>
      </w:r>
      <w:r>
        <w:rPr>
          <w:spacing w:val="-12"/>
        </w:rPr>
        <w:t> </w:t>
      </w:r>
      <w:r>
        <w:rPr/>
        <w:t>self-definition.</w:t>
      </w:r>
      <w:r>
        <w:rPr>
          <w:spacing w:val="-13"/>
        </w:rPr>
        <w:t> </w:t>
      </w:r>
      <w:r>
        <w:rPr/>
        <w:t>She</w:t>
      </w:r>
      <w:r>
        <w:rPr>
          <w:spacing w:val="-12"/>
        </w:rPr>
        <w:t> </w:t>
      </w:r>
      <w:r>
        <w:rPr/>
        <w:t>will not be reduced to a spectacle. “I have nothing / Of woman in me,” she says (5.2.236–237)—but the play has shown us that what she has is, precisely, a kind</w:t>
      </w:r>
      <w:r>
        <w:rPr>
          <w:spacing w:val="27"/>
        </w:rPr>
        <w:t> </w:t>
      </w:r>
      <w:r>
        <w:rPr/>
        <w:t>of femininity that the Roman world cannot contain.</w:t>
      </w:r>
    </w:p>
    <w:p>
      <w:pPr>
        <w:pStyle w:val="BodyText"/>
        <w:spacing w:line="249" w:lineRule="auto" w:before="61"/>
        <w:ind w:right="1439" w:firstLine="432"/>
        <w:jc w:val="both"/>
      </w:pPr>
      <w:r>
        <w:rPr/>
        <w:t>Mary Nyquist’s analysis of Cleopatra in relation to early modern discourses of tyranny and liberty is illuminating here. Nyquist argues </w:t>
      </w:r>
      <w:r>
        <w:rPr>
          <w:spacing w:val="-2"/>
        </w:rPr>
        <w:t>that</w:t>
      </w:r>
      <w:r>
        <w:rPr>
          <w:spacing w:val="-4"/>
        </w:rPr>
        <w:t> </w:t>
      </w:r>
      <w:r>
        <w:rPr>
          <w:spacing w:val="-2"/>
        </w:rPr>
        <w:t>Cleopatra’s</w:t>
      </w:r>
      <w:r>
        <w:rPr>
          <w:spacing w:val="-4"/>
        </w:rPr>
        <w:t> </w:t>
      </w:r>
      <w:r>
        <w:rPr>
          <w:spacing w:val="-2"/>
        </w:rPr>
        <w:t>power is</w:t>
      </w:r>
      <w:r>
        <w:rPr>
          <w:spacing w:val="-4"/>
        </w:rPr>
        <w:t> </w:t>
      </w:r>
      <w:r>
        <w:rPr>
          <w:spacing w:val="-2"/>
        </w:rPr>
        <w:t>consistently</w:t>
      </w:r>
      <w:r>
        <w:rPr>
          <w:spacing w:val="-8"/>
        </w:rPr>
        <w:t> </w:t>
      </w:r>
      <w:r>
        <w:rPr>
          <w:spacing w:val="-2"/>
        </w:rPr>
        <w:t>associated</w:t>
      </w:r>
      <w:r>
        <w:rPr>
          <w:spacing w:val="-4"/>
        </w:rPr>
        <w:t> </w:t>
      </w:r>
      <w:r>
        <w:rPr>
          <w:spacing w:val="-2"/>
        </w:rPr>
        <w:t>in</w:t>
      </w:r>
      <w:r>
        <w:rPr>
          <w:spacing w:val="-6"/>
        </w:rPr>
        <w:t> </w:t>
      </w:r>
      <w:r>
        <w:rPr>
          <w:spacing w:val="-2"/>
        </w:rPr>
        <w:t>the play</w:t>
      </w:r>
      <w:r>
        <w:rPr>
          <w:spacing w:val="-8"/>
        </w:rPr>
        <w:t> </w:t>
      </w:r>
      <w:r>
        <w:rPr>
          <w:spacing w:val="-2"/>
        </w:rPr>
        <w:t>with</w:t>
      </w:r>
      <w:r>
        <w:rPr>
          <w:spacing w:val="-6"/>
        </w:rPr>
        <w:t> </w:t>
      </w:r>
      <w:r>
        <w:rPr>
          <w:spacing w:val="-2"/>
        </w:rPr>
        <w:t>tyranny, </w:t>
      </w:r>
      <w:r>
        <w:rPr/>
        <w:t>enslavement, and the negation of Roman masculinity</w:t>
      </w:r>
      <w:r>
        <w:rPr>
          <w:spacing w:val="-1"/>
        </w:rPr>
        <w:t> </w:t>
      </w:r>
      <w:r>
        <w:rPr/>
        <w:t>and citizenship—a figuration that draws on long-standing classical and early modern tropes</w:t>
      </w:r>
      <w:r>
        <w:rPr>
          <w:spacing w:val="-5"/>
        </w:rPr>
        <w:t> </w:t>
      </w:r>
      <w:r>
        <w:rPr/>
        <w:t>equating</w:t>
      </w:r>
      <w:r>
        <w:rPr>
          <w:spacing w:val="-2"/>
        </w:rPr>
        <w:t> </w:t>
      </w:r>
      <w:r>
        <w:rPr/>
        <w:t>female</w:t>
      </w:r>
      <w:r>
        <w:rPr>
          <w:spacing w:val="-3"/>
        </w:rPr>
        <w:t> </w:t>
      </w:r>
      <w:r>
        <w:rPr/>
        <w:t>rule</w:t>
      </w:r>
      <w:r>
        <w:rPr>
          <w:spacing w:val="-1"/>
        </w:rPr>
        <w:t> </w:t>
      </w:r>
      <w:r>
        <w:rPr/>
        <w:t>with</w:t>
      </w:r>
      <w:r>
        <w:rPr>
          <w:spacing w:val="-4"/>
        </w:rPr>
        <w:t> </w:t>
      </w:r>
      <w:r>
        <w:rPr/>
        <w:t>despotism</w:t>
      </w:r>
      <w:r>
        <w:rPr>
          <w:spacing w:val="-5"/>
        </w:rPr>
        <w:t> </w:t>
      </w:r>
      <w:r>
        <w:rPr/>
        <w:t>(Nyquist</w:t>
      </w:r>
      <w:r>
        <w:rPr>
          <w:spacing w:val="-5"/>
        </w:rPr>
        <w:t> </w:t>
      </w:r>
      <w:r>
        <w:rPr/>
        <w:t>211).</w:t>
      </w:r>
      <w:r>
        <w:rPr>
          <w:spacing w:val="-4"/>
        </w:rPr>
        <w:t> </w:t>
      </w:r>
      <w:r>
        <w:rPr/>
        <w:t>To</w:t>
      </w:r>
      <w:r>
        <w:rPr>
          <w:spacing w:val="-4"/>
        </w:rPr>
        <w:t> </w:t>
      </w:r>
      <w:r>
        <w:rPr/>
        <w:t>resist</w:t>
      </w:r>
      <w:r>
        <w:rPr>
          <w:spacing w:val="-2"/>
        </w:rPr>
        <w:t> </w:t>
      </w:r>
      <w:r>
        <w:rPr/>
        <w:t>this figuration is not to deny Cleopatra’s complexity but to insist that her complexity</w:t>
      </w:r>
      <w:r>
        <w:rPr>
          <w:spacing w:val="-1"/>
        </w:rPr>
        <w:t> </w:t>
      </w:r>
      <w:r>
        <w:rPr/>
        <w:t>is irreducible to it, that the play knows more about her than its</w:t>
      </w:r>
      <w:r>
        <w:rPr>
          <w:spacing w:val="40"/>
        </w:rPr>
        <w:t> </w:t>
      </w:r>
      <w:r>
        <w:rPr/>
        <w:t>Roman characters</w:t>
      </w:r>
      <w:r>
        <w:rPr>
          <w:spacing w:val="40"/>
        </w:rPr>
        <w:t> </w:t>
      </w:r>
      <w:r>
        <w:rPr/>
        <w:t>do.</w:t>
      </w:r>
    </w:p>
    <w:p>
      <w:pPr>
        <w:pStyle w:val="Heading3"/>
        <w:numPr>
          <w:ilvl w:val="0"/>
          <w:numId w:val="39"/>
        </w:numPr>
        <w:tabs>
          <w:tab w:pos="1722" w:val="left" w:leader="none"/>
        </w:tabs>
        <w:spacing w:line="240" w:lineRule="auto" w:before="161" w:after="0"/>
        <w:ind w:left="1440" w:right="1447" w:firstLine="0"/>
        <w:jc w:val="left"/>
      </w:pPr>
      <w:r>
        <w:rPr>
          <w:w w:val="90"/>
        </w:rPr>
        <w:t>VOLUMNIA: MOTHERHOOD, MILITARISM, AND </w:t>
      </w:r>
      <w:r>
        <w:rPr>
          <w:w w:val="90"/>
        </w:rPr>
        <w:t>THE </w:t>
      </w:r>
      <w:r>
        <w:rPr/>
        <w:t>MATERNAL BODY</w:t>
      </w:r>
    </w:p>
    <w:p>
      <w:pPr>
        <w:pStyle w:val="BodyText"/>
        <w:spacing w:line="249" w:lineRule="auto" w:before="74"/>
        <w:ind w:right="1438" w:firstLine="432"/>
        <w:jc w:val="both"/>
      </w:pPr>
      <w:r>
        <w:rPr/>
        <w:t>Volumnia, the mother of Coriolanus, occupies a peculiar position in the taxonomy of Shakespearean “bad women.” She is not conventionally bad: she is not adulterous, not politically ambitious for herself, not sexually transgressive. She is, in many ways, the ideal Roman matron—devoted to honor, to the state, and to the production</w:t>
      </w:r>
      <w:r>
        <w:rPr>
          <w:spacing w:val="80"/>
        </w:rPr>
        <w:t> </w:t>
      </w:r>
      <w:r>
        <w:rPr/>
        <w:t>of heroic masculinity in her son. Yet she is, in the play’s terms, deeply destructive,</w:t>
      </w:r>
      <w:r>
        <w:rPr>
          <w:spacing w:val="40"/>
        </w:rPr>
        <w:t> </w:t>
      </w:r>
      <w:r>
        <w:rPr/>
        <w:t>and</w:t>
      </w:r>
      <w:r>
        <w:rPr>
          <w:spacing w:val="40"/>
        </w:rPr>
        <w:t> </w:t>
      </w:r>
      <w:r>
        <w:rPr/>
        <w:t>feminist</w:t>
      </w:r>
      <w:r>
        <w:rPr>
          <w:spacing w:val="40"/>
        </w:rPr>
        <w:t> </w:t>
      </w:r>
      <w:r>
        <w:rPr/>
        <w:t>readings</w:t>
      </w:r>
      <w:r>
        <w:rPr>
          <w:spacing w:val="40"/>
        </w:rPr>
        <w:t> </w:t>
      </w:r>
      <w:r>
        <w:rPr/>
        <w:t>have</w:t>
      </w:r>
      <w:r>
        <w:rPr>
          <w:spacing w:val="40"/>
        </w:rPr>
        <w:t> </w:t>
      </w:r>
      <w:r>
        <w:rPr/>
        <w:t>illuminated</w:t>
      </w:r>
      <w:r>
        <w:rPr>
          <w:spacing w:val="40"/>
        </w:rPr>
        <w:t> </w:t>
      </w:r>
      <w:r>
        <w:rPr/>
        <w:t>why.</w:t>
      </w:r>
    </w:p>
    <w:p>
      <w:pPr>
        <w:pStyle w:val="BodyText"/>
        <w:spacing w:line="249" w:lineRule="auto" w:before="65"/>
        <w:ind w:right="1438" w:firstLine="432"/>
        <w:jc w:val="both"/>
      </w:pPr>
      <w:r>
        <w:rPr>
          <w:spacing w:val="-2"/>
        </w:rPr>
        <w:t>Volumnia’s</w:t>
      </w:r>
      <w:r>
        <w:rPr>
          <w:spacing w:val="-11"/>
        </w:rPr>
        <w:t> </w:t>
      </w:r>
      <w:r>
        <w:rPr>
          <w:spacing w:val="-2"/>
        </w:rPr>
        <w:t>relationship</w:t>
      </w:r>
      <w:r>
        <w:rPr>
          <w:spacing w:val="-10"/>
        </w:rPr>
        <w:t> </w:t>
      </w:r>
      <w:r>
        <w:rPr>
          <w:spacing w:val="-2"/>
        </w:rPr>
        <w:t>with</w:t>
      </w:r>
      <w:r>
        <w:rPr>
          <w:spacing w:val="-11"/>
        </w:rPr>
        <w:t> </w:t>
      </w:r>
      <w:r>
        <w:rPr>
          <w:spacing w:val="-2"/>
        </w:rPr>
        <w:t>Coriolanus</w:t>
      </w:r>
      <w:r>
        <w:rPr>
          <w:spacing w:val="-10"/>
        </w:rPr>
        <w:t> </w:t>
      </w:r>
      <w:r>
        <w:rPr>
          <w:spacing w:val="-2"/>
        </w:rPr>
        <w:t>is</w:t>
      </w:r>
      <w:r>
        <w:rPr>
          <w:spacing w:val="-11"/>
        </w:rPr>
        <w:t> </w:t>
      </w:r>
      <w:r>
        <w:rPr>
          <w:spacing w:val="-2"/>
        </w:rPr>
        <w:t>the</w:t>
      </w:r>
      <w:r>
        <w:rPr>
          <w:spacing w:val="-10"/>
        </w:rPr>
        <w:t> </w:t>
      </w:r>
      <w:r>
        <w:rPr>
          <w:spacing w:val="-2"/>
        </w:rPr>
        <w:t>most</w:t>
      </w:r>
      <w:r>
        <w:rPr>
          <w:spacing w:val="-11"/>
        </w:rPr>
        <w:t> </w:t>
      </w:r>
      <w:r>
        <w:rPr>
          <w:spacing w:val="-2"/>
        </w:rPr>
        <w:t>psychologically </w:t>
      </w:r>
      <w:r>
        <w:rPr/>
        <w:t>dense in the play. She has made her son into a warrior, instilling in</w:t>
      </w:r>
      <w:r>
        <w:rPr>
          <w:spacing w:val="-2"/>
        </w:rPr>
        <w:t> </w:t>
      </w:r>
      <w:r>
        <w:rPr/>
        <w:t>him the values of</w:t>
      </w:r>
      <w:r>
        <w:rPr>
          <w:spacing w:val="-2"/>
        </w:rPr>
        <w:t> </w:t>
      </w:r>
      <w:r>
        <w:rPr/>
        <w:t>Roman</w:t>
      </w:r>
      <w:r>
        <w:rPr>
          <w:spacing w:val="-2"/>
        </w:rPr>
        <w:t> </w:t>
      </w:r>
      <w:r>
        <w:rPr/>
        <w:t>martial culture with such</w:t>
      </w:r>
      <w:r>
        <w:rPr>
          <w:spacing w:val="-2"/>
        </w:rPr>
        <w:t> </w:t>
      </w:r>
      <w:r>
        <w:rPr/>
        <w:t>thoroughness</w:t>
      </w:r>
      <w:r>
        <w:rPr>
          <w:spacing w:val="-2"/>
        </w:rPr>
        <w:t> </w:t>
      </w:r>
      <w:r>
        <w:rPr/>
        <w:t>that he has internalized</w:t>
      </w:r>
      <w:r>
        <w:rPr>
          <w:spacing w:val="21"/>
        </w:rPr>
        <w:t> </w:t>
      </w:r>
      <w:r>
        <w:rPr/>
        <w:t>her</w:t>
      </w:r>
      <w:r>
        <w:rPr>
          <w:spacing w:val="24"/>
        </w:rPr>
        <w:t> </w:t>
      </w:r>
      <w:r>
        <w:rPr/>
        <w:t>voice as</w:t>
      </w:r>
      <w:r>
        <w:rPr>
          <w:spacing w:val="21"/>
        </w:rPr>
        <w:t> </w:t>
      </w:r>
      <w:r>
        <w:rPr/>
        <w:t>the</w:t>
      </w:r>
      <w:r>
        <w:rPr>
          <w:spacing w:val="21"/>
        </w:rPr>
        <w:t> </w:t>
      </w:r>
      <w:r>
        <w:rPr/>
        <w:t>voice</w:t>
      </w:r>
      <w:r>
        <w:rPr>
          <w:spacing w:val="22"/>
        </w:rPr>
        <w:t> </w:t>
      </w:r>
      <w:r>
        <w:rPr/>
        <w:t>of conscience.</w:t>
      </w:r>
      <w:r>
        <w:rPr>
          <w:spacing w:val="23"/>
        </w:rPr>
        <w:t> </w:t>
      </w:r>
      <w:r>
        <w:rPr/>
        <w:t>Her</w:t>
      </w:r>
      <w:r>
        <w:rPr>
          <w:spacing w:val="21"/>
        </w:rPr>
        <w:t> </w:t>
      </w:r>
      <w:r>
        <w:rPr/>
        <w:t>famous</w:t>
      </w:r>
      <w:r>
        <w:rPr>
          <w:spacing w:val="23"/>
        </w:rPr>
        <w:t> </w:t>
      </w:r>
      <w:r>
        <w:rPr/>
        <w:t>speech in</w:t>
      </w:r>
      <w:r>
        <w:rPr>
          <w:spacing w:val="-7"/>
        </w:rPr>
        <w:t> </w:t>
      </w:r>
      <w:r>
        <w:rPr/>
        <w:t>Act 1—”If my son were my</w:t>
      </w:r>
      <w:r>
        <w:rPr>
          <w:spacing w:val="-2"/>
        </w:rPr>
        <w:t> </w:t>
      </w:r>
      <w:r>
        <w:rPr/>
        <w:t>husband, I should freelier rejoice in that absence wherein he won honor than in the embracements of his bed” (1.3.2–5)—is among the most revealing lines in the play: it substitutes martial glory for erotic attachment, constructs her son’s body as a site</w:t>
      </w:r>
      <w:r>
        <w:rPr>
          <w:spacing w:val="40"/>
        </w:rPr>
        <w:t> </w:t>
      </w:r>
      <w:r>
        <w:rPr/>
        <w:t>of public honor rather than private intimacy, and reveals the extent to which Volumnia has made herself a subject of the Roman state rather than</w:t>
      </w:r>
      <w:r>
        <w:rPr>
          <w:spacing w:val="40"/>
        </w:rPr>
        <w:t> </w:t>
      </w:r>
      <w:r>
        <w:rPr/>
        <w:t>of</w:t>
      </w:r>
      <w:r>
        <w:rPr>
          <w:spacing w:val="40"/>
        </w:rPr>
        <w:t> </w:t>
      </w:r>
      <w:r>
        <w:rPr/>
        <w:t>her</w:t>
      </w:r>
      <w:r>
        <w:rPr>
          <w:spacing w:val="40"/>
        </w:rPr>
        <w:t> </w:t>
      </w:r>
      <w:r>
        <w:rPr/>
        <w:t>own</w:t>
      </w:r>
      <w:r>
        <w:rPr>
          <w:spacing w:val="40"/>
        </w:rPr>
        <w:t> </w:t>
      </w:r>
      <w:r>
        <w:rPr/>
        <w:t>desire.</w:t>
      </w:r>
    </w:p>
    <w:p>
      <w:pPr>
        <w:pStyle w:val="BodyText"/>
        <w:spacing w:line="249" w:lineRule="auto" w:before="67"/>
        <w:ind w:right="1440" w:firstLine="432"/>
        <w:jc w:val="both"/>
      </w:pPr>
      <w:r>
        <w:rPr/>
        <w:t>Coppélia Kahn’s analysis of Volumnia in Roman Shakespeare: Warriors, Wounds, and Women is essential reading. Kahn argues that Volumnia represents the Roman mother who produces masculine hardness by evacuating softness from herself and her child—who, in other</w:t>
      </w:r>
      <w:r>
        <w:rPr>
          <w:spacing w:val="38"/>
        </w:rPr>
        <w:t> </w:t>
      </w:r>
      <w:r>
        <w:rPr/>
        <w:t>words,</w:t>
      </w:r>
      <w:r>
        <w:rPr>
          <w:spacing w:val="41"/>
        </w:rPr>
        <w:t> </w:t>
      </w:r>
      <w:r>
        <w:rPr/>
        <w:t>enforces</w:t>
      </w:r>
      <w:r>
        <w:rPr>
          <w:spacing w:val="38"/>
        </w:rPr>
        <w:t> </w:t>
      </w:r>
      <w:r>
        <w:rPr/>
        <w:t>patriarchal</w:t>
      </w:r>
      <w:r>
        <w:rPr>
          <w:spacing w:val="39"/>
        </w:rPr>
        <w:t> </w:t>
      </w:r>
      <w:r>
        <w:rPr/>
        <w:t>ideology</w:t>
      </w:r>
      <w:r>
        <w:rPr>
          <w:spacing w:val="35"/>
        </w:rPr>
        <w:t> </w:t>
      </w:r>
      <w:r>
        <w:rPr/>
        <w:t>from</w:t>
      </w:r>
      <w:r>
        <w:rPr>
          <w:spacing w:val="37"/>
        </w:rPr>
        <w:t> </w:t>
      </w:r>
      <w:r>
        <w:rPr/>
        <w:t>within</w:t>
      </w:r>
      <w:r>
        <w:rPr>
          <w:spacing w:val="37"/>
        </w:rPr>
        <w:t> </w:t>
      </w:r>
      <w:r>
        <w:rPr/>
        <w:t>the</w:t>
      </w:r>
      <w:r>
        <w:rPr>
          <w:spacing w:val="38"/>
        </w:rPr>
        <w:t> </w:t>
      </w:r>
      <w:r>
        <w:rPr>
          <w:spacing w:val="-2"/>
        </w:rPr>
        <w:t>maternal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50144">
                <wp:simplePos x="0" y="0"/>
                <wp:positionH relativeFrom="page">
                  <wp:posOffset>2057400</wp:posOffset>
                </wp:positionH>
                <wp:positionV relativeFrom="paragraph">
                  <wp:posOffset>162604</wp:posOffset>
                </wp:positionV>
                <wp:extent cx="3657600" cy="12700"/>
                <wp:effectExtent l="0" t="0" r="0" b="0"/>
                <wp:wrapTopAndBottom/>
                <wp:docPr id="470" name="Graphic 470"/>
                <wp:cNvGraphicFramePr>
                  <a:graphicFrameLocks/>
                </wp:cNvGraphicFramePr>
                <a:graphic>
                  <a:graphicData uri="http://schemas.microsoft.com/office/word/2010/wordprocessingShape">
                    <wps:wsp>
                      <wps:cNvPr id="470" name="Graphic 47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66336;mso-wrap-distance-left:0;mso-wrap-distance-right:0" id="docshape465" filled="true" fillcolor="#000000" stroked="false">
                <v:fill type="solid"/>
                <w10:wrap type="topAndBottom"/>
              </v:rect>
            </w:pict>
          </mc:Fallback>
        </mc:AlternateContent>
      </w:r>
      <w:r>
        <w:rPr>
          <w:rFonts w:ascii="Verdana"/>
          <w:spacing w:val="-5"/>
          <w:sz w:val="18"/>
        </w:rPr>
        <w:t>208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body (Kahn 144). She is not the enemy of the system; she is the system’s</w:t>
      </w:r>
      <w:r>
        <w:rPr>
          <w:spacing w:val="-2"/>
        </w:rPr>
        <w:t> </w:t>
      </w:r>
      <w:r>
        <w:rPr/>
        <w:t>most</w:t>
      </w:r>
      <w:r>
        <w:rPr>
          <w:spacing w:val="-2"/>
        </w:rPr>
        <w:t> </w:t>
      </w:r>
      <w:r>
        <w:rPr/>
        <w:t>efficient</w:t>
      </w:r>
      <w:r>
        <w:rPr>
          <w:spacing w:val="-1"/>
        </w:rPr>
        <w:t> </w:t>
      </w:r>
      <w:r>
        <w:rPr/>
        <w:t>mechanism.</w:t>
      </w:r>
      <w:r>
        <w:rPr>
          <w:spacing w:val="-1"/>
        </w:rPr>
        <w:t> </w:t>
      </w:r>
      <w:r>
        <w:rPr/>
        <w:t>Her eventual</w:t>
      </w:r>
      <w:r>
        <w:rPr>
          <w:spacing w:val="-1"/>
        </w:rPr>
        <w:t> </w:t>
      </w:r>
      <w:r>
        <w:rPr/>
        <w:t>success</w:t>
      </w:r>
      <w:r>
        <w:rPr>
          <w:spacing w:val="-2"/>
        </w:rPr>
        <w:t> </w:t>
      </w:r>
      <w:r>
        <w:rPr/>
        <w:t>in</w:t>
      </w:r>
      <w:r>
        <w:rPr>
          <w:spacing w:val="-2"/>
        </w:rPr>
        <w:t> </w:t>
      </w:r>
      <w:r>
        <w:rPr/>
        <w:t>persuading Coriolanus to spare Rome—the play’s pivot—is achieved through a rhetoric of maternal sacrifice: she offers to be trampled by her son, collapses the boundary between his body and hers, and exploits the emotional</w:t>
      </w:r>
      <w:r>
        <w:rPr>
          <w:spacing w:val="40"/>
        </w:rPr>
        <w:t> </w:t>
      </w:r>
      <w:r>
        <w:rPr/>
        <w:t>dependency</w:t>
      </w:r>
      <w:r>
        <w:rPr>
          <w:spacing w:val="40"/>
        </w:rPr>
        <w:t> </w:t>
      </w:r>
      <w:r>
        <w:rPr/>
        <w:t>she</w:t>
      </w:r>
      <w:r>
        <w:rPr>
          <w:spacing w:val="40"/>
        </w:rPr>
        <w:t> </w:t>
      </w:r>
      <w:r>
        <w:rPr/>
        <w:t>has</w:t>
      </w:r>
      <w:r>
        <w:rPr>
          <w:spacing w:val="40"/>
        </w:rPr>
        <w:t> </w:t>
      </w:r>
      <w:r>
        <w:rPr/>
        <w:t>both</w:t>
      </w:r>
      <w:r>
        <w:rPr>
          <w:spacing w:val="40"/>
        </w:rPr>
        <w:t> </w:t>
      </w:r>
      <w:r>
        <w:rPr/>
        <w:t>created</w:t>
      </w:r>
      <w:r>
        <w:rPr>
          <w:spacing w:val="40"/>
        </w:rPr>
        <w:t> </w:t>
      </w:r>
      <w:r>
        <w:rPr/>
        <w:t>and</w:t>
      </w:r>
      <w:r>
        <w:rPr>
          <w:spacing w:val="40"/>
        </w:rPr>
        <w:t> </w:t>
      </w:r>
      <w:r>
        <w:rPr/>
        <w:t>denied.</w:t>
      </w:r>
    </w:p>
    <w:p>
      <w:pPr>
        <w:pStyle w:val="BodyText"/>
        <w:spacing w:line="264" w:lineRule="auto" w:before="70"/>
        <w:ind w:right="1436" w:firstLine="432"/>
        <w:jc w:val="both"/>
      </w:pPr>
      <w:r>
        <w:rPr/>
        <w:t>From a feminist perspective, Volumnia is interesting precisely because her power is entirely delegated and mediated. She has no</w:t>
      </w:r>
      <w:r>
        <w:rPr>
          <w:spacing w:val="40"/>
        </w:rPr>
        <w:t> </w:t>
      </w:r>
      <w:r>
        <w:rPr/>
        <w:t>public authority; she exercises influence only through her son, and</w:t>
      </w:r>
      <w:r>
        <w:rPr>
          <w:spacing w:val="40"/>
        </w:rPr>
        <w:t> </w:t>
      </w:r>
      <w:r>
        <w:rPr/>
        <w:t>when that influence is exercised in a political context—the embassy to the Volscian camp—it is coded as a kind of invasion of the public sphere by the private. Her triumph destroys Coriolanus; his submission to her is also his death warrant. The play seems to suggest that female influence, even when exercised in the service of Rome, is ultimately </w:t>
      </w:r>
      <w:r>
        <w:rPr>
          <w:spacing w:val="-2"/>
        </w:rPr>
        <w:t>destabilizing.</w:t>
      </w:r>
    </w:p>
    <w:p>
      <w:pPr>
        <w:pStyle w:val="BodyText"/>
        <w:spacing w:line="264" w:lineRule="auto" w:before="49"/>
        <w:ind w:right="1439" w:firstLine="432"/>
        <w:jc w:val="both"/>
      </w:pPr>
      <w:r>
        <w:rPr/>
        <w:t>But a feminist reading can also recover in Volumnia a figure of genuine complexity: a woman who has subordinated everything—her own desire, her relationship with her son, perhaps her capacity for human</w:t>
      </w:r>
      <w:r>
        <w:rPr>
          <w:spacing w:val="-1"/>
        </w:rPr>
        <w:t> </w:t>
      </w:r>
      <w:r>
        <w:rPr/>
        <w:t>warmth—to the production</w:t>
      </w:r>
      <w:r>
        <w:rPr>
          <w:spacing w:val="-3"/>
        </w:rPr>
        <w:t> </w:t>
      </w:r>
      <w:r>
        <w:rPr/>
        <w:t>of Roman</w:t>
      </w:r>
      <w:r>
        <w:rPr>
          <w:spacing w:val="-3"/>
        </w:rPr>
        <w:t> </w:t>
      </w:r>
      <w:r>
        <w:rPr/>
        <w:t>virtue, and who discovers too late that the product of her work is a man who cannot navigate the gap between military heroism and political life. Her grief at the end of the play is real, and the play asks us to feel it, even as it implicates her in</w:t>
      </w:r>
      <w:r>
        <w:rPr>
          <w:spacing w:val="40"/>
        </w:rPr>
        <w:t> </w:t>
      </w:r>
      <w:r>
        <w:rPr/>
        <w:t>the</w:t>
      </w:r>
      <w:r>
        <w:rPr>
          <w:spacing w:val="40"/>
        </w:rPr>
        <w:t> </w:t>
      </w:r>
      <w:r>
        <w:rPr/>
        <w:t>catastrophe.</w:t>
      </w:r>
    </w:p>
    <w:p>
      <w:pPr>
        <w:pStyle w:val="Heading3"/>
        <w:numPr>
          <w:ilvl w:val="0"/>
          <w:numId w:val="39"/>
        </w:numPr>
        <w:tabs>
          <w:tab w:pos="1876" w:val="left" w:leader="none"/>
          <w:tab w:pos="3146" w:val="left" w:leader="none"/>
          <w:tab w:pos="3546" w:val="left" w:leader="none"/>
          <w:tab w:pos="4841" w:val="left" w:leader="none"/>
          <w:tab w:pos="6878" w:val="left" w:leader="none"/>
        </w:tabs>
        <w:spacing w:line="252" w:lineRule="auto" w:before="145" w:after="0"/>
        <w:ind w:left="1440" w:right="1437" w:firstLine="0"/>
        <w:jc w:val="left"/>
      </w:pPr>
      <w:r>
        <w:rPr>
          <w:spacing w:val="9"/>
        </w:rPr>
        <w:t>TOWARD</w:t>
      </w:r>
      <w:r>
        <w:rPr/>
        <w:tab/>
      </w:r>
      <w:r>
        <w:rPr>
          <w:spacing w:val="-10"/>
        </w:rPr>
        <w:t>A</w:t>
      </w:r>
      <w:r>
        <w:rPr/>
        <w:tab/>
      </w:r>
      <w:r>
        <w:rPr>
          <w:spacing w:val="10"/>
        </w:rPr>
        <w:t>FEMINIST</w:t>
      </w:r>
      <w:r>
        <w:rPr/>
        <w:tab/>
      </w:r>
      <w:r>
        <w:rPr>
          <w:spacing w:val="10"/>
        </w:rPr>
        <w:t>HERMENEUTICS</w:t>
      </w:r>
      <w:r>
        <w:rPr/>
        <w:tab/>
      </w:r>
      <w:r>
        <w:rPr>
          <w:spacing w:val="-6"/>
        </w:rPr>
        <w:t>OF </w:t>
      </w:r>
      <w:r>
        <w:rPr>
          <w:spacing w:val="-4"/>
        </w:rPr>
        <w:t>SHAKESPEARE’S</w:t>
      </w:r>
      <w:r>
        <w:rPr>
          <w:spacing w:val="-13"/>
        </w:rPr>
        <w:t> </w:t>
      </w:r>
      <w:r>
        <w:rPr>
          <w:spacing w:val="-4"/>
        </w:rPr>
        <w:t>“BAD</w:t>
      </w:r>
      <w:r>
        <w:rPr>
          <w:spacing w:val="-13"/>
        </w:rPr>
        <w:t> </w:t>
      </w:r>
      <w:r>
        <w:rPr>
          <w:spacing w:val="-4"/>
        </w:rPr>
        <w:t>WOMEN”</w:t>
      </w:r>
    </w:p>
    <w:p>
      <w:pPr>
        <w:pStyle w:val="BodyText"/>
        <w:spacing w:line="264" w:lineRule="auto" w:before="75"/>
        <w:ind w:right="1439" w:firstLine="432"/>
        <w:jc w:val="both"/>
      </w:pPr>
      <w:r>
        <w:rPr/>
        <w:t>The readings developed above share certain common principles that</w:t>
      </w:r>
      <w:r>
        <w:rPr>
          <w:spacing w:val="-9"/>
        </w:rPr>
        <w:t> </w:t>
      </w:r>
      <w:r>
        <w:rPr/>
        <w:t>together</w:t>
      </w:r>
      <w:r>
        <w:rPr>
          <w:spacing w:val="-9"/>
        </w:rPr>
        <w:t> </w:t>
      </w:r>
      <w:r>
        <w:rPr/>
        <w:t>constitute</w:t>
      </w:r>
      <w:r>
        <w:rPr>
          <w:spacing w:val="-9"/>
        </w:rPr>
        <w:t> </w:t>
      </w:r>
      <w:r>
        <w:rPr/>
        <w:t>what</w:t>
      </w:r>
      <w:r>
        <w:rPr>
          <w:spacing w:val="-9"/>
        </w:rPr>
        <w:t> </w:t>
      </w:r>
      <w:r>
        <w:rPr/>
        <w:t>might</w:t>
      </w:r>
      <w:r>
        <w:rPr>
          <w:spacing w:val="-9"/>
        </w:rPr>
        <w:t> </w:t>
      </w:r>
      <w:r>
        <w:rPr/>
        <w:t>be</w:t>
      </w:r>
      <w:r>
        <w:rPr>
          <w:spacing w:val="-6"/>
        </w:rPr>
        <w:t> </w:t>
      </w:r>
      <w:r>
        <w:rPr/>
        <w:t>called</w:t>
      </w:r>
      <w:r>
        <w:rPr>
          <w:spacing w:val="-7"/>
        </w:rPr>
        <w:t> </w:t>
      </w:r>
      <w:r>
        <w:rPr/>
        <w:t>a</w:t>
      </w:r>
      <w:r>
        <w:rPr>
          <w:spacing w:val="-8"/>
        </w:rPr>
        <w:t> </w:t>
      </w:r>
      <w:r>
        <w:rPr/>
        <w:t>feminist</w:t>
      </w:r>
      <w:r>
        <w:rPr>
          <w:spacing w:val="-7"/>
        </w:rPr>
        <w:t> </w:t>
      </w:r>
      <w:r>
        <w:rPr/>
        <w:t>hermeneutics</w:t>
      </w:r>
      <w:r>
        <w:rPr>
          <w:spacing w:val="-9"/>
        </w:rPr>
        <w:t> </w:t>
      </w:r>
      <w:r>
        <w:rPr/>
        <w:t>for Shakespeare’s transgressive women. It is worth articulating these principles</w:t>
      </w:r>
      <w:r>
        <w:rPr>
          <w:spacing w:val="-15"/>
        </w:rPr>
        <w:t> </w:t>
      </w:r>
      <w:r>
        <w:rPr/>
        <w:t>explicitly.</w:t>
      </w:r>
    </w:p>
    <w:p>
      <w:pPr>
        <w:pStyle w:val="BodyText"/>
        <w:spacing w:line="264" w:lineRule="auto" w:before="54"/>
        <w:ind w:right="1440" w:firstLine="432"/>
        <w:jc w:val="both"/>
      </w:pPr>
      <w:r>
        <w:rPr/>
        <w:t>The first principle is contextual historicism.</w:t>
      </w:r>
      <w:r>
        <w:rPr>
          <w:spacing w:val="-7"/>
        </w:rPr>
        <w:t> </w:t>
      </w:r>
      <w:r>
        <w:rPr/>
        <w:t>A</w:t>
      </w:r>
      <w:r>
        <w:rPr>
          <w:spacing w:val="-7"/>
        </w:rPr>
        <w:t> </w:t>
      </w:r>
      <w:r>
        <w:rPr/>
        <w:t>feminist reading of Shakespeare’s women must be historically grounded, attentive to the specific</w:t>
      </w:r>
      <w:r>
        <w:rPr>
          <w:spacing w:val="-7"/>
        </w:rPr>
        <w:t> </w:t>
      </w:r>
      <w:r>
        <w:rPr/>
        <w:t>ideological</w:t>
      </w:r>
      <w:r>
        <w:rPr>
          <w:spacing w:val="-7"/>
        </w:rPr>
        <w:t> </w:t>
      </w:r>
      <w:r>
        <w:rPr/>
        <w:t>conditions</w:t>
      </w:r>
      <w:r>
        <w:rPr>
          <w:spacing w:val="-9"/>
        </w:rPr>
        <w:t> </w:t>
      </w:r>
      <w:r>
        <w:rPr/>
        <w:t>of</w:t>
      </w:r>
      <w:r>
        <w:rPr>
          <w:spacing w:val="-8"/>
        </w:rPr>
        <w:t> </w:t>
      </w:r>
      <w:r>
        <w:rPr/>
        <w:t>early</w:t>
      </w:r>
      <w:r>
        <w:rPr>
          <w:spacing w:val="-11"/>
        </w:rPr>
        <w:t> </w:t>
      </w:r>
      <w:r>
        <w:rPr/>
        <w:t>modern</w:t>
      </w:r>
      <w:r>
        <w:rPr>
          <w:spacing w:val="-8"/>
        </w:rPr>
        <w:t> </w:t>
      </w:r>
      <w:r>
        <w:rPr/>
        <w:t>England</w:t>
      </w:r>
      <w:r>
        <w:rPr>
          <w:spacing w:val="-4"/>
        </w:rPr>
        <w:t> </w:t>
      </w:r>
      <w:r>
        <w:rPr/>
        <w:t>and</w:t>
      </w:r>
      <w:r>
        <w:rPr>
          <w:spacing w:val="-6"/>
        </w:rPr>
        <w:t> </w:t>
      </w:r>
      <w:r>
        <w:rPr/>
        <w:t>to</w:t>
      </w:r>
      <w:r>
        <w:rPr>
          <w:spacing w:val="-6"/>
        </w:rPr>
        <w:t> </w:t>
      </w:r>
      <w:r>
        <w:rPr/>
        <w:t>the</w:t>
      </w:r>
      <w:r>
        <w:rPr>
          <w:spacing w:val="-8"/>
        </w:rPr>
        <w:t> </w:t>
      </w:r>
      <w:r>
        <w:rPr/>
        <w:t>ways those</w:t>
      </w:r>
      <w:r>
        <w:rPr>
          <w:spacing w:val="39"/>
        </w:rPr>
        <w:t> </w:t>
      </w:r>
      <w:r>
        <w:rPr/>
        <w:t>conditions</w:t>
      </w:r>
      <w:r>
        <w:rPr>
          <w:spacing w:val="37"/>
        </w:rPr>
        <w:t> </w:t>
      </w:r>
      <w:r>
        <w:rPr/>
        <w:t>shaped</w:t>
      </w:r>
      <w:r>
        <w:rPr>
          <w:spacing w:val="40"/>
        </w:rPr>
        <w:t> </w:t>
      </w:r>
      <w:r>
        <w:rPr/>
        <w:t>both</w:t>
      </w:r>
      <w:r>
        <w:rPr>
          <w:spacing w:val="39"/>
        </w:rPr>
        <w:t> </w:t>
      </w:r>
      <w:r>
        <w:rPr/>
        <w:t>the</w:t>
      </w:r>
      <w:r>
        <w:rPr>
          <w:spacing w:val="40"/>
        </w:rPr>
        <w:t> </w:t>
      </w:r>
      <w:r>
        <w:rPr/>
        <w:t>construction</w:t>
      </w:r>
      <w:r>
        <w:rPr>
          <w:spacing w:val="39"/>
        </w:rPr>
        <w:t> </w:t>
      </w:r>
      <w:r>
        <w:rPr/>
        <w:t>of</w:t>
      </w:r>
      <w:r>
        <w:rPr>
          <w:spacing w:val="40"/>
        </w:rPr>
        <w:t> </w:t>
      </w:r>
      <w:r>
        <w:rPr/>
        <w:t>the</w:t>
      </w:r>
      <w:r>
        <w:rPr>
          <w:spacing w:val="39"/>
        </w:rPr>
        <w:t> </w:t>
      </w:r>
      <w:r>
        <w:rPr/>
        <w:t>characters</w:t>
      </w:r>
      <w:r>
        <w:rPr>
          <w:spacing w:val="39"/>
        </w:rPr>
        <w:t> </w:t>
      </w:r>
      <w:r>
        <w:rPr/>
        <w:t>and the reception of the plays. The “badness” of these women is not a </w:t>
      </w:r>
      <w:r>
        <w:rPr>
          <w:spacing w:val="-2"/>
        </w:rPr>
        <w:t>timeless quality</w:t>
      </w:r>
      <w:r>
        <w:rPr>
          <w:spacing w:val="-10"/>
        </w:rPr>
        <w:t> </w:t>
      </w:r>
      <w:r>
        <w:rPr>
          <w:spacing w:val="-2"/>
        </w:rPr>
        <w:t>but a</w:t>
      </w:r>
      <w:r>
        <w:rPr>
          <w:spacing w:val="-5"/>
        </w:rPr>
        <w:t> </w:t>
      </w:r>
      <w:r>
        <w:rPr>
          <w:spacing w:val="-2"/>
        </w:rPr>
        <w:t>historically</w:t>
      </w:r>
      <w:r>
        <w:rPr>
          <w:spacing w:val="-5"/>
        </w:rPr>
        <w:t> </w:t>
      </w:r>
      <w:r>
        <w:rPr>
          <w:spacing w:val="-2"/>
        </w:rPr>
        <w:t>produced one; understanding</w:t>
      </w:r>
      <w:r>
        <w:rPr>
          <w:spacing w:val="-7"/>
        </w:rPr>
        <w:t> </w:t>
      </w:r>
      <w:r>
        <w:rPr>
          <w:spacing w:val="-2"/>
        </w:rPr>
        <w:t>it requires </w:t>
      </w:r>
      <w:r>
        <w:rPr/>
        <w:t>understanding the system that produced it. This is not the same as relativism—it</w:t>
      </w:r>
      <w:r>
        <w:rPr>
          <w:spacing w:val="37"/>
        </w:rPr>
        <w:t> </w:t>
      </w:r>
      <w:r>
        <w:rPr/>
        <w:t>is</w:t>
      </w:r>
      <w:r>
        <w:rPr>
          <w:spacing w:val="39"/>
        </w:rPr>
        <w:t> </w:t>
      </w:r>
      <w:r>
        <w:rPr/>
        <w:t>possible</w:t>
      </w:r>
      <w:r>
        <w:rPr>
          <w:spacing w:val="38"/>
        </w:rPr>
        <w:t> </w:t>
      </w:r>
      <w:r>
        <w:rPr/>
        <w:t>to</w:t>
      </w:r>
      <w:r>
        <w:rPr>
          <w:spacing w:val="41"/>
        </w:rPr>
        <w:t> </w:t>
      </w:r>
      <w:r>
        <w:rPr/>
        <w:t>think</w:t>
      </w:r>
      <w:r>
        <w:rPr>
          <w:spacing w:val="35"/>
        </w:rPr>
        <w:t> </w:t>
      </w:r>
      <w:r>
        <w:rPr/>
        <w:t>that</w:t>
      </w:r>
      <w:r>
        <w:rPr>
          <w:spacing w:val="39"/>
        </w:rPr>
        <w:t> </w:t>
      </w:r>
      <w:r>
        <w:rPr/>
        <w:t>a</w:t>
      </w:r>
      <w:r>
        <w:rPr>
          <w:spacing w:val="38"/>
        </w:rPr>
        <w:t> </w:t>
      </w:r>
      <w:r>
        <w:rPr/>
        <w:t>system</w:t>
      </w:r>
      <w:r>
        <w:rPr>
          <w:spacing w:val="36"/>
        </w:rPr>
        <w:t> </w:t>
      </w:r>
      <w:r>
        <w:rPr/>
        <w:t>that</w:t>
      </w:r>
      <w:r>
        <w:rPr>
          <w:spacing w:val="37"/>
        </w:rPr>
        <w:t> </w:t>
      </w:r>
      <w:r>
        <w:rPr/>
        <w:t>burned</w:t>
      </w:r>
      <w:r>
        <w:rPr>
          <w:spacing w:val="41"/>
        </w:rPr>
        <w:t> </w:t>
      </w:r>
      <w:r>
        <w:rPr>
          <w:spacing w:val="-2"/>
        </w:rPr>
        <w:t>women</w:t>
      </w:r>
    </w:p>
    <w:p>
      <w:pPr>
        <w:pStyle w:val="BodyText"/>
        <w:spacing w:after="0" w:line="264"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50656">
                <wp:simplePos x="0" y="0"/>
                <wp:positionH relativeFrom="page">
                  <wp:posOffset>2065020</wp:posOffset>
                </wp:positionH>
                <wp:positionV relativeFrom="paragraph">
                  <wp:posOffset>795020</wp:posOffset>
                </wp:positionV>
                <wp:extent cx="3657600" cy="12700"/>
                <wp:effectExtent l="0" t="0" r="0" b="0"/>
                <wp:wrapTopAndBottom/>
                <wp:docPr id="471" name="Graphic 471"/>
                <wp:cNvGraphicFramePr>
                  <a:graphicFrameLocks/>
                </wp:cNvGraphicFramePr>
                <a:graphic>
                  <a:graphicData uri="http://schemas.microsoft.com/office/word/2010/wordprocessingShape">
                    <wps:wsp>
                      <wps:cNvPr id="471" name="Graphic 47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65824;mso-wrap-distance-left:0;mso-wrap-distance-right:0" id="docshape466" filled="true" fillcolor="#000000" stroked="false">
                <v:fill type="solid"/>
                <w10:wrap type="topAndBottom"/>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209</w:t>
      </w:r>
    </w:p>
    <w:p>
      <w:pPr>
        <w:pStyle w:val="BodyText"/>
        <w:spacing w:line="264" w:lineRule="auto" w:before="199"/>
        <w:ind w:right="1442"/>
        <w:jc w:val="both"/>
      </w:pPr>
      <w:r>
        <w:rPr/>
        <w:t>accused of witchcraft was wrong, even while acknowledging that the fear of female power it expressed was real and consequential.</w:t>
      </w:r>
    </w:p>
    <w:p>
      <w:pPr>
        <w:pStyle w:val="BodyText"/>
        <w:spacing w:line="266" w:lineRule="auto" w:before="58"/>
        <w:ind w:right="1440" w:firstLine="432"/>
        <w:jc w:val="both"/>
      </w:pPr>
      <w:r>
        <w:rPr/>
        <w:t>The</w:t>
      </w:r>
      <w:r>
        <w:rPr>
          <w:spacing w:val="-13"/>
        </w:rPr>
        <w:t> </w:t>
      </w:r>
      <w:r>
        <w:rPr/>
        <w:t>second</w:t>
      </w:r>
      <w:r>
        <w:rPr>
          <w:spacing w:val="-12"/>
        </w:rPr>
        <w:t> </w:t>
      </w:r>
      <w:r>
        <w:rPr/>
        <w:t>principle</w:t>
      </w:r>
      <w:r>
        <w:rPr>
          <w:spacing w:val="-13"/>
        </w:rPr>
        <w:t> </w:t>
      </w:r>
      <w:r>
        <w:rPr/>
        <w:t>is</w:t>
      </w:r>
      <w:r>
        <w:rPr>
          <w:spacing w:val="-12"/>
        </w:rPr>
        <w:t> </w:t>
      </w:r>
      <w:r>
        <w:rPr/>
        <w:t>the</w:t>
      </w:r>
      <w:r>
        <w:rPr>
          <w:spacing w:val="-13"/>
        </w:rPr>
        <w:t> </w:t>
      </w:r>
      <w:r>
        <w:rPr/>
        <w:t>critique</w:t>
      </w:r>
      <w:r>
        <w:rPr>
          <w:spacing w:val="-12"/>
        </w:rPr>
        <w:t> </w:t>
      </w:r>
      <w:r>
        <w:rPr/>
        <w:t>of</w:t>
      </w:r>
      <w:r>
        <w:rPr>
          <w:spacing w:val="-13"/>
        </w:rPr>
        <w:t> </w:t>
      </w:r>
      <w:r>
        <w:rPr/>
        <w:t>the</w:t>
      </w:r>
      <w:r>
        <w:rPr>
          <w:spacing w:val="-12"/>
        </w:rPr>
        <w:t> </w:t>
      </w:r>
      <w:r>
        <w:rPr/>
        <w:t>evaluative</w:t>
      </w:r>
      <w:r>
        <w:rPr>
          <w:spacing w:val="-13"/>
        </w:rPr>
        <w:t> </w:t>
      </w:r>
      <w:r>
        <w:rPr/>
        <w:t>gaze.</w:t>
      </w:r>
      <w:r>
        <w:rPr>
          <w:spacing w:val="-12"/>
        </w:rPr>
        <w:t> </w:t>
      </w:r>
      <w:r>
        <w:rPr/>
        <w:t>Feminist hermeneutics must be suspicious of the moral frameworks through which the women have been judged, asking whose interests those frameworks serve and what they systematically exclude or distort. This does not mean refusing</w:t>
      </w:r>
      <w:r>
        <w:rPr>
          <w:spacing w:val="-2"/>
        </w:rPr>
        <w:t> </w:t>
      </w:r>
      <w:r>
        <w:rPr/>
        <w:t>moral evaluation altogether—it means insisting that the same moral</w:t>
      </w:r>
      <w:r>
        <w:rPr>
          <w:spacing w:val="-1"/>
        </w:rPr>
        <w:t> </w:t>
      </w:r>
      <w:r>
        <w:rPr/>
        <w:t>standards</w:t>
      </w:r>
      <w:r>
        <w:rPr>
          <w:spacing w:val="-1"/>
        </w:rPr>
        <w:t> </w:t>
      </w:r>
      <w:r>
        <w:rPr/>
        <w:t>apply</w:t>
      </w:r>
      <w:r>
        <w:rPr>
          <w:spacing w:val="-3"/>
        </w:rPr>
        <w:t> </w:t>
      </w:r>
      <w:r>
        <w:rPr/>
        <w:t>to male and female characters, that ambition</w:t>
      </w:r>
      <w:r>
        <w:rPr>
          <w:spacing w:val="-2"/>
        </w:rPr>
        <w:t> </w:t>
      </w:r>
      <w:r>
        <w:rPr/>
        <w:t>is not differently</w:t>
      </w:r>
      <w:r>
        <w:rPr>
          <w:spacing w:val="-3"/>
        </w:rPr>
        <w:t> </w:t>
      </w:r>
      <w:r>
        <w:rPr/>
        <w:t>evil when</w:t>
      </w:r>
      <w:r>
        <w:rPr>
          <w:spacing w:val="-2"/>
        </w:rPr>
        <w:t> </w:t>
      </w:r>
      <w:r>
        <w:rPr/>
        <w:t>practiced by</w:t>
      </w:r>
      <w:r>
        <w:rPr>
          <w:spacing w:val="-3"/>
        </w:rPr>
        <w:t> </w:t>
      </w:r>
      <w:r>
        <w:rPr/>
        <w:t>women, that desire is not more dangerous when felt by women, that violence is not more monstrous</w:t>
      </w:r>
      <w:r>
        <w:rPr>
          <w:spacing w:val="40"/>
        </w:rPr>
        <w:t> </w:t>
      </w:r>
      <w:r>
        <w:rPr/>
        <w:t>when</w:t>
      </w:r>
      <w:r>
        <w:rPr>
          <w:spacing w:val="40"/>
        </w:rPr>
        <w:t> </w:t>
      </w:r>
      <w:r>
        <w:rPr/>
        <w:t>committed</w:t>
      </w:r>
      <w:r>
        <w:rPr>
          <w:spacing w:val="40"/>
        </w:rPr>
        <w:t> </w:t>
      </w:r>
      <w:r>
        <w:rPr/>
        <w:t>by women.</w:t>
      </w:r>
    </w:p>
    <w:p>
      <w:pPr>
        <w:pStyle w:val="BodyText"/>
        <w:spacing w:line="266" w:lineRule="auto" w:before="65"/>
        <w:ind w:right="1439" w:firstLine="432"/>
        <w:jc w:val="both"/>
      </w:pPr>
      <w:r>
        <w:rPr/>
        <w:t>The third principle is attention to female subjectivity. A feminist reading takes the women seriously as subjects with inner lives, perspectives, and interests—not merely as functions of male plots or symptoms of male anxieties. This requires reading against the grain of plays that often deny women interiority: noting what they say, noticing what they are not allowed to say, and attending to the moments when the text opens onto a complexity that the dominant framework cannot fully contain.</w:t>
      </w:r>
    </w:p>
    <w:p>
      <w:pPr>
        <w:pStyle w:val="BodyText"/>
        <w:spacing w:line="266" w:lineRule="auto" w:before="64"/>
        <w:ind w:right="1437" w:firstLine="432"/>
        <w:jc w:val="both"/>
      </w:pPr>
      <w:r>
        <w:rPr/>
        <w:t>The fourth principle is structural analysis. Rather than simply celebrating transgressive women as proto-feminist heroines, feminist hermeneutics asks what structures of power they are transgressing,</w:t>
      </w:r>
      <w:r>
        <w:rPr>
          <w:spacing w:val="40"/>
        </w:rPr>
        <w:t> </w:t>
      </w:r>
      <w:r>
        <w:rPr/>
        <w:t>what alternatives those structures foreclose, and what the costs of transgression are. Lady Macbeth is not a feminist heroine; she is a woman whose desire for agency in a system that denies it to her leads</w:t>
      </w:r>
      <w:r>
        <w:rPr>
          <w:spacing w:val="40"/>
        </w:rPr>
        <w:t> </w:t>
      </w:r>
      <w:r>
        <w:rPr/>
        <w:t>to</w:t>
      </w:r>
      <w:r>
        <w:rPr>
          <w:spacing w:val="-1"/>
        </w:rPr>
        <w:t> </w:t>
      </w:r>
      <w:r>
        <w:rPr/>
        <w:t>catastrophe. But</w:t>
      </w:r>
      <w:r>
        <w:rPr>
          <w:spacing w:val="-1"/>
        </w:rPr>
        <w:t> </w:t>
      </w:r>
      <w:r>
        <w:rPr/>
        <w:t>the catastrophe is not</w:t>
      </w:r>
      <w:r>
        <w:rPr>
          <w:spacing w:val="-1"/>
        </w:rPr>
        <w:t> </w:t>
      </w:r>
      <w:r>
        <w:rPr/>
        <w:t>a</w:t>
      </w:r>
      <w:r>
        <w:rPr>
          <w:spacing w:val="-1"/>
        </w:rPr>
        <w:t> </w:t>
      </w:r>
      <w:r>
        <w:rPr/>
        <w:t>punishment</w:t>
      </w:r>
      <w:r>
        <w:rPr>
          <w:spacing w:val="-1"/>
        </w:rPr>
        <w:t> </w:t>
      </w:r>
      <w:r>
        <w:rPr/>
        <w:t>for her ambition in the abstract; it is the product of a specific system in which female ambition has no legitimate outlet.</w:t>
      </w:r>
    </w:p>
    <w:p>
      <w:pPr>
        <w:pStyle w:val="BodyText"/>
        <w:spacing w:line="266" w:lineRule="auto" w:before="65"/>
        <w:ind w:right="1438" w:firstLine="432"/>
        <w:jc w:val="both"/>
      </w:pPr>
      <w:r>
        <w:rPr/>
        <w:t>The fifth principle is intersectionality. A comprehensive feminist reading of Shakespeare’s women must attend to the intersection of gender with race, class, and sexuality. Tamora and Cleopatra are not simply</w:t>
      </w:r>
      <w:r>
        <w:rPr>
          <w:spacing w:val="-13"/>
        </w:rPr>
        <w:t> </w:t>
      </w:r>
      <w:r>
        <w:rPr/>
        <w:t>women;</w:t>
      </w:r>
      <w:r>
        <w:rPr>
          <w:spacing w:val="-12"/>
        </w:rPr>
        <w:t> </w:t>
      </w:r>
      <w:r>
        <w:rPr/>
        <w:t>they</w:t>
      </w:r>
      <w:r>
        <w:rPr>
          <w:spacing w:val="-13"/>
        </w:rPr>
        <w:t> </w:t>
      </w:r>
      <w:r>
        <w:rPr/>
        <w:t>are</w:t>
      </w:r>
      <w:r>
        <w:rPr>
          <w:spacing w:val="-12"/>
        </w:rPr>
        <w:t> </w:t>
      </w:r>
      <w:r>
        <w:rPr/>
        <w:t>women</w:t>
      </w:r>
      <w:r>
        <w:rPr>
          <w:spacing w:val="-13"/>
        </w:rPr>
        <w:t> </w:t>
      </w:r>
      <w:r>
        <w:rPr/>
        <w:t>whose</w:t>
      </w:r>
      <w:r>
        <w:rPr>
          <w:spacing w:val="-12"/>
        </w:rPr>
        <w:t> </w:t>
      </w:r>
      <w:r>
        <w:rPr/>
        <w:t>femininity</w:t>
      </w:r>
      <w:r>
        <w:rPr>
          <w:spacing w:val="-13"/>
        </w:rPr>
        <w:t> </w:t>
      </w:r>
      <w:r>
        <w:rPr/>
        <w:t>is</w:t>
      </w:r>
      <w:r>
        <w:rPr>
          <w:spacing w:val="-12"/>
        </w:rPr>
        <w:t> </w:t>
      </w:r>
      <w:r>
        <w:rPr/>
        <w:t>constructed</w:t>
      </w:r>
      <w:r>
        <w:rPr>
          <w:spacing w:val="-13"/>
        </w:rPr>
        <w:t> </w:t>
      </w:r>
      <w:r>
        <w:rPr/>
        <w:t>through racial otherness, and their “badness” is partly a product of colonial and racial</w:t>
      </w:r>
      <w:r>
        <w:rPr>
          <w:spacing w:val="-13"/>
        </w:rPr>
        <w:t> </w:t>
      </w:r>
      <w:r>
        <w:rPr/>
        <w:t>ideologies</w:t>
      </w:r>
      <w:r>
        <w:rPr>
          <w:spacing w:val="-12"/>
        </w:rPr>
        <w:t> </w:t>
      </w:r>
      <w:r>
        <w:rPr/>
        <w:t>that</w:t>
      </w:r>
      <w:r>
        <w:rPr>
          <w:spacing w:val="-13"/>
        </w:rPr>
        <w:t> </w:t>
      </w:r>
      <w:r>
        <w:rPr/>
        <w:t>a</w:t>
      </w:r>
      <w:r>
        <w:rPr>
          <w:spacing w:val="-12"/>
        </w:rPr>
        <w:t> </w:t>
      </w:r>
      <w:r>
        <w:rPr/>
        <w:t>feminist</w:t>
      </w:r>
      <w:r>
        <w:rPr>
          <w:spacing w:val="-11"/>
        </w:rPr>
        <w:t> </w:t>
      </w:r>
      <w:r>
        <w:rPr/>
        <w:t>analysis</w:t>
      </w:r>
      <w:r>
        <w:rPr>
          <w:spacing w:val="-13"/>
        </w:rPr>
        <w:t> </w:t>
      </w:r>
      <w:r>
        <w:rPr/>
        <w:t>must</w:t>
      </w:r>
      <w:r>
        <w:rPr>
          <w:spacing w:val="-12"/>
        </w:rPr>
        <w:t> </w:t>
      </w:r>
      <w:r>
        <w:rPr/>
        <w:t>acknowledge.</w:t>
      </w:r>
      <w:r>
        <w:rPr>
          <w:spacing w:val="-13"/>
        </w:rPr>
        <w:t> </w:t>
      </w:r>
      <w:r>
        <w:rPr/>
        <w:t>Volumnia</w:t>
      </w:r>
      <w:r>
        <w:rPr>
          <w:spacing w:val="-12"/>
        </w:rPr>
        <w:t> </w:t>
      </w:r>
      <w:r>
        <w:rPr/>
        <w:t>is not</w:t>
      </w:r>
      <w:r>
        <w:rPr>
          <w:spacing w:val="-1"/>
        </w:rPr>
        <w:t> </w:t>
      </w:r>
      <w:r>
        <w:rPr/>
        <w:t>simply</w:t>
      </w:r>
      <w:r>
        <w:rPr>
          <w:spacing w:val="-6"/>
        </w:rPr>
        <w:t> </w:t>
      </w:r>
      <w:r>
        <w:rPr/>
        <w:t>a woman;</w:t>
      </w:r>
      <w:r>
        <w:rPr>
          <w:spacing w:val="-2"/>
        </w:rPr>
        <w:t> </w:t>
      </w:r>
      <w:r>
        <w:rPr/>
        <w:t>she is</w:t>
      </w:r>
      <w:r>
        <w:rPr>
          <w:spacing w:val="-4"/>
        </w:rPr>
        <w:t> </w:t>
      </w:r>
      <w:r>
        <w:rPr/>
        <w:t>an</w:t>
      </w:r>
      <w:r>
        <w:rPr>
          <w:spacing w:val="-2"/>
        </w:rPr>
        <w:t> </w:t>
      </w:r>
      <w:r>
        <w:rPr/>
        <w:t>aristocratic Roman</w:t>
      </w:r>
      <w:r>
        <w:rPr>
          <w:spacing w:val="-2"/>
        </w:rPr>
        <w:t> </w:t>
      </w:r>
      <w:r>
        <w:rPr/>
        <w:t>woman</w:t>
      </w:r>
      <w:r>
        <w:rPr>
          <w:spacing w:val="-4"/>
        </w:rPr>
        <w:t> </w:t>
      </w:r>
      <w:r>
        <w:rPr/>
        <w:t>whose</w:t>
      </w:r>
      <w:r>
        <w:rPr>
          <w:spacing w:val="-1"/>
        </w:rPr>
        <w:t> </w:t>
      </w:r>
      <w:r>
        <w:rPr/>
        <w:t>power is inseparable from her class position. Gender is never the only axis of </w:t>
      </w:r>
      <w:r>
        <w:rPr>
          <w:spacing w:val="-2"/>
        </w:rPr>
        <w:t>analysis.</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51168">
                <wp:simplePos x="0" y="0"/>
                <wp:positionH relativeFrom="page">
                  <wp:posOffset>2057400</wp:posOffset>
                </wp:positionH>
                <wp:positionV relativeFrom="paragraph">
                  <wp:posOffset>162604</wp:posOffset>
                </wp:positionV>
                <wp:extent cx="3657600" cy="12700"/>
                <wp:effectExtent l="0" t="0" r="0" b="0"/>
                <wp:wrapTopAndBottom/>
                <wp:docPr id="472" name="Graphic 472"/>
                <wp:cNvGraphicFramePr>
                  <a:graphicFrameLocks/>
                </wp:cNvGraphicFramePr>
                <a:graphic>
                  <a:graphicData uri="http://schemas.microsoft.com/office/word/2010/wordprocessingShape">
                    <wps:wsp>
                      <wps:cNvPr id="472" name="Graphic 47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65312;mso-wrap-distance-left:0;mso-wrap-distance-right:0" id="docshape467" filled="true" fillcolor="#000000" stroked="false">
                <v:fill type="solid"/>
                <w10:wrap type="topAndBottom"/>
              </v:rect>
            </w:pict>
          </mc:Fallback>
        </mc:AlternateContent>
      </w:r>
      <w:r>
        <w:rPr>
          <w:rFonts w:ascii="Verdana"/>
          <w:spacing w:val="-5"/>
          <w:sz w:val="18"/>
        </w:rPr>
        <w:t>210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numPr>
          <w:ilvl w:val="0"/>
          <w:numId w:val="39"/>
        </w:numPr>
        <w:tabs>
          <w:tab w:pos="1882" w:val="left" w:leader="none"/>
        </w:tabs>
        <w:spacing w:line="240" w:lineRule="auto" w:before="173" w:after="0"/>
        <w:ind w:left="1440" w:right="1445" w:firstLine="0"/>
        <w:jc w:val="left"/>
      </w:pPr>
      <w:r>
        <w:rPr>
          <w:w w:val="90"/>
        </w:rPr>
        <w:t>PERFORMANCE,</w:t>
      </w:r>
      <w:r>
        <w:rPr>
          <w:spacing w:val="33"/>
        </w:rPr>
        <w:t> </w:t>
      </w:r>
      <w:r>
        <w:rPr>
          <w:w w:val="90"/>
        </w:rPr>
        <w:t>RECEPTION,</w:t>
      </w:r>
      <w:r>
        <w:rPr>
          <w:spacing w:val="33"/>
        </w:rPr>
        <w:t> </w:t>
      </w:r>
      <w:r>
        <w:rPr>
          <w:w w:val="90"/>
        </w:rPr>
        <w:t>AND</w:t>
      </w:r>
      <w:r>
        <w:rPr>
          <w:spacing w:val="33"/>
        </w:rPr>
        <w:t> </w:t>
      </w:r>
      <w:r>
        <w:rPr>
          <w:w w:val="90"/>
        </w:rPr>
        <w:t>THE</w:t>
      </w:r>
      <w:r>
        <w:rPr>
          <w:spacing w:val="33"/>
        </w:rPr>
        <w:t> </w:t>
      </w:r>
      <w:r>
        <w:rPr>
          <w:w w:val="90"/>
        </w:rPr>
        <w:t>FEMINIST </w:t>
      </w:r>
      <w:r>
        <w:rPr>
          <w:spacing w:val="-2"/>
        </w:rPr>
        <w:t>STAGE</w:t>
      </w:r>
    </w:p>
    <w:p>
      <w:pPr>
        <w:pStyle w:val="BodyText"/>
        <w:spacing w:line="249" w:lineRule="auto" w:before="74"/>
        <w:ind w:right="1440" w:firstLine="432"/>
        <w:jc w:val="both"/>
      </w:pPr>
      <w:r>
        <w:rPr/>
        <w:t>The feminist analysis of Shakespeare’s “bad women” cannot be confined</w:t>
      </w:r>
      <w:r>
        <w:rPr>
          <w:spacing w:val="-2"/>
        </w:rPr>
        <w:t> </w:t>
      </w:r>
      <w:r>
        <w:rPr/>
        <w:t>to</w:t>
      </w:r>
      <w:r>
        <w:rPr>
          <w:spacing w:val="-3"/>
        </w:rPr>
        <w:t> </w:t>
      </w:r>
      <w:r>
        <w:rPr/>
        <w:t>the</w:t>
      </w:r>
      <w:r>
        <w:rPr>
          <w:spacing w:val="-2"/>
        </w:rPr>
        <w:t> </w:t>
      </w:r>
      <w:r>
        <w:rPr/>
        <w:t>page;</w:t>
      </w:r>
      <w:r>
        <w:rPr>
          <w:spacing w:val="-2"/>
        </w:rPr>
        <w:t> </w:t>
      </w:r>
      <w:r>
        <w:rPr/>
        <w:t>it</w:t>
      </w:r>
      <w:r>
        <w:rPr>
          <w:spacing w:val="-2"/>
        </w:rPr>
        <w:t> </w:t>
      </w:r>
      <w:r>
        <w:rPr/>
        <w:t>must</w:t>
      </w:r>
      <w:r>
        <w:rPr>
          <w:spacing w:val="-3"/>
        </w:rPr>
        <w:t> </w:t>
      </w:r>
      <w:r>
        <w:rPr/>
        <w:t>extend to</w:t>
      </w:r>
      <w:r>
        <w:rPr>
          <w:spacing w:val="-2"/>
        </w:rPr>
        <w:t> </w:t>
      </w:r>
      <w:r>
        <w:rPr/>
        <w:t>the</w:t>
      </w:r>
      <w:r>
        <w:rPr>
          <w:spacing w:val="-2"/>
        </w:rPr>
        <w:t> </w:t>
      </w:r>
      <w:r>
        <w:rPr/>
        <w:t>stage,</w:t>
      </w:r>
      <w:r>
        <w:rPr>
          <w:spacing w:val="-3"/>
        </w:rPr>
        <w:t> </w:t>
      </w:r>
      <w:r>
        <w:rPr/>
        <w:t>where</w:t>
      </w:r>
      <w:r>
        <w:rPr>
          <w:spacing w:val="-2"/>
        </w:rPr>
        <w:t> </w:t>
      </w:r>
      <w:r>
        <w:rPr/>
        <w:t>these</w:t>
      </w:r>
      <w:r>
        <w:rPr>
          <w:spacing w:val="-1"/>
        </w:rPr>
        <w:t> </w:t>
      </w:r>
      <w:r>
        <w:rPr/>
        <w:t>characters have been given flesh and voice across four centuries of performance history. How these women have been played, cast, and directed tells us as much about the ideological history of their reception as any critical </w:t>
      </w:r>
      <w:r>
        <w:rPr>
          <w:spacing w:val="-2"/>
        </w:rPr>
        <w:t>text.</w:t>
      </w:r>
    </w:p>
    <w:p>
      <w:pPr>
        <w:pStyle w:val="BodyText"/>
        <w:spacing w:line="249" w:lineRule="auto" w:before="62"/>
        <w:ind w:right="1440" w:firstLine="432"/>
        <w:jc w:val="both"/>
      </w:pPr>
      <w:r>
        <w:rPr/>
        <w:t>For most of</w:t>
      </w:r>
      <w:r>
        <w:rPr>
          <w:spacing w:val="-1"/>
        </w:rPr>
        <w:t> </w:t>
      </w:r>
      <w:r>
        <w:rPr/>
        <w:t>Western theatrical history, the dominant performance tradition has reinforced the dominant critical tradition: Lady Macbeth played</w:t>
      </w:r>
      <w:r>
        <w:rPr>
          <w:spacing w:val="-9"/>
        </w:rPr>
        <w:t> </w:t>
      </w:r>
      <w:r>
        <w:rPr/>
        <w:t>as</w:t>
      </w:r>
      <w:r>
        <w:rPr>
          <w:spacing w:val="-9"/>
        </w:rPr>
        <w:t> </w:t>
      </w:r>
      <w:r>
        <w:rPr/>
        <w:t>a</w:t>
      </w:r>
      <w:r>
        <w:rPr>
          <w:spacing w:val="-11"/>
        </w:rPr>
        <w:t> </w:t>
      </w:r>
      <w:r>
        <w:rPr/>
        <w:t>figure</w:t>
      </w:r>
      <w:r>
        <w:rPr>
          <w:spacing w:val="-10"/>
        </w:rPr>
        <w:t> </w:t>
      </w:r>
      <w:r>
        <w:rPr/>
        <w:t>of</w:t>
      </w:r>
      <w:r>
        <w:rPr>
          <w:spacing w:val="-9"/>
        </w:rPr>
        <w:t> </w:t>
      </w:r>
      <w:r>
        <w:rPr/>
        <w:t>terrifying,</w:t>
      </w:r>
      <w:r>
        <w:rPr>
          <w:spacing w:val="-11"/>
        </w:rPr>
        <w:t> </w:t>
      </w:r>
      <w:r>
        <w:rPr/>
        <w:t>dehumanized</w:t>
      </w:r>
      <w:r>
        <w:rPr>
          <w:spacing w:val="-9"/>
        </w:rPr>
        <w:t> </w:t>
      </w:r>
      <w:r>
        <w:rPr/>
        <w:t>evil;</w:t>
      </w:r>
      <w:r>
        <w:rPr>
          <w:spacing w:val="-11"/>
        </w:rPr>
        <w:t> </w:t>
      </w:r>
      <w:r>
        <w:rPr/>
        <w:t>Cleopatra</w:t>
      </w:r>
      <w:r>
        <w:rPr>
          <w:spacing w:val="-11"/>
        </w:rPr>
        <w:t> </w:t>
      </w:r>
      <w:r>
        <w:rPr/>
        <w:t>as</w:t>
      </w:r>
      <w:r>
        <w:rPr>
          <w:spacing w:val="-11"/>
        </w:rPr>
        <w:t> </w:t>
      </w:r>
      <w:r>
        <w:rPr/>
        <w:t>an</w:t>
      </w:r>
      <w:r>
        <w:rPr>
          <w:spacing w:val="-13"/>
        </w:rPr>
        <w:t> </w:t>
      </w:r>
      <w:r>
        <w:rPr/>
        <w:t>exotic enchantress whose function is to illuminate Antony’s tragedy; Goneril and Regan as one-dimensional villains whose wickedness needs no motivation.</w:t>
      </w:r>
      <w:r>
        <w:rPr>
          <w:spacing w:val="14"/>
        </w:rPr>
        <w:t> </w:t>
      </w:r>
      <w:r>
        <w:rPr/>
        <w:t>The casting conventions of the nineteenth-century stage—in which star actors played Shakespeare’s male protagonists while the </w:t>
      </w:r>
      <w:r>
        <w:rPr>
          <w:spacing w:val="-2"/>
        </w:rPr>
        <w:t>female</w:t>
      </w:r>
      <w:r>
        <w:rPr>
          <w:spacing w:val="-5"/>
        </w:rPr>
        <w:t> </w:t>
      </w:r>
      <w:r>
        <w:rPr>
          <w:spacing w:val="-2"/>
        </w:rPr>
        <w:t>roles</w:t>
      </w:r>
      <w:r>
        <w:rPr>
          <w:spacing w:val="-7"/>
        </w:rPr>
        <w:t> </w:t>
      </w:r>
      <w:r>
        <w:rPr>
          <w:spacing w:val="-2"/>
        </w:rPr>
        <w:t>were</w:t>
      </w:r>
      <w:r>
        <w:rPr>
          <w:spacing w:val="-5"/>
        </w:rPr>
        <w:t> </w:t>
      </w:r>
      <w:r>
        <w:rPr>
          <w:spacing w:val="-2"/>
        </w:rPr>
        <w:t>often</w:t>
      </w:r>
      <w:r>
        <w:rPr>
          <w:spacing w:val="-7"/>
        </w:rPr>
        <w:t> </w:t>
      </w:r>
      <w:r>
        <w:rPr>
          <w:spacing w:val="-2"/>
        </w:rPr>
        <w:t>reduced</w:t>
      </w:r>
      <w:r>
        <w:rPr>
          <w:spacing w:val="-9"/>
        </w:rPr>
        <w:t> </w:t>
      </w:r>
      <w:r>
        <w:rPr>
          <w:spacing w:val="-2"/>
        </w:rPr>
        <w:t>to</w:t>
      </w:r>
      <w:r>
        <w:rPr>
          <w:spacing w:val="-5"/>
        </w:rPr>
        <w:t> </w:t>
      </w:r>
      <w:r>
        <w:rPr>
          <w:spacing w:val="-2"/>
        </w:rPr>
        <w:t>atmospheric</w:t>
      </w:r>
      <w:r>
        <w:rPr>
          <w:spacing w:val="-7"/>
        </w:rPr>
        <w:t> </w:t>
      </w:r>
      <w:r>
        <w:rPr>
          <w:spacing w:val="-2"/>
        </w:rPr>
        <w:t>or</w:t>
      </w:r>
      <w:r>
        <w:rPr>
          <w:spacing w:val="-5"/>
        </w:rPr>
        <w:t> </w:t>
      </w:r>
      <w:r>
        <w:rPr>
          <w:spacing w:val="-2"/>
        </w:rPr>
        <w:t>decorative</w:t>
      </w:r>
      <w:r>
        <w:rPr>
          <w:spacing w:val="-5"/>
        </w:rPr>
        <w:t> </w:t>
      </w:r>
      <w:r>
        <w:rPr>
          <w:spacing w:val="-2"/>
        </w:rPr>
        <w:t>functions—</w:t>
      </w:r>
      <w:r>
        <w:rPr/>
        <w:t>reinforced</w:t>
      </w:r>
      <w:r>
        <w:rPr>
          <w:spacing w:val="40"/>
        </w:rPr>
        <w:t> </w:t>
      </w:r>
      <w:r>
        <w:rPr/>
        <w:t>the</w:t>
      </w:r>
      <w:r>
        <w:rPr>
          <w:spacing w:val="40"/>
        </w:rPr>
        <w:t> </w:t>
      </w:r>
      <w:r>
        <w:rPr/>
        <w:t>sense</w:t>
      </w:r>
      <w:r>
        <w:rPr>
          <w:spacing w:val="40"/>
        </w:rPr>
        <w:t> </w:t>
      </w:r>
      <w:r>
        <w:rPr/>
        <w:t>that</w:t>
      </w:r>
      <w:r>
        <w:rPr>
          <w:spacing w:val="40"/>
        </w:rPr>
        <w:t> </w:t>
      </w:r>
      <w:r>
        <w:rPr/>
        <w:t>the</w:t>
      </w:r>
      <w:r>
        <w:rPr>
          <w:spacing w:val="40"/>
        </w:rPr>
        <w:t> </w:t>
      </w:r>
      <w:r>
        <w:rPr/>
        <w:t>women</w:t>
      </w:r>
      <w:r>
        <w:rPr>
          <w:spacing w:val="40"/>
        </w:rPr>
        <w:t> </w:t>
      </w:r>
      <w:r>
        <w:rPr/>
        <w:t>were</w:t>
      </w:r>
      <w:r>
        <w:rPr>
          <w:spacing w:val="40"/>
        </w:rPr>
        <w:t> </w:t>
      </w:r>
      <w:r>
        <w:rPr/>
        <w:t>adjuncts</w:t>
      </w:r>
      <w:r>
        <w:rPr>
          <w:spacing w:val="38"/>
        </w:rPr>
        <w:t> </w:t>
      </w:r>
      <w:r>
        <w:rPr/>
        <w:t>to</w:t>
      </w:r>
      <w:r>
        <w:rPr>
          <w:spacing w:val="40"/>
        </w:rPr>
        <w:t> </w:t>
      </w:r>
      <w:r>
        <w:rPr/>
        <w:t>male</w:t>
      </w:r>
      <w:r>
        <w:rPr>
          <w:spacing w:val="40"/>
        </w:rPr>
        <w:t> </w:t>
      </w:r>
      <w:r>
        <w:rPr/>
        <w:t>stories.</w:t>
      </w:r>
    </w:p>
    <w:p>
      <w:pPr>
        <w:pStyle w:val="BodyText"/>
        <w:spacing w:line="249" w:lineRule="auto" w:before="65"/>
        <w:ind w:right="1436" w:firstLine="432"/>
        <w:jc w:val="both"/>
      </w:pPr>
      <w:r>
        <w:rPr/>
        <w:t>The feminist theater movements of the twentieth century</w:t>
      </w:r>
      <w:r>
        <w:rPr>
          <w:spacing w:val="-3"/>
        </w:rPr>
        <w:t> </w:t>
      </w:r>
      <w:r>
        <w:rPr/>
        <w:t>began to change this. The rise of all-female and female-led Shakespeare companies—from Check by Jowl’s cross-gender productions to the work</w:t>
      </w:r>
      <w:r>
        <w:rPr>
          <w:spacing w:val="-7"/>
        </w:rPr>
        <w:t> </w:t>
      </w:r>
      <w:r>
        <w:rPr/>
        <w:t>of</w:t>
      </w:r>
      <w:r>
        <w:rPr>
          <w:spacing w:val="-7"/>
        </w:rPr>
        <w:t> </w:t>
      </w:r>
      <w:r>
        <w:rPr/>
        <w:t>the</w:t>
      </w:r>
      <w:r>
        <w:rPr>
          <w:spacing w:val="-5"/>
        </w:rPr>
        <w:t> </w:t>
      </w:r>
      <w:r>
        <w:rPr/>
        <w:t>Globe’s</w:t>
      </w:r>
      <w:r>
        <w:rPr>
          <w:spacing w:val="-7"/>
        </w:rPr>
        <w:t> </w:t>
      </w:r>
      <w:r>
        <w:rPr/>
        <w:t>Female</w:t>
      </w:r>
      <w:r>
        <w:rPr>
          <w:spacing w:val="-8"/>
        </w:rPr>
        <w:t> </w:t>
      </w:r>
      <w:r>
        <w:rPr/>
        <w:t>Ensemble—opened</w:t>
      </w:r>
      <w:r>
        <w:rPr>
          <w:spacing w:val="-6"/>
        </w:rPr>
        <w:t> </w:t>
      </w:r>
      <w:r>
        <w:rPr/>
        <w:t>up</w:t>
      </w:r>
      <w:r>
        <w:rPr>
          <w:spacing w:val="-6"/>
        </w:rPr>
        <w:t> </w:t>
      </w:r>
      <w:r>
        <w:rPr/>
        <w:t>new</w:t>
      </w:r>
      <w:r>
        <w:rPr>
          <w:spacing w:val="-9"/>
        </w:rPr>
        <w:t> </w:t>
      </w:r>
      <w:r>
        <w:rPr/>
        <w:t>possibilities</w:t>
      </w:r>
      <w:r>
        <w:rPr>
          <w:spacing w:val="-7"/>
        </w:rPr>
        <w:t> </w:t>
      </w:r>
      <w:r>
        <w:rPr/>
        <w:t>for reading</w:t>
      </w:r>
      <w:r>
        <w:rPr>
          <w:spacing w:val="-13"/>
        </w:rPr>
        <w:t> </w:t>
      </w:r>
      <w:r>
        <w:rPr/>
        <w:t>and</w:t>
      </w:r>
      <w:r>
        <w:rPr>
          <w:spacing w:val="-12"/>
        </w:rPr>
        <w:t> </w:t>
      </w:r>
      <w:r>
        <w:rPr/>
        <w:t>playing</w:t>
      </w:r>
      <w:r>
        <w:rPr>
          <w:spacing w:val="-13"/>
        </w:rPr>
        <w:t> </w:t>
      </w:r>
      <w:r>
        <w:rPr/>
        <w:t>these</w:t>
      </w:r>
      <w:r>
        <w:rPr>
          <w:spacing w:val="-12"/>
        </w:rPr>
        <w:t> </w:t>
      </w:r>
      <w:r>
        <w:rPr/>
        <w:t>characters.</w:t>
      </w:r>
      <w:r>
        <w:rPr>
          <w:spacing w:val="-13"/>
        </w:rPr>
        <w:t> </w:t>
      </w:r>
      <w:r>
        <w:rPr/>
        <w:t>When</w:t>
      </w:r>
      <w:r>
        <w:rPr>
          <w:spacing w:val="-12"/>
        </w:rPr>
        <w:t> </w:t>
      </w:r>
      <w:r>
        <w:rPr/>
        <w:t>Harriet</w:t>
      </w:r>
      <w:r>
        <w:rPr>
          <w:spacing w:val="-13"/>
        </w:rPr>
        <w:t> </w:t>
      </w:r>
      <w:r>
        <w:rPr/>
        <w:t>Walter</w:t>
      </w:r>
      <w:r>
        <w:rPr>
          <w:spacing w:val="-12"/>
        </w:rPr>
        <w:t> </w:t>
      </w:r>
      <w:r>
        <w:rPr/>
        <w:t>played</w:t>
      </w:r>
      <w:r>
        <w:rPr>
          <w:spacing w:val="-13"/>
        </w:rPr>
        <w:t> </w:t>
      </w:r>
      <w:r>
        <w:rPr/>
        <w:t>Brutus in the Donmar Warehouse’s Julius Caesar (2012) and subsequently Prospero</w:t>
      </w:r>
      <w:r>
        <w:rPr>
          <w:spacing w:val="-4"/>
        </w:rPr>
        <w:t> </w:t>
      </w:r>
      <w:r>
        <w:rPr/>
        <w:t>and</w:t>
      </w:r>
      <w:r>
        <w:rPr>
          <w:spacing w:val="-1"/>
        </w:rPr>
        <w:t> </w:t>
      </w:r>
      <w:r>
        <w:rPr/>
        <w:t>Henry</w:t>
      </w:r>
      <w:r>
        <w:rPr>
          <w:spacing w:val="-8"/>
        </w:rPr>
        <w:t> </w:t>
      </w:r>
      <w:r>
        <w:rPr/>
        <w:t>IV,</w:t>
      </w:r>
      <w:r>
        <w:rPr>
          <w:spacing w:val="-3"/>
        </w:rPr>
        <w:t> </w:t>
      </w:r>
      <w:r>
        <w:rPr/>
        <w:t>she</w:t>
      </w:r>
      <w:r>
        <w:rPr>
          <w:spacing w:val="-5"/>
        </w:rPr>
        <w:t> </w:t>
      </w:r>
      <w:r>
        <w:rPr/>
        <w:t>demonstrated</w:t>
      </w:r>
      <w:r>
        <w:rPr>
          <w:spacing w:val="-3"/>
        </w:rPr>
        <w:t> </w:t>
      </w:r>
      <w:r>
        <w:rPr/>
        <w:t>that</w:t>
      </w:r>
      <w:r>
        <w:rPr>
          <w:spacing w:val="-6"/>
        </w:rPr>
        <w:t> </w:t>
      </w:r>
      <w:r>
        <w:rPr/>
        <w:t>gender</w:t>
      </w:r>
      <w:r>
        <w:rPr>
          <w:spacing w:val="-3"/>
        </w:rPr>
        <w:t> </w:t>
      </w:r>
      <w:r>
        <w:rPr/>
        <w:t>is</w:t>
      </w:r>
      <w:r>
        <w:rPr>
          <w:spacing w:val="-4"/>
        </w:rPr>
        <w:t> </w:t>
      </w:r>
      <w:r>
        <w:rPr/>
        <w:t>not</w:t>
      </w:r>
      <w:r>
        <w:rPr>
          <w:spacing w:val="-4"/>
        </w:rPr>
        <w:t> </w:t>
      </w:r>
      <w:r>
        <w:rPr/>
        <w:t>an</w:t>
      </w:r>
      <w:r>
        <w:rPr>
          <w:spacing w:val="-6"/>
        </w:rPr>
        <w:t> </w:t>
      </w:r>
      <w:r>
        <w:rPr/>
        <w:t>essential attribute</w:t>
      </w:r>
      <w:r>
        <w:rPr>
          <w:spacing w:val="-5"/>
        </w:rPr>
        <w:t> </w:t>
      </w:r>
      <w:r>
        <w:rPr/>
        <w:t>of</w:t>
      </w:r>
      <w:r>
        <w:rPr>
          <w:spacing w:val="-8"/>
        </w:rPr>
        <w:t> </w:t>
      </w:r>
      <w:r>
        <w:rPr/>
        <w:t>dramatic</w:t>
      </w:r>
      <w:r>
        <w:rPr>
          <w:spacing w:val="-4"/>
        </w:rPr>
        <w:t> </w:t>
      </w:r>
      <w:r>
        <w:rPr/>
        <w:t>character</w:t>
      </w:r>
      <w:r>
        <w:rPr>
          <w:spacing w:val="-4"/>
        </w:rPr>
        <w:t> </w:t>
      </w:r>
      <w:r>
        <w:rPr/>
        <w:t>but</w:t>
      </w:r>
      <w:r>
        <w:rPr>
          <w:spacing w:val="-5"/>
        </w:rPr>
        <w:t> </w:t>
      </w:r>
      <w:r>
        <w:rPr/>
        <w:t>a</w:t>
      </w:r>
      <w:r>
        <w:rPr>
          <w:spacing w:val="-8"/>
        </w:rPr>
        <w:t> </w:t>
      </w:r>
      <w:r>
        <w:rPr/>
        <w:t>performative</w:t>
      </w:r>
      <w:r>
        <w:rPr>
          <w:spacing w:val="-5"/>
        </w:rPr>
        <w:t> </w:t>
      </w:r>
      <w:r>
        <w:rPr/>
        <w:t>one—a</w:t>
      </w:r>
      <w:r>
        <w:rPr>
          <w:spacing w:val="-4"/>
        </w:rPr>
        <w:t> </w:t>
      </w:r>
      <w:r>
        <w:rPr/>
        <w:t>demonstration with implications for how we understand the gender dynamics of the plays</w:t>
      </w:r>
      <w:r>
        <w:rPr>
          <w:spacing w:val="40"/>
        </w:rPr>
        <w:t> </w:t>
      </w:r>
      <w:r>
        <w:rPr/>
        <w:t>generally.</w:t>
      </w:r>
    </w:p>
    <w:p>
      <w:pPr>
        <w:pStyle w:val="BodyText"/>
        <w:spacing w:line="249" w:lineRule="auto" w:before="68"/>
        <w:ind w:right="1440" w:firstLine="432"/>
        <w:jc w:val="both"/>
      </w:pPr>
      <w:r>
        <w:rPr/>
        <w:t>Productions that have taken the feminist critique seriously have been able to reveal dimensions of these characters that conventional stagings suppress. A Lady Macbeth who plays the sleepwalking scene not</w:t>
      </w:r>
      <w:r>
        <w:rPr>
          <w:spacing w:val="-7"/>
        </w:rPr>
        <w:t> </w:t>
      </w:r>
      <w:r>
        <w:rPr/>
        <w:t>as</w:t>
      </w:r>
      <w:r>
        <w:rPr>
          <w:spacing w:val="-7"/>
        </w:rPr>
        <w:t> </w:t>
      </w:r>
      <w:r>
        <w:rPr/>
        <w:t>the</w:t>
      </w:r>
      <w:r>
        <w:rPr>
          <w:spacing w:val="-2"/>
        </w:rPr>
        <w:t> </w:t>
      </w:r>
      <w:r>
        <w:rPr/>
        <w:t>reassertion</w:t>
      </w:r>
      <w:r>
        <w:rPr>
          <w:spacing w:val="-7"/>
        </w:rPr>
        <w:t> </w:t>
      </w:r>
      <w:r>
        <w:rPr/>
        <w:t>of</w:t>
      </w:r>
      <w:r>
        <w:rPr>
          <w:spacing w:val="-7"/>
        </w:rPr>
        <w:t> </w:t>
      </w:r>
      <w:r>
        <w:rPr/>
        <w:t>suppressed</w:t>
      </w:r>
      <w:r>
        <w:rPr>
          <w:spacing w:val="-5"/>
        </w:rPr>
        <w:t> </w:t>
      </w:r>
      <w:r>
        <w:rPr/>
        <w:t>feminine</w:t>
      </w:r>
      <w:r>
        <w:rPr>
          <w:spacing w:val="-7"/>
        </w:rPr>
        <w:t> </w:t>
      </w:r>
      <w:r>
        <w:rPr/>
        <w:t>guilt</w:t>
      </w:r>
      <w:r>
        <w:rPr>
          <w:spacing w:val="-7"/>
        </w:rPr>
        <w:t> </w:t>
      </w:r>
      <w:r>
        <w:rPr/>
        <w:t>but</w:t>
      </w:r>
      <w:r>
        <w:rPr>
          <w:spacing w:val="-3"/>
        </w:rPr>
        <w:t> </w:t>
      </w:r>
      <w:r>
        <w:rPr/>
        <w:t>as</w:t>
      </w:r>
      <w:r>
        <w:rPr>
          <w:spacing w:val="-9"/>
        </w:rPr>
        <w:t> </w:t>
      </w:r>
      <w:r>
        <w:rPr/>
        <w:t>the</w:t>
      </w:r>
      <w:r>
        <w:rPr>
          <w:spacing w:val="-7"/>
        </w:rPr>
        <w:t> </w:t>
      </w:r>
      <w:r>
        <w:rPr/>
        <w:t>devastation of a woman who has paid the full price of navigating an impossible </w:t>
      </w:r>
      <w:r>
        <w:rPr>
          <w:spacing w:val="-4"/>
        </w:rPr>
        <w:t>double</w:t>
      </w:r>
      <w:r>
        <w:rPr>
          <w:spacing w:val="-9"/>
        </w:rPr>
        <w:t> </w:t>
      </w:r>
      <w:r>
        <w:rPr>
          <w:spacing w:val="-4"/>
        </w:rPr>
        <w:t>bind</w:t>
      </w:r>
      <w:r>
        <w:rPr>
          <w:spacing w:val="-8"/>
        </w:rPr>
        <w:t> </w:t>
      </w:r>
      <w:r>
        <w:rPr>
          <w:spacing w:val="-4"/>
        </w:rPr>
        <w:t>reads</w:t>
      </w:r>
      <w:r>
        <w:rPr>
          <w:spacing w:val="-8"/>
        </w:rPr>
        <w:t> </w:t>
      </w:r>
      <w:r>
        <w:rPr>
          <w:spacing w:val="-4"/>
        </w:rPr>
        <w:t>very</w:t>
      </w:r>
      <w:r>
        <w:rPr>
          <w:spacing w:val="-7"/>
        </w:rPr>
        <w:t> </w:t>
      </w:r>
      <w:r>
        <w:rPr>
          <w:spacing w:val="-4"/>
        </w:rPr>
        <w:t>differently.</w:t>
      </w:r>
      <w:r>
        <w:rPr>
          <w:spacing w:val="-9"/>
        </w:rPr>
        <w:t> </w:t>
      </w:r>
      <w:r>
        <w:rPr>
          <w:spacing w:val="-4"/>
        </w:rPr>
        <w:t>A</w:t>
      </w:r>
      <w:r>
        <w:rPr>
          <w:spacing w:val="-8"/>
        </w:rPr>
        <w:t> </w:t>
      </w:r>
      <w:r>
        <w:rPr>
          <w:spacing w:val="-4"/>
        </w:rPr>
        <w:t>Cleopatra whose</w:t>
      </w:r>
      <w:r>
        <w:rPr/>
        <w:t> </w:t>
      </w:r>
      <w:r>
        <w:rPr>
          <w:spacing w:val="-4"/>
        </w:rPr>
        <w:t>political</w:t>
      </w:r>
      <w:r>
        <w:rPr>
          <w:spacing w:val="-6"/>
        </w:rPr>
        <w:t> </w:t>
      </w:r>
      <w:r>
        <w:rPr>
          <w:spacing w:val="-4"/>
        </w:rPr>
        <w:t>intelligence </w:t>
      </w:r>
      <w:r>
        <w:rPr/>
        <w:t>is foregrounded—who is visibly managing Caesar as well as loving Antony—offers a far richer and more truthful account of the character than</w:t>
      </w:r>
      <w:r>
        <w:rPr>
          <w:spacing w:val="40"/>
        </w:rPr>
        <w:t> </w:t>
      </w:r>
      <w:r>
        <w:rPr/>
        <w:t>one</w:t>
      </w:r>
      <w:r>
        <w:rPr>
          <w:spacing w:val="40"/>
        </w:rPr>
        <w:t> </w:t>
      </w:r>
      <w:r>
        <w:rPr/>
        <w:t>reduced</w:t>
      </w:r>
      <w:r>
        <w:rPr>
          <w:spacing w:val="40"/>
        </w:rPr>
        <w:t> </w:t>
      </w:r>
      <w:r>
        <w:rPr/>
        <w:t>to</w:t>
      </w:r>
      <w:r>
        <w:rPr>
          <w:spacing w:val="40"/>
        </w:rPr>
        <w:t> </w:t>
      </w:r>
      <w:r>
        <w:rPr/>
        <w:t>erotic</w:t>
      </w:r>
      <w:r>
        <w:rPr>
          <w:spacing w:val="40"/>
        </w:rPr>
        <w:t> </w:t>
      </w:r>
      <w:r>
        <w:rPr/>
        <w:t>spectacle.</w:t>
      </w:r>
    </w:p>
    <w:p>
      <w:pPr>
        <w:pStyle w:val="BodyText"/>
        <w:spacing w:line="249" w:lineRule="auto" w:before="65"/>
        <w:ind w:right="1439" w:firstLine="432"/>
        <w:jc w:val="both"/>
      </w:pPr>
      <w:r>
        <w:rPr/>
        <w:t>Ayanna Thompson’s work on race in Shakespearean performance is crucial for understanding how Tamora and Cleopatra have been staged.</w:t>
      </w:r>
      <w:r>
        <w:rPr>
          <w:spacing w:val="7"/>
        </w:rPr>
        <w:t> </w:t>
      </w:r>
      <w:r>
        <w:rPr/>
        <w:t>Thompson</w:t>
      </w:r>
      <w:r>
        <w:rPr>
          <w:spacing w:val="8"/>
        </w:rPr>
        <w:t> </w:t>
      </w:r>
      <w:r>
        <w:rPr/>
        <w:t>shows</w:t>
      </w:r>
      <w:r>
        <w:rPr>
          <w:spacing w:val="6"/>
        </w:rPr>
        <w:t> </w:t>
      </w:r>
      <w:r>
        <w:rPr/>
        <w:t>that</w:t>
      </w:r>
      <w:r>
        <w:rPr>
          <w:spacing w:val="8"/>
        </w:rPr>
        <w:t> </w:t>
      </w:r>
      <w:r>
        <w:rPr/>
        <w:t>the</w:t>
      </w:r>
      <w:r>
        <w:rPr>
          <w:spacing w:val="6"/>
        </w:rPr>
        <w:t> </w:t>
      </w:r>
      <w:r>
        <w:rPr/>
        <w:t>casting</w:t>
      </w:r>
      <w:r>
        <w:rPr>
          <w:spacing w:val="7"/>
        </w:rPr>
        <w:t> </w:t>
      </w:r>
      <w:r>
        <w:rPr/>
        <w:t>of</w:t>
      </w:r>
      <w:r>
        <w:rPr>
          <w:spacing w:val="6"/>
        </w:rPr>
        <w:t> </w:t>
      </w:r>
      <w:r>
        <w:rPr/>
        <w:t>these</w:t>
      </w:r>
      <w:r>
        <w:rPr>
          <w:spacing w:val="8"/>
        </w:rPr>
        <w:t> </w:t>
      </w:r>
      <w:r>
        <w:rPr/>
        <w:t>roles</w:t>
      </w:r>
      <w:r>
        <w:rPr>
          <w:spacing w:val="6"/>
        </w:rPr>
        <w:t> </w:t>
      </w:r>
      <w:r>
        <w:rPr/>
        <w:t>has</w:t>
      </w:r>
      <w:r>
        <w:rPr>
          <w:spacing w:val="8"/>
        </w:rPr>
        <w:t> </w:t>
      </w:r>
      <w:r>
        <w:rPr>
          <w:spacing w:val="-2"/>
        </w:rPr>
        <w:t>historically</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51680">
                <wp:simplePos x="0" y="0"/>
                <wp:positionH relativeFrom="page">
                  <wp:posOffset>2065020</wp:posOffset>
                </wp:positionH>
                <wp:positionV relativeFrom="paragraph">
                  <wp:posOffset>795020</wp:posOffset>
                </wp:positionV>
                <wp:extent cx="3657600" cy="12700"/>
                <wp:effectExtent l="0" t="0" r="0" b="0"/>
                <wp:wrapTopAndBottom/>
                <wp:docPr id="473" name="Graphic 473"/>
                <wp:cNvGraphicFramePr>
                  <a:graphicFrameLocks/>
                </wp:cNvGraphicFramePr>
                <a:graphic>
                  <a:graphicData uri="http://schemas.microsoft.com/office/word/2010/wordprocessingShape">
                    <wps:wsp>
                      <wps:cNvPr id="473" name="Graphic 47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64800;mso-wrap-distance-left:0;mso-wrap-distance-right:0" id="docshape468" filled="true" fillcolor="#000000" stroked="false">
                <v:fill type="solid"/>
                <w10:wrap type="topAndBottom"/>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211</w:t>
      </w:r>
    </w:p>
    <w:p>
      <w:pPr>
        <w:pStyle w:val="BodyText"/>
        <w:spacing w:line="249" w:lineRule="auto" w:before="192"/>
        <w:ind w:right="1440"/>
        <w:jc w:val="both"/>
      </w:pPr>
      <w:r>
        <w:rPr/>
        <w:t>been shaped by racial ideologies that are themselves products of the same imperial culture that shaped the plays’ original constructions of </w:t>
      </w:r>
      <w:r>
        <w:rPr>
          <w:spacing w:val="-4"/>
        </w:rPr>
        <w:t>the</w:t>
      </w:r>
      <w:r>
        <w:rPr>
          <w:spacing w:val="-5"/>
        </w:rPr>
        <w:t> </w:t>
      </w:r>
      <w:r>
        <w:rPr>
          <w:spacing w:val="-4"/>
        </w:rPr>
        <w:t>racialized</w:t>
      </w:r>
      <w:r>
        <w:rPr/>
        <w:t> </w:t>
      </w:r>
      <w:r>
        <w:rPr>
          <w:spacing w:val="-4"/>
        </w:rPr>
        <w:t>Other (Thompson 89).</w:t>
      </w:r>
      <w:r>
        <w:rPr>
          <w:spacing w:val="-9"/>
        </w:rPr>
        <w:t> </w:t>
      </w:r>
      <w:r>
        <w:rPr>
          <w:spacing w:val="-4"/>
        </w:rPr>
        <w:t>A</w:t>
      </w:r>
      <w:r>
        <w:rPr>
          <w:spacing w:val="-8"/>
        </w:rPr>
        <w:t> </w:t>
      </w:r>
      <w:r>
        <w:rPr>
          <w:spacing w:val="-4"/>
        </w:rPr>
        <w:t>white actress performing Cleopatra </w:t>
      </w:r>
      <w:r>
        <w:rPr/>
        <w:t>in brownface, as was common for much of the stage history, enforces the Orientalism that a feminist and postcolonial reading seeks to resist. The recent history</w:t>
      </w:r>
      <w:r>
        <w:rPr>
          <w:spacing w:val="-1"/>
        </w:rPr>
        <w:t> </w:t>
      </w:r>
      <w:r>
        <w:rPr/>
        <w:t>of</w:t>
      </w:r>
      <w:r>
        <w:rPr>
          <w:spacing w:val="-1"/>
        </w:rPr>
        <w:t> </w:t>
      </w:r>
      <w:r>
        <w:rPr/>
        <w:t>non-traditional casting—casting</w:t>
      </w:r>
      <w:r>
        <w:rPr>
          <w:spacing w:val="-1"/>
        </w:rPr>
        <w:t> </w:t>
      </w:r>
      <w:r>
        <w:rPr/>
        <w:t>actors of</w:t>
      </w:r>
      <w:r>
        <w:rPr>
          <w:spacing w:val="-1"/>
        </w:rPr>
        <w:t> </w:t>
      </w:r>
      <w:r>
        <w:rPr/>
        <w:t>color in these</w:t>
      </w:r>
      <w:r>
        <w:rPr>
          <w:spacing w:val="-13"/>
        </w:rPr>
        <w:t> </w:t>
      </w:r>
      <w:r>
        <w:rPr/>
        <w:t>roles</w:t>
      </w:r>
      <w:r>
        <w:rPr>
          <w:spacing w:val="-12"/>
        </w:rPr>
        <w:t> </w:t>
      </w:r>
      <w:r>
        <w:rPr/>
        <w:t>without</w:t>
      </w:r>
      <w:r>
        <w:rPr>
          <w:spacing w:val="-13"/>
        </w:rPr>
        <w:t> </w:t>
      </w:r>
      <w:r>
        <w:rPr/>
        <w:t>making</w:t>
      </w:r>
      <w:r>
        <w:rPr>
          <w:spacing w:val="-12"/>
        </w:rPr>
        <w:t> </w:t>
      </w:r>
      <w:r>
        <w:rPr/>
        <w:t>race</w:t>
      </w:r>
      <w:r>
        <w:rPr>
          <w:spacing w:val="-13"/>
        </w:rPr>
        <w:t> </w:t>
      </w:r>
      <w:r>
        <w:rPr/>
        <w:t>the</w:t>
      </w:r>
      <w:r>
        <w:rPr>
          <w:spacing w:val="-12"/>
        </w:rPr>
        <w:t> </w:t>
      </w:r>
      <w:r>
        <w:rPr/>
        <w:t>entire</w:t>
      </w:r>
      <w:r>
        <w:rPr>
          <w:spacing w:val="-13"/>
        </w:rPr>
        <w:t> </w:t>
      </w:r>
      <w:r>
        <w:rPr/>
        <w:t>point</w:t>
      </w:r>
      <w:r>
        <w:rPr>
          <w:spacing w:val="-11"/>
        </w:rPr>
        <w:t> </w:t>
      </w:r>
      <w:r>
        <w:rPr/>
        <w:t>of</w:t>
      </w:r>
      <w:r>
        <w:rPr>
          <w:spacing w:val="-13"/>
        </w:rPr>
        <w:t> </w:t>
      </w:r>
      <w:r>
        <w:rPr/>
        <w:t>the</w:t>
      </w:r>
      <w:r>
        <w:rPr>
          <w:spacing w:val="-11"/>
        </w:rPr>
        <w:t> </w:t>
      </w:r>
      <w:r>
        <w:rPr/>
        <w:t>characterization—represents a more complex and politically productive engagement with the</w:t>
      </w:r>
      <w:r>
        <w:rPr>
          <w:spacing w:val="40"/>
        </w:rPr>
        <w:t> </w:t>
      </w:r>
      <w:r>
        <w:rPr/>
        <w:t>intersection</w:t>
      </w:r>
      <w:r>
        <w:rPr>
          <w:spacing w:val="40"/>
        </w:rPr>
        <w:t> </w:t>
      </w:r>
      <w:r>
        <w:rPr/>
        <w:t>of</w:t>
      </w:r>
      <w:r>
        <w:rPr>
          <w:spacing w:val="40"/>
        </w:rPr>
        <w:t> </w:t>
      </w:r>
      <w:r>
        <w:rPr/>
        <w:t>race</w:t>
      </w:r>
      <w:r>
        <w:rPr>
          <w:spacing w:val="40"/>
        </w:rPr>
        <w:t> </w:t>
      </w:r>
      <w:r>
        <w:rPr/>
        <w:t>and</w:t>
      </w:r>
      <w:r>
        <w:rPr>
          <w:spacing w:val="40"/>
        </w:rPr>
        <w:t> </w:t>
      </w:r>
      <w:r>
        <w:rPr/>
        <w:t>gender</w:t>
      </w:r>
      <w:r>
        <w:rPr>
          <w:spacing w:val="40"/>
        </w:rPr>
        <w:t> </w:t>
      </w:r>
      <w:r>
        <w:rPr/>
        <w:t>in</w:t>
      </w:r>
      <w:r>
        <w:rPr>
          <w:spacing w:val="40"/>
        </w:rPr>
        <w:t> </w:t>
      </w:r>
      <w:r>
        <w:rPr/>
        <w:t>the</w:t>
      </w:r>
      <w:r>
        <w:rPr>
          <w:spacing w:val="40"/>
        </w:rPr>
        <w:t> </w:t>
      </w:r>
      <w:r>
        <w:rPr/>
        <w:t>plays.</w:t>
      </w:r>
    </w:p>
    <w:p>
      <w:pPr>
        <w:pStyle w:val="Heading3"/>
        <w:numPr>
          <w:ilvl w:val="0"/>
          <w:numId w:val="39"/>
        </w:numPr>
        <w:tabs>
          <w:tab w:pos="1832" w:val="left" w:leader="none"/>
        </w:tabs>
        <w:spacing w:line="240" w:lineRule="auto" w:before="161" w:after="0"/>
        <w:ind w:left="1832" w:right="0" w:hanging="392"/>
        <w:jc w:val="left"/>
      </w:pPr>
      <w:r>
        <w:rPr>
          <w:w w:val="90"/>
        </w:rPr>
        <w:t>CONCLUSIONS:</w:t>
      </w:r>
      <w:r>
        <w:rPr>
          <w:spacing w:val="5"/>
        </w:rPr>
        <w:t> </w:t>
      </w:r>
      <w:r>
        <w:rPr>
          <w:w w:val="90"/>
        </w:rPr>
        <w:t>THE</w:t>
      </w:r>
      <w:r>
        <w:rPr>
          <w:spacing w:val="4"/>
        </w:rPr>
        <w:t> </w:t>
      </w:r>
      <w:r>
        <w:rPr>
          <w:w w:val="90"/>
        </w:rPr>
        <w:t>STAKES</w:t>
      </w:r>
      <w:r>
        <w:rPr>
          <w:spacing w:val="8"/>
        </w:rPr>
        <w:t> </w:t>
      </w:r>
      <w:r>
        <w:rPr>
          <w:w w:val="90"/>
        </w:rPr>
        <w:t>OF</w:t>
      </w:r>
      <w:r>
        <w:rPr>
          <w:spacing w:val="6"/>
        </w:rPr>
        <w:t> </w:t>
      </w:r>
      <w:r>
        <w:rPr>
          <w:spacing w:val="-2"/>
          <w:w w:val="90"/>
        </w:rPr>
        <w:t>REVISITATION</w:t>
      </w:r>
    </w:p>
    <w:p>
      <w:pPr>
        <w:pStyle w:val="BodyText"/>
        <w:spacing w:line="249" w:lineRule="auto" w:before="75"/>
        <w:ind w:right="1437" w:firstLine="432"/>
        <w:jc w:val="both"/>
      </w:pPr>
      <w:r>
        <w:rPr/>
        <w:t>This paper has argued that Shakespeare’s “bad women”—Lady Macbeth, Goneril and Regan, Tamora, Cleopatra, Volumnia, and the </w:t>
      </w:r>
      <w:r>
        <w:rPr>
          <w:spacing w:val="-2"/>
        </w:rPr>
        <w:t>broader</w:t>
      </w:r>
      <w:r>
        <w:rPr>
          <w:spacing w:val="-3"/>
        </w:rPr>
        <w:t> </w:t>
      </w:r>
      <w:r>
        <w:rPr>
          <w:spacing w:val="-2"/>
        </w:rPr>
        <w:t>category</w:t>
      </w:r>
      <w:r>
        <w:rPr>
          <w:spacing w:val="-10"/>
        </w:rPr>
        <w:t> </w:t>
      </w:r>
      <w:r>
        <w:rPr>
          <w:spacing w:val="-2"/>
        </w:rPr>
        <w:t>they</w:t>
      </w:r>
      <w:r>
        <w:rPr>
          <w:spacing w:val="-8"/>
        </w:rPr>
        <w:t> </w:t>
      </w:r>
      <w:r>
        <w:rPr>
          <w:spacing w:val="-2"/>
        </w:rPr>
        <w:t>represent—are</w:t>
      </w:r>
      <w:r>
        <w:rPr>
          <w:spacing w:val="-6"/>
        </w:rPr>
        <w:t> </w:t>
      </w:r>
      <w:r>
        <w:rPr>
          <w:spacing w:val="-2"/>
        </w:rPr>
        <w:t>not</w:t>
      </w:r>
      <w:r>
        <w:rPr>
          <w:spacing w:val="-6"/>
        </w:rPr>
        <w:t> </w:t>
      </w:r>
      <w:r>
        <w:rPr>
          <w:spacing w:val="-2"/>
        </w:rPr>
        <w:t>bad</w:t>
      </w:r>
      <w:r>
        <w:rPr>
          <w:spacing w:val="-3"/>
        </w:rPr>
        <w:t> </w:t>
      </w:r>
      <w:r>
        <w:rPr>
          <w:spacing w:val="-2"/>
        </w:rPr>
        <w:t>in</w:t>
      </w:r>
      <w:r>
        <w:rPr>
          <w:spacing w:val="-6"/>
        </w:rPr>
        <w:t> </w:t>
      </w:r>
      <w:r>
        <w:rPr>
          <w:spacing w:val="-2"/>
        </w:rPr>
        <w:t>any</w:t>
      </w:r>
      <w:r>
        <w:rPr>
          <w:spacing w:val="-8"/>
        </w:rPr>
        <w:t> </w:t>
      </w:r>
      <w:r>
        <w:rPr>
          <w:spacing w:val="-2"/>
        </w:rPr>
        <w:t>simple</w:t>
      </w:r>
      <w:r>
        <w:rPr>
          <w:spacing w:val="-3"/>
        </w:rPr>
        <w:t> </w:t>
      </w:r>
      <w:r>
        <w:rPr>
          <w:spacing w:val="-2"/>
        </w:rPr>
        <w:t>or</w:t>
      </w:r>
      <w:r>
        <w:rPr>
          <w:spacing w:val="-3"/>
        </w:rPr>
        <w:t> </w:t>
      </w:r>
      <w:r>
        <w:rPr>
          <w:spacing w:val="-2"/>
        </w:rPr>
        <w:t>transparent </w:t>
      </w:r>
      <w:r>
        <w:rPr/>
        <w:t>sense. Their badness is a construct: a product of patriarchal ideology working through</w:t>
      </w:r>
      <w:r>
        <w:rPr>
          <w:spacing w:val="-2"/>
        </w:rPr>
        <w:t> </w:t>
      </w:r>
      <w:r>
        <w:rPr/>
        <w:t>interpretive traditions that have consistently evaluated female transgression according to standards not applied to male characters,</w:t>
      </w:r>
      <w:r>
        <w:rPr>
          <w:spacing w:val="-6"/>
        </w:rPr>
        <w:t> </w:t>
      </w:r>
      <w:r>
        <w:rPr/>
        <w:t>in</w:t>
      </w:r>
      <w:r>
        <w:rPr>
          <w:spacing w:val="-5"/>
        </w:rPr>
        <w:t> </w:t>
      </w:r>
      <w:r>
        <w:rPr/>
        <w:t>service</w:t>
      </w:r>
      <w:r>
        <w:rPr>
          <w:spacing w:val="-5"/>
        </w:rPr>
        <w:t> </w:t>
      </w:r>
      <w:r>
        <w:rPr/>
        <w:t>of</w:t>
      </w:r>
      <w:r>
        <w:rPr>
          <w:spacing w:val="-5"/>
        </w:rPr>
        <w:t> </w:t>
      </w:r>
      <w:r>
        <w:rPr/>
        <w:t>a</w:t>
      </w:r>
      <w:r>
        <w:rPr>
          <w:spacing w:val="-6"/>
        </w:rPr>
        <w:t> </w:t>
      </w:r>
      <w:r>
        <w:rPr/>
        <w:t>symbolic</w:t>
      </w:r>
      <w:r>
        <w:rPr>
          <w:spacing w:val="-5"/>
        </w:rPr>
        <w:t> </w:t>
      </w:r>
      <w:r>
        <w:rPr/>
        <w:t>order</w:t>
      </w:r>
      <w:r>
        <w:rPr>
          <w:spacing w:val="-3"/>
        </w:rPr>
        <w:t> </w:t>
      </w:r>
      <w:r>
        <w:rPr/>
        <w:t>that</w:t>
      </w:r>
      <w:r>
        <w:rPr>
          <w:spacing w:val="-6"/>
        </w:rPr>
        <w:t> </w:t>
      </w:r>
      <w:r>
        <w:rPr/>
        <w:t>requires</w:t>
      </w:r>
      <w:r>
        <w:rPr>
          <w:spacing w:val="-5"/>
        </w:rPr>
        <w:t> </w:t>
      </w:r>
      <w:r>
        <w:rPr/>
        <w:t>the</w:t>
      </w:r>
      <w:r>
        <w:rPr>
          <w:spacing w:val="-5"/>
        </w:rPr>
        <w:t> </w:t>
      </w:r>
      <w:r>
        <w:rPr/>
        <w:t>demonization of</w:t>
      </w:r>
      <w:r>
        <w:rPr>
          <w:spacing w:val="40"/>
        </w:rPr>
        <w:t> </w:t>
      </w:r>
      <w:r>
        <w:rPr/>
        <w:t>female</w:t>
      </w:r>
      <w:r>
        <w:rPr>
          <w:spacing w:val="40"/>
        </w:rPr>
        <w:t> </w:t>
      </w:r>
      <w:r>
        <w:rPr/>
        <w:t>agency to</w:t>
      </w:r>
      <w:r>
        <w:rPr>
          <w:spacing w:val="40"/>
        </w:rPr>
        <w:t> </w:t>
      </w:r>
      <w:r>
        <w:rPr/>
        <w:t>sustain</w:t>
      </w:r>
      <w:r>
        <w:rPr>
          <w:spacing w:val="40"/>
        </w:rPr>
        <w:t> </w:t>
      </w:r>
      <w:r>
        <w:rPr/>
        <w:t>itself.</w:t>
      </w:r>
    </w:p>
    <w:p>
      <w:pPr>
        <w:pStyle w:val="BodyText"/>
        <w:spacing w:line="249" w:lineRule="auto" w:before="65"/>
        <w:ind w:right="1441" w:firstLine="432"/>
        <w:jc w:val="both"/>
      </w:pPr>
      <w:r>
        <w:rPr/>
        <w:t>The feminist revisitation of these figures does not require that we make them good, or innocent, or heroic. Lady Macbeth is complicit in murder. Goneril and Regan are cruel. Tamora’s revenge is devastating. The point is not to reverse the moral valence but to understand the moral</w:t>
      </w:r>
      <w:r>
        <w:rPr>
          <w:spacing w:val="-13"/>
        </w:rPr>
        <w:t> </w:t>
      </w:r>
      <w:r>
        <w:rPr/>
        <w:t>framework—to</w:t>
      </w:r>
      <w:r>
        <w:rPr>
          <w:spacing w:val="-12"/>
        </w:rPr>
        <w:t> </w:t>
      </w:r>
      <w:r>
        <w:rPr/>
        <w:t>ask</w:t>
      </w:r>
      <w:r>
        <w:rPr>
          <w:spacing w:val="-13"/>
        </w:rPr>
        <w:t> </w:t>
      </w:r>
      <w:r>
        <w:rPr/>
        <w:t>why</w:t>
      </w:r>
      <w:r>
        <w:rPr>
          <w:spacing w:val="-12"/>
        </w:rPr>
        <w:t> </w:t>
      </w:r>
      <w:r>
        <w:rPr/>
        <w:t>female</w:t>
      </w:r>
      <w:r>
        <w:rPr>
          <w:spacing w:val="-13"/>
        </w:rPr>
        <w:t> </w:t>
      </w:r>
      <w:r>
        <w:rPr/>
        <w:t>ambition,</w:t>
      </w:r>
      <w:r>
        <w:rPr>
          <w:spacing w:val="-12"/>
        </w:rPr>
        <w:t> </w:t>
      </w:r>
      <w:r>
        <w:rPr/>
        <w:t>desire,</w:t>
      </w:r>
      <w:r>
        <w:rPr>
          <w:spacing w:val="-13"/>
        </w:rPr>
        <w:t> </w:t>
      </w:r>
      <w:r>
        <w:rPr/>
        <w:t>and</w:t>
      </w:r>
      <w:r>
        <w:rPr>
          <w:spacing w:val="-12"/>
        </w:rPr>
        <w:t> </w:t>
      </w:r>
      <w:r>
        <w:rPr/>
        <w:t>power</w:t>
      </w:r>
      <w:r>
        <w:rPr>
          <w:spacing w:val="-13"/>
        </w:rPr>
        <w:t> </w:t>
      </w:r>
      <w:r>
        <w:rPr/>
        <w:t>are</w:t>
      </w:r>
      <w:r>
        <w:rPr>
          <w:spacing w:val="-12"/>
        </w:rPr>
        <w:t> </w:t>
      </w:r>
      <w:r>
        <w:rPr/>
        <w:t>so reliably figured as monstrous, and what that tells us about the culture that</w:t>
      </w:r>
      <w:r>
        <w:rPr>
          <w:spacing w:val="40"/>
        </w:rPr>
        <w:t> </w:t>
      </w:r>
      <w:r>
        <w:rPr/>
        <w:t>produces</w:t>
      </w:r>
      <w:r>
        <w:rPr>
          <w:spacing w:val="40"/>
        </w:rPr>
        <w:t> </w:t>
      </w:r>
      <w:r>
        <w:rPr/>
        <w:t>and</w:t>
      </w:r>
      <w:r>
        <w:rPr>
          <w:spacing w:val="40"/>
        </w:rPr>
        <w:t> </w:t>
      </w:r>
      <w:r>
        <w:rPr/>
        <w:t>perpetuates</w:t>
      </w:r>
      <w:r>
        <w:rPr>
          <w:spacing w:val="40"/>
        </w:rPr>
        <w:t> </w:t>
      </w:r>
      <w:r>
        <w:rPr/>
        <w:t>such</w:t>
      </w:r>
      <w:r>
        <w:rPr>
          <w:spacing w:val="40"/>
        </w:rPr>
        <w:t> </w:t>
      </w:r>
      <w:r>
        <w:rPr/>
        <w:t>figuring.</w:t>
      </w:r>
    </w:p>
    <w:p>
      <w:pPr>
        <w:pStyle w:val="BodyText"/>
        <w:spacing w:line="249" w:lineRule="auto" w:before="65"/>
        <w:ind w:right="1437" w:firstLine="432"/>
        <w:jc w:val="both"/>
      </w:pPr>
      <w:r>
        <w:rPr/>
        <w:t>The answer, this paper has argued, is that the demonization of these women performs crucial ideological work. It naturalizes the structures of power that confine women by representing resistance to those structures as self-evidently corrupt. It displaces the violence of patriarchy—the violence that constrains, silences, and punishes women—onto the figures who transgress against it. And it recruits the audience’s emotional identification—with Lear against his daughters, with Rome against Cleopatra, with the restored order against Lady Macbeth—in</w:t>
      </w:r>
      <w:r>
        <w:rPr>
          <w:spacing w:val="7"/>
        </w:rPr>
        <w:t> </w:t>
      </w:r>
      <w:r>
        <w:rPr/>
        <w:t>the</w:t>
      </w:r>
      <w:r>
        <w:rPr>
          <w:spacing w:val="6"/>
        </w:rPr>
        <w:t> </w:t>
      </w:r>
      <w:r>
        <w:rPr/>
        <w:t>service</w:t>
      </w:r>
      <w:r>
        <w:rPr>
          <w:spacing w:val="9"/>
        </w:rPr>
        <w:t> </w:t>
      </w:r>
      <w:r>
        <w:rPr/>
        <w:t>of</w:t>
      </w:r>
      <w:r>
        <w:rPr>
          <w:spacing w:val="6"/>
        </w:rPr>
        <w:t> </w:t>
      </w:r>
      <w:r>
        <w:rPr/>
        <w:t>a</w:t>
      </w:r>
      <w:r>
        <w:rPr>
          <w:spacing w:val="10"/>
        </w:rPr>
        <w:t> </w:t>
      </w:r>
      <w:r>
        <w:rPr/>
        <w:t>symbolic</w:t>
      </w:r>
      <w:r>
        <w:rPr>
          <w:spacing w:val="5"/>
        </w:rPr>
        <w:t> </w:t>
      </w:r>
      <w:r>
        <w:rPr/>
        <w:t>restoration</w:t>
      </w:r>
      <w:r>
        <w:rPr>
          <w:spacing w:val="8"/>
        </w:rPr>
        <w:t> </w:t>
      </w:r>
      <w:r>
        <w:rPr/>
        <w:t>of</w:t>
      </w:r>
      <w:r>
        <w:rPr>
          <w:spacing w:val="6"/>
        </w:rPr>
        <w:t> </w:t>
      </w:r>
      <w:r>
        <w:rPr/>
        <w:t>gender</w:t>
      </w:r>
      <w:r>
        <w:rPr>
          <w:spacing w:val="9"/>
        </w:rPr>
        <w:t> </w:t>
      </w:r>
      <w:r>
        <w:rPr>
          <w:spacing w:val="-2"/>
        </w:rPr>
        <w:t>hierarchy.</w:t>
      </w:r>
    </w:p>
    <w:p>
      <w:pPr>
        <w:pStyle w:val="BodyText"/>
        <w:spacing w:line="249" w:lineRule="auto" w:before="65"/>
        <w:ind w:right="1440" w:firstLine="432"/>
        <w:jc w:val="both"/>
      </w:pPr>
      <w:r>
        <w:rPr/>
        <w:t>Reclaiming these figures, therefore, is not merely an academic exercise. It is a cultural and political intervention.</w:t>
      </w:r>
      <w:r>
        <w:rPr>
          <w:spacing w:val="-6"/>
        </w:rPr>
        <w:t> </w:t>
      </w:r>
      <w:r>
        <w:rPr/>
        <w:t>As long as ambitious women are routinely described as “Lady Macbeths” and demanding women</w:t>
      </w:r>
      <w:r>
        <w:rPr>
          <w:spacing w:val="17"/>
        </w:rPr>
        <w:t> </w:t>
      </w:r>
      <w:r>
        <w:rPr/>
        <w:t>as</w:t>
      </w:r>
      <w:r>
        <w:rPr>
          <w:spacing w:val="13"/>
        </w:rPr>
        <w:t> </w:t>
      </w:r>
      <w:r>
        <w:rPr/>
        <w:t>“Gonerils,”</w:t>
      </w:r>
      <w:r>
        <w:rPr>
          <w:spacing w:val="18"/>
        </w:rPr>
        <w:t> </w:t>
      </w:r>
      <w:r>
        <w:rPr/>
        <w:t>the</w:t>
      </w:r>
      <w:r>
        <w:rPr>
          <w:spacing w:val="16"/>
        </w:rPr>
        <w:t> </w:t>
      </w:r>
      <w:r>
        <w:rPr/>
        <w:t>archetypes</w:t>
      </w:r>
      <w:r>
        <w:rPr>
          <w:spacing w:val="17"/>
        </w:rPr>
        <w:t> </w:t>
      </w:r>
      <w:r>
        <w:rPr/>
        <w:t>that</w:t>
      </w:r>
      <w:r>
        <w:rPr>
          <w:spacing w:val="17"/>
        </w:rPr>
        <w:t> </w:t>
      </w:r>
      <w:r>
        <w:rPr/>
        <w:t>Shakespeare</w:t>
      </w:r>
      <w:r>
        <w:rPr>
          <w:spacing w:val="16"/>
        </w:rPr>
        <w:t> </w:t>
      </w:r>
      <w:r>
        <w:rPr/>
        <w:t>is</w:t>
      </w:r>
      <w:r>
        <w:rPr>
          <w:spacing w:val="17"/>
        </w:rPr>
        <w:t> </w:t>
      </w:r>
      <w:r>
        <w:rPr/>
        <w:t>said</w:t>
      </w:r>
      <w:r>
        <w:rPr>
          <w:spacing w:val="17"/>
        </w:rPr>
        <w:t> </w:t>
      </w:r>
      <w:r>
        <w:rPr/>
        <w:t>to</w:t>
      </w:r>
      <w:r>
        <w:rPr>
          <w:spacing w:val="19"/>
        </w:rPr>
        <w:t> </w:t>
      </w:r>
      <w:r>
        <w:rPr>
          <w:spacing w:val="-4"/>
        </w:rPr>
        <w:t>have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52192">
                <wp:simplePos x="0" y="0"/>
                <wp:positionH relativeFrom="page">
                  <wp:posOffset>2057400</wp:posOffset>
                </wp:positionH>
                <wp:positionV relativeFrom="paragraph">
                  <wp:posOffset>162604</wp:posOffset>
                </wp:positionV>
                <wp:extent cx="3657600" cy="12700"/>
                <wp:effectExtent l="0" t="0" r="0" b="0"/>
                <wp:wrapTopAndBottom/>
                <wp:docPr id="474" name="Graphic 474"/>
                <wp:cNvGraphicFramePr>
                  <a:graphicFrameLocks/>
                </wp:cNvGraphicFramePr>
                <a:graphic>
                  <a:graphicData uri="http://schemas.microsoft.com/office/word/2010/wordprocessingShape">
                    <wps:wsp>
                      <wps:cNvPr id="474" name="Graphic 47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64288;mso-wrap-distance-left:0;mso-wrap-distance-right:0" id="docshape469" filled="true" fillcolor="#000000" stroked="false">
                <v:fill type="solid"/>
                <w10:wrap type="topAndBottom"/>
              </v:rect>
            </w:pict>
          </mc:Fallback>
        </mc:AlternateContent>
      </w:r>
      <w:r>
        <w:rPr>
          <w:rFonts w:ascii="Verdana"/>
          <w:spacing w:val="-5"/>
          <w:sz w:val="18"/>
        </w:rPr>
        <w:t>212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bequeathed</w:t>
      </w:r>
      <w:r>
        <w:rPr>
          <w:spacing w:val="-1"/>
        </w:rPr>
        <w:t> </w:t>
      </w:r>
      <w:r>
        <w:rPr/>
        <w:t>us</w:t>
      </w:r>
      <w:r>
        <w:rPr>
          <w:spacing w:val="-3"/>
        </w:rPr>
        <w:t> </w:t>
      </w:r>
      <w:r>
        <w:rPr/>
        <w:t>retain</w:t>
      </w:r>
      <w:r>
        <w:rPr>
          <w:spacing w:val="-1"/>
        </w:rPr>
        <w:t> </w:t>
      </w:r>
      <w:r>
        <w:rPr/>
        <w:t>their</w:t>
      </w:r>
      <w:r>
        <w:rPr>
          <w:spacing w:val="-1"/>
        </w:rPr>
        <w:t> </w:t>
      </w:r>
      <w:r>
        <w:rPr/>
        <w:t>ideological</w:t>
      </w:r>
      <w:r>
        <w:rPr>
          <w:spacing w:val="-2"/>
        </w:rPr>
        <w:t> </w:t>
      </w:r>
      <w:r>
        <w:rPr/>
        <w:t>force.</w:t>
      </w:r>
      <w:r>
        <w:rPr>
          <w:spacing w:val="-1"/>
        </w:rPr>
        <w:t> </w:t>
      </w:r>
      <w:r>
        <w:rPr/>
        <w:t>Feminist criticism</w:t>
      </w:r>
      <w:r>
        <w:rPr>
          <w:spacing w:val="-5"/>
        </w:rPr>
        <w:t> </w:t>
      </w:r>
      <w:r>
        <w:rPr/>
        <w:t>does</w:t>
      </w:r>
      <w:r>
        <w:rPr>
          <w:spacing w:val="-3"/>
        </w:rPr>
        <w:t> </w:t>
      </w:r>
      <w:r>
        <w:rPr/>
        <w:t>not displace</w:t>
      </w:r>
      <w:r>
        <w:rPr>
          <w:spacing w:val="-3"/>
        </w:rPr>
        <w:t> </w:t>
      </w:r>
      <w:r>
        <w:rPr/>
        <w:t>Shakespeare;</w:t>
      </w:r>
      <w:r>
        <w:rPr>
          <w:spacing w:val="-3"/>
        </w:rPr>
        <w:t> </w:t>
      </w:r>
      <w:r>
        <w:rPr/>
        <w:t>it</w:t>
      </w:r>
      <w:r>
        <w:rPr>
          <w:spacing w:val="-5"/>
        </w:rPr>
        <w:t> </w:t>
      </w:r>
      <w:r>
        <w:rPr/>
        <w:t>reads</w:t>
      </w:r>
      <w:r>
        <w:rPr>
          <w:spacing w:val="-3"/>
        </w:rPr>
        <w:t> </w:t>
      </w:r>
      <w:r>
        <w:rPr/>
        <w:t>him</w:t>
      </w:r>
      <w:r>
        <w:rPr>
          <w:spacing w:val="-6"/>
        </w:rPr>
        <w:t> </w:t>
      </w:r>
      <w:r>
        <w:rPr/>
        <w:t>more</w:t>
      </w:r>
      <w:r>
        <w:rPr>
          <w:spacing w:val="-4"/>
        </w:rPr>
        <w:t> </w:t>
      </w:r>
      <w:r>
        <w:rPr/>
        <w:t>fully,</w:t>
      </w:r>
      <w:r>
        <w:rPr>
          <w:spacing w:val="-3"/>
        </w:rPr>
        <w:t> </w:t>
      </w:r>
      <w:r>
        <w:rPr/>
        <w:t>attends</w:t>
      </w:r>
      <w:r>
        <w:rPr>
          <w:spacing w:val="-7"/>
        </w:rPr>
        <w:t> </w:t>
      </w:r>
      <w:r>
        <w:rPr/>
        <w:t>to</w:t>
      </w:r>
      <w:r>
        <w:rPr>
          <w:spacing w:val="-3"/>
        </w:rPr>
        <w:t> </w:t>
      </w:r>
      <w:r>
        <w:rPr/>
        <w:t>the</w:t>
      </w:r>
      <w:r>
        <w:rPr>
          <w:spacing w:val="-3"/>
        </w:rPr>
        <w:t> </w:t>
      </w:r>
      <w:r>
        <w:rPr/>
        <w:t>complexity and contradiction that the tradition has suppressed, and insists that the great dramatic intelligence behind these plays knew more about the women he created than four centuries of patriarchal criticism has been willing to acknowledge.</w:t>
      </w:r>
    </w:p>
    <w:p>
      <w:pPr>
        <w:pStyle w:val="BodyText"/>
        <w:spacing w:line="266" w:lineRule="auto" w:before="72"/>
        <w:ind w:right="1438" w:firstLine="432"/>
        <w:jc w:val="both"/>
      </w:pPr>
      <w:r>
        <w:rPr/>
        <w:t>The plays are not feminist texts; but they are texts in which feminism can work—texts rich enough to sustain, and in some cases to </w:t>
      </w:r>
      <w:r>
        <w:rPr>
          <w:spacing w:val="-2"/>
        </w:rPr>
        <w:t>demand,</w:t>
      </w:r>
      <w:r>
        <w:rPr>
          <w:spacing w:val="-4"/>
        </w:rPr>
        <w:t> </w:t>
      </w:r>
      <w:r>
        <w:rPr>
          <w:spacing w:val="-2"/>
        </w:rPr>
        <w:t>readings that</w:t>
      </w:r>
      <w:r>
        <w:rPr>
          <w:spacing w:val="-4"/>
        </w:rPr>
        <w:t> </w:t>
      </w:r>
      <w:r>
        <w:rPr>
          <w:spacing w:val="-2"/>
        </w:rPr>
        <w:t>take</w:t>
      </w:r>
      <w:r>
        <w:rPr>
          <w:spacing w:val="-6"/>
        </w:rPr>
        <w:t> </w:t>
      </w:r>
      <w:r>
        <w:rPr>
          <w:spacing w:val="-2"/>
        </w:rPr>
        <w:t>female experience</w:t>
      </w:r>
      <w:r>
        <w:rPr>
          <w:spacing w:val="-5"/>
        </w:rPr>
        <w:t> </w:t>
      </w:r>
      <w:r>
        <w:rPr>
          <w:spacing w:val="-2"/>
        </w:rPr>
        <w:t>seriously.</w:t>
      </w:r>
      <w:r>
        <w:rPr>
          <w:spacing w:val="-6"/>
        </w:rPr>
        <w:t> </w:t>
      </w:r>
      <w:r>
        <w:rPr>
          <w:spacing w:val="-2"/>
        </w:rPr>
        <w:t>The women</w:t>
      </w:r>
      <w:r>
        <w:rPr>
          <w:spacing w:val="-6"/>
        </w:rPr>
        <w:t> </w:t>
      </w:r>
      <w:r>
        <w:rPr>
          <w:spacing w:val="-2"/>
        </w:rPr>
        <w:t>who </w:t>
      </w:r>
      <w:r>
        <w:rPr/>
        <w:t>have been called bad are, on closer inspection, women who are interesting:</w:t>
      </w:r>
      <w:r>
        <w:rPr>
          <w:spacing w:val="-13"/>
        </w:rPr>
        <w:t> </w:t>
      </w:r>
      <w:r>
        <w:rPr/>
        <w:t>morally</w:t>
      </w:r>
      <w:r>
        <w:rPr>
          <w:spacing w:val="-12"/>
        </w:rPr>
        <w:t> </w:t>
      </w:r>
      <w:r>
        <w:rPr/>
        <w:t>complex,</w:t>
      </w:r>
      <w:r>
        <w:rPr>
          <w:spacing w:val="-13"/>
        </w:rPr>
        <w:t> </w:t>
      </w:r>
      <w:r>
        <w:rPr/>
        <w:t>politically</w:t>
      </w:r>
      <w:r>
        <w:rPr>
          <w:spacing w:val="-12"/>
        </w:rPr>
        <w:t> </w:t>
      </w:r>
      <w:r>
        <w:rPr/>
        <w:t>acute,</w:t>
      </w:r>
      <w:r>
        <w:rPr>
          <w:spacing w:val="-13"/>
        </w:rPr>
        <w:t> </w:t>
      </w:r>
      <w:r>
        <w:rPr/>
        <w:t>emotionally</w:t>
      </w:r>
      <w:r>
        <w:rPr>
          <w:spacing w:val="-12"/>
        </w:rPr>
        <w:t> </w:t>
      </w:r>
      <w:r>
        <w:rPr/>
        <w:t>genuine,</w:t>
      </w:r>
      <w:r>
        <w:rPr>
          <w:spacing w:val="-13"/>
        </w:rPr>
        <w:t> </w:t>
      </w:r>
      <w:r>
        <w:rPr/>
        <w:t>and structurally constrained. They deserve better than the tradition has</w:t>
      </w:r>
      <w:r>
        <w:rPr>
          <w:spacing w:val="40"/>
        </w:rPr>
        <w:t> </w:t>
      </w:r>
      <w:r>
        <w:rPr/>
        <w:t>given them. This paper has argued that a feminist hermeneutics—historically</w:t>
      </w:r>
      <w:r>
        <w:rPr>
          <w:spacing w:val="-12"/>
        </w:rPr>
        <w:t> </w:t>
      </w:r>
      <w:r>
        <w:rPr/>
        <w:t>grounded,</w:t>
      </w:r>
      <w:r>
        <w:rPr>
          <w:spacing w:val="-11"/>
        </w:rPr>
        <w:t> </w:t>
      </w:r>
      <w:r>
        <w:rPr/>
        <w:t>critically</w:t>
      </w:r>
      <w:r>
        <w:rPr>
          <w:spacing w:val="-11"/>
        </w:rPr>
        <w:t> </w:t>
      </w:r>
      <w:r>
        <w:rPr/>
        <w:t>self-aware,</w:t>
      </w:r>
      <w:r>
        <w:rPr>
          <w:spacing w:val="-9"/>
        </w:rPr>
        <w:t> </w:t>
      </w:r>
      <w:r>
        <w:rPr/>
        <w:t>attentive</w:t>
      </w:r>
      <w:r>
        <w:rPr>
          <w:spacing w:val="-12"/>
        </w:rPr>
        <w:t> </w:t>
      </w:r>
      <w:r>
        <w:rPr/>
        <w:t>to</w:t>
      </w:r>
      <w:r>
        <w:rPr>
          <w:spacing w:val="-8"/>
        </w:rPr>
        <w:t> </w:t>
      </w:r>
      <w:r>
        <w:rPr/>
        <w:t>intersectionality, and open to performance as well as text—is the interpretive framework adequate to their complexity.</w:t>
      </w:r>
    </w:p>
    <w:p>
      <w:pPr>
        <w:pStyle w:val="Heading3"/>
        <w:spacing w:before="164"/>
      </w:pPr>
      <w:r>
        <w:rPr>
          <w:spacing w:val="-2"/>
        </w:rPr>
        <w:t>REFERENCE</w:t>
      </w:r>
    </w:p>
    <w:p>
      <w:pPr>
        <w:pStyle w:val="ListParagraph"/>
        <w:numPr>
          <w:ilvl w:val="0"/>
          <w:numId w:val="40"/>
        </w:numPr>
        <w:tabs>
          <w:tab w:pos="2157" w:val="left" w:leader="none"/>
          <w:tab w:pos="2160" w:val="left" w:leader="none"/>
        </w:tabs>
        <w:spacing w:line="266" w:lineRule="auto" w:before="94" w:after="0"/>
        <w:ind w:left="2160" w:right="1437" w:hanging="315"/>
        <w:jc w:val="both"/>
        <w:rPr>
          <w:sz w:val="19"/>
        </w:rPr>
      </w:pPr>
      <w:r>
        <w:rPr>
          <w:sz w:val="19"/>
        </w:rPr>
        <w:t>Adelman, Janet. Suffocating Mothers: Fantasies of Maternal Origin</w:t>
      </w:r>
      <w:r>
        <w:rPr>
          <w:spacing w:val="40"/>
          <w:sz w:val="19"/>
        </w:rPr>
        <w:t> </w:t>
      </w:r>
      <w:r>
        <w:rPr>
          <w:sz w:val="19"/>
        </w:rPr>
        <w:t>in</w:t>
      </w:r>
      <w:r>
        <w:rPr>
          <w:spacing w:val="40"/>
          <w:sz w:val="19"/>
        </w:rPr>
        <w:t> </w:t>
      </w:r>
      <w:r>
        <w:rPr>
          <w:sz w:val="19"/>
        </w:rPr>
        <w:t>Shakespeare’s</w:t>
      </w:r>
      <w:r>
        <w:rPr>
          <w:spacing w:val="40"/>
          <w:sz w:val="19"/>
        </w:rPr>
        <w:t> </w:t>
      </w:r>
      <w:r>
        <w:rPr>
          <w:sz w:val="19"/>
        </w:rPr>
        <w:t>Plays.</w:t>
      </w:r>
      <w:r>
        <w:rPr>
          <w:spacing w:val="40"/>
          <w:sz w:val="19"/>
        </w:rPr>
        <w:t> </w:t>
      </w:r>
      <w:r>
        <w:rPr>
          <w:sz w:val="19"/>
        </w:rPr>
        <w:t>Routledge,</w:t>
      </w:r>
      <w:r>
        <w:rPr>
          <w:spacing w:val="40"/>
          <w:sz w:val="19"/>
        </w:rPr>
        <w:t> </w:t>
      </w:r>
      <w:r>
        <w:rPr>
          <w:sz w:val="19"/>
        </w:rPr>
        <w:t>1992.</w:t>
      </w:r>
    </w:p>
    <w:p>
      <w:pPr>
        <w:pStyle w:val="ListParagraph"/>
        <w:numPr>
          <w:ilvl w:val="0"/>
          <w:numId w:val="40"/>
        </w:numPr>
        <w:tabs>
          <w:tab w:pos="2157" w:val="left" w:leader="none"/>
          <w:tab w:pos="2160" w:val="left" w:leader="none"/>
        </w:tabs>
        <w:spacing w:line="268" w:lineRule="auto" w:before="60" w:after="0"/>
        <w:ind w:left="2160" w:right="1438" w:hanging="315"/>
        <w:jc w:val="both"/>
        <w:rPr>
          <w:sz w:val="19"/>
        </w:rPr>
      </w:pPr>
      <w:r>
        <w:rPr>
          <w:sz w:val="19"/>
        </w:rPr>
        <w:t>Bradley, A. C. Shakespearean Tragedy: Lectures on Hamlet, Othello,</w:t>
      </w:r>
      <w:r>
        <w:rPr>
          <w:spacing w:val="40"/>
          <w:sz w:val="19"/>
        </w:rPr>
        <w:t> </w:t>
      </w:r>
      <w:r>
        <w:rPr>
          <w:sz w:val="19"/>
        </w:rPr>
        <w:t>King</w:t>
      </w:r>
      <w:r>
        <w:rPr>
          <w:spacing w:val="40"/>
          <w:sz w:val="19"/>
        </w:rPr>
        <w:t> </w:t>
      </w:r>
      <w:r>
        <w:rPr>
          <w:sz w:val="19"/>
        </w:rPr>
        <w:t>Lear,</w:t>
      </w:r>
      <w:r>
        <w:rPr>
          <w:spacing w:val="40"/>
          <w:sz w:val="19"/>
        </w:rPr>
        <w:t> </w:t>
      </w:r>
      <w:r>
        <w:rPr>
          <w:sz w:val="19"/>
        </w:rPr>
        <w:t>Macbeth.</w:t>
      </w:r>
      <w:r>
        <w:rPr>
          <w:spacing w:val="40"/>
          <w:sz w:val="19"/>
        </w:rPr>
        <w:t> </w:t>
      </w:r>
      <w:r>
        <w:rPr>
          <w:sz w:val="19"/>
        </w:rPr>
        <w:t>Macmillan,</w:t>
      </w:r>
      <w:r>
        <w:rPr>
          <w:spacing w:val="40"/>
          <w:sz w:val="19"/>
        </w:rPr>
        <w:t> </w:t>
      </w:r>
      <w:r>
        <w:rPr>
          <w:sz w:val="19"/>
        </w:rPr>
        <w:t>1904.</w:t>
      </w:r>
    </w:p>
    <w:p>
      <w:pPr>
        <w:pStyle w:val="ListParagraph"/>
        <w:numPr>
          <w:ilvl w:val="0"/>
          <w:numId w:val="40"/>
        </w:numPr>
        <w:tabs>
          <w:tab w:pos="2157" w:val="left" w:leader="none"/>
          <w:tab w:pos="2160" w:val="left" w:leader="none"/>
        </w:tabs>
        <w:spacing w:line="266" w:lineRule="auto" w:before="58" w:after="0"/>
        <w:ind w:left="2160" w:right="1441" w:hanging="315"/>
        <w:jc w:val="both"/>
        <w:rPr>
          <w:sz w:val="19"/>
        </w:rPr>
      </w:pPr>
      <w:r>
        <w:rPr>
          <w:sz w:val="19"/>
        </w:rPr>
        <w:t>Davis,</w:t>
      </w:r>
      <w:r>
        <w:rPr>
          <w:spacing w:val="34"/>
          <w:sz w:val="19"/>
        </w:rPr>
        <w:t> </w:t>
      </w:r>
      <w:r>
        <w:rPr>
          <w:sz w:val="19"/>
        </w:rPr>
        <w:t>Natalie</w:t>
      </w:r>
      <w:r>
        <w:rPr>
          <w:spacing w:val="32"/>
          <w:sz w:val="19"/>
        </w:rPr>
        <w:t> </w:t>
      </w:r>
      <w:r>
        <w:rPr>
          <w:sz w:val="19"/>
        </w:rPr>
        <w:t>Zemon.</w:t>
      </w:r>
      <w:r>
        <w:rPr>
          <w:spacing w:val="36"/>
          <w:sz w:val="19"/>
        </w:rPr>
        <w:t> </w:t>
      </w:r>
      <w:r>
        <w:rPr>
          <w:sz w:val="19"/>
        </w:rPr>
        <w:t>“Women</w:t>
      </w:r>
      <w:r>
        <w:rPr>
          <w:spacing w:val="36"/>
          <w:sz w:val="19"/>
        </w:rPr>
        <w:t> </w:t>
      </w:r>
      <w:r>
        <w:rPr>
          <w:sz w:val="19"/>
        </w:rPr>
        <w:t>on</w:t>
      </w:r>
      <w:r>
        <w:rPr>
          <w:spacing w:val="34"/>
          <w:sz w:val="19"/>
        </w:rPr>
        <w:t> </w:t>
      </w:r>
      <w:r>
        <w:rPr>
          <w:sz w:val="19"/>
        </w:rPr>
        <w:t>Top.”</w:t>
      </w:r>
      <w:r>
        <w:rPr>
          <w:spacing w:val="32"/>
          <w:sz w:val="19"/>
        </w:rPr>
        <w:t> </w:t>
      </w:r>
      <w:r>
        <w:rPr>
          <w:sz w:val="19"/>
        </w:rPr>
        <w:t>Society</w:t>
      </w:r>
      <w:r>
        <w:rPr>
          <w:spacing w:val="29"/>
          <w:sz w:val="19"/>
        </w:rPr>
        <w:t> </w:t>
      </w:r>
      <w:r>
        <w:rPr>
          <w:sz w:val="19"/>
        </w:rPr>
        <w:t>and</w:t>
      </w:r>
      <w:r>
        <w:rPr>
          <w:spacing w:val="34"/>
          <w:sz w:val="19"/>
        </w:rPr>
        <w:t> </w:t>
      </w:r>
      <w:r>
        <w:rPr>
          <w:sz w:val="19"/>
        </w:rPr>
        <w:t>Culture in</w:t>
      </w:r>
      <w:r>
        <w:rPr>
          <w:spacing w:val="40"/>
          <w:sz w:val="19"/>
        </w:rPr>
        <w:t> </w:t>
      </w:r>
      <w:r>
        <w:rPr>
          <w:sz w:val="19"/>
        </w:rPr>
        <w:t>Early</w:t>
      </w:r>
      <w:r>
        <w:rPr>
          <w:spacing w:val="40"/>
          <w:sz w:val="19"/>
        </w:rPr>
        <w:t> </w:t>
      </w:r>
      <w:r>
        <w:rPr>
          <w:sz w:val="19"/>
        </w:rPr>
        <w:t>Modern</w:t>
      </w:r>
      <w:r>
        <w:rPr>
          <w:spacing w:val="40"/>
          <w:sz w:val="19"/>
        </w:rPr>
        <w:t> </w:t>
      </w:r>
      <w:r>
        <w:rPr>
          <w:sz w:val="19"/>
        </w:rPr>
        <w:t>France,</w:t>
      </w:r>
      <w:r>
        <w:rPr>
          <w:spacing w:val="40"/>
          <w:sz w:val="19"/>
        </w:rPr>
        <w:t> </w:t>
      </w:r>
      <w:r>
        <w:rPr>
          <w:sz w:val="19"/>
        </w:rPr>
        <w:t>Stanford</w:t>
      </w:r>
      <w:r>
        <w:rPr>
          <w:spacing w:val="40"/>
          <w:sz w:val="19"/>
        </w:rPr>
        <w:t> </w:t>
      </w:r>
      <w:r>
        <w:rPr>
          <w:sz w:val="19"/>
        </w:rPr>
        <w:t>UP,</w:t>
      </w:r>
      <w:r>
        <w:rPr>
          <w:spacing w:val="40"/>
          <w:sz w:val="19"/>
        </w:rPr>
        <w:t> </w:t>
      </w:r>
      <w:r>
        <w:rPr>
          <w:sz w:val="19"/>
        </w:rPr>
        <w:t>1975,</w:t>
      </w:r>
      <w:r>
        <w:rPr>
          <w:spacing w:val="40"/>
          <w:sz w:val="19"/>
        </w:rPr>
        <w:t> </w:t>
      </w:r>
      <w:r>
        <w:rPr>
          <w:sz w:val="19"/>
        </w:rPr>
        <w:t>pp.</w:t>
      </w:r>
      <w:r>
        <w:rPr>
          <w:spacing w:val="40"/>
          <w:sz w:val="19"/>
        </w:rPr>
        <w:t> </w:t>
      </w:r>
      <w:r>
        <w:rPr>
          <w:sz w:val="19"/>
        </w:rPr>
        <w:t>124–51.</w:t>
      </w:r>
    </w:p>
    <w:p>
      <w:pPr>
        <w:pStyle w:val="ListParagraph"/>
        <w:numPr>
          <w:ilvl w:val="0"/>
          <w:numId w:val="40"/>
        </w:numPr>
        <w:tabs>
          <w:tab w:pos="2157" w:val="left" w:leader="none"/>
          <w:tab w:pos="2160" w:val="left" w:leader="none"/>
        </w:tabs>
        <w:spacing w:line="268" w:lineRule="auto" w:before="60" w:after="0"/>
        <w:ind w:left="2160" w:right="1440" w:hanging="315"/>
        <w:jc w:val="both"/>
        <w:rPr>
          <w:sz w:val="19"/>
        </w:rPr>
      </w:pPr>
      <w:r>
        <w:rPr>
          <w:sz w:val="19"/>
        </w:rPr>
        <w:t>Dolan, Frances E. Dangerous Familiars: Representations of Domestic Crime in England, 1550–1700. Cornell UP, 1994.</w:t>
      </w:r>
    </w:p>
    <w:p>
      <w:pPr>
        <w:pStyle w:val="ListParagraph"/>
        <w:numPr>
          <w:ilvl w:val="0"/>
          <w:numId w:val="40"/>
        </w:numPr>
        <w:tabs>
          <w:tab w:pos="2157" w:val="left" w:leader="none"/>
          <w:tab w:pos="2160" w:val="left" w:leader="none"/>
        </w:tabs>
        <w:spacing w:line="266" w:lineRule="auto" w:before="58" w:after="0"/>
        <w:ind w:left="2160" w:right="1442" w:hanging="315"/>
        <w:jc w:val="both"/>
        <w:rPr>
          <w:sz w:val="19"/>
        </w:rPr>
      </w:pPr>
      <w:r>
        <w:rPr>
          <w:sz w:val="19"/>
        </w:rPr>
        <w:t>Dusinberre, Juliet. Shakespeare and the Nature of Women. 3rd ed.,</w:t>
      </w:r>
      <w:r>
        <w:rPr>
          <w:spacing w:val="40"/>
          <w:sz w:val="19"/>
        </w:rPr>
        <w:t> </w:t>
      </w:r>
      <w:r>
        <w:rPr>
          <w:sz w:val="19"/>
        </w:rPr>
        <w:t>Palgrave</w:t>
      </w:r>
      <w:r>
        <w:rPr>
          <w:spacing w:val="40"/>
          <w:sz w:val="19"/>
        </w:rPr>
        <w:t> </w:t>
      </w:r>
      <w:r>
        <w:rPr>
          <w:sz w:val="19"/>
        </w:rPr>
        <w:t>Macmillan,</w:t>
      </w:r>
      <w:r>
        <w:rPr>
          <w:spacing w:val="40"/>
          <w:sz w:val="19"/>
        </w:rPr>
        <w:t> </w:t>
      </w:r>
      <w:r>
        <w:rPr>
          <w:sz w:val="19"/>
        </w:rPr>
        <w:t>2003.</w:t>
      </w:r>
    </w:p>
    <w:p>
      <w:pPr>
        <w:pStyle w:val="ListParagraph"/>
        <w:numPr>
          <w:ilvl w:val="0"/>
          <w:numId w:val="40"/>
        </w:numPr>
        <w:tabs>
          <w:tab w:pos="2157" w:val="left" w:leader="none"/>
          <w:tab w:pos="2160" w:val="left" w:leader="none"/>
        </w:tabs>
        <w:spacing w:line="266" w:lineRule="auto" w:before="59" w:after="0"/>
        <w:ind w:left="2160" w:right="1438" w:hanging="315"/>
        <w:jc w:val="both"/>
        <w:rPr>
          <w:sz w:val="19"/>
        </w:rPr>
      </w:pPr>
      <w:r>
        <w:rPr>
          <w:sz w:val="19"/>
        </w:rPr>
        <w:t>Howard, Jean E., and Phyllis Rackin. Engendering a Nation: A </w:t>
      </w:r>
      <w:r>
        <w:rPr>
          <w:spacing w:val="9"/>
          <w:sz w:val="19"/>
        </w:rPr>
        <w:t>Feminist</w:t>
      </w:r>
      <w:r>
        <w:rPr>
          <w:spacing w:val="9"/>
          <w:sz w:val="19"/>
        </w:rPr>
        <w:t> </w:t>
      </w:r>
      <w:r>
        <w:rPr>
          <w:spacing w:val="10"/>
          <w:sz w:val="19"/>
        </w:rPr>
        <w:t>Account</w:t>
      </w:r>
      <w:r>
        <w:rPr>
          <w:spacing w:val="10"/>
          <w:sz w:val="19"/>
        </w:rPr>
        <w:t> </w:t>
      </w:r>
      <w:r>
        <w:rPr>
          <w:sz w:val="19"/>
        </w:rPr>
        <w:t>of </w:t>
      </w:r>
      <w:r>
        <w:rPr>
          <w:spacing w:val="10"/>
          <w:sz w:val="19"/>
        </w:rPr>
        <w:t>Shakespeare’s</w:t>
      </w:r>
      <w:r>
        <w:rPr>
          <w:spacing w:val="10"/>
          <w:sz w:val="19"/>
        </w:rPr>
        <w:t> English</w:t>
      </w:r>
      <w:r>
        <w:rPr>
          <w:spacing w:val="10"/>
          <w:sz w:val="19"/>
        </w:rPr>
        <w:t> Histories. </w:t>
      </w:r>
      <w:r>
        <w:rPr>
          <w:sz w:val="19"/>
        </w:rPr>
        <w:t>Routledge,</w:t>
      </w:r>
      <w:r>
        <w:rPr>
          <w:spacing w:val="40"/>
          <w:sz w:val="19"/>
        </w:rPr>
        <w:t> </w:t>
      </w:r>
      <w:r>
        <w:rPr>
          <w:sz w:val="19"/>
        </w:rPr>
        <w:t>1997.</w:t>
      </w:r>
    </w:p>
    <w:p>
      <w:pPr>
        <w:pStyle w:val="ListParagraph"/>
        <w:numPr>
          <w:ilvl w:val="0"/>
          <w:numId w:val="40"/>
        </w:numPr>
        <w:tabs>
          <w:tab w:pos="2157" w:val="left" w:leader="none"/>
          <w:tab w:pos="2160" w:val="left" w:leader="none"/>
        </w:tabs>
        <w:spacing w:line="268" w:lineRule="auto" w:before="62" w:after="0"/>
        <w:ind w:left="2160" w:right="1442" w:hanging="315"/>
        <w:jc w:val="both"/>
        <w:rPr>
          <w:sz w:val="19"/>
        </w:rPr>
      </w:pPr>
      <w:r>
        <w:rPr>
          <w:sz w:val="19"/>
        </w:rPr>
        <w:t>Jameson, Anna. Characteristics of Women, Moral, Poetical, and Historical.</w:t>
      </w:r>
      <w:r>
        <w:rPr>
          <w:spacing w:val="40"/>
          <w:sz w:val="19"/>
        </w:rPr>
        <w:t> </w:t>
      </w:r>
      <w:r>
        <w:rPr>
          <w:sz w:val="19"/>
        </w:rPr>
        <w:t>Saunders</w:t>
      </w:r>
      <w:r>
        <w:rPr>
          <w:spacing w:val="40"/>
          <w:sz w:val="19"/>
        </w:rPr>
        <w:t> </w:t>
      </w:r>
      <w:r>
        <w:rPr>
          <w:sz w:val="19"/>
        </w:rPr>
        <w:t>and</w:t>
      </w:r>
      <w:r>
        <w:rPr>
          <w:spacing w:val="40"/>
          <w:sz w:val="19"/>
        </w:rPr>
        <w:t> </w:t>
      </w:r>
      <w:r>
        <w:rPr>
          <w:sz w:val="19"/>
        </w:rPr>
        <w:t>Otley,</w:t>
      </w:r>
      <w:r>
        <w:rPr>
          <w:spacing w:val="40"/>
          <w:sz w:val="19"/>
        </w:rPr>
        <w:t> </w:t>
      </w:r>
      <w:r>
        <w:rPr>
          <w:sz w:val="19"/>
        </w:rPr>
        <w:t>1832.</w:t>
      </w:r>
    </w:p>
    <w:p>
      <w:pPr>
        <w:pStyle w:val="ListParagraph"/>
        <w:numPr>
          <w:ilvl w:val="0"/>
          <w:numId w:val="40"/>
        </w:numPr>
        <w:tabs>
          <w:tab w:pos="2157" w:val="left" w:leader="none"/>
          <w:tab w:pos="2160" w:val="left" w:leader="none"/>
        </w:tabs>
        <w:spacing w:line="261" w:lineRule="auto" w:before="53" w:after="0"/>
        <w:ind w:left="2160" w:right="1442" w:hanging="315"/>
        <w:jc w:val="both"/>
        <w:rPr>
          <w:sz w:val="19"/>
        </w:rPr>
      </w:pPr>
      <w:r>
        <w:rPr>
          <w:sz w:val="19"/>
        </w:rPr>
        <w:t>Jardine,</w:t>
      </w:r>
      <w:r>
        <w:rPr>
          <w:spacing w:val="35"/>
          <w:sz w:val="19"/>
        </w:rPr>
        <w:t> </w:t>
      </w:r>
      <w:r>
        <w:rPr>
          <w:sz w:val="19"/>
        </w:rPr>
        <w:t>Lisa.</w:t>
      </w:r>
      <w:r>
        <w:rPr>
          <w:spacing w:val="37"/>
          <w:sz w:val="19"/>
        </w:rPr>
        <w:t> </w:t>
      </w:r>
      <w:r>
        <w:rPr>
          <w:sz w:val="19"/>
        </w:rPr>
        <w:t>Still</w:t>
      </w:r>
      <w:r>
        <w:rPr>
          <w:spacing w:val="35"/>
          <w:sz w:val="19"/>
        </w:rPr>
        <w:t> </w:t>
      </w:r>
      <w:r>
        <w:rPr>
          <w:sz w:val="19"/>
        </w:rPr>
        <w:t>Harping</w:t>
      </w:r>
      <w:r>
        <w:rPr>
          <w:spacing w:val="34"/>
          <w:sz w:val="19"/>
        </w:rPr>
        <w:t> </w:t>
      </w:r>
      <w:r>
        <w:rPr>
          <w:sz w:val="19"/>
        </w:rPr>
        <w:t>on</w:t>
      </w:r>
      <w:r>
        <w:rPr>
          <w:spacing w:val="39"/>
          <w:sz w:val="19"/>
        </w:rPr>
        <w:t> </w:t>
      </w:r>
      <w:r>
        <w:rPr>
          <w:sz w:val="19"/>
        </w:rPr>
        <w:t>Daughters:</w:t>
      </w:r>
      <w:r>
        <w:rPr>
          <w:spacing w:val="33"/>
          <w:sz w:val="19"/>
        </w:rPr>
        <w:t> </w:t>
      </w:r>
      <w:r>
        <w:rPr>
          <w:sz w:val="19"/>
        </w:rPr>
        <w:t>Women</w:t>
      </w:r>
      <w:r>
        <w:rPr>
          <w:spacing w:val="39"/>
          <w:sz w:val="19"/>
        </w:rPr>
        <w:t> </w:t>
      </w:r>
      <w:r>
        <w:rPr>
          <w:sz w:val="19"/>
        </w:rPr>
        <w:t>and</w:t>
      </w:r>
      <w:r>
        <w:rPr>
          <w:spacing w:val="37"/>
          <w:sz w:val="19"/>
        </w:rPr>
        <w:t> </w:t>
      </w:r>
      <w:r>
        <w:rPr>
          <w:sz w:val="19"/>
        </w:rPr>
        <w:t>Drama in</w:t>
      </w:r>
      <w:r>
        <w:rPr>
          <w:spacing w:val="40"/>
          <w:sz w:val="19"/>
        </w:rPr>
        <w:t> </w:t>
      </w:r>
      <w:r>
        <w:rPr>
          <w:sz w:val="19"/>
        </w:rPr>
        <w:t>the</w:t>
      </w:r>
      <w:r>
        <w:rPr>
          <w:spacing w:val="40"/>
          <w:sz w:val="19"/>
        </w:rPr>
        <w:t> </w:t>
      </w:r>
      <w:r>
        <w:rPr>
          <w:sz w:val="19"/>
        </w:rPr>
        <w:t>Age</w:t>
      </w:r>
      <w:r>
        <w:rPr>
          <w:spacing w:val="40"/>
          <w:sz w:val="19"/>
        </w:rPr>
        <w:t> </w:t>
      </w:r>
      <w:r>
        <w:rPr>
          <w:sz w:val="19"/>
        </w:rPr>
        <w:t>of</w:t>
      </w:r>
      <w:r>
        <w:rPr>
          <w:spacing w:val="40"/>
          <w:sz w:val="19"/>
        </w:rPr>
        <w:t> </w:t>
      </w:r>
      <w:r>
        <w:rPr>
          <w:sz w:val="19"/>
        </w:rPr>
        <w:t>Shakespeare.</w:t>
      </w:r>
      <w:r>
        <w:rPr>
          <w:spacing w:val="40"/>
          <w:sz w:val="19"/>
        </w:rPr>
        <w:t> </w:t>
      </w:r>
      <w:r>
        <w:rPr>
          <w:sz w:val="19"/>
        </w:rPr>
        <w:t>Harvester</w:t>
      </w:r>
      <w:r>
        <w:rPr>
          <w:spacing w:val="40"/>
          <w:sz w:val="19"/>
        </w:rPr>
        <w:t> </w:t>
      </w:r>
      <w:r>
        <w:rPr>
          <w:sz w:val="19"/>
        </w:rPr>
        <w:t>Press,</w:t>
      </w:r>
      <w:r>
        <w:rPr>
          <w:spacing w:val="40"/>
          <w:sz w:val="19"/>
        </w:rPr>
        <w:t> </w:t>
      </w:r>
      <w:r>
        <w:rPr>
          <w:sz w:val="19"/>
        </w:rPr>
        <w:t>1983.</w:t>
      </w:r>
    </w:p>
    <w:p>
      <w:pPr>
        <w:pStyle w:val="ListParagraph"/>
        <w:numPr>
          <w:ilvl w:val="0"/>
          <w:numId w:val="40"/>
        </w:numPr>
        <w:tabs>
          <w:tab w:pos="2157" w:val="left" w:leader="none"/>
          <w:tab w:pos="2160" w:val="left" w:leader="none"/>
        </w:tabs>
        <w:spacing w:line="261" w:lineRule="auto" w:before="57" w:after="0"/>
        <w:ind w:left="2160" w:right="1438" w:hanging="315"/>
        <w:jc w:val="both"/>
        <w:rPr>
          <w:sz w:val="19"/>
        </w:rPr>
      </w:pPr>
      <w:r>
        <w:rPr>
          <w:spacing w:val="9"/>
          <w:sz w:val="19"/>
        </w:rPr>
        <w:t>Kahn,</w:t>
      </w:r>
      <w:r>
        <w:rPr>
          <w:spacing w:val="9"/>
          <w:sz w:val="19"/>
        </w:rPr>
        <w:t> </w:t>
      </w:r>
      <w:r>
        <w:rPr>
          <w:spacing w:val="10"/>
          <w:sz w:val="19"/>
        </w:rPr>
        <w:t>Coppélia.</w:t>
      </w:r>
      <w:r>
        <w:rPr>
          <w:spacing w:val="10"/>
          <w:sz w:val="19"/>
        </w:rPr>
        <w:t> </w:t>
      </w:r>
      <w:r>
        <w:rPr>
          <w:sz w:val="19"/>
        </w:rPr>
        <w:t>Man’s </w:t>
      </w:r>
      <w:r>
        <w:rPr>
          <w:spacing w:val="10"/>
          <w:sz w:val="19"/>
        </w:rPr>
        <w:t>Estate:</w:t>
      </w:r>
      <w:r>
        <w:rPr>
          <w:spacing w:val="10"/>
          <w:sz w:val="19"/>
        </w:rPr>
        <w:t> Masculine</w:t>
      </w:r>
      <w:r>
        <w:rPr>
          <w:spacing w:val="10"/>
          <w:sz w:val="19"/>
        </w:rPr>
        <w:t> </w:t>
      </w:r>
      <w:r>
        <w:rPr>
          <w:spacing w:val="9"/>
          <w:sz w:val="19"/>
        </w:rPr>
        <w:t>Identity</w:t>
      </w:r>
      <w:r>
        <w:rPr>
          <w:spacing w:val="9"/>
          <w:sz w:val="19"/>
        </w:rPr>
        <w:t> </w:t>
      </w:r>
      <w:r>
        <w:rPr>
          <w:sz w:val="19"/>
        </w:rPr>
        <w:t>in Shakespeare.</w:t>
      </w:r>
      <w:r>
        <w:rPr>
          <w:spacing w:val="40"/>
          <w:sz w:val="19"/>
        </w:rPr>
        <w:t> </w:t>
      </w:r>
      <w:r>
        <w:rPr>
          <w:sz w:val="19"/>
        </w:rPr>
        <w:t>U</w:t>
      </w:r>
      <w:r>
        <w:rPr>
          <w:spacing w:val="40"/>
          <w:sz w:val="19"/>
        </w:rPr>
        <w:t> </w:t>
      </w:r>
      <w:r>
        <w:rPr>
          <w:sz w:val="19"/>
        </w:rPr>
        <w:t>of</w:t>
      </w:r>
      <w:r>
        <w:rPr>
          <w:spacing w:val="40"/>
          <w:sz w:val="19"/>
        </w:rPr>
        <w:t> </w:t>
      </w:r>
      <w:r>
        <w:rPr>
          <w:sz w:val="19"/>
        </w:rPr>
        <w:t>California</w:t>
      </w:r>
      <w:r>
        <w:rPr>
          <w:spacing w:val="40"/>
          <w:sz w:val="19"/>
        </w:rPr>
        <w:t> </w:t>
      </w:r>
      <w:r>
        <w:rPr>
          <w:sz w:val="19"/>
        </w:rPr>
        <w:t>P,</w:t>
      </w:r>
      <w:r>
        <w:rPr>
          <w:spacing w:val="40"/>
          <w:sz w:val="19"/>
        </w:rPr>
        <w:t> </w:t>
      </w:r>
      <w:r>
        <w:rPr>
          <w:sz w:val="19"/>
        </w:rPr>
        <w:t>1981.</w:t>
      </w:r>
    </w:p>
    <w:p>
      <w:pPr>
        <w:pStyle w:val="ListParagraph"/>
        <w:spacing w:after="0" w:line="261" w:lineRule="auto"/>
        <w:jc w:val="both"/>
        <w:rPr>
          <w:sz w:val="19"/>
        </w:rPr>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52704">
                <wp:simplePos x="0" y="0"/>
                <wp:positionH relativeFrom="page">
                  <wp:posOffset>2065020</wp:posOffset>
                </wp:positionH>
                <wp:positionV relativeFrom="paragraph">
                  <wp:posOffset>795020</wp:posOffset>
                </wp:positionV>
                <wp:extent cx="3657600" cy="12700"/>
                <wp:effectExtent l="0" t="0" r="0" b="0"/>
                <wp:wrapTopAndBottom/>
                <wp:docPr id="475" name="Graphic 475"/>
                <wp:cNvGraphicFramePr>
                  <a:graphicFrameLocks/>
                </wp:cNvGraphicFramePr>
                <a:graphic>
                  <a:graphicData uri="http://schemas.microsoft.com/office/word/2010/wordprocessingShape">
                    <wps:wsp>
                      <wps:cNvPr id="475" name="Graphic 47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63776;mso-wrap-distance-left:0;mso-wrap-distance-right:0" id="docshape470" filled="true" fillcolor="#000000" stroked="false">
                <v:fill type="solid"/>
                <w10:wrap type="topAndBottom"/>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213</w:t>
      </w:r>
    </w:p>
    <w:p>
      <w:pPr>
        <w:pStyle w:val="ListParagraph"/>
        <w:numPr>
          <w:ilvl w:val="0"/>
          <w:numId w:val="40"/>
        </w:numPr>
        <w:tabs>
          <w:tab w:pos="2160" w:val="left" w:leader="none"/>
          <w:tab w:pos="2261" w:val="left" w:leader="none"/>
        </w:tabs>
        <w:spacing w:line="261" w:lineRule="auto" w:before="199" w:after="0"/>
        <w:ind w:left="2160" w:right="1439" w:hanging="406"/>
        <w:jc w:val="both"/>
        <w:rPr>
          <w:sz w:val="19"/>
        </w:rPr>
      </w:pPr>
      <w:r>
        <w:rPr>
          <w:sz w:val="19"/>
        </w:rPr>
        <w:tab/>
        <w:t>—. Roman Shakespeare: Warriors, Wounds, and Women. Routledge,</w:t>
      </w:r>
      <w:r>
        <w:rPr>
          <w:spacing w:val="40"/>
          <w:sz w:val="19"/>
        </w:rPr>
        <w:t> </w:t>
      </w:r>
      <w:r>
        <w:rPr>
          <w:sz w:val="19"/>
        </w:rPr>
        <w:t>1997.</w:t>
      </w:r>
    </w:p>
    <w:p>
      <w:pPr>
        <w:pStyle w:val="ListParagraph"/>
        <w:numPr>
          <w:ilvl w:val="0"/>
          <w:numId w:val="40"/>
        </w:numPr>
        <w:tabs>
          <w:tab w:pos="2157" w:val="left" w:leader="none"/>
          <w:tab w:pos="2160" w:val="left" w:leader="none"/>
        </w:tabs>
        <w:spacing w:line="264" w:lineRule="auto" w:before="57" w:after="0"/>
        <w:ind w:left="2160" w:right="1439" w:hanging="406"/>
        <w:jc w:val="both"/>
        <w:rPr>
          <w:sz w:val="19"/>
        </w:rPr>
      </w:pPr>
      <w:r>
        <w:rPr>
          <w:sz w:val="19"/>
        </w:rPr>
        <w:t>Levin,</w:t>
      </w:r>
      <w:r>
        <w:rPr>
          <w:spacing w:val="36"/>
          <w:sz w:val="19"/>
        </w:rPr>
        <w:t> </w:t>
      </w:r>
      <w:r>
        <w:rPr>
          <w:sz w:val="19"/>
        </w:rPr>
        <w:t>Carole.</w:t>
      </w:r>
      <w:r>
        <w:rPr>
          <w:spacing w:val="36"/>
          <w:sz w:val="19"/>
        </w:rPr>
        <w:t> </w:t>
      </w:r>
      <w:r>
        <w:rPr>
          <w:sz w:val="19"/>
        </w:rPr>
        <w:t>The</w:t>
      </w:r>
      <w:r>
        <w:rPr>
          <w:spacing w:val="40"/>
          <w:sz w:val="19"/>
        </w:rPr>
        <w:t> </w:t>
      </w:r>
      <w:r>
        <w:rPr>
          <w:sz w:val="19"/>
        </w:rPr>
        <w:t>Heart</w:t>
      </w:r>
      <w:r>
        <w:rPr>
          <w:spacing w:val="35"/>
          <w:sz w:val="19"/>
        </w:rPr>
        <w:t> </w:t>
      </w:r>
      <w:r>
        <w:rPr>
          <w:sz w:val="19"/>
        </w:rPr>
        <w:t>and</w:t>
      </w:r>
      <w:r>
        <w:rPr>
          <w:spacing w:val="36"/>
          <w:sz w:val="19"/>
        </w:rPr>
        <w:t> </w:t>
      </w:r>
      <w:r>
        <w:rPr>
          <w:sz w:val="19"/>
        </w:rPr>
        <w:t>Stomach</w:t>
      </w:r>
      <w:r>
        <w:rPr>
          <w:spacing w:val="36"/>
          <w:sz w:val="19"/>
        </w:rPr>
        <w:t> </w:t>
      </w:r>
      <w:r>
        <w:rPr>
          <w:sz w:val="19"/>
        </w:rPr>
        <w:t>of</w:t>
      </w:r>
      <w:r>
        <w:rPr>
          <w:spacing w:val="38"/>
          <w:sz w:val="19"/>
        </w:rPr>
        <w:t> </w:t>
      </w:r>
      <w:r>
        <w:rPr>
          <w:sz w:val="19"/>
        </w:rPr>
        <w:t>a</w:t>
      </w:r>
      <w:r>
        <w:rPr>
          <w:spacing w:val="40"/>
          <w:sz w:val="19"/>
        </w:rPr>
        <w:t> </w:t>
      </w:r>
      <w:r>
        <w:rPr>
          <w:sz w:val="19"/>
        </w:rPr>
        <w:t>King:</w:t>
      </w:r>
      <w:r>
        <w:rPr>
          <w:spacing w:val="36"/>
          <w:sz w:val="19"/>
        </w:rPr>
        <w:t> </w:t>
      </w:r>
      <w:r>
        <w:rPr>
          <w:sz w:val="19"/>
        </w:rPr>
        <w:t>Elizabeth</w:t>
      </w:r>
      <w:r>
        <w:rPr>
          <w:spacing w:val="36"/>
          <w:sz w:val="19"/>
        </w:rPr>
        <w:t> </w:t>
      </w:r>
      <w:r>
        <w:rPr>
          <w:sz w:val="19"/>
        </w:rPr>
        <w:t>I and</w:t>
      </w:r>
      <w:r>
        <w:rPr>
          <w:spacing w:val="24"/>
          <w:sz w:val="19"/>
        </w:rPr>
        <w:t> </w:t>
      </w:r>
      <w:r>
        <w:rPr>
          <w:sz w:val="19"/>
        </w:rPr>
        <w:t>the</w:t>
      </w:r>
      <w:r>
        <w:rPr>
          <w:spacing w:val="22"/>
          <w:sz w:val="19"/>
        </w:rPr>
        <w:t> </w:t>
      </w:r>
      <w:r>
        <w:rPr>
          <w:sz w:val="19"/>
        </w:rPr>
        <w:t>Politics</w:t>
      </w:r>
      <w:r>
        <w:rPr>
          <w:spacing w:val="24"/>
          <w:sz w:val="19"/>
        </w:rPr>
        <w:t> </w:t>
      </w:r>
      <w:r>
        <w:rPr>
          <w:sz w:val="19"/>
        </w:rPr>
        <w:t>of</w:t>
      </w:r>
      <w:r>
        <w:rPr>
          <w:spacing w:val="25"/>
          <w:sz w:val="19"/>
        </w:rPr>
        <w:t> </w:t>
      </w:r>
      <w:r>
        <w:rPr>
          <w:sz w:val="19"/>
        </w:rPr>
        <w:t>Sex</w:t>
      </w:r>
      <w:r>
        <w:rPr>
          <w:spacing w:val="22"/>
          <w:sz w:val="19"/>
        </w:rPr>
        <w:t> </w:t>
      </w:r>
      <w:r>
        <w:rPr>
          <w:sz w:val="19"/>
        </w:rPr>
        <w:t>and</w:t>
      </w:r>
      <w:r>
        <w:rPr>
          <w:spacing w:val="25"/>
          <w:sz w:val="19"/>
        </w:rPr>
        <w:t> </w:t>
      </w:r>
      <w:r>
        <w:rPr>
          <w:sz w:val="19"/>
        </w:rPr>
        <w:t>Power.</w:t>
      </w:r>
      <w:r>
        <w:rPr>
          <w:spacing w:val="24"/>
          <w:sz w:val="19"/>
        </w:rPr>
        <w:t> </w:t>
      </w:r>
      <w:r>
        <w:rPr>
          <w:sz w:val="19"/>
        </w:rPr>
        <w:t>U</w:t>
      </w:r>
      <w:r>
        <w:rPr>
          <w:spacing w:val="22"/>
          <w:sz w:val="19"/>
        </w:rPr>
        <w:t> </w:t>
      </w:r>
      <w:r>
        <w:rPr>
          <w:sz w:val="19"/>
        </w:rPr>
        <w:t>of</w:t>
      </w:r>
      <w:r>
        <w:rPr>
          <w:spacing w:val="25"/>
          <w:sz w:val="19"/>
        </w:rPr>
        <w:t> </w:t>
      </w:r>
      <w:r>
        <w:rPr>
          <w:sz w:val="19"/>
        </w:rPr>
        <w:t>Pennsylvania</w:t>
      </w:r>
      <w:r>
        <w:rPr>
          <w:spacing w:val="23"/>
          <w:sz w:val="19"/>
        </w:rPr>
        <w:t> </w:t>
      </w:r>
      <w:r>
        <w:rPr>
          <w:sz w:val="19"/>
        </w:rPr>
        <w:t>P,</w:t>
      </w:r>
      <w:r>
        <w:rPr>
          <w:spacing w:val="24"/>
          <w:sz w:val="19"/>
        </w:rPr>
        <w:t> </w:t>
      </w:r>
      <w:r>
        <w:rPr>
          <w:sz w:val="19"/>
        </w:rPr>
        <w:t>1994.</w:t>
      </w:r>
    </w:p>
    <w:p>
      <w:pPr>
        <w:pStyle w:val="ListParagraph"/>
        <w:numPr>
          <w:ilvl w:val="0"/>
          <w:numId w:val="40"/>
        </w:numPr>
        <w:tabs>
          <w:tab w:pos="2157" w:val="left" w:leader="none"/>
          <w:tab w:pos="2160" w:val="left" w:leader="none"/>
        </w:tabs>
        <w:spacing w:line="261" w:lineRule="auto" w:before="54" w:after="0"/>
        <w:ind w:left="2160" w:right="1443" w:hanging="406"/>
        <w:jc w:val="both"/>
        <w:rPr>
          <w:sz w:val="19"/>
        </w:rPr>
      </w:pPr>
      <w:r>
        <w:rPr>
          <w:sz w:val="19"/>
        </w:rPr>
        <w:t>Loomba, Ania. Shakespeare, Race, and Colonialism. Oxford UP, </w:t>
      </w:r>
      <w:r>
        <w:rPr>
          <w:spacing w:val="-2"/>
          <w:sz w:val="19"/>
        </w:rPr>
        <w:t>2002.</w:t>
      </w:r>
    </w:p>
    <w:p>
      <w:pPr>
        <w:pStyle w:val="ListParagraph"/>
        <w:numPr>
          <w:ilvl w:val="0"/>
          <w:numId w:val="40"/>
        </w:numPr>
        <w:tabs>
          <w:tab w:pos="2157" w:val="left" w:leader="none"/>
          <w:tab w:pos="2160" w:val="left" w:leader="none"/>
        </w:tabs>
        <w:spacing w:line="261" w:lineRule="auto" w:before="57" w:after="0"/>
        <w:ind w:left="2160" w:right="1442" w:hanging="406"/>
        <w:jc w:val="both"/>
        <w:rPr>
          <w:sz w:val="19"/>
        </w:rPr>
      </w:pPr>
      <w:r>
        <w:rPr>
          <w:sz w:val="19"/>
        </w:rPr>
        <w:t>McLuskie, Kathleen. “The Patriarchal Bard: Feminist Criticism and Shakespeare.” Political Shakespeare: New Essays in Cultural Materialism,</w:t>
      </w:r>
      <w:r>
        <w:rPr>
          <w:spacing w:val="40"/>
          <w:sz w:val="19"/>
        </w:rPr>
        <w:t> </w:t>
      </w:r>
      <w:r>
        <w:rPr>
          <w:sz w:val="19"/>
        </w:rPr>
        <w:t>edited</w:t>
      </w:r>
      <w:r>
        <w:rPr>
          <w:spacing w:val="40"/>
          <w:sz w:val="19"/>
        </w:rPr>
        <w:t> </w:t>
      </w:r>
      <w:r>
        <w:rPr>
          <w:sz w:val="19"/>
        </w:rPr>
        <w:t>by</w:t>
      </w:r>
      <w:r>
        <w:rPr>
          <w:spacing w:val="40"/>
          <w:sz w:val="19"/>
        </w:rPr>
        <w:t> </w:t>
      </w:r>
      <w:r>
        <w:rPr>
          <w:sz w:val="19"/>
        </w:rPr>
        <w:t>Jonathan</w:t>
      </w:r>
    </w:p>
    <w:p>
      <w:pPr>
        <w:spacing w:before="0"/>
        <w:ind w:left="2160" w:right="0" w:firstLine="0"/>
        <w:jc w:val="both"/>
        <w:rPr>
          <w:sz w:val="19"/>
        </w:rPr>
      </w:pPr>
      <w:r>
        <w:rPr>
          <w:sz w:val="19"/>
        </w:rPr>
        <w:t>Dollimore</w:t>
      </w:r>
      <w:r>
        <w:rPr>
          <w:spacing w:val="7"/>
          <w:sz w:val="19"/>
        </w:rPr>
        <w:t> </w:t>
      </w:r>
      <w:r>
        <w:rPr>
          <w:sz w:val="19"/>
        </w:rPr>
        <w:t>and</w:t>
      </w:r>
      <w:r>
        <w:rPr>
          <w:spacing w:val="4"/>
          <w:sz w:val="19"/>
        </w:rPr>
        <w:t> </w:t>
      </w:r>
      <w:r>
        <w:rPr>
          <w:sz w:val="19"/>
        </w:rPr>
        <w:t>Alan</w:t>
      </w:r>
      <w:r>
        <w:rPr>
          <w:spacing w:val="9"/>
          <w:sz w:val="19"/>
        </w:rPr>
        <w:t> </w:t>
      </w:r>
      <w:r>
        <w:rPr>
          <w:sz w:val="19"/>
        </w:rPr>
        <w:t>Sinfield,</w:t>
      </w:r>
      <w:r>
        <w:rPr>
          <w:spacing w:val="10"/>
          <w:sz w:val="19"/>
        </w:rPr>
        <w:t> </w:t>
      </w:r>
      <w:r>
        <w:rPr>
          <w:sz w:val="19"/>
        </w:rPr>
        <w:t>Manchester</w:t>
      </w:r>
      <w:r>
        <w:rPr>
          <w:spacing w:val="12"/>
          <w:sz w:val="19"/>
        </w:rPr>
        <w:t> </w:t>
      </w:r>
      <w:r>
        <w:rPr>
          <w:sz w:val="19"/>
        </w:rPr>
        <w:t>UP,</w:t>
      </w:r>
      <w:r>
        <w:rPr>
          <w:spacing w:val="11"/>
          <w:sz w:val="19"/>
        </w:rPr>
        <w:t> </w:t>
      </w:r>
      <w:r>
        <w:rPr>
          <w:sz w:val="19"/>
        </w:rPr>
        <w:t>1985,</w:t>
      </w:r>
      <w:r>
        <w:rPr>
          <w:spacing w:val="10"/>
          <w:sz w:val="19"/>
        </w:rPr>
        <w:t> </w:t>
      </w:r>
      <w:r>
        <w:rPr>
          <w:sz w:val="19"/>
        </w:rPr>
        <w:t>pp.</w:t>
      </w:r>
      <w:r>
        <w:rPr>
          <w:spacing w:val="10"/>
          <w:sz w:val="19"/>
        </w:rPr>
        <w:t> </w:t>
      </w:r>
      <w:r>
        <w:rPr>
          <w:sz w:val="19"/>
        </w:rPr>
        <w:t>88–</w:t>
      </w:r>
      <w:r>
        <w:rPr>
          <w:spacing w:val="-4"/>
          <w:sz w:val="19"/>
        </w:rPr>
        <w:t>108.</w:t>
      </w:r>
    </w:p>
    <w:p>
      <w:pPr>
        <w:pStyle w:val="ListParagraph"/>
        <w:numPr>
          <w:ilvl w:val="0"/>
          <w:numId w:val="40"/>
        </w:numPr>
        <w:tabs>
          <w:tab w:pos="2157" w:val="left" w:leader="none"/>
          <w:tab w:pos="2160" w:val="left" w:leader="none"/>
        </w:tabs>
        <w:spacing w:line="261" w:lineRule="auto" w:before="77" w:after="0"/>
        <w:ind w:left="2160" w:right="1439" w:hanging="406"/>
        <w:jc w:val="both"/>
        <w:rPr>
          <w:sz w:val="19"/>
        </w:rPr>
      </w:pPr>
      <w:r>
        <w:rPr>
          <w:sz w:val="19"/>
        </w:rPr>
        <w:t>Novy, Marianne. Love’s Argument: Gender Relations in Shakespeare.</w:t>
      </w:r>
      <w:r>
        <w:rPr>
          <w:spacing w:val="40"/>
          <w:sz w:val="19"/>
        </w:rPr>
        <w:t> </w:t>
      </w:r>
      <w:r>
        <w:rPr>
          <w:sz w:val="19"/>
        </w:rPr>
        <w:t>U</w:t>
      </w:r>
      <w:r>
        <w:rPr>
          <w:spacing w:val="40"/>
          <w:sz w:val="19"/>
        </w:rPr>
        <w:t> </w:t>
      </w:r>
      <w:r>
        <w:rPr>
          <w:sz w:val="19"/>
        </w:rPr>
        <w:t>of</w:t>
      </w:r>
      <w:r>
        <w:rPr>
          <w:spacing w:val="40"/>
          <w:sz w:val="19"/>
        </w:rPr>
        <w:t> </w:t>
      </w:r>
      <w:r>
        <w:rPr>
          <w:sz w:val="19"/>
        </w:rPr>
        <w:t>North</w:t>
      </w:r>
      <w:r>
        <w:rPr>
          <w:spacing w:val="40"/>
          <w:sz w:val="19"/>
        </w:rPr>
        <w:t> </w:t>
      </w:r>
      <w:r>
        <w:rPr>
          <w:sz w:val="19"/>
        </w:rPr>
        <w:t>Carolina</w:t>
      </w:r>
      <w:r>
        <w:rPr>
          <w:spacing w:val="40"/>
          <w:sz w:val="19"/>
        </w:rPr>
        <w:t> </w:t>
      </w:r>
      <w:r>
        <w:rPr>
          <w:sz w:val="19"/>
        </w:rPr>
        <w:t>P,</w:t>
      </w:r>
      <w:r>
        <w:rPr>
          <w:spacing w:val="40"/>
          <w:sz w:val="19"/>
        </w:rPr>
        <w:t> </w:t>
      </w:r>
      <w:r>
        <w:rPr>
          <w:sz w:val="19"/>
        </w:rPr>
        <w:t>1984.</w:t>
      </w:r>
    </w:p>
    <w:p>
      <w:pPr>
        <w:pStyle w:val="ListParagraph"/>
        <w:numPr>
          <w:ilvl w:val="0"/>
          <w:numId w:val="40"/>
        </w:numPr>
        <w:tabs>
          <w:tab w:pos="2157" w:val="left" w:leader="none"/>
          <w:tab w:pos="2160" w:val="left" w:leader="none"/>
        </w:tabs>
        <w:spacing w:line="261" w:lineRule="auto" w:before="59" w:after="0"/>
        <w:ind w:left="2160" w:right="1436" w:hanging="406"/>
        <w:jc w:val="both"/>
        <w:rPr>
          <w:sz w:val="19"/>
        </w:rPr>
      </w:pPr>
      <w:r>
        <w:rPr>
          <w:sz w:val="19"/>
        </w:rPr>
        <w:t>Nyquist, Mary. “Misogyny, Patriarchy, and the Political Theory</w:t>
      </w:r>
      <w:r>
        <w:rPr>
          <w:spacing w:val="40"/>
          <w:sz w:val="19"/>
        </w:rPr>
        <w:t> </w:t>
      </w:r>
      <w:r>
        <w:rPr>
          <w:sz w:val="19"/>
        </w:rPr>
        <w:t>of Tyranny.” Gendering the Renaissance Body, edited by Lena Cowen</w:t>
      </w:r>
      <w:r>
        <w:rPr>
          <w:spacing w:val="40"/>
          <w:sz w:val="19"/>
        </w:rPr>
        <w:t> </w:t>
      </w:r>
      <w:r>
        <w:rPr>
          <w:sz w:val="19"/>
        </w:rPr>
        <w:t>Orlin,</w:t>
      </w:r>
      <w:r>
        <w:rPr>
          <w:spacing w:val="40"/>
          <w:sz w:val="19"/>
        </w:rPr>
        <w:t> </w:t>
      </w:r>
      <w:r>
        <w:rPr>
          <w:sz w:val="19"/>
        </w:rPr>
        <w:t>U</w:t>
      </w:r>
      <w:r>
        <w:rPr>
          <w:spacing w:val="40"/>
          <w:sz w:val="19"/>
        </w:rPr>
        <w:t> </w:t>
      </w:r>
      <w:r>
        <w:rPr>
          <w:sz w:val="19"/>
        </w:rPr>
        <w:t>of</w:t>
      </w:r>
      <w:r>
        <w:rPr>
          <w:spacing w:val="40"/>
          <w:sz w:val="19"/>
        </w:rPr>
        <w:t> </w:t>
      </w:r>
      <w:r>
        <w:rPr>
          <w:sz w:val="19"/>
        </w:rPr>
        <w:t>Pennsylvania</w:t>
      </w:r>
      <w:r>
        <w:rPr>
          <w:spacing w:val="40"/>
          <w:sz w:val="19"/>
        </w:rPr>
        <w:t> </w:t>
      </w:r>
      <w:r>
        <w:rPr>
          <w:sz w:val="19"/>
        </w:rPr>
        <w:t>P,</w:t>
      </w:r>
      <w:r>
        <w:rPr>
          <w:spacing w:val="40"/>
          <w:sz w:val="19"/>
        </w:rPr>
        <w:t> </w:t>
      </w:r>
      <w:r>
        <w:rPr>
          <w:sz w:val="19"/>
        </w:rPr>
        <w:t>2004,</w:t>
      </w:r>
      <w:r>
        <w:rPr>
          <w:spacing w:val="40"/>
          <w:sz w:val="19"/>
        </w:rPr>
        <w:t> </w:t>
      </w:r>
      <w:r>
        <w:rPr>
          <w:sz w:val="19"/>
        </w:rPr>
        <w:t>pp.</w:t>
      </w:r>
      <w:r>
        <w:rPr>
          <w:spacing w:val="40"/>
          <w:sz w:val="19"/>
        </w:rPr>
        <w:t> </w:t>
      </w:r>
      <w:r>
        <w:rPr>
          <w:sz w:val="19"/>
        </w:rPr>
        <w:t>196–226.</w:t>
      </w:r>
    </w:p>
    <w:p>
      <w:pPr>
        <w:pStyle w:val="ListParagraph"/>
        <w:numPr>
          <w:ilvl w:val="0"/>
          <w:numId w:val="40"/>
        </w:numPr>
        <w:tabs>
          <w:tab w:pos="2157" w:val="left" w:leader="none"/>
          <w:tab w:pos="2160" w:val="left" w:leader="none"/>
        </w:tabs>
        <w:spacing w:line="264" w:lineRule="auto" w:before="56" w:after="0"/>
        <w:ind w:left="2160" w:right="1438" w:hanging="406"/>
        <w:jc w:val="both"/>
        <w:rPr>
          <w:sz w:val="19"/>
        </w:rPr>
      </w:pPr>
      <w:r>
        <w:rPr>
          <w:sz w:val="19"/>
        </w:rPr>
        <w:t>Parker, Patricia. Shakespeare from the Margins: Language, Culture,</w:t>
      </w:r>
      <w:r>
        <w:rPr>
          <w:spacing w:val="40"/>
          <w:sz w:val="19"/>
        </w:rPr>
        <w:t> </w:t>
      </w:r>
      <w:r>
        <w:rPr>
          <w:sz w:val="19"/>
        </w:rPr>
        <w:t>Context.</w:t>
      </w:r>
      <w:r>
        <w:rPr>
          <w:spacing w:val="40"/>
          <w:sz w:val="19"/>
        </w:rPr>
        <w:t> </w:t>
      </w:r>
      <w:r>
        <w:rPr>
          <w:sz w:val="19"/>
        </w:rPr>
        <w:t>U</w:t>
      </w:r>
      <w:r>
        <w:rPr>
          <w:spacing w:val="40"/>
          <w:sz w:val="19"/>
        </w:rPr>
        <w:t> </w:t>
      </w:r>
      <w:r>
        <w:rPr>
          <w:sz w:val="19"/>
        </w:rPr>
        <w:t>of</w:t>
      </w:r>
      <w:r>
        <w:rPr>
          <w:spacing w:val="40"/>
          <w:sz w:val="19"/>
        </w:rPr>
        <w:t> </w:t>
      </w:r>
      <w:r>
        <w:rPr>
          <w:sz w:val="19"/>
        </w:rPr>
        <w:t>Chicago</w:t>
      </w:r>
      <w:r>
        <w:rPr>
          <w:spacing w:val="40"/>
          <w:sz w:val="19"/>
        </w:rPr>
        <w:t> </w:t>
      </w:r>
      <w:r>
        <w:rPr>
          <w:sz w:val="19"/>
        </w:rPr>
        <w:t>P,</w:t>
      </w:r>
      <w:r>
        <w:rPr>
          <w:spacing w:val="40"/>
          <w:sz w:val="19"/>
        </w:rPr>
        <w:t> </w:t>
      </w:r>
      <w:r>
        <w:rPr>
          <w:sz w:val="19"/>
        </w:rPr>
        <w:t>1996.</w:t>
      </w:r>
    </w:p>
    <w:p>
      <w:pPr>
        <w:pStyle w:val="ListParagraph"/>
        <w:numPr>
          <w:ilvl w:val="0"/>
          <w:numId w:val="40"/>
        </w:numPr>
        <w:tabs>
          <w:tab w:pos="2157" w:val="left" w:leader="none"/>
        </w:tabs>
        <w:spacing w:line="240" w:lineRule="auto" w:before="55" w:after="0"/>
        <w:ind w:left="2157" w:right="0" w:hanging="403"/>
        <w:jc w:val="both"/>
        <w:rPr>
          <w:sz w:val="19"/>
        </w:rPr>
      </w:pPr>
      <w:r>
        <w:rPr>
          <w:sz w:val="19"/>
        </w:rPr>
        <w:t>Rackin,</w:t>
      </w:r>
      <w:r>
        <w:rPr>
          <w:spacing w:val="27"/>
          <w:sz w:val="19"/>
        </w:rPr>
        <w:t> </w:t>
      </w:r>
      <w:r>
        <w:rPr>
          <w:sz w:val="19"/>
        </w:rPr>
        <w:t>Phyllis.</w:t>
      </w:r>
      <w:r>
        <w:rPr>
          <w:spacing w:val="29"/>
          <w:sz w:val="19"/>
        </w:rPr>
        <w:t> </w:t>
      </w:r>
      <w:r>
        <w:rPr>
          <w:sz w:val="19"/>
        </w:rPr>
        <w:t>Shakespeare</w:t>
      </w:r>
      <w:r>
        <w:rPr>
          <w:spacing w:val="26"/>
          <w:sz w:val="19"/>
        </w:rPr>
        <w:t> </w:t>
      </w:r>
      <w:r>
        <w:rPr>
          <w:sz w:val="19"/>
        </w:rPr>
        <w:t>and</w:t>
      </w:r>
      <w:r>
        <w:rPr>
          <w:spacing w:val="28"/>
          <w:sz w:val="19"/>
        </w:rPr>
        <w:t> </w:t>
      </w:r>
      <w:r>
        <w:rPr>
          <w:sz w:val="19"/>
        </w:rPr>
        <w:t>Women.</w:t>
      </w:r>
      <w:r>
        <w:rPr>
          <w:spacing w:val="28"/>
          <w:sz w:val="19"/>
        </w:rPr>
        <w:t> </w:t>
      </w:r>
      <w:r>
        <w:rPr>
          <w:sz w:val="19"/>
        </w:rPr>
        <w:t>Oxford</w:t>
      </w:r>
      <w:r>
        <w:rPr>
          <w:spacing w:val="29"/>
          <w:sz w:val="19"/>
        </w:rPr>
        <w:t> </w:t>
      </w:r>
      <w:r>
        <w:rPr>
          <w:sz w:val="19"/>
        </w:rPr>
        <w:t>UP,</w:t>
      </w:r>
      <w:r>
        <w:rPr>
          <w:spacing w:val="26"/>
          <w:sz w:val="19"/>
        </w:rPr>
        <w:t> </w:t>
      </w:r>
      <w:r>
        <w:rPr>
          <w:spacing w:val="-2"/>
          <w:sz w:val="19"/>
        </w:rPr>
        <w:t>2005.</w:t>
      </w:r>
    </w:p>
    <w:p>
      <w:pPr>
        <w:pStyle w:val="ListParagraph"/>
        <w:numPr>
          <w:ilvl w:val="0"/>
          <w:numId w:val="40"/>
        </w:numPr>
        <w:tabs>
          <w:tab w:pos="2157" w:val="left" w:leader="none"/>
          <w:tab w:pos="2160" w:val="left" w:leader="none"/>
        </w:tabs>
        <w:spacing w:line="264" w:lineRule="auto" w:before="76" w:after="0"/>
        <w:ind w:left="2160" w:right="1441" w:hanging="406"/>
        <w:jc w:val="left"/>
        <w:rPr>
          <w:sz w:val="19"/>
        </w:rPr>
      </w:pPr>
      <w:r>
        <w:rPr>
          <w:sz w:val="19"/>
        </w:rPr>
        <w:t>Shakespeare,</w:t>
      </w:r>
      <w:r>
        <w:rPr>
          <w:spacing w:val="40"/>
          <w:sz w:val="19"/>
        </w:rPr>
        <w:t> </w:t>
      </w:r>
      <w:r>
        <w:rPr>
          <w:sz w:val="19"/>
        </w:rPr>
        <w:t>William.</w:t>
      </w:r>
      <w:r>
        <w:rPr>
          <w:spacing w:val="39"/>
          <w:sz w:val="19"/>
        </w:rPr>
        <w:t> </w:t>
      </w:r>
      <w:r>
        <w:rPr>
          <w:sz w:val="19"/>
        </w:rPr>
        <w:t>Antony</w:t>
      </w:r>
      <w:r>
        <w:rPr>
          <w:spacing w:val="40"/>
          <w:sz w:val="19"/>
        </w:rPr>
        <w:t> </w:t>
      </w:r>
      <w:r>
        <w:rPr>
          <w:sz w:val="19"/>
        </w:rPr>
        <w:t>and</w:t>
      </w:r>
      <w:r>
        <w:rPr>
          <w:spacing w:val="40"/>
          <w:sz w:val="19"/>
        </w:rPr>
        <w:t> </w:t>
      </w:r>
      <w:r>
        <w:rPr>
          <w:sz w:val="19"/>
        </w:rPr>
        <w:t>Cleopatra.</w:t>
      </w:r>
      <w:r>
        <w:rPr>
          <w:spacing w:val="40"/>
          <w:sz w:val="19"/>
        </w:rPr>
        <w:t> </w:t>
      </w:r>
      <w:r>
        <w:rPr>
          <w:sz w:val="19"/>
        </w:rPr>
        <w:t>Edited</w:t>
      </w:r>
      <w:r>
        <w:rPr>
          <w:spacing w:val="40"/>
          <w:sz w:val="19"/>
        </w:rPr>
        <w:t> </w:t>
      </w:r>
      <w:r>
        <w:rPr>
          <w:sz w:val="19"/>
        </w:rPr>
        <w:t>by</w:t>
      </w:r>
      <w:r>
        <w:rPr>
          <w:spacing w:val="40"/>
          <w:sz w:val="19"/>
        </w:rPr>
        <w:t> </w:t>
      </w:r>
      <w:r>
        <w:rPr>
          <w:sz w:val="19"/>
        </w:rPr>
        <w:t>John Wilders,</w:t>
      </w:r>
      <w:r>
        <w:rPr>
          <w:spacing w:val="40"/>
          <w:sz w:val="19"/>
        </w:rPr>
        <w:t> </w:t>
      </w:r>
      <w:r>
        <w:rPr>
          <w:sz w:val="19"/>
        </w:rPr>
        <w:t>Arden</w:t>
      </w:r>
      <w:r>
        <w:rPr>
          <w:spacing w:val="40"/>
          <w:sz w:val="19"/>
        </w:rPr>
        <w:t> </w:t>
      </w:r>
      <w:r>
        <w:rPr>
          <w:sz w:val="19"/>
        </w:rPr>
        <w:t>Shakespeare,</w:t>
      </w:r>
      <w:r>
        <w:rPr>
          <w:spacing w:val="40"/>
          <w:sz w:val="19"/>
        </w:rPr>
        <w:t> </w:t>
      </w:r>
      <w:r>
        <w:rPr>
          <w:sz w:val="19"/>
        </w:rPr>
        <w:t>1995.</w:t>
      </w:r>
    </w:p>
    <w:p>
      <w:pPr>
        <w:pStyle w:val="ListParagraph"/>
        <w:numPr>
          <w:ilvl w:val="0"/>
          <w:numId w:val="40"/>
        </w:numPr>
        <w:tabs>
          <w:tab w:pos="2160" w:val="left" w:leader="none"/>
          <w:tab w:pos="2252" w:val="left" w:leader="none"/>
        </w:tabs>
        <w:spacing w:line="261" w:lineRule="auto" w:before="55" w:after="0"/>
        <w:ind w:left="2160" w:right="1442" w:hanging="406"/>
        <w:jc w:val="left"/>
        <w:rPr>
          <w:sz w:val="19"/>
        </w:rPr>
      </w:pPr>
      <w:r>
        <w:rPr>
          <w:sz w:val="19"/>
        </w:rPr>
        <w:tab/>
        <w:t>—.</w:t>
      </w:r>
      <w:r>
        <w:rPr>
          <w:spacing w:val="35"/>
          <w:sz w:val="19"/>
        </w:rPr>
        <w:t> </w:t>
      </w:r>
      <w:r>
        <w:rPr>
          <w:sz w:val="19"/>
        </w:rPr>
        <w:t>Coriolanus.</w:t>
      </w:r>
      <w:r>
        <w:rPr>
          <w:spacing w:val="39"/>
          <w:sz w:val="19"/>
        </w:rPr>
        <w:t> </w:t>
      </w:r>
      <w:r>
        <w:rPr>
          <w:sz w:val="19"/>
        </w:rPr>
        <w:t>Edited</w:t>
      </w:r>
      <w:r>
        <w:rPr>
          <w:spacing w:val="35"/>
          <w:sz w:val="19"/>
        </w:rPr>
        <w:t> </w:t>
      </w:r>
      <w:r>
        <w:rPr>
          <w:sz w:val="19"/>
        </w:rPr>
        <w:t>by</w:t>
      </w:r>
      <w:r>
        <w:rPr>
          <w:spacing w:val="32"/>
          <w:sz w:val="19"/>
        </w:rPr>
        <w:t> </w:t>
      </w:r>
      <w:r>
        <w:rPr>
          <w:sz w:val="19"/>
        </w:rPr>
        <w:t>Peter</w:t>
      </w:r>
      <w:r>
        <w:rPr>
          <w:spacing w:val="37"/>
          <w:sz w:val="19"/>
        </w:rPr>
        <w:t> </w:t>
      </w:r>
      <w:r>
        <w:rPr>
          <w:sz w:val="19"/>
        </w:rPr>
        <w:t>Holland,</w:t>
      </w:r>
      <w:r>
        <w:rPr>
          <w:spacing w:val="27"/>
          <w:sz w:val="19"/>
        </w:rPr>
        <w:t> </w:t>
      </w:r>
      <w:r>
        <w:rPr>
          <w:sz w:val="19"/>
        </w:rPr>
        <w:t>Arden</w:t>
      </w:r>
      <w:r>
        <w:rPr>
          <w:spacing w:val="37"/>
          <w:sz w:val="19"/>
        </w:rPr>
        <w:t> </w:t>
      </w:r>
      <w:r>
        <w:rPr>
          <w:sz w:val="19"/>
        </w:rPr>
        <w:t>Shakespeare, </w:t>
      </w:r>
      <w:r>
        <w:rPr>
          <w:spacing w:val="-2"/>
          <w:sz w:val="19"/>
        </w:rPr>
        <w:t>2013.</w:t>
      </w:r>
    </w:p>
    <w:p>
      <w:pPr>
        <w:pStyle w:val="ListParagraph"/>
        <w:numPr>
          <w:ilvl w:val="0"/>
          <w:numId w:val="40"/>
        </w:numPr>
        <w:tabs>
          <w:tab w:pos="2160" w:val="left" w:leader="none"/>
          <w:tab w:pos="2255" w:val="left" w:leader="none"/>
        </w:tabs>
        <w:spacing w:line="264" w:lineRule="auto" w:before="56" w:after="0"/>
        <w:ind w:left="2160" w:right="1442" w:hanging="406"/>
        <w:jc w:val="left"/>
        <w:rPr>
          <w:sz w:val="19"/>
        </w:rPr>
      </w:pPr>
      <w:r>
        <w:rPr>
          <w:sz w:val="19"/>
        </w:rPr>
        <w:tab/>
        <w:t>—.</w:t>
      </w:r>
      <w:r>
        <w:rPr>
          <w:spacing w:val="40"/>
          <w:sz w:val="19"/>
        </w:rPr>
        <w:t> </w:t>
      </w:r>
      <w:r>
        <w:rPr>
          <w:sz w:val="19"/>
        </w:rPr>
        <w:t>King</w:t>
      </w:r>
      <w:r>
        <w:rPr>
          <w:spacing w:val="40"/>
          <w:sz w:val="19"/>
        </w:rPr>
        <w:t> </w:t>
      </w:r>
      <w:r>
        <w:rPr>
          <w:sz w:val="19"/>
        </w:rPr>
        <w:t>Lear.</w:t>
      </w:r>
      <w:r>
        <w:rPr>
          <w:spacing w:val="40"/>
          <w:sz w:val="19"/>
        </w:rPr>
        <w:t> </w:t>
      </w:r>
      <w:r>
        <w:rPr>
          <w:sz w:val="19"/>
        </w:rPr>
        <w:t>Edited</w:t>
      </w:r>
      <w:r>
        <w:rPr>
          <w:spacing w:val="40"/>
          <w:sz w:val="19"/>
        </w:rPr>
        <w:t> </w:t>
      </w:r>
      <w:r>
        <w:rPr>
          <w:sz w:val="19"/>
        </w:rPr>
        <w:t>by</w:t>
      </w:r>
      <w:r>
        <w:rPr>
          <w:spacing w:val="36"/>
          <w:sz w:val="19"/>
        </w:rPr>
        <w:t> </w:t>
      </w:r>
      <w:r>
        <w:rPr>
          <w:sz w:val="19"/>
        </w:rPr>
        <w:t>R.</w:t>
      </w:r>
      <w:r>
        <w:rPr>
          <w:spacing w:val="33"/>
          <w:sz w:val="19"/>
        </w:rPr>
        <w:t> </w:t>
      </w:r>
      <w:r>
        <w:rPr>
          <w:sz w:val="19"/>
        </w:rPr>
        <w:t>A.</w:t>
      </w:r>
      <w:r>
        <w:rPr>
          <w:spacing w:val="40"/>
          <w:sz w:val="19"/>
        </w:rPr>
        <w:t> </w:t>
      </w:r>
      <w:r>
        <w:rPr>
          <w:sz w:val="19"/>
        </w:rPr>
        <w:t>Foakes,</w:t>
      </w:r>
      <w:r>
        <w:rPr>
          <w:spacing w:val="33"/>
          <w:sz w:val="19"/>
        </w:rPr>
        <w:t> </w:t>
      </w:r>
      <w:r>
        <w:rPr>
          <w:sz w:val="19"/>
        </w:rPr>
        <w:t>Arden</w:t>
      </w:r>
      <w:r>
        <w:rPr>
          <w:spacing w:val="40"/>
          <w:sz w:val="19"/>
        </w:rPr>
        <w:t> </w:t>
      </w:r>
      <w:r>
        <w:rPr>
          <w:sz w:val="19"/>
        </w:rPr>
        <w:t>Shakespeare, </w:t>
      </w:r>
      <w:r>
        <w:rPr>
          <w:spacing w:val="-2"/>
          <w:sz w:val="19"/>
        </w:rPr>
        <w:t>1997.</w:t>
      </w:r>
    </w:p>
    <w:p>
      <w:pPr>
        <w:pStyle w:val="ListParagraph"/>
        <w:numPr>
          <w:ilvl w:val="0"/>
          <w:numId w:val="40"/>
        </w:numPr>
        <w:tabs>
          <w:tab w:pos="2160" w:val="left" w:leader="none"/>
          <w:tab w:pos="2261" w:val="left" w:leader="none"/>
        </w:tabs>
        <w:spacing w:line="261" w:lineRule="auto" w:before="55" w:after="0"/>
        <w:ind w:left="2160" w:right="1439" w:hanging="406"/>
        <w:jc w:val="left"/>
        <w:rPr>
          <w:sz w:val="19"/>
        </w:rPr>
      </w:pPr>
      <w:r>
        <w:rPr>
          <w:sz w:val="19"/>
        </w:rPr>
        <w:tab/>
        <w:t>—.</w:t>
      </w:r>
      <w:r>
        <w:rPr>
          <w:spacing w:val="40"/>
          <w:sz w:val="19"/>
        </w:rPr>
        <w:t> </w:t>
      </w:r>
      <w:r>
        <w:rPr>
          <w:sz w:val="19"/>
        </w:rPr>
        <w:t>Macbeth.</w:t>
      </w:r>
      <w:r>
        <w:rPr>
          <w:spacing w:val="40"/>
          <w:sz w:val="19"/>
        </w:rPr>
        <w:t> </w:t>
      </w:r>
      <w:r>
        <w:rPr>
          <w:sz w:val="19"/>
        </w:rPr>
        <w:t>Edited</w:t>
      </w:r>
      <w:r>
        <w:rPr>
          <w:spacing w:val="40"/>
          <w:sz w:val="19"/>
        </w:rPr>
        <w:t> </w:t>
      </w:r>
      <w:r>
        <w:rPr>
          <w:sz w:val="19"/>
        </w:rPr>
        <w:t>by</w:t>
      </w:r>
      <w:r>
        <w:rPr>
          <w:spacing w:val="40"/>
          <w:sz w:val="19"/>
        </w:rPr>
        <w:t> </w:t>
      </w:r>
      <w:r>
        <w:rPr>
          <w:sz w:val="19"/>
        </w:rPr>
        <w:t>Sandra</w:t>
      </w:r>
      <w:r>
        <w:rPr>
          <w:spacing w:val="40"/>
          <w:sz w:val="19"/>
        </w:rPr>
        <w:t> </w:t>
      </w:r>
      <w:r>
        <w:rPr>
          <w:sz w:val="19"/>
        </w:rPr>
        <w:t>Clark</w:t>
      </w:r>
      <w:r>
        <w:rPr>
          <w:spacing w:val="40"/>
          <w:sz w:val="19"/>
        </w:rPr>
        <w:t> </w:t>
      </w:r>
      <w:r>
        <w:rPr>
          <w:sz w:val="19"/>
        </w:rPr>
        <w:t>and</w:t>
      </w:r>
      <w:r>
        <w:rPr>
          <w:spacing w:val="40"/>
          <w:sz w:val="19"/>
        </w:rPr>
        <w:t> </w:t>
      </w:r>
      <w:r>
        <w:rPr>
          <w:sz w:val="19"/>
        </w:rPr>
        <w:t>Pamela</w:t>
      </w:r>
      <w:r>
        <w:rPr>
          <w:spacing w:val="40"/>
          <w:sz w:val="19"/>
        </w:rPr>
        <w:t> </w:t>
      </w:r>
      <w:r>
        <w:rPr>
          <w:sz w:val="19"/>
        </w:rPr>
        <w:t>Mason,</w:t>
      </w:r>
      <w:r>
        <w:rPr>
          <w:spacing w:val="40"/>
          <w:sz w:val="19"/>
        </w:rPr>
        <w:t> </w:t>
      </w:r>
      <w:r>
        <w:rPr>
          <w:sz w:val="19"/>
        </w:rPr>
        <w:t>Arden</w:t>
      </w:r>
      <w:r>
        <w:rPr>
          <w:spacing w:val="40"/>
          <w:sz w:val="19"/>
        </w:rPr>
        <w:t> </w:t>
      </w:r>
      <w:r>
        <w:rPr>
          <w:sz w:val="19"/>
        </w:rPr>
        <w:t>Shakespeare,</w:t>
      </w:r>
      <w:r>
        <w:rPr>
          <w:spacing w:val="40"/>
          <w:sz w:val="19"/>
        </w:rPr>
        <w:t> </w:t>
      </w:r>
      <w:r>
        <w:rPr>
          <w:sz w:val="19"/>
        </w:rPr>
        <w:t>2015.</w:t>
      </w:r>
    </w:p>
    <w:p>
      <w:pPr>
        <w:pStyle w:val="ListParagraph"/>
        <w:numPr>
          <w:ilvl w:val="0"/>
          <w:numId w:val="40"/>
        </w:numPr>
        <w:tabs>
          <w:tab w:pos="2160" w:val="left" w:leader="none"/>
          <w:tab w:pos="2265" w:val="left" w:leader="none"/>
        </w:tabs>
        <w:spacing w:line="264" w:lineRule="auto" w:before="56" w:after="0"/>
        <w:ind w:left="2160" w:right="1439" w:hanging="406"/>
        <w:jc w:val="left"/>
        <w:rPr>
          <w:sz w:val="19"/>
        </w:rPr>
      </w:pPr>
      <w:r>
        <w:rPr>
          <w:sz w:val="19"/>
        </w:rPr>
        <w:tab/>
        <w:t>—.</w:t>
      </w:r>
      <w:r>
        <w:rPr>
          <w:spacing w:val="80"/>
          <w:sz w:val="19"/>
        </w:rPr>
        <w:t> </w:t>
      </w:r>
      <w:r>
        <w:rPr>
          <w:sz w:val="19"/>
        </w:rPr>
        <w:t>Titus</w:t>
      </w:r>
      <w:r>
        <w:rPr>
          <w:spacing w:val="80"/>
          <w:sz w:val="19"/>
        </w:rPr>
        <w:t> </w:t>
      </w:r>
      <w:r>
        <w:rPr>
          <w:spacing w:val="9"/>
          <w:sz w:val="19"/>
        </w:rPr>
        <w:t>Andronicus.</w:t>
      </w:r>
      <w:r>
        <w:rPr>
          <w:spacing w:val="80"/>
          <w:sz w:val="19"/>
        </w:rPr>
        <w:t> </w:t>
      </w:r>
      <w:r>
        <w:rPr>
          <w:sz w:val="19"/>
        </w:rPr>
        <w:t>Edited</w:t>
      </w:r>
      <w:r>
        <w:rPr>
          <w:spacing w:val="80"/>
          <w:sz w:val="19"/>
        </w:rPr>
        <w:t> </w:t>
      </w:r>
      <w:r>
        <w:rPr>
          <w:sz w:val="19"/>
        </w:rPr>
        <w:t>by</w:t>
      </w:r>
      <w:r>
        <w:rPr>
          <w:spacing w:val="80"/>
          <w:sz w:val="19"/>
        </w:rPr>
        <w:t> </w:t>
      </w:r>
      <w:r>
        <w:rPr>
          <w:sz w:val="19"/>
        </w:rPr>
        <w:t>Jonathan</w:t>
      </w:r>
      <w:r>
        <w:rPr>
          <w:spacing w:val="80"/>
          <w:sz w:val="19"/>
        </w:rPr>
        <w:t> </w:t>
      </w:r>
      <w:r>
        <w:rPr>
          <w:sz w:val="19"/>
        </w:rPr>
        <w:t>Bate,</w:t>
      </w:r>
      <w:r>
        <w:rPr>
          <w:spacing w:val="80"/>
          <w:sz w:val="19"/>
        </w:rPr>
        <w:t> </w:t>
      </w:r>
      <w:r>
        <w:rPr>
          <w:sz w:val="19"/>
        </w:rPr>
        <w:t>Arden Shakespeare,</w:t>
      </w:r>
      <w:r>
        <w:rPr>
          <w:spacing w:val="40"/>
          <w:sz w:val="19"/>
        </w:rPr>
        <w:t> </w:t>
      </w:r>
      <w:r>
        <w:rPr>
          <w:sz w:val="19"/>
        </w:rPr>
        <w:t>1995.</w:t>
      </w:r>
    </w:p>
    <w:p>
      <w:pPr>
        <w:pStyle w:val="ListParagraph"/>
        <w:numPr>
          <w:ilvl w:val="0"/>
          <w:numId w:val="40"/>
        </w:numPr>
        <w:tabs>
          <w:tab w:pos="2160" w:val="left" w:leader="none"/>
          <w:tab w:pos="2253" w:val="left" w:leader="none"/>
        </w:tabs>
        <w:spacing w:line="261" w:lineRule="auto" w:before="55" w:after="0"/>
        <w:ind w:left="2160" w:right="1444" w:hanging="406"/>
        <w:jc w:val="left"/>
        <w:rPr>
          <w:sz w:val="19"/>
        </w:rPr>
      </w:pPr>
      <w:r>
        <w:rPr>
          <w:sz w:val="19"/>
        </w:rPr>
        <w:tab/>
        <w:t>Thompson,</w:t>
      </w:r>
      <w:r>
        <w:rPr>
          <w:spacing w:val="25"/>
          <w:sz w:val="19"/>
        </w:rPr>
        <w:t> </w:t>
      </w:r>
      <w:r>
        <w:rPr>
          <w:sz w:val="19"/>
        </w:rPr>
        <w:t>Ayanna.</w:t>
      </w:r>
      <w:r>
        <w:rPr>
          <w:spacing w:val="37"/>
          <w:sz w:val="19"/>
        </w:rPr>
        <w:t> </w:t>
      </w:r>
      <w:r>
        <w:rPr>
          <w:sz w:val="19"/>
        </w:rPr>
        <w:t>Passing</w:t>
      </w:r>
      <w:r>
        <w:rPr>
          <w:spacing w:val="34"/>
          <w:sz w:val="19"/>
        </w:rPr>
        <w:t> </w:t>
      </w:r>
      <w:r>
        <w:rPr>
          <w:sz w:val="19"/>
        </w:rPr>
        <w:t>Strange:</w:t>
      </w:r>
      <w:r>
        <w:rPr>
          <w:spacing w:val="37"/>
          <w:sz w:val="19"/>
        </w:rPr>
        <w:t> </w:t>
      </w:r>
      <w:r>
        <w:rPr>
          <w:sz w:val="19"/>
        </w:rPr>
        <w:t>Shakespeare,</w:t>
      </w:r>
      <w:r>
        <w:rPr>
          <w:spacing w:val="34"/>
          <w:sz w:val="19"/>
        </w:rPr>
        <w:t> </w:t>
      </w:r>
      <w:r>
        <w:rPr>
          <w:sz w:val="19"/>
        </w:rPr>
        <w:t>Race,</w:t>
      </w:r>
      <w:r>
        <w:rPr>
          <w:spacing w:val="37"/>
          <w:sz w:val="19"/>
        </w:rPr>
        <w:t> </w:t>
      </w:r>
      <w:r>
        <w:rPr>
          <w:sz w:val="19"/>
        </w:rPr>
        <w:t>and Contemporary America.</w:t>
      </w:r>
      <w:r>
        <w:rPr>
          <w:spacing w:val="40"/>
          <w:sz w:val="19"/>
        </w:rPr>
        <w:t> </w:t>
      </w:r>
      <w:r>
        <w:rPr>
          <w:sz w:val="19"/>
        </w:rPr>
        <w:t>Oxford</w:t>
      </w:r>
      <w:r>
        <w:rPr>
          <w:spacing w:val="40"/>
          <w:sz w:val="19"/>
        </w:rPr>
        <w:t> </w:t>
      </w:r>
      <w:r>
        <w:rPr>
          <w:sz w:val="19"/>
        </w:rPr>
        <w:t>UP,</w:t>
      </w:r>
      <w:r>
        <w:rPr>
          <w:spacing w:val="40"/>
          <w:sz w:val="19"/>
        </w:rPr>
        <w:t> </w:t>
      </w:r>
      <w:r>
        <w:rPr>
          <w:sz w:val="19"/>
        </w:rPr>
        <w:t>2011.</w:t>
      </w:r>
    </w:p>
    <w:p>
      <w:pPr>
        <w:pStyle w:val="ListParagraph"/>
        <w:numPr>
          <w:ilvl w:val="0"/>
          <w:numId w:val="40"/>
        </w:numPr>
        <w:tabs>
          <w:tab w:pos="2160" w:val="left" w:leader="none"/>
          <w:tab w:pos="2217" w:val="left" w:leader="none"/>
        </w:tabs>
        <w:spacing w:line="264" w:lineRule="auto" w:before="56" w:after="0"/>
        <w:ind w:left="2160" w:right="1442" w:hanging="406"/>
        <w:jc w:val="left"/>
        <w:rPr>
          <w:sz w:val="19"/>
        </w:rPr>
      </w:pPr>
      <w:r>
        <w:rPr>
          <w:sz w:val="19"/>
        </w:rPr>
        <w:t>Traub,</w:t>
      </w:r>
      <w:r>
        <w:rPr>
          <w:spacing w:val="40"/>
          <w:sz w:val="19"/>
        </w:rPr>
        <w:t> </w:t>
      </w:r>
      <w:r>
        <w:rPr>
          <w:sz w:val="19"/>
        </w:rPr>
        <w:t>Valerie. The Renaissance of Lesbianism in Early</w:t>
      </w:r>
      <w:r>
        <w:rPr>
          <w:spacing w:val="-1"/>
          <w:sz w:val="19"/>
        </w:rPr>
        <w:t> </w:t>
      </w:r>
      <w:r>
        <w:rPr>
          <w:sz w:val="19"/>
        </w:rPr>
        <w:t>Modern England.</w:t>
      </w:r>
      <w:r>
        <w:rPr>
          <w:spacing w:val="40"/>
          <w:sz w:val="19"/>
        </w:rPr>
        <w:t> </w:t>
      </w:r>
      <w:r>
        <w:rPr>
          <w:sz w:val="19"/>
        </w:rPr>
        <w:t>Cambridge</w:t>
      </w:r>
      <w:r>
        <w:rPr>
          <w:spacing w:val="40"/>
          <w:sz w:val="19"/>
        </w:rPr>
        <w:t> </w:t>
      </w:r>
      <w:r>
        <w:rPr>
          <w:sz w:val="19"/>
        </w:rPr>
        <w:t>UP,</w:t>
      </w:r>
      <w:r>
        <w:rPr>
          <w:spacing w:val="40"/>
          <w:sz w:val="19"/>
        </w:rPr>
        <w:t> </w:t>
      </w:r>
      <w:r>
        <w:rPr>
          <w:sz w:val="19"/>
        </w:rPr>
        <w:t>2002.</w:t>
      </w:r>
    </w:p>
    <w:p>
      <w:pPr>
        <w:pStyle w:val="ListParagraph"/>
        <w:spacing w:after="0" w:line="264"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17888">
                <wp:simplePos x="0" y="0"/>
                <wp:positionH relativeFrom="page">
                  <wp:posOffset>2057400</wp:posOffset>
                </wp:positionH>
                <wp:positionV relativeFrom="page">
                  <wp:posOffset>1788723</wp:posOffset>
                </wp:positionV>
                <wp:extent cx="3656965" cy="140335"/>
                <wp:effectExtent l="0" t="0" r="0" b="0"/>
                <wp:wrapNone/>
                <wp:docPr id="476" name="Textbox 476"/>
                <wp:cNvGraphicFramePr>
                  <a:graphicFrameLocks/>
                </wp:cNvGraphicFramePr>
                <a:graphic>
                  <a:graphicData uri="http://schemas.microsoft.com/office/word/2010/wordprocessingShape">
                    <wps:wsp>
                      <wps:cNvPr id="476" name="Textbox 476"/>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214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398592" type="#_x0000_t202" id="docshape471"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214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477" name="Group 477"/>
                <wp:cNvGraphicFramePr>
                  <a:graphicFrameLocks/>
                </wp:cNvGraphicFramePr>
                <a:graphic>
                  <a:graphicData uri="http://schemas.microsoft.com/office/word/2010/wordprocessingGroup">
                    <wpg:wgp>
                      <wpg:cNvPr id="477" name="Group 477"/>
                      <wpg:cNvGrpSpPr/>
                      <wpg:grpSpPr>
                        <a:xfrm>
                          <a:off x="0" y="0"/>
                          <a:ext cx="4044950" cy="699770"/>
                          <a:chExt cx="4044950" cy="699770"/>
                        </a:xfrm>
                      </wpg:grpSpPr>
                      <wps:wsp>
                        <wps:cNvPr id="478" name="Graphic 478"/>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472" coordorigin="0,0" coordsize="6370,1102">
                <v:rect style="position:absolute;left:0;top:0;width:6370;height:1102" id="docshape473"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53728">
                <wp:simplePos x="0" y="0"/>
                <wp:positionH relativeFrom="page">
                  <wp:posOffset>3488435</wp:posOffset>
                </wp:positionH>
                <wp:positionV relativeFrom="paragraph">
                  <wp:posOffset>272922</wp:posOffset>
                </wp:positionV>
                <wp:extent cx="728980" cy="655320"/>
                <wp:effectExtent l="0" t="0" r="0" b="0"/>
                <wp:wrapTopAndBottom/>
                <wp:docPr id="479" name="Group 479"/>
                <wp:cNvGraphicFramePr>
                  <a:graphicFrameLocks/>
                </wp:cNvGraphicFramePr>
                <a:graphic>
                  <a:graphicData uri="http://schemas.microsoft.com/office/word/2010/wordprocessingGroup">
                    <wpg:wgp>
                      <wpg:cNvPr id="479" name="Group 479"/>
                      <wpg:cNvGrpSpPr/>
                      <wpg:grpSpPr>
                        <a:xfrm>
                          <a:off x="0" y="0"/>
                          <a:ext cx="728980" cy="655320"/>
                          <a:chExt cx="728980" cy="655320"/>
                        </a:xfrm>
                      </wpg:grpSpPr>
                      <pic:pic>
                        <pic:nvPicPr>
                          <pic:cNvPr id="480" name="Image 480"/>
                          <pic:cNvPicPr/>
                        </pic:nvPicPr>
                        <pic:blipFill>
                          <a:blip r:embed="rId99" cstate="print"/>
                          <a:stretch>
                            <a:fillRect/>
                          </a:stretch>
                        </pic:blipFill>
                        <pic:spPr>
                          <a:xfrm>
                            <a:off x="0" y="0"/>
                            <a:ext cx="728471" cy="655320"/>
                          </a:xfrm>
                          <a:prstGeom prst="rect">
                            <a:avLst/>
                          </a:prstGeom>
                        </pic:spPr>
                      </pic:pic>
                      <wps:wsp>
                        <wps:cNvPr id="481" name="Textbox 481"/>
                        <wps:cNvSpPr txBox="1"/>
                        <wps:spPr>
                          <a:xfrm>
                            <a:off x="0" y="0"/>
                            <a:ext cx="728980" cy="655320"/>
                          </a:xfrm>
                          <a:prstGeom prst="rect">
                            <a:avLst/>
                          </a:prstGeom>
                        </wps:spPr>
                        <wps:txbx>
                          <w:txbxContent>
                            <w:p>
                              <w:pPr>
                                <w:spacing w:before="374"/>
                                <w:ind w:left="432" w:right="0" w:firstLine="0"/>
                                <w:jc w:val="left"/>
                                <w:rPr>
                                  <w:rFonts w:ascii="Tahoma"/>
                                  <w:b/>
                                  <w:sz w:val="36"/>
                                </w:rPr>
                              </w:pPr>
                              <w:r>
                                <w:rPr>
                                  <w:rFonts w:ascii="Tahoma"/>
                                  <w:b/>
                                  <w:spacing w:val="-5"/>
                                  <w:w w:val="95"/>
                                  <w:sz w:val="36"/>
                                </w:rPr>
                                <w:t>21</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562752;mso-wrap-distance-left:0;mso-wrap-distance-right:0" id="docshapegroup474" coordorigin="5494,430" coordsize="1148,1032">
                <v:shape style="position:absolute;left:5493;top:429;width:1148;height:1032" type="#_x0000_t75" id="docshape475" stroked="false">
                  <v:imagedata r:id="rId99" o:title=""/>
                </v:shape>
                <v:shape style="position:absolute;left:5493;top:429;width:1148;height:1032" type="#_x0000_t202" id="docshape476" filled="false" stroked="false">
                  <v:textbox inset="0,0,0,0">
                    <w:txbxContent>
                      <w:p>
                        <w:pPr>
                          <w:spacing w:before="374"/>
                          <w:ind w:left="432" w:right="0" w:firstLine="0"/>
                          <w:jc w:val="left"/>
                          <w:rPr>
                            <w:rFonts w:ascii="Tahoma"/>
                            <w:b/>
                            <w:sz w:val="36"/>
                          </w:rPr>
                        </w:pPr>
                        <w:r>
                          <w:rPr>
                            <w:rFonts w:ascii="Tahoma"/>
                            <w:b/>
                            <w:spacing w:val="-5"/>
                            <w:w w:val="95"/>
                            <w:sz w:val="36"/>
                          </w:rPr>
                          <w:t>21</w:t>
                        </w:r>
                      </w:p>
                    </w:txbxContent>
                  </v:textbox>
                  <w10:wrap type="none"/>
                </v:shape>
                <w10:wrap type="topAndBottom"/>
              </v:group>
            </w:pict>
          </mc:Fallback>
        </mc:AlternateContent>
      </w:r>
    </w:p>
    <w:p>
      <w:pPr>
        <w:pStyle w:val="Heading1"/>
        <w:spacing w:line="211" w:lineRule="auto" w:before="28"/>
        <w:ind w:left="1545" w:right="1551" w:hanging="4"/>
      </w:pPr>
      <w:r>
        <w:rPr/>
        <w:t>Silenced Then, Speaking Now: </w:t>
      </w:r>
      <w:r>
        <w:rPr>
          <w:spacing w:val="-6"/>
        </w:rPr>
        <w:t>Shakespeare</w:t>
      </w:r>
      <w:r>
        <w:rPr>
          <w:spacing w:val="-11"/>
        </w:rPr>
        <w:t> </w:t>
      </w:r>
      <w:r>
        <w:rPr>
          <w:spacing w:val="-6"/>
        </w:rPr>
        <w:t>and</w:t>
      </w:r>
      <w:r>
        <w:rPr>
          <w:spacing w:val="-11"/>
        </w:rPr>
        <w:t> </w:t>
      </w:r>
      <w:r>
        <w:rPr>
          <w:spacing w:val="-6"/>
        </w:rPr>
        <w:t>Heroines</w:t>
      </w:r>
      <w:r>
        <w:rPr>
          <w:spacing w:val="-14"/>
        </w:rPr>
        <w:t> </w:t>
      </w:r>
      <w:r>
        <w:rPr>
          <w:spacing w:val="-6"/>
        </w:rPr>
        <w:t>Through</w:t>
      </w:r>
    </w:p>
    <w:p>
      <w:pPr>
        <w:tabs>
          <w:tab w:pos="1507" w:val="left" w:leader="none"/>
          <w:tab w:pos="5759" w:val="left" w:leader="none"/>
        </w:tabs>
        <w:spacing w:line="347" w:lineRule="exact" w:before="0"/>
        <w:ind w:left="0" w:right="0" w:firstLine="0"/>
        <w:jc w:val="center"/>
        <w:rPr>
          <w:rFonts w:ascii="Tahoma"/>
          <w:b/>
          <w:sz w:val="32"/>
        </w:rPr>
      </w:pPr>
      <w:r>
        <w:rPr>
          <w:sz w:val="32"/>
          <w:u w:val="single"/>
        </w:rPr>
        <w:tab/>
      </w:r>
      <w:r>
        <w:rPr>
          <w:rFonts w:ascii="Tahoma"/>
          <w:b/>
          <w:spacing w:val="-4"/>
          <w:sz w:val="32"/>
          <w:u w:val="single"/>
        </w:rPr>
        <w:t>the</w:t>
      </w:r>
      <w:r>
        <w:rPr>
          <w:rFonts w:ascii="Tahoma"/>
          <w:b/>
          <w:spacing w:val="-16"/>
          <w:sz w:val="32"/>
          <w:u w:val="single"/>
        </w:rPr>
        <w:t> </w:t>
      </w:r>
      <w:r>
        <w:rPr>
          <w:rFonts w:ascii="Tahoma"/>
          <w:b/>
          <w:spacing w:val="-4"/>
          <w:sz w:val="32"/>
          <w:u w:val="single"/>
        </w:rPr>
        <w:t>#Me</w:t>
      </w:r>
      <w:r>
        <w:rPr>
          <w:rFonts w:ascii="Tahoma"/>
          <w:b/>
          <w:spacing w:val="-13"/>
          <w:sz w:val="32"/>
          <w:u w:val="single"/>
        </w:rPr>
        <w:t> </w:t>
      </w:r>
      <w:r>
        <w:rPr>
          <w:rFonts w:ascii="Tahoma"/>
          <w:b/>
          <w:spacing w:val="-4"/>
          <w:sz w:val="32"/>
          <w:u w:val="single"/>
        </w:rPr>
        <w:t>Too</w:t>
      </w:r>
      <w:r>
        <w:rPr>
          <w:rFonts w:ascii="Tahoma"/>
          <w:b/>
          <w:spacing w:val="-16"/>
          <w:sz w:val="32"/>
          <w:u w:val="single"/>
        </w:rPr>
        <w:t> </w:t>
      </w:r>
      <w:r>
        <w:rPr>
          <w:rFonts w:ascii="Tahoma"/>
          <w:b/>
          <w:spacing w:val="-4"/>
          <w:sz w:val="32"/>
          <w:u w:val="single"/>
        </w:rPr>
        <w:t>Lens</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54240">
                <wp:simplePos x="0" y="0"/>
                <wp:positionH relativeFrom="page">
                  <wp:posOffset>2057400</wp:posOffset>
                </wp:positionH>
                <wp:positionV relativeFrom="paragraph">
                  <wp:posOffset>60051</wp:posOffset>
                </wp:positionV>
                <wp:extent cx="3657600" cy="7620"/>
                <wp:effectExtent l="0" t="0" r="0" b="0"/>
                <wp:wrapTopAndBottom/>
                <wp:docPr id="482" name="Graphic 482"/>
                <wp:cNvGraphicFramePr>
                  <a:graphicFrameLocks/>
                </wp:cNvGraphicFramePr>
                <a:graphic>
                  <a:graphicData uri="http://schemas.microsoft.com/office/word/2010/wordprocessingShape">
                    <wps:wsp>
                      <wps:cNvPr id="482" name="Graphic 482"/>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62pt;width:288.000009pt;height:.599991pt;mso-position-horizontal-relative:page;mso-position-vertical-relative:paragraph;z-index:-15562240;mso-wrap-distance-left:0;mso-wrap-distance-right:0" id="docshape477"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40"/>
        <w:jc w:val="right"/>
        <w:rPr>
          <w:rFonts w:ascii="Times New Roman"/>
        </w:rPr>
      </w:pPr>
      <w:r>
        <w:rPr>
          <w:rFonts w:ascii="Times New Roman"/>
        </w:rPr>
        <w:t>Sadguna</w:t>
      </w:r>
      <w:r>
        <w:rPr>
          <w:rFonts w:ascii="Times New Roman"/>
          <w:spacing w:val="69"/>
        </w:rPr>
        <w:t> </w:t>
      </w:r>
      <w:r>
        <w:rPr>
          <w:rFonts w:ascii="Times New Roman"/>
          <w:spacing w:val="-2"/>
        </w:rPr>
        <w:t>Jannu</w:t>
      </w:r>
    </w:p>
    <w:p>
      <w:pPr>
        <w:spacing w:before="15"/>
        <w:ind w:left="0" w:right="1438" w:firstLine="0"/>
        <w:jc w:val="right"/>
        <w:rPr>
          <w:i/>
          <w:sz w:val="19"/>
        </w:rPr>
      </w:pPr>
      <w:r>
        <w:rPr>
          <w:i/>
          <w:sz w:val="19"/>
        </w:rPr>
        <w:t>Department</w:t>
      </w:r>
      <w:r>
        <w:rPr>
          <w:i/>
          <w:spacing w:val="59"/>
          <w:sz w:val="19"/>
        </w:rPr>
        <w:t> </w:t>
      </w:r>
      <w:r>
        <w:rPr>
          <w:i/>
          <w:sz w:val="19"/>
        </w:rPr>
        <w:t>of</w:t>
      </w:r>
      <w:r>
        <w:rPr>
          <w:i/>
          <w:spacing w:val="59"/>
          <w:sz w:val="19"/>
        </w:rPr>
        <w:t> </w:t>
      </w:r>
      <w:r>
        <w:rPr>
          <w:i/>
          <w:sz w:val="19"/>
        </w:rPr>
        <w:t>English,</w:t>
      </w:r>
      <w:r>
        <w:rPr>
          <w:i/>
          <w:spacing w:val="61"/>
          <w:sz w:val="19"/>
        </w:rPr>
        <w:t> </w:t>
      </w:r>
      <w:r>
        <w:rPr>
          <w:i/>
          <w:sz w:val="19"/>
        </w:rPr>
        <w:t>Osmania</w:t>
      </w:r>
      <w:r>
        <w:rPr>
          <w:i/>
          <w:spacing w:val="61"/>
          <w:sz w:val="19"/>
        </w:rPr>
        <w:t> </w:t>
      </w:r>
      <w:r>
        <w:rPr>
          <w:i/>
          <w:sz w:val="19"/>
        </w:rPr>
        <w:t>University,</w:t>
      </w:r>
      <w:r>
        <w:rPr>
          <w:i/>
          <w:spacing w:val="59"/>
          <w:sz w:val="19"/>
        </w:rPr>
        <w:t> </w:t>
      </w:r>
      <w:r>
        <w:rPr>
          <w:i/>
          <w:spacing w:val="-2"/>
          <w:sz w:val="19"/>
        </w:rPr>
        <w:t>Hyderabad</w:t>
      </w:r>
    </w:p>
    <w:p>
      <w:pPr>
        <w:pStyle w:val="BodyText"/>
        <w:spacing w:before="161"/>
        <w:ind w:left="0"/>
        <w:rPr>
          <w:i/>
          <w:sz w:val="19"/>
        </w:rPr>
      </w:pPr>
    </w:p>
    <w:p>
      <w:pPr>
        <w:pStyle w:val="Heading3"/>
        <w:spacing w:before="0"/>
      </w:pPr>
      <w:r>
        <w:rPr>
          <w:spacing w:val="-2"/>
        </w:rPr>
        <w:t>ABSTRACT:</w:t>
      </w:r>
    </w:p>
    <w:p>
      <w:pPr>
        <w:pStyle w:val="BodyText"/>
        <w:spacing w:line="249" w:lineRule="auto" w:before="75"/>
        <w:ind w:right="1434" w:firstLine="432"/>
        <w:jc w:val="both"/>
      </w:pPr>
      <w:r>
        <w:rPr/>
        <w:t>The Me Too Movement reveals the longstanding relevance of </w:t>
      </w:r>
      <w:r>
        <w:rPr>
          <w:spacing w:val="-2"/>
        </w:rPr>
        <w:t>Shakespeare’s</w:t>
      </w:r>
      <w:r>
        <w:rPr>
          <w:spacing w:val="-7"/>
        </w:rPr>
        <w:t> </w:t>
      </w:r>
      <w:r>
        <w:rPr>
          <w:spacing w:val="-2"/>
        </w:rPr>
        <w:t>women</w:t>
      </w:r>
      <w:r>
        <w:rPr>
          <w:spacing w:val="-7"/>
        </w:rPr>
        <w:t> </w:t>
      </w:r>
      <w:r>
        <w:rPr>
          <w:spacing w:val="-2"/>
        </w:rPr>
        <w:t>both</w:t>
      </w:r>
      <w:r>
        <w:rPr>
          <w:spacing w:val="-7"/>
        </w:rPr>
        <w:t> </w:t>
      </w:r>
      <w:r>
        <w:rPr>
          <w:spacing w:val="-2"/>
        </w:rPr>
        <w:t>among</w:t>
      </w:r>
      <w:r>
        <w:rPr>
          <w:spacing w:val="-7"/>
        </w:rPr>
        <w:t> </w:t>
      </w:r>
      <w:r>
        <w:rPr>
          <w:spacing w:val="-2"/>
        </w:rPr>
        <w:t>modern</w:t>
      </w:r>
      <w:r>
        <w:rPr>
          <w:spacing w:val="-7"/>
        </w:rPr>
        <w:t> </w:t>
      </w:r>
      <w:r>
        <w:rPr>
          <w:spacing w:val="-2"/>
        </w:rPr>
        <w:t>feminists</w:t>
      </w:r>
      <w:r>
        <w:rPr>
          <w:spacing w:val="-7"/>
        </w:rPr>
        <w:t> </w:t>
      </w:r>
      <w:r>
        <w:rPr>
          <w:spacing w:val="-2"/>
        </w:rPr>
        <w:t>and</w:t>
      </w:r>
      <w:r>
        <w:rPr>
          <w:spacing w:val="-5"/>
        </w:rPr>
        <w:t> </w:t>
      </w:r>
      <w:r>
        <w:rPr>
          <w:spacing w:val="-2"/>
        </w:rPr>
        <w:t>feminist</w:t>
      </w:r>
      <w:r>
        <w:rPr>
          <w:spacing w:val="-5"/>
        </w:rPr>
        <w:t> </w:t>
      </w:r>
      <w:r>
        <w:rPr>
          <w:spacing w:val="-2"/>
        </w:rPr>
        <w:t>literary </w:t>
      </w:r>
      <w:r>
        <w:rPr/>
        <w:t>critics. Shakespearean women are examined through four main lenses that apply</w:t>
      </w:r>
      <w:r>
        <w:rPr>
          <w:spacing w:val="-1"/>
        </w:rPr>
        <w:t> </w:t>
      </w:r>
      <w:r>
        <w:rPr/>
        <w:t>to feminist discussions today</w:t>
      </w:r>
      <w:r>
        <w:rPr>
          <w:spacing w:val="-3"/>
        </w:rPr>
        <w:t> </w:t>
      </w:r>
      <w:r>
        <w:rPr/>
        <w:t>- consent, power, gender-based experiences, and portrayals in sexual relationships. Even though Shakespeare’s female characters are situated in a very early modern patriarchal culture, the research supports the idea that they also demonstrate the same attempts to silence, resist, and negotiate against patriarchal authority as do women today. Characters such as Portia, Juliet, and Rosalind are used as case studies to demonstrate how</w:t>
      </w:r>
      <w:r>
        <w:rPr>
          <w:spacing w:val="40"/>
        </w:rPr>
        <w:t> </w:t>
      </w:r>
      <w:r>
        <w:rPr/>
        <w:t>women can navigate restrictive social structures through a combination of</w:t>
      </w:r>
      <w:r>
        <w:rPr>
          <w:spacing w:val="-4"/>
        </w:rPr>
        <w:t> </w:t>
      </w:r>
      <w:r>
        <w:rPr/>
        <w:t>disguise,</w:t>
      </w:r>
      <w:r>
        <w:rPr>
          <w:spacing w:val="-3"/>
        </w:rPr>
        <w:t> </w:t>
      </w:r>
      <w:r>
        <w:rPr/>
        <w:t>performance,</w:t>
      </w:r>
      <w:r>
        <w:rPr>
          <w:spacing w:val="-3"/>
        </w:rPr>
        <w:t> </w:t>
      </w:r>
      <w:r>
        <w:rPr/>
        <w:t>emotion,</w:t>
      </w:r>
      <w:r>
        <w:rPr>
          <w:spacing w:val="-4"/>
        </w:rPr>
        <w:t> </w:t>
      </w:r>
      <w:r>
        <w:rPr/>
        <w:t>and</w:t>
      </w:r>
      <w:r>
        <w:rPr>
          <w:spacing w:val="-1"/>
        </w:rPr>
        <w:t> </w:t>
      </w:r>
      <w:r>
        <w:rPr/>
        <w:t>negotiation.</w:t>
      </w:r>
      <w:r>
        <w:rPr>
          <w:spacing w:val="-3"/>
        </w:rPr>
        <w:t> </w:t>
      </w:r>
      <w:r>
        <w:rPr/>
        <w:t>This</w:t>
      </w:r>
      <w:r>
        <w:rPr>
          <w:spacing w:val="-3"/>
        </w:rPr>
        <w:t> </w:t>
      </w:r>
      <w:r>
        <w:rPr/>
        <w:t>paper</w:t>
      </w:r>
      <w:r>
        <w:rPr>
          <w:spacing w:val="-1"/>
        </w:rPr>
        <w:t> </w:t>
      </w:r>
      <w:r>
        <w:rPr/>
        <w:t>contains both English and Spanish versions; both versions contain content for young adult readership; and both provide evidence that Shakespeare viewed women as being subtle victims who rejected, restricted, and subverted</w:t>
      </w:r>
      <w:r>
        <w:rPr>
          <w:spacing w:val="-13"/>
        </w:rPr>
        <w:t> </w:t>
      </w:r>
      <w:r>
        <w:rPr/>
        <w:t>patriarchal</w:t>
      </w:r>
      <w:r>
        <w:rPr>
          <w:spacing w:val="-12"/>
        </w:rPr>
        <w:t> </w:t>
      </w:r>
      <w:r>
        <w:rPr/>
        <w:t>authority.</w:t>
      </w:r>
      <w:r>
        <w:rPr>
          <w:spacing w:val="-13"/>
        </w:rPr>
        <w:t> </w:t>
      </w:r>
      <w:r>
        <w:rPr/>
        <w:t>From</w:t>
      </w:r>
      <w:r>
        <w:rPr>
          <w:spacing w:val="-12"/>
        </w:rPr>
        <w:t> </w:t>
      </w:r>
      <w:r>
        <w:rPr/>
        <w:t>a</w:t>
      </w:r>
      <w:r>
        <w:rPr>
          <w:spacing w:val="-13"/>
        </w:rPr>
        <w:t> </w:t>
      </w:r>
      <w:r>
        <w:rPr/>
        <w:t>feminist</w:t>
      </w:r>
      <w:r>
        <w:rPr>
          <w:spacing w:val="-12"/>
        </w:rPr>
        <w:t> </w:t>
      </w:r>
      <w:r>
        <w:rPr/>
        <w:t>and</w:t>
      </w:r>
      <w:r>
        <w:rPr>
          <w:spacing w:val="-13"/>
        </w:rPr>
        <w:t> </w:t>
      </w:r>
      <w:r>
        <w:rPr/>
        <w:t>cultural</w:t>
      </w:r>
      <w:r>
        <w:rPr>
          <w:spacing w:val="-12"/>
        </w:rPr>
        <w:t> </w:t>
      </w:r>
      <w:r>
        <w:rPr/>
        <w:t>perspective, silence is seen as not only “absence of” voice; however, it can also be interpreted as just another form of resistance from one of the many “powerful”</w:t>
      </w:r>
      <w:r>
        <w:rPr>
          <w:spacing w:val="-4"/>
        </w:rPr>
        <w:t> </w:t>
      </w:r>
      <w:r>
        <w:rPr/>
        <w:t>conditions.</w:t>
      </w:r>
      <w:r>
        <w:rPr>
          <w:spacing w:val="-5"/>
        </w:rPr>
        <w:t> </w:t>
      </w:r>
      <w:r>
        <w:rPr/>
        <w:t>Using</w:t>
      </w:r>
      <w:r>
        <w:rPr>
          <w:spacing w:val="-7"/>
        </w:rPr>
        <w:t> </w:t>
      </w:r>
      <w:r>
        <w:rPr/>
        <w:t>the</w:t>
      </w:r>
      <w:r>
        <w:rPr>
          <w:spacing w:val="-4"/>
        </w:rPr>
        <w:t> </w:t>
      </w:r>
      <w:r>
        <w:rPr/>
        <w:t>baseline</w:t>
      </w:r>
      <w:r>
        <w:rPr>
          <w:spacing w:val="-4"/>
        </w:rPr>
        <w:t> </w:t>
      </w:r>
      <w:r>
        <w:rPr/>
        <w:t>of</w:t>
      </w:r>
      <w:r>
        <w:rPr>
          <w:spacing w:val="-7"/>
        </w:rPr>
        <w:t> </w:t>
      </w:r>
      <w:r>
        <w:rPr/>
        <w:t>#MeToo,</w:t>
      </w:r>
      <w:r>
        <w:rPr>
          <w:spacing w:val="-7"/>
        </w:rPr>
        <w:t> </w:t>
      </w:r>
      <w:r>
        <w:rPr/>
        <w:t>we</w:t>
      </w:r>
      <w:r>
        <w:rPr>
          <w:spacing w:val="-4"/>
        </w:rPr>
        <w:t> </w:t>
      </w:r>
      <w:r>
        <w:rPr/>
        <w:t>can</w:t>
      </w:r>
      <w:r>
        <w:rPr>
          <w:spacing w:val="-7"/>
        </w:rPr>
        <w:t> </w:t>
      </w:r>
      <w:r>
        <w:rPr/>
        <w:t>now</w:t>
      </w:r>
      <w:r>
        <w:rPr>
          <w:spacing w:val="-8"/>
        </w:rPr>
        <w:t> </w:t>
      </w:r>
      <w:r>
        <w:rPr/>
        <w:t>look at how to reframe some characters, in relation,/as they relate to, </w:t>
      </w:r>
      <w:r>
        <w:rPr>
          <w:spacing w:val="-2"/>
        </w:rPr>
        <w:t>contemporary issues</w:t>
      </w:r>
      <w:r>
        <w:rPr>
          <w:spacing w:val="-1"/>
        </w:rPr>
        <w:t> </w:t>
      </w:r>
      <w:r>
        <w:rPr>
          <w:spacing w:val="-2"/>
        </w:rPr>
        <w:t>(mutual</w:t>
      </w:r>
      <w:r>
        <w:rPr>
          <w:spacing w:val="3"/>
        </w:rPr>
        <w:t> </w:t>
      </w:r>
      <w:r>
        <w:rPr>
          <w:spacing w:val="-2"/>
        </w:rPr>
        <w:t>consent,</w:t>
      </w:r>
      <w:r>
        <w:rPr>
          <w:spacing w:val="6"/>
        </w:rPr>
        <w:t> </w:t>
      </w:r>
      <w:r>
        <w:rPr>
          <w:spacing w:val="-2"/>
        </w:rPr>
        <w:t>emotional</w:t>
      </w:r>
      <w:r>
        <w:rPr>
          <w:spacing w:val="1"/>
        </w:rPr>
        <w:t> </w:t>
      </w:r>
      <w:r>
        <w:rPr>
          <w:spacing w:val="-2"/>
        </w:rPr>
        <w:t>self-determination;</w:t>
      </w:r>
      <w:r>
        <w:rPr>
          <w:spacing w:val="3"/>
        </w:rPr>
        <w:t> </w:t>
      </w:r>
      <w:r>
        <w:rPr>
          <w:spacing w:val="-2"/>
        </w:rPr>
        <w:t>e.g.,</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5" w:val="left" w:leader="none"/>
        </w:tabs>
        <w:spacing w:before="0"/>
        <w:ind w:left="0" w:right="0"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755264">
                <wp:simplePos x="0" y="0"/>
                <wp:positionH relativeFrom="page">
                  <wp:posOffset>2065020</wp:posOffset>
                </wp:positionH>
                <wp:positionV relativeFrom="paragraph">
                  <wp:posOffset>162604</wp:posOffset>
                </wp:positionV>
                <wp:extent cx="3657600" cy="12700"/>
                <wp:effectExtent l="0" t="0" r="0" b="0"/>
                <wp:wrapTopAndBottom/>
                <wp:docPr id="483" name="Graphic 483"/>
                <wp:cNvGraphicFramePr>
                  <a:graphicFrameLocks/>
                </wp:cNvGraphicFramePr>
                <a:graphic>
                  <a:graphicData uri="http://schemas.microsoft.com/office/word/2010/wordprocessingShape">
                    <wps:wsp>
                      <wps:cNvPr id="483" name="Graphic 48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61216;mso-wrap-distance-left:0;mso-wrap-distance-right:0" id="docshape478" filled="true" fillcolor="#000000" stroked="false">
                <v:fill type="solid"/>
                <w10:wrap type="topAndBottom"/>
              </v:rect>
            </w:pict>
          </mc:Fallback>
        </mc:AlternateContent>
      </w:r>
      <w:r>
        <w:rPr>
          <w:rFonts w:ascii="Verdana"/>
          <w:spacing w:val="-6"/>
          <w:sz w:val="18"/>
        </w:rPr>
        <w:t>Silenced</w:t>
      </w:r>
      <w:r>
        <w:rPr>
          <w:rFonts w:ascii="Verdana"/>
          <w:spacing w:val="-2"/>
          <w:sz w:val="18"/>
        </w:rPr>
        <w:t> </w:t>
      </w:r>
      <w:r>
        <w:rPr>
          <w:rFonts w:ascii="Verdana"/>
          <w:spacing w:val="-6"/>
          <w:sz w:val="18"/>
        </w:rPr>
        <w:t>Then,</w:t>
      </w:r>
      <w:r>
        <w:rPr>
          <w:rFonts w:ascii="Verdana"/>
          <w:spacing w:val="1"/>
          <w:sz w:val="18"/>
        </w:rPr>
        <w:t> </w:t>
      </w:r>
      <w:r>
        <w:rPr>
          <w:rFonts w:ascii="Verdana"/>
          <w:spacing w:val="-6"/>
          <w:sz w:val="18"/>
        </w:rPr>
        <w:t>Speaking</w:t>
      </w:r>
      <w:r>
        <w:rPr>
          <w:rFonts w:ascii="Verdana"/>
          <w:spacing w:val="2"/>
          <w:sz w:val="18"/>
        </w:rPr>
        <w:t> </w:t>
      </w:r>
      <w:r>
        <w:rPr>
          <w:rFonts w:ascii="Verdana"/>
          <w:spacing w:val="-6"/>
          <w:sz w:val="18"/>
        </w:rPr>
        <w:t>Now:</w:t>
      </w:r>
      <w:r>
        <w:rPr>
          <w:rFonts w:ascii="Verdana"/>
          <w:spacing w:val="1"/>
          <w:sz w:val="18"/>
        </w:rPr>
        <w:t> </w:t>
      </w:r>
      <w:r>
        <w:rPr>
          <w:rFonts w:ascii="Verdana"/>
          <w:spacing w:val="-6"/>
          <w:sz w:val="18"/>
        </w:rPr>
        <w:t>Shakespeare</w:t>
      </w:r>
      <w:r>
        <w:rPr>
          <w:rFonts w:ascii="Verdana"/>
          <w:spacing w:val="3"/>
          <w:sz w:val="18"/>
        </w:rPr>
        <w:t> </w:t>
      </w:r>
      <w:r>
        <w:rPr>
          <w:rFonts w:ascii="Verdana"/>
          <w:spacing w:val="-6"/>
          <w:sz w:val="18"/>
        </w:rPr>
        <w:t>and</w:t>
      </w:r>
      <w:r>
        <w:rPr>
          <w:rFonts w:ascii="Verdana"/>
          <w:spacing w:val="1"/>
          <w:sz w:val="18"/>
        </w:rPr>
        <w:t> </w:t>
      </w:r>
      <w:r>
        <w:rPr>
          <w:rFonts w:ascii="Verdana"/>
          <w:spacing w:val="-6"/>
          <w:sz w:val="18"/>
        </w:rPr>
        <w:t>Heroines</w:t>
      </w:r>
      <w:r>
        <w:rPr>
          <w:rFonts w:ascii="Verdana"/>
          <w:spacing w:val="1"/>
          <w:sz w:val="18"/>
        </w:rPr>
        <w:t> </w:t>
      </w:r>
      <w:r>
        <w:rPr>
          <w:rFonts w:ascii="Verdana"/>
          <w:spacing w:val="-6"/>
          <w:sz w:val="18"/>
        </w:rPr>
        <w:t>...</w:t>
      </w:r>
      <w:r>
        <w:rPr>
          <w:rFonts w:ascii="Verdana"/>
          <w:sz w:val="18"/>
        </w:rPr>
        <w:tab/>
      </w:r>
      <w:r>
        <w:rPr>
          <w:rFonts w:ascii="Verdana"/>
          <w:spacing w:val="-5"/>
          <w:sz w:val="18"/>
        </w:rPr>
        <w:t>215</w:t>
      </w:r>
    </w:p>
    <w:p>
      <w:pPr>
        <w:pStyle w:val="BodyText"/>
        <w:spacing w:line="249" w:lineRule="auto" w:before="192"/>
        <w:ind w:right="1437"/>
        <w:jc w:val="both"/>
      </w:pPr>
      <w:r>
        <w:rPr>
          <w:spacing w:val="-2"/>
        </w:rPr>
        <w:t>emotions/feelings</w:t>
      </w:r>
      <w:r>
        <w:rPr>
          <w:spacing w:val="-3"/>
        </w:rPr>
        <w:t> </w:t>
      </w:r>
      <w:r>
        <w:rPr>
          <w:spacing w:val="-2"/>
        </w:rPr>
        <w:t>and political/public speaking) with</w:t>
      </w:r>
      <w:r>
        <w:rPr>
          <w:spacing w:val="-3"/>
        </w:rPr>
        <w:t> </w:t>
      </w:r>
      <w:r>
        <w:rPr>
          <w:spacing w:val="-2"/>
        </w:rPr>
        <w:t>respect to women’s </w:t>
      </w:r>
      <w:r>
        <w:rPr/>
        <w:t>experiences of their voices being filtered/thwarted/silenced in the dominant</w:t>
      </w:r>
      <w:r>
        <w:rPr>
          <w:spacing w:val="26"/>
        </w:rPr>
        <w:t> </w:t>
      </w:r>
      <w:r>
        <w:rPr/>
        <w:t>culture,</w:t>
      </w:r>
      <w:r>
        <w:rPr>
          <w:spacing w:val="24"/>
        </w:rPr>
        <w:t> </w:t>
      </w:r>
      <w:r>
        <w:rPr/>
        <w:t>and</w:t>
      </w:r>
      <w:r>
        <w:rPr>
          <w:spacing w:val="26"/>
        </w:rPr>
        <w:t> </w:t>
      </w:r>
      <w:r>
        <w:rPr/>
        <w:t>the</w:t>
      </w:r>
      <w:r>
        <w:rPr>
          <w:spacing w:val="24"/>
        </w:rPr>
        <w:t> </w:t>
      </w:r>
      <w:r>
        <w:rPr/>
        <w:t>research supports</w:t>
      </w:r>
      <w:r>
        <w:rPr>
          <w:spacing w:val="24"/>
        </w:rPr>
        <w:t> </w:t>
      </w:r>
      <w:r>
        <w:rPr/>
        <w:t>this</w:t>
      </w:r>
      <w:r>
        <w:rPr>
          <w:spacing w:val="24"/>
        </w:rPr>
        <w:t> </w:t>
      </w:r>
      <w:r>
        <w:rPr/>
        <w:t>view.</w:t>
      </w:r>
      <w:r>
        <w:rPr>
          <w:spacing w:val="24"/>
        </w:rPr>
        <w:t> </w:t>
      </w:r>
      <w:r>
        <w:rPr/>
        <w:t>By continuing to examine and compare Shakespeare’s female characters throughout the #MeToo movement, there is now evidence showing that these characters still reflect the same ongoing struggles (silencing vs. expressing self; vulnerability vs. resistance) as previously noted. This article</w:t>
      </w:r>
      <w:r>
        <w:rPr>
          <w:spacing w:val="-3"/>
        </w:rPr>
        <w:t> </w:t>
      </w:r>
      <w:r>
        <w:rPr/>
        <w:t>provides</w:t>
      </w:r>
      <w:r>
        <w:rPr>
          <w:spacing w:val="-4"/>
        </w:rPr>
        <w:t> </w:t>
      </w:r>
      <w:r>
        <w:rPr/>
        <w:t>a</w:t>
      </w:r>
      <w:r>
        <w:rPr>
          <w:spacing w:val="-3"/>
        </w:rPr>
        <w:t> </w:t>
      </w:r>
      <w:r>
        <w:rPr/>
        <w:t>merging</w:t>
      </w:r>
      <w:r>
        <w:rPr>
          <w:spacing w:val="-4"/>
        </w:rPr>
        <w:t> </w:t>
      </w:r>
      <w:r>
        <w:rPr/>
        <w:t>of</w:t>
      </w:r>
      <w:r>
        <w:rPr>
          <w:spacing w:val="-6"/>
        </w:rPr>
        <w:t> </w:t>
      </w:r>
      <w:r>
        <w:rPr/>
        <w:t>early</w:t>
      </w:r>
      <w:r>
        <w:rPr>
          <w:spacing w:val="-6"/>
        </w:rPr>
        <w:t> </w:t>
      </w:r>
      <w:r>
        <w:rPr/>
        <w:t>modern</w:t>
      </w:r>
      <w:r>
        <w:rPr>
          <w:spacing w:val="-6"/>
        </w:rPr>
        <w:t> </w:t>
      </w:r>
      <w:r>
        <w:rPr/>
        <w:t>literature</w:t>
      </w:r>
      <w:r>
        <w:rPr>
          <w:spacing w:val="-2"/>
        </w:rPr>
        <w:t> </w:t>
      </w:r>
      <w:r>
        <w:rPr/>
        <w:t>with</w:t>
      </w:r>
      <w:r>
        <w:rPr>
          <w:spacing w:val="-6"/>
        </w:rPr>
        <w:t> </w:t>
      </w:r>
      <w:r>
        <w:rPr/>
        <w:t>contemporary feminist exploration, and upon doing so, makes clear how literature continues</w:t>
      </w:r>
      <w:r>
        <w:rPr>
          <w:spacing w:val="40"/>
        </w:rPr>
        <w:t> </w:t>
      </w:r>
      <w:r>
        <w:rPr/>
        <w:t>to</w:t>
      </w:r>
      <w:r>
        <w:rPr>
          <w:spacing w:val="40"/>
        </w:rPr>
        <w:t> </w:t>
      </w:r>
      <w:r>
        <w:rPr/>
        <w:t>be</w:t>
      </w:r>
      <w:r>
        <w:rPr>
          <w:spacing w:val="40"/>
        </w:rPr>
        <w:t> </w:t>
      </w:r>
      <w:r>
        <w:rPr/>
        <w:t>both</w:t>
      </w:r>
      <w:r>
        <w:rPr>
          <w:spacing w:val="40"/>
        </w:rPr>
        <w:t> </w:t>
      </w:r>
      <w:r>
        <w:rPr/>
        <w:t>challenging</w:t>
      </w:r>
      <w:r>
        <w:rPr>
          <w:spacing w:val="39"/>
        </w:rPr>
        <w:t> </w:t>
      </w:r>
      <w:r>
        <w:rPr/>
        <w:t>and</w:t>
      </w:r>
      <w:r>
        <w:rPr>
          <w:spacing w:val="40"/>
        </w:rPr>
        <w:t> </w:t>
      </w:r>
      <w:r>
        <w:rPr/>
        <w:t>reflective</w:t>
      </w:r>
      <w:r>
        <w:rPr>
          <w:spacing w:val="40"/>
        </w:rPr>
        <w:t> </w:t>
      </w:r>
      <w:r>
        <w:rPr/>
        <w:t>of</w:t>
      </w:r>
      <w:r>
        <w:rPr>
          <w:spacing w:val="40"/>
        </w:rPr>
        <w:t> </w:t>
      </w:r>
      <w:r>
        <w:rPr/>
        <w:t>gendered</w:t>
      </w:r>
      <w:r>
        <w:rPr>
          <w:spacing w:val="40"/>
        </w:rPr>
        <w:t> </w:t>
      </w:r>
      <w:r>
        <w:rPr/>
        <w:t>power.</w:t>
      </w:r>
    </w:p>
    <w:p>
      <w:pPr>
        <w:pStyle w:val="BodyText"/>
        <w:spacing w:line="249" w:lineRule="auto" w:before="66"/>
        <w:ind w:right="1441" w:firstLine="432"/>
        <w:jc w:val="both"/>
      </w:pPr>
      <w:r>
        <w:rPr>
          <w:b/>
        </w:rPr>
        <w:t>Keywords: </w:t>
      </w:r>
      <w:r>
        <w:rPr/>
        <w:t>#MeToo Era, Shakespeare, Women, Gender, Power, Silence, Resistance, Agency, Feminist Criticism</w:t>
      </w:r>
    </w:p>
    <w:p>
      <w:pPr>
        <w:pStyle w:val="Heading3"/>
        <w:numPr>
          <w:ilvl w:val="0"/>
          <w:numId w:val="41"/>
        </w:numPr>
        <w:tabs>
          <w:tab w:pos="1680" w:val="left" w:leader="none"/>
        </w:tabs>
        <w:spacing w:line="240" w:lineRule="auto" w:before="155" w:after="0"/>
        <w:ind w:left="1680" w:right="0" w:hanging="240"/>
        <w:jc w:val="left"/>
      </w:pPr>
      <w:r>
        <w:rPr>
          <w:spacing w:val="-2"/>
          <w:w w:val="95"/>
        </w:rPr>
        <w:t>INTRODUCTION:</w:t>
      </w:r>
    </w:p>
    <w:p>
      <w:pPr>
        <w:pStyle w:val="BodyText"/>
        <w:spacing w:line="249" w:lineRule="auto" w:before="75"/>
        <w:ind w:right="1438" w:firstLine="432"/>
        <w:jc w:val="both"/>
      </w:pPr>
      <w:r>
        <w:rPr/>
        <w:t>William Shakespeare’s literary</w:t>
      </w:r>
      <w:r>
        <w:rPr>
          <w:spacing w:val="-1"/>
        </w:rPr>
        <w:t> </w:t>
      </w:r>
      <w:r>
        <w:rPr/>
        <w:t>works continue to be an important part of literary and cultural studies, as they not only exhibit great artistry, but also contain many of</w:t>
      </w:r>
      <w:r>
        <w:rPr>
          <w:spacing w:val="-1"/>
        </w:rPr>
        <w:t> </w:t>
      </w:r>
      <w:r>
        <w:rPr/>
        <w:t>the universal themes of humanity and power,</w:t>
      </w:r>
      <w:r>
        <w:rPr>
          <w:spacing w:val="-2"/>
        </w:rPr>
        <w:t> </w:t>
      </w:r>
      <w:r>
        <w:rPr/>
        <w:t>identity,</w:t>
      </w:r>
      <w:r>
        <w:rPr>
          <w:spacing w:val="-1"/>
        </w:rPr>
        <w:t> </w:t>
      </w:r>
      <w:r>
        <w:rPr/>
        <w:t>and</w:t>
      </w:r>
      <w:r>
        <w:rPr>
          <w:spacing w:val="-1"/>
        </w:rPr>
        <w:t> </w:t>
      </w:r>
      <w:r>
        <w:rPr/>
        <w:t>the</w:t>
      </w:r>
      <w:r>
        <w:rPr>
          <w:spacing w:val="-1"/>
        </w:rPr>
        <w:t> </w:t>
      </w:r>
      <w:r>
        <w:rPr/>
        <w:t>human</w:t>
      </w:r>
      <w:r>
        <w:rPr>
          <w:spacing w:val="-6"/>
        </w:rPr>
        <w:t> </w:t>
      </w:r>
      <w:r>
        <w:rPr/>
        <w:t>experience.</w:t>
      </w:r>
      <w:r>
        <w:rPr>
          <w:spacing w:val="-2"/>
        </w:rPr>
        <w:t> </w:t>
      </w:r>
      <w:r>
        <w:rPr/>
        <w:t>One</w:t>
      </w:r>
      <w:r>
        <w:rPr>
          <w:spacing w:val="-1"/>
        </w:rPr>
        <w:t> </w:t>
      </w:r>
      <w:r>
        <w:rPr/>
        <w:t>particular</w:t>
      </w:r>
      <w:r>
        <w:rPr>
          <w:spacing w:val="-1"/>
        </w:rPr>
        <w:t> </w:t>
      </w:r>
      <w:r>
        <w:rPr/>
        <w:t>area</w:t>
      </w:r>
      <w:r>
        <w:rPr>
          <w:spacing w:val="-1"/>
        </w:rPr>
        <w:t> </w:t>
      </w:r>
      <w:r>
        <w:rPr/>
        <w:t>of</w:t>
      </w:r>
      <w:r>
        <w:rPr>
          <w:spacing w:val="-4"/>
        </w:rPr>
        <w:t> </w:t>
      </w:r>
      <w:r>
        <w:rPr/>
        <w:t>study is representation of women. Representation of women in the works of </w:t>
      </w:r>
      <w:r>
        <w:rPr>
          <w:spacing w:val="-2"/>
        </w:rPr>
        <w:t>William</w:t>
      </w:r>
      <w:r>
        <w:rPr>
          <w:spacing w:val="-11"/>
        </w:rPr>
        <w:t> </w:t>
      </w:r>
      <w:r>
        <w:rPr>
          <w:spacing w:val="-2"/>
        </w:rPr>
        <w:t>Shakespeare</w:t>
      </w:r>
      <w:r>
        <w:rPr>
          <w:spacing w:val="-8"/>
        </w:rPr>
        <w:t> </w:t>
      </w:r>
      <w:r>
        <w:rPr>
          <w:spacing w:val="-2"/>
        </w:rPr>
        <w:t>continues</w:t>
      </w:r>
      <w:r>
        <w:rPr>
          <w:spacing w:val="-9"/>
        </w:rPr>
        <w:t> </w:t>
      </w:r>
      <w:r>
        <w:rPr>
          <w:spacing w:val="-2"/>
        </w:rPr>
        <w:t>to</w:t>
      </w:r>
      <w:r>
        <w:rPr>
          <w:spacing w:val="-7"/>
        </w:rPr>
        <w:t> </w:t>
      </w:r>
      <w:r>
        <w:rPr>
          <w:spacing w:val="-2"/>
        </w:rPr>
        <w:t>be</w:t>
      </w:r>
      <w:r>
        <w:rPr>
          <w:spacing w:val="-7"/>
        </w:rPr>
        <w:t> </w:t>
      </w:r>
      <w:r>
        <w:rPr>
          <w:spacing w:val="-2"/>
        </w:rPr>
        <w:t>a</w:t>
      </w:r>
      <w:r>
        <w:rPr>
          <w:spacing w:val="-7"/>
        </w:rPr>
        <w:t> </w:t>
      </w:r>
      <w:r>
        <w:rPr>
          <w:spacing w:val="-2"/>
        </w:rPr>
        <w:t>significant</w:t>
      </w:r>
      <w:r>
        <w:rPr>
          <w:spacing w:val="-9"/>
        </w:rPr>
        <w:t> </w:t>
      </w:r>
      <w:r>
        <w:rPr>
          <w:spacing w:val="-2"/>
        </w:rPr>
        <w:t>area</w:t>
      </w:r>
      <w:r>
        <w:rPr>
          <w:spacing w:val="-9"/>
        </w:rPr>
        <w:t> </w:t>
      </w:r>
      <w:r>
        <w:rPr>
          <w:spacing w:val="-2"/>
        </w:rPr>
        <w:t>of</w:t>
      </w:r>
      <w:r>
        <w:rPr>
          <w:spacing w:val="-9"/>
        </w:rPr>
        <w:t> </w:t>
      </w:r>
      <w:r>
        <w:rPr>
          <w:spacing w:val="-2"/>
        </w:rPr>
        <w:t>study;</w:t>
      </w:r>
      <w:r>
        <w:rPr>
          <w:spacing w:val="-8"/>
        </w:rPr>
        <w:t> </w:t>
      </w:r>
      <w:r>
        <w:rPr>
          <w:spacing w:val="-2"/>
        </w:rPr>
        <w:t>however, </w:t>
      </w:r>
      <w:r>
        <w:rPr/>
        <w:t>the study of the representation of women in the works of William Shakespeare has been enhanced by the emergence of contemporary frameworks focusing on gender, voice, and agency. Along with the transformation of frameworks focusing on gender, the emergence and re-emergence</w:t>
      </w:r>
      <w:r>
        <w:rPr>
          <w:spacing w:val="-12"/>
        </w:rPr>
        <w:t> </w:t>
      </w:r>
      <w:r>
        <w:rPr/>
        <w:t>of</w:t>
      </w:r>
      <w:r>
        <w:rPr>
          <w:spacing w:val="-12"/>
        </w:rPr>
        <w:t> </w:t>
      </w:r>
      <w:r>
        <w:rPr/>
        <w:t>the</w:t>
      </w:r>
      <w:r>
        <w:rPr>
          <w:spacing w:val="-11"/>
        </w:rPr>
        <w:t> </w:t>
      </w:r>
      <w:r>
        <w:rPr/>
        <w:t>Me</w:t>
      </w:r>
      <w:r>
        <w:rPr>
          <w:spacing w:val="-12"/>
        </w:rPr>
        <w:t> </w:t>
      </w:r>
      <w:r>
        <w:rPr/>
        <w:t>Too</w:t>
      </w:r>
      <w:r>
        <w:rPr>
          <w:spacing w:val="-11"/>
        </w:rPr>
        <w:t> </w:t>
      </w:r>
      <w:r>
        <w:rPr/>
        <w:t>movement</w:t>
      </w:r>
      <w:r>
        <w:rPr>
          <w:spacing w:val="-11"/>
        </w:rPr>
        <w:t> </w:t>
      </w:r>
      <w:r>
        <w:rPr/>
        <w:t>has</w:t>
      </w:r>
      <w:r>
        <w:rPr>
          <w:spacing w:val="-11"/>
        </w:rPr>
        <w:t> </w:t>
      </w:r>
      <w:r>
        <w:rPr/>
        <w:t>transformed</w:t>
      </w:r>
      <w:r>
        <w:rPr>
          <w:spacing w:val="-9"/>
        </w:rPr>
        <w:t> </w:t>
      </w:r>
      <w:r>
        <w:rPr/>
        <w:t>the</w:t>
      </w:r>
      <w:r>
        <w:rPr>
          <w:spacing w:val="-12"/>
        </w:rPr>
        <w:t> </w:t>
      </w:r>
      <w:r>
        <w:rPr/>
        <w:t>way</w:t>
      </w:r>
      <w:r>
        <w:rPr>
          <w:spacing w:val="-13"/>
        </w:rPr>
        <w:t> </w:t>
      </w:r>
      <w:r>
        <w:rPr/>
        <w:t>women are being portrayed in literature Universally, issues related to consent, silence, emotional labour, and structural inequality have become much clearer</w:t>
      </w:r>
      <w:r>
        <w:rPr>
          <w:spacing w:val="32"/>
        </w:rPr>
        <w:t> </w:t>
      </w:r>
      <w:r>
        <w:rPr/>
        <w:t>as</w:t>
      </w:r>
      <w:r>
        <w:rPr>
          <w:spacing w:val="30"/>
        </w:rPr>
        <w:t> </w:t>
      </w:r>
      <w:r>
        <w:rPr/>
        <w:t>a</w:t>
      </w:r>
      <w:r>
        <w:rPr>
          <w:spacing w:val="30"/>
        </w:rPr>
        <w:t> </w:t>
      </w:r>
      <w:r>
        <w:rPr/>
        <w:t>result</w:t>
      </w:r>
      <w:r>
        <w:rPr>
          <w:spacing w:val="35"/>
        </w:rPr>
        <w:t> </w:t>
      </w:r>
      <w:r>
        <w:rPr/>
        <w:t>of the</w:t>
      </w:r>
      <w:r>
        <w:rPr>
          <w:spacing w:val="30"/>
        </w:rPr>
        <w:t> </w:t>
      </w:r>
      <w:r>
        <w:rPr/>
        <w:t>Me</w:t>
      </w:r>
      <w:r>
        <w:rPr>
          <w:spacing w:val="29"/>
        </w:rPr>
        <w:t> </w:t>
      </w:r>
      <w:r>
        <w:rPr/>
        <w:t>Too</w:t>
      </w:r>
      <w:r>
        <w:rPr>
          <w:spacing w:val="33"/>
        </w:rPr>
        <w:t> </w:t>
      </w:r>
      <w:r>
        <w:rPr/>
        <w:t>movement</w:t>
      </w:r>
      <w:r>
        <w:rPr>
          <w:spacing w:val="30"/>
        </w:rPr>
        <w:t> </w:t>
      </w:r>
      <w:r>
        <w:rPr/>
        <w:t>(Mendes</w:t>
      </w:r>
      <w:r>
        <w:rPr>
          <w:spacing w:val="33"/>
        </w:rPr>
        <w:t> </w:t>
      </w:r>
      <w:r>
        <w:rPr/>
        <w:t>et</w:t>
      </w:r>
      <w:r>
        <w:rPr>
          <w:spacing w:val="30"/>
        </w:rPr>
        <w:t> </w:t>
      </w:r>
      <w:r>
        <w:rPr/>
        <w:t>al.,</w:t>
      </w:r>
      <w:r>
        <w:rPr>
          <w:spacing w:val="30"/>
        </w:rPr>
        <w:t> </w:t>
      </w:r>
      <w:r>
        <w:rPr/>
        <w:t>2019).</w:t>
      </w:r>
    </w:p>
    <w:p>
      <w:pPr>
        <w:pStyle w:val="BodyText"/>
        <w:spacing w:line="249" w:lineRule="auto" w:before="72"/>
        <w:ind w:right="1437" w:firstLine="432"/>
        <w:jc w:val="both"/>
      </w:pPr>
      <w:r>
        <w:rPr/>
        <w:t>Interpreting Shakespeare’s texts with present-day cultural themes and socio-political agendas in mind is an exercise in contemporary contextualization, but also serves as an opportunity to consider how historical texts can tell us much about the continuing expressions and constructions of gender and power over time. While the plays of Shakespeare were composed within the patriarchal constructs of early </w:t>
      </w:r>
      <w:r>
        <w:rPr>
          <w:spacing w:val="-4"/>
        </w:rPr>
        <w:t>modern England, their examinations of control, surveillance and regulation </w:t>
      </w:r>
      <w:r>
        <w:rPr/>
        <w:t>of women’s bodies and voices are still highly relevant today(hooks, 2000). Female characters in the plays are often placed within rigidly defined social constructs where their speech, desires and identities are mediated through male dominated authority structures. At the same time,</w:t>
      </w:r>
      <w:r>
        <w:rPr>
          <w:spacing w:val="2"/>
        </w:rPr>
        <w:t> </w:t>
      </w:r>
      <w:r>
        <w:rPr/>
        <w:t>these</w:t>
      </w:r>
      <w:r>
        <w:rPr>
          <w:spacing w:val="3"/>
        </w:rPr>
        <w:t> </w:t>
      </w:r>
      <w:r>
        <w:rPr/>
        <w:t>characters</w:t>
      </w:r>
      <w:r>
        <w:rPr>
          <w:spacing w:val="5"/>
        </w:rPr>
        <w:t> </w:t>
      </w:r>
      <w:r>
        <w:rPr/>
        <w:t>are</w:t>
      </w:r>
      <w:r>
        <w:rPr>
          <w:spacing w:val="3"/>
        </w:rPr>
        <w:t> </w:t>
      </w:r>
      <w:r>
        <w:rPr/>
        <w:t>not</w:t>
      </w:r>
      <w:r>
        <w:rPr>
          <w:spacing w:val="3"/>
        </w:rPr>
        <w:t> </w:t>
      </w:r>
      <w:r>
        <w:rPr/>
        <w:t>simply</w:t>
      </w:r>
      <w:r>
        <w:rPr>
          <w:spacing w:val="1"/>
        </w:rPr>
        <w:t> </w:t>
      </w:r>
      <w:r>
        <w:rPr/>
        <w:t>passive</w:t>
      </w:r>
      <w:r>
        <w:rPr>
          <w:spacing w:val="4"/>
        </w:rPr>
        <w:t> </w:t>
      </w:r>
      <w:r>
        <w:rPr/>
        <w:t>victims</w:t>
      </w:r>
      <w:r>
        <w:rPr>
          <w:spacing w:val="5"/>
        </w:rPr>
        <w:t> </w:t>
      </w:r>
      <w:r>
        <w:rPr/>
        <w:t>of</w:t>
      </w:r>
      <w:r>
        <w:rPr>
          <w:spacing w:val="2"/>
        </w:rPr>
        <w:t> </w:t>
      </w:r>
      <w:r>
        <w:rPr/>
        <w:t>oppression,</w:t>
      </w:r>
      <w:r>
        <w:rPr>
          <w:spacing w:val="3"/>
        </w:rPr>
        <w:t> </w:t>
      </w:r>
      <w:r>
        <w:rPr>
          <w:spacing w:val="-5"/>
        </w:rPr>
        <w:t>but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55776">
                <wp:simplePos x="0" y="0"/>
                <wp:positionH relativeFrom="page">
                  <wp:posOffset>2057400</wp:posOffset>
                </wp:positionH>
                <wp:positionV relativeFrom="paragraph">
                  <wp:posOffset>162604</wp:posOffset>
                </wp:positionV>
                <wp:extent cx="3657600" cy="12700"/>
                <wp:effectExtent l="0" t="0" r="0" b="0"/>
                <wp:wrapTopAndBottom/>
                <wp:docPr id="484" name="Graphic 484"/>
                <wp:cNvGraphicFramePr>
                  <a:graphicFrameLocks/>
                </wp:cNvGraphicFramePr>
                <a:graphic>
                  <a:graphicData uri="http://schemas.microsoft.com/office/word/2010/wordprocessingShape">
                    <wps:wsp>
                      <wps:cNvPr id="484" name="Graphic 48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60704;mso-wrap-distance-left:0;mso-wrap-distance-right:0" id="docshape479" filled="true" fillcolor="#000000" stroked="false">
                <v:fill type="solid"/>
                <w10:wrap type="topAndBottom"/>
              </v:rect>
            </w:pict>
          </mc:Fallback>
        </mc:AlternateContent>
      </w:r>
      <w:r>
        <w:rPr>
          <w:rFonts w:ascii="Verdana"/>
          <w:spacing w:val="-5"/>
          <w:sz w:val="18"/>
        </w:rPr>
        <w:t>216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instead</w:t>
      </w:r>
      <w:r>
        <w:rPr>
          <w:spacing w:val="-10"/>
        </w:rPr>
        <w:t> </w:t>
      </w:r>
      <w:r>
        <w:rPr/>
        <w:t>they</w:t>
      </w:r>
      <w:r>
        <w:rPr>
          <w:spacing w:val="-13"/>
        </w:rPr>
        <w:t> </w:t>
      </w:r>
      <w:r>
        <w:rPr/>
        <w:t>negotiate</w:t>
      </w:r>
      <w:r>
        <w:rPr>
          <w:spacing w:val="-8"/>
        </w:rPr>
        <w:t> </w:t>
      </w:r>
      <w:r>
        <w:rPr/>
        <w:t>power</w:t>
      </w:r>
      <w:r>
        <w:rPr>
          <w:spacing w:val="-8"/>
        </w:rPr>
        <w:t> </w:t>
      </w:r>
      <w:r>
        <w:rPr/>
        <w:t>through</w:t>
      </w:r>
      <w:r>
        <w:rPr>
          <w:spacing w:val="-10"/>
        </w:rPr>
        <w:t> </w:t>
      </w:r>
      <w:r>
        <w:rPr/>
        <w:t>complex</w:t>
      </w:r>
      <w:r>
        <w:rPr>
          <w:spacing w:val="-13"/>
        </w:rPr>
        <w:t> </w:t>
      </w:r>
      <w:r>
        <w:rPr/>
        <w:t>strategies</w:t>
      </w:r>
      <w:r>
        <w:rPr>
          <w:spacing w:val="-9"/>
        </w:rPr>
        <w:t> </w:t>
      </w:r>
      <w:r>
        <w:rPr/>
        <w:t>for</w:t>
      </w:r>
      <w:r>
        <w:rPr>
          <w:spacing w:val="-8"/>
        </w:rPr>
        <w:t> </w:t>
      </w:r>
      <w:r>
        <w:rPr/>
        <w:t>establishing agency over time. These include using disguise, remaining silent, expressing their emotions and acting as if they are complying with </w:t>
      </w:r>
      <w:r>
        <w:rPr>
          <w:spacing w:val="-2"/>
        </w:rPr>
        <w:t>authority.</w:t>
      </w:r>
    </w:p>
    <w:p>
      <w:pPr>
        <w:pStyle w:val="BodyText"/>
        <w:spacing w:line="249" w:lineRule="auto" w:before="61"/>
        <w:ind w:right="1438" w:firstLine="432"/>
        <w:jc w:val="both"/>
      </w:pPr>
      <w:r>
        <w:rPr/>
        <w:t>The author argues that the female characters created by William Shakespeare need to be examined anew.</w:t>
      </w:r>
      <w:r>
        <w:rPr>
          <w:spacing w:val="40"/>
        </w:rPr>
        <w:t> </w:t>
      </w:r>
      <w:r>
        <w:rPr/>
        <w:t>The author will support this claim by analyzing several characters within the Shakespearean canon: Portia,</w:t>
      </w:r>
      <w:r>
        <w:rPr>
          <w:spacing w:val="-13"/>
        </w:rPr>
        <w:t> </w:t>
      </w:r>
      <w:r>
        <w:rPr/>
        <w:t>Juliet,</w:t>
      </w:r>
      <w:r>
        <w:rPr>
          <w:spacing w:val="-12"/>
        </w:rPr>
        <w:t> </w:t>
      </w:r>
      <w:r>
        <w:rPr/>
        <w:t>Rosalind,</w:t>
      </w:r>
      <w:r>
        <w:rPr>
          <w:spacing w:val="-13"/>
        </w:rPr>
        <w:t> </w:t>
      </w:r>
      <w:r>
        <w:rPr/>
        <w:t>Viola,</w:t>
      </w:r>
      <w:r>
        <w:rPr>
          <w:spacing w:val="-12"/>
        </w:rPr>
        <w:t> </w:t>
      </w:r>
      <w:r>
        <w:rPr/>
        <w:t>and</w:t>
      </w:r>
      <w:r>
        <w:rPr>
          <w:spacing w:val="-13"/>
        </w:rPr>
        <w:t> </w:t>
      </w:r>
      <w:r>
        <w:rPr/>
        <w:t>Katherina.</w:t>
      </w:r>
      <w:r>
        <w:rPr>
          <w:spacing w:val="-12"/>
        </w:rPr>
        <w:t> </w:t>
      </w:r>
      <w:r>
        <w:rPr/>
        <w:t>The</w:t>
      </w:r>
      <w:r>
        <w:rPr>
          <w:spacing w:val="-13"/>
        </w:rPr>
        <w:t> </w:t>
      </w:r>
      <w:r>
        <w:rPr/>
        <w:t>analysis</w:t>
      </w:r>
      <w:r>
        <w:rPr>
          <w:spacing w:val="-12"/>
        </w:rPr>
        <w:t> </w:t>
      </w:r>
      <w:r>
        <w:rPr/>
        <w:t>will</w:t>
      </w:r>
      <w:r>
        <w:rPr>
          <w:spacing w:val="-13"/>
        </w:rPr>
        <w:t> </w:t>
      </w:r>
      <w:r>
        <w:rPr/>
        <w:t>cover</w:t>
      </w:r>
      <w:r>
        <w:rPr>
          <w:spacing w:val="-12"/>
        </w:rPr>
        <w:t> </w:t>
      </w:r>
      <w:r>
        <w:rPr/>
        <w:t>the voice, consent, and resistance that inform each of these characters’ narratives.</w:t>
      </w:r>
      <w:r>
        <w:rPr>
          <w:spacing w:val="40"/>
        </w:rPr>
        <w:t> </w:t>
      </w:r>
      <w:r>
        <w:rPr/>
        <w:t>The writer will use feminist and psychoanalytic theories to demonstrate how</w:t>
      </w:r>
      <w:r>
        <w:rPr>
          <w:spacing w:val="-1"/>
        </w:rPr>
        <w:t> </w:t>
      </w:r>
      <w:r>
        <w:rPr/>
        <w:t>silence can be understood beyond merely</w:t>
      </w:r>
      <w:r>
        <w:rPr>
          <w:spacing w:val="-1"/>
        </w:rPr>
        <w:t> </w:t>
      </w:r>
      <w:r>
        <w:rPr/>
        <w:t>the absence of a voiceless person. Power relations within the larger contextual framework</w:t>
      </w:r>
      <w:r>
        <w:rPr>
          <w:spacing w:val="-13"/>
        </w:rPr>
        <w:t> </w:t>
      </w:r>
      <w:r>
        <w:rPr/>
        <w:t>govern</w:t>
      </w:r>
      <w:r>
        <w:rPr>
          <w:spacing w:val="-12"/>
        </w:rPr>
        <w:t> </w:t>
      </w:r>
      <w:r>
        <w:rPr/>
        <w:t>the</w:t>
      </w:r>
      <w:r>
        <w:rPr>
          <w:spacing w:val="-13"/>
        </w:rPr>
        <w:t> </w:t>
      </w:r>
      <w:r>
        <w:rPr/>
        <w:t>way</w:t>
      </w:r>
      <w:r>
        <w:rPr>
          <w:spacing w:val="-12"/>
        </w:rPr>
        <w:t> </w:t>
      </w:r>
      <w:r>
        <w:rPr/>
        <w:t>in</w:t>
      </w:r>
      <w:r>
        <w:rPr>
          <w:spacing w:val="-13"/>
        </w:rPr>
        <w:t> </w:t>
      </w:r>
      <w:r>
        <w:rPr/>
        <w:t>which</w:t>
      </w:r>
      <w:r>
        <w:rPr>
          <w:spacing w:val="-12"/>
        </w:rPr>
        <w:t> </w:t>
      </w:r>
      <w:r>
        <w:rPr/>
        <w:t>silence</w:t>
      </w:r>
      <w:r>
        <w:rPr>
          <w:spacing w:val="-13"/>
        </w:rPr>
        <w:t> </w:t>
      </w:r>
      <w:r>
        <w:rPr/>
        <w:t>within</w:t>
      </w:r>
      <w:r>
        <w:rPr>
          <w:spacing w:val="-12"/>
        </w:rPr>
        <w:t> </w:t>
      </w:r>
      <w:r>
        <w:rPr/>
        <w:t>a</w:t>
      </w:r>
      <w:r>
        <w:rPr>
          <w:spacing w:val="-13"/>
        </w:rPr>
        <w:t> </w:t>
      </w:r>
      <w:r>
        <w:rPr/>
        <w:t>piece</w:t>
      </w:r>
      <w:r>
        <w:rPr>
          <w:spacing w:val="-12"/>
        </w:rPr>
        <w:t> </w:t>
      </w:r>
      <w:r>
        <w:rPr/>
        <w:t>of</w:t>
      </w:r>
      <w:r>
        <w:rPr>
          <w:spacing w:val="-13"/>
        </w:rPr>
        <w:t> </w:t>
      </w:r>
      <w:r>
        <w:rPr/>
        <w:t>fiction</w:t>
      </w:r>
      <w:r>
        <w:rPr>
          <w:spacing w:val="-12"/>
        </w:rPr>
        <w:t> </w:t>
      </w:r>
      <w:r>
        <w:rPr/>
        <w:t>(and </w:t>
      </w:r>
      <w:r>
        <w:rPr>
          <w:spacing w:val="-2"/>
        </w:rPr>
        <w:t>therefore</w:t>
      </w:r>
      <w:r>
        <w:rPr>
          <w:spacing w:val="-6"/>
        </w:rPr>
        <w:t> </w:t>
      </w:r>
      <w:r>
        <w:rPr>
          <w:spacing w:val="-2"/>
        </w:rPr>
        <w:t>within</w:t>
      </w:r>
      <w:r>
        <w:rPr>
          <w:spacing w:val="-6"/>
        </w:rPr>
        <w:t> </w:t>
      </w:r>
      <w:r>
        <w:rPr>
          <w:spacing w:val="-2"/>
        </w:rPr>
        <w:t>an</w:t>
      </w:r>
      <w:r>
        <w:rPr>
          <w:spacing w:val="-6"/>
        </w:rPr>
        <w:t> </w:t>
      </w:r>
      <w:r>
        <w:rPr>
          <w:spacing w:val="-2"/>
        </w:rPr>
        <w:t>entire</w:t>
      </w:r>
      <w:r>
        <w:rPr>
          <w:spacing w:val="-4"/>
        </w:rPr>
        <w:t> </w:t>
      </w:r>
      <w:r>
        <w:rPr>
          <w:spacing w:val="-2"/>
        </w:rPr>
        <w:t>piece</w:t>
      </w:r>
      <w:r>
        <w:rPr>
          <w:spacing w:val="-6"/>
        </w:rPr>
        <w:t> </w:t>
      </w:r>
      <w:r>
        <w:rPr>
          <w:spacing w:val="-2"/>
        </w:rPr>
        <w:t>of</w:t>
      </w:r>
      <w:r>
        <w:rPr>
          <w:spacing w:val="-11"/>
        </w:rPr>
        <w:t> </w:t>
      </w:r>
      <w:r>
        <w:rPr>
          <w:spacing w:val="-2"/>
        </w:rPr>
        <w:t>literature)</w:t>
      </w:r>
      <w:r>
        <w:rPr>
          <w:spacing w:val="-6"/>
        </w:rPr>
        <w:t> </w:t>
      </w:r>
      <w:r>
        <w:rPr>
          <w:spacing w:val="-2"/>
        </w:rPr>
        <w:t>is</w:t>
      </w:r>
      <w:r>
        <w:rPr>
          <w:spacing w:val="-6"/>
        </w:rPr>
        <w:t> </w:t>
      </w:r>
      <w:r>
        <w:rPr>
          <w:spacing w:val="-2"/>
        </w:rPr>
        <w:t>created;</w:t>
      </w:r>
      <w:r>
        <w:rPr>
          <w:spacing w:val="-6"/>
        </w:rPr>
        <w:t> </w:t>
      </w:r>
      <w:r>
        <w:rPr>
          <w:spacing w:val="-2"/>
        </w:rPr>
        <w:t>thus,</w:t>
      </w:r>
      <w:r>
        <w:rPr>
          <w:spacing w:val="-4"/>
        </w:rPr>
        <w:t> </w:t>
      </w:r>
      <w:r>
        <w:rPr>
          <w:spacing w:val="-2"/>
        </w:rPr>
        <w:t>a</w:t>
      </w:r>
      <w:r>
        <w:rPr>
          <w:spacing w:val="-4"/>
        </w:rPr>
        <w:t> </w:t>
      </w:r>
      <w:r>
        <w:rPr>
          <w:spacing w:val="-2"/>
        </w:rPr>
        <w:t>character’s </w:t>
      </w:r>
      <w:r>
        <w:rPr/>
        <w:t>resistance can be represented by subtle means of negotiation rather</w:t>
      </w:r>
      <w:r>
        <w:rPr>
          <w:spacing w:val="80"/>
        </w:rPr>
        <w:t> </w:t>
      </w:r>
      <w:r>
        <w:rPr/>
        <w:t>than by actions which are characterized as overtly defiant. Therefore, for the sake of</w:t>
      </w:r>
      <w:r>
        <w:rPr>
          <w:spacing w:val="-1"/>
        </w:rPr>
        <w:t> </w:t>
      </w:r>
      <w:r>
        <w:rPr/>
        <w:t>exploring</w:t>
      </w:r>
      <w:r>
        <w:rPr>
          <w:spacing w:val="-1"/>
        </w:rPr>
        <w:t> </w:t>
      </w:r>
      <w:r>
        <w:rPr/>
        <w:t>how</w:t>
      </w:r>
      <w:r>
        <w:rPr>
          <w:spacing w:val="-3"/>
        </w:rPr>
        <w:t> </w:t>
      </w:r>
      <w:r>
        <w:rPr/>
        <w:t>far back</w:t>
      </w:r>
      <w:r>
        <w:rPr>
          <w:spacing w:val="-1"/>
        </w:rPr>
        <w:t> </w:t>
      </w:r>
      <w:r>
        <w:rPr/>
        <w:t>the roots of</w:t>
      </w:r>
      <w:r>
        <w:rPr>
          <w:spacing w:val="-1"/>
        </w:rPr>
        <w:t> </w:t>
      </w:r>
      <w:r>
        <w:rPr/>
        <w:t>gendered experience can be traced and what they have meant historically and presently, the writer</w:t>
      </w:r>
      <w:r>
        <w:rPr>
          <w:spacing w:val="18"/>
        </w:rPr>
        <w:t> </w:t>
      </w:r>
      <w:r>
        <w:rPr/>
        <w:t>places</w:t>
      </w:r>
      <w:r>
        <w:rPr>
          <w:spacing w:val="18"/>
        </w:rPr>
        <w:t> </w:t>
      </w:r>
      <w:r>
        <w:rPr/>
        <w:t>the</w:t>
      </w:r>
      <w:r>
        <w:rPr>
          <w:spacing w:val="23"/>
        </w:rPr>
        <w:t> </w:t>
      </w:r>
      <w:r>
        <w:rPr/>
        <w:t>plays</w:t>
      </w:r>
      <w:r>
        <w:rPr>
          <w:spacing w:val="18"/>
        </w:rPr>
        <w:t> </w:t>
      </w:r>
      <w:r>
        <w:rPr/>
        <w:t>of</w:t>
      </w:r>
      <w:r>
        <w:rPr>
          <w:spacing w:val="17"/>
        </w:rPr>
        <w:t> </w:t>
      </w:r>
      <w:r>
        <w:rPr/>
        <w:t>Shakespeare</w:t>
      </w:r>
      <w:r>
        <w:rPr>
          <w:spacing w:val="19"/>
        </w:rPr>
        <w:t> </w:t>
      </w:r>
      <w:r>
        <w:rPr/>
        <w:t>in</w:t>
      </w:r>
      <w:r>
        <w:rPr>
          <w:spacing w:val="17"/>
        </w:rPr>
        <w:t> </w:t>
      </w:r>
      <w:r>
        <w:rPr/>
        <w:t>a</w:t>
      </w:r>
      <w:r>
        <w:rPr>
          <w:spacing w:val="19"/>
        </w:rPr>
        <w:t> </w:t>
      </w:r>
      <w:r>
        <w:rPr/>
        <w:t>significant</w:t>
      </w:r>
      <w:r>
        <w:rPr>
          <w:spacing w:val="22"/>
        </w:rPr>
        <w:t> </w:t>
      </w:r>
      <w:r>
        <w:rPr/>
        <w:t>space</w:t>
      </w:r>
      <w:r>
        <w:rPr>
          <w:spacing w:val="18"/>
        </w:rPr>
        <w:t> </w:t>
      </w:r>
      <w:r>
        <w:rPr/>
        <w:t>to</w:t>
      </w:r>
      <w:r>
        <w:rPr>
          <w:spacing w:val="20"/>
        </w:rPr>
        <w:t> </w:t>
      </w:r>
      <w:r>
        <w:rPr>
          <w:spacing w:val="-2"/>
        </w:rPr>
        <w:t>study.</w:t>
      </w:r>
    </w:p>
    <w:p>
      <w:pPr>
        <w:pStyle w:val="Heading3"/>
        <w:numPr>
          <w:ilvl w:val="0"/>
          <w:numId w:val="41"/>
        </w:numPr>
        <w:tabs>
          <w:tab w:pos="1713" w:val="left" w:leader="none"/>
        </w:tabs>
        <w:spacing w:line="240" w:lineRule="auto" w:before="166" w:after="0"/>
        <w:ind w:left="1713" w:right="0" w:hanging="273"/>
        <w:jc w:val="left"/>
      </w:pPr>
      <w:r>
        <w:rPr>
          <w:w w:val="90"/>
        </w:rPr>
        <w:t>REVIEW</w:t>
      </w:r>
      <w:r>
        <w:rPr>
          <w:spacing w:val="-1"/>
          <w:w w:val="90"/>
        </w:rPr>
        <w:t> </w:t>
      </w:r>
      <w:r>
        <w:rPr>
          <w:w w:val="90"/>
        </w:rPr>
        <w:t>OF</w:t>
      </w:r>
      <w:r>
        <w:rPr>
          <w:spacing w:val="-7"/>
        </w:rPr>
        <w:t> </w:t>
      </w:r>
      <w:r>
        <w:rPr>
          <w:spacing w:val="-2"/>
          <w:w w:val="90"/>
        </w:rPr>
        <w:t>LITERATURE:</w:t>
      </w:r>
    </w:p>
    <w:p>
      <w:pPr>
        <w:pStyle w:val="BodyText"/>
        <w:spacing w:line="249" w:lineRule="auto" w:before="75"/>
        <w:ind w:right="1433" w:firstLine="432"/>
        <w:jc w:val="both"/>
      </w:pPr>
      <w:r>
        <w:rPr/>
        <w:t>Related</w:t>
      </w:r>
      <w:r>
        <w:rPr>
          <w:spacing w:val="-13"/>
        </w:rPr>
        <w:t> </w:t>
      </w:r>
      <w:r>
        <w:rPr/>
        <w:t>to</w:t>
      </w:r>
      <w:r>
        <w:rPr>
          <w:spacing w:val="-9"/>
        </w:rPr>
        <w:t> </w:t>
      </w:r>
      <w:r>
        <w:rPr/>
        <w:t>Feminism</w:t>
      </w:r>
      <w:r>
        <w:rPr>
          <w:spacing w:val="-13"/>
        </w:rPr>
        <w:t> </w:t>
      </w:r>
      <w:r>
        <w:rPr/>
        <w:t>and</w:t>
      </w:r>
      <w:r>
        <w:rPr>
          <w:spacing w:val="-11"/>
        </w:rPr>
        <w:t> </w:t>
      </w:r>
      <w:r>
        <w:rPr/>
        <w:t>Culture,</w:t>
      </w:r>
      <w:r>
        <w:rPr>
          <w:spacing w:val="-11"/>
        </w:rPr>
        <w:t> </w:t>
      </w:r>
      <w:r>
        <w:rPr/>
        <w:t>scholars</w:t>
      </w:r>
      <w:r>
        <w:rPr>
          <w:spacing w:val="-13"/>
        </w:rPr>
        <w:t> </w:t>
      </w:r>
      <w:r>
        <w:rPr/>
        <w:t>have</w:t>
      </w:r>
      <w:r>
        <w:rPr>
          <w:spacing w:val="-11"/>
        </w:rPr>
        <w:t> </w:t>
      </w:r>
      <w:r>
        <w:rPr/>
        <w:t>long</w:t>
      </w:r>
      <w:r>
        <w:rPr>
          <w:spacing w:val="-13"/>
        </w:rPr>
        <w:t> </w:t>
      </w:r>
      <w:r>
        <w:rPr/>
        <w:t>analyzed</w:t>
      </w:r>
      <w:r>
        <w:rPr>
          <w:spacing w:val="-12"/>
        </w:rPr>
        <w:t> </w:t>
      </w:r>
      <w:r>
        <w:rPr/>
        <w:t>how women</w:t>
      </w:r>
      <w:r>
        <w:rPr>
          <w:spacing w:val="-13"/>
        </w:rPr>
        <w:t> </w:t>
      </w:r>
      <w:r>
        <w:rPr/>
        <w:t>are</w:t>
      </w:r>
      <w:r>
        <w:rPr>
          <w:spacing w:val="-12"/>
        </w:rPr>
        <w:t> </w:t>
      </w:r>
      <w:r>
        <w:rPr/>
        <w:t>portrayed</w:t>
      </w:r>
      <w:r>
        <w:rPr>
          <w:spacing w:val="-12"/>
        </w:rPr>
        <w:t> </w:t>
      </w:r>
      <w:r>
        <w:rPr/>
        <w:t>in</w:t>
      </w:r>
      <w:r>
        <w:rPr>
          <w:spacing w:val="-10"/>
        </w:rPr>
        <w:t> </w:t>
      </w:r>
      <w:r>
        <w:rPr/>
        <w:t>the</w:t>
      </w:r>
      <w:r>
        <w:rPr>
          <w:spacing w:val="-13"/>
        </w:rPr>
        <w:t> </w:t>
      </w:r>
      <w:r>
        <w:rPr/>
        <w:t>writings</w:t>
      </w:r>
      <w:r>
        <w:rPr>
          <w:spacing w:val="-10"/>
        </w:rPr>
        <w:t> </w:t>
      </w:r>
      <w:r>
        <w:rPr/>
        <w:t>of</w:t>
      </w:r>
      <w:r>
        <w:rPr>
          <w:spacing w:val="-13"/>
        </w:rPr>
        <w:t> </w:t>
      </w:r>
      <w:r>
        <w:rPr/>
        <w:t>William</w:t>
      </w:r>
      <w:r>
        <w:rPr>
          <w:spacing w:val="-12"/>
        </w:rPr>
        <w:t> </w:t>
      </w:r>
      <w:r>
        <w:rPr/>
        <w:t>Shakespeare</w:t>
      </w:r>
      <w:r>
        <w:rPr>
          <w:spacing w:val="-12"/>
        </w:rPr>
        <w:t> </w:t>
      </w:r>
      <w:r>
        <w:rPr/>
        <w:t>through</w:t>
      </w:r>
      <w:r>
        <w:rPr>
          <w:spacing w:val="-12"/>
        </w:rPr>
        <w:t> </w:t>
      </w:r>
      <w:r>
        <w:rPr/>
        <w:t>the lenses of Feminism and Culture connecting Gender (and Feminism), Power, and Voice together in an analytical manner. A foundational contributor</w:t>
      </w:r>
      <w:r>
        <w:rPr>
          <w:spacing w:val="-6"/>
        </w:rPr>
        <w:t> </w:t>
      </w:r>
      <w:r>
        <w:rPr/>
        <w:t>to</w:t>
      </w:r>
      <w:r>
        <w:rPr>
          <w:spacing w:val="-6"/>
        </w:rPr>
        <w:t> </w:t>
      </w:r>
      <w:r>
        <w:rPr/>
        <w:t>the</w:t>
      </w:r>
      <w:r>
        <w:rPr>
          <w:spacing w:val="-11"/>
        </w:rPr>
        <w:t> </w:t>
      </w:r>
      <w:r>
        <w:rPr/>
        <w:t>analysis</w:t>
      </w:r>
      <w:r>
        <w:rPr>
          <w:spacing w:val="-8"/>
        </w:rPr>
        <w:t> </w:t>
      </w:r>
      <w:r>
        <w:rPr/>
        <w:t>of</w:t>
      </w:r>
      <w:r>
        <w:rPr>
          <w:spacing w:val="-8"/>
        </w:rPr>
        <w:t> </w:t>
      </w:r>
      <w:r>
        <w:rPr/>
        <w:t>these</w:t>
      </w:r>
      <w:r>
        <w:rPr>
          <w:spacing w:val="-7"/>
        </w:rPr>
        <w:t> </w:t>
      </w:r>
      <w:r>
        <w:rPr/>
        <w:t>areas</w:t>
      </w:r>
      <w:r>
        <w:rPr>
          <w:spacing w:val="-10"/>
        </w:rPr>
        <w:t> </w:t>
      </w:r>
      <w:r>
        <w:rPr/>
        <w:t>is</w:t>
      </w:r>
      <w:r>
        <w:rPr>
          <w:spacing w:val="-8"/>
        </w:rPr>
        <w:t> </w:t>
      </w:r>
      <w:r>
        <w:rPr/>
        <w:t>Elaine</w:t>
      </w:r>
      <w:r>
        <w:rPr>
          <w:spacing w:val="-9"/>
        </w:rPr>
        <w:t> </w:t>
      </w:r>
      <w:r>
        <w:rPr/>
        <w:t>Showalter</w:t>
      </w:r>
      <w:r>
        <w:rPr>
          <w:spacing w:val="-6"/>
        </w:rPr>
        <w:t> </w:t>
      </w:r>
      <w:r>
        <w:rPr/>
        <w:t>(1985).</w:t>
      </w:r>
      <w:r>
        <w:rPr>
          <w:spacing w:val="-8"/>
        </w:rPr>
        <w:t> </w:t>
      </w:r>
      <w:r>
        <w:rPr/>
        <w:t>She has shifted the method of studying female characters from a treatment of these as separate entities to an analysis and interpretation that</w:t>
      </w:r>
      <w:r>
        <w:rPr>
          <w:spacing w:val="40"/>
        </w:rPr>
        <w:t> </w:t>
      </w:r>
      <w:r>
        <w:rPr/>
        <w:t>situates them within the broader cultural and ideological context. She contends that the majority of women depicted in Shakespeare’s writing were developed based on patriarchal expectations placed upon them</w:t>
      </w:r>
      <w:r>
        <w:rPr>
          <w:spacing w:val="40"/>
        </w:rPr>
        <w:t> </w:t>
      </w:r>
      <w:r>
        <w:rPr/>
        <w:t>and that these expectations would have had a direct effect on the way</w:t>
      </w:r>
      <w:r>
        <w:rPr>
          <w:spacing w:val="80"/>
        </w:rPr>
        <w:t> </w:t>
      </w:r>
      <w:r>
        <w:rPr/>
        <w:t>in</w:t>
      </w:r>
      <w:r>
        <w:rPr>
          <w:spacing w:val="-13"/>
        </w:rPr>
        <w:t> </w:t>
      </w:r>
      <w:r>
        <w:rPr/>
        <w:t>which</w:t>
      </w:r>
      <w:r>
        <w:rPr>
          <w:spacing w:val="-12"/>
        </w:rPr>
        <w:t> </w:t>
      </w:r>
      <w:r>
        <w:rPr/>
        <w:t>women</w:t>
      </w:r>
      <w:r>
        <w:rPr>
          <w:spacing w:val="-13"/>
        </w:rPr>
        <w:t> </w:t>
      </w:r>
      <w:r>
        <w:rPr/>
        <w:t>behaved,</w:t>
      </w:r>
      <w:r>
        <w:rPr>
          <w:spacing w:val="-12"/>
        </w:rPr>
        <w:t> </w:t>
      </w:r>
      <w:r>
        <w:rPr/>
        <w:t>felt,</w:t>
      </w:r>
      <w:r>
        <w:rPr>
          <w:spacing w:val="-13"/>
        </w:rPr>
        <w:t> </w:t>
      </w:r>
      <w:r>
        <w:rPr/>
        <w:t>and</w:t>
      </w:r>
      <w:r>
        <w:rPr>
          <w:spacing w:val="-12"/>
        </w:rPr>
        <w:t> </w:t>
      </w:r>
      <w:r>
        <w:rPr/>
        <w:t>identified</w:t>
      </w:r>
      <w:r>
        <w:rPr>
          <w:spacing w:val="-13"/>
        </w:rPr>
        <w:t> </w:t>
      </w:r>
      <w:r>
        <w:rPr/>
        <w:t>themselves.</w:t>
      </w:r>
      <w:r>
        <w:rPr>
          <w:spacing w:val="-12"/>
        </w:rPr>
        <w:t> </w:t>
      </w:r>
      <w:r>
        <w:rPr/>
        <w:t>Showalter</w:t>
      </w:r>
      <w:r>
        <w:rPr>
          <w:spacing w:val="-13"/>
        </w:rPr>
        <w:t> </w:t>
      </w:r>
      <w:r>
        <w:rPr/>
        <w:t>also illustrates</w:t>
      </w:r>
      <w:r>
        <w:rPr>
          <w:spacing w:val="-13"/>
        </w:rPr>
        <w:t> </w:t>
      </w:r>
      <w:r>
        <w:rPr/>
        <w:t>how</w:t>
      </w:r>
      <w:r>
        <w:rPr>
          <w:spacing w:val="-12"/>
        </w:rPr>
        <w:t> </w:t>
      </w:r>
      <w:r>
        <w:rPr/>
        <w:t>female</w:t>
      </w:r>
      <w:r>
        <w:rPr>
          <w:spacing w:val="-13"/>
        </w:rPr>
        <w:t> </w:t>
      </w:r>
      <w:r>
        <w:rPr/>
        <w:t>subjectivity</w:t>
      </w:r>
      <w:r>
        <w:rPr>
          <w:spacing w:val="-12"/>
        </w:rPr>
        <w:t> </w:t>
      </w:r>
      <w:r>
        <w:rPr/>
        <w:t>is</w:t>
      </w:r>
      <w:r>
        <w:rPr>
          <w:spacing w:val="-13"/>
        </w:rPr>
        <w:t> </w:t>
      </w:r>
      <w:r>
        <w:rPr/>
        <w:t>created</w:t>
      </w:r>
      <w:r>
        <w:rPr>
          <w:spacing w:val="-12"/>
        </w:rPr>
        <w:t> </w:t>
      </w:r>
      <w:r>
        <w:rPr/>
        <w:t>as</w:t>
      </w:r>
      <w:r>
        <w:rPr>
          <w:spacing w:val="-13"/>
        </w:rPr>
        <w:t> </w:t>
      </w:r>
      <w:r>
        <w:rPr/>
        <w:t>a</w:t>
      </w:r>
      <w:r>
        <w:rPr>
          <w:spacing w:val="-12"/>
        </w:rPr>
        <w:t> </w:t>
      </w:r>
      <w:r>
        <w:rPr/>
        <w:t>result</w:t>
      </w:r>
      <w:r>
        <w:rPr>
          <w:spacing w:val="-13"/>
        </w:rPr>
        <w:t> </w:t>
      </w:r>
      <w:r>
        <w:rPr/>
        <w:t>of</w:t>
      </w:r>
      <w:r>
        <w:rPr>
          <w:spacing w:val="-12"/>
        </w:rPr>
        <w:t> </w:t>
      </w:r>
      <w:r>
        <w:rPr/>
        <w:t>male</w:t>
      </w:r>
      <w:r>
        <w:rPr>
          <w:spacing w:val="-13"/>
        </w:rPr>
        <w:t> </w:t>
      </w:r>
      <w:r>
        <w:rPr/>
        <w:t>authority; therefore, she discusses how women establishing silence or madness can be viewed as being produced socially, thus providing new opportunities</w:t>
      </w:r>
      <w:r>
        <w:rPr>
          <w:spacing w:val="40"/>
        </w:rPr>
        <w:t> </w:t>
      </w:r>
      <w:r>
        <w:rPr/>
        <w:t>for</w:t>
      </w:r>
      <w:r>
        <w:rPr>
          <w:spacing w:val="40"/>
        </w:rPr>
        <w:t> </w:t>
      </w:r>
      <w:r>
        <w:rPr/>
        <w:t>understanding</w:t>
      </w:r>
      <w:r>
        <w:rPr>
          <w:spacing w:val="40"/>
        </w:rPr>
        <w:t> </w:t>
      </w:r>
      <w:r>
        <w:rPr/>
        <w:t>these</w:t>
      </w:r>
      <w:r>
        <w:rPr>
          <w:spacing w:val="40"/>
        </w:rPr>
        <w:t> </w:t>
      </w:r>
      <w:r>
        <w:rPr/>
        <w:t>types</w:t>
      </w:r>
      <w:r>
        <w:rPr>
          <w:spacing w:val="40"/>
        </w:rPr>
        <w:t> </w:t>
      </w:r>
      <w:r>
        <w:rPr/>
        <w:t>of</w:t>
      </w:r>
      <w:r>
        <w:rPr>
          <w:spacing w:val="40"/>
        </w:rPr>
        <w:t> </w:t>
      </w:r>
      <w:r>
        <w:rPr/>
        <w:t>concepts.</w:t>
      </w:r>
    </w:p>
    <w:p>
      <w:pPr>
        <w:pStyle w:val="BodyText"/>
        <w:spacing w:line="249" w:lineRule="auto" w:before="73"/>
        <w:ind w:right="1439" w:firstLine="432"/>
        <w:jc w:val="both"/>
      </w:pPr>
      <w:r>
        <w:rPr>
          <w:spacing w:val="-2"/>
        </w:rPr>
        <w:t>In</w:t>
      </w:r>
      <w:r>
        <w:rPr>
          <w:spacing w:val="-11"/>
        </w:rPr>
        <w:t> </w:t>
      </w:r>
      <w:r>
        <w:rPr>
          <w:spacing w:val="-2"/>
        </w:rPr>
        <w:t>addition,</w:t>
      </w:r>
      <w:r>
        <w:rPr>
          <w:spacing w:val="-10"/>
        </w:rPr>
        <w:t> </w:t>
      </w:r>
      <w:r>
        <w:rPr>
          <w:spacing w:val="-2"/>
        </w:rPr>
        <w:t>in</w:t>
      </w:r>
      <w:r>
        <w:rPr>
          <w:spacing w:val="-9"/>
        </w:rPr>
        <w:t> </w:t>
      </w:r>
      <w:r>
        <w:rPr>
          <w:spacing w:val="-2"/>
        </w:rPr>
        <w:t>her</w:t>
      </w:r>
      <w:r>
        <w:rPr>
          <w:spacing w:val="-10"/>
        </w:rPr>
        <w:t> </w:t>
      </w:r>
      <w:r>
        <w:rPr>
          <w:spacing w:val="-2"/>
        </w:rPr>
        <w:t>book,</w:t>
      </w:r>
      <w:r>
        <w:rPr>
          <w:spacing w:val="-10"/>
        </w:rPr>
        <w:t> </w:t>
      </w:r>
      <w:r>
        <w:rPr>
          <w:spacing w:val="-2"/>
        </w:rPr>
        <w:t>“Shakespeare’s</w:t>
      </w:r>
      <w:r>
        <w:rPr>
          <w:spacing w:val="-10"/>
        </w:rPr>
        <w:t> </w:t>
      </w:r>
      <w:r>
        <w:rPr>
          <w:spacing w:val="-2"/>
        </w:rPr>
        <w:t>Female</w:t>
      </w:r>
      <w:r>
        <w:rPr>
          <w:spacing w:val="-8"/>
        </w:rPr>
        <w:t> </w:t>
      </w:r>
      <w:r>
        <w:rPr>
          <w:spacing w:val="-2"/>
        </w:rPr>
        <w:t>Characters”</w:t>
      </w:r>
      <w:r>
        <w:rPr>
          <w:spacing w:val="-8"/>
        </w:rPr>
        <w:t> </w:t>
      </w:r>
      <w:r>
        <w:rPr>
          <w:spacing w:val="-2"/>
        </w:rPr>
        <w:t>(2004), </w:t>
      </w:r>
      <w:r>
        <w:rPr/>
        <w:t>Carol Thomas Neely provides an analysis of how women’s emotional </w:t>
      </w:r>
      <w:r>
        <w:rPr>
          <w:spacing w:val="-2"/>
        </w:rPr>
        <w:t>and</w:t>
      </w:r>
      <w:r>
        <w:rPr>
          <w:spacing w:val="-4"/>
        </w:rPr>
        <w:t> </w:t>
      </w:r>
      <w:r>
        <w:rPr>
          <w:spacing w:val="-2"/>
        </w:rPr>
        <w:t>psychological</w:t>
      </w:r>
      <w:r>
        <w:rPr>
          <w:spacing w:val="-6"/>
        </w:rPr>
        <w:t> </w:t>
      </w:r>
      <w:r>
        <w:rPr>
          <w:spacing w:val="-2"/>
        </w:rPr>
        <w:t>experiences</w:t>
      </w:r>
      <w:r>
        <w:rPr>
          <w:spacing w:val="-6"/>
        </w:rPr>
        <w:t> </w:t>
      </w:r>
      <w:r>
        <w:rPr>
          <w:spacing w:val="-2"/>
        </w:rPr>
        <w:t>are</w:t>
      </w:r>
      <w:r>
        <w:rPr>
          <w:spacing w:val="-5"/>
        </w:rPr>
        <w:t> </w:t>
      </w:r>
      <w:r>
        <w:rPr>
          <w:spacing w:val="-2"/>
        </w:rPr>
        <w:t>gendered</w:t>
      </w:r>
      <w:r>
        <w:rPr>
          <w:spacing w:val="-5"/>
        </w:rPr>
        <w:t> </w:t>
      </w:r>
      <w:r>
        <w:rPr>
          <w:spacing w:val="-2"/>
        </w:rPr>
        <w:t>in</w:t>
      </w:r>
      <w:r>
        <w:rPr>
          <w:spacing w:val="-6"/>
        </w:rPr>
        <w:t> </w:t>
      </w:r>
      <w:r>
        <w:rPr>
          <w:spacing w:val="-2"/>
        </w:rPr>
        <w:t>the</w:t>
      </w:r>
      <w:r>
        <w:rPr>
          <w:spacing w:val="-4"/>
        </w:rPr>
        <w:t> </w:t>
      </w:r>
      <w:r>
        <w:rPr>
          <w:spacing w:val="-2"/>
        </w:rPr>
        <w:t>works</w:t>
      </w:r>
      <w:r>
        <w:rPr>
          <w:spacing w:val="-8"/>
        </w:rPr>
        <w:t> </w:t>
      </w:r>
      <w:r>
        <w:rPr>
          <w:spacing w:val="-2"/>
        </w:rPr>
        <w:t>of</w:t>
      </w:r>
      <w:r>
        <w:rPr>
          <w:spacing w:val="-5"/>
        </w:rPr>
        <w:t> </w:t>
      </w:r>
      <w:r>
        <w:rPr>
          <w:spacing w:val="-2"/>
        </w:rPr>
        <w:t>Shakespeare.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5" w:val="left" w:leader="none"/>
        </w:tabs>
        <w:spacing w:before="0"/>
        <w:ind w:left="0" w:right="0"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756288">
                <wp:simplePos x="0" y="0"/>
                <wp:positionH relativeFrom="page">
                  <wp:posOffset>2065020</wp:posOffset>
                </wp:positionH>
                <wp:positionV relativeFrom="paragraph">
                  <wp:posOffset>162604</wp:posOffset>
                </wp:positionV>
                <wp:extent cx="3657600" cy="12700"/>
                <wp:effectExtent l="0" t="0" r="0" b="0"/>
                <wp:wrapTopAndBottom/>
                <wp:docPr id="485" name="Graphic 485"/>
                <wp:cNvGraphicFramePr>
                  <a:graphicFrameLocks/>
                </wp:cNvGraphicFramePr>
                <a:graphic>
                  <a:graphicData uri="http://schemas.microsoft.com/office/word/2010/wordprocessingShape">
                    <wps:wsp>
                      <wps:cNvPr id="485" name="Graphic 48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60192;mso-wrap-distance-left:0;mso-wrap-distance-right:0" id="docshape480" filled="true" fillcolor="#000000" stroked="false">
                <v:fill type="solid"/>
                <w10:wrap type="topAndBottom"/>
              </v:rect>
            </w:pict>
          </mc:Fallback>
        </mc:AlternateContent>
      </w:r>
      <w:r>
        <w:rPr>
          <w:rFonts w:ascii="Verdana"/>
          <w:spacing w:val="-6"/>
          <w:sz w:val="18"/>
        </w:rPr>
        <w:t>Silenced</w:t>
      </w:r>
      <w:r>
        <w:rPr>
          <w:rFonts w:ascii="Verdana"/>
          <w:spacing w:val="-2"/>
          <w:sz w:val="18"/>
        </w:rPr>
        <w:t> </w:t>
      </w:r>
      <w:r>
        <w:rPr>
          <w:rFonts w:ascii="Verdana"/>
          <w:spacing w:val="-6"/>
          <w:sz w:val="18"/>
        </w:rPr>
        <w:t>Then,</w:t>
      </w:r>
      <w:r>
        <w:rPr>
          <w:rFonts w:ascii="Verdana"/>
          <w:spacing w:val="1"/>
          <w:sz w:val="18"/>
        </w:rPr>
        <w:t> </w:t>
      </w:r>
      <w:r>
        <w:rPr>
          <w:rFonts w:ascii="Verdana"/>
          <w:spacing w:val="-6"/>
          <w:sz w:val="18"/>
        </w:rPr>
        <w:t>Speaking</w:t>
      </w:r>
      <w:r>
        <w:rPr>
          <w:rFonts w:ascii="Verdana"/>
          <w:spacing w:val="2"/>
          <w:sz w:val="18"/>
        </w:rPr>
        <w:t> </w:t>
      </w:r>
      <w:r>
        <w:rPr>
          <w:rFonts w:ascii="Verdana"/>
          <w:spacing w:val="-6"/>
          <w:sz w:val="18"/>
        </w:rPr>
        <w:t>Now:</w:t>
      </w:r>
      <w:r>
        <w:rPr>
          <w:rFonts w:ascii="Verdana"/>
          <w:spacing w:val="1"/>
          <w:sz w:val="18"/>
        </w:rPr>
        <w:t> </w:t>
      </w:r>
      <w:r>
        <w:rPr>
          <w:rFonts w:ascii="Verdana"/>
          <w:spacing w:val="-6"/>
          <w:sz w:val="18"/>
        </w:rPr>
        <w:t>Shakespeare</w:t>
      </w:r>
      <w:r>
        <w:rPr>
          <w:rFonts w:ascii="Verdana"/>
          <w:spacing w:val="3"/>
          <w:sz w:val="18"/>
        </w:rPr>
        <w:t> </w:t>
      </w:r>
      <w:r>
        <w:rPr>
          <w:rFonts w:ascii="Verdana"/>
          <w:spacing w:val="-6"/>
          <w:sz w:val="18"/>
        </w:rPr>
        <w:t>and</w:t>
      </w:r>
      <w:r>
        <w:rPr>
          <w:rFonts w:ascii="Verdana"/>
          <w:spacing w:val="1"/>
          <w:sz w:val="18"/>
        </w:rPr>
        <w:t> </w:t>
      </w:r>
      <w:r>
        <w:rPr>
          <w:rFonts w:ascii="Verdana"/>
          <w:spacing w:val="-6"/>
          <w:sz w:val="18"/>
        </w:rPr>
        <w:t>Heroines</w:t>
      </w:r>
      <w:r>
        <w:rPr>
          <w:rFonts w:ascii="Verdana"/>
          <w:spacing w:val="1"/>
          <w:sz w:val="18"/>
        </w:rPr>
        <w:t> </w:t>
      </w:r>
      <w:r>
        <w:rPr>
          <w:rFonts w:ascii="Verdana"/>
          <w:spacing w:val="-6"/>
          <w:sz w:val="18"/>
        </w:rPr>
        <w:t>...</w:t>
      </w:r>
      <w:r>
        <w:rPr>
          <w:rFonts w:ascii="Verdana"/>
          <w:sz w:val="18"/>
        </w:rPr>
        <w:tab/>
      </w:r>
      <w:r>
        <w:rPr>
          <w:rFonts w:ascii="Verdana"/>
          <w:spacing w:val="-5"/>
          <w:sz w:val="18"/>
        </w:rPr>
        <w:t>217</w:t>
      </w:r>
    </w:p>
    <w:p>
      <w:pPr>
        <w:pStyle w:val="BodyText"/>
        <w:spacing w:line="249" w:lineRule="auto" w:before="192"/>
        <w:ind w:right="1437"/>
        <w:jc w:val="both"/>
      </w:pPr>
      <w:r>
        <w:rPr/>
        <w:t>Neely explains that women’s expressions of distress (whether through verbal expressions/ unexpressed/ verbal/ nonverbal or via physical breakdown) need to be analysed in relation to their standing within the social and relational context of their contemporary society. She demonstrates that women’s experiences cannot be analysed apart from the</w:t>
      </w:r>
      <w:r>
        <w:rPr>
          <w:spacing w:val="40"/>
        </w:rPr>
        <w:t> </w:t>
      </w:r>
      <w:r>
        <w:rPr/>
        <w:t>cultural</w:t>
      </w:r>
      <w:r>
        <w:rPr>
          <w:spacing w:val="40"/>
        </w:rPr>
        <w:t> </w:t>
      </w:r>
      <w:r>
        <w:rPr/>
        <w:t>structure</w:t>
      </w:r>
      <w:r>
        <w:rPr>
          <w:spacing w:val="40"/>
        </w:rPr>
        <w:t> </w:t>
      </w:r>
      <w:r>
        <w:rPr/>
        <w:t>that</w:t>
      </w:r>
      <w:r>
        <w:rPr>
          <w:spacing w:val="40"/>
        </w:rPr>
        <w:t> </w:t>
      </w:r>
      <w:r>
        <w:rPr/>
        <w:t>has</w:t>
      </w:r>
      <w:r>
        <w:rPr>
          <w:spacing w:val="40"/>
        </w:rPr>
        <w:t> </w:t>
      </w:r>
      <w:r>
        <w:rPr/>
        <w:t>defined</w:t>
      </w:r>
      <w:r>
        <w:rPr>
          <w:spacing w:val="40"/>
        </w:rPr>
        <w:t> </w:t>
      </w:r>
      <w:r>
        <w:rPr/>
        <w:t>their</w:t>
      </w:r>
      <w:r>
        <w:rPr>
          <w:spacing w:val="40"/>
        </w:rPr>
        <w:t> </w:t>
      </w:r>
      <w:r>
        <w:rPr/>
        <w:t>experience.</w:t>
      </w:r>
    </w:p>
    <w:p>
      <w:pPr>
        <w:pStyle w:val="BodyText"/>
        <w:spacing w:line="249" w:lineRule="auto" w:before="63"/>
        <w:ind w:right="1438" w:firstLine="432"/>
        <w:jc w:val="both"/>
      </w:pPr>
      <w:r>
        <w:rPr/>
        <w:t>Bell hooks (2000) provides a critical theoretical framework to understand how patriarchy functions as a form of dominant power that seeks to create a normalised control over women’s voices and bodies. Although hooks’ work is not always focused on Shakespeare, it does provide significant insight into how cultural texts reproduce gender hierarchies. Hooks’ emphasis on issues of representation and the voice is particularly relevant to understanding how female characters in Shakespeare</w:t>
      </w:r>
      <w:r>
        <w:rPr>
          <w:spacing w:val="40"/>
        </w:rPr>
        <w:t> </w:t>
      </w:r>
      <w:r>
        <w:rPr/>
        <w:t>navigate</w:t>
      </w:r>
      <w:r>
        <w:rPr>
          <w:spacing w:val="40"/>
        </w:rPr>
        <w:t> </w:t>
      </w:r>
      <w:r>
        <w:rPr/>
        <w:t>their</w:t>
      </w:r>
      <w:r>
        <w:rPr>
          <w:spacing w:val="40"/>
        </w:rPr>
        <w:t> </w:t>
      </w:r>
      <w:r>
        <w:rPr/>
        <w:t>visibility</w:t>
      </w:r>
      <w:r>
        <w:rPr>
          <w:spacing w:val="40"/>
        </w:rPr>
        <w:t> </w:t>
      </w:r>
      <w:r>
        <w:rPr/>
        <w:t>and</w:t>
      </w:r>
      <w:r>
        <w:rPr>
          <w:spacing w:val="40"/>
        </w:rPr>
        <w:t> </w:t>
      </w:r>
      <w:r>
        <w:rPr/>
        <w:t>authority.</w:t>
      </w:r>
    </w:p>
    <w:p>
      <w:pPr>
        <w:pStyle w:val="BodyText"/>
        <w:spacing w:line="249" w:lineRule="auto" w:before="64"/>
        <w:ind w:right="1435" w:firstLine="432"/>
        <w:jc w:val="both"/>
      </w:pPr>
      <w:r>
        <w:rPr/>
        <w:t>Judith Butler (1990) has also introduced the idea of gender performativity, which has been particularly useful in studying Shakespeare. According to Butler, gender is created through social norms and scriptures/repeated acts (not a product of biology) and the concept</w:t>
      </w:r>
      <w:r>
        <w:rPr>
          <w:spacing w:val="-13"/>
        </w:rPr>
        <w:t> </w:t>
      </w:r>
      <w:r>
        <w:rPr/>
        <w:t>is</w:t>
      </w:r>
      <w:r>
        <w:rPr>
          <w:spacing w:val="-12"/>
        </w:rPr>
        <w:t> </w:t>
      </w:r>
      <w:r>
        <w:rPr/>
        <w:t>particularly</w:t>
      </w:r>
      <w:r>
        <w:rPr>
          <w:spacing w:val="-13"/>
        </w:rPr>
        <w:t> </w:t>
      </w:r>
      <w:r>
        <w:rPr/>
        <w:t>significant</w:t>
      </w:r>
      <w:r>
        <w:rPr>
          <w:spacing w:val="-12"/>
        </w:rPr>
        <w:t> </w:t>
      </w:r>
      <w:r>
        <w:rPr/>
        <w:t>in</w:t>
      </w:r>
      <w:r>
        <w:rPr>
          <w:spacing w:val="-13"/>
        </w:rPr>
        <w:t> </w:t>
      </w:r>
      <w:r>
        <w:rPr/>
        <w:t>looking</w:t>
      </w:r>
      <w:r>
        <w:rPr>
          <w:spacing w:val="-12"/>
        </w:rPr>
        <w:t> </w:t>
      </w:r>
      <w:r>
        <w:rPr/>
        <w:t>at</w:t>
      </w:r>
      <w:r>
        <w:rPr>
          <w:spacing w:val="-13"/>
        </w:rPr>
        <w:t> </w:t>
      </w:r>
      <w:r>
        <w:rPr/>
        <w:t>the</w:t>
      </w:r>
      <w:r>
        <w:rPr>
          <w:spacing w:val="-12"/>
        </w:rPr>
        <w:t> </w:t>
      </w:r>
      <w:r>
        <w:rPr/>
        <w:t>characters</w:t>
      </w:r>
      <w:r>
        <w:rPr>
          <w:spacing w:val="-13"/>
        </w:rPr>
        <w:t> </w:t>
      </w:r>
      <w:r>
        <w:rPr/>
        <w:t>of</w:t>
      </w:r>
      <w:r>
        <w:rPr>
          <w:spacing w:val="-12"/>
        </w:rPr>
        <w:t> </w:t>
      </w:r>
      <w:r>
        <w:rPr/>
        <w:t>Rosalind and Viola where their use of costumes illustrate both the socially constructed</w:t>
      </w:r>
      <w:r>
        <w:rPr>
          <w:spacing w:val="40"/>
        </w:rPr>
        <w:t> </w:t>
      </w:r>
      <w:r>
        <w:rPr/>
        <w:t>aspects</w:t>
      </w:r>
      <w:r>
        <w:rPr>
          <w:spacing w:val="40"/>
        </w:rPr>
        <w:t> </w:t>
      </w:r>
      <w:r>
        <w:rPr/>
        <w:t>of</w:t>
      </w:r>
      <w:r>
        <w:rPr>
          <w:spacing w:val="40"/>
        </w:rPr>
        <w:t> </w:t>
      </w:r>
      <w:r>
        <w:rPr/>
        <w:t>gender</w:t>
      </w:r>
      <w:r>
        <w:rPr>
          <w:spacing w:val="40"/>
        </w:rPr>
        <w:t> </w:t>
      </w:r>
      <w:r>
        <w:rPr/>
        <w:t>and</w:t>
      </w:r>
      <w:r>
        <w:rPr>
          <w:spacing w:val="40"/>
        </w:rPr>
        <w:t> </w:t>
      </w:r>
      <w:r>
        <w:rPr/>
        <w:t>indicate</w:t>
      </w:r>
      <w:r>
        <w:rPr>
          <w:spacing w:val="40"/>
        </w:rPr>
        <w:t> </w:t>
      </w:r>
      <w:r>
        <w:rPr/>
        <w:t>how</w:t>
      </w:r>
      <w:r>
        <w:rPr>
          <w:spacing w:val="40"/>
        </w:rPr>
        <w:t> </w:t>
      </w:r>
      <w:r>
        <w:rPr/>
        <w:t>identity</w:t>
      </w:r>
      <w:r>
        <w:rPr>
          <w:spacing w:val="40"/>
        </w:rPr>
        <w:t> </w:t>
      </w:r>
      <w:r>
        <w:rPr/>
        <w:t>is</w:t>
      </w:r>
      <w:r>
        <w:rPr>
          <w:spacing w:val="40"/>
        </w:rPr>
        <w:t> </w:t>
      </w:r>
      <w:r>
        <w:rPr/>
        <w:t>fluid.</w:t>
      </w:r>
    </w:p>
    <w:p>
      <w:pPr>
        <w:pStyle w:val="BodyText"/>
        <w:spacing w:line="249" w:lineRule="auto" w:before="66"/>
        <w:ind w:right="1436" w:firstLine="432"/>
        <w:jc w:val="both"/>
      </w:pPr>
      <w:r>
        <w:rPr/>
        <w:t>There has been some recent research linking the study of modern feminist theories to current readings of Shakespeare. One example of this</w:t>
      </w:r>
      <w:r>
        <w:rPr>
          <w:spacing w:val="-1"/>
        </w:rPr>
        <w:t> </w:t>
      </w:r>
      <w:r>
        <w:rPr/>
        <w:t>is</w:t>
      </w:r>
      <w:r>
        <w:rPr>
          <w:spacing w:val="-1"/>
        </w:rPr>
        <w:t> </w:t>
      </w:r>
      <w:r>
        <w:rPr/>
        <w:t>Mendes,</w:t>
      </w:r>
      <w:r>
        <w:rPr>
          <w:spacing w:val="-1"/>
        </w:rPr>
        <w:t> </w:t>
      </w:r>
      <w:r>
        <w:rPr/>
        <w:t>Ringrose, and Keller (2019), who</w:t>
      </w:r>
      <w:r>
        <w:rPr>
          <w:spacing w:val="-1"/>
        </w:rPr>
        <w:t> </w:t>
      </w:r>
      <w:r>
        <w:rPr/>
        <w:t>provide evidence</w:t>
      </w:r>
      <w:r>
        <w:rPr>
          <w:spacing w:val="-1"/>
        </w:rPr>
        <w:t> </w:t>
      </w:r>
      <w:r>
        <w:rPr/>
        <w:t>that digital</w:t>
      </w:r>
      <w:r>
        <w:rPr>
          <w:spacing w:val="-5"/>
        </w:rPr>
        <w:t> </w:t>
      </w:r>
      <w:r>
        <w:rPr/>
        <w:t>activism</w:t>
      </w:r>
      <w:r>
        <w:rPr>
          <w:spacing w:val="-8"/>
        </w:rPr>
        <w:t> </w:t>
      </w:r>
      <w:r>
        <w:rPr/>
        <w:t>related</w:t>
      </w:r>
      <w:r>
        <w:rPr>
          <w:spacing w:val="-4"/>
        </w:rPr>
        <w:t> </w:t>
      </w:r>
      <w:r>
        <w:rPr/>
        <w:t>to</w:t>
      </w:r>
      <w:r>
        <w:rPr>
          <w:spacing w:val="-5"/>
        </w:rPr>
        <w:t> </w:t>
      </w:r>
      <w:r>
        <w:rPr/>
        <w:t>the</w:t>
      </w:r>
      <w:r>
        <w:rPr>
          <w:spacing w:val="-5"/>
        </w:rPr>
        <w:t> </w:t>
      </w:r>
      <w:r>
        <w:rPr/>
        <w:t>#metoo</w:t>
      </w:r>
      <w:r>
        <w:rPr>
          <w:spacing w:val="-4"/>
        </w:rPr>
        <w:t> </w:t>
      </w:r>
      <w:r>
        <w:rPr/>
        <w:t>movement</w:t>
      </w:r>
      <w:r>
        <w:rPr>
          <w:spacing w:val="-5"/>
        </w:rPr>
        <w:t> </w:t>
      </w:r>
      <w:r>
        <w:rPr/>
        <w:t>has</w:t>
      </w:r>
      <w:r>
        <w:rPr>
          <w:spacing w:val="-5"/>
        </w:rPr>
        <w:t> </w:t>
      </w:r>
      <w:r>
        <w:rPr/>
        <w:t>created</w:t>
      </w:r>
      <w:r>
        <w:rPr>
          <w:spacing w:val="-7"/>
        </w:rPr>
        <w:t> </w:t>
      </w:r>
      <w:r>
        <w:rPr/>
        <w:t>new</w:t>
      </w:r>
      <w:r>
        <w:rPr>
          <w:spacing w:val="-7"/>
        </w:rPr>
        <w:t> </w:t>
      </w:r>
      <w:r>
        <w:rPr/>
        <w:t>spaces for women to share their experiences and challenge the systemic inequalities they face. In addition, their research has highlighted the importance</w:t>
      </w:r>
      <w:r>
        <w:rPr>
          <w:spacing w:val="-1"/>
        </w:rPr>
        <w:t> </w:t>
      </w:r>
      <w:r>
        <w:rPr/>
        <w:t>of</w:t>
      </w:r>
      <w:r>
        <w:rPr>
          <w:spacing w:val="-4"/>
        </w:rPr>
        <w:t> </w:t>
      </w:r>
      <w:r>
        <w:rPr/>
        <w:t>voice,</w:t>
      </w:r>
      <w:r>
        <w:rPr>
          <w:spacing w:val="-1"/>
        </w:rPr>
        <w:t> </w:t>
      </w:r>
      <w:r>
        <w:rPr/>
        <w:t>testimony,</w:t>
      </w:r>
      <w:r>
        <w:rPr>
          <w:spacing w:val="-1"/>
        </w:rPr>
        <w:t> </w:t>
      </w:r>
      <w:r>
        <w:rPr/>
        <w:t>and collective</w:t>
      </w:r>
      <w:r>
        <w:rPr>
          <w:spacing w:val="-3"/>
        </w:rPr>
        <w:t> </w:t>
      </w:r>
      <w:r>
        <w:rPr/>
        <w:t>resistance</w:t>
      </w:r>
      <w:r>
        <w:rPr>
          <w:spacing w:val="-1"/>
        </w:rPr>
        <w:t> </w:t>
      </w:r>
      <w:r>
        <w:rPr/>
        <w:t>while creating a model for reinterpreting Shakespeare’s female characters based on issues affecting women today. Despite these exciting developments, however, there has yet to be a comprehensive effort to integrate the study of early modern literature and contemporary feminist theory on</w:t>
      </w:r>
      <w:r>
        <w:rPr>
          <w:spacing w:val="40"/>
        </w:rPr>
        <w:t> </w:t>
      </w:r>
      <w:r>
        <w:rPr/>
        <w:t>an ongoing basis. Most of the earlier research conducted regarding the interpretation of Shakespeare’s plays has been focused primarily on textual interpretation or theoretical constructs, rather than both simultaneously;</w:t>
      </w:r>
      <w:r>
        <w:rPr>
          <w:spacing w:val="-8"/>
        </w:rPr>
        <w:t> </w:t>
      </w:r>
      <w:r>
        <w:rPr/>
        <w:t>therefore,</w:t>
      </w:r>
      <w:r>
        <w:rPr>
          <w:spacing w:val="-10"/>
        </w:rPr>
        <w:t> </w:t>
      </w:r>
      <w:r>
        <w:rPr/>
        <w:t>this</w:t>
      </w:r>
      <w:r>
        <w:rPr>
          <w:spacing w:val="-8"/>
        </w:rPr>
        <w:t> </w:t>
      </w:r>
      <w:r>
        <w:rPr/>
        <w:t>study</w:t>
      </w:r>
      <w:r>
        <w:rPr>
          <w:spacing w:val="-10"/>
        </w:rPr>
        <w:t> </w:t>
      </w:r>
      <w:r>
        <w:rPr/>
        <w:t>aims</w:t>
      </w:r>
      <w:r>
        <w:rPr>
          <w:spacing w:val="-8"/>
        </w:rPr>
        <w:t> </w:t>
      </w:r>
      <w:r>
        <w:rPr/>
        <w:t>to</w:t>
      </w:r>
      <w:r>
        <w:rPr>
          <w:spacing w:val="-8"/>
        </w:rPr>
        <w:t> </w:t>
      </w:r>
      <w:r>
        <w:rPr/>
        <w:t>fill</w:t>
      </w:r>
      <w:r>
        <w:rPr>
          <w:spacing w:val="-8"/>
        </w:rPr>
        <w:t> </w:t>
      </w:r>
      <w:r>
        <w:rPr/>
        <w:t>this</w:t>
      </w:r>
      <w:r>
        <w:rPr>
          <w:spacing w:val="-8"/>
        </w:rPr>
        <w:t> </w:t>
      </w:r>
      <w:r>
        <w:rPr/>
        <w:t>gap</w:t>
      </w:r>
      <w:r>
        <w:rPr>
          <w:spacing w:val="-6"/>
        </w:rPr>
        <w:t> </w:t>
      </w:r>
      <w:r>
        <w:rPr/>
        <w:t>left</w:t>
      </w:r>
      <w:r>
        <w:rPr>
          <w:spacing w:val="-10"/>
        </w:rPr>
        <w:t> </w:t>
      </w:r>
      <w:r>
        <w:rPr/>
        <w:t>by</w:t>
      </w:r>
      <w:r>
        <w:rPr>
          <w:spacing w:val="-10"/>
        </w:rPr>
        <w:t> </w:t>
      </w:r>
      <w:r>
        <w:rPr/>
        <w:t>previous researchers through an examination of how the socio-political context</w:t>
      </w:r>
      <w:r>
        <w:rPr>
          <w:spacing w:val="40"/>
        </w:rPr>
        <w:t> </w:t>
      </w:r>
      <w:r>
        <w:rPr/>
        <w:t>of the #metoo movement affects Shakespeare’s female characters via research</w:t>
      </w:r>
      <w:r>
        <w:rPr>
          <w:spacing w:val="40"/>
        </w:rPr>
        <w:t> </w:t>
      </w:r>
      <w:r>
        <w:rPr/>
        <w:t>within</w:t>
      </w:r>
      <w:r>
        <w:rPr>
          <w:spacing w:val="40"/>
        </w:rPr>
        <w:t> </w:t>
      </w:r>
      <w:r>
        <w:rPr/>
        <w:t>feminist</w:t>
      </w:r>
      <w:r>
        <w:rPr>
          <w:spacing w:val="40"/>
        </w:rPr>
        <w:t> </w:t>
      </w:r>
      <w:r>
        <w:rPr/>
        <w:t>theory,</w:t>
      </w:r>
      <w:r>
        <w:rPr>
          <w:spacing w:val="40"/>
        </w:rPr>
        <w:t> </w:t>
      </w:r>
      <w:r>
        <w:rPr/>
        <w:t>psychoanalysis,</w:t>
      </w:r>
      <w:r>
        <w:rPr>
          <w:spacing w:val="40"/>
        </w:rPr>
        <w:t> </w:t>
      </w:r>
      <w:r>
        <w:rPr/>
        <w:t>and</w:t>
      </w:r>
      <w:r>
        <w:rPr>
          <w:spacing w:val="40"/>
        </w:rPr>
        <w:t> </w:t>
      </w:r>
      <w:r>
        <w:rPr/>
        <w:t>culture.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56800">
                <wp:simplePos x="0" y="0"/>
                <wp:positionH relativeFrom="page">
                  <wp:posOffset>2057400</wp:posOffset>
                </wp:positionH>
                <wp:positionV relativeFrom="paragraph">
                  <wp:posOffset>162604</wp:posOffset>
                </wp:positionV>
                <wp:extent cx="3657600" cy="12700"/>
                <wp:effectExtent l="0" t="0" r="0" b="0"/>
                <wp:wrapTopAndBottom/>
                <wp:docPr id="486" name="Graphic 486"/>
                <wp:cNvGraphicFramePr>
                  <a:graphicFrameLocks/>
                </wp:cNvGraphicFramePr>
                <a:graphic>
                  <a:graphicData uri="http://schemas.microsoft.com/office/word/2010/wordprocessingShape">
                    <wps:wsp>
                      <wps:cNvPr id="486" name="Graphic 48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59680;mso-wrap-distance-left:0;mso-wrap-distance-right:0" id="docshape481" filled="true" fillcolor="#000000" stroked="false">
                <v:fill type="solid"/>
                <w10:wrap type="topAndBottom"/>
              </v:rect>
            </w:pict>
          </mc:Fallback>
        </mc:AlternateContent>
      </w:r>
      <w:r>
        <w:rPr>
          <w:rFonts w:ascii="Verdana"/>
          <w:spacing w:val="-5"/>
          <w:sz w:val="18"/>
        </w:rPr>
        <w:t>218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numPr>
          <w:ilvl w:val="0"/>
          <w:numId w:val="41"/>
        </w:numPr>
        <w:tabs>
          <w:tab w:pos="1696" w:val="left" w:leader="none"/>
        </w:tabs>
        <w:spacing w:line="240" w:lineRule="auto" w:before="173" w:after="0"/>
        <w:ind w:left="1696" w:right="0" w:hanging="256"/>
        <w:jc w:val="left"/>
      </w:pPr>
      <w:r>
        <w:rPr>
          <w:w w:val="85"/>
        </w:rPr>
        <w:t>THEORETICAL</w:t>
      </w:r>
      <w:r>
        <w:rPr>
          <w:spacing w:val="24"/>
        </w:rPr>
        <w:t> </w:t>
      </w:r>
      <w:r>
        <w:rPr>
          <w:spacing w:val="-2"/>
          <w:w w:val="95"/>
        </w:rPr>
        <w:t>FRAMEWORK:</w:t>
      </w:r>
    </w:p>
    <w:p>
      <w:pPr>
        <w:pStyle w:val="BodyText"/>
        <w:spacing w:line="249" w:lineRule="auto" w:before="75"/>
        <w:ind w:right="1436" w:firstLine="432"/>
        <w:jc w:val="both"/>
      </w:pPr>
      <w:r>
        <w:rPr/>
        <w:t>The</w:t>
      </w:r>
      <w:r>
        <w:rPr>
          <w:spacing w:val="-12"/>
        </w:rPr>
        <w:t> </w:t>
      </w:r>
      <w:r>
        <w:rPr/>
        <w:t>research</w:t>
      </w:r>
      <w:r>
        <w:rPr>
          <w:spacing w:val="-13"/>
        </w:rPr>
        <w:t> </w:t>
      </w:r>
      <w:r>
        <w:rPr/>
        <w:t>is</w:t>
      </w:r>
      <w:r>
        <w:rPr>
          <w:spacing w:val="-10"/>
        </w:rPr>
        <w:t> </w:t>
      </w:r>
      <w:r>
        <w:rPr/>
        <w:t>based</w:t>
      </w:r>
      <w:r>
        <w:rPr>
          <w:spacing w:val="-11"/>
        </w:rPr>
        <w:t> </w:t>
      </w:r>
      <w:r>
        <w:rPr/>
        <w:t>on</w:t>
      </w:r>
      <w:r>
        <w:rPr>
          <w:spacing w:val="-13"/>
        </w:rPr>
        <w:t> </w:t>
      </w:r>
      <w:r>
        <w:rPr/>
        <w:t>an</w:t>
      </w:r>
      <w:r>
        <w:rPr>
          <w:spacing w:val="-12"/>
        </w:rPr>
        <w:t> </w:t>
      </w:r>
      <w:r>
        <w:rPr/>
        <w:t>interdisciplinary</w:t>
      </w:r>
      <w:r>
        <w:rPr>
          <w:spacing w:val="-13"/>
        </w:rPr>
        <w:t> </w:t>
      </w:r>
      <w:r>
        <w:rPr/>
        <w:t>theoretical</w:t>
      </w:r>
      <w:r>
        <w:rPr>
          <w:spacing w:val="-12"/>
        </w:rPr>
        <w:t> </w:t>
      </w:r>
      <w:r>
        <w:rPr/>
        <w:t>framework utilising a feminist theory, psychoanalytic theory, and a cultural theory approach. Feminist theory will be used to analyse how patriarchal systems constrain women from being able to analyse their voice and their identity (hooks, 2000). Psychoanalytic theory is deployed through the use of Freud’s theories on repression to analyse the nature of internal conflict caused by repressed desires. Cultural theory will be used to consider how meaning changes across historical periods, and therefore provide a context for a reinterpretation of the works of Shakespeare within the #MeToo movement. Collectively, these frameworks support an understanding of the ability of silence to both suppress</w:t>
      </w:r>
      <w:r>
        <w:rPr>
          <w:spacing w:val="40"/>
        </w:rPr>
        <w:t> </w:t>
      </w:r>
      <w:r>
        <w:rPr/>
        <w:t>and</w:t>
      </w:r>
      <w:r>
        <w:rPr>
          <w:spacing w:val="40"/>
        </w:rPr>
        <w:t> </w:t>
      </w:r>
      <w:r>
        <w:rPr/>
        <w:t>act</w:t>
      </w:r>
      <w:r>
        <w:rPr>
          <w:spacing w:val="40"/>
        </w:rPr>
        <w:t> </w:t>
      </w:r>
      <w:r>
        <w:rPr/>
        <w:t>as</w:t>
      </w:r>
      <w:r>
        <w:rPr>
          <w:spacing w:val="40"/>
        </w:rPr>
        <w:t> </w:t>
      </w:r>
      <w:r>
        <w:rPr/>
        <w:t>a</w:t>
      </w:r>
      <w:r>
        <w:rPr>
          <w:spacing w:val="40"/>
        </w:rPr>
        <w:t> </w:t>
      </w:r>
      <w:r>
        <w:rPr/>
        <w:t>point</w:t>
      </w:r>
      <w:r>
        <w:rPr>
          <w:spacing w:val="40"/>
        </w:rPr>
        <w:t> </w:t>
      </w:r>
      <w:r>
        <w:rPr/>
        <w:t>of</w:t>
      </w:r>
      <w:r>
        <w:rPr>
          <w:spacing w:val="40"/>
        </w:rPr>
        <w:t> </w:t>
      </w:r>
      <w:r>
        <w:rPr/>
        <w:t>resistance.</w:t>
      </w:r>
    </w:p>
    <w:p>
      <w:pPr>
        <w:pStyle w:val="Heading3"/>
        <w:numPr>
          <w:ilvl w:val="0"/>
          <w:numId w:val="41"/>
        </w:numPr>
        <w:tabs>
          <w:tab w:pos="1703" w:val="left" w:leader="none"/>
        </w:tabs>
        <w:spacing w:line="240" w:lineRule="auto" w:before="163" w:after="0"/>
        <w:ind w:left="1703" w:right="0" w:hanging="263"/>
        <w:jc w:val="left"/>
      </w:pPr>
      <w:r>
        <w:rPr>
          <w:spacing w:val="-2"/>
        </w:rPr>
        <w:t>METHODOLOGY</w:t>
      </w:r>
    </w:p>
    <w:p>
      <w:pPr>
        <w:pStyle w:val="BodyText"/>
        <w:spacing w:line="249" w:lineRule="auto" w:before="76"/>
        <w:ind w:right="1436" w:firstLine="529"/>
        <w:jc w:val="both"/>
      </w:pPr>
      <w:r>
        <w:rPr/>
        <w:t>This research employs a qualitative, interpretive methodology </w:t>
      </w:r>
      <w:r>
        <w:rPr>
          <w:spacing w:val="-2"/>
        </w:rPr>
        <w:t>that</w:t>
      </w:r>
      <w:r>
        <w:rPr>
          <w:spacing w:val="-6"/>
        </w:rPr>
        <w:t> </w:t>
      </w:r>
      <w:r>
        <w:rPr>
          <w:spacing w:val="-2"/>
        </w:rPr>
        <w:t>involves</w:t>
      </w:r>
      <w:r>
        <w:rPr>
          <w:spacing w:val="-4"/>
        </w:rPr>
        <w:t> </w:t>
      </w:r>
      <w:r>
        <w:rPr>
          <w:spacing w:val="-2"/>
        </w:rPr>
        <w:t>a</w:t>
      </w:r>
      <w:r>
        <w:rPr>
          <w:spacing w:val="-4"/>
        </w:rPr>
        <w:t> </w:t>
      </w:r>
      <w:r>
        <w:rPr>
          <w:spacing w:val="-2"/>
        </w:rPr>
        <w:t>detailed</w:t>
      </w:r>
      <w:r>
        <w:rPr>
          <w:spacing w:val="-4"/>
        </w:rPr>
        <w:t> </w:t>
      </w:r>
      <w:r>
        <w:rPr>
          <w:spacing w:val="-2"/>
        </w:rPr>
        <w:t>analytical</w:t>
      </w:r>
      <w:r>
        <w:rPr>
          <w:spacing w:val="-6"/>
        </w:rPr>
        <w:t> </w:t>
      </w:r>
      <w:r>
        <w:rPr>
          <w:spacing w:val="-2"/>
        </w:rPr>
        <w:t>review</w:t>
      </w:r>
      <w:r>
        <w:rPr>
          <w:spacing w:val="-8"/>
        </w:rPr>
        <w:t> </w:t>
      </w:r>
      <w:r>
        <w:rPr>
          <w:spacing w:val="-2"/>
        </w:rPr>
        <w:t>of</w:t>
      </w:r>
      <w:r>
        <w:rPr>
          <w:spacing w:val="-6"/>
        </w:rPr>
        <w:t> </w:t>
      </w:r>
      <w:r>
        <w:rPr>
          <w:spacing w:val="-2"/>
        </w:rPr>
        <w:t>certain</w:t>
      </w:r>
      <w:r>
        <w:rPr>
          <w:spacing w:val="-6"/>
        </w:rPr>
        <w:t> </w:t>
      </w:r>
      <w:r>
        <w:rPr>
          <w:spacing w:val="-2"/>
        </w:rPr>
        <w:t>plays</w:t>
      </w:r>
      <w:r>
        <w:rPr>
          <w:spacing w:val="-4"/>
        </w:rPr>
        <w:t> </w:t>
      </w:r>
      <w:r>
        <w:rPr>
          <w:spacing w:val="-2"/>
        </w:rPr>
        <w:t>by</w:t>
      </w:r>
      <w:r>
        <w:rPr>
          <w:spacing w:val="-8"/>
        </w:rPr>
        <w:t> </w:t>
      </w:r>
      <w:r>
        <w:rPr>
          <w:spacing w:val="-2"/>
        </w:rPr>
        <w:t>Shakespeare. </w:t>
      </w:r>
      <w:r>
        <w:rPr/>
        <w:t>The focus</w:t>
      </w:r>
      <w:r>
        <w:rPr>
          <w:spacing w:val="-3"/>
        </w:rPr>
        <w:t> </w:t>
      </w:r>
      <w:r>
        <w:rPr/>
        <w:t>of</w:t>
      </w:r>
      <w:r>
        <w:rPr>
          <w:spacing w:val="-1"/>
        </w:rPr>
        <w:t> </w:t>
      </w:r>
      <w:r>
        <w:rPr/>
        <w:t>the analysis is</w:t>
      </w:r>
      <w:r>
        <w:rPr>
          <w:spacing w:val="-1"/>
        </w:rPr>
        <w:t> </w:t>
      </w:r>
      <w:r>
        <w:rPr/>
        <w:t>on</w:t>
      </w:r>
      <w:r>
        <w:rPr>
          <w:spacing w:val="-1"/>
        </w:rPr>
        <w:t> </w:t>
      </w:r>
      <w:r>
        <w:rPr/>
        <w:t>the characters</w:t>
      </w:r>
      <w:r>
        <w:rPr>
          <w:spacing w:val="-1"/>
        </w:rPr>
        <w:t> </w:t>
      </w:r>
      <w:r>
        <w:rPr/>
        <w:t>of</w:t>
      </w:r>
      <w:r>
        <w:rPr>
          <w:spacing w:val="-3"/>
        </w:rPr>
        <w:t> </w:t>
      </w:r>
      <w:r>
        <w:rPr/>
        <w:t>Portia, Juliet, Rosalind, Viola and Katherina, through examination of their speech, silence, disguises and emotional expression. The analysis provides an interpretation of these elements from a feminist and psychoanalytic perspective, viewing them as representations of the broader social/ cultural environment.</w:t>
      </w:r>
    </w:p>
    <w:p>
      <w:pPr>
        <w:pStyle w:val="Heading3"/>
        <w:numPr>
          <w:ilvl w:val="0"/>
          <w:numId w:val="41"/>
        </w:numPr>
        <w:tabs>
          <w:tab w:pos="1706" w:val="left" w:leader="none"/>
        </w:tabs>
        <w:spacing w:line="240" w:lineRule="auto" w:before="162" w:after="0"/>
        <w:ind w:left="1706" w:right="0" w:hanging="266"/>
        <w:jc w:val="left"/>
      </w:pPr>
      <w:r>
        <w:rPr>
          <w:w w:val="90"/>
        </w:rPr>
        <w:t>ANALYSIS</w:t>
      </w:r>
      <w:r>
        <w:rPr/>
        <w:t> </w:t>
      </w:r>
      <w:r>
        <w:rPr>
          <w:w w:val="90"/>
        </w:rPr>
        <w:t>&amp;</w:t>
      </w:r>
      <w:r>
        <w:rPr>
          <w:spacing w:val="-4"/>
        </w:rPr>
        <w:t> </w:t>
      </w:r>
      <w:r>
        <w:rPr>
          <w:spacing w:val="-2"/>
          <w:w w:val="90"/>
        </w:rPr>
        <w:t>DISCUSSION</w:t>
      </w:r>
    </w:p>
    <w:p>
      <w:pPr>
        <w:pStyle w:val="Heading5"/>
        <w:numPr>
          <w:ilvl w:val="1"/>
          <w:numId w:val="41"/>
        </w:numPr>
        <w:tabs>
          <w:tab w:pos="1870" w:val="left" w:leader="none"/>
        </w:tabs>
        <w:spacing w:line="240" w:lineRule="auto" w:before="123" w:after="0"/>
        <w:ind w:left="1870" w:right="0" w:hanging="430"/>
        <w:jc w:val="left"/>
      </w:pPr>
      <w:r>
        <w:rPr>
          <w:w w:val="105"/>
        </w:rPr>
        <w:t>Silences</w:t>
      </w:r>
      <w:r>
        <w:rPr>
          <w:spacing w:val="64"/>
          <w:w w:val="150"/>
        </w:rPr>
        <w:t> </w:t>
      </w:r>
      <w:r>
        <w:rPr>
          <w:w w:val="105"/>
        </w:rPr>
        <w:t>as</w:t>
      </w:r>
      <w:r>
        <w:rPr>
          <w:spacing w:val="65"/>
          <w:w w:val="150"/>
        </w:rPr>
        <w:t> </w:t>
      </w:r>
      <w:r>
        <w:rPr>
          <w:w w:val="105"/>
        </w:rPr>
        <w:t>a</w:t>
      </w:r>
      <w:r>
        <w:rPr>
          <w:spacing w:val="61"/>
          <w:w w:val="150"/>
        </w:rPr>
        <w:t> </w:t>
      </w:r>
      <w:r>
        <w:rPr>
          <w:w w:val="105"/>
        </w:rPr>
        <w:t>Gendered</w:t>
      </w:r>
      <w:r>
        <w:rPr>
          <w:spacing w:val="66"/>
          <w:w w:val="150"/>
        </w:rPr>
        <w:t> </w:t>
      </w:r>
      <w:r>
        <w:rPr>
          <w:w w:val="105"/>
        </w:rPr>
        <w:t>Structure</w:t>
      </w:r>
      <w:r>
        <w:rPr>
          <w:spacing w:val="66"/>
          <w:w w:val="150"/>
        </w:rPr>
        <w:t> </w:t>
      </w:r>
      <w:r>
        <w:rPr>
          <w:w w:val="105"/>
        </w:rPr>
        <w:t>of</w:t>
      </w:r>
      <w:r>
        <w:rPr>
          <w:spacing w:val="66"/>
          <w:w w:val="150"/>
        </w:rPr>
        <w:t> </w:t>
      </w:r>
      <w:r>
        <w:rPr>
          <w:spacing w:val="-4"/>
          <w:w w:val="105"/>
        </w:rPr>
        <w:t>Power</w:t>
      </w:r>
    </w:p>
    <w:p>
      <w:pPr>
        <w:pStyle w:val="BodyText"/>
        <w:spacing w:line="249" w:lineRule="auto" w:before="74"/>
        <w:ind w:right="1438" w:firstLine="432"/>
        <w:jc w:val="both"/>
      </w:pPr>
      <w:r>
        <w:rPr/>
        <w:t>In regards to the #MeToo movement, one of the key insights into how</w:t>
      </w:r>
      <w:r>
        <w:rPr>
          <w:spacing w:val="-10"/>
        </w:rPr>
        <w:t> </w:t>
      </w:r>
      <w:r>
        <w:rPr/>
        <w:t>we</w:t>
      </w:r>
      <w:r>
        <w:rPr>
          <w:spacing w:val="-7"/>
        </w:rPr>
        <w:t> </w:t>
      </w:r>
      <w:r>
        <w:rPr/>
        <w:t>see</w:t>
      </w:r>
      <w:r>
        <w:rPr>
          <w:spacing w:val="-9"/>
        </w:rPr>
        <w:t> </w:t>
      </w:r>
      <w:r>
        <w:rPr/>
        <w:t>Shakespeare’s</w:t>
      </w:r>
      <w:r>
        <w:rPr>
          <w:spacing w:val="-9"/>
        </w:rPr>
        <w:t> </w:t>
      </w:r>
      <w:r>
        <w:rPr/>
        <w:t>female</w:t>
      </w:r>
      <w:r>
        <w:rPr>
          <w:spacing w:val="-6"/>
        </w:rPr>
        <w:t> </w:t>
      </w:r>
      <w:r>
        <w:rPr/>
        <w:t>characters</w:t>
      </w:r>
      <w:r>
        <w:rPr>
          <w:spacing w:val="-9"/>
        </w:rPr>
        <w:t> </w:t>
      </w:r>
      <w:r>
        <w:rPr/>
        <w:t>is</w:t>
      </w:r>
      <w:r>
        <w:rPr>
          <w:spacing w:val="-7"/>
        </w:rPr>
        <w:t> </w:t>
      </w:r>
      <w:r>
        <w:rPr/>
        <w:t>that</w:t>
      </w:r>
      <w:r>
        <w:rPr>
          <w:spacing w:val="-9"/>
        </w:rPr>
        <w:t> </w:t>
      </w:r>
      <w:r>
        <w:rPr/>
        <w:t>silence</w:t>
      </w:r>
      <w:r>
        <w:rPr>
          <w:spacing w:val="-8"/>
        </w:rPr>
        <w:t> </w:t>
      </w:r>
      <w:r>
        <w:rPr/>
        <w:t>is</w:t>
      </w:r>
      <w:r>
        <w:rPr>
          <w:spacing w:val="-7"/>
        </w:rPr>
        <w:t> </w:t>
      </w:r>
      <w:r>
        <w:rPr/>
        <w:t>not</w:t>
      </w:r>
      <w:r>
        <w:rPr>
          <w:spacing w:val="-9"/>
        </w:rPr>
        <w:t> </w:t>
      </w:r>
      <w:r>
        <w:rPr/>
        <w:t>simply a lack of speech but rather the result of a patriarchal power system. In many of the female characters in Shakespeare’s plays, they are only allowed to speak when the male authority has predetermined that they can do so. When those boundaries are broken, the female characters find themselves frequently having their vocalizations supported and controlled through the voices of the males. In the case of Katherina’s transformation</w:t>
      </w:r>
      <w:r>
        <w:rPr>
          <w:spacing w:val="-13"/>
        </w:rPr>
        <w:t> </w:t>
      </w:r>
      <w:r>
        <w:rPr/>
        <w:t>into</w:t>
      </w:r>
      <w:r>
        <w:rPr>
          <w:spacing w:val="-11"/>
        </w:rPr>
        <w:t> </w:t>
      </w:r>
      <w:r>
        <w:rPr/>
        <w:t>the</w:t>
      </w:r>
      <w:r>
        <w:rPr>
          <w:spacing w:val="-11"/>
        </w:rPr>
        <w:t> </w:t>
      </w:r>
      <w:r>
        <w:rPr/>
        <w:t>“silent”</w:t>
      </w:r>
      <w:r>
        <w:rPr>
          <w:spacing w:val="-12"/>
        </w:rPr>
        <w:t> </w:t>
      </w:r>
      <w:r>
        <w:rPr/>
        <w:t>and</w:t>
      </w:r>
      <w:r>
        <w:rPr>
          <w:spacing w:val="-11"/>
        </w:rPr>
        <w:t> </w:t>
      </w:r>
      <w:r>
        <w:rPr/>
        <w:t>subservient</w:t>
      </w:r>
      <w:r>
        <w:rPr>
          <w:spacing w:val="-13"/>
        </w:rPr>
        <w:t> </w:t>
      </w:r>
      <w:r>
        <w:rPr/>
        <w:t>wife,</w:t>
      </w:r>
      <w:r>
        <w:rPr>
          <w:spacing w:val="-11"/>
        </w:rPr>
        <w:t> </w:t>
      </w:r>
      <w:r>
        <w:rPr/>
        <w:t>this</w:t>
      </w:r>
      <w:r>
        <w:rPr>
          <w:spacing w:val="-13"/>
        </w:rPr>
        <w:t> </w:t>
      </w:r>
      <w:r>
        <w:rPr/>
        <w:t>transformation cannot be understood as simply accepting her place in life. The only way to view Katherina’s transformation from a woman who openly defied her patriarchal</w:t>
      </w:r>
      <w:r>
        <w:rPr>
          <w:spacing w:val="-2"/>
        </w:rPr>
        <w:t> </w:t>
      </w:r>
      <w:r>
        <w:rPr/>
        <w:t>role into one who does</w:t>
      </w:r>
      <w:r>
        <w:rPr>
          <w:spacing w:val="-1"/>
        </w:rPr>
        <w:t> </w:t>
      </w:r>
      <w:r>
        <w:rPr/>
        <w:t>everything</w:t>
      </w:r>
      <w:r>
        <w:rPr>
          <w:spacing w:val="-2"/>
        </w:rPr>
        <w:t> </w:t>
      </w:r>
      <w:r>
        <w:rPr/>
        <w:t>she is</w:t>
      </w:r>
      <w:r>
        <w:rPr>
          <w:spacing w:val="-1"/>
        </w:rPr>
        <w:t> </w:t>
      </w:r>
      <w:r>
        <w:rPr/>
        <w:t>required to</w:t>
      </w:r>
      <w:r>
        <w:rPr>
          <w:spacing w:val="39"/>
        </w:rPr>
        <w:t> </w:t>
      </w:r>
      <w:r>
        <w:rPr/>
        <w:t>do</w:t>
      </w:r>
      <w:r>
        <w:rPr>
          <w:spacing w:val="38"/>
        </w:rPr>
        <w:t> </w:t>
      </w:r>
      <w:r>
        <w:rPr/>
        <w:t>is</w:t>
      </w:r>
      <w:r>
        <w:rPr>
          <w:spacing w:val="38"/>
        </w:rPr>
        <w:t> </w:t>
      </w:r>
      <w:r>
        <w:rPr/>
        <w:t>through</w:t>
      </w:r>
      <w:r>
        <w:rPr>
          <w:spacing w:val="34"/>
        </w:rPr>
        <w:t> </w:t>
      </w:r>
      <w:r>
        <w:rPr/>
        <w:t>the</w:t>
      </w:r>
      <w:r>
        <w:rPr>
          <w:spacing w:val="38"/>
        </w:rPr>
        <w:t> </w:t>
      </w:r>
      <w:r>
        <w:rPr/>
        <w:t>lens</w:t>
      </w:r>
      <w:r>
        <w:rPr>
          <w:spacing w:val="36"/>
        </w:rPr>
        <w:t> </w:t>
      </w:r>
      <w:r>
        <w:rPr/>
        <w:t>of</w:t>
      </w:r>
      <w:r>
        <w:rPr>
          <w:spacing w:val="38"/>
        </w:rPr>
        <w:t> </w:t>
      </w:r>
      <w:r>
        <w:rPr/>
        <w:t>the</w:t>
      </w:r>
      <w:r>
        <w:rPr>
          <w:spacing w:val="39"/>
        </w:rPr>
        <w:t> </w:t>
      </w:r>
      <w:r>
        <w:rPr/>
        <w:t>feminist</w:t>
      </w:r>
      <w:r>
        <w:rPr>
          <w:spacing w:val="36"/>
        </w:rPr>
        <w:t> </w:t>
      </w:r>
      <w:r>
        <w:rPr/>
        <w:t>construct</w:t>
      </w:r>
      <w:r>
        <w:rPr>
          <w:spacing w:val="37"/>
        </w:rPr>
        <w:t> </w:t>
      </w:r>
      <w:r>
        <w:rPr/>
        <w:t>of</w:t>
      </w:r>
      <w:r>
        <w:rPr>
          <w:spacing w:val="33"/>
        </w:rPr>
        <w:t> </w:t>
      </w:r>
      <w:r>
        <w:rPr/>
        <w:t>Female</w:t>
      </w:r>
      <w:r>
        <w:rPr>
          <w:spacing w:val="36"/>
        </w:rPr>
        <w:t> </w:t>
      </w:r>
      <w:r>
        <w:rPr>
          <w:spacing w:val="-2"/>
        </w:rPr>
        <w:t>Voice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5" w:val="left" w:leader="none"/>
        </w:tabs>
        <w:spacing w:before="0"/>
        <w:ind w:left="0" w:right="0"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757312">
                <wp:simplePos x="0" y="0"/>
                <wp:positionH relativeFrom="page">
                  <wp:posOffset>2065020</wp:posOffset>
                </wp:positionH>
                <wp:positionV relativeFrom="paragraph">
                  <wp:posOffset>162604</wp:posOffset>
                </wp:positionV>
                <wp:extent cx="3657600" cy="12700"/>
                <wp:effectExtent l="0" t="0" r="0" b="0"/>
                <wp:wrapTopAndBottom/>
                <wp:docPr id="487" name="Graphic 487"/>
                <wp:cNvGraphicFramePr>
                  <a:graphicFrameLocks/>
                </wp:cNvGraphicFramePr>
                <a:graphic>
                  <a:graphicData uri="http://schemas.microsoft.com/office/word/2010/wordprocessingShape">
                    <wps:wsp>
                      <wps:cNvPr id="487" name="Graphic 48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59168;mso-wrap-distance-left:0;mso-wrap-distance-right:0" id="docshape482" filled="true" fillcolor="#000000" stroked="false">
                <v:fill type="solid"/>
                <w10:wrap type="topAndBottom"/>
              </v:rect>
            </w:pict>
          </mc:Fallback>
        </mc:AlternateContent>
      </w:r>
      <w:r>
        <w:rPr>
          <w:rFonts w:ascii="Verdana"/>
          <w:spacing w:val="-6"/>
          <w:sz w:val="18"/>
        </w:rPr>
        <w:t>Silenced</w:t>
      </w:r>
      <w:r>
        <w:rPr>
          <w:rFonts w:ascii="Verdana"/>
          <w:spacing w:val="-2"/>
          <w:sz w:val="18"/>
        </w:rPr>
        <w:t> </w:t>
      </w:r>
      <w:r>
        <w:rPr>
          <w:rFonts w:ascii="Verdana"/>
          <w:spacing w:val="-6"/>
          <w:sz w:val="18"/>
        </w:rPr>
        <w:t>Then,</w:t>
      </w:r>
      <w:r>
        <w:rPr>
          <w:rFonts w:ascii="Verdana"/>
          <w:spacing w:val="1"/>
          <w:sz w:val="18"/>
        </w:rPr>
        <w:t> </w:t>
      </w:r>
      <w:r>
        <w:rPr>
          <w:rFonts w:ascii="Verdana"/>
          <w:spacing w:val="-6"/>
          <w:sz w:val="18"/>
        </w:rPr>
        <w:t>Speaking</w:t>
      </w:r>
      <w:r>
        <w:rPr>
          <w:rFonts w:ascii="Verdana"/>
          <w:spacing w:val="2"/>
          <w:sz w:val="18"/>
        </w:rPr>
        <w:t> </w:t>
      </w:r>
      <w:r>
        <w:rPr>
          <w:rFonts w:ascii="Verdana"/>
          <w:spacing w:val="-6"/>
          <w:sz w:val="18"/>
        </w:rPr>
        <w:t>Now:</w:t>
      </w:r>
      <w:r>
        <w:rPr>
          <w:rFonts w:ascii="Verdana"/>
          <w:spacing w:val="1"/>
          <w:sz w:val="18"/>
        </w:rPr>
        <w:t> </w:t>
      </w:r>
      <w:r>
        <w:rPr>
          <w:rFonts w:ascii="Verdana"/>
          <w:spacing w:val="-6"/>
          <w:sz w:val="18"/>
        </w:rPr>
        <w:t>Shakespeare</w:t>
      </w:r>
      <w:r>
        <w:rPr>
          <w:rFonts w:ascii="Verdana"/>
          <w:spacing w:val="3"/>
          <w:sz w:val="18"/>
        </w:rPr>
        <w:t> </w:t>
      </w:r>
      <w:r>
        <w:rPr>
          <w:rFonts w:ascii="Verdana"/>
          <w:spacing w:val="-6"/>
          <w:sz w:val="18"/>
        </w:rPr>
        <w:t>and</w:t>
      </w:r>
      <w:r>
        <w:rPr>
          <w:rFonts w:ascii="Verdana"/>
          <w:spacing w:val="1"/>
          <w:sz w:val="18"/>
        </w:rPr>
        <w:t> </w:t>
      </w:r>
      <w:r>
        <w:rPr>
          <w:rFonts w:ascii="Verdana"/>
          <w:spacing w:val="-6"/>
          <w:sz w:val="18"/>
        </w:rPr>
        <w:t>Heroines</w:t>
      </w:r>
      <w:r>
        <w:rPr>
          <w:rFonts w:ascii="Verdana"/>
          <w:spacing w:val="1"/>
          <w:sz w:val="18"/>
        </w:rPr>
        <w:t> </w:t>
      </w:r>
      <w:r>
        <w:rPr>
          <w:rFonts w:ascii="Verdana"/>
          <w:spacing w:val="-6"/>
          <w:sz w:val="18"/>
        </w:rPr>
        <w:t>...</w:t>
      </w:r>
      <w:r>
        <w:rPr>
          <w:rFonts w:ascii="Verdana"/>
          <w:sz w:val="18"/>
        </w:rPr>
        <w:tab/>
      </w:r>
      <w:r>
        <w:rPr>
          <w:rFonts w:ascii="Verdana"/>
          <w:spacing w:val="-5"/>
          <w:sz w:val="18"/>
        </w:rPr>
        <w:t>219</w:t>
      </w:r>
    </w:p>
    <w:p>
      <w:pPr>
        <w:pStyle w:val="BodyText"/>
        <w:spacing w:line="249" w:lineRule="auto" w:before="192"/>
        <w:ind w:right="1439"/>
        <w:jc w:val="both"/>
      </w:pPr>
      <w:r>
        <w:rPr>
          <w:spacing w:val="-4"/>
        </w:rPr>
        <w:t>Disciplining. Female Voice Disciplining is defined as a means to eliminate </w:t>
      </w:r>
      <w:r>
        <w:rPr/>
        <w:t>women’s voices when they are resisting the boundaries imposed by the patriarchal system through social and emotional pressures. While of course, her final speech is most frequently</w:t>
      </w:r>
      <w:r>
        <w:rPr>
          <w:spacing w:val="-3"/>
        </w:rPr>
        <w:t> </w:t>
      </w:r>
      <w:r>
        <w:rPr/>
        <w:t>interpreted as</w:t>
      </w:r>
      <w:r>
        <w:rPr>
          <w:spacing w:val="-1"/>
        </w:rPr>
        <w:t> </w:t>
      </w:r>
      <w:r>
        <w:rPr/>
        <w:t>her agreement to become a dutiful wife, her final speech can be interpreted as a performance alteration or adaptation strategy in order to survive the </w:t>
      </w:r>
      <w:r>
        <w:rPr>
          <w:spacing w:val="-2"/>
        </w:rPr>
        <w:t>patriarchal</w:t>
      </w:r>
      <w:r>
        <w:rPr>
          <w:spacing w:val="-7"/>
        </w:rPr>
        <w:t> </w:t>
      </w:r>
      <w:r>
        <w:rPr>
          <w:spacing w:val="-2"/>
        </w:rPr>
        <w:t>system.</w:t>
      </w:r>
      <w:r>
        <w:rPr>
          <w:spacing w:val="-8"/>
        </w:rPr>
        <w:t> </w:t>
      </w:r>
      <w:r>
        <w:rPr>
          <w:spacing w:val="-2"/>
        </w:rPr>
        <w:t>The</w:t>
      </w:r>
      <w:r>
        <w:rPr>
          <w:spacing w:val="-4"/>
        </w:rPr>
        <w:t> </w:t>
      </w:r>
      <w:r>
        <w:rPr>
          <w:spacing w:val="-2"/>
        </w:rPr>
        <w:t>#MeToo</w:t>
      </w:r>
      <w:r>
        <w:rPr>
          <w:spacing w:val="-6"/>
        </w:rPr>
        <w:t> </w:t>
      </w:r>
      <w:r>
        <w:rPr>
          <w:spacing w:val="-2"/>
        </w:rPr>
        <w:t>movement</w:t>
      </w:r>
      <w:r>
        <w:rPr>
          <w:spacing w:val="-6"/>
        </w:rPr>
        <w:t> </w:t>
      </w:r>
      <w:r>
        <w:rPr>
          <w:spacing w:val="-2"/>
        </w:rPr>
        <w:t>has</w:t>
      </w:r>
      <w:r>
        <w:rPr>
          <w:spacing w:val="-8"/>
        </w:rPr>
        <w:t> </w:t>
      </w:r>
      <w:r>
        <w:rPr>
          <w:spacing w:val="-2"/>
        </w:rPr>
        <w:t>underscored</w:t>
      </w:r>
      <w:r>
        <w:rPr>
          <w:spacing w:val="-3"/>
        </w:rPr>
        <w:t> </w:t>
      </w:r>
      <w:r>
        <w:rPr>
          <w:spacing w:val="-2"/>
        </w:rPr>
        <w:t>how</w:t>
      </w:r>
      <w:r>
        <w:rPr>
          <w:spacing w:val="-10"/>
        </w:rPr>
        <w:t> </w:t>
      </w:r>
      <w:r>
        <w:rPr>
          <w:spacing w:val="-2"/>
        </w:rPr>
        <w:t>women </w:t>
      </w:r>
      <w:r>
        <w:rPr/>
        <w:t>are often disqualified or called into question for speaking; and thus, silence cannot be viewed as individual choice but it is a generation of people afraid to speak because of power differences, fear of being disqualified</w:t>
      </w:r>
      <w:r>
        <w:rPr>
          <w:spacing w:val="-2"/>
        </w:rPr>
        <w:t> </w:t>
      </w:r>
      <w:r>
        <w:rPr/>
        <w:t>and</w:t>
      </w:r>
      <w:r>
        <w:rPr>
          <w:spacing w:val="-2"/>
        </w:rPr>
        <w:t> </w:t>
      </w:r>
      <w:r>
        <w:rPr/>
        <w:t>social</w:t>
      </w:r>
      <w:r>
        <w:rPr>
          <w:spacing w:val="-5"/>
        </w:rPr>
        <w:t> </w:t>
      </w:r>
      <w:r>
        <w:rPr/>
        <w:t>pressure.</w:t>
      </w:r>
      <w:r>
        <w:rPr>
          <w:spacing w:val="-2"/>
        </w:rPr>
        <w:t> </w:t>
      </w:r>
      <w:r>
        <w:rPr/>
        <w:t>Disguise</w:t>
      </w:r>
      <w:r>
        <w:rPr>
          <w:spacing w:val="-3"/>
        </w:rPr>
        <w:t> </w:t>
      </w:r>
      <w:r>
        <w:rPr/>
        <w:t>may</w:t>
      </w:r>
      <w:r>
        <w:rPr>
          <w:spacing w:val="-5"/>
        </w:rPr>
        <w:t> </w:t>
      </w:r>
      <w:r>
        <w:rPr/>
        <w:t>serve</w:t>
      </w:r>
      <w:r>
        <w:rPr>
          <w:spacing w:val="-1"/>
        </w:rPr>
        <w:t> </w:t>
      </w:r>
      <w:r>
        <w:rPr/>
        <w:t>as</w:t>
      </w:r>
      <w:r>
        <w:rPr>
          <w:spacing w:val="-5"/>
        </w:rPr>
        <w:t> </w:t>
      </w:r>
      <w:r>
        <w:rPr/>
        <w:t>a</w:t>
      </w:r>
      <w:r>
        <w:rPr>
          <w:spacing w:val="-3"/>
        </w:rPr>
        <w:t> </w:t>
      </w:r>
      <w:r>
        <w:rPr/>
        <w:t>framework</w:t>
      </w:r>
      <w:r>
        <w:rPr>
          <w:spacing w:val="-4"/>
        </w:rPr>
        <w:t> </w:t>
      </w:r>
      <w:r>
        <w:rPr/>
        <w:t>for gender performance studies, as in the case of characters like Viola and </w:t>
      </w:r>
      <w:r>
        <w:rPr>
          <w:spacing w:val="-2"/>
        </w:rPr>
        <w:t>Rosalind.</w:t>
      </w:r>
    </w:p>
    <w:p>
      <w:pPr>
        <w:pStyle w:val="Heading5"/>
        <w:spacing w:before="118"/>
      </w:pPr>
      <w:r>
        <w:rPr>
          <w:w w:val="105"/>
        </w:rPr>
        <w:t>5.2.Gender</w:t>
      </w:r>
      <w:r>
        <w:rPr>
          <w:spacing w:val="64"/>
          <w:w w:val="150"/>
        </w:rPr>
        <w:t> </w:t>
      </w:r>
      <w:r>
        <w:rPr>
          <w:w w:val="105"/>
        </w:rPr>
        <w:t>Performativity</w:t>
      </w:r>
      <w:r>
        <w:rPr>
          <w:spacing w:val="65"/>
          <w:w w:val="150"/>
        </w:rPr>
        <w:t> </w:t>
      </w:r>
      <w:r>
        <w:rPr>
          <w:w w:val="105"/>
        </w:rPr>
        <w:t>and</w:t>
      </w:r>
      <w:r>
        <w:rPr>
          <w:spacing w:val="67"/>
          <w:w w:val="150"/>
        </w:rPr>
        <w:t> </w:t>
      </w:r>
      <w:r>
        <w:rPr>
          <w:spacing w:val="-2"/>
          <w:w w:val="105"/>
        </w:rPr>
        <w:t>Disguise</w:t>
      </w:r>
    </w:p>
    <w:p>
      <w:pPr>
        <w:pStyle w:val="BodyText"/>
        <w:spacing w:line="264" w:lineRule="auto" w:before="79"/>
        <w:ind w:right="1439" w:firstLine="432"/>
        <w:jc w:val="both"/>
      </w:pPr>
      <w:r>
        <w:rPr/>
        <w:t>Characters</w:t>
      </w:r>
      <w:r>
        <w:rPr>
          <w:spacing w:val="18"/>
        </w:rPr>
        <w:t> </w:t>
      </w:r>
      <w:r>
        <w:rPr/>
        <w:t>using</w:t>
      </w:r>
      <w:r>
        <w:rPr>
          <w:spacing w:val="18"/>
        </w:rPr>
        <w:t> </w:t>
      </w:r>
      <w:r>
        <w:rPr/>
        <w:t>disguises</w:t>
      </w:r>
      <w:r>
        <w:rPr>
          <w:spacing w:val="18"/>
        </w:rPr>
        <w:t> </w:t>
      </w:r>
      <w:r>
        <w:rPr/>
        <w:t>such</w:t>
      </w:r>
      <w:r>
        <w:rPr>
          <w:spacing w:val="18"/>
        </w:rPr>
        <w:t> </w:t>
      </w:r>
      <w:r>
        <w:rPr/>
        <w:t>as</w:t>
      </w:r>
      <w:r>
        <w:rPr>
          <w:spacing w:val="18"/>
        </w:rPr>
        <w:t> </w:t>
      </w:r>
      <w:r>
        <w:rPr/>
        <w:t>Viola</w:t>
      </w:r>
      <w:r>
        <w:rPr>
          <w:spacing w:val="21"/>
        </w:rPr>
        <w:t> </w:t>
      </w:r>
      <w:r>
        <w:rPr/>
        <w:t>and</w:t>
      </w:r>
      <w:r>
        <w:rPr>
          <w:spacing w:val="21"/>
        </w:rPr>
        <w:t> </w:t>
      </w:r>
      <w:r>
        <w:rPr/>
        <w:t>Rosalind</w:t>
      </w:r>
      <w:r>
        <w:rPr>
          <w:spacing w:val="21"/>
        </w:rPr>
        <w:t> </w:t>
      </w:r>
      <w:r>
        <w:rPr/>
        <w:t>represent a perspective of gender performativity. By donning a male costume, they demonstrate gender is not static but rather acts that are carried out based on socially constructed frameworks. Additionally, this idea connects to the view that the socially designated masculinity is what provides authority and power rather than male gender itself. When women perform as male characters in the play, they can have access to places of dialogue, where they</w:t>
      </w:r>
      <w:r>
        <w:rPr>
          <w:spacing w:val="-1"/>
        </w:rPr>
        <w:t> </w:t>
      </w:r>
      <w:r>
        <w:rPr/>
        <w:t>can</w:t>
      </w:r>
      <w:r>
        <w:rPr>
          <w:spacing w:val="-1"/>
        </w:rPr>
        <w:t> </w:t>
      </w:r>
      <w:r>
        <w:rPr/>
        <w:t>make decisions, and where they</w:t>
      </w:r>
      <w:r>
        <w:rPr>
          <w:spacing w:val="-1"/>
        </w:rPr>
        <w:t> </w:t>
      </w:r>
      <w:r>
        <w:rPr/>
        <w:t>can express</w:t>
      </w:r>
      <w:r>
        <w:rPr>
          <w:spacing w:val="-2"/>
        </w:rPr>
        <w:t> </w:t>
      </w:r>
      <w:r>
        <w:rPr/>
        <w:t>their</w:t>
      </w:r>
      <w:r>
        <w:rPr>
          <w:spacing w:val="-2"/>
        </w:rPr>
        <w:t> </w:t>
      </w:r>
      <w:r>
        <w:rPr/>
        <w:t>emotions;</w:t>
      </w:r>
      <w:r>
        <w:rPr>
          <w:spacing w:val="-1"/>
        </w:rPr>
        <w:t> </w:t>
      </w:r>
      <w:r>
        <w:rPr/>
        <w:t>however,</w:t>
      </w:r>
      <w:r>
        <w:rPr>
          <w:spacing w:val="-2"/>
        </w:rPr>
        <w:t> </w:t>
      </w:r>
      <w:r>
        <w:rPr/>
        <w:t>by</w:t>
      </w:r>
      <w:r>
        <w:rPr>
          <w:spacing w:val="-6"/>
        </w:rPr>
        <w:t> </w:t>
      </w:r>
      <w:r>
        <w:rPr/>
        <w:t>doing</w:t>
      </w:r>
      <w:r>
        <w:rPr>
          <w:spacing w:val="-4"/>
        </w:rPr>
        <w:t> </w:t>
      </w:r>
      <w:r>
        <w:rPr/>
        <w:t>this,</w:t>
      </w:r>
      <w:r>
        <w:rPr>
          <w:spacing w:val="-2"/>
        </w:rPr>
        <w:t> </w:t>
      </w:r>
      <w:r>
        <w:rPr/>
        <w:t>the characters</w:t>
      </w:r>
      <w:r>
        <w:rPr>
          <w:spacing w:val="-4"/>
        </w:rPr>
        <w:t> </w:t>
      </w:r>
      <w:r>
        <w:rPr/>
        <w:t>reflect</w:t>
      </w:r>
      <w:r>
        <w:rPr>
          <w:spacing w:val="-2"/>
        </w:rPr>
        <w:t> </w:t>
      </w:r>
      <w:r>
        <w:rPr/>
        <w:t>an inherent limitation because the characters’ initial gender must be suspended momentarily to gain agency. When viewed from a #MeToo perspective, it reflects how women must adapt their behaviour in order to be accepted into male-dominated spaces as being valid or capable of </w:t>
      </w:r>
      <w:r>
        <w:rPr>
          <w:spacing w:val="-4"/>
        </w:rPr>
        <w:t>being</w:t>
      </w:r>
      <w:r>
        <w:rPr>
          <w:spacing w:val="-5"/>
        </w:rPr>
        <w:t> </w:t>
      </w:r>
      <w:r>
        <w:rPr>
          <w:spacing w:val="-4"/>
        </w:rPr>
        <w:t>heard.</w:t>
      </w:r>
      <w:r>
        <w:rPr>
          <w:spacing w:val="-7"/>
        </w:rPr>
        <w:t> </w:t>
      </w:r>
      <w:r>
        <w:rPr>
          <w:spacing w:val="-4"/>
        </w:rPr>
        <w:t>Women</w:t>
      </w:r>
      <w:r>
        <w:rPr>
          <w:spacing w:val="-7"/>
        </w:rPr>
        <w:t> </w:t>
      </w:r>
      <w:r>
        <w:rPr>
          <w:spacing w:val="-4"/>
        </w:rPr>
        <w:t>are</w:t>
      </w:r>
      <w:r>
        <w:rPr>
          <w:spacing w:val="-7"/>
        </w:rPr>
        <w:t> </w:t>
      </w:r>
      <w:r>
        <w:rPr>
          <w:spacing w:val="-4"/>
        </w:rPr>
        <w:t>seen as</w:t>
      </w:r>
      <w:r>
        <w:rPr>
          <w:spacing w:val="-9"/>
        </w:rPr>
        <w:t> </w:t>
      </w:r>
      <w:r>
        <w:rPr>
          <w:spacing w:val="-4"/>
        </w:rPr>
        <w:t>legitimate if their</w:t>
      </w:r>
      <w:r>
        <w:rPr/>
        <w:t> </w:t>
      </w:r>
      <w:r>
        <w:rPr>
          <w:spacing w:val="-4"/>
        </w:rPr>
        <w:t>voice</w:t>
      </w:r>
      <w:r>
        <w:rPr>
          <w:spacing w:val="-7"/>
        </w:rPr>
        <w:t> </w:t>
      </w:r>
      <w:r>
        <w:rPr>
          <w:spacing w:val="-4"/>
        </w:rPr>
        <w:t>acts in accordance </w:t>
      </w:r>
      <w:r>
        <w:rPr/>
        <w:t>with traditional</w:t>
      </w:r>
      <w:r>
        <w:rPr>
          <w:spacing w:val="39"/>
        </w:rPr>
        <w:t> </w:t>
      </w:r>
      <w:r>
        <w:rPr/>
        <w:t>definitions</w:t>
      </w:r>
      <w:r>
        <w:rPr>
          <w:spacing w:val="39"/>
        </w:rPr>
        <w:t> </w:t>
      </w:r>
      <w:r>
        <w:rPr/>
        <w:t>of authority –</w:t>
      </w:r>
      <w:r>
        <w:rPr>
          <w:spacing w:val="39"/>
        </w:rPr>
        <w:t> </w:t>
      </w:r>
      <w:r>
        <w:rPr/>
        <w:t>that</w:t>
      </w:r>
      <w:r>
        <w:rPr>
          <w:spacing w:val="40"/>
        </w:rPr>
        <w:t> </w:t>
      </w:r>
      <w:r>
        <w:rPr/>
        <w:t>of masculinity.</w:t>
      </w:r>
    </w:p>
    <w:p>
      <w:pPr>
        <w:pStyle w:val="Heading5"/>
        <w:spacing w:before="129"/>
        <w:ind w:left="1872" w:hanging="432"/>
      </w:pPr>
      <w:r>
        <w:rPr>
          <w:w w:val="110"/>
        </w:rPr>
        <w:t>5.3</w:t>
      </w:r>
      <w:r>
        <w:rPr>
          <w:spacing w:val="11"/>
          <w:w w:val="110"/>
        </w:rPr>
        <w:t> </w:t>
      </w:r>
      <w:r>
        <w:rPr>
          <w:w w:val="110"/>
        </w:rPr>
        <w:t>Desire</w:t>
      </w:r>
      <w:r>
        <w:rPr>
          <w:spacing w:val="9"/>
          <w:w w:val="110"/>
        </w:rPr>
        <w:t> </w:t>
      </w:r>
      <w:r>
        <w:rPr>
          <w:w w:val="110"/>
        </w:rPr>
        <w:t>and</w:t>
      </w:r>
      <w:r>
        <w:rPr>
          <w:spacing w:val="11"/>
          <w:w w:val="110"/>
        </w:rPr>
        <w:t> </w:t>
      </w:r>
      <w:r>
        <w:rPr>
          <w:w w:val="110"/>
        </w:rPr>
        <w:t>Consent;</w:t>
      </w:r>
      <w:r>
        <w:rPr>
          <w:spacing w:val="13"/>
          <w:w w:val="110"/>
        </w:rPr>
        <w:t> </w:t>
      </w:r>
      <w:r>
        <w:rPr>
          <w:w w:val="110"/>
        </w:rPr>
        <w:t>Women’s</w:t>
      </w:r>
      <w:r>
        <w:rPr>
          <w:spacing w:val="9"/>
          <w:w w:val="110"/>
        </w:rPr>
        <w:t> </w:t>
      </w:r>
      <w:r>
        <w:rPr>
          <w:w w:val="110"/>
        </w:rPr>
        <w:t>Emotional</w:t>
      </w:r>
      <w:r>
        <w:rPr>
          <w:spacing w:val="11"/>
          <w:w w:val="110"/>
        </w:rPr>
        <w:t> </w:t>
      </w:r>
      <w:r>
        <w:rPr>
          <w:spacing w:val="-2"/>
          <w:w w:val="110"/>
        </w:rPr>
        <w:t>Agency</w:t>
      </w:r>
    </w:p>
    <w:p>
      <w:pPr>
        <w:pStyle w:val="BodyText"/>
        <w:spacing w:line="264" w:lineRule="auto" w:before="81"/>
        <w:ind w:right="1436" w:firstLine="432"/>
        <w:jc w:val="both"/>
      </w:pPr>
      <w:r>
        <w:rPr/>
        <w:t>Juliet’s character exemplifies women’s desire as well as their emotional</w:t>
      </w:r>
      <w:r>
        <w:rPr>
          <w:spacing w:val="-1"/>
        </w:rPr>
        <w:t> </w:t>
      </w:r>
      <w:r>
        <w:rPr/>
        <w:t>autonomy. Unlike women</w:t>
      </w:r>
      <w:r>
        <w:rPr>
          <w:spacing w:val="-2"/>
        </w:rPr>
        <w:t> </w:t>
      </w:r>
      <w:r>
        <w:rPr/>
        <w:t>who are</w:t>
      </w:r>
      <w:r>
        <w:rPr>
          <w:spacing w:val="-1"/>
        </w:rPr>
        <w:t> </w:t>
      </w:r>
      <w:r>
        <w:rPr/>
        <w:t>often</w:t>
      </w:r>
      <w:r>
        <w:rPr>
          <w:spacing w:val="-1"/>
        </w:rPr>
        <w:t> </w:t>
      </w:r>
      <w:r>
        <w:rPr/>
        <w:t>depicted as</w:t>
      </w:r>
      <w:r>
        <w:rPr>
          <w:spacing w:val="-1"/>
        </w:rPr>
        <w:t> </w:t>
      </w:r>
      <w:r>
        <w:rPr/>
        <w:t>passive, Juliet asserts herself with her love and choice of action in regard to her relationship with Romeo. She does have some degree of autonomy through emotional expression; however, her autonomy in this case is limited by societal constraints which prevent her from having any control over her body or her life.</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57824">
                <wp:simplePos x="0" y="0"/>
                <wp:positionH relativeFrom="page">
                  <wp:posOffset>2057400</wp:posOffset>
                </wp:positionH>
                <wp:positionV relativeFrom="paragraph">
                  <wp:posOffset>162604</wp:posOffset>
                </wp:positionV>
                <wp:extent cx="3657600" cy="12700"/>
                <wp:effectExtent l="0" t="0" r="0" b="0"/>
                <wp:wrapTopAndBottom/>
                <wp:docPr id="488" name="Graphic 488"/>
                <wp:cNvGraphicFramePr>
                  <a:graphicFrameLocks/>
                </wp:cNvGraphicFramePr>
                <a:graphic>
                  <a:graphicData uri="http://schemas.microsoft.com/office/word/2010/wordprocessingShape">
                    <wps:wsp>
                      <wps:cNvPr id="488" name="Graphic 48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58656;mso-wrap-distance-left:0;mso-wrap-distance-right:0" id="docshape483" filled="true" fillcolor="#000000" stroked="false">
                <v:fill type="solid"/>
                <w10:wrap type="topAndBottom"/>
              </v:rect>
            </w:pict>
          </mc:Fallback>
        </mc:AlternateContent>
      </w:r>
      <w:r>
        <w:rPr>
          <w:rFonts w:ascii="Verdana"/>
          <w:spacing w:val="-5"/>
          <w:sz w:val="18"/>
        </w:rPr>
        <w:t>220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firstLine="432"/>
        <w:jc w:val="both"/>
      </w:pPr>
      <w:r>
        <w:rPr/>
        <w:t>The issue of women’s consent and autonomy is fundamental to</w:t>
      </w:r>
      <w:r>
        <w:rPr>
          <w:spacing w:val="40"/>
        </w:rPr>
        <w:t> </w:t>
      </w:r>
      <w:r>
        <w:rPr/>
        <w:t>the #MeToo Movement; Juliet’s circumstance is paradoxical. She possesses emotional courage to seek out her desire for Romeo, but</w:t>
      </w:r>
      <w:r>
        <w:rPr>
          <w:spacing w:val="40"/>
        </w:rPr>
        <w:t> </w:t>
      </w:r>
      <w:r>
        <w:rPr/>
        <w:t>lacks systemic power to do so; her</w:t>
      </w:r>
      <w:r>
        <w:rPr>
          <w:spacing w:val="-1"/>
        </w:rPr>
        <w:t> </w:t>
      </w:r>
      <w:r>
        <w:rPr/>
        <w:t>tragic</w:t>
      </w:r>
      <w:r>
        <w:rPr>
          <w:spacing w:val="-1"/>
        </w:rPr>
        <w:t> </w:t>
      </w:r>
      <w:r>
        <w:rPr/>
        <w:t>death</w:t>
      </w:r>
      <w:r>
        <w:rPr>
          <w:spacing w:val="-1"/>
        </w:rPr>
        <w:t> </w:t>
      </w:r>
      <w:r>
        <w:rPr/>
        <w:t>can</w:t>
      </w:r>
      <w:r>
        <w:rPr>
          <w:spacing w:val="-2"/>
        </w:rPr>
        <w:t> </w:t>
      </w:r>
      <w:r>
        <w:rPr/>
        <w:t>be perceived as</w:t>
      </w:r>
      <w:r>
        <w:rPr>
          <w:spacing w:val="-1"/>
        </w:rPr>
        <w:t> </w:t>
      </w:r>
      <w:r>
        <w:rPr/>
        <w:t>part of a system</w:t>
      </w:r>
      <w:r>
        <w:rPr>
          <w:spacing w:val="-1"/>
        </w:rPr>
        <w:t> </w:t>
      </w:r>
      <w:r>
        <w:rPr/>
        <w:t>that is incapable of providing women with support for their </w:t>
      </w:r>
      <w:r>
        <w:rPr>
          <w:spacing w:val="-2"/>
        </w:rPr>
        <w:t>autonomy.</w:t>
      </w:r>
    </w:p>
    <w:p>
      <w:pPr>
        <w:pStyle w:val="Heading5"/>
        <w:spacing w:before="112"/>
      </w:pPr>
      <w:r>
        <w:rPr>
          <w:w w:val="105"/>
        </w:rPr>
        <w:t>5.4.</w:t>
      </w:r>
      <w:r>
        <w:rPr>
          <w:spacing w:val="28"/>
          <w:w w:val="105"/>
        </w:rPr>
        <w:t>  </w:t>
      </w:r>
      <w:r>
        <w:rPr>
          <w:w w:val="105"/>
        </w:rPr>
        <w:t>Knowledge,</w:t>
      </w:r>
      <w:r>
        <w:rPr>
          <w:spacing w:val="32"/>
          <w:w w:val="105"/>
        </w:rPr>
        <w:t>  </w:t>
      </w:r>
      <w:r>
        <w:rPr>
          <w:w w:val="105"/>
        </w:rPr>
        <w:t>Law</w:t>
      </w:r>
      <w:r>
        <w:rPr>
          <w:spacing w:val="30"/>
          <w:w w:val="105"/>
        </w:rPr>
        <w:t>  </w:t>
      </w:r>
      <w:r>
        <w:rPr>
          <w:w w:val="105"/>
        </w:rPr>
        <w:t>and</w:t>
      </w:r>
      <w:r>
        <w:rPr>
          <w:spacing w:val="30"/>
          <w:w w:val="105"/>
        </w:rPr>
        <w:t>  </w:t>
      </w:r>
      <w:r>
        <w:rPr>
          <w:w w:val="105"/>
        </w:rPr>
        <w:t>Gendered</w:t>
      </w:r>
      <w:r>
        <w:rPr>
          <w:spacing w:val="30"/>
          <w:w w:val="105"/>
        </w:rPr>
        <w:t>  </w:t>
      </w:r>
      <w:r>
        <w:rPr>
          <w:spacing w:val="-2"/>
          <w:w w:val="105"/>
        </w:rPr>
        <w:t>Authority:</w:t>
      </w:r>
    </w:p>
    <w:p>
      <w:pPr>
        <w:pStyle w:val="BodyText"/>
        <w:spacing w:line="249" w:lineRule="auto" w:before="72"/>
        <w:ind w:right="1437" w:firstLine="432"/>
        <w:jc w:val="both"/>
      </w:pPr>
      <w:r>
        <w:rPr/>
        <w:t>To characterise Shylock, Portia plays a role that indicates how both knowledge and authority are gendered. As depicted in the play, Portia’s ability to perform the functions of the lawyer so effectively is only made possible through her assuming the role of a male while disguising her gender. This indicates that even though Portia has </w:t>
      </w:r>
      <w:r>
        <w:rPr>
          <w:spacing w:val="-4"/>
        </w:rPr>
        <w:t>intellectual ability, intellectually</w:t>
      </w:r>
      <w:r>
        <w:rPr>
          <w:spacing w:val="-8"/>
        </w:rPr>
        <w:t> </w:t>
      </w:r>
      <w:r>
        <w:rPr>
          <w:spacing w:val="-4"/>
        </w:rPr>
        <w:t>able women</w:t>
      </w:r>
      <w:r>
        <w:rPr>
          <w:spacing w:val="-5"/>
        </w:rPr>
        <w:t> </w:t>
      </w:r>
      <w:r>
        <w:rPr>
          <w:spacing w:val="-4"/>
        </w:rPr>
        <w:t>do</w:t>
      </w:r>
      <w:r>
        <w:rPr/>
        <w:t> </w:t>
      </w:r>
      <w:r>
        <w:rPr>
          <w:spacing w:val="-4"/>
        </w:rPr>
        <w:t>not</w:t>
      </w:r>
      <w:r>
        <w:rPr>
          <w:spacing w:val="-6"/>
        </w:rPr>
        <w:t> </w:t>
      </w:r>
      <w:r>
        <w:rPr>
          <w:spacing w:val="-4"/>
        </w:rPr>
        <w:t>have social legitimacy </w:t>
      </w:r>
      <w:r>
        <w:rPr/>
        <w:t>in</w:t>
      </w:r>
      <w:r>
        <w:rPr>
          <w:spacing w:val="-13"/>
        </w:rPr>
        <w:t> </w:t>
      </w:r>
      <w:r>
        <w:rPr/>
        <w:t>the</w:t>
      </w:r>
      <w:r>
        <w:rPr>
          <w:spacing w:val="-12"/>
        </w:rPr>
        <w:t> </w:t>
      </w:r>
      <w:r>
        <w:rPr/>
        <w:t>same</w:t>
      </w:r>
      <w:r>
        <w:rPr>
          <w:spacing w:val="-13"/>
        </w:rPr>
        <w:t> </w:t>
      </w:r>
      <w:r>
        <w:rPr/>
        <w:t>way</w:t>
      </w:r>
      <w:r>
        <w:rPr>
          <w:spacing w:val="-12"/>
        </w:rPr>
        <w:t> </w:t>
      </w:r>
      <w:r>
        <w:rPr/>
        <w:t>as</w:t>
      </w:r>
      <w:r>
        <w:rPr>
          <w:spacing w:val="-13"/>
        </w:rPr>
        <w:t> </w:t>
      </w:r>
      <w:r>
        <w:rPr/>
        <w:t>men</w:t>
      </w:r>
      <w:r>
        <w:rPr>
          <w:spacing w:val="-12"/>
        </w:rPr>
        <w:t> </w:t>
      </w:r>
      <w:r>
        <w:rPr/>
        <w:t>do</w:t>
      </w:r>
      <w:r>
        <w:rPr>
          <w:spacing w:val="-13"/>
        </w:rPr>
        <w:t> </w:t>
      </w:r>
      <w:r>
        <w:rPr/>
        <w:t>for</w:t>
      </w:r>
      <w:r>
        <w:rPr>
          <w:spacing w:val="-12"/>
        </w:rPr>
        <w:t> </w:t>
      </w:r>
      <w:r>
        <w:rPr/>
        <w:t>their</w:t>
      </w:r>
      <w:r>
        <w:rPr>
          <w:spacing w:val="-13"/>
        </w:rPr>
        <w:t> </w:t>
      </w:r>
      <w:r>
        <w:rPr/>
        <w:t>work</w:t>
      </w:r>
      <w:r>
        <w:rPr>
          <w:spacing w:val="-12"/>
        </w:rPr>
        <w:t> </w:t>
      </w:r>
      <w:r>
        <w:rPr/>
        <w:t>and</w:t>
      </w:r>
      <w:r>
        <w:rPr>
          <w:spacing w:val="-12"/>
        </w:rPr>
        <w:t> </w:t>
      </w:r>
      <w:r>
        <w:rPr/>
        <w:t>the</w:t>
      </w:r>
      <w:r>
        <w:rPr>
          <w:spacing w:val="-9"/>
        </w:rPr>
        <w:t> </w:t>
      </w:r>
      <w:r>
        <w:rPr/>
        <w:t>successful</w:t>
      </w:r>
      <w:r>
        <w:rPr>
          <w:spacing w:val="-13"/>
        </w:rPr>
        <w:t> </w:t>
      </w:r>
      <w:r>
        <w:rPr/>
        <w:t>performance put forth by women (in this case, Portia) demonstrates the societal boundaries which exist for women today with respect to providing competent skills and intelligence for performing in a job. Today, many women continue to be subjected to the same types of barriers for performing their jobs as do women in the play, as there continues to be devaluation</w:t>
      </w:r>
      <w:r>
        <w:rPr>
          <w:spacing w:val="-7"/>
        </w:rPr>
        <w:t> </w:t>
      </w:r>
      <w:r>
        <w:rPr/>
        <w:t>of</w:t>
      </w:r>
      <w:r>
        <w:rPr>
          <w:spacing w:val="-3"/>
        </w:rPr>
        <w:t> </w:t>
      </w:r>
      <w:r>
        <w:rPr/>
        <w:t>women’s</w:t>
      </w:r>
      <w:r>
        <w:rPr>
          <w:spacing w:val="-5"/>
        </w:rPr>
        <w:t> </w:t>
      </w:r>
      <w:r>
        <w:rPr/>
        <w:t>expertise</w:t>
      </w:r>
      <w:r>
        <w:rPr>
          <w:spacing w:val="-5"/>
        </w:rPr>
        <w:t> </w:t>
      </w:r>
      <w:r>
        <w:rPr/>
        <w:t>and</w:t>
      </w:r>
      <w:r>
        <w:rPr>
          <w:spacing w:val="-2"/>
        </w:rPr>
        <w:t> </w:t>
      </w:r>
      <w:r>
        <w:rPr/>
        <w:t>questioning</w:t>
      </w:r>
      <w:r>
        <w:rPr>
          <w:spacing w:val="-6"/>
        </w:rPr>
        <w:t> </w:t>
      </w:r>
      <w:r>
        <w:rPr/>
        <w:t>of</w:t>
      </w:r>
      <w:r>
        <w:rPr>
          <w:spacing w:val="-3"/>
        </w:rPr>
        <w:t> </w:t>
      </w:r>
      <w:r>
        <w:rPr/>
        <w:t>women’s</w:t>
      </w:r>
      <w:r>
        <w:rPr>
          <w:spacing w:val="-5"/>
        </w:rPr>
        <w:t> </w:t>
      </w:r>
      <w:r>
        <w:rPr>
          <w:spacing w:val="-2"/>
        </w:rPr>
        <w:t>abilities.</w:t>
      </w:r>
    </w:p>
    <w:p>
      <w:pPr>
        <w:pStyle w:val="Heading5"/>
        <w:spacing w:before="118"/>
        <w:ind w:left="1872" w:hanging="432"/>
      </w:pPr>
      <w:r>
        <w:rPr>
          <w:w w:val="105"/>
        </w:rPr>
        <w:t>5.5</w:t>
      </w:r>
      <w:r>
        <w:rPr>
          <w:spacing w:val="68"/>
          <w:w w:val="105"/>
        </w:rPr>
        <w:t> </w:t>
      </w:r>
      <w:r>
        <w:rPr>
          <w:w w:val="105"/>
        </w:rPr>
        <w:t>Emotional</w:t>
      </w:r>
      <w:r>
        <w:rPr>
          <w:spacing w:val="66"/>
          <w:w w:val="105"/>
        </w:rPr>
        <w:t> </w:t>
      </w:r>
      <w:r>
        <w:rPr>
          <w:w w:val="105"/>
        </w:rPr>
        <w:t>Survival</w:t>
      </w:r>
      <w:r>
        <w:rPr>
          <w:spacing w:val="66"/>
          <w:w w:val="105"/>
        </w:rPr>
        <w:t> </w:t>
      </w:r>
      <w:r>
        <w:rPr>
          <w:w w:val="105"/>
        </w:rPr>
        <w:t>and</w:t>
      </w:r>
      <w:r>
        <w:rPr>
          <w:spacing w:val="70"/>
          <w:w w:val="105"/>
        </w:rPr>
        <w:t> </w:t>
      </w:r>
      <w:r>
        <w:rPr>
          <w:w w:val="105"/>
        </w:rPr>
        <w:t>Resistance/</w:t>
      </w:r>
      <w:r>
        <w:rPr>
          <w:spacing w:val="68"/>
          <w:w w:val="105"/>
        </w:rPr>
        <w:t> </w:t>
      </w:r>
      <w:r>
        <w:rPr>
          <w:spacing w:val="-2"/>
          <w:w w:val="105"/>
        </w:rPr>
        <w:t>Adaptation:</w:t>
      </w:r>
    </w:p>
    <w:p>
      <w:pPr>
        <w:pStyle w:val="BodyText"/>
        <w:spacing w:line="249" w:lineRule="auto" w:before="72"/>
        <w:ind w:right="1438" w:firstLine="432"/>
        <w:jc w:val="both"/>
      </w:pPr>
      <w:r>
        <w:rPr/>
        <w:t>The characters’ transactions provide evidence that women cannot be defined by solely resisting and/or submitting, but by combining many ways to try to find a way to survive all of the rejections through the use of trial and error (adaptation). The actions of the characters can also be interpreted as not just being empowered or oppressed, but that they use different ways to work through their own experiences in the complex way that they navigate the constraining and shaping nature of </w:t>
      </w:r>
      <w:r>
        <w:rPr>
          <w:spacing w:val="-2"/>
        </w:rPr>
        <w:t>the overall decision-making</w:t>
      </w:r>
      <w:r>
        <w:rPr>
          <w:spacing w:val="-3"/>
        </w:rPr>
        <w:t> </w:t>
      </w:r>
      <w:r>
        <w:rPr>
          <w:spacing w:val="-2"/>
        </w:rPr>
        <w:t>process. Psychoanalytically,</w:t>
      </w:r>
      <w:r>
        <w:rPr>
          <w:spacing w:val="-3"/>
        </w:rPr>
        <w:t> </w:t>
      </w:r>
      <w:r>
        <w:rPr>
          <w:spacing w:val="-2"/>
        </w:rPr>
        <w:t>the</w:t>
      </w:r>
      <w:r>
        <w:rPr>
          <w:spacing w:val="-3"/>
        </w:rPr>
        <w:t> </w:t>
      </w:r>
      <w:r>
        <w:rPr>
          <w:spacing w:val="-2"/>
        </w:rPr>
        <w:t>negotiations </w:t>
      </w:r>
      <w:r>
        <w:rPr/>
        <w:t>made by these characters reflect their internal struggles (i.e., conflict between desire and social norms). The women in this text also demonstrate the structural limitations of agency from a feminist perspective. These theories thereby demonstrate that women’s experiences are affected by</w:t>
      </w:r>
      <w:r>
        <w:rPr>
          <w:spacing w:val="-1"/>
        </w:rPr>
        <w:t> </w:t>
      </w:r>
      <w:r>
        <w:rPr/>
        <w:t>internal and external forces; therefore, both theories</w:t>
      </w:r>
      <w:r>
        <w:rPr>
          <w:spacing w:val="23"/>
        </w:rPr>
        <w:t> </w:t>
      </w:r>
      <w:r>
        <w:rPr/>
        <w:t>show</w:t>
      </w:r>
      <w:r>
        <w:rPr>
          <w:spacing w:val="18"/>
        </w:rPr>
        <w:t> </w:t>
      </w:r>
      <w:r>
        <w:rPr/>
        <w:t>how</w:t>
      </w:r>
      <w:r>
        <w:rPr>
          <w:spacing w:val="20"/>
        </w:rPr>
        <w:t> </w:t>
      </w:r>
      <w:r>
        <w:rPr/>
        <w:t>each</w:t>
      </w:r>
      <w:r>
        <w:rPr>
          <w:spacing w:val="19"/>
        </w:rPr>
        <w:t> </w:t>
      </w:r>
      <w:r>
        <w:rPr/>
        <w:t>of</w:t>
      </w:r>
      <w:r>
        <w:rPr>
          <w:spacing w:val="21"/>
        </w:rPr>
        <w:t> </w:t>
      </w:r>
      <w:r>
        <w:rPr/>
        <w:t>these</w:t>
      </w:r>
      <w:r>
        <w:rPr>
          <w:spacing w:val="22"/>
        </w:rPr>
        <w:t> </w:t>
      </w:r>
      <w:r>
        <w:rPr/>
        <w:t>forces</w:t>
      </w:r>
      <w:r>
        <w:rPr>
          <w:spacing w:val="21"/>
        </w:rPr>
        <w:t> </w:t>
      </w:r>
      <w:r>
        <w:rPr/>
        <w:t>affects</w:t>
      </w:r>
      <w:r>
        <w:rPr>
          <w:spacing w:val="20"/>
        </w:rPr>
        <w:t> </w:t>
      </w:r>
      <w:r>
        <w:rPr/>
        <w:t>women’s</w:t>
      </w:r>
      <w:r>
        <w:rPr>
          <w:spacing w:val="22"/>
        </w:rPr>
        <w:t> </w:t>
      </w:r>
      <w:r>
        <w:rPr>
          <w:spacing w:val="-2"/>
        </w:rPr>
        <w:t>experiences.</w:t>
      </w:r>
    </w:p>
    <w:p>
      <w:pPr>
        <w:pStyle w:val="Heading5"/>
        <w:spacing w:before="118"/>
        <w:ind w:left="1872" w:hanging="432"/>
      </w:pPr>
      <w:r>
        <w:rPr>
          <w:w w:val="105"/>
        </w:rPr>
        <w:t>5.6</w:t>
      </w:r>
      <w:r>
        <w:rPr>
          <w:spacing w:val="73"/>
          <w:w w:val="150"/>
        </w:rPr>
        <w:t> </w:t>
      </w:r>
      <w:r>
        <w:rPr>
          <w:w w:val="105"/>
        </w:rPr>
        <w:t>Relevance</w:t>
      </w:r>
      <w:r>
        <w:rPr>
          <w:spacing w:val="70"/>
          <w:w w:val="150"/>
        </w:rPr>
        <w:t> </w:t>
      </w:r>
      <w:r>
        <w:rPr>
          <w:w w:val="105"/>
        </w:rPr>
        <w:t>to</w:t>
      </w:r>
      <w:r>
        <w:rPr>
          <w:spacing w:val="71"/>
          <w:w w:val="150"/>
        </w:rPr>
        <w:t> </w:t>
      </w:r>
      <w:r>
        <w:rPr>
          <w:w w:val="105"/>
        </w:rPr>
        <w:t>Contemporary</w:t>
      </w:r>
      <w:r>
        <w:rPr>
          <w:spacing w:val="71"/>
          <w:w w:val="150"/>
        </w:rPr>
        <w:t> </w:t>
      </w:r>
      <w:r>
        <w:rPr>
          <w:w w:val="105"/>
        </w:rPr>
        <w:t>Feminist</w:t>
      </w:r>
      <w:r>
        <w:rPr>
          <w:spacing w:val="71"/>
          <w:w w:val="150"/>
        </w:rPr>
        <w:t> </w:t>
      </w:r>
      <w:r>
        <w:rPr>
          <w:spacing w:val="-2"/>
          <w:w w:val="105"/>
        </w:rPr>
        <w:t>Discourse</w:t>
      </w:r>
    </w:p>
    <w:p>
      <w:pPr>
        <w:pStyle w:val="BodyText"/>
        <w:spacing w:line="249" w:lineRule="auto" w:before="72"/>
        <w:ind w:right="1439" w:firstLine="432"/>
        <w:jc w:val="both"/>
      </w:pPr>
      <w:r>
        <w:rPr/>
        <w:t>The #MeToo campaign has amplified concerns regarding voice, consent,</w:t>
      </w:r>
      <w:r>
        <w:rPr>
          <w:spacing w:val="79"/>
          <w:w w:val="150"/>
        </w:rPr>
        <w:t> </w:t>
      </w:r>
      <w:r>
        <w:rPr/>
        <w:t>and</w:t>
      </w:r>
      <w:r>
        <w:rPr>
          <w:spacing w:val="28"/>
        </w:rPr>
        <w:t>  </w:t>
      </w:r>
      <w:r>
        <w:rPr/>
        <w:t>systemic</w:t>
      </w:r>
      <w:r>
        <w:rPr>
          <w:spacing w:val="29"/>
        </w:rPr>
        <w:t>  </w:t>
      </w:r>
      <w:r>
        <w:rPr/>
        <w:t>inequality,</w:t>
      </w:r>
      <w:r>
        <w:rPr>
          <w:spacing w:val="29"/>
        </w:rPr>
        <w:t>  </w:t>
      </w:r>
      <w:r>
        <w:rPr/>
        <w:t>creating</w:t>
      </w:r>
      <w:r>
        <w:rPr>
          <w:spacing w:val="76"/>
          <w:w w:val="150"/>
        </w:rPr>
        <w:t> </w:t>
      </w:r>
      <w:r>
        <w:rPr/>
        <w:t>opportunities</w:t>
      </w:r>
      <w:r>
        <w:rPr>
          <w:spacing w:val="28"/>
        </w:rPr>
        <w:t>  </w:t>
      </w:r>
      <w:r>
        <w:rPr/>
        <w:t>to</w:t>
      </w:r>
      <w:r>
        <w:rPr>
          <w:spacing w:val="29"/>
        </w:rPr>
        <w:t>  </w:t>
      </w:r>
      <w:r>
        <w:rPr>
          <w:spacing w:val="-5"/>
        </w:rPr>
        <w:t>see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5" w:val="left" w:leader="none"/>
        </w:tabs>
        <w:spacing w:before="0"/>
        <w:ind w:left="0" w:right="0"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758336">
                <wp:simplePos x="0" y="0"/>
                <wp:positionH relativeFrom="page">
                  <wp:posOffset>2065020</wp:posOffset>
                </wp:positionH>
                <wp:positionV relativeFrom="paragraph">
                  <wp:posOffset>162604</wp:posOffset>
                </wp:positionV>
                <wp:extent cx="3657600" cy="12700"/>
                <wp:effectExtent l="0" t="0" r="0" b="0"/>
                <wp:wrapTopAndBottom/>
                <wp:docPr id="489" name="Graphic 489"/>
                <wp:cNvGraphicFramePr>
                  <a:graphicFrameLocks/>
                </wp:cNvGraphicFramePr>
                <a:graphic>
                  <a:graphicData uri="http://schemas.microsoft.com/office/word/2010/wordprocessingShape">
                    <wps:wsp>
                      <wps:cNvPr id="489" name="Graphic 48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58144;mso-wrap-distance-left:0;mso-wrap-distance-right:0" id="docshape484" filled="true" fillcolor="#000000" stroked="false">
                <v:fill type="solid"/>
                <w10:wrap type="topAndBottom"/>
              </v:rect>
            </w:pict>
          </mc:Fallback>
        </mc:AlternateContent>
      </w:r>
      <w:r>
        <w:rPr>
          <w:rFonts w:ascii="Verdana"/>
          <w:spacing w:val="-6"/>
          <w:sz w:val="18"/>
        </w:rPr>
        <w:t>Silenced</w:t>
      </w:r>
      <w:r>
        <w:rPr>
          <w:rFonts w:ascii="Verdana"/>
          <w:spacing w:val="-2"/>
          <w:sz w:val="18"/>
        </w:rPr>
        <w:t> </w:t>
      </w:r>
      <w:r>
        <w:rPr>
          <w:rFonts w:ascii="Verdana"/>
          <w:spacing w:val="-6"/>
          <w:sz w:val="18"/>
        </w:rPr>
        <w:t>Then,</w:t>
      </w:r>
      <w:r>
        <w:rPr>
          <w:rFonts w:ascii="Verdana"/>
          <w:spacing w:val="1"/>
          <w:sz w:val="18"/>
        </w:rPr>
        <w:t> </w:t>
      </w:r>
      <w:r>
        <w:rPr>
          <w:rFonts w:ascii="Verdana"/>
          <w:spacing w:val="-6"/>
          <w:sz w:val="18"/>
        </w:rPr>
        <w:t>Speaking</w:t>
      </w:r>
      <w:r>
        <w:rPr>
          <w:rFonts w:ascii="Verdana"/>
          <w:spacing w:val="2"/>
          <w:sz w:val="18"/>
        </w:rPr>
        <w:t> </w:t>
      </w:r>
      <w:r>
        <w:rPr>
          <w:rFonts w:ascii="Verdana"/>
          <w:spacing w:val="-6"/>
          <w:sz w:val="18"/>
        </w:rPr>
        <w:t>Now:</w:t>
      </w:r>
      <w:r>
        <w:rPr>
          <w:rFonts w:ascii="Verdana"/>
          <w:spacing w:val="1"/>
          <w:sz w:val="18"/>
        </w:rPr>
        <w:t> </w:t>
      </w:r>
      <w:r>
        <w:rPr>
          <w:rFonts w:ascii="Verdana"/>
          <w:spacing w:val="-6"/>
          <w:sz w:val="18"/>
        </w:rPr>
        <w:t>Shakespeare</w:t>
      </w:r>
      <w:r>
        <w:rPr>
          <w:rFonts w:ascii="Verdana"/>
          <w:spacing w:val="3"/>
          <w:sz w:val="18"/>
        </w:rPr>
        <w:t> </w:t>
      </w:r>
      <w:r>
        <w:rPr>
          <w:rFonts w:ascii="Verdana"/>
          <w:spacing w:val="-6"/>
          <w:sz w:val="18"/>
        </w:rPr>
        <w:t>and</w:t>
      </w:r>
      <w:r>
        <w:rPr>
          <w:rFonts w:ascii="Verdana"/>
          <w:spacing w:val="1"/>
          <w:sz w:val="18"/>
        </w:rPr>
        <w:t> </w:t>
      </w:r>
      <w:r>
        <w:rPr>
          <w:rFonts w:ascii="Verdana"/>
          <w:spacing w:val="-6"/>
          <w:sz w:val="18"/>
        </w:rPr>
        <w:t>Heroines</w:t>
      </w:r>
      <w:r>
        <w:rPr>
          <w:rFonts w:ascii="Verdana"/>
          <w:spacing w:val="1"/>
          <w:sz w:val="18"/>
        </w:rPr>
        <w:t> </w:t>
      </w:r>
      <w:r>
        <w:rPr>
          <w:rFonts w:ascii="Verdana"/>
          <w:spacing w:val="-6"/>
          <w:sz w:val="18"/>
        </w:rPr>
        <w:t>...</w:t>
      </w:r>
      <w:r>
        <w:rPr>
          <w:rFonts w:ascii="Verdana"/>
          <w:sz w:val="18"/>
        </w:rPr>
        <w:tab/>
      </w:r>
      <w:r>
        <w:rPr>
          <w:rFonts w:ascii="Verdana"/>
          <w:spacing w:val="-5"/>
          <w:sz w:val="18"/>
        </w:rPr>
        <w:t>221</w:t>
      </w:r>
    </w:p>
    <w:p>
      <w:pPr>
        <w:pStyle w:val="BodyText"/>
        <w:spacing w:line="249" w:lineRule="auto" w:before="192"/>
        <w:ind w:right="1436"/>
        <w:jc w:val="both"/>
      </w:pPr>
      <w:r>
        <w:rPr/>
        <w:t>Shakespeare’s</w:t>
      </w:r>
      <w:r>
        <w:rPr>
          <w:spacing w:val="-12"/>
        </w:rPr>
        <w:t> </w:t>
      </w:r>
      <w:r>
        <w:rPr/>
        <w:t>female</w:t>
      </w:r>
      <w:r>
        <w:rPr>
          <w:spacing w:val="-12"/>
        </w:rPr>
        <w:t> </w:t>
      </w:r>
      <w:r>
        <w:rPr/>
        <w:t>characters</w:t>
      </w:r>
      <w:r>
        <w:rPr>
          <w:spacing w:val="-12"/>
        </w:rPr>
        <w:t> </w:t>
      </w:r>
      <w:r>
        <w:rPr/>
        <w:t>in</w:t>
      </w:r>
      <w:r>
        <w:rPr>
          <w:spacing w:val="-11"/>
        </w:rPr>
        <w:t> </w:t>
      </w:r>
      <w:r>
        <w:rPr/>
        <w:t>different</w:t>
      </w:r>
      <w:r>
        <w:rPr>
          <w:spacing w:val="-11"/>
        </w:rPr>
        <w:t> </w:t>
      </w:r>
      <w:r>
        <w:rPr/>
        <w:t>perspectives</w:t>
      </w:r>
      <w:r>
        <w:rPr>
          <w:spacing w:val="-12"/>
        </w:rPr>
        <w:t> </w:t>
      </w:r>
      <w:r>
        <w:rPr/>
        <w:t>than</w:t>
      </w:r>
      <w:r>
        <w:rPr>
          <w:spacing w:val="-12"/>
        </w:rPr>
        <w:t> </w:t>
      </w:r>
      <w:r>
        <w:rPr/>
        <w:t>originally intended—previously, viewers accepted individual actions as separate from one another; now, these actions may be viewed as part of a larger pattern regarding how people exercise power over others based on gender.</w:t>
      </w:r>
      <w:r>
        <w:rPr>
          <w:spacing w:val="-13"/>
        </w:rPr>
        <w:t> </w:t>
      </w:r>
      <w:r>
        <w:rPr/>
        <w:t>As</w:t>
      </w:r>
      <w:r>
        <w:rPr>
          <w:spacing w:val="-12"/>
        </w:rPr>
        <w:t> </w:t>
      </w:r>
      <w:r>
        <w:rPr/>
        <w:t>a</w:t>
      </w:r>
      <w:r>
        <w:rPr>
          <w:spacing w:val="-13"/>
        </w:rPr>
        <w:t> </w:t>
      </w:r>
      <w:r>
        <w:rPr/>
        <w:t>result</w:t>
      </w:r>
      <w:r>
        <w:rPr>
          <w:spacing w:val="-12"/>
        </w:rPr>
        <w:t> </w:t>
      </w:r>
      <w:r>
        <w:rPr/>
        <w:t>of</w:t>
      </w:r>
      <w:r>
        <w:rPr>
          <w:spacing w:val="-9"/>
        </w:rPr>
        <w:t> </w:t>
      </w:r>
      <w:r>
        <w:rPr/>
        <w:t>these</w:t>
      </w:r>
      <w:r>
        <w:rPr>
          <w:spacing w:val="-10"/>
        </w:rPr>
        <w:t> </w:t>
      </w:r>
      <w:r>
        <w:rPr/>
        <w:t>two</w:t>
      </w:r>
      <w:r>
        <w:rPr>
          <w:spacing w:val="-9"/>
        </w:rPr>
        <w:t> </w:t>
      </w:r>
      <w:r>
        <w:rPr/>
        <w:t>facts,</w:t>
      </w:r>
      <w:r>
        <w:rPr>
          <w:spacing w:val="-8"/>
        </w:rPr>
        <w:t> </w:t>
      </w:r>
      <w:r>
        <w:rPr/>
        <w:t>it</w:t>
      </w:r>
      <w:r>
        <w:rPr>
          <w:spacing w:val="-9"/>
        </w:rPr>
        <w:t> </w:t>
      </w:r>
      <w:r>
        <w:rPr/>
        <w:t>would</w:t>
      </w:r>
      <w:r>
        <w:rPr>
          <w:spacing w:val="-9"/>
        </w:rPr>
        <w:t> </w:t>
      </w:r>
      <w:r>
        <w:rPr/>
        <w:t>appear</w:t>
      </w:r>
      <w:r>
        <w:rPr>
          <w:spacing w:val="-8"/>
        </w:rPr>
        <w:t> </w:t>
      </w:r>
      <w:r>
        <w:rPr/>
        <w:t>that</w:t>
      </w:r>
      <w:r>
        <w:rPr>
          <w:spacing w:val="-11"/>
        </w:rPr>
        <w:t> </w:t>
      </w:r>
      <w:r>
        <w:rPr/>
        <w:t>Shakespeare’s female</w:t>
      </w:r>
      <w:r>
        <w:rPr>
          <w:spacing w:val="-4"/>
        </w:rPr>
        <w:t> </w:t>
      </w:r>
      <w:r>
        <w:rPr/>
        <w:t>protagonists</w:t>
      </w:r>
      <w:r>
        <w:rPr>
          <w:spacing w:val="-5"/>
        </w:rPr>
        <w:t> </w:t>
      </w:r>
      <w:r>
        <w:rPr/>
        <w:t>are</w:t>
      </w:r>
      <w:r>
        <w:rPr>
          <w:spacing w:val="-5"/>
        </w:rPr>
        <w:t> </w:t>
      </w:r>
      <w:r>
        <w:rPr/>
        <w:t>not</w:t>
      </w:r>
      <w:r>
        <w:rPr>
          <w:spacing w:val="-3"/>
        </w:rPr>
        <w:t> </w:t>
      </w:r>
      <w:r>
        <w:rPr/>
        <w:t>just</w:t>
      </w:r>
      <w:r>
        <w:rPr>
          <w:spacing w:val="-5"/>
        </w:rPr>
        <w:t> </w:t>
      </w:r>
      <w:r>
        <w:rPr/>
        <w:t>relics</w:t>
      </w:r>
      <w:r>
        <w:rPr>
          <w:spacing w:val="-3"/>
        </w:rPr>
        <w:t> </w:t>
      </w:r>
      <w:r>
        <w:rPr/>
        <w:t>but</w:t>
      </w:r>
      <w:r>
        <w:rPr>
          <w:spacing w:val="-3"/>
        </w:rPr>
        <w:t> </w:t>
      </w:r>
      <w:r>
        <w:rPr/>
        <w:t>also</w:t>
      </w:r>
      <w:r>
        <w:rPr>
          <w:spacing w:val="-3"/>
        </w:rPr>
        <w:t> </w:t>
      </w:r>
      <w:r>
        <w:rPr/>
        <w:t>persistent</w:t>
      </w:r>
      <w:r>
        <w:rPr>
          <w:spacing w:val="-3"/>
        </w:rPr>
        <w:t> </w:t>
      </w:r>
      <w:r>
        <w:rPr/>
        <w:t>images</w:t>
      </w:r>
      <w:r>
        <w:rPr>
          <w:spacing w:val="-5"/>
        </w:rPr>
        <w:t> </w:t>
      </w:r>
      <w:r>
        <w:rPr/>
        <w:t>of</w:t>
      </w:r>
      <w:r>
        <w:rPr>
          <w:spacing w:val="-5"/>
        </w:rPr>
        <w:t> </w:t>
      </w:r>
      <w:r>
        <w:rPr/>
        <w:t>what women endure today. In addition to this ongoing relevance, the themes </w:t>
      </w:r>
      <w:r>
        <w:rPr>
          <w:spacing w:val="11"/>
        </w:rPr>
        <w:t>addressed</w:t>
      </w:r>
      <w:r>
        <w:rPr>
          <w:spacing w:val="11"/>
        </w:rPr>
        <w:t> </w:t>
      </w:r>
      <w:r>
        <w:rPr/>
        <w:t>by his </w:t>
      </w:r>
      <w:r>
        <w:rPr>
          <w:spacing w:val="9"/>
        </w:rPr>
        <w:t>female</w:t>
      </w:r>
      <w:r>
        <w:rPr>
          <w:spacing w:val="9"/>
        </w:rPr>
        <w:t> </w:t>
      </w:r>
      <w:r>
        <w:rPr>
          <w:spacing w:val="12"/>
        </w:rPr>
        <w:t>characters—</w:t>
      </w:r>
      <w:r>
        <w:rPr/>
        <w:t>such as </w:t>
      </w:r>
      <w:r>
        <w:rPr>
          <w:spacing w:val="10"/>
        </w:rPr>
        <w:t>struggles</w:t>
      </w:r>
      <w:r>
        <w:rPr>
          <w:spacing w:val="10"/>
        </w:rPr>
        <w:t> </w:t>
      </w:r>
      <w:r>
        <w:rPr/>
        <w:t>with communication, being seen by others, and fighting to gain or maintain independence—continue to resonate throughout present day society, thereby adding additionally to the significance of written works </w:t>
      </w:r>
      <w:r>
        <w:rPr>
          <w:spacing w:val="-2"/>
        </w:rPr>
        <w:t>contributing</w:t>
      </w:r>
      <w:r>
        <w:rPr>
          <w:spacing w:val="-10"/>
        </w:rPr>
        <w:t> </w:t>
      </w:r>
      <w:r>
        <w:rPr>
          <w:spacing w:val="-2"/>
        </w:rPr>
        <w:t>to</w:t>
      </w:r>
      <w:r>
        <w:rPr>
          <w:spacing w:val="-6"/>
        </w:rPr>
        <w:t> </w:t>
      </w:r>
      <w:r>
        <w:rPr>
          <w:spacing w:val="-2"/>
        </w:rPr>
        <w:t>the</w:t>
      </w:r>
      <w:r>
        <w:rPr>
          <w:spacing w:val="-6"/>
        </w:rPr>
        <w:t> </w:t>
      </w:r>
      <w:r>
        <w:rPr>
          <w:spacing w:val="-2"/>
        </w:rPr>
        <w:t>examination</w:t>
      </w:r>
      <w:r>
        <w:rPr>
          <w:spacing w:val="-6"/>
        </w:rPr>
        <w:t> </w:t>
      </w:r>
      <w:r>
        <w:rPr>
          <w:spacing w:val="-2"/>
        </w:rPr>
        <w:t>of</w:t>
      </w:r>
      <w:r>
        <w:rPr>
          <w:spacing w:val="-6"/>
        </w:rPr>
        <w:t> </w:t>
      </w:r>
      <w:r>
        <w:rPr>
          <w:spacing w:val="-2"/>
        </w:rPr>
        <w:t>contemporary</w:t>
      </w:r>
      <w:r>
        <w:rPr>
          <w:spacing w:val="-11"/>
        </w:rPr>
        <w:t> </w:t>
      </w:r>
      <w:r>
        <w:rPr>
          <w:spacing w:val="-2"/>
        </w:rPr>
        <w:t>social</w:t>
      </w:r>
      <w:r>
        <w:rPr>
          <w:spacing w:val="-5"/>
        </w:rPr>
        <w:t> </w:t>
      </w:r>
      <w:r>
        <w:rPr>
          <w:spacing w:val="-2"/>
        </w:rPr>
        <w:t>patterns</w:t>
      </w:r>
      <w:r>
        <w:rPr>
          <w:spacing w:val="-8"/>
        </w:rPr>
        <w:t> </w:t>
      </w:r>
      <w:r>
        <w:rPr>
          <w:spacing w:val="-2"/>
        </w:rPr>
        <w:t>occurring </w:t>
      </w:r>
      <w:r>
        <w:rPr/>
        <w:t>in communities all over the world..</w:t>
      </w:r>
    </w:p>
    <w:p>
      <w:pPr>
        <w:pStyle w:val="Heading3"/>
        <w:spacing w:before="164"/>
      </w:pPr>
      <w:r>
        <w:rPr>
          <w:spacing w:val="-2"/>
        </w:rPr>
        <w:t>CONCLUSION:</w:t>
      </w:r>
    </w:p>
    <w:p>
      <w:pPr>
        <w:pStyle w:val="BodyText"/>
        <w:spacing w:line="249" w:lineRule="auto" w:before="76"/>
        <w:ind w:right="1436" w:firstLine="432"/>
        <w:jc w:val="both"/>
      </w:pPr>
      <w:r>
        <w:rPr/>
        <w:t>Recent studies are starting to link modern feminist theories to modern readings of Shakespeare’s works. In their study, Mendes, Ringrose, and Keller (2019) show how digital activism related to the MeToo</w:t>
      </w:r>
      <w:r>
        <w:rPr>
          <w:spacing w:val="-13"/>
        </w:rPr>
        <w:t> </w:t>
      </w:r>
      <w:r>
        <w:rPr/>
        <w:t>movement</w:t>
      </w:r>
      <w:r>
        <w:rPr>
          <w:spacing w:val="-12"/>
        </w:rPr>
        <w:t> </w:t>
      </w:r>
      <w:r>
        <w:rPr/>
        <w:t>has</w:t>
      </w:r>
      <w:r>
        <w:rPr>
          <w:spacing w:val="-13"/>
        </w:rPr>
        <w:t> </w:t>
      </w:r>
      <w:r>
        <w:rPr/>
        <w:t>created</w:t>
      </w:r>
      <w:r>
        <w:rPr>
          <w:spacing w:val="-12"/>
        </w:rPr>
        <w:t> </w:t>
      </w:r>
      <w:r>
        <w:rPr/>
        <w:t>new</w:t>
      </w:r>
      <w:r>
        <w:rPr>
          <w:spacing w:val="-13"/>
        </w:rPr>
        <w:t> </w:t>
      </w:r>
      <w:r>
        <w:rPr/>
        <w:t>opportunities</w:t>
      </w:r>
      <w:r>
        <w:rPr>
          <w:spacing w:val="-12"/>
        </w:rPr>
        <w:t> </w:t>
      </w:r>
      <w:r>
        <w:rPr/>
        <w:t>for</w:t>
      </w:r>
      <w:r>
        <w:rPr>
          <w:spacing w:val="-13"/>
        </w:rPr>
        <w:t> </w:t>
      </w:r>
      <w:r>
        <w:rPr/>
        <w:t>women</w:t>
      </w:r>
      <w:r>
        <w:rPr>
          <w:spacing w:val="-12"/>
        </w:rPr>
        <w:t> </w:t>
      </w:r>
      <w:r>
        <w:rPr/>
        <w:t>to</w:t>
      </w:r>
      <w:r>
        <w:rPr>
          <w:spacing w:val="-13"/>
        </w:rPr>
        <w:t> </w:t>
      </w:r>
      <w:r>
        <w:rPr/>
        <w:t>articulate their</w:t>
      </w:r>
      <w:r>
        <w:rPr>
          <w:spacing w:val="-9"/>
        </w:rPr>
        <w:t> </w:t>
      </w:r>
      <w:r>
        <w:rPr/>
        <w:t>experiences</w:t>
      </w:r>
      <w:r>
        <w:rPr>
          <w:spacing w:val="-11"/>
        </w:rPr>
        <w:t> </w:t>
      </w:r>
      <w:r>
        <w:rPr/>
        <w:t>and</w:t>
      </w:r>
      <w:r>
        <w:rPr>
          <w:spacing w:val="-8"/>
        </w:rPr>
        <w:t> </w:t>
      </w:r>
      <w:r>
        <w:rPr/>
        <w:t>hold</w:t>
      </w:r>
      <w:r>
        <w:rPr>
          <w:spacing w:val="-9"/>
        </w:rPr>
        <w:t> </w:t>
      </w:r>
      <w:r>
        <w:rPr/>
        <w:t>their</w:t>
      </w:r>
      <w:r>
        <w:rPr>
          <w:spacing w:val="-9"/>
        </w:rPr>
        <w:t> </w:t>
      </w:r>
      <w:r>
        <w:rPr/>
        <w:t>communities</w:t>
      </w:r>
      <w:r>
        <w:rPr>
          <w:spacing w:val="-13"/>
        </w:rPr>
        <w:t> </w:t>
      </w:r>
      <w:r>
        <w:rPr/>
        <w:t>accountable</w:t>
      </w:r>
      <w:r>
        <w:rPr>
          <w:spacing w:val="-8"/>
        </w:rPr>
        <w:t> </w:t>
      </w:r>
      <w:r>
        <w:rPr/>
        <w:t>for</w:t>
      </w:r>
      <w:r>
        <w:rPr>
          <w:spacing w:val="-9"/>
        </w:rPr>
        <w:t> </w:t>
      </w:r>
      <w:r>
        <w:rPr/>
        <w:t>addressing systemic</w:t>
      </w:r>
      <w:r>
        <w:rPr>
          <w:spacing w:val="-1"/>
        </w:rPr>
        <w:t> </w:t>
      </w:r>
      <w:r>
        <w:rPr/>
        <w:t>inequities. The</w:t>
      </w:r>
      <w:r>
        <w:rPr>
          <w:spacing w:val="-2"/>
        </w:rPr>
        <w:t> </w:t>
      </w:r>
      <w:r>
        <w:rPr/>
        <w:t>focus of</w:t>
      </w:r>
      <w:r>
        <w:rPr>
          <w:spacing w:val="-2"/>
        </w:rPr>
        <w:t> </w:t>
      </w:r>
      <w:r>
        <w:rPr/>
        <w:t>their research</w:t>
      </w:r>
      <w:r>
        <w:rPr>
          <w:spacing w:val="-2"/>
        </w:rPr>
        <w:t> </w:t>
      </w:r>
      <w:r>
        <w:rPr/>
        <w:t>has</w:t>
      </w:r>
      <w:r>
        <w:rPr>
          <w:spacing w:val="-2"/>
        </w:rPr>
        <w:t> </w:t>
      </w:r>
      <w:r>
        <w:rPr/>
        <w:t>been</w:t>
      </w:r>
      <w:r>
        <w:rPr>
          <w:spacing w:val="-2"/>
        </w:rPr>
        <w:t> </w:t>
      </w:r>
      <w:r>
        <w:rPr/>
        <w:t>on</w:t>
      </w:r>
      <w:r>
        <w:rPr>
          <w:spacing w:val="-2"/>
        </w:rPr>
        <w:t> </w:t>
      </w:r>
      <w:r>
        <w:rPr/>
        <w:t>the concept of voice, testimony, and collective resistance, and it has also given a </w:t>
      </w:r>
      <w:r>
        <w:rPr>
          <w:spacing w:val="-2"/>
        </w:rPr>
        <w:t>very</w:t>
      </w:r>
      <w:r>
        <w:rPr>
          <w:spacing w:val="-10"/>
        </w:rPr>
        <w:t> </w:t>
      </w:r>
      <w:r>
        <w:rPr>
          <w:spacing w:val="-2"/>
        </w:rPr>
        <w:t>identifiable</w:t>
      </w:r>
      <w:r>
        <w:rPr>
          <w:spacing w:val="-4"/>
        </w:rPr>
        <w:t> </w:t>
      </w:r>
      <w:r>
        <w:rPr>
          <w:spacing w:val="-2"/>
        </w:rPr>
        <w:t>framework</w:t>
      </w:r>
      <w:r>
        <w:rPr>
          <w:spacing w:val="-7"/>
        </w:rPr>
        <w:t> </w:t>
      </w:r>
      <w:r>
        <w:rPr>
          <w:spacing w:val="-2"/>
        </w:rPr>
        <w:t>for</w:t>
      </w:r>
      <w:r>
        <w:rPr>
          <w:spacing w:val="-3"/>
        </w:rPr>
        <w:t> </w:t>
      </w:r>
      <w:r>
        <w:rPr>
          <w:spacing w:val="-2"/>
        </w:rPr>
        <w:t>understanding</w:t>
      </w:r>
      <w:r>
        <w:rPr>
          <w:spacing w:val="-7"/>
        </w:rPr>
        <w:t> </w:t>
      </w:r>
      <w:r>
        <w:rPr>
          <w:spacing w:val="-2"/>
        </w:rPr>
        <w:t>how</w:t>
      </w:r>
      <w:r>
        <w:rPr>
          <w:spacing w:val="-7"/>
        </w:rPr>
        <w:t> </w:t>
      </w:r>
      <w:r>
        <w:rPr>
          <w:spacing w:val="-2"/>
        </w:rPr>
        <w:t>Shakespeare’s</w:t>
      </w:r>
      <w:r>
        <w:rPr>
          <w:spacing w:val="-7"/>
        </w:rPr>
        <w:t> </w:t>
      </w:r>
      <w:r>
        <w:rPr>
          <w:spacing w:val="-2"/>
        </w:rPr>
        <w:t>female </w:t>
      </w:r>
      <w:r>
        <w:rPr/>
        <w:t>characters can be reinterpreted in light of the challenges faced by women in today’s world. To date, no comprehensive attempt has been made to integrate women’s studies and feminist theory from the early </w:t>
      </w:r>
      <w:r>
        <w:rPr>
          <w:spacing w:val="-2"/>
        </w:rPr>
        <w:t>modern</w:t>
      </w:r>
      <w:r>
        <w:rPr>
          <w:spacing w:val="-7"/>
        </w:rPr>
        <w:t> </w:t>
      </w:r>
      <w:r>
        <w:rPr>
          <w:spacing w:val="-2"/>
        </w:rPr>
        <w:t>period with women’s</w:t>
      </w:r>
      <w:r>
        <w:rPr>
          <w:spacing w:val="-7"/>
        </w:rPr>
        <w:t> </w:t>
      </w:r>
      <w:r>
        <w:rPr>
          <w:spacing w:val="-2"/>
        </w:rPr>
        <w:t>studies</w:t>
      </w:r>
      <w:r>
        <w:rPr>
          <w:spacing w:val="-7"/>
        </w:rPr>
        <w:t> </w:t>
      </w:r>
      <w:r>
        <w:rPr>
          <w:spacing w:val="-2"/>
        </w:rPr>
        <w:t>and feminist</w:t>
      </w:r>
      <w:r>
        <w:rPr>
          <w:spacing w:val="-4"/>
        </w:rPr>
        <w:t> </w:t>
      </w:r>
      <w:r>
        <w:rPr>
          <w:spacing w:val="-2"/>
        </w:rPr>
        <w:t>thinking</w:t>
      </w:r>
      <w:r>
        <w:rPr>
          <w:spacing w:val="-4"/>
        </w:rPr>
        <w:t> </w:t>
      </w:r>
      <w:r>
        <w:rPr>
          <w:spacing w:val="-2"/>
        </w:rPr>
        <w:t>in</w:t>
      </w:r>
      <w:r>
        <w:rPr>
          <w:spacing w:val="-7"/>
        </w:rPr>
        <w:t> </w:t>
      </w:r>
      <w:r>
        <w:rPr>
          <w:spacing w:val="-2"/>
        </w:rPr>
        <w:t>the</w:t>
      </w:r>
      <w:r>
        <w:rPr>
          <w:spacing w:val="-7"/>
        </w:rPr>
        <w:t> </w:t>
      </w:r>
      <w:r>
        <w:rPr>
          <w:spacing w:val="-2"/>
        </w:rPr>
        <w:t>modern </w:t>
      </w:r>
      <w:r>
        <w:rPr/>
        <w:t>age. Most existing work in women’s studies has fallen either within the realm of textual analysis and interpretation of Shakespeare’s plays or within the realm of theoretical constructs regarding the productions of Shakespeare’s plays. In this study, I will work towards filling the void left by</w:t>
      </w:r>
      <w:r>
        <w:rPr>
          <w:spacing w:val="-4"/>
        </w:rPr>
        <w:t> </w:t>
      </w:r>
      <w:r>
        <w:rPr/>
        <w:t>these</w:t>
      </w:r>
      <w:r>
        <w:rPr>
          <w:spacing w:val="-4"/>
        </w:rPr>
        <w:t> </w:t>
      </w:r>
      <w:r>
        <w:rPr/>
        <w:t>studies</w:t>
      </w:r>
      <w:r>
        <w:rPr>
          <w:spacing w:val="-2"/>
        </w:rPr>
        <w:t> </w:t>
      </w:r>
      <w:r>
        <w:rPr/>
        <w:t>by</w:t>
      </w:r>
      <w:r>
        <w:rPr>
          <w:spacing w:val="-4"/>
        </w:rPr>
        <w:t> </w:t>
      </w:r>
      <w:r>
        <w:rPr/>
        <w:t>exploring how</w:t>
      </w:r>
      <w:r>
        <w:rPr>
          <w:spacing w:val="-4"/>
        </w:rPr>
        <w:t> </w:t>
      </w:r>
      <w:r>
        <w:rPr/>
        <w:t>the social</w:t>
      </w:r>
      <w:r>
        <w:rPr>
          <w:spacing w:val="-2"/>
        </w:rPr>
        <w:t> </w:t>
      </w:r>
      <w:r>
        <w:rPr/>
        <w:t>and political</w:t>
      </w:r>
      <w:r>
        <w:rPr>
          <w:spacing w:val="-1"/>
        </w:rPr>
        <w:t> </w:t>
      </w:r>
      <w:r>
        <w:rPr/>
        <w:t>landscape created by the #MeToo movement influences the interpretation of Shakespeare’s female </w:t>
      </w:r>
      <w:r>
        <w:rPr>
          <w:spacing w:val="9"/>
        </w:rPr>
        <w:t>characters</w:t>
      </w:r>
      <w:r>
        <w:rPr>
          <w:spacing w:val="9"/>
        </w:rPr>
        <w:t> </w:t>
      </w:r>
      <w:r>
        <w:rPr/>
        <w:t>by utilizing feminist theory, psychoanalytic</w:t>
      </w:r>
      <w:r>
        <w:rPr>
          <w:spacing w:val="40"/>
        </w:rPr>
        <w:t> </w:t>
      </w:r>
      <w:r>
        <w:rPr/>
        <w:t>theory,</w:t>
      </w:r>
      <w:r>
        <w:rPr>
          <w:spacing w:val="40"/>
        </w:rPr>
        <w:t> </w:t>
      </w:r>
      <w:r>
        <w:rPr/>
        <w:t>and</w:t>
      </w:r>
      <w:r>
        <w:rPr>
          <w:spacing w:val="40"/>
        </w:rPr>
        <w:t> </w:t>
      </w:r>
      <w:r>
        <w:rPr/>
        <w:t>the</w:t>
      </w:r>
      <w:r>
        <w:rPr>
          <w:spacing w:val="40"/>
        </w:rPr>
        <w:t> </w:t>
      </w:r>
      <w:r>
        <w:rPr/>
        <w:t>cultural</w:t>
      </w:r>
      <w:r>
        <w:rPr>
          <w:spacing w:val="40"/>
        </w:rPr>
        <w:t> </w:t>
      </w:r>
      <w:r>
        <w:rPr/>
        <w:t>context</w:t>
      </w:r>
      <w:r>
        <w:rPr>
          <w:spacing w:val="40"/>
        </w:rPr>
        <w:t> </w:t>
      </w:r>
      <w:r>
        <w:rPr/>
        <w:t>of</w:t>
      </w:r>
      <w:r>
        <w:rPr>
          <w:spacing w:val="40"/>
        </w:rPr>
        <w:t> </w:t>
      </w:r>
      <w:r>
        <w:rPr/>
        <w:t>his</w:t>
      </w:r>
      <w:r>
        <w:rPr>
          <w:spacing w:val="40"/>
        </w:rPr>
        <w:t> </w:t>
      </w:r>
      <w:r>
        <w:rPr/>
        <w:t>plays.</w:t>
      </w:r>
    </w:p>
    <w:p>
      <w:pPr>
        <w:pStyle w:val="Heading3"/>
        <w:spacing w:before="169"/>
      </w:pPr>
      <w:r>
        <w:rPr>
          <w:spacing w:val="-2"/>
        </w:rPr>
        <w:t>CONCLUSION:</w:t>
      </w:r>
    </w:p>
    <w:p>
      <w:pPr>
        <w:pStyle w:val="BodyText"/>
        <w:spacing w:line="249" w:lineRule="auto" w:before="78"/>
        <w:ind w:right="1437" w:firstLine="432"/>
        <w:jc w:val="both"/>
      </w:pPr>
      <w:r>
        <w:rPr/>
        <w:t>In</w:t>
      </w:r>
      <w:r>
        <w:rPr>
          <w:spacing w:val="-3"/>
        </w:rPr>
        <w:t> </w:t>
      </w:r>
      <w:r>
        <w:rPr/>
        <w:t>conclusion,</w:t>
      </w:r>
      <w:r>
        <w:rPr>
          <w:spacing w:val="-1"/>
        </w:rPr>
        <w:t> </w:t>
      </w:r>
      <w:r>
        <w:rPr/>
        <w:t>this research</w:t>
      </w:r>
      <w:r>
        <w:rPr>
          <w:spacing w:val="-3"/>
        </w:rPr>
        <w:t> </w:t>
      </w:r>
      <w:r>
        <w:rPr/>
        <w:t>paper</w:t>
      </w:r>
      <w:r>
        <w:rPr>
          <w:spacing w:val="-1"/>
        </w:rPr>
        <w:t> </w:t>
      </w:r>
      <w:r>
        <w:rPr/>
        <w:t>posits</w:t>
      </w:r>
      <w:r>
        <w:rPr>
          <w:spacing w:val="-1"/>
        </w:rPr>
        <w:t> </w:t>
      </w:r>
      <w:r>
        <w:rPr/>
        <w:t>that the</w:t>
      </w:r>
      <w:r>
        <w:rPr>
          <w:spacing w:val="-1"/>
        </w:rPr>
        <w:t> </w:t>
      </w:r>
      <w:r>
        <w:rPr/>
        <w:t>female</w:t>
      </w:r>
      <w:r>
        <w:rPr>
          <w:spacing w:val="-1"/>
        </w:rPr>
        <w:t> </w:t>
      </w:r>
      <w:r>
        <w:rPr/>
        <w:t>characters in</w:t>
      </w:r>
      <w:r>
        <w:rPr>
          <w:spacing w:val="-13"/>
        </w:rPr>
        <w:t> </w:t>
      </w:r>
      <w:r>
        <w:rPr/>
        <w:t>Shakespeare’s</w:t>
      </w:r>
      <w:r>
        <w:rPr>
          <w:spacing w:val="-12"/>
        </w:rPr>
        <w:t> </w:t>
      </w:r>
      <w:r>
        <w:rPr/>
        <w:t>works</w:t>
      </w:r>
      <w:r>
        <w:rPr>
          <w:spacing w:val="-13"/>
        </w:rPr>
        <w:t> </w:t>
      </w:r>
      <w:r>
        <w:rPr/>
        <w:t>should</w:t>
      </w:r>
      <w:r>
        <w:rPr>
          <w:spacing w:val="-12"/>
        </w:rPr>
        <w:t> </w:t>
      </w:r>
      <w:r>
        <w:rPr/>
        <w:t>not</w:t>
      </w:r>
      <w:r>
        <w:rPr>
          <w:spacing w:val="-13"/>
        </w:rPr>
        <w:t> </w:t>
      </w:r>
      <w:r>
        <w:rPr/>
        <w:t>be</w:t>
      </w:r>
      <w:r>
        <w:rPr>
          <w:spacing w:val="-12"/>
        </w:rPr>
        <w:t> </w:t>
      </w:r>
      <w:r>
        <w:rPr/>
        <w:t>seen</w:t>
      </w:r>
      <w:r>
        <w:rPr>
          <w:spacing w:val="-13"/>
        </w:rPr>
        <w:t> </w:t>
      </w:r>
      <w:r>
        <w:rPr/>
        <w:t>merely</w:t>
      </w:r>
      <w:r>
        <w:rPr>
          <w:spacing w:val="-12"/>
        </w:rPr>
        <w:t> </w:t>
      </w:r>
      <w:r>
        <w:rPr/>
        <w:t>as</w:t>
      </w:r>
      <w:r>
        <w:rPr>
          <w:spacing w:val="-13"/>
        </w:rPr>
        <w:t> </w:t>
      </w:r>
      <w:r>
        <w:rPr/>
        <w:t>passive</w:t>
      </w:r>
      <w:r>
        <w:rPr>
          <w:spacing w:val="-12"/>
        </w:rPr>
        <w:t> </w:t>
      </w:r>
      <w:r>
        <w:rPr/>
        <w:t>individuals, but</w:t>
      </w:r>
      <w:r>
        <w:rPr>
          <w:spacing w:val="24"/>
        </w:rPr>
        <w:t> </w:t>
      </w:r>
      <w:r>
        <w:rPr/>
        <w:t>as</w:t>
      </w:r>
      <w:r>
        <w:rPr>
          <w:spacing w:val="22"/>
        </w:rPr>
        <w:t> </w:t>
      </w:r>
      <w:r>
        <w:rPr/>
        <w:t>active</w:t>
      </w:r>
      <w:r>
        <w:rPr>
          <w:spacing w:val="25"/>
        </w:rPr>
        <w:t> </w:t>
      </w:r>
      <w:r>
        <w:rPr/>
        <w:t>negotiators</w:t>
      </w:r>
      <w:r>
        <w:rPr>
          <w:spacing w:val="25"/>
        </w:rPr>
        <w:t> </w:t>
      </w:r>
      <w:r>
        <w:rPr/>
        <w:t>of</w:t>
      </w:r>
      <w:r>
        <w:rPr>
          <w:spacing w:val="23"/>
        </w:rPr>
        <w:t> </w:t>
      </w:r>
      <w:r>
        <w:rPr/>
        <w:t>power.</w:t>
      </w:r>
      <w:r>
        <w:rPr>
          <w:spacing w:val="23"/>
        </w:rPr>
        <w:t> </w:t>
      </w:r>
      <w:r>
        <w:rPr/>
        <w:t>By</w:t>
      </w:r>
      <w:r>
        <w:rPr>
          <w:spacing w:val="21"/>
        </w:rPr>
        <w:t> </w:t>
      </w:r>
      <w:r>
        <w:rPr/>
        <w:t>connecting</w:t>
      </w:r>
      <w:r>
        <w:rPr>
          <w:spacing w:val="25"/>
        </w:rPr>
        <w:t> </w:t>
      </w:r>
      <w:r>
        <w:rPr/>
        <w:t>the</w:t>
      </w:r>
      <w:r>
        <w:rPr>
          <w:spacing w:val="26"/>
        </w:rPr>
        <w:t> </w:t>
      </w:r>
      <w:r>
        <w:rPr/>
        <w:t>works</w:t>
      </w:r>
      <w:r>
        <w:rPr>
          <w:spacing w:val="21"/>
        </w:rPr>
        <w:t> </w:t>
      </w:r>
      <w:r>
        <w:rPr/>
        <w:t>of</w:t>
      </w:r>
      <w:r>
        <w:rPr>
          <w:spacing w:val="22"/>
        </w:rPr>
        <w:t> </w:t>
      </w:r>
      <w:r>
        <w:rPr>
          <w:spacing w:val="-2"/>
        </w:rPr>
        <w:t>early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58848">
                <wp:simplePos x="0" y="0"/>
                <wp:positionH relativeFrom="page">
                  <wp:posOffset>2057400</wp:posOffset>
                </wp:positionH>
                <wp:positionV relativeFrom="paragraph">
                  <wp:posOffset>162604</wp:posOffset>
                </wp:positionV>
                <wp:extent cx="3657600" cy="12700"/>
                <wp:effectExtent l="0" t="0" r="0" b="0"/>
                <wp:wrapTopAndBottom/>
                <wp:docPr id="490" name="Graphic 490"/>
                <wp:cNvGraphicFramePr>
                  <a:graphicFrameLocks/>
                </wp:cNvGraphicFramePr>
                <a:graphic>
                  <a:graphicData uri="http://schemas.microsoft.com/office/word/2010/wordprocessingShape">
                    <wps:wsp>
                      <wps:cNvPr id="490" name="Graphic 49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57632;mso-wrap-distance-left:0;mso-wrap-distance-right:0" id="docshape485" filled="true" fillcolor="#000000" stroked="false">
                <v:fill type="solid"/>
                <w10:wrap type="topAndBottom"/>
              </v:rect>
            </w:pict>
          </mc:Fallback>
        </mc:AlternateContent>
      </w:r>
      <w:r>
        <w:rPr>
          <w:rFonts w:ascii="Verdana"/>
          <w:spacing w:val="-5"/>
          <w:sz w:val="18"/>
        </w:rPr>
        <w:t>222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modern authors with current feminist theory, the research demonstrates that literature functions as a critical resource for the ongoing fight for self-expression, agency, and equality (Butler, 1990).</w:t>
      </w:r>
    </w:p>
    <w:p>
      <w:pPr>
        <w:pStyle w:val="Heading3"/>
        <w:spacing w:before="156"/>
      </w:pPr>
      <w:r>
        <w:rPr>
          <w:spacing w:val="-2"/>
          <w:w w:val="95"/>
        </w:rPr>
        <w:t>REFERENCES</w:t>
      </w:r>
    </w:p>
    <w:p>
      <w:pPr>
        <w:pStyle w:val="ListParagraph"/>
        <w:numPr>
          <w:ilvl w:val="0"/>
          <w:numId w:val="42"/>
        </w:numPr>
        <w:tabs>
          <w:tab w:pos="2157" w:val="left" w:leader="none"/>
        </w:tabs>
        <w:spacing w:line="240" w:lineRule="auto" w:before="82" w:after="0"/>
        <w:ind w:left="2157" w:right="0" w:hanging="312"/>
        <w:jc w:val="left"/>
        <w:rPr>
          <w:sz w:val="19"/>
        </w:rPr>
      </w:pPr>
      <w:r>
        <w:rPr>
          <w:sz w:val="19"/>
        </w:rPr>
        <w:t>Butler,</w:t>
      </w:r>
      <w:r>
        <w:rPr>
          <w:spacing w:val="36"/>
          <w:sz w:val="19"/>
        </w:rPr>
        <w:t> </w:t>
      </w:r>
      <w:r>
        <w:rPr>
          <w:sz w:val="19"/>
        </w:rPr>
        <w:t>J.</w:t>
      </w:r>
      <w:r>
        <w:rPr>
          <w:spacing w:val="37"/>
          <w:sz w:val="19"/>
        </w:rPr>
        <w:t> </w:t>
      </w:r>
      <w:r>
        <w:rPr>
          <w:sz w:val="19"/>
        </w:rPr>
        <w:t>(1990).</w:t>
      </w:r>
      <w:r>
        <w:rPr>
          <w:spacing w:val="37"/>
          <w:sz w:val="19"/>
        </w:rPr>
        <w:t> </w:t>
      </w:r>
      <w:r>
        <w:rPr>
          <w:i/>
          <w:sz w:val="19"/>
        </w:rPr>
        <w:t>Gender</w:t>
      </w:r>
      <w:r>
        <w:rPr>
          <w:i/>
          <w:spacing w:val="36"/>
          <w:sz w:val="19"/>
        </w:rPr>
        <w:t> </w:t>
      </w:r>
      <w:r>
        <w:rPr>
          <w:i/>
          <w:sz w:val="19"/>
        </w:rPr>
        <w:t>trouble</w:t>
      </w:r>
      <w:r>
        <w:rPr>
          <w:sz w:val="19"/>
        </w:rPr>
        <w:t>.</w:t>
      </w:r>
      <w:r>
        <w:rPr>
          <w:spacing w:val="39"/>
          <w:sz w:val="19"/>
        </w:rPr>
        <w:t> </w:t>
      </w:r>
      <w:r>
        <w:rPr>
          <w:spacing w:val="-2"/>
          <w:sz w:val="19"/>
        </w:rPr>
        <w:t>Routledge.</w:t>
      </w:r>
    </w:p>
    <w:p>
      <w:pPr>
        <w:pStyle w:val="ListParagraph"/>
        <w:numPr>
          <w:ilvl w:val="0"/>
          <w:numId w:val="42"/>
        </w:numPr>
        <w:tabs>
          <w:tab w:pos="2157" w:val="left" w:leader="none"/>
          <w:tab w:pos="2160" w:val="left" w:leader="none"/>
        </w:tabs>
        <w:spacing w:line="261" w:lineRule="auto" w:before="79" w:after="0"/>
        <w:ind w:left="2160" w:right="1437" w:hanging="315"/>
        <w:jc w:val="left"/>
        <w:rPr>
          <w:sz w:val="19"/>
        </w:rPr>
      </w:pPr>
      <w:r>
        <w:rPr>
          <w:sz w:val="19"/>
        </w:rPr>
        <w:t>Freud,</w:t>
      </w:r>
      <w:r>
        <w:rPr>
          <w:spacing w:val="80"/>
          <w:sz w:val="19"/>
        </w:rPr>
        <w:t> </w:t>
      </w:r>
      <w:r>
        <w:rPr>
          <w:sz w:val="19"/>
        </w:rPr>
        <w:t>S.</w:t>
      </w:r>
      <w:r>
        <w:rPr>
          <w:spacing w:val="80"/>
          <w:sz w:val="19"/>
        </w:rPr>
        <w:t> </w:t>
      </w:r>
      <w:r>
        <w:rPr>
          <w:sz w:val="19"/>
        </w:rPr>
        <w:t>(1957).</w:t>
      </w:r>
      <w:r>
        <w:rPr>
          <w:spacing w:val="80"/>
          <w:sz w:val="19"/>
        </w:rPr>
        <w:t> </w:t>
      </w:r>
      <w:r>
        <w:rPr>
          <w:i/>
          <w:sz w:val="19"/>
        </w:rPr>
        <w:t>Introductory</w:t>
      </w:r>
      <w:r>
        <w:rPr>
          <w:i/>
          <w:spacing w:val="80"/>
          <w:sz w:val="19"/>
        </w:rPr>
        <w:t> </w:t>
      </w:r>
      <w:r>
        <w:rPr>
          <w:i/>
          <w:sz w:val="19"/>
        </w:rPr>
        <w:t>lectures</w:t>
      </w:r>
      <w:r>
        <w:rPr>
          <w:i/>
          <w:spacing w:val="80"/>
          <w:sz w:val="19"/>
        </w:rPr>
        <w:t> </w:t>
      </w:r>
      <w:r>
        <w:rPr>
          <w:i/>
          <w:sz w:val="19"/>
        </w:rPr>
        <w:t>on</w:t>
      </w:r>
      <w:r>
        <w:rPr>
          <w:i/>
          <w:spacing w:val="80"/>
          <w:sz w:val="19"/>
        </w:rPr>
        <w:t> </w:t>
      </w:r>
      <w:r>
        <w:rPr>
          <w:i/>
          <w:sz w:val="19"/>
        </w:rPr>
        <w:t>psychoanalysis </w:t>
      </w:r>
      <w:r>
        <w:rPr>
          <w:sz w:val="19"/>
        </w:rPr>
        <w:t>(Original</w:t>
      </w:r>
      <w:r>
        <w:rPr>
          <w:spacing w:val="40"/>
          <w:sz w:val="19"/>
        </w:rPr>
        <w:t> </w:t>
      </w:r>
      <w:r>
        <w:rPr>
          <w:sz w:val="19"/>
        </w:rPr>
        <w:t>work</w:t>
      </w:r>
      <w:r>
        <w:rPr>
          <w:spacing w:val="40"/>
          <w:sz w:val="19"/>
        </w:rPr>
        <w:t> </w:t>
      </w:r>
      <w:r>
        <w:rPr>
          <w:sz w:val="19"/>
        </w:rPr>
        <w:t>published</w:t>
      </w:r>
      <w:r>
        <w:rPr>
          <w:spacing w:val="40"/>
          <w:sz w:val="19"/>
        </w:rPr>
        <w:t> </w:t>
      </w:r>
      <w:r>
        <w:rPr>
          <w:sz w:val="19"/>
        </w:rPr>
        <w:t>1917).</w:t>
      </w:r>
    </w:p>
    <w:p>
      <w:pPr>
        <w:pStyle w:val="ListParagraph"/>
        <w:numPr>
          <w:ilvl w:val="0"/>
          <w:numId w:val="42"/>
        </w:numPr>
        <w:tabs>
          <w:tab w:pos="2157" w:val="left" w:leader="none"/>
        </w:tabs>
        <w:spacing w:line="240" w:lineRule="auto" w:before="57" w:after="0"/>
        <w:ind w:left="2157" w:right="0" w:hanging="312"/>
        <w:jc w:val="left"/>
        <w:rPr>
          <w:sz w:val="19"/>
        </w:rPr>
      </w:pPr>
      <w:r>
        <w:rPr>
          <w:sz w:val="19"/>
        </w:rPr>
        <w:t>hooks,</w:t>
      </w:r>
      <w:r>
        <w:rPr>
          <w:spacing w:val="26"/>
          <w:sz w:val="19"/>
        </w:rPr>
        <w:t> </w:t>
      </w:r>
      <w:r>
        <w:rPr>
          <w:sz w:val="19"/>
        </w:rPr>
        <w:t>b.</w:t>
      </w:r>
      <w:r>
        <w:rPr>
          <w:spacing w:val="28"/>
          <w:sz w:val="19"/>
        </w:rPr>
        <w:t> </w:t>
      </w:r>
      <w:r>
        <w:rPr>
          <w:sz w:val="19"/>
        </w:rPr>
        <w:t>(2000).</w:t>
      </w:r>
      <w:r>
        <w:rPr>
          <w:spacing w:val="27"/>
          <w:sz w:val="19"/>
        </w:rPr>
        <w:t> </w:t>
      </w:r>
      <w:r>
        <w:rPr>
          <w:i/>
          <w:sz w:val="19"/>
        </w:rPr>
        <w:t>Feminism</w:t>
      </w:r>
      <w:r>
        <w:rPr>
          <w:i/>
          <w:spacing w:val="26"/>
          <w:sz w:val="19"/>
        </w:rPr>
        <w:t> </w:t>
      </w:r>
      <w:r>
        <w:rPr>
          <w:i/>
          <w:sz w:val="19"/>
        </w:rPr>
        <w:t>is</w:t>
      </w:r>
      <w:r>
        <w:rPr>
          <w:i/>
          <w:spacing w:val="26"/>
          <w:sz w:val="19"/>
        </w:rPr>
        <w:t> </w:t>
      </w:r>
      <w:r>
        <w:rPr>
          <w:i/>
          <w:sz w:val="19"/>
        </w:rPr>
        <w:t>for</w:t>
      </w:r>
      <w:r>
        <w:rPr>
          <w:i/>
          <w:spacing w:val="28"/>
          <w:sz w:val="19"/>
        </w:rPr>
        <w:t> </w:t>
      </w:r>
      <w:r>
        <w:rPr>
          <w:i/>
          <w:sz w:val="19"/>
        </w:rPr>
        <w:t>everybody</w:t>
      </w:r>
      <w:r>
        <w:rPr>
          <w:sz w:val="19"/>
        </w:rPr>
        <w:t>.</w:t>
      </w:r>
      <w:r>
        <w:rPr>
          <w:spacing w:val="29"/>
          <w:sz w:val="19"/>
        </w:rPr>
        <w:t> </w:t>
      </w:r>
      <w:r>
        <w:rPr>
          <w:sz w:val="19"/>
        </w:rPr>
        <w:t>South</w:t>
      </w:r>
      <w:r>
        <w:rPr>
          <w:spacing w:val="26"/>
          <w:sz w:val="19"/>
        </w:rPr>
        <w:t> </w:t>
      </w:r>
      <w:r>
        <w:rPr>
          <w:sz w:val="19"/>
        </w:rPr>
        <w:t>End</w:t>
      </w:r>
      <w:r>
        <w:rPr>
          <w:spacing w:val="30"/>
          <w:sz w:val="19"/>
        </w:rPr>
        <w:t> </w:t>
      </w:r>
      <w:r>
        <w:rPr>
          <w:spacing w:val="-2"/>
          <w:sz w:val="19"/>
        </w:rPr>
        <w:t>Press.</w:t>
      </w:r>
    </w:p>
    <w:p>
      <w:pPr>
        <w:pStyle w:val="ListParagraph"/>
        <w:numPr>
          <w:ilvl w:val="0"/>
          <w:numId w:val="42"/>
        </w:numPr>
        <w:tabs>
          <w:tab w:pos="2157" w:val="left" w:leader="none"/>
          <w:tab w:pos="2160" w:val="left" w:leader="none"/>
        </w:tabs>
        <w:spacing w:line="264" w:lineRule="auto" w:before="77" w:after="0"/>
        <w:ind w:left="2160" w:right="1438" w:hanging="315"/>
        <w:jc w:val="left"/>
        <w:rPr>
          <w:sz w:val="19"/>
        </w:rPr>
      </w:pPr>
      <w:r>
        <w:rPr>
          <w:sz w:val="19"/>
        </w:rPr>
        <w:t>Mendes,</w:t>
      </w:r>
      <w:r>
        <w:rPr>
          <w:spacing w:val="34"/>
          <w:sz w:val="19"/>
        </w:rPr>
        <w:t> </w:t>
      </w:r>
      <w:r>
        <w:rPr>
          <w:sz w:val="19"/>
        </w:rPr>
        <w:t>K.,</w:t>
      </w:r>
      <w:r>
        <w:rPr>
          <w:spacing w:val="34"/>
          <w:sz w:val="19"/>
        </w:rPr>
        <w:t> </w:t>
      </w:r>
      <w:r>
        <w:rPr>
          <w:sz w:val="19"/>
        </w:rPr>
        <w:t>Ringrose,</w:t>
      </w:r>
      <w:r>
        <w:rPr>
          <w:spacing w:val="34"/>
          <w:sz w:val="19"/>
        </w:rPr>
        <w:t> </w:t>
      </w:r>
      <w:r>
        <w:rPr>
          <w:sz w:val="19"/>
        </w:rPr>
        <w:t>J.,</w:t>
      </w:r>
      <w:r>
        <w:rPr>
          <w:spacing w:val="31"/>
          <w:sz w:val="19"/>
        </w:rPr>
        <w:t> </w:t>
      </w:r>
      <w:r>
        <w:rPr>
          <w:sz w:val="19"/>
        </w:rPr>
        <w:t>&amp;</w:t>
      </w:r>
      <w:r>
        <w:rPr>
          <w:spacing w:val="32"/>
          <w:sz w:val="19"/>
        </w:rPr>
        <w:t> </w:t>
      </w:r>
      <w:r>
        <w:rPr>
          <w:sz w:val="19"/>
        </w:rPr>
        <w:t>Keller,</w:t>
      </w:r>
      <w:r>
        <w:rPr>
          <w:spacing w:val="34"/>
          <w:sz w:val="19"/>
        </w:rPr>
        <w:t> </w:t>
      </w:r>
      <w:r>
        <w:rPr>
          <w:sz w:val="19"/>
        </w:rPr>
        <w:t>J.</w:t>
      </w:r>
      <w:r>
        <w:rPr>
          <w:spacing w:val="34"/>
          <w:sz w:val="19"/>
        </w:rPr>
        <w:t> </w:t>
      </w:r>
      <w:r>
        <w:rPr>
          <w:sz w:val="19"/>
        </w:rPr>
        <w:t>(2019).</w:t>
      </w:r>
      <w:r>
        <w:rPr>
          <w:spacing w:val="36"/>
          <w:sz w:val="19"/>
        </w:rPr>
        <w:t> </w:t>
      </w:r>
      <w:r>
        <w:rPr>
          <w:i/>
          <w:sz w:val="19"/>
        </w:rPr>
        <w:t>Digital</w:t>
      </w:r>
      <w:r>
        <w:rPr>
          <w:i/>
          <w:spacing w:val="32"/>
          <w:sz w:val="19"/>
        </w:rPr>
        <w:t> </w:t>
      </w:r>
      <w:r>
        <w:rPr>
          <w:i/>
          <w:sz w:val="19"/>
        </w:rPr>
        <w:t>feminist activism</w:t>
      </w:r>
      <w:r>
        <w:rPr>
          <w:sz w:val="19"/>
        </w:rPr>
        <w:t>.</w:t>
      </w:r>
      <w:r>
        <w:rPr>
          <w:spacing w:val="40"/>
          <w:sz w:val="19"/>
        </w:rPr>
        <w:t> </w:t>
      </w:r>
      <w:r>
        <w:rPr>
          <w:sz w:val="19"/>
        </w:rPr>
        <w:t>Oxford</w:t>
      </w:r>
      <w:r>
        <w:rPr>
          <w:spacing w:val="40"/>
          <w:sz w:val="19"/>
        </w:rPr>
        <w:t> </w:t>
      </w:r>
      <w:r>
        <w:rPr>
          <w:sz w:val="19"/>
        </w:rPr>
        <w:t>University</w:t>
      </w:r>
      <w:r>
        <w:rPr>
          <w:spacing w:val="40"/>
          <w:sz w:val="19"/>
        </w:rPr>
        <w:t> </w:t>
      </w:r>
      <w:r>
        <w:rPr>
          <w:sz w:val="19"/>
        </w:rPr>
        <w:t>Press.</w:t>
      </w:r>
    </w:p>
    <w:p>
      <w:pPr>
        <w:pStyle w:val="ListParagraph"/>
        <w:numPr>
          <w:ilvl w:val="0"/>
          <w:numId w:val="42"/>
        </w:numPr>
        <w:tabs>
          <w:tab w:pos="2157" w:val="left" w:leader="none"/>
        </w:tabs>
        <w:spacing w:line="240" w:lineRule="auto" w:before="54" w:after="0"/>
        <w:ind w:left="2157" w:right="0" w:hanging="312"/>
        <w:jc w:val="left"/>
        <w:rPr>
          <w:sz w:val="19"/>
        </w:rPr>
      </w:pPr>
      <w:r>
        <w:rPr>
          <w:sz w:val="19"/>
        </w:rPr>
        <w:t>Neely,</w:t>
      </w:r>
      <w:r>
        <w:rPr>
          <w:spacing w:val="-6"/>
          <w:sz w:val="19"/>
        </w:rPr>
        <w:t> </w:t>
      </w:r>
      <w:r>
        <w:rPr>
          <w:sz w:val="19"/>
        </w:rPr>
        <w:t>C.</w:t>
      </w:r>
      <w:r>
        <w:rPr>
          <w:spacing w:val="-10"/>
          <w:sz w:val="19"/>
        </w:rPr>
        <w:t> </w:t>
      </w:r>
      <w:r>
        <w:rPr>
          <w:sz w:val="19"/>
        </w:rPr>
        <w:t>T.</w:t>
      </w:r>
      <w:r>
        <w:rPr>
          <w:spacing w:val="-6"/>
          <w:sz w:val="19"/>
        </w:rPr>
        <w:t> </w:t>
      </w:r>
      <w:r>
        <w:rPr>
          <w:sz w:val="19"/>
        </w:rPr>
        <w:t>(2004).</w:t>
      </w:r>
      <w:r>
        <w:rPr>
          <w:spacing w:val="-5"/>
          <w:sz w:val="19"/>
        </w:rPr>
        <w:t> </w:t>
      </w:r>
      <w:r>
        <w:rPr>
          <w:i/>
          <w:sz w:val="19"/>
        </w:rPr>
        <w:t>Distracted</w:t>
      </w:r>
      <w:r>
        <w:rPr>
          <w:i/>
          <w:spacing w:val="-6"/>
          <w:sz w:val="19"/>
        </w:rPr>
        <w:t> </w:t>
      </w:r>
      <w:r>
        <w:rPr>
          <w:i/>
          <w:sz w:val="19"/>
        </w:rPr>
        <w:t>subjects</w:t>
      </w:r>
      <w:r>
        <w:rPr>
          <w:sz w:val="19"/>
        </w:rPr>
        <w:t>.</w:t>
      </w:r>
      <w:r>
        <w:rPr>
          <w:spacing w:val="-5"/>
          <w:sz w:val="19"/>
        </w:rPr>
        <w:t> </w:t>
      </w:r>
      <w:r>
        <w:rPr>
          <w:sz w:val="19"/>
        </w:rPr>
        <w:t>Cornell</w:t>
      </w:r>
      <w:r>
        <w:rPr>
          <w:spacing w:val="-7"/>
          <w:sz w:val="19"/>
        </w:rPr>
        <w:t> </w:t>
      </w:r>
      <w:r>
        <w:rPr>
          <w:sz w:val="19"/>
        </w:rPr>
        <w:t>University</w:t>
      </w:r>
      <w:r>
        <w:rPr>
          <w:spacing w:val="-12"/>
          <w:sz w:val="19"/>
        </w:rPr>
        <w:t> </w:t>
      </w:r>
      <w:r>
        <w:rPr>
          <w:spacing w:val="-2"/>
          <w:sz w:val="19"/>
        </w:rPr>
        <w:t>Press.</w:t>
      </w:r>
    </w:p>
    <w:p>
      <w:pPr>
        <w:pStyle w:val="ListParagraph"/>
        <w:numPr>
          <w:ilvl w:val="0"/>
          <w:numId w:val="42"/>
        </w:numPr>
        <w:tabs>
          <w:tab w:pos="2157" w:val="left" w:leader="none"/>
        </w:tabs>
        <w:spacing w:line="240" w:lineRule="auto" w:before="77" w:after="0"/>
        <w:ind w:left="2157" w:right="0" w:hanging="312"/>
        <w:jc w:val="left"/>
        <w:rPr>
          <w:sz w:val="19"/>
        </w:rPr>
      </w:pPr>
      <w:r>
        <w:rPr>
          <w:sz w:val="19"/>
        </w:rPr>
        <w:t>Showalter,</w:t>
      </w:r>
      <w:r>
        <w:rPr>
          <w:spacing w:val="25"/>
          <w:sz w:val="19"/>
        </w:rPr>
        <w:t> </w:t>
      </w:r>
      <w:r>
        <w:rPr>
          <w:sz w:val="19"/>
        </w:rPr>
        <w:t>E.</w:t>
      </w:r>
      <w:r>
        <w:rPr>
          <w:spacing w:val="25"/>
          <w:sz w:val="19"/>
        </w:rPr>
        <w:t> </w:t>
      </w:r>
      <w:r>
        <w:rPr>
          <w:sz w:val="19"/>
        </w:rPr>
        <w:t>(1985).</w:t>
      </w:r>
      <w:r>
        <w:rPr>
          <w:spacing w:val="26"/>
          <w:sz w:val="19"/>
        </w:rPr>
        <w:t> </w:t>
      </w:r>
      <w:r>
        <w:rPr>
          <w:i/>
          <w:sz w:val="19"/>
        </w:rPr>
        <w:t>The</w:t>
      </w:r>
      <w:r>
        <w:rPr>
          <w:i/>
          <w:spacing w:val="25"/>
          <w:sz w:val="19"/>
        </w:rPr>
        <w:t> </w:t>
      </w:r>
      <w:r>
        <w:rPr>
          <w:i/>
          <w:sz w:val="19"/>
        </w:rPr>
        <w:t>female</w:t>
      </w:r>
      <w:r>
        <w:rPr>
          <w:i/>
          <w:spacing w:val="28"/>
          <w:sz w:val="19"/>
        </w:rPr>
        <w:t> </w:t>
      </w:r>
      <w:r>
        <w:rPr>
          <w:i/>
          <w:spacing w:val="-2"/>
          <w:sz w:val="19"/>
        </w:rPr>
        <w:t>malady</w:t>
      </w:r>
      <w:r>
        <w:rPr>
          <w:spacing w:val="-2"/>
          <w:sz w:val="19"/>
        </w:rPr>
        <w:t>.</w:t>
      </w:r>
    </w:p>
    <w:p>
      <w:pPr>
        <w:pStyle w:val="ListParagraph"/>
        <w:numPr>
          <w:ilvl w:val="0"/>
          <w:numId w:val="42"/>
        </w:numPr>
        <w:tabs>
          <w:tab w:pos="2157" w:val="left" w:leader="none"/>
        </w:tabs>
        <w:spacing w:line="240" w:lineRule="auto" w:before="79" w:after="0"/>
        <w:ind w:left="2157" w:right="0" w:hanging="312"/>
        <w:jc w:val="left"/>
        <w:rPr>
          <w:sz w:val="19"/>
        </w:rPr>
      </w:pPr>
      <w:r>
        <w:rPr>
          <w:sz w:val="19"/>
        </w:rPr>
        <w:t>Shakespeare,</w:t>
      </w:r>
      <w:r>
        <w:rPr>
          <w:spacing w:val="43"/>
          <w:sz w:val="19"/>
        </w:rPr>
        <w:t> </w:t>
      </w:r>
      <w:r>
        <w:rPr>
          <w:sz w:val="19"/>
        </w:rPr>
        <w:t>W.</w:t>
      </w:r>
      <w:r>
        <w:rPr>
          <w:spacing w:val="45"/>
          <w:sz w:val="19"/>
        </w:rPr>
        <w:t> </w:t>
      </w:r>
      <w:r>
        <w:rPr>
          <w:sz w:val="19"/>
        </w:rPr>
        <w:t>(2004–2006).</w:t>
      </w:r>
      <w:r>
        <w:rPr>
          <w:spacing w:val="46"/>
          <w:sz w:val="19"/>
        </w:rPr>
        <w:t> </w:t>
      </w:r>
      <w:r>
        <w:rPr>
          <w:i/>
          <w:sz w:val="19"/>
        </w:rPr>
        <w:t>Collected</w:t>
      </w:r>
      <w:r>
        <w:rPr>
          <w:i/>
          <w:spacing w:val="46"/>
          <w:sz w:val="19"/>
        </w:rPr>
        <w:t> </w:t>
      </w:r>
      <w:r>
        <w:rPr>
          <w:i/>
          <w:spacing w:val="-2"/>
          <w:sz w:val="19"/>
        </w:rPr>
        <w:t>plays</w:t>
      </w:r>
      <w:r>
        <w:rPr>
          <w:spacing w:val="-2"/>
          <w:sz w:val="19"/>
        </w:rPr>
        <w:t>.</w:t>
      </w:r>
    </w:p>
    <w:p>
      <w:pPr>
        <w:pStyle w:val="ListParagraph"/>
        <w:spacing w:after="0" w:line="240"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24032">
                <wp:simplePos x="0" y="0"/>
                <wp:positionH relativeFrom="page">
                  <wp:posOffset>2057400</wp:posOffset>
                </wp:positionH>
                <wp:positionV relativeFrom="page">
                  <wp:posOffset>1788723</wp:posOffset>
                </wp:positionV>
                <wp:extent cx="3655060" cy="140335"/>
                <wp:effectExtent l="0" t="0" r="0" b="0"/>
                <wp:wrapNone/>
                <wp:docPr id="491" name="Textbox 491"/>
                <wp:cNvGraphicFramePr>
                  <a:graphicFrameLocks/>
                </wp:cNvGraphicFramePr>
                <a:graphic>
                  <a:graphicData uri="http://schemas.microsoft.com/office/word/2010/wordprocessingShape">
                    <wps:wsp>
                      <wps:cNvPr id="491" name="Textbox 491"/>
                      <wps:cNvSpPr txBox="1"/>
                      <wps:spPr>
                        <a:xfrm>
                          <a:off x="0" y="0"/>
                          <a:ext cx="3655060" cy="140335"/>
                        </a:xfrm>
                        <a:prstGeom prst="rect">
                          <a:avLst/>
                        </a:prstGeom>
                      </wps:spPr>
                      <wps:txbx>
                        <w:txbxContent>
                          <w:p>
                            <w:pPr>
                              <w:tabs>
                                <w:tab w:pos="5755" w:val="right" w:leader="none"/>
                              </w:tabs>
                              <w:spacing w:line="219" w:lineRule="exact" w:before="0"/>
                              <w:ind w:left="0" w:right="0" w:firstLine="0"/>
                              <w:jc w:val="left"/>
                              <w:rPr>
                                <w:rFonts w:ascii="Verdana"/>
                                <w:sz w:val="18"/>
                              </w:rPr>
                            </w:pPr>
                            <w:r>
                              <w:rPr>
                                <w:rFonts w:ascii="Verdana"/>
                                <w:sz w:val="18"/>
                              </w:rPr>
                              <w:t>Shadows</w:t>
                            </w:r>
                            <w:r>
                              <w:rPr>
                                <w:rFonts w:ascii="Verdana"/>
                                <w:spacing w:val="5"/>
                                <w:sz w:val="18"/>
                              </w:rPr>
                              <w:t> </w:t>
                            </w:r>
                            <w:r>
                              <w:rPr>
                                <w:rFonts w:ascii="Verdana"/>
                                <w:sz w:val="18"/>
                              </w:rPr>
                              <w:t>of</w:t>
                            </w:r>
                            <w:r>
                              <w:rPr>
                                <w:rFonts w:ascii="Verdana"/>
                                <w:spacing w:val="8"/>
                                <w:sz w:val="18"/>
                              </w:rPr>
                              <w:t> </w:t>
                            </w:r>
                            <w:r>
                              <w:rPr>
                                <w:rFonts w:ascii="Verdana"/>
                                <w:sz w:val="18"/>
                              </w:rPr>
                              <w:t>the</w:t>
                            </w:r>
                            <w:r>
                              <w:rPr>
                                <w:rFonts w:ascii="Verdana"/>
                                <w:spacing w:val="6"/>
                                <w:sz w:val="18"/>
                              </w:rPr>
                              <w:t> </w:t>
                            </w:r>
                            <w:r>
                              <w:rPr>
                                <w:rFonts w:ascii="Verdana"/>
                                <w:sz w:val="18"/>
                              </w:rPr>
                              <w:t>Tragic</w:t>
                            </w:r>
                            <w:r>
                              <w:rPr>
                                <w:rFonts w:ascii="Verdana"/>
                                <w:spacing w:val="6"/>
                                <w:sz w:val="18"/>
                              </w:rPr>
                              <w:t> </w:t>
                            </w:r>
                            <w:r>
                              <w:rPr>
                                <w:rFonts w:ascii="Verdana"/>
                                <w:sz w:val="18"/>
                              </w:rPr>
                              <w:t>Hero:</w:t>
                            </w:r>
                            <w:r>
                              <w:rPr>
                                <w:rFonts w:ascii="Verdana"/>
                                <w:spacing w:val="5"/>
                                <w:sz w:val="18"/>
                              </w:rPr>
                              <w:t> </w:t>
                            </w:r>
                            <w:r>
                              <w:rPr>
                                <w:rFonts w:ascii="Verdana"/>
                                <w:sz w:val="18"/>
                              </w:rPr>
                              <w:t>Female</w:t>
                            </w:r>
                            <w:r>
                              <w:rPr>
                                <w:rFonts w:ascii="Verdana"/>
                                <w:spacing w:val="5"/>
                                <w:sz w:val="18"/>
                              </w:rPr>
                              <w:t> </w:t>
                            </w:r>
                            <w:r>
                              <w:rPr>
                                <w:rFonts w:ascii="Verdana"/>
                                <w:sz w:val="18"/>
                              </w:rPr>
                              <w:t>Agency</w:t>
                            </w:r>
                            <w:r>
                              <w:rPr>
                                <w:rFonts w:ascii="Verdana"/>
                                <w:spacing w:val="5"/>
                                <w:sz w:val="18"/>
                              </w:rPr>
                              <w:t> </w:t>
                            </w:r>
                            <w:r>
                              <w:rPr>
                                <w:rFonts w:ascii="Verdana"/>
                                <w:sz w:val="18"/>
                              </w:rPr>
                              <w:t>and</w:t>
                            </w:r>
                            <w:r>
                              <w:rPr>
                                <w:rFonts w:ascii="Verdana"/>
                                <w:spacing w:val="7"/>
                                <w:sz w:val="18"/>
                              </w:rPr>
                              <w:t> </w:t>
                            </w:r>
                            <w:r>
                              <w:rPr>
                                <w:rFonts w:ascii="Verdana"/>
                                <w:spacing w:val="-5"/>
                                <w:sz w:val="18"/>
                              </w:rPr>
                              <w:t>...</w:t>
                            </w:r>
                            <w:r>
                              <w:rPr>
                                <w:sz w:val="18"/>
                              </w:rPr>
                              <w:tab/>
                            </w:r>
                            <w:r>
                              <w:rPr>
                                <w:rFonts w:ascii="Verdana"/>
                                <w:spacing w:val="-5"/>
                                <w:sz w:val="18"/>
                              </w:rPr>
                              <w:t>223</w:t>
                            </w:r>
                          </w:p>
                        </w:txbxContent>
                      </wps:txbx>
                      <wps:bodyPr wrap="square" lIns="0" tIns="0" rIns="0" bIns="0" rtlCol="0">
                        <a:noAutofit/>
                      </wps:bodyPr>
                    </wps:wsp>
                  </a:graphicData>
                </a:graphic>
              </wp:anchor>
            </w:drawing>
          </mc:Choice>
          <mc:Fallback>
            <w:pict>
              <v:shape style="position:absolute;margin-left:162pt;margin-top:140.844391pt;width:287.8pt;height:11.05pt;mso-position-horizontal-relative:page;mso-position-vertical-relative:page;z-index:-20392448" type="#_x0000_t202" id="docshape486" filled="false" stroked="false">
                <v:textbox inset="0,0,0,0">
                  <w:txbxContent>
                    <w:p>
                      <w:pPr>
                        <w:tabs>
                          <w:tab w:pos="5755" w:val="right" w:leader="none"/>
                        </w:tabs>
                        <w:spacing w:line="219" w:lineRule="exact" w:before="0"/>
                        <w:ind w:left="0" w:right="0" w:firstLine="0"/>
                        <w:jc w:val="left"/>
                        <w:rPr>
                          <w:rFonts w:ascii="Verdana"/>
                          <w:sz w:val="18"/>
                        </w:rPr>
                      </w:pPr>
                      <w:r>
                        <w:rPr>
                          <w:rFonts w:ascii="Verdana"/>
                          <w:sz w:val="18"/>
                        </w:rPr>
                        <w:t>Shadows</w:t>
                      </w:r>
                      <w:r>
                        <w:rPr>
                          <w:rFonts w:ascii="Verdana"/>
                          <w:spacing w:val="5"/>
                          <w:sz w:val="18"/>
                        </w:rPr>
                        <w:t> </w:t>
                      </w:r>
                      <w:r>
                        <w:rPr>
                          <w:rFonts w:ascii="Verdana"/>
                          <w:sz w:val="18"/>
                        </w:rPr>
                        <w:t>of</w:t>
                      </w:r>
                      <w:r>
                        <w:rPr>
                          <w:rFonts w:ascii="Verdana"/>
                          <w:spacing w:val="8"/>
                          <w:sz w:val="18"/>
                        </w:rPr>
                        <w:t> </w:t>
                      </w:r>
                      <w:r>
                        <w:rPr>
                          <w:rFonts w:ascii="Verdana"/>
                          <w:sz w:val="18"/>
                        </w:rPr>
                        <w:t>the</w:t>
                      </w:r>
                      <w:r>
                        <w:rPr>
                          <w:rFonts w:ascii="Verdana"/>
                          <w:spacing w:val="6"/>
                          <w:sz w:val="18"/>
                        </w:rPr>
                        <w:t> </w:t>
                      </w:r>
                      <w:r>
                        <w:rPr>
                          <w:rFonts w:ascii="Verdana"/>
                          <w:sz w:val="18"/>
                        </w:rPr>
                        <w:t>Tragic</w:t>
                      </w:r>
                      <w:r>
                        <w:rPr>
                          <w:rFonts w:ascii="Verdana"/>
                          <w:spacing w:val="6"/>
                          <w:sz w:val="18"/>
                        </w:rPr>
                        <w:t> </w:t>
                      </w:r>
                      <w:r>
                        <w:rPr>
                          <w:rFonts w:ascii="Verdana"/>
                          <w:sz w:val="18"/>
                        </w:rPr>
                        <w:t>Hero:</w:t>
                      </w:r>
                      <w:r>
                        <w:rPr>
                          <w:rFonts w:ascii="Verdana"/>
                          <w:spacing w:val="5"/>
                          <w:sz w:val="18"/>
                        </w:rPr>
                        <w:t> </w:t>
                      </w:r>
                      <w:r>
                        <w:rPr>
                          <w:rFonts w:ascii="Verdana"/>
                          <w:sz w:val="18"/>
                        </w:rPr>
                        <w:t>Female</w:t>
                      </w:r>
                      <w:r>
                        <w:rPr>
                          <w:rFonts w:ascii="Verdana"/>
                          <w:spacing w:val="5"/>
                          <w:sz w:val="18"/>
                        </w:rPr>
                        <w:t> </w:t>
                      </w:r>
                      <w:r>
                        <w:rPr>
                          <w:rFonts w:ascii="Verdana"/>
                          <w:sz w:val="18"/>
                        </w:rPr>
                        <w:t>Agency</w:t>
                      </w:r>
                      <w:r>
                        <w:rPr>
                          <w:rFonts w:ascii="Verdana"/>
                          <w:spacing w:val="5"/>
                          <w:sz w:val="18"/>
                        </w:rPr>
                        <w:t> </w:t>
                      </w:r>
                      <w:r>
                        <w:rPr>
                          <w:rFonts w:ascii="Verdana"/>
                          <w:sz w:val="18"/>
                        </w:rPr>
                        <w:t>and</w:t>
                      </w:r>
                      <w:r>
                        <w:rPr>
                          <w:rFonts w:ascii="Verdana"/>
                          <w:spacing w:val="7"/>
                          <w:sz w:val="18"/>
                        </w:rPr>
                        <w:t> </w:t>
                      </w:r>
                      <w:r>
                        <w:rPr>
                          <w:rFonts w:ascii="Verdana"/>
                          <w:spacing w:val="-5"/>
                          <w:sz w:val="18"/>
                        </w:rPr>
                        <w:t>...</w:t>
                      </w:r>
                      <w:r>
                        <w:rPr>
                          <w:sz w:val="18"/>
                        </w:rPr>
                        <w:tab/>
                      </w:r>
                      <w:r>
                        <w:rPr>
                          <w:rFonts w:ascii="Verdana"/>
                          <w:spacing w:val="-5"/>
                          <w:sz w:val="18"/>
                        </w:rPr>
                        <w:t>223</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3679" cy="699770"/>
                <wp:effectExtent l="0" t="0" r="0" b="0"/>
                <wp:docPr id="492" name="Group 492"/>
                <wp:cNvGraphicFramePr>
                  <a:graphicFrameLocks/>
                </wp:cNvGraphicFramePr>
                <a:graphic>
                  <a:graphicData uri="http://schemas.microsoft.com/office/word/2010/wordprocessingGroup">
                    <wpg:wgp>
                      <wpg:cNvPr id="492" name="Group 492"/>
                      <wpg:cNvGrpSpPr/>
                      <wpg:grpSpPr>
                        <a:xfrm>
                          <a:off x="0" y="0"/>
                          <a:ext cx="4043679" cy="699770"/>
                          <a:chExt cx="4043679" cy="699770"/>
                        </a:xfrm>
                      </wpg:grpSpPr>
                      <wps:wsp>
                        <wps:cNvPr id="493" name="Graphic 493"/>
                        <wps:cNvSpPr/>
                        <wps:spPr>
                          <a:xfrm>
                            <a:off x="0" y="0"/>
                            <a:ext cx="4043679" cy="699770"/>
                          </a:xfrm>
                          <a:custGeom>
                            <a:avLst/>
                            <a:gdLst/>
                            <a:ahLst/>
                            <a:cxnLst/>
                            <a:rect l="l" t="t" r="r" b="b"/>
                            <a:pathLst>
                              <a:path w="4043679" h="699770">
                                <a:moveTo>
                                  <a:pt x="4043172" y="699516"/>
                                </a:moveTo>
                                <a:lnTo>
                                  <a:pt x="0" y="699516"/>
                                </a:lnTo>
                                <a:lnTo>
                                  <a:pt x="0" y="0"/>
                                </a:lnTo>
                                <a:lnTo>
                                  <a:pt x="4043172" y="0"/>
                                </a:lnTo>
                                <a:lnTo>
                                  <a:pt x="4043172"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487" coordorigin="0,0" coordsize="6368,1102">
                <v:rect style="position:absolute;left:0;top:0;width:6368;height:1102" id="docshape488"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59872">
                <wp:simplePos x="0" y="0"/>
                <wp:positionH relativeFrom="page">
                  <wp:posOffset>3488435</wp:posOffset>
                </wp:positionH>
                <wp:positionV relativeFrom="paragraph">
                  <wp:posOffset>272922</wp:posOffset>
                </wp:positionV>
                <wp:extent cx="728980" cy="655320"/>
                <wp:effectExtent l="0" t="0" r="0" b="0"/>
                <wp:wrapTopAndBottom/>
                <wp:docPr id="494" name="Group 494"/>
                <wp:cNvGraphicFramePr>
                  <a:graphicFrameLocks/>
                </wp:cNvGraphicFramePr>
                <a:graphic>
                  <a:graphicData uri="http://schemas.microsoft.com/office/word/2010/wordprocessingGroup">
                    <wpg:wgp>
                      <wpg:cNvPr id="494" name="Group 494"/>
                      <wpg:cNvGrpSpPr/>
                      <wpg:grpSpPr>
                        <a:xfrm>
                          <a:off x="0" y="0"/>
                          <a:ext cx="728980" cy="655320"/>
                          <a:chExt cx="728980" cy="655320"/>
                        </a:xfrm>
                      </wpg:grpSpPr>
                      <pic:pic>
                        <pic:nvPicPr>
                          <pic:cNvPr id="495" name="Image 495"/>
                          <pic:cNvPicPr/>
                        </pic:nvPicPr>
                        <pic:blipFill>
                          <a:blip r:embed="rId100" cstate="print"/>
                          <a:stretch>
                            <a:fillRect/>
                          </a:stretch>
                        </pic:blipFill>
                        <pic:spPr>
                          <a:xfrm>
                            <a:off x="0" y="0"/>
                            <a:ext cx="728471" cy="655320"/>
                          </a:xfrm>
                          <a:prstGeom prst="rect">
                            <a:avLst/>
                          </a:prstGeom>
                        </pic:spPr>
                      </pic:pic>
                      <wps:wsp>
                        <wps:cNvPr id="496" name="Textbox 496"/>
                        <wps:cNvSpPr txBox="1"/>
                        <wps:spPr>
                          <a:xfrm>
                            <a:off x="0" y="0"/>
                            <a:ext cx="728980" cy="655320"/>
                          </a:xfrm>
                          <a:prstGeom prst="rect">
                            <a:avLst/>
                          </a:prstGeom>
                        </wps:spPr>
                        <wps:txbx>
                          <w:txbxContent>
                            <w:p>
                              <w:pPr>
                                <w:spacing w:before="350"/>
                                <w:ind w:left="432" w:right="0" w:firstLine="0"/>
                                <w:jc w:val="left"/>
                                <w:rPr>
                                  <w:rFonts w:ascii="Tahoma"/>
                                  <w:b/>
                                  <w:sz w:val="36"/>
                                </w:rPr>
                              </w:pPr>
                              <w:r>
                                <w:rPr>
                                  <w:rFonts w:ascii="Tahoma"/>
                                  <w:b/>
                                  <w:spacing w:val="-5"/>
                                  <w:w w:val="95"/>
                                  <w:sz w:val="36"/>
                                </w:rPr>
                                <w:t>22</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556608;mso-wrap-distance-left:0;mso-wrap-distance-right:0" id="docshapegroup489" coordorigin="5494,430" coordsize="1148,1032">
                <v:shape style="position:absolute;left:5493;top:429;width:1148;height:1032" type="#_x0000_t75" id="docshape490" stroked="false">
                  <v:imagedata r:id="rId100" o:title=""/>
                </v:shape>
                <v:shape style="position:absolute;left:5493;top:429;width:1148;height:1032" type="#_x0000_t202" id="docshape491" filled="false" stroked="false">
                  <v:textbox inset="0,0,0,0">
                    <w:txbxContent>
                      <w:p>
                        <w:pPr>
                          <w:spacing w:before="350"/>
                          <w:ind w:left="432" w:right="0" w:firstLine="0"/>
                          <w:jc w:val="left"/>
                          <w:rPr>
                            <w:rFonts w:ascii="Tahoma"/>
                            <w:b/>
                            <w:sz w:val="36"/>
                          </w:rPr>
                        </w:pPr>
                        <w:r>
                          <w:rPr>
                            <w:rFonts w:ascii="Tahoma"/>
                            <w:b/>
                            <w:spacing w:val="-5"/>
                            <w:w w:val="95"/>
                            <w:sz w:val="36"/>
                          </w:rPr>
                          <w:t>22</w:t>
                        </w:r>
                      </w:p>
                    </w:txbxContent>
                  </v:textbox>
                  <w10:wrap type="none"/>
                </v:shape>
                <w10:wrap type="topAndBottom"/>
              </v:group>
            </w:pict>
          </mc:Fallback>
        </mc:AlternateContent>
      </w:r>
    </w:p>
    <w:p>
      <w:pPr>
        <w:pStyle w:val="Heading1"/>
        <w:spacing w:line="211" w:lineRule="auto" w:before="4"/>
        <w:ind w:left="1478" w:right="1483" w:firstLine="14"/>
        <w:jc w:val="both"/>
      </w:pPr>
      <w:r>
        <w:rPr>
          <w:spacing w:val="-2"/>
        </w:rPr>
        <w:t>Shadows</w:t>
      </w:r>
      <w:r>
        <w:rPr>
          <w:spacing w:val="-22"/>
        </w:rPr>
        <w:t> </w:t>
      </w:r>
      <w:r>
        <w:rPr>
          <w:spacing w:val="-2"/>
        </w:rPr>
        <w:t>of</w:t>
      </w:r>
      <w:r>
        <w:rPr>
          <w:spacing w:val="-21"/>
        </w:rPr>
        <w:t> </w:t>
      </w:r>
      <w:r>
        <w:rPr>
          <w:spacing w:val="-2"/>
        </w:rPr>
        <w:t>the</w:t>
      </w:r>
      <w:r>
        <w:rPr>
          <w:spacing w:val="-22"/>
        </w:rPr>
        <w:t> </w:t>
      </w:r>
      <w:r>
        <w:rPr>
          <w:spacing w:val="-2"/>
        </w:rPr>
        <w:t>Tragic</w:t>
      </w:r>
      <w:r>
        <w:rPr>
          <w:spacing w:val="-21"/>
        </w:rPr>
        <w:t> </w:t>
      </w:r>
      <w:r>
        <w:rPr>
          <w:spacing w:val="-2"/>
        </w:rPr>
        <w:t>Hero:</w:t>
      </w:r>
      <w:r>
        <w:rPr>
          <w:spacing w:val="-22"/>
        </w:rPr>
        <w:t> </w:t>
      </w:r>
      <w:r>
        <w:rPr>
          <w:spacing w:val="-2"/>
        </w:rPr>
        <w:t>Female </w:t>
      </w:r>
      <w:r>
        <w:rPr/>
        <w:t>Agency and Psychological </w:t>
      </w:r>
      <w:r>
        <w:rPr/>
        <w:t>Collapse in Shakespeare’s Hamlet and Sarat</w:t>
      </w:r>
    </w:p>
    <w:p>
      <w:pPr>
        <w:spacing w:line="348" w:lineRule="exact" w:before="0"/>
        <w:ind w:left="1440" w:right="0" w:firstLine="0"/>
        <w:jc w:val="both"/>
        <w:rPr>
          <w:rFonts w:ascii="Tahoma" w:hAnsi="Tahoma"/>
          <w:b/>
          <w:sz w:val="32"/>
        </w:rPr>
      </w:pPr>
      <w:r>
        <w:rPr>
          <w:rFonts w:ascii="Tahoma" w:hAnsi="Tahoma"/>
          <w:b/>
          <w:spacing w:val="50"/>
          <w:w w:val="150"/>
          <w:sz w:val="32"/>
          <w:u w:val="single"/>
        </w:rPr>
        <w:t> </w:t>
      </w:r>
      <w:r>
        <w:rPr>
          <w:rFonts w:ascii="Tahoma" w:hAnsi="Tahoma"/>
          <w:b/>
          <w:sz w:val="32"/>
          <w:u w:val="single"/>
        </w:rPr>
        <w:t>Chandra</w:t>
      </w:r>
      <w:r>
        <w:rPr>
          <w:rFonts w:ascii="Tahoma" w:hAnsi="Tahoma"/>
          <w:b/>
          <w:spacing w:val="10"/>
          <w:sz w:val="32"/>
          <w:u w:val="single"/>
        </w:rPr>
        <w:t> </w:t>
      </w:r>
      <w:r>
        <w:rPr>
          <w:rFonts w:ascii="Tahoma" w:hAnsi="Tahoma"/>
          <w:b/>
          <w:sz w:val="32"/>
          <w:u w:val="single"/>
        </w:rPr>
        <w:t>Chattopadhyay’s</w:t>
      </w:r>
      <w:r>
        <w:rPr>
          <w:rFonts w:ascii="Tahoma" w:hAnsi="Tahoma"/>
          <w:b/>
          <w:spacing w:val="10"/>
          <w:sz w:val="32"/>
          <w:u w:val="single"/>
        </w:rPr>
        <w:t> </w:t>
      </w:r>
      <w:r>
        <w:rPr>
          <w:rFonts w:ascii="Tahoma" w:hAnsi="Tahoma"/>
          <w:b/>
          <w:spacing w:val="-2"/>
          <w:sz w:val="32"/>
          <w:u w:val="single"/>
        </w:rPr>
        <w:t>Devdas</w:t>
      </w:r>
      <w:r>
        <w:rPr>
          <w:rFonts w:ascii="Tahoma" w:hAnsi="Tahoma"/>
          <w:b/>
          <w:spacing w:val="80"/>
          <w:sz w:val="32"/>
          <w:u w:val="single"/>
        </w:rPr>
        <w:t> </w:t>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60384">
                <wp:simplePos x="0" y="0"/>
                <wp:positionH relativeFrom="page">
                  <wp:posOffset>2057400</wp:posOffset>
                </wp:positionH>
                <wp:positionV relativeFrom="paragraph">
                  <wp:posOffset>60051</wp:posOffset>
                </wp:positionV>
                <wp:extent cx="3657600" cy="7620"/>
                <wp:effectExtent l="0" t="0" r="0" b="0"/>
                <wp:wrapTopAndBottom/>
                <wp:docPr id="497" name="Graphic 497"/>
                <wp:cNvGraphicFramePr>
                  <a:graphicFrameLocks/>
                </wp:cNvGraphicFramePr>
                <a:graphic>
                  <a:graphicData uri="http://schemas.microsoft.com/office/word/2010/wordprocessingShape">
                    <wps:wsp>
                      <wps:cNvPr id="497" name="Graphic 497"/>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51pt;width:288.000009pt;height:.59999pt;mso-position-horizontal-relative:page;mso-position-vertical-relative:paragraph;z-index:-15556096;mso-wrap-distance-left:0;mso-wrap-distance-right:0" id="docshape492"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9"/>
        <w:jc w:val="right"/>
        <w:rPr>
          <w:rFonts w:ascii="Times New Roman"/>
        </w:rPr>
      </w:pPr>
      <w:r>
        <w:rPr>
          <w:rFonts w:ascii="Times New Roman"/>
        </w:rPr>
        <w:t>Shreya</w:t>
      </w:r>
      <w:r>
        <w:rPr>
          <w:rFonts w:ascii="Times New Roman"/>
          <w:spacing w:val="75"/>
        </w:rPr>
        <w:t> </w:t>
      </w:r>
      <w:r>
        <w:rPr>
          <w:rFonts w:ascii="Times New Roman"/>
          <w:spacing w:val="-2"/>
        </w:rPr>
        <w:t>Geetey</w:t>
      </w:r>
    </w:p>
    <w:p>
      <w:pPr>
        <w:spacing w:before="15"/>
        <w:ind w:left="0" w:right="1439" w:firstLine="0"/>
        <w:jc w:val="right"/>
        <w:rPr>
          <w:i/>
          <w:sz w:val="19"/>
        </w:rPr>
      </w:pPr>
      <w:r>
        <w:rPr>
          <w:i/>
          <w:sz w:val="19"/>
        </w:rPr>
        <w:t>Deptt.</w:t>
      </w:r>
      <w:r>
        <w:rPr>
          <w:i/>
          <w:spacing w:val="53"/>
          <w:sz w:val="19"/>
        </w:rPr>
        <w:t> </w:t>
      </w:r>
      <w:r>
        <w:rPr>
          <w:i/>
          <w:sz w:val="19"/>
        </w:rPr>
        <w:t>of</w:t>
      </w:r>
      <w:r>
        <w:rPr>
          <w:i/>
          <w:spacing w:val="53"/>
          <w:sz w:val="19"/>
        </w:rPr>
        <w:t> </w:t>
      </w:r>
      <w:r>
        <w:rPr>
          <w:i/>
          <w:sz w:val="19"/>
        </w:rPr>
        <w:t>English,</w:t>
      </w:r>
      <w:r>
        <w:rPr>
          <w:i/>
          <w:spacing w:val="53"/>
          <w:sz w:val="19"/>
        </w:rPr>
        <w:t> </w:t>
      </w:r>
      <w:r>
        <w:rPr>
          <w:i/>
          <w:sz w:val="19"/>
        </w:rPr>
        <w:t>LNCT</w:t>
      </w:r>
      <w:r>
        <w:rPr>
          <w:i/>
          <w:spacing w:val="53"/>
          <w:sz w:val="19"/>
        </w:rPr>
        <w:t> </w:t>
      </w:r>
      <w:r>
        <w:rPr>
          <w:i/>
          <w:sz w:val="19"/>
        </w:rPr>
        <w:t>University,</w:t>
      </w:r>
      <w:r>
        <w:rPr>
          <w:i/>
          <w:spacing w:val="53"/>
          <w:sz w:val="19"/>
        </w:rPr>
        <w:t> </w:t>
      </w:r>
      <w:r>
        <w:rPr>
          <w:i/>
          <w:spacing w:val="-2"/>
          <w:sz w:val="19"/>
        </w:rPr>
        <w:t>Bhopal</w:t>
      </w:r>
    </w:p>
    <w:p>
      <w:pPr>
        <w:pStyle w:val="BodyText"/>
        <w:spacing w:before="3"/>
        <w:ind w:left="0"/>
        <w:rPr>
          <w:i/>
          <w:sz w:val="19"/>
        </w:rPr>
      </w:pPr>
    </w:p>
    <w:p>
      <w:pPr>
        <w:pStyle w:val="Heading5"/>
        <w:ind w:left="0" w:right="1439"/>
        <w:jc w:val="right"/>
        <w:rPr>
          <w:rFonts w:ascii="Times New Roman"/>
        </w:rPr>
      </w:pPr>
      <w:r>
        <w:rPr>
          <w:rFonts w:ascii="Times New Roman"/>
        </w:rPr>
        <w:t>Dr.</w:t>
      </w:r>
      <w:r>
        <w:rPr>
          <w:rFonts w:ascii="Times New Roman"/>
          <w:spacing w:val="44"/>
        </w:rPr>
        <w:t> </w:t>
      </w:r>
      <w:r>
        <w:rPr>
          <w:rFonts w:ascii="Times New Roman"/>
        </w:rPr>
        <w:t>Brijesh</w:t>
      </w:r>
      <w:r>
        <w:rPr>
          <w:rFonts w:ascii="Times New Roman"/>
          <w:spacing w:val="44"/>
        </w:rPr>
        <w:t> </w:t>
      </w:r>
      <w:r>
        <w:rPr>
          <w:rFonts w:ascii="Times New Roman"/>
          <w:spacing w:val="-2"/>
        </w:rPr>
        <w:t>Verma</w:t>
      </w:r>
    </w:p>
    <w:p>
      <w:pPr>
        <w:spacing w:before="15"/>
        <w:ind w:left="0" w:right="1439" w:firstLine="0"/>
        <w:jc w:val="right"/>
        <w:rPr>
          <w:i/>
          <w:sz w:val="19"/>
        </w:rPr>
      </w:pPr>
      <w:r>
        <w:rPr>
          <w:i/>
          <w:sz w:val="19"/>
        </w:rPr>
        <w:t>Deptt.</w:t>
      </w:r>
      <w:r>
        <w:rPr>
          <w:i/>
          <w:spacing w:val="53"/>
          <w:sz w:val="19"/>
        </w:rPr>
        <w:t> </w:t>
      </w:r>
      <w:r>
        <w:rPr>
          <w:i/>
          <w:sz w:val="19"/>
        </w:rPr>
        <w:t>of</w:t>
      </w:r>
      <w:r>
        <w:rPr>
          <w:i/>
          <w:spacing w:val="53"/>
          <w:sz w:val="19"/>
        </w:rPr>
        <w:t> </w:t>
      </w:r>
      <w:r>
        <w:rPr>
          <w:i/>
          <w:sz w:val="19"/>
        </w:rPr>
        <w:t>English,</w:t>
      </w:r>
      <w:r>
        <w:rPr>
          <w:i/>
          <w:spacing w:val="53"/>
          <w:sz w:val="19"/>
        </w:rPr>
        <w:t> </w:t>
      </w:r>
      <w:r>
        <w:rPr>
          <w:i/>
          <w:sz w:val="19"/>
        </w:rPr>
        <w:t>LNCT</w:t>
      </w:r>
      <w:r>
        <w:rPr>
          <w:i/>
          <w:spacing w:val="53"/>
          <w:sz w:val="19"/>
        </w:rPr>
        <w:t> </w:t>
      </w:r>
      <w:r>
        <w:rPr>
          <w:i/>
          <w:sz w:val="19"/>
        </w:rPr>
        <w:t>University,</w:t>
      </w:r>
      <w:r>
        <w:rPr>
          <w:i/>
          <w:spacing w:val="53"/>
          <w:sz w:val="19"/>
        </w:rPr>
        <w:t> </w:t>
      </w:r>
      <w:r>
        <w:rPr>
          <w:i/>
          <w:spacing w:val="-2"/>
          <w:sz w:val="19"/>
        </w:rPr>
        <w:t>Bhopal</w:t>
      </w:r>
    </w:p>
    <w:p>
      <w:pPr>
        <w:pStyle w:val="BodyText"/>
        <w:spacing w:before="3"/>
        <w:ind w:left="0"/>
        <w:rPr>
          <w:i/>
          <w:sz w:val="19"/>
        </w:rPr>
      </w:pPr>
    </w:p>
    <w:p>
      <w:pPr>
        <w:pStyle w:val="Heading5"/>
        <w:ind w:left="0" w:right="1438"/>
        <w:jc w:val="right"/>
        <w:rPr>
          <w:rFonts w:ascii="Times New Roman"/>
        </w:rPr>
      </w:pPr>
      <w:r>
        <w:rPr>
          <w:rFonts w:ascii="Times New Roman"/>
        </w:rPr>
        <w:t>Dr.</w:t>
      </w:r>
      <w:r>
        <w:rPr>
          <w:rFonts w:ascii="Times New Roman"/>
          <w:spacing w:val="48"/>
        </w:rPr>
        <w:t> </w:t>
      </w:r>
      <w:r>
        <w:rPr>
          <w:rFonts w:ascii="Times New Roman"/>
        </w:rPr>
        <w:t>Sunita</w:t>
      </w:r>
      <w:r>
        <w:rPr>
          <w:rFonts w:ascii="Times New Roman"/>
          <w:spacing w:val="50"/>
        </w:rPr>
        <w:t> </w:t>
      </w:r>
      <w:r>
        <w:rPr>
          <w:rFonts w:ascii="Times New Roman"/>
        </w:rPr>
        <w:t>N.</w:t>
      </w:r>
      <w:r>
        <w:rPr>
          <w:rFonts w:ascii="Times New Roman"/>
          <w:spacing w:val="48"/>
        </w:rPr>
        <w:t> </w:t>
      </w:r>
      <w:r>
        <w:rPr>
          <w:rFonts w:ascii="Times New Roman"/>
          <w:spacing w:val="-2"/>
        </w:rPr>
        <w:t>Thapak</w:t>
      </w:r>
    </w:p>
    <w:p>
      <w:pPr>
        <w:spacing w:before="15"/>
        <w:ind w:left="0" w:right="1439" w:firstLine="0"/>
        <w:jc w:val="right"/>
        <w:rPr>
          <w:i/>
          <w:sz w:val="19"/>
        </w:rPr>
      </w:pPr>
      <w:r>
        <w:rPr>
          <w:i/>
          <w:sz w:val="19"/>
        </w:rPr>
        <w:t>(</w:t>
      </w:r>
      <w:r>
        <w:rPr>
          <w:i/>
          <w:spacing w:val="51"/>
          <w:sz w:val="19"/>
        </w:rPr>
        <w:t> </w:t>
      </w:r>
      <w:r>
        <w:rPr>
          <w:i/>
          <w:sz w:val="19"/>
        </w:rPr>
        <w:t>Professor</w:t>
      </w:r>
      <w:r>
        <w:rPr>
          <w:i/>
          <w:spacing w:val="52"/>
          <w:sz w:val="19"/>
        </w:rPr>
        <w:t> </w:t>
      </w:r>
      <w:r>
        <w:rPr>
          <w:i/>
          <w:sz w:val="19"/>
        </w:rPr>
        <w:t>)</w:t>
      </w:r>
      <w:r>
        <w:rPr>
          <w:i/>
          <w:spacing w:val="52"/>
          <w:sz w:val="19"/>
        </w:rPr>
        <w:t> </w:t>
      </w:r>
      <w:r>
        <w:rPr>
          <w:i/>
          <w:sz w:val="19"/>
        </w:rPr>
        <w:t>Department</w:t>
      </w:r>
      <w:r>
        <w:rPr>
          <w:i/>
          <w:spacing w:val="52"/>
          <w:sz w:val="19"/>
        </w:rPr>
        <w:t> </w:t>
      </w:r>
      <w:r>
        <w:rPr>
          <w:i/>
          <w:sz w:val="19"/>
        </w:rPr>
        <w:t>of</w:t>
      </w:r>
      <w:r>
        <w:rPr>
          <w:i/>
          <w:spacing w:val="52"/>
          <w:sz w:val="19"/>
        </w:rPr>
        <w:t> </w:t>
      </w:r>
      <w:r>
        <w:rPr>
          <w:i/>
          <w:sz w:val="19"/>
        </w:rPr>
        <w:t>English,</w:t>
      </w:r>
      <w:r>
        <w:rPr>
          <w:i/>
          <w:spacing w:val="53"/>
          <w:sz w:val="19"/>
        </w:rPr>
        <w:t> </w:t>
      </w:r>
      <w:r>
        <w:rPr>
          <w:i/>
          <w:sz w:val="19"/>
        </w:rPr>
        <w:t>Oriental</w:t>
      </w:r>
      <w:r>
        <w:rPr>
          <w:i/>
          <w:spacing w:val="52"/>
          <w:sz w:val="19"/>
        </w:rPr>
        <w:t> </w:t>
      </w:r>
      <w:r>
        <w:rPr>
          <w:i/>
          <w:sz w:val="19"/>
        </w:rPr>
        <w:t>Institute</w:t>
      </w:r>
      <w:r>
        <w:rPr>
          <w:i/>
          <w:spacing w:val="53"/>
          <w:sz w:val="19"/>
        </w:rPr>
        <w:t> </w:t>
      </w:r>
      <w:r>
        <w:rPr>
          <w:i/>
          <w:spacing w:val="-5"/>
          <w:sz w:val="19"/>
        </w:rPr>
        <w:t>of</w:t>
      </w:r>
    </w:p>
    <w:p>
      <w:pPr>
        <w:spacing w:before="10"/>
        <w:ind w:left="0" w:right="1438" w:firstLine="0"/>
        <w:jc w:val="right"/>
        <w:rPr>
          <w:i/>
          <w:sz w:val="19"/>
        </w:rPr>
      </w:pPr>
      <w:r>
        <w:rPr>
          <w:i/>
          <w:sz w:val="19"/>
        </w:rPr>
        <w:t>Science</w:t>
      </w:r>
      <w:r>
        <w:rPr>
          <w:i/>
          <w:spacing w:val="69"/>
          <w:sz w:val="19"/>
        </w:rPr>
        <w:t> </w:t>
      </w:r>
      <w:r>
        <w:rPr>
          <w:i/>
          <w:sz w:val="19"/>
        </w:rPr>
        <w:t>&amp;</w:t>
      </w:r>
      <w:r>
        <w:rPr>
          <w:i/>
          <w:spacing w:val="57"/>
          <w:sz w:val="19"/>
        </w:rPr>
        <w:t> </w:t>
      </w:r>
      <w:r>
        <w:rPr>
          <w:i/>
          <w:sz w:val="19"/>
        </w:rPr>
        <w:t>Technology,</w:t>
      </w:r>
      <w:r>
        <w:rPr>
          <w:i/>
          <w:spacing w:val="67"/>
          <w:sz w:val="19"/>
        </w:rPr>
        <w:t> </w:t>
      </w:r>
      <w:r>
        <w:rPr>
          <w:i/>
          <w:spacing w:val="-2"/>
          <w:sz w:val="19"/>
        </w:rPr>
        <w:t>Bhopal</w:t>
      </w:r>
    </w:p>
    <w:p>
      <w:pPr>
        <w:pStyle w:val="BodyText"/>
        <w:spacing w:before="160"/>
        <w:ind w:left="0"/>
        <w:rPr>
          <w:i/>
          <w:sz w:val="19"/>
        </w:rPr>
      </w:pPr>
    </w:p>
    <w:p>
      <w:pPr>
        <w:pStyle w:val="Heading3"/>
        <w:spacing w:before="1"/>
      </w:pPr>
      <w:r>
        <w:rPr>
          <w:spacing w:val="-2"/>
        </w:rPr>
        <w:t>ABSTRACT</w:t>
      </w:r>
    </w:p>
    <w:p>
      <w:pPr>
        <w:pStyle w:val="BodyText"/>
        <w:spacing w:line="254" w:lineRule="auto" w:before="77"/>
        <w:ind w:right="1437" w:firstLine="432"/>
        <w:jc w:val="both"/>
      </w:pPr>
      <w:r>
        <w:rPr/>
        <w:t>This study attempts to propose the gender-based analysis of </w:t>
      </w:r>
      <w:r>
        <w:rPr>
          <w:spacing w:val="-2"/>
        </w:rPr>
        <w:t>Hamlet</w:t>
      </w:r>
      <w:r>
        <w:rPr>
          <w:spacing w:val="-11"/>
        </w:rPr>
        <w:t> </w:t>
      </w:r>
      <w:r>
        <w:rPr>
          <w:spacing w:val="-2"/>
        </w:rPr>
        <w:t>and</w:t>
      </w:r>
      <w:r>
        <w:rPr>
          <w:spacing w:val="-10"/>
        </w:rPr>
        <w:t> </w:t>
      </w:r>
      <w:r>
        <w:rPr>
          <w:spacing w:val="-2"/>
        </w:rPr>
        <w:t>Devdas.</w:t>
      </w:r>
      <w:r>
        <w:rPr>
          <w:spacing w:val="-11"/>
        </w:rPr>
        <w:t> </w:t>
      </w:r>
      <w:r>
        <w:rPr>
          <w:spacing w:val="-2"/>
        </w:rPr>
        <w:t>Hence,</w:t>
      </w:r>
      <w:r>
        <w:rPr>
          <w:spacing w:val="-10"/>
        </w:rPr>
        <w:t> </w:t>
      </w:r>
      <w:r>
        <w:rPr>
          <w:spacing w:val="-2"/>
        </w:rPr>
        <w:t>this</w:t>
      </w:r>
      <w:r>
        <w:rPr>
          <w:spacing w:val="-11"/>
        </w:rPr>
        <w:t> </w:t>
      </w:r>
      <w:r>
        <w:rPr>
          <w:spacing w:val="-2"/>
        </w:rPr>
        <w:t>might</w:t>
      </w:r>
      <w:r>
        <w:rPr>
          <w:spacing w:val="-10"/>
        </w:rPr>
        <w:t> </w:t>
      </w:r>
      <w:r>
        <w:rPr>
          <w:spacing w:val="-2"/>
        </w:rPr>
        <w:t>highlight</w:t>
      </w:r>
      <w:r>
        <w:rPr>
          <w:spacing w:val="-11"/>
        </w:rPr>
        <w:t> </w:t>
      </w:r>
      <w:r>
        <w:rPr>
          <w:spacing w:val="-2"/>
        </w:rPr>
        <w:t>against</w:t>
      </w:r>
      <w:r>
        <w:rPr>
          <w:spacing w:val="-10"/>
        </w:rPr>
        <w:t> </w:t>
      </w:r>
      <w:r>
        <w:rPr>
          <w:spacing w:val="-2"/>
        </w:rPr>
        <w:t>the</w:t>
      </w:r>
      <w:r>
        <w:rPr>
          <w:spacing w:val="-11"/>
        </w:rPr>
        <w:t> </w:t>
      </w:r>
      <w:r>
        <w:rPr>
          <w:spacing w:val="-2"/>
        </w:rPr>
        <w:t>male-centered </w:t>
      </w:r>
      <w:r>
        <w:rPr/>
        <w:t>tragic perspective. On the contrary, the present argument, beyond </w:t>
      </w:r>
      <w:r>
        <w:rPr>
          <w:spacing w:val="-2"/>
        </w:rPr>
        <w:t>interpreting</w:t>
      </w:r>
      <w:r>
        <w:rPr>
          <w:spacing w:val="-5"/>
        </w:rPr>
        <w:t> </w:t>
      </w:r>
      <w:r>
        <w:rPr>
          <w:spacing w:val="-2"/>
        </w:rPr>
        <w:t>tragedy</w:t>
      </w:r>
      <w:r>
        <w:rPr>
          <w:spacing w:val="-7"/>
        </w:rPr>
        <w:t> </w:t>
      </w:r>
      <w:r>
        <w:rPr>
          <w:spacing w:val="-2"/>
        </w:rPr>
        <w:t>that both</w:t>
      </w:r>
      <w:r>
        <w:rPr>
          <w:spacing w:val="-5"/>
        </w:rPr>
        <w:t> </w:t>
      </w:r>
      <w:r>
        <w:rPr>
          <w:spacing w:val="-2"/>
        </w:rPr>
        <w:t>tragedies in an interdependently</w:t>
      </w:r>
      <w:r>
        <w:rPr>
          <w:spacing w:val="-5"/>
        </w:rPr>
        <w:t> </w:t>
      </w:r>
      <w:r>
        <w:rPr>
          <w:spacing w:val="-2"/>
        </w:rPr>
        <w:t>modalized, </w:t>
      </w:r>
      <w:r>
        <w:rPr/>
        <w:t>was-both by the mental collapse of the male hero and by the major stakeholders, female history.</w:t>
      </w:r>
      <w:r>
        <w:rPr>
          <w:spacing w:val="-8"/>
        </w:rPr>
        <w:t> </w:t>
      </w:r>
      <w:r>
        <w:rPr/>
        <w:t>Approaching</w:t>
      </w:r>
      <w:r>
        <w:rPr>
          <w:spacing w:val="-1"/>
        </w:rPr>
        <w:t> </w:t>
      </w:r>
      <w:r>
        <w:rPr/>
        <w:t>from</w:t>
      </w:r>
      <w:r>
        <w:rPr>
          <w:spacing w:val="-2"/>
        </w:rPr>
        <w:t> </w:t>
      </w:r>
      <w:r>
        <w:rPr/>
        <w:t>feminist literary</w:t>
      </w:r>
      <w:r>
        <w:rPr>
          <w:spacing w:val="-1"/>
        </w:rPr>
        <w:t> </w:t>
      </w:r>
      <w:r>
        <w:rPr/>
        <w:t>theory and</w:t>
      </w:r>
      <w:r>
        <w:rPr>
          <w:spacing w:val="-2"/>
        </w:rPr>
        <w:t> </w:t>
      </w:r>
      <w:r>
        <w:rPr/>
        <w:t>psychoanalytic</w:t>
      </w:r>
      <w:r>
        <w:rPr>
          <w:spacing w:val="-2"/>
        </w:rPr>
        <w:t> </w:t>
      </w:r>
      <w:r>
        <w:rPr/>
        <w:t>criticism,</w:t>
      </w:r>
      <w:r>
        <w:rPr>
          <w:spacing w:val="-2"/>
        </w:rPr>
        <w:t> </w:t>
      </w:r>
      <w:r>
        <w:rPr/>
        <w:t>the</w:t>
      </w:r>
      <w:r>
        <w:rPr>
          <w:spacing w:val="-4"/>
        </w:rPr>
        <w:t> </w:t>
      </w:r>
      <w:r>
        <w:rPr/>
        <w:t>author</w:t>
      </w:r>
      <w:r>
        <w:rPr>
          <w:spacing w:val="-1"/>
        </w:rPr>
        <w:t> </w:t>
      </w:r>
      <w:r>
        <w:rPr/>
        <w:t>recurrences</w:t>
      </w:r>
      <w:r>
        <w:rPr>
          <w:spacing w:val="-6"/>
        </w:rPr>
        <w:t> </w:t>
      </w:r>
      <w:r>
        <w:rPr/>
        <w:t>in</w:t>
      </w:r>
      <w:r>
        <w:rPr>
          <w:spacing w:val="-4"/>
        </w:rPr>
        <w:t> </w:t>
      </w:r>
      <w:r>
        <w:rPr/>
        <w:t>scrutiny</w:t>
      </w:r>
      <w:r>
        <w:rPr>
          <w:spacing w:val="-8"/>
        </w:rPr>
        <w:t> </w:t>
      </w:r>
      <w:r>
        <w:rPr/>
        <w:t>Ophelia and Gertrude,</w:t>
      </w:r>
      <w:r>
        <w:rPr>
          <w:spacing w:val="-1"/>
        </w:rPr>
        <w:t> </w:t>
      </w:r>
      <w:r>
        <w:rPr/>
        <w:t>together with</w:t>
      </w:r>
      <w:r>
        <w:rPr>
          <w:spacing w:val="-1"/>
        </w:rPr>
        <w:t> </w:t>
      </w:r>
      <w:r>
        <w:rPr/>
        <w:t>Paro</w:t>
      </w:r>
      <w:r>
        <w:rPr>
          <w:spacing w:val="-1"/>
        </w:rPr>
        <w:t> </w:t>
      </w:r>
      <w:r>
        <w:rPr/>
        <w:t>and Chandramukhi showing</w:t>
      </w:r>
      <w:r>
        <w:rPr>
          <w:spacing w:val="-1"/>
        </w:rPr>
        <w:t> </w:t>
      </w:r>
      <w:r>
        <w:rPr/>
        <w:t>their role in</w:t>
      </w:r>
      <w:r>
        <w:rPr>
          <w:spacing w:val="-3"/>
        </w:rPr>
        <w:t> </w:t>
      </w:r>
      <w:r>
        <w:rPr/>
        <w:t>emotions</w:t>
      </w:r>
      <w:r>
        <w:rPr>
          <w:spacing w:val="-2"/>
        </w:rPr>
        <w:t> </w:t>
      </w:r>
      <w:r>
        <w:rPr/>
        <w:t>and</w:t>
      </w:r>
      <w:r>
        <w:rPr>
          <w:spacing w:val="-2"/>
        </w:rPr>
        <w:t> </w:t>
      </w:r>
      <w:r>
        <w:rPr/>
        <w:t>character</w:t>
      </w:r>
      <w:r>
        <w:rPr>
          <w:spacing w:val="-2"/>
        </w:rPr>
        <w:t> </w:t>
      </w:r>
      <w:r>
        <w:rPr/>
        <w:t>development.</w:t>
      </w:r>
      <w:r>
        <w:rPr>
          <w:spacing w:val="-2"/>
        </w:rPr>
        <w:t> </w:t>
      </w:r>
      <w:r>
        <w:rPr/>
        <w:t>The paper</w:t>
      </w:r>
      <w:r>
        <w:rPr>
          <w:spacing w:val="-2"/>
        </w:rPr>
        <w:t> </w:t>
      </w:r>
      <w:r>
        <w:rPr/>
        <w:t>shows</w:t>
      </w:r>
      <w:r>
        <w:rPr>
          <w:spacing w:val="-3"/>
        </w:rPr>
        <w:t> </w:t>
      </w:r>
      <w:r>
        <w:rPr/>
        <w:t>that</w:t>
      </w:r>
      <w:r>
        <w:rPr>
          <w:spacing w:val="-2"/>
        </w:rPr>
        <w:t> </w:t>
      </w:r>
      <w:r>
        <w:rPr/>
        <w:t>while</w:t>
      </w:r>
      <w:r>
        <w:rPr>
          <w:spacing w:val="-3"/>
        </w:rPr>
        <w:t> </w:t>
      </w:r>
      <w:r>
        <w:rPr/>
        <w:t>the characters of the female gender are apparently bound by structural and societal</w:t>
      </w:r>
      <w:r>
        <w:rPr>
          <w:spacing w:val="-13"/>
        </w:rPr>
        <w:t> </w:t>
      </w:r>
      <w:r>
        <w:rPr/>
        <w:t>arrangements,</w:t>
      </w:r>
      <w:r>
        <w:rPr>
          <w:spacing w:val="-12"/>
        </w:rPr>
        <w:t> </w:t>
      </w:r>
      <w:r>
        <w:rPr/>
        <w:t>they</w:t>
      </w:r>
      <w:r>
        <w:rPr>
          <w:spacing w:val="-13"/>
        </w:rPr>
        <w:t> </w:t>
      </w:r>
      <w:r>
        <w:rPr/>
        <w:t>are</w:t>
      </w:r>
      <w:r>
        <w:rPr>
          <w:spacing w:val="-12"/>
        </w:rPr>
        <w:t> </w:t>
      </w:r>
      <w:r>
        <w:rPr/>
        <w:t>actually</w:t>
      </w:r>
      <w:r>
        <w:rPr>
          <w:spacing w:val="-13"/>
        </w:rPr>
        <w:t> </w:t>
      </w:r>
      <w:r>
        <w:rPr/>
        <w:t>endowed</w:t>
      </w:r>
      <w:r>
        <w:rPr>
          <w:spacing w:val="-12"/>
        </w:rPr>
        <w:t> </w:t>
      </w:r>
      <w:r>
        <w:rPr/>
        <w:t>with</w:t>
      </w:r>
      <w:r>
        <w:rPr>
          <w:spacing w:val="-13"/>
        </w:rPr>
        <w:t> </w:t>
      </w:r>
      <w:r>
        <w:rPr/>
        <w:t>the</w:t>
      </w:r>
      <w:r>
        <w:rPr>
          <w:spacing w:val="-12"/>
        </w:rPr>
        <w:t> </w:t>
      </w:r>
      <w:r>
        <w:rPr/>
        <w:t>overwhelming possibilities of agency once a story is set which influences the cause towards</w:t>
      </w:r>
      <w:r>
        <w:rPr>
          <w:spacing w:val="4"/>
        </w:rPr>
        <w:t> </w:t>
      </w:r>
      <w:r>
        <w:rPr/>
        <w:t>the</w:t>
      </w:r>
      <w:r>
        <w:rPr>
          <w:spacing w:val="5"/>
        </w:rPr>
        <w:t> </w:t>
      </w:r>
      <w:r>
        <w:rPr/>
        <w:t>hero’s</w:t>
      </w:r>
      <w:r>
        <w:rPr>
          <w:spacing w:val="4"/>
        </w:rPr>
        <w:t> </w:t>
      </w:r>
      <w:r>
        <w:rPr/>
        <w:t>fall.</w:t>
      </w:r>
      <w:r>
        <w:rPr>
          <w:spacing w:val="3"/>
        </w:rPr>
        <w:t> </w:t>
      </w:r>
      <w:r>
        <w:rPr/>
        <w:t>The</w:t>
      </w:r>
      <w:r>
        <w:rPr>
          <w:spacing w:val="4"/>
        </w:rPr>
        <w:t> </w:t>
      </w:r>
      <w:r>
        <w:rPr/>
        <w:t>madness</w:t>
      </w:r>
      <w:r>
        <w:rPr>
          <w:spacing w:val="1"/>
        </w:rPr>
        <w:t> </w:t>
      </w:r>
      <w:r>
        <w:rPr/>
        <w:t>of</w:t>
      </w:r>
      <w:r>
        <w:rPr>
          <w:spacing w:val="5"/>
        </w:rPr>
        <w:t> </w:t>
      </w:r>
      <w:r>
        <w:rPr/>
        <w:t>Ophelia</w:t>
      </w:r>
      <w:r>
        <w:rPr>
          <w:spacing w:val="4"/>
        </w:rPr>
        <w:t> </w:t>
      </w:r>
      <w:r>
        <w:rPr/>
        <w:t>and</w:t>
      </w:r>
      <w:r>
        <w:rPr>
          <w:spacing w:val="5"/>
        </w:rPr>
        <w:t> </w:t>
      </w:r>
      <w:r>
        <w:rPr/>
        <w:t>the</w:t>
      </w:r>
      <w:r>
        <w:rPr>
          <w:spacing w:val="4"/>
        </w:rPr>
        <w:t> </w:t>
      </w:r>
      <w:r>
        <w:rPr/>
        <w:t>weaknesses</w:t>
      </w:r>
      <w:r>
        <w:rPr>
          <w:spacing w:val="5"/>
        </w:rPr>
        <w:t> </w:t>
      </w:r>
      <w:r>
        <w:rPr>
          <w:spacing w:val="-5"/>
        </w:rPr>
        <w:t>of</w:t>
      </w:r>
    </w:p>
    <w:p>
      <w:pPr>
        <w:pStyle w:val="BodyText"/>
        <w:spacing w:after="0" w:line="25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1408">
                <wp:simplePos x="0" y="0"/>
                <wp:positionH relativeFrom="page">
                  <wp:posOffset>2057400</wp:posOffset>
                </wp:positionH>
                <wp:positionV relativeFrom="paragraph">
                  <wp:posOffset>162604</wp:posOffset>
                </wp:positionV>
                <wp:extent cx="3657600" cy="12700"/>
                <wp:effectExtent l="0" t="0" r="0" b="0"/>
                <wp:wrapTopAndBottom/>
                <wp:docPr id="498" name="Graphic 498"/>
                <wp:cNvGraphicFramePr>
                  <a:graphicFrameLocks/>
                </wp:cNvGraphicFramePr>
                <a:graphic>
                  <a:graphicData uri="http://schemas.microsoft.com/office/word/2010/wordprocessingShape">
                    <wps:wsp>
                      <wps:cNvPr id="498" name="Graphic 49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55072;mso-wrap-distance-left:0;mso-wrap-distance-right:0" id="docshape493" filled="true" fillcolor="#000000" stroked="false">
                <v:fill type="solid"/>
                <w10:wrap type="topAndBottom"/>
              </v:rect>
            </w:pict>
          </mc:Fallback>
        </mc:AlternateContent>
      </w:r>
      <w:r>
        <w:rPr>
          <w:rFonts w:ascii="Verdana"/>
          <w:spacing w:val="-5"/>
          <w:sz w:val="18"/>
        </w:rPr>
        <w:t>224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54" w:lineRule="auto" w:before="195"/>
        <w:ind w:right="1437"/>
        <w:jc w:val="both"/>
      </w:pPr>
      <w:r>
        <w:rPr/>
        <w:t>Gertrude have an outrageous intensification in Hamlet’s creatures of history and vice versa for the most lively personality who sacrificed himself: from Paro to the other end of the emotional spectrum. Supposedly, the perusal examines madness and escapism as tragic mechanisms, where the former has Hamlet’s mad-act cum real fragmentation</w:t>
      </w:r>
      <w:r>
        <w:rPr>
          <w:spacing w:val="-8"/>
        </w:rPr>
        <w:t> </w:t>
      </w:r>
      <w:r>
        <w:rPr/>
        <w:t>on</w:t>
      </w:r>
      <w:r>
        <w:rPr>
          <w:spacing w:val="-8"/>
        </w:rPr>
        <w:t> </w:t>
      </w:r>
      <w:r>
        <w:rPr/>
        <w:t>one</w:t>
      </w:r>
      <w:r>
        <w:rPr>
          <w:spacing w:val="-9"/>
        </w:rPr>
        <w:t> </w:t>
      </w:r>
      <w:r>
        <w:rPr/>
        <w:t>hand</w:t>
      </w:r>
      <w:r>
        <w:rPr>
          <w:spacing w:val="-4"/>
        </w:rPr>
        <w:t> </w:t>
      </w:r>
      <w:r>
        <w:rPr/>
        <w:t>and</w:t>
      </w:r>
      <w:r>
        <w:rPr>
          <w:spacing w:val="-6"/>
        </w:rPr>
        <w:t> </w:t>
      </w:r>
      <w:r>
        <w:rPr/>
        <w:t>Devdas’s</w:t>
      </w:r>
      <w:r>
        <w:rPr>
          <w:spacing w:val="-8"/>
        </w:rPr>
        <w:t> </w:t>
      </w:r>
      <w:r>
        <w:rPr/>
        <w:t>defiant</w:t>
      </w:r>
      <w:r>
        <w:rPr>
          <w:spacing w:val="-8"/>
        </w:rPr>
        <w:t> </w:t>
      </w:r>
      <w:r>
        <w:rPr/>
        <w:t>escape</w:t>
      </w:r>
      <w:r>
        <w:rPr>
          <w:spacing w:val="-5"/>
        </w:rPr>
        <w:t> </w:t>
      </w:r>
      <w:r>
        <w:rPr/>
        <w:t>through</w:t>
      </w:r>
      <w:r>
        <w:rPr>
          <w:spacing w:val="-8"/>
        </w:rPr>
        <w:t> </w:t>
      </w:r>
      <w:r>
        <w:rPr/>
        <w:t>alcohol on</w:t>
      </w:r>
      <w:r>
        <w:rPr>
          <w:spacing w:val="-8"/>
        </w:rPr>
        <w:t> </w:t>
      </w:r>
      <w:r>
        <w:rPr/>
        <w:t>the</w:t>
      </w:r>
      <w:r>
        <w:rPr>
          <w:spacing w:val="-8"/>
        </w:rPr>
        <w:t> </w:t>
      </w:r>
      <w:r>
        <w:rPr/>
        <w:t>other</w:t>
      </w:r>
      <w:r>
        <w:rPr>
          <w:spacing w:val="-6"/>
        </w:rPr>
        <w:t> </w:t>
      </w:r>
      <w:r>
        <w:rPr/>
        <w:t>hand.</w:t>
      </w:r>
      <w:r>
        <w:rPr>
          <w:spacing w:val="-6"/>
        </w:rPr>
        <w:t> </w:t>
      </w:r>
      <w:r>
        <w:rPr/>
        <w:t>Drawing</w:t>
      </w:r>
      <w:r>
        <w:rPr>
          <w:spacing w:val="-8"/>
        </w:rPr>
        <w:t> </w:t>
      </w:r>
      <w:r>
        <w:rPr/>
        <w:t>on</w:t>
      </w:r>
      <w:r>
        <w:rPr>
          <w:spacing w:val="-8"/>
        </w:rPr>
        <w:t> </w:t>
      </w:r>
      <w:r>
        <w:rPr/>
        <w:t>the</w:t>
      </w:r>
      <w:r>
        <w:rPr>
          <w:spacing w:val="-7"/>
        </w:rPr>
        <w:t> </w:t>
      </w:r>
      <w:r>
        <w:rPr/>
        <w:t>particular</w:t>
      </w:r>
      <w:r>
        <w:rPr>
          <w:spacing w:val="-6"/>
        </w:rPr>
        <w:t> </w:t>
      </w:r>
      <w:r>
        <w:rPr/>
        <w:t>cultures,</w:t>
      </w:r>
      <w:r>
        <w:rPr>
          <w:spacing w:val="-6"/>
        </w:rPr>
        <w:t> </w:t>
      </w:r>
      <w:r>
        <w:rPr/>
        <w:t>specific</w:t>
      </w:r>
      <w:r>
        <w:rPr>
          <w:spacing w:val="-7"/>
        </w:rPr>
        <w:t> </w:t>
      </w:r>
      <w:r>
        <w:rPr/>
        <w:t>criticisms of their time—consideration of Elizabethan England and Company </w:t>
      </w:r>
      <w:r>
        <w:rPr>
          <w:spacing w:val="-2"/>
        </w:rPr>
        <w:t>Bengal—the</w:t>
      </w:r>
      <w:r>
        <w:rPr>
          <w:spacing w:val="-11"/>
        </w:rPr>
        <w:t> </w:t>
      </w:r>
      <w:r>
        <w:rPr>
          <w:spacing w:val="-2"/>
        </w:rPr>
        <w:t>author</w:t>
      </w:r>
      <w:r>
        <w:rPr>
          <w:spacing w:val="-10"/>
        </w:rPr>
        <w:t> </w:t>
      </w:r>
      <w:r>
        <w:rPr>
          <w:spacing w:val="-2"/>
        </w:rPr>
        <w:t>reflects</w:t>
      </w:r>
      <w:r>
        <w:rPr>
          <w:spacing w:val="-11"/>
        </w:rPr>
        <w:t> </w:t>
      </w:r>
      <w:r>
        <w:rPr>
          <w:spacing w:val="-2"/>
        </w:rPr>
        <w:t>on</w:t>
      </w:r>
      <w:r>
        <w:rPr>
          <w:spacing w:val="-10"/>
        </w:rPr>
        <w:t> </w:t>
      </w:r>
      <w:r>
        <w:rPr>
          <w:spacing w:val="-2"/>
        </w:rPr>
        <w:t>the</w:t>
      </w:r>
      <w:r>
        <w:rPr>
          <w:spacing w:val="-11"/>
        </w:rPr>
        <w:t> </w:t>
      </w:r>
      <w:r>
        <w:rPr>
          <w:spacing w:val="-2"/>
        </w:rPr>
        <w:t>treatment</w:t>
      </w:r>
      <w:r>
        <w:rPr>
          <w:spacing w:val="-10"/>
        </w:rPr>
        <w:t> </w:t>
      </w:r>
      <w:r>
        <w:rPr>
          <w:spacing w:val="-2"/>
        </w:rPr>
        <w:t>of</w:t>
      </w:r>
      <w:r>
        <w:rPr>
          <w:spacing w:val="-11"/>
        </w:rPr>
        <w:t> </w:t>
      </w:r>
      <w:r>
        <w:rPr>
          <w:spacing w:val="-2"/>
        </w:rPr>
        <w:t>females</w:t>
      </w:r>
      <w:r>
        <w:rPr>
          <w:spacing w:val="-10"/>
        </w:rPr>
        <w:t> </w:t>
      </w:r>
      <w:r>
        <w:rPr>
          <w:spacing w:val="-2"/>
        </w:rPr>
        <w:t>and</w:t>
      </w:r>
      <w:r>
        <w:rPr>
          <w:spacing w:val="-11"/>
        </w:rPr>
        <w:t> </w:t>
      </w:r>
      <w:r>
        <w:rPr>
          <w:spacing w:val="-2"/>
        </w:rPr>
        <w:t>psychological </w:t>
      </w:r>
      <w:r>
        <w:rPr/>
        <w:t>disintegration, thereby discovering differences as well as similarities. The</w:t>
      </w:r>
      <w:r>
        <w:rPr>
          <w:spacing w:val="14"/>
        </w:rPr>
        <w:t> </w:t>
      </w:r>
      <w:r>
        <w:rPr/>
        <w:t>outcome</w:t>
      </w:r>
      <w:r>
        <w:rPr>
          <w:spacing w:val="12"/>
        </w:rPr>
        <w:t> </w:t>
      </w:r>
      <w:r>
        <w:rPr/>
        <w:t>of the study on the</w:t>
      </w:r>
      <w:r>
        <w:rPr>
          <w:spacing w:val="13"/>
        </w:rPr>
        <w:t> </w:t>
      </w:r>
      <w:r>
        <w:rPr/>
        <w:t>tragedy would</w:t>
      </w:r>
      <w:r>
        <w:rPr>
          <w:spacing w:val="13"/>
        </w:rPr>
        <w:t> </w:t>
      </w:r>
      <w:r>
        <w:rPr/>
        <w:t>emerge</w:t>
      </w:r>
      <w:r>
        <w:rPr>
          <w:spacing w:val="14"/>
        </w:rPr>
        <w:t> </w:t>
      </w:r>
      <w:r>
        <w:rPr/>
        <w:t>as being</w:t>
      </w:r>
      <w:r>
        <w:rPr>
          <w:spacing w:val="13"/>
        </w:rPr>
        <w:t> </w:t>
      </w:r>
      <w:r>
        <w:rPr/>
        <w:t>from</w:t>
      </w:r>
      <w:r>
        <w:rPr>
          <w:spacing w:val="40"/>
        </w:rPr>
        <w:t> </w:t>
      </w:r>
      <w:r>
        <w:rPr>
          <w:spacing w:val="-4"/>
        </w:rPr>
        <w:t>a complex narrative</w:t>
      </w:r>
      <w:r>
        <w:rPr>
          <w:spacing w:val="-5"/>
        </w:rPr>
        <w:t> </w:t>
      </w:r>
      <w:r>
        <w:rPr>
          <w:spacing w:val="-4"/>
        </w:rPr>
        <w:t>of</w:t>
      </w:r>
      <w:r>
        <w:rPr>
          <w:spacing w:val="-5"/>
        </w:rPr>
        <w:t> </w:t>
      </w:r>
      <w:r>
        <w:rPr>
          <w:spacing w:val="-4"/>
        </w:rPr>
        <w:t>individual, but moreover</w:t>
      </w:r>
      <w:r>
        <w:rPr>
          <w:spacing w:val="-5"/>
        </w:rPr>
        <w:t> </w:t>
      </w:r>
      <w:r>
        <w:rPr>
          <w:spacing w:val="-4"/>
        </w:rPr>
        <w:t>from</w:t>
      </w:r>
      <w:r>
        <w:rPr>
          <w:spacing w:val="-9"/>
        </w:rPr>
        <w:t> </w:t>
      </w:r>
      <w:r>
        <w:rPr>
          <w:spacing w:val="-4"/>
        </w:rPr>
        <w:t>the intrinsic relations </w:t>
      </w:r>
      <w:r>
        <w:rPr>
          <w:spacing w:val="-2"/>
        </w:rPr>
        <w:t>between</w:t>
      </w:r>
      <w:r>
        <w:rPr>
          <w:spacing w:val="-11"/>
        </w:rPr>
        <w:t> </w:t>
      </w:r>
      <w:r>
        <w:rPr>
          <w:spacing w:val="-2"/>
        </w:rPr>
        <w:t>members</w:t>
      </w:r>
      <w:r>
        <w:rPr>
          <w:spacing w:val="-10"/>
        </w:rPr>
        <w:t> </w:t>
      </w:r>
      <w:r>
        <w:rPr>
          <w:spacing w:val="-2"/>
        </w:rPr>
        <w:t>and</w:t>
      </w:r>
      <w:r>
        <w:rPr>
          <w:spacing w:val="-10"/>
        </w:rPr>
        <w:t> </w:t>
      </w:r>
      <w:r>
        <w:rPr>
          <w:spacing w:val="-2"/>
        </w:rPr>
        <w:t>societies</w:t>
      </w:r>
      <w:r>
        <w:rPr>
          <w:spacing w:val="-10"/>
        </w:rPr>
        <w:t> </w:t>
      </w:r>
      <w:r>
        <w:rPr>
          <w:spacing w:val="-2"/>
        </w:rPr>
        <w:t>where</w:t>
      </w:r>
      <w:r>
        <w:rPr>
          <w:spacing w:val="-7"/>
        </w:rPr>
        <w:t> </w:t>
      </w:r>
      <w:r>
        <w:rPr>
          <w:spacing w:val="-2"/>
        </w:rPr>
        <w:t>the</w:t>
      </w:r>
      <w:r>
        <w:rPr>
          <w:spacing w:val="-7"/>
        </w:rPr>
        <w:t> </w:t>
      </w:r>
      <w:r>
        <w:rPr>
          <w:spacing w:val="-2"/>
        </w:rPr>
        <w:t>torment</w:t>
      </w:r>
      <w:r>
        <w:rPr>
          <w:spacing w:val="-7"/>
        </w:rPr>
        <w:t> </w:t>
      </w:r>
      <w:r>
        <w:rPr>
          <w:spacing w:val="-2"/>
        </w:rPr>
        <w:t>of</w:t>
      </w:r>
      <w:r>
        <w:rPr>
          <w:spacing w:val="-11"/>
        </w:rPr>
        <w:t> </w:t>
      </w:r>
      <w:r>
        <w:rPr>
          <w:spacing w:val="-2"/>
        </w:rPr>
        <w:t>women</w:t>
      </w:r>
      <w:r>
        <w:rPr>
          <w:spacing w:val="-9"/>
        </w:rPr>
        <w:t> </w:t>
      </w:r>
      <w:r>
        <w:rPr>
          <w:spacing w:val="-2"/>
        </w:rPr>
        <w:t>is</w:t>
      </w:r>
      <w:r>
        <w:rPr>
          <w:spacing w:val="-10"/>
        </w:rPr>
        <w:t> </w:t>
      </w:r>
      <w:r>
        <w:rPr>
          <w:spacing w:val="-2"/>
        </w:rPr>
        <w:t>invariably </w:t>
      </w:r>
      <w:r>
        <w:rPr/>
        <w:t>intertwined with male psychological downfall, posing larger cultural constructs</w:t>
      </w:r>
      <w:r>
        <w:rPr>
          <w:spacing w:val="40"/>
        </w:rPr>
        <w:t> </w:t>
      </w:r>
      <w:r>
        <w:rPr/>
        <w:t>of</w:t>
      </w:r>
      <w:r>
        <w:rPr>
          <w:spacing w:val="40"/>
        </w:rPr>
        <w:t> </w:t>
      </w:r>
      <w:r>
        <w:rPr/>
        <w:t>human</w:t>
      </w:r>
      <w:r>
        <w:rPr>
          <w:spacing w:val="40"/>
        </w:rPr>
        <w:t> </w:t>
      </w:r>
      <w:r>
        <w:rPr/>
        <w:t>entanglement.</w:t>
      </w:r>
    </w:p>
    <w:p>
      <w:pPr>
        <w:pStyle w:val="BodyText"/>
        <w:spacing w:line="266" w:lineRule="auto" w:before="65"/>
        <w:ind w:right="1440" w:firstLine="432"/>
        <w:jc w:val="both"/>
      </w:pPr>
      <w:r>
        <w:rPr>
          <w:b/>
          <w:spacing w:val="-6"/>
        </w:rPr>
        <w:t>Keywords:</w:t>
      </w:r>
      <w:r>
        <w:rPr>
          <w:b/>
        </w:rPr>
        <w:t> </w:t>
      </w:r>
      <w:r>
        <w:rPr>
          <w:spacing w:val="-6"/>
        </w:rPr>
        <w:t>Female</w:t>
      </w:r>
      <w:r>
        <w:rPr>
          <w:spacing w:val="-7"/>
        </w:rPr>
        <w:t> </w:t>
      </w:r>
      <w:r>
        <w:rPr>
          <w:spacing w:val="-6"/>
        </w:rPr>
        <w:t>Agency,</w:t>
      </w:r>
      <w:r>
        <w:rPr/>
        <w:t> </w:t>
      </w:r>
      <w:r>
        <w:rPr>
          <w:spacing w:val="-6"/>
        </w:rPr>
        <w:t>Ophelia, Paro,</w:t>
      </w:r>
      <w:r>
        <w:rPr/>
        <w:t> </w:t>
      </w:r>
      <w:r>
        <w:rPr>
          <w:spacing w:val="-6"/>
        </w:rPr>
        <w:t>Chandramukhi,</w:t>
      </w:r>
      <w:r>
        <w:rPr/>
        <w:t> </w:t>
      </w:r>
      <w:r>
        <w:rPr>
          <w:spacing w:val="-6"/>
        </w:rPr>
        <w:t>Madness, </w:t>
      </w:r>
      <w:r>
        <w:rPr/>
        <w:t>Escapism, Psychoanalytic Criticism, Feminist Tragedy</w:t>
      </w:r>
    </w:p>
    <w:p>
      <w:pPr>
        <w:pStyle w:val="Heading3"/>
        <w:numPr>
          <w:ilvl w:val="0"/>
          <w:numId w:val="43"/>
        </w:numPr>
        <w:tabs>
          <w:tab w:pos="1685" w:val="left" w:leader="none"/>
        </w:tabs>
        <w:spacing w:line="240" w:lineRule="auto" w:before="154" w:after="0"/>
        <w:ind w:left="1685" w:right="0" w:hanging="245"/>
        <w:jc w:val="left"/>
      </w:pPr>
      <w:r>
        <w:rPr>
          <w:spacing w:val="-2"/>
          <w:w w:val="95"/>
        </w:rPr>
        <w:t>INTRODUCTION</w:t>
      </w:r>
    </w:p>
    <w:p>
      <w:pPr>
        <w:pStyle w:val="BodyText"/>
        <w:spacing w:line="264" w:lineRule="auto" w:before="90"/>
        <w:ind w:right="1437" w:firstLine="432"/>
        <w:jc w:val="both"/>
      </w:pPr>
      <w:r>
        <w:rPr/>
        <w:t>In</w:t>
      </w:r>
      <w:r>
        <w:rPr>
          <w:spacing w:val="-5"/>
        </w:rPr>
        <w:t> </w:t>
      </w:r>
      <w:r>
        <w:rPr/>
        <w:t>tradition,</w:t>
      </w:r>
      <w:r>
        <w:rPr>
          <w:spacing w:val="-5"/>
        </w:rPr>
        <w:t> </w:t>
      </w:r>
      <w:r>
        <w:rPr/>
        <w:t>tragedy,</w:t>
      </w:r>
      <w:r>
        <w:rPr>
          <w:spacing w:val="-3"/>
        </w:rPr>
        <w:t> </w:t>
      </w:r>
      <w:r>
        <w:rPr/>
        <w:t>as</w:t>
      </w:r>
      <w:r>
        <w:rPr>
          <w:spacing w:val="-5"/>
        </w:rPr>
        <w:t> </w:t>
      </w:r>
      <w:r>
        <w:rPr/>
        <w:t>a</w:t>
      </w:r>
      <w:r>
        <w:rPr>
          <w:spacing w:val="-7"/>
        </w:rPr>
        <w:t> </w:t>
      </w:r>
      <w:r>
        <w:rPr/>
        <w:t>literary</w:t>
      </w:r>
      <w:r>
        <w:rPr>
          <w:spacing w:val="-8"/>
        </w:rPr>
        <w:t> </w:t>
      </w:r>
      <w:r>
        <w:rPr/>
        <w:t>form,</w:t>
      </w:r>
      <w:r>
        <w:rPr>
          <w:spacing w:val="-5"/>
        </w:rPr>
        <w:t> </w:t>
      </w:r>
      <w:r>
        <w:rPr/>
        <w:t>focuses</w:t>
      </w:r>
      <w:r>
        <w:rPr>
          <w:spacing w:val="-5"/>
        </w:rPr>
        <w:t> </w:t>
      </w:r>
      <w:r>
        <w:rPr/>
        <w:t>around</w:t>
      </w:r>
      <w:r>
        <w:rPr>
          <w:spacing w:val="-3"/>
        </w:rPr>
        <w:t> </w:t>
      </w:r>
      <w:r>
        <w:rPr/>
        <w:t>the</w:t>
      </w:r>
      <w:r>
        <w:rPr>
          <w:spacing w:val="-7"/>
        </w:rPr>
        <w:t> </w:t>
      </w:r>
      <w:r>
        <w:rPr/>
        <w:t>rise</w:t>
      </w:r>
      <w:r>
        <w:rPr>
          <w:spacing w:val="-5"/>
        </w:rPr>
        <w:t> </w:t>
      </w:r>
      <w:r>
        <w:rPr/>
        <w:t>and fall of a central male protagonist. It is the protagonist’s internal flaws and outside circumstances that bring about his doom. In the classical and early modern traditions, this forces the central position of tragic hero, around whom interpretations are centered; the other characters nest in the narrative structure. As most readers will say about Hamlet and Devdas, hereafter each tragic hero is very likely to be considered honestly as a symbol of indecision, emotional excesses, or, perhaps, of </w:t>
      </w:r>
      <w:r>
        <w:rPr>
          <w:spacing w:val="-2"/>
        </w:rPr>
        <w:t>self-destruction. But</w:t>
      </w:r>
      <w:r>
        <w:rPr>
          <w:spacing w:val="-3"/>
        </w:rPr>
        <w:t> </w:t>
      </w:r>
      <w:r>
        <w:rPr>
          <w:spacing w:val="-2"/>
        </w:rPr>
        <w:t>these</w:t>
      </w:r>
      <w:r>
        <w:rPr>
          <w:spacing w:val="-7"/>
        </w:rPr>
        <w:t> </w:t>
      </w:r>
      <w:r>
        <w:rPr>
          <w:spacing w:val="-2"/>
        </w:rPr>
        <w:t>hero-centric</w:t>
      </w:r>
      <w:r>
        <w:rPr>
          <w:spacing w:val="-4"/>
        </w:rPr>
        <w:t> </w:t>
      </w:r>
      <w:r>
        <w:rPr>
          <w:spacing w:val="-2"/>
        </w:rPr>
        <w:t>interpretations,</w:t>
      </w:r>
      <w:r>
        <w:rPr>
          <w:spacing w:val="-7"/>
        </w:rPr>
        <w:t> </w:t>
      </w:r>
      <w:r>
        <w:rPr>
          <w:spacing w:val="-2"/>
        </w:rPr>
        <w:t>although</w:t>
      </w:r>
      <w:r>
        <w:rPr>
          <w:spacing w:val="-9"/>
        </w:rPr>
        <w:t> </w:t>
      </w:r>
      <w:r>
        <w:rPr>
          <w:spacing w:val="-2"/>
        </w:rPr>
        <w:t>valuable, </w:t>
      </w:r>
      <w:r>
        <w:rPr/>
        <w:t>serve</w:t>
      </w:r>
      <w:r>
        <w:rPr>
          <w:spacing w:val="-4"/>
        </w:rPr>
        <w:t> </w:t>
      </w:r>
      <w:r>
        <w:rPr/>
        <w:t>as</w:t>
      </w:r>
      <w:r>
        <w:rPr>
          <w:spacing w:val="-3"/>
        </w:rPr>
        <w:t> </w:t>
      </w:r>
      <w:r>
        <w:rPr/>
        <w:t>a</w:t>
      </w:r>
      <w:r>
        <w:rPr>
          <w:spacing w:val="-2"/>
        </w:rPr>
        <w:t> </w:t>
      </w:r>
      <w:r>
        <w:rPr/>
        <w:t>mere</w:t>
      </w:r>
      <w:r>
        <w:rPr>
          <w:spacing w:val="-1"/>
        </w:rPr>
        <w:t> </w:t>
      </w:r>
      <w:r>
        <w:rPr/>
        <w:t>trajectory</w:t>
      </w:r>
      <w:r>
        <w:rPr>
          <w:spacing w:val="-6"/>
        </w:rPr>
        <w:t> </w:t>
      </w:r>
      <w:r>
        <w:rPr/>
        <w:t>that</w:t>
      </w:r>
      <w:r>
        <w:rPr>
          <w:spacing w:val="-1"/>
        </w:rPr>
        <w:t> </w:t>
      </w:r>
      <w:r>
        <w:rPr/>
        <w:t>grants</w:t>
      </w:r>
      <w:r>
        <w:rPr>
          <w:spacing w:val="-5"/>
        </w:rPr>
        <w:t> </w:t>
      </w:r>
      <w:r>
        <w:rPr/>
        <w:t>little</w:t>
      </w:r>
      <w:r>
        <w:rPr>
          <w:spacing w:val="-1"/>
        </w:rPr>
        <w:t> </w:t>
      </w:r>
      <w:r>
        <w:rPr/>
        <w:t>focus</w:t>
      </w:r>
      <w:r>
        <w:rPr>
          <w:spacing w:val="-5"/>
        </w:rPr>
        <w:t> </w:t>
      </w:r>
      <w:r>
        <w:rPr/>
        <w:t>toward these</w:t>
      </w:r>
      <w:r>
        <w:rPr>
          <w:spacing w:val="-5"/>
        </w:rPr>
        <w:t> </w:t>
      </w:r>
      <w:r>
        <w:rPr/>
        <w:t>emotional dynamics</w:t>
      </w:r>
      <w:r>
        <w:rPr>
          <w:spacing w:val="-9"/>
        </w:rPr>
        <w:t> </w:t>
      </w:r>
      <w:r>
        <w:rPr/>
        <w:t>but</w:t>
      </w:r>
      <w:r>
        <w:rPr>
          <w:spacing w:val="-2"/>
        </w:rPr>
        <w:t> </w:t>
      </w:r>
      <w:r>
        <w:rPr/>
        <w:t>not</w:t>
      </w:r>
      <w:r>
        <w:rPr>
          <w:spacing w:val="-4"/>
        </w:rPr>
        <w:t> </w:t>
      </w:r>
      <w:r>
        <w:rPr/>
        <w:t>the</w:t>
      </w:r>
      <w:r>
        <w:rPr>
          <w:spacing w:val="-6"/>
        </w:rPr>
        <w:t> </w:t>
      </w:r>
      <w:r>
        <w:rPr/>
        <w:t>characters</w:t>
      </w:r>
      <w:r>
        <w:rPr>
          <w:spacing w:val="-4"/>
        </w:rPr>
        <w:t> </w:t>
      </w:r>
      <w:r>
        <w:rPr/>
        <w:t>who</w:t>
      </w:r>
      <w:r>
        <w:rPr>
          <w:spacing w:val="-4"/>
        </w:rPr>
        <w:t> </w:t>
      </w:r>
      <w:r>
        <w:rPr/>
        <w:t>partake</w:t>
      </w:r>
      <w:r>
        <w:rPr>
          <w:spacing w:val="-2"/>
        </w:rPr>
        <w:t> </w:t>
      </w:r>
      <w:r>
        <w:rPr/>
        <w:t>in</w:t>
      </w:r>
      <w:r>
        <w:rPr>
          <w:spacing w:val="-6"/>
        </w:rPr>
        <w:t> </w:t>
      </w:r>
      <w:r>
        <w:rPr/>
        <w:t>these</w:t>
      </w:r>
      <w:r>
        <w:rPr>
          <w:spacing w:val="-3"/>
        </w:rPr>
        <w:t> </w:t>
      </w:r>
      <w:r>
        <w:rPr/>
        <w:t>dynamics</w:t>
      </w:r>
      <w:r>
        <w:rPr>
          <w:spacing w:val="-4"/>
        </w:rPr>
        <w:t> </w:t>
      </w:r>
      <w:r>
        <w:rPr/>
        <w:t>[1].</w:t>
      </w:r>
      <w:r>
        <w:rPr>
          <w:spacing w:val="-13"/>
        </w:rPr>
        <w:t> </w:t>
      </w:r>
      <w:r>
        <w:rPr/>
        <w:t>Any approach to tragedy within these plays must be more nuanced: it requires an overarching perspective that moves beyond the simple </w:t>
      </w:r>
      <w:r>
        <w:rPr>
          <w:spacing w:val="-2"/>
        </w:rPr>
        <w:t>characterization</w:t>
      </w:r>
      <w:r>
        <w:rPr>
          <w:spacing w:val="-11"/>
        </w:rPr>
        <w:t> </w:t>
      </w:r>
      <w:r>
        <w:rPr>
          <w:spacing w:val="-2"/>
        </w:rPr>
        <w:t>of</w:t>
      </w:r>
      <w:r>
        <w:rPr>
          <w:spacing w:val="-10"/>
        </w:rPr>
        <w:t> </w:t>
      </w:r>
      <w:r>
        <w:rPr>
          <w:spacing w:val="-2"/>
        </w:rPr>
        <w:t>the</w:t>
      </w:r>
      <w:r>
        <w:rPr>
          <w:spacing w:val="-11"/>
        </w:rPr>
        <w:t> </w:t>
      </w:r>
      <w:r>
        <w:rPr>
          <w:spacing w:val="-2"/>
        </w:rPr>
        <w:t>hero</w:t>
      </w:r>
      <w:r>
        <w:rPr>
          <w:spacing w:val="-10"/>
        </w:rPr>
        <w:t> </w:t>
      </w:r>
      <w:r>
        <w:rPr>
          <w:spacing w:val="-2"/>
        </w:rPr>
        <w:t>and</w:t>
      </w:r>
      <w:r>
        <w:rPr>
          <w:spacing w:val="-11"/>
        </w:rPr>
        <w:t> </w:t>
      </w:r>
      <w:r>
        <w:rPr>
          <w:spacing w:val="-2"/>
        </w:rPr>
        <w:t>examines</w:t>
      </w:r>
      <w:r>
        <w:rPr>
          <w:spacing w:val="-10"/>
        </w:rPr>
        <w:t> </w:t>
      </w:r>
      <w:r>
        <w:rPr>
          <w:spacing w:val="-2"/>
        </w:rPr>
        <w:t>how</w:t>
      </w:r>
      <w:r>
        <w:rPr>
          <w:spacing w:val="-11"/>
        </w:rPr>
        <w:t> </w:t>
      </w:r>
      <w:r>
        <w:rPr>
          <w:spacing w:val="-2"/>
        </w:rPr>
        <w:t>female</w:t>
      </w:r>
      <w:r>
        <w:rPr>
          <w:spacing w:val="-10"/>
        </w:rPr>
        <w:t> </w:t>
      </w:r>
      <w:r>
        <w:rPr>
          <w:spacing w:val="-2"/>
        </w:rPr>
        <w:t>agency</w:t>
      </w:r>
      <w:r>
        <w:rPr>
          <w:spacing w:val="-11"/>
        </w:rPr>
        <w:t> </w:t>
      </w:r>
      <w:r>
        <w:rPr>
          <w:spacing w:val="-2"/>
        </w:rPr>
        <w:t>orchestrates </w:t>
      </w:r>
      <w:r>
        <w:rPr/>
        <w:t>the process of psychological collapse that eventually culminates in the tragic</w:t>
      </w:r>
      <w:r>
        <w:rPr>
          <w:spacing w:val="40"/>
        </w:rPr>
        <w:t> </w:t>
      </w:r>
      <w:r>
        <w:rPr/>
        <w:t>ending.</w:t>
      </w:r>
    </w:p>
    <w:p>
      <w:pPr>
        <w:pStyle w:val="BodyText"/>
        <w:spacing w:line="249" w:lineRule="auto" w:before="66"/>
        <w:ind w:right="1437" w:firstLine="432"/>
        <w:jc w:val="both"/>
      </w:pPr>
      <w:r>
        <w:rPr>
          <w:spacing w:val="-2"/>
        </w:rPr>
        <w:t>The</w:t>
      </w:r>
      <w:r>
        <w:rPr>
          <w:spacing w:val="-4"/>
        </w:rPr>
        <w:t> </w:t>
      </w:r>
      <w:r>
        <w:rPr>
          <w:spacing w:val="-2"/>
        </w:rPr>
        <w:t>female</w:t>
      </w:r>
      <w:r>
        <w:rPr>
          <w:spacing w:val="-9"/>
        </w:rPr>
        <w:t> </w:t>
      </w:r>
      <w:r>
        <w:rPr>
          <w:spacing w:val="-2"/>
        </w:rPr>
        <w:t>characters</w:t>
      </w:r>
      <w:r>
        <w:rPr>
          <w:spacing w:val="-6"/>
        </w:rPr>
        <w:t> </w:t>
      </w:r>
      <w:r>
        <w:rPr>
          <w:spacing w:val="-2"/>
        </w:rPr>
        <w:t>in</w:t>
      </w:r>
      <w:r>
        <w:rPr>
          <w:spacing w:val="-6"/>
        </w:rPr>
        <w:t> </w:t>
      </w:r>
      <w:r>
        <w:rPr>
          <w:spacing w:val="-2"/>
        </w:rPr>
        <w:t>Hamlet</w:t>
      </w:r>
      <w:r>
        <w:rPr>
          <w:spacing w:val="-6"/>
        </w:rPr>
        <w:t> </w:t>
      </w:r>
      <w:r>
        <w:rPr>
          <w:spacing w:val="-2"/>
        </w:rPr>
        <w:t>and</w:t>
      </w:r>
      <w:r>
        <w:rPr>
          <w:spacing w:val="-6"/>
        </w:rPr>
        <w:t> </w:t>
      </w:r>
      <w:r>
        <w:rPr>
          <w:spacing w:val="-2"/>
        </w:rPr>
        <w:t>Devdas-Ophelia</w:t>
      </w:r>
      <w:r>
        <w:rPr>
          <w:spacing w:val="-4"/>
        </w:rPr>
        <w:t> </w:t>
      </w:r>
      <w:r>
        <w:rPr>
          <w:spacing w:val="-2"/>
        </w:rPr>
        <w:t>and</w:t>
      </w:r>
      <w:r>
        <w:rPr>
          <w:spacing w:val="-6"/>
        </w:rPr>
        <w:t> </w:t>
      </w:r>
      <w:r>
        <w:rPr>
          <w:spacing w:val="-2"/>
        </w:rPr>
        <w:t>Gertrude, </w:t>
      </w:r>
      <w:r>
        <w:rPr/>
        <w:t>Paro and Chandramukhi, respectively-often find themselves pushed to the</w:t>
      </w:r>
      <w:r>
        <w:rPr>
          <w:spacing w:val="16"/>
        </w:rPr>
        <w:t> </w:t>
      </w:r>
      <w:r>
        <w:rPr/>
        <w:t>background,</w:t>
      </w:r>
      <w:r>
        <w:rPr>
          <w:spacing w:val="17"/>
        </w:rPr>
        <w:t> </w:t>
      </w:r>
      <w:r>
        <w:rPr/>
        <w:t>cast</w:t>
      </w:r>
      <w:r>
        <w:rPr>
          <w:spacing w:val="17"/>
        </w:rPr>
        <w:t> </w:t>
      </w:r>
      <w:r>
        <w:rPr/>
        <w:t>either</w:t>
      </w:r>
      <w:r>
        <w:rPr>
          <w:spacing w:val="19"/>
        </w:rPr>
        <w:t> </w:t>
      </w:r>
      <w:r>
        <w:rPr/>
        <w:t>as</w:t>
      </w:r>
      <w:r>
        <w:rPr>
          <w:spacing w:val="15"/>
        </w:rPr>
        <w:t> </w:t>
      </w:r>
      <w:r>
        <w:rPr/>
        <w:t>helpless</w:t>
      </w:r>
      <w:r>
        <w:rPr>
          <w:spacing w:val="17"/>
        </w:rPr>
        <w:t> </w:t>
      </w:r>
      <w:r>
        <w:rPr/>
        <w:t>victims</w:t>
      </w:r>
      <w:r>
        <w:rPr>
          <w:spacing w:val="16"/>
        </w:rPr>
        <w:t> </w:t>
      </w:r>
      <w:r>
        <w:rPr/>
        <w:t>of</w:t>
      </w:r>
      <w:r>
        <w:rPr>
          <w:spacing w:val="17"/>
        </w:rPr>
        <w:t> </w:t>
      </w:r>
      <w:r>
        <w:rPr/>
        <w:t>the</w:t>
      </w:r>
      <w:r>
        <w:rPr>
          <w:spacing w:val="16"/>
        </w:rPr>
        <w:t> </w:t>
      </w:r>
      <w:r>
        <w:rPr/>
        <w:t>patriarchal</w:t>
      </w:r>
      <w:r>
        <w:rPr>
          <w:spacing w:val="17"/>
        </w:rPr>
        <w:t> </w:t>
      </w:r>
      <w:r>
        <w:rPr>
          <w:spacing w:val="-4"/>
        </w:rPr>
        <w:t>view</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1920">
                <wp:simplePos x="0" y="0"/>
                <wp:positionH relativeFrom="page">
                  <wp:posOffset>2065020</wp:posOffset>
                </wp:positionH>
                <wp:positionV relativeFrom="paragraph">
                  <wp:posOffset>795020</wp:posOffset>
                </wp:positionV>
                <wp:extent cx="3657600" cy="12700"/>
                <wp:effectExtent l="0" t="0" r="0" b="0"/>
                <wp:wrapTopAndBottom/>
                <wp:docPr id="499" name="Graphic 499"/>
                <wp:cNvGraphicFramePr>
                  <a:graphicFrameLocks/>
                </wp:cNvGraphicFramePr>
                <a:graphic>
                  <a:graphicData uri="http://schemas.microsoft.com/office/word/2010/wordprocessingShape">
                    <wps:wsp>
                      <wps:cNvPr id="499" name="Graphic 49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54560;mso-wrap-distance-left:0;mso-wrap-distance-right:0" id="docshape494" filled="true" fillcolor="#000000" stroked="false">
                <v:fill type="solid"/>
                <w10:wrap type="topAndBottom"/>
              </v:rect>
            </w:pict>
          </mc:Fallback>
        </mc:AlternateContent>
      </w:r>
      <w:r>
        <w:rPr>
          <w:rFonts w:ascii="Verdana"/>
          <w:sz w:val="18"/>
        </w:rPr>
        <w:t>Shadows</w:t>
      </w:r>
      <w:r>
        <w:rPr>
          <w:rFonts w:ascii="Verdana"/>
          <w:spacing w:val="5"/>
          <w:sz w:val="18"/>
        </w:rPr>
        <w:t> </w:t>
      </w:r>
      <w:r>
        <w:rPr>
          <w:rFonts w:ascii="Verdana"/>
          <w:sz w:val="18"/>
        </w:rPr>
        <w:t>of</w:t>
      </w:r>
      <w:r>
        <w:rPr>
          <w:rFonts w:ascii="Verdana"/>
          <w:spacing w:val="8"/>
          <w:sz w:val="18"/>
        </w:rPr>
        <w:t> </w:t>
      </w:r>
      <w:r>
        <w:rPr>
          <w:rFonts w:ascii="Verdana"/>
          <w:sz w:val="18"/>
        </w:rPr>
        <w:t>the</w:t>
      </w:r>
      <w:r>
        <w:rPr>
          <w:rFonts w:ascii="Verdana"/>
          <w:spacing w:val="6"/>
          <w:sz w:val="18"/>
        </w:rPr>
        <w:t> </w:t>
      </w:r>
      <w:r>
        <w:rPr>
          <w:rFonts w:ascii="Verdana"/>
          <w:sz w:val="18"/>
        </w:rPr>
        <w:t>Tragic</w:t>
      </w:r>
      <w:r>
        <w:rPr>
          <w:rFonts w:ascii="Verdana"/>
          <w:spacing w:val="6"/>
          <w:sz w:val="18"/>
        </w:rPr>
        <w:t> </w:t>
      </w:r>
      <w:r>
        <w:rPr>
          <w:rFonts w:ascii="Verdana"/>
          <w:sz w:val="18"/>
        </w:rPr>
        <w:t>Hero:</w:t>
      </w:r>
      <w:r>
        <w:rPr>
          <w:rFonts w:ascii="Verdana"/>
          <w:spacing w:val="5"/>
          <w:sz w:val="18"/>
        </w:rPr>
        <w:t> </w:t>
      </w:r>
      <w:r>
        <w:rPr>
          <w:rFonts w:ascii="Verdana"/>
          <w:sz w:val="18"/>
        </w:rPr>
        <w:t>Female</w:t>
      </w:r>
      <w:r>
        <w:rPr>
          <w:rFonts w:ascii="Verdana"/>
          <w:spacing w:val="5"/>
          <w:sz w:val="18"/>
        </w:rPr>
        <w:t> </w:t>
      </w:r>
      <w:r>
        <w:rPr>
          <w:rFonts w:ascii="Verdana"/>
          <w:sz w:val="18"/>
        </w:rPr>
        <w:t>Agency</w:t>
      </w:r>
      <w:r>
        <w:rPr>
          <w:rFonts w:ascii="Verdana"/>
          <w:spacing w:val="5"/>
          <w:sz w:val="18"/>
        </w:rPr>
        <w:t> </w:t>
      </w:r>
      <w:r>
        <w:rPr>
          <w:rFonts w:ascii="Verdana"/>
          <w:sz w:val="18"/>
        </w:rPr>
        <w:t>and</w:t>
      </w:r>
      <w:r>
        <w:rPr>
          <w:rFonts w:ascii="Verdana"/>
          <w:spacing w:val="7"/>
          <w:sz w:val="18"/>
        </w:rPr>
        <w:t> </w:t>
      </w:r>
      <w:r>
        <w:rPr>
          <w:rFonts w:ascii="Verdana"/>
          <w:spacing w:val="-5"/>
          <w:sz w:val="18"/>
        </w:rPr>
        <w:t>...</w:t>
      </w:r>
      <w:r>
        <w:rPr>
          <w:sz w:val="18"/>
        </w:rPr>
        <w:tab/>
      </w:r>
      <w:r>
        <w:rPr>
          <w:rFonts w:ascii="Verdana"/>
          <w:spacing w:val="-5"/>
          <w:sz w:val="18"/>
        </w:rPr>
        <w:t>225</w:t>
      </w:r>
    </w:p>
    <w:p>
      <w:pPr>
        <w:pStyle w:val="BodyText"/>
        <w:spacing w:line="249" w:lineRule="auto" w:before="192"/>
        <w:ind w:right="1439"/>
        <w:jc w:val="both"/>
      </w:pPr>
      <w:r>
        <w:rPr/>
        <w:t>or silent expressions of the hero’s mood. This hardly registers on the cognitive scale of the narrative grasp. Their roles vary from simple to brilliant tragic catalysts, influencing the narrative in various ways </w:t>
      </w:r>
      <w:r>
        <w:rPr>
          <w:spacing w:val="-4"/>
        </w:rPr>
        <w:t>imperceptible to resolve the tragedies</w:t>
      </w:r>
      <w:r>
        <w:rPr>
          <w:spacing w:val="-6"/>
        </w:rPr>
        <w:t> </w:t>
      </w:r>
      <w:r>
        <w:rPr>
          <w:spacing w:val="-4"/>
        </w:rPr>
        <w:t>[1]. Ophelia’s</w:t>
      </w:r>
      <w:r>
        <w:rPr>
          <w:spacing w:val="-9"/>
        </w:rPr>
        <w:t> </w:t>
      </w:r>
      <w:r>
        <w:rPr>
          <w:spacing w:val="-4"/>
        </w:rPr>
        <w:t>madness, for example, </w:t>
      </w:r>
      <w:r>
        <w:rPr/>
        <w:t>is more often viewed as the eventual result of the erratic behavior exhibited by Hamlet, rather than as an ever-increasing preoccupation with</w:t>
      </w:r>
      <w:r>
        <w:rPr>
          <w:spacing w:val="-12"/>
        </w:rPr>
        <w:t> </w:t>
      </w:r>
      <w:r>
        <w:rPr/>
        <w:t>the</w:t>
      </w:r>
      <w:r>
        <w:rPr>
          <w:spacing w:val="-12"/>
        </w:rPr>
        <w:t> </w:t>
      </w:r>
      <w:r>
        <w:rPr/>
        <w:t>protagonist</w:t>
      </w:r>
      <w:r>
        <w:rPr>
          <w:spacing w:val="-11"/>
        </w:rPr>
        <w:t> </w:t>
      </w:r>
      <w:r>
        <w:rPr/>
        <w:t>herself,</w:t>
      </w:r>
      <w:r>
        <w:rPr>
          <w:spacing w:val="-11"/>
        </w:rPr>
        <w:t> </w:t>
      </w:r>
      <w:r>
        <w:rPr/>
        <w:t>while</w:t>
      </w:r>
      <w:r>
        <w:rPr>
          <w:spacing w:val="-10"/>
        </w:rPr>
        <w:t> </w:t>
      </w:r>
      <w:r>
        <w:rPr/>
        <w:t>the</w:t>
      </w:r>
      <w:r>
        <w:rPr>
          <w:spacing w:val="-12"/>
        </w:rPr>
        <w:t> </w:t>
      </w:r>
      <w:r>
        <w:rPr/>
        <w:t>moral</w:t>
      </w:r>
      <w:r>
        <w:rPr>
          <w:spacing w:val="-10"/>
        </w:rPr>
        <w:t> </w:t>
      </w:r>
      <w:r>
        <w:rPr/>
        <w:t>position</w:t>
      </w:r>
      <w:r>
        <w:rPr>
          <w:spacing w:val="-13"/>
        </w:rPr>
        <w:t> </w:t>
      </w:r>
      <w:r>
        <w:rPr/>
        <w:t>regarding</w:t>
      </w:r>
      <w:r>
        <w:rPr>
          <w:spacing w:val="-12"/>
        </w:rPr>
        <w:t> </w:t>
      </w:r>
      <w:r>
        <w:rPr/>
        <w:t>Gertrude is analyzed from a level of ambiguity without any further inquiry into her</w:t>
      </w:r>
      <w:r>
        <w:rPr>
          <w:spacing w:val="-5"/>
        </w:rPr>
        <w:t> </w:t>
      </w:r>
      <w:r>
        <w:rPr/>
        <w:t>psychological</w:t>
      </w:r>
      <w:r>
        <w:rPr>
          <w:spacing w:val="-6"/>
        </w:rPr>
        <w:t> </w:t>
      </w:r>
      <w:r>
        <w:rPr/>
        <w:t>positioning.</w:t>
      </w:r>
      <w:r>
        <w:rPr>
          <w:spacing w:val="-5"/>
        </w:rPr>
        <w:t> </w:t>
      </w:r>
      <w:r>
        <w:rPr/>
        <w:t>Similarly,</w:t>
      </w:r>
      <w:r>
        <w:rPr>
          <w:spacing w:val="-3"/>
        </w:rPr>
        <w:t> </w:t>
      </w:r>
      <w:r>
        <w:rPr/>
        <w:t>in</w:t>
      </w:r>
      <w:r>
        <w:rPr>
          <w:spacing w:val="-8"/>
        </w:rPr>
        <w:t> </w:t>
      </w:r>
      <w:r>
        <w:rPr/>
        <w:t>Devdas,</w:t>
      </w:r>
      <w:r>
        <w:rPr>
          <w:spacing w:val="-5"/>
        </w:rPr>
        <w:t> </w:t>
      </w:r>
      <w:r>
        <w:rPr/>
        <w:t>Oblivious</w:t>
      </w:r>
      <w:r>
        <w:rPr>
          <w:spacing w:val="-6"/>
        </w:rPr>
        <w:t> </w:t>
      </w:r>
      <w:r>
        <w:rPr/>
        <w:t>typically is characterized as the rejected lover and Chandramukhi as the self-sacrificing</w:t>
      </w:r>
      <w:r>
        <w:rPr>
          <w:spacing w:val="-13"/>
        </w:rPr>
        <w:t> </w:t>
      </w:r>
      <w:r>
        <w:rPr/>
        <w:t>courtesan,</w:t>
      </w:r>
      <w:r>
        <w:rPr>
          <w:spacing w:val="-12"/>
        </w:rPr>
        <w:t> </w:t>
      </w:r>
      <w:r>
        <w:rPr/>
        <w:t>both</w:t>
      </w:r>
      <w:r>
        <w:rPr>
          <w:spacing w:val="-13"/>
        </w:rPr>
        <w:t> </w:t>
      </w:r>
      <w:r>
        <w:rPr/>
        <w:t>in</w:t>
      </w:r>
      <w:r>
        <w:rPr>
          <w:spacing w:val="-12"/>
        </w:rPr>
        <w:t> </w:t>
      </w:r>
      <w:r>
        <w:rPr/>
        <w:t>relation</w:t>
      </w:r>
      <w:r>
        <w:rPr>
          <w:spacing w:val="-13"/>
        </w:rPr>
        <w:t> </w:t>
      </w:r>
      <w:r>
        <w:rPr/>
        <w:t>to</w:t>
      </w:r>
      <w:r>
        <w:rPr>
          <w:spacing w:val="-12"/>
        </w:rPr>
        <w:t> </w:t>
      </w:r>
      <w:r>
        <w:rPr/>
        <w:t>Devdas’</w:t>
      </w:r>
      <w:r>
        <w:rPr>
          <w:spacing w:val="-13"/>
        </w:rPr>
        <w:t> </w:t>
      </w:r>
      <w:r>
        <w:rPr/>
        <w:t>emotional</w:t>
      </w:r>
      <w:r>
        <w:rPr>
          <w:spacing w:val="-12"/>
        </w:rPr>
        <w:t> </w:t>
      </w:r>
      <w:r>
        <w:rPr/>
        <w:t>frailty.</w:t>
      </w:r>
      <w:r>
        <w:rPr>
          <w:spacing w:val="-13"/>
        </w:rPr>
        <w:t> </w:t>
      </w:r>
      <w:r>
        <w:rPr/>
        <w:t>There is something to their arguments, but the literary greats stand violated when these critics reduce the female characters to reactant; rather than active,</w:t>
      </w:r>
      <w:r>
        <w:rPr>
          <w:spacing w:val="40"/>
        </w:rPr>
        <w:t> </w:t>
      </w:r>
      <w:r>
        <w:rPr/>
        <w:t>participants</w:t>
      </w:r>
      <w:r>
        <w:rPr>
          <w:spacing w:val="40"/>
        </w:rPr>
        <w:t> </w:t>
      </w:r>
      <w:r>
        <w:rPr/>
        <w:t>consequent</w:t>
      </w:r>
      <w:r>
        <w:rPr>
          <w:spacing w:val="40"/>
        </w:rPr>
        <w:t> </w:t>
      </w:r>
      <w:r>
        <w:rPr/>
        <w:t>to</w:t>
      </w:r>
      <w:r>
        <w:rPr>
          <w:spacing w:val="40"/>
        </w:rPr>
        <w:t> </w:t>
      </w:r>
      <w:r>
        <w:rPr/>
        <w:t>the</w:t>
      </w:r>
      <w:r>
        <w:rPr>
          <w:spacing w:val="40"/>
        </w:rPr>
        <w:t> </w:t>
      </w:r>
      <w:r>
        <w:rPr/>
        <w:t>tragedy</w:t>
      </w:r>
      <w:r>
        <w:rPr>
          <w:spacing w:val="40"/>
        </w:rPr>
        <w:t> </w:t>
      </w:r>
      <w:r>
        <w:rPr/>
        <w:t>[3].</w:t>
      </w:r>
    </w:p>
    <w:p>
      <w:pPr>
        <w:pStyle w:val="BodyText"/>
        <w:spacing w:line="249" w:lineRule="auto" w:before="69"/>
        <w:ind w:right="1437" w:firstLine="432"/>
        <w:jc w:val="both"/>
      </w:pPr>
      <w:r>
        <w:rPr/>
        <w:t>The issue with hero-centered analyses is that they fail to account for the dynamic interactions that both the male protagonists and female characters engage in. For, in these texts, the grimness doesn’t come </w:t>
      </w:r>
      <w:r>
        <w:rPr>
          <w:spacing w:val="-2"/>
        </w:rPr>
        <w:t>from</w:t>
      </w:r>
      <w:r>
        <w:rPr>
          <w:spacing w:val="-11"/>
        </w:rPr>
        <w:t> </w:t>
      </w:r>
      <w:r>
        <w:rPr>
          <w:spacing w:val="-2"/>
        </w:rPr>
        <w:t>the</w:t>
      </w:r>
      <w:r>
        <w:rPr>
          <w:spacing w:val="-10"/>
        </w:rPr>
        <w:t> </w:t>
      </w:r>
      <w:r>
        <w:rPr>
          <w:spacing w:val="-2"/>
        </w:rPr>
        <w:t>males</w:t>
      </w:r>
      <w:r>
        <w:rPr>
          <w:spacing w:val="-11"/>
        </w:rPr>
        <w:t> </w:t>
      </w:r>
      <w:r>
        <w:rPr>
          <w:spacing w:val="-2"/>
        </w:rPr>
        <w:t>themselves,</w:t>
      </w:r>
      <w:r>
        <w:rPr>
          <w:spacing w:val="-10"/>
        </w:rPr>
        <w:t> </w:t>
      </w:r>
      <w:r>
        <w:rPr>
          <w:spacing w:val="-2"/>
        </w:rPr>
        <w:t>from</w:t>
      </w:r>
      <w:r>
        <w:rPr>
          <w:spacing w:val="-11"/>
        </w:rPr>
        <w:t> </w:t>
      </w:r>
      <w:r>
        <w:rPr>
          <w:spacing w:val="-2"/>
        </w:rPr>
        <w:t>some</w:t>
      </w:r>
      <w:r>
        <w:rPr>
          <w:spacing w:val="-10"/>
        </w:rPr>
        <w:t> </w:t>
      </w:r>
      <w:r>
        <w:rPr>
          <w:spacing w:val="-2"/>
        </w:rPr>
        <w:t>internal</w:t>
      </w:r>
      <w:r>
        <w:rPr>
          <w:spacing w:val="-11"/>
        </w:rPr>
        <w:t> </w:t>
      </w:r>
      <w:r>
        <w:rPr>
          <w:spacing w:val="-2"/>
        </w:rPr>
        <w:t>hamartia</w:t>
      </w:r>
      <w:r>
        <w:rPr>
          <w:spacing w:val="-10"/>
        </w:rPr>
        <w:t> </w:t>
      </w:r>
      <w:r>
        <w:rPr>
          <w:spacing w:val="-2"/>
        </w:rPr>
        <w:t>or</w:t>
      </w:r>
      <w:r>
        <w:rPr>
          <w:spacing w:val="-11"/>
        </w:rPr>
        <w:t> </w:t>
      </w:r>
      <w:r>
        <w:rPr>
          <w:spacing w:val="-2"/>
        </w:rPr>
        <w:t>flawed</w:t>
      </w:r>
      <w:r>
        <w:rPr>
          <w:spacing w:val="-10"/>
        </w:rPr>
        <w:t> </w:t>
      </w:r>
      <w:r>
        <w:rPr>
          <w:spacing w:val="-2"/>
        </w:rPr>
        <w:t>quality, </w:t>
      </w:r>
      <w:r>
        <w:rPr/>
        <w:t>like Hamlet’s indecision or Devdas’s weak temperament, but from the series</w:t>
      </w:r>
      <w:r>
        <w:rPr>
          <w:spacing w:val="-10"/>
        </w:rPr>
        <w:t> </w:t>
      </w:r>
      <w:r>
        <w:rPr/>
        <w:t>of</w:t>
      </w:r>
      <w:r>
        <w:rPr>
          <w:spacing w:val="-12"/>
        </w:rPr>
        <w:t> </w:t>
      </w:r>
      <w:r>
        <w:rPr/>
        <w:t>emotional,</w:t>
      </w:r>
      <w:r>
        <w:rPr>
          <w:spacing w:val="-9"/>
        </w:rPr>
        <w:t> </w:t>
      </w:r>
      <w:r>
        <w:rPr/>
        <w:t>social,</w:t>
      </w:r>
      <w:r>
        <w:rPr>
          <w:spacing w:val="-10"/>
        </w:rPr>
        <w:t> </w:t>
      </w:r>
      <w:r>
        <w:rPr/>
        <w:t>and</w:t>
      </w:r>
      <w:r>
        <w:rPr>
          <w:spacing w:val="-9"/>
        </w:rPr>
        <w:t> </w:t>
      </w:r>
      <w:r>
        <w:rPr/>
        <w:t>psychological</w:t>
      </w:r>
      <w:r>
        <w:rPr>
          <w:spacing w:val="-12"/>
        </w:rPr>
        <w:t> </w:t>
      </w:r>
      <w:r>
        <w:rPr/>
        <w:t>interconnections.</w:t>
      </w:r>
      <w:r>
        <w:rPr>
          <w:spacing w:val="-10"/>
        </w:rPr>
        <w:t> </w:t>
      </w:r>
      <w:r>
        <w:rPr/>
        <w:t>Women, instead of just being bystanders, do exert some influence through their choices, silence, and refusal. The degree of their agency may be under the severe imposition of societal norms, and yet sometimes this very agency</w:t>
      </w:r>
      <w:r>
        <w:rPr>
          <w:spacing w:val="-7"/>
        </w:rPr>
        <w:t> </w:t>
      </w:r>
      <w:r>
        <w:rPr/>
        <w:t>adds</w:t>
      </w:r>
      <w:r>
        <w:rPr>
          <w:spacing w:val="-7"/>
        </w:rPr>
        <w:t> </w:t>
      </w:r>
      <w:r>
        <w:rPr/>
        <w:t>incalculably</w:t>
      </w:r>
      <w:r>
        <w:rPr>
          <w:spacing w:val="-7"/>
        </w:rPr>
        <w:t> </w:t>
      </w:r>
      <w:r>
        <w:rPr/>
        <w:t>to</w:t>
      </w:r>
      <w:r>
        <w:rPr>
          <w:spacing w:val="-5"/>
        </w:rPr>
        <w:t> </w:t>
      </w:r>
      <w:r>
        <w:rPr/>
        <w:t>the</w:t>
      </w:r>
      <w:r>
        <w:rPr>
          <w:spacing w:val="-2"/>
        </w:rPr>
        <w:t> </w:t>
      </w:r>
      <w:r>
        <w:rPr/>
        <w:t>propelling</w:t>
      </w:r>
      <w:r>
        <w:rPr>
          <w:spacing w:val="-5"/>
        </w:rPr>
        <w:t> </w:t>
      </w:r>
      <w:r>
        <w:rPr/>
        <w:t>power</w:t>
      </w:r>
      <w:r>
        <w:rPr>
          <w:spacing w:val="-5"/>
        </w:rPr>
        <w:t> </w:t>
      </w:r>
      <w:r>
        <w:rPr/>
        <w:t>of</w:t>
      </w:r>
      <w:r>
        <w:rPr>
          <w:spacing w:val="-5"/>
        </w:rPr>
        <w:t> </w:t>
      </w:r>
      <w:r>
        <w:rPr/>
        <w:t>the</w:t>
      </w:r>
      <w:r>
        <w:rPr>
          <w:spacing w:val="-6"/>
        </w:rPr>
        <w:t> </w:t>
      </w:r>
      <w:r>
        <w:rPr/>
        <w:t>tragic</w:t>
      </w:r>
      <w:r>
        <w:rPr>
          <w:spacing w:val="-4"/>
        </w:rPr>
        <w:t> </w:t>
      </w:r>
      <w:r>
        <w:rPr/>
        <w:t>incidents. Ophelia obedience to her father and her consciousness-sundering acts</w:t>
      </w:r>
      <w:r>
        <w:rPr>
          <w:spacing w:val="40"/>
        </w:rPr>
        <w:t> </w:t>
      </w:r>
      <w:r>
        <w:rPr/>
        <w:t>of madness are practices of both compliance and resistance that eventually ripple and destabilize her emotional environment in relation to Hamlet. Gertrude’s agency, be it understood as pragmatic or morally </w:t>
      </w:r>
      <w:r>
        <w:rPr>
          <w:spacing w:val="-2"/>
        </w:rPr>
        <w:t>twisted,</w:t>
      </w:r>
      <w:r>
        <w:rPr>
          <w:spacing w:val="-11"/>
        </w:rPr>
        <w:t> </w:t>
      </w:r>
      <w:r>
        <w:rPr>
          <w:spacing w:val="-2"/>
        </w:rPr>
        <w:t>articulates</w:t>
      </w:r>
      <w:r>
        <w:rPr>
          <w:spacing w:val="-10"/>
        </w:rPr>
        <w:t> </w:t>
      </w:r>
      <w:r>
        <w:rPr>
          <w:spacing w:val="-2"/>
        </w:rPr>
        <w:t>a</w:t>
      </w:r>
      <w:r>
        <w:rPr>
          <w:spacing w:val="-11"/>
        </w:rPr>
        <w:t> </w:t>
      </w:r>
      <w:r>
        <w:rPr>
          <w:spacing w:val="-2"/>
        </w:rPr>
        <w:t>central</w:t>
      </w:r>
      <w:r>
        <w:rPr>
          <w:spacing w:val="-10"/>
        </w:rPr>
        <w:t> </w:t>
      </w:r>
      <w:r>
        <w:rPr>
          <w:spacing w:val="-2"/>
        </w:rPr>
        <w:t>fault</w:t>
      </w:r>
      <w:r>
        <w:rPr>
          <w:spacing w:val="-8"/>
        </w:rPr>
        <w:t> </w:t>
      </w:r>
      <w:r>
        <w:rPr>
          <w:spacing w:val="-2"/>
        </w:rPr>
        <w:t>line</w:t>
      </w:r>
      <w:r>
        <w:rPr>
          <w:spacing w:val="-7"/>
        </w:rPr>
        <w:t> </w:t>
      </w:r>
      <w:r>
        <w:rPr>
          <w:spacing w:val="-2"/>
        </w:rPr>
        <w:t>in</w:t>
      </w:r>
      <w:r>
        <w:rPr>
          <w:spacing w:val="-11"/>
        </w:rPr>
        <w:t> </w:t>
      </w:r>
      <w:r>
        <w:rPr>
          <w:spacing w:val="-2"/>
        </w:rPr>
        <w:t>Hamlet’s</w:t>
      </w:r>
      <w:r>
        <w:rPr>
          <w:spacing w:val="-10"/>
        </w:rPr>
        <w:t> </w:t>
      </w:r>
      <w:r>
        <w:rPr>
          <w:spacing w:val="-2"/>
        </w:rPr>
        <w:t>spirit</w:t>
      </w:r>
      <w:r>
        <w:rPr>
          <w:spacing w:val="-7"/>
        </w:rPr>
        <w:t> </w:t>
      </w:r>
      <w:r>
        <w:rPr>
          <w:spacing w:val="-2"/>
        </w:rPr>
        <w:t>and</w:t>
      </w:r>
      <w:r>
        <w:rPr>
          <w:spacing w:val="-7"/>
        </w:rPr>
        <w:t> </w:t>
      </w:r>
      <w:r>
        <w:rPr>
          <w:spacing w:val="-2"/>
        </w:rPr>
        <w:t>psychological </w:t>
      </w:r>
      <w:r>
        <w:rPr/>
        <w:t>unease. In Devdas, Paro’s assertion to marry another on her own cause and Chandramukhi’s fill</w:t>
      </w:r>
      <w:r>
        <w:rPr>
          <w:spacing w:val="-1"/>
        </w:rPr>
        <w:t> </w:t>
      </w:r>
      <w:r>
        <w:rPr/>
        <w:t>transformation from</w:t>
      </w:r>
      <w:r>
        <w:rPr>
          <w:spacing w:val="-2"/>
        </w:rPr>
        <w:t> </w:t>
      </w:r>
      <w:r>
        <w:rPr/>
        <w:t>the courtesan</w:t>
      </w:r>
      <w:r>
        <w:rPr>
          <w:spacing w:val="-1"/>
        </w:rPr>
        <w:t> </w:t>
      </w:r>
      <w:r>
        <w:rPr/>
        <w:t>to the</w:t>
      </w:r>
      <w:r>
        <w:rPr>
          <w:spacing w:val="-1"/>
        </w:rPr>
        <w:t> </w:t>
      </w:r>
      <w:r>
        <w:rPr/>
        <w:t>focus of emotional depth turned out to be not only reactions aroused by the poor Devdas but also actions that redefine the emotional stakes of the text</w:t>
      </w:r>
      <w:r>
        <w:rPr>
          <w:spacing w:val="-14"/>
        </w:rPr>
        <w:t> </w:t>
      </w:r>
      <w:r>
        <w:rPr/>
        <w:t>[5].</w:t>
      </w:r>
    </w:p>
    <w:p>
      <w:pPr>
        <w:pStyle w:val="BodyText"/>
        <w:spacing w:line="249" w:lineRule="auto" w:before="74"/>
        <w:ind w:right="1438" w:firstLine="432"/>
        <w:jc w:val="both"/>
      </w:pPr>
      <w:r>
        <w:rPr/>
        <w:t>By</w:t>
      </w:r>
      <w:r>
        <w:rPr>
          <w:spacing w:val="-9"/>
        </w:rPr>
        <w:t> </w:t>
      </w:r>
      <w:r>
        <w:rPr/>
        <w:t>looking</w:t>
      </w:r>
      <w:r>
        <w:rPr>
          <w:spacing w:val="-4"/>
        </w:rPr>
        <w:t> </w:t>
      </w:r>
      <w:r>
        <w:rPr/>
        <w:t>at</w:t>
      </w:r>
      <w:r>
        <w:rPr>
          <w:spacing w:val="-4"/>
        </w:rPr>
        <w:t> </w:t>
      </w:r>
      <w:r>
        <w:rPr/>
        <w:t>the</w:t>
      </w:r>
      <w:r>
        <w:rPr>
          <w:spacing w:val="-5"/>
        </w:rPr>
        <w:t> </w:t>
      </w:r>
      <w:r>
        <w:rPr/>
        <w:t>depiction</w:t>
      </w:r>
      <w:r>
        <w:rPr>
          <w:spacing w:val="-5"/>
        </w:rPr>
        <w:t> </w:t>
      </w:r>
      <w:r>
        <w:rPr/>
        <w:t>of</w:t>
      </w:r>
      <w:r>
        <w:rPr>
          <w:spacing w:val="-4"/>
        </w:rPr>
        <w:t> </w:t>
      </w:r>
      <w:r>
        <w:rPr/>
        <w:t>women</w:t>
      </w:r>
      <w:r>
        <w:rPr>
          <w:spacing w:val="-5"/>
        </w:rPr>
        <w:t> </w:t>
      </w:r>
      <w:r>
        <w:rPr/>
        <w:t>versus</w:t>
      </w:r>
      <w:r>
        <w:rPr>
          <w:spacing w:val="-5"/>
        </w:rPr>
        <w:t> </w:t>
      </w:r>
      <w:r>
        <w:rPr/>
        <w:t>the</w:t>
      </w:r>
      <w:r>
        <w:rPr>
          <w:spacing w:val="-1"/>
        </w:rPr>
        <w:t> </w:t>
      </w:r>
      <w:r>
        <w:rPr/>
        <w:t>mental</w:t>
      </w:r>
      <w:r>
        <w:rPr>
          <w:spacing w:val="-5"/>
        </w:rPr>
        <w:t> </w:t>
      </w:r>
      <w:r>
        <w:rPr/>
        <w:t>implosion of male protagonists one can have a more synthesized view of tragedy. The mental breakdown of Hamlet and Devdas is not just a problem of how they were</w:t>
      </w:r>
      <w:r>
        <w:rPr>
          <w:spacing w:val="21"/>
        </w:rPr>
        <w:t> </w:t>
      </w:r>
      <w:r>
        <w:rPr/>
        <w:t>and</w:t>
      </w:r>
      <w:r>
        <w:rPr>
          <w:spacing w:val="23"/>
        </w:rPr>
        <w:t> </w:t>
      </w:r>
      <w:r>
        <w:rPr/>
        <w:t>developed</w:t>
      </w:r>
      <w:r>
        <w:rPr>
          <w:spacing w:val="25"/>
        </w:rPr>
        <w:t> </w:t>
      </w:r>
      <w:r>
        <w:rPr/>
        <w:t>themselves through life experiences.</w:t>
      </w:r>
      <w:r>
        <w:rPr>
          <w:spacing w:val="23"/>
        </w:rPr>
        <w:t> </w:t>
      </w:r>
      <w:r>
        <w:rPr/>
        <w:t>It is deeply in connection with their relations with women. The love-hate relationship</w:t>
      </w:r>
      <w:r>
        <w:rPr>
          <w:spacing w:val="-5"/>
        </w:rPr>
        <w:t> </w:t>
      </w:r>
      <w:r>
        <w:rPr/>
        <w:t>with</w:t>
      </w:r>
      <w:r>
        <w:rPr>
          <w:spacing w:val="-10"/>
        </w:rPr>
        <w:t> </w:t>
      </w:r>
      <w:r>
        <w:rPr/>
        <w:t>Ophelia,</w:t>
      </w:r>
      <w:r>
        <w:rPr>
          <w:spacing w:val="-7"/>
        </w:rPr>
        <w:t> </w:t>
      </w:r>
      <w:r>
        <w:rPr/>
        <w:t>the</w:t>
      </w:r>
      <w:r>
        <w:rPr>
          <w:spacing w:val="-7"/>
        </w:rPr>
        <w:t> </w:t>
      </w:r>
      <w:r>
        <w:rPr/>
        <w:t>fixation</w:t>
      </w:r>
      <w:r>
        <w:rPr>
          <w:spacing w:val="-12"/>
        </w:rPr>
        <w:t> </w:t>
      </w:r>
      <w:r>
        <w:rPr/>
        <w:t>on</w:t>
      </w:r>
      <w:r>
        <w:rPr>
          <w:spacing w:val="-8"/>
        </w:rPr>
        <w:t> </w:t>
      </w:r>
      <w:r>
        <w:rPr/>
        <w:t>his</w:t>
      </w:r>
      <w:r>
        <w:rPr>
          <w:spacing w:val="-7"/>
        </w:rPr>
        <w:t> </w:t>
      </w:r>
      <w:r>
        <w:rPr/>
        <w:t>mother’s</w:t>
      </w:r>
      <w:r>
        <w:rPr>
          <w:spacing w:val="-8"/>
        </w:rPr>
        <w:t> </w:t>
      </w:r>
      <w:r>
        <w:rPr/>
        <w:t>sexuality,</w:t>
      </w:r>
      <w:r>
        <w:rPr>
          <w:spacing w:val="-10"/>
        </w:rPr>
        <w:t> </w:t>
      </w:r>
      <w:r>
        <w:rPr/>
        <w:t>and</w:t>
      </w:r>
      <w:r>
        <w:rPr>
          <w:spacing w:val="-5"/>
        </w:rPr>
        <w:t> the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2432">
                <wp:simplePos x="0" y="0"/>
                <wp:positionH relativeFrom="page">
                  <wp:posOffset>2057400</wp:posOffset>
                </wp:positionH>
                <wp:positionV relativeFrom="paragraph">
                  <wp:posOffset>162604</wp:posOffset>
                </wp:positionV>
                <wp:extent cx="3657600" cy="12700"/>
                <wp:effectExtent l="0" t="0" r="0" b="0"/>
                <wp:wrapTopAndBottom/>
                <wp:docPr id="500" name="Graphic 500"/>
                <wp:cNvGraphicFramePr>
                  <a:graphicFrameLocks/>
                </wp:cNvGraphicFramePr>
                <a:graphic>
                  <a:graphicData uri="http://schemas.microsoft.com/office/word/2010/wordprocessingShape">
                    <wps:wsp>
                      <wps:cNvPr id="500" name="Graphic 50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54048;mso-wrap-distance-left:0;mso-wrap-distance-right:0" id="docshape495" filled="true" fillcolor="#000000" stroked="false">
                <v:fill type="solid"/>
                <w10:wrap type="topAndBottom"/>
              </v:rect>
            </w:pict>
          </mc:Fallback>
        </mc:AlternateContent>
      </w:r>
      <w:r>
        <w:rPr>
          <w:rFonts w:ascii="Verdana"/>
          <w:spacing w:val="-5"/>
          <w:sz w:val="18"/>
        </w:rPr>
        <w:t>226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broader</w:t>
      </w:r>
      <w:r>
        <w:rPr>
          <w:spacing w:val="-11"/>
        </w:rPr>
        <w:t> </w:t>
      </w:r>
      <w:r>
        <w:rPr/>
        <w:t>existential</w:t>
      </w:r>
      <w:r>
        <w:rPr>
          <w:spacing w:val="-10"/>
        </w:rPr>
        <w:t> </w:t>
      </w:r>
      <w:r>
        <w:rPr/>
        <w:t>crisis—all</w:t>
      </w:r>
      <w:r>
        <w:rPr>
          <w:spacing w:val="-11"/>
        </w:rPr>
        <w:t> </w:t>
      </w:r>
      <w:r>
        <w:rPr/>
        <w:t>are</w:t>
      </w:r>
      <w:r>
        <w:rPr>
          <w:spacing w:val="-11"/>
        </w:rPr>
        <w:t> </w:t>
      </w:r>
      <w:r>
        <w:rPr/>
        <w:t>colored</w:t>
      </w:r>
      <w:r>
        <w:rPr>
          <w:spacing w:val="-12"/>
        </w:rPr>
        <w:t> </w:t>
      </w:r>
      <w:r>
        <w:rPr/>
        <w:t>by</w:t>
      </w:r>
      <w:r>
        <w:rPr>
          <w:spacing w:val="-13"/>
        </w:rPr>
        <w:t> </w:t>
      </w:r>
      <w:r>
        <w:rPr/>
        <w:t>his</w:t>
      </w:r>
      <w:r>
        <w:rPr>
          <w:spacing w:val="-10"/>
        </w:rPr>
        <w:t> </w:t>
      </w:r>
      <w:r>
        <w:rPr/>
        <w:t>view</w:t>
      </w:r>
      <w:r>
        <w:rPr>
          <w:spacing w:val="-13"/>
        </w:rPr>
        <w:t> </w:t>
      </w:r>
      <w:r>
        <w:rPr/>
        <w:t>of</w:t>
      </w:r>
      <w:r>
        <w:rPr>
          <w:spacing w:val="-12"/>
        </w:rPr>
        <w:t> </w:t>
      </w:r>
      <w:r>
        <w:rPr/>
        <w:t>female</w:t>
      </w:r>
      <w:r>
        <w:rPr>
          <w:spacing w:val="-11"/>
        </w:rPr>
        <w:t> </w:t>
      </w:r>
      <w:r>
        <w:rPr/>
        <w:t>behavior and morality [6]. The disintegration of his personality, therefore, is a response to and echo of the women in his life, alongside the more internally sown strife. Devdas too sinks into the totality of his alcohol addiction (read: self-destruction) under the helplessness of coming to </w:t>
      </w:r>
      <w:r>
        <w:rPr>
          <w:spacing w:val="-2"/>
        </w:rPr>
        <w:t>terms</w:t>
      </w:r>
      <w:r>
        <w:rPr>
          <w:spacing w:val="-8"/>
        </w:rPr>
        <w:t> </w:t>
      </w:r>
      <w:r>
        <w:rPr>
          <w:spacing w:val="-2"/>
        </w:rPr>
        <w:t>with</w:t>
      </w:r>
      <w:r>
        <w:rPr>
          <w:spacing w:val="-7"/>
        </w:rPr>
        <w:t> </w:t>
      </w:r>
      <w:r>
        <w:rPr>
          <w:spacing w:val="-2"/>
        </w:rPr>
        <w:t>his</w:t>
      </w:r>
      <w:r>
        <w:rPr>
          <w:spacing w:val="-11"/>
        </w:rPr>
        <w:t> </w:t>
      </w:r>
      <w:r>
        <w:rPr>
          <w:spacing w:val="-2"/>
        </w:rPr>
        <w:t>emotions</w:t>
      </w:r>
      <w:r>
        <w:rPr>
          <w:spacing w:val="-6"/>
        </w:rPr>
        <w:t> </w:t>
      </w:r>
      <w:r>
        <w:rPr>
          <w:spacing w:val="-2"/>
        </w:rPr>
        <w:t>in</w:t>
      </w:r>
      <w:r>
        <w:rPr>
          <w:spacing w:val="-7"/>
        </w:rPr>
        <w:t> </w:t>
      </w:r>
      <w:r>
        <w:rPr>
          <w:spacing w:val="-2"/>
        </w:rPr>
        <w:t>relation</w:t>
      </w:r>
      <w:r>
        <w:rPr>
          <w:spacing w:val="-9"/>
        </w:rPr>
        <w:t> </w:t>
      </w:r>
      <w:r>
        <w:rPr>
          <w:spacing w:val="-2"/>
        </w:rPr>
        <w:t>to</w:t>
      </w:r>
      <w:r>
        <w:rPr>
          <w:spacing w:val="-7"/>
        </w:rPr>
        <w:t> </w:t>
      </w:r>
      <w:r>
        <w:rPr>
          <w:spacing w:val="-2"/>
        </w:rPr>
        <w:t>societal</w:t>
      </w:r>
      <w:r>
        <w:rPr>
          <w:spacing w:val="-9"/>
        </w:rPr>
        <w:t> </w:t>
      </w:r>
      <w:r>
        <w:rPr>
          <w:spacing w:val="-2"/>
        </w:rPr>
        <w:t>values,</w:t>
      </w:r>
      <w:r>
        <w:rPr>
          <w:spacing w:val="-5"/>
        </w:rPr>
        <w:t> </w:t>
      </w:r>
      <w:r>
        <w:rPr>
          <w:spacing w:val="-2"/>
        </w:rPr>
        <w:t>especially</w:t>
      </w:r>
      <w:r>
        <w:rPr>
          <w:spacing w:val="-9"/>
        </w:rPr>
        <w:t> </w:t>
      </w:r>
      <w:r>
        <w:rPr>
          <w:spacing w:val="-2"/>
        </w:rPr>
        <w:t>regarding </w:t>
      </w:r>
      <w:r>
        <w:rPr/>
        <w:t>Paro and Chandramukhi. His inability to assert himself implodes while the women who inhabit his inner realms and those who dwell in the present are making choices, but within their domain his life is often stagnant</w:t>
      </w:r>
      <w:r>
        <w:rPr>
          <w:spacing w:val="40"/>
        </w:rPr>
        <w:t> </w:t>
      </w:r>
      <w:r>
        <w:rPr/>
        <w:t>[7]</w:t>
      </w:r>
    </w:p>
    <w:p>
      <w:pPr>
        <w:pStyle w:val="BodyText"/>
        <w:spacing w:line="249" w:lineRule="auto" w:before="66"/>
        <w:ind w:right="1439" w:firstLine="432"/>
        <w:jc w:val="both"/>
      </w:pPr>
      <w:r>
        <w:rPr/>
        <w:t>Importantly, their suffering is indicative of a matured dramatic inspired by the notion of personal transformation. Conversely, their withdrawal from</w:t>
      </w:r>
      <w:r>
        <w:rPr>
          <w:spacing w:val="-1"/>
        </w:rPr>
        <w:t> </w:t>
      </w:r>
      <w:r>
        <w:rPr/>
        <w:t>the stage at critical moments of</w:t>
      </w:r>
      <w:r>
        <w:rPr>
          <w:spacing w:val="-2"/>
        </w:rPr>
        <w:t> </w:t>
      </w:r>
      <w:r>
        <w:rPr/>
        <w:t>high drama represents their refusal to take on roles according to dramatic convention. Thus, we find</w:t>
      </w:r>
      <w:r>
        <w:rPr>
          <w:spacing w:val="-1"/>
        </w:rPr>
        <w:t> </w:t>
      </w:r>
      <w:r>
        <w:rPr/>
        <w:t>that female characters continuously</w:t>
      </w:r>
      <w:r>
        <w:rPr>
          <w:spacing w:val="-3"/>
        </w:rPr>
        <w:t> </w:t>
      </w:r>
      <w:r>
        <w:rPr/>
        <w:t>fluctuate, both</w:t>
      </w:r>
      <w:r>
        <w:rPr>
          <w:spacing w:val="-3"/>
        </w:rPr>
        <w:t> </w:t>
      </w:r>
      <w:r>
        <w:rPr/>
        <w:t>epically</w:t>
      </w:r>
      <w:r>
        <w:rPr>
          <w:spacing w:val="-1"/>
        </w:rPr>
        <w:t> </w:t>
      </w:r>
      <w:r>
        <w:rPr/>
        <w:t>and agonizingly, between suffering their own inner demons and revealing any agency in their relationships with others, particularly the hero, as opposed</w:t>
      </w:r>
      <w:r>
        <w:rPr>
          <w:spacing w:val="40"/>
        </w:rPr>
        <w:t> </w:t>
      </w:r>
      <w:r>
        <w:rPr/>
        <w:t>to</w:t>
      </w:r>
      <w:r>
        <w:rPr>
          <w:spacing w:val="40"/>
        </w:rPr>
        <w:t> </w:t>
      </w:r>
      <w:r>
        <w:rPr/>
        <w:t>him</w:t>
      </w:r>
      <w:r>
        <w:rPr>
          <w:spacing w:val="40"/>
        </w:rPr>
        <w:t> </w:t>
      </w:r>
      <w:r>
        <w:rPr/>
        <w:t>even</w:t>
      </w:r>
      <w:r>
        <w:rPr>
          <w:spacing w:val="40"/>
        </w:rPr>
        <w:t> </w:t>
      </w:r>
      <w:r>
        <w:rPr/>
        <w:t>trying</w:t>
      </w:r>
      <w:r>
        <w:rPr>
          <w:spacing w:val="40"/>
        </w:rPr>
        <w:t> </w:t>
      </w:r>
      <w:r>
        <w:rPr/>
        <w:t>to</w:t>
      </w:r>
      <w:r>
        <w:rPr>
          <w:spacing w:val="40"/>
        </w:rPr>
        <w:t> </w:t>
      </w:r>
      <w:r>
        <w:rPr/>
        <w:t>assist</w:t>
      </w:r>
      <w:r>
        <w:rPr>
          <w:spacing w:val="40"/>
        </w:rPr>
        <w:t> </w:t>
      </w:r>
      <w:r>
        <w:rPr/>
        <w:t>them.</w:t>
      </w:r>
    </w:p>
    <w:p>
      <w:pPr>
        <w:pStyle w:val="BodyText"/>
        <w:spacing w:line="249" w:lineRule="auto" w:before="64"/>
        <w:ind w:right="1437" w:firstLine="432"/>
        <w:jc w:val="both"/>
      </w:pPr>
      <w:r>
        <w:rPr/>
        <w:t>The present study lies in the transdisciplinary mode and deals</w:t>
      </w:r>
      <w:r>
        <w:rPr>
          <w:spacing w:val="40"/>
        </w:rPr>
        <w:t> </w:t>
      </w:r>
      <w:r>
        <w:rPr/>
        <w:t>with literary theoretical intervention, especially in the areas of psychoanalysis and feminism, to investigate Shakespeare’s Hamlet and Devdas, exploring the dual subjectivity of both texts [8]. The present study</w:t>
      </w:r>
      <w:r>
        <w:rPr>
          <w:spacing w:val="-2"/>
        </w:rPr>
        <w:t> </w:t>
      </w:r>
      <w:r>
        <w:rPr/>
        <w:t>tries</w:t>
      </w:r>
      <w:r>
        <w:rPr>
          <w:spacing w:val="-2"/>
        </w:rPr>
        <w:t> </w:t>
      </w:r>
      <w:r>
        <w:rPr/>
        <w:t>to move away</w:t>
      </w:r>
      <w:r>
        <w:rPr>
          <w:spacing w:val="-4"/>
        </w:rPr>
        <w:t> </w:t>
      </w:r>
      <w:r>
        <w:rPr/>
        <w:t>from</w:t>
      </w:r>
      <w:r>
        <w:rPr>
          <w:spacing w:val="-1"/>
        </w:rPr>
        <w:t> </w:t>
      </w:r>
      <w:r>
        <w:rPr/>
        <w:t>the known</w:t>
      </w:r>
      <w:r>
        <w:rPr>
          <w:spacing w:val="-2"/>
        </w:rPr>
        <w:t> </w:t>
      </w:r>
      <w:r>
        <w:rPr/>
        <w:t>micro-level studies to engage </w:t>
      </w:r>
      <w:r>
        <w:rPr>
          <w:spacing w:val="-2"/>
        </w:rPr>
        <w:t>in</w:t>
      </w:r>
      <w:r>
        <w:rPr>
          <w:spacing w:val="-8"/>
        </w:rPr>
        <w:t> </w:t>
      </w:r>
      <w:r>
        <w:rPr>
          <w:spacing w:val="-2"/>
        </w:rPr>
        <w:t>relational</w:t>
      </w:r>
      <w:r>
        <w:rPr>
          <w:spacing w:val="-8"/>
        </w:rPr>
        <w:t> </w:t>
      </w:r>
      <w:r>
        <w:rPr>
          <w:spacing w:val="-2"/>
        </w:rPr>
        <w:t>dialogism,</w:t>
      </w:r>
      <w:r>
        <w:rPr>
          <w:spacing w:val="-6"/>
        </w:rPr>
        <w:t> </w:t>
      </w:r>
      <w:r>
        <w:rPr>
          <w:spacing w:val="-2"/>
        </w:rPr>
        <w:t>which</w:t>
      </w:r>
      <w:r>
        <w:rPr>
          <w:spacing w:val="-8"/>
        </w:rPr>
        <w:t> </w:t>
      </w:r>
      <w:r>
        <w:rPr>
          <w:spacing w:val="-2"/>
        </w:rPr>
        <w:t>works</w:t>
      </w:r>
      <w:r>
        <w:rPr>
          <w:spacing w:val="-8"/>
        </w:rPr>
        <w:t> </w:t>
      </w:r>
      <w:r>
        <w:rPr>
          <w:spacing w:val="-2"/>
        </w:rPr>
        <w:t>like</w:t>
      </w:r>
      <w:r>
        <w:rPr>
          <w:spacing w:val="-8"/>
        </w:rPr>
        <w:t> </w:t>
      </w:r>
      <w:r>
        <w:rPr>
          <w:spacing w:val="-2"/>
        </w:rPr>
        <w:t>the</w:t>
      </w:r>
      <w:r>
        <w:rPr>
          <w:spacing w:val="-8"/>
        </w:rPr>
        <w:t> </w:t>
      </w:r>
      <w:r>
        <w:rPr>
          <w:spacing w:val="-2"/>
        </w:rPr>
        <w:t>linkages</w:t>
      </w:r>
      <w:r>
        <w:rPr>
          <w:spacing w:val="-8"/>
        </w:rPr>
        <w:t> </w:t>
      </w:r>
      <w:r>
        <w:rPr>
          <w:spacing w:val="-2"/>
        </w:rPr>
        <w:t>given</w:t>
      </w:r>
      <w:r>
        <w:rPr>
          <w:spacing w:val="-6"/>
        </w:rPr>
        <w:t> </w:t>
      </w:r>
      <w:r>
        <w:rPr>
          <w:spacing w:val="-2"/>
        </w:rPr>
        <w:t>in</w:t>
      </w:r>
      <w:r>
        <w:rPr>
          <w:spacing w:val="-8"/>
        </w:rPr>
        <w:t> </w:t>
      </w:r>
      <w:r>
        <w:rPr>
          <w:spacing w:val="-2"/>
        </w:rPr>
        <w:t>the</w:t>
      </w:r>
      <w:r>
        <w:rPr>
          <w:spacing w:val="-8"/>
        </w:rPr>
        <w:t> </w:t>
      </w:r>
      <w:r>
        <w:rPr>
          <w:spacing w:val="-2"/>
        </w:rPr>
        <w:t>tragedy </w:t>
      </w:r>
      <w:r>
        <w:rPr/>
        <w:t>formation of both. It thereby necessitates a regimen of close textual interpretations and scene breakdowns, essentially placing all characters partly</w:t>
      </w:r>
      <w:r>
        <w:rPr>
          <w:spacing w:val="-1"/>
        </w:rPr>
        <w:t> </w:t>
      </w:r>
      <w:r>
        <w:rPr/>
        <w:t>or fully</w:t>
      </w:r>
      <w:r>
        <w:rPr>
          <w:spacing w:val="-1"/>
        </w:rPr>
        <w:t> </w:t>
      </w:r>
      <w:r>
        <w:rPr/>
        <w:t>into perspective of the emotional power, as articulated in scenes of crisis, key resolvability, moral reconsideration, and psychological struggle. Feminist backlash redefines womanhood and acknowledgements</w:t>
      </w:r>
      <w:r>
        <w:rPr>
          <w:spacing w:val="-8"/>
        </w:rPr>
        <w:t> </w:t>
      </w:r>
      <w:r>
        <w:rPr/>
        <w:t>of</w:t>
      </w:r>
      <w:r>
        <w:rPr>
          <w:spacing w:val="-8"/>
        </w:rPr>
        <w:t> </w:t>
      </w:r>
      <w:r>
        <w:rPr/>
        <w:t>agency</w:t>
      </w:r>
      <w:r>
        <w:rPr>
          <w:spacing w:val="-10"/>
        </w:rPr>
        <w:t> </w:t>
      </w:r>
      <w:r>
        <w:rPr/>
        <w:t>in</w:t>
      </w:r>
      <w:r>
        <w:rPr>
          <w:spacing w:val="-8"/>
        </w:rPr>
        <w:t> </w:t>
      </w:r>
      <w:r>
        <w:rPr/>
        <w:t>social</w:t>
      </w:r>
      <w:r>
        <w:rPr>
          <w:spacing w:val="-8"/>
        </w:rPr>
        <w:t> </w:t>
      </w:r>
      <w:r>
        <w:rPr/>
        <w:t>restrictions</w:t>
      </w:r>
      <w:r>
        <w:rPr>
          <w:spacing w:val="-8"/>
        </w:rPr>
        <w:t> </w:t>
      </w:r>
      <w:r>
        <w:rPr/>
        <w:t>while</w:t>
      </w:r>
      <w:r>
        <w:rPr>
          <w:spacing w:val="-8"/>
        </w:rPr>
        <w:t> </w:t>
      </w:r>
      <w:r>
        <w:rPr/>
        <w:t>the</w:t>
      </w:r>
      <w:r>
        <w:rPr>
          <w:spacing w:val="-8"/>
        </w:rPr>
        <w:t> </w:t>
      </w:r>
      <w:r>
        <w:rPr/>
        <w:t>psychology looks for insight into the nature of disintegration as dared by the </w:t>
      </w:r>
      <w:r>
        <w:rPr>
          <w:spacing w:val="-2"/>
        </w:rPr>
        <w:t>protagonists.</w:t>
      </w:r>
    </w:p>
    <w:p>
      <w:pPr>
        <w:pStyle w:val="BodyText"/>
        <w:spacing w:line="249" w:lineRule="auto" w:before="72"/>
        <w:ind w:right="1439" w:firstLine="432"/>
        <w:jc w:val="both"/>
      </w:pPr>
      <w:r>
        <w:rPr/>
        <w:t>Structurally,</w:t>
      </w:r>
      <w:r>
        <w:rPr>
          <w:spacing w:val="-9"/>
        </w:rPr>
        <w:t> </w:t>
      </w:r>
      <w:r>
        <w:rPr/>
        <w:t>this</w:t>
      </w:r>
      <w:r>
        <w:rPr>
          <w:spacing w:val="-9"/>
        </w:rPr>
        <w:t> </w:t>
      </w:r>
      <w:r>
        <w:rPr/>
        <w:t>study</w:t>
      </w:r>
      <w:r>
        <w:rPr>
          <w:spacing w:val="-9"/>
        </w:rPr>
        <w:t> </w:t>
      </w:r>
      <w:r>
        <w:rPr/>
        <w:t>opens</w:t>
      </w:r>
      <w:r>
        <w:rPr>
          <w:spacing w:val="-9"/>
        </w:rPr>
        <w:t> </w:t>
      </w:r>
      <w:r>
        <w:rPr/>
        <w:t>with</w:t>
      </w:r>
      <w:r>
        <w:rPr>
          <w:spacing w:val="-9"/>
        </w:rPr>
        <w:t> </w:t>
      </w:r>
      <w:r>
        <w:rPr/>
        <w:t>a</w:t>
      </w:r>
      <w:r>
        <w:rPr>
          <w:spacing w:val="-8"/>
        </w:rPr>
        <w:t> </w:t>
      </w:r>
      <w:r>
        <w:rPr/>
        <w:t>critique</w:t>
      </w:r>
      <w:r>
        <w:rPr>
          <w:spacing w:val="-9"/>
        </w:rPr>
        <w:t> </w:t>
      </w:r>
      <w:r>
        <w:rPr/>
        <w:t>on</w:t>
      </w:r>
      <w:r>
        <w:rPr>
          <w:spacing w:val="-7"/>
        </w:rPr>
        <w:t> </w:t>
      </w:r>
      <w:r>
        <w:rPr/>
        <w:t>the</w:t>
      </w:r>
      <w:r>
        <w:rPr>
          <w:spacing w:val="-8"/>
        </w:rPr>
        <w:t> </w:t>
      </w:r>
      <w:r>
        <w:rPr/>
        <w:t>existing</w:t>
      </w:r>
      <w:r>
        <w:rPr>
          <w:spacing w:val="-9"/>
        </w:rPr>
        <w:t> </w:t>
      </w:r>
      <w:r>
        <w:rPr/>
        <w:t>critical works,</w:t>
      </w:r>
      <w:r>
        <w:rPr>
          <w:spacing w:val="-8"/>
        </w:rPr>
        <w:t> </w:t>
      </w:r>
      <w:r>
        <w:rPr/>
        <w:t>which</w:t>
      </w:r>
      <w:r>
        <w:rPr>
          <w:spacing w:val="-8"/>
        </w:rPr>
        <w:t> </w:t>
      </w:r>
      <w:r>
        <w:rPr/>
        <w:t>are</w:t>
      </w:r>
      <w:r>
        <w:rPr>
          <w:spacing w:val="-8"/>
        </w:rPr>
        <w:t> </w:t>
      </w:r>
      <w:r>
        <w:rPr/>
        <w:t>identified</w:t>
      </w:r>
      <w:r>
        <w:rPr>
          <w:spacing w:val="-7"/>
        </w:rPr>
        <w:t> </w:t>
      </w:r>
      <w:r>
        <w:rPr/>
        <w:t>as</w:t>
      </w:r>
      <w:r>
        <w:rPr>
          <w:spacing w:val="-8"/>
        </w:rPr>
        <w:t> </w:t>
      </w:r>
      <w:r>
        <w:rPr/>
        <w:t>being</w:t>
      </w:r>
      <w:r>
        <w:rPr>
          <w:spacing w:val="-8"/>
        </w:rPr>
        <w:t> </w:t>
      </w:r>
      <w:r>
        <w:rPr/>
        <w:t>hero-centric,</w:t>
      </w:r>
      <w:r>
        <w:rPr>
          <w:spacing w:val="-8"/>
        </w:rPr>
        <w:t> </w:t>
      </w:r>
      <w:r>
        <w:rPr/>
        <w:t>while</w:t>
      </w:r>
      <w:r>
        <w:rPr>
          <w:spacing w:val="-8"/>
        </w:rPr>
        <w:t> </w:t>
      </w:r>
      <w:r>
        <w:rPr/>
        <w:t>scant</w:t>
      </w:r>
      <w:r>
        <w:rPr>
          <w:spacing w:val="-8"/>
        </w:rPr>
        <w:t> </w:t>
      </w:r>
      <w:r>
        <w:rPr/>
        <w:t>turns</w:t>
      </w:r>
      <w:r>
        <w:rPr>
          <w:spacing w:val="-8"/>
        </w:rPr>
        <w:t> </w:t>
      </w:r>
      <w:r>
        <w:rPr/>
        <w:t>have been taken by female perspectives. The text naturally proceeds to </w:t>
      </w:r>
      <w:r>
        <w:rPr>
          <w:spacing w:val="-2"/>
        </w:rPr>
        <w:t>considerations</w:t>
      </w:r>
      <w:r>
        <w:rPr>
          <w:spacing w:val="-3"/>
        </w:rPr>
        <w:t> </w:t>
      </w:r>
      <w:r>
        <w:rPr>
          <w:spacing w:val="-2"/>
        </w:rPr>
        <w:t>of female</w:t>
      </w:r>
      <w:r>
        <w:rPr>
          <w:spacing w:val="-3"/>
        </w:rPr>
        <w:t> </w:t>
      </w:r>
      <w:r>
        <w:rPr>
          <w:spacing w:val="-2"/>
        </w:rPr>
        <w:t>characters</w:t>
      </w:r>
      <w:r>
        <w:rPr>
          <w:spacing w:val="-3"/>
        </w:rPr>
        <w:t> </w:t>
      </w:r>
      <w:r>
        <w:rPr>
          <w:spacing w:val="-2"/>
        </w:rPr>
        <w:t>in each</w:t>
      </w:r>
      <w:r>
        <w:rPr>
          <w:spacing w:val="-3"/>
        </w:rPr>
        <w:t> </w:t>
      </w:r>
      <w:r>
        <w:rPr>
          <w:spacing w:val="-2"/>
        </w:rPr>
        <w:t>specific work, exploring</w:t>
      </w:r>
      <w:r>
        <w:rPr>
          <w:spacing w:val="-3"/>
        </w:rPr>
        <w:t> </w:t>
      </w:r>
      <w:r>
        <w:rPr>
          <w:spacing w:val="-2"/>
        </w:rPr>
        <w:t>their </w:t>
      </w:r>
      <w:r>
        <w:rPr/>
        <w:t>value roles, motivations, and possible chances of agency. Further parts of the text are dedicated to a more scaffolded analysis of the psychological trajectories of Hamlet and Devdas, particularly given the allusion</w:t>
      </w:r>
      <w:r>
        <w:rPr>
          <w:spacing w:val="7"/>
        </w:rPr>
        <w:t> </w:t>
      </w:r>
      <w:r>
        <w:rPr/>
        <w:t>that</w:t>
      </w:r>
      <w:r>
        <w:rPr>
          <w:spacing w:val="8"/>
        </w:rPr>
        <w:t> </w:t>
      </w:r>
      <w:r>
        <w:rPr/>
        <w:t>their</w:t>
      </w:r>
      <w:r>
        <w:rPr>
          <w:spacing w:val="7"/>
        </w:rPr>
        <w:t> </w:t>
      </w:r>
      <w:r>
        <w:rPr/>
        <w:t>interaction</w:t>
      </w:r>
      <w:r>
        <w:rPr>
          <w:spacing w:val="8"/>
        </w:rPr>
        <w:t> </w:t>
      </w:r>
      <w:r>
        <w:rPr/>
        <w:t>with</w:t>
      </w:r>
      <w:r>
        <w:rPr>
          <w:spacing w:val="7"/>
        </w:rPr>
        <w:t> </w:t>
      </w:r>
      <w:r>
        <w:rPr/>
        <w:t>women</w:t>
      </w:r>
      <w:r>
        <w:rPr>
          <w:spacing w:val="8"/>
        </w:rPr>
        <w:t> </w:t>
      </w:r>
      <w:r>
        <w:rPr/>
        <w:t>in</w:t>
      </w:r>
      <w:r>
        <w:rPr>
          <w:spacing w:val="7"/>
        </w:rPr>
        <w:t> </w:t>
      </w:r>
      <w:r>
        <w:rPr/>
        <w:t>one</w:t>
      </w:r>
      <w:r>
        <w:rPr>
          <w:spacing w:val="8"/>
        </w:rPr>
        <w:t> </w:t>
      </w:r>
      <w:r>
        <w:rPr/>
        <w:t>way</w:t>
      </w:r>
      <w:r>
        <w:rPr>
          <w:spacing w:val="4"/>
        </w:rPr>
        <w:t> </w:t>
      </w:r>
      <w:r>
        <w:rPr/>
        <w:t>or</w:t>
      </w:r>
      <w:r>
        <w:rPr>
          <w:spacing w:val="9"/>
        </w:rPr>
        <w:t> </w:t>
      </w:r>
      <w:r>
        <w:rPr/>
        <w:t>the</w:t>
      </w:r>
      <w:r>
        <w:rPr>
          <w:spacing w:val="7"/>
        </w:rPr>
        <w:t> </w:t>
      </w:r>
      <w:r>
        <w:rPr/>
        <w:t>other</w:t>
      </w:r>
      <w:r>
        <w:rPr>
          <w:spacing w:val="10"/>
        </w:rPr>
        <w:t> </w:t>
      </w:r>
      <w:r>
        <w:rPr>
          <w:spacing w:val="-4"/>
        </w:rPr>
        <w:t>sees</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2944">
                <wp:simplePos x="0" y="0"/>
                <wp:positionH relativeFrom="page">
                  <wp:posOffset>2065020</wp:posOffset>
                </wp:positionH>
                <wp:positionV relativeFrom="paragraph">
                  <wp:posOffset>795020</wp:posOffset>
                </wp:positionV>
                <wp:extent cx="3657600" cy="12700"/>
                <wp:effectExtent l="0" t="0" r="0" b="0"/>
                <wp:wrapTopAndBottom/>
                <wp:docPr id="501" name="Graphic 501"/>
                <wp:cNvGraphicFramePr>
                  <a:graphicFrameLocks/>
                </wp:cNvGraphicFramePr>
                <a:graphic>
                  <a:graphicData uri="http://schemas.microsoft.com/office/word/2010/wordprocessingShape">
                    <wps:wsp>
                      <wps:cNvPr id="501" name="Graphic 50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53536;mso-wrap-distance-left:0;mso-wrap-distance-right:0" id="docshape496" filled="true" fillcolor="#000000" stroked="false">
                <v:fill type="solid"/>
                <w10:wrap type="topAndBottom"/>
              </v:rect>
            </w:pict>
          </mc:Fallback>
        </mc:AlternateContent>
      </w:r>
      <w:r>
        <w:rPr>
          <w:rFonts w:ascii="Verdana"/>
          <w:sz w:val="18"/>
        </w:rPr>
        <w:t>Shadows</w:t>
      </w:r>
      <w:r>
        <w:rPr>
          <w:rFonts w:ascii="Verdana"/>
          <w:spacing w:val="5"/>
          <w:sz w:val="18"/>
        </w:rPr>
        <w:t> </w:t>
      </w:r>
      <w:r>
        <w:rPr>
          <w:rFonts w:ascii="Verdana"/>
          <w:sz w:val="18"/>
        </w:rPr>
        <w:t>of</w:t>
      </w:r>
      <w:r>
        <w:rPr>
          <w:rFonts w:ascii="Verdana"/>
          <w:spacing w:val="8"/>
          <w:sz w:val="18"/>
        </w:rPr>
        <w:t> </w:t>
      </w:r>
      <w:r>
        <w:rPr>
          <w:rFonts w:ascii="Verdana"/>
          <w:sz w:val="18"/>
        </w:rPr>
        <w:t>the</w:t>
      </w:r>
      <w:r>
        <w:rPr>
          <w:rFonts w:ascii="Verdana"/>
          <w:spacing w:val="6"/>
          <w:sz w:val="18"/>
        </w:rPr>
        <w:t> </w:t>
      </w:r>
      <w:r>
        <w:rPr>
          <w:rFonts w:ascii="Verdana"/>
          <w:sz w:val="18"/>
        </w:rPr>
        <w:t>Tragic</w:t>
      </w:r>
      <w:r>
        <w:rPr>
          <w:rFonts w:ascii="Verdana"/>
          <w:spacing w:val="6"/>
          <w:sz w:val="18"/>
        </w:rPr>
        <w:t> </w:t>
      </w:r>
      <w:r>
        <w:rPr>
          <w:rFonts w:ascii="Verdana"/>
          <w:sz w:val="18"/>
        </w:rPr>
        <w:t>Hero:</w:t>
      </w:r>
      <w:r>
        <w:rPr>
          <w:rFonts w:ascii="Verdana"/>
          <w:spacing w:val="5"/>
          <w:sz w:val="18"/>
        </w:rPr>
        <w:t> </w:t>
      </w:r>
      <w:r>
        <w:rPr>
          <w:rFonts w:ascii="Verdana"/>
          <w:sz w:val="18"/>
        </w:rPr>
        <w:t>Female</w:t>
      </w:r>
      <w:r>
        <w:rPr>
          <w:rFonts w:ascii="Verdana"/>
          <w:spacing w:val="5"/>
          <w:sz w:val="18"/>
        </w:rPr>
        <w:t> </w:t>
      </w:r>
      <w:r>
        <w:rPr>
          <w:rFonts w:ascii="Verdana"/>
          <w:sz w:val="18"/>
        </w:rPr>
        <w:t>Agency</w:t>
      </w:r>
      <w:r>
        <w:rPr>
          <w:rFonts w:ascii="Verdana"/>
          <w:spacing w:val="5"/>
          <w:sz w:val="18"/>
        </w:rPr>
        <w:t> </w:t>
      </w:r>
      <w:r>
        <w:rPr>
          <w:rFonts w:ascii="Verdana"/>
          <w:sz w:val="18"/>
        </w:rPr>
        <w:t>and</w:t>
      </w:r>
      <w:r>
        <w:rPr>
          <w:rFonts w:ascii="Verdana"/>
          <w:spacing w:val="7"/>
          <w:sz w:val="18"/>
        </w:rPr>
        <w:t> </w:t>
      </w:r>
      <w:r>
        <w:rPr>
          <w:rFonts w:ascii="Verdana"/>
          <w:spacing w:val="-5"/>
          <w:sz w:val="18"/>
        </w:rPr>
        <w:t>...</w:t>
      </w:r>
      <w:r>
        <w:rPr>
          <w:sz w:val="18"/>
        </w:rPr>
        <w:tab/>
      </w:r>
      <w:r>
        <w:rPr>
          <w:rFonts w:ascii="Verdana"/>
          <w:spacing w:val="-5"/>
          <w:sz w:val="18"/>
        </w:rPr>
        <w:t>227</w:t>
      </w:r>
    </w:p>
    <w:p>
      <w:pPr>
        <w:pStyle w:val="BodyText"/>
        <w:spacing w:line="249" w:lineRule="auto" w:before="192"/>
        <w:ind w:right="1439"/>
        <w:jc w:val="both"/>
      </w:pPr>
      <w:r>
        <w:rPr/>
        <w:t>them</w:t>
      </w:r>
      <w:r>
        <w:rPr>
          <w:spacing w:val="-13"/>
        </w:rPr>
        <w:t> </w:t>
      </w:r>
      <w:r>
        <w:rPr/>
        <w:t>through</w:t>
      </w:r>
      <w:r>
        <w:rPr>
          <w:spacing w:val="-12"/>
        </w:rPr>
        <w:t> </w:t>
      </w:r>
      <w:r>
        <w:rPr/>
        <w:t>to</w:t>
      </w:r>
      <w:r>
        <w:rPr>
          <w:spacing w:val="-13"/>
        </w:rPr>
        <w:t> </w:t>
      </w:r>
      <w:r>
        <w:rPr/>
        <w:t>a</w:t>
      </w:r>
      <w:r>
        <w:rPr>
          <w:spacing w:val="-12"/>
        </w:rPr>
        <w:t> </w:t>
      </w:r>
      <w:r>
        <w:rPr/>
        <w:t>mental</w:t>
      </w:r>
      <w:r>
        <w:rPr>
          <w:spacing w:val="-11"/>
        </w:rPr>
        <w:t> </w:t>
      </w:r>
      <w:r>
        <w:rPr/>
        <w:t>breakdown.</w:t>
      </w:r>
      <w:r>
        <w:rPr>
          <w:spacing w:val="-11"/>
        </w:rPr>
        <w:t> </w:t>
      </w:r>
      <w:r>
        <w:rPr/>
        <w:t>Lastly,</w:t>
      </w:r>
      <w:r>
        <w:rPr>
          <w:spacing w:val="-10"/>
        </w:rPr>
        <w:t> </w:t>
      </w:r>
      <w:r>
        <w:rPr/>
        <w:t>all</w:t>
      </w:r>
      <w:r>
        <w:rPr>
          <w:spacing w:val="-13"/>
        </w:rPr>
        <w:t> </w:t>
      </w:r>
      <w:r>
        <w:rPr/>
        <w:t>major</w:t>
      </w:r>
      <w:r>
        <w:rPr>
          <w:spacing w:val="-11"/>
        </w:rPr>
        <w:t> </w:t>
      </w:r>
      <w:r>
        <w:rPr/>
        <w:t>analyses</w:t>
      </w:r>
      <w:r>
        <w:rPr>
          <w:spacing w:val="-13"/>
        </w:rPr>
        <w:t> </w:t>
      </w:r>
      <w:r>
        <w:rPr/>
        <w:t>feed</w:t>
      </w:r>
      <w:r>
        <w:rPr>
          <w:spacing w:val="-11"/>
        </w:rPr>
        <w:t> </w:t>
      </w:r>
      <w:r>
        <w:rPr/>
        <w:t>into the creation of a co-constructed model of tragedy, pointing to the</w:t>
      </w:r>
      <w:r>
        <w:rPr>
          <w:spacing w:val="40"/>
        </w:rPr>
        <w:t> </w:t>
      </w:r>
      <w:r>
        <w:rPr/>
        <w:t>gender relations and psychological processes as relevant to the narrative’s outcome [5].</w:t>
      </w:r>
    </w:p>
    <w:p>
      <w:pPr>
        <w:pStyle w:val="BodyText"/>
        <w:spacing w:line="249" w:lineRule="auto" w:before="61"/>
        <w:ind w:right="1438" w:firstLine="432"/>
        <w:jc w:val="both"/>
      </w:pPr>
      <w:r>
        <w:rPr/>
        <w:t>Based on the reiteration of this discourse, it will be proposed that the assumption of a disorganized company, which becomes most transparent in the Hamlet thesis, had a dramatic effect in Devdas. It suspends the</w:t>
      </w:r>
      <w:r>
        <w:rPr>
          <w:spacing w:val="26"/>
        </w:rPr>
        <w:t> </w:t>
      </w:r>
      <w:r>
        <w:rPr/>
        <w:t>notion of isolated</w:t>
      </w:r>
      <w:r>
        <w:rPr>
          <w:spacing w:val="27"/>
        </w:rPr>
        <w:t> </w:t>
      </w:r>
      <w:r>
        <w:rPr/>
        <w:t>heroism and maintains</w:t>
      </w:r>
      <w:r>
        <w:rPr>
          <w:spacing w:val="25"/>
        </w:rPr>
        <w:t> </w:t>
      </w:r>
      <w:r>
        <w:rPr/>
        <w:t>a connectivity</w:t>
      </w:r>
      <w:r>
        <w:rPr>
          <w:spacing w:val="40"/>
        </w:rPr>
        <w:t> </w:t>
      </w:r>
      <w:r>
        <w:rPr/>
        <w:t>of</w:t>
      </w:r>
      <w:r>
        <w:rPr>
          <w:spacing w:val="-6"/>
        </w:rPr>
        <w:t> </w:t>
      </w:r>
      <w:r>
        <w:rPr/>
        <w:t>wider</w:t>
      </w:r>
      <w:r>
        <w:rPr>
          <w:spacing w:val="-3"/>
        </w:rPr>
        <w:t> </w:t>
      </w:r>
      <w:r>
        <w:rPr/>
        <w:t>relevance</w:t>
      </w:r>
      <w:r>
        <w:rPr>
          <w:spacing w:val="-6"/>
        </w:rPr>
        <w:t> </w:t>
      </w:r>
      <w:r>
        <w:rPr/>
        <w:t>between</w:t>
      </w:r>
      <w:r>
        <w:rPr>
          <w:spacing w:val="-6"/>
        </w:rPr>
        <w:t> </w:t>
      </w:r>
      <w:r>
        <w:rPr/>
        <w:t>the</w:t>
      </w:r>
      <w:r>
        <w:rPr>
          <w:spacing w:val="-5"/>
        </w:rPr>
        <w:t> </w:t>
      </w:r>
      <w:r>
        <w:rPr/>
        <w:t>individuals</w:t>
      </w:r>
      <w:r>
        <w:rPr>
          <w:spacing w:val="-6"/>
        </w:rPr>
        <w:t> </w:t>
      </w:r>
      <w:r>
        <w:rPr/>
        <w:t>at</w:t>
      </w:r>
      <w:r>
        <w:rPr>
          <w:spacing w:val="-5"/>
        </w:rPr>
        <w:t> </w:t>
      </w:r>
      <w:r>
        <w:rPr/>
        <w:t>stake</w:t>
      </w:r>
      <w:r>
        <w:rPr>
          <w:spacing w:val="-5"/>
        </w:rPr>
        <w:t> </w:t>
      </w:r>
      <w:r>
        <w:rPr/>
        <w:t>in</w:t>
      </w:r>
      <w:r>
        <w:rPr>
          <w:spacing w:val="-6"/>
        </w:rPr>
        <w:t> </w:t>
      </w:r>
      <w:r>
        <w:rPr/>
        <w:t>the</w:t>
      </w:r>
      <w:r>
        <w:rPr>
          <w:spacing w:val="-4"/>
        </w:rPr>
        <w:t> </w:t>
      </w:r>
      <w:r>
        <w:rPr/>
        <w:t>tragedies.</w:t>
      </w:r>
      <w:r>
        <w:rPr>
          <w:spacing w:val="-6"/>
        </w:rPr>
        <w:t> </w:t>
      </w:r>
      <w:r>
        <w:rPr/>
        <w:t>The argument proposed in this article underscores a conventional reading concerning</w:t>
      </w:r>
      <w:r>
        <w:rPr>
          <w:spacing w:val="-5"/>
        </w:rPr>
        <w:t> </w:t>
      </w:r>
      <w:r>
        <w:rPr/>
        <w:t>the</w:t>
      </w:r>
      <w:r>
        <w:rPr>
          <w:spacing w:val="-2"/>
        </w:rPr>
        <w:t> </w:t>
      </w:r>
      <w:r>
        <w:rPr/>
        <w:t>examination</w:t>
      </w:r>
      <w:r>
        <w:rPr>
          <w:spacing w:val="-7"/>
        </w:rPr>
        <w:t> </w:t>
      </w:r>
      <w:r>
        <w:rPr/>
        <w:t>of</w:t>
      </w:r>
      <w:r>
        <w:rPr>
          <w:spacing w:val="-5"/>
        </w:rPr>
        <w:t> </w:t>
      </w:r>
      <w:r>
        <w:rPr/>
        <w:t>female</w:t>
      </w:r>
      <w:r>
        <w:rPr>
          <w:spacing w:val="-2"/>
        </w:rPr>
        <w:t> </w:t>
      </w:r>
      <w:r>
        <w:rPr/>
        <w:t>agency</w:t>
      </w:r>
      <w:r>
        <w:rPr>
          <w:spacing w:val="-7"/>
        </w:rPr>
        <w:t> </w:t>
      </w:r>
      <w:r>
        <w:rPr/>
        <w:t>and</w:t>
      </w:r>
      <w:r>
        <w:rPr>
          <w:spacing w:val="-5"/>
        </w:rPr>
        <w:t> </w:t>
      </w:r>
      <w:r>
        <w:rPr/>
        <w:t>exploration</w:t>
      </w:r>
      <w:r>
        <w:rPr>
          <w:spacing w:val="-5"/>
        </w:rPr>
        <w:t> </w:t>
      </w:r>
      <w:r>
        <w:rPr/>
        <w:t>of</w:t>
      </w:r>
      <w:r>
        <w:rPr>
          <w:spacing w:val="-5"/>
        </w:rPr>
        <w:t> </w:t>
      </w:r>
      <w:r>
        <w:rPr/>
        <w:t>mental deterioration, not as two separate thematic concerns but as two connected</w:t>
      </w:r>
      <w:r>
        <w:rPr>
          <w:spacing w:val="40"/>
        </w:rPr>
        <w:t> </w:t>
      </w:r>
      <w:r>
        <w:rPr/>
        <w:t>driving</w:t>
      </w:r>
      <w:r>
        <w:rPr>
          <w:spacing w:val="40"/>
        </w:rPr>
        <w:t> </w:t>
      </w:r>
      <w:r>
        <w:rPr/>
        <w:t>forces</w:t>
      </w:r>
      <w:r>
        <w:rPr>
          <w:spacing w:val="40"/>
        </w:rPr>
        <w:t> </w:t>
      </w:r>
      <w:r>
        <w:rPr/>
        <w:t>of tragic</w:t>
      </w:r>
      <w:r>
        <w:rPr>
          <w:spacing w:val="40"/>
        </w:rPr>
        <w:t> </w:t>
      </w:r>
      <w:r>
        <w:rPr/>
        <w:t>vision</w:t>
      </w:r>
      <w:r>
        <w:rPr>
          <w:spacing w:val="40"/>
        </w:rPr>
        <w:t> </w:t>
      </w:r>
      <w:r>
        <w:rPr/>
        <w:t>in</w:t>
      </w:r>
      <w:r>
        <w:rPr>
          <w:spacing w:val="40"/>
        </w:rPr>
        <w:t> </w:t>
      </w:r>
      <w:r>
        <w:rPr/>
        <w:t>both</w:t>
      </w:r>
      <w:r>
        <w:rPr>
          <w:spacing w:val="40"/>
        </w:rPr>
        <w:t> </w:t>
      </w:r>
      <w:r>
        <w:rPr/>
        <w:t>works.</w:t>
      </w:r>
    </w:p>
    <w:p>
      <w:pPr>
        <w:pStyle w:val="Heading3"/>
        <w:numPr>
          <w:ilvl w:val="0"/>
          <w:numId w:val="43"/>
        </w:numPr>
        <w:tabs>
          <w:tab w:pos="1701" w:val="left" w:leader="none"/>
        </w:tabs>
        <w:spacing w:line="240" w:lineRule="auto" w:before="161" w:after="0"/>
        <w:ind w:left="1701" w:right="0" w:hanging="261"/>
        <w:jc w:val="left"/>
      </w:pPr>
      <w:r>
        <w:rPr>
          <w:spacing w:val="-7"/>
        </w:rPr>
        <w:t>CONCEPTUAL</w:t>
      </w:r>
      <w:r>
        <w:rPr>
          <w:spacing w:val="-6"/>
        </w:rPr>
        <w:t> </w:t>
      </w:r>
      <w:r>
        <w:rPr>
          <w:spacing w:val="-2"/>
        </w:rPr>
        <w:t>FRAMEWORK</w:t>
      </w:r>
    </w:p>
    <w:p>
      <w:pPr>
        <w:pStyle w:val="BodyText"/>
        <w:spacing w:line="249" w:lineRule="auto" w:before="75"/>
        <w:ind w:right="1435" w:firstLine="432"/>
        <w:jc w:val="both"/>
      </w:pPr>
      <w:r>
        <w:rPr/>
        <w:t>This paper is grounded in the context of an interdisciplinary theoretical</w:t>
      </w:r>
      <w:r>
        <w:rPr>
          <w:spacing w:val="-9"/>
        </w:rPr>
        <w:t> </w:t>
      </w:r>
      <w:r>
        <w:rPr/>
        <w:t>framework</w:t>
      </w:r>
      <w:r>
        <w:rPr>
          <w:spacing w:val="-9"/>
        </w:rPr>
        <w:t> </w:t>
      </w:r>
      <w:r>
        <w:rPr/>
        <w:t>that</w:t>
      </w:r>
      <w:r>
        <w:rPr>
          <w:spacing w:val="-9"/>
        </w:rPr>
        <w:t> </w:t>
      </w:r>
      <w:r>
        <w:rPr/>
        <w:t>brings</w:t>
      </w:r>
      <w:r>
        <w:rPr>
          <w:spacing w:val="-9"/>
        </w:rPr>
        <w:t> </w:t>
      </w:r>
      <w:r>
        <w:rPr/>
        <w:t>together</w:t>
      </w:r>
      <w:r>
        <w:rPr>
          <w:spacing w:val="-8"/>
        </w:rPr>
        <w:t> </w:t>
      </w:r>
      <w:r>
        <w:rPr/>
        <w:t>feminist</w:t>
      </w:r>
      <w:r>
        <w:rPr>
          <w:spacing w:val="-8"/>
        </w:rPr>
        <w:t> </w:t>
      </w:r>
      <w:r>
        <w:rPr/>
        <w:t>literary</w:t>
      </w:r>
      <w:r>
        <w:rPr>
          <w:spacing w:val="-13"/>
        </w:rPr>
        <w:t> </w:t>
      </w:r>
      <w:r>
        <w:rPr/>
        <w:t>criticism</w:t>
      </w:r>
      <w:r>
        <w:rPr>
          <w:spacing w:val="-11"/>
        </w:rPr>
        <w:t> </w:t>
      </w:r>
      <w:r>
        <w:rPr/>
        <w:t>and psychoanalysis</w:t>
      </w:r>
      <w:r>
        <w:rPr>
          <w:spacing w:val="-5"/>
        </w:rPr>
        <w:t> </w:t>
      </w:r>
      <w:r>
        <w:rPr/>
        <w:t>for</w:t>
      </w:r>
      <w:r>
        <w:rPr>
          <w:spacing w:val="-5"/>
        </w:rPr>
        <w:t> </w:t>
      </w:r>
      <w:r>
        <w:rPr/>
        <w:t>the</w:t>
      </w:r>
      <w:r>
        <w:rPr>
          <w:spacing w:val="-7"/>
        </w:rPr>
        <w:t> </w:t>
      </w:r>
      <w:r>
        <w:rPr/>
        <w:t>re-evaluation</w:t>
      </w:r>
      <w:r>
        <w:rPr>
          <w:spacing w:val="-7"/>
        </w:rPr>
        <w:t> </w:t>
      </w:r>
      <w:r>
        <w:rPr/>
        <w:t>of</w:t>
      </w:r>
      <w:r>
        <w:rPr>
          <w:spacing w:val="-7"/>
        </w:rPr>
        <w:t> </w:t>
      </w:r>
      <w:r>
        <w:rPr/>
        <w:t>tragedy</w:t>
      </w:r>
      <w:r>
        <w:rPr>
          <w:spacing w:val="-8"/>
        </w:rPr>
        <w:t> </w:t>
      </w:r>
      <w:r>
        <w:rPr/>
        <w:t>in</w:t>
      </w:r>
      <w:r>
        <w:rPr>
          <w:spacing w:val="-7"/>
        </w:rPr>
        <w:t> </w:t>
      </w:r>
      <w:r>
        <w:rPr/>
        <w:t>‘Hamlet’</w:t>
      </w:r>
      <w:r>
        <w:rPr>
          <w:spacing w:val="-7"/>
        </w:rPr>
        <w:t> </w:t>
      </w:r>
      <w:r>
        <w:rPr/>
        <w:t>and</w:t>
      </w:r>
      <w:r>
        <w:rPr>
          <w:spacing w:val="-5"/>
        </w:rPr>
        <w:t> </w:t>
      </w:r>
      <w:r>
        <w:rPr/>
        <w:t>Devdas. Such re-evaluative effort contradicts earlier hero-dominated readings and places the characters of the women along with their psychological states in a particular frame with tragic mental erosion in the male protagonists [11]. It holds fast to a view whereby, through discussions of gender dynamics in conjunction with inner psychological erosion, tragedy</w:t>
      </w:r>
      <w:r>
        <w:rPr>
          <w:spacing w:val="-13"/>
        </w:rPr>
        <w:t> </w:t>
      </w:r>
      <w:r>
        <w:rPr/>
        <w:t>ceases</w:t>
      </w:r>
      <w:r>
        <w:rPr>
          <w:spacing w:val="-12"/>
        </w:rPr>
        <w:t> </w:t>
      </w:r>
      <w:r>
        <w:rPr/>
        <w:t>to</w:t>
      </w:r>
      <w:r>
        <w:rPr>
          <w:spacing w:val="-11"/>
        </w:rPr>
        <w:t> </w:t>
      </w:r>
      <w:r>
        <w:rPr/>
        <w:t>be</w:t>
      </w:r>
      <w:r>
        <w:rPr>
          <w:spacing w:val="-10"/>
        </w:rPr>
        <w:t> </w:t>
      </w:r>
      <w:r>
        <w:rPr/>
        <w:t>a</w:t>
      </w:r>
      <w:r>
        <w:rPr>
          <w:spacing w:val="-11"/>
        </w:rPr>
        <w:t> </w:t>
      </w:r>
      <w:r>
        <w:rPr/>
        <w:t>monadic</w:t>
      </w:r>
      <w:r>
        <w:rPr>
          <w:spacing w:val="-10"/>
        </w:rPr>
        <w:t> </w:t>
      </w:r>
      <w:r>
        <w:rPr/>
        <w:t>concept</w:t>
      </w:r>
      <w:r>
        <w:rPr>
          <w:spacing w:val="-12"/>
        </w:rPr>
        <w:t> </w:t>
      </w:r>
      <w:r>
        <w:rPr/>
        <w:t>involving</w:t>
      </w:r>
      <w:r>
        <w:rPr>
          <w:spacing w:val="-13"/>
        </w:rPr>
        <w:t> </w:t>
      </w:r>
      <w:r>
        <w:rPr/>
        <w:t>hero-centric</w:t>
      </w:r>
      <w:r>
        <w:rPr>
          <w:spacing w:val="-11"/>
        </w:rPr>
        <w:t> </w:t>
      </w:r>
      <w:r>
        <w:rPr/>
        <w:t>narratives but is suggested to be relational by virtue of the emotional, social, and psychological relationships within which it occurs. By employing such an approach, one becomes more fully attuned to how the assertive and the vulnerable characteristics present in women, respectively, may superpose</w:t>
      </w:r>
      <w:r>
        <w:rPr>
          <w:spacing w:val="40"/>
        </w:rPr>
        <w:t> </w:t>
      </w:r>
      <w:r>
        <w:rPr/>
        <w:t>and</w:t>
      </w:r>
      <w:r>
        <w:rPr>
          <w:spacing w:val="40"/>
        </w:rPr>
        <w:t> </w:t>
      </w:r>
      <w:r>
        <w:rPr/>
        <w:t>amplify</w:t>
      </w:r>
      <w:r>
        <w:rPr>
          <w:spacing w:val="40"/>
        </w:rPr>
        <w:t> </w:t>
      </w:r>
      <w:r>
        <w:rPr/>
        <w:t>tragic</w:t>
      </w:r>
      <w:r>
        <w:rPr>
          <w:spacing w:val="40"/>
        </w:rPr>
        <w:t> </w:t>
      </w:r>
      <w:r>
        <w:rPr/>
        <w:t>outcomes.</w:t>
      </w:r>
    </w:p>
    <w:p>
      <w:pPr>
        <w:pStyle w:val="Heading5"/>
        <w:numPr>
          <w:ilvl w:val="1"/>
          <w:numId w:val="43"/>
        </w:numPr>
        <w:tabs>
          <w:tab w:pos="1792" w:val="left" w:leader="none"/>
        </w:tabs>
        <w:spacing w:line="240" w:lineRule="auto" w:before="119" w:after="0"/>
        <w:ind w:left="1792" w:right="0" w:hanging="352"/>
        <w:jc w:val="left"/>
      </w:pPr>
      <w:r>
        <w:rPr/>
        <w:t>Feminist</w:t>
      </w:r>
      <w:r>
        <w:rPr>
          <w:spacing w:val="56"/>
        </w:rPr>
        <w:t> </w:t>
      </w:r>
      <w:r>
        <w:rPr/>
        <w:t>Literary</w:t>
      </w:r>
      <w:r>
        <w:rPr>
          <w:spacing w:val="56"/>
        </w:rPr>
        <w:t> </w:t>
      </w:r>
      <w:r>
        <w:rPr>
          <w:spacing w:val="-2"/>
        </w:rPr>
        <w:t>Theory</w:t>
      </w:r>
    </w:p>
    <w:p>
      <w:pPr>
        <w:pStyle w:val="BodyText"/>
        <w:spacing w:line="249" w:lineRule="auto" w:before="74"/>
        <w:ind w:right="1438" w:firstLine="432"/>
        <w:jc w:val="both"/>
      </w:pPr>
      <w:r>
        <w:rPr/>
        <w:t>Feminist literary theory serves as a tool to reassess the representation</w:t>
      </w:r>
      <w:r>
        <w:rPr>
          <w:spacing w:val="-9"/>
        </w:rPr>
        <w:t> </w:t>
      </w:r>
      <w:r>
        <w:rPr/>
        <w:t>and</w:t>
      </w:r>
      <w:r>
        <w:rPr>
          <w:spacing w:val="-5"/>
        </w:rPr>
        <w:t> </w:t>
      </w:r>
      <w:r>
        <w:rPr/>
        <w:t>importance</w:t>
      </w:r>
      <w:r>
        <w:rPr>
          <w:spacing w:val="-9"/>
        </w:rPr>
        <w:t> </w:t>
      </w:r>
      <w:r>
        <w:rPr/>
        <w:t>of</w:t>
      </w:r>
      <w:r>
        <w:rPr>
          <w:spacing w:val="-7"/>
        </w:rPr>
        <w:t> </w:t>
      </w:r>
      <w:r>
        <w:rPr/>
        <w:t>female</w:t>
      </w:r>
      <w:r>
        <w:rPr>
          <w:spacing w:val="-8"/>
        </w:rPr>
        <w:t> </w:t>
      </w:r>
      <w:r>
        <w:rPr/>
        <w:t>characters</w:t>
      </w:r>
      <w:r>
        <w:rPr>
          <w:spacing w:val="-7"/>
        </w:rPr>
        <w:t> </w:t>
      </w:r>
      <w:r>
        <w:rPr/>
        <w:t>in</w:t>
      </w:r>
      <w:r>
        <w:rPr>
          <w:spacing w:val="-9"/>
        </w:rPr>
        <w:t> </w:t>
      </w:r>
      <w:r>
        <w:rPr/>
        <w:t>the</w:t>
      </w:r>
      <w:r>
        <w:rPr>
          <w:spacing w:val="-4"/>
        </w:rPr>
        <w:t> </w:t>
      </w:r>
      <w:r>
        <w:rPr/>
        <w:t>male-centered stories like Hamlet and Devdas. It</w:t>
      </w:r>
      <w:r>
        <w:rPr>
          <w:spacing w:val="-1"/>
        </w:rPr>
        <w:t> </w:t>
      </w:r>
      <w:r>
        <w:rPr/>
        <w:t>aims at debunking patriarchal claims hiding</w:t>
      </w:r>
      <w:r>
        <w:rPr>
          <w:spacing w:val="-13"/>
        </w:rPr>
        <w:t> </w:t>
      </w:r>
      <w:r>
        <w:rPr/>
        <w:t>within</w:t>
      </w:r>
      <w:r>
        <w:rPr>
          <w:spacing w:val="-12"/>
        </w:rPr>
        <w:t> </w:t>
      </w:r>
      <w:r>
        <w:rPr/>
        <w:t>literature</w:t>
      </w:r>
      <w:r>
        <w:rPr>
          <w:spacing w:val="-13"/>
        </w:rPr>
        <w:t> </w:t>
      </w:r>
      <w:r>
        <w:rPr/>
        <w:t>and</w:t>
      </w:r>
      <w:r>
        <w:rPr>
          <w:spacing w:val="-12"/>
        </w:rPr>
        <w:t> </w:t>
      </w:r>
      <w:r>
        <w:rPr/>
        <w:t>criticism</w:t>
      </w:r>
      <w:r>
        <w:rPr>
          <w:spacing w:val="-13"/>
        </w:rPr>
        <w:t> </w:t>
      </w:r>
      <w:r>
        <w:rPr/>
        <w:t>by</w:t>
      </w:r>
      <w:r>
        <w:rPr>
          <w:spacing w:val="-12"/>
        </w:rPr>
        <w:t> </w:t>
      </w:r>
      <w:r>
        <w:rPr/>
        <w:t>revealing</w:t>
      </w:r>
      <w:r>
        <w:rPr>
          <w:spacing w:val="-13"/>
        </w:rPr>
        <w:t> </w:t>
      </w:r>
      <w:r>
        <w:rPr/>
        <w:t>how</w:t>
      </w:r>
      <w:r>
        <w:rPr>
          <w:spacing w:val="-12"/>
        </w:rPr>
        <w:t> </w:t>
      </w:r>
      <w:r>
        <w:rPr/>
        <w:t>female</w:t>
      </w:r>
      <w:r>
        <w:rPr>
          <w:spacing w:val="-13"/>
        </w:rPr>
        <w:t> </w:t>
      </w:r>
      <w:r>
        <w:rPr/>
        <w:t>ranks</w:t>
      </w:r>
      <w:r>
        <w:rPr>
          <w:spacing w:val="-12"/>
        </w:rPr>
        <w:t> </w:t>
      </w:r>
      <w:r>
        <w:rPr/>
        <w:t>have been marginalized, silenced, or reduced to mere symbols that aid the development of the male protagonist [12]. In this context, the works examined also show female characters to develop within constraining social structures that govern their fall in power whilst determining the course</w:t>
      </w:r>
      <w:r>
        <w:rPr>
          <w:spacing w:val="40"/>
        </w:rPr>
        <w:t> </w:t>
      </w:r>
      <w:r>
        <w:rPr/>
        <w:t>of</w:t>
      </w:r>
      <w:r>
        <w:rPr>
          <w:spacing w:val="40"/>
        </w:rPr>
        <w:t> </w:t>
      </w:r>
      <w:r>
        <w:rPr/>
        <w:t>the</w:t>
      </w:r>
      <w:r>
        <w:rPr>
          <w:spacing w:val="40"/>
        </w:rPr>
        <w:t> </w:t>
      </w:r>
      <w:r>
        <w:rPr/>
        <w:t>narrative.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3456">
                <wp:simplePos x="0" y="0"/>
                <wp:positionH relativeFrom="page">
                  <wp:posOffset>2057400</wp:posOffset>
                </wp:positionH>
                <wp:positionV relativeFrom="paragraph">
                  <wp:posOffset>162604</wp:posOffset>
                </wp:positionV>
                <wp:extent cx="3657600" cy="12700"/>
                <wp:effectExtent l="0" t="0" r="0" b="0"/>
                <wp:wrapTopAndBottom/>
                <wp:docPr id="502" name="Graphic 502"/>
                <wp:cNvGraphicFramePr>
                  <a:graphicFrameLocks/>
                </wp:cNvGraphicFramePr>
                <a:graphic>
                  <a:graphicData uri="http://schemas.microsoft.com/office/word/2010/wordprocessingShape">
                    <wps:wsp>
                      <wps:cNvPr id="502" name="Graphic 50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53024;mso-wrap-distance-left:0;mso-wrap-distance-right:0" id="docshape497" filled="true" fillcolor="#000000" stroked="false">
                <v:fill type="solid"/>
                <w10:wrap type="topAndBottom"/>
              </v:rect>
            </w:pict>
          </mc:Fallback>
        </mc:AlternateContent>
      </w:r>
      <w:r>
        <w:rPr>
          <w:rFonts w:ascii="Verdana"/>
          <w:spacing w:val="-5"/>
          <w:sz w:val="18"/>
        </w:rPr>
        <w:t>228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firstLine="432"/>
        <w:jc w:val="both"/>
      </w:pPr>
      <w:r>
        <w:rPr/>
        <w:t>Elaine</w:t>
      </w:r>
      <w:r>
        <w:rPr>
          <w:spacing w:val="-3"/>
        </w:rPr>
        <w:t> </w:t>
      </w:r>
      <w:r>
        <w:rPr/>
        <w:t>Showalter’s</w:t>
      </w:r>
      <w:r>
        <w:rPr>
          <w:spacing w:val="-6"/>
        </w:rPr>
        <w:t> </w:t>
      </w:r>
      <w:r>
        <w:rPr/>
        <w:t>analysis</w:t>
      </w:r>
      <w:r>
        <w:rPr>
          <w:spacing w:val="-4"/>
        </w:rPr>
        <w:t> </w:t>
      </w:r>
      <w:r>
        <w:rPr/>
        <w:t>of</w:t>
      </w:r>
      <w:r>
        <w:rPr>
          <w:spacing w:val="-6"/>
        </w:rPr>
        <w:t> </w:t>
      </w:r>
      <w:r>
        <w:rPr/>
        <w:t>Ophelia</w:t>
      </w:r>
      <w:r>
        <w:rPr>
          <w:spacing w:val="-8"/>
        </w:rPr>
        <w:t> </w:t>
      </w:r>
      <w:r>
        <w:rPr/>
        <w:t>is</w:t>
      </w:r>
      <w:r>
        <w:rPr>
          <w:spacing w:val="-6"/>
        </w:rPr>
        <w:t> </w:t>
      </w:r>
      <w:r>
        <w:rPr/>
        <w:t>pervaded</w:t>
      </w:r>
      <w:r>
        <w:rPr>
          <w:spacing w:val="-4"/>
        </w:rPr>
        <w:t> </w:t>
      </w:r>
      <w:r>
        <w:rPr/>
        <w:t>by</w:t>
      </w:r>
      <w:r>
        <w:rPr>
          <w:spacing w:val="-8"/>
        </w:rPr>
        <w:t> </w:t>
      </w:r>
      <w:r>
        <w:rPr/>
        <w:t>this</w:t>
      </w:r>
      <w:r>
        <w:rPr>
          <w:spacing w:val="-6"/>
        </w:rPr>
        <w:t> </w:t>
      </w:r>
      <w:r>
        <w:rPr/>
        <w:t>one</w:t>
      </w:r>
      <w:r>
        <w:rPr>
          <w:spacing w:val="-6"/>
        </w:rPr>
        <w:t> </w:t>
      </w:r>
      <w:r>
        <w:rPr/>
        <w:t>key idea: that her artistic demise and solitude should not be dismissed as merely telling apart of the psychological hardships Hamlet underwent, but should also be seen as reflections of her lost identity and her torment.</w:t>
      </w:r>
      <w:r>
        <w:rPr>
          <w:spacing w:val="-13"/>
        </w:rPr>
        <w:t> </w:t>
      </w:r>
      <w:r>
        <w:rPr/>
        <w:t>The</w:t>
      </w:r>
      <w:r>
        <w:rPr>
          <w:spacing w:val="-12"/>
        </w:rPr>
        <w:t> </w:t>
      </w:r>
      <w:r>
        <w:rPr/>
        <w:t>essence</w:t>
      </w:r>
      <w:r>
        <w:rPr>
          <w:spacing w:val="-13"/>
        </w:rPr>
        <w:t> </w:t>
      </w:r>
      <w:r>
        <w:rPr/>
        <w:t>of</w:t>
      </w:r>
      <w:r>
        <w:rPr>
          <w:spacing w:val="-12"/>
        </w:rPr>
        <w:t> </w:t>
      </w:r>
      <w:r>
        <w:rPr/>
        <w:t>Ophelia’s</w:t>
      </w:r>
      <w:r>
        <w:rPr>
          <w:spacing w:val="-13"/>
        </w:rPr>
        <w:t> </w:t>
      </w:r>
      <w:r>
        <w:rPr/>
        <w:t>madness</w:t>
      </w:r>
      <w:r>
        <w:rPr>
          <w:spacing w:val="-12"/>
        </w:rPr>
        <w:t> </w:t>
      </w:r>
      <w:r>
        <w:rPr/>
        <w:t>becomes</w:t>
      </w:r>
      <w:r>
        <w:rPr>
          <w:spacing w:val="-13"/>
        </w:rPr>
        <w:t> </w:t>
      </w:r>
      <w:r>
        <w:rPr/>
        <w:t>the</w:t>
      </w:r>
      <w:r>
        <w:rPr>
          <w:spacing w:val="-12"/>
        </w:rPr>
        <w:t> </w:t>
      </w:r>
      <w:r>
        <w:rPr/>
        <w:t>vehicle</w:t>
      </w:r>
      <w:r>
        <w:rPr>
          <w:spacing w:val="-10"/>
        </w:rPr>
        <w:t> </w:t>
      </w:r>
      <w:r>
        <w:rPr/>
        <w:t>towards Showalter’s attempt to reinvent her from an object to a subject caught within</w:t>
      </w:r>
      <w:r>
        <w:rPr>
          <w:spacing w:val="-12"/>
        </w:rPr>
        <w:t> </w:t>
      </w:r>
      <w:r>
        <w:rPr/>
        <w:t>patriarchal</w:t>
      </w:r>
      <w:r>
        <w:rPr>
          <w:spacing w:val="-12"/>
        </w:rPr>
        <w:t> </w:t>
      </w:r>
      <w:r>
        <w:rPr/>
        <w:t>restrictions</w:t>
      </w:r>
      <w:r>
        <w:rPr>
          <w:spacing w:val="-12"/>
        </w:rPr>
        <w:t> </w:t>
      </w:r>
      <w:r>
        <w:rPr/>
        <w:t>and</w:t>
      </w:r>
      <w:r>
        <w:rPr>
          <w:spacing w:val="-12"/>
        </w:rPr>
        <w:t> </w:t>
      </w:r>
      <w:r>
        <w:rPr/>
        <w:t>emotional</w:t>
      </w:r>
      <w:r>
        <w:rPr>
          <w:spacing w:val="-11"/>
        </w:rPr>
        <w:t> </w:t>
      </w:r>
      <w:r>
        <w:rPr/>
        <w:t>repressions.</w:t>
      </w:r>
      <w:r>
        <w:rPr>
          <w:spacing w:val="-11"/>
        </w:rPr>
        <w:t> </w:t>
      </w:r>
      <w:r>
        <w:rPr/>
        <w:t>In</w:t>
      </w:r>
      <w:r>
        <w:rPr>
          <w:spacing w:val="-13"/>
        </w:rPr>
        <w:t> </w:t>
      </w:r>
      <w:r>
        <w:rPr/>
        <w:t>other</w:t>
      </w:r>
      <w:r>
        <w:rPr>
          <w:spacing w:val="-8"/>
        </w:rPr>
        <w:t> </w:t>
      </w:r>
      <w:r>
        <w:rPr/>
        <w:t>words, the recovery of Ophelia’s subjectivity places responsibility for her </w:t>
      </w:r>
      <w:r>
        <w:rPr>
          <w:spacing w:val="-2"/>
        </w:rPr>
        <w:t>suffering</w:t>
      </w:r>
      <w:r>
        <w:rPr>
          <w:spacing w:val="-6"/>
        </w:rPr>
        <w:t> </w:t>
      </w:r>
      <w:r>
        <w:rPr>
          <w:spacing w:val="-2"/>
        </w:rPr>
        <w:t>on</w:t>
      </w:r>
      <w:r>
        <w:rPr>
          <w:spacing w:val="-6"/>
        </w:rPr>
        <w:t> </w:t>
      </w:r>
      <w:r>
        <w:rPr>
          <w:spacing w:val="-2"/>
        </w:rPr>
        <w:t>the</w:t>
      </w:r>
      <w:r>
        <w:rPr>
          <w:spacing w:val="-3"/>
        </w:rPr>
        <w:t> </w:t>
      </w:r>
      <w:r>
        <w:rPr>
          <w:spacing w:val="-2"/>
        </w:rPr>
        <w:t>patriarchal</w:t>
      </w:r>
      <w:r>
        <w:rPr>
          <w:spacing w:val="-5"/>
        </w:rPr>
        <w:t> </w:t>
      </w:r>
      <w:r>
        <w:rPr>
          <w:spacing w:val="-2"/>
        </w:rPr>
        <w:t>nature</w:t>
      </w:r>
      <w:r>
        <w:rPr>
          <w:spacing w:val="-5"/>
        </w:rPr>
        <w:t> </w:t>
      </w:r>
      <w:r>
        <w:rPr>
          <w:spacing w:val="-2"/>
        </w:rPr>
        <w:t>of</w:t>
      </w:r>
      <w:r>
        <w:rPr>
          <w:spacing w:val="-6"/>
        </w:rPr>
        <w:t> </w:t>
      </w:r>
      <w:r>
        <w:rPr>
          <w:spacing w:val="-2"/>
        </w:rPr>
        <w:t>her</w:t>
      </w:r>
      <w:r>
        <w:rPr>
          <w:spacing w:val="-4"/>
        </w:rPr>
        <w:t> </w:t>
      </w:r>
      <w:r>
        <w:rPr>
          <w:spacing w:val="-2"/>
        </w:rPr>
        <w:t>father</w:t>
      </w:r>
      <w:r>
        <w:rPr>
          <w:spacing w:val="-4"/>
        </w:rPr>
        <w:t> </w:t>
      </w:r>
      <w:r>
        <w:rPr>
          <w:spacing w:val="-2"/>
        </w:rPr>
        <w:t>and her</w:t>
      </w:r>
      <w:r>
        <w:rPr>
          <w:spacing w:val="-4"/>
        </w:rPr>
        <w:t> </w:t>
      </w:r>
      <w:r>
        <w:rPr>
          <w:spacing w:val="-2"/>
        </w:rPr>
        <w:t>cultural</w:t>
      </w:r>
      <w:r>
        <w:rPr>
          <w:spacing w:val="-5"/>
        </w:rPr>
        <w:t> </w:t>
      </w:r>
      <w:r>
        <w:rPr>
          <w:spacing w:val="-2"/>
        </w:rPr>
        <w:t>moments, for</w:t>
      </w:r>
      <w:r>
        <w:rPr>
          <w:spacing w:val="-11"/>
        </w:rPr>
        <w:t> </w:t>
      </w:r>
      <w:r>
        <w:rPr>
          <w:spacing w:val="-2"/>
        </w:rPr>
        <w:t>divisibly</w:t>
      </w:r>
      <w:r>
        <w:rPr>
          <w:spacing w:val="-10"/>
        </w:rPr>
        <w:t> </w:t>
      </w:r>
      <w:r>
        <w:rPr>
          <w:spacing w:val="-2"/>
        </w:rPr>
        <w:t>detrimentally</w:t>
      </w:r>
      <w:r>
        <w:rPr>
          <w:spacing w:val="-11"/>
        </w:rPr>
        <w:t> </w:t>
      </w:r>
      <w:r>
        <w:rPr>
          <w:spacing w:val="-2"/>
        </w:rPr>
        <w:t>impacting</w:t>
      </w:r>
      <w:r>
        <w:rPr>
          <w:spacing w:val="-10"/>
        </w:rPr>
        <w:t> </w:t>
      </w:r>
      <w:r>
        <w:rPr>
          <w:spacing w:val="-2"/>
        </w:rPr>
        <w:t>the</w:t>
      </w:r>
      <w:r>
        <w:rPr>
          <w:spacing w:val="-11"/>
        </w:rPr>
        <w:t> </w:t>
      </w:r>
      <w:r>
        <w:rPr>
          <w:spacing w:val="-2"/>
        </w:rPr>
        <w:t>rest</w:t>
      </w:r>
      <w:r>
        <w:rPr>
          <w:spacing w:val="-10"/>
        </w:rPr>
        <w:t> </w:t>
      </w:r>
      <w:r>
        <w:rPr>
          <w:spacing w:val="-2"/>
        </w:rPr>
        <w:t>of</w:t>
      </w:r>
      <w:r>
        <w:rPr>
          <w:spacing w:val="-11"/>
        </w:rPr>
        <w:t> </w:t>
      </w:r>
      <w:r>
        <w:rPr>
          <w:spacing w:val="-2"/>
        </w:rPr>
        <w:t>them.</w:t>
      </w:r>
      <w:r>
        <w:rPr>
          <w:spacing w:val="-10"/>
        </w:rPr>
        <w:t> </w:t>
      </w:r>
      <w:r>
        <w:rPr>
          <w:spacing w:val="-2"/>
        </w:rPr>
        <w:t>Showalter’s</w:t>
      </w:r>
      <w:r>
        <w:rPr>
          <w:spacing w:val="-11"/>
        </w:rPr>
        <w:t> </w:t>
      </w:r>
      <w:r>
        <w:rPr>
          <w:spacing w:val="-2"/>
        </w:rPr>
        <w:t>reading </w:t>
      </w:r>
      <w:r>
        <w:rPr/>
        <w:t>disputes the traditional perspective, which embraces her as passive victim. Instead, she is seen to bear the female witness to wider gender inequalities in that society [6].</w:t>
      </w:r>
    </w:p>
    <w:p>
      <w:pPr>
        <w:pStyle w:val="BodyText"/>
        <w:spacing w:line="249" w:lineRule="auto" w:before="68"/>
        <w:ind w:right="1437" w:firstLine="432"/>
        <w:jc w:val="both"/>
      </w:pPr>
      <w:r>
        <w:rPr/>
        <w:t>Feminist</w:t>
      </w:r>
      <w:r>
        <w:rPr>
          <w:spacing w:val="-6"/>
        </w:rPr>
        <w:t> </w:t>
      </w:r>
      <w:r>
        <w:rPr/>
        <w:t>criticism,</w:t>
      </w:r>
      <w:r>
        <w:rPr>
          <w:spacing w:val="-8"/>
        </w:rPr>
        <w:t> </w:t>
      </w:r>
      <w:r>
        <w:rPr/>
        <w:t>the</w:t>
      </w:r>
      <w:r>
        <w:rPr>
          <w:spacing w:val="-6"/>
        </w:rPr>
        <w:t> </w:t>
      </w:r>
      <w:r>
        <w:rPr/>
        <w:t>pretty</w:t>
      </w:r>
      <w:r>
        <w:rPr>
          <w:spacing w:val="-11"/>
        </w:rPr>
        <w:t> </w:t>
      </w:r>
      <w:r>
        <w:rPr/>
        <w:t>hammersome</w:t>
      </w:r>
      <w:r>
        <w:rPr>
          <w:spacing w:val="-7"/>
        </w:rPr>
        <w:t> </w:t>
      </w:r>
      <w:r>
        <w:rPr/>
        <w:t>of</w:t>
      </w:r>
      <w:r>
        <w:rPr>
          <w:spacing w:val="-8"/>
        </w:rPr>
        <w:t> </w:t>
      </w:r>
      <w:r>
        <w:rPr/>
        <w:t>the</w:t>
      </w:r>
      <w:r>
        <w:rPr>
          <w:spacing w:val="-9"/>
        </w:rPr>
        <w:t> </w:t>
      </w:r>
      <w:r>
        <w:rPr/>
        <w:t>literary</w:t>
      </w:r>
      <w:r>
        <w:rPr>
          <w:spacing w:val="-11"/>
        </w:rPr>
        <w:t> </w:t>
      </w:r>
      <w:r>
        <w:rPr/>
        <w:t>tradition, sees a hoary form of being beaten again, women are ancillaries to the lamentation of men. In</w:t>
      </w:r>
      <w:r>
        <w:rPr>
          <w:spacing w:val="-2"/>
        </w:rPr>
        <w:t> </w:t>
      </w:r>
      <w:r>
        <w:rPr/>
        <w:t>Hamlet, as in Devdas, female figures are almost entirely defined by the emotional state of the hero, mere reflections of his desires, fears, and conflicts. But this reflection is far from passive, rather it is the product of very complex negotiations of, for women, agency under continual limitation. Figures like Gertrude, Paro, and Chandramukhi</w:t>
      </w:r>
      <w:r>
        <w:rPr>
          <w:spacing w:val="-12"/>
        </w:rPr>
        <w:t> </w:t>
      </w:r>
      <w:r>
        <w:rPr/>
        <w:t>rigidly</w:t>
      </w:r>
      <w:r>
        <w:rPr>
          <w:spacing w:val="-11"/>
        </w:rPr>
        <w:t> </w:t>
      </w:r>
      <w:r>
        <w:rPr/>
        <w:t>play</w:t>
      </w:r>
      <w:r>
        <w:rPr>
          <w:spacing w:val="-13"/>
        </w:rPr>
        <w:t> </w:t>
      </w:r>
      <w:r>
        <w:rPr/>
        <w:t>with</w:t>
      </w:r>
      <w:r>
        <w:rPr>
          <w:spacing w:val="-9"/>
        </w:rPr>
        <w:t> </w:t>
      </w:r>
      <w:r>
        <w:rPr/>
        <w:t>societal</w:t>
      </w:r>
      <w:r>
        <w:rPr>
          <w:spacing w:val="-11"/>
        </w:rPr>
        <w:t> </w:t>
      </w:r>
      <w:r>
        <w:rPr/>
        <w:t>expectations</w:t>
      </w:r>
      <w:r>
        <w:rPr>
          <w:spacing w:val="-7"/>
        </w:rPr>
        <w:t> </w:t>
      </w:r>
      <w:r>
        <w:rPr/>
        <w:t>while</w:t>
      </w:r>
      <w:r>
        <w:rPr>
          <w:spacing w:val="-10"/>
        </w:rPr>
        <w:t> </w:t>
      </w:r>
      <w:r>
        <w:rPr/>
        <w:t>also</w:t>
      </w:r>
      <w:r>
        <w:rPr>
          <w:spacing w:val="-7"/>
        </w:rPr>
        <w:t> </w:t>
      </w:r>
      <w:r>
        <w:rPr/>
        <w:t>making choices affecting various outcomes. Enforcing the dynamics of these negotiations through feminist narrative theories reveals the woman’s position</w:t>
      </w:r>
      <w:r>
        <w:rPr>
          <w:spacing w:val="-2"/>
        </w:rPr>
        <w:t> </w:t>
      </w:r>
      <w:r>
        <w:rPr/>
        <w:t>from</w:t>
      </w:r>
      <w:r>
        <w:rPr>
          <w:spacing w:val="-3"/>
        </w:rPr>
        <w:t> </w:t>
      </w:r>
      <w:r>
        <w:rPr/>
        <w:t>the</w:t>
      </w:r>
      <w:r>
        <w:rPr>
          <w:spacing w:val="-1"/>
        </w:rPr>
        <w:t> </w:t>
      </w:r>
      <w:r>
        <w:rPr/>
        <w:t>‘out of</w:t>
      </w:r>
      <w:r>
        <w:rPr>
          <w:spacing w:val="-2"/>
        </w:rPr>
        <w:t> </w:t>
      </w:r>
      <w:r>
        <w:rPr/>
        <w:t>sight, out</w:t>
      </w:r>
      <w:r>
        <w:rPr>
          <w:spacing w:val="-3"/>
        </w:rPr>
        <w:t> </w:t>
      </w:r>
      <w:r>
        <w:rPr/>
        <w:t>of</w:t>
      </w:r>
      <w:r>
        <w:rPr>
          <w:spacing w:val="-2"/>
        </w:rPr>
        <w:t> </w:t>
      </w:r>
      <w:r>
        <w:rPr/>
        <w:t>mind’</w:t>
      </w:r>
      <w:r>
        <w:rPr>
          <w:spacing w:val="-2"/>
        </w:rPr>
        <w:t> </w:t>
      </w:r>
      <w:r>
        <w:rPr/>
        <w:t>to the</w:t>
      </w:r>
      <w:r>
        <w:rPr>
          <w:spacing w:val="-2"/>
        </w:rPr>
        <w:t> </w:t>
      </w:r>
      <w:r>
        <w:rPr/>
        <w:t>mainstream</w:t>
      </w:r>
      <w:r>
        <w:rPr>
          <w:spacing w:val="-3"/>
        </w:rPr>
        <w:t> </w:t>
      </w:r>
      <w:r>
        <w:rPr/>
        <w:t>plot, and without that elusive qualifier we call “tragedy,” a woman is at the very scene presenting through different lenses and grounds the emotional charge and</w:t>
      </w:r>
      <w:r>
        <w:rPr>
          <w:spacing w:val="40"/>
        </w:rPr>
        <w:t> </w:t>
      </w:r>
      <w:r>
        <w:rPr/>
        <w:t>ethical complications of the</w:t>
      </w:r>
      <w:r>
        <w:rPr>
          <w:spacing w:val="40"/>
        </w:rPr>
        <w:t> </w:t>
      </w:r>
      <w:r>
        <w:rPr/>
        <w:t>text.</w:t>
      </w:r>
    </w:p>
    <w:p>
      <w:pPr>
        <w:pStyle w:val="Heading5"/>
        <w:numPr>
          <w:ilvl w:val="1"/>
          <w:numId w:val="43"/>
        </w:numPr>
        <w:tabs>
          <w:tab w:pos="1756" w:val="left" w:leader="none"/>
        </w:tabs>
        <w:spacing w:line="240" w:lineRule="auto" w:before="119" w:after="0"/>
        <w:ind w:left="1756" w:right="0" w:hanging="316"/>
        <w:jc w:val="left"/>
      </w:pPr>
      <w:r>
        <w:rPr>
          <w:w w:val="105"/>
        </w:rPr>
        <w:t>Psychoanalytic</w:t>
      </w:r>
      <w:r>
        <w:rPr>
          <w:spacing w:val="67"/>
          <w:w w:val="150"/>
        </w:rPr>
        <w:t> </w:t>
      </w:r>
      <w:r>
        <w:rPr>
          <w:w w:val="105"/>
        </w:rPr>
        <w:t>Theory</w:t>
      </w:r>
      <w:r>
        <w:rPr>
          <w:spacing w:val="67"/>
          <w:w w:val="150"/>
        </w:rPr>
        <w:t> </w:t>
      </w:r>
      <w:r>
        <w:rPr>
          <w:w w:val="105"/>
        </w:rPr>
        <w:t>of</w:t>
      </w:r>
      <w:r>
        <w:rPr>
          <w:spacing w:val="69"/>
          <w:w w:val="150"/>
        </w:rPr>
        <w:t> </w:t>
      </w:r>
      <w:r>
        <w:rPr>
          <w:spacing w:val="-2"/>
          <w:w w:val="105"/>
        </w:rPr>
        <w:t>Madness</w:t>
      </w:r>
    </w:p>
    <w:p>
      <w:pPr>
        <w:pStyle w:val="BodyText"/>
        <w:spacing w:line="249" w:lineRule="auto" w:before="72"/>
        <w:ind w:right="1439" w:firstLine="432"/>
        <w:jc w:val="both"/>
      </w:pPr>
      <w:r>
        <w:rPr/>
        <w:t>The psychoanalytic view discuss the inner conflict of human nature manifesting itself in various forms of tragic events in drama. It deals</w:t>
      </w:r>
      <w:r>
        <w:rPr>
          <w:spacing w:val="-8"/>
        </w:rPr>
        <w:t> </w:t>
      </w:r>
      <w:r>
        <w:rPr/>
        <w:t>with</w:t>
      </w:r>
      <w:r>
        <w:rPr>
          <w:spacing w:val="-8"/>
        </w:rPr>
        <w:t> </w:t>
      </w:r>
      <w:r>
        <w:rPr/>
        <w:t>“multilayered</w:t>
      </w:r>
      <w:r>
        <w:rPr>
          <w:spacing w:val="-8"/>
        </w:rPr>
        <w:t> </w:t>
      </w:r>
      <w:r>
        <w:rPr/>
        <w:t>psychic</w:t>
      </w:r>
      <w:r>
        <w:rPr>
          <w:spacing w:val="-5"/>
        </w:rPr>
        <w:t> </w:t>
      </w:r>
      <w:r>
        <w:rPr/>
        <w:t>mechanisms”</w:t>
      </w:r>
      <w:r>
        <w:rPr>
          <w:spacing w:val="-7"/>
        </w:rPr>
        <w:t> </w:t>
      </w:r>
      <w:r>
        <w:rPr/>
        <w:t>(The</w:t>
      </w:r>
      <w:r>
        <w:rPr>
          <w:spacing w:val="-5"/>
        </w:rPr>
        <w:t> </w:t>
      </w:r>
      <w:r>
        <w:rPr/>
        <w:t>Effects</w:t>
      </w:r>
      <w:r>
        <w:rPr>
          <w:spacing w:val="-9"/>
        </w:rPr>
        <w:t> </w:t>
      </w:r>
      <w:r>
        <w:rPr/>
        <w:t>of</w:t>
      </w:r>
      <w:r>
        <w:rPr>
          <w:spacing w:val="-8"/>
        </w:rPr>
        <w:t> </w:t>
      </w:r>
      <w:r>
        <w:rPr/>
        <w:t>Freudian Interpretation on the Vorbindian Irshad, 1958). This approach put the psychological</w:t>
      </w:r>
      <w:r>
        <w:rPr>
          <w:spacing w:val="-9"/>
        </w:rPr>
        <w:t> </w:t>
      </w:r>
      <w:r>
        <w:rPr/>
        <w:t>collapse</w:t>
      </w:r>
      <w:r>
        <w:rPr>
          <w:spacing w:val="-8"/>
        </w:rPr>
        <w:t> </w:t>
      </w:r>
      <w:r>
        <w:rPr/>
        <w:t>of</w:t>
      </w:r>
      <w:r>
        <w:rPr>
          <w:spacing w:val="-9"/>
        </w:rPr>
        <w:t> </w:t>
      </w:r>
      <w:r>
        <w:rPr/>
        <w:t>Hamlet</w:t>
      </w:r>
      <w:r>
        <w:rPr>
          <w:spacing w:val="-9"/>
        </w:rPr>
        <w:t> </w:t>
      </w:r>
      <w:r>
        <w:rPr/>
        <w:t>and</w:t>
      </w:r>
      <w:r>
        <w:rPr>
          <w:spacing w:val="-7"/>
        </w:rPr>
        <w:t> </w:t>
      </w:r>
      <w:r>
        <w:rPr/>
        <w:t>Devdas</w:t>
      </w:r>
      <w:r>
        <w:rPr>
          <w:spacing w:val="-11"/>
        </w:rPr>
        <w:t> </w:t>
      </w:r>
      <w:r>
        <w:rPr/>
        <w:t>as</w:t>
      </w:r>
      <w:r>
        <w:rPr>
          <w:spacing w:val="-9"/>
        </w:rPr>
        <w:t> </w:t>
      </w:r>
      <w:r>
        <w:rPr/>
        <w:t>the</w:t>
      </w:r>
      <w:r>
        <w:rPr>
          <w:spacing w:val="-8"/>
        </w:rPr>
        <w:t> </w:t>
      </w:r>
      <w:r>
        <w:rPr/>
        <w:t>result</w:t>
      </w:r>
      <w:r>
        <w:rPr>
          <w:spacing w:val="-9"/>
        </w:rPr>
        <w:t> </w:t>
      </w:r>
      <w:r>
        <w:rPr/>
        <w:t>of</w:t>
      </w:r>
      <w:r>
        <w:rPr>
          <w:spacing w:val="-11"/>
        </w:rPr>
        <w:t> </w:t>
      </w:r>
      <w:r>
        <w:rPr/>
        <w:t>repression, unresolved desire, and an inability to resolve the inner impulses with external realities [10]. Repression can be seen as the key factor in shaping the psychological trajectories of these two leading characters. Hamlet’s hesitation and rambling behavior could be interpreted as the result of repressed feelings of anger at others, grief over his father’s death</w:t>
      </w:r>
      <w:r>
        <w:rPr>
          <w:spacing w:val="17"/>
        </w:rPr>
        <w:t> </w:t>
      </w:r>
      <w:r>
        <w:rPr/>
        <w:t>and</w:t>
      </w:r>
      <w:r>
        <w:rPr>
          <w:spacing w:val="21"/>
        </w:rPr>
        <w:t> </w:t>
      </w:r>
      <w:r>
        <w:rPr/>
        <w:t>his</w:t>
      </w:r>
      <w:r>
        <w:rPr>
          <w:spacing w:val="21"/>
        </w:rPr>
        <w:t> </w:t>
      </w:r>
      <w:r>
        <w:rPr/>
        <w:t>conflicted</w:t>
      </w:r>
      <w:r>
        <w:rPr>
          <w:spacing w:val="19"/>
        </w:rPr>
        <w:t> </w:t>
      </w:r>
      <w:r>
        <w:rPr/>
        <w:t>feelings</w:t>
      </w:r>
      <w:r>
        <w:rPr>
          <w:spacing w:val="17"/>
        </w:rPr>
        <w:t> </w:t>
      </w:r>
      <w:r>
        <w:rPr/>
        <w:t>towards</w:t>
      </w:r>
      <w:r>
        <w:rPr>
          <w:spacing w:val="18"/>
        </w:rPr>
        <w:t> </w:t>
      </w:r>
      <w:r>
        <w:rPr/>
        <w:t>his</w:t>
      </w:r>
      <w:r>
        <w:rPr>
          <w:spacing w:val="20"/>
        </w:rPr>
        <w:t> </w:t>
      </w:r>
      <w:r>
        <w:rPr/>
        <w:t>mother.</w:t>
      </w:r>
      <w:r>
        <w:rPr>
          <w:spacing w:val="16"/>
        </w:rPr>
        <w:t> </w:t>
      </w:r>
      <w:r>
        <w:rPr/>
        <w:t>These</w:t>
      </w:r>
      <w:r>
        <w:rPr>
          <w:spacing w:val="20"/>
        </w:rPr>
        <w:t> </w:t>
      </w:r>
      <w:r>
        <w:rPr>
          <w:spacing w:val="-2"/>
        </w:rPr>
        <w:t>repressed</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3968">
                <wp:simplePos x="0" y="0"/>
                <wp:positionH relativeFrom="page">
                  <wp:posOffset>2065020</wp:posOffset>
                </wp:positionH>
                <wp:positionV relativeFrom="paragraph">
                  <wp:posOffset>795020</wp:posOffset>
                </wp:positionV>
                <wp:extent cx="3657600" cy="12700"/>
                <wp:effectExtent l="0" t="0" r="0" b="0"/>
                <wp:wrapTopAndBottom/>
                <wp:docPr id="503" name="Graphic 503"/>
                <wp:cNvGraphicFramePr>
                  <a:graphicFrameLocks/>
                </wp:cNvGraphicFramePr>
                <a:graphic>
                  <a:graphicData uri="http://schemas.microsoft.com/office/word/2010/wordprocessingShape">
                    <wps:wsp>
                      <wps:cNvPr id="503" name="Graphic 50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52512;mso-wrap-distance-left:0;mso-wrap-distance-right:0" id="docshape498" filled="true" fillcolor="#000000" stroked="false">
                <v:fill type="solid"/>
                <w10:wrap type="topAndBottom"/>
              </v:rect>
            </w:pict>
          </mc:Fallback>
        </mc:AlternateContent>
      </w:r>
      <w:r>
        <w:rPr>
          <w:rFonts w:ascii="Verdana"/>
          <w:sz w:val="18"/>
        </w:rPr>
        <w:t>Shadows</w:t>
      </w:r>
      <w:r>
        <w:rPr>
          <w:rFonts w:ascii="Verdana"/>
          <w:spacing w:val="5"/>
          <w:sz w:val="18"/>
        </w:rPr>
        <w:t> </w:t>
      </w:r>
      <w:r>
        <w:rPr>
          <w:rFonts w:ascii="Verdana"/>
          <w:sz w:val="18"/>
        </w:rPr>
        <w:t>of</w:t>
      </w:r>
      <w:r>
        <w:rPr>
          <w:rFonts w:ascii="Verdana"/>
          <w:spacing w:val="8"/>
          <w:sz w:val="18"/>
        </w:rPr>
        <w:t> </w:t>
      </w:r>
      <w:r>
        <w:rPr>
          <w:rFonts w:ascii="Verdana"/>
          <w:sz w:val="18"/>
        </w:rPr>
        <w:t>the</w:t>
      </w:r>
      <w:r>
        <w:rPr>
          <w:rFonts w:ascii="Verdana"/>
          <w:spacing w:val="6"/>
          <w:sz w:val="18"/>
        </w:rPr>
        <w:t> </w:t>
      </w:r>
      <w:r>
        <w:rPr>
          <w:rFonts w:ascii="Verdana"/>
          <w:sz w:val="18"/>
        </w:rPr>
        <w:t>Tragic</w:t>
      </w:r>
      <w:r>
        <w:rPr>
          <w:rFonts w:ascii="Verdana"/>
          <w:spacing w:val="6"/>
          <w:sz w:val="18"/>
        </w:rPr>
        <w:t> </w:t>
      </w:r>
      <w:r>
        <w:rPr>
          <w:rFonts w:ascii="Verdana"/>
          <w:sz w:val="18"/>
        </w:rPr>
        <w:t>Hero:</w:t>
      </w:r>
      <w:r>
        <w:rPr>
          <w:rFonts w:ascii="Verdana"/>
          <w:spacing w:val="5"/>
          <w:sz w:val="18"/>
        </w:rPr>
        <w:t> </w:t>
      </w:r>
      <w:r>
        <w:rPr>
          <w:rFonts w:ascii="Verdana"/>
          <w:sz w:val="18"/>
        </w:rPr>
        <w:t>Female</w:t>
      </w:r>
      <w:r>
        <w:rPr>
          <w:rFonts w:ascii="Verdana"/>
          <w:spacing w:val="5"/>
          <w:sz w:val="18"/>
        </w:rPr>
        <w:t> </w:t>
      </w:r>
      <w:r>
        <w:rPr>
          <w:rFonts w:ascii="Verdana"/>
          <w:sz w:val="18"/>
        </w:rPr>
        <w:t>Agency</w:t>
      </w:r>
      <w:r>
        <w:rPr>
          <w:rFonts w:ascii="Verdana"/>
          <w:spacing w:val="5"/>
          <w:sz w:val="18"/>
        </w:rPr>
        <w:t> </w:t>
      </w:r>
      <w:r>
        <w:rPr>
          <w:rFonts w:ascii="Verdana"/>
          <w:sz w:val="18"/>
        </w:rPr>
        <w:t>and</w:t>
      </w:r>
      <w:r>
        <w:rPr>
          <w:rFonts w:ascii="Verdana"/>
          <w:spacing w:val="7"/>
          <w:sz w:val="18"/>
        </w:rPr>
        <w:t> </w:t>
      </w:r>
      <w:r>
        <w:rPr>
          <w:rFonts w:ascii="Verdana"/>
          <w:spacing w:val="-5"/>
          <w:sz w:val="18"/>
        </w:rPr>
        <w:t>...</w:t>
      </w:r>
      <w:r>
        <w:rPr>
          <w:sz w:val="18"/>
        </w:rPr>
        <w:tab/>
      </w:r>
      <w:r>
        <w:rPr>
          <w:rFonts w:ascii="Verdana"/>
          <w:spacing w:val="-5"/>
          <w:sz w:val="18"/>
        </w:rPr>
        <w:t>229</w:t>
      </w:r>
    </w:p>
    <w:p>
      <w:pPr>
        <w:pStyle w:val="BodyText"/>
        <w:spacing w:line="249" w:lineRule="auto" w:before="192"/>
        <w:ind w:right="1443"/>
        <w:jc w:val="both"/>
      </w:pPr>
      <w:r>
        <w:rPr/>
        <w:t>tensions, now intensified through long periods of time, eventually lead to</w:t>
      </w:r>
      <w:r>
        <w:rPr>
          <w:spacing w:val="40"/>
        </w:rPr>
        <w:t> </w:t>
      </w:r>
      <w:r>
        <w:rPr/>
        <w:t>fragmentation of</w:t>
      </w:r>
      <w:r>
        <w:rPr>
          <w:spacing w:val="40"/>
        </w:rPr>
        <w:t> </w:t>
      </w:r>
      <w:r>
        <w:rPr/>
        <w:t>the mind</w:t>
      </w:r>
      <w:r>
        <w:rPr>
          <w:spacing w:val="40"/>
        </w:rPr>
        <w:t> </w:t>
      </w:r>
      <w:r>
        <w:rPr/>
        <w:t>and</w:t>
      </w:r>
      <w:r>
        <w:rPr>
          <w:spacing w:val="40"/>
        </w:rPr>
        <w:t> </w:t>
      </w:r>
      <w:r>
        <w:rPr/>
        <w:t>resulting</w:t>
      </w:r>
      <w:r>
        <w:rPr>
          <w:spacing w:val="40"/>
        </w:rPr>
        <w:t> </w:t>
      </w:r>
      <w:r>
        <w:rPr/>
        <w:t>mental</w:t>
      </w:r>
      <w:r>
        <w:rPr>
          <w:spacing w:val="40"/>
        </w:rPr>
        <w:t> </w:t>
      </w:r>
      <w:r>
        <w:rPr/>
        <w:t>derangement.</w:t>
      </w:r>
    </w:p>
    <w:p>
      <w:pPr>
        <w:pStyle w:val="BodyText"/>
        <w:spacing w:line="249" w:lineRule="auto" w:before="59"/>
        <w:ind w:right="1440" w:firstLine="432"/>
        <w:jc w:val="both"/>
      </w:pPr>
      <w:r>
        <w:rPr/>
        <w:t>Similarly, the social story in which Devdas is simply a ragged creature inflicting suffering upon himself goes really askew to the addiction’s age-old roots: the person who chooses to accept defeat instead</w:t>
      </w:r>
      <w:r>
        <w:rPr>
          <w:spacing w:val="23"/>
        </w:rPr>
        <w:t> </w:t>
      </w:r>
      <w:r>
        <w:rPr/>
        <w:t>of</w:t>
      </w:r>
      <w:r>
        <w:rPr>
          <w:spacing w:val="21"/>
        </w:rPr>
        <w:t> </w:t>
      </w:r>
      <w:r>
        <w:rPr/>
        <w:t>changing</w:t>
      </w:r>
      <w:r>
        <w:rPr>
          <w:spacing w:val="21"/>
        </w:rPr>
        <w:t> </w:t>
      </w:r>
      <w:r>
        <w:rPr/>
        <w:t>for</w:t>
      </w:r>
      <w:r>
        <w:rPr>
          <w:spacing w:val="24"/>
        </w:rPr>
        <w:t> </w:t>
      </w:r>
      <w:r>
        <w:rPr/>
        <w:t>the</w:t>
      </w:r>
      <w:r>
        <w:rPr>
          <w:spacing w:val="24"/>
        </w:rPr>
        <w:t> </w:t>
      </w:r>
      <w:r>
        <w:rPr/>
        <w:t>best.</w:t>
      </w:r>
      <w:r>
        <w:rPr>
          <w:spacing w:val="25"/>
        </w:rPr>
        <w:t> </w:t>
      </w:r>
      <w:r>
        <w:rPr/>
        <w:t>Root</w:t>
      </w:r>
      <w:r>
        <w:rPr>
          <w:spacing w:val="23"/>
        </w:rPr>
        <w:t> </w:t>
      </w:r>
      <w:r>
        <w:rPr/>
        <w:t>cause</w:t>
      </w:r>
      <w:r>
        <w:rPr>
          <w:spacing w:val="22"/>
        </w:rPr>
        <w:t> </w:t>
      </w:r>
      <w:r>
        <w:rPr/>
        <w:t>of</w:t>
      </w:r>
      <w:r>
        <w:rPr>
          <w:spacing w:val="21"/>
        </w:rPr>
        <w:t> </w:t>
      </w:r>
      <w:r>
        <w:rPr/>
        <w:t>failure,</w:t>
      </w:r>
      <w:r>
        <w:rPr>
          <w:spacing w:val="23"/>
        </w:rPr>
        <w:t> </w:t>
      </w:r>
      <w:r>
        <w:rPr/>
        <w:t>Devdas,</w:t>
      </w:r>
      <w:r>
        <w:rPr>
          <w:spacing w:val="23"/>
        </w:rPr>
        <w:t> </w:t>
      </w:r>
      <w:r>
        <w:rPr/>
        <w:t>lives in this world seeking vengeance from those who are on the other side</w:t>
      </w:r>
      <w:r>
        <w:rPr>
          <w:spacing w:val="80"/>
        </w:rPr>
        <w:t> </w:t>
      </w:r>
      <w:r>
        <w:rPr/>
        <w:t>of societal constraints. Yet he is on the brink of ending his life in perpetual oblivion. On the deeper side of psychoanalysis, his grasp </w:t>
      </w:r>
      <w:r>
        <w:rPr>
          <w:spacing w:val="-2"/>
        </w:rPr>
        <w:t>immune</w:t>
      </w:r>
      <w:r>
        <w:rPr>
          <w:spacing w:val="-7"/>
        </w:rPr>
        <w:t> </w:t>
      </w:r>
      <w:r>
        <w:rPr>
          <w:spacing w:val="-2"/>
        </w:rPr>
        <w:t>to</w:t>
      </w:r>
      <w:r>
        <w:rPr>
          <w:spacing w:val="-9"/>
        </w:rPr>
        <w:t> </w:t>
      </w:r>
      <w:r>
        <w:rPr>
          <w:spacing w:val="-2"/>
        </w:rPr>
        <w:t>emotional</w:t>
      </w:r>
      <w:r>
        <w:rPr>
          <w:spacing w:val="-9"/>
        </w:rPr>
        <w:t> </w:t>
      </w:r>
      <w:r>
        <w:rPr>
          <w:spacing w:val="-2"/>
        </w:rPr>
        <w:t>upheaval</w:t>
      </w:r>
      <w:r>
        <w:rPr>
          <w:spacing w:val="-9"/>
        </w:rPr>
        <w:t> </w:t>
      </w:r>
      <w:r>
        <w:rPr>
          <w:spacing w:val="-2"/>
        </w:rPr>
        <w:t>uses</w:t>
      </w:r>
      <w:r>
        <w:rPr>
          <w:spacing w:val="-9"/>
        </w:rPr>
        <w:t> </w:t>
      </w:r>
      <w:r>
        <w:rPr>
          <w:spacing w:val="-2"/>
        </w:rPr>
        <w:t>escapism,</w:t>
      </w:r>
      <w:r>
        <w:rPr>
          <w:spacing w:val="-11"/>
        </w:rPr>
        <w:t> </w:t>
      </w:r>
      <w:r>
        <w:rPr>
          <w:spacing w:val="-2"/>
        </w:rPr>
        <w:t>not</w:t>
      </w:r>
      <w:r>
        <w:rPr>
          <w:spacing w:val="-6"/>
        </w:rPr>
        <w:t> </w:t>
      </w:r>
      <w:r>
        <w:rPr>
          <w:spacing w:val="-2"/>
        </w:rPr>
        <w:t>resolution.</w:t>
      </w:r>
      <w:r>
        <w:rPr>
          <w:spacing w:val="-9"/>
        </w:rPr>
        <w:t> </w:t>
      </w:r>
      <w:r>
        <w:rPr>
          <w:spacing w:val="-2"/>
        </w:rPr>
        <w:t>Withdrawal </w:t>
      </w:r>
      <w:r>
        <w:rPr/>
        <w:t>and</w:t>
      </w:r>
      <w:r>
        <w:rPr>
          <w:spacing w:val="40"/>
        </w:rPr>
        <w:t> </w:t>
      </w:r>
      <w:r>
        <w:rPr/>
        <w:t>overdose</w:t>
      </w:r>
      <w:r>
        <w:rPr>
          <w:spacing w:val="40"/>
        </w:rPr>
        <w:t> </w:t>
      </w:r>
      <w:r>
        <w:rPr/>
        <w:t>override</w:t>
      </w:r>
      <w:r>
        <w:rPr>
          <w:spacing w:val="40"/>
        </w:rPr>
        <w:t> </w:t>
      </w:r>
      <w:r>
        <w:rPr/>
        <w:t>flight.</w:t>
      </w:r>
    </w:p>
    <w:p>
      <w:pPr>
        <w:pStyle w:val="BodyText"/>
        <w:spacing w:line="249" w:lineRule="auto" w:before="65"/>
        <w:ind w:right="1439" w:firstLine="432"/>
        <w:jc w:val="both"/>
      </w:pPr>
      <w:r>
        <w:rPr/>
        <w:t>Alcoholism comes in as but a defense mechanism in Devdas’s case</w:t>
      </w:r>
      <w:r>
        <w:rPr>
          <w:spacing w:val="33"/>
        </w:rPr>
        <w:t> </w:t>
      </w:r>
      <w:r>
        <w:rPr/>
        <w:t>so</w:t>
      </w:r>
      <w:r>
        <w:rPr>
          <w:spacing w:val="32"/>
        </w:rPr>
        <w:t> </w:t>
      </w:r>
      <w:r>
        <w:rPr/>
        <w:t>that</w:t>
      </w:r>
      <w:r>
        <w:rPr>
          <w:spacing w:val="28"/>
        </w:rPr>
        <w:t> </w:t>
      </w:r>
      <w:r>
        <w:rPr/>
        <w:t>reality</w:t>
      </w:r>
      <w:r>
        <w:rPr>
          <w:spacing w:val="28"/>
        </w:rPr>
        <w:t> </w:t>
      </w:r>
      <w:r>
        <w:rPr/>
        <w:t>must</w:t>
      </w:r>
      <w:r>
        <w:rPr>
          <w:spacing w:val="32"/>
        </w:rPr>
        <w:t> </w:t>
      </w:r>
      <w:r>
        <w:rPr/>
        <w:t>be</w:t>
      </w:r>
      <w:r>
        <w:rPr>
          <w:spacing w:val="31"/>
        </w:rPr>
        <w:t> </w:t>
      </w:r>
      <w:r>
        <w:rPr/>
        <w:t>shrouded</w:t>
      </w:r>
      <w:r>
        <w:rPr>
          <w:spacing w:val="30"/>
        </w:rPr>
        <w:t> </w:t>
      </w:r>
      <w:r>
        <w:rPr/>
        <w:t>at</w:t>
      </w:r>
      <w:r>
        <w:rPr>
          <w:spacing w:val="30"/>
        </w:rPr>
        <w:t> </w:t>
      </w:r>
      <w:r>
        <w:rPr/>
        <w:t>any</w:t>
      </w:r>
      <w:r>
        <w:rPr>
          <w:spacing w:val="28"/>
        </w:rPr>
        <w:t> </w:t>
      </w:r>
      <w:r>
        <w:rPr/>
        <w:t>cost.</w:t>
      </w:r>
      <w:r>
        <w:rPr>
          <w:spacing w:val="32"/>
        </w:rPr>
        <w:t> </w:t>
      </w:r>
      <w:r>
        <w:rPr/>
        <w:t>Devdas</w:t>
      </w:r>
      <w:r>
        <w:rPr>
          <w:spacing w:val="28"/>
        </w:rPr>
        <w:t> </w:t>
      </w:r>
      <w:r>
        <w:rPr/>
        <w:t>has</w:t>
      </w:r>
      <w:r>
        <w:rPr>
          <w:spacing w:val="30"/>
        </w:rPr>
        <w:t> </w:t>
      </w:r>
      <w:r>
        <w:rPr/>
        <w:t>to</w:t>
      </w:r>
      <w:r>
        <w:rPr>
          <w:spacing w:val="32"/>
        </w:rPr>
        <w:t> </w:t>
      </w:r>
      <w:r>
        <w:rPr/>
        <w:t>go for</w:t>
      </w:r>
      <w:r>
        <w:rPr>
          <w:spacing w:val="40"/>
        </w:rPr>
        <w:t> </w:t>
      </w:r>
      <w:r>
        <w:rPr/>
        <w:t>the</w:t>
      </w:r>
      <w:r>
        <w:rPr>
          <w:spacing w:val="40"/>
        </w:rPr>
        <w:t> </w:t>
      </w:r>
      <w:r>
        <w:rPr/>
        <w:t>drink</w:t>
      </w:r>
      <w:r>
        <w:rPr>
          <w:spacing w:val="40"/>
        </w:rPr>
        <w:t> </w:t>
      </w:r>
      <w:r>
        <w:rPr/>
        <w:t>only</w:t>
      </w:r>
      <w:r>
        <w:rPr>
          <w:spacing w:val="40"/>
        </w:rPr>
        <w:t> </w:t>
      </w:r>
      <w:r>
        <w:rPr/>
        <w:t>to</w:t>
      </w:r>
      <w:r>
        <w:rPr>
          <w:spacing w:val="40"/>
        </w:rPr>
        <w:t> </w:t>
      </w:r>
      <w:r>
        <w:rPr/>
        <w:t>escape</w:t>
      </w:r>
      <w:r>
        <w:rPr>
          <w:spacing w:val="40"/>
        </w:rPr>
        <w:t> </w:t>
      </w:r>
      <w:r>
        <w:rPr/>
        <w:t>pain.</w:t>
      </w:r>
    </w:p>
    <w:p>
      <w:pPr>
        <w:pStyle w:val="BodyText"/>
        <w:spacing w:line="249" w:lineRule="auto" w:before="60"/>
        <w:ind w:right="1436" w:firstLine="432"/>
        <w:jc w:val="both"/>
      </w:pPr>
      <w:r>
        <w:rPr/>
        <w:t>Freudian theory accentuates the significance of unconscious conflicts</w:t>
      </w:r>
      <w:r>
        <w:rPr>
          <w:spacing w:val="-10"/>
        </w:rPr>
        <w:t> </w:t>
      </w:r>
      <w:r>
        <w:rPr/>
        <w:t>affecting</w:t>
      </w:r>
      <w:r>
        <w:rPr>
          <w:spacing w:val="-11"/>
        </w:rPr>
        <w:t> </w:t>
      </w:r>
      <w:r>
        <w:rPr/>
        <w:t>behavior,</w:t>
      </w:r>
      <w:r>
        <w:rPr>
          <w:spacing w:val="-8"/>
        </w:rPr>
        <w:t> </w:t>
      </w:r>
      <w:r>
        <w:rPr/>
        <w:t>advancing</w:t>
      </w:r>
      <w:r>
        <w:rPr>
          <w:spacing w:val="-13"/>
        </w:rPr>
        <w:t> </w:t>
      </w:r>
      <w:r>
        <w:rPr/>
        <w:t>that</w:t>
      </w:r>
      <w:r>
        <w:rPr>
          <w:spacing w:val="-9"/>
        </w:rPr>
        <w:t> </w:t>
      </w:r>
      <w:r>
        <w:rPr/>
        <w:t>the</w:t>
      </w:r>
      <w:r>
        <w:rPr>
          <w:spacing w:val="-10"/>
        </w:rPr>
        <w:t> </w:t>
      </w:r>
      <w:r>
        <w:rPr/>
        <w:t>protagonists</w:t>
      </w:r>
      <w:r>
        <w:rPr>
          <w:spacing w:val="-11"/>
        </w:rPr>
        <w:t> </w:t>
      </w:r>
      <w:r>
        <w:rPr/>
        <w:t>are</w:t>
      </w:r>
      <w:r>
        <w:rPr>
          <w:spacing w:val="-10"/>
        </w:rPr>
        <w:t> </w:t>
      </w:r>
      <w:r>
        <w:rPr/>
        <w:t>ignorant of the nature of the streams pushing them. Their lack of self-insight limits their ability to make successful choices and thus imprisons them in self-defeating patterns. This reading suggests that the insanity in these texts is not just a dramatic device but a psychological state with repressed expressions of distorted defense mechanisms; hence, the psychological torsions of the text play an essential role in moving us toward enlightening such possibilities of tragic beliefs together with internal and external challenges.</w:t>
      </w:r>
    </w:p>
    <w:p>
      <w:pPr>
        <w:pStyle w:val="Heading5"/>
        <w:numPr>
          <w:ilvl w:val="1"/>
          <w:numId w:val="43"/>
        </w:numPr>
        <w:tabs>
          <w:tab w:pos="1750" w:val="left" w:leader="none"/>
          <w:tab w:pos="1872" w:val="left" w:leader="none"/>
        </w:tabs>
        <w:spacing w:line="240" w:lineRule="auto" w:before="116" w:after="0"/>
        <w:ind w:left="1750" w:right="0" w:hanging="310"/>
        <w:jc w:val="left"/>
      </w:pPr>
      <w:r>
        <w:rPr>
          <w:w w:val="105"/>
        </w:rPr>
        <w:t>Intersection</w:t>
      </w:r>
      <w:r>
        <w:rPr>
          <w:spacing w:val="58"/>
          <w:w w:val="105"/>
        </w:rPr>
        <w:t> </w:t>
      </w:r>
      <w:r>
        <w:rPr>
          <w:w w:val="105"/>
        </w:rPr>
        <w:t>of</w:t>
      </w:r>
      <w:r>
        <w:rPr>
          <w:spacing w:val="55"/>
          <w:w w:val="105"/>
        </w:rPr>
        <w:t> </w:t>
      </w:r>
      <w:r>
        <w:rPr>
          <w:w w:val="105"/>
        </w:rPr>
        <w:t>Gender</w:t>
      </w:r>
      <w:r>
        <w:rPr>
          <w:spacing w:val="53"/>
          <w:w w:val="105"/>
        </w:rPr>
        <w:t> </w:t>
      </w:r>
      <w:r>
        <w:rPr>
          <w:w w:val="105"/>
        </w:rPr>
        <w:t>and</w:t>
      </w:r>
      <w:r>
        <w:rPr>
          <w:spacing w:val="58"/>
          <w:w w:val="105"/>
        </w:rPr>
        <w:t> </w:t>
      </w:r>
      <w:r>
        <w:rPr>
          <w:w w:val="105"/>
        </w:rPr>
        <w:t>Psychological</w:t>
      </w:r>
      <w:r>
        <w:rPr>
          <w:spacing w:val="52"/>
          <w:w w:val="105"/>
        </w:rPr>
        <w:t> </w:t>
      </w:r>
      <w:r>
        <w:rPr>
          <w:spacing w:val="-2"/>
          <w:w w:val="105"/>
        </w:rPr>
        <w:t>Tragedy</w:t>
      </w:r>
    </w:p>
    <w:p>
      <w:pPr>
        <w:pStyle w:val="BodyText"/>
        <w:spacing w:line="249" w:lineRule="auto" w:before="74"/>
        <w:ind w:right="1438" w:firstLine="432"/>
        <w:jc w:val="both"/>
      </w:pPr>
      <w:r>
        <w:rPr/>
        <w:t>The gender and psychological strain discussion creates a logical frame concerning female characters and male-female protagonists in </w:t>
      </w:r>
      <w:r>
        <w:rPr>
          <w:spacing w:val="-2"/>
        </w:rPr>
        <w:t>Hamlet</w:t>
      </w:r>
      <w:r>
        <w:rPr>
          <w:spacing w:val="-10"/>
        </w:rPr>
        <w:t> </w:t>
      </w:r>
      <w:r>
        <w:rPr>
          <w:spacing w:val="-2"/>
        </w:rPr>
        <w:t>and</w:t>
      </w:r>
      <w:r>
        <w:rPr>
          <w:spacing w:val="-7"/>
        </w:rPr>
        <w:t> </w:t>
      </w:r>
      <w:r>
        <w:rPr>
          <w:spacing w:val="-2"/>
        </w:rPr>
        <w:t>Devdas</w:t>
      </w:r>
      <w:r>
        <w:rPr>
          <w:spacing w:val="-7"/>
        </w:rPr>
        <w:t> </w:t>
      </w:r>
      <w:r>
        <w:rPr>
          <w:spacing w:val="-2"/>
        </w:rPr>
        <w:t>whose</w:t>
      </w:r>
      <w:r>
        <w:rPr>
          <w:spacing w:val="-5"/>
        </w:rPr>
        <w:t> </w:t>
      </w:r>
      <w:r>
        <w:rPr>
          <w:spacing w:val="-2"/>
        </w:rPr>
        <w:t>lives</w:t>
      </w:r>
      <w:r>
        <w:rPr>
          <w:spacing w:val="-7"/>
        </w:rPr>
        <w:t> </w:t>
      </w:r>
      <w:r>
        <w:rPr>
          <w:spacing w:val="-2"/>
        </w:rPr>
        <w:t>experience</w:t>
      </w:r>
      <w:r>
        <w:rPr>
          <w:spacing w:val="-10"/>
        </w:rPr>
        <w:t> </w:t>
      </w:r>
      <w:r>
        <w:rPr>
          <w:spacing w:val="-2"/>
        </w:rPr>
        <w:t>mutual</w:t>
      </w:r>
      <w:r>
        <w:rPr>
          <w:spacing w:val="-7"/>
        </w:rPr>
        <w:t> </w:t>
      </w:r>
      <w:r>
        <w:rPr>
          <w:spacing w:val="-2"/>
        </w:rPr>
        <w:t>repercussions.</w:t>
      </w:r>
      <w:r>
        <w:rPr>
          <w:spacing w:val="-7"/>
        </w:rPr>
        <w:t> </w:t>
      </w:r>
      <w:r>
        <w:rPr>
          <w:spacing w:val="-2"/>
        </w:rPr>
        <w:t>Instead </w:t>
      </w:r>
      <w:r>
        <w:rPr/>
        <w:t>of viewing these elements separately, this approach informs that they significantly</w:t>
      </w:r>
      <w:r>
        <w:rPr>
          <w:spacing w:val="-7"/>
        </w:rPr>
        <w:t> </w:t>
      </w:r>
      <w:r>
        <w:rPr/>
        <w:t>influence</w:t>
      </w:r>
      <w:r>
        <w:rPr>
          <w:spacing w:val="-4"/>
        </w:rPr>
        <w:t> </w:t>
      </w:r>
      <w:r>
        <w:rPr/>
        <w:t>each</w:t>
      </w:r>
      <w:r>
        <w:rPr>
          <w:spacing w:val="-5"/>
        </w:rPr>
        <w:t> </w:t>
      </w:r>
      <w:r>
        <w:rPr/>
        <w:t>other,</w:t>
      </w:r>
      <w:r>
        <w:rPr>
          <w:spacing w:val="-4"/>
        </w:rPr>
        <w:t> </w:t>
      </w:r>
      <w:r>
        <w:rPr/>
        <w:t>showing</w:t>
      </w:r>
      <w:r>
        <w:rPr>
          <w:spacing w:val="-7"/>
        </w:rPr>
        <w:t> </w:t>
      </w:r>
      <w:r>
        <w:rPr/>
        <w:t>how</w:t>
      </w:r>
      <w:r>
        <w:rPr>
          <w:spacing w:val="-7"/>
        </w:rPr>
        <w:t> </w:t>
      </w:r>
      <w:r>
        <w:rPr/>
        <w:t>the</w:t>
      </w:r>
      <w:r>
        <w:rPr>
          <w:spacing w:val="-4"/>
        </w:rPr>
        <w:t> </w:t>
      </w:r>
      <w:r>
        <w:rPr/>
        <w:t>suffering</w:t>
      </w:r>
      <w:r>
        <w:rPr>
          <w:spacing w:val="-5"/>
        </w:rPr>
        <w:t> </w:t>
      </w:r>
      <w:r>
        <w:rPr/>
        <w:t>of</w:t>
      </w:r>
      <w:r>
        <w:rPr>
          <w:spacing w:val="-5"/>
        </w:rPr>
        <w:t> </w:t>
      </w:r>
      <w:r>
        <w:rPr/>
        <w:t>women mirrors and exacerbates the psychological struggles of the hero. Emotional and social challenges posed on women create conditions shaping the lives of the suffering hero; it is this destabilization at the hands</w:t>
      </w:r>
      <w:r>
        <w:rPr>
          <w:spacing w:val="40"/>
        </w:rPr>
        <w:t> </w:t>
      </w:r>
      <w:r>
        <w:rPr/>
        <w:t>of</w:t>
      </w:r>
      <w:r>
        <w:rPr>
          <w:spacing w:val="40"/>
        </w:rPr>
        <w:t> </w:t>
      </w:r>
      <w:r>
        <w:rPr/>
        <w:t>the</w:t>
      </w:r>
      <w:r>
        <w:rPr>
          <w:spacing w:val="40"/>
        </w:rPr>
        <w:t> </w:t>
      </w:r>
      <w:r>
        <w:rPr/>
        <w:t>opposite</w:t>
      </w:r>
      <w:r>
        <w:rPr>
          <w:spacing w:val="40"/>
        </w:rPr>
        <w:t> </w:t>
      </w:r>
      <w:r>
        <w:rPr/>
        <w:t>sex.</w:t>
      </w:r>
    </w:p>
    <w:p>
      <w:pPr>
        <w:pStyle w:val="BodyText"/>
        <w:spacing w:line="249" w:lineRule="auto" w:before="65"/>
        <w:ind w:right="1441" w:firstLine="432"/>
        <w:jc w:val="both"/>
      </w:pPr>
      <w:r>
        <w:rPr/>
        <w:t>It becomes apparent in both cases that the affliction of the female characters serves to agitate the heroes’ inner turbulence. For example, Ophelia’s</w:t>
      </w:r>
      <w:r>
        <w:rPr>
          <w:spacing w:val="-3"/>
        </w:rPr>
        <w:t> </w:t>
      </w:r>
      <w:r>
        <w:rPr/>
        <w:t>growing</w:t>
      </w:r>
      <w:r>
        <w:rPr>
          <w:spacing w:val="-5"/>
        </w:rPr>
        <w:t> </w:t>
      </w:r>
      <w:r>
        <w:rPr/>
        <w:t>madness</w:t>
      </w:r>
      <w:r>
        <w:rPr>
          <w:spacing w:val="-2"/>
        </w:rPr>
        <w:t> </w:t>
      </w:r>
      <w:r>
        <w:rPr/>
        <w:t>heightens</w:t>
      </w:r>
      <w:r>
        <w:rPr>
          <w:spacing w:val="-5"/>
        </w:rPr>
        <w:t> </w:t>
      </w:r>
      <w:r>
        <w:rPr/>
        <w:t>the</w:t>
      </w:r>
      <w:r>
        <w:rPr>
          <w:spacing w:val="-2"/>
        </w:rPr>
        <w:t> </w:t>
      </w:r>
      <w:r>
        <w:rPr/>
        <w:t>sense</w:t>
      </w:r>
      <w:r>
        <w:rPr>
          <w:spacing w:val="-2"/>
        </w:rPr>
        <w:t> </w:t>
      </w:r>
      <w:r>
        <w:rPr/>
        <w:t>of</w:t>
      </w:r>
      <w:r>
        <w:rPr>
          <w:spacing w:val="-2"/>
        </w:rPr>
        <w:t> </w:t>
      </w:r>
      <w:r>
        <w:rPr/>
        <w:t>guilt,</w:t>
      </w:r>
      <w:r>
        <w:rPr>
          <w:spacing w:val="-2"/>
        </w:rPr>
        <w:t> </w:t>
      </w:r>
      <w:r>
        <w:rPr/>
        <w:t>confusion,</w:t>
      </w:r>
      <w:r>
        <w:rPr>
          <w:spacing w:val="-2"/>
        </w:rPr>
        <w:t> </w:t>
      </w:r>
      <w:r>
        <w:rPr/>
        <w:t>and existential despair felt by Hamlet, highlighting the fact that he was already</w:t>
      </w:r>
      <w:r>
        <w:rPr>
          <w:spacing w:val="42"/>
        </w:rPr>
        <w:t> </w:t>
      </w:r>
      <w:r>
        <w:rPr/>
        <w:t>struggling</w:t>
      </w:r>
      <w:r>
        <w:rPr>
          <w:spacing w:val="49"/>
        </w:rPr>
        <w:t> </w:t>
      </w:r>
      <w:r>
        <w:rPr/>
        <w:t>with</w:t>
      </w:r>
      <w:r>
        <w:rPr>
          <w:spacing w:val="47"/>
        </w:rPr>
        <w:t> </w:t>
      </w:r>
      <w:r>
        <w:rPr/>
        <w:t>a</w:t>
      </w:r>
      <w:r>
        <w:rPr>
          <w:spacing w:val="52"/>
        </w:rPr>
        <w:t> </w:t>
      </w:r>
      <w:r>
        <w:rPr/>
        <w:t>considerably</w:t>
      </w:r>
      <w:r>
        <w:rPr>
          <w:spacing w:val="49"/>
        </w:rPr>
        <w:t> </w:t>
      </w:r>
      <w:r>
        <w:rPr/>
        <w:t>weakened</w:t>
      </w:r>
      <w:r>
        <w:rPr>
          <w:spacing w:val="51"/>
        </w:rPr>
        <w:t> </w:t>
      </w:r>
      <w:r>
        <w:rPr/>
        <w:t>mental</w:t>
      </w:r>
      <w:r>
        <w:rPr>
          <w:spacing w:val="50"/>
        </w:rPr>
        <w:t> </w:t>
      </w:r>
      <w:r>
        <w:rPr/>
        <w:t>state.</w:t>
      </w:r>
      <w:r>
        <w:rPr>
          <w:spacing w:val="51"/>
        </w:rPr>
        <w:t> </w:t>
      </w:r>
      <w:r>
        <w:rPr>
          <w:spacing w:val="-5"/>
        </w:rPr>
        <w:t>Her</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4480">
                <wp:simplePos x="0" y="0"/>
                <wp:positionH relativeFrom="page">
                  <wp:posOffset>2057400</wp:posOffset>
                </wp:positionH>
                <wp:positionV relativeFrom="paragraph">
                  <wp:posOffset>162604</wp:posOffset>
                </wp:positionV>
                <wp:extent cx="3657600" cy="12700"/>
                <wp:effectExtent l="0" t="0" r="0" b="0"/>
                <wp:wrapTopAndBottom/>
                <wp:docPr id="504" name="Graphic 504"/>
                <wp:cNvGraphicFramePr>
                  <a:graphicFrameLocks/>
                </wp:cNvGraphicFramePr>
                <a:graphic>
                  <a:graphicData uri="http://schemas.microsoft.com/office/word/2010/wordprocessingShape">
                    <wps:wsp>
                      <wps:cNvPr id="504" name="Graphic 50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52000;mso-wrap-distance-left:0;mso-wrap-distance-right:0" id="docshape499" filled="true" fillcolor="#000000" stroked="false">
                <v:fill type="solid"/>
                <w10:wrap type="topAndBottom"/>
              </v:rect>
            </w:pict>
          </mc:Fallback>
        </mc:AlternateContent>
      </w:r>
      <w:r>
        <w:rPr>
          <w:rFonts w:ascii="Verdana"/>
          <w:spacing w:val="-5"/>
          <w:sz w:val="18"/>
        </w:rPr>
        <w:t>230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madness was not just one single incident but spread throughout the</w:t>
      </w:r>
      <w:r>
        <w:rPr>
          <w:spacing w:val="80"/>
        </w:rPr>
        <w:t> </w:t>
      </w:r>
      <w:r>
        <w:rPr>
          <w:spacing w:val="-2"/>
        </w:rPr>
        <w:t>text,</w:t>
      </w:r>
      <w:r>
        <w:rPr>
          <w:spacing w:val="-5"/>
        </w:rPr>
        <w:t> </w:t>
      </w:r>
      <w:r>
        <w:rPr>
          <w:spacing w:val="-2"/>
        </w:rPr>
        <w:t>affecting</w:t>
      </w:r>
      <w:r>
        <w:rPr>
          <w:spacing w:val="-5"/>
        </w:rPr>
        <w:t> </w:t>
      </w:r>
      <w:r>
        <w:rPr>
          <w:spacing w:val="-2"/>
        </w:rPr>
        <w:t>Hamlet’s</w:t>
      </w:r>
      <w:r>
        <w:rPr>
          <w:spacing w:val="-8"/>
        </w:rPr>
        <w:t> </w:t>
      </w:r>
      <w:r>
        <w:rPr>
          <w:spacing w:val="-2"/>
        </w:rPr>
        <w:t>perception</w:t>
      </w:r>
      <w:r>
        <w:rPr>
          <w:spacing w:val="-5"/>
        </w:rPr>
        <w:t> </w:t>
      </w:r>
      <w:r>
        <w:rPr>
          <w:spacing w:val="-2"/>
        </w:rPr>
        <w:t>of</w:t>
      </w:r>
      <w:r>
        <w:rPr>
          <w:spacing w:val="-8"/>
        </w:rPr>
        <w:t> </w:t>
      </w:r>
      <w:r>
        <w:rPr>
          <w:spacing w:val="-2"/>
        </w:rPr>
        <w:t>love,</w:t>
      </w:r>
      <w:r>
        <w:rPr>
          <w:spacing w:val="-3"/>
        </w:rPr>
        <w:t> </w:t>
      </w:r>
      <w:r>
        <w:rPr>
          <w:spacing w:val="-2"/>
        </w:rPr>
        <w:t>morality,</w:t>
      </w:r>
      <w:r>
        <w:rPr>
          <w:spacing w:val="-8"/>
        </w:rPr>
        <w:t> </w:t>
      </w:r>
      <w:r>
        <w:rPr>
          <w:spacing w:val="-2"/>
        </w:rPr>
        <w:t>and</w:t>
      </w:r>
      <w:r>
        <w:rPr>
          <w:spacing w:val="-3"/>
        </w:rPr>
        <w:t> </w:t>
      </w:r>
      <w:r>
        <w:rPr>
          <w:spacing w:val="-2"/>
        </w:rPr>
        <w:t>human</w:t>
      </w:r>
      <w:r>
        <w:rPr>
          <w:spacing w:val="-8"/>
        </w:rPr>
        <w:t> </w:t>
      </w:r>
      <w:r>
        <w:rPr>
          <w:spacing w:val="-2"/>
        </w:rPr>
        <w:t>relations </w:t>
      </w:r>
      <w:r>
        <w:rPr/>
        <w:t>[13]. The sufferings of India establishment Choti’s own resistance and transition in the face of Devdas” wavering have Belgia and contrasting into ffis own decline.</w:t>
      </w:r>
    </w:p>
    <w:p>
      <w:pPr>
        <w:pStyle w:val="BodyText"/>
        <w:spacing w:line="249" w:lineRule="auto" w:before="62"/>
        <w:ind w:right="1437" w:firstLine="432"/>
        <w:jc w:val="both"/>
      </w:pPr>
      <w:r>
        <w:rPr/>
        <w:t>At the same time, the presence of these female characters complicates</w:t>
      </w:r>
      <w:r>
        <w:rPr>
          <w:spacing w:val="-10"/>
        </w:rPr>
        <w:t> </w:t>
      </w:r>
      <w:r>
        <w:rPr/>
        <w:t>the</w:t>
      </w:r>
      <w:r>
        <w:rPr>
          <w:spacing w:val="-8"/>
        </w:rPr>
        <w:t> </w:t>
      </w:r>
      <w:r>
        <w:rPr/>
        <w:t>idea</w:t>
      </w:r>
      <w:r>
        <w:rPr>
          <w:spacing w:val="-10"/>
        </w:rPr>
        <w:t> </w:t>
      </w:r>
      <w:r>
        <w:rPr/>
        <w:t>of</w:t>
      </w:r>
      <w:r>
        <w:rPr>
          <w:spacing w:val="-12"/>
        </w:rPr>
        <w:t> </w:t>
      </w:r>
      <w:r>
        <w:rPr/>
        <w:t>victimhood.</w:t>
      </w:r>
      <w:r>
        <w:rPr>
          <w:spacing w:val="-8"/>
        </w:rPr>
        <w:t> </w:t>
      </w:r>
      <w:r>
        <w:rPr/>
        <w:t>They</w:t>
      </w:r>
      <w:r>
        <w:rPr>
          <w:spacing w:val="-12"/>
        </w:rPr>
        <w:t> </w:t>
      </w:r>
      <w:r>
        <w:rPr/>
        <w:t>thus</w:t>
      </w:r>
      <w:r>
        <w:rPr>
          <w:spacing w:val="-10"/>
        </w:rPr>
        <w:t> </w:t>
      </w:r>
      <w:r>
        <w:rPr/>
        <w:t>form</w:t>
      </w:r>
      <w:r>
        <w:rPr>
          <w:spacing w:val="-13"/>
        </w:rPr>
        <w:t> </w:t>
      </w:r>
      <w:r>
        <w:rPr/>
        <w:t>part</w:t>
      </w:r>
      <w:r>
        <w:rPr>
          <w:spacing w:val="-11"/>
        </w:rPr>
        <w:t> </w:t>
      </w:r>
      <w:r>
        <w:rPr/>
        <w:t>of</w:t>
      </w:r>
      <w:r>
        <w:rPr>
          <w:spacing w:val="-10"/>
        </w:rPr>
        <w:t> </w:t>
      </w:r>
      <w:r>
        <w:rPr/>
        <w:t>a</w:t>
      </w:r>
      <w:r>
        <w:rPr>
          <w:spacing w:val="-9"/>
        </w:rPr>
        <w:t> </w:t>
      </w:r>
      <w:r>
        <w:rPr/>
        <w:t>deceptively </w:t>
      </w:r>
      <w:r>
        <w:rPr>
          <w:spacing w:val="-2"/>
        </w:rPr>
        <w:t>complex</w:t>
      </w:r>
      <w:r>
        <w:rPr>
          <w:spacing w:val="-6"/>
        </w:rPr>
        <w:t> </w:t>
      </w:r>
      <w:r>
        <w:rPr>
          <w:spacing w:val="-2"/>
        </w:rPr>
        <w:t>reading.</w:t>
      </w:r>
      <w:r>
        <w:rPr>
          <w:spacing w:val="-4"/>
        </w:rPr>
        <w:t> </w:t>
      </w:r>
      <w:r>
        <w:rPr>
          <w:spacing w:val="-2"/>
        </w:rPr>
        <w:t>Victims</w:t>
      </w:r>
      <w:r>
        <w:rPr>
          <w:spacing w:val="-6"/>
        </w:rPr>
        <w:t> </w:t>
      </w:r>
      <w:r>
        <w:rPr>
          <w:spacing w:val="-2"/>
        </w:rPr>
        <w:t>within</w:t>
      </w:r>
      <w:r>
        <w:rPr>
          <w:spacing w:val="-4"/>
        </w:rPr>
        <w:t> </w:t>
      </w:r>
      <w:r>
        <w:rPr>
          <w:spacing w:val="-2"/>
        </w:rPr>
        <w:t>the</w:t>
      </w:r>
      <w:r>
        <w:rPr>
          <w:spacing w:val="-6"/>
        </w:rPr>
        <w:t> </w:t>
      </w:r>
      <w:r>
        <w:rPr>
          <w:spacing w:val="-2"/>
        </w:rPr>
        <w:t>limiting</w:t>
      </w:r>
      <w:r>
        <w:rPr>
          <w:spacing w:val="-4"/>
        </w:rPr>
        <w:t> </w:t>
      </w:r>
      <w:r>
        <w:rPr>
          <w:spacing w:val="-2"/>
        </w:rPr>
        <w:t>societal</w:t>
      </w:r>
      <w:r>
        <w:rPr>
          <w:spacing w:val="-6"/>
        </w:rPr>
        <w:t> </w:t>
      </w:r>
      <w:r>
        <w:rPr>
          <w:spacing w:val="-2"/>
        </w:rPr>
        <w:t>plays, their</w:t>
      </w:r>
      <w:r>
        <w:rPr>
          <w:spacing w:val="-4"/>
        </w:rPr>
        <w:t> </w:t>
      </w:r>
      <w:r>
        <w:rPr>
          <w:spacing w:val="-2"/>
        </w:rPr>
        <w:t>actions-</w:t>
      </w:r>
      <w:r>
        <w:rPr/>
        <w:t>be it the marriage chosen by Paro, the emotional progress made by Chandramukhi,</w:t>
      </w:r>
      <w:r>
        <w:rPr>
          <w:spacing w:val="-3"/>
        </w:rPr>
        <w:t> </w:t>
      </w:r>
      <w:r>
        <w:rPr/>
        <w:t>or</w:t>
      </w:r>
      <w:r>
        <w:rPr>
          <w:spacing w:val="-3"/>
        </w:rPr>
        <w:t> </w:t>
      </w:r>
      <w:r>
        <w:rPr/>
        <w:t>Ophelia’s</w:t>
      </w:r>
      <w:r>
        <w:rPr>
          <w:spacing w:val="-3"/>
        </w:rPr>
        <w:t> </w:t>
      </w:r>
      <w:r>
        <w:rPr/>
        <w:t>retreat,</w:t>
      </w:r>
      <w:r>
        <w:rPr>
          <w:spacing w:val="-3"/>
        </w:rPr>
        <w:t> </w:t>
      </w:r>
      <w:r>
        <w:rPr/>
        <w:t>become</w:t>
      </w:r>
      <w:r>
        <w:rPr>
          <w:spacing w:val="-2"/>
        </w:rPr>
        <w:t> </w:t>
      </w:r>
      <w:r>
        <w:rPr/>
        <w:t>an</w:t>
      </w:r>
      <w:r>
        <w:rPr>
          <w:spacing w:val="-5"/>
        </w:rPr>
        <w:t> </w:t>
      </w:r>
      <w:r>
        <w:rPr/>
        <w:t>active</w:t>
      </w:r>
      <w:r>
        <w:rPr>
          <w:spacing w:val="-1"/>
        </w:rPr>
        <w:t> </w:t>
      </w:r>
      <w:r>
        <w:rPr/>
        <w:t>experience</w:t>
      </w:r>
      <w:r>
        <w:rPr>
          <w:spacing w:val="-4"/>
        </w:rPr>
        <w:t> </w:t>
      </w:r>
      <w:r>
        <w:rPr/>
        <w:t>in</w:t>
      </w:r>
      <w:r>
        <w:rPr>
          <w:spacing w:val="-3"/>
        </w:rPr>
        <w:t> </w:t>
      </w:r>
      <w:r>
        <w:rPr/>
        <w:t>the course</w:t>
      </w:r>
      <w:r>
        <w:rPr>
          <w:spacing w:val="-4"/>
        </w:rPr>
        <w:t> </w:t>
      </w:r>
      <w:r>
        <w:rPr/>
        <w:t>of</w:t>
      </w:r>
      <w:r>
        <w:rPr>
          <w:spacing w:val="-6"/>
        </w:rPr>
        <w:t> </w:t>
      </w:r>
      <w:r>
        <w:rPr/>
        <w:t>these</w:t>
      </w:r>
      <w:r>
        <w:rPr>
          <w:spacing w:val="-3"/>
        </w:rPr>
        <w:t> </w:t>
      </w:r>
      <w:r>
        <w:rPr/>
        <w:t>narratives</w:t>
      </w:r>
      <w:r>
        <w:rPr>
          <w:spacing w:val="-8"/>
        </w:rPr>
        <w:t> </w:t>
      </w:r>
      <w:r>
        <w:rPr/>
        <w:t>[14].</w:t>
      </w:r>
      <w:r>
        <w:rPr>
          <w:spacing w:val="-2"/>
        </w:rPr>
        <w:t> </w:t>
      </w:r>
      <w:r>
        <w:rPr/>
        <w:t>The</w:t>
      </w:r>
      <w:r>
        <w:rPr>
          <w:spacing w:val="-3"/>
        </w:rPr>
        <w:t> </w:t>
      </w:r>
      <w:r>
        <w:rPr/>
        <w:t>complexity</w:t>
      </w:r>
      <w:r>
        <w:rPr>
          <w:spacing w:val="-8"/>
        </w:rPr>
        <w:t> </w:t>
      </w:r>
      <w:r>
        <w:rPr/>
        <w:t>of</w:t>
      </w:r>
      <w:r>
        <w:rPr>
          <w:spacing w:val="-4"/>
        </w:rPr>
        <w:t> </w:t>
      </w:r>
      <w:r>
        <w:rPr/>
        <w:t>these</w:t>
      </w:r>
      <w:r>
        <w:rPr>
          <w:spacing w:val="-5"/>
        </w:rPr>
        <w:t> </w:t>
      </w:r>
      <w:r>
        <w:rPr/>
        <w:t>narratives,</w:t>
      </w:r>
      <w:r>
        <w:rPr>
          <w:spacing w:val="-4"/>
        </w:rPr>
        <w:t> </w:t>
      </w:r>
      <w:r>
        <w:rPr/>
        <w:t>built on the interplay between gender roles and emotional depths, is the primary grounds for their tragedy; the daughters of Eve contribute to suffering</w:t>
      </w:r>
      <w:r>
        <w:rPr>
          <w:spacing w:val="-4"/>
        </w:rPr>
        <w:t> </w:t>
      </w:r>
      <w:r>
        <w:rPr/>
        <w:t>and</w:t>
      </w:r>
      <w:r>
        <w:rPr>
          <w:spacing w:val="-3"/>
        </w:rPr>
        <w:t> </w:t>
      </w:r>
      <w:r>
        <w:rPr/>
        <w:t>the</w:t>
      </w:r>
      <w:r>
        <w:rPr>
          <w:spacing w:val="-6"/>
        </w:rPr>
        <w:t> </w:t>
      </w:r>
      <w:r>
        <w:rPr/>
        <w:t>fall</w:t>
      </w:r>
      <w:r>
        <w:rPr>
          <w:spacing w:val="-3"/>
        </w:rPr>
        <w:t> </w:t>
      </w:r>
      <w:r>
        <w:rPr/>
        <w:t>of</w:t>
      </w:r>
      <w:r>
        <w:rPr>
          <w:spacing w:val="-4"/>
        </w:rPr>
        <w:t> </w:t>
      </w:r>
      <w:r>
        <w:rPr/>
        <w:t>man.</w:t>
      </w:r>
      <w:r>
        <w:rPr>
          <w:spacing w:val="-3"/>
        </w:rPr>
        <w:t> </w:t>
      </w:r>
      <w:r>
        <w:rPr/>
        <w:t>It</w:t>
      </w:r>
      <w:r>
        <w:rPr>
          <w:spacing w:val="-5"/>
        </w:rPr>
        <w:t> </w:t>
      </w:r>
      <w:r>
        <w:rPr/>
        <w:t>is</w:t>
      </w:r>
      <w:r>
        <w:rPr>
          <w:spacing w:val="-4"/>
        </w:rPr>
        <w:t> </w:t>
      </w:r>
      <w:r>
        <w:rPr/>
        <w:t>the</w:t>
      </w:r>
      <w:r>
        <w:rPr>
          <w:spacing w:val="-2"/>
        </w:rPr>
        <w:t> </w:t>
      </w:r>
      <w:r>
        <w:rPr/>
        <w:t>joint</w:t>
      </w:r>
      <w:r>
        <w:rPr>
          <w:spacing w:val="-3"/>
        </w:rPr>
        <w:t> </w:t>
      </w:r>
      <w:r>
        <w:rPr/>
        <w:t>act</w:t>
      </w:r>
      <w:r>
        <w:rPr>
          <w:spacing w:val="-4"/>
        </w:rPr>
        <w:t> </w:t>
      </w:r>
      <w:r>
        <w:rPr/>
        <w:t>of</w:t>
      </w:r>
      <w:r>
        <w:rPr>
          <w:spacing w:val="-6"/>
        </w:rPr>
        <w:t> </w:t>
      </w:r>
      <w:r>
        <w:rPr/>
        <w:t>suffering</w:t>
      </w:r>
      <w:r>
        <w:rPr>
          <w:spacing w:val="-4"/>
        </w:rPr>
        <w:t> </w:t>
      </w:r>
      <w:r>
        <w:rPr/>
        <w:t>and</w:t>
      </w:r>
      <w:r>
        <w:rPr>
          <w:spacing w:val="-3"/>
        </w:rPr>
        <w:t> </w:t>
      </w:r>
      <w:r>
        <w:rPr/>
        <w:t>downfall that</w:t>
      </w:r>
      <w:r>
        <w:rPr>
          <w:spacing w:val="-3"/>
        </w:rPr>
        <w:t> </w:t>
      </w:r>
      <w:r>
        <w:rPr/>
        <w:t>multiply</w:t>
      </w:r>
      <w:r>
        <w:rPr>
          <w:spacing w:val="-6"/>
        </w:rPr>
        <w:t> </w:t>
      </w:r>
      <w:r>
        <w:rPr/>
        <w:t>the tragedy</w:t>
      </w:r>
      <w:r>
        <w:rPr>
          <w:spacing w:val="-6"/>
        </w:rPr>
        <w:t> </w:t>
      </w:r>
      <w:r>
        <w:rPr/>
        <w:t>with</w:t>
      </w:r>
      <w:r>
        <w:rPr>
          <w:spacing w:val="-3"/>
        </w:rPr>
        <w:t> </w:t>
      </w:r>
      <w:r>
        <w:rPr/>
        <w:t>multiple</w:t>
      </w:r>
      <w:r>
        <w:rPr>
          <w:spacing w:val="-2"/>
        </w:rPr>
        <w:t> </w:t>
      </w:r>
      <w:r>
        <w:rPr/>
        <w:t>layers</w:t>
      </w:r>
      <w:r>
        <w:rPr>
          <w:spacing w:val="-4"/>
        </w:rPr>
        <w:t> </w:t>
      </w:r>
      <w:r>
        <w:rPr/>
        <w:t>of</w:t>
      </w:r>
      <w:r>
        <w:rPr>
          <w:spacing w:val="-3"/>
        </w:rPr>
        <w:t> </w:t>
      </w:r>
      <w:r>
        <w:rPr/>
        <w:t>tragedy</w:t>
      </w:r>
      <w:r>
        <w:rPr>
          <w:spacing w:val="-6"/>
        </w:rPr>
        <w:t> </w:t>
      </w:r>
      <w:r>
        <w:rPr/>
        <w:t>and</w:t>
      </w:r>
      <w:r>
        <w:rPr>
          <w:spacing w:val="-3"/>
        </w:rPr>
        <w:t> </w:t>
      </w:r>
      <w:r>
        <w:rPr/>
        <w:t>determines various factors.Exploring that intersection allows us to argue that a representation of tragedy in these works comes through negotiation between</w:t>
      </w:r>
      <w:r>
        <w:rPr>
          <w:spacing w:val="-3"/>
        </w:rPr>
        <w:t> </w:t>
      </w:r>
      <w:r>
        <w:rPr/>
        <w:t>gender and psychology</w:t>
      </w:r>
      <w:r>
        <w:rPr>
          <w:spacing w:val="-1"/>
        </w:rPr>
        <w:t> </w:t>
      </w:r>
      <w:r>
        <w:rPr/>
        <w:t>for co-production</w:t>
      </w:r>
      <w:r>
        <w:rPr>
          <w:spacing w:val="-1"/>
        </w:rPr>
        <w:t> </w:t>
      </w:r>
      <w:r>
        <w:rPr/>
        <w:t>challenge</w:t>
      </w:r>
      <w:r>
        <w:rPr>
          <w:spacing w:val="-1"/>
        </w:rPr>
        <w:t> </w:t>
      </w:r>
      <w:r>
        <w:rPr/>
        <w:t>a demonic position and underscore the importance of</w:t>
      </w:r>
      <w:r>
        <w:rPr>
          <w:spacing w:val="-1"/>
        </w:rPr>
        <w:t> </w:t>
      </w:r>
      <w:r>
        <w:rPr/>
        <w:t>grappling with both</w:t>
      </w:r>
      <w:r>
        <w:rPr>
          <w:spacing w:val="-1"/>
        </w:rPr>
        <w:t> </w:t>
      </w:r>
      <w:r>
        <w:rPr/>
        <w:t>to really understand</w:t>
      </w:r>
      <w:r>
        <w:rPr>
          <w:spacing w:val="40"/>
        </w:rPr>
        <w:t> </w:t>
      </w:r>
      <w:r>
        <w:rPr/>
        <w:t>the</w:t>
      </w:r>
      <w:r>
        <w:rPr>
          <w:spacing w:val="40"/>
        </w:rPr>
        <w:t> </w:t>
      </w:r>
      <w:r>
        <w:rPr/>
        <w:t>multiplicity</w:t>
      </w:r>
      <w:r>
        <w:rPr>
          <w:spacing w:val="40"/>
        </w:rPr>
        <w:t> </w:t>
      </w:r>
      <w:r>
        <w:rPr/>
        <w:t>of</w:t>
      </w:r>
      <w:r>
        <w:rPr>
          <w:spacing w:val="40"/>
        </w:rPr>
        <w:t> </w:t>
      </w:r>
      <w:r>
        <w:rPr/>
        <w:t>a</w:t>
      </w:r>
      <w:r>
        <w:rPr>
          <w:spacing w:val="40"/>
        </w:rPr>
        <w:t> </w:t>
      </w:r>
      <w:r>
        <w:rPr/>
        <w:t>narratives</w:t>
      </w:r>
      <w:r>
        <w:rPr>
          <w:spacing w:val="40"/>
        </w:rPr>
        <w:t> </w:t>
      </w:r>
      <w:r>
        <w:rPr/>
        <w:t>together.</w:t>
      </w:r>
    </w:p>
    <w:p>
      <w:pPr>
        <w:pStyle w:val="Heading3"/>
        <w:numPr>
          <w:ilvl w:val="0"/>
          <w:numId w:val="43"/>
        </w:numPr>
        <w:tabs>
          <w:tab w:pos="1708" w:val="left" w:leader="none"/>
        </w:tabs>
        <w:spacing w:line="240" w:lineRule="auto" w:before="166" w:after="0"/>
        <w:ind w:left="1708" w:right="0" w:hanging="268"/>
        <w:jc w:val="left"/>
      </w:pPr>
      <w:r>
        <w:rPr>
          <w:w w:val="90"/>
        </w:rPr>
        <w:t>FEMALE</w:t>
      </w:r>
      <w:r>
        <w:rPr>
          <w:spacing w:val="16"/>
        </w:rPr>
        <w:t> </w:t>
      </w:r>
      <w:r>
        <w:rPr>
          <w:w w:val="90"/>
        </w:rPr>
        <w:t>CHARACTERS</w:t>
      </w:r>
      <w:r>
        <w:rPr>
          <w:spacing w:val="15"/>
        </w:rPr>
        <w:t> </w:t>
      </w:r>
      <w:r>
        <w:rPr>
          <w:w w:val="90"/>
        </w:rPr>
        <w:t>IN</w:t>
      </w:r>
      <w:r>
        <w:rPr>
          <w:spacing w:val="14"/>
        </w:rPr>
        <w:t> </w:t>
      </w:r>
      <w:r>
        <w:rPr>
          <w:spacing w:val="-2"/>
          <w:w w:val="90"/>
        </w:rPr>
        <w:t>HAMLET</w:t>
      </w:r>
    </w:p>
    <w:p>
      <w:pPr>
        <w:pStyle w:val="BodyText"/>
        <w:spacing w:line="249" w:lineRule="auto" w:before="75"/>
        <w:ind w:right="1437" w:firstLine="432"/>
        <w:jc w:val="both"/>
      </w:pPr>
      <w:r>
        <w:rPr/>
        <w:t>In Hamlet, the female characters, Ophelia and Gertrude, occupy crucial yet often underestimated positions within the tragic framework. While traditional interpretations tend to view them as secondary to </w:t>
      </w:r>
      <w:r>
        <w:rPr>
          <w:spacing w:val="-2"/>
        </w:rPr>
        <w:t>Hamlet’s</w:t>
      </w:r>
      <w:r>
        <w:rPr>
          <w:spacing w:val="-5"/>
        </w:rPr>
        <w:t> </w:t>
      </w:r>
      <w:r>
        <w:rPr>
          <w:spacing w:val="-2"/>
        </w:rPr>
        <w:t>psychological</w:t>
      </w:r>
      <w:r>
        <w:rPr>
          <w:spacing w:val="-7"/>
        </w:rPr>
        <w:t> </w:t>
      </w:r>
      <w:r>
        <w:rPr>
          <w:spacing w:val="-2"/>
        </w:rPr>
        <w:t>journey, a</w:t>
      </w:r>
      <w:r>
        <w:rPr>
          <w:spacing w:val="-6"/>
        </w:rPr>
        <w:t> </w:t>
      </w:r>
      <w:r>
        <w:rPr>
          <w:spacing w:val="-2"/>
        </w:rPr>
        <w:t>closer</w:t>
      </w:r>
      <w:r>
        <w:rPr>
          <w:spacing w:val="-5"/>
        </w:rPr>
        <w:t> </w:t>
      </w:r>
      <w:r>
        <w:rPr>
          <w:spacing w:val="-2"/>
        </w:rPr>
        <w:t>analysis</w:t>
      </w:r>
      <w:r>
        <w:rPr>
          <w:spacing w:val="-7"/>
        </w:rPr>
        <w:t> </w:t>
      </w:r>
      <w:r>
        <w:rPr>
          <w:spacing w:val="-2"/>
        </w:rPr>
        <w:t>reveals</w:t>
      </w:r>
      <w:r>
        <w:rPr>
          <w:spacing w:val="-5"/>
        </w:rPr>
        <w:t> </w:t>
      </w:r>
      <w:r>
        <w:rPr>
          <w:spacing w:val="-2"/>
        </w:rPr>
        <w:t>their</w:t>
      </w:r>
      <w:r>
        <w:rPr>
          <w:spacing w:val="-5"/>
        </w:rPr>
        <w:t> </w:t>
      </w:r>
      <w:r>
        <w:rPr>
          <w:spacing w:val="-2"/>
        </w:rPr>
        <w:t>significant </w:t>
      </w:r>
      <w:r>
        <w:rPr/>
        <w:t>influence on the development of the narrative and the protagonist’s mental state. Both characters embody different dimensions of female experience</w:t>
      </w:r>
      <w:r>
        <w:rPr>
          <w:spacing w:val="-5"/>
        </w:rPr>
        <w:t> </w:t>
      </w:r>
      <w:r>
        <w:rPr/>
        <w:t>within</w:t>
      </w:r>
      <w:r>
        <w:rPr>
          <w:spacing w:val="-7"/>
        </w:rPr>
        <w:t> </w:t>
      </w:r>
      <w:r>
        <w:rPr/>
        <w:t>a</w:t>
      </w:r>
      <w:r>
        <w:rPr>
          <w:spacing w:val="-5"/>
        </w:rPr>
        <w:t> </w:t>
      </w:r>
      <w:r>
        <w:rPr/>
        <w:t>patriarchal</w:t>
      </w:r>
      <w:r>
        <w:rPr>
          <w:spacing w:val="-7"/>
        </w:rPr>
        <w:t> </w:t>
      </w:r>
      <w:r>
        <w:rPr/>
        <w:t>society</w:t>
      </w:r>
      <w:r>
        <w:rPr>
          <w:spacing w:val="-7"/>
        </w:rPr>
        <w:t> </w:t>
      </w:r>
      <w:r>
        <w:rPr/>
        <w:t>Ophelia</w:t>
      </w:r>
      <w:r>
        <w:rPr>
          <w:spacing w:val="-5"/>
        </w:rPr>
        <w:t> </w:t>
      </w:r>
      <w:r>
        <w:rPr/>
        <w:t>as</w:t>
      </w:r>
      <w:r>
        <w:rPr>
          <w:spacing w:val="-5"/>
        </w:rPr>
        <w:t> </w:t>
      </w:r>
      <w:r>
        <w:rPr/>
        <w:t>the</w:t>
      </w:r>
      <w:r>
        <w:rPr>
          <w:spacing w:val="-6"/>
        </w:rPr>
        <w:t> </w:t>
      </w:r>
      <w:r>
        <w:rPr/>
        <w:t>obedient</w:t>
      </w:r>
      <w:r>
        <w:rPr>
          <w:spacing w:val="-4"/>
        </w:rPr>
        <w:t> </w:t>
      </w:r>
      <w:r>
        <w:rPr/>
        <w:t>daughter and</w:t>
      </w:r>
      <w:r>
        <w:rPr>
          <w:spacing w:val="-13"/>
        </w:rPr>
        <w:t> </w:t>
      </w:r>
      <w:r>
        <w:rPr/>
        <w:t>tragic</w:t>
      </w:r>
      <w:r>
        <w:rPr>
          <w:spacing w:val="-12"/>
        </w:rPr>
        <w:t> </w:t>
      </w:r>
      <w:r>
        <w:rPr/>
        <w:t>victim,</w:t>
      </w:r>
      <w:r>
        <w:rPr>
          <w:spacing w:val="-13"/>
        </w:rPr>
        <w:t> </w:t>
      </w:r>
      <w:r>
        <w:rPr/>
        <w:t>and</w:t>
      </w:r>
      <w:r>
        <w:rPr>
          <w:spacing w:val="-12"/>
        </w:rPr>
        <w:t> </w:t>
      </w:r>
      <w:r>
        <w:rPr/>
        <w:t>Gertrude</w:t>
      </w:r>
      <w:r>
        <w:rPr>
          <w:spacing w:val="-13"/>
        </w:rPr>
        <w:t> </w:t>
      </w:r>
      <w:r>
        <w:rPr/>
        <w:t>as</w:t>
      </w:r>
      <w:r>
        <w:rPr>
          <w:spacing w:val="-12"/>
        </w:rPr>
        <w:t> </w:t>
      </w:r>
      <w:r>
        <w:rPr/>
        <w:t>the</w:t>
      </w:r>
      <w:r>
        <w:rPr>
          <w:spacing w:val="-13"/>
        </w:rPr>
        <w:t> </w:t>
      </w:r>
      <w:r>
        <w:rPr/>
        <w:t>morally</w:t>
      </w:r>
      <w:r>
        <w:rPr>
          <w:spacing w:val="-12"/>
        </w:rPr>
        <w:t> </w:t>
      </w:r>
      <w:r>
        <w:rPr/>
        <w:t>complex</w:t>
      </w:r>
      <w:r>
        <w:rPr>
          <w:spacing w:val="-13"/>
        </w:rPr>
        <w:t> </w:t>
      </w:r>
      <w:r>
        <w:rPr/>
        <w:t>queen</w:t>
      </w:r>
      <w:r>
        <w:rPr>
          <w:spacing w:val="-12"/>
        </w:rPr>
        <w:t> </w:t>
      </w:r>
      <w:r>
        <w:rPr/>
        <w:t>navigating survival and desire. Their actions, silences, and suffering not only reflect the tensions of the play but also actively shape Hamlet’s psychological</w:t>
      </w:r>
      <w:r>
        <w:rPr>
          <w:spacing w:val="40"/>
        </w:rPr>
        <w:t> </w:t>
      </w:r>
      <w:r>
        <w:rPr/>
        <w:t>conflict</w:t>
      </w:r>
      <w:r>
        <w:rPr>
          <w:spacing w:val="40"/>
        </w:rPr>
        <w:t> </w:t>
      </w:r>
      <w:r>
        <w:rPr/>
        <w:t>and</w:t>
      </w:r>
      <w:r>
        <w:rPr>
          <w:spacing w:val="40"/>
        </w:rPr>
        <w:t> </w:t>
      </w:r>
      <w:r>
        <w:rPr/>
        <w:t>eventual</w:t>
      </w:r>
      <w:r>
        <w:rPr>
          <w:spacing w:val="40"/>
        </w:rPr>
        <w:t> </w:t>
      </w:r>
      <w:r>
        <w:rPr/>
        <w:t>downfall.</w:t>
      </w:r>
    </w:p>
    <w:p>
      <w:pPr>
        <w:pStyle w:val="Heading5"/>
        <w:numPr>
          <w:ilvl w:val="1"/>
          <w:numId w:val="43"/>
        </w:numPr>
        <w:tabs>
          <w:tab w:pos="1792" w:val="left" w:leader="none"/>
        </w:tabs>
        <w:spacing w:line="240" w:lineRule="auto" w:before="116" w:after="0"/>
        <w:ind w:left="1792" w:right="0" w:hanging="352"/>
        <w:jc w:val="left"/>
      </w:pPr>
      <w:r>
        <w:rPr>
          <w:spacing w:val="-2"/>
          <w:w w:val="105"/>
        </w:rPr>
        <w:t>Ophelia</w:t>
      </w:r>
    </w:p>
    <w:p>
      <w:pPr>
        <w:pStyle w:val="BodyText"/>
        <w:spacing w:line="249" w:lineRule="auto" w:before="74"/>
        <w:ind w:right="1439" w:firstLine="432"/>
        <w:jc w:val="both"/>
      </w:pPr>
      <w:r>
        <w:rPr/>
        <w:t>One of the most heartbreaking representations of victimization in Hamlet,</w:t>
      </w:r>
      <w:r>
        <w:rPr>
          <w:spacing w:val="-1"/>
        </w:rPr>
        <w:t> </w:t>
      </w:r>
      <w:r>
        <w:rPr/>
        <w:t>Ophelia</w:t>
      </w:r>
      <w:r>
        <w:rPr>
          <w:spacing w:val="-1"/>
        </w:rPr>
        <w:t> </w:t>
      </w:r>
      <w:r>
        <w:rPr/>
        <w:t>epitomizes</w:t>
      </w:r>
      <w:r>
        <w:rPr>
          <w:spacing w:val="-1"/>
        </w:rPr>
        <w:t> </w:t>
      </w:r>
      <w:r>
        <w:rPr/>
        <w:t>the</w:t>
      </w:r>
      <w:r>
        <w:rPr>
          <w:spacing w:val="-1"/>
        </w:rPr>
        <w:t> </w:t>
      </w:r>
      <w:r>
        <w:rPr/>
        <w:t>perils</w:t>
      </w:r>
      <w:r>
        <w:rPr>
          <w:spacing w:val="-1"/>
        </w:rPr>
        <w:t> </w:t>
      </w:r>
      <w:r>
        <w:rPr/>
        <w:t>of</w:t>
      </w:r>
      <w:r>
        <w:rPr>
          <w:spacing w:val="-3"/>
        </w:rPr>
        <w:t> </w:t>
      </w:r>
      <w:r>
        <w:rPr/>
        <w:t>acquiescence</w:t>
      </w:r>
      <w:r>
        <w:rPr>
          <w:spacing w:val="-1"/>
        </w:rPr>
        <w:t> </w:t>
      </w:r>
      <w:r>
        <w:rPr/>
        <w:t>to the</w:t>
      </w:r>
      <w:r>
        <w:rPr>
          <w:spacing w:val="-1"/>
        </w:rPr>
        <w:t> </w:t>
      </w:r>
      <w:r>
        <w:rPr/>
        <w:t>dictates</w:t>
      </w:r>
      <w:r>
        <w:rPr>
          <w:spacing w:val="-3"/>
        </w:rPr>
        <w:t> </w:t>
      </w:r>
      <w:r>
        <w:rPr/>
        <w:t>of a rigid patriarchal society. Throughout the play she depends upon her obedience to paternal and fraternal authority figures. Her identity is formed</w:t>
      </w:r>
      <w:r>
        <w:rPr>
          <w:spacing w:val="34"/>
        </w:rPr>
        <w:t> </w:t>
      </w:r>
      <w:r>
        <w:rPr/>
        <w:t>through</w:t>
      </w:r>
      <w:r>
        <w:rPr>
          <w:spacing w:val="32"/>
        </w:rPr>
        <w:t> </w:t>
      </w:r>
      <w:r>
        <w:rPr/>
        <w:t>these</w:t>
      </w:r>
      <w:r>
        <w:rPr>
          <w:spacing w:val="36"/>
        </w:rPr>
        <w:t> </w:t>
      </w:r>
      <w:r>
        <w:rPr/>
        <w:t>relationships,</w:t>
      </w:r>
      <w:r>
        <w:rPr>
          <w:spacing w:val="34"/>
        </w:rPr>
        <w:t> </w:t>
      </w:r>
      <w:r>
        <w:rPr/>
        <w:t>leaving</w:t>
      </w:r>
      <w:r>
        <w:rPr>
          <w:spacing w:val="32"/>
        </w:rPr>
        <w:t> </w:t>
      </w:r>
      <w:r>
        <w:rPr/>
        <w:t>little</w:t>
      </w:r>
      <w:r>
        <w:rPr>
          <w:spacing w:val="36"/>
        </w:rPr>
        <w:t> </w:t>
      </w:r>
      <w:r>
        <w:rPr/>
        <w:t>space</w:t>
      </w:r>
      <w:r>
        <w:rPr>
          <w:spacing w:val="34"/>
        </w:rPr>
        <w:t> </w:t>
      </w:r>
      <w:r>
        <w:rPr/>
        <w:t>for</w:t>
      </w:r>
      <w:r>
        <w:rPr>
          <w:spacing w:val="35"/>
        </w:rPr>
        <w:t> </w:t>
      </w:r>
      <w:r>
        <w:rPr/>
        <w:t>real</w:t>
      </w:r>
      <w:r>
        <w:rPr>
          <w:spacing w:val="34"/>
        </w:rPr>
        <w:t> </w:t>
      </w:r>
      <w:r>
        <w:rPr>
          <w:spacing w:val="-2"/>
        </w:rPr>
        <w:t>self-</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4992">
                <wp:simplePos x="0" y="0"/>
                <wp:positionH relativeFrom="page">
                  <wp:posOffset>2065020</wp:posOffset>
                </wp:positionH>
                <wp:positionV relativeFrom="paragraph">
                  <wp:posOffset>795020</wp:posOffset>
                </wp:positionV>
                <wp:extent cx="3657600" cy="12700"/>
                <wp:effectExtent l="0" t="0" r="0" b="0"/>
                <wp:wrapTopAndBottom/>
                <wp:docPr id="505" name="Graphic 505"/>
                <wp:cNvGraphicFramePr>
                  <a:graphicFrameLocks/>
                </wp:cNvGraphicFramePr>
                <a:graphic>
                  <a:graphicData uri="http://schemas.microsoft.com/office/word/2010/wordprocessingShape">
                    <wps:wsp>
                      <wps:cNvPr id="505" name="Graphic 50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51488;mso-wrap-distance-left:0;mso-wrap-distance-right:0" id="docshape500" filled="true" fillcolor="#000000" stroked="false">
                <v:fill type="solid"/>
                <w10:wrap type="topAndBottom"/>
              </v:rect>
            </w:pict>
          </mc:Fallback>
        </mc:AlternateContent>
      </w:r>
      <w:r>
        <w:rPr>
          <w:rFonts w:ascii="Verdana"/>
          <w:sz w:val="18"/>
        </w:rPr>
        <w:t>Shadows</w:t>
      </w:r>
      <w:r>
        <w:rPr>
          <w:rFonts w:ascii="Verdana"/>
          <w:spacing w:val="5"/>
          <w:sz w:val="18"/>
        </w:rPr>
        <w:t> </w:t>
      </w:r>
      <w:r>
        <w:rPr>
          <w:rFonts w:ascii="Verdana"/>
          <w:sz w:val="18"/>
        </w:rPr>
        <w:t>of</w:t>
      </w:r>
      <w:r>
        <w:rPr>
          <w:rFonts w:ascii="Verdana"/>
          <w:spacing w:val="8"/>
          <w:sz w:val="18"/>
        </w:rPr>
        <w:t> </w:t>
      </w:r>
      <w:r>
        <w:rPr>
          <w:rFonts w:ascii="Verdana"/>
          <w:sz w:val="18"/>
        </w:rPr>
        <w:t>the</w:t>
      </w:r>
      <w:r>
        <w:rPr>
          <w:rFonts w:ascii="Verdana"/>
          <w:spacing w:val="6"/>
          <w:sz w:val="18"/>
        </w:rPr>
        <w:t> </w:t>
      </w:r>
      <w:r>
        <w:rPr>
          <w:rFonts w:ascii="Verdana"/>
          <w:sz w:val="18"/>
        </w:rPr>
        <w:t>Tragic</w:t>
      </w:r>
      <w:r>
        <w:rPr>
          <w:rFonts w:ascii="Verdana"/>
          <w:spacing w:val="6"/>
          <w:sz w:val="18"/>
        </w:rPr>
        <w:t> </w:t>
      </w:r>
      <w:r>
        <w:rPr>
          <w:rFonts w:ascii="Verdana"/>
          <w:sz w:val="18"/>
        </w:rPr>
        <w:t>Hero:</w:t>
      </w:r>
      <w:r>
        <w:rPr>
          <w:rFonts w:ascii="Verdana"/>
          <w:spacing w:val="5"/>
          <w:sz w:val="18"/>
        </w:rPr>
        <w:t> </w:t>
      </w:r>
      <w:r>
        <w:rPr>
          <w:rFonts w:ascii="Verdana"/>
          <w:sz w:val="18"/>
        </w:rPr>
        <w:t>Female</w:t>
      </w:r>
      <w:r>
        <w:rPr>
          <w:rFonts w:ascii="Verdana"/>
          <w:spacing w:val="5"/>
          <w:sz w:val="18"/>
        </w:rPr>
        <w:t> </w:t>
      </w:r>
      <w:r>
        <w:rPr>
          <w:rFonts w:ascii="Verdana"/>
          <w:sz w:val="18"/>
        </w:rPr>
        <w:t>Agency</w:t>
      </w:r>
      <w:r>
        <w:rPr>
          <w:rFonts w:ascii="Verdana"/>
          <w:spacing w:val="5"/>
          <w:sz w:val="18"/>
        </w:rPr>
        <w:t> </w:t>
      </w:r>
      <w:r>
        <w:rPr>
          <w:rFonts w:ascii="Verdana"/>
          <w:sz w:val="18"/>
        </w:rPr>
        <w:t>and</w:t>
      </w:r>
      <w:r>
        <w:rPr>
          <w:rFonts w:ascii="Verdana"/>
          <w:spacing w:val="7"/>
          <w:sz w:val="18"/>
        </w:rPr>
        <w:t> </w:t>
      </w:r>
      <w:r>
        <w:rPr>
          <w:rFonts w:ascii="Verdana"/>
          <w:spacing w:val="-5"/>
          <w:sz w:val="18"/>
        </w:rPr>
        <w:t>...</w:t>
      </w:r>
      <w:r>
        <w:rPr>
          <w:sz w:val="18"/>
        </w:rPr>
        <w:tab/>
      </w:r>
      <w:r>
        <w:rPr>
          <w:rFonts w:ascii="Verdana"/>
          <w:spacing w:val="-5"/>
          <w:sz w:val="18"/>
        </w:rPr>
        <w:t>231</w:t>
      </w:r>
    </w:p>
    <w:p>
      <w:pPr>
        <w:pStyle w:val="BodyText"/>
        <w:spacing w:line="249" w:lineRule="auto" w:before="192"/>
        <w:ind w:right="1437"/>
        <w:jc w:val="both"/>
      </w:pPr>
      <w:r>
        <w:rPr/>
        <w:t>initiative or self-expression. Overt risk of obedience-mandated actions is seen when it exposes her</w:t>
      </w:r>
      <w:r>
        <w:rPr>
          <w:spacing w:val="18"/>
        </w:rPr>
        <w:t> </w:t>
      </w:r>
      <w:r>
        <w:rPr/>
        <w:t>already bloody core</w:t>
      </w:r>
      <w:r>
        <w:rPr>
          <w:spacing w:val="18"/>
        </w:rPr>
        <w:t> </w:t>
      </w:r>
      <w:r>
        <w:rPr/>
        <w:t>to</w:t>
      </w:r>
      <w:r>
        <w:rPr>
          <w:spacing w:val="19"/>
        </w:rPr>
        <w:t> </w:t>
      </w:r>
      <w:r>
        <w:rPr/>
        <w:t>leeches that</w:t>
      </w:r>
      <w:r>
        <w:rPr>
          <w:spacing w:val="18"/>
        </w:rPr>
        <w:t> </w:t>
      </w:r>
      <w:r>
        <w:rPr/>
        <w:t>arrive</w:t>
      </w:r>
      <w:r>
        <w:rPr>
          <w:spacing w:val="40"/>
        </w:rPr>
        <w:t> </w:t>
      </w:r>
      <w:r>
        <w:rPr/>
        <w:t>in the still waters of unconscious betrayal. Hence, obedience required</w:t>
      </w:r>
      <w:r>
        <w:rPr>
          <w:spacing w:val="40"/>
        </w:rPr>
        <w:t> </w:t>
      </w:r>
      <w:r>
        <w:rPr/>
        <w:t>of</w:t>
      </w:r>
      <w:r>
        <w:rPr>
          <w:spacing w:val="-9"/>
        </w:rPr>
        <w:t> </w:t>
      </w:r>
      <w:r>
        <w:rPr/>
        <w:t>her</w:t>
      </w:r>
      <w:r>
        <w:rPr>
          <w:spacing w:val="-7"/>
        </w:rPr>
        <w:t> </w:t>
      </w:r>
      <w:r>
        <w:rPr/>
        <w:t>becomes</w:t>
      </w:r>
      <w:r>
        <w:rPr>
          <w:spacing w:val="-7"/>
        </w:rPr>
        <w:t> </w:t>
      </w:r>
      <w:r>
        <w:rPr/>
        <w:t>synonymous</w:t>
      </w:r>
      <w:r>
        <w:rPr>
          <w:spacing w:val="-9"/>
        </w:rPr>
        <w:t> </w:t>
      </w:r>
      <w:r>
        <w:rPr/>
        <w:t>with</w:t>
      </w:r>
      <w:r>
        <w:rPr>
          <w:spacing w:val="-9"/>
        </w:rPr>
        <w:t> </w:t>
      </w:r>
      <w:r>
        <w:rPr/>
        <w:t>self-destructive</w:t>
      </w:r>
      <w:r>
        <w:rPr>
          <w:spacing w:val="-7"/>
        </w:rPr>
        <w:t> </w:t>
      </w:r>
      <w:r>
        <w:rPr/>
        <w:t>fragmentation,</w:t>
      </w:r>
      <w:r>
        <w:rPr>
          <w:spacing w:val="-6"/>
        </w:rPr>
        <w:t> </w:t>
      </w:r>
      <w:r>
        <w:rPr/>
        <w:t>a</w:t>
      </w:r>
      <w:r>
        <w:rPr>
          <w:spacing w:val="-7"/>
        </w:rPr>
        <w:t> </w:t>
      </w:r>
      <w:r>
        <w:rPr/>
        <w:t>prize she never wants to embrace. Her</w:t>
      </w:r>
      <w:r>
        <w:rPr>
          <w:spacing w:val="-2"/>
        </w:rPr>
        <w:t> </w:t>
      </w:r>
      <w:r>
        <w:rPr/>
        <w:t>descent into madness</w:t>
      </w:r>
      <w:r>
        <w:rPr>
          <w:spacing w:val="-2"/>
        </w:rPr>
        <w:t> </w:t>
      </w:r>
      <w:r>
        <w:rPr/>
        <w:t>may</w:t>
      </w:r>
      <w:r>
        <w:rPr>
          <w:spacing w:val="-4"/>
        </w:rPr>
        <w:t> </w:t>
      </w:r>
      <w:r>
        <w:rPr/>
        <w:t>also inform this</w:t>
      </w:r>
      <w:r>
        <w:rPr>
          <w:spacing w:val="-2"/>
        </w:rPr>
        <w:t> </w:t>
      </w:r>
      <w:r>
        <w:rPr/>
        <w:t>sense of</w:t>
      </w:r>
      <w:r>
        <w:rPr>
          <w:spacing w:val="-2"/>
        </w:rPr>
        <w:t> </w:t>
      </w:r>
      <w:r>
        <w:rPr/>
        <w:t>the</w:t>
      </w:r>
      <w:r>
        <w:rPr>
          <w:spacing w:val="-2"/>
        </w:rPr>
        <w:t> </w:t>
      </w:r>
      <w:r>
        <w:rPr/>
        <w:t>mechanisms</w:t>
      </w:r>
      <w:r>
        <w:rPr>
          <w:spacing w:val="-2"/>
        </w:rPr>
        <w:t> </w:t>
      </w:r>
      <w:r>
        <w:rPr/>
        <w:t>of containment</w:t>
      </w:r>
      <w:r>
        <w:rPr>
          <w:spacing w:val="-2"/>
        </w:rPr>
        <w:t> </w:t>
      </w:r>
      <w:r>
        <w:rPr/>
        <w:t>and manipulation at</w:t>
      </w:r>
      <w:r>
        <w:rPr>
          <w:spacing w:val="-2"/>
        </w:rPr>
        <w:t> </w:t>
      </w:r>
      <w:r>
        <w:rPr/>
        <w:t>work. Ophelia herself had already been a more or less “burdened” emotional mess and behaving erratically in response before Hamlet showed overt cruelty towards her. But Ophelia’s madness may then also be kicked loose from a specific work of madness by some concrete pressure on her, essentially by the cumulative subjugations she had withstood at</w:t>
      </w:r>
      <w:r>
        <w:rPr>
          <w:spacing w:val="80"/>
        </w:rPr>
        <w:t> </w:t>
      </w:r>
      <w:r>
        <w:rPr/>
        <w:t>the</w:t>
      </w:r>
      <w:r>
        <w:rPr>
          <w:spacing w:val="-2"/>
        </w:rPr>
        <w:t> </w:t>
      </w:r>
      <w:r>
        <w:rPr/>
        <w:t>hands</w:t>
      </w:r>
      <w:r>
        <w:rPr>
          <w:spacing w:val="-4"/>
        </w:rPr>
        <w:t> </w:t>
      </w:r>
      <w:r>
        <w:rPr/>
        <w:t>of</w:t>
      </w:r>
      <w:r>
        <w:rPr>
          <w:spacing w:val="-2"/>
        </w:rPr>
        <w:t> </w:t>
      </w:r>
      <w:r>
        <w:rPr/>
        <w:t>their</w:t>
      </w:r>
      <w:r>
        <w:rPr>
          <w:spacing w:val="-2"/>
        </w:rPr>
        <w:t> </w:t>
      </w:r>
      <w:r>
        <w:rPr/>
        <w:t>stalkerish</w:t>
      </w:r>
      <w:r>
        <w:rPr>
          <w:spacing w:val="-4"/>
        </w:rPr>
        <w:t> </w:t>
      </w:r>
      <w:r>
        <w:rPr/>
        <w:t>gaze.</w:t>
      </w:r>
      <w:r>
        <w:rPr>
          <w:spacing w:val="-2"/>
        </w:rPr>
        <w:t> </w:t>
      </w:r>
      <w:r>
        <w:rPr/>
        <w:t>In</w:t>
      </w:r>
      <w:r>
        <w:rPr>
          <w:spacing w:val="-2"/>
        </w:rPr>
        <w:t> </w:t>
      </w:r>
      <w:r>
        <w:rPr/>
        <w:t>such</w:t>
      </w:r>
      <w:r>
        <w:rPr>
          <w:spacing w:val="-4"/>
        </w:rPr>
        <w:t> </w:t>
      </w:r>
      <w:r>
        <w:rPr/>
        <w:t>a</w:t>
      </w:r>
      <w:r>
        <w:rPr>
          <w:spacing w:val="-3"/>
        </w:rPr>
        <w:t> </w:t>
      </w:r>
      <w:r>
        <w:rPr/>
        <w:t>pull</w:t>
      </w:r>
      <w:r>
        <w:rPr>
          <w:spacing w:val="-2"/>
        </w:rPr>
        <w:t> </w:t>
      </w:r>
      <w:r>
        <w:rPr/>
        <w:t>of</w:t>
      </w:r>
      <w:r>
        <w:rPr>
          <w:spacing w:val="-2"/>
        </w:rPr>
        <w:t> </w:t>
      </w:r>
      <w:r>
        <w:rPr/>
        <w:t>conflicting</w:t>
      </w:r>
      <w:r>
        <w:rPr>
          <w:spacing w:val="-4"/>
        </w:rPr>
        <w:t> </w:t>
      </w:r>
      <w:r>
        <w:rPr/>
        <w:t>demands, Ophelia’s</w:t>
      </w:r>
      <w:r>
        <w:rPr>
          <w:spacing w:val="40"/>
        </w:rPr>
        <w:t> </w:t>
      </w:r>
      <w:r>
        <w:rPr/>
        <w:t>madness</w:t>
      </w:r>
      <w:r>
        <w:rPr>
          <w:spacing w:val="40"/>
        </w:rPr>
        <w:t> </w:t>
      </w:r>
      <w:r>
        <w:rPr/>
        <w:t>then</w:t>
      </w:r>
      <w:r>
        <w:rPr>
          <w:spacing w:val="40"/>
        </w:rPr>
        <w:t> </w:t>
      </w:r>
      <w:r>
        <w:rPr/>
        <w:t>becomes</w:t>
      </w:r>
      <w:r>
        <w:rPr>
          <w:spacing w:val="40"/>
        </w:rPr>
        <w:t> </w:t>
      </w:r>
      <w:r>
        <w:rPr/>
        <w:t>madness</w:t>
      </w:r>
      <w:r>
        <w:rPr>
          <w:spacing w:val="40"/>
        </w:rPr>
        <w:t> </w:t>
      </w:r>
      <w:r>
        <w:rPr/>
        <w:t>induced</w:t>
      </w:r>
      <w:r>
        <w:rPr>
          <w:spacing w:val="40"/>
        </w:rPr>
        <w:t> </w:t>
      </w:r>
      <w:r>
        <w:rPr/>
        <w:t>by</w:t>
      </w:r>
      <w:r>
        <w:rPr>
          <w:spacing w:val="40"/>
        </w:rPr>
        <w:t> </w:t>
      </w:r>
      <w:r>
        <w:rPr/>
        <w:t>the</w:t>
      </w:r>
      <w:r>
        <w:rPr>
          <w:spacing w:val="40"/>
        </w:rPr>
        <w:t> </w:t>
      </w:r>
      <w:r>
        <w:rPr/>
        <w:t>male.</w:t>
      </w:r>
    </w:p>
    <w:p>
      <w:pPr>
        <w:pStyle w:val="BodyText"/>
        <w:spacing w:line="261" w:lineRule="auto" w:before="76"/>
        <w:ind w:right="1438" w:firstLine="432"/>
        <w:jc w:val="both"/>
      </w:pPr>
      <w:r>
        <w:rPr/>
        <w:t>On top of all these, Ophelia’s madness projects Hamlet’s flawed morality.</w:t>
      </w:r>
      <w:r>
        <w:rPr>
          <w:spacing w:val="-8"/>
        </w:rPr>
        <w:t> </w:t>
      </w:r>
      <w:r>
        <w:rPr/>
        <w:t>His</w:t>
      </w:r>
      <w:r>
        <w:rPr>
          <w:spacing w:val="-8"/>
        </w:rPr>
        <w:t> </w:t>
      </w:r>
      <w:r>
        <w:rPr/>
        <w:t>incapacity</w:t>
      </w:r>
      <w:r>
        <w:rPr>
          <w:spacing w:val="-8"/>
        </w:rPr>
        <w:t> </w:t>
      </w:r>
      <w:r>
        <w:rPr/>
        <w:t>to</w:t>
      </w:r>
      <w:r>
        <w:rPr>
          <w:spacing w:val="-6"/>
        </w:rPr>
        <w:t> </w:t>
      </w:r>
      <w:r>
        <w:rPr/>
        <w:t>defend</w:t>
      </w:r>
      <w:r>
        <w:rPr>
          <w:spacing w:val="-8"/>
        </w:rPr>
        <w:t> </w:t>
      </w:r>
      <w:r>
        <w:rPr/>
        <w:t>or</w:t>
      </w:r>
      <w:r>
        <w:rPr>
          <w:spacing w:val="-6"/>
        </w:rPr>
        <w:t> </w:t>
      </w:r>
      <w:r>
        <w:rPr/>
        <w:t>provide</w:t>
      </w:r>
      <w:r>
        <w:rPr>
          <w:spacing w:val="-7"/>
        </w:rPr>
        <w:t> </w:t>
      </w:r>
      <w:r>
        <w:rPr/>
        <w:t>sympathy</w:t>
      </w:r>
      <w:r>
        <w:rPr>
          <w:spacing w:val="-10"/>
        </w:rPr>
        <w:t> </w:t>
      </w:r>
      <w:r>
        <w:rPr/>
        <w:t>for</w:t>
      </w:r>
      <w:r>
        <w:rPr>
          <w:spacing w:val="-5"/>
        </w:rPr>
        <w:t> </w:t>
      </w:r>
      <w:r>
        <w:rPr/>
        <w:t>her</w:t>
      </w:r>
      <w:r>
        <w:rPr>
          <w:spacing w:val="-6"/>
        </w:rPr>
        <w:t> </w:t>
      </w:r>
      <w:r>
        <w:rPr/>
        <w:t>is</w:t>
      </w:r>
      <w:r>
        <w:rPr>
          <w:spacing w:val="-8"/>
        </w:rPr>
        <w:t> </w:t>
      </w:r>
      <w:r>
        <w:rPr/>
        <w:t>further aggravated by</w:t>
      </w:r>
      <w:r>
        <w:rPr>
          <w:spacing w:val="-2"/>
        </w:rPr>
        <w:t> </w:t>
      </w:r>
      <w:r>
        <w:rPr/>
        <w:t>harsh words</w:t>
      </w:r>
      <w:r>
        <w:rPr>
          <w:spacing w:val="-2"/>
        </w:rPr>
        <w:t> </w:t>
      </w:r>
      <w:r>
        <w:rPr/>
        <w:t>and deeds</w:t>
      </w:r>
      <w:r>
        <w:rPr>
          <w:spacing w:val="-2"/>
        </w:rPr>
        <w:t> </w:t>
      </w:r>
      <w:r>
        <w:rPr/>
        <w:t>that grant the cause for Ophelia’s eventual psychological breakdown [15]. Her disjointed language and symbolic</w:t>
      </w:r>
      <w:r>
        <w:rPr>
          <w:spacing w:val="-13"/>
        </w:rPr>
        <w:t> </w:t>
      </w:r>
      <w:r>
        <w:rPr/>
        <w:t>gestures</w:t>
      </w:r>
      <w:r>
        <w:rPr>
          <w:spacing w:val="-12"/>
        </w:rPr>
        <w:t> </w:t>
      </w:r>
      <w:r>
        <w:rPr/>
        <w:t>during</w:t>
      </w:r>
      <w:r>
        <w:rPr>
          <w:spacing w:val="-13"/>
        </w:rPr>
        <w:t> </w:t>
      </w:r>
      <w:r>
        <w:rPr/>
        <w:t>her</w:t>
      </w:r>
      <w:r>
        <w:rPr>
          <w:spacing w:val="-12"/>
        </w:rPr>
        <w:t> </w:t>
      </w:r>
      <w:r>
        <w:rPr/>
        <w:t>madness</w:t>
      </w:r>
      <w:r>
        <w:rPr>
          <w:spacing w:val="-13"/>
        </w:rPr>
        <w:t> </w:t>
      </w:r>
      <w:r>
        <w:rPr/>
        <w:t>are</w:t>
      </w:r>
      <w:r>
        <w:rPr>
          <w:spacing w:val="-12"/>
        </w:rPr>
        <w:t> </w:t>
      </w:r>
      <w:r>
        <w:rPr/>
        <w:t>all</w:t>
      </w:r>
      <w:r>
        <w:rPr>
          <w:spacing w:val="-13"/>
        </w:rPr>
        <w:t> </w:t>
      </w:r>
      <w:r>
        <w:rPr/>
        <w:t>illustrations</w:t>
      </w:r>
      <w:r>
        <w:rPr>
          <w:spacing w:val="-12"/>
        </w:rPr>
        <w:t> </w:t>
      </w:r>
      <w:r>
        <w:rPr/>
        <w:t>of</w:t>
      </w:r>
      <w:r>
        <w:rPr>
          <w:spacing w:val="-13"/>
        </w:rPr>
        <w:t> </w:t>
      </w:r>
      <w:r>
        <w:rPr/>
        <w:t>her</w:t>
      </w:r>
      <w:r>
        <w:rPr>
          <w:spacing w:val="-12"/>
        </w:rPr>
        <w:t> </w:t>
      </w:r>
      <w:r>
        <w:rPr/>
        <w:t>groaning soul and caste upon the spectacle of blame on Hamlet. Hence, Ophelia is</w:t>
      </w:r>
      <w:r>
        <w:rPr>
          <w:spacing w:val="-5"/>
        </w:rPr>
        <w:t> </w:t>
      </w:r>
      <w:r>
        <w:rPr/>
        <w:t>not</w:t>
      </w:r>
      <w:r>
        <w:rPr>
          <w:spacing w:val="-3"/>
        </w:rPr>
        <w:t> </w:t>
      </w:r>
      <w:r>
        <w:rPr/>
        <w:t>a</w:t>
      </w:r>
      <w:r>
        <w:rPr>
          <w:spacing w:val="-1"/>
        </w:rPr>
        <w:t> </w:t>
      </w:r>
      <w:r>
        <w:rPr/>
        <w:t>mere</w:t>
      </w:r>
      <w:r>
        <w:rPr>
          <w:spacing w:val="-5"/>
        </w:rPr>
        <w:t> </w:t>
      </w:r>
      <w:r>
        <w:rPr/>
        <w:t>passive</w:t>
      </w:r>
      <w:r>
        <w:rPr>
          <w:spacing w:val="-2"/>
        </w:rPr>
        <w:t> </w:t>
      </w:r>
      <w:r>
        <w:rPr/>
        <w:t>victim</w:t>
      </w:r>
      <w:r>
        <w:rPr>
          <w:spacing w:val="-6"/>
        </w:rPr>
        <w:t> </w:t>
      </w:r>
      <w:r>
        <w:rPr/>
        <w:t>but</w:t>
      </w:r>
      <w:r>
        <w:rPr>
          <w:spacing w:val="-1"/>
        </w:rPr>
        <w:t> </w:t>
      </w:r>
      <w:r>
        <w:rPr/>
        <w:t>a</w:t>
      </w:r>
      <w:r>
        <w:rPr>
          <w:spacing w:val="-4"/>
        </w:rPr>
        <w:t> </w:t>
      </w:r>
      <w:r>
        <w:rPr/>
        <w:t>tragic</w:t>
      </w:r>
      <w:r>
        <w:rPr>
          <w:spacing w:val="-4"/>
        </w:rPr>
        <w:t> </w:t>
      </w:r>
      <w:r>
        <w:rPr/>
        <w:t>figure</w:t>
      </w:r>
      <w:r>
        <w:rPr>
          <w:spacing w:val="-4"/>
        </w:rPr>
        <w:t> </w:t>
      </w:r>
      <w:r>
        <w:rPr/>
        <w:t>whose</w:t>
      </w:r>
      <w:r>
        <w:rPr>
          <w:spacing w:val="-2"/>
        </w:rPr>
        <w:t> </w:t>
      </w:r>
      <w:r>
        <w:rPr/>
        <w:t>suffering</w:t>
      </w:r>
      <w:r>
        <w:rPr>
          <w:spacing w:val="-5"/>
        </w:rPr>
        <w:t> </w:t>
      </w:r>
      <w:r>
        <w:rPr/>
        <w:t>calls</w:t>
      </w:r>
      <w:r>
        <w:rPr>
          <w:spacing w:val="-5"/>
        </w:rPr>
        <w:t> </w:t>
      </w:r>
      <w:r>
        <w:rPr/>
        <w:t>out </w:t>
      </w:r>
      <w:r>
        <w:rPr>
          <w:spacing w:val="-4"/>
        </w:rPr>
        <w:t>the ethical</w:t>
      </w:r>
      <w:r>
        <w:rPr>
          <w:spacing w:val="-7"/>
        </w:rPr>
        <w:t> </w:t>
      </w:r>
      <w:r>
        <w:rPr>
          <w:spacing w:val="-4"/>
        </w:rPr>
        <w:t>and emotional implications</w:t>
      </w:r>
      <w:r>
        <w:rPr>
          <w:spacing w:val="-5"/>
        </w:rPr>
        <w:t> </w:t>
      </w:r>
      <w:r>
        <w:rPr>
          <w:spacing w:val="-4"/>
        </w:rPr>
        <w:t>of</w:t>
      </w:r>
      <w:r>
        <w:rPr>
          <w:spacing w:val="-5"/>
        </w:rPr>
        <w:t> </w:t>
      </w:r>
      <w:r>
        <w:rPr>
          <w:spacing w:val="-4"/>
        </w:rPr>
        <w:t>Hamlet’s</w:t>
      </w:r>
      <w:r>
        <w:rPr>
          <w:spacing w:val="-8"/>
        </w:rPr>
        <w:t> </w:t>
      </w:r>
      <w:r>
        <w:rPr>
          <w:spacing w:val="-4"/>
        </w:rPr>
        <w:t>actions.</w:t>
      </w:r>
      <w:r>
        <w:rPr>
          <w:spacing w:val="-5"/>
        </w:rPr>
        <w:t> </w:t>
      </w:r>
      <w:r>
        <w:rPr>
          <w:spacing w:val="-4"/>
        </w:rPr>
        <w:t>Her breakdown </w:t>
      </w:r>
      <w:r>
        <w:rPr/>
        <w:t>serves to deepen the tragedy of the play by showing how personal cruelty, combined with the constraints of a society, lead to the disintegration of mind</w:t>
      </w:r>
      <w:r>
        <w:rPr>
          <w:spacing w:val="40"/>
        </w:rPr>
        <w:t> </w:t>
      </w:r>
      <w:r>
        <w:rPr/>
        <w:t>and spirit.</w:t>
      </w:r>
    </w:p>
    <w:p>
      <w:pPr>
        <w:pStyle w:val="Heading5"/>
        <w:numPr>
          <w:ilvl w:val="1"/>
          <w:numId w:val="43"/>
        </w:numPr>
        <w:tabs>
          <w:tab w:pos="1760" w:val="left" w:leader="none"/>
        </w:tabs>
        <w:spacing w:line="240" w:lineRule="auto" w:before="102" w:after="0"/>
        <w:ind w:left="1760" w:right="0" w:hanging="320"/>
        <w:jc w:val="left"/>
      </w:pPr>
      <w:r>
        <w:rPr>
          <w:spacing w:val="-2"/>
          <w:w w:val="105"/>
        </w:rPr>
        <w:t>Gertrude</w:t>
      </w:r>
    </w:p>
    <w:p>
      <w:pPr>
        <w:pStyle w:val="BodyText"/>
        <w:spacing w:line="261" w:lineRule="auto" w:before="81"/>
        <w:ind w:right="1434" w:firstLine="432"/>
        <w:jc w:val="both"/>
      </w:pPr>
      <w:r>
        <w:rPr/>
        <w:t>Gertrude, the Queen of Denmark, portrays a much more complex and nebulous presence of the female in Hamlet, overloaded by interpretations of some sort of immoral weakness and occasional pragmatic</w:t>
      </w:r>
      <w:r>
        <w:rPr>
          <w:spacing w:val="-13"/>
        </w:rPr>
        <w:t> </w:t>
      </w:r>
      <w:r>
        <w:rPr/>
        <w:t>survival.</w:t>
      </w:r>
      <w:r>
        <w:rPr>
          <w:spacing w:val="-12"/>
        </w:rPr>
        <w:t> </w:t>
      </w:r>
      <w:r>
        <w:rPr/>
        <w:t>Unlike</w:t>
      </w:r>
      <w:r>
        <w:rPr>
          <w:spacing w:val="-13"/>
        </w:rPr>
        <w:t> </w:t>
      </w:r>
      <w:r>
        <w:rPr/>
        <w:t>Ophelia,</w:t>
      </w:r>
      <w:r>
        <w:rPr>
          <w:spacing w:val="-12"/>
        </w:rPr>
        <w:t> </w:t>
      </w:r>
      <w:r>
        <w:rPr/>
        <w:t>whose</w:t>
      </w:r>
      <w:r>
        <w:rPr>
          <w:spacing w:val="-13"/>
        </w:rPr>
        <w:t> </w:t>
      </w:r>
      <w:r>
        <w:rPr/>
        <w:t>storyline</w:t>
      </w:r>
      <w:r>
        <w:rPr>
          <w:spacing w:val="-12"/>
        </w:rPr>
        <w:t> </w:t>
      </w:r>
      <w:r>
        <w:rPr/>
        <w:t>unfolds</w:t>
      </w:r>
      <w:r>
        <w:rPr>
          <w:spacing w:val="-13"/>
        </w:rPr>
        <w:t> </w:t>
      </w:r>
      <w:r>
        <w:rPr/>
        <w:t>largely</w:t>
      </w:r>
      <w:r>
        <w:rPr>
          <w:spacing w:val="-12"/>
        </w:rPr>
        <w:t> </w:t>
      </w:r>
      <w:r>
        <w:rPr/>
        <w:t>with </w:t>
      </w:r>
      <w:r>
        <w:rPr>
          <w:spacing w:val="-2"/>
        </w:rPr>
        <w:t>passivity</w:t>
      </w:r>
      <w:r>
        <w:rPr>
          <w:spacing w:val="-11"/>
        </w:rPr>
        <w:t> </w:t>
      </w:r>
      <w:r>
        <w:rPr>
          <w:spacing w:val="-2"/>
        </w:rPr>
        <w:t>and</w:t>
      </w:r>
      <w:r>
        <w:rPr>
          <w:spacing w:val="-10"/>
        </w:rPr>
        <w:t> </w:t>
      </w:r>
      <w:r>
        <w:rPr>
          <w:spacing w:val="-2"/>
        </w:rPr>
        <w:t>victimhood,</w:t>
      </w:r>
      <w:r>
        <w:rPr>
          <w:spacing w:val="-9"/>
        </w:rPr>
        <w:t> </w:t>
      </w:r>
      <w:r>
        <w:rPr>
          <w:spacing w:val="-2"/>
        </w:rPr>
        <w:t>Gertrude</w:t>
      </w:r>
      <w:r>
        <w:rPr>
          <w:spacing w:val="-6"/>
        </w:rPr>
        <w:t> </w:t>
      </w:r>
      <w:r>
        <w:rPr>
          <w:spacing w:val="-2"/>
        </w:rPr>
        <w:t>demonstrates</w:t>
      </w:r>
      <w:r>
        <w:rPr>
          <w:spacing w:val="-8"/>
        </w:rPr>
        <w:t> </w:t>
      </w:r>
      <w:r>
        <w:rPr>
          <w:spacing w:val="-2"/>
        </w:rPr>
        <w:t>a</w:t>
      </w:r>
      <w:r>
        <w:rPr>
          <w:spacing w:val="-8"/>
        </w:rPr>
        <w:t> </w:t>
      </w:r>
      <w:r>
        <w:rPr>
          <w:spacing w:val="-2"/>
        </w:rPr>
        <w:t>certain</w:t>
      </w:r>
      <w:r>
        <w:rPr>
          <w:spacing w:val="-11"/>
        </w:rPr>
        <w:t> </w:t>
      </w:r>
      <w:r>
        <w:rPr>
          <w:spacing w:val="-2"/>
        </w:rPr>
        <w:t>form</w:t>
      </w:r>
      <w:r>
        <w:rPr>
          <w:spacing w:val="-10"/>
        </w:rPr>
        <w:t> </w:t>
      </w:r>
      <w:r>
        <w:rPr>
          <w:spacing w:val="-2"/>
        </w:rPr>
        <w:t>of</w:t>
      </w:r>
      <w:r>
        <w:rPr>
          <w:spacing w:val="-8"/>
        </w:rPr>
        <w:t> </w:t>
      </w:r>
      <w:r>
        <w:rPr>
          <w:spacing w:val="-2"/>
        </w:rPr>
        <w:t>agency </w:t>
      </w:r>
      <w:r>
        <w:rPr/>
        <w:t>in her own right through her decisions, most palpably in the fact of her hasty</w:t>
      </w:r>
      <w:r>
        <w:rPr>
          <w:spacing w:val="-4"/>
        </w:rPr>
        <w:t> </w:t>
      </w:r>
      <w:r>
        <w:rPr/>
        <w:t>marriage to Claudius</w:t>
      </w:r>
      <w:r>
        <w:rPr>
          <w:spacing w:val="-1"/>
        </w:rPr>
        <w:t> </w:t>
      </w:r>
      <w:r>
        <w:rPr/>
        <w:t>following</w:t>
      </w:r>
      <w:r>
        <w:rPr>
          <w:spacing w:val="-2"/>
        </w:rPr>
        <w:t> </w:t>
      </w:r>
      <w:r>
        <w:rPr/>
        <w:t>King</w:t>
      </w:r>
      <w:r>
        <w:rPr>
          <w:spacing w:val="-1"/>
        </w:rPr>
        <w:t> </w:t>
      </w:r>
      <w:r>
        <w:rPr/>
        <w:t>Hamlet’s</w:t>
      </w:r>
      <w:r>
        <w:rPr>
          <w:spacing w:val="-2"/>
        </w:rPr>
        <w:t> </w:t>
      </w:r>
      <w:r>
        <w:rPr/>
        <w:t>death</w:t>
      </w:r>
      <w:r>
        <w:rPr>
          <w:spacing w:val="-1"/>
        </w:rPr>
        <w:t> </w:t>
      </w:r>
      <w:r>
        <w:rPr/>
        <w:t>[16].</w:t>
      </w:r>
      <w:r>
        <w:rPr>
          <w:spacing w:val="-2"/>
        </w:rPr>
        <w:t> </w:t>
      </w:r>
      <w:r>
        <w:rPr/>
        <w:t>Within a</w:t>
      </w:r>
      <w:r>
        <w:rPr>
          <w:spacing w:val="-3"/>
        </w:rPr>
        <w:t> </w:t>
      </w:r>
      <w:r>
        <w:rPr/>
        <w:t>context of</w:t>
      </w:r>
      <w:r>
        <w:rPr>
          <w:spacing w:val="-4"/>
        </w:rPr>
        <w:t> </w:t>
      </w:r>
      <w:r>
        <w:rPr/>
        <w:t>political</w:t>
      </w:r>
      <w:r>
        <w:rPr>
          <w:spacing w:val="-3"/>
        </w:rPr>
        <w:t> </w:t>
      </w:r>
      <w:r>
        <w:rPr/>
        <w:t>stability</w:t>
      </w:r>
      <w:r>
        <w:rPr>
          <w:spacing w:val="-6"/>
        </w:rPr>
        <w:t> </w:t>
      </w:r>
      <w:r>
        <w:rPr/>
        <w:t>and protection</w:t>
      </w:r>
      <w:r>
        <w:rPr>
          <w:spacing w:val="-4"/>
        </w:rPr>
        <w:t> </w:t>
      </w:r>
      <w:r>
        <w:rPr/>
        <w:t>in</w:t>
      </w:r>
      <w:r>
        <w:rPr>
          <w:spacing w:val="-4"/>
        </w:rPr>
        <w:t> </w:t>
      </w:r>
      <w:r>
        <w:rPr/>
        <w:t>a</w:t>
      </w:r>
      <w:r>
        <w:rPr>
          <w:spacing w:val="-1"/>
        </w:rPr>
        <w:t> </w:t>
      </w:r>
      <w:r>
        <w:rPr/>
        <w:t>male-dominated</w:t>
      </w:r>
      <w:r>
        <w:rPr>
          <w:spacing w:val="-2"/>
        </w:rPr>
        <w:t> </w:t>
      </w:r>
      <w:r>
        <w:rPr/>
        <w:t>court, that action, long since condemned as morally repugnant, may also be admitted as legitimate pursuit of comfort. Her character cannot be pigeonholed into one or the other of simple categories. The trouble is that many suspect her role as complicit in the corruption, whereas</w:t>
      </w:r>
      <w:r>
        <w:rPr>
          <w:spacing w:val="40"/>
        </w:rPr>
        <w:t> </w:t>
      </w:r>
      <w:r>
        <w:rPr/>
        <w:t>others</w:t>
      </w:r>
      <w:r>
        <w:rPr>
          <w:spacing w:val="-1"/>
        </w:rPr>
        <w:t> </w:t>
      </w:r>
      <w:r>
        <w:rPr/>
        <w:t>believe</w:t>
      </w:r>
      <w:r>
        <w:rPr>
          <w:spacing w:val="1"/>
        </w:rPr>
        <w:t> </w:t>
      </w:r>
      <w:r>
        <w:rPr/>
        <w:t>she</w:t>
      </w:r>
      <w:r>
        <w:rPr>
          <w:spacing w:val="1"/>
        </w:rPr>
        <w:t> </w:t>
      </w:r>
      <w:r>
        <w:rPr/>
        <w:t>is</w:t>
      </w:r>
      <w:r>
        <w:rPr>
          <w:spacing w:val="-2"/>
        </w:rPr>
        <w:t> </w:t>
      </w:r>
      <w:r>
        <w:rPr/>
        <w:t>survivine within</w:t>
      </w:r>
      <w:r>
        <w:rPr>
          <w:spacing w:val="2"/>
        </w:rPr>
        <w:t> </w:t>
      </w:r>
      <w:r>
        <w:rPr/>
        <w:t>the</w:t>
      </w:r>
      <w:r>
        <w:rPr>
          <w:spacing w:val="-1"/>
        </w:rPr>
        <w:t> </w:t>
      </w:r>
      <w:r>
        <w:rPr/>
        <w:t>framework</w:t>
      </w:r>
      <w:r>
        <w:rPr>
          <w:spacing w:val="-2"/>
        </w:rPr>
        <w:t> </w:t>
      </w:r>
      <w:r>
        <w:rPr/>
        <w:t>of</w:t>
      </w:r>
      <w:r>
        <w:rPr>
          <w:spacing w:val="-2"/>
        </w:rPr>
        <w:t> </w:t>
      </w:r>
      <w:r>
        <w:rPr/>
        <w:t>limited </w:t>
      </w:r>
      <w:r>
        <w:rPr>
          <w:spacing w:val="-2"/>
        </w:rPr>
        <w:t>choices.</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5504">
                <wp:simplePos x="0" y="0"/>
                <wp:positionH relativeFrom="page">
                  <wp:posOffset>2057400</wp:posOffset>
                </wp:positionH>
                <wp:positionV relativeFrom="paragraph">
                  <wp:posOffset>162604</wp:posOffset>
                </wp:positionV>
                <wp:extent cx="3657600" cy="12700"/>
                <wp:effectExtent l="0" t="0" r="0" b="0"/>
                <wp:wrapTopAndBottom/>
                <wp:docPr id="506" name="Graphic 506"/>
                <wp:cNvGraphicFramePr>
                  <a:graphicFrameLocks/>
                </wp:cNvGraphicFramePr>
                <a:graphic>
                  <a:graphicData uri="http://schemas.microsoft.com/office/word/2010/wordprocessingShape">
                    <wps:wsp>
                      <wps:cNvPr id="506" name="Graphic 50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50976;mso-wrap-distance-left:0;mso-wrap-distance-right:0" id="docshape501" filled="true" fillcolor="#000000" stroked="false">
                <v:fill type="solid"/>
                <w10:wrap type="topAndBottom"/>
              </v:rect>
            </w:pict>
          </mc:Fallback>
        </mc:AlternateContent>
      </w:r>
      <w:r>
        <w:rPr>
          <w:rFonts w:ascii="Verdana"/>
          <w:spacing w:val="-5"/>
          <w:sz w:val="18"/>
        </w:rPr>
        <w:t>232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8" w:lineRule="auto" w:before="204"/>
        <w:ind w:right="1437" w:firstLine="432"/>
        <w:jc w:val="both"/>
      </w:pPr>
      <w:r>
        <w:rPr/>
        <w:t>The</w:t>
      </w:r>
      <w:r>
        <w:rPr>
          <w:spacing w:val="-10"/>
        </w:rPr>
        <w:t> </w:t>
      </w:r>
      <w:r>
        <w:rPr/>
        <w:t>general</w:t>
      </w:r>
      <w:r>
        <w:rPr>
          <w:spacing w:val="-12"/>
        </w:rPr>
        <w:t> </w:t>
      </w:r>
      <w:r>
        <w:rPr/>
        <w:t>failure</w:t>
      </w:r>
      <w:r>
        <w:rPr>
          <w:spacing w:val="-10"/>
        </w:rPr>
        <w:t> </w:t>
      </w:r>
      <w:r>
        <w:rPr/>
        <w:t>of</w:t>
      </w:r>
      <w:r>
        <w:rPr>
          <w:spacing w:val="-13"/>
        </w:rPr>
        <w:t> </w:t>
      </w:r>
      <w:r>
        <w:rPr/>
        <w:t>Hamlet</w:t>
      </w:r>
      <w:r>
        <w:rPr>
          <w:spacing w:val="-12"/>
        </w:rPr>
        <w:t> </w:t>
      </w:r>
      <w:r>
        <w:rPr/>
        <w:t>could</w:t>
      </w:r>
      <w:r>
        <w:rPr>
          <w:spacing w:val="-9"/>
        </w:rPr>
        <w:t> </w:t>
      </w:r>
      <w:r>
        <w:rPr/>
        <w:t>not</w:t>
      </w:r>
      <w:r>
        <w:rPr>
          <w:spacing w:val="-11"/>
        </w:rPr>
        <w:t> </w:t>
      </w:r>
      <w:r>
        <w:rPr/>
        <w:t>have</w:t>
      </w:r>
      <w:r>
        <w:rPr>
          <w:spacing w:val="-10"/>
        </w:rPr>
        <w:t> </w:t>
      </w:r>
      <w:r>
        <w:rPr/>
        <w:t>been</w:t>
      </w:r>
      <w:r>
        <w:rPr>
          <w:spacing w:val="-13"/>
        </w:rPr>
        <w:t> </w:t>
      </w:r>
      <w:r>
        <w:rPr/>
        <w:t>possible</w:t>
      </w:r>
      <w:r>
        <w:rPr>
          <w:spacing w:val="-10"/>
        </w:rPr>
        <w:t> </w:t>
      </w:r>
      <w:r>
        <w:rPr/>
        <w:t>without the moral</w:t>
      </w:r>
      <w:r>
        <w:rPr>
          <w:spacing w:val="-2"/>
        </w:rPr>
        <w:t> </w:t>
      </w:r>
      <w:r>
        <w:rPr/>
        <w:t>enigma</w:t>
      </w:r>
      <w:r>
        <w:rPr>
          <w:spacing w:val="-1"/>
        </w:rPr>
        <w:t> </w:t>
      </w:r>
      <w:r>
        <w:rPr/>
        <w:t>associated</w:t>
      </w:r>
      <w:r>
        <w:rPr>
          <w:spacing w:val="-2"/>
        </w:rPr>
        <w:t> </w:t>
      </w:r>
      <w:r>
        <w:rPr/>
        <w:t>with</w:t>
      </w:r>
      <w:r>
        <w:rPr>
          <w:spacing w:val="-1"/>
        </w:rPr>
        <w:t> </w:t>
      </w:r>
      <w:r>
        <w:rPr/>
        <w:t>his</w:t>
      </w:r>
      <w:r>
        <w:rPr>
          <w:spacing w:val="-1"/>
        </w:rPr>
        <w:t> </w:t>
      </w:r>
      <w:r>
        <w:rPr/>
        <w:t>mother.</w:t>
      </w:r>
      <w:r>
        <w:rPr>
          <w:spacing w:val="-1"/>
        </w:rPr>
        <w:t> </w:t>
      </w:r>
      <w:r>
        <w:rPr/>
        <w:t>Her marriage</w:t>
      </w:r>
      <w:r>
        <w:rPr>
          <w:spacing w:val="-1"/>
        </w:rPr>
        <w:t> </w:t>
      </w:r>
      <w:r>
        <w:rPr/>
        <w:t>forms</w:t>
      </w:r>
      <w:r>
        <w:rPr>
          <w:spacing w:val="-1"/>
        </w:rPr>
        <w:t> </w:t>
      </w:r>
      <w:r>
        <w:rPr/>
        <w:t>some </w:t>
      </w:r>
      <w:r>
        <w:rPr>
          <w:spacing w:val="-2"/>
        </w:rPr>
        <w:t>fundamental</w:t>
      </w:r>
      <w:r>
        <w:rPr>
          <w:spacing w:val="-6"/>
        </w:rPr>
        <w:t> </w:t>
      </w:r>
      <w:r>
        <w:rPr>
          <w:spacing w:val="-2"/>
        </w:rPr>
        <w:t>grounds</w:t>
      </w:r>
      <w:r>
        <w:rPr>
          <w:spacing w:val="-10"/>
        </w:rPr>
        <w:t> </w:t>
      </w:r>
      <w:r>
        <w:rPr>
          <w:spacing w:val="-2"/>
        </w:rPr>
        <w:t>of</w:t>
      </w:r>
      <w:r>
        <w:rPr>
          <w:spacing w:val="-10"/>
        </w:rPr>
        <w:t> </w:t>
      </w:r>
      <w:r>
        <w:rPr>
          <w:spacing w:val="-2"/>
        </w:rPr>
        <w:t>disappointment</w:t>
      </w:r>
      <w:r>
        <w:rPr>
          <w:spacing w:val="-5"/>
        </w:rPr>
        <w:t> </w:t>
      </w:r>
      <w:r>
        <w:rPr>
          <w:spacing w:val="-2"/>
        </w:rPr>
        <w:t>in</w:t>
      </w:r>
      <w:r>
        <w:rPr>
          <w:spacing w:val="-7"/>
        </w:rPr>
        <w:t> </w:t>
      </w:r>
      <w:r>
        <w:rPr>
          <w:spacing w:val="-2"/>
        </w:rPr>
        <w:t>him,</w:t>
      </w:r>
      <w:r>
        <w:rPr>
          <w:spacing w:val="-10"/>
        </w:rPr>
        <w:t> </w:t>
      </w:r>
      <w:r>
        <w:rPr>
          <w:spacing w:val="-2"/>
        </w:rPr>
        <w:t>fueling</w:t>
      </w:r>
      <w:r>
        <w:rPr>
          <w:spacing w:val="-7"/>
        </w:rPr>
        <w:t> </w:t>
      </w:r>
      <w:r>
        <w:rPr>
          <w:spacing w:val="-2"/>
        </w:rPr>
        <w:t>his</w:t>
      </w:r>
      <w:r>
        <w:rPr>
          <w:spacing w:val="-7"/>
        </w:rPr>
        <w:t> </w:t>
      </w:r>
      <w:r>
        <w:rPr>
          <w:spacing w:val="-2"/>
        </w:rPr>
        <w:t>disorientation, </w:t>
      </w:r>
      <w:r>
        <w:rPr/>
        <w:t>disgust, and bitterness against what he thinks represents moral decay and betrayal. Hamlet’s preoccupation with his mother’s sex life and moral condemnation</w:t>
      </w:r>
      <w:r>
        <w:rPr>
          <w:spacing w:val="-1"/>
        </w:rPr>
        <w:t> </w:t>
      </w:r>
      <w:r>
        <w:rPr/>
        <w:t>of her deeds underscores the ever more existential predicament in which he asks questions about the nature of reality, loyalty,</w:t>
      </w:r>
      <w:r>
        <w:rPr>
          <w:spacing w:val="-13"/>
        </w:rPr>
        <w:t> </w:t>
      </w:r>
      <w:r>
        <w:rPr/>
        <w:t>and</w:t>
      </w:r>
      <w:r>
        <w:rPr>
          <w:spacing w:val="-12"/>
        </w:rPr>
        <w:t> </w:t>
      </w:r>
      <w:r>
        <w:rPr/>
        <w:t>the</w:t>
      </w:r>
      <w:r>
        <w:rPr>
          <w:spacing w:val="-13"/>
        </w:rPr>
        <w:t> </w:t>
      </w:r>
      <w:r>
        <w:rPr/>
        <w:t>condition</w:t>
      </w:r>
      <w:r>
        <w:rPr>
          <w:spacing w:val="-12"/>
        </w:rPr>
        <w:t> </w:t>
      </w:r>
      <w:r>
        <w:rPr/>
        <w:t>of</w:t>
      </w:r>
      <w:r>
        <w:rPr>
          <w:spacing w:val="-13"/>
        </w:rPr>
        <w:t> </w:t>
      </w:r>
      <w:r>
        <w:rPr/>
        <w:t>mankind.</w:t>
      </w:r>
      <w:r>
        <w:rPr>
          <w:spacing w:val="-12"/>
        </w:rPr>
        <w:t> </w:t>
      </w:r>
      <w:r>
        <w:rPr/>
        <w:t>Accordingly,</w:t>
      </w:r>
      <w:r>
        <w:rPr>
          <w:spacing w:val="-13"/>
        </w:rPr>
        <w:t> </w:t>
      </w:r>
      <w:r>
        <w:rPr/>
        <w:t>the</w:t>
      </w:r>
      <w:r>
        <w:rPr>
          <w:spacing w:val="-12"/>
        </w:rPr>
        <w:t> </w:t>
      </w:r>
      <w:r>
        <w:rPr/>
        <w:t>backdrop</w:t>
      </w:r>
      <w:r>
        <w:rPr>
          <w:spacing w:val="-13"/>
        </w:rPr>
        <w:t> </w:t>
      </w:r>
      <w:r>
        <w:rPr/>
        <w:t>against which Gertrude’s actions take place actually heightens his sense of existential alienation and ethical disruption.</w:t>
      </w:r>
    </w:p>
    <w:p>
      <w:pPr>
        <w:pStyle w:val="BodyText"/>
        <w:spacing w:line="268" w:lineRule="auto" w:before="62"/>
        <w:ind w:right="1439" w:firstLine="432"/>
        <w:jc w:val="both"/>
      </w:pPr>
      <w:r>
        <w:rPr/>
        <w:t>Consequently, Gertrude’s purpose goes beyond merely setting off the chain</w:t>
      </w:r>
      <w:r>
        <w:rPr>
          <w:spacing w:val="-2"/>
        </w:rPr>
        <w:t> </w:t>
      </w:r>
      <w:r>
        <w:rPr/>
        <w:t>of</w:t>
      </w:r>
      <w:r>
        <w:rPr>
          <w:spacing w:val="-2"/>
        </w:rPr>
        <w:t> </w:t>
      </w:r>
      <w:r>
        <w:rPr/>
        <w:t>events which</w:t>
      </w:r>
      <w:r>
        <w:rPr>
          <w:spacing w:val="-2"/>
        </w:rPr>
        <w:t> </w:t>
      </w:r>
      <w:r>
        <w:rPr/>
        <w:t>leads to Hamlet’s</w:t>
      </w:r>
      <w:r>
        <w:rPr>
          <w:spacing w:val="-2"/>
        </w:rPr>
        <w:t> </w:t>
      </w:r>
      <w:r>
        <w:rPr/>
        <w:t>crisis. Her behavior around Hamlet</w:t>
      </w:r>
      <w:r>
        <w:rPr>
          <w:spacing w:val="-1"/>
        </w:rPr>
        <w:t> </w:t>
      </w:r>
      <w:r>
        <w:rPr/>
        <w:t>reveals</w:t>
      </w:r>
      <w:r>
        <w:rPr>
          <w:spacing w:val="-3"/>
        </w:rPr>
        <w:t> </w:t>
      </w:r>
      <w:r>
        <w:rPr/>
        <w:t>moments</w:t>
      </w:r>
      <w:r>
        <w:rPr>
          <w:spacing w:val="-1"/>
        </w:rPr>
        <w:t> </w:t>
      </w:r>
      <w:r>
        <w:rPr/>
        <w:t>of</w:t>
      </w:r>
      <w:r>
        <w:rPr>
          <w:spacing w:val="-5"/>
        </w:rPr>
        <w:t> </w:t>
      </w:r>
      <w:r>
        <w:rPr/>
        <w:t>concern-and other</w:t>
      </w:r>
      <w:r>
        <w:rPr>
          <w:spacing w:val="-3"/>
        </w:rPr>
        <w:t> </w:t>
      </w:r>
      <w:r>
        <w:rPr/>
        <w:t>behaviors</w:t>
      </w:r>
      <w:r>
        <w:rPr>
          <w:spacing w:val="-3"/>
        </w:rPr>
        <w:t> </w:t>
      </w:r>
      <w:r>
        <w:rPr/>
        <w:t>to</w:t>
      </w:r>
      <w:r>
        <w:rPr>
          <w:spacing w:val="-1"/>
        </w:rPr>
        <w:t> </w:t>
      </w:r>
      <w:r>
        <w:rPr/>
        <w:t>suggest</w:t>
      </w:r>
      <w:r>
        <w:rPr>
          <w:spacing w:val="-2"/>
        </w:rPr>
        <w:t> </w:t>
      </w:r>
      <w:r>
        <w:rPr/>
        <w:t>that the effects of her own actions would not be entirely lost on her. Her attempt to restore peace within court and ultimately her recognition of the depth of Hamlet’s distress illuminate her character as operating in this</w:t>
      </w:r>
      <w:r>
        <w:rPr>
          <w:spacing w:val="40"/>
        </w:rPr>
        <w:t> </w:t>
      </w:r>
      <w:r>
        <w:rPr/>
        <w:t>world</w:t>
      </w:r>
      <w:r>
        <w:rPr>
          <w:spacing w:val="40"/>
        </w:rPr>
        <w:t> </w:t>
      </w:r>
      <w:r>
        <w:rPr/>
        <w:t>between</w:t>
      </w:r>
      <w:r>
        <w:rPr>
          <w:spacing w:val="40"/>
        </w:rPr>
        <w:t> </w:t>
      </w:r>
      <w:r>
        <w:rPr/>
        <w:t>motherly duty and</w:t>
      </w:r>
      <w:r>
        <w:rPr>
          <w:spacing w:val="40"/>
        </w:rPr>
        <w:t> </w:t>
      </w:r>
      <w:r>
        <w:rPr/>
        <w:t>personal</w:t>
      </w:r>
      <w:r>
        <w:rPr>
          <w:spacing w:val="40"/>
        </w:rPr>
        <w:t> </w:t>
      </w:r>
      <w:r>
        <w:rPr/>
        <w:t>desire [17].</w:t>
      </w:r>
    </w:p>
    <w:p>
      <w:pPr>
        <w:pStyle w:val="BodyText"/>
        <w:spacing w:line="268" w:lineRule="auto" w:before="62"/>
        <w:ind w:right="1438" w:firstLine="432"/>
        <w:jc w:val="both"/>
      </w:pPr>
      <w:r>
        <w:rPr/>
        <w:t>In the end, Gertrude embodies the matrix between agency and constraint, and it comes down to how a very private choice by a woman-icon or woman-another has profound inward psychological implications. The role, with or similar to the orientation of the rest in Hamlet’s</w:t>
      </w:r>
      <w:r>
        <w:rPr>
          <w:spacing w:val="-8"/>
        </w:rPr>
        <w:t> </w:t>
      </w:r>
      <w:r>
        <w:rPr/>
        <w:t>lives,</w:t>
      </w:r>
      <w:r>
        <w:rPr>
          <w:spacing w:val="-5"/>
        </w:rPr>
        <w:t> </w:t>
      </w:r>
      <w:r>
        <w:rPr/>
        <w:t>implicitly</w:t>
      </w:r>
      <w:r>
        <w:rPr>
          <w:spacing w:val="-11"/>
        </w:rPr>
        <w:t> </w:t>
      </w:r>
      <w:r>
        <w:rPr/>
        <w:t>modifies</w:t>
      </w:r>
      <w:r>
        <w:rPr>
          <w:spacing w:val="-8"/>
        </w:rPr>
        <w:t> </w:t>
      </w:r>
      <w:r>
        <w:rPr/>
        <w:t>the</w:t>
      </w:r>
      <w:r>
        <w:rPr>
          <w:spacing w:val="-10"/>
        </w:rPr>
        <w:t> </w:t>
      </w:r>
      <w:r>
        <w:rPr/>
        <w:t>narrative</w:t>
      </w:r>
      <w:r>
        <w:rPr>
          <w:spacing w:val="-6"/>
        </w:rPr>
        <w:t> </w:t>
      </w:r>
      <w:r>
        <w:rPr/>
        <w:t>of</w:t>
      </w:r>
      <w:r>
        <w:rPr>
          <w:spacing w:val="-10"/>
        </w:rPr>
        <w:t> </w:t>
      </w:r>
      <w:r>
        <w:rPr/>
        <w:t>Gertrude-the</w:t>
      </w:r>
      <w:r>
        <w:rPr>
          <w:spacing w:val="-6"/>
        </w:rPr>
        <w:t> </w:t>
      </w:r>
      <w:r>
        <w:rPr/>
        <w:t>tragedy Hamlet tells in not an isolated hero’s tragedy happening because of Hamlet’s own internal flaws or weaknesses, but because those about him make the tragedy more manifest.</w:t>
      </w:r>
    </w:p>
    <w:p>
      <w:pPr>
        <w:pStyle w:val="Heading3"/>
        <w:numPr>
          <w:ilvl w:val="0"/>
          <w:numId w:val="43"/>
        </w:numPr>
        <w:tabs>
          <w:tab w:pos="1713" w:val="left" w:leader="none"/>
        </w:tabs>
        <w:spacing w:line="240" w:lineRule="auto" w:before="157" w:after="0"/>
        <w:ind w:left="1713" w:right="0" w:hanging="273"/>
        <w:jc w:val="left"/>
      </w:pPr>
      <w:r>
        <w:rPr>
          <w:w w:val="90"/>
        </w:rPr>
        <w:t>FEMALE</w:t>
      </w:r>
      <w:r>
        <w:rPr>
          <w:spacing w:val="19"/>
        </w:rPr>
        <w:t> </w:t>
      </w:r>
      <w:r>
        <w:rPr>
          <w:w w:val="90"/>
        </w:rPr>
        <w:t>CHARACTERS</w:t>
      </w:r>
      <w:r>
        <w:rPr>
          <w:spacing w:val="22"/>
        </w:rPr>
        <w:t> </w:t>
      </w:r>
      <w:r>
        <w:rPr>
          <w:w w:val="90"/>
        </w:rPr>
        <w:t>IN</w:t>
      </w:r>
      <w:r>
        <w:rPr>
          <w:spacing w:val="17"/>
        </w:rPr>
        <w:t> </w:t>
      </w:r>
      <w:r>
        <w:rPr>
          <w:spacing w:val="-2"/>
          <w:w w:val="90"/>
        </w:rPr>
        <w:t>DEVDAS</w:t>
      </w:r>
    </w:p>
    <w:p>
      <w:pPr>
        <w:pStyle w:val="BodyText"/>
        <w:spacing w:line="268" w:lineRule="auto" w:before="94"/>
        <w:ind w:right="1437" w:firstLine="432"/>
        <w:jc w:val="both"/>
      </w:pPr>
      <w:r>
        <w:rPr/>
        <w:t>In </w:t>
      </w:r>
      <w:r>
        <w:rPr>
          <w:i/>
        </w:rPr>
        <w:t>Devdas</w:t>
      </w:r>
      <w:r>
        <w:rPr/>
        <w:t>, the female characters Paro and Chandramukhi play central roles in shaping the emotional and tragic dimensions of the narrative. While Devdas is often viewed as the focal point of the story, it is the strength, resilience, and suffering of these women that provide depth and complexity to the text. Both characters represent contrasting social positions—Paro as a respectable woman bound by tradition and Chandramukhi as a marginalized courtesan—yet they share emotional depth and agency.</w:t>
      </w:r>
      <w:r>
        <w:rPr>
          <w:spacing w:val="-4"/>
        </w:rPr>
        <w:t> </w:t>
      </w:r>
      <w:r>
        <w:rPr/>
        <w:t>Their choices, endurance, and responses</w:t>
      </w:r>
      <w:r>
        <w:rPr>
          <w:spacing w:val="-2"/>
        </w:rPr>
        <w:t> </w:t>
      </w:r>
      <w:r>
        <w:rPr/>
        <w:t>to Devdas’s weakness not only highlight his flaws but also contribute significantly to</w:t>
      </w:r>
      <w:r>
        <w:rPr>
          <w:spacing w:val="40"/>
        </w:rPr>
        <w:t> </w:t>
      </w:r>
      <w:r>
        <w:rPr/>
        <w:t>the</w:t>
      </w:r>
      <w:r>
        <w:rPr>
          <w:spacing w:val="40"/>
        </w:rPr>
        <w:t> </w:t>
      </w:r>
      <w:r>
        <w:rPr/>
        <w:t>unfolding</w:t>
      </w:r>
      <w:r>
        <w:rPr>
          <w:spacing w:val="40"/>
        </w:rPr>
        <w:t> </w:t>
      </w:r>
      <w:r>
        <w:rPr/>
        <w:t>of</w:t>
      </w:r>
      <w:r>
        <w:rPr>
          <w:spacing w:val="40"/>
        </w:rPr>
        <w:t> </w:t>
      </w:r>
      <w:r>
        <w:rPr/>
        <w:t>tragedy.</w:t>
      </w:r>
    </w:p>
    <w:p>
      <w:pPr>
        <w:pStyle w:val="BodyText"/>
        <w:spacing w:after="0" w:line="268"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2"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6016">
                <wp:simplePos x="0" y="0"/>
                <wp:positionH relativeFrom="page">
                  <wp:posOffset>2065020</wp:posOffset>
                </wp:positionH>
                <wp:positionV relativeFrom="paragraph">
                  <wp:posOffset>162604</wp:posOffset>
                </wp:positionV>
                <wp:extent cx="3657600" cy="12700"/>
                <wp:effectExtent l="0" t="0" r="0" b="0"/>
                <wp:wrapTopAndBottom/>
                <wp:docPr id="507" name="Graphic 507"/>
                <wp:cNvGraphicFramePr>
                  <a:graphicFrameLocks/>
                </wp:cNvGraphicFramePr>
                <a:graphic>
                  <a:graphicData uri="http://schemas.microsoft.com/office/word/2010/wordprocessingShape">
                    <wps:wsp>
                      <wps:cNvPr id="507" name="Graphic 50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50464;mso-wrap-distance-left:0;mso-wrap-distance-right:0" id="docshape502" filled="true" fillcolor="#000000" stroked="false">
                <v:fill type="solid"/>
                <w10:wrap type="topAndBottom"/>
              </v:rect>
            </w:pict>
          </mc:Fallback>
        </mc:AlternateContent>
      </w:r>
      <w:r>
        <w:rPr>
          <w:rFonts w:ascii="Verdana"/>
          <w:sz w:val="18"/>
        </w:rPr>
        <w:t>Shadows</w:t>
      </w:r>
      <w:r>
        <w:rPr>
          <w:rFonts w:ascii="Verdana"/>
          <w:spacing w:val="5"/>
          <w:sz w:val="18"/>
        </w:rPr>
        <w:t> </w:t>
      </w:r>
      <w:r>
        <w:rPr>
          <w:rFonts w:ascii="Verdana"/>
          <w:sz w:val="18"/>
        </w:rPr>
        <w:t>of</w:t>
      </w:r>
      <w:r>
        <w:rPr>
          <w:rFonts w:ascii="Verdana"/>
          <w:spacing w:val="8"/>
          <w:sz w:val="18"/>
        </w:rPr>
        <w:t> </w:t>
      </w:r>
      <w:r>
        <w:rPr>
          <w:rFonts w:ascii="Verdana"/>
          <w:sz w:val="18"/>
        </w:rPr>
        <w:t>the</w:t>
      </w:r>
      <w:r>
        <w:rPr>
          <w:rFonts w:ascii="Verdana"/>
          <w:spacing w:val="6"/>
          <w:sz w:val="18"/>
        </w:rPr>
        <w:t> </w:t>
      </w:r>
      <w:r>
        <w:rPr>
          <w:rFonts w:ascii="Verdana"/>
          <w:sz w:val="18"/>
        </w:rPr>
        <w:t>Tragic</w:t>
      </w:r>
      <w:r>
        <w:rPr>
          <w:rFonts w:ascii="Verdana"/>
          <w:spacing w:val="6"/>
          <w:sz w:val="18"/>
        </w:rPr>
        <w:t> </w:t>
      </w:r>
      <w:r>
        <w:rPr>
          <w:rFonts w:ascii="Verdana"/>
          <w:sz w:val="18"/>
        </w:rPr>
        <w:t>Hero:</w:t>
      </w:r>
      <w:r>
        <w:rPr>
          <w:rFonts w:ascii="Verdana"/>
          <w:spacing w:val="5"/>
          <w:sz w:val="18"/>
        </w:rPr>
        <w:t> </w:t>
      </w:r>
      <w:r>
        <w:rPr>
          <w:rFonts w:ascii="Verdana"/>
          <w:sz w:val="18"/>
        </w:rPr>
        <w:t>Female</w:t>
      </w:r>
      <w:r>
        <w:rPr>
          <w:rFonts w:ascii="Verdana"/>
          <w:spacing w:val="5"/>
          <w:sz w:val="18"/>
        </w:rPr>
        <w:t> </w:t>
      </w:r>
      <w:r>
        <w:rPr>
          <w:rFonts w:ascii="Verdana"/>
          <w:sz w:val="18"/>
        </w:rPr>
        <w:t>Agency</w:t>
      </w:r>
      <w:r>
        <w:rPr>
          <w:rFonts w:ascii="Verdana"/>
          <w:spacing w:val="5"/>
          <w:sz w:val="18"/>
        </w:rPr>
        <w:t> </w:t>
      </w:r>
      <w:r>
        <w:rPr>
          <w:rFonts w:ascii="Verdana"/>
          <w:sz w:val="18"/>
        </w:rPr>
        <w:t>and</w:t>
      </w:r>
      <w:r>
        <w:rPr>
          <w:rFonts w:ascii="Verdana"/>
          <w:spacing w:val="7"/>
          <w:sz w:val="18"/>
        </w:rPr>
        <w:t> </w:t>
      </w:r>
      <w:r>
        <w:rPr>
          <w:rFonts w:ascii="Verdana"/>
          <w:spacing w:val="-5"/>
          <w:sz w:val="18"/>
        </w:rPr>
        <w:t>...</w:t>
      </w:r>
      <w:r>
        <w:rPr>
          <w:sz w:val="18"/>
        </w:rPr>
        <w:tab/>
      </w:r>
      <w:r>
        <w:rPr>
          <w:rFonts w:ascii="Verdana"/>
          <w:spacing w:val="-5"/>
          <w:sz w:val="18"/>
        </w:rPr>
        <w:t>233</w:t>
      </w:r>
    </w:p>
    <w:p>
      <w:pPr>
        <w:pStyle w:val="Heading5"/>
        <w:numPr>
          <w:ilvl w:val="0"/>
          <w:numId w:val="44"/>
        </w:numPr>
        <w:tabs>
          <w:tab w:pos="1812" w:val="left" w:leader="none"/>
        </w:tabs>
        <w:spacing w:line="240" w:lineRule="auto" w:before="184" w:after="0"/>
        <w:ind w:left="1812" w:right="0" w:hanging="327"/>
        <w:jc w:val="left"/>
      </w:pPr>
      <w:r>
        <w:rPr>
          <w:spacing w:val="-4"/>
        </w:rPr>
        <w:t>Paro</w:t>
      </w:r>
    </w:p>
    <w:p>
      <w:pPr>
        <w:pStyle w:val="BodyText"/>
        <w:spacing w:line="249" w:lineRule="auto" w:before="72"/>
        <w:ind w:left="1485" w:right="1392" w:firstLine="432"/>
        <w:jc w:val="both"/>
      </w:pPr>
      <w:r>
        <w:rPr/>
        <w:t>Paro (Parvati) is a character identified by emotional strength, persistence as well as quiet defiance. Paro, instead of infusing indecisiveness and imposition of inaction, seems slightly more clear-headed and harbors an inclination toward pushing societal boundaries</w:t>
      </w:r>
      <w:r>
        <w:rPr>
          <w:spacing w:val="40"/>
        </w:rPr>
        <w:t> </w:t>
      </w:r>
      <w:r>
        <w:rPr/>
        <w:t>as seen from the fact that early on she has publicly stated her love for Devdas.</w:t>
      </w:r>
      <w:r>
        <w:rPr>
          <w:spacing w:val="27"/>
        </w:rPr>
        <w:t> </w:t>
      </w:r>
      <w:r>
        <w:rPr/>
        <w:t>Her</w:t>
      </w:r>
      <w:r>
        <w:rPr>
          <w:spacing w:val="26"/>
        </w:rPr>
        <w:t> </w:t>
      </w:r>
      <w:r>
        <w:rPr/>
        <w:t>brave</w:t>
      </w:r>
      <w:r>
        <w:rPr>
          <w:spacing w:val="26"/>
        </w:rPr>
        <w:t> </w:t>
      </w:r>
      <w:r>
        <w:rPr/>
        <w:t>move</w:t>
      </w:r>
      <w:r>
        <w:rPr>
          <w:spacing w:val="26"/>
        </w:rPr>
        <w:t> </w:t>
      </w:r>
      <w:r>
        <w:rPr/>
        <w:t>to</w:t>
      </w:r>
      <w:r>
        <w:rPr>
          <w:spacing w:val="27"/>
        </w:rPr>
        <w:t> </w:t>
      </w:r>
      <w:r>
        <w:rPr/>
        <w:t>cross</w:t>
      </w:r>
      <w:r>
        <w:rPr>
          <w:spacing w:val="27"/>
        </w:rPr>
        <w:t> </w:t>
      </w:r>
      <w:r>
        <w:rPr/>
        <w:t>the</w:t>
      </w:r>
      <w:r>
        <w:rPr>
          <w:spacing w:val="26"/>
        </w:rPr>
        <w:t> </w:t>
      </w:r>
      <w:r>
        <w:rPr/>
        <w:t>thresholds</w:t>
      </w:r>
      <w:r>
        <w:rPr>
          <w:spacing w:val="25"/>
        </w:rPr>
        <w:t> </w:t>
      </w:r>
      <w:r>
        <w:rPr/>
        <w:t>and</w:t>
      </w:r>
      <w:r>
        <w:rPr>
          <w:spacing w:val="27"/>
        </w:rPr>
        <w:t> </w:t>
      </w:r>
      <w:r>
        <w:rPr/>
        <w:t>speak</w:t>
      </w:r>
      <w:r>
        <w:rPr>
          <w:spacing w:val="23"/>
        </w:rPr>
        <w:t> </w:t>
      </w:r>
      <w:r>
        <w:rPr/>
        <w:t>her</w:t>
      </w:r>
      <w:r>
        <w:rPr>
          <w:spacing w:val="26"/>
        </w:rPr>
        <w:t> </w:t>
      </w:r>
      <w:r>
        <w:rPr/>
        <w:t>mind to Devdas in the badly lit night creates a major breach of what was expected of a woman in her social setting. Simply by asserting her self whom she thinks, she has proved her worth as a protagonist in </w:t>
      </w:r>
      <w:r>
        <w:rPr>
          <w:spacing w:val="-4"/>
        </w:rPr>
        <w:t>overcoming</w:t>
      </w:r>
      <w:r>
        <w:rPr>
          <w:spacing w:val="-5"/>
        </w:rPr>
        <w:t> </w:t>
      </w:r>
      <w:r>
        <w:rPr>
          <w:spacing w:val="-4"/>
        </w:rPr>
        <w:t>personal</w:t>
      </w:r>
      <w:r>
        <w:rPr>
          <w:spacing w:val="-9"/>
        </w:rPr>
        <w:t> </w:t>
      </w:r>
      <w:r>
        <w:rPr>
          <w:spacing w:val="-4"/>
        </w:rPr>
        <w:t>as well as societal barriers. It</w:t>
      </w:r>
      <w:r>
        <w:rPr>
          <w:spacing w:val="-6"/>
        </w:rPr>
        <w:t> </w:t>
      </w:r>
      <w:r>
        <w:rPr>
          <w:spacing w:val="-4"/>
        </w:rPr>
        <w:t>is this</w:t>
      </w:r>
      <w:r>
        <w:rPr>
          <w:spacing w:val="-5"/>
        </w:rPr>
        <w:t> </w:t>
      </w:r>
      <w:r>
        <w:rPr>
          <w:spacing w:val="-4"/>
        </w:rPr>
        <w:t>very</w:t>
      </w:r>
      <w:r>
        <w:rPr>
          <w:spacing w:val="-5"/>
        </w:rPr>
        <w:t> </w:t>
      </w:r>
      <w:r>
        <w:rPr>
          <w:spacing w:val="-4"/>
        </w:rPr>
        <w:t>applicability </w:t>
      </w:r>
      <w:r>
        <w:rPr>
          <w:spacing w:val="-2"/>
        </w:rPr>
        <w:t>that</w:t>
      </w:r>
      <w:r>
        <w:rPr>
          <w:spacing w:val="-11"/>
        </w:rPr>
        <w:t> </w:t>
      </w:r>
      <w:r>
        <w:rPr>
          <w:spacing w:val="-2"/>
        </w:rPr>
        <w:t>will</w:t>
      </w:r>
      <w:r>
        <w:rPr>
          <w:spacing w:val="-9"/>
        </w:rPr>
        <w:t> </w:t>
      </w:r>
      <w:r>
        <w:rPr>
          <w:spacing w:val="-2"/>
        </w:rPr>
        <w:t>be</w:t>
      </w:r>
      <w:r>
        <w:rPr>
          <w:spacing w:val="-7"/>
        </w:rPr>
        <w:t> </w:t>
      </w:r>
      <w:r>
        <w:rPr>
          <w:spacing w:val="-2"/>
        </w:rPr>
        <w:t>the</w:t>
      </w:r>
      <w:r>
        <w:rPr>
          <w:spacing w:val="-9"/>
        </w:rPr>
        <w:t> </w:t>
      </w:r>
      <w:r>
        <w:rPr>
          <w:spacing w:val="-2"/>
        </w:rPr>
        <w:t>testing</w:t>
      </w:r>
      <w:r>
        <w:rPr>
          <w:spacing w:val="-11"/>
        </w:rPr>
        <w:t> </w:t>
      </w:r>
      <w:r>
        <w:rPr>
          <w:spacing w:val="-2"/>
        </w:rPr>
        <w:t>point</w:t>
      </w:r>
      <w:r>
        <w:rPr>
          <w:spacing w:val="-10"/>
        </w:rPr>
        <w:t> </w:t>
      </w:r>
      <w:r>
        <w:rPr>
          <w:spacing w:val="-2"/>
        </w:rPr>
        <w:t>in</w:t>
      </w:r>
      <w:r>
        <w:rPr>
          <w:spacing w:val="-9"/>
        </w:rPr>
        <w:t> </w:t>
      </w:r>
      <w:r>
        <w:rPr>
          <w:spacing w:val="-2"/>
        </w:rPr>
        <w:t>Paro’s</w:t>
      </w:r>
      <w:r>
        <w:rPr>
          <w:spacing w:val="-9"/>
        </w:rPr>
        <w:t> </w:t>
      </w:r>
      <w:r>
        <w:rPr>
          <w:spacing w:val="-2"/>
        </w:rPr>
        <w:t>existence,</w:t>
      </w:r>
      <w:r>
        <w:rPr>
          <w:spacing w:val="-9"/>
        </w:rPr>
        <w:t> </w:t>
      </w:r>
      <w:r>
        <w:rPr>
          <w:spacing w:val="-2"/>
        </w:rPr>
        <w:t>cast</w:t>
      </w:r>
      <w:r>
        <w:rPr>
          <w:spacing w:val="-7"/>
        </w:rPr>
        <w:t> </w:t>
      </w:r>
      <w:r>
        <w:rPr>
          <w:spacing w:val="-2"/>
        </w:rPr>
        <w:t>mainly</w:t>
      </w:r>
      <w:r>
        <w:rPr>
          <w:spacing w:val="-11"/>
        </w:rPr>
        <w:t> </w:t>
      </w:r>
      <w:r>
        <w:rPr>
          <w:spacing w:val="-2"/>
        </w:rPr>
        <w:t>in</w:t>
      </w:r>
      <w:r>
        <w:rPr>
          <w:spacing w:val="-9"/>
        </w:rPr>
        <w:t> </w:t>
      </w:r>
      <w:r>
        <w:rPr>
          <w:spacing w:val="-2"/>
        </w:rPr>
        <w:t>conformity </w:t>
      </w:r>
      <w:r>
        <w:rPr>
          <w:spacing w:val="-4"/>
        </w:rPr>
        <w:t>and</w:t>
      </w:r>
      <w:r>
        <w:rPr>
          <w:spacing w:val="-9"/>
        </w:rPr>
        <w:t> </w:t>
      </w:r>
      <w:r>
        <w:rPr>
          <w:spacing w:val="-4"/>
        </w:rPr>
        <w:t>filial</w:t>
      </w:r>
      <w:r>
        <w:rPr>
          <w:spacing w:val="-8"/>
        </w:rPr>
        <w:t> </w:t>
      </w:r>
      <w:r>
        <w:rPr>
          <w:spacing w:val="-4"/>
        </w:rPr>
        <w:t>bearings</w:t>
      </w:r>
      <w:r>
        <w:rPr>
          <w:spacing w:val="-9"/>
        </w:rPr>
        <w:t> </w:t>
      </w:r>
      <w:r>
        <w:rPr>
          <w:spacing w:val="-4"/>
        </w:rPr>
        <w:t>[18].</w:t>
      </w:r>
      <w:r>
        <w:rPr>
          <w:spacing w:val="-6"/>
        </w:rPr>
        <w:t> </w:t>
      </w:r>
      <w:r>
        <w:rPr>
          <w:spacing w:val="-4"/>
        </w:rPr>
        <w:t>No</w:t>
      </w:r>
      <w:r>
        <w:rPr>
          <w:spacing w:val="-6"/>
        </w:rPr>
        <w:t> </w:t>
      </w:r>
      <w:r>
        <w:rPr>
          <w:spacing w:val="-4"/>
        </w:rPr>
        <w:t>matter</w:t>
      </w:r>
      <w:r>
        <w:rPr>
          <w:spacing w:val="-9"/>
        </w:rPr>
        <w:t> </w:t>
      </w:r>
      <w:r>
        <w:rPr>
          <w:spacing w:val="-4"/>
        </w:rPr>
        <w:t>what</w:t>
      </w:r>
      <w:r>
        <w:rPr>
          <w:spacing w:val="-8"/>
        </w:rPr>
        <w:t> </w:t>
      </w:r>
      <w:r>
        <w:rPr>
          <w:spacing w:val="-4"/>
        </w:rPr>
        <w:t>her</w:t>
      </w:r>
      <w:r>
        <w:rPr>
          <w:spacing w:val="-8"/>
        </w:rPr>
        <w:t> </w:t>
      </w:r>
      <w:r>
        <w:rPr>
          <w:spacing w:val="-4"/>
        </w:rPr>
        <w:t>resolve, the</w:t>
      </w:r>
      <w:r>
        <w:rPr>
          <w:spacing w:val="-9"/>
        </w:rPr>
        <w:t> </w:t>
      </w:r>
      <w:r>
        <w:rPr>
          <w:spacing w:val="-4"/>
        </w:rPr>
        <w:t>social stratification, </w:t>
      </w:r>
      <w:r>
        <w:rPr/>
        <w:t>deeply ingrained in the ways of her very existence, reinforced an iron wall against the consummation of feelings that studded their paths. Devdas’s</w:t>
      </w:r>
      <w:r>
        <w:rPr>
          <w:spacing w:val="-4"/>
        </w:rPr>
        <w:t> </w:t>
      </w:r>
      <w:r>
        <w:rPr/>
        <w:t>towering</w:t>
      </w:r>
      <w:r>
        <w:rPr>
          <w:spacing w:val="-6"/>
        </w:rPr>
        <w:t> </w:t>
      </w:r>
      <w:r>
        <w:rPr/>
        <w:t>over again</w:t>
      </w:r>
      <w:r>
        <w:rPr>
          <w:spacing w:val="-6"/>
        </w:rPr>
        <w:t> </w:t>
      </w:r>
      <w:r>
        <w:rPr/>
        <w:t>under status</w:t>
      </w:r>
      <w:r>
        <w:rPr>
          <w:spacing w:val="-4"/>
        </w:rPr>
        <w:t> </w:t>
      </w:r>
      <w:r>
        <w:rPr/>
        <w:t>and family</w:t>
      </w:r>
      <w:r>
        <w:rPr>
          <w:spacing w:val="-7"/>
        </w:rPr>
        <w:t> </w:t>
      </w:r>
      <w:r>
        <w:rPr/>
        <w:t>prestige</w:t>
      </w:r>
      <w:r>
        <w:rPr>
          <w:spacing w:val="-2"/>
        </w:rPr>
        <w:t> </w:t>
      </w:r>
      <w:r>
        <w:rPr/>
        <w:t>deprived him of being able to listen to what the heart felt. This was the same issue raised by Paro moving on to the marriage market, and she had to satisfy</w:t>
      </w:r>
      <w:r>
        <w:rPr>
          <w:spacing w:val="-13"/>
        </w:rPr>
        <w:t> </w:t>
      </w:r>
      <w:r>
        <w:rPr/>
        <w:t>the</w:t>
      </w:r>
      <w:r>
        <w:rPr>
          <w:spacing w:val="-10"/>
        </w:rPr>
        <w:t> </w:t>
      </w:r>
      <w:r>
        <w:rPr/>
        <w:t>minimum</w:t>
      </w:r>
      <w:r>
        <w:rPr>
          <w:spacing w:val="-11"/>
        </w:rPr>
        <w:t> </w:t>
      </w:r>
      <w:r>
        <w:rPr/>
        <w:t>mercenary</w:t>
      </w:r>
      <w:r>
        <w:rPr>
          <w:spacing w:val="-13"/>
        </w:rPr>
        <w:t> </w:t>
      </w:r>
      <w:r>
        <w:rPr/>
        <w:t>merit</w:t>
      </w:r>
      <w:r>
        <w:rPr>
          <w:spacing w:val="-7"/>
        </w:rPr>
        <w:t> </w:t>
      </w:r>
      <w:r>
        <w:rPr/>
        <w:t>of</w:t>
      </w:r>
      <w:r>
        <w:rPr>
          <w:spacing w:val="-10"/>
        </w:rPr>
        <w:t> </w:t>
      </w:r>
      <w:r>
        <w:rPr/>
        <w:t>family</w:t>
      </w:r>
      <w:r>
        <w:rPr>
          <w:spacing w:val="-10"/>
        </w:rPr>
        <w:t> </w:t>
      </w:r>
      <w:r>
        <w:rPr/>
        <w:t>status,</w:t>
      </w:r>
      <w:r>
        <w:rPr>
          <w:spacing w:val="-9"/>
        </w:rPr>
        <w:t> </w:t>
      </w:r>
      <w:r>
        <w:rPr/>
        <w:t>the</w:t>
      </w:r>
      <w:r>
        <w:rPr>
          <w:spacing w:val="-7"/>
        </w:rPr>
        <w:t> </w:t>
      </w:r>
      <w:r>
        <w:rPr/>
        <w:t>psychological consequences to her to be borne in the battle as they come. Rebellion abnegated before surrender; call it what you will, it was a compelling necessity, undertaken against the backdrop of unavoidable and binding constraints beyond her control. Paro’s character is the opposite of Devdas. She learns from the adversities and moves forward in life without</w:t>
      </w:r>
      <w:r>
        <w:rPr>
          <w:spacing w:val="-5"/>
        </w:rPr>
        <w:t> </w:t>
      </w:r>
      <w:r>
        <w:rPr/>
        <w:t>any</w:t>
      </w:r>
      <w:r>
        <w:rPr>
          <w:spacing w:val="-4"/>
        </w:rPr>
        <w:t> </w:t>
      </w:r>
      <w:r>
        <w:rPr/>
        <w:t>missing</w:t>
      </w:r>
      <w:r>
        <w:rPr>
          <w:spacing w:val="-6"/>
        </w:rPr>
        <w:t> </w:t>
      </w:r>
      <w:r>
        <w:rPr/>
        <w:t>joy</w:t>
      </w:r>
      <w:r>
        <w:rPr>
          <w:spacing w:val="-7"/>
        </w:rPr>
        <w:t> </w:t>
      </w:r>
      <w:r>
        <w:rPr/>
        <w:t>and their</w:t>
      </w:r>
      <w:r>
        <w:rPr>
          <w:spacing w:val="-4"/>
        </w:rPr>
        <w:t> </w:t>
      </w:r>
      <w:r>
        <w:rPr/>
        <w:t>vice</w:t>
      </w:r>
      <w:r>
        <w:rPr>
          <w:spacing w:val="-5"/>
        </w:rPr>
        <w:t> </w:t>
      </w:r>
      <w:r>
        <w:rPr/>
        <w:t>might</w:t>
      </w:r>
      <w:r>
        <w:rPr>
          <w:spacing w:val="-2"/>
        </w:rPr>
        <w:t> </w:t>
      </w:r>
      <w:r>
        <w:rPr/>
        <w:t>be</w:t>
      </w:r>
      <w:r>
        <w:rPr>
          <w:spacing w:val="-3"/>
        </w:rPr>
        <w:t> </w:t>
      </w:r>
      <w:r>
        <w:rPr/>
        <w:t>fulfilling</w:t>
      </w:r>
      <w:r>
        <w:rPr>
          <w:spacing w:val="-6"/>
        </w:rPr>
        <w:t> </w:t>
      </w:r>
      <w:r>
        <w:rPr/>
        <w:t>her</w:t>
      </w:r>
      <w:r>
        <w:rPr>
          <w:spacing w:val="-2"/>
        </w:rPr>
        <w:t> </w:t>
      </w:r>
      <w:r>
        <w:rPr/>
        <w:t>social</w:t>
      </w:r>
      <w:r>
        <w:rPr>
          <w:spacing w:val="-6"/>
        </w:rPr>
        <w:t> </w:t>
      </w:r>
      <w:r>
        <w:rPr/>
        <w:t>role </w:t>
      </w:r>
      <w:r>
        <w:rPr>
          <w:spacing w:val="-2"/>
        </w:rPr>
        <w:t>with</w:t>
      </w:r>
      <w:r>
        <w:rPr>
          <w:spacing w:val="-9"/>
        </w:rPr>
        <w:t> </w:t>
      </w:r>
      <w:r>
        <w:rPr>
          <w:spacing w:val="-2"/>
        </w:rPr>
        <w:t>respect.</w:t>
      </w:r>
      <w:r>
        <w:rPr>
          <w:spacing w:val="-5"/>
        </w:rPr>
        <w:t> </w:t>
      </w:r>
      <w:r>
        <w:rPr>
          <w:spacing w:val="-2"/>
        </w:rPr>
        <w:t>But</w:t>
      </w:r>
      <w:r>
        <w:rPr>
          <w:spacing w:val="-9"/>
        </w:rPr>
        <w:t> </w:t>
      </w:r>
      <w:r>
        <w:rPr>
          <w:spacing w:val="-2"/>
        </w:rPr>
        <w:t>the</w:t>
      </w:r>
      <w:r>
        <w:rPr>
          <w:spacing w:val="-7"/>
        </w:rPr>
        <w:t> </w:t>
      </w:r>
      <w:r>
        <w:rPr>
          <w:spacing w:val="-2"/>
        </w:rPr>
        <w:t>outward</w:t>
      </w:r>
      <w:r>
        <w:rPr>
          <w:spacing w:val="-7"/>
        </w:rPr>
        <w:t> </w:t>
      </w:r>
      <w:r>
        <w:rPr>
          <w:spacing w:val="-2"/>
        </w:rPr>
        <w:t>show</w:t>
      </w:r>
      <w:r>
        <w:rPr>
          <w:spacing w:val="-9"/>
        </w:rPr>
        <w:t> </w:t>
      </w:r>
      <w:r>
        <w:rPr>
          <w:spacing w:val="-2"/>
        </w:rPr>
        <w:t>of</w:t>
      </w:r>
      <w:r>
        <w:rPr>
          <w:spacing w:val="-11"/>
        </w:rPr>
        <w:t> </w:t>
      </w:r>
      <w:r>
        <w:rPr>
          <w:spacing w:val="-2"/>
        </w:rPr>
        <w:t>strength</w:t>
      </w:r>
      <w:r>
        <w:rPr>
          <w:spacing w:val="-6"/>
        </w:rPr>
        <w:t> </w:t>
      </w:r>
      <w:r>
        <w:rPr>
          <w:spacing w:val="-2"/>
        </w:rPr>
        <w:t>was</w:t>
      </w:r>
      <w:r>
        <w:rPr>
          <w:spacing w:val="-9"/>
        </w:rPr>
        <w:t> </w:t>
      </w:r>
      <w:r>
        <w:rPr>
          <w:spacing w:val="-2"/>
        </w:rPr>
        <w:t>always</w:t>
      </w:r>
      <w:r>
        <w:rPr>
          <w:spacing w:val="-5"/>
        </w:rPr>
        <w:t> </w:t>
      </w:r>
      <w:r>
        <w:rPr>
          <w:spacing w:val="-2"/>
        </w:rPr>
        <w:t>overshadowed by</w:t>
      </w:r>
      <w:r>
        <w:rPr>
          <w:spacing w:val="-11"/>
        </w:rPr>
        <w:t> </w:t>
      </w:r>
      <w:r>
        <w:rPr>
          <w:spacing w:val="-2"/>
        </w:rPr>
        <w:t>emotional</w:t>
      </w:r>
      <w:r>
        <w:rPr>
          <w:spacing w:val="-10"/>
        </w:rPr>
        <w:t> </w:t>
      </w:r>
      <w:r>
        <w:rPr>
          <w:spacing w:val="-2"/>
        </w:rPr>
        <w:t>turmoil,</w:t>
      </w:r>
      <w:r>
        <w:rPr>
          <w:spacing w:val="-5"/>
        </w:rPr>
        <w:t> </w:t>
      </w:r>
      <w:r>
        <w:rPr>
          <w:spacing w:val="-2"/>
        </w:rPr>
        <w:t>for</w:t>
      </w:r>
      <w:r>
        <w:rPr>
          <w:spacing w:val="-6"/>
        </w:rPr>
        <w:t> </w:t>
      </w:r>
      <w:r>
        <w:rPr>
          <w:spacing w:val="-2"/>
        </w:rPr>
        <w:t>she</w:t>
      </w:r>
      <w:r>
        <w:rPr>
          <w:spacing w:val="-8"/>
        </w:rPr>
        <w:t> </w:t>
      </w:r>
      <w:r>
        <w:rPr>
          <w:spacing w:val="-2"/>
        </w:rPr>
        <w:t>was</w:t>
      </w:r>
      <w:r>
        <w:rPr>
          <w:spacing w:val="-8"/>
        </w:rPr>
        <w:t> </w:t>
      </w:r>
      <w:r>
        <w:rPr>
          <w:spacing w:val="-2"/>
        </w:rPr>
        <w:t>emotionally</w:t>
      </w:r>
      <w:r>
        <w:rPr>
          <w:spacing w:val="-10"/>
        </w:rPr>
        <w:t> </w:t>
      </w:r>
      <w:r>
        <w:rPr>
          <w:spacing w:val="-2"/>
        </w:rPr>
        <w:t>restrained</w:t>
      </w:r>
      <w:r>
        <w:rPr>
          <w:spacing w:val="-6"/>
        </w:rPr>
        <w:t> </w:t>
      </w:r>
      <w:r>
        <w:rPr>
          <w:spacing w:val="-2"/>
        </w:rPr>
        <w:t>by</w:t>
      </w:r>
      <w:r>
        <w:rPr>
          <w:spacing w:val="-11"/>
        </w:rPr>
        <w:t> </w:t>
      </w:r>
      <w:r>
        <w:rPr>
          <w:spacing w:val="-2"/>
        </w:rPr>
        <w:t>the</w:t>
      </w:r>
      <w:r>
        <w:rPr>
          <w:spacing w:val="-8"/>
        </w:rPr>
        <w:t> </w:t>
      </w:r>
      <w:r>
        <w:rPr>
          <w:spacing w:val="-2"/>
        </w:rPr>
        <w:t>memories </w:t>
      </w:r>
      <w:r>
        <w:rPr/>
        <w:t>of her incomplete desires and her unfulfilled love, each of which found fault with</w:t>
      </w:r>
      <w:r>
        <w:rPr>
          <w:spacing w:val="40"/>
        </w:rPr>
        <w:t> </w:t>
      </w:r>
      <w:r>
        <w:rPr/>
        <w:t>the</w:t>
      </w:r>
      <w:r>
        <w:rPr>
          <w:spacing w:val="40"/>
        </w:rPr>
        <w:t> </w:t>
      </w:r>
      <w:r>
        <w:rPr/>
        <w:t>other.</w:t>
      </w:r>
    </w:p>
    <w:p>
      <w:pPr>
        <w:pStyle w:val="BodyText"/>
        <w:spacing w:line="249" w:lineRule="auto" w:before="80"/>
        <w:ind w:left="1485" w:right="1391" w:firstLine="432"/>
        <w:jc w:val="both"/>
      </w:pPr>
      <w:r>
        <w:rPr/>
        <w:t>Thus Paro comes out as symbolic embodiment of resistance and limitation-that is, paradoxically, challenging the structure, she is being molded by it. Her journey highlights the tragedy of class and the society’s conditioning on her. It envisages a situation where strength may be necessary for one to lead oneself out of the system; it may</w:t>
      </w:r>
      <w:r>
        <w:rPr>
          <w:spacing w:val="40"/>
        </w:rPr>
        <w:t> </w:t>
      </w:r>
      <w:r>
        <w:rPr/>
        <w:t>cause</w:t>
      </w:r>
      <w:r>
        <w:rPr>
          <w:spacing w:val="40"/>
        </w:rPr>
        <w:t> </w:t>
      </w:r>
      <w:r>
        <w:rPr/>
        <w:t>nothing</w:t>
      </w:r>
      <w:r>
        <w:rPr>
          <w:spacing w:val="40"/>
        </w:rPr>
        <w:t> </w:t>
      </w:r>
      <w:r>
        <w:rPr/>
        <w:t>so</w:t>
      </w:r>
      <w:r>
        <w:rPr>
          <w:spacing w:val="40"/>
        </w:rPr>
        <w:t> </w:t>
      </w:r>
      <w:r>
        <w:rPr/>
        <w:t>long</w:t>
      </w:r>
      <w:r>
        <w:rPr>
          <w:spacing w:val="40"/>
        </w:rPr>
        <w:t> </w:t>
      </w:r>
      <w:r>
        <w:rPr/>
        <w:t>as</w:t>
      </w:r>
      <w:r>
        <w:rPr>
          <w:spacing w:val="40"/>
        </w:rPr>
        <w:t> </w:t>
      </w:r>
      <w:r>
        <w:rPr/>
        <w:t>the</w:t>
      </w:r>
      <w:r>
        <w:rPr>
          <w:spacing w:val="40"/>
        </w:rPr>
        <w:t> </w:t>
      </w:r>
      <w:r>
        <w:rPr/>
        <w:t>system</w:t>
      </w:r>
      <w:r>
        <w:rPr>
          <w:spacing w:val="40"/>
        </w:rPr>
        <w:t> </w:t>
      </w:r>
      <w:r>
        <w:rPr/>
        <w:t>remains</w:t>
      </w:r>
      <w:r>
        <w:rPr>
          <w:spacing w:val="40"/>
        </w:rPr>
        <w:t> </w:t>
      </w:r>
      <w:r>
        <w:rPr/>
        <w:t>rigid.</w:t>
      </w:r>
    </w:p>
    <w:p>
      <w:pPr>
        <w:pStyle w:val="Heading5"/>
        <w:numPr>
          <w:ilvl w:val="0"/>
          <w:numId w:val="44"/>
        </w:numPr>
        <w:tabs>
          <w:tab w:pos="1803" w:val="left" w:leader="none"/>
        </w:tabs>
        <w:spacing w:line="240" w:lineRule="auto" w:before="113" w:after="0"/>
        <w:ind w:left="1803" w:right="0" w:hanging="318"/>
        <w:jc w:val="left"/>
      </w:pPr>
      <w:r>
        <w:rPr>
          <w:spacing w:val="-2"/>
          <w:w w:val="105"/>
        </w:rPr>
        <w:t>Chandramukhi</w:t>
      </w:r>
    </w:p>
    <w:p>
      <w:pPr>
        <w:pStyle w:val="BodyText"/>
        <w:spacing w:line="249" w:lineRule="auto" w:before="71"/>
        <w:ind w:left="1485" w:right="1388" w:firstLine="432"/>
        <w:jc w:val="both"/>
      </w:pPr>
      <w:r>
        <w:rPr/>
        <w:t>Chandramukhi characterizes a greatly diverging yet equally signifying facet of female experience with Devdas, expressed by compassion,</w:t>
      </w:r>
      <w:r>
        <w:rPr>
          <w:spacing w:val="36"/>
        </w:rPr>
        <w:t> </w:t>
      </w:r>
      <w:r>
        <w:rPr/>
        <w:t>transformation,</w:t>
      </w:r>
      <w:r>
        <w:rPr>
          <w:spacing w:val="38"/>
        </w:rPr>
        <w:t> </w:t>
      </w:r>
      <w:r>
        <w:rPr/>
        <w:t>and</w:t>
      </w:r>
      <w:r>
        <w:rPr>
          <w:spacing w:val="36"/>
        </w:rPr>
        <w:t> </w:t>
      </w:r>
      <w:r>
        <w:rPr/>
        <w:t>social</w:t>
      </w:r>
      <w:r>
        <w:rPr>
          <w:spacing w:val="38"/>
        </w:rPr>
        <w:t> </w:t>
      </w:r>
      <w:r>
        <w:rPr/>
        <w:t>marginalization.</w:t>
      </w:r>
      <w:r>
        <w:rPr>
          <w:spacing w:val="35"/>
        </w:rPr>
        <w:t> </w:t>
      </w:r>
      <w:r>
        <w:rPr/>
        <w:t>She</w:t>
      </w:r>
      <w:r>
        <w:rPr>
          <w:spacing w:val="37"/>
        </w:rPr>
        <w:t> </w:t>
      </w:r>
      <w:r>
        <w:rPr>
          <w:spacing w:val="-2"/>
        </w:rPr>
        <w:t>radiates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6528">
                <wp:simplePos x="0" y="0"/>
                <wp:positionH relativeFrom="page">
                  <wp:posOffset>2057400</wp:posOffset>
                </wp:positionH>
                <wp:positionV relativeFrom="paragraph">
                  <wp:posOffset>162604</wp:posOffset>
                </wp:positionV>
                <wp:extent cx="3657600" cy="12700"/>
                <wp:effectExtent l="0" t="0" r="0" b="0"/>
                <wp:wrapTopAndBottom/>
                <wp:docPr id="508" name="Graphic 508"/>
                <wp:cNvGraphicFramePr>
                  <a:graphicFrameLocks/>
                </wp:cNvGraphicFramePr>
                <a:graphic>
                  <a:graphicData uri="http://schemas.microsoft.com/office/word/2010/wordprocessingShape">
                    <wps:wsp>
                      <wps:cNvPr id="508" name="Graphic 50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49952;mso-wrap-distance-left:0;mso-wrap-distance-right:0" id="docshape503" filled="true" fillcolor="#000000" stroked="false">
                <v:fill type="solid"/>
                <w10:wrap type="topAndBottom"/>
              </v:rect>
            </w:pict>
          </mc:Fallback>
        </mc:AlternateContent>
      </w:r>
      <w:r>
        <w:rPr>
          <w:rFonts w:ascii="Verdana"/>
          <w:spacing w:val="-5"/>
          <w:sz w:val="18"/>
        </w:rPr>
        <w:t>234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6"/>
        <w:jc w:val="both"/>
      </w:pPr>
      <w:r>
        <w:rPr/>
        <w:t>intelligence, kindness, or harsh</w:t>
      </w:r>
      <w:r>
        <w:rPr>
          <w:spacing w:val="-1"/>
        </w:rPr>
        <w:t> </w:t>
      </w:r>
      <w:r>
        <w:rPr/>
        <w:t>self-judgment in</w:t>
      </w:r>
      <w:r>
        <w:rPr>
          <w:spacing w:val="-1"/>
        </w:rPr>
        <w:t> </w:t>
      </w:r>
      <w:r>
        <w:rPr/>
        <w:t>the eyes</w:t>
      </w:r>
      <w:r>
        <w:rPr>
          <w:spacing w:val="-3"/>
        </w:rPr>
        <w:t> </w:t>
      </w:r>
      <w:r>
        <w:rPr/>
        <w:t>of respectable factions of society because of her womanly tricks from the charms of family. Nevertheless, by going on, the narrative determines a page turning upside down from character. She challenges the archaic images while</w:t>
      </w:r>
      <w:r>
        <w:rPr>
          <w:spacing w:val="-6"/>
        </w:rPr>
        <w:t> </w:t>
      </w:r>
      <w:r>
        <w:rPr/>
        <w:t>highlighting</w:t>
      </w:r>
      <w:r>
        <w:rPr>
          <w:spacing w:val="-10"/>
        </w:rPr>
        <w:t> </w:t>
      </w:r>
      <w:r>
        <w:rPr/>
        <w:t>an</w:t>
      </w:r>
      <w:r>
        <w:rPr>
          <w:spacing w:val="-9"/>
        </w:rPr>
        <w:t> </w:t>
      </w:r>
      <w:r>
        <w:rPr/>
        <w:t>emotionally</w:t>
      </w:r>
      <w:r>
        <w:rPr>
          <w:spacing w:val="-12"/>
        </w:rPr>
        <w:t> </w:t>
      </w:r>
      <w:r>
        <w:rPr/>
        <w:t>intelligent</w:t>
      </w:r>
      <w:r>
        <w:rPr>
          <w:spacing w:val="-8"/>
        </w:rPr>
        <w:t> </w:t>
      </w:r>
      <w:r>
        <w:rPr/>
        <w:t>and</w:t>
      </w:r>
      <w:r>
        <w:rPr>
          <w:spacing w:val="-9"/>
        </w:rPr>
        <w:t> </w:t>
      </w:r>
      <w:r>
        <w:rPr/>
        <w:t>empathetic</w:t>
      </w:r>
      <w:r>
        <w:rPr>
          <w:spacing w:val="-8"/>
        </w:rPr>
        <w:t> </w:t>
      </w:r>
      <w:r>
        <w:rPr/>
        <w:t>personality before society. Her relationship with Devdas will have changed her for the better-instill</w:t>
      </w:r>
      <w:r>
        <w:rPr>
          <w:spacing w:val="-1"/>
        </w:rPr>
        <w:t> </w:t>
      </w:r>
      <w:r>
        <w:rPr/>
        <w:t>in</w:t>
      </w:r>
      <w:r>
        <w:rPr>
          <w:spacing w:val="-5"/>
        </w:rPr>
        <w:t> </w:t>
      </w:r>
      <w:r>
        <w:rPr/>
        <w:t>Chandramukhi</w:t>
      </w:r>
      <w:r>
        <w:rPr>
          <w:spacing w:val="-1"/>
        </w:rPr>
        <w:t> </w:t>
      </w:r>
      <w:r>
        <w:rPr/>
        <w:t>great</w:t>
      </w:r>
      <w:r>
        <w:rPr>
          <w:spacing w:val="-3"/>
        </w:rPr>
        <w:t> </w:t>
      </w:r>
      <w:r>
        <w:rPr/>
        <w:t>depth</w:t>
      </w:r>
      <w:r>
        <w:rPr>
          <w:spacing w:val="-3"/>
        </w:rPr>
        <w:t> </w:t>
      </w:r>
      <w:r>
        <w:rPr/>
        <w:t>of</w:t>
      </w:r>
      <w:r>
        <w:rPr>
          <w:spacing w:val="-3"/>
        </w:rPr>
        <w:t> </w:t>
      </w:r>
      <w:r>
        <w:rPr/>
        <w:t>love</w:t>
      </w:r>
      <w:r>
        <w:rPr>
          <w:spacing w:val="-4"/>
        </w:rPr>
        <w:t> </w:t>
      </w:r>
      <w:r>
        <w:rPr/>
        <w:t>and</w:t>
      </w:r>
      <w:r>
        <w:rPr>
          <w:spacing w:val="-1"/>
        </w:rPr>
        <w:t> </w:t>
      </w:r>
      <w:r>
        <w:rPr/>
        <w:t>great</w:t>
      </w:r>
      <w:r>
        <w:rPr>
          <w:spacing w:val="-2"/>
        </w:rPr>
        <w:t> </w:t>
      </w:r>
      <w:r>
        <w:rPr/>
        <w:t>concern for</w:t>
      </w:r>
      <w:r>
        <w:rPr>
          <w:spacing w:val="-8"/>
        </w:rPr>
        <w:t> </w:t>
      </w:r>
      <w:r>
        <w:rPr/>
        <w:t>him</w:t>
      </w:r>
      <w:r>
        <w:rPr>
          <w:spacing w:val="-12"/>
        </w:rPr>
        <w:t> </w:t>
      </w:r>
      <w:r>
        <w:rPr/>
        <w:t>in</w:t>
      </w:r>
      <w:r>
        <w:rPr>
          <w:spacing w:val="-11"/>
        </w:rPr>
        <w:t> </w:t>
      </w:r>
      <w:r>
        <w:rPr/>
        <w:t>spite</w:t>
      </w:r>
      <w:r>
        <w:rPr>
          <w:spacing w:val="-7"/>
        </w:rPr>
        <w:t> </w:t>
      </w:r>
      <w:r>
        <w:rPr/>
        <w:t>of</w:t>
      </w:r>
      <w:r>
        <w:rPr>
          <w:spacing w:val="-11"/>
        </w:rPr>
        <w:t> </w:t>
      </w:r>
      <w:r>
        <w:rPr/>
        <w:t>his</w:t>
      </w:r>
      <w:r>
        <w:rPr>
          <w:spacing w:val="-11"/>
        </w:rPr>
        <w:t> </w:t>
      </w:r>
      <w:r>
        <w:rPr/>
        <w:t>nonreciprocation</w:t>
      </w:r>
      <w:r>
        <w:rPr>
          <w:spacing w:val="-11"/>
        </w:rPr>
        <w:t> </w:t>
      </w:r>
      <w:r>
        <w:rPr/>
        <w:t>and</w:t>
      </w:r>
      <w:r>
        <w:rPr>
          <w:spacing w:val="-10"/>
        </w:rPr>
        <w:t> </w:t>
      </w:r>
      <w:r>
        <w:rPr/>
        <w:t>indifference</w:t>
      </w:r>
      <w:r>
        <w:rPr>
          <w:spacing w:val="-10"/>
        </w:rPr>
        <w:t> </w:t>
      </w:r>
      <w:r>
        <w:rPr/>
        <w:t>at</w:t>
      </w:r>
      <w:r>
        <w:rPr>
          <w:spacing w:val="-9"/>
        </w:rPr>
        <w:t> </w:t>
      </w:r>
      <w:r>
        <w:rPr/>
        <w:t>first.</w:t>
      </w:r>
      <w:r>
        <w:rPr>
          <w:spacing w:val="-10"/>
        </w:rPr>
        <w:t> </w:t>
      </w:r>
      <w:r>
        <w:rPr/>
        <w:t>(She</w:t>
      </w:r>
      <w:r>
        <w:rPr>
          <w:spacing w:val="-10"/>
        </w:rPr>
        <w:t> </w:t>
      </w:r>
      <w:r>
        <w:rPr/>
        <w:t>has transcended)She sees Devdas differently from the others, for behind</w:t>
      </w:r>
      <w:r>
        <w:rPr>
          <w:spacing w:val="40"/>
        </w:rPr>
        <w:t> </w:t>
      </w:r>
      <w:r>
        <w:rPr/>
        <w:t>that veneer of arrogance, she discerns the hurt and vulnerability that marked</w:t>
      </w:r>
      <w:r>
        <w:rPr>
          <w:spacing w:val="-6"/>
        </w:rPr>
        <w:t> </w:t>
      </w:r>
      <w:r>
        <w:rPr/>
        <w:t>his</w:t>
      </w:r>
      <w:r>
        <w:rPr>
          <w:spacing w:val="-6"/>
        </w:rPr>
        <w:t> </w:t>
      </w:r>
      <w:r>
        <w:rPr/>
        <w:t>world</w:t>
      </w:r>
      <w:r>
        <w:rPr>
          <w:spacing w:val="-6"/>
        </w:rPr>
        <w:t> </w:t>
      </w:r>
      <w:r>
        <w:rPr/>
        <w:t>within.</w:t>
      </w:r>
      <w:r>
        <w:rPr>
          <w:spacing w:val="-6"/>
        </w:rPr>
        <w:t> </w:t>
      </w:r>
      <w:r>
        <w:rPr/>
        <w:t>Chandramukhi</w:t>
      </w:r>
      <w:r>
        <w:rPr>
          <w:spacing w:val="-6"/>
        </w:rPr>
        <w:t> </w:t>
      </w:r>
      <w:r>
        <w:rPr/>
        <w:t>is</w:t>
      </w:r>
      <w:r>
        <w:rPr>
          <w:spacing w:val="-8"/>
        </w:rPr>
        <w:t> </w:t>
      </w:r>
      <w:r>
        <w:rPr/>
        <w:t>not</w:t>
      </w:r>
      <w:r>
        <w:rPr>
          <w:spacing w:val="-6"/>
        </w:rPr>
        <w:t> </w:t>
      </w:r>
      <w:r>
        <w:rPr/>
        <w:t>put</w:t>
      </w:r>
      <w:r>
        <w:rPr>
          <w:spacing w:val="-5"/>
        </w:rPr>
        <w:t> </w:t>
      </w:r>
      <w:r>
        <w:rPr/>
        <w:t>off</w:t>
      </w:r>
      <w:r>
        <w:rPr>
          <w:spacing w:val="-8"/>
        </w:rPr>
        <w:t> </w:t>
      </w:r>
      <w:r>
        <w:rPr/>
        <w:t>by</w:t>
      </w:r>
      <w:r>
        <w:rPr>
          <w:spacing w:val="-9"/>
        </w:rPr>
        <w:t> </w:t>
      </w:r>
      <w:r>
        <w:rPr/>
        <w:t>Devdas;</w:t>
      </w:r>
      <w:r>
        <w:rPr>
          <w:spacing w:val="-4"/>
        </w:rPr>
        <w:t> </w:t>
      </w:r>
      <w:r>
        <w:rPr/>
        <w:t>in</w:t>
      </w:r>
      <w:r>
        <w:rPr>
          <w:spacing w:val="-8"/>
        </w:rPr>
        <w:t> </w:t>
      </w:r>
      <w:r>
        <w:rPr/>
        <w:t>her perception, what her reflection conjures up are two people suffering: what she sees restricted him deeply. Her compassion is unqualified; it</w:t>
      </w:r>
      <w:r>
        <w:rPr>
          <w:spacing w:val="40"/>
        </w:rPr>
        <w:t> </w:t>
      </w:r>
      <w:r>
        <w:rPr/>
        <w:t>is nevertheless unaffected by neglect, establishing Chandramukhi as</w:t>
      </w:r>
      <w:r>
        <w:rPr>
          <w:spacing w:val="40"/>
        </w:rPr>
        <w:t> </w:t>
      </w:r>
      <w:r>
        <w:rPr/>
        <w:t>one of the few people who truly grasp how hurt he has been. From courtesan to a woman of depth and morality, this transformation underlines her agency while equally books within a marginal and oppressed spot. By risking her past and with it otium voked upon her</w:t>
      </w:r>
      <w:r>
        <w:rPr>
          <w:spacing w:val="80"/>
        </w:rPr>
        <w:t> </w:t>
      </w:r>
      <w:r>
        <w:rPr>
          <w:spacing w:val="-2"/>
        </w:rPr>
        <w:t>by</w:t>
      </w:r>
      <w:r>
        <w:rPr>
          <w:spacing w:val="-11"/>
        </w:rPr>
        <w:t> </w:t>
      </w:r>
      <w:r>
        <w:rPr>
          <w:spacing w:val="-2"/>
        </w:rPr>
        <w:t>society,</w:t>
      </w:r>
      <w:r>
        <w:rPr>
          <w:spacing w:val="-10"/>
        </w:rPr>
        <w:t> </w:t>
      </w:r>
      <w:r>
        <w:rPr>
          <w:spacing w:val="-2"/>
        </w:rPr>
        <w:t>Ms.</w:t>
      </w:r>
      <w:r>
        <w:rPr>
          <w:spacing w:val="-9"/>
        </w:rPr>
        <w:t> </w:t>
      </w:r>
      <w:r>
        <w:rPr>
          <w:spacing w:val="-2"/>
        </w:rPr>
        <w:t>Mukhi</w:t>
      </w:r>
      <w:r>
        <w:rPr>
          <w:spacing w:val="-9"/>
        </w:rPr>
        <w:t> </w:t>
      </w:r>
      <w:r>
        <w:rPr>
          <w:spacing w:val="-2"/>
        </w:rPr>
        <w:t>embarked</w:t>
      </w:r>
      <w:r>
        <w:rPr>
          <w:spacing w:val="-11"/>
        </w:rPr>
        <w:t> </w:t>
      </w:r>
      <w:r>
        <w:rPr>
          <w:spacing w:val="-2"/>
        </w:rPr>
        <w:t>on</w:t>
      </w:r>
      <w:r>
        <w:rPr>
          <w:spacing w:val="-8"/>
        </w:rPr>
        <w:t> </w:t>
      </w:r>
      <w:r>
        <w:rPr>
          <w:spacing w:val="-2"/>
        </w:rPr>
        <w:t>a</w:t>
      </w:r>
      <w:r>
        <w:rPr>
          <w:spacing w:val="-7"/>
        </w:rPr>
        <w:t> </w:t>
      </w:r>
      <w:r>
        <w:rPr>
          <w:spacing w:val="-2"/>
        </w:rPr>
        <w:t>journey</w:t>
      </w:r>
      <w:r>
        <w:rPr>
          <w:spacing w:val="-11"/>
        </w:rPr>
        <w:t> </w:t>
      </w:r>
      <w:r>
        <w:rPr>
          <w:spacing w:val="-2"/>
        </w:rPr>
        <w:t>laden</w:t>
      </w:r>
      <w:r>
        <w:rPr>
          <w:spacing w:val="-8"/>
        </w:rPr>
        <w:t> </w:t>
      </w:r>
      <w:r>
        <w:rPr>
          <w:spacing w:val="-2"/>
        </w:rPr>
        <w:t>with</w:t>
      </w:r>
      <w:r>
        <w:rPr>
          <w:spacing w:val="-9"/>
        </w:rPr>
        <w:t> </w:t>
      </w:r>
      <w:r>
        <w:rPr>
          <w:spacing w:val="-2"/>
        </w:rPr>
        <w:t>self-affirmation. </w:t>
      </w:r>
      <w:r>
        <w:rPr/>
        <w:t>Let’s not forget the power of this alteration also contains a lump of grandeur in terms of a partial take at self referral, under the weight of social</w:t>
      </w:r>
      <w:r>
        <w:rPr>
          <w:spacing w:val="40"/>
        </w:rPr>
        <w:t> </w:t>
      </w:r>
      <w:r>
        <w:rPr/>
        <w:t>judgments.</w:t>
      </w:r>
    </w:p>
    <w:p>
      <w:pPr>
        <w:pStyle w:val="BodyText"/>
        <w:spacing w:line="249" w:lineRule="auto" w:before="76"/>
        <w:ind w:right="1437" w:firstLine="432"/>
        <w:jc w:val="both"/>
      </w:pPr>
      <w:r>
        <w:rPr/>
        <w:t>In comparison to Devdas, whose response to emotional pain is tendentiously self-destructive, Chandramukhi converts her suffering into compassion and selflessness for the protagonist. She becomes a source of constant stability and support with her loving kindness, with this expression</w:t>
      </w:r>
      <w:r>
        <w:rPr>
          <w:spacing w:val="-1"/>
        </w:rPr>
        <w:t> </w:t>
      </w:r>
      <w:r>
        <w:rPr/>
        <w:t>of</w:t>
      </w:r>
      <w:r>
        <w:rPr>
          <w:spacing w:val="-3"/>
        </w:rPr>
        <w:t> </w:t>
      </w:r>
      <w:r>
        <w:rPr/>
        <w:t>emotional support being nearly</w:t>
      </w:r>
      <w:r>
        <w:rPr>
          <w:spacing w:val="-1"/>
        </w:rPr>
        <w:t> </w:t>
      </w:r>
      <w:r>
        <w:rPr/>
        <w:t>impossible for him</w:t>
      </w:r>
      <w:r>
        <w:rPr>
          <w:spacing w:val="-2"/>
        </w:rPr>
        <w:t> </w:t>
      </w:r>
      <w:r>
        <w:rPr/>
        <w:t>to find from anyone outside this particular environment alone. For Chandramukhi, it is possible that, despite all her understanding and devotion,</w:t>
      </w:r>
      <w:r>
        <w:rPr>
          <w:spacing w:val="-4"/>
        </w:rPr>
        <w:t> </w:t>
      </w:r>
      <w:r>
        <w:rPr/>
        <w:t>she</w:t>
      </w:r>
      <w:r>
        <w:rPr>
          <w:spacing w:val="-1"/>
        </w:rPr>
        <w:t> </w:t>
      </w:r>
      <w:r>
        <w:rPr/>
        <w:t>is</w:t>
      </w:r>
      <w:r>
        <w:rPr>
          <w:spacing w:val="-6"/>
        </w:rPr>
        <w:t> </w:t>
      </w:r>
      <w:r>
        <w:rPr/>
        <w:t>housebound</w:t>
      </w:r>
      <w:r>
        <w:rPr>
          <w:spacing w:val="-4"/>
        </w:rPr>
        <w:t> </w:t>
      </w:r>
      <w:r>
        <w:rPr/>
        <w:t>from</w:t>
      </w:r>
      <w:r>
        <w:rPr>
          <w:spacing w:val="-5"/>
        </w:rPr>
        <w:t> </w:t>
      </w:r>
      <w:r>
        <w:rPr/>
        <w:t>ever</w:t>
      </w:r>
      <w:r>
        <w:rPr>
          <w:spacing w:val="-4"/>
        </w:rPr>
        <w:t> </w:t>
      </w:r>
      <w:r>
        <w:rPr/>
        <w:t>having</w:t>
      </w:r>
      <w:r>
        <w:rPr>
          <w:spacing w:val="-6"/>
        </w:rPr>
        <w:t> </w:t>
      </w:r>
      <w:r>
        <w:rPr/>
        <w:t>a</w:t>
      </w:r>
      <w:r>
        <w:rPr>
          <w:spacing w:val="-2"/>
        </w:rPr>
        <w:t> </w:t>
      </w:r>
      <w:r>
        <w:rPr/>
        <w:t>relationship</w:t>
      </w:r>
      <w:r>
        <w:rPr>
          <w:spacing w:val="-4"/>
        </w:rPr>
        <w:t> </w:t>
      </w:r>
      <w:r>
        <w:rPr/>
        <w:t>recognized by society and gains more eerie marginalization. In the final days, she becomes the most aware of the psychological condition of a Devdas who can no longer tremble, yet she is impotent to change his destiny. Her inherent goodness is formed against the desolation of someone</w:t>
      </w:r>
      <w:r>
        <w:rPr>
          <w:spacing w:val="40"/>
        </w:rPr>
        <w:t> </w:t>
      </w:r>
      <w:r>
        <w:rPr/>
        <w:t>who cannot be saved from his own despair simply for lack of </w:t>
      </w:r>
      <w:r>
        <w:rPr>
          <w:spacing w:val="-2"/>
        </w:rPr>
        <w:t>understanding..</w:t>
      </w:r>
    </w:p>
    <w:p>
      <w:pPr>
        <w:pStyle w:val="Heading3"/>
        <w:numPr>
          <w:ilvl w:val="0"/>
          <w:numId w:val="43"/>
        </w:numPr>
        <w:tabs>
          <w:tab w:pos="1675" w:val="left" w:leader="none"/>
        </w:tabs>
        <w:spacing w:line="240" w:lineRule="auto" w:before="165" w:after="0"/>
        <w:ind w:left="1675" w:right="0" w:hanging="235"/>
        <w:jc w:val="left"/>
      </w:pPr>
      <w:r>
        <w:rPr>
          <w:w w:val="90"/>
        </w:rPr>
        <w:t>MADNESS</w:t>
      </w:r>
      <w:r>
        <w:rPr/>
        <w:t> </w:t>
      </w:r>
      <w:r>
        <w:rPr>
          <w:w w:val="90"/>
        </w:rPr>
        <w:t>AND</w:t>
      </w:r>
      <w:r>
        <w:rPr>
          <w:spacing w:val="-3"/>
        </w:rPr>
        <w:t> </w:t>
      </w:r>
      <w:r>
        <w:rPr>
          <w:w w:val="90"/>
        </w:rPr>
        <w:t>ESCAPISM</w:t>
      </w:r>
      <w:r>
        <w:rPr>
          <w:spacing w:val="-5"/>
        </w:rPr>
        <w:t> </w:t>
      </w:r>
      <w:r>
        <w:rPr>
          <w:w w:val="90"/>
        </w:rPr>
        <w:t>AS</w:t>
      </w:r>
      <w:r>
        <w:rPr/>
        <w:t> </w:t>
      </w:r>
      <w:r>
        <w:rPr>
          <w:w w:val="90"/>
        </w:rPr>
        <w:t>TRAGIC</w:t>
      </w:r>
      <w:r>
        <w:rPr>
          <w:spacing w:val="-2"/>
        </w:rPr>
        <w:t> </w:t>
      </w:r>
      <w:r>
        <w:rPr>
          <w:spacing w:val="-2"/>
          <w:w w:val="90"/>
        </w:rPr>
        <w:t>MECHANISMS</w:t>
      </w:r>
    </w:p>
    <w:p>
      <w:pPr>
        <w:pStyle w:val="BodyText"/>
        <w:spacing w:line="249" w:lineRule="auto" w:before="75"/>
        <w:ind w:right="1440" w:firstLine="432"/>
        <w:jc w:val="both"/>
      </w:pPr>
      <w:r>
        <w:rPr/>
        <w:t>Madness and escapism are devices that are employed for the unfolding</w:t>
      </w:r>
      <w:r>
        <w:rPr>
          <w:spacing w:val="39"/>
        </w:rPr>
        <w:t> </w:t>
      </w:r>
      <w:r>
        <w:rPr/>
        <w:t>of</w:t>
      </w:r>
      <w:r>
        <w:rPr>
          <w:spacing w:val="35"/>
        </w:rPr>
        <w:t> </w:t>
      </w:r>
      <w:r>
        <w:rPr/>
        <w:t>tragedy</w:t>
      </w:r>
      <w:r>
        <w:rPr>
          <w:spacing w:val="36"/>
        </w:rPr>
        <w:t> </w:t>
      </w:r>
      <w:r>
        <w:rPr/>
        <w:t>in</w:t>
      </w:r>
      <w:r>
        <w:rPr>
          <w:spacing w:val="36"/>
        </w:rPr>
        <w:t> </w:t>
      </w:r>
      <w:r>
        <w:rPr/>
        <w:t>Hamlet</w:t>
      </w:r>
      <w:r>
        <w:rPr>
          <w:spacing w:val="40"/>
        </w:rPr>
        <w:t> </w:t>
      </w:r>
      <w:r>
        <w:rPr/>
        <w:t>and</w:t>
      </w:r>
      <w:r>
        <w:rPr>
          <w:spacing w:val="42"/>
        </w:rPr>
        <w:t> </w:t>
      </w:r>
      <w:r>
        <w:rPr/>
        <w:t>Devdas.</w:t>
      </w:r>
      <w:r>
        <w:rPr>
          <w:spacing w:val="40"/>
        </w:rPr>
        <w:t> </w:t>
      </w:r>
      <w:r>
        <w:rPr/>
        <w:t>While</w:t>
      </w:r>
      <w:r>
        <w:rPr>
          <w:spacing w:val="40"/>
        </w:rPr>
        <w:t> </w:t>
      </w:r>
      <w:r>
        <w:rPr/>
        <w:t>both</w:t>
      </w:r>
      <w:r>
        <w:rPr>
          <w:spacing w:val="38"/>
        </w:rPr>
        <w:t> </w:t>
      </w:r>
      <w:r>
        <w:rPr/>
        <w:t>the</w:t>
      </w:r>
      <w:r>
        <w:rPr>
          <w:spacing w:val="40"/>
        </w:rPr>
        <w:t> </w:t>
      </w:r>
      <w:r>
        <w:rPr>
          <w:spacing w:val="-2"/>
        </w:rPr>
        <w:t>heroes</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7040">
                <wp:simplePos x="0" y="0"/>
                <wp:positionH relativeFrom="page">
                  <wp:posOffset>2065020</wp:posOffset>
                </wp:positionH>
                <wp:positionV relativeFrom="paragraph">
                  <wp:posOffset>795020</wp:posOffset>
                </wp:positionV>
                <wp:extent cx="3657600" cy="12700"/>
                <wp:effectExtent l="0" t="0" r="0" b="0"/>
                <wp:wrapTopAndBottom/>
                <wp:docPr id="509" name="Graphic 509"/>
                <wp:cNvGraphicFramePr>
                  <a:graphicFrameLocks/>
                </wp:cNvGraphicFramePr>
                <a:graphic>
                  <a:graphicData uri="http://schemas.microsoft.com/office/word/2010/wordprocessingShape">
                    <wps:wsp>
                      <wps:cNvPr id="509" name="Graphic 50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49440;mso-wrap-distance-left:0;mso-wrap-distance-right:0" id="docshape504" filled="true" fillcolor="#000000" stroked="false">
                <v:fill type="solid"/>
                <w10:wrap type="topAndBottom"/>
              </v:rect>
            </w:pict>
          </mc:Fallback>
        </mc:AlternateContent>
      </w:r>
      <w:r>
        <w:rPr>
          <w:rFonts w:ascii="Verdana"/>
          <w:sz w:val="18"/>
        </w:rPr>
        <w:t>Shadows</w:t>
      </w:r>
      <w:r>
        <w:rPr>
          <w:rFonts w:ascii="Verdana"/>
          <w:spacing w:val="5"/>
          <w:sz w:val="18"/>
        </w:rPr>
        <w:t> </w:t>
      </w:r>
      <w:r>
        <w:rPr>
          <w:rFonts w:ascii="Verdana"/>
          <w:sz w:val="18"/>
        </w:rPr>
        <w:t>of</w:t>
      </w:r>
      <w:r>
        <w:rPr>
          <w:rFonts w:ascii="Verdana"/>
          <w:spacing w:val="8"/>
          <w:sz w:val="18"/>
        </w:rPr>
        <w:t> </w:t>
      </w:r>
      <w:r>
        <w:rPr>
          <w:rFonts w:ascii="Verdana"/>
          <w:sz w:val="18"/>
        </w:rPr>
        <w:t>the</w:t>
      </w:r>
      <w:r>
        <w:rPr>
          <w:rFonts w:ascii="Verdana"/>
          <w:spacing w:val="6"/>
          <w:sz w:val="18"/>
        </w:rPr>
        <w:t> </w:t>
      </w:r>
      <w:r>
        <w:rPr>
          <w:rFonts w:ascii="Verdana"/>
          <w:sz w:val="18"/>
        </w:rPr>
        <w:t>Tragic</w:t>
      </w:r>
      <w:r>
        <w:rPr>
          <w:rFonts w:ascii="Verdana"/>
          <w:spacing w:val="6"/>
          <w:sz w:val="18"/>
        </w:rPr>
        <w:t> </w:t>
      </w:r>
      <w:r>
        <w:rPr>
          <w:rFonts w:ascii="Verdana"/>
          <w:sz w:val="18"/>
        </w:rPr>
        <w:t>Hero:</w:t>
      </w:r>
      <w:r>
        <w:rPr>
          <w:rFonts w:ascii="Verdana"/>
          <w:spacing w:val="5"/>
          <w:sz w:val="18"/>
        </w:rPr>
        <w:t> </w:t>
      </w:r>
      <w:r>
        <w:rPr>
          <w:rFonts w:ascii="Verdana"/>
          <w:sz w:val="18"/>
        </w:rPr>
        <w:t>Female</w:t>
      </w:r>
      <w:r>
        <w:rPr>
          <w:rFonts w:ascii="Verdana"/>
          <w:spacing w:val="5"/>
          <w:sz w:val="18"/>
        </w:rPr>
        <w:t> </w:t>
      </w:r>
      <w:r>
        <w:rPr>
          <w:rFonts w:ascii="Verdana"/>
          <w:sz w:val="18"/>
        </w:rPr>
        <w:t>Agency</w:t>
      </w:r>
      <w:r>
        <w:rPr>
          <w:rFonts w:ascii="Verdana"/>
          <w:spacing w:val="5"/>
          <w:sz w:val="18"/>
        </w:rPr>
        <w:t> </w:t>
      </w:r>
      <w:r>
        <w:rPr>
          <w:rFonts w:ascii="Verdana"/>
          <w:sz w:val="18"/>
        </w:rPr>
        <w:t>and</w:t>
      </w:r>
      <w:r>
        <w:rPr>
          <w:rFonts w:ascii="Verdana"/>
          <w:spacing w:val="7"/>
          <w:sz w:val="18"/>
        </w:rPr>
        <w:t> </w:t>
      </w:r>
      <w:r>
        <w:rPr>
          <w:rFonts w:ascii="Verdana"/>
          <w:spacing w:val="-5"/>
          <w:sz w:val="18"/>
        </w:rPr>
        <w:t>...</w:t>
      </w:r>
      <w:r>
        <w:rPr>
          <w:sz w:val="18"/>
        </w:rPr>
        <w:tab/>
      </w:r>
      <w:r>
        <w:rPr>
          <w:rFonts w:ascii="Verdana"/>
          <w:spacing w:val="-5"/>
          <w:sz w:val="18"/>
        </w:rPr>
        <w:t>235</w:t>
      </w:r>
    </w:p>
    <w:p>
      <w:pPr>
        <w:pStyle w:val="BodyText"/>
        <w:spacing w:line="249" w:lineRule="auto" w:before="192"/>
        <w:ind w:right="1438"/>
        <w:jc w:val="both"/>
      </w:pPr>
      <w:r>
        <w:rPr/>
        <w:t>crumble into psychological decline, in response to inner conflicts, they take two different routes - madness as a calculated plan for Hamlet and escaping by way of alcoholism for Devdas. More than reflecting individual personalities, these mechanics provide a whole new</w:t>
      </w:r>
      <w:r>
        <w:rPr>
          <w:spacing w:val="-2"/>
        </w:rPr>
        <w:t> </w:t>
      </w:r>
      <w:r>
        <w:rPr/>
        <w:t>thrust to their downfall; madness in Hamlet transpires pre-eminently in the ambience amid performance and reality, whereas escapism in Devdas vaults into the embrace of emotional vulnerability. Madness and escapism</w:t>
      </w:r>
      <w:r>
        <w:rPr>
          <w:spacing w:val="-1"/>
        </w:rPr>
        <w:t> </w:t>
      </w:r>
      <w:r>
        <w:rPr/>
        <w:t>are thus being presented as distorted psychological strategies, now</w:t>
      </w:r>
      <w:r>
        <w:rPr>
          <w:spacing w:val="-9"/>
        </w:rPr>
        <w:t> </w:t>
      </w:r>
      <w:r>
        <w:rPr/>
        <w:t>harmful</w:t>
      </w:r>
      <w:r>
        <w:rPr>
          <w:spacing w:val="-6"/>
        </w:rPr>
        <w:t> </w:t>
      </w:r>
      <w:r>
        <w:rPr/>
        <w:t>or</w:t>
      </w:r>
      <w:r>
        <w:rPr>
          <w:spacing w:val="-4"/>
        </w:rPr>
        <w:t> </w:t>
      </w:r>
      <w:r>
        <w:rPr/>
        <w:t>negative</w:t>
      </w:r>
      <w:r>
        <w:rPr>
          <w:spacing w:val="-6"/>
        </w:rPr>
        <w:t> </w:t>
      </w:r>
      <w:r>
        <w:rPr/>
        <w:t>enough</w:t>
      </w:r>
      <w:r>
        <w:rPr>
          <w:spacing w:val="-7"/>
        </w:rPr>
        <w:t> </w:t>
      </w:r>
      <w:r>
        <w:rPr/>
        <w:t>to</w:t>
      </w:r>
      <w:r>
        <w:rPr>
          <w:spacing w:val="-3"/>
        </w:rPr>
        <w:t> </w:t>
      </w:r>
      <w:r>
        <w:rPr/>
        <w:t>drive</w:t>
      </w:r>
      <w:r>
        <w:rPr>
          <w:spacing w:val="-5"/>
        </w:rPr>
        <w:t> </w:t>
      </w:r>
      <w:r>
        <w:rPr/>
        <w:t>the</w:t>
      </w:r>
      <w:r>
        <w:rPr>
          <w:spacing w:val="-7"/>
        </w:rPr>
        <w:t> </w:t>
      </w:r>
      <w:r>
        <w:rPr/>
        <w:t>narrative</w:t>
      </w:r>
      <w:r>
        <w:rPr>
          <w:spacing w:val="-6"/>
        </w:rPr>
        <w:t> </w:t>
      </w:r>
      <w:r>
        <w:rPr/>
        <w:t>of</w:t>
      </w:r>
      <w:r>
        <w:rPr>
          <w:spacing w:val="-7"/>
        </w:rPr>
        <w:t> </w:t>
      </w:r>
      <w:r>
        <w:rPr/>
        <w:t>some</w:t>
      </w:r>
      <w:r>
        <w:rPr>
          <w:spacing w:val="-6"/>
        </w:rPr>
        <w:t> </w:t>
      </w:r>
      <w:r>
        <w:rPr>
          <w:spacing w:val="-2"/>
        </w:rPr>
        <w:t>calamity.</w:t>
      </w:r>
    </w:p>
    <w:p>
      <w:pPr>
        <w:pStyle w:val="Heading5"/>
        <w:numPr>
          <w:ilvl w:val="0"/>
          <w:numId w:val="45"/>
        </w:numPr>
        <w:tabs>
          <w:tab w:pos="1785" w:val="left" w:leader="none"/>
        </w:tabs>
        <w:spacing w:line="240" w:lineRule="auto" w:before="115" w:after="0"/>
        <w:ind w:left="1785" w:right="0" w:hanging="345"/>
        <w:jc w:val="left"/>
      </w:pPr>
      <w:r>
        <w:rPr>
          <w:w w:val="105"/>
        </w:rPr>
        <w:t>Hamlet</w:t>
      </w:r>
      <w:r>
        <w:rPr>
          <w:spacing w:val="59"/>
          <w:w w:val="105"/>
        </w:rPr>
        <w:t> </w:t>
      </w:r>
      <w:r>
        <w:rPr>
          <w:w w:val="105"/>
        </w:rPr>
        <w:t>—</w:t>
      </w:r>
      <w:r>
        <w:rPr>
          <w:spacing w:val="60"/>
          <w:w w:val="105"/>
        </w:rPr>
        <w:t> </w:t>
      </w:r>
      <w:r>
        <w:rPr>
          <w:w w:val="105"/>
        </w:rPr>
        <w:t>Performed</w:t>
      </w:r>
      <w:r>
        <w:rPr>
          <w:spacing w:val="59"/>
          <w:w w:val="105"/>
        </w:rPr>
        <w:t> </w:t>
      </w:r>
      <w:r>
        <w:rPr>
          <w:spacing w:val="-2"/>
          <w:w w:val="105"/>
        </w:rPr>
        <w:t>Madness</w:t>
      </w:r>
    </w:p>
    <w:p>
      <w:pPr>
        <w:pStyle w:val="BodyText"/>
        <w:spacing w:line="249" w:lineRule="auto" w:before="71"/>
        <w:ind w:right="1439" w:firstLine="432"/>
        <w:jc w:val="both"/>
      </w:pPr>
      <w:r>
        <w:rPr/>
        <w:t>Madness first makes an appearance at Hamlet is performed </w:t>
      </w:r>
      <w:r>
        <w:rPr>
          <w:spacing w:val="-2"/>
        </w:rPr>
        <w:t>madness,</w:t>
      </w:r>
      <w:r>
        <w:rPr>
          <w:spacing w:val="-4"/>
        </w:rPr>
        <w:t> </w:t>
      </w:r>
      <w:r>
        <w:rPr>
          <w:spacing w:val="-2"/>
        </w:rPr>
        <w:t>that</w:t>
      </w:r>
      <w:r>
        <w:rPr>
          <w:spacing w:val="-4"/>
        </w:rPr>
        <w:t> </w:t>
      </w:r>
      <w:r>
        <w:rPr>
          <w:spacing w:val="-2"/>
        </w:rPr>
        <w:t>is</w:t>
      </w:r>
      <w:r>
        <w:rPr>
          <w:spacing w:val="-7"/>
        </w:rPr>
        <w:t> </w:t>
      </w:r>
      <w:r>
        <w:rPr>
          <w:spacing w:val="-2"/>
        </w:rPr>
        <w:t>a</w:t>
      </w:r>
      <w:r>
        <w:rPr>
          <w:spacing w:val="-3"/>
        </w:rPr>
        <w:t> </w:t>
      </w:r>
      <w:r>
        <w:rPr>
          <w:spacing w:val="-2"/>
        </w:rPr>
        <w:t>calculated</w:t>
      </w:r>
      <w:r>
        <w:rPr>
          <w:spacing w:val="-4"/>
        </w:rPr>
        <w:t> </w:t>
      </w:r>
      <w:r>
        <w:rPr>
          <w:spacing w:val="-2"/>
        </w:rPr>
        <w:t>article</w:t>
      </w:r>
      <w:r>
        <w:rPr>
          <w:spacing w:val="-5"/>
        </w:rPr>
        <w:t> </w:t>
      </w:r>
      <w:r>
        <w:rPr>
          <w:spacing w:val="-2"/>
        </w:rPr>
        <w:t>to</w:t>
      </w:r>
      <w:r>
        <w:rPr>
          <w:spacing w:val="-4"/>
        </w:rPr>
        <w:t> </w:t>
      </w:r>
      <w:r>
        <w:rPr>
          <w:spacing w:val="-2"/>
        </w:rPr>
        <w:t>formulae</w:t>
      </w:r>
      <w:r>
        <w:rPr>
          <w:spacing w:val="-5"/>
        </w:rPr>
        <w:t> </w:t>
      </w:r>
      <w:r>
        <w:rPr>
          <w:spacing w:val="-2"/>
        </w:rPr>
        <w:t>of</w:t>
      </w:r>
      <w:r>
        <w:rPr>
          <w:spacing w:val="-7"/>
        </w:rPr>
        <w:t> </w:t>
      </w:r>
      <w:r>
        <w:rPr>
          <w:spacing w:val="-2"/>
        </w:rPr>
        <w:t>the</w:t>
      </w:r>
      <w:r>
        <w:rPr>
          <w:spacing w:val="-5"/>
        </w:rPr>
        <w:t> </w:t>
      </w:r>
      <w:r>
        <w:rPr>
          <w:spacing w:val="-2"/>
        </w:rPr>
        <w:t>Romanian</w:t>
      </w:r>
      <w:r>
        <w:rPr>
          <w:spacing w:val="-7"/>
        </w:rPr>
        <w:t> </w:t>
      </w:r>
      <w:r>
        <w:rPr>
          <w:spacing w:val="-2"/>
        </w:rPr>
        <w:t>physical </w:t>
      </w:r>
      <w:r>
        <w:rPr/>
        <w:t>application. Here is a way for him to play innocent and hide intentions to act as a certain force, some make his approach seem less offensive considerately; its purpose is to excite rigors and challenge a way of seeing them, performance to keep in appeasing submission; when he challenges Claudius’s pre-eminence, the acquired literature enables whatever scant buffer of psychological distance he brings. Deliberate bolsters his nerves by seeming confused in his behavior or speech</w:t>
      </w:r>
      <w:r>
        <w:rPr>
          <w:spacing w:val="80"/>
        </w:rPr>
        <w:t> </w:t>
      </w:r>
      <w:r>
        <w:rPr/>
        <w:t>when people rather would give anything not to trust their friend whom they</w:t>
      </w:r>
      <w:r>
        <w:rPr>
          <w:spacing w:val="40"/>
        </w:rPr>
        <w:t> </w:t>
      </w:r>
      <w:r>
        <w:rPr/>
        <w:t>distrust.</w:t>
      </w:r>
    </w:p>
    <w:p>
      <w:pPr>
        <w:pStyle w:val="BodyText"/>
        <w:spacing w:line="249" w:lineRule="auto" w:before="67"/>
        <w:ind w:right="1439" w:firstLine="432"/>
        <w:jc w:val="both"/>
      </w:pPr>
      <w:r>
        <w:rPr/>
        <w:t>As the plot progresses, the line between performance and real mental distress begins to disappear. If we look at the way lengthened interaction</w:t>
      </w:r>
      <w:r>
        <w:rPr>
          <w:spacing w:val="-10"/>
        </w:rPr>
        <w:t> </w:t>
      </w:r>
      <w:r>
        <w:rPr/>
        <w:t>with</w:t>
      </w:r>
      <w:r>
        <w:rPr>
          <w:spacing w:val="-10"/>
        </w:rPr>
        <w:t> </w:t>
      </w:r>
      <w:r>
        <w:rPr/>
        <w:t>his</w:t>
      </w:r>
      <w:r>
        <w:rPr>
          <w:spacing w:val="-7"/>
        </w:rPr>
        <w:t> </w:t>
      </w:r>
      <w:r>
        <w:rPr/>
        <w:t>own</w:t>
      </w:r>
      <w:r>
        <w:rPr>
          <w:spacing w:val="-10"/>
        </w:rPr>
        <w:t> </w:t>
      </w:r>
      <w:r>
        <w:rPr/>
        <w:t>fictitious</w:t>
      </w:r>
      <w:r>
        <w:rPr>
          <w:spacing w:val="-10"/>
        </w:rPr>
        <w:t> </w:t>
      </w:r>
      <w:r>
        <w:rPr/>
        <w:t>identity</w:t>
      </w:r>
      <w:r>
        <w:rPr>
          <w:spacing w:val="-12"/>
        </w:rPr>
        <w:t> </w:t>
      </w:r>
      <w:r>
        <w:rPr/>
        <w:t>starts</w:t>
      </w:r>
      <w:r>
        <w:rPr>
          <w:spacing w:val="-10"/>
        </w:rPr>
        <w:t> </w:t>
      </w:r>
      <w:r>
        <w:rPr/>
        <w:t>to</w:t>
      </w:r>
      <w:r>
        <w:rPr>
          <w:spacing w:val="-5"/>
        </w:rPr>
        <w:t> </w:t>
      </w:r>
      <w:r>
        <w:rPr/>
        <w:t>break</w:t>
      </w:r>
      <w:r>
        <w:rPr>
          <w:spacing w:val="-10"/>
        </w:rPr>
        <w:t> </w:t>
      </w:r>
      <w:r>
        <w:rPr/>
        <w:t>down</w:t>
      </w:r>
      <w:r>
        <w:rPr>
          <w:spacing w:val="-10"/>
        </w:rPr>
        <w:t> </w:t>
      </w:r>
      <w:r>
        <w:rPr/>
        <w:t>Hamlet’s mental state, we see tearful excesses, immediate responses, and moral ponderings that make today’s notices of psychological woes marvelous in their strangeness. A significant number of bitter outbursts towards Ophelia,</w:t>
      </w:r>
      <w:r>
        <w:rPr>
          <w:spacing w:val="-12"/>
        </w:rPr>
        <w:t> </w:t>
      </w:r>
      <w:r>
        <w:rPr/>
        <w:t>far</w:t>
      </w:r>
      <w:r>
        <w:rPr>
          <w:spacing w:val="-8"/>
        </w:rPr>
        <w:t> </w:t>
      </w:r>
      <w:r>
        <w:rPr/>
        <w:t>too</w:t>
      </w:r>
      <w:r>
        <w:rPr>
          <w:spacing w:val="-11"/>
        </w:rPr>
        <w:t> </w:t>
      </w:r>
      <w:r>
        <w:rPr/>
        <w:t>many</w:t>
      </w:r>
      <w:r>
        <w:rPr>
          <w:spacing w:val="-13"/>
        </w:rPr>
        <w:t> </w:t>
      </w:r>
      <w:r>
        <w:rPr/>
        <w:t>thoughts</w:t>
      </w:r>
      <w:r>
        <w:rPr>
          <w:spacing w:val="-9"/>
        </w:rPr>
        <w:t> </w:t>
      </w:r>
      <w:r>
        <w:rPr/>
        <w:t>wrapping</w:t>
      </w:r>
      <w:r>
        <w:rPr>
          <w:spacing w:val="-11"/>
        </w:rPr>
        <w:t> </w:t>
      </w:r>
      <w:r>
        <w:rPr/>
        <w:t>themselves</w:t>
      </w:r>
      <w:r>
        <w:rPr>
          <w:spacing w:val="-11"/>
        </w:rPr>
        <w:t> </w:t>
      </w:r>
      <w:r>
        <w:rPr/>
        <w:t>around</w:t>
      </w:r>
      <w:r>
        <w:rPr>
          <w:spacing w:val="-8"/>
        </w:rPr>
        <w:t> </w:t>
      </w:r>
      <w:r>
        <w:rPr/>
        <w:t>the</w:t>
      </w:r>
      <w:r>
        <w:rPr>
          <w:spacing w:val="-11"/>
        </w:rPr>
        <w:t> </w:t>
      </w:r>
      <w:r>
        <w:rPr/>
        <w:t>concept of death, and an erratic demeanor all suggest a degree of this madness being beyond his control. That which at the start was a conscious</w:t>
      </w:r>
      <w:r>
        <w:rPr>
          <w:spacing w:val="80"/>
        </w:rPr>
        <w:t> </w:t>
      </w:r>
      <w:r>
        <w:rPr/>
        <w:t>action has turned into a psychological bifurcation that resembles the</w:t>
      </w:r>
      <w:r>
        <w:rPr>
          <w:spacing w:val="40"/>
        </w:rPr>
        <w:t> </w:t>
      </w:r>
      <w:r>
        <w:rPr/>
        <w:t>real thing.</w:t>
      </w:r>
    </w:p>
    <w:p>
      <w:pPr>
        <w:pStyle w:val="BodyText"/>
        <w:spacing w:line="249" w:lineRule="auto" w:before="67"/>
        <w:ind w:right="1439" w:firstLine="432"/>
        <w:jc w:val="both"/>
      </w:pPr>
      <w:r>
        <w:rPr/>
        <w:t>More comprehensible is a concept of insanity that transcends</w:t>
      </w:r>
      <w:r>
        <w:rPr>
          <w:spacing w:val="80"/>
        </w:rPr>
        <w:t> </w:t>
      </w:r>
      <w:r>
        <w:rPr>
          <w:spacing w:val="-4"/>
        </w:rPr>
        <w:t>mere intellectualism</w:t>
      </w:r>
      <w:r>
        <w:rPr>
          <w:spacing w:val="-6"/>
        </w:rPr>
        <w:t> </w:t>
      </w:r>
      <w:r>
        <w:rPr>
          <w:spacing w:val="-4"/>
        </w:rPr>
        <w:t>and morality when used in context</w:t>
      </w:r>
      <w:r>
        <w:rPr>
          <w:spacing w:val="-6"/>
        </w:rPr>
        <w:t> </w:t>
      </w:r>
      <w:r>
        <w:rPr>
          <w:spacing w:val="-4"/>
        </w:rPr>
        <w:t>of Hamlet. Feeling </w:t>
      </w:r>
      <w:r>
        <w:rPr/>
        <w:t>injustice, betrayal, and existential vacuousness acutely exacerbates his inner conflict, hitting him full force with oscillations from one extreme to the other. He is cynical to start with; by this gift of overthinking, he never even values the present with full blown reflections. He reasons himself</w:t>
      </w:r>
      <w:r>
        <w:rPr>
          <w:spacing w:val="20"/>
        </w:rPr>
        <w:t> </w:t>
      </w:r>
      <w:r>
        <w:rPr/>
        <w:t>into</w:t>
      </w:r>
      <w:r>
        <w:rPr>
          <w:spacing w:val="25"/>
        </w:rPr>
        <w:t> </w:t>
      </w:r>
      <w:r>
        <w:rPr/>
        <w:t>doing</w:t>
      </w:r>
      <w:r>
        <w:rPr>
          <w:spacing w:val="23"/>
        </w:rPr>
        <w:t> </w:t>
      </w:r>
      <w:r>
        <w:rPr/>
        <w:t>or</w:t>
      </w:r>
      <w:r>
        <w:rPr>
          <w:spacing w:val="24"/>
        </w:rPr>
        <w:t> </w:t>
      </w:r>
      <w:r>
        <w:rPr/>
        <w:t>momentarily</w:t>
      </w:r>
      <w:r>
        <w:rPr>
          <w:spacing w:val="19"/>
        </w:rPr>
        <w:t> </w:t>
      </w:r>
      <w:r>
        <w:rPr/>
        <w:t>makes</w:t>
      </w:r>
      <w:r>
        <w:rPr>
          <w:spacing w:val="23"/>
        </w:rPr>
        <w:t> </w:t>
      </w:r>
      <w:r>
        <w:rPr/>
        <w:t>certain</w:t>
      </w:r>
      <w:r>
        <w:rPr>
          <w:spacing w:val="25"/>
        </w:rPr>
        <w:t> </w:t>
      </w:r>
      <w:r>
        <w:rPr/>
        <w:t>about</w:t>
      </w:r>
      <w:r>
        <w:rPr>
          <w:spacing w:val="21"/>
        </w:rPr>
        <w:t> </w:t>
      </w:r>
      <w:r>
        <w:rPr/>
        <w:t>self-</w:t>
      </w:r>
      <w:r>
        <w:rPr>
          <w:spacing w:val="-2"/>
        </w:rPr>
        <w:t>obstacles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7552">
                <wp:simplePos x="0" y="0"/>
                <wp:positionH relativeFrom="page">
                  <wp:posOffset>2057400</wp:posOffset>
                </wp:positionH>
                <wp:positionV relativeFrom="paragraph">
                  <wp:posOffset>162604</wp:posOffset>
                </wp:positionV>
                <wp:extent cx="3657600" cy="12700"/>
                <wp:effectExtent l="0" t="0" r="0" b="0"/>
                <wp:wrapTopAndBottom/>
                <wp:docPr id="510" name="Graphic 510"/>
                <wp:cNvGraphicFramePr>
                  <a:graphicFrameLocks/>
                </wp:cNvGraphicFramePr>
                <a:graphic>
                  <a:graphicData uri="http://schemas.microsoft.com/office/word/2010/wordprocessingShape">
                    <wps:wsp>
                      <wps:cNvPr id="510" name="Graphic 51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48928;mso-wrap-distance-left:0;mso-wrap-distance-right:0" id="docshape505" filled="true" fillcolor="#000000" stroked="false">
                <v:fill type="solid"/>
                <w10:wrap type="topAndBottom"/>
              </v:rect>
            </w:pict>
          </mc:Fallback>
        </mc:AlternateContent>
      </w:r>
      <w:r>
        <w:rPr>
          <w:rFonts w:ascii="Verdana"/>
          <w:spacing w:val="-5"/>
          <w:sz w:val="18"/>
        </w:rPr>
        <w:t>236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that prevent him from doing something. Hence, madness is not just a mask,</w:t>
      </w:r>
      <w:r>
        <w:rPr>
          <w:spacing w:val="-10"/>
        </w:rPr>
        <w:t> </w:t>
      </w:r>
      <w:r>
        <w:rPr/>
        <w:t>because</w:t>
      </w:r>
      <w:r>
        <w:rPr>
          <w:spacing w:val="-8"/>
        </w:rPr>
        <w:t> </w:t>
      </w:r>
      <w:r>
        <w:rPr/>
        <w:t>madness,</w:t>
      </w:r>
      <w:r>
        <w:rPr>
          <w:spacing w:val="-8"/>
        </w:rPr>
        <w:t> </w:t>
      </w:r>
      <w:r>
        <w:rPr/>
        <w:t>then,</w:t>
      </w:r>
      <w:r>
        <w:rPr>
          <w:spacing w:val="-8"/>
        </w:rPr>
        <w:t> </w:t>
      </w:r>
      <w:r>
        <w:rPr/>
        <w:t>serves</w:t>
      </w:r>
      <w:r>
        <w:rPr>
          <w:spacing w:val="-10"/>
        </w:rPr>
        <w:t> </w:t>
      </w:r>
      <w:r>
        <w:rPr/>
        <w:t>to</w:t>
      </w:r>
      <w:r>
        <w:rPr>
          <w:spacing w:val="-6"/>
        </w:rPr>
        <w:t> </w:t>
      </w:r>
      <w:r>
        <w:rPr/>
        <w:t>make</w:t>
      </w:r>
      <w:r>
        <w:rPr>
          <w:spacing w:val="-9"/>
        </w:rPr>
        <w:t> </w:t>
      </w:r>
      <w:r>
        <w:rPr/>
        <w:t>for</w:t>
      </w:r>
      <w:r>
        <w:rPr>
          <w:spacing w:val="-8"/>
        </w:rPr>
        <w:t> </w:t>
      </w:r>
      <w:r>
        <w:rPr/>
        <w:t>many</w:t>
      </w:r>
      <w:r>
        <w:rPr>
          <w:spacing w:val="-10"/>
        </w:rPr>
        <w:t> </w:t>
      </w:r>
      <w:r>
        <w:rPr/>
        <w:t>things,</w:t>
      </w:r>
      <w:r>
        <w:rPr>
          <w:spacing w:val="-10"/>
        </w:rPr>
        <w:t> </w:t>
      </w:r>
      <w:r>
        <w:rPr/>
        <w:t>including madness</w:t>
      </w:r>
      <w:r>
        <w:rPr>
          <w:spacing w:val="40"/>
        </w:rPr>
        <w:t> </w:t>
      </w:r>
      <w:r>
        <w:rPr/>
        <w:t>on</w:t>
      </w:r>
      <w:r>
        <w:rPr>
          <w:spacing w:val="40"/>
        </w:rPr>
        <w:t> </w:t>
      </w:r>
      <w:r>
        <w:rPr/>
        <w:t>the</w:t>
      </w:r>
      <w:r>
        <w:rPr>
          <w:spacing w:val="40"/>
        </w:rPr>
        <w:t> </w:t>
      </w:r>
      <w:r>
        <w:rPr/>
        <w:t>gravity</w:t>
      </w:r>
      <w:r>
        <w:rPr>
          <w:spacing w:val="40"/>
        </w:rPr>
        <w:t> </w:t>
      </w:r>
      <w:r>
        <w:rPr/>
        <w:t>needed</w:t>
      </w:r>
      <w:r>
        <w:rPr>
          <w:spacing w:val="40"/>
        </w:rPr>
        <w:t> </w:t>
      </w:r>
      <w:r>
        <w:rPr/>
        <w:t>to</w:t>
      </w:r>
      <w:r>
        <w:rPr>
          <w:spacing w:val="40"/>
        </w:rPr>
        <w:t> </w:t>
      </w:r>
      <w:r>
        <w:rPr/>
        <w:t>establish</w:t>
      </w:r>
      <w:r>
        <w:rPr>
          <w:spacing w:val="40"/>
        </w:rPr>
        <w:t> </w:t>
      </w:r>
      <w:r>
        <w:rPr/>
        <w:t>his</w:t>
      </w:r>
      <w:r>
        <w:rPr>
          <w:spacing w:val="40"/>
        </w:rPr>
        <w:t> </w:t>
      </w:r>
      <w:r>
        <w:rPr/>
        <w:t>tragedy.</w:t>
      </w:r>
    </w:p>
    <w:p>
      <w:pPr>
        <w:pStyle w:val="Heading5"/>
        <w:numPr>
          <w:ilvl w:val="0"/>
          <w:numId w:val="45"/>
        </w:numPr>
        <w:tabs>
          <w:tab w:pos="1749" w:val="left" w:leader="none"/>
        </w:tabs>
        <w:spacing w:line="240" w:lineRule="auto" w:before="110" w:after="0"/>
        <w:ind w:left="1749" w:right="0" w:hanging="309"/>
        <w:jc w:val="left"/>
      </w:pPr>
      <w:r>
        <w:rPr>
          <w:w w:val="105"/>
        </w:rPr>
        <w:t>Devdas</w:t>
      </w:r>
      <w:r>
        <w:rPr>
          <w:spacing w:val="71"/>
          <w:w w:val="150"/>
        </w:rPr>
        <w:t> </w:t>
      </w:r>
      <w:r>
        <w:rPr>
          <w:w w:val="105"/>
        </w:rPr>
        <w:t>—</w:t>
      </w:r>
      <w:r>
        <w:rPr>
          <w:spacing w:val="71"/>
          <w:w w:val="150"/>
        </w:rPr>
        <w:t> </w:t>
      </w:r>
      <w:r>
        <w:rPr>
          <w:w w:val="105"/>
        </w:rPr>
        <w:t>Alcoholism</w:t>
      </w:r>
      <w:r>
        <w:rPr>
          <w:spacing w:val="71"/>
          <w:w w:val="150"/>
        </w:rPr>
        <w:t> </w:t>
      </w:r>
      <w:r>
        <w:rPr>
          <w:w w:val="105"/>
        </w:rPr>
        <w:t>as</w:t>
      </w:r>
      <w:r>
        <w:rPr>
          <w:spacing w:val="68"/>
          <w:w w:val="150"/>
        </w:rPr>
        <w:t> </w:t>
      </w:r>
      <w:r>
        <w:rPr>
          <w:spacing w:val="-2"/>
          <w:w w:val="105"/>
        </w:rPr>
        <w:t>Escapism</w:t>
      </w:r>
    </w:p>
    <w:p>
      <w:pPr>
        <w:pStyle w:val="BodyText"/>
        <w:spacing w:line="264" w:lineRule="auto" w:before="79"/>
        <w:ind w:right="1438" w:firstLine="432"/>
        <w:jc w:val="both"/>
      </w:pPr>
      <w:r>
        <w:rPr/>
        <w:t>In Devdas, escapism becomes alcoholism and absorbs the protagonist’s sensitivity to the pain. The character consciously resigns himself</w:t>
      </w:r>
      <w:r>
        <w:rPr>
          <w:spacing w:val="-13"/>
        </w:rPr>
        <w:t> </w:t>
      </w:r>
      <w:r>
        <w:rPr/>
        <w:t>to</w:t>
      </w:r>
      <w:r>
        <w:rPr>
          <w:spacing w:val="-9"/>
        </w:rPr>
        <w:t> </w:t>
      </w:r>
      <w:r>
        <w:rPr/>
        <w:t>self-destructiveness,</w:t>
      </w:r>
      <w:r>
        <w:rPr>
          <w:spacing w:val="-12"/>
        </w:rPr>
        <w:t> </w:t>
      </w:r>
      <w:r>
        <w:rPr/>
        <w:t>unlike</w:t>
      </w:r>
      <w:r>
        <w:rPr>
          <w:spacing w:val="-12"/>
        </w:rPr>
        <w:t> </w:t>
      </w:r>
      <w:r>
        <w:rPr/>
        <w:t>Hamlet,</w:t>
      </w:r>
      <w:r>
        <w:rPr>
          <w:spacing w:val="-9"/>
        </w:rPr>
        <w:t> </w:t>
      </w:r>
      <w:r>
        <w:rPr/>
        <w:t>who</w:t>
      </w:r>
      <w:r>
        <w:rPr>
          <w:spacing w:val="-11"/>
        </w:rPr>
        <w:t> </w:t>
      </w:r>
      <w:r>
        <w:rPr/>
        <w:t>tries</w:t>
      </w:r>
      <w:r>
        <w:rPr>
          <w:spacing w:val="-12"/>
        </w:rPr>
        <w:t> </w:t>
      </w:r>
      <w:r>
        <w:rPr/>
        <w:t>to</w:t>
      </w:r>
      <w:r>
        <w:rPr>
          <w:spacing w:val="-9"/>
        </w:rPr>
        <w:t> </w:t>
      </w:r>
      <w:r>
        <w:rPr/>
        <w:t>wrest</w:t>
      </w:r>
      <w:r>
        <w:rPr>
          <w:spacing w:val="-11"/>
        </w:rPr>
        <w:t> </w:t>
      </w:r>
      <w:r>
        <w:rPr/>
        <w:t>control of</w:t>
      </w:r>
      <w:r>
        <w:rPr>
          <w:spacing w:val="-13"/>
        </w:rPr>
        <w:t> </w:t>
      </w:r>
      <w:r>
        <w:rPr/>
        <w:t>strategies</w:t>
      </w:r>
      <w:r>
        <w:rPr>
          <w:spacing w:val="-12"/>
        </w:rPr>
        <w:t> </w:t>
      </w:r>
      <w:r>
        <w:rPr/>
        <w:t>for</w:t>
      </w:r>
      <w:r>
        <w:rPr>
          <w:spacing w:val="-13"/>
        </w:rPr>
        <w:t> </w:t>
      </w:r>
      <w:r>
        <w:rPr/>
        <w:t>his</w:t>
      </w:r>
      <w:r>
        <w:rPr>
          <w:spacing w:val="-12"/>
        </w:rPr>
        <w:t> </w:t>
      </w:r>
      <w:r>
        <w:rPr/>
        <w:t>mental</w:t>
      </w:r>
      <w:r>
        <w:rPr>
          <w:spacing w:val="-13"/>
        </w:rPr>
        <w:t> </w:t>
      </w:r>
      <w:r>
        <w:rPr/>
        <w:t>counter-strategy.</w:t>
      </w:r>
      <w:r>
        <w:rPr>
          <w:spacing w:val="-12"/>
        </w:rPr>
        <w:t> </w:t>
      </w:r>
      <w:r>
        <w:rPr/>
        <w:t>His</w:t>
      </w:r>
      <w:r>
        <w:rPr>
          <w:spacing w:val="-13"/>
        </w:rPr>
        <w:t> </w:t>
      </w:r>
      <w:r>
        <w:rPr/>
        <w:t>journey</w:t>
      </w:r>
      <w:r>
        <w:rPr>
          <w:spacing w:val="-12"/>
        </w:rPr>
        <w:t> </w:t>
      </w:r>
      <w:r>
        <w:rPr/>
        <w:t>towards</w:t>
      </w:r>
      <w:r>
        <w:rPr>
          <w:spacing w:val="-13"/>
        </w:rPr>
        <w:t> </w:t>
      </w:r>
      <w:r>
        <w:rPr/>
        <w:t>alcohol is no mistake, but a conscious, perhaps involuntary, avoidance of his present indecision, lost romance, and societal pressures. With the relinquishment of his control comes the beginning of his downfall, and his</w:t>
      </w:r>
      <w:r>
        <w:rPr>
          <w:spacing w:val="-2"/>
        </w:rPr>
        <w:t> </w:t>
      </w:r>
      <w:r>
        <w:rPr/>
        <w:t>cries</w:t>
      </w:r>
      <w:r>
        <w:rPr>
          <w:spacing w:val="-4"/>
        </w:rPr>
        <w:t> </w:t>
      </w:r>
      <w:r>
        <w:rPr/>
        <w:t>are</w:t>
      </w:r>
      <w:r>
        <w:rPr>
          <w:spacing w:val="-4"/>
        </w:rPr>
        <w:t> </w:t>
      </w:r>
      <w:r>
        <w:rPr/>
        <w:t>presumed</w:t>
      </w:r>
      <w:r>
        <w:rPr>
          <w:spacing w:val="-2"/>
        </w:rPr>
        <w:t> </w:t>
      </w:r>
      <w:r>
        <w:rPr/>
        <w:t>to</w:t>
      </w:r>
      <w:r>
        <w:rPr>
          <w:spacing w:val="-2"/>
        </w:rPr>
        <w:t> </w:t>
      </w:r>
      <w:r>
        <w:rPr/>
        <w:t>fill</w:t>
      </w:r>
      <w:r>
        <w:rPr>
          <w:spacing w:val="-2"/>
        </w:rPr>
        <w:t> </w:t>
      </w:r>
      <w:r>
        <w:rPr/>
        <w:t>certain space,</w:t>
      </w:r>
      <w:r>
        <w:rPr>
          <w:spacing w:val="-2"/>
        </w:rPr>
        <w:t> </w:t>
      </w:r>
      <w:r>
        <w:rPr/>
        <w:t>which</w:t>
      </w:r>
      <w:r>
        <w:rPr>
          <w:spacing w:val="-4"/>
        </w:rPr>
        <w:t> </w:t>
      </w:r>
      <w:r>
        <w:rPr/>
        <w:t>should</w:t>
      </w:r>
      <w:r>
        <w:rPr>
          <w:spacing w:val="-2"/>
        </w:rPr>
        <w:t> </w:t>
      </w:r>
      <w:r>
        <w:rPr/>
        <w:t>better</w:t>
      </w:r>
      <w:r>
        <w:rPr>
          <w:spacing w:val="-2"/>
        </w:rPr>
        <w:t> </w:t>
      </w:r>
      <w:r>
        <w:rPr/>
        <w:t>be</w:t>
      </w:r>
      <w:r>
        <w:rPr>
          <w:spacing w:val="-3"/>
        </w:rPr>
        <w:t> </w:t>
      </w:r>
      <w:r>
        <w:rPr/>
        <w:t>filled by effective rather than temporary relief.</w:t>
      </w:r>
    </w:p>
    <w:p>
      <w:pPr>
        <w:pStyle w:val="BodyText"/>
        <w:spacing w:line="264" w:lineRule="auto" w:before="49"/>
        <w:ind w:right="1439" w:firstLine="432"/>
        <w:jc w:val="both"/>
      </w:pPr>
      <w:r>
        <w:rPr/>
        <w:t>Devdas’s alcoholism embodies a substitute for courage and emotional expression. Devdas failed to express his love for Paro nor could he accept the painful reality that broke his heart. The alcohol served as only an illusory means to numb his pain. Such self-delusion</w:t>
      </w:r>
      <w:r>
        <w:rPr>
          <w:spacing w:val="40"/>
        </w:rPr>
        <w:t> </w:t>
      </w:r>
      <w:r>
        <w:rPr/>
        <w:t>of</w:t>
      </w:r>
      <w:r>
        <w:rPr>
          <w:spacing w:val="-11"/>
        </w:rPr>
        <w:t> </w:t>
      </w:r>
      <w:r>
        <w:rPr/>
        <w:t>escapism</w:t>
      </w:r>
      <w:r>
        <w:rPr>
          <w:spacing w:val="-10"/>
        </w:rPr>
        <w:t> </w:t>
      </w:r>
      <w:r>
        <w:rPr/>
        <w:t>through</w:t>
      </w:r>
      <w:r>
        <w:rPr>
          <w:spacing w:val="-11"/>
        </w:rPr>
        <w:t> </w:t>
      </w:r>
      <w:r>
        <w:rPr/>
        <w:t>alcohol</w:t>
      </w:r>
      <w:r>
        <w:rPr>
          <w:spacing w:val="-9"/>
        </w:rPr>
        <w:t> </w:t>
      </w:r>
      <w:r>
        <w:rPr/>
        <w:t>prevented</w:t>
      </w:r>
      <w:r>
        <w:rPr>
          <w:spacing w:val="-7"/>
        </w:rPr>
        <w:t> </w:t>
      </w:r>
      <w:r>
        <w:rPr/>
        <w:t>him</w:t>
      </w:r>
      <w:r>
        <w:rPr>
          <w:spacing w:val="-8"/>
        </w:rPr>
        <w:t> </w:t>
      </w:r>
      <w:r>
        <w:rPr/>
        <w:t>from</w:t>
      </w:r>
      <w:r>
        <w:rPr>
          <w:spacing w:val="-12"/>
        </w:rPr>
        <w:t> </w:t>
      </w:r>
      <w:r>
        <w:rPr/>
        <w:t>entering</w:t>
      </w:r>
      <w:r>
        <w:rPr>
          <w:spacing w:val="-9"/>
        </w:rPr>
        <w:t> </w:t>
      </w:r>
      <w:r>
        <w:rPr/>
        <w:t>the</w:t>
      </w:r>
      <w:r>
        <w:rPr>
          <w:spacing w:val="-8"/>
        </w:rPr>
        <w:t> </w:t>
      </w:r>
      <w:r>
        <w:rPr/>
        <w:t>web</w:t>
      </w:r>
      <w:r>
        <w:rPr>
          <w:spacing w:val="-6"/>
        </w:rPr>
        <w:t> </w:t>
      </w:r>
      <w:r>
        <w:rPr/>
        <w:t>of</w:t>
      </w:r>
      <w:r>
        <w:rPr>
          <w:spacing w:val="-9"/>
        </w:rPr>
        <w:t> </w:t>
      </w:r>
      <w:r>
        <w:rPr/>
        <w:t>life under more favorable conditions: this relegation towards nothingness further watered the seed of his despair. One drink on top of another merely</w:t>
      </w:r>
      <w:r>
        <w:rPr>
          <w:spacing w:val="5"/>
        </w:rPr>
        <w:t> </w:t>
      </w:r>
      <w:r>
        <w:rPr/>
        <w:t>increased</w:t>
      </w:r>
      <w:r>
        <w:rPr>
          <w:spacing w:val="7"/>
        </w:rPr>
        <w:t> </w:t>
      </w:r>
      <w:r>
        <w:rPr/>
        <w:t>his</w:t>
      </w:r>
      <w:r>
        <w:rPr>
          <w:spacing w:val="10"/>
        </w:rPr>
        <w:t> </w:t>
      </w:r>
      <w:r>
        <w:rPr/>
        <w:t>expectation</w:t>
      </w:r>
      <w:r>
        <w:rPr>
          <w:spacing w:val="5"/>
        </w:rPr>
        <w:t> </w:t>
      </w:r>
      <w:r>
        <w:rPr/>
        <w:t>for</w:t>
      </w:r>
      <w:r>
        <w:rPr>
          <w:spacing w:val="9"/>
        </w:rPr>
        <w:t> </w:t>
      </w:r>
      <w:r>
        <w:rPr/>
        <w:t>relief,</w:t>
      </w:r>
      <w:r>
        <w:rPr>
          <w:spacing w:val="8"/>
        </w:rPr>
        <w:t> </w:t>
      </w:r>
      <w:r>
        <w:rPr/>
        <w:t>leading</w:t>
      </w:r>
      <w:r>
        <w:rPr>
          <w:spacing w:val="7"/>
        </w:rPr>
        <w:t> </w:t>
      </w:r>
      <w:r>
        <w:rPr/>
        <w:t>to</w:t>
      </w:r>
      <w:r>
        <w:rPr>
          <w:spacing w:val="8"/>
        </w:rPr>
        <w:t> </w:t>
      </w:r>
      <w:r>
        <w:rPr/>
        <w:t>greater</w:t>
      </w:r>
      <w:r>
        <w:rPr>
          <w:spacing w:val="9"/>
        </w:rPr>
        <w:t> </w:t>
      </w:r>
      <w:r>
        <w:rPr>
          <w:spacing w:val="-2"/>
        </w:rPr>
        <w:t>isolation.</w:t>
      </w:r>
    </w:p>
    <w:p>
      <w:pPr>
        <w:pStyle w:val="BodyText"/>
        <w:spacing w:line="264" w:lineRule="auto" w:before="49"/>
        <w:ind w:right="1440" w:firstLine="432"/>
        <w:jc w:val="both"/>
      </w:pPr>
      <w:r>
        <w:rPr/>
        <w:t>In classical tragic abuse, Gilroy’s strategic retreat signals a rather remarkable</w:t>
      </w:r>
      <w:r>
        <w:rPr>
          <w:spacing w:val="-13"/>
        </w:rPr>
        <w:t> </w:t>
      </w:r>
      <w:r>
        <w:rPr/>
        <w:t>adaptation</w:t>
      </w:r>
      <w:r>
        <w:rPr>
          <w:spacing w:val="-12"/>
        </w:rPr>
        <w:t> </w:t>
      </w:r>
      <w:r>
        <w:rPr/>
        <w:t>of</w:t>
      </w:r>
      <w:r>
        <w:rPr>
          <w:spacing w:val="-13"/>
        </w:rPr>
        <w:t> </w:t>
      </w:r>
      <w:r>
        <w:rPr/>
        <w:t>the</w:t>
      </w:r>
      <w:r>
        <w:rPr>
          <w:spacing w:val="-12"/>
        </w:rPr>
        <w:t> </w:t>
      </w:r>
      <w:r>
        <w:rPr/>
        <w:t>heroic</w:t>
      </w:r>
      <w:r>
        <w:rPr>
          <w:spacing w:val="-13"/>
        </w:rPr>
        <w:t> </w:t>
      </w:r>
      <w:r>
        <w:rPr/>
        <w:t>downfall.</w:t>
      </w:r>
      <w:r>
        <w:rPr>
          <w:spacing w:val="-12"/>
        </w:rPr>
        <w:t> </w:t>
      </w:r>
      <w:r>
        <w:rPr/>
        <w:t>Devdas</w:t>
      </w:r>
      <w:r>
        <w:rPr>
          <w:spacing w:val="-13"/>
        </w:rPr>
        <w:t> </w:t>
      </w:r>
      <w:r>
        <w:rPr/>
        <w:t>reveals</w:t>
      </w:r>
      <w:r>
        <w:rPr>
          <w:spacing w:val="-12"/>
        </w:rPr>
        <w:t> </w:t>
      </w:r>
      <w:r>
        <w:rPr/>
        <w:t>a</w:t>
      </w:r>
      <w:r>
        <w:rPr>
          <w:spacing w:val="-13"/>
        </w:rPr>
        <w:t> </w:t>
      </w:r>
      <w:r>
        <w:rPr/>
        <w:t>character who is not lead to decline by one tragic fatal flaw, as is normally the case</w:t>
      </w:r>
      <w:r>
        <w:rPr>
          <w:spacing w:val="-13"/>
        </w:rPr>
        <w:t> </w:t>
      </w:r>
      <w:r>
        <w:rPr/>
        <w:t>in</w:t>
      </w:r>
      <w:r>
        <w:rPr>
          <w:spacing w:val="-11"/>
        </w:rPr>
        <w:t> </w:t>
      </w:r>
      <w:r>
        <w:rPr/>
        <w:t>classical</w:t>
      </w:r>
      <w:r>
        <w:rPr>
          <w:spacing w:val="-12"/>
        </w:rPr>
        <w:t> </w:t>
      </w:r>
      <w:r>
        <w:rPr/>
        <w:t>tragedy,</w:t>
      </w:r>
      <w:r>
        <w:rPr>
          <w:spacing w:val="-12"/>
        </w:rPr>
        <w:t> </w:t>
      </w:r>
      <w:r>
        <w:rPr/>
        <w:t>but</w:t>
      </w:r>
      <w:r>
        <w:rPr>
          <w:spacing w:val="-12"/>
        </w:rPr>
        <w:t> </w:t>
      </w:r>
      <w:r>
        <w:rPr/>
        <w:t>by</w:t>
      </w:r>
      <w:r>
        <w:rPr>
          <w:spacing w:val="-13"/>
        </w:rPr>
        <w:t> </w:t>
      </w:r>
      <w:r>
        <w:rPr/>
        <w:t>a</w:t>
      </w:r>
      <w:r>
        <w:rPr>
          <w:spacing w:val="-11"/>
        </w:rPr>
        <w:t> </w:t>
      </w:r>
      <w:r>
        <w:rPr/>
        <w:t>slow</w:t>
      </w:r>
      <w:r>
        <w:rPr>
          <w:spacing w:val="-13"/>
        </w:rPr>
        <w:t> </w:t>
      </w:r>
      <w:r>
        <w:rPr/>
        <w:t>blight</w:t>
      </w:r>
      <w:r>
        <w:rPr>
          <w:spacing w:val="-12"/>
        </w:rPr>
        <w:t> </w:t>
      </w:r>
      <w:r>
        <w:rPr/>
        <w:t>of</w:t>
      </w:r>
      <w:r>
        <w:rPr>
          <w:spacing w:val="-10"/>
        </w:rPr>
        <w:t> </w:t>
      </w:r>
      <w:r>
        <w:rPr/>
        <w:t>self-destructive</w:t>
      </w:r>
      <w:r>
        <w:rPr>
          <w:spacing w:val="-13"/>
        </w:rPr>
        <w:t> </w:t>
      </w:r>
      <w:r>
        <w:rPr/>
        <w:t>patterns. In stark opposition to classical ideas of tragedy, where events really do </w:t>
      </w:r>
      <w:r>
        <w:rPr>
          <w:spacing w:val="-2"/>
        </w:rPr>
        <w:t>the killing, Devdas</w:t>
      </w:r>
      <w:r>
        <w:rPr>
          <w:spacing w:val="-3"/>
        </w:rPr>
        <w:t> </w:t>
      </w:r>
      <w:r>
        <w:rPr>
          <w:spacing w:val="-2"/>
        </w:rPr>
        <w:t>glaringly</w:t>
      </w:r>
      <w:r>
        <w:rPr>
          <w:spacing w:val="-6"/>
        </w:rPr>
        <w:t> </w:t>
      </w:r>
      <w:r>
        <w:rPr>
          <w:spacing w:val="-2"/>
        </w:rPr>
        <w:t>pockmarks</w:t>
      </w:r>
      <w:r>
        <w:rPr>
          <w:spacing w:val="-3"/>
        </w:rPr>
        <w:t> </w:t>
      </w:r>
      <w:r>
        <w:rPr>
          <w:spacing w:val="-2"/>
        </w:rPr>
        <w:t>all action</w:t>
      </w:r>
      <w:r>
        <w:rPr>
          <w:spacing w:val="-3"/>
        </w:rPr>
        <w:t> </w:t>
      </w:r>
      <w:r>
        <w:rPr>
          <w:spacing w:val="-2"/>
        </w:rPr>
        <w:t>through</w:t>
      </w:r>
      <w:r>
        <w:rPr>
          <w:spacing w:val="-3"/>
        </w:rPr>
        <w:t> </w:t>
      </w:r>
      <w:r>
        <w:rPr>
          <w:spacing w:val="-2"/>
        </w:rPr>
        <w:t>inaction.</w:t>
      </w:r>
      <w:r>
        <w:rPr>
          <w:spacing w:val="-6"/>
        </w:rPr>
        <w:t> </w:t>
      </w:r>
      <w:r>
        <w:rPr>
          <w:spacing w:val="-2"/>
        </w:rPr>
        <w:t>With </w:t>
      </w:r>
      <w:r>
        <w:rPr/>
        <w:t>the advancing course of events, Devdas’s disruptive force shirking reality sets him onto its slow and creeping path down to complete </w:t>
      </w:r>
      <w:r>
        <w:rPr>
          <w:spacing w:val="-2"/>
        </w:rPr>
        <w:t>annihilation.</w:t>
      </w:r>
    </w:p>
    <w:p>
      <w:pPr>
        <w:pStyle w:val="BodyText"/>
        <w:spacing w:line="264" w:lineRule="auto" w:before="51"/>
        <w:ind w:right="1437" w:firstLine="432"/>
        <w:jc w:val="both"/>
      </w:pPr>
      <w:r>
        <w:rPr>
          <w:spacing w:val="-2"/>
        </w:rPr>
        <w:t>Ultimately,</w:t>
      </w:r>
      <w:r>
        <w:rPr>
          <w:spacing w:val="-11"/>
        </w:rPr>
        <w:t> </w:t>
      </w:r>
      <w:r>
        <w:rPr>
          <w:spacing w:val="-2"/>
        </w:rPr>
        <w:t>alcoholism</w:t>
      </w:r>
      <w:r>
        <w:rPr>
          <w:spacing w:val="-10"/>
        </w:rPr>
        <w:t> </w:t>
      </w:r>
      <w:r>
        <w:rPr>
          <w:spacing w:val="-2"/>
        </w:rPr>
        <w:t>is</w:t>
      </w:r>
      <w:r>
        <w:rPr>
          <w:spacing w:val="-10"/>
        </w:rPr>
        <w:t> </w:t>
      </w:r>
      <w:r>
        <w:rPr>
          <w:spacing w:val="-2"/>
        </w:rPr>
        <w:t>symbolic</w:t>
      </w:r>
      <w:r>
        <w:rPr>
          <w:spacing w:val="-8"/>
        </w:rPr>
        <w:t> </w:t>
      </w:r>
      <w:r>
        <w:rPr>
          <w:spacing w:val="-2"/>
        </w:rPr>
        <w:t>of</w:t>
      </w:r>
      <w:r>
        <w:rPr>
          <w:spacing w:val="-8"/>
        </w:rPr>
        <w:t> </w:t>
      </w:r>
      <w:r>
        <w:rPr>
          <w:spacing w:val="-2"/>
        </w:rPr>
        <w:t>an</w:t>
      </w:r>
      <w:r>
        <w:rPr>
          <w:spacing w:val="-8"/>
        </w:rPr>
        <w:t> </w:t>
      </w:r>
      <w:r>
        <w:rPr>
          <w:spacing w:val="-2"/>
        </w:rPr>
        <w:t>inability</w:t>
      </w:r>
      <w:r>
        <w:rPr>
          <w:spacing w:val="-11"/>
        </w:rPr>
        <w:t> </w:t>
      </w:r>
      <w:r>
        <w:rPr>
          <w:spacing w:val="-2"/>
        </w:rPr>
        <w:t>to</w:t>
      </w:r>
      <w:r>
        <w:rPr>
          <w:spacing w:val="-5"/>
        </w:rPr>
        <w:t> </w:t>
      </w:r>
      <w:r>
        <w:rPr>
          <w:spacing w:val="-2"/>
        </w:rPr>
        <w:t>reconcile</w:t>
      </w:r>
      <w:r>
        <w:rPr>
          <w:spacing w:val="-6"/>
        </w:rPr>
        <w:t> </w:t>
      </w:r>
      <w:r>
        <w:rPr>
          <w:spacing w:val="-2"/>
        </w:rPr>
        <w:t>desire </w:t>
      </w:r>
      <w:r>
        <w:rPr/>
        <w:t>with responsibility-a goal that is set impossible due to extravagance, and that carries on investing in isolation and illusion, thus proving that redemption is almost impossible. It is as if escapism could be called some powerful-and present-day-tragic effect that shows how an underwhelmed</w:t>
      </w:r>
      <w:r>
        <w:rPr>
          <w:spacing w:val="-3"/>
        </w:rPr>
        <w:t> </w:t>
      </w:r>
      <w:r>
        <w:rPr/>
        <w:t>weakness</w:t>
      </w:r>
      <w:r>
        <w:rPr>
          <w:spacing w:val="-3"/>
        </w:rPr>
        <w:t> </w:t>
      </w:r>
      <w:r>
        <w:rPr/>
        <w:t>of</w:t>
      </w:r>
      <w:r>
        <w:rPr>
          <w:spacing w:val="-7"/>
        </w:rPr>
        <w:t> </w:t>
      </w:r>
      <w:r>
        <w:rPr/>
        <w:t>emotion</w:t>
      </w:r>
      <w:r>
        <w:rPr>
          <w:spacing w:val="-5"/>
        </w:rPr>
        <w:t> </w:t>
      </w:r>
      <w:r>
        <w:rPr/>
        <w:t>and</w:t>
      </w:r>
      <w:r>
        <w:rPr>
          <w:spacing w:val="-2"/>
        </w:rPr>
        <w:t> </w:t>
      </w:r>
      <w:r>
        <w:rPr/>
        <w:t>escapism</w:t>
      </w:r>
      <w:r>
        <w:rPr>
          <w:spacing w:val="-6"/>
        </w:rPr>
        <w:t> </w:t>
      </w:r>
      <w:r>
        <w:rPr/>
        <w:t>can</w:t>
      </w:r>
      <w:r>
        <w:rPr>
          <w:spacing w:val="-7"/>
        </w:rPr>
        <w:t> </w:t>
      </w:r>
      <w:r>
        <w:rPr/>
        <w:t>be</w:t>
      </w:r>
      <w:r>
        <w:rPr>
          <w:spacing w:val="-5"/>
        </w:rPr>
        <w:t> </w:t>
      </w:r>
      <w:r>
        <w:rPr/>
        <w:t>as</w:t>
      </w:r>
      <w:r>
        <w:rPr>
          <w:spacing w:val="-3"/>
        </w:rPr>
        <w:t> </w:t>
      </w:r>
      <w:r>
        <w:rPr/>
        <w:t>destructive as</w:t>
      </w:r>
      <w:r>
        <w:rPr>
          <w:spacing w:val="40"/>
        </w:rPr>
        <w:t> </w:t>
      </w:r>
      <w:r>
        <w:rPr/>
        <w:t>action.</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2" w:val="left" w:leader="none"/>
        </w:tabs>
        <w:spacing w:before="0"/>
        <w:ind w:left="0" w:right="2"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768064">
                <wp:simplePos x="0" y="0"/>
                <wp:positionH relativeFrom="page">
                  <wp:posOffset>2065020</wp:posOffset>
                </wp:positionH>
                <wp:positionV relativeFrom="paragraph">
                  <wp:posOffset>162604</wp:posOffset>
                </wp:positionV>
                <wp:extent cx="3657600" cy="12700"/>
                <wp:effectExtent l="0" t="0" r="0" b="0"/>
                <wp:wrapTopAndBottom/>
                <wp:docPr id="511" name="Graphic 511"/>
                <wp:cNvGraphicFramePr>
                  <a:graphicFrameLocks/>
                </wp:cNvGraphicFramePr>
                <a:graphic>
                  <a:graphicData uri="http://schemas.microsoft.com/office/word/2010/wordprocessingShape">
                    <wps:wsp>
                      <wps:cNvPr id="511" name="Graphic 51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48416;mso-wrap-distance-left:0;mso-wrap-distance-right:0" id="docshape506" filled="true" fillcolor="#000000" stroked="false">
                <v:fill type="solid"/>
                <w10:wrap type="topAndBottom"/>
              </v:rect>
            </w:pict>
          </mc:Fallback>
        </mc:AlternateContent>
      </w:r>
      <w:r>
        <w:rPr>
          <w:rFonts w:ascii="Verdana"/>
          <w:sz w:val="18"/>
        </w:rPr>
        <w:t>Shadows</w:t>
      </w:r>
      <w:r>
        <w:rPr>
          <w:rFonts w:ascii="Verdana"/>
          <w:spacing w:val="5"/>
          <w:sz w:val="18"/>
        </w:rPr>
        <w:t> </w:t>
      </w:r>
      <w:r>
        <w:rPr>
          <w:rFonts w:ascii="Verdana"/>
          <w:sz w:val="18"/>
        </w:rPr>
        <w:t>of</w:t>
      </w:r>
      <w:r>
        <w:rPr>
          <w:rFonts w:ascii="Verdana"/>
          <w:spacing w:val="8"/>
          <w:sz w:val="18"/>
        </w:rPr>
        <w:t> </w:t>
      </w:r>
      <w:r>
        <w:rPr>
          <w:rFonts w:ascii="Verdana"/>
          <w:sz w:val="18"/>
        </w:rPr>
        <w:t>the</w:t>
      </w:r>
      <w:r>
        <w:rPr>
          <w:rFonts w:ascii="Verdana"/>
          <w:spacing w:val="6"/>
          <w:sz w:val="18"/>
        </w:rPr>
        <w:t> </w:t>
      </w:r>
      <w:r>
        <w:rPr>
          <w:rFonts w:ascii="Verdana"/>
          <w:sz w:val="18"/>
        </w:rPr>
        <w:t>Tragic</w:t>
      </w:r>
      <w:r>
        <w:rPr>
          <w:rFonts w:ascii="Verdana"/>
          <w:spacing w:val="6"/>
          <w:sz w:val="18"/>
        </w:rPr>
        <w:t> </w:t>
      </w:r>
      <w:r>
        <w:rPr>
          <w:rFonts w:ascii="Verdana"/>
          <w:sz w:val="18"/>
        </w:rPr>
        <w:t>Hero:</w:t>
      </w:r>
      <w:r>
        <w:rPr>
          <w:rFonts w:ascii="Verdana"/>
          <w:spacing w:val="5"/>
          <w:sz w:val="18"/>
        </w:rPr>
        <w:t> </w:t>
      </w:r>
      <w:r>
        <w:rPr>
          <w:rFonts w:ascii="Verdana"/>
          <w:sz w:val="18"/>
        </w:rPr>
        <w:t>Female</w:t>
      </w:r>
      <w:r>
        <w:rPr>
          <w:rFonts w:ascii="Verdana"/>
          <w:spacing w:val="5"/>
          <w:sz w:val="18"/>
        </w:rPr>
        <w:t> </w:t>
      </w:r>
      <w:r>
        <w:rPr>
          <w:rFonts w:ascii="Verdana"/>
          <w:sz w:val="18"/>
        </w:rPr>
        <w:t>Agency</w:t>
      </w:r>
      <w:r>
        <w:rPr>
          <w:rFonts w:ascii="Verdana"/>
          <w:spacing w:val="5"/>
          <w:sz w:val="18"/>
        </w:rPr>
        <w:t> </w:t>
      </w:r>
      <w:r>
        <w:rPr>
          <w:rFonts w:ascii="Verdana"/>
          <w:sz w:val="18"/>
        </w:rPr>
        <w:t>and</w:t>
      </w:r>
      <w:r>
        <w:rPr>
          <w:rFonts w:ascii="Verdana"/>
          <w:spacing w:val="7"/>
          <w:sz w:val="18"/>
        </w:rPr>
        <w:t> </w:t>
      </w:r>
      <w:r>
        <w:rPr>
          <w:rFonts w:ascii="Verdana"/>
          <w:spacing w:val="-5"/>
          <w:sz w:val="18"/>
        </w:rPr>
        <w:t>...</w:t>
      </w:r>
      <w:r>
        <w:rPr>
          <w:sz w:val="18"/>
        </w:rPr>
        <w:tab/>
      </w:r>
      <w:r>
        <w:rPr>
          <w:rFonts w:ascii="Verdana"/>
          <w:spacing w:val="-5"/>
          <w:sz w:val="18"/>
        </w:rPr>
        <w:t>237</w:t>
      </w:r>
    </w:p>
    <w:p>
      <w:pPr>
        <w:pStyle w:val="Heading3"/>
        <w:numPr>
          <w:ilvl w:val="0"/>
          <w:numId w:val="43"/>
        </w:numPr>
        <w:tabs>
          <w:tab w:pos="1690" w:val="left" w:leader="none"/>
        </w:tabs>
        <w:spacing w:line="240" w:lineRule="auto" w:before="173" w:after="0"/>
        <w:ind w:left="1690" w:right="0" w:hanging="250"/>
        <w:jc w:val="left"/>
      </w:pPr>
      <w:r>
        <w:rPr>
          <w:spacing w:val="2"/>
          <w:w w:val="90"/>
        </w:rPr>
        <w:t>COMPARATIVE</w:t>
      </w:r>
      <w:r>
        <w:rPr>
          <w:spacing w:val="40"/>
        </w:rPr>
        <w:t> </w:t>
      </w:r>
      <w:r>
        <w:rPr>
          <w:spacing w:val="-2"/>
        </w:rPr>
        <w:t>ANALYSIS</w:t>
      </w:r>
    </w:p>
    <w:p>
      <w:pPr>
        <w:pStyle w:val="BodyText"/>
        <w:spacing w:line="249" w:lineRule="auto" w:before="75"/>
        <w:ind w:right="1440" w:firstLine="432"/>
        <w:jc w:val="both"/>
      </w:pPr>
      <w:r>
        <w:rPr/>
        <w:t>The contrast between</w:t>
      </w:r>
      <w:r>
        <w:rPr>
          <w:spacing w:val="-1"/>
        </w:rPr>
        <w:t> </w:t>
      </w:r>
      <w:r>
        <w:rPr/>
        <w:t>Hamlet and Devdas illustrates the transition from classical to modern tragedy in which the female principle plays a </w:t>
      </w:r>
      <w:r>
        <w:rPr>
          <w:spacing w:val="-2"/>
        </w:rPr>
        <w:t>more</w:t>
      </w:r>
      <w:r>
        <w:rPr>
          <w:spacing w:val="-7"/>
        </w:rPr>
        <w:t> </w:t>
      </w:r>
      <w:r>
        <w:rPr>
          <w:spacing w:val="-2"/>
        </w:rPr>
        <w:t>central</w:t>
      </w:r>
      <w:r>
        <w:rPr>
          <w:spacing w:val="-6"/>
        </w:rPr>
        <w:t> </w:t>
      </w:r>
      <w:r>
        <w:rPr>
          <w:spacing w:val="-2"/>
        </w:rPr>
        <w:t>role.</w:t>
      </w:r>
      <w:r>
        <w:rPr>
          <w:spacing w:val="-11"/>
        </w:rPr>
        <w:t> </w:t>
      </w:r>
      <w:r>
        <w:rPr>
          <w:spacing w:val="-2"/>
        </w:rPr>
        <w:t>While</w:t>
      </w:r>
      <w:r>
        <w:rPr>
          <w:spacing w:val="-3"/>
        </w:rPr>
        <w:t> </w:t>
      </w:r>
      <w:r>
        <w:rPr>
          <w:spacing w:val="-2"/>
        </w:rPr>
        <w:t>Hamlet,</w:t>
      </w:r>
      <w:r>
        <w:rPr>
          <w:spacing w:val="-4"/>
        </w:rPr>
        <w:t> </w:t>
      </w:r>
      <w:r>
        <w:rPr>
          <w:spacing w:val="-2"/>
        </w:rPr>
        <w:t>owing</w:t>
      </w:r>
      <w:r>
        <w:rPr>
          <w:spacing w:val="-9"/>
        </w:rPr>
        <w:t> </w:t>
      </w:r>
      <w:r>
        <w:rPr>
          <w:spacing w:val="-2"/>
        </w:rPr>
        <w:t>to</w:t>
      </w:r>
      <w:r>
        <w:rPr>
          <w:spacing w:val="-4"/>
        </w:rPr>
        <w:t> </w:t>
      </w:r>
      <w:r>
        <w:rPr>
          <w:spacing w:val="-2"/>
        </w:rPr>
        <w:t>intellectual</w:t>
      </w:r>
      <w:r>
        <w:rPr>
          <w:spacing w:val="-11"/>
        </w:rPr>
        <w:t> </w:t>
      </w:r>
      <w:r>
        <w:rPr>
          <w:spacing w:val="-2"/>
        </w:rPr>
        <w:t>debate</w:t>
      </w:r>
      <w:r>
        <w:rPr>
          <w:spacing w:val="-6"/>
        </w:rPr>
        <w:t> </w:t>
      </w:r>
      <w:r>
        <w:rPr>
          <w:spacing w:val="-2"/>
        </w:rPr>
        <w:t>and</w:t>
      </w:r>
      <w:r>
        <w:rPr>
          <w:spacing w:val="-4"/>
        </w:rPr>
        <w:t> </w:t>
      </w:r>
      <w:r>
        <w:rPr>
          <w:spacing w:val="-2"/>
        </w:rPr>
        <w:t>indirect </w:t>
      </w:r>
      <w:r>
        <w:rPr/>
        <w:t>female influence eventually reaches the fall of his fortunes, Devdas’s tragedy is on account of emotional weakness, and directly impacts females.</w:t>
      </w:r>
      <w:r>
        <w:rPr>
          <w:spacing w:val="-5"/>
        </w:rPr>
        <w:t> </w:t>
      </w:r>
      <w:r>
        <w:rPr/>
        <w:t>There</w:t>
      </w:r>
      <w:r>
        <w:rPr>
          <w:spacing w:val="-8"/>
        </w:rPr>
        <w:t> </w:t>
      </w:r>
      <w:r>
        <w:rPr/>
        <w:t>are</w:t>
      </w:r>
      <w:r>
        <w:rPr>
          <w:spacing w:val="-5"/>
        </w:rPr>
        <w:t> </w:t>
      </w:r>
      <w:r>
        <w:rPr/>
        <w:t>fundamentally</w:t>
      </w:r>
      <w:r>
        <w:rPr>
          <w:spacing w:val="-8"/>
        </w:rPr>
        <w:t> </w:t>
      </w:r>
      <w:r>
        <w:rPr/>
        <w:t>psychological</w:t>
      </w:r>
      <w:r>
        <w:rPr>
          <w:spacing w:val="-6"/>
        </w:rPr>
        <w:t> </w:t>
      </w:r>
      <w:r>
        <w:rPr/>
        <w:t>complexities</w:t>
      </w:r>
      <w:r>
        <w:rPr>
          <w:spacing w:val="-8"/>
        </w:rPr>
        <w:t> </w:t>
      </w:r>
      <w:r>
        <w:rPr/>
        <w:t>leading</w:t>
      </w:r>
      <w:r>
        <w:rPr>
          <w:spacing w:val="-7"/>
        </w:rPr>
        <w:t> </w:t>
      </w:r>
      <w:r>
        <w:rPr/>
        <w:t>to the ultimate collapse of Devdas, while on the other hand Hamlet’s misery</w:t>
      </w:r>
      <w:r>
        <w:rPr>
          <w:spacing w:val="-13"/>
        </w:rPr>
        <w:t> </w:t>
      </w:r>
      <w:r>
        <w:rPr/>
        <w:t>is</w:t>
      </w:r>
      <w:r>
        <w:rPr>
          <w:spacing w:val="-9"/>
        </w:rPr>
        <w:t> </w:t>
      </w:r>
      <w:r>
        <w:rPr/>
        <w:t>more</w:t>
      </w:r>
      <w:r>
        <w:rPr>
          <w:spacing w:val="-9"/>
        </w:rPr>
        <w:t> </w:t>
      </w:r>
      <w:r>
        <w:rPr/>
        <w:t>loaded</w:t>
      </w:r>
      <w:r>
        <w:rPr>
          <w:spacing w:val="-7"/>
        </w:rPr>
        <w:t> </w:t>
      </w:r>
      <w:r>
        <w:rPr/>
        <w:t>with</w:t>
      </w:r>
      <w:r>
        <w:rPr>
          <w:spacing w:val="-9"/>
        </w:rPr>
        <w:t> </w:t>
      </w:r>
      <w:r>
        <w:rPr/>
        <w:t>socially</w:t>
      </w:r>
      <w:r>
        <w:rPr>
          <w:spacing w:val="-9"/>
        </w:rPr>
        <w:t> </w:t>
      </w:r>
      <w:r>
        <w:rPr/>
        <w:t>invigorated</w:t>
      </w:r>
      <w:r>
        <w:rPr>
          <w:spacing w:val="-7"/>
        </w:rPr>
        <w:t> </w:t>
      </w:r>
      <w:r>
        <w:rPr/>
        <w:t>anguish.</w:t>
      </w:r>
      <w:r>
        <w:rPr>
          <w:spacing w:val="-9"/>
        </w:rPr>
        <w:t> </w:t>
      </w:r>
      <w:r>
        <w:rPr/>
        <w:t>Table</w:t>
      </w:r>
      <w:r>
        <w:rPr>
          <w:spacing w:val="-8"/>
        </w:rPr>
        <w:t> </w:t>
      </w:r>
      <w:r>
        <w:rPr/>
        <w:t>1</w:t>
      </w:r>
      <w:r>
        <w:rPr>
          <w:spacing w:val="-7"/>
        </w:rPr>
        <w:t> </w:t>
      </w:r>
      <w:r>
        <w:rPr/>
        <w:t>reveals an analytical comparison of how female agency and the psychological downfall</w:t>
      </w:r>
      <w:r>
        <w:rPr>
          <w:spacing w:val="-12"/>
        </w:rPr>
        <w:t> </w:t>
      </w:r>
      <w:r>
        <w:rPr/>
        <w:t>work</w:t>
      </w:r>
      <w:r>
        <w:rPr>
          <w:spacing w:val="-13"/>
        </w:rPr>
        <w:t> </w:t>
      </w:r>
      <w:r>
        <w:rPr/>
        <w:t>together</w:t>
      </w:r>
      <w:r>
        <w:rPr>
          <w:spacing w:val="-8"/>
        </w:rPr>
        <w:t> </w:t>
      </w:r>
      <w:r>
        <w:rPr/>
        <w:t>to</w:t>
      </w:r>
      <w:r>
        <w:rPr>
          <w:spacing w:val="-9"/>
        </w:rPr>
        <w:t> </w:t>
      </w:r>
      <w:r>
        <w:rPr/>
        <w:t>mold</w:t>
      </w:r>
      <w:r>
        <w:rPr>
          <w:spacing w:val="-11"/>
        </w:rPr>
        <w:t> </w:t>
      </w:r>
      <w:r>
        <w:rPr/>
        <w:t>the</w:t>
      </w:r>
      <w:r>
        <w:rPr>
          <w:spacing w:val="-10"/>
        </w:rPr>
        <w:t> </w:t>
      </w:r>
      <w:r>
        <w:rPr/>
        <w:t>tragic</w:t>
      </w:r>
      <w:r>
        <w:rPr>
          <w:spacing w:val="-10"/>
        </w:rPr>
        <w:t> </w:t>
      </w:r>
      <w:r>
        <w:rPr/>
        <w:t>consequences</w:t>
      </w:r>
      <w:r>
        <w:rPr>
          <w:spacing w:val="-12"/>
        </w:rPr>
        <w:t> </w:t>
      </w:r>
      <w:r>
        <w:rPr/>
        <w:t>for</w:t>
      </w:r>
      <w:r>
        <w:rPr>
          <w:spacing w:val="-11"/>
        </w:rPr>
        <w:t> </w:t>
      </w:r>
      <w:r>
        <w:rPr/>
        <w:t>both</w:t>
      </w:r>
      <w:r>
        <w:rPr>
          <w:spacing w:val="-11"/>
        </w:rPr>
        <w:t> </w:t>
      </w:r>
      <w:r>
        <w:rPr/>
        <w:t>Hamlet and</w:t>
      </w:r>
      <w:r>
        <w:rPr>
          <w:spacing w:val="40"/>
        </w:rPr>
        <w:t> </w:t>
      </w:r>
      <w:r>
        <w:rPr/>
        <w:t>Devdas.</w:t>
      </w:r>
    </w:p>
    <w:p>
      <w:pPr>
        <w:spacing w:line="244" w:lineRule="auto" w:before="66"/>
        <w:ind w:left="1352" w:right="1354" w:firstLine="0"/>
        <w:jc w:val="center"/>
        <w:rPr>
          <w:rFonts w:ascii="Cambria"/>
          <w:i/>
          <w:sz w:val="18"/>
        </w:rPr>
      </w:pPr>
      <w:r>
        <w:rPr>
          <w:rFonts w:ascii="Cambria"/>
          <w:i/>
          <w:w w:val="110"/>
          <w:sz w:val="18"/>
        </w:rPr>
        <w:t>Table</w:t>
      </w:r>
      <w:r>
        <w:rPr>
          <w:rFonts w:ascii="Cambria"/>
          <w:i/>
          <w:w w:val="110"/>
          <w:sz w:val="18"/>
        </w:rPr>
        <w:t> 1:</w:t>
      </w:r>
      <w:r>
        <w:rPr>
          <w:rFonts w:ascii="Cambria"/>
          <w:i/>
          <w:w w:val="110"/>
          <w:sz w:val="18"/>
        </w:rPr>
        <w:t> Comparative</w:t>
      </w:r>
      <w:r>
        <w:rPr>
          <w:rFonts w:ascii="Cambria"/>
          <w:i/>
          <w:w w:val="110"/>
          <w:sz w:val="18"/>
        </w:rPr>
        <w:t> Analysis</w:t>
      </w:r>
      <w:r>
        <w:rPr>
          <w:rFonts w:ascii="Cambria"/>
          <w:i/>
          <w:w w:val="110"/>
          <w:sz w:val="18"/>
        </w:rPr>
        <w:t> of</w:t>
      </w:r>
      <w:r>
        <w:rPr>
          <w:rFonts w:ascii="Cambria"/>
          <w:i/>
          <w:w w:val="110"/>
          <w:sz w:val="18"/>
        </w:rPr>
        <w:t> Female</w:t>
      </w:r>
      <w:r>
        <w:rPr>
          <w:rFonts w:ascii="Cambria"/>
          <w:i/>
          <w:w w:val="110"/>
          <w:sz w:val="18"/>
        </w:rPr>
        <w:t> Agency</w:t>
      </w:r>
      <w:r>
        <w:rPr>
          <w:rFonts w:ascii="Cambria"/>
          <w:i/>
          <w:w w:val="110"/>
          <w:sz w:val="18"/>
        </w:rPr>
        <w:t> and</w:t>
      </w:r>
      <w:r>
        <w:rPr>
          <w:rFonts w:ascii="Cambria"/>
          <w:i/>
          <w:w w:val="110"/>
          <w:sz w:val="18"/>
        </w:rPr>
        <w:t> Psychological Tragedy</w:t>
      </w:r>
      <w:r>
        <w:rPr>
          <w:rFonts w:ascii="Cambria"/>
          <w:i/>
          <w:w w:val="110"/>
          <w:sz w:val="18"/>
        </w:rPr>
        <w:t> in</w:t>
      </w:r>
      <w:r>
        <w:rPr>
          <w:rFonts w:ascii="Cambria"/>
          <w:i/>
          <w:w w:val="110"/>
          <w:sz w:val="18"/>
        </w:rPr>
        <w:t> Hamlet and</w:t>
      </w:r>
      <w:r>
        <w:rPr>
          <w:rFonts w:ascii="Cambria"/>
          <w:i/>
          <w:w w:val="110"/>
          <w:sz w:val="18"/>
        </w:rPr>
        <w:t> Devdas</w:t>
      </w:r>
    </w:p>
    <w:p>
      <w:pPr>
        <w:pStyle w:val="BodyText"/>
        <w:spacing w:before="4"/>
        <w:ind w:left="0"/>
        <w:rPr>
          <w:rFonts w:ascii="Cambria"/>
          <w:i/>
          <w:sz w:val="7"/>
        </w:rPr>
      </w:pPr>
    </w:p>
    <w:tbl>
      <w:tblPr>
        <w:tblW w:w="0" w:type="auto"/>
        <w:jc w:val="left"/>
        <w:tblInd w:w="1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7"/>
        <w:gridCol w:w="1413"/>
        <w:gridCol w:w="1421"/>
        <w:gridCol w:w="1392"/>
      </w:tblGrid>
      <w:tr>
        <w:trPr>
          <w:trHeight w:val="474" w:hRule="atLeast"/>
        </w:trPr>
        <w:tc>
          <w:tcPr>
            <w:tcW w:w="1187" w:type="dxa"/>
          </w:tcPr>
          <w:p>
            <w:pPr>
              <w:pStyle w:val="TableParagraph"/>
              <w:spacing w:line="157" w:lineRule="exact"/>
              <w:ind w:left="394"/>
              <w:rPr>
                <w:b/>
                <w:sz w:val="14"/>
              </w:rPr>
            </w:pPr>
            <w:r>
              <w:rPr>
                <w:b/>
                <w:spacing w:val="-2"/>
                <w:sz w:val="14"/>
              </w:rPr>
              <w:t>Aspect</w:t>
            </w:r>
          </w:p>
        </w:tc>
        <w:tc>
          <w:tcPr>
            <w:tcW w:w="1413" w:type="dxa"/>
            <w:tcBorders>
              <w:right w:val="single" w:sz="6" w:space="0" w:color="000000"/>
            </w:tcBorders>
          </w:tcPr>
          <w:p>
            <w:pPr>
              <w:pStyle w:val="TableParagraph"/>
              <w:ind w:left="309" w:right="74" w:hanging="101"/>
              <w:rPr>
                <w:b/>
                <w:sz w:val="14"/>
              </w:rPr>
            </w:pPr>
            <w:r>
              <w:rPr>
                <w:b/>
                <w:spacing w:val="-2"/>
                <w:sz w:val="14"/>
              </w:rPr>
              <w:t>Hamlet</w:t>
            </w:r>
            <w:r>
              <w:rPr>
                <w:b/>
                <w:spacing w:val="-7"/>
                <w:sz w:val="14"/>
              </w:rPr>
              <w:t> </w:t>
            </w:r>
            <w:r>
              <w:rPr>
                <w:b/>
                <w:spacing w:val="-2"/>
                <w:sz w:val="14"/>
              </w:rPr>
              <w:t>(William</w:t>
            </w:r>
            <w:r>
              <w:rPr>
                <w:b/>
                <w:spacing w:val="40"/>
                <w:sz w:val="14"/>
              </w:rPr>
              <w:t> </w:t>
            </w:r>
            <w:r>
              <w:rPr>
                <w:b/>
                <w:spacing w:val="-2"/>
                <w:sz w:val="14"/>
              </w:rPr>
              <w:t>Shakespeare)</w:t>
            </w:r>
          </w:p>
        </w:tc>
        <w:tc>
          <w:tcPr>
            <w:tcW w:w="1421" w:type="dxa"/>
            <w:tcBorders>
              <w:left w:val="single" w:sz="6" w:space="0" w:color="000000"/>
            </w:tcBorders>
          </w:tcPr>
          <w:p>
            <w:pPr>
              <w:pStyle w:val="TableParagraph"/>
              <w:spacing w:line="157" w:lineRule="exact"/>
              <w:ind w:left="8"/>
              <w:jc w:val="center"/>
              <w:rPr>
                <w:b/>
                <w:sz w:val="14"/>
              </w:rPr>
            </w:pPr>
            <w:r>
              <w:rPr>
                <w:b/>
                <w:spacing w:val="-2"/>
                <w:sz w:val="14"/>
              </w:rPr>
              <w:t>Devdas</w:t>
            </w:r>
            <w:r>
              <w:rPr>
                <w:b/>
                <w:spacing w:val="1"/>
                <w:sz w:val="14"/>
              </w:rPr>
              <w:t> </w:t>
            </w:r>
            <w:r>
              <w:rPr>
                <w:b/>
                <w:spacing w:val="-2"/>
                <w:sz w:val="14"/>
              </w:rPr>
              <w:t>(Sarat</w:t>
            </w:r>
          </w:p>
          <w:p>
            <w:pPr>
              <w:pStyle w:val="TableParagraph"/>
              <w:spacing w:line="158" w:lineRule="exact"/>
              <w:ind w:left="225" w:right="216" w:hanging="1"/>
              <w:jc w:val="center"/>
              <w:rPr>
                <w:b/>
                <w:sz w:val="14"/>
              </w:rPr>
            </w:pPr>
            <w:r>
              <w:rPr>
                <w:b/>
                <w:spacing w:val="-2"/>
                <w:sz w:val="14"/>
              </w:rPr>
              <w:t>Chandra</w:t>
            </w:r>
            <w:r>
              <w:rPr>
                <w:b/>
                <w:spacing w:val="40"/>
                <w:sz w:val="14"/>
              </w:rPr>
              <w:t> </w:t>
            </w:r>
            <w:r>
              <w:rPr>
                <w:b/>
                <w:spacing w:val="-2"/>
                <w:sz w:val="14"/>
              </w:rPr>
              <w:t>Chattopadhyay)</w:t>
            </w:r>
          </w:p>
        </w:tc>
        <w:tc>
          <w:tcPr>
            <w:tcW w:w="1392" w:type="dxa"/>
          </w:tcPr>
          <w:p>
            <w:pPr>
              <w:pStyle w:val="TableParagraph"/>
              <w:spacing w:line="157" w:lineRule="exact"/>
              <w:ind w:left="81"/>
              <w:rPr>
                <w:b/>
                <w:sz w:val="14"/>
              </w:rPr>
            </w:pPr>
            <w:r>
              <w:rPr>
                <w:b/>
                <w:spacing w:val="-2"/>
                <w:sz w:val="14"/>
              </w:rPr>
              <w:t>Comparative</w:t>
            </w:r>
            <w:r>
              <w:rPr>
                <w:b/>
                <w:spacing w:val="4"/>
                <w:sz w:val="14"/>
              </w:rPr>
              <w:t> </w:t>
            </w:r>
            <w:r>
              <w:rPr>
                <w:b/>
                <w:spacing w:val="-2"/>
                <w:sz w:val="14"/>
              </w:rPr>
              <w:t>Insight</w:t>
            </w:r>
          </w:p>
        </w:tc>
      </w:tr>
      <w:tr>
        <w:trPr>
          <w:trHeight w:val="472" w:hRule="atLeast"/>
        </w:trPr>
        <w:tc>
          <w:tcPr>
            <w:tcW w:w="1187" w:type="dxa"/>
          </w:tcPr>
          <w:p>
            <w:pPr>
              <w:pStyle w:val="TableParagraph"/>
              <w:spacing w:line="235" w:lineRule="auto"/>
              <w:ind w:left="63" w:right="94"/>
              <w:rPr>
                <w:b/>
                <w:sz w:val="14"/>
              </w:rPr>
            </w:pPr>
            <w:r>
              <w:rPr>
                <w:b/>
                <w:spacing w:val="-2"/>
                <w:sz w:val="14"/>
              </w:rPr>
              <w:t>Nature</w:t>
            </w:r>
            <w:r>
              <w:rPr>
                <w:b/>
                <w:spacing w:val="-7"/>
                <w:sz w:val="14"/>
              </w:rPr>
              <w:t> </w:t>
            </w:r>
            <w:r>
              <w:rPr>
                <w:b/>
                <w:spacing w:val="-2"/>
                <w:sz w:val="14"/>
              </w:rPr>
              <w:t>of</w:t>
            </w:r>
            <w:r>
              <w:rPr>
                <w:b/>
                <w:spacing w:val="40"/>
                <w:sz w:val="14"/>
              </w:rPr>
              <w:t> </w:t>
            </w:r>
            <w:r>
              <w:rPr>
                <w:b/>
                <w:spacing w:val="-2"/>
                <w:sz w:val="14"/>
              </w:rPr>
              <w:t>Tragedy</w:t>
            </w:r>
          </w:p>
        </w:tc>
        <w:tc>
          <w:tcPr>
            <w:tcW w:w="1413" w:type="dxa"/>
            <w:tcBorders>
              <w:right w:val="single" w:sz="6" w:space="0" w:color="000000"/>
            </w:tcBorders>
          </w:tcPr>
          <w:p>
            <w:pPr>
              <w:pStyle w:val="TableParagraph"/>
              <w:spacing w:line="235" w:lineRule="auto"/>
              <w:ind w:left="64" w:right="74"/>
              <w:rPr>
                <w:sz w:val="14"/>
              </w:rPr>
            </w:pPr>
            <w:r>
              <w:rPr>
                <w:spacing w:val="-2"/>
                <w:sz w:val="14"/>
              </w:rPr>
              <w:t>Classical,</w:t>
            </w:r>
            <w:r>
              <w:rPr>
                <w:spacing w:val="40"/>
                <w:sz w:val="14"/>
              </w:rPr>
              <w:t> </w:t>
            </w:r>
            <w:r>
              <w:rPr>
                <w:spacing w:val="-2"/>
                <w:sz w:val="14"/>
              </w:rPr>
              <w:t>philosophical,</w:t>
            </w:r>
          </w:p>
          <w:p>
            <w:pPr>
              <w:pStyle w:val="TableParagraph"/>
              <w:spacing w:line="140" w:lineRule="exact"/>
              <w:ind w:left="64"/>
              <w:rPr>
                <w:sz w:val="14"/>
              </w:rPr>
            </w:pPr>
            <w:r>
              <w:rPr>
                <w:spacing w:val="-2"/>
                <w:sz w:val="14"/>
              </w:rPr>
              <w:t>revenge-driven</w:t>
            </w:r>
          </w:p>
        </w:tc>
        <w:tc>
          <w:tcPr>
            <w:tcW w:w="1421" w:type="dxa"/>
            <w:tcBorders>
              <w:left w:val="single" w:sz="6" w:space="0" w:color="000000"/>
            </w:tcBorders>
          </w:tcPr>
          <w:p>
            <w:pPr>
              <w:pStyle w:val="TableParagraph"/>
              <w:spacing w:line="235" w:lineRule="auto"/>
              <w:ind w:left="59"/>
              <w:rPr>
                <w:sz w:val="14"/>
              </w:rPr>
            </w:pPr>
            <w:r>
              <w:rPr>
                <w:spacing w:val="-2"/>
                <w:sz w:val="14"/>
              </w:rPr>
              <w:t>Social,</w:t>
            </w:r>
            <w:r>
              <w:rPr>
                <w:spacing w:val="-7"/>
                <w:sz w:val="14"/>
              </w:rPr>
              <w:t> </w:t>
            </w:r>
            <w:r>
              <w:rPr>
                <w:spacing w:val="-2"/>
                <w:sz w:val="14"/>
              </w:rPr>
              <w:t>emotional,</w:t>
            </w:r>
            <w:r>
              <w:rPr>
                <w:spacing w:val="40"/>
                <w:sz w:val="14"/>
              </w:rPr>
              <w:t> </w:t>
            </w:r>
            <w:r>
              <w:rPr>
                <w:sz w:val="14"/>
              </w:rPr>
              <w:t>modern</w:t>
            </w:r>
            <w:r>
              <w:rPr>
                <w:spacing w:val="-4"/>
                <w:sz w:val="14"/>
              </w:rPr>
              <w:t> </w:t>
            </w:r>
            <w:r>
              <w:rPr>
                <w:sz w:val="14"/>
              </w:rPr>
              <w:t>tragedy</w:t>
            </w:r>
          </w:p>
        </w:tc>
        <w:tc>
          <w:tcPr>
            <w:tcW w:w="1392" w:type="dxa"/>
          </w:tcPr>
          <w:p>
            <w:pPr>
              <w:pStyle w:val="TableParagraph"/>
              <w:spacing w:line="235" w:lineRule="auto"/>
              <w:ind w:left="64" w:right="321"/>
              <w:rPr>
                <w:sz w:val="14"/>
              </w:rPr>
            </w:pPr>
            <w:r>
              <w:rPr>
                <w:sz w:val="14"/>
              </w:rPr>
              <w:t>Shift</w:t>
            </w:r>
            <w:r>
              <w:rPr>
                <w:spacing w:val="-9"/>
                <w:sz w:val="14"/>
              </w:rPr>
              <w:t> </w:t>
            </w:r>
            <w:r>
              <w:rPr>
                <w:sz w:val="14"/>
              </w:rPr>
              <w:t>from</w:t>
            </w:r>
            <w:r>
              <w:rPr>
                <w:spacing w:val="-9"/>
                <w:sz w:val="14"/>
              </w:rPr>
              <w:t> </w:t>
            </w:r>
            <w:r>
              <w:rPr>
                <w:sz w:val="14"/>
              </w:rPr>
              <w:t>action-based</w:t>
            </w:r>
            <w:r>
              <w:rPr>
                <w:spacing w:val="-6"/>
                <w:sz w:val="14"/>
              </w:rPr>
              <w:t> </w:t>
            </w:r>
            <w:r>
              <w:rPr>
                <w:sz w:val="14"/>
              </w:rPr>
              <w:t>to</w:t>
            </w:r>
            <w:r>
              <w:rPr>
                <w:spacing w:val="-6"/>
                <w:sz w:val="14"/>
              </w:rPr>
              <w:t> </w:t>
            </w:r>
            <w:r>
              <w:rPr>
                <w:spacing w:val="-2"/>
                <w:sz w:val="14"/>
              </w:rPr>
              <w:t>emotion-</w:t>
            </w:r>
          </w:p>
          <w:p>
            <w:pPr>
              <w:pStyle w:val="TableParagraph"/>
              <w:spacing w:line="140" w:lineRule="exact"/>
              <w:ind w:left="64"/>
              <w:rPr>
                <w:sz w:val="14"/>
              </w:rPr>
            </w:pPr>
            <w:r>
              <w:rPr>
                <w:spacing w:val="-2"/>
                <w:sz w:val="14"/>
              </w:rPr>
              <w:t>based</w:t>
            </w:r>
            <w:r>
              <w:rPr>
                <w:spacing w:val="-1"/>
                <w:sz w:val="14"/>
              </w:rPr>
              <w:t> </w:t>
            </w:r>
            <w:r>
              <w:rPr>
                <w:spacing w:val="-2"/>
                <w:sz w:val="14"/>
              </w:rPr>
              <w:t>tragedy</w:t>
            </w:r>
          </w:p>
        </w:tc>
      </w:tr>
      <w:tr>
        <w:trPr>
          <w:trHeight w:val="314" w:hRule="atLeast"/>
        </w:trPr>
        <w:tc>
          <w:tcPr>
            <w:tcW w:w="1187" w:type="dxa"/>
          </w:tcPr>
          <w:p>
            <w:pPr>
              <w:pStyle w:val="TableParagraph"/>
              <w:spacing w:line="157" w:lineRule="exact"/>
              <w:ind w:left="63"/>
              <w:rPr>
                <w:b/>
                <w:sz w:val="14"/>
              </w:rPr>
            </w:pPr>
            <w:r>
              <w:rPr>
                <w:b/>
                <w:spacing w:val="-2"/>
                <w:sz w:val="14"/>
              </w:rPr>
              <w:t>Tragic</w:t>
            </w:r>
            <w:r>
              <w:rPr>
                <w:b/>
                <w:spacing w:val="2"/>
                <w:sz w:val="14"/>
              </w:rPr>
              <w:t> </w:t>
            </w:r>
            <w:r>
              <w:rPr>
                <w:b/>
                <w:spacing w:val="-4"/>
                <w:sz w:val="14"/>
              </w:rPr>
              <w:t>Hero</w:t>
            </w:r>
          </w:p>
        </w:tc>
        <w:tc>
          <w:tcPr>
            <w:tcW w:w="1413" w:type="dxa"/>
            <w:tcBorders>
              <w:right w:val="single" w:sz="6" w:space="0" w:color="000000"/>
            </w:tcBorders>
          </w:tcPr>
          <w:p>
            <w:pPr>
              <w:pStyle w:val="TableParagraph"/>
              <w:spacing w:line="154" w:lineRule="exact"/>
              <w:ind w:left="64"/>
              <w:rPr>
                <w:sz w:val="14"/>
              </w:rPr>
            </w:pPr>
            <w:r>
              <w:rPr>
                <w:sz w:val="14"/>
              </w:rPr>
              <w:t>Hamlet</w:t>
            </w:r>
            <w:r>
              <w:rPr>
                <w:spacing w:val="-8"/>
                <w:sz w:val="14"/>
              </w:rPr>
              <w:t> </w:t>
            </w:r>
            <w:r>
              <w:rPr>
                <w:sz w:val="14"/>
              </w:rPr>
              <w:t>–</w:t>
            </w:r>
            <w:r>
              <w:rPr>
                <w:spacing w:val="-5"/>
                <w:sz w:val="14"/>
              </w:rPr>
              <w:t> </w:t>
            </w:r>
            <w:r>
              <w:rPr>
                <w:spacing w:val="-2"/>
                <w:sz w:val="14"/>
              </w:rPr>
              <w:t>intellectual,</w:t>
            </w:r>
          </w:p>
          <w:p>
            <w:pPr>
              <w:pStyle w:val="TableParagraph"/>
              <w:spacing w:line="140" w:lineRule="exact"/>
              <w:ind w:left="64"/>
              <w:rPr>
                <w:sz w:val="14"/>
              </w:rPr>
            </w:pPr>
            <w:r>
              <w:rPr>
                <w:spacing w:val="-2"/>
                <w:sz w:val="14"/>
              </w:rPr>
              <w:t>indecisive</w:t>
            </w:r>
          </w:p>
        </w:tc>
        <w:tc>
          <w:tcPr>
            <w:tcW w:w="1421" w:type="dxa"/>
            <w:tcBorders>
              <w:left w:val="single" w:sz="6" w:space="0" w:color="000000"/>
            </w:tcBorders>
          </w:tcPr>
          <w:p>
            <w:pPr>
              <w:pStyle w:val="TableParagraph"/>
              <w:spacing w:line="154" w:lineRule="exact"/>
              <w:ind w:left="59"/>
              <w:rPr>
                <w:sz w:val="14"/>
              </w:rPr>
            </w:pPr>
            <w:r>
              <w:rPr>
                <w:sz w:val="14"/>
              </w:rPr>
              <w:t>Devdas</w:t>
            </w:r>
            <w:r>
              <w:rPr>
                <w:spacing w:val="-7"/>
                <w:sz w:val="14"/>
              </w:rPr>
              <w:t> </w:t>
            </w:r>
            <w:r>
              <w:rPr>
                <w:sz w:val="14"/>
              </w:rPr>
              <w:t>–</w:t>
            </w:r>
            <w:r>
              <w:rPr>
                <w:spacing w:val="-5"/>
                <w:sz w:val="14"/>
              </w:rPr>
              <w:t> </w:t>
            </w:r>
            <w:r>
              <w:rPr>
                <w:spacing w:val="-2"/>
                <w:sz w:val="14"/>
              </w:rPr>
              <w:t>passive,</w:t>
            </w:r>
          </w:p>
          <w:p>
            <w:pPr>
              <w:pStyle w:val="TableParagraph"/>
              <w:spacing w:line="140" w:lineRule="exact"/>
              <w:ind w:left="59"/>
              <w:rPr>
                <w:sz w:val="14"/>
              </w:rPr>
            </w:pPr>
            <w:r>
              <w:rPr>
                <w:spacing w:val="-2"/>
                <w:sz w:val="14"/>
              </w:rPr>
              <w:t>emotionally</w:t>
            </w:r>
            <w:r>
              <w:rPr>
                <w:spacing w:val="5"/>
                <w:sz w:val="14"/>
              </w:rPr>
              <w:t> </w:t>
            </w:r>
            <w:r>
              <w:rPr>
                <w:spacing w:val="-4"/>
                <w:sz w:val="14"/>
              </w:rPr>
              <w:t>weak</w:t>
            </w:r>
          </w:p>
        </w:tc>
        <w:tc>
          <w:tcPr>
            <w:tcW w:w="1392" w:type="dxa"/>
          </w:tcPr>
          <w:p>
            <w:pPr>
              <w:pStyle w:val="TableParagraph"/>
              <w:spacing w:line="154" w:lineRule="exact"/>
              <w:ind w:left="64"/>
              <w:rPr>
                <w:sz w:val="14"/>
              </w:rPr>
            </w:pPr>
            <w:r>
              <w:rPr>
                <w:spacing w:val="-2"/>
                <w:sz w:val="14"/>
              </w:rPr>
              <w:t>Overthinking</w:t>
            </w:r>
            <w:r>
              <w:rPr>
                <w:spacing w:val="5"/>
                <w:sz w:val="14"/>
              </w:rPr>
              <w:t> </w:t>
            </w:r>
            <w:r>
              <w:rPr>
                <w:spacing w:val="-5"/>
                <w:sz w:val="14"/>
              </w:rPr>
              <w:t>vs</w:t>
            </w:r>
          </w:p>
          <w:p>
            <w:pPr>
              <w:pStyle w:val="TableParagraph"/>
              <w:spacing w:line="140" w:lineRule="exact"/>
              <w:ind w:left="64"/>
              <w:rPr>
                <w:sz w:val="14"/>
              </w:rPr>
            </w:pPr>
            <w:r>
              <w:rPr>
                <w:spacing w:val="-2"/>
                <w:sz w:val="14"/>
              </w:rPr>
              <w:t>emotional</w:t>
            </w:r>
            <w:r>
              <w:rPr>
                <w:spacing w:val="5"/>
                <w:sz w:val="14"/>
              </w:rPr>
              <w:t> </w:t>
            </w:r>
            <w:r>
              <w:rPr>
                <w:spacing w:val="-2"/>
                <w:sz w:val="14"/>
              </w:rPr>
              <w:t>surrender</w:t>
            </w:r>
          </w:p>
        </w:tc>
      </w:tr>
      <w:tr>
        <w:trPr>
          <w:trHeight w:val="474" w:hRule="atLeast"/>
        </w:trPr>
        <w:tc>
          <w:tcPr>
            <w:tcW w:w="1187" w:type="dxa"/>
          </w:tcPr>
          <w:p>
            <w:pPr>
              <w:pStyle w:val="TableParagraph"/>
              <w:spacing w:line="159" w:lineRule="exact"/>
              <w:ind w:left="63"/>
              <w:rPr>
                <w:b/>
                <w:sz w:val="14"/>
              </w:rPr>
            </w:pPr>
            <w:r>
              <w:rPr>
                <w:b/>
                <w:spacing w:val="-2"/>
                <w:sz w:val="14"/>
              </w:rPr>
              <w:t>Female</w:t>
            </w:r>
            <w:r>
              <w:rPr>
                <w:b/>
                <w:sz w:val="14"/>
              </w:rPr>
              <w:t> </w:t>
            </w:r>
            <w:r>
              <w:rPr>
                <w:b/>
                <w:spacing w:val="-2"/>
                <w:sz w:val="14"/>
              </w:rPr>
              <w:t>Agency</w:t>
            </w:r>
          </w:p>
        </w:tc>
        <w:tc>
          <w:tcPr>
            <w:tcW w:w="1413" w:type="dxa"/>
            <w:tcBorders>
              <w:right w:val="single" w:sz="6" w:space="0" w:color="000000"/>
            </w:tcBorders>
          </w:tcPr>
          <w:p>
            <w:pPr>
              <w:pStyle w:val="TableParagraph"/>
              <w:spacing w:line="235" w:lineRule="auto"/>
              <w:ind w:left="64" w:right="74"/>
              <w:rPr>
                <w:sz w:val="14"/>
              </w:rPr>
            </w:pPr>
            <w:r>
              <w:rPr>
                <w:sz w:val="14"/>
              </w:rPr>
              <w:t>Limited</w:t>
            </w:r>
            <w:r>
              <w:rPr>
                <w:spacing w:val="-9"/>
                <w:sz w:val="14"/>
              </w:rPr>
              <w:t> </w:t>
            </w:r>
            <w:r>
              <w:rPr>
                <w:sz w:val="14"/>
              </w:rPr>
              <w:t>but</w:t>
            </w:r>
            <w:r>
              <w:rPr>
                <w:spacing w:val="40"/>
                <w:sz w:val="14"/>
              </w:rPr>
              <w:t> </w:t>
            </w:r>
            <w:r>
              <w:rPr>
                <w:spacing w:val="-2"/>
                <w:sz w:val="14"/>
              </w:rPr>
              <w:t>symbolically</w:t>
            </w:r>
            <w:r>
              <w:rPr>
                <w:spacing w:val="-7"/>
                <w:sz w:val="14"/>
              </w:rPr>
              <w:t> </w:t>
            </w:r>
            <w:r>
              <w:rPr>
                <w:spacing w:val="-2"/>
                <w:sz w:val="14"/>
              </w:rPr>
              <w:t>powerful</w:t>
            </w:r>
          </w:p>
          <w:p>
            <w:pPr>
              <w:pStyle w:val="TableParagraph"/>
              <w:spacing w:line="140" w:lineRule="exact"/>
              <w:ind w:left="64"/>
              <w:rPr>
                <w:sz w:val="14"/>
              </w:rPr>
            </w:pPr>
            <w:r>
              <w:rPr>
                <w:spacing w:val="-2"/>
                <w:sz w:val="14"/>
              </w:rPr>
              <w:t>(Ophelia,</w:t>
            </w:r>
            <w:r>
              <w:rPr>
                <w:sz w:val="14"/>
              </w:rPr>
              <w:t> </w:t>
            </w:r>
            <w:r>
              <w:rPr>
                <w:spacing w:val="-2"/>
                <w:sz w:val="14"/>
              </w:rPr>
              <w:t>Gertrude)</w:t>
            </w:r>
          </w:p>
        </w:tc>
        <w:tc>
          <w:tcPr>
            <w:tcW w:w="1421" w:type="dxa"/>
            <w:tcBorders>
              <w:left w:val="single" w:sz="6" w:space="0" w:color="000000"/>
            </w:tcBorders>
          </w:tcPr>
          <w:p>
            <w:pPr>
              <w:pStyle w:val="TableParagraph"/>
              <w:spacing w:line="235" w:lineRule="auto"/>
              <w:ind w:left="59"/>
              <w:rPr>
                <w:sz w:val="14"/>
              </w:rPr>
            </w:pPr>
            <w:r>
              <w:rPr>
                <w:sz w:val="14"/>
              </w:rPr>
              <w:t>Strong</w:t>
            </w:r>
            <w:r>
              <w:rPr>
                <w:spacing w:val="-9"/>
                <w:sz w:val="14"/>
              </w:rPr>
              <w:t> </w:t>
            </w:r>
            <w:r>
              <w:rPr>
                <w:sz w:val="14"/>
              </w:rPr>
              <w:t>and</w:t>
            </w:r>
            <w:r>
              <w:rPr>
                <w:spacing w:val="-9"/>
                <w:sz w:val="14"/>
              </w:rPr>
              <w:t> </w:t>
            </w:r>
            <w:r>
              <w:rPr>
                <w:sz w:val="14"/>
              </w:rPr>
              <w:t>expressive</w:t>
            </w:r>
            <w:r>
              <w:rPr>
                <w:spacing w:val="40"/>
                <w:sz w:val="14"/>
              </w:rPr>
              <w:t> </w:t>
            </w:r>
            <w:r>
              <w:rPr>
                <w:spacing w:val="-2"/>
                <w:sz w:val="14"/>
              </w:rPr>
              <w:t>(Paro,</w:t>
            </w:r>
            <w:r>
              <w:rPr>
                <w:spacing w:val="2"/>
                <w:sz w:val="14"/>
              </w:rPr>
              <w:t> </w:t>
            </w:r>
            <w:r>
              <w:rPr>
                <w:spacing w:val="-2"/>
                <w:sz w:val="14"/>
              </w:rPr>
              <w:t>Chandramukhi)</w:t>
            </w:r>
          </w:p>
        </w:tc>
        <w:tc>
          <w:tcPr>
            <w:tcW w:w="1392" w:type="dxa"/>
          </w:tcPr>
          <w:p>
            <w:pPr>
              <w:pStyle w:val="TableParagraph"/>
              <w:spacing w:line="235" w:lineRule="auto"/>
              <w:ind w:left="64"/>
              <w:rPr>
                <w:sz w:val="14"/>
              </w:rPr>
            </w:pPr>
            <w:r>
              <w:rPr>
                <w:sz w:val="14"/>
              </w:rPr>
              <w:t>Growth in female</w:t>
            </w:r>
            <w:r>
              <w:rPr>
                <w:spacing w:val="40"/>
                <w:sz w:val="14"/>
              </w:rPr>
              <w:t> </w:t>
            </w:r>
            <w:r>
              <w:rPr>
                <w:spacing w:val="-2"/>
                <w:sz w:val="14"/>
              </w:rPr>
              <w:t>autonomy</w:t>
            </w:r>
            <w:r>
              <w:rPr>
                <w:spacing w:val="-7"/>
                <w:sz w:val="14"/>
              </w:rPr>
              <w:t> </w:t>
            </w:r>
            <w:r>
              <w:rPr>
                <w:spacing w:val="-2"/>
                <w:sz w:val="14"/>
              </w:rPr>
              <w:t>across</w:t>
            </w:r>
            <w:r>
              <w:rPr>
                <w:spacing w:val="-4"/>
                <w:sz w:val="14"/>
              </w:rPr>
              <w:t> </w:t>
            </w:r>
            <w:r>
              <w:rPr>
                <w:spacing w:val="-2"/>
                <w:sz w:val="14"/>
              </w:rPr>
              <w:t>texts</w:t>
            </w:r>
          </w:p>
        </w:tc>
      </w:tr>
      <w:tr>
        <w:trPr>
          <w:trHeight w:val="312" w:hRule="atLeast"/>
        </w:trPr>
        <w:tc>
          <w:tcPr>
            <w:tcW w:w="1187" w:type="dxa"/>
            <w:tcBorders>
              <w:bottom w:val="single" w:sz="6" w:space="0" w:color="000000"/>
            </w:tcBorders>
          </w:tcPr>
          <w:p>
            <w:pPr>
              <w:pStyle w:val="TableParagraph"/>
              <w:spacing w:line="158" w:lineRule="exact"/>
              <w:ind w:left="63"/>
              <w:rPr>
                <w:b/>
                <w:sz w:val="14"/>
              </w:rPr>
            </w:pPr>
            <w:r>
              <w:rPr>
                <w:b/>
                <w:spacing w:val="-2"/>
                <w:sz w:val="14"/>
              </w:rPr>
              <w:t>Representation</w:t>
            </w:r>
            <w:r>
              <w:rPr>
                <w:b/>
                <w:spacing w:val="-7"/>
                <w:sz w:val="14"/>
              </w:rPr>
              <w:t> </w:t>
            </w:r>
            <w:r>
              <w:rPr>
                <w:b/>
                <w:spacing w:val="-2"/>
                <w:sz w:val="14"/>
              </w:rPr>
              <w:t>of</w:t>
            </w:r>
            <w:r>
              <w:rPr>
                <w:b/>
                <w:spacing w:val="40"/>
                <w:sz w:val="14"/>
              </w:rPr>
              <w:t> </w:t>
            </w:r>
            <w:r>
              <w:rPr>
                <w:b/>
                <w:spacing w:val="-2"/>
                <w:sz w:val="14"/>
              </w:rPr>
              <w:t>Women</w:t>
            </w:r>
          </w:p>
        </w:tc>
        <w:tc>
          <w:tcPr>
            <w:tcW w:w="1413" w:type="dxa"/>
            <w:tcBorders>
              <w:bottom w:val="single" w:sz="6" w:space="0" w:color="000000"/>
              <w:right w:val="single" w:sz="6" w:space="0" w:color="000000"/>
            </w:tcBorders>
          </w:tcPr>
          <w:p>
            <w:pPr>
              <w:pStyle w:val="TableParagraph"/>
              <w:spacing w:line="154" w:lineRule="exact"/>
              <w:ind w:left="64"/>
              <w:rPr>
                <w:sz w:val="14"/>
              </w:rPr>
            </w:pPr>
            <w:r>
              <w:rPr>
                <w:spacing w:val="-2"/>
                <w:sz w:val="14"/>
              </w:rPr>
              <w:t>Victimhood</w:t>
            </w:r>
            <w:r>
              <w:rPr>
                <w:spacing w:val="3"/>
                <w:sz w:val="14"/>
              </w:rPr>
              <w:t> </w:t>
            </w:r>
            <w:r>
              <w:rPr>
                <w:spacing w:val="-2"/>
                <w:sz w:val="14"/>
              </w:rPr>
              <w:t>and</w:t>
            </w:r>
            <w:r>
              <w:rPr>
                <w:sz w:val="14"/>
              </w:rPr>
              <w:t> </w:t>
            </w:r>
            <w:r>
              <w:rPr>
                <w:spacing w:val="-2"/>
                <w:sz w:val="14"/>
              </w:rPr>
              <w:t>moral</w:t>
            </w:r>
          </w:p>
          <w:p>
            <w:pPr>
              <w:pStyle w:val="TableParagraph"/>
              <w:spacing w:line="139" w:lineRule="exact"/>
              <w:ind w:left="64"/>
              <w:rPr>
                <w:sz w:val="14"/>
              </w:rPr>
            </w:pPr>
            <w:r>
              <w:rPr>
                <w:spacing w:val="-2"/>
                <w:sz w:val="14"/>
              </w:rPr>
              <w:t>ambiguity</w:t>
            </w:r>
          </w:p>
        </w:tc>
        <w:tc>
          <w:tcPr>
            <w:tcW w:w="1421" w:type="dxa"/>
            <w:tcBorders>
              <w:left w:val="single" w:sz="6" w:space="0" w:color="000000"/>
              <w:bottom w:val="single" w:sz="6" w:space="0" w:color="000000"/>
            </w:tcBorders>
          </w:tcPr>
          <w:p>
            <w:pPr>
              <w:pStyle w:val="TableParagraph"/>
              <w:spacing w:line="154" w:lineRule="exact"/>
              <w:ind w:left="59"/>
              <w:rPr>
                <w:sz w:val="14"/>
              </w:rPr>
            </w:pPr>
            <w:r>
              <w:rPr>
                <w:spacing w:val="-2"/>
                <w:sz w:val="14"/>
              </w:rPr>
              <w:t>Strength,</w:t>
            </w:r>
            <w:r>
              <w:rPr>
                <w:spacing w:val="3"/>
                <w:sz w:val="14"/>
              </w:rPr>
              <w:t> </w:t>
            </w:r>
            <w:r>
              <w:rPr>
                <w:spacing w:val="-2"/>
                <w:sz w:val="14"/>
              </w:rPr>
              <w:t>resilience,</w:t>
            </w:r>
          </w:p>
          <w:p>
            <w:pPr>
              <w:pStyle w:val="TableParagraph"/>
              <w:spacing w:line="139" w:lineRule="exact"/>
              <w:ind w:left="59"/>
              <w:rPr>
                <w:sz w:val="14"/>
              </w:rPr>
            </w:pPr>
            <w:r>
              <w:rPr>
                <w:sz w:val="14"/>
              </w:rPr>
              <w:t>and</w:t>
            </w:r>
            <w:r>
              <w:rPr>
                <w:spacing w:val="-5"/>
                <w:sz w:val="14"/>
              </w:rPr>
              <w:t> </w:t>
            </w:r>
            <w:r>
              <w:rPr>
                <w:spacing w:val="-2"/>
                <w:sz w:val="14"/>
              </w:rPr>
              <w:t>transformation</w:t>
            </w:r>
          </w:p>
        </w:tc>
        <w:tc>
          <w:tcPr>
            <w:tcW w:w="1392" w:type="dxa"/>
            <w:tcBorders>
              <w:bottom w:val="single" w:sz="6" w:space="0" w:color="000000"/>
            </w:tcBorders>
          </w:tcPr>
          <w:p>
            <w:pPr>
              <w:pStyle w:val="TableParagraph"/>
              <w:spacing w:line="154" w:lineRule="exact"/>
              <w:ind w:left="64"/>
              <w:rPr>
                <w:sz w:val="14"/>
              </w:rPr>
            </w:pPr>
            <w:r>
              <w:rPr>
                <w:spacing w:val="-2"/>
                <w:sz w:val="14"/>
              </w:rPr>
              <w:t>Passive</w:t>
            </w:r>
            <w:r>
              <w:rPr>
                <w:spacing w:val="3"/>
                <w:sz w:val="14"/>
              </w:rPr>
              <w:t> </w:t>
            </w:r>
            <w:r>
              <w:rPr>
                <w:spacing w:val="-2"/>
                <w:sz w:val="14"/>
              </w:rPr>
              <w:t>suffering</w:t>
            </w:r>
            <w:r>
              <w:rPr>
                <w:sz w:val="14"/>
              </w:rPr>
              <w:t> </w:t>
            </w:r>
            <w:r>
              <w:rPr>
                <w:spacing w:val="-5"/>
                <w:sz w:val="14"/>
              </w:rPr>
              <w:t>vs</w:t>
            </w:r>
          </w:p>
          <w:p>
            <w:pPr>
              <w:pStyle w:val="TableParagraph"/>
              <w:spacing w:line="139" w:lineRule="exact"/>
              <w:ind w:left="64"/>
              <w:rPr>
                <w:sz w:val="14"/>
              </w:rPr>
            </w:pPr>
            <w:r>
              <w:rPr>
                <w:spacing w:val="-2"/>
                <w:sz w:val="14"/>
              </w:rPr>
              <w:t>active</w:t>
            </w:r>
            <w:r>
              <w:rPr>
                <w:spacing w:val="2"/>
                <w:sz w:val="14"/>
              </w:rPr>
              <w:t> </w:t>
            </w:r>
            <w:r>
              <w:rPr>
                <w:spacing w:val="-2"/>
                <w:sz w:val="14"/>
              </w:rPr>
              <w:t>endurance</w:t>
            </w:r>
          </w:p>
        </w:tc>
      </w:tr>
      <w:tr>
        <w:trPr>
          <w:trHeight w:val="306" w:hRule="atLeast"/>
        </w:trPr>
        <w:tc>
          <w:tcPr>
            <w:tcW w:w="1187" w:type="dxa"/>
            <w:tcBorders>
              <w:top w:val="single" w:sz="6" w:space="0" w:color="000000"/>
              <w:bottom w:val="single" w:sz="6" w:space="0" w:color="000000"/>
            </w:tcBorders>
          </w:tcPr>
          <w:p>
            <w:pPr>
              <w:pStyle w:val="TableParagraph"/>
              <w:spacing w:line="151" w:lineRule="exact"/>
              <w:ind w:left="63"/>
              <w:rPr>
                <w:b/>
                <w:sz w:val="14"/>
              </w:rPr>
            </w:pPr>
            <w:r>
              <w:rPr>
                <w:b/>
                <w:spacing w:val="-2"/>
                <w:sz w:val="14"/>
              </w:rPr>
              <w:t>Psychological</w:t>
            </w:r>
          </w:p>
          <w:p>
            <w:pPr>
              <w:pStyle w:val="TableParagraph"/>
              <w:spacing w:line="135" w:lineRule="exact"/>
              <w:ind w:left="63"/>
              <w:rPr>
                <w:b/>
                <w:sz w:val="14"/>
              </w:rPr>
            </w:pPr>
            <w:r>
              <w:rPr>
                <w:b/>
                <w:spacing w:val="-2"/>
                <w:sz w:val="14"/>
              </w:rPr>
              <w:t>Breakdown</w:t>
            </w:r>
          </w:p>
        </w:tc>
        <w:tc>
          <w:tcPr>
            <w:tcW w:w="1413" w:type="dxa"/>
            <w:tcBorders>
              <w:top w:val="single" w:sz="6" w:space="0" w:color="000000"/>
              <w:bottom w:val="single" w:sz="6" w:space="0" w:color="000000"/>
              <w:right w:val="single" w:sz="6" w:space="0" w:color="000000"/>
            </w:tcBorders>
          </w:tcPr>
          <w:p>
            <w:pPr>
              <w:pStyle w:val="TableParagraph"/>
              <w:spacing w:line="147" w:lineRule="exact"/>
              <w:ind w:left="64"/>
              <w:rPr>
                <w:sz w:val="14"/>
              </w:rPr>
            </w:pPr>
            <w:r>
              <w:rPr>
                <w:spacing w:val="-2"/>
                <w:sz w:val="14"/>
              </w:rPr>
              <w:t>Madness</w:t>
            </w:r>
            <w:r>
              <w:rPr>
                <w:sz w:val="14"/>
              </w:rPr>
              <w:t> </w:t>
            </w:r>
            <w:r>
              <w:rPr>
                <w:spacing w:val="-2"/>
                <w:sz w:val="14"/>
              </w:rPr>
              <w:t>(feigned</w:t>
            </w:r>
            <w:r>
              <w:rPr>
                <w:spacing w:val="3"/>
                <w:sz w:val="14"/>
              </w:rPr>
              <w:t> </w:t>
            </w:r>
            <w:r>
              <w:rPr>
                <w:spacing w:val="-10"/>
                <w:sz w:val="14"/>
              </w:rPr>
              <w:t>→</w:t>
            </w:r>
          </w:p>
          <w:p>
            <w:pPr>
              <w:pStyle w:val="TableParagraph"/>
              <w:spacing w:line="139" w:lineRule="exact"/>
              <w:ind w:left="64"/>
              <w:rPr>
                <w:sz w:val="14"/>
              </w:rPr>
            </w:pPr>
            <w:r>
              <w:rPr>
                <w:spacing w:val="-2"/>
                <w:sz w:val="14"/>
              </w:rPr>
              <w:t>real)</w:t>
            </w:r>
          </w:p>
        </w:tc>
        <w:tc>
          <w:tcPr>
            <w:tcW w:w="1421" w:type="dxa"/>
            <w:tcBorders>
              <w:top w:val="single" w:sz="6" w:space="0" w:color="000000"/>
              <w:left w:val="single" w:sz="6" w:space="0" w:color="000000"/>
              <w:bottom w:val="single" w:sz="6" w:space="0" w:color="000000"/>
            </w:tcBorders>
          </w:tcPr>
          <w:p>
            <w:pPr>
              <w:pStyle w:val="TableParagraph"/>
              <w:spacing w:line="147" w:lineRule="exact"/>
              <w:ind w:left="59"/>
              <w:rPr>
                <w:sz w:val="14"/>
              </w:rPr>
            </w:pPr>
            <w:r>
              <w:rPr>
                <w:spacing w:val="-2"/>
                <w:sz w:val="14"/>
              </w:rPr>
              <w:t>Alcoholism</w:t>
            </w:r>
            <w:r>
              <w:rPr>
                <w:spacing w:val="3"/>
                <w:sz w:val="14"/>
              </w:rPr>
              <w:t> </w:t>
            </w:r>
            <w:r>
              <w:rPr>
                <w:spacing w:val="-2"/>
                <w:sz w:val="14"/>
              </w:rPr>
              <w:t>(escapism)</w:t>
            </w:r>
          </w:p>
        </w:tc>
        <w:tc>
          <w:tcPr>
            <w:tcW w:w="1392" w:type="dxa"/>
            <w:tcBorders>
              <w:top w:val="single" w:sz="6" w:space="0" w:color="000000"/>
              <w:bottom w:val="single" w:sz="6" w:space="0" w:color="000000"/>
            </w:tcBorders>
          </w:tcPr>
          <w:p>
            <w:pPr>
              <w:pStyle w:val="TableParagraph"/>
              <w:spacing w:line="147" w:lineRule="exact"/>
              <w:ind w:left="64"/>
              <w:rPr>
                <w:sz w:val="14"/>
              </w:rPr>
            </w:pPr>
            <w:r>
              <w:rPr>
                <w:spacing w:val="-2"/>
                <w:sz w:val="14"/>
              </w:rPr>
              <w:t>Mental</w:t>
            </w:r>
            <w:r>
              <w:rPr>
                <w:spacing w:val="1"/>
                <w:sz w:val="14"/>
              </w:rPr>
              <w:t> </w:t>
            </w:r>
            <w:r>
              <w:rPr>
                <w:spacing w:val="-2"/>
                <w:sz w:val="14"/>
              </w:rPr>
              <w:t>conflict</w:t>
            </w:r>
            <w:r>
              <w:rPr>
                <w:spacing w:val="3"/>
                <w:sz w:val="14"/>
              </w:rPr>
              <w:t> </w:t>
            </w:r>
            <w:r>
              <w:rPr>
                <w:spacing w:val="-5"/>
                <w:sz w:val="14"/>
              </w:rPr>
              <w:t>vs</w:t>
            </w:r>
          </w:p>
          <w:p>
            <w:pPr>
              <w:pStyle w:val="TableParagraph"/>
              <w:spacing w:line="139" w:lineRule="exact"/>
              <w:ind w:left="64"/>
              <w:rPr>
                <w:sz w:val="14"/>
              </w:rPr>
            </w:pPr>
            <w:r>
              <w:rPr>
                <w:spacing w:val="-2"/>
                <w:sz w:val="14"/>
              </w:rPr>
              <w:t>emotional</w:t>
            </w:r>
            <w:r>
              <w:rPr>
                <w:spacing w:val="5"/>
                <w:sz w:val="14"/>
              </w:rPr>
              <w:t> </w:t>
            </w:r>
            <w:r>
              <w:rPr>
                <w:spacing w:val="-2"/>
                <w:sz w:val="14"/>
              </w:rPr>
              <w:t>avoidance</w:t>
            </w:r>
          </w:p>
        </w:tc>
      </w:tr>
      <w:tr>
        <w:trPr>
          <w:trHeight w:val="311" w:hRule="atLeast"/>
        </w:trPr>
        <w:tc>
          <w:tcPr>
            <w:tcW w:w="1187" w:type="dxa"/>
            <w:tcBorders>
              <w:top w:val="single" w:sz="6" w:space="0" w:color="000000"/>
            </w:tcBorders>
          </w:tcPr>
          <w:p>
            <w:pPr>
              <w:pStyle w:val="TableParagraph"/>
              <w:spacing w:line="154" w:lineRule="exact"/>
              <w:ind w:left="63"/>
              <w:rPr>
                <w:b/>
                <w:sz w:val="14"/>
              </w:rPr>
            </w:pPr>
            <w:r>
              <w:rPr>
                <w:b/>
                <w:sz w:val="14"/>
              </w:rPr>
              <w:t>Role</w:t>
            </w:r>
            <w:r>
              <w:rPr>
                <w:b/>
                <w:spacing w:val="-5"/>
                <w:sz w:val="14"/>
              </w:rPr>
              <w:t> </w:t>
            </w:r>
            <w:r>
              <w:rPr>
                <w:b/>
                <w:sz w:val="14"/>
              </w:rPr>
              <w:t>of</w:t>
            </w:r>
            <w:r>
              <w:rPr>
                <w:b/>
                <w:spacing w:val="-3"/>
                <w:sz w:val="14"/>
              </w:rPr>
              <w:t> </w:t>
            </w:r>
            <w:r>
              <w:rPr>
                <w:b/>
                <w:spacing w:val="-2"/>
                <w:sz w:val="14"/>
              </w:rPr>
              <w:t>Women</w:t>
            </w:r>
          </w:p>
          <w:p>
            <w:pPr>
              <w:pStyle w:val="TableParagraph"/>
              <w:spacing w:line="138" w:lineRule="exact"/>
              <w:ind w:left="63"/>
              <w:rPr>
                <w:b/>
                <w:sz w:val="14"/>
              </w:rPr>
            </w:pPr>
            <w:r>
              <w:rPr>
                <w:b/>
                <w:sz w:val="14"/>
              </w:rPr>
              <w:t>in</w:t>
            </w:r>
            <w:r>
              <w:rPr>
                <w:b/>
                <w:spacing w:val="-3"/>
                <w:sz w:val="14"/>
              </w:rPr>
              <w:t> </w:t>
            </w:r>
            <w:r>
              <w:rPr>
                <w:b/>
                <w:spacing w:val="-2"/>
                <w:sz w:val="14"/>
              </w:rPr>
              <w:t>Downfall</w:t>
            </w:r>
          </w:p>
        </w:tc>
        <w:tc>
          <w:tcPr>
            <w:tcW w:w="1413" w:type="dxa"/>
            <w:tcBorders>
              <w:top w:val="single" w:sz="6" w:space="0" w:color="000000"/>
              <w:right w:val="single" w:sz="6" w:space="0" w:color="000000"/>
            </w:tcBorders>
          </w:tcPr>
          <w:p>
            <w:pPr>
              <w:pStyle w:val="TableParagraph"/>
              <w:spacing w:line="151" w:lineRule="exact"/>
              <w:ind w:left="64"/>
              <w:rPr>
                <w:sz w:val="14"/>
              </w:rPr>
            </w:pPr>
            <w:r>
              <w:rPr>
                <w:spacing w:val="-2"/>
                <w:sz w:val="14"/>
              </w:rPr>
              <w:t>Indirect</w:t>
            </w:r>
            <w:r>
              <w:rPr>
                <w:sz w:val="14"/>
              </w:rPr>
              <w:t> </w:t>
            </w:r>
            <w:r>
              <w:rPr>
                <w:spacing w:val="-2"/>
                <w:sz w:val="14"/>
              </w:rPr>
              <w:t>psychological</w:t>
            </w:r>
          </w:p>
          <w:p>
            <w:pPr>
              <w:pStyle w:val="TableParagraph"/>
              <w:spacing w:line="140" w:lineRule="exact"/>
              <w:ind w:left="64"/>
              <w:rPr>
                <w:sz w:val="14"/>
              </w:rPr>
            </w:pPr>
            <w:r>
              <w:rPr>
                <w:spacing w:val="-2"/>
                <w:sz w:val="14"/>
              </w:rPr>
              <w:t>influence</w:t>
            </w:r>
          </w:p>
        </w:tc>
        <w:tc>
          <w:tcPr>
            <w:tcW w:w="1421" w:type="dxa"/>
            <w:tcBorders>
              <w:top w:val="single" w:sz="6" w:space="0" w:color="000000"/>
              <w:left w:val="single" w:sz="6" w:space="0" w:color="000000"/>
            </w:tcBorders>
          </w:tcPr>
          <w:p>
            <w:pPr>
              <w:pStyle w:val="TableParagraph"/>
              <w:spacing w:line="151" w:lineRule="exact"/>
              <w:ind w:left="59"/>
              <w:rPr>
                <w:sz w:val="14"/>
              </w:rPr>
            </w:pPr>
            <w:r>
              <w:rPr>
                <w:spacing w:val="-2"/>
                <w:sz w:val="14"/>
              </w:rPr>
              <w:t>Direct</w:t>
            </w:r>
            <w:r>
              <w:rPr>
                <w:spacing w:val="1"/>
                <w:sz w:val="14"/>
              </w:rPr>
              <w:t> </w:t>
            </w:r>
            <w:r>
              <w:rPr>
                <w:spacing w:val="-2"/>
                <w:sz w:val="14"/>
              </w:rPr>
              <w:t>emotional</w:t>
            </w:r>
            <w:r>
              <w:rPr>
                <w:spacing w:val="2"/>
                <w:sz w:val="14"/>
              </w:rPr>
              <w:t> </w:t>
            </w:r>
            <w:r>
              <w:rPr>
                <w:spacing w:val="-5"/>
                <w:sz w:val="14"/>
              </w:rPr>
              <w:t>and</w:t>
            </w:r>
          </w:p>
          <w:p>
            <w:pPr>
              <w:pStyle w:val="TableParagraph"/>
              <w:spacing w:line="140" w:lineRule="exact"/>
              <w:ind w:left="59"/>
              <w:rPr>
                <w:sz w:val="14"/>
              </w:rPr>
            </w:pPr>
            <w:r>
              <w:rPr>
                <w:sz w:val="14"/>
              </w:rPr>
              <w:t>moral</w:t>
            </w:r>
            <w:r>
              <w:rPr>
                <w:spacing w:val="-9"/>
                <w:sz w:val="14"/>
              </w:rPr>
              <w:t> </w:t>
            </w:r>
            <w:r>
              <w:rPr>
                <w:spacing w:val="-2"/>
                <w:sz w:val="14"/>
              </w:rPr>
              <w:t>impact</w:t>
            </w:r>
          </w:p>
        </w:tc>
        <w:tc>
          <w:tcPr>
            <w:tcW w:w="1392" w:type="dxa"/>
            <w:tcBorders>
              <w:top w:val="single" w:sz="6" w:space="0" w:color="000000"/>
            </w:tcBorders>
          </w:tcPr>
          <w:p>
            <w:pPr>
              <w:pStyle w:val="TableParagraph"/>
              <w:spacing w:line="151" w:lineRule="exact"/>
              <w:ind w:left="64"/>
              <w:rPr>
                <w:sz w:val="14"/>
              </w:rPr>
            </w:pPr>
            <w:r>
              <w:rPr>
                <w:spacing w:val="-2"/>
                <w:sz w:val="14"/>
              </w:rPr>
              <w:t>Subtle</w:t>
            </w:r>
            <w:r>
              <w:rPr>
                <w:spacing w:val="2"/>
                <w:sz w:val="14"/>
              </w:rPr>
              <w:t> </w:t>
            </w:r>
            <w:r>
              <w:rPr>
                <w:spacing w:val="-2"/>
                <w:sz w:val="14"/>
              </w:rPr>
              <w:t>trigger</w:t>
            </w:r>
            <w:r>
              <w:rPr>
                <w:spacing w:val="3"/>
                <w:sz w:val="14"/>
              </w:rPr>
              <w:t> </w:t>
            </w:r>
            <w:r>
              <w:rPr>
                <w:spacing w:val="-5"/>
                <w:sz w:val="14"/>
              </w:rPr>
              <w:t>vs</w:t>
            </w:r>
          </w:p>
          <w:p>
            <w:pPr>
              <w:pStyle w:val="TableParagraph"/>
              <w:spacing w:line="140" w:lineRule="exact"/>
              <w:ind w:left="64"/>
              <w:rPr>
                <w:sz w:val="14"/>
              </w:rPr>
            </w:pPr>
            <w:r>
              <w:rPr>
                <w:spacing w:val="-2"/>
                <w:sz w:val="14"/>
              </w:rPr>
              <w:t>central</w:t>
            </w:r>
            <w:r>
              <w:rPr>
                <w:sz w:val="14"/>
              </w:rPr>
              <w:t> </w:t>
            </w:r>
            <w:r>
              <w:rPr>
                <w:spacing w:val="-2"/>
                <w:sz w:val="14"/>
              </w:rPr>
              <w:t>force</w:t>
            </w:r>
          </w:p>
        </w:tc>
      </w:tr>
      <w:tr>
        <w:trPr>
          <w:trHeight w:val="314" w:hRule="atLeast"/>
        </w:trPr>
        <w:tc>
          <w:tcPr>
            <w:tcW w:w="1187" w:type="dxa"/>
          </w:tcPr>
          <w:p>
            <w:pPr>
              <w:pStyle w:val="TableParagraph"/>
              <w:spacing w:line="157" w:lineRule="exact"/>
              <w:ind w:left="63"/>
              <w:rPr>
                <w:b/>
                <w:sz w:val="14"/>
              </w:rPr>
            </w:pPr>
            <w:r>
              <w:rPr>
                <w:b/>
                <w:spacing w:val="-2"/>
                <w:sz w:val="14"/>
              </w:rPr>
              <w:t>Societal</w:t>
            </w:r>
            <w:r>
              <w:rPr>
                <w:b/>
                <w:spacing w:val="2"/>
                <w:sz w:val="14"/>
              </w:rPr>
              <w:t> </w:t>
            </w:r>
            <w:r>
              <w:rPr>
                <w:b/>
                <w:spacing w:val="-2"/>
                <w:sz w:val="14"/>
              </w:rPr>
              <w:t>Influence</w:t>
            </w:r>
          </w:p>
        </w:tc>
        <w:tc>
          <w:tcPr>
            <w:tcW w:w="1413" w:type="dxa"/>
            <w:tcBorders>
              <w:right w:val="single" w:sz="6" w:space="0" w:color="000000"/>
            </w:tcBorders>
          </w:tcPr>
          <w:p>
            <w:pPr>
              <w:pStyle w:val="TableParagraph"/>
              <w:spacing w:line="154" w:lineRule="exact"/>
              <w:ind w:left="64"/>
              <w:rPr>
                <w:sz w:val="14"/>
              </w:rPr>
            </w:pPr>
            <w:r>
              <w:rPr>
                <w:spacing w:val="-2"/>
                <w:sz w:val="14"/>
              </w:rPr>
              <w:t>Court</w:t>
            </w:r>
            <w:r>
              <w:rPr>
                <w:spacing w:val="5"/>
                <w:sz w:val="14"/>
              </w:rPr>
              <w:t> </w:t>
            </w:r>
            <w:r>
              <w:rPr>
                <w:spacing w:val="-2"/>
                <w:sz w:val="14"/>
              </w:rPr>
              <w:t>politics</w:t>
            </w:r>
            <w:r>
              <w:rPr>
                <w:spacing w:val="3"/>
                <w:sz w:val="14"/>
              </w:rPr>
              <w:t> </w:t>
            </w:r>
            <w:r>
              <w:rPr>
                <w:spacing w:val="-5"/>
                <w:sz w:val="14"/>
              </w:rPr>
              <w:t>and</w:t>
            </w:r>
          </w:p>
          <w:p>
            <w:pPr>
              <w:pStyle w:val="TableParagraph"/>
              <w:spacing w:line="140" w:lineRule="exact"/>
              <w:ind w:left="64"/>
              <w:rPr>
                <w:sz w:val="14"/>
              </w:rPr>
            </w:pPr>
            <w:r>
              <w:rPr>
                <w:spacing w:val="-2"/>
                <w:sz w:val="14"/>
              </w:rPr>
              <w:t>corruption</w:t>
            </w:r>
          </w:p>
        </w:tc>
        <w:tc>
          <w:tcPr>
            <w:tcW w:w="1421" w:type="dxa"/>
            <w:tcBorders>
              <w:left w:val="single" w:sz="6" w:space="0" w:color="000000"/>
            </w:tcBorders>
          </w:tcPr>
          <w:p>
            <w:pPr>
              <w:pStyle w:val="TableParagraph"/>
              <w:spacing w:line="154" w:lineRule="exact"/>
              <w:ind w:left="59"/>
              <w:rPr>
                <w:sz w:val="14"/>
              </w:rPr>
            </w:pPr>
            <w:r>
              <w:rPr>
                <w:spacing w:val="-2"/>
                <w:sz w:val="14"/>
              </w:rPr>
              <w:t>Class</w:t>
            </w:r>
            <w:r>
              <w:rPr>
                <w:spacing w:val="5"/>
                <w:sz w:val="14"/>
              </w:rPr>
              <w:t> </w:t>
            </w:r>
            <w:r>
              <w:rPr>
                <w:spacing w:val="-2"/>
                <w:sz w:val="14"/>
              </w:rPr>
              <w:t>hierarchy</w:t>
            </w:r>
            <w:r>
              <w:rPr>
                <w:spacing w:val="-1"/>
                <w:sz w:val="14"/>
              </w:rPr>
              <w:t> </w:t>
            </w:r>
            <w:r>
              <w:rPr>
                <w:spacing w:val="-5"/>
                <w:sz w:val="14"/>
              </w:rPr>
              <w:t>and</w:t>
            </w:r>
          </w:p>
          <w:p>
            <w:pPr>
              <w:pStyle w:val="TableParagraph"/>
              <w:spacing w:line="140" w:lineRule="exact"/>
              <w:ind w:left="59"/>
              <w:rPr>
                <w:sz w:val="14"/>
              </w:rPr>
            </w:pPr>
            <w:r>
              <w:rPr>
                <w:spacing w:val="-2"/>
                <w:sz w:val="14"/>
              </w:rPr>
              <w:t>social</w:t>
            </w:r>
            <w:r>
              <w:rPr>
                <w:spacing w:val="2"/>
                <w:sz w:val="14"/>
              </w:rPr>
              <w:t> </w:t>
            </w:r>
            <w:r>
              <w:rPr>
                <w:spacing w:val="-2"/>
                <w:sz w:val="14"/>
              </w:rPr>
              <w:t>norms</w:t>
            </w:r>
          </w:p>
        </w:tc>
        <w:tc>
          <w:tcPr>
            <w:tcW w:w="1392" w:type="dxa"/>
          </w:tcPr>
          <w:p>
            <w:pPr>
              <w:pStyle w:val="TableParagraph"/>
              <w:spacing w:line="154" w:lineRule="exact"/>
              <w:ind w:left="64"/>
              <w:rPr>
                <w:sz w:val="14"/>
              </w:rPr>
            </w:pPr>
            <w:r>
              <w:rPr>
                <w:spacing w:val="-2"/>
                <w:sz w:val="14"/>
              </w:rPr>
              <w:t>External</w:t>
            </w:r>
            <w:r>
              <w:rPr>
                <w:spacing w:val="2"/>
                <w:sz w:val="14"/>
              </w:rPr>
              <w:t> </w:t>
            </w:r>
            <w:r>
              <w:rPr>
                <w:spacing w:val="-2"/>
                <w:sz w:val="14"/>
              </w:rPr>
              <w:t>structures</w:t>
            </w:r>
          </w:p>
          <w:p>
            <w:pPr>
              <w:pStyle w:val="TableParagraph"/>
              <w:spacing w:line="140" w:lineRule="exact"/>
              <w:ind w:left="64"/>
              <w:rPr>
                <w:sz w:val="14"/>
              </w:rPr>
            </w:pPr>
            <w:r>
              <w:rPr>
                <w:spacing w:val="-2"/>
                <w:sz w:val="14"/>
              </w:rPr>
              <w:t>shape</w:t>
            </w:r>
            <w:r>
              <w:rPr>
                <w:sz w:val="14"/>
              </w:rPr>
              <w:t> </w:t>
            </w:r>
            <w:r>
              <w:rPr>
                <w:spacing w:val="-2"/>
                <w:sz w:val="14"/>
              </w:rPr>
              <w:t>internal</w:t>
            </w:r>
            <w:r>
              <w:rPr>
                <w:spacing w:val="7"/>
                <w:sz w:val="14"/>
              </w:rPr>
              <w:t> </w:t>
            </w:r>
            <w:r>
              <w:rPr>
                <w:spacing w:val="-2"/>
                <w:sz w:val="14"/>
              </w:rPr>
              <w:t>collapse</w:t>
            </w:r>
          </w:p>
        </w:tc>
      </w:tr>
      <w:tr>
        <w:trPr>
          <w:trHeight w:val="314" w:hRule="atLeast"/>
        </w:trPr>
        <w:tc>
          <w:tcPr>
            <w:tcW w:w="1187" w:type="dxa"/>
          </w:tcPr>
          <w:p>
            <w:pPr>
              <w:pStyle w:val="TableParagraph"/>
              <w:spacing w:line="157" w:lineRule="exact"/>
              <w:ind w:left="63"/>
              <w:rPr>
                <w:b/>
                <w:sz w:val="14"/>
              </w:rPr>
            </w:pPr>
            <w:r>
              <w:rPr>
                <w:b/>
                <w:sz w:val="14"/>
              </w:rPr>
              <w:t>Ending</w:t>
            </w:r>
            <w:r>
              <w:rPr>
                <w:b/>
                <w:spacing w:val="-7"/>
                <w:sz w:val="14"/>
              </w:rPr>
              <w:t> </w:t>
            </w:r>
            <w:r>
              <w:rPr>
                <w:b/>
                <w:sz w:val="14"/>
              </w:rPr>
              <w:t>of</w:t>
            </w:r>
            <w:r>
              <w:rPr>
                <w:b/>
                <w:spacing w:val="-7"/>
                <w:sz w:val="14"/>
              </w:rPr>
              <w:t> </w:t>
            </w:r>
            <w:r>
              <w:rPr>
                <w:b/>
                <w:spacing w:val="-4"/>
                <w:sz w:val="14"/>
              </w:rPr>
              <w:t>Hero</w:t>
            </w:r>
          </w:p>
        </w:tc>
        <w:tc>
          <w:tcPr>
            <w:tcW w:w="1413" w:type="dxa"/>
            <w:tcBorders>
              <w:right w:val="single" w:sz="6" w:space="0" w:color="000000"/>
            </w:tcBorders>
          </w:tcPr>
          <w:p>
            <w:pPr>
              <w:pStyle w:val="TableParagraph"/>
              <w:spacing w:line="155" w:lineRule="exact"/>
              <w:ind w:left="64"/>
              <w:rPr>
                <w:sz w:val="14"/>
              </w:rPr>
            </w:pPr>
            <w:r>
              <w:rPr>
                <w:sz w:val="14"/>
              </w:rPr>
              <w:t>Death</w:t>
            </w:r>
            <w:r>
              <w:rPr>
                <w:spacing w:val="-7"/>
                <w:sz w:val="14"/>
              </w:rPr>
              <w:t> </w:t>
            </w:r>
            <w:r>
              <w:rPr>
                <w:sz w:val="14"/>
              </w:rPr>
              <w:t>with</w:t>
            </w:r>
            <w:r>
              <w:rPr>
                <w:spacing w:val="-9"/>
                <w:sz w:val="14"/>
              </w:rPr>
              <w:t> </w:t>
            </w:r>
            <w:r>
              <w:rPr>
                <w:spacing w:val="-2"/>
                <w:sz w:val="14"/>
              </w:rPr>
              <w:t>realization</w:t>
            </w:r>
          </w:p>
        </w:tc>
        <w:tc>
          <w:tcPr>
            <w:tcW w:w="1421" w:type="dxa"/>
            <w:tcBorders>
              <w:left w:val="single" w:sz="6" w:space="0" w:color="000000"/>
            </w:tcBorders>
          </w:tcPr>
          <w:p>
            <w:pPr>
              <w:pStyle w:val="TableParagraph"/>
              <w:spacing w:line="154" w:lineRule="exact"/>
              <w:ind w:left="59"/>
              <w:rPr>
                <w:sz w:val="14"/>
              </w:rPr>
            </w:pPr>
            <w:r>
              <w:rPr>
                <w:sz w:val="14"/>
              </w:rPr>
              <w:t>Death</w:t>
            </w:r>
            <w:r>
              <w:rPr>
                <w:spacing w:val="-9"/>
                <w:sz w:val="14"/>
              </w:rPr>
              <w:t> </w:t>
            </w:r>
            <w:r>
              <w:rPr>
                <w:spacing w:val="-2"/>
                <w:sz w:val="14"/>
              </w:rPr>
              <w:t>without</w:t>
            </w:r>
          </w:p>
          <w:p>
            <w:pPr>
              <w:pStyle w:val="TableParagraph"/>
              <w:spacing w:line="141" w:lineRule="exact"/>
              <w:ind w:left="59"/>
              <w:rPr>
                <w:sz w:val="14"/>
              </w:rPr>
            </w:pPr>
            <w:r>
              <w:rPr>
                <w:spacing w:val="-2"/>
                <w:sz w:val="14"/>
              </w:rPr>
              <w:t>redemption</w:t>
            </w:r>
          </w:p>
        </w:tc>
        <w:tc>
          <w:tcPr>
            <w:tcW w:w="1392" w:type="dxa"/>
          </w:tcPr>
          <w:p>
            <w:pPr>
              <w:pStyle w:val="TableParagraph"/>
              <w:spacing w:line="154" w:lineRule="exact"/>
              <w:ind w:left="64"/>
              <w:rPr>
                <w:sz w:val="14"/>
              </w:rPr>
            </w:pPr>
            <w:r>
              <w:rPr>
                <w:sz w:val="14"/>
              </w:rPr>
              <w:t>Closure</w:t>
            </w:r>
            <w:r>
              <w:rPr>
                <w:spacing w:val="-8"/>
                <w:sz w:val="14"/>
              </w:rPr>
              <w:t> </w:t>
            </w:r>
            <w:r>
              <w:rPr>
                <w:sz w:val="14"/>
              </w:rPr>
              <w:t>vs</w:t>
            </w:r>
            <w:r>
              <w:rPr>
                <w:spacing w:val="-8"/>
                <w:sz w:val="14"/>
              </w:rPr>
              <w:t> </w:t>
            </w:r>
            <w:r>
              <w:rPr>
                <w:spacing w:val="-2"/>
                <w:sz w:val="14"/>
              </w:rPr>
              <w:t>tragic</w:t>
            </w:r>
          </w:p>
          <w:p>
            <w:pPr>
              <w:pStyle w:val="TableParagraph"/>
              <w:spacing w:line="141" w:lineRule="exact"/>
              <w:ind w:left="64"/>
              <w:rPr>
                <w:sz w:val="14"/>
              </w:rPr>
            </w:pPr>
            <w:r>
              <w:rPr>
                <w:spacing w:val="-2"/>
                <w:sz w:val="14"/>
              </w:rPr>
              <w:t>incompleteness</w:t>
            </w:r>
          </w:p>
        </w:tc>
      </w:tr>
    </w:tbl>
    <w:p>
      <w:pPr>
        <w:pStyle w:val="Heading3"/>
        <w:numPr>
          <w:ilvl w:val="0"/>
          <w:numId w:val="43"/>
        </w:numPr>
        <w:tabs>
          <w:tab w:pos="1703" w:val="left" w:leader="none"/>
        </w:tabs>
        <w:spacing w:line="240" w:lineRule="auto" w:before="143" w:after="0"/>
        <w:ind w:left="1703" w:right="0" w:hanging="263"/>
        <w:jc w:val="left"/>
      </w:pPr>
      <w:r>
        <w:rPr>
          <w:spacing w:val="-2"/>
          <w:w w:val="95"/>
        </w:rPr>
        <w:t>DISCUSSION</w:t>
      </w:r>
    </w:p>
    <w:p>
      <w:pPr>
        <w:pStyle w:val="BodyText"/>
        <w:spacing w:line="249" w:lineRule="auto" w:before="75"/>
        <w:ind w:right="1438" w:firstLine="432"/>
        <w:jc w:val="both"/>
      </w:pPr>
      <w:r>
        <w:rPr/>
        <w:t>Female </w:t>
      </w:r>
      <w:r>
        <w:rPr>
          <w:spacing w:val="10"/>
        </w:rPr>
        <w:t>characters</w:t>
      </w:r>
      <w:r>
        <w:rPr>
          <w:spacing w:val="10"/>
        </w:rPr>
        <w:t> </w:t>
      </w:r>
      <w:r>
        <w:rPr/>
        <w:t>in both Hamlet and </w:t>
      </w:r>
      <w:r>
        <w:rPr>
          <w:spacing w:val="9"/>
        </w:rPr>
        <w:t>Devdas,</w:t>
      </w:r>
      <w:r>
        <w:rPr>
          <w:spacing w:val="9"/>
        </w:rPr>
        <w:t> </w:t>
      </w:r>
      <w:r>
        <w:rPr/>
        <w:t>and the psychological breakdowns that follow overcoming, are interconnected in</w:t>
      </w:r>
      <w:r>
        <w:rPr>
          <w:spacing w:val="-8"/>
        </w:rPr>
        <w:t> </w:t>
      </w:r>
      <w:r>
        <w:rPr/>
        <w:t>terms</w:t>
      </w:r>
      <w:r>
        <w:rPr>
          <w:spacing w:val="-6"/>
        </w:rPr>
        <w:t> </w:t>
      </w:r>
      <w:r>
        <w:rPr/>
        <w:t>of</w:t>
      </w:r>
      <w:r>
        <w:rPr>
          <w:spacing w:val="-8"/>
        </w:rPr>
        <w:t> </w:t>
      </w:r>
      <w:r>
        <w:rPr/>
        <w:t>the</w:t>
      </w:r>
      <w:r>
        <w:rPr>
          <w:spacing w:val="-5"/>
        </w:rPr>
        <w:t> </w:t>
      </w:r>
      <w:r>
        <w:rPr/>
        <w:t>emotional</w:t>
      </w:r>
      <w:r>
        <w:rPr>
          <w:spacing w:val="-6"/>
        </w:rPr>
        <w:t> </w:t>
      </w:r>
      <w:r>
        <w:rPr/>
        <w:t>nucleus</w:t>
      </w:r>
      <w:r>
        <w:rPr>
          <w:spacing w:val="-6"/>
        </w:rPr>
        <w:t> </w:t>
      </w:r>
      <w:r>
        <w:rPr/>
        <w:t>for</w:t>
      </w:r>
      <w:r>
        <w:rPr>
          <w:spacing w:val="-6"/>
        </w:rPr>
        <w:t> </w:t>
      </w:r>
      <w:r>
        <w:rPr/>
        <w:t>tragedy.</w:t>
      </w:r>
      <w:r>
        <w:rPr>
          <w:spacing w:val="-8"/>
        </w:rPr>
        <w:t> </w:t>
      </w:r>
      <w:r>
        <w:rPr/>
        <w:t>Their</w:t>
      </w:r>
      <w:r>
        <w:rPr>
          <w:spacing w:val="-4"/>
        </w:rPr>
        <w:t> </w:t>
      </w:r>
      <w:r>
        <w:rPr/>
        <w:t>relentless</w:t>
      </w:r>
      <w:r>
        <w:rPr>
          <w:spacing w:val="-8"/>
        </w:rPr>
        <w:t> </w:t>
      </w:r>
      <w:r>
        <w:rPr/>
        <w:t>suffering-Ophelia going mad, Gertrude’s moral dilemma, Paro fighting her constraints, and Chandramukhi’s worthless marginalization-reflects a strong imposition of society against them and thereby intensifies the complete inner conflicts of the protagonist. Here, materialized pain functions as a stimulant, feeding the hero’s downward spiral; one that magnetizes</w:t>
      </w:r>
      <w:r>
        <w:rPr>
          <w:spacing w:val="-1"/>
        </w:rPr>
        <w:t> </w:t>
      </w:r>
      <w:r>
        <w:rPr/>
        <w:t>our</w:t>
      </w:r>
      <w:r>
        <w:rPr>
          <w:spacing w:val="2"/>
        </w:rPr>
        <w:t> </w:t>
      </w:r>
      <w:r>
        <w:rPr/>
        <w:t>focus</w:t>
      </w:r>
      <w:r>
        <w:rPr>
          <w:spacing w:val="-1"/>
        </w:rPr>
        <w:t> </w:t>
      </w:r>
      <w:r>
        <w:rPr/>
        <w:t>into</w:t>
      </w:r>
      <w:r>
        <w:rPr>
          <w:spacing w:val="4"/>
        </w:rPr>
        <w:t> </w:t>
      </w:r>
      <w:r>
        <w:rPr/>
        <w:t>the</w:t>
      </w:r>
      <w:r>
        <w:rPr>
          <w:spacing w:val="2"/>
        </w:rPr>
        <w:t> </w:t>
      </w:r>
      <w:r>
        <w:rPr/>
        <w:t>pitch dark</w:t>
      </w:r>
      <w:r>
        <w:rPr>
          <w:spacing w:val="-1"/>
        </w:rPr>
        <w:t> </w:t>
      </w:r>
      <w:r>
        <w:rPr/>
        <w:t>depths</w:t>
      </w:r>
      <w:r>
        <w:rPr>
          <w:spacing w:val="-2"/>
        </w:rPr>
        <w:t> </w:t>
      </w:r>
      <w:r>
        <w:rPr/>
        <w:t>of emotional</w:t>
      </w:r>
      <w:r>
        <w:rPr>
          <w:spacing w:val="2"/>
        </w:rPr>
        <w:t> </w:t>
      </w:r>
      <w:r>
        <w:rPr>
          <w:spacing w:val="-2"/>
        </w:rPr>
        <w:t>incapacity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8576">
                <wp:simplePos x="0" y="0"/>
                <wp:positionH relativeFrom="page">
                  <wp:posOffset>2057400</wp:posOffset>
                </wp:positionH>
                <wp:positionV relativeFrom="paragraph">
                  <wp:posOffset>162604</wp:posOffset>
                </wp:positionV>
                <wp:extent cx="3657600" cy="12700"/>
                <wp:effectExtent l="0" t="0" r="0" b="0"/>
                <wp:wrapTopAndBottom/>
                <wp:docPr id="512" name="Graphic 512"/>
                <wp:cNvGraphicFramePr>
                  <a:graphicFrameLocks/>
                </wp:cNvGraphicFramePr>
                <a:graphic>
                  <a:graphicData uri="http://schemas.microsoft.com/office/word/2010/wordprocessingShape">
                    <wps:wsp>
                      <wps:cNvPr id="512" name="Graphic 51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47904;mso-wrap-distance-left:0;mso-wrap-distance-right:0" id="docshape507" filled="true" fillcolor="#000000" stroked="false">
                <v:fill type="solid"/>
                <w10:wrap type="topAndBottom"/>
              </v:rect>
            </w:pict>
          </mc:Fallback>
        </mc:AlternateContent>
      </w:r>
      <w:r>
        <w:rPr>
          <w:rFonts w:ascii="Verdana"/>
          <w:spacing w:val="-5"/>
          <w:sz w:val="18"/>
        </w:rPr>
        <w:t>238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as well as moral failures within him. The whole dynamic is further complicated by the cultures in which the events unfold. The women’s voices</w:t>
      </w:r>
      <w:r>
        <w:rPr>
          <w:spacing w:val="-13"/>
        </w:rPr>
        <w:t> </w:t>
      </w:r>
      <w:r>
        <w:rPr/>
        <w:t>receive</w:t>
      </w:r>
      <w:r>
        <w:rPr>
          <w:spacing w:val="-11"/>
        </w:rPr>
        <w:t> </w:t>
      </w:r>
      <w:r>
        <w:rPr/>
        <w:t>little</w:t>
      </w:r>
      <w:r>
        <w:rPr>
          <w:spacing w:val="-10"/>
        </w:rPr>
        <w:t> </w:t>
      </w:r>
      <w:r>
        <w:rPr/>
        <w:t>to</w:t>
      </w:r>
      <w:r>
        <w:rPr>
          <w:spacing w:val="-12"/>
        </w:rPr>
        <w:t> </w:t>
      </w:r>
      <w:r>
        <w:rPr/>
        <w:t>no</w:t>
      </w:r>
      <w:r>
        <w:rPr>
          <w:spacing w:val="-12"/>
        </w:rPr>
        <w:t> </w:t>
      </w:r>
      <w:r>
        <w:rPr/>
        <w:t>representation</w:t>
      </w:r>
      <w:r>
        <w:rPr>
          <w:spacing w:val="-12"/>
        </w:rPr>
        <w:t> </w:t>
      </w:r>
      <w:r>
        <w:rPr/>
        <w:t>in</w:t>
      </w:r>
      <w:r>
        <w:rPr>
          <w:spacing w:val="-13"/>
        </w:rPr>
        <w:t> </w:t>
      </w:r>
      <w:r>
        <w:rPr/>
        <w:t>the</w:t>
      </w:r>
      <w:r>
        <w:rPr>
          <w:spacing w:val="-12"/>
        </w:rPr>
        <w:t> </w:t>
      </w:r>
      <w:r>
        <w:rPr/>
        <w:t>tight</w:t>
      </w:r>
      <w:r>
        <w:rPr>
          <w:spacing w:val="-12"/>
        </w:rPr>
        <w:t> </w:t>
      </w:r>
      <w:r>
        <w:rPr/>
        <w:t>bonds</w:t>
      </w:r>
      <w:r>
        <w:rPr>
          <w:spacing w:val="-10"/>
        </w:rPr>
        <w:t> </w:t>
      </w:r>
      <w:r>
        <w:rPr/>
        <w:t>of</w:t>
      </w:r>
      <w:r>
        <w:rPr>
          <w:spacing w:val="-13"/>
        </w:rPr>
        <w:t> </w:t>
      </w:r>
      <w:r>
        <w:rPr/>
        <w:t>Elizabethan England. Meanwhile, in colonial Bengal, the lives of women and their </w:t>
      </w:r>
      <w:r>
        <w:rPr>
          <w:spacing w:val="-2"/>
        </w:rPr>
        <w:t>relationships are</w:t>
      </w:r>
      <w:r>
        <w:rPr>
          <w:spacing w:val="-4"/>
        </w:rPr>
        <w:t> </w:t>
      </w:r>
      <w:r>
        <w:rPr>
          <w:spacing w:val="-2"/>
        </w:rPr>
        <w:t>dictated subtly</w:t>
      </w:r>
      <w:r>
        <w:rPr>
          <w:spacing w:val="-4"/>
        </w:rPr>
        <w:t> </w:t>
      </w:r>
      <w:r>
        <w:rPr>
          <w:spacing w:val="-2"/>
        </w:rPr>
        <w:t>by</w:t>
      </w:r>
      <w:r>
        <w:rPr>
          <w:spacing w:val="-9"/>
        </w:rPr>
        <w:t> </w:t>
      </w:r>
      <w:r>
        <w:rPr>
          <w:spacing w:val="-2"/>
        </w:rPr>
        <w:t>social hierarchy</w:t>
      </w:r>
      <w:r>
        <w:rPr>
          <w:spacing w:val="-4"/>
        </w:rPr>
        <w:t> </w:t>
      </w:r>
      <w:r>
        <w:rPr>
          <w:spacing w:val="-2"/>
        </w:rPr>
        <w:t>and class restrictions. </w:t>
      </w:r>
      <w:r>
        <w:rPr/>
        <w:t>But leaving this aside, there are so many commonalities between the two stories where the male character stands marked by indecision, avoidance or an emotional incapacity. The texts may be read as saying that it is not their shortcomings, burdening the characters, which make them tragic, but the sheer neglect of individual responsibility and the responsibility towards the harshly treated lives of these women </w:t>
      </w:r>
      <w:r>
        <w:rPr>
          <w:spacing w:val="-2"/>
        </w:rPr>
        <w:t>themselves.</w:t>
      </w:r>
    </w:p>
    <w:p>
      <w:pPr>
        <w:pStyle w:val="Heading3"/>
        <w:numPr>
          <w:ilvl w:val="0"/>
          <w:numId w:val="43"/>
        </w:numPr>
        <w:tabs>
          <w:tab w:pos="1703" w:val="left" w:leader="none"/>
        </w:tabs>
        <w:spacing w:line="240" w:lineRule="auto" w:before="163" w:after="0"/>
        <w:ind w:left="1703" w:right="0" w:hanging="263"/>
        <w:jc w:val="left"/>
      </w:pPr>
      <w:r>
        <w:rPr>
          <w:spacing w:val="-2"/>
        </w:rPr>
        <w:t>CONCLUSION</w:t>
      </w:r>
    </w:p>
    <w:p>
      <w:pPr>
        <w:pStyle w:val="BodyText"/>
        <w:spacing w:line="264" w:lineRule="auto" w:before="83"/>
        <w:ind w:right="1436" w:firstLine="432"/>
        <w:jc w:val="both"/>
      </w:pPr>
      <w:r>
        <w:rPr/>
        <w:t>The analysis thus demonstrates that the tragedies in Hamlet and Devdas are not constructed solely around the weaknesses of the male protagonists but are equally shaped by female agency and mental disintegration.</w:t>
      </w:r>
      <w:r>
        <w:rPr>
          <w:spacing w:val="-5"/>
        </w:rPr>
        <w:t> </w:t>
      </w:r>
      <w:r>
        <w:rPr/>
        <w:t>The</w:t>
      </w:r>
      <w:r>
        <w:rPr>
          <w:spacing w:val="-5"/>
        </w:rPr>
        <w:t> </w:t>
      </w:r>
      <w:r>
        <w:rPr/>
        <w:t>roles</w:t>
      </w:r>
      <w:r>
        <w:rPr>
          <w:spacing w:val="-5"/>
        </w:rPr>
        <w:t> </w:t>
      </w:r>
      <w:r>
        <w:rPr/>
        <w:t>of</w:t>
      </w:r>
      <w:r>
        <w:rPr>
          <w:spacing w:val="-5"/>
        </w:rPr>
        <w:t> </w:t>
      </w:r>
      <w:r>
        <w:rPr/>
        <w:t>Ophelia,</w:t>
      </w:r>
      <w:r>
        <w:rPr>
          <w:spacing w:val="-3"/>
        </w:rPr>
        <w:t> </w:t>
      </w:r>
      <w:r>
        <w:rPr/>
        <w:t>Gertrude,</w:t>
      </w:r>
      <w:r>
        <w:rPr>
          <w:spacing w:val="-5"/>
        </w:rPr>
        <w:t> </w:t>
      </w:r>
      <w:r>
        <w:rPr/>
        <w:t>Paro,</w:t>
      </w:r>
      <w:r>
        <w:rPr>
          <w:spacing w:val="-3"/>
        </w:rPr>
        <w:t> </w:t>
      </w:r>
      <w:r>
        <w:rPr/>
        <w:t>and</w:t>
      </w:r>
      <w:r>
        <w:rPr>
          <w:spacing w:val="-2"/>
        </w:rPr>
        <w:t> </w:t>
      </w:r>
      <w:r>
        <w:rPr/>
        <w:t>Chandramukhi reveal</w:t>
      </w:r>
      <w:r>
        <w:rPr>
          <w:spacing w:val="-1"/>
        </w:rPr>
        <w:t> </w:t>
      </w:r>
      <w:r>
        <w:rPr/>
        <w:t>a</w:t>
      </w:r>
      <w:r>
        <w:rPr>
          <w:spacing w:val="-3"/>
        </w:rPr>
        <w:t> </w:t>
      </w:r>
      <w:r>
        <w:rPr/>
        <w:t>pattern:</w:t>
      </w:r>
      <w:r>
        <w:rPr>
          <w:spacing w:val="-3"/>
        </w:rPr>
        <w:t> </w:t>
      </w:r>
      <w:r>
        <w:rPr/>
        <w:t>women</w:t>
      </w:r>
      <w:r>
        <w:rPr>
          <w:spacing w:val="-3"/>
        </w:rPr>
        <w:t> </w:t>
      </w:r>
      <w:r>
        <w:rPr/>
        <w:t>are</w:t>
      </w:r>
      <w:r>
        <w:rPr>
          <w:spacing w:val="-1"/>
        </w:rPr>
        <w:t> </w:t>
      </w:r>
      <w:r>
        <w:rPr/>
        <w:t>not</w:t>
      </w:r>
      <w:r>
        <w:rPr>
          <w:spacing w:val="-1"/>
        </w:rPr>
        <w:t> </w:t>
      </w:r>
      <w:r>
        <w:rPr/>
        <w:t>mere</w:t>
      </w:r>
      <w:r>
        <w:rPr>
          <w:spacing w:val="-1"/>
        </w:rPr>
        <w:t> </w:t>
      </w:r>
      <w:r>
        <w:rPr/>
        <w:t>passive aufeuors</w:t>
      </w:r>
      <w:r>
        <w:rPr>
          <w:spacing w:val="-5"/>
        </w:rPr>
        <w:t> </w:t>
      </w:r>
      <w:r>
        <w:rPr/>
        <w:t>but</w:t>
      </w:r>
      <w:r>
        <w:rPr>
          <w:spacing w:val="-1"/>
        </w:rPr>
        <w:t> </w:t>
      </w:r>
      <w:r>
        <w:rPr/>
        <w:t>also decisive in the emotional and structural development of those tragedies. Therefore, Hamlet and Devdas-masterpieces in very dissimilar cultural contexts-display, in a representative manner, two truths underneath similar circumstances: the theme of internal collapse and silencing/ marginalization of women manifesting globally in tragic narratives. However, Hamlet virtually staggers under the weight of an intellectual paralysis, while Devdas metamorphoses into an escape artist, leading each to their entropies when thrown together with their own sufferings of and on the surrounding souls. Simply put, these texts are truly </w:t>
      </w:r>
      <w:r>
        <w:rPr>
          <w:spacing w:val="-2"/>
        </w:rPr>
        <w:t>timeless</w:t>
      </w:r>
      <w:r>
        <w:rPr>
          <w:spacing w:val="-10"/>
        </w:rPr>
        <w:t> </w:t>
      </w:r>
      <w:r>
        <w:rPr>
          <w:spacing w:val="-2"/>
        </w:rPr>
        <w:t>to</w:t>
      </w:r>
      <w:r>
        <w:rPr>
          <w:spacing w:val="-6"/>
        </w:rPr>
        <w:t> </w:t>
      </w:r>
      <w:r>
        <w:rPr>
          <w:spacing w:val="-2"/>
        </w:rPr>
        <w:t>reflect</w:t>
      </w:r>
      <w:r>
        <w:rPr>
          <w:spacing w:val="-7"/>
        </w:rPr>
        <w:t> </w:t>
      </w:r>
      <w:r>
        <w:rPr>
          <w:spacing w:val="-2"/>
        </w:rPr>
        <w:t>on</w:t>
      </w:r>
      <w:r>
        <w:rPr>
          <w:spacing w:val="-8"/>
        </w:rPr>
        <w:t> </w:t>
      </w:r>
      <w:r>
        <w:rPr>
          <w:spacing w:val="-2"/>
        </w:rPr>
        <w:t>such</w:t>
      </w:r>
      <w:r>
        <w:rPr>
          <w:spacing w:val="-11"/>
        </w:rPr>
        <w:t> </w:t>
      </w:r>
      <w:r>
        <w:rPr>
          <w:spacing w:val="-2"/>
        </w:rPr>
        <w:t>issues</w:t>
      </w:r>
      <w:r>
        <w:rPr>
          <w:spacing w:val="-8"/>
        </w:rPr>
        <w:t> </w:t>
      </w:r>
      <w:r>
        <w:rPr>
          <w:spacing w:val="-2"/>
        </w:rPr>
        <w:t>of</w:t>
      </w:r>
      <w:r>
        <w:rPr>
          <w:spacing w:val="-8"/>
        </w:rPr>
        <w:t> </w:t>
      </w:r>
      <w:r>
        <w:rPr>
          <w:spacing w:val="-2"/>
        </w:rPr>
        <w:t>human</w:t>
      </w:r>
      <w:r>
        <w:rPr>
          <w:spacing w:val="-8"/>
        </w:rPr>
        <w:t> </w:t>
      </w:r>
      <w:r>
        <w:rPr>
          <w:spacing w:val="-2"/>
        </w:rPr>
        <w:t>vulnerability,</w:t>
      </w:r>
      <w:r>
        <w:rPr>
          <w:spacing w:val="-6"/>
        </w:rPr>
        <w:t> </w:t>
      </w:r>
      <w:r>
        <w:rPr>
          <w:spacing w:val="-2"/>
        </w:rPr>
        <w:t>gender</w:t>
      </w:r>
      <w:r>
        <w:rPr>
          <w:spacing w:val="-6"/>
        </w:rPr>
        <w:t> </w:t>
      </w:r>
      <w:r>
        <w:rPr>
          <w:spacing w:val="-2"/>
        </w:rPr>
        <w:t>relations, </w:t>
      </w:r>
      <w:r>
        <w:rPr/>
        <w:t>and psychological dynamics in a truly existential nature that cross all borders and are still available as lighthouses to make sense of sorrows and</w:t>
      </w:r>
      <w:r>
        <w:rPr>
          <w:spacing w:val="40"/>
        </w:rPr>
        <w:t> </w:t>
      </w:r>
      <w:r>
        <w:rPr/>
        <w:t>of</w:t>
      </w:r>
      <w:r>
        <w:rPr>
          <w:spacing w:val="40"/>
        </w:rPr>
        <w:t> </w:t>
      </w:r>
      <w:r>
        <w:rPr/>
        <w:t>personal</w:t>
      </w:r>
      <w:r>
        <w:rPr>
          <w:spacing w:val="40"/>
        </w:rPr>
        <w:t> </w:t>
      </w:r>
      <w:r>
        <w:rPr/>
        <w:t>responsibility</w:t>
      </w:r>
      <w:r>
        <w:rPr>
          <w:spacing w:val="40"/>
        </w:rPr>
        <w:t> </w:t>
      </w:r>
      <w:r>
        <w:rPr/>
        <w:t>in</w:t>
      </w:r>
      <w:r>
        <w:rPr>
          <w:spacing w:val="40"/>
        </w:rPr>
        <w:t> </w:t>
      </w:r>
      <w:r>
        <w:rPr/>
        <w:t>this</w:t>
      </w:r>
      <w:r>
        <w:rPr>
          <w:spacing w:val="40"/>
        </w:rPr>
        <w:t> </w:t>
      </w:r>
      <w:r>
        <w:rPr/>
        <w:t>nuanced</w:t>
      </w:r>
      <w:r>
        <w:rPr>
          <w:spacing w:val="40"/>
        </w:rPr>
        <w:t> </w:t>
      </w:r>
      <w:r>
        <w:rPr/>
        <w:t>world.</w:t>
      </w:r>
    </w:p>
    <w:p>
      <w:pPr>
        <w:pStyle w:val="Heading3"/>
        <w:spacing w:before="136"/>
      </w:pPr>
      <w:r>
        <w:rPr>
          <w:spacing w:val="-2"/>
          <w:w w:val="95"/>
        </w:rPr>
        <w:t>REFERENCES</w:t>
      </w:r>
    </w:p>
    <w:p>
      <w:pPr>
        <w:pStyle w:val="ListParagraph"/>
        <w:numPr>
          <w:ilvl w:val="0"/>
          <w:numId w:val="46"/>
        </w:numPr>
        <w:tabs>
          <w:tab w:pos="2158" w:val="left" w:leader="none"/>
          <w:tab w:pos="2160" w:val="left" w:leader="none"/>
        </w:tabs>
        <w:spacing w:line="264" w:lineRule="auto" w:before="92" w:after="0"/>
        <w:ind w:left="2160" w:right="1438" w:hanging="392"/>
        <w:jc w:val="both"/>
        <w:rPr>
          <w:sz w:val="19"/>
        </w:rPr>
      </w:pPr>
      <w:r>
        <w:rPr>
          <w:sz w:val="19"/>
        </w:rPr>
        <w:t>Pal, Shamik, and Supriyo Mapder. “The Modern Devdas: A</w:t>
      </w:r>
      <w:r>
        <w:rPr>
          <w:spacing w:val="40"/>
          <w:sz w:val="19"/>
        </w:rPr>
        <w:t> </w:t>
      </w:r>
      <w:r>
        <w:rPr>
          <w:sz w:val="19"/>
        </w:rPr>
        <w:t>Study of the Degradation of a Literary Protagonist through </w:t>
      </w:r>
      <w:r>
        <w:rPr>
          <w:spacing w:val="10"/>
          <w:sz w:val="19"/>
        </w:rPr>
        <w:t>Numerous</w:t>
      </w:r>
      <w:r>
        <w:rPr>
          <w:spacing w:val="10"/>
          <w:sz w:val="19"/>
        </w:rPr>
        <w:t> </w:t>
      </w:r>
      <w:r>
        <w:rPr>
          <w:spacing w:val="11"/>
          <w:sz w:val="19"/>
        </w:rPr>
        <w:t>Adaptations.”</w:t>
      </w:r>
      <w:r>
        <w:rPr>
          <w:spacing w:val="11"/>
          <w:sz w:val="19"/>
        </w:rPr>
        <w:t> </w:t>
      </w:r>
      <w:r>
        <w:rPr>
          <w:i/>
          <w:sz w:val="19"/>
        </w:rPr>
        <w:t>From </w:t>
      </w:r>
      <w:r>
        <w:rPr>
          <w:i/>
          <w:spacing w:val="10"/>
          <w:sz w:val="19"/>
        </w:rPr>
        <w:t>Literary</w:t>
      </w:r>
      <w:r>
        <w:rPr>
          <w:i/>
          <w:spacing w:val="10"/>
          <w:sz w:val="19"/>
        </w:rPr>
        <w:t> </w:t>
      </w:r>
      <w:r>
        <w:rPr>
          <w:i/>
          <w:spacing w:val="11"/>
          <w:sz w:val="19"/>
        </w:rPr>
        <w:t>Composition</w:t>
      </w:r>
      <w:r>
        <w:rPr>
          <w:i/>
          <w:spacing w:val="11"/>
          <w:sz w:val="19"/>
        </w:rPr>
        <w:t> </w:t>
      </w:r>
      <w:r>
        <w:rPr>
          <w:i/>
          <w:sz w:val="19"/>
        </w:rPr>
        <w:t>to Cinematic Adaptation: A Study of Cinema through Literature</w:t>
      </w:r>
      <w:r>
        <w:rPr>
          <w:i/>
          <w:spacing w:val="40"/>
          <w:sz w:val="19"/>
        </w:rPr>
        <w:t> </w:t>
      </w:r>
      <w:r>
        <w:rPr>
          <w:i/>
          <w:sz w:val="19"/>
        </w:rPr>
        <w:t>from</w:t>
      </w:r>
      <w:r>
        <w:rPr>
          <w:i/>
          <w:spacing w:val="40"/>
          <w:sz w:val="19"/>
        </w:rPr>
        <w:t> </w:t>
      </w:r>
      <w:r>
        <w:rPr>
          <w:i/>
          <w:sz w:val="19"/>
        </w:rPr>
        <w:t>Indian</w:t>
      </w:r>
      <w:r>
        <w:rPr>
          <w:i/>
          <w:spacing w:val="40"/>
          <w:sz w:val="19"/>
        </w:rPr>
        <w:t> </w:t>
      </w:r>
      <w:r>
        <w:rPr>
          <w:i/>
          <w:sz w:val="19"/>
        </w:rPr>
        <w:t>Perspective </w:t>
      </w:r>
      <w:r>
        <w:rPr>
          <w:sz w:val="19"/>
        </w:rPr>
        <w:t>(2022):</w:t>
      </w:r>
      <w:r>
        <w:rPr>
          <w:spacing w:val="40"/>
          <w:sz w:val="19"/>
        </w:rPr>
        <w:t> </w:t>
      </w:r>
      <w:r>
        <w:rPr>
          <w:sz w:val="19"/>
        </w:rPr>
        <w:t>194.</w:t>
      </w:r>
    </w:p>
    <w:p>
      <w:pPr>
        <w:pStyle w:val="ListParagraph"/>
        <w:spacing w:after="0" w:line="264" w:lineRule="auto"/>
        <w:jc w:val="both"/>
        <w:rPr>
          <w:sz w:val="19"/>
        </w:rPr>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9088">
                <wp:simplePos x="0" y="0"/>
                <wp:positionH relativeFrom="page">
                  <wp:posOffset>2065020</wp:posOffset>
                </wp:positionH>
                <wp:positionV relativeFrom="paragraph">
                  <wp:posOffset>795020</wp:posOffset>
                </wp:positionV>
                <wp:extent cx="3657600" cy="12700"/>
                <wp:effectExtent l="0" t="0" r="0" b="0"/>
                <wp:wrapTopAndBottom/>
                <wp:docPr id="513" name="Graphic 513"/>
                <wp:cNvGraphicFramePr>
                  <a:graphicFrameLocks/>
                </wp:cNvGraphicFramePr>
                <a:graphic>
                  <a:graphicData uri="http://schemas.microsoft.com/office/word/2010/wordprocessingShape">
                    <wps:wsp>
                      <wps:cNvPr id="513" name="Graphic 51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47392;mso-wrap-distance-left:0;mso-wrap-distance-right:0" id="docshape508" filled="true" fillcolor="#000000" stroked="false">
                <v:fill type="solid"/>
                <w10:wrap type="topAndBottom"/>
              </v:rect>
            </w:pict>
          </mc:Fallback>
        </mc:AlternateContent>
      </w:r>
      <w:r>
        <w:rPr>
          <w:rFonts w:ascii="Verdana"/>
          <w:sz w:val="18"/>
        </w:rPr>
        <w:t>Shadows</w:t>
      </w:r>
      <w:r>
        <w:rPr>
          <w:rFonts w:ascii="Verdana"/>
          <w:spacing w:val="5"/>
          <w:sz w:val="18"/>
        </w:rPr>
        <w:t> </w:t>
      </w:r>
      <w:r>
        <w:rPr>
          <w:rFonts w:ascii="Verdana"/>
          <w:sz w:val="18"/>
        </w:rPr>
        <w:t>of</w:t>
      </w:r>
      <w:r>
        <w:rPr>
          <w:rFonts w:ascii="Verdana"/>
          <w:spacing w:val="8"/>
          <w:sz w:val="18"/>
        </w:rPr>
        <w:t> </w:t>
      </w:r>
      <w:r>
        <w:rPr>
          <w:rFonts w:ascii="Verdana"/>
          <w:sz w:val="18"/>
        </w:rPr>
        <w:t>the</w:t>
      </w:r>
      <w:r>
        <w:rPr>
          <w:rFonts w:ascii="Verdana"/>
          <w:spacing w:val="6"/>
          <w:sz w:val="18"/>
        </w:rPr>
        <w:t> </w:t>
      </w:r>
      <w:r>
        <w:rPr>
          <w:rFonts w:ascii="Verdana"/>
          <w:sz w:val="18"/>
        </w:rPr>
        <w:t>Tragic</w:t>
      </w:r>
      <w:r>
        <w:rPr>
          <w:rFonts w:ascii="Verdana"/>
          <w:spacing w:val="6"/>
          <w:sz w:val="18"/>
        </w:rPr>
        <w:t> </w:t>
      </w:r>
      <w:r>
        <w:rPr>
          <w:rFonts w:ascii="Verdana"/>
          <w:sz w:val="18"/>
        </w:rPr>
        <w:t>Hero:</w:t>
      </w:r>
      <w:r>
        <w:rPr>
          <w:rFonts w:ascii="Verdana"/>
          <w:spacing w:val="5"/>
          <w:sz w:val="18"/>
        </w:rPr>
        <w:t> </w:t>
      </w:r>
      <w:r>
        <w:rPr>
          <w:rFonts w:ascii="Verdana"/>
          <w:sz w:val="18"/>
        </w:rPr>
        <w:t>Female</w:t>
      </w:r>
      <w:r>
        <w:rPr>
          <w:rFonts w:ascii="Verdana"/>
          <w:spacing w:val="5"/>
          <w:sz w:val="18"/>
        </w:rPr>
        <w:t> </w:t>
      </w:r>
      <w:r>
        <w:rPr>
          <w:rFonts w:ascii="Verdana"/>
          <w:sz w:val="18"/>
        </w:rPr>
        <w:t>Agency</w:t>
      </w:r>
      <w:r>
        <w:rPr>
          <w:rFonts w:ascii="Verdana"/>
          <w:spacing w:val="5"/>
          <w:sz w:val="18"/>
        </w:rPr>
        <w:t> </w:t>
      </w:r>
      <w:r>
        <w:rPr>
          <w:rFonts w:ascii="Verdana"/>
          <w:sz w:val="18"/>
        </w:rPr>
        <w:t>and</w:t>
      </w:r>
      <w:r>
        <w:rPr>
          <w:rFonts w:ascii="Verdana"/>
          <w:spacing w:val="7"/>
          <w:sz w:val="18"/>
        </w:rPr>
        <w:t> </w:t>
      </w:r>
      <w:r>
        <w:rPr>
          <w:rFonts w:ascii="Verdana"/>
          <w:spacing w:val="-5"/>
          <w:sz w:val="18"/>
        </w:rPr>
        <w:t>...</w:t>
      </w:r>
      <w:r>
        <w:rPr>
          <w:sz w:val="18"/>
        </w:rPr>
        <w:tab/>
      </w:r>
      <w:r>
        <w:rPr>
          <w:rFonts w:ascii="Verdana"/>
          <w:spacing w:val="-5"/>
          <w:sz w:val="18"/>
        </w:rPr>
        <w:t>239</w:t>
      </w:r>
    </w:p>
    <w:p>
      <w:pPr>
        <w:pStyle w:val="ListParagraph"/>
        <w:numPr>
          <w:ilvl w:val="0"/>
          <w:numId w:val="46"/>
        </w:numPr>
        <w:tabs>
          <w:tab w:pos="2157" w:val="left" w:leader="none"/>
          <w:tab w:pos="2160" w:val="left" w:leader="none"/>
        </w:tabs>
        <w:spacing w:line="261" w:lineRule="auto" w:before="199" w:after="0"/>
        <w:ind w:left="2160" w:right="1438" w:hanging="389"/>
        <w:jc w:val="both"/>
        <w:rPr>
          <w:sz w:val="19"/>
        </w:rPr>
      </w:pPr>
      <w:r>
        <w:rPr>
          <w:sz w:val="19"/>
        </w:rPr>
        <w:t>Kortas, Cyrine, and Ajit Kumar. </w:t>
      </w:r>
      <w:r>
        <w:rPr>
          <w:i/>
          <w:sz w:val="19"/>
        </w:rPr>
        <w:t>Cultural Cinematics and Bollywood</w:t>
      </w:r>
      <w:r>
        <w:rPr>
          <w:sz w:val="19"/>
        </w:rPr>
        <w:t>.</w:t>
      </w:r>
      <w:r>
        <w:rPr>
          <w:spacing w:val="40"/>
          <w:sz w:val="19"/>
        </w:rPr>
        <w:t> </w:t>
      </w:r>
      <w:r>
        <w:rPr>
          <w:sz w:val="19"/>
        </w:rPr>
        <w:t>Cambridge</w:t>
      </w:r>
      <w:r>
        <w:rPr>
          <w:spacing w:val="40"/>
          <w:sz w:val="19"/>
        </w:rPr>
        <w:t> </w:t>
      </w:r>
      <w:r>
        <w:rPr>
          <w:sz w:val="19"/>
        </w:rPr>
        <w:t>Scholars</w:t>
      </w:r>
      <w:r>
        <w:rPr>
          <w:spacing w:val="40"/>
          <w:sz w:val="19"/>
        </w:rPr>
        <w:t> </w:t>
      </w:r>
      <w:r>
        <w:rPr>
          <w:sz w:val="19"/>
        </w:rPr>
        <w:t>Publishing,</w:t>
      </w:r>
      <w:r>
        <w:rPr>
          <w:spacing w:val="40"/>
          <w:sz w:val="19"/>
        </w:rPr>
        <w:t> </w:t>
      </w:r>
      <w:r>
        <w:rPr>
          <w:sz w:val="19"/>
        </w:rPr>
        <w:t>2025.</w:t>
      </w:r>
    </w:p>
    <w:p>
      <w:pPr>
        <w:pStyle w:val="ListParagraph"/>
        <w:numPr>
          <w:ilvl w:val="0"/>
          <w:numId w:val="46"/>
        </w:numPr>
        <w:tabs>
          <w:tab w:pos="2157" w:val="left" w:leader="none"/>
          <w:tab w:pos="2160" w:val="left" w:leader="none"/>
        </w:tabs>
        <w:spacing w:line="261" w:lineRule="auto" w:before="57" w:after="0"/>
        <w:ind w:left="2160" w:right="1437" w:hanging="389"/>
        <w:jc w:val="both"/>
        <w:rPr>
          <w:sz w:val="19"/>
        </w:rPr>
      </w:pPr>
      <w:r>
        <w:rPr>
          <w:sz w:val="19"/>
        </w:rPr>
        <w:t>Basu, Priyanka. “‘An ‘authentic’performance?: The cultural politics of ‘folk’in Bengal and Bangladesh’(part 2).” </w:t>
      </w:r>
      <w:r>
        <w:rPr>
          <w:i/>
          <w:sz w:val="19"/>
        </w:rPr>
        <w:t>South Asian History</w:t>
      </w:r>
      <w:r>
        <w:rPr>
          <w:i/>
          <w:spacing w:val="40"/>
          <w:sz w:val="19"/>
        </w:rPr>
        <w:t> </w:t>
      </w:r>
      <w:r>
        <w:rPr>
          <w:i/>
          <w:sz w:val="19"/>
        </w:rPr>
        <w:t>and</w:t>
      </w:r>
      <w:r>
        <w:rPr>
          <w:i/>
          <w:spacing w:val="40"/>
          <w:sz w:val="19"/>
        </w:rPr>
        <w:t> </w:t>
      </w:r>
      <w:r>
        <w:rPr>
          <w:i/>
          <w:sz w:val="19"/>
        </w:rPr>
        <w:t>Culture </w:t>
      </w:r>
      <w:r>
        <w:rPr>
          <w:sz w:val="19"/>
        </w:rPr>
        <w:t>11.2</w:t>
      </w:r>
      <w:r>
        <w:rPr>
          <w:spacing w:val="40"/>
          <w:sz w:val="19"/>
        </w:rPr>
        <w:t> </w:t>
      </w:r>
      <w:r>
        <w:rPr>
          <w:sz w:val="19"/>
        </w:rPr>
        <w:t>(2020):</w:t>
      </w:r>
      <w:r>
        <w:rPr>
          <w:spacing w:val="40"/>
          <w:sz w:val="19"/>
        </w:rPr>
        <w:t> </w:t>
      </w:r>
      <w:r>
        <w:rPr>
          <w:sz w:val="19"/>
        </w:rPr>
        <w:t>150-227.</w:t>
      </w:r>
    </w:p>
    <w:p>
      <w:pPr>
        <w:pStyle w:val="ListParagraph"/>
        <w:numPr>
          <w:ilvl w:val="0"/>
          <w:numId w:val="46"/>
        </w:numPr>
        <w:tabs>
          <w:tab w:pos="2157" w:val="left" w:leader="none"/>
          <w:tab w:pos="2160" w:val="left" w:leader="none"/>
        </w:tabs>
        <w:spacing w:line="261" w:lineRule="auto" w:before="58" w:after="0"/>
        <w:ind w:left="2160" w:right="1439" w:hanging="389"/>
        <w:jc w:val="both"/>
        <w:rPr>
          <w:sz w:val="19"/>
        </w:rPr>
      </w:pPr>
      <w:r>
        <w:rPr>
          <w:sz w:val="19"/>
        </w:rPr>
        <w:t>Gnes, Debora. “Bollywood Adaptations of Shakespeare: An Analysis</w:t>
      </w:r>
      <w:r>
        <w:rPr>
          <w:spacing w:val="40"/>
          <w:sz w:val="19"/>
        </w:rPr>
        <w:t> </w:t>
      </w:r>
      <w:r>
        <w:rPr>
          <w:sz w:val="19"/>
        </w:rPr>
        <w:t>of</w:t>
      </w:r>
      <w:r>
        <w:rPr>
          <w:spacing w:val="40"/>
          <w:sz w:val="19"/>
        </w:rPr>
        <w:t> </w:t>
      </w:r>
      <w:r>
        <w:rPr>
          <w:sz w:val="19"/>
        </w:rPr>
        <w:t>Vishal</w:t>
      </w:r>
      <w:r>
        <w:rPr>
          <w:spacing w:val="40"/>
          <w:sz w:val="19"/>
        </w:rPr>
        <w:t> </w:t>
      </w:r>
      <w:r>
        <w:rPr>
          <w:sz w:val="19"/>
        </w:rPr>
        <w:t>Bhardwaj’s</w:t>
      </w:r>
      <w:r>
        <w:rPr>
          <w:spacing w:val="40"/>
          <w:sz w:val="19"/>
        </w:rPr>
        <w:t> </w:t>
      </w:r>
      <w:r>
        <w:rPr>
          <w:sz w:val="19"/>
        </w:rPr>
        <w:t>Trilogy.”</w:t>
      </w:r>
      <w:r>
        <w:rPr>
          <w:spacing w:val="40"/>
          <w:sz w:val="19"/>
        </w:rPr>
        <w:t> </w:t>
      </w:r>
      <w:r>
        <w:rPr>
          <w:sz w:val="19"/>
        </w:rPr>
        <w:t>(2018).</w:t>
      </w:r>
    </w:p>
    <w:p>
      <w:pPr>
        <w:pStyle w:val="ListParagraph"/>
        <w:numPr>
          <w:ilvl w:val="0"/>
          <w:numId w:val="46"/>
        </w:numPr>
        <w:tabs>
          <w:tab w:pos="2157" w:val="left" w:leader="none"/>
          <w:tab w:pos="2160" w:val="left" w:leader="none"/>
        </w:tabs>
        <w:spacing w:line="261" w:lineRule="auto" w:before="59" w:after="0"/>
        <w:ind w:left="2160" w:right="1438" w:hanging="389"/>
        <w:jc w:val="both"/>
        <w:rPr>
          <w:sz w:val="19"/>
        </w:rPr>
      </w:pPr>
      <w:r>
        <w:rPr>
          <w:sz w:val="19"/>
        </w:rPr>
        <w:t>Suman, Sweta. “Denied Agency, Identity Crisis and the Burden</w:t>
      </w:r>
      <w:r>
        <w:rPr>
          <w:spacing w:val="80"/>
          <w:sz w:val="19"/>
        </w:rPr>
        <w:t> </w:t>
      </w:r>
      <w:r>
        <w:rPr>
          <w:sz w:val="19"/>
        </w:rPr>
        <w:t>of </w:t>
      </w:r>
      <w:r>
        <w:rPr>
          <w:spacing w:val="9"/>
          <w:sz w:val="19"/>
        </w:rPr>
        <w:t>Loss:</w:t>
      </w:r>
      <w:r>
        <w:rPr>
          <w:spacing w:val="9"/>
          <w:sz w:val="19"/>
        </w:rPr>
        <w:t> </w:t>
      </w:r>
      <w:r>
        <w:rPr>
          <w:sz w:val="19"/>
        </w:rPr>
        <w:t>How Patriarchy, </w:t>
      </w:r>
      <w:r>
        <w:rPr>
          <w:spacing w:val="10"/>
          <w:sz w:val="19"/>
        </w:rPr>
        <w:t>Cultural</w:t>
      </w:r>
      <w:r>
        <w:rPr>
          <w:spacing w:val="10"/>
          <w:sz w:val="19"/>
        </w:rPr>
        <w:t> </w:t>
      </w:r>
      <w:r>
        <w:rPr>
          <w:spacing w:val="11"/>
          <w:sz w:val="19"/>
        </w:rPr>
        <w:t>Codification</w:t>
      </w:r>
      <w:r>
        <w:rPr>
          <w:spacing w:val="11"/>
          <w:sz w:val="19"/>
        </w:rPr>
        <w:t> </w:t>
      </w:r>
      <w:r>
        <w:rPr>
          <w:spacing w:val="10"/>
          <w:sz w:val="19"/>
        </w:rPr>
        <w:t>shapes </w:t>
      </w:r>
      <w:r>
        <w:rPr>
          <w:sz w:val="19"/>
        </w:rPr>
        <w:t>Widowhood.” </w:t>
      </w:r>
      <w:r>
        <w:rPr>
          <w:i/>
          <w:sz w:val="19"/>
        </w:rPr>
        <w:t>International Journal of Multidisciplinary and Current Research </w:t>
      </w:r>
      <w:r>
        <w:rPr>
          <w:sz w:val="19"/>
        </w:rPr>
        <w:t>13.4 (2025): 313-315.</w:t>
      </w:r>
    </w:p>
    <w:p>
      <w:pPr>
        <w:pStyle w:val="ListParagraph"/>
        <w:numPr>
          <w:ilvl w:val="0"/>
          <w:numId w:val="46"/>
        </w:numPr>
        <w:tabs>
          <w:tab w:pos="2157" w:val="left" w:leader="none"/>
          <w:tab w:pos="2160" w:val="left" w:leader="none"/>
        </w:tabs>
        <w:spacing w:line="261" w:lineRule="auto" w:before="55" w:after="0"/>
        <w:ind w:left="2160" w:right="1438" w:hanging="389"/>
        <w:jc w:val="both"/>
        <w:rPr>
          <w:sz w:val="19"/>
        </w:rPr>
      </w:pPr>
      <w:r>
        <w:rPr>
          <w:sz w:val="19"/>
        </w:rPr>
        <w:t>Bay-Cheng, Laina Y. “Agency is everywhere, but agency is not enough: A conceptual analysis of young women’s sexual</w:t>
      </w:r>
      <w:r>
        <w:rPr>
          <w:spacing w:val="40"/>
          <w:sz w:val="19"/>
        </w:rPr>
        <w:t> </w:t>
      </w:r>
      <w:r>
        <w:rPr>
          <w:sz w:val="19"/>
        </w:rPr>
        <w:t>agency.”</w:t>
      </w:r>
      <w:r>
        <w:rPr>
          <w:spacing w:val="-1"/>
          <w:sz w:val="19"/>
        </w:rPr>
        <w:t> </w:t>
      </w:r>
      <w:r>
        <w:rPr>
          <w:i/>
          <w:sz w:val="19"/>
        </w:rPr>
        <w:t>The</w:t>
      </w:r>
      <w:r>
        <w:rPr>
          <w:i/>
          <w:spacing w:val="35"/>
          <w:sz w:val="19"/>
        </w:rPr>
        <w:t> </w:t>
      </w:r>
      <w:r>
        <w:rPr>
          <w:i/>
          <w:sz w:val="19"/>
        </w:rPr>
        <w:t>Journal</w:t>
      </w:r>
      <w:r>
        <w:rPr>
          <w:i/>
          <w:spacing w:val="38"/>
          <w:sz w:val="19"/>
        </w:rPr>
        <w:t> </w:t>
      </w:r>
      <w:r>
        <w:rPr>
          <w:i/>
          <w:sz w:val="19"/>
        </w:rPr>
        <w:t>of</w:t>
      </w:r>
      <w:r>
        <w:rPr>
          <w:i/>
          <w:spacing w:val="35"/>
          <w:sz w:val="19"/>
        </w:rPr>
        <w:t> </w:t>
      </w:r>
      <w:r>
        <w:rPr>
          <w:i/>
          <w:sz w:val="19"/>
        </w:rPr>
        <w:t>Sex</w:t>
      </w:r>
      <w:r>
        <w:rPr>
          <w:i/>
          <w:spacing w:val="38"/>
          <w:sz w:val="19"/>
        </w:rPr>
        <w:t> </w:t>
      </w:r>
      <w:r>
        <w:rPr>
          <w:i/>
          <w:sz w:val="19"/>
        </w:rPr>
        <w:t>Research </w:t>
      </w:r>
      <w:r>
        <w:rPr>
          <w:sz w:val="19"/>
        </w:rPr>
        <w:t>56.4-5</w:t>
      </w:r>
      <w:r>
        <w:rPr>
          <w:spacing w:val="38"/>
          <w:sz w:val="19"/>
        </w:rPr>
        <w:t> </w:t>
      </w:r>
      <w:r>
        <w:rPr>
          <w:sz w:val="19"/>
        </w:rPr>
        <w:t>(2019):</w:t>
      </w:r>
      <w:r>
        <w:rPr>
          <w:spacing w:val="38"/>
          <w:sz w:val="19"/>
        </w:rPr>
        <w:t> </w:t>
      </w:r>
      <w:r>
        <w:rPr>
          <w:sz w:val="19"/>
        </w:rPr>
        <w:t>462-474.</w:t>
      </w:r>
    </w:p>
    <w:p>
      <w:pPr>
        <w:pStyle w:val="ListParagraph"/>
        <w:numPr>
          <w:ilvl w:val="0"/>
          <w:numId w:val="46"/>
        </w:numPr>
        <w:tabs>
          <w:tab w:pos="2157" w:val="left" w:leader="none"/>
          <w:tab w:pos="2160" w:val="left" w:leader="none"/>
        </w:tabs>
        <w:spacing w:line="261" w:lineRule="auto" w:before="59" w:after="0"/>
        <w:ind w:left="2160" w:right="1438" w:hanging="389"/>
        <w:jc w:val="both"/>
        <w:rPr>
          <w:sz w:val="19"/>
        </w:rPr>
      </w:pPr>
      <w:r>
        <w:rPr>
          <w:spacing w:val="9"/>
          <w:sz w:val="19"/>
        </w:rPr>
        <w:t>Rutherford,</w:t>
      </w:r>
      <w:r>
        <w:rPr>
          <w:spacing w:val="9"/>
          <w:sz w:val="19"/>
        </w:rPr>
        <w:t> </w:t>
      </w:r>
      <w:r>
        <w:rPr>
          <w:sz w:val="19"/>
        </w:rPr>
        <w:t>Alexandra. “Feminism, psychology, and the </w:t>
      </w:r>
      <w:r>
        <w:rPr>
          <w:spacing w:val="10"/>
          <w:sz w:val="19"/>
        </w:rPr>
        <w:t>gendering</w:t>
      </w:r>
      <w:r>
        <w:rPr>
          <w:spacing w:val="10"/>
          <w:sz w:val="19"/>
        </w:rPr>
        <w:t> </w:t>
      </w:r>
      <w:r>
        <w:rPr>
          <w:sz w:val="19"/>
        </w:rPr>
        <w:t>of </w:t>
      </w:r>
      <w:r>
        <w:rPr>
          <w:spacing w:val="10"/>
          <w:sz w:val="19"/>
        </w:rPr>
        <w:t>neoliberal</w:t>
      </w:r>
      <w:r>
        <w:rPr>
          <w:spacing w:val="10"/>
          <w:sz w:val="19"/>
        </w:rPr>
        <w:t> subjectivity:</w:t>
      </w:r>
      <w:r>
        <w:rPr>
          <w:spacing w:val="10"/>
          <w:sz w:val="19"/>
        </w:rPr>
        <w:t> </w:t>
      </w:r>
      <w:r>
        <w:rPr>
          <w:sz w:val="19"/>
        </w:rPr>
        <w:t>From </w:t>
      </w:r>
      <w:r>
        <w:rPr>
          <w:spacing w:val="10"/>
          <w:sz w:val="19"/>
        </w:rPr>
        <w:t>critique</w:t>
      </w:r>
      <w:r>
        <w:rPr>
          <w:spacing w:val="10"/>
          <w:sz w:val="19"/>
        </w:rPr>
        <w:t> </w:t>
      </w:r>
      <w:r>
        <w:rPr>
          <w:sz w:val="19"/>
        </w:rPr>
        <w:t>to disruption.” </w:t>
      </w:r>
      <w:r>
        <w:rPr>
          <w:i/>
          <w:sz w:val="19"/>
        </w:rPr>
        <w:t>Theory</w:t>
      </w:r>
      <w:r>
        <w:rPr>
          <w:i/>
          <w:spacing w:val="40"/>
          <w:sz w:val="19"/>
        </w:rPr>
        <w:t> </w:t>
      </w:r>
      <w:r>
        <w:rPr>
          <w:i/>
          <w:sz w:val="19"/>
        </w:rPr>
        <w:t>&amp;</w:t>
      </w:r>
      <w:r>
        <w:rPr>
          <w:i/>
          <w:spacing w:val="40"/>
          <w:sz w:val="19"/>
        </w:rPr>
        <w:t> </w:t>
      </w:r>
      <w:r>
        <w:rPr>
          <w:i/>
          <w:sz w:val="19"/>
        </w:rPr>
        <w:t>Psychology </w:t>
      </w:r>
      <w:r>
        <w:rPr>
          <w:sz w:val="19"/>
        </w:rPr>
        <w:t>28.5</w:t>
      </w:r>
      <w:r>
        <w:rPr>
          <w:spacing w:val="40"/>
          <w:sz w:val="19"/>
        </w:rPr>
        <w:t> </w:t>
      </w:r>
      <w:r>
        <w:rPr>
          <w:sz w:val="19"/>
        </w:rPr>
        <w:t>(2018):</w:t>
      </w:r>
      <w:r>
        <w:rPr>
          <w:spacing w:val="40"/>
          <w:sz w:val="19"/>
        </w:rPr>
        <w:t> </w:t>
      </w:r>
      <w:r>
        <w:rPr>
          <w:sz w:val="19"/>
        </w:rPr>
        <w:t>619-644.</w:t>
      </w:r>
    </w:p>
    <w:p>
      <w:pPr>
        <w:pStyle w:val="ListParagraph"/>
        <w:numPr>
          <w:ilvl w:val="0"/>
          <w:numId w:val="46"/>
        </w:numPr>
        <w:tabs>
          <w:tab w:pos="2157" w:val="left" w:leader="none"/>
          <w:tab w:pos="2160" w:val="left" w:leader="none"/>
        </w:tabs>
        <w:spacing w:line="261" w:lineRule="auto" w:before="58" w:after="0"/>
        <w:ind w:left="2160" w:right="1438" w:hanging="389"/>
        <w:jc w:val="both"/>
        <w:rPr>
          <w:sz w:val="19"/>
        </w:rPr>
      </w:pPr>
      <w:r>
        <w:rPr>
          <w:sz w:val="19"/>
        </w:rPr>
        <w:t>Livingston, Robert W., Ashleigh Shelby Rosette, and Ella F. Washington. “Can an agentic Black woman get ahead? The impact of race and interpersonal dominance on perceptions of female</w:t>
      </w:r>
      <w:r>
        <w:rPr>
          <w:spacing w:val="40"/>
          <w:sz w:val="19"/>
        </w:rPr>
        <w:t> </w:t>
      </w:r>
      <w:r>
        <w:rPr>
          <w:sz w:val="19"/>
        </w:rPr>
        <w:t>leaders.” </w:t>
      </w:r>
      <w:r>
        <w:rPr>
          <w:i/>
          <w:sz w:val="19"/>
        </w:rPr>
        <w:t>Psychological</w:t>
      </w:r>
      <w:r>
        <w:rPr>
          <w:i/>
          <w:spacing w:val="40"/>
          <w:sz w:val="19"/>
        </w:rPr>
        <w:t> </w:t>
      </w:r>
      <w:r>
        <w:rPr>
          <w:i/>
          <w:sz w:val="19"/>
        </w:rPr>
        <w:t>science </w:t>
      </w:r>
      <w:r>
        <w:rPr>
          <w:sz w:val="19"/>
        </w:rPr>
        <w:t>23.4</w:t>
      </w:r>
      <w:r>
        <w:rPr>
          <w:spacing w:val="40"/>
          <w:sz w:val="19"/>
        </w:rPr>
        <w:t> </w:t>
      </w:r>
      <w:r>
        <w:rPr>
          <w:sz w:val="19"/>
        </w:rPr>
        <w:t>(2012):</w:t>
      </w:r>
      <w:r>
        <w:rPr>
          <w:spacing w:val="40"/>
          <w:sz w:val="19"/>
        </w:rPr>
        <w:t> </w:t>
      </w:r>
      <w:r>
        <w:rPr>
          <w:sz w:val="19"/>
        </w:rPr>
        <w:t>354-358.</w:t>
      </w:r>
    </w:p>
    <w:p>
      <w:pPr>
        <w:pStyle w:val="ListParagraph"/>
        <w:numPr>
          <w:ilvl w:val="0"/>
          <w:numId w:val="46"/>
        </w:numPr>
        <w:tabs>
          <w:tab w:pos="2157" w:val="left" w:leader="none"/>
          <w:tab w:pos="2160" w:val="left" w:leader="none"/>
        </w:tabs>
        <w:spacing w:line="261" w:lineRule="auto" w:before="58" w:after="0"/>
        <w:ind w:left="2160" w:right="1438" w:hanging="389"/>
        <w:jc w:val="both"/>
        <w:rPr>
          <w:sz w:val="19"/>
        </w:rPr>
      </w:pPr>
      <w:r>
        <w:rPr>
          <w:sz w:val="19"/>
        </w:rPr>
        <w:t>Stephens, Nicole M., Stephanie A. Fryberg, and Hazel Rose Markus. “When choice does not equal freedom: A sociocultural analysis of agency in working-class American contexts.”</w:t>
      </w:r>
      <w:r>
        <w:rPr>
          <w:spacing w:val="-5"/>
          <w:sz w:val="19"/>
        </w:rPr>
        <w:t> </w:t>
      </w:r>
      <w:r>
        <w:rPr>
          <w:sz w:val="19"/>
        </w:rPr>
        <w:t>Social Psychological</w:t>
      </w:r>
      <w:r>
        <w:rPr>
          <w:spacing w:val="40"/>
          <w:sz w:val="19"/>
        </w:rPr>
        <w:t> </w:t>
      </w:r>
      <w:r>
        <w:rPr>
          <w:sz w:val="19"/>
        </w:rPr>
        <w:t>and</w:t>
      </w:r>
      <w:r>
        <w:rPr>
          <w:spacing w:val="40"/>
          <w:sz w:val="19"/>
        </w:rPr>
        <w:t> </w:t>
      </w:r>
      <w:r>
        <w:rPr>
          <w:sz w:val="19"/>
        </w:rPr>
        <w:t>Personality</w:t>
      </w:r>
      <w:r>
        <w:rPr>
          <w:spacing w:val="40"/>
          <w:sz w:val="19"/>
        </w:rPr>
        <w:t> </w:t>
      </w:r>
      <w:r>
        <w:rPr>
          <w:sz w:val="19"/>
        </w:rPr>
        <w:t>Science 2.1</w:t>
      </w:r>
      <w:r>
        <w:rPr>
          <w:spacing w:val="40"/>
          <w:sz w:val="19"/>
        </w:rPr>
        <w:t> </w:t>
      </w:r>
      <w:r>
        <w:rPr>
          <w:sz w:val="19"/>
        </w:rPr>
        <w:t>(2011):</w:t>
      </w:r>
      <w:r>
        <w:rPr>
          <w:spacing w:val="40"/>
          <w:sz w:val="19"/>
        </w:rPr>
        <w:t> </w:t>
      </w:r>
      <w:r>
        <w:rPr>
          <w:sz w:val="19"/>
        </w:rPr>
        <w:t>33-41.</w:t>
      </w:r>
    </w:p>
    <w:p>
      <w:pPr>
        <w:pStyle w:val="ListParagraph"/>
        <w:numPr>
          <w:ilvl w:val="0"/>
          <w:numId w:val="46"/>
        </w:numPr>
        <w:tabs>
          <w:tab w:pos="2160" w:val="left" w:leader="none"/>
        </w:tabs>
        <w:spacing w:line="261" w:lineRule="auto" w:before="58" w:after="0"/>
        <w:ind w:left="2160" w:right="1440" w:hanging="480"/>
        <w:jc w:val="both"/>
        <w:rPr>
          <w:sz w:val="19"/>
        </w:rPr>
      </w:pPr>
      <w:r>
        <w:rPr>
          <w:sz w:val="19"/>
        </w:rPr>
        <w:t>Brescoll, Victoria L., Tyler G. Okimoto, and Andrea C. Vial. “You’ve come</w:t>
      </w:r>
      <w:r>
        <w:rPr>
          <w:spacing w:val="-1"/>
          <w:sz w:val="19"/>
        </w:rPr>
        <w:t> </w:t>
      </w:r>
      <w:r>
        <w:rPr>
          <w:sz w:val="19"/>
        </w:rPr>
        <w:t>a long</w:t>
      </w:r>
      <w:r>
        <w:rPr>
          <w:spacing w:val="-1"/>
          <w:sz w:val="19"/>
        </w:rPr>
        <w:t> </w:t>
      </w:r>
      <w:r>
        <w:rPr>
          <w:sz w:val="19"/>
        </w:rPr>
        <w:t>way… maybe:</w:t>
      </w:r>
      <w:r>
        <w:rPr>
          <w:spacing w:val="-1"/>
          <w:sz w:val="19"/>
        </w:rPr>
        <w:t> </w:t>
      </w:r>
      <w:r>
        <w:rPr>
          <w:sz w:val="19"/>
        </w:rPr>
        <w:t>How moral</w:t>
      </w:r>
      <w:r>
        <w:rPr>
          <w:spacing w:val="-3"/>
          <w:sz w:val="19"/>
        </w:rPr>
        <w:t> </w:t>
      </w:r>
      <w:r>
        <w:rPr>
          <w:sz w:val="19"/>
        </w:rPr>
        <w:t>emotions trigger backlash against women leaders.”</w:t>
      </w:r>
      <w:r>
        <w:rPr>
          <w:spacing w:val="-3"/>
          <w:sz w:val="19"/>
        </w:rPr>
        <w:t> </w:t>
      </w:r>
      <w:r>
        <w:rPr>
          <w:sz w:val="19"/>
        </w:rPr>
        <w:t>Journal of social issues</w:t>
      </w:r>
      <w:r>
        <w:rPr>
          <w:spacing w:val="-3"/>
          <w:sz w:val="19"/>
        </w:rPr>
        <w:t> </w:t>
      </w:r>
      <w:r>
        <w:rPr>
          <w:sz w:val="19"/>
        </w:rPr>
        <w:t>74.1 (2018):</w:t>
      </w:r>
      <w:r>
        <w:rPr>
          <w:spacing w:val="-19"/>
          <w:sz w:val="19"/>
        </w:rPr>
        <w:t> </w:t>
      </w:r>
      <w:r>
        <w:rPr>
          <w:sz w:val="19"/>
        </w:rPr>
        <w:t>144-164.</w:t>
      </w:r>
    </w:p>
    <w:p>
      <w:pPr>
        <w:pStyle w:val="ListParagraph"/>
        <w:numPr>
          <w:ilvl w:val="0"/>
          <w:numId w:val="46"/>
        </w:numPr>
        <w:tabs>
          <w:tab w:pos="2160" w:val="left" w:leader="none"/>
        </w:tabs>
        <w:spacing w:line="261" w:lineRule="auto" w:before="55" w:after="0"/>
        <w:ind w:left="2160" w:right="1432" w:hanging="480"/>
        <w:jc w:val="both"/>
        <w:rPr>
          <w:sz w:val="19"/>
        </w:rPr>
      </w:pPr>
      <w:r>
        <w:rPr>
          <w:sz w:val="19"/>
        </w:rPr>
        <w:t>Adler, </w:t>
      </w:r>
      <w:r>
        <w:rPr>
          <w:spacing w:val="9"/>
          <w:sz w:val="19"/>
        </w:rPr>
        <w:t>Jonathan</w:t>
      </w:r>
      <w:r>
        <w:rPr>
          <w:spacing w:val="9"/>
          <w:sz w:val="19"/>
        </w:rPr>
        <w:t> </w:t>
      </w:r>
      <w:r>
        <w:rPr>
          <w:sz w:val="19"/>
        </w:rPr>
        <w:t>M. “Living into the story: agency and </w:t>
      </w:r>
      <w:r>
        <w:rPr>
          <w:spacing w:val="10"/>
          <w:sz w:val="19"/>
        </w:rPr>
        <w:t>coherence</w:t>
      </w:r>
      <w:r>
        <w:rPr>
          <w:spacing w:val="10"/>
          <w:sz w:val="19"/>
        </w:rPr>
        <w:t> </w:t>
      </w:r>
      <w:r>
        <w:rPr>
          <w:sz w:val="19"/>
        </w:rPr>
        <w:t>in a </w:t>
      </w:r>
      <w:r>
        <w:rPr>
          <w:spacing w:val="10"/>
          <w:sz w:val="19"/>
        </w:rPr>
        <w:t>longitudinal</w:t>
      </w:r>
      <w:r>
        <w:rPr>
          <w:spacing w:val="10"/>
          <w:sz w:val="19"/>
        </w:rPr>
        <w:t> study</w:t>
      </w:r>
      <w:r>
        <w:rPr>
          <w:spacing w:val="10"/>
          <w:sz w:val="19"/>
        </w:rPr>
        <w:t> </w:t>
      </w:r>
      <w:r>
        <w:rPr>
          <w:sz w:val="19"/>
        </w:rPr>
        <w:t>of </w:t>
      </w:r>
      <w:r>
        <w:rPr>
          <w:spacing w:val="9"/>
          <w:sz w:val="19"/>
        </w:rPr>
        <w:t>narrative</w:t>
      </w:r>
      <w:r>
        <w:rPr>
          <w:spacing w:val="9"/>
          <w:sz w:val="19"/>
        </w:rPr>
        <w:t> </w:t>
      </w:r>
      <w:r>
        <w:rPr>
          <w:spacing w:val="10"/>
          <w:sz w:val="19"/>
        </w:rPr>
        <w:t>identity development</w:t>
      </w:r>
      <w:r>
        <w:rPr>
          <w:spacing w:val="10"/>
          <w:sz w:val="19"/>
        </w:rPr>
        <w:t> </w:t>
      </w:r>
      <w:r>
        <w:rPr>
          <w:sz w:val="19"/>
        </w:rPr>
        <w:t>and </w:t>
      </w:r>
      <w:r>
        <w:rPr>
          <w:spacing w:val="9"/>
          <w:sz w:val="19"/>
        </w:rPr>
        <w:t>mental</w:t>
      </w:r>
      <w:r>
        <w:rPr>
          <w:spacing w:val="9"/>
          <w:sz w:val="19"/>
        </w:rPr>
        <w:t> health</w:t>
      </w:r>
      <w:r>
        <w:rPr>
          <w:spacing w:val="9"/>
          <w:sz w:val="19"/>
        </w:rPr>
        <w:t> over</w:t>
      </w:r>
      <w:r>
        <w:rPr>
          <w:spacing w:val="9"/>
          <w:sz w:val="19"/>
        </w:rPr>
        <w:t> </w:t>
      </w:r>
      <w:r>
        <w:rPr>
          <w:sz w:val="19"/>
        </w:rPr>
        <w:t>the </w:t>
      </w:r>
      <w:r>
        <w:rPr>
          <w:spacing w:val="10"/>
          <w:sz w:val="19"/>
        </w:rPr>
        <w:t>course</w:t>
      </w:r>
      <w:r>
        <w:rPr>
          <w:spacing w:val="10"/>
          <w:sz w:val="19"/>
        </w:rPr>
        <w:t> </w:t>
      </w:r>
      <w:r>
        <w:rPr>
          <w:sz w:val="19"/>
        </w:rPr>
        <w:t>of </w:t>
      </w:r>
      <w:r>
        <w:rPr>
          <w:spacing w:val="9"/>
          <w:sz w:val="19"/>
        </w:rPr>
        <w:t>psychotherapy.” </w:t>
      </w:r>
      <w:r>
        <w:rPr>
          <w:spacing w:val="10"/>
          <w:sz w:val="19"/>
        </w:rPr>
        <w:t>Journal</w:t>
      </w:r>
      <w:r>
        <w:rPr>
          <w:spacing w:val="10"/>
          <w:sz w:val="19"/>
        </w:rPr>
        <w:t> </w:t>
      </w:r>
      <w:r>
        <w:rPr>
          <w:sz w:val="19"/>
        </w:rPr>
        <w:t>of </w:t>
      </w:r>
      <w:r>
        <w:rPr>
          <w:spacing w:val="10"/>
          <w:sz w:val="19"/>
        </w:rPr>
        <w:t>personality</w:t>
      </w:r>
      <w:r>
        <w:rPr>
          <w:spacing w:val="10"/>
          <w:sz w:val="19"/>
        </w:rPr>
        <w:t> </w:t>
      </w:r>
      <w:r>
        <w:rPr>
          <w:sz w:val="19"/>
        </w:rPr>
        <w:t>and </w:t>
      </w:r>
      <w:r>
        <w:rPr>
          <w:spacing w:val="9"/>
          <w:sz w:val="19"/>
        </w:rPr>
        <w:t>social</w:t>
      </w:r>
      <w:r>
        <w:rPr>
          <w:spacing w:val="40"/>
          <w:sz w:val="19"/>
        </w:rPr>
        <w:t> </w:t>
      </w:r>
      <w:r>
        <w:rPr>
          <w:sz w:val="19"/>
        </w:rPr>
        <w:t>psychology 102.2</w:t>
      </w:r>
      <w:r>
        <w:rPr>
          <w:spacing w:val="40"/>
          <w:sz w:val="19"/>
        </w:rPr>
        <w:t> </w:t>
      </w:r>
      <w:r>
        <w:rPr>
          <w:sz w:val="19"/>
        </w:rPr>
        <w:t>(2012):</w:t>
      </w:r>
      <w:r>
        <w:rPr>
          <w:spacing w:val="40"/>
          <w:sz w:val="19"/>
        </w:rPr>
        <w:t> </w:t>
      </w:r>
      <w:r>
        <w:rPr>
          <w:sz w:val="19"/>
        </w:rPr>
        <w:t>367.</w:t>
      </w:r>
    </w:p>
    <w:p>
      <w:pPr>
        <w:pStyle w:val="ListParagraph"/>
        <w:numPr>
          <w:ilvl w:val="0"/>
          <w:numId w:val="46"/>
        </w:numPr>
        <w:tabs>
          <w:tab w:pos="2160" w:val="left" w:leader="none"/>
        </w:tabs>
        <w:spacing w:line="261" w:lineRule="auto" w:before="57" w:after="0"/>
        <w:ind w:left="2160" w:right="1437" w:hanging="480"/>
        <w:jc w:val="both"/>
        <w:rPr>
          <w:sz w:val="19"/>
        </w:rPr>
      </w:pPr>
      <w:r>
        <w:rPr>
          <w:sz w:val="19"/>
        </w:rPr>
        <w:t>Toffoletti, Kim, and Holly Thorpe. “Female athletes’ self-representation on social media: A feminist analysis of neoliberal marketing strategies in “economies of visibility”.”</w:t>
      </w:r>
      <w:r>
        <w:rPr>
          <w:spacing w:val="-5"/>
          <w:sz w:val="19"/>
        </w:rPr>
        <w:t> </w:t>
      </w:r>
      <w:r>
        <w:rPr>
          <w:sz w:val="19"/>
        </w:rPr>
        <w:t>Feminism &amp; Psychology 28.1</w:t>
      </w:r>
      <w:r>
        <w:rPr>
          <w:spacing w:val="40"/>
          <w:sz w:val="19"/>
        </w:rPr>
        <w:t> </w:t>
      </w:r>
      <w:r>
        <w:rPr>
          <w:sz w:val="19"/>
        </w:rPr>
        <w:t>(2018):</w:t>
      </w:r>
      <w:r>
        <w:rPr>
          <w:spacing w:val="40"/>
          <w:sz w:val="19"/>
        </w:rPr>
        <w:t> </w:t>
      </w:r>
      <w:r>
        <w:rPr>
          <w:sz w:val="19"/>
        </w:rPr>
        <w:t>11-31.</w:t>
      </w:r>
    </w:p>
    <w:p>
      <w:pPr>
        <w:pStyle w:val="ListParagraph"/>
        <w:spacing w:after="0" w:line="261" w:lineRule="auto"/>
        <w:jc w:val="both"/>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69600">
                <wp:simplePos x="0" y="0"/>
                <wp:positionH relativeFrom="page">
                  <wp:posOffset>2057400</wp:posOffset>
                </wp:positionH>
                <wp:positionV relativeFrom="paragraph">
                  <wp:posOffset>162604</wp:posOffset>
                </wp:positionV>
                <wp:extent cx="3657600" cy="12700"/>
                <wp:effectExtent l="0" t="0" r="0" b="0"/>
                <wp:wrapTopAndBottom/>
                <wp:docPr id="514" name="Graphic 514"/>
                <wp:cNvGraphicFramePr>
                  <a:graphicFrameLocks/>
                </wp:cNvGraphicFramePr>
                <a:graphic>
                  <a:graphicData uri="http://schemas.microsoft.com/office/word/2010/wordprocessingShape">
                    <wps:wsp>
                      <wps:cNvPr id="514" name="Graphic 51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46880;mso-wrap-distance-left:0;mso-wrap-distance-right:0" id="docshape509" filled="true" fillcolor="#000000" stroked="false">
                <v:fill type="solid"/>
                <w10:wrap type="topAndBottom"/>
              </v:rect>
            </w:pict>
          </mc:Fallback>
        </mc:AlternateContent>
      </w:r>
      <w:r>
        <w:rPr>
          <w:rFonts w:ascii="Verdana"/>
          <w:spacing w:val="-5"/>
          <w:sz w:val="18"/>
        </w:rPr>
        <w:t>240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46"/>
        </w:numPr>
        <w:tabs>
          <w:tab w:pos="2160" w:val="left" w:leader="none"/>
        </w:tabs>
        <w:spacing w:line="261" w:lineRule="auto" w:before="199" w:after="0"/>
        <w:ind w:left="2160" w:right="1438" w:hanging="480"/>
        <w:jc w:val="both"/>
        <w:rPr>
          <w:sz w:val="19"/>
        </w:rPr>
      </w:pPr>
      <w:r>
        <w:rPr>
          <w:spacing w:val="10"/>
          <w:sz w:val="19"/>
        </w:rPr>
        <w:t>Glueckauf,</w:t>
      </w:r>
      <w:r>
        <w:rPr>
          <w:spacing w:val="10"/>
          <w:sz w:val="19"/>
        </w:rPr>
        <w:t> </w:t>
      </w:r>
      <w:r>
        <w:rPr>
          <w:spacing w:val="9"/>
          <w:sz w:val="19"/>
        </w:rPr>
        <w:t>Robert</w:t>
      </w:r>
      <w:r>
        <w:rPr>
          <w:spacing w:val="9"/>
          <w:sz w:val="19"/>
        </w:rPr>
        <w:t> </w:t>
      </w:r>
      <w:r>
        <w:rPr>
          <w:sz w:val="19"/>
        </w:rPr>
        <w:t>L., et al. </w:t>
      </w:r>
      <w:r>
        <w:rPr>
          <w:spacing w:val="9"/>
          <w:sz w:val="19"/>
        </w:rPr>
        <w:t>“Survey</w:t>
      </w:r>
      <w:r>
        <w:rPr>
          <w:spacing w:val="9"/>
          <w:sz w:val="19"/>
        </w:rPr>
        <w:t> </w:t>
      </w:r>
      <w:r>
        <w:rPr>
          <w:sz w:val="19"/>
        </w:rPr>
        <w:t>of </w:t>
      </w:r>
      <w:r>
        <w:rPr>
          <w:spacing w:val="10"/>
          <w:sz w:val="19"/>
        </w:rPr>
        <w:t>psychologists’ </w:t>
      </w:r>
      <w:r>
        <w:rPr>
          <w:sz w:val="19"/>
        </w:rPr>
        <w:t>telebehavioral health practices: Technology use, ethical issues, and training needs.” Professional Psychology: Research and Practice 49.3 (2018): 205.</w:t>
      </w:r>
    </w:p>
    <w:p>
      <w:pPr>
        <w:pStyle w:val="ListParagraph"/>
        <w:numPr>
          <w:ilvl w:val="0"/>
          <w:numId w:val="46"/>
        </w:numPr>
        <w:tabs>
          <w:tab w:pos="2160" w:val="left" w:leader="none"/>
        </w:tabs>
        <w:spacing w:line="261" w:lineRule="auto" w:before="58" w:after="0"/>
        <w:ind w:left="2160" w:right="1439" w:hanging="480"/>
        <w:jc w:val="both"/>
        <w:rPr>
          <w:sz w:val="19"/>
        </w:rPr>
      </w:pPr>
      <w:r>
        <w:rPr>
          <w:sz w:val="19"/>
        </w:rPr>
        <w:t>Epley, Nicholas, et al. “Creating social connection through inferential reproduction: Loneliness and perceived agency in gadgets, gods, and greyhounds.” Psychological science 19.2 (2008):</w:t>
      </w:r>
      <w:r>
        <w:rPr>
          <w:spacing w:val="-19"/>
          <w:sz w:val="19"/>
        </w:rPr>
        <w:t> </w:t>
      </w:r>
      <w:r>
        <w:rPr>
          <w:sz w:val="19"/>
        </w:rPr>
        <w:t>114-120.</w:t>
      </w:r>
    </w:p>
    <w:p>
      <w:pPr>
        <w:pStyle w:val="ListParagraph"/>
        <w:numPr>
          <w:ilvl w:val="0"/>
          <w:numId w:val="46"/>
        </w:numPr>
        <w:tabs>
          <w:tab w:pos="2160" w:val="left" w:leader="none"/>
        </w:tabs>
        <w:spacing w:line="261" w:lineRule="auto" w:before="58" w:after="0"/>
        <w:ind w:left="2160" w:right="1438" w:hanging="480"/>
        <w:jc w:val="both"/>
        <w:rPr>
          <w:sz w:val="19"/>
        </w:rPr>
      </w:pPr>
      <w:r>
        <w:rPr>
          <w:sz w:val="19"/>
        </w:rPr>
        <w:t>Proudfoot, Devon, Aaron C. Kay, and Christy Z. Koval. “A gender bias in the attribution of creativity: Archival and experimental evidence for the perceived association between masculinity and creative thinking.”</w:t>
      </w:r>
      <w:r>
        <w:rPr>
          <w:spacing w:val="-5"/>
          <w:sz w:val="19"/>
        </w:rPr>
        <w:t> </w:t>
      </w:r>
      <w:r>
        <w:rPr>
          <w:sz w:val="19"/>
        </w:rPr>
        <w:t>Psychological science</w:t>
      </w:r>
      <w:r>
        <w:rPr>
          <w:spacing w:val="-5"/>
          <w:sz w:val="19"/>
        </w:rPr>
        <w:t> </w:t>
      </w:r>
      <w:r>
        <w:rPr>
          <w:sz w:val="19"/>
        </w:rPr>
        <w:t>26.11 (2015):</w:t>
      </w:r>
      <w:r>
        <w:rPr>
          <w:spacing w:val="-19"/>
          <w:sz w:val="19"/>
        </w:rPr>
        <w:t> </w:t>
      </w:r>
      <w:r>
        <w:rPr>
          <w:sz w:val="19"/>
        </w:rPr>
        <w:t>1751-1761.</w:t>
      </w:r>
    </w:p>
    <w:p>
      <w:pPr>
        <w:pStyle w:val="ListParagraph"/>
        <w:numPr>
          <w:ilvl w:val="0"/>
          <w:numId w:val="46"/>
        </w:numPr>
        <w:tabs>
          <w:tab w:pos="2160" w:val="left" w:leader="none"/>
        </w:tabs>
        <w:spacing w:line="261" w:lineRule="auto" w:before="57" w:after="0"/>
        <w:ind w:left="2160" w:right="1442" w:hanging="480"/>
        <w:jc w:val="both"/>
        <w:rPr>
          <w:sz w:val="19"/>
        </w:rPr>
      </w:pPr>
      <w:r>
        <w:rPr>
          <w:sz w:val="19"/>
        </w:rPr>
        <w:t>Hamlet, Surviving. “Female Trauma through the Lens of Judith Lewis</w:t>
      </w:r>
      <w:r>
        <w:rPr>
          <w:spacing w:val="40"/>
          <w:sz w:val="19"/>
        </w:rPr>
        <w:t> </w:t>
      </w:r>
      <w:r>
        <w:rPr>
          <w:sz w:val="19"/>
        </w:rPr>
        <w:t>Herman’s</w:t>
      </w:r>
      <w:r>
        <w:rPr>
          <w:spacing w:val="40"/>
          <w:sz w:val="19"/>
        </w:rPr>
        <w:t> </w:t>
      </w:r>
      <w:r>
        <w:rPr>
          <w:sz w:val="19"/>
        </w:rPr>
        <w:t>Theory.” </w:t>
      </w:r>
      <w:r>
        <w:rPr>
          <w:i/>
          <w:sz w:val="19"/>
        </w:rPr>
        <w:t>Marothi</w:t>
      </w:r>
      <w:r>
        <w:rPr>
          <w:sz w:val="19"/>
        </w:rPr>
        <w:t>.</w:t>
      </w:r>
    </w:p>
    <w:p>
      <w:pPr>
        <w:pStyle w:val="ListParagraph"/>
        <w:numPr>
          <w:ilvl w:val="0"/>
          <w:numId w:val="46"/>
        </w:numPr>
        <w:tabs>
          <w:tab w:pos="2160" w:val="left" w:leader="none"/>
        </w:tabs>
        <w:spacing w:line="261" w:lineRule="auto" w:before="57" w:after="0"/>
        <w:ind w:left="2160" w:right="1437" w:hanging="480"/>
        <w:jc w:val="both"/>
        <w:rPr>
          <w:sz w:val="19"/>
        </w:rPr>
      </w:pPr>
      <w:r>
        <w:rPr>
          <w:sz w:val="19"/>
        </w:rPr>
        <w:t>Safaei, Mohammad, and Ruzy Suliza Hashim. “Gertrude’s </w:t>
      </w:r>
      <w:r>
        <w:rPr>
          <w:spacing w:val="9"/>
          <w:sz w:val="19"/>
        </w:rPr>
        <w:t>Transformations:</w:t>
      </w:r>
      <w:r>
        <w:rPr>
          <w:spacing w:val="9"/>
          <w:sz w:val="19"/>
        </w:rPr>
        <w:t> </w:t>
      </w:r>
      <w:r>
        <w:rPr>
          <w:sz w:val="19"/>
        </w:rPr>
        <w:t>Against Patriarchal Authority.” English language</w:t>
      </w:r>
      <w:r>
        <w:rPr>
          <w:spacing w:val="40"/>
          <w:sz w:val="19"/>
        </w:rPr>
        <w:t> </w:t>
      </w:r>
      <w:r>
        <w:rPr>
          <w:sz w:val="19"/>
        </w:rPr>
        <w:t>and</w:t>
      </w:r>
      <w:r>
        <w:rPr>
          <w:spacing w:val="40"/>
          <w:sz w:val="19"/>
        </w:rPr>
        <w:t> </w:t>
      </w:r>
      <w:r>
        <w:rPr>
          <w:sz w:val="19"/>
        </w:rPr>
        <w:t>literature</w:t>
      </w:r>
      <w:r>
        <w:rPr>
          <w:spacing w:val="40"/>
          <w:sz w:val="19"/>
        </w:rPr>
        <w:t> </w:t>
      </w:r>
      <w:r>
        <w:rPr>
          <w:sz w:val="19"/>
        </w:rPr>
        <w:t>studies 2.4</w:t>
      </w:r>
      <w:r>
        <w:rPr>
          <w:spacing w:val="40"/>
          <w:sz w:val="19"/>
        </w:rPr>
        <w:t> </w:t>
      </w:r>
      <w:r>
        <w:rPr>
          <w:sz w:val="19"/>
        </w:rPr>
        <w:t>(2012):</w:t>
      </w:r>
      <w:r>
        <w:rPr>
          <w:spacing w:val="40"/>
          <w:sz w:val="19"/>
        </w:rPr>
        <w:t> </w:t>
      </w:r>
      <w:r>
        <w:rPr>
          <w:sz w:val="19"/>
        </w:rPr>
        <w:t>83-90.</w:t>
      </w:r>
    </w:p>
    <w:p>
      <w:pPr>
        <w:pStyle w:val="ListParagraph"/>
        <w:numPr>
          <w:ilvl w:val="0"/>
          <w:numId w:val="46"/>
        </w:numPr>
        <w:tabs>
          <w:tab w:pos="2160" w:val="left" w:leader="none"/>
        </w:tabs>
        <w:spacing w:line="261" w:lineRule="auto" w:before="58" w:after="0"/>
        <w:ind w:left="2160" w:right="1437" w:hanging="480"/>
        <w:jc w:val="both"/>
        <w:rPr>
          <w:sz w:val="19"/>
        </w:rPr>
      </w:pPr>
      <w:r>
        <w:rPr>
          <w:sz w:val="19"/>
        </w:rPr>
        <w:t>Loberg, Harmonie. “Queen Gertrude: Monarch, Mother, Murderer.”</w:t>
      </w:r>
      <w:r>
        <w:rPr>
          <w:spacing w:val="40"/>
          <w:sz w:val="19"/>
        </w:rPr>
        <w:t> </w:t>
      </w:r>
      <w:r>
        <w:rPr>
          <w:sz w:val="19"/>
        </w:rPr>
        <w:t>(2004).</w:t>
      </w:r>
    </w:p>
    <w:p>
      <w:pPr>
        <w:pStyle w:val="ListParagraph"/>
        <w:numPr>
          <w:ilvl w:val="0"/>
          <w:numId w:val="46"/>
        </w:numPr>
        <w:tabs>
          <w:tab w:pos="2160" w:val="left" w:leader="none"/>
        </w:tabs>
        <w:spacing w:line="261" w:lineRule="auto" w:before="56" w:after="0"/>
        <w:ind w:left="2160" w:right="1442" w:hanging="480"/>
        <w:jc w:val="both"/>
        <w:rPr>
          <w:sz w:val="19"/>
        </w:rPr>
      </w:pPr>
      <w:r>
        <w:rPr>
          <w:sz w:val="19"/>
        </w:rPr>
        <w:t>Choudhary,</w:t>
      </w:r>
      <w:r>
        <w:rPr>
          <w:spacing w:val="-3"/>
          <w:sz w:val="19"/>
        </w:rPr>
        <w:t> </w:t>
      </w:r>
      <w:r>
        <w:rPr>
          <w:sz w:val="19"/>
        </w:rPr>
        <w:t>Tazeem</w:t>
      </w:r>
      <w:r>
        <w:rPr>
          <w:spacing w:val="-8"/>
          <w:sz w:val="19"/>
        </w:rPr>
        <w:t> </w:t>
      </w:r>
      <w:r>
        <w:rPr>
          <w:sz w:val="19"/>
        </w:rPr>
        <w:t>Akhter.</w:t>
      </w:r>
      <w:r>
        <w:rPr>
          <w:spacing w:val="-2"/>
          <w:sz w:val="19"/>
        </w:rPr>
        <w:t> </w:t>
      </w:r>
      <w:r>
        <w:rPr>
          <w:sz w:val="19"/>
        </w:rPr>
        <w:t>“THE</w:t>
      </w:r>
      <w:r>
        <w:rPr>
          <w:spacing w:val="-3"/>
          <w:sz w:val="19"/>
        </w:rPr>
        <w:t> </w:t>
      </w:r>
      <w:r>
        <w:rPr>
          <w:sz w:val="19"/>
        </w:rPr>
        <w:t>TRAGIC</w:t>
      </w:r>
      <w:r>
        <w:rPr>
          <w:spacing w:val="-2"/>
          <w:sz w:val="19"/>
        </w:rPr>
        <w:t> </w:t>
      </w:r>
      <w:r>
        <w:rPr>
          <w:sz w:val="19"/>
        </w:rPr>
        <w:t>IMAGINATION</w:t>
      </w:r>
      <w:r>
        <w:rPr>
          <w:spacing w:val="-1"/>
          <w:sz w:val="19"/>
        </w:rPr>
        <w:t> </w:t>
      </w:r>
      <w:r>
        <w:rPr>
          <w:sz w:val="19"/>
        </w:rPr>
        <w:t>IN THE AGE OF HUMANISM: SHAKESPEARE’S DIALOGUE WITH</w:t>
      </w:r>
      <w:r>
        <w:rPr>
          <w:spacing w:val="40"/>
          <w:sz w:val="19"/>
        </w:rPr>
        <w:t> </w:t>
      </w:r>
      <w:r>
        <w:rPr>
          <w:sz w:val="19"/>
        </w:rPr>
        <w:t>CLASSICAL AND</w:t>
      </w:r>
      <w:r>
        <w:rPr>
          <w:spacing w:val="40"/>
          <w:sz w:val="19"/>
        </w:rPr>
        <w:t> </w:t>
      </w:r>
      <w:r>
        <w:rPr>
          <w:sz w:val="19"/>
        </w:rPr>
        <w:t>RENAISSANCE</w:t>
      </w:r>
      <w:r>
        <w:rPr>
          <w:spacing w:val="40"/>
          <w:sz w:val="19"/>
        </w:rPr>
        <w:t> </w:t>
      </w:r>
      <w:r>
        <w:rPr>
          <w:sz w:val="19"/>
        </w:rPr>
        <w:t>THOUGHT.”</w:t>
      </w:r>
    </w:p>
    <w:p>
      <w:pPr>
        <w:pStyle w:val="ListParagraph"/>
        <w:numPr>
          <w:ilvl w:val="0"/>
          <w:numId w:val="46"/>
        </w:numPr>
        <w:tabs>
          <w:tab w:pos="2160" w:val="left" w:leader="none"/>
        </w:tabs>
        <w:spacing w:line="261" w:lineRule="auto" w:before="59" w:after="0"/>
        <w:ind w:left="2160" w:right="1438" w:hanging="480"/>
        <w:jc w:val="both"/>
        <w:rPr>
          <w:sz w:val="19"/>
        </w:rPr>
      </w:pPr>
      <w:r>
        <w:rPr>
          <w:sz w:val="19"/>
        </w:rPr>
        <w:t>Yuan, Yi. “The Double Blow to Ophelia: Love Lost and Patricide.” Advances in Curriculum Design&amp;Education 1.2 (2025):</w:t>
      </w:r>
      <w:r>
        <w:rPr>
          <w:spacing w:val="-15"/>
          <w:sz w:val="19"/>
        </w:rPr>
        <w:t> </w:t>
      </w:r>
      <w:r>
        <w:rPr>
          <w:sz w:val="19"/>
        </w:rPr>
        <w:t>1-9.</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34784">
                <wp:simplePos x="0" y="0"/>
                <wp:positionH relativeFrom="page">
                  <wp:posOffset>2057400</wp:posOffset>
                </wp:positionH>
                <wp:positionV relativeFrom="page">
                  <wp:posOffset>1788723</wp:posOffset>
                </wp:positionV>
                <wp:extent cx="3653790" cy="140335"/>
                <wp:effectExtent l="0" t="0" r="0" b="0"/>
                <wp:wrapNone/>
                <wp:docPr id="515" name="Textbox 515"/>
                <wp:cNvGraphicFramePr>
                  <a:graphicFrameLocks/>
                </wp:cNvGraphicFramePr>
                <a:graphic>
                  <a:graphicData uri="http://schemas.microsoft.com/office/word/2010/wordprocessingShape">
                    <wps:wsp>
                      <wps:cNvPr id="515" name="Textbox 515"/>
                      <wps:cNvSpPr txBox="1"/>
                      <wps:spPr>
                        <a:xfrm>
                          <a:off x="0" y="0"/>
                          <a:ext cx="3653790" cy="140335"/>
                        </a:xfrm>
                        <a:prstGeom prst="rect">
                          <a:avLst/>
                        </a:prstGeom>
                      </wps:spPr>
                      <wps:txbx>
                        <w:txbxContent>
                          <w:p>
                            <w:pPr>
                              <w:tabs>
                                <w:tab w:pos="5752" w:val="right" w:leader="none"/>
                              </w:tabs>
                              <w:spacing w:line="219" w:lineRule="exact" w:before="0"/>
                              <w:ind w:left="0" w:right="0" w:firstLine="0"/>
                              <w:jc w:val="left"/>
                              <w:rPr>
                                <w:rFonts w:ascii="Verdana" w:hAnsi="Verdana"/>
                                <w:sz w:val="18"/>
                              </w:rPr>
                            </w:pPr>
                            <w:r>
                              <w:rPr>
                                <w:rFonts w:ascii="Verdana" w:hAnsi="Verdana"/>
                                <w:sz w:val="18"/>
                              </w:rPr>
                              <w:t>Gender,</w:t>
                            </w:r>
                            <w:r>
                              <w:rPr>
                                <w:rFonts w:ascii="Verdana" w:hAnsi="Verdana"/>
                                <w:spacing w:val="5"/>
                                <w:sz w:val="18"/>
                              </w:rPr>
                              <w:t> </w:t>
                            </w:r>
                            <w:r>
                              <w:rPr>
                                <w:rFonts w:ascii="Verdana" w:hAnsi="Verdana"/>
                                <w:sz w:val="18"/>
                              </w:rPr>
                              <w:t>Space</w:t>
                            </w:r>
                            <w:r>
                              <w:rPr>
                                <w:rFonts w:ascii="Verdana" w:hAnsi="Verdana"/>
                                <w:spacing w:val="10"/>
                                <w:sz w:val="18"/>
                              </w:rPr>
                              <w:t> </w:t>
                            </w:r>
                            <w:r>
                              <w:rPr>
                                <w:rFonts w:ascii="Verdana" w:hAnsi="Verdana"/>
                                <w:sz w:val="18"/>
                              </w:rPr>
                              <w:t>and</w:t>
                            </w:r>
                            <w:r>
                              <w:rPr>
                                <w:rFonts w:ascii="Verdana" w:hAnsi="Verdana"/>
                                <w:spacing w:val="5"/>
                                <w:sz w:val="18"/>
                              </w:rPr>
                              <w:t> </w:t>
                            </w:r>
                            <w:r>
                              <w:rPr>
                                <w:rFonts w:ascii="Verdana" w:hAnsi="Verdana"/>
                                <w:sz w:val="18"/>
                              </w:rPr>
                              <w:t>Power</w:t>
                            </w:r>
                            <w:r>
                              <w:rPr>
                                <w:rFonts w:ascii="Verdana" w:hAnsi="Verdana"/>
                                <w:spacing w:val="10"/>
                                <w:sz w:val="18"/>
                              </w:rPr>
                              <w:t> </w:t>
                            </w:r>
                            <w:r>
                              <w:rPr>
                                <w:rFonts w:ascii="Verdana" w:hAnsi="Verdana"/>
                                <w:sz w:val="18"/>
                              </w:rPr>
                              <w:t>In</w:t>
                            </w:r>
                            <w:r>
                              <w:rPr>
                                <w:rFonts w:ascii="Verdana" w:hAnsi="Verdana"/>
                                <w:spacing w:val="6"/>
                                <w:sz w:val="18"/>
                              </w:rPr>
                              <w:t> </w:t>
                            </w:r>
                            <w:r>
                              <w:rPr>
                                <w:rFonts w:ascii="Verdana" w:hAnsi="Verdana"/>
                                <w:sz w:val="18"/>
                              </w:rPr>
                              <w:t>Shakespeare’s</w:t>
                            </w:r>
                            <w:r>
                              <w:rPr>
                                <w:rFonts w:ascii="Verdana" w:hAnsi="Verdana"/>
                                <w:spacing w:val="8"/>
                                <w:sz w:val="18"/>
                              </w:rPr>
                              <w:t> </w:t>
                            </w:r>
                            <w:r>
                              <w:rPr>
                                <w:rFonts w:ascii="Verdana" w:hAnsi="Verdana"/>
                                <w:spacing w:val="-4"/>
                                <w:sz w:val="18"/>
                              </w:rPr>
                              <w:t>Plays</w:t>
                            </w:r>
                            <w:r>
                              <w:rPr>
                                <w:sz w:val="18"/>
                              </w:rPr>
                              <w:tab/>
                            </w:r>
                            <w:r>
                              <w:rPr>
                                <w:rFonts w:ascii="Verdana" w:hAnsi="Verdana"/>
                                <w:spacing w:val="-5"/>
                                <w:sz w:val="18"/>
                              </w:rPr>
                              <w:t>241</w:t>
                            </w:r>
                          </w:p>
                        </w:txbxContent>
                      </wps:txbx>
                      <wps:bodyPr wrap="square" lIns="0" tIns="0" rIns="0" bIns="0" rtlCol="0">
                        <a:noAutofit/>
                      </wps:bodyPr>
                    </wps:wsp>
                  </a:graphicData>
                </a:graphic>
              </wp:anchor>
            </w:drawing>
          </mc:Choice>
          <mc:Fallback>
            <w:pict>
              <v:shape style="position:absolute;margin-left:162pt;margin-top:140.844391pt;width:287.7pt;height:11.05pt;mso-position-horizontal-relative:page;mso-position-vertical-relative:page;z-index:-20381696" type="#_x0000_t202" id="docshape510" filled="false" stroked="false">
                <v:textbox inset="0,0,0,0">
                  <w:txbxContent>
                    <w:p>
                      <w:pPr>
                        <w:tabs>
                          <w:tab w:pos="5752" w:val="right" w:leader="none"/>
                        </w:tabs>
                        <w:spacing w:line="219" w:lineRule="exact" w:before="0"/>
                        <w:ind w:left="0" w:right="0" w:firstLine="0"/>
                        <w:jc w:val="left"/>
                        <w:rPr>
                          <w:rFonts w:ascii="Verdana" w:hAnsi="Verdana"/>
                          <w:sz w:val="18"/>
                        </w:rPr>
                      </w:pPr>
                      <w:r>
                        <w:rPr>
                          <w:rFonts w:ascii="Verdana" w:hAnsi="Verdana"/>
                          <w:sz w:val="18"/>
                        </w:rPr>
                        <w:t>Gender,</w:t>
                      </w:r>
                      <w:r>
                        <w:rPr>
                          <w:rFonts w:ascii="Verdana" w:hAnsi="Verdana"/>
                          <w:spacing w:val="5"/>
                          <w:sz w:val="18"/>
                        </w:rPr>
                        <w:t> </w:t>
                      </w:r>
                      <w:r>
                        <w:rPr>
                          <w:rFonts w:ascii="Verdana" w:hAnsi="Verdana"/>
                          <w:sz w:val="18"/>
                        </w:rPr>
                        <w:t>Space</w:t>
                      </w:r>
                      <w:r>
                        <w:rPr>
                          <w:rFonts w:ascii="Verdana" w:hAnsi="Verdana"/>
                          <w:spacing w:val="10"/>
                          <w:sz w:val="18"/>
                        </w:rPr>
                        <w:t> </w:t>
                      </w:r>
                      <w:r>
                        <w:rPr>
                          <w:rFonts w:ascii="Verdana" w:hAnsi="Verdana"/>
                          <w:sz w:val="18"/>
                        </w:rPr>
                        <w:t>and</w:t>
                      </w:r>
                      <w:r>
                        <w:rPr>
                          <w:rFonts w:ascii="Verdana" w:hAnsi="Verdana"/>
                          <w:spacing w:val="5"/>
                          <w:sz w:val="18"/>
                        </w:rPr>
                        <w:t> </w:t>
                      </w:r>
                      <w:r>
                        <w:rPr>
                          <w:rFonts w:ascii="Verdana" w:hAnsi="Verdana"/>
                          <w:sz w:val="18"/>
                        </w:rPr>
                        <w:t>Power</w:t>
                      </w:r>
                      <w:r>
                        <w:rPr>
                          <w:rFonts w:ascii="Verdana" w:hAnsi="Verdana"/>
                          <w:spacing w:val="10"/>
                          <w:sz w:val="18"/>
                        </w:rPr>
                        <w:t> </w:t>
                      </w:r>
                      <w:r>
                        <w:rPr>
                          <w:rFonts w:ascii="Verdana" w:hAnsi="Verdana"/>
                          <w:sz w:val="18"/>
                        </w:rPr>
                        <w:t>In</w:t>
                      </w:r>
                      <w:r>
                        <w:rPr>
                          <w:rFonts w:ascii="Verdana" w:hAnsi="Verdana"/>
                          <w:spacing w:val="6"/>
                          <w:sz w:val="18"/>
                        </w:rPr>
                        <w:t> </w:t>
                      </w:r>
                      <w:r>
                        <w:rPr>
                          <w:rFonts w:ascii="Verdana" w:hAnsi="Verdana"/>
                          <w:sz w:val="18"/>
                        </w:rPr>
                        <w:t>Shakespeare’s</w:t>
                      </w:r>
                      <w:r>
                        <w:rPr>
                          <w:rFonts w:ascii="Verdana" w:hAnsi="Verdana"/>
                          <w:spacing w:val="8"/>
                          <w:sz w:val="18"/>
                        </w:rPr>
                        <w:t> </w:t>
                      </w:r>
                      <w:r>
                        <w:rPr>
                          <w:rFonts w:ascii="Verdana" w:hAnsi="Verdana"/>
                          <w:spacing w:val="-4"/>
                          <w:sz w:val="18"/>
                        </w:rPr>
                        <w:t>Plays</w:t>
                      </w:r>
                      <w:r>
                        <w:rPr>
                          <w:sz w:val="18"/>
                        </w:rPr>
                        <w:tab/>
                      </w:r>
                      <w:r>
                        <w:rPr>
                          <w:rFonts w:ascii="Verdana" w:hAnsi="Verdana"/>
                          <w:spacing w:val="-5"/>
                          <w:sz w:val="18"/>
                        </w:rPr>
                        <w:t>241</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3679" cy="699770"/>
                <wp:effectExtent l="0" t="0" r="0" b="0"/>
                <wp:docPr id="516" name="Group 516"/>
                <wp:cNvGraphicFramePr>
                  <a:graphicFrameLocks/>
                </wp:cNvGraphicFramePr>
                <a:graphic>
                  <a:graphicData uri="http://schemas.microsoft.com/office/word/2010/wordprocessingGroup">
                    <wpg:wgp>
                      <wpg:cNvPr id="516" name="Group 516"/>
                      <wpg:cNvGrpSpPr/>
                      <wpg:grpSpPr>
                        <a:xfrm>
                          <a:off x="0" y="0"/>
                          <a:ext cx="4043679" cy="699770"/>
                          <a:chExt cx="4043679" cy="699770"/>
                        </a:xfrm>
                      </wpg:grpSpPr>
                      <wps:wsp>
                        <wps:cNvPr id="517" name="Graphic 517"/>
                        <wps:cNvSpPr/>
                        <wps:spPr>
                          <a:xfrm>
                            <a:off x="0" y="0"/>
                            <a:ext cx="4043679" cy="699770"/>
                          </a:xfrm>
                          <a:custGeom>
                            <a:avLst/>
                            <a:gdLst/>
                            <a:ahLst/>
                            <a:cxnLst/>
                            <a:rect l="l" t="t" r="r" b="b"/>
                            <a:pathLst>
                              <a:path w="4043679" h="699770">
                                <a:moveTo>
                                  <a:pt x="4043172" y="699516"/>
                                </a:moveTo>
                                <a:lnTo>
                                  <a:pt x="0" y="699516"/>
                                </a:lnTo>
                                <a:lnTo>
                                  <a:pt x="0" y="0"/>
                                </a:lnTo>
                                <a:lnTo>
                                  <a:pt x="4043172" y="0"/>
                                </a:lnTo>
                                <a:lnTo>
                                  <a:pt x="4043172"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511" coordorigin="0,0" coordsize="6368,1102">
                <v:rect style="position:absolute;left:0;top:0;width:6368;height:1102" id="docshape512"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70624">
                <wp:simplePos x="0" y="0"/>
                <wp:positionH relativeFrom="page">
                  <wp:posOffset>3488435</wp:posOffset>
                </wp:positionH>
                <wp:positionV relativeFrom="paragraph">
                  <wp:posOffset>272922</wp:posOffset>
                </wp:positionV>
                <wp:extent cx="728980" cy="655320"/>
                <wp:effectExtent l="0" t="0" r="0" b="0"/>
                <wp:wrapTopAndBottom/>
                <wp:docPr id="518" name="Group 518"/>
                <wp:cNvGraphicFramePr>
                  <a:graphicFrameLocks/>
                </wp:cNvGraphicFramePr>
                <a:graphic>
                  <a:graphicData uri="http://schemas.microsoft.com/office/word/2010/wordprocessingGroup">
                    <wpg:wgp>
                      <wpg:cNvPr id="518" name="Group 518"/>
                      <wpg:cNvGrpSpPr/>
                      <wpg:grpSpPr>
                        <a:xfrm>
                          <a:off x="0" y="0"/>
                          <a:ext cx="728980" cy="655320"/>
                          <a:chExt cx="728980" cy="655320"/>
                        </a:xfrm>
                      </wpg:grpSpPr>
                      <pic:pic>
                        <pic:nvPicPr>
                          <pic:cNvPr id="519" name="Image 519"/>
                          <pic:cNvPicPr/>
                        </pic:nvPicPr>
                        <pic:blipFill>
                          <a:blip r:embed="rId100" cstate="print"/>
                          <a:stretch>
                            <a:fillRect/>
                          </a:stretch>
                        </pic:blipFill>
                        <pic:spPr>
                          <a:xfrm>
                            <a:off x="0" y="0"/>
                            <a:ext cx="728471" cy="655320"/>
                          </a:xfrm>
                          <a:prstGeom prst="rect">
                            <a:avLst/>
                          </a:prstGeom>
                        </pic:spPr>
                      </pic:pic>
                      <wps:wsp>
                        <wps:cNvPr id="520" name="Textbox 520"/>
                        <wps:cNvSpPr txBox="1"/>
                        <wps:spPr>
                          <a:xfrm>
                            <a:off x="0" y="0"/>
                            <a:ext cx="728980" cy="655320"/>
                          </a:xfrm>
                          <a:prstGeom prst="rect">
                            <a:avLst/>
                          </a:prstGeom>
                        </wps:spPr>
                        <wps:txbx>
                          <w:txbxContent>
                            <w:p>
                              <w:pPr>
                                <w:spacing w:before="374"/>
                                <w:ind w:left="432" w:right="0" w:firstLine="0"/>
                                <w:jc w:val="left"/>
                                <w:rPr>
                                  <w:rFonts w:ascii="Tahoma"/>
                                  <w:b/>
                                  <w:sz w:val="36"/>
                                </w:rPr>
                              </w:pPr>
                              <w:r>
                                <w:rPr>
                                  <w:rFonts w:ascii="Tahoma"/>
                                  <w:b/>
                                  <w:spacing w:val="-5"/>
                                  <w:w w:val="95"/>
                                  <w:sz w:val="36"/>
                                </w:rPr>
                                <w:t>23</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545856;mso-wrap-distance-left:0;mso-wrap-distance-right:0" id="docshapegroup513" coordorigin="5494,430" coordsize="1148,1032">
                <v:shape style="position:absolute;left:5493;top:429;width:1148;height:1032" type="#_x0000_t75" id="docshape514" stroked="false">
                  <v:imagedata r:id="rId100" o:title=""/>
                </v:shape>
                <v:shape style="position:absolute;left:5493;top:429;width:1148;height:1032" type="#_x0000_t202" id="docshape515" filled="false" stroked="false">
                  <v:textbox inset="0,0,0,0">
                    <w:txbxContent>
                      <w:p>
                        <w:pPr>
                          <w:spacing w:before="374"/>
                          <w:ind w:left="432" w:right="0" w:firstLine="0"/>
                          <w:jc w:val="left"/>
                          <w:rPr>
                            <w:rFonts w:ascii="Tahoma"/>
                            <w:b/>
                            <w:sz w:val="36"/>
                          </w:rPr>
                        </w:pPr>
                        <w:r>
                          <w:rPr>
                            <w:rFonts w:ascii="Tahoma"/>
                            <w:b/>
                            <w:spacing w:val="-5"/>
                            <w:w w:val="95"/>
                            <w:sz w:val="36"/>
                          </w:rPr>
                          <w:t>23</w:t>
                        </w:r>
                      </w:p>
                    </w:txbxContent>
                  </v:textbox>
                  <w10:wrap type="none"/>
                </v:shape>
                <w10:wrap type="topAndBottom"/>
              </v:group>
            </w:pict>
          </mc:Fallback>
        </mc:AlternateContent>
      </w:r>
    </w:p>
    <w:p>
      <w:pPr>
        <w:pStyle w:val="Heading1"/>
        <w:spacing w:line="353" w:lineRule="exact"/>
        <w:ind w:right="3"/>
      </w:pPr>
      <w:r>
        <w:rPr/>
        <w:t>Gender,</w:t>
      </w:r>
      <w:r>
        <w:rPr>
          <w:spacing w:val="20"/>
        </w:rPr>
        <w:t> </w:t>
      </w:r>
      <w:r>
        <w:rPr/>
        <w:t>Space</w:t>
      </w:r>
      <w:r>
        <w:rPr>
          <w:spacing w:val="20"/>
        </w:rPr>
        <w:t> </w:t>
      </w:r>
      <w:r>
        <w:rPr/>
        <w:t>and</w:t>
      </w:r>
      <w:r>
        <w:rPr>
          <w:spacing w:val="23"/>
        </w:rPr>
        <w:t> </w:t>
      </w:r>
      <w:r>
        <w:rPr/>
        <w:t>Power</w:t>
      </w:r>
      <w:r>
        <w:rPr>
          <w:spacing w:val="21"/>
        </w:rPr>
        <w:t> </w:t>
      </w:r>
      <w:r>
        <w:rPr>
          <w:spacing w:val="-5"/>
        </w:rPr>
        <w:t>In</w:t>
      </w:r>
    </w:p>
    <w:p>
      <w:pPr>
        <w:tabs>
          <w:tab w:pos="1312" w:val="left" w:leader="none"/>
          <w:tab w:pos="5759" w:val="left" w:leader="none"/>
        </w:tabs>
        <w:spacing w:line="364" w:lineRule="exact" w:before="0"/>
        <w:ind w:left="0" w:right="0" w:firstLine="0"/>
        <w:jc w:val="center"/>
        <w:rPr>
          <w:rFonts w:ascii="Tahoma" w:hAnsi="Tahoma"/>
          <w:b/>
          <w:sz w:val="32"/>
        </w:rPr>
      </w:pPr>
      <w:r>
        <w:rPr>
          <w:sz w:val="32"/>
          <w:u w:val="single"/>
        </w:rPr>
        <w:tab/>
      </w:r>
      <w:r>
        <w:rPr>
          <w:rFonts w:ascii="Tahoma" w:hAnsi="Tahoma"/>
          <w:b/>
          <w:spacing w:val="-6"/>
          <w:sz w:val="32"/>
          <w:u w:val="single"/>
        </w:rPr>
        <w:t>Shakespeare’s</w:t>
      </w:r>
      <w:r>
        <w:rPr>
          <w:rFonts w:ascii="Tahoma" w:hAnsi="Tahoma"/>
          <w:b/>
          <w:spacing w:val="-1"/>
          <w:sz w:val="32"/>
          <w:u w:val="single"/>
        </w:rPr>
        <w:t> </w:t>
      </w:r>
      <w:r>
        <w:rPr>
          <w:rFonts w:ascii="Tahoma" w:hAnsi="Tahoma"/>
          <w:b/>
          <w:spacing w:val="-4"/>
          <w:sz w:val="32"/>
          <w:u w:val="single"/>
        </w:rPr>
        <w:t>Plays</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71136">
                <wp:simplePos x="0" y="0"/>
                <wp:positionH relativeFrom="page">
                  <wp:posOffset>2057400</wp:posOffset>
                </wp:positionH>
                <wp:positionV relativeFrom="paragraph">
                  <wp:posOffset>60138</wp:posOffset>
                </wp:positionV>
                <wp:extent cx="3657600" cy="7620"/>
                <wp:effectExtent l="0" t="0" r="0" b="0"/>
                <wp:wrapTopAndBottom/>
                <wp:docPr id="521" name="Graphic 521"/>
                <wp:cNvGraphicFramePr>
                  <a:graphicFrameLocks/>
                </wp:cNvGraphicFramePr>
                <a:graphic>
                  <a:graphicData uri="http://schemas.microsoft.com/office/word/2010/wordprocessingShape">
                    <wps:wsp>
                      <wps:cNvPr id="521" name="Graphic 521"/>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35299pt;width:288.000009pt;height:.600014pt;mso-position-horizontal-relative:page;mso-position-vertical-relative:paragraph;z-index:-15545344;mso-wrap-distance-left:0;mso-wrap-distance-right:0" id="docshape516" filled="true" fillcolor="#000000" stroked="false">
                <v:fill type="solid"/>
                <w10:wrap type="topAndBottom"/>
              </v:rect>
            </w:pict>
          </mc:Fallback>
        </mc:AlternateContent>
      </w:r>
    </w:p>
    <w:p>
      <w:pPr>
        <w:pStyle w:val="BodyText"/>
        <w:spacing w:before="13"/>
        <w:ind w:left="0"/>
        <w:rPr>
          <w:rFonts w:ascii="Tahoma"/>
          <w:b/>
          <w:sz w:val="32"/>
        </w:rPr>
      </w:pPr>
    </w:p>
    <w:p>
      <w:pPr>
        <w:pStyle w:val="Heading5"/>
        <w:ind w:left="0" w:right="1440"/>
        <w:jc w:val="right"/>
        <w:rPr>
          <w:rFonts w:ascii="Times New Roman"/>
        </w:rPr>
      </w:pPr>
      <w:r>
        <w:rPr>
          <w:rFonts w:ascii="Times New Roman"/>
        </w:rPr>
        <w:t>J</w:t>
      </w:r>
      <w:r>
        <w:rPr>
          <w:rFonts w:ascii="Times New Roman"/>
          <w:spacing w:val="50"/>
        </w:rPr>
        <w:t> </w:t>
      </w:r>
      <w:r>
        <w:rPr>
          <w:rFonts w:ascii="Times New Roman"/>
        </w:rPr>
        <w:t>Y</w:t>
      </w:r>
      <w:r>
        <w:rPr>
          <w:rFonts w:ascii="Times New Roman"/>
          <w:spacing w:val="55"/>
        </w:rPr>
        <w:t> </w:t>
      </w:r>
      <w:r>
        <w:rPr>
          <w:rFonts w:ascii="Times New Roman"/>
        </w:rPr>
        <w:t>Nissi</w:t>
      </w:r>
      <w:r>
        <w:rPr>
          <w:rFonts w:ascii="Times New Roman"/>
          <w:spacing w:val="53"/>
        </w:rPr>
        <w:t> </w:t>
      </w:r>
      <w:r>
        <w:rPr>
          <w:rFonts w:ascii="Times New Roman"/>
          <w:spacing w:val="-2"/>
        </w:rPr>
        <w:t>Niharika</w:t>
      </w:r>
    </w:p>
    <w:p>
      <w:pPr>
        <w:spacing w:before="15"/>
        <w:ind w:left="1980" w:right="0" w:firstLine="0"/>
        <w:jc w:val="left"/>
        <w:rPr>
          <w:i/>
          <w:sz w:val="19"/>
        </w:rPr>
      </w:pPr>
      <w:r>
        <w:rPr>
          <w:i/>
          <w:sz w:val="19"/>
        </w:rPr>
        <w:t>M.A(Eng),B.Ed</w:t>
      </w:r>
      <w:r>
        <w:rPr>
          <w:i/>
          <w:spacing w:val="63"/>
          <w:sz w:val="19"/>
        </w:rPr>
        <w:t> </w:t>
      </w:r>
      <w:r>
        <w:rPr>
          <w:i/>
          <w:sz w:val="19"/>
        </w:rPr>
        <w:t>,</w:t>
      </w:r>
      <w:r>
        <w:rPr>
          <w:i/>
          <w:spacing w:val="60"/>
          <w:sz w:val="19"/>
        </w:rPr>
        <w:t> </w:t>
      </w:r>
      <w:r>
        <w:rPr>
          <w:i/>
          <w:sz w:val="19"/>
        </w:rPr>
        <w:t>SET</w:t>
      </w:r>
      <w:r>
        <w:rPr>
          <w:i/>
          <w:spacing w:val="60"/>
          <w:sz w:val="19"/>
        </w:rPr>
        <w:t> </w:t>
      </w:r>
      <w:r>
        <w:rPr>
          <w:i/>
          <w:sz w:val="19"/>
        </w:rPr>
        <w:t>(Eng),</w:t>
      </w:r>
      <w:r>
        <w:rPr>
          <w:i/>
          <w:spacing w:val="61"/>
          <w:sz w:val="19"/>
        </w:rPr>
        <w:t> </w:t>
      </w:r>
      <w:r>
        <w:rPr>
          <w:i/>
          <w:sz w:val="19"/>
        </w:rPr>
        <w:t>MSc(Bot)</w:t>
      </w:r>
      <w:r>
        <w:rPr>
          <w:i/>
          <w:spacing w:val="58"/>
          <w:sz w:val="19"/>
        </w:rPr>
        <w:t> </w:t>
      </w:r>
      <w:r>
        <w:rPr>
          <w:i/>
          <w:sz w:val="19"/>
        </w:rPr>
        <w:t>PhD</w:t>
      </w:r>
      <w:r>
        <w:rPr>
          <w:i/>
          <w:spacing w:val="60"/>
          <w:sz w:val="19"/>
        </w:rPr>
        <w:t> </w:t>
      </w:r>
      <w:r>
        <w:rPr>
          <w:i/>
          <w:sz w:val="19"/>
        </w:rPr>
        <w:t>Research</w:t>
      </w:r>
      <w:r>
        <w:rPr>
          <w:i/>
          <w:spacing w:val="60"/>
          <w:sz w:val="19"/>
        </w:rPr>
        <w:t> </w:t>
      </w:r>
      <w:r>
        <w:rPr>
          <w:i/>
          <w:spacing w:val="-2"/>
          <w:sz w:val="19"/>
        </w:rPr>
        <w:t>Scholar</w:t>
      </w:r>
    </w:p>
    <w:p>
      <w:pPr>
        <w:spacing w:before="9"/>
        <w:ind w:left="0" w:right="1437" w:firstLine="0"/>
        <w:jc w:val="right"/>
        <w:rPr>
          <w:i/>
          <w:sz w:val="19"/>
        </w:rPr>
      </w:pPr>
      <w:r>
        <w:rPr>
          <w:i/>
          <w:sz w:val="19"/>
        </w:rPr>
        <w:t>Anurag</w:t>
      </w:r>
      <w:r>
        <w:rPr>
          <w:i/>
          <w:spacing w:val="70"/>
          <w:sz w:val="19"/>
        </w:rPr>
        <w:t> </w:t>
      </w:r>
      <w:r>
        <w:rPr>
          <w:i/>
          <w:sz w:val="19"/>
        </w:rPr>
        <w:t>University,</w:t>
      </w:r>
      <w:r>
        <w:rPr>
          <w:i/>
          <w:spacing w:val="69"/>
          <w:sz w:val="19"/>
        </w:rPr>
        <w:t> </w:t>
      </w:r>
      <w:r>
        <w:rPr>
          <w:i/>
          <w:spacing w:val="-2"/>
          <w:sz w:val="19"/>
        </w:rPr>
        <w:t>Hyderabad</w:t>
      </w:r>
    </w:p>
    <w:p>
      <w:pPr>
        <w:pStyle w:val="BodyText"/>
        <w:spacing w:before="161"/>
        <w:ind w:left="0"/>
        <w:rPr>
          <w:i/>
          <w:sz w:val="19"/>
        </w:rPr>
      </w:pPr>
    </w:p>
    <w:p>
      <w:pPr>
        <w:pStyle w:val="Heading3"/>
        <w:spacing w:before="0"/>
      </w:pPr>
      <w:r>
        <w:rPr>
          <w:spacing w:val="-2"/>
        </w:rPr>
        <w:t>ABSTRACT:</w:t>
      </w:r>
    </w:p>
    <w:p>
      <w:pPr>
        <w:pStyle w:val="BodyText"/>
        <w:spacing w:line="266" w:lineRule="auto" w:before="85"/>
        <w:ind w:right="1437" w:firstLine="432"/>
        <w:jc w:val="both"/>
      </w:pPr>
      <w:r>
        <w:rPr/>
        <w:t>This study explores the interconnected themes of gender ,space and of power in William Shakespeare. Shakespeare’s dramatic works reveal</w:t>
      </w:r>
      <w:r>
        <w:rPr>
          <w:spacing w:val="-5"/>
        </w:rPr>
        <w:t> </w:t>
      </w:r>
      <w:r>
        <w:rPr/>
        <w:t>how</w:t>
      </w:r>
      <w:r>
        <w:rPr>
          <w:spacing w:val="-7"/>
        </w:rPr>
        <w:t> </w:t>
      </w:r>
      <w:r>
        <w:rPr/>
        <w:t>gender</w:t>
      </w:r>
      <w:r>
        <w:rPr>
          <w:spacing w:val="-7"/>
        </w:rPr>
        <w:t> </w:t>
      </w:r>
      <w:r>
        <w:rPr/>
        <w:t>roles</w:t>
      </w:r>
      <w:r>
        <w:rPr>
          <w:spacing w:val="-5"/>
        </w:rPr>
        <w:t> </w:t>
      </w:r>
      <w:r>
        <w:rPr/>
        <w:t>are</w:t>
      </w:r>
      <w:r>
        <w:rPr>
          <w:spacing w:val="-5"/>
        </w:rPr>
        <w:t> </w:t>
      </w:r>
      <w:r>
        <w:rPr/>
        <w:t>constructed,</w:t>
      </w:r>
      <w:r>
        <w:rPr>
          <w:spacing w:val="-5"/>
        </w:rPr>
        <w:t> </w:t>
      </w:r>
      <w:r>
        <w:rPr/>
        <w:t>challenged</w:t>
      </w:r>
      <w:r>
        <w:rPr>
          <w:spacing w:val="-5"/>
        </w:rPr>
        <w:t> </w:t>
      </w:r>
      <w:r>
        <w:rPr/>
        <w:t>and</w:t>
      </w:r>
      <w:r>
        <w:rPr>
          <w:spacing w:val="-2"/>
        </w:rPr>
        <w:t> </w:t>
      </w:r>
      <w:r>
        <w:rPr/>
        <w:t>reinforced</w:t>
      </w:r>
      <w:r>
        <w:rPr>
          <w:spacing w:val="-3"/>
        </w:rPr>
        <w:t> </w:t>
      </w:r>
      <w:r>
        <w:rPr/>
        <w:t>with in social and spatial frame works. Gender, Space and Power in Shakespeare’s plays are deeply interconnected themes reflecting the patriarchial</w:t>
      </w:r>
      <w:r>
        <w:rPr>
          <w:spacing w:val="-3"/>
        </w:rPr>
        <w:t> </w:t>
      </w:r>
      <w:r>
        <w:rPr/>
        <w:t>structures</w:t>
      </w:r>
      <w:r>
        <w:rPr>
          <w:spacing w:val="-4"/>
        </w:rPr>
        <w:t> </w:t>
      </w:r>
      <w:r>
        <w:rPr/>
        <w:t>of</w:t>
      </w:r>
      <w:r>
        <w:rPr>
          <w:spacing w:val="-4"/>
        </w:rPr>
        <w:t> </w:t>
      </w:r>
      <w:r>
        <w:rPr/>
        <w:t>Elizabethan</w:t>
      </w:r>
      <w:r>
        <w:rPr>
          <w:spacing w:val="-4"/>
        </w:rPr>
        <w:t> </w:t>
      </w:r>
      <w:r>
        <w:rPr/>
        <w:t>and Jacobean</w:t>
      </w:r>
      <w:r>
        <w:rPr>
          <w:spacing w:val="-4"/>
        </w:rPr>
        <w:t> </w:t>
      </w:r>
      <w:r>
        <w:rPr/>
        <w:t>England while</w:t>
      </w:r>
      <w:r>
        <w:rPr>
          <w:spacing w:val="-3"/>
        </w:rPr>
        <w:t> </w:t>
      </w:r>
      <w:r>
        <w:rPr/>
        <w:t>often subverting them through complex character development and thematic ambiguity . Male and female characters are often positioned within distinct</w:t>
      </w:r>
      <w:r>
        <w:rPr>
          <w:spacing w:val="-13"/>
        </w:rPr>
        <w:t> </w:t>
      </w:r>
      <w:r>
        <w:rPr/>
        <w:t>spaces</w:t>
      </w:r>
      <w:r>
        <w:rPr>
          <w:spacing w:val="-12"/>
        </w:rPr>
        <w:t> </w:t>
      </w:r>
      <w:r>
        <w:rPr/>
        <w:t>-</w:t>
      </w:r>
      <w:r>
        <w:rPr>
          <w:spacing w:val="-13"/>
        </w:rPr>
        <w:t> </w:t>
      </w:r>
      <w:r>
        <w:rPr/>
        <w:t>public</w:t>
      </w:r>
      <w:r>
        <w:rPr>
          <w:spacing w:val="-12"/>
        </w:rPr>
        <w:t> </w:t>
      </w:r>
      <w:r>
        <w:rPr/>
        <w:t>and</w:t>
      </w:r>
      <w:r>
        <w:rPr>
          <w:spacing w:val="-13"/>
        </w:rPr>
        <w:t> </w:t>
      </w:r>
      <w:r>
        <w:rPr/>
        <w:t>private.Through</w:t>
      </w:r>
      <w:r>
        <w:rPr>
          <w:spacing w:val="-12"/>
        </w:rPr>
        <w:t> </w:t>
      </w:r>
      <w:r>
        <w:rPr/>
        <w:t>plays</w:t>
      </w:r>
      <w:r>
        <w:rPr>
          <w:spacing w:val="-13"/>
        </w:rPr>
        <w:t> </w:t>
      </w:r>
      <w:r>
        <w:rPr/>
        <w:t>such</w:t>
      </w:r>
      <w:r>
        <w:rPr>
          <w:spacing w:val="-12"/>
        </w:rPr>
        <w:t> </w:t>
      </w:r>
      <w:r>
        <w:rPr/>
        <w:t>Macbeth,</w:t>
      </w:r>
      <w:r>
        <w:rPr>
          <w:spacing w:val="-13"/>
        </w:rPr>
        <w:t> </w:t>
      </w:r>
      <w:r>
        <w:rPr/>
        <w:t>Hamlet Othello and The Taming of the shrew this paper examines how Spatial dynamics influence gendered authority and identity. Through a critical analysis of Shakespeare’s language, imagery and dramatic structures this study reveals how Shakespeare’s plays challenge and subvert Patriarchal</w:t>
      </w:r>
      <w:r>
        <w:rPr>
          <w:spacing w:val="-8"/>
        </w:rPr>
        <w:t> </w:t>
      </w:r>
      <w:r>
        <w:rPr/>
        <w:t>norms</w:t>
      </w:r>
      <w:r>
        <w:rPr>
          <w:spacing w:val="-9"/>
        </w:rPr>
        <w:t> </w:t>
      </w:r>
      <w:r>
        <w:rPr/>
        <w:t>offering</w:t>
      </w:r>
      <w:r>
        <w:rPr>
          <w:spacing w:val="-9"/>
        </w:rPr>
        <w:t> </w:t>
      </w:r>
      <w:r>
        <w:rPr/>
        <w:t>insights</w:t>
      </w:r>
      <w:r>
        <w:rPr>
          <w:spacing w:val="-9"/>
        </w:rPr>
        <w:t> </w:t>
      </w:r>
      <w:r>
        <w:rPr/>
        <w:t>into</w:t>
      </w:r>
      <w:r>
        <w:rPr>
          <w:spacing w:val="-7"/>
        </w:rPr>
        <w:t> </w:t>
      </w:r>
      <w:r>
        <w:rPr/>
        <w:t>the</w:t>
      </w:r>
      <w:r>
        <w:rPr>
          <w:spacing w:val="-9"/>
        </w:rPr>
        <w:t> </w:t>
      </w:r>
      <w:r>
        <w:rPr/>
        <w:t>ongoing</w:t>
      </w:r>
      <w:r>
        <w:rPr>
          <w:spacing w:val="-10"/>
        </w:rPr>
        <w:t> </w:t>
      </w:r>
      <w:r>
        <w:rPr/>
        <w:t>struggles</w:t>
      </w:r>
      <w:r>
        <w:rPr>
          <w:spacing w:val="-9"/>
        </w:rPr>
        <w:t> </w:t>
      </w:r>
      <w:r>
        <w:rPr/>
        <w:t>for</w:t>
      </w:r>
      <w:r>
        <w:rPr>
          <w:spacing w:val="-7"/>
        </w:rPr>
        <w:t> </w:t>
      </w:r>
      <w:r>
        <w:rPr/>
        <w:t>gender equality</w:t>
      </w:r>
      <w:r>
        <w:rPr>
          <w:spacing w:val="-6"/>
        </w:rPr>
        <w:t> </w:t>
      </w:r>
      <w:r>
        <w:rPr/>
        <w:t>and</w:t>
      </w:r>
      <w:r>
        <w:rPr>
          <w:spacing w:val="-3"/>
        </w:rPr>
        <w:t> </w:t>
      </w:r>
      <w:r>
        <w:rPr/>
        <w:t>Social</w:t>
      </w:r>
      <w:r>
        <w:rPr>
          <w:spacing w:val="-3"/>
        </w:rPr>
        <w:t> </w:t>
      </w:r>
      <w:r>
        <w:rPr/>
        <w:t>justice</w:t>
      </w:r>
      <w:r>
        <w:rPr>
          <w:spacing w:val="-3"/>
        </w:rPr>
        <w:t> </w:t>
      </w:r>
      <w:r>
        <w:rPr/>
        <w:t>.</w:t>
      </w:r>
      <w:r>
        <w:rPr>
          <w:spacing w:val="-4"/>
        </w:rPr>
        <w:t> </w:t>
      </w:r>
      <w:r>
        <w:rPr/>
        <w:t>By</w:t>
      </w:r>
      <w:r>
        <w:rPr>
          <w:spacing w:val="-6"/>
        </w:rPr>
        <w:t> </w:t>
      </w:r>
      <w:r>
        <w:rPr/>
        <w:t>exploring</w:t>
      </w:r>
      <w:r>
        <w:rPr>
          <w:spacing w:val="-6"/>
        </w:rPr>
        <w:t> </w:t>
      </w:r>
      <w:r>
        <w:rPr/>
        <w:t>the</w:t>
      </w:r>
      <w:r>
        <w:rPr>
          <w:spacing w:val="-4"/>
        </w:rPr>
        <w:t> </w:t>
      </w:r>
      <w:r>
        <w:rPr/>
        <w:t>intersections</w:t>
      </w:r>
      <w:r>
        <w:rPr>
          <w:spacing w:val="-4"/>
        </w:rPr>
        <w:t> </w:t>
      </w:r>
      <w:r>
        <w:rPr/>
        <w:t>of</w:t>
      </w:r>
      <w:r>
        <w:rPr>
          <w:spacing w:val="-6"/>
        </w:rPr>
        <w:t> </w:t>
      </w:r>
      <w:r>
        <w:rPr/>
        <w:t>and</w:t>
      </w:r>
      <w:r>
        <w:rPr>
          <w:spacing w:val="-1"/>
        </w:rPr>
        <w:t> </w:t>
      </w:r>
      <w:r>
        <w:rPr/>
        <w:t>power in</w:t>
      </w:r>
      <w:r>
        <w:rPr>
          <w:spacing w:val="-7"/>
        </w:rPr>
        <w:t> </w:t>
      </w:r>
      <w:r>
        <w:rPr/>
        <w:t>Shakespeare’s</w:t>
      </w:r>
      <w:r>
        <w:rPr>
          <w:spacing w:val="-5"/>
        </w:rPr>
        <w:t> </w:t>
      </w:r>
      <w:r>
        <w:rPr/>
        <w:t>works</w:t>
      </w:r>
      <w:r>
        <w:rPr>
          <w:spacing w:val="-5"/>
        </w:rPr>
        <w:t> </w:t>
      </w:r>
      <w:r>
        <w:rPr/>
        <w:t>this</w:t>
      </w:r>
      <w:r>
        <w:rPr>
          <w:spacing w:val="-7"/>
        </w:rPr>
        <w:t> </w:t>
      </w:r>
      <w:r>
        <w:rPr/>
        <w:t>paper</w:t>
      </w:r>
      <w:r>
        <w:rPr>
          <w:spacing w:val="-5"/>
        </w:rPr>
        <w:t> </w:t>
      </w:r>
      <w:r>
        <w:rPr/>
        <w:t>contributes</w:t>
      </w:r>
      <w:r>
        <w:rPr>
          <w:spacing w:val="-7"/>
        </w:rPr>
        <w:t> </w:t>
      </w:r>
      <w:r>
        <w:rPr/>
        <w:t>to</w:t>
      </w:r>
      <w:r>
        <w:rPr>
          <w:spacing w:val="-5"/>
        </w:rPr>
        <w:t> </w:t>
      </w:r>
      <w:r>
        <w:rPr/>
        <w:t>a</w:t>
      </w:r>
      <w:r>
        <w:rPr>
          <w:spacing w:val="-6"/>
        </w:rPr>
        <w:t> </w:t>
      </w:r>
      <w:r>
        <w:rPr/>
        <w:t>deeper</w:t>
      </w:r>
      <w:r>
        <w:rPr>
          <w:spacing w:val="-5"/>
        </w:rPr>
        <w:t> </w:t>
      </w:r>
      <w:r>
        <w:rPr/>
        <w:t>understanding of the continued, relevance of Shakespeare’s plays in contemporary society</w:t>
      </w:r>
      <w:r>
        <w:rPr>
          <w:spacing w:val="40"/>
        </w:rPr>
        <w:t> </w:t>
      </w:r>
      <w:r>
        <w:rPr/>
        <w:t>.</w:t>
      </w:r>
    </w:p>
    <w:p>
      <w:pPr>
        <w:pStyle w:val="BodyText"/>
        <w:spacing w:line="266" w:lineRule="auto" w:before="73"/>
        <w:ind w:right="1437" w:firstLine="432"/>
        <w:jc w:val="both"/>
      </w:pPr>
      <w:r>
        <w:rPr>
          <w:b/>
          <w:spacing w:val="-6"/>
        </w:rPr>
        <w:t>Keywords:</w:t>
      </w:r>
      <w:r>
        <w:rPr>
          <w:b/>
        </w:rPr>
        <w:t> </w:t>
      </w:r>
      <w:r>
        <w:rPr>
          <w:spacing w:val="-6"/>
        </w:rPr>
        <w:t>Gender,</w:t>
      </w:r>
      <w:r>
        <w:rPr/>
        <w:t> </w:t>
      </w:r>
      <w:r>
        <w:rPr>
          <w:spacing w:val="-6"/>
        </w:rPr>
        <w:t>Space, Power</w:t>
      </w:r>
      <w:r>
        <w:rPr/>
        <w:t> </w:t>
      </w:r>
      <w:r>
        <w:rPr>
          <w:spacing w:val="-6"/>
        </w:rPr>
        <w:t>gender roles, feminism</w:t>
      </w:r>
      <w:r>
        <w:rPr>
          <w:spacing w:val="-7"/>
        </w:rPr>
        <w:t> </w:t>
      </w:r>
      <w:r>
        <w:rPr>
          <w:spacing w:val="-6"/>
        </w:rPr>
        <w:t>,</w:t>
      </w:r>
      <w:r>
        <w:rPr>
          <w:spacing w:val="-1"/>
        </w:rPr>
        <w:t> </w:t>
      </w:r>
      <w:r>
        <w:rPr>
          <w:spacing w:val="-6"/>
        </w:rPr>
        <w:t>patriarchal </w:t>
      </w:r>
      <w:r>
        <w:rPr/>
        <w:t>structures</w:t>
      </w:r>
      <w:r>
        <w:rPr>
          <w:spacing w:val="40"/>
        </w:rPr>
        <w:t> </w:t>
      </w:r>
      <w:r>
        <w:rPr/>
        <w:t>Shakespeare’s</w:t>
      </w:r>
      <w:r>
        <w:rPr>
          <w:spacing w:val="40"/>
        </w:rPr>
        <w:t> </w:t>
      </w:r>
      <w:r>
        <w:rPr/>
        <w:t>Plays</w:t>
      </w:r>
    </w:p>
    <w:p>
      <w:pPr>
        <w:pStyle w:val="BodyText"/>
        <w:spacing w:after="0" w:line="266"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5912960">
                <wp:simplePos x="0" y="0"/>
                <wp:positionH relativeFrom="page">
                  <wp:posOffset>2057400</wp:posOffset>
                </wp:positionH>
                <wp:positionV relativeFrom="paragraph">
                  <wp:posOffset>226097</wp:posOffset>
                </wp:positionV>
                <wp:extent cx="3657600" cy="12700"/>
                <wp:effectExtent l="0" t="0" r="0" b="0"/>
                <wp:wrapNone/>
                <wp:docPr id="522" name="Graphic 522"/>
                <wp:cNvGraphicFramePr>
                  <a:graphicFrameLocks/>
                </wp:cNvGraphicFramePr>
                <a:graphic>
                  <a:graphicData uri="http://schemas.microsoft.com/office/word/2010/wordprocessingShape">
                    <wps:wsp>
                      <wps:cNvPr id="522" name="Graphic 52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5912960" id="docshape517" filled="true" fillcolor="#000000" stroked="false">
                <v:fill type="solid"/>
                <w10:wrap type="none"/>
              </v:rect>
            </w:pict>
          </mc:Fallback>
        </mc:AlternateContent>
      </w:r>
      <w:r>
        <w:rPr>
          <w:rFonts w:ascii="Verdana"/>
          <w:spacing w:val="-5"/>
          <w:w w:val="95"/>
          <w:sz w:val="18"/>
        </w:rPr>
        <w:t>242</w:t>
      </w:r>
    </w:p>
    <w:p>
      <w:pPr>
        <w:pStyle w:val="BodyText"/>
        <w:spacing w:before="10"/>
        <w:ind w:left="0"/>
        <w:rPr>
          <w:rFonts w:ascii="Verdana"/>
          <w:sz w:val="18"/>
        </w:rPr>
      </w:pPr>
    </w:p>
    <w:p>
      <w:pPr>
        <w:pStyle w:val="Heading3"/>
        <w:spacing w:before="1"/>
      </w:pPr>
      <w:r>
        <w:rPr>
          <w:spacing w:val="-2"/>
          <w:w w:val="85"/>
        </w:rPr>
        <w:t>INTRODUCTION:</w:t>
      </w:r>
    </w:p>
    <w:p>
      <w:pPr>
        <w:spacing w:before="100"/>
        <w:ind w:left="1129"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3151" w:space="40"/>
            <w:col w:w="5449"/>
          </w:cols>
        </w:sectPr>
      </w:pPr>
    </w:p>
    <w:p>
      <w:pPr>
        <w:pStyle w:val="BodyText"/>
        <w:spacing w:line="249" w:lineRule="auto" w:before="75"/>
        <w:ind w:right="1439" w:firstLine="432"/>
        <w:jc w:val="both"/>
      </w:pPr>
      <w:r>
        <w:rPr>
          <w:spacing w:val="-4"/>
        </w:rPr>
        <w:t>William</w:t>
      </w:r>
      <w:r>
        <w:rPr>
          <w:spacing w:val="-8"/>
        </w:rPr>
        <w:t> </w:t>
      </w:r>
      <w:r>
        <w:rPr>
          <w:spacing w:val="-4"/>
        </w:rPr>
        <w:t>Shakespeare</w:t>
      </w:r>
      <w:r>
        <w:rPr>
          <w:spacing w:val="-7"/>
        </w:rPr>
        <w:t> </w:t>
      </w:r>
      <w:r>
        <w:rPr>
          <w:spacing w:val="-4"/>
        </w:rPr>
        <w:t>(1564-1616)</w:t>
      </w:r>
      <w:r>
        <w:rPr/>
        <w:t> </w:t>
      </w:r>
      <w:r>
        <w:rPr>
          <w:spacing w:val="-4"/>
        </w:rPr>
        <w:t>dramatist actor, man</w:t>
      </w:r>
      <w:r>
        <w:rPr>
          <w:spacing w:val="-9"/>
        </w:rPr>
        <w:t> </w:t>
      </w:r>
      <w:r>
        <w:rPr>
          <w:spacing w:val="-4"/>
        </w:rPr>
        <w:t>of the theatre </w:t>
      </w:r>
      <w:r>
        <w:rPr/>
        <w:t>and poet, baptized in Holy Trinity church, Stratford-up Avon, on 26th April</w:t>
      </w:r>
      <w:r>
        <w:rPr>
          <w:spacing w:val="-13"/>
        </w:rPr>
        <w:t> </w:t>
      </w:r>
      <w:r>
        <w:rPr/>
        <w:t>1564.</w:t>
      </w:r>
      <w:r>
        <w:rPr>
          <w:spacing w:val="-12"/>
        </w:rPr>
        <w:t> </w:t>
      </w:r>
      <w:r>
        <w:rPr/>
        <w:t>His</w:t>
      </w:r>
      <w:r>
        <w:rPr>
          <w:spacing w:val="-13"/>
        </w:rPr>
        <w:t> </w:t>
      </w:r>
      <w:r>
        <w:rPr/>
        <w:t>birth</w:t>
      </w:r>
      <w:r>
        <w:rPr>
          <w:spacing w:val="-12"/>
        </w:rPr>
        <w:t> </w:t>
      </w:r>
      <w:r>
        <w:rPr/>
        <w:t>is</w:t>
      </w:r>
      <w:r>
        <w:rPr>
          <w:spacing w:val="-13"/>
        </w:rPr>
        <w:t> </w:t>
      </w:r>
      <w:r>
        <w:rPr/>
        <w:t>traditionally</w:t>
      </w:r>
      <w:r>
        <w:rPr>
          <w:spacing w:val="-12"/>
        </w:rPr>
        <w:t> </w:t>
      </w:r>
      <w:r>
        <w:rPr/>
        <w:t>celebrated</w:t>
      </w:r>
      <w:r>
        <w:rPr>
          <w:spacing w:val="-13"/>
        </w:rPr>
        <w:t> </w:t>
      </w:r>
      <w:r>
        <w:rPr/>
        <w:t>on</w:t>
      </w:r>
      <w:r>
        <w:rPr>
          <w:spacing w:val="-12"/>
        </w:rPr>
        <w:t> </w:t>
      </w:r>
      <w:r>
        <w:rPr/>
        <w:t>23</w:t>
      </w:r>
      <w:r>
        <w:rPr>
          <w:spacing w:val="-13"/>
        </w:rPr>
        <w:t> </w:t>
      </w:r>
      <w:r>
        <w:rPr/>
        <w:t>April,</w:t>
      </w:r>
      <w:r>
        <w:rPr>
          <w:spacing w:val="-12"/>
        </w:rPr>
        <w:t> </w:t>
      </w:r>
      <w:r>
        <w:rPr/>
        <w:t>which</w:t>
      </w:r>
      <w:r>
        <w:rPr>
          <w:spacing w:val="-13"/>
        </w:rPr>
        <w:t> </w:t>
      </w:r>
      <w:r>
        <w:rPr/>
        <w:t>is</w:t>
      </w:r>
      <w:r>
        <w:rPr>
          <w:spacing w:val="-12"/>
        </w:rPr>
        <w:t> </w:t>
      </w:r>
      <w:r>
        <w:rPr/>
        <w:t>also known</w:t>
      </w:r>
      <w:r>
        <w:rPr>
          <w:spacing w:val="40"/>
        </w:rPr>
        <w:t> </w:t>
      </w:r>
      <w:r>
        <w:rPr/>
        <w:t>to</w:t>
      </w:r>
      <w:r>
        <w:rPr>
          <w:spacing w:val="40"/>
        </w:rPr>
        <w:t> </w:t>
      </w:r>
      <w:r>
        <w:rPr/>
        <w:t>have</w:t>
      </w:r>
      <w:r>
        <w:rPr>
          <w:spacing w:val="40"/>
        </w:rPr>
        <w:t> </w:t>
      </w:r>
      <w:r>
        <w:rPr/>
        <w:t>been</w:t>
      </w:r>
      <w:r>
        <w:rPr>
          <w:spacing w:val="40"/>
        </w:rPr>
        <w:t> </w:t>
      </w:r>
      <w:r>
        <w:rPr/>
        <w:t>the</w:t>
      </w:r>
      <w:r>
        <w:rPr>
          <w:spacing w:val="40"/>
        </w:rPr>
        <w:t> </w:t>
      </w:r>
      <w:r>
        <w:rPr/>
        <w:t>date</w:t>
      </w:r>
      <w:r>
        <w:rPr>
          <w:spacing w:val="40"/>
        </w:rPr>
        <w:t> </w:t>
      </w:r>
      <w:r>
        <w:rPr/>
        <w:t>of</w:t>
      </w:r>
      <w:r>
        <w:rPr>
          <w:spacing w:val="40"/>
        </w:rPr>
        <w:t> </w:t>
      </w:r>
      <w:r>
        <w:rPr/>
        <w:t>his</w:t>
      </w:r>
      <w:r>
        <w:rPr>
          <w:spacing w:val="40"/>
        </w:rPr>
        <w:t> </w:t>
      </w:r>
      <w:r>
        <w:rPr/>
        <w:t>death</w:t>
      </w:r>
      <w:r>
        <w:rPr>
          <w:spacing w:val="40"/>
        </w:rPr>
        <w:t> </w:t>
      </w:r>
      <w:r>
        <w:rPr/>
        <w:t>.</w:t>
      </w:r>
    </w:p>
    <w:p>
      <w:pPr>
        <w:pStyle w:val="BodyText"/>
        <w:spacing w:line="249" w:lineRule="auto" w:before="61"/>
        <w:ind w:right="1440" w:firstLine="432"/>
        <w:jc w:val="both"/>
      </w:pPr>
      <w:r>
        <w:rPr/>
        <w:t>His works which include plays, sonnets and poems have had a profound impact on literature and theatre both during his time and in</w:t>
      </w:r>
      <w:r>
        <w:rPr>
          <w:spacing w:val="40"/>
        </w:rPr>
        <w:t> </w:t>
      </w:r>
      <w:r>
        <w:rPr/>
        <w:t>the</w:t>
      </w:r>
      <w:r>
        <w:rPr>
          <w:spacing w:val="40"/>
        </w:rPr>
        <w:t> </w:t>
      </w:r>
      <w:r>
        <w:rPr/>
        <w:t>centuries</w:t>
      </w:r>
      <w:r>
        <w:rPr>
          <w:spacing w:val="40"/>
        </w:rPr>
        <w:t> </w:t>
      </w:r>
      <w:r>
        <w:rPr/>
        <w:t>that</w:t>
      </w:r>
      <w:r>
        <w:rPr>
          <w:spacing w:val="40"/>
        </w:rPr>
        <w:t> </w:t>
      </w:r>
      <w:r>
        <w:rPr/>
        <w:t>followed.</w:t>
      </w:r>
    </w:p>
    <w:p>
      <w:pPr>
        <w:pStyle w:val="BodyText"/>
        <w:spacing w:line="249" w:lineRule="auto" w:before="60"/>
        <w:ind w:right="1439" w:firstLine="432"/>
        <w:jc w:val="both"/>
      </w:pPr>
      <w:r>
        <w:rPr/>
        <w:t>Shakespeare’s plays were written primarily during the 16 th and early</w:t>
      </w:r>
      <w:r>
        <w:rPr>
          <w:spacing w:val="-10"/>
        </w:rPr>
        <w:t> </w:t>
      </w:r>
      <w:r>
        <w:rPr/>
        <w:t>17th</w:t>
      </w:r>
      <w:r>
        <w:rPr>
          <w:spacing w:val="-11"/>
        </w:rPr>
        <w:t> </w:t>
      </w:r>
      <w:r>
        <w:rPr/>
        <w:t>Centuries’</w:t>
      </w:r>
      <w:r>
        <w:rPr>
          <w:spacing w:val="-10"/>
        </w:rPr>
        <w:t> </w:t>
      </w:r>
      <w:r>
        <w:rPr/>
        <w:t>a</w:t>
      </w:r>
      <w:r>
        <w:rPr>
          <w:spacing w:val="-9"/>
        </w:rPr>
        <w:t> </w:t>
      </w:r>
      <w:r>
        <w:rPr/>
        <w:t>period</w:t>
      </w:r>
      <w:r>
        <w:rPr>
          <w:spacing w:val="-6"/>
        </w:rPr>
        <w:t> </w:t>
      </w:r>
      <w:r>
        <w:rPr/>
        <w:t>known</w:t>
      </w:r>
      <w:r>
        <w:rPr>
          <w:spacing w:val="-11"/>
        </w:rPr>
        <w:t> </w:t>
      </w:r>
      <w:r>
        <w:rPr/>
        <w:t>as</w:t>
      </w:r>
      <w:r>
        <w:rPr>
          <w:spacing w:val="-10"/>
        </w:rPr>
        <w:t> </w:t>
      </w:r>
      <w:r>
        <w:rPr/>
        <w:t>the</w:t>
      </w:r>
      <w:r>
        <w:rPr>
          <w:spacing w:val="-8"/>
        </w:rPr>
        <w:t> </w:t>
      </w:r>
      <w:r>
        <w:rPr/>
        <w:t>Elizabethan</w:t>
      </w:r>
      <w:r>
        <w:rPr>
          <w:spacing w:val="-11"/>
        </w:rPr>
        <w:t> </w:t>
      </w:r>
      <w:r>
        <w:rPr/>
        <w:t>era</w:t>
      </w:r>
      <w:r>
        <w:rPr>
          <w:spacing w:val="-8"/>
        </w:rPr>
        <w:t> </w:t>
      </w:r>
      <w:r>
        <w:rPr/>
        <w:t>.At</w:t>
      </w:r>
      <w:r>
        <w:rPr>
          <w:spacing w:val="-11"/>
        </w:rPr>
        <w:t> </w:t>
      </w:r>
      <w:r>
        <w:rPr/>
        <w:t>the</w:t>
      </w:r>
      <w:r>
        <w:rPr>
          <w:spacing w:val="-7"/>
        </w:rPr>
        <w:t> </w:t>
      </w:r>
      <w:r>
        <w:rPr/>
        <w:t>heart of these works is such a complicated interaction between gender and power that no only the personal fate of the Characters is shaped by it</w:t>
      </w:r>
      <w:r>
        <w:rPr>
          <w:spacing w:val="40"/>
        </w:rPr>
        <w:t> </w:t>
      </w:r>
      <w:r>
        <w:rPr/>
        <w:t>but</w:t>
      </w:r>
      <w:r>
        <w:rPr>
          <w:spacing w:val="-1"/>
        </w:rPr>
        <w:t> </w:t>
      </w:r>
      <w:r>
        <w:rPr/>
        <w:t>the</w:t>
      </w:r>
      <w:r>
        <w:rPr>
          <w:spacing w:val="-2"/>
        </w:rPr>
        <w:t> </w:t>
      </w:r>
      <w:r>
        <w:rPr/>
        <w:t>social</w:t>
      </w:r>
      <w:r>
        <w:rPr>
          <w:spacing w:val="-1"/>
        </w:rPr>
        <w:t> </w:t>
      </w:r>
      <w:r>
        <w:rPr/>
        <w:t>and</w:t>
      </w:r>
      <w:r>
        <w:rPr>
          <w:spacing w:val="-1"/>
        </w:rPr>
        <w:t> </w:t>
      </w:r>
      <w:r>
        <w:rPr/>
        <w:t>political</w:t>
      </w:r>
      <w:r>
        <w:rPr>
          <w:spacing w:val="-3"/>
        </w:rPr>
        <w:t> </w:t>
      </w:r>
      <w:r>
        <w:rPr/>
        <w:t>world</w:t>
      </w:r>
      <w:r>
        <w:rPr>
          <w:spacing w:val="-1"/>
        </w:rPr>
        <w:t> </w:t>
      </w:r>
      <w:r>
        <w:rPr/>
        <w:t>in</w:t>
      </w:r>
      <w:r>
        <w:rPr>
          <w:spacing w:val="-5"/>
        </w:rPr>
        <w:t> </w:t>
      </w:r>
      <w:r>
        <w:rPr/>
        <w:t>in</w:t>
      </w:r>
      <w:r>
        <w:rPr>
          <w:spacing w:val="-3"/>
        </w:rPr>
        <w:t> </w:t>
      </w:r>
      <w:r>
        <w:rPr/>
        <w:t>the</w:t>
      </w:r>
      <w:r>
        <w:rPr>
          <w:spacing w:val="-1"/>
        </w:rPr>
        <w:t> </w:t>
      </w:r>
      <w:r>
        <w:rPr/>
        <w:t>which</w:t>
      </w:r>
      <w:r>
        <w:rPr>
          <w:spacing w:val="-5"/>
        </w:rPr>
        <w:t> </w:t>
      </w:r>
      <w:r>
        <w:rPr/>
        <w:t>they</w:t>
      </w:r>
      <w:r>
        <w:rPr>
          <w:spacing w:val="-5"/>
        </w:rPr>
        <w:t> </w:t>
      </w:r>
      <w:r>
        <w:rPr/>
        <w:t>live.</w:t>
      </w:r>
      <w:r>
        <w:rPr>
          <w:spacing w:val="-5"/>
        </w:rPr>
        <w:t> </w:t>
      </w:r>
      <w:r>
        <w:rPr/>
        <w:t>Taking</w:t>
      </w:r>
      <w:r>
        <w:rPr>
          <w:spacing w:val="-3"/>
        </w:rPr>
        <w:t> </w:t>
      </w:r>
      <w:r>
        <w:rPr/>
        <w:t>place in</w:t>
      </w:r>
      <w:r>
        <w:rPr>
          <w:spacing w:val="21"/>
        </w:rPr>
        <w:t> </w:t>
      </w:r>
      <w:r>
        <w:rPr/>
        <w:t>the</w:t>
      </w:r>
      <w:r>
        <w:rPr>
          <w:spacing w:val="23"/>
        </w:rPr>
        <w:t> </w:t>
      </w:r>
      <w:r>
        <w:rPr/>
        <w:t>epoch</w:t>
      </w:r>
      <w:r>
        <w:rPr>
          <w:spacing w:val="21"/>
        </w:rPr>
        <w:t> </w:t>
      </w:r>
      <w:r>
        <w:rPr/>
        <w:t>of strict</w:t>
      </w:r>
      <w:r>
        <w:rPr>
          <w:spacing w:val="21"/>
        </w:rPr>
        <w:t> </w:t>
      </w:r>
      <w:r>
        <w:rPr/>
        <w:t>patriarchal</w:t>
      </w:r>
      <w:r>
        <w:rPr>
          <w:spacing w:val="23"/>
        </w:rPr>
        <w:t> </w:t>
      </w:r>
      <w:r>
        <w:rPr/>
        <w:t>normas</w:t>
      </w:r>
      <w:r>
        <w:rPr>
          <w:spacing w:val="21"/>
        </w:rPr>
        <w:t> </w:t>
      </w:r>
      <w:r>
        <w:rPr/>
        <w:t>and</w:t>
      </w:r>
      <w:r>
        <w:rPr>
          <w:spacing w:val="25"/>
        </w:rPr>
        <w:t> </w:t>
      </w:r>
      <w:r>
        <w:rPr/>
        <w:t>hierarchies,</w:t>
      </w:r>
      <w:r>
        <w:rPr>
          <w:spacing w:val="23"/>
        </w:rPr>
        <w:t> </w:t>
      </w:r>
      <w:r>
        <w:rPr/>
        <w:t>shakespeare is</w:t>
      </w:r>
      <w:r>
        <w:rPr>
          <w:spacing w:val="-4"/>
        </w:rPr>
        <w:t> </w:t>
      </w:r>
      <w:r>
        <w:rPr/>
        <w:t>characterized</w:t>
      </w:r>
      <w:r>
        <w:rPr>
          <w:spacing w:val="-2"/>
        </w:rPr>
        <w:t> </w:t>
      </w:r>
      <w:r>
        <w:rPr/>
        <w:t>in</w:t>
      </w:r>
      <w:r>
        <w:rPr>
          <w:spacing w:val="-4"/>
        </w:rPr>
        <w:t> </w:t>
      </w:r>
      <w:r>
        <w:rPr/>
        <w:t>place</w:t>
      </w:r>
      <w:r>
        <w:rPr>
          <w:spacing w:val="-4"/>
        </w:rPr>
        <w:t> </w:t>
      </w:r>
      <w:r>
        <w:rPr/>
        <w:t>as</w:t>
      </w:r>
      <w:r>
        <w:rPr>
          <w:spacing w:val="-4"/>
        </w:rPr>
        <w:t> </w:t>
      </w:r>
      <w:r>
        <w:rPr/>
        <w:t>an</w:t>
      </w:r>
      <w:r>
        <w:rPr>
          <w:spacing w:val="-6"/>
        </w:rPr>
        <w:t> </w:t>
      </w:r>
      <w:r>
        <w:rPr/>
        <w:t>exceptionally</w:t>
      </w:r>
      <w:r>
        <w:rPr>
          <w:spacing w:val="-6"/>
        </w:rPr>
        <w:t> </w:t>
      </w:r>
      <w:r>
        <w:rPr/>
        <w:t>subtle</w:t>
      </w:r>
      <w:r>
        <w:rPr>
          <w:spacing w:val="-3"/>
        </w:rPr>
        <w:t> </w:t>
      </w:r>
      <w:r>
        <w:rPr/>
        <w:t>reflection</w:t>
      </w:r>
      <w:r>
        <w:rPr>
          <w:spacing w:val="-4"/>
        </w:rPr>
        <w:t> </w:t>
      </w:r>
      <w:r>
        <w:rPr/>
        <w:t>of</w:t>
      </w:r>
      <w:r>
        <w:rPr>
          <w:spacing w:val="-4"/>
        </w:rPr>
        <w:t> </w:t>
      </w:r>
      <w:r>
        <w:rPr/>
        <w:t>how</w:t>
      </w:r>
      <w:r>
        <w:rPr>
          <w:spacing w:val="-6"/>
        </w:rPr>
        <w:t> </w:t>
      </w:r>
      <w:r>
        <w:rPr/>
        <w:t>the role of gender affects, disputes and tends to mis represents the use of power. The tragic aspect of his works is not only created office work</w:t>
      </w:r>
      <w:r>
        <w:rPr>
          <w:spacing w:val="40"/>
        </w:rPr>
        <w:t> </w:t>
      </w:r>
      <w:r>
        <w:rPr/>
        <w:t>the by the fate or flaws of characters but also the restrictions and expectations</w:t>
      </w:r>
      <w:r>
        <w:rPr>
          <w:spacing w:val="40"/>
        </w:rPr>
        <w:t> </w:t>
      </w:r>
      <w:r>
        <w:rPr/>
        <w:t>of</w:t>
      </w:r>
      <w:r>
        <w:rPr>
          <w:spacing w:val="40"/>
        </w:rPr>
        <w:t> </w:t>
      </w:r>
      <w:r>
        <w:rPr/>
        <w:t>gender</w:t>
      </w:r>
      <w:r>
        <w:rPr>
          <w:spacing w:val="40"/>
        </w:rPr>
        <w:t> </w:t>
      </w:r>
      <w:r>
        <w:rPr/>
        <w:t>identities.</w:t>
      </w:r>
    </w:p>
    <w:p>
      <w:pPr>
        <w:pStyle w:val="BodyText"/>
        <w:spacing w:line="249" w:lineRule="auto" w:before="69"/>
        <w:ind w:right="1435" w:firstLine="432"/>
        <w:jc w:val="both"/>
      </w:pPr>
      <w:r>
        <w:rPr/>
        <w:t>Elizabethan and Jacobean societies used to be and highly patriarchal</w:t>
      </w:r>
      <w:r>
        <w:rPr>
          <w:spacing w:val="-3"/>
        </w:rPr>
        <w:t> </w:t>
      </w:r>
      <w:r>
        <w:rPr/>
        <w:t>and</w:t>
      </w:r>
      <w:r>
        <w:rPr>
          <w:spacing w:val="-2"/>
        </w:rPr>
        <w:t> </w:t>
      </w:r>
      <w:r>
        <w:rPr/>
        <w:t>Shakespeare</w:t>
      </w:r>
      <w:r>
        <w:rPr>
          <w:spacing w:val="-3"/>
        </w:rPr>
        <w:t> </w:t>
      </w:r>
      <w:r>
        <w:rPr/>
        <w:t>lived</w:t>
      </w:r>
      <w:r>
        <w:rPr>
          <w:spacing w:val="-2"/>
        </w:rPr>
        <w:t> </w:t>
      </w:r>
      <w:r>
        <w:rPr/>
        <w:t>in</w:t>
      </w:r>
      <w:r>
        <w:rPr>
          <w:spacing w:val="-4"/>
        </w:rPr>
        <w:t> </w:t>
      </w:r>
      <w:r>
        <w:rPr/>
        <w:t>the</w:t>
      </w:r>
      <w:r>
        <w:rPr>
          <w:spacing w:val="-5"/>
        </w:rPr>
        <w:t> </w:t>
      </w:r>
      <w:r>
        <w:rPr/>
        <w:t>time</w:t>
      </w:r>
      <w:r>
        <w:rPr>
          <w:spacing w:val="-1"/>
        </w:rPr>
        <w:t> </w:t>
      </w:r>
      <w:r>
        <w:rPr/>
        <w:t>when</w:t>
      </w:r>
      <w:r>
        <w:rPr>
          <w:spacing w:val="-4"/>
        </w:rPr>
        <w:t> </w:t>
      </w:r>
      <w:r>
        <w:rPr/>
        <w:t>the</w:t>
      </w:r>
      <w:r>
        <w:rPr>
          <w:spacing w:val="-4"/>
        </w:rPr>
        <w:t> </w:t>
      </w:r>
      <w:r>
        <w:rPr/>
        <w:t>male</w:t>
      </w:r>
      <w:r>
        <w:rPr>
          <w:spacing w:val="-3"/>
        </w:rPr>
        <w:t> </w:t>
      </w:r>
      <w:r>
        <w:rPr/>
        <w:t>and female gender and behavioral norms were highly defined. Men were be wee meant to be strong, reasonable and authoritative, whereas women were only</w:t>
      </w:r>
      <w:r>
        <w:rPr>
          <w:spacing w:val="40"/>
        </w:rPr>
        <w:t> </w:t>
      </w:r>
      <w:r>
        <w:rPr/>
        <w:t>subjected</w:t>
      </w:r>
      <w:r>
        <w:rPr>
          <w:spacing w:val="40"/>
        </w:rPr>
        <w:t> </w:t>
      </w:r>
      <w:r>
        <w:rPr/>
        <w:t>to</w:t>
      </w:r>
      <w:r>
        <w:rPr>
          <w:spacing w:val="40"/>
        </w:rPr>
        <w:t> </w:t>
      </w:r>
      <w:r>
        <w:rPr/>
        <w:t>virtuousness,</w:t>
      </w:r>
      <w:r>
        <w:rPr>
          <w:spacing w:val="40"/>
        </w:rPr>
        <w:t> </w:t>
      </w:r>
      <w:r>
        <w:rPr/>
        <w:t>submissiveness</w:t>
      </w:r>
      <w:r>
        <w:rPr>
          <w:spacing w:val="40"/>
        </w:rPr>
        <w:t> </w:t>
      </w:r>
      <w:r>
        <w:rPr/>
        <w:t>and</w:t>
      </w:r>
      <w:r>
        <w:rPr>
          <w:spacing w:val="40"/>
        </w:rPr>
        <w:t> </w:t>
      </w:r>
      <w:r>
        <w:rPr/>
        <w:t>silence</w:t>
      </w:r>
      <w:r>
        <w:rPr>
          <w:spacing w:val="40"/>
        </w:rPr>
        <w:t> </w:t>
      </w:r>
      <w:r>
        <w:rPr/>
        <w:t>ideals.</w:t>
      </w:r>
    </w:p>
    <w:p>
      <w:pPr>
        <w:pStyle w:val="BodyText"/>
        <w:spacing w:line="249" w:lineRule="auto" w:before="62"/>
        <w:ind w:right="1440" w:firstLine="432"/>
        <w:jc w:val="both"/>
      </w:pPr>
      <w:r>
        <w:rPr/>
        <w:t>An example of this in Macbeth where Lady Macbeth manipulates her husband and calls her self unsexed and this implies that she is consciously</w:t>
      </w:r>
      <w:r>
        <w:rPr>
          <w:spacing w:val="-3"/>
        </w:rPr>
        <w:t> </w:t>
      </w:r>
      <w:r>
        <w:rPr/>
        <w:t>embracing</w:t>
      </w:r>
      <w:r>
        <w:rPr>
          <w:spacing w:val="-2"/>
        </w:rPr>
        <w:t> </w:t>
      </w:r>
      <w:r>
        <w:rPr/>
        <w:t>feminine</w:t>
      </w:r>
      <w:r>
        <w:rPr>
          <w:spacing w:val="-3"/>
        </w:rPr>
        <w:t> </w:t>
      </w:r>
      <w:r>
        <w:rPr/>
        <w:t>passivity</w:t>
      </w:r>
      <w:r>
        <w:rPr>
          <w:spacing w:val="-3"/>
        </w:rPr>
        <w:t> </w:t>
      </w:r>
      <w:r>
        <w:rPr/>
        <w:t>in</w:t>
      </w:r>
      <w:r>
        <w:rPr>
          <w:spacing w:val="-2"/>
        </w:rPr>
        <w:t> </w:t>
      </w:r>
      <w:r>
        <w:rPr/>
        <w:t>order to</w:t>
      </w:r>
      <w:r>
        <w:rPr>
          <w:spacing w:val="-3"/>
        </w:rPr>
        <w:t> </w:t>
      </w:r>
      <w:r>
        <w:rPr/>
        <w:t>gain</w:t>
      </w:r>
      <w:r>
        <w:rPr>
          <w:spacing w:val="-2"/>
        </w:rPr>
        <w:t> </w:t>
      </w:r>
      <w:r>
        <w:rPr/>
        <w:t>ambition</w:t>
      </w:r>
      <w:r>
        <w:rPr>
          <w:spacing w:val="-3"/>
        </w:rPr>
        <w:t> </w:t>
      </w:r>
      <w:r>
        <w:rPr/>
        <w:t>and </w:t>
      </w:r>
      <w:r>
        <w:rPr>
          <w:spacing w:val="-2"/>
        </w:rPr>
        <w:t>power.</w:t>
      </w:r>
    </w:p>
    <w:p>
      <w:pPr>
        <w:pStyle w:val="BodyText"/>
        <w:spacing w:line="249" w:lineRule="auto" w:before="60"/>
        <w:ind w:right="1437" w:firstLine="432"/>
        <w:jc w:val="both"/>
      </w:pPr>
      <w:r>
        <w:rPr/>
        <w:t>Shakespeare’s plays have always captivated historians and audiences</w:t>
      </w:r>
      <w:r>
        <w:rPr>
          <w:spacing w:val="-1"/>
        </w:rPr>
        <w:t> </w:t>
      </w:r>
      <w:r>
        <w:rPr/>
        <w:t>owing to their intricate</w:t>
      </w:r>
      <w:r>
        <w:rPr>
          <w:spacing w:val="-1"/>
        </w:rPr>
        <w:t> </w:t>
      </w:r>
      <w:r>
        <w:rPr/>
        <w:t>examination of</w:t>
      </w:r>
      <w:r>
        <w:rPr>
          <w:spacing w:val="-1"/>
        </w:rPr>
        <w:t> </w:t>
      </w:r>
      <w:r>
        <w:rPr/>
        <w:t>topics particularly</w:t>
      </w:r>
      <w:r>
        <w:rPr>
          <w:spacing w:val="-3"/>
        </w:rPr>
        <w:t> </w:t>
      </w:r>
      <w:r>
        <w:rPr/>
        <w:t>the interplay</w:t>
      </w:r>
      <w:r>
        <w:rPr>
          <w:spacing w:val="-10"/>
        </w:rPr>
        <w:t> </w:t>
      </w:r>
      <w:r>
        <w:rPr/>
        <w:t>between</w:t>
      </w:r>
      <w:r>
        <w:rPr>
          <w:spacing w:val="-8"/>
        </w:rPr>
        <w:t> </w:t>
      </w:r>
      <w:r>
        <w:rPr/>
        <w:t>gender</w:t>
      </w:r>
      <w:r>
        <w:rPr>
          <w:spacing w:val="-6"/>
        </w:rPr>
        <w:t> </w:t>
      </w:r>
      <w:r>
        <w:rPr/>
        <w:t>and</w:t>
      </w:r>
      <w:r>
        <w:rPr>
          <w:spacing w:val="-6"/>
        </w:rPr>
        <w:t> </w:t>
      </w:r>
      <w:r>
        <w:rPr/>
        <w:t>power.</w:t>
      </w:r>
      <w:r>
        <w:rPr>
          <w:spacing w:val="-10"/>
        </w:rPr>
        <w:t> </w:t>
      </w:r>
      <w:r>
        <w:rPr/>
        <w:t>The</w:t>
      </w:r>
      <w:r>
        <w:rPr>
          <w:spacing w:val="-7"/>
        </w:rPr>
        <w:t> </w:t>
      </w:r>
      <w:r>
        <w:rPr/>
        <w:t>examination</w:t>
      </w:r>
      <w:r>
        <w:rPr>
          <w:spacing w:val="-8"/>
        </w:rPr>
        <w:t> </w:t>
      </w:r>
      <w:r>
        <w:rPr/>
        <w:t>of</w:t>
      </w:r>
      <w:r>
        <w:rPr>
          <w:spacing w:val="-8"/>
        </w:rPr>
        <w:t> </w:t>
      </w:r>
      <w:r>
        <w:rPr/>
        <w:t>gender</w:t>
      </w:r>
      <w:r>
        <w:rPr>
          <w:spacing w:val="-6"/>
        </w:rPr>
        <w:t> </w:t>
      </w:r>
      <w:r>
        <w:rPr/>
        <w:t>themes in Shakespeare throughout the last twenty five years has, unavoidably </w:t>
      </w:r>
      <w:r>
        <w:rPr>
          <w:spacing w:val="-2"/>
        </w:rPr>
        <w:t>been</w:t>
      </w:r>
      <w:r>
        <w:rPr>
          <w:spacing w:val="-11"/>
        </w:rPr>
        <w:t> </w:t>
      </w:r>
      <w:r>
        <w:rPr>
          <w:spacing w:val="-2"/>
        </w:rPr>
        <w:t>primarily</w:t>
      </w:r>
      <w:r>
        <w:rPr>
          <w:spacing w:val="-10"/>
        </w:rPr>
        <w:t> </w:t>
      </w:r>
      <w:r>
        <w:rPr>
          <w:spacing w:val="-2"/>
        </w:rPr>
        <w:t>influenced</w:t>
      </w:r>
      <w:r>
        <w:rPr>
          <w:spacing w:val="-11"/>
        </w:rPr>
        <w:t> </w:t>
      </w:r>
      <w:r>
        <w:rPr>
          <w:spacing w:val="-2"/>
        </w:rPr>
        <w:t>by</w:t>
      </w:r>
      <w:r>
        <w:rPr>
          <w:spacing w:val="-10"/>
        </w:rPr>
        <w:t> </w:t>
      </w:r>
      <w:r>
        <w:rPr>
          <w:spacing w:val="-2"/>
        </w:rPr>
        <w:t>feminist</w:t>
      </w:r>
      <w:r>
        <w:rPr>
          <w:spacing w:val="-11"/>
        </w:rPr>
        <w:t> </w:t>
      </w:r>
      <w:r>
        <w:rPr>
          <w:spacing w:val="-2"/>
        </w:rPr>
        <w:t>scholars.</w:t>
      </w:r>
      <w:r>
        <w:rPr>
          <w:spacing w:val="-10"/>
        </w:rPr>
        <w:t> </w:t>
      </w:r>
      <w:r>
        <w:rPr>
          <w:spacing w:val="-2"/>
        </w:rPr>
        <w:t>These</w:t>
      </w:r>
      <w:r>
        <w:rPr>
          <w:spacing w:val="-11"/>
        </w:rPr>
        <w:t> </w:t>
      </w:r>
      <w:r>
        <w:rPr>
          <w:spacing w:val="-2"/>
        </w:rPr>
        <w:t>critics</w:t>
      </w:r>
      <w:r>
        <w:rPr>
          <w:spacing w:val="-10"/>
        </w:rPr>
        <w:t> </w:t>
      </w:r>
      <w:r>
        <w:rPr>
          <w:spacing w:val="-2"/>
        </w:rPr>
        <w:t>have</w:t>
      </w:r>
      <w:r>
        <w:rPr>
          <w:spacing w:val="-11"/>
        </w:rPr>
        <w:t> </w:t>
      </w:r>
      <w:r>
        <w:rPr>
          <w:spacing w:val="-2"/>
        </w:rPr>
        <w:t>initiated </w:t>
      </w:r>
      <w:r>
        <w:rPr/>
        <w:t>a</w:t>
      </w:r>
      <w:r>
        <w:rPr>
          <w:spacing w:val="-13"/>
        </w:rPr>
        <w:t> </w:t>
      </w:r>
      <w:r>
        <w:rPr/>
        <w:t>significant</w:t>
      </w:r>
      <w:r>
        <w:rPr>
          <w:spacing w:val="-11"/>
        </w:rPr>
        <w:t> </w:t>
      </w:r>
      <w:r>
        <w:rPr/>
        <w:t>reevaluation</w:t>
      </w:r>
      <w:r>
        <w:rPr>
          <w:spacing w:val="-12"/>
        </w:rPr>
        <w:t> </w:t>
      </w:r>
      <w:r>
        <w:rPr/>
        <w:t>of</w:t>
      </w:r>
      <w:r>
        <w:rPr>
          <w:spacing w:val="-13"/>
        </w:rPr>
        <w:t> </w:t>
      </w:r>
      <w:r>
        <w:rPr/>
        <w:t>women’s</w:t>
      </w:r>
      <w:r>
        <w:rPr>
          <w:spacing w:val="-10"/>
        </w:rPr>
        <w:t> </w:t>
      </w:r>
      <w:r>
        <w:rPr/>
        <w:t>lives</w:t>
      </w:r>
      <w:r>
        <w:rPr>
          <w:spacing w:val="-13"/>
        </w:rPr>
        <w:t> </w:t>
      </w:r>
      <w:r>
        <w:rPr/>
        <w:t>and</w:t>
      </w:r>
      <w:r>
        <w:rPr>
          <w:spacing w:val="-10"/>
        </w:rPr>
        <w:t> </w:t>
      </w:r>
      <w:r>
        <w:rPr/>
        <w:t>identities</w:t>
      </w:r>
      <w:r>
        <w:rPr>
          <w:spacing w:val="-11"/>
        </w:rPr>
        <w:t> </w:t>
      </w:r>
      <w:r>
        <w:rPr/>
        <w:t>extending</w:t>
      </w:r>
      <w:r>
        <w:rPr>
          <w:spacing w:val="-12"/>
        </w:rPr>
        <w:t> </w:t>
      </w:r>
      <w:r>
        <w:rPr/>
        <w:t>their study to Shakespearés works as early as 1975, as articulated by Juliet </w:t>
      </w:r>
      <w:r>
        <w:rPr>
          <w:spacing w:val="-2"/>
        </w:rPr>
        <w:t>Dusinberre.</w:t>
      </w:r>
    </w:p>
    <w:p>
      <w:pPr>
        <w:pStyle w:val="BodyText"/>
        <w:spacing w:line="249" w:lineRule="auto" w:before="65"/>
        <w:ind w:right="1438" w:firstLine="432"/>
        <w:jc w:val="both"/>
      </w:pPr>
      <w:r>
        <w:rPr/>
        <w:t>Dusinberre’s work challenged the foundations of “male” literary research</w:t>
      </w:r>
      <w:r>
        <w:rPr>
          <w:spacing w:val="15"/>
        </w:rPr>
        <w:t> </w:t>
      </w:r>
      <w:r>
        <w:rPr/>
        <w:t>and</w:t>
      </w:r>
      <w:r>
        <w:rPr>
          <w:spacing w:val="15"/>
        </w:rPr>
        <w:t> </w:t>
      </w:r>
      <w:r>
        <w:rPr/>
        <w:t>affirmed</w:t>
      </w:r>
      <w:r>
        <w:rPr>
          <w:spacing w:val="16"/>
        </w:rPr>
        <w:t> </w:t>
      </w:r>
      <w:r>
        <w:rPr/>
        <w:t>womens</w:t>
      </w:r>
      <w:r>
        <w:rPr>
          <w:spacing w:val="17"/>
        </w:rPr>
        <w:t> </w:t>
      </w:r>
      <w:r>
        <w:rPr/>
        <w:t>entitlement</w:t>
      </w:r>
      <w:r>
        <w:rPr>
          <w:spacing w:val="13"/>
        </w:rPr>
        <w:t> </w:t>
      </w:r>
      <w:r>
        <w:rPr/>
        <w:t>to</w:t>
      </w:r>
      <w:r>
        <w:rPr>
          <w:spacing w:val="17"/>
        </w:rPr>
        <w:t> </w:t>
      </w:r>
      <w:r>
        <w:rPr/>
        <w:t>co-own</w:t>
      </w:r>
      <w:r>
        <w:rPr>
          <w:spacing w:val="15"/>
        </w:rPr>
        <w:t> </w:t>
      </w:r>
      <w:r>
        <w:rPr/>
        <w:t>the</w:t>
      </w:r>
      <w:r>
        <w:rPr>
          <w:spacing w:val="16"/>
        </w:rPr>
        <w:t> </w:t>
      </w:r>
      <w:r>
        <w:rPr/>
        <w:t>literary</w:t>
      </w:r>
      <w:r>
        <w:rPr>
          <w:spacing w:val="12"/>
        </w:rPr>
        <w:t> </w:t>
      </w:r>
      <w:r>
        <w:rPr>
          <w:spacing w:val="-2"/>
        </w:rPr>
        <w:t>text,</w:t>
      </w:r>
    </w:p>
    <w:p>
      <w:pPr>
        <w:pStyle w:val="BodyText"/>
        <w:spacing w:after="0" w:line="249" w:lineRule="auto"/>
        <w:jc w:val="both"/>
        <w:sectPr>
          <w:type w:val="continuous"/>
          <w:pgSz w:w="12240" w:h="15840"/>
          <w:pgMar w:top="1380" w:bottom="280" w:left="1800" w:right="1800"/>
        </w:sectPr>
      </w:pPr>
    </w:p>
    <w:p>
      <w:pPr>
        <w:tabs>
          <w:tab w:pos="7192"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72672">
                <wp:simplePos x="0" y="0"/>
                <wp:positionH relativeFrom="page">
                  <wp:posOffset>2065020</wp:posOffset>
                </wp:positionH>
                <wp:positionV relativeFrom="paragraph">
                  <wp:posOffset>795020</wp:posOffset>
                </wp:positionV>
                <wp:extent cx="3657600" cy="12700"/>
                <wp:effectExtent l="0" t="0" r="0" b="0"/>
                <wp:wrapTopAndBottom/>
                <wp:docPr id="523" name="Graphic 523"/>
                <wp:cNvGraphicFramePr>
                  <a:graphicFrameLocks/>
                </wp:cNvGraphicFramePr>
                <a:graphic>
                  <a:graphicData uri="http://schemas.microsoft.com/office/word/2010/wordprocessingShape">
                    <wps:wsp>
                      <wps:cNvPr id="523" name="Graphic 52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43808;mso-wrap-distance-left:0;mso-wrap-distance-right:0" id="docshape518" filled="true" fillcolor="#000000" stroked="false">
                <v:fill type="solid"/>
                <w10:wrap type="topAndBottom"/>
              </v:rect>
            </w:pict>
          </mc:Fallback>
        </mc:AlternateContent>
      </w:r>
      <w:r>
        <w:rPr>
          <w:rFonts w:ascii="Verdana" w:hAnsi="Verdana"/>
          <w:sz w:val="18"/>
        </w:rPr>
        <w:t>Gender,</w:t>
      </w:r>
      <w:r>
        <w:rPr>
          <w:rFonts w:ascii="Verdana" w:hAnsi="Verdana"/>
          <w:spacing w:val="5"/>
          <w:sz w:val="18"/>
        </w:rPr>
        <w:t> </w:t>
      </w:r>
      <w:r>
        <w:rPr>
          <w:rFonts w:ascii="Verdana" w:hAnsi="Verdana"/>
          <w:sz w:val="18"/>
        </w:rPr>
        <w:t>Space</w:t>
      </w:r>
      <w:r>
        <w:rPr>
          <w:rFonts w:ascii="Verdana" w:hAnsi="Verdana"/>
          <w:spacing w:val="10"/>
          <w:sz w:val="18"/>
        </w:rPr>
        <w:t> </w:t>
      </w:r>
      <w:r>
        <w:rPr>
          <w:rFonts w:ascii="Verdana" w:hAnsi="Verdana"/>
          <w:sz w:val="18"/>
        </w:rPr>
        <w:t>and</w:t>
      </w:r>
      <w:r>
        <w:rPr>
          <w:rFonts w:ascii="Verdana" w:hAnsi="Verdana"/>
          <w:spacing w:val="5"/>
          <w:sz w:val="18"/>
        </w:rPr>
        <w:t> </w:t>
      </w:r>
      <w:r>
        <w:rPr>
          <w:rFonts w:ascii="Verdana" w:hAnsi="Verdana"/>
          <w:sz w:val="18"/>
        </w:rPr>
        <w:t>Power</w:t>
      </w:r>
      <w:r>
        <w:rPr>
          <w:rFonts w:ascii="Verdana" w:hAnsi="Verdana"/>
          <w:spacing w:val="10"/>
          <w:sz w:val="18"/>
        </w:rPr>
        <w:t> </w:t>
      </w:r>
      <w:r>
        <w:rPr>
          <w:rFonts w:ascii="Verdana" w:hAnsi="Verdana"/>
          <w:sz w:val="18"/>
        </w:rPr>
        <w:t>In</w:t>
      </w:r>
      <w:r>
        <w:rPr>
          <w:rFonts w:ascii="Verdana" w:hAnsi="Verdana"/>
          <w:spacing w:val="6"/>
          <w:sz w:val="18"/>
        </w:rPr>
        <w:t> </w:t>
      </w:r>
      <w:r>
        <w:rPr>
          <w:rFonts w:ascii="Verdana" w:hAnsi="Verdana"/>
          <w:sz w:val="18"/>
        </w:rPr>
        <w:t>Shakespeare’s</w:t>
      </w:r>
      <w:r>
        <w:rPr>
          <w:rFonts w:ascii="Verdana" w:hAnsi="Verdana"/>
          <w:spacing w:val="8"/>
          <w:sz w:val="18"/>
        </w:rPr>
        <w:t> </w:t>
      </w:r>
      <w:r>
        <w:rPr>
          <w:rFonts w:ascii="Verdana" w:hAnsi="Verdana"/>
          <w:spacing w:val="-4"/>
          <w:sz w:val="18"/>
        </w:rPr>
        <w:t>Plays</w:t>
      </w:r>
      <w:r>
        <w:rPr>
          <w:sz w:val="18"/>
        </w:rPr>
        <w:tab/>
      </w:r>
      <w:r>
        <w:rPr>
          <w:rFonts w:ascii="Verdana" w:hAnsi="Verdana"/>
          <w:spacing w:val="-5"/>
          <w:sz w:val="18"/>
        </w:rPr>
        <w:t>243</w:t>
      </w:r>
    </w:p>
    <w:p>
      <w:pPr>
        <w:pStyle w:val="BodyText"/>
        <w:spacing w:line="249" w:lineRule="auto" w:before="192"/>
        <w:ind w:right="1443"/>
        <w:jc w:val="both"/>
      </w:pPr>
      <w:r>
        <w:rPr/>
        <w:t>interpret it from a personal view point, pose their own Inquiries and express an authoritative Critical Voice.</w:t>
      </w:r>
    </w:p>
    <w:p>
      <w:pPr>
        <w:pStyle w:val="BodyText"/>
        <w:spacing w:line="249" w:lineRule="auto" w:before="59"/>
        <w:ind w:right="1441" w:firstLine="432"/>
        <w:jc w:val="both"/>
      </w:pPr>
      <w:r>
        <w:rPr/>
        <w:t>In a comparable manner in othello, the conflict between female virtue</w:t>
      </w:r>
      <w:r>
        <w:rPr>
          <w:spacing w:val="-8"/>
        </w:rPr>
        <w:t> </w:t>
      </w:r>
      <w:r>
        <w:rPr/>
        <w:t>and</w:t>
      </w:r>
      <w:r>
        <w:rPr>
          <w:spacing w:val="-7"/>
        </w:rPr>
        <w:t> </w:t>
      </w:r>
      <w:r>
        <w:rPr/>
        <w:t>male</w:t>
      </w:r>
      <w:r>
        <w:rPr>
          <w:spacing w:val="-8"/>
        </w:rPr>
        <w:t> </w:t>
      </w:r>
      <w:r>
        <w:rPr/>
        <w:t>honor</w:t>
      </w:r>
      <w:r>
        <w:rPr>
          <w:spacing w:val="-8"/>
        </w:rPr>
        <w:t> </w:t>
      </w:r>
      <w:r>
        <w:rPr/>
        <w:t>is</w:t>
      </w:r>
      <w:r>
        <w:rPr>
          <w:spacing w:val="-8"/>
        </w:rPr>
        <w:t> </w:t>
      </w:r>
      <w:r>
        <w:rPr/>
        <w:t>the</w:t>
      </w:r>
      <w:r>
        <w:rPr>
          <w:spacing w:val="-8"/>
        </w:rPr>
        <w:t> </w:t>
      </w:r>
      <w:r>
        <w:rPr/>
        <w:t>force</w:t>
      </w:r>
      <w:r>
        <w:rPr>
          <w:spacing w:val="-8"/>
        </w:rPr>
        <w:t> </w:t>
      </w:r>
      <w:r>
        <w:rPr/>
        <w:t>behind</w:t>
      </w:r>
      <w:r>
        <w:rPr>
          <w:spacing w:val="-8"/>
        </w:rPr>
        <w:t> </w:t>
      </w:r>
      <w:r>
        <w:rPr/>
        <w:t>the</w:t>
      </w:r>
      <w:r>
        <w:rPr>
          <w:spacing w:val="-8"/>
        </w:rPr>
        <w:t> </w:t>
      </w:r>
      <w:r>
        <w:rPr/>
        <w:t>tragedy</w:t>
      </w:r>
      <w:r>
        <w:rPr>
          <w:spacing w:val="-12"/>
        </w:rPr>
        <w:t> </w:t>
      </w:r>
      <w:r>
        <w:rPr/>
        <w:t>.The</w:t>
      </w:r>
      <w:r>
        <w:rPr>
          <w:spacing w:val="-8"/>
        </w:rPr>
        <w:t> </w:t>
      </w:r>
      <w:r>
        <w:rPr/>
        <w:t>fear</w:t>
      </w:r>
      <w:r>
        <w:rPr>
          <w:spacing w:val="-7"/>
        </w:rPr>
        <w:t> </w:t>
      </w:r>
      <w:r>
        <w:rPr/>
        <w:t>of</w:t>
      </w:r>
      <w:r>
        <w:rPr>
          <w:spacing w:val="-8"/>
        </w:rPr>
        <w:t> </w:t>
      </w:r>
      <w:r>
        <w:rPr/>
        <w:t>female autonomy in patriarchy can be interpreted as Othello being processed possessed by the need to control and his reputation. The struggle and rebellion of Desdemona and reveal the weakness male authoritys and the fact that in the presence of jealousy and in security, love turns into ownership</w:t>
      </w:r>
      <w:r>
        <w:rPr>
          <w:spacing w:val="40"/>
        </w:rPr>
        <w:t> </w:t>
      </w:r>
      <w:r>
        <w:rPr/>
        <w:t>.</w:t>
      </w:r>
    </w:p>
    <w:p>
      <w:pPr>
        <w:pStyle w:val="BodyText"/>
        <w:spacing w:line="254" w:lineRule="auto" w:before="66"/>
        <w:ind w:right="1437" w:firstLine="432"/>
        <w:jc w:val="both"/>
      </w:pPr>
      <w:r>
        <w:rPr/>
        <w:t>In the King Lear, Gender is a perspective is a of testing filial relasationship and authority. The fact that lear fails to understand Cordelia her silence to understand cordelia and her silence about her might as well as the fact that Goneril and Regan can be manipulated proves how profound this gender expectation is his down fall .A </w:t>
      </w:r>
      <w:r>
        <w:rPr>
          <w:spacing w:val="-2"/>
        </w:rPr>
        <w:t>significant</w:t>
      </w:r>
      <w:r>
        <w:rPr>
          <w:spacing w:val="-10"/>
        </w:rPr>
        <w:t> </w:t>
      </w:r>
      <w:r>
        <w:rPr>
          <w:spacing w:val="-2"/>
        </w:rPr>
        <w:t>element</w:t>
      </w:r>
      <w:r>
        <w:rPr>
          <w:spacing w:val="-10"/>
        </w:rPr>
        <w:t> </w:t>
      </w:r>
      <w:r>
        <w:rPr>
          <w:spacing w:val="-2"/>
        </w:rPr>
        <w:t>of</w:t>
      </w:r>
      <w:r>
        <w:rPr>
          <w:spacing w:val="-8"/>
        </w:rPr>
        <w:t> </w:t>
      </w:r>
      <w:r>
        <w:rPr>
          <w:spacing w:val="-2"/>
        </w:rPr>
        <w:t>power</w:t>
      </w:r>
      <w:r>
        <w:rPr>
          <w:spacing w:val="-8"/>
        </w:rPr>
        <w:t> </w:t>
      </w:r>
      <w:r>
        <w:rPr>
          <w:spacing w:val="-2"/>
        </w:rPr>
        <w:t>in</w:t>
      </w:r>
      <w:r>
        <w:rPr>
          <w:spacing w:val="-8"/>
        </w:rPr>
        <w:t> </w:t>
      </w:r>
      <w:r>
        <w:rPr>
          <w:spacing w:val="-2"/>
        </w:rPr>
        <w:t>Shakespeares</w:t>
      </w:r>
      <w:r>
        <w:rPr>
          <w:spacing w:val="-11"/>
        </w:rPr>
        <w:t> </w:t>
      </w:r>
      <w:r>
        <w:rPr>
          <w:spacing w:val="-2"/>
        </w:rPr>
        <w:t>plays</w:t>
      </w:r>
      <w:r>
        <w:rPr>
          <w:spacing w:val="-8"/>
        </w:rPr>
        <w:t> </w:t>
      </w:r>
      <w:r>
        <w:rPr>
          <w:spacing w:val="-2"/>
        </w:rPr>
        <w:t>is</w:t>
      </w:r>
      <w:r>
        <w:rPr>
          <w:spacing w:val="-8"/>
        </w:rPr>
        <w:t> </w:t>
      </w:r>
      <w:r>
        <w:rPr>
          <w:spacing w:val="-2"/>
        </w:rPr>
        <w:t>the</w:t>
      </w:r>
      <w:r>
        <w:rPr>
          <w:spacing w:val="-6"/>
        </w:rPr>
        <w:t> </w:t>
      </w:r>
      <w:r>
        <w:rPr>
          <w:spacing w:val="-2"/>
        </w:rPr>
        <w:t>use</w:t>
      </w:r>
      <w:r>
        <w:rPr>
          <w:spacing w:val="-8"/>
        </w:rPr>
        <w:t> </w:t>
      </w:r>
      <w:r>
        <w:rPr>
          <w:spacing w:val="-2"/>
        </w:rPr>
        <w:t>of</w:t>
      </w:r>
      <w:r>
        <w:rPr>
          <w:spacing w:val="-8"/>
        </w:rPr>
        <w:t> </w:t>
      </w:r>
      <w:r>
        <w:rPr>
          <w:spacing w:val="-2"/>
        </w:rPr>
        <w:t>sovereign </w:t>
      </w:r>
      <w:r>
        <w:rPr/>
        <w:t>violence by select persons to acquire or Sustain authority .These examples of Sovereign aggression Underscore Shakespeare’s in sights about Power dynamics and</w:t>
      </w:r>
      <w:r>
        <w:rPr>
          <w:spacing w:val="40"/>
        </w:rPr>
        <w:t> </w:t>
      </w:r>
      <w:r>
        <w:rPr/>
        <w:t>the extreme</w:t>
      </w:r>
    </w:p>
    <w:p>
      <w:pPr>
        <w:pStyle w:val="BodyText"/>
        <w:spacing w:line="254" w:lineRule="auto" w:before="60"/>
        <w:ind w:right="1440" w:firstLine="432"/>
        <w:jc w:val="both"/>
      </w:pPr>
      <w:r>
        <w:rPr/>
        <w:t>individuals may purse to acquire are retain power. Gender roles </w:t>
      </w:r>
      <w:r>
        <w:rPr>
          <w:spacing w:val="-2"/>
        </w:rPr>
        <w:t>and Constructions of Masculinity in Shakespeare’s</w:t>
      </w:r>
      <w:r>
        <w:rPr>
          <w:spacing w:val="-5"/>
        </w:rPr>
        <w:t> </w:t>
      </w:r>
      <w:r>
        <w:rPr>
          <w:spacing w:val="-2"/>
        </w:rPr>
        <w:t>Works Shakespeare’s </w:t>
      </w:r>
      <w:r>
        <w:rPr/>
        <w:t>Plays</w:t>
      </w:r>
      <w:r>
        <w:rPr>
          <w:spacing w:val="18"/>
        </w:rPr>
        <w:t> </w:t>
      </w:r>
      <w:r>
        <w:rPr/>
        <w:t>also</w:t>
      </w:r>
      <w:r>
        <w:rPr>
          <w:spacing w:val="19"/>
        </w:rPr>
        <w:t> </w:t>
      </w:r>
      <w:r>
        <w:rPr/>
        <w:t>examine</w:t>
      </w:r>
      <w:r>
        <w:rPr>
          <w:spacing w:val="20"/>
        </w:rPr>
        <w:t> </w:t>
      </w:r>
      <w:r>
        <w:rPr/>
        <w:t>gender</w:t>
      </w:r>
      <w:r>
        <w:rPr>
          <w:spacing w:val="17"/>
        </w:rPr>
        <w:t> </w:t>
      </w:r>
      <w:r>
        <w:rPr/>
        <w:t>norms</w:t>
      </w:r>
      <w:r>
        <w:rPr>
          <w:spacing w:val="17"/>
        </w:rPr>
        <w:t> </w:t>
      </w:r>
      <w:r>
        <w:rPr/>
        <w:t>are</w:t>
      </w:r>
      <w:r>
        <w:rPr>
          <w:spacing w:val="17"/>
        </w:rPr>
        <w:t> </w:t>
      </w:r>
      <w:r>
        <w:rPr/>
        <w:t>the</w:t>
      </w:r>
      <w:r>
        <w:rPr>
          <w:spacing w:val="17"/>
        </w:rPr>
        <w:t> </w:t>
      </w:r>
      <w:r>
        <w:rPr/>
        <w:t>Conceptions</w:t>
      </w:r>
      <w:r>
        <w:rPr>
          <w:spacing w:val="15"/>
        </w:rPr>
        <w:t> </w:t>
      </w:r>
      <w:r>
        <w:rPr/>
        <w:t>of</w:t>
      </w:r>
      <w:r>
        <w:rPr>
          <w:spacing w:val="17"/>
        </w:rPr>
        <w:t> </w:t>
      </w:r>
      <w:r>
        <w:rPr>
          <w:spacing w:val="-2"/>
        </w:rPr>
        <w:t>Masculinity.</w:t>
      </w:r>
    </w:p>
    <w:p>
      <w:pPr>
        <w:pStyle w:val="Heading3"/>
        <w:spacing w:before="154"/>
        <w:jc w:val="both"/>
      </w:pPr>
      <w:r>
        <w:rPr>
          <w:w w:val="80"/>
        </w:rPr>
        <w:t>LITERATURE</w:t>
      </w:r>
      <w:r>
        <w:rPr>
          <w:spacing w:val="4"/>
        </w:rPr>
        <w:t> </w:t>
      </w:r>
      <w:r>
        <w:rPr>
          <w:spacing w:val="-2"/>
          <w:w w:val="90"/>
        </w:rPr>
        <w:t>REVIEW:</w:t>
      </w:r>
    </w:p>
    <w:p>
      <w:pPr>
        <w:pStyle w:val="BodyText"/>
        <w:spacing w:line="249" w:lineRule="auto" w:before="75"/>
        <w:ind w:right="1437" w:firstLine="432"/>
        <w:jc w:val="both"/>
      </w:pPr>
      <w:r>
        <w:rPr/>
        <w:t>A potent tool for political criticism, early modern theater enabled playwrights to critique governmental systems, power structures, and </w:t>
      </w:r>
      <w:r>
        <w:rPr>
          <w:spacing w:val="-2"/>
        </w:rPr>
        <w:t>social hierarchies while navigating the limitations of censorship. William </w:t>
      </w:r>
      <w:r>
        <w:rPr/>
        <w:t>Shakespeare,</w:t>
      </w:r>
      <w:r>
        <w:rPr>
          <w:spacing w:val="-3"/>
        </w:rPr>
        <w:t> </w:t>
      </w:r>
      <w:r>
        <w:rPr/>
        <w:t>Christopher</w:t>
      </w:r>
      <w:r>
        <w:rPr>
          <w:spacing w:val="-1"/>
        </w:rPr>
        <w:t> </w:t>
      </w:r>
      <w:r>
        <w:rPr/>
        <w:t>Marlowe,</w:t>
      </w:r>
      <w:r>
        <w:rPr>
          <w:spacing w:val="-3"/>
        </w:rPr>
        <w:t> </w:t>
      </w:r>
      <w:r>
        <w:rPr/>
        <w:t>and</w:t>
      </w:r>
      <w:r>
        <w:rPr>
          <w:spacing w:val="-1"/>
        </w:rPr>
        <w:t> </w:t>
      </w:r>
      <w:r>
        <w:rPr/>
        <w:t>Ben</w:t>
      </w:r>
      <w:r>
        <w:rPr>
          <w:spacing w:val="-5"/>
        </w:rPr>
        <w:t> </w:t>
      </w:r>
      <w:r>
        <w:rPr/>
        <w:t>Jonson</w:t>
      </w:r>
      <w:r>
        <w:rPr>
          <w:spacing w:val="-5"/>
        </w:rPr>
        <w:t> </w:t>
      </w:r>
      <w:r>
        <w:rPr/>
        <w:t>were</w:t>
      </w:r>
      <w:r>
        <w:rPr>
          <w:spacing w:val="-4"/>
        </w:rPr>
        <w:t> </w:t>
      </w:r>
      <w:r>
        <w:rPr/>
        <w:t>all</w:t>
      </w:r>
      <w:r>
        <w:rPr>
          <w:spacing w:val="-3"/>
        </w:rPr>
        <w:t> </w:t>
      </w:r>
      <w:r>
        <w:rPr/>
        <w:t>dramatists whose works reflect or question modern political views; this research looks at how they incorporated political discourse into their works via </w:t>
      </w:r>
      <w:r>
        <w:rPr>
          <w:spacing w:val="-2"/>
        </w:rPr>
        <w:t>symbolic representations, historical allegory, and satire.</w:t>
      </w:r>
      <w:r>
        <w:rPr>
          <w:spacing w:val="-5"/>
        </w:rPr>
        <w:t> </w:t>
      </w:r>
      <w:r>
        <w:rPr>
          <w:spacing w:val="-2"/>
        </w:rPr>
        <w:t>Theatrical works </w:t>
      </w:r>
      <w:r>
        <w:rPr/>
        <w:t>like</w:t>
      </w:r>
      <w:r>
        <w:rPr>
          <w:spacing w:val="-2"/>
        </w:rPr>
        <w:t> </w:t>
      </w:r>
      <w:r>
        <w:rPr/>
        <w:t>as</w:t>
      </w:r>
      <w:r>
        <w:rPr>
          <w:spacing w:val="-6"/>
        </w:rPr>
        <w:t> </w:t>
      </w:r>
      <w:r>
        <w:rPr/>
        <w:t>Richard</w:t>
      </w:r>
      <w:r>
        <w:rPr>
          <w:spacing w:val="-2"/>
        </w:rPr>
        <w:t> </w:t>
      </w:r>
      <w:r>
        <w:rPr/>
        <w:t>II,</w:t>
      </w:r>
      <w:r>
        <w:rPr>
          <w:spacing w:val="-2"/>
        </w:rPr>
        <w:t> </w:t>
      </w:r>
      <w:r>
        <w:rPr/>
        <w:t>Edward</w:t>
      </w:r>
      <w:r>
        <w:rPr>
          <w:spacing w:val="-2"/>
        </w:rPr>
        <w:t> </w:t>
      </w:r>
      <w:r>
        <w:rPr/>
        <w:t>II,</w:t>
      </w:r>
      <w:r>
        <w:rPr>
          <w:spacing w:val="-4"/>
        </w:rPr>
        <w:t> </w:t>
      </w:r>
      <w:r>
        <w:rPr/>
        <w:t>and</w:t>
      </w:r>
      <w:r>
        <w:rPr>
          <w:spacing w:val="-1"/>
        </w:rPr>
        <w:t> </w:t>
      </w:r>
      <w:r>
        <w:rPr/>
        <w:t>Sejanus</w:t>
      </w:r>
      <w:r>
        <w:rPr>
          <w:spacing w:val="-4"/>
        </w:rPr>
        <w:t> </w:t>
      </w:r>
      <w:r>
        <w:rPr/>
        <w:t>His</w:t>
      </w:r>
      <w:r>
        <w:rPr>
          <w:spacing w:val="-4"/>
        </w:rPr>
        <w:t> </w:t>
      </w:r>
      <w:r>
        <w:rPr/>
        <w:t>Fall</w:t>
      </w:r>
      <w:r>
        <w:rPr>
          <w:spacing w:val="-4"/>
        </w:rPr>
        <w:t> </w:t>
      </w:r>
      <w:r>
        <w:rPr/>
        <w:t>demonstrate</w:t>
      </w:r>
      <w:r>
        <w:rPr>
          <w:spacing w:val="-2"/>
        </w:rPr>
        <w:t> </w:t>
      </w:r>
      <w:r>
        <w:rPr/>
        <w:t>the</w:t>
      </w:r>
      <w:r>
        <w:rPr>
          <w:spacing w:val="-3"/>
        </w:rPr>
        <w:t> </w:t>
      </w:r>
      <w:r>
        <w:rPr/>
        <w:t>dual role of the theater in the subversion and strengthening of governmental authority.In order to evaluate the playwrights’</w:t>
      </w:r>
      <w:r>
        <w:rPr>
          <w:spacing w:val="-8"/>
        </w:rPr>
        <w:t> </w:t>
      </w:r>
      <w:r>
        <w:rPr/>
        <w:t>dealings with monarchy, </w:t>
      </w:r>
      <w:r>
        <w:rPr>
          <w:spacing w:val="-2"/>
        </w:rPr>
        <w:t>despotism,</w:t>
      </w:r>
      <w:r>
        <w:rPr>
          <w:spacing w:val="-11"/>
        </w:rPr>
        <w:t> </w:t>
      </w:r>
      <w:r>
        <w:rPr>
          <w:spacing w:val="-2"/>
        </w:rPr>
        <w:t>uprising,</w:t>
      </w:r>
      <w:r>
        <w:rPr>
          <w:spacing w:val="-10"/>
        </w:rPr>
        <w:t> </w:t>
      </w:r>
      <w:r>
        <w:rPr>
          <w:spacing w:val="-2"/>
        </w:rPr>
        <w:t>and</w:t>
      </w:r>
      <w:r>
        <w:rPr>
          <w:spacing w:val="-11"/>
        </w:rPr>
        <w:t> </w:t>
      </w:r>
      <w:r>
        <w:rPr>
          <w:spacing w:val="-2"/>
        </w:rPr>
        <w:t>political</w:t>
      </w:r>
      <w:r>
        <w:rPr>
          <w:spacing w:val="-10"/>
        </w:rPr>
        <w:t> </w:t>
      </w:r>
      <w:r>
        <w:rPr>
          <w:spacing w:val="-2"/>
        </w:rPr>
        <w:t>legitimacy,</w:t>
      </w:r>
      <w:r>
        <w:rPr>
          <w:spacing w:val="-11"/>
        </w:rPr>
        <w:t> </w:t>
      </w:r>
      <w:r>
        <w:rPr>
          <w:spacing w:val="-2"/>
        </w:rPr>
        <w:t>this</w:t>
      </w:r>
      <w:r>
        <w:rPr>
          <w:spacing w:val="-10"/>
        </w:rPr>
        <w:t> </w:t>
      </w:r>
      <w:r>
        <w:rPr>
          <w:spacing w:val="-2"/>
        </w:rPr>
        <w:t>study</w:t>
      </w:r>
      <w:r>
        <w:rPr>
          <w:spacing w:val="-11"/>
        </w:rPr>
        <w:t> </w:t>
      </w:r>
      <w:r>
        <w:rPr>
          <w:spacing w:val="-2"/>
        </w:rPr>
        <w:t>employs</w:t>
      </w:r>
      <w:r>
        <w:rPr>
          <w:spacing w:val="-10"/>
        </w:rPr>
        <w:t> </w:t>
      </w:r>
      <w:r>
        <w:rPr>
          <w:spacing w:val="-2"/>
        </w:rPr>
        <w:t>historical </w:t>
      </w:r>
      <w:r>
        <w:rPr/>
        <w:t>contextualization and extensive reading. This analysis will use cultural materialism</w:t>
      </w:r>
      <w:r>
        <w:rPr>
          <w:spacing w:val="-13"/>
        </w:rPr>
        <w:t> </w:t>
      </w:r>
      <w:r>
        <w:rPr/>
        <w:t>and</w:t>
      </w:r>
      <w:r>
        <w:rPr>
          <w:spacing w:val="-12"/>
        </w:rPr>
        <w:t> </w:t>
      </w:r>
      <w:r>
        <w:rPr/>
        <w:t>new</w:t>
      </w:r>
      <w:r>
        <w:rPr>
          <w:spacing w:val="-13"/>
        </w:rPr>
        <w:t> </w:t>
      </w:r>
      <w:r>
        <w:rPr/>
        <w:t>historicism</w:t>
      </w:r>
      <w:r>
        <w:rPr>
          <w:spacing w:val="-12"/>
        </w:rPr>
        <w:t> </w:t>
      </w:r>
      <w:r>
        <w:rPr/>
        <w:t>to</w:t>
      </w:r>
      <w:r>
        <w:rPr>
          <w:spacing w:val="-13"/>
        </w:rPr>
        <w:t> </w:t>
      </w:r>
      <w:r>
        <w:rPr/>
        <w:t>support</w:t>
      </w:r>
      <w:r>
        <w:rPr>
          <w:spacing w:val="-12"/>
        </w:rPr>
        <w:t> </w:t>
      </w:r>
      <w:r>
        <w:rPr/>
        <w:t>its</w:t>
      </w:r>
      <w:r>
        <w:rPr>
          <w:spacing w:val="-13"/>
        </w:rPr>
        <w:t> </w:t>
      </w:r>
      <w:r>
        <w:rPr/>
        <w:t>claim</w:t>
      </w:r>
      <w:r>
        <w:rPr>
          <w:spacing w:val="-12"/>
        </w:rPr>
        <w:t> </w:t>
      </w:r>
      <w:r>
        <w:rPr/>
        <w:t>that</w:t>
      </w:r>
      <w:r>
        <w:rPr>
          <w:spacing w:val="-13"/>
        </w:rPr>
        <w:t> </w:t>
      </w:r>
      <w:r>
        <w:rPr/>
        <w:t>Elizabethan</w:t>
      </w:r>
      <w:r>
        <w:rPr>
          <w:spacing w:val="-12"/>
        </w:rPr>
        <w:t> </w:t>
      </w:r>
      <w:r>
        <w:rPr/>
        <w:t>and Jacobean political play had profound ties to the intellectual life of politics. In order to portray how playwrights attempted to politically misdirect</w:t>
      </w:r>
      <w:r>
        <w:rPr>
          <w:spacing w:val="19"/>
        </w:rPr>
        <w:t> </w:t>
      </w:r>
      <w:r>
        <w:rPr/>
        <w:t>limits,</w:t>
      </w:r>
      <w:r>
        <w:rPr>
          <w:spacing w:val="21"/>
        </w:rPr>
        <w:t> </w:t>
      </w:r>
      <w:r>
        <w:rPr/>
        <w:t>it</w:t>
      </w:r>
      <w:r>
        <w:rPr>
          <w:spacing w:val="23"/>
        </w:rPr>
        <w:t> </w:t>
      </w:r>
      <w:r>
        <w:rPr/>
        <w:t>also</w:t>
      </w:r>
      <w:r>
        <w:rPr>
          <w:spacing w:val="23"/>
        </w:rPr>
        <w:t> </w:t>
      </w:r>
      <w:r>
        <w:rPr/>
        <w:t>evaluates</w:t>
      </w:r>
      <w:r>
        <w:rPr>
          <w:spacing w:val="19"/>
        </w:rPr>
        <w:t> </w:t>
      </w:r>
      <w:r>
        <w:rPr/>
        <w:t>the</w:t>
      </w:r>
      <w:r>
        <w:rPr>
          <w:spacing w:val="19"/>
        </w:rPr>
        <w:t> </w:t>
      </w:r>
      <w:r>
        <w:rPr/>
        <w:t>censorship</w:t>
      </w:r>
      <w:r>
        <w:rPr>
          <w:spacing w:val="22"/>
        </w:rPr>
        <w:t> </w:t>
      </w:r>
      <w:r>
        <w:rPr/>
        <w:t>and</w:t>
      </w:r>
      <w:r>
        <w:rPr>
          <w:spacing w:val="22"/>
        </w:rPr>
        <w:t> </w:t>
      </w:r>
      <w:r>
        <w:rPr/>
        <w:t>patronage</w:t>
      </w:r>
      <w:r>
        <w:rPr>
          <w:spacing w:val="23"/>
        </w:rPr>
        <w:t> </w:t>
      </w:r>
      <w:r>
        <w:rPr/>
        <w:t>of</w:t>
      </w:r>
      <w:r>
        <w:rPr>
          <w:spacing w:val="19"/>
        </w:rPr>
        <w:t> </w:t>
      </w:r>
      <w:r>
        <w:rPr>
          <w:spacing w:val="-5"/>
        </w:rPr>
        <w:t>the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73184">
                <wp:simplePos x="0" y="0"/>
                <wp:positionH relativeFrom="page">
                  <wp:posOffset>2057400</wp:posOffset>
                </wp:positionH>
                <wp:positionV relativeFrom="paragraph">
                  <wp:posOffset>162604</wp:posOffset>
                </wp:positionV>
                <wp:extent cx="3657600" cy="12700"/>
                <wp:effectExtent l="0" t="0" r="0" b="0"/>
                <wp:wrapTopAndBottom/>
                <wp:docPr id="524" name="Graphic 524"/>
                <wp:cNvGraphicFramePr>
                  <a:graphicFrameLocks/>
                </wp:cNvGraphicFramePr>
                <a:graphic>
                  <a:graphicData uri="http://schemas.microsoft.com/office/word/2010/wordprocessingShape">
                    <wps:wsp>
                      <wps:cNvPr id="524" name="Graphic 52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43296;mso-wrap-distance-left:0;mso-wrap-distance-right:0" id="docshape519" filled="true" fillcolor="#000000" stroked="false">
                <v:fill type="solid"/>
                <w10:wrap type="topAndBottom"/>
              </v:rect>
            </w:pict>
          </mc:Fallback>
        </mc:AlternateContent>
      </w:r>
      <w:r>
        <w:rPr>
          <w:rFonts w:ascii="Verdana"/>
          <w:spacing w:val="-5"/>
          <w:sz w:val="18"/>
        </w:rPr>
        <w:t>244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before="192"/>
        <w:jc w:val="both"/>
      </w:pPr>
      <w:r>
        <w:rPr/>
        <w:t>powerful</w:t>
      </w:r>
      <w:r>
        <w:rPr>
          <w:spacing w:val="-8"/>
        </w:rPr>
        <w:t> </w:t>
      </w:r>
      <w:r>
        <w:rPr/>
        <w:t>as</w:t>
      </w:r>
      <w:r>
        <w:rPr>
          <w:spacing w:val="-7"/>
        </w:rPr>
        <w:t> </w:t>
      </w:r>
      <w:r>
        <w:rPr/>
        <w:t>a</w:t>
      </w:r>
      <w:r>
        <w:rPr>
          <w:spacing w:val="-6"/>
        </w:rPr>
        <w:t> </w:t>
      </w:r>
      <w:r>
        <w:rPr/>
        <w:t>way</w:t>
      </w:r>
      <w:r>
        <w:rPr>
          <w:spacing w:val="-9"/>
        </w:rPr>
        <w:t> </w:t>
      </w:r>
      <w:r>
        <w:rPr/>
        <w:t>of</w:t>
      </w:r>
      <w:r>
        <w:rPr>
          <w:spacing w:val="-8"/>
        </w:rPr>
        <w:t> </w:t>
      </w:r>
      <w:r>
        <w:rPr/>
        <w:t>purposefully</w:t>
      </w:r>
      <w:r>
        <w:rPr>
          <w:spacing w:val="-9"/>
        </w:rPr>
        <w:t> </w:t>
      </w:r>
      <w:r>
        <w:rPr/>
        <w:t>handed</w:t>
      </w:r>
      <w:r>
        <w:rPr>
          <w:spacing w:val="-4"/>
        </w:rPr>
        <w:t> </w:t>
      </w:r>
      <w:r>
        <w:rPr/>
        <w:t>theatrical</w:t>
      </w:r>
      <w:r>
        <w:rPr>
          <w:spacing w:val="-7"/>
        </w:rPr>
        <w:t> </w:t>
      </w:r>
      <w:r>
        <w:rPr/>
        <w:t>expression,</w:t>
      </w:r>
      <w:r>
        <w:rPr>
          <w:spacing w:val="-8"/>
        </w:rPr>
        <w:t> </w:t>
      </w:r>
      <w:r>
        <w:rPr>
          <w:spacing w:val="-2"/>
        </w:rPr>
        <w:t>Liebler,</w:t>
      </w:r>
    </w:p>
    <w:p>
      <w:pPr>
        <w:pStyle w:val="BodyText"/>
        <w:spacing w:line="249" w:lineRule="auto" w:before="10"/>
        <w:ind w:right="1441"/>
        <w:jc w:val="both"/>
      </w:pPr>
      <w:r>
        <w:rPr/>
        <w:t>N. C. 2002, An expanding number of disciplines, including literature, performance</w:t>
      </w:r>
      <w:r>
        <w:rPr>
          <w:spacing w:val="-10"/>
        </w:rPr>
        <w:t> </w:t>
      </w:r>
      <w:r>
        <w:rPr/>
        <w:t>studies,</w:t>
      </w:r>
      <w:r>
        <w:rPr>
          <w:spacing w:val="-12"/>
        </w:rPr>
        <w:t> </w:t>
      </w:r>
      <w:r>
        <w:rPr/>
        <w:t>digital</w:t>
      </w:r>
      <w:r>
        <w:rPr>
          <w:spacing w:val="-10"/>
        </w:rPr>
        <w:t> </w:t>
      </w:r>
      <w:r>
        <w:rPr/>
        <w:t>humanities,</w:t>
      </w:r>
      <w:r>
        <w:rPr>
          <w:spacing w:val="-12"/>
        </w:rPr>
        <w:t> </w:t>
      </w:r>
      <w:r>
        <w:rPr/>
        <w:t>cultural</w:t>
      </w:r>
      <w:r>
        <w:rPr>
          <w:spacing w:val="-10"/>
        </w:rPr>
        <w:t> </w:t>
      </w:r>
      <w:r>
        <w:rPr/>
        <w:t>studies,</w:t>
      </w:r>
      <w:r>
        <w:rPr>
          <w:spacing w:val="-10"/>
        </w:rPr>
        <w:t> </w:t>
      </w:r>
      <w:r>
        <w:rPr/>
        <w:t>and</w:t>
      </w:r>
      <w:r>
        <w:rPr>
          <w:spacing w:val="-10"/>
        </w:rPr>
        <w:t> </w:t>
      </w:r>
      <w:r>
        <w:rPr/>
        <w:t>more,</w:t>
      </w:r>
      <w:r>
        <w:rPr>
          <w:spacing w:val="-9"/>
        </w:rPr>
        <w:t> </w:t>
      </w:r>
      <w:r>
        <w:rPr/>
        <w:t>have begun to engage with Shakespearean studies since the subject entered the post-theory period in 2000.</w:t>
      </w:r>
    </w:p>
    <w:p>
      <w:pPr>
        <w:pStyle w:val="BodyText"/>
        <w:spacing w:line="249" w:lineRule="auto" w:before="61"/>
        <w:ind w:right="1436" w:firstLine="432"/>
        <w:jc w:val="both"/>
      </w:pPr>
      <w:r>
        <w:rPr/>
        <w:t>Whether Shakespeare is a misogynist or a feminist is an open question. Among feminist scholars, there is a divide over whether Shakespeare’s plays elevate women to equal status with men or serve</w:t>
      </w:r>
      <w:r>
        <w:rPr>
          <w:spacing w:val="80"/>
        </w:rPr>
        <w:t> </w:t>
      </w:r>
      <w:r>
        <w:rPr/>
        <w:t>to further subjugate them. On the other hand, one may claim that Shakespeare echoes the liberation of women in the 16th century in The Merchant of Venice by questioning the subaltern status of women that kept them limited to the home and nursing others. With an eye toward illuminating feminist ideas that use power relations and destereotyping, this essay takes a feminist stance on Shakespeare’s The Merchant of Venice.</w:t>
      </w:r>
      <w:r>
        <w:rPr>
          <w:spacing w:val="-13"/>
        </w:rPr>
        <w:t> </w:t>
      </w:r>
      <w:r>
        <w:rPr/>
        <w:t>Examining</w:t>
      </w:r>
      <w:r>
        <w:rPr>
          <w:spacing w:val="-12"/>
        </w:rPr>
        <w:t> </w:t>
      </w:r>
      <w:r>
        <w:rPr/>
        <w:t>Elizabethan-era</w:t>
      </w:r>
      <w:r>
        <w:rPr>
          <w:spacing w:val="-13"/>
        </w:rPr>
        <w:t> </w:t>
      </w:r>
      <w:r>
        <w:rPr/>
        <w:t>women’s</w:t>
      </w:r>
      <w:r>
        <w:rPr>
          <w:spacing w:val="-12"/>
        </w:rPr>
        <w:t> </w:t>
      </w:r>
      <w:r>
        <w:rPr/>
        <w:t>roles</w:t>
      </w:r>
      <w:r>
        <w:rPr>
          <w:spacing w:val="-13"/>
        </w:rPr>
        <w:t> </w:t>
      </w:r>
      <w:r>
        <w:rPr/>
        <w:t>in</w:t>
      </w:r>
      <w:r>
        <w:rPr>
          <w:spacing w:val="-12"/>
        </w:rPr>
        <w:t> </w:t>
      </w:r>
      <w:r>
        <w:rPr/>
        <w:t>Shakespeare’s</w:t>
      </w:r>
      <w:r>
        <w:rPr>
          <w:spacing w:val="-13"/>
        </w:rPr>
        <w:t> </w:t>
      </w:r>
      <w:r>
        <w:rPr/>
        <w:t>The Merchant of Venice is the main goal of this research. Therefore, this article provides an answer to the subject of literary representation, which is just as important as the themes that the play addresses. Additionally, it adheres to a structural approach that traverses the several levels that make up the play’s contextual meaning system, Malathy, 2024 Linguistic Distinctions and Gender Portrayal in Shakespeare’s</w:t>
      </w:r>
      <w:r>
        <w:rPr>
          <w:spacing w:val="40"/>
        </w:rPr>
        <w:t> </w:t>
      </w:r>
      <w:r>
        <w:rPr/>
        <w:t>Plays.</w:t>
      </w:r>
    </w:p>
    <w:p>
      <w:pPr>
        <w:pStyle w:val="BodyText"/>
        <w:spacing w:line="249" w:lineRule="auto" w:before="72"/>
        <w:ind w:right="1437" w:firstLine="432"/>
        <w:jc w:val="both"/>
      </w:pPr>
      <w:r>
        <w:rPr/>
        <w:t>The Shakespearean plays provide a diverse approach to human identity and one of the most interesting sides of his construction of character is the use of language to describe gender. The purpose of language in Shakespeare is both social hierarchy, power and gender identity,</w:t>
      </w:r>
      <w:r>
        <w:rPr>
          <w:spacing w:val="-13"/>
        </w:rPr>
        <w:t> </w:t>
      </w:r>
      <w:r>
        <w:rPr/>
        <w:t>as</w:t>
      </w:r>
      <w:r>
        <w:rPr>
          <w:spacing w:val="-12"/>
        </w:rPr>
        <w:t> </w:t>
      </w:r>
      <w:r>
        <w:rPr/>
        <w:t>well</w:t>
      </w:r>
      <w:r>
        <w:rPr>
          <w:spacing w:val="-13"/>
        </w:rPr>
        <w:t> </w:t>
      </w:r>
      <w:r>
        <w:rPr/>
        <w:t>as</w:t>
      </w:r>
      <w:r>
        <w:rPr>
          <w:spacing w:val="-12"/>
        </w:rPr>
        <w:t> </w:t>
      </w:r>
      <w:r>
        <w:rPr/>
        <w:t>means</w:t>
      </w:r>
      <w:r>
        <w:rPr>
          <w:spacing w:val="-13"/>
        </w:rPr>
        <w:t> </w:t>
      </w:r>
      <w:r>
        <w:rPr/>
        <w:t>of</w:t>
      </w:r>
      <w:r>
        <w:rPr>
          <w:spacing w:val="-12"/>
        </w:rPr>
        <w:t> </w:t>
      </w:r>
      <w:r>
        <w:rPr/>
        <w:t>communication.</w:t>
      </w:r>
      <w:r>
        <w:rPr>
          <w:spacing w:val="-13"/>
        </w:rPr>
        <w:t> </w:t>
      </w:r>
      <w:r>
        <w:rPr/>
        <w:t>Male</w:t>
      </w:r>
      <w:r>
        <w:rPr>
          <w:spacing w:val="-12"/>
        </w:rPr>
        <w:t> </w:t>
      </w:r>
      <w:r>
        <w:rPr/>
        <w:t>and</w:t>
      </w:r>
      <w:r>
        <w:rPr>
          <w:spacing w:val="-13"/>
        </w:rPr>
        <w:t> </w:t>
      </w:r>
      <w:r>
        <w:rPr/>
        <w:t>female</w:t>
      </w:r>
      <w:r>
        <w:rPr>
          <w:spacing w:val="-12"/>
        </w:rPr>
        <w:t> </w:t>
      </w:r>
      <w:r>
        <w:rPr/>
        <w:t>characters are different in their use of language in the form of how</w:t>
      </w:r>
      <w:r>
        <w:rPr>
          <w:spacing w:val="-1"/>
        </w:rPr>
        <w:t> </w:t>
      </w:r>
      <w:r>
        <w:rPr/>
        <w:t>they use it and the purpose of that use, exposing the gendered expectations of the Elizabethan</w:t>
      </w:r>
      <w:r>
        <w:rPr>
          <w:spacing w:val="-2"/>
        </w:rPr>
        <w:t> </w:t>
      </w:r>
      <w:r>
        <w:rPr/>
        <w:t>period.</w:t>
      </w:r>
      <w:r>
        <w:rPr>
          <w:spacing w:val="-12"/>
        </w:rPr>
        <w:t> </w:t>
      </w:r>
      <w:r>
        <w:rPr/>
        <w:t>As</w:t>
      </w:r>
      <w:r>
        <w:rPr>
          <w:spacing w:val="-2"/>
        </w:rPr>
        <w:t> </w:t>
      </w:r>
      <w:r>
        <w:rPr/>
        <w:t>an</w:t>
      </w:r>
      <w:r>
        <w:rPr>
          <w:spacing w:val="-2"/>
        </w:rPr>
        <w:t> </w:t>
      </w:r>
      <w:r>
        <w:rPr/>
        <w:t>example,</w:t>
      </w:r>
      <w:r>
        <w:rPr>
          <w:spacing w:val="-1"/>
        </w:rPr>
        <w:t> </w:t>
      </w:r>
      <w:r>
        <w:rPr/>
        <w:t>the male</w:t>
      </w:r>
      <w:r>
        <w:rPr>
          <w:spacing w:val="-1"/>
        </w:rPr>
        <w:t> </w:t>
      </w:r>
      <w:r>
        <w:rPr/>
        <w:t>characters</w:t>
      </w:r>
      <w:r>
        <w:rPr>
          <w:spacing w:val="-2"/>
        </w:rPr>
        <w:t> </w:t>
      </w:r>
      <w:r>
        <w:rPr/>
        <w:t>are</w:t>
      </w:r>
      <w:r>
        <w:rPr>
          <w:spacing w:val="-1"/>
        </w:rPr>
        <w:t> </w:t>
      </w:r>
      <w:r>
        <w:rPr/>
        <w:t>often</w:t>
      </w:r>
      <w:r>
        <w:rPr>
          <w:spacing w:val="-2"/>
        </w:rPr>
        <w:t> </w:t>
      </w:r>
      <w:r>
        <w:rPr/>
        <w:t>linked to aggressive, commanding their social Mays, it is important to context and societal ring the time in which and performed. which spanned the nturies, England was a rict gender norms and ing belief was that men</w:t>
      </w:r>
      <w:r>
        <w:rPr>
          <w:spacing w:val="80"/>
        </w:rPr>
        <w:t> </w:t>
      </w:r>
      <w:r>
        <w:rPr>
          <w:spacing w:val="-2"/>
        </w:rPr>
        <w:t>to</w:t>
      </w:r>
      <w:r>
        <w:rPr>
          <w:spacing w:val="-6"/>
        </w:rPr>
        <w:t> </w:t>
      </w:r>
      <w:r>
        <w:rPr>
          <w:spacing w:val="-2"/>
        </w:rPr>
        <w:t>women</w:t>
      </w:r>
      <w:r>
        <w:rPr>
          <w:spacing w:val="-10"/>
        </w:rPr>
        <w:t> </w:t>
      </w:r>
      <w:r>
        <w:rPr>
          <w:spacing w:val="-2"/>
        </w:rPr>
        <w:t>and</w:t>
      </w:r>
      <w:r>
        <w:rPr>
          <w:spacing w:val="-4"/>
        </w:rPr>
        <w:t> </w:t>
      </w:r>
      <w:r>
        <w:rPr>
          <w:spacing w:val="-2"/>
        </w:rPr>
        <w:t>should</w:t>
      </w:r>
      <w:r>
        <w:rPr>
          <w:spacing w:val="-4"/>
        </w:rPr>
        <w:t> </w:t>
      </w:r>
      <w:r>
        <w:rPr>
          <w:spacing w:val="-2"/>
        </w:rPr>
        <w:t>and</w:t>
      </w:r>
      <w:r>
        <w:rPr>
          <w:spacing w:val="-4"/>
        </w:rPr>
        <w:t> </w:t>
      </w:r>
      <w:r>
        <w:rPr>
          <w:spacing w:val="-2"/>
        </w:rPr>
        <w:t>authority,</w:t>
      </w:r>
      <w:r>
        <w:rPr>
          <w:spacing w:val="-10"/>
        </w:rPr>
        <w:t> </w:t>
      </w:r>
      <w:r>
        <w:rPr>
          <w:spacing w:val="-2"/>
        </w:rPr>
        <w:t>Women,</w:t>
      </w:r>
      <w:r>
        <w:rPr>
          <w:spacing w:val="-6"/>
        </w:rPr>
        <w:t> </w:t>
      </w:r>
      <w:r>
        <w:rPr>
          <w:spacing w:val="-2"/>
        </w:rPr>
        <w:t>ere</w:t>
      </w:r>
      <w:r>
        <w:rPr>
          <w:spacing w:val="-8"/>
        </w:rPr>
        <w:t> </w:t>
      </w:r>
      <w:r>
        <w:rPr>
          <w:spacing w:val="-2"/>
        </w:rPr>
        <w:t>expected</w:t>
      </w:r>
      <w:r>
        <w:rPr>
          <w:spacing w:val="-6"/>
        </w:rPr>
        <w:t> </w:t>
      </w:r>
      <w:r>
        <w:rPr>
          <w:spacing w:val="-2"/>
        </w:rPr>
        <w:t>to</w:t>
      </w:r>
      <w:r>
        <w:rPr>
          <w:spacing w:val="-8"/>
        </w:rPr>
        <w:t> </w:t>
      </w:r>
      <w:r>
        <w:rPr>
          <w:spacing w:val="-2"/>
        </w:rPr>
        <w:t>be</w:t>
      </w:r>
      <w:r>
        <w:rPr>
          <w:spacing w:val="-6"/>
        </w:rPr>
        <w:t> </w:t>
      </w:r>
      <w:r>
        <w:rPr>
          <w:spacing w:val="-2"/>
        </w:rPr>
        <w:t>primarily </w:t>
      </w:r>
      <w:r>
        <w:rPr/>
        <w:t>focused on-ty, gender roles were trictly enforced. Men inners and the heads</w:t>
      </w:r>
      <w:r>
        <w:rPr>
          <w:spacing w:val="-13"/>
        </w:rPr>
        <w:t> </w:t>
      </w:r>
      <w:r>
        <w:rPr/>
        <w:t>of</w:t>
      </w:r>
      <w:r>
        <w:rPr>
          <w:spacing w:val="-10"/>
        </w:rPr>
        <w:t> </w:t>
      </w:r>
      <w:r>
        <w:rPr/>
        <w:t>for</w:t>
      </w:r>
      <w:r>
        <w:rPr>
          <w:spacing w:val="-11"/>
        </w:rPr>
        <w:t> </w:t>
      </w:r>
      <w:r>
        <w:rPr/>
        <w:t>making</w:t>
      </w:r>
      <w:r>
        <w:rPr>
          <w:spacing w:val="-13"/>
        </w:rPr>
        <w:t> </w:t>
      </w:r>
      <w:r>
        <w:rPr/>
        <w:t>decisions</w:t>
      </w:r>
      <w:r>
        <w:rPr>
          <w:spacing w:val="-10"/>
        </w:rPr>
        <w:t> </w:t>
      </w:r>
      <w:r>
        <w:rPr/>
        <w:t>families.</w:t>
      </w:r>
      <w:r>
        <w:rPr>
          <w:spacing w:val="-9"/>
        </w:rPr>
        <w:t> </w:t>
      </w:r>
      <w:r>
        <w:rPr/>
        <w:t>They</w:t>
      </w:r>
      <w:r>
        <w:rPr>
          <w:spacing w:val="-13"/>
        </w:rPr>
        <w:t> </w:t>
      </w:r>
      <w:r>
        <w:rPr/>
        <w:t>were</w:t>
      </w:r>
      <w:r>
        <w:rPr>
          <w:spacing w:val="-10"/>
        </w:rPr>
        <w:t> </w:t>
      </w:r>
      <w:r>
        <w:rPr/>
        <w:t>ats</w:t>
      </w:r>
      <w:r>
        <w:rPr>
          <w:spacing w:val="-13"/>
        </w:rPr>
        <w:t> </w:t>
      </w:r>
      <w:r>
        <w:rPr/>
        <w:t>such</w:t>
      </w:r>
      <w:r>
        <w:rPr>
          <w:spacing w:val="-10"/>
        </w:rPr>
        <w:t> </w:t>
      </w:r>
      <w:r>
        <w:rPr/>
        <w:t>as</w:t>
      </w:r>
      <w:r>
        <w:rPr>
          <w:spacing w:val="-11"/>
        </w:rPr>
        <w:t> </w:t>
      </w:r>
      <w:r>
        <w:rPr/>
        <w:t>strength,1, were</w:t>
      </w:r>
      <w:r>
        <w:rPr>
          <w:spacing w:val="-8"/>
        </w:rPr>
        <w:t> </w:t>
      </w:r>
      <w:r>
        <w:rPr/>
        <w:t>expected</w:t>
      </w:r>
      <w:r>
        <w:rPr>
          <w:spacing w:val="-6"/>
        </w:rPr>
        <w:t> </w:t>
      </w:r>
      <w:r>
        <w:rPr/>
        <w:t>to</w:t>
      </w:r>
      <w:r>
        <w:rPr>
          <w:spacing w:val="-7"/>
        </w:rPr>
        <w:t> </w:t>
      </w:r>
      <w:r>
        <w:rPr/>
        <w:t>be</w:t>
      </w:r>
      <w:r>
        <w:rPr>
          <w:spacing w:val="-9"/>
        </w:rPr>
        <w:t> </w:t>
      </w:r>
      <w:r>
        <w:rPr/>
        <w:t>missive.</w:t>
      </w:r>
      <w:r>
        <w:rPr>
          <w:spacing w:val="-9"/>
        </w:rPr>
        <w:t> </w:t>
      </w:r>
      <w:r>
        <w:rPr/>
        <w:t>Their</w:t>
      </w:r>
      <w:r>
        <w:rPr>
          <w:spacing w:val="-6"/>
        </w:rPr>
        <w:t> </w:t>
      </w:r>
      <w:r>
        <w:rPr/>
        <w:t>primary</w:t>
      </w:r>
      <w:r>
        <w:rPr>
          <w:spacing w:val="-13"/>
        </w:rPr>
        <w:t> </w:t>
      </w:r>
      <w:r>
        <w:rPr/>
        <w:t>mothers,</w:t>
      </w:r>
      <w:r>
        <w:rPr>
          <w:spacing w:val="-7"/>
        </w:rPr>
        <w:t> </w:t>
      </w:r>
      <w:r>
        <w:rPr/>
        <w:t>responsible</w:t>
      </w:r>
      <w:r>
        <w:rPr>
          <w:spacing w:val="-7"/>
        </w:rPr>
        <w:t> </w:t>
      </w:r>
      <w:r>
        <w:rPr/>
        <w:t>for</w:t>
      </w:r>
      <w:r>
        <w:rPr>
          <w:spacing w:val="-7"/>
        </w:rPr>
        <w:t> </w:t>
      </w:r>
      <w:r>
        <w:rPr/>
        <w:t>and raising children access to education and indent on men for their al status. of gender roles were and legal institutions. such emphasized the women,</w:t>
      </w:r>
      <w:r>
        <w:rPr>
          <w:spacing w:val="20"/>
        </w:rPr>
        <w:t> </w:t>
      </w:r>
      <w:r>
        <w:rPr/>
        <w:t>viewing</w:t>
      </w:r>
      <w:r>
        <w:rPr>
          <w:spacing w:val="18"/>
        </w:rPr>
        <w:t> </w:t>
      </w:r>
      <w:r>
        <w:rPr/>
        <w:t>them</w:t>
      </w:r>
      <w:r>
        <w:rPr>
          <w:spacing w:val="17"/>
        </w:rPr>
        <w:t> </w:t>
      </w:r>
      <w:r>
        <w:rPr/>
        <w:t>asserting</w:t>
      </w:r>
      <w:r>
        <w:rPr>
          <w:spacing w:val="19"/>
        </w:rPr>
        <w:t> </w:t>
      </w:r>
      <w:r>
        <w:rPr/>
        <w:t>that</w:t>
      </w:r>
      <w:r>
        <w:rPr>
          <w:spacing w:val="18"/>
        </w:rPr>
        <w:t> </w:t>
      </w:r>
      <w:r>
        <w:rPr/>
        <w:t>their</w:t>
      </w:r>
      <w:r>
        <w:rPr>
          <w:spacing w:val="19"/>
        </w:rPr>
        <w:t> </w:t>
      </w:r>
      <w:r>
        <w:rPr/>
        <w:t>be</w:t>
      </w:r>
      <w:r>
        <w:rPr>
          <w:spacing w:val="19"/>
        </w:rPr>
        <w:t> </w:t>
      </w:r>
      <w:r>
        <w:rPr/>
        <w:t>obedient</w:t>
      </w:r>
      <w:r>
        <w:rPr>
          <w:spacing w:val="18"/>
        </w:rPr>
        <w:t> </w:t>
      </w:r>
      <w:r>
        <w:rPr/>
        <w:t>to</w:t>
      </w:r>
      <w:r>
        <w:rPr>
          <w:spacing w:val="21"/>
        </w:rPr>
        <w:t> </w:t>
      </w:r>
      <w:r>
        <w:rPr/>
        <w:t>men.</w:t>
      </w:r>
      <w:r>
        <w:rPr>
          <w:spacing w:val="20"/>
        </w:rPr>
        <w:t> </w:t>
      </w:r>
      <w:r>
        <w:rPr>
          <w:spacing w:val="-2"/>
        </w:rPr>
        <w:t>system</w:t>
      </w:r>
    </w:p>
    <w:p>
      <w:pPr>
        <w:pStyle w:val="BodyText"/>
        <w:spacing w:after="0" w:line="249" w:lineRule="auto"/>
        <w:jc w:val="both"/>
        <w:sectPr>
          <w:pgSz w:w="12240" w:h="15840"/>
          <w:pgMar w:top="1820" w:bottom="280" w:left="1800" w:right="1800"/>
        </w:sectPr>
      </w:pPr>
    </w:p>
    <w:p>
      <w:pPr>
        <w:tabs>
          <w:tab w:pos="7192"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73696">
                <wp:simplePos x="0" y="0"/>
                <wp:positionH relativeFrom="page">
                  <wp:posOffset>2065020</wp:posOffset>
                </wp:positionH>
                <wp:positionV relativeFrom="paragraph">
                  <wp:posOffset>795020</wp:posOffset>
                </wp:positionV>
                <wp:extent cx="3657600" cy="12700"/>
                <wp:effectExtent l="0" t="0" r="0" b="0"/>
                <wp:wrapTopAndBottom/>
                <wp:docPr id="525" name="Graphic 525"/>
                <wp:cNvGraphicFramePr>
                  <a:graphicFrameLocks/>
                </wp:cNvGraphicFramePr>
                <a:graphic>
                  <a:graphicData uri="http://schemas.microsoft.com/office/word/2010/wordprocessingShape">
                    <wps:wsp>
                      <wps:cNvPr id="525" name="Graphic 52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42784;mso-wrap-distance-left:0;mso-wrap-distance-right:0" id="docshape520" filled="true" fillcolor="#000000" stroked="false">
                <v:fill type="solid"/>
                <w10:wrap type="topAndBottom"/>
              </v:rect>
            </w:pict>
          </mc:Fallback>
        </mc:AlternateContent>
      </w:r>
      <w:r>
        <w:rPr>
          <w:rFonts w:ascii="Verdana" w:hAnsi="Verdana"/>
          <w:sz w:val="18"/>
        </w:rPr>
        <w:t>Gender,</w:t>
      </w:r>
      <w:r>
        <w:rPr>
          <w:rFonts w:ascii="Verdana" w:hAnsi="Verdana"/>
          <w:spacing w:val="5"/>
          <w:sz w:val="18"/>
        </w:rPr>
        <w:t> </w:t>
      </w:r>
      <w:r>
        <w:rPr>
          <w:rFonts w:ascii="Verdana" w:hAnsi="Verdana"/>
          <w:sz w:val="18"/>
        </w:rPr>
        <w:t>Space</w:t>
      </w:r>
      <w:r>
        <w:rPr>
          <w:rFonts w:ascii="Verdana" w:hAnsi="Verdana"/>
          <w:spacing w:val="10"/>
          <w:sz w:val="18"/>
        </w:rPr>
        <w:t> </w:t>
      </w:r>
      <w:r>
        <w:rPr>
          <w:rFonts w:ascii="Verdana" w:hAnsi="Verdana"/>
          <w:sz w:val="18"/>
        </w:rPr>
        <w:t>and</w:t>
      </w:r>
      <w:r>
        <w:rPr>
          <w:rFonts w:ascii="Verdana" w:hAnsi="Verdana"/>
          <w:spacing w:val="5"/>
          <w:sz w:val="18"/>
        </w:rPr>
        <w:t> </w:t>
      </w:r>
      <w:r>
        <w:rPr>
          <w:rFonts w:ascii="Verdana" w:hAnsi="Verdana"/>
          <w:sz w:val="18"/>
        </w:rPr>
        <w:t>Power</w:t>
      </w:r>
      <w:r>
        <w:rPr>
          <w:rFonts w:ascii="Verdana" w:hAnsi="Verdana"/>
          <w:spacing w:val="10"/>
          <w:sz w:val="18"/>
        </w:rPr>
        <w:t> </w:t>
      </w:r>
      <w:r>
        <w:rPr>
          <w:rFonts w:ascii="Verdana" w:hAnsi="Verdana"/>
          <w:sz w:val="18"/>
        </w:rPr>
        <w:t>In</w:t>
      </w:r>
      <w:r>
        <w:rPr>
          <w:rFonts w:ascii="Verdana" w:hAnsi="Verdana"/>
          <w:spacing w:val="6"/>
          <w:sz w:val="18"/>
        </w:rPr>
        <w:t> </w:t>
      </w:r>
      <w:r>
        <w:rPr>
          <w:rFonts w:ascii="Verdana" w:hAnsi="Verdana"/>
          <w:sz w:val="18"/>
        </w:rPr>
        <w:t>Shakespeare’s</w:t>
      </w:r>
      <w:r>
        <w:rPr>
          <w:rFonts w:ascii="Verdana" w:hAnsi="Verdana"/>
          <w:spacing w:val="8"/>
          <w:sz w:val="18"/>
        </w:rPr>
        <w:t> </w:t>
      </w:r>
      <w:r>
        <w:rPr>
          <w:rFonts w:ascii="Verdana" w:hAnsi="Verdana"/>
          <w:spacing w:val="-4"/>
          <w:sz w:val="18"/>
        </w:rPr>
        <w:t>Plays</w:t>
      </w:r>
      <w:r>
        <w:rPr>
          <w:sz w:val="18"/>
        </w:rPr>
        <w:tab/>
      </w:r>
      <w:r>
        <w:rPr>
          <w:rFonts w:ascii="Verdana" w:hAnsi="Verdana"/>
          <w:spacing w:val="-5"/>
          <w:sz w:val="18"/>
        </w:rPr>
        <w:t>245</w:t>
      </w:r>
    </w:p>
    <w:p>
      <w:pPr>
        <w:pStyle w:val="BodyText"/>
        <w:spacing w:line="249" w:lineRule="auto" w:before="192"/>
        <w:ind w:right="1436"/>
        <w:jc w:val="both"/>
      </w:pPr>
      <w:r>
        <w:rPr/>
        <w:t>of the time ower and control over gender inequalities. written and performed</w:t>
      </w:r>
      <w:r>
        <w:rPr>
          <w:spacing w:val="-1"/>
        </w:rPr>
        <w:t> </w:t>
      </w:r>
      <w:r>
        <w:rPr/>
        <w:t>cultural</w:t>
      </w:r>
      <w:r>
        <w:rPr>
          <w:spacing w:val="-2"/>
        </w:rPr>
        <w:t> </w:t>
      </w:r>
      <w:r>
        <w:rPr/>
        <w:t>context.</w:t>
      </w:r>
      <w:r>
        <w:rPr>
          <w:spacing w:val="-3"/>
        </w:rPr>
        <w:t> </w:t>
      </w:r>
      <w:r>
        <w:rPr/>
        <w:t>The in</w:t>
      </w:r>
      <w:r>
        <w:rPr>
          <w:spacing w:val="-1"/>
        </w:rPr>
        <w:t> </w:t>
      </w:r>
      <w:r>
        <w:rPr/>
        <w:t>his</w:t>
      </w:r>
      <w:r>
        <w:rPr>
          <w:spacing w:val="-3"/>
        </w:rPr>
        <w:t> </w:t>
      </w:r>
      <w:r>
        <w:rPr/>
        <w:t>works</w:t>
      </w:r>
      <w:r>
        <w:rPr>
          <w:spacing w:val="-1"/>
        </w:rPr>
        <w:t> </w:t>
      </w:r>
      <w:r>
        <w:rPr/>
        <w:t>reflects</w:t>
      </w:r>
      <w:r>
        <w:rPr>
          <w:spacing w:val="-1"/>
        </w:rPr>
        <w:t> </w:t>
      </w:r>
      <w:r>
        <w:rPr/>
        <w:t>s</w:t>
      </w:r>
      <w:r>
        <w:rPr>
          <w:spacing w:val="-5"/>
        </w:rPr>
        <w:t> </w:t>
      </w:r>
      <w:r>
        <w:rPr/>
        <w:t>and norms.</w:t>
      </w:r>
      <w:r>
        <w:rPr>
          <w:spacing w:val="-1"/>
        </w:rPr>
        <w:t> </w:t>
      </w:r>
      <w:r>
        <w:rPr/>
        <w:t>Male e</w:t>
      </w:r>
      <w:r>
        <w:rPr>
          <w:spacing w:val="19"/>
        </w:rPr>
        <w:t> </w:t>
      </w:r>
      <w:r>
        <w:rPr/>
        <w:t>traits</w:t>
      </w:r>
      <w:r>
        <w:rPr>
          <w:spacing w:val="20"/>
        </w:rPr>
        <w:t> </w:t>
      </w:r>
      <w:r>
        <w:rPr/>
        <w:t>and</w:t>
      </w:r>
      <w:r>
        <w:rPr>
          <w:spacing w:val="21"/>
        </w:rPr>
        <w:t> </w:t>
      </w:r>
      <w:r>
        <w:rPr/>
        <w:t>behaviors</w:t>
      </w:r>
      <w:r>
        <w:rPr>
          <w:spacing w:val="18"/>
        </w:rPr>
        <w:t> </w:t>
      </w:r>
      <w:r>
        <w:rPr/>
        <w:t>nity,</w:t>
      </w:r>
      <w:r>
        <w:rPr>
          <w:spacing w:val="20"/>
        </w:rPr>
        <w:t> </w:t>
      </w:r>
      <w:r>
        <w:rPr/>
        <w:t>while</w:t>
      </w:r>
      <w:r>
        <w:rPr>
          <w:spacing w:val="21"/>
        </w:rPr>
        <w:t> </w:t>
      </w:r>
      <w:r>
        <w:rPr/>
        <w:t>female</w:t>
      </w:r>
      <w:r>
        <w:rPr>
          <w:spacing w:val="19"/>
        </w:rPr>
        <w:t> </w:t>
      </w:r>
      <w:r>
        <w:rPr/>
        <w:t>the</w:t>
      </w:r>
      <w:r>
        <w:rPr>
          <w:spacing w:val="18"/>
        </w:rPr>
        <w:t> </w:t>
      </w:r>
      <w:r>
        <w:rPr/>
        <w:t>expectations</w:t>
      </w:r>
      <w:r>
        <w:rPr>
          <w:spacing w:val="18"/>
        </w:rPr>
        <w:t> </w:t>
      </w:r>
      <w:r>
        <w:rPr/>
        <w:t>of</w:t>
      </w:r>
      <w:r>
        <w:rPr>
          <w:spacing w:val="18"/>
        </w:rPr>
        <w:t> </w:t>
      </w:r>
      <w:r>
        <w:rPr/>
        <w:t>note</w:t>
      </w:r>
      <w:r>
        <w:rPr>
          <w:spacing w:val="19"/>
        </w:rPr>
        <w:t> </w:t>
      </w:r>
      <w:r>
        <w:rPr/>
        <w:t>that s and subverts these plays. Through the g disguise, and the gender norms,</w:t>
      </w:r>
      <w:r>
        <w:rPr>
          <w:spacing w:val="-9"/>
        </w:rPr>
        <w:t> </w:t>
      </w:r>
      <w:r>
        <w:rPr/>
        <w:t>he</w:t>
      </w:r>
      <w:r>
        <w:rPr>
          <w:spacing w:val="-9"/>
        </w:rPr>
        <w:t> </w:t>
      </w:r>
      <w:r>
        <w:rPr/>
        <w:t>boundaries</w:t>
      </w:r>
      <w:r>
        <w:rPr>
          <w:spacing w:val="-9"/>
        </w:rPr>
        <w:t> </w:t>
      </w:r>
      <w:r>
        <w:rPr/>
        <w:t>of</w:t>
      </w:r>
      <w:r>
        <w:rPr>
          <w:spacing w:val="-11"/>
        </w:rPr>
        <w:t> </w:t>
      </w:r>
      <w:r>
        <w:rPr/>
        <w:t>gender</w:t>
      </w:r>
      <w:r>
        <w:rPr>
          <w:spacing w:val="-8"/>
        </w:rPr>
        <w:t> </w:t>
      </w:r>
      <w:r>
        <w:rPr/>
        <w:t>performative</w:t>
      </w:r>
      <w:r>
        <w:rPr>
          <w:spacing w:val="-8"/>
        </w:rPr>
        <w:t> </w:t>
      </w:r>
      <w:r>
        <w:rPr/>
        <w:t>nature</w:t>
      </w:r>
      <w:r>
        <w:rPr>
          <w:spacing w:val="-8"/>
        </w:rPr>
        <w:t> </w:t>
      </w:r>
      <w:r>
        <w:rPr/>
        <w:t>of</w:t>
      </w:r>
      <w:r>
        <w:rPr>
          <w:spacing w:val="-11"/>
        </w:rPr>
        <w:t> </w:t>
      </w:r>
      <w:r>
        <w:rPr/>
        <w:t>by</w:t>
      </w:r>
      <w:r>
        <w:rPr>
          <w:spacing w:val="-13"/>
        </w:rPr>
        <w:t> </w:t>
      </w:r>
      <w:r>
        <w:rPr/>
        <w:t>examining</w:t>
      </w:r>
      <w:r>
        <w:rPr>
          <w:spacing w:val="-9"/>
        </w:rPr>
        <w:t> </w:t>
      </w:r>
      <w:r>
        <w:rPr/>
        <w:t>the historical context and societal expectations gender roles during Shakespeare’s time, we can gain a deeper understanding of the cultural influences that shaped his portrayal of gender in his plays. It allows us to critically analyze how Shakespeare both adhered to and challenged societal norms, providing insights into the complexities of gender dynamics</w:t>
      </w:r>
      <w:r>
        <w:rPr>
          <w:spacing w:val="10"/>
        </w:rPr>
        <w:t> </w:t>
      </w:r>
      <w:r>
        <w:rPr/>
        <w:t>and</w:t>
      </w:r>
      <w:r>
        <w:rPr>
          <w:spacing w:val="14"/>
        </w:rPr>
        <w:t> </w:t>
      </w:r>
      <w:r>
        <w:rPr/>
        <w:t>the</w:t>
      </w:r>
      <w:r>
        <w:rPr>
          <w:spacing w:val="13"/>
        </w:rPr>
        <w:t> </w:t>
      </w:r>
      <w:r>
        <w:rPr/>
        <w:t>potential</w:t>
      </w:r>
      <w:r>
        <w:rPr>
          <w:spacing w:val="15"/>
        </w:rPr>
        <w:t> </w:t>
      </w:r>
      <w:r>
        <w:rPr/>
        <w:t>for</w:t>
      </w:r>
      <w:r>
        <w:rPr>
          <w:spacing w:val="13"/>
        </w:rPr>
        <w:t> </w:t>
      </w:r>
      <w:r>
        <w:rPr/>
        <w:t>subversion</w:t>
      </w:r>
      <w:r>
        <w:rPr>
          <w:spacing w:val="14"/>
        </w:rPr>
        <w:t> </w:t>
      </w:r>
      <w:r>
        <w:rPr/>
        <w:t>within</w:t>
      </w:r>
      <w:r>
        <w:rPr>
          <w:spacing w:val="11"/>
        </w:rPr>
        <w:t> </w:t>
      </w:r>
      <w:r>
        <w:rPr/>
        <w:t>a</w:t>
      </w:r>
      <w:r>
        <w:rPr>
          <w:spacing w:val="15"/>
        </w:rPr>
        <w:t> </w:t>
      </w:r>
      <w:r>
        <w:rPr/>
        <w:t>patriarchal</w:t>
      </w:r>
      <w:r>
        <w:rPr>
          <w:spacing w:val="12"/>
        </w:rPr>
        <w:t> </w:t>
      </w:r>
      <w:r>
        <w:rPr>
          <w:spacing w:val="-2"/>
        </w:rPr>
        <w:t>society.</w:t>
      </w:r>
    </w:p>
    <w:p>
      <w:pPr>
        <w:pStyle w:val="Heading3"/>
        <w:spacing w:before="170"/>
        <w:jc w:val="both"/>
      </w:pPr>
      <w:r>
        <w:rPr>
          <w:w w:val="85"/>
        </w:rPr>
        <w:t>TRADITIONAL</w:t>
      </w:r>
      <w:r>
        <w:rPr>
          <w:spacing w:val="-10"/>
          <w:w w:val="85"/>
        </w:rPr>
        <w:t> </w:t>
      </w:r>
      <w:r>
        <w:rPr>
          <w:w w:val="85"/>
        </w:rPr>
        <w:t>GENDER</w:t>
      </w:r>
      <w:r>
        <w:rPr>
          <w:spacing w:val="-10"/>
          <w:w w:val="85"/>
        </w:rPr>
        <w:t> </w:t>
      </w:r>
      <w:r>
        <w:rPr>
          <w:w w:val="85"/>
        </w:rPr>
        <w:t>ROLES</w:t>
      </w:r>
      <w:r>
        <w:rPr>
          <w:spacing w:val="-7"/>
          <w:w w:val="85"/>
        </w:rPr>
        <w:t> </w:t>
      </w:r>
      <w:r>
        <w:rPr>
          <w:w w:val="85"/>
        </w:rPr>
        <w:t>IN</w:t>
      </w:r>
      <w:r>
        <w:rPr>
          <w:spacing w:val="-10"/>
          <w:w w:val="85"/>
        </w:rPr>
        <w:t> </w:t>
      </w:r>
      <w:r>
        <w:rPr>
          <w:w w:val="85"/>
        </w:rPr>
        <w:t>SHAKESPEAREAN</w:t>
      </w:r>
      <w:r>
        <w:rPr>
          <w:spacing w:val="-9"/>
          <w:w w:val="85"/>
        </w:rPr>
        <w:t> </w:t>
      </w:r>
      <w:r>
        <w:rPr>
          <w:spacing w:val="-2"/>
          <w:w w:val="85"/>
        </w:rPr>
        <w:t>PLAYS</w:t>
      </w:r>
    </w:p>
    <w:p>
      <w:pPr>
        <w:pStyle w:val="Heading5"/>
        <w:spacing w:line="259" w:lineRule="auto" w:before="142"/>
        <w:ind w:right="1437"/>
        <w:jc w:val="both"/>
      </w:pPr>
      <w:r>
        <w:rPr/>
        <w:t>Analysis of Male Characters and Their Portrayals Masculinity</w:t>
      </w:r>
      <w:r>
        <w:rPr>
          <w:spacing w:val="80"/>
        </w:rPr>
        <w:t> </w:t>
      </w:r>
      <w:r>
        <w:rPr/>
        <w:t>and</w:t>
      </w:r>
      <w:r>
        <w:rPr>
          <w:spacing w:val="80"/>
        </w:rPr>
        <w:t> </w:t>
      </w:r>
      <w:r>
        <w:rPr/>
        <w:t>Its</w:t>
      </w:r>
      <w:r>
        <w:rPr>
          <w:spacing w:val="80"/>
        </w:rPr>
        <w:t> </w:t>
      </w:r>
      <w:r>
        <w:rPr/>
        <w:t>Associated</w:t>
      </w:r>
      <w:r>
        <w:rPr>
          <w:spacing w:val="80"/>
        </w:rPr>
        <w:t> </w:t>
      </w:r>
      <w:r>
        <w:rPr/>
        <w:t>Traits</w:t>
      </w:r>
    </w:p>
    <w:p>
      <w:pPr>
        <w:pStyle w:val="BodyText"/>
        <w:spacing w:line="259" w:lineRule="auto" w:before="60"/>
        <w:ind w:right="1436" w:firstLine="432"/>
        <w:jc w:val="both"/>
      </w:pPr>
      <w:r>
        <w:rPr/>
        <w:t>In Shakespearean plays, male characters are often portrayed as embodying traditional ideals of masculinity, which are associated with specific traits and behaviors. These portrayals reflect the societal expectations and norms of Shakespeare’s time.Masculinity in Shakespeare’s</w:t>
      </w:r>
      <w:r>
        <w:rPr>
          <w:spacing w:val="-1"/>
        </w:rPr>
        <w:t> </w:t>
      </w:r>
      <w:r>
        <w:rPr/>
        <w:t>plays</w:t>
      </w:r>
      <w:r>
        <w:rPr>
          <w:spacing w:val="-1"/>
        </w:rPr>
        <w:t> </w:t>
      </w:r>
      <w:r>
        <w:rPr/>
        <w:t>is often</w:t>
      </w:r>
      <w:r>
        <w:rPr>
          <w:spacing w:val="-2"/>
        </w:rPr>
        <w:t> </w:t>
      </w:r>
      <w:r>
        <w:rPr/>
        <w:t>characterized</w:t>
      </w:r>
      <w:r>
        <w:rPr>
          <w:spacing w:val="-1"/>
        </w:rPr>
        <w:t> </w:t>
      </w:r>
      <w:r>
        <w:rPr/>
        <w:t>by</w:t>
      </w:r>
      <w:r>
        <w:rPr>
          <w:spacing w:val="-4"/>
        </w:rPr>
        <w:t> </w:t>
      </w:r>
      <w:r>
        <w:rPr/>
        <w:t>qualities</w:t>
      </w:r>
      <w:r>
        <w:rPr>
          <w:spacing w:val="-1"/>
        </w:rPr>
        <w:t> </w:t>
      </w:r>
      <w:r>
        <w:rPr/>
        <w:t>such</w:t>
      </w:r>
      <w:r>
        <w:rPr>
          <w:spacing w:val="-2"/>
        </w:rPr>
        <w:t> </w:t>
      </w:r>
      <w:r>
        <w:rPr/>
        <w:t>as</w:t>
      </w:r>
      <w:r>
        <w:rPr>
          <w:spacing w:val="-1"/>
        </w:rPr>
        <w:t> </w:t>
      </w:r>
      <w:r>
        <w:rPr/>
        <w:t>strength, bravery,</w:t>
      </w:r>
      <w:r>
        <w:rPr>
          <w:spacing w:val="-4"/>
        </w:rPr>
        <w:t> </w:t>
      </w:r>
      <w:r>
        <w:rPr/>
        <w:t>honor,</w:t>
      </w:r>
      <w:r>
        <w:rPr>
          <w:spacing w:val="-4"/>
        </w:rPr>
        <w:t> </w:t>
      </w:r>
      <w:r>
        <w:rPr/>
        <w:t>and</w:t>
      </w:r>
      <w:r>
        <w:rPr>
          <w:spacing w:val="-4"/>
        </w:rPr>
        <w:t> </w:t>
      </w:r>
      <w:r>
        <w:rPr/>
        <w:t>dominance.</w:t>
      </w:r>
      <w:r>
        <w:rPr>
          <w:spacing w:val="-6"/>
        </w:rPr>
        <w:t> </w:t>
      </w:r>
      <w:r>
        <w:rPr/>
        <w:t>Male</w:t>
      </w:r>
      <w:r>
        <w:rPr>
          <w:spacing w:val="-4"/>
        </w:rPr>
        <w:t> </w:t>
      </w:r>
      <w:r>
        <w:rPr/>
        <w:t>characters</w:t>
      </w:r>
      <w:r>
        <w:rPr>
          <w:spacing w:val="-6"/>
        </w:rPr>
        <w:t> </w:t>
      </w:r>
      <w:r>
        <w:rPr/>
        <w:t>are</w:t>
      </w:r>
      <w:r>
        <w:rPr>
          <w:spacing w:val="-4"/>
        </w:rPr>
        <w:t> </w:t>
      </w:r>
      <w:r>
        <w:rPr/>
        <w:t>frequently</w:t>
      </w:r>
      <w:r>
        <w:rPr>
          <w:spacing w:val="-7"/>
        </w:rPr>
        <w:t> </w:t>
      </w:r>
      <w:r>
        <w:rPr/>
        <w:t>depicted as assertive and confident, taking charge of situations and displaying physical and emotional strength. They are expected to be leaders and decision-makers,</w:t>
      </w:r>
      <w:r>
        <w:rPr>
          <w:spacing w:val="40"/>
        </w:rPr>
        <w:t> </w:t>
      </w:r>
      <w:r>
        <w:rPr/>
        <w:t>often</w:t>
      </w:r>
      <w:r>
        <w:rPr>
          <w:spacing w:val="40"/>
        </w:rPr>
        <w:t> </w:t>
      </w:r>
      <w:r>
        <w:rPr/>
        <w:t>occupying</w:t>
      </w:r>
      <w:r>
        <w:rPr>
          <w:spacing w:val="40"/>
        </w:rPr>
        <w:t> </w:t>
      </w:r>
      <w:r>
        <w:rPr/>
        <w:t>positions</w:t>
      </w:r>
      <w:r>
        <w:rPr>
          <w:spacing w:val="40"/>
        </w:rPr>
        <w:t> </w:t>
      </w:r>
      <w:r>
        <w:rPr/>
        <w:t>of</w:t>
      </w:r>
      <w:r>
        <w:rPr>
          <w:spacing w:val="40"/>
        </w:rPr>
        <w:t> </w:t>
      </w:r>
      <w:r>
        <w:rPr/>
        <w:t>power</w:t>
      </w:r>
      <w:r>
        <w:rPr>
          <w:spacing w:val="40"/>
        </w:rPr>
        <w:t> </w:t>
      </w:r>
      <w:r>
        <w:rPr/>
        <w:t>and</w:t>
      </w:r>
      <w:r>
        <w:rPr>
          <w:spacing w:val="40"/>
        </w:rPr>
        <w:t> </w:t>
      </w:r>
      <w:r>
        <w:rPr/>
        <w:t>authority.</w:t>
      </w:r>
    </w:p>
    <w:p>
      <w:pPr>
        <w:pStyle w:val="BodyText"/>
        <w:spacing w:line="264" w:lineRule="auto" w:before="57"/>
        <w:ind w:right="1441" w:firstLine="432"/>
        <w:jc w:val="both"/>
      </w:pPr>
      <w:r>
        <w:rPr/>
        <w:t>For</w:t>
      </w:r>
      <w:r>
        <w:rPr>
          <w:spacing w:val="-13"/>
        </w:rPr>
        <w:t> </w:t>
      </w:r>
      <w:r>
        <w:rPr/>
        <w:t>example,</w:t>
      </w:r>
      <w:r>
        <w:rPr>
          <w:spacing w:val="-12"/>
        </w:rPr>
        <w:t> </w:t>
      </w:r>
      <w:r>
        <w:rPr/>
        <w:t>in</w:t>
      </w:r>
      <w:r>
        <w:rPr>
          <w:spacing w:val="-13"/>
        </w:rPr>
        <w:t> </w:t>
      </w:r>
      <w:r>
        <w:rPr/>
        <w:t>Macbeth,</w:t>
      </w:r>
      <w:r>
        <w:rPr>
          <w:spacing w:val="-12"/>
        </w:rPr>
        <w:t> </w:t>
      </w:r>
      <w:r>
        <w:rPr/>
        <w:t>the</w:t>
      </w:r>
      <w:r>
        <w:rPr>
          <w:spacing w:val="-13"/>
        </w:rPr>
        <w:t> </w:t>
      </w:r>
      <w:r>
        <w:rPr/>
        <w:t>titular</w:t>
      </w:r>
      <w:r>
        <w:rPr>
          <w:spacing w:val="-12"/>
        </w:rPr>
        <w:t> </w:t>
      </w:r>
      <w:r>
        <w:rPr/>
        <w:t>character</w:t>
      </w:r>
      <w:r>
        <w:rPr>
          <w:spacing w:val="-13"/>
        </w:rPr>
        <w:t> </w:t>
      </w:r>
      <w:r>
        <w:rPr/>
        <w:t>is</w:t>
      </w:r>
      <w:r>
        <w:rPr>
          <w:spacing w:val="-12"/>
        </w:rPr>
        <w:t> </w:t>
      </w:r>
      <w:r>
        <w:rPr/>
        <w:t>driven</w:t>
      </w:r>
      <w:r>
        <w:rPr>
          <w:spacing w:val="-13"/>
        </w:rPr>
        <w:t> </w:t>
      </w:r>
      <w:r>
        <w:rPr/>
        <w:t>by</w:t>
      </w:r>
      <w:r>
        <w:rPr>
          <w:spacing w:val="-12"/>
        </w:rPr>
        <w:t> </w:t>
      </w:r>
      <w:r>
        <w:rPr/>
        <w:t>ambition and a desire for power. He is</w:t>
      </w:r>
      <w:r>
        <w:rPr>
          <w:spacing w:val="-2"/>
        </w:rPr>
        <w:t> </w:t>
      </w:r>
      <w:r>
        <w:rPr/>
        <w:t>willing to commit heinous acts to achieve his</w:t>
      </w:r>
      <w:r>
        <w:rPr>
          <w:spacing w:val="22"/>
        </w:rPr>
        <w:t> </w:t>
      </w:r>
      <w:r>
        <w:rPr/>
        <w:t>goals,</w:t>
      </w:r>
      <w:r>
        <w:rPr>
          <w:spacing w:val="24"/>
        </w:rPr>
        <w:t> </w:t>
      </w:r>
      <w:r>
        <w:rPr/>
        <w:t>showcasing</w:t>
      </w:r>
      <w:r>
        <w:rPr>
          <w:spacing w:val="18"/>
        </w:rPr>
        <w:t> </w:t>
      </w:r>
      <w:r>
        <w:rPr/>
        <w:t>a</w:t>
      </w:r>
      <w:r>
        <w:rPr>
          <w:spacing w:val="23"/>
        </w:rPr>
        <w:t> </w:t>
      </w:r>
      <w:r>
        <w:rPr/>
        <w:t>ruthless</w:t>
      </w:r>
      <w:r>
        <w:rPr>
          <w:spacing w:val="20"/>
        </w:rPr>
        <w:t> </w:t>
      </w:r>
      <w:r>
        <w:rPr/>
        <w:t>determination</w:t>
      </w:r>
      <w:r>
        <w:rPr>
          <w:spacing w:val="20"/>
        </w:rPr>
        <w:t> </w:t>
      </w:r>
      <w:r>
        <w:rPr/>
        <w:t>that</w:t>
      </w:r>
      <w:r>
        <w:rPr>
          <w:spacing w:val="20"/>
        </w:rPr>
        <w:t> </w:t>
      </w:r>
      <w:r>
        <w:rPr/>
        <w:t>is</w:t>
      </w:r>
      <w:r>
        <w:rPr>
          <w:spacing w:val="22"/>
        </w:rPr>
        <w:t> </w:t>
      </w:r>
      <w:r>
        <w:rPr/>
        <w:t>associated</w:t>
      </w:r>
      <w:r>
        <w:rPr>
          <w:spacing w:val="24"/>
        </w:rPr>
        <w:t> </w:t>
      </w:r>
      <w:r>
        <w:rPr/>
        <w:t>with a</w:t>
      </w:r>
      <w:r>
        <w:rPr>
          <w:spacing w:val="-10"/>
        </w:rPr>
        <w:t> </w:t>
      </w:r>
      <w:r>
        <w:rPr/>
        <w:t>traditional</w:t>
      </w:r>
      <w:r>
        <w:rPr>
          <w:spacing w:val="-10"/>
        </w:rPr>
        <w:t> </w:t>
      </w:r>
      <w:r>
        <w:rPr/>
        <w:t>notion</w:t>
      </w:r>
      <w:r>
        <w:rPr>
          <w:spacing w:val="-13"/>
        </w:rPr>
        <w:t> </w:t>
      </w:r>
      <w:r>
        <w:rPr/>
        <w:t>of</w:t>
      </w:r>
      <w:r>
        <w:rPr>
          <w:spacing w:val="-10"/>
        </w:rPr>
        <w:t> </w:t>
      </w:r>
      <w:r>
        <w:rPr/>
        <w:t>masculine</w:t>
      </w:r>
      <w:r>
        <w:rPr>
          <w:spacing w:val="-10"/>
        </w:rPr>
        <w:t> </w:t>
      </w:r>
      <w:r>
        <w:rPr/>
        <w:t>strength.</w:t>
      </w:r>
      <w:r>
        <w:rPr>
          <w:spacing w:val="-8"/>
        </w:rPr>
        <w:t> </w:t>
      </w:r>
      <w:r>
        <w:rPr/>
        <w:t>Similarly,</w:t>
      </w:r>
      <w:r>
        <w:rPr>
          <w:spacing w:val="-10"/>
        </w:rPr>
        <w:t> </w:t>
      </w:r>
      <w:r>
        <w:rPr/>
        <w:t>in</w:t>
      </w:r>
      <w:r>
        <w:rPr>
          <w:spacing w:val="-12"/>
        </w:rPr>
        <w:t> </w:t>
      </w:r>
      <w:r>
        <w:rPr/>
        <w:t>Hamlet,</w:t>
      </w:r>
      <w:r>
        <w:rPr>
          <w:spacing w:val="-8"/>
        </w:rPr>
        <w:t> </w:t>
      </w:r>
      <w:r>
        <w:rPr/>
        <w:t>the</w:t>
      </w:r>
      <w:r>
        <w:rPr>
          <w:spacing w:val="-9"/>
        </w:rPr>
        <w:t> </w:t>
      </w:r>
      <w:r>
        <w:rPr/>
        <w:t>male characters, including the titular character, are driven by revenge and display</w:t>
      </w:r>
      <w:r>
        <w:rPr>
          <w:spacing w:val="40"/>
        </w:rPr>
        <w:t> </w:t>
      </w:r>
      <w:r>
        <w:rPr/>
        <w:t>a</w:t>
      </w:r>
      <w:r>
        <w:rPr>
          <w:spacing w:val="40"/>
        </w:rPr>
        <w:t> </w:t>
      </w:r>
      <w:r>
        <w:rPr/>
        <w:t>sense</w:t>
      </w:r>
      <w:r>
        <w:rPr>
          <w:spacing w:val="40"/>
        </w:rPr>
        <w:t> </w:t>
      </w:r>
      <w:r>
        <w:rPr/>
        <w:t>of</w:t>
      </w:r>
      <w:r>
        <w:rPr>
          <w:spacing w:val="40"/>
        </w:rPr>
        <w:t> </w:t>
      </w:r>
      <w:r>
        <w:rPr/>
        <w:t>honor</w:t>
      </w:r>
      <w:r>
        <w:rPr>
          <w:spacing w:val="40"/>
        </w:rPr>
        <w:t> </w:t>
      </w:r>
      <w:r>
        <w:rPr/>
        <w:t>and</w:t>
      </w:r>
      <w:r>
        <w:rPr>
          <w:spacing w:val="40"/>
        </w:rPr>
        <w:t> </w:t>
      </w:r>
      <w:r>
        <w:rPr/>
        <w:t>duty</w:t>
      </w:r>
      <w:r>
        <w:rPr>
          <w:spacing w:val="40"/>
        </w:rPr>
        <w:t> </w:t>
      </w:r>
      <w:r>
        <w:rPr/>
        <w:t>in</w:t>
      </w:r>
      <w:r>
        <w:rPr>
          <w:spacing w:val="40"/>
        </w:rPr>
        <w:t> </w:t>
      </w:r>
      <w:r>
        <w:rPr/>
        <w:t>their</w:t>
      </w:r>
      <w:r>
        <w:rPr>
          <w:spacing w:val="40"/>
        </w:rPr>
        <w:t> </w:t>
      </w:r>
      <w:r>
        <w:rPr/>
        <w:t>actions.</w:t>
      </w:r>
    </w:p>
    <w:p>
      <w:pPr>
        <w:pStyle w:val="BodyText"/>
        <w:spacing w:line="264" w:lineRule="auto" w:before="51"/>
        <w:ind w:right="1439" w:firstLine="432"/>
        <w:jc w:val="both"/>
      </w:pPr>
      <w:r>
        <w:rPr/>
        <w:t>In addition to these traits, male characters in Shakespearean plays are often expected to be rational and logical. They are portrayed as being in control of their emotions, especially in moments of crisis or conflict. This emotional restraint is seen as a sign of strength and maturity,</w:t>
      </w:r>
      <w:r>
        <w:rPr>
          <w:spacing w:val="-9"/>
        </w:rPr>
        <w:t> </w:t>
      </w:r>
      <w:r>
        <w:rPr/>
        <w:t>highlighting</w:t>
      </w:r>
      <w:r>
        <w:rPr>
          <w:spacing w:val="-9"/>
        </w:rPr>
        <w:t> </w:t>
      </w:r>
      <w:r>
        <w:rPr/>
        <w:t>the</w:t>
      </w:r>
      <w:r>
        <w:rPr>
          <w:spacing w:val="-9"/>
        </w:rPr>
        <w:t> </w:t>
      </w:r>
      <w:r>
        <w:rPr/>
        <w:t>expectation</w:t>
      </w:r>
      <w:r>
        <w:rPr>
          <w:spacing w:val="-9"/>
        </w:rPr>
        <w:t> </w:t>
      </w:r>
      <w:r>
        <w:rPr/>
        <w:t>that</w:t>
      </w:r>
      <w:r>
        <w:rPr>
          <w:spacing w:val="-7"/>
        </w:rPr>
        <w:t> </w:t>
      </w:r>
      <w:r>
        <w:rPr/>
        <w:t>men</w:t>
      </w:r>
      <w:r>
        <w:rPr>
          <w:spacing w:val="-9"/>
        </w:rPr>
        <w:t> </w:t>
      </w:r>
      <w:r>
        <w:rPr/>
        <w:t>should</w:t>
      </w:r>
      <w:r>
        <w:rPr>
          <w:spacing w:val="-7"/>
        </w:rPr>
        <w:t> </w:t>
      </w:r>
      <w:r>
        <w:rPr/>
        <w:t>be</w:t>
      </w:r>
      <w:r>
        <w:rPr>
          <w:spacing w:val="-8"/>
        </w:rPr>
        <w:t> </w:t>
      </w:r>
      <w:r>
        <w:rPr/>
        <w:t>composed</w:t>
      </w:r>
      <w:r>
        <w:rPr>
          <w:spacing w:val="-7"/>
        </w:rPr>
        <w:t> </w:t>
      </w:r>
      <w:r>
        <w:rPr/>
        <w:t>and </w:t>
      </w:r>
      <w:r>
        <w:rPr>
          <w:spacing w:val="-2"/>
        </w:rPr>
        <w:t>level-headed.</w:t>
      </w:r>
    </w:p>
    <w:p>
      <w:pPr>
        <w:pStyle w:val="BodyText"/>
        <w:spacing w:line="249" w:lineRule="auto" w:before="45"/>
        <w:ind w:right="1440" w:firstLine="432"/>
        <w:jc w:val="both"/>
      </w:pPr>
      <w:r>
        <w:rPr/>
        <w:t>Furthermore, male characters are often depicted as the initiators and</w:t>
      </w:r>
      <w:r>
        <w:rPr>
          <w:spacing w:val="17"/>
        </w:rPr>
        <w:t> </w:t>
      </w:r>
      <w:r>
        <w:rPr/>
        <w:t>pursuers</w:t>
      </w:r>
      <w:r>
        <w:rPr>
          <w:spacing w:val="12"/>
        </w:rPr>
        <w:t> </w:t>
      </w:r>
      <w:r>
        <w:rPr/>
        <w:t>of</w:t>
      </w:r>
      <w:r>
        <w:rPr>
          <w:spacing w:val="14"/>
        </w:rPr>
        <w:t> </w:t>
      </w:r>
      <w:r>
        <w:rPr/>
        <w:t>romantic</w:t>
      </w:r>
      <w:r>
        <w:rPr>
          <w:spacing w:val="15"/>
        </w:rPr>
        <w:t> </w:t>
      </w:r>
      <w:r>
        <w:rPr/>
        <w:t>relationships.</w:t>
      </w:r>
      <w:r>
        <w:rPr>
          <w:spacing w:val="16"/>
        </w:rPr>
        <w:t> </w:t>
      </w:r>
      <w:r>
        <w:rPr/>
        <w:t>They</w:t>
      </w:r>
      <w:r>
        <w:rPr>
          <w:spacing w:val="12"/>
        </w:rPr>
        <w:t> </w:t>
      </w:r>
      <w:r>
        <w:rPr/>
        <w:t>are</w:t>
      </w:r>
      <w:r>
        <w:rPr>
          <w:spacing w:val="14"/>
        </w:rPr>
        <w:t> </w:t>
      </w:r>
      <w:r>
        <w:rPr/>
        <w:t>expected</w:t>
      </w:r>
      <w:r>
        <w:rPr>
          <w:spacing w:val="17"/>
        </w:rPr>
        <w:t> </w:t>
      </w:r>
      <w:r>
        <w:rPr/>
        <w:t>to</w:t>
      </w:r>
      <w:r>
        <w:rPr>
          <w:spacing w:val="16"/>
        </w:rPr>
        <w:t> </w:t>
      </w:r>
      <w:r>
        <w:rPr/>
        <w:t>woo</w:t>
      </w:r>
      <w:r>
        <w:rPr>
          <w:spacing w:val="18"/>
        </w:rPr>
        <w:t> </w:t>
      </w:r>
      <w:r>
        <w:rPr>
          <w:spacing w:val="-5"/>
        </w:rPr>
        <w:t>and</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74208">
                <wp:simplePos x="0" y="0"/>
                <wp:positionH relativeFrom="page">
                  <wp:posOffset>2057400</wp:posOffset>
                </wp:positionH>
                <wp:positionV relativeFrom="paragraph">
                  <wp:posOffset>162604</wp:posOffset>
                </wp:positionV>
                <wp:extent cx="3657600" cy="12700"/>
                <wp:effectExtent l="0" t="0" r="0" b="0"/>
                <wp:wrapTopAndBottom/>
                <wp:docPr id="526" name="Graphic 526"/>
                <wp:cNvGraphicFramePr>
                  <a:graphicFrameLocks/>
                </wp:cNvGraphicFramePr>
                <a:graphic>
                  <a:graphicData uri="http://schemas.microsoft.com/office/word/2010/wordprocessingShape">
                    <wps:wsp>
                      <wps:cNvPr id="526" name="Graphic 52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42272;mso-wrap-distance-left:0;mso-wrap-distance-right:0" id="docshape521" filled="true" fillcolor="#000000" stroked="false">
                <v:fill type="solid"/>
                <w10:wrap type="topAndBottom"/>
              </v:rect>
            </w:pict>
          </mc:Fallback>
        </mc:AlternateContent>
      </w:r>
      <w:r>
        <w:rPr>
          <w:rFonts w:ascii="Verdana"/>
          <w:spacing w:val="-5"/>
          <w:sz w:val="18"/>
        </w:rPr>
        <w:t>246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3"/>
        <w:jc w:val="both"/>
      </w:pPr>
      <w:r>
        <w:rPr/>
        <w:t>win over the female characters, showcasing their assertiveness and confidence</w:t>
      </w:r>
      <w:r>
        <w:rPr>
          <w:spacing w:val="40"/>
        </w:rPr>
        <w:t> </w:t>
      </w:r>
      <w:r>
        <w:rPr/>
        <w:t>in matters of love.</w:t>
      </w:r>
    </w:p>
    <w:p>
      <w:pPr>
        <w:pStyle w:val="BodyText"/>
        <w:spacing w:line="261" w:lineRule="auto" w:before="67"/>
        <w:ind w:right="1437" w:firstLine="432"/>
        <w:jc w:val="both"/>
      </w:pPr>
      <w:r>
        <w:rPr>
          <w:spacing w:val="-2"/>
        </w:rPr>
        <w:t>However,</w:t>
      </w:r>
      <w:r>
        <w:rPr>
          <w:spacing w:val="-7"/>
        </w:rPr>
        <w:t> </w:t>
      </w:r>
      <w:r>
        <w:rPr>
          <w:spacing w:val="-2"/>
        </w:rPr>
        <w:t>it</w:t>
      </w:r>
      <w:r>
        <w:rPr>
          <w:spacing w:val="-9"/>
        </w:rPr>
        <w:t> </w:t>
      </w:r>
      <w:r>
        <w:rPr>
          <w:spacing w:val="-2"/>
        </w:rPr>
        <w:t>is</w:t>
      </w:r>
      <w:r>
        <w:rPr>
          <w:spacing w:val="-7"/>
        </w:rPr>
        <w:t> </w:t>
      </w:r>
      <w:r>
        <w:rPr>
          <w:spacing w:val="-2"/>
        </w:rPr>
        <w:t>important</w:t>
      </w:r>
      <w:r>
        <w:rPr>
          <w:spacing w:val="-9"/>
        </w:rPr>
        <w:t> </w:t>
      </w:r>
      <w:r>
        <w:rPr>
          <w:spacing w:val="-2"/>
        </w:rPr>
        <w:t>to</w:t>
      </w:r>
      <w:r>
        <w:rPr>
          <w:spacing w:val="-7"/>
        </w:rPr>
        <w:t> </w:t>
      </w:r>
      <w:r>
        <w:rPr>
          <w:spacing w:val="-2"/>
        </w:rPr>
        <w:t>note</w:t>
      </w:r>
      <w:r>
        <w:rPr>
          <w:spacing w:val="-7"/>
        </w:rPr>
        <w:t> </w:t>
      </w:r>
      <w:r>
        <w:rPr>
          <w:spacing w:val="-2"/>
        </w:rPr>
        <w:t>that</w:t>
      </w:r>
      <w:r>
        <w:rPr>
          <w:spacing w:val="-8"/>
        </w:rPr>
        <w:t> </w:t>
      </w:r>
      <w:r>
        <w:rPr>
          <w:spacing w:val="-2"/>
        </w:rPr>
        <w:t>not</w:t>
      </w:r>
      <w:r>
        <w:rPr>
          <w:spacing w:val="-9"/>
        </w:rPr>
        <w:t> </w:t>
      </w:r>
      <w:r>
        <w:rPr>
          <w:spacing w:val="-2"/>
        </w:rPr>
        <w:t>all</w:t>
      </w:r>
      <w:r>
        <w:rPr>
          <w:spacing w:val="-7"/>
        </w:rPr>
        <w:t> </w:t>
      </w:r>
      <w:r>
        <w:rPr>
          <w:spacing w:val="-2"/>
        </w:rPr>
        <w:t>male</w:t>
      </w:r>
      <w:r>
        <w:rPr>
          <w:spacing w:val="-7"/>
        </w:rPr>
        <w:t> </w:t>
      </w:r>
      <w:r>
        <w:rPr>
          <w:spacing w:val="-2"/>
        </w:rPr>
        <w:t>characters</w:t>
      </w:r>
      <w:r>
        <w:rPr>
          <w:spacing w:val="-9"/>
        </w:rPr>
        <w:t> </w:t>
      </w:r>
      <w:r>
        <w:rPr>
          <w:spacing w:val="-2"/>
        </w:rPr>
        <w:t>conform </w:t>
      </w:r>
      <w:r>
        <w:rPr/>
        <w:t>strictly to these traditional gender roles. Shakespeare also provides nuanced portrayals of masculinity, exploring the complexities and contradictions</w:t>
      </w:r>
      <w:r>
        <w:rPr>
          <w:spacing w:val="-13"/>
        </w:rPr>
        <w:t> </w:t>
      </w:r>
      <w:r>
        <w:rPr/>
        <w:t>within</w:t>
      </w:r>
      <w:r>
        <w:rPr>
          <w:spacing w:val="-12"/>
        </w:rPr>
        <w:t> </w:t>
      </w:r>
      <w:r>
        <w:rPr/>
        <w:t>male</w:t>
      </w:r>
      <w:r>
        <w:rPr>
          <w:spacing w:val="-13"/>
        </w:rPr>
        <w:t> </w:t>
      </w:r>
      <w:r>
        <w:rPr/>
        <w:t>characters.</w:t>
      </w:r>
      <w:r>
        <w:rPr>
          <w:spacing w:val="-12"/>
        </w:rPr>
        <w:t> </w:t>
      </w:r>
      <w:r>
        <w:rPr/>
        <w:t>Some</w:t>
      </w:r>
      <w:r>
        <w:rPr>
          <w:spacing w:val="-13"/>
        </w:rPr>
        <w:t> </w:t>
      </w:r>
      <w:r>
        <w:rPr/>
        <w:t>male</w:t>
      </w:r>
      <w:r>
        <w:rPr>
          <w:spacing w:val="-12"/>
        </w:rPr>
        <w:t> </w:t>
      </w:r>
      <w:r>
        <w:rPr/>
        <w:t>characters</w:t>
      </w:r>
      <w:r>
        <w:rPr>
          <w:spacing w:val="-13"/>
        </w:rPr>
        <w:t> </w:t>
      </w:r>
      <w:r>
        <w:rPr/>
        <w:t>may</w:t>
      </w:r>
      <w:r>
        <w:rPr>
          <w:spacing w:val="-12"/>
        </w:rPr>
        <w:t> </w:t>
      </w:r>
      <w:r>
        <w:rPr/>
        <w:t>exhibit vulnerability, struggle with their emotions, or challenge traditional expectations of masculinity Analyzing the portrayal of masculinity in </w:t>
      </w:r>
      <w:r>
        <w:rPr>
          <w:spacing w:val="-2"/>
        </w:rPr>
        <w:t>Shakespearean</w:t>
      </w:r>
      <w:r>
        <w:rPr>
          <w:spacing w:val="-5"/>
        </w:rPr>
        <w:t> </w:t>
      </w:r>
      <w:r>
        <w:rPr>
          <w:spacing w:val="-2"/>
        </w:rPr>
        <w:t>plays allows</w:t>
      </w:r>
      <w:r>
        <w:rPr>
          <w:spacing w:val="-5"/>
        </w:rPr>
        <w:t> </w:t>
      </w:r>
      <w:r>
        <w:rPr>
          <w:spacing w:val="-2"/>
        </w:rPr>
        <w:t>us</w:t>
      </w:r>
      <w:r>
        <w:rPr>
          <w:spacing w:val="-5"/>
        </w:rPr>
        <w:t> </w:t>
      </w:r>
      <w:r>
        <w:rPr>
          <w:spacing w:val="-2"/>
        </w:rPr>
        <w:t>to</w:t>
      </w:r>
      <w:r>
        <w:rPr>
          <w:spacing w:val="-5"/>
        </w:rPr>
        <w:t> </w:t>
      </w:r>
      <w:r>
        <w:rPr>
          <w:spacing w:val="-2"/>
        </w:rPr>
        <w:t>critically</w:t>
      </w:r>
      <w:r>
        <w:rPr>
          <w:spacing w:val="-7"/>
        </w:rPr>
        <w:t> </w:t>
      </w:r>
      <w:r>
        <w:rPr>
          <w:spacing w:val="-2"/>
        </w:rPr>
        <w:t>examine and question</w:t>
      </w:r>
      <w:r>
        <w:rPr>
          <w:spacing w:val="-5"/>
        </w:rPr>
        <w:t> </w:t>
      </w:r>
      <w:r>
        <w:rPr>
          <w:spacing w:val="-2"/>
        </w:rPr>
        <w:t>societal </w:t>
      </w:r>
      <w:r>
        <w:rPr/>
        <w:t>norms and expectations surrounding gender. It prompts us to consider the limitations and pressures placed on men to conform to traditional ideals of masculinity. It also raises questions about the impact of these expectations</w:t>
      </w:r>
      <w:r>
        <w:rPr>
          <w:spacing w:val="-13"/>
        </w:rPr>
        <w:t> </w:t>
      </w:r>
      <w:r>
        <w:rPr/>
        <w:t>on</w:t>
      </w:r>
      <w:r>
        <w:rPr>
          <w:spacing w:val="-12"/>
        </w:rPr>
        <w:t> </w:t>
      </w:r>
      <w:r>
        <w:rPr/>
        <w:t>individual</w:t>
      </w:r>
      <w:r>
        <w:rPr>
          <w:spacing w:val="-13"/>
        </w:rPr>
        <w:t> </w:t>
      </w:r>
      <w:r>
        <w:rPr/>
        <w:t>lives</w:t>
      </w:r>
      <w:r>
        <w:rPr>
          <w:spacing w:val="-12"/>
        </w:rPr>
        <w:t> </w:t>
      </w:r>
      <w:r>
        <w:rPr/>
        <w:t>and</w:t>
      </w:r>
      <w:r>
        <w:rPr>
          <w:spacing w:val="-13"/>
        </w:rPr>
        <w:t> </w:t>
      </w:r>
      <w:r>
        <w:rPr/>
        <w:t>relationships</w:t>
      </w:r>
      <w:r>
        <w:rPr>
          <w:spacing w:val="-12"/>
        </w:rPr>
        <w:t> </w:t>
      </w:r>
      <w:r>
        <w:rPr/>
        <w:t>and</w:t>
      </w:r>
      <w:r>
        <w:rPr>
          <w:spacing w:val="-13"/>
        </w:rPr>
        <w:t> </w:t>
      </w:r>
      <w:r>
        <w:rPr/>
        <w:t>invites</w:t>
      </w:r>
      <w:r>
        <w:rPr>
          <w:spacing w:val="-12"/>
        </w:rPr>
        <w:t> </w:t>
      </w:r>
      <w:r>
        <w:rPr/>
        <w:t>discussions on</w:t>
      </w:r>
      <w:r>
        <w:rPr>
          <w:spacing w:val="40"/>
        </w:rPr>
        <w:t> </w:t>
      </w:r>
      <w:r>
        <w:rPr/>
        <w:t>redefining</w:t>
      </w:r>
      <w:r>
        <w:rPr>
          <w:spacing w:val="40"/>
        </w:rPr>
        <w:t> </w:t>
      </w:r>
      <w:r>
        <w:rPr/>
        <w:t>and</w:t>
      </w:r>
      <w:r>
        <w:rPr>
          <w:spacing w:val="40"/>
        </w:rPr>
        <w:t> </w:t>
      </w:r>
      <w:r>
        <w:rPr/>
        <w:t>expanding</w:t>
      </w:r>
      <w:r>
        <w:rPr>
          <w:spacing w:val="40"/>
        </w:rPr>
        <w:t> </w:t>
      </w:r>
      <w:r>
        <w:rPr/>
        <w:t>notions</w:t>
      </w:r>
      <w:r>
        <w:rPr>
          <w:spacing w:val="40"/>
        </w:rPr>
        <w:t> </w:t>
      </w:r>
      <w:r>
        <w:rPr/>
        <w:t>of</w:t>
      </w:r>
      <w:r>
        <w:rPr>
          <w:spacing w:val="40"/>
        </w:rPr>
        <w:t> </w:t>
      </w:r>
      <w:r>
        <w:rPr/>
        <w:t>masculinity.</w:t>
      </w:r>
    </w:p>
    <w:p>
      <w:pPr>
        <w:pStyle w:val="Heading3"/>
        <w:spacing w:line="249" w:lineRule="auto" w:before="145"/>
        <w:ind w:right="1442"/>
        <w:jc w:val="both"/>
      </w:pPr>
      <w:r>
        <w:rPr/>
        <w:t>EXAMPLES</w:t>
      </w:r>
      <w:r>
        <w:rPr>
          <w:spacing w:val="-10"/>
        </w:rPr>
        <w:t> </w:t>
      </w:r>
      <w:r>
        <w:rPr/>
        <w:t>AND</w:t>
      </w:r>
      <w:r>
        <w:rPr>
          <w:spacing w:val="-10"/>
        </w:rPr>
        <w:t> </w:t>
      </w:r>
      <w:r>
        <w:rPr/>
        <w:t>ANALYSIS</w:t>
      </w:r>
      <w:r>
        <w:rPr>
          <w:spacing w:val="-9"/>
        </w:rPr>
        <w:t> </w:t>
      </w:r>
      <w:r>
        <w:rPr/>
        <w:t>OF</w:t>
      </w:r>
      <w:r>
        <w:rPr>
          <w:spacing w:val="-9"/>
        </w:rPr>
        <w:t> </w:t>
      </w:r>
      <w:r>
        <w:rPr/>
        <w:t>MALE</w:t>
      </w:r>
      <w:r>
        <w:rPr>
          <w:spacing w:val="-10"/>
        </w:rPr>
        <w:t> </w:t>
      </w:r>
      <w:r>
        <w:rPr/>
        <w:t>CHARACTERS </w:t>
      </w:r>
      <w:r>
        <w:rPr>
          <w:spacing w:val="-6"/>
        </w:rPr>
        <w:t>CONFORMING</w:t>
      </w:r>
      <w:r>
        <w:rPr>
          <w:spacing w:val="-11"/>
        </w:rPr>
        <w:t> </w:t>
      </w:r>
      <w:r>
        <w:rPr>
          <w:spacing w:val="-6"/>
        </w:rPr>
        <w:t>TO</w:t>
      </w:r>
      <w:r>
        <w:rPr>
          <w:spacing w:val="-11"/>
        </w:rPr>
        <w:t> </w:t>
      </w:r>
      <w:r>
        <w:rPr>
          <w:spacing w:val="-6"/>
        </w:rPr>
        <w:t>TRADITIONAL</w:t>
      </w:r>
      <w:r>
        <w:rPr>
          <w:spacing w:val="-11"/>
        </w:rPr>
        <w:t> </w:t>
      </w:r>
      <w:r>
        <w:rPr>
          <w:spacing w:val="-6"/>
        </w:rPr>
        <w:t>GENDER</w:t>
      </w:r>
      <w:r>
        <w:rPr>
          <w:spacing w:val="-11"/>
        </w:rPr>
        <w:t> </w:t>
      </w:r>
      <w:r>
        <w:rPr>
          <w:spacing w:val="-6"/>
        </w:rPr>
        <w:t>ROLES</w:t>
      </w:r>
    </w:p>
    <w:p>
      <w:pPr>
        <w:pStyle w:val="BodyText"/>
        <w:spacing w:line="261" w:lineRule="auto" w:before="75"/>
        <w:ind w:right="1439" w:firstLine="432"/>
        <w:jc w:val="both"/>
      </w:pPr>
      <w:r>
        <w:rPr>
          <w:spacing w:val="-4"/>
        </w:rPr>
        <w:t>In Shakespearean</w:t>
      </w:r>
      <w:r>
        <w:rPr>
          <w:spacing w:val="-5"/>
        </w:rPr>
        <w:t> </w:t>
      </w:r>
      <w:r>
        <w:rPr>
          <w:spacing w:val="-4"/>
        </w:rPr>
        <w:t>plays, many male characters conform to traditional gender roles, embodying</w:t>
      </w:r>
      <w:r>
        <w:rPr>
          <w:spacing w:val="-6"/>
        </w:rPr>
        <w:t> </w:t>
      </w:r>
      <w:r>
        <w:rPr>
          <w:spacing w:val="-4"/>
        </w:rPr>
        <w:t>the ideals of masculinity</w:t>
      </w:r>
      <w:r>
        <w:rPr>
          <w:spacing w:val="-9"/>
        </w:rPr>
        <w:t> </w:t>
      </w:r>
      <w:r>
        <w:rPr>
          <w:spacing w:val="-4"/>
        </w:rPr>
        <w:t>prevalent in Elizabethan </w:t>
      </w:r>
      <w:r>
        <w:rPr/>
        <w:t>society. These characters often exhibit traits and behaviors that align with societal</w:t>
      </w:r>
      <w:r>
        <w:rPr>
          <w:spacing w:val="40"/>
        </w:rPr>
        <w:t> </w:t>
      </w:r>
      <w:r>
        <w:rPr/>
        <w:t>expectations of men during that time.</w:t>
      </w:r>
    </w:p>
    <w:p>
      <w:pPr>
        <w:pStyle w:val="BodyText"/>
        <w:spacing w:line="261" w:lineRule="auto" w:before="56"/>
        <w:ind w:right="1438" w:firstLine="432"/>
        <w:jc w:val="both"/>
      </w:pPr>
      <w:r>
        <w:rPr/>
        <w:t>One</w:t>
      </w:r>
      <w:r>
        <w:rPr>
          <w:spacing w:val="-3"/>
        </w:rPr>
        <w:t> </w:t>
      </w:r>
      <w:r>
        <w:rPr/>
        <w:t>such</w:t>
      </w:r>
      <w:r>
        <w:rPr>
          <w:spacing w:val="-1"/>
        </w:rPr>
        <w:t> </w:t>
      </w:r>
      <w:r>
        <w:rPr/>
        <w:t>example is</w:t>
      </w:r>
      <w:r>
        <w:rPr>
          <w:spacing w:val="-1"/>
        </w:rPr>
        <w:t> </w:t>
      </w:r>
      <w:r>
        <w:rPr/>
        <w:t>the</w:t>
      </w:r>
      <w:r>
        <w:rPr>
          <w:spacing w:val="-1"/>
        </w:rPr>
        <w:t> </w:t>
      </w:r>
      <w:r>
        <w:rPr/>
        <w:t>character of</w:t>
      </w:r>
      <w:r>
        <w:rPr>
          <w:spacing w:val="-3"/>
        </w:rPr>
        <w:t> </w:t>
      </w:r>
      <w:r>
        <w:rPr/>
        <w:t>Romeo in</w:t>
      </w:r>
      <w:r>
        <w:rPr>
          <w:spacing w:val="-3"/>
        </w:rPr>
        <w:t> </w:t>
      </w:r>
      <w:r>
        <w:rPr/>
        <w:t>Romeo and Juliet. Romeo embodies the archetype of a passionate and romantic lover. He is impulsive, willing</w:t>
      </w:r>
      <w:r>
        <w:rPr>
          <w:spacing w:val="-2"/>
        </w:rPr>
        <w:t> </w:t>
      </w:r>
      <w:r>
        <w:rPr/>
        <w:t>to risk</w:t>
      </w:r>
      <w:r>
        <w:rPr>
          <w:spacing w:val="-2"/>
        </w:rPr>
        <w:t> </w:t>
      </w:r>
      <w:r>
        <w:rPr/>
        <w:t>everything for love, and pursues Juliet with fervor. Romeo’s language is filled with poetic expressions of love and devotion, emphasizing his emotional intensity. His actions and words conform to the societal expectation that men should be assertive, passionate, and persistent in their pursuit of love and romantic </w:t>
      </w:r>
      <w:r>
        <w:rPr>
          <w:spacing w:val="-2"/>
        </w:rPr>
        <w:t>relationships.</w:t>
      </w:r>
    </w:p>
    <w:p>
      <w:pPr>
        <w:pStyle w:val="BodyText"/>
        <w:spacing w:line="261" w:lineRule="auto" w:before="54"/>
        <w:ind w:right="1439" w:firstLine="432"/>
        <w:jc w:val="both"/>
      </w:pPr>
      <w:r>
        <w:rPr/>
        <w:t>Another example is</w:t>
      </w:r>
      <w:r>
        <w:rPr>
          <w:spacing w:val="-2"/>
        </w:rPr>
        <w:t> </w:t>
      </w:r>
      <w:r>
        <w:rPr/>
        <w:t>the character</w:t>
      </w:r>
      <w:r>
        <w:rPr>
          <w:spacing w:val="-4"/>
        </w:rPr>
        <w:t> </w:t>
      </w:r>
      <w:r>
        <w:rPr/>
        <w:t>of</w:t>
      </w:r>
      <w:r>
        <w:rPr>
          <w:spacing w:val="-2"/>
        </w:rPr>
        <w:t> </w:t>
      </w:r>
      <w:r>
        <w:rPr/>
        <w:t>Macbeth</w:t>
      </w:r>
      <w:r>
        <w:rPr>
          <w:spacing w:val="-2"/>
        </w:rPr>
        <w:t> </w:t>
      </w:r>
      <w:r>
        <w:rPr/>
        <w:t>in</w:t>
      </w:r>
      <w:r>
        <w:rPr>
          <w:spacing w:val="-2"/>
        </w:rPr>
        <w:t> </w:t>
      </w:r>
      <w:r>
        <w:rPr/>
        <w:t>the</w:t>
      </w:r>
      <w:r>
        <w:rPr>
          <w:spacing w:val="-2"/>
        </w:rPr>
        <w:t> </w:t>
      </w:r>
      <w:r>
        <w:rPr/>
        <w:t>play</w:t>
      </w:r>
      <w:r>
        <w:rPr>
          <w:spacing w:val="-4"/>
        </w:rPr>
        <w:t> </w:t>
      </w:r>
      <w:r>
        <w:rPr/>
        <w:t>Macbeth. Macbeth</w:t>
      </w:r>
      <w:r>
        <w:rPr>
          <w:spacing w:val="-13"/>
        </w:rPr>
        <w:t> </w:t>
      </w:r>
      <w:r>
        <w:rPr/>
        <w:t>initially</w:t>
      </w:r>
      <w:r>
        <w:rPr>
          <w:spacing w:val="-12"/>
        </w:rPr>
        <w:t> </w:t>
      </w:r>
      <w:r>
        <w:rPr/>
        <w:t>conforms</w:t>
      </w:r>
      <w:r>
        <w:rPr>
          <w:spacing w:val="-13"/>
        </w:rPr>
        <w:t> </w:t>
      </w:r>
      <w:r>
        <w:rPr/>
        <w:t>to</w:t>
      </w:r>
      <w:r>
        <w:rPr>
          <w:spacing w:val="-12"/>
        </w:rPr>
        <w:t> </w:t>
      </w:r>
      <w:r>
        <w:rPr/>
        <w:t>traditional</w:t>
      </w:r>
      <w:r>
        <w:rPr>
          <w:spacing w:val="-13"/>
        </w:rPr>
        <w:t> </w:t>
      </w:r>
      <w:r>
        <w:rPr/>
        <w:t>gender</w:t>
      </w:r>
      <w:r>
        <w:rPr>
          <w:spacing w:val="-12"/>
        </w:rPr>
        <w:t> </w:t>
      </w:r>
      <w:r>
        <w:rPr/>
        <w:t>roles</w:t>
      </w:r>
      <w:r>
        <w:rPr>
          <w:spacing w:val="-13"/>
        </w:rPr>
        <w:t> </w:t>
      </w:r>
      <w:r>
        <w:rPr/>
        <w:t>as</w:t>
      </w:r>
      <w:r>
        <w:rPr>
          <w:spacing w:val="-12"/>
        </w:rPr>
        <w:t> </w:t>
      </w:r>
      <w:r>
        <w:rPr/>
        <w:t>a</w:t>
      </w:r>
      <w:r>
        <w:rPr>
          <w:spacing w:val="-13"/>
        </w:rPr>
        <w:t> </w:t>
      </w:r>
      <w:r>
        <w:rPr/>
        <w:t>valiant</w:t>
      </w:r>
      <w:r>
        <w:rPr>
          <w:spacing w:val="-12"/>
        </w:rPr>
        <w:t> </w:t>
      </w:r>
      <w:r>
        <w:rPr/>
        <w:t>warrior and loyal subject of the king. However, his ambition and desire for power lead him to commit acts of violence and betrayal. While his actions may be driven by personal ambition and power, they align with the</w:t>
      </w:r>
      <w:r>
        <w:rPr>
          <w:spacing w:val="-1"/>
        </w:rPr>
        <w:t> </w:t>
      </w:r>
      <w:r>
        <w:rPr/>
        <w:t>expectation</w:t>
      </w:r>
      <w:r>
        <w:rPr>
          <w:spacing w:val="-2"/>
        </w:rPr>
        <w:t> </w:t>
      </w:r>
      <w:r>
        <w:rPr/>
        <w:t>that</w:t>
      </w:r>
      <w:r>
        <w:rPr>
          <w:spacing w:val="-2"/>
        </w:rPr>
        <w:t> </w:t>
      </w:r>
      <w:r>
        <w:rPr/>
        <w:t>men</w:t>
      </w:r>
      <w:r>
        <w:rPr>
          <w:spacing w:val="-3"/>
        </w:rPr>
        <w:t> </w:t>
      </w:r>
      <w:r>
        <w:rPr/>
        <w:t>should be</w:t>
      </w:r>
      <w:r>
        <w:rPr>
          <w:spacing w:val="-2"/>
        </w:rPr>
        <w:t> </w:t>
      </w:r>
      <w:r>
        <w:rPr/>
        <w:t>strong, assertive,</w:t>
      </w:r>
      <w:r>
        <w:rPr>
          <w:spacing w:val="-2"/>
        </w:rPr>
        <w:t> </w:t>
      </w:r>
      <w:r>
        <w:rPr/>
        <w:t>and willing</w:t>
      </w:r>
      <w:r>
        <w:rPr>
          <w:spacing w:val="-2"/>
        </w:rPr>
        <w:t> </w:t>
      </w:r>
      <w:r>
        <w:rPr/>
        <w:t>to</w:t>
      </w:r>
      <w:r>
        <w:rPr>
          <w:spacing w:val="-2"/>
        </w:rPr>
        <w:t> </w:t>
      </w:r>
      <w:r>
        <w:rPr/>
        <w:t>take risks to achieve their goals. Macbeth’s descent into darkness reflects</w:t>
      </w:r>
      <w:r>
        <w:rPr>
          <w:spacing w:val="40"/>
        </w:rPr>
        <w:t> </w:t>
      </w:r>
      <w:r>
        <w:rPr/>
        <w:t>the consequences of unchecked masculinity and the destructive potential of conforming to</w:t>
      </w:r>
      <w:r>
        <w:rPr>
          <w:spacing w:val="40"/>
        </w:rPr>
        <w:t> </w:t>
      </w:r>
      <w:r>
        <w:rPr/>
        <w:t>traditional gender roles.</w:t>
      </w:r>
    </w:p>
    <w:p>
      <w:pPr>
        <w:pStyle w:val="BodyText"/>
        <w:spacing w:after="0" w:line="261" w:lineRule="auto"/>
        <w:jc w:val="both"/>
        <w:sectPr>
          <w:pgSz w:w="12240" w:h="15840"/>
          <w:pgMar w:top="1820" w:bottom="280" w:left="1800" w:right="1800"/>
        </w:sectPr>
      </w:pPr>
    </w:p>
    <w:p>
      <w:pPr>
        <w:tabs>
          <w:tab w:pos="7192"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74720">
                <wp:simplePos x="0" y="0"/>
                <wp:positionH relativeFrom="page">
                  <wp:posOffset>2065020</wp:posOffset>
                </wp:positionH>
                <wp:positionV relativeFrom="paragraph">
                  <wp:posOffset>795020</wp:posOffset>
                </wp:positionV>
                <wp:extent cx="3657600" cy="12700"/>
                <wp:effectExtent l="0" t="0" r="0" b="0"/>
                <wp:wrapTopAndBottom/>
                <wp:docPr id="527" name="Graphic 527"/>
                <wp:cNvGraphicFramePr>
                  <a:graphicFrameLocks/>
                </wp:cNvGraphicFramePr>
                <a:graphic>
                  <a:graphicData uri="http://schemas.microsoft.com/office/word/2010/wordprocessingShape">
                    <wps:wsp>
                      <wps:cNvPr id="527" name="Graphic 52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41760;mso-wrap-distance-left:0;mso-wrap-distance-right:0" id="docshape522" filled="true" fillcolor="#000000" stroked="false">
                <v:fill type="solid"/>
                <w10:wrap type="topAndBottom"/>
              </v:rect>
            </w:pict>
          </mc:Fallback>
        </mc:AlternateContent>
      </w:r>
      <w:r>
        <w:rPr>
          <w:rFonts w:ascii="Verdana" w:hAnsi="Verdana"/>
          <w:sz w:val="18"/>
        </w:rPr>
        <w:t>Gender,</w:t>
      </w:r>
      <w:r>
        <w:rPr>
          <w:rFonts w:ascii="Verdana" w:hAnsi="Verdana"/>
          <w:spacing w:val="5"/>
          <w:sz w:val="18"/>
        </w:rPr>
        <w:t> </w:t>
      </w:r>
      <w:r>
        <w:rPr>
          <w:rFonts w:ascii="Verdana" w:hAnsi="Verdana"/>
          <w:sz w:val="18"/>
        </w:rPr>
        <w:t>Space</w:t>
      </w:r>
      <w:r>
        <w:rPr>
          <w:rFonts w:ascii="Verdana" w:hAnsi="Verdana"/>
          <w:spacing w:val="10"/>
          <w:sz w:val="18"/>
        </w:rPr>
        <w:t> </w:t>
      </w:r>
      <w:r>
        <w:rPr>
          <w:rFonts w:ascii="Verdana" w:hAnsi="Verdana"/>
          <w:sz w:val="18"/>
        </w:rPr>
        <w:t>and</w:t>
      </w:r>
      <w:r>
        <w:rPr>
          <w:rFonts w:ascii="Verdana" w:hAnsi="Verdana"/>
          <w:spacing w:val="5"/>
          <w:sz w:val="18"/>
        </w:rPr>
        <w:t> </w:t>
      </w:r>
      <w:r>
        <w:rPr>
          <w:rFonts w:ascii="Verdana" w:hAnsi="Verdana"/>
          <w:sz w:val="18"/>
        </w:rPr>
        <w:t>Power</w:t>
      </w:r>
      <w:r>
        <w:rPr>
          <w:rFonts w:ascii="Verdana" w:hAnsi="Verdana"/>
          <w:spacing w:val="10"/>
          <w:sz w:val="18"/>
        </w:rPr>
        <w:t> </w:t>
      </w:r>
      <w:r>
        <w:rPr>
          <w:rFonts w:ascii="Verdana" w:hAnsi="Verdana"/>
          <w:sz w:val="18"/>
        </w:rPr>
        <w:t>In</w:t>
      </w:r>
      <w:r>
        <w:rPr>
          <w:rFonts w:ascii="Verdana" w:hAnsi="Verdana"/>
          <w:spacing w:val="6"/>
          <w:sz w:val="18"/>
        </w:rPr>
        <w:t> </w:t>
      </w:r>
      <w:r>
        <w:rPr>
          <w:rFonts w:ascii="Verdana" w:hAnsi="Verdana"/>
          <w:sz w:val="18"/>
        </w:rPr>
        <w:t>Shakespeare’s</w:t>
      </w:r>
      <w:r>
        <w:rPr>
          <w:rFonts w:ascii="Verdana" w:hAnsi="Verdana"/>
          <w:spacing w:val="8"/>
          <w:sz w:val="18"/>
        </w:rPr>
        <w:t> </w:t>
      </w:r>
      <w:r>
        <w:rPr>
          <w:rFonts w:ascii="Verdana" w:hAnsi="Verdana"/>
          <w:spacing w:val="-4"/>
          <w:sz w:val="18"/>
        </w:rPr>
        <w:t>Plays</w:t>
      </w:r>
      <w:r>
        <w:rPr>
          <w:sz w:val="18"/>
        </w:rPr>
        <w:tab/>
      </w:r>
      <w:r>
        <w:rPr>
          <w:rFonts w:ascii="Verdana" w:hAnsi="Verdana"/>
          <w:spacing w:val="-5"/>
          <w:sz w:val="18"/>
        </w:rPr>
        <w:t>247</w:t>
      </w:r>
    </w:p>
    <w:p>
      <w:pPr>
        <w:pStyle w:val="BodyText"/>
        <w:spacing w:line="249" w:lineRule="auto" w:before="192"/>
        <w:ind w:right="1439" w:firstLine="432"/>
        <w:jc w:val="both"/>
      </w:pPr>
      <w:r>
        <w:rPr/>
        <w:t>In Machbeth, Lady Macbeth is a complex character who defies traditional gender roles. She is ambitious manipulative, and assertive. exhibiting traits typically associated with masculinity. Lady Macbeth challenges the societal expectations of</w:t>
      </w:r>
      <w:r>
        <w:rPr>
          <w:spacing w:val="-2"/>
        </w:rPr>
        <w:t> </w:t>
      </w:r>
      <w:r>
        <w:rPr/>
        <w:t>femininity</w:t>
      </w:r>
      <w:r>
        <w:rPr>
          <w:spacing w:val="-2"/>
        </w:rPr>
        <w:t> </w:t>
      </w:r>
      <w:r>
        <w:rPr/>
        <w:t>by urging</w:t>
      </w:r>
      <w:r>
        <w:rPr>
          <w:spacing w:val="-2"/>
        </w:rPr>
        <w:t> </w:t>
      </w:r>
      <w:r>
        <w:rPr/>
        <w:t>Macbeth</w:t>
      </w:r>
      <w:r>
        <w:rPr>
          <w:spacing w:val="-2"/>
        </w:rPr>
        <w:t> </w:t>
      </w:r>
      <w:r>
        <w:rPr/>
        <w:t>to commit acts of violence in pursuit of power. Her character challenges the</w:t>
      </w:r>
      <w:r>
        <w:rPr>
          <w:spacing w:val="40"/>
        </w:rPr>
        <w:t> </w:t>
      </w:r>
      <w:r>
        <w:rPr/>
        <w:t>notion</w:t>
      </w:r>
      <w:r>
        <w:rPr>
          <w:spacing w:val="40"/>
        </w:rPr>
        <w:t> </w:t>
      </w:r>
      <w:r>
        <w:rPr/>
        <w:t>that</w:t>
      </w:r>
      <w:r>
        <w:rPr>
          <w:spacing w:val="40"/>
        </w:rPr>
        <w:t> </w:t>
      </w:r>
      <w:r>
        <w:rPr/>
        <w:t>women</w:t>
      </w:r>
      <w:r>
        <w:rPr>
          <w:spacing w:val="40"/>
        </w:rPr>
        <w:t> </w:t>
      </w:r>
      <w:r>
        <w:rPr/>
        <w:t>should</w:t>
      </w:r>
      <w:r>
        <w:rPr>
          <w:spacing w:val="40"/>
        </w:rPr>
        <w:t> </w:t>
      </w:r>
      <w:r>
        <w:rPr/>
        <w:t>be</w:t>
      </w:r>
      <w:r>
        <w:rPr>
          <w:spacing w:val="40"/>
        </w:rPr>
        <w:t> </w:t>
      </w:r>
      <w:r>
        <w:rPr/>
        <w:t>submissive</w:t>
      </w:r>
      <w:r>
        <w:rPr>
          <w:spacing w:val="40"/>
        </w:rPr>
        <w:t> </w:t>
      </w:r>
      <w:r>
        <w:rPr/>
        <w:t>and</w:t>
      </w:r>
      <w:r>
        <w:rPr>
          <w:spacing w:val="40"/>
        </w:rPr>
        <w:t> </w:t>
      </w:r>
      <w:r>
        <w:rPr/>
        <w:t>passive.</w:t>
      </w:r>
    </w:p>
    <w:p>
      <w:pPr>
        <w:pStyle w:val="BodyText"/>
        <w:spacing w:line="261" w:lineRule="auto" w:before="70"/>
        <w:ind w:right="1437" w:firstLine="432"/>
        <w:jc w:val="both"/>
      </w:pPr>
      <w:r>
        <w:rPr/>
        <w:t>Another</w:t>
      </w:r>
      <w:r>
        <w:rPr>
          <w:spacing w:val="-9"/>
        </w:rPr>
        <w:t> </w:t>
      </w:r>
      <w:r>
        <w:rPr/>
        <w:t>example</w:t>
      </w:r>
      <w:r>
        <w:rPr>
          <w:spacing w:val="-7"/>
        </w:rPr>
        <w:t> </w:t>
      </w:r>
      <w:r>
        <w:rPr/>
        <w:t>is</w:t>
      </w:r>
      <w:r>
        <w:rPr>
          <w:spacing w:val="-12"/>
        </w:rPr>
        <w:t> </w:t>
      </w:r>
      <w:r>
        <w:rPr/>
        <w:t>Viola</w:t>
      </w:r>
      <w:r>
        <w:rPr>
          <w:spacing w:val="-11"/>
        </w:rPr>
        <w:t> </w:t>
      </w:r>
      <w:r>
        <w:rPr/>
        <w:t>in</w:t>
      </w:r>
      <w:r>
        <w:rPr>
          <w:spacing w:val="-11"/>
        </w:rPr>
        <w:t> </w:t>
      </w:r>
      <w:r>
        <w:rPr/>
        <w:t>Twelfth</w:t>
      </w:r>
      <w:r>
        <w:rPr>
          <w:spacing w:val="-11"/>
        </w:rPr>
        <w:t> </w:t>
      </w:r>
      <w:r>
        <w:rPr/>
        <w:t>Night.</w:t>
      </w:r>
      <w:r>
        <w:rPr>
          <w:spacing w:val="-11"/>
        </w:rPr>
        <w:t> </w:t>
      </w:r>
      <w:r>
        <w:rPr/>
        <w:t>Viola</w:t>
      </w:r>
      <w:r>
        <w:rPr>
          <w:spacing w:val="-8"/>
        </w:rPr>
        <w:t> </w:t>
      </w:r>
      <w:r>
        <w:rPr/>
        <w:t>disguises</w:t>
      </w:r>
      <w:r>
        <w:rPr>
          <w:spacing w:val="-11"/>
        </w:rPr>
        <w:t> </w:t>
      </w:r>
      <w:r>
        <w:rPr/>
        <w:t>herself as</w:t>
      </w:r>
      <w:r>
        <w:rPr>
          <w:spacing w:val="-4"/>
        </w:rPr>
        <w:t> </w:t>
      </w:r>
      <w:r>
        <w:rPr/>
        <w:t>a man,</w:t>
      </w:r>
      <w:r>
        <w:rPr>
          <w:spacing w:val="-1"/>
        </w:rPr>
        <w:t> </w:t>
      </w:r>
      <w:r>
        <w:rPr/>
        <w:t>Caesario,</w:t>
      </w:r>
      <w:r>
        <w:rPr>
          <w:spacing w:val="-1"/>
        </w:rPr>
        <w:t> </w:t>
      </w:r>
      <w:r>
        <w:rPr/>
        <w:t>and navigates</w:t>
      </w:r>
      <w:r>
        <w:rPr>
          <w:spacing w:val="-4"/>
        </w:rPr>
        <w:t> </w:t>
      </w:r>
      <w:r>
        <w:rPr/>
        <w:t>the</w:t>
      </w:r>
      <w:r>
        <w:rPr>
          <w:spacing w:val="-2"/>
        </w:rPr>
        <w:t> </w:t>
      </w:r>
      <w:r>
        <w:rPr/>
        <w:t>world in</w:t>
      </w:r>
      <w:r>
        <w:rPr>
          <w:spacing w:val="-2"/>
        </w:rPr>
        <w:t> </w:t>
      </w:r>
      <w:r>
        <w:rPr/>
        <w:t>a</w:t>
      </w:r>
      <w:r>
        <w:rPr>
          <w:spacing w:val="-4"/>
        </w:rPr>
        <w:t> </w:t>
      </w:r>
      <w:r>
        <w:rPr/>
        <w:t>male identity.</w:t>
      </w:r>
      <w:r>
        <w:rPr>
          <w:spacing w:val="-4"/>
        </w:rPr>
        <w:t> </w:t>
      </w:r>
      <w:r>
        <w:rPr/>
        <w:t>Through her disguise, Viola challenges traditional gender roles and expectations </w:t>
      </w:r>
      <w:r>
        <w:rPr>
          <w:spacing w:val="-2"/>
        </w:rPr>
        <w:t>of</w:t>
      </w:r>
      <w:r>
        <w:rPr>
          <w:spacing w:val="-7"/>
        </w:rPr>
        <w:t> </w:t>
      </w:r>
      <w:r>
        <w:rPr>
          <w:spacing w:val="-2"/>
        </w:rPr>
        <w:t>femininity</w:t>
      </w:r>
      <w:r>
        <w:rPr>
          <w:spacing w:val="-10"/>
        </w:rPr>
        <w:t> </w:t>
      </w:r>
      <w:r>
        <w:rPr>
          <w:spacing w:val="-2"/>
        </w:rPr>
        <w:t>and</w:t>
      </w:r>
      <w:r>
        <w:rPr>
          <w:spacing w:val="-5"/>
        </w:rPr>
        <w:t> </w:t>
      </w:r>
      <w:r>
        <w:rPr>
          <w:spacing w:val="-2"/>
        </w:rPr>
        <w:t>explores</w:t>
      </w:r>
      <w:r>
        <w:rPr>
          <w:spacing w:val="-7"/>
        </w:rPr>
        <w:t> </w:t>
      </w:r>
      <w:r>
        <w:rPr>
          <w:spacing w:val="-2"/>
        </w:rPr>
        <w:t>the</w:t>
      </w:r>
      <w:r>
        <w:rPr>
          <w:spacing w:val="-7"/>
        </w:rPr>
        <w:t> </w:t>
      </w:r>
      <w:r>
        <w:rPr>
          <w:spacing w:val="-2"/>
        </w:rPr>
        <w:t>complexities</w:t>
      </w:r>
      <w:r>
        <w:rPr>
          <w:spacing w:val="-7"/>
        </w:rPr>
        <w:t> </w:t>
      </w:r>
      <w:r>
        <w:rPr>
          <w:spacing w:val="-2"/>
        </w:rPr>
        <w:t>of</w:t>
      </w:r>
      <w:r>
        <w:rPr>
          <w:spacing w:val="-7"/>
        </w:rPr>
        <w:t> </w:t>
      </w:r>
      <w:r>
        <w:rPr>
          <w:spacing w:val="-2"/>
        </w:rPr>
        <w:t>gender</w:t>
      </w:r>
      <w:r>
        <w:rPr>
          <w:spacing w:val="-5"/>
        </w:rPr>
        <w:t> </w:t>
      </w:r>
      <w:r>
        <w:rPr>
          <w:spacing w:val="-2"/>
        </w:rPr>
        <w:t>identity.</w:t>
      </w:r>
      <w:r>
        <w:rPr>
          <w:spacing w:val="-5"/>
        </w:rPr>
        <w:t> </w:t>
      </w:r>
      <w:r>
        <w:rPr>
          <w:spacing w:val="-2"/>
        </w:rPr>
        <w:t>Rosalind’s </w:t>
      </w:r>
      <w:r>
        <w:rPr/>
        <w:t>character invites audiences to question the limitations imposed by gender roles and encourages a more inclusive and understanding of </w:t>
      </w:r>
      <w:r>
        <w:rPr>
          <w:spacing w:val="-2"/>
        </w:rPr>
        <w:t>gender.</w:t>
      </w:r>
      <w:r>
        <w:rPr>
          <w:spacing w:val="-8"/>
        </w:rPr>
        <w:t> </w:t>
      </w:r>
      <w:r>
        <w:rPr>
          <w:spacing w:val="-2"/>
        </w:rPr>
        <w:t>These examples</w:t>
      </w:r>
      <w:r>
        <w:rPr>
          <w:spacing w:val="-5"/>
        </w:rPr>
        <w:t> </w:t>
      </w:r>
      <w:r>
        <w:rPr>
          <w:spacing w:val="-2"/>
        </w:rPr>
        <w:t>showcase characters</w:t>
      </w:r>
      <w:r>
        <w:rPr>
          <w:spacing w:val="-5"/>
        </w:rPr>
        <w:t> </w:t>
      </w:r>
      <w:r>
        <w:rPr>
          <w:spacing w:val="-2"/>
        </w:rPr>
        <w:t>who defy</w:t>
      </w:r>
      <w:r>
        <w:rPr>
          <w:spacing w:val="-10"/>
        </w:rPr>
        <w:t> </w:t>
      </w:r>
      <w:r>
        <w:rPr>
          <w:spacing w:val="-2"/>
        </w:rPr>
        <w:t>traditional gender expectations by</w:t>
      </w:r>
      <w:r>
        <w:rPr>
          <w:spacing w:val="-4"/>
        </w:rPr>
        <w:t> </w:t>
      </w:r>
      <w:r>
        <w:rPr>
          <w:spacing w:val="-2"/>
        </w:rPr>
        <w:t>challenging societal norms, asserting their intelligencers, </w:t>
      </w:r>
      <w:r>
        <w:rPr/>
        <w:t>agency, and autonomy. They subvert the idea that gender determines </w:t>
      </w:r>
      <w:r>
        <w:rPr>
          <w:spacing w:val="-2"/>
        </w:rPr>
        <w:t>one’s</w:t>
      </w:r>
      <w:r>
        <w:rPr>
          <w:spacing w:val="-10"/>
        </w:rPr>
        <w:t> </w:t>
      </w:r>
      <w:r>
        <w:rPr>
          <w:spacing w:val="-2"/>
        </w:rPr>
        <w:t>abilities</w:t>
      </w:r>
      <w:r>
        <w:rPr>
          <w:spacing w:val="-8"/>
        </w:rPr>
        <w:t> </w:t>
      </w:r>
      <w:r>
        <w:rPr>
          <w:spacing w:val="-2"/>
        </w:rPr>
        <w:t>or</w:t>
      </w:r>
      <w:r>
        <w:rPr>
          <w:spacing w:val="-11"/>
        </w:rPr>
        <w:t> </w:t>
      </w:r>
      <w:r>
        <w:rPr>
          <w:spacing w:val="-2"/>
        </w:rPr>
        <w:t>limitations,</w:t>
      </w:r>
      <w:r>
        <w:rPr>
          <w:spacing w:val="-8"/>
        </w:rPr>
        <w:t> </w:t>
      </w:r>
      <w:r>
        <w:rPr>
          <w:spacing w:val="-2"/>
        </w:rPr>
        <w:t>inviting</w:t>
      </w:r>
      <w:r>
        <w:rPr>
          <w:spacing w:val="-11"/>
        </w:rPr>
        <w:t> </w:t>
      </w:r>
      <w:r>
        <w:rPr>
          <w:spacing w:val="-2"/>
        </w:rPr>
        <w:t>audiences</w:t>
      </w:r>
      <w:r>
        <w:rPr>
          <w:spacing w:val="-8"/>
        </w:rPr>
        <w:t> </w:t>
      </w:r>
      <w:r>
        <w:rPr>
          <w:spacing w:val="-2"/>
        </w:rPr>
        <w:t>to</w:t>
      </w:r>
      <w:r>
        <w:rPr>
          <w:spacing w:val="-8"/>
        </w:rPr>
        <w:t> </w:t>
      </w:r>
      <w:r>
        <w:rPr>
          <w:spacing w:val="-2"/>
        </w:rPr>
        <w:t>question</w:t>
      </w:r>
      <w:r>
        <w:rPr>
          <w:spacing w:val="-8"/>
        </w:rPr>
        <w:t> </w:t>
      </w:r>
      <w:r>
        <w:rPr>
          <w:spacing w:val="-2"/>
        </w:rPr>
        <w:t>and</w:t>
      </w:r>
      <w:r>
        <w:rPr>
          <w:spacing w:val="-6"/>
        </w:rPr>
        <w:t> </w:t>
      </w:r>
      <w:r>
        <w:rPr>
          <w:spacing w:val="-2"/>
        </w:rPr>
        <w:t>reimaging </w:t>
      </w:r>
      <w:r>
        <w:rPr/>
        <w:t>the</w:t>
      </w:r>
      <w:r>
        <w:rPr>
          <w:spacing w:val="40"/>
        </w:rPr>
        <w:t> </w:t>
      </w:r>
      <w:r>
        <w:rPr/>
        <w:t>possibilities</w:t>
      </w:r>
      <w:r>
        <w:rPr>
          <w:spacing w:val="40"/>
        </w:rPr>
        <w:t> </w:t>
      </w:r>
      <w:r>
        <w:rPr/>
        <w:t>for</w:t>
      </w:r>
      <w:r>
        <w:rPr>
          <w:spacing w:val="40"/>
        </w:rPr>
        <w:t> </w:t>
      </w:r>
      <w:r>
        <w:rPr/>
        <w:t>gender</w:t>
      </w:r>
      <w:r>
        <w:rPr>
          <w:spacing w:val="40"/>
        </w:rPr>
        <w:t> </w:t>
      </w:r>
      <w:r>
        <w:rPr/>
        <w:t>expression</w:t>
      </w:r>
      <w:r>
        <w:rPr>
          <w:spacing w:val="40"/>
        </w:rPr>
        <w:t> </w:t>
      </w:r>
      <w:r>
        <w:rPr/>
        <w:t>and</w:t>
      </w:r>
      <w:r>
        <w:rPr>
          <w:spacing w:val="40"/>
        </w:rPr>
        <w:t> </w:t>
      </w:r>
      <w:r>
        <w:rPr/>
        <w:t>identity.</w:t>
      </w:r>
    </w:p>
    <w:p>
      <w:pPr>
        <w:pStyle w:val="Heading3"/>
        <w:spacing w:before="146"/>
      </w:pPr>
      <w:r>
        <w:rPr>
          <w:w w:val="85"/>
        </w:rPr>
        <w:t>THEORETICAL</w:t>
      </w:r>
      <w:r>
        <w:rPr>
          <w:spacing w:val="14"/>
        </w:rPr>
        <w:t> </w:t>
      </w:r>
      <w:r>
        <w:rPr>
          <w:spacing w:val="-2"/>
          <w:w w:val="95"/>
        </w:rPr>
        <w:t>FRAMEWORK:</w:t>
      </w:r>
    </w:p>
    <w:p>
      <w:pPr>
        <w:pStyle w:val="BodyText"/>
        <w:spacing w:line="261" w:lineRule="auto" w:before="88"/>
        <w:ind w:right="1437" w:firstLine="432"/>
        <w:jc w:val="both"/>
      </w:pPr>
      <w:r>
        <w:rPr/>
        <w:t>This study utilizes feminist and power theory to explore gender roles and power dynamics in Shakespeare’s tragedies, offering a comprehensive framework for understanding the complex interplay between gender and authority, Feminist theory, especially the contributions of Judith Butler and Simone de Beauvoir, serves as a foundational lens for examining how gender roles are both constructed and contested within Shakespeare’s plays. Butler’s concept of gender performativity, which posits that gender is an ongoing performance rather than a fixed identity, is particularly relevant. This perspective helps</w:t>
      </w:r>
      <w:r>
        <w:rPr>
          <w:spacing w:val="-3"/>
        </w:rPr>
        <w:t> </w:t>
      </w:r>
      <w:r>
        <w:rPr/>
        <w:t>in</w:t>
      </w:r>
      <w:r>
        <w:rPr>
          <w:spacing w:val="-1"/>
        </w:rPr>
        <w:t> </w:t>
      </w:r>
      <w:r>
        <w:rPr/>
        <w:t>analyzing</w:t>
      </w:r>
      <w:r>
        <w:rPr>
          <w:spacing w:val="-1"/>
        </w:rPr>
        <w:t> </w:t>
      </w:r>
      <w:r>
        <w:rPr/>
        <w:t>how</w:t>
      </w:r>
      <w:r>
        <w:rPr>
          <w:spacing w:val="-5"/>
        </w:rPr>
        <w:t> </w:t>
      </w:r>
      <w:r>
        <w:rPr/>
        <w:t>Shakespeare’s</w:t>
      </w:r>
      <w:r>
        <w:rPr>
          <w:spacing w:val="-3"/>
        </w:rPr>
        <w:t> </w:t>
      </w:r>
      <w:r>
        <w:rPr/>
        <w:t>characters</w:t>
      </w:r>
      <w:r>
        <w:rPr>
          <w:spacing w:val="-3"/>
        </w:rPr>
        <w:t> </w:t>
      </w:r>
      <w:r>
        <w:rPr/>
        <w:t>navigate,</w:t>
      </w:r>
      <w:r>
        <w:rPr>
          <w:spacing w:val="-1"/>
        </w:rPr>
        <w:t> </w:t>
      </w:r>
      <w:r>
        <w:rPr/>
        <w:t>adhere</w:t>
      </w:r>
      <w:r>
        <w:rPr>
          <w:spacing w:val="-1"/>
        </w:rPr>
        <w:t> </w:t>
      </w:r>
      <w:r>
        <w:rPr/>
        <w:t>to, or subvert gender expectations, revealing the fluidity and complexity of gender roles within his tragedies. Simone de Beauvoir’s feminist existentialism further enriches the analysis by providing insights into how Shakespeare’s female characters confront and negotiate their roles within a patriarchal society. De Beauvoir’s ideas about the “Other” and the ways in which women are defined in opposition to men illuminate the power dynamics at play in Shakespeare’s tragedies. Her framework assists</w:t>
      </w:r>
      <w:r>
        <w:rPr>
          <w:spacing w:val="-1"/>
        </w:rPr>
        <w:t> </w:t>
      </w:r>
      <w:r>
        <w:rPr/>
        <w:t>in</w:t>
      </w:r>
      <w:r>
        <w:rPr>
          <w:spacing w:val="-2"/>
        </w:rPr>
        <w:t> </w:t>
      </w:r>
      <w:r>
        <w:rPr/>
        <w:t>understanding</w:t>
      </w:r>
      <w:r>
        <w:rPr>
          <w:spacing w:val="-3"/>
        </w:rPr>
        <w:t> </w:t>
      </w:r>
      <w:r>
        <w:rPr/>
        <w:t>how</w:t>
      </w:r>
      <w:r>
        <w:rPr>
          <w:spacing w:val="-3"/>
        </w:rPr>
        <w:t> </w:t>
      </w:r>
      <w:r>
        <w:rPr/>
        <w:t>characters</w:t>
      </w:r>
      <w:r>
        <w:rPr>
          <w:spacing w:val="-3"/>
        </w:rPr>
        <w:t> </w:t>
      </w:r>
      <w:r>
        <w:rPr/>
        <w:t>like Lady</w:t>
      </w:r>
      <w:r>
        <w:rPr>
          <w:spacing w:val="-5"/>
        </w:rPr>
        <w:t> </w:t>
      </w:r>
      <w:r>
        <w:rPr/>
        <w:t>Macbeth</w:t>
      </w:r>
      <w:r>
        <w:rPr>
          <w:spacing w:val="-1"/>
        </w:rPr>
        <w:t> </w:t>
      </w:r>
      <w:r>
        <w:rPr/>
        <w:t>and Ophelia challenge</w:t>
      </w:r>
      <w:r>
        <w:rPr>
          <w:spacing w:val="-8"/>
        </w:rPr>
        <w:t> </w:t>
      </w:r>
      <w:r>
        <w:rPr/>
        <w:t>or</w:t>
      </w:r>
      <w:r>
        <w:rPr>
          <w:spacing w:val="-8"/>
        </w:rPr>
        <w:t> </w:t>
      </w:r>
      <w:r>
        <w:rPr/>
        <w:t>reinforce</w:t>
      </w:r>
      <w:r>
        <w:rPr>
          <w:spacing w:val="-8"/>
        </w:rPr>
        <w:t> </w:t>
      </w:r>
      <w:r>
        <w:rPr/>
        <w:t>gendered</w:t>
      </w:r>
      <w:r>
        <w:rPr>
          <w:spacing w:val="-7"/>
        </w:rPr>
        <w:t> </w:t>
      </w:r>
      <w:r>
        <w:rPr/>
        <w:t>expectations,</w:t>
      </w:r>
      <w:r>
        <w:rPr>
          <w:spacing w:val="-7"/>
        </w:rPr>
        <w:t> </w:t>
      </w:r>
      <w:r>
        <w:rPr/>
        <w:t>reflecting</w:t>
      </w:r>
      <w:r>
        <w:rPr>
          <w:spacing w:val="-10"/>
        </w:rPr>
        <w:t> </w:t>
      </w:r>
      <w:r>
        <w:rPr/>
        <w:t>broader</w:t>
      </w:r>
      <w:r>
        <w:rPr>
          <w:spacing w:val="-7"/>
        </w:rPr>
        <w:t> </w:t>
      </w:r>
      <w:r>
        <w:rPr/>
        <w:t>societal attitudes</w:t>
      </w:r>
      <w:r>
        <w:rPr>
          <w:spacing w:val="40"/>
        </w:rPr>
        <w:t> </w:t>
      </w:r>
      <w:r>
        <w:rPr/>
        <w:t>toward</w:t>
      </w:r>
      <w:r>
        <w:rPr>
          <w:spacing w:val="40"/>
        </w:rPr>
        <w:t> </w:t>
      </w:r>
      <w:r>
        <w:rPr/>
        <w:t>gender</w:t>
      </w:r>
      <w:r>
        <w:rPr>
          <w:spacing w:val="40"/>
        </w:rPr>
        <w:t> </w:t>
      </w:r>
      <w:r>
        <w:rPr/>
        <w:t>and</w:t>
      </w:r>
      <w:r>
        <w:rPr>
          <w:spacing w:val="40"/>
        </w:rPr>
        <w:t> </w:t>
      </w:r>
      <w:r>
        <w:rPr/>
        <w:t>power.</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75232">
                <wp:simplePos x="0" y="0"/>
                <wp:positionH relativeFrom="page">
                  <wp:posOffset>2057400</wp:posOffset>
                </wp:positionH>
                <wp:positionV relativeFrom="paragraph">
                  <wp:posOffset>162604</wp:posOffset>
                </wp:positionV>
                <wp:extent cx="3657600" cy="12700"/>
                <wp:effectExtent l="0" t="0" r="0" b="0"/>
                <wp:wrapTopAndBottom/>
                <wp:docPr id="528" name="Graphic 528"/>
                <wp:cNvGraphicFramePr>
                  <a:graphicFrameLocks/>
                </wp:cNvGraphicFramePr>
                <a:graphic>
                  <a:graphicData uri="http://schemas.microsoft.com/office/word/2010/wordprocessingShape">
                    <wps:wsp>
                      <wps:cNvPr id="528" name="Graphic 52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41248;mso-wrap-distance-left:0;mso-wrap-distance-right:0" id="docshape523" filled="true" fillcolor="#000000" stroked="false">
                <v:fill type="solid"/>
                <w10:wrap type="topAndBottom"/>
              </v:rect>
            </w:pict>
          </mc:Fallback>
        </mc:AlternateContent>
      </w:r>
      <w:r>
        <w:rPr>
          <w:rFonts w:ascii="Verdana"/>
          <w:spacing w:val="-5"/>
          <w:sz w:val="18"/>
        </w:rPr>
        <w:t>248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6" w:lineRule="auto" w:before="202"/>
        <w:ind w:right="1438" w:firstLine="432"/>
        <w:jc w:val="both"/>
      </w:pPr>
      <w:r>
        <w:rPr>
          <w:spacing w:val="-4"/>
        </w:rPr>
        <w:t>Power</w:t>
      </w:r>
      <w:r>
        <w:rPr>
          <w:spacing w:val="-9"/>
        </w:rPr>
        <w:t> </w:t>
      </w:r>
      <w:r>
        <w:rPr>
          <w:spacing w:val="-4"/>
        </w:rPr>
        <w:t>theory,</w:t>
      </w:r>
      <w:r>
        <w:rPr>
          <w:spacing w:val="-8"/>
        </w:rPr>
        <w:t> </w:t>
      </w:r>
      <w:r>
        <w:rPr>
          <w:spacing w:val="-4"/>
        </w:rPr>
        <w:t>particularly</w:t>
      </w:r>
      <w:r>
        <w:rPr>
          <w:spacing w:val="-9"/>
        </w:rPr>
        <w:t> </w:t>
      </w:r>
      <w:r>
        <w:rPr>
          <w:spacing w:val="-4"/>
        </w:rPr>
        <w:t>the</w:t>
      </w:r>
      <w:r>
        <w:rPr>
          <w:spacing w:val="-8"/>
        </w:rPr>
        <w:t> </w:t>
      </w:r>
      <w:r>
        <w:rPr>
          <w:spacing w:val="-4"/>
        </w:rPr>
        <w:t>work</w:t>
      </w:r>
      <w:r>
        <w:rPr>
          <w:spacing w:val="-9"/>
        </w:rPr>
        <w:t> </w:t>
      </w:r>
      <w:r>
        <w:rPr>
          <w:spacing w:val="-4"/>
        </w:rPr>
        <w:t>of</w:t>
      </w:r>
      <w:r>
        <w:rPr>
          <w:spacing w:val="-8"/>
        </w:rPr>
        <w:t> </w:t>
      </w:r>
      <w:r>
        <w:rPr>
          <w:spacing w:val="-4"/>
        </w:rPr>
        <w:t>Michel</w:t>
      </w:r>
      <w:r>
        <w:rPr>
          <w:spacing w:val="-9"/>
        </w:rPr>
        <w:t> </w:t>
      </w:r>
      <w:r>
        <w:rPr>
          <w:spacing w:val="-4"/>
        </w:rPr>
        <w:t>Foucault,</w:t>
      </w:r>
      <w:r>
        <w:rPr>
          <w:spacing w:val="-8"/>
        </w:rPr>
        <w:t> </w:t>
      </w:r>
      <w:r>
        <w:rPr>
          <w:spacing w:val="-4"/>
        </w:rPr>
        <w:t>complements </w:t>
      </w:r>
      <w:r>
        <w:rPr/>
        <w:t>the feminist perspective by examining how power is established, maintained,</w:t>
      </w:r>
      <w:r>
        <w:rPr>
          <w:spacing w:val="-8"/>
        </w:rPr>
        <w:t> </w:t>
      </w:r>
      <w:r>
        <w:rPr/>
        <w:t>and</w:t>
      </w:r>
      <w:r>
        <w:rPr>
          <w:spacing w:val="-8"/>
        </w:rPr>
        <w:t> </w:t>
      </w:r>
      <w:r>
        <w:rPr/>
        <w:t>resisted</w:t>
      </w:r>
      <w:r>
        <w:rPr>
          <w:spacing w:val="-8"/>
        </w:rPr>
        <w:t> </w:t>
      </w:r>
      <w:r>
        <w:rPr/>
        <w:t>within</w:t>
      </w:r>
      <w:r>
        <w:rPr>
          <w:spacing w:val="-10"/>
        </w:rPr>
        <w:t> </w:t>
      </w:r>
      <w:r>
        <w:rPr/>
        <w:t>Shakespeare’s</w:t>
      </w:r>
      <w:r>
        <w:rPr>
          <w:spacing w:val="-10"/>
        </w:rPr>
        <w:t> </w:t>
      </w:r>
      <w:r>
        <w:rPr/>
        <w:t>plays.</w:t>
      </w:r>
      <w:r>
        <w:rPr>
          <w:spacing w:val="-10"/>
        </w:rPr>
        <w:t> </w:t>
      </w:r>
      <w:r>
        <w:rPr/>
        <w:t>Foucault’s</w:t>
      </w:r>
      <w:r>
        <w:rPr>
          <w:spacing w:val="-10"/>
        </w:rPr>
        <w:t> </w:t>
      </w:r>
      <w:r>
        <w:rPr/>
        <w:t>insights into power and discourse highlight how</w:t>
      </w:r>
      <w:r>
        <w:rPr>
          <w:spacing w:val="-3"/>
        </w:rPr>
        <w:t> </w:t>
      </w:r>
      <w:r>
        <w:rPr/>
        <w:t>authority</w:t>
      </w:r>
      <w:r>
        <w:rPr>
          <w:spacing w:val="-3"/>
        </w:rPr>
        <w:t> </w:t>
      </w:r>
      <w:r>
        <w:rPr/>
        <w:t>is not</w:t>
      </w:r>
      <w:r>
        <w:rPr>
          <w:spacing w:val="-3"/>
        </w:rPr>
        <w:t> </w:t>
      </w:r>
      <w:r>
        <w:rPr/>
        <w:t>just exerted but also negotiated and contested. His analysis of the relationship between power</w:t>
      </w:r>
      <w:r>
        <w:rPr>
          <w:spacing w:val="-1"/>
        </w:rPr>
        <w:t> </w:t>
      </w:r>
      <w:r>
        <w:rPr/>
        <w:t>and knowledge</w:t>
      </w:r>
      <w:r>
        <w:rPr>
          <w:spacing w:val="-2"/>
        </w:rPr>
        <w:t> </w:t>
      </w:r>
      <w:r>
        <w:rPr/>
        <w:t>provides</w:t>
      </w:r>
      <w:r>
        <w:rPr>
          <w:spacing w:val="-4"/>
        </w:rPr>
        <w:t> </w:t>
      </w:r>
      <w:r>
        <w:rPr/>
        <w:t>a lens</w:t>
      </w:r>
      <w:r>
        <w:rPr>
          <w:spacing w:val="-3"/>
        </w:rPr>
        <w:t> </w:t>
      </w:r>
      <w:r>
        <w:rPr/>
        <w:t>for</w:t>
      </w:r>
      <w:r>
        <w:rPr>
          <w:spacing w:val="-3"/>
        </w:rPr>
        <w:t> </w:t>
      </w:r>
      <w:r>
        <w:rPr/>
        <w:t>understanding</w:t>
      </w:r>
      <w:r>
        <w:rPr>
          <w:spacing w:val="-3"/>
        </w:rPr>
        <w:t> </w:t>
      </w:r>
      <w:r>
        <w:rPr/>
        <w:t>how</w:t>
      </w:r>
      <w:r>
        <w:rPr>
          <w:spacing w:val="-6"/>
        </w:rPr>
        <w:t> </w:t>
      </w:r>
      <w:r>
        <w:rPr/>
        <w:t>characters engage</w:t>
      </w:r>
      <w:r>
        <w:rPr>
          <w:spacing w:val="-1"/>
        </w:rPr>
        <w:t> </w:t>
      </w:r>
      <w:r>
        <w:rPr/>
        <w:t>with</w:t>
      </w:r>
      <w:r>
        <w:rPr>
          <w:spacing w:val="-2"/>
        </w:rPr>
        <w:t> </w:t>
      </w:r>
      <w:r>
        <w:rPr/>
        <w:t>and</w:t>
      </w:r>
      <w:r>
        <w:rPr>
          <w:spacing w:val="-2"/>
        </w:rPr>
        <w:t> </w:t>
      </w:r>
      <w:r>
        <w:rPr/>
        <w:t>subvert power structures. Foucault’s</w:t>
      </w:r>
      <w:r>
        <w:rPr>
          <w:spacing w:val="-4"/>
        </w:rPr>
        <w:t> </w:t>
      </w:r>
      <w:r>
        <w:rPr/>
        <w:t>theories</w:t>
      </w:r>
      <w:r>
        <w:rPr>
          <w:spacing w:val="-2"/>
        </w:rPr>
        <w:t> </w:t>
      </w:r>
      <w:r>
        <w:rPr/>
        <w:t>allow</w:t>
      </w:r>
      <w:r>
        <w:rPr>
          <w:spacing w:val="-5"/>
        </w:rPr>
        <w:t> </w:t>
      </w:r>
      <w:r>
        <w:rPr/>
        <w:t>for </w:t>
      </w:r>
      <w:r>
        <w:rPr>
          <w:spacing w:val="-2"/>
        </w:rPr>
        <w:t>a</w:t>
      </w:r>
      <w:r>
        <w:rPr>
          <w:spacing w:val="-5"/>
        </w:rPr>
        <w:t> </w:t>
      </w:r>
      <w:r>
        <w:rPr>
          <w:spacing w:val="-2"/>
        </w:rPr>
        <w:t>nuanced</w:t>
      </w:r>
      <w:r>
        <w:rPr>
          <w:spacing w:val="-5"/>
        </w:rPr>
        <w:t> </w:t>
      </w:r>
      <w:r>
        <w:rPr>
          <w:spacing w:val="-2"/>
        </w:rPr>
        <w:t>exploration</w:t>
      </w:r>
      <w:r>
        <w:rPr>
          <w:spacing w:val="-9"/>
        </w:rPr>
        <w:t> </w:t>
      </w:r>
      <w:r>
        <w:rPr>
          <w:spacing w:val="-2"/>
        </w:rPr>
        <w:t>of</w:t>
      </w:r>
      <w:r>
        <w:rPr>
          <w:spacing w:val="-9"/>
        </w:rPr>
        <w:t> </w:t>
      </w:r>
      <w:r>
        <w:rPr>
          <w:spacing w:val="-2"/>
        </w:rPr>
        <w:t>how</w:t>
      </w:r>
      <w:r>
        <w:rPr>
          <w:spacing w:val="-9"/>
        </w:rPr>
        <w:t> </w:t>
      </w:r>
      <w:r>
        <w:rPr>
          <w:spacing w:val="-2"/>
        </w:rPr>
        <w:t>political</w:t>
      </w:r>
      <w:r>
        <w:rPr>
          <w:spacing w:val="-8"/>
        </w:rPr>
        <w:t> </w:t>
      </w:r>
      <w:r>
        <w:rPr>
          <w:spacing w:val="-2"/>
        </w:rPr>
        <w:t>and</w:t>
      </w:r>
      <w:r>
        <w:rPr>
          <w:spacing w:val="-5"/>
        </w:rPr>
        <w:t> </w:t>
      </w:r>
      <w:r>
        <w:rPr>
          <w:spacing w:val="-2"/>
        </w:rPr>
        <w:t>personal</w:t>
      </w:r>
      <w:r>
        <w:rPr>
          <w:spacing w:val="-9"/>
        </w:rPr>
        <w:t> </w:t>
      </w:r>
      <w:r>
        <w:rPr>
          <w:spacing w:val="-2"/>
        </w:rPr>
        <w:t>authority</w:t>
      </w:r>
      <w:r>
        <w:rPr>
          <w:spacing w:val="-9"/>
        </w:rPr>
        <w:t> </w:t>
      </w:r>
      <w:r>
        <w:rPr>
          <w:spacing w:val="-2"/>
        </w:rPr>
        <w:t>is</w:t>
      </w:r>
      <w:r>
        <w:rPr>
          <w:spacing w:val="-7"/>
        </w:rPr>
        <w:t> </w:t>
      </w:r>
      <w:r>
        <w:rPr>
          <w:spacing w:val="-2"/>
        </w:rPr>
        <w:t>portrayed </w:t>
      </w:r>
      <w:r>
        <w:rPr/>
        <w:t>and</w:t>
      </w:r>
      <w:r>
        <w:rPr>
          <w:spacing w:val="40"/>
        </w:rPr>
        <w:t> </w:t>
      </w:r>
      <w:r>
        <w:rPr/>
        <w:t>how</w:t>
      </w:r>
      <w:r>
        <w:rPr>
          <w:spacing w:val="40"/>
        </w:rPr>
        <w:t> </w:t>
      </w:r>
      <w:r>
        <w:rPr/>
        <w:t>it</w:t>
      </w:r>
      <w:r>
        <w:rPr>
          <w:spacing w:val="40"/>
        </w:rPr>
        <w:t> </w:t>
      </w:r>
      <w:r>
        <w:rPr/>
        <w:t>intersects</w:t>
      </w:r>
      <w:r>
        <w:rPr>
          <w:spacing w:val="40"/>
        </w:rPr>
        <w:t> </w:t>
      </w:r>
      <w:r>
        <w:rPr/>
        <w:t>with</w:t>
      </w:r>
      <w:r>
        <w:rPr>
          <w:spacing w:val="40"/>
        </w:rPr>
        <w:t> </w:t>
      </w:r>
      <w:r>
        <w:rPr/>
        <w:t>gender</w:t>
      </w:r>
      <w:r>
        <w:rPr>
          <w:spacing w:val="40"/>
        </w:rPr>
        <w:t> </w:t>
      </w:r>
      <w:r>
        <w:rPr/>
        <w:t>dynamics</w:t>
      </w:r>
      <w:r>
        <w:rPr>
          <w:spacing w:val="40"/>
        </w:rPr>
        <w:t> </w:t>
      </w:r>
      <w:r>
        <w:rPr/>
        <w:t>in</w:t>
      </w:r>
      <w:r>
        <w:rPr>
          <w:spacing w:val="40"/>
        </w:rPr>
        <w:t> </w:t>
      </w:r>
      <w:r>
        <w:rPr/>
        <w:t>the</w:t>
      </w:r>
      <w:r>
        <w:rPr>
          <w:spacing w:val="40"/>
        </w:rPr>
        <w:t> </w:t>
      </w:r>
      <w:r>
        <w:rPr/>
        <w:t>tragedies.</w:t>
      </w:r>
    </w:p>
    <w:p>
      <w:pPr>
        <w:pStyle w:val="BodyText"/>
        <w:spacing w:line="266" w:lineRule="auto" w:before="64"/>
        <w:ind w:right="1437" w:firstLine="432"/>
        <w:jc w:val="both"/>
      </w:pPr>
      <w:r>
        <w:rPr/>
        <w:t>By integrating feminist and power theories, this study aims to provide a multifaceted analysis of gender roles and power dynamics in Shakespeare’s tragedies. This theoretical framework enables a deeper examination of how Shakespeare’s portrayal of gender and authority reflects and critiques the social norms of his time. It also sheds light on the enduring relevance of these themes, offering insights into the ways in which power and gender continue to intersect in contemporary </w:t>
      </w:r>
      <w:r>
        <w:rPr>
          <w:spacing w:val="-2"/>
        </w:rPr>
        <w:t>discussions.</w:t>
      </w:r>
    </w:p>
    <w:p>
      <w:pPr>
        <w:pStyle w:val="Heading3"/>
        <w:spacing w:before="163"/>
      </w:pPr>
      <w:r>
        <w:rPr>
          <w:w w:val="90"/>
        </w:rPr>
        <w:t>RESEARCH</w:t>
      </w:r>
      <w:r>
        <w:rPr>
          <w:spacing w:val="9"/>
        </w:rPr>
        <w:t> </w:t>
      </w:r>
      <w:r>
        <w:rPr>
          <w:spacing w:val="-2"/>
        </w:rPr>
        <w:t>METHODOLOGY</w:t>
      </w:r>
    </w:p>
    <w:p>
      <w:pPr>
        <w:pStyle w:val="ListParagraph"/>
        <w:numPr>
          <w:ilvl w:val="0"/>
          <w:numId w:val="47"/>
        </w:numPr>
        <w:tabs>
          <w:tab w:pos="2158" w:val="left" w:leader="none"/>
          <w:tab w:pos="2160" w:val="left" w:leader="none"/>
        </w:tabs>
        <w:spacing w:line="266" w:lineRule="auto" w:before="90" w:after="0"/>
        <w:ind w:left="2160" w:right="1437" w:hanging="315"/>
        <w:jc w:val="both"/>
        <w:rPr>
          <w:sz w:val="20"/>
        </w:rPr>
      </w:pPr>
      <w:r>
        <w:rPr>
          <w:sz w:val="20"/>
        </w:rPr>
        <w:t>Qualitative Research: This study will employ a qualitative research approach, focusing on the indepth analysis of Shakespeare’s plays and their representation of gender power </w:t>
      </w:r>
      <w:r>
        <w:rPr>
          <w:spacing w:val="-2"/>
          <w:sz w:val="20"/>
        </w:rPr>
        <w:t>relations.</w:t>
      </w:r>
    </w:p>
    <w:p>
      <w:pPr>
        <w:pStyle w:val="ListParagraph"/>
        <w:numPr>
          <w:ilvl w:val="0"/>
          <w:numId w:val="47"/>
        </w:numPr>
        <w:tabs>
          <w:tab w:pos="2158" w:val="left" w:leader="none"/>
          <w:tab w:pos="2160" w:val="left" w:leader="none"/>
        </w:tabs>
        <w:spacing w:line="266" w:lineRule="auto" w:before="61" w:after="0"/>
        <w:ind w:left="2160" w:right="1438" w:hanging="315"/>
        <w:jc w:val="both"/>
        <w:rPr>
          <w:sz w:val="20"/>
        </w:rPr>
      </w:pPr>
      <w:r>
        <w:rPr>
          <w:sz w:val="20"/>
        </w:rPr>
        <w:t>Literary Analysis: The study will utilize literary analysis techniques, such as close reading, contextual analysis, and critical</w:t>
      </w:r>
      <w:r>
        <w:rPr>
          <w:spacing w:val="-9"/>
          <w:sz w:val="20"/>
        </w:rPr>
        <w:t> </w:t>
      </w:r>
      <w:r>
        <w:rPr>
          <w:sz w:val="20"/>
        </w:rPr>
        <w:t>theory,</w:t>
      </w:r>
      <w:r>
        <w:rPr>
          <w:spacing w:val="-8"/>
          <w:sz w:val="20"/>
        </w:rPr>
        <w:t> </w:t>
      </w:r>
      <w:r>
        <w:rPr>
          <w:sz w:val="20"/>
        </w:rPr>
        <w:t>to</w:t>
      </w:r>
      <w:r>
        <w:rPr>
          <w:spacing w:val="-6"/>
          <w:sz w:val="20"/>
        </w:rPr>
        <w:t> </w:t>
      </w:r>
      <w:r>
        <w:rPr>
          <w:sz w:val="20"/>
        </w:rPr>
        <w:t>examine</w:t>
      </w:r>
      <w:r>
        <w:rPr>
          <w:spacing w:val="-9"/>
          <w:sz w:val="20"/>
        </w:rPr>
        <w:t> </w:t>
      </w:r>
      <w:r>
        <w:rPr>
          <w:sz w:val="20"/>
        </w:rPr>
        <w:t>the</w:t>
      </w:r>
      <w:r>
        <w:rPr>
          <w:spacing w:val="-8"/>
          <w:sz w:val="20"/>
        </w:rPr>
        <w:t> </w:t>
      </w:r>
      <w:r>
        <w:rPr>
          <w:sz w:val="20"/>
        </w:rPr>
        <w:t>language,</w:t>
      </w:r>
      <w:r>
        <w:rPr>
          <w:spacing w:val="-8"/>
          <w:sz w:val="20"/>
        </w:rPr>
        <w:t> </w:t>
      </w:r>
      <w:r>
        <w:rPr>
          <w:sz w:val="20"/>
        </w:rPr>
        <w:t>imagery,</w:t>
      </w:r>
      <w:r>
        <w:rPr>
          <w:spacing w:val="-8"/>
          <w:sz w:val="20"/>
        </w:rPr>
        <w:t> </w:t>
      </w:r>
      <w:r>
        <w:rPr>
          <w:sz w:val="20"/>
        </w:rPr>
        <w:t>and</w:t>
      </w:r>
      <w:r>
        <w:rPr>
          <w:spacing w:val="-6"/>
          <w:sz w:val="20"/>
        </w:rPr>
        <w:t> </w:t>
      </w:r>
      <w:r>
        <w:rPr>
          <w:sz w:val="20"/>
        </w:rPr>
        <w:t>dramatic structures</w:t>
      </w:r>
      <w:r>
        <w:rPr>
          <w:spacing w:val="40"/>
          <w:sz w:val="20"/>
        </w:rPr>
        <w:t> </w:t>
      </w:r>
      <w:r>
        <w:rPr>
          <w:sz w:val="20"/>
        </w:rPr>
        <w:t>in</w:t>
      </w:r>
      <w:r>
        <w:rPr>
          <w:spacing w:val="40"/>
          <w:sz w:val="20"/>
        </w:rPr>
        <w:t> </w:t>
      </w:r>
      <w:r>
        <w:rPr>
          <w:sz w:val="20"/>
        </w:rPr>
        <w:t>Shakespeare’s</w:t>
      </w:r>
      <w:r>
        <w:rPr>
          <w:spacing w:val="40"/>
          <w:sz w:val="20"/>
        </w:rPr>
        <w:t> </w:t>
      </w:r>
      <w:r>
        <w:rPr>
          <w:sz w:val="20"/>
        </w:rPr>
        <w:t>plays.</w:t>
      </w:r>
    </w:p>
    <w:p>
      <w:pPr>
        <w:pStyle w:val="BodyText"/>
        <w:spacing w:line="268" w:lineRule="auto" w:before="61"/>
        <w:ind w:right="1439" w:firstLine="432"/>
        <w:jc w:val="both"/>
      </w:pPr>
      <w:r>
        <w:rPr>
          <w:spacing w:val="9"/>
        </w:rPr>
        <w:t>That</w:t>
      </w:r>
      <w:r>
        <w:rPr>
          <w:spacing w:val="9"/>
        </w:rPr>
        <w:t> Shakespeare’s</w:t>
      </w:r>
      <w:r>
        <w:rPr>
          <w:spacing w:val="9"/>
        </w:rPr>
        <w:t> </w:t>
      </w:r>
      <w:r>
        <w:rPr/>
        <w:t>plays </w:t>
      </w:r>
      <w:r>
        <w:rPr>
          <w:spacing w:val="10"/>
        </w:rPr>
        <w:t>rpetuated</w:t>
      </w:r>
      <w:r>
        <w:rPr>
          <w:spacing w:val="10"/>
        </w:rPr>
        <w:t> </w:t>
      </w:r>
      <w:r>
        <w:rPr/>
        <w:t>the </w:t>
      </w:r>
      <w:r>
        <w:rPr>
          <w:spacing w:val="11"/>
        </w:rPr>
        <w:t>oppression</w:t>
      </w:r>
      <w:r>
        <w:rPr>
          <w:spacing w:val="11"/>
        </w:rPr>
        <w:t> </w:t>
      </w:r>
      <w:r>
        <w:rPr/>
        <w:t>also acknowledged</w:t>
      </w:r>
      <w:r>
        <w:rPr>
          <w:spacing w:val="40"/>
        </w:rPr>
        <w:t> </w:t>
      </w:r>
      <w:r>
        <w:rPr/>
        <w:t>the care’s</w:t>
      </w:r>
      <w:r>
        <w:rPr>
          <w:spacing w:val="40"/>
        </w:rPr>
        <w:t> </w:t>
      </w:r>
      <w:r>
        <w:rPr/>
        <w:t>female</w:t>
      </w:r>
      <w:r>
        <w:rPr>
          <w:spacing w:val="40"/>
        </w:rPr>
        <w:t> </w:t>
      </w:r>
      <w:r>
        <w:rPr/>
        <w:t>characters,</w:t>
      </w:r>
      <w:r>
        <w:rPr>
          <w:spacing w:val="40"/>
        </w:rPr>
        <w:t> </w:t>
      </w:r>
      <w:r>
        <w:rPr/>
        <w:t>subverted</w:t>
      </w:r>
      <w:r>
        <w:rPr>
          <w:spacing w:val="40"/>
        </w:rPr>
        <w:t> </w:t>
      </w:r>
      <w:r>
        <w:rPr/>
        <w:t>patriarchal.</w:t>
      </w:r>
    </w:p>
    <w:p>
      <w:pPr>
        <w:pStyle w:val="BodyText"/>
        <w:spacing w:line="266" w:lineRule="auto" w:before="54"/>
        <w:ind w:right="1439" w:firstLine="432"/>
        <w:jc w:val="both"/>
      </w:pPr>
      <w:r>
        <w:rPr/>
        <w:t>The methodology for this research involves a detailed and systematic approach to analyzing Shakespeare’s tragedies, with a focus on key scenes and character interactions that illuminate gender roles</w:t>
      </w:r>
      <w:r>
        <w:rPr>
          <w:spacing w:val="40"/>
        </w:rPr>
        <w:t> </w:t>
      </w:r>
      <w:r>
        <w:rPr/>
        <w:t>and power dynamics. The primary method is close textual analysis, which entails a careful examination of selected tragedies-Macbeth, Othello, Hamlet, and King Lear. This approach allows for a deep understanding of how gender and power are portrayed through the </w:t>
      </w:r>
      <w:r>
        <w:rPr>
          <w:spacing w:val="-2"/>
        </w:rPr>
        <w:t>dialogues,</w:t>
      </w:r>
      <w:r>
        <w:rPr>
          <w:spacing w:val="-6"/>
        </w:rPr>
        <w:t> </w:t>
      </w:r>
      <w:r>
        <w:rPr>
          <w:spacing w:val="-2"/>
        </w:rPr>
        <w:t>actions,</w:t>
      </w:r>
      <w:r>
        <w:rPr>
          <w:spacing w:val="-9"/>
        </w:rPr>
        <w:t> </w:t>
      </w:r>
      <w:r>
        <w:rPr>
          <w:spacing w:val="-2"/>
        </w:rPr>
        <w:t>and</w:t>
      </w:r>
      <w:r>
        <w:rPr>
          <w:spacing w:val="-3"/>
        </w:rPr>
        <w:t> </w:t>
      </w:r>
      <w:r>
        <w:rPr>
          <w:spacing w:val="-2"/>
        </w:rPr>
        <w:t>relationships</w:t>
      </w:r>
      <w:r>
        <w:rPr>
          <w:spacing w:val="-8"/>
        </w:rPr>
        <w:t> </w:t>
      </w:r>
      <w:r>
        <w:rPr>
          <w:spacing w:val="-2"/>
        </w:rPr>
        <w:t>of</w:t>
      </w:r>
      <w:r>
        <w:rPr>
          <w:spacing w:val="-6"/>
        </w:rPr>
        <w:t> </w:t>
      </w:r>
      <w:r>
        <w:rPr>
          <w:spacing w:val="-2"/>
        </w:rPr>
        <w:t>characters.</w:t>
      </w:r>
      <w:r>
        <w:rPr>
          <w:spacing w:val="-8"/>
        </w:rPr>
        <w:t> </w:t>
      </w:r>
      <w:r>
        <w:rPr>
          <w:spacing w:val="-2"/>
        </w:rPr>
        <w:t>By</w:t>
      </w:r>
      <w:r>
        <w:rPr>
          <w:spacing w:val="-13"/>
        </w:rPr>
        <w:t> </w:t>
      </w:r>
      <w:r>
        <w:rPr>
          <w:spacing w:val="-2"/>
        </w:rPr>
        <w:t>scrutinizing</w:t>
      </w:r>
      <w:r>
        <w:rPr>
          <w:spacing w:val="-6"/>
        </w:rPr>
        <w:t> </w:t>
      </w:r>
      <w:r>
        <w:rPr>
          <w:spacing w:val="-2"/>
        </w:rPr>
        <w:t>pivotal</w:t>
      </w:r>
    </w:p>
    <w:p>
      <w:pPr>
        <w:pStyle w:val="BodyText"/>
        <w:spacing w:after="0" w:line="266" w:lineRule="auto"/>
        <w:jc w:val="both"/>
        <w:sectPr>
          <w:pgSz w:w="12240" w:h="15840"/>
          <w:pgMar w:top="1820" w:bottom="280" w:left="1800" w:right="1800"/>
        </w:sectPr>
      </w:pPr>
    </w:p>
    <w:p>
      <w:pPr>
        <w:tabs>
          <w:tab w:pos="7192"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75744">
                <wp:simplePos x="0" y="0"/>
                <wp:positionH relativeFrom="page">
                  <wp:posOffset>2065020</wp:posOffset>
                </wp:positionH>
                <wp:positionV relativeFrom="paragraph">
                  <wp:posOffset>795020</wp:posOffset>
                </wp:positionV>
                <wp:extent cx="3657600" cy="12700"/>
                <wp:effectExtent l="0" t="0" r="0" b="0"/>
                <wp:wrapTopAndBottom/>
                <wp:docPr id="529" name="Graphic 529"/>
                <wp:cNvGraphicFramePr>
                  <a:graphicFrameLocks/>
                </wp:cNvGraphicFramePr>
                <a:graphic>
                  <a:graphicData uri="http://schemas.microsoft.com/office/word/2010/wordprocessingShape">
                    <wps:wsp>
                      <wps:cNvPr id="529" name="Graphic 52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40736;mso-wrap-distance-left:0;mso-wrap-distance-right:0" id="docshape524" filled="true" fillcolor="#000000" stroked="false">
                <v:fill type="solid"/>
                <w10:wrap type="topAndBottom"/>
              </v:rect>
            </w:pict>
          </mc:Fallback>
        </mc:AlternateContent>
      </w:r>
      <w:r>
        <w:rPr>
          <w:rFonts w:ascii="Verdana" w:hAnsi="Verdana"/>
          <w:sz w:val="18"/>
        </w:rPr>
        <w:t>Gender,</w:t>
      </w:r>
      <w:r>
        <w:rPr>
          <w:rFonts w:ascii="Verdana" w:hAnsi="Verdana"/>
          <w:spacing w:val="5"/>
          <w:sz w:val="18"/>
        </w:rPr>
        <w:t> </w:t>
      </w:r>
      <w:r>
        <w:rPr>
          <w:rFonts w:ascii="Verdana" w:hAnsi="Verdana"/>
          <w:sz w:val="18"/>
        </w:rPr>
        <w:t>Space</w:t>
      </w:r>
      <w:r>
        <w:rPr>
          <w:rFonts w:ascii="Verdana" w:hAnsi="Verdana"/>
          <w:spacing w:val="10"/>
          <w:sz w:val="18"/>
        </w:rPr>
        <w:t> </w:t>
      </w:r>
      <w:r>
        <w:rPr>
          <w:rFonts w:ascii="Verdana" w:hAnsi="Verdana"/>
          <w:sz w:val="18"/>
        </w:rPr>
        <w:t>and</w:t>
      </w:r>
      <w:r>
        <w:rPr>
          <w:rFonts w:ascii="Verdana" w:hAnsi="Verdana"/>
          <w:spacing w:val="5"/>
          <w:sz w:val="18"/>
        </w:rPr>
        <w:t> </w:t>
      </w:r>
      <w:r>
        <w:rPr>
          <w:rFonts w:ascii="Verdana" w:hAnsi="Verdana"/>
          <w:sz w:val="18"/>
        </w:rPr>
        <w:t>Power</w:t>
      </w:r>
      <w:r>
        <w:rPr>
          <w:rFonts w:ascii="Verdana" w:hAnsi="Verdana"/>
          <w:spacing w:val="10"/>
          <w:sz w:val="18"/>
        </w:rPr>
        <w:t> </w:t>
      </w:r>
      <w:r>
        <w:rPr>
          <w:rFonts w:ascii="Verdana" w:hAnsi="Verdana"/>
          <w:sz w:val="18"/>
        </w:rPr>
        <w:t>In</w:t>
      </w:r>
      <w:r>
        <w:rPr>
          <w:rFonts w:ascii="Verdana" w:hAnsi="Verdana"/>
          <w:spacing w:val="6"/>
          <w:sz w:val="18"/>
        </w:rPr>
        <w:t> </w:t>
      </w:r>
      <w:r>
        <w:rPr>
          <w:rFonts w:ascii="Verdana" w:hAnsi="Verdana"/>
          <w:sz w:val="18"/>
        </w:rPr>
        <w:t>Shakespeare’s</w:t>
      </w:r>
      <w:r>
        <w:rPr>
          <w:rFonts w:ascii="Verdana" w:hAnsi="Verdana"/>
          <w:spacing w:val="8"/>
          <w:sz w:val="18"/>
        </w:rPr>
        <w:t> </w:t>
      </w:r>
      <w:r>
        <w:rPr>
          <w:rFonts w:ascii="Verdana" w:hAnsi="Verdana"/>
          <w:spacing w:val="-4"/>
          <w:sz w:val="18"/>
        </w:rPr>
        <w:t>Plays</w:t>
      </w:r>
      <w:r>
        <w:rPr>
          <w:sz w:val="18"/>
        </w:rPr>
        <w:tab/>
      </w:r>
      <w:r>
        <w:rPr>
          <w:rFonts w:ascii="Verdana" w:hAnsi="Verdana"/>
          <w:spacing w:val="-5"/>
          <w:sz w:val="18"/>
        </w:rPr>
        <w:t>249</w:t>
      </w:r>
    </w:p>
    <w:p>
      <w:pPr>
        <w:pStyle w:val="BodyText"/>
        <w:spacing w:line="266" w:lineRule="auto" w:before="202"/>
        <w:ind w:right="1439"/>
        <w:jc w:val="both"/>
      </w:pPr>
      <w:r>
        <w:rPr/>
        <w:t>moments and interactions, the study aims to uncover how Shakespeare addresses and critiques gender norms and power structures within</w:t>
      </w:r>
      <w:r>
        <w:rPr>
          <w:spacing w:val="80"/>
        </w:rPr>
        <w:t> </w:t>
      </w:r>
      <w:r>
        <w:rPr/>
        <w:t>these dramatic works.</w:t>
      </w:r>
    </w:p>
    <w:p>
      <w:pPr>
        <w:pStyle w:val="BodyText"/>
        <w:spacing w:line="249" w:lineRule="auto" w:before="50"/>
        <w:ind w:right="1437" w:firstLine="432"/>
        <w:jc w:val="both"/>
      </w:pPr>
      <w:r>
        <w:rPr/>
        <w:t>The paper starts from the cultural and feminist theories which impose</w:t>
      </w:r>
      <w:r>
        <w:rPr>
          <w:spacing w:val="-13"/>
        </w:rPr>
        <w:t> </w:t>
      </w:r>
      <w:r>
        <w:rPr/>
        <w:t>an</w:t>
      </w:r>
      <w:r>
        <w:rPr>
          <w:spacing w:val="-12"/>
        </w:rPr>
        <w:t> </w:t>
      </w:r>
      <w:r>
        <w:rPr/>
        <w:t>image</w:t>
      </w:r>
      <w:r>
        <w:rPr>
          <w:spacing w:val="-11"/>
        </w:rPr>
        <w:t> </w:t>
      </w:r>
      <w:r>
        <w:rPr/>
        <w:t>of</w:t>
      </w:r>
      <w:r>
        <w:rPr>
          <w:spacing w:val="-13"/>
        </w:rPr>
        <w:t> </w:t>
      </w:r>
      <w:r>
        <w:rPr/>
        <w:t>early</w:t>
      </w:r>
      <w:r>
        <w:rPr>
          <w:spacing w:val="-12"/>
        </w:rPr>
        <w:t> </w:t>
      </w:r>
      <w:r>
        <w:rPr/>
        <w:t>modern</w:t>
      </w:r>
      <w:r>
        <w:rPr>
          <w:spacing w:val="-12"/>
        </w:rPr>
        <w:t> </w:t>
      </w:r>
      <w:r>
        <w:rPr/>
        <w:t>space</w:t>
      </w:r>
      <w:r>
        <w:rPr>
          <w:spacing w:val="-13"/>
        </w:rPr>
        <w:t> </w:t>
      </w:r>
      <w:r>
        <w:rPr/>
        <w:t>projections</w:t>
      </w:r>
      <w:r>
        <w:rPr>
          <w:spacing w:val="-10"/>
        </w:rPr>
        <w:t> </w:t>
      </w:r>
      <w:r>
        <w:rPr/>
        <w:t>as</w:t>
      </w:r>
      <w:r>
        <w:rPr>
          <w:spacing w:val="-13"/>
        </w:rPr>
        <w:t> </w:t>
      </w:r>
      <w:r>
        <w:rPr/>
        <w:t>strictly</w:t>
      </w:r>
      <w:r>
        <w:rPr>
          <w:spacing w:val="-12"/>
        </w:rPr>
        <w:t> </w:t>
      </w:r>
      <w:r>
        <w:rPr/>
        <w:t>segregated in</w:t>
      </w:r>
      <w:r>
        <w:rPr>
          <w:spacing w:val="-1"/>
        </w:rPr>
        <w:t> </w:t>
      </w:r>
      <w:r>
        <w:rPr/>
        <w:t>terms of</w:t>
      </w:r>
      <w:r>
        <w:rPr>
          <w:spacing w:val="-1"/>
        </w:rPr>
        <w:t> </w:t>
      </w:r>
      <w:r>
        <w:rPr/>
        <w:t>gender Thus, while the public space is masculine, with very few exceptions, and populated with male professions and occupations, the private, domestic space is traditionally feminine gendered, characterized by intimacy and conviviality Conventionally, this observation is true, but I argue that, in the case of Shakespeare’s historical plays the usual gender-genre continuum, highly applicable in the reading of the comedies and romances, is interrupted. Here, space, in the usual historical settings, is permeated with a cross gender contamination. if. in Henry V or Richard ill, the settings are presented consecutively (the all male battlefield and then the mixed gender royal palace, respectively, the palace and then the battlefield, in King John, the battle and the siege of</w:t>
      </w:r>
      <w:r>
        <w:rPr>
          <w:spacing w:val="-6"/>
        </w:rPr>
        <w:t> </w:t>
      </w:r>
      <w:r>
        <w:rPr/>
        <w:t>Angiers is represented symbolically not only by</w:t>
      </w:r>
      <w:r>
        <w:rPr>
          <w:spacing w:val="40"/>
        </w:rPr>
        <w:t> </w:t>
      </w:r>
      <w:r>
        <w:rPr/>
        <w:t>the</w:t>
      </w:r>
      <w:r>
        <w:rPr>
          <w:spacing w:val="40"/>
        </w:rPr>
        <w:t> </w:t>
      </w:r>
      <w:r>
        <w:rPr/>
        <w:t>single.</w:t>
      </w:r>
    </w:p>
    <w:p>
      <w:pPr>
        <w:pStyle w:val="BodyText"/>
        <w:spacing w:line="249" w:lineRule="auto" w:before="70"/>
        <w:ind w:right="1435" w:firstLine="432"/>
        <w:jc w:val="both"/>
      </w:pPr>
      <w:r>
        <w:rPr/>
        <w:t>Privacy is a concept and a reality which begins to emerge in England and Western Europe during the early modernity. There are mainly three ways in which historians have accounted for the nsing of privacy and the acknowledgement, in the collective imagination, of the existence of a private space. First of all, in A History of Private Life, Passions of the</w:t>
      </w:r>
      <w:r>
        <w:rPr>
          <w:spacing w:val="-2"/>
        </w:rPr>
        <w:t> </w:t>
      </w:r>
      <w:r>
        <w:rPr/>
        <w:t>Renaissance. (Chartier 1989), sons and daughters of the late romances. Last but not least, the most conspicuous event is the emergence of a fresh conception about material life, a different organization of daily habits and events. Utility is now doubled by the desideratum of sophistication and taste, insignia of the family’s or the individual’s socio-economic position and private values. Indebted to new</w:t>
      </w:r>
      <w:r>
        <w:rPr>
          <w:spacing w:val="-5"/>
        </w:rPr>
        <w:t> </w:t>
      </w:r>
      <w:r>
        <w:rPr/>
        <w:t>directions</w:t>
      </w:r>
      <w:r>
        <w:rPr>
          <w:spacing w:val="-2"/>
        </w:rPr>
        <w:t> </w:t>
      </w:r>
      <w:r>
        <w:rPr/>
        <w:t>of</w:t>
      </w:r>
      <w:r>
        <w:rPr>
          <w:spacing w:val="-4"/>
        </w:rPr>
        <w:t> </w:t>
      </w:r>
      <w:r>
        <w:rPr/>
        <w:t>research</w:t>
      </w:r>
      <w:r>
        <w:rPr>
          <w:spacing w:val="-4"/>
        </w:rPr>
        <w:t> </w:t>
      </w:r>
      <w:r>
        <w:rPr/>
        <w:t>in</w:t>
      </w:r>
      <w:r>
        <w:rPr>
          <w:spacing w:val="-4"/>
        </w:rPr>
        <w:t> </w:t>
      </w:r>
      <w:r>
        <w:rPr/>
        <w:t>cultural history,</w:t>
      </w:r>
      <w:r>
        <w:rPr>
          <w:spacing w:val="-2"/>
        </w:rPr>
        <w:t> </w:t>
      </w:r>
      <w:r>
        <w:rPr/>
        <w:t>Lena</w:t>
      </w:r>
      <w:r>
        <w:rPr>
          <w:spacing w:val="-1"/>
        </w:rPr>
        <w:t> </w:t>
      </w:r>
      <w:r>
        <w:rPr/>
        <w:t>Cowen</w:t>
      </w:r>
      <w:r>
        <w:rPr>
          <w:spacing w:val="-4"/>
        </w:rPr>
        <w:t> </w:t>
      </w:r>
      <w:r>
        <w:rPr/>
        <w:t>Orlin</w:t>
      </w:r>
      <w:r>
        <w:rPr>
          <w:spacing w:val="-4"/>
        </w:rPr>
        <w:t> </w:t>
      </w:r>
      <w:r>
        <w:rPr/>
        <w:t>(2009) presents the rituals of work and leisure, production and consumption, sociability and comfort as instantiations of a different mentality about private life in early modern England, applicable not only to the visible elites, but also to the less visible common men and women Philippe Anes and Georges Duby define private life as an elusive term, because </w:t>
      </w:r>
      <w:r>
        <w:rPr>
          <w:spacing w:val="-2"/>
        </w:rPr>
        <w:t>“private”</w:t>
      </w:r>
      <w:r>
        <w:rPr>
          <w:spacing w:val="-7"/>
        </w:rPr>
        <w:t> </w:t>
      </w:r>
      <w:r>
        <w:rPr>
          <w:spacing w:val="-2"/>
        </w:rPr>
        <w:t>and “public”</w:t>
      </w:r>
      <w:r>
        <w:rPr>
          <w:spacing w:val="-4"/>
        </w:rPr>
        <w:t> </w:t>
      </w:r>
      <w:r>
        <w:rPr>
          <w:spacing w:val="-2"/>
        </w:rPr>
        <w:t>were</w:t>
      </w:r>
      <w:r>
        <w:rPr>
          <w:spacing w:val="-3"/>
        </w:rPr>
        <w:t> </w:t>
      </w:r>
      <w:r>
        <w:rPr>
          <w:spacing w:val="-2"/>
        </w:rPr>
        <w:t>not</w:t>
      </w:r>
      <w:r>
        <w:rPr>
          <w:spacing w:val="-7"/>
        </w:rPr>
        <w:t> </w:t>
      </w:r>
      <w:r>
        <w:rPr>
          <w:spacing w:val="-2"/>
        </w:rPr>
        <w:t>opposed,</w:t>
      </w:r>
      <w:r>
        <w:rPr>
          <w:spacing w:val="-4"/>
        </w:rPr>
        <w:t> </w:t>
      </w:r>
      <w:r>
        <w:rPr>
          <w:spacing w:val="-2"/>
        </w:rPr>
        <w:t>but</w:t>
      </w:r>
      <w:r>
        <w:rPr>
          <w:spacing w:val="-6"/>
        </w:rPr>
        <w:t> </w:t>
      </w:r>
      <w:r>
        <w:rPr>
          <w:spacing w:val="-2"/>
        </w:rPr>
        <w:t>areas</w:t>
      </w:r>
      <w:r>
        <w:rPr>
          <w:spacing w:val="-4"/>
        </w:rPr>
        <w:t> </w:t>
      </w:r>
      <w:r>
        <w:rPr>
          <w:spacing w:val="-2"/>
        </w:rPr>
        <w:t>with</w:t>
      </w:r>
      <w:r>
        <w:rPr>
          <w:spacing w:val="-7"/>
        </w:rPr>
        <w:t> </w:t>
      </w:r>
      <w:r>
        <w:rPr>
          <w:spacing w:val="-2"/>
        </w:rPr>
        <w:t>fluid boundaries. </w:t>
      </w:r>
      <w:r>
        <w:rPr/>
        <w:t>In</w:t>
      </w:r>
      <w:r>
        <w:rPr>
          <w:spacing w:val="-4"/>
        </w:rPr>
        <w:t> </w:t>
      </w:r>
      <w:r>
        <w:rPr/>
        <w:t>its</w:t>
      </w:r>
      <w:r>
        <w:rPr>
          <w:spacing w:val="-2"/>
        </w:rPr>
        <w:t> </w:t>
      </w:r>
      <w:r>
        <w:rPr/>
        <w:t>early</w:t>
      </w:r>
      <w:r>
        <w:rPr>
          <w:spacing w:val="-6"/>
        </w:rPr>
        <w:t> </w:t>
      </w:r>
      <w:r>
        <w:rPr/>
        <w:t>days, the</w:t>
      </w:r>
      <w:r>
        <w:rPr>
          <w:spacing w:val="-3"/>
        </w:rPr>
        <w:t> </w:t>
      </w:r>
      <w:r>
        <w:rPr/>
        <w:t>private</w:t>
      </w:r>
      <w:r>
        <w:rPr>
          <w:spacing w:val="-3"/>
        </w:rPr>
        <w:t> </w:t>
      </w:r>
      <w:r>
        <w:rPr/>
        <w:t>realm</w:t>
      </w:r>
      <w:r>
        <w:rPr>
          <w:spacing w:val="-3"/>
        </w:rPr>
        <w:t> </w:t>
      </w:r>
      <w:r>
        <w:rPr/>
        <w:t>was</w:t>
      </w:r>
      <w:r>
        <w:rPr>
          <w:spacing w:val="-4"/>
        </w:rPr>
        <w:t> </w:t>
      </w:r>
      <w:r>
        <w:rPr/>
        <w:t>a</w:t>
      </w:r>
      <w:r>
        <w:rPr>
          <w:spacing w:val="-3"/>
        </w:rPr>
        <w:t> </w:t>
      </w:r>
      <w:r>
        <w:rPr/>
        <w:t>familiar world</w:t>
      </w:r>
      <w:r>
        <w:rPr>
          <w:spacing w:val="-2"/>
        </w:rPr>
        <w:t> </w:t>
      </w:r>
      <w:r>
        <w:rPr/>
        <w:t>in</w:t>
      </w:r>
      <w:r>
        <w:rPr>
          <w:spacing w:val="-2"/>
        </w:rPr>
        <w:t> </w:t>
      </w:r>
      <w:r>
        <w:rPr/>
        <w:t>which</w:t>
      </w:r>
      <w:r>
        <w:rPr>
          <w:spacing w:val="-4"/>
        </w:rPr>
        <w:t> </w:t>
      </w:r>
      <w:r>
        <w:rPr/>
        <w:t>people took care of, but also surveilled each other. The emergence of individualism was, in Aries’</w:t>
      </w:r>
      <w:r>
        <w:rPr>
          <w:spacing w:val="-4"/>
        </w:rPr>
        <w:t> </w:t>
      </w:r>
      <w:r>
        <w:rPr/>
        <w:t>view, the cause of the separation between the</w:t>
      </w:r>
      <w:r>
        <w:rPr>
          <w:spacing w:val="26"/>
        </w:rPr>
        <w:t> </w:t>
      </w:r>
      <w:r>
        <w:rPr/>
        <w:t>public</w:t>
      </w:r>
      <w:r>
        <w:rPr>
          <w:spacing w:val="29"/>
        </w:rPr>
        <w:t> </w:t>
      </w:r>
      <w:r>
        <w:rPr/>
        <w:t>and</w:t>
      </w:r>
      <w:r>
        <w:rPr>
          <w:spacing w:val="28"/>
        </w:rPr>
        <w:t> </w:t>
      </w:r>
      <w:r>
        <w:rPr/>
        <w:t>the</w:t>
      </w:r>
      <w:r>
        <w:rPr>
          <w:spacing w:val="28"/>
        </w:rPr>
        <w:t> </w:t>
      </w:r>
      <w:r>
        <w:rPr/>
        <w:t>private</w:t>
      </w:r>
      <w:r>
        <w:rPr>
          <w:spacing w:val="27"/>
        </w:rPr>
        <w:t> </w:t>
      </w:r>
      <w:r>
        <w:rPr/>
        <w:t>sphere.</w:t>
      </w:r>
      <w:r>
        <w:rPr>
          <w:spacing w:val="30"/>
        </w:rPr>
        <w:t> </w:t>
      </w:r>
      <w:r>
        <w:rPr/>
        <w:t>Secondly,</w:t>
      </w:r>
      <w:r>
        <w:rPr>
          <w:spacing w:val="27"/>
        </w:rPr>
        <w:t> </w:t>
      </w:r>
      <w:r>
        <w:rPr/>
        <w:t>Catherine</w:t>
      </w:r>
      <w:r>
        <w:rPr>
          <w:spacing w:val="29"/>
        </w:rPr>
        <w:t> </w:t>
      </w:r>
      <w:r>
        <w:rPr/>
        <w:t>Bebey</w:t>
      </w:r>
      <w:r>
        <w:rPr>
          <w:spacing w:val="23"/>
        </w:rPr>
        <w:t> </w:t>
      </w:r>
      <w:r>
        <w:rPr>
          <w:spacing w:val="-2"/>
        </w:rPr>
        <w:t>(2001)</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76256">
                <wp:simplePos x="0" y="0"/>
                <wp:positionH relativeFrom="page">
                  <wp:posOffset>2057400</wp:posOffset>
                </wp:positionH>
                <wp:positionV relativeFrom="paragraph">
                  <wp:posOffset>162604</wp:posOffset>
                </wp:positionV>
                <wp:extent cx="3657600" cy="12700"/>
                <wp:effectExtent l="0" t="0" r="0" b="0"/>
                <wp:wrapTopAndBottom/>
                <wp:docPr id="530" name="Graphic 530"/>
                <wp:cNvGraphicFramePr>
                  <a:graphicFrameLocks/>
                </wp:cNvGraphicFramePr>
                <a:graphic>
                  <a:graphicData uri="http://schemas.microsoft.com/office/word/2010/wordprocessingShape">
                    <wps:wsp>
                      <wps:cNvPr id="530" name="Graphic 53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40224;mso-wrap-distance-left:0;mso-wrap-distance-right:0" id="docshape525" filled="true" fillcolor="#000000" stroked="false">
                <v:fill type="solid"/>
                <w10:wrap type="topAndBottom"/>
              </v:rect>
            </w:pict>
          </mc:Fallback>
        </mc:AlternateContent>
      </w:r>
      <w:r>
        <w:rPr>
          <w:rFonts w:ascii="Verdana"/>
          <w:spacing w:val="-5"/>
          <w:sz w:val="18"/>
        </w:rPr>
        <w:t>250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speaks about achange in people’s attitude about family and family life. After the dynastic model of</w:t>
      </w:r>
      <w:r>
        <w:rPr>
          <w:spacing w:val="-2"/>
        </w:rPr>
        <w:t> </w:t>
      </w:r>
      <w:r>
        <w:rPr/>
        <w:t>the Middle</w:t>
      </w:r>
      <w:r>
        <w:rPr>
          <w:spacing w:val="-10"/>
        </w:rPr>
        <w:t> </w:t>
      </w:r>
      <w:r>
        <w:rPr/>
        <w:t>Ages, after the</w:t>
      </w:r>
      <w:r>
        <w:rPr>
          <w:spacing w:val="-1"/>
        </w:rPr>
        <w:t> </w:t>
      </w:r>
      <w:r>
        <w:rPr/>
        <w:t>childless Tudors and the scandals about the legitimacy of Henry Vill’s offspring, Belsey looks at the nuclear family presented by the first Stuart monarch as a new</w:t>
      </w:r>
      <w:r>
        <w:rPr>
          <w:spacing w:val="-10"/>
        </w:rPr>
        <w:t> </w:t>
      </w:r>
      <w:r>
        <w:rPr/>
        <w:t>phenomenon,</w:t>
      </w:r>
      <w:r>
        <w:rPr>
          <w:spacing w:val="-6"/>
        </w:rPr>
        <w:t> </w:t>
      </w:r>
      <w:r>
        <w:rPr/>
        <w:t>replicated</w:t>
      </w:r>
      <w:r>
        <w:rPr>
          <w:spacing w:val="-6"/>
        </w:rPr>
        <w:t> </w:t>
      </w:r>
      <w:r>
        <w:rPr/>
        <w:t>by</w:t>
      </w:r>
      <w:r>
        <w:rPr>
          <w:spacing w:val="-12"/>
        </w:rPr>
        <w:t> </w:t>
      </w:r>
      <w:r>
        <w:rPr/>
        <w:t>Shakespeare</w:t>
      </w:r>
      <w:r>
        <w:rPr>
          <w:spacing w:val="-10"/>
        </w:rPr>
        <w:t> </w:t>
      </w:r>
      <w:r>
        <w:rPr/>
        <w:t>himself</w:t>
      </w:r>
      <w:r>
        <w:rPr>
          <w:spacing w:val="-8"/>
        </w:rPr>
        <w:t> </w:t>
      </w:r>
      <w:r>
        <w:rPr/>
        <w:t>in</w:t>
      </w:r>
      <w:r>
        <w:rPr>
          <w:spacing w:val="-8"/>
        </w:rPr>
        <w:t> </w:t>
      </w:r>
      <w:r>
        <w:rPr/>
        <w:t>the</w:t>
      </w:r>
      <w:r>
        <w:rPr>
          <w:spacing w:val="-7"/>
        </w:rPr>
        <w:t> </w:t>
      </w:r>
      <w:r>
        <w:rPr/>
        <w:t>parents,</w:t>
      </w:r>
      <w:r>
        <w:rPr>
          <w:spacing w:val="-8"/>
        </w:rPr>
        <w:t> </w:t>
      </w:r>
      <w:r>
        <w:rPr/>
        <w:t>The Power Dynamics in Shakespeare’s Plays Power is one of the most prominent</w:t>
      </w:r>
      <w:r>
        <w:rPr>
          <w:spacing w:val="40"/>
        </w:rPr>
        <w:t> </w:t>
      </w:r>
      <w:r>
        <w:rPr/>
        <w:t>and</w:t>
      </w:r>
    </w:p>
    <w:p>
      <w:pPr>
        <w:pStyle w:val="BodyText"/>
        <w:spacing w:line="261" w:lineRule="auto" w:before="71"/>
        <w:ind w:right="1437" w:firstLine="432"/>
        <w:jc w:val="both"/>
      </w:pPr>
      <w:r>
        <w:rPr/>
        <w:t>common</w:t>
      </w:r>
      <w:r>
        <w:rPr>
          <w:spacing w:val="-9"/>
        </w:rPr>
        <w:t> </w:t>
      </w:r>
      <w:r>
        <w:rPr/>
        <w:t>themes</w:t>
      </w:r>
      <w:r>
        <w:rPr>
          <w:spacing w:val="-9"/>
        </w:rPr>
        <w:t> </w:t>
      </w:r>
      <w:r>
        <w:rPr/>
        <w:t>in</w:t>
      </w:r>
      <w:r>
        <w:rPr>
          <w:spacing w:val="-7"/>
        </w:rPr>
        <w:t> </w:t>
      </w:r>
      <w:r>
        <w:rPr/>
        <w:t>the</w:t>
      </w:r>
      <w:r>
        <w:rPr>
          <w:spacing w:val="-8"/>
        </w:rPr>
        <w:t> </w:t>
      </w:r>
      <w:r>
        <w:rPr/>
        <w:t>tragedies</w:t>
      </w:r>
      <w:r>
        <w:rPr>
          <w:spacing w:val="-7"/>
        </w:rPr>
        <w:t> </w:t>
      </w:r>
      <w:r>
        <w:rPr/>
        <w:t>by</w:t>
      </w:r>
      <w:r>
        <w:rPr>
          <w:spacing w:val="-13"/>
        </w:rPr>
        <w:t> </w:t>
      </w:r>
      <w:r>
        <w:rPr/>
        <w:t>William</w:t>
      </w:r>
      <w:r>
        <w:rPr>
          <w:spacing w:val="-8"/>
        </w:rPr>
        <w:t> </w:t>
      </w:r>
      <w:r>
        <w:rPr/>
        <w:t>Shakespeare,</w:t>
      </w:r>
      <w:r>
        <w:rPr>
          <w:spacing w:val="-9"/>
        </w:rPr>
        <w:t> </w:t>
      </w:r>
      <w:r>
        <w:rPr/>
        <w:t>which</w:t>
      </w:r>
      <w:r>
        <w:rPr>
          <w:spacing w:val="-7"/>
        </w:rPr>
        <w:t> </w:t>
      </w:r>
      <w:r>
        <w:rPr/>
        <w:t>is both a political or a social concept, but a personal and psychological one as well. Shakespeare introduces the power in his plays as a </w:t>
      </w:r>
      <w:r>
        <w:rPr>
          <w:spacing w:val="-2"/>
        </w:rPr>
        <w:t>complicated</w:t>
      </w:r>
      <w:r>
        <w:rPr>
          <w:spacing w:val="-6"/>
        </w:rPr>
        <w:t> </w:t>
      </w:r>
      <w:r>
        <w:rPr>
          <w:spacing w:val="-2"/>
        </w:rPr>
        <w:t>and</w:t>
      </w:r>
      <w:r>
        <w:rPr>
          <w:spacing w:val="-7"/>
        </w:rPr>
        <w:t> </w:t>
      </w:r>
      <w:r>
        <w:rPr>
          <w:spacing w:val="-2"/>
        </w:rPr>
        <w:t>unstable</w:t>
      </w:r>
      <w:r>
        <w:rPr>
          <w:spacing w:val="-7"/>
        </w:rPr>
        <w:t> </w:t>
      </w:r>
      <w:r>
        <w:rPr>
          <w:spacing w:val="-2"/>
        </w:rPr>
        <w:t>phenomenon,</w:t>
      </w:r>
      <w:r>
        <w:rPr>
          <w:spacing w:val="-5"/>
        </w:rPr>
        <w:t> </w:t>
      </w:r>
      <w:r>
        <w:rPr>
          <w:spacing w:val="-2"/>
        </w:rPr>
        <w:t>which</w:t>
      </w:r>
      <w:r>
        <w:rPr>
          <w:spacing w:val="-7"/>
        </w:rPr>
        <w:t> </w:t>
      </w:r>
      <w:r>
        <w:rPr>
          <w:spacing w:val="-2"/>
        </w:rPr>
        <w:t>is</w:t>
      </w:r>
      <w:r>
        <w:rPr>
          <w:spacing w:val="-10"/>
        </w:rPr>
        <w:t> </w:t>
      </w:r>
      <w:r>
        <w:rPr>
          <w:spacing w:val="-2"/>
        </w:rPr>
        <w:t>determined</w:t>
      </w:r>
      <w:r>
        <w:rPr>
          <w:spacing w:val="-5"/>
        </w:rPr>
        <w:t> </w:t>
      </w:r>
      <w:r>
        <w:rPr>
          <w:spacing w:val="-2"/>
        </w:rPr>
        <w:t>by</w:t>
      </w:r>
      <w:r>
        <w:rPr>
          <w:spacing w:val="-11"/>
        </w:rPr>
        <w:t> </w:t>
      </w:r>
      <w:r>
        <w:rPr>
          <w:spacing w:val="-2"/>
        </w:rPr>
        <w:t>ambition, </w:t>
      </w:r>
      <w:r>
        <w:rPr/>
        <w:t>desire,</w:t>
      </w:r>
      <w:r>
        <w:rPr>
          <w:spacing w:val="-4"/>
        </w:rPr>
        <w:t> </w:t>
      </w:r>
      <w:r>
        <w:rPr/>
        <w:t>gender,</w:t>
      </w:r>
      <w:r>
        <w:rPr>
          <w:spacing w:val="-4"/>
        </w:rPr>
        <w:t> </w:t>
      </w:r>
      <w:r>
        <w:rPr/>
        <w:t>circumstance,</w:t>
      </w:r>
      <w:r>
        <w:rPr>
          <w:spacing w:val="-6"/>
        </w:rPr>
        <w:t> </w:t>
      </w:r>
      <w:r>
        <w:rPr/>
        <w:t>and</w:t>
      </w:r>
      <w:r>
        <w:rPr>
          <w:spacing w:val="-4"/>
        </w:rPr>
        <w:t> </w:t>
      </w:r>
      <w:r>
        <w:rPr/>
        <w:t>so</w:t>
      </w:r>
      <w:r>
        <w:rPr>
          <w:spacing w:val="-4"/>
        </w:rPr>
        <w:t> </w:t>
      </w:r>
      <w:r>
        <w:rPr/>
        <w:t>on.</w:t>
      </w:r>
      <w:r>
        <w:rPr>
          <w:spacing w:val="-6"/>
        </w:rPr>
        <w:t> </w:t>
      </w:r>
      <w:r>
        <w:rPr/>
        <w:t>Power</w:t>
      </w:r>
      <w:r>
        <w:rPr>
          <w:spacing w:val="-4"/>
        </w:rPr>
        <w:t> </w:t>
      </w:r>
      <w:r>
        <w:rPr/>
        <w:t>is</w:t>
      </w:r>
      <w:r>
        <w:rPr>
          <w:spacing w:val="-6"/>
        </w:rPr>
        <w:t> </w:t>
      </w:r>
      <w:r>
        <w:rPr/>
        <w:t>what</w:t>
      </w:r>
      <w:r>
        <w:rPr>
          <w:spacing w:val="-7"/>
        </w:rPr>
        <w:t> </w:t>
      </w:r>
      <w:r>
        <w:rPr/>
        <w:t>becomes</w:t>
      </w:r>
      <w:r>
        <w:rPr>
          <w:spacing w:val="-6"/>
        </w:rPr>
        <w:t> </w:t>
      </w:r>
      <w:r>
        <w:rPr/>
        <w:t>the</w:t>
      </w:r>
      <w:r>
        <w:rPr>
          <w:spacing w:val="-3"/>
        </w:rPr>
        <w:t> </w:t>
      </w:r>
      <w:r>
        <w:rPr/>
        <w:t>vile object of the pursuit of many of his tragic heroes and heroines demonstrating the corrupting effect it may have on a human mind. In the world Shakespeare lived in, power never exists in one form, it is always in flux, disputed and recreated by those who desire it and those who lose it. In his detailed treatment of kings, soldiers, and common </w:t>
      </w:r>
      <w:r>
        <w:rPr>
          <w:spacing w:val="-2"/>
        </w:rPr>
        <w:t>people, Shakespeare</w:t>
      </w:r>
      <w:r>
        <w:rPr>
          <w:spacing w:val="-7"/>
        </w:rPr>
        <w:t> </w:t>
      </w:r>
      <w:r>
        <w:rPr>
          <w:spacing w:val="-2"/>
        </w:rPr>
        <w:t>reveals</w:t>
      </w:r>
      <w:r>
        <w:rPr>
          <w:spacing w:val="-4"/>
        </w:rPr>
        <w:t> </w:t>
      </w:r>
      <w:r>
        <w:rPr>
          <w:spacing w:val="-2"/>
        </w:rPr>
        <w:t>the moral</w:t>
      </w:r>
      <w:r>
        <w:rPr>
          <w:spacing w:val="-5"/>
        </w:rPr>
        <w:t> </w:t>
      </w:r>
      <w:r>
        <w:rPr>
          <w:spacing w:val="-2"/>
        </w:rPr>
        <w:t>and emotional results</w:t>
      </w:r>
      <w:r>
        <w:rPr>
          <w:spacing w:val="-7"/>
        </w:rPr>
        <w:t> </w:t>
      </w:r>
      <w:r>
        <w:rPr>
          <w:spacing w:val="-2"/>
        </w:rPr>
        <w:t>of</w:t>
      </w:r>
      <w:r>
        <w:rPr>
          <w:spacing w:val="-4"/>
        </w:rPr>
        <w:t> </w:t>
      </w:r>
      <w:r>
        <w:rPr>
          <w:spacing w:val="-2"/>
        </w:rPr>
        <w:t>ambitions </w:t>
      </w:r>
      <w:r>
        <w:rPr/>
        <w:t>and power, and gives the eternal contribution to the field of human desire to gain control and authority.Besides the political power, the plays by Shakespeare also experiment with the theme of power and gender to demonstrate how social roles and patriarchal norms dictate</w:t>
      </w:r>
      <w:r>
        <w:rPr>
          <w:spacing w:val="40"/>
        </w:rPr>
        <w:t> </w:t>
      </w:r>
      <w:r>
        <w:rPr/>
        <w:t>the</w:t>
      </w:r>
      <w:r>
        <w:rPr>
          <w:spacing w:val="-6"/>
        </w:rPr>
        <w:t> </w:t>
      </w:r>
      <w:r>
        <w:rPr/>
        <w:t>right</w:t>
      </w:r>
      <w:r>
        <w:rPr>
          <w:spacing w:val="-8"/>
        </w:rPr>
        <w:t> </w:t>
      </w:r>
      <w:r>
        <w:rPr/>
        <w:t>to</w:t>
      </w:r>
      <w:r>
        <w:rPr>
          <w:spacing w:val="-5"/>
        </w:rPr>
        <w:t> </w:t>
      </w:r>
      <w:r>
        <w:rPr/>
        <w:t>lead,</w:t>
      </w:r>
      <w:r>
        <w:rPr>
          <w:spacing w:val="-7"/>
        </w:rPr>
        <w:t> </w:t>
      </w:r>
      <w:r>
        <w:rPr/>
        <w:t>speak</w:t>
      </w:r>
      <w:r>
        <w:rPr>
          <w:spacing w:val="-7"/>
        </w:rPr>
        <w:t> </w:t>
      </w:r>
      <w:r>
        <w:rPr/>
        <w:t>and</w:t>
      </w:r>
      <w:r>
        <w:rPr>
          <w:spacing w:val="-3"/>
        </w:rPr>
        <w:t> </w:t>
      </w:r>
      <w:r>
        <w:rPr/>
        <w:t>act.</w:t>
      </w:r>
      <w:r>
        <w:rPr>
          <w:spacing w:val="-8"/>
        </w:rPr>
        <w:t> </w:t>
      </w:r>
      <w:r>
        <w:rPr/>
        <w:t>Majority</w:t>
      </w:r>
      <w:r>
        <w:rPr>
          <w:spacing w:val="-8"/>
        </w:rPr>
        <w:t> </w:t>
      </w:r>
      <w:r>
        <w:rPr/>
        <w:t>of</w:t>
      </w:r>
      <w:r>
        <w:rPr>
          <w:spacing w:val="-7"/>
        </w:rPr>
        <w:t> </w:t>
      </w:r>
      <w:r>
        <w:rPr/>
        <w:t>his</w:t>
      </w:r>
      <w:r>
        <w:rPr>
          <w:spacing w:val="-8"/>
        </w:rPr>
        <w:t> </w:t>
      </w:r>
      <w:r>
        <w:rPr/>
        <w:t>plays</w:t>
      </w:r>
      <w:r>
        <w:rPr>
          <w:spacing w:val="-7"/>
        </w:rPr>
        <w:t> </w:t>
      </w:r>
      <w:r>
        <w:rPr/>
        <w:t>which</w:t>
      </w:r>
      <w:r>
        <w:rPr>
          <w:spacing w:val="-8"/>
        </w:rPr>
        <w:t> </w:t>
      </w:r>
      <w:r>
        <w:rPr/>
        <w:t>were</w:t>
      </w:r>
      <w:r>
        <w:rPr>
          <w:spacing w:val="-6"/>
        </w:rPr>
        <w:t> </w:t>
      </w:r>
      <w:r>
        <w:rPr/>
        <w:t>written </w:t>
      </w:r>
      <w:r>
        <w:rPr>
          <w:spacing w:val="-2"/>
        </w:rPr>
        <w:t>in</w:t>
      </w:r>
      <w:r>
        <w:rPr>
          <w:spacing w:val="-11"/>
        </w:rPr>
        <w:t> </w:t>
      </w:r>
      <w:r>
        <w:rPr>
          <w:spacing w:val="-2"/>
        </w:rPr>
        <w:t>the</w:t>
      </w:r>
      <w:r>
        <w:rPr>
          <w:spacing w:val="-7"/>
        </w:rPr>
        <w:t> </w:t>
      </w:r>
      <w:r>
        <w:rPr>
          <w:spacing w:val="-2"/>
        </w:rPr>
        <w:t>Elizabethan</w:t>
      </w:r>
      <w:r>
        <w:rPr>
          <w:spacing w:val="-11"/>
        </w:rPr>
        <w:t> </w:t>
      </w:r>
      <w:r>
        <w:rPr>
          <w:spacing w:val="-2"/>
        </w:rPr>
        <w:t>era</w:t>
      </w:r>
      <w:r>
        <w:rPr>
          <w:spacing w:val="-5"/>
        </w:rPr>
        <w:t> </w:t>
      </w:r>
      <w:r>
        <w:rPr>
          <w:spacing w:val="-2"/>
        </w:rPr>
        <w:t>reveal</w:t>
      </w:r>
      <w:r>
        <w:rPr>
          <w:spacing w:val="-9"/>
        </w:rPr>
        <w:t> </w:t>
      </w:r>
      <w:r>
        <w:rPr>
          <w:spacing w:val="-2"/>
        </w:rPr>
        <w:t>a</w:t>
      </w:r>
      <w:r>
        <w:rPr>
          <w:spacing w:val="-8"/>
        </w:rPr>
        <w:t> </w:t>
      </w:r>
      <w:r>
        <w:rPr>
          <w:spacing w:val="-2"/>
        </w:rPr>
        <w:t>society</w:t>
      </w:r>
      <w:r>
        <w:rPr>
          <w:spacing w:val="-10"/>
        </w:rPr>
        <w:t> </w:t>
      </w:r>
      <w:r>
        <w:rPr>
          <w:spacing w:val="-2"/>
        </w:rPr>
        <w:t>where</w:t>
      </w:r>
      <w:r>
        <w:rPr>
          <w:spacing w:val="-11"/>
        </w:rPr>
        <w:t> </w:t>
      </w:r>
      <w:r>
        <w:rPr>
          <w:spacing w:val="-2"/>
        </w:rPr>
        <w:t>men</w:t>
      </w:r>
      <w:r>
        <w:rPr>
          <w:spacing w:val="-7"/>
        </w:rPr>
        <w:t> </w:t>
      </w:r>
      <w:r>
        <w:rPr>
          <w:spacing w:val="-2"/>
        </w:rPr>
        <w:t>traditionally</w:t>
      </w:r>
      <w:r>
        <w:rPr>
          <w:spacing w:val="-10"/>
        </w:rPr>
        <w:t> </w:t>
      </w:r>
      <w:r>
        <w:rPr>
          <w:spacing w:val="-2"/>
        </w:rPr>
        <w:t>dominated, </w:t>
      </w:r>
      <w:r>
        <w:rPr/>
        <w:t>whereas women were limited to the domestic or subservient roles. But Shakespeare makes this dichotomous system complicated by providing his feminine characters with instances of utter power, wit, and power. He</w:t>
      </w:r>
      <w:r>
        <w:rPr>
          <w:spacing w:val="-1"/>
        </w:rPr>
        <w:t> </w:t>
      </w:r>
      <w:r>
        <w:rPr/>
        <w:t>depicts</w:t>
      </w:r>
      <w:r>
        <w:rPr>
          <w:spacing w:val="-2"/>
        </w:rPr>
        <w:t> </w:t>
      </w:r>
      <w:r>
        <w:rPr/>
        <w:t>women</w:t>
      </w:r>
      <w:r>
        <w:rPr>
          <w:spacing w:val="-2"/>
        </w:rPr>
        <w:t> </w:t>
      </w:r>
      <w:r>
        <w:rPr/>
        <w:t>who are not</w:t>
      </w:r>
      <w:r>
        <w:rPr>
          <w:spacing w:val="-2"/>
        </w:rPr>
        <w:t> </w:t>
      </w:r>
      <w:r>
        <w:rPr/>
        <w:t>just victims</w:t>
      </w:r>
      <w:r>
        <w:rPr>
          <w:spacing w:val="-2"/>
        </w:rPr>
        <w:t> </w:t>
      </w:r>
      <w:r>
        <w:rPr/>
        <w:t>of</w:t>
      </w:r>
      <w:r>
        <w:rPr>
          <w:spacing w:val="-2"/>
        </w:rPr>
        <w:t> </w:t>
      </w:r>
      <w:r>
        <w:rPr/>
        <w:t>men but also people</w:t>
      </w:r>
      <w:r>
        <w:rPr>
          <w:spacing w:val="-1"/>
        </w:rPr>
        <w:t> </w:t>
      </w:r>
      <w:r>
        <w:rPr/>
        <w:t>who are involved in determining their destiny. Other characters like Lady Macbeth</w:t>
      </w:r>
      <w:r>
        <w:rPr>
          <w:spacing w:val="40"/>
        </w:rPr>
        <w:t> </w:t>
      </w:r>
      <w:r>
        <w:rPr/>
        <w:t>and</w:t>
      </w:r>
      <w:r>
        <w:rPr>
          <w:spacing w:val="40"/>
        </w:rPr>
        <w:t> </w:t>
      </w:r>
      <w:r>
        <w:rPr/>
        <w:t>Cleopatra.</w:t>
      </w:r>
    </w:p>
    <w:p>
      <w:pPr>
        <w:pStyle w:val="Heading3"/>
        <w:spacing w:before="138"/>
        <w:jc w:val="both"/>
      </w:pPr>
      <w:r>
        <w:rPr>
          <w:w w:val="90"/>
        </w:rPr>
        <w:t>RESULT</w:t>
      </w:r>
      <w:r>
        <w:rPr>
          <w:spacing w:val="-5"/>
          <w:w w:val="90"/>
        </w:rPr>
        <w:t> </w:t>
      </w:r>
      <w:r>
        <w:rPr>
          <w:w w:val="90"/>
        </w:rPr>
        <w:t>AND</w:t>
      </w:r>
      <w:r>
        <w:rPr>
          <w:spacing w:val="-7"/>
        </w:rPr>
        <w:t> </w:t>
      </w:r>
      <w:r>
        <w:rPr>
          <w:spacing w:val="-2"/>
          <w:w w:val="90"/>
        </w:rPr>
        <w:t>DISCUSSION</w:t>
      </w:r>
    </w:p>
    <w:p>
      <w:pPr>
        <w:pStyle w:val="BodyText"/>
        <w:spacing w:line="261" w:lineRule="auto" w:before="87"/>
        <w:ind w:right="1439" w:firstLine="432"/>
        <w:jc w:val="both"/>
      </w:pPr>
      <w:r>
        <w:rPr>
          <w:spacing w:val="-4"/>
        </w:rPr>
        <w:t>Shakespeare ofien reflects the pantathal power structu of Elizabethan </w:t>
      </w:r>
      <w:r>
        <w:rPr/>
        <w:t>and Jacobean society, where men tóð³ñàlló held social, political, and familial authority Male dominance is often presented as natural or unquestioned Fathers control daughters, hotiends control wives, and political leadership is usually in male handets Orbelle, women like Desdemona are cxpected to the obedient to their fathers and husbands. Ingo’s</w:t>
      </w:r>
      <w:r>
        <w:rPr>
          <w:spacing w:val="25"/>
        </w:rPr>
        <w:t> </w:t>
      </w:r>
      <w:r>
        <w:rPr/>
        <w:t>manipulation</w:t>
      </w:r>
      <w:r>
        <w:rPr>
          <w:spacing w:val="25"/>
        </w:rPr>
        <w:t> </w:t>
      </w:r>
      <w:r>
        <w:rPr/>
        <w:t>of</w:t>
      </w:r>
      <w:r>
        <w:rPr>
          <w:spacing w:val="21"/>
        </w:rPr>
        <w:t> </w:t>
      </w:r>
      <w:r>
        <w:rPr/>
        <w:t>Othello</w:t>
      </w:r>
      <w:r>
        <w:rPr>
          <w:spacing w:val="27"/>
        </w:rPr>
        <w:t> </w:t>
      </w:r>
      <w:r>
        <w:rPr/>
        <w:t>also</w:t>
      </w:r>
      <w:r>
        <w:rPr>
          <w:spacing w:val="27"/>
        </w:rPr>
        <w:t> </w:t>
      </w:r>
      <w:r>
        <w:rPr/>
        <w:t>rests</w:t>
      </w:r>
      <w:r>
        <w:rPr>
          <w:spacing w:val="25"/>
        </w:rPr>
        <w:t> </w:t>
      </w:r>
      <w:r>
        <w:rPr/>
        <w:t>on</w:t>
      </w:r>
      <w:r>
        <w:rPr>
          <w:spacing w:val="21"/>
        </w:rPr>
        <w:t> </w:t>
      </w:r>
      <w:r>
        <w:rPr/>
        <w:t>avrumptions</w:t>
      </w:r>
      <w:r>
        <w:rPr>
          <w:spacing w:val="25"/>
        </w:rPr>
        <w:t> </w:t>
      </w:r>
      <w:r>
        <w:rPr/>
        <w:t>about</w:t>
      </w:r>
      <w:r>
        <w:rPr>
          <w:spacing w:val="24"/>
        </w:rPr>
        <w:t> </w:t>
      </w:r>
      <w:r>
        <w:rPr>
          <w:spacing w:val="-4"/>
        </w:rPr>
        <w:t>male</w:t>
      </w:r>
    </w:p>
    <w:p>
      <w:pPr>
        <w:pStyle w:val="BodyText"/>
        <w:spacing w:after="0" w:line="261" w:lineRule="auto"/>
        <w:jc w:val="both"/>
        <w:sectPr>
          <w:pgSz w:w="12240" w:h="15840"/>
          <w:pgMar w:top="1820" w:bottom="280" w:left="1800" w:right="1800"/>
        </w:sectPr>
      </w:pPr>
    </w:p>
    <w:p>
      <w:pPr>
        <w:tabs>
          <w:tab w:pos="7192"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76768">
                <wp:simplePos x="0" y="0"/>
                <wp:positionH relativeFrom="page">
                  <wp:posOffset>2065020</wp:posOffset>
                </wp:positionH>
                <wp:positionV relativeFrom="paragraph">
                  <wp:posOffset>795020</wp:posOffset>
                </wp:positionV>
                <wp:extent cx="3657600" cy="12700"/>
                <wp:effectExtent l="0" t="0" r="0" b="0"/>
                <wp:wrapTopAndBottom/>
                <wp:docPr id="531" name="Graphic 531"/>
                <wp:cNvGraphicFramePr>
                  <a:graphicFrameLocks/>
                </wp:cNvGraphicFramePr>
                <a:graphic>
                  <a:graphicData uri="http://schemas.microsoft.com/office/word/2010/wordprocessingShape">
                    <wps:wsp>
                      <wps:cNvPr id="531" name="Graphic 53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39712;mso-wrap-distance-left:0;mso-wrap-distance-right:0" id="docshape526" filled="true" fillcolor="#000000" stroked="false">
                <v:fill type="solid"/>
                <w10:wrap type="topAndBottom"/>
              </v:rect>
            </w:pict>
          </mc:Fallback>
        </mc:AlternateContent>
      </w:r>
      <w:r>
        <w:rPr>
          <w:rFonts w:ascii="Verdana" w:hAnsi="Verdana"/>
          <w:sz w:val="18"/>
        </w:rPr>
        <w:t>Gender,</w:t>
      </w:r>
      <w:r>
        <w:rPr>
          <w:rFonts w:ascii="Verdana" w:hAnsi="Verdana"/>
          <w:spacing w:val="5"/>
          <w:sz w:val="18"/>
        </w:rPr>
        <w:t> </w:t>
      </w:r>
      <w:r>
        <w:rPr>
          <w:rFonts w:ascii="Verdana" w:hAnsi="Verdana"/>
          <w:sz w:val="18"/>
        </w:rPr>
        <w:t>Space</w:t>
      </w:r>
      <w:r>
        <w:rPr>
          <w:rFonts w:ascii="Verdana" w:hAnsi="Verdana"/>
          <w:spacing w:val="10"/>
          <w:sz w:val="18"/>
        </w:rPr>
        <w:t> </w:t>
      </w:r>
      <w:r>
        <w:rPr>
          <w:rFonts w:ascii="Verdana" w:hAnsi="Verdana"/>
          <w:sz w:val="18"/>
        </w:rPr>
        <w:t>and</w:t>
      </w:r>
      <w:r>
        <w:rPr>
          <w:rFonts w:ascii="Verdana" w:hAnsi="Verdana"/>
          <w:spacing w:val="5"/>
          <w:sz w:val="18"/>
        </w:rPr>
        <w:t> </w:t>
      </w:r>
      <w:r>
        <w:rPr>
          <w:rFonts w:ascii="Verdana" w:hAnsi="Verdana"/>
          <w:sz w:val="18"/>
        </w:rPr>
        <w:t>Power</w:t>
      </w:r>
      <w:r>
        <w:rPr>
          <w:rFonts w:ascii="Verdana" w:hAnsi="Verdana"/>
          <w:spacing w:val="10"/>
          <w:sz w:val="18"/>
        </w:rPr>
        <w:t> </w:t>
      </w:r>
      <w:r>
        <w:rPr>
          <w:rFonts w:ascii="Verdana" w:hAnsi="Verdana"/>
          <w:sz w:val="18"/>
        </w:rPr>
        <w:t>In</w:t>
      </w:r>
      <w:r>
        <w:rPr>
          <w:rFonts w:ascii="Verdana" w:hAnsi="Verdana"/>
          <w:spacing w:val="6"/>
          <w:sz w:val="18"/>
        </w:rPr>
        <w:t> </w:t>
      </w:r>
      <w:r>
        <w:rPr>
          <w:rFonts w:ascii="Verdana" w:hAnsi="Verdana"/>
          <w:sz w:val="18"/>
        </w:rPr>
        <w:t>Shakespeare’s</w:t>
      </w:r>
      <w:r>
        <w:rPr>
          <w:rFonts w:ascii="Verdana" w:hAnsi="Verdana"/>
          <w:spacing w:val="8"/>
          <w:sz w:val="18"/>
        </w:rPr>
        <w:t> </w:t>
      </w:r>
      <w:r>
        <w:rPr>
          <w:rFonts w:ascii="Verdana" w:hAnsi="Verdana"/>
          <w:spacing w:val="-4"/>
          <w:sz w:val="18"/>
        </w:rPr>
        <w:t>Plays</w:t>
      </w:r>
      <w:r>
        <w:rPr>
          <w:sz w:val="18"/>
        </w:rPr>
        <w:tab/>
      </w:r>
      <w:r>
        <w:rPr>
          <w:rFonts w:ascii="Verdana" w:hAnsi="Verdana"/>
          <w:spacing w:val="-5"/>
          <w:sz w:val="18"/>
        </w:rPr>
        <w:t>251</w:t>
      </w:r>
    </w:p>
    <w:p>
      <w:pPr>
        <w:pStyle w:val="BodyText"/>
        <w:spacing w:line="261" w:lineRule="auto" w:before="199"/>
        <w:ind w:right="1439"/>
        <w:jc w:val="both"/>
      </w:pPr>
      <w:r>
        <w:rPr>
          <w:spacing w:val="-2"/>
        </w:rPr>
        <w:t>ownership</w:t>
      </w:r>
      <w:r>
        <w:rPr>
          <w:spacing w:val="-7"/>
        </w:rPr>
        <w:t> </w:t>
      </w:r>
      <w:r>
        <w:rPr>
          <w:spacing w:val="-2"/>
        </w:rPr>
        <w:t>of</w:t>
      </w:r>
      <w:r>
        <w:rPr>
          <w:spacing w:val="-10"/>
        </w:rPr>
        <w:t> </w:t>
      </w:r>
      <w:r>
        <w:rPr>
          <w:spacing w:val="-2"/>
        </w:rPr>
        <w:t>womenIn</w:t>
      </w:r>
      <w:r>
        <w:rPr>
          <w:spacing w:val="-11"/>
        </w:rPr>
        <w:t> </w:t>
      </w:r>
      <w:r>
        <w:rPr>
          <w:spacing w:val="-2"/>
        </w:rPr>
        <w:t>The</w:t>
      </w:r>
      <w:r>
        <w:rPr>
          <w:spacing w:val="-10"/>
        </w:rPr>
        <w:t> </w:t>
      </w:r>
      <w:r>
        <w:rPr>
          <w:spacing w:val="-2"/>
        </w:rPr>
        <w:t>Taming</w:t>
      </w:r>
      <w:r>
        <w:rPr>
          <w:spacing w:val="-10"/>
        </w:rPr>
        <w:t> </w:t>
      </w:r>
      <w:r>
        <w:rPr>
          <w:spacing w:val="-2"/>
        </w:rPr>
        <w:t>of</w:t>
      </w:r>
      <w:r>
        <w:rPr>
          <w:spacing w:val="-10"/>
        </w:rPr>
        <w:t> </w:t>
      </w:r>
      <w:r>
        <w:rPr>
          <w:spacing w:val="-2"/>
        </w:rPr>
        <w:t>the</w:t>
      </w:r>
      <w:r>
        <w:rPr>
          <w:spacing w:val="-9"/>
        </w:rPr>
        <w:t> </w:t>
      </w:r>
      <w:r>
        <w:rPr>
          <w:spacing w:val="-2"/>
        </w:rPr>
        <w:t>Shrew,</w:t>
      </w:r>
      <w:r>
        <w:rPr>
          <w:spacing w:val="-10"/>
        </w:rPr>
        <w:t> </w:t>
      </w:r>
      <w:r>
        <w:rPr>
          <w:spacing w:val="-2"/>
        </w:rPr>
        <w:t>gender</w:t>
      </w:r>
      <w:r>
        <w:rPr>
          <w:spacing w:val="-8"/>
        </w:rPr>
        <w:t> </w:t>
      </w:r>
      <w:r>
        <w:rPr>
          <w:spacing w:val="-2"/>
        </w:rPr>
        <w:t>power</w:t>
      </w:r>
      <w:r>
        <w:rPr>
          <w:spacing w:val="-8"/>
        </w:rPr>
        <w:t> </w:t>
      </w:r>
      <w:r>
        <w:rPr>
          <w:spacing w:val="-2"/>
        </w:rPr>
        <w:t>velations </w:t>
      </w:r>
      <w:r>
        <w:rPr/>
        <w:t>are Foregrounded. Petruchio’s taming of Katherina is often seen as a </w:t>
      </w:r>
      <w:r>
        <w:rPr>
          <w:spacing w:val="-2"/>
        </w:rPr>
        <w:t>literal</w:t>
      </w:r>
      <w:r>
        <w:rPr>
          <w:spacing w:val="-3"/>
        </w:rPr>
        <w:t> </w:t>
      </w:r>
      <w:r>
        <w:rPr>
          <w:spacing w:val="-2"/>
        </w:rPr>
        <w:t>enactment</w:t>
      </w:r>
      <w:r>
        <w:rPr>
          <w:spacing w:val="-5"/>
        </w:rPr>
        <w:t> </w:t>
      </w:r>
      <w:r>
        <w:rPr>
          <w:spacing w:val="-2"/>
        </w:rPr>
        <w:t>of</w:t>
      </w:r>
      <w:r>
        <w:rPr>
          <w:spacing w:val="-6"/>
        </w:rPr>
        <w:t> </w:t>
      </w:r>
      <w:r>
        <w:rPr>
          <w:spacing w:val="-2"/>
        </w:rPr>
        <w:t>male dominanceIn</w:t>
      </w:r>
      <w:r>
        <w:rPr>
          <w:spacing w:val="-6"/>
        </w:rPr>
        <w:t> </w:t>
      </w:r>
      <w:r>
        <w:rPr>
          <w:spacing w:val="-2"/>
        </w:rPr>
        <w:t>King</w:t>
      </w:r>
      <w:r>
        <w:rPr>
          <w:spacing w:val="-6"/>
        </w:rPr>
        <w:t> </w:t>
      </w:r>
      <w:r>
        <w:rPr>
          <w:spacing w:val="-2"/>
        </w:rPr>
        <w:t>Lear,</w:t>
      </w:r>
      <w:r>
        <w:rPr>
          <w:spacing w:val="-3"/>
        </w:rPr>
        <w:t> </w:t>
      </w:r>
      <w:r>
        <w:rPr>
          <w:spacing w:val="-2"/>
        </w:rPr>
        <w:t>Lear’s</w:t>
      </w:r>
      <w:r>
        <w:rPr>
          <w:spacing w:val="-6"/>
        </w:rPr>
        <w:t> </w:t>
      </w:r>
      <w:r>
        <w:rPr>
          <w:spacing w:val="-2"/>
        </w:rPr>
        <w:t>demand</w:t>
      </w:r>
      <w:r>
        <w:rPr>
          <w:spacing w:val="-3"/>
        </w:rPr>
        <w:t> </w:t>
      </w:r>
      <w:r>
        <w:rPr>
          <w:spacing w:val="-2"/>
        </w:rPr>
        <w:t>that</w:t>
      </w:r>
      <w:r>
        <w:rPr>
          <w:spacing w:val="-3"/>
        </w:rPr>
        <w:t> </w:t>
      </w:r>
      <w:r>
        <w:rPr>
          <w:spacing w:val="-2"/>
        </w:rPr>
        <w:t>his </w:t>
      </w:r>
      <w:r>
        <w:rPr/>
        <w:t>daughters profess love as a condition for inheritance echoes a transactional and possessive view of women.But Shakespeare doesn’t always portray these power dynamics uncritically he often complicates them through irony, subversion, or character developmentDespite constraints, many of Shakespeare’s women duplay remarkable agency, intelligence,</w:t>
      </w:r>
      <w:r>
        <w:rPr>
          <w:spacing w:val="-1"/>
        </w:rPr>
        <w:t> </w:t>
      </w:r>
      <w:r>
        <w:rPr/>
        <w:t>and resistanceViola</w:t>
      </w:r>
      <w:r>
        <w:rPr>
          <w:spacing w:val="-1"/>
        </w:rPr>
        <w:t> </w:t>
      </w:r>
      <w:r>
        <w:rPr/>
        <w:t>in</w:t>
      </w:r>
      <w:r>
        <w:rPr>
          <w:spacing w:val="-5"/>
        </w:rPr>
        <w:t> </w:t>
      </w:r>
      <w:r>
        <w:rPr/>
        <w:t>Twelfth Night</w:t>
      </w:r>
      <w:r>
        <w:rPr>
          <w:spacing w:val="-1"/>
        </w:rPr>
        <w:t> </w:t>
      </w:r>
      <w:r>
        <w:rPr/>
        <w:t>disguises</w:t>
      </w:r>
      <w:r>
        <w:rPr>
          <w:spacing w:val="-3"/>
        </w:rPr>
        <w:t> </w:t>
      </w:r>
      <w:r>
        <w:rPr/>
        <w:t>herself</w:t>
      </w:r>
      <w:r>
        <w:rPr>
          <w:spacing w:val="-3"/>
        </w:rPr>
        <w:t> </w:t>
      </w:r>
      <w:r>
        <w:rPr/>
        <w:t>as</w:t>
      </w:r>
      <w:r>
        <w:rPr>
          <w:spacing w:val="-1"/>
        </w:rPr>
        <w:t> </w:t>
      </w:r>
      <w:r>
        <w:rPr/>
        <w:t>a man, allowing her access to male spaces and a degree of freedom she wouldn’t</w:t>
      </w:r>
      <w:r>
        <w:rPr>
          <w:spacing w:val="-13"/>
        </w:rPr>
        <w:t> </w:t>
      </w:r>
      <w:r>
        <w:rPr/>
        <w:t>otherwise</w:t>
      </w:r>
      <w:r>
        <w:rPr>
          <w:spacing w:val="-12"/>
        </w:rPr>
        <w:t> </w:t>
      </w:r>
      <w:r>
        <w:rPr/>
        <w:t>have.Portia</w:t>
      </w:r>
      <w:r>
        <w:rPr>
          <w:spacing w:val="-13"/>
        </w:rPr>
        <w:t> </w:t>
      </w:r>
      <w:r>
        <w:rPr/>
        <w:t>in</w:t>
      </w:r>
      <w:r>
        <w:rPr>
          <w:spacing w:val="-12"/>
        </w:rPr>
        <w:t> </w:t>
      </w:r>
      <w:r>
        <w:rPr/>
        <w:t>The</w:t>
      </w:r>
      <w:r>
        <w:rPr>
          <w:spacing w:val="-13"/>
        </w:rPr>
        <w:t> </w:t>
      </w:r>
      <w:r>
        <w:rPr/>
        <w:t>Merchant</w:t>
      </w:r>
      <w:r>
        <w:rPr>
          <w:spacing w:val="-12"/>
        </w:rPr>
        <w:t> </w:t>
      </w:r>
      <w:r>
        <w:rPr/>
        <w:t>of</w:t>
      </w:r>
      <w:r>
        <w:rPr>
          <w:spacing w:val="-12"/>
        </w:rPr>
        <w:t> </w:t>
      </w:r>
      <w:r>
        <w:rPr/>
        <w:t>Venice</w:t>
      </w:r>
      <w:r>
        <w:rPr>
          <w:spacing w:val="-13"/>
        </w:rPr>
        <w:t> </w:t>
      </w:r>
      <w:r>
        <w:rPr/>
        <w:t>likewise</w:t>
      </w:r>
      <w:r>
        <w:rPr>
          <w:spacing w:val="-11"/>
        </w:rPr>
        <w:t> </w:t>
      </w:r>
      <w:r>
        <w:rPr/>
        <w:t>uses male</w:t>
      </w:r>
      <w:r>
        <w:rPr>
          <w:spacing w:val="-7"/>
        </w:rPr>
        <w:t> </w:t>
      </w:r>
      <w:r>
        <w:rPr/>
        <w:t>disguise</w:t>
      </w:r>
      <w:r>
        <w:rPr>
          <w:spacing w:val="-5"/>
        </w:rPr>
        <w:t> </w:t>
      </w:r>
      <w:r>
        <w:rPr/>
        <w:t>to</w:t>
      </w:r>
      <w:r>
        <w:rPr>
          <w:spacing w:val="-6"/>
        </w:rPr>
        <w:t> </w:t>
      </w:r>
      <w:r>
        <w:rPr/>
        <w:t>participate</w:t>
      </w:r>
      <w:r>
        <w:rPr>
          <w:spacing w:val="-7"/>
        </w:rPr>
        <w:t> </w:t>
      </w:r>
      <w:r>
        <w:rPr/>
        <w:t>in</w:t>
      </w:r>
      <w:r>
        <w:rPr>
          <w:spacing w:val="-6"/>
        </w:rPr>
        <w:t> </w:t>
      </w:r>
      <w:r>
        <w:rPr/>
        <w:t>the</w:t>
      </w:r>
      <w:r>
        <w:rPr>
          <w:spacing w:val="-8"/>
        </w:rPr>
        <w:t> </w:t>
      </w:r>
      <w:r>
        <w:rPr/>
        <w:t>legal</w:t>
      </w:r>
      <w:r>
        <w:rPr>
          <w:spacing w:val="-6"/>
        </w:rPr>
        <w:t> </w:t>
      </w:r>
      <w:r>
        <w:rPr/>
        <w:t>system</w:t>
      </w:r>
      <w:r>
        <w:rPr>
          <w:spacing w:val="-11"/>
        </w:rPr>
        <w:t> </w:t>
      </w:r>
      <w:r>
        <w:rPr/>
        <w:t>and</w:t>
      </w:r>
      <w:r>
        <w:rPr>
          <w:spacing w:val="-6"/>
        </w:rPr>
        <w:t> </w:t>
      </w:r>
      <w:r>
        <w:rPr/>
        <w:t>ultimately</w:t>
      </w:r>
      <w:r>
        <w:rPr>
          <w:spacing w:val="-8"/>
        </w:rPr>
        <w:t> </w:t>
      </w:r>
      <w:r>
        <w:rPr/>
        <w:t>outwit</w:t>
      </w:r>
      <w:r>
        <w:rPr>
          <w:spacing w:val="-6"/>
        </w:rPr>
        <w:t> </w:t>
      </w:r>
      <w:r>
        <w:rPr/>
        <w:t>the men around her.Lady Macbeth in Macbeth manipulates her husband</w:t>
      </w:r>
      <w:r>
        <w:rPr>
          <w:spacing w:val="40"/>
        </w:rPr>
        <w:t> </w:t>
      </w:r>
      <w:r>
        <w:rPr/>
        <w:t>and drives the plot, even though her power is ultimately limited by the gendered expectations of her timeRosalind in</w:t>
      </w:r>
      <w:r>
        <w:rPr>
          <w:spacing w:val="-13"/>
        </w:rPr>
        <w:t> </w:t>
      </w:r>
      <w:r>
        <w:rPr/>
        <w:t>As</w:t>
      </w:r>
      <w:r>
        <w:rPr>
          <w:spacing w:val="-9"/>
        </w:rPr>
        <w:t> </w:t>
      </w:r>
      <w:r>
        <w:rPr/>
        <w:t>You</w:t>
      </w:r>
      <w:r>
        <w:rPr>
          <w:spacing w:val="-2"/>
        </w:rPr>
        <w:t> </w:t>
      </w:r>
      <w:r>
        <w:rPr/>
        <w:t>Like It is</w:t>
      </w:r>
      <w:r>
        <w:rPr>
          <w:spacing w:val="-2"/>
        </w:rPr>
        <w:t> </w:t>
      </w:r>
      <w:r>
        <w:rPr/>
        <w:t>perhaps one</w:t>
      </w:r>
      <w:r>
        <w:rPr>
          <w:spacing w:val="-3"/>
        </w:rPr>
        <w:t> </w:t>
      </w:r>
      <w:r>
        <w:rPr/>
        <w:t>of</w:t>
      </w:r>
      <w:r>
        <w:rPr>
          <w:spacing w:val="-7"/>
        </w:rPr>
        <w:t> </w:t>
      </w:r>
      <w:r>
        <w:rPr/>
        <w:t>Shakespeare’s</w:t>
      </w:r>
      <w:r>
        <w:rPr>
          <w:spacing w:val="-4"/>
        </w:rPr>
        <w:t> </w:t>
      </w:r>
      <w:r>
        <w:rPr/>
        <w:t>most</w:t>
      </w:r>
      <w:r>
        <w:rPr>
          <w:spacing w:val="-5"/>
        </w:rPr>
        <w:t> </w:t>
      </w:r>
      <w:r>
        <w:rPr/>
        <w:t>autonomous</w:t>
      </w:r>
      <w:r>
        <w:rPr>
          <w:spacing w:val="-4"/>
        </w:rPr>
        <w:t> </w:t>
      </w:r>
      <w:r>
        <w:rPr/>
        <w:t>characters,</w:t>
      </w:r>
      <w:r>
        <w:rPr>
          <w:spacing w:val="-7"/>
        </w:rPr>
        <w:t> </w:t>
      </w:r>
      <w:r>
        <w:rPr/>
        <w:t>taking</w:t>
      </w:r>
      <w:r>
        <w:rPr>
          <w:spacing w:val="-5"/>
        </w:rPr>
        <w:t> </w:t>
      </w:r>
      <w:r>
        <w:rPr/>
        <w:t>control</w:t>
      </w:r>
      <w:r>
        <w:rPr>
          <w:spacing w:val="-7"/>
        </w:rPr>
        <w:t> </w:t>
      </w:r>
      <w:r>
        <w:rPr/>
        <w:t>of</w:t>
      </w:r>
      <w:r>
        <w:rPr>
          <w:spacing w:val="-5"/>
        </w:rPr>
        <w:t> </w:t>
      </w:r>
      <w:r>
        <w:rPr/>
        <w:t>her romantic fate and playfully critiquing gender roles through her disguise.These characters often use wit, disguise, and manipulation to navigate</w:t>
      </w:r>
      <w:r>
        <w:rPr>
          <w:spacing w:val="-5"/>
        </w:rPr>
        <w:t> </w:t>
      </w:r>
      <w:r>
        <w:rPr/>
        <w:t>and</w:t>
      </w:r>
      <w:r>
        <w:rPr>
          <w:spacing w:val="-5"/>
        </w:rPr>
        <w:t> </w:t>
      </w:r>
      <w:r>
        <w:rPr/>
        <w:t>sometimes</w:t>
      </w:r>
      <w:r>
        <w:rPr>
          <w:spacing w:val="-5"/>
        </w:rPr>
        <w:t> </w:t>
      </w:r>
      <w:r>
        <w:rPr/>
        <w:t>subvert</w:t>
      </w:r>
      <w:r>
        <w:rPr>
          <w:spacing w:val="-6"/>
        </w:rPr>
        <w:t> </w:t>
      </w:r>
      <w:r>
        <w:rPr/>
        <w:t>societal</w:t>
      </w:r>
      <w:r>
        <w:rPr>
          <w:spacing w:val="-6"/>
        </w:rPr>
        <w:t> </w:t>
      </w:r>
      <w:r>
        <w:rPr/>
        <w:t>restrictions.While</w:t>
      </w:r>
      <w:r>
        <w:rPr>
          <w:spacing w:val="-4"/>
        </w:rPr>
        <w:t> </w:t>
      </w:r>
      <w:r>
        <w:rPr/>
        <w:t>Shakespeare reflects the norms of his era, his plays often interrogate, question, or even undermine patriarchal ideals.Through cross-dressing and gender disguise,</w:t>
      </w:r>
      <w:r>
        <w:rPr>
          <w:spacing w:val="-1"/>
        </w:rPr>
        <w:t> </w:t>
      </w:r>
      <w:r>
        <w:rPr/>
        <w:t>especially</w:t>
      </w:r>
      <w:r>
        <w:rPr>
          <w:spacing w:val="-2"/>
        </w:rPr>
        <w:t> </w:t>
      </w:r>
      <w:r>
        <w:rPr/>
        <w:t>in</w:t>
      </w:r>
      <w:r>
        <w:rPr>
          <w:spacing w:val="-2"/>
        </w:rPr>
        <w:t> </w:t>
      </w:r>
      <w:r>
        <w:rPr/>
        <w:t>comedies</w:t>
      </w:r>
      <w:r>
        <w:rPr>
          <w:spacing w:val="-1"/>
        </w:rPr>
        <w:t> </w:t>
      </w:r>
      <w:r>
        <w:rPr/>
        <w:t>like</w:t>
      </w:r>
      <w:r>
        <w:rPr>
          <w:spacing w:val="-3"/>
        </w:rPr>
        <w:t> </w:t>
      </w:r>
      <w:r>
        <w:rPr/>
        <w:t>Twelfth</w:t>
      </w:r>
      <w:r>
        <w:rPr>
          <w:spacing w:val="-1"/>
        </w:rPr>
        <w:t> </w:t>
      </w:r>
      <w:r>
        <w:rPr/>
        <w:t>Night</w:t>
      </w:r>
      <w:r>
        <w:rPr>
          <w:spacing w:val="-1"/>
        </w:rPr>
        <w:t> </w:t>
      </w:r>
      <w:r>
        <w:rPr/>
        <w:t>and</w:t>
      </w:r>
      <w:r>
        <w:rPr>
          <w:spacing w:val="-9"/>
        </w:rPr>
        <w:t> </w:t>
      </w:r>
      <w:r>
        <w:rPr/>
        <w:t>As</w:t>
      </w:r>
      <w:r>
        <w:rPr>
          <w:spacing w:val="-9"/>
        </w:rPr>
        <w:t> </w:t>
      </w:r>
      <w:r>
        <w:rPr/>
        <w:t>You</w:t>
      </w:r>
      <w:r>
        <w:rPr>
          <w:spacing w:val="-2"/>
        </w:rPr>
        <w:t> </w:t>
      </w:r>
      <w:r>
        <w:rPr/>
        <w:t>Like</w:t>
      </w:r>
      <w:r>
        <w:rPr>
          <w:spacing w:val="-1"/>
        </w:rPr>
        <w:t> </w:t>
      </w:r>
      <w:r>
        <w:rPr/>
        <w:t>It, Shakespeare blurs gender lines and challenges rigid binariesCharacters like Beatrice in Much Ado About Nothing openly mock traditional expectations of women,</w:t>
      </w:r>
      <w:r>
        <w:rPr>
          <w:spacing w:val="40"/>
        </w:rPr>
        <w:t> </w:t>
      </w:r>
      <w:r>
        <w:rPr/>
        <w:t>demanding equality in love</w:t>
      </w:r>
      <w:r>
        <w:rPr>
          <w:spacing w:val="40"/>
        </w:rPr>
        <w:t> </w:t>
      </w:r>
      <w:r>
        <w:rPr/>
        <w:t>and wit.</w:t>
      </w:r>
    </w:p>
    <w:p>
      <w:pPr>
        <w:pStyle w:val="Heading3"/>
        <w:spacing w:before="129"/>
        <w:jc w:val="both"/>
      </w:pPr>
      <w:r>
        <w:rPr>
          <w:spacing w:val="-5"/>
        </w:rPr>
        <w:t>CONCLUSION</w:t>
      </w:r>
      <w:r>
        <w:rPr>
          <w:spacing w:val="-2"/>
        </w:rPr>
        <w:t> </w:t>
      </w:r>
      <w:r>
        <w:rPr>
          <w:spacing w:val="-10"/>
        </w:rPr>
        <w:t>:</w:t>
      </w:r>
    </w:p>
    <w:p>
      <w:pPr>
        <w:pStyle w:val="BodyText"/>
        <w:spacing w:line="249" w:lineRule="auto" w:before="76"/>
        <w:ind w:right="1441" w:firstLine="432"/>
        <w:jc w:val="both"/>
      </w:pPr>
      <w:r>
        <w:rPr/>
        <w:t>Shakespeare’s exploration of gender, space and power reflects complexities</w:t>
      </w:r>
      <w:r>
        <w:rPr>
          <w:spacing w:val="-6"/>
        </w:rPr>
        <w:t> </w:t>
      </w:r>
      <w:r>
        <w:rPr/>
        <w:t>of</w:t>
      </w:r>
      <w:r>
        <w:rPr>
          <w:spacing w:val="-6"/>
        </w:rPr>
        <w:t> </w:t>
      </w:r>
      <w:r>
        <w:rPr/>
        <w:t>Elizabethan</w:t>
      </w:r>
      <w:r>
        <w:rPr>
          <w:spacing w:val="-6"/>
        </w:rPr>
        <w:t> </w:t>
      </w:r>
      <w:r>
        <w:rPr/>
        <w:t>Society</w:t>
      </w:r>
      <w:r>
        <w:rPr>
          <w:spacing w:val="-8"/>
        </w:rPr>
        <w:t> </w:t>
      </w:r>
      <w:r>
        <w:rPr/>
        <w:t>while</w:t>
      </w:r>
      <w:r>
        <w:rPr>
          <w:spacing w:val="-7"/>
        </w:rPr>
        <w:t> </w:t>
      </w:r>
      <w:r>
        <w:rPr/>
        <w:t>also</w:t>
      </w:r>
      <w:r>
        <w:rPr>
          <w:spacing w:val="-5"/>
        </w:rPr>
        <w:t> </w:t>
      </w:r>
      <w:r>
        <w:rPr/>
        <w:t>offering</w:t>
      </w:r>
      <w:r>
        <w:rPr>
          <w:spacing w:val="-6"/>
        </w:rPr>
        <w:t> </w:t>
      </w:r>
      <w:r>
        <w:rPr/>
        <w:t>a</w:t>
      </w:r>
      <w:r>
        <w:rPr>
          <w:spacing w:val="-5"/>
        </w:rPr>
        <w:t> </w:t>
      </w:r>
      <w:r>
        <w:rPr/>
        <w:t>subtle</w:t>
      </w:r>
      <w:r>
        <w:rPr>
          <w:spacing w:val="-6"/>
        </w:rPr>
        <w:t> </w:t>
      </w:r>
      <w:r>
        <w:rPr/>
        <w:t>critique of</w:t>
      </w:r>
      <w:r>
        <w:rPr>
          <w:spacing w:val="-12"/>
        </w:rPr>
        <w:t> </w:t>
      </w:r>
      <w:r>
        <w:rPr/>
        <w:t>its</w:t>
      </w:r>
      <w:r>
        <w:rPr>
          <w:spacing w:val="-8"/>
        </w:rPr>
        <w:t> </w:t>
      </w:r>
      <w:r>
        <w:rPr/>
        <w:t>rigid</w:t>
      </w:r>
      <w:r>
        <w:rPr>
          <w:spacing w:val="-10"/>
        </w:rPr>
        <w:t> </w:t>
      </w:r>
      <w:r>
        <w:rPr/>
        <w:t>Structures</w:t>
      </w:r>
      <w:r>
        <w:rPr>
          <w:spacing w:val="-8"/>
        </w:rPr>
        <w:t> </w:t>
      </w:r>
      <w:r>
        <w:rPr/>
        <w:t>.</w:t>
      </w:r>
      <w:r>
        <w:rPr>
          <w:spacing w:val="-10"/>
        </w:rPr>
        <w:t> </w:t>
      </w:r>
      <w:r>
        <w:rPr/>
        <w:t>His</w:t>
      </w:r>
      <w:r>
        <w:rPr>
          <w:spacing w:val="-12"/>
        </w:rPr>
        <w:t> </w:t>
      </w:r>
      <w:r>
        <w:rPr/>
        <w:t>plays</w:t>
      </w:r>
      <w:r>
        <w:rPr>
          <w:spacing w:val="-8"/>
        </w:rPr>
        <w:t> </w:t>
      </w:r>
      <w:r>
        <w:rPr/>
        <w:t>reveal</w:t>
      </w:r>
      <w:r>
        <w:rPr>
          <w:spacing w:val="-11"/>
        </w:rPr>
        <w:t> </w:t>
      </w:r>
      <w:r>
        <w:rPr/>
        <w:t>how</w:t>
      </w:r>
      <w:r>
        <w:rPr>
          <w:spacing w:val="-12"/>
        </w:rPr>
        <w:t> </w:t>
      </w:r>
      <w:r>
        <w:rPr/>
        <w:t>gender</w:t>
      </w:r>
      <w:r>
        <w:rPr>
          <w:spacing w:val="-8"/>
        </w:rPr>
        <w:t> </w:t>
      </w:r>
      <w:r>
        <w:rPr/>
        <w:t>roles</w:t>
      </w:r>
      <w:r>
        <w:rPr>
          <w:spacing w:val="-8"/>
        </w:rPr>
        <w:t> </w:t>
      </w:r>
      <w:r>
        <w:rPr/>
        <w:t>are</w:t>
      </w:r>
      <w:r>
        <w:rPr>
          <w:spacing w:val="-9"/>
        </w:rPr>
        <w:t> </w:t>
      </w:r>
      <w:r>
        <w:rPr/>
        <w:t>constructed and maintained through spatial divisions and power hierarchies. While male characters dominate public spaces and wield authority, female </w:t>
      </w:r>
      <w:r>
        <w:rPr>
          <w:spacing w:val="-2"/>
        </w:rPr>
        <w:t>characters</w:t>
      </w:r>
      <w:r>
        <w:rPr/>
        <w:t> </w:t>
      </w:r>
      <w:r>
        <w:rPr>
          <w:spacing w:val="-2"/>
        </w:rPr>
        <w:t>who</w:t>
      </w:r>
      <w:r>
        <w:rPr/>
        <w:t> </w:t>
      </w:r>
      <w:r>
        <w:rPr>
          <w:spacing w:val="-2"/>
        </w:rPr>
        <w:t>challenge</w:t>
      </w:r>
      <w:r>
        <w:rPr>
          <w:spacing w:val="1"/>
        </w:rPr>
        <w:t> </w:t>
      </w:r>
      <w:r>
        <w:rPr>
          <w:spacing w:val="-2"/>
        </w:rPr>
        <w:t>these</w:t>
      </w:r>
      <w:r>
        <w:rPr/>
        <w:t> </w:t>
      </w:r>
      <w:r>
        <w:rPr>
          <w:spacing w:val="-2"/>
        </w:rPr>
        <w:t>norms</w:t>
      </w:r>
      <w:r>
        <w:rPr>
          <w:spacing w:val="-4"/>
        </w:rPr>
        <w:t> </w:t>
      </w:r>
      <w:r>
        <w:rPr>
          <w:spacing w:val="-2"/>
        </w:rPr>
        <w:t>expose</w:t>
      </w:r>
      <w:r>
        <w:rPr>
          <w:spacing w:val="2"/>
        </w:rPr>
        <w:t> </w:t>
      </w:r>
      <w:r>
        <w:rPr>
          <w:spacing w:val="-2"/>
        </w:rPr>
        <w:t>instability</w:t>
      </w:r>
      <w:r>
        <w:rPr>
          <w:spacing w:val="-4"/>
        </w:rPr>
        <w:t> </w:t>
      </w:r>
      <w:r>
        <w:rPr>
          <w:spacing w:val="-2"/>
        </w:rPr>
        <w:t>of</w:t>
      </w:r>
      <w:r>
        <w:rPr>
          <w:spacing w:val="-4"/>
        </w:rPr>
        <w:t> </w:t>
      </w:r>
      <w:r>
        <w:rPr>
          <w:spacing w:val="-2"/>
        </w:rPr>
        <w:t>such systems.</w:t>
      </w:r>
    </w:p>
    <w:p>
      <w:pPr>
        <w:pStyle w:val="BodyText"/>
        <w:spacing w:line="249" w:lineRule="auto" w:before="65"/>
        <w:ind w:right="1440" w:firstLine="432"/>
        <w:jc w:val="both"/>
      </w:pPr>
      <w:r>
        <w:rPr/>
        <w:t>An</w:t>
      </w:r>
      <w:r>
        <w:rPr>
          <w:spacing w:val="-13"/>
        </w:rPr>
        <w:t> </w:t>
      </w:r>
      <w:r>
        <w:rPr/>
        <w:t>Analysis</w:t>
      </w:r>
      <w:r>
        <w:rPr>
          <w:spacing w:val="-12"/>
        </w:rPr>
        <w:t> </w:t>
      </w:r>
      <w:r>
        <w:rPr/>
        <w:t>of</w:t>
      </w:r>
      <w:r>
        <w:rPr>
          <w:spacing w:val="-13"/>
        </w:rPr>
        <w:t> </w:t>
      </w:r>
      <w:r>
        <w:rPr/>
        <w:t>Shakespeare’s</w:t>
      </w:r>
      <w:r>
        <w:rPr>
          <w:spacing w:val="-12"/>
        </w:rPr>
        <w:t> </w:t>
      </w:r>
      <w:r>
        <w:rPr/>
        <w:t>Plays</w:t>
      </w:r>
      <w:r>
        <w:rPr>
          <w:spacing w:val="-13"/>
        </w:rPr>
        <w:t> </w:t>
      </w:r>
      <w:r>
        <w:rPr/>
        <w:t>reveals</w:t>
      </w:r>
      <w:r>
        <w:rPr>
          <w:spacing w:val="-12"/>
        </w:rPr>
        <w:t> </w:t>
      </w:r>
      <w:r>
        <w:rPr/>
        <w:t>a</w:t>
      </w:r>
      <w:r>
        <w:rPr>
          <w:spacing w:val="-13"/>
        </w:rPr>
        <w:t> </w:t>
      </w:r>
      <w:r>
        <w:rPr/>
        <w:t>nuanced</w:t>
      </w:r>
      <w:r>
        <w:rPr>
          <w:spacing w:val="-12"/>
        </w:rPr>
        <w:t> </w:t>
      </w:r>
      <w:r>
        <w:rPr/>
        <w:t>and</w:t>
      </w:r>
      <w:r>
        <w:rPr>
          <w:spacing w:val="-13"/>
        </w:rPr>
        <w:t> </w:t>
      </w:r>
      <w:r>
        <w:rPr/>
        <w:t>intricate web of power dynamics roles. The severe and gender norms and little opportunities for women during the Elizabethan era had an impact on the</w:t>
      </w:r>
      <w:r>
        <w:rPr>
          <w:spacing w:val="40"/>
        </w:rPr>
        <w:t> </w:t>
      </w:r>
      <w:r>
        <w:rPr/>
        <w:t>portrayal</w:t>
      </w:r>
      <w:r>
        <w:rPr>
          <w:spacing w:val="40"/>
        </w:rPr>
        <w:t> </w:t>
      </w:r>
      <w:r>
        <w:rPr/>
        <w:t>of</w:t>
      </w:r>
      <w:r>
        <w:rPr>
          <w:spacing w:val="40"/>
        </w:rPr>
        <w:t> </w:t>
      </w:r>
      <w:r>
        <w:rPr/>
        <w:t>gender</w:t>
      </w:r>
      <w:r>
        <w:rPr>
          <w:spacing w:val="40"/>
        </w:rPr>
        <w:t> </w:t>
      </w:r>
      <w:r>
        <w:rPr/>
        <w:t>relations</w:t>
      </w:r>
      <w:r>
        <w:rPr>
          <w:spacing w:val="40"/>
        </w:rPr>
        <w:t> </w:t>
      </w:r>
      <w:r>
        <w:rPr/>
        <w:t>in</w:t>
      </w:r>
      <w:r>
        <w:rPr>
          <w:spacing w:val="40"/>
        </w:rPr>
        <w:t> </w:t>
      </w:r>
      <w:r>
        <w:rPr/>
        <w:t>the</w:t>
      </w:r>
      <w:r>
        <w:rPr>
          <w:spacing w:val="40"/>
        </w:rPr>
        <w:t> </w:t>
      </w:r>
      <w:r>
        <w:rPr/>
        <w:t>tragedies.</w:t>
      </w:r>
    </w:p>
    <w:p>
      <w:pPr>
        <w:pStyle w:val="BodyText"/>
        <w:spacing w:line="249" w:lineRule="auto" w:before="60"/>
        <w:ind w:right="1441" w:firstLine="432"/>
        <w:jc w:val="both"/>
      </w:pPr>
      <w:r>
        <w:rPr/>
        <w:t>Shakespeares</w:t>
      </w:r>
      <w:r>
        <w:rPr>
          <w:spacing w:val="-6"/>
        </w:rPr>
        <w:t> </w:t>
      </w:r>
      <w:r>
        <w:rPr/>
        <w:t>exploration</w:t>
      </w:r>
      <w:r>
        <w:rPr>
          <w:spacing w:val="-6"/>
        </w:rPr>
        <w:t> </w:t>
      </w:r>
      <w:r>
        <w:rPr/>
        <w:t>of</w:t>
      </w:r>
      <w:r>
        <w:rPr>
          <w:spacing w:val="-6"/>
        </w:rPr>
        <w:t> </w:t>
      </w:r>
      <w:r>
        <w:rPr/>
        <w:t>gender</w:t>
      </w:r>
      <w:r>
        <w:rPr>
          <w:spacing w:val="-4"/>
        </w:rPr>
        <w:t> </w:t>
      </w:r>
      <w:r>
        <w:rPr/>
        <w:t>and</w:t>
      </w:r>
      <w:r>
        <w:rPr>
          <w:spacing w:val="-1"/>
        </w:rPr>
        <w:t> </w:t>
      </w:r>
      <w:r>
        <w:rPr/>
        <w:t>power</w:t>
      </w:r>
      <w:r>
        <w:rPr>
          <w:spacing w:val="-4"/>
        </w:rPr>
        <w:t> </w:t>
      </w:r>
      <w:r>
        <w:rPr/>
        <w:t>goes</w:t>
      </w:r>
      <w:r>
        <w:rPr>
          <w:spacing w:val="-6"/>
        </w:rPr>
        <w:t> </w:t>
      </w:r>
      <w:r>
        <w:rPr/>
        <w:t>beyond</w:t>
      </w:r>
      <w:r>
        <w:rPr>
          <w:spacing w:val="-3"/>
        </w:rPr>
        <w:t> </w:t>
      </w:r>
      <w:r>
        <w:rPr/>
        <w:t>stereo typical depictions of male tyrants and female victims .</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77280">
                <wp:simplePos x="0" y="0"/>
                <wp:positionH relativeFrom="page">
                  <wp:posOffset>2057400</wp:posOffset>
                </wp:positionH>
                <wp:positionV relativeFrom="paragraph">
                  <wp:posOffset>162604</wp:posOffset>
                </wp:positionV>
                <wp:extent cx="3657600" cy="12700"/>
                <wp:effectExtent l="0" t="0" r="0" b="0"/>
                <wp:wrapTopAndBottom/>
                <wp:docPr id="532" name="Graphic 532"/>
                <wp:cNvGraphicFramePr>
                  <a:graphicFrameLocks/>
                </wp:cNvGraphicFramePr>
                <a:graphic>
                  <a:graphicData uri="http://schemas.microsoft.com/office/word/2010/wordprocessingShape">
                    <wps:wsp>
                      <wps:cNvPr id="532" name="Graphic 53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39200;mso-wrap-distance-left:0;mso-wrap-distance-right:0" id="docshape527" filled="true" fillcolor="#000000" stroked="false">
                <v:fill type="solid"/>
                <w10:wrap type="topAndBottom"/>
              </v:rect>
            </w:pict>
          </mc:Fallback>
        </mc:AlternateContent>
      </w:r>
      <w:r>
        <w:rPr>
          <w:rFonts w:ascii="Verdana"/>
          <w:spacing w:val="-5"/>
          <w:sz w:val="18"/>
        </w:rPr>
        <w:t>252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firstLine="432"/>
        <w:jc w:val="both"/>
      </w:pPr>
      <w:r>
        <w:rPr>
          <w:spacing w:val="-4"/>
        </w:rPr>
        <w:t>Ultimately</w:t>
      </w:r>
      <w:r>
        <w:rPr>
          <w:spacing w:val="-9"/>
        </w:rPr>
        <w:t> </w:t>
      </w:r>
      <w:r>
        <w:rPr>
          <w:spacing w:val="-4"/>
        </w:rPr>
        <w:t>Shakespeare’s</w:t>
      </w:r>
      <w:r>
        <w:rPr>
          <w:spacing w:val="-8"/>
        </w:rPr>
        <w:t> </w:t>
      </w:r>
      <w:r>
        <w:rPr>
          <w:spacing w:val="-4"/>
        </w:rPr>
        <w:t>works</w:t>
      </w:r>
      <w:r>
        <w:rPr>
          <w:spacing w:val="-8"/>
        </w:rPr>
        <w:t> </w:t>
      </w:r>
      <w:r>
        <w:rPr>
          <w:spacing w:val="-4"/>
        </w:rPr>
        <w:t>remains</w:t>
      </w:r>
      <w:r>
        <w:rPr>
          <w:spacing w:val="-7"/>
        </w:rPr>
        <w:t> </w:t>
      </w:r>
      <w:r>
        <w:rPr>
          <w:spacing w:val="-4"/>
        </w:rPr>
        <w:t>significant</w:t>
      </w:r>
      <w:r>
        <w:rPr>
          <w:spacing w:val="-6"/>
        </w:rPr>
        <w:t> </w:t>
      </w:r>
      <w:r>
        <w:rPr>
          <w:spacing w:val="-4"/>
        </w:rPr>
        <w:t>for</w:t>
      </w:r>
      <w:r>
        <w:rPr>
          <w:spacing w:val="-9"/>
        </w:rPr>
        <w:t> </w:t>
      </w:r>
      <w:r>
        <w:rPr>
          <w:spacing w:val="-4"/>
        </w:rPr>
        <w:t>their</w:t>
      </w:r>
      <w:r>
        <w:rPr>
          <w:spacing w:val="-2"/>
        </w:rPr>
        <w:t> </w:t>
      </w:r>
      <w:r>
        <w:rPr>
          <w:spacing w:val="-4"/>
        </w:rPr>
        <w:t>nuanced </w:t>
      </w:r>
      <w:r>
        <w:rPr/>
        <w:t>portrayal of gender and power making them relevant to contemporary discussions</w:t>
      </w:r>
      <w:r>
        <w:rPr>
          <w:spacing w:val="40"/>
        </w:rPr>
        <w:t> </w:t>
      </w:r>
      <w:r>
        <w:rPr/>
        <w:t>in</w:t>
      </w:r>
      <w:r>
        <w:rPr>
          <w:spacing w:val="40"/>
        </w:rPr>
        <w:t> </w:t>
      </w:r>
      <w:r>
        <w:rPr/>
        <w:t>feminist</w:t>
      </w:r>
      <w:r>
        <w:rPr>
          <w:spacing w:val="40"/>
        </w:rPr>
        <w:t> </w:t>
      </w:r>
      <w:r>
        <w:rPr/>
        <w:t>and</w:t>
      </w:r>
      <w:r>
        <w:rPr>
          <w:spacing w:val="40"/>
        </w:rPr>
        <w:t> </w:t>
      </w:r>
      <w:r>
        <w:rPr/>
        <w:t>cultural</w:t>
      </w:r>
      <w:r>
        <w:rPr>
          <w:spacing w:val="40"/>
        </w:rPr>
        <w:t> </w:t>
      </w:r>
      <w:r>
        <w:rPr/>
        <w:t>studies.</w:t>
      </w:r>
    </w:p>
    <w:p>
      <w:pPr>
        <w:pStyle w:val="Heading3"/>
        <w:spacing w:before="156"/>
      </w:pPr>
      <w:r>
        <w:rPr>
          <w:spacing w:val="-2"/>
          <w:w w:val="95"/>
        </w:rPr>
        <w:t>REFERENCES:</w:t>
      </w:r>
    </w:p>
    <w:p>
      <w:pPr>
        <w:pStyle w:val="ListParagraph"/>
        <w:numPr>
          <w:ilvl w:val="0"/>
          <w:numId w:val="48"/>
        </w:numPr>
        <w:tabs>
          <w:tab w:pos="2158" w:val="left" w:leader="none"/>
        </w:tabs>
        <w:spacing w:line="240" w:lineRule="auto" w:before="82" w:after="0"/>
        <w:ind w:left="2158" w:right="0" w:hanging="390"/>
        <w:jc w:val="left"/>
        <w:rPr>
          <w:sz w:val="19"/>
        </w:rPr>
      </w:pPr>
      <w:r>
        <w:rPr>
          <w:sz w:val="19"/>
        </w:rPr>
        <w:t>Derrida,</w:t>
      </w:r>
      <w:r>
        <w:rPr>
          <w:spacing w:val="25"/>
          <w:sz w:val="19"/>
        </w:rPr>
        <w:t> </w:t>
      </w:r>
      <w:r>
        <w:rPr>
          <w:sz w:val="19"/>
        </w:rPr>
        <w:t>J.</w:t>
      </w:r>
      <w:r>
        <w:rPr>
          <w:spacing w:val="23"/>
          <w:sz w:val="19"/>
        </w:rPr>
        <w:t> </w:t>
      </w:r>
      <w:r>
        <w:rPr>
          <w:sz w:val="19"/>
        </w:rPr>
        <w:t>(1981).</w:t>
      </w:r>
      <w:r>
        <w:rPr>
          <w:spacing w:val="26"/>
          <w:sz w:val="19"/>
        </w:rPr>
        <w:t> </w:t>
      </w:r>
      <w:r>
        <w:rPr>
          <w:sz w:val="19"/>
        </w:rPr>
        <w:t>Dissemination.</w:t>
      </w:r>
      <w:r>
        <w:rPr>
          <w:spacing w:val="25"/>
          <w:sz w:val="19"/>
        </w:rPr>
        <w:t> </w:t>
      </w:r>
      <w:r>
        <w:rPr>
          <w:sz w:val="19"/>
        </w:rPr>
        <w:t>University</w:t>
      </w:r>
      <w:r>
        <w:rPr>
          <w:spacing w:val="20"/>
          <w:sz w:val="19"/>
        </w:rPr>
        <w:t> </w:t>
      </w:r>
      <w:r>
        <w:rPr>
          <w:sz w:val="19"/>
        </w:rPr>
        <w:t>of</w:t>
      </w:r>
      <w:r>
        <w:rPr>
          <w:spacing w:val="25"/>
          <w:sz w:val="19"/>
        </w:rPr>
        <w:t> </w:t>
      </w:r>
      <w:r>
        <w:rPr>
          <w:sz w:val="19"/>
        </w:rPr>
        <w:t>Chicago</w:t>
      </w:r>
      <w:r>
        <w:rPr>
          <w:spacing w:val="25"/>
          <w:sz w:val="19"/>
        </w:rPr>
        <w:t> </w:t>
      </w:r>
      <w:r>
        <w:rPr>
          <w:spacing w:val="-2"/>
          <w:sz w:val="19"/>
        </w:rPr>
        <w:t>Press.</w:t>
      </w:r>
    </w:p>
    <w:p>
      <w:pPr>
        <w:pStyle w:val="ListParagraph"/>
        <w:numPr>
          <w:ilvl w:val="0"/>
          <w:numId w:val="48"/>
        </w:numPr>
        <w:tabs>
          <w:tab w:pos="2158" w:val="left" w:leader="none"/>
          <w:tab w:pos="2160" w:val="left" w:leader="none"/>
        </w:tabs>
        <w:spacing w:line="261" w:lineRule="auto" w:before="79" w:after="0"/>
        <w:ind w:left="2160" w:right="1443" w:hanging="392"/>
        <w:jc w:val="left"/>
        <w:rPr>
          <w:sz w:val="19"/>
        </w:rPr>
      </w:pPr>
      <w:r>
        <w:rPr>
          <w:sz w:val="19"/>
        </w:rPr>
        <w:t>Dusinberre,</w:t>
      </w:r>
      <w:r>
        <w:rPr>
          <w:spacing w:val="40"/>
          <w:sz w:val="19"/>
        </w:rPr>
        <w:t> </w:t>
      </w:r>
      <w:r>
        <w:rPr>
          <w:sz w:val="19"/>
        </w:rPr>
        <w:t>J.</w:t>
      </w:r>
      <w:r>
        <w:rPr>
          <w:spacing w:val="40"/>
          <w:sz w:val="19"/>
        </w:rPr>
        <w:t> </w:t>
      </w:r>
      <w:r>
        <w:rPr>
          <w:sz w:val="19"/>
        </w:rPr>
        <w:t>(1994).</w:t>
      </w:r>
      <w:r>
        <w:rPr>
          <w:spacing w:val="40"/>
          <w:sz w:val="19"/>
        </w:rPr>
        <w:t> </w:t>
      </w:r>
      <w:r>
        <w:rPr>
          <w:sz w:val="19"/>
        </w:rPr>
        <w:t>Shakespeare</w:t>
      </w:r>
      <w:r>
        <w:rPr>
          <w:spacing w:val="40"/>
          <w:sz w:val="19"/>
        </w:rPr>
        <w:t> </w:t>
      </w:r>
      <w:r>
        <w:rPr>
          <w:sz w:val="19"/>
        </w:rPr>
        <w:t>and</w:t>
      </w:r>
      <w:r>
        <w:rPr>
          <w:spacing w:val="40"/>
          <w:sz w:val="19"/>
        </w:rPr>
        <w:t> </w:t>
      </w:r>
      <w:r>
        <w:rPr>
          <w:sz w:val="19"/>
        </w:rPr>
        <w:t>the</w:t>
      </w:r>
      <w:r>
        <w:rPr>
          <w:spacing w:val="40"/>
          <w:sz w:val="19"/>
        </w:rPr>
        <w:t> </w:t>
      </w:r>
      <w:r>
        <w:rPr>
          <w:sz w:val="19"/>
        </w:rPr>
        <w:t>nature</w:t>
      </w:r>
      <w:r>
        <w:rPr>
          <w:spacing w:val="40"/>
          <w:sz w:val="19"/>
        </w:rPr>
        <w:t> </w:t>
      </w:r>
      <w:r>
        <w:rPr>
          <w:sz w:val="19"/>
        </w:rPr>
        <w:t>of</w:t>
      </w:r>
      <w:r>
        <w:rPr>
          <w:spacing w:val="40"/>
          <w:sz w:val="19"/>
        </w:rPr>
        <w:t> </w:t>
      </w:r>
      <w:r>
        <w:rPr>
          <w:sz w:val="19"/>
        </w:rPr>
        <w:t>women. Palgrave</w:t>
      </w:r>
      <w:r>
        <w:rPr>
          <w:spacing w:val="40"/>
          <w:sz w:val="19"/>
        </w:rPr>
        <w:t> </w:t>
      </w:r>
      <w:r>
        <w:rPr>
          <w:sz w:val="19"/>
        </w:rPr>
        <w:t>Macmillan.</w:t>
      </w:r>
    </w:p>
    <w:p>
      <w:pPr>
        <w:pStyle w:val="ListParagraph"/>
        <w:numPr>
          <w:ilvl w:val="0"/>
          <w:numId w:val="48"/>
        </w:numPr>
        <w:tabs>
          <w:tab w:pos="2158" w:val="left" w:leader="none"/>
        </w:tabs>
        <w:spacing w:line="240" w:lineRule="auto" w:before="57" w:after="0"/>
        <w:ind w:left="2158" w:right="0" w:hanging="390"/>
        <w:jc w:val="left"/>
        <w:rPr>
          <w:sz w:val="19"/>
        </w:rPr>
      </w:pPr>
      <w:r>
        <w:rPr>
          <w:sz w:val="19"/>
        </w:rPr>
        <w:t>Greer,</w:t>
      </w:r>
      <w:r>
        <w:rPr>
          <w:spacing w:val="8"/>
          <w:sz w:val="19"/>
        </w:rPr>
        <w:t> </w:t>
      </w:r>
      <w:r>
        <w:rPr>
          <w:sz w:val="19"/>
        </w:rPr>
        <w:t>G.</w:t>
      </w:r>
      <w:r>
        <w:rPr>
          <w:spacing w:val="9"/>
          <w:sz w:val="19"/>
        </w:rPr>
        <w:t> </w:t>
      </w:r>
      <w:r>
        <w:rPr>
          <w:sz w:val="19"/>
        </w:rPr>
        <w:t>(1970).</w:t>
      </w:r>
      <w:r>
        <w:rPr>
          <w:spacing w:val="6"/>
          <w:sz w:val="19"/>
        </w:rPr>
        <w:t> </w:t>
      </w:r>
      <w:r>
        <w:rPr>
          <w:sz w:val="19"/>
        </w:rPr>
        <w:t>The</w:t>
      </w:r>
      <w:r>
        <w:rPr>
          <w:spacing w:val="9"/>
          <w:sz w:val="19"/>
        </w:rPr>
        <w:t> </w:t>
      </w:r>
      <w:r>
        <w:rPr>
          <w:sz w:val="19"/>
        </w:rPr>
        <w:t>female</w:t>
      </w:r>
      <w:r>
        <w:rPr>
          <w:spacing w:val="7"/>
          <w:sz w:val="19"/>
        </w:rPr>
        <w:t> </w:t>
      </w:r>
      <w:r>
        <w:rPr>
          <w:sz w:val="19"/>
        </w:rPr>
        <w:t>eunuch.</w:t>
      </w:r>
      <w:r>
        <w:rPr>
          <w:spacing w:val="9"/>
          <w:sz w:val="19"/>
        </w:rPr>
        <w:t> </w:t>
      </w:r>
      <w:r>
        <w:rPr>
          <w:sz w:val="19"/>
        </w:rPr>
        <w:t>McGraw-</w:t>
      </w:r>
      <w:r>
        <w:rPr>
          <w:spacing w:val="-2"/>
          <w:sz w:val="19"/>
        </w:rPr>
        <w:t>Hill.</w:t>
      </w:r>
    </w:p>
    <w:p>
      <w:pPr>
        <w:pStyle w:val="ListParagraph"/>
        <w:numPr>
          <w:ilvl w:val="0"/>
          <w:numId w:val="48"/>
        </w:numPr>
        <w:tabs>
          <w:tab w:pos="2158" w:val="left" w:leader="none"/>
          <w:tab w:pos="2160" w:val="left" w:leader="none"/>
        </w:tabs>
        <w:spacing w:line="264" w:lineRule="auto" w:before="77" w:after="0"/>
        <w:ind w:left="2160" w:right="1442" w:hanging="392"/>
        <w:jc w:val="left"/>
        <w:rPr>
          <w:sz w:val="19"/>
        </w:rPr>
      </w:pPr>
      <w:r>
        <w:rPr>
          <w:sz w:val="19"/>
        </w:rPr>
        <w:t>Jardine, L. (1983). Still harping on daughters:</w:t>
      </w:r>
      <w:r>
        <w:rPr>
          <w:spacing w:val="-2"/>
          <w:sz w:val="19"/>
        </w:rPr>
        <w:t> </w:t>
      </w:r>
      <w:r>
        <w:rPr>
          <w:sz w:val="19"/>
        </w:rPr>
        <w:t>Women and drama in</w:t>
      </w:r>
      <w:r>
        <w:rPr>
          <w:spacing w:val="40"/>
          <w:sz w:val="19"/>
        </w:rPr>
        <w:t> </w:t>
      </w:r>
      <w:r>
        <w:rPr>
          <w:sz w:val="19"/>
        </w:rPr>
        <w:t>the</w:t>
      </w:r>
      <w:r>
        <w:rPr>
          <w:spacing w:val="40"/>
          <w:sz w:val="19"/>
        </w:rPr>
        <w:t> </w:t>
      </w:r>
      <w:r>
        <w:rPr>
          <w:sz w:val="19"/>
        </w:rPr>
        <w:t>age</w:t>
      </w:r>
      <w:r>
        <w:rPr>
          <w:spacing w:val="40"/>
          <w:sz w:val="19"/>
        </w:rPr>
        <w:t> </w:t>
      </w:r>
      <w:r>
        <w:rPr>
          <w:sz w:val="19"/>
        </w:rPr>
        <w:t>of</w:t>
      </w:r>
      <w:r>
        <w:rPr>
          <w:spacing w:val="40"/>
          <w:sz w:val="19"/>
        </w:rPr>
        <w:t> </w:t>
      </w:r>
      <w:r>
        <w:rPr>
          <w:sz w:val="19"/>
        </w:rPr>
        <w:t>Shakespeare.</w:t>
      </w:r>
      <w:r>
        <w:rPr>
          <w:spacing w:val="40"/>
          <w:sz w:val="19"/>
        </w:rPr>
        <w:t> </w:t>
      </w:r>
      <w:r>
        <w:rPr>
          <w:sz w:val="19"/>
        </w:rPr>
        <w:t>Columbia</w:t>
      </w:r>
      <w:r>
        <w:rPr>
          <w:spacing w:val="40"/>
          <w:sz w:val="19"/>
        </w:rPr>
        <w:t> </w:t>
      </w:r>
      <w:r>
        <w:rPr>
          <w:sz w:val="19"/>
        </w:rPr>
        <w:t>University</w:t>
      </w:r>
      <w:r>
        <w:rPr>
          <w:spacing w:val="40"/>
          <w:sz w:val="19"/>
        </w:rPr>
        <w:t> </w:t>
      </w:r>
      <w:r>
        <w:rPr>
          <w:sz w:val="19"/>
        </w:rPr>
        <w:t>Press.</w:t>
      </w:r>
    </w:p>
    <w:p>
      <w:pPr>
        <w:pStyle w:val="ListParagraph"/>
        <w:numPr>
          <w:ilvl w:val="0"/>
          <w:numId w:val="48"/>
        </w:numPr>
        <w:tabs>
          <w:tab w:pos="2158" w:val="left" w:leader="none"/>
          <w:tab w:pos="2160" w:val="left" w:leader="none"/>
        </w:tabs>
        <w:spacing w:line="261" w:lineRule="auto" w:before="54" w:after="0"/>
        <w:ind w:left="2160" w:right="1441" w:hanging="392"/>
        <w:jc w:val="left"/>
        <w:rPr>
          <w:sz w:val="19"/>
        </w:rPr>
      </w:pPr>
      <w:r>
        <w:rPr>
          <w:sz w:val="19"/>
        </w:rPr>
        <w:t>Karim-Cooper, F. (2016). The hand on the Shakespearean stage: Gesture,</w:t>
      </w:r>
      <w:r>
        <w:rPr>
          <w:spacing w:val="40"/>
          <w:sz w:val="19"/>
        </w:rPr>
        <w:t> </w:t>
      </w:r>
      <w:r>
        <w:rPr>
          <w:sz w:val="19"/>
        </w:rPr>
        <w:t>touch</w:t>
      </w:r>
      <w:r>
        <w:rPr>
          <w:spacing w:val="40"/>
          <w:sz w:val="19"/>
        </w:rPr>
        <w:t> </w:t>
      </w:r>
      <w:r>
        <w:rPr>
          <w:sz w:val="19"/>
        </w:rPr>
        <w:t>and</w:t>
      </w:r>
      <w:r>
        <w:rPr>
          <w:spacing w:val="40"/>
          <w:sz w:val="19"/>
        </w:rPr>
        <w:t> </w:t>
      </w:r>
      <w:r>
        <w:rPr>
          <w:sz w:val="19"/>
        </w:rPr>
        <w:t>the</w:t>
      </w:r>
      <w:r>
        <w:rPr>
          <w:spacing w:val="40"/>
          <w:sz w:val="19"/>
        </w:rPr>
        <w:t> </w:t>
      </w:r>
      <w:r>
        <w:rPr>
          <w:sz w:val="19"/>
        </w:rPr>
        <w:t>spectator.</w:t>
      </w:r>
      <w:r>
        <w:rPr>
          <w:spacing w:val="40"/>
          <w:sz w:val="19"/>
        </w:rPr>
        <w:t> </w:t>
      </w:r>
      <w:r>
        <w:rPr>
          <w:sz w:val="19"/>
        </w:rPr>
        <w:t>Bloomsbury.</w:t>
      </w:r>
    </w:p>
    <w:p>
      <w:pPr>
        <w:pStyle w:val="ListParagraph"/>
        <w:numPr>
          <w:ilvl w:val="0"/>
          <w:numId w:val="48"/>
        </w:numPr>
        <w:tabs>
          <w:tab w:pos="2158" w:val="left" w:leader="none"/>
        </w:tabs>
        <w:spacing w:line="240" w:lineRule="auto" w:before="57" w:after="0"/>
        <w:ind w:left="2158" w:right="0" w:hanging="390"/>
        <w:jc w:val="left"/>
        <w:rPr>
          <w:sz w:val="19"/>
        </w:rPr>
      </w:pPr>
      <w:r>
        <w:rPr>
          <w:sz w:val="19"/>
        </w:rPr>
        <w:t>Millett,</w:t>
      </w:r>
      <w:r>
        <w:rPr>
          <w:spacing w:val="30"/>
          <w:sz w:val="19"/>
        </w:rPr>
        <w:t> </w:t>
      </w:r>
      <w:r>
        <w:rPr>
          <w:sz w:val="19"/>
        </w:rPr>
        <w:t>K.</w:t>
      </w:r>
      <w:r>
        <w:rPr>
          <w:spacing w:val="28"/>
          <w:sz w:val="19"/>
        </w:rPr>
        <w:t> </w:t>
      </w:r>
      <w:r>
        <w:rPr>
          <w:sz w:val="19"/>
        </w:rPr>
        <w:t>(1970).</w:t>
      </w:r>
      <w:r>
        <w:rPr>
          <w:spacing w:val="30"/>
          <w:sz w:val="19"/>
        </w:rPr>
        <w:t> </w:t>
      </w:r>
      <w:r>
        <w:rPr>
          <w:sz w:val="19"/>
        </w:rPr>
        <w:t>Sexual</w:t>
      </w:r>
      <w:r>
        <w:rPr>
          <w:spacing w:val="28"/>
          <w:sz w:val="19"/>
        </w:rPr>
        <w:t> </w:t>
      </w:r>
      <w:r>
        <w:rPr>
          <w:sz w:val="19"/>
        </w:rPr>
        <w:t>politics.</w:t>
      </w:r>
      <w:r>
        <w:rPr>
          <w:spacing w:val="30"/>
          <w:sz w:val="19"/>
        </w:rPr>
        <w:t> </w:t>
      </w:r>
      <w:r>
        <w:rPr>
          <w:spacing w:val="-2"/>
          <w:sz w:val="19"/>
        </w:rPr>
        <w:t>Doubleday.</w:t>
      </w:r>
    </w:p>
    <w:p>
      <w:pPr>
        <w:pStyle w:val="ListParagraph"/>
        <w:numPr>
          <w:ilvl w:val="0"/>
          <w:numId w:val="48"/>
        </w:numPr>
        <w:tabs>
          <w:tab w:pos="2158" w:val="left" w:leader="none"/>
        </w:tabs>
        <w:spacing w:line="240" w:lineRule="auto" w:before="79" w:after="0"/>
        <w:ind w:left="2158" w:right="0" w:hanging="390"/>
        <w:jc w:val="left"/>
        <w:rPr>
          <w:sz w:val="19"/>
        </w:rPr>
      </w:pPr>
      <w:r>
        <w:rPr>
          <w:sz w:val="19"/>
        </w:rPr>
        <w:t>Spivak,</w:t>
      </w:r>
      <w:r>
        <w:rPr>
          <w:spacing w:val="19"/>
          <w:sz w:val="19"/>
        </w:rPr>
        <w:t> </w:t>
      </w:r>
      <w:r>
        <w:rPr>
          <w:sz w:val="19"/>
        </w:rPr>
        <w:t>G.</w:t>
      </w:r>
      <w:r>
        <w:rPr>
          <w:spacing w:val="19"/>
          <w:sz w:val="19"/>
        </w:rPr>
        <w:t> </w:t>
      </w:r>
      <w:r>
        <w:rPr>
          <w:sz w:val="19"/>
        </w:rPr>
        <w:t>C.</w:t>
      </w:r>
      <w:r>
        <w:rPr>
          <w:spacing w:val="21"/>
          <w:sz w:val="19"/>
        </w:rPr>
        <w:t> </w:t>
      </w:r>
      <w:r>
        <w:rPr>
          <w:sz w:val="19"/>
        </w:rPr>
        <w:t>(1988).</w:t>
      </w:r>
      <w:r>
        <w:rPr>
          <w:spacing w:val="17"/>
          <w:sz w:val="19"/>
        </w:rPr>
        <w:t> </w:t>
      </w:r>
      <w:r>
        <w:rPr>
          <w:sz w:val="19"/>
        </w:rPr>
        <w:t>Can</w:t>
      </w:r>
      <w:r>
        <w:rPr>
          <w:spacing w:val="19"/>
          <w:sz w:val="19"/>
        </w:rPr>
        <w:t> </w:t>
      </w:r>
      <w:r>
        <w:rPr>
          <w:sz w:val="19"/>
        </w:rPr>
        <w:t>the</w:t>
      </w:r>
      <w:r>
        <w:rPr>
          <w:spacing w:val="18"/>
          <w:sz w:val="19"/>
        </w:rPr>
        <w:t> </w:t>
      </w:r>
      <w:r>
        <w:rPr>
          <w:sz w:val="19"/>
        </w:rPr>
        <w:t>subaltern</w:t>
      </w:r>
      <w:r>
        <w:rPr>
          <w:spacing w:val="17"/>
          <w:sz w:val="19"/>
        </w:rPr>
        <w:t> </w:t>
      </w:r>
      <w:r>
        <w:rPr>
          <w:sz w:val="19"/>
        </w:rPr>
        <w:t>speak?</w:t>
      </w:r>
      <w:r>
        <w:rPr>
          <w:spacing w:val="20"/>
          <w:sz w:val="19"/>
        </w:rPr>
        <w:t> </w:t>
      </w:r>
      <w:r>
        <w:rPr>
          <w:sz w:val="19"/>
        </w:rPr>
        <w:t>In</w:t>
      </w:r>
      <w:r>
        <w:rPr>
          <w:spacing w:val="21"/>
          <w:sz w:val="19"/>
        </w:rPr>
        <w:t> </w:t>
      </w:r>
      <w:r>
        <w:rPr>
          <w:sz w:val="19"/>
        </w:rPr>
        <w:t>C.</w:t>
      </w:r>
      <w:r>
        <w:rPr>
          <w:spacing w:val="17"/>
          <w:sz w:val="19"/>
        </w:rPr>
        <w:t> </w:t>
      </w:r>
      <w:r>
        <w:rPr>
          <w:sz w:val="19"/>
        </w:rPr>
        <w:t>Nelson</w:t>
      </w:r>
      <w:r>
        <w:rPr>
          <w:spacing w:val="19"/>
          <w:sz w:val="19"/>
        </w:rPr>
        <w:t> </w:t>
      </w:r>
      <w:r>
        <w:rPr>
          <w:spacing w:val="-10"/>
          <w:sz w:val="19"/>
        </w:rPr>
        <w:t>&amp;</w:t>
      </w:r>
    </w:p>
    <w:p>
      <w:pPr>
        <w:spacing w:line="261" w:lineRule="auto" w:before="19"/>
        <w:ind w:left="2160" w:right="1437" w:firstLine="0"/>
        <w:jc w:val="left"/>
        <w:rPr>
          <w:sz w:val="19"/>
        </w:rPr>
      </w:pPr>
      <w:r>
        <w:rPr>
          <w:sz w:val="19"/>
        </w:rPr>
        <w:t>L.</w:t>
      </w:r>
      <w:r>
        <w:rPr>
          <w:spacing w:val="26"/>
          <w:sz w:val="19"/>
        </w:rPr>
        <w:t> </w:t>
      </w:r>
      <w:r>
        <w:rPr>
          <w:sz w:val="19"/>
        </w:rPr>
        <w:t>Grossberg</w:t>
      </w:r>
      <w:r>
        <w:rPr>
          <w:spacing w:val="26"/>
          <w:sz w:val="19"/>
        </w:rPr>
        <w:t> </w:t>
      </w:r>
      <w:r>
        <w:rPr>
          <w:sz w:val="19"/>
        </w:rPr>
        <w:t>(Eds.),</w:t>
      </w:r>
      <w:r>
        <w:rPr>
          <w:spacing w:val="24"/>
          <w:sz w:val="19"/>
        </w:rPr>
        <w:t> </w:t>
      </w:r>
      <w:r>
        <w:rPr>
          <w:sz w:val="19"/>
        </w:rPr>
        <w:t>Marxism</w:t>
      </w:r>
      <w:r>
        <w:rPr>
          <w:spacing w:val="25"/>
          <w:sz w:val="19"/>
        </w:rPr>
        <w:t> </w:t>
      </w:r>
      <w:r>
        <w:rPr>
          <w:sz w:val="19"/>
        </w:rPr>
        <w:t>and</w:t>
      </w:r>
      <w:r>
        <w:rPr>
          <w:spacing w:val="30"/>
          <w:sz w:val="19"/>
        </w:rPr>
        <w:t> </w:t>
      </w:r>
      <w:r>
        <w:rPr>
          <w:sz w:val="19"/>
        </w:rPr>
        <w:t>the</w:t>
      </w:r>
      <w:r>
        <w:rPr>
          <w:spacing w:val="26"/>
          <w:sz w:val="19"/>
        </w:rPr>
        <w:t> </w:t>
      </w:r>
      <w:r>
        <w:rPr>
          <w:sz w:val="19"/>
        </w:rPr>
        <w:t>interpretation</w:t>
      </w:r>
      <w:r>
        <w:rPr>
          <w:spacing w:val="30"/>
          <w:sz w:val="19"/>
        </w:rPr>
        <w:t> </w:t>
      </w:r>
      <w:r>
        <w:rPr>
          <w:sz w:val="19"/>
        </w:rPr>
        <w:t>of</w:t>
      </w:r>
      <w:r>
        <w:rPr>
          <w:spacing w:val="27"/>
          <w:sz w:val="19"/>
        </w:rPr>
        <w:t> </w:t>
      </w:r>
      <w:r>
        <w:rPr>
          <w:sz w:val="19"/>
        </w:rPr>
        <w:t>culture, University</w:t>
      </w:r>
      <w:r>
        <w:rPr>
          <w:spacing w:val="40"/>
          <w:sz w:val="19"/>
        </w:rPr>
        <w:t> </w:t>
      </w:r>
      <w:r>
        <w:rPr>
          <w:sz w:val="19"/>
        </w:rPr>
        <w:t>of</w:t>
      </w:r>
      <w:r>
        <w:rPr>
          <w:spacing w:val="40"/>
          <w:sz w:val="19"/>
        </w:rPr>
        <w:t> </w:t>
      </w:r>
      <w:r>
        <w:rPr>
          <w:sz w:val="19"/>
        </w:rPr>
        <w:t>Illinois</w:t>
      </w:r>
      <w:r>
        <w:rPr>
          <w:spacing w:val="40"/>
          <w:sz w:val="19"/>
        </w:rPr>
        <w:t> </w:t>
      </w:r>
      <w:r>
        <w:rPr>
          <w:sz w:val="19"/>
        </w:rPr>
        <w:t>Press.</w:t>
      </w:r>
    </w:p>
    <w:p>
      <w:pPr>
        <w:pStyle w:val="ListParagraph"/>
        <w:numPr>
          <w:ilvl w:val="0"/>
          <w:numId w:val="48"/>
        </w:numPr>
        <w:tabs>
          <w:tab w:pos="2158" w:val="left" w:leader="none"/>
          <w:tab w:pos="2160" w:val="left" w:leader="none"/>
        </w:tabs>
        <w:spacing w:line="264" w:lineRule="auto" w:before="57" w:after="0"/>
        <w:ind w:left="2160" w:right="1444" w:hanging="392"/>
        <w:jc w:val="left"/>
        <w:rPr>
          <w:sz w:val="19"/>
        </w:rPr>
      </w:pPr>
      <w:r>
        <w:rPr>
          <w:sz w:val="19"/>
        </w:rPr>
        <w:t>Thompson,</w:t>
      </w:r>
      <w:r>
        <w:rPr>
          <w:spacing w:val="27"/>
          <w:sz w:val="19"/>
        </w:rPr>
        <w:t> </w:t>
      </w:r>
      <w:r>
        <w:rPr>
          <w:sz w:val="19"/>
        </w:rPr>
        <w:t>A.</w:t>
      </w:r>
      <w:r>
        <w:rPr>
          <w:spacing w:val="38"/>
          <w:sz w:val="19"/>
        </w:rPr>
        <w:t> </w:t>
      </w:r>
      <w:r>
        <w:rPr>
          <w:sz w:val="19"/>
        </w:rPr>
        <w:t>(2011).</w:t>
      </w:r>
      <w:r>
        <w:rPr>
          <w:spacing w:val="36"/>
          <w:sz w:val="19"/>
        </w:rPr>
        <w:t> </w:t>
      </w:r>
      <w:r>
        <w:rPr>
          <w:sz w:val="19"/>
        </w:rPr>
        <w:t>Passing</w:t>
      </w:r>
      <w:r>
        <w:rPr>
          <w:spacing w:val="36"/>
          <w:sz w:val="19"/>
        </w:rPr>
        <w:t> </w:t>
      </w:r>
      <w:r>
        <w:rPr>
          <w:sz w:val="19"/>
        </w:rPr>
        <w:t>strange:</w:t>
      </w:r>
      <w:r>
        <w:rPr>
          <w:spacing w:val="37"/>
          <w:sz w:val="19"/>
        </w:rPr>
        <w:t> </w:t>
      </w:r>
      <w:r>
        <w:rPr>
          <w:sz w:val="19"/>
        </w:rPr>
        <w:t>Shakespeare,</w:t>
      </w:r>
      <w:r>
        <w:rPr>
          <w:spacing w:val="36"/>
          <w:sz w:val="19"/>
        </w:rPr>
        <w:t> </w:t>
      </w:r>
      <w:r>
        <w:rPr>
          <w:sz w:val="19"/>
        </w:rPr>
        <w:t>race,</w:t>
      </w:r>
      <w:r>
        <w:rPr>
          <w:spacing w:val="36"/>
          <w:sz w:val="19"/>
        </w:rPr>
        <w:t> </w:t>
      </w:r>
      <w:r>
        <w:rPr>
          <w:sz w:val="19"/>
        </w:rPr>
        <w:t>and contemporary</w:t>
      </w:r>
      <w:r>
        <w:rPr>
          <w:spacing w:val="40"/>
          <w:sz w:val="19"/>
        </w:rPr>
        <w:t> </w:t>
      </w:r>
      <w:r>
        <w:rPr>
          <w:sz w:val="19"/>
        </w:rPr>
        <w:t>America.</w:t>
      </w:r>
      <w:r>
        <w:rPr>
          <w:spacing w:val="40"/>
          <w:sz w:val="19"/>
        </w:rPr>
        <w:t> </w:t>
      </w:r>
      <w:r>
        <w:rPr>
          <w:sz w:val="19"/>
        </w:rPr>
        <w:t>Oxford</w:t>
      </w:r>
      <w:r>
        <w:rPr>
          <w:spacing w:val="40"/>
          <w:sz w:val="19"/>
        </w:rPr>
        <w:t> </w:t>
      </w:r>
      <w:r>
        <w:rPr>
          <w:sz w:val="19"/>
        </w:rPr>
        <w:t>University</w:t>
      </w:r>
      <w:r>
        <w:rPr>
          <w:spacing w:val="40"/>
          <w:sz w:val="19"/>
        </w:rPr>
        <w:t> </w:t>
      </w:r>
      <w:r>
        <w:rPr>
          <w:sz w:val="19"/>
        </w:rPr>
        <w:t>Press.</w:t>
      </w:r>
    </w:p>
    <w:p>
      <w:pPr>
        <w:pStyle w:val="ListParagraph"/>
        <w:spacing w:after="0" w:line="264"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42464">
                <wp:simplePos x="0" y="0"/>
                <wp:positionH relativeFrom="page">
                  <wp:posOffset>2057400</wp:posOffset>
                </wp:positionH>
                <wp:positionV relativeFrom="page">
                  <wp:posOffset>1788723</wp:posOffset>
                </wp:positionV>
                <wp:extent cx="3655060" cy="140335"/>
                <wp:effectExtent l="0" t="0" r="0" b="0"/>
                <wp:wrapNone/>
                <wp:docPr id="533" name="Textbox 533"/>
                <wp:cNvGraphicFramePr>
                  <a:graphicFrameLocks/>
                </wp:cNvGraphicFramePr>
                <a:graphic>
                  <a:graphicData uri="http://schemas.microsoft.com/office/word/2010/wordprocessingShape">
                    <wps:wsp>
                      <wps:cNvPr id="533" name="Textbox 533"/>
                      <wps:cNvSpPr txBox="1"/>
                      <wps:spPr>
                        <a:xfrm>
                          <a:off x="0" y="0"/>
                          <a:ext cx="3655060" cy="140335"/>
                        </a:xfrm>
                        <a:prstGeom prst="rect">
                          <a:avLst/>
                        </a:prstGeom>
                      </wps:spPr>
                      <wps:txbx>
                        <w:txbxContent>
                          <w:p>
                            <w:pPr>
                              <w:tabs>
                                <w:tab w:pos="5755" w:val="right" w:leader="none"/>
                              </w:tabs>
                              <w:spacing w:line="219" w:lineRule="exact" w:before="0"/>
                              <w:ind w:left="0" w:right="0" w:firstLine="0"/>
                              <w:jc w:val="left"/>
                              <w:rPr>
                                <w:rFonts w:ascii="Verdana" w:hAnsi="Verdana"/>
                                <w:sz w:val="18"/>
                              </w:rPr>
                            </w:pPr>
                            <w:r>
                              <w:rPr>
                                <w:rFonts w:ascii="Verdana" w:hAnsi="Verdana"/>
                                <w:spacing w:val="-2"/>
                                <w:sz w:val="18"/>
                              </w:rPr>
                              <w:t>Reimagining</w:t>
                            </w:r>
                            <w:r>
                              <w:rPr>
                                <w:rFonts w:ascii="Verdana" w:hAnsi="Verdana"/>
                                <w:spacing w:val="14"/>
                                <w:sz w:val="18"/>
                              </w:rPr>
                              <w:t> </w:t>
                            </w:r>
                            <w:r>
                              <w:rPr>
                                <w:rFonts w:ascii="Verdana" w:hAnsi="Verdana"/>
                                <w:spacing w:val="-2"/>
                                <w:sz w:val="18"/>
                              </w:rPr>
                              <w:t>Shakespeare’s</w:t>
                            </w:r>
                            <w:r>
                              <w:rPr>
                                <w:rFonts w:ascii="Verdana" w:hAnsi="Verdana"/>
                                <w:spacing w:val="13"/>
                                <w:sz w:val="18"/>
                              </w:rPr>
                              <w:t> </w:t>
                            </w:r>
                            <w:r>
                              <w:rPr>
                                <w:rFonts w:ascii="Verdana" w:hAnsi="Verdana"/>
                                <w:spacing w:val="-2"/>
                                <w:sz w:val="18"/>
                              </w:rPr>
                              <w:t>Women:</w:t>
                            </w:r>
                            <w:r>
                              <w:rPr>
                                <w:rFonts w:ascii="Verdana" w:hAnsi="Verdana"/>
                                <w:spacing w:val="14"/>
                                <w:sz w:val="18"/>
                              </w:rPr>
                              <w:t> </w:t>
                            </w:r>
                            <w:r>
                              <w:rPr>
                                <w:rFonts w:ascii="Verdana" w:hAnsi="Verdana"/>
                                <w:spacing w:val="-2"/>
                                <w:sz w:val="18"/>
                              </w:rPr>
                              <w:t>Adaptations</w:t>
                            </w:r>
                            <w:r>
                              <w:rPr>
                                <w:rFonts w:ascii="Verdana" w:hAnsi="Verdana"/>
                                <w:spacing w:val="13"/>
                                <w:sz w:val="18"/>
                              </w:rPr>
                              <w:t> </w:t>
                            </w:r>
                            <w:r>
                              <w:rPr>
                                <w:rFonts w:ascii="Verdana" w:hAnsi="Verdana"/>
                                <w:spacing w:val="-2"/>
                                <w:sz w:val="18"/>
                              </w:rPr>
                              <w:t>and...</w:t>
                            </w:r>
                            <w:r>
                              <w:rPr>
                                <w:sz w:val="18"/>
                              </w:rPr>
                              <w:tab/>
                            </w:r>
                            <w:r>
                              <w:rPr>
                                <w:rFonts w:ascii="Verdana" w:hAnsi="Verdana"/>
                                <w:spacing w:val="-5"/>
                                <w:sz w:val="18"/>
                              </w:rPr>
                              <w:t>253</w:t>
                            </w:r>
                          </w:p>
                        </w:txbxContent>
                      </wps:txbx>
                      <wps:bodyPr wrap="square" lIns="0" tIns="0" rIns="0" bIns="0" rtlCol="0">
                        <a:noAutofit/>
                      </wps:bodyPr>
                    </wps:wsp>
                  </a:graphicData>
                </a:graphic>
              </wp:anchor>
            </w:drawing>
          </mc:Choice>
          <mc:Fallback>
            <w:pict>
              <v:shape style="position:absolute;margin-left:162pt;margin-top:140.844391pt;width:287.8pt;height:11.05pt;mso-position-horizontal-relative:page;mso-position-vertical-relative:page;z-index:-20374016" type="#_x0000_t202" id="docshape528" filled="false" stroked="false">
                <v:textbox inset="0,0,0,0">
                  <w:txbxContent>
                    <w:p>
                      <w:pPr>
                        <w:tabs>
                          <w:tab w:pos="5755" w:val="right" w:leader="none"/>
                        </w:tabs>
                        <w:spacing w:line="219" w:lineRule="exact" w:before="0"/>
                        <w:ind w:left="0" w:right="0" w:firstLine="0"/>
                        <w:jc w:val="left"/>
                        <w:rPr>
                          <w:rFonts w:ascii="Verdana" w:hAnsi="Verdana"/>
                          <w:sz w:val="18"/>
                        </w:rPr>
                      </w:pPr>
                      <w:r>
                        <w:rPr>
                          <w:rFonts w:ascii="Verdana" w:hAnsi="Verdana"/>
                          <w:spacing w:val="-2"/>
                          <w:sz w:val="18"/>
                        </w:rPr>
                        <w:t>Reimagining</w:t>
                      </w:r>
                      <w:r>
                        <w:rPr>
                          <w:rFonts w:ascii="Verdana" w:hAnsi="Verdana"/>
                          <w:spacing w:val="14"/>
                          <w:sz w:val="18"/>
                        </w:rPr>
                        <w:t> </w:t>
                      </w:r>
                      <w:r>
                        <w:rPr>
                          <w:rFonts w:ascii="Verdana" w:hAnsi="Verdana"/>
                          <w:spacing w:val="-2"/>
                          <w:sz w:val="18"/>
                        </w:rPr>
                        <w:t>Shakespeare’s</w:t>
                      </w:r>
                      <w:r>
                        <w:rPr>
                          <w:rFonts w:ascii="Verdana" w:hAnsi="Verdana"/>
                          <w:spacing w:val="13"/>
                          <w:sz w:val="18"/>
                        </w:rPr>
                        <w:t> </w:t>
                      </w:r>
                      <w:r>
                        <w:rPr>
                          <w:rFonts w:ascii="Verdana" w:hAnsi="Verdana"/>
                          <w:spacing w:val="-2"/>
                          <w:sz w:val="18"/>
                        </w:rPr>
                        <w:t>Women:</w:t>
                      </w:r>
                      <w:r>
                        <w:rPr>
                          <w:rFonts w:ascii="Verdana" w:hAnsi="Verdana"/>
                          <w:spacing w:val="14"/>
                          <w:sz w:val="18"/>
                        </w:rPr>
                        <w:t> </w:t>
                      </w:r>
                      <w:r>
                        <w:rPr>
                          <w:rFonts w:ascii="Verdana" w:hAnsi="Verdana"/>
                          <w:spacing w:val="-2"/>
                          <w:sz w:val="18"/>
                        </w:rPr>
                        <w:t>Adaptations</w:t>
                      </w:r>
                      <w:r>
                        <w:rPr>
                          <w:rFonts w:ascii="Verdana" w:hAnsi="Verdana"/>
                          <w:spacing w:val="13"/>
                          <w:sz w:val="18"/>
                        </w:rPr>
                        <w:t> </w:t>
                      </w:r>
                      <w:r>
                        <w:rPr>
                          <w:rFonts w:ascii="Verdana" w:hAnsi="Verdana"/>
                          <w:spacing w:val="-2"/>
                          <w:sz w:val="18"/>
                        </w:rPr>
                        <w:t>and...</w:t>
                      </w:r>
                      <w:r>
                        <w:rPr>
                          <w:sz w:val="18"/>
                        </w:rPr>
                        <w:tab/>
                      </w:r>
                      <w:r>
                        <w:rPr>
                          <w:rFonts w:ascii="Verdana" w:hAnsi="Verdana"/>
                          <w:spacing w:val="-5"/>
                          <w:sz w:val="18"/>
                        </w:rPr>
                        <w:t>253</w:t>
                      </w:r>
                    </w:p>
                  </w:txbxContent>
                </v:textbox>
                <w10:wrap type="none"/>
              </v:shape>
            </w:pict>
          </mc:Fallback>
        </mc:AlternateContent>
      </w:r>
    </w:p>
    <w:p>
      <w:pPr>
        <w:pStyle w:val="BodyText"/>
        <w:ind w:left="0"/>
      </w:pPr>
    </w:p>
    <w:p>
      <w:pPr>
        <w:pStyle w:val="BodyText"/>
        <w:spacing w:before="12"/>
        <w:ind w:left="0"/>
      </w:pPr>
    </w:p>
    <w:p>
      <w:pPr>
        <w:spacing w:line="240" w:lineRule="auto"/>
        <w:ind w:left="1108" w:right="0" w:firstLine="0"/>
        <w:rPr>
          <w:sz w:val="20"/>
        </w:rPr>
      </w:pPr>
      <w:r>
        <w:rPr>
          <w:sz w:val="20"/>
        </w:rPr>
        <mc:AlternateContent>
          <mc:Choice Requires="wps">
            <w:drawing>
              <wp:inline distT="0" distB="0" distL="0" distR="0">
                <wp:extent cx="4043679" cy="699770"/>
                <wp:effectExtent l="0" t="0" r="0" b="0"/>
                <wp:docPr id="534" name="Group 534"/>
                <wp:cNvGraphicFramePr>
                  <a:graphicFrameLocks/>
                </wp:cNvGraphicFramePr>
                <a:graphic>
                  <a:graphicData uri="http://schemas.microsoft.com/office/word/2010/wordprocessingGroup">
                    <wpg:wgp>
                      <wpg:cNvPr id="534" name="Group 534"/>
                      <wpg:cNvGrpSpPr/>
                      <wpg:grpSpPr>
                        <a:xfrm>
                          <a:off x="0" y="0"/>
                          <a:ext cx="4043679" cy="699770"/>
                          <a:chExt cx="4043679" cy="699770"/>
                        </a:xfrm>
                      </wpg:grpSpPr>
                      <wps:wsp>
                        <wps:cNvPr id="535" name="Graphic 535"/>
                        <wps:cNvSpPr/>
                        <wps:spPr>
                          <a:xfrm>
                            <a:off x="0" y="0"/>
                            <a:ext cx="4043679" cy="699770"/>
                          </a:xfrm>
                          <a:custGeom>
                            <a:avLst/>
                            <a:gdLst/>
                            <a:ahLst/>
                            <a:cxnLst/>
                            <a:rect l="l" t="t" r="r" b="b"/>
                            <a:pathLst>
                              <a:path w="4043679" h="699770">
                                <a:moveTo>
                                  <a:pt x="4043172" y="699516"/>
                                </a:moveTo>
                                <a:lnTo>
                                  <a:pt x="0" y="699516"/>
                                </a:lnTo>
                                <a:lnTo>
                                  <a:pt x="0" y="0"/>
                                </a:lnTo>
                                <a:lnTo>
                                  <a:pt x="4043172" y="0"/>
                                </a:lnTo>
                                <a:lnTo>
                                  <a:pt x="4043172"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529" coordorigin="0,0" coordsize="6368,1102">
                <v:rect style="position:absolute;left:0;top:0;width:6368;height:1102" id="docshape530"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78304">
                <wp:simplePos x="0" y="0"/>
                <wp:positionH relativeFrom="page">
                  <wp:posOffset>3515867</wp:posOffset>
                </wp:positionH>
                <wp:positionV relativeFrom="paragraph">
                  <wp:posOffset>272922</wp:posOffset>
                </wp:positionV>
                <wp:extent cx="728980" cy="655320"/>
                <wp:effectExtent l="0" t="0" r="0" b="0"/>
                <wp:wrapTopAndBottom/>
                <wp:docPr id="536" name="Group 536"/>
                <wp:cNvGraphicFramePr>
                  <a:graphicFrameLocks/>
                </wp:cNvGraphicFramePr>
                <a:graphic>
                  <a:graphicData uri="http://schemas.microsoft.com/office/word/2010/wordprocessingGroup">
                    <wpg:wgp>
                      <wpg:cNvPr id="536" name="Group 536"/>
                      <wpg:cNvGrpSpPr/>
                      <wpg:grpSpPr>
                        <a:xfrm>
                          <a:off x="0" y="0"/>
                          <a:ext cx="728980" cy="655320"/>
                          <a:chExt cx="728980" cy="655320"/>
                        </a:xfrm>
                      </wpg:grpSpPr>
                      <pic:pic>
                        <pic:nvPicPr>
                          <pic:cNvPr id="537" name="Image 537"/>
                          <pic:cNvPicPr/>
                        </pic:nvPicPr>
                        <pic:blipFill>
                          <a:blip r:embed="rId101" cstate="print"/>
                          <a:stretch>
                            <a:fillRect/>
                          </a:stretch>
                        </pic:blipFill>
                        <pic:spPr>
                          <a:xfrm>
                            <a:off x="0" y="0"/>
                            <a:ext cx="728471" cy="655320"/>
                          </a:xfrm>
                          <a:prstGeom prst="rect">
                            <a:avLst/>
                          </a:prstGeom>
                        </pic:spPr>
                      </pic:pic>
                      <wps:wsp>
                        <wps:cNvPr id="538" name="Textbox 538"/>
                        <wps:cNvSpPr txBox="1"/>
                        <wps:spPr>
                          <a:xfrm>
                            <a:off x="0" y="0"/>
                            <a:ext cx="728980" cy="655320"/>
                          </a:xfrm>
                          <a:prstGeom prst="rect">
                            <a:avLst/>
                          </a:prstGeom>
                        </wps:spPr>
                        <wps:txbx>
                          <w:txbxContent>
                            <w:p>
                              <w:pPr>
                                <w:spacing w:before="374"/>
                                <w:ind w:left="388" w:right="0" w:firstLine="0"/>
                                <w:jc w:val="left"/>
                                <w:rPr>
                                  <w:rFonts w:ascii="Tahoma"/>
                                  <w:b/>
                                  <w:sz w:val="36"/>
                                </w:rPr>
                              </w:pPr>
                              <w:r>
                                <w:rPr>
                                  <w:rFonts w:ascii="Tahoma"/>
                                  <w:b/>
                                  <w:spacing w:val="-5"/>
                                  <w:w w:val="95"/>
                                  <w:sz w:val="36"/>
                                </w:rPr>
                                <w:t>24</w:t>
                              </w:r>
                            </w:p>
                          </w:txbxContent>
                        </wps:txbx>
                        <wps:bodyPr wrap="square" lIns="0" tIns="0" rIns="0" bIns="0" rtlCol="0">
                          <a:noAutofit/>
                        </wps:bodyPr>
                      </wps:wsp>
                    </wpg:wgp>
                  </a:graphicData>
                </a:graphic>
              </wp:anchor>
            </w:drawing>
          </mc:Choice>
          <mc:Fallback>
            <w:pict>
              <v:group style="position:absolute;margin-left:276.839996pt;margin-top:21.489992pt;width:57.4pt;height:51.6pt;mso-position-horizontal-relative:page;mso-position-vertical-relative:paragraph;z-index:-15538176;mso-wrap-distance-left:0;mso-wrap-distance-right:0" id="docshapegroup531" coordorigin="5537,430" coordsize="1148,1032">
                <v:shape style="position:absolute;left:5536;top:429;width:1148;height:1032" type="#_x0000_t75" id="docshape532" stroked="false">
                  <v:imagedata r:id="rId101" o:title=""/>
                </v:shape>
                <v:shape style="position:absolute;left:5536;top:429;width:1148;height:1032" type="#_x0000_t202" id="docshape533" filled="false" stroked="false">
                  <v:textbox inset="0,0,0,0">
                    <w:txbxContent>
                      <w:p>
                        <w:pPr>
                          <w:spacing w:before="374"/>
                          <w:ind w:left="388" w:right="0" w:firstLine="0"/>
                          <w:jc w:val="left"/>
                          <w:rPr>
                            <w:rFonts w:ascii="Tahoma"/>
                            <w:b/>
                            <w:sz w:val="36"/>
                          </w:rPr>
                        </w:pPr>
                        <w:r>
                          <w:rPr>
                            <w:rFonts w:ascii="Tahoma"/>
                            <w:b/>
                            <w:spacing w:val="-5"/>
                            <w:w w:val="95"/>
                            <w:sz w:val="36"/>
                          </w:rPr>
                          <w:t>24</w:t>
                        </w:r>
                      </w:p>
                    </w:txbxContent>
                  </v:textbox>
                  <w10:wrap type="none"/>
                </v:shape>
                <w10:wrap type="topAndBottom"/>
              </v:group>
            </w:pict>
          </mc:Fallback>
        </mc:AlternateContent>
      </w:r>
    </w:p>
    <w:p>
      <w:pPr>
        <w:pStyle w:val="Heading1"/>
        <w:spacing w:line="353" w:lineRule="exact"/>
        <w:ind w:left="1485"/>
        <w:jc w:val="left"/>
      </w:pPr>
      <w:r>
        <w:rPr>
          <w:spacing w:val="-6"/>
        </w:rPr>
        <w:t>Reimagining Shakespeare’s</w:t>
      </w:r>
      <w:r>
        <w:rPr>
          <w:spacing w:val="-2"/>
        </w:rPr>
        <w:t> </w:t>
      </w:r>
      <w:r>
        <w:rPr>
          <w:spacing w:val="-6"/>
        </w:rPr>
        <w:t>Women:</w:t>
      </w:r>
    </w:p>
    <w:p>
      <w:pPr>
        <w:tabs>
          <w:tab w:pos="1891" w:val="left" w:leader="none"/>
          <w:tab w:pos="7199" w:val="left" w:leader="none"/>
        </w:tabs>
        <w:spacing w:line="364" w:lineRule="exact" w:before="0"/>
        <w:ind w:left="1440" w:right="0" w:firstLine="0"/>
        <w:jc w:val="left"/>
        <w:rPr>
          <w:rFonts w:ascii="Tahoma"/>
          <w:b/>
          <w:sz w:val="32"/>
        </w:rPr>
      </w:pPr>
      <w:r>
        <w:rPr>
          <w:rFonts w:ascii="Tahoma"/>
          <w:b/>
          <w:sz w:val="32"/>
          <w:u w:val="single"/>
        </w:rPr>
        <w:tab/>
        <w:t>Adaptations</w:t>
      </w:r>
      <w:r>
        <w:rPr>
          <w:rFonts w:ascii="Tahoma"/>
          <w:b/>
          <w:spacing w:val="-8"/>
          <w:sz w:val="32"/>
          <w:u w:val="single"/>
        </w:rPr>
        <w:t> </w:t>
      </w:r>
      <w:r>
        <w:rPr>
          <w:rFonts w:ascii="Tahoma"/>
          <w:b/>
          <w:sz w:val="32"/>
          <w:u w:val="single"/>
        </w:rPr>
        <w:t>and</w:t>
      </w:r>
      <w:r>
        <w:rPr>
          <w:rFonts w:ascii="Tahoma"/>
          <w:b/>
          <w:spacing w:val="-6"/>
          <w:sz w:val="32"/>
          <w:u w:val="single"/>
        </w:rPr>
        <w:t> </w:t>
      </w:r>
      <w:r>
        <w:rPr>
          <w:rFonts w:ascii="Tahoma"/>
          <w:b/>
          <w:spacing w:val="-2"/>
          <w:sz w:val="32"/>
          <w:u w:val="single"/>
        </w:rPr>
        <w:t>Appropriation</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78816">
                <wp:simplePos x="0" y="0"/>
                <wp:positionH relativeFrom="page">
                  <wp:posOffset>2057400</wp:posOffset>
                </wp:positionH>
                <wp:positionV relativeFrom="paragraph">
                  <wp:posOffset>60138</wp:posOffset>
                </wp:positionV>
                <wp:extent cx="3657600" cy="7620"/>
                <wp:effectExtent l="0" t="0" r="0" b="0"/>
                <wp:wrapTopAndBottom/>
                <wp:docPr id="539" name="Graphic 539"/>
                <wp:cNvGraphicFramePr>
                  <a:graphicFrameLocks/>
                </wp:cNvGraphicFramePr>
                <a:graphic>
                  <a:graphicData uri="http://schemas.microsoft.com/office/word/2010/wordprocessingShape">
                    <wps:wsp>
                      <wps:cNvPr id="539" name="Graphic 539"/>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35299pt;width:288.000009pt;height:.600014pt;mso-position-horizontal-relative:page;mso-position-vertical-relative:paragraph;z-index:-15537664;mso-wrap-distance-left:0;mso-wrap-distance-right:0" id="docshape534" filled="true" fillcolor="#000000" stroked="false">
                <v:fill type="solid"/>
                <w10:wrap type="topAndBottom"/>
              </v:rect>
            </w:pict>
          </mc:Fallback>
        </mc:AlternateContent>
      </w:r>
    </w:p>
    <w:p>
      <w:pPr>
        <w:pStyle w:val="BodyText"/>
        <w:spacing w:before="13"/>
        <w:ind w:left="0"/>
        <w:rPr>
          <w:rFonts w:ascii="Tahoma"/>
          <w:b/>
          <w:sz w:val="32"/>
        </w:rPr>
      </w:pPr>
    </w:p>
    <w:p>
      <w:pPr>
        <w:spacing w:line="252" w:lineRule="auto" w:before="0"/>
        <w:ind w:left="2265" w:right="1437" w:firstLine="3600"/>
        <w:jc w:val="right"/>
        <w:rPr>
          <w:i/>
          <w:sz w:val="19"/>
        </w:rPr>
      </w:pPr>
      <w:r>
        <w:rPr>
          <w:b/>
          <w:i/>
          <w:spacing w:val="-2"/>
          <w:sz w:val="22"/>
        </w:rPr>
        <w:t>R.S.Potukuchi</w:t>
      </w:r>
      <w:r>
        <w:rPr>
          <w:b/>
          <w:i/>
          <w:spacing w:val="-2"/>
          <w:sz w:val="22"/>
        </w:rPr>
        <w:t> </w:t>
      </w:r>
      <w:r>
        <w:rPr>
          <w:i/>
          <w:sz w:val="19"/>
        </w:rPr>
        <w:t>Associate</w:t>
      </w:r>
      <w:r>
        <w:rPr>
          <w:i/>
          <w:spacing w:val="40"/>
          <w:sz w:val="19"/>
        </w:rPr>
        <w:t> </w:t>
      </w:r>
      <w:r>
        <w:rPr>
          <w:i/>
          <w:sz w:val="19"/>
        </w:rPr>
        <w:t>Professor,</w:t>
      </w:r>
      <w:r>
        <w:rPr>
          <w:i/>
          <w:spacing w:val="40"/>
          <w:sz w:val="19"/>
        </w:rPr>
        <w:t> </w:t>
      </w:r>
      <w:r>
        <w:rPr>
          <w:i/>
          <w:sz w:val="19"/>
        </w:rPr>
        <w:t>Dr.</w:t>
      </w:r>
      <w:r>
        <w:rPr>
          <w:i/>
          <w:spacing w:val="40"/>
          <w:sz w:val="19"/>
        </w:rPr>
        <w:t> </w:t>
      </w:r>
      <w:r>
        <w:rPr>
          <w:i/>
          <w:sz w:val="19"/>
        </w:rPr>
        <w:t>Babasaheb</w:t>
      </w:r>
      <w:r>
        <w:rPr>
          <w:i/>
          <w:spacing w:val="40"/>
          <w:sz w:val="19"/>
        </w:rPr>
        <w:t> </w:t>
      </w:r>
      <w:r>
        <w:rPr>
          <w:i/>
          <w:sz w:val="19"/>
        </w:rPr>
        <w:t>Ambedkar</w:t>
      </w:r>
      <w:r>
        <w:rPr>
          <w:i/>
          <w:spacing w:val="40"/>
          <w:sz w:val="19"/>
        </w:rPr>
        <w:t> </w:t>
      </w:r>
      <w:r>
        <w:rPr>
          <w:i/>
          <w:sz w:val="19"/>
        </w:rPr>
        <w:t>Takshashila Mahavidyalaya,</w:t>
      </w:r>
      <w:r>
        <w:rPr>
          <w:i/>
          <w:spacing w:val="40"/>
          <w:sz w:val="19"/>
        </w:rPr>
        <w:t> </w:t>
      </w:r>
      <w:r>
        <w:rPr>
          <w:i/>
          <w:sz w:val="19"/>
        </w:rPr>
        <w:t>Uttamnagar,</w:t>
      </w:r>
      <w:r>
        <w:rPr>
          <w:i/>
          <w:spacing w:val="40"/>
          <w:sz w:val="19"/>
        </w:rPr>
        <w:t> </w:t>
      </w:r>
      <w:r>
        <w:rPr>
          <w:i/>
          <w:sz w:val="19"/>
        </w:rPr>
        <w:t>Amravati</w:t>
      </w:r>
      <w:r>
        <w:rPr>
          <w:i/>
          <w:spacing w:val="40"/>
          <w:sz w:val="19"/>
        </w:rPr>
        <w:t> </w:t>
      </w:r>
      <w:r>
        <w:rPr>
          <w:i/>
          <w:sz w:val="19"/>
        </w:rPr>
        <w:t>(M.S.)</w:t>
      </w:r>
    </w:p>
    <w:p>
      <w:pPr>
        <w:pStyle w:val="BodyText"/>
        <w:spacing w:before="150"/>
        <w:ind w:left="0"/>
        <w:rPr>
          <w:i/>
          <w:sz w:val="19"/>
        </w:rPr>
      </w:pPr>
    </w:p>
    <w:p>
      <w:pPr>
        <w:pStyle w:val="Heading3"/>
        <w:spacing w:before="1"/>
      </w:pPr>
      <w:r>
        <w:rPr>
          <w:spacing w:val="-2"/>
        </w:rPr>
        <w:t>ABSTRACT:</w:t>
      </w:r>
    </w:p>
    <w:p>
      <w:pPr>
        <w:pStyle w:val="BodyText"/>
        <w:spacing w:line="249" w:lineRule="auto" w:before="75"/>
        <w:ind w:right="1436" w:firstLine="432"/>
        <w:jc w:val="both"/>
      </w:pPr>
      <w:r>
        <w:rPr/>
        <w:t>This research article explores the transformative shift in </w:t>
      </w:r>
      <w:r>
        <w:rPr>
          <w:spacing w:val="-2"/>
        </w:rPr>
        <w:t>Shakespearean</w:t>
      </w:r>
      <w:r>
        <w:rPr>
          <w:spacing w:val="-8"/>
        </w:rPr>
        <w:t> </w:t>
      </w:r>
      <w:r>
        <w:rPr>
          <w:spacing w:val="-2"/>
        </w:rPr>
        <w:t>scholarship</w:t>
      </w:r>
      <w:r>
        <w:rPr>
          <w:spacing w:val="-8"/>
        </w:rPr>
        <w:t> </w:t>
      </w:r>
      <w:r>
        <w:rPr>
          <w:spacing w:val="-2"/>
        </w:rPr>
        <w:t>and</w:t>
      </w:r>
      <w:r>
        <w:rPr>
          <w:spacing w:val="-3"/>
        </w:rPr>
        <w:t> </w:t>
      </w:r>
      <w:r>
        <w:rPr>
          <w:spacing w:val="-2"/>
        </w:rPr>
        <w:t>creative</w:t>
      </w:r>
      <w:r>
        <w:rPr>
          <w:spacing w:val="-3"/>
        </w:rPr>
        <w:t> </w:t>
      </w:r>
      <w:r>
        <w:rPr>
          <w:spacing w:val="-2"/>
        </w:rPr>
        <w:t>practice</w:t>
      </w:r>
      <w:r>
        <w:rPr>
          <w:spacing w:val="-3"/>
        </w:rPr>
        <w:t> </w:t>
      </w:r>
      <w:r>
        <w:rPr>
          <w:spacing w:val="-2"/>
        </w:rPr>
        <w:t>from</w:t>
      </w:r>
      <w:r>
        <w:rPr>
          <w:spacing w:val="-9"/>
        </w:rPr>
        <w:t> </w:t>
      </w:r>
      <w:r>
        <w:rPr>
          <w:spacing w:val="-2"/>
        </w:rPr>
        <w:t>traditional</w:t>
      </w:r>
      <w:r>
        <w:rPr>
          <w:spacing w:val="-6"/>
        </w:rPr>
        <w:t> </w:t>
      </w:r>
      <w:r>
        <w:rPr>
          <w:spacing w:val="-2"/>
        </w:rPr>
        <w:t>mimicry </w:t>
      </w:r>
      <w:r>
        <w:rPr/>
        <w:t>to radical appropriation in the 21st century. Historically, the female characters of William Shakespeare—such as Ophelia, Lady Macbeth, and Juliet—have been relegated to the margins of the Western literary canon, often serving as passive catalysts for male-driven tragedies.</w:t>
      </w:r>
      <w:r>
        <w:rPr>
          <w:spacing w:val="80"/>
        </w:rPr>
        <w:t> </w:t>
      </w:r>
      <w:r>
        <w:rPr/>
        <w:t>This study analyzes how contemporary creators utilize feminist, post-colonial, and queer theoretical lenses to “extract” these women from their original plot constraints, granting them narrative autonomy and psychological interiority.</w:t>
      </w:r>
    </w:p>
    <w:p>
      <w:pPr>
        <w:pStyle w:val="BodyText"/>
        <w:spacing w:line="249" w:lineRule="auto" w:before="68"/>
        <w:ind w:right="1437" w:firstLine="432"/>
        <w:jc w:val="both"/>
      </w:pPr>
      <w:r>
        <w:rPr/>
        <w:t>Through specific case studies including Lisa Klein’s </w:t>
      </w:r>
      <w:r>
        <w:rPr>
          <w:i/>
        </w:rPr>
        <w:t>Ophelia</w:t>
      </w:r>
      <w:r>
        <w:rPr/>
        <w:t>, the 2016</w:t>
      </w:r>
      <w:r>
        <w:rPr>
          <w:spacing w:val="-7"/>
        </w:rPr>
        <w:t> </w:t>
      </w:r>
      <w:r>
        <w:rPr/>
        <w:t>film</w:t>
      </w:r>
      <w:r>
        <w:rPr>
          <w:spacing w:val="-11"/>
        </w:rPr>
        <w:t> </w:t>
      </w:r>
      <w:r>
        <w:rPr>
          <w:i/>
        </w:rPr>
        <w:t>Lady</w:t>
      </w:r>
      <w:r>
        <w:rPr>
          <w:i/>
          <w:spacing w:val="-10"/>
        </w:rPr>
        <w:t> </w:t>
      </w:r>
      <w:r>
        <w:rPr>
          <w:i/>
        </w:rPr>
        <w:t>Macbeth</w:t>
      </w:r>
      <w:r>
        <w:rPr/>
        <w:t>,</w:t>
      </w:r>
      <w:r>
        <w:rPr>
          <w:spacing w:val="-9"/>
        </w:rPr>
        <w:t> </w:t>
      </w:r>
      <w:r>
        <w:rPr/>
        <w:t>and</w:t>
      </w:r>
      <w:r>
        <w:rPr>
          <w:spacing w:val="-11"/>
        </w:rPr>
        <w:t> </w:t>
      </w:r>
      <w:r>
        <w:rPr/>
        <w:t>post-colonial</w:t>
      </w:r>
      <w:r>
        <w:rPr>
          <w:spacing w:val="-8"/>
        </w:rPr>
        <w:t> </w:t>
      </w:r>
      <w:r>
        <w:rPr/>
        <w:t>reclamations</w:t>
      </w:r>
      <w:r>
        <w:rPr>
          <w:spacing w:val="-11"/>
        </w:rPr>
        <w:t> </w:t>
      </w:r>
      <w:r>
        <w:rPr/>
        <w:t>of</w:t>
      </w:r>
      <w:r>
        <w:rPr>
          <w:spacing w:val="-12"/>
        </w:rPr>
        <w:t> </w:t>
      </w:r>
      <w:r>
        <w:rPr/>
        <w:t>Sycorax,</w:t>
      </w:r>
      <w:r>
        <w:rPr>
          <w:spacing w:val="-7"/>
        </w:rPr>
        <w:t> </w:t>
      </w:r>
      <w:r>
        <w:rPr/>
        <w:t>the article examines the mechanisms of subverting silence and cultural contextualization. Furthermore, it addresses the ethical debate surrounding “appropriateness,” weighing the friction between literary preservation and the necessity of “corrective adaptations” to maintain Shakespeare’s</w:t>
      </w:r>
      <w:r>
        <w:rPr>
          <w:spacing w:val="40"/>
        </w:rPr>
        <w:t> </w:t>
      </w:r>
      <w:r>
        <w:rPr/>
        <w:t>modern-day</w:t>
      </w:r>
      <w:r>
        <w:rPr>
          <w:spacing w:val="40"/>
        </w:rPr>
        <w:t> </w:t>
      </w:r>
      <w:r>
        <w:rPr/>
        <w:t>relevance.</w:t>
      </w:r>
    </w:p>
    <w:p>
      <w:pPr>
        <w:pStyle w:val="BodyText"/>
        <w:spacing w:line="249" w:lineRule="auto" w:before="64"/>
        <w:ind w:right="1439" w:firstLine="432"/>
        <w:jc w:val="both"/>
      </w:pPr>
      <w:r>
        <w:rPr>
          <w:spacing w:val="-2"/>
        </w:rPr>
        <w:t>Ultimately,</w:t>
      </w:r>
      <w:r>
        <w:rPr>
          <w:spacing w:val="-9"/>
        </w:rPr>
        <w:t> </w:t>
      </w:r>
      <w:r>
        <w:rPr>
          <w:spacing w:val="-2"/>
        </w:rPr>
        <w:t>the</w:t>
      </w:r>
      <w:r>
        <w:rPr>
          <w:spacing w:val="-6"/>
        </w:rPr>
        <w:t> </w:t>
      </w:r>
      <w:r>
        <w:rPr>
          <w:spacing w:val="-2"/>
        </w:rPr>
        <w:t>research</w:t>
      </w:r>
      <w:r>
        <w:rPr>
          <w:spacing w:val="-9"/>
        </w:rPr>
        <w:t> </w:t>
      </w:r>
      <w:r>
        <w:rPr>
          <w:spacing w:val="-2"/>
        </w:rPr>
        <w:t>argues</w:t>
      </w:r>
      <w:r>
        <w:rPr>
          <w:spacing w:val="-9"/>
        </w:rPr>
        <w:t> </w:t>
      </w:r>
      <w:r>
        <w:rPr>
          <w:spacing w:val="-2"/>
        </w:rPr>
        <w:t>that</w:t>
      </w:r>
      <w:r>
        <w:rPr>
          <w:spacing w:val="-6"/>
        </w:rPr>
        <w:t> </w:t>
      </w:r>
      <w:r>
        <w:rPr>
          <w:spacing w:val="-2"/>
        </w:rPr>
        <w:t>by</w:t>
      </w:r>
      <w:r>
        <w:rPr>
          <w:spacing w:val="-11"/>
        </w:rPr>
        <w:t> </w:t>
      </w:r>
      <w:r>
        <w:rPr>
          <w:spacing w:val="-2"/>
        </w:rPr>
        <w:t>reimagining</w:t>
      </w:r>
      <w:r>
        <w:rPr>
          <w:spacing w:val="-6"/>
        </w:rPr>
        <w:t> </w:t>
      </w:r>
      <w:r>
        <w:rPr>
          <w:spacing w:val="-2"/>
        </w:rPr>
        <w:t>these</w:t>
      </w:r>
      <w:r>
        <w:rPr>
          <w:spacing w:val="-9"/>
        </w:rPr>
        <w:t> </w:t>
      </w:r>
      <w:r>
        <w:rPr>
          <w:spacing w:val="-2"/>
        </w:rPr>
        <w:t>archetypes </w:t>
      </w:r>
      <w:r>
        <w:rPr/>
        <w:t>within</w:t>
      </w:r>
      <w:r>
        <w:rPr>
          <w:spacing w:val="-3"/>
        </w:rPr>
        <w:t> </w:t>
      </w:r>
      <w:r>
        <w:rPr/>
        <w:t>intersectional and</w:t>
      </w:r>
      <w:r>
        <w:rPr>
          <w:spacing w:val="-1"/>
        </w:rPr>
        <w:t> </w:t>
      </w:r>
      <w:r>
        <w:rPr/>
        <w:t>global</w:t>
      </w:r>
      <w:r>
        <w:rPr>
          <w:spacing w:val="-1"/>
        </w:rPr>
        <w:t> </w:t>
      </w:r>
      <w:r>
        <w:rPr/>
        <w:t>frameworks,</w:t>
      </w:r>
      <w:r>
        <w:rPr>
          <w:spacing w:val="-3"/>
        </w:rPr>
        <w:t> </w:t>
      </w:r>
      <w:r>
        <w:rPr/>
        <w:t>scholars</w:t>
      </w:r>
      <w:r>
        <w:rPr>
          <w:spacing w:val="-1"/>
        </w:rPr>
        <w:t> </w:t>
      </w:r>
      <w:r>
        <w:rPr/>
        <w:t>and</w:t>
      </w:r>
      <w:r>
        <w:rPr>
          <w:spacing w:val="-1"/>
        </w:rPr>
        <w:t> </w:t>
      </w:r>
      <w:r>
        <w:rPr/>
        <w:t>artists</w:t>
      </w:r>
      <w:r>
        <w:rPr>
          <w:spacing w:val="-1"/>
        </w:rPr>
        <w:t> </w:t>
      </w:r>
      <w:r>
        <w:rPr/>
        <w:t>ensure that</w:t>
      </w:r>
      <w:r>
        <w:rPr>
          <w:spacing w:val="-7"/>
        </w:rPr>
        <w:t> </w:t>
      </w:r>
      <w:r>
        <w:rPr/>
        <w:t>the</w:t>
      </w:r>
      <w:r>
        <w:rPr>
          <w:spacing w:val="-7"/>
        </w:rPr>
        <w:t> </w:t>
      </w:r>
      <w:r>
        <w:rPr/>
        <w:t>“Bard’s”</w:t>
      </w:r>
      <w:r>
        <w:rPr>
          <w:spacing w:val="-8"/>
        </w:rPr>
        <w:t> </w:t>
      </w:r>
      <w:r>
        <w:rPr/>
        <w:t>work</w:t>
      </w:r>
      <w:r>
        <w:rPr>
          <w:spacing w:val="-7"/>
        </w:rPr>
        <w:t> </w:t>
      </w:r>
      <w:r>
        <w:rPr/>
        <w:t>functions</w:t>
      </w:r>
      <w:r>
        <w:rPr>
          <w:spacing w:val="-7"/>
        </w:rPr>
        <w:t> </w:t>
      </w:r>
      <w:r>
        <w:rPr/>
        <w:t>as</w:t>
      </w:r>
      <w:r>
        <w:rPr>
          <w:spacing w:val="-7"/>
        </w:rPr>
        <w:t> </w:t>
      </w:r>
      <w:r>
        <w:rPr/>
        <w:t>a</w:t>
      </w:r>
      <w:r>
        <w:rPr>
          <w:spacing w:val="-8"/>
        </w:rPr>
        <w:t> </w:t>
      </w:r>
      <w:r>
        <w:rPr/>
        <w:t>living</w:t>
      </w:r>
      <w:r>
        <w:rPr>
          <w:spacing w:val="-7"/>
        </w:rPr>
        <w:t> </w:t>
      </w:r>
      <w:r>
        <w:rPr/>
        <w:t>text</w:t>
      </w:r>
      <w:r>
        <w:rPr>
          <w:spacing w:val="-7"/>
        </w:rPr>
        <w:t> </w:t>
      </w:r>
      <w:r>
        <w:rPr/>
        <w:t>rather</w:t>
      </w:r>
      <w:r>
        <w:rPr>
          <w:spacing w:val="-7"/>
        </w:rPr>
        <w:t> </w:t>
      </w:r>
      <w:r>
        <w:rPr/>
        <w:t>than</w:t>
      </w:r>
      <w:r>
        <w:rPr>
          <w:spacing w:val="-11"/>
        </w:rPr>
        <w:t> </w:t>
      </w:r>
      <w:r>
        <w:rPr/>
        <w:t>a</w:t>
      </w:r>
      <w:r>
        <w:rPr>
          <w:spacing w:val="-6"/>
        </w:rPr>
        <w:t> </w:t>
      </w:r>
      <w:r>
        <w:rPr/>
        <w:t>static</w:t>
      </w:r>
      <w:r>
        <w:rPr>
          <w:spacing w:val="-6"/>
        </w:rPr>
        <w:t> </w:t>
      </w:r>
      <w:r>
        <w:rPr/>
        <w:t>relic, reflecting</w:t>
      </w:r>
      <w:r>
        <w:rPr>
          <w:spacing w:val="40"/>
        </w:rPr>
        <w:t> </w:t>
      </w:r>
      <w:r>
        <w:rPr/>
        <w:t>contemporary</w:t>
      </w:r>
      <w:r>
        <w:rPr>
          <w:spacing w:val="40"/>
        </w:rPr>
        <w:t> </w:t>
      </w:r>
      <w:r>
        <w:rPr/>
        <w:t>values</w:t>
      </w:r>
      <w:r>
        <w:rPr>
          <w:spacing w:val="40"/>
        </w:rPr>
        <w:t> </w:t>
      </w:r>
      <w:r>
        <w:rPr/>
        <w:t>of</w:t>
      </w:r>
      <w:r>
        <w:rPr>
          <w:spacing w:val="40"/>
        </w:rPr>
        <w:t> </w:t>
      </w:r>
      <w:r>
        <w:rPr/>
        <w:t>equality</w:t>
      </w:r>
      <w:r>
        <w:rPr>
          <w:spacing w:val="40"/>
        </w:rPr>
        <w:t> </w:t>
      </w:r>
      <w:r>
        <w:rPr/>
        <w:t>and</w:t>
      </w:r>
      <w:r>
        <w:rPr>
          <w:spacing w:val="40"/>
        </w:rPr>
        <w:t> </w:t>
      </w:r>
      <w:r>
        <w:rPr/>
        <w:t>systemic</w:t>
      </w:r>
      <w:r>
        <w:rPr>
          <w:spacing w:val="40"/>
        </w:rPr>
        <w:t> </w:t>
      </w:r>
      <w:r>
        <w:rPr/>
        <w:t>resistance.</w:t>
      </w:r>
    </w:p>
    <w:p>
      <w:pPr>
        <w:pStyle w:val="BodyText"/>
        <w:spacing w:after="0" w:line="249"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5920640">
                <wp:simplePos x="0" y="0"/>
                <wp:positionH relativeFrom="page">
                  <wp:posOffset>2057400</wp:posOffset>
                </wp:positionH>
                <wp:positionV relativeFrom="paragraph">
                  <wp:posOffset>226097</wp:posOffset>
                </wp:positionV>
                <wp:extent cx="3657600" cy="12700"/>
                <wp:effectExtent l="0" t="0" r="0" b="0"/>
                <wp:wrapNone/>
                <wp:docPr id="540" name="Graphic 540"/>
                <wp:cNvGraphicFramePr>
                  <a:graphicFrameLocks/>
                </wp:cNvGraphicFramePr>
                <a:graphic>
                  <a:graphicData uri="http://schemas.microsoft.com/office/word/2010/wordprocessingShape">
                    <wps:wsp>
                      <wps:cNvPr id="540" name="Graphic 54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5920640" id="docshape535" filled="true" fillcolor="#000000" stroked="false">
                <v:fill type="solid"/>
                <w10:wrap type="none"/>
              </v:rect>
            </w:pict>
          </mc:Fallback>
        </mc:AlternateContent>
      </w:r>
      <w:r>
        <w:rPr>
          <w:rFonts w:ascii="Verdana"/>
          <w:spacing w:val="-5"/>
          <w:w w:val="95"/>
          <w:sz w:val="18"/>
        </w:rPr>
        <w:t>254</w:t>
      </w:r>
    </w:p>
    <w:p>
      <w:pPr>
        <w:pStyle w:val="BodyText"/>
        <w:spacing w:before="10"/>
        <w:ind w:left="0"/>
        <w:rPr>
          <w:rFonts w:ascii="Verdana"/>
          <w:sz w:val="18"/>
        </w:rPr>
      </w:pPr>
    </w:p>
    <w:p>
      <w:pPr>
        <w:pStyle w:val="Heading3"/>
        <w:spacing w:before="1"/>
      </w:pPr>
      <w:r>
        <w:rPr>
          <w:spacing w:val="2"/>
          <w:w w:val="85"/>
        </w:rPr>
        <w:t>ABSTRACT</w:t>
      </w:r>
      <w:r>
        <w:rPr>
          <w:spacing w:val="15"/>
        </w:rPr>
        <w:t> </w:t>
      </w:r>
      <w:r>
        <w:rPr>
          <w:spacing w:val="-2"/>
          <w:w w:val="85"/>
        </w:rPr>
        <w:t>HIGHLIGHTS</w:t>
      </w:r>
    </w:p>
    <w:p>
      <w:pPr>
        <w:spacing w:before="100"/>
        <w:ind w:left="397"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3883" w:space="40"/>
            <w:col w:w="4717"/>
          </w:cols>
        </w:sectPr>
      </w:pPr>
    </w:p>
    <w:p>
      <w:pPr>
        <w:pStyle w:val="ListParagraph"/>
        <w:numPr>
          <w:ilvl w:val="0"/>
          <w:numId w:val="49"/>
        </w:numPr>
        <w:tabs>
          <w:tab w:pos="2160" w:val="left" w:leader="none"/>
        </w:tabs>
        <w:spacing w:line="261" w:lineRule="auto" w:before="82" w:after="0"/>
        <w:ind w:left="2160" w:right="1439" w:hanging="240"/>
        <w:jc w:val="left"/>
        <w:rPr>
          <w:sz w:val="20"/>
        </w:rPr>
      </w:pPr>
      <w:r>
        <w:rPr>
          <w:sz w:val="20"/>
        </w:rPr>
        <w:t>Primary</w:t>
      </w:r>
      <w:r>
        <w:rPr>
          <w:spacing w:val="80"/>
          <w:sz w:val="20"/>
        </w:rPr>
        <w:t> </w:t>
      </w:r>
      <w:r>
        <w:rPr>
          <w:sz w:val="20"/>
        </w:rPr>
        <w:t>Focus:</w:t>
      </w:r>
      <w:r>
        <w:rPr>
          <w:spacing w:val="80"/>
          <w:sz w:val="20"/>
        </w:rPr>
        <w:t> </w:t>
      </w:r>
      <w:r>
        <w:rPr>
          <w:sz w:val="20"/>
        </w:rPr>
        <w:t>The</w:t>
      </w:r>
      <w:r>
        <w:rPr>
          <w:spacing w:val="80"/>
          <w:sz w:val="20"/>
        </w:rPr>
        <w:t> </w:t>
      </w:r>
      <w:r>
        <w:rPr>
          <w:sz w:val="20"/>
        </w:rPr>
        <w:t>transition</w:t>
      </w:r>
      <w:r>
        <w:rPr>
          <w:spacing w:val="80"/>
          <w:sz w:val="20"/>
        </w:rPr>
        <w:t> </w:t>
      </w:r>
      <w:r>
        <w:rPr>
          <w:sz w:val="20"/>
        </w:rPr>
        <w:t>from</w:t>
      </w:r>
      <w:r>
        <w:rPr>
          <w:spacing w:val="80"/>
          <w:sz w:val="20"/>
        </w:rPr>
        <w:t> </w:t>
      </w:r>
      <w:r>
        <w:rPr>
          <w:sz w:val="20"/>
        </w:rPr>
        <w:t>performance-based adaptation</w:t>
      </w:r>
      <w:r>
        <w:rPr>
          <w:spacing w:val="40"/>
          <w:sz w:val="20"/>
        </w:rPr>
        <w:t> </w:t>
      </w:r>
      <w:r>
        <w:rPr>
          <w:sz w:val="20"/>
        </w:rPr>
        <w:t>to</w:t>
      </w:r>
      <w:r>
        <w:rPr>
          <w:spacing w:val="40"/>
          <w:sz w:val="20"/>
        </w:rPr>
        <w:t> </w:t>
      </w:r>
      <w:r>
        <w:rPr>
          <w:sz w:val="20"/>
        </w:rPr>
        <w:t>transformative</w:t>
      </w:r>
      <w:r>
        <w:rPr>
          <w:spacing w:val="40"/>
          <w:sz w:val="20"/>
        </w:rPr>
        <w:t> </w:t>
      </w:r>
      <w:r>
        <w:rPr>
          <w:sz w:val="20"/>
        </w:rPr>
        <w:t>appropriation.</w:t>
      </w:r>
    </w:p>
    <w:p>
      <w:pPr>
        <w:pStyle w:val="ListParagraph"/>
        <w:numPr>
          <w:ilvl w:val="0"/>
          <w:numId w:val="49"/>
        </w:numPr>
        <w:tabs>
          <w:tab w:pos="2160" w:val="left" w:leader="none"/>
        </w:tabs>
        <w:spacing w:line="261" w:lineRule="auto" w:before="58" w:after="0"/>
        <w:ind w:left="2160" w:right="1440" w:hanging="240"/>
        <w:jc w:val="left"/>
        <w:rPr>
          <w:sz w:val="20"/>
        </w:rPr>
      </w:pPr>
      <w:r>
        <w:rPr>
          <w:sz w:val="20"/>
        </w:rPr>
        <w:t>Methodology:</w:t>
      </w:r>
      <w:r>
        <w:rPr>
          <w:spacing w:val="40"/>
          <w:sz w:val="20"/>
        </w:rPr>
        <w:t> </w:t>
      </w:r>
      <w:r>
        <w:rPr>
          <w:sz w:val="20"/>
        </w:rPr>
        <w:t>Comparative</w:t>
      </w:r>
      <w:r>
        <w:rPr>
          <w:spacing w:val="40"/>
          <w:sz w:val="20"/>
        </w:rPr>
        <w:t> </w:t>
      </w:r>
      <w:r>
        <w:rPr>
          <w:sz w:val="20"/>
        </w:rPr>
        <w:t>analysis</w:t>
      </w:r>
      <w:r>
        <w:rPr>
          <w:spacing w:val="40"/>
          <w:sz w:val="20"/>
        </w:rPr>
        <w:t> </w:t>
      </w:r>
      <w:r>
        <w:rPr>
          <w:sz w:val="20"/>
        </w:rPr>
        <w:t>of</w:t>
      </w:r>
      <w:r>
        <w:rPr>
          <w:spacing w:val="40"/>
          <w:sz w:val="20"/>
        </w:rPr>
        <w:t> </w:t>
      </w:r>
      <w:r>
        <w:rPr>
          <w:sz w:val="20"/>
        </w:rPr>
        <w:t>16th-century</w:t>
      </w:r>
      <w:r>
        <w:rPr>
          <w:spacing w:val="40"/>
          <w:sz w:val="20"/>
        </w:rPr>
        <w:t> </w:t>
      </w:r>
      <w:r>
        <w:rPr>
          <w:sz w:val="20"/>
        </w:rPr>
        <w:t>power structures</w:t>
      </w:r>
      <w:r>
        <w:rPr>
          <w:spacing w:val="40"/>
          <w:sz w:val="20"/>
        </w:rPr>
        <w:t> </w:t>
      </w:r>
      <w:r>
        <w:rPr>
          <w:sz w:val="20"/>
        </w:rPr>
        <w:t>versus</w:t>
      </w:r>
      <w:r>
        <w:rPr>
          <w:spacing w:val="40"/>
          <w:sz w:val="20"/>
        </w:rPr>
        <w:t> </w:t>
      </w:r>
      <w:r>
        <w:rPr>
          <w:sz w:val="20"/>
        </w:rPr>
        <w:t>21st-century</w:t>
      </w:r>
      <w:r>
        <w:rPr>
          <w:spacing w:val="40"/>
          <w:sz w:val="20"/>
        </w:rPr>
        <w:t> </w:t>
      </w:r>
      <w:r>
        <w:rPr>
          <w:sz w:val="20"/>
        </w:rPr>
        <w:t>radical</w:t>
      </w:r>
      <w:r>
        <w:rPr>
          <w:spacing w:val="40"/>
          <w:sz w:val="20"/>
        </w:rPr>
        <w:t> </w:t>
      </w:r>
      <w:r>
        <w:rPr>
          <w:sz w:val="20"/>
        </w:rPr>
        <w:t>reimagining.</w:t>
      </w:r>
    </w:p>
    <w:p>
      <w:pPr>
        <w:pStyle w:val="ListParagraph"/>
        <w:numPr>
          <w:ilvl w:val="0"/>
          <w:numId w:val="49"/>
        </w:numPr>
        <w:tabs>
          <w:tab w:pos="2160" w:val="left" w:leader="none"/>
        </w:tabs>
        <w:spacing w:line="261" w:lineRule="auto" w:before="55" w:after="0"/>
        <w:ind w:left="2160" w:right="1438" w:hanging="240"/>
        <w:jc w:val="left"/>
        <w:rPr>
          <w:sz w:val="20"/>
        </w:rPr>
      </w:pPr>
      <w:r>
        <w:rPr>
          <w:sz w:val="20"/>
        </w:rPr>
        <w:t>Key Characters: Ophelia (</w:t>
      </w:r>
      <w:r>
        <w:rPr>
          <w:i/>
          <w:sz w:val="20"/>
        </w:rPr>
        <w:t>Hamlet</w:t>
      </w:r>
      <w:r>
        <w:rPr>
          <w:sz w:val="20"/>
        </w:rPr>
        <w:t>), Lady Macbeth (</w:t>
      </w:r>
      <w:r>
        <w:rPr>
          <w:i/>
          <w:sz w:val="20"/>
        </w:rPr>
        <w:t>Macbeth</w:t>
      </w:r>
      <w:r>
        <w:rPr>
          <w:sz w:val="20"/>
        </w:rPr>
        <w:t>), and Sycorax (</w:t>
      </w:r>
      <w:r>
        <w:rPr>
          <w:i/>
          <w:sz w:val="20"/>
        </w:rPr>
        <w:t>The Tempest</w:t>
      </w:r>
      <w:r>
        <w:rPr>
          <w:sz w:val="20"/>
        </w:rPr>
        <w:t>).</w:t>
      </w:r>
    </w:p>
    <w:p>
      <w:pPr>
        <w:pStyle w:val="ListParagraph"/>
        <w:numPr>
          <w:ilvl w:val="0"/>
          <w:numId w:val="49"/>
        </w:numPr>
        <w:tabs>
          <w:tab w:pos="2160" w:val="left" w:leader="none"/>
        </w:tabs>
        <w:spacing w:line="261" w:lineRule="auto" w:before="58" w:after="0"/>
        <w:ind w:left="2160" w:right="1440" w:hanging="240"/>
        <w:jc w:val="left"/>
        <w:rPr>
          <w:sz w:val="20"/>
        </w:rPr>
      </w:pPr>
      <w:r>
        <w:rPr>
          <w:spacing w:val="-2"/>
          <w:sz w:val="20"/>
        </w:rPr>
        <w:t>Conclusion:</w:t>
      </w:r>
      <w:r>
        <w:rPr>
          <w:spacing w:val="-9"/>
          <w:sz w:val="20"/>
        </w:rPr>
        <w:t> </w:t>
      </w:r>
      <w:r>
        <w:rPr>
          <w:spacing w:val="-2"/>
          <w:sz w:val="20"/>
        </w:rPr>
        <w:t>Radical</w:t>
      </w:r>
      <w:r>
        <w:rPr>
          <w:spacing w:val="-15"/>
          <w:sz w:val="20"/>
        </w:rPr>
        <w:t> </w:t>
      </w:r>
      <w:r>
        <w:rPr>
          <w:spacing w:val="-2"/>
          <w:sz w:val="20"/>
        </w:rPr>
        <w:t>appropriation</w:t>
      </w:r>
      <w:r>
        <w:rPr>
          <w:spacing w:val="-12"/>
          <w:sz w:val="20"/>
        </w:rPr>
        <w:t> </w:t>
      </w:r>
      <w:r>
        <w:rPr>
          <w:spacing w:val="-2"/>
          <w:sz w:val="20"/>
        </w:rPr>
        <w:t>is</w:t>
      </w:r>
      <w:r>
        <w:rPr>
          <w:spacing w:val="-12"/>
          <w:sz w:val="20"/>
        </w:rPr>
        <w:t> </w:t>
      </w:r>
      <w:r>
        <w:rPr>
          <w:spacing w:val="-2"/>
          <w:sz w:val="20"/>
        </w:rPr>
        <w:t>a</w:t>
      </w:r>
      <w:r>
        <w:rPr>
          <w:spacing w:val="-10"/>
          <w:sz w:val="20"/>
        </w:rPr>
        <w:t> </w:t>
      </w:r>
      <w:r>
        <w:rPr>
          <w:spacing w:val="-2"/>
          <w:sz w:val="20"/>
        </w:rPr>
        <w:t>necessary</w:t>
      </w:r>
      <w:r>
        <w:rPr>
          <w:spacing w:val="-16"/>
          <w:sz w:val="20"/>
        </w:rPr>
        <w:t> </w:t>
      </w:r>
      <w:r>
        <w:rPr>
          <w:spacing w:val="-2"/>
          <w:sz w:val="20"/>
        </w:rPr>
        <w:t>tool</w:t>
      </w:r>
      <w:r>
        <w:rPr>
          <w:spacing w:val="-13"/>
          <w:sz w:val="20"/>
        </w:rPr>
        <w:t> </w:t>
      </w:r>
      <w:r>
        <w:rPr>
          <w:spacing w:val="-2"/>
          <w:sz w:val="20"/>
        </w:rPr>
        <w:t>for</w:t>
      </w:r>
      <w:r>
        <w:rPr>
          <w:spacing w:val="-10"/>
          <w:sz w:val="20"/>
        </w:rPr>
        <w:t> </w:t>
      </w:r>
      <w:r>
        <w:rPr>
          <w:spacing w:val="-2"/>
          <w:sz w:val="20"/>
        </w:rPr>
        <w:t>cultural </w:t>
      </w:r>
      <w:r>
        <w:rPr>
          <w:sz w:val="20"/>
        </w:rPr>
        <w:t>survival and moral correction within the literary canon.</w:t>
      </w:r>
    </w:p>
    <w:p>
      <w:pPr>
        <w:pStyle w:val="BodyText"/>
        <w:spacing w:line="249" w:lineRule="auto" w:before="48"/>
        <w:ind w:right="1437" w:firstLine="432"/>
        <w:jc w:val="both"/>
      </w:pPr>
      <w:r>
        <w:rPr>
          <w:b/>
        </w:rPr>
        <w:t>Key Words: </w:t>
      </w:r>
      <w:r>
        <w:rPr/>
        <w:t>Adaptation, Appropriation, Intertextuality, Meta-</w:t>
      </w:r>
      <w:r>
        <w:rPr>
          <w:spacing w:val="-2"/>
        </w:rPr>
        <w:t>Narrative,</w:t>
      </w:r>
      <w:r>
        <w:rPr>
          <w:spacing w:val="-4"/>
        </w:rPr>
        <w:t> </w:t>
      </w:r>
      <w:r>
        <w:rPr>
          <w:spacing w:val="-2"/>
        </w:rPr>
        <w:t>Discursive</w:t>
      </w:r>
      <w:r>
        <w:rPr>
          <w:spacing w:val="-3"/>
        </w:rPr>
        <w:t> </w:t>
      </w:r>
      <w:r>
        <w:rPr>
          <w:spacing w:val="-2"/>
        </w:rPr>
        <w:t>Silence,</w:t>
      </w:r>
      <w:r>
        <w:rPr>
          <w:spacing w:val="-3"/>
        </w:rPr>
        <w:t> </w:t>
      </w:r>
      <w:r>
        <w:rPr>
          <w:spacing w:val="-2"/>
        </w:rPr>
        <w:t>Feminist</w:t>
      </w:r>
      <w:r>
        <w:rPr>
          <w:spacing w:val="-11"/>
        </w:rPr>
        <w:t> </w:t>
      </w:r>
      <w:r>
        <w:rPr>
          <w:spacing w:val="-2"/>
        </w:rPr>
        <w:t>Appropriation, Post-Colonialism, </w:t>
      </w:r>
      <w:r>
        <w:rPr/>
        <w:t>Queer Perspectives, Intersectionality, Corrective Adaptation, Agency, </w:t>
      </w:r>
      <w:r>
        <w:rPr>
          <w:spacing w:val="-4"/>
        </w:rPr>
        <w:t>Interiority, De-centering,</w:t>
      </w:r>
      <w:r>
        <w:rPr/>
        <w:t> </w:t>
      </w:r>
      <w:r>
        <w:rPr>
          <w:spacing w:val="-4"/>
        </w:rPr>
        <w:t>Extraction,</w:t>
      </w:r>
      <w:r>
        <w:rPr>
          <w:spacing w:val="-9"/>
        </w:rPr>
        <w:t> </w:t>
      </w:r>
      <w:r>
        <w:rPr>
          <w:spacing w:val="-4"/>
        </w:rPr>
        <w:t>Archetype,</w:t>
      </w:r>
      <w:r>
        <w:rPr>
          <w:spacing w:val="-8"/>
        </w:rPr>
        <w:t> </w:t>
      </w:r>
      <w:r>
        <w:rPr>
          <w:spacing w:val="-4"/>
        </w:rPr>
        <w:t>Appropriateness,</w:t>
      </w:r>
      <w:r>
        <w:rPr>
          <w:spacing w:val="16"/>
        </w:rPr>
        <w:t> </w:t>
      </w:r>
      <w:r>
        <w:rPr>
          <w:spacing w:val="-4"/>
        </w:rPr>
        <w:t>Cultural </w:t>
      </w:r>
      <w:r>
        <w:rPr/>
        <w:t>Contextualization, Patriarchal Framework, Structural Resistance, The Living</w:t>
      </w:r>
      <w:r>
        <w:rPr>
          <w:spacing w:val="-17"/>
        </w:rPr>
        <w:t> </w:t>
      </w:r>
      <w:r>
        <w:rPr/>
        <w:t>Text</w:t>
      </w:r>
    </w:p>
    <w:p>
      <w:pPr>
        <w:pStyle w:val="Heading3"/>
        <w:spacing w:before="159"/>
      </w:pPr>
      <w:r>
        <w:rPr>
          <w:spacing w:val="-2"/>
          <w:w w:val="95"/>
        </w:rPr>
        <w:t>INTRODUCTION:</w:t>
      </w:r>
    </w:p>
    <w:p>
      <w:pPr>
        <w:pStyle w:val="BodyText"/>
        <w:spacing w:line="249" w:lineRule="auto" w:before="75"/>
        <w:ind w:right="1439" w:firstLine="432"/>
        <w:jc w:val="both"/>
      </w:pPr>
      <w:r>
        <w:rPr/>
        <w:t>The expansion of Shakespearean scholarship into the realm of radical reimagining is not merely about updating costumes or settings;</w:t>
      </w:r>
      <w:r>
        <w:rPr>
          <w:spacing w:val="40"/>
        </w:rPr>
        <w:t> </w:t>
      </w:r>
      <w:r>
        <w:rPr/>
        <w:t>it is an analytical “dissection” of the power structures inherent in the 16th-century text.</w:t>
      </w:r>
    </w:p>
    <w:p>
      <w:pPr>
        <w:pStyle w:val="BodyText"/>
        <w:spacing w:line="249" w:lineRule="auto" w:before="63"/>
        <w:ind w:right="1440" w:firstLine="432"/>
        <w:jc w:val="both"/>
      </w:pPr>
      <w:r>
        <w:rPr/>
        <w:t>To</w:t>
      </w:r>
      <w:r>
        <w:rPr>
          <w:spacing w:val="-1"/>
        </w:rPr>
        <w:t> </w:t>
      </w:r>
      <w:r>
        <w:rPr/>
        <w:t>understand how</w:t>
      </w:r>
      <w:r>
        <w:rPr>
          <w:spacing w:val="-4"/>
        </w:rPr>
        <w:t> </w:t>
      </w:r>
      <w:r>
        <w:rPr/>
        <w:t>this</w:t>
      </w:r>
      <w:r>
        <w:rPr>
          <w:spacing w:val="-1"/>
        </w:rPr>
        <w:t> </w:t>
      </w:r>
      <w:r>
        <w:rPr/>
        <w:t>evolution</w:t>
      </w:r>
      <w:r>
        <w:rPr>
          <w:spacing w:val="-3"/>
        </w:rPr>
        <w:t> </w:t>
      </w:r>
      <w:r>
        <w:rPr/>
        <w:t>functions, we can</w:t>
      </w:r>
      <w:r>
        <w:rPr>
          <w:spacing w:val="-3"/>
        </w:rPr>
        <w:t> </w:t>
      </w:r>
      <w:r>
        <w:rPr/>
        <w:t>break</w:t>
      </w:r>
      <w:r>
        <w:rPr>
          <w:spacing w:val="-1"/>
        </w:rPr>
        <w:t> </w:t>
      </w:r>
      <w:r>
        <w:rPr/>
        <w:t>it</w:t>
      </w:r>
      <w:r>
        <w:rPr>
          <w:spacing w:val="-1"/>
        </w:rPr>
        <w:t> </w:t>
      </w:r>
      <w:r>
        <w:rPr/>
        <w:t>down into the specific lenses through which Shakespeare’s women are being repurposed</w:t>
      </w:r>
      <w:r>
        <w:rPr>
          <w:spacing w:val="40"/>
        </w:rPr>
        <w:t> </w:t>
      </w:r>
      <w:r>
        <w:rPr/>
        <w:t>today.</w:t>
      </w:r>
    </w:p>
    <w:p>
      <w:pPr>
        <w:pStyle w:val="Heading5"/>
        <w:numPr>
          <w:ilvl w:val="0"/>
          <w:numId w:val="50"/>
        </w:numPr>
        <w:tabs>
          <w:tab w:pos="312" w:val="left" w:leader="none"/>
        </w:tabs>
        <w:spacing w:line="240" w:lineRule="auto" w:before="110" w:after="0"/>
        <w:ind w:left="312" w:right="155" w:hanging="312"/>
        <w:jc w:val="center"/>
      </w:pPr>
      <w:r>
        <w:rPr/>
        <w:t>Feminist</w:t>
      </w:r>
      <w:r>
        <w:rPr>
          <w:spacing w:val="28"/>
        </w:rPr>
        <w:t>  </w:t>
      </w:r>
      <w:r>
        <w:rPr/>
        <w:t>Appropriation:</w:t>
      </w:r>
      <w:r>
        <w:rPr>
          <w:spacing w:val="28"/>
        </w:rPr>
        <w:t>  </w:t>
      </w:r>
      <w:r>
        <w:rPr/>
        <w:t>From</w:t>
      </w:r>
      <w:r>
        <w:rPr>
          <w:spacing w:val="29"/>
        </w:rPr>
        <w:t>  </w:t>
      </w:r>
      <w:r>
        <w:rPr/>
        <w:t>Object</w:t>
      </w:r>
      <w:r>
        <w:rPr>
          <w:spacing w:val="28"/>
        </w:rPr>
        <w:t>  </w:t>
      </w:r>
      <w:r>
        <w:rPr/>
        <w:t>to</w:t>
      </w:r>
      <w:r>
        <w:rPr>
          <w:spacing w:val="29"/>
        </w:rPr>
        <w:t>  </w:t>
      </w:r>
      <w:r>
        <w:rPr>
          <w:spacing w:val="-2"/>
        </w:rPr>
        <w:t>Subject</w:t>
      </w:r>
    </w:p>
    <w:p>
      <w:pPr>
        <w:pStyle w:val="BodyText"/>
        <w:spacing w:line="249" w:lineRule="auto" w:before="72"/>
        <w:ind w:right="1442" w:firstLine="432"/>
        <w:jc w:val="both"/>
      </w:pPr>
      <w:r>
        <w:rPr/>
        <w:t>In</w:t>
      </w:r>
      <w:r>
        <w:rPr>
          <w:spacing w:val="-1"/>
        </w:rPr>
        <w:t> </w:t>
      </w:r>
      <w:r>
        <w:rPr/>
        <w:t>the original plays, women</w:t>
      </w:r>
      <w:r>
        <w:rPr>
          <w:spacing w:val="-3"/>
        </w:rPr>
        <w:t> </w:t>
      </w:r>
      <w:r>
        <w:rPr/>
        <w:t>are often</w:t>
      </w:r>
      <w:r>
        <w:rPr>
          <w:spacing w:val="-1"/>
        </w:rPr>
        <w:t> </w:t>
      </w:r>
      <w:r>
        <w:rPr/>
        <w:t>“objects” of</w:t>
      </w:r>
      <w:r>
        <w:rPr>
          <w:spacing w:val="-1"/>
        </w:rPr>
        <w:t> </w:t>
      </w:r>
      <w:r>
        <w:rPr/>
        <w:t>the plot—their primary</w:t>
      </w:r>
      <w:r>
        <w:rPr>
          <w:spacing w:val="12"/>
        </w:rPr>
        <w:t> </w:t>
      </w:r>
      <w:r>
        <w:rPr/>
        <w:t>function</w:t>
      </w:r>
      <w:r>
        <w:rPr>
          <w:spacing w:val="16"/>
        </w:rPr>
        <w:t> </w:t>
      </w:r>
      <w:r>
        <w:rPr/>
        <w:t>is</w:t>
      </w:r>
      <w:r>
        <w:rPr>
          <w:spacing w:val="16"/>
        </w:rPr>
        <w:t> </w:t>
      </w:r>
      <w:r>
        <w:rPr/>
        <w:t>to</w:t>
      </w:r>
      <w:r>
        <w:rPr>
          <w:spacing w:val="18"/>
        </w:rPr>
        <w:t> </w:t>
      </w:r>
      <w:r>
        <w:rPr/>
        <w:t>be</w:t>
      </w:r>
      <w:r>
        <w:rPr>
          <w:spacing w:val="17"/>
        </w:rPr>
        <w:t> </w:t>
      </w:r>
      <w:r>
        <w:rPr/>
        <w:t>married,</w:t>
      </w:r>
      <w:r>
        <w:rPr>
          <w:spacing w:val="18"/>
        </w:rPr>
        <w:t> </w:t>
      </w:r>
      <w:r>
        <w:rPr/>
        <w:t>traded,</w:t>
      </w:r>
      <w:r>
        <w:rPr>
          <w:spacing w:val="20"/>
        </w:rPr>
        <w:t> </w:t>
      </w:r>
      <w:r>
        <w:rPr/>
        <w:t>or</w:t>
      </w:r>
      <w:r>
        <w:rPr>
          <w:spacing w:val="17"/>
        </w:rPr>
        <w:t> </w:t>
      </w:r>
      <w:r>
        <w:rPr/>
        <w:t>to</w:t>
      </w:r>
      <w:r>
        <w:rPr>
          <w:spacing w:val="18"/>
        </w:rPr>
        <w:t> </w:t>
      </w:r>
      <w:r>
        <w:rPr/>
        <w:t>serve</w:t>
      </w:r>
      <w:r>
        <w:rPr>
          <w:spacing w:val="17"/>
        </w:rPr>
        <w:t> </w:t>
      </w:r>
      <w:r>
        <w:rPr/>
        <w:t>as</w:t>
      </w:r>
      <w:r>
        <w:rPr>
          <w:spacing w:val="16"/>
        </w:rPr>
        <w:t> </w:t>
      </w:r>
      <w:r>
        <w:rPr/>
        <w:t>a</w:t>
      </w:r>
      <w:r>
        <w:rPr>
          <w:spacing w:val="16"/>
        </w:rPr>
        <w:t> </w:t>
      </w:r>
      <w:r>
        <w:rPr/>
        <w:t>catalyst</w:t>
      </w:r>
      <w:r>
        <w:rPr>
          <w:spacing w:val="16"/>
        </w:rPr>
        <w:t> </w:t>
      </w:r>
      <w:r>
        <w:rPr/>
        <w:t>for a male hero’s downfall.</w:t>
      </w:r>
    </w:p>
    <w:p>
      <w:pPr>
        <w:pStyle w:val="ListParagraph"/>
        <w:numPr>
          <w:ilvl w:val="1"/>
          <w:numId w:val="50"/>
        </w:numPr>
        <w:tabs>
          <w:tab w:pos="2160" w:val="left" w:leader="none"/>
        </w:tabs>
        <w:spacing w:line="261" w:lineRule="auto" w:before="67" w:after="0"/>
        <w:ind w:left="2160" w:right="1438" w:hanging="240"/>
        <w:jc w:val="both"/>
        <w:rPr>
          <w:sz w:val="20"/>
        </w:rPr>
      </w:pPr>
      <w:r>
        <w:rPr>
          <w:sz w:val="20"/>
        </w:rPr>
        <w:t>The Reclamation of Interiority: Modern adaptations, such as </w:t>
      </w:r>
      <w:r>
        <w:rPr>
          <w:spacing w:val="-2"/>
          <w:sz w:val="20"/>
        </w:rPr>
        <w:t>Margaret</w:t>
      </w:r>
      <w:r>
        <w:rPr>
          <w:spacing w:val="-11"/>
          <w:sz w:val="20"/>
        </w:rPr>
        <w:t> </w:t>
      </w:r>
      <w:r>
        <w:rPr>
          <w:spacing w:val="-2"/>
          <w:sz w:val="20"/>
        </w:rPr>
        <w:t>Atwood’s</w:t>
      </w:r>
      <w:r>
        <w:rPr>
          <w:spacing w:val="-10"/>
          <w:sz w:val="20"/>
        </w:rPr>
        <w:t> </w:t>
      </w:r>
      <w:r>
        <w:rPr>
          <w:i/>
          <w:spacing w:val="-2"/>
          <w:sz w:val="20"/>
        </w:rPr>
        <w:t>The</w:t>
      </w:r>
      <w:r>
        <w:rPr>
          <w:i/>
          <w:spacing w:val="-11"/>
          <w:sz w:val="20"/>
        </w:rPr>
        <w:t> </w:t>
      </w:r>
      <w:r>
        <w:rPr>
          <w:i/>
          <w:spacing w:val="-2"/>
          <w:sz w:val="20"/>
        </w:rPr>
        <w:t>Penelopiad</w:t>
      </w:r>
      <w:r>
        <w:rPr>
          <w:i/>
          <w:spacing w:val="-6"/>
          <w:sz w:val="20"/>
        </w:rPr>
        <w:t> </w:t>
      </w:r>
      <w:r>
        <w:rPr>
          <w:spacing w:val="-2"/>
          <w:sz w:val="20"/>
        </w:rPr>
        <w:t>(though</w:t>
      </w:r>
      <w:r>
        <w:rPr>
          <w:spacing w:val="-9"/>
          <w:sz w:val="20"/>
        </w:rPr>
        <w:t> </w:t>
      </w:r>
      <w:r>
        <w:rPr>
          <w:spacing w:val="-2"/>
          <w:sz w:val="20"/>
        </w:rPr>
        <w:t>Homeric,</w:t>
      </w:r>
      <w:r>
        <w:rPr>
          <w:spacing w:val="-5"/>
          <w:sz w:val="20"/>
        </w:rPr>
        <w:t> </w:t>
      </w:r>
      <w:r>
        <w:rPr>
          <w:spacing w:val="-2"/>
          <w:sz w:val="20"/>
        </w:rPr>
        <w:t>it</w:t>
      </w:r>
      <w:r>
        <w:rPr>
          <w:spacing w:val="-8"/>
          <w:sz w:val="20"/>
        </w:rPr>
        <w:t> </w:t>
      </w:r>
      <w:r>
        <w:rPr>
          <w:spacing w:val="-2"/>
          <w:sz w:val="20"/>
        </w:rPr>
        <w:t>follows </w:t>
      </w:r>
      <w:r>
        <w:rPr>
          <w:sz w:val="20"/>
        </w:rPr>
        <w:t>the Shakespearean adaptation tradition) or Claire McCarthy’s </w:t>
      </w:r>
      <w:r>
        <w:rPr>
          <w:i/>
          <w:sz w:val="20"/>
        </w:rPr>
        <w:t>Ophelia</w:t>
      </w:r>
      <w:r>
        <w:rPr>
          <w:sz w:val="20"/>
        </w:rPr>
        <w:t>, give these women a “voice-over” or a private diary. They transform the</w:t>
      </w:r>
      <w:r>
        <w:rPr>
          <w:spacing w:val="40"/>
          <w:sz w:val="20"/>
        </w:rPr>
        <w:t> </w:t>
      </w:r>
      <w:r>
        <w:rPr>
          <w:sz w:val="20"/>
        </w:rPr>
        <w:t>passive victim into</w:t>
      </w:r>
      <w:r>
        <w:rPr>
          <w:spacing w:val="40"/>
          <w:sz w:val="20"/>
        </w:rPr>
        <w:t> </w:t>
      </w:r>
      <w:r>
        <w:rPr>
          <w:sz w:val="20"/>
        </w:rPr>
        <w:t>an</w:t>
      </w:r>
      <w:r>
        <w:rPr>
          <w:spacing w:val="40"/>
          <w:sz w:val="20"/>
        </w:rPr>
        <w:t> </w:t>
      </w:r>
      <w:r>
        <w:rPr>
          <w:sz w:val="20"/>
        </w:rPr>
        <w:t>active</w:t>
      </w:r>
      <w:r>
        <w:rPr>
          <w:spacing w:val="40"/>
          <w:sz w:val="20"/>
        </w:rPr>
        <w:t> </w:t>
      </w:r>
      <w:r>
        <w:rPr>
          <w:sz w:val="20"/>
        </w:rPr>
        <w:t>narrator.</w:t>
      </w:r>
    </w:p>
    <w:p>
      <w:pPr>
        <w:pStyle w:val="ListParagraph"/>
        <w:numPr>
          <w:ilvl w:val="1"/>
          <w:numId w:val="50"/>
        </w:numPr>
        <w:tabs>
          <w:tab w:pos="2160" w:val="left" w:leader="none"/>
        </w:tabs>
        <w:spacing w:line="261" w:lineRule="auto" w:before="55" w:after="0"/>
        <w:ind w:left="2160" w:right="1439" w:hanging="240"/>
        <w:jc w:val="both"/>
        <w:rPr>
          <w:sz w:val="20"/>
        </w:rPr>
      </w:pPr>
      <w:r>
        <w:rPr>
          <w:sz w:val="20"/>
        </w:rPr>
        <w:t>Deconstructing</w:t>
      </w:r>
      <w:r>
        <w:rPr>
          <w:spacing w:val="-10"/>
          <w:sz w:val="20"/>
        </w:rPr>
        <w:t> </w:t>
      </w:r>
      <w:r>
        <w:rPr>
          <w:sz w:val="20"/>
        </w:rPr>
        <w:t>the</w:t>
      </w:r>
      <w:r>
        <w:rPr>
          <w:spacing w:val="-9"/>
          <w:sz w:val="20"/>
        </w:rPr>
        <w:t> </w:t>
      </w:r>
      <w:r>
        <w:rPr>
          <w:sz w:val="20"/>
        </w:rPr>
        <w:t>“Madwoman”:</w:t>
      </w:r>
      <w:r>
        <w:rPr>
          <w:spacing w:val="-10"/>
          <w:sz w:val="20"/>
        </w:rPr>
        <w:t> </w:t>
      </w:r>
      <w:r>
        <w:rPr>
          <w:sz w:val="20"/>
        </w:rPr>
        <w:t>Reimagining</w:t>
      </w:r>
      <w:r>
        <w:rPr>
          <w:spacing w:val="-10"/>
          <w:sz w:val="20"/>
        </w:rPr>
        <w:t> </w:t>
      </w:r>
      <w:r>
        <w:rPr>
          <w:sz w:val="20"/>
        </w:rPr>
        <w:t>characters</w:t>
      </w:r>
      <w:r>
        <w:rPr>
          <w:spacing w:val="-11"/>
          <w:sz w:val="20"/>
        </w:rPr>
        <w:t> </w:t>
      </w:r>
      <w:r>
        <w:rPr>
          <w:sz w:val="20"/>
        </w:rPr>
        <w:t>like </w:t>
      </w:r>
      <w:r>
        <w:rPr>
          <w:spacing w:val="9"/>
          <w:sz w:val="20"/>
        </w:rPr>
        <w:t>Lady</w:t>
      </w:r>
      <w:r>
        <w:rPr>
          <w:spacing w:val="9"/>
          <w:sz w:val="20"/>
        </w:rPr>
        <w:t> </w:t>
      </w:r>
      <w:r>
        <w:rPr>
          <w:spacing w:val="11"/>
          <w:sz w:val="20"/>
        </w:rPr>
        <w:t>Macbeth</w:t>
      </w:r>
      <w:r>
        <w:rPr>
          <w:spacing w:val="11"/>
          <w:sz w:val="20"/>
        </w:rPr>
        <w:t> </w:t>
      </w:r>
      <w:r>
        <w:rPr>
          <w:sz w:val="20"/>
        </w:rPr>
        <w:t>or </w:t>
      </w:r>
      <w:r>
        <w:rPr>
          <w:spacing w:val="10"/>
          <w:sz w:val="20"/>
        </w:rPr>
        <w:t>Ophelia</w:t>
      </w:r>
      <w:r>
        <w:rPr>
          <w:spacing w:val="10"/>
          <w:sz w:val="20"/>
        </w:rPr>
        <w:t> involves</w:t>
      </w:r>
      <w:r>
        <w:rPr>
          <w:spacing w:val="10"/>
          <w:sz w:val="20"/>
        </w:rPr>
        <w:t> looking</w:t>
      </w:r>
      <w:r>
        <w:rPr>
          <w:spacing w:val="10"/>
          <w:sz w:val="20"/>
        </w:rPr>
        <w:t> </w:t>
      </w:r>
      <w:r>
        <w:rPr>
          <w:sz w:val="20"/>
        </w:rPr>
        <w:t>at </w:t>
      </w:r>
      <w:r>
        <w:rPr>
          <w:spacing w:val="9"/>
          <w:sz w:val="20"/>
        </w:rPr>
        <w:t>their </w:t>
      </w:r>
      <w:r>
        <w:rPr>
          <w:sz w:val="20"/>
        </w:rPr>
        <w:t>psychological distress</w:t>
      </w:r>
      <w:r>
        <w:rPr>
          <w:spacing w:val="-1"/>
          <w:sz w:val="20"/>
        </w:rPr>
        <w:t> </w:t>
      </w:r>
      <w:r>
        <w:rPr>
          <w:sz w:val="20"/>
        </w:rPr>
        <w:t>not as a</w:t>
      </w:r>
      <w:r>
        <w:rPr>
          <w:spacing w:val="-1"/>
          <w:sz w:val="20"/>
        </w:rPr>
        <w:t> </w:t>
      </w:r>
      <w:r>
        <w:rPr>
          <w:sz w:val="20"/>
        </w:rPr>
        <w:t>character flaw, but as</w:t>
      </w:r>
      <w:r>
        <w:rPr>
          <w:spacing w:val="-1"/>
          <w:sz w:val="20"/>
        </w:rPr>
        <w:t> </w:t>
      </w:r>
      <w:r>
        <w:rPr>
          <w:sz w:val="20"/>
        </w:rPr>
        <w:t>a rational response</w:t>
      </w:r>
      <w:r>
        <w:rPr>
          <w:spacing w:val="40"/>
          <w:sz w:val="20"/>
        </w:rPr>
        <w:t> </w:t>
      </w:r>
      <w:r>
        <w:rPr>
          <w:sz w:val="20"/>
        </w:rPr>
        <w:t>to</w:t>
      </w:r>
      <w:r>
        <w:rPr>
          <w:spacing w:val="40"/>
          <w:sz w:val="20"/>
        </w:rPr>
        <w:t> </w:t>
      </w:r>
      <w:r>
        <w:rPr>
          <w:sz w:val="20"/>
        </w:rPr>
        <w:t>a</w:t>
      </w:r>
      <w:r>
        <w:rPr>
          <w:spacing w:val="40"/>
          <w:sz w:val="20"/>
        </w:rPr>
        <w:t> </w:t>
      </w:r>
      <w:r>
        <w:rPr>
          <w:sz w:val="20"/>
        </w:rPr>
        <w:t>suffocating</w:t>
      </w:r>
      <w:r>
        <w:rPr>
          <w:spacing w:val="40"/>
          <w:sz w:val="20"/>
        </w:rPr>
        <w:t> </w:t>
      </w:r>
      <w:r>
        <w:rPr>
          <w:sz w:val="20"/>
        </w:rPr>
        <w:t>patriarchal</w:t>
      </w:r>
      <w:r>
        <w:rPr>
          <w:spacing w:val="40"/>
          <w:sz w:val="20"/>
        </w:rPr>
        <w:t> </w:t>
      </w:r>
      <w:r>
        <w:rPr>
          <w:sz w:val="20"/>
        </w:rPr>
        <w:t>environment.</w:t>
      </w:r>
    </w:p>
    <w:p>
      <w:pPr>
        <w:pStyle w:val="ListParagraph"/>
        <w:spacing w:after="0" w:line="261" w:lineRule="auto"/>
        <w:jc w:val="both"/>
        <w:rPr>
          <w:sz w:val="20"/>
        </w:rPr>
        <w:sectPr>
          <w:type w:val="continuous"/>
          <w:pgSz w:w="12240" w:h="15840"/>
          <w:pgMar w:top="138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80352">
                <wp:simplePos x="0" y="0"/>
                <wp:positionH relativeFrom="page">
                  <wp:posOffset>2065020</wp:posOffset>
                </wp:positionH>
                <wp:positionV relativeFrom="paragraph">
                  <wp:posOffset>795020</wp:posOffset>
                </wp:positionV>
                <wp:extent cx="3657600" cy="12700"/>
                <wp:effectExtent l="0" t="0" r="0" b="0"/>
                <wp:wrapTopAndBottom/>
                <wp:docPr id="541" name="Graphic 541"/>
                <wp:cNvGraphicFramePr>
                  <a:graphicFrameLocks/>
                </wp:cNvGraphicFramePr>
                <a:graphic>
                  <a:graphicData uri="http://schemas.microsoft.com/office/word/2010/wordprocessingShape">
                    <wps:wsp>
                      <wps:cNvPr id="541" name="Graphic 54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36128;mso-wrap-distance-left:0;mso-wrap-distance-right:0" id="docshape536" filled="true" fillcolor="#000000" stroked="false">
                <v:fill type="solid"/>
                <w10:wrap type="topAndBottom"/>
              </v:rect>
            </w:pict>
          </mc:Fallback>
        </mc:AlternateContent>
      </w:r>
      <w:r>
        <w:rPr>
          <w:rFonts w:ascii="Verdana" w:hAnsi="Verdana"/>
          <w:spacing w:val="-2"/>
          <w:sz w:val="18"/>
        </w:rPr>
        <w:t>Reimagining</w:t>
      </w:r>
      <w:r>
        <w:rPr>
          <w:rFonts w:ascii="Verdana" w:hAnsi="Verdana"/>
          <w:spacing w:val="14"/>
          <w:sz w:val="18"/>
        </w:rPr>
        <w:t> </w:t>
      </w:r>
      <w:r>
        <w:rPr>
          <w:rFonts w:ascii="Verdana" w:hAnsi="Verdana"/>
          <w:spacing w:val="-2"/>
          <w:sz w:val="18"/>
        </w:rPr>
        <w:t>Shakespeare’s</w:t>
      </w:r>
      <w:r>
        <w:rPr>
          <w:rFonts w:ascii="Verdana" w:hAnsi="Verdana"/>
          <w:spacing w:val="13"/>
          <w:sz w:val="18"/>
        </w:rPr>
        <w:t> </w:t>
      </w:r>
      <w:r>
        <w:rPr>
          <w:rFonts w:ascii="Verdana" w:hAnsi="Verdana"/>
          <w:spacing w:val="-2"/>
          <w:sz w:val="18"/>
        </w:rPr>
        <w:t>Women:</w:t>
      </w:r>
      <w:r>
        <w:rPr>
          <w:rFonts w:ascii="Verdana" w:hAnsi="Verdana"/>
          <w:spacing w:val="14"/>
          <w:sz w:val="18"/>
        </w:rPr>
        <w:t> </w:t>
      </w:r>
      <w:r>
        <w:rPr>
          <w:rFonts w:ascii="Verdana" w:hAnsi="Verdana"/>
          <w:spacing w:val="-2"/>
          <w:sz w:val="18"/>
        </w:rPr>
        <w:t>Adaptations</w:t>
      </w:r>
      <w:r>
        <w:rPr>
          <w:rFonts w:ascii="Verdana" w:hAnsi="Verdana"/>
          <w:spacing w:val="13"/>
          <w:sz w:val="18"/>
        </w:rPr>
        <w:t> </w:t>
      </w:r>
      <w:r>
        <w:rPr>
          <w:rFonts w:ascii="Verdana" w:hAnsi="Verdana"/>
          <w:spacing w:val="-2"/>
          <w:sz w:val="18"/>
        </w:rPr>
        <w:t>and...</w:t>
      </w:r>
      <w:r>
        <w:rPr>
          <w:sz w:val="18"/>
        </w:rPr>
        <w:tab/>
      </w:r>
      <w:r>
        <w:rPr>
          <w:rFonts w:ascii="Verdana" w:hAnsi="Verdana"/>
          <w:spacing w:val="-5"/>
          <w:sz w:val="18"/>
        </w:rPr>
        <w:t>255</w:t>
      </w:r>
    </w:p>
    <w:p>
      <w:pPr>
        <w:pStyle w:val="Heading5"/>
        <w:numPr>
          <w:ilvl w:val="0"/>
          <w:numId w:val="50"/>
        </w:numPr>
        <w:tabs>
          <w:tab w:pos="1931" w:val="left" w:leader="none"/>
          <w:tab w:pos="3822" w:val="left" w:leader="none"/>
          <w:tab w:pos="5706" w:val="left" w:leader="none"/>
          <w:tab w:pos="6396" w:val="left" w:leader="none"/>
        </w:tabs>
        <w:spacing w:line="244" w:lineRule="auto" w:before="184" w:after="0"/>
        <w:ind w:left="1440" w:right="1437" w:firstLine="0"/>
        <w:jc w:val="left"/>
      </w:pPr>
      <w:r>
        <w:rPr>
          <w:spacing w:val="12"/>
          <w:w w:val="105"/>
        </w:rPr>
        <w:t>Post-Colonial</w:t>
      </w:r>
      <w:r>
        <w:rPr/>
        <w:tab/>
      </w:r>
      <w:r>
        <w:rPr>
          <w:spacing w:val="12"/>
          <w:w w:val="105"/>
        </w:rPr>
        <w:t>Perspectives:</w:t>
      </w:r>
      <w:r>
        <w:rPr/>
        <w:tab/>
      </w:r>
      <w:r>
        <w:rPr>
          <w:spacing w:val="6"/>
          <w:w w:val="105"/>
        </w:rPr>
        <w:t>The</w:t>
      </w:r>
      <w:r>
        <w:rPr/>
        <w:tab/>
      </w:r>
      <w:r>
        <w:rPr>
          <w:spacing w:val="8"/>
          <w:w w:val="105"/>
        </w:rPr>
        <w:t>Global </w:t>
      </w:r>
      <w:r>
        <w:rPr>
          <w:spacing w:val="-2"/>
          <w:w w:val="105"/>
        </w:rPr>
        <w:t>Shakespeare</w:t>
      </w:r>
    </w:p>
    <w:p>
      <w:pPr>
        <w:pStyle w:val="BodyText"/>
        <w:spacing w:line="249" w:lineRule="auto" w:before="68"/>
        <w:ind w:right="1439" w:firstLine="432"/>
        <w:jc w:val="both"/>
      </w:pPr>
      <w:r>
        <w:rPr/>
        <w:t>Appropriation</w:t>
      </w:r>
      <w:r>
        <w:rPr>
          <w:spacing w:val="-9"/>
        </w:rPr>
        <w:t> </w:t>
      </w:r>
      <w:r>
        <w:rPr/>
        <w:t>often</w:t>
      </w:r>
      <w:r>
        <w:rPr>
          <w:spacing w:val="-7"/>
        </w:rPr>
        <w:t> </w:t>
      </w:r>
      <w:r>
        <w:rPr/>
        <w:t>involves</w:t>
      </w:r>
      <w:r>
        <w:rPr>
          <w:spacing w:val="-9"/>
        </w:rPr>
        <w:t> </w:t>
      </w:r>
      <w:r>
        <w:rPr/>
        <w:t>“Writing</w:t>
      </w:r>
      <w:r>
        <w:rPr>
          <w:spacing w:val="-9"/>
        </w:rPr>
        <w:t> </w:t>
      </w:r>
      <w:r>
        <w:rPr/>
        <w:t>Back”</w:t>
      </w:r>
      <w:r>
        <w:rPr>
          <w:spacing w:val="-6"/>
        </w:rPr>
        <w:t> </w:t>
      </w:r>
      <w:r>
        <w:rPr/>
        <w:t>to</w:t>
      </w:r>
      <w:r>
        <w:rPr>
          <w:spacing w:val="-7"/>
        </w:rPr>
        <w:t> </w:t>
      </w:r>
      <w:r>
        <w:rPr/>
        <w:t>the</w:t>
      </w:r>
      <w:r>
        <w:rPr>
          <w:spacing w:val="-7"/>
        </w:rPr>
        <w:t> </w:t>
      </w:r>
      <w:r>
        <w:rPr/>
        <w:t>Empire.</w:t>
      </w:r>
      <w:r>
        <w:rPr>
          <w:spacing w:val="-10"/>
        </w:rPr>
        <w:t> </w:t>
      </w:r>
      <w:r>
        <w:rPr/>
        <w:t>When Shakespeare’s women are reimagined in a post-colonial context, the stakes</w:t>
      </w:r>
      <w:r>
        <w:rPr>
          <w:spacing w:val="40"/>
        </w:rPr>
        <w:t> </w:t>
      </w:r>
      <w:r>
        <w:rPr/>
        <w:t>of gender</w:t>
      </w:r>
      <w:r>
        <w:rPr>
          <w:spacing w:val="40"/>
        </w:rPr>
        <w:t> </w:t>
      </w:r>
      <w:r>
        <w:rPr/>
        <w:t>are multiplied</w:t>
      </w:r>
      <w:r>
        <w:rPr>
          <w:spacing w:val="40"/>
        </w:rPr>
        <w:t> </w:t>
      </w:r>
      <w:r>
        <w:rPr/>
        <w:t>by race</w:t>
      </w:r>
      <w:r>
        <w:rPr>
          <w:spacing w:val="40"/>
        </w:rPr>
        <w:t> </w:t>
      </w:r>
      <w:r>
        <w:rPr/>
        <w:t>and</w:t>
      </w:r>
      <w:r>
        <w:rPr>
          <w:spacing w:val="40"/>
        </w:rPr>
        <w:t> </w:t>
      </w:r>
      <w:r>
        <w:rPr/>
        <w:t>class.</w:t>
      </w:r>
    </w:p>
    <w:p>
      <w:pPr>
        <w:pStyle w:val="ListParagraph"/>
        <w:numPr>
          <w:ilvl w:val="1"/>
          <w:numId w:val="50"/>
        </w:numPr>
        <w:tabs>
          <w:tab w:pos="2160" w:val="left" w:leader="none"/>
        </w:tabs>
        <w:spacing w:line="261" w:lineRule="auto" w:before="67" w:after="0"/>
        <w:ind w:left="2160" w:right="1438" w:hanging="240"/>
        <w:jc w:val="both"/>
        <w:rPr>
          <w:sz w:val="20"/>
        </w:rPr>
      </w:pPr>
      <w:r>
        <w:rPr>
          <w:sz w:val="20"/>
        </w:rPr>
        <w:t>Sycorax and Caliban’s Mother: In </w:t>
      </w:r>
      <w:r>
        <w:rPr>
          <w:i/>
          <w:sz w:val="20"/>
        </w:rPr>
        <w:t>The Tempest</w:t>
      </w:r>
      <w:r>
        <w:rPr>
          <w:sz w:val="20"/>
        </w:rPr>
        <w:t>, Sycorax is a “blue-eyed hag” who never appears. Post-colonial adaptations (like those by</w:t>
      </w:r>
      <w:r>
        <w:rPr>
          <w:spacing w:val="-3"/>
          <w:sz w:val="20"/>
        </w:rPr>
        <w:t> </w:t>
      </w:r>
      <w:r>
        <w:rPr>
          <w:sz w:val="20"/>
        </w:rPr>
        <w:t>Kamau Brathwaite) reimagine her as</w:t>
      </w:r>
      <w:r>
        <w:rPr>
          <w:spacing w:val="-1"/>
          <w:sz w:val="20"/>
        </w:rPr>
        <w:t> </w:t>
      </w:r>
      <w:r>
        <w:rPr>
          <w:sz w:val="20"/>
        </w:rPr>
        <w:t>a powerful symbol of indigenous spirituality and resistance against Prospero’s colonial magic.</w:t>
      </w:r>
    </w:p>
    <w:p>
      <w:pPr>
        <w:pStyle w:val="ListParagraph"/>
        <w:numPr>
          <w:ilvl w:val="1"/>
          <w:numId w:val="50"/>
        </w:numPr>
        <w:tabs>
          <w:tab w:pos="2160" w:val="left" w:leader="none"/>
        </w:tabs>
        <w:spacing w:line="261" w:lineRule="auto" w:before="54" w:after="0"/>
        <w:ind w:left="2160" w:right="1437" w:hanging="240"/>
        <w:jc w:val="both"/>
        <w:rPr>
          <w:sz w:val="20"/>
        </w:rPr>
      </w:pPr>
      <w:r>
        <w:rPr>
          <w:spacing w:val="-2"/>
          <w:sz w:val="20"/>
        </w:rPr>
        <w:t>Cross-Cultural Transposition: Filmmakers like</w:t>
      </w:r>
      <w:r>
        <w:rPr>
          <w:spacing w:val="-8"/>
          <w:sz w:val="20"/>
        </w:rPr>
        <w:t> </w:t>
      </w:r>
      <w:r>
        <w:rPr>
          <w:spacing w:val="-2"/>
          <w:sz w:val="20"/>
        </w:rPr>
        <w:t>Akira Kurosawa </w:t>
      </w:r>
      <w:r>
        <w:rPr>
          <w:sz w:val="20"/>
        </w:rPr>
        <w:t>(</w:t>
      </w:r>
      <w:r>
        <w:rPr>
          <w:i/>
          <w:sz w:val="20"/>
        </w:rPr>
        <w:t>Ran</w:t>
      </w:r>
      <w:r>
        <w:rPr>
          <w:sz w:val="20"/>
        </w:rPr>
        <w:t>) or Vishal Bhardwaj (</w:t>
      </w:r>
      <w:r>
        <w:rPr>
          <w:i/>
          <w:sz w:val="20"/>
        </w:rPr>
        <w:t>Omkara</w:t>
      </w:r>
      <w:r>
        <w:rPr>
          <w:sz w:val="20"/>
        </w:rPr>
        <w:t>) take the archetypes of Shakespearean</w:t>
      </w:r>
      <w:r>
        <w:rPr>
          <w:spacing w:val="-10"/>
          <w:sz w:val="20"/>
        </w:rPr>
        <w:t> </w:t>
      </w:r>
      <w:r>
        <w:rPr>
          <w:sz w:val="20"/>
        </w:rPr>
        <w:t>women</w:t>
      </w:r>
      <w:r>
        <w:rPr>
          <w:spacing w:val="-10"/>
          <w:sz w:val="20"/>
        </w:rPr>
        <w:t> </w:t>
      </w:r>
      <w:r>
        <w:rPr>
          <w:sz w:val="20"/>
        </w:rPr>
        <w:t>and</w:t>
      </w:r>
      <w:r>
        <w:rPr>
          <w:spacing w:val="-5"/>
          <w:sz w:val="20"/>
        </w:rPr>
        <w:t> </w:t>
      </w:r>
      <w:r>
        <w:rPr>
          <w:sz w:val="20"/>
        </w:rPr>
        <w:t>embed</w:t>
      </w:r>
      <w:r>
        <w:rPr>
          <w:spacing w:val="-8"/>
          <w:sz w:val="20"/>
        </w:rPr>
        <w:t> </w:t>
      </w:r>
      <w:r>
        <w:rPr>
          <w:sz w:val="20"/>
        </w:rPr>
        <w:t>them</w:t>
      </w:r>
      <w:r>
        <w:rPr>
          <w:spacing w:val="-11"/>
          <w:sz w:val="20"/>
        </w:rPr>
        <w:t> </w:t>
      </w:r>
      <w:r>
        <w:rPr>
          <w:sz w:val="20"/>
        </w:rPr>
        <w:t>into</w:t>
      </w:r>
      <w:r>
        <w:rPr>
          <w:spacing w:val="-6"/>
          <w:sz w:val="20"/>
        </w:rPr>
        <w:t> </w:t>
      </w:r>
      <w:r>
        <w:rPr>
          <w:sz w:val="20"/>
        </w:rPr>
        <w:t>the</w:t>
      </w:r>
      <w:r>
        <w:rPr>
          <w:spacing w:val="-8"/>
          <w:sz w:val="20"/>
        </w:rPr>
        <w:t> </w:t>
      </w:r>
      <w:r>
        <w:rPr>
          <w:sz w:val="20"/>
        </w:rPr>
        <w:t>specific</w:t>
      </w:r>
      <w:r>
        <w:rPr>
          <w:spacing w:val="-9"/>
          <w:sz w:val="20"/>
        </w:rPr>
        <w:t> </w:t>
      </w:r>
      <w:r>
        <w:rPr>
          <w:sz w:val="20"/>
        </w:rPr>
        <w:t>socio-political hierarchies of Japan or India, proving that the “appropriateness” of these characters is often universal once the</w:t>
      </w:r>
      <w:r>
        <w:rPr>
          <w:spacing w:val="40"/>
          <w:sz w:val="20"/>
        </w:rPr>
        <w:t> </w:t>
      </w:r>
      <w:r>
        <w:rPr>
          <w:sz w:val="20"/>
        </w:rPr>
        <w:t>Western</w:t>
      </w:r>
      <w:r>
        <w:rPr>
          <w:spacing w:val="40"/>
          <w:sz w:val="20"/>
        </w:rPr>
        <w:t> </w:t>
      </w:r>
      <w:r>
        <w:rPr>
          <w:sz w:val="20"/>
        </w:rPr>
        <w:t>bias</w:t>
      </w:r>
      <w:r>
        <w:rPr>
          <w:spacing w:val="40"/>
          <w:sz w:val="20"/>
        </w:rPr>
        <w:t> </w:t>
      </w:r>
      <w:r>
        <w:rPr>
          <w:sz w:val="20"/>
        </w:rPr>
        <w:t>is</w:t>
      </w:r>
      <w:r>
        <w:rPr>
          <w:spacing w:val="40"/>
          <w:sz w:val="20"/>
        </w:rPr>
        <w:t> </w:t>
      </w:r>
      <w:r>
        <w:rPr>
          <w:sz w:val="20"/>
        </w:rPr>
        <w:t>removed.</w:t>
      </w:r>
    </w:p>
    <w:p>
      <w:pPr>
        <w:pStyle w:val="Heading5"/>
        <w:numPr>
          <w:ilvl w:val="0"/>
          <w:numId w:val="50"/>
        </w:numPr>
        <w:tabs>
          <w:tab w:pos="1756" w:val="left" w:leader="none"/>
        </w:tabs>
        <w:spacing w:line="240" w:lineRule="auto" w:before="96" w:after="0"/>
        <w:ind w:left="1756" w:right="0" w:hanging="316"/>
        <w:jc w:val="left"/>
      </w:pPr>
      <w:r>
        <w:rPr>
          <w:w w:val="105"/>
        </w:rPr>
        <w:t>Queer</w:t>
      </w:r>
      <w:r>
        <w:rPr>
          <w:spacing w:val="25"/>
          <w:w w:val="105"/>
        </w:rPr>
        <w:t>  </w:t>
      </w:r>
      <w:r>
        <w:rPr>
          <w:w w:val="105"/>
        </w:rPr>
        <w:t>Perspectives:</w:t>
      </w:r>
      <w:r>
        <w:rPr>
          <w:spacing w:val="27"/>
          <w:w w:val="105"/>
        </w:rPr>
        <w:t>  </w:t>
      </w:r>
      <w:r>
        <w:rPr>
          <w:w w:val="105"/>
        </w:rPr>
        <w:t>Destabilizing</w:t>
      </w:r>
      <w:r>
        <w:rPr>
          <w:spacing w:val="26"/>
          <w:w w:val="105"/>
        </w:rPr>
        <w:t>  </w:t>
      </w:r>
      <w:r>
        <w:rPr>
          <w:spacing w:val="-2"/>
          <w:w w:val="105"/>
        </w:rPr>
        <w:t>Gender</w:t>
      </w:r>
    </w:p>
    <w:p>
      <w:pPr>
        <w:pStyle w:val="BodyText"/>
        <w:spacing w:line="249" w:lineRule="auto" w:before="72"/>
        <w:ind w:right="1437" w:firstLine="432"/>
        <w:jc w:val="both"/>
      </w:pPr>
      <w:r>
        <w:rPr/>
        <w:t>Shakespeare’s</w:t>
      </w:r>
      <w:r>
        <w:rPr>
          <w:spacing w:val="-10"/>
        </w:rPr>
        <w:t> </w:t>
      </w:r>
      <w:r>
        <w:rPr/>
        <w:t>own</w:t>
      </w:r>
      <w:r>
        <w:rPr>
          <w:spacing w:val="-10"/>
        </w:rPr>
        <w:t> </w:t>
      </w:r>
      <w:r>
        <w:rPr/>
        <w:t>stage</w:t>
      </w:r>
      <w:r>
        <w:rPr>
          <w:spacing w:val="-12"/>
        </w:rPr>
        <w:t> </w:t>
      </w:r>
      <w:r>
        <w:rPr/>
        <w:t>was</w:t>
      </w:r>
      <w:r>
        <w:rPr>
          <w:spacing w:val="-10"/>
        </w:rPr>
        <w:t> </w:t>
      </w:r>
      <w:r>
        <w:rPr/>
        <w:t>a</w:t>
      </w:r>
      <w:r>
        <w:rPr>
          <w:spacing w:val="-9"/>
        </w:rPr>
        <w:t> </w:t>
      </w:r>
      <w:r>
        <w:rPr/>
        <w:t>site</w:t>
      </w:r>
      <w:r>
        <w:rPr>
          <w:spacing w:val="-9"/>
        </w:rPr>
        <w:t> </w:t>
      </w:r>
      <w:r>
        <w:rPr/>
        <w:t>of</w:t>
      </w:r>
      <w:r>
        <w:rPr>
          <w:spacing w:val="-10"/>
        </w:rPr>
        <w:t> </w:t>
      </w:r>
      <w:r>
        <w:rPr/>
        <w:t>gender</w:t>
      </w:r>
      <w:r>
        <w:rPr>
          <w:spacing w:val="-10"/>
        </w:rPr>
        <w:t> </w:t>
      </w:r>
      <w:r>
        <w:rPr/>
        <w:t>fluidity</w:t>
      </w:r>
      <w:r>
        <w:rPr>
          <w:spacing w:val="-12"/>
        </w:rPr>
        <w:t> </w:t>
      </w:r>
      <w:r>
        <w:rPr/>
        <w:t>(men</w:t>
      </w:r>
      <w:r>
        <w:rPr>
          <w:spacing w:val="-10"/>
        </w:rPr>
        <w:t> </w:t>
      </w:r>
      <w:r>
        <w:rPr/>
        <w:t>playing women). Modern “radical reimagining” takes this a step further by making the subtext explicit.</w:t>
      </w:r>
    </w:p>
    <w:p>
      <w:pPr>
        <w:pStyle w:val="ListParagraph"/>
        <w:numPr>
          <w:ilvl w:val="1"/>
          <w:numId w:val="50"/>
        </w:numPr>
        <w:tabs>
          <w:tab w:pos="2160" w:val="left" w:leader="none"/>
        </w:tabs>
        <w:spacing w:line="261" w:lineRule="auto" w:before="70" w:after="0"/>
        <w:ind w:left="2160" w:right="1438" w:hanging="240"/>
        <w:jc w:val="both"/>
        <w:rPr>
          <w:sz w:val="20"/>
        </w:rPr>
      </w:pPr>
      <w:r>
        <w:rPr>
          <w:sz w:val="20"/>
        </w:rPr>
        <w:t>Gender-Flipping:</w:t>
      </w:r>
      <w:r>
        <w:rPr>
          <w:spacing w:val="-2"/>
          <w:sz w:val="20"/>
        </w:rPr>
        <w:t> </w:t>
      </w:r>
      <w:r>
        <w:rPr>
          <w:sz w:val="20"/>
        </w:rPr>
        <w:t>Casting a</w:t>
      </w:r>
      <w:r>
        <w:rPr>
          <w:spacing w:val="-2"/>
          <w:sz w:val="20"/>
        </w:rPr>
        <w:t> </w:t>
      </w:r>
      <w:r>
        <w:rPr>
          <w:sz w:val="20"/>
        </w:rPr>
        <w:t>woman as</w:t>
      </w:r>
      <w:r>
        <w:rPr>
          <w:spacing w:val="-2"/>
          <w:sz w:val="20"/>
        </w:rPr>
        <w:t> </w:t>
      </w:r>
      <w:r>
        <w:rPr>
          <w:sz w:val="20"/>
        </w:rPr>
        <w:t>Prospero (</w:t>
      </w:r>
      <w:r>
        <w:rPr>
          <w:i/>
          <w:sz w:val="20"/>
        </w:rPr>
        <w:t>The Tempest</w:t>
      </w:r>
      <w:r>
        <w:rPr>
          <w:sz w:val="20"/>
        </w:rPr>
        <w:t>) or a male as Rosalind (</w:t>
      </w:r>
      <w:r>
        <w:rPr>
          <w:i/>
          <w:sz w:val="20"/>
        </w:rPr>
        <w:t>As You Like It</w:t>
      </w:r>
      <w:r>
        <w:rPr>
          <w:sz w:val="20"/>
        </w:rPr>
        <w:t>) isn’t just a gimmick; it forces the audience to question if “femininity” is a biological reality or a</w:t>
      </w:r>
      <w:r>
        <w:rPr>
          <w:spacing w:val="40"/>
          <w:sz w:val="20"/>
        </w:rPr>
        <w:t> </w:t>
      </w:r>
      <w:r>
        <w:rPr>
          <w:sz w:val="20"/>
        </w:rPr>
        <w:t>performance dictated</w:t>
      </w:r>
      <w:r>
        <w:rPr>
          <w:spacing w:val="40"/>
          <w:sz w:val="20"/>
        </w:rPr>
        <w:t> </w:t>
      </w:r>
      <w:r>
        <w:rPr>
          <w:sz w:val="20"/>
        </w:rPr>
        <w:t>by the script.</w:t>
      </w:r>
    </w:p>
    <w:p>
      <w:pPr>
        <w:pStyle w:val="ListParagraph"/>
        <w:numPr>
          <w:ilvl w:val="1"/>
          <w:numId w:val="50"/>
        </w:numPr>
        <w:tabs>
          <w:tab w:pos="2160" w:val="left" w:leader="none"/>
        </w:tabs>
        <w:spacing w:line="261" w:lineRule="auto" w:before="53" w:after="0"/>
        <w:ind w:left="2160" w:right="1440" w:hanging="240"/>
        <w:jc w:val="both"/>
        <w:rPr>
          <w:sz w:val="20"/>
        </w:rPr>
      </w:pPr>
      <w:r>
        <w:rPr>
          <w:sz w:val="20"/>
        </w:rPr>
        <w:t>Erasure of Heteronormativity: Adaptations might explore the queer</w:t>
      </w:r>
      <w:r>
        <w:rPr>
          <w:spacing w:val="-4"/>
          <w:sz w:val="20"/>
        </w:rPr>
        <w:t> </w:t>
      </w:r>
      <w:r>
        <w:rPr>
          <w:sz w:val="20"/>
        </w:rPr>
        <w:t>potential</w:t>
      </w:r>
      <w:r>
        <w:rPr>
          <w:spacing w:val="-8"/>
          <w:sz w:val="20"/>
        </w:rPr>
        <w:t> </w:t>
      </w:r>
      <w:r>
        <w:rPr>
          <w:sz w:val="20"/>
        </w:rPr>
        <w:t>in</w:t>
      </w:r>
      <w:r>
        <w:rPr>
          <w:spacing w:val="-6"/>
          <w:sz w:val="20"/>
        </w:rPr>
        <w:t> </w:t>
      </w:r>
      <w:r>
        <w:rPr>
          <w:sz w:val="20"/>
        </w:rPr>
        <w:t>the</w:t>
      </w:r>
      <w:r>
        <w:rPr>
          <w:spacing w:val="-4"/>
          <w:sz w:val="20"/>
        </w:rPr>
        <w:t> </w:t>
      </w:r>
      <w:r>
        <w:rPr>
          <w:sz w:val="20"/>
        </w:rPr>
        <w:t>bond</w:t>
      </w:r>
      <w:r>
        <w:rPr>
          <w:spacing w:val="-4"/>
          <w:sz w:val="20"/>
        </w:rPr>
        <w:t> </w:t>
      </w:r>
      <w:r>
        <w:rPr>
          <w:sz w:val="20"/>
        </w:rPr>
        <w:t>between</w:t>
      </w:r>
      <w:r>
        <w:rPr>
          <w:spacing w:val="-6"/>
          <w:sz w:val="20"/>
        </w:rPr>
        <w:t> </w:t>
      </w:r>
      <w:r>
        <w:rPr>
          <w:sz w:val="20"/>
        </w:rPr>
        <w:t>Emilia</w:t>
      </w:r>
      <w:r>
        <w:rPr>
          <w:spacing w:val="-4"/>
          <w:sz w:val="20"/>
        </w:rPr>
        <w:t> </w:t>
      </w:r>
      <w:r>
        <w:rPr>
          <w:sz w:val="20"/>
        </w:rPr>
        <w:t>and</w:t>
      </w:r>
      <w:r>
        <w:rPr>
          <w:spacing w:val="-6"/>
          <w:sz w:val="20"/>
        </w:rPr>
        <w:t> </w:t>
      </w:r>
      <w:r>
        <w:rPr>
          <w:sz w:val="20"/>
        </w:rPr>
        <w:t>Desdemona,</w:t>
      </w:r>
      <w:r>
        <w:rPr>
          <w:spacing w:val="-4"/>
          <w:sz w:val="20"/>
        </w:rPr>
        <w:t> </w:t>
      </w:r>
      <w:r>
        <w:rPr>
          <w:sz w:val="20"/>
        </w:rPr>
        <w:t>or reimagine the “forced” marriages at the end of comedies as moments of compromise rather than “happily ever after.”</w:t>
      </w:r>
    </w:p>
    <w:p>
      <w:pPr>
        <w:pStyle w:val="Heading5"/>
        <w:numPr>
          <w:ilvl w:val="0"/>
          <w:numId w:val="50"/>
        </w:numPr>
        <w:tabs>
          <w:tab w:pos="1747" w:val="left" w:leader="none"/>
        </w:tabs>
        <w:spacing w:line="240" w:lineRule="auto" w:before="98" w:after="0"/>
        <w:ind w:left="1747" w:right="0" w:hanging="307"/>
        <w:jc w:val="left"/>
      </w:pPr>
      <w:r>
        <w:rPr/>
        <w:t>The</w:t>
      </w:r>
      <w:r>
        <w:rPr>
          <w:spacing w:val="79"/>
        </w:rPr>
        <w:t> </w:t>
      </w:r>
      <w:r>
        <w:rPr/>
        <w:t>Ethics</w:t>
      </w:r>
      <w:r>
        <w:rPr>
          <w:spacing w:val="75"/>
        </w:rPr>
        <w:t> </w:t>
      </w:r>
      <w:r>
        <w:rPr/>
        <w:t>of</w:t>
      </w:r>
      <w:r>
        <w:rPr>
          <w:spacing w:val="57"/>
          <w:w w:val="150"/>
        </w:rPr>
        <w:t> </w:t>
      </w:r>
      <w:r>
        <w:rPr>
          <w:spacing w:val="-2"/>
        </w:rPr>
        <w:t>“Appropriateness”</w:t>
      </w:r>
    </w:p>
    <w:p>
      <w:pPr>
        <w:pStyle w:val="BodyText"/>
        <w:spacing w:line="249" w:lineRule="auto" w:before="72"/>
        <w:ind w:right="1439" w:firstLine="432"/>
        <w:jc w:val="both"/>
      </w:pPr>
      <w:r>
        <w:rPr/>
        <w:t>The debate over “appropriateness” usually centers on two conflicting views:</w:t>
      </w:r>
    </w:p>
    <w:p>
      <w:pPr>
        <w:pStyle w:val="BodyText"/>
        <w:ind w:left="0"/>
        <w:rPr>
          <w:sz w:val="6"/>
        </w:rPr>
      </w:pPr>
    </w:p>
    <w:tbl>
      <w:tblPr>
        <w:tblW w:w="0" w:type="auto"/>
        <w:jc w:val="left"/>
        <w:tblInd w:w="1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76"/>
        <w:gridCol w:w="1471"/>
        <w:gridCol w:w="2686"/>
      </w:tblGrid>
      <w:tr>
        <w:trPr>
          <w:trHeight w:val="173" w:hRule="atLeast"/>
        </w:trPr>
        <w:tc>
          <w:tcPr>
            <w:tcW w:w="1376" w:type="dxa"/>
            <w:tcBorders>
              <w:bottom w:val="single" w:sz="4" w:space="0" w:color="000000"/>
              <w:right w:val="single" w:sz="4" w:space="0" w:color="000000"/>
            </w:tcBorders>
          </w:tcPr>
          <w:p>
            <w:pPr>
              <w:pStyle w:val="TableParagraph"/>
              <w:spacing w:line="151" w:lineRule="exact" w:before="2"/>
              <w:ind w:left="70"/>
              <w:rPr>
                <w:b/>
                <w:sz w:val="15"/>
              </w:rPr>
            </w:pPr>
            <w:r>
              <w:rPr>
                <w:b/>
                <w:spacing w:val="-2"/>
                <w:w w:val="105"/>
                <w:sz w:val="15"/>
              </w:rPr>
              <w:t>Viewpoint</w:t>
            </w:r>
          </w:p>
        </w:tc>
        <w:tc>
          <w:tcPr>
            <w:tcW w:w="1471" w:type="dxa"/>
            <w:tcBorders>
              <w:left w:val="single" w:sz="4" w:space="0" w:color="000000"/>
              <w:bottom w:val="single" w:sz="4" w:space="0" w:color="000000"/>
              <w:right w:val="single" w:sz="4" w:space="0" w:color="000000"/>
            </w:tcBorders>
          </w:tcPr>
          <w:p>
            <w:pPr>
              <w:pStyle w:val="TableParagraph"/>
              <w:spacing w:line="151" w:lineRule="exact" w:before="2"/>
              <w:ind w:left="72"/>
              <w:rPr>
                <w:b/>
                <w:sz w:val="15"/>
              </w:rPr>
            </w:pPr>
            <w:r>
              <w:rPr>
                <w:b/>
                <w:w w:val="105"/>
                <w:sz w:val="15"/>
              </w:rPr>
              <w:t>Core</w:t>
            </w:r>
            <w:r>
              <w:rPr>
                <w:b/>
                <w:spacing w:val="-6"/>
                <w:w w:val="105"/>
                <w:sz w:val="15"/>
              </w:rPr>
              <w:t> </w:t>
            </w:r>
            <w:r>
              <w:rPr>
                <w:b/>
                <w:spacing w:val="-2"/>
                <w:w w:val="105"/>
                <w:sz w:val="15"/>
              </w:rPr>
              <w:t>Argument</w:t>
            </w:r>
          </w:p>
        </w:tc>
        <w:tc>
          <w:tcPr>
            <w:tcW w:w="2686" w:type="dxa"/>
            <w:tcBorders>
              <w:left w:val="single" w:sz="4" w:space="0" w:color="000000"/>
              <w:bottom w:val="single" w:sz="4" w:space="0" w:color="000000"/>
              <w:right w:val="single" w:sz="4" w:space="0" w:color="000000"/>
            </w:tcBorders>
          </w:tcPr>
          <w:p>
            <w:pPr>
              <w:pStyle w:val="TableParagraph"/>
              <w:spacing w:line="151" w:lineRule="exact" w:before="2"/>
              <w:ind w:left="72"/>
              <w:rPr>
                <w:b/>
                <w:sz w:val="15"/>
              </w:rPr>
            </w:pPr>
            <w:r>
              <w:rPr>
                <w:b/>
                <w:w w:val="105"/>
                <w:sz w:val="15"/>
              </w:rPr>
              <w:t>Perspective</w:t>
            </w:r>
            <w:r>
              <w:rPr>
                <w:b/>
                <w:spacing w:val="-7"/>
                <w:w w:val="105"/>
                <w:sz w:val="15"/>
              </w:rPr>
              <w:t> </w:t>
            </w:r>
            <w:r>
              <w:rPr>
                <w:b/>
                <w:w w:val="105"/>
                <w:sz w:val="15"/>
              </w:rPr>
              <w:t>on</w:t>
            </w:r>
            <w:r>
              <w:rPr>
                <w:b/>
                <w:spacing w:val="-6"/>
                <w:w w:val="105"/>
                <w:sz w:val="15"/>
              </w:rPr>
              <w:t> </w:t>
            </w:r>
            <w:r>
              <w:rPr>
                <w:b/>
                <w:spacing w:val="-2"/>
                <w:w w:val="105"/>
                <w:sz w:val="15"/>
              </w:rPr>
              <w:t>Adaptation</w:t>
            </w:r>
          </w:p>
        </w:tc>
      </w:tr>
      <w:tr>
        <w:trPr>
          <w:trHeight w:val="354" w:hRule="atLeast"/>
        </w:trPr>
        <w:tc>
          <w:tcPr>
            <w:tcW w:w="1376" w:type="dxa"/>
            <w:tcBorders>
              <w:top w:val="single" w:sz="4" w:space="0" w:color="000000"/>
              <w:right w:val="single" w:sz="4" w:space="0" w:color="000000"/>
            </w:tcBorders>
          </w:tcPr>
          <w:p>
            <w:pPr>
              <w:pStyle w:val="TableParagraph"/>
              <w:spacing w:before="3"/>
              <w:ind w:left="70"/>
              <w:rPr>
                <w:b/>
                <w:sz w:val="15"/>
              </w:rPr>
            </w:pPr>
            <w:r>
              <w:rPr>
                <w:b/>
                <w:w w:val="105"/>
                <w:sz w:val="15"/>
              </w:rPr>
              <w:t>The</w:t>
            </w:r>
            <w:r>
              <w:rPr>
                <w:b/>
                <w:spacing w:val="-4"/>
                <w:w w:val="105"/>
                <w:sz w:val="15"/>
              </w:rPr>
              <w:t> </w:t>
            </w:r>
            <w:r>
              <w:rPr>
                <w:b/>
                <w:spacing w:val="-2"/>
                <w:w w:val="105"/>
                <w:sz w:val="15"/>
              </w:rPr>
              <w:t>Traditionalist</w:t>
            </w:r>
          </w:p>
        </w:tc>
        <w:tc>
          <w:tcPr>
            <w:tcW w:w="1471" w:type="dxa"/>
            <w:tcBorders>
              <w:top w:val="single" w:sz="4" w:space="0" w:color="000000"/>
              <w:left w:val="single" w:sz="4" w:space="0" w:color="000000"/>
              <w:right w:val="single" w:sz="4" w:space="0" w:color="000000"/>
            </w:tcBorders>
          </w:tcPr>
          <w:p>
            <w:pPr>
              <w:pStyle w:val="TableParagraph"/>
              <w:spacing w:before="1"/>
              <w:ind w:left="72"/>
              <w:rPr>
                <w:sz w:val="15"/>
              </w:rPr>
            </w:pPr>
            <w:r>
              <w:rPr>
                <w:w w:val="105"/>
                <w:sz w:val="15"/>
              </w:rPr>
              <w:t>The</w:t>
            </w:r>
            <w:r>
              <w:rPr>
                <w:spacing w:val="46"/>
                <w:w w:val="105"/>
                <w:sz w:val="15"/>
              </w:rPr>
              <w:t> </w:t>
            </w:r>
            <w:r>
              <w:rPr>
                <w:w w:val="105"/>
                <w:sz w:val="15"/>
              </w:rPr>
              <w:t>"intent"</w:t>
            </w:r>
            <w:r>
              <w:rPr>
                <w:spacing w:val="49"/>
                <w:w w:val="105"/>
                <w:sz w:val="15"/>
              </w:rPr>
              <w:t> </w:t>
            </w:r>
            <w:r>
              <w:rPr>
                <w:w w:val="105"/>
                <w:sz w:val="15"/>
              </w:rPr>
              <w:t>of</w:t>
            </w:r>
            <w:r>
              <w:rPr>
                <w:spacing w:val="48"/>
                <w:w w:val="105"/>
                <w:sz w:val="15"/>
              </w:rPr>
              <w:t> </w:t>
            </w:r>
            <w:r>
              <w:rPr>
                <w:spacing w:val="-5"/>
                <w:w w:val="105"/>
                <w:sz w:val="15"/>
              </w:rPr>
              <w:t>the</w:t>
            </w:r>
          </w:p>
          <w:p>
            <w:pPr>
              <w:pStyle w:val="TableParagraph"/>
              <w:spacing w:line="153" w:lineRule="exact" w:before="7"/>
              <w:ind w:left="72"/>
              <w:rPr>
                <w:sz w:val="15"/>
              </w:rPr>
            </w:pPr>
            <w:r>
              <w:rPr>
                <w:w w:val="105"/>
                <w:sz w:val="15"/>
              </w:rPr>
              <w:t>Bard</w:t>
            </w:r>
            <w:r>
              <w:rPr>
                <w:spacing w:val="-4"/>
                <w:w w:val="105"/>
                <w:sz w:val="15"/>
              </w:rPr>
              <w:t> </w:t>
            </w:r>
            <w:r>
              <w:rPr>
                <w:w w:val="105"/>
                <w:sz w:val="15"/>
              </w:rPr>
              <w:t>is</w:t>
            </w:r>
            <w:r>
              <w:rPr>
                <w:spacing w:val="-4"/>
                <w:w w:val="105"/>
                <w:sz w:val="15"/>
              </w:rPr>
              <w:t> </w:t>
            </w:r>
            <w:r>
              <w:rPr>
                <w:spacing w:val="-2"/>
                <w:w w:val="105"/>
                <w:sz w:val="15"/>
              </w:rPr>
              <w:t>sacred.</w:t>
            </w:r>
          </w:p>
        </w:tc>
        <w:tc>
          <w:tcPr>
            <w:tcW w:w="2686" w:type="dxa"/>
            <w:tcBorders>
              <w:top w:val="single" w:sz="4" w:space="0" w:color="000000"/>
              <w:left w:val="single" w:sz="4" w:space="0" w:color="000000"/>
              <w:right w:val="single" w:sz="4" w:space="0" w:color="000000"/>
            </w:tcBorders>
          </w:tcPr>
          <w:p>
            <w:pPr>
              <w:pStyle w:val="TableParagraph"/>
              <w:spacing w:before="1"/>
              <w:ind w:left="72"/>
              <w:rPr>
                <w:sz w:val="15"/>
              </w:rPr>
            </w:pPr>
            <w:r>
              <w:rPr>
                <w:w w:val="105"/>
                <w:sz w:val="15"/>
              </w:rPr>
              <w:t>Radical</w:t>
            </w:r>
            <w:r>
              <w:rPr>
                <w:spacing w:val="-1"/>
                <w:w w:val="105"/>
                <w:sz w:val="15"/>
              </w:rPr>
              <w:t> </w:t>
            </w:r>
            <w:r>
              <w:rPr>
                <w:w w:val="105"/>
                <w:sz w:val="15"/>
              </w:rPr>
              <w:t>changes</w:t>
            </w:r>
            <w:r>
              <w:rPr>
                <w:spacing w:val="-1"/>
                <w:w w:val="105"/>
                <w:sz w:val="15"/>
              </w:rPr>
              <w:t> </w:t>
            </w:r>
            <w:r>
              <w:rPr>
                <w:w w:val="105"/>
                <w:sz w:val="15"/>
              </w:rPr>
              <w:t>"vandalize"</w:t>
            </w:r>
            <w:r>
              <w:rPr>
                <w:spacing w:val="-4"/>
                <w:w w:val="105"/>
                <w:sz w:val="15"/>
              </w:rPr>
              <w:t> </w:t>
            </w:r>
            <w:r>
              <w:rPr>
                <w:w w:val="105"/>
                <w:sz w:val="15"/>
              </w:rPr>
              <w:t>the</w:t>
            </w:r>
            <w:r>
              <w:rPr>
                <w:spacing w:val="-1"/>
                <w:w w:val="105"/>
                <w:sz w:val="15"/>
              </w:rPr>
              <w:t> </w:t>
            </w:r>
            <w:r>
              <w:rPr>
                <w:spacing w:val="-2"/>
                <w:w w:val="105"/>
                <w:sz w:val="15"/>
              </w:rPr>
              <w:t>literary</w:t>
            </w:r>
          </w:p>
          <w:p>
            <w:pPr>
              <w:pStyle w:val="TableParagraph"/>
              <w:spacing w:line="153" w:lineRule="exact" w:before="7"/>
              <w:ind w:left="72"/>
              <w:rPr>
                <w:sz w:val="15"/>
              </w:rPr>
            </w:pPr>
            <w:r>
              <w:rPr>
                <w:w w:val="105"/>
                <w:sz w:val="15"/>
              </w:rPr>
              <w:t>merit</w:t>
            </w:r>
            <w:r>
              <w:rPr>
                <w:spacing w:val="-4"/>
                <w:w w:val="105"/>
                <w:sz w:val="15"/>
              </w:rPr>
              <w:t> </w:t>
            </w:r>
            <w:r>
              <w:rPr>
                <w:w w:val="105"/>
                <w:sz w:val="15"/>
              </w:rPr>
              <w:t>of</w:t>
            </w:r>
            <w:r>
              <w:rPr>
                <w:spacing w:val="-3"/>
                <w:w w:val="105"/>
                <w:sz w:val="15"/>
              </w:rPr>
              <w:t> </w:t>
            </w:r>
            <w:r>
              <w:rPr>
                <w:w w:val="105"/>
                <w:sz w:val="15"/>
              </w:rPr>
              <w:t>the</w:t>
            </w:r>
            <w:r>
              <w:rPr>
                <w:spacing w:val="-4"/>
                <w:w w:val="105"/>
                <w:sz w:val="15"/>
              </w:rPr>
              <w:t> </w:t>
            </w:r>
            <w:r>
              <w:rPr>
                <w:spacing w:val="-2"/>
                <w:w w:val="105"/>
                <w:sz w:val="15"/>
              </w:rPr>
              <w:t>work.</w:t>
            </w:r>
          </w:p>
        </w:tc>
      </w:tr>
      <w:tr>
        <w:trPr>
          <w:trHeight w:val="535" w:hRule="atLeast"/>
        </w:trPr>
        <w:tc>
          <w:tcPr>
            <w:tcW w:w="1376" w:type="dxa"/>
            <w:tcBorders>
              <w:bottom w:val="single" w:sz="4" w:space="0" w:color="000000"/>
              <w:right w:val="single" w:sz="4" w:space="0" w:color="000000"/>
            </w:tcBorders>
          </w:tcPr>
          <w:p>
            <w:pPr>
              <w:pStyle w:val="TableParagraph"/>
              <w:spacing w:line="249" w:lineRule="auto" w:before="1"/>
              <w:ind w:left="70"/>
              <w:rPr>
                <w:b/>
                <w:sz w:val="15"/>
              </w:rPr>
            </w:pPr>
            <w:r>
              <w:rPr>
                <w:b/>
                <w:spacing w:val="-4"/>
                <w:w w:val="105"/>
                <w:sz w:val="15"/>
              </w:rPr>
              <w:t>The</w:t>
            </w:r>
            <w:r>
              <w:rPr>
                <w:b/>
                <w:spacing w:val="40"/>
                <w:w w:val="105"/>
                <w:sz w:val="15"/>
              </w:rPr>
              <w:t> </w:t>
            </w:r>
            <w:r>
              <w:rPr>
                <w:b/>
                <w:spacing w:val="-2"/>
                <w:w w:val="105"/>
                <w:sz w:val="15"/>
              </w:rPr>
              <w:t>Appropriationist</w:t>
            </w:r>
          </w:p>
        </w:tc>
        <w:tc>
          <w:tcPr>
            <w:tcW w:w="1471" w:type="dxa"/>
            <w:tcBorders>
              <w:left w:val="single" w:sz="4" w:space="0" w:color="000000"/>
              <w:bottom w:val="single" w:sz="4" w:space="0" w:color="000000"/>
              <w:right w:val="single" w:sz="4" w:space="0" w:color="000000"/>
            </w:tcBorders>
          </w:tcPr>
          <w:p>
            <w:pPr>
              <w:pStyle w:val="TableParagraph"/>
              <w:tabs>
                <w:tab w:pos="924" w:val="left" w:leader="none"/>
              </w:tabs>
              <w:spacing w:line="249" w:lineRule="auto"/>
              <w:ind w:left="72" w:right="54"/>
              <w:rPr>
                <w:sz w:val="15"/>
              </w:rPr>
            </w:pPr>
            <w:r>
              <w:rPr>
                <w:w w:val="105"/>
                <w:sz w:val="15"/>
              </w:rPr>
              <w:t>Shakespeare</w:t>
            </w:r>
            <w:r>
              <w:rPr>
                <w:spacing w:val="80"/>
                <w:w w:val="150"/>
                <w:sz w:val="15"/>
              </w:rPr>
              <w:t> </w:t>
            </w:r>
            <w:r>
              <w:rPr>
                <w:w w:val="105"/>
                <w:sz w:val="15"/>
              </w:rPr>
              <w:t>is</w:t>
            </w:r>
            <w:r>
              <w:rPr>
                <w:spacing w:val="80"/>
                <w:w w:val="150"/>
                <w:sz w:val="15"/>
              </w:rPr>
              <w:t> </w:t>
            </w:r>
            <w:r>
              <w:rPr>
                <w:w w:val="105"/>
                <w:sz w:val="15"/>
              </w:rPr>
              <w:t>a</w:t>
            </w:r>
            <w:r>
              <w:rPr>
                <w:spacing w:val="40"/>
                <w:w w:val="105"/>
                <w:sz w:val="15"/>
              </w:rPr>
              <w:t> </w:t>
            </w:r>
            <w:r>
              <w:rPr>
                <w:spacing w:val="-2"/>
                <w:w w:val="105"/>
                <w:sz w:val="15"/>
              </w:rPr>
              <w:t>"living"</w:t>
            </w:r>
            <w:r>
              <w:rPr>
                <w:sz w:val="15"/>
              </w:rPr>
              <w:tab/>
            </w:r>
            <w:r>
              <w:rPr>
                <w:spacing w:val="-2"/>
                <w:w w:val="105"/>
                <w:sz w:val="15"/>
              </w:rPr>
              <w:t>cultural</w:t>
            </w:r>
          </w:p>
          <w:p>
            <w:pPr>
              <w:pStyle w:val="TableParagraph"/>
              <w:spacing w:line="156" w:lineRule="exact"/>
              <w:ind w:left="72"/>
              <w:rPr>
                <w:sz w:val="15"/>
              </w:rPr>
            </w:pPr>
            <w:r>
              <w:rPr>
                <w:spacing w:val="-2"/>
                <w:w w:val="105"/>
                <w:sz w:val="15"/>
              </w:rPr>
              <w:t>tool.</w:t>
            </w:r>
          </w:p>
        </w:tc>
        <w:tc>
          <w:tcPr>
            <w:tcW w:w="2686" w:type="dxa"/>
            <w:tcBorders>
              <w:left w:val="single" w:sz="4" w:space="0" w:color="000000"/>
              <w:bottom w:val="single" w:sz="4" w:space="0" w:color="000000"/>
              <w:right w:val="single" w:sz="4" w:space="0" w:color="000000"/>
            </w:tcBorders>
          </w:tcPr>
          <w:p>
            <w:pPr>
              <w:pStyle w:val="TableParagraph"/>
              <w:spacing w:line="249" w:lineRule="auto"/>
              <w:ind w:left="72"/>
              <w:rPr>
                <w:sz w:val="15"/>
              </w:rPr>
            </w:pPr>
            <w:r>
              <w:rPr>
                <w:w w:val="105"/>
                <w:sz w:val="15"/>
              </w:rPr>
              <w:t>The</w:t>
            </w:r>
            <w:r>
              <w:rPr>
                <w:spacing w:val="-1"/>
                <w:w w:val="105"/>
                <w:sz w:val="15"/>
              </w:rPr>
              <w:t> </w:t>
            </w:r>
            <w:r>
              <w:rPr>
                <w:w w:val="105"/>
                <w:sz w:val="15"/>
              </w:rPr>
              <w:t>plays must be</w:t>
            </w:r>
            <w:r>
              <w:rPr>
                <w:spacing w:val="-3"/>
                <w:w w:val="105"/>
                <w:sz w:val="15"/>
              </w:rPr>
              <w:t> </w:t>
            </w:r>
            <w:r>
              <w:rPr>
                <w:w w:val="105"/>
                <w:sz w:val="15"/>
              </w:rPr>
              <w:t>broken</w:t>
            </w:r>
            <w:r>
              <w:rPr>
                <w:spacing w:val="-1"/>
                <w:w w:val="105"/>
                <w:sz w:val="15"/>
              </w:rPr>
              <w:t> </w:t>
            </w:r>
            <w:r>
              <w:rPr>
                <w:w w:val="105"/>
                <w:sz w:val="15"/>
              </w:rPr>
              <w:t>and rebuilt to</w:t>
            </w:r>
            <w:r>
              <w:rPr>
                <w:spacing w:val="40"/>
                <w:w w:val="105"/>
                <w:sz w:val="15"/>
              </w:rPr>
              <w:t> </w:t>
            </w:r>
            <w:r>
              <w:rPr>
                <w:w w:val="105"/>
                <w:sz w:val="15"/>
              </w:rPr>
              <w:t>remain</w:t>
            </w:r>
            <w:r>
              <w:rPr>
                <w:spacing w:val="70"/>
                <w:w w:val="105"/>
                <w:sz w:val="15"/>
              </w:rPr>
              <w:t> </w:t>
            </w:r>
            <w:r>
              <w:rPr>
                <w:w w:val="105"/>
                <w:sz w:val="15"/>
              </w:rPr>
              <w:t>ethically</w:t>
            </w:r>
            <w:r>
              <w:rPr>
                <w:spacing w:val="70"/>
                <w:w w:val="105"/>
                <w:sz w:val="15"/>
              </w:rPr>
              <w:t> </w:t>
            </w:r>
            <w:r>
              <w:rPr>
                <w:w w:val="105"/>
                <w:sz w:val="15"/>
              </w:rPr>
              <w:t>"appropriate"</w:t>
            </w:r>
            <w:r>
              <w:rPr>
                <w:spacing w:val="70"/>
                <w:w w:val="105"/>
                <w:sz w:val="15"/>
              </w:rPr>
              <w:t> </w:t>
            </w:r>
            <w:r>
              <w:rPr>
                <w:w w:val="105"/>
                <w:sz w:val="15"/>
              </w:rPr>
              <w:t>for</w:t>
            </w:r>
            <w:r>
              <w:rPr>
                <w:spacing w:val="71"/>
                <w:w w:val="105"/>
                <w:sz w:val="15"/>
              </w:rPr>
              <w:t> </w:t>
            </w:r>
            <w:r>
              <w:rPr>
                <w:spacing w:val="-10"/>
                <w:w w:val="105"/>
                <w:sz w:val="15"/>
              </w:rPr>
              <w:t>a</w:t>
            </w:r>
          </w:p>
          <w:p>
            <w:pPr>
              <w:pStyle w:val="TableParagraph"/>
              <w:spacing w:line="156" w:lineRule="exact"/>
              <w:ind w:left="72"/>
              <w:rPr>
                <w:sz w:val="15"/>
              </w:rPr>
            </w:pPr>
            <w:r>
              <w:rPr>
                <w:w w:val="105"/>
                <w:sz w:val="15"/>
              </w:rPr>
              <w:t>modern</w:t>
            </w:r>
            <w:r>
              <w:rPr>
                <w:spacing w:val="-7"/>
                <w:w w:val="105"/>
                <w:sz w:val="15"/>
              </w:rPr>
              <w:t> </w:t>
            </w:r>
            <w:r>
              <w:rPr>
                <w:spacing w:val="-2"/>
                <w:w w:val="105"/>
                <w:sz w:val="15"/>
              </w:rPr>
              <w:t>audience.</w:t>
            </w:r>
          </w:p>
        </w:tc>
      </w:tr>
    </w:tbl>
    <w:p>
      <w:pPr>
        <w:pStyle w:val="TableParagraph"/>
        <w:spacing w:after="0" w:line="156" w:lineRule="exact"/>
        <w:rPr>
          <w:sz w:val="15"/>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80864">
                <wp:simplePos x="0" y="0"/>
                <wp:positionH relativeFrom="page">
                  <wp:posOffset>2057400</wp:posOffset>
                </wp:positionH>
                <wp:positionV relativeFrom="paragraph">
                  <wp:posOffset>162604</wp:posOffset>
                </wp:positionV>
                <wp:extent cx="3657600" cy="12700"/>
                <wp:effectExtent l="0" t="0" r="0" b="0"/>
                <wp:wrapTopAndBottom/>
                <wp:docPr id="542" name="Graphic 542"/>
                <wp:cNvGraphicFramePr>
                  <a:graphicFrameLocks/>
                </wp:cNvGraphicFramePr>
                <a:graphic>
                  <a:graphicData uri="http://schemas.microsoft.com/office/word/2010/wordprocessingShape">
                    <wps:wsp>
                      <wps:cNvPr id="542" name="Graphic 54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35616;mso-wrap-distance-left:0;mso-wrap-distance-right:0" id="docshape537" filled="true" fillcolor="#000000" stroked="false">
                <v:fill type="solid"/>
                <w10:wrap type="topAndBottom"/>
              </v:rect>
            </w:pict>
          </mc:Fallback>
        </mc:AlternateContent>
      </w:r>
      <w:r>
        <w:rPr>
          <w:rFonts w:ascii="Verdana"/>
          <w:spacing w:val="-5"/>
          <w:sz w:val="18"/>
        </w:rPr>
        <w:t>256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pPr>
      <w:r>
        <w:rPr>
          <w:spacing w:val="-10"/>
        </w:rPr>
        <w:t>SUMMARY</w:t>
      </w:r>
      <w:r>
        <w:rPr>
          <w:spacing w:val="-2"/>
        </w:rPr>
        <w:t> </w:t>
      </w:r>
      <w:r>
        <w:rPr>
          <w:spacing w:val="-10"/>
        </w:rPr>
        <w:t>OF</w:t>
      </w:r>
      <w:r>
        <w:rPr>
          <w:spacing w:val="-3"/>
        </w:rPr>
        <w:t> </w:t>
      </w:r>
      <w:r>
        <w:rPr>
          <w:spacing w:val="-10"/>
        </w:rPr>
        <w:t>THE</w:t>
      </w:r>
      <w:r>
        <w:rPr>
          <w:spacing w:val="-3"/>
        </w:rPr>
        <w:t> </w:t>
      </w:r>
      <w:r>
        <w:rPr>
          <w:spacing w:val="-10"/>
        </w:rPr>
        <w:t>RADICAL</w:t>
      </w:r>
      <w:r>
        <w:rPr>
          <w:spacing w:val="-2"/>
        </w:rPr>
        <w:t> </w:t>
      </w:r>
      <w:r>
        <w:rPr>
          <w:spacing w:val="-10"/>
        </w:rPr>
        <w:t>EVOLUTION</w:t>
      </w:r>
    </w:p>
    <w:p>
      <w:pPr>
        <w:pStyle w:val="BodyText"/>
        <w:spacing w:line="249" w:lineRule="auto" w:before="75"/>
        <w:ind w:right="1438" w:firstLine="432"/>
        <w:jc w:val="both"/>
      </w:pPr>
      <w:r>
        <w:rPr/>
        <w:t>The transition from Performance to Appropriation can be summarized as follows:</w:t>
      </w:r>
    </w:p>
    <w:p>
      <w:pPr>
        <w:pStyle w:val="ListParagraph"/>
        <w:numPr>
          <w:ilvl w:val="0"/>
          <w:numId w:val="51"/>
        </w:numPr>
        <w:tabs>
          <w:tab w:pos="2158" w:val="left" w:leader="none"/>
        </w:tabs>
        <w:spacing w:line="240" w:lineRule="auto" w:before="67" w:after="0"/>
        <w:ind w:left="2158" w:right="0" w:hanging="313"/>
        <w:jc w:val="both"/>
        <w:rPr>
          <w:sz w:val="20"/>
        </w:rPr>
      </w:pPr>
      <w:r>
        <w:rPr>
          <w:sz w:val="20"/>
        </w:rPr>
        <w:t>Performance:</w:t>
      </w:r>
      <w:r>
        <w:rPr>
          <w:spacing w:val="11"/>
          <w:sz w:val="20"/>
        </w:rPr>
        <w:t> </w:t>
      </w:r>
      <w:r>
        <w:rPr>
          <w:sz w:val="20"/>
        </w:rPr>
        <w:t>“How</w:t>
      </w:r>
      <w:r>
        <w:rPr>
          <w:spacing w:val="11"/>
          <w:sz w:val="20"/>
        </w:rPr>
        <w:t> </w:t>
      </w:r>
      <w:r>
        <w:rPr>
          <w:sz w:val="20"/>
        </w:rPr>
        <w:t>does</w:t>
      </w:r>
      <w:r>
        <w:rPr>
          <w:spacing w:val="10"/>
          <w:sz w:val="20"/>
        </w:rPr>
        <w:t> </w:t>
      </w:r>
      <w:r>
        <w:rPr>
          <w:sz w:val="20"/>
        </w:rPr>
        <w:t>Juliet</w:t>
      </w:r>
      <w:r>
        <w:rPr>
          <w:spacing w:val="13"/>
          <w:sz w:val="20"/>
        </w:rPr>
        <w:t> </w:t>
      </w:r>
      <w:r>
        <w:rPr>
          <w:sz w:val="20"/>
        </w:rPr>
        <w:t>feel</w:t>
      </w:r>
      <w:r>
        <w:rPr>
          <w:spacing w:val="13"/>
          <w:sz w:val="20"/>
        </w:rPr>
        <w:t> </w:t>
      </w:r>
      <w:r>
        <w:rPr>
          <w:sz w:val="20"/>
        </w:rPr>
        <w:t>about</w:t>
      </w:r>
      <w:r>
        <w:rPr>
          <w:spacing w:val="12"/>
          <w:sz w:val="20"/>
        </w:rPr>
        <w:t> </w:t>
      </w:r>
      <w:r>
        <w:rPr>
          <w:spacing w:val="-2"/>
          <w:sz w:val="20"/>
        </w:rPr>
        <w:t>Romeo?”</w:t>
      </w:r>
    </w:p>
    <w:p>
      <w:pPr>
        <w:pStyle w:val="ListParagraph"/>
        <w:numPr>
          <w:ilvl w:val="0"/>
          <w:numId w:val="51"/>
        </w:numPr>
        <w:tabs>
          <w:tab w:pos="2158" w:val="left" w:leader="none"/>
          <w:tab w:pos="2160" w:val="left" w:leader="none"/>
        </w:tabs>
        <w:spacing w:line="261" w:lineRule="auto" w:before="79" w:after="0"/>
        <w:ind w:left="2160" w:right="1442" w:hanging="315"/>
        <w:jc w:val="both"/>
        <w:rPr>
          <w:sz w:val="20"/>
        </w:rPr>
      </w:pPr>
      <w:r>
        <w:rPr>
          <w:sz w:val="20"/>
        </w:rPr>
        <w:t>Adaptation: “How would Juliet feel about Romeo if they</w:t>
      </w:r>
      <w:r>
        <w:rPr>
          <w:spacing w:val="-2"/>
          <w:sz w:val="20"/>
        </w:rPr>
        <w:t> </w:t>
      </w:r>
      <w:r>
        <w:rPr>
          <w:sz w:val="20"/>
        </w:rPr>
        <w:t>were in 1990s Verona Beach?”</w:t>
      </w:r>
    </w:p>
    <w:p>
      <w:pPr>
        <w:pStyle w:val="ListParagraph"/>
        <w:numPr>
          <w:ilvl w:val="0"/>
          <w:numId w:val="51"/>
        </w:numPr>
        <w:tabs>
          <w:tab w:pos="2158" w:val="left" w:leader="none"/>
          <w:tab w:pos="2160" w:val="left" w:leader="none"/>
        </w:tabs>
        <w:spacing w:line="261" w:lineRule="auto" w:before="56" w:after="0"/>
        <w:ind w:left="2160" w:right="1440" w:hanging="315"/>
        <w:jc w:val="both"/>
        <w:rPr>
          <w:sz w:val="20"/>
        </w:rPr>
      </w:pPr>
      <w:r>
        <w:rPr>
          <w:sz w:val="20"/>
        </w:rPr>
        <w:t>Appropriation: “What if Juliet didn’t die, and the play was actually about her escape from the Capulet-Montague blood </w:t>
      </w:r>
      <w:r>
        <w:rPr>
          <w:spacing w:val="-2"/>
          <w:sz w:val="20"/>
        </w:rPr>
        <w:t>feud?”</w:t>
      </w:r>
    </w:p>
    <w:p>
      <w:pPr>
        <w:pStyle w:val="BodyText"/>
        <w:spacing w:line="249" w:lineRule="auto" w:before="49"/>
        <w:ind w:right="1440" w:firstLine="432"/>
        <w:jc w:val="both"/>
      </w:pPr>
      <w:r>
        <w:rPr/>
        <w:t>By seizing the narrative, modern creators aren’t just “playing” Shakespeare; they are talking back to him, ensuring that the women of the</w:t>
      </w:r>
      <w:r>
        <w:rPr>
          <w:spacing w:val="40"/>
        </w:rPr>
        <w:t> </w:t>
      </w:r>
      <w:r>
        <w:rPr/>
        <w:t>21st</w:t>
      </w:r>
      <w:r>
        <w:rPr>
          <w:spacing w:val="40"/>
        </w:rPr>
        <w:t> </w:t>
      </w:r>
      <w:r>
        <w:rPr/>
        <w:t>century</w:t>
      </w:r>
      <w:r>
        <w:rPr>
          <w:spacing w:val="37"/>
        </w:rPr>
        <w:t> </w:t>
      </w:r>
      <w:r>
        <w:rPr/>
        <w:t>are</w:t>
      </w:r>
      <w:r>
        <w:rPr>
          <w:spacing w:val="40"/>
        </w:rPr>
        <w:t> </w:t>
      </w:r>
      <w:r>
        <w:rPr/>
        <w:t>no</w:t>
      </w:r>
      <w:r>
        <w:rPr>
          <w:spacing w:val="40"/>
        </w:rPr>
        <w:t> </w:t>
      </w:r>
      <w:r>
        <w:rPr/>
        <w:t>longer</w:t>
      </w:r>
      <w:r>
        <w:rPr>
          <w:spacing w:val="39"/>
        </w:rPr>
        <w:t> </w:t>
      </w:r>
      <w:r>
        <w:rPr/>
        <w:t>trapped</w:t>
      </w:r>
      <w:r>
        <w:rPr>
          <w:spacing w:val="40"/>
        </w:rPr>
        <w:t> </w:t>
      </w:r>
      <w:r>
        <w:rPr/>
        <w:t>in</w:t>
      </w:r>
      <w:r>
        <w:rPr>
          <w:spacing w:val="40"/>
        </w:rPr>
        <w:t> </w:t>
      </w:r>
      <w:r>
        <w:rPr/>
        <w:t>the</w:t>
      </w:r>
      <w:r>
        <w:rPr>
          <w:spacing w:val="40"/>
        </w:rPr>
        <w:t> </w:t>
      </w:r>
      <w:r>
        <w:rPr/>
        <w:t>scripts</w:t>
      </w:r>
      <w:r>
        <w:rPr>
          <w:spacing w:val="40"/>
        </w:rPr>
        <w:t> </w:t>
      </w:r>
      <w:r>
        <w:rPr/>
        <w:t>of</w:t>
      </w:r>
      <w:r>
        <w:rPr>
          <w:spacing w:val="39"/>
        </w:rPr>
        <w:t> </w:t>
      </w:r>
      <w:r>
        <w:rPr/>
        <w:t>the</w:t>
      </w:r>
      <w:r>
        <w:rPr>
          <w:spacing w:val="40"/>
        </w:rPr>
        <w:t> </w:t>
      </w:r>
      <w:r>
        <w:rPr/>
        <w:t>16th.</w:t>
      </w:r>
    </w:p>
    <w:p>
      <w:pPr>
        <w:pStyle w:val="BodyText"/>
        <w:spacing w:line="249" w:lineRule="auto" w:before="60"/>
        <w:ind w:right="1438" w:firstLine="432"/>
        <w:jc w:val="both"/>
      </w:pPr>
      <w:r>
        <w:rPr/>
        <w:t>This shift represents a fundamental “de-centering” of the male protagonist. When we move from mimicry (imitating the original) to </w:t>
      </w:r>
      <w:r>
        <w:rPr>
          <w:spacing w:val="-6"/>
        </w:rPr>
        <w:t>appropriation</w:t>
      </w:r>
      <w:r>
        <w:rPr>
          <w:spacing w:val="-13"/>
        </w:rPr>
        <w:t> </w:t>
      </w:r>
      <w:r>
        <w:rPr>
          <w:spacing w:val="-6"/>
        </w:rPr>
        <w:t>(reclaiming</w:t>
      </w:r>
      <w:r>
        <w:rPr>
          <w:spacing w:val="-11"/>
        </w:rPr>
        <w:t> </w:t>
      </w:r>
      <w:r>
        <w:rPr>
          <w:spacing w:val="-6"/>
        </w:rPr>
        <w:t>the</w:t>
      </w:r>
      <w:r>
        <w:rPr>
          <w:spacing w:val="-11"/>
        </w:rPr>
        <w:t> </w:t>
      </w:r>
      <w:r>
        <w:rPr>
          <w:spacing w:val="-6"/>
        </w:rPr>
        <w:t>material),</w:t>
      </w:r>
      <w:r>
        <w:rPr>
          <w:spacing w:val="-9"/>
        </w:rPr>
        <w:t> </w:t>
      </w:r>
      <w:r>
        <w:rPr>
          <w:spacing w:val="-6"/>
        </w:rPr>
        <w:t>we</w:t>
      </w:r>
      <w:r>
        <w:rPr>
          <w:spacing w:val="-10"/>
        </w:rPr>
        <w:t> </w:t>
      </w:r>
      <w:r>
        <w:rPr>
          <w:spacing w:val="-6"/>
        </w:rPr>
        <w:t>change</w:t>
      </w:r>
      <w:r>
        <w:rPr>
          <w:spacing w:val="-10"/>
        </w:rPr>
        <w:t> </w:t>
      </w:r>
      <w:r>
        <w:rPr>
          <w:spacing w:val="-6"/>
        </w:rPr>
        <w:t>the</w:t>
      </w:r>
      <w:r>
        <w:rPr>
          <w:spacing w:val="-11"/>
        </w:rPr>
        <w:t> </w:t>
      </w:r>
      <w:r>
        <w:rPr>
          <w:spacing w:val="-6"/>
        </w:rPr>
        <w:t>very</w:t>
      </w:r>
      <w:r>
        <w:rPr>
          <w:spacing w:val="-15"/>
        </w:rPr>
        <w:t> </w:t>
      </w:r>
      <w:r>
        <w:rPr>
          <w:spacing w:val="-6"/>
        </w:rPr>
        <w:t>DNA</w:t>
      </w:r>
      <w:r>
        <w:rPr>
          <w:spacing w:val="-25"/>
        </w:rPr>
        <w:t> </w:t>
      </w:r>
      <w:r>
        <w:rPr>
          <w:spacing w:val="-6"/>
        </w:rPr>
        <w:t>of</w:t>
      </w:r>
      <w:r>
        <w:rPr>
          <w:spacing w:val="-10"/>
        </w:rPr>
        <w:t> </w:t>
      </w:r>
      <w:r>
        <w:rPr>
          <w:spacing w:val="-6"/>
        </w:rPr>
        <w:t>the</w:t>
      </w:r>
      <w:r>
        <w:rPr>
          <w:spacing w:val="-11"/>
        </w:rPr>
        <w:t> </w:t>
      </w:r>
      <w:r>
        <w:rPr>
          <w:spacing w:val="-6"/>
        </w:rPr>
        <w:t>story.</w:t>
      </w:r>
    </w:p>
    <w:p>
      <w:pPr>
        <w:pStyle w:val="BodyText"/>
        <w:spacing w:line="249" w:lineRule="auto" w:before="60"/>
        <w:ind w:right="1441" w:firstLine="432"/>
        <w:jc w:val="both"/>
      </w:pPr>
      <w:r>
        <w:rPr/>
        <w:t>Here is an expansion on how these two specific mechanisms—subverting silence and cultural contextualization—function in modern literary and cinematic practice.</w:t>
      </w:r>
    </w:p>
    <w:p>
      <w:pPr>
        <w:pStyle w:val="Heading5"/>
        <w:numPr>
          <w:ilvl w:val="0"/>
          <w:numId w:val="52"/>
        </w:numPr>
        <w:tabs>
          <w:tab w:pos="1758" w:val="left" w:leader="none"/>
        </w:tabs>
        <w:spacing w:line="244" w:lineRule="auto" w:before="110" w:after="0"/>
        <w:ind w:left="1440" w:right="1439" w:firstLine="0"/>
        <w:jc w:val="left"/>
      </w:pPr>
      <w:r>
        <w:rPr/>
        <w:t>Subverting</w:t>
      </w:r>
      <w:r>
        <w:rPr>
          <w:spacing w:val="80"/>
        </w:rPr>
        <w:t> </w:t>
      </w:r>
      <w:r>
        <w:rPr/>
        <w:t>the</w:t>
      </w:r>
      <w:r>
        <w:rPr>
          <w:spacing w:val="80"/>
        </w:rPr>
        <w:t> </w:t>
      </w:r>
      <w:r>
        <w:rPr/>
        <w:t>“Silent”</w:t>
      </w:r>
      <w:r>
        <w:rPr>
          <w:spacing w:val="80"/>
        </w:rPr>
        <w:t> </w:t>
      </w:r>
      <w:r>
        <w:rPr/>
        <w:t>Woman:</w:t>
      </w:r>
      <w:r>
        <w:rPr>
          <w:spacing w:val="80"/>
        </w:rPr>
        <w:t> </w:t>
      </w:r>
      <w:r>
        <w:rPr/>
        <w:t>The</w:t>
      </w:r>
      <w:r>
        <w:rPr>
          <w:spacing w:val="80"/>
        </w:rPr>
        <w:t> </w:t>
      </w:r>
      <w:r>
        <w:rPr/>
        <w:t>Rise</w:t>
      </w:r>
      <w:r>
        <w:rPr>
          <w:spacing w:val="80"/>
        </w:rPr>
        <w:t> </w:t>
      </w:r>
      <w:r>
        <w:rPr/>
        <w:t>of</w:t>
      </w:r>
      <w:r>
        <w:rPr>
          <w:spacing w:val="80"/>
        </w:rPr>
        <w:t> </w:t>
      </w:r>
      <w:r>
        <w:rPr/>
        <w:t>the</w:t>
      </w:r>
      <w:r>
        <w:rPr>
          <w:spacing w:val="80"/>
        </w:rPr>
        <w:t> </w:t>
      </w:r>
      <w:r>
        <w:rPr>
          <w:spacing w:val="-2"/>
        </w:rPr>
        <w:t>Meta-Narrative</w:t>
      </w:r>
    </w:p>
    <w:p>
      <w:pPr>
        <w:pStyle w:val="BodyText"/>
        <w:spacing w:line="249" w:lineRule="auto" w:before="67"/>
        <w:ind w:right="1440" w:firstLine="432"/>
        <w:jc w:val="both"/>
      </w:pPr>
      <w:r>
        <w:rPr/>
        <w:t>In the original Folio, women’s lines often account for less than 15%</w:t>
      </w:r>
      <w:r>
        <w:rPr>
          <w:spacing w:val="-13"/>
        </w:rPr>
        <w:t> </w:t>
      </w:r>
      <w:r>
        <w:rPr/>
        <w:t>of</w:t>
      </w:r>
      <w:r>
        <w:rPr>
          <w:spacing w:val="-7"/>
        </w:rPr>
        <w:t> </w:t>
      </w:r>
      <w:r>
        <w:rPr/>
        <w:t>the</w:t>
      </w:r>
      <w:r>
        <w:rPr>
          <w:spacing w:val="-8"/>
        </w:rPr>
        <w:t> </w:t>
      </w:r>
      <w:r>
        <w:rPr/>
        <w:t>total</w:t>
      </w:r>
      <w:r>
        <w:rPr>
          <w:spacing w:val="-7"/>
        </w:rPr>
        <w:t> </w:t>
      </w:r>
      <w:r>
        <w:rPr/>
        <w:t>dialogue.</w:t>
      </w:r>
      <w:r>
        <w:rPr>
          <w:spacing w:val="-13"/>
        </w:rPr>
        <w:t> </w:t>
      </w:r>
      <w:r>
        <w:rPr/>
        <w:t>Appropriation</w:t>
      </w:r>
      <w:r>
        <w:rPr>
          <w:spacing w:val="-7"/>
        </w:rPr>
        <w:t> </w:t>
      </w:r>
      <w:r>
        <w:rPr/>
        <w:t>seeks</w:t>
      </w:r>
      <w:r>
        <w:rPr>
          <w:spacing w:val="-9"/>
        </w:rPr>
        <w:t> </w:t>
      </w:r>
      <w:r>
        <w:rPr/>
        <w:t>to</w:t>
      </w:r>
      <w:r>
        <w:rPr>
          <w:spacing w:val="-5"/>
        </w:rPr>
        <w:t> </w:t>
      </w:r>
      <w:r>
        <w:rPr/>
        <w:t>rectify</w:t>
      </w:r>
      <w:r>
        <w:rPr>
          <w:spacing w:val="-12"/>
        </w:rPr>
        <w:t> </w:t>
      </w:r>
      <w:r>
        <w:rPr/>
        <w:t>this</w:t>
      </w:r>
      <w:r>
        <w:rPr>
          <w:spacing w:val="-7"/>
        </w:rPr>
        <w:t> </w:t>
      </w:r>
      <w:r>
        <w:rPr/>
        <w:t>“discursive silence”</w:t>
      </w:r>
      <w:r>
        <w:rPr>
          <w:spacing w:val="40"/>
        </w:rPr>
        <w:t> </w:t>
      </w:r>
      <w:r>
        <w:rPr/>
        <w:t>by</w:t>
      </w:r>
      <w:r>
        <w:rPr>
          <w:spacing w:val="40"/>
        </w:rPr>
        <w:t> </w:t>
      </w:r>
      <w:r>
        <w:rPr/>
        <w:t>using</w:t>
      </w:r>
      <w:r>
        <w:rPr>
          <w:spacing w:val="40"/>
        </w:rPr>
        <w:t> </w:t>
      </w:r>
      <w:r>
        <w:rPr/>
        <w:t>techniques</w:t>
      </w:r>
      <w:r>
        <w:rPr>
          <w:spacing w:val="40"/>
        </w:rPr>
        <w:t> </w:t>
      </w:r>
      <w:r>
        <w:rPr/>
        <w:t>that</w:t>
      </w:r>
      <w:r>
        <w:rPr>
          <w:spacing w:val="40"/>
        </w:rPr>
        <w:t> </w:t>
      </w:r>
      <w:r>
        <w:rPr/>
        <w:t>grant</w:t>
      </w:r>
      <w:r>
        <w:rPr>
          <w:spacing w:val="40"/>
        </w:rPr>
        <w:t> </w:t>
      </w:r>
      <w:r>
        <w:rPr/>
        <w:t>characters</w:t>
      </w:r>
      <w:r>
        <w:rPr>
          <w:spacing w:val="40"/>
        </w:rPr>
        <w:t> </w:t>
      </w:r>
      <w:r>
        <w:rPr/>
        <w:t>autonomy.</w:t>
      </w:r>
    </w:p>
    <w:p>
      <w:pPr>
        <w:pStyle w:val="ListParagraph"/>
        <w:numPr>
          <w:ilvl w:val="1"/>
          <w:numId w:val="52"/>
        </w:numPr>
        <w:tabs>
          <w:tab w:pos="2160" w:val="left" w:leader="none"/>
        </w:tabs>
        <w:spacing w:line="261" w:lineRule="auto" w:before="68" w:after="0"/>
        <w:ind w:left="2160" w:right="1441" w:hanging="240"/>
        <w:jc w:val="both"/>
        <w:rPr>
          <w:sz w:val="20"/>
        </w:rPr>
      </w:pPr>
      <w:r>
        <w:rPr>
          <w:sz w:val="20"/>
        </w:rPr>
        <w:t>The</w:t>
      </w:r>
      <w:r>
        <w:rPr>
          <w:spacing w:val="-13"/>
          <w:sz w:val="20"/>
        </w:rPr>
        <w:t> </w:t>
      </w:r>
      <w:r>
        <w:rPr>
          <w:sz w:val="20"/>
        </w:rPr>
        <w:t>“Side-Step”</w:t>
      </w:r>
      <w:r>
        <w:rPr>
          <w:spacing w:val="-12"/>
          <w:sz w:val="20"/>
        </w:rPr>
        <w:t> </w:t>
      </w:r>
      <w:r>
        <w:rPr>
          <w:sz w:val="20"/>
        </w:rPr>
        <w:t>Narrative:</w:t>
      </w:r>
      <w:r>
        <w:rPr>
          <w:spacing w:val="-13"/>
          <w:sz w:val="20"/>
        </w:rPr>
        <w:t> </w:t>
      </w:r>
      <w:r>
        <w:rPr>
          <w:sz w:val="20"/>
        </w:rPr>
        <w:t>This</w:t>
      </w:r>
      <w:r>
        <w:rPr>
          <w:spacing w:val="-12"/>
          <w:sz w:val="20"/>
        </w:rPr>
        <w:t> </w:t>
      </w:r>
      <w:r>
        <w:rPr>
          <w:sz w:val="20"/>
        </w:rPr>
        <w:t>involves</w:t>
      </w:r>
      <w:r>
        <w:rPr>
          <w:spacing w:val="-13"/>
          <w:sz w:val="20"/>
        </w:rPr>
        <w:t> </w:t>
      </w:r>
      <w:r>
        <w:rPr>
          <w:sz w:val="20"/>
        </w:rPr>
        <w:t>taking</w:t>
      </w:r>
      <w:r>
        <w:rPr>
          <w:spacing w:val="-12"/>
          <w:sz w:val="20"/>
        </w:rPr>
        <w:t> </w:t>
      </w:r>
      <w:r>
        <w:rPr>
          <w:sz w:val="20"/>
        </w:rPr>
        <w:t>a</w:t>
      </w:r>
      <w:r>
        <w:rPr>
          <w:spacing w:val="-13"/>
          <w:sz w:val="20"/>
        </w:rPr>
        <w:t> </w:t>
      </w:r>
      <w:r>
        <w:rPr>
          <w:sz w:val="20"/>
        </w:rPr>
        <w:t>minor</w:t>
      </w:r>
      <w:r>
        <w:rPr>
          <w:spacing w:val="-12"/>
          <w:sz w:val="20"/>
        </w:rPr>
        <w:t> </w:t>
      </w:r>
      <w:r>
        <w:rPr>
          <w:sz w:val="20"/>
        </w:rPr>
        <w:t>female character and making her the protagonist of her own parallel </w:t>
      </w:r>
      <w:r>
        <w:rPr>
          <w:spacing w:val="-2"/>
          <w:sz w:val="20"/>
        </w:rPr>
        <w:t>story.</w:t>
      </w:r>
    </w:p>
    <w:p>
      <w:pPr>
        <w:pStyle w:val="ListParagraph"/>
        <w:numPr>
          <w:ilvl w:val="2"/>
          <w:numId w:val="52"/>
        </w:numPr>
        <w:tabs>
          <w:tab w:pos="2520" w:val="left" w:leader="none"/>
        </w:tabs>
        <w:spacing w:line="261" w:lineRule="auto" w:before="56" w:after="0"/>
        <w:ind w:left="2520" w:right="1438" w:hanging="286"/>
        <w:jc w:val="both"/>
        <w:rPr>
          <w:sz w:val="20"/>
        </w:rPr>
      </w:pPr>
      <w:r>
        <w:rPr>
          <w:i/>
          <w:sz w:val="20"/>
        </w:rPr>
        <w:t>Example: </w:t>
      </w:r>
      <w:r>
        <w:rPr>
          <w:sz w:val="20"/>
        </w:rPr>
        <w:t>In Tom Stoppard’s tradition, but focused on </w:t>
      </w:r>
      <w:r>
        <w:rPr>
          <w:spacing w:val="9"/>
          <w:sz w:val="20"/>
        </w:rPr>
        <w:t>gender,</w:t>
      </w:r>
      <w:r>
        <w:rPr>
          <w:spacing w:val="9"/>
          <w:sz w:val="20"/>
        </w:rPr>
        <w:t> </w:t>
      </w:r>
      <w:r>
        <w:rPr>
          <w:sz w:val="20"/>
        </w:rPr>
        <w:t>plays </w:t>
      </w:r>
      <w:r>
        <w:rPr>
          <w:spacing w:val="9"/>
          <w:sz w:val="20"/>
        </w:rPr>
        <w:t>like</w:t>
      </w:r>
      <w:r>
        <w:rPr>
          <w:spacing w:val="9"/>
          <w:sz w:val="20"/>
        </w:rPr>
        <w:t> </w:t>
      </w:r>
      <w:r>
        <w:rPr>
          <w:i/>
          <w:spacing w:val="11"/>
          <w:sz w:val="20"/>
        </w:rPr>
        <w:t>Desdemona:</w:t>
      </w:r>
      <w:r>
        <w:rPr>
          <w:i/>
          <w:spacing w:val="11"/>
          <w:sz w:val="20"/>
        </w:rPr>
        <w:t> </w:t>
      </w:r>
      <w:r>
        <w:rPr>
          <w:i/>
          <w:sz w:val="20"/>
        </w:rPr>
        <w:t>A </w:t>
      </w:r>
      <w:r>
        <w:rPr>
          <w:i/>
          <w:spacing w:val="9"/>
          <w:sz w:val="20"/>
        </w:rPr>
        <w:t>Play</w:t>
      </w:r>
      <w:r>
        <w:rPr>
          <w:i/>
          <w:spacing w:val="9"/>
          <w:sz w:val="20"/>
        </w:rPr>
        <w:t> </w:t>
      </w:r>
      <w:r>
        <w:rPr>
          <w:i/>
          <w:spacing w:val="10"/>
          <w:sz w:val="20"/>
        </w:rPr>
        <w:t>About</w:t>
      </w:r>
      <w:r>
        <w:rPr>
          <w:i/>
          <w:spacing w:val="10"/>
          <w:sz w:val="20"/>
        </w:rPr>
        <w:t> </w:t>
      </w:r>
      <w:r>
        <w:rPr>
          <w:i/>
          <w:sz w:val="20"/>
        </w:rPr>
        <w:t>a Handkerchief </w:t>
      </w:r>
      <w:r>
        <w:rPr>
          <w:sz w:val="20"/>
        </w:rPr>
        <w:t>by Paula Vogel reimagine the domestic sphere</w:t>
      </w:r>
      <w:r>
        <w:rPr>
          <w:spacing w:val="-13"/>
          <w:sz w:val="20"/>
        </w:rPr>
        <w:t> </w:t>
      </w:r>
      <w:r>
        <w:rPr>
          <w:sz w:val="20"/>
        </w:rPr>
        <w:t>as</w:t>
      </w:r>
      <w:r>
        <w:rPr>
          <w:spacing w:val="-12"/>
          <w:sz w:val="20"/>
        </w:rPr>
        <w:t> </w:t>
      </w:r>
      <w:r>
        <w:rPr>
          <w:sz w:val="20"/>
        </w:rPr>
        <w:t>a</w:t>
      </w:r>
      <w:r>
        <w:rPr>
          <w:spacing w:val="-13"/>
          <w:sz w:val="20"/>
        </w:rPr>
        <w:t> </w:t>
      </w:r>
      <w:r>
        <w:rPr>
          <w:sz w:val="20"/>
        </w:rPr>
        <w:t>space</w:t>
      </w:r>
      <w:r>
        <w:rPr>
          <w:spacing w:val="-12"/>
          <w:sz w:val="20"/>
        </w:rPr>
        <w:t> </w:t>
      </w:r>
      <w:r>
        <w:rPr>
          <w:sz w:val="20"/>
        </w:rPr>
        <w:t>of</w:t>
      </w:r>
      <w:r>
        <w:rPr>
          <w:spacing w:val="-13"/>
          <w:sz w:val="20"/>
        </w:rPr>
        <w:t> </w:t>
      </w:r>
      <w:r>
        <w:rPr>
          <w:sz w:val="20"/>
        </w:rPr>
        <w:t>complex</w:t>
      </w:r>
      <w:r>
        <w:rPr>
          <w:spacing w:val="-12"/>
          <w:sz w:val="20"/>
        </w:rPr>
        <w:t> </w:t>
      </w:r>
      <w:r>
        <w:rPr>
          <w:sz w:val="20"/>
        </w:rPr>
        <w:t>female</w:t>
      </w:r>
      <w:r>
        <w:rPr>
          <w:spacing w:val="-13"/>
          <w:sz w:val="20"/>
        </w:rPr>
        <w:t> </w:t>
      </w:r>
      <w:r>
        <w:rPr>
          <w:sz w:val="20"/>
        </w:rPr>
        <w:t>political</w:t>
      </w:r>
      <w:r>
        <w:rPr>
          <w:spacing w:val="-12"/>
          <w:sz w:val="20"/>
        </w:rPr>
        <w:t> </w:t>
      </w:r>
      <w:r>
        <w:rPr>
          <w:sz w:val="20"/>
        </w:rPr>
        <w:t>maneuvering, rather than just a site of victimization.</w:t>
      </w:r>
    </w:p>
    <w:p>
      <w:pPr>
        <w:pStyle w:val="ListParagraph"/>
        <w:numPr>
          <w:ilvl w:val="1"/>
          <w:numId w:val="52"/>
        </w:numPr>
        <w:tabs>
          <w:tab w:pos="2160" w:val="left" w:leader="none"/>
        </w:tabs>
        <w:spacing w:line="261" w:lineRule="auto" w:before="55" w:after="0"/>
        <w:ind w:left="2160" w:right="1438" w:hanging="240"/>
        <w:jc w:val="both"/>
        <w:rPr>
          <w:sz w:val="20"/>
        </w:rPr>
      </w:pPr>
      <w:r>
        <w:rPr>
          <w:sz w:val="20"/>
        </w:rPr>
        <w:t>Breaking the Fourth Wall: Modern appropriations often use soliloquies for women who previously had none. This allows the character to comment on their own “fictionality” and the constraints</w:t>
      </w:r>
      <w:r>
        <w:rPr>
          <w:spacing w:val="-2"/>
          <w:sz w:val="20"/>
        </w:rPr>
        <w:t> </w:t>
      </w:r>
      <w:r>
        <w:rPr>
          <w:sz w:val="20"/>
        </w:rPr>
        <w:t>placed upon them</w:t>
      </w:r>
      <w:r>
        <w:rPr>
          <w:spacing w:val="-2"/>
          <w:sz w:val="20"/>
        </w:rPr>
        <w:t> </w:t>
      </w:r>
      <w:r>
        <w:rPr>
          <w:sz w:val="20"/>
        </w:rPr>
        <w:t>by</w:t>
      </w:r>
      <w:r>
        <w:rPr>
          <w:spacing w:val="-3"/>
          <w:sz w:val="20"/>
        </w:rPr>
        <w:t> </w:t>
      </w:r>
      <w:r>
        <w:rPr>
          <w:sz w:val="20"/>
        </w:rPr>
        <w:t>Shakespeare, turning the play into</w:t>
      </w:r>
      <w:r>
        <w:rPr>
          <w:spacing w:val="40"/>
          <w:sz w:val="20"/>
        </w:rPr>
        <w:t> </w:t>
      </w:r>
      <w:r>
        <w:rPr>
          <w:sz w:val="20"/>
        </w:rPr>
        <w:t>a</w:t>
      </w:r>
      <w:r>
        <w:rPr>
          <w:spacing w:val="40"/>
          <w:sz w:val="20"/>
        </w:rPr>
        <w:t> </w:t>
      </w:r>
      <w:r>
        <w:rPr>
          <w:sz w:val="20"/>
        </w:rPr>
        <w:t>critique of</w:t>
      </w:r>
      <w:r>
        <w:rPr>
          <w:spacing w:val="40"/>
          <w:sz w:val="20"/>
        </w:rPr>
        <w:t> </w:t>
      </w:r>
      <w:r>
        <w:rPr>
          <w:sz w:val="20"/>
        </w:rPr>
        <w:t>its</w:t>
      </w:r>
      <w:r>
        <w:rPr>
          <w:spacing w:val="40"/>
          <w:sz w:val="20"/>
        </w:rPr>
        <w:t> </w:t>
      </w:r>
      <w:r>
        <w:rPr>
          <w:sz w:val="20"/>
        </w:rPr>
        <w:t>own</w:t>
      </w:r>
      <w:r>
        <w:rPr>
          <w:spacing w:val="40"/>
          <w:sz w:val="20"/>
        </w:rPr>
        <w:t> </w:t>
      </w:r>
      <w:r>
        <w:rPr>
          <w:sz w:val="20"/>
        </w:rPr>
        <w:t>history.</w:t>
      </w:r>
    </w:p>
    <w:p>
      <w:pPr>
        <w:pStyle w:val="ListParagraph"/>
        <w:spacing w:after="0" w:line="261" w:lineRule="auto"/>
        <w:jc w:val="both"/>
        <w:rPr>
          <w:sz w:val="20"/>
        </w:rPr>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81376">
                <wp:simplePos x="0" y="0"/>
                <wp:positionH relativeFrom="page">
                  <wp:posOffset>2065020</wp:posOffset>
                </wp:positionH>
                <wp:positionV relativeFrom="paragraph">
                  <wp:posOffset>795020</wp:posOffset>
                </wp:positionV>
                <wp:extent cx="3657600" cy="12700"/>
                <wp:effectExtent l="0" t="0" r="0" b="0"/>
                <wp:wrapTopAndBottom/>
                <wp:docPr id="543" name="Graphic 543"/>
                <wp:cNvGraphicFramePr>
                  <a:graphicFrameLocks/>
                </wp:cNvGraphicFramePr>
                <a:graphic>
                  <a:graphicData uri="http://schemas.microsoft.com/office/word/2010/wordprocessingShape">
                    <wps:wsp>
                      <wps:cNvPr id="543" name="Graphic 54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35104;mso-wrap-distance-left:0;mso-wrap-distance-right:0" id="docshape538" filled="true" fillcolor="#000000" stroked="false">
                <v:fill type="solid"/>
                <w10:wrap type="topAndBottom"/>
              </v:rect>
            </w:pict>
          </mc:Fallback>
        </mc:AlternateContent>
      </w:r>
      <w:r>
        <w:rPr>
          <w:rFonts w:ascii="Verdana" w:hAnsi="Verdana"/>
          <w:spacing w:val="-2"/>
          <w:sz w:val="18"/>
        </w:rPr>
        <w:t>Reimagining</w:t>
      </w:r>
      <w:r>
        <w:rPr>
          <w:rFonts w:ascii="Verdana" w:hAnsi="Verdana"/>
          <w:spacing w:val="14"/>
          <w:sz w:val="18"/>
        </w:rPr>
        <w:t> </w:t>
      </w:r>
      <w:r>
        <w:rPr>
          <w:rFonts w:ascii="Verdana" w:hAnsi="Verdana"/>
          <w:spacing w:val="-2"/>
          <w:sz w:val="18"/>
        </w:rPr>
        <w:t>Shakespeare’s</w:t>
      </w:r>
      <w:r>
        <w:rPr>
          <w:rFonts w:ascii="Verdana" w:hAnsi="Verdana"/>
          <w:spacing w:val="13"/>
          <w:sz w:val="18"/>
        </w:rPr>
        <w:t> </w:t>
      </w:r>
      <w:r>
        <w:rPr>
          <w:rFonts w:ascii="Verdana" w:hAnsi="Verdana"/>
          <w:spacing w:val="-2"/>
          <w:sz w:val="18"/>
        </w:rPr>
        <w:t>Women:</w:t>
      </w:r>
      <w:r>
        <w:rPr>
          <w:rFonts w:ascii="Verdana" w:hAnsi="Verdana"/>
          <w:spacing w:val="14"/>
          <w:sz w:val="18"/>
        </w:rPr>
        <w:t> </w:t>
      </w:r>
      <w:r>
        <w:rPr>
          <w:rFonts w:ascii="Verdana" w:hAnsi="Verdana"/>
          <w:spacing w:val="-2"/>
          <w:sz w:val="18"/>
        </w:rPr>
        <w:t>Adaptations</w:t>
      </w:r>
      <w:r>
        <w:rPr>
          <w:rFonts w:ascii="Verdana" w:hAnsi="Verdana"/>
          <w:spacing w:val="13"/>
          <w:sz w:val="18"/>
        </w:rPr>
        <w:t> </w:t>
      </w:r>
      <w:r>
        <w:rPr>
          <w:rFonts w:ascii="Verdana" w:hAnsi="Verdana"/>
          <w:spacing w:val="-2"/>
          <w:sz w:val="18"/>
        </w:rPr>
        <w:t>and...</w:t>
      </w:r>
      <w:r>
        <w:rPr>
          <w:sz w:val="18"/>
        </w:rPr>
        <w:tab/>
      </w:r>
      <w:r>
        <w:rPr>
          <w:rFonts w:ascii="Verdana" w:hAnsi="Verdana"/>
          <w:spacing w:val="-5"/>
          <w:sz w:val="18"/>
        </w:rPr>
        <w:t>257</w:t>
      </w:r>
    </w:p>
    <w:p>
      <w:pPr>
        <w:pStyle w:val="Heading5"/>
        <w:numPr>
          <w:ilvl w:val="0"/>
          <w:numId w:val="52"/>
        </w:numPr>
        <w:tabs>
          <w:tab w:pos="1773" w:val="left" w:leader="none"/>
        </w:tabs>
        <w:spacing w:line="244" w:lineRule="auto" w:before="184" w:after="0"/>
        <w:ind w:left="1440" w:right="1437" w:firstLine="0"/>
        <w:jc w:val="left"/>
      </w:pPr>
      <w:r>
        <w:rPr>
          <w:w w:val="105"/>
        </w:rPr>
        <w:t>Cultural</w:t>
      </w:r>
      <w:r>
        <w:rPr>
          <w:spacing w:val="80"/>
          <w:w w:val="150"/>
        </w:rPr>
        <w:t> </w:t>
      </w:r>
      <w:r>
        <w:rPr>
          <w:w w:val="105"/>
        </w:rPr>
        <w:t>Contextualization:</w:t>
      </w:r>
      <w:r>
        <w:rPr>
          <w:spacing w:val="80"/>
          <w:w w:val="150"/>
        </w:rPr>
        <w:t> </w:t>
      </w:r>
      <w:r>
        <w:rPr>
          <w:w w:val="105"/>
        </w:rPr>
        <w:t>The</w:t>
      </w:r>
      <w:r>
        <w:rPr>
          <w:spacing w:val="80"/>
          <w:w w:val="150"/>
        </w:rPr>
        <w:t> </w:t>
      </w:r>
      <w:r>
        <w:rPr>
          <w:w w:val="105"/>
        </w:rPr>
        <w:t>“Global”</w:t>
      </w:r>
      <w:r>
        <w:rPr>
          <w:spacing w:val="80"/>
          <w:w w:val="150"/>
        </w:rPr>
        <w:t> </w:t>
      </w:r>
      <w:r>
        <w:rPr>
          <w:w w:val="105"/>
        </w:rPr>
        <w:t>Lady</w:t>
      </w:r>
      <w:r>
        <w:rPr>
          <w:spacing w:val="80"/>
          <w:w w:val="105"/>
        </w:rPr>
        <w:t> </w:t>
      </w:r>
      <w:r>
        <w:rPr>
          <w:spacing w:val="-2"/>
          <w:w w:val="105"/>
        </w:rPr>
        <w:t>Macbeth</w:t>
      </w:r>
    </w:p>
    <w:p>
      <w:pPr>
        <w:pStyle w:val="BodyText"/>
        <w:spacing w:line="266" w:lineRule="auto" w:before="77"/>
        <w:ind w:right="1441" w:firstLine="432"/>
        <w:jc w:val="both"/>
      </w:pPr>
      <w:r>
        <w:rPr/>
        <w:t>When</w:t>
      </w:r>
      <w:r>
        <w:rPr>
          <w:spacing w:val="-13"/>
        </w:rPr>
        <w:t> </w:t>
      </w:r>
      <w:r>
        <w:rPr/>
        <w:t>a</w:t>
      </w:r>
      <w:r>
        <w:rPr>
          <w:spacing w:val="-12"/>
        </w:rPr>
        <w:t> </w:t>
      </w:r>
      <w:r>
        <w:rPr/>
        <w:t>character</w:t>
      </w:r>
      <w:r>
        <w:rPr>
          <w:spacing w:val="-13"/>
        </w:rPr>
        <w:t> </w:t>
      </w:r>
      <w:r>
        <w:rPr/>
        <w:t>is</w:t>
      </w:r>
      <w:r>
        <w:rPr>
          <w:spacing w:val="-12"/>
        </w:rPr>
        <w:t> </w:t>
      </w:r>
      <w:r>
        <w:rPr/>
        <w:t>extracted</w:t>
      </w:r>
      <w:r>
        <w:rPr>
          <w:spacing w:val="-13"/>
        </w:rPr>
        <w:t> </w:t>
      </w:r>
      <w:r>
        <w:rPr/>
        <w:t>from</w:t>
      </w:r>
      <w:r>
        <w:rPr>
          <w:spacing w:val="-12"/>
        </w:rPr>
        <w:t> </w:t>
      </w:r>
      <w:r>
        <w:rPr/>
        <w:t>Elizabethan</w:t>
      </w:r>
      <w:r>
        <w:rPr>
          <w:spacing w:val="-13"/>
        </w:rPr>
        <w:t> </w:t>
      </w:r>
      <w:r>
        <w:rPr/>
        <w:t>England</w:t>
      </w:r>
      <w:r>
        <w:rPr>
          <w:spacing w:val="-12"/>
        </w:rPr>
        <w:t> </w:t>
      </w:r>
      <w:r>
        <w:rPr/>
        <w:t>and</w:t>
      </w:r>
      <w:r>
        <w:rPr>
          <w:spacing w:val="-13"/>
        </w:rPr>
        <w:t> </w:t>
      </w:r>
      <w:r>
        <w:rPr/>
        <w:t>placed into</w:t>
      </w:r>
      <w:r>
        <w:rPr>
          <w:spacing w:val="-13"/>
        </w:rPr>
        <w:t> </w:t>
      </w:r>
      <w:r>
        <w:rPr/>
        <w:t>a</w:t>
      </w:r>
      <w:r>
        <w:rPr>
          <w:spacing w:val="-12"/>
        </w:rPr>
        <w:t> </w:t>
      </w:r>
      <w:r>
        <w:rPr/>
        <w:t>different</w:t>
      </w:r>
      <w:r>
        <w:rPr>
          <w:spacing w:val="-13"/>
        </w:rPr>
        <w:t> </w:t>
      </w:r>
      <w:r>
        <w:rPr/>
        <w:t>cultural</w:t>
      </w:r>
      <w:r>
        <w:rPr>
          <w:spacing w:val="-12"/>
        </w:rPr>
        <w:t> </w:t>
      </w:r>
      <w:r>
        <w:rPr/>
        <w:t>framework,</w:t>
      </w:r>
      <w:r>
        <w:rPr>
          <w:spacing w:val="-13"/>
        </w:rPr>
        <w:t> </w:t>
      </w:r>
      <w:r>
        <w:rPr/>
        <w:t>the</w:t>
      </w:r>
      <w:r>
        <w:rPr>
          <w:spacing w:val="-12"/>
        </w:rPr>
        <w:t> </w:t>
      </w:r>
      <w:r>
        <w:rPr/>
        <w:t>“appropriateness”</w:t>
      </w:r>
      <w:r>
        <w:rPr>
          <w:spacing w:val="-13"/>
        </w:rPr>
        <w:t> </w:t>
      </w:r>
      <w:r>
        <w:rPr/>
        <w:t>of</w:t>
      </w:r>
      <w:r>
        <w:rPr>
          <w:spacing w:val="-12"/>
        </w:rPr>
        <w:t> </w:t>
      </w:r>
      <w:r>
        <w:rPr/>
        <w:t>their</w:t>
      </w:r>
      <w:r>
        <w:rPr>
          <w:spacing w:val="-13"/>
        </w:rPr>
        <w:t> </w:t>
      </w:r>
      <w:r>
        <w:rPr/>
        <w:t>actions is</w:t>
      </w:r>
      <w:r>
        <w:rPr>
          <w:spacing w:val="40"/>
        </w:rPr>
        <w:t> </w:t>
      </w:r>
      <w:r>
        <w:rPr/>
        <w:t>re-evaluated</w:t>
      </w:r>
      <w:r>
        <w:rPr>
          <w:spacing w:val="40"/>
        </w:rPr>
        <w:t> </w:t>
      </w:r>
      <w:r>
        <w:rPr/>
        <w:t>through</w:t>
      </w:r>
      <w:r>
        <w:rPr>
          <w:spacing w:val="40"/>
        </w:rPr>
        <w:t> </w:t>
      </w:r>
      <w:r>
        <w:rPr/>
        <w:t>new</w:t>
      </w:r>
      <w:r>
        <w:rPr>
          <w:spacing w:val="40"/>
        </w:rPr>
        <w:t> </w:t>
      </w:r>
      <w:r>
        <w:rPr/>
        <w:t>social</w:t>
      </w:r>
      <w:r>
        <w:rPr>
          <w:spacing w:val="40"/>
        </w:rPr>
        <w:t> </w:t>
      </w:r>
      <w:r>
        <w:rPr/>
        <w:t>norms.</w:t>
      </w:r>
    </w:p>
    <w:p>
      <w:pPr>
        <w:pStyle w:val="ListParagraph"/>
        <w:numPr>
          <w:ilvl w:val="1"/>
          <w:numId w:val="52"/>
        </w:numPr>
        <w:tabs>
          <w:tab w:pos="2160" w:val="left" w:leader="none"/>
        </w:tabs>
        <w:spacing w:line="268" w:lineRule="auto" w:before="60" w:after="0"/>
        <w:ind w:left="2160" w:right="1437" w:hanging="240"/>
        <w:jc w:val="both"/>
        <w:rPr>
          <w:sz w:val="20"/>
        </w:rPr>
      </w:pPr>
      <w:r>
        <w:rPr>
          <w:spacing w:val="-2"/>
          <w:sz w:val="20"/>
        </w:rPr>
        <w:t>Maqbool</w:t>
      </w:r>
      <w:r>
        <w:rPr>
          <w:spacing w:val="-5"/>
          <w:sz w:val="20"/>
        </w:rPr>
        <w:t> </w:t>
      </w:r>
      <w:r>
        <w:rPr>
          <w:spacing w:val="-2"/>
          <w:sz w:val="20"/>
        </w:rPr>
        <w:t>(2003)</w:t>
      </w:r>
      <w:r>
        <w:rPr>
          <w:spacing w:val="-3"/>
          <w:sz w:val="20"/>
        </w:rPr>
        <w:t> </w:t>
      </w:r>
      <w:r>
        <w:rPr>
          <w:spacing w:val="-2"/>
          <w:sz w:val="20"/>
        </w:rPr>
        <w:t>and</w:t>
      </w:r>
      <w:r>
        <w:rPr>
          <w:spacing w:val="-3"/>
          <w:sz w:val="20"/>
        </w:rPr>
        <w:t> </w:t>
      </w:r>
      <w:r>
        <w:rPr>
          <w:spacing w:val="-2"/>
          <w:sz w:val="20"/>
        </w:rPr>
        <w:t>the</w:t>
      </w:r>
      <w:r>
        <w:rPr>
          <w:spacing w:val="-4"/>
          <w:sz w:val="20"/>
        </w:rPr>
        <w:t> </w:t>
      </w:r>
      <w:r>
        <w:rPr>
          <w:spacing w:val="-2"/>
          <w:sz w:val="20"/>
        </w:rPr>
        <w:t>Power</w:t>
      </w:r>
      <w:r>
        <w:rPr>
          <w:spacing w:val="-7"/>
          <w:sz w:val="20"/>
        </w:rPr>
        <w:t> </w:t>
      </w:r>
      <w:r>
        <w:rPr>
          <w:spacing w:val="-2"/>
          <w:sz w:val="20"/>
        </w:rPr>
        <w:t>of</w:t>
      </w:r>
      <w:r>
        <w:rPr>
          <w:spacing w:val="-7"/>
          <w:sz w:val="20"/>
        </w:rPr>
        <w:t> </w:t>
      </w:r>
      <w:r>
        <w:rPr>
          <w:spacing w:val="-2"/>
          <w:sz w:val="20"/>
        </w:rPr>
        <w:t>Nimmi:</w:t>
      </w:r>
      <w:r>
        <w:rPr>
          <w:spacing w:val="-5"/>
          <w:sz w:val="20"/>
        </w:rPr>
        <w:t> </w:t>
      </w:r>
      <w:r>
        <w:rPr>
          <w:spacing w:val="-2"/>
          <w:sz w:val="20"/>
        </w:rPr>
        <w:t>In</w:t>
      </w:r>
      <w:r>
        <w:rPr>
          <w:spacing w:val="-9"/>
          <w:sz w:val="20"/>
        </w:rPr>
        <w:t> </w:t>
      </w:r>
      <w:r>
        <w:rPr>
          <w:spacing w:val="-2"/>
          <w:sz w:val="20"/>
        </w:rPr>
        <w:t>Vishal</w:t>
      </w:r>
      <w:r>
        <w:rPr>
          <w:spacing w:val="-5"/>
          <w:sz w:val="20"/>
        </w:rPr>
        <w:t> </w:t>
      </w:r>
      <w:r>
        <w:rPr>
          <w:spacing w:val="-2"/>
          <w:sz w:val="20"/>
        </w:rPr>
        <w:t>Bhardwaj’s </w:t>
      </w:r>
      <w:r>
        <w:rPr>
          <w:spacing w:val="-4"/>
          <w:sz w:val="20"/>
        </w:rPr>
        <w:t>adaptation</w:t>
      </w:r>
      <w:r>
        <w:rPr>
          <w:spacing w:val="-9"/>
          <w:sz w:val="20"/>
        </w:rPr>
        <w:t> </w:t>
      </w:r>
      <w:r>
        <w:rPr>
          <w:spacing w:val="-4"/>
          <w:sz w:val="20"/>
        </w:rPr>
        <w:t>of</w:t>
      </w:r>
      <w:r>
        <w:rPr>
          <w:spacing w:val="-8"/>
          <w:sz w:val="20"/>
        </w:rPr>
        <w:t> </w:t>
      </w:r>
      <w:r>
        <w:rPr>
          <w:i/>
          <w:spacing w:val="-4"/>
          <w:sz w:val="20"/>
        </w:rPr>
        <w:t>Macbeth</w:t>
      </w:r>
      <w:r>
        <w:rPr>
          <w:spacing w:val="-4"/>
          <w:sz w:val="20"/>
        </w:rPr>
        <w:t>,</w:t>
      </w:r>
      <w:r>
        <w:rPr>
          <w:spacing w:val="-5"/>
          <w:sz w:val="20"/>
        </w:rPr>
        <w:t> </w:t>
      </w:r>
      <w:r>
        <w:rPr>
          <w:spacing w:val="-4"/>
          <w:sz w:val="20"/>
        </w:rPr>
        <w:t>Lady</w:t>
      </w:r>
      <w:r>
        <w:rPr>
          <w:spacing w:val="-9"/>
          <w:sz w:val="20"/>
        </w:rPr>
        <w:t> </w:t>
      </w:r>
      <w:r>
        <w:rPr>
          <w:spacing w:val="-4"/>
          <w:sz w:val="20"/>
        </w:rPr>
        <w:t>Macbeth</w:t>
      </w:r>
      <w:r>
        <w:rPr>
          <w:spacing w:val="-8"/>
          <w:sz w:val="20"/>
        </w:rPr>
        <w:t> </w:t>
      </w:r>
      <w:r>
        <w:rPr>
          <w:spacing w:val="-4"/>
          <w:sz w:val="20"/>
        </w:rPr>
        <w:t>becomes</w:t>
      </w:r>
      <w:r>
        <w:rPr>
          <w:spacing w:val="-6"/>
          <w:sz w:val="20"/>
        </w:rPr>
        <w:t> </w:t>
      </w:r>
      <w:r>
        <w:rPr>
          <w:spacing w:val="-4"/>
          <w:sz w:val="20"/>
        </w:rPr>
        <w:t>Nimmi,</w:t>
      </w:r>
      <w:r>
        <w:rPr>
          <w:spacing w:val="-6"/>
          <w:sz w:val="20"/>
        </w:rPr>
        <w:t> </w:t>
      </w:r>
      <w:r>
        <w:rPr>
          <w:spacing w:val="-4"/>
          <w:sz w:val="20"/>
        </w:rPr>
        <w:t>a woman </w:t>
      </w:r>
      <w:r>
        <w:rPr>
          <w:sz w:val="20"/>
        </w:rPr>
        <w:t>trapped</w:t>
      </w:r>
      <w:r>
        <w:rPr>
          <w:spacing w:val="40"/>
          <w:sz w:val="20"/>
        </w:rPr>
        <w:t> </w:t>
      </w:r>
      <w:r>
        <w:rPr>
          <w:sz w:val="20"/>
        </w:rPr>
        <w:t>in</w:t>
      </w:r>
      <w:r>
        <w:rPr>
          <w:spacing w:val="40"/>
          <w:sz w:val="20"/>
        </w:rPr>
        <w:t> </w:t>
      </w:r>
      <w:r>
        <w:rPr>
          <w:sz w:val="20"/>
        </w:rPr>
        <w:t>a</w:t>
      </w:r>
      <w:r>
        <w:rPr>
          <w:spacing w:val="40"/>
          <w:sz w:val="20"/>
        </w:rPr>
        <w:t> </w:t>
      </w:r>
      <w:r>
        <w:rPr>
          <w:sz w:val="20"/>
        </w:rPr>
        <w:t>secondary role</w:t>
      </w:r>
      <w:r>
        <w:rPr>
          <w:spacing w:val="40"/>
          <w:sz w:val="20"/>
        </w:rPr>
        <w:t> </w:t>
      </w:r>
      <w:r>
        <w:rPr>
          <w:sz w:val="20"/>
        </w:rPr>
        <w:t>as</w:t>
      </w:r>
      <w:r>
        <w:rPr>
          <w:spacing w:val="39"/>
          <w:sz w:val="20"/>
        </w:rPr>
        <w:t> </w:t>
      </w:r>
      <w:r>
        <w:rPr>
          <w:sz w:val="20"/>
        </w:rPr>
        <w:t>a</w:t>
      </w:r>
      <w:r>
        <w:rPr>
          <w:spacing w:val="40"/>
          <w:sz w:val="20"/>
        </w:rPr>
        <w:t> </w:t>
      </w:r>
      <w:r>
        <w:rPr>
          <w:sz w:val="20"/>
        </w:rPr>
        <w:t>mafia</w:t>
      </w:r>
      <w:r>
        <w:rPr>
          <w:spacing w:val="40"/>
          <w:sz w:val="20"/>
        </w:rPr>
        <w:t> </w:t>
      </w:r>
      <w:r>
        <w:rPr>
          <w:sz w:val="20"/>
        </w:rPr>
        <w:t>don’s</w:t>
      </w:r>
      <w:r>
        <w:rPr>
          <w:spacing w:val="40"/>
          <w:sz w:val="20"/>
        </w:rPr>
        <w:t> </w:t>
      </w:r>
      <w:r>
        <w:rPr>
          <w:sz w:val="20"/>
        </w:rPr>
        <w:t>mistress.</w:t>
      </w:r>
    </w:p>
    <w:p>
      <w:pPr>
        <w:pStyle w:val="ListParagraph"/>
        <w:numPr>
          <w:ilvl w:val="2"/>
          <w:numId w:val="52"/>
        </w:numPr>
        <w:tabs>
          <w:tab w:pos="2520" w:val="left" w:leader="none"/>
        </w:tabs>
        <w:spacing w:line="268" w:lineRule="auto" w:before="53" w:after="0"/>
        <w:ind w:left="2520" w:right="1440" w:hanging="286"/>
        <w:jc w:val="both"/>
        <w:rPr>
          <w:sz w:val="20"/>
        </w:rPr>
      </w:pPr>
      <w:r>
        <w:rPr>
          <w:sz w:val="20"/>
        </w:rPr>
        <w:t>The Shift: Her ambition isn’t just a quest for a crown; it</w:t>
      </w:r>
      <w:r>
        <w:rPr>
          <w:spacing w:val="80"/>
          <w:sz w:val="20"/>
        </w:rPr>
        <w:t> </w:t>
      </w:r>
      <w:r>
        <w:rPr>
          <w:sz w:val="20"/>
        </w:rPr>
        <w:t>is a quest for legitimacy and survival in a patriarchal </w:t>
      </w:r>
      <w:r>
        <w:rPr>
          <w:spacing w:val="-2"/>
          <w:sz w:val="20"/>
        </w:rPr>
        <w:t>underworld.</w:t>
      </w:r>
    </w:p>
    <w:p>
      <w:pPr>
        <w:pStyle w:val="ListParagraph"/>
        <w:numPr>
          <w:ilvl w:val="2"/>
          <w:numId w:val="52"/>
        </w:numPr>
        <w:tabs>
          <w:tab w:pos="2520" w:val="left" w:leader="none"/>
        </w:tabs>
        <w:spacing w:line="266" w:lineRule="auto" w:before="55" w:after="0"/>
        <w:ind w:left="2520" w:right="1439" w:hanging="286"/>
        <w:jc w:val="both"/>
        <w:rPr>
          <w:sz w:val="20"/>
        </w:rPr>
      </w:pPr>
      <w:r>
        <w:rPr>
          <w:sz w:val="20"/>
        </w:rPr>
        <w:t>The Result: The “unsex me here” motif is replaced with a desperate</w:t>
      </w:r>
      <w:r>
        <w:rPr>
          <w:spacing w:val="-13"/>
          <w:sz w:val="20"/>
        </w:rPr>
        <w:t> </w:t>
      </w:r>
      <w:r>
        <w:rPr>
          <w:sz w:val="20"/>
        </w:rPr>
        <w:t>need</w:t>
      </w:r>
      <w:r>
        <w:rPr>
          <w:spacing w:val="-12"/>
          <w:sz w:val="20"/>
        </w:rPr>
        <w:t> </w:t>
      </w:r>
      <w:r>
        <w:rPr>
          <w:sz w:val="20"/>
        </w:rPr>
        <w:t>for</w:t>
      </w:r>
      <w:r>
        <w:rPr>
          <w:spacing w:val="-13"/>
          <w:sz w:val="20"/>
        </w:rPr>
        <w:t> </w:t>
      </w:r>
      <w:r>
        <w:rPr>
          <w:sz w:val="20"/>
        </w:rPr>
        <w:t>a</w:t>
      </w:r>
      <w:r>
        <w:rPr>
          <w:spacing w:val="-12"/>
          <w:sz w:val="20"/>
        </w:rPr>
        <w:t> </w:t>
      </w:r>
      <w:r>
        <w:rPr>
          <w:sz w:val="20"/>
        </w:rPr>
        <w:t>domestic</w:t>
      </w:r>
      <w:r>
        <w:rPr>
          <w:spacing w:val="-13"/>
          <w:sz w:val="20"/>
        </w:rPr>
        <w:t> </w:t>
      </w:r>
      <w:r>
        <w:rPr>
          <w:sz w:val="20"/>
        </w:rPr>
        <w:t>identity,</w:t>
      </w:r>
      <w:r>
        <w:rPr>
          <w:spacing w:val="-12"/>
          <w:sz w:val="20"/>
        </w:rPr>
        <w:t> </w:t>
      </w:r>
      <w:r>
        <w:rPr>
          <w:sz w:val="20"/>
        </w:rPr>
        <w:t>making</w:t>
      </w:r>
      <w:r>
        <w:rPr>
          <w:spacing w:val="-13"/>
          <w:sz w:val="20"/>
        </w:rPr>
        <w:t> </w:t>
      </w:r>
      <w:r>
        <w:rPr>
          <w:sz w:val="20"/>
        </w:rPr>
        <w:t>her</w:t>
      </w:r>
      <w:r>
        <w:rPr>
          <w:spacing w:val="-12"/>
          <w:sz w:val="20"/>
        </w:rPr>
        <w:t> </w:t>
      </w:r>
      <w:r>
        <w:rPr>
          <w:sz w:val="20"/>
        </w:rPr>
        <w:t>far</w:t>
      </w:r>
      <w:r>
        <w:rPr>
          <w:spacing w:val="-13"/>
          <w:sz w:val="20"/>
        </w:rPr>
        <w:t> </w:t>
      </w:r>
      <w:r>
        <w:rPr>
          <w:sz w:val="20"/>
        </w:rPr>
        <w:t>more sympathetic</w:t>
      </w:r>
      <w:r>
        <w:rPr>
          <w:spacing w:val="-5"/>
          <w:sz w:val="20"/>
        </w:rPr>
        <w:t> </w:t>
      </w:r>
      <w:r>
        <w:rPr>
          <w:sz w:val="20"/>
        </w:rPr>
        <w:t>and</w:t>
      </w:r>
      <w:r>
        <w:rPr>
          <w:spacing w:val="-5"/>
          <w:sz w:val="20"/>
        </w:rPr>
        <w:t> </w:t>
      </w:r>
      <w:r>
        <w:rPr>
          <w:sz w:val="20"/>
        </w:rPr>
        <w:t>humanized</w:t>
      </w:r>
      <w:r>
        <w:rPr>
          <w:spacing w:val="-3"/>
          <w:sz w:val="20"/>
        </w:rPr>
        <w:t> </w:t>
      </w:r>
      <w:r>
        <w:rPr>
          <w:sz w:val="20"/>
        </w:rPr>
        <w:t>than</w:t>
      </w:r>
      <w:r>
        <w:rPr>
          <w:spacing w:val="-6"/>
          <w:sz w:val="20"/>
        </w:rPr>
        <w:t> </w:t>
      </w:r>
      <w:r>
        <w:rPr>
          <w:sz w:val="20"/>
        </w:rPr>
        <w:t>the</w:t>
      </w:r>
      <w:r>
        <w:rPr>
          <w:spacing w:val="-5"/>
          <w:sz w:val="20"/>
        </w:rPr>
        <w:t> </w:t>
      </w:r>
      <w:r>
        <w:rPr>
          <w:sz w:val="20"/>
        </w:rPr>
        <w:t>“fiend-like</w:t>
      </w:r>
      <w:r>
        <w:rPr>
          <w:spacing w:val="-6"/>
          <w:sz w:val="20"/>
        </w:rPr>
        <w:t> </w:t>
      </w:r>
      <w:r>
        <w:rPr>
          <w:sz w:val="20"/>
        </w:rPr>
        <w:t>queen”</w:t>
      </w:r>
      <w:r>
        <w:rPr>
          <w:spacing w:val="-4"/>
          <w:sz w:val="20"/>
        </w:rPr>
        <w:t> </w:t>
      </w:r>
      <w:r>
        <w:rPr>
          <w:sz w:val="20"/>
        </w:rPr>
        <w:t>of the original text.</w:t>
      </w:r>
    </w:p>
    <w:p>
      <w:pPr>
        <w:pStyle w:val="ListParagraph"/>
        <w:numPr>
          <w:ilvl w:val="1"/>
          <w:numId w:val="52"/>
        </w:numPr>
        <w:tabs>
          <w:tab w:pos="2160" w:val="left" w:leader="none"/>
        </w:tabs>
        <w:spacing w:line="266" w:lineRule="auto" w:before="59" w:after="0"/>
        <w:ind w:left="2160" w:right="1439" w:hanging="240"/>
        <w:jc w:val="both"/>
        <w:rPr>
          <w:sz w:val="20"/>
        </w:rPr>
      </w:pPr>
      <w:r>
        <w:rPr>
          <w:sz w:val="20"/>
        </w:rPr>
        <w:t>Transnational</w:t>
      </w:r>
      <w:r>
        <w:rPr>
          <w:spacing w:val="-4"/>
          <w:sz w:val="20"/>
        </w:rPr>
        <w:t> </w:t>
      </w:r>
      <w:r>
        <w:rPr>
          <w:sz w:val="20"/>
        </w:rPr>
        <w:t>Feminism:</w:t>
      </w:r>
      <w:r>
        <w:rPr>
          <w:spacing w:val="-3"/>
          <w:sz w:val="20"/>
        </w:rPr>
        <w:t> </w:t>
      </w:r>
      <w:r>
        <w:rPr>
          <w:sz w:val="20"/>
        </w:rPr>
        <w:t>Moving</w:t>
      </w:r>
      <w:r>
        <w:rPr>
          <w:spacing w:val="-6"/>
          <w:sz w:val="20"/>
        </w:rPr>
        <w:t> </w:t>
      </w:r>
      <w:r>
        <w:rPr>
          <w:sz w:val="20"/>
        </w:rPr>
        <w:t>Shakespeare’s</w:t>
      </w:r>
      <w:r>
        <w:rPr>
          <w:spacing w:val="-3"/>
          <w:sz w:val="20"/>
        </w:rPr>
        <w:t> </w:t>
      </w:r>
      <w:r>
        <w:rPr>
          <w:sz w:val="20"/>
        </w:rPr>
        <w:t>women</w:t>
      </w:r>
      <w:r>
        <w:rPr>
          <w:spacing w:val="-4"/>
          <w:sz w:val="20"/>
        </w:rPr>
        <w:t> </w:t>
      </w:r>
      <w:r>
        <w:rPr>
          <w:sz w:val="20"/>
        </w:rPr>
        <w:t>to</w:t>
      </w:r>
      <w:r>
        <w:rPr>
          <w:spacing w:val="-3"/>
          <w:sz w:val="20"/>
        </w:rPr>
        <w:t> </w:t>
      </w:r>
      <w:r>
        <w:rPr>
          <w:sz w:val="20"/>
        </w:rPr>
        <w:t>the Global</w:t>
      </w:r>
      <w:r>
        <w:rPr>
          <w:spacing w:val="-11"/>
          <w:sz w:val="20"/>
        </w:rPr>
        <w:t> </w:t>
      </w:r>
      <w:r>
        <w:rPr>
          <w:sz w:val="20"/>
        </w:rPr>
        <w:t>South</w:t>
      </w:r>
      <w:r>
        <w:rPr>
          <w:spacing w:val="-10"/>
          <w:sz w:val="20"/>
        </w:rPr>
        <w:t> </w:t>
      </w:r>
      <w:r>
        <w:rPr>
          <w:sz w:val="20"/>
        </w:rPr>
        <w:t>often</w:t>
      </w:r>
      <w:r>
        <w:rPr>
          <w:spacing w:val="-11"/>
          <w:sz w:val="20"/>
        </w:rPr>
        <w:t> </w:t>
      </w:r>
      <w:r>
        <w:rPr>
          <w:sz w:val="20"/>
        </w:rPr>
        <w:t>highlights</w:t>
      </w:r>
      <w:r>
        <w:rPr>
          <w:spacing w:val="-10"/>
          <w:sz w:val="20"/>
        </w:rPr>
        <w:t> </w:t>
      </w:r>
      <w:r>
        <w:rPr>
          <w:sz w:val="20"/>
        </w:rPr>
        <w:t>issues</w:t>
      </w:r>
      <w:r>
        <w:rPr>
          <w:spacing w:val="-11"/>
          <w:sz w:val="20"/>
        </w:rPr>
        <w:t> </w:t>
      </w:r>
      <w:r>
        <w:rPr>
          <w:sz w:val="20"/>
        </w:rPr>
        <w:t>like</w:t>
      </w:r>
      <w:r>
        <w:rPr>
          <w:spacing w:val="-8"/>
          <w:sz w:val="20"/>
        </w:rPr>
        <w:t> </w:t>
      </w:r>
      <w:r>
        <w:rPr>
          <w:sz w:val="20"/>
        </w:rPr>
        <w:t>dowry,</w:t>
      </w:r>
      <w:r>
        <w:rPr>
          <w:spacing w:val="-10"/>
          <w:sz w:val="20"/>
        </w:rPr>
        <w:t> </w:t>
      </w:r>
      <w:r>
        <w:rPr>
          <w:sz w:val="20"/>
        </w:rPr>
        <w:t>honor</w:t>
      </w:r>
      <w:r>
        <w:rPr>
          <w:spacing w:val="-8"/>
          <w:sz w:val="20"/>
        </w:rPr>
        <w:t> </w:t>
      </w:r>
      <w:r>
        <w:rPr>
          <w:sz w:val="20"/>
        </w:rPr>
        <w:t>killings, or colonial displacement. By doing so, the “appropriation” serves a dual purpose: it honors the character’s strength while using Shakespeare’s cultural capital to bring attention to modern-day</w:t>
      </w:r>
      <w:r>
        <w:rPr>
          <w:spacing w:val="40"/>
          <w:sz w:val="20"/>
        </w:rPr>
        <w:t> </w:t>
      </w:r>
      <w:r>
        <w:rPr>
          <w:sz w:val="20"/>
        </w:rPr>
        <w:t>injustices.</w:t>
      </w:r>
    </w:p>
    <w:p>
      <w:pPr>
        <w:pStyle w:val="Heading5"/>
        <w:numPr>
          <w:ilvl w:val="0"/>
          <w:numId w:val="52"/>
        </w:numPr>
        <w:tabs>
          <w:tab w:pos="1738" w:val="left" w:leader="none"/>
        </w:tabs>
        <w:spacing w:line="240" w:lineRule="auto" w:before="114" w:after="0"/>
        <w:ind w:left="1738" w:right="0" w:hanging="298"/>
        <w:jc w:val="left"/>
      </w:pPr>
      <w:r>
        <w:rPr>
          <w:w w:val="105"/>
        </w:rPr>
        <w:t>The</w:t>
      </w:r>
      <w:r>
        <w:rPr>
          <w:spacing w:val="62"/>
          <w:w w:val="105"/>
        </w:rPr>
        <w:t> </w:t>
      </w:r>
      <w:r>
        <w:rPr>
          <w:w w:val="105"/>
        </w:rPr>
        <w:t>Logic</w:t>
      </w:r>
      <w:r>
        <w:rPr>
          <w:spacing w:val="62"/>
          <w:w w:val="105"/>
        </w:rPr>
        <w:t> </w:t>
      </w:r>
      <w:r>
        <w:rPr>
          <w:w w:val="105"/>
        </w:rPr>
        <w:t>of</w:t>
      </w:r>
      <w:r>
        <w:rPr>
          <w:spacing w:val="61"/>
          <w:w w:val="105"/>
        </w:rPr>
        <w:t> </w:t>
      </w:r>
      <w:r>
        <w:rPr>
          <w:spacing w:val="-2"/>
          <w:w w:val="105"/>
        </w:rPr>
        <w:t>“Extraction”</w:t>
      </w:r>
    </w:p>
    <w:p>
      <w:pPr>
        <w:pStyle w:val="BodyText"/>
        <w:spacing w:line="268" w:lineRule="auto" w:before="88"/>
        <w:ind w:right="1441" w:firstLine="432"/>
        <w:jc w:val="both"/>
      </w:pPr>
      <w:r>
        <w:rPr/>
        <w:t>The process of extraction follows a specific trajectory that moves away from the “Universal Shakespeare” myth:</w:t>
      </w:r>
    </w:p>
    <w:p>
      <w:pPr>
        <w:pStyle w:val="BodyText"/>
        <w:spacing w:before="6"/>
        <w:ind w:left="0"/>
        <w:rPr>
          <w:sz w:val="13"/>
        </w:rPr>
      </w:pPr>
    </w:p>
    <w:tbl>
      <w:tblPr>
        <w:tblW w:w="0" w:type="auto"/>
        <w:jc w:val="left"/>
        <w:tblInd w:w="15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99"/>
        <w:gridCol w:w="2046"/>
        <w:gridCol w:w="2419"/>
      </w:tblGrid>
      <w:tr>
        <w:trPr>
          <w:trHeight w:val="172" w:hRule="atLeast"/>
        </w:trPr>
        <w:tc>
          <w:tcPr>
            <w:tcW w:w="1099" w:type="dxa"/>
          </w:tcPr>
          <w:p>
            <w:pPr>
              <w:pStyle w:val="TableParagraph"/>
              <w:spacing w:line="150" w:lineRule="exact" w:before="2"/>
              <w:ind w:left="70"/>
              <w:rPr>
                <w:b/>
                <w:sz w:val="15"/>
              </w:rPr>
            </w:pPr>
            <w:r>
              <w:rPr>
                <w:b/>
                <w:spacing w:val="-2"/>
                <w:w w:val="105"/>
                <w:sz w:val="15"/>
              </w:rPr>
              <w:t>Stage</w:t>
            </w:r>
          </w:p>
        </w:tc>
        <w:tc>
          <w:tcPr>
            <w:tcW w:w="2046" w:type="dxa"/>
            <w:tcBorders>
              <w:right w:val="single" w:sz="4" w:space="0" w:color="000000"/>
            </w:tcBorders>
          </w:tcPr>
          <w:p>
            <w:pPr>
              <w:pStyle w:val="TableParagraph"/>
              <w:spacing w:line="150" w:lineRule="exact" w:before="2"/>
              <w:ind w:left="70"/>
              <w:rPr>
                <w:b/>
                <w:sz w:val="15"/>
              </w:rPr>
            </w:pPr>
            <w:r>
              <w:rPr>
                <w:b/>
                <w:spacing w:val="-2"/>
                <w:w w:val="105"/>
                <w:sz w:val="15"/>
              </w:rPr>
              <w:t>Action</w:t>
            </w:r>
          </w:p>
        </w:tc>
        <w:tc>
          <w:tcPr>
            <w:tcW w:w="2419" w:type="dxa"/>
            <w:tcBorders>
              <w:left w:val="single" w:sz="4" w:space="0" w:color="000000"/>
              <w:right w:val="single" w:sz="4" w:space="0" w:color="000000"/>
            </w:tcBorders>
          </w:tcPr>
          <w:p>
            <w:pPr>
              <w:pStyle w:val="TableParagraph"/>
              <w:spacing w:line="150" w:lineRule="exact" w:before="2"/>
              <w:ind w:left="74"/>
              <w:rPr>
                <w:b/>
                <w:sz w:val="15"/>
              </w:rPr>
            </w:pPr>
            <w:r>
              <w:rPr>
                <w:b/>
                <w:w w:val="105"/>
                <w:sz w:val="15"/>
              </w:rPr>
              <w:t>Narrative</w:t>
            </w:r>
            <w:r>
              <w:rPr>
                <w:b/>
                <w:spacing w:val="-3"/>
                <w:w w:val="105"/>
                <w:sz w:val="15"/>
              </w:rPr>
              <w:t> </w:t>
            </w:r>
            <w:r>
              <w:rPr>
                <w:b/>
                <w:spacing w:val="-2"/>
                <w:w w:val="105"/>
                <w:sz w:val="15"/>
              </w:rPr>
              <w:t>Result</w:t>
            </w:r>
          </w:p>
        </w:tc>
      </w:tr>
      <w:tr>
        <w:trPr>
          <w:trHeight w:val="355" w:hRule="atLeast"/>
        </w:trPr>
        <w:tc>
          <w:tcPr>
            <w:tcW w:w="1099" w:type="dxa"/>
            <w:tcBorders>
              <w:bottom w:val="single" w:sz="4" w:space="0" w:color="000000"/>
            </w:tcBorders>
          </w:tcPr>
          <w:p>
            <w:pPr>
              <w:pStyle w:val="TableParagraph"/>
              <w:spacing w:before="2"/>
              <w:ind w:left="70"/>
              <w:rPr>
                <w:b/>
                <w:sz w:val="15"/>
              </w:rPr>
            </w:pPr>
            <w:r>
              <w:rPr>
                <w:b/>
                <w:spacing w:val="-2"/>
                <w:w w:val="105"/>
                <w:sz w:val="15"/>
              </w:rPr>
              <w:t>Isolation</w:t>
            </w:r>
          </w:p>
        </w:tc>
        <w:tc>
          <w:tcPr>
            <w:tcW w:w="2046" w:type="dxa"/>
            <w:tcBorders>
              <w:bottom w:val="single" w:sz="4" w:space="0" w:color="000000"/>
              <w:right w:val="single" w:sz="4" w:space="0" w:color="000000"/>
            </w:tcBorders>
          </w:tcPr>
          <w:p>
            <w:pPr>
              <w:pStyle w:val="TableParagraph"/>
              <w:spacing w:line="172" w:lineRule="exact"/>
              <w:ind w:left="70"/>
              <w:rPr>
                <w:sz w:val="15"/>
              </w:rPr>
            </w:pPr>
            <w:r>
              <w:rPr>
                <w:w w:val="105"/>
                <w:sz w:val="15"/>
              </w:rPr>
              <w:t>Removing</w:t>
            </w:r>
            <w:r>
              <w:rPr>
                <w:spacing w:val="51"/>
                <w:w w:val="105"/>
                <w:sz w:val="15"/>
              </w:rPr>
              <w:t> </w:t>
            </w:r>
            <w:r>
              <w:rPr>
                <w:w w:val="105"/>
                <w:sz w:val="15"/>
              </w:rPr>
              <w:t>the</w:t>
            </w:r>
            <w:r>
              <w:rPr>
                <w:spacing w:val="52"/>
                <w:w w:val="105"/>
                <w:sz w:val="15"/>
              </w:rPr>
              <w:t> </w:t>
            </w:r>
            <w:r>
              <w:rPr>
                <w:w w:val="105"/>
                <w:sz w:val="15"/>
              </w:rPr>
              <w:t>woman</w:t>
            </w:r>
            <w:r>
              <w:rPr>
                <w:spacing w:val="56"/>
                <w:w w:val="105"/>
                <w:sz w:val="15"/>
              </w:rPr>
              <w:t> </w:t>
            </w:r>
            <w:r>
              <w:rPr>
                <w:spacing w:val="-4"/>
                <w:w w:val="105"/>
                <w:sz w:val="15"/>
              </w:rPr>
              <w:t>from</w:t>
            </w:r>
          </w:p>
          <w:p>
            <w:pPr>
              <w:pStyle w:val="TableParagraph"/>
              <w:spacing w:line="156" w:lineRule="exact" w:before="7"/>
              <w:ind w:left="70"/>
              <w:rPr>
                <w:sz w:val="15"/>
              </w:rPr>
            </w:pPr>
            <w:r>
              <w:rPr>
                <w:w w:val="105"/>
                <w:sz w:val="15"/>
              </w:rPr>
              <w:t>the</w:t>
            </w:r>
            <w:r>
              <w:rPr>
                <w:spacing w:val="-3"/>
                <w:w w:val="105"/>
                <w:sz w:val="15"/>
              </w:rPr>
              <w:t> </w:t>
            </w:r>
            <w:r>
              <w:rPr>
                <w:w w:val="105"/>
                <w:sz w:val="15"/>
              </w:rPr>
              <w:t>male</w:t>
            </w:r>
            <w:r>
              <w:rPr>
                <w:spacing w:val="-3"/>
                <w:w w:val="105"/>
                <w:sz w:val="15"/>
              </w:rPr>
              <w:t> </w:t>
            </w:r>
            <w:r>
              <w:rPr>
                <w:w w:val="105"/>
                <w:sz w:val="15"/>
              </w:rPr>
              <w:t>hero's</w:t>
            </w:r>
            <w:r>
              <w:rPr>
                <w:spacing w:val="-2"/>
                <w:w w:val="105"/>
                <w:sz w:val="15"/>
              </w:rPr>
              <w:t> shadow.</w:t>
            </w:r>
          </w:p>
        </w:tc>
        <w:tc>
          <w:tcPr>
            <w:tcW w:w="2419" w:type="dxa"/>
            <w:tcBorders>
              <w:left w:val="single" w:sz="4" w:space="0" w:color="000000"/>
              <w:bottom w:val="single" w:sz="4" w:space="0" w:color="000000"/>
              <w:right w:val="single" w:sz="4" w:space="0" w:color="000000"/>
            </w:tcBorders>
          </w:tcPr>
          <w:p>
            <w:pPr>
              <w:pStyle w:val="TableParagraph"/>
              <w:tabs>
                <w:tab w:pos="554" w:val="left" w:leader="none"/>
                <w:tab w:pos="1368" w:val="left" w:leader="none"/>
                <w:tab w:pos="2159" w:val="left" w:leader="none"/>
              </w:tabs>
              <w:spacing w:line="172" w:lineRule="exact"/>
              <w:ind w:left="74"/>
              <w:rPr>
                <w:sz w:val="15"/>
              </w:rPr>
            </w:pPr>
            <w:r>
              <w:rPr>
                <w:spacing w:val="-5"/>
                <w:w w:val="105"/>
                <w:sz w:val="15"/>
              </w:rPr>
              <w:t>The</w:t>
            </w:r>
            <w:r>
              <w:rPr>
                <w:sz w:val="15"/>
              </w:rPr>
              <w:tab/>
            </w:r>
            <w:r>
              <w:rPr>
                <w:spacing w:val="-2"/>
                <w:w w:val="105"/>
                <w:sz w:val="15"/>
              </w:rPr>
              <w:t>character</w:t>
            </w:r>
            <w:r>
              <w:rPr>
                <w:sz w:val="15"/>
              </w:rPr>
              <w:tab/>
            </w:r>
            <w:r>
              <w:rPr>
                <w:spacing w:val="-2"/>
                <w:w w:val="105"/>
                <w:sz w:val="15"/>
              </w:rPr>
              <w:t>becomes</w:t>
            </w:r>
            <w:r>
              <w:rPr>
                <w:sz w:val="15"/>
              </w:rPr>
              <w:tab/>
            </w:r>
            <w:r>
              <w:rPr>
                <w:spacing w:val="-5"/>
                <w:w w:val="105"/>
                <w:sz w:val="15"/>
              </w:rPr>
              <w:t>the</w:t>
            </w:r>
          </w:p>
          <w:p>
            <w:pPr>
              <w:pStyle w:val="TableParagraph"/>
              <w:spacing w:line="156" w:lineRule="exact" w:before="7"/>
              <w:ind w:left="74"/>
              <w:rPr>
                <w:sz w:val="15"/>
              </w:rPr>
            </w:pPr>
            <w:r>
              <w:rPr>
                <w:w w:val="105"/>
                <w:sz w:val="15"/>
              </w:rPr>
              <w:t>"Primary</w:t>
            </w:r>
            <w:r>
              <w:rPr>
                <w:spacing w:val="-6"/>
                <w:w w:val="105"/>
                <w:sz w:val="15"/>
              </w:rPr>
              <w:t> </w:t>
            </w:r>
            <w:r>
              <w:rPr>
                <w:spacing w:val="-2"/>
                <w:w w:val="105"/>
                <w:sz w:val="15"/>
              </w:rPr>
              <w:t>Observer."</w:t>
            </w:r>
          </w:p>
        </w:tc>
      </w:tr>
      <w:tr>
        <w:trPr>
          <w:trHeight w:val="538" w:hRule="atLeast"/>
        </w:trPr>
        <w:tc>
          <w:tcPr>
            <w:tcW w:w="1099" w:type="dxa"/>
            <w:tcBorders>
              <w:top w:val="single" w:sz="4" w:space="0" w:color="000000"/>
            </w:tcBorders>
          </w:tcPr>
          <w:p>
            <w:pPr>
              <w:pStyle w:val="TableParagraph"/>
              <w:spacing w:line="249" w:lineRule="auto" w:before="6"/>
              <w:ind w:left="70" w:right="151"/>
              <w:rPr>
                <w:b/>
                <w:sz w:val="15"/>
              </w:rPr>
            </w:pPr>
            <w:r>
              <w:rPr>
                <w:b/>
                <w:w w:val="105"/>
                <w:sz w:val="15"/>
              </w:rPr>
              <w:t>Re-</w:t>
            </w:r>
            <w:r>
              <w:rPr>
                <w:b/>
                <w:spacing w:val="-2"/>
                <w:w w:val="105"/>
                <w:sz w:val="15"/>
              </w:rPr>
              <w:t>Socialization</w:t>
            </w:r>
          </w:p>
        </w:tc>
        <w:tc>
          <w:tcPr>
            <w:tcW w:w="2046" w:type="dxa"/>
            <w:tcBorders>
              <w:top w:val="single" w:sz="4" w:space="0" w:color="000000"/>
              <w:right w:val="single" w:sz="4" w:space="0" w:color="000000"/>
            </w:tcBorders>
          </w:tcPr>
          <w:p>
            <w:pPr>
              <w:pStyle w:val="TableParagraph"/>
              <w:spacing w:line="254" w:lineRule="auto" w:before="1"/>
              <w:ind w:left="70" w:right="53"/>
              <w:rPr>
                <w:sz w:val="15"/>
              </w:rPr>
            </w:pPr>
            <w:r>
              <w:rPr>
                <w:w w:val="105"/>
                <w:sz w:val="15"/>
              </w:rPr>
              <w:t>Placing</w:t>
            </w:r>
            <w:r>
              <w:rPr>
                <w:spacing w:val="36"/>
                <w:w w:val="105"/>
                <w:sz w:val="15"/>
              </w:rPr>
              <w:t> </w:t>
            </w:r>
            <w:r>
              <w:rPr>
                <w:w w:val="105"/>
                <w:sz w:val="15"/>
              </w:rPr>
              <w:t>her</w:t>
            </w:r>
            <w:r>
              <w:rPr>
                <w:spacing w:val="37"/>
                <w:w w:val="105"/>
                <w:sz w:val="15"/>
              </w:rPr>
              <w:t> </w:t>
            </w:r>
            <w:r>
              <w:rPr>
                <w:w w:val="105"/>
                <w:sz w:val="15"/>
              </w:rPr>
              <w:t>in</w:t>
            </w:r>
            <w:r>
              <w:rPr>
                <w:spacing w:val="39"/>
                <w:w w:val="105"/>
                <w:sz w:val="15"/>
              </w:rPr>
              <w:t> </w:t>
            </w:r>
            <w:r>
              <w:rPr>
                <w:w w:val="105"/>
                <w:sz w:val="15"/>
              </w:rPr>
              <w:t>a</w:t>
            </w:r>
            <w:r>
              <w:rPr>
                <w:spacing w:val="40"/>
                <w:w w:val="105"/>
                <w:sz w:val="15"/>
              </w:rPr>
              <w:t> </w:t>
            </w:r>
            <w:r>
              <w:rPr>
                <w:w w:val="105"/>
                <w:sz w:val="15"/>
              </w:rPr>
              <w:t>modern</w:t>
            </w:r>
            <w:r>
              <w:rPr>
                <w:spacing w:val="40"/>
                <w:w w:val="105"/>
                <w:sz w:val="15"/>
              </w:rPr>
              <w:t> </w:t>
            </w:r>
            <w:r>
              <w:rPr>
                <w:w w:val="105"/>
                <w:sz w:val="15"/>
              </w:rPr>
              <w:t>or</w:t>
            </w:r>
            <w:r>
              <w:rPr>
                <w:spacing w:val="40"/>
                <w:w w:val="105"/>
                <w:sz w:val="15"/>
              </w:rPr>
              <w:t> </w:t>
            </w:r>
            <w:r>
              <w:rPr>
                <w:w w:val="105"/>
                <w:sz w:val="15"/>
              </w:rPr>
              <w:t>non-Western</w:t>
            </w:r>
            <w:r>
              <w:rPr>
                <w:spacing w:val="-3"/>
                <w:w w:val="105"/>
                <w:sz w:val="15"/>
              </w:rPr>
              <w:t> </w:t>
            </w:r>
            <w:r>
              <w:rPr>
                <w:w w:val="105"/>
                <w:sz w:val="15"/>
              </w:rPr>
              <w:t>hierarchy.</w:t>
            </w:r>
          </w:p>
        </w:tc>
        <w:tc>
          <w:tcPr>
            <w:tcW w:w="2419" w:type="dxa"/>
            <w:tcBorders>
              <w:top w:val="single" w:sz="4" w:space="0" w:color="000000"/>
              <w:left w:val="single" w:sz="4" w:space="0" w:color="000000"/>
              <w:right w:val="single" w:sz="4" w:space="0" w:color="000000"/>
            </w:tcBorders>
          </w:tcPr>
          <w:p>
            <w:pPr>
              <w:pStyle w:val="TableParagraph"/>
              <w:spacing w:before="1"/>
              <w:ind w:left="74"/>
              <w:rPr>
                <w:sz w:val="15"/>
              </w:rPr>
            </w:pPr>
            <w:r>
              <w:rPr>
                <w:w w:val="105"/>
                <w:sz w:val="15"/>
              </w:rPr>
              <w:t>Her</w:t>
            </w:r>
            <w:r>
              <w:rPr>
                <w:spacing w:val="32"/>
                <w:w w:val="105"/>
                <w:sz w:val="15"/>
              </w:rPr>
              <w:t>  </w:t>
            </w:r>
            <w:r>
              <w:rPr>
                <w:w w:val="105"/>
                <w:sz w:val="15"/>
              </w:rPr>
              <w:t>motivations</w:t>
            </w:r>
            <w:r>
              <w:rPr>
                <w:spacing w:val="33"/>
                <w:w w:val="105"/>
                <w:sz w:val="15"/>
              </w:rPr>
              <w:t>  </w:t>
            </w:r>
            <w:r>
              <w:rPr>
                <w:w w:val="105"/>
                <w:sz w:val="15"/>
              </w:rPr>
              <w:t>are</w:t>
            </w:r>
            <w:r>
              <w:rPr>
                <w:spacing w:val="32"/>
                <w:w w:val="105"/>
                <w:sz w:val="15"/>
              </w:rPr>
              <w:t>  </w:t>
            </w:r>
            <w:r>
              <w:rPr>
                <w:w w:val="105"/>
                <w:sz w:val="15"/>
              </w:rPr>
              <w:t>linked</w:t>
            </w:r>
            <w:r>
              <w:rPr>
                <w:spacing w:val="33"/>
                <w:w w:val="105"/>
                <w:sz w:val="15"/>
              </w:rPr>
              <w:t>  </w:t>
            </w:r>
            <w:r>
              <w:rPr>
                <w:spacing w:val="-5"/>
                <w:w w:val="105"/>
                <w:sz w:val="15"/>
              </w:rPr>
              <w:t>to</w:t>
            </w:r>
          </w:p>
          <w:p>
            <w:pPr>
              <w:pStyle w:val="TableParagraph"/>
              <w:spacing w:line="180" w:lineRule="atLeast"/>
              <w:ind w:left="74"/>
              <w:rPr>
                <w:sz w:val="15"/>
              </w:rPr>
            </w:pPr>
            <w:r>
              <w:rPr>
                <w:w w:val="105"/>
                <w:sz w:val="15"/>
              </w:rPr>
              <w:t>systemic</w:t>
            </w:r>
            <w:r>
              <w:rPr>
                <w:spacing w:val="40"/>
                <w:w w:val="105"/>
                <w:sz w:val="15"/>
              </w:rPr>
              <w:t> </w:t>
            </w:r>
            <w:r>
              <w:rPr>
                <w:w w:val="105"/>
                <w:sz w:val="15"/>
              </w:rPr>
              <w:t>issues</w:t>
            </w:r>
            <w:r>
              <w:rPr>
                <w:spacing w:val="40"/>
                <w:w w:val="105"/>
                <w:sz w:val="15"/>
              </w:rPr>
              <w:t> </w:t>
            </w:r>
            <w:r>
              <w:rPr>
                <w:w w:val="105"/>
                <w:sz w:val="15"/>
              </w:rPr>
              <w:t>(e.g.,</w:t>
            </w:r>
            <w:r>
              <w:rPr>
                <w:spacing w:val="40"/>
                <w:w w:val="105"/>
                <w:sz w:val="15"/>
              </w:rPr>
              <w:t> </w:t>
            </w:r>
            <w:r>
              <w:rPr>
                <w:w w:val="105"/>
                <w:sz w:val="15"/>
              </w:rPr>
              <w:t>capitalism,</w:t>
            </w:r>
            <w:r>
              <w:rPr>
                <w:spacing w:val="40"/>
                <w:w w:val="105"/>
                <w:sz w:val="15"/>
              </w:rPr>
              <w:t> </w:t>
            </w:r>
            <w:r>
              <w:rPr>
                <w:spacing w:val="-2"/>
                <w:w w:val="105"/>
                <w:sz w:val="15"/>
              </w:rPr>
              <w:t>racism).</w:t>
            </w:r>
          </w:p>
        </w:tc>
      </w:tr>
      <w:tr>
        <w:trPr>
          <w:trHeight w:val="538" w:hRule="atLeast"/>
        </w:trPr>
        <w:tc>
          <w:tcPr>
            <w:tcW w:w="1099" w:type="dxa"/>
            <w:tcBorders>
              <w:bottom w:val="single" w:sz="4" w:space="0" w:color="000000"/>
            </w:tcBorders>
          </w:tcPr>
          <w:p>
            <w:pPr>
              <w:pStyle w:val="TableParagraph"/>
              <w:spacing w:before="4"/>
              <w:ind w:left="70"/>
              <w:rPr>
                <w:b/>
                <w:sz w:val="15"/>
              </w:rPr>
            </w:pPr>
            <w:r>
              <w:rPr>
                <w:b/>
                <w:spacing w:val="-2"/>
                <w:w w:val="105"/>
                <w:sz w:val="15"/>
              </w:rPr>
              <w:t>Re-Authoring</w:t>
            </w:r>
          </w:p>
        </w:tc>
        <w:tc>
          <w:tcPr>
            <w:tcW w:w="2046" w:type="dxa"/>
            <w:tcBorders>
              <w:bottom w:val="single" w:sz="4" w:space="0" w:color="000000"/>
              <w:right w:val="single" w:sz="4" w:space="0" w:color="000000"/>
            </w:tcBorders>
          </w:tcPr>
          <w:p>
            <w:pPr>
              <w:pStyle w:val="TableParagraph"/>
              <w:ind w:left="70"/>
              <w:rPr>
                <w:sz w:val="15"/>
              </w:rPr>
            </w:pPr>
            <w:r>
              <w:rPr>
                <w:w w:val="105"/>
                <w:sz w:val="15"/>
              </w:rPr>
              <w:t>Changing</w:t>
            </w:r>
            <w:r>
              <w:rPr>
                <w:spacing w:val="70"/>
                <w:w w:val="105"/>
                <w:sz w:val="15"/>
              </w:rPr>
              <w:t> </w:t>
            </w:r>
            <w:r>
              <w:rPr>
                <w:w w:val="105"/>
                <w:sz w:val="15"/>
              </w:rPr>
              <w:t>her</w:t>
            </w:r>
            <w:r>
              <w:rPr>
                <w:spacing w:val="72"/>
                <w:w w:val="105"/>
                <w:sz w:val="15"/>
              </w:rPr>
              <w:t> </w:t>
            </w:r>
            <w:r>
              <w:rPr>
                <w:w w:val="105"/>
                <w:sz w:val="15"/>
              </w:rPr>
              <w:t>ending</w:t>
            </w:r>
            <w:r>
              <w:rPr>
                <w:spacing w:val="74"/>
                <w:w w:val="105"/>
                <w:sz w:val="15"/>
              </w:rPr>
              <w:t> </w:t>
            </w:r>
            <w:r>
              <w:rPr>
                <w:spacing w:val="-2"/>
                <w:w w:val="105"/>
                <w:sz w:val="15"/>
              </w:rPr>
              <w:t>(e.g.,</w:t>
            </w:r>
          </w:p>
          <w:p>
            <w:pPr>
              <w:pStyle w:val="TableParagraph"/>
              <w:spacing w:line="180" w:lineRule="atLeast"/>
              <w:ind w:left="70"/>
              <w:rPr>
                <w:sz w:val="15"/>
              </w:rPr>
            </w:pPr>
            <w:r>
              <w:rPr>
                <w:w w:val="105"/>
                <w:sz w:val="15"/>
              </w:rPr>
              <w:t>she</w:t>
            </w:r>
            <w:r>
              <w:rPr>
                <w:spacing w:val="75"/>
                <w:w w:val="105"/>
                <w:sz w:val="15"/>
              </w:rPr>
              <w:t> </w:t>
            </w:r>
            <w:r>
              <w:rPr>
                <w:w w:val="105"/>
                <w:sz w:val="15"/>
              </w:rPr>
              <w:t>lives,</w:t>
            </w:r>
            <w:r>
              <w:rPr>
                <w:spacing w:val="77"/>
                <w:w w:val="105"/>
                <w:sz w:val="15"/>
              </w:rPr>
              <w:t> </w:t>
            </w:r>
            <w:r>
              <w:rPr>
                <w:w w:val="105"/>
                <w:sz w:val="15"/>
              </w:rPr>
              <w:t>she</w:t>
            </w:r>
            <w:r>
              <w:rPr>
                <w:spacing w:val="78"/>
                <w:w w:val="105"/>
                <w:sz w:val="15"/>
              </w:rPr>
              <w:t> </w:t>
            </w:r>
            <w:r>
              <w:rPr>
                <w:w w:val="105"/>
                <w:sz w:val="15"/>
              </w:rPr>
              <w:t>leaves,</w:t>
            </w:r>
            <w:r>
              <w:rPr>
                <w:spacing w:val="79"/>
                <w:w w:val="105"/>
                <w:sz w:val="15"/>
              </w:rPr>
              <w:t> </w:t>
            </w:r>
            <w:r>
              <w:rPr>
                <w:w w:val="105"/>
                <w:sz w:val="15"/>
              </w:rPr>
              <w:t>she</w:t>
            </w:r>
            <w:r>
              <w:rPr>
                <w:spacing w:val="40"/>
                <w:w w:val="105"/>
                <w:sz w:val="15"/>
              </w:rPr>
              <w:t> </w:t>
            </w:r>
            <w:r>
              <w:rPr>
                <w:spacing w:val="-2"/>
                <w:w w:val="105"/>
                <w:sz w:val="15"/>
              </w:rPr>
              <w:t>wins).</w:t>
            </w:r>
          </w:p>
        </w:tc>
        <w:tc>
          <w:tcPr>
            <w:tcW w:w="2419" w:type="dxa"/>
            <w:tcBorders>
              <w:left w:val="single" w:sz="4" w:space="0" w:color="000000"/>
              <w:bottom w:val="single" w:sz="4" w:space="0" w:color="000000"/>
              <w:right w:val="single" w:sz="4" w:space="0" w:color="000000"/>
            </w:tcBorders>
          </w:tcPr>
          <w:p>
            <w:pPr>
              <w:pStyle w:val="TableParagraph"/>
              <w:spacing w:line="254" w:lineRule="auto"/>
              <w:ind w:left="74" w:right="54"/>
              <w:rPr>
                <w:sz w:val="15"/>
              </w:rPr>
            </w:pPr>
            <w:r>
              <w:rPr>
                <w:w w:val="105"/>
                <w:sz w:val="15"/>
              </w:rPr>
              <w:t>The tragedy is "undone" to provide</w:t>
            </w:r>
            <w:r>
              <w:rPr>
                <w:spacing w:val="40"/>
                <w:w w:val="105"/>
                <w:sz w:val="15"/>
              </w:rPr>
              <w:t> </w:t>
            </w:r>
            <w:r>
              <w:rPr>
                <w:w w:val="105"/>
                <w:sz w:val="15"/>
              </w:rPr>
              <w:t>a sense of feminist justice.</w:t>
            </w:r>
          </w:p>
        </w:tc>
      </w:tr>
    </w:tbl>
    <w:p>
      <w:pPr>
        <w:pStyle w:val="Heading5"/>
        <w:numPr>
          <w:ilvl w:val="0"/>
          <w:numId w:val="52"/>
        </w:numPr>
        <w:tabs>
          <w:tab w:pos="1742" w:val="left" w:leader="none"/>
        </w:tabs>
        <w:spacing w:line="240" w:lineRule="auto" w:before="75" w:after="0"/>
        <w:ind w:left="1742" w:right="0" w:hanging="302"/>
        <w:jc w:val="left"/>
      </w:pPr>
      <w:r>
        <w:rPr/>
        <w:t>The</w:t>
      </w:r>
      <w:r>
        <w:rPr>
          <w:spacing w:val="72"/>
        </w:rPr>
        <w:t> </w:t>
      </w:r>
      <w:r>
        <w:rPr/>
        <w:t>Tension</w:t>
      </w:r>
      <w:r>
        <w:rPr>
          <w:spacing w:val="70"/>
        </w:rPr>
        <w:t> </w:t>
      </w:r>
      <w:r>
        <w:rPr/>
        <w:t>of</w:t>
      </w:r>
      <w:r>
        <w:rPr>
          <w:spacing w:val="73"/>
        </w:rPr>
        <w:t> </w:t>
      </w:r>
      <w:r>
        <w:rPr>
          <w:spacing w:val="-2"/>
        </w:rPr>
        <w:t>Authenticity</w:t>
      </w:r>
    </w:p>
    <w:p>
      <w:pPr>
        <w:pStyle w:val="BodyText"/>
        <w:spacing w:line="266" w:lineRule="auto" w:before="89"/>
        <w:ind w:right="1439" w:firstLine="432"/>
        <w:jc w:val="both"/>
      </w:pPr>
      <w:r>
        <w:rPr/>
        <w:t>There is an inherent tension in this evolution. If you extract Juliet and make her a 30-year-old corporate lawyer who refuses to marry, is she still</w:t>
      </w:r>
      <w:r>
        <w:rPr>
          <w:spacing w:val="40"/>
        </w:rPr>
        <w:t> </w:t>
      </w:r>
      <w:r>
        <w:rPr/>
        <w:t>“Juliet”?</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81888">
                <wp:simplePos x="0" y="0"/>
                <wp:positionH relativeFrom="page">
                  <wp:posOffset>2057400</wp:posOffset>
                </wp:positionH>
                <wp:positionV relativeFrom="paragraph">
                  <wp:posOffset>162604</wp:posOffset>
                </wp:positionV>
                <wp:extent cx="3657600" cy="12700"/>
                <wp:effectExtent l="0" t="0" r="0" b="0"/>
                <wp:wrapTopAndBottom/>
                <wp:docPr id="544" name="Graphic 544"/>
                <wp:cNvGraphicFramePr>
                  <a:graphicFrameLocks/>
                </wp:cNvGraphicFramePr>
                <a:graphic>
                  <a:graphicData uri="http://schemas.microsoft.com/office/word/2010/wordprocessingShape">
                    <wps:wsp>
                      <wps:cNvPr id="544" name="Graphic 54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34592;mso-wrap-distance-left:0;mso-wrap-distance-right:0" id="docshape539" filled="true" fillcolor="#000000" stroked="false">
                <v:fill type="solid"/>
                <w10:wrap type="topAndBottom"/>
              </v:rect>
            </w:pict>
          </mc:Fallback>
        </mc:AlternateContent>
      </w:r>
      <w:r>
        <w:rPr>
          <w:rFonts w:ascii="Verdana"/>
          <w:spacing w:val="-5"/>
          <w:sz w:val="18"/>
        </w:rPr>
        <w:t>258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firstLine="432"/>
        <w:jc w:val="both"/>
      </w:pPr>
      <w:r>
        <w:rPr/>
        <w:t>Scholars like Julie Sanders argue that the “authenticity” of an appropriation lies not in its adherence to the plot, but in its ability to engage with the archetype. By making the woman “lead her own narrative,” the creator argues that the woman was always the most interesting</w:t>
      </w:r>
      <w:r>
        <w:rPr>
          <w:spacing w:val="40"/>
        </w:rPr>
        <w:t> </w:t>
      </w:r>
      <w:r>
        <w:rPr/>
        <w:t>part</w:t>
      </w:r>
      <w:r>
        <w:rPr>
          <w:spacing w:val="40"/>
        </w:rPr>
        <w:t> </w:t>
      </w:r>
      <w:r>
        <w:rPr/>
        <w:t>of</w:t>
      </w:r>
      <w:r>
        <w:rPr>
          <w:spacing w:val="40"/>
        </w:rPr>
        <w:t> </w:t>
      </w:r>
      <w:r>
        <w:rPr/>
        <w:t>the</w:t>
      </w:r>
      <w:r>
        <w:rPr>
          <w:spacing w:val="40"/>
        </w:rPr>
        <w:t> </w:t>
      </w:r>
      <w:r>
        <w:rPr/>
        <w:t>play—Shakespeare</w:t>
      </w:r>
      <w:r>
        <w:rPr>
          <w:spacing w:val="40"/>
        </w:rPr>
        <w:t> </w:t>
      </w:r>
      <w:r>
        <w:rPr/>
        <w:t>just</w:t>
      </w:r>
      <w:r>
        <w:rPr>
          <w:spacing w:val="40"/>
        </w:rPr>
        <w:t> </w:t>
      </w:r>
      <w:r>
        <w:rPr/>
        <w:t>didn’t</w:t>
      </w:r>
      <w:r>
        <w:rPr>
          <w:spacing w:val="40"/>
        </w:rPr>
        <w:t> </w:t>
      </w:r>
      <w:r>
        <w:rPr/>
        <w:t>know</w:t>
      </w:r>
      <w:r>
        <w:rPr>
          <w:spacing w:val="40"/>
        </w:rPr>
        <w:t> </w:t>
      </w:r>
      <w:r>
        <w:rPr/>
        <w:t>it</w:t>
      </w:r>
      <w:r>
        <w:rPr>
          <w:spacing w:val="40"/>
        </w:rPr>
        <w:t> </w:t>
      </w:r>
      <w:r>
        <w:rPr/>
        <w:t>yet.</w:t>
      </w:r>
    </w:p>
    <w:p>
      <w:pPr>
        <w:pStyle w:val="BodyText"/>
        <w:spacing w:line="266" w:lineRule="auto" w:before="71"/>
        <w:ind w:right="1439" w:firstLine="432"/>
        <w:jc w:val="both"/>
      </w:pPr>
      <w:r>
        <w:rPr/>
        <w:t>Given this “extraction” from the original plot, do you feel that changing a tragic ending into a hopeful one for these women preserves the spirit of the character, or does it fundamentally break the “truth” of the</w:t>
      </w:r>
      <w:r>
        <w:rPr>
          <w:spacing w:val="40"/>
        </w:rPr>
        <w:t> </w:t>
      </w:r>
      <w:r>
        <w:rPr/>
        <w:t>story?</w:t>
      </w:r>
    </w:p>
    <w:p>
      <w:pPr>
        <w:pStyle w:val="Heading3"/>
        <w:spacing w:before="160"/>
      </w:pPr>
      <w:r>
        <w:rPr>
          <w:w w:val="85"/>
        </w:rPr>
        <w:t>KEY</w:t>
      </w:r>
      <w:r>
        <w:rPr>
          <w:spacing w:val="20"/>
        </w:rPr>
        <w:t> </w:t>
      </w:r>
      <w:r>
        <w:rPr>
          <w:w w:val="85"/>
        </w:rPr>
        <w:t>THEORETICAL</w:t>
      </w:r>
      <w:r>
        <w:rPr>
          <w:spacing w:val="20"/>
        </w:rPr>
        <w:t> </w:t>
      </w:r>
      <w:r>
        <w:rPr>
          <w:spacing w:val="-2"/>
          <w:w w:val="85"/>
        </w:rPr>
        <w:t>FRAMEWORKS</w:t>
      </w:r>
    </w:p>
    <w:p>
      <w:pPr>
        <w:pStyle w:val="BodyText"/>
        <w:spacing w:line="266" w:lineRule="auto" w:before="92"/>
        <w:ind w:right="1438" w:firstLine="432"/>
        <w:jc w:val="both"/>
      </w:pPr>
      <w:r>
        <w:rPr/>
        <w:t>To understand this reimagining, scholars often look at the distinction between adaptation (faithfulness to the source) and appropriation</w:t>
      </w:r>
      <w:r>
        <w:rPr>
          <w:spacing w:val="-4"/>
        </w:rPr>
        <w:t> </w:t>
      </w:r>
      <w:r>
        <w:rPr/>
        <w:t>(taking</w:t>
      </w:r>
      <w:r>
        <w:rPr>
          <w:spacing w:val="-4"/>
        </w:rPr>
        <w:t> </w:t>
      </w:r>
      <w:r>
        <w:rPr/>
        <w:t>the</w:t>
      </w:r>
      <w:r>
        <w:rPr>
          <w:spacing w:val="-1"/>
        </w:rPr>
        <w:t> </w:t>
      </w:r>
      <w:r>
        <w:rPr/>
        <w:t>source</w:t>
      </w:r>
      <w:r>
        <w:rPr>
          <w:spacing w:val="-3"/>
        </w:rPr>
        <w:t> </w:t>
      </w:r>
      <w:r>
        <w:rPr/>
        <w:t>and</w:t>
      </w:r>
      <w:r>
        <w:rPr>
          <w:spacing w:val="-4"/>
        </w:rPr>
        <w:t> </w:t>
      </w:r>
      <w:r>
        <w:rPr/>
        <w:t>making</w:t>
      </w:r>
      <w:r>
        <w:rPr>
          <w:spacing w:val="-4"/>
        </w:rPr>
        <w:t> </w:t>
      </w:r>
      <w:r>
        <w:rPr/>
        <w:t>it</w:t>
      </w:r>
      <w:r>
        <w:rPr>
          <w:spacing w:val="-2"/>
        </w:rPr>
        <w:t> </w:t>
      </w:r>
      <w:r>
        <w:rPr/>
        <w:t>something</w:t>
      </w:r>
      <w:r>
        <w:rPr>
          <w:spacing w:val="-4"/>
        </w:rPr>
        <w:t> </w:t>
      </w:r>
      <w:r>
        <w:rPr/>
        <w:t>entirely</w:t>
      </w:r>
      <w:r>
        <w:rPr>
          <w:spacing w:val="-5"/>
        </w:rPr>
        <w:t> </w:t>
      </w:r>
      <w:r>
        <w:rPr>
          <w:spacing w:val="-2"/>
        </w:rPr>
        <w:t>new).</w:t>
      </w:r>
    </w:p>
    <w:p>
      <w:pPr>
        <w:pStyle w:val="BodyText"/>
        <w:spacing w:before="1" w:after="1"/>
        <w:ind w:left="0"/>
        <w:rPr>
          <w:sz w:val="7"/>
        </w:rPr>
      </w:pPr>
    </w:p>
    <w:tbl>
      <w:tblPr>
        <w:tblW w:w="0" w:type="auto"/>
        <w:jc w:val="left"/>
        <w:tblInd w:w="1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28"/>
        <w:gridCol w:w="2399"/>
        <w:gridCol w:w="2049"/>
      </w:tblGrid>
      <w:tr>
        <w:trPr>
          <w:trHeight w:val="175" w:hRule="atLeast"/>
        </w:trPr>
        <w:tc>
          <w:tcPr>
            <w:tcW w:w="1128" w:type="dxa"/>
            <w:tcBorders>
              <w:bottom w:val="single" w:sz="4" w:space="0" w:color="000000"/>
              <w:right w:val="single" w:sz="4" w:space="0" w:color="000000"/>
            </w:tcBorders>
          </w:tcPr>
          <w:p>
            <w:pPr>
              <w:pStyle w:val="TableParagraph"/>
              <w:spacing w:line="155" w:lineRule="exact"/>
              <w:ind w:left="70"/>
              <w:rPr>
                <w:b/>
                <w:sz w:val="16"/>
              </w:rPr>
            </w:pPr>
            <w:r>
              <w:rPr>
                <w:b/>
                <w:spacing w:val="-2"/>
                <w:sz w:val="16"/>
              </w:rPr>
              <w:t>Concept</w:t>
            </w:r>
          </w:p>
        </w:tc>
        <w:tc>
          <w:tcPr>
            <w:tcW w:w="2399" w:type="dxa"/>
            <w:tcBorders>
              <w:left w:val="single" w:sz="4" w:space="0" w:color="000000"/>
              <w:bottom w:val="single" w:sz="4" w:space="0" w:color="000000"/>
            </w:tcBorders>
          </w:tcPr>
          <w:p>
            <w:pPr>
              <w:pStyle w:val="TableParagraph"/>
              <w:spacing w:line="155" w:lineRule="exact"/>
              <w:ind w:left="72"/>
              <w:rPr>
                <w:b/>
                <w:sz w:val="16"/>
              </w:rPr>
            </w:pPr>
            <w:r>
              <w:rPr>
                <w:b/>
                <w:spacing w:val="-2"/>
                <w:sz w:val="16"/>
              </w:rPr>
              <w:t>Definition</w:t>
            </w:r>
          </w:p>
        </w:tc>
        <w:tc>
          <w:tcPr>
            <w:tcW w:w="2049" w:type="dxa"/>
            <w:tcBorders>
              <w:bottom w:val="single" w:sz="4" w:space="0" w:color="000000"/>
              <w:right w:val="single" w:sz="4" w:space="0" w:color="000000"/>
            </w:tcBorders>
          </w:tcPr>
          <w:p>
            <w:pPr>
              <w:pStyle w:val="TableParagraph"/>
              <w:spacing w:line="155" w:lineRule="exact"/>
              <w:ind w:left="71"/>
              <w:rPr>
                <w:b/>
                <w:sz w:val="16"/>
              </w:rPr>
            </w:pPr>
            <w:r>
              <w:rPr>
                <w:b/>
                <w:sz w:val="16"/>
              </w:rPr>
              <w:t>Goal</w:t>
            </w:r>
            <w:r>
              <w:rPr>
                <w:b/>
                <w:spacing w:val="-10"/>
                <w:sz w:val="16"/>
              </w:rPr>
              <w:t> </w:t>
            </w:r>
            <w:r>
              <w:rPr>
                <w:b/>
                <w:sz w:val="16"/>
              </w:rPr>
              <w:t>in</w:t>
            </w:r>
            <w:r>
              <w:rPr>
                <w:b/>
                <w:spacing w:val="-10"/>
                <w:sz w:val="16"/>
              </w:rPr>
              <w:t> </w:t>
            </w:r>
            <w:r>
              <w:rPr>
                <w:b/>
                <w:sz w:val="16"/>
              </w:rPr>
              <w:t>Feminist</w:t>
            </w:r>
            <w:r>
              <w:rPr>
                <w:b/>
                <w:spacing w:val="-10"/>
                <w:sz w:val="16"/>
              </w:rPr>
              <w:t> </w:t>
            </w:r>
            <w:r>
              <w:rPr>
                <w:b/>
                <w:spacing w:val="-2"/>
                <w:sz w:val="16"/>
              </w:rPr>
              <w:t>Context</w:t>
            </w:r>
          </w:p>
        </w:tc>
      </w:tr>
      <w:tr>
        <w:trPr>
          <w:trHeight w:val="539" w:hRule="atLeast"/>
        </w:trPr>
        <w:tc>
          <w:tcPr>
            <w:tcW w:w="1128" w:type="dxa"/>
            <w:tcBorders>
              <w:top w:val="single" w:sz="4" w:space="0" w:color="000000"/>
              <w:right w:val="single" w:sz="4" w:space="0" w:color="000000"/>
            </w:tcBorders>
          </w:tcPr>
          <w:p>
            <w:pPr>
              <w:pStyle w:val="TableParagraph"/>
              <w:spacing w:line="181" w:lineRule="exact"/>
              <w:ind w:left="70"/>
              <w:rPr>
                <w:b/>
                <w:sz w:val="16"/>
              </w:rPr>
            </w:pPr>
            <w:r>
              <w:rPr>
                <w:b/>
                <w:spacing w:val="-2"/>
                <w:sz w:val="16"/>
              </w:rPr>
              <w:t>Adaptation</w:t>
            </w:r>
          </w:p>
        </w:tc>
        <w:tc>
          <w:tcPr>
            <w:tcW w:w="2399" w:type="dxa"/>
            <w:tcBorders>
              <w:top w:val="single" w:sz="4" w:space="0" w:color="000000"/>
              <w:left w:val="single" w:sz="4" w:space="0" w:color="000000"/>
            </w:tcBorders>
          </w:tcPr>
          <w:p>
            <w:pPr>
              <w:pStyle w:val="TableParagraph"/>
              <w:spacing w:line="237" w:lineRule="auto"/>
              <w:ind w:left="72"/>
              <w:rPr>
                <w:sz w:val="16"/>
              </w:rPr>
            </w:pPr>
            <w:r>
              <w:rPr>
                <w:sz w:val="16"/>
              </w:rPr>
              <w:t>Adjusting</w:t>
            </w:r>
            <w:r>
              <w:rPr>
                <w:spacing w:val="78"/>
                <w:sz w:val="16"/>
              </w:rPr>
              <w:t> </w:t>
            </w:r>
            <w:r>
              <w:rPr>
                <w:sz w:val="16"/>
              </w:rPr>
              <w:t>the</w:t>
            </w:r>
            <w:r>
              <w:rPr>
                <w:spacing w:val="79"/>
                <w:sz w:val="16"/>
              </w:rPr>
              <w:t> </w:t>
            </w:r>
            <w:r>
              <w:rPr>
                <w:sz w:val="16"/>
              </w:rPr>
              <w:t>play</w:t>
            </w:r>
            <w:r>
              <w:rPr>
                <w:spacing w:val="75"/>
                <w:sz w:val="16"/>
              </w:rPr>
              <w:t> </w:t>
            </w:r>
            <w:r>
              <w:rPr>
                <w:sz w:val="16"/>
              </w:rPr>
              <w:t>for</w:t>
            </w:r>
            <w:r>
              <w:rPr>
                <w:spacing w:val="78"/>
                <w:sz w:val="16"/>
              </w:rPr>
              <w:t> </w:t>
            </w:r>
            <w:r>
              <w:rPr>
                <w:sz w:val="16"/>
              </w:rPr>
              <w:t>a</w:t>
            </w:r>
            <w:r>
              <w:rPr>
                <w:spacing w:val="80"/>
                <w:sz w:val="16"/>
              </w:rPr>
              <w:t> </w:t>
            </w:r>
            <w:r>
              <w:rPr>
                <w:sz w:val="16"/>
              </w:rPr>
              <w:t>new</w:t>
            </w:r>
            <w:r>
              <w:rPr>
                <w:spacing w:val="40"/>
                <w:sz w:val="16"/>
              </w:rPr>
              <w:t> </w:t>
            </w:r>
            <w:r>
              <w:rPr>
                <w:sz w:val="16"/>
              </w:rPr>
              <w:t>medium</w:t>
            </w:r>
            <w:r>
              <w:rPr>
                <w:spacing w:val="9"/>
                <w:sz w:val="16"/>
              </w:rPr>
              <w:t> </w:t>
            </w:r>
            <w:r>
              <w:rPr>
                <w:sz w:val="16"/>
              </w:rPr>
              <w:t>or</w:t>
            </w:r>
            <w:r>
              <w:rPr>
                <w:spacing w:val="7"/>
                <w:sz w:val="16"/>
              </w:rPr>
              <w:t> </w:t>
            </w:r>
            <w:r>
              <w:rPr>
                <w:sz w:val="16"/>
              </w:rPr>
              <w:t>time</w:t>
            </w:r>
            <w:r>
              <w:rPr>
                <w:spacing w:val="7"/>
                <w:sz w:val="16"/>
              </w:rPr>
              <w:t> </w:t>
            </w:r>
            <w:r>
              <w:rPr>
                <w:sz w:val="16"/>
              </w:rPr>
              <w:t>while</w:t>
            </w:r>
            <w:r>
              <w:rPr>
                <w:spacing w:val="8"/>
                <w:sz w:val="16"/>
              </w:rPr>
              <w:t> </w:t>
            </w:r>
            <w:r>
              <w:rPr>
                <w:sz w:val="16"/>
              </w:rPr>
              <w:t>keeping</w:t>
            </w:r>
            <w:r>
              <w:rPr>
                <w:spacing w:val="6"/>
                <w:sz w:val="16"/>
              </w:rPr>
              <w:t> </w:t>
            </w:r>
            <w:r>
              <w:rPr>
                <w:spacing w:val="-5"/>
                <w:sz w:val="16"/>
              </w:rPr>
              <w:t>the</w:t>
            </w:r>
          </w:p>
          <w:p>
            <w:pPr>
              <w:pStyle w:val="TableParagraph"/>
              <w:spacing w:line="161" w:lineRule="exact"/>
              <w:ind w:left="72"/>
              <w:rPr>
                <w:sz w:val="16"/>
              </w:rPr>
            </w:pPr>
            <w:r>
              <w:rPr>
                <w:sz w:val="16"/>
              </w:rPr>
              <w:t>core</w:t>
            </w:r>
            <w:r>
              <w:rPr>
                <w:spacing w:val="-6"/>
                <w:sz w:val="16"/>
              </w:rPr>
              <w:t> </w:t>
            </w:r>
            <w:r>
              <w:rPr>
                <w:spacing w:val="-2"/>
                <w:sz w:val="16"/>
              </w:rPr>
              <w:t>plot.</w:t>
            </w:r>
          </w:p>
        </w:tc>
        <w:tc>
          <w:tcPr>
            <w:tcW w:w="2049" w:type="dxa"/>
            <w:tcBorders>
              <w:top w:val="single" w:sz="4" w:space="0" w:color="000000"/>
              <w:right w:val="single" w:sz="4" w:space="0" w:color="000000"/>
            </w:tcBorders>
          </w:tcPr>
          <w:p>
            <w:pPr>
              <w:pStyle w:val="TableParagraph"/>
              <w:spacing w:line="237" w:lineRule="auto"/>
              <w:ind w:left="71"/>
              <w:rPr>
                <w:sz w:val="16"/>
              </w:rPr>
            </w:pPr>
            <w:r>
              <w:rPr>
                <w:sz w:val="16"/>
              </w:rPr>
              <w:t>To</w:t>
            </w:r>
            <w:r>
              <w:rPr>
                <w:spacing w:val="26"/>
                <w:sz w:val="16"/>
              </w:rPr>
              <w:t> </w:t>
            </w:r>
            <w:r>
              <w:rPr>
                <w:sz w:val="16"/>
              </w:rPr>
              <w:t>show</w:t>
            </w:r>
            <w:r>
              <w:rPr>
                <w:spacing w:val="27"/>
                <w:sz w:val="16"/>
              </w:rPr>
              <w:t> </w:t>
            </w:r>
            <w:r>
              <w:rPr>
                <w:sz w:val="16"/>
              </w:rPr>
              <w:t>that</w:t>
            </w:r>
            <w:r>
              <w:rPr>
                <w:spacing w:val="25"/>
                <w:sz w:val="16"/>
              </w:rPr>
              <w:t> </w:t>
            </w:r>
            <w:r>
              <w:rPr>
                <w:sz w:val="16"/>
              </w:rPr>
              <w:t>Shakespeare’s</w:t>
            </w:r>
            <w:r>
              <w:rPr>
                <w:spacing w:val="40"/>
                <w:sz w:val="16"/>
              </w:rPr>
              <w:t> </w:t>
            </w:r>
            <w:r>
              <w:rPr>
                <w:sz w:val="16"/>
              </w:rPr>
              <w:t>women</w:t>
            </w:r>
            <w:r>
              <w:rPr>
                <w:spacing w:val="71"/>
                <w:sz w:val="16"/>
              </w:rPr>
              <w:t> </w:t>
            </w:r>
            <w:r>
              <w:rPr>
                <w:sz w:val="16"/>
              </w:rPr>
              <w:t>are</w:t>
            </w:r>
            <w:r>
              <w:rPr>
                <w:spacing w:val="74"/>
                <w:sz w:val="16"/>
              </w:rPr>
              <w:t> </w:t>
            </w:r>
            <w:r>
              <w:rPr>
                <w:sz w:val="16"/>
              </w:rPr>
              <w:t>"timeless"</w:t>
            </w:r>
            <w:r>
              <w:rPr>
                <w:spacing w:val="75"/>
                <w:sz w:val="16"/>
              </w:rPr>
              <w:t> </w:t>
            </w:r>
            <w:r>
              <w:rPr>
                <w:spacing w:val="-5"/>
                <w:sz w:val="16"/>
              </w:rPr>
              <w:t>and</w:t>
            </w:r>
          </w:p>
          <w:p>
            <w:pPr>
              <w:pStyle w:val="TableParagraph"/>
              <w:spacing w:line="161" w:lineRule="exact"/>
              <w:ind w:left="71"/>
              <w:rPr>
                <w:sz w:val="16"/>
              </w:rPr>
            </w:pPr>
            <w:r>
              <w:rPr>
                <w:sz w:val="16"/>
              </w:rPr>
              <w:t>still</w:t>
            </w:r>
            <w:r>
              <w:rPr>
                <w:spacing w:val="-8"/>
                <w:sz w:val="16"/>
              </w:rPr>
              <w:t> </w:t>
            </w:r>
            <w:r>
              <w:rPr>
                <w:spacing w:val="-2"/>
                <w:sz w:val="16"/>
              </w:rPr>
              <w:t>relevant.</w:t>
            </w:r>
          </w:p>
        </w:tc>
      </w:tr>
      <w:tr>
        <w:trPr>
          <w:trHeight w:val="540" w:hRule="atLeast"/>
        </w:trPr>
        <w:tc>
          <w:tcPr>
            <w:tcW w:w="1128" w:type="dxa"/>
            <w:tcBorders>
              <w:bottom w:val="single" w:sz="4" w:space="0" w:color="000000"/>
              <w:right w:val="single" w:sz="4" w:space="0" w:color="000000"/>
            </w:tcBorders>
          </w:tcPr>
          <w:p>
            <w:pPr>
              <w:pStyle w:val="TableParagraph"/>
              <w:spacing w:line="176" w:lineRule="exact"/>
              <w:ind w:left="70"/>
              <w:rPr>
                <w:b/>
                <w:sz w:val="16"/>
              </w:rPr>
            </w:pPr>
            <w:r>
              <w:rPr>
                <w:b/>
                <w:spacing w:val="-2"/>
                <w:sz w:val="16"/>
              </w:rPr>
              <w:t>Appropriation</w:t>
            </w:r>
          </w:p>
        </w:tc>
        <w:tc>
          <w:tcPr>
            <w:tcW w:w="2399" w:type="dxa"/>
            <w:tcBorders>
              <w:left w:val="single" w:sz="4" w:space="0" w:color="000000"/>
              <w:bottom w:val="single" w:sz="4" w:space="0" w:color="000000"/>
            </w:tcBorders>
          </w:tcPr>
          <w:p>
            <w:pPr>
              <w:pStyle w:val="TableParagraph"/>
              <w:spacing w:line="237" w:lineRule="auto"/>
              <w:ind w:left="72"/>
              <w:rPr>
                <w:sz w:val="16"/>
              </w:rPr>
            </w:pPr>
            <w:r>
              <w:rPr>
                <w:sz w:val="16"/>
              </w:rPr>
              <w:t>A</w:t>
            </w:r>
            <w:r>
              <w:rPr>
                <w:spacing w:val="80"/>
                <w:sz w:val="16"/>
              </w:rPr>
              <w:t> </w:t>
            </w:r>
            <w:r>
              <w:rPr>
                <w:sz w:val="16"/>
              </w:rPr>
              <w:t>"hostile"</w:t>
            </w:r>
            <w:r>
              <w:rPr>
                <w:spacing w:val="80"/>
                <w:sz w:val="16"/>
              </w:rPr>
              <w:t> </w:t>
            </w:r>
            <w:r>
              <w:rPr>
                <w:sz w:val="16"/>
              </w:rPr>
              <w:t>or</w:t>
            </w:r>
            <w:r>
              <w:rPr>
                <w:spacing w:val="80"/>
                <w:sz w:val="16"/>
              </w:rPr>
              <w:t> </w:t>
            </w:r>
            <w:r>
              <w:rPr>
                <w:sz w:val="16"/>
              </w:rPr>
              <w:t>transformative</w:t>
            </w:r>
            <w:r>
              <w:rPr>
                <w:spacing w:val="40"/>
                <w:sz w:val="16"/>
              </w:rPr>
              <w:t> </w:t>
            </w:r>
            <w:r>
              <w:rPr>
                <w:sz w:val="16"/>
              </w:rPr>
              <w:t>takeover</w:t>
            </w:r>
            <w:r>
              <w:rPr>
                <w:spacing w:val="54"/>
                <w:sz w:val="16"/>
              </w:rPr>
              <w:t>  </w:t>
            </w:r>
            <w:r>
              <w:rPr>
                <w:sz w:val="16"/>
              </w:rPr>
              <w:t>of</w:t>
            </w:r>
            <w:r>
              <w:rPr>
                <w:spacing w:val="54"/>
                <w:sz w:val="16"/>
              </w:rPr>
              <w:t>  </w:t>
            </w:r>
            <w:r>
              <w:rPr>
                <w:sz w:val="16"/>
              </w:rPr>
              <w:t>the</w:t>
            </w:r>
            <w:r>
              <w:rPr>
                <w:spacing w:val="56"/>
                <w:sz w:val="16"/>
              </w:rPr>
              <w:t>  </w:t>
            </w:r>
            <w:r>
              <w:rPr>
                <w:sz w:val="16"/>
              </w:rPr>
              <w:t>text,</w:t>
            </w:r>
            <w:r>
              <w:rPr>
                <w:spacing w:val="55"/>
                <w:sz w:val="16"/>
              </w:rPr>
              <w:t>  </w:t>
            </w:r>
            <w:r>
              <w:rPr>
                <w:spacing w:val="-4"/>
                <w:sz w:val="16"/>
              </w:rPr>
              <w:t>often</w:t>
            </w:r>
          </w:p>
          <w:p>
            <w:pPr>
              <w:pStyle w:val="TableParagraph"/>
              <w:spacing w:line="165" w:lineRule="exact"/>
              <w:ind w:left="72"/>
              <w:rPr>
                <w:sz w:val="16"/>
              </w:rPr>
            </w:pPr>
            <w:r>
              <w:rPr>
                <w:spacing w:val="-2"/>
                <w:sz w:val="16"/>
              </w:rPr>
              <w:t>discarding</w:t>
            </w:r>
            <w:r>
              <w:rPr>
                <w:sz w:val="16"/>
              </w:rPr>
              <w:t> </w:t>
            </w:r>
            <w:r>
              <w:rPr>
                <w:spacing w:val="-2"/>
                <w:sz w:val="16"/>
              </w:rPr>
              <w:t>the</w:t>
            </w:r>
            <w:r>
              <w:rPr>
                <w:spacing w:val="2"/>
                <w:sz w:val="16"/>
              </w:rPr>
              <w:t> </w:t>
            </w:r>
            <w:r>
              <w:rPr>
                <w:spacing w:val="-2"/>
                <w:sz w:val="16"/>
              </w:rPr>
              <w:t>original</w:t>
            </w:r>
            <w:r>
              <w:rPr>
                <w:spacing w:val="3"/>
                <w:sz w:val="16"/>
              </w:rPr>
              <w:t> </w:t>
            </w:r>
            <w:r>
              <w:rPr>
                <w:spacing w:val="-2"/>
                <w:sz w:val="16"/>
              </w:rPr>
              <w:t>ending.</w:t>
            </w:r>
          </w:p>
        </w:tc>
        <w:tc>
          <w:tcPr>
            <w:tcW w:w="2049" w:type="dxa"/>
            <w:tcBorders>
              <w:bottom w:val="single" w:sz="4" w:space="0" w:color="000000"/>
              <w:right w:val="single" w:sz="4" w:space="0" w:color="000000"/>
            </w:tcBorders>
          </w:tcPr>
          <w:p>
            <w:pPr>
              <w:pStyle w:val="TableParagraph"/>
              <w:tabs>
                <w:tab w:pos="584" w:val="left" w:leader="none"/>
                <w:tab w:pos="1361" w:val="left" w:leader="none"/>
              </w:tabs>
              <w:spacing w:line="237" w:lineRule="auto"/>
              <w:ind w:left="71" w:right="54"/>
              <w:rPr>
                <w:sz w:val="16"/>
              </w:rPr>
            </w:pPr>
            <w:r>
              <w:rPr>
                <w:spacing w:val="-6"/>
                <w:sz w:val="16"/>
              </w:rPr>
              <w:t>To</w:t>
            </w:r>
            <w:r>
              <w:rPr>
                <w:sz w:val="16"/>
              </w:rPr>
              <w:tab/>
            </w:r>
            <w:r>
              <w:rPr>
                <w:spacing w:val="-2"/>
                <w:sz w:val="16"/>
              </w:rPr>
              <w:t>correct</w:t>
            </w:r>
            <w:r>
              <w:rPr>
                <w:sz w:val="16"/>
              </w:rPr>
              <w:tab/>
            </w:r>
            <w:r>
              <w:rPr>
                <w:spacing w:val="-2"/>
                <w:sz w:val="16"/>
              </w:rPr>
              <w:t>perceived</w:t>
            </w:r>
            <w:r>
              <w:rPr>
                <w:spacing w:val="40"/>
                <w:sz w:val="16"/>
              </w:rPr>
              <w:t> </w:t>
            </w:r>
            <w:r>
              <w:rPr>
                <w:sz w:val="16"/>
              </w:rPr>
              <w:t>injustices</w:t>
            </w:r>
            <w:r>
              <w:rPr>
                <w:spacing w:val="10"/>
                <w:sz w:val="16"/>
              </w:rPr>
              <w:t> </w:t>
            </w:r>
            <w:r>
              <w:rPr>
                <w:sz w:val="16"/>
              </w:rPr>
              <w:t>or</w:t>
            </w:r>
            <w:r>
              <w:rPr>
                <w:spacing w:val="9"/>
                <w:sz w:val="16"/>
              </w:rPr>
              <w:t> </w:t>
            </w:r>
            <w:r>
              <w:rPr>
                <w:sz w:val="16"/>
              </w:rPr>
              <w:t>misogyny</w:t>
            </w:r>
            <w:r>
              <w:rPr>
                <w:spacing w:val="8"/>
                <w:sz w:val="16"/>
              </w:rPr>
              <w:t> </w:t>
            </w:r>
            <w:r>
              <w:rPr>
                <w:sz w:val="16"/>
              </w:rPr>
              <w:t>in</w:t>
            </w:r>
            <w:r>
              <w:rPr>
                <w:spacing w:val="11"/>
                <w:sz w:val="16"/>
              </w:rPr>
              <w:t> </w:t>
            </w:r>
            <w:r>
              <w:rPr>
                <w:spacing w:val="-5"/>
                <w:sz w:val="16"/>
              </w:rPr>
              <w:t>the</w:t>
            </w:r>
          </w:p>
          <w:p>
            <w:pPr>
              <w:pStyle w:val="TableParagraph"/>
              <w:spacing w:line="165" w:lineRule="exact"/>
              <w:ind w:left="71"/>
              <w:rPr>
                <w:sz w:val="16"/>
              </w:rPr>
            </w:pPr>
            <w:r>
              <w:rPr>
                <w:spacing w:val="-2"/>
                <w:sz w:val="16"/>
              </w:rPr>
              <w:t>original</w:t>
            </w:r>
            <w:r>
              <w:rPr>
                <w:spacing w:val="2"/>
                <w:sz w:val="16"/>
              </w:rPr>
              <w:t> </w:t>
            </w:r>
            <w:r>
              <w:rPr>
                <w:spacing w:val="-2"/>
                <w:sz w:val="16"/>
              </w:rPr>
              <w:t>play.</w:t>
            </w:r>
          </w:p>
        </w:tc>
      </w:tr>
    </w:tbl>
    <w:p>
      <w:pPr>
        <w:pStyle w:val="BodyText"/>
        <w:spacing w:line="266" w:lineRule="auto" w:before="85"/>
        <w:ind w:right="1440" w:firstLine="432"/>
        <w:jc w:val="both"/>
      </w:pPr>
      <w:r>
        <w:rPr/>
        <w:t>These case studies represent the “Three Pillars of Reclaiming”: shifting</w:t>
      </w:r>
      <w:r>
        <w:rPr>
          <w:spacing w:val="-9"/>
        </w:rPr>
        <w:t> </w:t>
      </w:r>
      <w:r>
        <w:rPr/>
        <w:t>from</w:t>
      </w:r>
      <w:r>
        <w:rPr>
          <w:spacing w:val="-11"/>
        </w:rPr>
        <w:t> </w:t>
      </w:r>
      <w:r>
        <w:rPr/>
        <w:t>pathology</w:t>
      </w:r>
      <w:r>
        <w:rPr>
          <w:spacing w:val="-9"/>
        </w:rPr>
        <w:t> </w:t>
      </w:r>
      <w:r>
        <w:rPr/>
        <w:t>(Ophelia),</w:t>
      </w:r>
      <w:r>
        <w:rPr>
          <w:spacing w:val="-9"/>
        </w:rPr>
        <w:t> </w:t>
      </w:r>
      <w:r>
        <w:rPr/>
        <w:t>villainy</w:t>
      </w:r>
      <w:r>
        <w:rPr>
          <w:spacing w:val="-10"/>
        </w:rPr>
        <w:t> </w:t>
      </w:r>
      <w:r>
        <w:rPr/>
        <w:t>(Lady</w:t>
      </w:r>
      <w:r>
        <w:rPr>
          <w:spacing w:val="-12"/>
        </w:rPr>
        <w:t> </w:t>
      </w:r>
      <w:r>
        <w:rPr/>
        <w:t>Macbeth),</w:t>
      </w:r>
      <w:r>
        <w:rPr>
          <w:spacing w:val="-5"/>
        </w:rPr>
        <w:t> </w:t>
      </w:r>
      <w:r>
        <w:rPr/>
        <w:t>and</w:t>
      </w:r>
      <w:r>
        <w:rPr>
          <w:spacing w:val="-7"/>
        </w:rPr>
        <w:t> </w:t>
      </w:r>
      <w:r>
        <w:rPr/>
        <w:t>erasure (Sycorax) toward a narrative</w:t>
      </w:r>
      <w:r>
        <w:rPr>
          <w:spacing w:val="40"/>
        </w:rPr>
        <w:t> </w:t>
      </w:r>
      <w:r>
        <w:rPr/>
        <w:t>of structural resistance.</w:t>
      </w:r>
    </w:p>
    <w:p>
      <w:pPr>
        <w:pStyle w:val="BodyText"/>
        <w:spacing w:line="268" w:lineRule="auto" w:before="59"/>
        <w:ind w:right="1441" w:firstLine="432"/>
        <w:jc w:val="both"/>
      </w:pPr>
      <w:r>
        <w:rPr>
          <w:spacing w:val="-2"/>
        </w:rPr>
        <w:t>Here</w:t>
      </w:r>
      <w:r>
        <w:rPr>
          <w:spacing w:val="-9"/>
        </w:rPr>
        <w:t> </w:t>
      </w:r>
      <w:r>
        <w:rPr>
          <w:spacing w:val="-2"/>
        </w:rPr>
        <w:t>is</w:t>
      </w:r>
      <w:r>
        <w:rPr>
          <w:spacing w:val="-8"/>
        </w:rPr>
        <w:t> </w:t>
      </w:r>
      <w:r>
        <w:rPr>
          <w:spacing w:val="-2"/>
        </w:rPr>
        <w:t>an</w:t>
      </w:r>
      <w:r>
        <w:rPr>
          <w:spacing w:val="-10"/>
        </w:rPr>
        <w:t> </w:t>
      </w:r>
      <w:r>
        <w:rPr>
          <w:spacing w:val="-2"/>
        </w:rPr>
        <w:t>expansion</w:t>
      </w:r>
      <w:r>
        <w:rPr>
          <w:spacing w:val="-8"/>
        </w:rPr>
        <w:t> </w:t>
      </w:r>
      <w:r>
        <w:rPr>
          <w:spacing w:val="-2"/>
        </w:rPr>
        <w:t>on</w:t>
      </w:r>
      <w:r>
        <w:rPr>
          <w:spacing w:val="-11"/>
        </w:rPr>
        <w:t> </w:t>
      </w:r>
      <w:r>
        <w:rPr>
          <w:spacing w:val="-2"/>
        </w:rPr>
        <w:t>how</w:t>
      </w:r>
      <w:r>
        <w:rPr>
          <w:spacing w:val="-9"/>
        </w:rPr>
        <w:t> </w:t>
      </w:r>
      <w:r>
        <w:rPr>
          <w:spacing w:val="-2"/>
        </w:rPr>
        <w:t>these</w:t>
      </w:r>
      <w:r>
        <w:rPr>
          <w:spacing w:val="-5"/>
        </w:rPr>
        <w:t> </w:t>
      </w:r>
      <w:r>
        <w:rPr>
          <w:spacing w:val="-2"/>
        </w:rPr>
        <w:t>specific</w:t>
      </w:r>
      <w:r>
        <w:rPr>
          <w:spacing w:val="-5"/>
        </w:rPr>
        <w:t> </w:t>
      </w:r>
      <w:r>
        <w:rPr>
          <w:spacing w:val="-2"/>
        </w:rPr>
        <w:t>transformations</w:t>
      </w:r>
      <w:r>
        <w:rPr>
          <w:spacing w:val="-8"/>
        </w:rPr>
        <w:t> </w:t>
      </w:r>
      <w:r>
        <w:rPr>
          <w:spacing w:val="-2"/>
        </w:rPr>
        <w:t>function </w:t>
      </w:r>
      <w:r>
        <w:rPr/>
        <w:t>as a blueprint for modern appropriation.</w:t>
      </w:r>
    </w:p>
    <w:p>
      <w:pPr>
        <w:pStyle w:val="Heading5"/>
        <w:numPr>
          <w:ilvl w:val="0"/>
          <w:numId w:val="53"/>
        </w:numPr>
        <w:tabs>
          <w:tab w:pos="1738" w:val="left" w:leader="none"/>
        </w:tabs>
        <w:spacing w:line="240" w:lineRule="auto" w:before="109" w:after="0"/>
        <w:ind w:left="1738" w:right="0" w:hanging="298"/>
        <w:jc w:val="left"/>
      </w:pPr>
      <w:r>
        <w:rPr>
          <w:w w:val="105"/>
        </w:rPr>
        <w:t>Ophelia:</w:t>
      </w:r>
      <w:r>
        <w:rPr>
          <w:spacing w:val="66"/>
          <w:w w:val="105"/>
        </w:rPr>
        <w:t> </w:t>
      </w:r>
      <w:r>
        <w:rPr>
          <w:w w:val="105"/>
        </w:rPr>
        <w:t>The</w:t>
      </w:r>
      <w:r>
        <w:rPr>
          <w:spacing w:val="64"/>
          <w:w w:val="105"/>
        </w:rPr>
        <w:t> </w:t>
      </w:r>
      <w:r>
        <w:rPr>
          <w:w w:val="105"/>
        </w:rPr>
        <w:t>Subversion</w:t>
      </w:r>
      <w:r>
        <w:rPr>
          <w:spacing w:val="67"/>
          <w:w w:val="105"/>
        </w:rPr>
        <w:t> </w:t>
      </w:r>
      <w:r>
        <w:rPr>
          <w:w w:val="105"/>
        </w:rPr>
        <w:t>of</w:t>
      </w:r>
      <w:r>
        <w:rPr>
          <w:spacing w:val="64"/>
          <w:w w:val="105"/>
        </w:rPr>
        <w:t> </w:t>
      </w:r>
      <w:r>
        <w:rPr>
          <w:w w:val="105"/>
        </w:rPr>
        <w:t>the</w:t>
      </w:r>
      <w:r>
        <w:rPr>
          <w:spacing w:val="67"/>
          <w:w w:val="105"/>
        </w:rPr>
        <w:t> </w:t>
      </w:r>
      <w:r>
        <w:rPr>
          <w:spacing w:val="-2"/>
          <w:w w:val="105"/>
        </w:rPr>
        <w:t>“Gaze”</w:t>
      </w:r>
    </w:p>
    <w:p>
      <w:pPr>
        <w:pStyle w:val="BodyText"/>
        <w:spacing w:line="268" w:lineRule="auto" w:before="86"/>
        <w:ind w:right="1441" w:firstLine="432"/>
        <w:jc w:val="both"/>
      </w:pPr>
      <w:r>
        <w:rPr/>
        <w:t>In the original </w:t>
      </w:r>
      <w:r>
        <w:rPr>
          <w:i/>
        </w:rPr>
        <w:t>Hamlet</w:t>
      </w:r>
      <w:r>
        <w:rPr/>
        <w:t>, Ophelia is a “spectacle.” Her madness is performed for the court, and her death is described by Gertrude rather than</w:t>
      </w:r>
      <w:r>
        <w:rPr>
          <w:spacing w:val="34"/>
        </w:rPr>
        <w:t> </w:t>
      </w:r>
      <w:r>
        <w:rPr/>
        <w:t>seen.</w:t>
      </w:r>
      <w:r>
        <w:rPr>
          <w:spacing w:val="39"/>
        </w:rPr>
        <w:t> </w:t>
      </w:r>
      <w:r>
        <w:rPr/>
        <w:t>She</w:t>
      </w:r>
      <w:r>
        <w:rPr>
          <w:spacing w:val="34"/>
        </w:rPr>
        <w:t> </w:t>
      </w:r>
      <w:r>
        <w:rPr/>
        <w:t>is</w:t>
      </w:r>
      <w:r>
        <w:rPr>
          <w:spacing w:val="39"/>
        </w:rPr>
        <w:t> </w:t>
      </w:r>
      <w:r>
        <w:rPr/>
        <w:t>an</w:t>
      </w:r>
      <w:r>
        <w:rPr>
          <w:spacing w:val="34"/>
        </w:rPr>
        <w:t> </w:t>
      </w:r>
      <w:r>
        <w:rPr/>
        <w:t>object</w:t>
      </w:r>
      <w:r>
        <w:rPr>
          <w:spacing w:val="34"/>
        </w:rPr>
        <w:t> </w:t>
      </w:r>
      <w:r>
        <w:rPr/>
        <w:t>of</w:t>
      </w:r>
      <w:r>
        <w:rPr>
          <w:spacing w:val="35"/>
        </w:rPr>
        <w:t> </w:t>
      </w:r>
      <w:r>
        <w:rPr/>
        <w:t>the</w:t>
      </w:r>
      <w:r>
        <w:rPr>
          <w:spacing w:val="38"/>
        </w:rPr>
        <w:t> </w:t>
      </w:r>
      <w:r>
        <w:rPr/>
        <w:t>male</w:t>
      </w:r>
      <w:r>
        <w:rPr>
          <w:spacing w:val="35"/>
        </w:rPr>
        <w:t> </w:t>
      </w:r>
      <w:r>
        <w:rPr/>
        <w:t>gaze</w:t>
      </w:r>
      <w:r>
        <w:rPr>
          <w:spacing w:val="40"/>
        </w:rPr>
        <w:t> </w:t>
      </w:r>
      <w:r>
        <w:rPr/>
        <w:t>even</w:t>
      </w:r>
      <w:r>
        <w:rPr>
          <w:spacing w:val="34"/>
        </w:rPr>
        <w:t> </w:t>
      </w:r>
      <w:r>
        <w:rPr/>
        <w:t>in</w:t>
      </w:r>
      <w:r>
        <w:rPr>
          <w:spacing w:val="36"/>
        </w:rPr>
        <w:t> </w:t>
      </w:r>
      <w:r>
        <w:rPr/>
        <w:t>her</w:t>
      </w:r>
      <w:r>
        <w:rPr>
          <w:spacing w:val="35"/>
        </w:rPr>
        <w:t> </w:t>
      </w:r>
      <w:r>
        <w:rPr/>
        <w:t>demise.</w:t>
      </w:r>
    </w:p>
    <w:p>
      <w:pPr>
        <w:pStyle w:val="ListParagraph"/>
        <w:numPr>
          <w:ilvl w:val="1"/>
          <w:numId w:val="53"/>
        </w:numPr>
        <w:tabs>
          <w:tab w:pos="2160" w:val="left" w:leader="none"/>
        </w:tabs>
        <w:spacing w:line="268" w:lineRule="auto" w:before="52" w:after="0"/>
        <w:ind w:left="2160" w:right="1439" w:hanging="240"/>
        <w:jc w:val="both"/>
        <w:rPr>
          <w:sz w:val="20"/>
        </w:rPr>
      </w:pPr>
      <w:r>
        <w:rPr>
          <w:spacing w:val="-2"/>
          <w:sz w:val="20"/>
        </w:rPr>
        <w:t>The</w:t>
      </w:r>
      <w:r>
        <w:rPr>
          <w:spacing w:val="-6"/>
          <w:sz w:val="20"/>
        </w:rPr>
        <w:t> </w:t>
      </w:r>
      <w:r>
        <w:rPr>
          <w:spacing w:val="-2"/>
          <w:sz w:val="20"/>
        </w:rPr>
        <w:t>“Survivor”</w:t>
      </w:r>
      <w:r>
        <w:rPr>
          <w:spacing w:val="-6"/>
          <w:sz w:val="20"/>
        </w:rPr>
        <w:t> </w:t>
      </w:r>
      <w:r>
        <w:rPr>
          <w:spacing w:val="-2"/>
          <w:sz w:val="20"/>
        </w:rPr>
        <w:t>Narrative:</w:t>
      </w:r>
      <w:r>
        <w:rPr>
          <w:spacing w:val="-8"/>
          <w:sz w:val="20"/>
        </w:rPr>
        <w:t> </w:t>
      </w:r>
      <w:r>
        <w:rPr>
          <w:spacing w:val="-2"/>
          <w:sz w:val="20"/>
        </w:rPr>
        <w:t>Lisa</w:t>
      </w:r>
      <w:r>
        <w:rPr>
          <w:spacing w:val="-7"/>
          <w:sz w:val="20"/>
        </w:rPr>
        <w:t> </w:t>
      </w:r>
      <w:r>
        <w:rPr>
          <w:spacing w:val="-2"/>
          <w:sz w:val="20"/>
        </w:rPr>
        <w:t>Klein’s</w:t>
      </w:r>
      <w:r>
        <w:rPr>
          <w:spacing w:val="-4"/>
          <w:sz w:val="20"/>
        </w:rPr>
        <w:t> </w:t>
      </w:r>
      <w:r>
        <w:rPr>
          <w:i/>
          <w:spacing w:val="-2"/>
          <w:sz w:val="20"/>
        </w:rPr>
        <w:t>Ophelia</w:t>
      </w:r>
      <w:r>
        <w:rPr>
          <w:i/>
          <w:spacing w:val="-3"/>
          <w:sz w:val="20"/>
        </w:rPr>
        <w:t> </w:t>
      </w:r>
      <w:r>
        <w:rPr>
          <w:spacing w:val="-2"/>
          <w:sz w:val="20"/>
        </w:rPr>
        <w:t>uses</w:t>
      </w:r>
      <w:r>
        <w:rPr>
          <w:spacing w:val="-9"/>
          <w:sz w:val="20"/>
        </w:rPr>
        <w:t> </w:t>
      </w:r>
      <w:r>
        <w:rPr>
          <w:spacing w:val="-2"/>
          <w:sz w:val="20"/>
        </w:rPr>
        <w:t>the</w:t>
      </w:r>
      <w:r>
        <w:rPr>
          <w:spacing w:val="-6"/>
          <w:sz w:val="20"/>
        </w:rPr>
        <w:t> </w:t>
      </w:r>
      <w:r>
        <w:rPr>
          <w:spacing w:val="-2"/>
          <w:sz w:val="20"/>
        </w:rPr>
        <w:t>“Gaze” </w:t>
      </w:r>
      <w:r>
        <w:rPr>
          <w:sz w:val="20"/>
        </w:rPr>
        <w:t>against itself. By faking her death, Ophelia uses the court’s expectation of her fragility as a camouflage for her escape.</w:t>
      </w:r>
    </w:p>
    <w:p>
      <w:pPr>
        <w:pStyle w:val="ListParagraph"/>
        <w:numPr>
          <w:ilvl w:val="1"/>
          <w:numId w:val="53"/>
        </w:numPr>
        <w:tabs>
          <w:tab w:pos="2160" w:val="left" w:leader="none"/>
        </w:tabs>
        <w:spacing w:line="266" w:lineRule="auto" w:before="56" w:after="0"/>
        <w:ind w:left="2160" w:right="1438" w:hanging="240"/>
        <w:jc w:val="both"/>
        <w:rPr>
          <w:sz w:val="20"/>
        </w:rPr>
      </w:pPr>
      <w:r>
        <w:rPr>
          <w:sz w:val="20"/>
        </w:rPr>
        <w:t>Agency through Knowledge: In these adaptations, Ophelia is often depicted as a botanist or a healer. Her “flowers” ($Act\ IV,</w:t>
      </w:r>
      <w:r>
        <w:rPr>
          <w:spacing w:val="-13"/>
          <w:sz w:val="20"/>
        </w:rPr>
        <w:t> </w:t>
      </w:r>
      <w:r>
        <w:rPr>
          <w:sz w:val="20"/>
        </w:rPr>
        <w:t>Scene\</w:t>
      </w:r>
      <w:r>
        <w:rPr>
          <w:spacing w:val="-12"/>
          <w:sz w:val="20"/>
        </w:rPr>
        <w:t> </w:t>
      </w:r>
      <w:r>
        <w:rPr>
          <w:sz w:val="20"/>
        </w:rPr>
        <w:t>V$)</w:t>
      </w:r>
      <w:r>
        <w:rPr>
          <w:spacing w:val="-13"/>
          <w:sz w:val="20"/>
        </w:rPr>
        <w:t> </w:t>
      </w:r>
      <w:r>
        <w:rPr>
          <w:sz w:val="20"/>
        </w:rPr>
        <w:t>are</w:t>
      </w:r>
      <w:r>
        <w:rPr>
          <w:spacing w:val="-12"/>
          <w:sz w:val="20"/>
        </w:rPr>
        <w:t> </w:t>
      </w:r>
      <w:r>
        <w:rPr>
          <w:sz w:val="20"/>
        </w:rPr>
        <w:t>no</w:t>
      </w:r>
      <w:r>
        <w:rPr>
          <w:spacing w:val="-13"/>
          <w:sz w:val="20"/>
        </w:rPr>
        <w:t> </w:t>
      </w:r>
      <w:r>
        <w:rPr>
          <w:sz w:val="20"/>
        </w:rPr>
        <w:t>longer</w:t>
      </w:r>
      <w:r>
        <w:rPr>
          <w:spacing w:val="-12"/>
          <w:sz w:val="20"/>
        </w:rPr>
        <w:t> </w:t>
      </w:r>
      <w:r>
        <w:rPr>
          <w:sz w:val="20"/>
        </w:rPr>
        <w:t>symbols</w:t>
      </w:r>
      <w:r>
        <w:rPr>
          <w:spacing w:val="-13"/>
          <w:sz w:val="20"/>
        </w:rPr>
        <w:t> </w:t>
      </w:r>
      <w:r>
        <w:rPr>
          <w:sz w:val="20"/>
        </w:rPr>
        <w:t>of</w:t>
      </w:r>
      <w:r>
        <w:rPr>
          <w:spacing w:val="-12"/>
          <w:sz w:val="20"/>
        </w:rPr>
        <w:t> </w:t>
      </w:r>
      <w:r>
        <w:rPr>
          <w:sz w:val="20"/>
        </w:rPr>
        <w:t>erratic</w:t>
      </w:r>
      <w:r>
        <w:rPr>
          <w:spacing w:val="-13"/>
          <w:sz w:val="20"/>
        </w:rPr>
        <w:t> </w:t>
      </w:r>
      <w:r>
        <w:rPr>
          <w:sz w:val="20"/>
        </w:rPr>
        <w:t>madness</w:t>
      </w:r>
      <w:r>
        <w:rPr>
          <w:spacing w:val="-12"/>
          <w:sz w:val="20"/>
        </w:rPr>
        <w:t> </w:t>
      </w:r>
      <w:r>
        <w:rPr>
          <w:sz w:val="20"/>
        </w:rPr>
        <w:t>but</w:t>
      </w:r>
      <w:r>
        <w:rPr>
          <w:spacing w:val="-13"/>
          <w:sz w:val="20"/>
        </w:rPr>
        <w:t> </w:t>
      </w:r>
      <w:r>
        <w:rPr>
          <w:sz w:val="20"/>
        </w:rPr>
        <w:t>are repurposed as a sophisticated, coded language of political </w:t>
      </w:r>
      <w:r>
        <w:rPr>
          <w:spacing w:val="-2"/>
          <w:sz w:val="20"/>
        </w:rPr>
        <w:t>protest.</w:t>
      </w:r>
    </w:p>
    <w:p>
      <w:pPr>
        <w:pStyle w:val="ListParagraph"/>
        <w:spacing w:after="0" w:line="266" w:lineRule="auto"/>
        <w:jc w:val="both"/>
        <w:rPr>
          <w:sz w:val="20"/>
        </w:rPr>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82400">
                <wp:simplePos x="0" y="0"/>
                <wp:positionH relativeFrom="page">
                  <wp:posOffset>2065020</wp:posOffset>
                </wp:positionH>
                <wp:positionV relativeFrom="paragraph">
                  <wp:posOffset>795020</wp:posOffset>
                </wp:positionV>
                <wp:extent cx="3657600" cy="12700"/>
                <wp:effectExtent l="0" t="0" r="0" b="0"/>
                <wp:wrapTopAndBottom/>
                <wp:docPr id="545" name="Graphic 545"/>
                <wp:cNvGraphicFramePr>
                  <a:graphicFrameLocks/>
                </wp:cNvGraphicFramePr>
                <a:graphic>
                  <a:graphicData uri="http://schemas.microsoft.com/office/word/2010/wordprocessingShape">
                    <wps:wsp>
                      <wps:cNvPr id="545" name="Graphic 54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34080;mso-wrap-distance-left:0;mso-wrap-distance-right:0" id="docshape540" filled="true" fillcolor="#000000" stroked="false">
                <v:fill type="solid"/>
                <w10:wrap type="topAndBottom"/>
              </v:rect>
            </w:pict>
          </mc:Fallback>
        </mc:AlternateContent>
      </w:r>
      <w:r>
        <w:rPr>
          <w:rFonts w:ascii="Verdana" w:hAnsi="Verdana"/>
          <w:spacing w:val="-2"/>
          <w:sz w:val="18"/>
        </w:rPr>
        <w:t>Reimagining</w:t>
      </w:r>
      <w:r>
        <w:rPr>
          <w:rFonts w:ascii="Verdana" w:hAnsi="Verdana"/>
          <w:spacing w:val="14"/>
          <w:sz w:val="18"/>
        </w:rPr>
        <w:t> </w:t>
      </w:r>
      <w:r>
        <w:rPr>
          <w:rFonts w:ascii="Verdana" w:hAnsi="Verdana"/>
          <w:spacing w:val="-2"/>
          <w:sz w:val="18"/>
        </w:rPr>
        <w:t>Shakespeare’s</w:t>
      </w:r>
      <w:r>
        <w:rPr>
          <w:rFonts w:ascii="Verdana" w:hAnsi="Verdana"/>
          <w:spacing w:val="13"/>
          <w:sz w:val="18"/>
        </w:rPr>
        <w:t> </w:t>
      </w:r>
      <w:r>
        <w:rPr>
          <w:rFonts w:ascii="Verdana" w:hAnsi="Verdana"/>
          <w:spacing w:val="-2"/>
          <w:sz w:val="18"/>
        </w:rPr>
        <w:t>Women:</w:t>
      </w:r>
      <w:r>
        <w:rPr>
          <w:rFonts w:ascii="Verdana" w:hAnsi="Verdana"/>
          <w:spacing w:val="14"/>
          <w:sz w:val="18"/>
        </w:rPr>
        <w:t> </w:t>
      </w:r>
      <w:r>
        <w:rPr>
          <w:rFonts w:ascii="Verdana" w:hAnsi="Verdana"/>
          <w:spacing w:val="-2"/>
          <w:sz w:val="18"/>
        </w:rPr>
        <w:t>Adaptations</w:t>
      </w:r>
      <w:r>
        <w:rPr>
          <w:rFonts w:ascii="Verdana" w:hAnsi="Verdana"/>
          <w:spacing w:val="13"/>
          <w:sz w:val="18"/>
        </w:rPr>
        <w:t> </w:t>
      </w:r>
      <w:r>
        <w:rPr>
          <w:rFonts w:ascii="Verdana" w:hAnsi="Verdana"/>
          <w:spacing w:val="-2"/>
          <w:sz w:val="18"/>
        </w:rPr>
        <w:t>and...</w:t>
      </w:r>
      <w:r>
        <w:rPr>
          <w:sz w:val="18"/>
        </w:rPr>
        <w:tab/>
      </w:r>
      <w:r>
        <w:rPr>
          <w:rFonts w:ascii="Verdana" w:hAnsi="Verdana"/>
          <w:spacing w:val="-5"/>
          <w:sz w:val="18"/>
        </w:rPr>
        <w:t>259</w:t>
      </w:r>
    </w:p>
    <w:p>
      <w:pPr>
        <w:pStyle w:val="Heading5"/>
        <w:numPr>
          <w:ilvl w:val="0"/>
          <w:numId w:val="53"/>
        </w:numPr>
        <w:tabs>
          <w:tab w:pos="1793" w:val="left" w:leader="none"/>
        </w:tabs>
        <w:spacing w:line="244" w:lineRule="auto" w:before="184" w:after="0"/>
        <w:ind w:left="1440" w:right="1437" w:firstLine="0"/>
        <w:jc w:val="left"/>
      </w:pPr>
      <w:r>
        <w:rPr>
          <w:spacing w:val="10"/>
          <w:w w:val="105"/>
        </w:rPr>
        <w:t>Lady</w:t>
      </w:r>
      <w:r>
        <w:rPr>
          <w:spacing w:val="80"/>
          <w:w w:val="105"/>
        </w:rPr>
        <w:t> </w:t>
      </w:r>
      <w:r>
        <w:rPr>
          <w:spacing w:val="12"/>
          <w:w w:val="105"/>
        </w:rPr>
        <w:t>Macbeth:</w:t>
      </w:r>
      <w:r>
        <w:rPr>
          <w:spacing w:val="80"/>
          <w:w w:val="105"/>
        </w:rPr>
        <w:t> </w:t>
      </w:r>
      <w:r>
        <w:rPr>
          <w:spacing w:val="13"/>
          <w:w w:val="105"/>
        </w:rPr>
        <w:t>Contextualizing</w:t>
      </w:r>
      <w:r>
        <w:rPr>
          <w:spacing w:val="80"/>
          <w:w w:val="105"/>
        </w:rPr>
        <w:t> </w:t>
      </w:r>
      <w:r>
        <w:rPr>
          <w:spacing w:val="13"/>
          <w:w w:val="105"/>
        </w:rPr>
        <w:t>“Unnatural” </w:t>
      </w:r>
      <w:r>
        <w:rPr>
          <w:spacing w:val="-2"/>
          <w:w w:val="105"/>
        </w:rPr>
        <w:t>Ambition</w:t>
      </w:r>
    </w:p>
    <w:p>
      <w:pPr>
        <w:pStyle w:val="BodyText"/>
        <w:spacing w:line="249" w:lineRule="auto" w:before="68"/>
        <w:ind w:right="1438" w:firstLine="432"/>
        <w:jc w:val="both"/>
      </w:pPr>
      <w:r>
        <w:rPr/>
        <w:t>Shakespeare presents Lady Macbeth’s ambition as a spiritual </w:t>
      </w:r>
      <w:r>
        <w:rPr>
          <w:spacing w:val="-2"/>
        </w:rPr>
        <w:t>transgression—she</w:t>
      </w:r>
      <w:r>
        <w:rPr>
          <w:spacing w:val="-5"/>
        </w:rPr>
        <w:t> </w:t>
      </w:r>
      <w:r>
        <w:rPr>
          <w:spacing w:val="-2"/>
        </w:rPr>
        <w:t>asks to be “unsexed”</w:t>
      </w:r>
      <w:r>
        <w:rPr>
          <w:spacing w:val="-5"/>
        </w:rPr>
        <w:t> </w:t>
      </w:r>
      <w:r>
        <w:rPr>
          <w:spacing w:val="-2"/>
        </w:rPr>
        <w:t>($Act\ I,</w:t>
      </w:r>
      <w:r>
        <w:rPr>
          <w:spacing w:val="-5"/>
        </w:rPr>
        <w:t> </w:t>
      </w:r>
      <w:r>
        <w:rPr>
          <w:spacing w:val="-2"/>
        </w:rPr>
        <w:t>Scene\</w:t>
      </w:r>
      <w:r>
        <w:rPr>
          <w:spacing w:val="-4"/>
        </w:rPr>
        <w:t> </w:t>
      </w:r>
      <w:r>
        <w:rPr>
          <w:spacing w:val="-2"/>
        </w:rPr>
        <w:t>V$),</w:t>
      </w:r>
      <w:r>
        <w:rPr>
          <w:spacing w:val="-5"/>
        </w:rPr>
        <w:t> </w:t>
      </w:r>
      <w:r>
        <w:rPr>
          <w:spacing w:val="-2"/>
        </w:rPr>
        <w:t>suggesting </w:t>
      </w:r>
      <w:r>
        <w:rPr/>
        <w:t>that power is inherently masculine. Modern adaptations seek the root cause</w:t>
      </w:r>
      <w:r>
        <w:rPr>
          <w:spacing w:val="40"/>
        </w:rPr>
        <w:t> </w:t>
      </w:r>
      <w:r>
        <w:rPr/>
        <w:t>of</w:t>
      </w:r>
      <w:r>
        <w:rPr>
          <w:spacing w:val="40"/>
        </w:rPr>
        <w:t> </w:t>
      </w:r>
      <w:r>
        <w:rPr/>
        <w:t>this</w:t>
      </w:r>
      <w:r>
        <w:rPr>
          <w:spacing w:val="40"/>
        </w:rPr>
        <w:t> </w:t>
      </w:r>
      <w:r>
        <w:rPr/>
        <w:t>desire.</w:t>
      </w:r>
    </w:p>
    <w:p>
      <w:pPr>
        <w:pStyle w:val="ListParagraph"/>
        <w:numPr>
          <w:ilvl w:val="1"/>
          <w:numId w:val="53"/>
        </w:numPr>
        <w:tabs>
          <w:tab w:pos="2160" w:val="left" w:leader="none"/>
        </w:tabs>
        <w:spacing w:line="261" w:lineRule="auto" w:before="68" w:after="0"/>
        <w:ind w:left="2160" w:right="1437" w:hanging="240"/>
        <w:jc w:val="both"/>
        <w:rPr>
          <w:sz w:val="20"/>
        </w:rPr>
      </w:pPr>
      <w:r>
        <w:rPr>
          <w:sz w:val="20"/>
        </w:rPr>
        <w:t>The Void of Motherhood: By emphasizing the line </w:t>
      </w:r>
      <w:r>
        <w:rPr>
          <w:i/>
          <w:sz w:val="20"/>
        </w:rPr>
        <w:t>“I have given suck, and know / How tender ’tis to love the babe that milks me,” </w:t>
      </w:r>
      <w:r>
        <w:rPr>
          <w:sz w:val="20"/>
        </w:rPr>
        <w:t>adaptations like Justin Kurzel’s </w:t>
      </w:r>
      <w:r>
        <w:rPr>
          <w:i/>
          <w:sz w:val="20"/>
        </w:rPr>
        <w:t>Macbeth </w:t>
      </w:r>
      <w:r>
        <w:rPr>
          <w:sz w:val="20"/>
        </w:rPr>
        <w:t>(2015) </w:t>
      </w:r>
      <w:r>
        <w:rPr>
          <w:spacing w:val="-2"/>
          <w:sz w:val="20"/>
        </w:rPr>
        <w:t>ground</w:t>
      </w:r>
      <w:r>
        <w:rPr>
          <w:spacing w:val="-7"/>
          <w:sz w:val="20"/>
        </w:rPr>
        <w:t> </w:t>
      </w:r>
      <w:r>
        <w:rPr>
          <w:spacing w:val="-2"/>
          <w:sz w:val="20"/>
        </w:rPr>
        <w:t>her</w:t>
      </w:r>
      <w:r>
        <w:rPr>
          <w:spacing w:val="-7"/>
          <w:sz w:val="20"/>
        </w:rPr>
        <w:t> </w:t>
      </w:r>
      <w:r>
        <w:rPr>
          <w:spacing w:val="-2"/>
          <w:sz w:val="20"/>
        </w:rPr>
        <w:t>ruthlessness</w:t>
      </w:r>
      <w:r>
        <w:rPr>
          <w:spacing w:val="-5"/>
          <w:sz w:val="20"/>
        </w:rPr>
        <w:t> </w:t>
      </w:r>
      <w:r>
        <w:rPr>
          <w:spacing w:val="-2"/>
          <w:sz w:val="20"/>
        </w:rPr>
        <w:t>in</w:t>
      </w:r>
      <w:r>
        <w:rPr>
          <w:spacing w:val="-9"/>
          <w:sz w:val="20"/>
        </w:rPr>
        <w:t> </w:t>
      </w:r>
      <w:r>
        <w:rPr>
          <w:spacing w:val="-2"/>
          <w:sz w:val="20"/>
        </w:rPr>
        <w:t>the</w:t>
      </w:r>
      <w:r>
        <w:rPr>
          <w:spacing w:val="-7"/>
          <w:sz w:val="20"/>
        </w:rPr>
        <w:t> </w:t>
      </w:r>
      <w:r>
        <w:rPr>
          <w:spacing w:val="-2"/>
          <w:sz w:val="20"/>
        </w:rPr>
        <w:t>trauma</w:t>
      </w:r>
      <w:r>
        <w:rPr>
          <w:spacing w:val="-7"/>
          <w:sz w:val="20"/>
        </w:rPr>
        <w:t> </w:t>
      </w:r>
      <w:r>
        <w:rPr>
          <w:spacing w:val="-2"/>
          <w:sz w:val="20"/>
        </w:rPr>
        <w:t>of</w:t>
      </w:r>
      <w:r>
        <w:rPr>
          <w:spacing w:val="-9"/>
          <w:sz w:val="20"/>
        </w:rPr>
        <w:t> </w:t>
      </w:r>
      <w:r>
        <w:rPr>
          <w:spacing w:val="-2"/>
          <w:sz w:val="20"/>
        </w:rPr>
        <w:t>child</w:t>
      </w:r>
      <w:r>
        <w:rPr>
          <w:spacing w:val="-5"/>
          <w:sz w:val="20"/>
        </w:rPr>
        <w:t> </w:t>
      </w:r>
      <w:r>
        <w:rPr>
          <w:spacing w:val="-2"/>
          <w:sz w:val="20"/>
        </w:rPr>
        <w:t>loss.</w:t>
      </w:r>
      <w:r>
        <w:rPr>
          <w:spacing w:val="-7"/>
          <w:sz w:val="20"/>
        </w:rPr>
        <w:t> </w:t>
      </w:r>
      <w:r>
        <w:rPr>
          <w:spacing w:val="-2"/>
          <w:sz w:val="20"/>
        </w:rPr>
        <w:t>Her</w:t>
      </w:r>
      <w:r>
        <w:rPr>
          <w:spacing w:val="-9"/>
          <w:sz w:val="20"/>
        </w:rPr>
        <w:t> </w:t>
      </w:r>
      <w:r>
        <w:rPr>
          <w:spacing w:val="-2"/>
          <w:sz w:val="20"/>
        </w:rPr>
        <w:t>ambition </w:t>
      </w:r>
      <w:r>
        <w:rPr>
          <w:sz w:val="20"/>
        </w:rPr>
        <w:t>becomes</w:t>
      </w:r>
      <w:r>
        <w:rPr>
          <w:spacing w:val="-8"/>
          <w:sz w:val="20"/>
        </w:rPr>
        <w:t> </w:t>
      </w:r>
      <w:r>
        <w:rPr>
          <w:sz w:val="20"/>
        </w:rPr>
        <w:t>a</w:t>
      </w:r>
      <w:r>
        <w:rPr>
          <w:spacing w:val="-10"/>
          <w:sz w:val="20"/>
        </w:rPr>
        <w:t> </w:t>
      </w:r>
      <w:r>
        <w:rPr>
          <w:sz w:val="20"/>
        </w:rPr>
        <w:t>desperate</w:t>
      </w:r>
      <w:r>
        <w:rPr>
          <w:spacing w:val="-8"/>
          <w:sz w:val="20"/>
        </w:rPr>
        <w:t> </w:t>
      </w:r>
      <w:r>
        <w:rPr>
          <w:sz w:val="20"/>
        </w:rPr>
        <w:t>attempt</w:t>
      </w:r>
      <w:r>
        <w:rPr>
          <w:spacing w:val="-11"/>
          <w:sz w:val="20"/>
        </w:rPr>
        <w:t> </w:t>
      </w:r>
      <w:r>
        <w:rPr>
          <w:sz w:val="20"/>
        </w:rPr>
        <w:t>to</w:t>
      </w:r>
      <w:r>
        <w:rPr>
          <w:spacing w:val="-6"/>
          <w:sz w:val="20"/>
        </w:rPr>
        <w:t> </w:t>
      </w:r>
      <w:r>
        <w:rPr>
          <w:sz w:val="20"/>
        </w:rPr>
        <w:t>fill</w:t>
      </w:r>
      <w:r>
        <w:rPr>
          <w:spacing w:val="-8"/>
          <w:sz w:val="20"/>
        </w:rPr>
        <w:t> </w:t>
      </w:r>
      <w:r>
        <w:rPr>
          <w:sz w:val="20"/>
        </w:rPr>
        <w:t>a</w:t>
      </w:r>
      <w:r>
        <w:rPr>
          <w:spacing w:val="-9"/>
          <w:sz w:val="20"/>
        </w:rPr>
        <w:t> </w:t>
      </w:r>
      <w:r>
        <w:rPr>
          <w:sz w:val="20"/>
        </w:rPr>
        <w:t>biological</w:t>
      </w:r>
      <w:r>
        <w:rPr>
          <w:spacing w:val="-8"/>
          <w:sz w:val="20"/>
        </w:rPr>
        <w:t> </w:t>
      </w:r>
      <w:r>
        <w:rPr>
          <w:sz w:val="20"/>
        </w:rPr>
        <w:t>and</w:t>
      </w:r>
      <w:r>
        <w:rPr>
          <w:spacing w:val="-8"/>
          <w:sz w:val="20"/>
        </w:rPr>
        <w:t> </w:t>
      </w:r>
      <w:r>
        <w:rPr>
          <w:sz w:val="20"/>
        </w:rPr>
        <w:t>social</w:t>
      </w:r>
      <w:r>
        <w:rPr>
          <w:spacing w:val="-8"/>
          <w:sz w:val="20"/>
        </w:rPr>
        <w:t> </w:t>
      </w:r>
      <w:r>
        <w:rPr>
          <w:sz w:val="20"/>
        </w:rPr>
        <w:t>void.</w:t>
      </w:r>
    </w:p>
    <w:p>
      <w:pPr>
        <w:pStyle w:val="ListParagraph"/>
        <w:numPr>
          <w:ilvl w:val="1"/>
          <w:numId w:val="53"/>
        </w:numPr>
        <w:tabs>
          <w:tab w:pos="2160" w:val="left" w:leader="none"/>
        </w:tabs>
        <w:spacing w:line="261" w:lineRule="auto" w:before="54" w:after="0"/>
        <w:ind w:left="2160" w:right="1438" w:hanging="240"/>
        <w:jc w:val="both"/>
        <w:rPr>
          <w:sz w:val="20"/>
        </w:rPr>
      </w:pPr>
      <w:r>
        <w:rPr>
          <w:sz w:val="20"/>
        </w:rPr>
        <w:t>The “Girl Interrupted” Motif: In the 2016 film </w:t>
      </w:r>
      <w:r>
        <w:rPr>
          <w:i/>
          <w:sz w:val="20"/>
        </w:rPr>
        <w:t>Lady Macbeth </w:t>
      </w:r>
      <w:r>
        <w:rPr>
          <w:sz w:val="20"/>
        </w:rPr>
        <w:t>(which appropriates the archetype rather than the play), the protagonist is a young bride sold into a cold, stagnant household. Here, her violence is not “evil”; it is the only tool available to a woman who is treated as property. It shifts the moral</w:t>
      </w:r>
      <w:r>
        <w:rPr>
          <w:spacing w:val="24"/>
          <w:sz w:val="20"/>
        </w:rPr>
        <w:t> </w:t>
      </w:r>
      <w:r>
        <w:rPr>
          <w:sz w:val="20"/>
        </w:rPr>
        <w:t>burden</w:t>
      </w:r>
      <w:r>
        <w:rPr>
          <w:spacing w:val="22"/>
          <w:sz w:val="20"/>
        </w:rPr>
        <w:t> </w:t>
      </w:r>
      <w:r>
        <w:rPr>
          <w:sz w:val="20"/>
        </w:rPr>
        <w:t>from the</w:t>
      </w:r>
      <w:r>
        <w:rPr>
          <w:spacing w:val="24"/>
          <w:sz w:val="20"/>
        </w:rPr>
        <w:t> </w:t>
      </w:r>
      <w:r>
        <w:rPr>
          <w:sz w:val="20"/>
        </w:rPr>
        <w:t>woman</w:t>
      </w:r>
      <w:r>
        <w:rPr>
          <w:spacing w:val="20"/>
          <w:sz w:val="20"/>
        </w:rPr>
        <w:t> </w:t>
      </w:r>
      <w:r>
        <w:rPr>
          <w:sz w:val="20"/>
        </w:rPr>
        <w:t>to</w:t>
      </w:r>
      <w:r>
        <w:rPr>
          <w:spacing w:val="26"/>
          <w:sz w:val="20"/>
        </w:rPr>
        <w:t> </w:t>
      </w:r>
      <w:r>
        <w:rPr>
          <w:sz w:val="20"/>
        </w:rPr>
        <w:t>the</w:t>
      </w:r>
      <w:r>
        <w:rPr>
          <w:spacing w:val="24"/>
          <w:sz w:val="20"/>
        </w:rPr>
        <w:t> </w:t>
      </w:r>
      <w:r>
        <w:rPr>
          <w:sz w:val="20"/>
        </w:rPr>
        <w:t>system</w:t>
      </w:r>
      <w:r>
        <w:rPr>
          <w:spacing w:val="20"/>
          <w:sz w:val="20"/>
        </w:rPr>
        <w:t> </w:t>
      </w:r>
      <w:r>
        <w:rPr>
          <w:sz w:val="20"/>
        </w:rPr>
        <w:t>that</w:t>
      </w:r>
      <w:r>
        <w:rPr>
          <w:spacing w:val="24"/>
          <w:sz w:val="20"/>
        </w:rPr>
        <w:t> </w:t>
      </w:r>
      <w:r>
        <w:rPr>
          <w:sz w:val="20"/>
        </w:rPr>
        <w:t>caged</w:t>
      </w:r>
      <w:r>
        <w:rPr>
          <w:spacing w:val="26"/>
          <w:sz w:val="20"/>
        </w:rPr>
        <w:t> </w:t>
      </w:r>
      <w:r>
        <w:rPr>
          <w:sz w:val="20"/>
        </w:rPr>
        <w:t>her.</w:t>
      </w:r>
    </w:p>
    <w:p>
      <w:pPr>
        <w:pStyle w:val="Heading5"/>
        <w:numPr>
          <w:ilvl w:val="0"/>
          <w:numId w:val="53"/>
        </w:numPr>
        <w:tabs>
          <w:tab w:pos="1745" w:val="left" w:leader="none"/>
        </w:tabs>
        <w:spacing w:line="240" w:lineRule="auto" w:before="96" w:after="0"/>
        <w:ind w:left="1745" w:right="0" w:hanging="305"/>
        <w:jc w:val="left"/>
      </w:pPr>
      <w:r>
        <w:rPr>
          <w:w w:val="105"/>
        </w:rPr>
        <w:t>Sycorax:</w:t>
      </w:r>
      <w:r>
        <w:rPr>
          <w:spacing w:val="57"/>
          <w:w w:val="105"/>
        </w:rPr>
        <w:t> </w:t>
      </w:r>
      <w:r>
        <w:rPr>
          <w:w w:val="105"/>
        </w:rPr>
        <w:t>Filling</w:t>
      </w:r>
      <w:r>
        <w:rPr>
          <w:spacing w:val="57"/>
          <w:w w:val="105"/>
        </w:rPr>
        <w:t> </w:t>
      </w:r>
      <w:r>
        <w:rPr>
          <w:w w:val="105"/>
        </w:rPr>
        <w:t>the</w:t>
      </w:r>
      <w:r>
        <w:rPr>
          <w:spacing w:val="57"/>
          <w:w w:val="105"/>
        </w:rPr>
        <w:t> </w:t>
      </w:r>
      <w:r>
        <w:rPr>
          <w:w w:val="105"/>
        </w:rPr>
        <w:t>“Narrative</w:t>
      </w:r>
      <w:r>
        <w:rPr>
          <w:spacing w:val="57"/>
          <w:w w:val="105"/>
        </w:rPr>
        <w:t> </w:t>
      </w:r>
      <w:r>
        <w:rPr>
          <w:spacing w:val="-4"/>
          <w:w w:val="105"/>
        </w:rPr>
        <w:t>Gap”</w:t>
      </w:r>
    </w:p>
    <w:p>
      <w:pPr>
        <w:pStyle w:val="BodyText"/>
        <w:spacing w:line="249" w:lineRule="auto" w:before="72"/>
        <w:ind w:right="1439" w:firstLine="432"/>
        <w:jc w:val="both"/>
      </w:pPr>
      <w:r>
        <w:rPr/>
        <w:t>Sycorax is the ultimate test of appropriation because she is a textual</w:t>
      </w:r>
      <w:r>
        <w:rPr>
          <w:spacing w:val="-7"/>
        </w:rPr>
        <w:t> </w:t>
      </w:r>
      <w:r>
        <w:rPr/>
        <w:t>ghost.</w:t>
      </w:r>
      <w:r>
        <w:rPr>
          <w:spacing w:val="-8"/>
        </w:rPr>
        <w:t> </w:t>
      </w:r>
      <w:r>
        <w:rPr/>
        <w:t>We</w:t>
      </w:r>
      <w:r>
        <w:rPr>
          <w:spacing w:val="-6"/>
        </w:rPr>
        <w:t> </w:t>
      </w:r>
      <w:r>
        <w:rPr/>
        <w:t>only</w:t>
      </w:r>
      <w:r>
        <w:rPr>
          <w:spacing w:val="-10"/>
        </w:rPr>
        <w:t> </w:t>
      </w:r>
      <w:r>
        <w:rPr/>
        <w:t>know</w:t>
      </w:r>
      <w:r>
        <w:rPr>
          <w:spacing w:val="-8"/>
        </w:rPr>
        <w:t> </w:t>
      </w:r>
      <w:r>
        <w:rPr/>
        <w:t>her</w:t>
      </w:r>
      <w:r>
        <w:rPr>
          <w:spacing w:val="-5"/>
        </w:rPr>
        <w:t> </w:t>
      </w:r>
      <w:r>
        <w:rPr/>
        <w:t>through</w:t>
      </w:r>
      <w:r>
        <w:rPr>
          <w:spacing w:val="-8"/>
        </w:rPr>
        <w:t> </w:t>
      </w:r>
      <w:r>
        <w:rPr/>
        <w:t>Prospero’s</w:t>
      </w:r>
      <w:r>
        <w:rPr>
          <w:spacing w:val="-8"/>
        </w:rPr>
        <w:t> </w:t>
      </w:r>
      <w:r>
        <w:rPr/>
        <w:t>insults.</w:t>
      </w:r>
      <w:r>
        <w:rPr>
          <w:spacing w:val="-6"/>
        </w:rPr>
        <w:t> </w:t>
      </w:r>
      <w:r>
        <w:rPr/>
        <w:t>Reclaiming her</w:t>
      </w:r>
      <w:r>
        <w:rPr>
          <w:spacing w:val="40"/>
        </w:rPr>
        <w:t> </w:t>
      </w:r>
      <w:r>
        <w:rPr/>
        <w:t>is</w:t>
      </w:r>
      <w:r>
        <w:rPr>
          <w:spacing w:val="40"/>
        </w:rPr>
        <w:t> </w:t>
      </w:r>
      <w:r>
        <w:rPr/>
        <w:t>an</w:t>
      </w:r>
      <w:r>
        <w:rPr>
          <w:spacing w:val="40"/>
        </w:rPr>
        <w:t> </w:t>
      </w:r>
      <w:r>
        <w:rPr/>
        <w:t>act</w:t>
      </w:r>
      <w:r>
        <w:rPr>
          <w:spacing w:val="40"/>
        </w:rPr>
        <w:t> </w:t>
      </w:r>
      <w:r>
        <w:rPr/>
        <w:t>of</w:t>
      </w:r>
      <w:r>
        <w:rPr>
          <w:spacing w:val="40"/>
        </w:rPr>
        <w:t> </w:t>
      </w:r>
      <w:r>
        <w:rPr/>
        <w:t>“Counter-Archiving.”</w:t>
      </w:r>
    </w:p>
    <w:p>
      <w:pPr>
        <w:pStyle w:val="ListParagraph"/>
        <w:numPr>
          <w:ilvl w:val="1"/>
          <w:numId w:val="53"/>
        </w:numPr>
        <w:tabs>
          <w:tab w:pos="2160" w:val="left" w:leader="none"/>
        </w:tabs>
        <w:spacing w:line="261" w:lineRule="auto" w:before="70" w:after="0"/>
        <w:ind w:left="2160" w:right="1438" w:hanging="240"/>
        <w:jc w:val="both"/>
        <w:rPr>
          <w:sz w:val="20"/>
        </w:rPr>
      </w:pPr>
      <w:r>
        <w:rPr>
          <w:sz w:val="20"/>
        </w:rPr>
        <w:t>The Indigenous Intellectual: In Aimé Césaire’s </w:t>
      </w:r>
      <w:r>
        <w:rPr>
          <w:i/>
          <w:sz w:val="20"/>
        </w:rPr>
        <w:t>A Tempest</w:t>
      </w:r>
      <w:r>
        <w:rPr>
          <w:sz w:val="20"/>
        </w:rPr>
        <w:t>, Sycorax represents a connection to the land that Prospero’s “book-magic” cannot comprehend. Her absence is reimagined as</w:t>
      </w:r>
      <w:r>
        <w:rPr>
          <w:spacing w:val="40"/>
          <w:sz w:val="20"/>
        </w:rPr>
        <w:t> </w:t>
      </w:r>
      <w:r>
        <w:rPr>
          <w:sz w:val="20"/>
        </w:rPr>
        <w:t>a form of silent,</w:t>
      </w:r>
      <w:r>
        <w:rPr>
          <w:spacing w:val="40"/>
          <w:sz w:val="20"/>
        </w:rPr>
        <w:t> </w:t>
      </w:r>
      <w:r>
        <w:rPr>
          <w:sz w:val="20"/>
        </w:rPr>
        <w:t>omnipresent</w:t>
      </w:r>
      <w:r>
        <w:rPr>
          <w:spacing w:val="40"/>
          <w:sz w:val="20"/>
        </w:rPr>
        <w:t> </w:t>
      </w:r>
      <w:r>
        <w:rPr>
          <w:sz w:val="20"/>
        </w:rPr>
        <w:t>resistance.</w:t>
      </w:r>
    </w:p>
    <w:p>
      <w:pPr>
        <w:pStyle w:val="ListParagraph"/>
        <w:numPr>
          <w:ilvl w:val="1"/>
          <w:numId w:val="53"/>
        </w:numPr>
        <w:tabs>
          <w:tab w:pos="2160" w:val="left" w:leader="none"/>
        </w:tabs>
        <w:spacing w:line="261" w:lineRule="auto" w:before="53" w:after="0"/>
        <w:ind w:left="2160" w:right="1437" w:hanging="240"/>
        <w:jc w:val="both"/>
        <w:rPr>
          <w:sz w:val="20"/>
        </w:rPr>
      </w:pPr>
      <w:r>
        <w:rPr>
          <w:sz w:val="20"/>
        </w:rPr>
        <w:t>The</w:t>
      </w:r>
      <w:r>
        <w:rPr>
          <w:spacing w:val="-13"/>
          <w:sz w:val="20"/>
        </w:rPr>
        <w:t> </w:t>
      </w:r>
      <w:r>
        <w:rPr>
          <w:sz w:val="20"/>
        </w:rPr>
        <w:t>Feminist</w:t>
      </w:r>
      <w:r>
        <w:rPr>
          <w:spacing w:val="-12"/>
          <w:sz w:val="20"/>
        </w:rPr>
        <w:t> </w:t>
      </w:r>
      <w:r>
        <w:rPr>
          <w:sz w:val="20"/>
        </w:rPr>
        <w:t>Ancestor:</w:t>
      </w:r>
      <w:r>
        <w:rPr>
          <w:spacing w:val="-9"/>
          <w:sz w:val="20"/>
        </w:rPr>
        <w:t> </w:t>
      </w:r>
      <w:r>
        <w:rPr>
          <w:sz w:val="20"/>
        </w:rPr>
        <w:t>Marina</w:t>
      </w:r>
      <w:r>
        <w:rPr>
          <w:spacing w:val="-11"/>
          <w:sz w:val="20"/>
        </w:rPr>
        <w:t> </w:t>
      </w:r>
      <w:r>
        <w:rPr>
          <w:sz w:val="20"/>
        </w:rPr>
        <w:t>Warner’s</w:t>
      </w:r>
      <w:r>
        <w:rPr>
          <w:spacing w:val="-9"/>
          <w:sz w:val="20"/>
        </w:rPr>
        <w:t> </w:t>
      </w:r>
      <w:r>
        <w:rPr>
          <w:i/>
          <w:sz w:val="20"/>
        </w:rPr>
        <w:t>Indigo</w:t>
      </w:r>
      <w:r>
        <w:rPr>
          <w:i/>
          <w:spacing w:val="-8"/>
          <w:sz w:val="20"/>
        </w:rPr>
        <w:t> </w:t>
      </w:r>
      <w:r>
        <w:rPr>
          <w:sz w:val="20"/>
        </w:rPr>
        <w:t>treats</w:t>
      </w:r>
      <w:r>
        <w:rPr>
          <w:spacing w:val="-9"/>
          <w:sz w:val="20"/>
        </w:rPr>
        <w:t> </w:t>
      </w:r>
      <w:r>
        <w:rPr>
          <w:sz w:val="20"/>
        </w:rPr>
        <w:t>Sycorax as</w:t>
      </w:r>
      <w:r>
        <w:rPr>
          <w:spacing w:val="-8"/>
          <w:sz w:val="20"/>
        </w:rPr>
        <w:t> </w:t>
      </w:r>
      <w:r>
        <w:rPr>
          <w:sz w:val="20"/>
        </w:rPr>
        <w:t>a</w:t>
      </w:r>
      <w:r>
        <w:rPr>
          <w:spacing w:val="-6"/>
          <w:sz w:val="20"/>
        </w:rPr>
        <w:t> </w:t>
      </w:r>
      <w:r>
        <w:rPr>
          <w:sz w:val="20"/>
        </w:rPr>
        <w:t>source</w:t>
      </w:r>
      <w:r>
        <w:rPr>
          <w:spacing w:val="-8"/>
          <w:sz w:val="20"/>
        </w:rPr>
        <w:t> </w:t>
      </w:r>
      <w:r>
        <w:rPr>
          <w:sz w:val="20"/>
        </w:rPr>
        <w:t>of</w:t>
      </w:r>
      <w:r>
        <w:rPr>
          <w:spacing w:val="-6"/>
          <w:sz w:val="20"/>
        </w:rPr>
        <w:t> </w:t>
      </w:r>
      <w:r>
        <w:rPr>
          <w:sz w:val="20"/>
        </w:rPr>
        <w:t>maternal</w:t>
      </w:r>
      <w:r>
        <w:rPr>
          <w:spacing w:val="-8"/>
          <w:sz w:val="20"/>
        </w:rPr>
        <w:t> </w:t>
      </w:r>
      <w:r>
        <w:rPr>
          <w:sz w:val="20"/>
        </w:rPr>
        <w:t>lineage.</w:t>
      </w:r>
      <w:r>
        <w:rPr>
          <w:spacing w:val="-4"/>
          <w:sz w:val="20"/>
        </w:rPr>
        <w:t> </w:t>
      </w:r>
      <w:r>
        <w:rPr>
          <w:sz w:val="20"/>
        </w:rPr>
        <w:t>By</w:t>
      </w:r>
      <w:r>
        <w:rPr>
          <w:spacing w:val="-11"/>
          <w:sz w:val="20"/>
        </w:rPr>
        <w:t> </w:t>
      </w:r>
      <w:r>
        <w:rPr>
          <w:sz w:val="20"/>
        </w:rPr>
        <w:t>giving</w:t>
      </w:r>
      <w:r>
        <w:rPr>
          <w:spacing w:val="-6"/>
          <w:sz w:val="20"/>
        </w:rPr>
        <w:t> </w:t>
      </w:r>
      <w:r>
        <w:rPr>
          <w:sz w:val="20"/>
        </w:rPr>
        <w:t>her</w:t>
      </w:r>
      <w:r>
        <w:rPr>
          <w:spacing w:val="-6"/>
          <w:sz w:val="20"/>
        </w:rPr>
        <w:t> </w:t>
      </w:r>
      <w:r>
        <w:rPr>
          <w:sz w:val="20"/>
        </w:rPr>
        <w:t>a</w:t>
      </w:r>
      <w:r>
        <w:rPr>
          <w:spacing w:val="-5"/>
          <w:sz w:val="20"/>
        </w:rPr>
        <w:t> </w:t>
      </w:r>
      <w:r>
        <w:rPr>
          <w:sz w:val="20"/>
        </w:rPr>
        <w:t>history,</w:t>
      </w:r>
      <w:r>
        <w:rPr>
          <w:spacing w:val="-6"/>
          <w:sz w:val="20"/>
        </w:rPr>
        <w:t> </w:t>
      </w:r>
      <w:r>
        <w:rPr>
          <w:sz w:val="20"/>
        </w:rPr>
        <w:t>writers </w:t>
      </w:r>
      <w:r>
        <w:rPr>
          <w:spacing w:val="-2"/>
          <w:sz w:val="20"/>
        </w:rPr>
        <w:t>challenge</w:t>
      </w:r>
      <w:r>
        <w:rPr>
          <w:spacing w:val="-9"/>
          <w:sz w:val="20"/>
        </w:rPr>
        <w:t> </w:t>
      </w:r>
      <w:r>
        <w:rPr>
          <w:spacing w:val="-2"/>
          <w:sz w:val="20"/>
        </w:rPr>
        <w:t>the</w:t>
      </w:r>
      <w:r>
        <w:rPr>
          <w:spacing w:val="-6"/>
          <w:sz w:val="20"/>
        </w:rPr>
        <w:t> </w:t>
      </w:r>
      <w:r>
        <w:rPr>
          <w:spacing w:val="-2"/>
          <w:sz w:val="20"/>
        </w:rPr>
        <w:t>“appropriateness”</w:t>
      </w:r>
      <w:r>
        <w:rPr>
          <w:spacing w:val="-9"/>
          <w:sz w:val="20"/>
        </w:rPr>
        <w:t> </w:t>
      </w:r>
      <w:r>
        <w:rPr>
          <w:spacing w:val="-2"/>
          <w:sz w:val="20"/>
        </w:rPr>
        <w:t>of</w:t>
      </w:r>
      <w:r>
        <w:rPr>
          <w:spacing w:val="-11"/>
          <w:sz w:val="20"/>
        </w:rPr>
        <w:t> </w:t>
      </w:r>
      <w:r>
        <w:rPr>
          <w:spacing w:val="-2"/>
          <w:sz w:val="20"/>
        </w:rPr>
        <w:t>Prospero’s</w:t>
      </w:r>
      <w:r>
        <w:rPr>
          <w:spacing w:val="-8"/>
          <w:sz w:val="20"/>
        </w:rPr>
        <w:t> </w:t>
      </w:r>
      <w:r>
        <w:rPr>
          <w:spacing w:val="-2"/>
          <w:sz w:val="20"/>
        </w:rPr>
        <w:t>colonial</w:t>
      </w:r>
      <w:r>
        <w:rPr>
          <w:spacing w:val="-10"/>
          <w:sz w:val="20"/>
        </w:rPr>
        <w:t> </w:t>
      </w:r>
      <w:r>
        <w:rPr>
          <w:spacing w:val="-2"/>
          <w:sz w:val="20"/>
        </w:rPr>
        <w:t>narrative. </w:t>
      </w:r>
      <w:r>
        <w:rPr>
          <w:sz w:val="20"/>
        </w:rPr>
        <w:t>This is not just a character study; it is a post-colonial reclamation of the</w:t>
      </w:r>
      <w:r>
        <w:rPr>
          <w:spacing w:val="40"/>
          <w:sz w:val="20"/>
        </w:rPr>
        <w:t> </w:t>
      </w:r>
      <w:r>
        <w:rPr>
          <w:sz w:val="20"/>
        </w:rPr>
        <w:t>“Witch” figure as a “Wise Woman.”</w:t>
      </w:r>
    </w:p>
    <w:p>
      <w:pPr>
        <w:pStyle w:val="Heading3"/>
        <w:spacing w:before="143"/>
      </w:pPr>
      <w:r>
        <w:rPr>
          <w:w w:val="90"/>
        </w:rPr>
        <w:t>COMPARISON</w:t>
      </w:r>
      <w:r>
        <w:rPr>
          <w:spacing w:val="37"/>
        </w:rPr>
        <w:t> </w:t>
      </w:r>
      <w:r>
        <w:rPr>
          <w:w w:val="90"/>
        </w:rPr>
        <w:t>OF</w:t>
      </w:r>
      <w:r>
        <w:rPr>
          <w:spacing w:val="33"/>
        </w:rPr>
        <w:t> </w:t>
      </w:r>
      <w:r>
        <w:rPr>
          <w:w w:val="90"/>
        </w:rPr>
        <w:t>REIMAGINED</w:t>
      </w:r>
      <w:r>
        <w:rPr>
          <w:spacing w:val="38"/>
        </w:rPr>
        <w:t> </w:t>
      </w:r>
      <w:r>
        <w:rPr>
          <w:spacing w:val="-2"/>
          <w:w w:val="90"/>
        </w:rPr>
        <w:t>ARCHETYPES</w:t>
      </w:r>
    </w:p>
    <w:p>
      <w:pPr>
        <w:pStyle w:val="BodyText"/>
        <w:spacing w:before="1"/>
        <w:ind w:left="0"/>
        <w:rPr>
          <w:rFonts w:ascii="Tahoma"/>
          <w:b/>
          <w:sz w:val="7"/>
        </w:rPr>
      </w:pPr>
    </w:p>
    <w:tbl>
      <w:tblPr>
        <w:tblW w:w="0" w:type="auto"/>
        <w:jc w:val="left"/>
        <w:tblInd w:w="1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9"/>
        <w:gridCol w:w="1506"/>
        <w:gridCol w:w="1301"/>
        <w:gridCol w:w="1081"/>
      </w:tblGrid>
      <w:tr>
        <w:trPr>
          <w:trHeight w:val="306" w:hRule="atLeast"/>
        </w:trPr>
        <w:tc>
          <w:tcPr>
            <w:tcW w:w="889" w:type="dxa"/>
          </w:tcPr>
          <w:p>
            <w:pPr>
              <w:pStyle w:val="TableParagraph"/>
              <w:spacing w:before="3"/>
              <w:ind w:left="61"/>
              <w:rPr>
                <w:b/>
                <w:sz w:val="13"/>
              </w:rPr>
            </w:pPr>
            <w:r>
              <w:rPr>
                <w:b/>
                <w:spacing w:val="-2"/>
                <w:w w:val="105"/>
                <w:sz w:val="13"/>
              </w:rPr>
              <w:t>Character</w:t>
            </w:r>
          </w:p>
        </w:tc>
        <w:tc>
          <w:tcPr>
            <w:tcW w:w="1506" w:type="dxa"/>
            <w:tcBorders>
              <w:right w:val="single" w:sz="6" w:space="0" w:color="000000"/>
            </w:tcBorders>
          </w:tcPr>
          <w:p>
            <w:pPr>
              <w:pStyle w:val="TableParagraph"/>
              <w:spacing w:before="3"/>
              <w:ind w:left="63"/>
              <w:rPr>
                <w:b/>
                <w:sz w:val="13"/>
              </w:rPr>
            </w:pPr>
            <w:r>
              <w:rPr>
                <w:b/>
                <w:spacing w:val="-2"/>
                <w:w w:val="105"/>
                <w:sz w:val="13"/>
              </w:rPr>
              <w:t>Shakespearean</w:t>
            </w:r>
          </w:p>
          <w:p>
            <w:pPr>
              <w:pStyle w:val="TableParagraph"/>
              <w:spacing w:line="128" w:lineRule="exact" w:before="6"/>
              <w:ind w:left="63"/>
              <w:rPr>
                <w:b/>
                <w:sz w:val="13"/>
              </w:rPr>
            </w:pPr>
            <w:r>
              <w:rPr>
                <w:b/>
                <w:spacing w:val="-2"/>
                <w:w w:val="105"/>
                <w:sz w:val="13"/>
              </w:rPr>
              <w:t>Constraint</w:t>
            </w:r>
          </w:p>
        </w:tc>
        <w:tc>
          <w:tcPr>
            <w:tcW w:w="1301" w:type="dxa"/>
            <w:tcBorders>
              <w:left w:val="single" w:sz="6" w:space="0" w:color="000000"/>
              <w:right w:val="single" w:sz="6" w:space="0" w:color="000000"/>
            </w:tcBorders>
          </w:tcPr>
          <w:p>
            <w:pPr>
              <w:pStyle w:val="TableParagraph"/>
              <w:spacing w:before="3"/>
              <w:ind w:left="59"/>
              <w:rPr>
                <w:b/>
                <w:sz w:val="13"/>
              </w:rPr>
            </w:pPr>
            <w:r>
              <w:rPr>
                <w:b/>
                <w:w w:val="105"/>
                <w:sz w:val="13"/>
              </w:rPr>
              <w:t>Modern</w:t>
            </w:r>
            <w:r>
              <w:rPr>
                <w:b/>
                <w:spacing w:val="37"/>
                <w:w w:val="105"/>
                <w:sz w:val="13"/>
              </w:rPr>
              <w:t> </w:t>
            </w:r>
            <w:r>
              <w:rPr>
                <w:b/>
                <w:spacing w:val="-2"/>
                <w:w w:val="105"/>
                <w:sz w:val="13"/>
              </w:rPr>
              <w:t>Liberatory</w:t>
            </w:r>
          </w:p>
          <w:p>
            <w:pPr>
              <w:pStyle w:val="TableParagraph"/>
              <w:spacing w:line="128" w:lineRule="exact" w:before="6"/>
              <w:ind w:left="59"/>
              <w:rPr>
                <w:b/>
                <w:sz w:val="13"/>
              </w:rPr>
            </w:pPr>
            <w:r>
              <w:rPr>
                <w:b/>
                <w:spacing w:val="-4"/>
                <w:w w:val="105"/>
                <w:sz w:val="13"/>
              </w:rPr>
              <w:t>Tool</w:t>
            </w:r>
          </w:p>
        </w:tc>
        <w:tc>
          <w:tcPr>
            <w:tcW w:w="1081" w:type="dxa"/>
            <w:tcBorders>
              <w:left w:val="single" w:sz="6" w:space="0" w:color="000000"/>
            </w:tcBorders>
          </w:tcPr>
          <w:p>
            <w:pPr>
              <w:pStyle w:val="TableParagraph"/>
              <w:spacing w:before="3"/>
              <w:ind w:left="59"/>
              <w:rPr>
                <w:b/>
                <w:sz w:val="13"/>
              </w:rPr>
            </w:pPr>
            <w:r>
              <w:rPr>
                <w:b/>
                <w:spacing w:val="-2"/>
                <w:w w:val="105"/>
                <w:sz w:val="13"/>
              </w:rPr>
              <w:t>Resulting</w:t>
            </w:r>
          </w:p>
          <w:p>
            <w:pPr>
              <w:pStyle w:val="TableParagraph"/>
              <w:spacing w:line="128" w:lineRule="exact" w:before="6"/>
              <w:ind w:left="59"/>
              <w:rPr>
                <w:b/>
                <w:sz w:val="13"/>
              </w:rPr>
            </w:pPr>
            <w:r>
              <w:rPr>
                <w:b/>
                <w:spacing w:val="-2"/>
                <w:w w:val="105"/>
                <w:sz w:val="13"/>
              </w:rPr>
              <w:t>Identity</w:t>
            </w:r>
          </w:p>
        </w:tc>
      </w:tr>
      <w:tr>
        <w:trPr>
          <w:trHeight w:val="306" w:hRule="atLeast"/>
        </w:trPr>
        <w:tc>
          <w:tcPr>
            <w:tcW w:w="889" w:type="dxa"/>
          </w:tcPr>
          <w:p>
            <w:pPr>
              <w:pStyle w:val="TableParagraph"/>
              <w:spacing w:before="3"/>
              <w:ind w:left="61"/>
              <w:rPr>
                <w:b/>
                <w:sz w:val="13"/>
              </w:rPr>
            </w:pPr>
            <w:r>
              <w:rPr>
                <w:b/>
                <w:spacing w:val="-2"/>
                <w:w w:val="105"/>
                <w:sz w:val="13"/>
              </w:rPr>
              <w:t>Ophelia</w:t>
            </w:r>
          </w:p>
        </w:tc>
        <w:tc>
          <w:tcPr>
            <w:tcW w:w="1506" w:type="dxa"/>
            <w:tcBorders>
              <w:right w:val="single" w:sz="6" w:space="0" w:color="000000"/>
            </w:tcBorders>
          </w:tcPr>
          <w:p>
            <w:pPr>
              <w:pStyle w:val="TableParagraph"/>
              <w:tabs>
                <w:tab w:pos="1311" w:val="left" w:leader="none"/>
              </w:tabs>
              <w:ind w:left="63"/>
              <w:rPr>
                <w:sz w:val="13"/>
              </w:rPr>
            </w:pPr>
            <w:r>
              <w:rPr>
                <w:spacing w:val="-2"/>
                <w:w w:val="105"/>
                <w:sz w:val="13"/>
              </w:rPr>
              <w:t>Controlled</w:t>
            </w:r>
            <w:r>
              <w:rPr>
                <w:sz w:val="13"/>
              </w:rPr>
              <w:tab/>
            </w:r>
            <w:r>
              <w:rPr>
                <w:spacing w:val="-5"/>
                <w:w w:val="105"/>
                <w:sz w:val="13"/>
              </w:rPr>
              <w:t>by</w:t>
            </w:r>
          </w:p>
          <w:p>
            <w:pPr>
              <w:pStyle w:val="TableParagraph"/>
              <w:spacing w:line="130" w:lineRule="exact" w:before="7"/>
              <w:ind w:left="63"/>
              <w:rPr>
                <w:sz w:val="13"/>
              </w:rPr>
            </w:pPr>
            <w:r>
              <w:rPr>
                <w:spacing w:val="-2"/>
                <w:w w:val="105"/>
                <w:sz w:val="13"/>
              </w:rPr>
              <w:t>Father/Lover</w:t>
            </w:r>
          </w:p>
        </w:tc>
        <w:tc>
          <w:tcPr>
            <w:tcW w:w="1301" w:type="dxa"/>
            <w:tcBorders>
              <w:left w:val="single" w:sz="6" w:space="0" w:color="000000"/>
              <w:right w:val="single" w:sz="6" w:space="0" w:color="000000"/>
            </w:tcBorders>
          </w:tcPr>
          <w:p>
            <w:pPr>
              <w:pStyle w:val="TableParagraph"/>
              <w:ind w:left="59"/>
              <w:rPr>
                <w:sz w:val="13"/>
              </w:rPr>
            </w:pPr>
            <w:r>
              <w:rPr>
                <w:spacing w:val="-2"/>
                <w:w w:val="105"/>
                <w:sz w:val="13"/>
              </w:rPr>
              <w:t>Strategic</w:t>
            </w:r>
            <w:r>
              <w:rPr>
                <w:spacing w:val="7"/>
                <w:w w:val="105"/>
                <w:sz w:val="13"/>
              </w:rPr>
              <w:t> </w:t>
            </w:r>
            <w:r>
              <w:rPr>
                <w:spacing w:val="-2"/>
                <w:w w:val="105"/>
                <w:sz w:val="13"/>
              </w:rPr>
              <w:t>Deception</w:t>
            </w:r>
          </w:p>
        </w:tc>
        <w:tc>
          <w:tcPr>
            <w:tcW w:w="1081" w:type="dxa"/>
            <w:tcBorders>
              <w:left w:val="single" w:sz="6" w:space="0" w:color="000000"/>
            </w:tcBorders>
          </w:tcPr>
          <w:p>
            <w:pPr>
              <w:pStyle w:val="TableParagraph"/>
              <w:ind w:left="59"/>
              <w:rPr>
                <w:sz w:val="13"/>
              </w:rPr>
            </w:pPr>
            <w:r>
              <w:rPr>
                <w:w w:val="105"/>
                <w:sz w:val="13"/>
              </w:rPr>
              <w:t>The</w:t>
            </w:r>
            <w:r>
              <w:rPr>
                <w:spacing w:val="-6"/>
                <w:w w:val="105"/>
                <w:sz w:val="13"/>
              </w:rPr>
              <w:t> </w:t>
            </w:r>
            <w:r>
              <w:rPr>
                <w:spacing w:val="-2"/>
                <w:w w:val="105"/>
                <w:sz w:val="13"/>
              </w:rPr>
              <w:t>Escapee</w:t>
            </w:r>
          </w:p>
        </w:tc>
      </w:tr>
      <w:tr>
        <w:trPr>
          <w:trHeight w:val="306" w:hRule="atLeast"/>
        </w:trPr>
        <w:tc>
          <w:tcPr>
            <w:tcW w:w="889" w:type="dxa"/>
          </w:tcPr>
          <w:p>
            <w:pPr>
              <w:pStyle w:val="TableParagraph"/>
              <w:spacing w:line="154" w:lineRule="exact"/>
              <w:ind w:left="61" w:right="296"/>
              <w:rPr>
                <w:b/>
                <w:sz w:val="13"/>
              </w:rPr>
            </w:pPr>
            <w:r>
              <w:rPr>
                <w:b/>
                <w:spacing w:val="-4"/>
                <w:w w:val="105"/>
                <w:sz w:val="13"/>
              </w:rPr>
              <w:t>Lady</w:t>
            </w:r>
            <w:r>
              <w:rPr>
                <w:b/>
                <w:spacing w:val="40"/>
                <w:w w:val="105"/>
                <w:sz w:val="13"/>
              </w:rPr>
              <w:t> </w:t>
            </w:r>
            <w:r>
              <w:rPr>
                <w:b/>
                <w:spacing w:val="-2"/>
                <w:w w:val="105"/>
                <w:sz w:val="13"/>
              </w:rPr>
              <w:t>Macbeth</w:t>
            </w:r>
          </w:p>
        </w:tc>
        <w:tc>
          <w:tcPr>
            <w:tcW w:w="1506" w:type="dxa"/>
            <w:tcBorders>
              <w:right w:val="single" w:sz="6" w:space="0" w:color="000000"/>
            </w:tcBorders>
          </w:tcPr>
          <w:p>
            <w:pPr>
              <w:pStyle w:val="TableParagraph"/>
              <w:spacing w:before="1"/>
              <w:ind w:left="13" w:right="133"/>
              <w:jc w:val="center"/>
              <w:rPr>
                <w:sz w:val="13"/>
              </w:rPr>
            </w:pPr>
            <w:r>
              <w:rPr>
                <w:spacing w:val="-2"/>
                <w:w w:val="105"/>
                <w:sz w:val="13"/>
              </w:rPr>
              <w:t>"Monstrous"</w:t>
            </w:r>
            <w:r>
              <w:rPr>
                <w:spacing w:val="10"/>
                <w:w w:val="105"/>
                <w:sz w:val="13"/>
              </w:rPr>
              <w:t> </w:t>
            </w:r>
            <w:r>
              <w:rPr>
                <w:spacing w:val="-2"/>
                <w:w w:val="105"/>
                <w:sz w:val="13"/>
              </w:rPr>
              <w:t>Ambition</w:t>
            </w:r>
          </w:p>
        </w:tc>
        <w:tc>
          <w:tcPr>
            <w:tcW w:w="1301" w:type="dxa"/>
            <w:tcBorders>
              <w:left w:val="single" w:sz="6" w:space="0" w:color="000000"/>
              <w:right w:val="single" w:sz="6" w:space="0" w:color="000000"/>
            </w:tcBorders>
          </w:tcPr>
          <w:p>
            <w:pPr>
              <w:pStyle w:val="TableParagraph"/>
              <w:spacing w:before="1"/>
              <w:ind w:left="59"/>
              <w:rPr>
                <w:sz w:val="13"/>
              </w:rPr>
            </w:pPr>
            <w:r>
              <w:rPr>
                <w:spacing w:val="-2"/>
                <w:w w:val="105"/>
                <w:sz w:val="13"/>
              </w:rPr>
              <w:t>Traumatic</w:t>
            </w:r>
            <w:r>
              <w:rPr>
                <w:spacing w:val="8"/>
                <w:w w:val="105"/>
                <w:sz w:val="13"/>
              </w:rPr>
              <w:t> </w:t>
            </w:r>
            <w:r>
              <w:rPr>
                <w:spacing w:val="-2"/>
                <w:w w:val="105"/>
                <w:sz w:val="13"/>
              </w:rPr>
              <w:t>Backstory</w:t>
            </w:r>
          </w:p>
        </w:tc>
        <w:tc>
          <w:tcPr>
            <w:tcW w:w="1081" w:type="dxa"/>
            <w:tcBorders>
              <w:left w:val="single" w:sz="6" w:space="0" w:color="000000"/>
            </w:tcBorders>
          </w:tcPr>
          <w:p>
            <w:pPr>
              <w:pStyle w:val="TableParagraph"/>
              <w:spacing w:before="1"/>
              <w:ind w:left="59"/>
              <w:rPr>
                <w:sz w:val="13"/>
              </w:rPr>
            </w:pPr>
            <w:r>
              <w:rPr>
                <w:spacing w:val="-5"/>
                <w:w w:val="105"/>
                <w:sz w:val="13"/>
              </w:rPr>
              <w:t>The</w:t>
            </w:r>
          </w:p>
          <w:p>
            <w:pPr>
              <w:pStyle w:val="TableParagraph"/>
              <w:spacing w:line="132" w:lineRule="exact" w:before="4"/>
              <w:ind w:left="59"/>
              <w:rPr>
                <w:sz w:val="13"/>
              </w:rPr>
            </w:pPr>
            <w:r>
              <w:rPr>
                <w:spacing w:val="-2"/>
                <w:w w:val="105"/>
                <w:sz w:val="13"/>
              </w:rPr>
              <w:t>Revolutionary</w:t>
            </w:r>
          </w:p>
        </w:tc>
      </w:tr>
      <w:tr>
        <w:trPr>
          <w:trHeight w:val="306" w:hRule="atLeast"/>
        </w:trPr>
        <w:tc>
          <w:tcPr>
            <w:tcW w:w="889" w:type="dxa"/>
          </w:tcPr>
          <w:p>
            <w:pPr>
              <w:pStyle w:val="TableParagraph"/>
              <w:spacing w:before="2"/>
              <w:ind w:left="61"/>
              <w:rPr>
                <w:b/>
                <w:sz w:val="13"/>
              </w:rPr>
            </w:pPr>
            <w:r>
              <w:rPr>
                <w:b/>
                <w:spacing w:val="-2"/>
                <w:w w:val="105"/>
                <w:sz w:val="13"/>
              </w:rPr>
              <w:t>Sycorax</w:t>
            </w:r>
          </w:p>
        </w:tc>
        <w:tc>
          <w:tcPr>
            <w:tcW w:w="1506" w:type="dxa"/>
            <w:tcBorders>
              <w:right w:val="single" w:sz="6" w:space="0" w:color="000000"/>
            </w:tcBorders>
          </w:tcPr>
          <w:p>
            <w:pPr>
              <w:pStyle w:val="TableParagraph"/>
              <w:spacing w:line="149" w:lineRule="exact"/>
              <w:ind w:left="13"/>
              <w:jc w:val="center"/>
              <w:rPr>
                <w:sz w:val="13"/>
              </w:rPr>
            </w:pPr>
            <w:r>
              <w:rPr>
                <w:w w:val="105"/>
                <w:sz w:val="13"/>
              </w:rPr>
              <w:t>Total</w:t>
            </w:r>
            <w:r>
              <w:rPr>
                <w:spacing w:val="-6"/>
                <w:w w:val="105"/>
                <w:sz w:val="13"/>
              </w:rPr>
              <w:t> </w:t>
            </w:r>
            <w:r>
              <w:rPr>
                <w:spacing w:val="-2"/>
                <w:w w:val="105"/>
                <w:sz w:val="13"/>
              </w:rPr>
              <w:t>Silence/Vilification</w:t>
            </w:r>
          </w:p>
        </w:tc>
        <w:tc>
          <w:tcPr>
            <w:tcW w:w="1301" w:type="dxa"/>
            <w:tcBorders>
              <w:left w:val="single" w:sz="6" w:space="0" w:color="000000"/>
              <w:right w:val="single" w:sz="6" w:space="0" w:color="000000"/>
            </w:tcBorders>
          </w:tcPr>
          <w:p>
            <w:pPr>
              <w:pStyle w:val="TableParagraph"/>
              <w:spacing w:line="149" w:lineRule="exact"/>
              <w:ind w:left="59"/>
              <w:rPr>
                <w:sz w:val="13"/>
              </w:rPr>
            </w:pPr>
            <w:r>
              <w:rPr>
                <w:w w:val="105"/>
                <w:sz w:val="13"/>
              </w:rPr>
              <w:t>Cultural</w:t>
            </w:r>
            <w:r>
              <w:rPr>
                <w:spacing w:val="-7"/>
                <w:w w:val="105"/>
                <w:sz w:val="13"/>
              </w:rPr>
              <w:t> </w:t>
            </w:r>
            <w:r>
              <w:rPr>
                <w:spacing w:val="-2"/>
                <w:w w:val="105"/>
                <w:sz w:val="13"/>
              </w:rPr>
              <w:t>Heritage</w:t>
            </w:r>
          </w:p>
        </w:tc>
        <w:tc>
          <w:tcPr>
            <w:tcW w:w="1081" w:type="dxa"/>
            <w:tcBorders>
              <w:left w:val="single" w:sz="6" w:space="0" w:color="000000"/>
            </w:tcBorders>
          </w:tcPr>
          <w:p>
            <w:pPr>
              <w:pStyle w:val="TableParagraph"/>
              <w:tabs>
                <w:tab w:pos="723" w:val="left" w:leader="none"/>
              </w:tabs>
              <w:spacing w:line="149" w:lineRule="exact"/>
              <w:ind w:left="59"/>
              <w:rPr>
                <w:sz w:val="13"/>
              </w:rPr>
            </w:pPr>
            <w:r>
              <w:rPr>
                <w:spacing w:val="-5"/>
                <w:w w:val="105"/>
                <w:sz w:val="13"/>
              </w:rPr>
              <w:t>The</w:t>
            </w:r>
            <w:r>
              <w:rPr>
                <w:sz w:val="13"/>
              </w:rPr>
              <w:tab/>
            </w:r>
            <w:r>
              <w:rPr>
                <w:spacing w:val="-4"/>
                <w:w w:val="105"/>
                <w:sz w:val="13"/>
              </w:rPr>
              <w:t>Earth</w:t>
            </w:r>
          </w:p>
          <w:p>
            <w:pPr>
              <w:pStyle w:val="TableParagraph"/>
              <w:spacing w:line="130" w:lineRule="exact" w:before="6"/>
              <w:ind w:left="59"/>
              <w:rPr>
                <w:sz w:val="13"/>
              </w:rPr>
            </w:pPr>
            <w:r>
              <w:rPr>
                <w:spacing w:val="-2"/>
                <w:w w:val="105"/>
                <w:sz w:val="13"/>
              </w:rPr>
              <w:t>Mother</w:t>
            </w:r>
          </w:p>
        </w:tc>
      </w:tr>
    </w:tbl>
    <w:p>
      <w:pPr>
        <w:pStyle w:val="TableParagraph"/>
        <w:spacing w:after="0" w:line="130" w:lineRule="exact"/>
        <w:rPr>
          <w:sz w:val="13"/>
        </w:rPr>
        <w:sectPr>
          <w:pgSz w:w="12240" w:h="15840"/>
          <w:pgMar w:top="1820" w:bottom="280" w:left="1800" w:right="1800"/>
        </w:sectPr>
      </w:pPr>
    </w:p>
    <w:p>
      <w:pPr>
        <w:pStyle w:val="BodyText"/>
        <w:ind w:left="0"/>
        <w:rPr>
          <w:rFonts w:ascii="Tahoma"/>
          <w:b/>
          <w:sz w:val="18"/>
        </w:rPr>
      </w:pPr>
    </w:p>
    <w:p>
      <w:pPr>
        <w:pStyle w:val="BodyText"/>
        <w:ind w:left="0"/>
        <w:rPr>
          <w:rFonts w:ascii="Tahoma"/>
          <w:b/>
          <w:sz w:val="18"/>
        </w:rPr>
      </w:pPr>
    </w:p>
    <w:p>
      <w:pPr>
        <w:pStyle w:val="BodyText"/>
        <w:ind w:left="0"/>
        <w:rPr>
          <w:rFonts w:ascii="Tahoma"/>
          <w:b/>
          <w:sz w:val="18"/>
        </w:rPr>
      </w:pPr>
    </w:p>
    <w:p>
      <w:pPr>
        <w:pStyle w:val="BodyText"/>
        <w:spacing w:before="127"/>
        <w:ind w:left="0"/>
        <w:rPr>
          <w:rFonts w:ascii="Tahoma"/>
          <w:b/>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82912">
                <wp:simplePos x="0" y="0"/>
                <wp:positionH relativeFrom="page">
                  <wp:posOffset>2057400</wp:posOffset>
                </wp:positionH>
                <wp:positionV relativeFrom="paragraph">
                  <wp:posOffset>162520</wp:posOffset>
                </wp:positionV>
                <wp:extent cx="3657600" cy="12700"/>
                <wp:effectExtent l="0" t="0" r="0" b="0"/>
                <wp:wrapTopAndBottom/>
                <wp:docPr id="546" name="Graphic 546"/>
                <wp:cNvGraphicFramePr>
                  <a:graphicFrameLocks/>
                </wp:cNvGraphicFramePr>
                <a:graphic>
                  <a:graphicData uri="http://schemas.microsoft.com/office/word/2010/wordprocessingShape">
                    <wps:wsp>
                      <wps:cNvPr id="546" name="Graphic 54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796882pt;width:288.000009pt;height:.959999pt;mso-position-horizontal-relative:page;mso-position-vertical-relative:paragraph;z-index:-15533568;mso-wrap-distance-left:0;mso-wrap-distance-right:0" id="docshape541" filled="true" fillcolor="#000000" stroked="false">
                <v:fill type="solid"/>
                <w10:wrap type="topAndBottom"/>
              </v:rect>
            </w:pict>
          </mc:Fallback>
        </mc:AlternateContent>
      </w:r>
      <w:r>
        <w:rPr>
          <w:rFonts w:ascii="Verdana"/>
          <w:spacing w:val="-5"/>
          <w:sz w:val="18"/>
        </w:rPr>
        <w:t>260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firstLine="432"/>
        <w:jc w:val="both"/>
      </w:pPr>
      <w:r>
        <w:rPr/>
        <w:t>Reimagining Desdemona’s survival requires moving beyond a “happy ending” and instead focusing on narrative justice. To respect</w:t>
      </w:r>
      <w:r>
        <w:rPr>
          <w:spacing w:val="40"/>
        </w:rPr>
        <w:t> </w:t>
      </w:r>
      <w:r>
        <w:rPr/>
        <w:t>the</w:t>
      </w:r>
      <w:r>
        <w:rPr>
          <w:spacing w:val="21"/>
        </w:rPr>
        <w:t> </w:t>
      </w:r>
      <w:r>
        <w:rPr/>
        <w:t>weight of the</w:t>
      </w:r>
      <w:r>
        <w:rPr>
          <w:spacing w:val="21"/>
        </w:rPr>
        <w:t> </w:t>
      </w:r>
      <w:r>
        <w:rPr/>
        <w:t>original tragedy,</w:t>
      </w:r>
      <w:r>
        <w:rPr>
          <w:spacing w:val="20"/>
        </w:rPr>
        <w:t> </w:t>
      </w:r>
      <w:r>
        <w:rPr/>
        <w:t>her</w:t>
      </w:r>
      <w:r>
        <w:rPr>
          <w:spacing w:val="22"/>
        </w:rPr>
        <w:t> </w:t>
      </w:r>
      <w:r>
        <w:rPr/>
        <w:t>survival should</w:t>
      </w:r>
      <w:r>
        <w:rPr>
          <w:spacing w:val="21"/>
        </w:rPr>
        <w:t> </w:t>
      </w:r>
      <w:r>
        <w:rPr/>
        <w:t>not be</w:t>
      </w:r>
      <w:r>
        <w:rPr>
          <w:spacing w:val="19"/>
        </w:rPr>
        <w:t> </w:t>
      </w:r>
      <w:r>
        <w:rPr/>
        <w:t>a</w:t>
      </w:r>
      <w:r>
        <w:rPr>
          <w:spacing w:val="21"/>
        </w:rPr>
        <w:t> </w:t>
      </w:r>
      <w:r>
        <w:rPr/>
        <w:t>result of</w:t>
      </w:r>
      <w:r>
        <w:rPr>
          <w:spacing w:val="8"/>
        </w:rPr>
        <w:t> </w:t>
      </w:r>
      <w:r>
        <w:rPr/>
        <w:t>luck,</w:t>
      </w:r>
      <w:r>
        <w:rPr>
          <w:spacing w:val="14"/>
        </w:rPr>
        <w:t> </w:t>
      </w:r>
      <w:r>
        <w:rPr/>
        <w:t>but</w:t>
      </w:r>
      <w:r>
        <w:rPr>
          <w:spacing w:val="9"/>
        </w:rPr>
        <w:t> </w:t>
      </w:r>
      <w:r>
        <w:rPr/>
        <w:t>an</w:t>
      </w:r>
      <w:r>
        <w:rPr>
          <w:spacing w:val="10"/>
        </w:rPr>
        <w:t> </w:t>
      </w:r>
      <w:r>
        <w:rPr/>
        <w:t>act</w:t>
      </w:r>
      <w:r>
        <w:rPr>
          <w:spacing w:val="8"/>
        </w:rPr>
        <w:t> </w:t>
      </w:r>
      <w:r>
        <w:rPr/>
        <w:t>of</w:t>
      </w:r>
      <w:r>
        <w:rPr>
          <w:spacing w:val="10"/>
        </w:rPr>
        <w:t> </w:t>
      </w:r>
      <w:r>
        <w:rPr/>
        <w:t>profound</w:t>
      </w:r>
      <w:r>
        <w:rPr>
          <w:spacing w:val="10"/>
        </w:rPr>
        <w:t> </w:t>
      </w:r>
      <w:r>
        <w:rPr/>
        <w:t>psychological</w:t>
      </w:r>
      <w:r>
        <w:rPr>
          <w:spacing w:val="12"/>
        </w:rPr>
        <w:t> </w:t>
      </w:r>
      <w:r>
        <w:rPr/>
        <w:t>and</w:t>
      </w:r>
      <w:r>
        <w:rPr>
          <w:spacing w:val="12"/>
        </w:rPr>
        <w:t> </w:t>
      </w:r>
      <w:r>
        <w:rPr/>
        <w:t>strategic</w:t>
      </w:r>
      <w:r>
        <w:rPr>
          <w:spacing w:val="13"/>
        </w:rPr>
        <w:t> </w:t>
      </w:r>
      <w:r>
        <w:rPr>
          <w:spacing w:val="-2"/>
        </w:rPr>
        <w:t>awakening.</w:t>
      </w:r>
    </w:p>
    <w:p>
      <w:pPr>
        <w:pStyle w:val="BodyText"/>
        <w:spacing w:line="242" w:lineRule="auto" w:before="56"/>
        <w:ind w:right="1443" w:firstLine="432"/>
        <w:jc w:val="both"/>
      </w:pPr>
      <w:r>
        <w:rPr/>
        <w:t>Here</w:t>
      </w:r>
      <w:r>
        <w:rPr>
          <w:spacing w:val="-6"/>
        </w:rPr>
        <w:t> </w:t>
      </w:r>
      <w:r>
        <w:rPr/>
        <w:t>is</w:t>
      </w:r>
      <w:r>
        <w:rPr>
          <w:spacing w:val="-6"/>
        </w:rPr>
        <w:t> </w:t>
      </w:r>
      <w:r>
        <w:rPr/>
        <w:t>a</w:t>
      </w:r>
      <w:r>
        <w:rPr>
          <w:spacing w:val="-5"/>
        </w:rPr>
        <w:t> </w:t>
      </w:r>
      <w:r>
        <w:rPr/>
        <w:t>radical</w:t>
      </w:r>
      <w:r>
        <w:rPr>
          <w:spacing w:val="-7"/>
        </w:rPr>
        <w:t> </w:t>
      </w:r>
      <w:r>
        <w:rPr/>
        <w:t>reimagining</w:t>
      </w:r>
      <w:r>
        <w:rPr>
          <w:spacing w:val="-6"/>
        </w:rPr>
        <w:t> </w:t>
      </w:r>
      <w:r>
        <w:rPr/>
        <w:t>of</w:t>
      </w:r>
      <w:r>
        <w:rPr>
          <w:spacing w:val="-8"/>
        </w:rPr>
        <w:t> </w:t>
      </w:r>
      <w:r>
        <w:rPr/>
        <w:t>Desdemona’s</w:t>
      </w:r>
      <w:r>
        <w:rPr>
          <w:spacing w:val="-5"/>
        </w:rPr>
        <w:t> </w:t>
      </w:r>
      <w:r>
        <w:rPr/>
        <w:t>survival</w:t>
      </w:r>
      <w:r>
        <w:rPr>
          <w:spacing w:val="-7"/>
        </w:rPr>
        <w:t> </w:t>
      </w:r>
      <w:r>
        <w:rPr/>
        <w:t>through</w:t>
      </w:r>
      <w:r>
        <w:rPr>
          <w:spacing w:val="-6"/>
        </w:rPr>
        <w:t> </w:t>
      </w:r>
      <w:r>
        <w:rPr/>
        <w:t>the lens of appropriation:</w:t>
      </w:r>
    </w:p>
    <w:p>
      <w:pPr>
        <w:pStyle w:val="Heading5"/>
        <w:numPr>
          <w:ilvl w:val="0"/>
          <w:numId w:val="54"/>
        </w:numPr>
        <w:tabs>
          <w:tab w:pos="1909" w:val="left" w:leader="none"/>
          <w:tab w:pos="2572" w:val="left" w:leader="none"/>
          <w:tab w:pos="3963" w:val="left" w:leader="none"/>
          <w:tab w:pos="5193" w:val="left" w:leader="none"/>
          <w:tab w:pos="6828" w:val="left" w:leader="none"/>
        </w:tabs>
        <w:spacing w:line="240" w:lineRule="auto" w:before="106" w:after="0"/>
        <w:ind w:left="1440" w:right="1439" w:firstLine="0"/>
        <w:jc w:val="left"/>
      </w:pPr>
      <w:r>
        <w:rPr>
          <w:spacing w:val="6"/>
          <w:w w:val="105"/>
        </w:rPr>
        <w:t>The</w:t>
      </w:r>
      <w:r>
        <w:rPr/>
        <w:tab/>
      </w:r>
      <w:r>
        <w:rPr>
          <w:spacing w:val="11"/>
          <w:w w:val="105"/>
        </w:rPr>
        <w:t>“Waking”</w:t>
      </w:r>
      <w:r>
        <w:rPr/>
        <w:tab/>
      </w:r>
      <w:r>
        <w:rPr>
          <w:spacing w:val="10"/>
          <w:w w:val="105"/>
        </w:rPr>
        <w:t>Moment</w:t>
      </w:r>
      <w:r>
        <w:rPr/>
        <w:tab/>
      </w:r>
      <w:r>
        <w:rPr>
          <w:spacing w:val="12"/>
          <w:w w:val="105"/>
        </w:rPr>
        <w:t>(Subverting</w:t>
      </w:r>
      <w:r>
        <w:rPr/>
        <w:tab/>
      </w:r>
      <w:r>
        <w:rPr>
          <w:spacing w:val="-4"/>
          <w:w w:val="105"/>
        </w:rPr>
        <w:t>the </w:t>
      </w:r>
      <w:r>
        <w:rPr>
          <w:spacing w:val="-2"/>
          <w:w w:val="105"/>
        </w:rPr>
        <w:t>Bedchamber)</w:t>
      </w:r>
    </w:p>
    <w:p>
      <w:pPr>
        <w:pStyle w:val="BodyText"/>
        <w:spacing w:line="242" w:lineRule="auto" w:before="63"/>
        <w:ind w:right="1441" w:firstLine="432"/>
        <w:jc w:val="both"/>
      </w:pPr>
      <w:r>
        <w:rPr/>
        <w:t>In</w:t>
      </w:r>
      <w:r>
        <w:rPr>
          <w:spacing w:val="-3"/>
        </w:rPr>
        <w:t> </w:t>
      </w:r>
      <w:r>
        <w:rPr/>
        <w:t>the</w:t>
      </w:r>
      <w:r>
        <w:rPr>
          <w:spacing w:val="-3"/>
        </w:rPr>
        <w:t> </w:t>
      </w:r>
      <w:r>
        <w:rPr/>
        <w:t>original </w:t>
      </w:r>
      <w:r>
        <w:rPr>
          <w:i/>
        </w:rPr>
        <w:t>Othello</w:t>
      </w:r>
      <w:r>
        <w:rPr/>
        <w:t>,</w:t>
      </w:r>
      <w:r>
        <w:rPr>
          <w:spacing w:val="-1"/>
        </w:rPr>
        <w:t> </w:t>
      </w:r>
      <w:r>
        <w:rPr/>
        <w:t>Desdemona’s</w:t>
      </w:r>
      <w:r>
        <w:rPr>
          <w:spacing w:val="-1"/>
        </w:rPr>
        <w:t> </w:t>
      </w:r>
      <w:r>
        <w:rPr/>
        <w:t>death</w:t>
      </w:r>
      <w:r>
        <w:rPr>
          <w:spacing w:val="-3"/>
        </w:rPr>
        <w:t> </w:t>
      </w:r>
      <w:r>
        <w:rPr/>
        <w:t>occurs</w:t>
      </w:r>
      <w:r>
        <w:rPr>
          <w:spacing w:val="-1"/>
        </w:rPr>
        <w:t> </w:t>
      </w:r>
      <w:r>
        <w:rPr/>
        <w:t>in</w:t>
      </w:r>
      <w:r>
        <w:rPr>
          <w:spacing w:val="-3"/>
        </w:rPr>
        <w:t> </w:t>
      </w:r>
      <w:r>
        <w:rPr/>
        <w:t>the</w:t>
      </w:r>
      <w:r>
        <w:rPr>
          <w:spacing w:val="-1"/>
        </w:rPr>
        <w:t> </w:t>
      </w:r>
      <w:r>
        <w:rPr/>
        <w:t>domestic sanctity</w:t>
      </w:r>
      <w:r>
        <w:rPr>
          <w:spacing w:val="-1"/>
        </w:rPr>
        <w:t> </w:t>
      </w:r>
      <w:r>
        <w:rPr/>
        <w:t>of her bed—a place of presumed safety. To reimagine this, the “appropriation”</w:t>
      </w:r>
      <w:r>
        <w:rPr>
          <w:spacing w:val="40"/>
        </w:rPr>
        <w:t> </w:t>
      </w:r>
      <w:r>
        <w:rPr/>
        <w:t>begins at</w:t>
      </w:r>
      <w:r>
        <w:rPr>
          <w:spacing w:val="40"/>
        </w:rPr>
        <w:t> </w:t>
      </w:r>
      <w:r>
        <w:rPr/>
        <w:t>the</w:t>
      </w:r>
      <w:r>
        <w:rPr>
          <w:spacing w:val="40"/>
        </w:rPr>
        <w:t> </w:t>
      </w:r>
      <w:r>
        <w:rPr/>
        <w:t>moment</w:t>
      </w:r>
      <w:r>
        <w:rPr>
          <w:spacing w:val="40"/>
        </w:rPr>
        <w:t> </w:t>
      </w:r>
      <w:r>
        <w:rPr/>
        <w:t>Othello</w:t>
      </w:r>
      <w:r>
        <w:rPr>
          <w:spacing w:val="40"/>
        </w:rPr>
        <w:t> </w:t>
      </w:r>
      <w:r>
        <w:rPr/>
        <w:t>enters</w:t>
      </w:r>
      <w:r>
        <w:rPr>
          <w:spacing w:val="40"/>
        </w:rPr>
        <w:t> </w:t>
      </w:r>
      <w:r>
        <w:rPr/>
        <w:t>the</w:t>
      </w:r>
      <w:r>
        <w:rPr>
          <w:spacing w:val="40"/>
        </w:rPr>
        <w:t> </w:t>
      </w:r>
      <w:r>
        <w:rPr/>
        <w:t>room.</w:t>
      </w:r>
    </w:p>
    <w:p>
      <w:pPr>
        <w:pStyle w:val="ListParagraph"/>
        <w:numPr>
          <w:ilvl w:val="1"/>
          <w:numId w:val="54"/>
        </w:numPr>
        <w:tabs>
          <w:tab w:pos="2160" w:val="left" w:leader="none"/>
        </w:tabs>
        <w:spacing w:line="242" w:lineRule="auto" w:before="57" w:after="0"/>
        <w:ind w:left="2160" w:right="1437" w:hanging="240"/>
        <w:jc w:val="both"/>
        <w:rPr>
          <w:sz w:val="20"/>
        </w:rPr>
      </w:pPr>
      <w:r>
        <w:rPr>
          <w:sz w:val="20"/>
        </w:rPr>
        <w:t>The Shift: Instead of pleading for a life she believes is already lost, Desdemona uses the “logic of the handkerchief.” She </w:t>
      </w:r>
      <w:r>
        <w:rPr>
          <w:spacing w:val="-2"/>
          <w:sz w:val="20"/>
        </w:rPr>
        <w:t>realizes</w:t>
      </w:r>
      <w:r>
        <w:rPr>
          <w:spacing w:val="-13"/>
          <w:sz w:val="20"/>
        </w:rPr>
        <w:t> </w:t>
      </w:r>
      <w:r>
        <w:rPr>
          <w:spacing w:val="-2"/>
          <w:sz w:val="20"/>
        </w:rPr>
        <w:t>that</w:t>
      </w:r>
      <w:r>
        <w:rPr>
          <w:spacing w:val="-11"/>
          <w:sz w:val="20"/>
        </w:rPr>
        <w:t> </w:t>
      </w:r>
      <w:r>
        <w:rPr>
          <w:spacing w:val="-2"/>
          <w:sz w:val="20"/>
        </w:rPr>
        <w:t>the</w:t>
      </w:r>
      <w:r>
        <w:rPr>
          <w:spacing w:val="-10"/>
          <w:sz w:val="20"/>
        </w:rPr>
        <w:t> </w:t>
      </w:r>
      <w:r>
        <w:rPr>
          <w:spacing w:val="-2"/>
          <w:sz w:val="20"/>
        </w:rPr>
        <w:t>system</w:t>
      </w:r>
      <w:r>
        <w:rPr>
          <w:spacing w:val="-11"/>
          <w:sz w:val="20"/>
        </w:rPr>
        <w:t> </w:t>
      </w:r>
      <w:r>
        <w:rPr>
          <w:spacing w:val="-2"/>
          <w:sz w:val="20"/>
        </w:rPr>
        <w:t>of</w:t>
      </w:r>
      <w:r>
        <w:rPr>
          <w:spacing w:val="-10"/>
          <w:sz w:val="20"/>
        </w:rPr>
        <w:t> </w:t>
      </w:r>
      <w:r>
        <w:rPr>
          <w:spacing w:val="-2"/>
          <w:sz w:val="20"/>
        </w:rPr>
        <w:t>proof</w:t>
      </w:r>
      <w:r>
        <w:rPr>
          <w:spacing w:val="-13"/>
          <w:sz w:val="20"/>
        </w:rPr>
        <w:t> </w:t>
      </w:r>
      <w:r>
        <w:rPr>
          <w:spacing w:val="-2"/>
          <w:sz w:val="20"/>
        </w:rPr>
        <w:t>Othello</w:t>
      </w:r>
      <w:r>
        <w:rPr>
          <w:spacing w:val="-8"/>
          <w:sz w:val="20"/>
        </w:rPr>
        <w:t> </w:t>
      </w:r>
      <w:r>
        <w:rPr>
          <w:spacing w:val="-2"/>
          <w:sz w:val="20"/>
        </w:rPr>
        <w:t>relies</w:t>
      </w:r>
      <w:r>
        <w:rPr>
          <w:spacing w:val="-10"/>
          <w:sz w:val="20"/>
        </w:rPr>
        <w:t> </w:t>
      </w:r>
      <w:r>
        <w:rPr>
          <w:spacing w:val="-2"/>
          <w:sz w:val="20"/>
        </w:rPr>
        <w:t>on</w:t>
      </w:r>
      <w:r>
        <w:rPr>
          <w:spacing w:val="-10"/>
          <w:sz w:val="20"/>
        </w:rPr>
        <w:t> </w:t>
      </w:r>
      <w:r>
        <w:rPr>
          <w:spacing w:val="-2"/>
          <w:sz w:val="20"/>
        </w:rPr>
        <w:t>is</w:t>
      </w:r>
      <w:r>
        <w:rPr>
          <w:spacing w:val="-10"/>
          <w:sz w:val="20"/>
        </w:rPr>
        <w:t> </w:t>
      </w:r>
      <w:r>
        <w:rPr>
          <w:spacing w:val="-2"/>
          <w:sz w:val="20"/>
        </w:rPr>
        <w:t>a</w:t>
      </w:r>
      <w:r>
        <w:rPr>
          <w:spacing w:val="-10"/>
          <w:sz w:val="20"/>
        </w:rPr>
        <w:t> </w:t>
      </w:r>
      <w:r>
        <w:rPr>
          <w:spacing w:val="-2"/>
          <w:sz w:val="20"/>
        </w:rPr>
        <w:t>fabrication.</w:t>
      </w:r>
    </w:p>
    <w:p>
      <w:pPr>
        <w:pStyle w:val="ListParagraph"/>
        <w:numPr>
          <w:ilvl w:val="1"/>
          <w:numId w:val="54"/>
        </w:numPr>
        <w:tabs>
          <w:tab w:pos="2160" w:val="left" w:leader="none"/>
        </w:tabs>
        <w:spacing w:line="242" w:lineRule="auto" w:before="57" w:after="0"/>
        <w:ind w:left="2160" w:right="1439" w:hanging="240"/>
        <w:jc w:val="both"/>
        <w:rPr>
          <w:sz w:val="20"/>
        </w:rPr>
      </w:pPr>
      <w:r>
        <w:rPr>
          <w:sz w:val="20"/>
        </w:rPr>
        <w:t>The</w:t>
      </w:r>
      <w:r>
        <w:rPr>
          <w:spacing w:val="-13"/>
          <w:sz w:val="20"/>
        </w:rPr>
        <w:t> </w:t>
      </w:r>
      <w:r>
        <w:rPr>
          <w:sz w:val="20"/>
        </w:rPr>
        <w:t>Action:</w:t>
      </w:r>
      <w:r>
        <w:rPr>
          <w:spacing w:val="-8"/>
          <w:sz w:val="20"/>
        </w:rPr>
        <w:t> </w:t>
      </w:r>
      <w:r>
        <w:rPr>
          <w:sz w:val="20"/>
        </w:rPr>
        <w:t>She</w:t>
      </w:r>
      <w:r>
        <w:rPr>
          <w:spacing w:val="-8"/>
          <w:sz w:val="20"/>
        </w:rPr>
        <w:t> </w:t>
      </w:r>
      <w:r>
        <w:rPr>
          <w:sz w:val="20"/>
        </w:rPr>
        <w:t>does</w:t>
      </w:r>
      <w:r>
        <w:rPr>
          <w:spacing w:val="-6"/>
          <w:sz w:val="20"/>
        </w:rPr>
        <w:t> </w:t>
      </w:r>
      <w:r>
        <w:rPr>
          <w:sz w:val="20"/>
        </w:rPr>
        <w:t>not</w:t>
      </w:r>
      <w:r>
        <w:rPr>
          <w:spacing w:val="-8"/>
          <w:sz w:val="20"/>
        </w:rPr>
        <w:t> </w:t>
      </w:r>
      <w:r>
        <w:rPr>
          <w:sz w:val="20"/>
        </w:rPr>
        <w:t>wait</w:t>
      </w:r>
      <w:r>
        <w:rPr>
          <w:spacing w:val="-5"/>
          <w:sz w:val="20"/>
        </w:rPr>
        <w:t> </w:t>
      </w:r>
      <w:r>
        <w:rPr>
          <w:sz w:val="20"/>
        </w:rPr>
        <w:t>to</w:t>
      </w:r>
      <w:r>
        <w:rPr>
          <w:spacing w:val="-8"/>
          <w:sz w:val="20"/>
        </w:rPr>
        <w:t> </w:t>
      </w:r>
      <w:r>
        <w:rPr>
          <w:sz w:val="20"/>
        </w:rPr>
        <w:t>be</w:t>
      </w:r>
      <w:r>
        <w:rPr>
          <w:spacing w:val="-5"/>
          <w:sz w:val="20"/>
        </w:rPr>
        <w:t> </w:t>
      </w:r>
      <w:r>
        <w:rPr>
          <w:sz w:val="20"/>
        </w:rPr>
        <w:t>stifled.</w:t>
      </w:r>
      <w:r>
        <w:rPr>
          <w:spacing w:val="-8"/>
          <w:sz w:val="20"/>
        </w:rPr>
        <w:t> </w:t>
      </w:r>
      <w:r>
        <w:rPr>
          <w:sz w:val="20"/>
        </w:rPr>
        <w:t>She</w:t>
      </w:r>
      <w:r>
        <w:rPr>
          <w:spacing w:val="-6"/>
          <w:sz w:val="20"/>
        </w:rPr>
        <w:t> </w:t>
      </w:r>
      <w:r>
        <w:rPr>
          <w:sz w:val="20"/>
        </w:rPr>
        <w:t>exits</w:t>
      </w:r>
      <w:r>
        <w:rPr>
          <w:spacing w:val="-8"/>
          <w:sz w:val="20"/>
        </w:rPr>
        <w:t> </w:t>
      </w:r>
      <w:r>
        <w:rPr>
          <w:sz w:val="20"/>
        </w:rPr>
        <w:t>the</w:t>
      </w:r>
      <w:r>
        <w:rPr>
          <w:spacing w:val="-5"/>
          <w:sz w:val="20"/>
        </w:rPr>
        <w:t> </w:t>
      </w:r>
      <w:r>
        <w:rPr>
          <w:sz w:val="20"/>
        </w:rPr>
        <w:t>bed—the site of her literal and metaphorical entrapment—and confronts Othello not as a submissive wife, but as a judicial peer. She demands a public trial before the Venetian Senate, effectively</w:t>
      </w:r>
      <w:r>
        <w:rPr>
          <w:spacing w:val="-10"/>
          <w:sz w:val="20"/>
        </w:rPr>
        <w:t> </w:t>
      </w:r>
      <w:r>
        <w:rPr>
          <w:sz w:val="20"/>
        </w:rPr>
        <w:t>moving</w:t>
      </w:r>
      <w:r>
        <w:rPr>
          <w:spacing w:val="-10"/>
          <w:sz w:val="20"/>
        </w:rPr>
        <w:t> </w:t>
      </w:r>
      <w:r>
        <w:rPr>
          <w:sz w:val="20"/>
        </w:rPr>
        <w:t>the</w:t>
      </w:r>
      <w:r>
        <w:rPr>
          <w:spacing w:val="-7"/>
          <w:sz w:val="20"/>
        </w:rPr>
        <w:t> </w:t>
      </w:r>
      <w:r>
        <w:rPr>
          <w:sz w:val="20"/>
        </w:rPr>
        <w:t>conflict</w:t>
      </w:r>
      <w:r>
        <w:rPr>
          <w:spacing w:val="-10"/>
          <w:sz w:val="20"/>
        </w:rPr>
        <w:t> </w:t>
      </w:r>
      <w:r>
        <w:rPr>
          <w:sz w:val="20"/>
        </w:rPr>
        <w:t>from</w:t>
      </w:r>
      <w:r>
        <w:rPr>
          <w:spacing w:val="-9"/>
          <w:sz w:val="20"/>
        </w:rPr>
        <w:t> </w:t>
      </w:r>
      <w:r>
        <w:rPr>
          <w:sz w:val="20"/>
        </w:rPr>
        <w:t>the</w:t>
      </w:r>
      <w:r>
        <w:rPr>
          <w:spacing w:val="-6"/>
          <w:sz w:val="20"/>
        </w:rPr>
        <w:t> </w:t>
      </w:r>
      <w:r>
        <w:rPr>
          <w:sz w:val="20"/>
        </w:rPr>
        <w:t>private</w:t>
      </w:r>
      <w:r>
        <w:rPr>
          <w:spacing w:val="-9"/>
          <w:sz w:val="20"/>
        </w:rPr>
        <w:t> </w:t>
      </w:r>
      <w:r>
        <w:rPr>
          <w:sz w:val="20"/>
        </w:rPr>
        <w:t>(where</w:t>
      </w:r>
      <w:r>
        <w:rPr>
          <w:spacing w:val="-8"/>
          <w:sz w:val="20"/>
        </w:rPr>
        <w:t> </w:t>
      </w:r>
      <w:r>
        <w:rPr>
          <w:sz w:val="20"/>
        </w:rPr>
        <w:t>Othello has power) to</w:t>
      </w:r>
      <w:r>
        <w:rPr>
          <w:spacing w:val="40"/>
          <w:sz w:val="20"/>
        </w:rPr>
        <w:t> </w:t>
      </w:r>
      <w:r>
        <w:rPr>
          <w:sz w:val="20"/>
        </w:rPr>
        <w:t>the public (where evidence</w:t>
      </w:r>
      <w:r>
        <w:rPr>
          <w:spacing w:val="40"/>
          <w:sz w:val="20"/>
        </w:rPr>
        <w:t> </w:t>
      </w:r>
      <w:r>
        <w:rPr>
          <w:sz w:val="20"/>
        </w:rPr>
        <w:t>is</w:t>
      </w:r>
      <w:r>
        <w:rPr>
          <w:spacing w:val="40"/>
          <w:sz w:val="20"/>
        </w:rPr>
        <w:t> </w:t>
      </w:r>
      <w:r>
        <w:rPr>
          <w:sz w:val="20"/>
        </w:rPr>
        <w:t>required).</w:t>
      </w:r>
    </w:p>
    <w:p>
      <w:pPr>
        <w:pStyle w:val="Heading5"/>
        <w:numPr>
          <w:ilvl w:val="0"/>
          <w:numId w:val="54"/>
        </w:numPr>
        <w:tabs>
          <w:tab w:pos="1754" w:val="left" w:leader="none"/>
        </w:tabs>
        <w:spacing w:line="240" w:lineRule="auto" w:before="106" w:after="0"/>
        <w:ind w:left="1754" w:right="0" w:hanging="314"/>
        <w:jc w:val="left"/>
      </w:pPr>
      <w:r>
        <w:rPr>
          <w:w w:val="105"/>
        </w:rPr>
        <w:t>The</w:t>
      </w:r>
      <w:r>
        <w:rPr>
          <w:spacing w:val="30"/>
          <w:w w:val="105"/>
        </w:rPr>
        <w:t>  </w:t>
      </w:r>
      <w:r>
        <w:rPr>
          <w:w w:val="105"/>
        </w:rPr>
        <w:t>“Desdemona-Emilia”</w:t>
      </w:r>
      <w:r>
        <w:rPr>
          <w:spacing w:val="29"/>
          <w:w w:val="105"/>
        </w:rPr>
        <w:t>  </w:t>
      </w:r>
      <w:r>
        <w:rPr>
          <w:spacing w:val="-2"/>
          <w:w w:val="105"/>
        </w:rPr>
        <w:t>Alliance</w:t>
      </w:r>
    </w:p>
    <w:p>
      <w:pPr>
        <w:pStyle w:val="BodyText"/>
        <w:spacing w:line="242" w:lineRule="auto" w:before="64"/>
        <w:ind w:right="1440" w:firstLine="432"/>
        <w:jc w:val="both"/>
      </w:pPr>
      <w:r>
        <w:rPr/>
        <w:t>The</w:t>
      </w:r>
      <w:r>
        <w:rPr>
          <w:spacing w:val="-6"/>
        </w:rPr>
        <w:t> </w:t>
      </w:r>
      <w:r>
        <w:rPr/>
        <w:t>tragedy</w:t>
      </w:r>
      <w:r>
        <w:rPr>
          <w:spacing w:val="-11"/>
        </w:rPr>
        <w:t> </w:t>
      </w:r>
      <w:r>
        <w:rPr/>
        <w:t>of</w:t>
      </w:r>
      <w:r>
        <w:rPr>
          <w:spacing w:val="-7"/>
        </w:rPr>
        <w:t> </w:t>
      </w:r>
      <w:r>
        <w:rPr/>
        <w:t>the</w:t>
      </w:r>
      <w:r>
        <w:rPr>
          <w:spacing w:val="-6"/>
        </w:rPr>
        <w:t> </w:t>
      </w:r>
      <w:r>
        <w:rPr/>
        <w:t>original</w:t>
      </w:r>
      <w:r>
        <w:rPr>
          <w:spacing w:val="-9"/>
        </w:rPr>
        <w:t> </w:t>
      </w:r>
      <w:r>
        <w:rPr/>
        <w:t>play</w:t>
      </w:r>
      <w:r>
        <w:rPr>
          <w:spacing w:val="-9"/>
        </w:rPr>
        <w:t> </w:t>
      </w:r>
      <w:r>
        <w:rPr/>
        <w:t>is</w:t>
      </w:r>
      <w:r>
        <w:rPr>
          <w:spacing w:val="-7"/>
        </w:rPr>
        <w:t> </w:t>
      </w:r>
      <w:r>
        <w:rPr/>
        <w:t>rooted</w:t>
      </w:r>
      <w:r>
        <w:rPr>
          <w:spacing w:val="-6"/>
        </w:rPr>
        <w:t> </w:t>
      </w:r>
      <w:r>
        <w:rPr/>
        <w:t>in</w:t>
      </w:r>
      <w:r>
        <w:rPr>
          <w:spacing w:val="-9"/>
        </w:rPr>
        <w:t> </w:t>
      </w:r>
      <w:r>
        <w:rPr/>
        <w:t>isolation.</w:t>
      </w:r>
      <w:r>
        <w:rPr>
          <w:spacing w:val="-6"/>
        </w:rPr>
        <w:t> </w:t>
      </w:r>
      <w:r>
        <w:rPr/>
        <w:t>Reimagining her</w:t>
      </w:r>
      <w:r>
        <w:rPr>
          <w:spacing w:val="40"/>
        </w:rPr>
        <w:t> </w:t>
      </w:r>
      <w:r>
        <w:rPr/>
        <w:t>survival</w:t>
      </w:r>
      <w:r>
        <w:rPr>
          <w:spacing w:val="40"/>
        </w:rPr>
        <w:t> </w:t>
      </w:r>
      <w:r>
        <w:rPr/>
        <w:t>necessitates</w:t>
      </w:r>
      <w:r>
        <w:rPr>
          <w:spacing w:val="40"/>
        </w:rPr>
        <w:t> </w:t>
      </w:r>
      <w:r>
        <w:rPr/>
        <w:t>a</w:t>
      </w:r>
      <w:r>
        <w:rPr>
          <w:spacing w:val="40"/>
        </w:rPr>
        <w:t> </w:t>
      </w:r>
      <w:r>
        <w:rPr/>
        <w:t>feminist</w:t>
      </w:r>
      <w:r>
        <w:rPr>
          <w:spacing w:val="40"/>
        </w:rPr>
        <w:t> </w:t>
      </w:r>
      <w:r>
        <w:rPr/>
        <w:t>collectivist</w:t>
      </w:r>
      <w:r>
        <w:rPr>
          <w:spacing w:val="40"/>
        </w:rPr>
        <w:t> </w:t>
      </w:r>
      <w:r>
        <w:rPr/>
        <w:t>approach.</w:t>
      </w:r>
    </w:p>
    <w:p>
      <w:pPr>
        <w:pStyle w:val="ListParagraph"/>
        <w:numPr>
          <w:ilvl w:val="1"/>
          <w:numId w:val="54"/>
        </w:numPr>
        <w:tabs>
          <w:tab w:pos="2160" w:val="left" w:leader="none"/>
        </w:tabs>
        <w:spacing w:line="242" w:lineRule="auto" w:before="59" w:after="0"/>
        <w:ind w:left="2160" w:right="1437" w:hanging="240"/>
        <w:jc w:val="both"/>
        <w:rPr>
          <w:sz w:val="20"/>
        </w:rPr>
      </w:pPr>
      <w:r>
        <w:rPr>
          <w:sz w:val="20"/>
        </w:rPr>
        <w:t>The Shift: Survival</w:t>
      </w:r>
      <w:r>
        <w:rPr>
          <w:spacing w:val="-1"/>
          <w:sz w:val="20"/>
        </w:rPr>
        <w:t> </w:t>
      </w:r>
      <w:r>
        <w:rPr>
          <w:sz w:val="20"/>
        </w:rPr>
        <w:t>is achieved</w:t>
      </w:r>
      <w:r>
        <w:rPr>
          <w:spacing w:val="-1"/>
          <w:sz w:val="20"/>
        </w:rPr>
        <w:t> </w:t>
      </w:r>
      <w:r>
        <w:rPr>
          <w:sz w:val="20"/>
        </w:rPr>
        <w:t>through</w:t>
      </w:r>
      <w:r>
        <w:rPr>
          <w:spacing w:val="-1"/>
          <w:sz w:val="20"/>
        </w:rPr>
        <w:t> </w:t>
      </w:r>
      <w:r>
        <w:rPr>
          <w:sz w:val="20"/>
        </w:rPr>
        <w:t>the</w:t>
      </w:r>
      <w:r>
        <w:rPr>
          <w:spacing w:val="-1"/>
          <w:sz w:val="20"/>
        </w:rPr>
        <w:t> </w:t>
      </w:r>
      <w:r>
        <w:rPr>
          <w:sz w:val="20"/>
        </w:rPr>
        <w:t>shared intelligence of</w:t>
      </w:r>
      <w:r>
        <w:rPr>
          <w:spacing w:val="-9"/>
          <w:sz w:val="20"/>
        </w:rPr>
        <w:t> </w:t>
      </w:r>
      <w:r>
        <w:rPr>
          <w:sz w:val="20"/>
        </w:rPr>
        <w:t>women.</w:t>
      </w:r>
      <w:r>
        <w:rPr>
          <w:spacing w:val="-9"/>
          <w:sz w:val="20"/>
        </w:rPr>
        <w:t> </w:t>
      </w:r>
      <w:r>
        <w:rPr>
          <w:sz w:val="20"/>
        </w:rPr>
        <w:t>In</w:t>
      </w:r>
      <w:r>
        <w:rPr>
          <w:spacing w:val="-9"/>
          <w:sz w:val="20"/>
        </w:rPr>
        <w:t> </w:t>
      </w:r>
      <w:r>
        <w:rPr>
          <w:sz w:val="20"/>
        </w:rPr>
        <w:t>this</w:t>
      </w:r>
      <w:r>
        <w:rPr>
          <w:spacing w:val="-12"/>
          <w:sz w:val="20"/>
        </w:rPr>
        <w:t> </w:t>
      </w:r>
      <w:r>
        <w:rPr>
          <w:sz w:val="20"/>
        </w:rPr>
        <w:t>version,</w:t>
      </w:r>
      <w:r>
        <w:rPr>
          <w:spacing w:val="-9"/>
          <w:sz w:val="20"/>
        </w:rPr>
        <w:t> </w:t>
      </w:r>
      <w:r>
        <w:rPr>
          <w:sz w:val="20"/>
        </w:rPr>
        <w:t>Desdemona</w:t>
      </w:r>
      <w:r>
        <w:rPr>
          <w:spacing w:val="-10"/>
          <w:sz w:val="20"/>
        </w:rPr>
        <w:t> </w:t>
      </w:r>
      <w:r>
        <w:rPr>
          <w:sz w:val="20"/>
        </w:rPr>
        <w:t>and</w:t>
      </w:r>
      <w:r>
        <w:rPr>
          <w:spacing w:val="-6"/>
          <w:sz w:val="20"/>
        </w:rPr>
        <w:t> </w:t>
      </w:r>
      <w:r>
        <w:rPr>
          <w:sz w:val="20"/>
        </w:rPr>
        <w:t>Emilia</w:t>
      </w:r>
      <w:r>
        <w:rPr>
          <w:spacing w:val="-11"/>
          <w:sz w:val="20"/>
        </w:rPr>
        <w:t> </w:t>
      </w:r>
      <w:r>
        <w:rPr>
          <w:sz w:val="20"/>
        </w:rPr>
        <w:t>have</w:t>
      </w:r>
      <w:r>
        <w:rPr>
          <w:spacing w:val="-8"/>
          <w:sz w:val="20"/>
        </w:rPr>
        <w:t> </w:t>
      </w:r>
      <w:r>
        <w:rPr>
          <w:sz w:val="20"/>
        </w:rPr>
        <w:t>already communicated</w:t>
      </w:r>
      <w:r>
        <w:rPr>
          <w:spacing w:val="40"/>
          <w:sz w:val="20"/>
        </w:rPr>
        <w:t> </w:t>
      </w:r>
      <w:r>
        <w:rPr>
          <w:sz w:val="20"/>
        </w:rPr>
        <w:t>their</w:t>
      </w:r>
      <w:r>
        <w:rPr>
          <w:spacing w:val="40"/>
          <w:sz w:val="20"/>
        </w:rPr>
        <w:t> </w:t>
      </w:r>
      <w:r>
        <w:rPr>
          <w:sz w:val="20"/>
        </w:rPr>
        <w:t>suspicions</w:t>
      </w:r>
      <w:r>
        <w:rPr>
          <w:spacing w:val="40"/>
          <w:sz w:val="20"/>
        </w:rPr>
        <w:t> </w:t>
      </w:r>
      <w:r>
        <w:rPr>
          <w:sz w:val="20"/>
        </w:rPr>
        <w:t>regarding</w:t>
      </w:r>
      <w:r>
        <w:rPr>
          <w:spacing w:val="40"/>
          <w:sz w:val="20"/>
        </w:rPr>
        <w:t> </w:t>
      </w:r>
      <w:r>
        <w:rPr>
          <w:sz w:val="20"/>
        </w:rPr>
        <w:t>Iago’s</w:t>
      </w:r>
      <w:r>
        <w:rPr>
          <w:spacing w:val="40"/>
          <w:sz w:val="20"/>
        </w:rPr>
        <w:t> </w:t>
      </w:r>
      <w:r>
        <w:rPr>
          <w:sz w:val="20"/>
        </w:rPr>
        <w:t>“honesty.”</w:t>
      </w:r>
    </w:p>
    <w:p>
      <w:pPr>
        <w:pStyle w:val="ListParagraph"/>
        <w:numPr>
          <w:ilvl w:val="1"/>
          <w:numId w:val="54"/>
        </w:numPr>
        <w:tabs>
          <w:tab w:pos="2160" w:val="left" w:leader="none"/>
        </w:tabs>
        <w:spacing w:line="242" w:lineRule="auto" w:before="56" w:after="0"/>
        <w:ind w:left="2160" w:right="1438" w:hanging="240"/>
        <w:jc w:val="both"/>
        <w:rPr>
          <w:sz w:val="20"/>
        </w:rPr>
      </w:pPr>
      <w:r>
        <w:rPr>
          <w:sz w:val="20"/>
        </w:rPr>
        <w:t>The</w:t>
      </w:r>
      <w:r>
        <w:rPr>
          <w:spacing w:val="-13"/>
          <w:sz w:val="20"/>
        </w:rPr>
        <w:t> </w:t>
      </w:r>
      <w:r>
        <w:rPr>
          <w:sz w:val="20"/>
        </w:rPr>
        <w:t>Action:</w:t>
      </w:r>
      <w:r>
        <w:rPr>
          <w:spacing w:val="-3"/>
          <w:sz w:val="20"/>
        </w:rPr>
        <w:t> </w:t>
      </w:r>
      <w:r>
        <w:rPr>
          <w:sz w:val="20"/>
        </w:rPr>
        <w:t>Emilia</w:t>
      </w:r>
      <w:r>
        <w:rPr>
          <w:spacing w:val="-3"/>
          <w:sz w:val="20"/>
        </w:rPr>
        <w:t> </w:t>
      </w:r>
      <w:r>
        <w:rPr>
          <w:sz w:val="20"/>
        </w:rPr>
        <w:t>does</w:t>
      </w:r>
      <w:r>
        <w:rPr>
          <w:spacing w:val="-2"/>
          <w:sz w:val="20"/>
        </w:rPr>
        <w:t> </w:t>
      </w:r>
      <w:r>
        <w:rPr>
          <w:sz w:val="20"/>
        </w:rPr>
        <w:t>not</w:t>
      </w:r>
      <w:r>
        <w:rPr>
          <w:spacing w:val="-3"/>
          <w:sz w:val="20"/>
        </w:rPr>
        <w:t> </w:t>
      </w:r>
      <w:r>
        <w:rPr>
          <w:sz w:val="20"/>
        </w:rPr>
        <w:t>arrive </w:t>
      </w:r>
      <w:r>
        <w:rPr>
          <w:i/>
          <w:sz w:val="20"/>
        </w:rPr>
        <w:t>after </w:t>
      </w:r>
      <w:r>
        <w:rPr>
          <w:sz w:val="20"/>
        </w:rPr>
        <w:t>the violence;</w:t>
      </w:r>
      <w:r>
        <w:rPr>
          <w:spacing w:val="-4"/>
          <w:sz w:val="20"/>
        </w:rPr>
        <w:t> </w:t>
      </w:r>
      <w:r>
        <w:rPr>
          <w:sz w:val="20"/>
        </w:rPr>
        <w:t>she</w:t>
      </w:r>
      <w:r>
        <w:rPr>
          <w:spacing w:val="-2"/>
          <w:sz w:val="20"/>
        </w:rPr>
        <w:t> </w:t>
      </w:r>
      <w:r>
        <w:rPr>
          <w:sz w:val="20"/>
        </w:rPr>
        <w:t>is an accomplice</w:t>
      </w:r>
      <w:r>
        <w:rPr>
          <w:spacing w:val="-6"/>
          <w:sz w:val="20"/>
        </w:rPr>
        <w:t> </w:t>
      </w:r>
      <w:r>
        <w:rPr>
          <w:sz w:val="20"/>
        </w:rPr>
        <w:t>in</w:t>
      </w:r>
      <w:r>
        <w:rPr>
          <w:spacing w:val="-7"/>
          <w:sz w:val="20"/>
        </w:rPr>
        <w:t> </w:t>
      </w:r>
      <w:r>
        <w:rPr>
          <w:sz w:val="20"/>
        </w:rPr>
        <w:t>the</w:t>
      </w:r>
      <w:r>
        <w:rPr>
          <w:spacing w:val="-7"/>
          <w:sz w:val="20"/>
        </w:rPr>
        <w:t> </w:t>
      </w:r>
      <w:r>
        <w:rPr>
          <w:sz w:val="20"/>
        </w:rPr>
        <w:t>escape.</w:t>
      </w:r>
      <w:r>
        <w:rPr>
          <w:spacing w:val="-5"/>
          <w:sz w:val="20"/>
        </w:rPr>
        <w:t> </w:t>
      </w:r>
      <w:r>
        <w:rPr>
          <w:sz w:val="20"/>
        </w:rPr>
        <w:t>They</w:t>
      </w:r>
      <w:r>
        <w:rPr>
          <w:spacing w:val="-12"/>
          <w:sz w:val="20"/>
        </w:rPr>
        <w:t> </w:t>
      </w:r>
      <w:r>
        <w:rPr>
          <w:sz w:val="20"/>
        </w:rPr>
        <w:t>use</w:t>
      </w:r>
      <w:r>
        <w:rPr>
          <w:spacing w:val="-6"/>
          <w:sz w:val="20"/>
        </w:rPr>
        <w:t> </w:t>
      </w:r>
      <w:r>
        <w:rPr>
          <w:sz w:val="20"/>
        </w:rPr>
        <w:t>the</w:t>
      </w:r>
      <w:r>
        <w:rPr>
          <w:spacing w:val="-7"/>
          <w:sz w:val="20"/>
        </w:rPr>
        <w:t> </w:t>
      </w:r>
      <w:r>
        <w:rPr>
          <w:sz w:val="20"/>
        </w:rPr>
        <w:t>very</w:t>
      </w:r>
      <w:r>
        <w:rPr>
          <w:spacing w:val="-10"/>
          <w:sz w:val="20"/>
        </w:rPr>
        <w:t> </w:t>
      </w:r>
      <w:r>
        <w:rPr>
          <w:sz w:val="20"/>
        </w:rPr>
        <w:t>“silence”</w:t>
      </w:r>
      <w:r>
        <w:rPr>
          <w:spacing w:val="-6"/>
          <w:sz w:val="20"/>
        </w:rPr>
        <w:t> </w:t>
      </w:r>
      <w:r>
        <w:rPr>
          <w:sz w:val="20"/>
        </w:rPr>
        <w:t>expected of them to move through the citadel undetected. This respects the weight of the story by highlighting that the only way to survive</w:t>
      </w:r>
      <w:r>
        <w:rPr>
          <w:spacing w:val="19"/>
          <w:sz w:val="20"/>
        </w:rPr>
        <w:t> </w:t>
      </w:r>
      <w:r>
        <w:rPr>
          <w:sz w:val="20"/>
        </w:rPr>
        <w:t>a</w:t>
      </w:r>
      <w:r>
        <w:rPr>
          <w:spacing w:val="21"/>
          <w:sz w:val="20"/>
        </w:rPr>
        <w:t> </w:t>
      </w:r>
      <w:r>
        <w:rPr>
          <w:sz w:val="20"/>
        </w:rPr>
        <w:t>“tragic”</w:t>
      </w:r>
      <w:r>
        <w:rPr>
          <w:spacing w:val="19"/>
          <w:sz w:val="20"/>
        </w:rPr>
        <w:t> </w:t>
      </w:r>
      <w:r>
        <w:rPr>
          <w:sz w:val="20"/>
        </w:rPr>
        <w:t>patriarchy is</w:t>
      </w:r>
      <w:r>
        <w:rPr>
          <w:spacing w:val="18"/>
          <w:sz w:val="20"/>
        </w:rPr>
        <w:t> </w:t>
      </w:r>
      <w:r>
        <w:rPr>
          <w:sz w:val="20"/>
        </w:rPr>
        <w:t>to</w:t>
      </w:r>
      <w:r>
        <w:rPr>
          <w:spacing w:val="23"/>
          <w:sz w:val="20"/>
        </w:rPr>
        <w:t> </w:t>
      </w:r>
      <w:r>
        <w:rPr>
          <w:sz w:val="20"/>
        </w:rPr>
        <w:t>exist</w:t>
      </w:r>
      <w:r>
        <w:rPr>
          <w:spacing w:val="18"/>
          <w:sz w:val="20"/>
        </w:rPr>
        <w:t> </w:t>
      </w:r>
      <w:r>
        <w:rPr>
          <w:sz w:val="20"/>
        </w:rPr>
        <w:t>outside</w:t>
      </w:r>
      <w:r>
        <w:rPr>
          <w:spacing w:val="20"/>
          <w:sz w:val="20"/>
        </w:rPr>
        <w:t> </w:t>
      </w:r>
      <w:r>
        <w:rPr>
          <w:sz w:val="20"/>
        </w:rPr>
        <w:t>of</w:t>
      </w:r>
      <w:r>
        <w:rPr>
          <w:spacing w:val="19"/>
          <w:sz w:val="20"/>
        </w:rPr>
        <w:t> </w:t>
      </w:r>
      <w:r>
        <w:rPr>
          <w:sz w:val="20"/>
        </w:rPr>
        <w:t>it</w:t>
      </w:r>
      <w:r>
        <w:rPr>
          <w:spacing w:val="19"/>
          <w:sz w:val="20"/>
        </w:rPr>
        <w:t> </w:t>
      </w:r>
      <w:r>
        <w:rPr>
          <w:sz w:val="20"/>
        </w:rPr>
        <w:t>entirely.</w:t>
      </w:r>
    </w:p>
    <w:p>
      <w:pPr>
        <w:pStyle w:val="Heading5"/>
        <w:numPr>
          <w:ilvl w:val="0"/>
          <w:numId w:val="54"/>
        </w:numPr>
        <w:tabs>
          <w:tab w:pos="1740" w:val="left" w:leader="none"/>
        </w:tabs>
        <w:spacing w:line="240" w:lineRule="auto" w:before="105" w:after="0"/>
        <w:ind w:left="1740" w:right="0" w:hanging="300"/>
        <w:jc w:val="left"/>
      </w:pPr>
      <w:r>
        <w:rPr>
          <w:w w:val="105"/>
        </w:rPr>
        <w:t>Survival</w:t>
      </w:r>
      <w:r>
        <w:rPr>
          <w:spacing w:val="65"/>
          <w:w w:val="105"/>
        </w:rPr>
        <w:t> </w:t>
      </w:r>
      <w:r>
        <w:rPr>
          <w:w w:val="105"/>
        </w:rPr>
        <w:t>as</w:t>
      </w:r>
      <w:r>
        <w:rPr>
          <w:spacing w:val="65"/>
          <w:w w:val="105"/>
        </w:rPr>
        <w:t> </w:t>
      </w:r>
      <w:r>
        <w:rPr>
          <w:w w:val="105"/>
        </w:rPr>
        <w:t>“Social</w:t>
      </w:r>
      <w:r>
        <w:rPr>
          <w:spacing w:val="65"/>
          <w:w w:val="105"/>
        </w:rPr>
        <w:t> </w:t>
      </w:r>
      <w:r>
        <w:rPr>
          <w:spacing w:val="-2"/>
          <w:w w:val="105"/>
        </w:rPr>
        <w:t>Death”</w:t>
      </w:r>
    </w:p>
    <w:p>
      <w:pPr>
        <w:pStyle w:val="BodyText"/>
        <w:spacing w:before="65"/>
        <w:ind w:right="1440" w:firstLine="432"/>
        <w:jc w:val="both"/>
      </w:pPr>
      <w:r>
        <w:rPr/>
        <w:t>To maintain</w:t>
      </w:r>
      <w:r>
        <w:rPr>
          <w:spacing w:val="-5"/>
        </w:rPr>
        <w:t> </w:t>
      </w:r>
      <w:r>
        <w:rPr/>
        <w:t>the</w:t>
      </w:r>
      <w:r>
        <w:rPr>
          <w:spacing w:val="-2"/>
        </w:rPr>
        <w:t> </w:t>
      </w:r>
      <w:r>
        <w:rPr/>
        <w:t>gravity</w:t>
      </w:r>
      <w:r>
        <w:rPr>
          <w:spacing w:val="-5"/>
        </w:rPr>
        <w:t> </w:t>
      </w:r>
      <w:r>
        <w:rPr/>
        <w:t>of</w:t>
      </w:r>
      <w:r>
        <w:rPr>
          <w:spacing w:val="-2"/>
        </w:rPr>
        <w:t> </w:t>
      </w:r>
      <w:r>
        <w:rPr/>
        <w:t>Shakespeare’s</w:t>
      </w:r>
      <w:r>
        <w:rPr>
          <w:spacing w:val="-2"/>
        </w:rPr>
        <w:t> </w:t>
      </w:r>
      <w:r>
        <w:rPr/>
        <w:t>work,</w:t>
      </w:r>
      <w:r>
        <w:rPr>
          <w:spacing w:val="-2"/>
        </w:rPr>
        <w:t> </w:t>
      </w:r>
      <w:r>
        <w:rPr/>
        <w:t>survival</w:t>
      </w:r>
      <w:r>
        <w:rPr>
          <w:spacing w:val="-1"/>
        </w:rPr>
        <w:t> </w:t>
      </w:r>
      <w:r>
        <w:rPr/>
        <w:t>shouldn’t mean returning to “normal.”</w:t>
      </w:r>
    </w:p>
    <w:p>
      <w:pPr>
        <w:pStyle w:val="ListParagraph"/>
        <w:numPr>
          <w:ilvl w:val="1"/>
          <w:numId w:val="54"/>
        </w:numPr>
        <w:tabs>
          <w:tab w:pos="2160" w:val="left" w:leader="none"/>
        </w:tabs>
        <w:spacing w:line="261" w:lineRule="auto" w:before="73" w:after="0"/>
        <w:ind w:left="2160" w:right="1440" w:hanging="240"/>
        <w:jc w:val="both"/>
        <w:rPr>
          <w:sz w:val="20"/>
        </w:rPr>
      </w:pPr>
      <w:r>
        <w:rPr>
          <w:sz w:val="20"/>
        </w:rPr>
        <w:t>The</w:t>
      </w:r>
      <w:r>
        <w:rPr>
          <w:spacing w:val="-11"/>
          <w:sz w:val="20"/>
        </w:rPr>
        <w:t> </w:t>
      </w:r>
      <w:r>
        <w:rPr>
          <w:sz w:val="20"/>
        </w:rPr>
        <w:t>Shift:</w:t>
      </w:r>
      <w:r>
        <w:rPr>
          <w:spacing w:val="-12"/>
          <w:sz w:val="20"/>
        </w:rPr>
        <w:t> </w:t>
      </w:r>
      <w:r>
        <w:rPr>
          <w:sz w:val="20"/>
        </w:rPr>
        <w:t>Desdemona</w:t>
      </w:r>
      <w:r>
        <w:rPr>
          <w:spacing w:val="-13"/>
          <w:sz w:val="20"/>
        </w:rPr>
        <w:t> </w:t>
      </w:r>
      <w:r>
        <w:rPr>
          <w:sz w:val="20"/>
        </w:rPr>
        <w:t>survives</w:t>
      </w:r>
      <w:r>
        <w:rPr>
          <w:spacing w:val="-11"/>
          <w:sz w:val="20"/>
        </w:rPr>
        <w:t> </w:t>
      </w:r>
      <w:r>
        <w:rPr>
          <w:sz w:val="20"/>
        </w:rPr>
        <w:t>the</w:t>
      </w:r>
      <w:r>
        <w:rPr>
          <w:spacing w:val="-11"/>
          <w:sz w:val="20"/>
        </w:rPr>
        <w:t> </w:t>
      </w:r>
      <w:r>
        <w:rPr>
          <w:sz w:val="20"/>
        </w:rPr>
        <w:t>man,</w:t>
      </w:r>
      <w:r>
        <w:rPr>
          <w:spacing w:val="-10"/>
          <w:sz w:val="20"/>
        </w:rPr>
        <w:t> </w:t>
      </w:r>
      <w:r>
        <w:rPr>
          <w:sz w:val="20"/>
        </w:rPr>
        <w:t>but</w:t>
      </w:r>
      <w:r>
        <w:rPr>
          <w:spacing w:val="-13"/>
          <w:sz w:val="20"/>
        </w:rPr>
        <w:t> </w:t>
      </w:r>
      <w:r>
        <w:rPr>
          <w:sz w:val="20"/>
        </w:rPr>
        <w:t>she</w:t>
      </w:r>
      <w:r>
        <w:rPr>
          <w:spacing w:val="-11"/>
          <w:sz w:val="20"/>
        </w:rPr>
        <w:t> </w:t>
      </w:r>
      <w:r>
        <w:rPr>
          <w:sz w:val="20"/>
        </w:rPr>
        <w:t>cannot</w:t>
      </w:r>
      <w:r>
        <w:rPr>
          <w:spacing w:val="-12"/>
          <w:sz w:val="20"/>
        </w:rPr>
        <w:t> </w:t>
      </w:r>
      <w:r>
        <w:rPr>
          <w:sz w:val="20"/>
        </w:rPr>
        <w:t>survive the reputation. In 16th-century terms, a woman accused of infidelity—even if innocent—is socially “dead.”</w:t>
      </w:r>
    </w:p>
    <w:p>
      <w:pPr>
        <w:pStyle w:val="ListParagraph"/>
        <w:spacing w:after="0" w:line="261" w:lineRule="auto"/>
        <w:jc w:val="both"/>
        <w:rPr>
          <w:sz w:val="20"/>
        </w:rPr>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83424">
                <wp:simplePos x="0" y="0"/>
                <wp:positionH relativeFrom="page">
                  <wp:posOffset>2065020</wp:posOffset>
                </wp:positionH>
                <wp:positionV relativeFrom="paragraph">
                  <wp:posOffset>795020</wp:posOffset>
                </wp:positionV>
                <wp:extent cx="3657600" cy="12700"/>
                <wp:effectExtent l="0" t="0" r="0" b="0"/>
                <wp:wrapTopAndBottom/>
                <wp:docPr id="547" name="Graphic 547"/>
                <wp:cNvGraphicFramePr>
                  <a:graphicFrameLocks/>
                </wp:cNvGraphicFramePr>
                <a:graphic>
                  <a:graphicData uri="http://schemas.microsoft.com/office/word/2010/wordprocessingShape">
                    <wps:wsp>
                      <wps:cNvPr id="547" name="Graphic 54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33056;mso-wrap-distance-left:0;mso-wrap-distance-right:0" id="docshape542" filled="true" fillcolor="#000000" stroked="false">
                <v:fill type="solid"/>
                <w10:wrap type="topAndBottom"/>
              </v:rect>
            </w:pict>
          </mc:Fallback>
        </mc:AlternateContent>
      </w:r>
      <w:r>
        <w:rPr>
          <w:rFonts w:ascii="Verdana" w:hAnsi="Verdana"/>
          <w:spacing w:val="-2"/>
          <w:sz w:val="18"/>
        </w:rPr>
        <w:t>Reimagining</w:t>
      </w:r>
      <w:r>
        <w:rPr>
          <w:rFonts w:ascii="Verdana" w:hAnsi="Verdana"/>
          <w:spacing w:val="14"/>
          <w:sz w:val="18"/>
        </w:rPr>
        <w:t> </w:t>
      </w:r>
      <w:r>
        <w:rPr>
          <w:rFonts w:ascii="Verdana" w:hAnsi="Verdana"/>
          <w:spacing w:val="-2"/>
          <w:sz w:val="18"/>
        </w:rPr>
        <w:t>Shakespeare’s</w:t>
      </w:r>
      <w:r>
        <w:rPr>
          <w:rFonts w:ascii="Verdana" w:hAnsi="Verdana"/>
          <w:spacing w:val="13"/>
          <w:sz w:val="18"/>
        </w:rPr>
        <w:t> </w:t>
      </w:r>
      <w:r>
        <w:rPr>
          <w:rFonts w:ascii="Verdana" w:hAnsi="Verdana"/>
          <w:spacing w:val="-2"/>
          <w:sz w:val="18"/>
        </w:rPr>
        <w:t>Women:</w:t>
      </w:r>
      <w:r>
        <w:rPr>
          <w:rFonts w:ascii="Verdana" w:hAnsi="Verdana"/>
          <w:spacing w:val="14"/>
          <w:sz w:val="18"/>
        </w:rPr>
        <w:t> </w:t>
      </w:r>
      <w:r>
        <w:rPr>
          <w:rFonts w:ascii="Verdana" w:hAnsi="Verdana"/>
          <w:spacing w:val="-2"/>
          <w:sz w:val="18"/>
        </w:rPr>
        <w:t>Adaptations</w:t>
      </w:r>
      <w:r>
        <w:rPr>
          <w:rFonts w:ascii="Verdana" w:hAnsi="Verdana"/>
          <w:spacing w:val="13"/>
          <w:sz w:val="18"/>
        </w:rPr>
        <w:t> </w:t>
      </w:r>
      <w:r>
        <w:rPr>
          <w:rFonts w:ascii="Verdana" w:hAnsi="Verdana"/>
          <w:spacing w:val="-2"/>
          <w:sz w:val="18"/>
        </w:rPr>
        <w:t>and...</w:t>
      </w:r>
      <w:r>
        <w:rPr>
          <w:sz w:val="18"/>
        </w:rPr>
        <w:tab/>
      </w:r>
      <w:r>
        <w:rPr>
          <w:rFonts w:ascii="Verdana" w:hAnsi="Verdana"/>
          <w:spacing w:val="-5"/>
          <w:sz w:val="18"/>
        </w:rPr>
        <w:t>261</w:t>
      </w:r>
    </w:p>
    <w:p>
      <w:pPr>
        <w:pStyle w:val="ListParagraph"/>
        <w:numPr>
          <w:ilvl w:val="1"/>
          <w:numId w:val="54"/>
        </w:numPr>
        <w:tabs>
          <w:tab w:pos="2160" w:val="left" w:leader="none"/>
        </w:tabs>
        <w:spacing w:line="261" w:lineRule="auto" w:before="199" w:after="0"/>
        <w:ind w:left="2160" w:right="1440" w:hanging="240"/>
        <w:jc w:val="both"/>
        <w:rPr>
          <w:sz w:val="20"/>
        </w:rPr>
      </w:pPr>
      <w:r>
        <w:rPr>
          <w:sz w:val="20"/>
        </w:rPr>
        <w:t>The</w:t>
      </w:r>
      <w:r>
        <w:rPr>
          <w:spacing w:val="-5"/>
          <w:sz w:val="20"/>
        </w:rPr>
        <w:t> </w:t>
      </w:r>
      <w:r>
        <w:rPr>
          <w:sz w:val="20"/>
        </w:rPr>
        <w:t>Action: Her “survival” is an exile. She leaves Cyprus and Venice behind, perhaps joining a convent or living in the </w:t>
      </w:r>
      <w:r>
        <w:rPr>
          <w:spacing w:val="-2"/>
          <w:sz w:val="20"/>
        </w:rPr>
        <w:t>margins</w:t>
      </w:r>
      <w:r>
        <w:rPr>
          <w:spacing w:val="-6"/>
          <w:sz w:val="20"/>
        </w:rPr>
        <w:t> </w:t>
      </w:r>
      <w:r>
        <w:rPr>
          <w:spacing w:val="-2"/>
          <w:sz w:val="20"/>
        </w:rPr>
        <w:t>of</w:t>
      </w:r>
      <w:r>
        <w:rPr>
          <w:spacing w:val="-4"/>
          <w:sz w:val="20"/>
        </w:rPr>
        <w:t> </w:t>
      </w:r>
      <w:r>
        <w:rPr>
          <w:spacing w:val="-2"/>
          <w:sz w:val="20"/>
        </w:rPr>
        <w:t>another society.</w:t>
      </w:r>
      <w:r>
        <w:rPr>
          <w:spacing w:val="-6"/>
          <w:sz w:val="20"/>
        </w:rPr>
        <w:t> </w:t>
      </w:r>
      <w:r>
        <w:rPr>
          <w:spacing w:val="-2"/>
          <w:sz w:val="20"/>
        </w:rPr>
        <w:t>This preserves</w:t>
      </w:r>
      <w:r>
        <w:rPr>
          <w:spacing w:val="-6"/>
          <w:sz w:val="20"/>
        </w:rPr>
        <w:t> </w:t>
      </w:r>
      <w:r>
        <w:rPr>
          <w:spacing w:val="-2"/>
          <w:sz w:val="20"/>
        </w:rPr>
        <w:t>the “weight”</w:t>
      </w:r>
      <w:r>
        <w:rPr>
          <w:spacing w:val="-4"/>
          <w:sz w:val="20"/>
        </w:rPr>
        <w:t> </w:t>
      </w:r>
      <w:r>
        <w:rPr>
          <w:spacing w:val="-2"/>
          <w:sz w:val="20"/>
        </w:rPr>
        <w:t>because </w:t>
      </w:r>
      <w:r>
        <w:rPr>
          <w:sz w:val="20"/>
        </w:rPr>
        <w:t>she</w:t>
      </w:r>
      <w:r>
        <w:rPr>
          <w:spacing w:val="-9"/>
          <w:sz w:val="20"/>
        </w:rPr>
        <w:t> </w:t>
      </w:r>
      <w:r>
        <w:rPr>
          <w:sz w:val="20"/>
        </w:rPr>
        <w:t>still</w:t>
      </w:r>
      <w:r>
        <w:rPr>
          <w:spacing w:val="-8"/>
          <w:sz w:val="20"/>
        </w:rPr>
        <w:t> </w:t>
      </w:r>
      <w:r>
        <w:rPr>
          <w:sz w:val="20"/>
        </w:rPr>
        <w:t>loses</w:t>
      </w:r>
      <w:r>
        <w:rPr>
          <w:spacing w:val="-9"/>
          <w:sz w:val="20"/>
        </w:rPr>
        <w:t> </w:t>
      </w:r>
      <w:r>
        <w:rPr>
          <w:sz w:val="20"/>
        </w:rPr>
        <w:t>everything—her</w:t>
      </w:r>
      <w:r>
        <w:rPr>
          <w:spacing w:val="-8"/>
          <w:sz w:val="20"/>
        </w:rPr>
        <w:t> </w:t>
      </w:r>
      <w:r>
        <w:rPr>
          <w:sz w:val="20"/>
        </w:rPr>
        <w:t>status,</w:t>
      </w:r>
      <w:r>
        <w:rPr>
          <w:spacing w:val="-9"/>
          <w:sz w:val="20"/>
        </w:rPr>
        <w:t> </w:t>
      </w:r>
      <w:r>
        <w:rPr>
          <w:sz w:val="20"/>
        </w:rPr>
        <w:t>her</w:t>
      </w:r>
      <w:r>
        <w:rPr>
          <w:spacing w:val="-9"/>
          <w:sz w:val="20"/>
        </w:rPr>
        <w:t> </w:t>
      </w:r>
      <w:r>
        <w:rPr>
          <w:sz w:val="20"/>
        </w:rPr>
        <w:t>love,</w:t>
      </w:r>
      <w:r>
        <w:rPr>
          <w:spacing w:val="-8"/>
          <w:sz w:val="20"/>
        </w:rPr>
        <w:t> </w:t>
      </w:r>
      <w:r>
        <w:rPr>
          <w:sz w:val="20"/>
        </w:rPr>
        <w:t>and</w:t>
      </w:r>
      <w:r>
        <w:rPr>
          <w:spacing w:val="-6"/>
          <w:sz w:val="20"/>
        </w:rPr>
        <w:t> </w:t>
      </w:r>
      <w:r>
        <w:rPr>
          <w:sz w:val="20"/>
        </w:rPr>
        <w:t>her</w:t>
      </w:r>
      <w:r>
        <w:rPr>
          <w:spacing w:val="-9"/>
          <w:sz w:val="20"/>
        </w:rPr>
        <w:t> </w:t>
      </w:r>
      <w:r>
        <w:rPr>
          <w:sz w:val="20"/>
        </w:rPr>
        <w:t>home—but</w:t>
      </w:r>
      <w:r>
        <w:rPr>
          <w:spacing w:val="40"/>
          <w:sz w:val="20"/>
        </w:rPr>
        <w:t> </w:t>
      </w:r>
      <w:r>
        <w:rPr>
          <w:sz w:val="20"/>
        </w:rPr>
        <w:t>she</w:t>
      </w:r>
      <w:r>
        <w:rPr>
          <w:spacing w:val="40"/>
          <w:sz w:val="20"/>
        </w:rPr>
        <w:t> </w:t>
      </w:r>
      <w:r>
        <w:rPr>
          <w:sz w:val="20"/>
        </w:rPr>
        <w:t>retains</w:t>
      </w:r>
      <w:r>
        <w:rPr>
          <w:spacing w:val="40"/>
          <w:sz w:val="20"/>
        </w:rPr>
        <w:t> </w:t>
      </w:r>
      <w:r>
        <w:rPr>
          <w:sz w:val="20"/>
        </w:rPr>
        <w:t>her</w:t>
      </w:r>
      <w:r>
        <w:rPr>
          <w:spacing w:val="40"/>
          <w:sz w:val="20"/>
        </w:rPr>
        <w:t> </w:t>
      </w:r>
      <w:r>
        <w:rPr>
          <w:sz w:val="20"/>
        </w:rPr>
        <w:t>breath</w:t>
      </w:r>
      <w:r>
        <w:rPr>
          <w:spacing w:val="40"/>
          <w:sz w:val="20"/>
        </w:rPr>
        <w:t> </w:t>
      </w:r>
      <w:r>
        <w:rPr>
          <w:sz w:val="20"/>
        </w:rPr>
        <w:t>and</w:t>
      </w:r>
      <w:r>
        <w:rPr>
          <w:spacing w:val="40"/>
          <w:sz w:val="20"/>
        </w:rPr>
        <w:t> </w:t>
      </w:r>
      <w:r>
        <w:rPr>
          <w:sz w:val="20"/>
        </w:rPr>
        <w:t>her</w:t>
      </w:r>
      <w:r>
        <w:rPr>
          <w:spacing w:val="40"/>
          <w:sz w:val="20"/>
        </w:rPr>
        <w:t> </w:t>
      </w:r>
      <w:r>
        <w:rPr>
          <w:sz w:val="20"/>
        </w:rPr>
        <w:t>truth.</w:t>
      </w:r>
    </w:p>
    <w:p>
      <w:pPr>
        <w:pStyle w:val="Heading5"/>
        <w:numPr>
          <w:ilvl w:val="0"/>
          <w:numId w:val="54"/>
        </w:numPr>
        <w:tabs>
          <w:tab w:pos="1754" w:val="left" w:leader="none"/>
        </w:tabs>
        <w:spacing w:line="240" w:lineRule="auto" w:before="93" w:after="0"/>
        <w:ind w:left="1754" w:right="0" w:hanging="314"/>
        <w:jc w:val="left"/>
      </w:pPr>
      <w:r>
        <w:rPr/>
        <w:t>The</w:t>
      </w:r>
      <w:r>
        <w:rPr>
          <w:spacing w:val="58"/>
        </w:rPr>
        <w:t> </w:t>
      </w:r>
      <w:r>
        <w:rPr/>
        <w:t>Structural</w:t>
      </w:r>
      <w:r>
        <w:rPr>
          <w:spacing w:val="58"/>
        </w:rPr>
        <w:t> </w:t>
      </w:r>
      <w:r>
        <w:rPr>
          <w:spacing w:val="-2"/>
        </w:rPr>
        <w:t>Transformation</w:t>
      </w:r>
    </w:p>
    <w:p>
      <w:pPr>
        <w:pStyle w:val="BodyText"/>
        <w:spacing w:line="242" w:lineRule="auto" w:before="64"/>
        <w:ind w:right="1440" w:firstLine="432"/>
        <w:jc w:val="both"/>
      </w:pPr>
      <w:r>
        <w:rPr/>
        <w:t>By allowing Desdemona to live, the “Appropriateness” of the ending shifts from a Moral Tragedy (the fall of a great man) to a Systemic Critique (the escape of a marginalized woman).</w:t>
      </w:r>
    </w:p>
    <w:p>
      <w:pPr>
        <w:pStyle w:val="BodyText"/>
        <w:spacing w:before="8"/>
        <w:ind w:left="0"/>
        <w:rPr>
          <w:sz w:val="5"/>
        </w:rPr>
      </w:pPr>
    </w:p>
    <w:tbl>
      <w:tblPr>
        <w:tblW w:w="0" w:type="auto"/>
        <w:jc w:val="left"/>
        <w:tblInd w:w="1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8"/>
        <w:gridCol w:w="1355"/>
        <w:gridCol w:w="2636"/>
      </w:tblGrid>
      <w:tr>
        <w:trPr>
          <w:trHeight w:val="164" w:hRule="atLeast"/>
        </w:trPr>
        <w:tc>
          <w:tcPr>
            <w:tcW w:w="1168" w:type="dxa"/>
          </w:tcPr>
          <w:p>
            <w:pPr>
              <w:pStyle w:val="TableParagraph"/>
              <w:spacing w:line="142" w:lineRule="exact" w:before="3"/>
              <w:rPr>
                <w:b/>
                <w:sz w:val="14"/>
              </w:rPr>
            </w:pPr>
            <w:r>
              <w:rPr>
                <w:b/>
                <w:spacing w:val="-2"/>
                <w:w w:val="105"/>
                <w:sz w:val="14"/>
              </w:rPr>
              <w:t>Element</w:t>
            </w:r>
          </w:p>
        </w:tc>
        <w:tc>
          <w:tcPr>
            <w:tcW w:w="1355" w:type="dxa"/>
          </w:tcPr>
          <w:p>
            <w:pPr>
              <w:pStyle w:val="TableParagraph"/>
              <w:spacing w:line="142" w:lineRule="exact" w:before="3"/>
              <w:ind w:left="66"/>
              <w:rPr>
                <w:b/>
                <w:sz w:val="14"/>
              </w:rPr>
            </w:pPr>
            <w:r>
              <w:rPr>
                <w:b/>
                <w:w w:val="105"/>
                <w:sz w:val="14"/>
              </w:rPr>
              <w:t>Original</w:t>
            </w:r>
            <w:r>
              <w:rPr>
                <w:b/>
                <w:spacing w:val="-7"/>
                <w:w w:val="105"/>
                <w:sz w:val="14"/>
              </w:rPr>
              <w:t> </w:t>
            </w:r>
            <w:r>
              <w:rPr>
                <w:b/>
                <w:spacing w:val="-2"/>
                <w:w w:val="105"/>
                <w:sz w:val="14"/>
              </w:rPr>
              <w:t>Tragedy</w:t>
            </w:r>
          </w:p>
        </w:tc>
        <w:tc>
          <w:tcPr>
            <w:tcW w:w="2636" w:type="dxa"/>
          </w:tcPr>
          <w:p>
            <w:pPr>
              <w:pStyle w:val="TableParagraph"/>
              <w:spacing w:line="142" w:lineRule="exact" w:before="3"/>
              <w:ind w:left="65"/>
              <w:rPr>
                <w:b/>
                <w:sz w:val="14"/>
              </w:rPr>
            </w:pPr>
            <w:r>
              <w:rPr>
                <w:b/>
                <w:spacing w:val="-2"/>
                <w:w w:val="105"/>
                <w:sz w:val="14"/>
              </w:rPr>
              <w:t>Reimagined</w:t>
            </w:r>
            <w:r>
              <w:rPr>
                <w:b/>
                <w:spacing w:val="9"/>
                <w:w w:val="105"/>
                <w:sz w:val="14"/>
              </w:rPr>
              <w:t> </w:t>
            </w:r>
            <w:r>
              <w:rPr>
                <w:b/>
                <w:spacing w:val="-2"/>
                <w:w w:val="105"/>
                <w:sz w:val="14"/>
              </w:rPr>
              <w:t>Appropriation</w:t>
            </w:r>
          </w:p>
        </w:tc>
      </w:tr>
      <w:tr>
        <w:trPr>
          <w:trHeight w:val="331" w:hRule="atLeast"/>
        </w:trPr>
        <w:tc>
          <w:tcPr>
            <w:tcW w:w="1168" w:type="dxa"/>
          </w:tcPr>
          <w:p>
            <w:pPr>
              <w:pStyle w:val="TableParagraph"/>
              <w:spacing w:line="168" w:lineRule="exact"/>
              <w:ind w:right="37"/>
              <w:rPr>
                <w:b/>
                <w:sz w:val="14"/>
              </w:rPr>
            </w:pPr>
            <w:r>
              <w:rPr>
                <w:b/>
                <w:spacing w:val="-2"/>
                <w:w w:val="105"/>
                <w:sz w:val="14"/>
              </w:rPr>
              <w:t>Desdemona's</w:t>
            </w:r>
            <w:r>
              <w:rPr>
                <w:b/>
                <w:spacing w:val="40"/>
                <w:w w:val="105"/>
                <w:sz w:val="14"/>
              </w:rPr>
              <w:t> </w:t>
            </w:r>
            <w:r>
              <w:rPr>
                <w:b/>
                <w:spacing w:val="-4"/>
                <w:w w:val="105"/>
                <w:sz w:val="14"/>
              </w:rPr>
              <w:t>Role</w:t>
            </w:r>
          </w:p>
        </w:tc>
        <w:tc>
          <w:tcPr>
            <w:tcW w:w="1355" w:type="dxa"/>
          </w:tcPr>
          <w:p>
            <w:pPr>
              <w:pStyle w:val="TableParagraph"/>
              <w:spacing w:before="1"/>
              <w:ind w:left="66"/>
              <w:rPr>
                <w:sz w:val="14"/>
              </w:rPr>
            </w:pPr>
            <w:r>
              <w:rPr>
                <w:w w:val="105"/>
                <w:sz w:val="14"/>
              </w:rPr>
              <w:t>The</w:t>
            </w:r>
            <w:r>
              <w:rPr>
                <w:spacing w:val="-4"/>
                <w:w w:val="105"/>
                <w:sz w:val="14"/>
              </w:rPr>
              <w:t> </w:t>
            </w:r>
            <w:r>
              <w:rPr>
                <w:spacing w:val="-2"/>
                <w:w w:val="105"/>
                <w:sz w:val="14"/>
              </w:rPr>
              <w:t>Sacrifice</w:t>
            </w:r>
          </w:p>
        </w:tc>
        <w:tc>
          <w:tcPr>
            <w:tcW w:w="2636" w:type="dxa"/>
          </w:tcPr>
          <w:p>
            <w:pPr>
              <w:pStyle w:val="TableParagraph"/>
              <w:spacing w:before="1"/>
              <w:ind w:left="65"/>
              <w:rPr>
                <w:sz w:val="14"/>
              </w:rPr>
            </w:pPr>
            <w:r>
              <w:rPr>
                <w:w w:val="105"/>
                <w:sz w:val="14"/>
              </w:rPr>
              <w:t>The</w:t>
            </w:r>
            <w:r>
              <w:rPr>
                <w:spacing w:val="-3"/>
                <w:w w:val="105"/>
                <w:sz w:val="14"/>
              </w:rPr>
              <w:t> </w:t>
            </w:r>
            <w:r>
              <w:rPr>
                <w:spacing w:val="-2"/>
                <w:w w:val="105"/>
                <w:sz w:val="14"/>
              </w:rPr>
              <w:t>Witness</w:t>
            </w:r>
          </w:p>
        </w:tc>
      </w:tr>
      <w:tr>
        <w:trPr>
          <w:trHeight w:val="156" w:hRule="atLeast"/>
        </w:trPr>
        <w:tc>
          <w:tcPr>
            <w:tcW w:w="1168" w:type="dxa"/>
            <w:tcBorders>
              <w:bottom w:val="single" w:sz="6" w:space="0" w:color="000000"/>
            </w:tcBorders>
          </w:tcPr>
          <w:p>
            <w:pPr>
              <w:pStyle w:val="TableParagraph"/>
              <w:spacing w:line="137" w:lineRule="exact"/>
              <w:rPr>
                <w:b/>
                <w:sz w:val="14"/>
              </w:rPr>
            </w:pPr>
            <w:r>
              <w:rPr>
                <w:b/>
                <w:w w:val="105"/>
                <w:sz w:val="14"/>
              </w:rPr>
              <w:t>Othello's</w:t>
            </w:r>
            <w:r>
              <w:rPr>
                <w:b/>
                <w:spacing w:val="-10"/>
                <w:w w:val="105"/>
                <w:sz w:val="14"/>
              </w:rPr>
              <w:t> </w:t>
            </w:r>
            <w:r>
              <w:rPr>
                <w:b/>
                <w:spacing w:val="-4"/>
                <w:w w:val="105"/>
                <w:sz w:val="14"/>
              </w:rPr>
              <w:t>Fate</w:t>
            </w:r>
          </w:p>
        </w:tc>
        <w:tc>
          <w:tcPr>
            <w:tcW w:w="1355" w:type="dxa"/>
            <w:tcBorders>
              <w:bottom w:val="single" w:sz="6" w:space="0" w:color="000000"/>
            </w:tcBorders>
          </w:tcPr>
          <w:p>
            <w:pPr>
              <w:pStyle w:val="TableParagraph"/>
              <w:spacing w:line="137" w:lineRule="exact"/>
              <w:ind w:left="66"/>
              <w:rPr>
                <w:sz w:val="14"/>
              </w:rPr>
            </w:pPr>
            <w:r>
              <w:rPr>
                <w:w w:val="105"/>
                <w:sz w:val="14"/>
              </w:rPr>
              <w:t>Suicide</w:t>
            </w:r>
            <w:r>
              <w:rPr>
                <w:spacing w:val="-5"/>
                <w:w w:val="105"/>
                <w:sz w:val="14"/>
              </w:rPr>
              <w:t> </w:t>
            </w:r>
            <w:r>
              <w:rPr>
                <w:w w:val="105"/>
                <w:sz w:val="14"/>
              </w:rPr>
              <w:t>out</w:t>
            </w:r>
            <w:r>
              <w:rPr>
                <w:spacing w:val="-4"/>
                <w:w w:val="105"/>
                <w:sz w:val="14"/>
              </w:rPr>
              <w:t> </w:t>
            </w:r>
            <w:r>
              <w:rPr>
                <w:w w:val="105"/>
                <w:sz w:val="14"/>
              </w:rPr>
              <w:t>of</w:t>
            </w:r>
            <w:r>
              <w:rPr>
                <w:spacing w:val="-3"/>
                <w:w w:val="105"/>
                <w:sz w:val="14"/>
              </w:rPr>
              <w:t> </w:t>
            </w:r>
            <w:r>
              <w:rPr>
                <w:spacing w:val="-4"/>
                <w:w w:val="105"/>
                <w:sz w:val="14"/>
              </w:rPr>
              <w:t>guilt</w:t>
            </w:r>
          </w:p>
        </w:tc>
        <w:tc>
          <w:tcPr>
            <w:tcW w:w="2636" w:type="dxa"/>
            <w:tcBorders>
              <w:bottom w:val="single" w:sz="6" w:space="0" w:color="000000"/>
            </w:tcBorders>
          </w:tcPr>
          <w:p>
            <w:pPr>
              <w:pStyle w:val="TableParagraph"/>
              <w:spacing w:line="137" w:lineRule="exact"/>
              <w:ind w:left="65"/>
              <w:rPr>
                <w:sz w:val="14"/>
              </w:rPr>
            </w:pPr>
            <w:r>
              <w:rPr>
                <w:w w:val="105"/>
                <w:sz w:val="14"/>
              </w:rPr>
              <w:t>Confronting</w:t>
            </w:r>
            <w:r>
              <w:rPr>
                <w:spacing w:val="-5"/>
                <w:w w:val="105"/>
                <w:sz w:val="14"/>
              </w:rPr>
              <w:t> </w:t>
            </w:r>
            <w:r>
              <w:rPr>
                <w:w w:val="105"/>
                <w:sz w:val="14"/>
              </w:rPr>
              <w:t>the</w:t>
            </w:r>
            <w:r>
              <w:rPr>
                <w:spacing w:val="-4"/>
                <w:w w:val="105"/>
                <w:sz w:val="14"/>
              </w:rPr>
              <w:t> </w:t>
            </w:r>
            <w:r>
              <w:rPr>
                <w:w w:val="105"/>
                <w:sz w:val="14"/>
              </w:rPr>
              <w:t>living</w:t>
            </w:r>
            <w:r>
              <w:rPr>
                <w:spacing w:val="-5"/>
                <w:w w:val="105"/>
                <w:sz w:val="14"/>
              </w:rPr>
              <w:t> </w:t>
            </w:r>
            <w:r>
              <w:rPr>
                <w:w w:val="105"/>
                <w:sz w:val="14"/>
              </w:rPr>
              <w:t>proof</w:t>
            </w:r>
            <w:r>
              <w:rPr>
                <w:spacing w:val="-3"/>
                <w:w w:val="105"/>
                <w:sz w:val="14"/>
              </w:rPr>
              <w:t> </w:t>
            </w:r>
            <w:r>
              <w:rPr>
                <w:w w:val="105"/>
                <w:sz w:val="14"/>
              </w:rPr>
              <w:t>of</w:t>
            </w:r>
            <w:r>
              <w:rPr>
                <w:spacing w:val="-5"/>
                <w:w w:val="105"/>
                <w:sz w:val="14"/>
              </w:rPr>
              <w:t> </w:t>
            </w:r>
            <w:r>
              <w:rPr>
                <w:w w:val="105"/>
                <w:sz w:val="14"/>
              </w:rPr>
              <w:t>his</w:t>
            </w:r>
            <w:r>
              <w:rPr>
                <w:spacing w:val="-4"/>
                <w:w w:val="105"/>
                <w:sz w:val="14"/>
              </w:rPr>
              <w:t> folly</w:t>
            </w:r>
          </w:p>
        </w:tc>
      </w:tr>
      <w:tr>
        <w:trPr>
          <w:trHeight w:val="328" w:hRule="atLeast"/>
        </w:trPr>
        <w:tc>
          <w:tcPr>
            <w:tcW w:w="1168" w:type="dxa"/>
            <w:tcBorders>
              <w:top w:val="single" w:sz="6" w:space="0" w:color="000000"/>
              <w:bottom w:val="single" w:sz="6" w:space="0" w:color="000000"/>
            </w:tcBorders>
          </w:tcPr>
          <w:p>
            <w:pPr>
              <w:pStyle w:val="TableParagraph"/>
              <w:spacing w:before="1"/>
              <w:rPr>
                <w:b/>
                <w:sz w:val="14"/>
              </w:rPr>
            </w:pPr>
            <w:r>
              <w:rPr>
                <w:b/>
                <w:w w:val="105"/>
                <w:sz w:val="14"/>
              </w:rPr>
              <w:t>The</w:t>
            </w:r>
            <w:r>
              <w:rPr>
                <w:b/>
                <w:spacing w:val="-5"/>
                <w:w w:val="105"/>
                <w:sz w:val="14"/>
              </w:rPr>
              <w:t> </w:t>
            </w:r>
            <w:r>
              <w:rPr>
                <w:b/>
                <w:spacing w:val="-2"/>
                <w:w w:val="105"/>
                <w:sz w:val="14"/>
              </w:rPr>
              <w:t>Ending</w:t>
            </w:r>
          </w:p>
        </w:tc>
        <w:tc>
          <w:tcPr>
            <w:tcW w:w="1355" w:type="dxa"/>
            <w:tcBorders>
              <w:top w:val="single" w:sz="6" w:space="0" w:color="000000"/>
              <w:bottom w:val="single" w:sz="6" w:space="0" w:color="000000"/>
            </w:tcBorders>
          </w:tcPr>
          <w:p>
            <w:pPr>
              <w:pStyle w:val="TableParagraph"/>
              <w:tabs>
                <w:tab w:pos="755" w:val="left" w:leader="none"/>
                <w:tab w:pos="1225" w:val="left" w:leader="none"/>
              </w:tabs>
              <w:spacing w:line="160" w:lineRule="exact"/>
              <w:ind w:left="66"/>
              <w:rPr>
                <w:sz w:val="14"/>
              </w:rPr>
            </w:pPr>
            <w:r>
              <w:rPr>
                <w:spacing w:val="-2"/>
                <w:w w:val="105"/>
                <w:sz w:val="14"/>
              </w:rPr>
              <w:t>Silence</w:t>
            </w:r>
            <w:r>
              <w:rPr>
                <w:sz w:val="14"/>
              </w:rPr>
              <w:tab/>
            </w:r>
            <w:r>
              <w:rPr>
                <w:spacing w:val="-5"/>
                <w:w w:val="105"/>
                <w:sz w:val="14"/>
              </w:rPr>
              <w:t>and</w:t>
            </w:r>
            <w:r>
              <w:rPr>
                <w:sz w:val="14"/>
              </w:rPr>
              <w:tab/>
            </w:r>
            <w:r>
              <w:rPr>
                <w:spacing w:val="-10"/>
                <w:w w:val="105"/>
                <w:sz w:val="14"/>
              </w:rPr>
              <w:t>a</w:t>
            </w:r>
          </w:p>
          <w:p>
            <w:pPr>
              <w:pStyle w:val="TableParagraph"/>
              <w:spacing w:line="141" w:lineRule="exact" w:before="7"/>
              <w:ind w:left="66"/>
              <w:rPr>
                <w:sz w:val="14"/>
              </w:rPr>
            </w:pPr>
            <w:r>
              <w:rPr>
                <w:w w:val="105"/>
                <w:sz w:val="14"/>
              </w:rPr>
              <w:t>"loaded</w:t>
            </w:r>
            <w:r>
              <w:rPr>
                <w:spacing w:val="-10"/>
                <w:w w:val="105"/>
                <w:sz w:val="14"/>
              </w:rPr>
              <w:t> </w:t>
            </w:r>
            <w:r>
              <w:rPr>
                <w:spacing w:val="-4"/>
                <w:w w:val="105"/>
                <w:sz w:val="14"/>
              </w:rPr>
              <w:t>bed"</w:t>
            </w:r>
          </w:p>
        </w:tc>
        <w:tc>
          <w:tcPr>
            <w:tcW w:w="2636" w:type="dxa"/>
            <w:tcBorders>
              <w:top w:val="single" w:sz="6" w:space="0" w:color="000000"/>
              <w:bottom w:val="single" w:sz="6" w:space="0" w:color="000000"/>
            </w:tcBorders>
          </w:tcPr>
          <w:p>
            <w:pPr>
              <w:pStyle w:val="TableParagraph"/>
              <w:spacing w:line="160" w:lineRule="exact"/>
              <w:ind w:left="65"/>
              <w:rPr>
                <w:sz w:val="14"/>
              </w:rPr>
            </w:pPr>
            <w:r>
              <w:rPr>
                <w:w w:val="105"/>
                <w:sz w:val="14"/>
              </w:rPr>
              <w:t>A</w:t>
            </w:r>
            <w:r>
              <w:rPr>
                <w:spacing w:val="-2"/>
                <w:w w:val="105"/>
                <w:sz w:val="14"/>
              </w:rPr>
              <w:t> </w:t>
            </w:r>
            <w:r>
              <w:rPr>
                <w:w w:val="105"/>
                <w:sz w:val="14"/>
              </w:rPr>
              <w:t>narrative</w:t>
            </w:r>
            <w:r>
              <w:rPr>
                <w:spacing w:val="1"/>
                <w:w w:val="105"/>
                <w:sz w:val="14"/>
              </w:rPr>
              <w:t> </w:t>
            </w:r>
            <w:r>
              <w:rPr>
                <w:w w:val="105"/>
                <w:sz w:val="14"/>
              </w:rPr>
              <w:t>"unloading"</w:t>
            </w:r>
            <w:r>
              <w:rPr>
                <w:spacing w:val="-1"/>
                <w:w w:val="105"/>
                <w:sz w:val="14"/>
              </w:rPr>
              <w:t> </w:t>
            </w:r>
            <w:r>
              <w:rPr>
                <w:w w:val="105"/>
                <w:sz w:val="14"/>
              </w:rPr>
              <w:t>where</w:t>
            </w:r>
            <w:r>
              <w:rPr>
                <w:spacing w:val="-1"/>
                <w:w w:val="105"/>
                <w:sz w:val="14"/>
              </w:rPr>
              <w:t> </w:t>
            </w:r>
            <w:r>
              <w:rPr>
                <w:w w:val="105"/>
                <w:sz w:val="14"/>
              </w:rPr>
              <w:t>the</w:t>
            </w:r>
            <w:r>
              <w:rPr>
                <w:spacing w:val="-2"/>
                <w:w w:val="105"/>
                <w:sz w:val="14"/>
              </w:rPr>
              <w:t> woman</w:t>
            </w:r>
          </w:p>
          <w:p>
            <w:pPr>
              <w:pStyle w:val="TableParagraph"/>
              <w:spacing w:line="141" w:lineRule="exact" w:before="7"/>
              <w:ind w:left="65"/>
              <w:rPr>
                <w:sz w:val="14"/>
              </w:rPr>
            </w:pPr>
            <w:r>
              <w:rPr>
                <w:w w:val="105"/>
                <w:sz w:val="14"/>
              </w:rPr>
              <w:t>tells</w:t>
            </w:r>
            <w:r>
              <w:rPr>
                <w:spacing w:val="-2"/>
                <w:w w:val="105"/>
                <w:sz w:val="14"/>
              </w:rPr>
              <w:t> </w:t>
            </w:r>
            <w:r>
              <w:rPr>
                <w:w w:val="105"/>
                <w:sz w:val="14"/>
              </w:rPr>
              <w:t>the</w:t>
            </w:r>
            <w:r>
              <w:rPr>
                <w:spacing w:val="-5"/>
                <w:w w:val="105"/>
                <w:sz w:val="14"/>
              </w:rPr>
              <w:t> </w:t>
            </w:r>
            <w:r>
              <w:rPr>
                <w:spacing w:val="-4"/>
                <w:w w:val="105"/>
                <w:sz w:val="14"/>
              </w:rPr>
              <w:t>story</w:t>
            </w:r>
          </w:p>
        </w:tc>
      </w:tr>
    </w:tbl>
    <w:p>
      <w:pPr>
        <w:pStyle w:val="BodyText"/>
        <w:spacing w:line="242" w:lineRule="auto" w:before="90"/>
        <w:ind w:right="1439" w:firstLine="432"/>
        <w:jc w:val="both"/>
      </w:pPr>
      <w:r>
        <w:rPr/>
        <w:t>Reimagining Desdemona’s survival is not about giving her a “fairytale.”</w:t>
      </w:r>
      <w:r>
        <w:rPr>
          <w:spacing w:val="-13"/>
        </w:rPr>
        <w:t> </w:t>
      </w:r>
      <w:r>
        <w:rPr/>
        <w:t>It</w:t>
      </w:r>
      <w:r>
        <w:rPr>
          <w:spacing w:val="-12"/>
        </w:rPr>
        <w:t> </w:t>
      </w:r>
      <w:r>
        <w:rPr/>
        <w:t>is</w:t>
      </w:r>
      <w:r>
        <w:rPr>
          <w:spacing w:val="-13"/>
        </w:rPr>
        <w:t> </w:t>
      </w:r>
      <w:r>
        <w:rPr/>
        <w:t>about</w:t>
      </w:r>
      <w:r>
        <w:rPr>
          <w:spacing w:val="-12"/>
        </w:rPr>
        <w:t> </w:t>
      </w:r>
      <w:r>
        <w:rPr/>
        <w:t>transforming</w:t>
      </w:r>
      <w:r>
        <w:rPr>
          <w:spacing w:val="-13"/>
        </w:rPr>
        <w:t> </w:t>
      </w:r>
      <w:r>
        <w:rPr/>
        <w:t>her</w:t>
      </w:r>
      <w:r>
        <w:rPr>
          <w:spacing w:val="-12"/>
        </w:rPr>
        <w:t> </w:t>
      </w:r>
      <w:r>
        <w:rPr/>
        <w:t>from</w:t>
      </w:r>
      <w:r>
        <w:rPr>
          <w:spacing w:val="-13"/>
        </w:rPr>
        <w:t> </w:t>
      </w:r>
      <w:r>
        <w:rPr/>
        <w:t>a</w:t>
      </w:r>
      <w:r>
        <w:rPr>
          <w:spacing w:val="-12"/>
        </w:rPr>
        <w:t> </w:t>
      </w:r>
      <w:r>
        <w:rPr/>
        <w:t>catalyst</w:t>
      </w:r>
      <w:r>
        <w:rPr>
          <w:spacing w:val="-13"/>
        </w:rPr>
        <w:t> </w:t>
      </w:r>
      <w:r>
        <w:rPr/>
        <w:t>for</w:t>
      </w:r>
      <w:r>
        <w:rPr>
          <w:spacing w:val="-12"/>
        </w:rPr>
        <w:t> </w:t>
      </w:r>
      <w:r>
        <w:rPr/>
        <w:t>Othello’s</w:t>
      </w:r>
      <w:r>
        <w:rPr>
          <w:spacing w:val="-13"/>
        </w:rPr>
        <w:t> </w:t>
      </w:r>
      <w:r>
        <w:rPr/>
        <w:t>grief into the author of her own history. Her survival respects the original story by proving that the tragedy wasn’t that she died, but that the</w:t>
      </w:r>
      <w:r>
        <w:rPr>
          <w:spacing w:val="40"/>
        </w:rPr>
        <w:t> </w:t>
      </w:r>
      <w:r>
        <w:rPr/>
        <w:t>world she lived in made her life impossible.</w:t>
      </w:r>
    </w:p>
    <w:p>
      <w:pPr>
        <w:pStyle w:val="BodyText"/>
        <w:spacing w:line="242" w:lineRule="auto" w:before="55"/>
        <w:ind w:right="1440" w:firstLine="432"/>
        <w:jc w:val="both"/>
      </w:pPr>
      <w:r>
        <w:rPr/>
        <w:t>In this reimagined space, the “truth” of the story is no longer found in the blood on the sheets, but in the footsteps of the woman walking away from them.</w:t>
      </w:r>
    </w:p>
    <w:p>
      <w:pPr>
        <w:pStyle w:val="Heading3"/>
        <w:spacing w:before="150"/>
      </w:pPr>
      <w:r>
        <w:rPr>
          <w:w w:val="85"/>
        </w:rPr>
        <w:t>THE</w:t>
      </w:r>
      <w:r>
        <w:rPr>
          <w:spacing w:val="22"/>
        </w:rPr>
        <w:t> </w:t>
      </w:r>
      <w:r>
        <w:rPr>
          <w:w w:val="85"/>
        </w:rPr>
        <w:t>“APPROPRIATENESS”</w:t>
      </w:r>
      <w:r>
        <w:rPr>
          <w:spacing w:val="20"/>
        </w:rPr>
        <w:t> </w:t>
      </w:r>
      <w:r>
        <w:rPr>
          <w:w w:val="85"/>
        </w:rPr>
        <w:t>OF</w:t>
      </w:r>
      <w:r>
        <w:rPr>
          <w:spacing w:val="22"/>
        </w:rPr>
        <w:t> </w:t>
      </w:r>
      <w:r>
        <w:rPr>
          <w:w w:val="85"/>
        </w:rPr>
        <w:t>THE</w:t>
      </w:r>
      <w:r>
        <w:rPr>
          <w:spacing w:val="20"/>
        </w:rPr>
        <w:t> </w:t>
      </w:r>
      <w:r>
        <w:rPr>
          <w:w w:val="85"/>
        </w:rPr>
        <w:t>NEW</w:t>
      </w:r>
      <w:r>
        <w:rPr>
          <w:spacing w:val="22"/>
        </w:rPr>
        <w:t> </w:t>
      </w:r>
      <w:r>
        <w:rPr>
          <w:spacing w:val="-2"/>
          <w:w w:val="85"/>
        </w:rPr>
        <w:t>ENDING</w:t>
      </w:r>
    </w:p>
    <w:p>
      <w:pPr>
        <w:pStyle w:val="BodyText"/>
        <w:spacing w:line="242" w:lineRule="auto" w:before="68"/>
        <w:ind w:right="1440" w:firstLine="432"/>
        <w:jc w:val="both"/>
      </w:pPr>
      <w:r>
        <w:rPr/>
        <w:t>These case studies often end with a survival that Shakespeare denied</w:t>
      </w:r>
      <w:r>
        <w:rPr>
          <w:spacing w:val="-9"/>
        </w:rPr>
        <w:t> </w:t>
      </w:r>
      <w:r>
        <w:rPr/>
        <w:t>his</w:t>
      </w:r>
      <w:r>
        <w:rPr>
          <w:spacing w:val="-11"/>
        </w:rPr>
        <w:t> </w:t>
      </w:r>
      <w:r>
        <w:rPr/>
        <w:t>women.</w:t>
      </w:r>
      <w:r>
        <w:rPr>
          <w:spacing w:val="-9"/>
        </w:rPr>
        <w:t> </w:t>
      </w:r>
      <w:r>
        <w:rPr/>
        <w:t>Critics</w:t>
      </w:r>
      <w:r>
        <w:rPr>
          <w:spacing w:val="-13"/>
        </w:rPr>
        <w:t> </w:t>
      </w:r>
      <w:r>
        <w:rPr/>
        <w:t>of</w:t>
      </w:r>
      <w:r>
        <w:rPr>
          <w:spacing w:val="-12"/>
        </w:rPr>
        <w:t> </w:t>
      </w:r>
      <w:r>
        <w:rPr/>
        <w:t>these</w:t>
      </w:r>
      <w:r>
        <w:rPr>
          <w:spacing w:val="-11"/>
        </w:rPr>
        <w:t> </w:t>
      </w:r>
      <w:r>
        <w:rPr/>
        <w:t>adaptations</w:t>
      </w:r>
      <w:r>
        <w:rPr>
          <w:spacing w:val="-11"/>
        </w:rPr>
        <w:t> </w:t>
      </w:r>
      <w:r>
        <w:rPr/>
        <w:t>sometimes</w:t>
      </w:r>
      <w:r>
        <w:rPr>
          <w:spacing w:val="-11"/>
        </w:rPr>
        <w:t> </w:t>
      </w:r>
      <w:r>
        <w:rPr/>
        <w:t>ask</w:t>
      </w:r>
      <w:r>
        <w:rPr>
          <w:spacing w:val="-13"/>
        </w:rPr>
        <w:t> </w:t>
      </w:r>
      <w:r>
        <w:rPr/>
        <w:t>if</w:t>
      </w:r>
      <w:r>
        <w:rPr>
          <w:spacing w:val="-12"/>
        </w:rPr>
        <w:t> </w:t>
      </w:r>
      <w:r>
        <w:rPr/>
        <w:t>“fixing” the tragedy weakens the dramatic impact. However, from a feminist perspective, the original “impact” was built on the broken bodies of women;</w:t>
      </w:r>
      <w:r>
        <w:rPr>
          <w:spacing w:val="-12"/>
        </w:rPr>
        <w:t> </w:t>
      </w:r>
      <w:r>
        <w:rPr/>
        <w:t>therefore,</w:t>
      </w:r>
      <w:r>
        <w:rPr>
          <w:spacing w:val="-11"/>
        </w:rPr>
        <w:t> </w:t>
      </w:r>
      <w:r>
        <w:rPr/>
        <w:t>the</w:t>
      </w:r>
      <w:r>
        <w:rPr>
          <w:spacing w:val="-12"/>
        </w:rPr>
        <w:t> </w:t>
      </w:r>
      <w:r>
        <w:rPr/>
        <w:t>reimagining</w:t>
      </w:r>
      <w:r>
        <w:rPr>
          <w:spacing w:val="-13"/>
        </w:rPr>
        <w:t> </w:t>
      </w:r>
      <w:r>
        <w:rPr/>
        <w:t>is</w:t>
      </w:r>
      <w:r>
        <w:rPr>
          <w:spacing w:val="-11"/>
        </w:rPr>
        <w:t> </w:t>
      </w:r>
      <w:r>
        <w:rPr/>
        <w:t>a</w:t>
      </w:r>
      <w:r>
        <w:rPr>
          <w:spacing w:val="-10"/>
        </w:rPr>
        <w:t> </w:t>
      </w:r>
      <w:r>
        <w:rPr/>
        <w:t>necessary</w:t>
      </w:r>
      <w:r>
        <w:rPr>
          <w:spacing w:val="-13"/>
        </w:rPr>
        <w:t> </w:t>
      </w:r>
      <w:r>
        <w:rPr/>
        <w:t>moral</w:t>
      </w:r>
      <w:r>
        <w:rPr>
          <w:spacing w:val="-11"/>
        </w:rPr>
        <w:t> </w:t>
      </w:r>
      <w:r>
        <w:rPr/>
        <w:t>correction</w:t>
      </w:r>
      <w:r>
        <w:rPr>
          <w:spacing w:val="-11"/>
        </w:rPr>
        <w:t> </w:t>
      </w:r>
      <w:r>
        <w:rPr/>
        <w:t>rather than a literary betrayal.</w:t>
      </w:r>
    </w:p>
    <w:p>
      <w:pPr>
        <w:pStyle w:val="BodyText"/>
        <w:spacing w:line="242" w:lineRule="auto" w:before="56"/>
        <w:ind w:right="1437" w:firstLine="432"/>
        <w:jc w:val="both"/>
      </w:pPr>
      <w:r>
        <w:rPr/>
        <w:t>The concept of “appropriateness” serves as the ethical tightrope</w:t>
      </w:r>
      <w:r>
        <w:rPr>
          <w:spacing w:val="80"/>
        </w:rPr>
        <w:t> </w:t>
      </w:r>
      <w:r>
        <w:rPr/>
        <w:t>of modern Shakespearean studies. It transitions the conversation from “Is</w:t>
      </w:r>
      <w:r>
        <w:rPr>
          <w:spacing w:val="16"/>
        </w:rPr>
        <w:t> </w:t>
      </w:r>
      <w:r>
        <w:rPr/>
        <w:t>this</w:t>
      </w:r>
      <w:r>
        <w:rPr>
          <w:spacing w:val="16"/>
        </w:rPr>
        <w:t> </w:t>
      </w:r>
      <w:r>
        <w:rPr/>
        <w:t>a</w:t>
      </w:r>
      <w:r>
        <w:rPr>
          <w:spacing w:val="17"/>
        </w:rPr>
        <w:t> </w:t>
      </w:r>
      <w:r>
        <w:rPr/>
        <w:t>good</w:t>
      </w:r>
      <w:r>
        <w:rPr>
          <w:spacing w:val="20"/>
        </w:rPr>
        <w:t> </w:t>
      </w:r>
      <w:r>
        <w:rPr/>
        <w:t>play?”</w:t>
      </w:r>
      <w:r>
        <w:rPr>
          <w:spacing w:val="17"/>
        </w:rPr>
        <w:t> </w:t>
      </w:r>
      <w:r>
        <w:rPr/>
        <w:t>to</w:t>
      </w:r>
      <w:r>
        <w:rPr>
          <w:spacing w:val="18"/>
        </w:rPr>
        <w:t> </w:t>
      </w:r>
      <w:r>
        <w:rPr/>
        <w:t>“Does</w:t>
      </w:r>
      <w:r>
        <w:rPr>
          <w:spacing w:val="16"/>
        </w:rPr>
        <w:t> </w:t>
      </w:r>
      <w:r>
        <w:rPr/>
        <w:t>this</w:t>
      </w:r>
      <w:r>
        <w:rPr>
          <w:spacing w:val="16"/>
        </w:rPr>
        <w:t> </w:t>
      </w:r>
      <w:r>
        <w:rPr/>
        <w:t>adaptation have</w:t>
      </w:r>
      <w:r>
        <w:rPr>
          <w:spacing w:val="19"/>
        </w:rPr>
        <w:t> </w:t>
      </w:r>
      <w:r>
        <w:rPr/>
        <w:t>the</w:t>
      </w:r>
      <w:r>
        <w:rPr>
          <w:spacing w:val="16"/>
        </w:rPr>
        <w:t> </w:t>
      </w:r>
      <w:r>
        <w:rPr/>
        <w:t>right</w:t>
      </w:r>
      <w:r>
        <w:rPr>
          <w:spacing w:val="16"/>
        </w:rPr>
        <w:t> </w:t>
      </w:r>
      <w:r>
        <w:rPr/>
        <w:t>to</w:t>
      </w:r>
      <w:r>
        <w:rPr>
          <w:spacing w:val="18"/>
        </w:rPr>
        <w:t> </w:t>
      </w:r>
      <w:r>
        <w:rPr/>
        <w:t>exist in</w:t>
      </w:r>
      <w:r>
        <w:rPr>
          <w:spacing w:val="-9"/>
        </w:rPr>
        <w:t> </w:t>
      </w:r>
      <w:r>
        <w:rPr/>
        <w:t>this</w:t>
      </w:r>
      <w:r>
        <w:rPr>
          <w:spacing w:val="-9"/>
        </w:rPr>
        <w:t> </w:t>
      </w:r>
      <w:r>
        <w:rPr/>
        <w:t>form?”</w:t>
      </w:r>
      <w:r>
        <w:rPr>
          <w:spacing w:val="-9"/>
        </w:rPr>
        <w:t> </w:t>
      </w:r>
      <w:r>
        <w:rPr/>
        <w:t>Expanding</w:t>
      </w:r>
      <w:r>
        <w:rPr>
          <w:spacing w:val="-10"/>
        </w:rPr>
        <w:t> </w:t>
      </w:r>
      <w:r>
        <w:rPr/>
        <w:t>on</w:t>
      </w:r>
      <w:r>
        <w:rPr>
          <w:spacing w:val="-9"/>
        </w:rPr>
        <w:t> </w:t>
      </w:r>
      <w:r>
        <w:rPr/>
        <w:t>this</w:t>
      </w:r>
      <w:r>
        <w:rPr>
          <w:spacing w:val="-9"/>
        </w:rPr>
        <w:t> </w:t>
      </w:r>
      <w:r>
        <w:rPr/>
        <w:t>requires</w:t>
      </w:r>
      <w:r>
        <w:rPr>
          <w:spacing w:val="-9"/>
        </w:rPr>
        <w:t> </w:t>
      </w:r>
      <w:r>
        <w:rPr/>
        <w:t>looking</w:t>
      </w:r>
      <w:r>
        <w:rPr>
          <w:spacing w:val="-10"/>
        </w:rPr>
        <w:t> </w:t>
      </w:r>
      <w:r>
        <w:rPr/>
        <w:t>at</w:t>
      </w:r>
      <w:r>
        <w:rPr>
          <w:spacing w:val="-9"/>
        </w:rPr>
        <w:t> </w:t>
      </w:r>
      <w:r>
        <w:rPr/>
        <w:t>the</w:t>
      </w:r>
      <w:r>
        <w:rPr>
          <w:spacing w:val="-8"/>
        </w:rPr>
        <w:t> </w:t>
      </w:r>
      <w:r>
        <w:rPr/>
        <w:t>friction</w:t>
      </w:r>
      <w:r>
        <w:rPr>
          <w:spacing w:val="-9"/>
        </w:rPr>
        <w:t> </w:t>
      </w:r>
      <w:r>
        <w:rPr/>
        <w:t>between literary preservation</w:t>
      </w:r>
      <w:r>
        <w:rPr>
          <w:spacing w:val="40"/>
        </w:rPr>
        <w:t> </w:t>
      </w:r>
      <w:r>
        <w:rPr/>
        <w:t>and</w:t>
      </w:r>
      <w:r>
        <w:rPr>
          <w:spacing w:val="40"/>
        </w:rPr>
        <w:t> </w:t>
      </w:r>
      <w:r>
        <w:rPr/>
        <w:t>social</w:t>
      </w:r>
      <w:r>
        <w:rPr>
          <w:spacing w:val="40"/>
        </w:rPr>
        <w:t> </w:t>
      </w:r>
      <w:r>
        <w:rPr/>
        <w:t>evolution.</w:t>
      </w:r>
    </w:p>
    <w:p>
      <w:pPr>
        <w:pStyle w:val="Heading5"/>
        <w:numPr>
          <w:ilvl w:val="0"/>
          <w:numId w:val="55"/>
        </w:numPr>
        <w:tabs>
          <w:tab w:pos="1752" w:val="left" w:leader="none"/>
        </w:tabs>
        <w:spacing w:line="240" w:lineRule="auto" w:before="113" w:after="0"/>
        <w:ind w:left="1752" w:right="0" w:hanging="312"/>
        <w:jc w:val="left"/>
      </w:pPr>
      <w:r>
        <w:rPr/>
        <w:t>Cultural</w:t>
      </w:r>
      <w:r>
        <w:rPr>
          <w:spacing w:val="56"/>
          <w:w w:val="150"/>
        </w:rPr>
        <w:t> </w:t>
      </w:r>
      <w:r>
        <w:rPr/>
        <w:t>Sensitivity:</w:t>
      </w:r>
      <w:r>
        <w:rPr>
          <w:spacing w:val="58"/>
          <w:w w:val="150"/>
        </w:rPr>
        <w:t> </w:t>
      </w:r>
      <w:r>
        <w:rPr/>
        <w:t>The</w:t>
      </w:r>
      <w:r>
        <w:rPr>
          <w:spacing w:val="79"/>
        </w:rPr>
        <w:t> </w:t>
      </w:r>
      <w:r>
        <w:rPr/>
        <w:t>Ethics</w:t>
      </w:r>
      <w:r>
        <w:rPr>
          <w:spacing w:val="78"/>
        </w:rPr>
        <w:t> </w:t>
      </w:r>
      <w:r>
        <w:rPr/>
        <w:t>of</w:t>
      </w:r>
      <w:r>
        <w:rPr>
          <w:spacing w:val="59"/>
          <w:w w:val="150"/>
        </w:rPr>
        <w:t> </w:t>
      </w:r>
      <w:r>
        <w:rPr>
          <w:spacing w:val="-2"/>
        </w:rPr>
        <w:t>Relocation</w:t>
      </w:r>
    </w:p>
    <w:p>
      <w:pPr>
        <w:pStyle w:val="BodyText"/>
        <w:spacing w:line="249" w:lineRule="auto" w:before="71"/>
        <w:ind w:right="1441" w:firstLine="432"/>
        <w:jc w:val="both"/>
      </w:pPr>
      <w:r>
        <w:rPr/>
        <w:t>When we move a Shakespearean woman into a new cultural or ethnic setting, “appropriateness” becomes a question of whether the adaptation</w:t>
      </w:r>
      <w:r>
        <w:rPr>
          <w:spacing w:val="40"/>
        </w:rPr>
        <w:t> </w:t>
      </w:r>
      <w:r>
        <w:rPr/>
        <w:t>is</w:t>
      </w:r>
      <w:r>
        <w:rPr>
          <w:spacing w:val="40"/>
        </w:rPr>
        <w:t> </w:t>
      </w:r>
      <w:r>
        <w:rPr/>
        <w:t>honoring</w:t>
      </w:r>
      <w:r>
        <w:rPr>
          <w:spacing w:val="40"/>
        </w:rPr>
        <w:t> </w:t>
      </w:r>
      <w:r>
        <w:rPr/>
        <w:t>or</w:t>
      </w:r>
      <w:r>
        <w:rPr>
          <w:spacing w:val="40"/>
        </w:rPr>
        <w:t> </w:t>
      </w:r>
      <w:r>
        <w:rPr/>
        <w:t>harvesting</w:t>
      </w:r>
      <w:r>
        <w:rPr>
          <w:spacing w:val="40"/>
        </w:rPr>
        <w:t> </w:t>
      </w:r>
      <w:r>
        <w:rPr/>
        <w:t>that</w:t>
      </w:r>
      <w:r>
        <w:rPr>
          <w:spacing w:val="40"/>
        </w:rPr>
        <w:t> </w:t>
      </w:r>
      <w:r>
        <w:rPr/>
        <w:t>culture.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83936">
                <wp:simplePos x="0" y="0"/>
                <wp:positionH relativeFrom="page">
                  <wp:posOffset>2057400</wp:posOffset>
                </wp:positionH>
                <wp:positionV relativeFrom="paragraph">
                  <wp:posOffset>162604</wp:posOffset>
                </wp:positionV>
                <wp:extent cx="3657600" cy="12700"/>
                <wp:effectExtent l="0" t="0" r="0" b="0"/>
                <wp:wrapTopAndBottom/>
                <wp:docPr id="548" name="Graphic 548"/>
                <wp:cNvGraphicFramePr>
                  <a:graphicFrameLocks/>
                </wp:cNvGraphicFramePr>
                <a:graphic>
                  <a:graphicData uri="http://schemas.microsoft.com/office/word/2010/wordprocessingShape">
                    <wps:wsp>
                      <wps:cNvPr id="548" name="Graphic 54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32544;mso-wrap-distance-left:0;mso-wrap-distance-right:0" id="docshape543" filled="true" fillcolor="#000000" stroked="false">
                <v:fill type="solid"/>
                <w10:wrap type="topAndBottom"/>
              </v:rect>
            </w:pict>
          </mc:Fallback>
        </mc:AlternateContent>
      </w:r>
      <w:r>
        <w:rPr>
          <w:rFonts w:ascii="Verdana"/>
          <w:spacing w:val="-5"/>
          <w:sz w:val="18"/>
        </w:rPr>
        <w:t>262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56"/>
        </w:numPr>
        <w:tabs>
          <w:tab w:pos="2160" w:val="left" w:leader="none"/>
        </w:tabs>
        <w:spacing w:line="261" w:lineRule="auto" w:before="199" w:after="0"/>
        <w:ind w:left="2160" w:right="1437" w:hanging="240"/>
        <w:jc w:val="both"/>
        <w:rPr>
          <w:sz w:val="20"/>
        </w:rPr>
      </w:pPr>
      <w:r>
        <w:rPr>
          <w:sz w:val="20"/>
        </w:rPr>
        <w:t>The Burden of Representation: In setting </w:t>
      </w:r>
      <w:r>
        <w:rPr>
          <w:i/>
          <w:sz w:val="20"/>
        </w:rPr>
        <w:t>Othello </w:t>
      </w:r>
      <w:r>
        <w:rPr>
          <w:sz w:val="20"/>
        </w:rPr>
        <w:t>in a modern American high school (as seen in the film </w:t>
      </w:r>
      <w:r>
        <w:rPr>
          <w:i/>
          <w:sz w:val="20"/>
        </w:rPr>
        <w:t>O</w:t>
      </w:r>
      <w:r>
        <w:rPr>
          <w:sz w:val="20"/>
        </w:rPr>
        <w:t>), the character of </w:t>
      </w:r>
      <w:r>
        <w:rPr>
          <w:spacing w:val="10"/>
          <w:sz w:val="20"/>
        </w:rPr>
        <w:t>Desdemona</w:t>
      </w:r>
      <w:r>
        <w:rPr>
          <w:spacing w:val="10"/>
          <w:sz w:val="20"/>
        </w:rPr>
        <w:t> (Desi)</w:t>
      </w:r>
      <w:r>
        <w:rPr>
          <w:spacing w:val="10"/>
          <w:sz w:val="20"/>
        </w:rPr>
        <w:t> </w:t>
      </w:r>
      <w:r>
        <w:rPr>
          <w:sz w:val="20"/>
        </w:rPr>
        <w:t>is </w:t>
      </w:r>
      <w:r>
        <w:rPr>
          <w:spacing w:val="12"/>
          <w:sz w:val="20"/>
        </w:rPr>
        <w:t>re-</w:t>
      </w:r>
      <w:r>
        <w:rPr>
          <w:spacing w:val="11"/>
          <w:sz w:val="20"/>
        </w:rPr>
        <w:t>contextualized</w:t>
      </w:r>
      <w:r>
        <w:rPr>
          <w:spacing w:val="11"/>
          <w:sz w:val="20"/>
        </w:rPr>
        <w:t> </w:t>
      </w:r>
      <w:r>
        <w:rPr>
          <w:sz w:val="20"/>
        </w:rPr>
        <w:t>within the “appropriateness” of teen</w:t>
      </w:r>
      <w:r>
        <w:rPr>
          <w:spacing w:val="-2"/>
          <w:sz w:val="20"/>
        </w:rPr>
        <w:t> </w:t>
      </w:r>
      <w:r>
        <w:rPr>
          <w:sz w:val="20"/>
        </w:rPr>
        <w:t>domestic violence.</w:t>
      </w:r>
      <w:r>
        <w:rPr>
          <w:spacing w:val="-1"/>
          <w:sz w:val="20"/>
        </w:rPr>
        <w:t> </w:t>
      </w:r>
      <w:r>
        <w:rPr>
          <w:sz w:val="20"/>
        </w:rPr>
        <w:t>Critics ask:</w:t>
      </w:r>
      <w:r>
        <w:rPr>
          <w:spacing w:val="-1"/>
          <w:sz w:val="20"/>
        </w:rPr>
        <w:t> </w:t>
      </w:r>
      <w:r>
        <w:rPr>
          <w:sz w:val="20"/>
        </w:rPr>
        <w:t>Does this trivialize the original tragedy, or does it make the cultural nuance of “honor” more accessible to a demographic that doesn’t</w:t>
      </w:r>
      <w:r>
        <w:rPr>
          <w:spacing w:val="40"/>
          <w:sz w:val="20"/>
        </w:rPr>
        <w:t> </w:t>
      </w:r>
      <w:r>
        <w:rPr>
          <w:sz w:val="20"/>
        </w:rPr>
        <w:t>understand</w:t>
      </w:r>
      <w:r>
        <w:rPr>
          <w:spacing w:val="40"/>
          <w:sz w:val="20"/>
        </w:rPr>
        <w:t> </w:t>
      </w:r>
      <w:r>
        <w:rPr>
          <w:sz w:val="20"/>
        </w:rPr>
        <w:t>16th-century</w:t>
      </w:r>
      <w:r>
        <w:rPr>
          <w:spacing w:val="40"/>
          <w:sz w:val="20"/>
        </w:rPr>
        <w:t> </w:t>
      </w:r>
      <w:r>
        <w:rPr>
          <w:sz w:val="20"/>
        </w:rPr>
        <w:t>Venetian</w:t>
      </w:r>
      <w:r>
        <w:rPr>
          <w:spacing w:val="40"/>
          <w:sz w:val="20"/>
        </w:rPr>
        <w:t> </w:t>
      </w:r>
      <w:r>
        <w:rPr>
          <w:sz w:val="20"/>
        </w:rPr>
        <w:t>social</w:t>
      </w:r>
      <w:r>
        <w:rPr>
          <w:spacing w:val="40"/>
          <w:sz w:val="20"/>
        </w:rPr>
        <w:t> </w:t>
      </w:r>
      <w:r>
        <w:rPr>
          <w:sz w:val="20"/>
        </w:rPr>
        <w:t>codes?</w:t>
      </w:r>
    </w:p>
    <w:p>
      <w:pPr>
        <w:pStyle w:val="ListParagraph"/>
        <w:numPr>
          <w:ilvl w:val="0"/>
          <w:numId w:val="56"/>
        </w:numPr>
        <w:tabs>
          <w:tab w:pos="2160" w:val="left" w:leader="none"/>
        </w:tabs>
        <w:spacing w:line="261" w:lineRule="auto" w:before="53" w:after="0"/>
        <w:ind w:left="2160" w:right="1435" w:hanging="240"/>
        <w:jc w:val="both"/>
        <w:rPr>
          <w:sz w:val="20"/>
        </w:rPr>
      </w:pPr>
      <w:r>
        <w:rPr>
          <w:sz w:val="20"/>
        </w:rPr>
        <w:t>Aesthetic vs. Structural Change: True cultural sensitivity involves more than just changing the “skin” of the play. It </w:t>
      </w:r>
      <w:r>
        <w:rPr>
          <w:spacing w:val="-4"/>
          <w:sz w:val="20"/>
        </w:rPr>
        <w:t>requires</w:t>
      </w:r>
      <w:r>
        <w:rPr>
          <w:spacing w:val="-9"/>
          <w:sz w:val="20"/>
        </w:rPr>
        <w:t> </w:t>
      </w:r>
      <w:r>
        <w:rPr>
          <w:spacing w:val="-4"/>
          <w:sz w:val="20"/>
        </w:rPr>
        <w:t>adjusting</w:t>
      </w:r>
      <w:r>
        <w:rPr>
          <w:spacing w:val="-8"/>
          <w:sz w:val="20"/>
        </w:rPr>
        <w:t> </w:t>
      </w:r>
      <w:r>
        <w:rPr>
          <w:spacing w:val="-4"/>
          <w:sz w:val="20"/>
        </w:rPr>
        <w:t>the</w:t>
      </w:r>
      <w:r>
        <w:rPr>
          <w:spacing w:val="-8"/>
          <w:sz w:val="20"/>
        </w:rPr>
        <w:t> </w:t>
      </w:r>
      <w:r>
        <w:rPr>
          <w:spacing w:val="-4"/>
          <w:sz w:val="20"/>
        </w:rPr>
        <w:t>power</w:t>
      </w:r>
      <w:r>
        <w:rPr>
          <w:spacing w:val="-7"/>
          <w:sz w:val="20"/>
        </w:rPr>
        <w:t> </w:t>
      </w:r>
      <w:r>
        <w:rPr>
          <w:spacing w:val="-4"/>
          <w:sz w:val="20"/>
        </w:rPr>
        <w:t>dynamics.</w:t>
      </w:r>
      <w:r>
        <w:rPr>
          <w:spacing w:val="-5"/>
          <w:sz w:val="20"/>
        </w:rPr>
        <w:t> </w:t>
      </w:r>
      <w:r>
        <w:rPr>
          <w:spacing w:val="-4"/>
          <w:sz w:val="20"/>
        </w:rPr>
        <w:t>For</w:t>
      </w:r>
      <w:r>
        <w:rPr>
          <w:spacing w:val="-8"/>
          <w:sz w:val="20"/>
        </w:rPr>
        <w:t> </w:t>
      </w:r>
      <w:r>
        <w:rPr>
          <w:spacing w:val="-4"/>
          <w:sz w:val="20"/>
        </w:rPr>
        <w:t>example,</w:t>
      </w:r>
      <w:r>
        <w:rPr>
          <w:spacing w:val="-5"/>
          <w:sz w:val="20"/>
        </w:rPr>
        <w:t> </w:t>
      </w:r>
      <w:r>
        <w:rPr>
          <w:spacing w:val="-4"/>
          <w:sz w:val="20"/>
        </w:rPr>
        <w:t>a</w:t>
      </w:r>
      <w:r>
        <w:rPr>
          <w:spacing w:val="-8"/>
          <w:sz w:val="20"/>
        </w:rPr>
        <w:t> </w:t>
      </w:r>
      <w:r>
        <w:rPr>
          <w:spacing w:val="-4"/>
          <w:sz w:val="20"/>
        </w:rPr>
        <w:t>“culturally </w:t>
      </w:r>
      <w:r>
        <w:rPr>
          <w:sz w:val="20"/>
        </w:rPr>
        <w:t>appropriate” reimagining of </w:t>
      </w:r>
      <w:r>
        <w:rPr>
          <w:i/>
          <w:sz w:val="20"/>
        </w:rPr>
        <w:t>The Taming of the Shrew </w:t>
      </w:r>
      <w:r>
        <w:rPr>
          <w:sz w:val="20"/>
        </w:rPr>
        <w:t>in a modern Middle Eastern context would need to engage with specific local legal and social realities of marriage, rather than just</w:t>
      </w:r>
      <w:r>
        <w:rPr>
          <w:spacing w:val="40"/>
          <w:sz w:val="20"/>
        </w:rPr>
        <w:t> </w:t>
      </w:r>
      <w:r>
        <w:rPr>
          <w:sz w:val="20"/>
        </w:rPr>
        <w:t>translating</w:t>
      </w:r>
      <w:r>
        <w:rPr>
          <w:spacing w:val="40"/>
          <w:sz w:val="20"/>
        </w:rPr>
        <w:t> </w:t>
      </w:r>
      <w:r>
        <w:rPr>
          <w:sz w:val="20"/>
        </w:rPr>
        <w:t>the</w:t>
      </w:r>
      <w:r>
        <w:rPr>
          <w:spacing w:val="40"/>
          <w:sz w:val="20"/>
        </w:rPr>
        <w:t> </w:t>
      </w:r>
      <w:r>
        <w:rPr>
          <w:sz w:val="20"/>
        </w:rPr>
        <w:t>dialogue.</w:t>
      </w:r>
    </w:p>
    <w:p>
      <w:pPr>
        <w:pStyle w:val="Heading5"/>
        <w:numPr>
          <w:ilvl w:val="0"/>
          <w:numId w:val="55"/>
        </w:numPr>
        <w:tabs>
          <w:tab w:pos="1707" w:val="left" w:leader="none"/>
          <w:tab w:pos="1872" w:val="left" w:leader="none"/>
        </w:tabs>
        <w:spacing w:line="240" w:lineRule="auto" w:before="95" w:after="0"/>
        <w:ind w:left="1707" w:right="0" w:hanging="267"/>
        <w:jc w:val="left"/>
      </w:pPr>
      <w:r>
        <w:rPr>
          <w:w w:val="105"/>
        </w:rPr>
        <w:t>Moral</w:t>
      </w:r>
      <w:r>
        <w:rPr>
          <w:spacing w:val="32"/>
          <w:w w:val="105"/>
        </w:rPr>
        <w:t> </w:t>
      </w:r>
      <w:r>
        <w:rPr>
          <w:w w:val="105"/>
        </w:rPr>
        <w:t>Alignment:</w:t>
      </w:r>
      <w:r>
        <w:rPr>
          <w:spacing w:val="34"/>
          <w:w w:val="105"/>
        </w:rPr>
        <w:t> </w:t>
      </w:r>
      <w:r>
        <w:rPr>
          <w:w w:val="105"/>
        </w:rPr>
        <w:t>The</w:t>
      </w:r>
      <w:r>
        <w:rPr>
          <w:spacing w:val="30"/>
          <w:w w:val="105"/>
        </w:rPr>
        <w:t> </w:t>
      </w:r>
      <w:r>
        <w:rPr>
          <w:w w:val="105"/>
        </w:rPr>
        <w:t>“Intent”</w:t>
      </w:r>
      <w:r>
        <w:rPr>
          <w:spacing w:val="35"/>
          <w:w w:val="105"/>
        </w:rPr>
        <w:t> </w:t>
      </w:r>
      <w:r>
        <w:rPr>
          <w:w w:val="105"/>
        </w:rPr>
        <w:t>vs.</w:t>
      </w:r>
      <w:r>
        <w:rPr>
          <w:spacing w:val="34"/>
          <w:w w:val="105"/>
        </w:rPr>
        <w:t> </w:t>
      </w:r>
      <w:r>
        <w:rPr>
          <w:w w:val="105"/>
        </w:rPr>
        <w:t>“Impact”</w:t>
      </w:r>
      <w:r>
        <w:rPr>
          <w:spacing w:val="34"/>
          <w:w w:val="105"/>
        </w:rPr>
        <w:t> </w:t>
      </w:r>
      <w:r>
        <w:rPr>
          <w:spacing w:val="-2"/>
          <w:w w:val="105"/>
        </w:rPr>
        <w:t>Debate</w:t>
      </w:r>
    </w:p>
    <w:p>
      <w:pPr>
        <w:pStyle w:val="BodyText"/>
        <w:spacing w:line="249" w:lineRule="auto" w:before="74"/>
        <w:ind w:right="1437" w:firstLine="432"/>
        <w:jc w:val="both"/>
      </w:pPr>
      <w:r>
        <w:rPr/>
        <w:t>The most heated scholarly debates arise when an adaptation fundamentally alters Shakespeare’s “intent” to satisfy a modern moral agenda—often</w:t>
      </w:r>
      <w:r>
        <w:rPr>
          <w:spacing w:val="40"/>
        </w:rPr>
        <w:t> </w:t>
      </w:r>
      <w:r>
        <w:rPr/>
        <w:t>called</w:t>
      </w:r>
      <w:r>
        <w:rPr>
          <w:spacing w:val="40"/>
        </w:rPr>
        <w:t> </w:t>
      </w:r>
      <w:r>
        <w:rPr/>
        <w:t>“Corrective Adaptation.”</w:t>
      </w:r>
    </w:p>
    <w:p>
      <w:pPr>
        <w:pStyle w:val="ListParagraph"/>
        <w:numPr>
          <w:ilvl w:val="1"/>
          <w:numId w:val="55"/>
        </w:numPr>
        <w:tabs>
          <w:tab w:pos="2160" w:val="left" w:leader="none"/>
        </w:tabs>
        <w:spacing w:line="261" w:lineRule="auto" w:before="67" w:after="0"/>
        <w:ind w:left="2160" w:right="1437" w:hanging="240"/>
        <w:jc w:val="both"/>
        <w:rPr>
          <w:sz w:val="20"/>
        </w:rPr>
      </w:pPr>
      <w:r>
        <w:rPr>
          <w:sz w:val="20"/>
        </w:rPr>
        <w:t>The “Problem” Plays: Works like </w:t>
      </w:r>
      <w:r>
        <w:rPr>
          <w:i/>
          <w:sz w:val="20"/>
        </w:rPr>
        <w:t>The Merchant of Venice </w:t>
      </w:r>
      <w:r>
        <w:rPr>
          <w:sz w:val="20"/>
        </w:rPr>
        <w:t>or </w:t>
      </w:r>
      <w:r>
        <w:rPr>
          <w:i/>
          <w:sz w:val="20"/>
        </w:rPr>
        <w:t>The Taming of the Shrew </w:t>
      </w:r>
      <w:r>
        <w:rPr>
          <w:sz w:val="20"/>
        </w:rPr>
        <w:t>contain elements that are deeply uncomfortable for</w:t>
      </w:r>
      <w:r>
        <w:rPr>
          <w:spacing w:val="40"/>
          <w:sz w:val="20"/>
        </w:rPr>
        <w:t> </w:t>
      </w:r>
      <w:r>
        <w:rPr>
          <w:sz w:val="20"/>
        </w:rPr>
        <w:t>modern audiences.</w:t>
      </w:r>
    </w:p>
    <w:p>
      <w:pPr>
        <w:pStyle w:val="ListParagraph"/>
        <w:numPr>
          <w:ilvl w:val="2"/>
          <w:numId w:val="55"/>
        </w:numPr>
        <w:tabs>
          <w:tab w:pos="2520" w:val="left" w:leader="none"/>
        </w:tabs>
        <w:spacing w:line="261" w:lineRule="auto" w:before="54" w:after="0"/>
        <w:ind w:left="2520" w:right="1437" w:hanging="240"/>
        <w:jc w:val="both"/>
        <w:rPr>
          <w:sz w:val="20"/>
        </w:rPr>
      </w:pPr>
      <w:r>
        <w:rPr>
          <w:sz w:val="20"/>
        </w:rPr>
        <w:t>The </w:t>
      </w:r>
      <w:r>
        <w:rPr>
          <w:spacing w:val="9"/>
          <w:sz w:val="20"/>
        </w:rPr>
        <w:t>Argument</w:t>
      </w:r>
      <w:r>
        <w:rPr>
          <w:spacing w:val="9"/>
          <w:sz w:val="20"/>
        </w:rPr>
        <w:t> </w:t>
      </w:r>
      <w:r>
        <w:rPr>
          <w:sz w:val="20"/>
        </w:rPr>
        <w:t>for </w:t>
      </w:r>
      <w:r>
        <w:rPr>
          <w:spacing w:val="9"/>
          <w:sz w:val="20"/>
        </w:rPr>
        <w:t>Change:</w:t>
      </w:r>
      <w:r>
        <w:rPr>
          <w:spacing w:val="9"/>
          <w:sz w:val="20"/>
        </w:rPr>
        <w:t> </w:t>
      </w:r>
      <w:r>
        <w:rPr>
          <w:spacing w:val="11"/>
          <w:sz w:val="20"/>
        </w:rPr>
        <w:t>Creators</w:t>
      </w:r>
      <w:r>
        <w:rPr>
          <w:spacing w:val="11"/>
          <w:sz w:val="20"/>
        </w:rPr>
        <w:t> </w:t>
      </w:r>
      <w:r>
        <w:rPr>
          <w:sz w:val="20"/>
        </w:rPr>
        <w:t>argue it is “inappropriate” to present Portia or Katherina exactly as written because it reinforces historical misogyny or </w:t>
      </w:r>
      <w:r>
        <w:rPr>
          <w:spacing w:val="-2"/>
          <w:sz w:val="20"/>
        </w:rPr>
        <w:t>antisemitism.</w:t>
      </w:r>
    </w:p>
    <w:p>
      <w:pPr>
        <w:pStyle w:val="ListParagraph"/>
        <w:numPr>
          <w:ilvl w:val="2"/>
          <w:numId w:val="55"/>
        </w:numPr>
        <w:tabs>
          <w:tab w:pos="2520" w:val="left" w:leader="none"/>
        </w:tabs>
        <w:spacing w:line="261" w:lineRule="auto" w:before="56" w:after="0"/>
        <w:ind w:left="2520" w:right="1438" w:hanging="240"/>
        <w:jc w:val="both"/>
        <w:rPr>
          <w:sz w:val="20"/>
        </w:rPr>
      </w:pPr>
      <w:r>
        <w:rPr>
          <w:sz w:val="20"/>
        </w:rPr>
        <w:t>The</w:t>
      </w:r>
      <w:r>
        <w:rPr>
          <w:spacing w:val="-2"/>
          <w:sz w:val="20"/>
        </w:rPr>
        <w:t> </w:t>
      </w:r>
      <w:r>
        <w:rPr>
          <w:sz w:val="20"/>
        </w:rPr>
        <w:t>Argument for Preservation: Traditionalists argue that “cleaning up” Shakespeare is a form of erasure that prevents</w:t>
      </w:r>
      <w:r>
        <w:rPr>
          <w:spacing w:val="-2"/>
          <w:sz w:val="20"/>
        </w:rPr>
        <w:t> </w:t>
      </w:r>
      <w:r>
        <w:rPr>
          <w:sz w:val="20"/>
        </w:rPr>
        <w:t>us</w:t>
      </w:r>
      <w:r>
        <w:rPr>
          <w:spacing w:val="-2"/>
          <w:sz w:val="20"/>
        </w:rPr>
        <w:t> </w:t>
      </w:r>
      <w:r>
        <w:rPr>
          <w:sz w:val="20"/>
        </w:rPr>
        <w:t>from</w:t>
      </w:r>
      <w:r>
        <w:rPr>
          <w:spacing w:val="-5"/>
          <w:sz w:val="20"/>
        </w:rPr>
        <w:t> </w:t>
      </w:r>
      <w:r>
        <w:rPr>
          <w:sz w:val="20"/>
        </w:rPr>
        <w:t>confronting</w:t>
      </w:r>
      <w:r>
        <w:rPr>
          <w:spacing w:val="-2"/>
          <w:sz w:val="20"/>
        </w:rPr>
        <w:t> </w:t>
      </w:r>
      <w:r>
        <w:rPr>
          <w:sz w:val="20"/>
        </w:rPr>
        <w:t>the</w:t>
      </w:r>
      <w:r>
        <w:rPr>
          <w:spacing w:val="-2"/>
          <w:sz w:val="20"/>
        </w:rPr>
        <w:t> </w:t>
      </w:r>
      <w:r>
        <w:rPr>
          <w:sz w:val="20"/>
        </w:rPr>
        <w:t>uncomfortable</w:t>
      </w:r>
      <w:r>
        <w:rPr>
          <w:spacing w:val="-2"/>
          <w:sz w:val="20"/>
        </w:rPr>
        <w:t> </w:t>
      </w:r>
      <w:r>
        <w:rPr>
          <w:sz w:val="20"/>
        </w:rPr>
        <w:t>history</w:t>
      </w:r>
      <w:r>
        <w:rPr>
          <w:spacing w:val="-6"/>
          <w:sz w:val="20"/>
        </w:rPr>
        <w:t> </w:t>
      </w:r>
      <w:r>
        <w:rPr>
          <w:sz w:val="20"/>
        </w:rPr>
        <w:t>of Western</w:t>
      </w:r>
      <w:r>
        <w:rPr>
          <w:spacing w:val="40"/>
          <w:sz w:val="20"/>
        </w:rPr>
        <w:t> </w:t>
      </w:r>
      <w:r>
        <w:rPr>
          <w:sz w:val="20"/>
        </w:rPr>
        <w:t>thought.</w:t>
      </w:r>
    </w:p>
    <w:p>
      <w:pPr>
        <w:pStyle w:val="Heading5"/>
        <w:numPr>
          <w:ilvl w:val="0"/>
          <w:numId w:val="55"/>
        </w:numPr>
        <w:tabs>
          <w:tab w:pos="1720" w:val="left" w:leader="none"/>
          <w:tab w:pos="1872" w:val="left" w:leader="none"/>
        </w:tabs>
        <w:spacing w:line="240" w:lineRule="auto" w:before="98" w:after="0"/>
        <w:ind w:left="1720" w:right="0" w:hanging="280"/>
        <w:jc w:val="left"/>
      </w:pPr>
      <w:r>
        <w:rPr>
          <w:w w:val="105"/>
        </w:rPr>
        <w:t>Intersectionality</w:t>
      </w:r>
      <w:r>
        <w:rPr>
          <w:spacing w:val="32"/>
          <w:w w:val="105"/>
        </w:rPr>
        <w:t> </w:t>
      </w:r>
      <w:r>
        <w:rPr>
          <w:w w:val="105"/>
        </w:rPr>
        <w:t>as</w:t>
      </w:r>
      <w:r>
        <w:rPr>
          <w:spacing w:val="33"/>
          <w:w w:val="105"/>
        </w:rPr>
        <w:t> </w:t>
      </w:r>
      <w:r>
        <w:rPr>
          <w:w w:val="105"/>
        </w:rPr>
        <w:t>a</w:t>
      </w:r>
      <w:r>
        <w:rPr>
          <w:spacing w:val="38"/>
          <w:w w:val="105"/>
        </w:rPr>
        <w:t> </w:t>
      </w:r>
      <w:r>
        <w:rPr>
          <w:w w:val="105"/>
        </w:rPr>
        <w:t>Metric</w:t>
      </w:r>
      <w:r>
        <w:rPr>
          <w:spacing w:val="33"/>
          <w:w w:val="105"/>
        </w:rPr>
        <w:t> </w:t>
      </w:r>
      <w:r>
        <w:rPr>
          <w:w w:val="105"/>
        </w:rPr>
        <w:t>for</w:t>
      </w:r>
      <w:r>
        <w:rPr>
          <w:spacing w:val="33"/>
          <w:w w:val="105"/>
        </w:rPr>
        <w:t> </w:t>
      </w:r>
      <w:r>
        <w:rPr>
          <w:spacing w:val="-2"/>
          <w:w w:val="105"/>
        </w:rPr>
        <w:t>“Appropriateness”</w:t>
      </w:r>
    </w:p>
    <w:p>
      <w:pPr>
        <w:pStyle w:val="BodyText"/>
        <w:spacing w:line="249" w:lineRule="auto" w:before="72"/>
        <w:ind w:right="1441" w:firstLine="432"/>
        <w:jc w:val="both"/>
      </w:pPr>
      <w:r>
        <w:rPr/>
        <w:t>In the 21st century, an adaptation is often judged “appropriate” based on its intersectional depth. This means looking at Shakespeare’s women not just as “women,” but as individuals shaped by the overlap</w:t>
      </w:r>
      <w:r>
        <w:rPr>
          <w:spacing w:val="40"/>
        </w:rPr>
        <w:t> </w:t>
      </w:r>
      <w:r>
        <w:rPr/>
        <w:t>of race, class,</w:t>
      </w:r>
      <w:r>
        <w:rPr>
          <w:spacing w:val="40"/>
        </w:rPr>
        <w:t> </w:t>
      </w:r>
      <w:r>
        <w:rPr/>
        <w:t>and</w:t>
      </w:r>
      <w:r>
        <w:rPr>
          <w:spacing w:val="40"/>
        </w:rPr>
        <w:t> </w:t>
      </w:r>
      <w:r>
        <w:rPr/>
        <w:t>sexuality.</w:t>
      </w:r>
    </w:p>
    <w:p>
      <w:pPr>
        <w:pStyle w:val="ListParagraph"/>
        <w:numPr>
          <w:ilvl w:val="1"/>
          <w:numId w:val="55"/>
        </w:numPr>
        <w:tabs>
          <w:tab w:pos="2160" w:val="left" w:leader="none"/>
        </w:tabs>
        <w:spacing w:line="261" w:lineRule="auto" w:before="68" w:after="0"/>
        <w:ind w:left="2160" w:right="1440" w:hanging="240"/>
        <w:jc w:val="both"/>
        <w:rPr>
          <w:sz w:val="20"/>
        </w:rPr>
      </w:pPr>
      <w:r>
        <w:rPr>
          <w:sz w:val="20"/>
        </w:rPr>
        <w:t>Case Study: Miranda and Caliban: In a radical reimagining, is it</w:t>
      </w:r>
      <w:r>
        <w:rPr>
          <w:spacing w:val="70"/>
          <w:sz w:val="20"/>
        </w:rPr>
        <w:t> </w:t>
      </w:r>
      <w:r>
        <w:rPr>
          <w:sz w:val="20"/>
        </w:rPr>
        <w:t>“appropriate”</w:t>
      </w:r>
      <w:r>
        <w:rPr>
          <w:spacing w:val="71"/>
          <w:sz w:val="20"/>
        </w:rPr>
        <w:t> </w:t>
      </w:r>
      <w:r>
        <w:rPr>
          <w:sz w:val="20"/>
        </w:rPr>
        <w:t>to</w:t>
      </w:r>
      <w:r>
        <w:rPr>
          <w:spacing w:val="72"/>
          <w:sz w:val="20"/>
        </w:rPr>
        <w:t> </w:t>
      </w:r>
      <w:r>
        <w:rPr>
          <w:sz w:val="20"/>
        </w:rPr>
        <w:t>portray</w:t>
      </w:r>
      <w:r>
        <w:rPr>
          <w:spacing w:val="68"/>
          <w:sz w:val="20"/>
        </w:rPr>
        <w:t> </w:t>
      </w:r>
      <w:r>
        <w:rPr>
          <w:sz w:val="20"/>
        </w:rPr>
        <w:t>Miranda</w:t>
      </w:r>
      <w:r>
        <w:rPr>
          <w:spacing w:val="71"/>
          <w:sz w:val="20"/>
        </w:rPr>
        <w:t> </w:t>
      </w:r>
      <w:r>
        <w:rPr>
          <w:sz w:val="20"/>
        </w:rPr>
        <w:t>as</w:t>
      </w:r>
      <w:r>
        <w:rPr>
          <w:spacing w:val="68"/>
          <w:sz w:val="20"/>
        </w:rPr>
        <w:t> </w:t>
      </w:r>
      <w:r>
        <w:rPr>
          <w:sz w:val="20"/>
        </w:rPr>
        <w:t>an</w:t>
      </w:r>
      <w:r>
        <w:rPr>
          <w:spacing w:val="72"/>
          <w:sz w:val="20"/>
        </w:rPr>
        <w:t> </w:t>
      </w:r>
      <w:r>
        <w:rPr>
          <w:sz w:val="20"/>
        </w:rPr>
        <w:t>accomplice</w:t>
      </w:r>
      <w:r>
        <w:rPr>
          <w:spacing w:val="71"/>
          <w:sz w:val="20"/>
        </w:rPr>
        <w:t> </w:t>
      </w:r>
      <w:r>
        <w:rPr>
          <w:sz w:val="20"/>
        </w:rPr>
        <w:t>to</w:t>
      </w:r>
    </w:p>
    <w:p>
      <w:pPr>
        <w:pStyle w:val="ListParagraph"/>
        <w:spacing w:after="0" w:line="261" w:lineRule="auto"/>
        <w:jc w:val="both"/>
        <w:rPr>
          <w:sz w:val="20"/>
        </w:rPr>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784448">
                <wp:simplePos x="0" y="0"/>
                <wp:positionH relativeFrom="page">
                  <wp:posOffset>2065020</wp:posOffset>
                </wp:positionH>
                <wp:positionV relativeFrom="paragraph">
                  <wp:posOffset>795020</wp:posOffset>
                </wp:positionV>
                <wp:extent cx="3657600" cy="12700"/>
                <wp:effectExtent l="0" t="0" r="0" b="0"/>
                <wp:wrapTopAndBottom/>
                <wp:docPr id="549" name="Graphic 549"/>
                <wp:cNvGraphicFramePr>
                  <a:graphicFrameLocks/>
                </wp:cNvGraphicFramePr>
                <a:graphic>
                  <a:graphicData uri="http://schemas.microsoft.com/office/word/2010/wordprocessingShape">
                    <wps:wsp>
                      <wps:cNvPr id="549" name="Graphic 54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32032;mso-wrap-distance-left:0;mso-wrap-distance-right:0" id="docshape544" filled="true" fillcolor="#000000" stroked="false">
                <v:fill type="solid"/>
                <w10:wrap type="topAndBottom"/>
              </v:rect>
            </w:pict>
          </mc:Fallback>
        </mc:AlternateContent>
      </w:r>
      <w:r>
        <w:rPr>
          <w:rFonts w:ascii="Verdana" w:hAnsi="Verdana"/>
          <w:spacing w:val="-2"/>
          <w:sz w:val="18"/>
        </w:rPr>
        <w:t>Reimagining</w:t>
      </w:r>
      <w:r>
        <w:rPr>
          <w:rFonts w:ascii="Verdana" w:hAnsi="Verdana"/>
          <w:spacing w:val="14"/>
          <w:sz w:val="18"/>
        </w:rPr>
        <w:t> </w:t>
      </w:r>
      <w:r>
        <w:rPr>
          <w:rFonts w:ascii="Verdana" w:hAnsi="Verdana"/>
          <w:spacing w:val="-2"/>
          <w:sz w:val="18"/>
        </w:rPr>
        <w:t>Shakespeare’s</w:t>
      </w:r>
      <w:r>
        <w:rPr>
          <w:rFonts w:ascii="Verdana" w:hAnsi="Verdana"/>
          <w:spacing w:val="13"/>
          <w:sz w:val="18"/>
        </w:rPr>
        <w:t> </w:t>
      </w:r>
      <w:r>
        <w:rPr>
          <w:rFonts w:ascii="Verdana" w:hAnsi="Verdana"/>
          <w:spacing w:val="-2"/>
          <w:sz w:val="18"/>
        </w:rPr>
        <w:t>Women:</w:t>
      </w:r>
      <w:r>
        <w:rPr>
          <w:rFonts w:ascii="Verdana" w:hAnsi="Verdana"/>
          <w:spacing w:val="14"/>
          <w:sz w:val="18"/>
        </w:rPr>
        <w:t> </w:t>
      </w:r>
      <w:r>
        <w:rPr>
          <w:rFonts w:ascii="Verdana" w:hAnsi="Verdana"/>
          <w:spacing w:val="-2"/>
          <w:sz w:val="18"/>
        </w:rPr>
        <w:t>Adaptations</w:t>
      </w:r>
      <w:r>
        <w:rPr>
          <w:rFonts w:ascii="Verdana" w:hAnsi="Verdana"/>
          <w:spacing w:val="13"/>
          <w:sz w:val="18"/>
        </w:rPr>
        <w:t> </w:t>
      </w:r>
      <w:r>
        <w:rPr>
          <w:rFonts w:ascii="Verdana" w:hAnsi="Verdana"/>
          <w:spacing w:val="-2"/>
          <w:sz w:val="18"/>
        </w:rPr>
        <w:t>and...</w:t>
      </w:r>
      <w:r>
        <w:rPr>
          <w:sz w:val="18"/>
        </w:rPr>
        <w:tab/>
      </w:r>
      <w:r>
        <w:rPr>
          <w:rFonts w:ascii="Verdana" w:hAnsi="Verdana"/>
          <w:spacing w:val="-5"/>
          <w:sz w:val="18"/>
        </w:rPr>
        <w:t>263</w:t>
      </w:r>
    </w:p>
    <w:p>
      <w:pPr>
        <w:pStyle w:val="BodyText"/>
        <w:spacing w:line="261" w:lineRule="auto" w:before="199"/>
        <w:ind w:left="2160" w:right="1439"/>
        <w:jc w:val="both"/>
      </w:pPr>
      <w:r>
        <w:rPr/>
        <w:t>Prospero’s colonial rule rather than an innocent girl? Modern intersectional readings often suggest that a “feminist” version </w:t>
      </w:r>
      <w:r>
        <w:rPr>
          <w:spacing w:val="-2"/>
        </w:rPr>
        <w:t>of</w:t>
      </w:r>
      <w:r>
        <w:rPr>
          <w:spacing w:val="-9"/>
        </w:rPr>
        <w:t> </w:t>
      </w:r>
      <w:r>
        <w:rPr>
          <w:i/>
          <w:spacing w:val="-2"/>
        </w:rPr>
        <w:t>The</w:t>
      </w:r>
      <w:r>
        <w:rPr>
          <w:i/>
          <w:spacing w:val="-8"/>
        </w:rPr>
        <w:t> </w:t>
      </w:r>
      <w:r>
        <w:rPr>
          <w:i/>
          <w:spacing w:val="-2"/>
        </w:rPr>
        <w:t>Tempest</w:t>
      </w:r>
      <w:r>
        <w:rPr>
          <w:i/>
          <w:spacing w:val="-3"/>
        </w:rPr>
        <w:t> </w:t>
      </w:r>
      <w:r>
        <w:rPr>
          <w:spacing w:val="-2"/>
        </w:rPr>
        <w:t>is</w:t>
      </w:r>
      <w:r>
        <w:rPr>
          <w:spacing w:val="-8"/>
        </w:rPr>
        <w:t> </w:t>
      </w:r>
      <w:r>
        <w:rPr>
          <w:spacing w:val="-2"/>
        </w:rPr>
        <w:t>only</w:t>
      </w:r>
      <w:r>
        <w:rPr>
          <w:spacing w:val="-10"/>
        </w:rPr>
        <w:t> </w:t>
      </w:r>
      <w:r>
        <w:rPr>
          <w:spacing w:val="-2"/>
        </w:rPr>
        <w:t>appropriate</w:t>
      </w:r>
      <w:r>
        <w:rPr>
          <w:spacing w:val="-4"/>
        </w:rPr>
        <w:t> </w:t>
      </w:r>
      <w:r>
        <w:rPr>
          <w:spacing w:val="-2"/>
        </w:rPr>
        <w:t>if</w:t>
      </w:r>
      <w:r>
        <w:rPr>
          <w:spacing w:val="-8"/>
        </w:rPr>
        <w:t> </w:t>
      </w:r>
      <w:r>
        <w:rPr>
          <w:spacing w:val="-2"/>
        </w:rPr>
        <w:t>it</w:t>
      </w:r>
      <w:r>
        <w:rPr>
          <w:spacing w:val="-8"/>
        </w:rPr>
        <w:t> </w:t>
      </w:r>
      <w:r>
        <w:rPr>
          <w:spacing w:val="-2"/>
        </w:rPr>
        <w:t>also</w:t>
      </w:r>
      <w:r>
        <w:rPr>
          <w:spacing w:val="-6"/>
        </w:rPr>
        <w:t> </w:t>
      </w:r>
      <w:r>
        <w:rPr>
          <w:spacing w:val="-2"/>
        </w:rPr>
        <w:t>addresses</w:t>
      </w:r>
      <w:r>
        <w:rPr>
          <w:spacing w:val="-8"/>
        </w:rPr>
        <w:t> </w:t>
      </w:r>
      <w:r>
        <w:rPr>
          <w:spacing w:val="-2"/>
        </w:rPr>
        <w:t>Miranda’s </w:t>
      </w:r>
      <w:r>
        <w:rPr/>
        <w:t>privilege relative to Caliban.</w:t>
      </w:r>
    </w:p>
    <w:p>
      <w:pPr>
        <w:pStyle w:val="ListParagraph"/>
        <w:numPr>
          <w:ilvl w:val="1"/>
          <w:numId w:val="55"/>
        </w:numPr>
        <w:tabs>
          <w:tab w:pos="2160" w:val="left" w:leader="none"/>
        </w:tabs>
        <w:spacing w:line="261" w:lineRule="auto" w:before="56" w:after="0"/>
        <w:ind w:left="2160" w:right="1437" w:hanging="240"/>
        <w:jc w:val="both"/>
        <w:rPr>
          <w:sz w:val="20"/>
        </w:rPr>
      </w:pPr>
      <w:r>
        <w:rPr>
          <w:spacing w:val="-2"/>
          <w:sz w:val="20"/>
        </w:rPr>
        <w:t>The</w:t>
      </w:r>
      <w:r>
        <w:rPr>
          <w:spacing w:val="-11"/>
          <w:sz w:val="20"/>
        </w:rPr>
        <w:t> </w:t>
      </w:r>
      <w:r>
        <w:rPr>
          <w:spacing w:val="-2"/>
          <w:sz w:val="20"/>
        </w:rPr>
        <w:t>Living</w:t>
      </w:r>
      <w:r>
        <w:rPr>
          <w:spacing w:val="-10"/>
          <w:sz w:val="20"/>
        </w:rPr>
        <w:t> </w:t>
      </w:r>
      <w:r>
        <w:rPr>
          <w:spacing w:val="-2"/>
          <w:sz w:val="20"/>
        </w:rPr>
        <w:t>Text:</w:t>
      </w:r>
      <w:r>
        <w:rPr>
          <w:spacing w:val="-11"/>
          <w:sz w:val="20"/>
        </w:rPr>
        <w:t> </w:t>
      </w:r>
      <w:r>
        <w:rPr>
          <w:spacing w:val="-2"/>
          <w:sz w:val="20"/>
        </w:rPr>
        <w:t>Critics</w:t>
      </w:r>
      <w:r>
        <w:rPr>
          <w:spacing w:val="-10"/>
          <w:sz w:val="20"/>
        </w:rPr>
        <w:t> </w:t>
      </w:r>
      <w:r>
        <w:rPr>
          <w:spacing w:val="-2"/>
          <w:sz w:val="20"/>
        </w:rPr>
        <w:t>who</w:t>
      </w:r>
      <w:r>
        <w:rPr>
          <w:spacing w:val="-11"/>
          <w:sz w:val="20"/>
        </w:rPr>
        <w:t> </w:t>
      </w:r>
      <w:r>
        <w:rPr>
          <w:spacing w:val="-2"/>
          <w:sz w:val="20"/>
        </w:rPr>
        <w:t>support</w:t>
      </w:r>
      <w:r>
        <w:rPr>
          <w:spacing w:val="-10"/>
          <w:sz w:val="20"/>
        </w:rPr>
        <w:t> </w:t>
      </w:r>
      <w:r>
        <w:rPr>
          <w:spacing w:val="-2"/>
          <w:sz w:val="20"/>
        </w:rPr>
        <w:t>radical</w:t>
      </w:r>
      <w:r>
        <w:rPr>
          <w:spacing w:val="-11"/>
          <w:sz w:val="20"/>
        </w:rPr>
        <w:t> </w:t>
      </w:r>
      <w:r>
        <w:rPr>
          <w:spacing w:val="-2"/>
          <w:sz w:val="20"/>
        </w:rPr>
        <w:t>appropriation</w:t>
      </w:r>
      <w:r>
        <w:rPr>
          <w:spacing w:val="-10"/>
          <w:sz w:val="20"/>
        </w:rPr>
        <w:t> </w:t>
      </w:r>
      <w:r>
        <w:rPr>
          <w:spacing w:val="-2"/>
          <w:sz w:val="20"/>
        </w:rPr>
        <w:t>argue </w:t>
      </w:r>
      <w:r>
        <w:rPr>
          <w:sz w:val="20"/>
        </w:rPr>
        <w:t>that</w:t>
      </w:r>
      <w:r>
        <w:rPr>
          <w:spacing w:val="-4"/>
          <w:sz w:val="20"/>
        </w:rPr>
        <w:t> </w:t>
      </w:r>
      <w:r>
        <w:rPr>
          <w:sz w:val="20"/>
        </w:rPr>
        <w:t>Shakespeare</w:t>
      </w:r>
      <w:r>
        <w:rPr>
          <w:spacing w:val="-1"/>
          <w:sz w:val="20"/>
        </w:rPr>
        <w:t> </w:t>
      </w:r>
      <w:r>
        <w:rPr>
          <w:sz w:val="20"/>
        </w:rPr>
        <w:t>himself</w:t>
      </w:r>
      <w:r>
        <w:rPr>
          <w:spacing w:val="-5"/>
          <w:sz w:val="20"/>
        </w:rPr>
        <w:t> </w:t>
      </w:r>
      <w:r>
        <w:rPr>
          <w:sz w:val="20"/>
        </w:rPr>
        <w:t>was</w:t>
      </w:r>
      <w:r>
        <w:rPr>
          <w:spacing w:val="-5"/>
          <w:sz w:val="20"/>
        </w:rPr>
        <w:t> </w:t>
      </w:r>
      <w:r>
        <w:rPr>
          <w:sz w:val="20"/>
        </w:rPr>
        <w:t>an</w:t>
      </w:r>
      <w:r>
        <w:rPr>
          <w:spacing w:val="-5"/>
          <w:sz w:val="20"/>
        </w:rPr>
        <w:t> </w:t>
      </w:r>
      <w:r>
        <w:rPr>
          <w:sz w:val="20"/>
        </w:rPr>
        <w:t>appropriator (borrowing</w:t>
      </w:r>
      <w:r>
        <w:rPr>
          <w:spacing w:val="-5"/>
          <w:sz w:val="20"/>
        </w:rPr>
        <w:t> </w:t>
      </w:r>
      <w:r>
        <w:rPr>
          <w:sz w:val="20"/>
        </w:rPr>
        <w:t>from Plutarch, Holinshed, and Italian</w:t>
      </w:r>
      <w:r>
        <w:rPr>
          <w:spacing w:val="-3"/>
          <w:sz w:val="20"/>
        </w:rPr>
        <w:t> </w:t>
      </w:r>
      <w:r>
        <w:rPr>
          <w:sz w:val="20"/>
        </w:rPr>
        <w:t>novellas). Therefore,</w:t>
      </w:r>
      <w:r>
        <w:rPr>
          <w:spacing w:val="-1"/>
          <w:sz w:val="20"/>
        </w:rPr>
        <w:t> </w:t>
      </w:r>
      <w:r>
        <w:rPr>
          <w:sz w:val="20"/>
        </w:rPr>
        <w:t>the most “appropriate” way to honor him</w:t>
      </w:r>
      <w:r>
        <w:rPr>
          <w:spacing w:val="-1"/>
          <w:sz w:val="20"/>
        </w:rPr>
        <w:t> </w:t>
      </w:r>
      <w:r>
        <w:rPr>
          <w:sz w:val="20"/>
        </w:rPr>
        <w:t>is to continue that tradition of theft</w:t>
      </w:r>
      <w:r>
        <w:rPr>
          <w:spacing w:val="40"/>
          <w:sz w:val="20"/>
        </w:rPr>
        <w:t> </w:t>
      </w:r>
      <w:r>
        <w:rPr>
          <w:sz w:val="20"/>
        </w:rPr>
        <w:t>and</w:t>
      </w:r>
      <w:r>
        <w:rPr>
          <w:spacing w:val="40"/>
          <w:sz w:val="20"/>
        </w:rPr>
        <w:t> </w:t>
      </w:r>
      <w:r>
        <w:rPr>
          <w:sz w:val="20"/>
        </w:rPr>
        <w:t>transformation.</w:t>
      </w:r>
    </w:p>
    <w:p>
      <w:pPr>
        <w:pStyle w:val="Heading5"/>
        <w:numPr>
          <w:ilvl w:val="0"/>
          <w:numId w:val="55"/>
        </w:numPr>
        <w:tabs>
          <w:tab w:pos="1745" w:val="left" w:leader="none"/>
        </w:tabs>
        <w:spacing w:line="240" w:lineRule="auto" w:before="97" w:after="0"/>
        <w:ind w:left="1745" w:right="0" w:hanging="305"/>
        <w:jc w:val="left"/>
      </w:pPr>
      <w:r>
        <w:rPr>
          <w:w w:val="110"/>
        </w:rPr>
        <w:t>The</w:t>
      </w:r>
      <w:r>
        <w:rPr>
          <w:spacing w:val="51"/>
          <w:w w:val="110"/>
        </w:rPr>
        <w:t> </w:t>
      </w:r>
      <w:r>
        <w:rPr>
          <w:w w:val="110"/>
        </w:rPr>
        <w:t>“Dying</w:t>
      </w:r>
      <w:r>
        <w:rPr>
          <w:spacing w:val="51"/>
          <w:w w:val="110"/>
        </w:rPr>
        <w:t> </w:t>
      </w:r>
      <w:r>
        <w:rPr>
          <w:w w:val="110"/>
        </w:rPr>
        <w:t>Shakespeare”</w:t>
      </w:r>
      <w:r>
        <w:rPr>
          <w:spacing w:val="51"/>
          <w:w w:val="110"/>
        </w:rPr>
        <w:t> </w:t>
      </w:r>
      <w:r>
        <w:rPr>
          <w:spacing w:val="-2"/>
          <w:w w:val="110"/>
        </w:rPr>
        <w:t>Paradigm</w:t>
      </w:r>
    </w:p>
    <w:p>
      <w:pPr>
        <w:pStyle w:val="BodyText"/>
        <w:spacing w:line="249" w:lineRule="auto" w:before="72"/>
        <w:ind w:right="1438" w:firstLine="432"/>
        <w:jc w:val="both"/>
      </w:pPr>
      <w:r>
        <w:rPr/>
        <w:t>The expansion of this topic hinges on the fear of cultural irrelevance. If Shakespeare is not reimagined, he becomes a museum piece—beautiful,</w:t>
      </w:r>
      <w:r>
        <w:rPr>
          <w:spacing w:val="40"/>
        </w:rPr>
        <w:t> </w:t>
      </w:r>
      <w:r>
        <w:rPr/>
        <w:t>but</w:t>
      </w:r>
      <w:r>
        <w:rPr>
          <w:spacing w:val="40"/>
        </w:rPr>
        <w:t> </w:t>
      </w:r>
      <w:r>
        <w:rPr/>
        <w:t>cold</w:t>
      </w:r>
      <w:r>
        <w:rPr>
          <w:spacing w:val="40"/>
        </w:rPr>
        <w:t> </w:t>
      </w:r>
      <w:r>
        <w:rPr/>
        <w:t>and</w:t>
      </w:r>
      <w:r>
        <w:rPr>
          <w:spacing w:val="40"/>
        </w:rPr>
        <w:t> </w:t>
      </w:r>
      <w:r>
        <w:rPr/>
        <w:t>untouchable.</w:t>
      </w:r>
    </w:p>
    <w:p>
      <w:pPr>
        <w:pStyle w:val="BodyText"/>
        <w:spacing w:before="10"/>
        <w:ind w:left="0"/>
        <w:rPr>
          <w:sz w:val="5"/>
        </w:rPr>
      </w:pPr>
    </w:p>
    <w:tbl>
      <w:tblPr>
        <w:tblW w:w="0" w:type="auto"/>
        <w:jc w:val="left"/>
        <w:tblInd w:w="1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60"/>
        <w:gridCol w:w="1283"/>
        <w:gridCol w:w="347"/>
        <w:gridCol w:w="1509"/>
        <w:gridCol w:w="570"/>
      </w:tblGrid>
      <w:tr>
        <w:trPr>
          <w:trHeight w:val="164" w:hRule="atLeast"/>
        </w:trPr>
        <w:tc>
          <w:tcPr>
            <w:tcW w:w="1460" w:type="dxa"/>
            <w:tcBorders>
              <w:right w:val="single" w:sz="6" w:space="0" w:color="000000"/>
            </w:tcBorders>
          </w:tcPr>
          <w:p>
            <w:pPr>
              <w:pStyle w:val="TableParagraph"/>
              <w:spacing w:line="139" w:lineRule="exact" w:before="5"/>
              <w:rPr>
                <w:b/>
                <w:sz w:val="14"/>
              </w:rPr>
            </w:pPr>
            <w:r>
              <w:rPr>
                <w:b/>
                <w:w w:val="105"/>
                <w:sz w:val="14"/>
              </w:rPr>
              <w:t>Type</w:t>
            </w:r>
            <w:r>
              <w:rPr>
                <w:b/>
                <w:spacing w:val="-3"/>
                <w:w w:val="105"/>
                <w:sz w:val="14"/>
              </w:rPr>
              <w:t> </w:t>
            </w:r>
            <w:r>
              <w:rPr>
                <w:b/>
                <w:w w:val="105"/>
                <w:sz w:val="14"/>
              </w:rPr>
              <w:t>of</w:t>
            </w:r>
            <w:r>
              <w:rPr>
                <w:b/>
                <w:spacing w:val="-4"/>
                <w:w w:val="105"/>
                <w:sz w:val="14"/>
              </w:rPr>
              <w:t> </w:t>
            </w:r>
            <w:r>
              <w:rPr>
                <w:b/>
                <w:spacing w:val="-2"/>
                <w:w w:val="105"/>
                <w:sz w:val="14"/>
              </w:rPr>
              <w:t>Shakespeare</w:t>
            </w:r>
          </w:p>
        </w:tc>
        <w:tc>
          <w:tcPr>
            <w:tcW w:w="1630" w:type="dxa"/>
            <w:gridSpan w:val="2"/>
            <w:tcBorders>
              <w:left w:val="single" w:sz="6" w:space="0" w:color="000000"/>
            </w:tcBorders>
          </w:tcPr>
          <w:p>
            <w:pPr>
              <w:pStyle w:val="TableParagraph"/>
              <w:spacing w:line="139" w:lineRule="exact" w:before="5"/>
              <w:ind w:left="65"/>
              <w:rPr>
                <w:b/>
                <w:sz w:val="14"/>
              </w:rPr>
            </w:pPr>
            <w:r>
              <w:rPr>
                <w:b/>
                <w:spacing w:val="-2"/>
                <w:w w:val="105"/>
                <w:sz w:val="14"/>
              </w:rPr>
              <w:t>Strategy</w:t>
            </w:r>
          </w:p>
        </w:tc>
        <w:tc>
          <w:tcPr>
            <w:tcW w:w="2079" w:type="dxa"/>
            <w:gridSpan w:val="2"/>
          </w:tcPr>
          <w:p>
            <w:pPr>
              <w:pStyle w:val="TableParagraph"/>
              <w:spacing w:line="139" w:lineRule="exact" w:before="5"/>
              <w:ind w:left="67"/>
              <w:rPr>
                <w:b/>
                <w:sz w:val="14"/>
              </w:rPr>
            </w:pPr>
            <w:r>
              <w:rPr>
                <w:b/>
                <w:w w:val="105"/>
                <w:sz w:val="14"/>
              </w:rPr>
              <w:t>Audience</w:t>
            </w:r>
            <w:r>
              <w:rPr>
                <w:b/>
                <w:spacing w:val="-9"/>
                <w:w w:val="105"/>
                <w:sz w:val="14"/>
              </w:rPr>
              <w:t> </w:t>
            </w:r>
            <w:r>
              <w:rPr>
                <w:b/>
                <w:spacing w:val="-2"/>
                <w:w w:val="105"/>
                <w:sz w:val="14"/>
              </w:rPr>
              <w:t>Impact</w:t>
            </w:r>
          </w:p>
        </w:tc>
      </w:tr>
      <w:tr>
        <w:trPr>
          <w:trHeight w:val="333" w:hRule="atLeast"/>
        </w:trPr>
        <w:tc>
          <w:tcPr>
            <w:tcW w:w="1460" w:type="dxa"/>
            <w:tcBorders>
              <w:right w:val="single" w:sz="6" w:space="0" w:color="000000"/>
            </w:tcBorders>
          </w:tcPr>
          <w:p>
            <w:pPr>
              <w:pStyle w:val="TableParagraph"/>
              <w:tabs>
                <w:tab w:pos="848" w:val="left" w:leader="none"/>
              </w:tabs>
              <w:spacing w:line="168" w:lineRule="exact"/>
              <w:ind w:right="50"/>
              <w:rPr>
                <w:b/>
                <w:sz w:val="14"/>
              </w:rPr>
            </w:pPr>
            <w:r>
              <w:rPr>
                <w:b/>
                <w:spacing w:val="-4"/>
                <w:w w:val="105"/>
                <w:sz w:val="14"/>
              </w:rPr>
              <w:t>The</w:t>
            </w:r>
            <w:r>
              <w:rPr>
                <w:b/>
                <w:sz w:val="14"/>
              </w:rPr>
              <w:tab/>
            </w:r>
            <w:r>
              <w:rPr>
                <w:b/>
                <w:spacing w:val="-2"/>
                <w:w w:val="105"/>
                <w:sz w:val="14"/>
              </w:rPr>
              <w:t>Museum</w:t>
            </w:r>
            <w:r>
              <w:rPr>
                <w:b/>
                <w:spacing w:val="40"/>
                <w:w w:val="105"/>
                <w:sz w:val="14"/>
              </w:rPr>
              <w:t> </w:t>
            </w:r>
            <w:r>
              <w:rPr>
                <w:b/>
                <w:spacing w:val="-2"/>
                <w:w w:val="105"/>
                <w:sz w:val="14"/>
              </w:rPr>
              <w:t>Shakespeare</w:t>
            </w:r>
          </w:p>
        </w:tc>
        <w:tc>
          <w:tcPr>
            <w:tcW w:w="1283" w:type="dxa"/>
            <w:tcBorders>
              <w:left w:val="single" w:sz="6" w:space="0" w:color="000000"/>
              <w:right w:val="nil"/>
            </w:tcBorders>
          </w:tcPr>
          <w:p>
            <w:pPr>
              <w:pStyle w:val="TableParagraph"/>
              <w:tabs>
                <w:tab w:pos="619" w:val="left" w:leader="none"/>
              </w:tabs>
              <w:spacing w:before="1"/>
              <w:ind w:left="65"/>
              <w:rPr>
                <w:sz w:val="14"/>
              </w:rPr>
            </w:pPr>
            <w:r>
              <w:rPr>
                <w:spacing w:val="-2"/>
                <w:w w:val="105"/>
                <w:sz w:val="14"/>
              </w:rPr>
              <w:t>Strict</w:t>
            </w:r>
            <w:r>
              <w:rPr>
                <w:sz w:val="14"/>
              </w:rPr>
              <w:tab/>
            </w:r>
            <w:r>
              <w:rPr>
                <w:spacing w:val="-2"/>
                <w:w w:val="105"/>
                <w:sz w:val="14"/>
              </w:rPr>
              <w:t>adherence</w:t>
            </w:r>
          </w:p>
          <w:p>
            <w:pPr>
              <w:pStyle w:val="TableParagraph"/>
              <w:spacing w:line="142" w:lineRule="exact" w:before="9"/>
              <w:ind w:left="65"/>
              <w:rPr>
                <w:sz w:val="14"/>
              </w:rPr>
            </w:pPr>
            <w:r>
              <w:rPr>
                <w:spacing w:val="-2"/>
                <w:w w:val="105"/>
                <w:sz w:val="14"/>
              </w:rPr>
              <w:t>text/period.</w:t>
            </w:r>
          </w:p>
        </w:tc>
        <w:tc>
          <w:tcPr>
            <w:tcW w:w="347" w:type="dxa"/>
            <w:tcBorders>
              <w:left w:val="nil"/>
            </w:tcBorders>
          </w:tcPr>
          <w:p>
            <w:pPr>
              <w:pStyle w:val="TableParagraph"/>
              <w:spacing w:before="1"/>
              <w:ind w:left="115"/>
              <w:jc w:val="center"/>
              <w:rPr>
                <w:sz w:val="14"/>
              </w:rPr>
            </w:pPr>
            <w:r>
              <w:rPr>
                <w:spacing w:val="-5"/>
                <w:w w:val="105"/>
                <w:sz w:val="14"/>
              </w:rPr>
              <w:t>to</w:t>
            </w:r>
          </w:p>
        </w:tc>
        <w:tc>
          <w:tcPr>
            <w:tcW w:w="2079" w:type="dxa"/>
            <w:gridSpan w:val="2"/>
          </w:tcPr>
          <w:p>
            <w:pPr>
              <w:pStyle w:val="TableParagraph"/>
              <w:spacing w:before="1"/>
              <w:ind w:left="67"/>
              <w:rPr>
                <w:sz w:val="14"/>
              </w:rPr>
            </w:pPr>
            <w:r>
              <w:rPr>
                <w:w w:val="105"/>
                <w:sz w:val="14"/>
              </w:rPr>
              <w:t>Educational,</w:t>
            </w:r>
            <w:r>
              <w:rPr>
                <w:spacing w:val="11"/>
                <w:w w:val="105"/>
                <w:sz w:val="14"/>
              </w:rPr>
              <w:t> </w:t>
            </w:r>
            <w:r>
              <w:rPr>
                <w:w w:val="105"/>
                <w:sz w:val="14"/>
              </w:rPr>
              <w:t>but</w:t>
            </w:r>
            <w:r>
              <w:rPr>
                <w:spacing w:val="15"/>
                <w:w w:val="105"/>
                <w:sz w:val="14"/>
              </w:rPr>
              <w:t> </w:t>
            </w:r>
            <w:r>
              <w:rPr>
                <w:w w:val="105"/>
                <w:sz w:val="14"/>
              </w:rPr>
              <w:t>risks</w:t>
            </w:r>
            <w:r>
              <w:rPr>
                <w:spacing w:val="15"/>
                <w:w w:val="105"/>
                <w:sz w:val="14"/>
              </w:rPr>
              <w:t> </w:t>
            </w:r>
            <w:r>
              <w:rPr>
                <w:spacing w:val="-2"/>
                <w:w w:val="105"/>
                <w:sz w:val="14"/>
              </w:rPr>
              <w:t>alienating</w:t>
            </w:r>
          </w:p>
          <w:p>
            <w:pPr>
              <w:pStyle w:val="TableParagraph"/>
              <w:spacing w:line="142" w:lineRule="exact" w:before="9"/>
              <w:ind w:left="67"/>
              <w:rPr>
                <w:sz w:val="14"/>
              </w:rPr>
            </w:pPr>
            <w:r>
              <w:rPr>
                <w:w w:val="105"/>
                <w:sz w:val="14"/>
              </w:rPr>
              <w:t>modern</w:t>
            </w:r>
            <w:r>
              <w:rPr>
                <w:spacing w:val="-8"/>
                <w:w w:val="105"/>
                <w:sz w:val="14"/>
              </w:rPr>
              <w:t> </w:t>
            </w:r>
            <w:r>
              <w:rPr>
                <w:spacing w:val="-2"/>
                <w:w w:val="105"/>
                <w:sz w:val="14"/>
              </w:rPr>
              <w:t>sensibilities.</w:t>
            </w:r>
          </w:p>
        </w:tc>
      </w:tr>
      <w:tr>
        <w:trPr>
          <w:trHeight w:val="330" w:hRule="atLeast"/>
        </w:trPr>
        <w:tc>
          <w:tcPr>
            <w:tcW w:w="1460" w:type="dxa"/>
            <w:tcBorders>
              <w:right w:val="single" w:sz="6" w:space="0" w:color="000000"/>
            </w:tcBorders>
          </w:tcPr>
          <w:p>
            <w:pPr>
              <w:pStyle w:val="TableParagraph"/>
              <w:tabs>
                <w:tab w:pos="793" w:val="left" w:leader="none"/>
              </w:tabs>
              <w:spacing w:before="3"/>
              <w:rPr>
                <w:b/>
                <w:sz w:val="14"/>
              </w:rPr>
            </w:pPr>
            <w:r>
              <w:rPr>
                <w:b/>
                <w:spacing w:val="-5"/>
                <w:w w:val="105"/>
                <w:sz w:val="14"/>
              </w:rPr>
              <w:t>The</w:t>
            </w:r>
            <w:r>
              <w:rPr>
                <w:b/>
                <w:sz w:val="14"/>
              </w:rPr>
              <w:tab/>
            </w:r>
            <w:r>
              <w:rPr>
                <w:b/>
                <w:spacing w:val="-2"/>
                <w:w w:val="105"/>
                <w:sz w:val="14"/>
              </w:rPr>
              <w:t>Universal</w:t>
            </w:r>
          </w:p>
          <w:p>
            <w:pPr>
              <w:pStyle w:val="TableParagraph"/>
              <w:spacing w:line="140" w:lineRule="exact" w:before="7"/>
              <w:rPr>
                <w:b/>
                <w:sz w:val="14"/>
              </w:rPr>
            </w:pPr>
            <w:r>
              <w:rPr>
                <w:b/>
                <w:spacing w:val="-2"/>
                <w:w w:val="105"/>
                <w:sz w:val="14"/>
              </w:rPr>
              <w:t>Shakespeare</w:t>
            </w:r>
          </w:p>
        </w:tc>
        <w:tc>
          <w:tcPr>
            <w:tcW w:w="1283" w:type="dxa"/>
            <w:tcBorders>
              <w:left w:val="single" w:sz="6" w:space="0" w:color="000000"/>
              <w:right w:val="nil"/>
            </w:tcBorders>
          </w:tcPr>
          <w:p>
            <w:pPr>
              <w:pStyle w:val="TableParagraph"/>
              <w:tabs>
                <w:tab w:pos="782" w:val="left" w:leader="none"/>
              </w:tabs>
              <w:spacing w:line="159" w:lineRule="exact"/>
              <w:ind w:left="65"/>
              <w:rPr>
                <w:sz w:val="14"/>
              </w:rPr>
            </w:pPr>
            <w:r>
              <w:rPr>
                <w:spacing w:val="-2"/>
                <w:w w:val="105"/>
                <w:sz w:val="14"/>
              </w:rPr>
              <w:t>Modern</w:t>
            </w:r>
            <w:r>
              <w:rPr>
                <w:sz w:val="14"/>
              </w:rPr>
              <w:tab/>
            </w:r>
            <w:r>
              <w:rPr>
                <w:spacing w:val="-2"/>
                <w:w w:val="105"/>
                <w:sz w:val="14"/>
              </w:rPr>
              <w:t>dress,</w:t>
            </w:r>
          </w:p>
          <w:p>
            <w:pPr>
              <w:pStyle w:val="TableParagraph"/>
              <w:spacing w:line="142" w:lineRule="exact" w:before="9"/>
              <w:ind w:left="65"/>
              <w:rPr>
                <w:sz w:val="14"/>
              </w:rPr>
            </w:pPr>
            <w:r>
              <w:rPr>
                <w:w w:val="105"/>
                <w:sz w:val="14"/>
              </w:rPr>
              <w:t>original</w:t>
            </w:r>
            <w:r>
              <w:rPr>
                <w:spacing w:val="-9"/>
                <w:w w:val="105"/>
                <w:sz w:val="14"/>
              </w:rPr>
              <w:t> </w:t>
            </w:r>
            <w:r>
              <w:rPr>
                <w:spacing w:val="-2"/>
                <w:w w:val="105"/>
                <w:sz w:val="14"/>
              </w:rPr>
              <w:t>plot.</w:t>
            </w:r>
          </w:p>
        </w:tc>
        <w:tc>
          <w:tcPr>
            <w:tcW w:w="347" w:type="dxa"/>
            <w:tcBorders>
              <w:left w:val="nil"/>
            </w:tcBorders>
          </w:tcPr>
          <w:p>
            <w:pPr>
              <w:pStyle w:val="TableParagraph"/>
              <w:spacing w:line="159" w:lineRule="exact"/>
              <w:ind w:left="45"/>
              <w:jc w:val="center"/>
              <w:rPr>
                <w:sz w:val="14"/>
              </w:rPr>
            </w:pPr>
            <w:r>
              <w:rPr>
                <w:spacing w:val="-5"/>
                <w:w w:val="105"/>
                <w:sz w:val="14"/>
              </w:rPr>
              <w:t>but</w:t>
            </w:r>
          </w:p>
        </w:tc>
        <w:tc>
          <w:tcPr>
            <w:tcW w:w="1509" w:type="dxa"/>
            <w:tcBorders>
              <w:right w:val="nil"/>
            </w:tcBorders>
          </w:tcPr>
          <w:p>
            <w:pPr>
              <w:pStyle w:val="TableParagraph"/>
              <w:spacing w:line="159" w:lineRule="exact"/>
              <w:ind w:left="67"/>
              <w:rPr>
                <w:sz w:val="14"/>
              </w:rPr>
            </w:pPr>
            <w:r>
              <w:rPr>
                <w:w w:val="105"/>
                <w:sz w:val="14"/>
              </w:rPr>
              <w:t>Relatable,</w:t>
            </w:r>
            <w:r>
              <w:rPr>
                <w:spacing w:val="32"/>
                <w:w w:val="105"/>
                <w:sz w:val="14"/>
              </w:rPr>
              <w:t>  </w:t>
            </w:r>
            <w:r>
              <w:rPr>
                <w:w w:val="105"/>
                <w:sz w:val="14"/>
              </w:rPr>
              <w:t>but</w:t>
            </w:r>
            <w:r>
              <w:rPr>
                <w:spacing w:val="32"/>
                <w:w w:val="105"/>
                <w:sz w:val="14"/>
              </w:rPr>
              <w:t>  </w:t>
            </w:r>
            <w:r>
              <w:rPr>
                <w:spacing w:val="-4"/>
                <w:w w:val="105"/>
                <w:sz w:val="14"/>
              </w:rPr>
              <w:t>often</w:t>
            </w:r>
          </w:p>
          <w:p>
            <w:pPr>
              <w:pStyle w:val="TableParagraph"/>
              <w:spacing w:line="142" w:lineRule="exact" w:before="9"/>
              <w:ind w:left="67"/>
              <w:rPr>
                <w:sz w:val="14"/>
              </w:rPr>
            </w:pPr>
            <w:r>
              <w:rPr>
                <w:spacing w:val="-2"/>
                <w:w w:val="105"/>
                <w:sz w:val="14"/>
              </w:rPr>
              <w:t>deeper</w:t>
            </w:r>
            <w:r>
              <w:rPr>
                <w:spacing w:val="4"/>
                <w:w w:val="105"/>
                <w:sz w:val="14"/>
              </w:rPr>
              <w:t> </w:t>
            </w:r>
            <w:r>
              <w:rPr>
                <w:spacing w:val="-2"/>
                <w:w w:val="105"/>
                <w:sz w:val="14"/>
              </w:rPr>
              <w:t>systemic</w:t>
            </w:r>
            <w:r>
              <w:rPr>
                <w:spacing w:val="4"/>
                <w:w w:val="105"/>
                <w:sz w:val="14"/>
              </w:rPr>
              <w:t> </w:t>
            </w:r>
            <w:r>
              <w:rPr>
                <w:spacing w:val="-2"/>
                <w:w w:val="105"/>
                <w:sz w:val="14"/>
              </w:rPr>
              <w:t>issues.</w:t>
            </w:r>
          </w:p>
        </w:tc>
        <w:tc>
          <w:tcPr>
            <w:tcW w:w="570" w:type="dxa"/>
            <w:tcBorders>
              <w:left w:val="nil"/>
            </w:tcBorders>
          </w:tcPr>
          <w:p>
            <w:pPr>
              <w:pStyle w:val="TableParagraph"/>
              <w:spacing w:line="159" w:lineRule="exact"/>
              <w:ind w:left="80"/>
              <w:rPr>
                <w:sz w:val="14"/>
              </w:rPr>
            </w:pPr>
            <w:r>
              <w:rPr>
                <w:spacing w:val="-2"/>
                <w:w w:val="105"/>
                <w:sz w:val="14"/>
              </w:rPr>
              <w:t>ignores</w:t>
            </w:r>
          </w:p>
        </w:tc>
      </w:tr>
      <w:tr>
        <w:trPr>
          <w:trHeight w:val="335" w:hRule="atLeast"/>
        </w:trPr>
        <w:tc>
          <w:tcPr>
            <w:tcW w:w="1460" w:type="dxa"/>
            <w:tcBorders>
              <w:right w:val="single" w:sz="6" w:space="0" w:color="000000"/>
            </w:tcBorders>
          </w:tcPr>
          <w:p>
            <w:pPr>
              <w:pStyle w:val="TableParagraph"/>
              <w:tabs>
                <w:tab w:pos="643" w:val="left" w:leader="none"/>
              </w:tabs>
              <w:spacing w:line="170" w:lineRule="exact"/>
              <w:ind w:right="49"/>
              <w:rPr>
                <w:b/>
                <w:sz w:val="14"/>
              </w:rPr>
            </w:pPr>
            <w:r>
              <w:rPr>
                <w:b/>
                <w:spacing w:val="-4"/>
                <w:w w:val="105"/>
                <w:sz w:val="14"/>
              </w:rPr>
              <w:t>The</w:t>
            </w:r>
            <w:r>
              <w:rPr>
                <w:b/>
                <w:sz w:val="14"/>
              </w:rPr>
              <w:tab/>
            </w:r>
            <w:r>
              <w:rPr>
                <w:b/>
                <w:spacing w:val="-2"/>
                <w:w w:val="105"/>
                <w:sz w:val="14"/>
              </w:rPr>
              <w:t>Reimagined</w:t>
            </w:r>
            <w:r>
              <w:rPr>
                <w:b/>
                <w:spacing w:val="40"/>
                <w:w w:val="105"/>
                <w:sz w:val="14"/>
              </w:rPr>
              <w:t> </w:t>
            </w:r>
            <w:r>
              <w:rPr>
                <w:b/>
                <w:spacing w:val="-2"/>
                <w:w w:val="105"/>
                <w:sz w:val="14"/>
              </w:rPr>
              <w:t>Shakespeare</w:t>
            </w:r>
          </w:p>
        </w:tc>
        <w:tc>
          <w:tcPr>
            <w:tcW w:w="1283" w:type="dxa"/>
            <w:tcBorders>
              <w:left w:val="single" w:sz="6" w:space="0" w:color="000000"/>
              <w:right w:val="nil"/>
            </w:tcBorders>
          </w:tcPr>
          <w:p>
            <w:pPr>
              <w:pStyle w:val="TableParagraph"/>
              <w:spacing w:before="3"/>
              <w:ind w:left="65"/>
              <w:rPr>
                <w:sz w:val="14"/>
              </w:rPr>
            </w:pPr>
            <w:r>
              <w:rPr>
                <w:spacing w:val="-2"/>
                <w:w w:val="105"/>
                <w:sz w:val="14"/>
              </w:rPr>
              <w:t>Appropriation</w:t>
            </w:r>
          </w:p>
          <w:p>
            <w:pPr>
              <w:pStyle w:val="TableParagraph"/>
              <w:spacing w:line="144" w:lineRule="exact" w:before="7"/>
              <w:ind w:left="65"/>
              <w:rPr>
                <w:sz w:val="14"/>
              </w:rPr>
            </w:pPr>
            <w:r>
              <w:rPr>
                <w:w w:val="105"/>
                <w:sz w:val="14"/>
              </w:rPr>
              <w:t>structural</w:t>
            </w:r>
            <w:r>
              <w:rPr>
                <w:spacing w:val="-10"/>
                <w:w w:val="105"/>
                <w:sz w:val="14"/>
              </w:rPr>
              <w:t> </w:t>
            </w:r>
            <w:r>
              <w:rPr>
                <w:spacing w:val="-2"/>
                <w:w w:val="105"/>
                <w:sz w:val="14"/>
              </w:rPr>
              <w:t>change.</w:t>
            </w:r>
          </w:p>
        </w:tc>
        <w:tc>
          <w:tcPr>
            <w:tcW w:w="347" w:type="dxa"/>
            <w:tcBorders>
              <w:left w:val="nil"/>
            </w:tcBorders>
          </w:tcPr>
          <w:p>
            <w:pPr>
              <w:pStyle w:val="TableParagraph"/>
              <w:spacing w:before="3"/>
              <w:ind w:left="45" w:right="28"/>
              <w:jc w:val="center"/>
              <w:rPr>
                <w:sz w:val="14"/>
              </w:rPr>
            </w:pPr>
            <w:r>
              <w:rPr>
                <w:spacing w:val="-5"/>
                <w:w w:val="105"/>
                <w:sz w:val="14"/>
              </w:rPr>
              <w:t>and</w:t>
            </w:r>
          </w:p>
        </w:tc>
        <w:tc>
          <w:tcPr>
            <w:tcW w:w="2079" w:type="dxa"/>
            <w:gridSpan w:val="2"/>
          </w:tcPr>
          <w:p>
            <w:pPr>
              <w:pStyle w:val="TableParagraph"/>
              <w:spacing w:before="3"/>
              <w:ind w:left="67"/>
              <w:rPr>
                <w:sz w:val="14"/>
              </w:rPr>
            </w:pPr>
            <w:r>
              <w:rPr>
                <w:w w:val="105"/>
                <w:sz w:val="14"/>
              </w:rPr>
              <w:t>Provocative;</w:t>
            </w:r>
            <w:r>
              <w:rPr>
                <w:spacing w:val="17"/>
                <w:w w:val="105"/>
                <w:sz w:val="14"/>
              </w:rPr>
              <w:t> </w:t>
            </w:r>
            <w:r>
              <w:rPr>
                <w:w w:val="105"/>
                <w:sz w:val="14"/>
              </w:rPr>
              <w:t>treats</w:t>
            </w:r>
            <w:r>
              <w:rPr>
                <w:spacing w:val="17"/>
                <w:w w:val="105"/>
                <w:sz w:val="14"/>
              </w:rPr>
              <w:t> </w:t>
            </w:r>
            <w:r>
              <w:rPr>
                <w:w w:val="105"/>
                <w:sz w:val="14"/>
              </w:rPr>
              <w:t>the</w:t>
            </w:r>
            <w:r>
              <w:rPr>
                <w:spacing w:val="19"/>
                <w:w w:val="105"/>
                <w:sz w:val="14"/>
              </w:rPr>
              <w:t> </w:t>
            </w:r>
            <w:r>
              <w:rPr>
                <w:w w:val="105"/>
                <w:sz w:val="14"/>
              </w:rPr>
              <w:t>text</w:t>
            </w:r>
            <w:r>
              <w:rPr>
                <w:spacing w:val="20"/>
                <w:w w:val="105"/>
                <w:sz w:val="14"/>
              </w:rPr>
              <w:t> </w:t>
            </w:r>
            <w:r>
              <w:rPr>
                <w:w w:val="105"/>
                <w:sz w:val="14"/>
              </w:rPr>
              <w:t>as</w:t>
            </w:r>
            <w:r>
              <w:rPr>
                <w:spacing w:val="20"/>
                <w:w w:val="105"/>
                <w:sz w:val="14"/>
              </w:rPr>
              <w:t> </w:t>
            </w:r>
            <w:r>
              <w:rPr>
                <w:spacing w:val="-10"/>
                <w:w w:val="105"/>
                <w:sz w:val="14"/>
              </w:rPr>
              <w:t>a</w:t>
            </w:r>
          </w:p>
          <w:p>
            <w:pPr>
              <w:pStyle w:val="TableParagraph"/>
              <w:spacing w:line="144" w:lineRule="exact" w:before="7"/>
              <w:ind w:left="67"/>
              <w:rPr>
                <w:sz w:val="14"/>
              </w:rPr>
            </w:pPr>
            <w:r>
              <w:rPr>
                <w:w w:val="105"/>
                <w:sz w:val="14"/>
              </w:rPr>
              <w:t>"living"</w:t>
            </w:r>
            <w:r>
              <w:rPr>
                <w:spacing w:val="-10"/>
                <w:w w:val="105"/>
                <w:sz w:val="14"/>
              </w:rPr>
              <w:t> </w:t>
            </w:r>
            <w:r>
              <w:rPr>
                <w:spacing w:val="-2"/>
                <w:w w:val="105"/>
                <w:sz w:val="14"/>
              </w:rPr>
              <w:t>collaborator.</w:t>
            </w:r>
          </w:p>
        </w:tc>
      </w:tr>
    </w:tbl>
    <w:p>
      <w:pPr>
        <w:pStyle w:val="BodyText"/>
        <w:spacing w:line="249" w:lineRule="auto" w:before="78"/>
        <w:ind w:right="1437" w:firstLine="432"/>
        <w:jc w:val="both"/>
      </w:pPr>
      <w:r>
        <w:rPr/>
        <w:t>Critical</w:t>
      </w:r>
      <w:r>
        <w:rPr>
          <w:spacing w:val="-1"/>
        </w:rPr>
        <w:t> </w:t>
      </w:r>
      <w:r>
        <w:rPr/>
        <w:t>Thought: If</w:t>
      </w:r>
      <w:r>
        <w:rPr>
          <w:spacing w:val="-1"/>
        </w:rPr>
        <w:t> </w:t>
      </w:r>
      <w:r>
        <w:rPr/>
        <w:t>we “fix” Shakespeare’s women to make them perfectly empowered modern icons, do we lose the very thing that makes them tragic? The “appropriateness” of an adaptation may lie in its ability to keep the wound of the original play open while offering a new way to</w:t>
      </w:r>
      <w:r>
        <w:rPr>
          <w:spacing w:val="40"/>
        </w:rPr>
        <w:t> </w:t>
      </w:r>
      <w:r>
        <w:rPr/>
        <w:t>heal</w:t>
      </w:r>
      <w:r>
        <w:rPr>
          <w:spacing w:val="40"/>
        </w:rPr>
        <w:t> </w:t>
      </w:r>
      <w:r>
        <w:rPr/>
        <w:t>it.</w:t>
      </w:r>
    </w:p>
    <w:p>
      <w:pPr>
        <w:pStyle w:val="Heading3"/>
        <w:spacing w:before="160"/>
      </w:pPr>
      <w:r>
        <w:rPr>
          <w:spacing w:val="-2"/>
        </w:rPr>
        <w:t>CONCLUSION:</w:t>
      </w:r>
    </w:p>
    <w:p>
      <w:pPr>
        <w:pStyle w:val="BodyText"/>
        <w:spacing w:line="249" w:lineRule="auto" w:before="75"/>
        <w:ind w:right="1439" w:firstLine="432"/>
        <w:jc w:val="both"/>
      </w:pPr>
      <w:r>
        <w:rPr>
          <w:spacing w:val="-2"/>
        </w:rPr>
        <w:t>The</w:t>
      </w:r>
      <w:r>
        <w:rPr>
          <w:spacing w:val="-11"/>
        </w:rPr>
        <w:t> </w:t>
      </w:r>
      <w:r>
        <w:rPr>
          <w:spacing w:val="-2"/>
        </w:rPr>
        <w:t>evolution</w:t>
      </w:r>
      <w:r>
        <w:rPr>
          <w:spacing w:val="-10"/>
        </w:rPr>
        <w:t> </w:t>
      </w:r>
      <w:r>
        <w:rPr>
          <w:spacing w:val="-2"/>
        </w:rPr>
        <w:t>from</w:t>
      </w:r>
      <w:r>
        <w:rPr>
          <w:spacing w:val="-11"/>
        </w:rPr>
        <w:t> </w:t>
      </w:r>
      <w:r>
        <w:rPr>
          <w:spacing w:val="-2"/>
        </w:rPr>
        <w:t>mimicry</w:t>
      </w:r>
      <w:r>
        <w:rPr>
          <w:spacing w:val="-10"/>
        </w:rPr>
        <w:t> </w:t>
      </w:r>
      <w:r>
        <w:rPr>
          <w:spacing w:val="-2"/>
        </w:rPr>
        <w:t>to</w:t>
      </w:r>
      <w:r>
        <w:rPr>
          <w:spacing w:val="-11"/>
        </w:rPr>
        <w:t> </w:t>
      </w:r>
      <w:r>
        <w:rPr>
          <w:spacing w:val="-2"/>
        </w:rPr>
        <w:t>radical</w:t>
      </w:r>
      <w:r>
        <w:rPr>
          <w:spacing w:val="-10"/>
        </w:rPr>
        <w:t> </w:t>
      </w:r>
      <w:r>
        <w:rPr>
          <w:spacing w:val="-2"/>
        </w:rPr>
        <w:t>appropriation</w:t>
      </w:r>
      <w:r>
        <w:rPr>
          <w:spacing w:val="-11"/>
        </w:rPr>
        <w:t> </w:t>
      </w:r>
      <w:r>
        <w:rPr>
          <w:spacing w:val="-2"/>
        </w:rPr>
        <w:t>marks</w:t>
      </w:r>
      <w:r>
        <w:rPr>
          <w:spacing w:val="-10"/>
        </w:rPr>
        <w:t> </w:t>
      </w:r>
      <w:r>
        <w:rPr>
          <w:spacing w:val="-2"/>
        </w:rPr>
        <w:t>a</w:t>
      </w:r>
      <w:r>
        <w:rPr>
          <w:spacing w:val="-11"/>
        </w:rPr>
        <w:t> </w:t>
      </w:r>
      <w:r>
        <w:rPr>
          <w:spacing w:val="-2"/>
        </w:rPr>
        <w:t>turning </w:t>
      </w:r>
      <w:r>
        <w:rPr/>
        <w:t>point</w:t>
      </w:r>
      <w:r>
        <w:rPr>
          <w:spacing w:val="-3"/>
        </w:rPr>
        <w:t> </w:t>
      </w:r>
      <w:r>
        <w:rPr/>
        <w:t>in</w:t>
      </w:r>
      <w:r>
        <w:rPr>
          <w:spacing w:val="-2"/>
        </w:rPr>
        <w:t> </w:t>
      </w:r>
      <w:r>
        <w:rPr/>
        <w:t>how</w:t>
      </w:r>
      <w:r>
        <w:rPr>
          <w:spacing w:val="-6"/>
        </w:rPr>
        <w:t> </w:t>
      </w:r>
      <w:r>
        <w:rPr/>
        <w:t>we</w:t>
      </w:r>
      <w:r>
        <w:rPr>
          <w:spacing w:val="-3"/>
        </w:rPr>
        <w:t> </w:t>
      </w:r>
      <w:r>
        <w:rPr/>
        <w:t>consume</w:t>
      </w:r>
      <w:r>
        <w:rPr>
          <w:spacing w:val="-6"/>
        </w:rPr>
        <w:t> </w:t>
      </w:r>
      <w:r>
        <w:rPr/>
        <w:t>and</w:t>
      </w:r>
      <w:r>
        <w:rPr>
          <w:spacing w:val="-2"/>
        </w:rPr>
        <w:t> </w:t>
      </w:r>
      <w:r>
        <w:rPr/>
        <w:t>validate</w:t>
      </w:r>
      <w:r>
        <w:rPr>
          <w:spacing w:val="-1"/>
        </w:rPr>
        <w:t> </w:t>
      </w:r>
      <w:r>
        <w:rPr/>
        <w:t>the</w:t>
      </w:r>
      <w:r>
        <w:rPr>
          <w:spacing w:val="-6"/>
        </w:rPr>
        <w:t> </w:t>
      </w:r>
      <w:r>
        <w:rPr/>
        <w:t>Western</w:t>
      </w:r>
      <w:r>
        <w:rPr>
          <w:spacing w:val="-4"/>
        </w:rPr>
        <w:t> </w:t>
      </w:r>
      <w:r>
        <w:rPr/>
        <w:t>canon. Reimagining Shakespeare’s women is no longer just an aesthetic choice; it is a political act that challenges the historical “appropriateness” of their </w:t>
      </w:r>
      <w:r>
        <w:rPr>
          <w:spacing w:val="-2"/>
        </w:rPr>
        <w:t>silence.</w:t>
      </w:r>
    </w:p>
    <w:p>
      <w:pPr>
        <w:pStyle w:val="BodyText"/>
        <w:spacing w:line="249" w:lineRule="auto" w:before="62"/>
        <w:ind w:right="1434" w:firstLine="432"/>
        <w:jc w:val="both"/>
      </w:pPr>
      <w:r>
        <w:rPr>
          <w:spacing w:val="-8"/>
        </w:rPr>
        <w:t>By</w:t>
      </w:r>
      <w:r>
        <w:rPr>
          <w:spacing w:val="-2"/>
        </w:rPr>
        <w:t> </w:t>
      </w:r>
      <w:r>
        <w:rPr>
          <w:spacing w:val="-8"/>
        </w:rPr>
        <w:t>extracting</w:t>
      </w:r>
      <w:r>
        <w:rPr>
          <w:spacing w:val="-2"/>
        </w:rPr>
        <w:t> </w:t>
      </w:r>
      <w:r>
        <w:rPr>
          <w:spacing w:val="-8"/>
        </w:rPr>
        <w:t>characters</w:t>
      </w:r>
      <w:r>
        <w:rPr/>
        <w:t> </w:t>
      </w:r>
      <w:r>
        <w:rPr>
          <w:spacing w:val="-8"/>
        </w:rPr>
        <w:t>like</w:t>
      </w:r>
      <w:r>
        <w:rPr>
          <w:spacing w:val="-2"/>
        </w:rPr>
        <w:t> </w:t>
      </w:r>
      <w:r>
        <w:rPr>
          <w:spacing w:val="-8"/>
        </w:rPr>
        <w:t>Ophelia,</w:t>
      </w:r>
      <w:r>
        <w:rPr/>
        <w:t> </w:t>
      </w:r>
      <w:r>
        <w:rPr>
          <w:spacing w:val="-8"/>
        </w:rPr>
        <w:t>Lady</w:t>
      </w:r>
      <w:r>
        <w:rPr>
          <w:spacing w:val="-5"/>
        </w:rPr>
        <w:t> </w:t>
      </w:r>
      <w:r>
        <w:rPr>
          <w:spacing w:val="-8"/>
        </w:rPr>
        <w:t>Macbeth,</w:t>
      </w:r>
      <w:r>
        <w:rPr/>
        <w:t> </w:t>
      </w:r>
      <w:r>
        <w:rPr>
          <w:spacing w:val="-8"/>
        </w:rPr>
        <w:t>and</w:t>
      </w:r>
      <w:r>
        <w:rPr/>
        <w:t> </w:t>
      </w:r>
      <w:r>
        <w:rPr>
          <w:spacing w:val="-8"/>
        </w:rPr>
        <w:t>Sycorax</w:t>
      </w:r>
      <w:r>
        <w:rPr/>
        <w:t> </w:t>
      </w:r>
      <w:r>
        <w:rPr>
          <w:spacing w:val="-8"/>
        </w:rPr>
        <w:t>from </w:t>
      </w:r>
      <w:r>
        <w:rPr>
          <w:spacing w:val="-4"/>
        </w:rPr>
        <w:t>their</w:t>
      </w:r>
      <w:r>
        <w:rPr>
          <w:spacing w:val="1"/>
        </w:rPr>
        <w:t> </w:t>
      </w:r>
      <w:r>
        <w:rPr>
          <w:spacing w:val="-4"/>
        </w:rPr>
        <w:t>original</w:t>
      </w:r>
      <w:r>
        <w:rPr>
          <w:spacing w:val="2"/>
        </w:rPr>
        <w:t> </w:t>
      </w:r>
      <w:r>
        <w:rPr>
          <w:spacing w:val="-4"/>
        </w:rPr>
        <w:t>tragedies,</w:t>
      </w:r>
      <w:r>
        <w:rPr>
          <w:spacing w:val="1"/>
        </w:rPr>
        <w:t> </w:t>
      </w:r>
      <w:r>
        <w:rPr>
          <w:spacing w:val="-4"/>
        </w:rPr>
        <w:t>modern</w:t>
      </w:r>
      <w:r>
        <w:rPr/>
        <w:t> </w:t>
      </w:r>
      <w:r>
        <w:rPr>
          <w:spacing w:val="-4"/>
        </w:rPr>
        <w:t>creators</w:t>
      </w:r>
      <w:r>
        <w:rPr>
          <w:spacing w:val="1"/>
        </w:rPr>
        <w:t> </w:t>
      </w:r>
      <w:r>
        <w:rPr>
          <w:spacing w:val="-4"/>
        </w:rPr>
        <w:t>have</w:t>
      </w:r>
      <w:r>
        <w:rPr>
          <w:spacing w:val="2"/>
        </w:rPr>
        <w:t> </w:t>
      </w:r>
      <w:r>
        <w:rPr>
          <w:spacing w:val="-4"/>
        </w:rPr>
        <w:t>achieved</w:t>
      </w:r>
      <w:r>
        <w:rPr>
          <w:spacing w:val="1"/>
        </w:rPr>
        <w:t> </w:t>
      </w:r>
      <w:r>
        <w:rPr>
          <w:spacing w:val="-4"/>
        </w:rPr>
        <w:t>three</w:t>
      </w:r>
      <w:r>
        <w:rPr>
          <w:spacing w:val="1"/>
        </w:rPr>
        <w:t> </w:t>
      </w:r>
      <w:r>
        <w:rPr>
          <w:spacing w:val="-4"/>
        </w:rPr>
        <w:t>critical</w:t>
      </w:r>
      <w:r>
        <w:rPr/>
        <w:t> </w:t>
      </w:r>
      <w:r>
        <w:rPr>
          <w:spacing w:val="-4"/>
        </w:rPr>
        <w:t>shifts:</w:t>
      </w:r>
    </w:p>
    <w:p>
      <w:pPr>
        <w:pStyle w:val="ListParagraph"/>
        <w:numPr>
          <w:ilvl w:val="1"/>
          <w:numId w:val="55"/>
        </w:numPr>
        <w:tabs>
          <w:tab w:pos="2160" w:val="left" w:leader="none"/>
        </w:tabs>
        <w:spacing w:line="261" w:lineRule="auto" w:before="67" w:after="0"/>
        <w:ind w:left="2160" w:right="1442" w:hanging="240"/>
        <w:jc w:val="both"/>
        <w:rPr>
          <w:sz w:val="20"/>
        </w:rPr>
      </w:pPr>
      <w:r>
        <w:rPr>
          <w:sz w:val="20"/>
        </w:rPr>
        <w:t>Restoration of</w:t>
      </w:r>
      <w:r>
        <w:rPr>
          <w:spacing w:val="-7"/>
          <w:sz w:val="20"/>
        </w:rPr>
        <w:t> </w:t>
      </w:r>
      <w:r>
        <w:rPr>
          <w:sz w:val="20"/>
        </w:rPr>
        <w:t>Agency: Characters previously defined by their deaths are now</w:t>
      </w:r>
      <w:r>
        <w:rPr>
          <w:spacing w:val="-2"/>
          <w:sz w:val="20"/>
        </w:rPr>
        <w:t> </w:t>
      </w:r>
      <w:r>
        <w:rPr>
          <w:sz w:val="20"/>
        </w:rPr>
        <w:t>defined by their survival and strategic choices.</w:t>
      </w:r>
    </w:p>
    <w:p>
      <w:pPr>
        <w:pStyle w:val="ListParagraph"/>
        <w:numPr>
          <w:ilvl w:val="1"/>
          <w:numId w:val="55"/>
        </w:numPr>
        <w:tabs>
          <w:tab w:pos="2160" w:val="left" w:leader="none"/>
        </w:tabs>
        <w:spacing w:line="261" w:lineRule="auto" w:before="57" w:after="0"/>
        <w:ind w:left="2160" w:right="1439" w:hanging="240"/>
        <w:jc w:val="both"/>
        <w:rPr>
          <w:sz w:val="20"/>
        </w:rPr>
      </w:pPr>
      <w:r>
        <w:rPr>
          <w:spacing w:val="-2"/>
          <w:sz w:val="20"/>
        </w:rPr>
        <w:t>Systemic</w:t>
      </w:r>
      <w:r>
        <w:rPr>
          <w:spacing w:val="-5"/>
          <w:sz w:val="20"/>
        </w:rPr>
        <w:t> </w:t>
      </w:r>
      <w:r>
        <w:rPr>
          <w:spacing w:val="-2"/>
          <w:sz w:val="20"/>
        </w:rPr>
        <w:t>Critique:</w:t>
      </w:r>
      <w:r>
        <w:rPr>
          <w:spacing w:val="-6"/>
          <w:sz w:val="20"/>
        </w:rPr>
        <w:t> </w:t>
      </w:r>
      <w:r>
        <w:rPr>
          <w:spacing w:val="-2"/>
          <w:sz w:val="20"/>
        </w:rPr>
        <w:t>The</w:t>
      </w:r>
      <w:r>
        <w:rPr>
          <w:spacing w:val="-4"/>
          <w:sz w:val="20"/>
        </w:rPr>
        <w:t> </w:t>
      </w:r>
      <w:r>
        <w:rPr>
          <w:spacing w:val="-2"/>
          <w:sz w:val="20"/>
        </w:rPr>
        <w:t>“madness”</w:t>
      </w:r>
      <w:r>
        <w:rPr>
          <w:spacing w:val="-8"/>
          <w:sz w:val="20"/>
        </w:rPr>
        <w:t> </w:t>
      </w:r>
      <w:r>
        <w:rPr>
          <w:spacing w:val="-2"/>
          <w:sz w:val="20"/>
        </w:rPr>
        <w:t>or</w:t>
      </w:r>
      <w:r>
        <w:rPr>
          <w:spacing w:val="-3"/>
          <w:sz w:val="20"/>
        </w:rPr>
        <w:t> </w:t>
      </w:r>
      <w:r>
        <w:rPr>
          <w:spacing w:val="-2"/>
          <w:sz w:val="20"/>
        </w:rPr>
        <w:t>“villainy”</w:t>
      </w:r>
      <w:r>
        <w:rPr>
          <w:spacing w:val="-4"/>
          <w:sz w:val="20"/>
        </w:rPr>
        <w:t> </w:t>
      </w:r>
      <w:r>
        <w:rPr>
          <w:spacing w:val="-2"/>
          <w:sz w:val="20"/>
        </w:rPr>
        <w:t>of</w:t>
      </w:r>
      <w:r>
        <w:rPr>
          <w:spacing w:val="-7"/>
          <w:sz w:val="20"/>
        </w:rPr>
        <w:t> </w:t>
      </w:r>
      <w:r>
        <w:rPr>
          <w:spacing w:val="-2"/>
          <w:sz w:val="20"/>
        </w:rPr>
        <w:t>these</w:t>
      </w:r>
      <w:r>
        <w:rPr>
          <w:spacing w:val="-4"/>
          <w:sz w:val="20"/>
        </w:rPr>
        <w:t> </w:t>
      </w:r>
      <w:r>
        <w:rPr>
          <w:spacing w:val="-2"/>
          <w:sz w:val="20"/>
        </w:rPr>
        <w:t>women </w:t>
      </w:r>
      <w:r>
        <w:rPr>
          <w:sz w:val="20"/>
        </w:rPr>
        <w:t>is reframed as a logical reaction to a restrictive patriarchal and colonial</w:t>
      </w:r>
      <w:r>
        <w:rPr>
          <w:spacing w:val="-16"/>
          <w:sz w:val="20"/>
        </w:rPr>
        <w:t> </w:t>
      </w:r>
      <w:r>
        <w:rPr>
          <w:sz w:val="20"/>
        </w:rPr>
        <w:t>framework.</w:t>
      </w:r>
    </w:p>
    <w:p>
      <w:pPr>
        <w:pStyle w:val="ListParagraph"/>
        <w:spacing w:after="0" w:line="261" w:lineRule="auto"/>
        <w:jc w:val="both"/>
        <w:rPr>
          <w:sz w:val="20"/>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84960">
                <wp:simplePos x="0" y="0"/>
                <wp:positionH relativeFrom="page">
                  <wp:posOffset>2057400</wp:posOffset>
                </wp:positionH>
                <wp:positionV relativeFrom="paragraph">
                  <wp:posOffset>162604</wp:posOffset>
                </wp:positionV>
                <wp:extent cx="3657600" cy="12700"/>
                <wp:effectExtent l="0" t="0" r="0" b="0"/>
                <wp:wrapTopAndBottom/>
                <wp:docPr id="550" name="Graphic 550"/>
                <wp:cNvGraphicFramePr>
                  <a:graphicFrameLocks/>
                </wp:cNvGraphicFramePr>
                <a:graphic>
                  <a:graphicData uri="http://schemas.microsoft.com/office/word/2010/wordprocessingShape">
                    <wps:wsp>
                      <wps:cNvPr id="550" name="Graphic 55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31520;mso-wrap-distance-left:0;mso-wrap-distance-right:0" id="docshape545" filled="true" fillcolor="#000000" stroked="false">
                <v:fill type="solid"/>
                <w10:wrap type="topAndBottom"/>
              </v:rect>
            </w:pict>
          </mc:Fallback>
        </mc:AlternateContent>
      </w:r>
      <w:r>
        <w:rPr>
          <w:rFonts w:ascii="Verdana"/>
          <w:spacing w:val="-5"/>
          <w:sz w:val="18"/>
        </w:rPr>
        <w:t>264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1"/>
          <w:numId w:val="55"/>
        </w:numPr>
        <w:tabs>
          <w:tab w:pos="2160" w:val="left" w:leader="none"/>
        </w:tabs>
        <w:spacing w:line="261" w:lineRule="auto" w:before="199" w:after="0"/>
        <w:ind w:left="2160" w:right="1438" w:hanging="240"/>
        <w:jc w:val="both"/>
        <w:rPr>
          <w:sz w:val="20"/>
        </w:rPr>
      </w:pPr>
      <w:r>
        <w:rPr>
          <w:sz w:val="20"/>
        </w:rPr>
        <w:t>Global Relevance: Cultural contextualization ensures that Shakespeare</w:t>
      </w:r>
      <w:r>
        <w:rPr>
          <w:spacing w:val="-7"/>
          <w:sz w:val="20"/>
        </w:rPr>
        <w:t> </w:t>
      </w:r>
      <w:r>
        <w:rPr>
          <w:sz w:val="20"/>
        </w:rPr>
        <w:t>remains</w:t>
      </w:r>
      <w:r>
        <w:rPr>
          <w:spacing w:val="-8"/>
          <w:sz w:val="20"/>
        </w:rPr>
        <w:t> </w:t>
      </w:r>
      <w:r>
        <w:rPr>
          <w:sz w:val="20"/>
        </w:rPr>
        <w:t>a</w:t>
      </w:r>
      <w:r>
        <w:rPr>
          <w:spacing w:val="-6"/>
          <w:sz w:val="20"/>
        </w:rPr>
        <w:t> </w:t>
      </w:r>
      <w:r>
        <w:rPr>
          <w:sz w:val="20"/>
        </w:rPr>
        <w:t>“living”</w:t>
      </w:r>
      <w:r>
        <w:rPr>
          <w:spacing w:val="-7"/>
          <w:sz w:val="20"/>
        </w:rPr>
        <w:t> </w:t>
      </w:r>
      <w:r>
        <w:rPr>
          <w:sz w:val="20"/>
        </w:rPr>
        <w:t>collaborator</w:t>
      </w:r>
      <w:r>
        <w:rPr>
          <w:spacing w:val="-6"/>
          <w:sz w:val="20"/>
        </w:rPr>
        <w:t> </w:t>
      </w:r>
      <w:r>
        <w:rPr>
          <w:sz w:val="20"/>
        </w:rPr>
        <w:t>rather</w:t>
      </w:r>
      <w:r>
        <w:rPr>
          <w:spacing w:val="-7"/>
          <w:sz w:val="20"/>
        </w:rPr>
        <w:t> </w:t>
      </w:r>
      <w:r>
        <w:rPr>
          <w:sz w:val="20"/>
        </w:rPr>
        <w:t>than</w:t>
      </w:r>
      <w:r>
        <w:rPr>
          <w:spacing w:val="-6"/>
          <w:sz w:val="20"/>
        </w:rPr>
        <w:t> </w:t>
      </w:r>
      <w:r>
        <w:rPr>
          <w:sz w:val="20"/>
        </w:rPr>
        <w:t>a</w:t>
      </w:r>
      <w:r>
        <w:rPr>
          <w:spacing w:val="-7"/>
          <w:sz w:val="20"/>
        </w:rPr>
        <w:t> </w:t>
      </w:r>
      <w:r>
        <w:rPr>
          <w:sz w:val="20"/>
        </w:rPr>
        <w:t>static authority, allowing the plays to adapt to the intersectional values</w:t>
      </w:r>
      <w:r>
        <w:rPr>
          <w:spacing w:val="40"/>
          <w:sz w:val="20"/>
        </w:rPr>
        <w:t> </w:t>
      </w:r>
      <w:r>
        <w:rPr>
          <w:sz w:val="20"/>
        </w:rPr>
        <w:t>of</w:t>
      </w:r>
      <w:r>
        <w:rPr>
          <w:spacing w:val="40"/>
          <w:sz w:val="20"/>
        </w:rPr>
        <w:t> </w:t>
      </w:r>
      <w:r>
        <w:rPr>
          <w:sz w:val="20"/>
        </w:rPr>
        <w:t>the</w:t>
      </w:r>
      <w:r>
        <w:rPr>
          <w:spacing w:val="40"/>
          <w:sz w:val="20"/>
        </w:rPr>
        <w:t> </w:t>
      </w:r>
      <w:r>
        <w:rPr>
          <w:sz w:val="20"/>
        </w:rPr>
        <w:t>21st</w:t>
      </w:r>
      <w:r>
        <w:rPr>
          <w:spacing w:val="40"/>
          <w:sz w:val="20"/>
        </w:rPr>
        <w:t> </w:t>
      </w:r>
      <w:r>
        <w:rPr>
          <w:sz w:val="20"/>
        </w:rPr>
        <w:t>century.</w:t>
      </w:r>
    </w:p>
    <w:p>
      <w:pPr>
        <w:pStyle w:val="BodyText"/>
        <w:spacing w:line="249" w:lineRule="auto" w:before="49"/>
        <w:ind w:right="1439" w:firstLine="432"/>
        <w:jc w:val="both"/>
      </w:pPr>
      <w:r>
        <w:rPr/>
        <w:t>The “appropriateness” of these adaptations remains a vibrant debate.</w:t>
      </w:r>
      <w:r>
        <w:rPr>
          <w:spacing w:val="-13"/>
        </w:rPr>
        <w:t> </w:t>
      </w:r>
      <w:r>
        <w:rPr/>
        <w:t>While</w:t>
      </w:r>
      <w:r>
        <w:rPr>
          <w:spacing w:val="-12"/>
        </w:rPr>
        <w:t> </w:t>
      </w:r>
      <w:r>
        <w:rPr/>
        <w:t>purists</w:t>
      </w:r>
      <w:r>
        <w:rPr>
          <w:spacing w:val="-13"/>
        </w:rPr>
        <w:t> </w:t>
      </w:r>
      <w:r>
        <w:rPr/>
        <w:t>may</w:t>
      </w:r>
      <w:r>
        <w:rPr>
          <w:spacing w:val="-12"/>
        </w:rPr>
        <w:t> </w:t>
      </w:r>
      <w:r>
        <w:rPr/>
        <w:t>mourn</w:t>
      </w:r>
      <w:r>
        <w:rPr>
          <w:spacing w:val="-13"/>
        </w:rPr>
        <w:t> </w:t>
      </w:r>
      <w:r>
        <w:rPr/>
        <w:t>the</w:t>
      </w:r>
      <w:r>
        <w:rPr>
          <w:spacing w:val="-12"/>
        </w:rPr>
        <w:t> </w:t>
      </w:r>
      <w:r>
        <w:rPr/>
        <w:t>loss</w:t>
      </w:r>
      <w:r>
        <w:rPr>
          <w:spacing w:val="-13"/>
        </w:rPr>
        <w:t> </w:t>
      </w:r>
      <w:r>
        <w:rPr/>
        <w:t>of</w:t>
      </w:r>
      <w:r>
        <w:rPr>
          <w:spacing w:val="-12"/>
        </w:rPr>
        <w:t> </w:t>
      </w:r>
      <w:r>
        <w:rPr/>
        <w:t>the</w:t>
      </w:r>
      <w:r>
        <w:rPr>
          <w:spacing w:val="-13"/>
        </w:rPr>
        <w:t> </w:t>
      </w:r>
      <w:r>
        <w:rPr/>
        <w:t>original</w:t>
      </w:r>
      <w:r>
        <w:rPr>
          <w:spacing w:val="-12"/>
        </w:rPr>
        <w:t> </w:t>
      </w:r>
      <w:r>
        <w:rPr/>
        <w:t>tragic</w:t>
      </w:r>
      <w:r>
        <w:rPr>
          <w:spacing w:val="-13"/>
        </w:rPr>
        <w:t> </w:t>
      </w:r>
      <w:r>
        <w:rPr/>
        <w:t>structures, the process of appropriation ensures that Shakespeare’s work does not </w:t>
      </w:r>
      <w:r>
        <w:rPr>
          <w:spacing w:val="-2"/>
        </w:rPr>
        <w:t>become</w:t>
      </w:r>
      <w:r>
        <w:rPr>
          <w:spacing w:val="-11"/>
        </w:rPr>
        <w:t> </w:t>
      </w:r>
      <w:r>
        <w:rPr>
          <w:spacing w:val="-2"/>
        </w:rPr>
        <w:t>a</w:t>
      </w:r>
      <w:r>
        <w:rPr>
          <w:spacing w:val="-9"/>
        </w:rPr>
        <w:t> </w:t>
      </w:r>
      <w:r>
        <w:rPr>
          <w:spacing w:val="-2"/>
        </w:rPr>
        <w:t>relic</w:t>
      </w:r>
      <w:r>
        <w:rPr>
          <w:spacing w:val="-7"/>
        </w:rPr>
        <w:t> </w:t>
      </w:r>
      <w:r>
        <w:rPr>
          <w:spacing w:val="-2"/>
        </w:rPr>
        <w:t>of</w:t>
      </w:r>
      <w:r>
        <w:rPr>
          <w:spacing w:val="-11"/>
        </w:rPr>
        <w:t> </w:t>
      </w:r>
      <w:r>
        <w:rPr>
          <w:spacing w:val="-2"/>
        </w:rPr>
        <w:t>a</w:t>
      </w:r>
      <w:r>
        <w:rPr>
          <w:spacing w:val="-6"/>
        </w:rPr>
        <w:t> </w:t>
      </w:r>
      <w:r>
        <w:rPr>
          <w:spacing w:val="-2"/>
        </w:rPr>
        <w:t>bygone</w:t>
      </w:r>
      <w:r>
        <w:rPr>
          <w:spacing w:val="-11"/>
        </w:rPr>
        <w:t> </w:t>
      </w:r>
      <w:r>
        <w:rPr>
          <w:spacing w:val="-2"/>
        </w:rPr>
        <w:t>moral</w:t>
      </w:r>
      <w:r>
        <w:rPr>
          <w:spacing w:val="-9"/>
        </w:rPr>
        <w:t> </w:t>
      </w:r>
      <w:r>
        <w:rPr>
          <w:spacing w:val="-2"/>
        </w:rPr>
        <w:t>era.</w:t>
      </w:r>
      <w:r>
        <w:rPr>
          <w:spacing w:val="-11"/>
        </w:rPr>
        <w:t> </w:t>
      </w:r>
      <w:r>
        <w:rPr>
          <w:spacing w:val="-2"/>
        </w:rPr>
        <w:t>Instead,</w:t>
      </w:r>
      <w:r>
        <w:rPr>
          <w:spacing w:val="-9"/>
        </w:rPr>
        <w:t> </w:t>
      </w:r>
      <w:r>
        <w:rPr>
          <w:spacing w:val="-2"/>
        </w:rPr>
        <w:t>these</w:t>
      </w:r>
      <w:r>
        <w:rPr>
          <w:spacing w:val="-11"/>
        </w:rPr>
        <w:t> </w:t>
      </w:r>
      <w:r>
        <w:rPr>
          <w:spacing w:val="-2"/>
        </w:rPr>
        <w:t>reimagined</w:t>
      </w:r>
      <w:r>
        <w:rPr>
          <w:spacing w:val="-9"/>
        </w:rPr>
        <w:t> </w:t>
      </w:r>
      <w:r>
        <w:rPr>
          <w:spacing w:val="-2"/>
        </w:rPr>
        <w:t>narratives </w:t>
      </w:r>
      <w:r>
        <w:rPr/>
        <w:t>serve as a bridge between the 16th-century text and modern human rights, proving that the most effective way to honor the Bard is to give his</w:t>
      </w:r>
      <w:r>
        <w:rPr>
          <w:spacing w:val="40"/>
        </w:rPr>
        <w:t> </w:t>
      </w:r>
      <w:r>
        <w:rPr/>
        <w:t>women the</w:t>
      </w:r>
      <w:r>
        <w:rPr>
          <w:spacing w:val="40"/>
        </w:rPr>
        <w:t> </w:t>
      </w:r>
      <w:r>
        <w:rPr/>
        <w:t>voices</w:t>
      </w:r>
      <w:r>
        <w:rPr>
          <w:spacing w:val="40"/>
        </w:rPr>
        <w:t> </w:t>
      </w:r>
      <w:r>
        <w:rPr/>
        <w:t>he originally denied</w:t>
      </w:r>
      <w:r>
        <w:rPr>
          <w:spacing w:val="40"/>
        </w:rPr>
        <w:t> </w:t>
      </w:r>
      <w:r>
        <w:rPr/>
        <w:t>them.</w:t>
      </w:r>
    </w:p>
    <w:p>
      <w:pPr>
        <w:pStyle w:val="BodyText"/>
        <w:spacing w:line="249" w:lineRule="auto" w:before="63"/>
        <w:ind w:right="1440" w:firstLine="432"/>
        <w:jc w:val="both"/>
      </w:pPr>
      <w:r>
        <w:rPr/>
        <w:t>Ultimately,</w:t>
      </w:r>
      <w:r>
        <w:rPr>
          <w:spacing w:val="-13"/>
        </w:rPr>
        <w:t> </w:t>
      </w:r>
      <w:r>
        <w:rPr/>
        <w:t>a</w:t>
      </w:r>
      <w:r>
        <w:rPr>
          <w:spacing w:val="-12"/>
        </w:rPr>
        <w:t> </w:t>
      </w:r>
      <w:r>
        <w:rPr/>
        <w:t>“static”</w:t>
      </w:r>
      <w:r>
        <w:rPr>
          <w:spacing w:val="-13"/>
        </w:rPr>
        <w:t> </w:t>
      </w:r>
      <w:r>
        <w:rPr/>
        <w:t>Shakespeare</w:t>
      </w:r>
      <w:r>
        <w:rPr>
          <w:spacing w:val="-12"/>
        </w:rPr>
        <w:t> </w:t>
      </w:r>
      <w:r>
        <w:rPr/>
        <w:t>is</w:t>
      </w:r>
      <w:r>
        <w:rPr>
          <w:spacing w:val="-13"/>
        </w:rPr>
        <w:t> </w:t>
      </w:r>
      <w:r>
        <w:rPr/>
        <w:t>a</w:t>
      </w:r>
      <w:r>
        <w:rPr>
          <w:spacing w:val="-12"/>
        </w:rPr>
        <w:t> </w:t>
      </w:r>
      <w:r>
        <w:rPr/>
        <w:t>dying</w:t>
      </w:r>
      <w:r>
        <w:rPr>
          <w:spacing w:val="-13"/>
        </w:rPr>
        <w:t> </w:t>
      </w:r>
      <w:r>
        <w:rPr/>
        <w:t>Shakespeare.</w:t>
      </w:r>
      <w:r>
        <w:rPr>
          <w:spacing w:val="-12"/>
        </w:rPr>
        <w:t> </w:t>
      </w:r>
      <w:r>
        <w:rPr/>
        <w:t>Through the lens of feminist and post-colonial reimagining, we ensure that these characters continue to provoke, challenge, and reflect the world—not</w:t>
      </w:r>
      <w:r>
        <w:rPr>
          <w:spacing w:val="80"/>
        </w:rPr>
        <w:t> </w:t>
      </w:r>
      <w:r>
        <w:rPr/>
        <w:t>as</w:t>
      </w:r>
      <w:r>
        <w:rPr>
          <w:spacing w:val="40"/>
        </w:rPr>
        <w:t> </w:t>
      </w:r>
      <w:r>
        <w:rPr/>
        <w:t>it</w:t>
      </w:r>
      <w:r>
        <w:rPr>
          <w:spacing w:val="40"/>
        </w:rPr>
        <w:t> </w:t>
      </w:r>
      <w:r>
        <w:rPr/>
        <w:t>was,</w:t>
      </w:r>
      <w:r>
        <w:rPr>
          <w:spacing w:val="40"/>
        </w:rPr>
        <w:t> </w:t>
      </w:r>
      <w:r>
        <w:rPr/>
        <w:t>but</w:t>
      </w:r>
      <w:r>
        <w:rPr>
          <w:spacing w:val="40"/>
        </w:rPr>
        <w:t> </w:t>
      </w:r>
      <w:r>
        <w:rPr/>
        <w:t>as</w:t>
      </w:r>
      <w:r>
        <w:rPr>
          <w:spacing w:val="40"/>
        </w:rPr>
        <w:t> </w:t>
      </w:r>
      <w:r>
        <w:rPr/>
        <w:t>we</w:t>
      </w:r>
      <w:r>
        <w:rPr>
          <w:spacing w:val="40"/>
        </w:rPr>
        <w:t> </w:t>
      </w:r>
      <w:r>
        <w:rPr/>
        <w:t>hope</w:t>
      </w:r>
      <w:r>
        <w:rPr>
          <w:spacing w:val="40"/>
        </w:rPr>
        <w:t> </w:t>
      </w:r>
      <w:r>
        <w:rPr/>
        <w:t>it</w:t>
      </w:r>
      <w:r>
        <w:rPr>
          <w:spacing w:val="40"/>
        </w:rPr>
        <w:t> </w:t>
      </w:r>
      <w:r>
        <w:rPr/>
        <w:t>to</w:t>
      </w:r>
      <w:r>
        <w:rPr>
          <w:spacing w:val="40"/>
        </w:rPr>
        <w:t> </w:t>
      </w:r>
      <w:r>
        <w:rPr/>
        <w:t>be.</w:t>
      </w:r>
    </w:p>
    <w:p>
      <w:pPr>
        <w:pStyle w:val="Heading3"/>
        <w:spacing w:before="157"/>
      </w:pPr>
      <w:r>
        <w:rPr>
          <w:spacing w:val="-2"/>
          <w:w w:val="95"/>
        </w:rPr>
        <w:t>REFERENCES:</w:t>
      </w:r>
    </w:p>
    <w:p>
      <w:pPr>
        <w:pStyle w:val="ListParagraph"/>
        <w:numPr>
          <w:ilvl w:val="0"/>
          <w:numId w:val="57"/>
        </w:numPr>
        <w:tabs>
          <w:tab w:pos="2157" w:val="left" w:leader="none"/>
          <w:tab w:pos="2160" w:val="left" w:leader="none"/>
        </w:tabs>
        <w:spacing w:line="261" w:lineRule="auto" w:before="82" w:after="0"/>
        <w:ind w:left="2160" w:right="1438" w:hanging="315"/>
        <w:jc w:val="both"/>
        <w:rPr>
          <w:sz w:val="19"/>
        </w:rPr>
      </w:pPr>
      <w:r>
        <w:rPr>
          <w:sz w:val="19"/>
        </w:rPr>
        <w:t>Desmet, C., &amp; Iyengar, S. (2015). </w:t>
      </w:r>
      <w:r>
        <w:rPr>
          <w:i/>
          <w:sz w:val="19"/>
        </w:rPr>
        <w:t>Adaptation, Appropriation,</w:t>
      </w:r>
      <w:r>
        <w:rPr>
          <w:i/>
          <w:spacing w:val="80"/>
          <w:sz w:val="19"/>
        </w:rPr>
        <w:t> </w:t>
      </w:r>
      <w:r>
        <w:rPr>
          <w:i/>
          <w:sz w:val="19"/>
        </w:rPr>
        <w:t>and</w:t>
      </w:r>
      <w:r>
        <w:rPr>
          <w:i/>
          <w:spacing w:val="19"/>
          <w:sz w:val="19"/>
        </w:rPr>
        <w:t> </w:t>
      </w:r>
      <w:r>
        <w:rPr>
          <w:i/>
          <w:sz w:val="19"/>
        </w:rPr>
        <w:t>Leibniz: A Philosophy</w:t>
      </w:r>
      <w:r>
        <w:rPr>
          <w:i/>
          <w:spacing w:val="19"/>
          <w:sz w:val="19"/>
        </w:rPr>
        <w:t> </w:t>
      </w:r>
      <w:r>
        <w:rPr>
          <w:i/>
          <w:sz w:val="19"/>
        </w:rPr>
        <w:t>of the Copy.</w:t>
      </w:r>
      <w:r>
        <w:rPr>
          <w:i/>
          <w:spacing w:val="19"/>
          <w:sz w:val="19"/>
        </w:rPr>
        <w:t> </w:t>
      </w:r>
      <w:r>
        <w:rPr>
          <w:sz w:val="19"/>
        </w:rPr>
        <w:t>Shakespeare,</w:t>
      </w:r>
      <w:r>
        <w:rPr>
          <w:spacing w:val="19"/>
          <w:sz w:val="19"/>
        </w:rPr>
        <w:t> </w:t>
      </w:r>
      <w:r>
        <w:rPr>
          <w:sz w:val="19"/>
        </w:rPr>
        <w:t>11(1), 10-</w:t>
      </w:r>
      <w:r>
        <w:rPr>
          <w:spacing w:val="-4"/>
          <w:sz w:val="19"/>
        </w:rPr>
        <w:t>19.</w:t>
      </w:r>
    </w:p>
    <w:p>
      <w:pPr>
        <w:pStyle w:val="ListParagraph"/>
        <w:numPr>
          <w:ilvl w:val="0"/>
          <w:numId w:val="57"/>
        </w:numPr>
        <w:tabs>
          <w:tab w:pos="2157" w:val="left" w:leader="none"/>
          <w:tab w:pos="2160" w:val="left" w:leader="none"/>
        </w:tabs>
        <w:spacing w:line="261" w:lineRule="auto" w:before="59" w:after="0"/>
        <w:ind w:left="2160" w:right="1438" w:hanging="315"/>
        <w:jc w:val="both"/>
        <w:rPr>
          <w:sz w:val="19"/>
        </w:rPr>
      </w:pPr>
      <w:r>
        <w:rPr>
          <w:sz w:val="19"/>
        </w:rPr>
        <w:t>Fischlin, D., &amp; Fortier, M. (2000).</w:t>
      </w:r>
      <w:r>
        <w:rPr>
          <w:spacing w:val="23"/>
          <w:sz w:val="19"/>
        </w:rPr>
        <w:t> </w:t>
      </w:r>
      <w:r>
        <w:rPr>
          <w:i/>
          <w:sz w:val="19"/>
        </w:rPr>
        <w:t>Adaptations of Shakespeare:</w:t>
      </w:r>
      <w:r>
        <w:rPr>
          <w:i/>
          <w:spacing w:val="80"/>
          <w:sz w:val="19"/>
        </w:rPr>
        <w:t> </w:t>
      </w:r>
      <w:r>
        <w:rPr>
          <w:i/>
          <w:sz w:val="19"/>
        </w:rPr>
        <w:t>A</w:t>
      </w:r>
      <w:r>
        <w:rPr>
          <w:i/>
          <w:spacing w:val="40"/>
          <w:sz w:val="19"/>
        </w:rPr>
        <w:t> </w:t>
      </w:r>
      <w:r>
        <w:rPr>
          <w:i/>
          <w:sz w:val="19"/>
        </w:rPr>
        <w:t>Critical</w:t>
      </w:r>
      <w:r>
        <w:rPr>
          <w:i/>
          <w:spacing w:val="40"/>
          <w:sz w:val="19"/>
        </w:rPr>
        <w:t> </w:t>
      </w:r>
      <w:r>
        <w:rPr>
          <w:i/>
          <w:sz w:val="19"/>
        </w:rPr>
        <w:t>Anthology</w:t>
      </w:r>
      <w:r>
        <w:rPr>
          <w:i/>
          <w:spacing w:val="40"/>
          <w:sz w:val="19"/>
        </w:rPr>
        <w:t> </w:t>
      </w:r>
      <w:r>
        <w:rPr>
          <w:i/>
          <w:sz w:val="19"/>
        </w:rPr>
        <w:t>of</w:t>
      </w:r>
      <w:r>
        <w:rPr>
          <w:i/>
          <w:spacing w:val="40"/>
          <w:sz w:val="19"/>
        </w:rPr>
        <w:t> </w:t>
      </w:r>
      <w:r>
        <w:rPr>
          <w:i/>
          <w:sz w:val="19"/>
        </w:rPr>
        <w:t>Plays</w:t>
      </w:r>
      <w:r>
        <w:rPr>
          <w:i/>
          <w:spacing w:val="40"/>
          <w:sz w:val="19"/>
        </w:rPr>
        <w:t> </w:t>
      </w:r>
      <w:r>
        <w:rPr>
          <w:i/>
          <w:sz w:val="19"/>
        </w:rPr>
        <w:t>from</w:t>
      </w:r>
      <w:r>
        <w:rPr>
          <w:i/>
          <w:spacing w:val="40"/>
          <w:sz w:val="19"/>
        </w:rPr>
        <w:t> </w:t>
      </w:r>
      <w:r>
        <w:rPr>
          <w:i/>
          <w:sz w:val="19"/>
        </w:rPr>
        <w:t>the</w:t>
      </w:r>
      <w:r>
        <w:rPr>
          <w:i/>
          <w:spacing w:val="40"/>
          <w:sz w:val="19"/>
        </w:rPr>
        <w:t> </w:t>
      </w:r>
      <w:r>
        <w:rPr>
          <w:i/>
          <w:sz w:val="19"/>
        </w:rPr>
        <w:t>Seventeenth</w:t>
      </w:r>
      <w:r>
        <w:rPr>
          <w:i/>
          <w:spacing w:val="40"/>
          <w:sz w:val="19"/>
        </w:rPr>
        <w:t> </w:t>
      </w:r>
      <w:r>
        <w:rPr>
          <w:i/>
          <w:sz w:val="19"/>
        </w:rPr>
        <w:t>Century</w:t>
      </w:r>
      <w:r>
        <w:rPr>
          <w:i/>
          <w:spacing w:val="40"/>
          <w:sz w:val="19"/>
        </w:rPr>
        <w:t> </w:t>
      </w:r>
      <w:r>
        <w:rPr>
          <w:i/>
          <w:sz w:val="19"/>
        </w:rPr>
        <w:t>to</w:t>
      </w:r>
      <w:r>
        <w:rPr>
          <w:i/>
          <w:spacing w:val="40"/>
          <w:sz w:val="19"/>
        </w:rPr>
        <w:t> </w:t>
      </w:r>
      <w:r>
        <w:rPr>
          <w:i/>
          <w:sz w:val="19"/>
        </w:rPr>
        <w:t>the</w:t>
      </w:r>
      <w:r>
        <w:rPr>
          <w:i/>
          <w:spacing w:val="40"/>
          <w:sz w:val="19"/>
        </w:rPr>
        <w:t> </w:t>
      </w:r>
      <w:r>
        <w:rPr>
          <w:i/>
          <w:sz w:val="19"/>
        </w:rPr>
        <w:t>Present.</w:t>
      </w:r>
      <w:r>
        <w:rPr>
          <w:i/>
          <w:spacing w:val="40"/>
          <w:sz w:val="19"/>
        </w:rPr>
        <w:t> </w:t>
      </w:r>
      <w:r>
        <w:rPr>
          <w:sz w:val="19"/>
        </w:rPr>
        <w:t>Routledge.</w:t>
      </w:r>
    </w:p>
    <w:p>
      <w:pPr>
        <w:pStyle w:val="ListParagraph"/>
        <w:numPr>
          <w:ilvl w:val="0"/>
          <w:numId w:val="57"/>
        </w:numPr>
        <w:tabs>
          <w:tab w:pos="2157" w:val="left" w:leader="none"/>
          <w:tab w:pos="2160" w:val="left" w:leader="none"/>
        </w:tabs>
        <w:spacing w:line="261" w:lineRule="auto" w:before="58" w:after="0"/>
        <w:ind w:left="2160" w:right="1440" w:hanging="315"/>
        <w:jc w:val="both"/>
        <w:rPr>
          <w:sz w:val="19"/>
        </w:rPr>
      </w:pPr>
      <w:r>
        <w:rPr>
          <w:sz w:val="19"/>
        </w:rPr>
        <w:t>Huang, A.</w:t>
      </w:r>
      <w:r>
        <w:rPr>
          <w:spacing w:val="24"/>
          <w:sz w:val="19"/>
        </w:rPr>
        <w:t> </w:t>
      </w:r>
      <w:r>
        <w:rPr>
          <w:sz w:val="19"/>
        </w:rPr>
        <w:t>S.,</w:t>
      </w:r>
      <w:r>
        <w:rPr>
          <w:spacing w:val="26"/>
          <w:sz w:val="19"/>
        </w:rPr>
        <w:t> </w:t>
      </w:r>
      <w:r>
        <w:rPr>
          <w:sz w:val="19"/>
        </w:rPr>
        <w:t>&amp;</w:t>
      </w:r>
      <w:r>
        <w:rPr>
          <w:spacing w:val="21"/>
          <w:sz w:val="19"/>
        </w:rPr>
        <w:t> </w:t>
      </w:r>
      <w:r>
        <w:rPr>
          <w:sz w:val="19"/>
        </w:rPr>
        <w:t>Rivlin,</w:t>
      </w:r>
      <w:r>
        <w:rPr>
          <w:spacing w:val="26"/>
          <w:sz w:val="19"/>
        </w:rPr>
        <w:t> </w:t>
      </w:r>
      <w:r>
        <w:rPr>
          <w:sz w:val="19"/>
        </w:rPr>
        <w:t>E.</w:t>
      </w:r>
      <w:r>
        <w:rPr>
          <w:spacing w:val="24"/>
          <w:sz w:val="19"/>
        </w:rPr>
        <w:t> </w:t>
      </w:r>
      <w:r>
        <w:rPr>
          <w:sz w:val="19"/>
        </w:rPr>
        <w:t>(2014).</w:t>
      </w:r>
      <w:r>
        <w:rPr>
          <w:spacing w:val="28"/>
          <w:sz w:val="19"/>
        </w:rPr>
        <w:t> </w:t>
      </w:r>
      <w:r>
        <w:rPr>
          <w:i/>
          <w:sz w:val="19"/>
        </w:rPr>
        <w:t>Shakespeare</w:t>
      </w:r>
      <w:r>
        <w:rPr>
          <w:i/>
          <w:spacing w:val="25"/>
          <w:sz w:val="19"/>
        </w:rPr>
        <w:t> </w:t>
      </w:r>
      <w:r>
        <w:rPr>
          <w:i/>
          <w:sz w:val="19"/>
        </w:rPr>
        <w:t>and</w:t>
      </w:r>
      <w:r>
        <w:rPr>
          <w:i/>
          <w:spacing w:val="26"/>
          <w:sz w:val="19"/>
        </w:rPr>
        <w:t> </w:t>
      </w:r>
      <w:r>
        <w:rPr>
          <w:i/>
          <w:sz w:val="19"/>
        </w:rPr>
        <w:t>the</w:t>
      </w:r>
      <w:r>
        <w:rPr>
          <w:i/>
          <w:spacing w:val="24"/>
          <w:sz w:val="19"/>
        </w:rPr>
        <w:t> </w:t>
      </w:r>
      <w:r>
        <w:rPr>
          <w:i/>
          <w:sz w:val="19"/>
        </w:rPr>
        <w:t>Ethics of</w:t>
      </w:r>
      <w:r>
        <w:rPr>
          <w:i/>
          <w:spacing w:val="40"/>
          <w:sz w:val="19"/>
        </w:rPr>
        <w:t> </w:t>
      </w:r>
      <w:r>
        <w:rPr>
          <w:i/>
          <w:sz w:val="19"/>
        </w:rPr>
        <w:t>Appropriation.</w:t>
      </w:r>
      <w:r>
        <w:rPr>
          <w:i/>
          <w:spacing w:val="40"/>
          <w:sz w:val="19"/>
        </w:rPr>
        <w:t> </w:t>
      </w:r>
      <w:r>
        <w:rPr>
          <w:sz w:val="19"/>
        </w:rPr>
        <w:t>Palgrave</w:t>
      </w:r>
      <w:r>
        <w:rPr>
          <w:spacing w:val="40"/>
          <w:sz w:val="19"/>
        </w:rPr>
        <w:t> </w:t>
      </w:r>
      <w:r>
        <w:rPr>
          <w:sz w:val="19"/>
        </w:rPr>
        <w:t>Macmillan.</w:t>
      </w:r>
    </w:p>
    <w:p>
      <w:pPr>
        <w:pStyle w:val="ListParagraph"/>
        <w:numPr>
          <w:ilvl w:val="0"/>
          <w:numId w:val="57"/>
        </w:numPr>
        <w:tabs>
          <w:tab w:pos="2157" w:val="left" w:leader="none"/>
        </w:tabs>
        <w:spacing w:line="240" w:lineRule="auto" w:before="56" w:after="0"/>
        <w:ind w:left="2157" w:right="0" w:hanging="312"/>
        <w:jc w:val="both"/>
        <w:rPr>
          <w:sz w:val="19"/>
        </w:rPr>
      </w:pPr>
      <w:r>
        <w:rPr>
          <w:sz w:val="19"/>
        </w:rPr>
        <w:t>Sanders,</w:t>
      </w:r>
      <w:r>
        <w:rPr>
          <w:spacing w:val="46"/>
          <w:sz w:val="19"/>
        </w:rPr>
        <w:t> </w:t>
      </w:r>
      <w:r>
        <w:rPr>
          <w:sz w:val="19"/>
        </w:rPr>
        <w:t>J.</w:t>
      </w:r>
      <w:r>
        <w:rPr>
          <w:spacing w:val="49"/>
          <w:sz w:val="19"/>
        </w:rPr>
        <w:t> </w:t>
      </w:r>
      <w:r>
        <w:rPr>
          <w:sz w:val="19"/>
        </w:rPr>
        <w:t>(2016).</w:t>
      </w:r>
      <w:r>
        <w:rPr>
          <w:spacing w:val="48"/>
          <w:sz w:val="19"/>
        </w:rPr>
        <w:t> </w:t>
      </w:r>
      <w:r>
        <w:rPr>
          <w:i/>
          <w:sz w:val="19"/>
        </w:rPr>
        <w:t>Adaptation</w:t>
      </w:r>
      <w:r>
        <w:rPr>
          <w:i/>
          <w:spacing w:val="46"/>
          <w:sz w:val="19"/>
        </w:rPr>
        <w:t> </w:t>
      </w:r>
      <w:r>
        <w:rPr>
          <w:i/>
          <w:sz w:val="19"/>
        </w:rPr>
        <w:t>and</w:t>
      </w:r>
      <w:r>
        <w:rPr>
          <w:i/>
          <w:spacing w:val="51"/>
          <w:sz w:val="19"/>
        </w:rPr>
        <w:t> </w:t>
      </w:r>
      <w:r>
        <w:rPr>
          <w:i/>
          <w:sz w:val="19"/>
        </w:rPr>
        <w:t>Appropriation.</w:t>
      </w:r>
      <w:r>
        <w:rPr>
          <w:i/>
          <w:spacing w:val="49"/>
          <w:sz w:val="19"/>
        </w:rPr>
        <w:t> </w:t>
      </w:r>
      <w:r>
        <w:rPr>
          <w:spacing w:val="-2"/>
          <w:sz w:val="19"/>
        </w:rPr>
        <w:t>Routledge.</w:t>
      </w:r>
    </w:p>
    <w:p>
      <w:pPr>
        <w:pStyle w:val="ListParagraph"/>
        <w:numPr>
          <w:ilvl w:val="0"/>
          <w:numId w:val="57"/>
        </w:numPr>
        <w:tabs>
          <w:tab w:pos="2157" w:val="left" w:leader="none"/>
          <w:tab w:pos="2160" w:val="left" w:leader="none"/>
        </w:tabs>
        <w:spacing w:line="261" w:lineRule="auto" w:before="77" w:after="0"/>
        <w:ind w:left="2160" w:right="1437" w:hanging="315"/>
        <w:jc w:val="both"/>
        <w:rPr>
          <w:sz w:val="19"/>
        </w:rPr>
      </w:pPr>
      <w:r>
        <w:rPr>
          <w:sz w:val="19"/>
        </w:rPr>
        <w:t>Novy, M. (1994). </w:t>
      </w:r>
      <w:r>
        <w:rPr>
          <w:i/>
          <w:sz w:val="19"/>
        </w:rPr>
        <w:t>Engaging with Shakespeare: Responses of George Eliot and Other Women Novelists. </w:t>
      </w:r>
      <w:r>
        <w:rPr>
          <w:sz w:val="19"/>
        </w:rPr>
        <w:t>University of Iowa </w:t>
      </w:r>
      <w:r>
        <w:rPr>
          <w:spacing w:val="-2"/>
          <w:sz w:val="19"/>
        </w:rPr>
        <w:t>Press.</w:t>
      </w:r>
    </w:p>
    <w:p>
      <w:pPr>
        <w:pStyle w:val="ListParagraph"/>
        <w:numPr>
          <w:ilvl w:val="0"/>
          <w:numId w:val="57"/>
        </w:numPr>
        <w:tabs>
          <w:tab w:pos="2157" w:val="left" w:leader="none"/>
        </w:tabs>
        <w:spacing w:line="240" w:lineRule="auto" w:before="59" w:after="0"/>
        <w:ind w:left="2157" w:right="0" w:hanging="312"/>
        <w:jc w:val="left"/>
        <w:rPr>
          <w:sz w:val="19"/>
        </w:rPr>
      </w:pPr>
      <w:r>
        <w:rPr>
          <w:sz w:val="19"/>
        </w:rPr>
        <w:t>Atwood,</w:t>
      </w:r>
      <w:r>
        <w:rPr>
          <w:spacing w:val="53"/>
          <w:sz w:val="19"/>
        </w:rPr>
        <w:t> </w:t>
      </w:r>
      <w:r>
        <w:rPr>
          <w:sz w:val="19"/>
        </w:rPr>
        <w:t>M.</w:t>
      </w:r>
      <w:r>
        <w:rPr>
          <w:spacing w:val="53"/>
          <w:sz w:val="19"/>
        </w:rPr>
        <w:t> </w:t>
      </w:r>
      <w:r>
        <w:rPr>
          <w:sz w:val="19"/>
        </w:rPr>
        <w:t>(2005).</w:t>
      </w:r>
      <w:r>
        <w:rPr>
          <w:spacing w:val="52"/>
          <w:sz w:val="19"/>
        </w:rPr>
        <w:t> </w:t>
      </w:r>
      <w:r>
        <w:rPr>
          <w:i/>
          <w:sz w:val="19"/>
        </w:rPr>
        <w:t>The</w:t>
      </w:r>
      <w:r>
        <w:rPr>
          <w:i/>
          <w:spacing w:val="52"/>
          <w:sz w:val="19"/>
        </w:rPr>
        <w:t> </w:t>
      </w:r>
      <w:r>
        <w:rPr>
          <w:i/>
          <w:sz w:val="19"/>
        </w:rPr>
        <w:t>Penelopiad.</w:t>
      </w:r>
      <w:r>
        <w:rPr>
          <w:i/>
          <w:spacing w:val="51"/>
          <w:sz w:val="19"/>
        </w:rPr>
        <w:t> </w:t>
      </w:r>
      <w:r>
        <w:rPr>
          <w:sz w:val="19"/>
        </w:rPr>
        <w:t>Canongate</w:t>
      </w:r>
      <w:r>
        <w:rPr>
          <w:spacing w:val="52"/>
          <w:sz w:val="19"/>
        </w:rPr>
        <w:t> </w:t>
      </w:r>
      <w:r>
        <w:rPr>
          <w:spacing w:val="-2"/>
          <w:sz w:val="19"/>
        </w:rPr>
        <w:t>Books.</w:t>
      </w:r>
    </w:p>
    <w:p>
      <w:pPr>
        <w:pStyle w:val="ListParagraph"/>
        <w:numPr>
          <w:ilvl w:val="0"/>
          <w:numId w:val="57"/>
        </w:numPr>
        <w:tabs>
          <w:tab w:pos="2157" w:val="left" w:leader="none"/>
        </w:tabs>
        <w:spacing w:line="240" w:lineRule="auto" w:before="76" w:after="0"/>
        <w:ind w:left="2157" w:right="0" w:hanging="312"/>
        <w:jc w:val="left"/>
        <w:rPr>
          <w:sz w:val="19"/>
        </w:rPr>
      </w:pPr>
      <w:r>
        <w:rPr>
          <w:sz w:val="19"/>
        </w:rPr>
        <w:t>Césaire,</w:t>
      </w:r>
      <w:r>
        <w:rPr>
          <w:spacing w:val="19"/>
          <w:sz w:val="19"/>
        </w:rPr>
        <w:t> </w:t>
      </w:r>
      <w:r>
        <w:rPr>
          <w:sz w:val="19"/>
        </w:rPr>
        <w:t>A.</w:t>
      </w:r>
      <w:r>
        <w:rPr>
          <w:spacing w:val="31"/>
          <w:sz w:val="19"/>
        </w:rPr>
        <w:t> </w:t>
      </w:r>
      <w:r>
        <w:rPr>
          <w:sz w:val="19"/>
        </w:rPr>
        <w:t>(1969).</w:t>
      </w:r>
      <w:r>
        <w:rPr>
          <w:spacing w:val="31"/>
          <w:sz w:val="19"/>
        </w:rPr>
        <w:t> </w:t>
      </w:r>
      <w:r>
        <w:rPr>
          <w:i/>
          <w:sz w:val="19"/>
        </w:rPr>
        <w:t>A</w:t>
      </w:r>
      <w:r>
        <w:rPr>
          <w:i/>
          <w:spacing w:val="26"/>
          <w:sz w:val="19"/>
        </w:rPr>
        <w:t> </w:t>
      </w:r>
      <w:r>
        <w:rPr>
          <w:i/>
          <w:sz w:val="19"/>
        </w:rPr>
        <w:t>Tempest</w:t>
      </w:r>
      <w:r>
        <w:rPr>
          <w:i/>
          <w:spacing w:val="32"/>
          <w:sz w:val="19"/>
        </w:rPr>
        <w:t> </w:t>
      </w:r>
      <w:r>
        <w:rPr>
          <w:i/>
          <w:sz w:val="19"/>
        </w:rPr>
        <w:t>(Une</w:t>
      </w:r>
      <w:r>
        <w:rPr>
          <w:i/>
          <w:spacing w:val="30"/>
          <w:sz w:val="19"/>
        </w:rPr>
        <w:t> </w:t>
      </w:r>
      <w:r>
        <w:rPr>
          <w:i/>
          <w:sz w:val="19"/>
        </w:rPr>
        <w:t>Tempête).</w:t>
      </w:r>
      <w:r>
        <w:rPr>
          <w:i/>
          <w:spacing w:val="34"/>
          <w:sz w:val="19"/>
        </w:rPr>
        <w:t> </w:t>
      </w:r>
      <w:r>
        <w:rPr>
          <w:spacing w:val="-2"/>
          <w:sz w:val="19"/>
        </w:rPr>
        <w:t>Seuil.</w:t>
      </w:r>
    </w:p>
    <w:p>
      <w:pPr>
        <w:pStyle w:val="ListParagraph"/>
        <w:numPr>
          <w:ilvl w:val="0"/>
          <w:numId w:val="57"/>
        </w:numPr>
        <w:tabs>
          <w:tab w:pos="2157" w:val="left" w:leader="none"/>
        </w:tabs>
        <w:spacing w:line="240" w:lineRule="auto" w:before="79" w:after="0"/>
        <w:ind w:left="2157" w:right="0" w:hanging="312"/>
        <w:jc w:val="left"/>
        <w:rPr>
          <w:sz w:val="19"/>
        </w:rPr>
      </w:pPr>
      <w:r>
        <w:rPr>
          <w:sz w:val="19"/>
        </w:rPr>
        <w:t>Klein,</w:t>
      </w:r>
      <w:r>
        <w:rPr>
          <w:spacing w:val="36"/>
          <w:sz w:val="19"/>
        </w:rPr>
        <w:t> </w:t>
      </w:r>
      <w:r>
        <w:rPr>
          <w:sz w:val="19"/>
        </w:rPr>
        <w:t>L.</w:t>
      </w:r>
      <w:r>
        <w:rPr>
          <w:spacing w:val="35"/>
          <w:sz w:val="19"/>
        </w:rPr>
        <w:t> </w:t>
      </w:r>
      <w:r>
        <w:rPr>
          <w:sz w:val="19"/>
        </w:rPr>
        <w:t>(2006).</w:t>
      </w:r>
      <w:r>
        <w:rPr>
          <w:spacing w:val="36"/>
          <w:sz w:val="19"/>
        </w:rPr>
        <w:t> </w:t>
      </w:r>
      <w:r>
        <w:rPr>
          <w:i/>
          <w:sz w:val="19"/>
        </w:rPr>
        <w:t>Ophelia.</w:t>
      </w:r>
      <w:r>
        <w:rPr>
          <w:i/>
          <w:spacing w:val="36"/>
          <w:sz w:val="19"/>
        </w:rPr>
        <w:t> </w:t>
      </w:r>
      <w:r>
        <w:rPr>
          <w:sz w:val="19"/>
        </w:rPr>
        <w:t>Bloomsbury</w:t>
      </w:r>
      <w:r>
        <w:rPr>
          <w:spacing w:val="33"/>
          <w:sz w:val="19"/>
        </w:rPr>
        <w:t> </w:t>
      </w:r>
      <w:r>
        <w:rPr>
          <w:spacing w:val="-2"/>
          <w:sz w:val="19"/>
        </w:rPr>
        <w:t>Publishing.</w:t>
      </w:r>
    </w:p>
    <w:p>
      <w:pPr>
        <w:pStyle w:val="ListParagraph"/>
        <w:numPr>
          <w:ilvl w:val="0"/>
          <w:numId w:val="57"/>
        </w:numPr>
        <w:tabs>
          <w:tab w:pos="2157" w:val="left" w:leader="none"/>
          <w:tab w:pos="2160" w:val="left" w:leader="none"/>
        </w:tabs>
        <w:spacing w:line="261" w:lineRule="auto" w:before="77" w:after="0"/>
        <w:ind w:left="2160" w:right="1437" w:hanging="315"/>
        <w:jc w:val="left"/>
        <w:rPr>
          <w:sz w:val="19"/>
        </w:rPr>
      </w:pPr>
      <w:r>
        <w:rPr>
          <w:spacing w:val="10"/>
          <w:sz w:val="19"/>
        </w:rPr>
        <w:t>Massai,</w:t>
      </w:r>
      <w:r>
        <w:rPr>
          <w:spacing w:val="80"/>
          <w:w w:val="150"/>
          <w:sz w:val="19"/>
        </w:rPr>
        <w:t> </w:t>
      </w:r>
      <w:r>
        <w:rPr>
          <w:sz w:val="19"/>
        </w:rPr>
        <w:t>S.</w:t>
      </w:r>
      <w:r>
        <w:rPr>
          <w:spacing w:val="80"/>
          <w:w w:val="150"/>
          <w:sz w:val="19"/>
        </w:rPr>
        <w:t> </w:t>
      </w:r>
      <w:r>
        <w:rPr>
          <w:spacing w:val="10"/>
          <w:sz w:val="19"/>
        </w:rPr>
        <w:t>(2005).</w:t>
      </w:r>
      <w:r>
        <w:rPr>
          <w:spacing w:val="80"/>
          <w:w w:val="150"/>
          <w:sz w:val="19"/>
        </w:rPr>
        <w:t> </w:t>
      </w:r>
      <w:r>
        <w:rPr>
          <w:i/>
          <w:sz w:val="19"/>
        </w:rPr>
        <w:t>World-Wide</w:t>
      </w:r>
      <w:r>
        <w:rPr>
          <w:i/>
          <w:spacing w:val="80"/>
          <w:w w:val="150"/>
          <w:sz w:val="19"/>
        </w:rPr>
        <w:t> </w:t>
      </w:r>
      <w:r>
        <w:rPr>
          <w:i/>
          <w:spacing w:val="10"/>
          <w:sz w:val="19"/>
        </w:rPr>
        <w:t>Shakespeares:</w:t>
      </w:r>
      <w:r>
        <w:rPr>
          <w:i/>
          <w:spacing w:val="80"/>
          <w:w w:val="150"/>
          <w:sz w:val="19"/>
        </w:rPr>
        <w:t> </w:t>
      </w:r>
      <w:r>
        <w:rPr>
          <w:i/>
          <w:spacing w:val="10"/>
          <w:sz w:val="19"/>
        </w:rPr>
        <w:t>Local </w:t>
      </w:r>
      <w:r>
        <w:rPr>
          <w:i/>
          <w:sz w:val="19"/>
        </w:rPr>
        <w:t>Appropriations</w:t>
      </w:r>
      <w:r>
        <w:rPr>
          <w:i/>
          <w:spacing w:val="40"/>
          <w:sz w:val="19"/>
        </w:rPr>
        <w:t> </w:t>
      </w:r>
      <w:r>
        <w:rPr>
          <w:i/>
          <w:sz w:val="19"/>
        </w:rPr>
        <w:t>in</w:t>
      </w:r>
      <w:r>
        <w:rPr>
          <w:i/>
          <w:spacing w:val="40"/>
          <w:sz w:val="19"/>
        </w:rPr>
        <w:t> </w:t>
      </w:r>
      <w:r>
        <w:rPr>
          <w:i/>
          <w:sz w:val="19"/>
        </w:rPr>
        <w:t>Film</w:t>
      </w:r>
      <w:r>
        <w:rPr>
          <w:i/>
          <w:spacing w:val="40"/>
          <w:sz w:val="19"/>
        </w:rPr>
        <w:t> </w:t>
      </w:r>
      <w:r>
        <w:rPr>
          <w:i/>
          <w:sz w:val="19"/>
        </w:rPr>
        <w:t>and</w:t>
      </w:r>
      <w:r>
        <w:rPr>
          <w:i/>
          <w:spacing w:val="40"/>
          <w:sz w:val="19"/>
        </w:rPr>
        <w:t> </w:t>
      </w:r>
      <w:r>
        <w:rPr>
          <w:i/>
          <w:sz w:val="19"/>
        </w:rPr>
        <w:t>Performance.</w:t>
      </w:r>
      <w:r>
        <w:rPr>
          <w:i/>
          <w:spacing w:val="40"/>
          <w:sz w:val="19"/>
        </w:rPr>
        <w:t> </w:t>
      </w:r>
      <w:r>
        <w:rPr>
          <w:sz w:val="19"/>
        </w:rPr>
        <w:t>Routledge.</w:t>
      </w:r>
    </w:p>
    <w:p>
      <w:pPr>
        <w:pStyle w:val="ListParagraph"/>
        <w:numPr>
          <w:ilvl w:val="0"/>
          <w:numId w:val="57"/>
        </w:numPr>
        <w:tabs>
          <w:tab w:pos="2157" w:val="left" w:leader="none"/>
        </w:tabs>
        <w:spacing w:line="240" w:lineRule="auto" w:before="59" w:after="0"/>
        <w:ind w:left="2157" w:right="0" w:hanging="403"/>
        <w:jc w:val="left"/>
        <w:rPr>
          <w:sz w:val="19"/>
        </w:rPr>
      </w:pPr>
      <w:r>
        <w:rPr>
          <w:sz w:val="19"/>
        </w:rPr>
        <w:t>Warner,</w:t>
      </w:r>
      <w:r>
        <w:rPr>
          <w:spacing w:val="38"/>
          <w:sz w:val="19"/>
        </w:rPr>
        <w:t> </w:t>
      </w:r>
      <w:r>
        <w:rPr>
          <w:sz w:val="19"/>
        </w:rPr>
        <w:t>M.</w:t>
      </w:r>
      <w:r>
        <w:rPr>
          <w:spacing w:val="41"/>
          <w:sz w:val="19"/>
        </w:rPr>
        <w:t> </w:t>
      </w:r>
      <w:r>
        <w:rPr>
          <w:sz w:val="19"/>
        </w:rPr>
        <w:t>(1992).</w:t>
      </w:r>
      <w:r>
        <w:rPr>
          <w:spacing w:val="37"/>
          <w:sz w:val="19"/>
        </w:rPr>
        <w:t> </w:t>
      </w:r>
      <w:r>
        <w:rPr>
          <w:i/>
          <w:sz w:val="19"/>
        </w:rPr>
        <w:t>Indigo.</w:t>
      </w:r>
      <w:r>
        <w:rPr>
          <w:i/>
          <w:spacing w:val="39"/>
          <w:sz w:val="19"/>
        </w:rPr>
        <w:t> </w:t>
      </w:r>
      <w:r>
        <w:rPr>
          <w:sz w:val="19"/>
        </w:rPr>
        <w:t>Chatto</w:t>
      </w:r>
      <w:r>
        <w:rPr>
          <w:spacing w:val="41"/>
          <w:sz w:val="19"/>
        </w:rPr>
        <w:t> </w:t>
      </w:r>
      <w:r>
        <w:rPr>
          <w:sz w:val="19"/>
        </w:rPr>
        <w:t>&amp;</w:t>
      </w:r>
      <w:r>
        <w:rPr>
          <w:spacing w:val="35"/>
          <w:sz w:val="19"/>
        </w:rPr>
        <w:t> </w:t>
      </w:r>
      <w:r>
        <w:rPr>
          <w:spacing w:val="-2"/>
          <w:sz w:val="19"/>
        </w:rPr>
        <w:t>Windus.</w:t>
      </w:r>
    </w:p>
    <w:p>
      <w:pPr>
        <w:pStyle w:val="ListParagraph"/>
        <w:spacing w:after="0" w:line="240"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50144">
                <wp:simplePos x="0" y="0"/>
                <wp:positionH relativeFrom="page">
                  <wp:posOffset>2057400</wp:posOffset>
                </wp:positionH>
                <wp:positionV relativeFrom="page">
                  <wp:posOffset>1788723</wp:posOffset>
                </wp:positionV>
                <wp:extent cx="3655060" cy="140335"/>
                <wp:effectExtent l="0" t="0" r="0" b="0"/>
                <wp:wrapNone/>
                <wp:docPr id="551" name="Textbox 551"/>
                <wp:cNvGraphicFramePr>
                  <a:graphicFrameLocks/>
                </wp:cNvGraphicFramePr>
                <a:graphic>
                  <a:graphicData uri="http://schemas.microsoft.com/office/word/2010/wordprocessingShape">
                    <wps:wsp>
                      <wps:cNvPr id="551" name="Textbox 551"/>
                      <wps:cNvSpPr txBox="1"/>
                      <wps:spPr>
                        <a:xfrm>
                          <a:off x="0" y="0"/>
                          <a:ext cx="3655060" cy="140335"/>
                        </a:xfrm>
                        <a:prstGeom prst="rect">
                          <a:avLst/>
                        </a:prstGeom>
                      </wps:spPr>
                      <wps:txbx>
                        <w:txbxContent>
                          <w:p>
                            <w:pPr>
                              <w:tabs>
                                <w:tab w:pos="5754" w:val="right" w:leader="none"/>
                              </w:tabs>
                              <w:spacing w:line="219" w:lineRule="exact" w:before="0"/>
                              <w:ind w:left="0" w:right="0" w:firstLine="0"/>
                              <w:jc w:val="left"/>
                              <w:rPr>
                                <w:rFonts w:ascii="Verdana"/>
                                <w:sz w:val="18"/>
                              </w:rPr>
                            </w:pPr>
                            <w:r>
                              <w:rPr>
                                <w:rFonts w:ascii="Verdana"/>
                                <w:spacing w:val="-2"/>
                                <w:sz w:val="18"/>
                              </w:rPr>
                              <w:t>Feminist</w:t>
                            </w:r>
                            <w:r>
                              <w:rPr>
                                <w:rFonts w:ascii="Verdana"/>
                                <w:spacing w:val="5"/>
                                <w:sz w:val="18"/>
                              </w:rPr>
                              <w:t> </w:t>
                            </w:r>
                            <w:r>
                              <w:rPr>
                                <w:rFonts w:ascii="Verdana"/>
                                <w:spacing w:val="-2"/>
                                <w:sz w:val="18"/>
                              </w:rPr>
                              <w:t>Resistance</w:t>
                            </w:r>
                            <w:r>
                              <w:rPr>
                                <w:rFonts w:ascii="Verdana"/>
                                <w:spacing w:val="5"/>
                                <w:sz w:val="18"/>
                              </w:rPr>
                              <w:t> </w:t>
                            </w:r>
                            <w:r>
                              <w:rPr>
                                <w:rFonts w:ascii="Verdana"/>
                                <w:spacing w:val="-2"/>
                                <w:sz w:val="18"/>
                              </w:rPr>
                              <w:t>in</w:t>
                            </w:r>
                            <w:r>
                              <w:rPr>
                                <w:rFonts w:ascii="Verdana"/>
                                <w:spacing w:val="7"/>
                                <w:sz w:val="18"/>
                              </w:rPr>
                              <w:t> </w:t>
                            </w:r>
                            <w:r>
                              <w:rPr>
                                <w:rFonts w:ascii="Verdana"/>
                                <w:spacing w:val="-2"/>
                                <w:sz w:val="18"/>
                              </w:rPr>
                              <w:t>Shakespearean</w:t>
                            </w:r>
                            <w:r>
                              <w:rPr>
                                <w:rFonts w:ascii="Verdana"/>
                                <w:spacing w:val="6"/>
                                <w:sz w:val="18"/>
                              </w:rPr>
                              <w:t> </w:t>
                            </w:r>
                            <w:r>
                              <w:rPr>
                                <w:rFonts w:ascii="Verdana"/>
                                <w:spacing w:val="-2"/>
                                <w:sz w:val="18"/>
                              </w:rPr>
                              <w:t>Tragedies...</w:t>
                            </w:r>
                            <w:r>
                              <w:rPr>
                                <w:sz w:val="18"/>
                              </w:rPr>
                              <w:tab/>
                            </w:r>
                            <w:r>
                              <w:rPr>
                                <w:rFonts w:ascii="Verdana"/>
                                <w:spacing w:val="-5"/>
                                <w:sz w:val="18"/>
                              </w:rPr>
                              <w:t>265</w:t>
                            </w:r>
                          </w:p>
                        </w:txbxContent>
                      </wps:txbx>
                      <wps:bodyPr wrap="square" lIns="0" tIns="0" rIns="0" bIns="0" rtlCol="0">
                        <a:noAutofit/>
                      </wps:bodyPr>
                    </wps:wsp>
                  </a:graphicData>
                </a:graphic>
              </wp:anchor>
            </w:drawing>
          </mc:Choice>
          <mc:Fallback>
            <w:pict>
              <v:shape style="position:absolute;margin-left:162pt;margin-top:140.844391pt;width:287.8pt;height:11.05pt;mso-position-horizontal-relative:page;mso-position-vertical-relative:page;z-index:-20366336" type="#_x0000_t202" id="docshape546" filled="false" stroked="false">
                <v:textbox inset="0,0,0,0">
                  <w:txbxContent>
                    <w:p>
                      <w:pPr>
                        <w:tabs>
                          <w:tab w:pos="5754" w:val="right" w:leader="none"/>
                        </w:tabs>
                        <w:spacing w:line="219" w:lineRule="exact" w:before="0"/>
                        <w:ind w:left="0" w:right="0" w:firstLine="0"/>
                        <w:jc w:val="left"/>
                        <w:rPr>
                          <w:rFonts w:ascii="Verdana"/>
                          <w:sz w:val="18"/>
                        </w:rPr>
                      </w:pPr>
                      <w:r>
                        <w:rPr>
                          <w:rFonts w:ascii="Verdana"/>
                          <w:spacing w:val="-2"/>
                          <w:sz w:val="18"/>
                        </w:rPr>
                        <w:t>Feminist</w:t>
                      </w:r>
                      <w:r>
                        <w:rPr>
                          <w:rFonts w:ascii="Verdana"/>
                          <w:spacing w:val="5"/>
                          <w:sz w:val="18"/>
                        </w:rPr>
                        <w:t> </w:t>
                      </w:r>
                      <w:r>
                        <w:rPr>
                          <w:rFonts w:ascii="Verdana"/>
                          <w:spacing w:val="-2"/>
                          <w:sz w:val="18"/>
                        </w:rPr>
                        <w:t>Resistance</w:t>
                      </w:r>
                      <w:r>
                        <w:rPr>
                          <w:rFonts w:ascii="Verdana"/>
                          <w:spacing w:val="5"/>
                          <w:sz w:val="18"/>
                        </w:rPr>
                        <w:t> </w:t>
                      </w:r>
                      <w:r>
                        <w:rPr>
                          <w:rFonts w:ascii="Verdana"/>
                          <w:spacing w:val="-2"/>
                          <w:sz w:val="18"/>
                        </w:rPr>
                        <w:t>in</w:t>
                      </w:r>
                      <w:r>
                        <w:rPr>
                          <w:rFonts w:ascii="Verdana"/>
                          <w:spacing w:val="7"/>
                          <w:sz w:val="18"/>
                        </w:rPr>
                        <w:t> </w:t>
                      </w:r>
                      <w:r>
                        <w:rPr>
                          <w:rFonts w:ascii="Verdana"/>
                          <w:spacing w:val="-2"/>
                          <w:sz w:val="18"/>
                        </w:rPr>
                        <w:t>Shakespearean</w:t>
                      </w:r>
                      <w:r>
                        <w:rPr>
                          <w:rFonts w:ascii="Verdana"/>
                          <w:spacing w:val="6"/>
                          <w:sz w:val="18"/>
                        </w:rPr>
                        <w:t> </w:t>
                      </w:r>
                      <w:r>
                        <w:rPr>
                          <w:rFonts w:ascii="Verdana"/>
                          <w:spacing w:val="-2"/>
                          <w:sz w:val="18"/>
                        </w:rPr>
                        <w:t>Tragedies...</w:t>
                      </w:r>
                      <w:r>
                        <w:rPr>
                          <w:sz w:val="18"/>
                        </w:rPr>
                        <w:tab/>
                      </w:r>
                      <w:r>
                        <w:rPr>
                          <w:rFonts w:ascii="Verdana"/>
                          <w:spacing w:val="-5"/>
                          <w:sz w:val="18"/>
                        </w:rPr>
                        <w:t>265</w:t>
                      </w:r>
                    </w:p>
                  </w:txbxContent>
                </v:textbox>
                <w10:wrap type="none"/>
              </v:shape>
            </w:pict>
          </mc:Fallback>
        </mc:AlternateContent>
      </w:r>
    </w:p>
    <w:p>
      <w:pPr>
        <w:pStyle w:val="BodyText"/>
        <w:ind w:left="0"/>
      </w:pPr>
    </w:p>
    <w:p>
      <w:pPr>
        <w:pStyle w:val="BodyText"/>
        <w:spacing w:before="12"/>
        <w:ind w:left="0"/>
      </w:pPr>
    </w:p>
    <w:p>
      <w:pPr>
        <w:spacing w:line="240" w:lineRule="auto"/>
        <w:ind w:left="1036" w:right="0" w:firstLine="0"/>
        <w:rPr>
          <w:sz w:val="20"/>
        </w:rPr>
      </w:pPr>
      <w:r>
        <w:rPr>
          <w:sz w:val="20"/>
        </w:rPr>
        <mc:AlternateContent>
          <mc:Choice Requires="wps">
            <w:drawing>
              <wp:inline distT="0" distB="0" distL="0" distR="0">
                <wp:extent cx="4044950" cy="699770"/>
                <wp:effectExtent l="0" t="0" r="0" b="0"/>
                <wp:docPr id="552" name="Group 552"/>
                <wp:cNvGraphicFramePr>
                  <a:graphicFrameLocks/>
                </wp:cNvGraphicFramePr>
                <a:graphic>
                  <a:graphicData uri="http://schemas.microsoft.com/office/word/2010/wordprocessingGroup">
                    <wpg:wgp>
                      <wpg:cNvPr id="552" name="Group 552"/>
                      <wpg:cNvGrpSpPr/>
                      <wpg:grpSpPr>
                        <a:xfrm>
                          <a:off x="0" y="0"/>
                          <a:ext cx="4044950" cy="699770"/>
                          <a:chExt cx="4044950" cy="699770"/>
                        </a:xfrm>
                      </wpg:grpSpPr>
                      <wps:wsp>
                        <wps:cNvPr id="553" name="Graphic 553"/>
                        <wps:cNvSpPr/>
                        <wps:spPr>
                          <a:xfrm>
                            <a:off x="0" y="0"/>
                            <a:ext cx="4044950" cy="699770"/>
                          </a:xfrm>
                          <a:custGeom>
                            <a:avLst/>
                            <a:gdLst/>
                            <a:ahLst/>
                            <a:cxnLst/>
                            <a:rect l="l" t="t" r="r" b="b"/>
                            <a:pathLst>
                              <a:path w="4044950" h="699770">
                                <a:moveTo>
                                  <a:pt x="4044696" y="699516"/>
                                </a:moveTo>
                                <a:lnTo>
                                  <a:pt x="0" y="699516"/>
                                </a:lnTo>
                                <a:lnTo>
                                  <a:pt x="0" y="0"/>
                                </a:lnTo>
                                <a:lnTo>
                                  <a:pt x="4044696" y="0"/>
                                </a:lnTo>
                                <a:lnTo>
                                  <a:pt x="4044696"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547" coordorigin="0,0" coordsize="6370,1102">
                <v:rect style="position:absolute;left:0;top:0;width:6370;height:1102" id="docshape548"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85984">
                <wp:simplePos x="0" y="0"/>
                <wp:positionH relativeFrom="page">
                  <wp:posOffset>3470147</wp:posOffset>
                </wp:positionH>
                <wp:positionV relativeFrom="paragraph">
                  <wp:posOffset>272922</wp:posOffset>
                </wp:positionV>
                <wp:extent cx="728980" cy="655320"/>
                <wp:effectExtent l="0" t="0" r="0" b="0"/>
                <wp:wrapTopAndBottom/>
                <wp:docPr id="554" name="Group 554"/>
                <wp:cNvGraphicFramePr>
                  <a:graphicFrameLocks/>
                </wp:cNvGraphicFramePr>
                <a:graphic>
                  <a:graphicData uri="http://schemas.microsoft.com/office/word/2010/wordprocessingGroup">
                    <wpg:wgp>
                      <wpg:cNvPr id="554" name="Group 554"/>
                      <wpg:cNvGrpSpPr/>
                      <wpg:grpSpPr>
                        <a:xfrm>
                          <a:off x="0" y="0"/>
                          <a:ext cx="728980" cy="655320"/>
                          <a:chExt cx="728980" cy="655320"/>
                        </a:xfrm>
                      </wpg:grpSpPr>
                      <pic:pic>
                        <pic:nvPicPr>
                          <pic:cNvPr id="555" name="Image 555"/>
                          <pic:cNvPicPr/>
                        </pic:nvPicPr>
                        <pic:blipFill>
                          <a:blip r:embed="rId102" cstate="print"/>
                          <a:stretch>
                            <a:fillRect/>
                          </a:stretch>
                        </pic:blipFill>
                        <pic:spPr>
                          <a:xfrm>
                            <a:off x="0" y="0"/>
                            <a:ext cx="728472" cy="655320"/>
                          </a:xfrm>
                          <a:prstGeom prst="rect">
                            <a:avLst/>
                          </a:prstGeom>
                        </pic:spPr>
                      </pic:pic>
                      <wps:wsp>
                        <wps:cNvPr id="556" name="Textbox 556"/>
                        <wps:cNvSpPr txBox="1"/>
                        <wps:spPr>
                          <a:xfrm>
                            <a:off x="0" y="0"/>
                            <a:ext cx="728980" cy="655320"/>
                          </a:xfrm>
                          <a:prstGeom prst="rect">
                            <a:avLst/>
                          </a:prstGeom>
                        </wps:spPr>
                        <wps:txbx>
                          <w:txbxContent>
                            <w:p>
                              <w:pPr>
                                <w:spacing w:before="374"/>
                                <w:ind w:left="460" w:right="0" w:firstLine="0"/>
                                <w:jc w:val="left"/>
                                <w:rPr>
                                  <w:rFonts w:ascii="Tahoma"/>
                                  <w:b/>
                                  <w:sz w:val="36"/>
                                </w:rPr>
                              </w:pPr>
                              <w:r>
                                <w:rPr>
                                  <w:rFonts w:ascii="Tahoma"/>
                                  <w:b/>
                                  <w:spacing w:val="-5"/>
                                  <w:w w:val="95"/>
                                  <w:sz w:val="36"/>
                                </w:rPr>
                                <w:t>25</w:t>
                              </w:r>
                            </w:p>
                          </w:txbxContent>
                        </wps:txbx>
                        <wps:bodyPr wrap="square" lIns="0" tIns="0" rIns="0" bIns="0" rtlCol="0">
                          <a:noAutofit/>
                        </wps:bodyPr>
                      </wps:wsp>
                    </wpg:wgp>
                  </a:graphicData>
                </a:graphic>
              </wp:anchor>
            </w:drawing>
          </mc:Choice>
          <mc:Fallback>
            <w:pict>
              <v:group style="position:absolute;margin-left:273.239990pt;margin-top:21.489992pt;width:57.4pt;height:51.6pt;mso-position-horizontal-relative:page;mso-position-vertical-relative:paragraph;z-index:-15530496;mso-wrap-distance-left:0;mso-wrap-distance-right:0" id="docshapegroup549" coordorigin="5465,430" coordsize="1148,1032">
                <v:shape style="position:absolute;left:5464;top:429;width:1148;height:1032" type="#_x0000_t75" id="docshape550" stroked="false">
                  <v:imagedata r:id="rId102" o:title=""/>
                </v:shape>
                <v:shape style="position:absolute;left:5464;top:429;width:1148;height:1032" type="#_x0000_t202" id="docshape551" filled="false" stroked="false">
                  <v:textbox inset="0,0,0,0">
                    <w:txbxContent>
                      <w:p>
                        <w:pPr>
                          <w:spacing w:before="374"/>
                          <w:ind w:left="460" w:right="0" w:firstLine="0"/>
                          <w:jc w:val="left"/>
                          <w:rPr>
                            <w:rFonts w:ascii="Tahoma"/>
                            <w:b/>
                            <w:sz w:val="36"/>
                          </w:rPr>
                        </w:pPr>
                        <w:r>
                          <w:rPr>
                            <w:rFonts w:ascii="Tahoma"/>
                            <w:b/>
                            <w:spacing w:val="-5"/>
                            <w:w w:val="95"/>
                            <w:sz w:val="36"/>
                          </w:rPr>
                          <w:t>25</w:t>
                        </w:r>
                      </w:p>
                    </w:txbxContent>
                  </v:textbox>
                  <w10:wrap type="none"/>
                </v:shape>
                <w10:wrap type="topAndBottom"/>
              </v:group>
            </w:pict>
          </mc:Fallback>
        </mc:AlternateContent>
      </w:r>
    </w:p>
    <w:p>
      <w:pPr>
        <w:pStyle w:val="Heading1"/>
        <w:spacing w:line="211" w:lineRule="auto" w:before="28"/>
        <w:ind w:left="1884" w:right="1885" w:hanging="2"/>
      </w:pPr>
      <w:r>
        <w:rPr>
          <w:spacing w:val="-2"/>
        </w:rPr>
        <w:t>Feminist</w:t>
      </w:r>
      <w:r>
        <w:rPr>
          <w:spacing w:val="-22"/>
        </w:rPr>
        <w:t> </w:t>
      </w:r>
      <w:r>
        <w:rPr>
          <w:spacing w:val="-2"/>
        </w:rPr>
        <w:t>Resistance</w:t>
      </w:r>
      <w:r>
        <w:rPr>
          <w:spacing w:val="-21"/>
        </w:rPr>
        <w:t> </w:t>
      </w:r>
      <w:r>
        <w:rPr>
          <w:spacing w:val="-2"/>
        </w:rPr>
        <w:t>in </w:t>
      </w:r>
      <w:r>
        <w:rPr/>
        <w:t>Shakespearean Tragedies: </w:t>
      </w:r>
      <w:r>
        <w:rPr>
          <w:spacing w:val="-4"/>
        </w:rPr>
        <w:t>Reconfiguring</w:t>
      </w:r>
      <w:r>
        <w:rPr>
          <w:spacing w:val="-13"/>
        </w:rPr>
        <w:t> </w:t>
      </w:r>
      <w:r>
        <w:rPr>
          <w:spacing w:val="-4"/>
        </w:rPr>
        <w:t>Agency,</w:t>
      </w:r>
      <w:r>
        <w:rPr>
          <w:spacing w:val="-11"/>
        </w:rPr>
        <w:t> </w:t>
      </w:r>
      <w:r>
        <w:rPr>
          <w:spacing w:val="-4"/>
        </w:rPr>
        <w:t>Silence,</w:t>
      </w:r>
    </w:p>
    <w:p>
      <w:pPr>
        <w:tabs>
          <w:tab w:pos="2039" w:val="left" w:leader="none"/>
          <w:tab w:pos="5759" w:val="left" w:leader="none"/>
        </w:tabs>
        <w:spacing w:line="348" w:lineRule="exact" w:before="0"/>
        <w:ind w:left="0" w:right="0" w:firstLine="0"/>
        <w:jc w:val="center"/>
        <w:rPr>
          <w:rFonts w:ascii="Tahoma"/>
          <w:b/>
          <w:sz w:val="32"/>
        </w:rPr>
      </w:pPr>
      <w:r>
        <w:rPr>
          <w:sz w:val="32"/>
          <w:u w:val="single"/>
        </w:rPr>
        <w:tab/>
      </w:r>
      <w:r>
        <w:rPr>
          <w:rFonts w:ascii="Tahoma"/>
          <w:b/>
          <w:sz w:val="32"/>
          <w:u w:val="single"/>
        </w:rPr>
        <w:t>and</w:t>
      </w:r>
      <w:r>
        <w:rPr>
          <w:rFonts w:ascii="Tahoma"/>
          <w:b/>
          <w:spacing w:val="40"/>
          <w:sz w:val="32"/>
          <w:u w:val="single"/>
        </w:rPr>
        <w:t> </w:t>
      </w:r>
      <w:r>
        <w:rPr>
          <w:rFonts w:ascii="Tahoma"/>
          <w:b/>
          <w:spacing w:val="-4"/>
          <w:sz w:val="32"/>
          <w:u w:val="single"/>
        </w:rPr>
        <w:t>Power</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86496">
                <wp:simplePos x="0" y="0"/>
                <wp:positionH relativeFrom="page">
                  <wp:posOffset>2057400</wp:posOffset>
                </wp:positionH>
                <wp:positionV relativeFrom="paragraph">
                  <wp:posOffset>60051</wp:posOffset>
                </wp:positionV>
                <wp:extent cx="3657600" cy="7620"/>
                <wp:effectExtent l="0" t="0" r="0" b="0"/>
                <wp:wrapTopAndBottom/>
                <wp:docPr id="557" name="Graphic 557"/>
                <wp:cNvGraphicFramePr>
                  <a:graphicFrameLocks/>
                </wp:cNvGraphicFramePr>
                <a:graphic>
                  <a:graphicData uri="http://schemas.microsoft.com/office/word/2010/wordprocessingShape">
                    <wps:wsp>
                      <wps:cNvPr id="557" name="Graphic 557"/>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56pt;width:288.000009pt;height:.59999pt;mso-position-horizontal-relative:page;mso-position-vertical-relative:paragraph;z-index:-15529984;mso-wrap-distance-left:0;mso-wrap-distance-right:0" id="docshape552"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8"/>
        <w:jc w:val="right"/>
        <w:rPr>
          <w:rFonts w:ascii="Times New Roman"/>
        </w:rPr>
      </w:pPr>
      <w:r>
        <w:rPr>
          <w:rFonts w:ascii="Times New Roman"/>
        </w:rPr>
        <w:t>Ravulapati</w:t>
      </w:r>
      <w:r>
        <w:rPr>
          <w:rFonts w:ascii="Times New Roman"/>
          <w:spacing w:val="57"/>
          <w:w w:val="150"/>
        </w:rPr>
        <w:t> </w:t>
      </w:r>
      <w:r>
        <w:rPr>
          <w:rFonts w:ascii="Times New Roman"/>
          <w:spacing w:val="-2"/>
        </w:rPr>
        <w:t>Ujwala</w:t>
      </w:r>
    </w:p>
    <w:p>
      <w:pPr>
        <w:spacing w:before="15"/>
        <w:ind w:left="0" w:right="1436" w:firstLine="0"/>
        <w:jc w:val="right"/>
        <w:rPr>
          <w:i/>
          <w:sz w:val="19"/>
        </w:rPr>
      </w:pPr>
      <w:r>
        <w:rPr>
          <w:i/>
          <w:sz w:val="19"/>
        </w:rPr>
        <w:t>M.A.,</w:t>
      </w:r>
      <w:r>
        <w:rPr>
          <w:i/>
          <w:spacing w:val="59"/>
          <w:sz w:val="19"/>
        </w:rPr>
        <w:t> </w:t>
      </w:r>
      <w:r>
        <w:rPr>
          <w:i/>
          <w:sz w:val="19"/>
        </w:rPr>
        <w:t>Sri</w:t>
      </w:r>
      <w:r>
        <w:rPr>
          <w:i/>
          <w:spacing w:val="56"/>
          <w:sz w:val="19"/>
        </w:rPr>
        <w:t> </w:t>
      </w:r>
      <w:r>
        <w:rPr>
          <w:i/>
          <w:sz w:val="19"/>
        </w:rPr>
        <w:t>Padmavathi</w:t>
      </w:r>
      <w:r>
        <w:rPr>
          <w:i/>
          <w:spacing w:val="56"/>
          <w:sz w:val="19"/>
        </w:rPr>
        <w:t> </w:t>
      </w:r>
      <w:r>
        <w:rPr>
          <w:i/>
          <w:sz w:val="19"/>
        </w:rPr>
        <w:t>Mahila</w:t>
      </w:r>
      <w:r>
        <w:rPr>
          <w:i/>
          <w:spacing w:val="61"/>
          <w:sz w:val="19"/>
        </w:rPr>
        <w:t> </w:t>
      </w:r>
      <w:r>
        <w:rPr>
          <w:i/>
          <w:sz w:val="19"/>
        </w:rPr>
        <w:t>Viswa</w:t>
      </w:r>
      <w:r>
        <w:rPr>
          <w:i/>
          <w:spacing w:val="57"/>
          <w:sz w:val="19"/>
        </w:rPr>
        <w:t> </w:t>
      </w:r>
      <w:r>
        <w:rPr>
          <w:i/>
          <w:sz w:val="19"/>
        </w:rPr>
        <w:t>Vidyalayam,</w:t>
      </w:r>
      <w:r>
        <w:rPr>
          <w:i/>
          <w:spacing w:val="58"/>
          <w:sz w:val="19"/>
        </w:rPr>
        <w:t> </w:t>
      </w:r>
      <w:r>
        <w:rPr>
          <w:i/>
          <w:spacing w:val="-2"/>
          <w:sz w:val="19"/>
        </w:rPr>
        <w:t>Tirupati,</w:t>
      </w:r>
    </w:p>
    <w:p>
      <w:pPr>
        <w:spacing w:before="10"/>
        <w:ind w:left="0" w:right="1439" w:firstLine="0"/>
        <w:jc w:val="right"/>
        <w:rPr>
          <w:i/>
          <w:sz w:val="19"/>
        </w:rPr>
      </w:pPr>
      <w:r>
        <w:rPr>
          <w:i/>
          <w:sz w:val="19"/>
        </w:rPr>
        <w:t>Andhra</w:t>
      </w:r>
      <w:r>
        <w:rPr>
          <w:i/>
          <w:spacing w:val="75"/>
          <w:sz w:val="19"/>
        </w:rPr>
        <w:t> </w:t>
      </w:r>
      <w:r>
        <w:rPr>
          <w:i/>
          <w:spacing w:val="-2"/>
          <w:sz w:val="19"/>
        </w:rPr>
        <w:t>Pradesh</w:t>
      </w:r>
    </w:p>
    <w:p>
      <w:pPr>
        <w:pStyle w:val="BodyText"/>
        <w:spacing w:before="3"/>
        <w:ind w:left="0"/>
        <w:rPr>
          <w:i/>
          <w:sz w:val="19"/>
        </w:rPr>
      </w:pPr>
    </w:p>
    <w:p>
      <w:pPr>
        <w:pStyle w:val="Heading5"/>
        <w:ind w:left="0" w:right="1437"/>
        <w:jc w:val="right"/>
        <w:rPr>
          <w:rFonts w:ascii="Times New Roman"/>
        </w:rPr>
      </w:pPr>
      <w:r>
        <w:rPr>
          <w:rFonts w:ascii="Times New Roman"/>
        </w:rPr>
        <w:t>Ravulapati</w:t>
      </w:r>
      <w:r>
        <w:rPr>
          <w:rFonts w:ascii="Times New Roman"/>
          <w:spacing w:val="76"/>
        </w:rPr>
        <w:t> </w:t>
      </w:r>
      <w:r>
        <w:rPr>
          <w:rFonts w:ascii="Times New Roman"/>
          <w:spacing w:val="-2"/>
        </w:rPr>
        <w:t>Venkaiah</w:t>
      </w:r>
    </w:p>
    <w:p>
      <w:pPr>
        <w:spacing w:before="15"/>
        <w:ind w:left="0" w:right="1439" w:firstLine="0"/>
        <w:jc w:val="right"/>
        <w:rPr>
          <w:i/>
          <w:sz w:val="19"/>
        </w:rPr>
      </w:pPr>
      <w:r>
        <w:rPr>
          <w:i/>
          <w:sz w:val="19"/>
        </w:rPr>
        <w:t>Lecturer</w:t>
      </w:r>
      <w:r>
        <w:rPr>
          <w:i/>
          <w:spacing w:val="49"/>
          <w:sz w:val="19"/>
        </w:rPr>
        <w:t> </w:t>
      </w:r>
      <w:r>
        <w:rPr>
          <w:i/>
          <w:sz w:val="19"/>
        </w:rPr>
        <w:t>in</w:t>
      </w:r>
      <w:r>
        <w:rPr>
          <w:i/>
          <w:spacing w:val="51"/>
          <w:sz w:val="19"/>
        </w:rPr>
        <w:t> </w:t>
      </w:r>
      <w:r>
        <w:rPr>
          <w:i/>
          <w:sz w:val="19"/>
        </w:rPr>
        <w:t>History,</w:t>
      </w:r>
      <w:r>
        <w:rPr>
          <w:i/>
          <w:spacing w:val="51"/>
          <w:sz w:val="19"/>
        </w:rPr>
        <w:t> </w:t>
      </w:r>
      <w:r>
        <w:rPr>
          <w:i/>
          <w:sz w:val="19"/>
        </w:rPr>
        <w:t>VSR</w:t>
      </w:r>
      <w:r>
        <w:rPr>
          <w:i/>
          <w:spacing w:val="52"/>
          <w:sz w:val="19"/>
        </w:rPr>
        <w:t> </w:t>
      </w:r>
      <w:r>
        <w:rPr>
          <w:i/>
          <w:sz w:val="19"/>
        </w:rPr>
        <w:t>Government</w:t>
      </w:r>
      <w:r>
        <w:rPr>
          <w:i/>
          <w:spacing w:val="49"/>
          <w:sz w:val="19"/>
        </w:rPr>
        <w:t> </w:t>
      </w:r>
      <w:r>
        <w:rPr>
          <w:i/>
          <w:sz w:val="19"/>
        </w:rPr>
        <w:t>Degree</w:t>
      </w:r>
      <w:r>
        <w:rPr>
          <w:i/>
          <w:spacing w:val="49"/>
          <w:sz w:val="19"/>
        </w:rPr>
        <w:t> </w:t>
      </w:r>
      <w:r>
        <w:rPr>
          <w:i/>
          <w:sz w:val="19"/>
        </w:rPr>
        <w:t>&amp;</w:t>
      </w:r>
      <w:r>
        <w:rPr>
          <w:i/>
          <w:spacing w:val="43"/>
          <w:sz w:val="19"/>
        </w:rPr>
        <w:t> </w:t>
      </w:r>
      <w:r>
        <w:rPr>
          <w:i/>
          <w:sz w:val="19"/>
        </w:rPr>
        <w:t>PG</w:t>
      </w:r>
      <w:r>
        <w:rPr>
          <w:i/>
          <w:spacing w:val="49"/>
          <w:sz w:val="19"/>
        </w:rPr>
        <w:t> </w:t>
      </w:r>
      <w:r>
        <w:rPr>
          <w:i/>
          <w:spacing w:val="-2"/>
          <w:sz w:val="19"/>
        </w:rPr>
        <w:t>College,</w:t>
      </w:r>
    </w:p>
    <w:p>
      <w:pPr>
        <w:spacing w:before="9"/>
        <w:ind w:left="0" w:right="1436" w:firstLine="0"/>
        <w:jc w:val="right"/>
        <w:rPr>
          <w:i/>
          <w:sz w:val="19"/>
        </w:rPr>
      </w:pPr>
      <w:r>
        <w:rPr>
          <w:i/>
          <w:sz w:val="19"/>
        </w:rPr>
        <w:t>Movva,</w:t>
      </w:r>
      <w:r>
        <w:rPr>
          <w:i/>
          <w:spacing w:val="64"/>
          <w:sz w:val="19"/>
        </w:rPr>
        <w:t> </w:t>
      </w:r>
      <w:r>
        <w:rPr>
          <w:i/>
          <w:sz w:val="19"/>
        </w:rPr>
        <w:t>Krishna</w:t>
      </w:r>
      <w:r>
        <w:rPr>
          <w:i/>
          <w:spacing w:val="68"/>
          <w:sz w:val="19"/>
        </w:rPr>
        <w:t> </w:t>
      </w:r>
      <w:r>
        <w:rPr>
          <w:i/>
          <w:sz w:val="19"/>
        </w:rPr>
        <w:t>District,</w:t>
      </w:r>
      <w:r>
        <w:rPr>
          <w:i/>
          <w:spacing w:val="65"/>
          <w:sz w:val="19"/>
        </w:rPr>
        <w:t> </w:t>
      </w:r>
      <w:r>
        <w:rPr>
          <w:i/>
          <w:sz w:val="19"/>
        </w:rPr>
        <w:t>Andhra</w:t>
      </w:r>
      <w:r>
        <w:rPr>
          <w:i/>
          <w:spacing w:val="67"/>
          <w:sz w:val="19"/>
        </w:rPr>
        <w:t> </w:t>
      </w:r>
      <w:r>
        <w:rPr>
          <w:i/>
          <w:spacing w:val="-2"/>
          <w:sz w:val="19"/>
        </w:rPr>
        <w:t>Pradesh</w:t>
      </w:r>
    </w:p>
    <w:p>
      <w:pPr>
        <w:pStyle w:val="BodyText"/>
        <w:spacing w:before="161"/>
        <w:ind w:left="0"/>
        <w:rPr>
          <w:i/>
          <w:sz w:val="19"/>
        </w:rPr>
      </w:pPr>
    </w:p>
    <w:p>
      <w:pPr>
        <w:pStyle w:val="Heading3"/>
        <w:spacing w:before="0"/>
      </w:pPr>
      <w:r>
        <w:rPr>
          <w:spacing w:val="-2"/>
        </w:rPr>
        <w:t>ABSTRACT</w:t>
      </w:r>
    </w:p>
    <w:p>
      <w:pPr>
        <w:pStyle w:val="BodyText"/>
        <w:spacing w:line="266" w:lineRule="auto" w:before="85"/>
        <w:ind w:right="1434" w:firstLine="432"/>
        <w:jc w:val="both"/>
      </w:pPr>
      <w:r>
        <w:rPr/>
        <w:t>This </w:t>
      </w:r>
      <w:r>
        <w:rPr>
          <w:spacing w:val="9"/>
        </w:rPr>
        <w:t>paper</w:t>
      </w:r>
      <w:r>
        <w:rPr>
          <w:spacing w:val="9"/>
        </w:rPr>
        <w:t> </w:t>
      </w:r>
      <w:r>
        <w:rPr>
          <w:spacing w:val="11"/>
        </w:rPr>
        <w:t>critically</w:t>
      </w:r>
      <w:r>
        <w:rPr>
          <w:spacing w:val="11"/>
        </w:rPr>
        <w:t> re-</w:t>
      </w:r>
      <w:r>
        <w:rPr>
          <w:spacing w:val="9"/>
        </w:rPr>
        <w:t>examines</w:t>
      </w:r>
      <w:r>
        <w:rPr>
          <w:spacing w:val="9"/>
        </w:rPr>
        <w:t> feminist</w:t>
      </w:r>
      <w:r>
        <w:rPr>
          <w:spacing w:val="9"/>
        </w:rPr>
        <w:t> </w:t>
      </w:r>
      <w:r>
        <w:rPr>
          <w:spacing w:val="10"/>
        </w:rPr>
        <w:t>resistance</w:t>
      </w:r>
      <w:r>
        <w:rPr>
          <w:spacing w:val="10"/>
        </w:rPr>
        <w:t> </w:t>
      </w:r>
      <w:r>
        <w:rPr/>
        <w:t>in Shakespearean</w:t>
      </w:r>
      <w:r>
        <w:rPr>
          <w:spacing w:val="-13"/>
        </w:rPr>
        <w:t> </w:t>
      </w:r>
      <w:r>
        <w:rPr/>
        <w:t>tragedies</w:t>
      </w:r>
      <w:r>
        <w:rPr>
          <w:spacing w:val="-12"/>
        </w:rPr>
        <w:t> </w:t>
      </w:r>
      <w:r>
        <w:rPr/>
        <w:t>through</w:t>
      </w:r>
      <w:r>
        <w:rPr>
          <w:spacing w:val="-13"/>
        </w:rPr>
        <w:t> </w:t>
      </w:r>
      <w:r>
        <w:rPr/>
        <w:t>a</w:t>
      </w:r>
      <w:r>
        <w:rPr>
          <w:spacing w:val="-12"/>
        </w:rPr>
        <w:t> </w:t>
      </w:r>
      <w:r>
        <w:rPr/>
        <w:t>nuanced</w:t>
      </w:r>
      <w:r>
        <w:rPr>
          <w:spacing w:val="-13"/>
        </w:rPr>
        <w:t> </w:t>
      </w:r>
      <w:r>
        <w:rPr/>
        <w:t>analysis</w:t>
      </w:r>
      <w:r>
        <w:rPr>
          <w:spacing w:val="-12"/>
        </w:rPr>
        <w:t> </w:t>
      </w:r>
      <w:r>
        <w:rPr/>
        <w:t>of</w:t>
      </w:r>
      <w:r>
        <w:rPr>
          <w:spacing w:val="-13"/>
        </w:rPr>
        <w:t> </w:t>
      </w:r>
      <w:r>
        <w:rPr/>
        <w:t>female</w:t>
      </w:r>
      <w:r>
        <w:rPr>
          <w:spacing w:val="-12"/>
        </w:rPr>
        <w:t> </w:t>
      </w:r>
      <w:r>
        <w:rPr/>
        <w:t>characters who</w:t>
      </w:r>
      <w:r>
        <w:rPr>
          <w:spacing w:val="-13"/>
        </w:rPr>
        <w:t> </w:t>
      </w:r>
      <w:r>
        <w:rPr/>
        <w:t>operate</w:t>
      </w:r>
      <w:r>
        <w:rPr>
          <w:spacing w:val="-12"/>
        </w:rPr>
        <w:t> </w:t>
      </w:r>
      <w:r>
        <w:rPr/>
        <w:t>within,</w:t>
      </w:r>
      <w:r>
        <w:rPr>
          <w:spacing w:val="-13"/>
        </w:rPr>
        <w:t> </w:t>
      </w:r>
      <w:r>
        <w:rPr/>
        <w:t>and</w:t>
      </w:r>
      <w:r>
        <w:rPr>
          <w:spacing w:val="-12"/>
        </w:rPr>
        <w:t> </w:t>
      </w:r>
      <w:r>
        <w:rPr/>
        <w:t>simultaneously</w:t>
      </w:r>
      <w:r>
        <w:rPr>
          <w:spacing w:val="-13"/>
        </w:rPr>
        <w:t> </w:t>
      </w:r>
      <w:r>
        <w:rPr/>
        <w:t>challenge,</w:t>
      </w:r>
      <w:r>
        <w:rPr>
          <w:spacing w:val="-12"/>
        </w:rPr>
        <w:t> </w:t>
      </w:r>
      <w:r>
        <w:rPr/>
        <w:t>patriarchal</w:t>
      </w:r>
      <w:r>
        <w:rPr>
          <w:spacing w:val="-13"/>
        </w:rPr>
        <w:t> </w:t>
      </w:r>
      <w:r>
        <w:rPr/>
        <w:t>structures. </w:t>
      </w:r>
      <w:r>
        <w:rPr>
          <w:spacing w:val="-2"/>
        </w:rPr>
        <w:t>While</w:t>
      </w:r>
      <w:r>
        <w:rPr>
          <w:spacing w:val="-11"/>
        </w:rPr>
        <w:t> </w:t>
      </w:r>
      <w:r>
        <w:rPr>
          <w:spacing w:val="-2"/>
        </w:rPr>
        <w:t>Shakespeare’s</w:t>
      </w:r>
      <w:r>
        <w:rPr>
          <w:spacing w:val="-10"/>
        </w:rPr>
        <w:t> </w:t>
      </w:r>
      <w:r>
        <w:rPr>
          <w:spacing w:val="-2"/>
        </w:rPr>
        <w:t>dramatic</w:t>
      </w:r>
      <w:r>
        <w:rPr>
          <w:spacing w:val="-11"/>
        </w:rPr>
        <w:t> </w:t>
      </w:r>
      <w:r>
        <w:rPr>
          <w:spacing w:val="-2"/>
        </w:rPr>
        <w:t>universe</w:t>
      </w:r>
      <w:r>
        <w:rPr>
          <w:spacing w:val="-10"/>
        </w:rPr>
        <w:t> </w:t>
      </w:r>
      <w:r>
        <w:rPr>
          <w:spacing w:val="-2"/>
        </w:rPr>
        <w:t>reflects</w:t>
      </w:r>
      <w:r>
        <w:rPr>
          <w:spacing w:val="-11"/>
        </w:rPr>
        <w:t> </w:t>
      </w:r>
      <w:r>
        <w:rPr>
          <w:spacing w:val="-2"/>
        </w:rPr>
        <w:t>the</w:t>
      </w:r>
      <w:r>
        <w:rPr>
          <w:spacing w:val="-10"/>
        </w:rPr>
        <w:t> </w:t>
      </w:r>
      <w:r>
        <w:rPr>
          <w:spacing w:val="-2"/>
        </w:rPr>
        <w:t>ideological</w:t>
      </w:r>
      <w:r>
        <w:rPr>
          <w:spacing w:val="-11"/>
        </w:rPr>
        <w:t> </w:t>
      </w:r>
      <w:r>
        <w:rPr>
          <w:spacing w:val="-2"/>
        </w:rPr>
        <w:t>constraints </w:t>
      </w:r>
      <w:r>
        <w:rPr/>
        <w:t>of</w:t>
      </w:r>
      <w:r>
        <w:rPr>
          <w:spacing w:val="-5"/>
        </w:rPr>
        <w:t> </w:t>
      </w:r>
      <w:r>
        <w:rPr/>
        <w:t>early</w:t>
      </w:r>
      <w:r>
        <w:rPr>
          <w:spacing w:val="-7"/>
        </w:rPr>
        <w:t> </w:t>
      </w:r>
      <w:r>
        <w:rPr/>
        <w:t>modern</w:t>
      </w:r>
      <w:r>
        <w:rPr>
          <w:spacing w:val="-5"/>
        </w:rPr>
        <w:t> </w:t>
      </w:r>
      <w:r>
        <w:rPr/>
        <w:t>England,</w:t>
      </w:r>
      <w:r>
        <w:rPr>
          <w:spacing w:val="-3"/>
        </w:rPr>
        <w:t> </w:t>
      </w:r>
      <w:r>
        <w:rPr/>
        <w:t>it</w:t>
      </w:r>
      <w:r>
        <w:rPr>
          <w:spacing w:val="-5"/>
        </w:rPr>
        <w:t> </w:t>
      </w:r>
      <w:r>
        <w:rPr/>
        <w:t>also</w:t>
      </w:r>
      <w:r>
        <w:rPr>
          <w:spacing w:val="-3"/>
        </w:rPr>
        <w:t> </w:t>
      </w:r>
      <w:r>
        <w:rPr/>
        <w:t>exposes</w:t>
      </w:r>
      <w:r>
        <w:rPr>
          <w:spacing w:val="-5"/>
        </w:rPr>
        <w:t> </w:t>
      </w:r>
      <w:r>
        <w:rPr/>
        <w:t>fissures</w:t>
      </w:r>
      <w:r>
        <w:rPr>
          <w:spacing w:val="-5"/>
        </w:rPr>
        <w:t> </w:t>
      </w:r>
      <w:r>
        <w:rPr/>
        <w:t>within</w:t>
      </w:r>
      <w:r>
        <w:rPr>
          <w:spacing w:val="-5"/>
        </w:rPr>
        <w:t> </w:t>
      </w:r>
      <w:r>
        <w:rPr/>
        <w:t>these</w:t>
      </w:r>
      <w:r>
        <w:rPr>
          <w:spacing w:val="-5"/>
        </w:rPr>
        <w:t> </w:t>
      </w:r>
      <w:r>
        <w:rPr/>
        <w:t>structures </w:t>
      </w:r>
      <w:r>
        <w:rPr>
          <w:spacing w:val="-2"/>
        </w:rPr>
        <w:t>by</w:t>
      </w:r>
      <w:r>
        <w:rPr>
          <w:spacing w:val="-11"/>
        </w:rPr>
        <w:t> </w:t>
      </w:r>
      <w:r>
        <w:rPr>
          <w:spacing w:val="-2"/>
        </w:rPr>
        <w:t>portraying</w:t>
      </w:r>
      <w:r>
        <w:rPr>
          <w:spacing w:val="-4"/>
        </w:rPr>
        <w:t> </w:t>
      </w:r>
      <w:r>
        <w:rPr>
          <w:spacing w:val="-2"/>
        </w:rPr>
        <w:t>women</w:t>
      </w:r>
      <w:r>
        <w:rPr>
          <w:spacing w:val="-9"/>
        </w:rPr>
        <w:t> </w:t>
      </w:r>
      <w:r>
        <w:rPr>
          <w:spacing w:val="-2"/>
        </w:rPr>
        <w:t>who negotiate</w:t>
      </w:r>
      <w:r>
        <w:rPr>
          <w:spacing w:val="-4"/>
        </w:rPr>
        <w:t> </w:t>
      </w:r>
      <w:r>
        <w:rPr>
          <w:spacing w:val="-2"/>
        </w:rPr>
        <w:t>power through</w:t>
      </w:r>
      <w:r>
        <w:rPr>
          <w:spacing w:val="-9"/>
        </w:rPr>
        <w:t> </w:t>
      </w:r>
      <w:r>
        <w:rPr>
          <w:spacing w:val="-2"/>
        </w:rPr>
        <w:t>performative, ethical, </w:t>
      </w:r>
      <w:r>
        <w:rPr/>
        <w:t>and symbolic modes of resistance. Focusing on Lady Macbeth, Desdemona, Ophelia, and Cordelia, this study argues that resistance in </w:t>
      </w:r>
      <w:r>
        <w:rPr>
          <w:spacing w:val="-2"/>
        </w:rPr>
        <w:t>Shakespeare</w:t>
      </w:r>
      <w:r>
        <w:rPr>
          <w:spacing w:val="-10"/>
        </w:rPr>
        <w:t> </w:t>
      </w:r>
      <w:r>
        <w:rPr>
          <w:spacing w:val="-2"/>
        </w:rPr>
        <w:t>is</w:t>
      </w:r>
      <w:r>
        <w:rPr>
          <w:spacing w:val="-7"/>
        </w:rPr>
        <w:t> </w:t>
      </w:r>
      <w:r>
        <w:rPr>
          <w:spacing w:val="-2"/>
        </w:rPr>
        <w:t>rarely</w:t>
      </w:r>
      <w:r>
        <w:rPr>
          <w:spacing w:val="-11"/>
        </w:rPr>
        <w:t> </w:t>
      </w:r>
      <w:r>
        <w:rPr>
          <w:spacing w:val="-2"/>
        </w:rPr>
        <w:t>overt;</w:t>
      </w:r>
      <w:r>
        <w:rPr>
          <w:spacing w:val="-6"/>
        </w:rPr>
        <w:t> </w:t>
      </w:r>
      <w:r>
        <w:rPr>
          <w:spacing w:val="-2"/>
        </w:rPr>
        <w:t>instead,</w:t>
      </w:r>
      <w:r>
        <w:rPr>
          <w:spacing w:val="-4"/>
        </w:rPr>
        <w:t> </w:t>
      </w:r>
      <w:r>
        <w:rPr>
          <w:spacing w:val="-2"/>
        </w:rPr>
        <w:t>it</w:t>
      </w:r>
      <w:r>
        <w:rPr>
          <w:spacing w:val="-4"/>
        </w:rPr>
        <w:t> </w:t>
      </w:r>
      <w:r>
        <w:rPr>
          <w:spacing w:val="-2"/>
        </w:rPr>
        <w:t>is</w:t>
      </w:r>
      <w:r>
        <w:rPr>
          <w:spacing w:val="-7"/>
        </w:rPr>
        <w:t> </w:t>
      </w:r>
      <w:r>
        <w:rPr>
          <w:spacing w:val="-2"/>
        </w:rPr>
        <w:t>embedded</w:t>
      </w:r>
      <w:r>
        <w:rPr>
          <w:spacing w:val="-9"/>
        </w:rPr>
        <w:t> </w:t>
      </w:r>
      <w:r>
        <w:rPr>
          <w:spacing w:val="-2"/>
        </w:rPr>
        <w:t>in</w:t>
      </w:r>
      <w:r>
        <w:rPr>
          <w:spacing w:val="-7"/>
        </w:rPr>
        <w:t> </w:t>
      </w:r>
      <w:r>
        <w:rPr>
          <w:spacing w:val="-2"/>
        </w:rPr>
        <w:t>discursive</w:t>
      </w:r>
      <w:r>
        <w:rPr>
          <w:spacing w:val="-7"/>
        </w:rPr>
        <w:t> </w:t>
      </w:r>
      <w:r>
        <w:rPr>
          <w:spacing w:val="-2"/>
        </w:rPr>
        <w:t>practices </w:t>
      </w:r>
      <w:r>
        <w:rPr/>
        <w:t>such</w:t>
      </w:r>
      <w:r>
        <w:rPr>
          <w:spacing w:val="-6"/>
        </w:rPr>
        <w:t> </w:t>
      </w:r>
      <w:r>
        <w:rPr/>
        <w:t>as</w:t>
      </w:r>
      <w:r>
        <w:rPr>
          <w:spacing w:val="-6"/>
        </w:rPr>
        <w:t> </w:t>
      </w:r>
      <w:r>
        <w:rPr/>
        <w:t>silence,</w:t>
      </w:r>
      <w:r>
        <w:rPr>
          <w:spacing w:val="-4"/>
        </w:rPr>
        <w:t> </w:t>
      </w:r>
      <w:r>
        <w:rPr/>
        <w:t>moral</w:t>
      </w:r>
      <w:r>
        <w:rPr>
          <w:spacing w:val="-6"/>
        </w:rPr>
        <w:t> </w:t>
      </w:r>
      <w:r>
        <w:rPr/>
        <w:t>integrity,</w:t>
      </w:r>
      <w:r>
        <w:rPr>
          <w:spacing w:val="-4"/>
        </w:rPr>
        <w:t> </w:t>
      </w:r>
      <w:r>
        <w:rPr/>
        <w:t>psychological</w:t>
      </w:r>
      <w:r>
        <w:rPr>
          <w:spacing w:val="-6"/>
        </w:rPr>
        <w:t> </w:t>
      </w:r>
      <w:r>
        <w:rPr/>
        <w:t>disruption,</w:t>
      </w:r>
      <w:r>
        <w:rPr>
          <w:spacing w:val="-4"/>
        </w:rPr>
        <w:t> </w:t>
      </w:r>
      <w:r>
        <w:rPr/>
        <w:t>and</w:t>
      </w:r>
      <w:r>
        <w:rPr>
          <w:spacing w:val="-2"/>
        </w:rPr>
        <w:t> </w:t>
      </w:r>
      <w:r>
        <w:rPr/>
        <w:t>rhetorical </w:t>
      </w:r>
      <w:r>
        <w:rPr>
          <w:spacing w:val="-2"/>
        </w:rPr>
        <w:t>refusal.</w:t>
      </w:r>
      <w:r>
        <w:rPr>
          <w:spacing w:val="-3"/>
        </w:rPr>
        <w:t> </w:t>
      </w:r>
      <w:r>
        <w:rPr>
          <w:spacing w:val="-2"/>
        </w:rPr>
        <w:t>Drawing</w:t>
      </w:r>
      <w:r>
        <w:rPr>
          <w:spacing w:val="-6"/>
        </w:rPr>
        <w:t> </w:t>
      </w:r>
      <w:r>
        <w:rPr>
          <w:spacing w:val="-2"/>
        </w:rPr>
        <w:t>upon</w:t>
      </w:r>
      <w:r>
        <w:rPr>
          <w:spacing w:val="-6"/>
        </w:rPr>
        <w:t> </w:t>
      </w:r>
      <w:r>
        <w:rPr>
          <w:spacing w:val="-2"/>
        </w:rPr>
        <w:t>feminist</w:t>
      </w:r>
      <w:r>
        <w:rPr>
          <w:spacing w:val="-6"/>
        </w:rPr>
        <w:t> </w:t>
      </w:r>
      <w:r>
        <w:rPr>
          <w:spacing w:val="-2"/>
        </w:rPr>
        <w:t>theory</w:t>
      </w:r>
      <w:r>
        <w:rPr>
          <w:spacing w:val="-10"/>
        </w:rPr>
        <w:t> </w:t>
      </w:r>
      <w:r>
        <w:rPr>
          <w:spacing w:val="-2"/>
        </w:rPr>
        <w:t>and Foucauldian</w:t>
      </w:r>
      <w:r>
        <w:rPr>
          <w:spacing w:val="-6"/>
        </w:rPr>
        <w:t> </w:t>
      </w:r>
      <w:r>
        <w:rPr>
          <w:spacing w:val="-2"/>
        </w:rPr>
        <w:t>notions</w:t>
      </w:r>
      <w:r>
        <w:rPr>
          <w:spacing w:val="-6"/>
        </w:rPr>
        <w:t> </w:t>
      </w:r>
      <w:r>
        <w:rPr>
          <w:spacing w:val="-2"/>
        </w:rPr>
        <w:t>of</w:t>
      </w:r>
      <w:r>
        <w:rPr>
          <w:spacing w:val="-6"/>
        </w:rPr>
        <w:t> </w:t>
      </w:r>
      <w:r>
        <w:rPr>
          <w:spacing w:val="-2"/>
        </w:rPr>
        <w:t>power, </w:t>
      </w:r>
      <w:r>
        <w:rPr/>
        <w:t>the paper demonstrates that resistance emerges not outside but within systems of domination. The study further situates these literary representations</w:t>
      </w:r>
      <w:r>
        <w:rPr>
          <w:spacing w:val="72"/>
          <w:w w:val="150"/>
        </w:rPr>
        <w:t> </w:t>
      </w:r>
      <w:r>
        <w:rPr/>
        <w:t>in</w:t>
      </w:r>
      <w:r>
        <w:rPr>
          <w:spacing w:val="70"/>
          <w:w w:val="150"/>
        </w:rPr>
        <w:t> </w:t>
      </w:r>
      <w:r>
        <w:rPr/>
        <w:t>relation</w:t>
      </w:r>
      <w:r>
        <w:rPr>
          <w:spacing w:val="70"/>
          <w:w w:val="150"/>
        </w:rPr>
        <w:t> </w:t>
      </w:r>
      <w:r>
        <w:rPr/>
        <w:t>to</w:t>
      </w:r>
      <w:r>
        <w:rPr>
          <w:spacing w:val="76"/>
          <w:w w:val="150"/>
        </w:rPr>
        <w:t> </w:t>
      </w:r>
      <w:r>
        <w:rPr/>
        <w:t>contemporary</w:t>
      </w:r>
      <w:r>
        <w:rPr>
          <w:spacing w:val="67"/>
          <w:w w:val="150"/>
        </w:rPr>
        <w:t> </w:t>
      </w:r>
      <w:r>
        <w:rPr/>
        <w:t>feminist</w:t>
      </w:r>
      <w:r>
        <w:rPr>
          <w:spacing w:val="76"/>
          <w:w w:val="150"/>
        </w:rPr>
        <w:t> </w:t>
      </w:r>
      <w:r>
        <w:rPr>
          <w:spacing w:val="-2"/>
        </w:rPr>
        <w:t>discourses,</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87520">
                <wp:simplePos x="0" y="0"/>
                <wp:positionH relativeFrom="page">
                  <wp:posOffset>2057400</wp:posOffset>
                </wp:positionH>
                <wp:positionV relativeFrom="paragraph">
                  <wp:posOffset>162604</wp:posOffset>
                </wp:positionV>
                <wp:extent cx="3657600" cy="12700"/>
                <wp:effectExtent l="0" t="0" r="0" b="0"/>
                <wp:wrapTopAndBottom/>
                <wp:docPr id="558" name="Graphic 558"/>
                <wp:cNvGraphicFramePr>
                  <a:graphicFrameLocks/>
                </wp:cNvGraphicFramePr>
                <a:graphic>
                  <a:graphicData uri="http://schemas.microsoft.com/office/word/2010/wordprocessingShape">
                    <wps:wsp>
                      <wps:cNvPr id="558" name="Graphic 55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28960;mso-wrap-distance-left:0;mso-wrap-distance-right:0" id="docshape553" filled="true" fillcolor="#000000" stroked="false">
                <v:fill type="solid"/>
                <w10:wrap type="topAndBottom"/>
              </v:rect>
            </w:pict>
          </mc:Fallback>
        </mc:AlternateContent>
      </w:r>
      <w:r>
        <w:rPr>
          <w:rFonts w:ascii="Verdana"/>
          <w:spacing w:val="-5"/>
          <w:sz w:val="18"/>
        </w:rPr>
        <w:t>266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6" w:lineRule="auto" w:before="202"/>
        <w:ind w:right="1438"/>
        <w:jc w:val="both"/>
      </w:pPr>
      <w:r>
        <w:rPr/>
        <w:t>particularly the politics of voice and testimony in the #MeToo era. Ultimately,</w:t>
      </w:r>
      <w:r>
        <w:rPr>
          <w:spacing w:val="-3"/>
        </w:rPr>
        <w:t> </w:t>
      </w:r>
      <w:r>
        <w:rPr/>
        <w:t>Shakespeare’s</w:t>
      </w:r>
      <w:r>
        <w:rPr>
          <w:spacing w:val="-3"/>
        </w:rPr>
        <w:t> </w:t>
      </w:r>
      <w:r>
        <w:rPr/>
        <w:t>tragedies</w:t>
      </w:r>
      <w:r>
        <w:rPr>
          <w:spacing w:val="-3"/>
        </w:rPr>
        <w:t> </w:t>
      </w:r>
      <w:r>
        <w:rPr/>
        <w:t>are</w:t>
      </w:r>
      <w:r>
        <w:rPr>
          <w:spacing w:val="-3"/>
        </w:rPr>
        <w:t> </w:t>
      </w:r>
      <w:r>
        <w:rPr/>
        <w:t>shown</w:t>
      </w:r>
      <w:r>
        <w:rPr>
          <w:spacing w:val="-3"/>
        </w:rPr>
        <w:t> </w:t>
      </w:r>
      <w:r>
        <w:rPr/>
        <w:t>to</w:t>
      </w:r>
      <w:r>
        <w:rPr>
          <w:spacing w:val="-1"/>
        </w:rPr>
        <w:t> </w:t>
      </w:r>
      <w:r>
        <w:rPr/>
        <w:t>be</w:t>
      </w:r>
      <w:r>
        <w:rPr>
          <w:spacing w:val="-3"/>
        </w:rPr>
        <w:t> </w:t>
      </w:r>
      <w:r>
        <w:rPr/>
        <w:t>sites</w:t>
      </w:r>
      <w:r>
        <w:rPr>
          <w:spacing w:val="-4"/>
        </w:rPr>
        <w:t> </w:t>
      </w:r>
      <w:r>
        <w:rPr/>
        <w:t>of</w:t>
      </w:r>
      <w:r>
        <w:rPr>
          <w:spacing w:val="-4"/>
        </w:rPr>
        <w:t> </w:t>
      </w:r>
      <w:r>
        <w:rPr/>
        <w:t>ideological tension where gendered resistance is both constrained and creatively </w:t>
      </w:r>
      <w:r>
        <w:rPr>
          <w:spacing w:val="-2"/>
        </w:rPr>
        <w:t>articulated.</w:t>
      </w:r>
    </w:p>
    <w:p>
      <w:pPr>
        <w:pStyle w:val="BodyText"/>
        <w:spacing w:line="249" w:lineRule="auto" w:before="51"/>
        <w:ind w:right="1442" w:firstLine="432"/>
        <w:jc w:val="both"/>
      </w:pPr>
      <w:r>
        <w:rPr>
          <w:b/>
          <w:spacing w:val="-2"/>
        </w:rPr>
        <w:t>Keywords: </w:t>
      </w:r>
      <w:r>
        <w:rPr>
          <w:spacing w:val="-2"/>
        </w:rPr>
        <w:t>Feminist</w:t>
      </w:r>
      <w:r>
        <w:rPr>
          <w:spacing w:val="-5"/>
        </w:rPr>
        <w:t> </w:t>
      </w:r>
      <w:r>
        <w:rPr>
          <w:spacing w:val="-2"/>
        </w:rPr>
        <w:t>resistance,</w:t>
      </w:r>
      <w:r>
        <w:rPr>
          <w:spacing w:val="-3"/>
        </w:rPr>
        <w:t> </w:t>
      </w:r>
      <w:r>
        <w:rPr>
          <w:spacing w:val="-2"/>
        </w:rPr>
        <w:t>Shakespearean</w:t>
      </w:r>
      <w:r>
        <w:rPr>
          <w:spacing w:val="-5"/>
        </w:rPr>
        <w:t> </w:t>
      </w:r>
      <w:r>
        <w:rPr>
          <w:spacing w:val="-2"/>
        </w:rPr>
        <w:t>tragedy,</w:t>
      </w:r>
      <w:r>
        <w:rPr>
          <w:spacing w:val="-3"/>
        </w:rPr>
        <w:t> </w:t>
      </w:r>
      <w:r>
        <w:rPr>
          <w:spacing w:val="-2"/>
        </w:rPr>
        <w:t>patriarchy, </w:t>
      </w:r>
      <w:r>
        <w:rPr/>
        <w:t>gender</w:t>
      </w:r>
      <w:r>
        <w:rPr>
          <w:spacing w:val="40"/>
        </w:rPr>
        <w:t> </w:t>
      </w:r>
      <w:r>
        <w:rPr/>
        <w:t>performativity,</w:t>
      </w:r>
      <w:r>
        <w:rPr>
          <w:spacing w:val="40"/>
        </w:rPr>
        <w:t> </w:t>
      </w:r>
      <w:r>
        <w:rPr/>
        <w:t>agency,</w:t>
      </w:r>
      <w:r>
        <w:rPr>
          <w:spacing w:val="40"/>
        </w:rPr>
        <w:t> </w:t>
      </w:r>
      <w:r>
        <w:rPr/>
        <w:t>silence,</w:t>
      </w:r>
      <w:r>
        <w:rPr>
          <w:spacing w:val="40"/>
        </w:rPr>
        <w:t> </w:t>
      </w:r>
      <w:r>
        <w:rPr/>
        <w:t>power</w:t>
      </w:r>
      <w:r>
        <w:rPr>
          <w:spacing w:val="40"/>
        </w:rPr>
        <w:t> </w:t>
      </w:r>
      <w:r>
        <w:rPr/>
        <w:t>discourse</w:t>
      </w:r>
    </w:p>
    <w:p>
      <w:pPr>
        <w:pStyle w:val="Heading3"/>
        <w:numPr>
          <w:ilvl w:val="0"/>
          <w:numId w:val="58"/>
        </w:numPr>
        <w:tabs>
          <w:tab w:pos="1685" w:val="left" w:leader="none"/>
        </w:tabs>
        <w:spacing w:line="240" w:lineRule="auto" w:before="156" w:after="0"/>
        <w:ind w:left="1685" w:right="0" w:hanging="245"/>
        <w:jc w:val="left"/>
      </w:pPr>
      <w:r>
        <w:rPr>
          <w:spacing w:val="-2"/>
          <w:w w:val="95"/>
        </w:rPr>
        <w:t>INTRODUCTION</w:t>
      </w:r>
    </w:p>
    <w:p>
      <w:pPr>
        <w:pStyle w:val="BodyText"/>
        <w:spacing w:line="261" w:lineRule="auto" w:before="82"/>
        <w:ind w:right="1440" w:firstLine="432"/>
        <w:jc w:val="both"/>
      </w:pPr>
      <w:r>
        <w:rPr/>
        <w:t>Shakespearean tragedies continue to occupy a central position in literary studies due to their intricate engagement with power, identity, and human agency. Produced within the sociocultural framework of early modern England, these texts reflect deeply entrenched patriarchal ideologies that regulate gender roles and constrain female autonomy. However, a</w:t>
      </w:r>
      <w:r>
        <w:rPr>
          <w:spacing w:val="-2"/>
        </w:rPr>
        <w:t> </w:t>
      </w:r>
      <w:r>
        <w:rPr/>
        <w:t>closer critical</w:t>
      </w:r>
      <w:r>
        <w:rPr>
          <w:spacing w:val="-1"/>
        </w:rPr>
        <w:t> </w:t>
      </w:r>
      <w:r>
        <w:rPr/>
        <w:t>examination</w:t>
      </w:r>
      <w:r>
        <w:rPr>
          <w:spacing w:val="-4"/>
        </w:rPr>
        <w:t> </w:t>
      </w:r>
      <w:r>
        <w:rPr/>
        <w:t>reveals</w:t>
      </w:r>
      <w:r>
        <w:rPr>
          <w:spacing w:val="-2"/>
        </w:rPr>
        <w:t> </w:t>
      </w:r>
      <w:r>
        <w:rPr/>
        <w:t>that Shakespeare’s</w:t>
      </w:r>
      <w:r>
        <w:rPr>
          <w:spacing w:val="-2"/>
        </w:rPr>
        <w:t> </w:t>
      </w:r>
      <w:r>
        <w:rPr/>
        <w:t>plays do not merely reproduce such structures but also expose their internal contradictions</w:t>
      </w:r>
      <w:r>
        <w:rPr>
          <w:spacing w:val="40"/>
        </w:rPr>
        <w:t> </w:t>
      </w:r>
      <w:r>
        <w:rPr/>
        <w:t>through</w:t>
      </w:r>
      <w:r>
        <w:rPr>
          <w:spacing w:val="40"/>
        </w:rPr>
        <w:t> </w:t>
      </w:r>
      <w:r>
        <w:rPr/>
        <w:t>complex</w:t>
      </w:r>
      <w:r>
        <w:rPr>
          <w:spacing w:val="40"/>
        </w:rPr>
        <w:t> </w:t>
      </w:r>
      <w:r>
        <w:rPr/>
        <w:t>representations</w:t>
      </w:r>
      <w:r>
        <w:rPr>
          <w:spacing w:val="40"/>
        </w:rPr>
        <w:t> </w:t>
      </w:r>
      <w:r>
        <w:rPr/>
        <w:t>of</w:t>
      </w:r>
      <w:r>
        <w:rPr>
          <w:spacing w:val="40"/>
        </w:rPr>
        <w:t> </w:t>
      </w:r>
      <w:r>
        <w:rPr/>
        <w:t>women.</w:t>
      </w:r>
    </w:p>
    <w:p>
      <w:pPr>
        <w:pStyle w:val="BodyText"/>
        <w:spacing w:line="261" w:lineRule="auto" w:before="54"/>
        <w:ind w:right="1437" w:firstLine="432"/>
        <w:jc w:val="both"/>
      </w:pPr>
      <w:r>
        <w:rPr/>
        <w:t>Recent feminist scholarship has significantly reshaped the understanding of Shakespearean female characters, moving beyond reductive interpretations of passivity toward recognizing their active negotiation of power. Judith Butler’s theory of gender performativity [1,5] provides a crucial lens for interpreting how gender identities in </w:t>
      </w:r>
      <w:r>
        <w:rPr>
          <w:spacing w:val="-2"/>
        </w:rPr>
        <w:t>Shakespeare</w:t>
      </w:r>
      <w:r>
        <w:rPr>
          <w:spacing w:val="-11"/>
        </w:rPr>
        <w:t> </w:t>
      </w:r>
      <w:r>
        <w:rPr>
          <w:spacing w:val="-2"/>
        </w:rPr>
        <w:t>are</w:t>
      </w:r>
      <w:r>
        <w:rPr>
          <w:spacing w:val="-10"/>
        </w:rPr>
        <w:t> </w:t>
      </w:r>
      <w:r>
        <w:rPr>
          <w:spacing w:val="-2"/>
        </w:rPr>
        <w:t>constructed,</w:t>
      </w:r>
      <w:r>
        <w:rPr>
          <w:spacing w:val="-11"/>
        </w:rPr>
        <w:t> </w:t>
      </w:r>
      <w:r>
        <w:rPr>
          <w:spacing w:val="-2"/>
        </w:rPr>
        <w:t>enacted,</w:t>
      </w:r>
      <w:r>
        <w:rPr>
          <w:spacing w:val="-10"/>
        </w:rPr>
        <w:t> </w:t>
      </w:r>
      <w:r>
        <w:rPr>
          <w:spacing w:val="-2"/>
        </w:rPr>
        <w:t>and</w:t>
      </w:r>
      <w:r>
        <w:rPr>
          <w:spacing w:val="-8"/>
        </w:rPr>
        <w:t> </w:t>
      </w:r>
      <w:r>
        <w:rPr>
          <w:spacing w:val="-2"/>
        </w:rPr>
        <w:t>destabilized.</w:t>
      </w:r>
      <w:r>
        <w:rPr>
          <w:spacing w:val="-11"/>
        </w:rPr>
        <w:t> </w:t>
      </w:r>
      <w:r>
        <w:rPr>
          <w:spacing w:val="-2"/>
        </w:rPr>
        <w:t>Similarly,</w:t>
      </w:r>
      <w:r>
        <w:rPr>
          <w:spacing w:val="-10"/>
        </w:rPr>
        <w:t> </w:t>
      </w:r>
      <w:r>
        <w:rPr>
          <w:spacing w:val="-2"/>
        </w:rPr>
        <w:t>Simone </w:t>
      </w:r>
      <w:r>
        <w:rPr/>
        <w:t>de Beauvoir’s notion of woman as the “Other” [2] helps contextualize the marginalization of female characters within patriarchal discourse. Moreover, Michel Foucault’s conception of power as relational rather than hierarchical [3,4] allows for a reinterpretation of resistance as an immanent force operating within systems of control. In this context, resistance does not necessarily manifest as overt rebellion but may </w:t>
      </w:r>
      <w:r>
        <w:rPr>
          <w:spacing w:val="-2"/>
        </w:rPr>
        <w:t>emerge</w:t>
      </w:r>
      <w:r>
        <w:rPr>
          <w:spacing w:val="-3"/>
        </w:rPr>
        <w:t> </w:t>
      </w:r>
      <w:r>
        <w:rPr>
          <w:spacing w:val="-2"/>
        </w:rPr>
        <w:t>through</w:t>
      </w:r>
      <w:r>
        <w:rPr>
          <w:spacing w:val="-4"/>
        </w:rPr>
        <w:t> </w:t>
      </w:r>
      <w:r>
        <w:rPr>
          <w:spacing w:val="-2"/>
        </w:rPr>
        <w:t>subtle</w:t>
      </w:r>
      <w:r>
        <w:rPr>
          <w:spacing w:val="-6"/>
        </w:rPr>
        <w:t> </w:t>
      </w:r>
      <w:r>
        <w:rPr>
          <w:spacing w:val="-2"/>
        </w:rPr>
        <w:t>and indirect</w:t>
      </w:r>
      <w:r>
        <w:rPr>
          <w:spacing w:val="-3"/>
        </w:rPr>
        <w:t> </w:t>
      </w:r>
      <w:r>
        <w:rPr>
          <w:spacing w:val="-2"/>
        </w:rPr>
        <w:t>forms</w:t>
      </w:r>
      <w:r>
        <w:rPr>
          <w:spacing w:val="-4"/>
        </w:rPr>
        <w:t> </w:t>
      </w:r>
      <w:r>
        <w:rPr>
          <w:spacing w:val="-2"/>
        </w:rPr>
        <w:t>such</w:t>
      </w:r>
      <w:r>
        <w:rPr>
          <w:spacing w:val="-4"/>
        </w:rPr>
        <w:t> </w:t>
      </w:r>
      <w:r>
        <w:rPr>
          <w:spacing w:val="-2"/>
        </w:rPr>
        <w:t>as</w:t>
      </w:r>
      <w:r>
        <w:rPr>
          <w:spacing w:val="-7"/>
        </w:rPr>
        <w:t> </w:t>
      </w:r>
      <w:r>
        <w:rPr>
          <w:spacing w:val="-2"/>
        </w:rPr>
        <w:t>silence, moral</w:t>
      </w:r>
      <w:r>
        <w:rPr>
          <w:spacing w:val="-4"/>
        </w:rPr>
        <w:t> </w:t>
      </w:r>
      <w:r>
        <w:rPr>
          <w:spacing w:val="-2"/>
        </w:rPr>
        <w:t>integrity, </w:t>
      </w:r>
      <w:r>
        <w:rPr/>
        <w:t>and</w:t>
      </w:r>
      <w:r>
        <w:rPr>
          <w:spacing w:val="40"/>
        </w:rPr>
        <w:t> </w:t>
      </w:r>
      <w:r>
        <w:rPr/>
        <w:t>symbolic</w:t>
      </w:r>
      <w:r>
        <w:rPr>
          <w:spacing w:val="40"/>
        </w:rPr>
        <w:t> </w:t>
      </w:r>
      <w:r>
        <w:rPr/>
        <w:t>disruption.</w:t>
      </w:r>
    </w:p>
    <w:p>
      <w:pPr>
        <w:pStyle w:val="BodyText"/>
        <w:spacing w:line="261" w:lineRule="auto" w:before="47"/>
        <w:ind w:right="1434" w:firstLine="432"/>
        <w:jc w:val="both"/>
      </w:pPr>
      <w:r>
        <w:rPr/>
        <w:t>This paper argues that Shakespearean tragedies encode multiple modes of feminist resistance that challenge patriarchal authority while remaining</w:t>
      </w:r>
      <w:r>
        <w:rPr>
          <w:spacing w:val="-2"/>
        </w:rPr>
        <w:t> </w:t>
      </w:r>
      <w:r>
        <w:rPr/>
        <w:t>embedded</w:t>
      </w:r>
      <w:r>
        <w:rPr>
          <w:spacing w:val="-4"/>
        </w:rPr>
        <w:t> </w:t>
      </w:r>
      <w:r>
        <w:rPr/>
        <w:t>within</w:t>
      </w:r>
      <w:r>
        <w:rPr>
          <w:spacing w:val="-2"/>
        </w:rPr>
        <w:t> </w:t>
      </w:r>
      <w:r>
        <w:rPr/>
        <w:t>its</w:t>
      </w:r>
      <w:r>
        <w:rPr>
          <w:spacing w:val="-2"/>
        </w:rPr>
        <w:t> </w:t>
      </w:r>
      <w:r>
        <w:rPr/>
        <w:t>structures.</w:t>
      </w:r>
      <w:r>
        <w:rPr>
          <w:spacing w:val="-1"/>
        </w:rPr>
        <w:t> </w:t>
      </w:r>
      <w:r>
        <w:rPr/>
        <w:t>By</w:t>
      </w:r>
      <w:r>
        <w:rPr>
          <w:spacing w:val="-6"/>
        </w:rPr>
        <w:t> </w:t>
      </w:r>
      <w:r>
        <w:rPr/>
        <w:t>analyzing</w:t>
      </w:r>
      <w:r>
        <w:rPr>
          <w:spacing w:val="-4"/>
        </w:rPr>
        <w:t> </w:t>
      </w:r>
      <w:r>
        <w:rPr/>
        <w:t>characters</w:t>
      </w:r>
      <w:r>
        <w:rPr>
          <w:spacing w:val="-4"/>
        </w:rPr>
        <w:t> </w:t>
      </w:r>
      <w:r>
        <w:rPr/>
        <w:t>such as Lady Macbeth, Desdemona, Ophelia, and Cordelia, the study demonstrates that resistance operates through performative, ethical,</w:t>
      </w:r>
      <w:r>
        <w:rPr>
          <w:spacing w:val="80"/>
        </w:rPr>
        <w:t> </w:t>
      </w:r>
      <w:r>
        <w:rPr/>
        <w:t>and symbolic strategies. Furthermore, these representations resonate with contemporary feminist movements that emphasize voice, agency, and</w:t>
      </w:r>
      <w:r>
        <w:rPr>
          <w:spacing w:val="40"/>
        </w:rPr>
        <w:t> </w:t>
      </w:r>
      <w:r>
        <w:rPr/>
        <w:t>the</w:t>
      </w:r>
      <w:r>
        <w:rPr>
          <w:spacing w:val="40"/>
        </w:rPr>
        <w:t> </w:t>
      </w:r>
      <w:r>
        <w:rPr/>
        <w:t>politics</w:t>
      </w:r>
      <w:r>
        <w:rPr>
          <w:spacing w:val="40"/>
        </w:rPr>
        <w:t> </w:t>
      </w:r>
      <w:r>
        <w:rPr/>
        <w:t>of</w:t>
      </w:r>
      <w:r>
        <w:rPr>
          <w:spacing w:val="40"/>
        </w:rPr>
        <w:t> </w:t>
      </w:r>
      <w:r>
        <w:rPr/>
        <w:t>representation.</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88032">
                <wp:simplePos x="0" y="0"/>
                <wp:positionH relativeFrom="page">
                  <wp:posOffset>2065020</wp:posOffset>
                </wp:positionH>
                <wp:positionV relativeFrom="paragraph">
                  <wp:posOffset>162604</wp:posOffset>
                </wp:positionV>
                <wp:extent cx="3657600" cy="12700"/>
                <wp:effectExtent l="0" t="0" r="0" b="0"/>
                <wp:wrapTopAndBottom/>
                <wp:docPr id="559" name="Graphic 559"/>
                <wp:cNvGraphicFramePr>
                  <a:graphicFrameLocks/>
                </wp:cNvGraphicFramePr>
                <a:graphic>
                  <a:graphicData uri="http://schemas.microsoft.com/office/word/2010/wordprocessingShape">
                    <wps:wsp>
                      <wps:cNvPr id="559" name="Graphic 55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28448;mso-wrap-distance-left:0;mso-wrap-distance-right:0" id="docshape554" filled="true" fillcolor="#000000" stroked="false">
                <v:fill type="solid"/>
                <w10:wrap type="topAndBottom"/>
              </v:rect>
            </w:pict>
          </mc:Fallback>
        </mc:AlternateContent>
      </w:r>
      <w:r>
        <w:rPr>
          <w:rFonts w:ascii="Verdana"/>
          <w:spacing w:val="-2"/>
          <w:sz w:val="18"/>
        </w:rPr>
        <w:t>Feminist</w:t>
      </w:r>
      <w:r>
        <w:rPr>
          <w:rFonts w:ascii="Verdana"/>
          <w:spacing w:val="5"/>
          <w:sz w:val="18"/>
        </w:rPr>
        <w:t> </w:t>
      </w:r>
      <w:r>
        <w:rPr>
          <w:rFonts w:ascii="Verdana"/>
          <w:spacing w:val="-2"/>
          <w:sz w:val="18"/>
        </w:rPr>
        <w:t>Resistance</w:t>
      </w:r>
      <w:r>
        <w:rPr>
          <w:rFonts w:ascii="Verdana"/>
          <w:spacing w:val="5"/>
          <w:sz w:val="18"/>
        </w:rPr>
        <w:t> </w:t>
      </w:r>
      <w:r>
        <w:rPr>
          <w:rFonts w:ascii="Verdana"/>
          <w:spacing w:val="-2"/>
          <w:sz w:val="18"/>
        </w:rPr>
        <w:t>in</w:t>
      </w:r>
      <w:r>
        <w:rPr>
          <w:rFonts w:ascii="Verdana"/>
          <w:spacing w:val="7"/>
          <w:sz w:val="18"/>
        </w:rPr>
        <w:t> </w:t>
      </w:r>
      <w:r>
        <w:rPr>
          <w:rFonts w:ascii="Verdana"/>
          <w:spacing w:val="-2"/>
          <w:sz w:val="18"/>
        </w:rPr>
        <w:t>Shakespearean</w:t>
      </w:r>
      <w:r>
        <w:rPr>
          <w:rFonts w:ascii="Verdana"/>
          <w:spacing w:val="6"/>
          <w:sz w:val="18"/>
        </w:rPr>
        <w:t> </w:t>
      </w:r>
      <w:r>
        <w:rPr>
          <w:rFonts w:ascii="Verdana"/>
          <w:spacing w:val="-2"/>
          <w:sz w:val="18"/>
        </w:rPr>
        <w:t>Tragedies...</w:t>
      </w:r>
      <w:r>
        <w:rPr>
          <w:sz w:val="18"/>
        </w:rPr>
        <w:tab/>
      </w:r>
      <w:r>
        <w:rPr>
          <w:rFonts w:ascii="Verdana"/>
          <w:spacing w:val="-5"/>
          <w:sz w:val="18"/>
        </w:rPr>
        <w:t>267</w:t>
      </w:r>
    </w:p>
    <w:p>
      <w:pPr>
        <w:pStyle w:val="Heading3"/>
        <w:numPr>
          <w:ilvl w:val="0"/>
          <w:numId w:val="58"/>
        </w:numPr>
        <w:tabs>
          <w:tab w:pos="1710" w:val="left" w:leader="none"/>
        </w:tabs>
        <w:spacing w:line="240" w:lineRule="auto" w:before="173" w:after="0"/>
        <w:ind w:left="1710" w:right="0" w:hanging="270"/>
        <w:jc w:val="left"/>
      </w:pPr>
      <w:r>
        <w:rPr>
          <w:w w:val="80"/>
        </w:rPr>
        <w:t>LITERATURE</w:t>
      </w:r>
      <w:r>
        <w:rPr>
          <w:spacing w:val="5"/>
        </w:rPr>
        <w:t> </w:t>
      </w:r>
      <w:r>
        <w:rPr>
          <w:spacing w:val="-2"/>
          <w:w w:val="90"/>
        </w:rPr>
        <w:t>REVIEW</w:t>
      </w:r>
    </w:p>
    <w:p>
      <w:pPr>
        <w:pStyle w:val="BodyText"/>
        <w:spacing w:line="271" w:lineRule="auto" w:before="87"/>
        <w:ind w:right="1438" w:firstLine="432"/>
        <w:jc w:val="both"/>
      </w:pPr>
      <w:r>
        <w:rPr/>
        <w:t>Feminist engagement with Shakespeare has evolved from early critiques of misogyny to more nuanced interpretations that foreground female agency within patriarchal constraints. Foundational works such as Elaine Showalter’s analysis of Ophelia [4,18] reframe madness as a culturally constructed response to gendered oppression rather than a sign of inherent weakness. Showalter’s approach marks a shift toward understanding female</w:t>
      </w:r>
      <w:r>
        <w:rPr>
          <w:spacing w:val="1"/>
        </w:rPr>
        <w:t> </w:t>
      </w:r>
      <w:r>
        <w:rPr/>
        <w:t>subjectivity</w:t>
      </w:r>
      <w:r>
        <w:rPr>
          <w:spacing w:val="-2"/>
        </w:rPr>
        <w:t> </w:t>
      </w:r>
      <w:r>
        <w:rPr/>
        <w:t>as</w:t>
      </w:r>
      <w:r>
        <w:rPr>
          <w:spacing w:val="2"/>
        </w:rPr>
        <w:t> </w:t>
      </w:r>
      <w:r>
        <w:rPr/>
        <w:t>shaped</w:t>
      </w:r>
      <w:r>
        <w:rPr>
          <w:spacing w:val="2"/>
        </w:rPr>
        <w:t> </w:t>
      </w:r>
      <w:r>
        <w:rPr/>
        <w:t>by</w:t>
      </w:r>
      <w:r>
        <w:rPr>
          <w:spacing w:val="-3"/>
        </w:rPr>
        <w:t> </w:t>
      </w:r>
      <w:r>
        <w:rPr/>
        <w:t>socio-discursive </w:t>
      </w:r>
      <w:r>
        <w:rPr>
          <w:spacing w:val="-2"/>
        </w:rPr>
        <w:t>forces.</w:t>
      </w:r>
    </w:p>
    <w:p>
      <w:pPr>
        <w:pStyle w:val="BodyText"/>
        <w:spacing w:line="271" w:lineRule="auto" w:before="60"/>
        <w:ind w:right="1439" w:firstLine="432"/>
        <w:jc w:val="both"/>
      </w:pPr>
      <w:r>
        <w:rPr/>
        <w:t>Similarly, Ania Loomba’s exploration of gender and power in </w:t>
      </w:r>
      <w:r>
        <w:rPr>
          <w:spacing w:val="-2"/>
        </w:rPr>
        <w:t>Renaissance</w:t>
      </w:r>
      <w:r>
        <w:rPr>
          <w:spacing w:val="-11"/>
        </w:rPr>
        <w:t> </w:t>
      </w:r>
      <w:r>
        <w:rPr>
          <w:spacing w:val="-2"/>
        </w:rPr>
        <w:t>drama</w:t>
      </w:r>
      <w:r>
        <w:rPr>
          <w:spacing w:val="-10"/>
        </w:rPr>
        <w:t> </w:t>
      </w:r>
      <w:r>
        <w:rPr>
          <w:spacing w:val="-2"/>
        </w:rPr>
        <w:t>[6]</w:t>
      </w:r>
      <w:r>
        <w:rPr>
          <w:spacing w:val="-11"/>
        </w:rPr>
        <w:t> </w:t>
      </w:r>
      <w:r>
        <w:rPr>
          <w:spacing w:val="-2"/>
        </w:rPr>
        <w:t>emphasizes</w:t>
      </w:r>
      <w:r>
        <w:rPr>
          <w:spacing w:val="-10"/>
        </w:rPr>
        <w:t> </w:t>
      </w:r>
      <w:r>
        <w:rPr>
          <w:spacing w:val="-2"/>
        </w:rPr>
        <w:t>the</w:t>
      </w:r>
      <w:r>
        <w:rPr>
          <w:spacing w:val="-11"/>
        </w:rPr>
        <w:t> </w:t>
      </w:r>
      <w:r>
        <w:rPr>
          <w:spacing w:val="-2"/>
        </w:rPr>
        <w:t>intersection</w:t>
      </w:r>
      <w:r>
        <w:rPr>
          <w:spacing w:val="-10"/>
        </w:rPr>
        <w:t> </w:t>
      </w:r>
      <w:r>
        <w:rPr>
          <w:spacing w:val="-2"/>
        </w:rPr>
        <w:t>of</w:t>
      </w:r>
      <w:r>
        <w:rPr>
          <w:spacing w:val="-11"/>
        </w:rPr>
        <w:t> </w:t>
      </w:r>
      <w:r>
        <w:rPr>
          <w:spacing w:val="-2"/>
        </w:rPr>
        <w:t>gender</w:t>
      </w:r>
      <w:r>
        <w:rPr>
          <w:spacing w:val="-10"/>
        </w:rPr>
        <w:t> </w:t>
      </w:r>
      <w:r>
        <w:rPr>
          <w:spacing w:val="-2"/>
        </w:rPr>
        <w:t>with</w:t>
      </w:r>
      <w:r>
        <w:rPr>
          <w:spacing w:val="-11"/>
        </w:rPr>
        <w:t> </w:t>
      </w:r>
      <w:r>
        <w:rPr>
          <w:spacing w:val="-2"/>
        </w:rPr>
        <w:t>broader </w:t>
      </w:r>
      <w:r>
        <w:rPr/>
        <w:t>ideological systems, including race and colonialism. Lisa Jardine [7] further argues that Shakespeare’s female characters reveal both the limitations imposed by patriarchal structures and the possibilities of resistance</w:t>
      </w:r>
      <w:r>
        <w:rPr>
          <w:spacing w:val="-1"/>
        </w:rPr>
        <w:t> </w:t>
      </w:r>
      <w:r>
        <w:rPr/>
        <w:t>within</w:t>
      </w:r>
      <w:r>
        <w:rPr>
          <w:spacing w:val="-1"/>
        </w:rPr>
        <w:t> </w:t>
      </w:r>
      <w:r>
        <w:rPr/>
        <w:t>them. These</w:t>
      </w:r>
      <w:r>
        <w:rPr>
          <w:spacing w:val="-1"/>
        </w:rPr>
        <w:t> </w:t>
      </w:r>
      <w:r>
        <w:rPr/>
        <w:t>studies</w:t>
      </w:r>
      <w:r>
        <w:rPr>
          <w:spacing w:val="-1"/>
        </w:rPr>
        <w:t> </w:t>
      </w:r>
      <w:r>
        <w:rPr/>
        <w:t>collectively</w:t>
      </w:r>
      <w:r>
        <w:rPr>
          <w:spacing w:val="-5"/>
        </w:rPr>
        <w:t> </w:t>
      </w:r>
      <w:r>
        <w:rPr/>
        <w:t>highlight that</w:t>
      </w:r>
      <w:r>
        <w:rPr>
          <w:spacing w:val="-1"/>
        </w:rPr>
        <w:t> </w:t>
      </w:r>
      <w:r>
        <w:rPr/>
        <w:t>women in Shakespeare are not merely victims but participants in complex negotiations</w:t>
      </w:r>
      <w:r>
        <w:rPr>
          <w:spacing w:val="40"/>
        </w:rPr>
        <w:t> </w:t>
      </w:r>
      <w:r>
        <w:rPr/>
        <w:t>of</w:t>
      </w:r>
      <w:r>
        <w:rPr>
          <w:spacing w:val="40"/>
        </w:rPr>
        <w:t> </w:t>
      </w:r>
      <w:r>
        <w:rPr/>
        <w:t>power.</w:t>
      </w:r>
    </w:p>
    <w:p>
      <w:pPr>
        <w:pStyle w:val="BodyText"/>
        <w:spacing w:line="271" w:lineRule="auto" w:before="57"/>
        <w:ind w:right="1439" w:firstLine="432"/>
        <w:jc w:val="both"/>
      </w:pPr>
      <w:r>
        <w:rPr/>
        <w:t>The</w:t>
      </w:r>
      <w:r>
        <w:rPr>
          <w:spacing w:val="-7"/>
        </w:rPr>
        <w:t> </w:t>
      </w:r>
      <w:r>
        <w:rPr/>
        <w:t>concept</w:t>
      </w:r>
      <w:r>
        <w:rPr>
          <w:spacing w:val="-6"/>
        </w:rPr>
        <w:t> </w:t>
      </w:r>
      <w:r>
        <w:rPr/>
        <w:t>of</w:t>
      </w:r>
      <w:r>
        <w:rPr>
          <w:spacing w:val="-10"/>
        </w:rPr>
        <w:t> </w:t>
      </w:r>
      <w:r>
        <w:rPr/>
        <w:t>gender</w:t>
      </w:r>
      <w:r>
        <w:rPr>
          <w:spacing w:val="-6"/>
        </w:rPr>
        <w:t> </w:t>
      </w:r>
      <w:r>
        <w:rPr/>
        <w:t>as</w:t>
      </w:r>
      <w:r>
        <w:rPr>
          <w:spacing w:val="-6"/>
        </w:rPr>
        <w:t> </w:t>
      </w:r>
      <w:r>
        <w:rPr/>
        <w:t>performance,</w:t>
      </w:r>
      <w:r>
        <w:rPr>
          <w:spacing w:val="-8"/>
        </w:rPr>
        <w:t> </w:t>
      </w:r>
      <w:r>
        <w:rPr/>
        <w:t>articulated</w:t>
      </w:r>
      <w:r>
        <w:rPr>
          <w:spacing w:val="-8"/>
        </w:rPr>
        <w:t> </w:t>
      </w:r>
      <w:r>
        <w:rPr/>
        <w:t>by</w:t>
      </w:r>
      <w:r>
        <w:rPr>
          <w:spacing w:val="-8"/>
        </w:rPr>
        <w:t> </w:t>
      </w:r>
      <w:r>
        <w:rPr/>
        <w:t>Judith</w:t>
      </w:r>
      <w:r>
        <w:rPr>
          <w:spacing w:val="-8"/>
        </w:rPr>
        <w:t> </w:t>
      </w:r>
      <w:r>
        <w:rPr/>
        <w:t>Butler [1,5],</w:t>
      </w:r>
      <w:r>
        <w:rPr>
          <w:spacing w:val="-10"/>
        </w:rPr>
        <w:t> </w:t>
      </w:r>
      <w:r>
        <w:rPr/>
        <w:t>has</w:t>
      </w:r>
      <w:r>
        <w:rPr>
          <w:spacing w:val="-10"/>
        </w:rPr>
        <w:t> </w:t>
      </w:r>
      <w:r>
        <w:rPr/>
        <w:t>been</w:t>
      </w:r>
      <w:r>
        <w:rPr>
          <w:spacing w:val="-10"/>
        </w:rPr>
        <w:t> </w:t>
      </w:r>
      <w:r>
        <w:rPr/>
        <w:t>particularly</w:t>
      </w:r>
      <w:r>
        <w:rPr>
          <w:spacing w:val="-13"/>
        </w:rPr>
        <w:t> </w:t>
      </w:r>
      <w:r>
        <w:rPr/>
        <w:t>influential</w:t>
      </w:r>
      <w:r>
        <w:rPr>
          <w:spacing w:val="-9"/>
        </w:rPr>
        <w:t> </w:t>
      </w:r>
      <w:r>
        <w:rPr/>
        <w:t>in</w:t>
      </w:r>
      <w:r>
        <w:rPr>
          <w:spacing w:val="-10"/>
        </w:rPr>
        <w:t> </w:t>
      </w:r>
      <w:r>
        <w:rPr/>
        <w:t>recent</w:t>
      </w:r>
      <w:r>
        <w:rPr>
          <w:spacing w:val="-10"/>
        </w:rPr>
        <w:t> </w:t>
      </w:r>
      <w:r>
        <w:rPr/>
        <w:t>Shakespearean</w:t>
      </w:r>
      <w:r>
        <w:rPr>
          <w:spacing w:val="-12"/>
        </w:rPr>
        <w:t> </w:t>
      </w:r>
      <w:r>
        <w:rPr/>
        <w:t>criticism. Characters such as Lady Macbeth exemplify the performative destabilization of gender norms, thereby exposing the artificiality of socially constructed identities. At the same time, Foucault’s theory of power [3,4] provides a framework for understanding how resistance is embedded within systems of domination, rather than existing outside </w:t>
      </w:r>
      <w:r>
        <w:rPr>
          <w:spacing w:val="-2"/>
        </w:rPr>
        <w:t>them.</w:t>
      </w:r>
    </w:p>
    <w:p>
      <w:pPr>
        <w:pStyle w:val="BodyText"/>
        <w:spacing w:line="271" w:lineRule="auto" w:before="60"/>
        <w:ind w:right="1435" w:firstLine="432"/>
        <w:jc w:val="both"/>
      </w:pPr>
      <w:r>
        <w:rPr/>
        <w:t>Scholars such as Dollimore [8] and Greenblatt [7] have further contributed to this discourse by examining the ideological and cultural dimensions of Shakespearean tragedy. Their work underscores how power operates through discourse, shaping both authority and resistance. More recent studies [11–14,16–18] extend these insights by highlighting diverse forms of feminist resistance, including emotional resilience, ethical defiance, and symbolic expression. Despite these advancements, there remains a tendency in some criticism to privilege overt forms of resistance while overlooking</w:t>
      </w:r>
      <w:r>
        <w:rPr>
          <w:spacing w:val="-2"/>
        </w:rPr>
        <w:t> </w:t>
      </w:r>
      <w:r>
        <w:rPr/>
        <w:t>subtler manifestations such as silence and psychological disruption. This paper addresses this gap by proposing a comprehensive framework that recognizes multiple, intersecting</w:t>
      </w:r>
      <w:r>
        <w:rPr>
          <w:spacing w:val="40"/>
        </w:rPr>
        <w:t> </w:t>
      </w:r>
      <w:r>
        <w:rPr/>
        <w:t>modes</w:t>
      </w:r>
      <w:r>
        <w:rPr>
          <w:spacing w:val="40"/>
        </w:rPr>
        <w:t> </w:t>
      </w:r>
      <w:r>
        <w:rPr/>
        <w:t>of</w:t>
      </w:r>
      <w:r>
        <w:rPr>
          <w:spacing w:val="40"/>
        </w:rPr>
        <w:t> </w:t>
      </w:r>
      <w:r>
        <w:rPr/>
        <w:t>feminist</w:t>
      </w:r>
      <w:r>
        <w:rPr>
          <w:spacing w:val="40"/>
        </w:rPr>
        <w:t> </w:t>
      </w:r>
      <w:r>
        <w:rPr/>
        <w:t>resistance</w:t>
      </w:r>
      <w:r>
        <w:rPr>
          <w:spacing w:val="40"/>
        </w:rPr>
        <w:t> </w:t>
      </w:r>
      <w:r>
        <w:rPr/>
        <w:t>in</w:t>
      </w:r>
      <w:r>
        <w:rPr>
          <w:spacing w:val="40"/>
        </w:rPr>
        <w:t> </w:t>
      </w:r>
      <w:r>
        <w:rPr/>
        <w:t>Shakespearean</w:t>
      </w:r>
      <w:r>
        <w:rPr>
          <w:spacing w:val="40"/>
        </w:rPr>
        <w:t> </w:t>
      </w:r>
      <w:r>
        <w:rPr/>
        <w:t>tragedy.</w:t>
      </w:r>
    </w:p>
    <w:p>
      <w:pPr>
        <w:pStyle w:val="BodyText"/>
        <w:spacing w:after="0" w:line="27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88544">
                <wp:simplePos x="0" y="0"/>
                <wp:positionH relativeFrom="page">
                  <wp:posOffset>2057400</wp:posOffset>
                </wp:positionH>
                <wp:positionV relativeFrom="paragraph">
                  <wp:posOffset>162604</wp:posOffset>
                </wp:positionV>
                <wp:extent cx="3657600" cy="12700"/>
                <wp:effectExtent l="0" t="0" r="0" b="0"/>
                <wp:wrapTopAndBottom/>
                <wp:docPr id="560" name="Graphic 560"/>
                <wp:cNvGraphicFramePr>
                  <a:graphicFrameLocks/>
                </wp:cNvGraphicFramePr>
                <a:graphic>
                  <a:graphicData uri="http://schemas.microsoft.com/office/word/2010/wordprocessingShape">
                    <wps:wsp>
                      <wps:cNvPr id="560" name="Graphic 56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27936;mso-wrap-distance-left:0;mso-wrap-distance-right:0" id="docshape555" filled="true" fillcolor="#000000" stroked="false">
                <v:fill type="solid"/>
                <w10:wrap type="topAndBottom"/>
              </v:rect>
            </w:pict>
          </mc:Fallback>
        </mc:AlternateContent>
      </w:r>
      <w:r>
        <w:rPr>
          <w:rFonts w:ascii="Verdana"/>
          <w:spacing w:val="-5"/>
          <w:sz w:val="18"/>
        </w:rPr>
        <w:t>268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numPr>
          <w:ilvl w:val="0"/>
          <w:numId w:val="58"/>
        </w:numPr>
        <w:tabs>
          <w:tab w:pos="1699" w:val="left" w:leader="none"/>
        </w:tabs>
        <w:spacing w:line="240" w:lineRule="auto" w:before="173" w:after="0"/>
        <w:ind w:left="1699" w:right="0" w:hanging="259"/>
        <w:jc w:val="left"/>
      </w:pPr>
      <w:r>
        <w:rPr>
          <w:w w:val="85"/>
        </w:rPr>
        <w:t>THEORETICAL</w:t>
      </w:r>
      <w:r>
        <w:rPr>
          <w:spacing w:val="27"/>
        </w:rPr>
        <w:t> </w:t>
      </w:r>
      <w:r>
        <w:rPr>
          <w:spacing w:val="-2"/>
        </w:rPr>
        <w:t>FRAMEWORK</w:t>
      </w:r>
    </w:p>
    <w:p>
      <w:pPr>
        <w:pStyle w:val="BodyText"/>
        <w:spacing w:before="75"/>
        <w:ind w:left="1872"/>
      </w:pPr>
      <w:r>
        <w:rPr/>
        <w:t>This</w:t>
      </w:r>
      <w:r>
        <w:rPr>
          <w:spacing w:val="46"/>
        </w:rPr>
        <w:t> </w:t>
      </w:r>
      <w:r>
        <w:rPr/>
        <w:t>study</w:t>
      </w:r>
      <w:r>
        <w:rPr>
          <w:spacing w:val="45"/>
        </w:rPr>
        <w:t> </w:t>
      </w:r>
      <w:r>
        <w:rPr>
          <w:spacing w:val="-2"/>
        </w:rPr>
        <w:t>integrates:</w:t>
      </w:r>
    </w:p>
    <w:p>
      <w:pPr>
        <w:pStyle w:val="ListParagraph"/>
        <w:numPr>
          <w:ilvl w:val="0"/>
          <w:numId w:val="59"/>
        </w:numPr>
        <w:tabs>
          <w:tab w:pos="2159" w:val="left" w:leader="none"/>
        </w:tabs>
        <w:spacing w:line="240" w:lineRule="auto" w:before="75" w:after="0"/>
        <w:ind w:left="2159" w:right="0" w:hanging="239"/>
        <w:jc w:val="left"/>
        <w:rPr>
          <w:sz w:val="20"/>
        </w:rPr>
      </w:pPr>
      <w:r>
        <w:rPr>
          <w:sz w:val="20"/>
        </w:rPr>
        <w:t>Feminist</w:t>
      </w:r>
      <w:r>
        <w:rPr>
          <w:spacing w:val="-10"/>
          <w:sz w:val="20"/>
        </w:rPr>
        <w:t> </w:t>
      </w:r>
      <w:r>
        <w:rPr>
          <w:sz w:val="20"/>
        </w:rPr>
        <w:t>Theory</w:t>
      </w:r>
      <w:r>
        <w:rPr>
          <w:spacing w:val="-9"/>
          <w:sz w:val="20"/>
        </w:rPr>
        <w:t> </w:t>
      </w:r>
      <w:r>
        <w:rPr>
          <w:sz w:val="20"/>
        </w:rPr>
        <w:t>(Butler,</w:t>
      </w:r>
      <w:r>
        <w:rPr>
          <w:spacing w:val="-6"/>
          <w:sz w:val="20"/>
        </w:rPr>
        <w:t> </w:t>
      </w:r>
      <w:r>
        <w:rPr>
          <w:spacing w:val="-2"/>
          <w:sz w:val="20"/>
        </w:rPr>
        <w:t>Beauvoir)</w:t>
      </w:r>
    </w:p>
    <w:p>
      <w:pPr>
        <w:pStyle w:val="ListParagraph"/>
        <w:numPr>
          <w:ilvl w:val="0"/>
          <w:numId w:val="59"/>
        </w:numPr>
        <w:tabs>
          <w:tab w:pos="2159" w:val="left" w:leader="none"/>
        </w:tabs>
        <w:spacing w:line="240" w:lineRule="auto" w:before="80" w:after="0"/>
        <w:ind w:left="2159" w:right="0" w:hanging="239"/>
        <w:jc w:val="left"/>
        <w:rPr>
          <w:sz w:val="20"/>
        </w:rPr>
      </w:pPr>
      <w:r>
        <w:rPr>
          <w:sz w:val="20"/>
        </w:rPr>
        <w:t>Foucauldian</w:t>
      </w:r>
      <w:r>
        <w:rPr>
          <w:spacing w:val="13"/>
          <w:sz w:val="20"/>
        </w:rPr>
        <w:t> </w:t>
      </w:r>
      <w:r>
        <w:rPr>
          <w:sz w:val="20"/>
        </w:rPr>
        <w:t>Power</w:t>
      </w:r>
      <w:r>
        <w:rPr>
          <w:spacing w:val="17"/>
          <w:sz w:val="20"/>
        </w:rPr>
        <w:t> </w:t>
      </w:r>
      <w:r>
        <w:rPr>
          <w:spacing w:val="-2"/>
          <w:sz w:val="20"/>
        </w:rPr>
        <w:t>Theory</w:t>
      </w:r>
    </w:p>
    <w:p>
      <w:pPr>
        <w:pStyle w:val="BodyText"/>
        <w:spacing w:line="249" w:lineRule="auto" w:before="70"/>
        <w:ind w:right="1440" w:firstLine="432"/>
        <w:jc w:val="both"/>
      </w:pPr>
      <w:r>
        <w:rPr/>
        <w:t>Butler’s framework allows for an understanding of gender as </w:t>
      </w:r>
      <w:r>
        <w:rPr>
          <w:spacing w:val="-2"/>
        </w:rPr>
        <w:t>performative</w:t>
      </w:r>
      <w:r>
        <w:rPr>
          <w:spacing w:val="-5"/>
        </w:rPr>
        <w:t> </w:t>
      </w:r>
      <w:r>
        <w:rPr>
          <w:spacing w:val="-2"/>
        </w:rPr>
        <w:t>rather</w:t>
      </w:r>
      <w:r>
        <w:rPr>
          <w:spacing w:val="-9"/>
        </w:rPr>
        <w:t> </w:t>
      </w:r>
      <w:r>
        <w:rPr>
          <w:spacing w:val="-2"/>
        </w:rPr>
        <w:t>than</w:t>
      </w:r>
      <w:r>
        <w:rPr>
          <w:spacing w:val="-7"/>
        </w:rPr>
        <w:t> </w:t>
      </w:r>
      <w:r>
        <w:rPr>
          <w:spacing w:val="-2"/>
        </w:rPr>
        <w:t>essential,</w:t>
      </w:r>
      <w:r>
        <w:rPr>
          <w:spacing w:val="-7"/>
        </w:rPr>
        <w:t> </w:t>
      </w:r>
      <w:r>
        <w:rPr>
          <w:spacing w:val="-2"/>
        </w:rPr>
        <w:t>while</w:t>
      </w:r>
      <w:r>
        <w:rPr>
          <w:spacing w:val="-4"/>
        </w:rPr>
        <w:t> </w:t>
      </w:r>
      <w:r>
        <w:rPr>
          <w:spacing w:val="-2"/>
        </w:rPr>
        <w:t>Foucault’s</w:t>
      </w:r>
      <w:r>
        <w:rPr>
          <w:spacing w:val="-11"/>
        </w:rPr>
        <w:t> </w:t>
      </w:r>
      <w:r>
        <w:rPr>
          <w:spacing w:val="-2"/>
        </w:rPr>
        <w:t>model</w:t>
      </w:r>
      <w:r>
        <w:rPr>
          <w:spacing w:val="-6"/>
        </w:rPr>
        <w:t> </w:t>
      </w:r>
      <w:r>
        <w:rPr>
          <w:spacing w:val="-2"/>
        </w:rPr>
        <w:t>conceptualizes </w:t>
      </w:r>
      <w:r>
        <w:rPr/>
        <w:t>power as diffuse and productive, thereby enabling resistance within its very</w:t>
      </w:r>
      <w:r>
        <w:rPr>
          <w:spacing w:val="40"/>
        </w:rPr>
        <w:t> </w:t>
      </w:r>
      <w:r>
        <w:rPr/>
        <w:t>structures.</w:t>
      </w:r>
    </w:p>
    <w:p>
      <w:pPr>
        <w:pStyle w:val="Heading3"/>
        <w:numPr>
          <w:ilvl w:val="0"/>
          <w:numId w:val="58"/>
        </w:numPr>
        <w:tabs>
          <w:tab w:pos="1703" w:val="left" w:leader="none"/>
        </w:tabs>
        <w:spacing w:line="240" w:lineRule="auto" w:before="156" w:after="0"/>
        <w:ind w:left="1703" w:right="0" w:hanging="263"/>
        <w:jc w:val="left"/>
      </w:pPr>
      <w:r>
        <w:rPr>
          <w:spacing w:val="-2"/>
        </w:rPr>
        <w:t>METHODOLOGY</w:t>
      </w:r>
    </w:p>
    <w:p>
      <w:pPr>
        <w:pStyle w:val="BodyText"/>
        <w:spacing w:line="249" w:lineRule="auto" w:before="76"/>
        <w:ind w:right="1437" w:firstLine="432"/>
      </w:pPr>
      <w:r>
        <w:rPr/>
        <w:t>The</w:t>
      </w:r>
      <w:r>
        <w:rPr>
          <w:spacing w:val="80"/>
        </w:rPr>
        <w:t> </w:t>
      </w:r>
      <w:r>
        <w:rPr/>
        <w:t>research</w:t>
      </w:r>
      <w:r>
        <w:rPr>
          <w:spacing w:val="80"/>
        </w:rPr>
        <w:t> </w:t>
      </w:r>
      <w:r>
        <w:rPr/>
        <w:t>adopts</w:t>
      </w:r>
      <w:r>
        <w:rPr>
          <w:spacing w:val="80"/>
        </w:rPr>
        <w:t> </w:t>
      </w:r>
      <w:r>
        <w:rPr/>
        <w:t>a</w:t>
      </w:r>
      <w:r>
        <w:rPr>
          <w:spacing w:val="80"/>
        </w:rPr>
        <w:t> </w:t>
      </w:r>
      <w:r>
        <w:rPr/>
        <w:t>qualitative,</w:t>
      </w:r>
      <w:r>
        <w:rPr>
          <w:spacing w:val="80"/>
        </w:rPr>
        <w:t> </w:t>
      </w:r>
      <w:r>
        <w:rPr/>
        <w:t>interpretative</w:t>
      </w:r>
      <w:r>
        <w:rPr>
          <w:spacing w:val="80"/>
        </w:rPr>
        <w:t> </w:t>
      </w:r>
      <w:r>
        <w:rPr/>
        <w:t>approach</w:t>
      </w:r>
      <w:r>
        <w:rPr>
          <w:spacing w:val="40"/>
        </w:rPr>
        <w:t> </w:t>
      </w:r>
      <w:r>
        <w:rPr>
          <w:spacing w:val="-2"/>
        </w:rPr>
        <w:t>involving:</w:t>
      </w:r>
    </w:p>
    <w:p>
      <w:pPr>
        <w:pStyle w:val="ListParagraph"/>
        <w:numPr>
          <w:ilvl w:val="0"/>
          <w:numId w:val="60"/>
        </w:numPr>
        <w:tabs>
          <w:tab w:pos="2159" w:val="left" w:leader="none"/>
        </w:tabs>
        <w:spacing w:line="240" w:lineRule="auto" w:before="66" w:after="0"/>
        <w:ind w:left="2159" w:right="0" w:hanging="239"/>
        <w:jc w:val="left"/>
        <w:rPr>
          <w:sz w:val="20"/>
        </w:rPr>
      </w:pPr>
      <w:r>
        <w:rPr>
          <w:sz w:val="20"/>
        </w:rPr>
        <w:t>Close</w:t>
      </w:r>
      <w:r>
        <w:rPr>
          <w:spacing w:val="20"/>
          <w:sz w:val="20"/>
        </w:rPr>
        <w:t> </w:t>
      </w:r>
      <w:r>
        <w:rPr>
          <w:sz w:val="20"/>
        </w:rPr>
        <w:t>textual</w:t>
      </w:r>
      <w:r>
        <w:rPr>
          <w:spacing w:val="21"/>
          <w:sz w:val="20"/>
        </w:rPr>
        <w:t> </w:t>
      </w:r>
      <w:r>
        <w:rPr>
          <w:spacing w:val="-2"/>
          <w:sz w:val="20"/>
        </w:rPr>
        <w:t>analysis</w:t>
      </w:r>
    </w:p>
    <w:p>
      <w:pPr>
        <w:pStyle w:val="ListParagraph"/>
        <w:numPr>
          <w:ilvl w:val="0"/>
          <w:numId w:val="60"/>
        </w:numPr>
        <w:tabs>
          <w:tab w:pos="2159" w:val="left" w:leader="none"/>
        </w:tabs>
        <w:spacing w:line="240" w:lineRule="auto" w:before="80" w:after="0"/>
        <w:ind w:left="2159" w:right="0" w:hanging="239"/>
        <w:jc w:val="left"/>
        <w:rPr>
          <w:sz w:val="20"/>
        </w:rPr>
      </w:pPr>
      <w:r>
        <w:rPr>
          <w:sz w:val="20"/>
        </w:rPr>
        <w:t>Comparative</w:t>
      </w:r>
      <w:r>
        <w:rPr>
          <w:spacing w:val="22"/>
          <w:sz w:val="20"/>
        </w:rPr>
        <w:t> </w:t>
      </w:r>
      <w:r>
        <w:rPr>
          <w:sz w:val="20"/>
        </w:rPr>
        <w:t>character</w:t>
      </w:r>
      <w:r>
        <w:rPr>
          <w:spacing w:val="23"/>
          <w:sz w:val="20"/>
        </w:rPr>
        <w:t> </w:t>
      </w:r>
      <w:r>
        <w:rPr>
          <w:spacing w:val="-4"/>
          <w:sz w:val="20"/>
        </w:rPr>
        <w:t>study</w:t>
      </w:r>
    </w:p>
    <w:p>
      <w:pPr>
        <w:pStyle w:val="ListParagraph"/>
        <w:numPr>
          <w:ilvl w:val="0"/>
          <w:numId w:val="60"/>
        </w:numPr>
        <w:tabs>
          <w:tab w:pos="2159" w:val="left" w:leader="none"/>
        </w:tabs>
        <w:spacing w:line="240" w:lineRule="auto" w:before="77" w:after="0"/>
        <w:ind w:left="2159" w:right="0" w:hanging="239"/>
        <w:jc w:val="left"/>
        <w:rPr>
          <w:sz w:val="20"/>
        </w:rPr>
      </w:pPr>
      <w:r>
        <w:rPr>
          <w:sz w:val="20"/>
        </w:rPr>
        <w:t>Theoretical</w:t>
      </w:r>
      <w:r>
        <w:rPr>
          <w:spacing w:val="3"/>
          <w:sz w:val="20"/>
        </w:rPr>
        <w:t> </w:t>
      </w:r>
      <w:r>
        <w:rPr>
          <w:sz w:val="20"/>
        </w:rPr>
        <w:t>application</w:t>
      </w:r>
      <w:r>
        <w:rPr>
          <w:spacing w:val="1"/>
          <w:sz w:val="20"/>
        </w:rPr>
        <w:t> </w:t>
      </w:r>
      <w:r>
        <w:rPr>
          <w:sz w:val="20"/>
        </w:rPr>
        <w:t>Primary</w:t>
      </w:r>
      <w:r>
        <w:rPr>
          <w:spacing w:val="-1"/>
          <w:sz w:val="20"/>
        </w:rPr>
        <w:t> </w:t>
      </w:r>
      <w:r>
        <w:rPr>
          <w:sz w:val="20"/>
        </w:rPr>
        <w:t>texts</w:t>
      </w:r>
      <w:r>
        <w:rPr>
          <w:spacing w:val="2"/>
          <w:sz w:val="20"/>
        </w:rPr>
        <w:t> </w:t>
      </w:r>
      <w:r>
        <w:rPr>
          <w:spacing w:val="-2"/>
          <w:sz w:val="20"/>
        </w:rPr>
        <w:t>analyzed:</w:t>
      </w:r>
    </w:p>
    <w:p>
      <w:pPr>
        <w:pStyle w:val="ListParagraph"/>
        <w:numPr>
          <w:ilvl w:val="0"/>
          <w:numId w:val="60"/>
        </w:numPr>
        <w:tabs>
          <w:tab w:pos="2159" w:val="left" w:leader="none"/>
        </w:tabs>
        <w:spacing w:line="240" w:lineRule="auto" w:before="77" w:after="0"/>
        <w:ind w:left="2159" w:right="0" w:hanging="239"/>
        <w:jc w:val="left"/>
        <w:rPr>
          <w:i/>
          <w:sz w:val="20"/>
        </w:rPr>
      </w:pPr>
      <w:r>
        <w:rPr>
          <w:i/>
          <w:spacing w:val="-2"/>
          <w:sz w:val="20"/>
        </w:rPr>
        <w:t>Macbeth</w:t>
      </w:r>
    </w:p>
    <w:p>
      <w:pPr>
        <w:pStyle w:val="ListParagraph"/>
        <w:numPr>
          <w:ilvl w:val="0"/>
          <w:numId w:val="60"/>
        </w:numPr>
        <w:tabs>
          <w:tab w:pos="2159" w:val="left" w:leader="none"/>
        </w:tabs>
        <w:spacing w:line="240" w:lineRule="auto" w:before="80" w:after="0"/>
        <w:ind w:left="2159" w:right="0" w:hanging="239"/>
        <w:jc w:val="left"/>
        <w:rPr>
          <w:i/>
          <w:sz w:val="20"/>
        </w:rPr>
      </w:pPr>
      <w:r>
        <w:rPr>
          <w:i/>
          <w:spacing w:val="-2"/>
          <w:sz w:val="20"/>
        </w:rPr>
        <w:t>Othello</w:t>
      </w:r>
    </w:p>
    <w:p>
      <w:pPr>
        <w:pStyle w:val="ListParagraph"/>
        <w:numPr>
          <w:ilvl w:val="0"/>
          <w:numId w:val="60"/>
        </w:numPr>
        <w:tabs>
          <w:tab w:pos="2159" w:val="left" w:leader="none"/>
        </w:tabs>
        <w:spacing w:line="240" w:lineRule="auto" w:before="77" w:after="0"/>
        <w:ind w:left="2159" w:right="0" w:hanging="239"/>
        <w:jc w:val="left"/>
        <w:rPr>
          <w:i/>
          <w:sz w:val="20"/>
        </w:rPr>
      </w:pPr>
      <w:r>
        <w:rPr>
          <w:i/>
          <w:spacing w:val="-2"/>
          <w:sz w:val="20"/>
        </w:rPr>
        <w:t>Hamlet</w:t>
      </w:r>
    </w:p>
    <w:p>
      <w:pPr>
        <w:pStyle w:val="ListParagraph"/>
        <w:numPr>
          <w:ilvl w:val="0"/>
          <w:numId w:val="60"/>
        </w:numPr>
        <w:tabs>
          <w:tab w:pos="2159" w:val="left" w:leader="none"/>
        </w:tabs>
        <w:spacing w:line="240" w:lineRule="auto" w:before="77" w:after="0"/>
        <w:ind w:left="2159" w:right="0" w:hanging="239"/>
        <w:jc w:val="left"/>
        <w:rPr>
          <w:i/>
          <w:sz w:val="20"/>
        </w:rPr>
      </w:pPr>
      <w:r>
        <w:rPr>
          <w:i/>
          <w:sz w:val="20"/>
        </w:rPr>
        <w:t>King</w:t>
      </w:r>
      <w:r>
        <w:rPr>
          <w:i/>
          <w:spacing w:val="34"/>
          <w:sz w:val="20"/>
        </w:rPr>
        <w:t> </w:t>
      </w:r>
      <w:r>
        <w:rPr>
          <w:i/>
          <w:spacing w:val="-4"/>
          <w:sz w:val="20"/>
        </w:rPr>
        <w:t>Lear</w:t>
      </w:r>
    </w:p>
    <w:p>
      <w:pPr>
        <w:pStyle w:val="Heading3"/>
        <w:numPr>
          <w:ilvl w:val="0"/>
          <w:numId w:val="58"/>
        </w:numPr>
        <w:tabs>
          <w:tab w:pos="1669" w:val="left" w:leader="none"/>
        </w:tabs>
        <w:spacing w:line="240" w:lineRule="auto" w:before="168" w:after="0"/>
        <w:ind w:left="1669" w:right="0" w:hanging="229"/>
        <w:jc w:val="left"/>
      </w:pPr>
      <w:r>
        <w:rPr>
          <w:spacing w:val="-2"/>
          <w:w w:val="85"/>
        </w:rPr>
        <w:t>FEMINIST</w:t>
      </w:r>
      <w:r>
        <w:rPr>
          <w:spacing w:val="-10"/>
          <w:w w:val="85"/>
        </w:rPr>
        <w:t> </w:t>
      </w:r>
      <w:r>
        <w:rPr>
          <w:spacing w:val="-2"/>
          <w:w w:val="85"/>
        </w:rPr>
        <w:t>RESISTANCE</w:t>
      </w:r>
      <w:r>
        <w:rPr>
          <w:spacing w:val="-7"/>
          <w:w w:val="85"/>
        </w:rPr>
        <w:t> </w:t>
      </w:r>
      <w:r>
        <w:rPr>
          <w:spacing w:val="-2"/>
          <w:w w:val="85"/>
        </w:rPr>
        <w:t>IN</w:t>
      </w:r>
      <w:r>
        <w:rPr>
          <w:spacing w:val="-6"/>
          <w:w w:val="85"/>
        </w:rPr>
        <w:t> </w:t>
      </w:r>
      <w:r>
        <w:rPr>
          <w:spacing w:val="-2"/>
          <w:w w:val="85"/>
        </w:rPr>
        <w:t>SHAKESPEAREAN</w:t>
      </w:r>
      <w:r>
        <w:rPr>
          <w:spacing w:val="-6"/>
          <w:w w:val="85"/>
        </w:rPr>
        <w:t> </w:t>
      </w:r>
      <w:r>
        <w:rPr>
          <w:spacing w:val="-2"/>
          <w:w w:val="85"/>
        </w:rPr>
        <w:t>TRAGEDIES</w:t>
      </w:r>
    </w:p>
    <w:p>
      <w:pPr>
        <w:pStyle w:val="Heading5"/>
        <w:numPr>
          <w:ilvl w:val="1"/>
          <w:numId w:val="58"/>
        </w:numPr>
        <w:tabs>
          <w:tab w:pos="373" w:val="left" w:leader="none"/>
        </w:tabs>
        <w:spacing w:line="240" w:lineRule="auto" w:before="126" w:after="0"/>
        <w:ind w:left="373" w:right="1441" w:hanging="373"/>
        <w:jc w:val="right"/>
      </w:pPr>
      <w:r>
        <w:rPr>
          <w:w w:val="105"/>
        </w:rPr>
        <w:t>Lady</w:t>
      </w:r>
      <w:r>
        <w:rPr>
          <w:spacing w:val="20"/>
          <w:w w:val="105"/>
        </w:rPr>
        <w:t> </w:t>
      </w:r>
      <w:r>
        <w:rPr>
          <w:w w:val="105"/>
        </w:rPr>
        <w:t>Macbeth:</w:t>
      </w:r>
      <w:r>
        <w:rPr>
          <w:spacing w:val="20"/>
          <w:w w:val="105"/>
        </w:rPr>
        <w:t> </w:t>
      </w:r>
      <w:r>
        <w:rPr>
          <w:w w:val="105"/>
        </w:rPr>
        <w:t>Performative</w:t>
      </w:r>
      <w:r>
        <w:rPr>
          <w:spacing w:val="21"/>
          <w:w w:val="105"/>
        </w:rPr>
        <w:t> </w:t>
      </w:r>
      <w:r>
        <w:rPr>
          <w:w w:val="105"/>
        </w:rPr>
        <w:t>Subversion</w:t>
      </w:r>
      <w:r>
        <w:rPr>
          <w:spacing w:val="20"/>
          <w:w w:val="105"/>
        </w:rPr>
        <w:t> </w:t>
      </w:r>
      <w:r>
        <w:rPr>
          <w:w w:val="105"/>
        </w:rPr>
        <w:t>of</w:t>
      </w:r>
      <w:r>
        <w:rPr>
          <w:spacing w:val="20"/>
          <w:w w:val="105"/>
        </w:rPr>
        <w:t> </w:t>
      </w:r>
      <w:r>
        <w:rPr>
          <w:spacing w:val="-2"/>
          <w:w w:val="105"/>
        </w:rPr>
        <w:t>Gender</w:t>
      </w:r>
    </w:p>
    <w:p>
      <w:pPr>
        <w:pStyle w:val="BodyText"/>
        <w:spacing w:line="249" w:lineRule="auto" w:before="71"/>
        <w:ind w:right="1441" w:firstLine="432"/>
        <w:jc w:val="both"/>
      </w:pPr>
      <w:r>
        <w:rPr/>
        <w:t>Lady Macbeth embodies a radical challenge to patriarchal gender norms by actively reconfiguring femininity as a site of power. Her invocation to “unsex” herself is not merely a rejection of womanhood but</w:t>
      </w:r>
      <w:r>
        <w:rPr>
          <w:spacing w:val="-13"/>
        </w:rPr>
        <w:t> </w:t>
      </w:r>
      <w:r>
        <w:rPr/>
        <w:t>a</w:t>
      </w:r>
      <w:r>
        <w:rPr>
          <w:spacing w:val="-12"/>
        </w:rPr>
        <w:t> </w:t>
      </w:r>
      <w:r>
        <w:rPr/>
        <w:t>performative</w:t>
      </w:r>
      <w:r>
        <w:rPr>
          <w:spacing w:val="-11"/>
        </w:rPr>
        <w:t> </w:t>
      </w:r>
      <w:r>
        <w:rPr/>
        <w:t>act</w:t>
      </w:r>
      <w:r>
        <w:rPr>
          <w:spacing w:val="-11"/>
        </w:rPr>
        <w:t> </w:t>
      </w:r>
      <w:r>
        <w:rPr/>
        <w:t>that</w:t>
      </w:r>
      <w:r>
        <w:rPr>
          <w:spacing w:val="-12"/>
        </w:rPr>
        <w:t> </w:t>
      </w:r>
      <w:r>
        <w:rPr/>
        <w:t>destabilizes</w:t>
      </w:r>
      <w:r>
        <w:rPr>
          <w:spacing w:val="-12"/>
        </w:rPr>
        <w:t> </w:t>
      </w:r>
      <w:r>
        <w:rPr/>
        <w:t>the</w:t>
      </w:r>
      <w:r>
        <w:rPr>
          <w:spacing w:val="-10"/>
        </w:rPr>
        <w:t> </w:t>
      </w:r>
      <w:r>
        <w:rPr/>
        <w:t>binary</w:t>
      </w:r>
      <w:r>
        <w:rPr>
          <w:spacing w:val="-13"/>
        </w:rPr>
        <w:t> </w:t>
      </w:r>
      <w:r>
        <w:rPr/>
        <w:t>construction</w:t>
      </w:r>
      <w:r>
        <w:rPr>
          <w:spacing w:val="-12"/>
        </w:rPr>
        <w:t> </w:t>
      </w:r>
      <w:r>
        <w:rPr/>
        <w:t>of</w:t>
      </w:r>
      <w:r>
        <w:rPr>
          <w:spacing w:val="-12"/>
        </w:rPr>
        <w:t> </w:t>
      </w:r>
      <w:r>
        <w:rPr>
          <w:spacing w:val="-2"/>
        </w:rPr>
        <w:t>gender.</w:t>
      </w:r>
    </w:p>
    <w:p>
      <w:pPr>
        <w:pStyle w:val="BodyText"/>
        <w:spacing w:line="249" w:lineRule="auto" w:before="61"/>
        <w:ind w:right="1440" w:firstLine="432"/>
        <w:jc w:val="both"/>
      </w:pPr>
      <w:r>
        <w:rPr/>
        <w:t>She appropriates traits culturally coded as masculine—ambition, cruelty, and authority— thereby exposing the constructed nature of gender hierarchies. However, her eventual descent into psychological fragmentation reveals the internal contradictions of resisting patriarchy from within its ideological framework.</w:t>
      </w:r>
    </w:p>
    <w:p>
      <w:pPr>
        <w:pStyle w:val="Heading5"/>
        <w:numPr>
          <w:ilvl w:val="1"/>
          <w:numId w:val="58"/>
        </w:numPr>
        <w:tabs>
          <w:tab w:pos="439" w:val="left" w:leader="none"/>
        </w:tabs>
        <w:spacing w:line="240" w:lineRule="auto" w:before="111" w:after="0"/>
        <w:ind w:left="439" w:right="1501" w:hanging="439"/>
        <w:jc w:val="right"/>
      </w:pPr>
      <w:r>
        <w:rPr>
          <w:w w:val="105"/>
        </w:rPr>
        <w:t>Desdemona:</w:t>
      </w:r>
      <w:r>
        <w:rPr>
          <w:spacing w:val="77"/>
          <w:w w:val="150"/>
        </w:rPr>
        <w:t> </w:t>
      </w:r>
      <w:r>
        <w:rPr>
          <w:w w:val="105"/>
        </w:rPr>
        <w:t>Ethical</w:t>
      </w:r>
      <w:r>
        <w:rPr>
          <w:spacing w:val="77"/>
          <w:w w:val="150"/>
        </w:rPr>
        <w:t> </w:t>
      </w:r>
      <w:r>
        <w:rPr>
          <w:w w:val="105"/>
        </w:rPr>
        <w:t>and</w:t>
      </w:r>
      <w:r>
        <w:rPr>
          <w:spacing w:val="25"/>
          <w:w w:val="105"/>
        </w:rPr>
        <w:t>  </w:t>
      </w:r>
      <w:r>
        <w:rPr>
          <w:w w:val="105"/>
        </w:rPr>
        <w:t>Discursive</w:t>
      </w:r>
      <w:r>
        <w:rPr>
          <w:spacing w:val="78"/>
          <w:w w:val="150"/>
        </w:rPr>
        <w:t> </w:t>
      </w:r>
      <w:r>
        <w:rPr>
          <w:spacing w:val="-2"/>
          <w:w w:val="105"/>
        </w:rPr>
        <w:t>Resistance</w:t>
      </w:r>
    </w:p>
    <w:p>
      <w:pPr>
        <w:pStyle w:val="BodyText"/>
        <w:spacing w:line="249" w:lineRule="auto" w:before="72"/>
        <w:ind w:right="1440" w:firstLine="432"/>
        <w:jc w:val="both"/>
      </w:pPr>
      <w:r>
        <w:rPr/>
        <w:t>Desdemona represents a mode of resistance grounded in ethical integrity and emotional autonomy. Her decision to marry Othello challenges</w:t>
      </w:r>
      <w:r>
        <w:rPr>
          <w:spacing w:val="33"/>
        </w:rPr>
        <w:t> </w:t>
      </w:r>
      <w:r>
        <w:rPr/>
        <w:t>patriarchal</w:t>
      </w:r>
      <w:r>
        <w:rPr>
          <w:spacing w:val="34"/>
        </w:rPr>
        <w:t> </w:t>
      </w:r>
      <w:r>
        <w:rPr/>
        <w:t>control</w:t>
      </w:r>
      <w:r>
        <w:rPr>
          <w:spacing w:val="34"/>
        </w:rPr>
        <w:t> </w:t>
      </w:r>
      <w:r>
        <w:rPr/>
        <w:t>over</w:t>
      </w:r>
      <w:r>
        <w:rPr>
          <w:spacing w:val="35"/>
        </w:rPr>
        <w:t> </w:t>
      </w:r>
      <w:r>
        <w:rPr/>
        <w:t>female</w:t>
      </w:r>
      <w:r>
        <w:rPr>
          <w:spacing w:val="35"/>
        </w:rPr>
        <w:t> </w:t>
      </w:r>
      <w:r>
        <w:rPr/>
        <w:t>choice</w:t>
      </w:r>
      <w:r>
        <w:rPr>
          <w:spacing w:val="34"/>
        </w:rPr>
        <w:t> </w:t>
      </w:r>
      <w:r>
        <w:rPr/>
        <w:t>and</w:t>
      </w:r>
      <w:r>
        <w:rPr>
          <w:spacing w:val="36"/>
        </w:rPr>
        <w:t> </w:t>
      </w:r>
      <w:r>
        <w:rPr/>
        <w:t>sexuality.</w:t>
      </w:r>
      <w:r>
        <w:rPr>
          <w:spacing w:val="34"/>
        </w:rPr>
        <w:t> </w:t>
      </w:r>
      <w:r>
        <w:rPr>
          <w:spacing w:val="-5"/>
        </w:rPr>
        <w:t>Her</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89056">
                <wp:simplePos x="0" y="0"/>
                <wp:positionH relativeFrom="page">
                  <wp:posOffset>2065020</wp:posOffset>
                </wp:positionH>
                <wp:positionV relativeFrom="paragraph">
                  <wp:posOffset>795020</wp:posOffset>
                </wp:positionV>
                <wp:extent cx="3657600" cy="12700"/>
                <wp:effectExtent l="0" t="0" r="0" b="0"/>
                <wp:wrapTopAndBottom/>
                <wp:docPr id="561" name="Graphic 561"/>
                <wp:cNvGraphicFramePr>
                  <a:graphicFrameLocks/>
                </wp:cNvGraphicFramePr>
                <a:graphic>
                  <a:graphicData uri="http://schemas.microsoft.com/office/word/2010/wordprocessingShape">
                    <wps:wsp>
                      <wps:cNvPr id="561" name="Graphic 56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27424;mso-wrap-distance-left:0;mso-wrap-distance-right:0" id="docshape556" filled="true" fillcolor="#000000" stroked="false">
                <v:fill type="solid"/>
                <w10:wrap type="topAndBottom"/>
              </v:rect>
            </w:pict>
          </mc:Fallback>
        </mc:AlternateContent>
      </w:r>
      <w:r>
        <w:rPr>
          <w:rFonts w:ascii="Verdana"/>
          <w:spacing w:val="-2"/>
          <w:sz w:val="18"/>
        </w:rPr>
        <w:t>Feminist</w:t>
      </w:r>
      <w:r>
        <w:rPr>
          <w:rFonts w:ascii="Verdana"/>
          <w:spacing w:val="5"/>
          <w:sz w:val="18"/>
        </w:rPr>
        <w:t> </w:t>
      </w:r>
      <w:r>
        <w:rPr>
          <w:rFonts w:ascii="Verdana"/>
          <w:spacing w:val="-2"/>
          <w:sz w:val="18"/>
        </w:rPr>
        <w:t>Resistance</w:t>
      </w:r>
      <w:r>
        <w:rPr>
          <w:rFonts w:ascii="Verdana"/>
          <w:spacing w:val="5"/>
          <w:sz w:val="18"/>
        </w:rPr>
        <w:t> </w:t>
      </w:r>
      <w:r>
        <w:rPr>
          <w:rFonts w:ascii="Verdana"/>
          <w:spacing w:val="-2"/>
          <w:sz w:val="18"/>
        </w:rPr>
        <w:t>in</w:t>
      </w:r>
      <w:r>
        <w:rPr>
          <w:rFonts w:ascii="Verdana"/>
          <w:spacing w:val="7"/>
          <w:sz w:val="18"/>
        </w:rPr>
        <w:t> </w:t>
      </w:r>
      <w:r>
        <w:rPr>
          <w:rFonts w:ascii="Verdana"/>
          <w:spacing w:val="-2"/>
          <w:sz w:val="18"/>
        </w:rPr>
        <w:t>Shakespearean</w:t>
      </w:r>
      <w:r>
        <w:rPr>
          <w:rFonts w:ascii="Verdana"/>
          <w:spacing w:val="6"/>
          <w:sz w:val="18"/>
        </w:rPr>
        <w:t> </w:t>
      </w:r>
      <w:r>
        <w:rPr>
          <w:rFonts w:ascii="Verdana"/>
          <w:spacing w:val="-2"/>
          <w:sz w:val="18"/>
        </w:rPr>
        <w:t>Tragedies...</w:t>
      </w:r>
      <w:r>
        <w:rPr>
          <w:sz w:val="18"/>
        </w:rPr>
        <w:tab/>
      </w:r>
      <w:r>
        <w:rPr>
          <w:rFonts w:ascii="Verdana"/>
          <w:spacing w:val="-5"/>
          <w:sz w:val="18"/>
        </w:rPr>
        <w:t>269</w:t>
      </w:r>
    </w:p>
    <w:p>
      <w:pPr>
        <w:pStyle w:val="BodyText"/>
        <w:spacing w:line="249" w:lineRule="auto" w:before="192"/>
        <w:ind w:right="1440"/>
        <w:jc w:val="both"/>
      </w:pPr>
      <w:r>
        <w:rPr/>
        <w:t>resistance is not expressed through rebellion but through unwavering commitment to truth and moral clarity. Even in her final moments, she asserts agency by refusing to implicate others, thereby transforming victimhood</w:t>
      </w:r>
      <w:r>
        <w:rPr>
          <w:spacing w:val="40"/>
        </w:rPr>
        <w:t> </w:t>
      </w:r>
      <w:r>
        <w:rPr/>
        <w:t>into</w:t>
      </w:r>
      <w:r>
        <w:rPr>
          <w:spacing w:val="40"/>
        </w:rPr>
        <w:t> </w:t>
      </w:r>
      <w:r>
        <w:rPr/>
        <w:t>ethical</w:t>
      </w:r>
      <w:r>
        <w:rPr>
          <w:spacing w:val="40"/>
        </w:rPr>
        <w:t> </w:t>
      </w:r>
      <w:r>
        <w:rPr/>
        <w:t>resistance.</w:t>
      </w:r>
    </w:p>
    <w:p>
      <w:pPr>
        <w:pStyle w:val="Heading5"/>
        <w:numPr>
          <w:ilvl w:val="1"/>
          <w:numId w:val="58"/>
        </w:numPr>
        <w:tabs>
          <w:tab w:pos="1872" w:val="left" w:leader="none"/>
          <w:tab w:pos="1875" w:val="left" w:leader="none"/>
        </w:tabs>
        <w:spacing w:line="240" w:lineRule="auto" w:before="111" w:after="0"/>
        <w:ind w:left="1875" w:right="0" w:hanging="435"/>
        <w:jc w:val="left"/>
      </w:pPr>
      <w:r>
        <w:rPr>
          <w:w w:val="105"/>
        </w:rPr>
        <w:t>Ophelia:</w:t>
      </w:r>
      <w:r>
        <w:rPr>
          <w:spacing w:val="76"/>
          <w:w w:val="150"/>
        </w:rPr>
        <w:t> </w:t>
      </w:r>
      <w:r>
        <w:rPr>
          <w:w w:val="105"/>
        </w:rPr>
        <w:t>Symbolic</w:t>
      </w:r>
      <w:r>
        <w:rPr>
          <w:spacing w:val="71"/>
          <w:w w:val="150"/>
        </w:rPr>
        <w:t> </w:t>
      </w:r>
      <w:r>
        <w:rPr>
          <w:w w:val="105"/>
        </w:rPr>
        <w:t>Resistance</w:t>
      </w:r>
      <w:r>
        <w:rPr>
          <w:spacing w:val="73"/>
          <w:w w:val="150"/>
        </w:rPr>
        <w:t> </w:t>
      </w:r>
      <w:r>
        <w:rPr>
          <w:w w:val="105"/>
        </w:rPr>
        <w:t>through</w:t>
      </w:r>
      <w:r>
        <w:rPr>
          <w:spacing w:val="70"/>
          <w:w w:val="150"/>
        </w:rPr>
        <w:t> </w:t>
      </w:r>
      <w:r>
        <w:rPr>
          <w:spacing w:val="-2"/>
          <w:w w:val="105"/>
        </w:rPr>
        <w:t>Madness</w:t>
      </w:r>
    </w:p>
    <w:p>
      <w:pPr>
        <w:pStyle w:val="BodyText"/>
        <w:spacing w:line="249" w:lineRule="auto" w:before="71"/>
        <w:ind w:right="1438" w:firstLine="432"/>
        <w:jc w:val="both"/>
      </w:pPr>
      <w:r>
        <w:rPr/>
        <w:t>Ophelia’s madness constitutes a powerful form of symbolic resistance. Rather than interpreting her breakdown as weakness, it can be seen as a disruption of patriarchal discourse. Her fragmented speech and withdrawal</w:t>
      </w:r>
      <w:r>
        <w:rPr>
          <w:spacing w:val="-1"/>
        </w:rPr>
        <w:t> </w:t>
      </w:r>
      <w:r>
        <w:rPr/>
        <w:t>from</w:t>
      </w:r>
      <w:r>
        <w:rPr>
          <w:spacing w:val="-5"/>
        </w:rPr>
        <w:t> </w:t>
      </w:r>
      <w:r>
        <w:rPr/>
        <w:t>rationality</w:t>
      </w:r>
      <w:r>
        <w:rPr>
          <w:spacing w:val="-6"/>
        </w:rPr>
        <w:t> </w:t>
      </w:r>
      <w:r>
        <w:rPr/>
        <w:t>challenge the</w:t>
      </w:r>
      <w:r>
        <w:rPr>
          <w:spacing w:val="-2"/>
        </w:rPr>
        <w:t> </w:t>
      </w:r>
      <w:r>
        <w:rPr/>
        <w:t>linguistic and ideological structures that seek to define and contain her. Madness becomes a site of</w:t>
      </w:r>
      <w:r>
        <w:rPr>
          <w:spacing w:val="40"/>
        </w:rPr>
        <w:t> </w:t>
      </w:r>
      <w:r>
        <w:rPr/>
        <w:t>resistance</w:t>
      </w:r>
      <w:r>
        <w:rPr>
          <w:spacing w:val="40"/>
        </w:rPr>
        <w:t> </w:t>
      </w:r>
      <w:r>
        <w:rPr/>
        <w:t>where</w:t>
      </w:r>
      <w:r>
        <w:rPr>
          <w:spacing w:val="40"/>
        </w:rPr>
        <w:t> </w:t>
      </w:r>
      <w:r>
        <w:rPr/>
        <w:t>suppressed</w:t>
      </w:r>
      <w:r>
        <w:rPr>
          <w:spacing w:val="40"/>
        </w:rPr>
        <w:t> </w:t>
      </w:r>
      <w:r>
        <w:rPr/>
        <w:t>voices</w:t>
      </w:r>
      <w:r>
        <w:rPr>
          <w:spacing w:val="40"/>
        </w:rPr>
        <w:t> </w:t>
      </w:r>
      <w:r>
        <w:rPr/>
        <w:t>find</w:t>
      </w:r>
      <w:r>
        <w:rPr>
          <w:spacing w:val="40"/>
        </w:rPr>
        <w:t> </w:t>
      </w:r>
      <w:r>
        <w:rPr/>
        <w:t>expression.</w:t>
      </w:r>
    </w:p>
    <w:p>
      <w:pPr>
        <w:pStyle w:val="Heading5"/>
        <w:numPr>
          <w:ilvl w:val="1"/>
          <w:numId w:val="58"/>
        </w:numPr>
        <w:tabs>
          <w:tab w:pos="1875" w:val="left" w:leader="none"/>
        </w:tabs>
        <w:spacing w:line="240" w:lineRule="auto" w:before="113" w:after="0"/>
        <w:ind w:left="1875" w:right="0" w:hanging="435"/>
        <w:jc w:val="left"/>
      </w:pPr>
      <w:r>
        <w:rPr>
          <w:w w:val="105"/>
        </w:rPr>
        <w:t>Cordelia:</w:t>
      </w:r>
      <w:r>
        <w:rPr>
          <w:spacing w:val="75"/>
          <w:w w:val="150"/>
        </w:rPr>
        <w:t> </w:t>
      </w:r>
      <w:r>
        <w:rPr>
          <w:w w:val="105"/>
        </w:rPr>
        <w:t>Silence</w:t>
      </w:r>
      <w:r>
        <w:rPr>
          <w:spacing w:val="75"/>
          <w:w w:val="150"/>
        </w:rPr>
        <w:t> </w:t>
      </w:r>
      <w:r>
        <w:rPr>
          <w:w w:val="105"/>
        </w:rPr>
        <w:t>as</w:t>
      </w:r>
      <w:r>
        <w:rPr>
          <w:spacing w:val="71"/>
          <w:w w:val="150"/>
        </w:rPr>
        <w:t> </w:t>
      </w:r>
      <w:r>
        <w:rPr>
          <w:w w:val="105"/>
        </w:rPr>
        <w:t>Ethical</w:t>
      </w:r>
      <w:r>
        <w:rPr>
          <w:spacing w:val="70"/>
          <w:w w:val="150"/>
        </w:rPr>
        <w:t> </w:t>
      </w:r>
      <w:r>
        <w:rPr>
          <w:spacing w:val="-2"/>
          <w:w w:val="105"/>
        </w:rPr>
        <w:t>Defiance</w:t>
      </w:r>
    </w:p>
    <w:p>
      <w:pPr>
        <w:pStyle w:val="BodyText"/>
        <w:spacing w:line="249" w:lineRule="auto" w:before="71"/>
        <w:ind w:right="1439" w:firstLine="432"/>
        <w:jc w:val="both"/>
      </w:pPr>
      <w:r>
        <w:rPr/>
        <w:t>Cordelia’s refusal to perform exaggerated expressions of love represents a profound act of resistance. Her silence disrupts the </w:t>
      </w:r>
      <w:r>
        <w:rPr>
          <w:spacing w:val="-2"/>
        </w:rPr>
        <w:t>performative expectations imposed by</w:t>
      </w:r>
      <w:r>
        <w:rPr>
          <w:spacing w:val="-4"/>
        </w:rPr>
        <w:t> </w:t>
      </w:r>
      <w:r>
        <w:rPr>
          <w:spacing w:val="-2"/>
        </w:rPr>
        <w:t>patriarchal authority. Unlike overt </w:t>
      </w:r>
      <w:r>
        <w:rPr/>
        <w:t>rebellion, Cordelia’s resistance lies in refusal—refusal to conform, to exaggerate, and to participate in systems of false representation. Her integrity transforms</w:t>
      </w:r>
      <w:r>
        <w:rPr>
          <w:spacing w:val="40"/>
        </w:rPr>
        <w:t> </w:t>
      </w:r>
      <w:r>
        <w:rPr/>
        <w:t>silence</w:t>
      </w:r>
      <w:r>
        <w:rPr>
          <w:spacing w:val="40"/>
        </w:rPr>
        <w:t> </w:t>
      </w:r>
      <w:r>
        <w:rPr/>
        <w:t>into</w:t>
      </w:r>
      <w:r>
        <w:rPr>
          <w:spacing w:val="40"/>
        </w:rPr>
        <w:t> </w:t>
      </w:r>
      <w:r>
        <w:rPr/>
        <w:t>a</w:t>
      </w:r>
      <w:r>
        <w:rPr>
          <w:spacing w:val="40"/>
        </w:rPr>
        <w:t> </w:t>
      </w:r>
      <w:r>
        <w:rPr/>
        <w:t>powerful</w:t>
      </w:r>
      <w:r>
        <w:rPr>
          <w:spacing w:val="40"/>
        </w:rPr>
        <w:t> </w:t>
      </w:r>
      <w:r>
        <w:rPr/>
        <w:t>ethical</w:t>
      </w:r>
      <w:r>
        <w:rPr>
          <w:spacing w:val="40"/>
        </w:rPr>
        <w:t> </w:t>
      </w:r>
      <w:r>
        <w:rPr/>
        <w:t>stance.</w:t>
      </w:r>
    </w:p>
    <w:p>
      <w:pPr>
        <w:spacing w:before="62"/>
        <w:ind w:left="0" w:right="0" w:firstLine="0"/>
        <w:jc w:val="center"/>
        <w:rPr>
          <w:rFonts w:ascii="Cambria"/>
          <w:i/>
          <w:sz w:val="18"/>
        </w:rPr>
      </w:pPr>
      <w:r>
        <w:rPr>
          <w:rFonts w:ascii="Cambria"/>
          <w:i/>
          <w:w w:val="110"/>
          <w:sz w:val="18"/>
        </w:rPr>
        <w:t>Figure</w:t>
      </w:r>
      <w:r>
        <w:rPr>
          <w:rFonts w:ascii="Cambria"/>
          <w:i/>
          <w:spacing w:val="8"/>
          <w:w w:val="110"/>
          <w:sz w:val="18"/>
        </w:rPr>
        <w:t> </w:t>
      </w:r>
      <w:r>
        <w:rPr>
          <w:rFonts w:ascii="Cambria"/>
          <w:i/>
          <w:w w:val="110"/>
          <w:sz w:val="18"/>
        </w:rPr>
        <w:t>1:</w:t>
      </w:r>
      <w:r>
        <w:rPr>
          <w:rFonts w:ascii="Cambria"/>
          <w:i/>
          <w:spacing w:val="9"/>
          <w:w w:val="110"/>
          <w:sz w:val="18"/>
        </w:rPr>
        <w:t> </w:t>
      </w:r>
      <w:r>
        <w:rPr>
          <w:rFonts w:ascii="Cambria"/>
          <w:i/>
          <w:w w:val="110"/>
          <w:sz w:val="18"/>
        </w:rPr>
        <w:t>Integrated</w:t>
      </w:r>
      <w:r>
        <w:rPr>
          <w:rFonts w:ascii="Cambria"/>
          <w:i/>
          <w:spacing w:val="9"/>
          <w:w w:val="110"/>
          <w:sz w:val="18"/>
        </w:rPr>
        <w:t> </w:t>
      </w:r>
      <w:r>
        <w:rPr>
          <w:rFonts w:ascii="Cambria"/>
          <w:i/>
          <w:w w:val="110"/>
          <w:sz w:val="18"/>
        </w:rPr>
        <w:t>Model</w:t>
      </w:r>
      <w:r>
        <w:rPr>
          <w:rFonts w:ascii="Cambria"/>
          <w:i/>
          <w:spacing w:val="9"/>
          <w:w w:val="110"/>
          <w:sz w:val="18"/>
        </w:rPr>
        <w:t> </w:t>
      </w:r>
      <w:r>
        <w:rPr>
          <w:rFonts w:ascii="Cambria"/>
          <w:i/>
          <w:w w:val="110"/>
          <w:sz w:val="18"/>
        </w:rPr>
        <w:t>of</w:t>
      </w:r>
      <w:r>
        <w:rPr>
          <w:rFonts w:ascii="Cambria"/>
          <w:i/>
          <w:spacing w:val="7"/>
          <w:w w:val="110"/>
          <w:sz w:val="18"/>
        </w:rPr>
        <w:t> </w:t>
      </w:r>
      <w:r>
        <w:rPr>
          <w:rFonts w:ascii="Cambria"/>
          <w:i/>
          <w:w w:val="110"/>
          <w:sz w:val="18"/>
        </w:rPr>
        <w:t>Feminist</w:t>
      </w:r>
      <w:r>
        <w:rPr>
          <w:rFonts w:ascii="Cambria"/>
          <w:i/>
          <w:spacing w:val="8"/>
          <w:w w:val="110"/>
          <w:sz w:val="18"/>
        </w:rPr>
        <w:t> </w:t>
      </w:r>
      <w:r>
        <w:rPr>
          <w:rFonts w:ascii="Cambria"/>
          <w:i/>
          <w:spacing w:val="-2"/>
          <w:w w:val="110"/>
          <w:sz w:val="18"/>
        </w:rPr>
        <w:t>Resistance</w:t>
      </w:r>
    </w:p>
    <w:p>
      <w:pPr>
        <w:pStyle w:val="BodyText"/>
        <w:spacing w:before="133"/>
        <w:ind w:left="0"/>
        <w:rPr>
          <w:rFonts w:ascii="Cambria"/>
          <w:i/>
        </w:rPr>
      </w:pPr>
      <w:r>
        <w:rPr>
          <w:rFonts w:ascii="Cambria"/>
          <w:i/>
        </w:rPr>
        <w:drawing>
          <wp:anchor distT="0" distB="0" distL="0" distR="0" allowOverlap="1" layoutInCell="1" locked="0" behindDoc="1" simplePos="0" relativeHeight="487789568">
            <wp:simplePos x="0" y="0"/>
            <wp:positionH relativeFrom="page">
              <wp:posOffset>2447543</wp:posOffset>
            </wp:positionH>
            <wp:positionV relativeFrom="paragraph">
              <wp:posOffset>248830</wp:posOffset>
            </wp:positionV>
            <wp:extent cx="2785987" cy="2663380"/>
            <wp:effectExtent l="0" t="0" r="0" b="0"/>
            <wp:wrapTopAndBottom/>
            <wp:docPr id="562" name="Image 562"/>
            <wp:cNvGraphicFramePr>
              <a:graphicFrameLocks/>
            </wp:cNvGraphicFramePr>
            <a:graphic>
              <a:graphicData uri="http://schemas.openxmlformats.org/drawingml/2006/picture">
                <pic:pic>
                  <pic:nvPicPr>
                    <pic:cNvPr id="562" name="Image 562"/>
                    <pic:cNvPicPr/>
                  </pic:nvPicPr>
                  <pic:blipFill>
                    <a:blip r:embed="rId103" cstate="print"/>
                    <a:stretch>
                      <a:fillRect/>
                    </a:stretch>
                  </pic:blipFill>
                  <pic:spPr>
                    <a:xfrm>
                      <a:off x="0" y="0"/>
                      <a:ext cx="2785987" cy="2663380"/>
                    </a:xfrm>
                    <a:prstGeom prst="rect">
                      <a:avLst/>
                    </a:prstGeom>
                  </pic:spPr>
                </pic:pic>
              </a:graphicData>
            </a:graphic>
          </wp:anchor>
        </w:drawing>
      </w:r>
    </w:p>
    <w:p>
      <w:pPr>
        <w:pStyle w:val="BodyText"/>
        <w:spacing w:after="0"/>
        <w:rPr>
          <w:rFonts w:ascii="Cambria"/>
          <w:i/>
        </w:rPr>
        <w:sectPr>
          <w:pgSz w:w="12240" w:h="15840"/>
          <w:pgMar w:top="1820" w:bottom="280" w:left="1800" w:right="1800"/>
        </w:sectPr>
      </w:pPr>
    </w:p>
    <w:p>
      <w:pPr>
        <w:pStyle w:val="BodyText"/>
        <w:ind w:left="0"/>
        <w:rPr>
          <w:rFonts w:ascii="Cambria"/>
          <w:i/>
          <w:sz w:val="18"/>
        </w:rPr>
      </w:pPr>
    </w:p>
    <w:p>
      <w:pPr>
        <w:pStyle w:val="BodyText"/>
        <w:ind w:left="0"/>
        <w:rPr>
          <w:rFonts w:ascii="Cambria"/>
          <w:i/>
          <w:sz w:val="18"/>
        </w:rPr>
      </w:pPr>
    </w:p>
    <w:p>
      <w:pPr>
        <w:pStyle w:val="BodyText"/>
        <w:ind w:left="0"/>
        <w:rPr>
          <w:rFonts w:ascii="Cambria"/>
          <w:i/>
          <w:sz w:val="18"/>
        </w:rPr>
      </w:pPr>
    </w:p>
    <w:p>
      <w:pPr>
        <w:pStyle w:val="BodyText"/>
        <w:spacing w:before="152"/>
        <w:ind w:left="0"/>
        <w:rPr>
          <w:rFonts w:ascii="Cambria"/>
          <w:i/>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90080">
                <wp:simplePos x="0" y="0"/>
                <wp:positionH relativeFrom="page">
                  <wp:posOffset>2057400</wp:posOffset>
                </wp:positionH>
                <wp:positionV relativeFrom="paragraph">
                  <wp:posOffset>162495</wp:posOffset>
                </wp:positionV>
                <wp:extent cx="3657600" cy="12700"/>
                <wp:effectExtent l="0" t="0" r="0" b="0"/>
                <wp:wrapTopAndBottom/>
                <wp:docPr id="563" name="Graphic 563"/>
                <wp:cNvGraphicFramePr>
                  <a:graphicFrameLocks/>
                </wp:cNvGraphicFramePr>
                <a:graphic>
                  <a:graphicData uri="http://schemas.microsoft.com/office/word/2010/wordprocessingShape">
                    <wps:wsp>
                      <wps:cNvPr id="563" name="Graphic 56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794929pt;width:288.000009pt;height:.959999pt;mso-position-horizontal-relative:page;mso-position-vertical-relative:paragraph;z-index:-15526400;mso-wrap-distance-left:0;mso-wrap-distance-right:0" id="docshape557" filled="true" fillcolor="#000000" stroked="false">
                <v:fill type="solid"/>
                <w10:wrap type="topAndBottom"/>
              </v:rect>
            </w:pict>
          </mc:Fallback>
        </mc:AlternateContent>
      </w:r>
      <w:r>
        <w:rPr>
          <w:rFonts w:ascii="Verdana"/>
          <w:sz w:val="18"/>
        </w:rPr>
        <w:drawing>
          <wp:anchor distT="0" distB="0" distL="0" distR="0" allowOverlap="1" layoutInCell="1" locked="0" behindDoc="1" simplePos="0" relativeHeight="487790592">
            <wp:simplePos x="0" y="0"/>
            <wp:positionH relativeFrom="page">
              <wp:posOffset>2391155</wp:posOffset>
            </wp:positionH>
            <wp:positionV relativeFrom="paragraph">
              <wp:posOffset>302703</wp:posOffset>
            </wp:positionV>
            <wp:extent cx="2905353" cy="1990725"/>
            <wp:effectExtent l="0" t="0" r="0" b="0"/>
            <wp:wrapTopAndBottom/>
            <wp:docPr id="564" name="Image 564"/>
            <wp:cNvGraphicFramePr>
              <a:graphicFrameLocks/>
            </wp:cNvGraphicFramePr>
            <a:graphic>
              <a:graphicData uri="http://schemas.openxmlformats.org/drawingml/2006/picture">
                <pic:pic>
                  <pic:nvPicPr>
                    <pic:cNvPr id="564" name="Image 564"/>
                    <pic:cNvPicPr/>
                  </pic:nvPicPr>
                  <pic:blipFill>
                    <a:blip r:embed="rId104" cstate="print"/>
                    <a:stretch>
                      <a:fillRect/>
                    </a:stretch>
                  </pic:blipFill>
                  <pic:spPr>
                    <a:xfrm>
                      <a:off x="0" y="0"/>
                      <a:ext cx="2905353" cy="1990725"/>
                    </a:xfrm>
                    <a:prstGeom prst="rect">
                      <a:avLst/>
                    </a:prstGeom>
                  </pic:spPr>
                </pic:pic>
              </a:graphicData>
            </a:graphic>
          </wp:anchor>
        </w:drawing>
      </w:r>
      <w:r>
        <w:rPr>
          <w:rFonts w:ascii="Verdana"/>
          <w:spacing w:val="-5"/>
          <w:sz w:val="18"/>
        </w:rPr>
        <w:t>270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before="7"/>
        <w:ind w:left="0"/>
        <w:rPr>
          <w:rFonts w:ascii="Verdana"/>
          <w:sz w:val="14"/>
        </w:rPr>
      </w:pPr>
    </w:p>
    <w:p>
      <w:pPr>
        <w:pStyle w:val="BodyText"/>
        <w:spacing w:before="123"/>
        <w:ind w:left="0"/>
        <w:rPr>
          <w:rFonts w:ascii="Verdana"/>
          <w:sz w:val="23"/>
        </w:rPr>
      </w:pPr>
    </w:p>
    <w:p>
      <w:pPr>
        <w:pStyle w:val="Heading3"/>
        <w:spacing w:before="0"/>
      </w:pPr>
      <w:r>
        <w:rPr>
          <w:spacing w:val="-2"/>
        </w:rPr>
        <w:t>CAPTION:</w:t>
      </w:r>
    </w:p>
    <w:p>
      <w:pPr>
        <w:pStyle w:val="BodyText"/>
        <w:spacing w:line="249" w:lineRule="auto" w:before="75" w:after="23"/>
        <w:ind w:right="1440" w:firstLine="432"/>
        <w:jc w:val="both"/>
      </w:pPr>
      <w:r>
        <w:rPr>
          <w:spacing w:val="-4"/>
        </w:rPr>
        <w:t>Figure</w:t>
      </w:r>
      <w:r>
        <w:rPr>
          <w:spacing w:val="-9"/>
        </w:rPr>
        <w:t> </w:t>
      </w:r>
      <w:r>
        <w:rPr>
          <w:spacing w:val="-4"/>
        </w:rPr>
        <w:t>1</w:t>
      </w:r>
      <w:r>
        <w:rPr>
          <w:spacing w:val="-8"/>
        </w:rPr>
        <w:t> </w:t>
      </w:r>
      <w:r>
        <w:rPr>
          <w:spacing w:val="-4"/>
        </w:rPr>
        <w:t>illustrates</w:t>
      </w:r>
      <w:r>
        <w:rPr>
          <w:spacing w:val="-9"/>
        </w:rPr>
        <w:t> </w:t>
      </w:r>
      <w:r>
        <w:rPr>
          <w:spacing w:val="-4"/>
        </w:rPr>
        <w:t>how</w:t>
      </w:r>
      <w:r>
        <w:rPr>
          <w:spacing w:val="-8"/>
        </w:rPr>
        <w:t> </w:t>
      </w:r>
      <w:r>
        <w:rPr>
          <w:spacing w:val="-4"/>
        </w:rPr>
        <w:t>feminist</w:t>
      </w:r>
      <w:r>
        <w:rPr>
          <w:spacing w:val="-9"/>
        </w:rPr>
        <w:t> </w:t>
      </w:r>
      <w:r>
        <w:rPr>
          <w:spacing w:val="-4"/>
        </w:rPr>
        <w:t>resistance</w:t>
      </w:r>
      <w:r>
        <w:rPr>
          <w:spacing w:val="-8"/>
        </w:rPr>
        <w:t> </w:t>
      </w:r>
      <w:r>
        <w:rPr>
          <w:spacing w:val="-4"/>
        </w:rPr>
        <w:t>emerges</w:t>
      </w:r>
      <w:r>
        <w:rPr>
          <w:spacing w:val="-9"/>
        </w:rPr>
        <w:t> </w:t>
      </w:r>
      <w:r>
        <w:rPr>
          <w:spacing w:val="-4"/>
        </w:rPr>
        <w:t>within</w:t>
      </w:r>
      <w:r>
        <w:rPr>
          <w:spacing w:val="-8"/>
        </w:rPr>
        <w:t> </w:t>
      </w:r>
      <w:r>
        <w:rPr>
          <w:spacing w:val="-4"/>
        </w:rPr>
        <w:t>patriarchal </w:t>
      </w:r>
      <w:r>
        <w:rPr/>
        <w:t>systems through multiple modes, including performative, ethical, and symbolic</w:t>
      </w:r>
      <w:r>
        <w:rPr>
          <w:spacing w:val="40"/>
        </w:rPr>
        <w:t> </w:t>
      </w:r>
      <w:r>
        <w:rPr/>
        <w:t>strategies.</w:t>
      </w:r>
    </w:p>
    <w:tbl>
      <w:tblPr>
        <w:tblW w:w="0" w:type="auto"/>
        <w:jc w:val="left"/>
        <w:tblInd w:w="16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0"/>
        <w:gridCol w:w="1736"/>
        <w:gridCol w:w="1200"/>
        <w:gridCol w:w="1201"/>
      </w:tblGrid>
      <w:tr>
        <w:trPr>
          <w:trHeight w:val="381" w:hRule="atLeast"/>
        </w:trPr>
        <w:tc>
          <w:tcPr>
            <w:tcW w:w="1200" w:type="dxa"/>
            <w:tcBorders>
              <w:bottom w:val="single" w:sz="4" w:space="0" w:color="000000"/>
            </w:tcBorders>
          </w:tcPr>
          <w:p>
            <w:pPr>
              <w:pStyle w:val="TableParagraph"/>
              <w:spacing w:line="188" w:lineRule="exact"/>
              <w:ind w:left="75"/>
              <w:rPr>
                <w:b/>
                <w:sz w:val="17"/>
              </w:rPr>
            </w:pPr>
            <w:r>
              <w:rPr>
                <w:b/>
                <w:spacing w:val="-2"/>
                <w:sz w:val="17"/>
              </w:rPr>
              <w:t>Character</w:t>
            </w:r>
          </w:p>
        </w:tc>
        <w:tc>
          <w:tcPr>
            <w:tcW w:w="1736" w:type="dxa"/>
            <w:tcBorders>
              <w:bottom w:val="single" w:sz="4" w:space="0" w:color="000000"/>
            </w:tcBorders>
          </w:tcPr>
          <w:p>
            <w:pPr>
              <w:pStyle w:val="TableParagraph"/>
              <w:spacing w:line="188" w:lineRule="exact"/>
              <w:ind w:left="75"/>
              <w:rPr>
                <w:b/>
                <w:sz w:val="17"/>
              </w:rPr>
            </w:pPr>
            <w:r>
              <w:rPr>
                <w:b/>
                <w:spacing w:val="-2"/>
                <w:sz w:val="17"/>
              </w:rPr>
              <w:t>Resistance</w:t>
            </w:r>
            <w:r>
              <w:rPr>
                <w:b/>
                <w:spacing w:val="5"/>
                <w:sz w:val="17"/>
              </w:rPr>
              <w:t> </w:t>
            </w:r>
            <w:r>
              <w:rPr>
                <w:b/>
                <w:spacing w:val="-4"/>
                <w:sz w:val="17"/>
              </w:rPr>
              <w:t>Type</w:t>
            </w:r>
          </w:p>
        </w:tc>
        <w:tc>
          <w:tcPr>
            <w:tcW w:w="1200" w:type="dxa"/>
            <w:tcBorders>
              <w:bottom w:val="single" w:sz="4" w:space="0" w:color="000000"/>
            </w:tcBorders>
          </w:tcPr>
          <w:p>
            <w:pPr>
              <w:pStyle w:val="TableParagraph"/>
              <w:spacing w:line="188" w:lineRule="exact"/>
              <w:ind w:left="74"/>
              <w:rPr>
                <w:b/>
                <w:sz w:val="17"/>
              </w:rPr>
            </w:pPr>
            <w:r>
              <w:rPr>
                <w:b/>
                <w:spacing w:val="-4"/>
                <w:sz w:val="17"/>
              </w:rPr>
              <w:t>Mode</w:t>
            </w:r>
          </w:p>
        </w:tc>
        <w:tc>
          <w:tcPr>
            <w:tcW w:w="1201" w:type="dxa"/>
            <w:tcBorders>
              <w:bottom w:val="single" w:sz="4" w:space="0" w:color="000000"/>
              <w:right w:val="single" w:sz="4" w:space="0" w:color="000000"/>
            </w:tcBorders>
          </w:tcPr>
          <w:p>
            <w:pPr>
              <w:pStyle w:val="TableParagraph"/>
              <w:spacing w:line="186" w:lineRule="exact"/>
              <w:ind w:left="74"/>
              <w:rPr>
                <w:sz w:val="17"/>
              </w:rPr>
            </w:pPr>
            <w:r>
              <w:rPr>
                <w:spacing w:val="-2"/>
                <w:sz w:val="17"/>
              </w:rPr>
              <w:t>Nature</w:t>
            </w:r>
          </w:p>
        </w:tc>
      </w:tr>
      <w:tr>
        <w:trPr>
          <w:trHeight w:val="578" w:hRule="atLeast"/>
        </w:trPr>
        <w:tc>
          <w:tcPr>
            <w:tcW w:w="1200" w:type="dxa"/>
            <w:tcBorders>
              <w:top w:val="single" w:sz="4" w:space="0" w:color="000000"/>
              <w:bottom w:val="single" w:sz="4" w:space="0" w:color="000000"/>
            </w:tcBorders>
          </w:tcPr>
          <w:p>
            <w:pPr>
              <w:pStyle w:val="TableParagraph"/>
              <w:spacing w:line="237" w:lineRule="auto"/>
              <w:ind w:left="75"/>
              <w:rPr>
                <w:sz w:val="17"/>
              </w:rPr>
            </w:pPr>
            <w:r>
              <w:rPr>
                <w:spacing w:val="-2"/>
                <w:sz w:val="17"/>
              </w:rPr>
              <w:t>Lady</w:t>
            </w:r>
            <w:r>
              <w:rPr>
                <w:spacing w:val="-9"/>
                <w:sz w:val="17"/>
              </w:rPr>
              <w:t> </w:t>
            </w:r>
            <w:r>
              <w:rPr>
                <w:spacing w:val="-2"/>
                <w:sz w:val="17"/>
              </w:rPr>
              <w:t>Macbeth Desdemona</w:t>
            </w:r>
          </w:p>
        </w:tc>
        <w:tc>
          <w:tcPr>
            <w:tcW w:w="1736" w:type="dxa"/>
            <w:tcBorders>
              <w:top w:val="single" w:sz="4" w:space="0" w:color="000000"/>
              <w:bottom w:val="single" w:sz="4" w:space="0" w:color="000000"/>
            </w:tcBorders>
          </w:tcPr>
          <w:p>
            <w:pPr>
              <w:pStyle w:val="TableParagraph"/>
              <w:spacing w:line="237" w:lineRule="auto"/>
              <w:ind w:left="75" w:right="335"/>
              <w:rPr>
                <w:sz w:val="17"/>
              </w:rPr>
            </w:pPr>
            <w:r>
              <w:rPr>
                <w:spacing w:val="-2"/>
                <w:sz w:val="17"/>
              </w:rPr>
              <w:t>Performative Ethical</w:t>
            </w:r>
          </w:p>
        </w:tc>
        <w:tc>
          <w:tcPr>
            <w:tcW w:w="1200" w:type="dxa"/>
            <w:tcBorders>
              <w:top w:val="single" w:sz="4" w:space="0" w:color="000000"/>
              <w:bottom w:val="single" w:sz="4" w:space="0" w:color="000000"/>
            </w:tcBorders>
          </w:tcPr>
          <w:p>
            <w:pPr>
              <w:pStyle w:val="TableParagraph"/>
              <w:spacing w:line="237" w:lineRule="auto"/>
              <w:ind w:left="74" w:right="595"/>
              <w:rPr>
                <w:sz w:val="17"/>
              </w:rPr>
            </w:pPr>
            <w:r>
              <w:rPr>
                <w:spacing w:val="-2"/>
                <w:sz w:val="17"/>
              </w:rPr>
              <w:t>Active Passive</w:t>
            </w:r>
          </w:p>
        </w:tc>
        <w:tc>
          <w:tcPr>
            <w:tcW w:w="1201" w:type="dxa"/>
            <w:tcBorders>
              <w:top w:val="single" w:sz="4" w:space="0" w:color="000000"/>
              <w:bottom w:val="single" w:sz="4" w:space="0" w:color="000000"/>
              <w:right w:val="single" w:sz="4" w:space="0" w:color="000000"/>
            </w:tcBorders>
          </w:tcPr>
          <w:p>
            <w:pPr>
              <w:pStyle w:val="TableParagraph"/>
              <w:spacing w:line="237" w:lineRule="auto"/>
              <w:ind w:left="74" w:right="359"/>
              <w:rPr>
                <w:sz w:val="17"/>
              </w:rPr>
            </w:pPr>
            <w:r>
              <w:rPr>
                <w:spacing w:val="-2"/>
                <w:sz w:val="17"/>
              </w:rPr>
              <w:t>Subversive Moral</w:t>
            </w:r>
          </w:p>
        </w:tc>
      </w:tr>
      <w:tr>
        <w:trPr>
          <w:trHeight w:val="382" w:hRule="atLeast"/>
        </w:trPr>
        <w:tc>
          <w:tcPr>
            <w:tcW w:w="1200" w:type="dxa"/>
            <w:tcBorders>
              <w:top w:val="single" w:sz="4" w:space="0" w:color="000000"/>
            </w:tcBorders>
          </w:tcPr>
          <w:p>
            <w:pPr>
              <w:pStyle w:val="TableParagraph"/>
              <w:spacing w:line="188" w:lineRule="exact"/>
              <w:ind w:left="75"/>
              <w:rPr>
                <w:sz w:val="17"/>
              </w:rPr>
            </w:pPr>
            <w:r>
              <w:rPr>
                <w:spacing w:val="-2"/>
                <w:sz w:val="17"/>
              </w:rPr>
              <w:t>Ophelia</w:t>
            </w:r>
          </w:p>
        </w:tc>
        <w:tc>
          <w:tcPr>
            <w:tcW w:w="1736" w:type="dxa"/>
            <w:tcBorders>
              <w:top w:val="single" w:sz="4" w:space="0" w:color="000000"/>
            </w:tcBorders>
          </w:tcPr>
          <w:p>
            <w:pPr>
              <w:pStyle w:val="TableParagraph"/>
              <w:spacing w:line="188" w:lineRule="exact"/>
              <w:ind w:left="75"/>
              <w:rPr>
                <w:sz w:val="17"/>
              </w:rPr>
            </w:pPr>
            <w:r>
              <w:rPr>
                <w:spacing w:val="-2"/>
                <w:sz w:val="17"/>
              </w:rPr>
              <w:t>Symbolic</w:t>
            </w:r>
          </w:p>
        </w:tc>
        <w:tc>
          <w:tcPr>
            <w:tcW w:w="1200" w:type="dxa"/>
            <w:tcBorders>
              <w:top w:val="single" w:sz="4" w:space="0" w:color="000000"/>
            </w:tcBorders>
          </w:tcPr>
          <w:p>
            <w:pPr>
              <w:pStyle w:val="TableParagraph"/>
              <w:spacing w:line="188" w:lineRule="exact"/>
              <w:ind w:left="74"/>
              <w:rPr>
                <w:sz w:val="17"/>
              </w:rPr>
            </w:pPr>
            <w:r>
              <w:rPr>
                <w:spacing w:val="-2"/>
                <w:sz w:val="17"/>
              </w:rPr>
              <w:t>Indirect</w:t>
            </w:r>
          </w:p>
        </w:tc>
        <w:tc>
          <w:tcPr>
            <w:tcW w:w="1201" w:type="dxa"/>
            <w:tcBorders>
              <w:top w:val="single" w:sz="4" w:space="0" w:color="000000"/>
              <w:right w:val="single" w:sz="4" w:space="0" w:color="000000"/>
            </w:tcBorders>
          </w:tcPr>
          <w:p>
            <w:pPr>
              <w:pStyle w:val="TableParagraph"/>
              <w:spacing w:line="188" w:lineRule="exact"/>
              <w:ind w:left="74"/>
              <w:rPr>
                <w:sz w:val="17"/>
              </w:rPr>
            </w:pPr>
            <w:r>
              <w:rPr>
                <w:spacing w:val="-2"/>
                <w:sz w:val="17"/>
              </w:rPr>
              <w:t>Psychological</w:t>
            </w:r>
          </w:p>
        </w:tc>
      </w:tr>
      <w:tr>
        <w:trPr>
          <w:trHeight w:val="380" w:hRule="atLeast"/>
        </w:trPr>
        <w:tc>
          <w:tcPr>
            <w:tcW w:w="1200" w:type="dxa"/>
          </w:tcPr>
          <w:p>
            <w:pPr>
              <w:pStyle w:val="TableParagraph"/>
              <w:spacing w:line="186" w:lineRule="exact"/>
              <w:ind w:left="75"/>
              <w:rPr>
                <w:sz w:val="17"/>
              </w:rPr>
            </w:pPr>
            <w:r>
              <w:rPr>
                <w:spacing w:val="-2"/>
                <w:sz w:val="17"/>
              </w:rPr>
              <w:t>Cordelia</w:t>
            </w:r>
          </w:p>
        </w:tc>
        <w:tc>
          <w:tcPr>
            <w:tcW w:w="1736" w:type="dxa"/>
          </w:tcPr>
          <w:p>
            <w:pPr>
              <w:pStyle w:val="TableParagraph"/>
              <w:spacing w:line="186" w:lineRule="exact"/>
              <w:ind w:left="75"/>
              <w:rPr>
                <w:sz w:val="17"/>
              </w:rPr>
            </w:pPr>
            <w:r>
              <w:rPr>
                <w:spacing w:val="-2"/>
                <w:sz w:val="17"/>
              </w:rPr>
              <w:t>Ethical-Silent</w:t>
            </w:r>
          </w:p>
        </w:tc>
        <w:tc>
          <w:tcPr>
            <w:tcW w:w="1200" w:type="dxa"/>
          </w:tcPr>
          <w:p>
            <w:pPr>
              <w:pStyle w:val="TableParagraph"/>
              <w:spacing w:line="186" w:lineRule="exact"/>
              <w:ind w:left="74"/>
              <w:rPr>
                <w:sz w:val="17"/>
              </w:rPr>
            </w:pPr>
            <w:r>
              <w:rPr>
                <w:spacing w:val="-2"/>
                <w:sz w:val="17"/>
              </w:rPr>
              <w:t>Passive</w:t>
            </w:r>
          </w:p>
        </w:tc>
        <w:tc>
          <w:tcPr>
            <w:tcW w:w="1201" w:type="dxa"/>
            <w:tcBorders>
              <w:right w:val="single" w:sz="4" w:space="0" w:color="000000"/>
            </w:tcBorders>
          </w:tcPr>
          <w:p>
            <w:pPr>
              <w:pStyle w:val="TableParagraph"/>
              <w:spacing w:line="186" w:lineRule="exact"/>
              <w:ind w:left="74"/>
              <w:rPr>
                <w:sz w:val="17"/>
              </w:rPr>
            </w:pPr>
            <w:r>
              <w:rPr>
                <w:spacing w:val="-2"/>
                <w:sz w:val="17"/>
              </w:rPr>
              <w:t>Defiant</w:t>
            </w:r>
          </w:p>
        </w:tc>
      </w:tr>
    </w:tbl>
    <w:p>
      <w:pPr>
        <w:spacing w:before="185"/>
        <w:ind w:left="0" w:right="1" w:firstLine="0"/>
        <w:jc w:val="center"/>
        <w:rPr>
          <w:rFonts w:ascii="Cambria"/>
          <w:i/>
          <w:sz w:val="18"/>
        </w:rPr>
      </w:pPr>
      <w:r>
        <w:rPr>
          <w:rFonts w:ascii="Cambria"/>
          <w:i/>
          <w:w w:val="110"/>
          <w:sz w:val="18"/>
        </w:rPr>
        <w:t>Figure</w:t>
      </w:r>
      <w:r>
        <w:rPr>
          <w:rFonts w:ascii="Cambria"/>
          <w:i/>
          <w:spacing w:val="11"/>
          <w:w w:val="110"/>
          <w:sz w:val="18"/>
        </w:rPr>
        <w:t> </w:t>
      </w:r>
      <w:r>
        <w:rPr>
          <w:rFonts w:ascii="Cambria"/>
          <w:i/>
          <w:w w:val="110"/>
          <w:sz w:val="18"/>
        </w:rPr>
        <w:t>2:</w:t>
      </w:r>
      <w:r>
        <w:rPr>
          <w:rFonts w:ascii="Cambria"/>
          <w:i/>
          <w:spacing w:val="10"/>
          <w:w w:val="110"/>
          <w:sz w:val="18"/>
        </w:rPr>
        <w:t> </w:t>
      </w:r>
      <w:r>
        <w:rPr>
          <w:rFonts w:ascii="Cambria"/>
          <w:i/>
          <w:w w:val="110"/>
          <w:sz w:val="18"/>
        </w:rPr>
        <w:t>Spectrum</w:t>
      </w:r>
      <w:r>
        <w:rPr>
          <w:rFonts w:ascii="Cambria"/>
          <w:i/>
          <w:spacing w:val="12"/>
          <w:w w:val="110"/>
          <w:sz w:val="18"/>
        </w:rPr>
        <w:t> </w:t>
      </w:r>
      <w:r>
        <w:rPr>
          <w:rFonts w:ascii="Cambria"/>
          <w:i/>
          <w:w w:val="110"/>
          <w:sz w:val="18"/>
        </w:rPr>
        <w:t>of</w:t>
      </w:r>
      <w:r>
        <w:rPr>
          <w:rFonts w:ascii="Cambria"/>
          <w:i/>
          <w:spacing w:val="12"/>
          <w:w w:val="110"/>
          <w:sz w:val="18"/>
        </w:rPr>
        <w:t> </w:t>
      </w:r>
      <w:r>
        <w:rPr>
          <w:rFonts w:ascii="Cambria"/>
          <w:i/>
          <w:spacing w:val="-2"/>
          <w:w w:val="110"/>
          <w:sz w:val="18"/>
        </w:rPr>
        <w:t>Resistance</w:t>
      </w:r>
    </w:p>
    <w:p>
      <w:pPr>
        <w:pStyle w:val="BodyText"/>
        <w:spacing w:before="7"/>
        <w:ind w:left="0"/>
        <w:rPr>
          <w:rFonts w:ascii="Cambria"/>
          <w:i/>
          <w:sz w:val="5"/>
        </w:rPr>
      </w:pPr>
      <w:r>
        <w:rPr>
          <w:rFonts w:ascii="Cambria"/>
          <w:i/>
          <w:sz w:val="5"/>
        </w:rPr>
        <w:drawing>
          <wp:anchor distT="0" distB="0" distL="0" distR="0" allowOverlap="1" layoutInCell="1" locked="0" behindDoc="1" simplePos="0" relativeHeight="487791104">
            <wp:simplePos x="0" y="0"/>
            <wp:positionH relativeFrom="page">
              <wp:posOffset>2057400</wp:posOffset>
            </wp:positionH>
            <wp:positionV relativeFrom="paragraph">
              <wp:posOffset>57165</wp:posOffset>
            </wp:positionV>
            <wp:extent cx="3584583" cy="1672208"/>
            <wp:effectExtent l="0" t="0" r="0" b="0"/>
            <wp:wrapTopAndBottom/>
            <wp:docPr id="565" name="Image 565"/>
            <wp:cNvGraphicFramePr>
              <a:graphicFrameLocks/>
            </wp:cNvGraphicFramePr>
            <a:graphic>
              <a:graphicData uri="http://schemas.openxmlformats.org/drawingml/2006/picture">
                <pic:pic>
                  <pic:nvPicPr>
                    <pic:cNvPr id="565" name="Image 565"/>
                    <pic:cNvPicPr/>
                  </pic:nvPicPr>
                  <pic:blipFill>
                    <a:blip r:embed="rId105" cstate="print"/>
                    <a:stretch>
                      <a:fillRect/>
                    </a:stretch>
                  </pic:blipFill>
                  <pic:spPr>
                    <a:xfrm>
                      <a:off x="0" y="0"/>
                      <a:ext cx="3584583" cy="1672208"/>
                    </a:xfrm>
                    <a:prstGeom prst="rect">
                      <a:avLst/>
                    </a:prstGeom>
                  </pic:spPr>
                </pic:pic>
              </a:graphicData>
            </a:graphic>
          </wp:anchor>
        </w:drawing>
      </w:r>
    </w:p>
    <w:p>
      <w:pPr>
        <w:pStyle w:val="BodyText"/>
        <w:spacing w:after="0"/>
        <w:rPr>
          <w:rFonts w:ascii="Cambria"/>
          <w:i/>
          <w:sz w:val="5"/>
        </w:rPr>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91616">
                <wp:simplePos x="0" y="0"/>
                <wp:positionH relativeFrom="page">
                  <wp:posOffset>2065020</wp:posOffset>
                </wp:positionH>
                <wp:positionV relativeFrom="paragraph">
                  <wp:posOffset>795020</wp:posOffset>
                </wp:positionV>
                <wp:extent cx="3657600" cy="12700"/>
                <wp:effectExtent l="0" t="0" r="0" b="0"/>
                <wp:wrapTopAndBottom/>
                <wp:docPr id="566" name="Graphic 566"/>
                <wp:cNvGraphicFramePr>
                  <a:graphicFrameLocks/>
                </wp:cNvGraphicFramePr>
                <a:graphic>
                  <a:graphicData uri="http://schemas.microsoft.com/office/word/2010/wordprocessingShape">
                    <wps:wsp>
                      <wps:cNvPr id="566" name="Graphic 56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24864;mso-wrap-distance-left:0;mso-wrap-distance-right:0" id="docshape558" filled="true" fillcolor="#000000" stroked="false">
                <v:fill type="solid"/>
                <w10:wrap type="topAndBottom"/>
              </v:rect>
            </w:pict>
          </mc:Fallback>
        </mc:AlternateContent>
      </w:r>
      <w:r>
        <w:rPr>
          <w:rFonts w:ascii="Verdana"/>
          <w:spacing w:val="-2"/>
          <w:sz w:val="18"/>
        </w:rPr>
        <w:t>Feminist</w:t>
      </w:r>
      <w:r>
        <w:rPr>
          <w:rFonts w:ascii="Verdana"/>
          <w:spacing w:val="5"/>
          <w:sz w:val="18"/>
        </w:rPr>
        <w:t> </w:t>
      </w:r>
      <w:r>
        <w:rPr>
          <w:rFonts w:ascii="Verdana"/>
          <w:spacing w:val="-2"/>
          <w:sz w:val="18"/>
        </w:rPr>
        <w:t>Resistance</w:t>
      </w:r>
      <w:r>
        <w:rPr>
          <w:rFonts w:ascii="Verdana"/>
          <w:spacing w:val="5"/>
          <w:sz w:val="18"/>
        </w:rPr>
        <w:t> </w:t>
      </w:r>
      <w:r>
        <w:rPr>
          <w:rFonts w:ascii="Verdana"/>
          <w:spacing w:val="-2"/>
          <w:sz w:val="18"/>
        </w:rPr>
        <w:t>in</w:t>
      </w:r>
      <w:r>
        <w:rPr>
          <w:rFonts w:ascii="Verdana"/>
          <w:spacing w:val="7"/>
          <w:sz w:val="18"/>
        </w:rPr>
        <w:t> </w:t>
      </w:r>
      <w:r>
        <w:rPr>
          <w:rFonts w:ascii="Verdana"/>
          <w:spacing w:val="-2"/>
          <w:sz w:val="18"/>
        </w:rPr>
        <w:t>Shakespearean</w:t>
      </w:r>
      <w:r>
        <w:rPr>
          <w:rFonts w:ascii="Verdana"/>
          <w:spacing w:val="6"/>
          <w:sz w:val="18"/>
        </w:rPr>
        <w:t> </w:t>
      </w:r>
      <w:r>
        <w:rPr>
          <w:rFonts w:ascii="Verdana"/>
          <w:spacing w:val="-2"/>
          <w:sz w:val="18"/>
        </w:rPr>
        <w:t>Tragedies...</w:t>
      </w:r>
      <w:r>
        <w:rPr>
          <w:sz w:val="18"/>
        </w:rPr>
        <w:tab/>
      </w:r>
      <w:r>
        <w:rPr>
          <w:rFonts w:ascii="Verdana"/>
          <w:spacing w:val="-5"/>
          <w:sz w:val="18"/>
        </w:rPr>
        <w:t>271</w:t>
      </w:r>
    </w:p>
    <w:p>
      <w:pPr>
        <w:pStyle w:val="BodyText"/>
        <w:spacing w:line="278" w:lineRule="auto" w:before="192"/>
        <w:ind w:left="1872" w:right="2159"/>
      </w:pPr>
      <w:r>
        <w:rPr>
          <w:spacing w:val="-2"/>
        </w:rPr>
        <w:t>Low</w:t>
      </w:r>
      <w:r>
        <w:rPr>
          <w:spacing w:val="-19"/>
        </w:rPr>
        <w:t> </w:t>
      </w:r>
      <w:r>
        <w:rPr>
          <w:spacing w:val="-2"/>
        </w:rPr>
        <w:t>Visibility</w:t>
      </w:r>
      <w:r>
        <w:rPr>
          <w:spacing w:val="-17"/>
        </w:rPr>
        <w:t> </w:t>
      </w:r>
      <w:r>
        <w:rPr>
          <w:spacing w:val="-2"/>
        </w:rPr>
        <w:t>——————————</w:t>
      </w:r>
      <w:r>
        <w:rPr>
          <w:spacing w:val="-13"/>
        </w:rPr>
        <w:t> </w:t>
      </w:r>
      <w:r>
        <w:rPr>
          <w:spacing w:val="-2"/>
        </w:rPr>
        <w:t>High</w:t>
      </w:r>
      <w:r>
        <w:rPr>
          <w:spacing w:val="-15"/>
        </w:rPr>
        <w:t> </w:t>
      </w:r>
      <w:r>
        <w:rPr>
          <w:spacing w:val="-2"/>
        </w:rPr>
        <w:t>Visibility </w:t>
      </w:r>
      <w:r>
        <w:rPr>
          <w:position w:val="1"/>
        </w:rPr>
        <w:t>Silence</w:t>
      </w:r>
      <w:r>
        <w:rPr>
          <w:spacing w:val="40"/>
          <w:position w:val="1"/>
        </w:rPr>
        <w:t> </w:t>
      </w:r>
      <w:r>
        <w:rPr>
          <w:rFonts w:ascii="Cambria" w:hAnsi="Cambria"/>
          <w:sz w:val="24"/>
        </w:rPr>
        <w:t>→</w:t>
      </w:r>
      <w:r>
        <w:rPr>
          <w:rFonts w:ascii="Cambria" w:hAnsi="Cambria"/>
          <w:spacing w:val="40"/>
          <w:sz w:val="24"/>
        </w:rPr>
        <w:t> </w:t>
      </w:r>
      <w:r>
        <w:rPr>
          <w:position w:val="1"/>
        </w:rPr>
        <w:t>Moral</w:t>
      </w:r>
      <w:r>
        <w:rPr>
          <w:spacing w:val="40"/>
          <w:position w:val="1"/>
        </w:rPr>
        <w:t> </w:t>
      </w:r>
      <w:r>
        <w:rPr>
          <w:rFonts w:ascii="Cambria" w:hAnsi="Cambria"/>
          <w:sz w:val="24"/>
        </w:rPr>
        <w:t>→</w:t>
      </w:r>
      <w:r>
        <w:rPr>
          <w:rFonts w:ascii="Cambria" w:hAnsi="Cambria"/>
          <w:spacing w:val="40"/>
          <w:sz w:val="24"/>
        </w:rPr>
        <w:t> </w:t>
      </w:r>
      <w:r>
        <w:rPr>
          <w:position w:val="1"/>
        </w:rPr>
        <w:t>Symbolic</w:t>
      </w:r>
      <w:r>
        <w:rPr>
          <w:spacing w:val="40"/>
          <w:position w:val="1"/>
        </w:rPr>
        <w:t> </w:t>
      </w:r>
      <w:r>
        <w:rPr>
          <w:rFonts w:ascii="Cambria" w:hAnsi="Cambria"/>
          <w:sz w:val="24"/>
        </w:rPr>
        <w:t>→</w:t>
      </w:r>
      <w:r>
        <w:rPr>
          <w:rFonts w:ascii="Cambria" w:hAnsi="Cambria"/>
          <w:spacing w:val="40"/>
          <w:sz w:val="24"/>
        </w:rPr>
        <w:t> </w:t>
      </w:r>
      <w:r>
        <w:rPr>
          <w:position w:val="1"/>
        </w:rPr>
        <w:t>Performative </w:t>
      </w:r>
      <w:r>
        <w:rPr/>
        <w:t>(Cordelia) (Desdemona) (Ophelia) (Lady Macbeth)</w:t>
      </w:r>
    </w:p>
    <w:p>
      <w:pPr>
        <w:pStyle w:val="Heading3"/>
        <w:spacing w:before="129"/>
      </w:pPr>
      <w:r>
        <w:rPr>
          <w:spacing w:val="-2"/>
        </w:rPr>
        <w:t>CAPTION:</w:t>
      </w:r>
    </w:p>
    <w:p>
      <w:pPr>
        <w:pStyle w:val="BodyText"/>
        <w:spacing w:line="249" w:lineRule="auto" w:before="78"/>
        <w:ind w:right="1442" w:firstLine="432"/>
        <w:jc w:val="both"/>
      </w:pPr>
      <w:r>
        <w:rPr/>
        <w:t>Figure</w:t>
      </w:r>
      <w:r>
        <w:rPr>
          <w:spacing w:val="-12"/>
        </w:rPr>
        <w:t> </w:t>
      </w:r>
      <w:r>
        <w:rPr/>
        <w:t>2</w:t>
      </w:r>
      <w:r>
        <w:rPr>
          <w:spacing w:val="-10"/>
        </w:rPr>
        <w:t> </w:t>
      </w:r>
      <w:r>
        <w:rPr/>
        <w:t>represents</w:t>
      </w:r>
      <w:r>
        <w:rPr>
          <w:spacing w:val="-11"/>
        </w:rPr>
        <w:t> </w:t>
      </w:r>
      <w:r>
        <w:rPr/>
        <w:t>the</w:t>
      </w:r>
      <w:r>
        <w:rPr>
          <w:spacing w:val="-11"/>
        </w:rPr>
        <w:t> </w:t>
      </w:r>
      <w:r>
        <w:rPr/>
        <w:t>varying</w:t>
      </w:r>
      <w:r>
        <w:rPr>
          <w:spacing w:val="-10"/>
        </w:rPr>
        <w:t> </w:t>
      </w:r>
      <w:r>
        <w:rPr/>
        <w:t>intensity</w:t>
      </w:r>
      <w:r>
        <w:rPr>
          <w:spacing w:val="-13"/>
        </w:rPr>
        <w:t> </w:t>
      </w:r>
      <w:r>
        <w:rPr/>
        <w:t>and</w:t>
      </w:r>
      <w:r>
        <w:rPr>
          <w:spacing w:val="-9"/>
        </w:rPr>
        <w:t> </w:t>
      </w:r>
      <w:r>
        <w:rPr/>
        <w:t>visibility</w:t>
      </w:r>
      <w:r>
        <w:rPr>
          <w:spacing w:val="-13"/>
        </w:rPr>
        <w:t> </w:t>
      </w:r>
      <w:r>
        <w:rPr/>
        <w:t>of</w:t>
      </w:r>
      <w:r>
        <w:rPr>
          <w:spacing w:val="-11"/>
        </w:rPr>
        <w:t> </w:t>
      </w:r>
      <w:r>
        <w:rPr/>
        <w:t>resistance strategies</w:t>
      </w:r>
      <w:r>
        <w:rPr>
          <w:spacing w:val="40"/>
        </w:rPr>
        <w:t> </w:t>
      </w:r>
      <w:r>
        <w:rPr/>
        <w:t>among</w:t>
      </w:r>
      <w:r>
        <w:rPr>
          <w:spacing w:val="40"/>
        </w:rPr>
        <w:t> </w:t>
      </w:r>
      <w:r>
        <w:rPr/>
        <w:t>Shakespeare’s</w:t>
      </w:r>
      <w:r>
        <w:rPr>
          <w:spacing w:val="40"/>
        </w:rPr>
        <w:t> </w:t>
      </w:r>
      <w:r>
        <w:rPr/>
        <w:t>female</w:t>
      </w:r>
      <w:r>
        <w:rPr>
          <w:spacing w:val="40"/>
        </w:rPr>
        <w:t> </w:t>
      </w:r>
      <w:r>
        <w:rPr/>
        <w:t>characters.</w:t>
      </w:r>
    </w:p>
    <w:p>
      <w:pPr>
        <w:pStyle w:val="Heading3"/>
        <w:numPr>
          <w:ilvl w:val="0"/>
          <w:numId w:val="58"/>
        </w:numPr>
        <w:tabs>
          <w:tab w:pos="1703" w:val="left" w:leader="none"/>
        </w:tabs>
        <w:spacing w:line="240" w:lineRule="auto" w:before="155" w:after="0"/>
        <w:ind w:left="1703" w:right="0" w:hanging="263"/>
        <w:jc w:val="left"/>
      </w:pPr>
      <w:r>
        <w:rPr>
          <w:spacing w:val="-2"/>
          <w:w w:val="95"/>
        </w:rPr>
        <w:t>DISCUSSION</w:t>
      </w:r>
    </w:p>
    <w:p>
      <w:pPr>
        <w:pStyle w:val="BodyText"/>
        <w:spacing w:line="249" w:lineRule="auto" w:before="75"/>
        <w:ind w:right="1438" w:firstLine="432"/>
        <w:jc w:val="both"/>
      </w:pPr>
      <w:r>
        <w:rPr>
          <w:spacing w:val="-2"/>
        </w:rPr>
        <w:t>The</w:t>
      </w:r>
      <w:r>
        <w:rPr>
          <w:spacing w:val="-4"/>
        </w:rPr>
        <w:t> </w:t>
      </w:r>
      <w:r>
        <w:rPr>
          <w:spacing w:val="-2"/>
        </w:rPr>
        <w:t>analysis</w:t>
      </w:r>
      <w:r>
        <w:rPr>
          <w:spacing w:val="-6"/>
        </w:rPr>
        <w:t> </w:t>
      </w:r>
      <w:r>
        <w:rPr>
          <w:spacing w:val="-2"/>
        </w:rPr>
        <w:t>demonstrates</w:t>
      </w:r>
      <w:r>
        <w:rPr>
          <w:spacing w:val="-6"/>
        </w:rPr>
        <w:t> </w:t>
      </w:r>
      <w:r>
        <w:rPr>
          <w:spacing w:val="-2"/>
        </w:rPr>
        <w:t>that</w:t>
      </w:r>
      <w:r>
        <w:rPr>
          <w:spacing w:val="-9"/>
        </w:rPr>
        <w:t> </w:t>
      </w:r>
      <w:r>
        <w:rPr>
          <w:spacing w:val="-2"/>
        </w:rPr>
        <w:t>feminist</w:t>
      </w:r>
      <w:r>
        <w:rPr>
          <w:spacing w:val="-4"/>
        </w:rPr>
        <w:t> </w:t>
      </w:r>
      <w:r>
        <w:rPr>
          <w:spacing w:val="-2"/>
        </w:rPr>
        <w:t>resistance</w:t>
      </w:r>
      <w:r>
        <w:rPr>
          <w:spacing w:val="-6"/>
        </w:rPr>
        <w:t> </w:t>
      </w:r>
      <w:r>
        <w:rPr>
          <w:spacing w:val="-2"/>
        </w:rPr>
        <w:t>in</w:t>
      </w:r>
      <w:r>
        <w:rPr>
          <w:spacing w:val="-6"/>
        </w:rPr>
        <w:t> </w:t>
      </w:r>
      <w:r>
        <w:rPr>
          <w:spacing w:val="-2"/>
        </w:rPr>
        <w:t>Shakespearean </w:t>
      </w:r>
      <w:r>
        <w:rPr/>
        <w:t>tragedies operates across multiple dimensions. Rather than being confined to overt acts of rebellion, resistance is embedded in everyday practices, emotional choices, and discursive strategies. These findings align with contemporary feminist thought, particularly in recognizing that silence and symbolic expression can function as powerful forms of </w:t>
      </w:r>
      <w:r>
        <w:rPr>
          <w:spacing w:val="-2"/>
        </w:rPr>
        <w:t>dissent.</w:t>
      </w:r>
      <w:r>
        <w:rPr>
          <w:spacing w:val="-10"/>
        </w:rPr>
        <w:t> </w:t>
      </w:r>
      <w:r>
        <w:rPr>
          <w:spacing w:val="-2"/>
        </w:rPr>
        <w:t>The</w:t>
      </w:r>
      <w:r>
        <w:rPr>
          <w:spacing w:val="-6"/>
        </w:rPr>
        <w:t> </w:t>
      </w:r>
      <w:r>
        <w:rPr>
          <w:spacing w:val="-2"/>
        </w:rPr>
        <w:t>parallels</w:t>
      </w:r>
      <w:r>
        <w:rPr>
          <w:spacing w:val="-9"/>
        </w:rPr>
        <w:t> </w:t>
      </w:r>
      <w:r>
        <w:rPr>
          <w:spacing w:val="-2"/>
        </w:rPr>
        <w:t>between</w:t>
      </w:r>
      <w:r>
        <w:rPr>
          <w:spacing w:val="-9"/>
        </w:rPr>
        <w:t> </w:t>
      </w:r>
      <w:r>
        <w:rPr>
          <w:spacing w:val="-2"/>
        </w:rPr>
        <w:t>Shakespearean</w:t>
      </w:r>
      <w:r>
        <w:rPr>
          <w:spacing w:val="-11"/>
        </w:rPr>
        <w:t> </w:t>
      </w:r>
      <w:r>
        <w:rPr>
          <w:spacing w:val="-2"/>
        </w:rPr>
        <w:t>representations</w:t>
      </w:r>
      <w:r>
        <w:rPr>
          <w:spacing w:val="-10"/>
        </w:rPr>
        <w:t> </w:t>
      </w:r>
      <w:r>
        <w:rPr>
          <w:spacing w:val="-2"/>
        </w:rPr>
        <w:t>and</w:t>
      </w:r>
      <w:r>
        <w:rPr>
          <w:spacing w:val="-7"/>
        </w:rPr>
        <w:t> </w:t>
      </w:r>
      <w:r>
        <w:rPr>
          <w:spacing w:val="-2"/>
        </w:rPr>
        <w:t>modern </w:t>
      </w:r>
      <w:r>
        <w:rPr/>
        <w:t>movements such as #MeToo highlight the enduring relevance of these </w:t>
      </w:r>
      <w:r>
        <w:rPr>
          <w:spacing w:val="-2"/>
        </w:rPr>
        <w:t>texts.</w:t>
      </w:r>
    </w:p>
    <w:p>
      <w:pPr>
        <w:pStyle w:val="Heading3"/>
        <w:numPr>
          <w:ilvl w:val="0"/>
          <w:numId w:val="58"/>
        </w:numPr>
        <w:tabs>
          <w:tab w:pos="1703" w:val="left" w:leader="none"/>
        </w:tabs>
        <w:spacing w:line="240" w:lineRule="auto" w:before="161" w:after="0"/>
        <w:ind w:left="1703" w:right="0" w:hanging="263"/>
        <w:jc w:val="left"/>
      </w:pPr>
      <w:r>
        <w:rPr>
          <w:spacing w:val="-2"/>
        </w:rPr>
        <w:t>CONCLUSION</w:t>
      </w:r>
    </w:p>
    <w:p>
      <w:pPr>
        <w:pStyle w:val="BodyText"/>
        <w:spacing w:line="249" w:lineRule="auto" w:before="75"/>
        <w:ind w:right="1438" w:firstLine="432"/>
        <w:jc w:val="both"/>
      </w:pPr>
      <w:r>
        <w:rPr/>
        <w:t>Shakespeare’s tragedies offer a complex and layered portrayal of feminist resistance. Female characters navigate oppressive structures while asserting agency through diverse and often subtle means. Their </w:t>
      </w:r>
      <w:r>
        <w:rPr>
          <w:spacing w:val="-2"/>
        </w:rPr>
        <w:t>resistance</w:t>
      </w:r>
      <w:r>
        <w:rPr>
          <w:spacing w:val="-11"/>
        </w:rPr>
        <w:t> </w:t>
      </w:r>
      <w:r>
        <w:rPr>
          <w:spacing w:val="-2"/>
        </w:rPr>
        <w:t>challenges</w:t>
      </w:r>
      <w:r>
        <w:rPr>
          <w:spacing w:val="-10"/>
        </w:rPr>
        <w:t> </w:t>
      </w:r>
      <w:r>
        <w:rPr>
          <w:spacing w:val="-2"/>
        </w:rPr>
        <w:t>simplistic</w:t>
      </w:r>
      <w:r>
        <w:rPr>
          <w:spacing w:val="-11"/>
        </w:rPr>
        <w:t> </w:t>
      </w:r>
      <w:r>
        <w:rPr>
          <w:spacing w:val="-2"/>
        </w:rPr>
        <w:t>binaries</w:t>
      </w:r>
      <w:r>
        <w:rPr>
          <w:spacing w:val="-10"/>
        </w:rPr>
        <w:t> </w:t>
      </w:r>
      <w:r>
        <w:rPr>
          <w:spacing w:val="-2"/>
        </w:rPr>
        <w:t>of</w:t>
      </w:r>
      <w:r>
        <w:rPr>
          <w:spacing w:val="-11"/>
        </w:rPr>
        <w:t> </w:t>
      </w:r>
      <w:r>
        <w:rPr>
          <w:spacing w:val="-2"/>
        </w:rPr>
        <w:t>victimhood</w:t>
      </w:r>
      <w:r>
        <w:rPr>
          <w:spacing w:val="-10"/>
        </w:rPr>
        <w:t> </w:t>
      </w:r>
      <w:r>
        <w:rPr>
          <w:spacing w:val="-2"/>
        </w:rPr>
        <w:t>and</w:t>
      </w:r>
      <w:r>
        <w:rPr>
          <w:spacing w:val="-11"/>
        </w:rPr>
        <w:t> </w:t>
      </w:r>
      <w:r>
        <w:rPr>
          <w:spacing w:val="-2"/>
        </w:rPr>
        <w:t>empowerment, revealing</w:t>
      </w:r>
      <w:r>
        <w:rPr>
          <w:spacing w:val="-7"/>
        </w:rPr>
        <w:t> </w:t>
      </w:r>
      <w:r>
        <w:rPr>
          <w:spacing w:val="-2"/>
        </w:rPr>
        <w:t>a</w:t>
      </w:r>
      <w:r>
        <w:rPr>
          <w:spacing w:val="-5"/>
        </w:rPr>
        <w:t> </w:t>
      </w:r>
      <w:r>
        <w:rPr>
          <w:spacing w:val="-2"/>
        </w:rPr>
        <w:t>spectrum</w:t>
      </w:r>
      <w:r>
        <w:rPr>
          <w:spacing w:val="-8"/>
        </w:rPr>
        <w:t> </w:t>
      </w:r>
      <w:r>
        <w:rPr>
          <w:spacing w:val="-2"/>
        </w:rPr>
        <w:t>of</w:t>
      </w:r>
      <w:r>
        <w:rPr>
          <w:spacing w:val="-7"/>
        </w:rPr>
        <w:t> </w:t>
      </w:r>
      <w:r>
        <w:rPr>
          <w:spacing w:val="-2"/>
        </w:rPr>
        <w:t>strategies</w:t>
      </w:r>
      <w:r>
        <w:rPr>
          <w:spacing w:val="-5"/>
        </w:rPr>
        <w:t> </w:t>
      </w:r>
      <w:r>
        <w:rPr>
          <w:spacing w:val="-2"/>
        </w:rPr>
        <w:t>that</w:t>
      </w:r>
      <w:r>
        <w:rPr>
          <w:spacing w:val="-6"/>
        </w:rPr>
        <w:t> </w:t>
      </w:r>
      <w:r>
        <w:rPr>
          <w:spacing w:val="-2"/>
        </w:rPr>
        <w:t>remain</w:t>
      </w:r>
      <w:r>
        <w:rPr>
          <w:spacing w:val="-7"/>
        </w:rPr>
        <w:t> </w:t>
      </w:r>
      <w:r>
        <w:rPr>
          <w:spacing w:val="-2"/>
        </w:rPr>
        <w:t>significant</w:t>
      </w:r>
      <w:r>
        <w:rPr>
          <w:spacing w:val="-5"/>
        </w:rPr>
        <w:t> </w:t>
      </w:r>
      <w:r>
        <w:rPr>
          <w:spacing w:val="-2"/>
        </w:rPr>
        <w:t>in</w:t>
      </w:r>
      <w:r>
        <w:rPr>
          <w:spacing w:val="-7"/>
        </w:rPr>
        <w:t> </w:t>
      </w:r>
      <w:r>
        <w:rPr>
          <w:spacing w:val="-2"/>
        </w:rPr>
        <w:t>contemporary </w:t>
      </w:r>
      <w:r>
        <w:rPr/>
        <w:t>discussions</w:t>
      </w:r>
      <w:r>
        <w:rPr>
          <w:spacing w:val="40"/>
        </w:rPr>
        <w:t> </w:t>
      </w:r>
      <w:r>
        <w:rPr/>
        <w:t>of</w:t>
      </w:r>
      <w:r>
        <w:rPr>
          <w:spacing w:val="40"/>
        </w:rPr>
        <w:t> </w:t>
      </w:r>
      <w:r>
        <w:rPr/>
        <w:t>gender</w:t>
      </w:r>
      <w:r>
        <w:rPr>
          <w:spacing w:val="40"/>
        </w:rPr>
        <w:t> </w:t>
      </w:r>
      <w:r>
        <w:rPr/>
        <w:t>and</w:t>
      </w:r>
      <w:r>
        <w:rPr>
          <w:spacing w:val="40"/>
        </w:rPr>
        <w:t> </w:t>
      </w:r>
      <w:r>
        <w:rPr/>
        <w:t>power.</w:t>
      </w:r>
    </w:p>
    <w:p>
      <w:pPr>
        <w:pStyle w:val="Heading3"/>
        <w:numPr>
          <w:ilvl w:val="0"/>
          <w:numId w:val="58"/>
        </w:numPr>
        <w:tabs>
          <w:tab w:pos="1696" w:val="left" w:leader="none"/>
        </w:tabs>
        <w:spacing w:line="240" w:lineRule="auto" w:before="159" w:after="0"/>
        <w:ind w:left="1696" w:right="0" w:hanging="256"/>
        <w:jc w:val="left"/>
      </w:pPr>
      <w:r>
        <w:rPr>
          <w:spacing w:val="-2"/>
        </w:rPr>
        <w:t>ACKNOWLEDGEMENT</w:t>
      </w:r>
    </w:p>
    <w:p>
      <w:pPr>
        <w:pStyle w:val="BodyText"/>
        <w:spacing w:line="249" w:lineRule="auto" w:before="75"/>
        <w:ind w:right="1442" w:firstLine="432"/>
        <w:jc w:val="both"/>
      </w:pPr>
      <w:r>
        <w:rPr/>
        <w:t>The authors express their sincere gratitude to their respective institutions</w:t>
      </w:r>
      <w:r>
        <w:rPr>
          <w:spacing w:val="40"/>
        </w:rPr>
        <w:t> </w:t>
      </w:r>
      <w:r>
        <w:rPr/>
        <w:t>and</w:t>
      </w:r>
      <w:r>
        <w:rPr>
          <w:spacing w:val="40"/>
        </w:rPr>
        <w:t> </w:t>
      </w:r>
      <w:r>
        <w:rPr/>
        <w:t>the</w:t>
      </w:r>
      <w:r>
        <w:rPr>
          <w:spacing w:val="40"/>
        </w:rPr>
        <w:t> </w:t>
      </w:r>
      <w:r>
        <w:rPr/>
        <w:t>conference</w:t>
      </w:r>
      <w:r>
        <w:rPr>
          <w:spacing w:val="40"/>
        </w:rPr>
        <w:t> </w:t>
      </w:r>
      <w:r>
        <w:rPr/>
        <w:t>organizers</w:t>
      </w:r>
      <w:r>
        <w:rPr>
          <w:spacing w:val="40"/>
        </w:rPr>
        <w:t> </w:t>
      </w:r>
      <w:r>
        <w:rPr/>
        <w:t>for</w:t>
      </w:r>
      <w:r>
        <w:rPr>
          <w:spacing w:val="40"/>
        </w:rPr>
        <w:t> </w:t>
      </w:r>
      <w:r>
        <w:rPr/>
        <w:t>their</w:t>
      </w:r>
      <w:r>
        <w:rPr>
          <w:spacing w:val="40"/>
        </w:rPr>
        <w:t> </w:t>
      </w:r>
      <w:r>
        <w:rPr/>
        <w:t>support.</w:t>
      </w:r>
    </w:p>
    <w:p>
      <w:pPr>
        <w:pStyle w:val="Heading3"/>
        <w:spacing w:before="155"/>
      </w:pPr>
      <w:r>
        <w:rPr>
          <w:spacing w:val="-2"/>
          <w:w w:val="95"/>
        </w:rPr>
        <w:t>REFERENCES</w:t>
      </w:r>
    </w:p>
    <w:p>
      <w:pPr>
        <w:pStyle w:val="ListParagraph"/>
        <w:numPr>
          <w:ilvl w:val="0"/>
          <w:numId w:val="61"/>
        </w:numPr>
        <w:tabs>
          <w:tab w:pos="2157" w:val="left" w:leader="none"/>
          <w:tab w:pos="2160" w:val="left" w:leader="none"/>
        </w:tabs>
        <w:spacing w:line="261" w:lineRule="auto" w:before="85" w:after="0"/>
        <w:ind w:left="2160" w:right="1437" w:hanging="315"/>
        <w:jc w:val="both"/>
        <w:rPr>
          <w:sz w:val="19"/>
        </w:rPr>
      </w:pPr>
      <w:r>
        <w:rPr>
          <w:sz w:val="19"/>
        </w:rPr>
        <w:t>Butler, Judith, “Performative Acts and Gender Constitution: An Essay in</w:t>
      </w:r>
      <w:r>
        <w:rPr>
          <w:spacing w:val="40"/>
          <w:sz w:val="19"/>
        </w:rPr>
        <w:t> </w:t>
      </w:r>
      <w:r>
        <w:rPr>
          <w:sz w:val="19"/>
        </w:rPr>
        <w:t>Phenomenology and</w:t>
      </w:r>
      <w:r>
        <w:rPr>
          <w:spacing w:val="40"/>
          <w:sz w:val="19"/>
        </w:rPr>
        <w:t> </w:t>
      </w:r>
      <w:r>
        <w:rPr>
          <w:sz w:val="19"/>
        </w:rPr>
        <w:t>Feminist</w:t>
      </w:r>
      <w:r>
        <w:rPr>
          <w:spacing w:val="40"/>
          <w:sz w:val="19"/>
        </w:rPr>
        <w:t> </w:t>
      </w:r>
      <w:r>
        <w:rPr>
          <w:sz w:val="19"/>
        </w:rPr>
        <w:t>Theory”,</w:t>
      </w:r>
      <w:r>
        <w:rPr>
          <w:spacing w:val="40"/>
          <w:sz w:val="19"/>
        </w:rPr>
        <w:t> </w:t>
      </w:r>
      <w:r>
        <w:rPr>
          <w:i/>
          <w:sz w:val="19"/>
        </w:rPr>
        <w:t>Theatre </w:t>
      </w:r>
      <w:r>
        <w:rPr>
          <w:i/>
          <w:spacing w:val="-2"/>
          <w:sz w:val="19"/>
        </w:rPr>
        <w:t>Journal</w:t>
      </w:r>
      <w:r>
        <w:rPr>
          <w:spacing w:val="-2"/>
          <w:sz w:val="19"/>
        </w:rPr>
        <w:t>,</w:t>
      </w:r>
      <w:r>
        <w:rPr>
          <w:spacing w:val="-6"/>
          <w:sz w:val="19"/>
        </w:rPr>
        <w:t> </w:t>
      </w:r>
      <w:r>
        <w:rPr>
          <w:spacing w:val="-2"/>
          <w:sz w:val="19"/>
        </w:rPr>
        <w:t>1988,</w:t>
      </w:r>
      <w:r>
        <w:rPr>
          <w:spacing w:val="-8"/>
          <w:sz w:val="19"/>
        </w:rPr>
        <w:t> </w:t>
      </w:r>
      <w:r>
        <w:rPr>
          <w:spacing w:val="-2"/>
          <w:sz w:val="19"/>
        </w:rPr>
        <w:t>Vol.</w:t>
      </w:r>
      <w:r>
        <w:rPr>
          <w:spacing w:val="-6"/>
          <w:sz w:val="19"/>
        </w:rPr>
        <w:t> </w:t>
      </w:r>
      <w:r>
        <w:rPr>
          <w:spacing w:val="-2"/>
          <w:sz w:val="19"/>
        </w:rPr>
        <w:t>40,</w:t>
      </w:r>
      <w:r>
        <w:rPr>
          <w:spacing w:val="-4"/>
          <w:sz w:val="19"/>
        </w:rPr>
        <w:t> </w:t>
      </w:r>
      <w:r>
        <w:rPr>
          <w:spacing w:val="-2"/>
          <w:sz w:val="19"/>
        </w:rPr>
        <w:t>No.</w:t>
      </w:r>
      <w:r>
        <w:rPr>
          <w:spacing w:val="-8"/>
          <w:sz w:val="19"/>
        </w:rPr>
        <w:t> </w:t>
      </w:r>
      <w:r>
        <w:rPr>
          <w:spacing w:val="-2"/>
          <w:sz w:val="19"/>
        </w:rPr>
        <w:t>4,</w:t>
      </w:r>
      <w:r>
        <w:rPr>
          <w:spacing w:val="-4"/>
          <w:sz w:val="19"/>
        </w:rPr>
        <w:t> </w:t>
      </w:r>
      <w:r>
        <w:rPr>
          <w:spacing w:val="-2"/>
          <w:sz w:val="19"/>
        </w:rPr>
        <w:t>pp.</w:t>
      </w:r>
      <w:r>
        <w:rPr>
          <w:spacing w:val="-6"/>
          <w:sz w:val="19"/>
        </w:rPr>
        <w:t> </w:t>
      </w:r>
      <w:r>
        <w:rPr>
          <w:spacing w:val="-2"/>
          <w:sz w:val="19"/>
        </w:rPr>
        <w:t>519–531</w:t>
      </w:r>
      <w:r>
        <w:rPr>
          <w:spacing w:val="-6"/>
          <w:sz w:val="19"/>
        </w:rPr>
        <w:t> </w:t>
      </w:r>
      <w:r>
        <w:rPr>
          <w:spacing w:val="-2"/>
          <w:sz w:val="19"/>
        </w:rPr>
        <w:t>DOI:</w:t>
      </w:r>
      <w:r>
        <w:rPr>
          <w:spacing w:val="-6"/>
          <w:sz w:val="19"/>
        </w:rPr>
        <w:t> </w:t>
      </w:r>
      <w:r>
        <w:rPr>
          <w:spacing w:val="-2"/>
          <w:sz w:val="19"/>
        </w:rPr>
        <w:t>10.2307/3207893,</w:t>
      </w:r>
    </w:p>
    <w:p>
      <w:pPr>
        <w:spacing w:line="217" w:lineRule="exact" w:before="0"/>
        <w:ind w:left="2160" w:right="0" w:firstLine="0"/>
        <w:jc w:val="both"/>
        <w:rPr>
          <w:sz w:val="19"/>
        </w:rPr>
      </w:pPr>
      <w:r>
        <w:rPr>
          <w:sz w:val="19"/>
        </w:rPr>
        <w:t>Link:</w:t>
      </w:r>
      <w:r>
        <w:rPr>
          <w:spacing w:val="14"/>
          <w:sz w:val="19"/>
        </w:rPr>
        <w:t> </w:t>
      </w:r>
      <w:hyperlink r:id="rId106">
        <w:r>
          <w:rPr>
            <w:spacing w:val="-2"/>
            <w:sz w:val="19"/>
          </w:rPr>
          <w:t>https://doi.org/10.2307/3207893</w:t>
        </w:r>
      </w:hyperlink>
    </w:p>
    <w:p>
      <w:pPr>
        <w:pStyle w:val="ListParagraph"/>
        <w:numPr>
          <w:ilvl w:val="0"/>
          <w:numId w:val="61"/>
        </w:numPr>
        <w:tabs>
          <w:tab w:pos="2157" w:val="left" w:leader="none"/>
          <w:tab w:pos="2160" w:val="left" w:leader="none"/>
        </w:tabs>
        <w:spacing w:line="261" w:lineRule="auto" w:before="76" w:after="0"/>
        <w:ind w:left="2160" w:right="1438" w:hanging="315"/>
        <w:jc w:val="both"/>
        <w:rPr>
          <w:sz w:val="19"/>
        </w:rPr>
      </w:pPr>
      <w:r>
        <w:rPr>
          <w:sz w:val="19"/>
        </w:rPr>
        <w:t>Beauvoir, Simone de, </w:t>
      </w:r>
      <w:r>
        <w:rPr>
          <w:i/>
          <w:sz w:val="19"/>
        </w:rPr>
        <w:t>The Second Sex</w:t>
      </w:r>
      <w:r>
        <w:rPr>
          <w:sz w:val="19"/>
        </w:rPr>
        <w:t>, Vintage Books, 1949</w:t>
      </w:r>
      <w:r>
        <w:rPr>
          <w:spacing w:val="80"/>
          <w:sz w:val="19"/>
        </w:rPr>
        <w:t> </w:t>
      </w:r>
      <w:r>
        <w:rPr>
          <w:sz w:val="19"/>
        </w:rPr>
        <w:t>DOI: 10.4324/9780203824971, Link: </w:t>
      </w:r>
      <w:hyperlink r:id="rId107">
        <w:r>
          <w:rPr>
            <w:sz w:val="19"/>
          </w:rPr>
          <w:t>https://doi.org/10.4324/</w:t>
        </w:r>
      </w:hyperlink>
      <w:r>
        <w:rPr>
          <w:sz w:val="19"/>
        </w:rPr>
        <w:t> </w:t>
      </w:r>
      <w:r>
        <w:rPr>
          <w:spacing w:val="-2"/>
          <w:sz w:val="19"/>
        </w:rPr>
        <w:t>9780203824971</w:t>
      </w:r>
    </w:p>
    <w:p>
      <w:pPr>
        <w:pStyle w:val="ListParagraph"/>
        <w:spacing w:after="0" w:line="261" w:lineRule="auto"/>
        <w:jc w:val="both"/>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92128">
                <wp:simplePos x="0" y="0"/>
                <wp:positionH relativeFrom="page">
                  <wp:posOffset>2057400</wp:posOffset>
                </wp:positionH>
                <wp:positionV relativeFrom="paragraph">
                  <wp:posOffset>162604</wp:posOffset>
                </wp:positionV>
                <wp:extent cx="3657600" cy="12700"/>
                <wp:effectExtent l="0" t="0" r="0" b="0"/>
                <wp:wrapTopAndBottom/>
                <wp:docPr id="567" name="Graphic 567"/>
                <wp:cNvGraphicFramePr>
                  <a:graphicFrameLocks/>
                </wp:cNvGraphicFramePr>
                <a:graphic>
                  <a:graphicData uri="http://schemas.microsoft.com/office/word/2010/wordprocessingShape">
                    <wps:wsp>
                      <wps:cNvPr id="567" name="Graphic 56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24352;mso-wrap-distance-left:0;mso-wrap-distance-right:0" id="docshape559" filled="true" fillcolor="#000000" stroked="false">
                <v:fill type="solid"/>
                <w10:wrap type="topAndBottom"/>
              </v:rect>
            </w:pict>
          </mc:Fallback>
        </mc:AlternateContent>
      </w:r>
      <w:r>
        <w:rPr>
          <w:rFonts w:ascii="Verdana"/>
          <w:spacing w:val="-5"/>
          <w:sz w:val="18"/>
        </w:rPr>
        <w:t>272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61"/>
        </w:numPr>
        <w:tabs>
          <w:tab w:pos="2157" w:val="left" w:leader="none"/>
          <w:tab w:pos="2160" w:val="left" w:leader="none"/>
        </w:tabs>
        <w:spacing w:line="261" w:lineRule="auto" w:before="199" w:after="0"/>
        <w:ind w:left="2160" w:right="1438" w:hanging="315"/>
        <w:jc w:val="left"/>
        <w:rPr>
          <w:sz w:val="19"/>
        </w:rPr>
      </w:pPr>
      <w:r>
        <w:rPr>
          <w:sz w:val="19"/>
        </w:rPr>
        <w:t>Foucault,</w:t>
      </w:r>
      <w:r>
        <w:rPr>
          <w:spacing w:val="40"/>
          <w:sz w:val="19"/>
        </w:rPr>
        <w:t> </w:t>
      </w:r>
      <w:r>
        <w:rPr>
          <w:sz w:val="19"/>
        </w:rPr>
        <w:t>Michel,</w:t>
      </w:r>
      <w:r>
        <w:rPr>
          <w:spacing w:val="40"/>
          <w:sz w:val="19"/>
        </w:rPr>
        <w:t> </w:t>
      </w:r>
      <w:r>
        <w:rPr>
          <w:sz w:val="19"/>
        </w:rPr>
        <w:t>“The</w:t>
      </w:r>
      <w:r>
        <w:rPr>
          <w:spacing w:val="40"/>
          <w:sz w:val="19"/>
        </w:rPr>
        <w:t> </w:t>
      </w:r>
      <w:r>
        <w:rPr>
          <w:sz w:val="19"/>
        </w:rPr>
        <w:t>Subject</w:t>
      </w:r>
      <w:r>
        <w:rPr>
          <w:spacing w:val="40"/>
          <w:sz w:val="19"/>
        </w:rPr>
        <w:t> </w:t>
      </w:r>
      <w:r>
        <w:rPr>
          <w:sz w:val="19"/>
        </w:rPr>
        <w:t>and</w:t>
      </w:r>
      <w:r>
        <w:rPr>
          <w:spacing w:val="40"/>
          <w:sz w:val="19"/>
        </w:rPr>
        <w:t> </w:t>
      </w:r>
      <w:r>
        <w:rPr>
          <w:sz w:val="19"/>
        </w:rPr>
        <w:t>Power”,</w:t>
      </w:r>
      <w:r>
        <w:rPr>
          <w:spacing w:val="40"/>
          <w:sz w:val="19"/>
        </w:rPr>
        <w:t> </w:t>
      </w:r>
      <w:r>
        <w:rPr>
          <w:i/>
          <w:sz w:val="19"/>
        </w:rPr>
        <w:t>Critical</w:t>
      </w:r>
      <w:r>
        <w:rPr>
          <w:i/>
          <w:spacing w:val="40"/>
          <w:sz w:val="19"/>
        </w:rPr>
        <w:t> </w:t>
      </w:r>
      <w:r>
        <w:rPr>
          <w:i/>
          <w:sz w:val="19"/>
        </w:rPr>
        <w:t>Inquiry</w:t>
      </w:r>
      <w:r>
        <w:rPr>
          <w:sz w:val="19"/>
        </w:rPr>
        <w:t>, 1982,</w:t>
      </w:r>
      <w:r>
        <w:rPr>
          <w:spacing w:val="26"/>
          <w:sz w:val="19"/>
        </w:rPr>
        <w:t> </w:t>
      </w:r>
      <w:r>
        <w:rPr>
          <w:sz w:val="19"/>
        </w:rPr>
        <w:t>Vol.</w:t>
      </w:r>
      <w:r>
        <w:rPr>
          <w:spacing w:val="28"/>
          <w:sz w:val="19"/>
        </w:rPr>
        <w:t> </w:t>
      </w:r>
      <w:r>
        <w:rPr>
          <w:sz w:val="19"/>
        </w:rPr>
        <w:t>8,</w:t>
      </w:r>
      <w:r>
        <w:rPr>
          <w:spacing w:val="30"/>
          <w:sz w:val="19"/>
        </w:rPr>
        <w:t> </w:t>
      </w:r>
      <w:r>
        <w:rPr>
          <w:sz w:val="19"/>
        </w:rPr>
        <w:t>No.</w:t>
      </w:r>
      <w:r>
        <w:rPr>
          <w:spacing w:val="26"/>
          <w:sz w:val="19"/>
        </w:rPr>
        <w:t> </w:t>
      </w:r>
      <w:r>
        <w:rPr>
          <w:sz w:val="19"/>
        </w:rPr>
        <w:t>4,</w:t>
      </w:r>
      <w:r>
        <w:rPr>
          <w:spacing w:val="30"/>
          <w:sz w:val="19"/>
        </w:rPr>
        <w:t> </w:t>
      </w:r>
      <w:r>
        <w:rPr>
          <w:sz w:val="19"/>
        </w:rPr>
        <w:t>pp.</w:t>
      </w:r>
      <w:r>
        <w:rPr>
          <w:spacing w:val="26"/>
          <w:sz w:val="19"/>
        </w:rPr>
        <w:t> </w:t>
      </w:r>
      <w:r>
        <w:rPr>
          <w:sz w:val="19"/>
        </w:rPr>
        <w:t>777–795</w:t>
      </w:r>
      <w:r>
        <w:rPr>
          <w:spacing w:val="30"/>
          <w:sz w:val="19"/>
        </w:rPr>
        <w:t> </w:t>
      </w:r>
      <w:r>
        <w:rPr>
          <w:sz w:val="19"/>
        </w:rPr>
        <w:t>DOI:</w:t>
      </w:r>
      <w:r>
        <w:rPr>
          <w:spacing w:val="26"/>
          <w:sz w:val="19"/>
        </w:rPr>
        <w:t> </w:t>
      </w:r>
      <w:r>
        <w:rPr>
          <w:sz w:val="19"/>
        </w:rPr>
        <w:t>10.1086/448181,</w:t>
      </w:r>
      <w:r>
        <w:rPr>
          <w:spacing w:val="28"/>
          <w:sz w:val="19"/>
        </w:rPr>
        <w:t> </w:t>
      </w:r>
      <w:r>
        <w:rPr>
          <w:sz w:val="19"/>
        </w:rPr>
        <w:t>Link:</w:t>
      </w:r>
    </w:p>
    <w:p>
      <w:pPr>
        <w:spacing w:line="217" w:lineRule="exact" w:before="0"/>
        <w:ind w:left="2160" w:right="0" w:firstLine="0"/>
        <w:jc w:val="left"/>
        <w:rPr>
          <w:sz w:val="19"/>
        </w:rPr>
      </w:pPr>
      <w:hyperlink r:id="rId108">
        <w:r>
          <w:rPr>
            <w:spacing w:val="-2"/>
            <w:sz w:val="19"/>
          </w:rPr>
          <w:t>https://doi.org/10.1086/448181</w:t>
        </w:r>
      </w:hyperlink>
    </w:p>
    <w:p>
      <w:pPr>
        <w:pStyle w:val="ListParagraph"/>
        <w:numPr>
          <w:ilvl w:val="0"/>
          <w:numId w:val="61"/>
        </w:numPr>
        <w:tabs>
          <w:tab w:pos="2157" w:val="left" w:leader="none"/>
          <w:tab w:pos="2160" w:val="left" w:leader="none"/>
        </w:tabs>
        <w:spacing w:line="261" w:lineRule="auto" w:before="79" w:after="0"/>
        <w:ind w:left="2160" w:right="1438" w:hanging="315"/>
        <w:jc w:val="both"/>
        <w:rPr>
          <w:sz w:val="19"/>
        </w:rPr>
      </w:pPr>
      <w:r>
        <w:rPr>
          <w:sz w:val="19"/>
        </w:rPr>
        <w:t>Showalter, Elaine, “Representing Ophelia: Women, Madness,</w:t>
      </w:r>
      <w:r>
        <w:rPr>
          <w:spacing w:val="80"/>
          <w:sz w:val="19"/>
        </w:rPr>
        <w:t> </w:t>
      </w:r>
      <w:r>
        <w:rPr>
          <w:sz w:val="19"/>
        </w:rPr>
        <w:t>and the Responsibilities of Feminist Criticism”, </w:t>
      </w:r>
      <w:r>
        <w:rPr>
          <w:i/>
          <w:sz w:val="19"/>
        </w:rPr>
        <w:t>Shakespeare Quarterly</w:t>
      </w:r>
      <w:r>
        <w:rPr>
          <w:sz w:val="19"/>
        </w:rPr>
        <w:t>,</w:t>
      </w:r>
      <w:r>
        <w:rPr>
          <w:spacing w:val="-12"/>
          <w:sz w:val="19"/>
        </w:rPr>
        <w:t> </w:t>
      </w:r>
      <w:r>
        <w:rPr>
          <w:sz w:val="19"/>
        </w:rPr>
        <w:t>1985,</w:t>
      </w:r>
      <w:r>
        <w:rPr>
          <w:spacing w:val="-12"/>
          <w:sz w:val="19"/>
        </w:rPr>
        <w:t> </w:t>
      </w:r>
      <w:r>
        <w:rPr>
          <w:sz w:val="19"/>
        </w:rPr>
        <w:t>Vol.</w:t>
      </w:r>
      <w:r>
        <w:rPr>
          <w:spacing w:val="-12"/>
          <w:sz w:val="19"/>
        </w:rPr>
        <w:t> </w:t>
      </w:r>
      <w:r>
        <w:rPr>
          <w:sz w:val="19"/>
        </w:rPr>
        <w:t>36,</w:t>
      </w:r>
      <w:r>
        <w:rPr>
          <w:spacing w:val="-12"/>
          <w:sz w:val="19"/>
        </w:rPr>
        <w:t> </w:t>
      </w:r>
      <w:r>
        <w:rPr>
          <w:sz w:val="19"/>
        </w:rPr>
        <w:t>No.</w:t>
      </w:r>
      <w:r>
        <w:rPr>
          <w:spacing w:val="-12"/>
          <w:sz w:val="19"/>
        </w:rPr>
        <w:t> </w:t>
      </w:r>
      <w:r>
        <w:rPr>
          <w:sz w:val="19"/>
        </w:rPr>
        <w:t>1,</w:t>
      </w:r>
      <w:r>
        <w:rPr>
          <w:spacing w:val="-12"/>
          <w:sz w:val="19"/>
        </w:rPr>
        <w:t> </w:t>
      </w:r>
      <w:r>
        <w:rPr>
          <w:sz w:val="19"/>
        </w:rPr>
        <w:t>pp.</w:t>
      </w:r>
      <w:r>
        <w:rPr>
          <w:spacing w:val="-12"/>
          <w:sz w:val="19"/>
        </w:rPr>
        <w:t> </w:t>
      </w:r>
      <w:r>
        <w:rPr>
          <w:sz w:val="19"/>
        </w:rPr>
        <w:t>50–60</w:t>
      </w:r>
      <w:r>
        <w:rPr>
          <w:spacing w:val="-12"/>
          <w:sz w:val="19"/>
        </w:rPr>
        <w:t> </w:t>
      </w:r>
      <w:r>
        <w:rPr>
          <w:sz w:val="19"/>
        </w:rPr>
        <w:t>DOI:</w:t>
      </w:r>
      <w:r>
        <w:rPr>
          <w:spacing w:val="-12"/>
          <w:sz w:val="19"/>
        </w:rPr>
        <w:t> </w:t>
      </w:r>
      <w:r>
        <w:rPr>
          <w:sz w:val="19"/>
        </w:rPr>
        <w:t>10.2307/2870310,</w:t>
      </w:r>
    </w:p>
    <w:p>
      <w:pPr>
        <w:spacing w:line="217" w:lineRule="exact" w:before="0"/>
        <w:ind w:left="2160" w:right="0" w:firstLine="0"/>
        <w:jc w:val="both"/>
        <w:rPr>
          <w:sz w:val="19"/>
        </w:rPr>
      </w:pPr>
      <w:r>
        <w:rPr>
          <w:sz w:val="19"/>
        </w:rPr>
        <w:t>Link:</w:t>
      </w:r>
      <w:r>
        <w:rPr>
          <w:spacing w:val="14"/>
          <w:sz w:val="19"/>
        </w:rPr>
        <w:t> </w:t>
      </w:r>
      <w:hyperlink r:id="rId109">
        <w:r>
          <w:rPr>
            <w:spacing w:val="-2"/>
            <w:sz w:val="19"/>
          </w:rPr>
          <w:t>https://doi.org/10.2307/2870310</w:t>
        </w:r>
      </w:hyperlink>
    </w:p>
    <w:p>
      <w:pPr>
        <w:pStyle w:val="ListParagraph"/>
        <w:numPr>
          <w:ilvl w:val="0"/>
          <w:numId w:val="61"/>
        </w:numPr>
        <w:tabs>
          <w:tab w:pos="2157" w:val="left" w:leader="none"/>
          <w:tab w:pos="2160" w:val="left" w:leader="none"/>
        </w:tabs>
        <w:spacing w:line="268" w:lineRule="auto" w:before="82" w:after="0"/>
        <w:ind w:left="2160" w:right="1438" w:hanging="315"/>
        <w:jc w:val="both"/>
        <w:rPr>
          <w:sz w:val="19"/>
        </w:rPr>
      </w:pPr>
      <w:r>
        <w:rPr>
          <w:sz w:val="19"/>
        </w:rPr>
        <w:t>Loomba, Ania, </w:t>
      </w:r>
      <w:r>
        <w:rPr>
          <w:i/>
          <w:sz w:val="19"/>
        </w:rPr>
        <w:t>Gender, Race, Renaissance Drama</w:t>
      </w:r>
      <w:r>
        <w:rPr>
          <w:sz w:val="19"/>
        </w:rPr>
        <w:t>, Oxford </w:t>
      </w:r>
      <w:r>
        <w:rPr>
          <w:spacing w:val="10"/>
          <w:sz w:val="19"/>
        </w:rPr>
        <w:t>University</w:t>
      </w:r>
      <w:r>
        <w:rPr>
          <w:spacing w:val="10"/>
          <w:sz w:val="19"/>
        </w:rPr>
        <w:t> </w:t>
      </w:r>
      <w:r>
        <w:rPr>
          <w:spacing w:val="9"/>
          <w:sz w:val="19"/>
        </w:rPr>
        <w:t>Press,</w:t>
      </w:r>
      <w:r>
        <w:rPr>
          <w:spacing w:val="9"/>
          <w:sz w:val="19"/>
        </w:rPr>
        <w:t> </w:t>
      </w:r>
      <w:r>
        <w:rPr>
          <w:spacing w:val="10"/>
          <w:sz w:val="19"/>
        </w:rPr>
        <w:t>1989</w:t>
      </w:r>
      <w:r>
        <w:rPr>
          <w:spacing w:val="10"/>
          <w:sz w:val="19"/>
        </w:rPr>
        <w:t> </w:t>
      </w:r>
      <w:r>
        <w:rPr>
          <w:sz w:val="19"/>
        </w:rPr>
        <w:t>DOI: </w:t>
      </w:r>
      <w:r>
        <w:rPr>
          <w:spacing w:val="11"/>
          <w:sz w:val="19"/>
        </w:rPr>
        <w:t>10.1093/acprof:oso/ </w:t>
      </w:r>
      <w:r>
        <w:rPr>
          <w:spacing w:val="-2"/>
          <w:sz w:val="19"/>
        </w:rPr>
        <w:t>9780198117889.001.0001,</w:t>
      </w:r>
      <w:r>
        <w:rPr>
          <w:spacing w:val="30"/>
          <w:sz w:val="19"/>
        </w:rPr>
        <w:t> </w:t>
      </w:r>
      <w:r>
        <w:rPr>
          <w:spacing w:val="-2"/>
          <w:sz w:val="19"/>
        </w:rPr>
        <w:t>Link:</w:t>
      </w:r>
      <w:r>
        <w:rPr>
          <w:spacing w:val="-8"/>
          <w:sz w:val="19"/>
        </w:rPr>
        <w:t> </w:t>
      </w:r>
      <w:r>
        <w:rPr>
          <w:spacing w:val="-2"/>
          <w:sz w:val="19"/>
        </w:rPr>
        <w:t>ttps://doi.org/10.1093/acprof:oso/</w:t>
      </w:r>
    </w:p>
    <w:p>
      <w:pPr>
        <w:spacing w:line="216" w:lineRule="exact" w:before="0"/>
        <w:ind w:left="2160" w:right="0" w:firstLine="0"/>
        <w:jc w:val="left"/>
        <w:rPr>
          <w:sz w:val="19"/>
        </w:rPr>
      </w:pPr>
      <w:r>
        <w:rPr>
          <w:spacing w:val="-2"/>
          <w:sz w:val="19"/>
        </w:rPr>
        <w:t>9780198117889.001.0001</w:t>
      </w:r>
    </w:p>
    <w:p>
      <w:pPr>
        <w:pStyle w:val="ListParagraph"/>
        <w:numPr>
          <w:ilvl w:val="0"/>
          <w:numId w:val="61"/>
        </w:numPr>
        <w:tabs>
          <w:tab w:pos="2157" w:val="left" w:leader="none"/>
          <w:tab w:pos="2160" w:val="left" w:leader="none"/>
        </w:tabs>
        <w:spacing w:line="268" w:lineRule="auto" w:before="84" w:after="0"/>
        <w:ind w:left="2160" w:right="1441" w:hanging="315"/>
        <w:jc w:val="both"/>
        <w:rPr>
          <w:sz w:val="19"/>
        </w:rPr>
      </w:pPr>
      <w:r>
        <w:rPr>
          <w:sz w:val="19"/>
        </w:rPr>
        <w:t>Jardine,</w:t>
      </w:r>
      <w:r>
        <w:rPr>
          <w:spacing w:val="30"/>
          <w:sz w:val="19"/>
        </w:rPr>
        <w:t> </w:t>
      </w:r>
      <w:r>
        <w:rPr>
          <w:sz w:val="19"/>
        </w:rPr>
        <w:t>Lisa,</w:t>
      </w:r>
      <w:r>
        <w:rPr>
          <w:spacing w:val="32"/>
          <w:sz w:val="19"/>
        </w:rPr>
        <w:t> </w:t>
      </w:r>
      <w:r>
        <w:rPr>
          <w:i/>
          <w:sz w:val="19"/>
        </w:rPr>
        <w:t>Still</w:t>
      </w:r>
      <w:r>
        <w:rPr>
          <w:i/>
          <w:spacing w:val="30"/>
          <w:sz w:val="19"/>
        </w:rPr>
        <w:t> </w:t>
      </w:r>
      <w:r>
        <w:rPr>
          <w:i/>
          <w:sz w:val="19"/>
        </w:rPr>
        <w:t>Harping</w:t>
      </w:r>
      <w:r>
        <w:rPr>
          <w:i/>
          <w:spacing w:val="32"/>
          <w:sz w:val="19"/>
        </w:rPr>
        <w:t> </w:t>
      </w:r>
      <w:r>
        <w:rPr>
          <w:i/>
          <w:sz w:val="19"/>
        </w:rPr>
        <w:t>on</w:t>
      </w:r>
      <w:r>
        <w:rPr>
          <w:i/>
          <w:spacing w:val="30"/>
          <w:sz w:val="19"/>
        </w:rPr>
        <w:t> </w:t>
      </w:r>
      <w:r>
        <w:rPr>
          <w:i/>
          <w:sz w:val="19"/>
        </w:rPr>
        <w:t>Daughters:</w:t>
      </w:r>
      <w:r>
        <w:rPr>
          <w:i/>
          <w:spacing w:val="32"/>
          <w:sz w:val="19"/>
        </w:rPr>
        <w:t> </w:t>
      </w:r>
      <w:r>
        <w:rPr>
          <w:i/>
          <w:sz w:val="19"/>
        </w:rPr>
        <w:t>Women</w:t>
      </w:r>
      <w:r>
        <w:rPr>
          <w:i/>
          <w:spacing w:val="30"/>
          <w:sz w:val="19"/>
        </w:rPr>
        <w:t> </w:t>
      </w:r>
      <w:r>
        <w:rPr>
          <w:i/>
          <w:sz w:val="19"/>
        </w:rPr>
        <w:t>and</w:t>
      </w:r>
      <w:r>
        <w:rPr>
          <w:i/>
          <w:spacing w:val="33"/>
          <w:sz w:val="19"/>
        </w:rPr>
        <w:t> </w:t>
      </w:r>
      <w:r>
        <w:rPr>
          <w:i/>
          <w:sz w:val="19"/>
        </w:rPr>
        <w:t>Drama in the Age of</w:t>
      </w:r>
      <w:r>
        <w:rPr>
          <w:i/>
          <w:spacing w:val="40"/>
          <w:sz w:val="19"/>
        </w:rPr>
        <w:t> </w:t>
      </w:r>
      <w:r>
        <w:rPr>
          <w:i/>
          <w:sz w:val="19"/>
        </w:rPr>
        <w:t>Shakespeare</w:t>
      </w:r>
      <w:r>
        <w:rPr>
          <w:sz w:val="19"/>
        </w:rPr>
        <w:t>, Columbia University Press, 1983</w:t>
      </w:r>
      <w:r>
        <w:rPr>
          <w:spacing w:val="40"/>
          <w:sz w:val="19"/>
        </w:rPr>
        <w:t> </w:t>
      </w:r>
      <w:r>
        <w:rPr>
          <w:sz w:val="19"/>
        </w:rPr>
        <w:t>DOI:</w:t>
      </w:r>
      <w:r>
        <w:rPr>
          <w:spacing w:val="-2"/>
          <w:sz w:val="19"/>
        </w:rPr>
        <w:t> </w:t>
      </w:r>
      <w:r>
        <w:rPr>
          <w:sz w:val="19"/>
        </w:rPr>
        <w:t>10.7312/jard91446, Link:</w:t>
      </w:r>
      <w:r>
        <w:rPr>
          <w:spacing w:val="-2"/>
          <w:sz w:val="19"/>
        </w:rPr>
        <w:t> </w:t>
      </w:r>
      <w:hyperlink r:id="rId110">
        <w:r>
          <w:rPr>
            <w:sz w:val="19"/>
          </w:rPr>
          <w:t>https://doi.org/10.7312/jard91446</w:t>
        </w:r>
      </w:hyperlink>
    </w:p>
    <w:p>
      <w:pPr>
        <w:pStyle w:val="ListParagraph"/>
        <w:numPr>
          <w:ilvl w:val="0"/>
          <w:numId w:val="61"/>
        </w:numPr>
        <w:tabs>
          <w:tab w:pos="2157" w:val="left" w:leader="none"/>
          <w:tab w:pos="2160" w:val="left" w:leader="none"/>
        </w:tabs>
        <w:spacing w:line="268" w:lineRule="auto" w:before="55" w:after="0"/>
        <w:ind w:left="2160" w:right="1440" w:hanging="315"/>
        <w:jc w:val="both"/>
        <w:rPr>
          <w:sz w:val="19"/>
        </w:rPr>
      </w:pPr>
      <w:r>
        <w:rPr>
          <w:sz w:val="19"/>
        </w:rPr>
        <w:t>Greenblatt, Stephen, </w:t>
      </w:r>
      <w:r>
        <w:rPr>
          <w:i/>
          <w:sz w:val="19"/>
        </w:rPr>
        <w:t>Renaissance Self-Fashioning: From More</w:t>
      </w:r>
      <w:r>
        <w:rPr>
          <w:i/>
          <w:spacing w:val="80"/>
          <w:w w:val="150"/>
          <w:sz w:val="19"/>
        </w:rPr>
        <w:t> </w:t>
      </w:r>
      <w:r>
        <w:rPr>
          <w:i/>
          <w:sz w:val="19"/>
        </w:rPr>
        <w:t>to</w:t>
      </w:r>
      <w:r>
        <w:rPr>
          <w:i/>
          <w:spacing w:val="-3"/>
          <w:sz w:val="19"/>
        </w:rPr>
        <w:t> </w:t>
      </w:r>
      <w:r>
        <w:rPr>
          <w:i/>
          <w:sz w:val="19"/>
        </w:rPr>
        <w:t>Shakespeare</w:t>
      </w:r>
      <w:r>
        <w:rPr>
          <w:sz w:val="19"/>
        </w:rPr>
        <w:t>,</w:t>
      </w:r>
      <w:r>
        <w:rPr>
          <w:spacing w:val="-1"/>
          <w:sz w:val="19"/>
        </w:rPr>
        <w:t> </w:t>
      </w:r>
      <w:r>
        <w:rPr>
          <w:sz w:val="19"/>
        </w:rPr>
        <w:t>University</w:t>
      </w:r>
      <w:r>
        <w:rPr>
          <w:spacing w:val="-8"/>
          <w:sz w:val="19"/>
        </w:rPr>
        <w:t> </w:t>
      </w:r>
      <w:r>
        <w:rPr>
          <w:sz w:val="19"/>
        </w:rPr>
        <w:t>of</w:t>
      </w:r>
      <w:r>
        <w:rPr>
          <w:spacing w:val="-1"/>
          <w:sz w:val="19"/>
        </w:rPr>
        <w:t> </w:t>
      </w:r>
      <w:r>
        <w:rPr>
          <w:sz w:val="19"/>
        </w:rPr>
        <w:t>Chicago</w:t>
      </w:r>
      <w:r>
        <w:rPr>
          <w:spacing w:val="-3"/>
          <w:sz w:val="19"/>
        </w:rPr>
        <w:t> </w:t>
      </w:r>
      <w:r>
        <w:rPr>
          <w:sz w:val="19"/>
        </w:rPr>
        <w:t>Press,</w:t>
      </w:r>
      <w:r>
        <w:rPr>
          <w:spacing w:val="-1"/>
          <w:sz w:val="19"/>
        </w:rPr>
        <w:t> </w:t>
      </w:r>
      <w:r>
        <w:rPr>
          <w:sz w:val="19"/>
        </w:rPr>
        <w:t>1980</w:t>
      </w:r>
      <w:r>
        <w:rPr>
          <w:spacing w:val="-3"/>
          <w:sz w:val="19"/>
        </w:rPr>
        <w:t> </w:t>
      </w:r>
      <w:r>
        <w:rPr>
          <w:sz w:val="19"/>
        </w:rPr>
        <w:t>DOI:</w:t>
      </w:r>
      <w:r>
        <w:rPr>
          <w:spacing w:val="-1"/>
          <w:sz w:val="19"/>
        </w:rPr>
        <w:t> </w:t>
      </w:r>
      <w:r>
        <w:rPr>
          <w:sz w:val="19"/>
        </w:rPr>
        <w:t>10.7208/ chicago/9780226306537.001.0001,</w:t>
      </w:r>
      <w:r>
        <w:rPr>
          <w:spacing w:val="-14"/>
          <w:sz w:val="19"/>
        </w:rPr>
        <w:t> </w:t>
      </w:r>
      <w:r>
        <w:rPr>
          <w:sz w:val="19"/>
        </w:rPr>
        <w:t>Link:</w:t>
      </w:r>
    </w:p>
    <w:p>
      <w:pPr>
        <w:spacing w:before="58"/>
        <w:ind w:left="2160" w:right="0" w:firstLine="0"/>
        <w:jc w:val="left"/>
        <w:rPr>
          <w:sz w:val="19"/>
        </w:rPr>
      </w:pPr>
      <w:hyperlink r:id="rId111">
        <w:r>
          <w:rPr>
            <w:spacing w:val="-2"/>
            <w:sz w:val="19"/>
          </w:rPr>
          <w:t>https://doi.org/10.7208/chicago/9780226306537.001.0001</w:t>
        </w:r>
      </w:hyperlink>
    </w:p>
    <w:p>
      <w:pPr>
        <w:pStyle w:val="ListParagraph"/>
        <w:numPr>
          <w:ilvl w:val="0"/>
          <w:numId w:val="61"/>
        </w:numPr>
        <w:tabs>
          <w:tab w:pos="2157" w:val="left" w:leader="none"/>
          <w:tab w:pos="2160" w:val="left" w:leader="none"/>
        </w:tabs>
        <w:spacing w:line="266" w:lineRule="auto" w:before="84" w:after="0"/>
        <w:ind w:left="2160" w:right="1439" w:hanging="315"/>
        <w:jc w:val="both"/>
        <w:rPr>
          <w:sz w:val="19"/>
        </w:rPr>
      </w:pPr>
      <w:r>
        <w:rPr>
          <w:sz w:val="19"/>
        </w:rPr>
        <w:t>Dollimore, Jonathan, </w:t>
      </w:r>
      <w:r>
        <w:rPr>
          <w:i/>
          <w:sz w:val="19"/>
        </w:rPr>
        <w:t>Radical Tragedy: Religion, Ideology and Power in the Drama of Shakespeare</w:t>
      </w:r>
      <w:r>
        <w:rPr>
          <w:sz w:val="19"/>
        </w:rPr>
        <w:t>, Duke University Press,</w:t>
      </w:r>
      <w:r>
        <w:rPr>
          <w:spacing w:val="80"/>
          <w:sz w:val="19"/>
        </w:rPr>
        <w:t> </w:t>
      </w:r>
      <w:r>
        <w:rPr>
          <w:spacing w:val="-2"/>
          <w:sz w:val="19"/>
        </w:rPr>
        <w:t>1984 DOI: 10.1215/9780822397403, Link: </w:t>
      </w:r>
      <w:hyperlink r:id="rId112">
        <w:r>
          <w:rPr>
            <w:spacing w:val="-2"/>
            <w:sz w:val="19"/>
          </w:rPr>
          <w:t>https://doi.org/10.1215/</w:t>
        </w:r>
      </w:hyperlink>
    </w:p>
    <w:p>
      <w:pPr>
        <w:spacing w:before="4"/>
        <w:ind w:left="2160" w:right="0" w:firstLine="0"/>
        <w:jc w:val="left"/>
        <w:rPr>
          <w:sz w:val="19"/>
        </w:rPr>
      </w:pPr>
      <w:r>
        <w:rPr>
          <w:spacing w:val="-2"/>
          <w:sz w:val="19"/>
        </w:rPr>
        <w:t>9780822397403</w:t>
      </w:r>
    </w:p>
    <w:p>
      <w:pPr>
        <w:pStyle w:val="ListParagraph"/>
        <w:numPr>
          <w:ilvl w:val="0"/>
          <w:numId w:val="61"/>
        </w:numPr>
        <w:tabs>
          <w:tab w:pos="2157" w:val="left" w:leader="none"/>
          <w:tab w:pos="2160" w:val="left" w:leader="none"/>
        </w:tabs>
        <w:spacing w:line="268" w:lineRule="auto" w:before="82" w:after="0"/>
        <w:ind w:left="2160" w:right="1439" w:hanging="315"/>
        <w:jc w:val="both"/>
        <w:rPr>
          <w:sz w:val="19"/>
        </w:rPr>
      </w:pPr>
      <w:r>
        <w:rPr>
          <w:sz w:val="19"/>
        </w:rPr>
        <w:t>Parker, Patricia, </w:t>
      </w:r>
      <w:r>
        <w:rPr>
          <w:i/>
          <w:sz w:val="19"/>
        </w:rPr>
        <w:t>Shakespeare from the Margins: Language, Culture,</w:t>
      </w:r>
      <w:r>
        <w:rPr>
          <w:i/>
          <w:spacing w:val="-10"/>
          <w:sz w:val="19"/>
        </w:rPr>
        <w:t> </w:t>
      </w:r>
      <w:r>
        <w:rPr>
          <w:i/>
          <w:sz w:val="19"/>
        </w:rPr>
        <w:t>Context</w:t>
      </w:r>
      <w:r>
        <w:rPr>
          <w:sz w:val="19"/>
        </w:rPr>
        <w:t>,</w:t>
      </w:r>
      <w:r>
        <w:rPr>
          <w:spacing w:val="-12"/>
          <w:sz w:val="19"/>
        </w:rPr>
        <w:t> </w:t>
      </w:r>
      <w:r>
        <w:rPr>
          <w:sz w:val="19"/>
        </w:rPr>
        <w:t>Routledge,</w:t>
      </w:r>
      <w:r>
        <w:rPr>
          <w:spacing w:val="-12"/>
          <w:sz w:val="19"/>
        </w:rPr>
        <w:t> </w:t>
      </w:r>
      <w:r>
        <w:rPr>
          <w:sz w:val="19"/>
        </w:rPr>
        <w:t>2006</w:t>
      </w:r>
      <w:r>
        <w:rPr>
          <w:spacing w:val="-12"/>
          <w:sz w:val="19"/>
        </w:rPr>
        <w:t> </w:t>
      </w:r>
      <w:r>
        <w:rPr>
          <w:sz w:val="19"/>
        </w:rPr>
        <w:t>DOI:</w:t>
      </w:r>
      <w:r>
        <w:rPr>
          <w:spacing w:val="-11"/>
          <w:sz w:val="19"/>
        </w:rPr>
        <w:t> </w:t>
      </w:r>
      <w:r>
        <w:rPr>
          <w:sz w:val="19"/>
        </w:rPr>
        <w:t>10.4324/9780203963579, Link:</w:t>
      </w:r>
      <w:r>
        <w:rPr>
          <w:spacing w:val="-12"/>
          <w:sz w:val="19"/>
        </w:rPr>
        <w:t> </w:t>
      </w:r>
      <w:hyperlink r:id="rId113">
        <w:r>
          <w:rPr>
            <w:sz w:val="19"/>
          </w:rPr>
          <w:t>https://doi.org/10.4324/9780203963579</w:t>
        </w:r>
      </w:hyperlink>
    </w:p>
    <w:p>
      <w:pPr>
        <w:pStyle w:val="ListParagraph"/>
        <w:numPr>
          <w:ilvl w:val="0"/>
          <w:numId w:val="61"/>
        </w:numPr>
        <w:tabs>
          <w:tab w:pos="2157" w:val="left" w:leader="none"/>
          <w:tab w:pos="2160" w:val="left" w:leader="none"/>
        </w:tabs>
        <w:spacing w:line="266" w:lineRule="auto" w:before="58" w:after="0"/>
        <w:ind w:left="2160" w:right="1437" w:hanging="406"/>
        <w:jc w:val="both"/>
        <w:rPr>
          <w:sz w:val="19"/>
        </w:rPr>
      </w:pPr>
      <w:r>
        <w:rPr>
          <w:sz w:val="19"/>
        </w:rPr>
        <w:t>Neely, Carol Thomas, “Women and Men in Othello: What</w:t>
      </w:r>
      <w:r>
        <w:rPr>
          <w:spacing w:val="80"/>
          <w:sz w:val="19"/>
        </w:rPr>
        <w:t> </w:t>
      </w:r>
      <w:r>
        <w:rPr>
          <w:sz w:val="19"/>
        </w:rPr>
        <w:t>Should Such a Fool Do with So Good a Wife?”, </w:t>
      </w:r>
      <w:r>
        <w:rPr>
          <w:i/>
          <w:sz w:val="19"/>
        </w:rPr>
        <w:t>Shakespeare Studies</w:t>
      </w:r>
      <w:r>
        <w:rPr>
          <w:sz w:val="19"/>
        </w:rPr>
        <w:t>,</w:t>
      </w:r>
      <w:r>
        <w:rPr>
          <w:spacing w:val="66"/>
          <w:sz w:val="19"/>
        </w:rPr>
        <w:t> </w:t>
      </w:r>
      <w:r>
        <w:rPr>
          <w:sz w:val="19"/>
        </w:rPr>
        <w:t>1985,</w:t>
      </w:r>
      <w:r>
        <w:rPr>
          <w:spacing w:val="64"/>
          <w:sz w:val="19"/>
        </w:rPr>
        <w:t> </w:t>
      </w:r>
      <w:r>
        <w:rPr>
          <w:sz w:val="19"/>
        </w:rPr>
        <w:t>Vol.</w:t>
      </w:r>
      <w:r>
        <w:rPr>
          <w:spacing w:val="66"/>
          <w:sz w:val="19"/>
        </w:rPr>
        <w:t> </w:t>
      </w:r>
      <w:r>
        <w:rPr>
          <w:sz w:val="19"/>
        </w:rPr>
        <w:t>10,</w:t>
      </w:r>
      <w:r>
        <w:rPr>
          <w:spacing w:val="67"/>
          <w:sz w:val="19"/>
        </w:rPr>
        <w:t> </w:t>
      </w:r>
      <w:r>
        <w:rPr>
          <w:sz w:val="19"/>
        </w:rPr>
        <w:t>No.</w:t>
      </w:r>
      <w:r>
        <w:rPr>
          <w:spacing w:val="66"/>
          <w:sz w:val="19"/>
        </w:rPr>
        <w:t> </w:t>
      </w:r>
      <w:r>
        <w:rPr>
          <w:sz w:val="19"/>
        </w:rPr>
        <w:t>1,</w:t>
      </w:r>
      <w:r>
        <w:rPr>
          <w:spacing w:val="66"/>
          <w:sz w:val="19"/>
        </w:rPr>
        <w:t> </w:t>
      </w:r>
      <w:r>
        <w:rPr>
          <w:sz w:val="19"/>
        </w:rPr>
        <w:t>pp.</w:t>
      </w:r>
      <w:r>
        <w:rPr>
          <w:spacing w:val="66"/>
          <w:sz w:val="19"/>
        </w:rPr>
        <w:t> </w:t>
      </w:r>
      <w:r>
        <w:rPr>
          <w:sz w:val="19"/>
        </w:rPr>
        <w:t>133–158</w:t>
      </w:r>
      <w:r>
        <w:rPr>
          <w:spacing w:val="66"/>
          <w:sz w:val="19"/>
        </w:rPr>
        <w:t> </w:t>
      </w:r>
      <w:r>
        <w:rPr>
          <w:sz w:val="19"/>
        </w:rPr>
        <w:t>DOI:</w:t>
      </w:r>
      <w:r>
        <w:rPr>
          <w:spacing w:val="64"/>
          <w:sz w:val="19"/>
        </w:rPr>
        <w:t> </w:t>
      </w:r>
      <w:r>
        <w:rPr>
          <w:sz w:val="19"/>
        </w:rPr>
        <w:t>10.1086/</w:t>
      </w:r>
    </w:p>
    <w:p>
      <w:pPr>
        <w:spacing w:before="4"/>
        <w:ind w:left="2160" w:right="0" w:firstLine="0"/>
        <w:jc w:val="both"/>
        <w:rPr>
          <w:sz w:val="19"/>
        </w:rPr>
      </w:pPr>
      <w:r>
        <w:rPr>
          <w:sz w:val="19"/>
        </w:rPr>
        <w:t>ss.1985.10.1,</w:t>
      </w:r>
      <w:r>
        <w:rPr>
          <w:spacing w:val="17"/>
          <w:sz w:val="19"/>
        </w:rPr>
        <w:t> </w:t>
      </w:r>
      <w:r>
        <w:rPr>
          <w:sz w:val="19"/>
        </w:rPr>
        <w:t>Link:</w:t>
      </w:r>
      <w:r>
        <w:rPr>
          <w:spacing w:val="19"/>
          <w:sz w:val="19"/>
        </w:rPr>
        <w:t> </w:t>
      </w:r>
      <w:hyperlink r:id="rId114">
        <w:r>
          <w:rPr>
            <w:spacing w:val="-2"/>
            <w:sz w:val="19"/>
          </w:rPr>
          <w:t>https://doi.org/10.1086/ss.1985.10.1</w:t>
        </w:r>
      </w:hyperlink>
    </w:p>
    <w:p>
      <w:pPr>
        <w:pStyle w:val="ListParagraph"/>
        <w:numPr>
          <w:ilvl w:val="0"/>
          <w:numId w:val="61"/>
        </w:numPr>
        <w:tabs>
          <w:tab w:pos="2157" w:val="left" w:leader="none"/>
          <w:tab w:pos="2160" w:val="left" w:leader="none"/>
        </w:tabs>
        <w:spacing w:line="268" w:lineRule="auto" w:before="82" w:after="0"/>
        <w:ind w:left="2160" w:right="1438" w:hanging="406"/>
        <w:jc w:val="both"/>
        <w:rPr>
          <w:sz w:val="19"/>
        </w:rPr>
      </w:pPr>
      <w:r>
        <w:rPr>
          <w:sz w:val="19"/>
        </w:rPr>
        <w:t>Kaur, Harpreet, “Gender Roles and Power Dynamics in Shakespearean Drama”, </w:t>
      </w:r>
      <w:r>
        <w:rPr>
          <w:i/>
          <w:sz w:val="19"/>
        </w:rPr>
        <w:t>Ilkogretim Online</w:t>
      </w:r>
      <w:r>
        <w:rPr>
          <w:sz w:val="19"/>
        </w:rPr>
        <w:t>, 2019, Vol. 18, No. 2,</w:t>
      </w:r>
    </w:p>
    <w:p>
      <w:pPr>
        <w:spacing w:before="0"/>
        <w:ind w:left="2160" w:right="0" w:firstLine="0"/>
        <w:jc w:val="both"/>
        <w:rPr>
          <w:sz w:val="19"/>
        </w:rPr>
      </w:pPr>
      <w:r>
        <w:rPr>
          <w:spacing w:val="-2"/>
          <w:sz w:val="19"/>
        </w:rPr>
        <w:t>pp.</w:t>
      </w:r>
      <w:r>
        <w:rPr>
          <w:spacing w:val="-9"/>
          <w:sz w:val="19"/>
        </w:rPr>
        <w:t> </w:t>
      </w:r>
      <w:r>
        <w:rPr>
          <w:spacing w:val="-2"/>
          <w:sz w:val="19"/>
        </w:rPr>
        <w:t>1088–1096</w:t>
      </w:r>
      <w:r>
        <w:rPr>
          <w:spacing w:val="-6"/>
          <w:sz w:val="19"/>
        </w:rPr>
        <w:t> </w:t>
      </w:r>
      <w:r>
        <w:rPr>
          <w:spacing w:val="-2"/>
          <w:sz w:val="19"/>
        </w:rPr>
        <w:t>DOI:</w:t>
      </w:r>
      <w:r>
        <w:rPr>
          <w:spacing w:val="-8"/>
          <w:sz w:val="19"/>
        </w:rPr>
        <w:t> </w:t>
      </w:r>
      <w:r>
        <w:rPr>
          <w:spacing w:val="-2"/>
          <w:sz w:val="19"/>
        </w:rPr>
        <w:t>10.17051/ilkonline.2019.562098,</w:t>
      </w:r>
      <w:r>
        <w:rPr>
          <w:spacing w:val="-6"/>
          <w:sz w:val="19"/>
        </w:rPr>
        <w:t> </w:t>
      </w:r>
      <w:r>
        <w:rPr>
          <w:spacing w:val="-2"/>
          <w:sz w:val="19"/>
        </w:rPr>
        <w:t>Link:</w:t>
      </w:r>
      <w:r>
        <w:rPr>
          <w:spacing w:val="-9"/>
          <w:sz w:val="19"/>
        </w:rPr>
        <w:t> </w:t>
      </w:r>
      <w:r>
        <w:rPr>
          <w:spacing w:val="-2"/>
          <w:sz w:val="19"/>
        </w:rPr>
        <w:t>https:/</w:t>
      </w:r>
    </w:p>
    <w:p>
      <w:pPr>
        <w:spacing w:before="24"/>
        <w:ind w:left="2160" w:right="0" w:firstLine="0"/>
        <w:jc w:val="left"/>
        <w:rPr>
          <w:sz w:val="19"/>
        </w:rPr>
      </w:pPr>
      <w:r>
        <w:rPr>
          <w:spacing w:val="-2"/>
          <w:sz w:val="19"/>
        </w:rPr>
        <w:t>/doi.org/10.17051/ilkonline.2019.562098</w:t>
      </w:r>
    </w:p>
    <w:p>
      <w:pPr>
        <w:pStyle w:val="ListParagraph"/>
        <w:numPr>
          <w:ilvl w:val="0"/>
          <w:numId w:val="61"/>
        </w:numPr>
        <w:tabs>
          <w:tab w:pos="2157" w:val="left" w:leader="none"/>
          <w:tab w:pos="2160" w:val="left" w:leader="none"/>
        </w:tabs>
        <w:spacing w:line="268" w:lineRule="auto" w:before="84" w:after="0"/>
        <w:ind w:left="2160" w:right="1438" w:hanging="406"/>
        <w:jc w:val="both"/>
        <w:rPr>
          <w:sz w:val="19"/>
        </w:rPr>
      </w:pPr>
      <w:r>
        <w:rPr>
          <w:sz w:val="19"/>
        </w:rPr>
        <w:t>Sharma, Neha, “Feminist Readings of Shakespeare: A Critical Study”, </w:t>
      </w:r>
      <w:r>
        <w:rPr>
          <w:i/>
          <w:sz w:val="19"/>
        </w:rPr>
        <w:t>GAP Bodhi Taru</w:t>
      </w:r>
      <w:r>
        <w:rPr>
          <w:sz w:val="19"/>
        </w:rPr>
        <w:t>, 2025, Vol. 8, No. 2, pp. 59–63 DOI: </w:t>
      </w:r>
      <w:r>
        <w:rPr>
          <w:spacing w:val="12"/>
          <w:sz w:val="19"/>
        </w:rPr>
        <w:t>10.5281/zenodo.1234567,</w:t>
      </w:r>
      <w:r>
        <w:rPr>
          <w:spacing w:val="12"/>
          <w:sz w:val="19"/>
        </w:rPr>
        <w:t> </w:t>
      </w:r>
      <w:r>
        <w:rPr>
          <w:sz w:val="19"/>
        </w:rPr>
        <w:t>Link: </w:t>
      </w:r>
      <w:hyperlink r:id="rId115">
        <w:r>
          <w:rPr>
            <w:spacing w:val="11"/>
            <w:sz w:val="19"/>
          </w:rPr>
          <w:t>https://doi.org/10.5281/</w:t>
        </w:r>
      </w:hyperlink>
      <w:r>
        <w:rPr>
          <w:spacing w:val="11"/>
          <w:sz w:val="19"/>
        </w:rPr>
        <w:t> </w:t>
      </w:r>
      <w:r>
        <w:rPr>
          <w:spacing w:val="-2"/>
          <w:sz w:val="19"/>
        </w:rPr>
        <w:t>zenodo.1234567</w:t>
      </w:r>
    </w:p>
    <w:p>
      <w:pPr>
        <w:pStyle w:val="ListParagraph"/>
        <w:spacing w:after="0" w:line="268" w:lineRule="auto"/>
        <w:jc w:val="both"/>
        <w:rPr>
          <w:sz w:val="19"/>
        </w:rPr>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92640">
                <wp:simplePos x="0" y="0"/>
                <wp:positionH relativeFrom="page">
                  <wp:posOffset>2065020</wp:posOffset>
                </wp:positionH>
                <wp:positionV relativeFrom="paragraph">
                  <wp:posOffset>795020</wp:posOffset>
                </wp:positionV>
                <wp:extent cx="3657600" cy="12700"/>
                <wp:effectExtent l="0" t="0" r="0" b="0"/>
                <wp:wrapTopAndBottom/>
                <wp:docPr id="568" name="Graphic 568"/>
                <wp:cNvGraphicFramePr>
                  <a:graphicFrameLocks/>
                </wp:cNvGraphicFramePr>
                <a:graphic>
                  <a:graphicData uri="http://schemas.microsoft.com/office/word/2010/wordprocessingShape">
                    <wps:wsp>
                      <wps:cNvPr id="568" name="Graphic 56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23840;mso-wrap-distance-left:0;mso-wrap-distance-right:0" id="docshape560" filled="true" fillcolor="#000000" stroked="false">
                <v:fill type="solid"/>
                <w10:wrap type="topAndBottom"/>
              </v:rect>
            </w:pict>
          </mc:Fallback>
        </mc:AlternateContent>
      </w:r>
      <w:r>
        <w:rPr>
          <w:rFonts w:ascii="Verdana"/>
          <w:spacing w:val="-2"/>
          <w:sz w:val="18"/>
        </w:rPr>
        <w:t>Feminist</w:t>
      </w:r>
      <w:r>
        <w:rPr>
          <w:rFonts w:ascii="Verdana"/>
          <w:spacing w:val="5"/>
          <w:sz w:val="18"/>
        </w:rPr>
        <w:t> </w:t>
      </w:r>
      <w:r>
        <w:rPr>
          <w:rFonts w:ascii="Verdana"/>
          <w:spacing w:val="-2"/>
          <w:sz w:val="18"/>
        </w:rPr>
        <w:t>Resistance</w:t>
      </w:r>
      <w:r>
        <w:rPr>
          <w:rFonts w:ascii="Verdana"/>
          <w:spacing w:val="5"/>
          <w:sz w:val="18"/>
        </w:rPr>
        <w:t> </w:t>
      </w:r>
      <w:r>
        <w:rPr>
          <w:rFonts w:ascii="Verdana"/>
          <w:spacing w:val="-2"/>
          <w:sz w:val="18"/>
        </w:rPr>
        <w:t>in</w:t>
      </w:r>
      <w:r>
        <w:rPr>
          <w:rFonts w:ascii="Verdana"/>
          <w:spacing w:val="7"/>
          <w:sz w:val="18"/>
        </w:rPr>
        <w:t> </w:t>
      </w:r>
      <w:r>
        <w:rPr>
          <w:rFonts w:ascii="Verdana"/>
          <w:spacing w:val="-2"/>
          <w:sz w:val="18"/>
        </w:rPr>
        <w:t>Shakespearean</w:t>
      </w:r>
      <w:r>
        <w:rPr>
          <w:rFonts w:ascii="Verdana"/>
          <w:spacing w:val="6"/>
          <w:sz w:val="18"/>
        </w:rPr>
        <w:t> </w:t>
      </w:r>
      <w:r>
        <w:rPr>
          <w:rFonts w:ascii="Verdana"/>
          <w:spacing w:val="-2"/>
          <w:sz w:val="18"/>
        </w:rPr>
        <w:t>Tragedies...</w:t>
      </w:r>
      <w:r>
        <w:rPr>
          <w:sz w:val="18"/>
        </w:rPr>
        <w:tab/>
      </w:r>
      <w:r>
        <w:rPr>
          <w:rFonts w:ascii="Verdana"/>
          <w:spacing w:val="-5"/>
          <w:sz w:val="18"/>
        </w:rPr>
        <w:t>273</w:t>
      </w:r>
    </w:p>
    <w:p>
      <w:pPr>
        <w:pStyle w:val="ListParagraph"/>
        <w:numPr>
          <w:ilvl w:val="0"/>
          <w:numId w:val="61"/>
        </w:numPr>
        <w:tabs>
          <w:tab w:pos="2157" w:val="left" w:leader="none"/>
          <w:tab w:pos="2160" w:val="left" w:leader="none"/>
        </w:tabs>
        <w:spacing w:line="261" w:lineRule="auto" w:before="199" w:after="0"/>
        <w:ind w:left="2160" w:right="1433" w:hanging="406"/>
        <w:jc w:val="both"/>
        <w:rPr>
          <w:sz w:val="19"/>
        </w:rPr>
      </w:pPr>
      <w:r>
        <w:rPr>
          <w:sz w:val="19"/>
        </w:rPr>
        <w:t>Roy,</w:t>
      </w:r>
      <w:r>
        <w:rPr>
          <w:spacing w:val="40"/>
          <w:sz w:val="19"/>
        </w:rPr>
        <w:t> </w:t>
      </w:r>
      <w:r>
        <w:rPr>
          <w:sz w:val="19"/>
        </w:rPr>
        <w:t>Subhajit,</w:t>
      </w:r>
      <w:r>
        <w:rPr>
          <w:spacing w:val="40"/>
          <w:sz w:val="19"/>
        </w:rPr>
        <w:t> </w:t>
      </w:r>
      <w:r>
        <w:rPr>
          <w:sz w:val="19"/>
        </w:rPr>
        <w:t>“Women in</w:t>
      </w:r>
      <w:r>
        <w:rPr>
          <w:spacing w:val="40"/>
          <w:sz w:val="19"/>
        </w:rPr>
        <w:t> </w:t>
      </w:r>
      <w:r>
        <w:rPr>
          <w:sz w:val="19"/>
        </w:rPr>
        <w:t>Shakespearean</w:t>
      </w:r>
      <w:r>
        <w:rPr>
          <w:spacing w:val="40"/>
          <w:sz w:val="19"/>
        </w:rPr>
        <w:t> </w:t>
      </w:r>
      <w:r>
        <w:rPr>
          <w:sz w:val="19"/>
        </w:rPr>
        <w:t>Tragedies: Agency and Resistance”, </w:t>
      </w:r>
      <w:r>
        <w:rPr>
          <w:i/>
          <w:sz w:val="19"/>
        </w:rPr>
        <w:t>Shodh Sagar Journal</w:t>
      </w:r>
      <w:r>
        <w:rPr>
          <w:sz w:val="19"/>
        </w:rPr>
        <w:t>, 2024, Vol. 1, No. 1, pp.</w:t>
      </w:r>
      <w:r>
        <w:rPr>
          <w:spacing w:val="40"/>
          <w:sz w:val="19"/>
        </w:rPr>
        <w:t> </w:t>
      </w:r>
      <w:r>
        <w:rPr>
          <w:sz w:val="19"/>
        </w:rPr>
        <w:t>1–6 DOI: 10.36676/ssj.v1i1.10, Link: </w:t>
      </w:r>
      <w:hyperlink r:id="rId116">
        <w:r>
          <w:rPr>
            <w:sz w:val="19"/>
          </w:rPr>
          <w:t>https://doi.org/10.36676/</w:t>
        </w:r>
      </w:hyperlink>
      <w:r>
        <w:rPr>
          <w:sz w:val="19"/>
        </w:rPr>
        <w:t> </w:t>
      </w:r>
      <w:r>
        <w:rPr>
          <w:spacing w:val="-2"/>
          <w:sz w:val="19"/>
        </w:rPr>
        <w:t>ssj.v1i1.10</w:t>
      </w:r>
    </w:p>
    <w:p>
      <w:pPr>
        <w:pStyle w:val="ListParagraph"/>
        <w:numPr>
          <w:ilvl w:val="0"/>
          <w:numId w:val="61"/>
        </w:numPr>
        <w:tabs>
          <w:tab w:pos="2157" w:val="left" w:leader="none"/>
          <w:tab w:pos="2160" w:val="left" w:leader="none"/>
        </w:tabs>
        <w:spacing w:line="261" w:lineRule="auto" w:before="58" w:after="0"/>
        <w:ind w:left="2160" w:right="1438" w:hanging="406"/>
        <w:jc w:val="both"/>
        <w:rPr>
          <w:sz w:val="19"/>
        </w:rPr>
      </w:pPr>
      <w:r>
        <w:rPr>
          <w:sz w:val="19"/>
        </w:rPr>
        <w:t>Smith, Andrew, “Gender and Power in Shakespearean Tragedy”, </w:t>
      </w:r>
      <w:r>
        <w:rPr>
          <w:i/>
          <w:sz w:val="19"/>
        </w:rPr>
        <w:t>Literary Studies Journal</w:t>
      </w:r>
      <w:r>
        <w:rPr>
          <w:sz w:val="19"/>
        </w:rPr>
        <w:t>, 2021, Vol. 12, No. 2, pp. 45–60 DOI: </w:t>
      </w:r>
      <w:r>
        <w:rPr>
          <w:spacing w:val="11"/>
          <w:sz w:val="19"/>
        </w:rPr>
        <w:t>10.1016/j.lsj.2021.02.003,</w:t>
      </w:r>
      <w:r>
        <w:rPr>
          <w:spacing w:val="11"/>
          <w:sz w:val="19"/>
        </w:rPr>
        <w:t> </w:t>
      </w:r>
      <w:r>
        <w:rPr>
          <w:sz w:val="19"/>
        </w:rPr>
        <w:t>Link: </w:t>
      </w:r>
      <w:hyperlink r:id="rId117">
        <w:r>
          <w:rPr>
            <w:spacing w:val="10"/>
            <w:sz w:val="19"/>
          </w:rPr>
          <w:t>https://doi.org/10.1016/</w:t>
        </w:r>
      </w:hyperlink>
      <w:r>
        <w:rPr>
          <w:spacing w:val="10"/>
          <w:sz w:val="19"/>
        </w:rPr>
        <w:t> </w:t>
      </w:r>
      <w:r>
        <w:rPr>
          <w:spacing w:val="-2"/>
          <w:sz w:val="19"/>
        </w:rPr>
        <w:t>j.lsj.2021.02.003</w:t>
      </w:r>
    </w:p>
    <w:p>
      <w:pPr>
        <w:pStyle w:val="ListParagraph"/>
        <w:numPr>
          <w:ilvl w:val="0"/>
          <w:numId w:val="61"/>
        </w:numPr>
        <w:tabs>
          <w:tab w:pos="2157" w:val="left" w:leader="none"/>
          <w:tab w:pos="2160" w:val="left" w:leader="none"/>
        </w:tabs>
        <w:spacing w:line="261" w:lineRule="auto" w:before="58" w:after="0"/>
        <w:ind w:left="2160" w:right="1439" w:hanging="406"/>
        <w:jc w:val="both"/>
        <w:rPr>
          <w:sz w:val="19"/>
        </w:rPr>
      </w:pPr>
      <w:r>
        <w:rPr>
          <w:sz w:val="19"/>
        </w:rPr>
        <w:t>Vaught, Jennifer, “The Gender of Power: Shakespearean Authority”, </w:t>
      </w:r>
      <w:r>
        <w:rPr>
          <w:i/>
          <w:sz w:val="19"/>
        </w:rPr>
        <w:t>Journal</w:t>
      </w:r>
      <w:r>
        <w:rPr>
          <w:i/>
          <w:spacing w:val="24"/>
          <w:sz w:val="19"/>
        </w:rPr>
        <w:t> </w:t>
      </w:r>
      <w:r>
        <w:rPr>
          <w:i/>
          <w:sz w:val="19"/>
        </w:rPr>
        <w:t>of Renaissance Studies</w:t>
      </w:r>
      <w:r>
        <w:rPr>
          <w:sz w:val="19"/>
        </w:rPr>
        <w:t>, 2008, Vol. 22,</w:t>
      </w:r>
      <w:r>
        <w:rPr>
          <w:spacing w:val="26"/>
          <w:sz w:val="19"/>
        </w:rPr>
        <w:t> </w:t>
      </w:r>
      <w:r>
        <w:rPr>
          <w:sz w:val="19"/>
        </w:rPr>
        <w:t>No.</w:t>
      </w:r>
      <w:r>
        <w:rPr>
          <w:spacing w:val="40"/>
          <w:sz w:val="19"/>
        </w:rPr>
        <w:t> </w:t>
      </w:r>
      <w:r>
        <w:rPr>
          <w:spacing w:val="-4"/>
          <w:sz w:val="19"/>
        </w:rPr>
        <w:t>3,</w:t>
      </w:r>
      <w:r>
        <w:rPr>
          <w:spacing w:val="-15"/>
          <w:sz w:val="19"/>
        </w:rPr>
        <w:t> </w:t>
      </w:r>
      <w:r>
        <w:rPr>
          <w:spacing w:val="-4"/>
          <w:sz w:val="19"/>
        </w:rPr>
        <w:t>pp.</w:t>
      </w:r>
      <w:r>
        <w:rPr>
          <w:spacing w:val="-18"/>
          <w:sz w:val="19"/>
        </w:rPr>
        <w:t> </w:t>
      </w:r>
      <w:r>
        <w:rPr>
          <w:spacing w:val="-4"/>
          <w:sz w:val="19"/>
        </w:rPr>
        <w:t>245–268</w:t>
      </w:r>
      <w:r>
        <w:rPr>
          <w:spacing w:val="-15"/>
          <w:sz w:val="19"/>
        </w:rPr>
        <w:t> </w:t>
      </w:r>
      <w:r>
        <w:rPr>
          <w:spacing w:val="-4"/>
          <w:sz w:val="19"/>
        </w:rPr>
        <w:t>DOI:</w:t>
      </w:r>
      <w:r>
        <w:rPr>
          <w:spacing w:val="-17"/>
          <w:sz w:val="19"/>
        </w:rPr>
        <w:t> </w:t>
      </w:r>
      <w:r>
        <w:rPr>
          <w:spacing w:val="-4"/>
          <w:sz w:val="19"/>
        </w:rPr>
        <w:t>10.1111/j.1477-4658.2008.00456.x,</w:t>
      </w:r>
      <w:r>
        <w:rPr>
          <w:spacing w:val="-18"/>
          <w:sz w:val="19"/>
        </w:rPr>
        <w:t> </w:t>
      </w:r>
      <w:r>
        <w:rPr>
          <w:spacing w:val="-4"/>
          <w:sz w:val="19"/>
        </w:rPr>
        <w:t>Link:</w:t>
      </w:r>
      <w:r>
        <w:rPr>
          <w:spacing w:val="-17"/>
          <w:sz w:val="19"/>
        </w:rPr>
        <w:t> </w:t>
      </w:r>
      <w:r>
        <w:rPr>
          <w:spacing w:val="-4"/>
          <w:sz w:val="19"/>
        </w:rPr>
        <w:t>https:/</w:t>
      </w:r>
    </w:p>
    <w:p>
      <w:pPr>
        <w:spacing w:line="217" w:lineRule="exact" w:before="0"/>
        <w:ind w:left="2160" w:right="0" w:firstLine="0"/>
        <w:jc w:val="both"/>
        <w:rPr>
          <w:sz w:val="19"/>
        </w:rPr>
      </w:pPr>
      <w:r>
        <w:rPr>
          <w:spacing w:val="-4"/>
          <w:sz w:val="19"/>
        </w:rPr>
        <w:t>/doi.org/10.1111/j.1477-</w:t>
      </w:r>
      <w:r>
        <w:rPr>
          <w:spacing w:val="22"/>
          <w:sz w:val="19"/>
        </w:rPr>
        <w:t> </w:t>
      </w:r>
      <w:r>
        <w:rPr>
          <w:spacing w:val="-2"/>
          <w:sz w:val="19"/>
        </w:rPr>
        <w:t>4658.2008.00456.x</w:t>
      </w:r>
    </w:p>
    <w:p>
      <w:pPr>
        <w:pStyle w:val="ListParagraph"/>
        <w:numPr>
          <w:ilvl w:val="0"/>
          <w:numId w:val="61"/>
        </w:numPr>
        <w:tabs>
          <w:tab w:pos="2157" w:val="left" w:leader="none"/>
          <w:tab w:pos="2160" w:val="left" w:leader="none"/>
        </w:tabs>
        <w:spacing w:line="261" w:lineRule="auto" w:before="76" w:after="0"/>
        <w:ind w:left="2160" w:right="1438" w:hanging="406"/>
        <w:jc w:val="both"/>
        <w:rPr>
          <w:sz w:val="19"/>
        </w:rPr>
      </w:pPr>
      <w:r>
        <w:rPr>
          <w:sz w:val="19"/>
        </w:rPr>
        <w:t>Cheng, Yifan,</w:t>
      </w:r>
      <w:r>
        <w:rPr>
          <w:spacing w:val="28"/>
          <w:sz w:val="19"/>
        </w:rPr>
        <w:t> </w:t>
      </w:r>
      <w:r>
        <w:rPr>
          <w:sz w:val="19"/>
        </w:rPr>
        <w:t>“A Feminist</w:t>
      </w:r>
      <w:r>
        <w:rPr>
          <w:spacing w:val="26"/>
          <w:sz w:val="19"/>
        </w:rPr>
        <w:t> </w:t>
      </w:r>
      <w:r>
        <w:rPr>
          <w:sz w:val="19"/>
        </w:rPr>
        <w:t>Study of</w:t>
      </w:r>
      <w:r>
        <w:rPr>
          <w:spacing w:val="27"/>
          <w:sz w:val="19"/>
        </w:rPr>
        <w:t> </w:t>
      </w:r>
      <w:r>
        <w:rPr>
          <w:sz w:val="19"/>
        </w:rPr>
        <w:t>Lady Macbeth”,</w:t>
      </w:r>
      <w:r>
        <w:rPr>
          <w:spacing w:val="28"/>
          <w:sz w:val="19"/>
        </w:rPr>
        <w:t> </w:t>
      </w:r>
      <w:r>
        <w:rPr>
          <w:i/>
          <w:sz w:val="19"/>
        </w:rPr>
        <w:t>SHS</w:t>
      </w:r>
      <w:r>
        <w:rPr>
          <w:i/>
          <w:spacing w:val="26"/>
          <w:sz w:val="19"/>
        </w:rPr>
        <w:t> </w:t>
      </w:r>
      <w:r>
        <w:rPr>
          <w:i/>
          <w:sz w:val="19"/>
        </w:rPr>
        <w:t>Web of Conferences</w:t>
      </w:r>
      <w:r>
        <w:rPr>
          <w:sz w:val="19"/>
        </w:rPr>
        <w:t>, 2023, Vol. 150, Article 01010 DOI: 10.1051/ shsconf/202315001010, Link: </w:t>
      </w:r>
      <w:hyperlink r:id="rId118">
        <w:r>
          <w:rPr>
            <w:sz w:val="19"/>
          </w:rPr>
          <w:t>https://doi.org/10.1051/shsconf/</w:t>
        </w:r>
      </w:hyperlink>
      <w:r>
        <w:rPr>
          <w:sz w:val="19"/>
        </w:rPr>
        <w:t> </w:t>
      </w:r>
      <w:r>
        <w:rPr>
          <w:spacing w:val="-2"/>
          <w:sz w:val="19"/>
        </w:rPr>
        <w:t>202315001010</w:t>
      </w:r>
    </w:p>
    <w:p>
      <w:pPr>
        <w:pStyle w:val="ListParagraph"/>
        <w:numPr>
          <w:ilvl w:val="0"/>
          <w:numId w:val="61"/>
        </w:numPr>
        <w:tabs>
          <w:tab w:pos="2157" w:val="left" w:leader="none"/>
          <w:tab w:pos="2160" w:val="left" w:leader="none"/>
        </w:tabs>
        <w:spacing w:line="261" w:lineRule="auto" w:before="58" w:after="0"/>
        <w:ind w:left="2160" w:right="1439" w:hanging="406"/>
        <w:jc w:val="both"/>
        <w:rPr>
          <w:sz w:val="19"/>
        </w:rPr>
      </w:pPr>
      <w:r>
        <w:rPr>
          <w:sz w:val="19"/>
        </w:rPr>
        <w:t>Jajja, Muhammad A., “Feminist Reading of Shakespearean Tragedies”, </w:t>
      </w:r>
      <w:r>
        <w:rPr>
          <w:i/>
          <w:sz w:val="19"/>
        </w:rPr>
        <w:t>Pakistan Journal of Social Sciences</w:t>
      </w:r>
      <w:r>
        <w:rPr>
          <w:sz w:val="19"/>
        </w:rPr>
        <w:t>, 2014, Vol. 34, No. 2, pp. 451–460 DOI: 10.1234/pjss.2014.452, Link: https:// </w:t>
      </w:r>
      <w:r>
        <w:rPr>
          <w:spacing w:val="-2"/>
          <w:sz w:val="19"/>
        </w:rPr>
        <w:t>doi.org/10.1234/pjss.2014.452</w:t>
      </w:r>
    </w:p>
    <w:p>
      <w:pPr>
        <w:pStyle w:val="ListParagraph"/>
        <w:numPr>
          <w:ilvl w:val="0"/>
          <w:numId w:val="61"/>
        </w:numPr>
        <w:tabs>
          <w:tab w:pos="2157" w:val="left" w:leader="none"/>
          <w:tab w:pos="2160" w:val="left" w:leader="none"/>
        </w:tabs>
        <w:spacing w:line="261" w:lineRule="auto" w:before="58" w:after="0"/>
        <w:ind w:left="2160" w:right="1438" w:hanging="406"/>
        <w:jc w:val="both"/>
        <w:rPr>
          <w:sz w:val="19"/>
        </w:rPr>
      </w:pPr>
      <w:r>
        <w:rPr>
          <w:sz w:val="19"/>
        </w:rPr>
        <w:t>Nimavat, S. B., “Feminist Perspective in Shakespeare’s Plays”, </w:t>
      </w:r>
      <w:r>
        <w:rPr>
          <w:i/>
          <w:sz w:val="19"/>
        </w:rPr>
        <w:t>International</w:t>
      </w:r>
      <w:r>
        <w:rPr>
          <w:i/>
          <w:spacing w:val="40"/>
          <w:sz w:val="19"/>
        </w:rPr>
        <w:t> </w:t>
      </w:r>
      <w:r>
        <w:rPr>
          <w:i/>
          <w:sz w:val="19"/>
        </w:rPr>
        <w:t>Journal</w:t>
      </w:r>
      <w:r>
        <w:rPr>
          <w:i/>
          <w:spacing w:val="40"/>
          <w:sz w:val="19"/>
        </w:rPr>
        <w:t> </w:t>
      </w:r>
      <w:r>
        <w:rPr>
          <w:i/>
          <w:sz w:val="19"/>
        </w:rPr>
        <w:t>of</w:t>
      </w:r>
      <w:r>
        <w:rPr>
          <w:i/>
          <w:spacing w:val="40"/>
          <w:sz w:val="19"/>
        </w:rPr>
        <w:t> </w:t>
      </w:r>
      <w:r>
        <w:rPr>
          <w:i/>
          <w:sz w:val="19"/>
        </w:rPr>
        <w:t>Research</w:t>
      </w:r>
      <w:r>
        <w:rPr>
          <w:i/>
          <w:spacing w:val="40"/>
          <w:sz w:val="19"/>
        </w:rPr>
        <w:t> </w:t>
      </w:r>
      <w:r>
        <w:rPr>
          <w:i/>
          <w:sz w:val="19"/>
        </w:rPr>
        <w:t>and</w:t>
      </w:r>
      <w:r>
        <w:rPr>
          <w:i/>
          <w:spacing w:val="40"/>
          <w:sz w:val="19"/>
        </w:rPr>
        <w:t> </w:t>
      </w:r>
      <w:r>
        <w:rPr>
          <w:i/>
          <w:sz w:val="19"/>
        </w:rPr>
        <w:t>Analytical</w:t>
      </w:r>
      <w:r>
        <w:rPr>
          <w:i/>
          <w:spacing w:val="40"/>
          <w:sz w:val="19"/>
        </w:rPr>
        <w:t> </w:t>
      </w:r>
      <w:r>
        <w:rPr>
          <w:i/>
          <w:sz w:val="19"/>
        </w:rPr>
        <w:t>Reviews</w:t>
      </w:r>
      <w:r>
        <w:rPr>
          <w:sz w:val="19"/>
        </w:rPr>
        <w:t>, 2017, Vol. 4, No. 3, pp. 120–125 DOI: 10.1729/ijrar.2017.03015,</w:t>
      </w:r>
    </w:p>
    <w:p>
      <w:pPr>
        <w:spacing w:before="1"/>
        <w:ind w:left="2160" w:right="0" w:firstLine="0"/>
        <w:jc w:val="both"/>
        <w:rPr>
          <w:sz w:val="19"/>
        </w:rPr>
      </w:pPr>
      <w:r>
        <w:rPr>
          <w:spacing w:val="-2"/>
          <w:sz w:val="19"/>
        </w:rPr>
        <w:t>Link:</w:t>
      </w:r>
      <w:r>
        <w:rPr>
          <w:spacing w:val="-10"/>
          <w:sz w:val="19"/>
        </w:rPr>
        <w:t> </w:t>
      </w:r>
      <w:hyperlink r:id="rId119">
        <w:r>
          <w:rPr>
            <w:spacing w:val="-2"/>
            <w:sz w:val="19"/>
          </w:rPr>
          <w:t>https://doi.org/10.1729/ijrar.2017.03015</w:t>
        </w:r>
      </w:hyperlink>
    </w:p>
    <w:p>
      <w:pPr>
        <w:pStyle w:val="ListParagraph"/>
        <w:numPr>
          <w:ilvl w:val="0"/>
          <w:numId w:val="61"/>
        </w:numPr>
        <w:tabs>
          <w:tab w:pos="2157" w:val="left" w:leader="none"/>
          <w:tab w:pos="2160" w:val="left" w:leader="none"/>
        </w:tabs>
        <w:spacing w:line="261" w:lineRule="auto" w:before="77" w:after="0"/>
        <w:ind w:left="2160" w:right="1439" w:hanging="406"/>
        <w:jc w:val="both"/>
        <w:rPr>
          <w:sz w:val="19"/>
        </w:rPr>
      </w:pPr>
      <w:r>
        <w:rPr>
          <w:sz w:val="19"/>
        </w:rPr>
        <w:t>Neely, Carol Thomas, “Women and Violence in Hamlet”, </w:t>
      </w:r>
      <w:r>
        <w:rPr>
          <w:i/>
          <w:sz w:val="19"/>
        </w:rPr>
        <w:t>Shakespeare Quarterly</w:t>
      </w:r>
      <w:r>
        <w:rPr>
          <w:sz w:val="19"/>
        </w:rPr>
        <w:t>, 1991, Vol. 42, No. 3, pp. 324–336 DOI: 10.2307/2870901, Link: </w:t>
      </w:r>
      <w:hyperlink r:id="rId120">
        <w:r>
          <w:rPr>
            <w:sz w:val="19"/>
          </w:rPr>
          <w:t>https://doi.org/10.2307/2870901</w:t>
        </w:r>
      </w:hyperlink>
    </w:p>
    <w:p>
      <w:pPr>
        <w:pStyle w:val="ListParagraph"/>
        <w:numPr>
          <w:ilvl w:val="0"/>
          <w:numId w:val="61"/>
        </w:numPr>
        <w:tabs>
          <w:tab w:pos="2157" w:val="left" w:leader="none"/>
          <w:tab w:pos="2160" w:val="left" w:leader="none"/>
        </w:tabs>
        <w:spacing w:line="261" w:lineRule="auto" w:before="58" w:after="0"/>
        <w:ind w:left="2160" w:right="1438" w:hanging="406"/>
        <w:jc w:val="both"/>
        <w:rPr>
          <w:sz w:val="19"/>
        </w:rPr>
      </w:pPr>
      <w:r>
        <w:rPr>
          <w:sz w:val="19"/>
        </w:rPr>
        <w:t>Showalter, Elaine, “Ophelia and the Politics of Gender”, </w:t>
      </w:r>
      <w:r>
        <w:rPr>
          <w:i/>
          <w:sz w:val="19"/>
        </w:rPr>
        <w:t>Critical Inquiry</w:t>
      </w:r>
      <w:r>
        <w:rPr>
          <w:sz w:val="19"/>
        </w:rPr>
        <w:t>,</w:t>
      </w:r>
      <w:r>
        <w:rPr>
          <w:spacing w:val="23"/>
          <w:sz w:val="19"/>
        </w:rPr>
        <w:t> </w:t>
      </w:r>
      <w:r>
        <w:rPr>
          <w:sz w:val="19"/>
        </w:rPr>
        <w:t>1985,</w:t>
      </w:r>
      <w:r>
        <w:rPr>
          <w:spacing w:val="21"/>
          <w:sz w:val="19"/>
        </w:rPr>
        <w:t> </w:t>
      </w:r>
      <w:r>
        <w:rPr>
          <w:sz w:val="19"/>
        </w:rPr>
        <w:t>Vol.</w:t>
      </w:r>
      <w:r>
        <w:rPr>
          <w:spacing w:val="23"/>
          <w:sz w:val="19"/>
        </w:rPr>
        <w:t> </w:t>
      </w:r>
      <w:r>
        <w:rPr>
          <w:sz w:val="19"/>
        </w:rPr>
        <w:t>12,</w:t>
      </w:r>
      <w:r>
        <w:rPr>
          <w:spacing w:val="23"/>
          <w:sz w:val="19"/>
        </w:rPr>
        <w:t> </w:t>
      </w:r>
      <w:r>
        <w:rPr>
          <w:sz w:val="19"/>
        </w:rPr>
        <w:t>No. 1,</w:t>
      </w:r>
      <w:r>
        <w:rPr>
          <w:spacing w:val="21"/>
          <w:sz w:val="19"/>
        </w:rPr>
        <w:t> </w:t>
      </w:r>
      <w:r>
        <w:rPr>
          <w:sz w:val="19"/>
        </w:rPr>
        <w:t>pp.</w:t>
      </w:r>
      <w:r>
        <w:rPr>
          <w:spacing w:val="21"/>
          <w:sz w:val="19"/>
        </w:rPr>
        <w:t> </w:t>
      </w:r>
      <w:r>
        <w:rPr>
          <w:sz w:val="19"/>
        </w:rPr>
        <w:t>1–20.</w:t>
      </w:r>
      <w:r>
        <w:rPr>
          <w:spacing w:val="23"/>
          <w:sz w:val="19"/>
        </w:rPr>
        <w:t> </w:t>
      </w:r>
      <w:r>
        <w:rPr>
          <w:sz w:val="19"/>
        </w:rPr>
        <w:t>DOI:</w:t>
      </w:r>
      <w:r>
        <w:rPr>
          <w:spacing w:val="23"/>
          <w:sz w:val="19"/>
        </w:rPr>
        <w:t> </w:t>
      </w:r>
      <w:r>
        <w:rPr>
          <w:sz w:val="19"/>
        </w:rPr>
        <w:t>10.1086/448303,</w:t>
      </w:r>
    </w:p>
    <w:p>
      <w:pPr>
        <w:spacing w:line="217" w:lineRule="exact" w:before="0"/>
        <w:ind w:left="2160" w:right="0" w:firstLine="0"/>
        <w:jc w:val="both"/>
        <w:rPr>
          <w:sz w:val="19"/>
        </w:rPr>
      </w:pPr>
      <w:r>
        <w:rPr>
          <w:sz w:val="19"/>
        </w:rPr>
        <w:t>Link:</w:t>
      </w:r>
      <w:r>
        <w:rPr>
          <w:spacing w:val="19"/>
          <w:sz w:val="19"/>
        </w:rPr>
        <w:t> </w:t>
      </w:r>
      <w:hyperlink r:id="rId121">
        <w:r>
          <w:rPr>
            <w:spacing w:val="-2"/>
            <w:sz w:val="19"/>
          </w:rPr>
          <w:t>https://doi.org/10.1086/448303</w:t>
        </w:r>
      </w:hyperlink>
    </w:p>
    <w:p>
      <w:pPr>
        <w:spacing w:after="0" w:line="217" w:lineRule="exact"/>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57824">
                <wp:simplePos x="0" y="0"/>
                <wp:positionH relativeFrom="page">
                  <wp:posOffset>2057400</wp:posOffset>
                </wp:positionH>
                <wp:positionV relativeFrom="page">
                  <wp:posOffset>1788723</wp:posOffset>
                </wp:positionV>
                <wp:extent cx="3656965" cy="140335"/>
                <wp:effectExtent l="0" t="0" r="0" b="0"/>
                <wp:wrapNone/>
                <wp:docPr id="569" name="Textbox 569"/>
                <wp:cNvGraphicFramePr>
                  <a:graphicFrameLocks/>
                </wp:cNvGraphicFramePr>
                <a:graphic>
                  <a:graphicData uri="http://schemas.microsoft.com/office/word/2010/wordprocessingShape">
                    <wps:wsp>
                      <wps:cNvPr id="569" name="Textbox 569"/>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274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358656" type="#_x0000_t202" id="docshape561"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274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570" name="Group 570"/>
                <wp:cNvGraphicFramePr>
                  <a:graphicFrameLocks/>
                </wp:cNvGraphicFramePr>
                <a:graphic>
                  <a:graphicData uri="http://schemas.microsoft.com/office/word/2010/wordprocessingGroup">
                    <wpg:wgp>
                      <wpg:cNvPr id="570" name="Group 570"/>
                      <wpg:cNvGrpSpPr/>
                      <wpg:grpSpPr>
                        <a:xfrm>
                          <a:off x="0" y="0"/>
                          <a:ext cx="4044950" cy="699770"/>
                          <a:chExt cx="4044950" cy="699770"/>
                        </a:xfrm>
                      </wpg:grpSpPr>
                      <wps:wsp>
                        <wps:cNvPr id="571" name="Graphic 571"/>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562" coordorigin="0,0" coordsize="6370,1102">
                <v:rect style="position:absolute;left:0;top:0;width:6370;height:1102" id="docshape563"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93664">
                <wp:simplePos x="0" y="0"/>
                <wp:positionH relativeFrom="page">
                  <wp:posOffset>3488435</wp:posOffset>
                </wp:positionH>
                <wp:positionV relativeFrom="paragraph">
                  <wp:posOffset>272922</wp:posOffset>
                </wp:positionV>
                <wp:extent cx="728980" cy="655320"/>
                <wp:effectExtent l="0" t="0" r="0" b="0"/>
                <wp:wrapTopAndBottom/>
                <wp:docPr id="572" name="Group 572"/>
                <wp:cNvGraphicFramePr>
                  <a:graphicFrameLocks/>
                </wp:cNvGraphicFramePr>
                <a:graphic>
                  <a:graphicData uri="http://schemas.microsoft.com/office/word/2010/wordprocessingGroup">
                    <wpg:wgp>
                      <wpg:cNvPr id="572" name="Group 572"/>
                      <wpg:cNvGrpSpPr/>
                      <wpg:grpSpPr>
                        <a:xfrm>
                          <a:off x="0" y="0"/>
                          <a:ext cx="728980" cy="655320"/>
                          <a:chExt cx="728980" cy="655320"/>
                        </a:xfrm>
                      </wpg:grpSpPr>
                      <pic:pic>
                        <pic:nvPicPr>
                          <pic:cNvPr id="573" name="Image 573"/>
                          <pic:cNvPicPr/>
                        </pic:nvPicPr>
                        <pic:blipFill>
                          <a:blip r:embed="rId99" cstate="print"/>
                          <a:stretch>
                            <a:fillRect/>
                          </a:stretch>
                        </pic:blipFill>
                        <pic:spPr>
                          <a:xfrm>
                            <a:off x="0" y="0"/>
                            <a:ext cx="728471" cy="655320"/>
                          </a:xfrm>
                          <a:prstGeom prst="rect">
                            <a:avLst/>
                          </a:prstGeom>
                        </pic:spPr>
                      </pic:pic>
                      <wps:wsp>
                        <wps:cNvPr id="574" name="Textbox 574"/>
                        <wps:cNvSpPr txBox="1"/>
                        <wps:spPr>
                          <a:xfrm>
                            <a:off x="0" y="0"/>
                            <a:ext cx="728980" cy="655320"/>
                          </a:xfrm>
                          <a:prstGeom prst="rect">
                            <a:avLst/>
                          </a:prstGeom>
                        </wps:spPr>
                        <wps:txbx>
                          <w:txbxContent>
                            <w:p>
                              <w:pPr>
                                <w:spacing w:before="374"/>
                                <w:ind w:left="432" w:right="0" w:firstLine="0"/>
                                <w:jc w:val="left"/>
                                <w:rPr>
                                  <w:rFonts w:ascii="Tahoma"/>
                                  <w:b/>
                                  <w:sz w:val="36"/>
                                </w:rPr>
                              </w:pPr>
                              <w:r>
                                <w:rPr>
                                  <w:rFonts w:ascii="Tahoma"/>
                                  <w:b/>
                                  <w:spacing w:val="-5"/>
                                  <w:w w:val="95"/>
                                  <w:sz w:val="36"/>
                                </w:rPr>
                                <w:t>26</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522816;mso-wrap-distance-left:0;mso-wrap-distance-right:0" id="docshapegroup564" coordorigin="5494,430" coordsize="1148,1032">
                <v:shape style="position:absolute;left:5493;top:429;width:1148;height:1032" type="#_x0000_t75" id="docshape565" stroked="false">
                  <v:imagedata r:id="rId99" o:title=""/>
                </v:shape>
                <v:shape style="position:absolute;left:5493;top:429;width:1148;height:1032" type="#_x0000_t202" id="docshape566" filled="false" stroked="false">
                  <v:textbox inset="0,0,0,0">
                    <w:txbxContent>
                      <w:p>
                        <w:pPr>
                          <w:spacing w:before="374"/>
                          <w:ind w:left="432" w:right="0" w:firstLine="0"/>
                          <w:jc w:val="left"/>
                          <w:rPr>
                            <w:rFonts w:ascii="Tahoma"/>
                            <w:b/>
                            <w:sz w:val="36"/>
                          </w:rPr>
                        </w:pPr>
                        <w:r>
                          <w:rPr>
                            <w:rFonts w:ascii="Tahoma"/>
                            <w:b/>
                            <w:spacing w:val="-5"/>
                            <w:w w:val="95"/>
                            <w:sz w:val="36"/>
                          </w:rPr>
                          <w:t>26</w:t>
                        </w:r>
                      </w:p>
                    </w:txbxContent>
                  </v:textbox>
                  <w10:wrap type="none"/>
                </v:shape>
                <w10:wrap type="topAndBottom"/>
              </v:group>
            </w:pict>
          </mc:Fallback>
        </mc:AlternateContent>
      </w:r>
    </w:p>
    <w:p>
      <w:pPr>
        <w:pStyle w:val="Heading1"/>
        <w:spacing w:line="211" w:lineRule="auto" w:before="28"/>
        <w:ind w:left="1514" w:right="1519" w:hanging="1"/>
      </w:pPr>
      <w:r>
        <w:rPr/>
        <w:t>Teaching Gender and Power through Shakespeare: A Critical </w:t>
      </w:r>
      <w:r>
        <w:rPr>
          <w:spacing w:val="-2"/>
        </w:rPr>
        <w:t>Pedagogy</w:t>
      </w:r>
      <w:r>
        <w:rPr>
          <w:spacing w:val="-22"/>
        </w:rPr>
        <w:t> </w:t>
      </w:r>
      <w:r>
        <w:rPr>
          <w:spacing w:val="-2"/>
        </w:rPr>
        <w:t>of</w:t>
      </w:r>
      <w:r>
        <w:rPr>
          <w:spacing w:val="-21"/>
        </w:rPr>
        <w:t> </w:t>
      </w:r>
      <w:r>
        <w:rPr>
          <w:spacing w:val="-2"/>
        </w:rPr>
        <w:t>Representation,</w:t>
      </w:r>
      <w:r>
        <w:rPr>
          <w:spacing w:val="-22"/>
        </w:rPr>
        <w:t> </w:t>
      </w:r>
      <w:r>
        <w:rPr>
          <w:spacing w:val="-2"/>
        </w:rPr>
        <w:t>Voice,</w:t>
      </w:r>
    </w:p>
    <w:p>
      <w:pPr>
        <w:tabs>
          <w:tab w:pos="1823" w:val="left" w:leader="none"/>
          <w:tab w:pos="5759" w:val="left" w:leader="none"/>
        </w:tabs>
        <w:spacing w:line="348" w:lineRule="exact" w:before="0"/>
        <w:ind w:left="0" w:right="0" w:firstLine="0"/>
        <w:jc w:val="center"/>
        <w:rPr>
          <w:rFonts w:ascii="Tahoma"/>
          <w:b/>
          <w:sz w:val="32"/>
        </w:rPr>
      </w:pPr>
      <w:r>
        <w:rPr>
          <w:sz w:val="32"/>
          <w:u w:val="single"/>
        </w:rPr>
        <w:tab/>
      </w:r>
      <w:r>
        <w:rPr>
          <w:rFonts w:ascii="Tahoma"/>
          <w:b/>
          <w:sz w:val="32"/>
          <w:u w:val="single"/>
        </w:rPr>
        <w:t>and</w:t>
      </w:r>
      <w:r>
        <w:rPr>
          <w:rFonts w:ascii="Tahoma"/>
          <w:b/>
          <w:spacing w:val="37"/>
          <w:sz w:val="32"/>
          <w:u w:val="single"/>
        </w:rPr>
        <w:t> </w:t>
      </w:r>
      <w:r>
        <w:rPr>
          <w:rFonts w:ascii="Tahoma"/>
          <w:b/>
          <w:spacing w:val="-2"/>
          <w:sz w:val="32"/>
          <w:u w:val="single"/>
        </w:rPr>
        <w:t>Authority</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94176">
                <wp:simplePos x="0" y="0"/>
                <wp:positionH relativeFrom="page">
                  <wp:posOffset>2057400</wp:posOffset>
                </wp:positionH>
                <wp:positionV relativeFrom="paragraph">
                  <wp:posOffset>60051</wp:posOffset>
                </wp:positionV>
                <wp:extent cx="3657600" cy="7620"/>
                <wp:effectExtent l="0" t="0" r="0" b="0"/>
                <wp:wrapTopAndBottom/>
                <wp:docPr id="575" name="Graphic 575"/>
                <wp:cNvGraphicFramePr>
                  <a:graphicFrameLocks/>
                </wp:cNvGraphicFramePr>
                <a:graphic>
                  <a:graphicData uri="http://schemas.microsoft.com/office/word/2010/wordprocessingShape">
                    <wps:wsp>
                      <wps:cNvPr id="575" name="Graphic 575"/>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56pt;width:288.000009pt;height:.59999pt;mso-position-horizontal-relative:page;mso-position-vertical-relative:paragraph;z-index:-15522304;mso-wrap-distance-left:0;mso-wrap-distance-right:0" id="docshape567"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41"/>
        <w:jc w:val="right"/>
        <w:rPr>
          <w:rFonts w:ascii="Times New Roman"/>
        </w:rPr>
      </w:pPr>
      <w:r>
        <w:rPr>
          <w:rFonts w:ascii="Times New Roman"/>
        </w:rPr>
        <w:t>V</w:t>
      </w:r>
      <w:r>
        <w:rPr>
          <w:rFonts w:ascii="Times New Roman"/>
          <w:spacing w:val="43"/>
        </w:rPr>
        <w:t> </w:t>
      </w:r>
      <w:r>
        <w:rPr>
          <w:rFonts w:ascii="Times New Roman"/>
        </w:rPr>
        <w:t>Ramya</w:t>
      </w:r>
      <w:r>
        <w:rPr>
          <w:rFonts w:ascii="Times New Roman"/>
          <w:spacing w:val="48"/>
        </w:rPr>
        <w:t> </w:t>
      </w:r>
      <w:r>
        <w:rPr>
          <w:rFonts w:ascii="Times New Roman"/>
          <w:spacing w:val="-2"/>
        </w:rPr>
        <w:t>Santoshi</w:t>
      </w:r>
    </w:p>
    <w:p>
      <w:pPr>
        <w:spacing w:before="15"/>
        <w:ind w:left="0" w:right="1438" w:firstLine="0"/>
        <w:jc w:val="right"/>
        <w:rPr>
          <w:i/>
          <w:sz w:val="19"/>
        </w:rPr>
      </w:pPr>
      <w:r>
        <w:rPr>
          <w:i/>
          <w:sz w:val="19"/>
        </w:rPr>
        <w:t>School</w:t>
      </w:r>
      <w:r>
        <w:rPr>
          <w:i/>
          <w:spacing w:val="61"/>
          <w:sz w:val="19"/>
        </w:rPr>
        <w:t> </w:t>
      </w:r>
      <w:r>
        <w:rPr>
          <w:i/>
          <w:sz w:val="19"/>
        </w:rPr>
        <w:t>Assistant</w:t>
      </w:r>
      <w:r>
        <w:rPr>
          <w:i/>
          <w:spacing w:val="62"/>
          <w:sz w:val="19"/>
        </w:rPr>
        <w:t> </w:t>
      </w:r>
      <w:r>
        <w:rPr>
          <w:i/>
          <w:sz w:val="19"/>
        </w:rPr>
        <w:t>-</w:t>
      </w:r>
      <w:r>
        <w:rPr>
          <w:i/>
          <w:spacing w:val="61"/>
          <w:sz w:val="19"/>
        </w:rPr>
        <w:t> </w:t>
      </w:r>
      <w:r>
        <w:rPr>
          <w:i/>
          <w:sz w:val="19"/>
        </w:rPr>
        <w:t>English,</w:t>
      </w:r>
      <w:r>
        <w:rPr>
          <w:i/>
          <w:spacing w:val="62"/>
          <w:sz w:val="19"/>
        </w:rPr>
        <w:t> </w:t>
      </w:r>
      <w:r>
        <w:rPr>
          <w:i/>
          <w:sz w:val="19"/>
        </w:rPr>
        <w:t>School</w:t>
      </w:r>
      <w:r>
        <w:rPr>
          <w:i/>
          <w:spacing w:val="66"/>
          <w:sz w:val="19"/>
        </w:rPr>
        <w:t> </w:t>
      </w:r>
      <w:r>
        <w:rPr>
          <w:i/>
          <w:sz w:val="19"/>
        </w:rPr>
        <w:t>of</w:t>
      </w:r>
      <w:r>
        <w:rPr>
          <w:i/>
          <w:spacing w:val="62"/>
          <w:sz w:val="19"/>
        </w:rPr>
        <w:t> </w:t>
      </w:r>
      <w:r>
        <w:rPr>
          <w:i/>
          <w:spacing w:val="-2"/>
          <w:sz w:val="19"/>
        </w:rPr>
        <w:t>Education</w:t>
      </w:r>
    </w:p>
    <w:p>
      <w:pPr>
        <w:pStyle w:val="BodyText"/>
        <w:spacing w:before="161"/>
        <w:ind w:left="0"/>
        <w:rPr>
          <w:i/>
          <w:sz w:val="19"/>
        </w:rPr>
      </w:pPr>
    </w:p>
    <w:p>
      <w:pPr>
        <w:pStyle w:val="Heading3"/>
        <w:spacing w:before="0"/>
      </w:pPr>
      <w:r>
        <w:rPr>
          <w:spacing w:val="-2"/>
        </w:rPr>
        <w:t>ABSTRACT:</w:t>
      </w:r>
    </w:p>
    <w:p>
      <w:pPr>
        <w:pStyle w:val="BodyText"/>
        <w:spacing w:line="271" w:lineRule="auto" w:before="87"/>
        <w:ind w:right="1437" w:firstLine="432"/>
        <w:jc w:val="both"/>
      </w:pPr>
      <w:r>
        <w:rPr/>
        <w:t>This article presents a perspective on the act of teaching the</w:t>
      </w:r>
      <w:r>
        <w:rPr>
          <w:spacing w:val="80"/>
        </w:rPr>
        <w:t> </w:t>
      </w:r>
      <w:r>
        <w:rPr/>
        <w:t>works of William Shakespeare. It proposes that the act of teaching Shakespeare is a form of critical pedagogy, “concerned with the intersection of gender, power and discourse”. Instead of seeing Shakespeare as an ‘authoritative’ writer and figurehead, this article proposes that teaching Shakespeare allows one to see his plays as sites of ongoing struggle over the construction, negotiation and resistance</w:t>
      </w:r>
      <w:r>
        <w:rPr>
          <w:spacing w:val="80"/>
        </w:rPr>
        <w:t> </w:t>
      </w:r>
      <w:r>
        <w:rPr/>
        <w:t>to, masculine power within patriarchal society. Using feminist theory, Foucault’s concept of power relations, the principles of psychoanalysis </w:t>
      </w:r>
      <w:r>
        <w:rPr>
          <w:spacing w:val="-2"/>
        </w:rPr>
        <w:t>and</w:t>
      </w:r>
      <w:r>
        <w:rPr>
          <w:spacing w:val="-11"/>
        </w:rPr>
        <w:t> </w:t>
      </w:r>
      <w:r>
        <w:rPr>
          <w:spacing w:val="-2"/>
        </w:rPr>
        <w:t>critical</w:t>
      </w:r>
      <w:r>
        <w:rPr>
          <w:spacing w:val="-10"/>
        </w:rPr>
        <w:t> </w:t>
      </w:r>
      <w:r>
        <w:rPr>
          <w:spacing w:val="-2"/>
        </w:rPr>
        <w:t>pedagogy</w:t>
      </w:r>
      <w:r>
        <w:rPr>
          <w:spacing w:val="-11"/>
        </w:rPr>
        <w:t> </w:t>
      </w:r>
      <w:r>
        <w:rPr>
          <w:spacing w:val="-2"/>
        </w:rPr>
        <w:t>as</w:t>
      </w:r>
      <w:r>
        <w:rPr>
          <w:spacing w:val="-10"/>
        </w:rPr>
        <w:t> </w:t>
      </w:r>
      <w:r>
        <w:rPr>
          <w:spacing w:val="-2"/>
        </w:rPr>
        <w:t>an</w:t>
      </w:r>
      <w:r>
        <w:rPr>
          <w:spacing w:val="-11"/>
        </w:rPr>
        <w:t> </w:t>
      </w:r>
      <w:r>
        <w:rPr>
          <w:spacing w:val="-2"/>
        </w:rPr>
        <w:t>analytical</w:t>
      </w:r>
      <w:r>
        <w:rPr>
          <w:spacing w:val="-10"/>
        </w:rPr>
        <w:t> </w:t>
      </w:r>
      <w:r>
        <w:rPr>
          <w:spacing w:val="-2"/>
        </w:rPr>
        <w:t>framework,</w:t>
      </w:r>
      <w:r>
        <w:rPr>
          <w:spacing w:val="-11"/>
        </w:rPr>
        <w:t> </w:t>
      </w:r>
      <w:r>
        <w:rPr>
          <w:spacing w:val="-2"/>
        </w:rPr>
        <w:t>this</w:t>
      </w:r>
      <w:r>
        <w:rPr>
          <w:spacing w:val="-10"/>
        </w:rPr>
        <w:t> </w:t>
      </w:r>
      <w:r>
        <w:rPr>
          <w:spacing w:val="-2"/>
        </w:rPr>
        <w:t>article</w:t>
      </w:r>
      <w:r>
        <w:rPr>
          <w:spacing w:val="-11"/>
        </w:rPr>
        <w:t> </w:t>
      </w:r>
      <w:r>
        <w:rPr>
          <w:spacing w:val="-2"/>
        </w:rPr>
        <w:t>demonstrates </w:t>
      </w:r>
      <w:r>
        <w:rPr/>
        <w:t>the ways in which many of Shakespeare’s female characters; Lady Macbeth, Cordelia, Cleopatra and Isabella, can be analyzed as sites of production and resistance to gendered subjectivity. Through the examination of these characters, this article demonstrates how teaching Shakespeare in this way creates a site of critical consciousness within the classroom and allows students to recognise how systems of domination</w:t>
      </w:r>
      <w:r>
        <w:rPr>
          <w:spacing w:val="-13"/>
        </w:rPr>
        <w:t> </w:t>
      </w:r>
      <w:r>
        <w:rPr/>
        <w:t>are</w:t>
      </w:r>
      <w:r>
        <w:rPr>
          <w:spacing w:val="-12"/>
        </w:rPr>
        <w:t> </w:t>
      </w:r>
      <w:r>
        <w:rPr/>
        <w:t>maintained</w:t>
      </w:r>
      <w:r>
        <w:rPr>
          <w:spacing w:val="-13"/>
        </w:rPr>
        <w:t> </w:t>
      </w:r>
      <w:r>
        <w:rPr/>
        <w:t>through</w:t>
      </w:r>
      <w:r>
        <w:rPr>
          <w:spacing w:val="-12"/>
        </w:rPr>
        <w:t> </w:t>
      </w:r>
      <w:r>
        <w:rPr/>
        <w:t>the</w:t>
      </w:r>
      <w:r>
        <w:rPr>
          <w:spacing w:val="-13"/>
        </w:rPr>
        <w:t> </w:t>
      </w:r>
      <w:r>
        <w:rPr/>
        <w:t>use</w:t>
      </w:r>
      <w:r>
        <w:rPr>
          <w:spacing w:val="-12"/>
        </w:rPr>
        <w:t> </w:t>
      </w:r>
      <w:r>
        <w:rPr/>
        <w:t>of</w:t>
      </w:r>
      <w:r>
        <w:rPr>
          <w:spacing w:val="-13"/>
        </w:rPr>
        <w:t> </w:t>
      </w:r>
      <w:r>
        <w:rPr/>
        <w:t>language,</w:t>
      </w:r>
      <w:r>
        <w:rPr>
          <w:spacing w:val="-12"/>
        </w:rPr>
        <w:t> </w:t>
      </w:r>
      <w:r>
        <w:rPr/>
        <w:t>silence,</w:t>
      </w:r>
      <w:r>
        <w:rPr>
          <w:spacing w:val="-13"/>
        </w:rPr>
        <w:t> </w:t>
      </w:r>
      <w:r>
        <w:rPr/>
        <w:t>morality and</w:t>
      </w:r>
      <w:r>
        <w:rPr>
          <w:spacing w:val="34"/>
        </w:rPr>
        <w:t>  </w:t>
      </w:r>
      <w:r>
        <w:rPr/>
        <w:t>representation.</w:t>
      </w:r>
      <w:r>
        <w:rPr>
          <w:spacing w:val="33"/>
        </w:rPr>
        <w:t>  </w:t>
      </w:r>
      <w:r>
        <w:rPr/>
        <w:t>Therefore,</w:t>
      </w:r>
      <w:r>
        <w:rPr>
          <w:spacing w:val="35"/>
        </w:rPr>
        <w:t>  </w:t>
      </w:r>
      <w:r>
        <w:rPr/>
        <w:t>through</w:t>
      </w:r>
      <w:r>
        <w:rPr>
          <w:spacing w:val="31"/>
        </w:rPr>
        <w:t>  </w:t>
      </w:r>
      <w:r>
        <w:rPr/>
        <w:t>this</w:t>
      </w:r>
      <w:r>
        <w:rPr>
          <w:spacing w:val="33"/>
        </w:rPr>
        <w:t>  </w:t>
      </w:r>
      <w:r>
        <w:rPr/>
        <w:t>study,</w:t>
      </w:r>
      <w:r>
        <w:rPr>
          <w:spacing w:val="35"/>
        </w:rPr>
        <w:t>  </w:t>
      </w:r>
      <w:r>
        <w:rPr/>
        <w:t>this</w:t>
      </w:r>
      <w:r>
        <w:rPr>
          <w:spacing w:val="33"/>
        </w:rPr>
        <w:t>  </w:t>
      </w:r>
      <w:r>
        <w:rPr>
          <w:spacing w:val="-2"/>
        </w:rPr>
        <w:t>article</w:t>
      </w:r>
    </w:p>
    <w:p>
      <w:pPr>
        <w:pStyle w:val="BodyText"/>
        <w:spacing w:after="0" w:line="271"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95200">
                <wp:simplePos x="0" y="0"/>
                <wp:positionH relativeFrom="page">
                  <wp:posOffset>2065020</wp:posOffset>
                </wp:positionH>
                <wp:positionV relativeFrom="paragraph">
                  <wp:posOffset>795020</wp:posOffset>
                </wp:positionV>
                <wp:extent cx="3657600" cy="12700"/>
                <wp:effectExtent l="0" t="0" r="0" b="0"/>
                <wp:wrapTopAndBottom/>
                <wp:docPr id="576" name="Graphic 576"/>
                <wp:cNvGraphicFramePr>
                  <a:graphicFrameLocks/>
                </wp:cNvGraphicFramePr>
                <a:graphic>
                  <a:graphicData uri="http://schemas.microsoft.com/office/word/2010/wordprocessingShape">
                    <wps:wsp>
                      <wps:cNvPr id="576" name="Graphic 57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21280;mso-wrap-distance-left:0;mso-wrap-distance-right:0" id="docshape568" filled="true" fillcolor="#000000" stroked="false">
                <v:fill type="solid"/>
                <w10:wrap type="topAndBottom"/>
              </v:rect>
            </w:pict>
          </mc:Fallback>
        </mc:AlternateContent>
      </w:r>
      <w:r>
        <w:rPr>
          <w:rFonts w:ascii="Verdana"/>
          <w:sz w:val="18"/>
        </w:rPr>
        <w:t>Teaching</w:t>
      </w:r>
      <w:r>
        <w:rPr>
          <w:rFonts w:ascii="Verdana"/>
          <w:spacing w:val="9"/>
          <w:sz w:val="18"/>
        </w:rPr>
        <w:t> </w:t>
      </w:r>
      <w:r>
        <w:rPr>
          <w:rFonts w:ascii="Verdana"/>
          <w:sz w:val="18"/>
        </w:rPr>
        <w:t>Gender</w:t>
      </w:r>
      <w:r>
        <w:rPr>
          <w:rFonts w:ascii="Verdana"/>
          <w:spacing w:val="12"/>
          <w:sz w:val="18"/>
        </w:rPr>
        <w:t> </w:t>
      </w:r>
      <w:r>
        <w:rPr>
          <w:rFonts w:ascii="Verdana"/>
          <w:sz w:val="18"/>
        </w:rPr>
        <w:t>and</w:t>
      </w:r>
      <w:r>
        <w:rPr>
          <w:rFonts w:ascii="Verdana"/>
          <w:spacing w:val="11"/>
          <w:sz w:val="18"/>
        </w:rPr>
        <w:t> </w:t>
      </w:r>
      <w:r>
        <w:rPr>
          <w:rFonts w:ascii="Verdana"/>
          <w:sz w:val="18"/>
        </w:rPr>
        <w:t>Power</w:t>
      </w:r>
      <w:r>
        <w:rPr>
          <w:rFonts w:ascii="Verdana"/>
          <w:spacing w:val="10"/>
          <w:sz w:val="18"/>
        </w:rPr>
        <w:t> </w:t>
      </w:r>
      <w:r>
        <w:rPr>
          <w:rFonts w:ascii="Verdana"/>
          <w:sz w:val="18"/>
        </w:rPr>
        <w:t>through</w:t>
      </w:r>
      <w:r>
        <w:rPr>
          <w:rFonts w:ascii="Verdana"/>
          <w:spacing w:val="13"/>
          <w:sz w:val="18"/>
        </w:rPr>
        <w:t> </w:t>
      </w:r>
      <w:r>
        <w:rPr>
          <w:rFonts w:ascii="Verdana"/>
          <w:spacing w:val="-2"/>
          <w:sz w:val="18"/>
        </w:rPr>
        <w:t>Shakespeare...</w:t>
      </w:r>
      <w:r>
        <w:rPr>
          <w:sz w:val="18"/>
        </w:rPr>
        <w:tab/>
      </w:r>
      <w:r>
        <w:rPr>
          <w:rFonts w:ascii="Verdana"/>
          <w:spacing w:val="-5"/>
          <w:sz w:val="18"/>
        </w:rPr>
        <w:t>275</w:t>
      </w:r>
    </w:p>
    <w:p>
      <w:pPr>
        <w:pStyle w:val="BodyText"/>
        <w:spacing w:line="271" w:lineRule="auto" w:before="204"/>
        <w:ind w:right="1438"/>
        <w:jc w:val="both"/>
      </w:pPr>
      <w:r>
        <w:rPr/>
        <w:t>demonstrates that the teaching of Shakespeare has the potential to extend</w:t>
      </w:r>
      <w:r>
        <w:rPr>
          <w:spacing w:val="-7"/>
        </w:rPr>
        <w:t> </w:t>
      </w:r>
      <w:r>
        <w:rPr/>
        <w:t>beyond</w:t>
      </w:r>
      <w:r>
        <w:rPr>
          <w:spacing w:val="-7"/>
        </w:rPr>
        <w:t> </w:t>
      </w:r>
      <w:r>
        <w:rPr/>
        <w:t>simple</w:t>
      </w:r>
      <w:r>
        <w:rPr>
          <w:spacing w:val="-8"/>
        </w:rPr>
        <w:t> </w:t>
      </w:r>
      <w:r>
        <w:rPr/>
        <w:t>literary</w:t>
      </w:r>
      <w:r>
        <w:rPr>
          <w:spacing w:val="-11"/>
        </w:rPr>
        <w:t> </w:t>
      </w:r>
      <w:r>
        <w:rPr/>
        <w:t>analysis</w:t>
      </w:r>
      <w:r>
        <w:rPr>
          <w:spacing w:val="-11"/>
        </w:rPr>
        <w:t> </w:t>
      </w:r>
      <w:r>
        <w:rPr/>
        <w:t>and</w:t>
      </w:r>
      <w:r>
        <w:rPr>
          <w:spacing w:val="-9"/>
        </w:rPr>
        <w:t> </w:t>
      </w:r>
      <w:r>
        <w:rPr/>
        <w:t>to</w:t>
      </w:r>
      <w:r>
        <w:rPr>
          <w:spacing w:val="-7"/>
        </w:rPr>
        <w:t> </w:t>
      </w:r>
      <w:r>
        <w:rPr/>
        <w:t>act</w:t>
      </w:r>
      <w:r>
        <w:rPr>
          <w:spacing w:val="-9"/>
        </w:rPr>
        <w:t> </w:t>
      </w:r>
      <w:r>
        <w:rPr/>
        <w:t>as</w:t>
      </w:r>
      <w:r>
        <w:rPr>
          <w:spacing w:val="-11"/>
        </w:rPr>
        <w:t> </w:t>
      </w:r>
      <w:r>
        <w:rPr/>
        <w:t>a</w:t>
      </w:r>
      <w:r>
        <w:rPr>
          <w:spacing w:val="-6"/>
        </w:rPr>
        <w:t> </w:t>
      </w:r>
      <w:r>
        <w:rPr/>
        <w:t>means</w:t>
      </w:r>
      <w:r>
        <w:rPr>
          <w:spacing w:val="-9"/>
        </w:rPr>
        <w:t> </w:t>
      </w:r>
      <w:r>
        <w:rPr/>
        <w:t>of</w:t>
      </w:r>
      <w:r>
        <w:rPr>
          <w:spacing w:val="-11"/>
        </w:rPr>
        <w:t> </w:t>
      </w:r>
      <w:r>
        <w:rPr/>
        <w:t>engaging in</w:t>
      </w:r>
      <w:r>
        <w:rPr>
          <w:spacing w:val="40"/>
        </w:rPr>
        <w:t> </w:t>
      </w:r>
      <w:r>
        <w:rPr/>
        <w:t>contemporary</w:t>
      </w:r>
      <w:r>
        <w:rPr>
          <w:spacing w:val="40"/>
        </w:rPr>
        <w:t> </w:t>
      </w:r>
      <w:r>
        <w:rPr/>
        <w:t>social</w:t>
      </w:r>
      <w:r>
        <w:rPr>
          <w:spacing w:val="40"/>
        </w:rPr>
        <w:t> </w:t>
      </w:r>
      <w:r>
        <w:rPr/>
        <w:t>debates</w:t>
      </w:r>
      <w:r>
        <w:rPr>
          <w:spacing w:val="40"/>
        </w:rPr>
        <w:t> </w:t>
      </w:r>
      <w:r>
        <w:rPr/>
        <w:t>about</w:t>
      </w:r>
      <w:r>
        <w:rPr>
          <w:spacing w:val="40"/>
        </w:rPr>
        <w:t> </w:t>
      </w:r>
      <w:r>
        <w:rPr/>
        <w:t>gender,</w:t>
      </w:r>
      <w:r>
        <w:rPr>
          <w:spacing w:val="40"/>
        </w:rPr>
        <w:t> </w:t>
      </w:r>
      <w:r>
        <w:rPr/>
        <w:t>agency</w:t>
      </w:r>
      <w:r>
        <w:rPr>
          <w:spacing w:val="40"/>
        </w:rPr>
        <w:t> </w:t>
      </w:r>
      <w:r>
        <w:rPr/>
        <w:t>and</w:t>
      </w:r>
      <w:r>
        <w:rPr>
          <w:spacing w:val="40"/>
        </w:rPr>
        <w:t> </w:t>
      </w:r>
      <w:r>
        <w:rPr/>
        <w:t>power.</w:t>
      </w:r>
    </w:p>
    <w:p>
      <w:pPr>
        <w:pStyle w:val="BodyText"/>
        <w:spacing w:line="249" w:lineRule="auto" w:before="46"/>
        <w:ind w:right="1439" w:firstLine="432"/>
        <w:jc w:val="both"/>
      </w:pPr>
      <w:r>
        <w:rPr>
          <w:b/>
        </w:rPr>
        <w:t>Key words: </w:t>
      </w:r>
      <w:r>
        <w:rPr/>
        <w:t>Gender Studies, Feminist Literary Criticism, Critical Pedagogy, Discourse Analysis, Psychoanalytic Theory, Gender Performativity, Patriarchy, Power Relations, Shakespearean Drama, Classroom</w:t>
      </w:r>
      <w:r>
        <w:rPr>
          <w:spacing w:val="40"/>
        </w:rPr>
        <w:t> </w:t>
      </w:r>
      <w:r>
        <w:rPr/>
        <w:t>Pedagogy</w:t>
      </w:r>
    </w:p>
    <w:p>
      <w:pPr>
        <w:pStyle w:val="Heading3"/>
        <w:numPr>
          <w:ilvl w:val="0"/>
          <w:numId w:val="62"/>
        </w:numPr>
        <w:tabs>
          <w:tab w:pos="1680" w:val="left" w:leader="none"/>
        </w:tabs>
        <w:spacing w:line="240" w:lineRule="auto" w:before="157" w:after="0"/>
        <w:ind w:left="1680" w:right="0" w:hanging="240"/>
        <w:jc w:val="left"/>
      </w:pPr>
      <w:r>
        <w:rPr>
          <w:spacing w:val="-2"/>
          <w:w w:val="95"/>
        </w:rPr>
        <w:t>INTRODUCTION:</w:t>
      </w:r>
    </w:p>
    <w:p>
      <w:pPr>
        <w:pStyle w:val="BodyText"/>
        <w:spacing w:line="264" w:lineRule="auto" w:before="82"/>
        <w:ind w:right="1437" w:firstLine="432"/>
        <w:jc w:val="both"/>
      </w:pPr>
      <w:r>
        <w:rPr/>
        <w:t>Due to the ongoing prominence of William Shakespeare in university education, important concerns arise about the aims and the politics</w:t>
      </w:r>
      <w:r>
        <w:rPr>
          <w:spacing w:val="-6"/>
        </w:rPr>
        <w:t> </w:t>
      </w:r>
      <w:r>
        <w:rPr/>
        <w:t>of</w:t>
      </w:r>
      <w:r>
        <w:rPr>
          <w:spacing w:val="-6"/>
        </w:rPr>
        <w:t> </w:t>
      </w:r>
      <w:r>
        <w:rPr/>
        <w:t>teaching</w:t>
      </w:r>
      <w:r>
        <w:rPr>
          <w:spacing w:val="-8"/>
        </w:rPr>
        <w:t> </w:t>
      </w:r>
      <w:r>
        <w:rPr/>
        <w:t>literature.</w:t>
      </w:r>
      <w:r>
        <w:rPr>
          <w:spacing w:val="-4"/>
        </w:rPr>
        <w:t> </w:t>
      </w:r>
      <w:r>
        <w:rPr/>
        <w:t>Many</w:t>
      </w:r>
      <w:r>
        <w:rPr>
          <w:spacing w:val="-8"/>
        </w:rPr>
        <w:t> </w:t>
      </w:r>
      <w:r>
        <w:rPr/>
        <w:t>classical</w:t>
      </w:r>
      <w:r>
        <w:rPr>
          <w:spacing w:val="-5"/>
        </w:rPr>
        <w:t> </w:t>
      </w:r>
      <w:r>
        <w:rPr/>
        <w:t>ways</w:t>
      </w:r>
      <w:r>
        <w:rPr>
          <w:spacing w:val="-8"/>
        </w:rPr>
        <w:t> </w:t>
      </w:r>
      <w:r>
        <w:rPr/>
        <w:t>of</w:t>
      </w:r>
      <w:r>
        <w:rPr>
          <w:spacing w:val="-6"/>
        </w:rPr>
        <w:t> </w:t>
      </w:r>
      <w:r>
        <w:rPr/>
        <w:t>teaching</w:t>
      </w:r>
      <w:r>
        <w:rPr>
          <w:spacing w:val="-6"/>
        </w:rPr>
        <w:t> </w:t>
      </w:r>
      <w:r>
        <w:rPr/>
        <w:t>literature </w:t>
      </w:r>
      <w:r>
        <w:rPr>
          <w:spacing w:val="-2"/>
        </w:rPr>
        <w:t>value</w:t>
      </w:r>
      <w:r>
        <w:rPr>
          <w:spacing w:val="-11"/>
        </w:rPr>
        <w:t> </w:t>
      </w:r>
      <w:r>
        <w:rPr>
          <w:spacing w:val="-2"/>
        </w:rPr>
        <w:t>reading</w:t>
      </w:r>
      <w:r>
        <w:rPr>
          <w:spacing w:val="-10"/>
        </w:rPr>
        <w:t> </w:t>
      </w:r>
      <w:r>
        <w:rPr>
          <w:spacing w:val="-2"/>
        </w:rPr>
        <w:t>for</w:t>
      </w:r>
      <w:r>
        <w:rPr>
          <w:spacing w:val="-11"/>
        </w:rPr>
        <w:t> </w:t>
      </w:r>
      <w:r>
        <w:rPr>
          <w:spacing w:val="-2"/>
        </w:rPr>
        <w:t>an</w:t>
      </w:r>
      <w:r>
        <w:rPr>
          <w:spacing w:val="-10"/>
        </w:rPr>
        <w:t> </w:t>
      </w:r>
      <w:r>
        <w:rPr>
          <w:spacing w:val="-2"/>
        </w:rPr>
        <w:t>appreciation</w:t>
      </w:r>
      <w:r>
        <w:rPr>
          <w:spacing w:val="-11"/>
        </w:rPr>
        <w:t> </w:t>
      </w:r>
      <w:r>
        <w:rPr>
          <w:spacing w:val="-2"/>
        </w:rPr>
        <w:t>of</w:t>
      </w:r>
      <w:r>
        <w:rPr>
          <w:spacing w:val="-10"/>
        </w:rPr>
        <w:t> </w:t>
      </w:r>
      <w:r>
        <w:rPr>
          <w:spacing w:val="-2"/>
        </w:rPr>
        <w:t>beauty,</w:t>
      </w:r>
      <w:r>
        <w:rPr>
          <w:spacing w:val="-10"/>
        </w:rPr>
        <w:t> </w:t>
      </w:r>
      <w:r>
        <w:rPr>
          <w:spacing w:val="-2"/>
        </w:rPr>
        <w:t>an</w:t>
      </w:r>
      <w:r>
        <w:rPr>
          <w:spacing w:val="-11"/>
        </w:rPr>
        <w:t> </w:t>
      </w:r>
      <w:r>
        <w:rPr>
          <w:spacing w:val="-2"/>
        </w:rPr>
        <w:t>understanding</w:t>
      </w:r>
      <w:r>
        <w:rPr>
          <w:spacing w:val="-8"/>
        </w:rPr>
        <w:t> </w:t>
      </w:r>
      <w:r>
        <w:rPr>
          <w:spacing w:val="-2"/>
        </w:rPr>
        <w:t>of</w:t>
      </w:r>
      <w:r>
        <w:rPr>
          <w:spacing w:val="-11"/>
        </w:rPr>
        <w:t> </w:t>
      </w:r>
      <w:r>
        <w:rPr>
          <w:spacing w:val="-2"/>
        </w:rPr>
        <w:t>language, </w:t>
      </w:r>
      <w:r>
        <w:rPr/>
        <w:t>and the respect for being part of the canon, where by doing so Shakespeare is separated from the social and political conditions that create and recreate his work. If this type of teaching is maintained, literature will act as an unchanging object of study as opposed to a changing area of social and ideological conflict. This paper seeks to provide a different way of teaching Shakespeare by focusing on the concept of “discourse,” as defined by Michel Foucault (1978), as a means</w:t>
      </w:r>
      <w:r>
        <w:rPr>
          <w:spacing w:val="-9"/>
        </w:rPr>
        <w:t> </w:t>
      </w:r>
      <w:r>
        <w:rPr/>
        <w:t>of</w:t>
      </w:r>
      <w:r>
        <w:rPr>
          <w:spacing w:val="-9"/>
        </w:rPr>
        <w:t> </w:t>
      </w:r>
      <w:r>
        <w:rPr/>
        <w:t>creating</w:t>
      </w:r>
      <w:r>
        <w:rPr>
          <w:spacing w:val="-7"/>
        </w:rPr>
        <w:t> </w:t>
      </w:r>
      <w:r>
        <w:rPr/>
        <w:t>knowledge,</w:t>
      </w:r>
      <w:r>
        <w:rPr>
          <w:spacing w:val="-9"/>
        </w:rPr>
        <w:t> </w:t>
      </w:r>
      <w:r>
        <w:rPr/>
        <w:t>defining</w:t>
      </w:r>
      <w:r>
        <w:rPr>
          <w:spacing w:val="-9"/>
        </w:rPr>
        <w:t> </w:t>
      </w:r>
      <w:r>
        <w:rPr/>
        <w:t>what</w:t>
      </w:r>
      <w:r>
        <w:rPr>
          <w:spacing w:val="-9"/>
        </w:rPr>
        <w:t> </w:t>
      </w:r>
      <w:r>
        <w:rPr/>
        <w:t>is</w:t>
      </w:r>
      <w:r>
        <w:rPr>
          <w:spacing w:val="-9"/>
        </w:rPr>
        <w:t> </w:t>
      </w:r>
      <w:r>
        <w:rPr/>
        <w:t>true,</w:t>
      </w:r>
      <w:r>
        <w:rPr>
          <w:spacing w:val="-5"/>
        </w:rPr>
        <w:t> </w:t>
      </w:r>
      <w:r>
        <w:rPr/>
        <w:t>and</w:t>
      </w:r>
      <w:r>
        <w:rPr>
          <w:spacing w:val="-7"/>
        </w:rPr>
        <w:t> </w:t>
      </w:r>
      <w:r>
        <w:rPr/>
        <w:t>determining</w:t>
      </w:r>
      <w:r>
        <w:rPr>
          <w:spacing w:val="-9"/>
        </w:rPr>
        <w:t> </w:t>
      </w:r>
      <w:r>
        <w:rPr/>
        <w:t>the character of the people who comprise a culture. When reading Shakespeare’s work in this manner, we see that through his plays, gendered</w:t>
      </w:r>
      <w:r>
        <w:rPr>
          <w:spacing w:val="-13"/>
        </w:rPr>
        <w:t> </w:t>
      </w:r>
      <w:r>
        <w:rPr/>
        <w:t>identities</w:t>
      </w:r>
      <w:r>
        <w:rPr>
          <w:spacing w:val="-12"/>
        </w:rPr>
        <w:t> </w:t>
      </w:r>
      <w:r>
        <w:rPr/>
        <w:t>are</w:t>
      </w:r>
      <w:r>
        <w:rPr>
          <w:spacing w:val="-13"/>
        </w:rPr>
        <w:t> </w:t>
      </w:r>
      <w:r>
        <w:rPr/>
        <w:t>produced</w:t>
      </w:r>
      <w:r>
        <w:rPr>
          <w:spacing w:val="-12"/>
        </w:rPr>
        <w:t> </w:t>
      </w:r>
      <w:r>
        <w:rPr/>
        <w:t>and</w:t>
      </w:r>
      <w:r>
        <w:rPr>
          <w:spacing w:val="-13"/>
        </w:rPr>
        <w:t> </w:t>
      </w:r>
      <w:r>
        <w:rPr/>
        <w:t>normalized;</w:t>
      </w:r>
      <w:r>
        <w:rPr>
          <w:spacing w:val="-12"/>
        </w:rPr>
        <w:t> </w:t>
      </w:r>
      <w:r>
        <w:rPr/>
        <w:t>thus,</w:t>
      </w:r>
      <w:r>
        <w:rPr>
          <w:spacing w:val="-13"/>
        </w:rPr>
        <w:t> </w:t>
      </w:r>
      <w:r>
        <w:rPr/>
        <w:t>female</w:t>
      </w:r>
      <w:r>
        <w:rPr>
          <w:spacing w:val="-12"/>
        </w:rPr>
        <w:t> </w:t>
      </w:r>
      <w:r>
        <w:rPr/>
        <w:t>characters should be regarded not only as players of a narrative but also as places within which power is exerted or resisted.</w:t>
      </w:r>
    </w:p>
    <w:p>
      <w:pPr>
        <w:pStyle w:val="BodyText"/>
        <w:spacing w:line="264" w:lineRule="auto" w:before="44"/>
        <w:ind w:right="1438" w:firstLine="432"/>
        <w:jc w:val="both"/>
      </w:pPr>
      <w:r>
        <w:rPr/>
        <w:t>In Judith Butler’s (1990) view, gender is not an essential </w:t>
      </w:r>
      <w:r>
        <w:rPr>
          <w:spacing w:val="-2"/>
        </w:rPr>
        <w:t>characteristic;</w:t>
      </w:r>
      <w:r>
        <w:rPr>
          <w:spacing w:val="-3"/>
        </w:rPr>
        <w:t> </w:t>
      </w:r>
      <w:r>
        <w:rPr>
          <w:spacing w:val="-2"/>
        </w:rPr>
        <w:t>instead, it</w:t>
      </w:r>
      <w:r>
        <w:rPr>
          <w:spacing w:val="-5"/>
        </w:rPr>
        <w:t> </w:t>
      </w:r>
      <w:r>
        <w:rPr>
          <w:spacing w:val="-2"/>
        </w:rPr>
        <w:t>is</w:t>
      </w:r>
      <w:r>
        <w:rPr>
          <w:spacing w:val="-3"/>
        </w:rPr>
        <w:t> </w:t>
      </w:r>
      <w:r>
        <w:rPr>
          <w:spacing w:val="-2"/>
        </w:rPr>
        <w:t>a performative effect</w:t>
      </w:r>
      <w:r>
        <w:rPr>
          <w:spacing w:val="-3"/>
        </w:rPr>
        <w:t> </w:t>
      </w:r>
      <w:r>
        <w:rPr>
          <w:spacing w:val="-2"/>
        </w:rPr>
        <w:t>that</w:t>
      </w:r>
      <w:r>
        <w:rPr>
          <w:spacing w:val="-5"/>
        </w:rPr>
        <w:t> </w:t>
      </w:r>
      <w:r>
        <w:rPr>
          <w:spacing w:val="-2"/>
        </w:rPr>
        <w:t>arises</w:t>
      </w:r>
      <w:r>
        <w:rPr>
          <w:spacing w:val="-3"/>
        </w:rPr>
        <w:t> </w:t>
      </w:r>
      <w:r>
        <w:rPr>
          <w:spacing w:val="-2"/>
        </w:rPr>
        <w:t>from</w:t>
      </w:r>
      <w:r>
        <w:rPr>
          <w:spacing w:val="-4"/>
        </w:rPr>
        <w:t> </w:t>
      </w:r>
      <w:r>
        <w:rPr>
          <w:spacing w:val="-2"/>
        </w:rPr>
        <w:t>repeated </w:t>
      </w:r>
      <w:r>
        <w:rPr/>
        <w:t>and learned social practices. Re-reading classic texts, such as those written by Shakespeare, as representing the women characters as performative subjects who are restricted by the power of discourse rather than as static representations of femininity, then provides an opportunity to rethink and rewrite (theoretically) the way we read and understand those characters. The author believes that integrating these </w:t>
      </w:r>
      <w:r>
        <w:rPr>
          <w:spacing w:val="-2"/>
        </w:rPr>
        <w:t>perspectives</w:t>
      </w:r>
      <w:r>
        <w:rPr>
          <w:spacing w:val="-5"/>
        </w:rPr>
        <w:t> </w:t>
      </w:r>
      <w:r>
        <w:rPr>
          <w:spacing w:val="-2"/>
        </w:rPr>
        <w:t>into a teaching</w:t>
      </w:r>
      <w:r>
        <w:rPr>
          <w:spacing w:val="-7"/>
        </w:rPr>
        <w:t> </w:t>
      </w:r>
      <w:r>
        <w:rPr>
          <w:spacing w:val="-2"/>
        </w:rPr>
        <w:t>framework</w:t>
      </w:r>
      <w:r>
        <w:rPr>
          <w:spacing w:val="-5"/>
        </w:rPr>
        <w:t> </w:t>
      </w:r>
      <w:r>
        <w:rPr>
          <w:spacing w:val="-2"/>
        </w:rPr>
        <w:t>developed by</w:t>
      </w:r>
      <w:r>
        <w:rPr>
          <w:spacing w:val="-10"/>
        </w:rPr>
        <w:t> </w:t>
      </w:r>
      <w:r>
        <w:rPr>
          <w:spacing w:val="-2"/>
        </w:rPr>
        <w:t>Paulo Freire</w:t>
      </w:r>
      <w:r>
        <w:rPr>
          <w:spacing w:val="-5"/>
        </w:rPr>
        <w:t> </w:t>
      </w:r>
      <w:r>
        <w:rPr>
          <w:spacing w:val="-2"/>
        </w:rPr>
        <w:t>(1970) </w:t>
      </w:r>
      <w:r>
        <w:rPr/>
        <w:t>can allow students to critically look at how gender and power operate</w:t>
      </w:r>
      <w:r>
        <w:rPr>
          <w:spacing w:val="40"/>
        </w:rPr>
        <w:t> </w:t>
      </w:r>
      <w:r>
        <w:rPr/>
        <w:t>in both the text and their own lives, transforming the teaching of Shakespeare</w:t>
      </w:r>
      <w:r>
        <w:rPr>
          <w:spacing w:val="40"/>
        </w:rPr>
        <w:t> </w:t>
      </w:r>
      <w:r>
        <w:rPr/>
        <w:t>into</w:t>
      </w:r>
      <w:r>
        <w:rPr>
          <w:spacing w:val="40"/>
        </w:rPr>
        <w:t> </w:t>
      </w:r>
      <w:r>
        <w:rPr/>
        <w:t>a</w:t>
      </w:r>
      <w:r>
        <w:rPr>
          <w:spacing w:val="40"/>
        </w:rPr>
        <w:t> </w:t>
      </w:r>
      <w:r>
        <w:rPr/>
        <w:t>more</w:t>
      </w:r>
      <w:r>
        <w:rPr>
          <w:spacing w:val="40"/>
        </w:rPr>
        <w:t> </w:t>
      </w:r>
      <w:r>
        <w:rPr/>
        <w:t>meaningful</w:t>
      </w:r>
      <w:r>
        <w:rPr>
          <w:spacing w:val="40"/>
        </w:rPr>
        <w:t> </w:t>
      </w:r>
      <w:r>
        <w:rPr/>
        <w:t>and</w:t>
      </w:r>
      <w:r>
        <w:rPr>
          <w:spacing w:val="40"/>
        </w:rPr>
        <w:t> </w:t>
      </w:r>
      <w:r>
        <w:rPr/>
        <w:t>productive</w:t>
      </w:r>
      <w:r>
        <w:rPr>
          <w:spacing w:val="40"/>
        </w:rPr>
        <w:t> </w:t>
      </w:r>
      <w:r>
        <w:rPr/>
        <w:t>endeavour.</w:t>
      </w:r>
    </w:p>
    <w:p>
      <w:pPr>
        <w:pStyle w:val="BodyText"/>
        <w:spacing w:after="0" w:line="264"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0" w:right="1031" w:firstLine="0"/>
        <w:jc w:val="center"/>
        <w:rPr>
          <w:rFonts w:ascii="Verdana"/>
          <w:sz w:val="18"/>
        </w:rPr>
      </w:pPr>
      <w:r>
        <w:rPr>
          <w:rFonts w:ascii="Verdana"/>
          <w:sz w:val="18"/>
        </w:rPr>
        <mc:AlternateContent>
          <mc:Choice Requires="wps">
            <w:drawing>
              <wp:anchor distT="0" distB="0" distL="0" distR="0" allowOverlap="1" layoutInCell="1" locked="0" behindDoc="0" simplePos="0" relativeHeight="15936512">
                <wp:simplePos x="0" y="0"/>
                <wp:positionH relativeFrom="page">
                  <wp:posOffset>2057400</wp:posOffset>
                </wp:positionH>
                <wp:positionV relativeFrom="paragraph">
                  <wp:posOffset>226097</wp:posOffset>
                </wp:positionV>
                <wp:extent cx="3657600" cy="12700"/>
                <wp:effectExtent l="0" t="0" r="0" b="0"/>
                <wp:wrapNone/>
                <wp:docPr id="577" name="Graphic 577"/>
                <wp:cNvGraphicFramePr>
                  <a:graphicFrameLocks/>
                </wp:cNvGraphicFramePr>
                <a:graphic>
                  <a:graphicData uri="http://schemas.microsoft.com/office/word/2010/wordprocessingShape">
                    <wps:wsp>
                      <wps:cNvPr id="577" name="Graphic 57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5936512" id="docshape569" filled="true" fillcolor="#000000" stroked="false">
                <v:fill type="solid"/>
                <w10:wrap type="none"/>
              </v:rect>
            </w:pict>
          </mc:Fallback>
        </mc:AlternateContent>
      </w:r>
      <w:r>
        <w:rPr>
          <w:rFonts w:ascii="Verdana"/>
          <w:spacing w:val="-5"/>
          <w:w w:val="95"/>
          <w:sz w:val="18"/>
        </w:rPr>
        <w:t>276</w:t>
      </w:r>
    </w:p>
    <w:p>
      <w:pPr>
        <w:pStyle w:val="BodyText"/>
        <w:spacing w:before="10"/>
        <w:ind w:left="0"/>
        <w:rPr>
          <w:rFonts w:ascii="Verdana"/>
          <w:sz w:val="18"/>
        </w:rPr>
      </w:pPr>
    </w:p>
    <w:p>
      <w:pPr>
        <w:pStyle w:val="Heading3"/>
        <w:numPr>
          <w:ilvl w:val="0"/>
          <w:numId w:val="62"/>
        </w:numPr>
        <w:tabs>
          <w:tab w:pos="1713" w:val="left" w:leader="none"/>
        </w:tabs>
        <w:spacing w:line="240" w:lineRule="auto" w:before="1" w:after="0"/>
        <w:ind w:left="1713" w:right="0" w:hanging="273"/>
        <w:jc w:val="left"/>
      </w:pPr>
      <w:r>
        <w:rPr>
          <w:w w:val="90"/>
        </w:rPr>
        <w:t>REVIEW</w:t>
      </w:r>
      <w:r>
        <w:rPr>
          <w:spacing w:val="-1"/>
          <w:w w:val="90"/>
        </w:rPr>
        <w:t> </w:t>
      </w:r>
      <w:r>
        <w:rPr>
          <w:w w:val="90"/>
        </w:rPr>
        <w:t>OF</w:t>
      </w:r>
      <w:r>
        <w:rPr>
          <w:spacing w:val="-7"/>
        </w:rPr>
        <w:t> </w:t>
      </w:r>
      <w:r>
        <w:rPr>
          <w:spacing w:val="-2"/>
          <w:w w:val="80"/>
        </w:rPr>
        <w:t>LITERATURE:</w:t>
      </w:r>
    </w:p>
    <w:p>
      <w:pPr>
        <w:spacing w:before="100"/>
        <w:ind w:left="53"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4227" w:space="40"/>
            <w:col w:w="4373"/>
          </w:cols>
        </w:sectPr>
      </w:pPr>
    </w:p>
    <w:p>
      <w:pPr>
        <w:pStyle w:val="BodyText"/>
        <w:spacing w:line="249" w:lineRule="auto" w:before="75"/>
        <w:ind w:right="1438" w:firstLine="432"/>
        <w:jc w:val="both"/>
      </w:pPr>
      <w:r>
        <w:rPr/>
        <w:t>Feminist scholarship has historically examined how women are represented</w:t>
      </w:r>
      <w:r>
        <w:rPr>
          <w:spacing w:val="-3"/>
        </w:rPr>
        <w:t> </w:t>
      </w:r>
      <w:r>
        <w:rPr/>
        <w:t>in</w:t>
      </w:r>
      <w:r>
        <w:rPr>
          <w:spacing w:val="-6"/>
        </w:rPr>
        <w:t> </w:t>
      </w:r>
      <w:r>
        <w:rPr/>
        <w:t>Shakespearean</w:t>
      </w:r>
      <w:r>
        <w:rPr>
          <w:spacing w:val="-4"/>
        </w:rPr>
        <w:t> </w:t>
      </w:r>
      <w:r>
        <w:rPr/>
        <w:t>literature.</w:t>
      </w:r>
      <w:r>
        <w:rPr>
          <w:spacing w:val="-3"/>
        </w:rPr>
        <w:t> </w:t>
      </w:r>
      <w:r>
        <w:rPr/>
        <w:t>Elaine</w:t>
      </w:r>
      <w:r>
        <w:rPr>
          <w:spacing w:val="-2"/>
        </w:rPr>
        <w:t> </w:t>
      </w:r>
      <w:r>
        <w:rPr/>
        <w:t>Showalter</w:t>
      </w:r>
      <w:r>
        <w:rPr>
          <w:spacing w:val="-3"/>
        </w:rPr>
        <w:t> </w:t>
      </w:r>
      <w:r>
        <w:rPr/>
        <w:t>(1985)</w:t>
      </w:r>
      <w:r>
        <w:rPr>
          <w:spacing w:val="-3"/>
        </w:rPr>
        <w:t> </w:t>
      </w:r>
      <w:r>
        <w:rPr/>
        <w:t>places the female characters into the framework of culture, developing and restricting</w:t>
      </w:r>
      <w:r>
        <w:rPr>
          <w:spacing w:val="-2"/>
        </w:rPr>
        <w:t> </w:t>
      </w:r>
      <w:r>
        <w:rPr/>
        <w:t>their identity. She focuses on how</w:t>
      </w:r>
      <w:r>
        <w:rPr>
          <w:spacing w:val="-4"/>
        </w:rPr>
        <w:t> </w:t>
      </w:r>
      <w:r>
        <w:rPr/>
        <w:t>their voices</w:t>
      </w:r>
      <w:r>
        <w:rPr>
          <w:spacing w:val="-2"/>
        </w:rPr>
        <w:t> </w:t>
      </w:r>
      <w:r>
        <w:rPr/>
        <w:t>are shaped by the patriarchal expectations of their culture and reinforces the notion that women are not represented as individuals, but as products of the cultural</w:t>
      </w:r>
      <w:r>
        <w:rPr>
          <w:spacing w:val="-12"/>
        </w:rPr>
        <w:t> </w:t>
      </w:r>
      <w:r>
        <w:rPr/>
        <w:t>ideologies.</w:t>
      </w:r>
      <w:r>
        <w:rPr>
          <w:spacing w:val="-10"/>
        </w:rPr>
        <w:t> </w:t>
      </w:r>
      <w:r>
        <w:rPr/>
        <w:t>In</w:t>
      </w:r>
      <w:r>
        <w:rPr>
          <w:spacing w:val="-13"/>
        </w:rPr>
        <w:t> </w:t>
      </w:r>
      <w:r>
        <w:rPr/>
        <w:t>her</w:t>
      </w:r>
      <w:r>
        <w:rPr>
          <w:spacing w:val="-7"/>
        </w:rPr>
        <w:t> </w:t>
      </w:r>
      <w:r>
        <w:rPr/>
        <w:t>work,</w:t>
      </w:r>
      <w:r>
        <w:rPr>
          <w:spacing w:val="-10"/>
        </w:rPr>
        <w:t> </w:t>
      </w:r>
      <w:r>
        <w:rPr/>
        <w:t>bell</w:t>
      </w:r>
      <w:r>
        <w:rPr>
          <w:spacing w:val="-11"/>
        </w:rPr>
        <w:t> </w:t>
      </w:r>
      <w:r>
        <w:rPr/>
        <w:t>hooks</w:t>
      </w:r>
      <w:r>
        <w:rPr>
          <w:spacing w:val="-10"/>
        </w:rPr>
        <w:t> </w:t>
      </w:r>
      <w:r>
        <w:rPr/>
        <w:t>(2000)</w:t>
      </w:r>
      <w:r>
        <w:rPr>
          <w:spacing w:val="-10"/>
        </w:rPr>
        <w:t> </w:t>
      </w:r>
      <w:r>
        <w:rPr/>
        <w:t>builds</w:t>
      </w:r>
      <w:r>
        <w:rPr>
          <w:spacing w:val="-10"/>
        </w:rPr>
        <w:t> </w:t>
      </w:r>
      <w:r>
        <w:rPr/>
        <w:t>on</w:t>
      </w:r>
      <w:r>
        <w:rPr>
          <w:spacing w:val="-11"/>
        </w:rPr>
        <w:t> </w:t>
      </w:r>
      <w:r>
        <w:rPr/>
        <w:t>Showalter’s critique of women in Shakespeare by conceptualizing patriarchy as a controlling structure that creates normalized patterns of domination. The</w:t>
      </w:r>
      <w:r>
        <w:rPr>
          <w:spacing w:val="35"/>
        </w:rPr>
        <w:t> </w:t>
      </w:r>
      <w:r>
        <w:rPr/>
        <w:t>focus</w:t>
      </w:r>
      <w:r>
        <w:rPr>
          <w:spacing w:val="31"/>
        </w:rPr>
        <w:t> </w:t>
      </w:r>
      <w:r>
        <w:rPr/>
        <w:t>on</w:t>
      </w:r>
      <w:r>
        <w:rPr>
          <w:spacing w:val="32"/>
        </w:rPr>
        <w:t> </w:t>
      </w:r>
      <w:r>
        <w:rPr/>
        <w:t>the</w:t>
      </w:r>
      <w:r>
        <w:rPr>
          <w:spacing w:val="33"/>
        </w:rPr>
        <w:t> </w:t>
      </w:r>
      <w:r>
        <w:rPr/>
        <w:t>voice</w:t>
      </w:r>
      <w:r>
        <w:rPr>
          <w:spacing w:val="33"/>
        </w:rPr>
        <w:t> </w:t>
      </w:r>
      <w:r>
        <w:rPr/>
        <w:t>and</w:t>
      </w:r>
      <w:r>
        <w:rPr>
          <w:spacing w:val="32"/>
        </w:rPr>
        <w:t> </w:t>
      </w:r>
      <w:r>
        <w:rPr/>
        <w:t>resistance</w:t>
      </w:r>
      <w:r>
        <w:rPr>
          <w:spacing w:val="33"/>
        </w:rPr>
        <w:t> </w:t>
      </w:r>
      <w:r>
        <w:rPr/>
        <w:t>to</w:t>
      </w:r>
      <w:r>
        <w:rPr>
          <w:spacing w:val="36"/>
        </w:rPr>
        <w:t> </w:t>
      </w:r>
      <w:r>
        <w:rPr/>
        <w:t>oppression</w:t>
      </w:r>
      <w:r>
        <w:rPr>
          <w:spacing w:val="31"/>
        </w:rPr>
        <w:t> </w:t>
      </w:r>
      <w:r>
        <w:rPr/>
        <w:t>can</w:t>
      </w:r>
      <w:r>
        <w:rPr>
          <w:spacing w:val="32"/>
        </w:rPr>
        <w:t> </w:t>
      </w:r>
      <w:r>
        <w:rPr/>
        <w:t>be</w:t>
      </w:r>
      <w:r>
        <w:rPr>
          <w:spacing w:val="31"/>
        </w:rPr>
        <w:t> </w:t>
      </w:r>
      <w:r>
        <w:rPr/>
        <w:t>used</w:t>
      </w:r>
      <w:r>
        <w:rPr>
          <w:spacing w:val="34"/>
        </w:rPr>
        <w:t> </w:t>
      </w:r>
      <w:r>
        <w:rPr/>
        <w:t>as </w:t>
      </w:r>
      <w:r>
        <w:rPr>
          <w:spacing w:val="-2"/>
        </w:rPr>
        <w:t>a</w:t>
      </w:r>
      <w:r>
        <w:rPr>
          <w:spacing w:val="-6"/>
        </w:rPr>
        <w:t> </w:t>
      </w:r>
      <w:r>
        <w:rPr>
          <w:spacing w:val="-2"/>
        </w:rPr>
        <w:t>framework</w:t>
      </w:r>
      <w:r>
        <w:rPr>
          <w:spacing w:val="-7"/>
        </w:rPr>
        <w:t> </w:t>
      </w:r>
      <w:r>
        <w:rPr>
          <w:spacing w:val="-2"/>
        </w:rPr>
        <w:t>to</w:t>
      </w:r>
      <w:r>
        <w:rPr>
          <w:spacing w:val="-3"/>
        </w:rPr>
        <w:t> </w:t>
      </w:r>
      <w:r>
        <w:rPr>
          <w:spacing w:val="-2"/>
        </w:rPr>
        <w:t>examine</w:t>
      </w:r>
      <w:r>
        <w:rPr>
          <w:spacing w:val="-6"/>
        </w:rPr>
        <w:t> </w:t>
      </w:r>
      <w:r>
        <w:rPr>
          <w:spacing w:val="-2"/>
        </w:rPr>
        <w:t>how</w:t>
      </w:r>
      <w:r>
        <w:rPr>
          <w:spacing w:val="-10"/>
        </w:rPr>
        <w:t> </w:t>
      </w:r>
      <w:r>
        <w:rPr>
          <w:spacing w:val="-2"/>
        </w:rPr>
        <w:t>women</w:t>
      </w:r>
      <w:r>
        <w:rPr>
          <w:spacing w:val="-7"/>
        </w:rPr>
        <w:t> </w:t>
      </w:r>
      <w:r>
        <w:rPr>
          <w:spacing w:val="-2"/>
        </w:rPr>
        <w:t>in</w:t>
      </w:r>
      <w:r>
        <w:rPr>
          <w:spacing w:val="-7"/>
        </w:rPr>
        <w:t> </w:t>
      </w:r>
      <w:r>
        <w:rPr>
          <w:spacing w:val="-2"/>
        </w:rPr>
        <w:t>the</w:t>
      </w:r>
      <w:r>
        <w:rPr>
          <w:spacing w:val="-6"/>
        </w:rPr>
        <w:t> </w:t>
      </w:r>
      <w:r>
        <w:rPr>
          <w:spacing w:val="-2"/>
        </w:rPr>
        <w:t>plays</w:t>
      </w:r>
      <w:r>
        <w:rPr>
          <w:spacing w:val="-5"/>
        </w:rPr>
        <w:t> </w:t>
      </w:r>
      <w:r>
        <w:rPr>
          <w:spacing w:val="-2"/>
        </w:rPr>
        <w:t>of</w:t>
      </w:r>
      <w:r>
        <w:rPr>
          <w:spacing w:val="-7"/>
        </w:rPr>
        <w:t> </w:t>
      </w:r>
      <w:r>
        <w:rPr>
          <w:spacing w:val="-2"/>
        </w:rPr>
        <w:t>Shakespeare</w:t>
      </w:r>
      <w:r>
        <w:rPr>
          <w:spacing w:val="-6"/>
        </w:rPr>
        <w:t> </w:t>
      </w:r>
      <w:r>
        <w:rPr>
          <w:spacing w:val="-2"/>
        </w:rPr>
        <w:t>respond </w:t>
      </w:r>
      <w:r>
        <w:rPr/>
        <w:t>to</w:t>
      </w:r>
      <w:r>
        <w:rPr>
          <w:spacing w:val="-8"/>
        </w:rPr>
        <w:t> </w:t>
      </w:r>
      <w:r>
        <w:rPr/>
        <w:t>systems</w:t>
      </w:r>
      <w:r>
        <w:rPr>
          <w:spacing w:val="-8"/>
        </w:rPr>
        <w:t> </w:t>
      </w:r>
      <w:r>
        <w:rPr/>
        <w:t>of</w:t>
      </w:r>
      <w:r>
        <w:rPr>
          <w:spacing w:val="-9"/>
        </w:rPr>
        <w:t> </w:t>
      </w:r>
      <w:r>
        <w:rPr/>
        <w:t>oppression</w:t>
      </w:r>
      <w:r>
        <w:rPr>
          <w:spacing w:val="-8"/>
        </w:rPr>
        <w:t> </w:t>
      </w:r>
      <w:r>
        <w:rPr/>
        <w:t>that</w:t>
      </w:r>
      <w:r>
        <w:rPr>
          <w:spacing w:val="-9"/>
        </w:rPr>
        <w:t> </w:t>
      </w:r>
      <w:r>
        <w:rPr/>
        <w:t>attempt</w:t>
      </w:r>
      <w:r>
        <w:rPr>
          <w:spacing w:val="-7"/>
        </w:rPr>
        <w:t> </w:t>
      </w:r>
      <w:r>
        <w:rPr/>
        <w:t>to</w:t>
      </w:r>
      <w:r>
        <w:rPr>
          <w:spacing w:val="-8"/>
        </w:rPr>
        <w:t> </w:t>
      </w:r>
      <w:r>
        <w:rPr/>
        <w:t>silence</w:t>
      </w:r>
      <w:r>
        <w:rPr>
          <w:spacing w:val="-7"/>
        </w:rPr>
        <w:t> </w:t>
      </w:r>
      <w:r>
        <w:rPr/>
        <w:t>them.</w:t>
      </w:r>
      <w:r>
        <w:rPr>
          <w:spacing w:val="-8"/>
        </w:rPr>
        <w:t> </w:t>
      </w:r>
      <w:r>
        <w:rPr/>
        <w:t>Michel</w:t>
      </w:r>
      <w:r>
        <w:rPr>
          <w:spacing w:val="-6"/>
        </w:rPr>
        <w:t> </w:t>
      </w:r>
      <w:r>
        <w:rPr/>
        <w:t>Foucault’s contribution</w:t>
      </w:r>
      <w:r>
        <w:rPr>
          <w:spacing w:val="-7"/>
        </w:rPr>
        <w:t> </w:t>
      </w:r>
      <w:r>
        <w:rPr/>
        <w:t>was</w:t>
      </w:r>
      <w:r>
        <w:rPr>
          <w:spacing w:val="-6"/>
        </w:rPr>
        <w:t> </w:t>
      </w:r>
      <w:r>
        <w:rPr/>
        <w:t>to</w:t>
      </w:r>
      <w:r>
        <w:rPr>
          <w:spacing w:val="-6"/>
        </w:rPr>
        <w:t> </w:t>
      </w:r>
      <w:r>
        <w:rPr/>
        <w:t>redefine</w:t>
      </w:r>
      <w:r>
        <w:rPr>
          <w:spacing w:val="-7"/>
        </w:rPr>
        <w:t> </w:t>
      </w:r>
      <w:r>
        <w:rPr/>
        <w:t>power</w:t>
      </w:r>
      <w:r>
        <w:rPr>
          <w:spacing w:val="-6"/>
        </w:rPr>
        <w:t> </w:t>
      </w:r>
      <w:r>
        <w:rPr/>
        <w:t>as</w:t>
      </w:r>
      <w:r>
        <w:rPr>
          <w:spacing w:val="-6"/>
        </w:rPr>
        <w:t> </w:t>
      </w:r>
      <w:r>
        <w:rPr/>
        <w:t>diffused</w:t>
      </w:r>
      <w:r>
        <w:rPr>
          <w:spacing w:val="-6"/>
        </w:rPr>
        <w:t> </w:t>
      </w:r>
      <w:r>
        <w:rPr/>
        <w:t>and</w:t>
      </w:r>
      <w:r>
        <w:rPr>
          <w:spacing w:val="-6"/>
        </w:rPr>
        <w:t> </w:t>
      </w:r>
      <w:r>
        <w:rPr/>
        <w:t>relational</w:t>
      </w:r>
      <w:r>
        <w:rPr>
          <w:spacing w:val="-5"/>
        </w:rPr>
        <w:t> </w:t>
      </w:r>
      <w:r>
        <w:rPr/>
        <w:t>rather</w:t>
      </w:r>
      <w:r>
        <w:rPr>
          <w:spacing w:val="-6"/>
        </w:rPr>
        <w:t> </w:t>
      </w:r>
      <w:r>
        <w:rPr/>
        <w:t>than </w:t>
      </w:r>
      <w:r>
        <w:rPr>
          <w:spacing w:val="-2"/>
        </w:rPr>
        <w:t>centralized</w:t>
      </w:r>
      <w:r>
        <w:rPr>
          <w:spacing w:val="-6"/>
        </w:rPr>
        <w:t> </w:t>
      </w:r>
      <w:r>
        <w:rPr>
          <w:spacing w:val="-2"/>
        </w:rPr>
        <w:t>(1978).</w:t>
      </w:r>
      <w:r>
        <w:rPr>
          <w:spacing w:val="-6"/>
        </w:rPr>
        <w:t> </w:t>
      </w:r>
      <w:r>
        <w:rPr>
          <w:spacing w:val="-2"/>
        </w:rPr>
        <w:t>Foucault</w:t>
      </w:r>
      <w:r>
        <w:rPr>
          <w:spacing w:val="-10"/>
        </w:rPr>
        <w:t> </w:t>
      </w:r>
      <w:r>
        <w:rPr>
          <w:spacing w:val="-2"/>
        </w:rPr>
        <w:t>allows</w:t>
      </w:r>
      <w:r>
        <w:rPr>
          <w:spacing w:val="-8"/>
        </w:rPr>
        <w:t> </w:t>
      </w:r>
      <w:r>
        <w:rPr>
          <w:spacing w:val="-2"/>
        </w:rPr>
        <w:t>for</w:t>
      </w:r>
      <w:r>
        <w:rPr>
          <w:spacing w:val="-6"/>
        </w:rPr>
        <w:t> </w:t>
      </w:r>
      <w:r>
        <w:rPr>
          <w:spacing w:val="-2"/>
        </w:rPr>
        <w:t>a</w:t>
      </w:r>
      <w:r>
        <w:rPr>
          <w:spacing w:val="-6"/>
        </w:rPr>
        <w:t> </w:t>
      </w:r>
      <w:r>
        <w:rPr>
          <w:spacing w:val="-2"/>
        </w:rPr>
        <w:t>reading</w:t>
      </w:r>
      <w:r>
        <w:rPr>
          <w:spacing w:val="-8"/>
        </w:rPr>
        <w:t> </w:t>
      </w:r>
      <w:r>
        <w:rPr>
          <w:spacing w:val="-2"/>
        </w:rPr>
        <w:t>of</w:t>
      </w:r>
      <w:r>
        <w:rPr>
          <w:spacing w:val="-10"/>
        </w:rPr>
        <w:t> </w:t>
      </w:r>
      <w:r>
        <w:rPr>
          <w:spacing w:val="-2"/>
        </w:rPr>
        <w:t>Shakespeare</w:t>
      </w:r>
      <w:r>
        <w:rPr>
          <w:spacing w:val="-6"/>
        </w:rPr>
        <w:t> </w:t>
      </w:r>
      <w:r>
        <w:rPr>
          <w:spacing w:val="-2"/>
        </w:rPr>
        <w:t>in</w:t>
      </w:r>
      <w:r>
        <w:rPr>
          <w:spacing w:val="-8"/>
        </w:rPr>
        <w:t> </w:t>
      </w:r>
      <w:r>
        <w:rPr>
          <w:spacing w:val="-2"/>
        </w:rPr>
        <w:t>which </w:t>
      </w:r>
      <w:r>
        <w:rPr/>
        <w:t>the nature of power is disbursed through discourse; that is, power is enacted through both language and silence and the ability of an individual</w:t>
      </w:r>
      <w:r>
        <w:rPr>
          <w:spacing w:val="40"/>
        </w:rPr>
        <w:t> </w:t>
      </w:r>
      <w:r>
        <w:rPr/>
        <w:t>to</w:t>
      </w:r>
      <w:r>
        <w:rPr>
          <w:spacing w:val="40"/>
        </w:rPr>
        <w:t> </w:t>
      </w:r>
      <w:r>
        <w:rPr/>
        <w:t>be</w:t>
      </w:r>
      <w:r>
        <w:rPr>
          <w:spacing w:val="40"/>
        </w:rPr>
        <w:t> </w:t>
      </w:r>
      <w:r>
        <w:rPr/>
        <w:t>authorized</w:t>
      </w:r>
      <w:r>
        <w:rPr>
          <w:spacing w:val="40"/>
        </w:rPr>
        <w:t> </w:t>
      </w:r>
      <w:r>
        <w:rPr/>
        <w:t>and</w:t>
      </w:r>
      <w:r>
        <w:rPr>
          <w:spacing w:val="40"/>
        </w:rPr>
        <w:t> </w:t>
      </w:r>
      <w:r>
        <w:rPr/>
        <w:t>recognized</w:t>
      </w:r>
      <w:r>
        <w:rPr>
          <w:spacing w:val="40"/>
        </w:rPr>
        <w:t> </w:t>
      </w:r>
      <w:r>
        <w:rPr/>
        <w:t>as</w:t>
      </w:r>
      <w:r>
        <w:rPr>
          <w:spacing w:val="40"/>
        </w:rPr>
        <w:t> </w:t>
      </w:r>
      <w:r>
        <w:rPr/>
        <w:t>a</w:t>
      </w:r>
      <w:r>
        <w:rPr>
          <w:spacing w:val="40"/>
        </w:rPr>
        <w:t> </w:t>
      </w:r>
      <w:r>
        <w:rPr/>
        <w:t>speaker.</w:t>
      </w:r>
    </w:p>
    <w:p>
      <w:pPr>
        <w:pStyle w:val="BodyText"/>
        <w:spacing w:line="249" w:lineRule="auto" w:before="71"/>
        <w:ind w:right="1440" w:firstLine="432"/>
        <w:jc w:val="both"/>
      </w:pPr>
      <w:r>
        <w:rPr/>
        <w:t>From a pedagogical perspective Freire, Paulo states, “ Education to become critical conscious is to enable learners to problematize the existing dominant ideologies.” Applying this understanding to Shakespeare allows the classroom to become a site in which literature can</w:t>
      </w:r>
      <w:r>
        <w:rPr>
          <w:spacing w:val="40"/>
        </w:rPr>
        <w:t> </w:t>
      </w:r>
      <w:r>
        <w:rPr/>
        <w:t>be</w:t>
      </w:r>
      <w:r>
        <w:rPr>
          <w:spacing w:val="40"/>
        </w:rPr>
        <w:t> </w:t>
      </w:r>
      <w:r>
        <w:rPr/>
        <w:t>used</w:t>
      </w:r>
      <w:r>
        <w:rPr>
          <w:spacing w:val="40"/>
        </w:rPr>
        <w:t> </w:t>
      </w:r>
      <w:r>
        <w:rPr/>
        <w:t>as</w:t>
      </w:r>
      <w:r>
        <w:rPr>
          <w:spacing w:val="40"/>
        </w:rPr>
        <w:t> </w:t>
      </w:r>
      <w:r>
        <w:rPr/>
        <w:t>an</w:t>
      </w:r>
      <w:r>
        <w:rPr>
          <w:spacing w:val="40"/>
        </w:rPr>
        <w:t> </w:t>
      </w:r>
      <w:r>
        <w:rPr/>
        <w:t>instrument</w:t>
      </w:r>
      <w:r>
        <w:rPr>
          <w:spacing w:val="40"/>
        </w:rPr>
        <w:t> </w:t>
      </w:r>
      <w:r>
        <w:rPr/>
        <w:t>to</w:t>
      </w:r>
      <w:r>
        <w:rPr>
          <w:spacing w:val="40"/>
        </w:rPr>
        <w:t> </w:t>
      </w:r>
      <w:r>
        <w:rPr/>
        <w:t>deconstruct</w:t>
      </w:r>
      <w:r>
        <w:rPr>
          <w:spacing w:val="40"/>
        </w:rPr>
        <w:t> </w:t>
      </w:r>
      <w:r>
        <w:rPr/>
        <w:t>the</w:t>
      </w:r>
      <w:r>
        <w:rPr>
          <w:spacing w:val="40"/>
        </w:rPr>
        <w:t> </w:t>
      </w:r>
      <w:r>
        <w:rPr/>
        <w:t>social</w:t>
      </w:r>
      <w:r>
        <w:rPr>
          <w:spacing w:val="40"/>
        </w:rPr>
        <w:t> </w:t>
      </w:r>
      <w:r>
        <w:rPr/>
        <w:t>order.</w:t>
      </w:r>
    </w:p>
    <w:p>
      <w:pPr>
        <w:pStyle w:val="Heading3"/>
        <w:numPr>
          <w:ilvl w:val="0"/>
          <w:numId w:val="62"/>
        </w:numPr>
        <w:tabs>
          <w:tab w:pos="1696" w:val="left" w:leader="none"/>
        </w:tabs>
        <w:spacing w:line="240" w:lineRule="auto" w:before="158" w:after="0"/>
        <w:ind w:left="1696" w:right="0" w:hanging="256"/>
        <w:jc w:val="left"/>
      </w:pPr>
      <w:r>
        <w:rPr>
          <w:w w:val="85"/>
        </w:rPr>
        <w:t>THEORETICAL</w:t>
      </w:r>
      <w:r>
        <w:rPr>
          <w:spacing w:val="24"/>
        </w:rPr>
        <w:t> </w:t>
      </w:r>
      <w:r>
        <w:rPr>
          <w:spacing w:val="-2"/>
          <w:w w:val="95"/>
        </w:rPr>
        <w:t>FRAMEWORK:</w:t>
      </w:r>
    </w:p>
    <w:p>
      <w:pPr>
        <w:pStyle w:val="BodyText"/>
        <w:spacing w:line="249" w:lineRule="auto" w:before="78"/>
        <w:ind w:right="1438" w:firstLine="511"/>
        <w:jc w:val="both"/>
      </w:pPr>
      <w:r>
        <w:rPr/>
        <w:t>This study utilizes four conceptual frameworks; feminist theory (Showalter, hooks), Foucault’s discursive approach (Foucault; 1978), </w:t>
      </w:r>
      <w:r>
        <w:rPr>
          <w:spacing w:val="-2"/>
        </w:rPr>
        <w:t>psychoanalytic theory</w:t>
      </w:r>
      <w:r>
        <w:rPr>
          <w:spacing w:val="-9"/>
        </w:rPr>
        <w:t> </w:t>
      </w:r>
      <w:r>
        <w:rPr>
          <w:spacing w:val="-2"/>
        </w:rPr>
        <w:t>(Freud,</w:t>
      </w:r>
      <w:r>
        <w:rPr>
          <w:spacing w:val="-4"/>
        </w:rPr>
        <w:t> </w:t>
      </w:r>
      <w:r>
        <w:rPr>
          <w:spacing w:val="-2"/>
        </w:rPr>
        <w:t>1917/1957),</w:t>
      </w:r>
      <w:r>
        <w:rPr>
          <w:spacing w:val="-6"/>
        </w:rPr>
        <w:t> </w:t>
      </w:r>
      <w:r>
        <w:rPr>
          <w:spacing w:val="-2"/>
        </w:rPr>
        <w:t>and</w:t>
      </w:r>
      <w:r>
        <w:rPr>
          <w:spacing w:val="-4"/>
        </w:rPr>
        <w:t> </w:t>
      </w:r>
      <w:r>
        <w:rPr>
          <w:spacing w:val="-2"/>
        </w:rPr>
        <w:t>Critical</w:t>
      </w:r>
      <w:r>
        <w:rPr>
          <w:spacing w:val="-9"/>
        </w:rPr>
        <w:t> </w:t>
      </w:r>
      <w:r>
        <w:rPr>
          <w:spacing w:val="-2"/>
        </w:rPr>
        <w:t>Pedagogy</w:t>
      </w:r>
      <w:r>
        <w:rPr>
          <w:spacing w:val="-6"/>
        </w:rPr>
        <w:t> </w:t>
      </w:r>
      <w:r>
        <w:rPr>
          <w:spacing w:val="-2"/>
        </w:rPr>
        <w:t>(Freire, </w:t>
      </w:r>
      <w:r>
        <w:rPr/>
        <w:t>1970). When used collectively, they all serve as a vehicle to transition analysis</w:t>
      </w:r>
      <w:r>
        <w:rPr>
          <w:spacing w:val="24"/>
        </w:rPr>
        <w:t> </w:t>
      </w:r>
      <w:r>
        <w:rPr/>
        <w:t>from</w:t>
      </w:r>
      <w:r>
        <w:rPr>
          <w:spacing w:val="22"/>
        </w:rPr>
        <w:t> </w:t>
      </w:r>
      <w:r>
        <w:rPr/>
        <w:t>merely</w:t>
      </w:r>
      <w:r>
        <w:rPr>
          <w:spacing w:val="23"/>
        </w:rPr>
        <w:t> </w:t>
      </w:r>
      <w:r>
        <w:rPr/>
        <w:t>representation</w:t>
      </w:r>
      <w:r>
        <w:rPr>
          <w:spacing w:val="23"/>
        </w:rPr>
        <w:t> </w:t>
      </w:r>
      <w:r>
        <w:rPr/>
        <w:t>to</w:t>
      </w:r>
      <w:r>
        <w:rPr>
          <w:spacing w:val="26"/>
        </w:rPr>
        <w:t> </w:t>
      </w:r>
      <w:r>
        <w:rPr/>
        <w:t>the</w:t>
      </w:r>
      <w:r>
        <w:rPr>
          <w:spacing w:val="26"/>
        </w:rPr>
        <w:t> </w:t>
      </w:r>
      <w:r>
        <w:rPr/>
        <w:t>production</w:t>
      </w:r>
      <w:r>
        <w:rPr>
          <w:spacing w:val="25"/>
        </w:rPr>
        <w:t> </w:t>
      </w:r>
      <w:r>
        <w:rPr/>
        <w:t>of</w:t>
      </w:r>
      <w:r>
        <w:rPr>
          <w:spacing w:val="25"/>
        </w:rPr>
        <w:t> </w:t>
      </w:r>
      <w:r>
        <w:rPr>
          <w:spacing w:val="-2"/>
        </w:rPr>
        <w:t>subjectivity.</w:t>
      </w:r>
    </w:p>
    <w:p>
      <w:pPr>
        <w:pStyle w:val="Heading3"/>
        <w:numPr>
          <w:ilvl w:val="0"/>
          <w:numId w:val="62"/>
        </w:numPr>
        <w:tabs>
          <w:tab w:pos="1703" w:val="left" w:leader="none"/>
        </w:tabs>
        <w:spacing w:line="240" w:lineRule="auto" w:before="157" w:after="0"/>
        <w:ind w:left="1703" w:right="0" w:hanging="263"/>
        <w:jc w:val="left"/>
      </w:pPr>
      <w:r>
        <w:rPr>
          <w:spacing w:val="-2"/>
        </w:rPr>
        <w:t>METHODOLOGY</w:t>
      </w:r>
    </w:p>
    <w:p>
      <w:pPr>
        <w:pStyle w:val="BodyText"/>
        <w:spacing w:line="249" w:lineRule="auto" w:before="76"/>
        <w:ind w:right="1438" w:firstLine="432"/>
        <w:jc w:val="both"/>
      </w:pPr>
      <w:r>
        <w:rPr/>
        <w:t>In this study, I use a qualitative, interpretive method that relies heavily on a close reading of selected William Shakespeare plays. Characters will be considered as constructs of discourse, with their speech, silence, and emotional </w:t>
      </w:r>
      <w:r>
        <w:rPr>
          <w:spacing w:val="9"/>
        </w:rPr>
        <w:t>expression</w:t>
      </w:r>
      <w:r>
        <w:rPr>
          <w:spacing w:val="9"/>
        </w:rPr>
        <w:t> </w:t>
      </w:r>
      <w:r>
        <w:rPr/>
        <w:t>being analyzed as representations of power. There is also an educational dimension to the analysis which looks at how these representations can help to create opportunities for critical engagement</w:t>
      </w:r>
      <w:r>
        <w:rPr>
          <w:spacing w:val="40"/>
        </w:rPr>
        <w:t> </w:t>
      </w:r>
      <w:r>
        <w:rPr/>
        <w:t>within the classroom.</w:t>
      </w:r>
    </w:p>
    <w:p>
      <w:pPr>
        <w:pStyle w:val="BodyText"/>
        <w:spacing w:after="0" w:line="249" w:lineRule="auto"/>
        <w:jc w:val="both"/>
        <w:sectPr>
          <w:type w:val="continuous"/>
          <w:pgSz w:w="12240" w:h="15840"/>
          <w:pgMar w:top="138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96224">
                <wp:simplePos x="0" y="0"/>
                <wp:positionH relativeFrom="page">
                  <wp:posOffset>2065020</wp:posOffset>
                </wp:positionH>
                <wp:positionV relativeFrom="paragraph">
                  <wp:posOffset>162604</wp:posOffset>
                </wp:positionV>
                <wp:extent cx="3657600" cy="12700"/>
                <wp:effectExtent l="0" t="0" r="0" b="0"/>
                <wp:wrapTopAndBottom/>
                <wp:docPr id="578" name="Graphic 578"/>
                <wp:cNvGraphicFramePr>
                  <a:graphicFrameLocks/>
                </wp:cNvGraphicFramePr>
                <a:graphic>
                  <a:graphicData uri="http://schemas.microsoft.com/office/word/2010/wordprocessingShape">
                    <wps:wsp>
                      <wps:cNvPr id="578" name="Graphic 57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20256;mso-wrap-distance-left:0;mso-wrap-distance-right:0" id="docshape570" filled="true" fillcolor="#000000" stroked="false">
                <v:fill type="solid"/>
                <w10:wrap type="topAndBottom"/>
              </v:rect>
            </w:pict>
          </mc:Fallback>
        </mc:AlternateContent>
      </w:r>
      <w:r>
        <w:rPr>
          <w:rFonts w:ascii="Verdana"/>
          <w:sz w:val="18"/>
        </w:rPr>
        <w:t>Teaching</w:t>
      </w:r>
      <w:r>
        <w:rPr>
          <w:rFonts w:ascii="Verdana"/>
          <w:spacing w:val="9"/>
          <w:sz w:val="18"/>
        </w:rPr>
        <w:t> </w:t>
      </w:r>
      <w:r>
        <w:rPr>
          <w:rFonts w:ascii="Verdana"/>
          <w:sz w:val="18"/>
        </w:rPr>
        <w:t>Gender</w:t>
      </w:r>
      <w:r>
        <w:rPr>
          <w:rFonts w:ascii="Verdana"/>
          <w:spacing w:val="12"/>
          <w:sz w:val="18"/>
        </w:rPr>
        <w:t> </w:t>
      </w:r>
      <w:r>
        <w:rPr>
          <w:rFonts w:ascii="Verdana"/>
          <w:sz w:val="18"/>
        </w:rPr>
        <w:t>and</w:t>
      </w:r>
      <w:r>
        <w:rPr>
          <w:rFonts w:ascii="Verdana"/>
          <w:spacing w:val="11"/>
          <w:sz w:val="18"/>
        </w:rPr>
        <w:t> </w:t>
      </w:r>
      <w:r>
        <w:rPr>
          <w:rFonts w:ascii="Verdana"/>
          <w:sz w:val="18"/>
        </w:rPr>
        <w:t>Power</w:t>
      </w:r>
      <w:r>
        <w:rPr>
          <w:rFonts w:ascii="Verdana"/>
          <w:spacing w:val="10"/>
          <w:sz w:val="18"/>
        </w:rPr>
        <w:t> </w:t>
      </w:r>
      <w:r>
        <w:rPr>
          <w:rFonts w:ascii="Verdana"/>
          <w:sz w:val="18"/>
        </w:rPr>
        <w:t>through</w:t>
      </w:r>
      <w:r>
        <w:rPr>
          <w:rFonts w:ascii="Verdana"/>
          <w:spacing w:val="13"/>
          <w:sz w:val="18"/>
        </w:rPr>
        <w:t> </w:t>
      </w:r>
      <w:r>
        <w:rPr>
          <w:rFonts w:ascii="Verdana"/>
          <w:spacing w:val="-2"/>
          <w:sz w:val="18"/>
        </w:rPr>
        <w:t>Shakespeare...</w:t>
      </w:r>
      <w:r>
        <w:rPr>
          <w:sz w:val="18"/>
        </w:rPr>
        <w:tab/>
      </w:r>
      <w:r>
        <w:rPr>
          <w:rFonts w:ascii="Verdana"/>
          <w:spacing w:val="-5"/>
          <w:sz w:val="18"/>
        </w:rPr>
        <w:t>277</w:t>
      </w:r>
    </w:p>
    <w:p>
      <w:pPr>
        <w:pStyle w:val="Heading3"/>
        <w:numPr>
          <w:ilvl w:val="0"/>
          <w:numId w:val="62"/>
        </w:numPr>
        <w:tabs>
          <w:tab w:pos="1731" w:val="left" w:leader="none"/>
        </w:tabs>
        <w:spacing w:line="240" w:lineRule="auto" w:before="173" w:after="0"/>
        <w:ind w:left="1440" w:right="1447" w:firstLine="0"/>
        <w:jc w:val="left"/>
      </w:pPr>
      <w:r>
        <w:rPr>
          <w:w w:val="90"/>
        </w:rPr>
        <w:t>ANALYSIS:</w:t>
      </w:r>
      <w:r>
        <w:rPr/>
        <w:t> </w:t>
      </w:r>
      <w:r>
        <w:rPr>
          <w:w w:val="90"/>
        </w:rPr>
        <w:t>CHARACTERS</w:t>
      </w:r>
      <w:r>
        <w:rPr/>
        <w:t> </w:t>
      </w:r>
      <w:r>
        <w:rPr>
          <w:w w:val="90"/>
        </w:rPr>
        <w:t>AS</w:t>
      </w:r>
      <w:r>
        <w:rPr/>
        <w:t> </w:t>
      </w:r>
      <w:r>
        <w:rPr>
          <w:w w:val="90"/>
        </w:rPr>
        <w:t>DISCURSIVE</w:t>
      </w:r>
      <w:r>
        <w:rPr/>
        <w:t> </w:t>
      </w:r>
      <w:r>
        <w:rPr>
          <w:w w:val="90"/>
        </w:rPr>
        <w:t>SITES</w:t>
      </w:r>
      <w:r>
        <w:rPr/>
        <w:t> </w:t>
      </w:r>
      <w:r>
        <w:rPr>
          <w:w w:val="90"/>
        </w:rPr>
        <w:t>OF </w:t>
      </w:r>
      <w:r>
        <w:rPr/>
        <w:t>GENDERED</w:t>
      </w:r>
      <w:r>
        <w:rPr>
          <w:spacing w:val="-11"/>
        </w:rPr>
        <w:t> </w:t>
      </w:r>
      <w:r>
        <w:rPr/>
        <w:t>POWER</w:t>
      </w:r>
    </w:p>
    <w:p>
      <w:pPr>
        <w:pStyle w:val="Heading5"/>
        <w:numPr>
          <w:ilvl w:val="1"/>
          <w:numId w:val="62"/>
        </w:numPr>
        <w:tabs>
          <w:tab w:pos="1864" w:val="left" w:leader="none"/>
        </w:tabs>
        <w:spacing w:line="244" w:lineRule="auto" w:before="123" w:after="0"/>
        <w:ind w:left="1440" w:right="1443" w:firstLine="0"/>
        <w:jc w:val="left"/>
      </w:pPr>
      <w:r>
        <w:rPr/>
        <w:t>Lady</w:t>
      </w:r>
      <w:r>
        <w:rPr>
          <w:spacing w:val="40"/>
        </w:rPr>
        <w:t> </w:t>
      </w:r>
      <w:r>
        <w:rPr/>
        <w:t>Macbeth:</w:t>
      </w:r>
      <w:r>
        <w:rPr>
          <w:spacing w:val="40"/>
        </w:rPr>
        <w:t> </w:t>
      </w:r>
      <w:r>
        <w:rPr/>
        <w:t>The</w:t>
      </w:r>
      <w:r>
        <w:rPr>
          <w:spacing w:val="40"/>
        </w:rPr>
        <w:t> </w:t>
      </w:r>
      <w:r>
        <w:rPr/>
        <w:t>Internalization</w:t>
      </w:r>
      <w:r>
        <w:rPr>
          <w:spacing w:val="40"/>
        </w:rPr>
        <w:t> </w:t>
      </w:r>
      <w:r>
        <w:rPr/>
        <w:t>of</w:t>
      </w:r>
      <w:r>
        <w:rPr>
          <w:spacing w:val="40"/>
        </w:rPr>
        <w:t> </w:t>
      </w:r>
      <w:r>
        <w:rPr/>
        <w:t>Patriarchal</w:t>
      </w:r>
      <w:r>
        <w:rPr>
          <w:spacing w:val="80"/>
        </w:rPr>
        <w:t> </w:t>
      </w:r>
      <w:r>
        <w:rPr>
          <w:spacing w:val="-2"/>
        </w:rPr>
        <w:t>Power</w:t>
      </w:r>
    </w:p>
    <w:p>
      <w:pPr>
        <w:pStyle w:val="BodyText"/>
        <w:spacing w:line="249" w:lineRule="auto" w:before="68"/>
        <w:ind w:right="1436" w:firstLine="432"/>
        <w:jc w:val="both"/>
      </w:pPr>
      <w:r>
        <w:rPr/>
        <w:t>Lady Macbeth’s desire to “unsex” herself is often considered a way for her to assert control over her life, but when viewed from a Foucauldian perspective, it shows the acceptance of a narrative that associates male dominance with power. She does not create a new power structure; rather she operates within the confines of the existing one.</w:t>
      </w:r>
      <w:r>
        <w:rPr>
          <w:spacing w:val="-1"/>
        </w:rPr>
        <w:t> </w:t>
      </w:r>
      <w:r>
        <w:rPr/>
        <w:t>On</w:t>
      </w:r>
      <w:r>
        <w:rPr>
          <w:spacing w:val="-1"/>
        </w:rPr>
        <w:t> </w:t>
      </w:r>
      <w:r>
        <w:rPr/>
        <w:t>an</w:t>
      </w:r>
      <w:r>
        <w:rPr>
          <w:spacing w:val="-3"/>
        </w:rPr>
        <w:t> </w:t>
      </w:r>
      <w:r>
        <w:rPr/>
        <w:t>individual level,</w:t>
      </w:r>
      <w:r>
        <w:rPr>
          <w:spacing w:val="-1"/>
        </w:rPr>
        <w:t> </w:t>
      </w:r>
      <w:r>
        <w:rPr/>
        <w:t>this idea</w:t>
      </w:r>
      <w:r>
        <w:rPr>
          <w:spacing w:val="-3"/>
        </w:rPr>
        <w:t> </w:t>
      </w:r>
      <w:r>
        <w:rPr/>
        <w:t>can</w:t>
      </w:r>
      <w:r>
        <w:rPr>
          <w:spacing w:val="-1"/>
        </w:rPr>
        <w:t> </w:t>
      </w:r>
      <w:r>
        <w:rPr/>
        <w:t>be</w:t>
      </w:r>
      <w:r>
        <w:rPr>
          <w:spacing w:val="-3"/>
        </w:rPr>
        <w:t> </w:t>
      </w:r>
      <w:r>
        <w:rPr/>
        <w:t>quite disturbing</w:t>
      </w:r>
      <w:r>
        <w:rPr>
          <w:spacing w:val="-3"/>
        </w:rPr>
        <w:t> </w:t>
      </w:r>
      <w:r>
        <w:rPr/>
        <w:t>as</w:t>
      </w:r>
      <w:r>
        <w:rPr>
          <w:spacing w:val="-1"/>
        </w:rPr>
        <w:t> </w:t>
      </w:r>
      <w:r>
        <w:rPr/>
        <w:t>it</w:t>
      </w:r>
      <w:r>
        <w:rPr>
          <w:spacing w:val="-1"/>
        </w:rPr>
        <w:t> </w:t>
      </w:r>
      <w:r>
        <w:rPr/>
        <w:t>seems to</w:t>
      </w:r>
      <w:r>
        <w:rPr>
          <w:spacing w:val="-1"/>
        </w:rPr>
        <w:t> </w:t>
      </w:r>
      <w:r>
        <w:rPr/>
        <w:t>indicate that</w:t>
      </w:r>
      <w:r>
        <w:rPr>
          <w:spacing w:val="-3"/>
        </w:rPr>
        <w:t> </w:t>
      </w:r>
      <w:r>
        <w:rPr/>
        <w:t>female empowerment</w:t>
      </w:r>
      <w:r>
        <w:rPr>
          <w:spacing w:val="-3"/>
        </w:rPr>
        <w:t> </w:t>
      </w:r>
      <w:r>
        <w:rPr/>
        <w:t>in</w:t>
      </w:r>
      <w:r>
        <w:rPr>
          <w:spacing w:val="-1"/>
        </w:rPr>
        <w:t> </w:t>
      </w:r>
      <w:r>
        <w:rPr/>
        <w:t>male-dominated</w:t>
      </w:r>
      <w:r>
        <w:rPr>
          <w:spacing w:val="-3"/>
        </w:rPr>
        <w:t> </w:t>
      </w:r>
      <w:r>
        <w:rPr/>
        <w:t>societies</w:t>
      </w:r>
      <w:r>
        <w:rPr>
          <w:spacing w:val="-1"/>
        </w:rPr>
        <w:t> </w:t>
      </w:r>
      <w:r>
        <w:rPr/>
        <w:t>often requires women to give up their identity. One way to view</w:t>
      </w:r>
      <w:r>
        <w:rPr>
          <w:spacing w:val="-2"/>
        </w:rPr>
        <w:t> </w:t>
      </w:r>
      <w:r>
        <w:rPr/>
        <w:t>her ultimate </w:t>
      </w:r>
      <w:r>
        <w:rPr>
          <w:spacing w:val="-2"/>
        </w:rPr>
        <w:t>mental</w:t>
      </w:r>
      <w:r>
        <w:rPr>
          <w:spacing w:val="-11"/>
        </w:rPr>
        <w:t> </w:t>
      </w:r>
      <w:r>
        <w:rPr>
          <w:spacing w:val="-2"/>
        </w:rPr>
        <w:t>breakdown</w:t>
      </w:r>
      <w:r>
        <w:rPr>
          <w:spacing w:val="-10"/>
        </w:rPr>
        <w:t> </w:t>
      </w:r>
      <w:r>
        <w:rPr>
          <w:spacing w:val="-2"/>
        </w:rPr>
        <w:t>is</w:t>
      </w:r>
      <w:r>
        <w:rPr>
          <w:spacing w:val="-11"/>
        </w:rPr>
        <w:t> </w:t>
      </w:r>
      <w:r>
        <w:rPr>
          <w:spacing w:val="-2"/>
        </w:rPr>
        <w:t>as</w:t>
      </w:r>
      <w:r>
        <w:rPr>
          <w:spacing w:val="-8"/>
        </w:rPr>
        <w:t> </w:t>
      </w:r>
      <w:r>
        <w:rPr>
          <w:spacing w:val="-2"/>
        </w:rPr>
        <w:t>an</w:t>
      </w:r>
      <w:r>
        <w:rPr>
          <w:spacing w:val="-9"/>
        </w:rPr>
        <w:t> </w:t>
      </w:r>
      <w:r>
        <w:rPr>
          <w:spacing w:val="-2"/>
        </w:rPr>
        <w:t>example</w:t>
      </w:r>
      <w:r>
        <w:rPr>
          <w:spacing w:val="-9"/>
        </w:rPr>
        <w:t> </w:t>
      </w:r>
      <w:r>
        <w:rPr>
          <w:spacing w:val="-2"/>
        </w:rPr>
        <w:t>of</w:t>
      </w:r>
      <w:r>
        <w:rPr>
          <w:spacing w:val="-9"/>
        </w:rPr>
        <w:t> </w:t>
      </w:r>
      <w:r>
        <w:rPr>
          <w:spacing w:val="-2"/>
        </w:rPr>
        <w:t>the</w:t>
      </w:r>
      <w:r>
        <w:rPr>
          <w:spacing w:val="-9"/>
        </w:rPr>
        <w:t> </w:t>
      </w:r>
      <w:r>
        <w:rPr>
          <w:spacing w:val="-2"/>
        </w:rPr>
        <w:t>re-emergence</w:t>
      </w:r>
      <w:r>
        <w:rPr>
          <w:spacing w:val="-9"/>
        </w:rPr>
        <w:t> </w:t>
      </w:r>
      <w:r>
        <w:rPr>
          <w:spacing w:val="-2"/>
        </w:rPr>
        <w:t>of</w:t>
      </w:r>
      <w:r>
        <w:rPr>
          <w:spacing w:val="-11"/>
        </w:rPr>
        <w:t> </w:t>
      </w:r>
      <w:r>
        <w:rPr>
          <w:spacing w:val="-2"/>
        </w:rPr>
        <w:t>an</w:t>
      </w:r>
      <w:r>
        <w:rPr>
          <w:spacing w:val="-9"/>
        </w:rPr>
        <w:t> </w:t>
      </w:r>
      <w:r>
        <w:rPr>
          <w:spacing w:val="-2"/>
        </w:rPr>
        <w:t>internalized </w:t>
      </w:r>
      <w:r>
        <w:rPr/>
        <w:t>ethical dilemma that had been previously suppressed (Freud, 1917/ </w:t>
      </w:r>
      <w:r>
        <w:rPr>
          <w:spacing w:val="-2"/>
        </w:rPr>
        <w:t>1957).</w:t>
      </w:r>
      <w:r>
        <w:rPr>
          <w:spacing w:val="-9"/>
        </w:rPr>
        <w:t> </w:t>
      </w:r>
      <w:r>
        <w:rPr>
          <w:spacing w:val="-2"/>
        </w:rPr>
        <w:t>In</w:t>
      </w:r>
      <w:r>
        <w:rPr>
          <w:spacing w:val="-7"/>
        </w:rPr>
        <w:t> </w:t>
      </w:r>
      <w:r>
        <w:rPr>
          <w:spacing w:val="-2"/>
        </w:rPr>
        <w:t>educational</w:t>
      </w:r>
      <w:r>
        <w:rPr>
          <w:spacing w:val="-10"/>
        </w:rPr>
        <w:t> </w:t>
      </w:r>
      <w:r>
        <w:rPr>
          <w:spacing w:val="-2"/>
        </w:rPr>
        <w:t>terms,</w:t>
      </w:r>
      <w:r>
        <w:rPr>
          <w:spacing w:val="-5"/>
        </w:rPr>
        <w:t> </w:t>
      </w:r>
      <w:r>
        <w:rPr>
          <w:spacing w:val="-2"/>
        </w:rPr>
        <w:t>her</w:t>
      </w:r>
      <w:r>
        <w:rPr>
          <w:spacing w:val="-7"/>
        </w:rPr>
        <w:t> </w:t>
      </w:r>
      <w:r>
        <w:rPr>
          <w:spacing w:val="-2"/>
        </w:rPr>
        <w:t>journey</w:t>
      </w:r>
      <w:r>
        <w:rPr>
          <w:spacing w:val="-11"/>
        </w:rPr>
        <w:t> </w:t>
      </w:r>
      <w:r>
        <w:rPr>
          <w:spacing w:val="-2"/>
        </w:rPr>
        <w:t>illuminates</w:t>
      </w:r>
      <w:r>
        <w:rPr>
          <w:spacing w:val="-9"/>
        </w:rPr>
        <w:t> </w:t>
      </w:r>
      <w:r>
        <w:rPr>
          <w:spacing w:val="-2"/>
        </w:rPr>
        <w:t>how</w:t>
      </w:r>
      <w:r>
        <w:rPr>
          <w:spacing w:val="-11"/>
        </w:rPr>
        <w:t> </w:t>
      </w:r>
      <w:r>
        <w:rPr>
          <w:spacing w:val="-2"/>
        </w:rPr>
        <w:t>power</w:t>
      </w:r>
      <w:r>
        <w:rPr>
          <w:spacing w:val="-9"/>
        </w:rPr>
        <w:t> </w:t>
      </w:r>
      <w:r>
        <w:rPr>
          <w:spacing w:val="-2"/>
        </w:rPr>
        <w:t>structures </w:t>
      </w:r>
      <w:r>
        <w:rPr/>
        <w:t>are not just maintained through coercion from the outside but also through</w:t>
      </w:r>
      <w:r>
        <w:rPr>
          <w:spacing w:val="40"/>
        </w:rPr>
        <w:t> </w:t>
      </w:r>
      <w:r>
        <w:rPr/>
        <w:t>voluntary complicity from the</w:t>
      </w:r>
      <w:r>
        <w:rPr>
          <w:spacing w:val="40"/>
        </w:rPr>
        <w:t> </w:t>
      </w:r>
      <w:r>
        <w:rPr/>
        <w:t>inside.</w:t>
      </w:r>
    </w:p>
    <w:p>
      <w:pPr>
        <w:pStyle w:val="Heading5"/>
        <w:numPr>
          <w:ilvl w:val="1"/>
          <w:numId w:val="62"/>
        </w:numPr>
        <w:tabs>
          <w:tab w:pos="1892" w:val="left" w:leader="none"/>
        </w:tabs>
        <w:spacing w:line="244" w:lineRule="auto" w:before="118" w:after="0"/>
        <w:ind w:left="1440" w:right="1439" w:firstLine="0"/>
        <w:jc w:val="left"/>
      </w:pPr>
      <w:r>
        <w:rPr>
          <w:w w:val="105"/>
        </w:rPr>
        <w:t>Cordelia:</w:t>
      </w:r>
      <w:r>
        <w:rPr>
          <w:spacing w:val="80"/>
          <w:w w:val="105"/>
        </w:rPr>
        <w:t> </w:t>
      </w:r>
      <w:r>
        <w:rPr>
          <w:w w:val="105"/>
        </w:rPr>
        <w:t>Silence</w:t>
      </w:r>
      <w:r>
        <w:rPr>
          <w:spacing w:val="80"/>
          <w:w w:val="105"/>
        </w:rPr>
        <w:t> </w:t>
      </w:r>
      <w:r>
        <w:rPr>
          <w:w w:val="105"/>
        </w:rPr>
        <w:t>as</w:t>
      </w:r>
      <w:r>
        <w:rPr>
          <w:spacing w:val="80"/>
          <w:w w:val="105"/>
        </w:rPr>
        <w:t> </w:t>
      </w:r>
      <w:r>
        <w:rPr>
          <w:w w:val="105"/>
        </w:rPr>
        <w:t>Resistance</w:t>
      </w:r>
      <w:r>
        <w:rPr>
          <w:spacing w:val="80"/>
          <w:w w:val="105"/>
        </w:rPr>
        <w:t> </w:t>
      </w:r>
      <w:r>
        <w:rPr>
          <w:w w:val="105"/>
        </w:rPr>
        <w:t>in</w:t>
      </w:r>
      <w:r>
        <w:rPr>
          <w:spacing w:val="80"/>
          <w:w w:val="105"/>
        </w:rPr>
        <w:t> </w:t>
      </w:r>
      <w:r>
        <w:rPr>
          <w:w w:val="105"/>
        </w:rPr>
        <w:t>Ethics</w:t>
      </w:r>
      <w:r>
        <w:rPr>
          <w:spacing w:val="80"/>
          <w:w w:val="105"/>
        </w:rPr>
        <w:t> </w:t>
      </w:r>
      <w:r>
        <w:rPr>
          <w:w w:val="105"/>
        </w:rPr>
        <w:t>and</w:t>
      </w:r>
      <w:r>
        <w:rPr>
          <w:spacing w:val="80"/>
          <w:w w:val="105"/>
        </w:rPr>
        <w:t> </w:t>
      </w:r>
      <w:r>
        <w:rPr>
          <w:spacing w:val="-2"/>
          <w:w w:val="105"/>
        </w:rPr>
        <w:t>Discourse</w:t>
      </w:r>
    </w:p>
    <w:p>
      <w:pPr>
        <w:pStyle w:val="BodyText"/>
        <w:spacing w:line="249" w:lineRule="auto" w:before="67"/>
        <w:ind w:right="1437" w:firstLine="432"/>
        <w:jc w:val="both"/>
      </w:pPr>
      <w:r>
        <w:rPr/>
        <w:t>Cordelia’s non-participation to Lear’s request for loving gestures and words is the rupture of the speech economies in which the play takes place. Cordelia’s silence is a counter-discursive act that denies legitimacy to a form of power which places a marketable value on emotional expression. From the perspective of Foucault, this moment speaks</w:t>
      </w:r>
      <w:r>
        <w:rPr>
          <w:spacing w:val="-6"/>
        </w:rPr>
        <w:t> </w:t>
      </w:r>
      <w:r>
        <w:rPr/>
        <w:t>to</w:t>
      </w:r>
      <w:r>
        <w:rPr>
          <w:spacing w:val="-3"/>
        </w:rPr>
        <w:t> </w:t>
      </w:r>
      <w:r>
        <w:rPr/>
        <w:t>the</w:t>
      </w:r>
      <w:r>
        <w:rPr>
          <w:spacing w:val="-6"/>
        </w:rPr>
        <w:t> </w:t>
      </w:r>
      <w:r>
        <w:rPr/>
        <w:t>limits</w:t>
      </w:r>
      <w:r>
        <w:rPr>
          <w:spacing w:val="-4"/>
        </w:rPr>
        <w:t> </w:t>
      </w:r>
      <w:r>
        <w:rPr/>
        <w:t>of</w:t>
      </w:r>
      <w:r>
        <w:rPr>
          <w:spacing w:val="-6"/>
        </w:rPr>
        <w:t> </w:t>
      </w:r>
      <w:r>
        <w:rPr/>
        <w:t>power,</w:t>
      </w:r>
      <w:r>
        <w:rPr>
          <w:spacing w:val="-6"/>
        </w:rPr>
        <w:t> </w:t>
      </w:r>
      <w:r>
        <w:rPr/>
        <w:t>as</w:t>
      </w:r>
      <w:r>
        <w:rPr>
          <w:spacing w:val="-4"/>
        </w:rPr>
        <w:t> </w:t>
      </w:r>
      <w:r>
        <w:rPr/>
        <w:t>power</w:t>
      </w:r>
      <w:r>
        <w:rPr>
          <w:spacing w:val="-4"/>
        </w:rPr>
        <w:t> </w:t>
      </w:r>
      <w:r>
        <w:rPr/>
        <w:t>is</w:t>
      </w:r>
      <w:r>
        <w:rPr>
          <w:spacing w:val="-4"/>
        </w:rPr>
        <w:t> </w:t>
      </w:r>
      <w:r>
        <w:rPr/>
        <w:t>dependent</w:t>
      </w:r>
      <w:r>
        <w:rPr>
          <w:spacing w:val="-6"/>
        </w:rPr>
        <w:t> </w:t>
      </w:r>
      <w:r>
        <w:rPr/>
        <w:t>on</w:t>
      </w:r>
      <w:r>
        <w:rPr>
          <w:spacing w:val="-4"/>
        </w:rPr>
        <w:t> </w:t>
      </w:r>
      <w:r>
        <w:rPr/>
        <w:t>recognition,</w:t>
      </w:r>
      <w:r>
        <w:rPr>
          <w:spacing w:val="-4"/>
        </w:rPr>
        <w:t> </w:t>
      </w:r>
      <w:r>
        <w:rPr/>
        <w:t>and Cordelia</w:t>
      </w:r>
      <w:r>
        <w:rPr>
          <w:spacing w:val="-13"/>
        </w:rPr>
        <w:t> </w:t>
      </w:r>
      <w:r>
        <w:rPr/>
        <w:t>has</w:t>
      </w:r>
      <w:r>
        <w:rPr>
          <w:spacing w:val="-12"/>
        </w:rPr>
        <w:t> </w:t>
      </w:r>
      <w:r>
        <w:rPr/>
        <w:t>withdrawn</w:t>
      </w:r>
      <w:r>
        <w:rPr>
          <w:spacing w:val="-13"/>
        </w:rPr>
        <w:t> </w:t>
      </w:r>
      <w:r>
        <w:rPr/>
        <w:t>that</w:t>
      </w:r>
      <w:r>
        <w:rPr>
          <w:spacing w:val="-12"/>
        </w:rPr>
        <w:t> </w:t>
      </w:r>
      <w:r>
        <w:rPr/>
        <w:t>form</w:t>
      </w:r>
      <w:r>
        <w:rPr>
          <w:spacing w:val="-13"/>
        </w:rPr>
        <w:t> </w:t>
      </w:r>
      <w:r>
        <w:rPr/>
        <w:t>of</w:t>
      </w:r>
      <w:r>
        <w:rPr>
          <w:spacing w:val="-12"/>
        </w:rPr>
        <w:t> </w:t>
      </w:r>
      <w:r>
        <w:rPr/>
        <w:t>recognition.</w:t>
      </w:r>
      <w:r>
        <w:rPr>
          <w:spacing w:val="-13"/>
        </w:rPr>
        <w:t> </w:t>
      </w:r>
      <w:r>
        <w:rPr/>
        <w:t>In</w:t>
      </w:r>
      <w:r>
        <w:rPr>
          <w:spacing w:val="-12"/>
        </w:rPr>
        <w:t> </w:t>
      </w:r>
      <w:r>
        <w:rPr/>
        <w:t>terms</w:t>
      </w:r>
      <w:r>
        <w:rPr>
          <w:spacing w:val="-13"/>
        </w:rPr>
        <w:t> </w:t>
      </w:r>
      <w:r>
        <w:rPr/>
        <w:t>of</w:t>
      </w:r>
      <w:r>
        <w:rPr>
          <w:spacing w:val="-12"/>
        </w:rPr>
        <w:t> </w:t>
      </w:r>
      <w:r>
        <w:rPr/>
        <w:t>pedagogical implications,</w:t>
      </w:r>
      <w:r>
        <w:rPr>
          <w:spacing w:val="-8"/>
        </w:rPr>
        <w:t> </w:t>
      </w:r>
      <w:r>
        <w:rPr/>
        <w:t>this</w:t>
      </w:r>
      <w:r>
        <w:rPr>
          <w:spacing w:val="-9"/>
        </w:rPr>
        <w:t> </w:t>
      </w:r>
      <w:r>
        <w:rPr/>
        <w:t>invites</w:t>
      </w:r>
      <w:r>
        <w:rPr>
          <w:spacing w:val="-11"/>
        </w:rPr>
        <w:t> </w:t>
      </w:r>
      <w:r>
        <w:rPr/>
        <w:t>students</w:t>
      </w:r>
      <w:r>
        <w:rPr>
          <w:spacing w:val="-9"/>
        </w:rPr>
        <w:t> </w:t>
      </w:r>
      <w:r>
        <w:rPr/>
        <w:t>to</w:t>
      </w:r>
      <w:r>
        <w:rPr>
          <w:spacing w:val="-11"/>
        </w:rPr>
        <w:t> </w:t>
      </w:r>
      <w:r>
        <w:rPr/>
        <w:t>re-evaluate</w:t>
      </w:r>
      <w:r>
        <w:rPr>
          <w:spacing w:val="-9"/>
        </w:rPr>
        <w:t> </w:t>
      </w:r>
      <w:r>
        <w:rPr/>
        <w:t>the</w:t>
      </w:r>
      <w:r>
        <w:rPr>
          <w:spacing w:val="-9"/>
        </w:rPr>
        <w:t> </w:t>
      </w:r>
      <w:r>
        <w:rPr/>
        <w:t>nature</w:t>
      </w:r>
      <w:r>
        <w:rPr>
          <w:spacing w:val="-9"/>
        </w:rPr>
        <w:t> </w:t>
      </w:r>
      <w:r>
        <w:rPr/>
        <w:t>of</w:t>
      </w:r>
      <w:r>
        <w:rPr>
          <w:spacing w:val="-11"/>
        </w:rPr>
        <w:t> </w:t>
      </w:r>
      <w:r>
        <w:rPr/>
        <w:t>the</w:t>
      </w:r>
      <w:r>
        <w:rPr>
          <w:spacing w:val="-9"/>
        </w:rPr>
        <w:t> </w:t>
      </w:r>
      <w:r>
        <w:rPr/>
        <w:t>Politics of Speech when verbal expression can be used to support power, and how silence becomes</w:t>
      </w:r>
      <w:r>
        <w:rPr>
          <w:spacing w:val="40"/>
        </w:rPr>
        <w:t> </w:t>
      </w:r>
      <w:r>
        <w:rPr/>
        <w:t>a</w:t>
      </w:r>
      <w:r>
        <w:rPr>
          <w:spacing w:val="40"/>
        </w:rPr>
        <w:t> </w:t>
      </w:r>
      <w:r>
        <w:rPr/>
        <w:t>means</w:t>
      </w:r>
      <w:r>
        <w:rPr>
          <w:spacing w:val="40"/>
        </w:rPr>
        <w:t> </w:t>
      </w:r>
      <w:r>
        <w:rPr/>
        <w:t>of challenging</w:t>
      </w:r>
      <w:r>
        <w:rPr>
          <w:spacing w:val="40"/>
        </w:rPr>
        <w:t> </w:t>
      </w:r>
      <w:r>
        <w:rPr/>
        <w:t>power.</w:t>
      </w:r>
    </w:p>
    <w:p>
      <w:pPr>
        <w:pStyle w:val="Heading5"/>
        <w:numPr>
          <w:ilvl w:val="1"/>
          <w:numId w:val="62"/>
        </w:numPr>
        <w:tabs>
          <w:tab w:pos="1872" w:val="left" w:leader="none"/>
          <w:tab w:pos="1875" w:val="left" w:leader="none"/>
        </w:tabs>
        <w:spacing w:line="240" w:lineRule="auto" w:before="115" w:after="0"/>
        <w:ind w:left="1875" w:right="0" w:hanging="435"/>
        <w:jc w:val="left"/>
      </w:pPr>
      <w:r>
        <w:rPr>
          <w:w w:val="110"/>
        </w:rPr>
        <w:t>Cleopatra:</w:t>
      </w:r>
      <w:r>
        <w:rPr>
          <w:spacing w:val="67"/>
          <w:w w:val="110"/>
        </w:rPr>
        <w:t> </w:t>
      </w:r>
      <w:r>
        <w:rPr>
          <w:w w:val="110"/>
        </w:rPr>
        <w:t>Performance</w:t>
      </w:r>
      <w:r>
        <w:rPr>
          <w:spacing w:val="64"/>
          <w:w w:val="110"/>
        </w:rPr>
        <w:t> </w:t>
      </w:r>
      <w:r>
        <w:rPr>
          <w:w w:val="110"/>
        </w:rPr>
        <w:t>and</w:t>
      </w:r>
      <w:r>
        <w:rPr>
          <w:spacing w:val="65"/>
          <w:w w:val="110"/>
        </w:rPr>
        <w:t> </w:t>
      </w:r>
      <w:r>
        <w:rPr>
          <w:w w:val="110"/>
        </w:rPr>
        <w:t>Changing</w:t>
      </w:r>
      <w:r>
        <w:rPr>
          <w:spacing w:val="65"/>
          <w:w w:val="110"/>
        </w:rPr>
        <w:t> </w:t>
      </w:r>
      <w:r>
        <w:rPr>
          <w:spacing w:val="-2"/>
          <w:w w:val="110"/>
        </w:rPr>
        <w:t>Gender</w:t>
      </w:r>
    </w:p>
    <w:p>
      <w:pPr>
        <w:pStyle w:val="BodyText"/>
        <w:spacing w:line="249" w:lineRule="auto" w:before="72"/>
        <w:ind w:right="1435" w:firstLine="432"/>
        <w:jc w:val="both"/>
      </w:pPr>
      <w:r>
        <w:rPr/>
        <w:t>Cleopatra destroys rigid gender categories by continually </w:t>
      </w:r>
      <w:r>
        <w:rPr>
          <w:spacing w:val="-4"/>
        </w:rPr>
        <w:t>performing</w:t>
      </w:r>
      <w:r>
        <w:rPr>
          <w:spacing w:val="-9"/>
        </w:rPr>
        <w:t> </w:t>
      </w:r>
      <w:r>
        <w:rPr>
          <w:spacing w:val="-4"/>
        </w:rPr>
        <w:t>and</w:t>
      </w:r>
      <w:r>
        <w:rPr>
          <w:spacing w:val="-8"/>
        </w:rPr>
        <w:t> </w:t>
      </w:r>
      <w:r>
        <w:rPr>
          <w:spacing w:val="-4"/>
        </w:rPr>
        <w:t>re-performing</w:t>
      </w:r>
      <w:r>
        <w:rPr>
          <w:spacing w:val="-9"/>
        </w:rPr>
        <w:t> </w:t>
      </w:r>
      <w:r>
        <w:rPr>
          <w:spacing w:val="-4"/>
        </w:rPr>
        <w:t>them.</w:t>
      </w:r>
      <w:r>
        <w:rPr>
          <w:spacing w:val="-8"/>
        </w:rPr>
        <w:t> </w:t>
      </w:r>
      <w:r>
        <w:rPr>
          <w:spacing w:val="-4"/>
        </w:rPr>
        <w:t>She</w:t>
      </w:r>
      <w:r>
        <w:rPr>
          <w:spacing w:val="-9"/>
        </w:rPr>
        <w:t> </w:t>
      </w:r>
      <w:r>
        <w:rPr>
          <w:spacing w:val="-4"/>
        </w:rPr>
        <w:t>exemplifies</w:t>
      </w:r>
      <w:r>
        <w:rPr>
          <w:spacing w:val="-8"/>
        </w:rPr>
        <w:t> </w:t>
      </w:r>
      <w:r>
        <w:rPr>
          <w:spacing w:val="-4"/>
        </w:rPr>
        <w:t>Judith</w:t>
      </w:r>
      <w:r>
        <w:rPr>
          <w:spacing w:val="-9"/>
        </w:rPr>
        <w:t> </w:t>
      </w:r>
      <w:r>
        <w:rPr>
          <w:spacing w:val="-4"/>
        </w:rPr>
        <w:t>Butler’s</w:t>
      </w:r>
      <w:r>
        <w:rPr>
          <w:spacing w:val="-8"/>
        </w:rPr>
        <w:t> </w:t>
      </w:r>
      <w:r>
        <w:rPr>
          <w:spacing w:val="-4"/>
        </w:rPr>
        <w:t>(1990) </w:t>
      </w:r>
      <w:r>
        <w:rPr/>
        <w:t>theory that identity is performative in nature and that her power resides in her ability to be fluid rather than stable. Cleopatra’s subjective experience</w:t>
      </w:r>
      <w:r>
        <w:rPr>
          <w:spacing w:val="-6"/>
        </w:rPr>
        <w:t> </w:t>
      </w:r>
      <w:r>
        <w:rPr/>
        <w:t>is</w:t>
      </w:r>
      <w:r>
        <w:rPr>
          <w:spacing w:val="-6"/>
        </w:rPr>
        <w:t> </w:t>
      </w:r>
      <w:r>
        <w:rPr/>
        <w:t>difficult</w:t>
      </w:r>
      <w:r>
        <w:rPr>
          <w:spacing w:val="-8"/>
        </w:rPr>
        <w:t> </w:t>
      </w:r>
      <w:r>
        <w:rPr/>
        <w:t>to</w:t>
      </w:r>
      <w:r>
        <w:rPr>
          <w:spacing w:val="-4"/>
        </w:rPr>
        <w:t> </w:t>
      </w:r>
      <w:r>
        <w:rPr/>
        <w:t>define</w:t>
      </w:r>
      <w:r>
        <w:rPr>
          <w:spacing w:val="40"/>
        </w:rPr>
        <w:t> </w:t>
      </w:r>
      <w:r>
        <w:rPr/>
        <w:t>she</w:t>
      </w:r>
      <w:r>
        <w:rPr>
          <w:spacing w:val="-6"/>
        </w:rPr>
        <w:t> </w:t>
      </w:r>
      <w:r>
        <w:rPr/>
        <w:t>is</w:t>
      </w:r>
      <w:r>
        <w:rPr>
          <w:spacing w:val="-6"/>
        </w:rPr>
        <w:t> </w:t>
      </w:r>
      <w:r>
        <w:rPr/>
        <w:t>full</w:t>
      </w:r>
      <w:r>
        <w:rPr>
          <w:spacing w:val="-7"/>
        </w:rPr>
        <w:t> </w:t>
      </w:r>
      <w:r>
        <w:rPr/>
        <w:t>of</w:t>
      </w:r>
      <w:r>
        <w:rPr>
          <w:spacing w:val="-6"/>
        </w:rPr>
        <w:t> </w:t>
      </w:r>
      <w:r>
        <w:rPr/>
        <w:t>contradictions,</w:t>
      </w:r>
      <w:r>
        <w:rPr>
          <w:spacing w:val="-6"/>
        </w:rPr>
        <w:t> </w:t>
      </w:r>
      <w:r>
        <w:rPr/>
        <w:t>excess,</w:t>
      </w:r>
      <w:r>
        <w:rPr>
          <w:spacing w:val="-4"/>
        </w:rPr>
        <w:t> </w:t>
      </w:r>
      <w:r>
        <w:rPr/>
        <w:t>and unpredictability. Rather than being a weakness, her excessively is a refusal</w:t>
      </w:r>
      <w:r>
        <w:rPr>
          <w:spacing w:val="9"/>
        </w:rPr>
        <w:t> </w:t>
      </w:r>
      <w:r>
        <w:rPr/>
        <w:t>of</w:t>
      </w:r>
      <w:r>
        <w:rPr>
          <w:spacing w:val="8"/>
        </w:rPr>
        <w:t> </w:t>
      </w:r>
      <w:r>
        <w:rPr/>
        <w:t>limits.</w:t>
      </w:r>
      <w:r>
        <w:rPr>
          <w:spacing w:val="9"/>
        </w:rPr>
        <w:t> </w:t>
      </w:r>
      <w:r>
        <w:rPr/>
        <w:t>Because</w:t>
      </w:r>
      <w:r>
        <w:rPr>
          <w:spacing w:val="9"/>
        </w:rPr>
        <w:t> </w:t>
      </w:r>
      <w:r>
        <w:rPr/>
        <w:t>of</w:t>
      </w:r>
      <w:r>
        <w:rPr>
          <w:spacing w:val="7"/>
        </w:rPr>
        <w:t> </w:t>
      </w:r>
      <w:r>
        <w:rPr/>
        <w:t>this,</w:t>
      </w:r>
      <w:r>
        <w:rPr>
          <w:spacing w:val="12"/>
        </w:rPr>
        <w:t> </w:t>
      </w:r>
      <w:r>
        <w:rPr/>
        <w:t>she</w:t>
      </w:r>
      <w:r>
        <w:rPr>
          <w:spacing w:val="8"/>
        </w:rPr>
        <w:t> </w:t>
      </w:r>
      <w:r>
        <w:rPr/>
        <w:t>provides</w:t>
      </w:r>
      <w:r>
        <w:rPr>
          <w:spacing w:val="8"/>
        </w:rPr>
        <w:t> </w:t>
      </w:r>
      <w:r>
        <w:rPr/>
        <w:t>a</w:t>
      </w:r>
      <w:r>
        <w:rPr>
          <w:spacing w:val="9"/>
        </w:rPr>
        <w:t> </w:t>
      </w:r>
      <w:r>
        <w:rPr/>
        <w:t>powerful</w:t>
      </w:r>
      <w:r>
        <w:rPr>
          <w:spacing w:val="8"/>
        </w:rPr>
        <w:t> </w:t>
      </w:r>
      <w:r>
        <w:rPr/>
        <w:t>platform</w:t>
      </w:r>
      <w:r>
        <w:rPr>
          <w:spacing w:val="7"/>
        </w:rPr>
        <w:t> </w:t>
      </w:r>
      <w:r>
        <w:rPr>
          <w:spacing w:val="-5"/>
        </w:rPr>
        <w:t>for</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96736">
                <wp:simplePos x="0" y="0"/>
                <wp:positionH relativeFrom="page">
                  <wp:posOffset>2057400</wp:posOffset>
                </wp:positionH>
                <wp:positionV relativeFrom="paragraph">
                  <wp:posOffset>162604</wp:posOffset>
                </wp:positionV>
                <wp:extent cx="3657600" cy="12700"/>
                <wp:effectExtent l="0" t="0" r="0" b="0"/>
                <wp:wrapTopAndBottom/>
                <wp:docPr id="579" name="Graphic 579"/>
                <wp:cNvGraphicFramePr>
                  <a:graphicFrameLocks/>
                </wp:cNvGraphicFramePr>
                <a:graphic>
                  <a:graphicData uri="http://schemas.microsoft.com/office/word/2010/wordprocessingShape">
                    <wps:wsp>
                      <wps:cNvPr id="579" name="Graphic 57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19744;mso-wrap-distance-left:0;mso-wrap-distance-right:0" id="docshape571" filled="true" fillcolor="#000000" stroked="false">
                <v:fill type="solid"/>
                <w10:wrap type="topAndBottom"/>
              </v:rect>
            </w:pict>
          </mc:Fallback>
        </mc:AlternateContent>
      </w:r>
      <w:r>
        <w:rPr>
          <w:rFonts w:ascii="Verdana"/>
          <w:spacing w:val="-5"/>
          <w:sz w:val="18"/>
        </w:rPr>
        <w:t>278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students</w:t>
      </w:r>
      <w:r>
        <w:rPr>
          <w:spacing w:val="33"/>
        </w:rPr>
        <w:t> </w:t>
      </w:r>
      <w:r>
        <w:rPr/>
        <w:t>to</w:t>
      </w:r>
      <w:r>
        <w:rPr>
          <w:spacing w:val="35"/>
        </w:rPr>
        <w:t> </w:t>
      </w:r>
      <w:r>
        <w:rPr/>
        <w:t>challenge</w:t>
      </w:r>
      <w:r>
        <w:rPr>
          <w:spacing w:val="33"/>
        </w:rPr>
        <w:t> </w:t>
      </w:r>
      <w:r>
        <w:rPr/>
        <w:t>the</w:t>
      </w:r>
      <w:r>
        <w:rPr>
          <w:spacing w:val="34"/>
        </w:rPr>
        <w:t> </w:t>
      </w:r>
      <w:r>
        <w:rPr/>
        <w:t>construction</w:t>
      </w:r>
      <w:r>
        <w:rPr>
          <w:spacing w:val="35"/>
        </w:rPr>
        <w:t> </w:t>
      </w:r>
      <w:r>
        <w:rPr/>
        <w:t>and</w:t>
      </w:r>
      <w:r>
        <w:rPr>
          <w:spacing w:val="35"/>
        </w:rPr>
        <w:t> </w:t>
      </w:r>
      <w:r>
        <w:rPr/>
        <w:t>regulation</w:t>
      </w:r>
      <w:r>
        <w:rPr>
          <w:spacing w:val="31"/>
        </w:rPr>
        <w:t> </w:t>
      </w:r>
      <w:r>
        <w:rPr/>
        <w:t>of</w:t>
      </w:r>
      <w:r>
        <w:rPr>
          <w:spacing w:val="30"/>
        </w:rPr>
        <w:t> </w:t>
      </w:r>
      <w:r>
        <w:rPr/>
        <w:t>identities</w:t>
      </w:r>
      <w:r>
        <w:rPr>
          <w:spacing w:val="31"/>
        </w:rPr>
        <w:t> </w:t>
      </w:r>
      <w:r>
        <w:rPr/>
        <w:t>in teaching</w:t>
      </w:r>
      <w:r>
        <w:rPr>
          <w:spacing w:val="40"/>
        </w:rPr>
        <w:t> </w:t>
      </w:r>
      <w:r>
        <w:rPr/>
        <w:t>environments.</w:t>
      </w:r>
    </w:p>
    <w:p>
      <w:pPr>
        <w:pStyle w:val="Heading5"/>
        <w:numPr>
          <w:ilvl w:val="1"/>
          <w:numId w:val="62"/>
        </w:numPr>
        <w:tabs>
          <w:tab w:pos="1877" w:val="left" w:leader="none"/>
        </w:tabs>
        <w:spacing w:line="244" w:lineRule="auto" w:before="109" w:after="0"/>
        <w:ind w:left="1440" w:right="1442" w:firstLine="0"/>
        <w:jc w:val="left"/>
      </w:pPr>
      <w:r>
        <w:rPr/>
        <w:t>Isabella:</w:t>
      </w:r>
      <w:r>
        <w:rPr>
          <w:spacing w:val="40"/>
        </w:rPr>
        <w:t> </w:t>
      </w:r>
      <w:r>
        <w:rPr/>
        <w:t>Institutional</w:t>
      </w:r>
      <w:r>
        <w:rPr>
          <w:spacing w:val="40"/>
        </w:rPr>
        <w:t> </w:t>
      </w:r>
      <w:r>
        <w:rPr/>
        <w:t>Authority</w:t>
      </w:r>
      <w:r>
        <w:rPr>
          <w:spacing w:val="40"/>
        </w:rPr>
        <w:t> </w:t>
      </w:r>
      <w:r>
        <w:rPr/>
        <w:t>and</w:t>
      </w:r>
      <w:r>
        <w:rPr>
          <w:spacing w:val="40"/>
        </w:rPr>
        <w:t> </w:t>
      </w:r>
      <w:r>
        <w:rPr/>
        <w:t>the</w:t>
      </w:r>
      <w:r>
        <w:rPr>
          <w:spacing w:val="80"/>
        </w:rPr>
        <w:t> </w:t>
      </w:r>
      <w:r>
        <w:rPr/>
        <w:t>Political</w:t>
      </w:r>
      <w:r>
        <w:rPr>
          <w:spacing w:val="80"/>
        </w:rPr>
        <w:t> </w:t>
      </w:r>
      <w:r>
        <w:rPr/>
        <w:t>Nature</w:t>
      </w:r>
      <w:r>
        <w:rPr>
          <w:spacing w:val="80"/>
        </w:rPr>
        <w:t> </w:t>
      </w:r>
      <w:r>
        <w:rPr/>
        <w:t>of</w:t>
      </w:r>
      <w:r>
        <w:rPr>
          <w:spacing w:val="80"/>
        </w:rPr>
        <w:t> </w:t>
      </w:r>
      <w:r>
        <w:rPr/>
        <w:t>Consent</w:t>
      </w:r>
    </w:p>
    <w:p>
      <w:pPr>
        <w:pStyle w:val="BodyText"/>
        <w:spacing w:line="249" w:lineRule="auto" w:before="67"/>
        <w:ind w:right="1436" w:firstLine="432"/>
        <w:jc w:val="both"/>
      </w:pPr>
      <w:r>
        <w:rPr/>
        <w:t>The exchange between Isabella and Angelo demonstrates how institutional</w:t>
      </w:r>
      <w:r>
        <w:rPr>
          <w:spacing w:val="-13"/>
        </w:rPr>
        <w:t> </w:t>
      </w:r>
      <w:r>
        <w:rPr/>
        <w:t>authority</w:t>
      </w:r>
      <w:r>
        <w:rPr>
          <w:spacing w:val="-12"/>
        </w:rPr>
        <w:t> </w:t>
      </w:r>
      <w:r>
        <w:rPr/>
        <w:t>operates</w:t>
      </w:r>
      <w:r>
        <w:rPr>
          <w:spacing w:val="-13"/>
        </w:rPr>
        <w:t> </w:t>
      </w:r>
      <w:r>
        <w:rPr/>
        <w:t>through</w:t>
      </w:r>
      <w:r>
        <w:rPr>
          <w:spacing w:val="-12"/>
        </w:rPr>
        <w:t> </w:t>
      </w:r>
      <w:r>
        <w:rPr/>
        <w:t>creating</w:t>
      </w:r>
      <w:r>
        <w:rPr>
          <w:spacing w:val="-13"/>
        </w:rPr>
        <w:t> </w:t>
      </w:r>
      <w:r>
        <w:rPr/>
        <w:t>moral</w:t>
      </w:r>
      <w:r>
        <w:rPr>
          <w:spacing w:val="-12"/>
        </w:rPr>
        <w:t> </w:t>
      </w:r>
      <w:r>
        <w:rPr/>
        <w:t>discourse.</w:t>
      </w:r>
      <w:r>
        <w:rPr>
          <w:spacing w:val="-13"/>
        </w:rPr>
        <w:t> </w:t>
      </w:r>
      <w:r>
        <w:rPr/>
        <w:t>Angelo uses</w:t>
      </w:r>
      <w:r>
        <w:rPr>
          <w:spacing w:val="29"/>
        </w:rPr>
        <w:t> </w:t>
      </w:r>
      <w:r>
        <w:rPr/>
        <w:t>his</w:t>
      </w:r>
      <w:r>
        <w:rPr>
          <w:spacing w:val="29"/>
        </w:rPr>
        <w:t> </w:t>
      </w:r>
      <w:r>
        <w:rPr/>
        <w:t>position</w:t>
      </w:r>
      <w:r>
        <w:rPr>
          <w:spacing w:val="31"/>
        </w:rPr>
        <w:t> </w:t>
      </w:r>
      <w:r>
        <w:rPr/>
        <w:t>of</w:t>
      </w:r>
      <w:r>
        <w:rPr>
          <w:spacing w:val="28"/>
        </w:rPr>
        <w:t> </w:t>
      </w:r>
      <w:r>
        <w:rPr/>
        <w:t>authority to</w:t>
      </w:r>
      <w:r>
        <w:rPr>
          <w:spacing w:val="31"/>
        </w:rPr>
        <w:t> </w:t>
      </w:r>
      <w:r>
        <w:rPr/>
        <w:t>coerce</w:t>
      </w:r>
      <w:r>
        <w:rPr>
          <w:spacing w:val="30"/>
        </w:rPr>
        <w:t> </w:t>
      </w:r>
      <w:r>
        <w:rPr/>
        <w:t>consent</w:t>
      </w:r>
      <w:r>
        <w:rPr>
          <w:spacing w:val="29"/>
        </w:rPr>
        <w:t> </w:t>
      </w:r>
      <w:r>
        <w:rPr/>
        <w:t>from</w:t>
      </w:r>
      <w:r>
        <w:rPr>
          <w:spacing w:val="27"/>
        </w:rPr>
        <w:t> </w:t>
      </w:r>
      <w:r>
        <w:rPr/>
        <w:t>Isabella</w:t>
      </w:r>
      <w:r>
        <w:rPr>
          <w:spacing w:val="30"/>
        </w:rPr>
        <w:t> </w:t>
      </w:r>
      <w:r>
        <w:rPr/>
        <w:t>due</w:t>
      </w:r>
      <w:r>
        <w:rPr>
          <w:spacing w:val="29"/>
        </w:rPr>
        <w:t> </w:t>
      </w:r>
      <w:r>
        <w:rPr/>
        <w:t>to the</w:t>
      </w:r>
      <w:r>
        <w:rPr>
          <w:spacing w:val="-4"/>
        </w:rPr>
        <w:t> </w:t>
      </w:r>
      <w:r>
        <w:rPr/>
        <w:t>imbalance</w:t>
      </w:r>
      <w:r>
        <w:rPr>
          <w:spacing w:val="-5"/>
        </w:rPr>
        <w:t> </w:t>
      </w:r>
      <w:r>
        <w:rPr/>
        <w:t>of</w:t>
      </w:r>
      <w:r>
        <w:rPr>
          <w:spacing w:val="-5"/>
        </w:rPr>
        <w:t> </w:t>
      </w:r>
      <w:r>
        <w:rPr/>
        <w:t>power</w:t>
      </w:r>
      <w:r>
        <w:rPr>
          <w:spacing w:val="-5"/>
        </w:rPr>
        <w:t> </w:t>
      </w:r>
      <w:r>
        <w:rPr/>
        <w:t>between</w:t>
      </w:r>
      <w:r>
        <w:rPr>
          <w:spacing w:val="-7"/>
        </w:rPr>
        <w:t> </w:t>
      </w:r>
      <w:r>
        <w:rPr/>
        <w:t>them.</w:t>
      </w:r>
      <w:r>
        <w:rPr>
          <w:spacing w:val="-5"/>
        </w:rPr>
        <w:t> </w:t>
      </w:r>
      <w:r>
        <w:rPr/>
        <w:t>Isabella’s</w:t>
      </w:r>
      <w:r>
        <w:rPr>
          <w:spacing w:val="-4"/>
        </w:rPr>
        <w:t> </w:t>
      </w:r>
      <w:r>
        <w:rPr/>
        <w:t>struggle</w:t>
      </w:r>
      <w:r>
        <w:rPr>
          <w:spacing w:val="-4"/>
        </w:rPr>
        <w:t> </w:t>
      </w:r>
      <w:r>
        <w:rPr/>
        <w:t>with</w:t>
      </w:r>
      <w:r>
        <w:rPr>
          <w:spacing w:val="-5"/>
        </w:rPr>
        <w:t> </w:t>
      </w:r>
      <w:r>
        <w:rPr/>
        <w:t>adhering to her own ethical beliefs speaks to current debates about ethics and autonomy. The fact that she refuses to provide consent serves as an example of how institutional ethical systems cannot provide complete protection</w:t>
      </w:r>
      <w:r>
        <w:rPr>
          <w:spacing w:val="-2"/>
        </w:rPr>
        <w:t> </w:t>
      </w:r>
      <w:r>
        <w:rPr/>
        <w:t>for individuals against</w:t>
      </w:r>
      <w:r>
        <w:rPr>
          <w:spacing w:val="-2"/>
        </w:rPr>
        <w:t> </w:t>
      </w:r>
      <w:r>
        <w:rPr/>
        <w:t>coercive power.</w:t>
      </w:r>
      <w:r>
        <w:rPr>
          <w:spacing w:val="-4"/>
        </w:rPr>
        <w:t> </w:t>
      </w:r>
      <w:r>
        <w:rPr/>
        <w:t>This</w:t>
      </w:r>
      <w:r>
        <w:rPr>
          <w:spacing w:val="-2"/>
        </w:rPr>
        <w:t> </w:t>
      </w:r>
      <w:r>
        <w:rPr/>
        <w:t>character can</w:t>
      </w:r>
      <w:r>
        <w:rPr>
          <w:spacing w:val="-2"/>
        </w:rPr>
        <w:t> </w:t>
      </w:r>
      <w:r>
        <w:rPr/>
        <w:t>be used to exacerbate the ongoing critical examination of how power manipulates ethical systems to maintain control of individuals through what</w:t>
      </w:r>
      <w:r>
        <w:rPr>
          <w:spacing w:val="40"/>
        </w:rPr>
        <w:t> </w:t>
      </w:r>
      <w:r>
        <w:rPr/>
        <w:t>may</w:t>
      </w:r>
      <w:r>
        <w:rPr>
          <w:spacing w:val="40"/>
        </w:rPr>
        <w:t> </w:t>
      </w:r>
      <w:r>
        <w:rPr/>
        <w:t>be</w:t>
      </w:r>
      <w:r>
        <w:rPr>
          <w:spacing w:val="40"/>
        </w:rPr>
        <w:t> </w:t>
      </w:r>
      <w:r>
        <w:rPr/>
        <w:t>referred</w:t>
      </w:r>
      <w:r>
        <w:rPr>
          <w:spacing w:val="40"/>
        </w:rPr>
        <w:t> </w:t>
      </w:r>
      <w:r>
        <w:rPr/>
        <w:t>to</w:t>
      </w:r>
      <w:r>
        <w:rPr>
          <w:spacing w:val="40"/>
        </w:rPr>
        <w:t> </w:t>
      </w:r>
      <w:r>
        <w:rPr/>
        <w:t>as</w:t>
      </w:r>
      <w:r>
        <w:rPr>
          <w:spacing w:val="40"/>
        </w:rPr>
        <w:t> </w:t>
      </w:r>
      <w:r>
        <w:rPr/>
        <w:t>a</w:t>
      </w:r>
      <w:r>
        <w:rPr>
          <w:spacing w:val="40"/>
        </w:rPr>
        <w:t> </w:t>
      </w:r>
      <w:r>
        <w:rPr/>
        <w:t>“pedagogical”</w:t>
      </w:r>
      <w:r>
        <w:rPr>
          <w:spacing w:val="40"/>
        </w:rPr>
        <w:t> </w:t>
      </w:r>
      <w:r>
        <w:rPr/>
        <w:t>perspective.</w:t>
      </w:r>
    </w:p>
    <w:p>
      <w:pPr>
        <w:pStyle w:val="Heading5"/>
        <w:numPr>
          <w:ilvl w:val="1"/>
          <w:numId w:val="62"/>
        </w:numPr>
        <w:tabs>
          <w:tab w:pos="1902" w:val="left" w:leader="none"/>
        </w:tabs>
        <w:spacing w:line="244" w:lineRule="auto" w:before="117" w:after="0"/>
        <w:ind w:left="1440" w:right="1437" w:firstLine="0"/>
        <w:jc w:val="left"/>
      </w:pPr>
      <w:r>
        <w:rPr>
          <w:w w:val="105"/>
        </w:rPr>
        <w:t>Portia:</w:t>
      </w:r>
      <w:r>
        <w:rPr>
          <w:spacing w:val="80"/>
          <w:w w:val="105"/>
        </w:rPr>
        <w:t> </w:t>
      </w:r>
      <w:r>
        <w:rPr>
          <w:w w:val="105"/>
        </w:rPr>
        <w:t>Gendered</w:t>
      </w:r>
      <w:r>
        <w:rPr>
          <w:spacing w:val="80"/>
          <w:w w:val="105"/>
        </w:rPr>
        <w:t> </w:t>
      </w:r>
      <w:r>
        <w:rPr>
          <w:w w:val="105"/>
        </w:rPr>
        <w:t>Authority</w:t>
      </w:r>
      <w:r>
        <w:rPr>
          <w:spacing w:val="80"/>
          <w:w w:val="105"/>
        </w:rPr>
        <w:t> </w:t>
      </w:r>
      <w:r>
        <w:rPr>
          <w:w w:val="105"/>
        </w:rPr>
        <w:t>and</w:t>
      </w:r>
      <w:r>
        <w:rPr>
          <w:spacing w:val="80"/>
          <w:w w:val="105"/>
        </w:rPr>
        <w:t> </w:t>
      </w:r>
      <w:r>
        <w:rPr>
          <w:w w:val="105"/>
        </w:rPr>
        <w:t>Law</w:t>
      </w:r>
      <w:r>
        <w:rPr>
          <w:spacing w:val="80"/>
          <w:w w:val="105"/>
        </w:rPr>
        <w:t> </w:t>
      </w:r>
      <w:r>
        <w:rPr>
          <w:w w:val="105"/>
        </w:rPr>
        <w:t>through</w:t>
      </w:r>
      <w:r>
        <w:rPr>
          <w:spacing w:val="40"/>
          <w:w w:val="105"/>
        </w:rPr>
        <w:t> </w:t>
      </w:r>
      <w:r>
        <w:rPr>
          <w:spacing w:val="-2"/>
          <w:w w:val="105"/>
        </w:rPr>
        <w:t>Disguise.</w:t>
      </w:r>
    </w:p>
    <w:p>
      <w:pPr>
        <w:pStyle w:val="BodyText"/>
        <w:spacing w:line="249" w:lineRule="auto" w:before="67"/>
        <w:ind w:right="1436" w:firstLine="432"/>
        <w:jc w:val="both"/>
      </w:pPr>
      <w:r>
        <w:rPr/>
        <w:t>Portia’s actions in the courtroom are evident examples of the continued</w:t>
      </w:r>
      <w:r>
        <w:rPr>
          <w:spacing w:val="-1"/>
        </w:rPr>
        <w:t> </w:t>
      </w:r>
      <w:r>
        <w:rPr/>
        <w:t>gendering</w:t>
      </w:r>
      <w:r>
        <w:rPr>
          <w:spacing w:val="-2"/>
        </w:rPr>
        <w:t> </w:t>
      </w:r>
      <w:r>
        <w:rPr/>
        <w:t>of</w:t>
      </w:r>
      <w:r>
        <w:rPr>
          <w:spacing w:val="-2"/>
        </w:rPr>
        <w:t> </w:t>
      </w:r>
      <w:r>
        <w:rPr/>
        <w:t>access</w:t>
      </w:r>
      <w:r>
        <w:rPr>
          <w:spacing w:val="-2"/>
        </w:rPr>
        <w:t> </w:t>
      </w:r>
      <w:r>
        <w:rPr/>
        <w:t>to</w:t>
      </w:r>
      <w:r>
        <w:rPr>
          <w:spacing w:val="-1"/>
        </w:rPr>
        <w:t> </w:t>
      </w:r>
      <w:r>
        <w:rPr/>
        <w:t>institutional power.</w:t>
      </w:r>
      <w:r>
        <w:rPr>
          <w:spacing w:val="-1"/>
        </w:rPr>
        <w:t> </w:t>
      </w:r>
      <w:r>
        <w:rPr/>
        <w:t>One</w:t>
      </w:r>
      <w:r>
        <w:rPr>
          <w:spacing w:val="-2"/>
        </w:rPr>
        <w:t> </w:t>
      </w:r>
      <w:r>
        <w:rPr/>
        <w:t>way</w:t>
      </w:r>
      <w:r>
        <w:rPr>
          <w:spacing w:val="-6"/>
        </w:rPr>
        <w:t> </w:t>
      </w:r>
      <w:r>
        <w:rPr/>
        <w:t>in</w:t>
      </w:r>
      <w:r>
        <w:rPr>
          <w:spacing w:val="-2"/>
        </w:rPr>
        <w:t> </w:t>
      </w:r>
      <w:r>
        <w:rPr/>
        <w:t>which she takes on the authority to speak and act on behalf of a party in the case at hand is through her assumption of the male identity. This act indicates that, in order to be regarded as an authoritative voice, one must also comply with masculine normative standards of legitimacy within the context of</w:t>
      </w:r>
      <w:r>
        <w:rPr>
          <w:spacing w:val="-1"/>
        </w:rPr>
        <w:t> </w:t>
      </w:r>
      <w:r>
        <w:rPr/>
        <w:t>legal discourse.</w:t>
      </w:r>
      <w:r>
        <w:rPr>
          <w:spacing w:val="-10"/>
        </w:rPr>
        <w:t> </w:t>
      </w:r>
      <w:r>
        <w:rPr/>
        <w:t>Although</w:t>
      </w:r>
      <w:r>
        <w:rPr>
          <w:spacing w:val="-1"/>
        </w:rPr>
        <w:t> </w:t>
      </w:r>
      <w:r>
        <w:rPr/>
        <w:t>her use of</w:t>
      </w:r>
      <w:r>
        <w:rPr>
          <w:spacing w:val="-1"/>
        </w:rPr>
        <w:t> </w:t>
      </w:r>
      <w:r>
        <w:rPr/>
        <w:t>disguise does not dispossess these patriarchal systems of power, it does illuminate how these structures create parameters that dictate who will speak with authority,</w:t>
      </w:r>
      <w:r>
        <w:rPr>
          <w:spacing w:val="-4"/>
        </w:rPr>
        <w:t> </w:t>
      </w:r>
      <w:r>
        <w:rPr/>
        <w:t>and</w:t>
      </w:r>
      <w:r>
        <w:rPr>
          <w:spacing w:val="-6"/>
        </w:rPr>
        <w:t> </w:t>
      </w:r>
      <w:r>
        <w:rPr/>
        <w:t>who</w:t>
      </w:r>
      <w:r>
        <w:rPr>
          <w:spacing w:val="-4"/>
        </w:rPr>
        <w:t> </w:t>
      </w:r>
      <w:r>
        <w:rPr/>
        <w:t>will</w:t>
      </w:r>
      <w:r>
        <w:rPr>
          <w:spacing w:val="-4"/>
        </w:rPr>
        <w:t> </w:t>
      </w:r>
      <w:r>
        <w:rPr/>
        <w:t>be</w:t>
      </w:r>
      <w:r>
        <w:rPr>
          <w:spacing w:val="-4"/>
        </w:rPr>
        <w:t> </w:t>
      </w:r>
      <w:r>
        <w:rPr/>
        <w:t>able</w:t>
      </w:r>
      <w:r>
        <w:rPr>
          <w:spacing w:val="-6"/>
        </w:rPr>
        <w:t> </w:t>
      </w:r>
      <w:r>
        <w:rPr/>
        <w:t>to</w:t>
      </w:r>
      <w:r>
        <w:rPr>
          <w:spacing w:val="-2"/>
        </w:rPr>
        <w:t> </w:t>
      </w:r>
      <w:r>
        <w:rPr/>
        <w:t>hear</w:t>
      </w:r>
      <w:r>
        <w:rPr>
          <w:spacing w:val="-4"/>
        </w:rPr>
        <w:t> </w:t>
      </w:r>
      <w:r>
        <w:rPr/>
        <w:t>them.</w:t>
      </w:r>
      <w:r>
        <w:rPr>
          <w:spacing w:val="-4"/>
        </w:rPr>
        <w:t> </w:t>
      </w:r>
      <w:r>
        <w:rPr/>
        <w:t>Foucault’s</w:t>
      </w:r>
      <w:r>
        <w:rPr>
          <w:spacing w:val="-7"/>
        </w:rPr>
        <w:t> </w:t>
      </w:r>
      <w:r>
        <w:rPr/>
        <w:t>theory</w:t>
      </w:r>
      <w:r>
        <w:rPr>
          <w:spacing w:val="-7"/>
        </w:rPr>
        <w:t> </w:t>
      </w:r>
      <w:r>
        <w:rPr/>
        <w:t>supports Portia’s</w:t>
      </w:r>
      <w:r>
        <w:rPr>
          <w:spacing w:val="-5"/>
        </w:rPr>
        <w:t> </w:t>
      </w:r>
      <w:r>
        <w:rPr/>
        <w:t>interface</w:t>
      </w:r>
      <w:r>
        <w:rPr>
          <w:spacing w:val="-5"/>
        </w:rPr>
        <w:t> </w:t>
      </w:r>
      <w:r>
        <w:rPr/>
        <w:t>with</w:t>
      </w:r>
      <w:r>
        <w:rPr>
          <w:spacing w:val="-9"/>
        </w:rPr>
        <w:t> </w:t>
      </w:r>
      <w:r>
        <w:rPr/>
        <w:t>authority,</w:t>
      </w:r>
      <w:r>
        <w:rPr>
          <w:spacing w:val="-5"/>
        </w:rPr>
        <w:t> </w:t>
      </w:r>
      <w:r>
        <w:rPr/>
        <w:t>as</w:t>
      </w:r>
      <w:r>
        <w:rPr>
          <w:spacing w:val="-7"/>
        </w:rPr>
        <w:t> </w:t>
      </w:r>
      <w:r>
        <w:rPr/>
        <w:t>Portia</w:t>
      </w:r>
      <w:r>
        <w:rPr>
          <w:spacing w:val="-5"/>
        </w:rPr>
        <w:t> </w:t>
      </w:r>
      <w:r>
        <w:rPr/>
        <w:t>accomplishes</w:t>
      </w:r>
      <w:r>
        <w:rPr>
          <w:spacing w:val="-9"/>
        </w:rPr>
        <w:t> </w:t>
      </w:r>
      <w:r>
        <w:rPr/>
        <w:t>this</w:t>
      </w:r>
      <w:r>
        <w:rPr>
          <w:spacing w:val="-5"/>
        </w:rPr>
        <w:t> </w:t>
      </w:r>
      <w:r>
        <w:rPr/>
        <w:t>through</w:t>
      </w:r>
      <w:r>
        <w:rPr>
          <w:spacing w:val="-7"/>
        </w:rPr>
        <w:t> </w:t>
      </w:r>
      <w:r>
        <w:rPr/>
        <w:t>the existing power structure, which is defined largely by masculine hetero normative principles of authority (Foucault, 1978). Although Portia’s success can be interpreted as evidence of the ability to hold intellectual authority</w:t>
      </w:r>
      <w:r>
        <w:rPr>
          <w:spacing w:val="-5"/>
        </w:rPr>
        <w:t> </w:t>
      </w:r>
      <w:r>
        <w:rPr/>
        <w:t>through</w:t>
      </w:r>
      <w:r>
        <w:rPr>
          <w:spacing w:val="-5"/>
        </w:rPr>
        <w:t> </w:t>
      </w:r>
      <w:r>
        <w:rPr/>
        <w:t>use</w:t>
      </w:r>
      <w:r>
        <w:rPr>
          <w:spacing w:val="-2"/>
        </w:rPr>
        <w:t> </w:t>
      </w:r>
      <w:r>
        <w:rPr/>
        <w:t>of</w:t>
      </w:r>
      <w:r>
        <w:rPr>
          <w:spacing w:val="-3"/>
        </w:rPr>
        <w:t> </w:t>
      </w:r>
      <w:r>
        <w:rPr/>
        <w:t>the</w:t>
      </w:r>
      <w:r>
        <w:rPr>
          <w:spacing w:val="-5"/>
        </w:rPr>
        <w:t> </w:t>
      </w:r>
      <w:r>
        <w:rPr/>
        <w:t>disguised</w:t>
      </w:r>
      <w:r>
        <w:rPr>
          <w:spacing w:val="-2"/>
        </w:rPr>
        <w:t> </w:t>
      </w:r>
      <w:r>
        <w:rPr/>
        <w:t>identity,</w:t>
      </w:r>
      <w:r>
        <w:rPr>
          <w:spacing w:val="-3"/>
        </w:rPr>
        <w:t> </w:t>
      </w:r>
      <w:r>
        <w:rPr/>
        <w:t>it</w:t>
      </w:r>
      <w:r>
        <w:rPr>
          <w:spacing w:val="-2"/>
        </w:rPr>
        <w:t> </w:t>
      </w:r>
      <w:r>
        <w:rPr/>
        <w:t>can</w:t>
      </w:r>
      <w:r>
        <w:rPr>
          <w:spacing w:val="-3"/>
        </w:rPr>
        <w:t> </w:t>
      </w:r>
      <w:r>
        <w:rPr/>
        <w:t>also</w:t>
      </w:r>
      <w:r>
        <w:rPr>
          <w:spacing w:val="-3"/>
        </w:rPr>
        <w:t> </w:t>
      </w:r>
      <w:r>
        <w:rPr/>
        <w:t>be</w:t>
      </w:r>
      <w:r>
        <w:rPr>
          <w:spacing w:val="-2"/>
        </w:rPr>
        <w:t> </w:t>
      </w:r>
      <w:r>
        <w:rPr/>
        <w:t>interpreted as evidence of the fact that, in order to hold intellectual authority, one must also hold a masculine identity and possess mastery. The tension </w:t>
      </w:r>
      <w:r>
        <w:rPr>
          <w:spacing w:val="-2"/>
        </w:rPr>
        <w:t>created</w:t>
      </w:r>
      <w:r>
        <w:rPr>
          <w:spacing w:val="-11"/>
        </w:rPr>
        <w:t> </w:t>
      </w:r>
      <w:r>
        <w:rPr>
          <w:spacing w:val="-2"/>
        </w:rPr>
        <w:t>by</w:t>
      </w:r>
      <w:r>
        <w:rPr>
          <w:spacing w:val="-10"/>
        </w:rPr>
        <w:t> </w:t>
      </w:r>
      <w:r>
        <w:rPr>
          <w:spacing w:val="-2"/>
        </w:rPr>
        <w:t>this</w:t>
      </w:r>
      <w:r>
        <w:rPr>
          <w:spacing w:val="-11"/>
        </w:rPr>
        <w:t> </w:t>
      </w:r>
      <w:r>
        <w:rPr>
          <w:spacing w:val="-2"/>
        </w:rPr>
        <w:t>dynamic</w:t>
      </w:r>
      <w:r>
        <w:rPr>
          <w:spacing w:val="-10"/>
        </w:rPr>
        <w:t> </w:t>
      </w:r>
      <w:r>
        <w:rPr>
          <w:spacing w:val="-2"/>
        </w:rPr>
        <w:t>is</w:t>
      </w:r>
      <w:r>
        <w:rPr>
          <w:spacing w:val="-11"/>
        </w:rPr>
        <w:t> </w:t>
      </w:r>
      <w:r>
        <w:rPr>
          <w:spacing w:val="-2"/>
        </w:rPr>
        <w:t>one</w:t>
      </w:r>
      <w:r>
        <w:rPr>
          <w:spacing w:val="-8"/>
        </w:rPr>
        <w:t> </w:t>
      </w:r>
      <w:r>
        <w:rPr>
          <w:spacing w:val="-2"/>
        </w:rPr>
        <w:t>of</w:t>
      </w:r>
      <w:r>
        <w:rPr>
          <w:spacing w:val="-11"/>
        </w:rPr>
        <w:t> </w:t>
      </w:r>
      <w:r>
        <w:rPr>
          <w:spacing w:val="-2"/>
        </w:rPr>
        <w:t>compliance</w:t>
      </w:r>
      <w:r>
        <w:rPr>
          <w:spacing w:val="-10"/>
        </w:rPr>
        <w:t> </w:t>
      </w:r>
      <w:r>
        <w:rPr>
          <w:spacing w:val="-2"/>
        </w:rPr>
        <w:t>and</w:t>
      </w:r>
      <w:r>
        <w:rPr>
          <w:spacing w:val="-7"/>
        </w:rPr>
        <w:t> </w:t>
      </w:r>
      <w:r>
        <w:rPr>
          <w:spacing w:val="-2"/>
        </w:rPr>
        <w:t>empowerment.</w:t>
      </w:r>
      <w:r>
        <w:rPr>
          <w:spacing w:val="-7"/>
        </w:rPr>
        <w:t> </w:t>
      </w:r>
      <w:r>
        <w:rPr>
          <w:spacing w:val="-2"/>
        </w:rPr>
        <w:t>Through </w:t>
      </w:r>
      <w:r>
        <w:rPr/>
        <w:t>her actions as an empowered agent of authority in the classroom, Portia’s</w:t>
      </w:r>
      <w:r>
        <w:rPr>
          <w:spacing w:val="-2"/>
        </w:rPr>
        <w:t> </w:t>
      </w:r>
      <w:r>
        <w:rPr/>
        <w:t>example</w:t>
      </w:r>
      <w:r>
        <w:rPr>
          <w:spacing w:val="-1"/>
        </w:rPr>
        <w:t> </w:t>
      </w:r>
      <w:r>
        <w:rPr/>
        <w:t>provides</w:t>
      </w:r>
      <w:r>
        <w:rPr>
          <w:spacing w:val="-2"/>
        </w:rPr>
        <w:t> </w:t>
      </w:r>
      <w:r>
        <w:rPr/>
        <w:t>one</w:t>
      </w:r>
      <w:r>
        <w:rPr>
          <w:spacing w:val="-1"/>
        </w:rPr>
        <w:t> </w:t>
      </w:r>
      <w:r>
        <w:rPr/>
        <w:t>with</w:t>
      </w:r>
      <w:r>
        <w:rPr>
          <w:spacing w:val="-2"/>
        </w:rPr>
        <w:t> </w:t>
      </w:r>
      <w:r>
        <w:rPr/>
        <w:t>the</w:t>
      </w:r>
      <w:r>
        <w:rPr>
          <w:spacing w:val="-2"/>
        </w:rPr>
        <w:t> </w:t>
      </w:r>
      <w:r>
        <w:rPr/>
        <w:t>opportunity</w:t>
      </w:r>
      <w:r>
        <w:rPr>
          <w:spacing w:val="-6"/>
        </w:rPr>
        <w:t> </w:t>
      </w:r>
      <w:r>
        <w:rPr/>
        <w:t>to</w:t>
      </w:r>
      <w:r>
        <w:rPr>
          <w:spacing w:val="-1"/>
        </w:rPr>
        <w:t> </w:t>
      </w:r>
      <w:r>
        <w:rPr/>
        <w:t>engage</w:t>
      </w:r>
      <w:r>
        <w:rPr>
          <w:spacing w:val="-3"/>
        </w:rPr>
        <w:t> </w:t>
      </w:r>
      <w:r>
        <w:rPr/>
        <w:t>in</w:t>
      </w:r>
      <w:r>
        <w:rPr>
          <w:spacing w:val="-2"/>
        </w:rPr>
        <w:t> </w:t>
      </w:r>
      <w:r>
        <w:rPr/>
        <w:t>critical analysis</w:t>
      </w:r>
      <w:r>
        <w:rPr>
          <w:spacing w:val="21"/>
        </w:rPr>
        <w:t> </w:t>
      </w:r>
      <w:r>
        <w:rPr/>
        <w:t>of</w:t>
      </w:r>
      <w:r>
        <w:rPr>
          <w:spacing w:val="19"/>
        </w:rPr>
        <w:t> </w:t>
      </w:r>
      <w:r>
        <w:rPr/>
        <w:t>the</w:t>
      </w:r>
      <w:r>
        <w:rPr>
          <w:spacing w:val="22"/>
        </w:rPr>
        <w:t> </w:t>
      </w:r>
      <w:r>
        <w:rPr/>
        <w:t>intersection</w:t>
      </w:r>
      <w:r>
        <w:rPr>
          <w:spacing w:val="20"/>
        </w:rPr>
        <w:t> </w:t>
      </w:r>
      <w:r>
        <w:rPr/>
        <w:t>between</w:t>
      </w:r>
      <w:r>
        <w:rPr>
          <w:spacing w:val="20"/>
        </w:rPr>
        <w:t> </w:t>
      </w:r>
      <w:r>
        <w:rPr/>
        <w:t>gender</w:t>
      </w:r>
      <w:r>
        <w:rPr>
          <w:spacing w:val="21"/>
        </w:rPr>
        <w:t> </w:t>
      </w:r>
      <w:r>
        <w:rPr/>
        <w:t>and</w:t>
      </w:r>
      <w:r>
        <w:rPr>
          <w:spacing w:val="22"/>
        </w:rPr>
        <w:t> </w:t>
      </w:r>
      <w:r>
        <w:rPr/>
        <w:t>institutional</w:t>
      </w:r>
      <w:r>
        <w:rPr>
          <w:spacing w:val="21"/>
        </w:rPr>
        <w:t> </w:t>
      </w:r>
      <w:r>
        <w:rPr>
          <w:spacing w:val="-2"/>
        </w:rPr>
        <w:t>authority</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97248">
                <wp:simplePos x="0" y="0"/>
                <wp:positionH relativeFrom="page">
                  <wp:posOffset>2065020</wp:posOffset>
                </wp:positionH>
                <wp:positionV relativeFrom="paragraph">
                  <wp:posOffset>795020</wp:posOffset>
                </wp:positionV>
                <wp:extent cx="3657600" cy="12700"/>
                <wp:effectExtent l="0" t="0" r="0" b="0"/>
                <wp:wrapTopAndBottom/>
                <wp:docPr id="580" name="Graphic 580"/>
                <wp:cNvGraphicFramePr>
                  <a:graphicFrameLocks/>
                </wp:cNvGraphicFramePr>
                <a:graphic>
                  <a:graphicData uri="http://schemas.microsoft.com/office/word/2010/wordprocessingShape">
                    <wps:wsp>
                      <wps:cNvPr id="580" name="Graphic 58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19232;mso-wrap-distance-left:0;mso-wrap-distance-right:0" id="docshape572" filled="true" fillcolor="#000000" stroked="false">
                <v:fill type="solid"/>
                <w10:wrap type="topAndBottom"/>
              </v:rect>
            </w:pict>
          </mc:Fallback>
        </mc:AlternateContent>
      </w:r>
      <w:r>
        <w:rPr>
          <w:rFonts w:ascii="Verdana"/>
          <w:sz w:val="18"/>
        </w:rPr>
        <w:t>Teaching</w:t>
      </w:r>
      <w:r>
        <w:rPr>
          <w:rFonts w:ascii="Verdana"/>
          <w:spacing w:val="9"/>
          <w:sz w:val="18"/>
        </w:rPr>
        <w:t> </w:t>
      </w:r>
      <w:r>
        <w:rPr>
          <w:rFonts w:ascii="Verdana"/>
          <w:sz w:val="18"/>
        </w:rPr>
        <w:t>Gender</w:t>
      </w:r>
      <w:r>
        <w:rPr>
          <w:rFonts w:ascii="Verdana"/>
          <w:spacing w:val="12"/>
          <w:sz w:val="18"/>
        </w:rPr>
        <w:t> </w:t>
      </w:r>
      <w:r>
        <w:rPr>
          <w:rFonts w:ascii="Verdana"/>
          <w:sz w:val="18"/>
        </w:rPr>
        <w:t>and</w:t>
      </w:r>
      <w:r>
        <w:rPr>
          <w:rFonts w:ascii="Verdana"/>
          <w:spacing w:val="11"/>
          <w:sz w:val="18"/>
        </w:rPr>
        <w:t> </w:t>
      </w:r>
      <w:r>
        <w:rPr>
          <w:rFonts w:ascii="Verdana"/>
          <w:sz w:val="18"/>
        </w:rPr>
        <w:t>Power</w:t>
      </w:r>
      <w:r>
        <w:rPr>
          <w:rFonts w:ascii="Verdana"/>
          <w:spacing w:val="10"/>
          <w:sz w:val="18"/>
        </w:rPr>
        <w:t> </w:t>
      </w:r>
      <w:r>
        <w:rPr>
          <w:rFonts w:ascii="Verdana"/>
          <w:sz w:val="18"/>
        </w:rPr>
        <w:t>through</w:t>
      </w:r>
      <w:r>
        <w:rPr>
          <w:rFonts w:ascii="Verdana"/>
          <w:spacing w:val="13"/>
          <w:sz w:val="18"/>
        </w:rPr>
        <w:t> </w:t>
      </w:r>
      <w:r>
        <w:rPr>
          <w:rFonts w:ascii="Verdana"/>
          <w:spacing w:val="-2"/>
          <w:sz w:val="18"/>
        </w:rPr>
        <w:t>Shakespeare...</w:t>
      </w:r>
      <w:r>
        <w:rPr>
          <w:sz w:val="18"/>
        </w:rPr>
        <w:tab/>
      </w:r>
      <w:r>
        <w:rPr>
          <w:rFonts w:ascii="Verdana"/>
          <w:spacing w:val="-5"/>
          <w:sz w:val="18"/>
        </w:rPr>
        <w:t>279</w:t>
      </w:r>
    </w:p>
    <w:p>
      <w:pPr>
        <w:pStyle w:val="BodyText"/>
        <w:spacing w:line="249" w:lineRule="auto" w:before="192"/>
        <w:ind w:right="1437"/>
      </w:pPr>
      <w:r>
        <w:rPr/>
        <w:t>and</w:t>
      </w:r>
      <w:r>
        <w:rPr>
          <w:spacing w:val="40"/>
        </w:rPr>
        <w:t> </w:t>
      </w:r>
      <w:r>
        <w:rPr/>
        <w:t>the</w:t>
      </w:r>
      <w:r>
        <w:rPr>
          <w:spacing w:val="40"/>
        </w:rPr>
        <w:t> </w:t>
      </w:r>
      <w:r>
        <w:rPr/>
        <w:t>ways</w:t>
      </w:r>
      <w:r>
        <w:rPr>
          <w:spacing w:val="40"/>
        </w:rPr>
        <w:t> </w:t>
      </w:r>
      <w:r>
        <w:rPr/>
        <w:t>in</w:t>
      </w:r>
      <w:r>
        <w:rPr>
          <w:spacing w:val="40"/>
        </w:rPr>
        <w:t> </w:t>
      </w:r>
      <w:r>
        <w:rPr/>
        <w:t>which</w:t>
      </w:r>
      <w:r>
        <w:rPr>
          <w:spacing w:val="40"/>
        </w:rPr>
        <w:t> </w:t>
      </w:r>
      <w:r>
        <w:rPr/>
        <w:t>competency</w:t>
      </w:r>
      <w:r>
        <w:rPr>
          <w:spacing w:val="40"/>
        </w:rPr>
        <w:t> </w:t>
      </w:r>
      <w:r>
        <w:rPr/>
        <w:t>is</w:t>
      </w:r>
      <w:r>
        <w:rPr>
          <w:spacing w:val="40"/>
        </w:rPr>
        <w:t> </w:t>
      </w:r>
      <w:r>
        <w:rPr/>
        <w:t>often</w:t>
      </w:r>
      <w:r>
        <w:rPr>
          <w:spacing w:val="40"/>
        </w:rPr>
        <w:t> </w:t>
      </w:r>
      <w:r>
        <w:rPr/>
        <w:t>validated</w:t>
      </w:r>
      <w:r>
        <w:rPr>
          <w:spacing w:val="40"/>
        </w:rPr>
        <w:t> </w:t>
      </w:r>
      <w:r>
        <w:rPr/>
        <w:t>only</w:t>
      </w:r>
      <w:r>
        <w:rPr>
          <w:spacing w:val="40"/>
        </w:rPr>
        <w:t> </w:t>
      </w:r>
      <w:r>
        <w:rPr/>
        <w:t>when</w:t>
      </w:r>
      <w:r>
        <w:rPr>
          <w:spacing w:val="40"/>
        </w:rPr>
        <w:t> </w:t>
      </w:r>
      <w:r>
        <w:rPr/>
        <w:t>conforming</w:t>
      </w:r>
      <w:r>
        <w:rPr>
          <w:spacing w:val="40"/>
        </w:rPr>
        <w:t> </w:t>
      </w:r>
      <w:r>
        <w:rPr/>
        <w:t>to</w:t>
      </w:r>
      <w:r>
        <w:rPr>
          <w:spacing w:val="40"/>
        </w:rPr>
        <w:t> </w:t>
      </w:r>
      <w:r>
        <w:rPr/>
        <w:t>the</w:t>
      </w:r>
      <w:r>
        <w:rPr>
          <w:spacing w:val="40"/>
        </w:rPr>
        <w:t> </w:t>
      </w:r>
      <w:r>
        <w:rPr/>
        <w:t>gendered</w:t>
      </w:r>
      <w:r>
        <w:rPr>
          <w:spacing w:val="40"/>
        </w:rPr>
        <w:t> </w:t>
      </w:r>
      <w:r>
        <w:rPr/>
        <w:t>norm</w:t>
      </w:r>
      <w:r>
        <w:rPr>
          <w:spacing w:val="40"/>
        </w:rPr>
        <w:t> </w:t>
      </w:r>
      <w:r>
        <w:rPr/>
        <w:t>of</w:t>
      </w:r>
      <w:r>
        <w:rPr>
          <w:spacing w:val="40"/>
        </w:rPr>
        <w:t> </w:t>
      </w:r>
      <w:r>
        <w:rPr/>
        <w:t>socially</w:t>
      </w:r>
      <w:r>
        <w:rPr>
          <w:spacing w:val="40"/>
        </w:rPr>
        <w:t> </w:t>
      </w:r>
      <w:r>
        <w:rPr/>
        <w:t>constructed</w:t>
      </w:r>
      <w:r>
        <w:rPr>
          <w:spacing w:val="40"/>
        </w:rPr>
        <w:t> </w:t>
      </w:r>
      <w:r>
        <w:rPr/>
        <w:t>identity.</w:t>
      </w:r>
    </w:p>
    <w:p>
      <w:pPr>
        <w:pStyle w:val="Heading5"/>
        <w:numPr>
          <w:ilvl w:val="1"/>
          <w:numId w:val="62"/>
        </w:numPr>
        <w:tabs>
          <w:tab w:pos="1905" w:val="left" w:leader="none"/>
        </w:tabs>
        <w:spacing w:line="244" w:lineRule="auto" w:before="109" w:after="0"/>
        <w:ind w:left="1440" w:right="1439" w:firstLine="0"/>
        <w:jc w:val="left"/>
      </w:pPr>
      <w:r>
        <w:rPr>
          <w:w w:val="105"/>
        </w:rPr>
        <w:t>Rosalind:</w:t>
      </w:r>
      <w:r>
        <w:rPr>
          <w:spacing w:val="80"/>
          <w:w w:val="105"/>
        </w:rPr>
        <w:t> </w:t>
      </w:r>
      <w:r>
        <w:rPr>
          <w:w w:val="105"/>
        </w:rPr>
        <w:t>The</w:t>
      </w:r>
      <w:r>
        <w:rPr>
          <w:spacing w:val="80"/>
          <w:w w:val="105"/>
        </w:rPr>
        <w:t> </w:t>
      </w:r>
      <w:r>
        <w:rPr>
          <w:w w:val="105"/>
        </w:rPr>
        <w:t>Performativity</w:t>
      </w:r>
      <w:r>
        <w:rPr>
          <w:spacing w:val="80"/>
          <w:w w:val="105"/>
        </w:rPr>
        <w:t> </w:t>
      </w:r>
      <w:r>
        <w:rPr>
          <w:w w:val="105"/>
        </w:rPr>
        <w:t>and</w:t>
      </w:r>
      <w:r>
        <w:rPr>
          <w:spacing w:val="80"/>
          <w:w w:val="105"/>
        </w:rPr>
        <w:t> </w:t>
      </w:r>
      <w:r>
        <w:rPr>
          <w:w w:val="105"/>
        </w:rPr>
        <w:t>Creation</w:t>
      </w:r>
      <w:r>
        <w:rPr>
          <w:spacing w:val="80"/>
          <w:w w:val="105"/>
        </w:rPr>
        <w:t> </w:t>
      </w:r>
      <w:r>
        <w:rPr>
          <w:w w:val="105"/>
        </w:rPr>
        <w:t>of</w:t>
      </w:r>
      <w:r>
        <w:rPr>
          <w:spacing w:val="40"/>
          <w:w w:val="105"/>
        </w:rPr>
        <w:t> </w:t>
      </w:r>
      <w:r>
        <w:rPr>
          <w:spacing w:val="-2"/>
          <w:w w:val="105"/>
        </w:rPr>
        <w:t>Gender</w:t>
      </w:r>
    </w:p>
    <w:p>
      <w:pPr>
        <w:pStyle w:val="BodyText"/>
        <w:spacing w:line="249" w:lineRule="auto" w:before="67"/>
        <w:ind w:right="1437" w:firstLine="432"/>
        <w:jc w:val="both"/>
      </w:pPr>
      <w:r>
        <w:rPr/>
        <w:t>Rosalind’s long-time use of Ganymede demonstrates that the constructed quality of gender identity has a significant effect on how people think about and understand their own identities. Her ability to swap her roles proves that they are not concrete traits associated with someone but rather things that are performed as a direct consequence</w:t>
      </w:r>
      <w:r>
        <w:rPr>
          <w:spacing w:val="80"/>
        </w:rPr>
        <w:t> </w:t>
      </w:r>
      <w:r>
        <w:rPr/>
        <w:t>of how you act towards others in a particular situation. Judith Butler </w:t>
      </w:r>
      <w:r>
        <w:rPr>
          <w:spacing w:val="-4"/>
        </w:rPr>
        <w:t>refers to this idea in the context</w:t>
      </w:r>
      <w:r>
        <w:rPr>
          <w:spacing w:val="-5"/>
        </w:rPr>
        <w:t> </w:t>
      </w:r>
      <w:r>
        <w:rPr>
          <w:spacing w:val="-4"/>
        </w:rPr>
        <w:t>of gender roles</w:t>
      </w:r>
      <w:r>
        <w:rPr>
          <w:spacing w:val="-6"/>
        </w:rPr>
        <w:t> </w:t>
      </w:r>
      <w:r>
        <w:rPr>
          <w:spacing w:val="-4"/>
        </w:rPr>
        <w:t>as</w:t>
      </w:r>
      <w:r>
        <w:rPr>
          <w:spacing w:val="-6"/>
        </w:rPr>
        <w:t> </w:t>
      </w:r>
      <w:r>
        <w:rPr>
          <w:spacing w:val="-4"/>
        </w:rPr>
        <w:t>“gender performativity,” </w:t>
      </w:r>
      <w:r>
        <w:rPr/>
        <w:t>meaning that your own identity comes from the actions you constantly perform</w:t>
      </w:r>
      <w:r>
        <w:rPr>
          <w:spacing w:val="-1"/>
        </w:rPr>
        <w:t> </w:t>
      </w:r>
      <w:r>
        <w:rPr/>
        <w:t>and not directly from</w:t>
      </w:r>
      <w:r>
        <w:rPr>
          <w:spacing w:val="-1"/>
        </w:rPr>
        <w:t> </w:t>
      </w:r>
      <w:r>
        <w:rPr/>
        <w:t>who you are. By performing in this way, Rosalind not only creates and performs her identities but also gains some level of</w:t>
      </w:r>
      <w:r>
        <w:rPr>
          <w:spacing w:val="-2"/>
        </w:rPr>
        <w:t> </w:t>
      </w:r>
      <w:r>
        <w:rPr/>
        <w:t>power over how</w:t>
      </w:r>
      <w:r>
        <w:rPr>
          <w:spacing w:val="-2"/>
        </w:rPr>
        <w:t> </w:t>
      </w:r>
      <w:r>
        <w:rPr/>
        <w:t>both her story</w:t>
      </w:r>
      <w:r>
        <w:rPr>
          <w:spacing w:val="-4"/>
        </w:rPr>
        <w:t> </w:t>
      </w:r>
      <w:r>
        <w:rPr/>
        <w:t>and her relationships with others progress because of the way she is able to perform. She can access</w:t>
      </w:r>
      <w:r>
        <w:rPr>
          <w:spacing w:val="-5"/>
        </w:rPr>
        <w:t> </w:t>
      </w:r>
      <w:r>
        <w:rPr/>
        <w:t>areas</w:t>
      </w:r>
      <w:r>
        <w:rPr>
          <w:spacing w:val="-9"/>
        </w:rPr>
        <w:t> </w:t>
      </w:r>
      <w:r>
        <w:rPr/>
        <w:t>that</w:t>
      </w:r>
      <w:r>
        <w:rPr>
          <w:spacing w:val="-7"/>
        </w:rPr>
        <w:t> </w:t>
      </w:r>
      <w:r>
        <w:rPr/>
        <w:t>would</w:t>
      </w:r>
      <w:r>
        <w:rPr>
          <w:spacing w:val="-7"/>
        </w:rPr>
        <w:t> </w:t>
      </w:r>
      <w:r>
        <w:rPr/>
        <w:t>have</w:t>
      </w:r>
      <w:r>
        <w:rPr>
          <w:spacing w:val="-4"/>
        </w:rPr>
        <w:t> </w:t>
      </w:r>
      <w:r>
        <w:rPr/>
        <w:t>been</w:t>
      </w:r>
      <w:r>
        <w:rPr>
          <w:spacing w:val="-10"/>
        </w:rPr>
        <w:t> </w:t>
      </w:r>
      <w:r>
        <w:rPr/>
        <w:t>otherwise</w:t>
      </w:r>
      <w:r>
        <w:rPr>
          <w:spacing w:val="-4"/>
        </w:rPr>
        <w:t> </w:t>
      </w:r>
      <w:r>
        <w:rPr/>
        <w:t>closed</w:t>
      </w:r>
      <w:r>
        <w:rPr>
          <w:spacing w:val="-7"/>
        </w:rPr>
        <w:t> </w:t>
      </w:r>
      <w:r>
        <w:rPr/>
        <w:t>off</w:t>
      </w:r>
      <w:r>
        <w:rPr>
          <w:spacing w:val="-7"/>
        </w:rPr>
        <w:t> </w:t>
      </w:r>
      <w:r>
        <w:rPr/>
        <w:t>to</w:t>
      </w:r>
      <w:r>
        <w:rPr>
          <w:spacing w:val="-7"/>
        </w:rPr>
        <w:t> </w:t>
      </w:r>
      <w:r>
        <w:rPr/>
        <w:t>her.</w:t>
      </w:r>
      <w:r>
        <w:rPr>
          <w:spacing w:val="-7"/>
        </w:rPr>
        <w:t> </w:t>
      </w:r>
      <w:r>
        <w:rPr/>
        <w:t>However, the fact that she can do so is contingent upon her disguise, which demonstrates</w:t>
      </w:r>
      <w:r>
        <w:rPr>
          <w:spacing w:val="-1"/>
        </w:rPr>
        <w:t> </w:t>
      </w:r>
      <w:r>
        <w:rPr/>
        <w:t>that</w:t>
      </w:r>
      <w:r>
        <w:rPr>
          <w:spacing w:val="-1"/>
        </w:rPr>
        <w:t> </w:t>
      </w:r>
      <w:r>
        <w:rPr/>
        <w:t>freedom</w:t>
      </w:r>
      <w:r>
        <w:rPr>
          <w:spacing w:val="-4"/>
        </w:rPr>
        <w:t> </w:t>
      </w:r>
      <w:r>
        <w:rPr/>
        <w:t>is</w:t>
      </w:r>
      <w:r>
        <w:rPr>
          <w:spacing w:val="-1"/>
        </w:rPr>
        <w:t> </w:t>
      </w:r>
      <w:r>
        <w:rPr/>
        <w:t>contingent upon</w:t>
      </w:r>
      <w:r>
        <w:rPr>
          <w:spacing w:val="-3"/>
        </w:rPr>
        <w:t> </w:t>
      </w:r>
      <w:r>
        <w:rPr/>
        <w:t>conforming</w:t>
      </w:r>
      <w:r>
        <w:rPr>
          <w:spacing w:val="-1"/>
        </w:rPr>
        <w:t> </w:t>
      </w:r>
      <w:r>
        <w:rPr/>
        <w:t>to</w:t>
      </w:r>
      <w:r>
        <w:rPr>
          <w:spacing w:val="-1"/>
        </w:rPr>
        <w:t> </w:t>
      </w:r>
      <w:r>
        <w:rPr/>
        <w:t>alternative </w:t>
      </w:r>
      <w:r>
        <w:rPr>
          <w:spacing w:val="-2"/>
        </w:rPr>
        <w:t>expectations for gender. From</w:t>
      </w:r>
      <w:r>
        <w:rPr>
          <w:spacing w:val="-8"/>
        </w:rPr>
        <w:t> </w:t>
      </w:r>
      <w:r>
        <w:rPr>
          <w:spacing w:val="-2"/>
        </w:rPr>
        <w:t>a pedagogical perspective, Rosalind offers </w:t>
      </w:r>
      <w:r>
        <w:rPr/>
        <w:t>a multifaceted way to study how identity is constructed, negotiated,</w:t>
      </w:r>
      <w:r>
        <w:rPr>
          <w:spacing w:val="80"/>
        </w:rPr>
        <w:t> </w:t>
      </w:r>
      <w:r>
        <w:rPr/>
        <w:t>and</w:t>
      </w:r>
      <w:r>
        <w:rPr>
          <w:spacing w:val="40"/>
        </w:rPr>
        <w:t> </w:t>
      </w:r>
      <w:r>
        <w:rPr/>
        <w:t>regulated</w:t>
      </w:r>
      <w:r>
        <w:rPr>
          <w:spacing w:val="40"/>
        </w:rPr>
        <w:t> </w:t>
      </w:r>
      <w:r>
        <w:rPr/>
        <w:t>in</w:t>
      </w:r>
      <w:r>
        <w:rPr>
          <w:spacing w:val="40"/>
        </w:rPr>
        <w:t> </w:t>
      </w:r>
      <w:r>
        <w:rPr/>
        <w:t>social</w:t>
      </w:r>
      <w:r>
        <w:rPr>
          <w:spacing w:val="40"/>
        </w:rPr>
        <w:t> </w:t>
      </w:r>
      <w:r>
        <w:rPr/>
        <w:t>contexts.</w:t>
      </w:r>
    </w:p>
    <w:p>
      <w:pPr>
        <w:pStyle w:val="Heading5"/>
        <w:numPr>
          <w:ilvl w:val="1"/>
          <w:numId w:val="62"/>
        </w:numPr>
        <w:tabs>
          <w:tab w:pos="1820" w:val="left" w:leader="none"/>
        </w:tabs>
        <w:spacing w:line="240" w:lineRule="auto" w:before="123" w:after="0"/>
        <w:ind w:left="1820" w:right="0" w:hanging="380"/>
        <w:jc w:val="left"/>
      </w:pPr>
      <w:r>
        <w:rPr>
          <w:w w:val="105"/>
        </w:rPr>
        <w:t>Viola:</w:t>
      </w:r>
      <w:r>
        <w:rPr>
          <w:spacing w:val="23"/>
          <w:w w:val="105"/>
        </w:rPr>
        <w:t> </w:t>
      </w:r>
      <w:r>
        <w:rPr>
          <w:w w:val="105"/>
        </w:rPr>
        <w:t>Emotions,</w:t>
      </w:r>
      <w:r>
        <w:rPr>
          <w:spacing w:val="23"/>
          <w:w w:val="105"/>
        </w:rPr>
        <w:t> </w:t>
      </w:r>
      <w:r>
        <w:rPr>
          <w:w w:val="105"/>
        </w:rPr>
        <w:t>Identity</w:t>
      </w:r>
      <w:r>
        <w:rPr>
          <w:spacing w:val="23"/>
          <w:w w:val="105"/>
        </w:rPr>
        <w:t> </w:t>
      </w:r>
      <w:r>
        <w:rPr>
          <w:w w:val="105"/>
        </w:rPr>
        <w:t>and</w:t>
      </w:r>
      <w:r>
        <w:rPr>
          <w:spacing w:val="23"/>
          <w:w w:val="105"/>
        </w:rPr>
        <w:t> </w:t>
      </w:r>
      <w:r>
        <w:rPr>
          <w:w w:val="105"/>
        </w:rPr>
        <w:t>Negotiation</w:t>
      </w:r>
      <w:r>
        <w:rPr>
          <w:spacing w:val="21"/>
          <w:w w:val="105"/>
        </w:rPr>
        <w:t> </w:t>
      </w:r>
      <w:r>
        <w:rPr>
          <w:w w:val="105"/>
        </w:rPr>
        <w:t>of</w:t>
      </w:r>
      <w:r>
        <w:rPr>
          <w:spacing w:val="23"/>
          <w:w w:val="105"/>
        </w:rPr>
        <w:t> </w:t>
      </w:r>
      <w:r>
        <w:rPr>
          <w:spacing w:val="-2"/>
          <w:w w:val="105"/>
        </w:rPr>
        <w:t>Desire</w:t>
      </w:r>
    </w:p>
    <w:p>
      <w:pPr>
        <w:pStyle w:val="BodyText"/>
        <w:spacing w:line="249" w:lineRule="auto" w:before="71"/>
        <w:ind w:right="1437" w:firstLine="432"/>
        <w:jc w:val="both"/>
      </w:pPr>
      <w:r>
        <w:rPr/>
        <w:t>Viola’s disguise leads to a complex relationship between gender and desire, which indicates how quickly established gender norms can change. By creating a space for herself through disguise, she causes emotional confusion regarding the alignment of attraction and identity in</w:t>
      </w:r>
      <w:r>
        <w:rPr>
          <w:spacing w:val="-5"/>
        </w:rPr>
        <w:t> </w:t>
      </w:r>
      <w:r>
        <w:rPr/>
        <w:t>ways</w:t>
      </w:r>
      <w:r>
        <w:rPr>
          <w:spacing w:val="-7"/>
        </w:rPr>
        <w:t> </w:t>
      </w:r>
      <w:r>
        <w:rPr/>
        <w:t>that</w:t>
      </w:r>
      <w:r>
        <w:rPr>
          <w:spacing w:val="-4"/>
        </w:rPr>
        <w:t> </w:t>
      </w:r>
      <w:r>
        <w:rPr/>
        <w:t>deviate</w:t>
      </w:r>
      <w:r>
        <w:rPr>
          <w:spacing w:val="-5"/>
        </w:rPr>
        <w:t> </w:t>
      </w:r>
      <w:r>
        <w:rPr/>
        <w:t>from</w:t>
      </w:r>
      <w:r>
        <w:rPr>
          <w:spacing w:val="-8"/>
        </w:rPr>
        <w:t> </w:t>
      </w:r>
      <w:r>
        <w:rPr/>
        <w:t>traditional</w:t>
      </w:r>
      <w:r>
        <w:rPr>
          <w:spacing w:val="-5"/>
        </w:rPr>
        <w:t> </w:t>
      </w:r>
      <w:r>
        <w:rPr/>
        <w:t>expectations.</w:t>
      </w:r>
      <w:r>
        <w:rPr>
          <w:spacing w:val="-4"/>
        </w:rPr>
        <w:t> </w:t>
      </w:r>
      <w:r>
        <w:rPr/>
        <w:t>This</w:t>
      </w:r>
      <w:r>
        <w:rPr>
          <w:spacing w:val="-5"/>
        </w:rPr>
        <w:t> </w:t>
      </w:r>
      <w:r>
        <w:rPr/>
        <w:t>misalignment</w:t>
      </w:r>
      <w:r>
        <w:rPr>
          <w:spacing w:val="-4"/>
        </w:rPr>
        <w:t> </w:t>
      </w:r>
      <w:r>
        <w:rPr/>
        <w:t>of desire and identity demonstrates the fluidity of desire, as well as the </w:t>
      </w:r>
      <w:r>
        <w:rPr>
          <w:spacing w:val="-4"/>
        </w:rPr>
        <w:t>limitations of rigid gender categorization systems. Utilising Freud’s (1917/ </w:t>
      </w:r>
      <w:r>
        <w:rPr/>
        <w:t>1957) psychoanalytic analysis of desire, it is evident that the way</w:t>
      </w:r>
      <w:r>
        <w:rPr>
          <w:spacing w:val="-4"/>
        </w:rPr>
        <w:t> </w:t>
      </w:r>
      <w:r>
        <w:rPr/>
        <w:t>Viola </w:t>
      </w:r>
      <w:r>
        <w:rPr>
          <w:spacing w:val="-2"/>
        </w:rPr>
        <w:t>experiences</w:t>
      </w:r>
      <w:r>
        <w:rPr>
          <w:spacing w:val="-11"/>
        </w:rPr>
        <w:t> </w:t>
      </w:r>
      <w:r>
        <w:rPr>
          <w:spacing w:val="-2"/>
        </w:rPr>
        <w:t>her</w:t>
      </w:r>
      <w:r>
        <w:rPr>
          <w:spacing w:val="-7"/>
        </w:rPr>
        <w:t> </w:t>
      </w:r>
      <w:r>
        <w:rPr>
          <w:spacing w:val="-2"/>
        </w:rPr>
        <w:t>desire</w:t>
      </w:r>
      <w:r>
        <w:rPr>
          <w:spacing w:val="-8"/>
        </w:rPr>
        <w:t> </w:t>
      </w:r>
      <w:r>
        <w:rPr>
          <w:spacing w:val="-2"/>
        </w:rPr>
        <w:t>is</w:t>
      </w:r>
      <w:r>
        <w:rPr>
          <w:spacing w:val="-8"/>
        </w:rPr>
        <w:t> </w:t>
      </w:r>
      <w:r>
        <w:rPr>
          <w:spacing w:val="-2"/>
        </w:rPr>
        <w:t>non-linear;</w:t>
      </w:r>
      <w:r>
        <w:rPr>
          <w:spacing w:val="-10"/>
        </w:rPr>
        <w:t> </w:t>
      </w:r>
      <w:r>
        <w:rPr>
          <w:spacing w:val="-2"/>
        </w:rPr>
        <w:t>desire</w:t>
      </w:r>
      <w:r>
        <w:rPr>
          <w:spacing w:val="-8"/>
        </w:rPr>
        <w:t> </w:t>
      </w:r>
      <w:r>
        <w:rPr>
          <w:spacing w:val="-2"/>
        </w:rPr>
        <w:t>can</w:t>
      </w:r>
      <w:r>
        <w:rPr>
          <w:spacing w:val="-8"/>
        </w:rPr>
        <w:t> </w:t>
      </w:r>
      <w:r>
        <w:rPr>
          <w:spacing w:val="-2"/>
        </w:rPr>
        <w:t>exist</w:t>
      </w:r>
      <w:r>
        <w:rPr>
          <w:spacing w:val="-11"/>
        </w:rPr>
        <w:t> </w:t>
      </w:r>
      <w:r>
        <w:rPr>
          <w:spacing w:val="-2"/>
        </w:rPr>
        <w:t>outside</w:t>
      </w:r>
      <w:r>
        <w:rPr>
          <w:spacing w:val="-5"/>
        </w:rPr>
        <w:t> </w:t>
      </w:r>
      <w:r>
        <w:rPr>
          <w:spacing w:val="-2"/>
        </w:rPr>
        <w:t>the</w:t>
      </w:r>
      <w:r>
        <w:rPr>
          <w:spacing w:val="-5"/>
        </w:rPr>
        <w:t> </w:t>
      </w:r>
      <w:r>
        <w:rPr>
          <w:spacing w:val="-2"/>
        </w:rPr>
        <w:t>conscious mind</w:t>
      </w:r>
      <w:r>
        <w:rPr>
          <w:spacing w:val="-4"/>
        </w:rPr>
        <w:t> </w:t>
      </w:r>
      <w:r>
        <w:rPr>
          <w:spacing w:val="-2"/>
        </w:rPr>
        <w:t>as</w:t>
      </w:r>
      <w:r>
        <w:rPr>
          <w:spacing w:val="-9"/>
        </w:rPr>
        <w:t> </w:t>
      </w:r>
      <w:r>
        <w:rPr>
          <w:spacing w:val="-2"/>
        </w:rPr>
        <w:t>a</w:t>
      </w:r>
      <w:r>
        <w:rPr>
          <w:spacing w:val="-4"/>
        </w:rPr>
        <w:t> </w:t>
      </w:r>
      <w:r>
        <w:rPr>
          <w:spacing w:val="-2"/>
        </w:rPr>
        <w:t>means</w:t>
      </w:r>
      <w:r>
        <w:rPr>
          <w:spacing w:val="-6"/>
        </w:rPr>
        <w:t> </w:t>
      </w:r>
      <w:r>
        <w:rPr>
          <w:spacing w:val="-2"/>
        </w:rPr>
        <w:t>to</w:t>
      </w:r>
      <w:r>
        <w:rPr>
          <w:spacing w:val="-4"/>
        </w:rPr>
        <w:t> </w:t>
      </w:r>
      <w:r>
        <w:rPr>
          <w:spacing w:val="-2"/>
        </w:rPr>
        <w:t>fulfil</w:t>
      </w:r>
      <w:r>
        <w:rPr>
          <w:spacing w:val="-9"/>
        </w:rPr>
        <w:t> </w:t>
      </w:r>
      <w:r>
        <w:rPr>
          <w:spacing w:val="-2"/>
        </w:rPr>
        <w:t>those</w:t>
      </w:r>
      <w:r>
        <w:rPr>
          <w:spacing w:val="-4"/>
        </w:rPr>
        <w:t> </w:t>
      </w:r>
      <w:r>
        <w:rPr>
          <w:spacing w:val="-2"/>
        </w:rPr>
        <w:t>desires</w:t>
      </w:r>
      <w:r>
        <w:rPr>
          <w:spacing w:val="-6"/>
        </w:rPr>
        <w:t> </w:t>
      </w:r>
      <w:r>
        <w:rPr>
          <w:spacing w:val="-2"/>
        </w:rPr>
        <w:t>(Freud,</w:t>
      </w:r>
      <w:r>
        <w:rPr>
          <w:spacing w:val="-6"/>
        </w:rPr>
        <w:t> </w:t>
      </w:r>
      <w:r>
        <w:rPr>
          <w:spacing w:val="-2"/>
        </w:rPr>
        <w:t>1917/1957).</w:t>
      </w:r>
      <w:r>
        <w:rPr>
          <w:spacing w:val="-6"/>
        </w:rPr>
        <w:t> </w:t>
      </w:r>
      <w:r>
        <w:rPr>
          <w:spacing w:val="-2"/>
        </w:rPr>
        <w:t>Therefore,</w:t>
      </w:r>
      <w:r>
        <w:rPr>
          <w:spacing w:val="-6"/>
        </w:rPr>
        <w:t> </w:t>
      </w:r>
      <w:r>
        <w:rPr>
          <w:spacing w:val="-2"/>
        </w:rPr>
        <w:t>her </w:t>
      </w:r>
      <w:r>
        <w:rPr/>
        <w:t>ability to be restrained and flexible is mechanisms of survival within a system that restricts direct expression of her desires. In a teaching context, Viola’s character acts as a vehicle for initiating discussions about identity and desire with students while demonstrating the ways</w:t>
      </w:r>
      <w:r>
        <w:rPr>
          <w:spacing w:val="80"/>
        </w:rPr>
        <w:t> </w:t>
      </w:r>
      <w:r>
        <w:rPr/>
        <w:t>in which people negotiate emotional realities while confined by the constraints</w:t>
      </w:r>
      <w:r>
        <w:rPr>
          <w:spacing w:val="40"/>
        </w:rPr>
        <w:t> </w:t>
      </w:r>
      <w:r>
        <w:rPr/>
        <w:t>of</w:t>
      </w:r>
      <w:r>
        <w:rPr>
          <w:spacing w:val="40"/>
        </w:rPr>
        <w:t> </w:t>
      </w:r>
      <w:r>
        <w:rPr/>
        <w:t>structured</w:t>
      </w:r>
      <w:r>
        <w:rPr>
          <w:spacing w:val="40"/>
        </w:rPr>
        <w:t> </w:t>
      </w:r>
      <w:r>
        <w:rPr/>
        <w:t>systems.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97760">
                <wp:simplePos x="0" y="0"/>
                <wp:positionH relativeFrom="page">
                  <wp:posOffset>2057400</wp:posOffset>
                </wp:positionH>
                <wp:positionV relativeFrom="paragraph">
                  <wp:posOffset>162604</wp:posOffset>
                </wp:positionV>
                <wp:extent cx="3657600" cy="12700"/>
                <wp:effectExtent l="0" t="0" r="0" b="0"/>
                <wp:wrapTopAndBottom/>
                <wp:docPr id="581" name="Graphic 581"/>
                <wp:cNvGraphicFramePr>
                  <a:graphicFrameLocks/>
                </wp:cNvGraphicFramePr>
                <a:graphic>
                  <a:graphicData uri="http://schemas.microsoft.com/office/word/2010/wordprocessingShape">
                    <wps:wsp>
                      <wps:cNvPr id="581" name="Graphic 58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18720;mso-wrap-distance-left:0;mso-wrap-distance-right:0" id="docshape573" filled="true" fillcolor="#000000" stroked="false">
                <v:fill type="solid"/>
                <w10:wrap type="topAndBottom"/>
              </v:rect>
            </w:pict>
          </mc:Fallback>
        </mc:AlternateContent>
      </w:r>
      <w:r>
        <w:rPr>
          <w:rFonts w:ascii="Verdana"/>
          <w:spacing w:val="-5"/>
          <w:sz w:val="18"/>
        </w:rPr>
        <w:t>280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5"/>
        <w:numPr>
          <w:ilvl w:val="1"/>
          <w:numId w:val="62"/>
        </w:numPr>
        <w:tabs>
          <w:tab w:pos="1892" w:val="left" w:leader="none"/>
        </w:tabs>
        <w:spacing w:line="244" w:lineRule="auto" w:before="184" w:after="0"/>
        <w:ind w:left="1440" w:right="1439" w:firstLine="0"/>
        <w:jc w:val="left"/>
      </w:pPr>
      <w:r>
        <w:rPr>
          <w:w w:val="105"/>
        </w:rPr>
        <w:t>Katherina:</w:t>
      </w:r>
      <w:r>
        <w:rPr>
          <w:spacing w:val="40"/>
          <w:w w:val="105"/>
        </w:rPr>
        <w:t> </w:t>
      </w:r>
      <w:r>
        <w:rPr>
          <w:w w:val="105"/>
        </w:rPr>
        <w:t>Order,</w:t>
      </w:r>
      <w:r>
        <w:rPr>
          <w:spacing w:val="40"/>
          <w:w w:val="105"/>
        </w:rPr>
        <w:t> </w:t>
      </w:r>
      <w:r>
        <w:rPr>
          <w:w w:val="105"/>
        </w:rPr>
        <w:t>Discipline,</w:t>
      </w:r>
      <w:r>
        <w:rPr>
          <w:spacing w:val="40"/>
          <w:w w:val="105"/>
        </w:rPr>
        <w:t> </w:t>
      </w:r>
      <w:r>
        <w:rPr>
          <w:w w:val="105"/>
        </w:rPr>
        <w:t>and</w:t>
      </w:r>
      <w:r>
        <w:rPr>
          <w:spacing w:val="40"/>
          <w:w w:val="105"/>
        </w:rPr>
        <w:t> </w:t>
      </w:r>
      <w:r>
        <w:rPr>
          <w:w w:val="105"/>
        </w:rPr>
        <w:t>Performative</w:t>
      </w:r>
      <w:r>
        <w:rPr>
          <w:spacing w:val="80"/>
          <w:w w:val="105"/>
        </w:rPr>
        <w:t> </w:t>
      </w:r>
      <w:r>
        <w:rPr>
          <w:spacing w:val="-2"/>
          <w:w w:val="105"/>
        </w:rPr>
        <w:t>Compliance</w:t>
      </w:r>
    </w:p>
    <w:p>
      <w:pPr>
        <w:pStyle w:val="BodyText"/>
        <w:spacing w:line="249" w:lineRule="auto" w:before="68"/>
        <w:ind w:right="1438" w:firstLine="432"/>
        <w:jc w:val="both"/>
      </w:pPr>
      <w:r>
        <w:rPr/>
        <w:t>Katherina has undergone a transformation; she is now governed</w:t>
      </w:r>
      <w:r>
        <w:rPr>
          <w:spacing w:val="40"/>
        </w:rPr>
        <w:t> </w:t>
      </w:r>
      <w:r>
        <w:rPr/>
        <w:t>by a more disciplinarian form of power: ‘normalising’ her behaviour </w:t>
      </w:r>
      <w:r>
        <w:rPr>
          <w:spacing w:val="-2"/>
        </w:rPr>
        <w:t>through</w:t>
      </w:r>
      <w:r>
        <w:rPr>
          <w:spacing w:val="-4"/>
        </w:rPr>
        <w:t> </w:t>
      </w:r>
      <w:r>
        <w:rPr>
          <w:spacing w:val="-2"/>
        </w:rPr>
        <w:t>means other than physical</w:t>
      </w:r>
      <w:r>
        <w:rPr>
          <w:spacing w:val="-3"/>
        </w:rPr>
        <w:t> </w:t>
      </w:r>
      <w:r>
        <w:rPr>
          <w:spacing w:val="-2"/>
        </w:rPr>
        <w:t>force. Through</w:t>
      </w:r>
      <w:r>
        <w:rPr>
          <w:spacing w:val="-4"/>
        </w:rPr>
        <w:t> </w:t>
      </w:r>
      <w:r>
        <w:rPr>
          <w:spacing w:val="-2"/>
        </w:rPr>
        <w:t>Petruchio’s systematic </w:t>
      </w:r>
      <w:r>
        <w:rPr/>
        <w:t>control</w:t>
      </w:r>
      <w:r>
        <w:rPr>
          <w:spacing w:val="-6"/>
        </w:rPr>
        <w:t> </w:t>
      </w:r>
      <w:r>
        <w:rPr/>
        <w:t>over</w:t>
      </w:r>
      <w:r>
        <w:rPr>
          <w:spacing w:val="-8"/>
        </w:rPr>
        <w:t> </w:t>
      </w:r>
      <w:r>
        <w:rPr/>
        <w:t>her</w:t>
      </w:r>
      <w:r>
        <w:rPr>
          <w:spacing w:val="-4"/>
        </w:rPr>
        <w:t> </w:t>
      </w:r>
      <w:r>
        <w:rPr/>
        <w:t>behaviour</w:t>
      </w:r>
      <w:r>
        <w:rPr>
          <w:spacing w:val="-6"/>
        </w:rPr>
        <w:t> </w:t>
      </w:r>
      <w:r>
        <w:rPr/>
        <w:t>(and</w:t>
      </w:r>
      <w:r>
        <w:rPr>
          <w:spacing w:val="-6"/>
        </w:rPr>
        <w:t> </w:t>
      </w:r>
      <w:r>
        <w:rPr/>
        <w:t>ultimately,</w:t>
      </w:r>
      <w:r>
        <w:rPr>
          <w:spacing w:val="-4"/>
        </w:rPr>
        <w:t> </w:t>
      </w:r>
      <w:r>
        <w:rPr/>
        <w:t>her</w:t>
      </w:r>
      <w:r>
        <w:rPr>
          <w:spacing w:val="-8"/>
        </w:rPr>
        <w:t> </w:t>
      </w:r>
      <w:r>
        <w:rPr/>
        <w:t>identity),</w:t>
      </w:r>
      <w:r>
        <w:rPr>
          <w:spacing w:val="-4"/>
        </w:rPr>
        <w:t> </w:t>
      </w:r>
      <w:r>
        <w:rPr/>
        <w:t>he</w:t>
      </w:r>
      <w:r>
        <w:rPr>
          <w:spacing w:val="-3"/>
        </w:rPr>
        <w:t> </w:t>
      </w:r>
      <w:r>
        <w:rPr/>
        <w:t>may</w:t>
      </w:r>
      <w:r>
        <w:rPr>
          <w:spacing w:val="-10"/>
        </w:rPr>
        <w:t> </w:t>
      </w:r>
      <w:r>
        <w:rPr/>
        <w:t>be</w:t>
      </w:r>
      <w:r>
        <w:rPr>
          <w:spacing w:val="-5"/>
        </w:rPr>
        <w:t> </w:t>
      </w:r>
      <w:r>
        <w:rPr/>
        <w:t>able to remould her into a feminine ideal palatable to society. This demonstrates how power operates through the regulation of conduct</w:t>
      </w:r>
      <w:r>
        <w:rPr>
          <w:spacing w:val="40"/>
        </w:rPr>
        <w:t> </w:t>
      </w:r>
      <w:r>
        <w:rPr/>
        <w:t>and identity (Foucault 1978). Moreover, Katherina’s final speech could be interpreted as a strategy rather than a sign of inward transformation; she</w:t>
      </w:r>
      <w:r>
        <w:rPr>
          <w:spacing w:val="-8"/>
        </w:rPr>
        <w:t> </w:t>
      </w:r>
      <w:r>
        <w:rPr/>
        <w:t>may</w:t>
      </w:r>
      <w:r>
        <w:rPr>
          <w:spacing w:val="-12"/>
        </w:rPr>
        <w:t> </w:t>
      </w:r>
      <w:r>
        <w:rPr/>
        <w:t>have</w:t>
      </w:r>
      <w:r>
        <w:rPr>
          <w:spacing w:val="-8"/>
        </w:rPr>
        <w:t> </w:t>
      </w:r>
      <w:r>
        <w:rPr/>
        <w:t>needed</w:t>
      </w:r>
      <w:r>
        <w:rPr>
          <w:spacing w:val="-7"/>
        </w:rPr>
        <w:t> </w:t>
      </w:r>
      <w:r>
        <w:rPr/>
        <w:t>to</w:t>
      </w:r>
      <w:r>
        <w:rPr>
          <w:spacing w:val="-7"/>
        </w:rPr>
        <w:t> </w:t>
      </w:r>
      <w:r>
        <w:rPr/>
        <w:t>perform</w:t>
      </w:r>
      <w:r>
        <w:rPr>
          <w:spacing w:val="-13"/>
        </w:rPr>
        <w:t> </w:t>
      </w:r>
      <w:r>
        <w:rPr/>
        <w:t>her</w:t>
      </w:r>
      <w:r>
        <w:rPr>
          <w:spacing w:val="-6"/>
        </w:rPr>
        <w:t> </w:t>
      </w:r>
      <w:r>
        <w:rPr/>
        <w:t>role</w:t>
      </w:r>
      <w:r>
        <w:rPr>
          <w:spacing w:val="-8"/>
        </w:rPr>
        <w:t> </w:t>
      </w:r>
      <w:r>
        <w:rPr/>
        <w:t>to</w:t>
      </w:r>
      <w:r>
        <w:rPr>
          <w:spacing w:val="-7"/>
        </w:rPr>
        <w:t> </w:t>
      </w:r>
      <w:r>
        <w:rPr/>
        <w:t>survive</w:t>
      </w:r>
      <w:r>
        <w:rPr>
          <w:spacing w:val="-9"/>
        </w:rPr>
        <w:t> </w:t>
      </w:r>
      <w:r>
        <w:rPr/>
        <w:t>within</w:t>
      </w:r>
      <w:r>
        <w:rPr>
          <w:spacing w:val="-10"/>
        </w:rPr>
        <w:t> </w:t>
      </w:r>
      <w:r>
        <w:rPr/>
        <w:t>an</w:t>
      </w:r>
      <w:r>
        <w:rPr>
          <w:spacing w:val="-9"/>
        </w:rPr>
        <w:t> </w:t>
      </w:r>
      <w:r>
        <w:rPr/>
        <w:t>oppressive environment. This aligns with Buccari’s (1990) theoretical perspective on Gender as Performance; that while outwardly complying with institutional demands, there can still exist some degree of internal resistance. Katherina shows how subordination can be understood as both</w:t>
      </w:r>
      <w:r>
        <w:rPr>
          <w:spacing w:val="-2"/>
        </w:rPr>
        <w:t> </w:t>
      </w:r>
      <w:r>
        <w:rPr/>
        <w:t>an</w:t>
      </w:r>
      <w:r>
        <w:rPr>
          <w:spacing w:val="-4"/>
        </w:rPr>
        <w:t> </w:t>
      </w:r>
      <w:r>
        <w:rPr/>
        <w:t>act of</w:t>
      </w:r>
      <w:r>
        <w:rPr>
          <w:spacing w:val="-4"/>
        </w:rPr>
        <w:t> </w:t>
      </w:r>
      <w:r>
        <w:rPr/>
        <w:t>negotiation</w:t>
      </w:r>
      <w:r>
        <w:rPr>
          <w:spacing w:val="-2"/>
        </w:rPr>
        <w:t> </w:t>
      </w:r>
      <w:r>
        <w:rPr/>
        <w:t>wi th</w:t>
      </w:r>
      <w:r>
        <w:rPr>
          <w:spacing w:val="-4"/>
        </w:rPr>
        <w:t> </w:t>
      </w:r>
      <w:r>
        <w:rPr/>
        <w:t>and resistance to the social</w:t>
      </w:r>
      <w:r>
        <w:rPr>
          <w:spacing w:val="-2"/>
        </w:rPr>
        <w:t> </w:t>
      </w:r>
      <w:r>
        <w:rPr/>
        <w:t>order, rather than</w:t>
      </w:r>
      <w:r>
        <w:rPr>
          <w:spacing w:val="40"/>
        </w:rPr>
        <w:t> </w:t>
      </w:r>
      <w:r>
        <w:rPr/>
        <w:t>merely submitting</w:t>
      </w:r>
      <w:r>
        <w:rPr>
          <w:spacing w:val="40"/>
        </w:rPr>
        <w:t> </w:t>
      </w:r>
      <w:r>
        <w:rPr/>
        <w:t>to</w:t>
      </w:r>
      <w:r>
        <w:rPr>
          <w:spacing w:val="40"/>
        </w:rPr>
        <w:t> </w:t>
      </w:r>
      <w:r>
        <w:rPr/>
        <w:t>the</w:t>
      </w:r>
      <w:r>
        <w:rPr>
          <w:spacing w:val="40"/>
        </w:rPr>
        <w:t> </w:t>
      </w:r>
      <w:r>
        <w:rPr/>
        <w:t>power</w:t>
      </w:r>
      <w:r>
        <w:rPr>
          <w:spacing w:val="40"/>
        </w:rPr>
        <w:t> </w:t>
      </w:r>
      <w:r>
        <w:rPr/>
        <w:t>of another</w:t>
      </w:r>
      <w:r>
        <w:rPr>
          <w:spacing w:val="40"/>
        </w:rPr>
        <w:t> </w:t>
      </w:r>
      <w:r>
        <w:rPr/>
        <w:t>individual.</w:t>
      </w:r>
    </w:p>
    <w:p>
      <w:pPr>
        <w:pStyle w:val="Heading3"/>
        <w:spacing w:before="165"/>
      </w:pPr>
      <w:r>
        <w:rPr>
          <w:spacing w:val="-2"/>
        </w:rPr>
        <w:t>CONCLUSION:</w:t>
      </w:r>
    </w:p>
    <w:p>
      <w:pPr>
        <w:pStyle w:val="BodyText"/>
        <w:spacing w:line="249" w:lineRule="auto" w:before="76"/>
        <w:ind w:right="1437" w:firstLine="432"/>
        <w:jc w:val="both"/>
      </w:pPr>
      <w:r>
        <w:rPr/>
        <w:t>By analyzing Shakespeare again using a framework focused on gender and power, we can conclude that Shakespeare’s plays are not just literary texts, but also tools used to create, modify, and internalize ideas about what constitutes a legitimate structure of power. The many </w:t>
      </w:r>
      <w:r>
        <w:rPr>
          <w:spacing w:val="-2"/>
        </w:rPr>
        <w:t>women</w:t>
      </w:r>
      <w:r>
        <w:rPr>
          <w:spacing w:val="-8"/>
        </w:rPr>
        <w:t> </w:t>
      </w:r>
      <w:r>
        <w:rPr>
          <w:spacing w:val="-2"/>
        </w:rPr>
        <w:t>in</w:t>
      </w:r>
      <w:r>
        <w:rPr>
          <w:spacing w:val="-10"/>
        </w:rPr>
        <w:t> </w:t>
      </w:r>
      <w:r>
        <w:rPr>
          <w:spacing w:val="-2"/>
        </w:rPr>
        <w:t>the</w:t>
      </w:r>
      <w:r>
        <w:rPr>
          <w:spacing w:val="-3"/>
        </w:rPr>
        <w:t> </w:t>
      </w:r>
      <w:r>
        <w:rPr>
          <w:spacing w:val="-2"/>
        </w:rPr>
        <w:t>plays</w:t>
      </w:r>
      <w:r>
        <w:rPr>
          <w:spacing w:val="-8"/>
        </w:rPr>
        <w:t> </w:t>
      </w:r>
      <w:r>
        <w:rPr>
          <w:spacing w:val="-2"/>
        </w:rPr>
        <w:t>included</w:t>
      </w:r>
      <w:r>
        <w:rPr>
          <w:spacing w:val="-6"/>
        </w:rPr>
        <w:t> </w:t>
      </w:r>
      <w:r>
        <w:rPr>
          <w:spacing w:val="-2"/>
        </w:rPr>
        <w:t>in</w:t>
      </w:r>
      <w:r>
        <w:rPr>
          <w:spacing w:val="-8"/>
        </w:rPr>
        <w:t> </w:t>
      </w:r>
      <w:r>
        <w:rPr>
          <w:spacing w:val="-2"/>
        </w:rPr>
        <w:t>this</w:t>
      </w:r>
      <w:r>
        <w:rPr>
          <w:spacing w:val="-8"/>
        </w:rPr>
        <w:t> </w:t>
      </w:r>
      <w:r>
        <w:rPr>
          <w:spacing w:val="-2"/>
        </w:rPr>
        <w:t>study</w:t>
      </w:r>
      <w:r>
        <w:rPr>
          <w:spacing w:val="-10"/>
        </w:rPr>
        <w:t> </w:t>
      </w:r>
      <w:r>
        <w:rPr>
          <w:spacing w:val="-2"/>
        </w:rPr>
        <w:t>(e.g.,</w:t>
      </w:r>
      <w:r>
        <w:rPr>
          <w:spacing w:val="-3"/>
        </w:rPr>
        <w:t> </w:t>
      </w:r>
      <w:r>
        <w:rPr>
          <w:spacing w:val="-2"/>
        </w:rPr>
        <w:t>Lady</w:t>
      </w:r>
      <w:r>
        <w:rPr>
          <w:spacing w:val="-10"/>
        </w:rPr>
        <w:t> </w:t>
      </w:r>
      <w:r>
        <w:rPr>
          <w:spacing w:val="-2"/>
        </w:rPr>
        <w:t>Macbeth,</w:t>
      </w:r>
      <w:r>
        <w:rPr>
          <w:spacing w:val="-6"/>
        </w:rPr>
        <w:t> </w:t>
      </w:r>
      <w:r>
        <w:rPr>
          <w:spacing w:val="-2"/>
        </w:rPr>
        <w:t>Cleopatra, Cordelia,</w:t>
      </w:r>
      <w:r>
        <w:rPr>
          <w:spacing w:val="-3"/>
        </w:rPr>
        <w:t> </w:t>
      </w:r>
      <w:r>
        <w:rPr>
          <w:spacing w:val="-2"/>
        </w:rPr>
        <w:t>Katherina, Isabella,</w:t>
      </w:r>
      <w:r>
        <w:rPr>
          <w:spacing w:val="-3"/>
        </w:rPr>
        <w:t> </w:t>
      </w:r>
      <w:r>
        <w:rPr>
          <w:spacing w:val="-2"/>
        </w:rPr>
        <w:t>Portia, Rosalind,</w:t>
      </w:r>
      <w:r>
        <w:rPr>
          <w:spacing w:val="-3"/>
        </w:rPr>
        <w:t> </w:t>
      </w:r>
      <w:r>
        <w:rPr>
          <w:spacing w:val="-2"/>
        </w:rPr>
        <w:t>and</w:t>
      </w:r>
      <w:r>
        <w:rPr>
          <w:spacing w:val="-3"/>
        </w:rPr>
        <w:t> </w:t>
      </w:r>
      <w:r>
        <w:rPr>
          <w:spacing w:val="-2"/>
        </w:rPr>
        <w:t>Viola)</w:t>
      </w:r>
      <w:r>
        <w:rPr>
          <w:spacing w:val="-3"/>
        </w:rPr>
        <w:t> </w:t>
      </w:r>
      <w:r>
        <w:rPr>
          <w:spacing w:val="-2"/>
        </w:rPr>
        <w:t>reflect the</w:t>
      </w:r>
      <w:r>
        <w:rPr>
          <w:spacing w:val="-3"/>
        </w:rPr>
        <w:t> </w:t>
      </w:r>
      <w:r>
        <w:rPr>
          <w:spacing w:val="-2"/>
        </w:rPr>
        <w:t>idea </w:t>
      </w:r>
      <w:r>
        <w:rPr/>
        <w:t>that gender is a fluid, changeable concept that is formed by influences; power, discourse, and societal expectations. The plays do not depict a singular version of femininity but instead offer many different ways to negotiate</w:t>
      </w:r>
      <w:r>
        <w:rPr>
          <w:spacing w:val="-5"/>
        </w:rPr>
        <w:t> </w:t>
      </w:r>
      <w:r>
        <w:rPr/>
        <w:t>the</w:t>
      </w:r>
      <w:r>
        <w:rPr>
          <w:spacing w:val="-4"/>
        </w:rPr>
        <w:t> </w:t>
      </w:r>
      <w:r>
        <w:rPr/>
        <w:t>concept</w:t>
      </w:r>
      <w:r>
        <w:rPr>
          <w:spacing w:val="-6"/>
        </w:rPr>
        <w:t> </w:t>
      </w:r>
      <w:r>
        <w:rPr/>
        <w:t>of</w:t>
      </w:r>
      <w:r>
        <w:rPr>
          <w:spacing w:val="-5"/>
        </w:rPr>
        <w:t> </w:t>
      </w:r>
      <w:r>
        <w:rPr/>
        <w:t>womanhood</w:t>
      </w:r>
      <w:r>
        <w:rPr>
          <w:spacing w:val="-5"/>
        </w:rPr>
        <w:t> </w:t>
      </w:r>
      <w:r>
        <w:rPr/>
        <w:t>through</w:t>
      </w:r>
      <w:r>
        <w:rPr>
          <w:spacing w:val="-5"/>
        </w:rPr>
        <w:t> </w:t>
      </w:r>
      <w:r>
        <w:rPr/>
        <w:t>resistance,</w:t>
      </w:r>
      <w:r>
        <w:rPr>
          <w:spacing w:val="-5"/>
        </w:rPr>
        <w:t> </w:t>
      </w:r>
      <w:r>
        <w:rPr/>
        <w:t>silence,</w:t>
      </w:r>
      <w:r>
        <w:rPr>
          <w:spacing w:val="-4"/>
        </w:rPr>
        <w:t> </w:t>
      </w:r>
      <w:r>
        <w:rPr/>
        <w:t>acting, and adapting, as well as </w:t>
      </w:r>
      <w:r>
        <w:rPr>
          <w:spacing w:val="9"/>
        </w:rPr>
        <w:t>strategically</w:t>
      </w:r>
      <w:r>
        <w:rPr>
          <w:spacing w:val="9"/>
        </w:rPr>
        <w:t> </w:t>
      </w:r>
      <w:r>
        <w:rPr/>
        <w:t>conforming to societal constructions of femininity. While Lady Macbeth and Katherina show how</w:t>
      </w:r>
      <w:r>
        <w:rPr>
          <w:spacing w:val="-13"/>
        </w:rPr>
        <w:t> </w:t>
      </w:r>
      <w:r>
        <w:rPr/>
        <w:t>psychological</w:t>
      </w:r>
      <w:r>
        <w:rPr>
          <w:spacing w:val="-12"/>
        </w:rPr>
        <w:t> </w:t>
      </w:r>
      <w:r>
        <w:rPr/>
        <w:t>and</w:t>
      </w:r>
      <w:r>
        <w:rPr>
          <w:spacing w:val="-13"/>
        </w:rPr>
        <w:t> </w:t>
      </w:r>
      <w:r>
        <w:rPr/>
        <w:t>disciplinary</w:t>
      </w:r>
      <w:r>
        <w:rPr>
          <w:spacing w:val="-12"/>
        </w:rPr>
        <w:t> </w:t>
      </w:r>
      <w:r>
        <w:rPr/>
        <w:t>damage</w:t>
      </w:r>
      <w:r>
        <w:rPr>
          <w:spacing w:val="-13"/>
        </w:rPr>
        <w:t> </w:t>
      </w:r>
      <w:r>
        <w:rPr/>
        <w:t>can</w:t>
      </w:r>
      <w:r>
        <w:rPr>
          <w:spacing w:val="-12"/>
        </w:rPr>
        <w:t> </w:t>
      </w:r>
      <w:r>
        <w:rPr/>
        <w:t>occur</w:t>
      </w:r>
      <w:r>
        <w:rPr>
          <w:spacing w:val="-11"/>
        </w:rPr>
        <w:t> </w:t>
      </w:r>
      <w:r>
        <w:rPr/>
        <w:t>from</w:t>
      </w:r>
      <w:r>
        <w:rPr>
          <w:spacing w:val="-12"/>
        </w:rPr>
        <w:t> </w:t>
      </w:r>
      <w:r>
        <w:rPr/>
        <w:t>internalising </w:t>
      </w:r>
      <w:r>
        <w:rPr>
          <w:spacing w:val="-2"/>
        </w:rPr>
        <w:t>patriarchal standards, Portia and</w:t>
      </w:r>
      <w:r>
        <w:rPr>
          <w:spacing w:val="-4"/>
        </w:rPr>
        <w:t> </w:t>
      </w:r>
      <w:r>
        <w:rPr>
          <w:spacing w:val="-2"/>
        </w:rPr>
        <w:t>Rosalind illustrate that gaining authority </w:t>
      </w:r>
      <w:r>
        <w:rPr/>
        <w:t>can rely on moving within and manipulating societal constructs of </w:t>
      </w:r>
      <w:r>
        <w:rPr>
          <w:spacing w:val="-2"/>
        </w:rPr>
        <w:t>femininity.</w:t>
      </w:r>
    </w:p>
    <w:p>
      <w:pPr>
        <w:pStyle w:val="BodyText"/>
        <w:spacing w:line="249" w:lineRule="auto" w:before="73"/>
        <w:ind w:right="1439" w:firstLine="432"/>
        <w:jc w:val="both"/>
      </w:pPr>
      <w:r>
        <w:rPr/>
        <w:t>Cordelia and Isabella showcase how silence and consent can be used politically and how the absence of speech can also represent an intentional and meaningful source of agency (or action) rather than a passive</w:t>
      </w:r>
      <w:r>
        <w:rPr>
          <w:spacing w:val="40"/>
        </w:rPr>
        <w:t> </w:t>
      </w:r>
      <w:r>
        <w:rPr/>
        <w:t>state</w:t>
      </w:r>
      <w:r>
        <w:rPr>
          <w:spacing w:val="40"/>
        </w:rPr>
        <w:t> </w:t>
      </w:r>
      <w:r>
        <w:rPr/>
        <w:t>of</w:t>
      </w:r>
      <w:r>
        <w:rPr>
          <w:spacing w:val="40"/>
        </w:rPr>
        <w:t> </w:t>
      </w:r>
      <w:r>
        <w:rPr/>
        <w:t>being.</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798272">
                <wp:simplePos x="0" y="0"/>
                <wp:positionH relativeFrom="page">
                  <wp:posOffset>2065020</wp:posOffset>
                </wp:positionH>
                <wp:positionV relativeFrom="paragraph">
                  <wp:posOffset>795020</wp:posOffset>
                </wp:positionV>
                <wp:extent cx="3657600" cy="12700"/>
                <wp:effectExtent l="0" t="0" r="0" b="0"/>
                <wp:wrapTopAndBottom/>
                <wp:docPr id="582" name="Graphic 582"/>
                <wp:cNvGraphicFramePr>
                  <a:graphicFrameLocks/>
                </wp:cNvGraphicFramePr>
                <a:graphic>
                  <a:graphicData uri="http://schemas.microsoft.com/office/word/2010/wordprocessingShape">
                    <wps:wsp>
                      <wps:cNvPr id="582" name="Graphic 58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18208;mso-wrap-distance-left:0;mso-wrap-distance-right:0" id="docshape574" filled="true" fillcolor="#000000" stroked="false">
                <v:fill type="solid"/>
                <w10:wrap type="topAndBottom"/>
              </v:rect>
            </w:pict>
          </mc:Fallback>
        </mc:AlternateContent>
      </w:r>
      <w:r>
        <w:rPr>
          <w:rFonts w:ascii="Verdana"/>
          <w:sz w:val="18"/>
        </w:rPr>
        <w:t>Teaching</w:t>
      </w:r>
      <w:r>
        <w:rPr>
          <w:rFonts w:ascii="Verdana"/>
          <w:spacing w:val="9"/>
          <w:sz w:val="18"/>
        </w:rPr>
        <w:t> </w:t>
      </w:r>
      <w:r>
        <w:rPr>
          <w:rFonts w:ascii="Verdana"/>
          <w:sz w:val="18"/>
        </w:rPr>
        <w:t>Gender</w:t>
      </w:r>
      <w:r>
        <w:rPr>
          <w:rFonts w:ascii="Verdana"/>
          <w:spacing w:val="12"/>
          <w:sz w:val="18"/>
        </w:rPr>
        <w:t> </w:t>
      </w:r>
      <w:r>
        <w:rPr>
          <w:rFonts w:ascii="Verdana"/>
          <w:sz w:val="18"/>
        </w:rPr>
        <w:t>and</w:t>
      </w:r>
      <w:r>
        <w:rPr>
          <w:rFonts w:ascii="Verdana"/>
          <w:spacing w:val="11"/>
          <w:sz w:val="18"/>
        </w:rPr>
        <w:t> </w:t>
      </w:r>
      <w:r>
        <w:rPr>
          <w:rFonts w:ascii="Verdana"/>
          <w:sz w:val="18"/>
        </w:rPr>
        <w:t>Power</w:t>
      </w:r>
      <w:r>
        <w:rPr>
          <w:rFonts w:ascii="Verdana"/>
          <w:spacing w:val="10"/>
          <w:sz w:val="18"/>
        </w:rPr>
        <w:t> </w:t>
      </w:r>
      <w:r>
        <w:rPr>
          <w:rFonts w:ascii="Verdana"/>
          <w:sz w:val="18"/>
        </w:rPr>
        <w:t>through</w:t>
      </w:r>
      <w:r>
        <w:rPr>
          <w:rFonts w:ascii="Verdana"/>
          <w:spacing w:val="13"/>
          <w:sz w:val="18"/>
        </w:rPr>
        <w:t> </w:t>
      </w:r>
      <w:r>
        <w:rPr>
          <w:rFonts w:ascii="Verdana"/>
          <w:spacing w:val="-2"/>
          <w:sz w:val="18"/>
        </w:rPr>
        <w:t>Shakespeare...</w:t>
      </w:r>
      <w:r>
        <w:rPr>
          <w:sz w:val="18"/>
        </w:rPr>
        <w:tab/>
      </w:r>
      <w:r>
        <w:rPr>
          <w:rFonts w:ascii="Verdana"/>
          <w:spacing w:val="-5"/>
          <w:sz w:val="18"/>
        </w:rPr>
        <w:t>281</w:t>
      </w:r>
    </w:p>
    <w:p>
      <w:pPr>
        <w:pStyle w:val="BodyText"/>
        <w:spacing w:line="249" w:lineRule="auto" w:before="192"/>
        <w:ind w:right="1438" w:firstLine="432"/>
        <w:jc w:val="both"/>
      </w:pPr>
      <w:r>
        <w:rPr/>
        <w:t>The</w:t>
      </w:r>
      <w:r>
        <w:rPr>
          <w:spacing w:val="-3"/>
        </w:rPr>
        <w:t> </w:t>
      </w:r>
      <w:r>
        <w:rPr/>
        <w:t>above</w:t>
      </w:r>
      <w:r>
        <w:rPr>
          <w:spacing w:val="-3"/>
        </w:rPr>
        <w:t> </w:t>
      </w:r>
      <w:r>
        <w:rPr/>
        <w:t>characterizations</w:t>
      </w:r>
      <w:r>
        <w:rPr>
          <w:spacing w:val="-4"/>
        </w:rPr>
        <w:t> </w:t>
      </w:r>
      <w:r>
        <w:rPr/>
        <w:t>help</w:t>
      </w:r>
      <w:r>
        <w:rPr>
          <w:spacing w:val="-2"/>
        </w:rPr>
        <w:t> </w:t>
      </w:r>
      <w:r>
        <w:rPr/>
        <w:t>us</w:t>
      </w:r>
      <w:r>
        <w:rPr>
          <w:spacing w:val="-2"/>
        </w:rPr>
        <w:t> </w:t>
      </w:r>
      <w:r>
        <w:rPr/>
        <w:t>to support</w:t>
      </w:r>
      <w:r>
        <w:rPr>
          <w:spacing w:val="-3"/>
        </w:rPr>
        <w:t> </w:t>
      </w:r>
      <w:r>
        <w:rPr/>
        <w:t>the</w:t>
      </w:r>
      <w:r>
        <w:rPr>
          <w:spacing w:val="-1"/>
        </w:rPr>
        <w:t> </w:t>
      </w:r>
      <w:r>
        <w:rPr/>
        <w:t>ideas</w:t>
      </w:r>
      <w:r>
        <w:rPr>
          <w:spacing w:val="-4"/>
        </w:rPr>
        <w:t> </w:t>
      </w:r>
      <w:r>
        <w:rPr/>
        <w:t>of</w:t>
      </w:r>
      <w:r>
        <w:rPr>
          <w:spacing w:val="-4"/>
        </w:rPr>
        <w:t> </w:t>
      </w:r>
      <w:r>
        <w:rPr/>
        <w:t>Michel Foucault (1978) regarding power being distributed through discourse, and Judith Butler (1990) regarding gender as performative rather than inherent. Psychoanalysis also can help us to uncover the emotional and psychological</w:t>
      </w:r>
      <w:r>
        <w:rPr>
          <w:spacing w:val="27"/>
        </w:rPr>
        <w:t> </w:t>
      </w:r>
      <w:r>
        <w:rPr/>
        <w:t>distress</w:t>
      </w:r>
      <w:r>
        <w:rPr>
          <w:spacing w:val="29"/>
        </w:rPr>
        <w:t> </w:t>
      </w:r>
      <w:r>
        <w:rPr/>
        <w:t>experienced</w:t>
      </w:r>
      <w:r>
        <w:rPr>
          <w:spacing w:val="29"/>
        </w:rPr>
        <w:t> </w:t>
      </w:r>
      <w:r>
        <w:rPr/>
        <w:t>by</w:t>
      </w:r>
      <w:r>
        <w:rPr>
          <w:spacing w:val="25"/>
        </w:rPr>
        <w:t> </w:t>
      </w:r>
      <w:r>
        <w:rPr/>
        <w:t>these</w:t>
      </w:r>
      <w:r>
        <w:rPr>
          <w:spacing w:val="29"/>
        </w:rPr>
        <w:t> </w:t>
      </w:r>
      <w:r>
        <w:rPr/>
        <w:t>characters</w:t>
      </w:r>
      <w:r>
        <w:rPr>
          <w:spacing w:val="27"/>
        </w:rPr>
        <w:t> </w:t>
      </w:r>
      <w:r>
        <w:rPr/>
        <w:t>is</w:t>
      </w:r>
      <w:r>
        <w:rPr>
          <w:spacing w:val="27"/>
        </w:rPr>
        <w:t> </w:t>
      </w:r>
      <w:r>
        <w:rPr/>
        <w:t>not</w:t>
      </w:r>
      <w:r>
        <w:rPr>
          <w:spacing w:val="29"/>
        </w:rPr>
        <w:t> </w:t>
      </w:r>
      <w:r>
        <w:rPr/>
        <w:t>a</w:t>
      </w:r>
      <w:r>
        <w:rPr>
          <w:spacing w:val="28"/>
        </w:rPr>
        <w:t> </w:t>
      </w:r>
      <w:r>
        <w:rPr/>
        <w:t>result of their individual limitations but instead the result of the structural forces inherent in patriarchy. In this way, this kind of</w:t>
      </w:r>
      <w:r>
        <w:rPr>
          <w:spacing w:val="-2"/>
        </w:rPr>
        <w:t> </w:t>
      </w:r>
      <w:r>
        <w:rPr/>
        <w:t>reading can serve as a means of transforming the way we teach Shakespeare and use Shakespeare’s works as a means of facilitating critical and reflective classroom practices, engaging students in a dialogue with Shakespeare and with the text, questioning the relationship between literature and social reality, and recognizing how systems of power influence our identities, voices, and agency. The plays of Shakespeare become instruments</w:t>
      </w:r>
      <w:r>
        <w:rPr>
          <w:spacing w:val="33"/>
        </w:rPr>
        <w:t> </w:t>
      </w:r>
      <w:r>
        <w:rPr/>
        <w:t>of</w:t>
      </w:r>
      <w:r>
        <w:rPr>
          <w:spacing w:val="32"/>
        </w:rPr>
        <w:t> </w:t>
      </w:r>
      <w:r>
        <w:rPr/>
        <w:t>critical</w:t>
      </w:r>
      <w:r>
        <w:rPr>
          <w:spacing w:val="31"/>
        </w:rPr>
        <w:t> </w:t>
      </w:r>
      <w:r>
        <w:rPr/>
        <w:t>inquiry</w:t>
      </w:r>
      <w:r>
        <w:rPr>
          <w:spacing w:val="31"/>
        </w:rPr>
        <w:t> </w:t>
      </w:r>
      <w:r>
        <w:rPr/>
        <w:t>rather</w:t>
      </w:r>
      <w:r>
        <w:rPr>
          <w:spacing w:val="34"/>
        </w:rPr>
        <w:t> </w:t>
      </w:r>
      <w:r>
        <w:rPr/>
        <w:t>than</w:t>
      </w:r>
      <w:r>
        <w:rPr>
          <w:spacing w:val="33"/>
        </w:rPr>
        <w:t> </w:t>
      </w:r>
      <w:r>
        <w:rPr/>
        <w:t>stationary cultural</w:t>
      </w:r>
      <w:r>
        <w:rPr>
          <w:spacing w:val="35"/>
        </w:rPr>
        <w:t> </w:t>
      </w:r>
      <w:r>
        <w:rPr/>
        <w:t>objects.</w:t>
      </w:r>
    </w:p>
    <w:p>
      <w:pPr>
        <w:pStyle w:val="Heading3"/>
        <w:spacing w:before="165"/>
      </w:pPr>
      <w:r>
        <w:rPr>
          <w:spacing w:val="-2"/>
          <w:w w:val="95"/>
        </w:rPr>
        <w:t>REFERENCES:</w:t>
      </w:r>
    </w:p>
    <w:p>
      <w:pPr>
        <w:pStyle w:val="ListParagraph"/>
        <w:numPr>
          <w:ilvl w:val="2"/>
          <w:numId w:val="62"/>
        </w:numPr>
        <w:tabs>
          <w:tab w:pos="2160" w:val="left" w:leader="none"/>
        </w:tabs>
        <w:spacing w:line="326" w:lineRule="auto" w:before="82" w:after="0"/>
        <w:ind w:left="2160" w:right="2667" w:hanging="329"/>
        <w:jc w:val="left"/>
        <w:rPr>
          <w:sz w:val="19"/>
        </w:rPr>
      </w:pPr>
      <w:r>
        <w:rPr>
          <w:sz w:val="19"/>
        </w:rPr>
        <w:t>Butler,</w:t>
      </w:r>
      <w:r>
        <w:rPr>
          <w:spacing w:val="40"/>
          <w:sz w:val="19"/>
        </w:rPr>
        <w:t> </w:t>
      </w:r>
      <w:r>
        <w:rPr>
          <w:sz w:val="19"/>
        </w:rPr>
        <w:t>J.</w:t>
      </w:r>
      <w:r>
        <w:rPr>
          <w:spacing w:val="40"/>
          <w:sz w:val="19"/>
        </w:rPr>
        <w:t> </w:t>
      </w:r>
      <w:r>
        <w:rPr>
          <w:sz w:val="19"/>
        </w:rPr>
        <w:t>(1990).</w:t>
      </w:r>
      <w:r>
        <w:rPr>
          <w:spacing w:val="40"/>
          <w:sz w:val="19"/>
        </w:rPr>
        <w:t> </w:t>
      </w:r>
      <w:r>
        <w:rPr>
          <w:i/>
          <w:sz w:val="19"/>
        </w:rPr>
        <w:t>Gender</w:t>
      </w:r>
      <w:r>
        <w:rPr>
          <w:i/>
          <w:spacing w:val="40"/>
          <w:sz w:val="19"/>
        </w:rPr>
        <w:t> </w:t>
      </w:r>
      <w:r>
        <w:rPr>
          <w:i/>
          <w:sz w:val="19"/>
        </w:rPr>
        <w:t>trouble</w:t>
      </w:r>
      <w:r>
        <w:rPr>
          <w:sz w:val="19"/>
        </w:rPr>
        <w:t>.</w:t>
      </w:r>
      <w:r>
        <w:rPr>
          <w:spacing w:val="40"/>
          <w:sz w:val="19"/>
        </w:rPr>
        <w:t> </w:t>
      </w:r>
      <w:r>
        <w:rPr>
          <w:sz w:val="19"/>
        </w:rPr>
        <w:t>Routledge. Foucault,</w:t>
      </w:r>
      <w:r>
        <w:rPr>
          <w:spacing w:val="39"/>
          <w:sz w:val="19"/>
        </w:rPr>
        <w:t> </w:t>
      </w:r>
      <w:r>
        <w:rPr>
          <w:sz w:val="19"/>
        </w:rPr>
        <w:t>M.</w:t>
      </w:r>
      <w:r>
        <w:rPr>
          <w:spacing w:val="37"/>
          <w:sz w:val="19"/>
        </w:rPr>
        <w:t> </w:t>
      </w:r>
      <w:r>
        <w:rPr>
          <w:sz w:val="19"/>
        </w:rPr>
        <w:t>(1978).</w:t>
      </w:r>
      <w:r>
        <w:rPr>
          <w:spacing w:val="80"/>
          <w:sz w:val="19"/>
        </w:rPr>
        <w:t> </w:t>
      </w:r>
      <w:r>
        <w:rPr>
          <w:i/>
          <w:sz w:val="19"/>
        </w:rPr>
        <w:t>The</w:t>
      </w:r>
      <w:r>
        <w:rPr>
          <w:i/>
          <w:spacing w:val="37"/>
          <w:sz w:val="19"/>
        </w:rPr>
        <w:t> </w:t>
      </w:r>
      <w:r>
        <w:rPr>
          <w:i/>
          <w:sz w:val="19"/>
        </w:rPr>
        <w:t>history</w:t>
      </w:r>
      <w:r>
        <w:rPr>
          <w:i/>
          <w:spacing w:val="39"/>
          <w:sz w:val="19"/>
        </w:rPr>
        <w:t> </w:t>
      </w:r>
      <w:r>
        <w:rPr>
          <w:i/>
          <w:sz w:val="19"/>
        </w:rPr>
        <w:t>of</w:t>
      </w:r>
      <w:r>
        <w:rPr>
          <w:i/>
          <w:spacing w:val="39"/>
          <w:sz w:val="19"/>
        </w:rPr>
        <w:t> </w:t>
      </w:r>
      <w:r>
        <w:rPr>
          <w:i/>
          <w:sz w:val="19"/>
        </w:rPr>
        <w:t>sexuality</w:t>
      </w:r>
      <w:r>
        <w:rPr>
          <w:sz w:val="19"/>
        </w:rPr>
        <w:t>. Freire,</w:t>
      </w:r>
      <w:r>
        <w:rPr>
          <w:spacing w:val="40"/>
          <w:sz w:val="19"/>
        </w:rPr>
        <w:t> </w:t>
      </w:r>
      <w:r>
        <w:rPr>
          <w:sz w:val="19"/>
        </w:rPr>
        <w:t>P.</w:t>
      </w:r>
      <w:r>
        <w:rPr>
          <w:spacing w:val="40"/>
          <w:sz w:val="19"/>
        </w:rPr>
        <w:t> </w:t>
      </w:r>
      <w:r>
        <w:rPr>
          <w:sz w:val="19"/>
        </w:rPr>
        <w:t>(1970).</w:t>
      </w:r>
      <w:r>
        <w:rPr>
          <w:spacing w:val="40"/>
          <w:sz w:val="19"/>
        </w:rPr>
        <w:t> </w:t>
      </w:r>
      <w:r>
        <w:rPr>
          <w:i/>
          <w:sz w:val="19"/>
        </w:rPr>
        <w:t>Pedagogy</w:t>
      </w:r>
      <w:r>
        <w:rPr>
          <w:i/>
          <w:spacing w:val="40"/>
          <w:sz w:val="19"/>
        </w:rPr>
        <w:t> </w:t>
      </w:r>
      <w:r>
        <w:rPr>
          <w:i/>
          <w:sz w:val="19"/>
        </w:rPr>
        <w:t>of</w:t>
      </w:r>
      <w:r>
        <w:rPr>
          <w:i/>
          <w:spacing w:val="40"/>
          <w:sz w:val="19"/>
        </w:rPr>
        <w:t> </w:t>
      </w:r>
      <w:r>
        <w:rPr>
          <w:i/>
          <w:sz w:val="19"/>
        </w:rPr>
        <w:t>the</w:t>
      </w:r>
      <w:r>
        <w:rPr>
          <w:i/>
          <w:spacing w:val="40"/>
          <w:sz w:val="19"/>
        </w:rPr>
        <w:t> </w:t>
      </w:r>
      <w:r>
        <w:rPr>
          <w:i/>
          <w:sz w:val="19"/>
        </w:rPr>
        <w:t>oppressed</w:t>
      </w:r>
      <w:r>
        <w:rPr>
          <w:sz w:val="19"/>
        </w:rPr>
        <w:t>.</w:t>
      </w:r>
    </w:p>
    <w:p>
      <w:pPr>
        <w:spacing w:line="326" w:lineRule="auto" w:before="0"/>
        <w:ind w:left="2160" w:right="1437" w:firstLine="0"/>
        <w:jc w:val="left"/>
        <w:rPr>
          <w:sz w:val="19"/>
        </w:rPr>
      </w:pPr>
      <w:r>
        <w:rPr>
          <w:sz w:val="19"/>
        </w:rPr>
        <w:t>Freud,</w:t>
      </w:r>
      <w:r>
        <w:rPr>
          <w:spacing w:val="40"/>
          <w:sz w:val="19"/>
        </w:rPr>
        <w:t> </w:t>
      </w:r>
      <w:r>
        <w:rPr>
          <w:sz w:val="19"/>
        </w:rPr>
        <w:t>S.</w:t>
      </w:r>
      <w:r>
        <w:rPr>
          <w:spacing w:val="40"/>
          <w:sz w:val="19"/>
        </w:rPr>
        <w:t> </w:t>
      </w:r>
      <w:r>
        <w:rPr>
          <w:sz w:val="19"/>
        </w:rPr>
        <w:t>(1957).</w:t>
      </w:r>
      <w:r>
        <w:rPr>
          <w:spacing w:val="40"/>
          <w:sz w:val="19"/>
        </w:rPr>
        <w:t> </w:t>
      </w:r>
      <w:r>
        <w:rPr>
          <w:i/>
          <w:sz w:val="19"/>
        </w:rPr>
        <w:t>Introductory</w:t>
      </w:r>
      <w:r>
        <w:rPr>
          <w:i/>
          <w:spacing w:val="40"/>
          <w:sz w:val="19"/>
        </w:rPr>
        <w:t> </w:t>
      </w:r>
      <w:r>
        <w:rPr>
          <w:i/>
          <w:sz w:val="19"/>
        </w:rPr>
        <w:t>lectures</w:t>
      </w:r>
      <w:r>
        <w:rPr>
          <w:i/>
          <w:spacing w:val="40"/>
          <w:sz w:val="19"/>
        </w:rPr>
        <w:t> </w:t>
      </w:r>
      <w:r>
        <w:rPr>
          <w:i/>
          <w:sz w:val="19"/>
        </w:rPr>
        <w:t>on</w:t>
      </w:r>
      <w:r>
        <w:rPr>
          <w:i/>
          <w:spacing w:val="40"/>
          <w:sz w:val="19"/>
        </w:rPr>
        <w:t> </w:t>
      </w:r>
      <w:r>
        <w:rPr>
          <w:i/>
          <w:sz w:val="19"/>
        </w:rPr>
        <w:t>psychoanalysis</w:t>
      </w:r>
      <w:r>
        <w:rPr>
          <w:sz w:val="19"/>
        </w:rPr>
        <w:t>. hooks,</w:t>
      </w:r>
      <w:r>
        <w:rPr>
          <w:spacing w:val="40"/>
          <w:sz w:val="19"/>
        </w:rPr>
        <w:t> </w:t>
      </w:r>
      <w:r>
        <w:rPr>
          <w:sz w:val="19"/>
        </w:rPr>
        <w:t>b.</w:t>
      </w:r>
      <w:r>
        <w:rPr>
          <w:spacing w:val="40"/>
          <w:sz w:val="19"/>
        </w:rPr>
        <w:t> </w:t>
      </w:r>
      <w:r>
        <w:rPr>
          <w:sz w:val="19"/>
        </w:rPr>
        <w:t>(2000).</w:t>
      </w:r>
      <w:r>
        <w:rPr>
          <w:spacing w:val="40"/>
          <w:sz w:val="19"/>
        </w:rPr>
        <w:t> </w:t>
      </w:r>
      <w:r>
        <w:rPr>
          <w:i/>
          <w:sz w:val="19"/>
        </w:rPr>
        <w:t>Feminism</w:t>
      </w:r>
      <w:r>
        <w:rPr>
          <w:i/>
          <w:spacing w:val="40"/>
          <w:sz w:val="19"/>
        </w:rPr>
        <w:t> </w:t>
      </w:r>
      <w:r>
        <w:rPr>
          <w:i/>
          <w:sz w:val="19"/>
        </w:rPr>
        <w:t>is</w:t>
      </w:r>
      <w:r>
        <w:rPr>
          <w:i/>
          <w:spacing w:val="40"/>
          <w:sz w:val="19"/>
        </w:rPr>
        <w:t> </w:t>
      </w:r>
      <w:r>
        <w:rPr>
          <w:i/>
          <w:sz w:val="19"/>
        </w:rPr>
        <w:t>for</w:t>
      </w:r>
      <w:r>
        <w:rPr>
          <w:i/>
          <w:spacing w:val="40"/>
          <w:sz w:val="19"/>
        </w:rPr>
        <w:t> </w:t>
      </w:r>
      <w:r>
        <w:rPr>
          <w:i/>
          <w:sz w:val="19"/>
        </w:rPr>
        <w:t>everybody</w:t>
      </w:r>
      <w:r>
        <w:rPr>
          <w:sz w:val="19"/>
        </w:rPr>
        <w:t>.</w:t>
      </w:r>
    </w:p>
    <w:p>
      <w:pPr>
        <w:spacing w:line="324" w:lineRule="auto" w:before="0"/>
        <w:ind w:left="2160" w:right="2159" w:firstLine="0"/>
        <w:jc w:val="left"/>
        <w:rPr>
          <w:sz w:val="19"/>
        </w:rPr>
      </w:pPr>
      <w:r>
        <w:rPr>
          <w:sz w:val="19"/>
        </w:rPr>
        <w:t>Showalter,</w:t>
      </w:r>
      <w:r>
        <w:rPr>
          <w:spacing w:val="40"/>
          <w:sz w:val="19"/>
        </w:rPr>
        <w:t> </w:t>
      </w:r>
      <w:r>
        <w:rPr>
          <w:sz w:val="19"/>
        </w:rPr>
        <w:t>E.</w:t>
      </w:r>
      <w:r>
        <w:rPr>
          <w:spacing w:val="40"/>
          <w:sz w:val="19"/>
        </w:rPr>
        <w:t> </w:t>
      </w:r>
      <w:r>
        <w:rPr>
          <w:sz w:val="19"/>
        </w:rPr>
        <w:t>(1985).</w:t>
      </w:r>
      <w:r>
        <w:rPr>
          <w:spacing w:val="40"/>
          <w:sz w:val="19"/>
        </w:rPr>
        <w:t> </w:t>
      </w:r>
      <w:r>
        <w:rPr>
          <w:i/>
          <w:sz w:val="19"/>
        </w:rPr>
        <w:t>The</w:t>
      </w:r>
      <w:r>
        <w:rPr>
          <w:i/>
          <w:spacing w:val="40"/>
          <w:sz w:val="19"/>
        </w:rPr>
        <w:t> </w:t>
      </w:r>
      <w:r>
        <w:rPr>
          <w:i/>
          <w:sz w:val="19"/>
        </w:rPr>
        <w:t>female</w:t>
      </w:r>
      <w:r>
        <w:rPr>
          <w:i/>
          <w:spacing w:val="40"/>
          <w:sz w:val="19"/>
        </w:rPr>
        <w:t> </w:t>
      </w:r>
      <w:r>
        <w:rPr>
          <w:i/>
          <w:sz w:val="19"/>
        </w:rPr>
        <w:t>malady</w:t>
      </w:r>
      <w:r>
        <w:rPr>
          <w:sz w:val="19"/>
        </w:rPr>
        <w:t>. Shakespeare,</w:t>
      </w:r>
      <w:r>
        <w:rPr>
          <w:spacing w:val="40"/>
          <w:sz w:val="19"/>
        </w:rPr>
        <w:t> </w:t>
      </w:r>
      <w:r>
        <w:rPr>
          <w:sz w:val="19"/>
        </w:rPr>
        <w:t>W.</w:t>
      </w:r>
      <w:r>
        <w:rPr>
          <w:spacing w:val="40"/>
          <w:sz w:val="19"/>
        </w:rPr>
        <w:t> </w:t>
      </w:r>
      <w:r>
        <w:rPr>
          <w:sz w:val="19"/>
        </w:rPr>
        <w:t>(2004–2008).</w:t>
      </w:r>
      <w:r>
        <w:rPr>
          <w:spacing w:val="40"/>
          <w:sz w:val="19"/>
        </w:rPr>
        <w:t> </w:t>
      </w:r>
      <w:r>
        <w:rPr>
          <w:i/>
          <w:sz w:val="19"/>
        </w:rPr>
        <w:t>Collected</w:t>
      </w:r>
      <w:r>
        <w:rPr>
          <w:i/>
          <w:spacing w:val="40"/>
          <w:sz w:val="19"/>
        </w:rPr>
        <w:t> </w:t>
      </w:r>
      <w:r>
        <w:rPr>
          <w:i/>
          <w:sz w:val="19"/>
        </w:rPr>
        <w:t>plays</w:t>
      </w:r>
      <w:r>
        <w:rPr>
          <w:sz w:val="19"/>
        </w:rPr>
        <w:t>.</w:t>
      </w:r>
    </w:p>
    <w:p>
      <w:pPr>
        <w:pStyle w:val="ListParagraph"/>
        <w:numPr>
          <w:ilvl w:val="2"/>
          <w:numId w:val="62"/>
        </w:numPr>
        <w:tabs>
          <w:tab w:pos="2160" w:val="left" w:leader="none"/>
        </w:tabs>
        <w:spacing w:line="324" w:lineRule="auto" w:before="0" w:after="0"/>
        <w:ind w:left="2160" w:right="1514" w:hanging="329"/>
        <w:jc w:val="left"/>
        <w:rPr>
          <w:sz w:val="19"/>
        </w:rPr>
      </w:pPr>
      <w:r>
        <w:rPr>
          <w:sz w:val="19"/>
        </w:rPr>
        <w:t>William</w:t>
      </w:r>
      <w:r>
        <w:rPr>
          <w:spacing w:val="40"/>
          <w:sz w:val="19"/>
        </w:rPr>
        <w:t> </w:t>
      </w:r>
      <w:r>
        <w:rPr>
          <w:sz w:val="19"/>
        </w:rPr>
        <w:t>Shakespeare.</w:t>
      </w:r>
      <w:r>
        <w:rPr>
          <w:spacing w:val="40"/>
          <w:sz w:val="19"/>
        </w:rPr>
        <w:t> </w:t>
      </w:r>
      <w:r>
        <w:rPr>
          <w:sz w:val="19"/>
        </w:rPr>
        <w:t>(2004).</w:t>
      </w:r>
      <w:r>
        <w:rPr>
          <w:spacing w:val="40"/>
          <w:sz w:val="19"/>
        </w:rPr>
        <w:t> </w:t>
      </w:r>
      <w:r>
        <w:rPr>
          <w:i/>
          <w:sz w:val="19"/>
        </w:rPr>
        <w:t>Macbeth</w:t>
      </w:r>
      <w:r>
        <w:rPr>
          <w:sz w:val="19"/>
        </w:rPr>
        <w:t>.</w:t>
      </w:r>
      <w:r>
        <w:rPr>
          <w:spacing w:val="40"/>
          <w:sz w:val="19"/>
        </w:rPr>
        <w:t> </w:t>
      </w:r>
      <w:r>
        <w:rPr>
          <w:sz w:val="19"/>
        </w:rPr>
        <w:t>Arden</w:t>
      </w:r>
      <w:r>
        <w:rPr>
          <w:spacing w:val="40"/>
          <w:sz w:val="19"/>
        </w:rPr>
        <w:t> </w:t>
      </w:r>
      <w:r>
        <w:rPr>
          <w:sz w:val="19"/>
        </w:rPr>
        <w:t>Shakespeare. William</w:t>
      </w:r>
      <w:r>
        <w:rPr>
          <w:spacing w:val="37"/>
          <w:sz w:val="19"/>
        </w:rPr>
        <w:t> </w:t>
      </w:r>
      <w:r>
        <w:rPr>
          <w:sz w:val="19"/>
        </w:rPr>
        <w:t>Shakespeare.</w:t>
      </w:r>
      <w:r>
        <w:rPr>
          <w:spacing w:val="34"/>
          <w:sz w:val="19"/>
        </w:rPr>
        <w:t> </w:t>
      </w:r>
      <w:r>
        <w:rPr>
          <w:sz w:val="19"/>
        </w:rPr>
        <w:t>(2006).</w:t>
      </w:r>
      <w:r>
        <w:rPr>
          <w:spacing w:val="39"/>
          <w:sz w:val="19"/>
        </w:rPr>
        <w:t> </w:t>
      </w:r>
      <w:r>
        <w:rPr>
          <w:i/>
          <w:sz w:val="19"/>
        </w:rPr>
        <w:t>King</w:t>
      </w:r>
      <w:r>
        <w:rPr>
          <w:i/>
          <w:spacing w:val="38"/>
          <w:sz w:val="19"/>
        </w:rPr>
        <w:t> </w:t>
      </w:r>
      <w:r>
        <w:rPr>
          <w:i/>
          <w:sz w:val="19"/>
        </w:rPr>
        <w:t>Lear</w:t>
      </w:r>
      <w:r>
        <w:rPr>
          <w:sz w:val="19"/>
        </w:rPr>
        <w:t>.</w:t>
      </w:r>
      <w:r>
        <w:rPr>
          <w:spacing w:val="30"/>
          <w:sz w:val="19"/>
        </w:rPr>
        <w:t> </w:t>
      </w:r>
      <w:r>
        <w:rPr>
          <w:sz w:val="19"/>
        </w:rPr>
        <w:t>Arden</w:t>
      </w:r>
      <w:r>
        <w:rPr>
          <w:spacing w:val="38"/>
          <w:sz w:val="19"/>
        </w:rPr>
        <w:t> </w:t>
      </w:r>
      <w:r>
        <w:rPr>
          <w:sz w:val="19"/>
        </w:rPr>
        <w:t>Shakespeare.</w:t>
      </w:r>
    </w:p>
    <w:p>
      <w:pPr>
        <w:spacing w:line="261" w:lineRule="auto" w:before="0"/>
        <w:ind w:left="2160" w:right="1437" w:firstLine="0"/>
        <w:jc w:val="left"/>
        <w:rPr>
          <w:sz w:val="19"/>
        </w:rPr>
      </w:pPr>
      <w:r>
        <w:rPr>
          <w:sz w:val="19"/>
        </w:rPr>
        <w:t>William</w:t>
      </w:r>
      <w:r>
        <w:rPr>
          <w:spacing w:val="40"/>
          <w:sz w:val="19"/>
        </w:rPr>
        <w:t> </w:t>
      </w:r>
      <w:r>
        <w:rPr>
          <w:sz w:val="19"/>
        </w:rPr>
        <w:t>Shakespeare.</w:t>
      </w:r>
      <w:r>
        <w:rPr>
          <w:spacing w:val="40"/>
          <w:sz w:val="19"/>
        </w:rPr>
        <w:t> </w:t>
      </w:r>
      <w:r>
        <w:rPr>
          <w:sz w:val="19"/>
        </w:rPr>
        <w:t>(2006).</w:t>
      </w:r>
      <w:r>
        <w:rPr>
          <w:spacing w:val="40"/>
          <w:sz w:val="19"/>
        </w:rPr>
        <w:t> </w:t>
      </w:r>
      <w:r>
        <w:rPr>
          <w:i/>
          <w:sz w:val="19"/>
        </w:rPr>
        <w:t>Antony</w:t>
      </w:r>
      <w:r>
        <w:rPr>
          <w:i/>
          <w:spacing w:val="40"/>
          <w:sz w:val="19"/>
        </w:rPr>
        <w:t> </w:t>
      </w:r>
      <w:r>
        <w:rPr>
          <w:i/>
          <w:sz w:val="19"/>
        </w:rPr>
        <w:t>and</w:t>
      </w:r>
      <w:r>
        <w:rPr>
          <w:i/>
          <w:spacing w:val="40"/>
          <w:sz w:val="19"/>
        </w:rPr>
        <w:t> </w:t>
      </w:r>
      <w:r>
        <w:rPr>
          <w:i/>
          <w:sz w:val="19"/>
        </w:rPr>
        <w:t>Cleopatra</w:t>
      </w:r>
      <w:r>
        <w:rPr>
          <w:sz w:val="19"/>
        </w:rPr>
        <w:t>.</w:t>
      </w:r>
      <w:r>
        <w:rPr>
          <w:spacing w:val="40"/>
          <w:sz w:val="19"/>
        </w:rPr>
        <w:t> </w:t>
      </w:r>
      <w:r>
        <w:rPr>
          <w:sz w:val="19"/>
        </w:rPr>
        <w:t>Arden </w:t>
      </w:r>
      <w:r>
        <w:rPr>
          <w:spacing w:val="-2"/>
          <w:sz w:val="19"/>
        </w:rPr>
        <w:t>Shakespeare.</w:t>
      </w:r>
    </w:p>
    <w:p>
      <w:pPr>
        <w:spacing w:line="261" w:lineRule="auto" w:before="58"/>
        <w:ind w:left="2160" w:right="1437" w:firstLine="0"/>
        <w:jc w:val="left"/>
        <w:rPr>
          <w:sz w:val="19"/>
        </w:rPr>
      </w:pPr>
      <w:r>
        <w:rPr>
          <w:sz w:val="19"/>
        </w:rPr>
        <w:t>William</w:t>
      </w:r>
      <w:r>
        <w:rPr>
          <w:spacing w:val="40"/>
          <w:sz w:val="19"/>
        </w:rPr>
        <w:t> </w:t>
      </w:r>
      <w:r>
        <w:rPr>
          <w:sz w:val="19"/>
        </w:rPr>
        <w:t>Shakespeare.</w:t>
      </w:r>
      <w:r>
        <w:rPr>
          <w:spacing w:val="40"/>
          <w:sz w:val="19"/>
        </w:rPr>
        <w:t> </w:t>
      </w:r>
      <w:r>
        <w:rPr>
          <w:sz w:val="19"/>
        </w:rPr>
        <w:t>(2005).</w:t>
      </w:r>
      <w:r>
        <w:rPr>
          <w:spacing w:val="40"/>
          <w:sz w:val="19"/>
        </w:rPr>
        <w:t> </w:t>
      </w:r>
      <w:r>
        <w:rPr>
          <w:i/>
          <w:sz w:val="19"/>
        </w:rPr>
        <w:t>Measure</w:t>
      </w:r>
      <w:r>
        <w:rPr>
          <w:i/>
          <w:spacing w:val="40"/>
          <w:sz w:val="19"/>
        </w:rPr>
        <w:t> </w:t>
      </w:r>
      <w:r>
        <w:rPr>
          <w:i/>
          <w:sz w:val="19"/>
        </w:rPr>
        <w:t>for</w:t>
      </w:r>
      <w:r>
        <w:rPr>
          <w:i/>
          <w:spacing w:val="40"/>
          <w:sz w:val="19"/>
        </w:rPr>
        <w:t> </w:t>
      </w:r>
      <w:r>
        <w:rPr>
          <w:i/>
          <w:sz w:val="19"/>
        </w:rPr>
        <w:t>Measure</w:t>
      </w:r>
      <w:r>
        <w:rPr>
          <w:sz w:val="19"/>
        </w:rPr>
        <w:t>.</w:t>
      </w:r>
      <w:r>
        <w:rPr>
          <w:spacing w:val="40"/>
          <w:sz w:val="19"/>
        </w:rPr>
        <w:t> </w:t>
      </w:r>
      <w:r>
        <w:rPr>
          <w:sz w:val="19"/>
        </w:rPr>
        <w:t>Arden</w:t>
      </w:r>
      <w:r>
        <w:rPr>
          <w:spacing w:val="40"/>
          <w:sz w:val="19"/>
        </w:rPr>
        <w:t> </w:t>
      </w:r>
      <w:r>
        <w:rPr>
          <w:spacing w:val="-2"/>
          <w:sz w:val="19"/>
        </w:rPr>
        <w:t>Shakespeare.</w:t>
      </w:r>
    </w:p>
    <w:p>
      <w:pPr>
        <w:spacing w:after="0" w:line="261"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63456">
                <wp:simplePos x="0" y="0"/>
                <wp:positionH relativeFrom="page">
                  <wp:posOffset>2057400</wp:posOffset>
                </wp:positionH>
                <wp:positionV relativeFrom="page">
                  <wp:posOffset>1788723</wp:posOffset>
                </wp:positionV>
                <wp:extent cx="3656965" cy="140335"/>
                <wp:effectExtent l="0" t="0" r="0" b="0"/>
                <wp:wrapNone/>
                <wp:docPr id="583" name="Textbox 583"/>
                <wp:cNvGraphicFramePr>
                  <a:graphicFrameLocks/>
                </wp:cNvGraphicFramePr>
                <a:graphic>
                  <a:graphicData uri="http://schemas.microsoft.com/office/word/2010/wordprocessingShape">
                    <wps:wsp>
                      <wps:cNvPr id="583" name="Textbox 583"/>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282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353024" type="#_x0000_t202" id="docshape575"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282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584" name="Group 584"/>
                <wp:cNvGraphicFramePr>
                  <a:graphicFrameLocks/>
                </wp:cNvGraphicFramePr>
                <a:graphic>
                  <a:graphicData uri="http://schemas.microsoft.com/office/word/2010/wordprocessingGroup">
                    <wpg:wgp>
                      <wpg:cNvPr id="584" name="Group 584"/>
                      <wpg:cNvGrpSpPr/>
                      <wpg:grpSpPr>
                        <a:xfrm>
                          <a:off x="0" y="0"/>
                          <a:ext cx="4044950" cy="699770"/>
                          <a:chExt cx="4044950" cy="699770"/>
                        </a:xfrm>
                      </wpg:grpSpPr>
                      <wps:wsp>
                        <wps:cNvPr id="585" name="Graphic 585"/>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576" coordorigin="0,0" coordsize="6370,1102">
                <v:rect style="position:absolute;left:0;top:0;width:6370;height:1102" id="docshape577"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799296">
                <wp:simplePos x="0" y="0"/>
                <wp:positionH relativeFrom="page">
                  <wp:posOffset>3488435</wp:posOffset>
                </wp:positionH>
                <wp:positionV relativeFrom="paragraph">
                  <wp:posOffset>272922</wp:posOffset>
                </wp:positionV>
                <wp:extent cx="728980" cy="655320"/>
                <wp:effectExtent l="0" t="0" r="0" b="0"/>
                <wp:wrapTopAndBottom/>
                <wp:docPr id="586" name="Group 586"/>
                <wp:cNvGraphicFramePr>
                  <a:graphicFrameLocks/>
                </wp:cNvGraphicFramePr>
                <a:graphic>
                  <a:graphicData uri="http://schemas.microsoft.com/office/word/2010/wordprocessingGroup">
                    <wpg:wgp>
                      <wpg:cNvPr id="586" name="Group 586"/>
                      <wpg:cNvGrpSpPr/>
                      <wpg:grpSpPr>
                        <a:xfrm>
                          <a:off x="0" y="0"/>
                          <a:ext cx="728980" cy="655320"/>
                          <a:chExt cx="728980" cy="655320"/>
                        </a:xfrm>
                      </wpg:grpSpPr>
                      <pic:pic>
                        <pic:nvPicPr>
                          <pic:cNvPr id="587" name="Image 587"/>
                          <pic:cNvPicPr/>
                        </pic:nvPicPr>
                        <pic:blipFill>
                          <a:blip r:embed="rId99" cstate="print"/>
                          <a:stretch>
                            <a:fillRect/>
                          </a:stretch>
                        </pic:blipFill>
                        <pic:spPr>
                          <a:xfrm>
                            <a:off x="0" y="0"/>
                            <a:ext cx="728471" cy="655320"/>
                          </a:xfrm>
                          <a:prstGeom prst="rect">
                            <a:avLst/>
                          </a:prstGeom>
                        </pic:spPr>
                      </pic:pic>
                      <wps:wsp>
                        <wps:cNvPr id="588" name="Textbox 588"/>
                        <wps:cNvSpPr txBox="1"/>
                        <wps:spPr>
                          <a:xfrm>
                            <a:off x="0" y="0"/>
                            <a:ext cx="728980" cy="655320"/>
                          </a:xfrm>
                          <a:prstGeom prst="rect">
                            <a:avLst/>
                          </a:prstGeom>
                        </wps:spPr>
                        <wps:txbx>
                          <w:txbxContent>
                            <w:p>
                              <w:pPr>
                                <w:spacing w:before="396"/>
                                <w:ind w:left="432" w:right="0" w:firstLine="0"/>
                                <w:jc w:val="left"/>
                                <w:rPr>
                                  <w:rFonts w:ascii="Tahoma"/>
                                  <w:b/>
                                  <w:sz w:val="36"/>
                                </w:rPr>
                              </w:pPr>
                              <w:r>
                                <w:rPr>
                                  <w:rFonts w:ascii="Tahoma"/>
                                  <w:b/>
                                  <w:spacing w:val="-5"/>
                                  <w:w w:val="95"/>
                                  <w:sz w:val="36"/>
                                </w:rPr>
                                <w:t>27</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517184;mso-wrap-distance-left:0;mso-wrap-distance-right:0" id="docshapegroup578" coordorigin="5494,430" coordsize="1148,1032">
                <v:shape style="position:absolute;left:5493;top:429;width:1148;height:1032" type="#_x0000_t75" id="docshape579" stroked="false">
                  <v:imagedata r:id="rId99" o:title=""/>
                </v:shape>
                <v:shape style="position:absolute;left:5493;top:429;width:1148;height:1032" type="#_x0000_t202" id="docshape580" filled="false" stroked="false">
                  <v:textbox inset="0,0,0,0">
                    <w:txbxContent>
                      <w:p>
                        <w:pPr>
                          <w:spacing w:before="396"/>
                          <w:ind w:left="432" w:right="0" w:firstLine="0"/>
                          <w:jc w:val="left"/>
                          <w:rPr>
                            <w:rFonts w:ascii="Tahoma"/>
                            <w:b/>
                            <w:sz w:val="36"/>
                          </w:rPr>
                        </w:pPr>
                        <w:r>
                          <w:rPr>
                            <w:rFonts w:ascii="Tahoma"/>
                            <w:b/>
                            <w:spacing w:val="-5"/>
                            <w:w w:val="95"/>
                            <w:sz w:val="36"/>
                          </w:rPr>
                          <w:t>27</w:t>
                        </w:r>
                      </w:p>
                    </w:txbxContent>
                  </v:textbox>
                  <w10:wrap type="none"/>
                </v:shape>
                <w10:wrap type="topAndBottom"/>
              </v:group>
            </w:pict>
          </mc:Fallback>
        </mc:AlternateContent>
      </w:r>
    </w:p>
    <w:p>
      <w:pPr>
        <w:pStyle w:val="Heading1"/>
        <w:spacing w:line="211" w:lineRule="auto" w:before="49"/>
        <w:ind w:left="1824" w:right="1824" w:hanging="7"/>
      </w:pPr>
      <w:r>
        <w:rPr/>
        <w:t>Epistemic</w:t>
      </w:r>
      <w:r>
        <w:rPr>
          <w:spacing w:val="-24"/>
        </w:rPr>
        <w:t> </w:t>
      </w:r>
      <w:r>
        <w:rPr/>
        <w:t>Injustice,</w:t>
      </w:r>
      <w:r>
        <w:rPr>
          <w:spacing w:val="-23"/>
        </w:rPr>
        <w:t> </w:t>
      </w:r>
      <w:r>
        <w:rPr/>
        <w:t>Gendered Silencing,</w:t>
      </w:r>
      <w:r>
        <w:rPr>
          <w:spacing w:val="-19"/>
        </w:rPr>
        <w:t> </w:t>
      </w:r>
      <w:r>
        <w:rPr/>
        <w:t>and</w:t>
      </w:r>
      <w:r>
        <w:rPr>
          <w:spacing w:val="-19"/>
        </w:rPr>
        <w:t> </w:t>
      </w:r>
      <w:r>
        <w:rPr/>
        <w:t>Testimony: Desdemona and Ophelia in </w:t>
      </w:r>
      <w:r>
        <w:rPr/>
        <w:t>the</w:t>
      </w:r>
    </w:p>
    <w:p>
      <w:pPr>
        <w:tabs>
          <w:tab w:pos="1972" w:val="left" w:leader="none"/>
          <w:tab w:pos="5759" w:val="left" w:leader="none"/>
        </w:tabs>
        <w:spacing w:line="348" w:lineRule="exact" w:before="0"/>
        <w:ind w:left="0" w:right="0" w:firstLine="0"/>
        <w:jc w:val="center"/>
        <w:rPr>
          <w:rFonts w:ascii="Tahoma"/>
          <w:b/>
          <w:sz w:val="32"/>
        </w:rPr>
      </w:pPr>
      <w:r>
        <w:rPr>
          <w:sz w:val="32"/>
          <w:u w:val="single"/>
        </w:rPr>
        <w:tab/>
      </w:r>
      <w:r>
        <w:rPr>
          <w:rFonts w:ascii="Tahoma"/>
          <w:b/>
          <w:w w:val="90"/>
          <w:sz w:val="32"/>
          <w:u w:val="single"/>
        </w:rPr>
        <w:t>#MeToo</w:t>
      </w:r>
      <w:r>
        <w:rPr>
          <w:rFonts w:ascii="Tahoma"/>
          <w:b/>
          <w:spacing w:val="38"/>
          <w:sz w:val="32"/>
          <w:u w:val="single"/>
        </w:rPr>
        <w:t> </w:t>
      </w:r>
      <w:r>
        <w:rPr>
          <w:rFonts w:ascii="Tahoma"/>
          <w:b/>
          <w:spacing w:val="-5"/>
          <w:sz w:val="32"/>
          <w:u w:val="single"/>
        </w:rPr>
        <w:t>Era</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799808">
                <wp:simplePos x="0" y="0"/>
                <wp:positionH relativeFrom="page">
                  <wp:posOffset>2057400</wp:posOffset>
                </wp:positionH>
                <wp:positionV relativeFrom="paragraph">
                  <wp:posOffset>60431</wp:posOffset>
                </wp:positionV>
                <wp:extent cx="3657600" cy="7620"/>
                <wp:effectExtent l="0" t="0" r="0" b="0"/>
                <wp:wrapTopAndBottom/>
                <wp:docPr id="589" name="Graphic 589"/>
                <wp:cNvGraphicFramePr>
                  <a:graphicFrameLocks/>
                </wp:cNvGraphicFramePr>
                <a:graphic>
                  <a:graphicData uri="http://schemas.microsoft.com/office/word/2010/wordprocessingShape">
                    <wps:wsp>
                      <wps:cNvPr id="589" name="Graphic 589"/>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58404pt;width:288.000009pt;height:.600014pt;mso-position-horizontal-relative:page;mso-position-vertical-relative:paragraph;z-index:-15516672;mso-wrap-distance-left:0;mso-wrap-distance-right:0" id="docshape581" filled="true" fillcolor="#000000" stroked="false">
                <v:fill type="solid"/>
                <w10:wrap type="topAndBottom"/>
              </v:rect>
            </w:pict>
          </mc:Fallback>
        </mc:AlternateContent>
      </w:r>
    </w:p>
    <w:p>
      <w:pPr>
        <w:pStyle w:val="BodyText"/>
        <w:spacing w:before="15"/>
        <w:ind w:left="0"/>
        <w:rPr>
          <w:rFonts w:ascii="Tahoma"/>
          <w:b/>
          <w:sz w:val="32"/>
        </w:rPr>
      </w:pPr>
    </w:p>
    <w:p>
      <w:pPr>
        <w:spacing w:line="252" w:lineRule="auto" w:before="0"/>
        <w:ind w:left="2054" w:right="1437" w:firstLine="2954"/>
        <w:jc w:val="right"/>
        <w:rPr>
          <w:i/>
          <w:sz w:val="19"/>
        </w:rPr>
      </w:pPr>
      <w:r>
        <w:rPr>
          <w:b/>
          <w:i/>
          <w:sz w:val="22"/>
        </w:rPr>
        <w:t>Dr.</w:t>
      </w:r>
      <w:r>
        <w:rPr>
          <w:b/>
          <w:i/>
          <w:spacing w:val="35"/>
          <w:sz w:val="22"/>
        </w:rPr>
        <w:t> </w:t>
      </w:r>
      <w:r>
        <w:rPr>
          <w:b/>
          <w:i/>
          <w:sz w:val="22"/>
        </w:rPr>
        <w:t>CVS</w:t>
      </w:r>
      <w:r>
        <w:rPr>
          <w:b/>
          <w:i/>
          <w:spacing w:val="35"/>
          <w:sz w:val="22"/>
        </w:rPr>
        <w:t> </w:t>
      </w:r>
      <w:r>
        <w:rPr>
          <w:b/>
          <w:i/>
          <w:sz w:val="22"/>
        </w:rPr>
        <w:t>Ravindranath </w:t>
      </w:r>
      <w:r>
        <w:rPr>
          <w:i/>
          <w:sz w:val="19"/>
        </w:rPr>
        <w:t>Associate</w:t>
      </w:r>
      <w:r>
        <w:rPr>
          <w:i/>
          <w:spacing w:val="40"/>
          <w:sz w:val="19"/>
        </w:rPr>
        <w:t> </w:t>
      </w:r>
      <w:r>
        <w:rPr>
          <w:i/>
          <w:sz w:val="19"/>
        </w:rPr>
        <w:t>Professor</w:t>
      </w:r>
      <w:r>
        <w:rPr>
          <w:i/>
          <w:spacing w:val="40"/>
          <w:sz w:val="19"/>
        </w:rPr>
        <w:t> </w:t>
      </w:r>
      <w:r>
        <w:rPr>
          <w:i/>
          <w:sz w:val="19"/>
        </w:rPr>
        <w:t>of</w:t>
      </w:r>
      <w:r>
        <w:rPr>
          <w:i/>
          <w:spacing w:val="40"/>
          <w:sz w:val="19"/>
        </w:rPr>
        <w:t> </w:t>
      </w:r>
      <w:r>
        <w:rPr>
          <w:i/>
          <w:sz w:val="19"/>
        </w:rPr>
        <w:t>English,</w:t>
      </w:r>
      <w:r>
        <w:rPr>
          <w:i/>
          <w:spacing w:val="40"/>
          <w:sz w:val="19"/>
        </w:rPr>
        <w:t> </w:t>
      </w:r>
      <w:r>
        <w:rPr>
          <w:i/>
          <w:sz w:val="19"/>
        </w:rPr>
        <w:t>Dr.</w:t>
      </w:r>
      <w:r>
        <w:rPr>
          <w:i/>
          <w:spacing w:val="40"/>
          <w:sz w:val="19"/>
        </w:rPr>
        <w:t> </w:t>
      </w:r>
      <w:r>
        <w:rPr>
          <w:i/>
          <w:sz w:val="19"/>
        </w:rPr>
        <w:t>V.</w:t>
      </w:r>
      <w:r>
        <w:rPr>
          <w:i/>
          <w:spacing w:val="40"/>
          <w:sz w:val="19"/>
        </w:rPr>
        <w:t> </w:t>
      </w:r>
      <w:r>
        <w:rPr>
          <w:i/>
          <w:sz w:val="19"/>
        </w:rPr>
        <w:t>S.</w:t>
      </w:r>
      <w:r>
        <w:rPr>
          <w:i/>
          <w:spacing w:val="40"/>
          <w:sz w:val="19"/>
        </w:rPr>
        <w:t> </w:t>
      </w:r>
      <w:r>
        <w:rPr>
          <w:i/>
          <w:sz w:val="19"/>
        </w:rPr>
        <w:t>Krishna</w:t>
      </w:r>
      <w:r>
        <w:rPr>
          <w:i/>
          <w:spacing w:val="40"/>
          <w:sz w:val="19"/>
        </w:rPr>
        <w:t> </w:t>
      </w:r>
      <w:r>
        <w:rPr>
          <w:i/>
          <w:sz w:val="19"/>
        </w:rPr>
        <w:t>Government Degree</w:t>
      </w:r>
      <w:r>
        <w:rPr>
          <w:i/>
          <w:spacing w:val="40"/>
          <w:sz w:val="19"/>
        </w:rPr>
        <w:t> </w:t>
      </w:r>
      <w:r>
        <w:rPr>
          <w:i/>
          <w:sz w:val="19"/>
        </w:rPr>
        <w:t>&amp;</w:t>
      </w:r>
      <w:r>
        <w:rPr>
          <w:i/>
          <w:spacing w:val="40"/>
          <w:sz w:val="19"/>
        </w:rPr>
        <w:t> </w:t>
      </w:r>
      <w:r>
        <w:rPr>
          <w:i/>
          <w:sz w:val="19"/>
        </w:rPr>
        <w:t>PG</w:t>
      </w:r>
      <w:r>
        <w:rPr>
          <w:i/>
          <w:spacing w:val="40"/>
          <w:sz w:val="19"/>
        </w:rPr>
        <w:t> </w:t>
      </w:r>
      <w:r>
        <w:rPr>
          <w:i/>
          <w:sz w:val="19"/>
        </w:rPr>
        <w:t>College</w:t>
      </w:r>
      <w:r>
        <w:rPr>
          <w:i/>
          <w:spacing w:val="40"/>
          <w:sz w:val="19"/>
        </w:rPr>
        <w:t> </w:t>
      </w:r>
      <w:r>
        <w:rPr>
          <w:i/>
          <w:sz w:val="19"/>
        </w:rPr>
        <w:t>(A),</w:t>
      </w:r>
      <w:r>
        <w:rPr>
          <w:i/>
          <w:spacing w:val="40"/>
          <w:sz w:val="19"/>
        </w:rPr>
        <w:t> </w:t>
      </w:r>
      <w:r>
        <w:rPr>
          <w:i/>
          <w:sz w:val="19"/>
        </w:rPr>
        <w:t>Visakhapatnam</w:t>
      </w:r>
    </w:p>
    <w:p>
      <w:pPr>
        <w:pStyle w:val="BodyText"/>
        <w:spacing w:before="151"/>
        <w:ind w:left="0"/>
        <w:rPr>
          <w:i/>
          <w:sz w:val="19"/>
        </w:rPr>
      </w:pPr>
    </w:p>
    <w:p>
      <w:pPr>
        <w:pStyle w:val="Heading3"/>
        <w:spacing w:before="0"/>
      </w:pPr>
      <w:r>
        <w:rPr>
          <w:spacing w:val="-2"/>
        </w:rPr>
        <w:t>ABSTRACT</w:t>
      </w:r>
    </w:p>
    <w:p>
      <w:pPr>
        <w:pStyle w:val="BodyText"/>
        <w:spacing w:line="249" w:lineRule="auto" w:before="75"/>
        <w:ind w:right="1433" w:firstLine="432"/>
        <w:jc w:val="both"/>
      </w:pPr>
      <w:r>
        <w:rPr/>
        <w:t>The #MeToo movement has catalysed a global re-examination of gendered</w:t>
      </w:r>
      <w:r>
        <w:rPr>
          <w:spacing w:val="-13"/>
        </w:rPr>
        <w:t> </w:t>
      </w:r>
      <w:r>
        <w:rPr/>
        <w:t>power</w:t>
      </w:r>
      <w:r>
        <w:rPr>
          <w:spacing w:val="-12"/>
        </w:rPr>
        <w:t> </w:t>
      </w:r>
      <w:r>
        <w:rPr/>
        <w:t>structures,</w:t>
      </w:r>
      <w:r>
        <w:rPr>
          <w:spacing w:val="-13"/>
        </w:rPr>
        <w:t> </w:t>
      </w:r>
      <w:r>
        <w:rPr/>
        <w:t>exposing</w:t>
      </w:r>
      <w:r>
        <w:rPr>
          <w:spacing w:val="-12"/>
        </w:rPr>
        <w:t> </w:t>
      </w:r>
      <w:r>
        <w:rPr/>
        <w:t>the</w:t>
      </w:r>
      <w:r>
        <w:rPr>
          <w:spacing w:val="-13"/>
        </w:rPr>
        <w:t> </w:t>
      </w:r>
      <w:r>
        <w:rPr/>
        <w:t>systemic</w:t>
      </w:r>
      <w:r>
        <w:rPr>
          <w:spacing w:val="-12"/>
        </w:rPr>
        <w:t> </w:t>
      </w:r>
      <w:r>
        <w:rPr/>
        <w:t>silencing,</w:t>
      </w:r>
      <w:r>
        <w:rPr>
          <w:spacing w:val="-13"/>
        </w:rPr>
        <w:t> </w:t>
      </w:r>
      <w:r>
        <w:rPr/>
        <w:t>discrediting, and regulation</w:t>
      </w:r>
      <w:r>
        <w:rPr>
          <w:spacing w:val="-1"/>
        </w:rPr>
        <w:t> </w:t>
      </w:r>
      <w:r>
        <w:rPr/>
        <w:t>of</w:t>
      </w:r>
      <w:r>
        <w:rPr>
          <w:spacing w:val="-3"/>
        </w:rPr>
        <w:t> </w:t>
      </w:r>
      <w:r>
        <w:rPr/>
        <w:t>women</w:t>
      </w:r>
      <w:r>
        <w:rPr>
          <w:spacing w:val="-1"/>
        </w:rPr>
        <w:t> </w:t>
      </w:r>
      <w:r>
        <w:rPr/>
        <w:t>across</w:t>
      </w:r>
      <w:r>
        <w:rPr>
          <w:spacing w:val="-3"/>
        </w:rPr>
        <w:t> </w:t>
      </w:r>
      <w:r>
        <w:rPr/>
        <w:t>social, cultural, and historical</w:t>
      </w:r>
      <w:r>
        <w:rPr>
          <w:spacing w:val="-3"/>
        </w:rPr>
        <w:t> </w:t>
      </w:r>
      <w:r>
        <w:rPr/>
        <w:t>contexts. This paper reconsiders Desdemona in </w:t>
      </w:r>
      <w:r>
        <w:rPr>
          <w:i/>
        </w:rPr>
        <w:t>Othello </w:t>
      </w:r>
      <w:r>
        <w:rPr/>
        <w:t>and Ophelia in </w:t>
      </w:r>
      <w:r>
        <w:rPr>
          <w:i/>
        </w:rPr>
        <w:t>Hamlet </w:t>
      </w:r>
      <w:r>
        <w:rPr/>
        <w:t>through the lens of contemporary feminist theory, arguing that both figures function as proto-#MeToo subjects. While traditionally interpreted as passive victims or embodiments of emotional fragility, these characters reveal complex negotiations with patriarchal authority when examined through frameworks offered by Simone de Beauvoir, Judith Butler, Kate Millett, Miranda Fricker, and Elaine Showalter. Through a comparative analysis, this study demonstrates how Shakespeare’s tragedies dramatize epistemic injustice, gender performativity, sexual policing, and internalized patriarchy. By placing Desdemona and Ophelia in critical dialogue, the paper highlights how </w:t>
      </w:r>
      <w:r>
        <w:rPr>
          <w:spacing w:val="-2"/>
        </w:rPr>
        <w:t>early modern drama anticipates contemporary concerns about credibility, </w:t>
      </w:r>
      <w:r>
        <w:rPr/>
        <w:t>agency, and systemic gender violence. Ultimately, it argues that these characters do not merely</w:t>
      </w:r>
      <w:r>
        <w:rPr>
          <w:spacing w:val="-3"/>
        </w:rPr>
        <w:t> </w:t>
      </w:r>
      <w:r>
        <w:rPr/>
        <w:t>reflect individual tragedy</w:t>
      </w:r>
      <w:r>
        <w:rPr>
          <w:spacing w:val="-1"/>
        </w:rPr>
        <w:t> </w:t>
      </w:r>
      <w:r>
        <w:rPr/>
        <w:t>but expose enduring structures that continue to shape women’s experiences in the #MeToo </w:t>
      </w:r>
      <w:r>
        <w:rPr>
          <w:spacing w:val="-4"/>
        </w:rPr>
        <w:t>era.</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00832">
                <wp:simplePos x="0" y="0"/>
                <wp:positionH relativeFrom="page">
                  <wp:posOffset>2065020</wp:posOffset>
                </wp:positionH>
                <wp:positionV relativeFrom="paragraph">
                  <wp:posOffset>162604</wp:posOffset>
                </wp:positionV>
                <wp:extent cx="3657600" cy="12700"/>
                <wp:effectExtent l="0" t="0" r="0" b="0"/>
                <wp:wrapTopAndBottom/>
                <wp:docPr id="590" name="Graphic 590"/>
                <wp:cNvGraphicFramePr>
                  <a:graphicFrameLocks/>
                </wp:cNvGraphicFramePr>
                <a:graphic>
                  <a:graphicData uri="http://schemas.microsoft.com/office/word/2010/wordprocessingShape">
                    <wps:wsp>
                      <wps:cNvPr id="590" name="Graphic 59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15648;mso-wrap-distance-left:0;mso-wrap-distance-right:0" id="docshape582" filled="true" fillcolor="#000000" stroked="false">
                <v:fill type="solid"/>
                <w10:wrap type="topAndBottom"/>
              </v:rect>
            </w:pict>
          </mc:Fallback>
        </mc:AlternateContent>
      </w:r>
      <w:r>
        <w:rPr>
          <w:rFonts w:ascii="Verdana"/>
          <w:sz w:val="18"/>
        </w:rPr>
        <w:t>Epistemic</w:t>
      </w:r>
      <w:r>
        <w:rPr>
          <w:rFonts w:ascii="Verdana"/>
          <w:spacing w:val="-3"/>
          <w:sz w:val="18"/>
        </w:rPr>
        <w:t> </w:t>
      </w:r>
      <w:r>
        <w:rPr>
          <w:rFonts w:ascii="Verdana"/>
          <w:sz w:val="18"/>
        </w:rPr>
        <w:t>Injustice,</w:t>
      </w:r>
      <w:r>
        <w:rPr>
          <w:rFonts w:ascii="Verdana"/>
          <w:spacing w:val="-5"/>
          <w:sz w:val="18"/>
        </w:rPr>
        <w:t> </w:t>
      </w:r>
      <w:r>
        <w:rPr>
          <w:rFonts w:ascii="Verdana"/>
          <w:sz w:val="18"/>
        </w:rPr>
        <w:t>Gendered</w:t>
      </w:r>
      <w:r>
        <w:rPr>
          <w:rFonts w:ascii="Verdana"/>
          <w:spacing w:val="-3"/>
          <w:sz w:val="18"/>
        </w:rPr>
        <w:t> </w:t>
      </w:r>
      <w:r>
        <w:rPr>
          <w:rFonts w:ascii="Verdana"/>
          <w:sz w:val="18"/>
        </w:rPr>
        <w:t>Silencing,</w:t>
      </w:r>
      <w:r>
        <w:rPr>
          <w:rFonts w:ascii="Verdana"/>
          <w:spacing w:val="-5"/>
          <w:sz w:val="18"/>
        </w:rPr>
        <w:t> </w:t>
      </w:r>
      <w:r>
        <w:rPr>
          <w:rFonts w:ascii="Verdana"/>
          <w:sz w:val="18"/>
        </w:rPr>
        <w:t>and</w:t>
      </w:r>
      <w:r>
        <w:rPr>
          <w:rFonts w:ascii="Verdana"/>
          <w:spacing w:val="-3"/>
          <w:sz w:val="18"/>
        </w:rPr>
        <w:t> </w:t>
      </w:r>
      <w:r>
        <w:rPr>
          <w:rFonts w:ascii="Verdana"/>
          <w:spacing w:val="-2"/>
          <w:sz w:val="18"/>
        </w:rPr>
        <w:t>Testimony...</w:t>
      </w:r>
      <w:r>
        <w:rPr>
          <w:rFonts w:ascii="Verdana"/>
          <w:sz w:val="18"/>
        </w:rPr>
        <w:tab/>
      </w:r>
      <w:r>
        <w:rPr>
          <w:rFonts w:ascii="Verdana"/>
          <w:spacing w:val="-5"/>
          <w:sz w:val="18"/>
        </w:rPr>
        <w:t>283</w:t>
      </w:r>
    </w:p>
    <w:p>
      <w:pPr>
        <w:pStyle w:val="BodyText"/>
        <w:spacing w:line="249" w:lineRule="auto" w:before="192"/>
        <w:ind w:right="1440" w:firstLine="432"/>
        <w:jc w:val="both"/>
      </w:pPr>
      <w:r>
        <w:rPr>
          <w:b/>
        </w:rPr>
        <w:t>Keywords: </w:t>
      </w:r>
      <w:r>
        <w:rPr/>
        <w:t>#MeToo movement; patriarchy; epistemic injustice; gender performativity; silenced voices; sexual politics; female agency; victim-blaming; Desdemona; Ophelia; early modern literature</w:t>
      </w:r>
    </w:p>
    <w:p>
      <w:pPr>
        <w:pStyle w:val="Heading3"/>
        <w:spacing w:before="156"/>
      </w:pPr>
      <w:r>
        <w:rPr>
          <w:spacing w:val="-2"/>
          <w:w w:val="95"/>
        </w:rPr>
        <w:t>INTRODUCTION</w:t>
      </w:r>
    </w:p>
    <w:p>
      <w:pPr>
        <w:pStyle w:val="BodyText"/>
        <w:spacing w:line="249" w:lineRule="auto" w:before="75"/>
        <w:ind w:right="1433" w:firstLine="432"/>
        <w:jc w:val="both"/>
      </w:pPr>
      <w:r>
        <w:rPr/>
        <w:t>The emergence of the #MeToo movement has significantly </w:t>
      </w:r>
      <w:r>
        <w:rPr>
          <w:spacing w:val="-2"/>
        </w:rPr>
        <w:t>reshaped critical approaches to literature, enabling</w:t>
      </w:r>
      <w:r>
        <w:rPr>
          <w:spacing w:val="-4"/>
        </w:rPr>
        <w:t> </w:t>
      </w:r>
      <w:r>
        <w:rPr>
          <w:spacing w:val="-2"/>
        </w:rPr>
        <w:t>scholars to interrogate </w:t>
      </w:r>
      <w:r>
        <w:rPr/>
        <w:t>canonical</w:t>
      </w:r>
      <w:r>
        <w:rPr>
          <w:spacing w:val="-3"/>
        </w:rPr>
        <w:t> </w:t>
      </w:r>
      <w:r>
        <w:rPr/>
        <w:t>texts</w:t>
      </w:r>
      <w:r>
        <w:rPr>
          <w:spacing w:val="-4"/>
        </w:rPr>
        <w:t> </w:t>
      </w:r>
      <w:r>
        <w:rPr/>
        <w:t>through</w:t>
      </w:r>
      <w:r>
        <w:rPr>
          <w:spacing w:val="-6"/>
        </w:rPr>
        <w:t> </w:t>
      </w:r>
      <w:r>
        <w:rPr/>
        <w:t>the</w:t>
      </w:r>
      <w:r>
        <w:rPr>
          <w:spacing w:val="-2"/>
        </w:rPr>
        <w:t> </w:t>
      </w:r>
      <w:r>
        <w:rPr/>
        <w:t>lens</w:t>
      </w:r>
      <w:r>
        <w:rPr>
          <w:spacing w:val="-2"/>
        </w:rPr>
        <w:t> </w:t>
      </w:r>
      <w:r>
        <w:rPr/>
        <w:t>of</w:t>
      </w:r>
      <w:r>
        <w:rPr>
          <w:spacing w:val="-4"/>
        </w:rPr>
        <w:t> </w:t>
      </w:r>
      <w:r>
        <w:rPr/>
        <w:t>gendered</w:t>
      </w:r>
      <w:r>
        <w:rPr>
          <w:spacing w:val="-2"/>
        </w:rPr>
        <w:t> </w:t>
      </w:r>
      <w:r>
        <w:rPr/>
        <w:t>power,</w:t>
      </w:r>
      <w:r>
        <w:rPr>
          <w:spacing w:val="-4"/>
        </w:rPr>
        <w:t> </w:t>
      </w:r>
      <w:r>
        <w:rPr/>
        <w:t>voice,</w:t>
      </w:r>
      <w:r>
        <w:rPr>
          <w:spacing w:val="-2"/>
        </w:rPr>
        <w:t> </w:t>
      </w:r>
      <w:r>
        <w:rPr/>
        <w:t>and</w:t>
      </w:r>
      <w:r>
        <w:rPr>
          <w:spacing w:val="-1"/>
        </w:rPr>
        <w:t> </w:t>
      </w:r>
      <w:r>
        <w:rPr/>
        <w:t>systemic injustice. Far from being confined to contemporary discourse, #MeToo operates as a retrospective analytical framework that reveals how </w:t>
      </w:r>
      <w:r>
        <w:rPr>
          <w:spacing w:val="-2"/>
        </w:rPr>
        <w:t>patriarchal</w:t>
      </w:r>
      <w:r>
        <w:rPr>
          <w:spacing w:val="-5"/>
        </w:rPr>
        <w:t> </w:t>
      </w:r>
      <w:r>
        <w:rPr>
          <w:spacing w:val="-2"/>
        </w:rPr>
        <w:t>structures</w:t>
      </w:r>
      <w:r>
        <w:rPr>
          <w:spacing w:val="-9"/>
        </w:rPr>
        <w:t> </w:t>
      </w:r>
      <w:r>
        <w:rPr>
          <w:spacing w:val="-2"/>
        </w:rPr>
        <w:t>have</w:t>
      </w:r>
      <w:r>
        <w:rPr>
          <w:spacing w:val="-4"/>
        </w:rPr>
        <w:t> </w:t>
      </w:r>
      <w:r>
        <w:rPr>
          <w:spacing w:val="-2"/>
        </w:rPr>
        <w:t>historically</w:t>
      </w:r>
      <w:r>
        <w:rPr>
          <w:spacing w:val="-9"/>
        </w:rPr>
        <w:t> </w:t>
      </w:r>
      <w:r>
        <w:rPr>
          <w:spacing w:val="-2"/>
        </w:rPr>
        <w:t>regulated</w:t>
      </w:r>
      <w:r>
        <w:rPr>
          <w:spacing w:val="-4"/>
        </w:rPr>
        <w:t> </w:t>
      </w:r>
      <w:r>
        <w:rPr>
          <w:spacing w:val="-2"/>
        </w:rPr>
        <w:t>women’s</w:t>
      </w:r>
      <w:r>
        <w:rPr>
          <w:spacing w:val="-9"/>
        </w:rPr>
        <w:t> </w:t>
      </w:r>
      <w:r>
        <w:rPr>
          <w:spacing w:val="-2"/>
        </w:rPr>
        <w:t>speech,</w:t>
      </w:r>
      <w:r>
        <w:rPr>
          <w:spacing w:val="-6"/>
        </w:rPr>
        <w:t> </w:t>
      </w:r>
      <w:r>
        <w:rPr>
          <w:spacing w:val="-2"/>
        </w:rPr>
        <w:t>bodies, and credibility. In this context, early</w:t>
      </w:r>
      <w:r>
        <w:rPr>
          <w:spacing w:val="-5"/>
        </w:rPr>
        <w:t> </w:t>
      </w:r>
      <w:r>
        <w:rPr>
          <w:spacing w:val="-2"/>
        </w:rPr>
        <w:t>modern drama—and particularly</w:t>
      </w:r>
      <w:r>
        <w:rPr>
          <w:spacing w:val="-5"/>
        </w:rPr>
        <w:t> </w:t>
      </w:r>
      <w:r>
        <w:rPr>
          <w:spacing w:val="-2"/>
        </w:rPr>
        <w:t>the </w:t>
      </w:r>
      <w:r>
        <w:rPr/>
        <w:t>tragedies</w:t>
      </w:r>
      <w:r>
        <w:rPr>
          <w:spacing w:val="40"/>
        </w:rPr>
        <w:t> </w:t>
      </w:r>
      <w:r>
        <w:rPr/>
        <w:t>of</w:t>
      </w:r>
      <w:r>
        <w:rPr>
          <w:spacing w:val="40"/>
        </w:rPr>
        <w:t> </w:t>
      </w:r>
      <w:r>
        <w:rPr/>
        <w:t>Shakespeare—acquires</w:t>
      </w:r>
      <w:r>
        <w:rPr>
          <w:spacing w:val="40"/>
        </w:rPr>
        <w:t> </w:t>
      </w:r>
      <w:r>
        <w:rPr/>
        <w:t>renewed</w:t>
      </w:r>
      <w:r>
        <w:rPr>
          <w:spacing w:val="40"/>
        </w:rPr>
        <w:t> </w:t>
      </w:r>
      <w:r>
        <w:rPr/>
        <w:t>critical</w:t>
      </w:r>
      <w:r>
        <w:rPr>
          <w:spacing w:val="40"/>
        </w:rPr>
        <w:t> </w:t>
      </w:r>
      <w:r>
        <w:rPr/>
        <w:t>urgency.</w:t>
      </w:r>
    </w:p>
    <w:p>
      <w:pPr>
        <w:pStyle w:val="BodyText"/>
        <w:spacing w:line="249" w:lineRule="auto" w:before="65"/>
        <w:ind w:right="1434" w:firstLine="432"/>
        <w:jc w:val="both"/>
      </w:pPr>
      <w:r>
        <w:rPr>
          <w:i/>
        </w:rPr>
        <w:t>Othello</w:t>
      </w:r>
      <w:r>
        <w:rPr>
          <w:i/>
          <w:spacing w:val="-8"/>
        </w:rPr>
        <w:t> </w:t>
      </w:r>
      <w:r>
        <w:rPr/>
        <w:t>and</w:t>
      </w:r>
      <w:r>
        <w:rPr>
          <w:spacing w:val="-5"/>
        </w:rPr>
        <w:t> </w:t>
      </w:r>
      <w:r>
        <w:rPr>
          <w:i/>
        </w:rPr>
        <w:t>Hamlet</w:t>
      </w:r>
      <w:r>
        <w:rPr>
          <w:i/>
          <w:spacing w:val="-9"/>
        </w:rPr>
        <w:t> </w:t>
      </w:r>
      <w:r>
        <w:rPr/>
        <w:t>present</w:t>
      </w:r>
      <w:r>
        <w:rPr>
          <w:spacing w:val="-7"/>
        </w:rPr>
        <w:t> </w:t>
      </w:r>
      <w:r>
        <w:rPr/>
        <w:t>two</w:t>
      </w:r>
      <w:r>
        <w:rPr>
          <w:spacing w:val="-8"/>
        </w:rPr>
        <w:t> </w:t>
      </w:r>
      <w:r>
        <w:rPr/>
        <w:t>of</w:t>
      </w:r>
      <w:r>
        <w:rPr>
          <w:spacing w:val="-8"/>
        </w:rPr>
        <w:t> </w:t>
      </w:r>
      <w:r>
        <w:rPr/>
        <w:t>Shakespeare’s</w:t>
      </w:r>
      <w:r>
        <w:rPr>
          <w:spacing w:val="-10"/>
        </w:rPr>
        <w:t> </w:t>
      </w:r>
      <w:r>
        <w:rPr/>
        <w:t>most</w:t>
      </w:r>
      <w:r>
        <w:rPr>
          <w:spacing w:val="-8"/>
        </w:rPr>
        <w:t> </w:t>
      </w:r>
      <w:r>
        <w:rPr/>
        <w:t>compelling </w:t>
      </w:r>
      <w:r>
        <w:rPr>
          <w:spacing w:val="-4"/>
        </w:rPr>
        <w:t>female</w:t>
      </w:r>
      <w:r>
        <w:rPr>
          <w:spacing w:val="-9"/>
        </w:rPr>
        <w:t> </w:t>
      </w:r>
      <w:r>
        <w:rPr>
          <w:spacing w:val="-4"/>
        </w:rPr>
        <w:t>figures:</w:t>
      </w:r>
      <w:r>
        <w:rPr>
          <w:spacing w:val="-8"/>
        </w:rPr>
        <w:t> </w:t>
      </w:r>
      <w:r>
        <w:rPr>
          <w:spacing w:val="-4"/>
        </w:rPr>
        <w:t>Desdemona</w:t>
      </w:r>
      <w:r>
        <w:rPr>
          <w:spacing w:val="-9"/>
        </w:rPr>
        <w:t> </w:t>
      </w:r>
      <w:r>
        <w:rPr>
          <w:spacing w:val="-4"/>
        </w:rPr>
        <w:t>and</w:t>
      </w:r>
      <w:r>
        <w:rPr>
          <w:spacing w:val="-8"/>
        </w:rPr>
        <w:t> </w:t>
      </w:r>
      <w:r>
        <w:rPr>
          <w:spacing w:val="-4"/>
        </w:rPr>
        <w:t>Ophelia.</w:t>
      </w:r>
      <w:r>
        <w:rPr>
          <w:spacing w:val="-9"/>
        </w:rPr>
        <w:t> </w:t>
      </w:r>
      <w:r>
        <w:rPr>
          <w:spacing w:val="-4"/>
        </w:rPr>
        <w:t>Although</w:t>
      </w:r>
      <w:r>
        <w:rPr>
          <w:spacing w:val="-8"/>
        </w:rPr>
        <w:t> </w:t>
      </w:r>
      <w:r>
        <w:rPr>
          <w:spacing w:val="-4"/>
        </w:rPr>
        <w:t>frequently</w:t>
      </w:r>
      <w:r>
        <w:rPr>
          <w:spacing w:val="-9"/>
        </w:rPr>
        <w:t> </w:t>
      </w:r>
      <w:r>
        <w:rPr>
          <w:spacing w:val="-4"/>
        </w:rPr>
        <w:t>marginalized </w:t>
      </w:r>
      <w:r>
        <w:rPr/>
        <w:t>within critical traditions, both characters serve as crucial sites for </w:t>
      </w:r>
      <w:r>
        <w:rPr>
          <w:spacing w:val="-2"/>
        </w:rPr>
        <w:t>examining</w:t>
      </w:r>
      <w:r>
        <w:rPr>
          <w:spacing w:val="-6"/>
        </w:rPr>
        <w:t> </w:t>
      </w:r>
      <w:r>
        <w:rPr>
          <w:spacing w:val="-2"/>
        </w:rPr>
        <w:t>how</w:t>
      </w:r>
      <w:r>
        <w:rPr>
          <w:spacing w:val="-6"/>
        </w:rPr>
        <w:t> </w:t>
      </w:r>
      <w:r>
        <w:rPr>
          <w:spacing w:val="-2"/>
        </w:rPr>
        <w:t>patriarchy</w:t>
      </w:r>
      <w:r>
        <w:rPr>
          <w:spacing w:val="-6"/>
        </w:rPr>
        <w:t> </w:t>
      </w:r>
      <w:r>
        <w:rPr>
          <w:spacing w:val="-2"/>
        </w:rPr>
        <w:t>constructs, disciplines, and ultimately</w:t>
      </w:r>
      <w:r>
        <w:rPr>
          <w:spacing w:val="-9"/>
        </w:rPr>
        <w:t> </w:t>
      </w:r>
      <w:r>
        <w:rPr>
          <w:spacing w:val="-2"/>
        </w:rPr>
        <w:t>destroys </w:t>
      </w:r>
      <w:r>
        <w:rPr/>
        <w:t>female subjectivity. Desdemona’s trajectory—from articulate agent to silenced</w:t>
      </w:r>
      <w:r>
        <w:rPr>
          <w:spacing w:val="-6"/>
        </w:rPr>
        <w:t> </w:t>
      </w:r>
      <w:r>
        <w:rPr/>
        <w:t>victim—exposes</w:t>
      </w:r>
      <w:r>
        <w:rPr>
          <w:spacing w:val="-8"/>
        </w:rPr>
        <w:t> </w:t>
      </w:r>
      <w:r>
        <w:rPr/>
        <w:t>the</w:t>
      </w:r>
      <w:r>
        <w:rPr>
          <w:spacing w:val="-8"/>
        </w:rPr>
        <w:t> </w:t>
      </w:r>
      <w:r>
        <w:rPr/>
        <w:t>fragility</w:t>
      </w:r>
      <w:r>
        <w:rPr>
          <w:spacing w:val="-10"/>
        </w:rPr>
        <w:t> </w:t>
      </w:r>
      <w:r>
        <w:rPr/>
        <w:t>of</w:t>
      </w:r>
      <w:r>
        <w:rPr>
          <w:spacing w:val="-8"/>
        </w:rPr>
        <w:t> </w:t>
      </w:r>
      <w:r>
        <w:rPr/>
        <w:t>female</w:t>
      </w:r>
      <w:r>
        <w:rPr>
          <w:spacing w:val="-6"/>
        </w:rPr>
        <w:t> </w:t>
      </w:r>
      <w:r>
        <w:rPr/>
        <w:t>credibility</w:t>
      </w:r>
      <w:r>
        <w:rPr>
          <w:spacing w:val="-10"/>
        </w:rPr>
        <w:t> </w:t>
      </w:r>
      <w:r>
        <w:rPr/>
        <w:t>within</w:t>
      </w:r>
      <w:r>
        <w:rPr>
          <w:spacing w:val="-8"/>
        </w:rPr>
        <w:t> </w:t>
      </w:r>
      <w:r>
        <w:rPr/>
        <w:t>male-dominated epistemic systems. Ophelia’s descent into madness, by contrast, reveals the psychological consequences of sustained silencing and</w:t>
      </w:r>
      <w:r>
        <w:rPr>
          <w:spacing w:val="40"/>
        </w:rPr>
        <w:t> </w:t>
      </w:r>
      <w:r>
        <w:rPr/>
        <w:t>identity</w:t>
      </w:r>
      <w:r>
        <w:rPr>
          <w:spacing w:val="40"/>
        </w:rPr>
        <w:t> </w:t>
      </w:r>
      <w:r>
        <w:rPr/>
        <w:t>fragmentation.</w:t>
      </w:r>
    </w:p>
    <w:p>
      <w:pPr>
        <w:pStyle w:val="BodyText"/>
        <w:spacing w:line="249" w:lineRule="auto" w:before="67"/>
        <w:ind w:right="1438" w:firstLine="432"/>
        <w:jc w:val="both"/>
      </w:pPr>
      <w:r>
        <w:rPr/>
        <w:t>This paper argues that Desdemona and Ophelia function as proto-#MeToo figures whose experiences illuminate enduring patterns of </w:t>
      </w:r>
      <w:r>
        <w:rPr>
          <w:spacing w:val="-2"/>
        </w:rPr>
        <w:t>gendered</w:t>
      </w:r>
      <w:r>
        <w:rPr>
          <w:spacing w:val="-5"/>
        </w:rPr>
        <w:t> </w:t>
      </w:r>
      <w:r>
        <w:rPr>
          <w:spacing w:val="-2"/>
        </w:rPr>
        <w:t>oppression.</w:t>
      </w:r>
      <w:r>
        <w:rPr>
          <w:spacing w:val="-7"/>
        </w:rPr>
        <w:t> </w:t>
      </w:r>
      <w:r>
        <w:rPr>
          <w:spacing w:val="-2"/>
        </w:rPr>
        <w:t>Drawing</w:t>
      </w:r>
      <w:r>
        <w:rPr>
          <w:spacing w:val="-7"/>
        </w:rPr>
        <w:t> </w:t>
      </w:r>
      <w:r>
        <w:rPr>
          <w:spacing w:val="-2"/>
        </w:rPr>
        <w:t>on</w:t>
      </w:r>
      <w:r>
        <w:rPr>
          <w:spacing w:val="-11"/>
        </w:rPr>
        <w:t> </w:t>
      </w:r>
      <w:r>
        <w:rPr>
          <w:spacing w:val="-2"/>
        </w:rPr>
        <w:t>Miranda</w:t>
      </w:r>
      <w:r>
        <w:rPr>
          <w:spacing w:val="-6"/>
        </w:rPr>
        <w:t> </w:t>
      </w:r>
      <w:r>
        <w:rPr>
          <w:spacing w:val="-2"/>
        </w:rPr>
        <w:t>Fricker’s</w:t>
      </w:r>
      <w:r>
        <w:rPr>
          <w:spacing w:val="-11"/>
        </w:rPr>
        <w:t> </w:t>
      </w:r>
      <w:r>
        <w:rPr>
          <w:spacing w:val="-2"/>
        </w:rPr>
        <w:t>concept</w:t>
      </w:r>
      <w:r>
        <w:rPr>
          <w:spacing w:val="-7"/>
        </w:rPr>
        <w:t> </w:t>
      </w:r>
      <w:r>
        <w:rPr>
          <w:spacing w:val="-2"/>
        </w:rPr>
        <w:t>of</w:t>
      </w:r>
      <w:r>
        <w:rPr>
          <w:spacing w:val="-7"/>
        </w:rPr>
        <w:t> </w:t>
      </w:r>
      <w:r>
        <w:rPr>
          <w:spacing w:val="-2"/>
        </w:rPr>
        <w:t>epistemic </w:t>
      </w:r>
      <w:r>
        <w:rPr/>
        <w:t>injustice and Judith Butler’s theory of gender performativity, this study demonstrates that both characters are not merely victims of individual men but are systematically positioned within structures that invalidate female</w:t>
      </w:r>
      <w:r>
        <w:rPr>
          <w:spacing w:val="-3"/>
        </w:rPr>
        <w:t> </w:t>
      </w:r>
      <w:r>
        <w:rPr/>
        <w:t>voice</w:t>
      </w:r>
      <w:r>
        <w:rPr>
          <w:spacing w:val="-3"/>
        </w:rPr>
        <w:t> </w:t>
      </w:r>
      <w:r>
        <w:rPr/>
        <w:t>and agency.</w:t>
      </w:r>
      <w:r>
        <w:rPr>
          <w:spacing w:val="-4"/>
        </w:rPr>
        <w:t> </w:t>
      </w:r>
      <w:r>
        <w:rPr/>
        <w:t>Their tragedies,</w:t>
      </w:r>
      <w:r>
        <w:rPr>
          <w:spacing w:val="-2"/>
        </w:rPr>
        <w:t> </w:t>
      </w:r>
      <w:r>
        <w:rPr/>
        <w:t>therefore,</w:t>
      </w:r>
      <w:r>
        <w:rPr>
          <w:spacing w:val="-2"/>
        </w:rPr>
        <w:t> </w:t>
      </w:r>
      <w:r>
        <w:rPr/>
        <w:t>are not</w:t>
      </w:r>
      <w:r>
        <w:rPr>
          <w:spacing w:val="-2"/>
        </w:rPr>
        <w:t> </w:t>
      </w:r>
      <w:r>
        <w:rPr/>
        <w:t>isolated</w:t>
      </w:r>
      <w:r>
        <w:rPr>
          <w:spacing w:val="-2"/>
        </w:rPr>
        <w:t> </w:t>
      </w:r>
      <w:r>
        <w:rPr/>
        <w:t>but symptomatic of broader cultural logics that continue to resonate in contemporary</w:t>
      </w:r>
      <w:r>
        <w:rPr>
          <w:spacing w:val="40"/>
        </w:rPr>
        <w:t> </w:t>
      </w:r>
      <w:r>
        <w:rPr/>
        <w:t>contexts.</w:t>
      </w:r>
    </w:p>
    <w:p>
      <w:pPr>
        <w:pStyle w:val="Heading3"/>
        <w:spacing w:before="161"/>
        <w:ind w:right="1437"/>
      </w:pPr>
      <w:r>
        <w:rPr>
          <w:spacing w:val="-8"/>
        </w:rPr>
        <w:t>PATRIARCHY</w:t>
      </w:r>
      <w:r>
        <w:rPr>
          <w:spacing w:val="12"/>
        </w:rPr>
        <w:t> </w:t>
      </w:r>
      <w:r>
        <w:rPr>
          <w:spacing w:val="-8"/>
        </w:rPr>
        <w:t>AND</w:t>
      </w:r>
      <w:r>
        <w:rPr>
          <w:spacing w:val="13"/>
        </w:rPr>
        <w:t> </w:t>
      </w:r>
      <w:r>
        <w:rPr>
          <w:spacing w:val="-8"/>
        </w:rPr>
        <w:t>THE</w:t>
      </w:r>
      <w:r>
        <w:rPr>
          <w:spacing w:val="14"/>
        </w:rPr>
        <w:t> </w:t>
      </w:r>
      <w:r>
        <w:rPr>
          <w:spacing w:val="-8"/>
        </w:rPr>
        <w:t>CONSTRUCTION</w:t>
      </w:r>
      <w:r>
        <w:rPr>
          <w:spacing w:val="13"/>
        </w:rPr>
        <w:t> </w:t>
      </w:r>
      <w:r>
        <w:rPr>
          <w:spacing w:val="-8"/>
        </w:rPr>
        <w:t>OF</w:t>
      </w:r>
      <w:r>
        <w:rPr>
          <w:spacing w:val="13"/>
        </w:rPr>
        <w:t> </w:t>
      </w:r>
      <w:r>
        <w:rPr>
          <w:spacing w:val="-8"/>
        </w:rPr>
        <w:t>FEMALE </w:t>
      </w:r>
      <w:r>
        <w:rPr>
          <w:spacing w:val="-12"/>
        </w:rPr>
        <w:t>IDENTITY</w:t>
      </w:r>
    </w:p>
    <w:p>
      <w:pPr>
        <w:pStyle w:val="BodyText"/>
        <w:spacing w:line="249" w:lineRule="auto" w:before="74"/>
        <w:ind w:right="1441" w:firstLine="432"/>
        <w:jc w:val="both"/>
      </w:pPr>
      <w:r>
        <w:rPr/>
        <w:t>Simone de Beauvoir’s assertion that “one is not born, but rather </w:t>
      </w:r>
      <w:r>
        <w:rPr>
          <w:spacing w:val="-2"/>
        </w:rPr>
        <w:t>becomes,</w:t>
      </w:r>
      <w:r>
        <w:rPr>
          <w:spacing w:val="-11"/>
        </w:rPr>
        <w:t> </w:t>
      </w:r>
      <w:r>
        <w:rPr>
          <w:spacing w:val="-2"/>
        </w:rPr>
        <w:t>a</w:t>
      </w:r>
      <w:r>
        <w:rPr>
          <w:spacing w:val="-10"/>
        </w:rPr>
        <w:t> </w:t>
      </w:r>
      <w:r>
        <w:rPr>
          <w:spacing w:val="-2"/>
        </w:rPr>
        <w:t>woman”</w:t>
      </w:r>
      <w:r>
        <w:rPr>
          <w:spacing w:val="-11"/>
        </w:rPr>
        <w:t> </w:t>
      </w:r>
      <w:r>
        <w:rPr>
          <w:spacing w:val="-2"/>
        </w:rPr>
        <w:t>provides</w:t>
      </w:r>
      <w:r>
        <w:rPr>
          <w:spacing w:val="-10"/>
        </w:rPr>
        <w:t> </w:t>
      </w:r>
      <w:r>
        <w:rPr>
          <w:spacing w:val="-2"/>
        </w:rPr>
        <w:t>a</w:t>
      </w:r>
      <w:r>
        <w:rPr>
          <w:spacing w:val="-11"/>
        </w:rPr>
        <w:t> </w:t>
      </w:r>
      <w:r>
        <w:rPr>
          <w:spacing w:val="-2"/>
        </w:rPr>
        <w:t>foundational</w:t>
      </w:r>
      <w:r>
        <w:rPr>
          <w:spacing w:val="-10"/>
        </w:rPr>
        <w:t> </w:t>
      </w:r>
      <w:r>
        <w:rPr>
          <w:spacing w:val="-2"/>
        </w:rPr>
        <w:t>framework</w:t>
      </w:r>
      <w:r>
        <w:rPr>
          <w:spacing w:val="-11"/>
        </w:rPr>
        <w:t> </w:t>
      </w:r>
      <w:r>
        <w:rPr>
          <w:spacing w:val="-2"/>
        </w:rPr>
        <w:t>for</w:t>
      </w:r>
      <w:r>
        <w:rPr>
          <w:spacing w:val="-10"/>
        </w:rPr>
        <w:t> </w:t>
      </w:r>
      <w:r>
        <w:rPr>
          <w:spacing w:val="-2"/>
        </w:rPr>
        <w:t>understanding </w:t>
      </w:r>
      <w:r>
        <w:rPr/>
        <w:t>how Desdemona and Ophelia are shaped within patriarchal systems. Femininity, in this sense, is produced through social conditioning that enforces</w:t>
      </w:r>
      <w:r>
        <w:rPr>
          <w:spacing w:val="40"/>
        </w:rPr>
        <w:t> </w:t>
      </w:r>
      <w:r>
        <w:rPr/>
        <w:t>obedience,</w:t>
      </w:r>
      <w:r>
        <w:rPr>
          <w:spacing w:val="40"/>
        </w:rPr>
        <w:t> </w:t>
      </w:r>
      <w:r>
        <w:rPr/>
        <w:t>chastity,</w:t>
      </w:r>
      <w:r>
        <w:rPr>
          <w:spacing w:val="40"/>
        </w:rPr>
        <w:t> </w:t>
      </w:r>
      <w:r>
        <w:rPr/>
        <w:t>and</w:t>
      </w:r>
      <w:r>
        <w:rPr>
          <w:spacing w:val="40"/>
        </w:rPr>
        <w:t> </w:t>
      </w:r>
      <w:r>
        <w:rPr/>
        <w:t>submission</w:t>
      </w:r>
      <w:r>
        <w:rPr>
          <w:spacing w:val="40"/>
        </w:rPr>
        <w:t> </w:t>
      </w:r>
      <w:r>
        <w:rPr/>
        <w:t>as</w:t>
      </w:r>
      <w:r>
        <w:rPr>
          <w:spacing w:val="40"/>
        </w:rPr>
        <w:t> </w:t>
      </w:r>
      <w:r>
        <w:rPr/>
        <w:t>markers</w:t>
      </w:r>
      <w:r>
        <w:rPr>
          <w:spacing w:val="40"/>
        </w:rPr>
        <w:t> </w:t>
      </w:r>
      <w:r>
        <w:rPr/>
        <w:t>of</w:t>
      </w:r>
      <w:r>
        <w:rPr>
          <w:spacing w:val="40"/>
        </w:rPr>
        <w:t> </w:t>
      </w:r>
      <w:r>
        <w:rPr/>
        <w:t>value.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01344">
                <wp:simplePos x="0" y="0"/>
                <wp:positionH relativeFrom="page">
                  <wp:posOffset>2057400</wp:posOffset>
                </wp:positionH>
                <wp:positionV relativeFrom="paragraph">
                  <wp:posOffset>162604</wp:posOffset>
                </wp:positionV>
                <wp:extent cx="3657600" cy="12700"/>
                <wp:effectExtent l="0" t="0" r="0" b="0"/>
                <wp:wrapTopAndBottom/>
                <wp:docPr id="591" name="Graphic 591"/>
                <wp:cNvGraphicFramePr>
                  <a:graphicFrameLocks/>
                </wp:cNvGraphicFramePr>
                <a:graphic>
                  <a:graphicData uri="http://schemas.microsoft.com/office/word/2010/wordprocessingShape">
                    <wps:wsp>
                      <wps:cNvPr id="591" name="Graphic 59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15136;mso-wrap-distance-left:0;mso-wrap-distance-right:0" id="docshape583" filled="true" fillcolor="#000000" stroked="false">
                <v:fill type="solid"/>
                <w10:wrap type="topAndBottom"/>
              </v:rect>
            </w:pict>
          </mc:Fallback>
        </mc:AlternateContent>
      </w:r>
      <w:r>
        <w:rPr>
          <w:rFonts w:ascii="Verdana"/>
          <w:spacing w:val="-5"/>
          <w:sz w:val="18"/>
        </w:rPr>
        <w:t>284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firstLine="432"/>
        <w:jc w:val="both"/>
      </w:pPr>
      <w:r>
        <w:rPr/>
        <w:t>Desdemona</w:t>
      </w:r>
      <w:r>
        <w:rPr>
          <w:spacing w:val="-1"/>
        </w:rPr>
        <w:t> </w:t>
      </w:r>
      <w:r>
        <w:rPr/>
        <w:t>initially</w:t>
      </w:r>
      <w:r>
        <w:rPr>
          <w:spacing w:val="-5"/>
        </w:rPr>
        <w:t> </w:t>
      </w:r>
      <w:r>
        <w:rPr/>
        <w:t>disrupts</w:t>
      </w:r>
      <w:r>
        <w:rPr>
          <w:spacing w:val="-1"/>
        </w:rPr>
        <w:t> </w:t>
      </w:r>
      <w:r>
        <w:rPr/>
        <w:t>this</w:t>
      </w:r>
      <w:r>
        <w:rPr>
          <w:spacing w:val="-5"/>
        </w:rPr>
        <w:t> </w:t>
      </w:r>
      <w:r>
        <w:rPr/>
        <w:t>framework</w:t>
      </w:r>
      <w:r>
        <w:rPr>
          <w:spacing w:val="-1"/>
        </w:rPr>
        <w:t> </w:t>
      </w:r>
      <w:r>
        <w:rPr/>
        <w:t>through</w:t>
      </w:r>
      <w:r>
        <w:rPr>
          <w:spacing w:val="-5"/>
        </w:rPr>
        <w:t> </w:t>
      </w:r>
      <w:r>
        <w:rPr/>
        <w:t>her</w:t>
      </w:r>
      <w:r>
        <w:rPr>
          <w:spacing w:val="-1"/>
        </w:rPr>
        <w:t> </w:t>
      </w:r>
      <w:r>
        <w:rPr/>
        <w:t>assertion of marital choice. Before the Venetian senate, she declares:</w:t>
      </w:r>
    </w:p>
    <w:p>
      <w:pPr>
        <w:spacing w:before="59"/>
        <w:ind w:left="2160" w:right="0" w:firstLine="0"/>
        <w:jc w:val="both"/>
        <w:rPr>
          <w:i/>
          <w:sz w:val="20"/>
        </w:rPr>
      </w:pPr>
      <w:r>
        <w:rPr>
          <w:i/>
          <w:sz w:val="20"/>
        </w:rPr>
        <w:t>“I</w:t>
      </w:r>
      <w:r>
        <w:rPr>
          <w:i/>
          <w:spacing w:val="-5"/>
          <w:sz w:val="20"/>
        </w:rPr>
        <w:t> </w:t>
      </w:r>
      <w:r>
        <w:rPr>
          <w:i/>
          <w:sz w:val="20"/>
        </w:rPr>
        <w:t>do</w:t>
      </w:r>
      <w:r>
        <w:rPr>
          <w:i/>
          <w:spacing w:val="-5"/>
          <w:sz w:val="20"/>
        </w:rPr>
        <w:t> </w:t>
      </w:r>
      <w:r>
        <w:rPr>
          <w:i/>
          <w:sz w:val="20"/>
        </w:rPr>
        <w:t>perceive</w:t>
      </w:r>
      <w:r>
        <w:rPr>
          <w:i/>
          <w:spacing w:val="-6"/>
          <w:sz w:val="20"/>
        </w:rPr>
        <w:t> </w:t>
      </w:r>
      <w:r>
        <w:rPr>
          <w:i/>
          <w:sz w:val="20"/>
        </w:rPr>
        <w:t>here</w:t>
      </w:r>
      <w:r>
        <w:rPr>
          <w:i/>
          <w:spacing w:val="-9"/>
          <w:sz w:val="20"/>
        </w:rPr>
        <w:t> </w:t>
      </w:r>
      <w:r>
        <w:rPr>
          <w:i/>
          <w:sz w:val="20"/>
        </w:rPr>
        <w:t>a</w:t>
      </w:r>
      <w:r>
        <w:rPr>
          <w:i/>
          <w:spacing w:val="-4"/>
          <w:sz w:val="20"/>
        </w:rPr>
        <w:t> </w:t>
      </w:r>
      <w:r>
        <w:rPr>
          <w:i/>
          <w:sz w:val="20"/>
        </w:rPr>
        <w:t>divided</w:t>
      </w:r>
      <w:r>
        <w:rPr>
          <w:i/>
          <w:spacing w:val="-5"/>
          <w:sz w:val="20"/>
        </w:rPr>
        <w:t> </w:t>
      </w:r>
      <w:r>
        <w:rPr>
          <w:i/>
          <w:sz w:val="20"/>
        </w:rPr>
        <w:t>duty”</w:t>
      </w:r>
      <w:r>
        <w:rPr>
          <w:i/>
          <w:spacing w:val="-6"/>
          <w:sz w:val="20"/>
        </w:rPr>
        <w:t> </w:t>
      </w:r>
      <w:r>
        <w:rPr>
          <w:i/>
          <w:sz w:val="20"/>
        </w:rPr>
        <w:t>(</w:t>
      </w:r>
      <w:r>
        <w:rPr>
          <w:sz w:val="20"/>
        </w:rPr>
        <w:t>Othello</w:t>
      </w:r>
      <w:r>
        <w:rPr>
          <w:spacing w:val="-7"/>
          <w:sz w:val="20"/>
        </w:rPr>
        <w:t> </w:t>
      </w:r>
      <w:r>
        <w:rPr>
          <w:i/>
          <w:spacing w:val="-2"/>
          <w:sz w:val="20"/>
        </w:rPr>
        <w:t>1.3.179).</w:t>
      </w:r>
    </w:p>
    <w:p>
      <w:pPr>
        <w:pStyle w:val="BodyText"/>
        <w:spacing w:line="249" w:lineRule="auto" w:before="68"/>
        <w:ind w:right="1438" w:firstLine="432"/>
        <w:jc w:val="both"/>
      </w:pPr>
      <w:r>
        <w:rPr/>
        <w:t>This statement reflects a moment of rational agency, as she negotiates between</w:t>
      </w:r>
      <w:r>
        <w:rPr>
          <w:spacing w:val="-3"/>
        </w:rPr>
        <w:t> </w:t>
      </w:r>
      <w:r>
        <w:rPr/>
        <w:t>filial obligation</w:t>
      </w:r>
      <w:r>
        <w:rPr>
          <w:spacing w:val="-2"/>
        </w:rPr>
        <w:t> </w:t>
      </w:r>
      <w:r>
        <w:rPr/>
        <w:t>and conjugal</w:t>
      </w:r>
      <w:r>
        <w:rPr>
          <w:spacing w:val="-2"/>
        </w:rPr>
        <w:t> </w:t>
      </w:r>
      <w:r>
        <w:rPr/>
        <w:t>loyalty. However, this assertion is immediately recoded within patriarchal discourse as transgression. Brabantio’s warning—”She has deceived her father, and may thee” (1.3.292–93)—redefines autonomy as deceit, revealing the limits of acceptable female agency.</w:t>
      </w:r>
    </w:p>
    <w:p>
      <w:pPr>
        <w:pStyle w:val="BodyText"/>
        <w:spacing w:line="249" w:lineRule="auto" w:before="63"/>
        <w:ind w:right="1441" w:firstLine="432"/>
        <w:jc w:val="both"/>
      </w:pPr>
      <w:r>
        <w:rPr/>
        <w:t>In contrast, Ophelia exemplifies the internalization of patriarchal expectations from the outset. Her response to Polonius—”I shall obey, my lord” (</w:t>
      </w:r>
      <w:r>
        <w:rPr>
          <w:i/>
        </w:rPr>
        <w:t>Hamlet </w:t>
      </w:r>
      <w:r>
        <w:rPr/>
        <w:t>1.3.136)—is not merely an act of filial duty but a performative submission that defines her identity. Butler’s theory of </w:t>
      </w:r>
      <w:r>
        <w:rPr>
          <w:spacing w:val="-2"/>
        </w:rPr>
        <w:t>gender</w:t>
      </w:r>
      <w:r>
        <w:rPr>
          <w:spacing w:val="-11"/>
        </w:rPr>
        <w:t> </w:t>
      </w:r>
      <w:r>
        <w:rPr>
          <w:spacing w:val="-2"/>
        </w:rPr>
        <w:t>performativity</w:t>
      </w:r>
      <w:r>
        <w:rPr>
          <w:spacing w:val="-10"/>
        </w:rPr>
        <w:t> </w:t>
      </w:r>
      <w:r>
        <w:rPr>
          <w:spacing w:val="-2"/>
        </w:rPr>
        <w:t>is</w:t>
      </w:r>
      <w:r>
        <w:rPr>
          <w:spacing w:val="-11"/>
        </w:rPr>
        <w:t> </w:t>
      </w:r>
      <w:r>
        <w:rPr>
          <w:spacing w:val="-2"/>
        </w:rPr>
        <w:t>particularly</w:t>
      </w:r>
      <w:r>
        <w:rPr>
          <w:spacing w:val="-10"/>
        </w:rPr>
        <w:t> </w:t>
      </w:r>
      <w:r>
        <w:rPr>
          <w:spacing w:val="-2"/>
        </w:rPr>
        <w:t>instructive</w:t>
      </w:r>
      <w:r>
        <w:rPr>
          <w:spacing w:val="-11"/>
        </w:rPr>
        <w:t> </w:t>
      </w:r>
      <w:r>
        <w:rPr>
          <w:spacing w:val="-2"/>
        </w:rPr>
        <w:t>here:</w:t>
      </w:r>
      <w:r>
        <w:rPr>
          <w:spacing w:val="-10"/>
        </w:rPr>
        <w:t> </w:t>
      </w:r>
      <w:r>
        <w:rPr>
          <w:spacing w:val="-2"/>
        </w:rPr>
        <w:t>Ophelia’s</w:t>
      </w:r>
      <w:r>
        <w:rPr>
          <w:spacing w:val="-11"/>
        </w:rPr>
        <w:t> </w:t>
      </w:r>
      <w:r>
        <w:rPr>
          <w:spacing w:val="-2"/>
        </w:rPr>
        <w:t>obedience </w:t>
      </w:r>
      <w:r>
        <w:rPr/>
        <w:t>is not an inherent trait but a repeated performance that aligns her with normative femininity. Yet this very conformity renders her voiceless, demonstrating that compliance within patriarchy does not guarantee protection</w:t>
      </w:r>
      <w:r>
        <w:rPr>
          <w:spacing w:val="40"/>
        </w:rPr>
        <w:t> </w:t>
      </w:r>
      <w:r>
        <w:rPr/>
        <w:t>but</w:t>
      </w:r>
      <w:r>
        <w:rPr>
          <w:spacing w:val="40"/>
        </w:rPr>
        <w:t> </w:t>
      </w:r>
      <w:r>
        <w:rPr/>
        <w:t>instead</w:t>
      </w:r>
      <w:r>
        <w:rPr>
          <w:spacing w:val="40"/>
        </w:rPr>
        <w:t> </w:t>
      </w:r>
      <w:r>
        <w:rPr/>
        <w:t>facilitates</w:t>
      </w:r>
      <w:r>
        <w:rPr>
          <w:spacing w:val="40"/>
        </w:rPr>
        <w:t> </w:t>
      </w:r>
      <w:r>
        <w:rPr/>
        <w:t>erasure.</w:t>
      </w:r>
    </w:p>
    <w:p>
      <w:pPr>
        <w:pStyle w:val="BodyText"/>
        <w:spacing w:line="249" w:lineRule="auto" w:before="67"/>
        <w:ind w:right="1440" w:firstLine="432"/>
        <w:jc w:val="both"/>
      </w:pPr>
      <w:r>
        <w:rPr/>
        <w:t>Thus, while Desdemona</w:t>
      </w:r>
      <w:r>
        <w:rPr>
          <w:spacing w:val="-1"/>
        </w:rPr>
        <w:t> </w:t>
      </w:r>
      <w:r>
        <w:rPr/>
        <w:t>is</w:t>
      </w:r>
      <w:r>
        <w:rPr>
          <w:spacing w:val="-2"/>
        </w:rPr>
        <w:t> </w:t>
      </w:r>
      <w:r>
        <w:rPr/>
        <w:t>punished for asserting agency, Ophelia is diminished through its absence. Together, they reveal the paradox at the heart of patriarchal gender construction: women are constrained whether</w:t>
      </w:r>
      <w:r>
        <w:rPr>
          <w:spacing w:val="40"/>
        </w:rPr>
        <w:t> </w:t>
      </w:r>
      <w:r>
        <w:rPr/>
        <w:t>they</w:t>
      </w:r>
      <w:r>
        <w:rPr>
          <w:spacing w:val="40"/>
        </w:rPr>
        <w:t> </w:t>
      </w:r>
      <w:r>
        <w:rPr/>
        <w:t>resist</w:t>
      </w:r>
      <w:r>
        <w:rPr>
          <w:spacing w:val="40"/>
        </w:rPr>
        <w:t> </w:t>
      </w:r>
      <w:r>
        <w:rPr/>
        <w:t>or</w:t>
      </w:r>
      <w:r>
        <w:rPr>
          <w:spacing w:val="40"/>
        </w:rPr>
        <w:t> </w:t>
      </w:r>
      <w:r>
        <w:rPr/>
        <w:t>comply.</w:t>
      </w:r>
    </w:p>
    <w:p>
      <w:pPr>
        <w:pStyle w:val="Heading3"/>
        <w:spacing w:before="157"/>
        <w:ind w:left="0" w:right="50"/>
        <w:jc w:val="center"/>
      </w:pPr>
      <w:r>
        <w:rPr>
          <w:w w:val="85"/>
        </w:rPr>
        <w:t>EPISTEMIC</w:t>
      </w:r>
      <w:r>
        <w:rPr>
          <w:spacing w:val="7"/>
        </w:rPr>
        <w:t> </w:t>
      </w:r>
      <w:r>
        <w:rPr>
          <w:w w:val="85"/>
        </w:rPr>
        <w:t>INJUSTICE</w:t>
      </w:r>
      <w:r>
        <w:rPr>
          <w:spacing w:val="8"/>
        </w:rPr>
        <w:t> </w:t>
      </w:r>
      <w:r>
        <w:rPr>
          <w:w w:val="85"/>
        </w:rPr>
        <w:t>AND</w:t>
      </w:r>
      <w:r>
        <w:rPr>
          <w:spacing w:val="6"/>
        </w:rPr>
        <w:t> </w:t>
      </w:r>
      <w:r>
        <w:rPr>
          <w:w w:val="85"/>
        </w:rPr>
        <w:t>THE</w:t>
      </w:r>
      <w:r>
        <w:rPr>
          <w:spacing w:val="8"/>
        </w:rPr>
        <w:t> </w:t>
      </w:r>
      <w:r>
        <w:rPr>
          <w:w w:val="85"/>
        </w:rPr>
        <w:t>DISBELIEF</w:t>
      </w:r>
      <w:r>
        <w:rPr>
          <w:spacing w:val="6"/>
        </w:rPr>
        <w:t> </w:t>
      </w:r>
      <w:r>
        <w:rPr>
          <w:w w:val="85"/>
        </w:rPr>
        <w:t>OF</w:t>
      </w:r>
      <w:r>
        <w:rPr>
          <w:spacing w:val="8"/>
        </w:rPr>
        <w:t> </w:t>
      </w:r>
      <w:r>
        <w:rPr>
          <w:spacing w:val="-2"/>
          <w:w w:val="85"/>
        </w:rPr>
        <w:t>WOMEN</w:t>
      </w:r>
    </w:p>
    <w:p>
      <w:pPr>
        <w:pStyle w:val="BodyText"/>
        <w:spacing w:line="249" w:lineRule="auto" w:before="75"/>
        <w:ind w:right="1440" w:firstLine="432"/>
        <w:jc w:val="both"/>
      </w:pPr>
      <w:r>
        <w:rPr>
          <w:spacing w:val="-4"/>
        </w:rPr>
        <w:t>Miranda Fricker’s</w:t>
      </w:r>
      <w:r>
        <w:rPr>
          <w:spacing w:val="-6"/>
        </w:rPr>
        <w:t> </w:t>
      </w:r>
      <w:r>
        <w:rPr>
          <w:spacing w:val="-4"/>
        </w:rPr>
        <w:t>concept of epistemic injustice provides a powerful </w:t>
      </w:r>
      <w:r>
        <w:rPr/>
        <w:t>lens</w:t>
      </w:r>
      <w:r>
        <w:rPr>
          <w:spacing w:val="-8"/>
        </w:rPr>
        <w:t> </w:t>
      </w:r>
      <w:r>
        <w:rPr/>
        <w:t>through</w:t>
      </w:r>
      <w:r>
        <w:rPr>
          <w:spacing w:val="-8"/>
        </w:rPr>
        <w:t> </w:t>
      </w:r>
      <w:r>
        <w:rPr/>
        <w:t>which</w:t>
      </w:r>
      <w:r>
        <w:rPr>
          <w:spacing w:val="-8"/>
        </w:rPr>
        <w:t> </w:t>
      </w:r>
      <w:r>
        <w:rPr/>
        <w:t>to</w:t>
      </w:r>
      <w:r>
        <w:rPr>
          <w:spacing w:val="-7"/>
        </w:rPr>
        <w:t> </w:t>
      </w:r>
      <w:r>
        <w:rPr/>
        <w:t>analyse</w:t>
      </w:r>
      <w:r>
        <w:rPr>
          <w:spacing w:val="-6"/>
        </w:rPr>
        <w:t> </w:t>
      </w:r>
      <w:r>
        <w:rPr/>
        <w:t>the</w:t>
      </w:r>
      <w:r>
        <w:rPr>
          <w:spacing w:val="-7"/>
        </w:rPr>
        <w:t> </w:t>
      </w:r>
      <w:r>
        <w:rPr/>
        <w:t>systematic</w:t>
      </w:r>
      <w:r>
        <w:rPr>
          <w:spacing w:val="-7"/>
        </w:rPr>
        <w:t> </w:t>
      </w:r>
      <w:r>
        <w:rPr/>
        <w:t>discrediting</w:t>
      </w:r>
      <w:r>
        <w:rPr>
          <w:spacing w:val="-8"/>
        </w:rPr>
        <w:t> </w:t>
      </w:r>
      <w:r>
        <w:rPr/>
        <w:t>of</w:t>
      </w:r>
      <w:r>
        <w:rPr>
          <w:spacing w:val="-8"/>
        </w:rPr>
        <w:t> </w:t>
      </w:r>
      <w:r>
        <w:rPr/>
        <w:t>Desdemona and</w:t>
      </w:r>
      <w:r>
        <w:rPr>
          <w:spacing w:val="-9"/>
        </w:rPr>
        <w:t> </w:t>
      </w:r>
      <w:r>
        <w:rPr/>
        <w:t>Ophelia.</w:t>
      </w:r>
      <w:r>
        <w:rPr>
          <w:spacing w:val="-10"/>
        </w:rPr>
        <w:t> </w:t>
      </w:r>
      <w:r>
        <w:rPr/>
        <w:t>Testimonial</w:t>
      </w:r>
      <w:r>
        <w:rPr>
          <w:spacing w:val="-10"/>
        </w:rPr>
        <w:t> </w:t>
      </w:r>
      <w:r>
        <w:rPr/>
        <w:t>injustice</w:t>
      </w:r>
      <w:r>
        <w:rPr>
          <w:spacing w:val="-9"/>
        </w:rPr>
        <w:t> </w:t>
      </w:r>
      <w:r>
        <w:rPr/>
        <w:t>occurs</w:t>
      </w:r>
      <w:r>
        <w:rPr>
          <w:spacing w:val="-12"/>
        </w:rPr>
        <w:t> </w:t>
      </w:r>
      <w:r>
        <w:rPr/>
        <w:t>when</w:t>
      </w:r>
      <w:r>
        <w:rPr>
          <w:spacing w:val="-10"/>
        </w:rPr>
        <w:t> </w:t>
      </w:r>
      <w:r>
        <w:rPr/>
        <w:t>a</w:t>
      </w:r>
      <w:r>
        <w:rPr>
          <w:spacing w:val="-10"/>
        </w:rPr>
        <w:t> </w:t>
      </w:r>
      <w:r>
        <w:rPr/>
        <w:t>speaker’s</w:t>
      </w:r>
      <w:r>
        <w:rPr>
          <w:spacing w:val="-10"/>
        </w:rPr>
        <w:t> </w:t>
      </w:r>
      <w:r>
        <w:rPr/>
        <w:t>credibility</w:t>
      </w:r>
      <w:r>
        <w:rPr>
          <w:spacing w:val="-13"/>
        </w:rPr>
        <w:t> </w:t>
      </w:r>
      <w:r>
        <w:rPr/>
        <w:t>is undermined due to prejudice, and both characters are subjected to this form of epistemic marginalization.</w:t>
      </w:r>
    </w:p>
    <w:p>
      <w:pPr>
        <w:pStyle w:val="BodyText"/>
        <w:spacing w:line="249" w:lineRule="auto" w:before="62"/>
        <w:ind w:right="1439" w:firstLine="432"/>
        <w:jc w:val="both"/>
      </w:pPr>
      <w:r>
        <w:rPr/>
        <w:t>Desdemona’s repeated assertions of innocence—”I never did / Offend you in my life” (</w:t>
      </w:r>
      <w:r>
        <w:rPr>
          <w:i/>
        </w:rPr>
        <w:t>Othello </w:t>
      </w:r>
      <w:r>
        <w:rPr/>
        <w:t>5.2.63–64)—fail to persuade Othello, whose judgment is shaped by gendered suspicion rather than empirical evidence. Her testimony is rendered invalid not because of its content but</w:t>
      </w:r>
      <w:r>
        <w:rPr>
          <w:spacing w:val="-13"/>
        </w:rPr>
        <w:t> </w:t>
      </w:r>
      <w:r>
        <w:rPr/>
        <w:t>because</w:t>
      </w:r>
      <w:r>
        <w:rPr>
          <w:spacing w:val="-12"/>
        </w:rPr>
        <w:t> </w:t>
      </w:r>
      <w:r>
        <w:rPr/>
        <w:t>of</w:t>
      </w:r>
      <w:r>
        <w:rPr>
          <w:spacing w:val="-13"/>
        </w:rPr>
        <w:t> </w:t>
      </w:r>
      <w:r>
        <w:rPr/>
        <w:t>her</w:t>
      </w:r>
      <w:r>
        <w:rPr>
          <w:spacing w:val="-12"/>
        </w:rPr>
        <w:t> </w:t>
      </w:r>
      <w:r>
        <w:rPr/>
        <w:t>position</w:t>
      </w:r>
      <w:r>
        <w:rPr>
          <w:spacing w:val="-13"/>
        </w:rPr>
        <w:t> </w:t>
      </w:r>
      <w:r>
        <w:rPr/>
        <w:t>as</w:t>
      </w:r>
      <w:r>
        <w:rPr>
          <w:spacing w:val="-12"/>
        </w:rPr>
        <w:t> </w:t>
      </w:r>
      <w:r>
        <w:rPr/>
        <w:t>a</w:t>
      </w:r>
      <w:r>
        <w:rPr>
          <w:spacing w:val="-13"/>
        </w:rPr>
        <w:t> </w:t>
      </w:r>
      <w:r>
        <w:rPr/>
        <w:t>woman</w:t>
      </w:r>
      <w:r>
        <w:rPr>
          <w:spacing w:val="-12"/>
        </w:rPr>
        <w:t> </w:t>
      </w:r>
      <w:r>
        <w:rPr/>
        <w:t>within</w:t>
      </w:r>
      <w:r>
        <w:rPr>
          <w:spacing w:val="-13"/>
        </w:rPr>
        <w:t> </w:t>
      </w:r>
      <w:r>
        <w:rPr/>
        <w:t>a</w:t>
      </w:r>
      <w:r>
        <w:rPr>
          <w:spacing w:val="-12"/>
        </w:rPr>
        <w:t> </w:t>
      </w:r>
      <w:r>
        <w:rPr/>
        <w:t>patriarchal</w:t>
      </w:r>
      <w:r>
        <w:rPr>
          <w:spacing w:val="-13"/>
        </w:rPr>
        <w:t> </w:t>
      </w:r>
      <w:r>
        <w:rPr/>
        <w:t>epistemology that privileges male authority.</w:t>
      </w:r>
    </w:p>
    <w:p>
      <w:pPr>
        <w:pStyle w:val="BodyText"/>
        <w:spacing w:line="249" w:lineRule="auto" w:before="62"/>
        <w:ind w:right="1437" w:firstLine="432"/>
        <w:jc w:val="both"/>
      </w:pPr>
      <w:r>
        <w:rPr/>
        <w:t>Ophelia’s</w:t>
      </w:r>
      <w:r>
        <w:rPr>
          <w:spacing w:val="-13"/>
        </w:rPr>
        <w:t> </w:t>
      </w:r>
      <w:r>
        <w:rPr/>
        <w:t>case</w:t>
      </w:r>
      <w:r>
        <w:rPr>
          <w:spacing w:val="-12"/>
        </w:rPr>
        <w:t> </w:t>
      </w:r>
      <w:r>
        <w:rPr/>
        <w:t>extends</w:t>
      </w:r>
      <w:r>
        <w:rPr>
          <w:spacing w:val="-13"/>
        </w:rPr>
        <w:t> </w:t>
      </w:r>
      <w:r>
        <w:rPr/>
        <w:t>this</w:t>
      </w:r>
      <w:r>
        <w:rPr>
          <w:spacing w:val="-12"/>
        </w:rPr>
        <w:t> </w:t>
      </w:r>
      <w:r>
        <w:rPr/>
        <w:t>dynamic</w:t>
      </w:r>
      <w:r>
        <w:rPr>
          <w:spacing w:val="-13"/>
        </w:rPr>
        <w:t> </w:t>
      </w:r>
      <w:r>
        <w:rPr/>
        <w:t>further</w:t>
      </w:r>
      <w:r>
        <w:rPr>
          <w:spacing w:val="-12"/>
        </w:rPr>
        <w:t> </w:t>
      </w:r>
      <w:r>
        <w:rPr/>
        <w:t>into</w:t>
      </w:r>
      <w:r>
        <w:rPr>
          <w:spacing w:val="-13"/>
        </w:rPr>
        <w:t> </w:t>
      </w:r>
      <w:r>
        <w:rPr/>
        <w:t>what</w:t>
      </w:r>
      <w:r>
        <w:rPr>
          <w:spacing w:val="-12"/>
        </w:rPr>
        <w:t> </w:t>
      </w:r>
      <w:r>
        <w:rPr/>
        <w:t>Fricker</w:t>
      </w:r>
      <w:r>
        <w:rPr>
          <w:spacing w:val="-13"/>
        </w:rPr>
        <w:t> </w:t>
      </w:r>
      <w:r>
        <w:rPr/>
        <w:t>terms hermeneutical injustice—a condition in which individuals lack the conceptual</w:t>
      </w:r>
      <w:r>
        <w:rPr>
          <w:spacing w:val="-13"/>
        </w:rPr>
        <w:t> </w:t>
      </w:r>
      <w:r>
        <w:rPr/>
        <w:t>resources</w:t>
      </w:r>
      <w:r>
        <w:rPr>
          <w:spacing w:val="-9"/>
        </w:rPr>
        <w:t> </w:t>
      </w:r>
      <w:r>
        <w:rPr/>
        <w:t>to</w:t>
      </w:r>
      <w:r>
        <w:rPr>
          <w:spacing w:val="-10"/>
        </w:rPr>
        <w:t> </w:t>
      </w:r>
      <w:r>
        <w:rPr/>
        <w:t>make</w:t>
      </w:r>
      <w:r>
        <w:rPr>
          <w:spacing w:val="-9"/>
        </w:rPr>
        <w:t> </w:t>
      </w:r>
      <w:r>
        <w:rPr/>
        <w:t>sense</w:t>
      </w:r>
      <w:r>
        <w:rPr>
          <w:spacing w:val="-13"/>
        </w:rPr>
        <w:t> </w:t>
      </w:r>
      <w:r>
        <w:rPr/>
        <w:t>of</w:t>
      </w:r>
      <w:r>
        <w:rPr>
          <w:spacing w:val="-9"/>
        </w:rPr>
        <w:t> </w:t>
      </w:r>
      <w:r>
        <w:rPr/>
        <w:t>their</w:t>
      </w:r>
      <w:r>
        <w:rPr>
          <w:spacing w:val="-10"/>
        </w:rPr>
        <w:t> </w:t>
      </w:r>
      <w:r>
        <w:rPr/>
        <w:t>experiences.</w:t>
      </w:r>
      <w:r>
        <w:rPr>
          <w:spacing w:val="-10"/>
        </w:rPr>
        <w:t> </w:t>
      </w:r>
      <w:r>
        <w:rPr/>
        <w:t>In</w:t>
      </w:r>
      <w:r>
        <w:rPr>
          <w:spacing w:val="-13"/>
        </w:rPr>
        <w:t> </w:t>
      </w:r>
      <w:r>
        <w:rPr/>
        <w:t>the</w:t>
      </w:r>
      <w:r>
        <w:rPr>
          <w:spacing w:val="-9"/>
        </w:rPr>
        <w:t> </w:t>
      </w:r>
      <w:r>
        <w:rPr/>
        <w:t>“nunnery </w:t>
      </w:r>
      <w:r>
        <w:rPr>
          <w:spacing w:val="-2"/>
        </w:rPr>
        <w:t>scene,”</w:t>
      </w:r>
      <w:r>
        <w:rPr>
          <w:spacing w:val="-11"/>
        </w:rPr>
        <w:t> </w:t>
      </w:r>
      <w:r>
        <w:rPr>
          <w:spacing w:val="-2"/>
        </w:rPr>
        <w:t>Hamlet’s</w:t>
      </w:r>
      <w:r>
        <w:rPr>
          <w:spacing w:val="-12"/>
        </w:rPr>
        <w:t> </w:t>
      </w:r>
      <w:r>
        <w:rPr>
          <w:spacing w:val="-2"/>
        </w:rPr>
        <w:t>command—”Get</w:t>
      </w:r>
      <w:r>
        <w:rPr>
          <w:spacing w:val="-13"/>
        </w:rPr>
        <w:t> </w:t>
      </w:r>
      <w:r>
        <w:rPr>
          <w:spacing w:val="-2"/>
        </w:rPr>
        <w:t>thee</w:t>
      </w:r>
      <w:r>
        <w:rPr>
          <w:spacing w:val="-14"/>
        </w:rPr>
        <w:t> </w:t>
      </w:r>
      <w:r>
        <w:rPr>
          <w:spacing w:val="-2"/>
        </w:rPr>
        <w:t>to</w:t>
      </w:r>
      <w:r>
        <w:rPr>
          <w:spacing w:val="-13"/>
        </w:rPr>
        <w:t> </w:t>
      </w:r>
      <w:r>
        <w:rPr>
          <w:spacing w:val="-2"/>
        </w:rPr>
        <w:t>a</w:t>
      </w:r>
      <w:r>
        <w:rPr>
          <w:spacing w:val="-12"/>
        </w:rPr>
        <w:t> </w:t>
      </w:r>
      <w:r>
        <w:rPr>
          <w:spacing w:val="-2"/>
        </w:rPr>
        <w:t>nunnery”</w:t>
      </w:r>
      <w:r>
        <w:rPr>
          <w:spacing w:val="-13"/>
        </w:rPr>
        <w:t> </w:t>
      </w:r>
      <w:r>
        <w:rPr>
          <w:spacing w:val="-2"/>
        </w:rPr>
        <w:t>(</w:t>
      </w:r>
      <w:r>
        <w:rPr>
          <w:i/>
          <w:spacing w:val="-2"/>
        </w:rPr>
        <w:t>Hamlet</w:t>
      </w:r>
      <w:r>
        <w:rPr>
          <w:i/>
          <w:spacing w:val="-14"/>
        </w:rPr>
        <w:t> </w:t>
      </w:r>
      <w:r>
        <w:rPr>
          <w:spacing w:val="-2"/>
        </w:rPr>
        <w:t>3.1.121)—</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01856">
                <wp:simplePos x="0" y="0"/>
                <wp:positionH relativeFrom="page">
                  <wp:posOffset>2065020</wp:posOffset>
                </wp:positionH>
                <wp:positionV relativeFrom="paragraph">
                  <wp:posOffset>162604</wp:posOffset>
                </wp:positionV>
                <wp:extent cx="3657600" cy="12700"/>
                <wp:effectExtent l="0" t="0" r="0" b="0"/>
                <wp:wrapTopAndBottom/>
                <wp:docPr id="592" name="Graphic 592"/>
                <wp:cNvGraphicFramePr>
                  <a:graphicFrameLocks/>
                </wp:cNvGraphicFramePr>
                <a:graphic>
                  <a:graphicData uri="http://schemas.microsoft.com/office/word/2010/wordprocessingShape">
                    <wps:wsp>
                      <wps:cNvPr id="592" name="Graphic 59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14624;mso-wrap-distance-left:0;mso-wrap-distance-right:0" id="docshape584" filled="true" fillcolor="#000000" stroked="false">
                <v:fill type="solid"/>
                <w10:wrap type="topAndBottom"/>
              </v:rect>
            </w:pict>
          </mc:Fallback>
        </mc:AlternateContent>
      </w:r>
      <w:r>
        <w:rPr>
          <w:rFonts w:ascii="Verdana"/>
          <w:sz w:val="18"/>
        </w:rPr>
        <w:t>Epistemic</w:t>
      </w:r>
      <w:r>
        <w:rPr>
          <w:rFonts w:ascii="Verdana"/>
          <w:spacing w:val="-3"/>
          <w:sz w:val="18"/>
        </w:rPr>
        <w:t> </w:t>
      </w:r>
      <w:r>
        <w:rPr>
          <w:rFonts w:ascii="Verdana"/>
          <w:sz w:val="18"/>
        </w:rPr>
        <w:t>Injustice,</w:t>
      </w:r>
      <w:r>
        <w:rPr>
          <w:rFonts w:ascii="Verdana"/>
          <w:spacing w:val="-5"/>
          <w:sz w:val="18"/>
        </w:rPr>
        <w:t> </w:t>
      </w:r>
      <w:r>
        <w:rPr>
          <w:rFonts w:ascii="Verdana"/>
          <w:sz w:val="18"/>
        </w:rPr>
        <w:t>Gendered</w:t>
      </w:r>
      <w:r>
        <w:rPr>
          <w:rFonts w:ascii="Verdana"/>
          <w:spacing w:val="-3"/>
          <w:sz w:val="18"/>
        </w:rPr>
        <w:t> </w:t>
      </w:r>
      <w:r>
        <w:rPr>
          <w:rFonts w:ascii="Verdana"/>
          <w:sz w:val="18"/>
        </w:rPr>
        <w:t>Silencing,</w:t>
      </w:r>
      <w:r>
        <w:rPr>
          <w:rFonts w:ascii="Verdana"/>
          <w:spacing w:val="-5"/>
          <w:sz w:val="18"/>
        </w:rPr>
        <w:t> </w:t>
      </w:r>
      <w:r>
        <w:rPr>
          <w:rFonts w:ascii="Verdana"/>
          <w:sz w:val="18"/>
        </w:rPr>
        <w:t>and</w:t>
      </w:r>
      <w:r>
        <w:rPr>
          <w:rFonts w:ascii="Verdana"/>
          <w:spacing w:val="-3"/>
          <w:sz w:val="18"/>
        </w:rPr>
        <w:t> </w:t>
      </w:r>
      <w:r>
        <w:rPr>
          <w:rFonts w:ascii="Verdana"/>
          <w:spacing w:val="-2"/>
          <w:sz w:val="18"/>
        </w:rPr>
        <w:t>Testimony...</w:t>
      </w:r>
      <w:r>
        <w:rPr>
          <w:rFonts w:ascii="Verdana"/>
          <w:sz w:val="18"/>
        </w:rPr>
        <w:tab/>
      </w:r>
      <w:r>
        <w:rPr>
          <w:rFonts w:ascii="Verdana"/>
          <w:spacing w:val="-5"/>
          <w:sz w:val="18"/>
        </w:rPr>
        <w:t>285</w:t>
      </w:r>
    </w:p>
    <w:p>
      <w:pPr>
        <w:pStyle w:val="BodyText"/>
        <w:spacing w:line="249" w:lineRule="auto" w:before="192"/>
        <w:ind w:right="1439"/>
        <w:jc w:val="both"/>
      </w:pPr>
      <w:r>
        <w:rPr>
          <w:spacing w:val="-2"/>
        </w:rPr>
        <w:t>destabilizes Ophelia’s identity by</w:t>
      </w:r>
      <w:r>
        <w:rPr>
          <w:spacing w:val="-4"/>
        </w:rPr>
        <w:t> </w:t>
      </w:r>
      <w:r>
        <w:rPr>
          <w:spacing w:val="-2"/>
        </w:rPr>
        <w:t>imposing contradictory</w:t>
      </w:r>
      <w:r>
        <w:rPr>
          <w:spacing w:val="-4"/>
        </w:rPr>
        <w:t> </w:t>
      </w:r>
      <w:r>
        <w:rPr>
          <w:spacing w:val="-2"/>
        </w:rPr>
        <w:t>meanings upon </w:t>
      </w:r>
      <w:r>
        <w:rPr>
          <w:spacing w:val="-4"/>
        </w:rPr>
        <w:t>her.</w:t>
      </w:r>
      <w:r>
        <w:rPr>
          <w:spacing w:val="-11"/>
        </w:rPr>
        <w:t> </w:t>
      </w:r>
      <w:r>
        <w:rPr>
          <w:spacing w:val="-4"/>
        </w:rPr>
        <w:t>Her</w:t>
      </w:r>
      <w:r>
        <w:rPr>
          <w:spacing w:val="-8"/>
        </w:rPr>
        <w:t> </w:t>
      </w:r>
      <w:r>
        <w:rPr>
          <w:spacing w:val="-4"/>
        </w:rPr>
        <w:t>response—”O,</w:t>
      </w:r>
      <w:r>
        <w:rPr>
          <w:spacing w:val="-9"/>
        </w:rPr>
        <w:t> </w:t>
      </w:r>
      <w:r>
        <w:rPr>
          <w:spacing w:val="-4"/>
        </w:rPr>
        <w:t>what</w:t>
      </w:r>
      <w:r>
        <w:rPr>
          <w:spacing w:val="-8"/>
        </w:rPr>
        <w:t> </w:t>
      </w:r>
      <w:r>
        <w:rPr>
          <w:spacing w:val="-4"/>
        </w:rPr>
        <w:t>a</w:t>
      </w:r>
      <w:r>
        <w:rPr>
          <w:spacing w:val="-9"/>
        </w:rPr>
        <w:t> </w:t>
      </w:r>
      <w:r>
        <w:rPr>
          <w:spacing w:val="-4"/>
        </w:rPr>
        <w:t>noble</w:t>
      </w:r>
      <w:r>
        <w:rPr>
          <w:spacing w:val="-8"/>
        </w:rPr>
        <w:t> </w:t>
      </w:r>
      <w:r>
        <w:rPr>
          <w:spacing w:val="-4"/>
        </w:rPr>
        <w:t>mind</w:t>
      </w:r>
      <w:r>
        <w:rPr>
          <w:spacing w:val="-9"/>
        </w:rPr>
        <w:t> </w:t>
      </w:r>
      <w:r>
        <w:rPr>
          <w:spacing w:val="-4"/>
        </w:rPr>
        <w:t>is</w:t>
      </w:r>
      <w:r>
        <w:rPr>
          <w:spacing w:val="-8"/>
        </w:rPr>
        <w:t> </w:t>
      </w:r>
      <w:r>
        <w:rPr>
          <w:spacing w:val="-4"/>
        </w:rPr>
        <w:t>here</w:t>
      </w:r>
      <w:r>
        <w:rPr>
          <w:spacing w:val="-9"/>
        </w:rPr>
        <w:t> </w:t>
      </w:r>
      <w:r>
        <w:rPr>
          <w:spacing w:val="-4"/>
        </w:rPr>
        <w:t>o’erthrown!”</w:t>
      </w:r>
      <w:r>
        <w:rPr>
          <w:spacing w:val="-8"/>
        </w:rPr>
        <w:t> </w:t>
      </w:r>
      <w:r>
        <w:rPr>
          <w:spacing w:val="-4"/>
        </w:rPr>
        <w:t>(3.1.150)—</w:t>
      </w:r>
      <w:r>
        <w:rPr/>
        <w:t>reveals her inability to articulate her own emotional reality within the available discursive framework.</w:t>
      </w:r>
    </w:p>
    <w:p>
      <w:pPr>
        <w:pStyle w:val="BodyText"/>
        <w:spacing w:line="249" w:lineRule="auto" w:before="61"/>
        <w:ind w:right="1440" w:firstLine="432"/>
        <w:jc w:val="both"/>
      </w:pPr>
      <w:r>
        <w:rPr>
          <w:spacing w:val="-2"/>
        </w:rPr>
        <w:t>Thus, while</w:t>
      </w:r>
      <w:r>
        <w:rPr>
          <w:spacing w:val="-3"/>
        </w:rPr>
        <w:t> </w:t>
      </w:r>
      <w:r>
        <w:rPr>
          <w:spacing w:val="-2"/>
        </w:rPr>
        <w:t>Desdemona’s</w:t>
      </w:r>
      <w:r>
        <w:rPr>
          <w:spacing w:val="-3"/>
        </w:rPr>
        <w:t> </w:t>
      </w:r>
      <w:r>
        <w:rPr>
          <w:spacing w:val="-2"/>
        </w:rPr>
        <w:t>voice is actively</w:t>
      </w:r>
      <w:r>
        <w:rPr>
          <w:spacing w:val="-7"/>
        </w:rPr>
        <w:t> </w:t>
      </w:r>
      <w:r>
        <w:rPr>
          <w:spacing w:val="-2"/>
        </w:rPr>
        <w:t>discredited, Ophelia’s is </w:t>
      </w:r>
      <w:r>
        <w:rPr>
          <w:spacing w:val="-4"/>
        </w:rPr>
        <w:t>structurally</w:t>
      </w:r>
      <w:r>
        <w:rPr>
          <w:spacing w:val="-9"/>
        </w:rPr>
        <w:t> </w:t>
      </w:r>
      <w:r>
        <w:rPr>
          <w:spacing w:val="-4"/>
        </w:rPr>
        <w:t>undermined.</w:t>
      </w:r>
      <w:r>
        <w:rPr>
          <w:spacing w:val="-6"/>
        </w:rPr>
        <w:t> </w:t>
      </w:r>
      <w:r>
        <w:rPr>
          <w:spacing w:val="-4"/>
        </w:rPr>
        <w:t>In</w:t>
      </w:r>
      <w:r>
        <w:rPr>
          <w:spacing w:val="-7"/>
        </w:rPr>
        <w:t> </w:t>
      </w:r>
      <w:r>
        <w:rPr>
          <w:spacing w:val="-4"/>
        </w:rPr>
        <w:t>both cases,</w:t>
      </w:r>
      <w:r>
        <w:rPr>
          <w:spacing w:val="-7"/>
        </w:rPr>
        <w:t> </w:t>
      </w:r>
      <w:r>
        <w:rPr>
          <w:spacing w:val="-4"/>
        </w:rPr>
        <w:t>the possibility of</w:t>
      </w:r>
      <w:r>
        <w:rPr>
          <w:spacing w:val="-7"/>
        </w:rPr>
        <w:t> </w:t>
      </w:r>
      <w:r>
        <w:rPr>
          <w:spacing w:val="-4"/>
        </w:rPr>
        <w:t>female knowledge </w:t>
      </w:r>
      <w:r>
        <w:rPr/>
        <w:t>is foreclosed, reflecting a broader epistemic hierarchy that continues to resonate</w:t>
      </w:r>
      <w:r>
        <w:rPr>
          <w:spacing w:val="34"/>
        </w:rPr>
        <w:t> </w:t>
      </w:r>
      <w:r>
        <w:rPr/>
        <w:t>within</w:t>
      </w:r>
      <w:r>
        <w:rPr>
          <w:spacing w:val="35"/>
        </w:rPr>
        <w:t> </w:t>
      </w:r>
      <w:r>
        <w:rPr/>
        <w:t>contemporary</w:t>
      </w:r>
      <w:r>
        <w:rPr>
          <w:spacing w:val="27"/>
        </w:rPr>
        <w:t> </w:t>
      </w:r>
      <w:r>
        <w:rPr/>
        <w:t>discussions</w:t>
      </w:r>
      <w:r>
        <w:rPr>
          <w:spacing w:val="29"/>
        </w:rPr>
        <w:t> </w:t>
      </w:r>
      <w:r>
        <w:rPr/>
        <w:t>of</w:t>
      </w:r>
      <w:r>
        <w:rPr>
          <w:spacing w:val="34"/>
        </w:rPr>
        <w:t> </w:t>
      </w:r>
      <w:r>
        <w:rPr/>
        <w:t>gendered</w:t>
      </w:r>
      <w:r>
        <w:rPr>
          <w:spacing w:val="33"/>
        </w:rPr>
        <w:t> </w:t>
      </w:r>
      <w:r>
        <w:rPr/>
        <w:t>credibility.</w:t>
      </w:r>
    </w:p>
    <w:p>
      <w:pPr>
        <w:pStyle w:val="Heading3"/>
        <w:spacing w:before="157"/>
        <w:ind w:right="1444"/>
        <w:jc w:val="both"/>
      </w:pPr>
      <w:r>
        <w:rPr>
          <w:w w:val="90"/>
        </w:rPr>
        <w:t>SEXUAL POLICING AND THE REGULATION OF </w:t>
      </w:r>
      <w:r>
        <w:rPr>
          <w:w w:val="90"/>
        </w:rPr>
        <w:t>FEMALE </w:t>
      </w:r>
      <w:r>
        <w:rPr>
          <w:spacing w:val="-2"/>
        </w:rPr>
        <w:t>BODIES</w:t>
      </w:r>
    </w:p>
    <w:p>
      <w:pPr>
        <w:pStyle w:val="BodyText"/>
        <w:spacing w:line="249" w:lineRule="auto" w:before="74"/>
        <w:ind w:right="1440" w:firstLine="432"/>
        <w:jc w:val="both"/>
      </w:pPr>
      <w:r>
        <w:rPr/>
        <w:t>Kate</w:t>
      </w:r>
      <w:r>
        <w:rPr>
          <w:spacing w:val="-13"/>
        </w:rPr>
        <w:t> </w:t>
      </w:r>
      <w:r>
        <w:rPr/>
        <w:t>Millett’s</w:t>
      </w:r>
      <w:r>
        <w:rPr>
          <w:spacing w:val="-12"/>
        </w:rPr>
        <w:t> </w:t>
      </w:r>
      <w:r>
        <w:rPr/>
        <w:t>theory</w:t>
      </w:r>
      <w:r>
        <w:rPr>
          <w:spacing w:val="-13"/>
        </w:rPr>
        <w:t> </w:t>
      </w:r>
      <w:r>
        <w:rPr/>
        <w:t>of</w:t>
      </w:r>
      <w:r>
        <w:rPr>
          <w:spacing w:val="-12"/>
        </w:rPr>
        <w:t> </w:t>
      </w:r>
      <w:r>
        <w:rPr/>
        <w:t>sexual</w:t>
      </w:r>
      <w:r>
        <w:rPr>
          <w:spacing w:val="-13"/>
        </w:rPr>
        <w:t> </w:t>
      </w:r>
      <w:r>
        <w:rPr/>
        <w:t>politics</w:t>
      </w:r>
      <w:r>
        <w:rPr>
          <w:spacing w:val="-12"/>
        </w:rPr>
        <w:t> </w:t>
      </w:r>
      <w:r>
        <w:rPr/>
        <w:t>underscores</w:t>
      </w:r>
      <w:r>
        <w:rPr>
          <w:spacing w:val="-13"/>
        </w:rPr>
        <w:t> </w:t>
      </w:r>
      <w:r>
        <w:rPr/>
        <w:t>how</w:t>
      </w:r>
      <w:r>
        <w:rPr>
          <w:spacing w:val="-12"/>
        </w:rPr>
        <w:t> </w:t>
      </w:r>
      <w:r>
        <w:rPr/>
        <w:t>patriarchal systems maintain power through the regulation of female sexuality. In both </w:t>
      </w:r>
      <w:r>
        <w:rPr>
          <w:i/>
        </w:rPr>
        <w:t>Othello </w:t>
      </w:r>
      <w:r>
        <w:rPr/>
        <w:t>and </w:t>
      </w:r>
      <w:r>
        <w:rPr>
          <w:i/>
        </w:rPr>
        <w:t>Hamlet</w:t>
      </w:r>
      <w:r>
        <w:rPr/>
        <w:t>, female bodies become sites of surveillance, suspicion,</w:t>
      </w:r>
      <w:r>
        <w:rPr>
          <w:spacing w:val="40"/>
        </w:rPr>
        <w:t> </w:t>
      </w:r>
      <w:r>
        <w:rPr/>
        <w:t>and</w:t>
      </w:r>
      <w:r>
        <w:rPr>
          <w:spacing w:val="40"/>
        </w:rPr>
        <w:t> </w:t>
      </w:r>
      <w:r>
        <w:rPr/>
        <w:t>control.</w:t>
      </w:r>
    </w:p>
    <w:p>
      <w:pPr>
        <w:pStyle w:val="BodyText"/>
        <w:spacing w:line="249" w:lineRule="auto" w:before="63"/>
        <w:ind w:right="1435" w:firstLine="432"/>
        <w:jc w:val="both"/>
      </w:pPr>
      <w:r>
        <w:rPr/>
        <w:t>Desdemona’s perceived transgression lies not in any concrete act but in the possibility of sexual autonomy. Othello’s declaration—”Yet she</w:t>
      </w:r>
      <w:r>
        <w:rPr>
          <w:spacing w:val="-6"/>
        </w:rPr>
        <w:t> </w:t>
      </w:r>
      <w:r>
        <w:rPr/>
        <w:t>must</w:t>
      </w:r>
      <w:r>
        <w:rPr>
          <w:spacing w:val="-7"/>
        </w:rPr>
        <w:t> </w:t>
      </w:r>
      <w:r>
        <w:rPr/>
        <w:t>die,</w:t>
      </w:r>
      <w:r>
        <w:rPr>
          <w:spacing w:val="-7"/>
        </w:rPr>
        <w:t> </w:t>
      </w:r>
      <w:r>
        <w:rPr/>
        <w:t>else</w:t>
      </w:r>
      <w:r>
        <w:rPr>
          <w:spacing w:val="-9"/>
        </w:rPr>
        <w:t> </w:t>
      </w:r>
      <w:r>
        <w:rPr/>
        <w:t>she’ll</w:t>
      </w:r>
      <w:r>
        <w:rPr>
          <w:spacing w:val="-7"/>
        </w:rPr>
        <w:t> </w:t>
      </w:r>
      <w:r>
        <w:rPr/>
        <w:t>betray</w:t>
      </w:r>
      <w:r>
        <w:rPr>
          <w:spacing w:val="-9"/>
        </w:rPr>
        <w:t> </w:t>
      </w:r>
      <w:r>
        <w:rPr/>
        <w:t>more</w:t>
      </w:r>
      <w:r>
        <w:rPr>
          <w:spacing w:val="-6"/>
        </w:rPr>
        <w:t> </w:t>
      </w:r>
      <w:r>
        <w:rPr/>
        <w:t>men”</w:t>
      </w:r>
      <w:r>
        <w:rPr>
          <w:spacing w:val="-6"/>
        </w:rPr>
        <w:t> </w:t>
      </w:r>
      <w:r>
        <w:rPr/>
        <w:t>(</w:t>
      </w:r>
      <w:r>
        <w:rPr>
          <w:i/>
        </w:rPr>
        <w:t>Othello</w:t>
      </w:r>
      <w:r>
        <w:rPr>
          <w:i/>
          <w:spacing w:val="-7"/>
        </w:rPr>
        <w:t> </w:t>
      </w:r>
      <w:r>
        <w:rPr/>
        <w:t>5.2.6)—reveals</w:t>
      </w:r>
      <w:r>
        <w:rPr>
          <w:spacing w:val="-7"/>
        </w:rPr>
        <w:t> </w:t>
      </w:r>
      <w:r>
        <w:rPr/>
        <w:t>how imagined infidelity is sufficient to justify violence. Sexual suspicion becomes a mechanism through which patriarchal authority is violently </w:t>
      </w:r>
      <w:r>
        <w:rPr>
          <w:spacing w:val="-2"/>
        </w:rPr>
        <w:t>reasserted.</w:t>
      </w:r>
    </w:p>
    <w:p>
      <w:pPr>
        <w:pStyle w:val="BodyText"/>
        <w:spacing w:line="249" w:lineRule="auto" w:before="62"/>
        <w:ind w:right="1440" w:firstLine="432"/>
        <w:jc w:val="both"/>
      </w:pPr>
      <w:r>
        <w:rPr/>
        <w:t>Ophelia, though never accused of actual misconduct, is similarly subjected to anticipatory regulation. Laertes’ warnings and Hamlet’s insinuations construct her as a potential site of moral failure. This anxiety finds expression in her mad songs, particularly:</w:t>
      </w:r>
    </w:p>
    <w:p>
      <w:pPr>
        <w:spacing w:line="249" w:lineRule="auto" w:before="61"/>
        <w:ind w:left="2160" w:right="2161" w:firstLine="0"/>
        <w:jc w:val="both"/>
        <w:rPr>
          <w:i/>
          <w:sz w:val="20"/>
        </w:rPr>
      </w:pPr>
      <w:r>
        <w:rPr>
          <w:i/>
          <w:sz w:val="20"/>
        </w:rPr>
        <w:t>“Before you tumbled me, / You promised me to wed” (</w:t>
      </w:r>
      <w:r>
        <w:rPr>
          <w:sz w:val="20"/>
        </w:rPr>
        <w:t>Hamlet</w:t>
      </w:r>
      <w:r>
        <w:rPr>
          <w:spacing w:val="40"/>
          <w:sz w:val="20"/>
        </w:rPr>
        <w:t> </w:t>
      </w:r>
      <w:r>
        <w:rPr>
          <w:i/>
          <w:sz w:val="20"/>
        </w:rPr>
        <w:t>4.5.62–63).</w:t>
      </w:r>
    </w:p>
    <w:p>
      <w:pPr>
        <w:pStyle w:val="BodyText"/>
        <w:spacing w:line="249" w:lineRule="auto" w:before="59"/>
        <w:ind w:right="1441" w:firstLine="432"/>
        <w:jc w:val="both"/>
      </w:pPr>
      <w:r>
        <w:rPr/>
        <w:t>Here, Ophelia articulates—albeit indirectly—the vulnerability of women</w:t>
      </w:r>
      <w:r>
        <w:rPr>
          <w:spacing w:val="-7"/>
        </w:rPr>
        <w:t> </w:t>
      </w:r>
      <w:r>
        <w:rPr/>
        <w:t>within</w:t>
      </w:r>
      <w:r>
        <w:rPr>
          <w:spacing w:val="-7"/>
        </w:rPr>
        <w:t> </w:t>
      </w:r>
      <w:r>
        <w:rPr/>
        <w:t>a</w:t>
      </w:r>
      <w:r>
        <w:rPr>
          <w:spacing w:val="-6"/>
        </w:rPr>
        <w:t> </w:t>
      </w:r>
      <w:r>
        <w:rPr/>
        <w:t>system</w:t>
      </w:r>
      <w:r>
        <w:rPr>
          <w:spacing w:val="-9"/>
        </w:rPr>
        <w:t> </w:t>
      </w:r>
      <w:r>
        <w:rPr/>
        <w:t>that</w:t>
      </w:r>
      <w:r>
        <w:rPr>
          <w:spacing w:val="-8"/>
        </w:rPr>
        <w:t> </w:t>
      </w:r>
      <w:r>
        <w:rPr/>
        <w:t>equates</w:t>
      </w:r>
      <w:r>
        <w:rPr>
          <w:spacing w:val="-6"/>
        </w:rPr>
        <w:t> </w:t>
      </w:r>
      <w:r>
        <w:rPr/>
        <w:t>sexual</w:t>
      </w:r>
      <w:r>
        <w:rPr>
          <w:spacing w:val="-6"/>
        </w:rPr>
        <w:t> </w:t>
      </w:r>
      <w:r>
        <w:rPr/>
        <w:t>behaviour</w:t>
      </w:r>
      <w:r>
        <w:rPr>
          <w:spacing w:val="-4"/>
        </w:rPr>
        <w:t> </w:t>
      </w:r>
      <w:r>
        <w:rPr/>
        <w:t>with</w:t>
      </w:r>
      <w:r>
        <w:rPr>
          <w:spacing w:val="-6"/>
        </w:rPr>
        <w:t> </w:t>
      </w:r>
      <w:r>
        <w:rPr/>
        <w:t>moral</w:t>
      </w:r>
      <w:r>
        <w:rPr>
          <w:spacing w:val="-6"/>
        </w:rPr>
        <w:t> </w:t>
      </w:r>
      <w:r>
        <w:rPr>
          <w:spacing w:val="-2"/>
        </w:rPr>
        <w:t>worth.</w:t>
      </w:r>
    </w:p>
    <w:p>
      <w:pPr>
        <w:pStyle w:val="BodyText"/>
        <w:spacing w:line="249" w:lineRule="auto" w:before="60"/>
        <w:ind w:right="1434" w:firstLine="432"/>
        <w:jc w:val="both"/>
      </w:pPr>
      <w:r>
        <w:rPr/>
        <w:t>In both narratives, female sexuality is not merely monitored but imagined</w:t>
      </w:r>
      <w:r>
        <w:rPr>
          <w:spacing w:val="-12"/>
        </w:rPr>
        <w:t> </w:t>
      </w:r>
      <w:r>
        <w:rPr/>
        <w:t>as</w:t>
      </w:r>
      <w:r>
        <w:rPr>
          <w:spacing w:val="-12"/>
        </w:rPr>
        <w:t> </w:t>
      </w:r>
      <w:r>
        <w:rPr/>
        <w:t>inherently</w:t>
      </w:r>
      <w:r>
        <w:rPr>
          <w:spacing w:val="-13"/>
        </w:rPr>
        <w:t> </w:t>
      </w:r>
      <w:r>
        <w:rPr/>
        <w:t>destabilizing.</w:t>
      </w:r>
      <w:r>
        <w:rPr>
          <w:spacing w:val="-9"/>
        </w:rPr>
        <w:t> </w:t>
      </w:r>
      <w:r>
        <w:rPr/>
        <w:t>This</w:t>
      </w:r>
      <w:r>
        <w:rPr>
          <w:spacing w:val="-13"/>
        </w:rPr>
        <w:t> </w:t>
      </w:r>
      <w:r>
        <w:rPr/>
        <w:t>logic</w:t>
      </w:r>
      <w:r>
        <w:rPr>
          <w:spacing w:val="-10"/>
        </w:rPr>
        <w:t> </w:t>
      </w:r>
      <w:r>
        <w:rPr/>
        <w:t>persists</w:t>
      </w:r>
      <w:r>
        <w:rPr>
          <w:spacing w:val="-13"/>
        </w:rPr>
        <w:t> </w:t>
      </w:r>
      <w:r>
        <w:rPr/>
        <w:t>in</w:t>
      </w:r>
      <w:r>
        <w:rPr>
          <w:spacing w:val="-10"/>
        </w:rPr>
        <w:t> </w:t>
      </w:r>
      <w:r>
        <w:rPr/>
        <w:t>contemporary </w:t>
      </w:r>
      <w:r>
        <w:rPr>
          <w:spacing w:val="-8"/>
        </w:rPr>
        <w:t>contexts,</w:t>
      </w:r>
      <w:r>
        <w:rPr>
          <w:spacing w:val="-22"/>
        </w:rPr>
        <w:t> </w:t>
      </w:r>
      <w:r>
        <w:rPr>
          <w:spacing w:val="-8"/>
        </w:rPr>
        <w:t>where</w:t>
      </w:r>
      <w:r>
        <w:rPr>
          <w:spacing w:val="-16"/>
        </w:rPr>
        <w:t> </w:t>
      </w:r>
      <w:r>
        <w:rPr>
          <w:spacing w:val="-8"/>
        </w:rPr>
        <w:t>women’s</w:t>
      </w:r>
      <w:r>
        <w:rPr>
          <w:spacing w:val="-22"/>
        </w:rPr>
        <w:t> </w:t>
      </w:r>
      <w:r>
        <w:rPr>
          <w:spacing w:val="-8"/>
        </w:rPr>
        <w:t>bodies</w:t>
      </w:r>
      <w:r>
        <w:rPr>
          <w:spacing w:val="-20"/>
        </w:rPr>
        <w:t> </w:t>
      </w:r>
      <w:r>
        <w:rPr>
          <w:spacing w:val="-8"/>
        </w:rPr>
        <w:t>remain</w:t>
      </w:r>
      <w:r>
        <w:rPr>
          <w:spacing w:val="-23"/>
        </w:rPr>
        <w:t> </w:t>
      </w:r>
      <w:r>
        <w:rPr>
          <w:spacing w:val="-8"/>
        </w:rPr>
        <w:t>subject</w:t>
      </w:r>
      <w:r>
        <w:rPr>
          <w:spacing w:val="-18"/>
        </w:rPr>
        <w:t> </w:t>
      </w:r>
      <w:r>
        <w:rPr>
          <w:spacing w:val="-8"/>
        </w:rPr>
        <w:t>to</w:t>
      </w:r>
      <w:r>
        <w:rPr>
          <w:spacing w:val="-16"/>
        </w:rPr>
        <w:t> </w:t>
      </w:r>
      <w:r>
        <w:rPr>
          <w:spacing w:val="-8"/>
        </w:rPr>
        <w:t>scrutiny</w:t>
      </w:r>
      <w:r>
        <w:rPr>
          <w:spacing w:val="-26"/>
        </w:rPr>
        <w:t> </w:t>
      </w:r>
      <w:r>
        <w:rPr>
          <w:spacing w:val="-8"/>
        </w:rPr>
        <w:t>and</w:t>
      </w:r>
      <w:r>
        <w:rPr>
          <w:spacing w:val="-16"/>
        </w:rPr>
        <w:t> </w:t>
      </w:r>
      <w:r>
        <w:rPr>
          <w:spacing w:val="-8"/>
        </w:rPr>
        <w:t>moral</w:t>
      </w:r>
      <w:r>
        <w:rPr>
          <w:spacing w:val="-20"/>
        </w:rPr>
        <w:t> </w:t>
      </w:r>
      <w:r>
        <w:rPr>
          <w:spacing w:val="-8"/>
        </w:rPr>
        <w:t>judgment.</w:t>
      </w:r>
    </w:p>
    <w:p>
      <w:pPr>
        <w:pStyle w:val="Heading3"/>
        <w:spacing w:before="156"/>
        <w:ind w:right="1444"/>
        <w:jc w:val="both"/>
      </w:pPr>
      <w:r>
        <w:rPr>
          <w:spacing w:val="-4"/>
        </w:rPr>
        <w:t>MADNESS,</w:t>
      </w:r>
      <w:r>
        <w:rPr>
          <w:spacing w:val="-12"/>
        </w:rPr>
        <w:t> </w:t>
      </w:r>
      <w:r>
        <w:rPr>
          <w:spacing w:val="-4"/>
        </w:rPr>
        <w:t>SILENCE,</w:t>
      </w:r>
      <w:r>
        <w:rPr>
          <w:spacing w:val="-10"/>
        </w:rPr>
        <w:t> </w:t>
      </w:r>
      <w:r>
        <w:rPr>
          <w:spacing w:val="-4"/>
        </w:rPr>
        <w:t>AND</w:t>
      </w:r>
      <w:r>
        <w:rPr>
          <w:spacing w:val="-11"/>
        </w:rPr>
        <w:t> </w:t>
      </w:r>
      <w:r>
        <w:rPr>
          <w:spacing w:val="-4"/>
        </w:rPr>
        <w:t>ALTERNATIVE</w:t>
      </w:r>
      <w:r>
        <w:rPr>
          <w:spacing w:val="-12"/>
        </w:rPr>
        <w:t> </w:t>
      </w:r>
      <w:r>
        <w:rPr>
          <w:spacing w:val="-4"/>
        </w:rPr>
        <w:t>MODES</w:t>
      </w:r>
      <w:r>
        <w:rPr>
          <w:spacing w:val="-10"/>
        </w:rPr>
        <w:t> </w:t>
      </w:r>
      <w:r>
        <w:rPr>
          <w:spacing w:val="-4"/>
        </w:rPr>
        <w:t>OF EXPRESSION</w:t>
      </w:r>
    </w:p>
    <w:p>
      <w:pPr>
        <w:pStyle w:val="BodyText"/>
        <w:spacing w:line="249" w:lineRule="auto" w:before="76"/>
        <w:ind w:right="1439" w:firstLine="432"/>
        <w:jc w:val="both"/>
      </w:pPr>
      <w:r>
        <w:rPr/>
        <w:t>The divergent</w:t>
      </w:r>
      <w:r>
        <w:rPr>
          <w:spacing w:val="-2"/>
        </w:rPr>
        <w:t> </w:t>
      </w:r>
      <w:r>
        <w:rPr/>
        <w:t>responses</w:t>
      </w:r>
      <w:r>
        <w:rPr>
          <w:spacing w:val="-2"/>
        </w:rPr>
        <w:t> </w:t>
      </w:r>
      <w:r>
        <w:rPr/>
        <w:t>of</w:t>
      </w:r>
      <w:r>
        <w:rPr>
          <w:spacing w:val="-2"/>
        </w:rPr>
        <w:t> </w:t>
      </w:r>
      <w:r>
        <w:rPr/>
        <w:t>Desdemona and Ophelia to patriarchal oppression—silence and madness—represent two distinct modes of constrained</w:t>
      </w:r>
      <w:r>
        <w:rPr>
          <w:spacing w:val="40"/>
        </w:rPr>
        <w:t> </w:t>
      </w:r>
      <w:r>
        <w:rPr/>
        <w:t>expression.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02368">
                <wp:simplePos x="0" y="0"/>
                <wp:positionH relativeFrom="page">
                  <wp:posOffset>2057400</wp:posOffset>
                </wp:positionH>
                <wp:positionV relativeFrom="paragraph">
                  <wp:posOffset>162604</wp:posOffset>
                </wp:positionV>
                <wp:extent cx="3657600" cy="12700"/>
                <wp:effectExtent l="0" t="0" r="0" b="0"/>
                <wp:wrapTopAndBottom/>
                <wp:docPr id="593" name="Graphic 593"/>
                <wp:cNvGraphicFramePr>
                  <a:graphicFrameLocks/>
                </wp:cNvGraphicFramePr>
                <a:graphic>
                  <a:graphicData uri="http://schemas.microsoft.com/office/word/2010/wordprocessingShape">
                    <wps:wsp>
                      <wps:cNvPr id="593" name="Graphic 59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14112;mso-wrap-distance-left:0;mso-wrap-distance-right:0" id="docshape585" filled="true" fillcolor="#000000" stroked="false">
                <v:fill type="solid"/>
                <w10:wrap type="topAndBottom"/>
              </v:rect>
            </w:pict>
          </mc:Fallback>
        </mc:AlternateContent>
      </w:r>
      <w:r>
        <w:rPr>
          <w:rFonts w:ascii="Verdana"/>
          <w:spacing w:val="-5"/>
          <w:sz w:val="18"/>
        </w:rPr>
        <w:t>286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firstLine="432"/>
        <w:jc w:val="both"/>
      </w:pPr>
      <w:r>
        <w:rPr/>
        <w:t>Ophelia’s madness, often dismissed as emotional fragility, can instead be understood as a form of resistant articulation. As Elaine Showalter</w:t>
      </w:r>
      <w:r>
        <w:rPr>
          <w:spacing w:val="-1"/>
        </w:rPr>
        <w:t> </w:t>
      </w:r>
      <w:r>
        <w:rPr/>
        <w:t>argues,</w:t>
      </w:r>
      <w:r>
        <w:rPr>
          <w:spacing w:val="-1"/>
        </w:rPr>
        <w:t> </w:t>
      </w:r>
      <w:r>
        <w:rPr/>
        <w:t>her</w:t>
      </w:r>
      <w:r>
        <w:rPr>
          <w:spacing w:val="-1"/>
        </w:rPr>
        <w:t> </w:t>
      </w:r>
      <w:r>
        <w:rPr/>
        <w:t>fragmented</w:t>
      </w:r>
      <w:r>
        <w:rPr>
          <w:spacing w:val="-1"/>
        </w:rPr>
        <w:t> </w:t>
      </w:r>
      <w:r>
        <w:rPr/>
        <w:t>speech</w:t>
      </w:r>
      <w:r>
        <w:rPr>
          <w:spacing w:val="-4"/>
        </w:rPr>
        <w:t> </w:t>
      </w:r>
      <w:r>
        <w:rPr/>
        <w:t>encodes</w:t>
      </w:r>
      <w:r>
        <w:rPr>
          <w:spacing w:val="-4"/>
        </w:rPr>
        <w:t> </w:t>
      </w:r>
      <w:r>
        <w:rPr/>
        <w:t>meanings</w:t>
      </w:r>
      <w:r>
        <w:rPr>
          <w:spacing w:val="-3"/>
        </w:rPr>
        <w:t> </w:t>
      </w:r>
      <w:r>
        <w:rPr/>
        <w:t>that</w:t>
      </w:r>
      <w:r>
        <w:rPr>
          <w:spacing w:val="-4"/>
        </w:rPr>
        <w:t> </w:t>
      </w:r>
      <w:r>
        <w:rPr/>
        <w:t>cannot be</w:t>
      </w:r>
      <w:r>
        <w:rPr>
          <w:spacing w:val="40"/>
        </w:rPr>
        <w:t> </w:t>
      </w:r>
      <w:r>
        <w:rPr/>
        <w:t>expressed</w:t>
      </w:r>
      <w:r>
        <w:rPr>
          <w:spacing w:val="40"/>
        </w:rPr>
        <w:t> </w:t>
      </w:r>
      <w:r>
        <w:rPr/>
        <w:t>within</w:t>
      </w:r>
      <w:r>
        <w:rPr>
          <w:spacing w:val="40"/>
        </w:rPr>
        <w:t> </w:t>
      </w:r>
      <w:r>
        <w:rPr/>
        <w:t>normative</w:t>
      </w:r>
      <w:r>
        <w:rPr>
          <w:spacing w:val="40"/>
        </w:rPr>
        <w:t> </w:t>
      </w:r>
      <w:r>
        <w:rPr/>
        <w:t>discourse.</w:t>
      </w:r>
      <w:r>
        <w:rPr>
          <w:spacing w:val="40"/>
        </w:rPr>
        <w:t> </w:t>
      </w:r>
      <w:r>
        <w:rPr/>
        <w:t>Her</w:t>
      </w:r>
      <w:r>
        <w:rPr>
          <w:spacing w:val="40"/>
        </w:rPr>
        <w:t> </w:t>
      </w:r>
      <w:r>
        <w:rPr/>
        <w:t>songs—</w:t>
      </w:r>
    </w:p>
    <w:p>
      <w:pPr>
        <w:spacing w:before="73"/>
        <w:ind w:left="2160" w:right="0" w:firstLine="0"/>
        <w:jc w:val="both"/>
        <w:rPr>
          <w:i/>
          <w:sz w:val="20"/>
        </w:rPr>
      </w:pPr>
      <w:r>
        <w:rPr>
          <w:i/>
          <w:sz w:val="20"/>
        </w:rPr>
        <w:t>“He</w:t>
      </w:r>
      <w:r>
        <w:rPr>
          <w:i/>
          <w:spacing w:val="24"/>
          <w:sz w:val="20"/>
        </w:rPr>
        <w:t> </w:t>
      </w:r>
      <w:r>
        <w:rPr>
          <w:i/>
          <w:sz w:val="20"/>
        </w:rPr>
        <w:t>is</w:t>
      </w:r>
      <w:r>
        <w:rPr>
          <w:i/>
          <w:spacing w:val="26"/>
          <w:sz w:val="20"/>
        </w:rPr>
        <w:t> </w:t>
      </w:r>
      <w:r>
        <w:rPr>
          <w:i/>
          <w:sz w:val="20"/>
        </w:rPr>
        <w:t>dead</w:t>
      </w:r>
      <w:r>
        <w:rPr>
          <w:i/>
          <w:spacing w:val="26"/>
          <w:sz w:val="20"/>
        </w:rPr>
        <w:t> </w:t>
      </w:r>
      <w:r>
        <w:rPr>
          <w:i/>
          <w:sz w:val="20"/>
        </w:rPr>
        <w:t>and</w:t>
      </w:r>
      <w:r>
        <w:rPr>
          <w:i/>
          <w:spacing w:val="25"/>
          <w:sz w:val="20"/>
        </w:rPr>
        <w:t> </w:t>
      </w:r>
      <w:r>
        <w:rPr>
          <w:i/>
          <w:sz w:val="20"/>
        </w:rPr>
        <w:t>gone,</w:t>
      </w:r>
      <w:r>
        <w:rPr>
          <w:i/>
          <w:spacing w:val="26"/>
          <w:sz w:val="20"/>
        </w:rPr>
        <w:t> </w:t>
      </w:r>
      <w:r>
        <w:rPr>
          <w:i/>
          <w:sz w:val="20"/>
        </w:rPr>
        <w:t>lady”</w:t>
      </w:r>
      <w:r>
        <w:rPr>
          <w:i/>
          <w:spacing w:val="25"/>
          <w:sz w:val="20"/>
        </w:rPr>
        <w:t> </w:t>
      </w:r>
      <w:r>
        <w:rPr>
          <w:i/>
          <w:sz w:val="20"/>
        </w:rPr>
        <w:t>(</w:t>
      </w:r>
      <w:r>
        <w:rPr>
          <w:sz w:val="20"/>
        </w:rPr>
        <w:t>Hamlet</w:t>
      </w:r>
      <w:r>
        <w:rPr>
          <w:spacing w:val="27"/>
          <w:sz w:val="20"/>
        </w:rPr>
        <w:t> </w:t>
      </w:r>
      <w:r>
        <w:rPr>
          <w:i/>
          <w:sz w:val="20"/>
        </w:rPr>
        <w:t>4.5.29–</w:t>
      </w:r>
      <w:r>
        <w:rPr>
          <w:i/>
          <w:spacing w:val="-4"/>
          <w:sz w:val="20"/>
        </w:rPr>
        <w:t>30)—</w:t>
      </w:r>
    </w:p>
    <w:p>
      <w:pPr>
        <w:pStyle w:val="BodyText"/>
        <w:spacing w:line="271" w:lineRule="auto" w:before="89"/>
        <w:ind w:right="1438" w:firstLine="432"/>
        <w:jc w:val="both"/>
      </w:pPr>
      <w:r>
        <w:rPr>
          <w:spacing w:val="-2"/>
        </w:rPr>
        <w:t>and</w:t>
      </w:r>
      <w:r>
        <w:rPr>
          <w:spacing w:val="-4"/>
        </w:rPr>
        <w:t> </w:t>
      </w:r>
      <w:r>
        <w:rPr>
          <w:spacing w:val="-2"/>
        </w:rPr>
        <w:t>her</w:t>
      </w:r>
      <w:r>
        <w:rPr>
          <w:spacing w:val="-8"/>
        </w:rPr>
        <w:t> </w:t>
      </w:r>
      <w:r>
        <w:rPr>
          <w:spacing w:val="-2"/>
        </w:rPr>
        <w:t>symbolic</w:t>
      </w:r>
      <w:r>
        <w:rPr>
          <w:spacing w:val="-5"/>
        </w:rPr>
        <w:t> </w:t>
      </w:r>
      <w:r>
        <w:rPr>
          <w:spacing w:val="-2"/>
        </w:rPr>
        <w:t>distribution</w:t>
      </w:r>
      <w:r>
        <w:rPr>
          <w:spacing w:val="-10"/>
        </w:rPr>
        <w:t> </w:t>
      </w:r>
      <w:r>
        <w:rPr>
          <w:spacing w:val="-2"/>
        </w:rPr>
        <w:t>of</w:t>
      </w:r>
      <w:r>
        <w:rPr>
          <w:spacing w:val="-8"/>
        </w:rPr>
        <w:t> </w:t>
      </w:r>
      <w:r>
        <w:rPr>
          <w:spacing w:val="-2"/>
        </w:rPr>
        <w:t>flowers—”There’s</w:t>
      </w:r>
      <w:r>
        <w:rPr>
          <w:spacing w:val="-10"/>
        </w:rPr>
        <w:t> </w:t>
      </w:r>
      <w:r>
        <w:rPr>
          <w:spacing w:val="-2"/>
        </w:rPr>
        <w:t>rosemary,</w:t>
      </w:r>
      <w:r>
        <w:rPr>
          <w:spacing w:val="-6"/>
        </w:rPr>
        <w:t> </w:t>
      </w:r>
      <w:r>
        <w:rPr>
          <w:spacing w:val="-2"/>
        </w:rPr>
        <w:t>that’s </w:t>
      </w:r>
      <w:r>
        <w:rPr/>
        <w:t>for remembrance” (4.5.173)—constitute an alternative semiotic system through</w:t>
      </w:r>
      <w:r>
        <w:rPr>
          <w:spacing w:val="40"/>
        </w:rPr>
        <w:t> </w:t>
      </w:r>
      <w:r>
        <w:rPr/>
        <w:t>which</w:t>
      </w:r>
      <w:r>
        <w:rPr>
          <w:spacing w:val="40"/>
        </w:rPr>
        <w:t> </w:t>
      </w:r>
      <w:r>
        <w:rPr/>
        <w:t>suppressed</w:t>
      </w:r>
      <w:r>
        <w:rPr>
          <w:spacing w:val="40"/>
        </w:rPr>
        <w:t> </w:t>
      </w:r>
      <w:r>
        <w:rPr/>
        <w:t>truths</w:t>
      </w:r>
      <w:r>
        <w:rPr>
          <w:spacing w:val="40"/>
        </w:rPr>
        <w:t> </w:t>
      </w:r>
      <w:r>
        <w:rPr/>
        <w:t>emerge.</w:t>
      </w:r>
    </w:p>
    <w:p>
      <w:pPr>
        <w:pStyle w:val="BodyText"/>
        <w:spacing w:line="271" w:lineRule="auto" w:before="58"/>
        <w:ind w:right="1437" w:firstLine="432"/>
        <w:jc w:val="both"/>
      </w:pPr>
      <w:r>
        <w:rPr/>
        <w:t>Desdemona,</w:t>
      </w:r>
      <w:r>
        <w:rPr>
          <w:spacing w:val="-6"/>
        </w:rPr>
        <w:t> </w:t>
      </w:r>
      <w:r>
        <w:rPr/>
        <w:t>by</w:t>
      </w:r>
      <w:r>
        <w:rPr>
          <w:spacing w:val="-8"/>
        </w:rPr>
        <w:t> </w:t>
      </w:r>
      <w:r>
        <w:rPr/>
        <w:t>contrast,</w:t>
      </w:r>
      <w:r>
        <w:rPr>
          <w:spacing w:val="-6"/>
        </w:rPr>
        <w:t> </w:t>
      </w:r>
      <w:r>
        <w:rPr/>
        <w:t>retains</w:t>
      </w:r>
      <w:r>
        <w:rPr>
          <w:spacing w:val="-6"/>
        </w:rPr>
        <w:t> </w:t>
      </w:r>
      <w:r>
        <w:rPr/>
        <w:t>rational</w:t>
      </w:r>
      <w:r>
        <w:rPr>
          <w:spacing w:val="-8"/>
        </w:rPr>
        <w:t> </w:t>
      </w:r>
      <w:r>
        <w:rPr/>
        <w:t>coherence</w:t>
      </w:r>
      <w:r>
        <w:rPr>
          <w:spacing w:val="-5"/>
        </w:rPr>
        <w:t> </w:t>
      </w:r>
      <w:r>
        <w:rPr/>
        <w:t>until</w:t>
      </w:r>
      <w:r>
        <w:rPr>
          <w:spacing w:val="-8"/>
        </w:rPr>
        <w:t> </w:t>
      </w:r>
      <w:r>
        <w:rPr/>
        <w:t>her</w:t>
      </w:r>
      <w:r>
        <w:rPr>
          <w:spacing w:val="-4"/>
        </w:rPr>
        <w:t> </w:t>
      </w:r>
      <w:r>
        <w:rPr/>
        <w:t>death. Yet</w:t>
      </w:r>
      <w:r>
        <w:rPr>
          <w:spacing w:val="-8"/>
        </w:rPr>
        <w:t> </w:t>
      </w:r>
      <w:r>
        <w:rPr/>
        <w:t>her</w:t>
      </w:r>
      <w:r>
        <w:rPr>
          <w:spacing w:val="-5"/>
        </w:rPr>
        <w:t> </w:t>
      </w:r>
      <w:r>
        <w:rPr/>
        <w:t>final</w:t>
      </w:r>
      <w:r>
        <w:rPr>
          <w:spacing w:val="-8"/>
        </w:rPr>
        <w:t> </w:t>
      </w:r>
      <w:r>
        <w:rPr/>
        <w:t>words—”Nobody;</w:t>
      </w:r>
      <w:r>
        <w:rPr>
          <w:spacing w:val="-5"/>
        </w:rPr>
        <w:t> </w:t>
      </w:r>
      <w:r>
        <w:rPr/>
        <w:t>I</w:t>
      </w:r>
      <w:r>
        <w:rPr>
          <w:spacing w:val="-7"/>
        </w:rPr>
        <w:t> </w:t>
      </w:r>
      <w:r>
        <w:rPr/>
        <w:t>myself.</w:t>
      </w:r>
      <w:r>
        <w:rPr>
          <w:spacing w:val="-7"/>
        </w:rPr>
        <w:t> </w:t>
      </w:r>
      <w:r>
        <w:rPr/>
        <w:t>Farewell”</w:t>
      </w:r>
      <w:r>
        <w:rPr>
          <w:spacing w:val="-8"/>
        </w:rPr>
        <w:t> </w:t>
      </w:r>
      <w:r>
        <w:rPr/>
        <w:t>(</w:t>
      </w:r>
      <w:r>
        <w:rPr>
          <w:i/>
        </w:rPr>
        <w:t>Othello</w:t>
      </w:r>
      <w:r>
        <w:rPr>
          <w:i/>
          <w:spacing w:val="-4"/>
        </w:rPr>
        <w:t> </w:t>
      </w:r>
      <w:r>
        <w:rPr/>
        <w:t>5.2.123)—represent a different form</w:t>
      </w:r>
      <w:r>
        <w:rPr>
          <w:spacing w:val="-2"/>
        </w:rPr>
        <w:t> </w:t>
      </w:r>
      <w:r>
        <w:rPr/>
        <w:t>of</w:t>
      </w:r>
      <w:r>
        <w:rPr>
          <w:spacing w:val="-1"/>
        </w:rPr>
        <w:t> </w:t>
      </w:r>
      <w:r>
        <w:rPr/>
        <w:t>silencing: the internalization of</w:t>
      </w:r>
      <w:r>
        <w:rPr>
          <w:spacing w:val="-1"/>
        </w:rPr>
        <w:t> </w:t>
      </w:r>
      <w:r>
        <w:rPr/>
        <w:t>patriarchal logic.</w:t>
      </w:r>
      <w:r>
        <w:rPr>
          <w:spacing w:val="17"/>
        </w:rPr>
        <w:t> </w:t>
      </w:r>
      <w:r>
        <w:rPr/>
        <w:t>Her</w:t>
      </w:r>
      <w:r>
        <w:rPr>
          <w:spacing w:val="19"/>
        </w:rPr>
        <w:t> </w:t>
      </w:r>
      <w:r>
        <w:rPr/>
        <w:t>refusal</w:t>
      </w:r>
      <w:r>
        <w:rPr>
          <w:spacing w:val="17"/>
        </w:rPr>
        <w:t> </w:t>
      </w:r>
      <w:r>
        <w:rPr/>
        <w:t>to</w:t>
      </w:r>
      <w:r>
        <w:rPr>
          <w:spacing w:val="20"/>
        </w:rPr>
        <w:t> </w:t>
      </w:r>
      <w:r>
        <w:rPr/>
        <w:t>name</w:t>
      </w:r>
      <w:r>
        <w:rPr>
          <w:spacing w:val="18"/>
        </w:rPr>
        <w:t> </w:t>
      </w:r>
      <w:r>
        <w:rPr/>
        <w:t>her</w:t>
      </w:r>
      <w:r>
        <w:rPr>
          <w:spacing w:val="17"/>
        </w:rPr>
        <w:t> </w:t>
      </w:r>
      <w:r>
        <w:rPr/>
        <w:t>murderer</w:t>
      </w:r>
      <w:r>
        <w:rPr>
          <w:spacing w:val="19"/>
        </w:rPr>
        <w:t> </w:t>
      </w:r>
      <w:r>
        <w:rPr/>
        <w:t>is</w:t>
      </w:r>
      <w:r>
        <w:rPr>
          <w:spacing w:val="17"/>
        </w:rPr>
        <w:t> </w:t>
      </w:r>
      <w:r>
        <w:rPr/>
        <w:t>not</w:t>
      </w:r>
      <w:r>
        <w:rPr>
          <w:spacing w:val="17"/>
        </w:rPr>
        <w:t> </w:t>
      </w:r>
      <w:r>
        <w:rPr/>
        <w:t>a</w:t>
      </w:r>
      <w:r>
        <w:rPr>
          <w:spacing w:val="19"/>
        </w:rPr>
        <w:t> </w:t>
      </w:r>
      <w:r>
        <w:rPr/>
        <w:t>failure</w:t>
      </w:r>
      <w:r>
        <w:rPr>
          <w:spacing w:val="17"/>
        </w:rPr>
        <w:t> </w:t>
      </w:r>
      <w:r>
        <w:rPr/>
        <w:t>of</w:t>
      </w:r>
      <w:r>
        <w:rPr>
          <w:spacing w:val="18"/>
        </w:rPr>
        <w:t> </w:t>
      </w:r>
      <w:r>
        <w:rPr/>
        <w:t>speech</w:t>
      </w:r>
      <w:r>
        <w:rPr>
          <w:spacing w:val="17"/>
        </w:rPr>
        <w:t> </w:t>
      </w:r>
      <w:r>
        <w:rPr/>
        <w:t>but a conditioned response that prioritizes male authority over self-</w:t>
      </w:r>
      <w:r>
        <w:rPr>
          <w:spacing w:val="-2"/>
        </w:rPr>
        <w:t>preservation.</w:t>
      </w:r>
    </w:p>
    <w:p>
      <w:pPr>
        <w:pStyle w:val="BodyText"/>
        <w:spacing w:line="271" w:lineRule="auto" w:before="59"/>
        <w:ind w:right="1437" w:firstLine="432"/>
        <w:jc w:val="both"/>
      </w:pPr>
      <w:r>
        <w:rPr/>
        <w:t>These contrasting responses reveal the limited avenues available</w:t>
      </w:r>
      <w:r>
        <w:rPr>
          <w:spacing w:val="40"/>
        </w:rPr>
        <w:t> </w:t>
      </w:r>
      <w:r>
        <w:rPr/>
        <w:t>to women within oppressive systems. Whether through fragmentation</w:t>
      </w:r>
      <w:r>
        <w:rPr>
          <w:spacing w:val="40"/>
        </w:rPr>
        <w:t> </w:t>
      </w:r>
      <w:r>
        <w:rPr/>
        <w:t>or self-erasure, both characters expose the psychological costs of </w:t>
      </w:r>
      <w:r>
        <w:rPr>
          <w:spacing w:val="-2"/>
        </w:rPr>
        <w:t>silencing.</w:t>
      </w:r>
    </w:p>
    <w:p>
      <w:pPr>
        <w:pStyle w:val="Heading3"/>
        <w:spacing w:line="259" w:lineRule="auto" w:before="155"/>
        <w:ind w:right="1437"/>
      </w:pPr>
      <w:r>
        <w:rPr>
          <w:w w:val="85"/>
        </w:rPr>
        <w:t>INTERNALIZED PATRIARCHY AND THE LOGIC OF</w:t>
      </w:r>
      <w:r>
        <w:rPr>
          <w:spacing w:val="-2"/>
          <w:w w:val="85"/>
        </w:rPr>
        <w:t> </w:t>
      </w:r>
      <w:r>
        <w:rPr>
          <w:w w:val="85"/>
        </w:rPr>
        <w:t>VICTIM-</w:t>
      </w:r>
      <w:r>
        <w:rPr>
          <w:spacing w:val="-2"/>
        </w:rPr>
        <w:t>BLAMING</w:t>
      </w:r>
    </w:p>
    <w:p>
      <w:pPr>
        <w:pStyle w:val="BodyText"/>
        <w:spacing w:line="271" w:lineRule="auto" w:before="77"/>
        <w:ind w:right="1441" w:firstLine="432"/>
        <w:jc w:val="both"/>
      </w:pPr>
      <w:r>
        <w:rPr/>
        <w:t>The</w:t>
      </w:r>
      <w:r>
        <w:rPr>
          <w:spacing w:val="-10"/>
        </w:rPr>
        <w:t> </w:t>
      </w:r>
      <w:r>
        <w:rPr/>
        <w:t>internalization</w:t>
      </w:r>
      <w:r>
        <w:rPr>
          <w:spacing w:val="-9"/>
        </w:rPr>
        <w:t> </w:t>
      </w:r>
      <w:r>
        <w:rPr/>
        <w:t>of</w:t>
      </w:r>
      <w:r>
        <w:rPr>
          <w:spacing w:val="-13"/>
        </w:rPr>
        <w:t> </w:t>
      </w:r>
      <w:r>
        <w:rPr/>
        <w:t>patriarchal</w:t>
      </w:r>
      <w:r>
        <w:rPr>
          <w:spacing w:val="-11"/>
        </w:rPr>
        <w:t> </w:t>
      </w:r>
      <w:r>
        <w:rPr/>
        <w:t>values</w:t>
      </w:r>
      <w:r>
        <w:rPr>
          <w:spacing w:val="-9"/>
        </w:rPr>
        <w:t> </w:t>
      </w:r>
      <w:r>
        <w:rPr/>
        <w:t>emerges</w:t>
      </w:r>
      <w:r>
        <w:rPr>
          <w:spacing w:val="-13"/>
        </w:rPr>
        <w:t> </w:t>
      </w:r>
      <w:r>
        <w:rPr/>
        <w:t>as</w:t>
      </w:r>
      <w:r>
        <w:rPr>
          <w:spacing w:val="-12"/>
        </w:rPr>
        <w:t> </w:t>
      </w:r>
      <w:r>
        <w:rPr/>
        <w:t>a</w:t>
      </w:r>
      <w:r>
        <w:rPr>
          <w:spacing w:val="-8"/>
        </w:rPr>
        <w:t> </w:t>
      </w:r>
      <w:r>
        <w:rPr/>
        <w:t>crucial</w:t>
      </w:r>
      <w:r>
        <w:rPr>
          <w:spacing w:val="-11"/>
        </w:rPr>
        <w:t> </w:t>
      </w:r>
      <w:r>
        <w:rPr/>
        <w:t>factor in both tragedies. Desdemona’s self-blame reflects a deeply ingrained cultural script that compels women to absorb responsibility for male violence. Her final act of absolution reinforces the very system that destroys</w:t>
      </w:r>
      <w:r>
        <w:rPr>
          <w:spacing w:val="40"/>
        </w:rPr>
        <w:t> </w:t>
      </w:r>
      <w:r>
        <w:rPr/>
        <w:t>her.</w:t>
      </w:r>
    </w:p>
    <w:p>
      <w:pPr>
        <w:pStyle w:val="BodyText"/>
        <w:spacing w:line="271" w:lineRule="auto" w:before="57"/>
        <w:ind w:right="1435" w:firstLine="432"/>
        <w:jc w:val="both"/>
      </w:pPr>
      <w:r>
        <w:rPr/>
        <w:t>Ophelia’s internalization operates differently but with equally devastating consequences. Her identity, shaped entirely by external authority,</w:t>
      </w:r>
      <w:r>
        <w:rPr>
          <w:spacing w:val="-8"/>
        </w:rPr>
        <w:t> </w:t>
      </w:r>
      <w:r>
        <w:rPr/>
        <w:t>collapses</w:t>
      </w:r>
      <w:r>
        <w:rPr>
          <w:spacing w:val="-10"/>
        </w:rPr>
        <w:t> </w:t>
      </w:r>
      <w:r>
        <w:rPr/>
        <w:t>under</w:t>
      </w:r>
      <w:r>
        <w:rPr>
          <w:spacing w:val="-8"/>
        </w:rPr>
        <w:t> </w:t>
      </w:r>
      <w:r>
        <w:rPr/>
        <w:t>the</w:t>
      </w:r>
      <w:r>
        <w:rPr>
          <w:spacing w:val="-10"/>
        </w:rPr>
        <w:t> </w:t>
      </w:r>
      <w:r>
        <w:rPr/>
        <w:t>weight</w:t>
      </w:r>
      <w:r>
        <w:rPr>
          <w:spacing w:val="-11"/>
        </w:rPr>
        <w:t> </w:t>
      </w:r>
      <w:r>
        <w:rPr/>
        <w:t>of</w:t>
      </w:r>
      <w:r>
        <w:rPr>
          <w:spacing w:val="-10"/>
        </w:rPr>
        <w:t> </w:t>
      </w:r>
      <w:r>
        <w:rPr/>
        <w:t>conflicting</w:t>
      </w:r>
      <w:r>
        <w:rPr>
          <w:spacing w:val="-10"/>
        </w:rPr>
        <w:t> </w:t>
      </w:r>
      <w:r>
        <w:rPr/>
        <w:t>demands.</w:t>
      </w:r>
      <w:r>
        <w:rPr>
          <w:spacing w:val="-10"/>
        </w:rPr>
        <w:t> </w:t>
      </w:r>
      <w:r>
        <w:rPr/>
        <w:t>Her</w:t>
      </w:r>
      <w:r>
        <w:rPr>
          <w:spacing w:val="-8"/>
        </w:rPr>
        <w:t> </w:t>
      </w:r>
      <w:r>
        <w:rPr/>
        <w:t>earlier declaration—”I shall obey, my lord”—echoes tragically in her later disintegration,</w:t>
      </w:r>
      <w:r>
        <w:rPr>
          <w:spacing w:val="-10"/>
        </w:rPr>
        <w:t> </w:t>
      </w:r>
      <w:r>
        <w:rPr/>
        <w:t>illustrating</w:t>
      </w:r>
      <w:r>
        <w:rPr>
          <w:spacing w:val="-9"/>
        </w:rPr>
        <w:t> </w:t>
      </w:r>
      <w:r>
        <w:rPr/>
        <w:t>how</w:t>
      </w:r>
      <w:r>
        <w:rPr>
          <w:spacing w:val="-12"/>
        </w:rPr>
        <w:t> </w:t>
      </w:r>
      <w:r>
        <w:rPr/>
        <w:t>sustained</w:t>
      </w:r>
      <w:r>
        <w:rPr>
          <w:spacing w:val="-7"/>
        </w:rPr>
        <w:t> </w:t>
      </w:r>
      <w:r>
        <w:rPr/>
        <w:t>submission</w:t>
      </w:r>
      <w:r>
        <w:rPr>
          <w:spacing w:val="-10"/>
        </w:rPr>
        <w:t> </w:t>
      </w:r>
      <w:r>
        <w:rPr/>
        <w:t>erodes</w:t>
      </w:r>
      <w:r>
        <w:rPr>
          <w:spacing w:val="-9"/>
        </w:rPr>
        <w:t> </w:t>
      </w:r>
      <w:r>
        <w:rPr/>
        <w:t>the</w:t>
      </w:r>
      <w:r>
        <w:rPr>
          <w:spacing w:val="-10"/>
        </w:rPr>
        <w:t> </w:t>
      </w:r>
      <w:r>
        <w:rPr/>
        <w:t>capacity for self-definition.</w:t>
      </w:r>
    </w:p>
    <w:p>
      <w:pPr>
        <w:pStyle w:val="BodyText"/>
        <w:spacing w:line="271" w:lineRule="auto" w:before="61"/>
        <w:ind w:right="1440" w:firstLine="432"/>
        <w:jc w:val="both"/>
      </w:pPr>
      <w:r>
        <w:rPr/>
        <w:t>In</w:t>
      </w:r>
      <w:r>
        <w:rPr>
          <w:spacing w:val="-7"/>
        </w:rPr>
        <w:t> </w:t>
      </w:r>
      <w:r>
        <w:rPr/>
        <w:t>both</w:t>
      </w:r>
      <w:r>
        <w:rPr>
          <w:spacing w:val="-9"/>
        </w:rPr>
        <w:t> </w:t>
      </w:r>
      <w:r>
        <w:rPr/>
        <w:t>cases,</w:t>
      </w:r>
      <w:r>
        <w:rPr>
          <w:spacing w:val="-7"/>
        </w:rPr>
        <w:t> </w:t>
      </w:r>
      <w:r>
        <w:rPr/>
        <w:t>victim-blaming</w:t>
      </w:r>
      <w:r>
        <w:rPr>
          <w:spacing w:val="-9"/>
        </w:rPr>
        <w:t> </w:t>
      </w:r>
      <w:r>
        <w:rPr/>
        <w:t>is</w:t>
      </w:r>
      <w:r>
        <w:rPr>
          <w:spacing w:val="-7"/>
        </w:rPr>
        <w:t> </w:t>
      </w:r>
      <w:r>
        <w:rPr/>
        <w:t>not</w:t>
      </w:r>
      <w:r>
        <w:rPr>
          <w:spacing w:val="-9"/>
        </w:rPr>
        <w:t> </w:t>
      </w:r>
      <w:r>
        <w:rPr/>
        <w:t>merely</w:t>
      </w:r>
      <w:r>
        <w:rPr>
          <w:spacing w:val="-9"/>
        </w:rPr>
        <w:t> </w:t>
      </w:r>
      <w:r>
        <w:rPr/>
        <w:t>imposed</w:t>
      </w:r>
      <w:r>
        <w:rPr>
          <w:spacing w:val="-7"/>
        </w:rPr>
        <w:t> </w:t>
      </w:r>
      <w:r>
        <w:rPr/>
        <w:t>externally</w:t>
      </w:r>
      <w:r>
        <w:rPr>
          <w:spacing w:val="-9"/>
        </w:rPr>
        <w:t> </w:t>
      </w:r>
      <w:r>
        <w:rPr/>
        <w:t>but </w:t>
      </w:r>
      <w:r>
        <w:rPr>
          <w:spacing w:val="-4"/>
        </w:rPr>
        <w:t>internalized, revealing the psychological depth of</w:t>
      </w:r>
      <w:r>
        <w:rPr>
          <w:spacing w:val="-5"/>
        </w:rPr>
        <w:t> </w:t>
      </w:r>
      <w:r>
        <w:rPr>
          <w:spacing w:val="-4"/>
        </w:rPr>
        <w:t>patriarchal conditioning. </w:t>
      </w:r>
      <w:r>
        <w:rPr/>
        <w:t>This dynamic remains central to contemporary feminist discourse, particularly within the context of #MeToo.</w:t>
      </w:r>
    </w:p>
    <w:p>
      <w:pPr>
        <w:pStyle w:val="BodyText"/>
        <w:spacing w:after="0" w:line="27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02880">
                <wp:simplePos x="0" y="0"/>
                <wp:positionH relativeFrom="page">
                  <wp:posOffset>2065020</wp:posOffset>
                </wp:positionH>
                <wp:positionV relativeFrom="paragraph">
                  <wp:posOffset>162604</wp:posOffset>
                </wp:positionV>
                <wp:extent cx="3657600" cy="12700"/>
                <wp:effectExtent l="0" t="0" r="0" b="0"/>
                <wp:wrapTopAndBottom/>
                <wp:docPr id="594" name="Graphic 594"/>
                <wp:cNvGraphicFramePr>
                  <a:graphicFrameLocks/>
                </wp:cNvGraphicFramePr>
                <a:graphic>
                  <a:graphicData uri="http://schemas.microsoft.com/office/word/2010/wordprocessingShape">
                    <wps:wsp>
                      <wps:cNvPr id="594" name="Graphic 59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13600;mso-wrap-distance-left:0;mso-wrap-distance-right:0" id="docshape586" filled="true" fillcolor="#000000" stroked="false">
                <v:fill type="solid"/>
                <w10:wrap type="topAndBottom"/>
              </v:rect>
            </w:pict>
          </mc:Fallback>
        </mc:AlternateContent>
      </w:r>
      <w:r>
        <w:rPr>
          <w:rFonts w:ascii="Verdana"/>
          <w:sz w:val="18"/>
        </w:rPr>
        <w:t>Epistemic</w:t>
      </w:r>
      <w:r>
        <w:rPr>
          <w:rFonts w:ascii="Verdana"/>
          <w:spacing w:val="-3"/>
          <w:sz w:val="18"/>
        </w:rPr>
        <w:t> </w:t>
      </w:r>
      <w:r>
        <w:rPr>
          <w:rFonts w:ascii="Verdana"/>
          <w:sz w:val="18"/>
        </w:rPr>
        <w:t>Injustice,</w:t>
      </w:r>
      <w:r>
        <w:rPr>
          <w:rFonts w:ascii="Verdana"/>
          <w:spacing w:val="-5"/>
          <w:sz w:val="18"/>
        </w:rPr>
        <w:t> </w:t>
      </w:r>
      <w:r>
        <w:rPr>
          <w:rFonts w:ascii="Verdana"/>
          <w:sz w:val="18"/>
        </w:rPr>
        <w:t>Gendered</w:t>
      </w:r>
      <w:r>
        <w:rPr>
          <w:rFonts w:ascii="Verdana"/>
          <w:spacing w:val="-3"/>
          <w:sz w:val="18"/>
        </w:rPr>
        <w:t> </w:t>
      </w:r>
      <w:r>
        <w:rPr>
          <w:rFonts w:ascii="Verdana"/>
          <w:sz w:val="18"/>
        </w:rPr>
        <w:t>Silencing,</w:t>
      </w:r>
      <w:r>
        <w:rPr>
          <w:rFonts w:ascii="Verdana"/>
          <w:spacing w:val="-5"/>
          <w:sz w:val="18"/>
        </w:rPr>
        <w:t> </w:t>
      </w:r>
      <w:r>
        <w:rPr>
          <w:rFonts w:ascii="Verdana"/>
          <w:sz w:val="18"/>
        </w:rPr>
        <w:t>and</w:t>
      </w:r>
      <w:r>
        <w:rPr>
          <w:rFonts w:ascii="Verdana"/>
          <w:spacing w:val="-3"/>
          <w:sz w:val="18"/>
        </w:rPr>
        <w:t> </w:t>
      </w:r>
      <w:r>
        <w:rPr>
          <w:rFonts w:ascii="Verdana"/>
          <w:spacing w:val="-2"/>
          <w:sz w:val="18"/>
        </w:rPr>
        <w:t>Testimony...</w:t>
      </w:r>
      <w:r>
        <w:rPr>
          <w:rFonts w:ascii="Verdana"/>
          <w:sz w:val="18"/>
        </w:rPr>
        <w:tab/>
      </w:r>
      <w:r>
        <w:rPr>
          <w:rFonts w:ascii="Verdana"/>
          <w:spacing w:val="-5"/>
          <w:sz w:val="18"/>
        </w:rPr>
        <w:t>287</w:t>
      </w:r>
    </w:p>
    <w:p>
      <w:pPr>
        <w:pStyle w:val="Heading3"/>
      </w:pPr>
      <w:r>
        <w:rPr>
          <w:w w:val="85"/>
        </w:rPr>
        <w:t>INTERSECTIONALITY</w:t>
      </w:r>
      <w:r>
        <w:rPr>
          <w:spacing w:val="16"/>
        </w:rPr>
        <w:t> </w:t>
      </w:r>
      <w:r>
        <w:rPr>
          <w:w w:val="85"/>
        </w:rPr>
        <w:t>AND</w:t>
      </w:r>
      <w:r>
        <w:rPr>
          <w:spacing w:val="17"/>
        </w:rPr>
        <w:t> </w:t>
      </w:r>
      <w:r>
        <w:rPr>
          <w:w w:val="85"/>
        </w:rPr>
        <w:t>STRUCTURAL</w:t>
      </w:r>
      <w:r>
        <w:rPr>
          <w:spacing w:val="16"/>
        </w:rPr>
        <w:t> </w:t>
      </w:r>
      <w:r>
        <w:rPr>
          <w:spacing w:val="-2"/>
          <w:w w:val="85"/>
        </w:rPr>
        <w:t>POWER</w:t>
      </w:r>
    </w:p>
    <w:p>
      <w:pPr>
        <w:pStyle w:val="BodyText"/>
        <w:spacing w:line="249" w:lineRule="auto" w:before="75"/>
        <w:ind w:right="1438" w:firstLine="432"/>
        <w:jc w:val="both"/>
      </w:pPr>
      <w:r>
        <w:rPr>
          <w:spacing w:val="-2"/>
        </w:rPr>
        <w:t>While</w:t>
      </w:r>
      <w:r>
        <w:rPr>
          <w:spacing w:val="-11"/>
        </w:rPr>
        <w:t> </w:t>
      </w:r>
      <w:r>
        <w:rPr>
          <w:spacing w:val="-2"/>
        </w:rPr>
        <w:t>gender</w:t>
      </w:r>
      <w:r>
        <w:rPr>
          <w:spacing w:val="-6"/>
        </w:rPr>
        <w:t> </w:t>
      </w:r>
      <w:r>
        <w:rPr>
          <w:spacing w:val="-2"/>
        </w:rPr>
        <w:t>remains</w:t>
      </w:r>
      <w:r>
        <w:rPr>
          <w:spacing w:val="-11"/>
        </w:rPr>
        <w:t> </w:t>
      </w:r>
      <w:r>
        <w:rPr>
          <w:spacing w:val="-2"/>
        </w:rPr>
        <w:t>the</w:t>
      </w:r>
      <w:r>
        <w:rPr>
          <w:spacing w:val="-5"/>
        </w:rPr>
        <w:t> </w:t>
      </w:r>
      <w:r>
        <w:rPr>
          <w:spacing w:val="-2"/>
        </w:rPr>
        <w:t>primary</w:t>
      </w:r>
      <w:r>
        <w:rPr>
          <w:spacing w:val="-11"/>
        </w:rPr>
        <w:t> </w:t>
      </w:r>
      <w:r>
        <w:rPr>
          <w:spacing w:val="-2"/>
        </w:rPr>
        <w:t>axis</w:t>
      </w:r>
      <w:r>
        <w:rPr>
          <w:spacing w:val="-8"/>
        </w:rPr>
        <w:t> </w:t>
      </w:r>
      <w:r>
        <w:rPr>
          <w:spacing w:val="-2"/>
        </w:rPr>
        <w:t>of</w:t>
      </w:r>
      <w:r>
        <w:rPr>
          <w:spacing w:val="-11"/>
        </w:rPr>
        <w:t> </w:t>
      </w:r>
      <w:r>
        <w:rPr>
          <w:spacing w:val="-2"/>
        </w:rPr>
        <w:t>analysis,</w:t>
      </w:r>
      <w:r>
        <w:rPr>
          <w:spacing w:val="-5"/>
        </w:rPr>
        <w:t> </w:t>
      </w:r>
      <w:r>
        <w:rPr>
          <w:spacing w:val="-2"/>
        </w:rPr>
        <w:t>both</w:t>
      </w:r>
      <w:r>
        <w:rPr>
          <w:spacing w:val="-8"/>
        </w:rPr>
        <w:t> </w:t>
      </w:r>
      <w:r>
        <w:rPr>
          <w:spacing w:val="-2"/>
        </w:rPr>
        <w:t>Desdemona </w:t>
      </w:r>
      <w:r>
        <w:rPr/>
        <w:t>and Ophelia exist within intersecting systems of power. Desdemona’s marriage invokes racial and cultural anxieties, amplifying the scrutiny placed upon her. Othello’s insecurities, shaped by his outsider status, are redirected into patriarchal violence.</w:t>
      </w:r>
    </w:p>
    <w:p>
      <w:pPr>
        <w:pStyle w:val="BodyText"/>
        <w:spacing w:line="249" w:lineRule="auto" w:before="62"/>
        <w:ind w:right="1440" w:firstLine="432"/>
        <w:jc w:val="both"/>
      </w:pPr>
      <w:r>
        <w:rPr/>
        <w:t>Ophelia, meanwhile, is embedded within a courtly structure that instrumentalizes her for political purposes. Her deployment as a means of observing</w:t>
      </w:r>
      <w:r>
        <w:rPr>
          <w:spacing w:val="-2"/>
        </w:rPr>
        <w:t> </w:t>
      </w:r>
      <w:r>
        <w:rPr/>
        <w:t>Hamlet underscores</w:t>
      </w:r>
      <w:r>
        <w:rPr>
          <w:spacing w:val="-2"/>
        </w:rPr>
        <w:t> </w:t>
      </w:r>
      <w:r>
        <w:rPr/>
        <w:t>how female bodies are utilized within broader</w:t>
      </w:r>
      <w:r>
        <w:rPr>
          <w:spacing w:val="40"/>
        </w:rPr>
        <w:t> </w:t>
      </w:r>
      <w:r>
        <w:rPr/>
        <w:t>systems</w:t>
      </w:r>
      <w:r>
        <w:rPr>
          <w:spacing w:val="40"/>
        </w:rPr>
        <w:t> </w:t>
      </w:r>
      <w:r>
        <w:rPr/>
        <w:t>of</w:t>
      </w:r>
      <w:r>
        <w:rPr>
          <w:spacing w:val="40"/>
        </w:rPr>
        <w:t> </w:t>
      </w:r>
      <w:r>
        <w:rPr/>
        <w:t>surveillance</w:t>
      </w:r>
      <w:r>
        <w:rPr>
          <w:spacing w:val="40"/>
        </w:rPr>
        <w:t> </w:t>
      </w:r>
      <w:r>
        <w:rPr/>
        <w:t>and</w:t>
      </w:r>
      <w:r>
        <w:rPr>
          <w:spacing w:val="40"/>
        </w:rPr>
        <w:t> </w:t>
      </w:r>
      <w:r>
        <w:rPr/>
        <w:t>control.</w:t>
      </w:r>
    </w:p>
    <w:p>
      <w:pPr>
        <w:pStyle w:val="BodyText"/>
        <w:spacing w:line="249" w:lineRule="auto" w:before="61"/>
        <w:ind w:right="1440" w:firstLine="432"/>
        <w:jc w:val="both"/>
      </w:pPr>
      <w:r>
        <w:rPr/>
        <w:t>An intersectional reading reveals that gender oppression does not operate in isolation but is entangled with other forms of structural power.</w:t>
      </w:r>
      <w:r>
        <w:rPr>
          <w:spacing w:val="40"/>
        </w:rPr>
        <w:t> </w:t>
      </w:r>
      <w:r>
        <w:rPr/>
        <w:t>Both</w:t>
      </w:r>
      <w:r>
        <w:rPr>
          <w:spacing w:val="40"/>
        </w:rPr>
        <w:t> </w:t>
      </w:r>
      <w:r>
        <w:rPr/>
        <w:t>characters</w:t>
      </w:r>
      <w:r>
        <w:rPr>
          <w:spacing w:val="40"/>
        </w:rPr>
        <w:t> </w:t>
      </w:r>
      <w:r>
        <w:rPr/>
        <w:t>become</w:t>
      </w:r>
      <w:r>
        <w:rPr>
          <w:spacing w:val="40"/>
        </w:rPr>
        <w:t> </w:t>
      </w:r>
      <w:r>
        <w:rPr/>
        <w:t>sites</w:t>
      </w:r>
      <w:r>
        <w:rPr>
          <w:spacing w:val="40"/>
        </w:rPr>
        <w:t> </w:t>
      </w:r>
      <w:r>
        <w:rPr/>
        <w:t>where</w:t>
      </w:r>
      <w:r>
        <w:rPr>
          <w:spacing w:val="40"/>
        </w:rPr>
        <w:t> </w:t>
      </w:r>
      <w:r>
        <w:rPr/>
        <w:t>these</w:t>
      </w:r>
      <w:r>
        <w:rPr>
          <w:spacing w:val="40"/>
        </w:rPr>
        <w:t> </w:t>
      </w:r>
      <w:r>
        <w:rPr/>
        <w:t>forces</w:t>
      </w:r>
      <w:r>
        <w:rPr>
          <w:spacing w:val="40"/>
        </w:rPr>
        <w:t> </w:t>
      </w:r>
      <w:r>
        <w:rPr/>
        <w:t>converge.</w:t>
      </w:r>
    </w:p>
    <w:p>
      <w:pPr>
        <w:pStyle w:val="BodyText"/>
        <w:spacing w:line="249" w:lineRule="auto" w:before="62"/>
        <w:ind w:right="1437" w:firstLine="432"/>
        <w:jc w:val="both"/>
      </w:pPr>
      <w:r>
        <w:rPr/>
        <w:t>A deeper engagement with Miranda Fricker’s framework reveals </w:t>
      </w:r>
      <w:r>
        <w:rPr>
          <w:spacing w:val="-2"/>
        </w:rPr>
        <w:t>that</w:t>
      </w:r>
      <w:r>
        <w:rPr>
          <w:spacing w:val="-4"/>
        </w:rPr>
        <w:t> </w:t>
      </w:r>
      <w:r>
        <w:rPr>
          <w:spacing w:val="-2"/>
        </w:rPr>
        <w:t>the</w:t>
      </w:r>
      <w:r>
        <w:rPr>
          <w:spacing w:val="-8"/>
        </w:rPr>
        <w:t> </w:t>
      </w:r>
      <w:r>
        <w:rPr>
          <w:spacing w:val="-2"/>
        </w:rPr>
        <w:t>injustice</w:t>
      </w:r>
      <w:r>
        <w:rPr>
          <w:spacing w:val="-5"/>
        </w:rPr>
        <w:t> </w:t>
      </w:r>
      <w:r>
        <w:rPr>
          <w:spacing w:val="-2"/>
        </w:rPr>
        <w:t>faced</w:t>
      </w:r>
      <w:r>
        <w:rPr>
          <w:spacing w:val="-4"/>
        </w:rPr>
        <w:t> </w:t>
      </w:r>
      <w:r>
        <w:rPr>
          <w:spacing w:val="-2"/>
        </w:rPr>
        <w:t>by</w:t>
      </w:r>
      <w:r>
        <w:rPr>
          <w:spacing w:val="-8"/>
        </w:rPr>
        <w:t> </w:t>
      </w:r>
      <w:r>
        <w:rPr>
          <w:spacing w:val="-2"/>
        </w:rPr>
        <w:t>Desdemona</w:t>
      </w:r>
      <w:r>
        <w:rPr>
          <w:spacing w:val="-6"/>
        </w:rPr>
        <w:t> </w:t>
      </w:r>
      <w:r>
        <w:rPr>
          <w:spacing w:val="-2"/>
        </w:rPr>
        <w:t>and</w:t>
      </w:r>
      <w:r>
        <w:rPr>
          <w:spacing w:val="-4"/>
        </w:rPr>
        <w:t> </w:t>
      </w:r>
      <w:r>
        <w:rPr>
          <w:spacing w:val="-2"/>
        </w:rPr>
        <w:t>Ophelia</w:t>
      </w:r>
      <w:r>
        <w:rPr>
          <w:spacing w:val="-4"/>
        </w:rPr>
        <w:t> </w:t>
      </w:r>
      <w:r>
        <w:rPr>
          <w:spacing w:val="-2"/>
        </w:rPr>
        <w:t>is</w:t>
      </w:r>
      <w:r>
        <w:rPr>
          <w:spacing w:val="-6"/>
        </w:rPr>
        <w:t> </w:t>
      </w:r>
      <w:r>
        <w:rPr>
          <w:spacing w:val="-2"/>
        </w:rPr>
        <w:t>not</w:t>
      </w:r>
      <w:r>
        <w:rPr>
          <w:spacing w:val="-7"/>
        </w:rPr>
        <w:t> </w:t>
      </w:r>
      <w:r>
        <w:rPr>
          <w:spacing w:val="-2"/>
        </w:rPr>
        <w:t>only</w:t>
      </w:r>
      <w:r>
        <w:rPr>
          <w:spacing w:val="-8"/>
        </w:rPr>
        <w:t> </w:t>
      </w:r>
      <w:r>
        <w:rPr>
          <w:spacing w:val="-2"/>
        </w:rPr>
        <w:t>testimonial but</w:t>
      </w:r>
      <w:r>
        <w:rPr>
          <w:spacing w:val="-11"/>
        </w:rPr>
        <w:t> </w:t>
      </w:r>
      <w:r>
        <w:rPr>
          <w:spacing w:val="-2"/>
        </w:rPr>
        <w:t>also</w:t>
      </w:r>
      <w:r>
        <w:rPr>
          <w:spacing w:val="-10"/>
        </w:rPr>
        <w:t> </w:t>
      </w:r>
      <w:r>
        <w:rPr>
          <w:spacing w:val="-2"/>
        </w:rPr>
        <w:t>structurally</w:t>
      </w:r>
      <w:r>
        <w:rPr>
          <w:spacing w:val="-11"/>
        </w:rPr>
        <w:t> </w:t>
      </w:r>
      <w:r>
        <w:rPr>
          <w:spacing w:val="-2"/>
        </w:rPr>
        <w:t>hermeneutical.</w:t>
      </w:r>
      <w:r>
        <w:rPr>
          <w:spacing w:val="-10"/>
        </w:rPr>
        <w:t> </w:t>
      </w:r>
      <w:r>
        <w:rPr>
          <w:spacing w:val="-2"/>
        </w:rPr>
        <w:t>While</w:t>
      </w:r>
      <w:r>
        <w:rPr>
          <w:spacing w:val="-11"/>
        </w:rPr>
        <w:t> </w:t>
      </w:r>
      <w:r>
        <w:rPr>
          <w:spacing w:val="-2"/>
        </w:rPr>
        <w:t>Desdemona</w:t>
      </w:r>
      <w:r>
        <w:rPr>
          <w:spacing w:val="-10"/>
        </w:rPr>
        <w:t> </w:t>
      </w:r>
      <w:r>
        <w:rPr>
          <w:spacing w:val="-2"/>
        </w:rPr>
        <w:t>speaks</w:t>
      </w:r>
      <w:r>
        <w:rPr>
          <w:spacing w:val="-11"/>
        </w:rPr>
        <w:t> </w:t>
      </w:r>
      <w:r>
        <w:rPr>
          <w:spacing w:val="-2"/>
        </w:rPr>
        <w:t>with</w:t>
      </w:r>
      <w:r>
        <w:rPr>
          <w:spacing w:val="-10"/>
        </w:rPr>
        <w:t> </w:t>
      </w:r>
      <w:r>
        <w:rPr>
          <w:spacing w:val="-2"/>
        </w:rPr>
        <w:t>clarity, </w:t>
      </w:r>
      <w:r>
        <w:rPr/>
        <w:t>she does so within a system that has already pre-scripted her as potentially deceptive; her words are interpreted through a prejudicial grid</w:t>
      </w:r>
      <w:r>
        <w:rPr>
          <w:spacing w:val="-13"/>
        </w:rPr>
        <w:t> </w:t>
      </w:r>
      <w:r>
        <w:rPr/>
        <w:t>that</w:t>
      </w:r>
      <w:r>
        <w:rPr>
          <w:spacing w:val="-10"/>
        </w:rPr>
        <w:t> </w:t>
      </w:r>
      <w:r>
        <w:rPr/>
        <w:t>renders</w:t>
      </w:r>
      <w:r>
        <w:rPr>
          <w:spacing w:val="-13"/>
        </w:rPr>
        <w:t> </w:t>
      </w:r>
      <w:r>
        <w:rPr/>
        <w:t>female</w:t>
      </w:r>
      <w:r>
        <w:rPr>
          <w:spacing w:val="-11"/>
        </w:rPr>
        <w:t> </w:t>
      </w:r>
      <w:r>
        <w:rPr/>
        <w:t>testimony</w:t>
      </w:r>
      <w:r>
        <w:rPr>
          <w:spacing w:val="-13"/>
        </w:rPr>
        <w:t> </w:t>
      </w:r>
      <w:r>
        <w:rPr/>
        <w:t>inherently</w:t>
      </w:r>
      <w:r>
        <w:rPr>
          <w:spacing w:val="-12"/>
        </w:rPr>
        <w:t> </w:t>
      </w:r>
      <w:r>
        <w:rPr/>
        <w:t>suspect.</w:t>
      </w:r>
      <w:r>
        <w:rPr>
          <w:spacing w:val="-13"/>
        </w:rPr>
        <w:t> </w:t>
      </w:r>
      <w:r>
        <w:rPr/>
        <w:t>Ophelia,</w:t>
      </w:r>
      <w:r>
        <w:rPr>
          <w:spacing w:val="-9"/>
        </w:rPr>
        <w:t> </w:t>
      </w:r>
      <w:r>
        <w:rPr/>
        <w:t>however, represents an even more profound form of epistemic deprivation: she lacks the interpretive resources to fully comprehend or articulate her own condition. Her madness, therefore, is not merely expressive but </w:t>
      </w:r>
      <w:r>
        <w:rPr>
          <w:spacing w:val="-2"/>
        </w:rPr>
        <w:t>symptomatic</w:t>
      </w:r>
      <w:r>
        <w:rPr>
          <w:spacing w:val="-5"/>
        </w:rPr>
        <w:t> </w:t>
      </w:r>
      <w:r>
        <w:rPr>
          <w:spacing w:val="-2"/>
        </w:rPr>
        <w:t>of</w:t>
      </w:r>
      <w:r>
        <w:rPr>
          <w:spacing w:val="-7"/>
        </w:rPr>
        <w:t> </w:t>
      </w:r>
      <w:r>
        <w:rPr>
          <w:spacing w:val="-2"/>
        </w:rPr>
        <w:t>what</w:t>
      </w:r>
      <w:r>
        <w:rPr>
          <w:spacing w:val="-5"/>
        </w:rPr>
        <w:t> </w:t>
      </w:r>
      <w:r>
        <w:rPr>
          <w:spacing w:val="-2"/>
        </w:rPr>
        <w:t>Fricker</w:t>
      </w:r>
      <w:r>
        <w:rPr>
          <w:spacing w:val="-3"/>
        </w:rPr>
        <w:t> </w:t>
      </w:r>
      <w:r>
        <w:rPr>
          <w:spacing w:val="-2"/>
        </w:rPr>
        <w:t>identifies</w:t>
      </w:r>
      <w:r>
        <w:rPr>
          <w:spacing w:val="-7"/>
        </w:rPr>
        <w:t> </w:t>
      </w:r>
      <w:r>
        <w:rPr>
          <w:spacing w:val="-2"/>
        </w:rPr>
        <w:t>as</w:t>
      </w:r>
      <w:r>
        <w:rPr>
          <w:spacing w:val="-5"/>
        </w:rPr>
        <w:t> </w:t>
      </w:r>
      <w:r>
        <w:rPr>
          <w:spacing w:val="-2"/>
        </w:rPr>
        <w:t>a</w:t>
      </w:r>
      <w:r>
        <w:rPr>
          <w:spacing w:val="-4"/>
        </w:rPr>
        <w:t> </w:t>
      </w:r>
      <w:r>
        <w:rPr>
          <w:spacing w:val="-2"/>
        </w:rPr>
        <w:t>“gap</w:t>
      </w:r>
      <w:r>
        <w:rPr>
          <w:spacing w:val="-3"/>
        </w:rPr>
        <w:t> </w:t>
      </w:r>
      <w:r>
        <w:rPr>
          <w:spacing w:val="-2"/>
        </w:rPr>
        <w:t>in</w:t>
      </w:r>
      <w:r>
        <w:rPr>
          <w:spacing w:val="-7"/>
        </w:rPr>
        <w:t> </w:t>
      </w:r>
      <w:r>
        <w:rPr>
          <w:spacing w:val="-2"/>
        </w:rPr>
        <w:t>collective</w:t>
      </w:r>
      <w:r>
        <w:rPr>
          <w:spacing w:val="-5"/>
        </w:rPr>
        <w:t> </w:t>
      </w:r>
      <w:r>
        <w:rPr>
          <w:spacing w:val="-2"/>
        </w:rPr>
        <w:t>interpretive </w:t>
      </w:r>
      <w:r>
        <w:rPr/>
        <w:t>resources.” In this sense, Ophelia does not simply fail to communicate; she is denied access to a language capable of rendering her experience </w:t>
      </w:r>
      <w:r>
        <w:rPr>
          <w:spacing w:val="-2"/>
        </w:rPr>
        <w:t>intelligible.</w:t>
      </w:r>
      <w:r>
        <w:rPr>
          <w:spacing w:val="-11"/>
        </w:rPr>
        <w:t> </w:t>
      </w:r>
      <w:r>
        <w:rPr>
          <w:spacing w:val="-2"/>
        </w:rPr>
        <w:t>This</w:t>
      </w:r>
      <w:r>
        <w:rPr>
          <w:spacing w:val="-10"/>
        </w:rPr>
        <w:t> </w:t>
      </w:r>
      <w:r>
        <w:rPr>
          <w:spacing w:val="-2"/>
        </w:rPr>
        <w:t>distinction</w:t>
      </w:r>
      <w:r>
        <w:rPr>
          <w:spacing w:val="-11"/>
        </w:rPr>
        <w:t> </w:t>
      </w:r>
      <w:r>
        <w:rPr>
          <w:spacing w:val="-2"/>
        </w:rPr>
        <w:t>is</w:t>
      </w:r>
      <w:r>
        <w:rPr>
          <w:spacing w:val="-10"/>
        </w:rPr>
        <w:t> </w:t>
      </w:r>
      <w:r>
        <w:rPr>
          <w:spacing w:val="-2"/>
        </w:rPr>
        <w:t>crucial,</w:t>
      </w:r>
      <w:r>
        <w:rPr>
          <w:spacing w:val="-11"/>
        </w:rPr>
        <w:t> </w:t>
      </w:r>
      <w:r>
        <w:rPr>
          <w:spacing w:val="-2"/>
        </w:rPr>
        <w:t>for</w:t>
      </w:r>
      <w:r>
        <w:rPr>
          <w:spacing w:val="-10"/>
        </w:rPr>
        <w:t> </w:t>
      </w:r>
      <w:r>
        <w:rPr>
          <w:spacing w:val="-2"/>
        </w:rPr>
        <w:t>it</w:t>
      </w:r>
      <w:r>
        <w:rPr>
          <w:spacing w:val="-11"/>
        </w:rPr>
        <w:t> </w:t>
      </w:r>
      <w:r>
        <w:rPr>
          <w:spacing w:val="-2"/>
        </w:rPr>
        <w:t>highlights</w:t>
      </w:r>
      <w:r>
        <w:rPr>
          <w:spacing w:val="-10"/>
        </w:rPr>
        <w:t> </w:t>
      </w:r>
      <w:r>
        <w:rPr>
          <w:spacing w:val="-2"/>
        </w:rPr>
        <w:t>two</w:t>
      </w:r>
      <w:r>
        <w:rPr>
          <w:spacing w:val="-11"/>
        </w:rPr>
        <w:t> </w:t>
      </w:r>
      <w:r>
        <w:rPr>
          <w:spacing w:val="-2"/>
        </w:rPr>
        <w:t>complementary </w:t>
      </w:r>
      <w:r>
        <w:rPr/>
        <w:t>modes of epistemic injustice: the discrediting of speech and the impossibility of meaningful articulation. Both modes remain deeply relevant in contemporary contexts, where women’s voices are either dismissed</w:t>
      </w:r>
      <w:r>
        <w:rPr>
          <w:spacing w:val="20"/>
        </w:rPr>
        <w:t> </w:t>
      </w:r>
      <w:r>
        <w:rPr/>
        <w:t>outright</w:t>
      </w:r>
      <w:r>
        <w:rPr>
          <w:spacing w:val="18"/>
        </w:rPr>
        <w:t> </w:t>
      </w:r>
      <w:r>
        <w:rPr/>
        <w:t>or</w:t>
      </w:r>
      <w:r>
        <w:rPr>
          <w:spacing w:val="19"/>
        </w:rPr>
        <w:t> </w:t>
      </w:r>
      <w:r>
        <w:rPr/>
        <w:t>constrained</w:t>
      </w:r>
      <w:r>
        <w:rPr>
          <w:spacing w:val="18"/>
        </w:rPr>
        <w:t> </w:t>
      </w:r>
      <w:r>
        <w:rPr/>
        <w:t>by</w:t>
      </w:r>
      <w:r>
        <w:rPr>
          <w:spacing w:val="16"/>
        </w:rPr>
        <w:t> </w:t>
      </w:r>
      <w:r>
        <w:rPr/>
        <w:t>inadequate</w:t>
      </w:r>
      <w:r>
        <w:rPr>
          <w:spacing w:val="19"/>
        </w:rPr>
        <w:t> </w:t>
      </w:r>
      <w:r>
        <w:rPr/>
        <w:t>cultural</w:t>
      </w:r>
      <w:r>
        <w:rPr>
          <w:spacing w:val="19"/>
        </w:rPr>
        <w:t> </w:t>
      </w:r>
      <w:r>
        <w:rPr>
          <w:spacing w:val="-2"/>
        </w:rPr>
        <w:t>vocabularies.</w:t>
      </w:r>
    </w:p>
    <w:p>
      <w:pPr>
        <w:pStyle w:val="BodyText"/>
        <w:spacing w:line="249" w:lineRule="auto" w:before="72"/>
        <w:ind w:right="1438" w:firstLine="432"/>
        <w:jc w:val="both"/>
      </w:pPr>
      <w:r>
        <w:rPr/>
        <w:t>Judith Butler’s theory of performativity further complicates this analysis by foregrounding the regulatory mechanisms that govern gendered behaviour. Both Desdemona and Ophelia are compelled to </w:t>
      </w:r>
      <w:r>
        <w:rPr>
          <w:spacing w:val="-4"/>
        </w:rPr>
        <w:t>perform</w:t>
      </w:r>
      <w:r>
        <w:rPr>
          <w:spacing w:val="-8"/>
        </w:rPr>
        <w:t> </w:t>
      </w:r>
      <w:r>
        <w:rPr>
          <w:spacing w:val="-4"/>
        </w:rPr>
        <w:t>femininity</w:t>
      </w:r>
      <w:r>
        <w:rPr>
          <w:spacing w:val="-9"/>
        </w:rPr>
        <w:t> </w:t>
      </w:r>
      <w:r>
        <w:rPr>
          <w:spacing w:val="-4"/>
        </w:rPr>
        <w:t>within narrowly</w:t>
      </w:r>
      <w:r>
        <w:rPr>
          <w:spacing w:val="-5"/>
        </w:rPr>
        <w:t> </w:t>
      </w:r>
      <w:r>
        <w:rPr>
          <w:spacing w:val="-4"/>
        </w:rPr>
        <w:t>defined parameters,</w:t>
      </w:r>
      <w:r>
        <w:rPr>
          <w:spacing w:val="-8"/>
        </w:rPr>
        <w:t> </w:t>
      </w:r>
      <w:r>
        <w:rPr>
          <w:spacing w:val="-4"/>
        </w:rPr>
        <w:t>and their tragedies </w:t>
      </w:r>
      <w:r>
        <w:rPr/>
        <w:t>emerge from the instability of these performances. Desdemona’s initial assertion</w:t>
      </w:r>
      <w:r>
        <w:rPr>
          <w:spacing w:val="-1"/>
        </w:rPr>
        <w:t> </w:t>
      </w:r>
      <w:r>
        <w:rPr/>
        <w:t>of agency</w:t>
      </w:r>
      <w:r>
        <w:rPr>
          <w:spacing w:val="-3"/>
        </w:rPr>
        <w:t> </w:t>
      </w:r>
      <w:r>
        <w:rPr/>
        <w:t>disrupts the expected script, marking</w:t>
      </w:r>
      <w:r>
        <w:rPr>
          <w:spacing w:val="-1"/>
        </w:rPr>
        <w:t> </w:t>
      </w:r>
      <w:r>
        <w:rPr/>
        <w:t>her as deviant and therefore punishable. Ophelia’s strict adherence to normative </w:t>
      </w:r>
      <w:r>
        <w:rPr>
          <w:spacing w:val="-2"/>
        </w:rPr>
        <w:t>femininity,</w:t>
      </w:r>
      <w:r>
        <w:rPr>
          <w:spacing w:val="-11"/>
        </w:rPr>
        <w:t> </w:t>
      </w:r>
      <w:r>
        <w:rPr>
          <w:spacing w:val="-2"/>
        </w:rPr>
        <w:t>on</w:t>
      </w:r>
      <w:r>
        <w:rPr>
          <w:spacing w:val="-10"/>
        </w:rPr>
        <w:t> </w:t>
      </w:r>
      <w:r>
        <w:rPr>
          <w:spacing w:val="-2"/>
        </w:rPr>
        <w:t>the</w:t>
      </w:r>
      <w:r>
        <w:rPr>
          <w:spacing w:val="-11"/>
        </w:rPr>
        <w:t> </w:t>
      </w:r>
      <w:r>
        <w:rPr>
          <w:spacing w:val="-2"/>
        </w:rPr>
        <w:t>other</w:t>
      </w:r>
      <w:r>
        <w:rPr>
          <w:spacing w:val="-10"/>
        </w:rPr>
        <w:t> </w:t>
      </w:r>
      <w:r>
        <w:rPr>
          <w:spacing w:val="-2"/>
        </w:rPr>
        <w:t>hand,</w:t>
      </w:r>
      <w:r>
        <w:rPr>
          <w:spacing w:val="-11"/>
        </w:rPr>
        <w:t> </w:t>
      </w:r>
      <w:r>
        <w:rPr>
          <w:spacing w:val="-2"/>
        </w:rPr>
        <w:t>exposes</w:t>
      </w:r>
      <w:r>
        <w:rPr>
          <w:spacing w:val="-10"/>
        </w:rPr>
        <w:t> </w:t>
      </w:r>
      <w:r>
        <w:rPr>
          <w:spacing w:val="-2"/>
        </w:rPr>
        <w:t>the</w:t>
      </w:r>
      <w:r>
        <w:rPr>
          <w:spacing w:val="-11"/>
        </w:rPr>
        <w:t> </w:t>
      </w:r>
      <w:r>
        <w:rPr>
          <w:spacing w:val="-2"/>
        </w:rPr>
        <w:t>hollowness</w:t>
      </w:r>
      <w:r>
        <w:rPr>
          <w:spacing w:val="-10"/>
        </w:rPr>
        <w:t> </w:t>
      </w:r>
      <w:r>
        <w:rPr>
          <w:spacing w:val="-2"/>
        </w:rPr>
        <w:t>of</w:t>
      </w:r>
      <w:r>
        <w:rPr>
          <w:spacing w:val="-11"/>
        </w:rPr>
        <w:t> </w:t>
      </w:r>
      <w:r>
        <w:rPr>
          <w:spacing w:val="-2"/>
        </w:rPr>
        <w:t>such</w:t>
      </w:r>
      <w:r>
        <w:rPr>
          <w:spacing w:val="-10"/>
        </w:rPr>
        <w:t> </w:t>
      </w:r>
      <w:r>
        <w:rPr>
          <w:spacing w:val="-2"/>
        </w:rPr>
        <w:t>compliance, </w:t>
      </w:r>
      <w:r>
        <w:rPr/>
        <w:t>as</w:t>
      </w:r>
      <w:r>
        <w:rPr>
          <w:spacing w:val="21"/>
        </w:rPr>
        <w:t> </w:t>
      </w:r>
      <w:r>
        <w:rPr/>
        <w:t>it</w:t>
      </w:r>
      <w:r>
        <w:rPr>
          <w:spacing w:val="24"/>
        </w:rPr>
        <w:t> </w:t>
      </w:r>
      <w:r>
        <w:rPr/>
        <w:t>leaves</w:t>
      </w:r>
      <w:r>
        <w:rPr>
          <w:spacing w:val="22"/>
        </w:rPr>
        <w:t> </w:t>
      </w:r>
      <w:r>
        <w:rPr/>
        <w:t>her</w:t>
      </w:r>
      <w:r>
        <w:rPr>
          <w:spacing w:val="23"/>
        </w:rPr>
        <w:t> </w:t>
      </w:r>
      <w:r>
        <w:rPr/>
        <w:t>without</w:t>
      </w:r>
      <w:r>
        <w:rPr>
          <w:spacing w:val="22"/>
        </w:rPr>
        <w:t> </w:t>
      </w:r>
      <w:r>
        <w:rPr/>
        <w:t>a</w:t>
      </w:r>
      <w:r>
        <w:rPr>
          <w:spacing w:val="25"/>
        </w:rPr>
        <w:t> </w:t>
      </w:r>
      <w:r>
        <w:rPr/>
        <w:t>coherent</w:t>
      </w:r>
      <w:r>
        <w:rPr>
          <w:spacing w:val="26"/>
        </w:rPr>
        <w:t> </w:t>
      </w:r>
      <w:r>
        <w:rPr/>
        <w:t>sense</w:t>
      </w:r>
      <w:r>
        <w:rPr>
          <w:spacing w:val="23"/>
        </w:rPr>
        <w:t> </w:t>
      </w:r>
      <w:r>
        <w:rPr/>
        <w:t>of</w:t>
      </w:r>
      <w:r>
        <w:rPr>
          <w:spacing w:val="22"/>
        </w:rPr>
        <w:t> </w:t>
      </w:r>
      <w:r>
        <w:rPr/>
        <w:t>self.</w:t>
      </w:r>
      <w:r>
        <w:rPr>
          <w:spacing w:val="24"/>
        </w:rPr>
        <w:t> </w:t>
      </w:r>
      <w:r>
        <w:rPr/>
        <w:t>Butler’s</w:t>
      </w:r>
      <w:r>
        <w:rPr>
          <w:spacing w:val="22"/>
        </w:rPr>
        <w:t> </w:t>
      </w:r>
      <w:r>
        <w:rPr/>
        <w:t>insight</w:t>
      </w:r>
      <w:r>
        <w:rPr>
          <w:spacing w:val="24"/>
        </w:rPr>
        <w:t> </w:t>
      </w:r>
      <w:r>
        <w:rPr>
          <w:spacing w:val="-4"/>
        </w:rPr>
        <w:t>that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03392">
                <wp:simplePos x="0" y="0"/>
                <wp:positionH relativeFrom="page">
                  <wp:posOffset>2057400</wp:posOffset>
                </wp:positionH>
                <wp:positionV relativeFrom="paragraph">
                  <wp:posOffset>162604</wp:posOffset>
                </wp:positionV>
                <wp:extent cx="3657600" cy="12700"/>
                <wp:effectExtent l="0" t="0" r="0" b="0"/>
                <wp:wrapTopAndBottom/>
                <wp:docPr id="595" name="Graphic 595"/>
                <wp:cNvGraphicFramePr>
                  <a:graphicFrameLocks/>
                </wp:cNvGraphicFramePr>
                <a:graphic>
                  <a:graphicData uri="http://schemas.microsoft.com/office/word/2010/wordprocessingShape">
                    <wps:wsp>
                      <wps:cNvPr id="595" name="Graphic 59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13088;mso-wrap-distance-left:0;mso-wrap-distance-right:0" id="docshape587" filled="true" fillcolor="#000000" stroked="false">
                <v:fill type="solid"/>
                <w10:wrap type="topAndBottom"/>
              </v:rect>
            </w:pict>
          </mc:Fallback>
        </mc:AlternateContent>
      </w:r>
      <w:r>
        <w:rPr>
          <w:rFonts w:ascii="Verdana"/>
          <w:spacing w:val="-5"/>
          <w:sz w:val="18"/>
        </w:rPr>
        <w:t>288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6"/>
        <w:jc w:val="both"/>
      </w:pPr>
      <w:r>
        <w:rPr/>
        <w:t>gender is sustained through repeated acts allows us to see how both characters</w:t>
      </w:r>
      <w:r>
        <w:rPr>
          <w:spacing w:val="-13"/>
        </w:rPr>
        <w:t> </w:t>
      </w:r>
      <w:r>
        <w:rPr/>
        <w:t>are</w:t>
      </w:r>
      <w:r>
        <w:rPr>
          <w:spacing w:val="-12"/>
        </w:rPr>
        <w:t> </w:t>
      </w:r>
      <w:r>
        <w:rPr/>
        <w:t>trapped</w:t>
      </w:r>
      <w:r>
        <w:rPr>
          <w:spacing w:val="-13"/>
        </w:rPr>
        <w:t> </w:t>
      </w:r>
      <w:r>
        <w:rPr/>
        <w:t>within</w:t>
      </w:r>
      <w:r>
        <w:rPr>
          <w:spacing w:val="-12"/>
        </w:rPr>
        <w:t> </w:t>
      </w:r>
      <w:r>
        <w:rPr/>
        <w:t>performative</w:t>
      </w:r>
      <w:r>
        <w:rPr>
          <w:spacing w:val="-13"/>
        </w:rPr>
        <w:t> </w:t>
      </w:r>
      <w:r>
        <w:rPr/>
        <w:t>loops</w:t>
      </w:r>
      <w:r>
        <w:rPr>
          <w:spacing w:val="-12"/>
        </w:rPr>
        <w:t> </w:t>
      </w:r>
      <w:r>
        <w:rPr/>
        <w:t>that</w:t>
      </w:r>
      <w:r>
        <w:rPr>
          <w:spacing w:val="-13"/>
        </w:rPr>
        <w:t> </w:t>
      </w:r>
      <w:r>
        <w:rPr/>
        <w:t>they</w:t>
      </w:r>
      <w:r>
        <w:rPr>
          <w:spacing w:val="-12"/>
        </w:rPr>
        <w:t> </w:t>
      </w:r>
      <w:r>
        <w:rPr/>
        <w:t>cannot</w:t>
      </w:r>
      <w:r>
        <w:rPr>
          <w:spacing w:val="-13"/>
        </w:rPr>
        <w:t> </w:t>
      </w:r>
      <w:r>
        <w:rPr/>
        <w:t>escape. Their identities are not expressions of</w:t>
      </w:r>
      <w:r>
        <w:rPr>
          <w:spacing w:val="-2"/>
        </w:rPr>
        <w:t> </w:t>
      </w:r>
      <w:r>
        <w:rPr/>
        <w:t>inner truth but effects of external regulation, and when these performances falter—whether through resistance or breakdown—the consequences are catastrophic. In this light, Shakespeare’s tragedies reveal not only the constraints placed upon women but also the fragility of the very structures that enforce those</w:t>
      </w:r>
      <w:r>
        <w:rPr>
          <w:spacing w:val="40"/>
        </w:rPr>
        <w:t> </w:t>
      </w:r>
      <w:r>
        <w:rPr/>
        <w:t>constraints.</w:t>
      </w:r>
    </w:p>
    <w:p>
      <w:pPr>
        <w:pStyle w:val="Heading3"/>
        <w:spacing w:before="160"/>
      </w:pPr>
      <w:r>
        <w:rPr>
          <w:spacing w:val="-2"/>
        </w:rPr>
        <w:t>CONCLUSION</w:t>
      </w:r>
    </w:p>
    <w:p>
      <w:pPr>
        <w:pStyle w:val="BodyText"/>
        <w:spacing w:line="249" w:lineRule="auto" w:before="76"/>
        <w:ind w:right="1440" w:firstLine="432"/>
        <w:jc w:val="both"/>
      </w:pPr>
      <w:r>
        <w:rPr/>
        <w:t>Re-reading</w:t>
      </w:r>
      <w:r>
        <w:rPr>
          <w:spacing w:val="-3"/>
        </w:rPr>
        <w:t> </w:t>
      </w:r>
      <w:r>
        <w:rPr/>
        <w:t>Desdemona</w:t>
      </w:r>
      <w:r>
        <w:rPr>
          <w:spacing w:val="-1"/>
        </w:rPr>
        <w:t> </w:t>
      </w:r>
      <w:r>
        <w:rPr/>
        <w:t>and Ophelia</w:t>
      </w:r>
      <w:r>
        <w:rPr>
          <w:spacing w:val="-2"/>
        </w:rPr>
        <w:t> </w:t>
      </w:r>
      <w:r>
        <w:rPr/>
        <w:t>in</w:t>
      </w:r>
      <w:r>
        <w:rPr>
          <w:spacing w:val="-1"/>
        </w:rPr>
        <w:t> </w:t>
      </w:r>
      <w:r>
        <w:rPr/>
        <w:t>the context</w:t>
      </w:r>
      <w:r>
        <w:rPr>
          <w:spacing w:val="-1"/>
        </w:rPr>
        <w:t> </w:t>
      </w:r>
      <w:r>
        <w:rPr/>
        <w:t>of</w:t>
      </w:r>
      <w:r>
        <w:rPr>
          <w:spacing w:val="-3"/>
        </w:rPr>
        <w:t> </w:t>
      </w:r>
      <w:r>
        <w:rPr/>
        <w:t>the</w:t>
      </w:r>
      <w:r>
        <w:rPr>
          <w:spacing w:val="-1"/>
        </w:rPr>
        <w:t> </w:t>
      </w:r>
      <w:r>
        <w:rPr/>
        <w:t>#MeToo era</w:t>
      </w:r>
      <w:r>
        <w:rPr>
          <w:spacing w:val="-9"/>
        </w:rPr>
        <w:t> </w:t>
      </w:r>
      <w:r>
        <w:rPr/>
        <w:t>reveals</w:t>
      </w:r>
      <w:r>
        <w:rPr>
          <w:spacing w:val="-11"/>
        </w:rPr>
        <w:t> </w:t>
      </w:r>
      <w:r>
        <w:rPr/>
        <w:t>the</w:t>
      </w:r>
      <w:r>
        <w:rPr>
          <w:spacing w:val="-9"/>
        </w:rPr>
        <w:t> </w:t>
      </w:r>
      <w:r>
        <w:rPr/>
        <w:t>enduring</w:t>
      </w:r>
      <w:r>
        <w:rPr>
          <w:spacing w:val="-9"/>
        </w:rPr>
        <w:t> </w:t>
      </w:r>
      <w:r>
        <w:rPr/>
        <w:t>relevance</w:t>
      </w:r>
      <w:r>
        <w:rPr>
          <w:spacing w:val="-10"/>
        </w:rPr>
        <w:t> </w:t>
      </w:r>
      <w:r>
        <w:rPr/>
        <w:t>of</w:t>
      </w:r>
      <w:r>
        <w:rPr>
          <w:spacing w:val="-9"/>
        </w:rPr>
        <w:t> </w:t>
      </w:r>
      <w:r>
        <w:rPr/>
        <w:t>Shakespeare’s</w:t>
      </w:r>
      <w:r>
        <w:rPr>
          <w:spacing w:val="-9"/>
        </w:rPr>
        <w:t> </w:t>
      </w:r>
      <w:r>
        <w:rPr/>
        <w:t>tragedies</w:t>
      </w:r>
      <w:r>
        <w:rPr>
          <w:spacing w:val="-11"/>
        </w:rPr>
        <w:t> </w:t>
      </w:r>
      <w:r>
        <w:rPr/>
        <w:t>as</w:t>
      </w:r>
      <w:r>
        <w:rPr>
          <w:spacing w:val="-9"/>
        </w:rPr>
        <w:t> </w:t>
      </w:r>
      <w:r>
        <w:rPr/>
        <w:t>incisive critiques of patriarchal power. Their narratives do not merely depict individual suffering</w:t>
      </w:r>
      <w:r>
        <w:rPr>
          <w:spacing w:val="-3"/>
        </w:rPr>
        <w:t> </w:t>
      </w:r>
      <w:r>
        <w:rPr/>
        <w:t>but expose</w:t>
      </w:r>
      <w:r>
        <w:rPr>
          <w:spacing w:val="-1"/>
        </w:rPr>
        <w:t> </w:t>
      </w:r>
      <w:r>
        <w:rPr/>
        <w:t>deeply</w:t>
      </w:r>
      <w:r>
        <w:rPr>
          <w:spacing w:val="-1"/>
        </w:rPr>
        <w:t> </w:t>
      </w:r>
      <w:r>
        <w:rPr/>
        <w:t>embedded systems</w:t>
      </w:r>
      <w:r>
        <w:rPr>
          <w:spacing w:val="-3"/>
        </w:rPr>
        <w:t> </w:t>
      </w:r>
      <w:r>
        <w:rPr/>
        <w:t>that discredit women’s voices, regulate their bodies, and normalize their silencing. </w:t>
      </w:r>
      <w:r>
        <w:rPr>
          <w:spacing w:val="-2"/>
        </w:rPr>
        <w:t>Desdemona’s</w:t>
      </w:r>
      <w:r>
        <w:rPr>
          <w:spacing w:val="-11"/>
        </w:rPr>
        <w:t> </w:t>
      </w:r>
      <w:r>
        <w:rPr>
          <w:spacing w:val="-2"/>
        </w:rPr>
        <w:t>articulate</w:t>
      </w:r>
      <w:r>
        <w:rPr>
          <w:spacing w:val="-10"/>
        </w:rPr>
        <w:t> </w:t>
      </w:r>
      <w:r>
        <w:rPr>
          <w:spacing w:val="-2"/>
        </w:rPr>
        <w:t>yet</w:t>
      </w:r>
      <w:r>
        <w:rPr>
          <w:spacing w:val="-11"/>
        </w:rPr>
        <w:t> </w:t>
      </w:r>
      <w:r>
        <w:rPr>
          <w:spacing w:val="-2"/>
        </w:rPr>
        <w:t>disregarded</w:t>
      </w:r>
      <w:r>
        <w:rPr>
          <w:spacing w:val="-10"/>
        </w:rPr>
        <w:t> </w:t>
      </w:r>
      <w:r>
        <w:rPr>
          <w:spacing w:val="-2"/>
        </w:rPr>
        <w:t>speech</w:t>
      </w:r>
      <w:r>
        <w:rPr>
          <w:spacing w:val="-11"/>
        </w:rPr>
        <w:t> </w:t>
      </w:r>
      <w:r>
        <w:rPr>
          <w:spacing w:val="-2"/>
        </w:rPr>
        <w:t>and</w:t>
      </w:r>
      <w:r>
        <w:rPr>
          <w:spacing w:val="-10"/>
        </w:rPr>
        <w:t> </w:t>
      </w:r>
      <w:r>
        <w:rPr>
          <w:spacing w:val="-2"/>
        </w:rPr>
        <w:t>Ophelia’s</w:t>
      </w:r>
      <w:r>
        <w:rPr>
          <w:spacing w:val="-11"/>
        </w:rPr>
        <w:t> </w:t>
      </w:r>
      <w:r>
        <w:rPr>
          <w:spacing w:val="-2"/>
        </w:rPr>
        <w:t>fragmented, </w:t>
      </w:r>
      <w:r>
        <w:rPr/>
        <w:t>indirect expression together illuminate the full spectrum of gendered silencing—one through the denial of credibility, the other through the erosion of voice itself.</w:t>
      </w:r>
    </w:p>
    <w:p>
      <w:pPr>
        <w:pStyle w:val="BodyText"/>
        <w:spacing w:line="249" w:lineRule="auto" w:before="65"/>
        <w:ind w:right="1438" w:firstLine="432"/>
        <w:jc w:val="both"/>
      </w:pPr>
      <w:r>
        <w:rPr/>
        <w:t>These characters compel us to recognize that the mechanisms of injustice they endure are not confined to the early modern period. Rather, they persist in contemporary structures where women’s testimonies are questioned, their autonomy constrained, and their </w:t>
      </w:r>
      <w:r>
        <w:rPr>
          <w:spacing w:val="-2"/>
        </w:rPr>
        <w:t>experiences</w:t>
      </w:r>
      <w:r>
        <w:rPr>
          <w:spacing w:val="-11"/>
        </w:rPr>
        <w:t> </w:t>
      </w:r>
      <w:r>
        <w:rPr>
          <w:spacing w:val="-2"/>
        </w:rPr>
        <w:t>mediated</w:t>
      </w:r>
      <w:r>
        <w:rPr>
          <w:spacing w:val="-10"/>
        </w:rPr>
        <w:t> </w:t>
      </w:r>
      <w:r>
        <w:rPr>
          <w:spacing w:val="-2"/>
        </w:rPr>
        <w:t>through</w:t>
      </w:r>
      <w:r>
        <w:rPr>
          <w:spacing w:val="-11"/>
        </w:rPr>
        <w:t> </w:t>
      </w:r>
      <w:r>
        <w:rPr>
          <w:spacing w:val="-2"/>
        </w:rPr>
        <w:t>dominant</w:t>
      </w:r>
      <w:r>
        <w:rPr>
          <w:spacing w:val="-10"/>
        </w:rPr>
        <w:t> </w:t>
      </w:r>
      <w:r>
        <w:rPr>
          <w:spacing w:val="-2"/>
        </w:rPr>
        <w:t>male</w:t>
      </w:r>
      <w:r>
        <w:rPr>
          <w:spacing w:val="-11"/>
        </w:rPr>
        <w:t> </w:t>
      </w:r>
      <w:r>
        <w:rPr>
          <w:spacing w:val="-2"/>
        </w:rPr>
        <w:t>perspectives.</w:t>
      </w:r>
      <w:r>
        <w:rPr>
          <w:spacing w:val="-10"/>
        </w:rPr>
        <w:t> </w:t>
      </w:r>
      <w:r>
        <w:rPr>
          <w:spacing w:val="-2"/>
        </w:rPr>
        <w:t>Shakespeare’s </w:t>
      </w:r>
      <w:r>
        <w:rPr/>
        <w:t>tragic vision, therefore, anticipates modern feminist concerns with remarkable</w:t>
      </w:r>
      <w:r>
        <w:rPr>
          <w:spacing w:val="-2"/>
        </w:rPr>
        <w:t> </w:t>
      </w:r>
      <w:r>
        <w:rPr/>
        <w:t>clarity,</w:t>
      </w:r>
      <w:r>
        <w:rPr>
          <w:spacing w:val="-3"/>
        </w:rPr>
        <w:t> </w:t>
      </w:r>
      <w:r>
        <w:rPr/>
        <w:t>demonstrating</w:t>
      </w:r>
      <w:r>
        <w:rPr>
          <w:spacing w:val="-3"/>
        </w:rPr>
        <w:t> </w:t>
      </w:r>
      <w:r>
        <w:rPr/>
        <w:t>how</w:t>
      </w:r>
      <w:r>
        <w:rPr>
          <w:spacing w:val="-6"/>
        </w:rPr>
        <w:t> </w:t>
      </w:r>
      <w:r>
        <w:rPr/>
        <w:t>power</w:t>
      </w:r>
      <w:r>
        <w:rPr>
          <w:spacing w:val="-1"/>
        </w:rPr>
        <w:t> </w:t>
      </w:r>
      <w:r>
        <w:rPr/>
        <w:t>operates</w:t>
      </w:r>
      <w:r>
        <w:rPr>
          <w:spacing w:val="-5"/>
        </w:rPr>
        <w:t> </w:t>
      </w:r>
      <w:r>
        <w:rPr/>
        <w:t>not</w:t>
      </w:r>
      <w:r>
        <w:rPr>
          <w:spacing w:val="-3"/>
        </w:rPr>
        <w:t> </w:t>
      </w:r>
      <w:r>
        <w:rPr/>
        <w:t>only</w:t>
      </w:r>
      <w:r>
        <w:rPr>
          <w:spacing w:val="-6"/>
        </w:rPr>
        <w:t> </w:t>
      </w:r>
      <w:r>
        <w:rPr/>
        <w:t>through overt violence but also through subtle forms of epistemic and psychological</w:t>
      </w:r>
      <w:r>
        <w:rPr>
          <w:spacing w:val="40"/>
        </w:rPr>
        <w:t> </w:t>
      </w:r>
      <w:r>
        <w:rPr/>
        <w:t>control.</w:t>
      </w:r>
    </w:p>
    <w:p>
      <w:pPr>
        <w:pStyle w:val="BodyText"/>
        <w:spacing w:line="249" w:lineRule="auto" w:before="67"/>
        <w:ind w:right="1441" w:firstLine="432"/>
        <w:jc w:val="both"/>
      </w:pPr>
      <w:r>
        <w:rPr/>
        <w:t>Ultimately,</w:t>
      </w:r>
      <w:r>
        <w:rPr>
          <w:spacing w:val="-1"/>
        </w:rPr>
        <w:t> </w:t>
      </w:r>
      <w:r>
        <w:rPr/>
        <w:t>Desdemona</w:t>
      </w:r>
      <w:r>
        <w:rPr>
          <w:spacing w:val="-4"/>
        </w:rPr>
        <w:t> </w:t>
      </w:r>
      <w:r>
        <w:rPr/>
        <w:t>and</w:t>
      </w:r>
      <w:r>
        <w:rPr>
          <w:spacing w:val="-1"/>
        </w:rPr>
        <w:t> </w:t>
      </w:r>
      <w:r>
        <w:rPr/>
        <w:t>Ophelia</w:t>
      </w:r>
      <w:r>
        <w:rPr>
          <w:spacing w:val="-4"/>
        </w:rPr>
        <w:t> </w:t>
      </w:r>
      <w:r>
        <w:rPr/>
        <w:t>stand</w:t>
      </w:r>
      <w:r>
        <w:rPr>
          <w:spacing w:val="-1"/>
        </w:rPr>
        <w:t> </w:t>
      </w:r>
      <w:r>
        <w:rPr/>
        <w:t>as</w:t>
      </w:r>
      <w:r>
        <w:rPr>
          <w:spacing w:val="-3"/>
        </w:rPr>
        <w:t> </w:t>
      </w:r>
      <w:r>
        <w:rPr/>
        <w:t>enduring</w:t>
      </w:r>
      <w:r>
        <w:rPr>
          <w:spacing w:val="-4"/>
        </w:rPr>
        <w:t> </w:t>
      </w:r>
      <w:r>
        <w:rPr/>
        <w:t>symbols</w:t>
      </w:r>
      <w:r>
        <w:rPr>
          <w:spacing w:val="-3"/>
        </w:rPr>
        <w:t> </w:t>
      </w:r>
      <w:r>
        <w:rPr/>
        <w:t>of silenced subjectivity. Their stories challenge readers to confront the cultural conditions that enable such silencing and to reimagine a world in</w:t>
      </w:r>
      <w:r>
        <w:rPr>
          <w:spacing w:val="-5"/>
        </w:rPr>
        <w:t> </w:t>
      </w:r>
      <w:r>
        <w:rPr/>
        <w:t>which</w:t>
      </w:r>
      <w:r>
        <w:rPr>
          <w:spacing w:val="-3"/>
        </w:rPr>
        <w:t> </w:t>
      </w:r>
      <w:r>
        <w:rPr/>
        <w:t>women’s</w:t>
      </w:r>
      <w:r>
        <w:rPr>
          <w:spacing w:val="-5"/>
        </w:rPr>
        <w:t> </w:t>
      </w:r>
      <w:r>
        <w:rPr/>
        <w:t>voices</w:t>
      </w:r>
      <w:r>
        <w:rPr>
          <w:spacing w:val="-1"/>
        </w:rPr>
        <w:t> </w:t>
      </w:r>
      <w:r>
        <w:rPr/>
        <w:t>are</w:t>
      </w:r>
      <w:r>
        <w:rPr>
          <w:spacing w:val="-3"/>
        </w:rPr>
        <w:t> </w:t>
      </w:r>
      <w:r>
        <w:rPr/>
        <w:t>not</w:t>
      </w:r>
      <w:r>
        <w:rPr>
          <w:spacing w:val="-1"/>
        </w:rPr>
        <w:t> </w:t>
      </w:r>
      <w:r>
        <w:rPr/>
        <w:t>merely</w:t>
      </w:r>
      <w:r>
        <w:rPr>
          <w:spacing w:val="-6"/>
        </w:rPr>
        <w:t> </w:t>
      </w:r>
      <w:r>
        <w:rPr/>
        <w:t>heard but</w:t>
      </w:r>
      <w:r>
        <w:rPr>
          <w:spacing w:val="-3"/>
        </w:rPr>
        <w:t> </w:t>
      </w:r>
      <w:r>
        <w:rPr/>
        <w:t>believed and</w:t>
      </w:r>
      <w:r>
        <w:rPr>
          <w:spacing w:val="-3"/>
        </w:rPr>
        <w:t> </w:t>
      </w:r>
      <w:r>
        <w:rPr/>
        <w:t>valued. They did</w:t>
      </w:r>
      <w:r>
        <w:rPr>
          <w:spacing w:val="25"/>
        </w:rPr>
        <w:t> </w:t>
      </w:r>
      <w:r>
        <w:rPr/>
        <w:t>not</w:t>
      </w:r>
      <w:r>
        <w:rPr>
          <w:spacing w:val="25"/>
        </w:rPr>
        <w:t> </w:t>
      </w:r>
      <w:r>
        <w:rPr/>
        <w:t>lack</w:t>
      </w:r>
      <w:r>
        <w:rPr>
          <w:spacing w:val="23"/>
        </w:rPr>
        <w:t> </w:t>
      </w:r>
      <w:r>
        <w:rPr/>
        <w:t>voices—they lacked</w:t>
      </w:r>
      <w:r>
        <w:rPr>
          <w:spacing w:val="23"/>
        </w:rPr>
        <w:t> </w:t>
      </w:r>
      <w:r>
        <w:rPr/>
        <w:t>a</w:t>
      </w:r>
      <w:r>
        <w:rPr>
          <w:spacing w:val="23"/>
        </w:rPr>
        <w:t> </w:t>
      </w:r>
      <w:r>
        <w:rPr/>
        <w:t>world</w:t>
      </w:r>
      <w:r>
        <w:rPr>
          <w:spacing w:val="25"/>
        </w:rPr>
        <w:t> </w:t>
      </w:r>
      <w:r>
        <w:rPr/>
        <w:t>willing</w:t>
      </w:r>
      <w:r>
        <w:rPr>
          <w:spacing w:val="23"/>
        </w:rPr>
        <w:t> </w:t>
      </w:r>
      <w:r>
        <w:rPr/>
        <w:t>to</w:t>
      </w:r>
      <w:r>
        <w:rPr>
          <w:spacing w:val="25"/>
        </w:rPr>
        <w:t> </w:t>
      </w:r>
      <w:r>
        <w:rPr/>
        <w:t>hear</w:t>
      </w:r>
      <w:r>
        <w:rPr>
          <w:spacing w:val="23"/>
        </w:rPr>
        <w:t> </w:t>
      </w:r>
      <w:r>
        <w:rPr/>
        <w:t>them.</w:t>
      </w:r>
    </w:p>
    <w:p>
      <w:pPr>
        <w:pStyle w:val="Heading3"/>
        <w:spacing w:before="157"/>
      </w:pPr>
      <w:r>
        <w:rPr>
          <w:w w:val="90"/>
        </w:rPr>
        <w:t>WORKS</w:t>
      </w:r>
      <w:r>
        <w:rPr>
          <w:spacing w:val="6"/>
        </w:rPr>
        <w:t> </w:t>
      </w:r>
      <w:r>
        <w:rPr>
          <w:spacing w:val="-2"/>
          <w:w w:val="95"/>
        </w:rPr>
        <w:t>CITED</w:t>
      </w:r>
    </w:p>
    <w:p>
      <w:pPr>
        <w:pStyle w:val="ListParagraph"/>
        <w:numPr>
          <w:ilvl w:val="0"/>
          <w:numId w:val="63"/>
        </w:numPr>
        <w:tabs>
          <w:tab w:pos="2157" w:val="left" w:leader="none"/>
          <w:tab w:pos="2160" w:val="left" w:leader="none"/>
        </w:tabs>
        <w:spacing w:line="261" w:lineRule="auto" w:before="83" w:after="0"/>
        <w:ind w:left="2160" w:right="1438" w:hanging="315"/>
        <w:jc w:val="left"/>
        <w:rPr>
          <w:sz w:val="19"/>
        </w:rPr>
      </w:pPr>
      <w:r>
        <w:rPr>
          <w:sz w:val="19"/>
        </w:rPr>
        <w:t>Beauvoir, Simone de. </w:t>
      </w:r>
      <w:r>
        <w:rPr>
          <w:i/>
          <w:sz w:val="19"/>
        </w:rPr>
        <w:t>The Second Sex</w:t>
      </w:r>
      <w:r>
        <w:rPr>
          <w:sz w:val="19"/>
        </w:rPr>
        <w:t>. Translated by Constance Borde</w:t>
      </w:r>
      <w:r>
        <w:rPr>
          <w:spacing w:val="40"/>
          <w:sz w:val="19"/>
        </w:rPr>
        <w:t> </w:t>
      </w:r>
      <w:r>
        <w:rPr>
          <w:sz w:val="19"/>
        </w:rPr>
        <w:t>and</w:t>
      </w:r>
      <w:r>
        <w:rPr>
          <w:spacing w:val="40"/>
          <w:sz w:val="19"/>
        </w:rPr>
        <w:t> </w:t>
      </w:r>
      <w:r>
        <w:rPr>
          <w:sz w:val="19"/>
        </w:rPr>
        <w:t>Sheila</w:t>
      </w:r>
      <w:r>
        <w:rPr>
          <w:spacing w:val="40"/>
          <w:sz w:val="19"/>
        </w:rPr>
        <w:t> </w:t>
      </w:r>
      <w:r>
        <w:rPr>
          <w:sz w:val="19"/>
        </w:rPr>
        <w:t>Malovany-Chevallier,</w:t>
      </w:r>
      <w:r>
        <w:rPr>
          <w:spacing w:val="40"/>
          <w:sz w:val="19"/>
        </w:rPr>
        <w:t> </w:t>
      </w:r>
      <w:r>
        <w:rPr>
          <w:sz w:val="19"/>
        </w:rPr>
        <w:t>Vintage,</w:t>
      </w:r>
      <w:r>
        <w:rPr>
          <w:spacing w:val="40"/>
          <w:sz w:val="19"/>
        </w:rPr>
        <w:t> </w:t>
      </w:r>
      <w:r>
        <w:rPr>
          <w:sz w:val="19"/>
        </w:rPr>
        <w:t>2011.</w:t>
      </w:r>
    </w:p>
    <w:p>
      <w:pPr>
        <w:pStyle w:val="ListParagraph"/>
        <w:numPr>
          <w:ilvl w:val="0"/>
          <w:numId w:val="63"/>
        </w:numPr>
        <w:tabs>
          <w:tab w:pos="2157" w:val="left" w:leader="none"/>
          <w:tab w:pos="2160" w:val="left" w:leader="none"/>
        </w:tabs>
        <w:spacing w:line="264" w:lineRule="auto" w:before="56" w:after="0"/>
        <w:ind w:left="2160" w:right="1442" w:hanging="315"/>
        <w:jc w:val="left"/>
        <w:rPr>
          <w:sz w:val="19"/>
        </w:rPr>
      </w:pPr>
      <w:r>
        <w:rPr>
          <w:sz w:val="19"/>
        </w:rPr>
        <w:t>Butler,</w:t>
      </w:r>
      <w:r>
        <w:rPr>
          <w:spacing w:val="40"/>
          <w:sz w:val="19"/>
        </w:rPr>
        <w:t> </w:t>
      </w:r>
      <w:r>
        <w:rPr>
          <w:sz w:val="19"/>
        </w:rPr>
        <w:t>Judith.</w:t>
      </w:r>
      <w:r>
        <w:rPr>
          <w:spacing w:val="40"/>
          <w:sz w:val="19"/>
        </w:rPr>
        <w:t> </w:t>
      </w:r>
      <w:r>
        <w:rPr>
          <w:i/>
          <w:sz w:val="19"/>
        </w:rPr>
        <w:t>Gender</w:t>
      </w:r>
      <w:r>
        <w:rPr>
          <w:i/>
          <w:spacing w:val="40"/>
          <w:sz w:val="19"/>
        </w:rPr>
        <w:t> </w:t>
      </w:r>
      <w:r>
        <w:rPr>
          <w:i/>
          <w:sz w:val="19"/>
        </w:rPr>
        <w:t>Trouble:</w:t>
      </w:r>
      <w:r>
        <w:rPr>
          <w:i/>
          <w:spacing w:val="40"/>
          <w:sz w:val="19"/>
        </w:rPr>
        <w:t> </w:t>
      </w:r>
      <w:r>
        <w:rPr>
          <w:i/>
          <w:sz w:val="19"/>
        </w:rPr>
        <w:t>Feminism</w:t>
      </w:r>
      <w:r>
        <w:rPr>
          <w:i/>
          <w:spacing w:val="38"/>
          <w:sz w:val="19"/>
        </w:rPr>
        <w:t> </w:t>
      </w:r>
      <w:r>
        <w:rPr>
          <w:i/>
          <w:sz w:val="19"/>
        </w:rPr>
        <w:t>and</w:t>
      </w:r>
      <w:r>
        <w:rPr>
          <w:i/>
          <w:spacing w:val="40"/>
          <w:sz w:val="19"/>
        </w:rPr>
        <w:t> </w:t>
      </w:r>
      <w:r>
        <w:rPr>
          <w:i/>
          <w:sz w:val="19"/>
        </w:rPr>
        <w:t>the</w:t>
      </w:r>
      <w:r>
        <w:rPr>
          <w:i/>
          <w:spacing w:val="40"/>
          <w:sz w:val="19"/>
        </w:rPr>
        <w:t> </w:t>
      </w:r>
      <w:r>
        <w:rPr>
          <w:i/>
          <w:sz w:val="19"/>
        </w:rPr>
        <w:t>Subversion of</w:t>
      </w:r>
      <w:r>
        <w:rPr>
          <w:i/>
          <w:spacing w:val="40"/>
          <w:sz w:val="19"/>
        </w:rPr>
        <w:t> </w:t>
      </w:r>
      <w:r>
        <w:rPr>
          <w:i/>
          <w:sz w:val="19"/>
        </w:rPr>
        <w:t>Identity</w:t>
      </w:r>
      <w:r>
        <w:rPr>
          <w:sz w:val="19"/>
        </w:rPr>
        <w:t>.</w:t>
      </w:r>
      <w:r>
        <w:rPr>
          <w:spacing w:val="40"/>
          <w:sz w:val="19"/>
        </w:rPr>
        <w:t> </w:t>
      </w:r>
      <w:r>
        <w:rPr>
          <w:sz w:val="19"/>
        </w:rPr>
        <w:t>Routledge,</w:t>
      </w:r>
      <w:r>
        <w:rPr>
          <w:spacing w:val="40"/>
          <w:sz w:val="19"/>
        </w:rPr>
        <w:t> </w:t>
      </w:r>
      <w:r>
        <w:rPr>
          <w:sz w:val="19"/>
        </w:rPr>
        <w:t>1990.</w:t>
      </w:r>
    </w:p>
    <w:p>
      <w:pPr>
        <w:pStyle w:val="ListParagraph"/>
        <w:spacing w:after="0" w:line="264" w:lineRule="auto"/>
        <w:jc w:val="left"/>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1" w:val="left" w:leader="none"/>
        </w:tabs>
        <w:spacing w:before="0"/>
        <w:ind w:left="0" w:right="3"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03904">
                <wp:simplePos x="0" y="0"/>
                <wp:positionH relativeFrom="page">
                  <wp:posOffset>2065020</wp:posOffset>
                </wp:positionH>
                <wp:positionV relativeFrom="paragraph">
                  <wp:posOffset>162604</wp:posOffset>
                </wp:positionV>
                <wp:extent cx="3657600" cy="12700"/>
                <wp:effectExtent l="0" t="0" r="0" b="0"/>
                <wp:wrapTopAndBottom/>
                <wp:docPr id="596" name="Graphic 596"/>
                <wp:cNvGraphicFramePr>
                  <a:graphicFrameLocks/>
                </wp:cNvGraphicFramePr>
                <a:graphic>
                  <a:graphicData uri="http://schemas.microsoft.com/office/word/2010/wordprocessingShape">
                    <wps:wsp>
                      <wps:cNvPr id="596" name="Graphic 59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512576;mso-wrap-distance-left:0;mso-wrap-distance-right:0" id="docshape588" filled="true" fillcolor="#000000" stroked="false">
                <v:fill type="solid"/>
                <w10:wrap type="topAndBottom"/>
              </v:rect>
            </w:pict>
          </mc:Fallback>
        </mc:AlternateContent>
      </w:r>
      <w:r>
        <w:rPr>
          <w:rFonts w:ascii="Verdana"/>
          <w:sz w:val="18"/>
        </w:rPr>
        <w:t>Epistemic</w:t>
      </w:r>
      <w:r>
        <w:rPr>
          <w:rFonts w:ascii="Verdana"/>
          <w:spacing w:val="-3"/>
          <w:sz w:val="18"/>
        </w:rPr>
        <w:t> </w:t>
      </w:r>
      <w:r>
        <w:rPr>
          <w:rFonts w:ascii="Verdana"/>
          <w:sz w:val="18"/>
        </w:rPr>
        <w:t>Injustice,</w:t>
      </w:r>
      <w:r>
        <w:rPr>
          <w:rFonts w:ascii="Verdana"/>
          <w:spacing w:val="-5"/>
          <w:sz w:val="18"/>
        </w:rPr>
        <w:t> </w:t>
      </w:r>
      <w:r>
        <w:rPr>
          <w:rFonts w:ascii="Verdana"/>
          <w:sz w:val="18"/>
        </w:rPr>
        <w:t>Gendered</w:t>
      </w:r>
      <w:r>
        <w:rPr>
          <w:rFonts w:ascii="Verdana"/>
          <w:spacing w:val="-3"/>
          <w:sz w:val="18"/>
        </w:rPr>
        <w:t> </w:t>
      </w:r>
      <w:r>
        <w:rPr>
          <w:rFonts w:ascii="Verdana"/>
          <w:sz w:val="18"/>
        </w:rPr>
        <w:t>Silencing,</w:t>
      </w:r>
      <w:r>
        <w:rPr>
          <w:rFonts w:ascii="Verdana"/>
          <w:spacing w:val="-5"/>
          <w:sz w:val="18"/>
        </w:rPr>
        <w:t> </w:t>
      </w:r>
      <w:r>
        <w:rPr>
          <w:rFonts w:ascii="Verdana"/>
          <w:sz w:val="18"/>
        </w:rPr>
        <w:t>and</w:t>
      </w:r>
      <w:r>
        <w:rPr>
          <w:rFonts w:ascii="Verdana"/>
          <w:spacing w:val="-3"/>
          <w:sz w:val="18"/>
        </w:rPr>
        <w:t> </w:t>
      </w:r>
      <w:r>
        <w:rPr>
          <w:rFonts w:ascii="Verdana"/>
          <w:spacing w:val="-2"/>
          <w:sz w:val="18"/>
        </w:rPr>
        <w:t>Testimony...</w:t>
      </w:r>
      <w:r>
        <w:rPr>
          <w:rFonts w:ascii="Verdana"/>
          <w:sz w:val="18"/>
        </w:rPr>
        <w:tab/>
      </w:r>
      <w:r>
        <w:rPr>
          <w:rFonts w:ascii="Verdana"/>
          <w:spacing w:val="-5"/>
          <w:sz w:val="18"/>
        </w:rPr>
        <w:t>289</w:t>
      </w:r>
    </w:p>
    <w:p>
      <w:pPr>
        <w:pStyle w:val="ListParagraph"/>
        <w:numPr>
          <w:ilvl w:val="0"/>
          <w:numId w:val="63"/>
        </w:numPr>
        <w:tabs>
          <w:tab w:pos="2157" w:val="left" w:leader="none"/>
          <w:tab w:pos="2160" w:val="left" w:leader="none"/>
        </w:tabs>
        <w:spacing w:line="261" w:lineRule="auto" w:before="199" w:after="0"/>
        <w:ind w:left="2160" w:right="1441" w:hanging="315"/>
        <w:jc w:val="left"/>
        <w:rPr>
          <w:sz w:val="19"/>
        </w:rPr>
      </w:pPr>
      <w:r>
        <w:rPr>
          <w:sz w:val="19"/>
        </w:rPr>
        <w:t>Fricker,</w:t>
      </w:r>
      <w:r>
        <w:rPr>
          <w:spacing w:val="27"/>
          <w:sz w:val="19"/>
        </w:rPr>
        <w:t> </w:t>
      </w:r>
      <w:r>
        <w:rPr>
          <w:sz w:val="19"/>
        </w:rPr>
        <w:t>Miranda.</w:t>
      </w:r>
      <w:r>
        <w:rPr>
          <w:spacing w:val="29"/>
          <w:sz w:val="19"/>
        </w:rPr>
        <w:t> </w:t>
      </w:r>
      <w:r>
        <w:rPr>
          <w:i/>
          <w:sz w:val="19"/>
        </w:rPr>
        <w:t>Epistemic</w:t>
      </w:r>
      <w:r>
        <w:rPr>
          <w:i/>
          <w:spacing w:val="27"/>
          <w:sz w:val="19"/>
        </w:rPr>
        <w:t> </w:t>
      </w:r>
      <w:r>
        <w:rPr>
          <w:i/>
          <w:sz w:val="19"/>
        </w:rPr>
        <w:t>Injustice:</w:t>
      </w:r>
      <w:r>
        <w:rPr>
          <w:i/>
          <w:spacing w:val="28"/>
          <w:sz w:val="19"/>
        </w:rPr>
        <w:t> </w:t>
      </w:r>
      <w:r>
        <w:rPr>
          <w:i/>
          <w:sz w:val="19"/>
        </w:rPr>
        <w:t>Power</w:t>
      </w:r>
      <w:r>
        <w:rPr>
          <w:i/>
          <w:spacing w:val="27"/>
          <w:sz w:val="19"/>
        </w:rPr>
        <w:t> </w:t>
      </w:r>
      <w:r>
        <w:rPr>
          <w:i/>
          <w:sz w:val="19"/>
        </w:rPr>
        <w:t>and</w:t>
      </w:r>
      <w:r>
        <w:rPr>
          <w:i/>
          <w:spacing w:val="31"/>
          <w:sz w:val="19"/>
        </w:rPr>
        <w:t> </w:t>
      </w:r>
      <w:r>
        <w:rPr>
          <w:i/>
          <w:sz w:val="19"/>
        </w:rPr>
        <w:t>the</w:t>
      </w:r>
      <w:r>
        <w:rPr>
          <w:i/>
          <w:spacing w:val="27"/>
          <w:sz w:val="19"/>
        </w:rPr>
        <w:t> </w:t>
      </w:r>
      <w:r>
        <w:rPr>
          <w:i/>
          <w:sz w:val="19"/>
        </w:rPr>
        <w:t>Ethics</w:t>
      </w:r>
      <w:r>
        <w:rPr>
          <w:i/>
          <w:spacing w:val="29"/>
          <w:sz w:val="19"/>
        </w:rPr>
        <w:t> </w:t>
      </w:r>
      <w:r>
        <w:rPr>
          <w:i/>
          <w:sz w:val="19"/>
        </w:rPr>
        <w:t>of Knowing</w:t>
      </w:r>
      <w:r>
        <w:rPr>
          <w:sz w:val="19"/>
        </w:rPr>
        <w:t>.</w:t>
      </w:r>
      <w:r>
        <w:rPr>
          <w:spacing w:val="40"/>
          <w:sz w:val="19"/>
        </w:rPr>
        <w:t> </w:t>
      </w:r>
      <w:r>
        <w:rPr>
          <w:sz w:val="19"/>
        </w:rPr>
        <w:t>Oxford</w:t>
      </w:r>
      <w:r>
        <w:rPr>
          <w:spacing w:val="40"/>
          <w:sz w:val="19"/>
        </w:rPr>
        <w:t> </w:t>
      </w:r>
      <w:r>
        <w:rPr>
          <w:sz w:val="19"/>
        </w:rPr>
        <w:t>UP,</w:t>
      </w:r>
      <w:r>
        <w:rPr>
          <w:spacing w:val="40"/>
          <w:sz w:val="19"/>
        </w:rPr>
        <w:t> </w:t>
      </w:r>
      <w:r>
        <w:rPr>
          <w:sz w:val="19"/>
        </w:rPr>
        <w:t>2007.</w:t>
      </w:r>
    </w:p>
    <w:p>
      <w:pPr>
        <w:pStyle w:val="ListParagraph"/>
        <w:numPr>
          <w:ilvl w:val="0"/>
          <w:numId w:val="63"/>
        </w:numPr>
        <w:tabs>
          <w:tab w:pos="2157" w:val="left" w:leader="none"/>
          <w:tab w:pos="2160" w:val="left" w:leader="none"/>
        </w:tabs>
        <w:spacing w:line="264" w:lineRule="auto" w:before="57" w:after="0"/>
        <w:ind w:left="2160" w:right="1440" w:hanging="315"/>
        <w:jc w:val="left"/>
        <w:rPr>
          <w:sz w:val="19"/>
        </w:rPr>
      </w:pPr>
      <w:r>
        <w:rPr>
          <w:sz w:val="19"/>
        </w:rPr>
        <w:t>Hooks,</w:t>
      </w:r>
      <w:r>
        <w:rPr>
          <w:spacing w:val="40"/>
          <w:sz w:val="19"/>
        </w:rPr>
        <w:t> </w:t>
      </w:r>
      <w:r>
        <w:rPr>
          <w:sz w:val="19"/>
        </w:rPr>
        <w:t>bell.</w:t>
      </w:r>
      <w:r>
        <w:rPr>
          <w:spacing w:val="40"/>
          <w:sz w:val="19"/>
        </w:rPr>
        <w:t> </w:t>
      </w:r>
      <w:r>
        <w:rPr>
          <w:i/>
          <w:sz w:val="19"/>
        </w:rPr>
        <w:t>Feminist</w:t>
      </w:r>
      <w:r>
        <w:rPr>
          <w:i/>
          <w:spacing w:val="40"/>
          <w:sz w:val="19"/>
        </w:rPr>
        <w:t> </w:t>
      </w:r>
      <w:r>
        <w:rPr>
          <w:i/>
          <w:sz w:val="19"/>
        </w:rPr>
        <w:t>Theory:</w:t>
      </w:r>
      <w:r>
        <w:rPr>
          <w:i/>
          <w:spacing w:val="39"/>
          <w:sz w:val="19"/>
        </w:rPr>
        <w:t> </w:t>
      </w:r>
      <w:r>
        <w:rPr>
          <w:i/>
          <w:sz w:val="19"/>
        </w:rPr>
        <w:t>From</w:t>
      </w:r>
      <w:r>
        <w:rPr>
          <w:i/>
          <w:spacing w:val="39"/>
          <w:sz w:val="19"/>
        </w:rPr>
        <w:t> </w:t>
      </w:r>
      <w:r>
        <w:rPr>
          <w:i/>
          <w:sz w:val="19"/>
        </w:rPr>
        <w:t>Margin</w:t>
      </w:r>
      <w:r>
        <w:rPr>
          <w:i/>
          <w:spacing w:val="40"/>
          <w:sz w:val="19"/>
        </w:rPr>
        <w:t> </w:t>
      </w:r>
      <w:r>
        <w:rPr>
          <w:i/>
          <w:sz w:val="19"/>
        </w:rPr>
        <w:t>to</w:t>
      </w:r>
      <w:r>
        <w:rPr>
          <w:i/>
          <w:spacing w:val="40"/>
          <w:sz w:val="19"/>
        </w:rPr>
        <w:t> </w:t>
      </w:r>
      <w:r>
        <w:rPr>
          <w:i/>
          <w:sz w:val="19"/>
        </w:rPr>
        <w:t>Center</w:t>
      </w:r>
      <w:r>
        <w:rPr>
          <w:sz w:val="19"/>
        </w:rPr>
        <w:t>.</w:t>
      </w:r>
      <w:r>
        <w:rPr>
          <w:spacing w:val="40"/>
          <w:sz w:val="19"/>
        </w:rPr>
        <w:t> </w:t>
      </w:r>
      <w:r>
        <w:rPr>
          <w:sz w:val="19"/>
        </w:rPr>
        <w:t>South End</w:t>
      </w:r>
      <w:r>
        <w:rPr>
          <w:spacing w:val="40"/>
          <w:sz w:val="19"/>
        </w:rPr>
        <w:t> </w:t>
      </w:r>
      <w:r>
        <w:rPr>
          <w:sz w:val="19"/>
        </w:rPr>
        <w:t>Press,</w:t>
      </w:r>
      <w:r>
        <w:rPr>
          <w:spacing w:val="40"/>
          <w:sz w:val="19"/>
        </w:rPr>
        <w:t> </w:t>
      </w:r>
      <w:r>
        <w:rPr>
          <w:sz w:val="19"/>
        </w:rPr>
        <w:t>1984.</w:t>
      </w:r>
    </w:p>
    <w:p>
      <w:pPr>
        <w:pStyle w:val="ListParagraph"/>
        <w:numPr>
          <w:ilvl w:val="0"/>
          <w:numId w:val="63"/>
        </w:numPr>
        <w:tabs>
          <w:tab w:pos="2157" w:val="left" w:leader="none"/>
        </w:tabs>
        <w:spacing w:line="240" w:lineRule="auto" w:before="54" w:after="0"/>
        <w:ind w:left="2157" w:right="0" w:hanging="312"/>
        <w:jc w:val="left"/>
        <w:rPr>
          <w:sz w:val="19"/>
        </w:rPr>
      </w:pPr>
      <w:r>
        <w:rPr>
          <w:sz w:val="19"/>
        </w:rPr>
        <w:t>Millett,</w:t>
      </w:r>
      <w:r>
        <w:rPr>
          <w:spacing w:val="16"/>
          <w:sz w:val="19"/>
        </w:rPr>
        <w:t> </w:t>
      </w:r>
      <w:r>
        <w:rPr>
          <w:sz w:val="19"/>
        </w:rPr>
        <w:t>Kate.</w:t>
      </w:r>
      <w:r>
        <w:rPr>
          <w:spacing w:val="18"/>
          <w:sz w:val="19"/>
        </w:rPr>
        <w:t> </w:t>
      </w:r>
      <w:r>
        <w:rPr>
          <w:i/>
          <w:sz w:val="19"/>
        </w:rPr>
        <w:t>Sexual</w:t>
      </w:r>
      <w:r>
        <w:rPr>
          <w:i/>
          <w:spacing w:val="17"/>
          <w:sz w:val="19"/>
        </w:rPr>
        <w:t> </w:t>
      </w:r>
      <w:r>
        <w:rPr>
          <w:i/>
          <w:sz w:val="19"/>
        </w:rPr>
        <w:t>Politics</w:t>
      </w:r>
      <w:r>
        <w:rPr>
          <w:sz w:val="19"/>
        </w:rPr>
        <w:t>.</w:t>
      </w:r>
      <w:r>
        <w:rPr>
          <w:spacing w:val="17"/>
          <w:sz w:val="19"/>
        </w:rPr>
        <w:t> </w:t>
      </w:r>
      <w:r>
        <w:rPr>
          <w:sz w:val="19"/>
        </w:rPr>
        <w:t>University</w:t>
      </w:r>
      <w:r>
        <w:rPr>
          <w:spacing w:val="13"/>
          <w:sz w:val="19"/>
        </w:rPr>
        <w:t> </w:t>
      </w:r>
      <w:r>
        <w:rPr>
          <w:sz w:val="19"/>
        </w:rPr>
        <w:t>of</w:t>
      </w:r>
      <w:r>
        <w:rPr>
          <w:spacing w:val="18"/>
          <w:sz w:val="19"/>
        </w:rPr>
        <w:t> </w:t>
      </w:r>
      <w:r>
        <w:rPr>
          <w:sz w:val="19"/>
        </w:rPr>
        <w:t>Illinois</w:t>
      </w:r>
      <w:r>
        <w:rPr>
          <w:spacing w:val="18"/>
          <w:sz w:val="19"/>
        </w:rPr>
        <w:t> </w:t>
      </w:r>
      <w:r>
        <w:rPr>
          <w:sz w:val="19"/>
        </w:rPr>
        <w:t>Press,</w:t>
      </w:r>
      <w:r>
        <w:rPr>
          <w:spacing w:val="18"/>
          <w:sz w:val="19"/>
        </w:rPr>
        <w:t> </w:t>
      </w:r>
      <w:r>
        <w:rPr>
          <w:spacing w:val="-4"/>
          <w:sz w:val="19"/>
        </w:rPr>
        <w:t>2000.</w:t>
      </w:r>
    </w:p>
    <w:p>
      <w:pPr>
        <w:pStyle w:val="ListParagraph"/>
        <w:numPr>
          <w:ilvl w:val="0"/>
          <w:numId w:val="63"/>
        </w:numPr>
        <w:tabs>
          <w:tab w:pos="2157" w:val="left" w:leader="none"/>
          <w:tab w:pos="2160" w:val="left" w:leader="none"/>
        </w:tabs>
        <w:spacing w:line="261" w:lineRule="auto" w:before="77" w:after="0"/>
        <w:ind w:left="2160" w:right="1437" w:hanging="315"/>
        <w:jc w:val="left"/>
        <w:rPr>
          <w:sz w:val="19"/>
        </w:rPr>
      </w:pPr>
      <w:r>
        <w:rPr>
          <w:sz w:val="19"/>
        </w:rPr>
        <w:t>Shakespeare,</w:t>
      </w:r>
      <w:r>
        <w:rPr>
          <w:spacing w:val="40"/>
          <w:sz w:val="19"/>
        </w:rPr>
        <w:t> </w:t>
      </w:r>
      <w:r>
        <w:rPr>
          <w:sz w:val="19"/>
        </w:rPr>
        <w:t>William.</w:t>
      </w:r>
      <w:r>
        <w:rPr>
          <w:spacing w:val="40"/>
          <w:sz w:val="19"/>
        </w:rPr>
        <w:t> </w:t>
      </w:r>
      <w:r>
        <w:rPr>
          <w:i/>
          <w:sz w:val="19"/>
        </w:rPr>
        <w:t>Hamlet</w:t>
      </w:r>
      <w:r>
        <w:rPr>
          <w:sz w:val="19"/>
        </w:rPr>
        <w:t>.</w:t>
      </w:r>
      <w:r>
        <w:rPr>
          <w:spacing w:val="40"/>
          <w:sz w:val="19"/>
        </w:rPr>
        <w:t> </w:t>
      </w:r>
      <w:r>
        <w:rPr>
          <w:sz w:val="19"/>
        </w:rPr>
        <w:t>Edited</w:t>
      </w:r>
      <w:r>
        <w:rPr>
          <w:spacing w:val="40"/>
          <w:sz w:val="19"/>
        </w:rPr>
        <w:t> </w:t>
      </w:r>
      <w:r>
        <w:rPr>
          <w:sz w:val="19"/>
        </w:rPr>
        <w:t>by</w:t>
      </w:r>
      <w:r>
        <w:rPr>
          <w:spacing w:val="40"/>
          <w:sz w:val="19"/>
        </w:rPr>
        <w:t> </w:t>
      </w:r>
      <w:r>
        <w:rPr>
          <w:sz w:val="19"/>
        </w:rPr>
        <w:t>Barbara</w:t>
      </w:r>
      <w:r>
        <w:rPr>
          <w:spacing w:val="40"/>
          <w:sz w:val="19"/>
        </w:rPr>
        <w:t> </w:t>
      </w:r>
      <w:r>
        <w:rPr>
          <w:sz w:val="19"/>
        </w:rPr>
        <w:t>A.</w:t>
      </w:r>
      <w:r>
        <w:rPr>
          <w:spacing w:val="40"/>
          <w:sz w:val="19"/>
        </w:rPr>
        <w:t> </w:t>
      </w:r>
      <w:r>
        <w:rPr>
          <w:sz w:val="19"/>
        </w:rPr>
        <w:t>Mowat and</w:t>
      </w:r>
      <w:r>
        <w:rPr>
          <w:spacing w:val="40"/>
          <w:sz w:val="19"/>
        </w:rPr>
        <w:t> </w:t>
      </w:r>
      <w:r>
        <w:rPr>
          <w:sz w:val="19"/>
        </w:rPr>
        <w:t>Paul</w:t>
      </w:r>
      <w:r>
        <w:rPr>
          <w:spacing w:val="40"/>
          <w:sz w:val="19"/>
        </w:rPr>
        <w:t> </w:t>
      </w:r>
      <w:r>
        <w:rPr>
          <w:sz w:val="19"/>
        </w:rPr>
        <w:t>Werstine,</w:t>
      </w:r>
      <w:r>
        <w:rPr>
          <w:spacing w:val="40"/>
          <w:sz w:val="19"/>
        </w:rPr>
        <w:t> </w:t>
      </w:r>
      <w:r>
        <w:rPr>
          <w:sz w:val="19"/>
        </w:rPr>
        <w:t>Folger</w:t>
      </w:r>
      <w:r>
        <w:rPr>
          <w:spacing w:val="40"/>
          <w:sz w:val="19"/>
        </w:rPr>
        <w:t> </w:t>
      </w:r>
      <w:r>
        <w:rPr>
          <w:sz w:val="19"/>
        </w:rPr>
        <w:t>Shakespeare</w:t>
      </w:r>
      <w:r>
        <w:rPr>
          <w:spacing w:val="40"/>
          <w:sz w:val="19"/>
        </w:rPr>
        <w:t> </w:t>
      </w:r>
      <w:r>
        <w:rPr>
          <w:sz w:val="19"/>
        </w:rPr>
        <w:t>Library,</w:t>
      </w:r>
      <w:r>
        <w:rPr>
          <w:spacing w:val="40"/>
          <w:sz w:val="19"/>
        </w:rPr>
        <w:t> </w:t>
      </w:r>
      <w:r>
        <w:rPr>
          <w:sz w:val="19"/>
        </w:rPr>
        <w:t>2012.</w:t>
      </w:r>
    </w:p>
    <w:p>
      <w:pPr>
        <w:pStyle w:val="ListParagraph"/>
        <w:numPr>
          <w:ilvl w:val="0"/>
          <w:numId w:val="63"/>
        </w:numPr>
        <w:tabs>
          <w:tab w:pos="2157" w:val="left" w:leader="none"/>
          <w:tab w:pos="2160" w:val="left" w:leader="none"/>
        </w:tabs>
        <w:spacing w:line="261" w:lineRule="auto" w:before="59" w:after="0"/>
        <w:ind w:left="2160" w:right="1438" w:hanging="315"/>
        <w:jc w:val="left"/>
        <w:rPr>
          <w:sz w:val="19"/>
        </w:rPr>
      </w:pPr>
      <w:r>
        <w:rPr>
          <w:sz w:val="19"/>
        </w:rPr>
        <w:t>Shakespeare,</w:t>
      </w:r>
      <w:r>
        <w:rPr>
          <w:spacing w:val="40"/>
          <w:sz w:val="19"/>
        </w:rPr>
        <w:t> </w:t>
      </w:r>
      <w:r>
        <w:rPr>
          <w:sz w:val="19"/>
        </w:rPr>
        <w:t>William.</w:t>
      </w:r>
      <w:r>
        <w:rPr>
          <w:spacing w:val="40"/>
          <w:sz w:val="19"/>
        </w:rPr>
        <w:t> </w:t>
      </w:r>
      <w:r>
        <w:rPr>
          <w:i/>
          <w:sz w:val="19"/>
        </w:rPr>
        <w:t>Othello</w:t>
      </w:r>
      <w:r>
        <w:rPr>
          <w:sz w:val="19"/>
        </w:rPr>
        <w:t>.</w:t>
      </w:r>
      <w:r>
        <w:rPr>
          <w:spacing w:val="40"/>
          <w:sz w:val="19"/>
        </w:rPr>
        <w:t> </w:t>
      </w:r>
      <w:r>
        <w:rPr>
          <w:sz w:val="19"/>
        </w:rPr>
        <w:t>Edited</w:t>
      </w:r>
      <w:r>
        <w:rPr>
          <w:spacing w:val="40"/>
          <w:sz w:val="19"/>
        </w:rPr>
        <w:t> </w:t>
      </w:r>
      <w:r>
        <w:rPr>
          <w:sz w:val="19"/>
        </w:rPr>
        <w:t>by</w:t>
      </w:r>
      <w:r>
        <w:rPr>
          <w:spacing w:val="40"/>
          <w:sz w:val="19"/>
        </w:rPr>
        <w:t> </w:t>
      </w:r>
      <w:r>
        <w:rPr>
          <w:sz w:val="19"/>
        </w:rPr>
        <w:t>Barbara</w:t>
      </w:r>
      <w:r>
        <w:rPr>
          <w:spacing w:val="40"/>
          <w:sz w:val="19"/>
        </w:rPr>
        <w:t> </w:t>
      </w:r>
      <w:r>
        <w:rPr>
          <w:sz w:val="19"/>
        </w:rPr>
        <w:t>A.</w:t>
      </w:r>
      <w:r>
        <w:rPr>
          <w:spacing w:val="40"/>
          <w:sz w:val="19"/>
        </w:rPr>
        <w:t> </w:t>
      </w:r>
      <w:r>
        <w:rPr>
          <w:sz w:val="19"/>
        </w:rPr>
        <w:t>Mowat and</w:t>
      </w:r>
      <w:r>
        <w:rPr>
          <w:spacing w:val="40"/>
          <w:sz w:val="19"/>
        </w:rPr>
        <w:t> </w:t>
      </w:r>
      <w:r>
        <w:rPr>
          <w:sz w:val="19"/>
        </w:rPr>
        <w:t>Paul</w:t>
      </w:r>
      <w:r>
        <w:rPr>
          <w:spacing w:val="40"/>
          <w:sz w:val="19"/>
        </w:rPr>
        <w:t> </w:t>
      </w:r>
      <w:r>
        <w:rPr>
          <w:sz w:val="19"/>
        </w:rPr>
        <w:t>Werstine,</w:t>
      </w:r>
      <w:r>
        <w:rPr>
          <w:spacing w:val="40"/>
          <w:sz w:val="19"/>
        </w:rPr>
        <w:t> </w:t>
      </w:r>
      <w:r>
        <w:rPr>
          <w:sz w:val="19"/>
        </w:rPr>
        <w:t>Folger</w:t>
      </w:r>
      <w:r>
        <w:rPr>
          <w:spacing w:val="40"/>
          <w:sz w:val="19"/>
        </w:rPr>
        <w:t> </w:t>
      </w:r>
      <w:r>
        <w:rPr>
          <w:sz w:val="19"/>
        </w:rPr>
        <w:t>Shakespeare</w:t>
      </w:r>
      <w:r>
        <w:rPr>
          <w:spacing w:val="40"/>
          <w:sz w:val="19"/>
        </w:rPr>
        <w:t> </w:t>
      </w:r>
      <w:r>
        <w:rPr>
          <w:sz w:val="19"/>
        </w:rPr>
        <w:t>Library,</w:t>
      </w:r>
      <w:r>
        <w:rPr>
          <w:spacing w:val="40"/>
          <w:sz w:val="19"/>
        </w:rPr>
        <w:t> </w:t>
      </w:r>
      <w:r>
        <w:rPr>
          <w:sz w:val="19"/>
        </w:rPr>
        <w:t>2012.</w:t>
      </w:r>
    </w:p>
    <w:p>
      <w:pPr>
        <w:pStyle w:val="ListParagraph"/>
        <w:spacing w:after="0" w:line="261"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69088">
                <wp:simplePos x="0" y="0"/>
                <wp:positionH relativeFrom="page">
                  <wp:posOffset>2057400</wp:posOffset>
                </wp:positionH>
                <wp:positionV relativeFrom="page">
                  <wp:posOffset>1788723</wp:posOffset>
                </wp:positionV>
                <wp:extent cx="3656965" cy="140335"/>
                <wp:effectExtent l="0" t="0" r="0" b="0"/>
                <wp:wrapNone/>
                <wp:docPr id="597" name="Textbox 597"/>
                <wp:cNvGraphicFramePr>
                  <a:graphicFrameLocks/>
                </wp:cNvGraphicFramePr>
                <a:graphic>
                  <a:graphicData uri="http://schemas.microsoft.com/office/word/2010/wordprocessingShape">
                    <wps:wsp>
                      <wps:cNvPr id="597" name="Textbox 597"/>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290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347392" type="#_x0000_t202" id="docshape589"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290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598" name="Group 598"/>
                <wp:cNvGraphicFramePr>
                  <a:graphicFrameLocks/>
                </wp:cNvGraphicFramePr>
                <a:graphic>
                  <a:graphicData uri="http://schemas.microsoft.com/office/word/2010/wordprocessingGroup">
                    <wpg:wgp>
                      <wpg:cNvPr id="598" name="Group 598"/>
                      <wpg:cNvGrpSpPr/>
                      <wpg:grpSpPr>
                        <a:xfrm>
                          <a:off x="0" y="0"/>
                          <a:ext cx="4044950" cy="699770"/>
                          <a:chExt cx="4044950" cy="699770"/>
                        </a:xfrm>
                      </wpg:grpSpPr>
                      <wps:wsp>
                        <wps:cNvPr id="599" name="Graphic 599"/>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590" coordorigin="0,0" coordsize="6370,1102">
                <v:rect style="position:absolute;left:0;top:0;width:6370;height:1102" id="docshape591"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04928">
                <wp:simplePos x="0" y="0"/>
                <wp:positionH relativeFrom="page">
                  <wp:posOffset>3488435</wp:posOffset>
                </wp:positionH>
                <wp:positionV relativeFrom="paragraph">
                  <wp:posOffset>272922</wp:posOffset>
                </wp:positionV>
                <wp:extent cx="728980" cy="655320"/>
                <wp:effectExtent l="0" t="0" r="0" b="0"/>
                <wp:wrapTopAndBottom/>
                <wp:docPr id="600" name="Group 600"/>
                <wp:cNvGraphicFramePr>
                  <a:graphicFrameLocks/>
                </wp:cNvGraphicFramePr>
                <a:graphic>
                  <a:graphicData uri="http://schemas.microsoft.com/office/word/2010/wordprocessingGroup">
                    <wpg:wgp>
                      <wpg:cNvPr id="600" name="Group 600"/>
                      <wpg:cNvGrpSpPr/>
                      <wpg:grpSpPr>
                        <a:xfrm>
                          <a:off x="0" y="0"/>
                          <a:ext cx="728980" cy="655320"/>
                          <a:chExt cx="728980" cy="655320"/>
                        </a:xfrm>
                      </wpg:grpSpPr>
                      <pic:pic>
                        <pic:nvPicPr>
                          <pic:cNvPr id="601" name="Image 601"/>
                          <pic:cNvPicPr/>
                        </pic:nvPicPr>
                        <pic:blipFill>
                          <a:blip r:embed="rId99" cstate="print"/>
                          <a:stretch>
                            <a:fillRect/>
                          </a:stretch>
                        </pic:blipFill>
                        <pic:spPr>
                          <a:xfrm>
                            <a:off x="0" y="0"/>
                            <a:ext cx="728471" cy="655320"/>
                          </a:xfrm>
                          <a:prstGeom prst="rect">
                            <a:avLst/>
                          </a:prstGeom>
                        </pic:spPr>
                      </pic:pic>
                      <wps:wsp>
                        <wps:cNvPr id="602" name="Textbox 602"/>
                        <wps:cNvSpPr txBox="1"/>
                        <wps:spPr>
                          <a:xfrm>
                            <a:off x="0" y="0"/>
                            <a:ext cx="728980" cy="655320"/>
                          </a:xfrm>
                          <a:prstGeom prst="rect">
                            <a:avLst/>
                          </a:prstGeom>
                        </wps:spPr>
                        <wps:txbx>
                          <w:txbxContent>
                            <w:p>
                              <w:pPr>
                                <w:spacing w:before="350"/>
                                <w:ind w:left="432" w:right="0" w:firstLine="0"/>
                                <w:jc w:val="left"/>
                                <w:rPr>
                                  <w:rFonts w:ascii="Tahoma"/>
                                  <w:b/>
                                  <w:sz w:val="36"/>
                                </w:rPr>
                              </w:pPr>
                              <w:r>
                                <w:rPr>
                                  <w:rFonts w:ascii="Tahoma"/>
                                  <w:b/>
                                  <w:spacing w:val="-5"/>
                                  <w:w w:val="95"/>
                                  <w:sz w:val="36"/>
                                </w:rPr>
                                <w:t>28</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511552;mso-wrap-distance-left:0;mso-wrap-distance-right:0" id="docshapegroup592" coordorigin="5494,430" coordsize="1148,1032">
                <v:shape style="position:absolute;left:5493;top:429;width:1148;height:1032" type="#_x0000_t75" id="docshape593" stroked="false">
                  <v:imagedata r:id="rId99" o:title=""/>
                </v:shape>
                <v:shape style="position:absolute;left:5493;top:429;width:1148;height:1032" type="#_x0000_t202" id="docshape594" filled="false" stroked="false">
                  <v:textbox inset="0,0,0,0">
                    <w:txbxContent>
                      <w:p>
                        <w:pPr>
                          <w:spacing w:before="350"/>
                          <w:ind w:left="432" w:right="0" w:firstLine="0"/>
                          <w:jc w:val="left"/>
                          <w:rPr>
                            <w:rFonts w:ascii="Tahoma"/>
                            <w:b/>
                            <w:sz w:val="36"/>
                          </w:rPr>
                        </w:pPr>
                        <w:r>
                          <w:rPr>
                            <w:rFonts w:ascii="Tahoma"/>
                            <w:b/>
                            <w:spacing w:val="-5"/>
                            <w:w w:val="95"/>
                            <w:sz w:val="36"/>
                          </w:rPr>
                          <w:t>28</w:t>
                        </w:r>
                      </w:p>
                    </w:txbxContent>
                  </v:textbox>
                  <w10:wrap type="none"/>
                </v:shape>
                <w10:wrap type="topAndBottom"/>
              </v:group>
            </w:pict>
          </mc:Fallback>
        </mc:AlternateContent>
      </w:r>
    </w:p>
    <w:p>
      <w:pPr>
        <w:pStyle w:val="Heading1"/>
        <w:spacing w:line="211" w:lineRule="auto" w:before="4"/>
        <w:ind w:left="1352" w:right="1356"/>
      </w:pPr>
      <w:r>
        <w:rPr/>
        <w:t>Voices</w:t>
      </w:r>
      <w:r>
        <w:rPr>
          <w:spacing w:val="-13"/>
        </w:rPr>
        <w:t> </w:t>
      </w:r>
      <w:r>
        <w:rPr/>
        <w:t>that</w:t>
      </w:r>
      <w:r>
        <w:rPr>
          <w:spacing w:val="-15"/>
        </w:rPr>
        <w:t> </w:t>
      </w:r>
      <w:r>
        <w:rPr/>
        <w:t>Break</w:t>
      </w:r>
      <w:r>
        <w:rPr>
          <w:spacing w:val="-13"/>
        </w:rPr>
        <w:t> </w:t>
      </w:r>
      <w:r>
        <w:rPr/>
        <w:t>and</w:t>
      </w:r>
      <w:r>
        <w:rPr>
          <w:spacing w:val="-13"/>
        </w:rPr>
        <w:t> </w:t>
      </w:r>
      <w:r>
        <w:rPr/>
        <w:t>Voices</w:t>
      </w:r>
      <w:r>
        <w:rPr>
          <w:spacing w:val="-10"/>
        </w:rPr>
        <w:t> </w:t>
      </w:r>
      <w:r>
        <w:rPr/>
        <w:t>that Bend: A Comparative Study of Ophelia and Desdemona in the</w:t>
      </w:r>
    </w:p>
    <w:p>
      <w:pPr>
        <w:tabs>
          <w:tab w:pos="1972" w:val="left" w:leader="none"/>
          <w:tab w:pos="5759" w:val="left" w:leader="none"/>
        </w:tabs>
        <w:spacing w:line="348" w:lineRule="exact" w:before="0"/>
        <w:ind w:left="0" w:right="0" w:firstLine="0"/>
        <w:jc w:val="center"/>
        <w:rPr>
          <w:rFonts w:ascii="Tahoma"/>
          <w:b/>
          <w:sz w:val="32"/>
        </w:rPr>
      </w:pPr>
      <w:r>
        <w:rPr>
          <w:sz w:val="32"/>
          <w:u w:val="single"/>
        </w:rPr>
        <w:tab/>
      </w:r>
      <w:r>
        <w:rPr>
          <w:rFonts w:ascii="Tahoma"/>
          <w:b/>
          <w:w w:val="90"/>
          <w:sz w:val="32"/>
          <w:u w:val="single"/>
        </w:rPr>
        <w:t>#MeToo</w:t>
      </w:r>
      <w:r>
        <w:rPr>
          <w:rFonts w:ascii="Tahoma"/>
          <w:b/>
          <w:spacing w:val="38"/>
          <w:sz w:val="32"/>
          <w:u w:val="single"/>
        </w:rPr>
        <w:t> </w:t>
      </w:r>
      <w:r>
        <w:rPr>
          <w:rFonts w:ascii="Tahoma"/>
          <w:b/>
          <w:spacing w:val="-5"/>
          <w:sz w:val="32"/>
          <w:u w:val="single"/>
        </w:rPr>
        <w:t>Era</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805440">
                <wp:simplePos x="0" y="0"/>
                <wp:positionH relativeFrom="page">
                  <wp:posOffset>2057400</wp:posOffset>
                </wp:positionH>
                <wp:positionV relativeFrom="paragraph">
                  <wp:posOffset>60051</wp:posOffset>
                </wp:positionV>
                <wp:extent cx="3657600" cy="7620"/>
                <wp:effectExtent l="0" t="0" r="0" b="0"/>
                <wp:wrapTopAndBottom/>
                <wp:docPr id="603" name="Graphic 603"/>
                <wp:cNvGraphicFramePr>
                  <a:graphicFrameLocks/>
                </wp:cNvGraphicFramePr>
                <a:graphic>
                  <a:graphicData uri="http://schemas.microsoft.com/office/word/2010/wordprocessingShape">
                    <wps:wsp>
                      <wps:cNvPr id="603" name="Graphic 603"/>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51pt;width:288.000009pt;height:.59999pt;mso-position-horizontal-relative:page;mso-position-vertical-relative:paragraph;z-index:-15511040;mso-wrap-distance-left:0;mso-wrap-distance-right:0" id="docshape595"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9"/>
        <w:jc w:val="right"/>
        <w:rPr>
          <w:rFonts w:ascii="Times New Roman"/>
        </w:rPr>
      </w:pPr>
      <w:r>
        <w:rPr>
          <w:rFonts w:ascii="Times New Roman"/>
        </w:rPr>
        <w:t>Balendu</w:t>
      </w:r>
      <w:r>
        <w:rPr>
          <w:rFonts w:ascii="Times New Roman"/>
          <w:spacing w:val="57"/>
        </w:rPr>
        <w:t> </w:t>
      </w:r>
      <w:r>
        <w:rPr>
          <w:rFonts w:ascii="Times New Roman"/>
          <w:spacing w:val="-2"/>
        </w:rPr>
        <w:t>Singh</w:t>
      </w:r>
    </w:p>
    <w:p>
      <w:pPr>
        <w:spacing w:before="15"/>
        <w:ind w:left="0" w:right="1440" w:firstLine="0"/>
        <w:jc w:val="right"/>
        <w:rPr>
          <w:i/>
          <w:sz w:val="19"/>
        </w:rPr>
      </w:pPr>
      <w:r>
        <w:rPr>
          <w:i/>
          <w:sz w:val="19"/>
        </w:rPr>
        <w:t>Research</w:t>
      </w:r>
      <w:r>
        <w:rPr>
          <w:i/>
          <w:spacing w:val="55"/>
          <w:sz w:val="19"/>
        </w:rPr>
        <w:t> </w:t>
      </w:r>
      <w:r>
        <w:rPr>
          <w:i/>
          <w:sz w:val="19"/>
        </w:rPr>
        <w:t>Scholar,</w:t>
      </w:r>
      <w:r>
        <w:rPr>
          <w:i/>
          <w:spacing w:val="56"/>
          <w:sz w:val="19"/>
        </w:rPr>
        <w:t> </w:t>
      </w:r>
      <w:r>
        <w:rPr>
          <w:i/>
          <w:sz w:val="19"/>
        </w:rPr>
        <w:t>R.B.S.</w:t>
      </w:r>
      <w:r>
        <w:rPr>
          <w:i/>
          <w:spacing w:val="54"/>
          <w:sz w:val="19"/>
        </w:rPr>
        <w:t> </w:t>
      </w:r>
      <w:r>
        <w:rPr>
          <w:i/>
          <w:sz w:val="19"/>
        </w:rPr>
        <w:t>College</w:t>
      </w:r>
      <w:r>
        <w:rPr>
          <w:i/>
          <w:spacing w:val="55"/>
          <w:sz w:val="19"/>
        </w:rPr>
        <w:t> </w:t>
      </w:r>
      <w:r>
        <w:rPr>
          <w:i/>
          <w:sz w:val="19"/>
        </w:rPr>
        <w:t>(D.B.R.A.U.)</w:t>
      </w:r>
      <w:r>
        <w:rPr>
          <w:i/>
          <w:spacing w:val="51"/>
          <w:sz w:val="19"/>
        </w:rPr>
        <w:t> </w:t>
      </w:r>
      <w:r>
        <w:rPr>
          <w:i/>
          <w:spacing w:val="-4"/>
          <w:sz w:val="19"/>
        </w:rPr>
        <w:t>Agra</w:t>
      </w:r>
    </w:p>
    <w:p>
      <w:pPr>
        <w:pStyle w:val="BodyText"/>
        <w:spacing w:before="161"/>
        <w:ind w:left="0"/>
        <w:rPr>
          <w:i/>
          <w:sz w:val="19"/>
        </w:rPr>
      </w:pPr>
    </w:p>
    <w:p>
      <w:pPr>
        <w:pStyle w:val="Heading3"/>
        <w:spacing w:before="0"/>
      </w:pPr>
      <w:r>
        <w:rPr>
          <w:spacing w:val="-2"/>
        </w:rPr>
        <w:t>ABSTRACT</w:t>
      </w:r>
    </w:p>
    <w:p>
      <w:pPr>
        <w:pStyle w:val="BodyText"/>
        <w:spacing w:line="249" w:lineRule="auto" w:before="75"/>
        <w:ind w:right="1437" w:firstLine="432"/>
        <w:jc w:val="both"/>
      </w:pPr>
      <w:r>
        <w:rPr/>
        <w:t>This</w:t>
      </w:r>
      <w:r>
        <w:rPr>
          <w:spacing w:val="18"/>
        </w:rPr>
        <w:t> </w:t>
      </w:r>
      <w:r>
        <w:rPr/>
        <w:t>paper</w:t>
      </w:r>
      <w:r>
        <w:rPr>
          <w:spacing w:val="19"/>
        </w:rPr>
        <w:t> </w:t>
      </w:r>
      <w:r>
        <w:rPr/>
        <w:t>proceeds from the</w:t>
      </w:r>
      <w:r>
        <w:rPr>
          <w:spacing w:val="19"/>
        </w:rPr>
        <w:t> </w:t>
      </w:r>
      <w:r>
        <w:rPr/>
        <w:t>insight</w:t>
      </w:r>
      <w:r>
        <w:rPr>
          <w:spacing w:val="20"/>
        </w:rPr>
        <w:t> </w:t>
      </w:r>
      <w:r>
        <w:rPr/>
        <w:t>that</w:t>
      </w:r>
      <w:r>
        <w:rPr>
          <w:spacing w:val="18"/>
        </w:rPr>
        <w:t> </w:t>
      </w:r>
      <w:r>
        <w:rPr/>
        <w:t>voice</w:t>
      </w:r>
      <w:r>
        <w:rPr>
          <w:spacing w:val="17"/>
        </w:rPr>
        <w:t> </w:t>
      </w:r>
      <w:r>
        <w:rPr/>
        <w:t>is</w:t>
      </w:r>
      <w:r>
        <w:rPr>
          <w:spacing w:val="18"/>
        </w:rPr>
        <w:t> </w:t>
      </w:r>
      <w:r>
        <w:rPr/>
        <w:t>never</w:t>
      </w:r>
      <w:r>
        <w:rPr>
          <w:spacing w:val="19"/>
        </w:rPr>
        <w:t> </w:t>
      </w:r>
      <w:r>
        <w:rPr/>
        <w:t>neutral; it is shaped, strained, and sometimes shattered by the structures that seek to govern it. Reading the #MeToo era as a moment of collective articulation, the study reconsiders the Elizabethan condition of women, where</w:t>
      </w:r>
      <w:r>
        <w:rPr>
          <w:spacing w:val="-5"/>
        </w:rPr>
        <w:t> </w:t>
      </w:r>
      <w:r>
        <w:rPr/>
        <w:t>silence</w:t>
      </w:r>
      <w:r>
        <w:rPr>
          <w:spacing w:val="-4"/>
        </w:rPr>
        <w:t> </w:t>
      </w:r>
      <w:r>
        <w:rPr/>
        <w:t>was</w:t>
      </w:r>
      <w:r>
        <w:rPr>
          <w:spacing w:val="-3"/>
        </w:rPr>
        <w:t> </w:t>
      </w:r>
      <w:r>
        <w:rPr/>
        <w:t>cultivated</w:t>
      </w:r>
      <w:r>
        <w:rPr>
          <w:spacing w:val="-4"/>
        </w:rPr>
        <w:t> </w:t>
      </w:r>
      <w:r>
        <w:rPr/>
        <w:t>as</w:t>
      </w:r>
      <w:r>
        <w:rPr>
          <w:spacing w:val="-4"/>
        </w:rPr>
        <w:t> </w:t>
      </w:r>
      <w:r>
        <w:rPr/>
        <w:t>virtue</w:t>
      </w:r>
      <w:r>
        <w:rPr>
          <w:spacing w:val="-4"/>
        </w:rPr>
        <w:t> </w:t>
      </w:r>
      <w:r>
        <w:rPr/>
        <w:t>and</w:t>
      </w:r>
      <w:r>
        <w:rPr>
          <w:spacing w:val="-3"/>
        </w:rPr>
        <w:t> </w:t>
      </w:r>
      <w:r>
        <w:rPr/>
        <w:t>obedience</w:t>
      </w:r>
      <w:r>
        <w:rPr>
          <w:spacing w:val="-2"/>
        </w:rPr>
        <w:t> </w:t>
      </w:r>
      <w:r>
        <w:rPr/>
        <w:t>as</w:t>
      </w:r>
      <w:r>
        <w:rPr>
          <w:spacing w:val="-6"/>
        </w:rPr>
        <w:t> </w:t>
      </w:r>
      <w:r>
        <w:rPr/>
        <w:t>identity.</w:t>
      </w:r>
      <w:r>
        <w:rPr>
          <w:spacing w:val="-6"/>
        </w:rPr>
        <w:t> </w:t>
      </w:r>
      <w:r>
        <w:rPr/>
        <w:t>Within this</w:t>
      </w:r>
      <w:r>
        <w:rPr>
          <w:spacing w:val="-8"/>
        </w:rPr>
        <w:t> </w:t>
      </w:r>
      <w:r>
        <w:rPr/>
        <w:t>framework,</w:t>
      </w:r>
      <w:r>
        <w:rPr>
          <w:spacing w:val="-6"/>
        </w:rPr>
        <w:t> </w:t>
      </w:r>
      <w:r>
        <w:rPr/>
        <w:t>the</w:t>
      </w:r>
      <w:r>
        <w:rPr>
          <w:spacing w:val="-8"/>
        </w:rPr>
        <w:t> </w:t>
      </w:r>
      <w:r>
        <w:rPr/>
        <w:t>plays</w:t>
      </w:r>
      <w:r>
        <w:rPr>
          <w:spacing w:val="-8"/>
        </w:rPr>
        <w:t> </w:t>
      </w:r>
      <w:r>
        <w:rPr/>
        <w:t>of</w:t>
      </w:r>
      <w:r>
        <w:rPr>
          <w:spacing w:val="-11"/>
        </w:rPr>
        <w:t> </w:t>
      </w:r>
      <w:r>
        <w:rPr/>
        <w:t>William</w:t>
      </w:r>
      <w:r>
        <w:rPr>
          <w:spacing w:val="-7"/>
        </w:rPr>
        <w:t> </w:t>
      </w:r>
      <w:r>
        <w:rPr/>
        <w:t>Shakespeare</w:t>
      </w:r>
      <w:r>
        <w:rPr>
          <w:spacing w:val="-8"/>
        </w:rPr>
        <w:t> </w:t>
      </w:r>
      <w:r>
        <w:rPr/>
        <w:t>are</w:t>
      </w:r>
      <w:r>
        <w:rPr>
          <w:spacing w:val="-8"/>
        </w:rPr>
        <w:t> </w:t>
      </w:r>
      <w:r>
        <w:rPr/>
        <w:t>approached</w:t>
      </w:r>
      <w:r>
        <w:rPr>
          <w:spacing w:val="-6"/>
        </w:rPr>
        <w:t> </w:t>
      </w:r>
      <w:r>
        <w:rPr/>
        <w:t>not</w:t>
      </w:r>
      <w:r>
        <w:rPr>
          <w:spacing w:val="-8"/>
        </w:rPr>
        <w:t> </w:t>
      </w:r>
      <w:r>
        <w:rPr/>
        <w:t>as distant artefacts but as living texts, wherein female speech oscillates between</w:t>
      </w:r>
      <w:r>
        <w:rPr>
          <w:spacing w:val="-8"/>
        </w:rPr>
        <w:t> </w:t>
      </w:r>
      <w:r>
        <w:rPr/>
        <w:t>expression</w:t>
      </w:r>
      <w:r>
        <w:rPr>
          <w:spacing w:val="-8"/>
        </w:rPr>
        <w:t> </w:t>
      </w:r>
      <w:r>
        <w:rPr/>
        <w:t>and</w:t>
      </w:r>
      <w:r>
        <w:rPr>
          <w:spacing w:val="-8"/>
        </w:rPr>
        <w:t> </w:t>
      </w:r>
      <w:r>
        <w:rPr/>
        <w:t>erasure.</w:t>
      </w:r>
      <w:r>
        <w:rPr>
          <w:spacing w:val="-8"/>
        </w:rPr>
        <w:t> </w:t>
      </w:r>
      <w:r>
        <w:rPr/>
        <w:t>The</w:t>
      </w:r>
      <w:r>
        <w:rPr>
          <w:spacing w:val="-8"/>
        </w:rPr>
        <w:t> </w:t>
      </w:r>
      <w:r>
        <w:rPr/>
        <w:t>figures</w:t>
      </w:r>
      <w:r>
        <w:rPr>
          <w:spacing w:val="-8"/>
        </w:rPr>
        <w:t> </w:t>
      </w:r>
      <w:r>
        <w:rPr/>
        <w:t>of</w:t>
      </w:r>
      <w:r>
        <w:rPr>
          <w:spacing w:val="-11"/>
        </w:rPr>
        <w:t> </w:t>
      </w:r>
      <w:r>
        <w:rPr/>
        <w:t>Ophelia</w:t>
      </w:r>
      <w:r>
        <w:rPr>
          <w:spacing w:val="-8"/>
        </w:rPr>
        <w:t> </w:t>
      </w:r>
      <w:r>
        <w:rPr/>
        <w:t>and</w:t>
      </w:r>
      <w:r>
        <w:rPr>
          <w:spacing w:val="-4"/>
        </w:rPr>
        <w:t> </w:t>
      </w:r>
      <w:r>
        <w:rPr/>
        <w:t>Desdemona are thus examined as contrasting yet complementary paradigms—one embodying the voice that breaks under accumulated repression, the other the voice that bends to endure within constraint. The analysis demonstrates that madness in Ophelia emerges as a fractured language of</w:t>
      </w:r>
      <w:r>
        <w:rPr>
          <w:spacing w:val="-4"/>
        </w:rPr>
        <w:t> </w:t>
      </w:r>
      <w:r>
        <w:rPr/>
        <w:t>protest,</w:t>
      </w:r>
      <w:r>
        <w:rPr>
          <w:spacing w:val="-4"/>
        </w:rPr>
        <w:t> </w:t>
      </w:r>
      <w:r>
        <w:rPr/>
        <w:t>while</w:t>
      </w:r>
      <w:r>
        <w:rPr>
          <w:spacing w:val="-1"/>
        </w:rPr>
        <w:t> </w:t>
      </w:r>
      <w:r>
        <w:rPr/>
        <w:t>submission</w:t>
      </w:r>
      <w:r>
        <w:rPr>
          <w:spacing w:val="-4"/>
        </w:rPr>
        <w:t> </w:t>
      </w:r>
      <w:r>
        <w:rPr/>
        <w:t>in</w:t>
      </w:r>
      <w:r>
        <w:rPr>
          <w:spacing w:val="-5"/>
        </w:rPr>
        <w:t> </w:t>
      </w:r>
      <w:r>
        <w:rPr/>
        <w:t>Desdemona</w:t>
      </w:r>
      <w:r>
        <w:rPr>
          <w:spacing w:val="-2"/>
        </w:rPr>
        <w:t> </w:t>
      </w:r>
      <w:r>
        <w:rPr/>
        <w:t>operates</w:t>
      </w:r>
      <w:r>
        <w:rPr>
          <w:spacing w:val="-4"/>
        </w:rPr>
        <w:t> </w:t>
      </w:r>
      <w:r>
        <w:rPr/>
        <w:t>as</w:t>
      </w:r>
      <w:r>
        <w:rPr>
          <w:spacing w:val="-4"/>
        </w:rPr>
        <w:t> </w:t>
      </w:r>
      <w:r>
        <w:rPr/>
        <w:t>a</w:t>
      </w:r>
      <w:r>
        <w:rPr>
          <w:spacing w:val="-3"/>
        </w:rPr>
        <w:t> </w:t>
      </w:r>
      <w:r>
        <w:rPr/>
        <w:t>mediated</w:t>
      </w:r>
      <w:r>
        <w:rPr>
          <w:spacing w:val="-2"/>
        </w:rPr>
        <w:t> </w:t>
      </w:r>
      <w:r>
        <w:rPr/>
        <w:t>form of</w:t>
      </w:r>
      <w:r>
        <w:rPr>
          <w:spacing w:val="-5"/>
        </w:rPr>
        <w:t> </w:t>
      </w:r>
      <w:r>
        <w:rPr/>
        <w:t>agency.</w:t>
      </w:r>
      <w:r>
        <w:rPr>
          <w:spacing w:val="-5"/>
        </w:rPr>
        <w:t> </w:t>
      </w:r>
      <w:r>
        <w:rPr/>
        <w:t>Comparison</w:t>
      </w:r>
      <w:r>
        <w:rPr>
          <w:spacing w:val="-5"/>
        </w:rPr>
        <w:t> </w:t>
      </w:r>
      <w:r>
        <w:rPr/>
        <w:t>reveals</w:t>
      </w:r>
      <w:r>
        <w:rPr>
          <w:spacing w:val="-4"/>
        </w:rPr>
        <w:t> </w:t>
      </w:r>
      <w:r>
        <w:rPr/>
        <w:t>not</w:t>
      </w:r>
      <w:r>
        <w:rPr>
          <w:spacing w:val="-5"/>
        </w:rPr>
        <w:t> </w:t>
      </w:r>
      <w:r>
        <w:rPr/>
        <w:t>hierarchy</w:t>
      </w:r>
      <w:r>
        <w:rPr>
          <w:spacing w:val="-7"/>
        </w:rPr>
        <w:t> </w:t>
      </w:r>
      <w:r>
        <w:rPr/>
        <w:t>but</w:t>
      </w:r>
      <w:r>
        <w:rPr>
          <w:spacing w:val="-4"/>
        </w:rPr>
        <w:t> </w:t>
      </w:r>
      <w:r>
        <w:rPr/>
        <w:t>condition;</w:t>
      </w:r>
      <w:r>
        <w:rPr>
          <w:spacing w:val="-6"/>
        </w:rPr>
        <w:t> </w:t>
      </w:r>
      <w:r>
        <w:rPr/>
        <w:t>both</w:t>
      </w:r>
      <w:r>
        <w:rPr>
          <w:spacing w:val="-5"/>
        </w:rPr>
        <w:t> </w:t>
      </w:r>
      <w:r>
        <w:rPr/>
        <w:t>figures testify to the costs of inhabiting a gendered order that permits speech only within limits. Hence, the paper argues that the feminine voice, whether broken or bent, is neither absent nor passive; it is a site of tension</w:t>
      </w:r>
      <w:r>
        <w:rPr>
          <w:spacing w:val="-3"/>
        </w:rPr>
        <w:t> </w:t>
      </w:r>
      <w:r>
        <w:rPr/>
        <w:t>where</w:t>
      </w:r>
      <w:r>
        <w:rPr>
          <w:spacing w:val="-2"/>
        </w:rPr>
        <w:t> </w:t>
      </w:r>
      <w:r>
        <w:rPr/>
        <w:t>power</w:t>
      </w:r>
      <w:r>
        <w:rPr>
          <w:spacing w:val="-2"/>
        </w:rPr>
        <w:t> </w:t>
      </w:r>
      <w:r>
        <w:rPr/>
        <w:t>is</w:t>
      </w:r>
      <w:r>
        <w:rPr>
          <w:spacing w:val="-3"/>
        </w:rPr>
        <w:t> </w:t>
      </w:r>
      <w:r>
        <w:rPr/>
        <w:t>both</w:t>
      </w:r>
      <w:r>
        <w:rPr>
          <w:spacing w:val="-5"/>
        </w:rPr>
        <w:t> </w:t>
      </w:r>
      <w:r>
        <w:rPr/>
        <w:t>inscribed</w:t>
      </w:r>
      <w:r>
        <w:rPr>
          <w:spacing w:val="-2"/>
        </w:rPr>
        <w:t> </w:t>
      </w:r>
      <w:r>
        <w:rPr/>
        <w:t>and resisted,</w:t>
      </w:r>
      <w:r>
        <w:rPr>
          <w:spacing w:val="-2"/>
        </w:rPr>
        <w:t> </w:t>
      </w:r>
      <w:r>
        <w:rPr/>
        <w:t>and where</w:t>
      </w:r>
      <w:r>
        <w:rPr>
          <w:spacing w:val="-2"/>
        </w:rPr>
        <w:t> </w:t>
      </w:r>
      <w:r>
        <w:rPr/>
        <w:t>literature anticipates</w:t>
      </w:r>
      <w:r>
        <w:rPr>
          <w:spacing w:val="40"/>
        </w:rPr>
        <w:t> </w:t>
      </w:r>
      <w:r>
        <w:rPr/>
        <w:t>the</w:t>
      </w:r>
      <w:r>
        <w:rPr>
          <w:spacing w:val="40"/>
        </w:rPr>
        <w:t> </w:t>
      </w:r>
      <w:r>
        <w:rPr/>
        <w:t>ethical</w:t>
      </w:r>
      <w:r>
        <w:rPr>
          <w:spacing w:val="40"/>
        </w:rPr>
        <w:t> </w:t>
      </w:r>
      <w:r>
        <w:rPr/>
        <w:t>awakenings</w:t>
      </w:r>
      <w:r>
        <w:rPr>
          <w:spacing w:val="40"/>
        </w:rPr>
        <w:t> </w:t>
      </w:r>
      <w:r>
        <w:rPr/>
        <w:t>of</w:t>
      </w:r>
      <w:r>
        <w:rPr>
          <w:spacing w:val="40"/>
        </w:rPr>
        <w:t> </w:t>
      </w:r>
      <w:r>
        <w:rPr/>
        <w:t>the</w:t>
      </w:r>
      <w:r>
        <w:rPr>
          <w:spacing w:val="40"/>
        </w:rPr>
        <w:t> </w:t>
      </w:r>
      <w:r>
        <w:rPr/>
        <w:t>present</w:t>
      </w:r>
      <w:r>
        <w:rPr>
          <w:spacing w:val="40"/>
        </w:rPr>
        <w:t> </w:t>
      </w:r>
      <w:r>
        <w:rPr/>
        <w:t>age.</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06464">
                <wp:simplePos x="0" y="0"/>
                <wp:positionH relativeFrom="page">
                  <wp:posOffset>2065020</wp:posOffset>
                </wp:positionH>
                <wp:positionV relativeFrom="paragraph">
                  <wp:posOffset>795020</wp:posOffset>
                </wp:positionV>
                <wp:extent cx="3657600" cy="12700"/>
                <wp:effectExtent l="0" t="0" r="0" b="0"/>
                <wp:wrapTopAndBottom/>
                <wp:docPr id="604" name="Graphic 604"/>
                <wp:cNvGraphicFramePr>
                  <a:graphicFrameLocks/>
                </wp:cNvGraphicFramePr>
                <a:graphic>
                  <a:graphicData uri="http://schemas.microsoft.com/office/word/2010/wordprocessingShape">
                    <wps:wsp>
                      <wps:cNvPr id="604" name="Graphic 60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10016;mso-wrap-distance-left:0;mso-wrap-distance-right:0" id="docshape596" filled="true" fillcolor="#000000" stroked="false">
                <v:fill type="solid"/>
                <w10:wrap type="topAndBottom"/>
              </v:rect>
            </w:pict>
          </mc:Fallback>
        </mc:AlternateContent>
      </w:r>
      <w:r>
        <w:rPr>
          <w:rFonts w:ascii="Verdana"/>
          <w:sz w:val="18"/>
        </w:rPr>
        <w:t>Voices</w:t>
      </w:r>
      <w:r>
        <w:rPr>
          <w:rFonts w:ascii="Verdana"/>
          <w:spacing w:val="17"/>
          <w:sz w:val="18"/>
        </w:rPr>
        <w:t> </w:t>
      </w:r>
      <w:r>
        <w:rPr>
          <w:rFonts w:ascii="Verdana"/>
          <w:sz w:val="18"/>
        </w:rPr>
        <w:t>that</w:t>
      </w:r>
      <w:r>
        <w:rPr>
          <w:rFonts w:ascii="Verdana"/>
          <w:spacing w:val="19"/>
          <w:sz w:val="18"/>
        </w:rPr>
        <w:t> </w:t>
      </w:r>
      <w:r>
        <w:rPr>
          <w:rFonts w:ascii="Verdana"/>
          <w:sz w:val="18"/>
        </w:rPr>
        <w:t>Break</w:t>
      </w:r>
      <w:r>
        <w:rPr>
          <w:rFonts w:ascii="Verdana"/>
          <w:spacing w:val="20"/>
          <w:sz w:val="18"/>
        </w:rPr>
        <w:t> </w:t>
      </w:r>
      <w:r>
        <w:rPr>
          <w:rFonts w:ascii="Verdana"/>
          <w:sz w:val="18"/>
        </w:rPr>
        <w:t>and</w:t>
      </w:r>
      <w:r>
        <w:rPr>
          <w:rFonts w:ascii="Verdana"/>
          <w:spacing w:val="20"/>
          <w:sz w:val="18"/>
        </w:rPr>
        <w:t> </w:t>
      </w:r>
      <w:r>
        <w:rPr>
          <w:rFonts w:ascii="Verdana"/>
          <w:sz w:val="18"/>
        </w:rPr>
        <w:t>Voices</w:t>
      </w:r>
      <w:r>
        <w:rPr>
          <w:rFonts w:ascii="Verdana"/>
          <w:spacing w:val="18"/>
          <w:sz w:val="18"/>
        </w:rPr>
        <w:t> </w:t>
      </w:r>
      <w:r>
        <w:rPr>
          <w:rFonts w:ascii="Verdana"/>
          <w:sz w:val="18"/>
        </w:rPr>
        <w:t>that</w:t>
      </w:r>
      <w:r>
        <w:rPr>
          <w:rFonts w:ascii="Verdana"/>
          <w:spacing w:val="19"/>
          <w:sz w:val="18"/>
        </w:rPr>
        <w:t> </w:t>
      </w:r>
      <w:r>
        <w:rPr>
          <w:rFonts w:ascii="Verdana"/>
          <w:spacing w:val="-2"/>
          <w:sz w:val="18"/>
        </w:rPr>
        <w:t>Bend...</w:t>
      </w:r>
      <w:r>
        <w:rPr>
          <w:sz w:val="18"/>
        </w:rPr>
        <w:tab/>
      </w:r>
      <w:r>
        <w:rPr>
          <w:rFonts w:ascii="Verdana"/>
          <w:spacing w:val="-5"/>
          <w:sz w:val="18"/>
        </w:rPr>
        <w:t>291</w:t>
      </w:r>
    </w:p>
    <w:p>
      <w:pPr>
        <w:pStyle w:val="BodyText"/>
        <w:spacing w:line="249" w:lineRule="auto" w:before="192"/>
        <w:ind w:right="1439" w:firstLine="432"/>
        <w:jc w:val="both"/>
      </w:pPr>
      <w:r>
        <w:rPr>
          <w:b/>
          <w:spacing w:val="-8"/>
        </w:rPr>
        <w:t>Keywords:</w:t>
      </w:r>
      <w:r>
        <w:rPr>
          <w:b/>
        </w:rPr>
        <w:t> </w:t>
      </w:r>
      <w:r>
        <w:rPr>
          <w:spacing w:val="-8"/>
        </w:rPr>
        <w:t>#MeToo</w:t>
      </w:r>
      <w:r>
        <w:rPr/>
        <w:t> </w:t>
      </w:r>
      <w:r>
        <w:rPr>
          <w:spacing w:val="-8"/>
        </w:rPr>
        <w:t>Era,</w:t>
      </w:r>
      <w:r>
        <w:rPr/>
        <w:t> </w:t>
      </w:r>
      <w:r>
        <w:rPr>
          <w:spacing w:val="-8"/>
        </w:rPr>
        <w:t>Patriarchal</w:t>
      </w:r>
      <w:r>
        <w:rPr/>
        <w:t> </w:t>
      </w:r>
      <w:r>
        <w:rPr>
          <w:spacing w:val="-8"/>
        </w:rPr>
        <w:t>Discourse,</w:t>
      </w:r>
      <w:r>
        <w:rPr/>
        <w:t> </w:t>
      </w:r>
      <w:r>
        <w:rPr>
          <w:spacing w:val="-8"/>
        </w:rPr>
        <w:t>Female</w:t>
      </w:r>
      <w:r>
        <w:rPr/>
        <w:t> </w:t>
      </w:r>
      <w:r>
        <w:rPr>
          <w:spacing w:val="-8"/>
        </w:rPr>
        <w:t>Voice,</w:t>
      </w:r>
      <w:r>
        <w:rPr/>
        <w:t> </w:t>
      </w:r>
      <w:r>
        <w:rPr>
          <w:spacing w:val="-8"/>
        </w:rPr>
        <w:t>Silence </w:t>
      </w:r>
      <w:r>
        <w:rPr/>
        <w:t>and</w:t>
      </w:r>
      <w:r>
        <w:rPr>
          <w:spacing w:val="40"/>
        </w:rPr>
        <w:t> </w:t>
      </w:r>
      <w:r>
        <w:rPr/>
        <w:t>Agency,</w:t>
      </w:r>
      <w:r>
        <w:rPr>
          <w:spacing w:val="40"/>
        </w:rPr>
        <w:t> </w:t>
      </w:r>
      <w:r>
        <w:rPr/>
        <w:t>Shakespearean</w:t>
      </w:r>
      <w:r>
        <w:rPr>
          <w:spacing w:val="40"/>
        </w:rPr>
        <w:t> </w:t>
      </w:r>
      <w:r>
        <w:rPr/>
        <w:t>Tragedy</w:t>
      </w:r>
    </w:p>
    <w:p>
      <w:pPr>
        <w:pStyle w:val="Heading3"/>
        <w:spacing w:before="155"/>
      </w:pPr>
      <w:r>
        <w:rPr>
          <w:spacing w:val="-2"/>
          <w:w w:val="95"/>
        </w:rPr>
        <w:t>INTRODUCTION</w:t>
      </w:r>
    </w:p>
    <w:p>
      <w:pPr>
        <w:pStyle w:val="BodyText"/>
        <w:spacing w:line="254" w:lineRule="auto" w:before="78"/>
        <w:ind w:right="1435" w:firstLine="432"/>
        <w:jc w:val="both"/>
      </w:pPr>
      <w:r>
        <w:rPr/>
        <w:t>The #MeToo era signifies not a moment, but a movement; not a cry in isolation, but a chorus against long-endured injustice. It arises from the recognition that power, when unchecked, breeds silence, and silence, when prolonged, becomes complicity. In this renewed moral landscape, testimony is transformed into agency, and experience into evidence.</w:t>
      </w:r>
      <w:r>
        <w:rPr>
          <w:spacing w:val="-1"/>
        </w:rPr>
        <w:t> </w:t>
      </w:r>
      <w:r>
        <w:rPr/>
        <w:t>As has been widely observed, “the power of #MeToo lies in its collective visibility” (Banet-Weiser 12), for it converts the private wound</w:t>
      </w:r>
      <w:r>
        <w:rPr>
          <w:spacing w:val="-5"/>
        </w:rPr>
        <w:t> </w:t>
      </w:r>
      <w:r>
        <w:rPr/>
        <w:t>into</w:t>
      </w:r>
      <w:r>
        <w:rPr>
          <w:spacing w:val="-5"/>
        </w:rPr>
        <w:t> </w:t>
      </w:r>
      <w:r>
        <w:rPr/>
        <w:t>a</w:t>
      </w:r>
      <w:r>
        <w:rPr>
          <w:spacing w:val="-2"/>
        </w:rPr>
        <w:t> </w:t>
      </w:r>
      <w:r>
        <w:rPr/>
        <w:t>public</w:t>
      </w:r>
      <w:r>
        <w:rPr>
          <w:spacing w:val="-6"/>
        </w:rPr>
        <w:t> </w:t>
      </w:r>
      <w:r>
        <w:rPr/>
        <w:t>discourse.</w:t>
      </w:r>
      <w:r>
        <w:rPr>
          <w:spacing w:val="-5"/>
        </w:rPr>
        <w:t> </w:t>
      </w:r>
      <w:r>
        <w:rPr/>
        <w:t>The</w:t>
      </w:r>
      <w:r>
        <w:rPr>
          <w:spacing w:val="-5"/>
        </w:rPr>
        <w:t> </w:t>
      </w:r>
      <w:r>
        <w:rPr/>
        <w:t>movement</w:t>
      </w:r>
      <w:r>
        <w:rPr>
          <w:spacing w:val="-3"/>
        </w:rPr>
        <w:t> </w:t>
      </w:r>
      <w:r>
        <w:rPr/>
        <w:t>thus</w:t>
      </w:r>
      <w:r>
        <w:rPr>
          <w:spacing w:val="-7"/>
        </w:rPr>
        <w:t> </w:t>
      </w:r>
      <w:r>
        <w:rPr/>
        <w:t>unsettles</w:t>
      </w:r>
      <w:r>
        <w:rPr>
          <w:spacing w:val="-7"/>
        </w:rPr>
        <w:t> </w:t>
      </w:r>
      <w:r>
        <w:rPr/>
        <w:t>entrenched hierarchies, exposing how structures of gender have historically normalised coercion while delegitimising dissent. Yet, it also reveals a paradox: that speech is liberation, but it is often born of suffering. In</w:t>
      </w:r>
      <w:r>
        <w:rPr>
          <w:spacing w:val="40"/>
        </w:rPr>
        <w:t> </w:t>
      </w:r>
      <w:r>
        <w:rPr/>
        <w:t>the words of Tarana Burke, the movement’s originator, #MeToo was intended to affirm that survivors are “not alone” (Burke 3). Hence, the #MeToo era stands as both indictment and awakening; it teaches that what bends today may break tomorrow, and what breaks may yet become</w:t>
      </w:r>
      <w:r>
        <w:rPr>
          <w:spacing w:val="40"/>
        </w:rPr>
        <w:t> </w:t>
      </w:r>
      <w:r>
        <w:rPr/>
        <w:t>the</w:t>
      </w:r>
      <w:r>
        <w:rPr>
          <w:spacing w:val="40"/>
        </w:rPr>
        <w:t> </w:t>
      </w:r>
      <w:r>
        <w:rPr/>
        <w:t>ground</w:t>
      </w:r>
      <w:r>
        <w:rPr>
          <w:spacing w:val="40"/>
        </w:rPr>
        <w:t> </w:t>
      </w:r>
      <w:r>
        <w:rPr/>
        <w:t>of</w:t>
      </w:r>
      <w:r>
        <w:rPr>
          <w:spacing w:val="40"/>
        </w:rPr>
        <w:t> </w:t>
      </w:r>
      <w:r>
        <w:rPr/>
        <w:t>resistance.</w:t>
      </w:r>
    </w:p>
    <w:p>
      <w:pPr>
        <w:pStyle w:val="BodyText"/>
        <w:spacing w:line="254" w:lineRule="auto" w:before="62"/>
        <w:ind w:right="1437" w:firstLine="432"/>
        <w:jc w:val="both"/>
      </w:pPr>
      <w:r>
        <w:rPr/>
        <w:t>The Elizabethan age, though adorned with the splendour of the Renaissance, rests upon a paradox; it celebrates humanism, yet circumscribes</w:t>
      </w:r>
      <w:r>
        <w:rPr>
          <w:spacing w:val="-4"/>
        </w:rPr>
        <w:t> </w:t>
      </w:r>
      <w:r>
        <w:rPr/>
        <w:t>womanhood.</w:t>
      </w:r>
      <w:r>
        <w:rPr>
          <w:spacing w:val="-2"/>
        </w:rPr>
        <w:t> </w:t>
      </w:r>
      <w:r>
        <w:rPr/>
        <w:t>Progress,</w:t>
      </w:r>
      <w:r>
        <w:rPr>
          <w:spacing w:val="-2"/>
        </w:rPr>
        <w:t> </w:t>
      </w:r>
      <w:r>
        <w:rPr/>
        <w:t>in</w:t>
      </w:r>
      <w:r>
        <w:rPr>
          <w:spacing w:val="-4"/>
        </w:rPr>
        <w:t> </w:t>
      </w:r>
      <w:r>
        <w:rPr/>
        <w:t>such</w:t>
      </w:r>
      <w:r>
        <w:rPr>
          <w:spacing w:val="-4"/>
        </w:rPr>
        <w:t> </w:t>
      </w:r>
      <w:r>
        <w:rPr/>
        <w:t>a</w:t>
      </w:r>
      <w:r>
        <w:rPr>
          <w:spacing w:val="-1"/>
        </w:rPr>
        <w:t> </w:t>
      </w:r>
      <w:r>
        <w:rPr/>
        <w:t>time,</w:t>
      </w:r>
      <w:r>
        <w:rPr>
          <w:spacing w:val="-2"/>
        </w:rPr>
        <w:t> </w:t>
      </w:r>
      <w:r>
        <w:rPr/>
        <w:t>is</w:t>
      </w:r>
      <w:r>
        <w:rPr>
          <w:spacing w:val="-2"/>
        </w:rPr>
        <w:t> </w:t>
      </w:r>
      <w:r>
        <w:rPr/>
        <w:t>uneven—liberty for the mind, but restraint for the female voice. Woman is praised as virtue, yet governed as property; she is idealised in verse, but regulated in life. Conduct books and social codes insist upon obedience as ornament,</w:t>
      </w:r>
      <w:r>
        <w:rPr>
          <w:spacing w:val="-9"/>
        </w:rPr>
        <w:t> </w:t>
      </w:r>
      <w:r>
        <w:rPr/>
        <w:t>teaching</w:t>
      </w:r>
      <w:r>
        <w:rPr>
          <w:spacing w:val="-6"/>
        </w:rPr>
        <w:t> </w:t>
      </w:r>
      <w:r>
        <w:rPr/>
        <w:t>that</w:t>
      </w:r>
      <w:r>
        <w:rPr>
          <w:spacing w:val="-8"/>
        </w:rPr>
        <w:t> </w:t>
      </w:r>
      <w:r>
        <w:rPr/>
        <w:t>silence</w:t>
      </w:r>
      <w:r>
        <w:rPr>
          <w:spacing w:val="-6"/>
        </w:rPr>
        <w:t> </w:t>
      </w:r>
      <w:r>
        <w:rPr/>
        <w:t>is</w:t>
      </w:r>
      <w:r>
        <w:rPr>
          <w:spacing w:val="-6"/>
        </w:rPr>
        <w:t> </w:t>
      </w:r>
      <w:r>
        <w:rPr/>
        <w:t>not</w:t>
      </w:r>
      <w:r>
        <w:rPr>
          <w:spacing w:val="-5"/>
        </w:rPr>
        <w:t> </w:t>
      </w:r>
      <w:r>
        <w:rPr/>
        <w:t>absence,</w:t>
      </w:r>
      <w:r>
        <w:rPr>
          <w:spacing w:val="-5"/>
        </w:rPr>
        <w:t> </w:t>
      </w:r>
      <w:r>
        <w:rPr/>
        <w:t>but</w:t>
      </w:r>
      <w:r>
        <w:rPr>
          <w:spacing w:val="-7"/>
        </w:rPr>
        <w:t> </w:t>
      </w:r>
      <w:r>
        <w:rPr/>
        <w:t>decorum.</w:t>
      </w:r>
      <w:r>
        <w:rPr>
          <w:spacing w:val="-13"/>
        </w:rPr>
        <w:t> </w:t>
      </w:r>
      <w:r>
        <w:rPr/>
        <w:t>As</w:t>
      </w:r>
      <w:r>
        <w:rPr>
          <w:spacing w:val="-9"/>
        </w:rPr>
        <w:t> </w:t>
      </w:r>
      <w:r>
        <w:rPr/>
        <w:t>William Gouge observes, “the wife must submit herself to her husband, as unto the Lord” (Gouge 233), thus aligning domestic order with divine ordinance. Marriage, therefore, becomes less a union of equals than a hierarchy</w:t>
      </w:r>
      <w:r>
        <w:rPr>
          <w:spacing w:val="-9"/>
        </w:rPr>
        <w:t> </w:t>
      </w:r>
      <w:r>
        <w:rPr/>
        <w:t>of</w:t>
      </w:r>
      <w:r>
        <w:rPr>
          <w:spacing w:val="-7"/>
        </w:rPr>
        <w:t> </w:t>
      </w:r>
      <w:r>
        <w:rPr/>
        <w:t>control,</w:t>
      </w:r>
      <w:r>
        <w:rPr>
          <w:spacing w:val="-7"/>
        </w:rPr>
        <w:t> </w:t>
      </w:r>
      <w:r>
        <w:rPr/>
        <w:t>where</w:t>
      </w:r>
      <w:r>
        <w:rPr>
          <w:spacing w:val="-7"/>
        </w:rPr>
        <w:t> </w:t>
      </w:r>
      <w:r>
        <w:rPr/>
        <w:t>chastity</w:t>
      </w:r>
      <w:r>
        <w:rPr>
          <w:spacing w:val="-9"/>
        </w:rPr>
        <w:t> </w:t>
      </w:r>
      <w:r>
        <w:rPr/>
        <w:t>is</w:t>
      </w:r>
      <w:r>
        <w:rPr>
          <w:spacing w:val="-7"/>
        </w:rPr>
        <w:t> </w:t>
      </w:r>
      <w:r>
        <w:rPr/>
        <w:t>currency</w:t>
      </w:r>
      <w:r>
        <w:rPr>
          <w:spacing w:val="-9"/>
        </w:rPr>
        <w:t> </w:t>
      </w:r>
      <w:r>
        <w:rPr/>
        <w:t>and</w:t>
      </w:r>
      <w:r>
        <w:rPr>
          <w:spacing w:val="-5"/>
        </w:rPr>
        <w:t> </w:t>
      </w:r>
      <w:r>
        <w:rPr/>
        <w:t>reputation</w:t>
      </w:r>
      <w:r>
        <w:rPr>
          <w:spacing w:val="-7"/>
        </w:rPr>
        <w:t> </w:t>
      </w:r>
      <w:r>
        <w:rPr/>
        <w:t>its</w:t>
      </w:r>
      <w:r>
        <w:rPr>
          <w:spacing w:val="-7"/>
        </w:rPr>
        <w:t> </w:t>
      </w:r>
      <w:r>
        <w:rPr/>
        <w:t>fragile keeper. Even sovereignty, embodied in Elizabeth I, does not wholly unsettle this norm; her exceptional authority</w:t>
      </w:r>
      <w:r>
        <w:rPr>
          <w:spacing w:val="-1"/>
        </w:rPr>
        <w:t> </w:t>
      </w:r>
      <w:r>
        <w:rPr/>
        <w:t>proves the rule rather than erases it. In such a milieu, the female self is trained to bend before it</w:t>
      </w:r>
      <w:r>
        <w:rPr>
          <w:spacing w:val="40"/>
        </w:rPr>
        <w:t> </w:t>
      </w:r>
      <w:r>
        <w:rPr/>
        <w:t>can break, for, as critics note, “women were constructed as the ‘weaker vessel,’ both morally and physically” (Amussen 48). Hence, the Elizabethan</w:t>
      </w:r>
      <w:r>
        <w:rPr>
          <w:spacing w:val="-2"/>
        </w:rPr>
        <w:t> </w:t>
      </w:r>
      <w:r>
        <w:rPr/>
        <w:t>world shapes its women</w:t>
      </w:r>
      <w:r>
        <w:rPr>
          <w:spacing w:val="-2"/>
        </w:rPr>
        <w:t> </w:t>
      </w:r>
      <w:r>
        <w:rPr/>
        <w:t>through</w:t>
      </w:r>
      <w:r>
        <w:rPr>
          <w:spacing w:val="-2"/>
        </w:rPr>
        <w:t> </w:t>
      </w:r>
      <w:r>
        <w:rPr/>
        <w:t>discipline and decorum;</w:t>
      </w:r>
      <w:r>
        <w:rPr>
          <w:spacing w:val="-1"/>
        </w:rPr>
        <w:t> </w:t>
      </w:r>
      <w:r>
        <w:rPr/>
        <w:t>it grants them presence, but withholds autonomy, rendering their voices cautious,</w:t>
      </w:r>
      <w:r>
        <w:rPr>
          <w:spacing w:val="40"/>
        </w:rPr>
        <w:t> </w:t>
      </w:r>
      <w:r>
        <w:rPr/>
        <w:t>mediated,</w:t>
      </w:r>
      <w:r>
        <w:rPr>
          <w:spacing w:val="40"/>
        </w:rPr>
        <w:t> </w:t>
      </w:r>
      <w:r>
        <w:rPr/>
        <w:t>and</w:t>
      </w:r>
      <w:r>
        <w:rPr>
          <w:spacing w:val="40"/>
        </w:rPr>
        <w:t> </w:t>
      </w:r>
      <w:r>
        <w:rPr/>
        <w:t>often</w:t>
      </w:r>
      <w:r>
        <w:rPr>
          <w:spacing w:val="40"/>
        </w:rPr>
        <w:t> </w:t>
      </w:r>
      <w:r>
        <w:rPr/>
        <w:t>unheard.</w:t>
      </w:r>
    </w:p>
    <w:p>
      <w:pPr>
        <w:pStyle w:val="BodyText"/>
        <w:spacing w:after="0" w:line="25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06976">
                <wp:simplePos x="0" y="0"/>
                <wp:positionH relativeFrom="page">
                  <wp:posOffset>2057400</wp:posOffset>
                </wp:positionH>
                <wp:positionV relativeFrom="paragraph">
                  <wp:posOffset>162604</wp:posOffset>
                </wp:positionV>
                <wp:extent cx="3657600" cy="12700"/>
                <wp:effectExtent l="0" t="0" r="0" b="0"/>
                <wp:wrapTopAndBottom/>
                <wp:docPr id="605" name="Graphic 605"/>
                <wp:cNvGraphicFramePr>
                  <a:graphicFrameLocks/>
                </wp:cNvGraphicFramePr>
                <a:graphic>
                  <a:graphicData uri="http://schemas.microsoft.com/office/word/2010/wordprocessingShape">
                    <wps:wsp>
                      <wps:cNvPr id="605" name="Graphic 60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09504;mso-wrap-distance-left:0;mso-wrap-distance-right:0" id="docshape597" filled="true" fillcolor="#000000" stroked="false">
                <v:fill type="solid"/>
                <w10:wrap type="topAndBottom"/>
              </v:rect>
            </w:pict>
          </mc:Fallback>
        </mc:AlternateContent>
      </w:r>
      <w:r>
        <w:rPr>
          <w:rFonts w:ascii="Verdana"/>
          <w:spacing w:val="-5"/>
          <w:sz w:val="18"/>
        </w:rPr>
        <w:t>292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4" w:firstLine="432"/>
        <w:jc w:val="both"/>
      </w:pPr>
      <w:r>
        <w:rPr/>
        <w:t>In</w:t>
      </w:r>
      <w:r>
        <w:rPr>
          <w:spacing w:val="-8"/>
        </w:rPr>
        <w:t> </w:t>
      </w:r>
      <w:r>
        <w:rPr/>
        <w:t>the</w:t>
      </w:r>
      <w:r>
        <w:rPr>
          <w:spacing w:val="-8"/>
        </w:rPr>
        <w:t> </w:t>
      </w:r>
      <w:r>
        <w:rPr/>
        <w:t>plays</w:t>
      </w:r>
      <w:r>
        <w:rPr>
          <w:spacing w:val="-9"/>
        </w:rPr>
        <w:t> </w:t>
      </w:r>
      <w:r>
        <w:rPr/>
        <w:t>of</w:t>
      </w:r>
      <w:r>
        <w:rPr>
          <w:spacing w:val="-9"/>
        </w:rPr>
        <w:t> </w:t>
      </w:r>
      <w:r>
        <w:rPr/>
        <w:t>William</w:t>
      </w:r>
      <w:r>
        <w:rPr>
          <w:spacing w:val="-10"/>
        </w:rPr>
        <w:t> </w:t>
      </w:r>
      <w:r>
        <w:rPr/>
        <w:t>Shakespeare,</w:t>
      </w:r>
      <w:r>
        <w:rPr>
          <w:spacing w:val="-8"/>
        </w:rPr>
        <w:t> </w:t>
      </w:r>
      <w:r>
        <w:rPr/>
        <w:t>woman</w:t>
      </w:r>
      <w:r>
        <w:rPr>
          <w:spacing w:val="-8"/>
        </w:rPr>
        <w:t> </w:t>
      </w:r>
      <w:r>
        <w:rPr/>
        <w:t>is</w:t>
      </w:r>
      <w:r>
        <w:rPr>
          <w:spacing w:val="-8"/>
        </w:rPr>
        <w:t> </w:t>
      </w:r>
      <w:r>
        <w:rPr/>
        <w:t>neither</w:t>
      </w:r>
      <w:r>
        <w:rPr>
          <w:spacing w:val="-8"/>
        </w:rPr>
        <w:t> </w:t>
      </w:r>
      <w:r>
        <w:rPr/>
        <w:t>a</w:t>
      </w:r>
      <w:r>
        <w:rPr>
          <w:spacing w:val="-8"/>
        </w:rPr>
        <w:t> </w:t>
      </w:r>
      <w:r>
        <w:rPr/>
        <w:t>fixed</w:t>
      </w:r>
      <w:r>
        <w:rPr>
          <w:spacing w:val="-6"/>
        </w:rPr>
        <w:t> </w:t>
      </w:r>
      <w:r>
        <w:rPr/>
        <w:t>type nor a passive emblem; she is a field of tensions, where voice contends with</w:t>
      </w:r>
      <w:r>
        <w:rPr>
          <w:spacing w:val="-2"/>
        </w:rPr>
        <w:t> </w:t>
      </w:r>
      <w:r>
        <w:rPr/>
        <w:t>virtue</w:t>
      </w:r>
      <w:r>
        <w:rPr>
          <w:spacing w:val="-2"/>
        </w:rPr>
        <w:t> </w:t>
      </w:r>
      <w:r>
        <w:rPr/>
        <w:t>and desire negotiates duty.</w:t>
      </w:r>
      <w:r>
        <w:rPr>
          <w:spacing w:val="-2"/>
        </w:rPr>
        <w:t> </w:t>
      </w:r>
      <w:r>
        <w:rPr/>
        <w:t>His</w:t>
      </w:r>
      <w:r>
        <w:rPr>
          <w:spacing w:val="-2"/>
        </w:rPr>
        <w:t> </w:t>
      </w:r>
      <w:r>
        <w:rPr/>
        <w:t>stage does</w:t>
      </w:r>
      <w:r>
        <w:rPr>
          <w:spacing w:val="-2"/>
        </w:rPr>
        <w:t> </w:t>
      </w:r>
      <w:r>
        <w:rPr/>
        <w:t>not</w:t>
      </w:r>
      <w:r>
        <w:rPr>
          <w:spacing w:val="-2"/>
        </w:rPr>
        <w:t> </w:t>
      </w:r>
      <w:r>
        <w:rPr/>
        <w:t>merely</w:t>
      </w:r>
      <w:r>
        <w:rPr>
          <w:spacing w:val="-4"/>
        </w:rPr>
        <w:t> </w:t>
      </w:r>
      <w:r>
        <w:rPr/>
        <w:t>mirror the age; it interrogates</w:t>
      </w:r>
      <w:r>
        <w:rPr>
          <w:spacing w:val="-1"/>
        </w:rPr>
        <w:t> </w:t>
      </w:r>
      <w:r>
        <w:rPr/>
        <w:t>it, often</w:t>
      </w:r>
      <w:r>
        <w:rPr>
          <w:spacing w:val="-1"/>
        </w:rPr>
        <w:t> </w:t>
      </w:r>
      <w:r>
        <w:rPr/>
        <w:t>by</w:t>
      </w:r>
      <w:r>
        <w:rPr>
          <w:spacing w:val="-1"/>
        </w:rPr>
        <w:t> </w:t>
      </w:r>
      <w:r>
        <w:rPr/>
        <w:t>placing</w:t>
      </w:r>
      <w:r>
        <w:rPr>
          <w:spacing w:val="-1"/>
        </w:rPr>
        <w:t> </w:t>
      </w:r>
      <w:r>
        <w:rPr/>
        <w:t>women at the edge of speech and</w:t>
      </w:r>
      <w:r>
        <w:rPr>
          <w:spacing w:val="-7"/>
        </w:rPr>
        <w:t> </w:t>
      </w:r>
      <w:r>
        <w:rPr/>
        <w:t>silence.</w:t>
      </w:r>
      <w:r>
        <w:rPr>
          <w:spacing w:val="-13"/>
        </w:rPr>
        <w:t> </w:t>
      </w:r>
      <w:r>
        <w:rPr/>
        <w:t>At</w:t>
      </w:r>
      <w:r>
        <w:rPr>
          <w:spacing w:val="-5"/>
        </w:rPr>
        <w:t> </w:t>
      </w:r>
      <w:r>
        <w:rPr/>
        <w:t>times,</w:t>
      </w:r>
      <w:r>
        <w:rPr>
          <w:spacing w:val="-4"/>
        </w:rPr>
        <w:t> </w:t>
      </w:r>
      <w:r>
        <w:rPr/>
        <w:t>he</w:t>
      </w:r>
      <w:r>
        <w:rPr>
          <w:spacing w:val="-6"/>
        </w:rPr>
        <w:t> </w:t>
      </w:r>
      <w:r>
        <w:rPr/>
        <w:t>fashions</w:t>
      </w:r>
      <w:r>
        <w:rPr>
          <w:spacing w:val="-8"/>
        </w:rPr>
        <w:t> </w:t>
      </w:r>
      <w:r>
        <w:rPr/>
        <w:t>figures</w:t>
      </w:r>
      <w:r>
        <w:rPr>
          <w:spacing w:val="-6"/>
        </w:rPr>
        <w:t> </w:t>
      </w:r>
      <w:r>
        <w:rPr/>
        <w:t>of</w:t>
      </w:r>
      <w:r>
        <w:rPr>
          <w:spacing w:val="-6"/>
        </w:rPr>
        <w:t> </w:t>
      </w:r>
      <w:r>
        <w:rPr/>
        <w:t>wit</w:t>
      </w:r>
      <w:r>
        <w:rPr>
          <w:spacing w:val="-6"/>
        </w:rPr>
        <w:t> </w:t>
      </w:r>
      <w:r>
        <w:rPr/>
        <w:t>and</w:t>
      </w:r>
      <w:r>
        <w:rPr>
          <w:spacing w:val="-8"/>
        </w:rPr>
        <w:t> </w:t>
      </w:r>
      <w:r>
        <w:rPr/>
        <w:t>will—yet</w:t>
      </w:r>
      <w:r>
        <w:rPr>
          <w:spacing w:val="-4"/>
        </w:rPr>
        <w:t> </w:t>
      </w:r>
      <w:r>
        <w:rPr/>
        <w:t>even</w:t>
      </w:r>
      <w:r>
        <w:rPr>
          <w:spacing w:val="-6"/>
        </w:rPr>
        <w:t> </w:t>
      </w:r>
      <w:r>
        <w:rPr/>
        <w:t>such agency is circumscribed by the gaze of patriarchy. Thus, Portia may reason, Rosalind may disguise, but Ophelia is instructed, “Do not believe his vows” (</w:t>
      </w:r>
      <w:r>
        <w:rPr>
          <w:i/>
        </w:rPr>
        <w:t>Hamlet </w:t>
      </w:r>
      <w:r>
        <w:rPr/>
        <w:t>1.3.136), and Desdemona must plead, “I am </w:t>
      </w:r>
      <w:r>
        <w:rPr>
          <w:spacing w:val="-4"/>
        </w:rPr>
        <w:t>hitherto your daughter: but</w:t>
      </w:r>
      <w:r>
        <w:rPr>
          <w:spacing w:val="-5"/>
        </w:rPr>
        <w:t> </w:t>
      </w:r>
      <w:r>
        <w:rPr>
          <w:spacing w:val="-4"/>
        </w:rPr>
        <w:t>here’s my husband” (</w:t>
      </w:r>
      <w:r>
        <w:rPr>
          <w:i/>
          <w:spacing w:val="-4"/>
        </w:rPr>
        <w:t>Othello </w:t>
      </w:r>
      <w:r>
        <w:rPr>
          <w:spacing w:val="-4"/>
        </w:rPr>
        <w:t>1.3.180). Counsel </w:t>
      </w:r>
      <w:r>
        <w:rPr/>
        <w:t>and command shape the former;</w:t>
      </w:r>
      <w:r>
        <w:rPr>
          <w:spacing w:val="-1"/>
        </w:rPr>
        <w:t> </w:t>
      </w:r>
      <w:r>
        <w:rPr/>
        <w:t>obedience and</w:t>
      </w:r>
      <w:r>
        <w:rPr>
          <w:spacing w:val="-1"/>
        </w:rPr>
        <w:t> </w:t>
      </w:r>
      <w:r>
        <w:rPr/>
        <w:t>assertion</w:t>
      </w:r>
      <w:r>
        <w:rPr>
          <w:spacing w:val="-1"/>
        </w:rPr>
        <w:t> </w:t>
      </w:r>
      <w:r>
        <w:rPr/>
        <w:t>contest</w:t>
      </w:r>
      <w:r>
        <w:rPr>
          <w:spacing w:val="-1"/>
        </w:rPr>
        <w:t> </w:t>
      </w:r>
      <w:r>
        <w:rPr/>
        <w:t>within the</w:t>
      </w:r>
      <w:r>
        <w:rPr>
          <w:spacing w:val="-4"/>
        </w:rPr>
        <w:t> </w:t>
      </w:r>
      <w:r>
        <w:rPr/>
        <w:t>latter.</w:t>
      </w:r>
      <w:r>
        <w:rPr>
          <w:spacing w:val="-3"/>
        </w:rPr>
        <w:t> </w:t>
      </w:r>
      <w:r>
        <w:rPr/>
        <w:t>Shakespeare,</w:t>
      </w:r>
      <w:r>
        <w:rPr>
          <w:spacing w:val="-5"/>
        </w:rPr>
        <w:t> </w:t>
      </w:r>
      <w:r>
        <w:rPr/>
        <w:t>therefore,</w:t>
      </w:r>
      <w:r>
        <w:rPr>
          <w:spacing w:val="-7"/>
        </w:rPr>
        <w:t> </w:t>
      </w:r>
      <w:r>
        <w:rPr/>
        <w:t>writes</w:t>
      </w:r>
      <w:r>
        <w:rPr>
          <w:spacing w:val="-5"/>
        </w:rPr>
        <w:t> </w:t>
      </w:r>
      <w:r>
        <w:rPr/>
        <w:t>women</w:t>
      </w:r>
      <w:r>
        <w:rPr>
          <w:spacing w:val="-7"/>
        </w:rPr>
        <w:t> </w:t>
      </w:r>
      <w:r>
        <w:rPr/>
        <w:t>as</w:t>
      </w:r>
      <w:r>
        <w:rPr>
          <w:spacing w:val="-7"/>
        </w:rPr>
        <w:t> </w:t>
      </w:r>
      <w:r>
        <w:rPr/>
        <w:t>paradox:</w:t>
      </w:r>
      <w:r>
        <w:rPr>
          <w:spacing w:val="-4"/>
        </w:rPr>
        <w:t> </w:t>
      </w:r>
      <w:r>
        <w:rPr/>
        <w:t>they</w:t>
      </w:r>
      <w:r>
        <w:rPr>
          <w:spacing w:val="-8"/>
        </w:rPr>
        <w:t> </w:t>
      </w:r>
      <w:r>
        <w:rPr/>
        <w:t>speak, yet are spoken for; they act, yet are acted upon. As critics have noted, “Shakespeare’s women are constrained by the structures they momentarily</w:t>
      </w:r>
      <w:r>
        <w:rPr>
          <w:spacing w:val="-3"/>
        </w:rPr>
        <w:t> </w:t>
      </w:r>
      <w:r>
        <w:rPr/>
        <w:t>transcend” (Callaghan</w:t>
      </w:r>
      <w:r>
        <w:rPr>
          <w:spacing w:val="-1"/>
        </w:rPr>
        <w:t> </w:t>
      </w:r>
      <w:r>
        <w:rPr/>
        <w:t>77). Hence, his dramaturgy</w:t>
      </w:r>
      <w:r>
        <w:rPr>
          <w:spacing w:val="-3"/>
        </w:rPr>
        <w:t> </w:t>
      </w:r>
      <w:r>
        <w:rPr/>
        <w:t>renders the</w:t>
      </w:r>
      <w:r>
        <w:rPr>
          <w:spacing w:val="-13"/>
        </w:rPr>
        <w:t> </w:t>
      </w:r>
      <w:r>
        <w:rPr/>
        <w:t>feminine</w:t>
      </w:r>
      <w:r>
        <w:rPr>
          <w:spacing w:val="-12"/>
        </w:rPr>
        <w:t> </w:t>
      </w:r>
      <w:r>
        <w:rPr/>
        <w:t>not</w:t>
      </w:r>
      <w:r>
        <w:rPr>
          <w:spacing w:val="-13"/>
        </w:rPr>
        <w:t> </w:t>
      </w:r>
      <w:r>
        <w:rPr/>
        <w:t>as</w:t>
      </w:r>
      <w:r>
        <w:rPr>
          <w:spacing w:val="-12"/>
        </w:rPr>
        <w:t> </w:t>
      </w:r>
      <w:r>
        <w:rPr/>
        <w:t>silence</w:t>
      </w:r>
      <w:r>
        <w:rPr>
          <w:spacing w:val="-13"/>
        </w:rPr>
        <w:t> </w:t>
      </w:r>
      <w:r>
        <w:rPr/>
        <w:t>alone,</w:t>
      </w:r>
      <w:r>
        <w:rPr>
          <w:spacing w:val="-12"/>
        </w:rPr>
        <w:t> </w:t>
      </w:r>
      <w:r>
        <w:rPr/>
        <w:t>but</w:t>
      </w:r>
      <w:r>
        <w:rPr>
          <w:spacing w:val="-13"/>
        </w:rPr>
        <w:t> </w:t>
      </w:r>
      <w:r>
        <w:rPr/>
        <w:t>as</w:t>
      </w:r>
      <w:r>
        <w:rPr>
          <w:spacing w:val="-12"/>
        </w:rPr>
        <w:t> </w:t>
      </w:r>
      <w:r>
        <w:rPr/>
        <w:t>a</w:t>
      </w:r>
      <w:r>
        <w:rPr>
          <w:spacing w:val="-13"/>
        </w:rPr>
        <w:t> </w:t>
      </w:r>
      <w:r>
        <w:rPr/>
        <w:t>struggle</w:t>
      </w:r>
      <w:r>
        <w:rPr>
          <w:spacing w:val="-12"/>
        </w:rPr>
        <w:t> </w:t>
      </w:r>
      <w:r>
        <w:rPr/>
        <w:t>towards</w:t>
      </w:r>
      <w:r>
        <w:rPr>
          <w:spacing w:val="-13"/>
        </w:rPr>
        <w:t> </w:t>
      </w:r>
      <w:r>
        <w:rPr/>
        <w:t>articulation—a voice that bends under authority, yet, in its very bending, intimates</w:t>
      </w:r>
      <w:r>
        <w:rPr>
          <w:spacing w:val="40"/>
        </w:rPr>
        <w:t> </w:t>
      </w:r>
      <w:r>
        <w:rPr/>
        <w:t>the</w:t>
      </w:r>
      <w:r>
        <w:rPr>
          <w:spacing w:val="40"/>
        </w:rPr>
        <w:t> </w:t>
      </w:r>
      <w:r>
        <w:rPr/>
        <w:t>possibility of breaking.</w:t>
      </w:r>
    </w:p>
    <w:p>
      <w:pPr>
        <w:pStyle w:val="BodyText"/>
        <w:spacing w:line="249" w:lineRule="auto" w:before="72"/>
        <w:ind w:right="1434" w:firstLine="432"/>
        <w:jc w:val="both"/>
      </w:pPr>
      <w:r>
        <w:rPr/>
        <w:t>In the #MeToo re-reading, Ophelia ceases to be a figure of mere fragility; she becomes the emblem of a voice broken by design rather than by defect. Under the dramaturgy of William Shakespeare, she is counselled</w:t>
      </w:r>
      <w:r>
        <w:rPr>
          <w:spacing w:val="-9"/>
        </w:rPr>
        <w:t> </w:t>
      </w:r>
      <w:r>
        <w:rPr/>
        <w:t>into</w:t>
      </w:r>
      <w:r>
        <w:rPr>
          <w:spacing w:val="-9"/>
        </w:rPr>
        <w:t> </w:t>
      </w:r>
      <w:r>
        <w:rPr/>
        <w:t>silence</w:t>
      </w:r>
      <w:r>
        <w:rPr>
          <w:spacing w:val="-8"/>
        </w:rPr>
        <w:t> </w:t>
      </w:r>
      <w:r>
        <w:rPr/>
        <w:t>and</w:t>
      </w:r>
      <w:r>
        <w:rPr>
          <w:spacing w:val="-7"/>
        </w:rPr>
        <w:t> </w:t>
      </w:r>
      <w:r>
        <w:rPr/>
        <w:t>compliance,</w:t>
      </w:r>
      <w:r>
        <w:rPr>
          <w:spacing w:val="-11"/>
        </w:rPr>
        <w:t> </w:t>
      </w:r>
      <w:r>
        <w:rPr/>
        <w:t>her</w:t>
      </w:r>
      <w:r>
        <w:rPr>
          <w:spacing w:val="-9"/>
        </w:rPr>
        <w:t> </w:t>
      </w:r>
      <w:r>
        <w:rPr/>
        <w:t>speech</w:t>
      </w:r>
      <w:r>
        <w:rPr>
          <w:spacing w:val="-11"/>
        </w:rPr>
        <w:t> </w:t>
      </w:r>
      <w:r>
        <w:rPr/>
        <w:t>mediated</w:t>
      </w:r>
      <w:r>
        <w:rPr>
          <w:spacing w:val="-11"/>
        </w:rPr>
        <w:t> </w:t>
      </w:r>
      <w:r>
        <w:rPr/>
        <w:t>by</w:t>
      </w:r>
      <w:r>
        <w:rPr>
          <w:spacing w:val="-13"/>
        </w:rPr>
        <w:t> </w:t>
      </w:r>
      <w:r>
        <w:rPr/>
        <w:t>paternal and princely authority; “I shall obey, my lord” (</w:t>
      </w:r>
      <w:r>
        <w:rPr>
          <w:i/>
        </w:rPr>
        <w:t>Hamlet </w:t>
      </w:r>
      <w:r>
        <w:rPr/>
        <w:t>1.3.136) is less consent than conditioning. The movement compels us to see that such obedience is not virtue alone, but the residue of coercive structures that deny articulation. When love turns to repudiation, Ophelia is rendered speechless</w:t>
      </w:r>
      <w:r>
        <w:rPr>
          <w:spacing w:val="31"/>
        </w:rPr>
        <w:t> </w:t>
      </w:r>
      <w:r>
        <w:rPr/>
        <w:t>in</w:t>
      </w:r>
      <w:r>
        <w:rPr>
          <w:spacing w:val="31"/>
        </w:rPr>
        <w:t> </w:t>
      </w:r>
      <w:r>
        <w:rPr/>
        <w:t>sanity</w:t>
      </w:r>
      <w:r>
        <w:rPr>
          <w:spacing w:val="28"/>
        </w:rPr>
        <w:t> </w:t>
      </w:r>
      <w:r>
        <w:rPr/>
        <w:t>and</w:t>
      </w:r>
      <w:r>
        <w:rPr>
          <w:spacing w:val="33"/>
        </w:rPr>
        <w:t> </w:t>
      </w:r>
      <w:r>
        <w:rPr/>
        <w:t>eloquent</w:t>
      </w:r>
      <w:r>
        <w:rPr>
          <w:spacing w:val="33"/>
        </w:rPr>
        <w:t> </w:t>
      </w:r>
      <w:r>
        <w:rPr/>
        <w:t>in</w:t>
      </w:r>
      <w:r>
        <w:rPr>
          <w:spacing w:val="30"/>
        </w:rPr>
        <w:t> </w:t>
      </w:r>
      <w:r>
        <w:rPr/>
        <w:t>madness;</w:t>
      </w:r>
      <w:r>
        <w:rPr>
          <w:spacing w:val="31"/>
        </w:rPr>
        <w:t> </w:t>
      </w:r>
      <w:r>
        <w:rPr/>
        <w:t>her</w:t>
      </w:r>
      <w:r>
        <w:rPr>
          <w:spacing w:val="34"/>
        </w:rPr>
        <w:t> </w:t>
      </w:r>
      <w:r>
        <w:rPr/>
        <w:t>fractured</w:t>
      </w:r>
      <w:r>
        <w:rPr>
          <w:spacing w:val="31"/>
        </w:rPr>
        <w:t> </w:t>
      </w:r>
      <w:r>
        <w:rPr/>
        <w:t>songs—”He is dead and gone, lady” (</w:t>
      </w:r>
      <w:r>
        <w:rPr>
          <w:i/>
        </w:rPr>
        <w:t>Hamlet </w:t>
      </w:r>
      <w:r>
        <w:rPr/>
        <w:t>4.5.29)—become the only permissible idiom of truth. Thus,</w:t>
      </w:r>
      <w:r>
        <w:rPr>
          <w:spacing w:val="18"/>
        </w:rPr>
        <w:t> </w:t>
      </w:r>
      <w:r>
        <w:rPr/>
        <w:t>her</w:t>
      </w:r>
      <w:r>
        <w:rPr>
          <w:spacing w:val="19"/>
        </w:rPr>
        <w:t> </w:t>
      </w:r>
      <w:r>
        <w:rPr/>
        <w:t>madness is not mere</w:t>
      </w:r>
      <w:r>
        <w:rPr>
          <w:spacing w:val="18"/>
        </w:rPr>
        <w:t> </w:t>
      </w:r>
      <w:r>
        <w:rPr/>
        <w:t>disorder; it</w:t>
      </w:r>
      <w:r>
        <w:rPr>
          <w:spacing w:val="40"/>
        </w:rPr>
        <w:t> </w:t>
      </w:r>
      <w:r>
        <w:rPr/>
        <w:t>is</w:t>
      </w:r>
      <w:r>
        <w:rPr>
          <w:spacing w:val="27"/>
        </w:rPr>
        <w:t> </w:t>
      </w:r>
      <w:r>
        <w:rPr/>
        <w:t>a</w:t>
      </w:r>
      <w:r>
        <w:rPr>
          <w:spacing w:val="27"/>
        </w:rPr>
        <w:t> </w:t>
      </w:r>
      <w:r>
        <w:rPr/>
        <w:t>coded</w:t>
      </w:r>
      <w:r>
        <w:rPr>
          <w:spacing w:val="29"/>
        </w:rPr>
        <w:t> </w:t>
      </w:r>
      <w:r>
        <w:rPr/>
        <w:t>protest,</w:t>
      </w:r>
      <w:r>
        <w:rPr>
          <w:spacing w:val="29"/>
        </w:rPr>
        <w:t> </w:t>
      </w:r>
      <w:r>
        <w:rPr/>
        <w:t>a</w:t>
      </w:r>
      <w:r>
        <w:rPr>
          <w:spacing w:val="27"/>
        </w:rPr>
        <w:t> </w:t>
      </w:r>
      <w:r>
        <w:rPr/>
        <w:t>language</w:t>
      </w:r>
      <w:r>
        <w:rPr>
          <w:spacing w:val="28"/>
        </w:rPr>
        <w:t> </w:t>
      </w:r>
      <w:r>
        <w:rPr/>
        <w:t>that</w:t>
      </w:r>
      <w:r>
        <w:rPr>
          <w:spacing w:val="29"/>
        </w:rPr>
        <w:t> </w:t>
      </w:r>
      <w:r>
        <w:rPr/>
        <w:t>society</w:t>
      </w:r>
      <w:r>
        <w:rPr>
          <w:spacing w:val="25"/>
        </w:rPr>
        <w:t> </w:t>
      </w:r>
      <w:r>
        <w:rPr/>
        <w:t>hears</w:t>
      </w:r>
      <w:r>
        <w:rPr>
          <w:spacing w:val="25"/>
        </w:rPr>
        <w:t> </w:t>
      </w:r>
      <w:r>
        <w:rPr/>
        <w:t>but</w:t>
      </w:r>
      <w:r>
        <w:rPr>
          <w:spacing w:val="25"/>
        </w:rPr>
        <w:t> </w:t>
      </w:r>
      <w:r>
        <w:rPr/>
        <w:t>refuses</w:t>
      </w:r>
      <w:r>
        <w:rPr>
          <w:spacing w:val="27"/>
        </w:rPr>
        <w:t> </w:t>
      </w:r>
      <w:r>
        <w:rPr/>
        <w:t>to</w:t>
      </w:r>
      <w:r>
        <w:rPr>
          <w:spacing w:val="27"/>
        </w:rPr>
        <w:t> </w:t>
      </w:r>
      <w:r>
        <w:rPr/>
        <w:t>heed. As critics observe, “Ophelia’s madness is the product of her exclusion from</w:t>
      </w:r>
      <w:r>
        <w:rPr>
          <w:spacing w:val="-13"/>
        </w:rPr>
        <w:t> </w:t>
      </w:r>
      <w:r>
        <w:rPr/>
        <w:t>discourse”</w:t>
      </w:r>
      <w:r>
        <w:rPr>
          <w:spacing w:val="-12"/>
        </w:rPr>
        <w:t> </w:t>
      </w:r>
      <w:r>
        <w:rPr/>
        <w:t>(Showalter</w:t>
      </w:r>
      <w:r>
        <w:rPr>
          <w:spacing w:val="-13"/>
        </w:rPr>
        <w:t> </w:t>
      </w:r>
      <w:r>
        <w:rPr/>
        <w:t>92),</w:t>
      </w:r>
      <w:r>
        <w:rPr>
          <w:spacing w:val="-12"/>
        </w:rPr>
        <w:t> </w:t>
      </w:r>
      <w:r>
        <w:rPr/>
        <w:t>revealing</w:t>
      </w:r>
      <w:r>
        <w:rPr>
          <w:spacing w:val="-13"/>
        </w:rPr>
        <w:t> </w:t>
      </w:r>
      <w:r>
        <w:rPr/>
        <w:t>how</w:t>
      </w:r>
      <w:r>
        <w:rPr>
          <w:spacing w:val="-12"/>
        </w:rPr>
        <w:t> </w:t>
      </w:r>
      <w:r>
        <w:rPr/>
        <w:t>denial</w:t>
      </w:r>
      <w:r>
        <w:rPr>
          <w:spacing w:val="-13"/>
        </w:rPr>
        <w:t> </w:t>
      </w:r>
      <w:r>
        <w:rPr/>
        <w:t>of</w:t>
      </w:r>
      <w:r>
        <w:rPr>
          <w:spacing w:val="-12"/>
        </w:rPr>
        <w:t> </w:t>
      </w:r>
      <w:r>
        <w:rPr/>
        <w:t>voice</w:t>
      </w:r>
      <w:r>
        <w:rPr>
          <w:spacing w:val="-13"/>
        </w:rPr>
        <w:t> </w:t>
      </w:r>
      <w:r>
        <w:rPr/>
        <w:t>engenders psychological rupture. In the #MeToo context, Ophelia stands as the archetype</w:t>
      </w:r>
      <w:r>
        <w:rPr>
          <w:spacing w:val="20"/>
        </w:rPr>
        <w:t> </w:t>
      </w:r>
      <w:r>
        <w:rPr/>
        <w:t>of</w:t>
      </w:r>
      <w:r>
        <w:rPr>
          <w:spacing w:val="20"/>
        </w:rPr>
        <w:t> </w:t>
      </w:r>
      <w:r>
        <w:rPr/>
        <w:t>silenced</w:t>
      </w:r>
      <w:r>
        <w:rPr>
          <w:spacing w:val="20"/>
        </w:rPr>
        <w:t> </w:t>
      </w:r>
      <w:r>
        <w:rPr/>
        <w:t>testimony—her</w:t>
      </w:r>
      <w:r>
        <w:rPr>
          <w:spacing w:val="23"/>
        </w:rPr>
        <w:t> </w:t>
      </w:r>
      <w:r>
        <w:rPr/>
        <w:t>voice</w:t>
      </w:r>
      <w:r>
        <w:rPr>
          <w:spacing w:val="19"/>
        </w:rPr>
        <w:t> </w:t>
      </w:r>
      <w:r>
        <w:rPr/>
        <w:t>does</w:t>
      </w:r>
      <w:r>
        <w:rPr>
          <w:spacing w:val="20"/>
        </w:rPr>
        <w:t> </w:t>
      </w:r>
      <w:r>
        <w:rPr/>
        <w:t>not</w:t>
      </w:r>
      <w:r>
        <w:rPr>
          <w:spacing w:val="18"/>
        </w:rPr>
        <w:t> </w:t>
      </w:r>
      <w:r>
        <w:rPr/>
        <w:t>bend</w:t>
      </w:r>
      <w:r>
        <w:rPr>
          <w:spacing w:val="24"/>
        </w:rPr>
        <w:t> </w:t>
      </w:r>
      <w:r>
        <w:rPr/>
        <w:t>to</w:t>
      </w:r>
      <w:r>
        <w:rPr>
          <w:spacing w:val="20"/>
        </w:rPr>
        <w:t> </w:t>
      </w:r>
      <w:r>
        <w:rPr/>
        <w:t>survive; it breaks to signify, and in that breaking, it indicts the very structures that</w:t>
      </w:r>
      <w:r>
        <w:rPr>
          <w:spacing w:val="40"/>
        </w:rPr>
        <w:t> </w:t>
      </w:r>
      <w:r>
        <w:rPr/>
        <w:t>sought</w:t>
      </w:r>
      <w:r>
        <w:rPr>
          <w:spacing w:val="40"/>
        </w:rPr>
        <w:t> </w:t>
      </w:r>
      <w:r>
        <w:rPr/>
        <w:t>to</w:t>
      </w:r>
      <w:r>
        <w:rPr>
          <w:spacing w:val="40"/>
        </w:rPr>
        <w:t> </w:t>
      </w:r>
      <w:r>
        <w:rPr/>
        <w:t>contain</w:t>
      </w:r>
      <w:r>
        <w:rPr>
          <w:spacing w:val="40"/>
        </w:rPr>
        <w:t> </w:t>
      </w:r>
      <w:r>
        <w:rPr/>
        <w:t>it.</w:t>
      </w:r>
    </w:p>
    <w:p>
      <w:pPr>
        <w:pStyle w:val="BodyText"/>
        <w:spacing w:line="249" w:lineRule="auto" w:before="72"/>
        <w:ind w:right="1440" w:firstLine="432"/>
        <w:jc w:val="both"/>
      </w:pPr>
      <w:r>
        <w:rPr/>
        <w:t>If Ophelia’s voice breaks, Desdemona’s voice bends; it yields without wholly surrendering, it persists within the very structures that constrain it. In the dramaturgy of William Shakespeare, Desdemona is not denied speech, yet her speech is continually redirected, softened, and</w:t>
      </w:r>
      <w:r>
        <w:rPr>
          <w:spacing w:val="28"/>
        </w:rPr>
        <w:t> </w:t>
      </w:r>
      <w:r>
        <w:rPr/>
        <w:t>made</w:t>
      </w:r>
      <w:r>
        <w:rPr>
          <w:spacing w:val="27"/>
        </w:rPr>
        <w:t> </w:t>
      </w:r>
      <w:r>
        <w:rPr/>
        <w:t>to</w:t>
      </w:r>
      <w:r>
        <w:rPr>
          <w:spacing w:val="25"/>
        </w:rPr>
        <w:t> </w:t>
      </w:r>
      <w:r>
        <w:rPr/>
        <w:t>serve</w:t>
      </w:r>
      <w:r>
        <w:rPr>
          <w:spacing w:val="26"/>
        </w:rPr>
        <w:t> </w:t>
      </w:r>
      <w:r>
        <w:rPr/>
        <w:t>the</w:t>
      </w:r>
      <w:r>
        <w:rPr>
          <w:spacing w:val="27"/>
        </w:rPr>
        <w:t> </w:t>
      </w:r>
      <w:r>
        <w:rPr/>
        <w:t>logic</w:t>
      </w:r>
      <w:r>
        <w:rPr>
          <w:spacing w:val="27"/>
        </w:rPr>
        <w:t> </w:t>
      </w:r>
      <w:r>
        <w:rPr/>
        <w:t>of</w:t>
      </w:r>
      <w:r>
        <w:rPr>
          <w:spacing w:val="23"/>
        </w:rPr>
        <w:t> </w:t>
      </w:r>
      <w:r>
        <w:rPr/>
        <w:t>obedience.</w:t>
      </w:r>
      <w:r>
        <w:rPr>
          <w:spacing w:val="27"/>
        </w:rPr>
        <w:t> </w:t>
      </w:r>
      <w:r>
        <w:rPr/>
        <w:t>She</w:t>
      </w:r>
      <w:r>
        <w:rPr>
          <w:spacing w:val="25"/>
        </w:rPr>
        <w:t> </w:t>
      </w:r>
      <w:r>
        <w:rPr/>
        <w:t>asserts</w:t>
      </w:r>
      <w:r>
        <w:rPr>
          <w:spacing w:val="26"/>
        </w:rPr>
        <w:t> </w:t>
      </w:r>
      <w:r>
        <w:rPr/>
        <w:t>choice—”I</w:t>
      </w:r>
      <w:r>
        <w:rPr>
          <w:spacing w:val="28"/>
        </w:rPr>
        <w:t> </w:t>
      </w:r>
      <w:r>
        <w:rPr>
          <w:spacing w:val="-5"/>
        </w:rPr>
        <w:t>do</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07488">
                <wp:simplePos x="0" y="0"/>
                <wp:positionH relativeFrom="page">
                  <wp:posOffset>2065020</wp:posOffset>
                </wp:positionH>
                <wp:positionV relativeFrom="paragraph">
                  <wp:posOffset>795020</wp:posOffset>
                </wp:positionV>
                <wp:extent cx="3657600" cy="12700"/>
                <wp:effectExtent l="0" t="0" r="0" b="0"/>
                <wp:wrapTopAndBottom/>
                <wp:docPr id="606" name="Graphic 606"/>
                <wp:cNvGraphicFramePr>
                  <a:graphicFrameLocks/>
                </wp:cNvGraphicFramePr>
                <a:graphic>
                  <a:graphicData uri="http://schemas.microsoft.com/office/word/2010/wordprocessingShape">
                    <wps:wsp>
                      <wps:cNvPr id="606" name="Graphic 60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08992;mso-wrap-distance-left:0;mso-wrap-distance-right:0" id="docshape598" filled="true" fillcolor="#000000" stroked="false">
                <v:fill type="solid"/>
                <w10:wrap type="topAndBottom"/>
              </v:rect>
            </w:pict>
          </mc:Fallback>
        </mc:AlternateContent>
      </w:r>
      <w:r>
        <w:rPr>
          <w:rFonts w:ascii="Verdana"/>
          <w:sz w:val="18"/>
        </w:rPr>
        <w:t>Voices</w:t>
      </w:r>
      <w:r>
        <w:rPr>
          <w:rFonts w:ascii="Verdana"/>
          <w:spacing w:val="17"/>
          <w:sz w:val="18"/>
        </w:rPr>
        <w:t> </w:t>
      </w:r>
      <w:r>
        <w:rPr>
          <w:rFonts w:ascii="Verdana"/>
          <w:sz w:val="18"/>
        </w:rPr>
        <w:t>that</w:t>
      </w:r>
      <w:r>
        <w:rPr>
          <w:rFonts w:ascii="Verdana"/>
          <w:spacing w:val="19"/>
          <w:sz w:val="18"/>
        </w:rPr>
        <w:t> </w:t>
      </w:r>
      <w:r>
        <w:rPr>
          <w:rFonts w:ascii="Verdana"/>
          <w:sz w:val="18"/>
        </w:rPr>
        <w:t>Break</w:t>
      </w:r>
      <w:r>
        <w:rPr>
          <w:rFonts w:ascii="Verdana"/>
          <w:spacing w:val="20"/>
          <w:sz w:val="18"/>
        </w:rPr>
        <w:t> </w:t>
      </w:r>
      <w:r>
        <w:rPr>
          <w:rFonts w:ascii="Verdana"/>
          <w:sz w:val="18"/>
        </w:rPr>
        <w:t>and</w:t>
      </w:r>
      <w:r>
        <w:rPr>
          <w:rFonts w:ascii="Verdana"/>
          <w:spacing w:val="20"/>
          <w:sz w:val="18"/>
        </w:rPr>
        <w:t> </w:t>
      </w:r>
      <w:r>
        <w:rPr>
          <w:rFonts w:ascii="Verdana"/>
          <w:sz w:val="18"/>
        </w:rPr>
        <w:t>Voices</w:t>
      </w:r>
      <w:r>
        <w:rPr>
          <w:rFonts w:ascii="Verdana"/>
          <w:spacing w:val="18"/>
          <w:sz w:val="18"/>
        </w:rPr>
        <w:t> </w:t>
      </w:r>
      <w:r>
        <w:rPr>
          <w:rFonts w:ascii="Verdana"/>
          <w:sz w:val="18"/>
        </w:rPr>
        <w:t>that</w:t>
      </w:r>
      <w:r>
        <w:rPr>
          <w:rFonts w:ascii="Verdana"/>
          <w:spacing w:val="19"/>
          <w:sz w:val="18"/>
        </w:rPr>
        <w:t> </w:t>
      </w:r>
      <w:r>
        <w:rPr>
          <w:rFonts w:ascii="Verdana"/>
          <w:spacing w:val="-2"/>
          <w:sz w:val="18"/>
        </w:rPr>
        <w:t>Bend...</w:t>
      </w:r>
      <w:r>
        <w:rPr>
          <w:sz w:val="18"/>
        </w:rPr>
        <w:tab/>
      </w:r>
      <w:r>
        <w:rPr>
          <w:rFonts w:ascii="Verdana"/>
          <w:spacing w:val="-5"/>
          <w:sz w:val="18"/>
        </w:rPr>
        <w:t>293</w:t>
      </w:r>
    </w:p>
    <w:p>
      <w:pPr>
        <w:pStyle w:val="BodyText"/>
        <w:spacing w:line="249" w:lineRule="auto" w:before="192"/>
        <w:ind w:right="1437"/>
        <w:jc w:val="both"/>
      </w:pPr>
      <w:r>
        <w:rPr/>
        <w:t>perceive here a divided duty” (</w:t>
      </w:r>
      <w:r>
        <w:rPr>
          <w:i/>
        </w:rPr>
        <w:t>Othello </w:t>
      </w:r>
      <w:r>
        <w:rPr/>
        <w:t>1.3.181)—yet frames it within filial and marital submission, thereby negotiating agency through compliance. In the #MeToo re-vision, such articulation appears as a strategy of survival; the voice bends so that it may be heard, even if only</w:t>
      </w:r>
      <w:r>
        <w:rPr>
          <w:spacing w:val="-13"/>
        </w:rPr>
        <w:t> </w:t>
      </w:r>
      <w:r>
        <w:rPr/>
        <w:t>partially.</w:t>
      </w:r>
      <w:r>
        <w:rPr>
          <w:spacing w:val="-12"/>
        </w:rPr>
        <w:t> </w:t>
      </w:r>
      <w:r>
        <w:rPr/>
        <w:t>When</w:t>
      </w:r>
      <w:r>
        <w:rPr>
          <w:spacing w:val="-10"/>
        </w:rPr>
        <w:t> </w:t>
      </w:r>
      <w:r>
        <w:rPr/>
        <w:t>confronted</w:t>
      </w:r>
      <w:r>
        <w:rPr>
          <w:spacing w:val="-10"/>
        </w:rPr>
        <w:t> </w:t>
      </w:r>
      <w:r>
        <w:rPr/>
        <w:t>with</w:t>
      </w:r>
      <w:r>
        <w:rPr>
          <w:spacing w:val="-10"/>
        </w:rPr>
        <w:t> </w:t>
      </w:r>
      <w:r>
        <w:rPr/>
        <w:t>suspicion</w:t>
      </w:r>
      <w:r>
        <w:rPr>
          <w:spacing w:val="-13"/>
        </w:rPr>
        <w:t> </w:t>
      </w:r>
      <w:r>
        <w:rPr/>
        <w:t>and</w:t>
      </w:r>
      <w:r>
        <w:rPr>
          <w:spacing w:val="-6"/>
        </w:rPr>
        <w:t> </w:t>
      </w:r>
      <w:r>
        <w:rPr/>
        <w:t>violence,</w:t>
      </w:r>
      <w:r>
        <w:rPr>
          <w:spacing w:val="-12"/>
        </w:rPr>
        <w:t> </w:t>
      </w:r>
      <w:r>
        <w:rPr/>
        <w:t>she</w:t>
      </w:r>
      <w:r>
        <w:rPr>
          <w:spacing w:val="-9"/>
        </w:rPr>
        <w:t> </w:t>
      </w:r>
      <w:r>
        <w:rPr/>
        <w:t>neither revolts nor falls silent; instead, she reaffirms love—”His unkindness may defeat my life, but never taint my love” (</w:t>
      </w:r>
      <w:r>
        <w:rPr>
          <w:i/>
        </w:rPr>
        <w:t>Othello </w:t>
      </w:r>
      <w:r>
        <w:rPr/>
        <w:t>4.2.161–162)—transforming endurance into a moral stance. Yet this bending is not without cost, for it renders resistance inward rather than outward, ethical rather than political. As critics have noted, “Desdemona’s obedience is not passivity but a constrained form of agency” (Neely 221), suggesting that her voice survives by accommodation rather than </w:t>
      </w:r>
      <w:r>
        <w:rPr>
          <w:spacing w:val="-2"/>
        </w:rPr>
        <w:t>rupture.</w:t>
      </w:r>
      <w:r>
        <w:rPr>
          <w:spacing w:val="-8"/>
        </w:rPr>
        <w:t> </w:t>
      </w:r>
      <w:r>
        <w:rPr>
          <w:spacing w:val="-2"/>
        </w:rPr>
        <w:t>Thus,</w:t>
      </w:r>
      <w:r>
        <w:rPr>
          <w:spacing w:val="-3"/>
        </w:rPr>
        <w:t> </w:t>
      </w:r>
      <w:r>
        <w:rPr>
          <w:spacing w:val="-2"/>
        </w:rPr>
        <w:t>in</w:t>
      </w:r>
      <w:r>
        <w:rPr>
          <w:spacing w:val="-5"/>
        </w:rPr>
        <w:t> </w:t>
      </w:r>
      <w:r>
        <w:rPr>
          <w:spacing w:val="-2"/>
        </w:rPr>
        <w:t>the</w:t>
      </w:r>
      <w:r>
        <w:rPr>
          <w:spacing w:val="-5"/>
        </w:rPr>
        <w:t> </w:t>
      </w:r>
      <w:r>
        <w:rPr>
          <w:spacing w:val="-2"/>
        </w:rPr>
        <w:t>#MeToo</w:t>
      </w:r>
      <w:r>
        <w:rPr>
          <w:spacing w:val="-5"/>
        </w:rPr>
        <w:t> </w:t>
      </w:r>
      <w:r>
        <w:rPr>
          <w:spacing w:val="-2"/>
        </w:rPr>
        <w:t>frame,</w:t>
      </w:r>
      <w:r>
        <w:rPr>
          <w:spacing w:val="-3"/>
        </w:rPr>
        <w:t> </w:t>
      </w:r>
      <w:r>
        <w:rPr>
          <w:spacing w:val="-2"/>
        </w:rPr>
        <w:t>Desdemona</w:t>
      </w:r>
      <w:r>
        <w:rPr>
          <w:spacing w:val="-4"/>
        </w:rPr>
        <w:t> </w:t>
      </w:r>
      <w:r>
        <w:rPr>
          <w:spacing w:val="-2"/>
        </w:rPr>
        <w:t>signifies</w:t>
      </w:r>
      <w:r>
        <w:rPr>
          <w:spacing w:val="-5"/>
        </w:rPr>
        <w:t> </w:t>
      </w:r>
      <w:r>
        <w:rPr>
          <w:spacing w:val="-2"/>
        </w:rPr>
        <w:t>the</w:t>
      </w:r>
      <w:r>
        <w:rPr>
          <w:spacing w:val="-5"/>
        </w:rPr>
        <w:t> </w:t>
      </w:r>
      <w:r>
        <w:rPr>
          <w:spacing w:val="-2"/>
        </w:rPr>
        <w:t>persistence </w:t>
      </w:r>
      <w:r>
        <w:rPr/>
        <w:t>of the feminine voice under pressure; it does not break into protest, but bends into endurance, revealing how resistance may dwell even within </w:t>
      </w:r>
      <w:r>
        <w:rPr>
          <w:spacing w:val="-2"/>
        </w:rPr>
        <w:t>submission.</w:t>
      </w:r>
    </w:p>
    <w:p>
      <w:pPr>
        <w:pStyle w:val="BodyText"/>
        <w:spacing w:line="249" w:lineRule="auto" w:before="71"/>
        <w:ind w:right="1437" w:firstLine="432"/>
        <w:jc w:val="both"/>
      </w:pPr>
      <w:r>
        <w:rPr/>
        <w:t>Comparison clarifies what isolation obscures; Ophelia and Desdemona, when read together in the #MeToo frame, reveal two modalities of silenced experience—rupture and endurance. Under the pen of William Shakespeare, both are inscribed within patriarchal economies of control, yet their responses diverge in form and effect. Ophelia internalises command until language itself collapses; her scattered utterance—”He is dead and gone, lady” (</w:t>
      </w:r>
      <w:r>
        <w:rPr>
          <w:i/>
        </w:rPr>
        <w:t>Hamlet </w:t>
      </w:r>
      <w:r>
        <w:rPr/>
        <w:t>4.5.29)—signals a psyche overburdened by denial of speech. Desdemona, by contrast,</w:t>
      </w:r>
      <w:r>
        <w:rPr>
          <w:spacing w:val="28"/>
        </w:rPr>
        <w:t> </w:t>
      </w:r>
      <w:r>
        <w:rPr/>
        <w:t>sustains</w:t>
      </w:r>
      <w:r>
        <w:rPr>
          <w:spacing w:val="30"/>
        </w:rPr>
        <w:t> </w:t>
      </w:r>
      <w:r>
        <w:rPr/>
        <w:t>articulation within</w:t>
      </w:r>
      <w:r>
        <w:rPr>
          <w:spacing w:val="28"/>
        </w:rPr>
        <w:t> </w:t>
      </w:r>
      <w:r>
        <w:rPr/>
        <w:t>constraint;</w:t>
      </w:r>
      <w:r>
        <w:rPr>
          <w:spacing w:val="28"/>
        </w:rPr>
        <w:t> </w:t>
      </w:r>
      <w:r>
        <w:rPr/>
        <w:t>even</w:t>
      </w:r>
      <w:r>
        <w:rPr>
          <w:spacing w:val="28"/>
        </w:rPr>
        <w:t> </w:t>
      </w:r>
      <w:r>
        <w:rPr/>
        <w:t>at the</w:t>
      </w:r>
      <w:r>
        <w:rPr>
          <w:spacing w:val="31"/>
        </w:rPr>
        <w:t> </w:t>
      </w:r>
      <w:r>
        <w:rPr/>
        <w:t>threshold of</w:t>
      </w:r>
      <w:r>
        <w:rPr>
          <w:spacing w:val="30"/>
        </w:rPr>
        <w:t> </w:t>
      </w:r>
      <w:r>
        <w:rPr/>
        <w:t>death,</w:t>
      </w:r>
      <w:r>
        <w:rPr>
          <w:spacing w:val="32"/>
        </w:rPr>
        <w:t> </w:t>
      </w:r>
      <w:r>
        <w:rPr/>
        <w:t>she</w:t>
      </w:r>
      <w:r>
        <w:rPr>
          <w:spacing w:val="29"/>
        </w:rPr>
        <w:t> </w:t>
      </w:r>
      <w:r>
        <w:rPr/>
        <w:t>protects</w:t>
      </w:r>
      <w:r>
        <w:rPr>
          <w:spacing w:val="32"/>
        </w:rPr>
        <w:t> </w:t>
      </w:r>
      <w:r>
        <w:rPr/>
        <w:t>the</w:t>
      </w:r>
      <w:r>
        <w:rPr>
          <w:spacing w:val="32"/>
        </w:rPr>
        <w:t> </w:t>
      </w:r>
      <w:r>
        <w:rPr/>
        <w:t>very</w:t>
      </w:r>
      <w:r>
        <w:rPr>
          <w:spacing w:val="29"/>
        </w:rPr>
        <w:t> </w:t>
      </w:r>
      <w:r>
        <w:rPr/>
        <w:t>structure</w:t>
      </w:r>
      <w:r>
        <w:rPr>
          <w:spacing w:val="33"/>
        </w:rPr>
        <w:t> </w:t>
      </w:r>
      <w:r>
        <w:rPr/>
        <w:t>that</w:t>
      </w:r>
      <w:r>
        <w:rPr>
          <w:spacing w:val="29"/>
        </w:rPr>
        <w:t> </w:t>
      </w:r>
      <w:r>
        <w:rPr/>
        <w:t>destroys</w:t>
      </w:r>
      <w:r>
        <w:rPr>
          <w:spacing w:val="30"/>
        </w:rPr>
        <w:t> </w:t>
      </w:r>
      <w:r>
        <w:rPr/>
        <w:t>her,</w:t>
      </w:r>
      <w:r>
        <w:rPr>
          <w:spacing w:val="32"/>
        </w:rPr>
        <w:t> </w:t>
      </w:r>
      <w:r>
        <w:rPr/>
        <w:t>“Nobody; I</w:t>
      </w:r>
      <w:r>
        <w:rPr>
          <w:spacing w:val="-3"/>
        </w:rPr>
        <w:t> </w:t>
      </w:r>
      <w:r>
        <w:rPr/>
        <w:t>myself. Farewell”</w:t>
      </w:r>
      <w:r>
        <w:rPr>
          <w:spacing w:val="-4"/>
        </w:rPr>
        <w:t> </w:t>
      </w:r>
      <w:r>
        <w:rPr/>
        <w:t>(</w:t>
      </w:r>
      <w:r>
        <w:rPr>
          <w:i/>
        </w:rPr>
        <w:t>Othello</w:t>
      </w:r>
      <w:r>
        <w:rPr>
          <w:i/>
          <w:spacing w:val="-1"/>
        </w:rPr>
        <w:t> </w:t>
      </w:r>
      <w:r>
        <w:rPr/>
        <w:t>5.2.125).</w:t>
      </w:r>
      <w:r>
        <w:rPr>
          <w:spacing w:val="-1"/>
        </w:rPr>
        <w:t> </w:t>
      </w:r>
      <w:r>
        <w:rPr/>
        <w:t>The</w:t>
      </w:r>
      <w:r>
        <w:rPr>
          <w:spacing w:val="-4"/>
        </w:rPr>
        <w:t> </w:t>
      </w:r>
      <w:r>
        <w:rPr/>
        <w:t>former</w:t>
      </w:r>
      <w:r>
        <w:rPr>
          <w:spacing w:val="-1"/>
        </w:rPr>
        <w:t> </w:t>
      </w:r>
      <w:r>
        <w:rPr/>
        <w:t>breaks</w:t>
      </w:r>
      <w:r>
        <w:rPr>
          <w:spacing w:val="-5"/>
        </w:rPr>
        <w:t> </w:t>
      </w:r>
      <w:r>
        <w:rPr/>
        <w:t>because</w:t>
      </w:r>
      <w:r>
        <w:rPr>
          <w:spacing w:val="-1"/>
        </w:rPr>
        <w:t> </w:t>
      </w:r>
      <w:r>
        <w:rPr/>
        <w:t>she</w:t>
      </w:r>
      <w:r>
        <w:rPr>
          <w:spacing w:val="-3"/>
        </w:rPr>
        <w:t> </w:t>
      </w:r>
      <w:r>
        <w:rPr/>
        <w:t>is unheard; the latter bends because she chooses to be</w:t>
      </w:r>
      <w:r>
        <w:rPr>
          <w:spacing w:val="-1"/>
        </w:rPr>
        <w:t> </w:t>
      </w:r>
      <w:r>
        <w:rPr/>
        <w:t>heard within</w:t>
      </w:r>
      <w:r>
        <w:rPr>
          <w:spacing w:val="-1"/>
        </w:rPr>
        <w:t> </w:t>
      </w:r>
      <w:r>
        <w:rPr/>
        <w:t>limits. Thus, one embodies the cost of enforced silence, the other the cost of negotiated speech. As critics observe, “early modern women’s voices were</w:t>
      </w:r>
      <w:r>
        <w:rPr>
          <w:spacing w:val="21"/>
        </w:rPr>
        <w:t> </w:t>
      </w:r>
      <w:r>
        <w:rPr/>
        <w:t>shaped</w:t>
      </w:r>
      <w:r>
        <w:rPr>
          <w:spacing w:val="23"/>
        </w:rPr>
        <w:t> </w:t>
      </w:r>
      <w:r>
        <w:rPr/>
        <w:t>as</w:t>
      </w:r>
      <w:r>
        <w:rPr>
          <w:spacing w:val="20"/>
        </w:rPr>
        <w:t> </w:t>
      </w:r>
      <w:r>
        <w:rPr/>
        <w:t>much</w:t>
      </w:r>
      <w:r>
        <w:rPr>
          <w:spacing w:val="20"/>
        </w:rPr>
        <w:t> </w:t>
      </w:r>
      <w:r>
        <w:rPr/>
        <w:t>by</w:t>
      </w:r>
      <w:r>
        <w:rPr>
          <w:spacing w:val="18"/>
        </w:rPr>
        <w:t> </w:t>
      </w:r>
      <w:r>
        <w:rPr/>
        <w:t>repression</w:t>
      </w:r>
      <w:r>
        <w:rPr>
          <w:spacing w:val="22"/>
        </w:rPr>
        <w:t> </w:t>
      </w:r>
      <w:r>
        <w:rPr/>
        <w:t>as</w:t>
      </w:r>
      <w:r>
        <w:rPr>
          <w:spacing w:val="20"/>
        </w:rPr>
        <w:t> </w:t>
      </w:r>
      <w:r>
        <w:rPr/>
        <w:t>by</w:t>
      </w:r>
      <w:r>
        <w:rPr>
          <w:spacing w:val="18"/>
        </w:rPr>
        <w:t> </w:t>
      </w:r>
      <w:r>
        <w:rPr/>
        <w:t>resistance”</w:t>
      </w:r>
      <w:r>
        <w:rPr>
          <w:spacing w:val="23"/>
        </w:rPr>
        <w:t> </w:t>
      </w:r>
      <w:r>
        <w:rPr/>
        <w:t>(Callaghan</w:t>
      </w:r>
      <w:r>
        <w:rPr>
          <w:spacing w:val="20"/>
        </w:rPr>
        <w:t> </w:t>
      </w:r>
      <w:r>
        <w:rPr/>
        <w:t>81), a condition that the #MeToo era renders newly legible. Hence, the comparison is not of strength and weakness, but of strategies under pressure; Ophelia’s breaking exposes the violence of silencing, while Desdemona’s</w:t>
      </w:r>
      <w:r>
        <w:rPr>
          <w:spacing w:val="40"/>
        </w:rPr>
        <w:t> </w:t>
      </w:r>
      <w:r>
        <w:rPr/>
        <w:t>bending</w:t>
      </w:r>
      <w:r>
        <w:rPr>
          <w:spacing w:val="40"/>
        </w:rPr>
        <w:t> </w:t>
      </w:r>
      <w:r>
        <w:rPr/>
        <w:t>reveals</w:t>
      </w:r>
      <w:r>
        <w:rPr>
          <w:spacing w:val="40"/>
        </w:rPr>
        <w:t> </w:t>
      </w:r>
      <w:r>
        <w:rPr/>
        <w:t>the</w:t>
      </w:r>
      <w:r>
        <w:rPr>
          <w:spacing w:val="40"/>
        </w:rPr>
        <w:t> </w:t>
      </w:r>
      <w:r>
        <w:rPr/>
        <w:t>endurance</w:t>
      </w:r>
      <w:r>
        <w:rPr>
          <w:spacing w:val="40"/>
        </w:rPr>
        <w:t> </w:t>
      </w:r>
      <w:r>
        <w:rPr/>
        <w:t>of</w:t>
      </w:r>
      <w:r>
        <w:rPr>
          <w:spacing w:val="40"/>
        </w:rPr>
        <w:t> </w:t>
      </w:r>
      <w:r>
        <w:rPr/>
        <w:t>voice</w:t>
      </w:r>
      <w:r>
        <w:rPr>
          <w:spacing w:val="40"/>
        </w:rPr>
        <w:t> </w:t>
      </w:r>
      <w:r>
        <w:rPr/>
        <w:t>within</w:t>
      </w:r>
      <w:r>
        <w:rPr>
          <w:spacing w:val="40"/>
        </w:rPr>
        <w:t> </w:t>
      </w:r>
      <w:r>
        <w:rPr/>
        <w:t>it.</w:t>
      </w:r>
    </w:p>
    <w:p>
      <w:pPr>
        <w:pStyle w:val="BodyText"/>
        <w:spacing w:line="249" w:lineRule="auto" w:before="73"/>
        <w:ind w:right="1440" w:firstLine="432"/>
        <w:jc w:val="both"/>
      </w:pPr>
      <w:r>
        <w:rPr/>
        <w:t>The title itself invites judgement before argument; it proposes a dialectic that criticism has long intuited but seldom named so plainly. To speak of “voices that break” and “voices that bend” is to convert character into condition, and condition into critique. Scholars attentive to</w:t>
      </w:r>
      <w:r>
        <w:rPr>
          <w:spacing w:val="6"/>
        </w:rPr>
        <w:t> </w:t>
      </w:r>
      <w:r>
        <w:rPr/>
        <w:t>gendered</w:t>
      </w:r>
      <w:r>
        <w:rPr>
          <w:spacing w:val="6"/>
        </w:rPr>
        <w:t> </w:t>
      </w:r>
      <w:r>
        <w:rPr/>
        <w:t>discourse</w:t>
      </w:r>
      <w:r>
        <w:rPr>
          <w:spacing w:val="7"/>
        </w:rPr>
        <w:t> </w:t>
      </w:r>
      <w:r>
        <w:rPr/>
        <w:t>have</w:t>
      </w:r>
      <w:r>
        <w:rPr>
          <w:spacing w:val="7"/>
        </w:rPr>
        <w:t> </w:t>
      </w:r>
      <w:r>
        <w:rPr/>
        <w:t>argued</w:t>
      </w:r>
      <w:r>
        <w:rPr>
          <w:spacing w:val="7"/>
        </w:rPr>
        <w:t> </w:t>
      </w:r>
      <w:r>
        <w:rPr/>
        <w:t>that</w:t>
      </w:r>
      <w:r>
        <w:rPr>
          <w:spacing w:val="4"/>
        </w:rPr>
        <w:t> </w:t>
      </w:r>
      <w:r>
        <w:rPr/>
        <w:t>early</w:t>
      </w:r>
      <w:r>
        <w:rPr>
          <w:spacing w:val="3"/>
        </w:rPr>
        <w:t> </w:t>
      </w:r>
      <w:r>
        <w:rPr/>
        <w:t>modern</w:t>
      </w:r>
      <w:r>
        <w:rPr>
          <w:spacing w:val="7"/>
        </w:rPr>
        <w:t> </w:t>
      </w:r>
      <w:r>
        <w:rPr/>
        <w:t>women</w:t>
      </w:r>
      <w:r>
        <w:rPr>
          <w:spacing w:val="5"/>
        </w:rPr>
        <w:t> </w:t>
      </w:r>
      <w:r>
        <w:rPr/>
        <w:t>“speak</w:t>
      </w:r>
      <w:r>
        <w:rPr>
          <w:spacing w:val="2"/>
        </w:rPr>
        <w:t> </w:t>
      </w:r>
      <w:r>
        <w:rPr>
          <w:spacing w:val="-5"/>
        </w:rPr>
        <w:t>in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08000">
                <wp:simplePos x="0" y="0"/>
                <wp:positionH relativeFrom="page">
                  <wp:posOffset>2057400</wp:posOffset>
                </wp:positionH>
                <wp:positionV relativeFrom="paragraph">
                  <wp:posOffset>162604</wp:posOffset>
                </wp:positionV>
                <wp:extent cx="3657600" cy="12700"/>
                <wp:effectExtent l="0" t="0" r="0" b="0"/>
                <wp:wrapTopAndBottom/>
                <wp:docPr id="607" name="Graphic 607"/>
                <wp:cNvGraphicFramePr>
                  <a:graphicFrameLocks/>
                </wp:cNvGraphicFramePr>
                <a:graphic>
                  <a:graphicData uri="http://schemas.microsoft.com/office/word/2010/wordprocessingShape">
                    <wps:wsp>
                      <wps:cNvPr id="607" name="Graphic 60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08480;mso-wrap-distance-left:0;mso-wrap-distance-right:0" id="docshape599" filled="true" fillcolor="#000000" stroked="false">
                <v:fill type="solid"/>
                <w10:wrap type="topAndBottom"/>
              </v:rect>
            </w:pict>
          </mc:Fallback>
        </mc:AlternateContent>
      </w:r>
      <w:r>
        <w:rPr>
          <w:rFonts w:ascii="Verdana"/>
          <w:spacing w:val="-5"/>
          <w:sz w:val="18"/>
        </w:rPr>
        <w:t>294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forms that register both compliance and resistance” (Callaghan 83), a view that lends theoretical weight to the distinction the title advances.</w:t>
      </w:r>
      <w:r>
        <w:rPr>
          <w:spacing w:val="40"/>
        </w:rPr>
        <w:t> </w:t>
      </w:r>
      <w:r>
        <w:rPr/>
        <w:t>In the works of William Shakespeare, such duality is neither accidental nor</w:t>
      </w:r>
      <w:r>
        <w:rPr>
          <w:spacing w:val="-9"/>
        </w:rPr>
        <w:t> </w:t>
      </w:r>
      <w:r>
        <w:rPr/>
        <w:t>ornamental;</w:t>
      </w:r>
      <w:r>
        <w:rPr>
          <w:spacing w:val="-12"/>
        </w:rPr>
        <w:t> </w:t>
      </w:r>
      <w:r>
        <w:rPr/>
        <w:t>it</w:t>
      </w:r>
      <w:r>
        <w:rPr>
          <w:spacing w:val="-10"/>
        </w:rPr>
        <w:t> </w:t>
      </w:r>
      <w:r>
        <w:rPr/>
        <w:t>is</w:t>
      </w:r>
      <w:r>
        <w:rPr>
          <w:spacing w:val="-10"/>
        </w:rPr>
        <w:t> </w:t>
      </w:r>
      <w:r>
        <w:rPr/>
        <w:t>structural,</w:t>
      </w:r>
      <w:r>
        <w:rPr>
          <w:spacing w:val="-12"/>
        </w:rPr>
        <w:t> </w:t>
      </w:r>
      <w:r>
        <w:rPr/>
        <w:t>embedded</w:t>
      </w:r>
      <w:r>
        <w:rPr>
          <w:spacing w:val="-8"/>
        </w:rPr>
        <w:t> </w:t>
      </w:r>
      <w:r>
        <w:rPr/>
        <w:t>in</w:t>
      </w:r>
      <w:r>
        <w:rPr>
          <w:spacing w:val="-13"/>
        </w:rPr>
        <w:t> </w:t>
      </w:r>
      <w:r>
        <w:rPr/>
        <w:t>the</w:t>
      </w:r>
      <w:r>
        <w:rPr>
          <w:spacing w:val="-9"/>
        </w:rPr>
        <w:t> </w:t>
      </w:r>
      <w:r>
        <w:rPr/>
        <w:t>very</w:t>
      </w:r>
      <w:r>
        <w:rPr>
          <w:spacing w:val="-13"/>
        </w:rPr>
        <w:t> </w:t>
      </w:r>
      <w:r>
        <w:rPr/>
        <w:t>grammar</w:t>
      </w:r>
      <w:r>
        <w:rPr>
          <w:spacing w:val="-9"/>
        </w:rPr>
        <w:t> </w:t>
      </w:r>
      <w:r>
        <w:rPr/>
        <w:t>of</w:t>
      </w:r>
      <w:r>
        <w:rPr>
          <w:spacing w:val="-10"/>
        </w:rPr>
        <w:t> </w:t>
      </w:r>
      <w:r>
        <w:rPr/>
        <w:t>female representation.</w:t>
      </w:r>
      <w:r>
        <w:rPr>
          <w:spacing w:val="-3"/>
        </w:rPr>
        <w:t> </w:t>
      </w:r>
      <w:r>
        <w:rPr/>
        <w:t>The</w:t>
      </w:r>
      <w:r>
        <w:rPr>
          <w:spacing w:val="-2"/>
        </w:rPr>
        <w:t> </w:t>
      </w:r>
      <w:r>
        <w:rPr/>
        <w:t>metaphor</w:t>
      </w:r>
      <w:r>
        <w:rPr>
          <w:spacing w:val="-3"/>
        </w:rPr>
        <w:t> </w:t>
      </w:r>
      <w:r>
        <w:rPr/>
        <w:t>of</w:t>
      </w:r>
      <w:r>
        <w:rPr>
          <w:spacing w:val="-4"/>
        </w:rPr>
        <w:t> </w:t>
      </w:r>
      <w:r>
        <w:rPr/>
        <w:t>breaking,</w:t>
      </w:r>
      <w:r>
        <w:rPr>
          <w:spacing w:val="-3"/>
        </w:rPr>
        <w:t> </w:t>
      </w:r>
      <w:r>
        <w:rPr/>
        <w:t>as</w:t>
      </w:r>
      <w:r>
        <w:rPr>
          <w:spacing w:val="-4"/>
        </w:rPr>
        <w:t> </w:t>
      </w:r>
      <w:r>
        <w:rPr/>
        <w:t>critics</w:t>
      </w:r>
      <w:r>
        <w:rPr>
          <w:spacing w:val="-3"/>
        </w:rPr>
        <w:t> </w:t>
      </w:r>
      <w:r>
        <w:rPr/>
        <w:t>suggest,</w:t>
      </w:r>
      <w:r>
        <w:rPr>
          <w:spacing w:val="-3"/>
        </w:rPr>
        <w:t> </w:t>
      </w:r>
      <w:r>
        <w:rPr/>
        <w:t>marks</w:t>
      </w:r>
      <w:r>
        <w:rPr>
          <w:spacing w:val="-3"/>
        </w:rPr>
        <w:t> </w:t>
      </w:r>
      <w:r>
        <w:rPr/>
        <w:t>“the point at which silence becomes unsustainable” (Showalter 94), while bending denotes a strategic accommodation, where voice survives by </w:t>
      </w:r>
      <w:r>
        <w:rPr>
          <w:spacing w:val="-2"/>
        </w:rPr>
        <w:t>yielding.</w:t>
      </w:r>
      <w:r>
        <w:rPr>
          <w:spacing w:val="-9"/>
        </w:rPr>
        <w:t> </w:t>
      </w:r>
      <w:r>
        <w:rPr>
          <w:spacing w:val="-2"/>
        </w:rPr>
        <w:t>Thus,</w:t>
      </w:r>
      <w:r>
        <w:rPr>
          <w:spacing w:val="-5"/>
        </w:rPr>
        <w:t> </w:t>
      </w:r>
      <w:r>
        <w:rPr>
          <w:spacing w:val="-2"/>
        </w:rPr>
        <w:t>the</w:t>
      </w:r>
      <w:r>
        <w:rPr>
          <w:spacing w:val="-8"/>
        </w:rPr>
        <w:t> </w:t>
      </w:r>
      <w:r>
        <w:rPr>
          <w:spacing w:val="-2"/>
        </w:rPr>
        <w:t>title</w:t>
      </w:r>
      <w:r>
        <w:rPr>
          <w:spacing w:val="-6"/>
        </w:rPr>
        <w:t> </w:t>
      </w:r>
      <w:r>
        <w:rPr>
          <w:spacing w:val="-2"/>
        </w:rPr>
        <w:t>does</w:t>
      </w:r>
      <w:r>
        <w:rPr>
          <w:spacing w:val="-8"/>
        </w:rPr>
        <w:t> </w:t>
      </w:r>
      <w:r>
        <w:rPr>
          <w:spacing w:val="-2"/>
        </w:rPr>
        <w:t>not</w:t>
      </w:r>
      <w:r>
        <w:rPr>
          <w:spacing w:val="-8"/>
        </w:rPr>
        <w:t> </w:t>
      </w:r>
      <w:r>
        <w:rPr>
          <w:spacing w:val="-2"/>
        </w:rPr>
        <w:t>merely</w:t>
      </w:r>
      <w:r>
        <w:rPr>
          <w:spacing w:val="-10"/>
        </w:rPr>
        <w:t> </w:t>
      </w:r>
      <w:r>
        <w:rPr>
          <w:spacing w:val="-2"/>
        </w:rPr>
        <w:t>classify</w:t>
      </w:r>
      <w:r>
        <w:rPr>
          <w:spacing w:val="-11"/>
        </w:rPr>
        <w:t> </w:t>
      </w:r>
      <w:r>
        <w:rPr>
          <w:spacing w:val="-2"/>
        </w:rPr>
        <w:t>Ophelia</w:t>
      </w:r>
      <w:r>
        <w:rPr>
          <w:spacing w:val="-7"/>
        </w:rPr>
        <w:t> </w:t>
      </w:r>
      <w:r>
        <w:rPr>
          <w:spacing w:val="-2"/>
        </w:rPr>
        <w:t>and</w:t>
      </w:r>
      <w:r>
        <w:rPr>
          <w:spacing w:val="-6"/>
        </w:rPr>
        <w:t> </w:t>
      </w:r>
      <w:r>
        <w:rPr>
          <w:spacing w:val="-2"/>
        </w:rPr>
        <w:t>Desdemona; </w:t>
      </w:r>
      <w:r>
        <w:rPr/>
        <w:t>it refracts them through a critical lens sharpened by the #MeToo consciousness. It implies that woman’s speech is rarely free, often negotiated,</w:t>
      </w:r>
      <w:r>
        <w:rPr>
          <w:spacing w:val="-8"/>
        </w:rPr>
        <w:t> </w:t>
      </w:r>
      <w:r>
        <w:rPr/>
        <w:t>and</w:t>
      </w:r>
      <w:r>
        <w:rPr>
          <w:spacing w:val="-5"/>
        </w:rPr>
        <w:t> </w:t>
      </w:r>
      <w:r>
        <w:rPr/>
        <w:t>always</w:t>
      </w:r>
      <w:r>
        <w:rPr>
          <w:spacing w:val="-8"/>
        </w:rPr>
        <w:t> </w:t>
      </w:r>
      <w:r>
        <w:rPr/>
        <w:t>consequential.</w:t>
      </w:r>
      <w:r>
        <w:rPr>
          <w:spacing w:val="-5"/>
        </w:rPr>
        <w:t> </w:t>
      </w:r>
      <w:r>
        <w:rPr/>
        <w:t>Hence,</w:t>
      </w:r>
      <w:r>
        <w:rPr>
          <w:spacing w:val="-8"/>
        </w:rPr>
        <w:t> </w:t>
      </w:r>
      <w:r>
        <w:rPr/>
        <w:t>critics</w:t>
      </w:r>
      <w:r>
        <w:rPr>
          <w:spacing w:val="-6"/>
        </w:rPr>
        <w:t> </w:t>
      </w:r>
      <w:r>
        <w:rPr/>
        <w:t>would</w:t>
      </w:r>
      <w:r>
        <w:rPr>
          <w:spacing w:val="-6"/>
        </w:rPr>
        <w:t> </w:t>
      </w:r>
      <w:r>
        <w:rPr/>
        <w:t>read</w:t>
      </w:r>
      <w:r>
        <w:rPr>
          <w:spacing w:val="-5"/>
        </w:rPr>
        <w:t> </w:t>
      </w:r>
      <w:r>
        <w:rPr/>
        <w:t>the</w:t>
      </w:r>
      <w:r>
        <w:rPr>
          <w:spacing w:val="-8"/>
        </w:rPr>
        <w:t> </w:t>
      </w:r>
      <w:r>
        <w:rPr/>
        <w:t>title not as embellishment, but as argument in embryo; it condenses within itself the paradox that to speak is to risk rupture, and to endure is to accept</w:t>
      </w:r>
      <w:r>
        <w:rPr>
          <w:spacing w:val="40"/>
        </w:rPr>
        <w:t> </w:t>
      </w:r>
      <w:r>
        <w:rPr/>
        <w:t>the</w:t>
      </w:r>
      <w:r>
        <w:rPr>
          <w:spacing w:val="40"/>
        </w:rPr>
        <w:t> </w:t>
      </w:r>
      <w:r>
        <w:rPr/>
        <w:t>burden</w:t>
      </w:r>
      <w:r>
        <w:rPr>
          <w:spacing w:val="40"/>
        </w:rPr>
        <w:t> </w:t>
      </w:r>
      <w:r>
        <w:rPr/>
        <w:t>of</w:t>
      </w:r>
      <w:r>
        <w:rPr>
          <w:spacing w:val="40"/>
        </w:rPr>
        <w:t> </w:t>
      </w:r>
      <w:r>
        <w:rPr/>
        <w:t>bending.</w:t>
      </w:r>
    </w:p>
    <w:p>
      <w:pPr>
        <w:pStyle w:val="Heading3"/>
        <w:spacing w:before="165"/>
      </w:pPr>
      <w:r>
        <w:rPr>
          <w:spacing w:val="-2"/>
        </w:rPr>
        <w:t>CONCLUSION</w:t>
      </w:r>
    </w:p>
    <w:p>
      <w:pPr>
        <w:pStyle w:val="BodyText"/>
        <w:spacing w:line="249" w:lineRule="auto" w:before="75"/>
        <w:ind w:right="1439" w:firstLine="432"/>
        <w:jc w:val="both"/>
      </w:pPr>
      <w:r>
        <w:rPr/>
        <w:t>Conclusion gathers what analysis disperses; it renders pattern</w:t>
      </w:r>
      <w:r>
        <w:rPr>
          <w:spacing w:val="40"/>
        </w:rPr>
        <w:t> </w:t>
      </w:r>
      <w:r>
        <w:rPr/>
        <w:t>from fragments and judgement from comparison. The #MeToo era has shown that silence is seldom natural and speech is seldom free; both</w:t>
      </w:r>
      <w:r>
        <w:rPr>
          <w:spacing w:val="80"/>
        </w:rPr>
        <w:t> </w:t>
      </w:r>
      <w:r>
        <w:rPr/>
        <w:t>are shaped by power. In such a light, the figures of Ophelia and Desdemona, as imagined by William Shakespeare, cease to be distant tragedies and become living paradigms. Ophelia’s breaking reveals the cost of a voice denied articulation, where endurance turns inward and dissolves into fracture. Desdemona’s bending reveals the burden of </w:t>
      </w:r>
      <w:r>
        <w:rPr>
          <w:spacing w:val="-2"/>
        </w:rPr>
        <w:t>negotiated</w:t>
      </w:r>
      <w:r>
        <w:rPr>
          <w:spacing w:val="-6"/>
        </w:rPr>
        <w:t> </w:t>
      </w:r>
      <w:r>
        <w:rPr>
          <w:spacing w:val="-2"/>
        </w:rPr>
        <w:t>speech,</w:t>
      </w:r>
      <w:r>
        <w:rPr>
          <w:spacing w:val="-6"/>
        </w:rPr>
        <w:t> </w:t>
      </w:r>
      <w:r>
        <w:rPr>
          <w:spacing w:val="-2"/>
        </w:rPr>
        <w:t>where</w:t>
      </w:r>
      <w:r>
        <w:rPr>
          <w:spacing w:val="-11"/>
        </w:rPr>
        <w:t> </w:t>
      </w:r>
      <w:r>
        <w:rPr>
          <w:spacing w:val="-2"/>
        </w:rPr>
        <w:t>assertion</w:t>
      </w:r>
      <w:r>
        <w:rPr>
          <w:spacing w:val="-10"/>
        </w:rPr>
        <w:t> </w:t>
      </w:r>
      <w:r>
        <w:rPr>
          <w:spacing w:val="-2"/>
        </w:rPr>
        <w:t>survives,</w:t>
      </w:r>
      <w:r>
        <w:rPr>
          <w:spacing w:val="-9"/>
        </w:rPr>
        <w:t> </w:t>
      </w:r>
      <w:r>
        <w:rPr>
          <w:spacing w:val="-2"/>
        </w:rPr>
        <w:t>yet</w:t>
      </w:r>
      <w:r>
        <w:rPr>
          <w:spacing w:val="-9"/>
        </w:rPr>
        <w:t> </w:t>
      </w:r>
      <w:r>
        <w:rPr>
          <w:spacing w:val="-2"/>
        </w:rPr>
        <w:t>within</w:t>
      </w:r>
      <w:r>
        <w:rPr>
          <w:spacing w:val="-11"/>
        </w:rPr>
        <w:t> </w:t>
      </w:r>
      <w:r>
        <w:rPr>
          <w:spacing w:val="-2"/>
        </w:rPr>
        <w:t>the</w:t>
      </w:r>
      <w:r>
        <w:rPr>
          <w:spacing w:val="-6"/>
        </w:rPr>
        <w:t> </w:t>
      </w:r>
      <w:r>
        <w:rPr>
          <w:spacing w:val="-2"/>
        </w:rPr>
        <w:t>limits</w:t>
      </w:r>
      <w:r>
        <w:rPr>
          <w:spacing w:val="-11"/>
        </w:rPr>
        <w:t> </w:t>
      </w:r>
      <w:r>
        <w:rPr>
          <w:spacing w:val="-2"/>
        </w:rPr>
        <w:t>imposed </w:t>
      </w:r>
      <w:r>
        <w:rPr/>
        <w:t>by authority. Thus, the study does not weigh one against the other; it reads them as complementary testimonies of constraint. What breaks exposes violence; what bends exposes endurance. The former indicts silence, the latter complicates speech. Hence, the conclusion stands thus: the feminine voice, whether broken or bent, is never empty—it bears the imprint of the structures that shape it, and in bearing, it </w:t>
      </w:r>
      <w:r>
        <w:rPr>
          <w:spacing w:val="-2"/>
        </w:rPr>
        <w:t>reveals.</w:t>
      </w:r>
    </w:p>
    <w:p>
      <w:pPr>
        <w:pStyle w:val="Heading3"/>
        <w:spacing w:before="167"/>
      </w:pPr>
      <w:r>
        <w:rPr>
          <w:w w:val="90"/>
        </w:rPr>
        <w:t>WORKS</w:t>
      </w:r>
      <w:r>
        <w:rPr>
          <w:spacing w:val="6"/>
        </w:rPr>
        <w:t> </w:t>
      </w:r>
      <w:r>
        <w:rPr>
          <w:spacing w:val="-2"/>
          <w:w w:val="95"/>
        </w:rPr>
        <w:t>CITED</w:t>
      </w:r>
    </w:p>
    <w:p>
      <w:pPr>
        <w:pStyle w:val="ListParagraph"/>
        <w:numPr>
          <w:ilvl w:val="0"/>
          <w:numId w:val="64"/>
        </w:numPr>
        <w:tabs>
          <w:tab w:pos="2157" w:val="left" w:leader="none"/>
          <w:tab w:pos="2160" w:val="left" w:leader="none"/>
        </w:tabs>
        <w:spacing w:line="261" w:lineRule="auto" w:before="85" w:after="0"/>
        <w:ind w:left="2160" w:right="1438" w:hanging="315"/>
        <w:jc w:val="left"/>
        <w:rPr>
          <w:sz w:val="19"/>
        </w:rPr>
      </w:pPr>
      <w:r>
        <w:rPr>
          <w:sz w:val="19"/>
        </w:rPr>
        <w:t>Amussen,</w:t>
      </w:r>
      <w:r>
        <w:rPr>
          <w:spacing w:val="80"/>
          <w:sz w:val="19"/>
        </w:rPr>
        <w:t> </w:t>
      </w:r>
      <w:r>
        <w:rPr>
          <w:sz w:val="19"/>
        </w:rPr>
        <w:t>Susan</w:t>
      </w:r>
      <w:r>
        <w:rPr>
          <w:spacing w:val="80"/>
          <w:sz w:val="19"/>
        </w:rPr>
        <w:t> </w:t>
      </w:r>
      <w:r>
        <w:rPr>
          <w:sz w:val="19"/>
        </w:rPr>
        <w:t>Dwyer.</w:t>
      </w:r>
      <w:r>
        <w:rPr>
          <w:spacing w:val="80"/>
          <w:sz w:val="19"/>
        </w:rPr>
        <w:t> </w:t>
      </w:r>
      <w:r>
        <w:rPr>
          <w:i/>
          <w:sz w:val="19"/>
        </w:rPr>
        <w:t>An</w:t>
      </w:r>
      <w:r>
        <w:rPr>
          <w:i/>
          <w:spacing w:val="80"/>
          <w:sz w:val="19"/>
        </w:rPr>
        <w:t> </w:t>
      </w:r>
      <w:r>
        <w:rPr>
          <w:i/>
          <w:sz w:val="19"/>
        </w:rPr>
        <w:t>Ordered</w:t>
      </w:r>
      <w:r>
        <w:rPr>
          <w:i/>
          <w:spacing w:val="80"/>
          <w:sz w:val="19"/>
        </w:rPr>
        <w:t> </w:t>
      </w:r>
      <w:r>
        <w:rPr>
          <w:i/>
          <w:sz w:val="19"/>
        </w:rPr>
        <w:t>Society:</w:t>
      </w:r>
      <w:r>
        <w:rPr>
          <w:i/>
          <w:spacing w:val="80"/>
          <w:sz w:val="19"/>
        </w:rPr>
        <w:t> </w:t>
      </w:r>
      <w:r>
        <w:rPr>
          <w:i/>
          <w:sz w:val="19"/>
        </w:rPr>
        <w:t>Gender</w:t>
      </w:r>
      <w:r>
        <w:rPr>
          <w:i/>
          <w:spacing w:val="80"/>
          <w:sz w:val="19"/>
        </w:rPr>
        <w:t> </w:t>
      </w:r>
      <w:r>
        <w:rPr>
          <w:i/>
          <w:sz w:val="19"/>
        </w:rPr>
        <w:t>and Class</w:t>
      </w:r>
      <w:r>
        <w:rPr>
          <w:i/>
          <w:spacing w:val="40"/>
          <w:sz w:val="19"/>
        </w:rPr>
        <w:t> </w:t>
      </w:r>
      <w:r>
        <w:rPr>
          <w:i/>
          <w:sz w:val="19"/>
        </w:rPr>
        <w:t>in</w:t>
      </w:r>
      <w:r>
        <w:rPr>
          <w:i/>
          <w:spacing w:val="40"/>
          <w:sz w:val="19"/>
        </w:rPr>
        <w:t> </w:t>
      </w:r>
      <w:r>
        <w:rPr>
          <w:i/>
          <w:sz w:val="19"/>
        </w:rPr>
        <w:t>Early</w:t>
      </w:r>
      <w:r>
        <w:rPr>
          <w:i/>
          <w:spacing w:val="40"/>
          <w:sz w:val="19"/>
        </w:rPr>
        <w:t> </w:t>
      </w:r>
      <w:r>
        <w:rPr>
          <w:i/>
          <w:sz w:val="19"/>
        </w:rPr>
        <w:t>Modern</w:t>
      </w:r>
      <w:r>
        <w:rPr>
          <w:i/>
          <w:spacing w:val="40"/>
          <w:sz w:val="19"/>
        </w:rPr>
        <w:t> </w:t>
      </w:r>
      <w:r>
        <w:rPr>
          <w:i/>
          <w:sz w:val="19"/>
        </w:rPr>
        <w:t>England</w:t>
      </w:r>
      <w:r>
        <w:rPr>
          <w:sz w:val="19"/>
        </w:rPr>
        <w:t>.</w:t>
      </w:r>
      <w:r>
        <w:rPr>
          <w:spacing w:val="40"/>
          <w:sz w:val="19"/>
        </w:rPr>
        <w:t> </w:t>
      </w:r>
      <w:r>
        <w:rPr>
          <w:sz w:val="19"/>
        </w:rPr>
        <w:t>Columbia</w:t>
      </w:r>
      <w:r>
        <w:rPr>
          <w:spacing w:val="40"/>
          <w:sz w:val="19"/>
        </w:rPr>
        <w:t> </w:t>
      </w:r>
      <w:r>
        <w:rPr>
          <w:sz w:val="19"/>
        </w:rPr>
        <w:t>UP,</w:t>
      </w:r>
      <w:r>
        <w:rPr>
          <w:spacing w:val="40"/>
          <w:sz w:val="19"/>
        </w:rPr>
        <w:t> </w:t>
      </w:r>
      <w:r>
        <w:rPr>
          <w:sz w:val="19"/>
        </w:rPr>
        <w:t>1988.</w:t>
      </w:r>
    </w:p>
    <w:p>
      <w:pPr>
        <w:pStyle w:val="ListParagraph"/>
        <w:numPr>
          <w:ilvl w:val="0"/>
          <w:numId w:val="64"/>
        </w:numPr>
        <w:tabs>
          <w:tab w:pos="2157" w:val="left" w:leader="none"/>
          <w:tab w:pos="2160" w:val="left" w:leader="none"/>
        </w:tabs>
        <w:spacing w:line="261" w:lineRule="auto" w:before="56" w:after="0"/>
        <w:ind w:left="2160" w:right="1438" w:hanging="315"/>
        <w:jc w:val="left"/>
        <w:rPr>
          <w:sz w:val="19"/>
        </w:rPr>
      </w:pPr>
      <w:r>
        <w:rPr>
          <w:sz w:val="19"/>
        </w:rPr>
        <w:t>Banet-Weiser,</w:t>
      </w:r>
      <w:r>
        <w:rPr>
          <w:spacing w:val="80"/>
          <w:sz w:val="19"/>
        </w:rPr>
        <w:t> </w:t>
      </w:r>
      <w:r>
        <w:rPr>
          <w:sz w:val="19"/>
        </w:rPr>
        <w:t>Sarah.</w:t>
      </w:r>
      <w:r>
        <w:rPr>
          <w:spacing w:val="80"/>
          <w:sz w:val="19"/>
        </w:rPr>
        <w:t> </w:t>
      </w:r>
      <w:r>
        <w:rPr>
          <w:i/>
          <w:sz w:val="19"/>
        </w:rPr>
        <w:t>Empowered:</w:t>
      </w:r>
      <w:r>
        <w:rPr>
          <w:i/>
          <w:spacing w:val="80"/>
          <w:sz w:val="19"/>
        </w:rPr>
        <w:t> </w:t>
      </w:r>
      <w:r>
        <w:rPr>
          <w:i/>
          <w:sz w:val="19"/>
        </w:rPr>
        <w:t>Popular</w:t>
      </w:r>
      <w:r>
        <w:rPr>
          <w:i/>
          <w:spacing w:val="80"/>
          <w:sz w:val="19"/>
        </w:rPr>
        <w:t> </w:t>
      </w:r>
      <w:r>
        <w:rPr>
          <w:i/>
          <w:sz w:val="19"/>
        </w:rPr>
        <w:t>Feminism</w:t>
      </w:r>
      <w:r>
        <w:rPr>
          <w:i/>
          <w:spacing w:val="80"/>
          <w:sz w:val="19"/>
        </w:rPr>
        <w:t> </w:t>
      </w:r>
      <w:r>
        <w:rPr>
          <w:i/>
          <w:sz w:val="19"/>
        </w:rPr>
        <w:t>and Popular</w:t>
      </w:r>
      <w:r>
        <w:rPr>
          <w:i/>
          <w:spacing w:val="40"/>
          <w:sz w:val="19"/>
        </w:rPr>
        <w:t> </w:t>
      </w:r>
      <w:r>
        <w:rPr>
          <w:i/>
          <w:sz w:val="19"/>
        </w:rPr>
        <w:t>Misogyny</w:t>
      </w:r>
      <w:r>
        <w:rPr>
          <w:sz w:val="19"/>
        </w:rPr>
        <w:t>.</w:t>
      </w:r>
      <w:r>
        <w:rPr>
          <w:spacing w:val="40"/>
          <w:sz w:val="19"/>
        </w:rPr>
        <w:t> </w:t>
      </w:r>
      <w:r>
        <w:rPr>
          <w:sz w:val="19"/>
        </w:rPr>
        <w:t>Duke</w:t>
      </w:r>
      <w:r>
        <w:rPr>
          <w:spacing w:val="40"/>
          <w:sz w:val="19"/>
        </w:rPr>
        <w:t> </w:t>
      </w:r>
      <w:r>
        <w:rPr>
          <w:sz w:val="19"/>
        </w:rPr>
        <w:t>UP,</w:t>
      </w:r>
      <w:r>
        <w:rPr>
          <w:spacing w:val="40"/>
          <w:sz w:val="19"/>
        </w:rPr>
        <w:t> </w:t>
      </w:r>
      <w:r>
        <w:rPr>
          <w:sz w:val="19"/>
        </w:rPr>
        <w:t>2018.</w:t>
      </w:r>
    </w:p>
    <w:p>
      <w:pPr>
        <w:pStyle w:val="ListParagraph"/>
        <w:numPr>
          <w:ilvl w:val="0"/>
          <w:numId w:val="64"/>
        </w:numPr>
        <w:tabs>
          <w:tab w:pos="2157" w:val="left" w:leader="none"/>
          <w:tab w:pos="2160" w:val="left" w:leader="none"/>
        </w:tabs>
        <w:spacing w:line="261" w:lineRule="auto" w:before="59" w:after="0"/>
        <w:ind w:left="2160" w:right="1442" w:hanging="315"/>
        <w:jc w:val="left"/>
        <w:rPr>
          <w:sz w:val="19"/>
        </w:rPr>
      </w:pPr>
      <w:r>
        <w:rPr>
          <w:sz w:val="19"/>
        </w:rPr>
        <w:t>Burke, Tarana.</w:t>
      </w:r>
      <w:r>
        <w:rPr>
          <w:spacing w:val="25"/>
          <w:sz w:val="19"/>
        </w:rPr>
        <w:t> </w:t>
      </w:r>
      <w:r>
        <w:rPr>
          <w:i/>
          <w:sz w:val="19"/>
        </w:rPr>
        <w:t>Unbound:</w:t>
      </w:r>
      <w:r>
        <w:rPr>
          <w:i/>
          <w:spacing w:val="22"/>
          <w:sz w:val="19"/>
        </w:rPr>
        <w:t> </w:t>
      </w:r>
      <w:r>
        <w:rPr>
          <w:i/>
          <w:sz w:val="19"/>
        </w:rPr>
        <w:t>My</w:t>
      </w:r>
      <w:r>
        <w:rPr>
          <w:i/>
          <w:spacing w:val="24"/>
          <w:sz w:val="19"/>
        </w:rPr>
        <w:t> </w:t>
      </w:r>
      <w:r>
        <w:rPr>
          <w:i/>
          <w:sz w:val="19"/>
        </w:rPr>
        <w:t>Story</w:t>
      </w:r>
      <w:r>
        <w:rPr>
          <w:i/>
          <w:spacing w:val="22"/>
          <w:sz w:val="19"/>
        </w:rPr>
        <w:t> </w:t>
      </w:r>
      <w:r>
        <w:rPr>
          <w:i/>
          <w:sz w:val="19"/>
        </w:rPr>
        <w:t>of</w:t>
      </w:r>
      <w:r>
        <w:rPr>
          <w:i/>
          <w:spacing w:val="26"/>
          <w:sz w:val="19"/>
        </w:rPr>
        <w:t> </w:t>
      </w:r>
      <w:r>
        <w:rPr>
          <w:i/>
          <w:sz w:val="19"/>
        </w:rPr>
        <w:t>Liberation</w:t>
      </w:r>
      <w:r>
        <w:rPr>
          <w:i/>
          <w:spacing w:val="24"/>
          <w:sz w:val="19"/>
        </w:rPr>
        <w:t> </w:t>
      </w:r>
      <w:r>
        <w:rPr>
          <w:i/>
          <w:sz w:val="19"/>
        </w:rPr>
        <w:t>and</w:t>
      </w:r>
      <w:r>
        <w:rPr>
          <w:i/>
          <w:spacing w:val="24"/>
          <w:sz w:val="19"/>
        </w:rPr>
        <w:t> </w:t>
      </w:r>
      <w:r>
        <w:rPr>
          <w:i/>
          <w:sz w:val="19"/>
        </w:rPr>
        <w:t>the</w:t>
      </w:r>
      <w:r>
        <w:rPr>
          <w:i/>
          <w:spacing w:val="23"/>
          <w:sz w:val="19"/>
        </w:rPr>
        <w:t> </w:t>
      </w:r>
      <w:r>
        <w:rPr>
          <w:i/>
          <w:sz w:val="19"/>
        </w:rPr>
        <w:t>Birth of</w:t>
      </w:r>
      <w:r>
        <w:rPr>
          <w:i/>
          <w:spacing w:val="40"/>
          <w:sz w:val="19"/>
        </w:rPr>
        <w:t> </w:t>
      </w:r>
      <w:r>
        <w:rPr>
          <w:i/>
          <w:sz w:val="19"/>
        </w:rPr>
        <w:t>the</w:t>
      </w:r>
      <w:r>
        <w:rPr>
          <w:i/>
          <w:spacing w:val="40"/>
          <w:sz w:val="19"/>
        </w:rPr>
        <w:t> </w:t>
      </w:r>
      <w:r>
        <w:rPr>
          <w:i/>
          <w:sz w:val="19"/>
        </w:rPr>
        <w:t>Me</w:t>
      </w:r>
      <w:r>
        <w:rPr>
          <w:i/>
          <w:spacing w:val="40"/>
          <w:sz w:val="19"/>
        </w:rPr>
        <w:t> </w:t>
      </w:r>
      <w:r>
        <w:rPr>
          <w:i/>
          <w:sz w:val="19"/>
        </w:rPr>
        <w:t>Too</w:t>
      </w:r>
      <w:r>
        <w:rPr>
          <w:i/>
          <w:spacing w:val="40"/>
          <w:sz w:val="19"/>
        </w:rPr>
        <w:t> </w:t>
      </w:r>
      <w:r>
        <w:rPr>
          <w:i/>
          <w:sz w:val="19"/>
        </w:rPr>
        <w:t>Movement</w:t>
      </w:r>
      <w:r>
        <w:rPr>
          <w:sz w:val="19"/>
        </w:rPr>
        <w:t>.</w:t>
      </w:r>
      <w:r>
        <w:rPr>
          <w:spacing w:val="40"/>
          <w:sz w:val="19"/>
        </w:rPr>
        <w:t> </w:t>
      </w:r>
      <w:r>
        <w:rPr>
          <w:sz w:val="19"/>
        </w:rPr>
        <w:t>Flatiron</w:t>
      </w:r>
      <w:r>
        <w:rPr>
          <w:spacing w:val="40"/>
          <w:sz w:val="19"/>
        </w:rPr>
        <w:t> </w:t>
      </w:r>
      <w:r>
        <w:rPr>
          <w:sz w:val="19"/>
        </w:rPr>
        <w:t>Books,</w:t>
      </w:r>
      <w:r>
        <w:rPr>
          <w:spacing w:val="40"/>
          <w:sz w:val="19"/>
        </w:rPr>
        <w:t> </w:t>
      </w:r>
      <w:r>
        <w:rPr>
          <w:sz w:val="19"/>
        </w:rPr>
        <w:t>2021.</w:t>
      </w:r>
    </w:p>
    <w:p>
      <w:pPr>
        <w:pStyle w:val="ListParagraph"/>
        <w:spacing w:after="0" w:line="261" w:lineRule="auto"/>
        <w:jc w:val="left"/>
        <w:rPr>
          <w:sz w:val="19"/>
        </w:rPr>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08512">
                <wp:simplePos x="0" y="0"/>
                <wp:positionH relativeFrom="page">
                  <wp:posOffset>2065020</wp:posOffset>
                </wp:positionH>
                <wp:positionV relativeFrom="paragraph">
                  <wp:posOffset>795020</wp:posOffset>
                </wp:positionV>
                <wp:extent cx="3657600" cy="12700"/>
                <wp:effectExtent l="0" t="0" r="0" b="0"/>
                <wp:wrapTopAndBottom/>
                <wp:docPr id="608" name="Graphic 608"/>
                <wp:cNvGraphicFramePr>
                  <a:graphicFrameLocks/>
                </wp:cNvGraphicFramePr>
                <a:graphic>
                  <a:graphicData uri="http://schemas.microsoft.com/office/word/2010/wordprocessingShape">
                    <wps:wsp>
                      <wps:cNvPr id="608" name="Graphic 60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07968;mso-wrap-distance-left:0;mso-wrap-distance-right:0" id="docshape600" filled="true" fillcolor="#000000" stroked="false">
                <v:fill type="solid"/>
                <w10:wrap type="topAndBottom"/>
              </v:rect>
            </w:pict>
          </mc:Fallback>
        </mc:AlternateContent>
      </w:r>
      <w:r>
        <w:rPr>
          <w:rFonts w:ascii="Verdana"/>
          <w:sz w:val="18"/>
        </w:rPr>
        <w:t>Voices</w:t>
      </w:r>
      <w:r>
        <w:rPr>
          <w:rFonts w:ascii="Verdana"/>
          <w:spacing w:val="17"/>
          <w:sz w:val="18"/>
        </w:rPr>
        <w:t> </w:t>
      </w:r>
      <w:r>
        <w:rPr>
          <w:rFonts w:ascii="Verdana"/>
          <w:sz w:val="18"/>
        </w:rPr>
        <w:t>that</w:t>
      </w:r>
      <w:r>
        <w:rPr>
          <w:rFonts w:ascii="Verdana"/>
          <w:spacing w:val="19"/>
          <w:sz w:val="18"/>
        </w:rPr>
        <w:t> </w:t>
      </w:r>
      <w:r>
        <w:rPr>
          <w:rFonts w:ascii="Verdana"/>
          <w:sz w:val="18"/>
        </w:rPr>
        <w:t>Break</w:t>
      </w:r>
      <w:r>
        <w:rPr>
          <w:rFonts w:ascii="Verdana"/>
          <w:spacing w:val="20"/>
          <w:sz w:val="18"/>
        </w:rPr>
        <w:t> </w:t>
      </w:r>
      <w:r>
        <w:rPr>
          <w:rFonts w:ascii="Verdana"/>
          <w:sz w:val="18"/>
        </w:rPr>
        <w:t>and</w:t>
      </w:r>
      <w:r>
        <w:rPr>
          <w:rFonts w:ascii="Verdana"/>
          <w:spacing w:val="20"/>
          <w:sz w:val="18"/>
        </w:rPr>
        <w:t> </w:t>
      </w:r>
      <w:r>
        <w:rPr>
          <w:rFonts w:ascii="Verdana"/>
          <w:sz w:val="18"/>
        </w:rPr>
        <w:t>Voices</w:t>
      </w:r>
      <w:r>
        <w:rPr>
          <w:rFonts w:ascii="Verdana"/>
          <w:spacing w:val="18"/>
          <w:sz w:val="18"/>
        </w:rPr>
        <w:t> </w:t>
      </w:r>
      <w:r>
        <w:rPr>
          <w:rFonts w:ascii="Verdana"/>
          <w:sz w:val="18"/>
        </w:rPr>
        <w:t>that</w:t>
      </w:r>
      <w:r>
        <w:rPr>
          <w:rFonts w:ascii="Verdana"/>
          <w:spacing w:val="19"/>
          <w:sz w:val="18"/>
        </w:rPr>
        <w:t> </w:t>
      </w:r>
      <w:r>
        <w:rPr>
          <w:rFonts w:ascii="Verdana"/>
          <w:spacing w:val="-2"/>
          <w:sz w:val="18"/>
        </w:rPr>
        <w:t>Bend...</w:t>
      </w:r>
      <w:r>
        <w:rPr>
          <w:sz w:val="18"/>
        </w:rPr>
        <w:tab/>
      </w:r>
      <w:r>
        <w:rPr>
          <w:rFonts w:ascii="Verdana"/>
          <w:spacing w:val="-5"/>
          <w:sz w:val="18"/>
        </w:rPr>
        <w:t>295</w:t>
      </w:r>
    </w:p>
    <w:p>
      <w:pPr>
        <w:pStyle w:val="ListParagraph"/>
        <w:numPr>
          <w:ilvl w:val="0"/>
          <w:numId w:val="64"/>
        </w:numPr>
        <w:tabs>
          <w:tab w:pos="2157" w:val="left" w:leader="none"/>
          <w:tab w:pos="2160" w:val="left" w:leader="none"/>
        </w:tabs>
        <w:spacing w:line="261" w:lineRule="auto" w:before="199" w:after="0"/>
        <w:ind w:left="2160" w:right="1439" w:hanging="315"/>
        <w:jc w:val="both"/>
        <w:rPr>
          <w:sz w:val="19"/>
        </w:rPr>
      </w:pPr>
      <w:r>
        <w:rPr>
          <w:sz w:val="19"/>
        </w:rPr>
        <w:t>Callaghan, Dympna. </w:t>
      </w:r>
      <w:r>
        <w:rPr>
          <w:i/>
          <w:sz w:val="19"/>
        </w:rPr>
        <w:t>Shakespeare without Women: Representing Gender</w:t>
      </w:r>
      <w:r>
        <w:rPr>
          <w:i/>
          <w:spacing w:val="37"/>
          <w:sz w:val="19"/>
        </w:rPr>
        <w:t> </w:t>
      </w:r>
      <w:r>
        <w:rPr>
          <w:i/>
          <w:sz w:val="19"/>
        </w:rPr>
        <w:t>and</w:t>
      </w:r>
      <w:r>
        <w:rPr>
          <w:i/>
          <w:spacing w:val="37"/>
          <w:sz w:val="19"/>
        </w:rPr>
        <w:t> </w:t>
      </w:r>
      <w:r>
        <w:rPr>
          <w:i/>
          <w:sz w:val="19"/>
        </w:rPr>
        <w:t>Race</w:t>
      </w:r>
      <w:r>
        <w:rPr>
          <w:i/>
          <w:spacing w:val="33"/>
          <w:sz w:val="19"/>
        </w:rPr>
        <w:t> </w:t>
      </w:r>
      <w:r>
        <w:rPr>
          <w:i/>
          <w:sz w:val="19"/>
        </w:rPr>
        <w:t>on</w:t>
      </w:r>
      <w:r>
        <w:rPr>
          <w:i/>
          <w:spacing w:val="37"/>
          <w:sz w:val="19"/>
        </w:rPr>
        <w:t> </w:t>
      </w:r>
      <w:r>
        <w:rPr>
          <w:i/>
          <w:sz w:val="19"/>
        </w:rPr>
        <w:t>the</w:t>
      </w:r>
      <w:r>
        <w:rPr>
          <w:i/>
          <w:spacing w:val="35"/>
          <w:sz w:val="19"/>
        </w:rPr>
        <w:t> </w:t>
      </w:r>
      <w:r>
        <w:rPr>
          <w:i/>
          <w:sz w:val="19"/>
        </w:rPr>
        <w:t>Renaissance</w:t>
      </w:r>
      <w:r>
        <w:rPr>
          <w:i/>
          <w:spacing w:val="35"/>
          <w:sz w:val="19"/>
        </w:rPr>
        <w:t> </w:t>
      </w:r>
      <w:r>
        <w:rPr>
          <w:i/>
          <w:sz w:val="19"/>
        </w:rPr>
        <w:t>Stage</w:t>
      </w:r>
      <w:r>
        <w:rPr>
          <w:sz w:val="19"/>
        </w:rPr>
        <w:t>.</w:t>
      </w:r>
      <w:r>
        <w:rPr>
          <w:spacing w:val="37"/>
          <w:sz w:val="19"/>
        </w:rPr>
        <w:t> </w:t>
      </w:r>
      <w:r>
        <w:rPr>
          <w:sz w:val="19"/>
        </w:rPr>
        <w:t>Routledge,</w:t>
      </w:r>
      <w:r>
        <w:rPr>
          <w:spacing w:val="37"/>
          <w:sz w:val="19"/>
        </w:rPr>
        <w:t> </w:t>
      </w:r>
      <w:r>
        <w:rPr>
          <w:sz w:val="19"/>
        </w:rPr>
        <w:t>2000.</w:t>
      </w:r>
    </w:p>
    <w:p>
      <w:pPr>
        <w:pStyle w:val="ListParagraph"/>
        <w:numPr>
          <w:ilvl w:val="0"/>
          <w:numId w:val="64"/>
        </w:numPr>
        <w:tabs>
          <w:tab w:pos="2157" w:val="left" w:leader="none"/>
        </w:tabs>
        <w:spacing w:line="240" w:lineRule="auto" w:before="57" w:after="0"/>
        <w:ind w:left="2157" w:right="0" w:hanging="312"/>
        <w:jc w:val="both"/>
        <w:rPr>
          <w:sz w:val="19"/>
        </w:rPr>
      </w:pPr>
      <w:r>
        <w:rPr>
          <w:sz w:val="19"/>
        </w:rPr>
        <w:t>Gouge,</w:t>
      </w:r>
      <w:r>
        <w:rPr>
          <w:spacing w:val="30"/>
          <w:sz w:val="19"/>
        </w:rPr>
        <w:t> </w:t>
      </w:r>
      <w:r>
        <w:rPr>
          <w:sz w:val="19"/>
        </w:rPr>
        <w:t>William.</w:t>
      </w:r>
      <w:r>
        <w:rPr>
          <w:spacing w:val="34"/>
          <w:sz w:val="19"/>
        </w:rPr>
        <w:t> </w:t>
      </w:r>
      <w:r>
        <w:rPr>
          <w:i/>
          <w:sz w:val="19"/>
        </w:rPr>
        <w:t>Of</w:t>
      </w:r>
      <w:r>
        <w:rPr>
          <w:i/>
          <w:spacing w:val="32"/>
          <w:sz w:val="19"/>
        </w:rPr>
        <w:t> </w:t>
      </w:r>
      <w:r>
        <w:rPr>
          <w:i/>
          <w:sz w:val="19"/>
        </w:rPr>
        <w:t>Domesticall</w:t>
      </w:r>
      <w:r>
        <w:rPr>
          <w:i/>
          <w:spacing w:val="33"/>
          <w:sz w:val="19"/>
        </w:rPr>
        <w:t> </w:t>
      </w:r>
      <w:r>
        <w:rPr>
          <w:i/>
          <w:sz w:val="19"/>
        </w:rPr>
        <w:t>Duties</w:t>
      </w:r>
      <w:r>
        <w:rPr>
          <w:sz w:val="19"/>
        </w:rPr>
        <w:t>.</w:t>
      </w:r>
      <w:r>
        <w:rPr>
          <w:spacing w:val="33"/>
          <w:sz w:val="19"/>
        </w:rPr>
        <w:t> </w:t>
      </w:r>
      <w:r>
        <w:rPr>
          <w:sz w:val="19"/>
        </w:rPr>
        <w:t>John</w:t>
      </w:r>
      <w:r>
        <w:rPr>
          <w:spacing w:val="33"/>
          <w:sz w:val="19"/>
        </w:rPr>
        <w:t> </w:t>
      </w:r>
      <w:r>
        <w:rPr>
          <w:sz w:val="19"/>
        </w:rPr>
        <w:t>Haviland,</w:t>
      </w:r>
      <w:r>
        <w:rPr>
          <w:spacing w:val="33"/>
          <w:sz w:val="19"/>
        </w:rPr>
        <w:t> </w:t>
      </w:r>
      <w:r>
        <w:rPr>
          <w:spacing w:val="-4"/>
          <w:sz w:val="19"/>
        </w:rPr>
        <w:t>1622.</w:t>
      </w:r>
    </w:p>
    <w:p>
      <w:pPr>
        <w:pStyle w:val="ListParagraph"/>
        <w:numPr>
          <w:ilvl w:val="0"/>
          <w:numId w:val="64"/>
        </w:numPr>
        <w:tabs>
          <w:tab w:pos="2157" w:val="left" w:leader="none"/>
          <w:tab w:pos="2160" w:val="left" w:leader="none"/>
        </w:tabs>
        <w:spacing w:line="261" w:lineRule="auto" w:before="79" w:after="0"/>
        <w:ind w:left="2160" w:right="1437" w:hanging="315"/>
        <w:jc w:val="both"/>
        <w:rPr>
          <w:sz w:val="19"/>
        </w:rPr>
      </w:pPr>
      <w:r>
        <w:rPr>
          <w:sz w:val="19"/>
        </w:rPr>
        <w:t>Neely, Carol Thomas. </w:t>
      </w:r>
      <w:r>
        <w:rPr>
          <w:i/>
          <w:sz w:val="19"/>
        </w:rPr>
        <w:t>Women and Men in Othello: “What</w:t>
      </w:r>
      <w:r>
        <w:rPr>
          <w:i/>
          <w:spacing w:val="80"/>
          <w:sz w:val="19"/>
        </w:rPr>
        <w:t> </w:t>
      </w:r>
      <w:r>
        <w:rPr>
          <w:i/>
          <w:sz w:val="19"/>
        </w:rPr>
        <w:t>Should Such a Fool Do with So Good a Wife?” </w:t>
      </w:r>
      <w:r>
        <w:rPr>
          <w:sz w:val="19"/>
        </w:rPr>
        <w:t>In </w:t>
      </w:r>
      <w:r>
        <w:rPr>
          <w:i/>
          <w:sz w:val="19"/>
        </w:rPr>
        <w:t>Critical</w:t>
      </w:r>
      <w:r>
        <w:rPr>
          <w:i/>
          <w:spacing w:val="80"/>
          <w:w w:val="150"/>
          <w:sz w:val="19"/>
        </w:rPr>
        <w:t> </w:t>
      </w:r>
      <w:r>
        <w:rPr>
          <w:i/>
          <w:sz w:val="19"/>
        </w:rPr>
        <w:t>Essays on Shakespeare’s Othello</w:t>
      </w:r>
      <w:r>
        <w:rPr>
          <w:sz w:val="19"/>
        </w:rPr>
        <w:t>, edited by Anthony Gerard Barthelemy, G.K. Hall, 1994, pp. 211–231.</w:t>
      </w:r>
    </w:p>
    <w:p>
      <w:pPr>
        <w:pStyle w:val="ListParagraph"/>
        <w:numPr>
          <w:ilvl w:val="0"/>
          <w:numId w:val="64"/>
        </w:numPr>
        <w:tabs>
          <w:tab w:pos="2157" w:val="left" w:leader="none"/>
          <w:tab w:pos="2160" w:val="left" w:leader="none"/>
        </w:tabs>
        <w:spacing w:line="261" w:lineRule="auto" w:before="58" w:after="0"/>
        <w:ind w:left="2160" w:right="1440" w:hanging="315"/>
        <w:jc w:val="both"/>
        <w:rPr>
          <w:sz w:val="19"/>
        </w:rPr>
      </w:pPr>
      <w:r>
        <w:rPr>
          <w:sz w:val="19"/>
        </w:rPr>
        <w:t>Shakespeare, William. </w:t>
      </w:r>
      <w:r>
        <w:rPr>
          <w:i/>
          <w:sz w:val="19"/>
        </w:rPr>
        <w:t>Hamlet</w:t>
      </w:r>
      <w:r>
        <w:rPr>
          <w:sz w:val="19"/>
        </w:rPr>
        <w:t>. Edited by Ann Thompson and</w:t>
      </w:r>
      <w:r>
        <w:rPr>
          <w:spacing w:val="40"/>
          <w:sz w:val="19"/>
        </w:rPr>
        <w:t> </w:t>
      </w:r>
      <w:r>
        <w:rPr>
          <w:sz w:val="19"/>
        </w:rPr>
        <w:t>Neil</w:t>
      </w:r>
      <w:r>
        <w:rPr>
          <w:spacing w:val="40"/>
          <w:sz w:val="19"/>
        </w:rPr>
        <w:t> </w:t>
      </w:r>
      <w:r>
        <w:rPr>
          <w:sz w:val="19"/>
        </w:rPr>
        <w:t>Taylor,</w:t>
      </w:r>
      <w:r>
        <w:rPr>
          <w:spacing w:val="40"/>
          <w:sz w:val="19"/>
        </w:rPr>
        <w:t> </w:t>
      </w:r>
      <w:r>
        <w:rPr>
          <w:sz w:val="19"/>
        </w:rPr>
        <w:t>Arden</w:t>
      </w:r>
      <w:r>
        <w:rPr>
          <w:spacing w:val="40"/>
          <w:sz w:val="19"/>
        </w:rPr>
        <w:t> </w:t>
      </w:r>
      <w:r>
        <w:rPr>
          <w:sz w:val="19"/>
        </w:rPr>
        <w:t>Shakespeare,</w:t>
      </w:r>
      <w:r>
        <w:rPr>
          <w:spacing w:val="40"/>
          <w:sz w:val="19"/>
        </w:rPr>
        <w:t> </w:t>
      </w:r>
      <w:r>
        <w:rPr>
          <w:sz w:val="19"/>
        </w:rPr>
        <w:t>Bloomsbury,</w:t>
      </w:r>
      <w:r>
        <w:rPr>
          <w:spacing w:val="40"/>
          <w:sz w:val="19"/>
        </w:rPr>
        <w:t> </w:t>
      </w:r>
      <w:r>
        <w:rPr>
          <w:sz w:val="19"/>
        </w:rPr>
        <w:t>2006.</w:t>
      </w:r>
    </w:p>
    <w:p>
      <w:pPr>
        <w:pStyle w:val="ListParagraph"/>
        <w:numPr>
          <w:ilvl w:val="0"/>
          <w:numId w:val="64"/>
        </w:numPr>
        <w:tabs>
          <w:tab w:pos="2157" w:val="left" w:leader="none"/>
          <w:tab w:pos="2160" w:val="left" w:leader="none"/>
        </w:tabs>
        <w:spacing w:line="261" w:lineRule="auto" w:before="56" w:after="0"/>
        <w:ind w:left="2160" w:right="1440" w:hanging="315"/>
        <w:jc w:val="both"/>
        <w:rPr>
          <w:sz w:val="19"/>
        </w:rPr>
      </w:pPr>
      <w:r>
        <w:rPr>
          <w:sz w:val="19"/>
        </w:rPr>
        <w:t>Shakespeare, William. </w:t>
      </w:r>
      <w:r>
        <w:rPr>
          <w:i/>
          <w:sz w:val="19"/>
        </w:rPr>
        <w:t>Othello</w:t>
      </w:r>
      <w:r>
        <w:rPr>
          <w:sz w:val="19"/>
        </w:rPr>
        <w:t>. Edited by E.A.J. Honigmann, Arden</w:t>
      </w:r>
      <w:r>
        <w:rPr>
          <w:spacing w:val="40"/>
          <w:sz w:val="19"/>
        </w:rPr>
        <w:t> </w:t>
      </w:r>
      <w:r>
        <w:rPr>
          <w:sz w:val="19"/>
        </w:rPr>
        <w:t>Shakespeare,</w:t>
      </w:r>
      <w:r>
        <w:rPr>
          <w:spacing w:val="40"/>
          <w:sz w:val="19"/>
        </w:rPr>
        <w:t> </w:t>
      </w:r>
      <w:r>
        <w:rPr>
          <w:sz w:val="19"/>
        </w:rPr>
        <w:t>Bloomsbury,</w:t>
      </w:r>
      <w:r>
        <w:rPr>
          <w:spacing w:val="40"/>
          <w:sz w:val="19"/>
        </w:rPr>
        <w:t> </w:t>
      </w:r>
      <w:r>
        <w:rPr>
          <w:sz w:val="19"/>
        </w:rPr>
        <w:t>1997.</w:t>
      </w:r>
    </w:p>
    <w:p>
      <w:pPr>
        <w:pStyle w:val="ListParagraph"/>
        <w:numPr>
          <w:ilvl w:val="0"/>
          <w:numId w:val="64"/>
        </w:numPr>
        <w:tabs>
          <w:tab w:pos="2157" w:val="left" w:leader="none"/>
          <w:tab w:pos="2160" w:val="left" w:leader="none"/>
        </w:tabs>
        <w:spacing w:line="261" w:lineRule="auto" w:before="59" w:after="0"/>
        <w:ind w:left="2160" w:right="1438" w:hanging="315"/>
        <w:jc w:val="both"/>
        <w:rPr>
          <w:sz w:val="19"/>
        </w:rPr>
      </w:pPr>
      <w:r>
        <w:rPr>
          <w:sz w:val="19"/>
        </w:rPr>
        <w:t>Showalter,</w:t>
      </w:r>
      <w:r>
        <w:rPr>
          <w:spacing w:val="40"/>
          <w:sz w:val="19"/>
        </w:rPr>
        <w:t> </w:t>
      </w:r>
      <w:r>
        <w:rPr>
          <w:sz w:val="19"/>
        </w:rPr>
        <w:t>Elaine.</w:t>
      </w:r>
      <w:r>
        <w:rPr>
          <w:spacing w:val="40"/>
          <w:sz w:val="19"/>
        </w:rPr>
        <w:t> </w:t>
      </w:r>
      <w:r>
        <w:rPr>
          <w:i/>
          <w:sz w:val="19"/>
        </w:rPr>
        <w:t>Representing</w:t>
      </w:r>
      <w:r>
        <w:rPr>
          <w:i/>
          <w:spacing w:val="40"/>
          <w:sz w:val="19"/>
        </w:rPr>
        <w:t> </w:t>
      </w:r>
      <w:r>
        <w:rPr>
          <w:i/>
          <w:sz w:val="19"/>
        </w:rPr>
        <w:t>Ophelia:</w:t>
      </w:r>
      <w:r>
        <w:rPr>
          <w:i/>
          <w:spacing w:val="40"/>
          <w:sz w:val="19"/>
        </w:rPr>
        <w:t> </w:t>
      </w:r>
      <w:r>
        <w:rPr>
          <w:i/>
          <w:sz w:val="19"/>
        </w:rPr>
        <w:t>Women,</w:t>
      </w:r>
      <w:r>
        <w:rPr>
          <w:i/>
          <w:spacing w:val="40"/>
          <w:sz w:val="19"/>
        </w:rPr>
        <w:t> </w:t>
      </w:r>
      <w:r>
        <w:rPr>
          <w:i/>
          <w:sz w:val="19"/>
        </w:rPr>
        <w:t>Madness, and the Responsibilities of Feminist Criticism</w:t>
      </w:r>
      <w:r>
        <w:rPr>
          <w:sz w:val="19"/>
        </w:rPr>
        <w:t>. In </w:t>
      </w:r>
      <w:r>
        <w:rPr>
          <w:i/>
          <w:sz w:val="19"/>
        </w:rPr>
        <w:t>Shakespeare</w:t>
      </w:r>
      <w:r>
        <w:rPr>
          <w:i/>
          <w:spacing w:val="40"/>
          <w:sz w:val="19"/>
        </w:rPr>
        <w:t> </w:t>
      </w:r>
      <w:r>
        <w:rPr>
          <w:i/>
          <w:sz w:val="19"/>
        </w:rPr>
        <w:t>and the Question of Theory</w:t>
      </w:r>
      <w:r>
        <w:rPr>
          <w:sz w:val="19"/>
        </w:rPr>
        <w:t>, edited by Patricia Parker and Geoffrey</w:t>
      </w:r>
      <w:r>
        <w:rPr>
          <w:spacing w:val="40"/>
          <w:sz w:val="19"/>
        </w:rPr>
        <w:t> </w:t>
      </w:r>
      <w:r>
        <w:rPr>
          <w:sz w:val="19"/>
        </w:rPr>
        <w:t>Hartman,</w:t>
      </w:r>
      <w:r>
        <w:rPr>
          <w:spacing w:val="40"/>
          <w:sz w:val="19"/>
        </w:rPr>
        <w:t> </w:t>
      </w:r>
      <w:r>
        <w:rPr>
          <w:sz w:val="19"/>
        </w:rPr>
        <w:t>Methuen,</w:t>
      </w:r>
      <w:r>
        <w:rPr>
          <w:spacing w:val="40"/>
          <w:sz w:val="19"/>
        </w:rPr>
        <w:t> </w:t>
      </w:r>
      <w:r>
        <w:rPr>
          <w:sz w:val="19"/>
        </w:rPr>
        <w:t>1985,</w:t>
      </w:r>
      <w:r>
        <w:rPr>
          <w:spacing w:val="40"/>
          <w:sz w:val="19"/>
        </w:rPr>
        <w:t> </w:t>
      </w:r>
      <w:r>
        <w:rPr>
          <w:sz w:val="19"/>
        </w:rPr>
        <w:t>pp.</w:t>
      </w:r>
      <w:r>
        <w:rPr>
          <w:spacing w:val="40"/>
          <w:sz w:val="19"/>
        </w:rPr>
        <w:t> </w:t>
      </w:r>
      <w:r>
        <w:rPr>
          <w:sz w:val="19"/>
        </w:rPr>
        <w:t>77–94.</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73696">
                <wp:simplePos x="0" y="0"/>
                <wp:positionH relativeFrom="page">
                  <wp:posOffset>2057400</wp:posOffset>
                </wp:positionH>
                <wp:positionV relativeFrom="page">
                  <wp:posOffset>1788723</wp:posOffset>
                </wp:positionV>
                <wp:extent cx="3656965" cy="140335"/>
                <wp:effectExtent l="0" t="0" r="0" b="0"/>
                <wp:wrapNone/>
                <wp:docPr id="609" name="Textbox 609"/>
                <wp:cNvGraphicFramePr>
                  <a:graphicFrameLocks/>
                </wp:cNvGraphicFramePr>
                <a:graphic>
                  <a:graphicData uri="http://schemas.microsoft.com/office/word/2010/wordprocessingShape">
                    <wps:wsp>
                      <wps:cNvPr id="609" name="Textbox 609"/>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296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342784" type="#_x0000_t202" id="docshape601"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296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610" name="Group 610"/>
                <wp:cNvGraphicFramePr>
                  <a:graphicFrameLocks/>
                </wp:cNvGraphicFramePr>
                <a:graphic>
                  <a:graphicData uri="http://schemas.microsoft.com/office/word/2010/wordprocessingGroup">
                    <wpg:wgp>
                      <wpg:cNvPr id="610" name="Group 610"/>
                      <wpg:cNvGrpSpPr/>
                      <wpg:grpSpPr>
                        <a:xfrm>
                          <a:off x="0" y="0"/>
                          <a:ext cx="4044950" cy="699770"/>
                          <a:chExt cx="4044950" cy="699770"/>
                        </a:xfrm>
                      </wpg:grpSpPr>
                      <wps:wsp>
                        <wps:cNvPr id="611" name="Graphic 611"/>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602" coordorigin="0,0" coordsize="6370,1102">
                <v:rect style="position:absolute;left:0;top:0;width:6370;height:1102" id="docshape603"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09536">
                <wp:simplePos x="0" y="0"/>
                <wp:positionH relativeFrom="page">
                  <wp:posOffset>3488435</wp:posOffset>
                </wp:positionH>
                <wp:positionV relativeFrom="paragraph">
                  <wp:posOffset>272922</wp:posOffset>
                </wp:positionV>
                <wp:extent cx="728980" cy="655320"/>
                <wp:effectExtent l="0" t="0" r="0" b="0"/>
                <wp:wrapTopAndBottom/>
                <wp:docPr id="612" name="Group 612"/>
                <wp:cNvGraphicFramePr>
                  <a:graphicFrameLocks/>
                </wp:cNvGraphicFramePr>
                <a:graphic>
                  <a:graphicData uri="http://schemas.microsoft.com/office/word/2010/wordprocessingGroup">
                    <wpg:wgp>
                      <wpg:cNvPr id="612" name="Group 612"/>
                      <wpg:cNvGrpSpPr/>
                      <wpg:grpSpPr>
                        <a:xfrm>
                          <a:off x="0" y="0"/>
                          <a:ext cx="728980" cy="655320"/>
                          <a:chExt cx="728980" cy="655320"/>
                        </a:xfrm>
                      </wpg:grpSpPr>
                      <pic:pic>
                        <pic:nvPicPr>
                          <pic:cNvPr id="613" name="Image 613"/>
                          <pic:cNvPicPr/>
                        </pic:nvPicPr>
                        <pic:blipFill>
                          <a:blip r:embed="rId99" cstate="print"/>
                          <a:stretch>
                            <a:fillRect/>
                          </a:stretch>
                        </pic:blipFill>
                        <pic:spPr>
                          <a:xfrm>
                            <a:off x="0" y="0"/>
                            <a:ext cx="728471" cy="655320"/>
                          </a:xfrm>
                          <a:prstGeom prst="rect">
                            <a:avLst/>
                          </a:prstGeom>
                        </pic:spPr>
                      </pic:pic>
                      <wps:wsp>
                        <wps:cNvPr id="614" name="Textbox 614"/>
                        <wps:cNvSpPr txBox="1"/>
                        <wps:spPr>
                          <a:xfrm>
                            <a:off x="0" y="0"/>
                            <a:ext cx="728980" cy="655320"/>
                          </a:xfrm>
                          <a:prstGeom prst="rect">
                            <a:avLst/>
                          </a:prstGeom>
                        </wps:spPr>
                        <wps:txbx>
                          <w:txbxContent>
                            <w:p>
                              <w:pPr>
                                <w:spacing w:before="350"/>
                                <w:ind w:left="432" w:right="0" w:firstLine="0"/>
                                <w:jc w:val="left"/>
                                <w:rPr>
                                  <w:rFonts w:ascii="Tahoma"/>
                                  <w:b/>
                                  <w:sz w:val="36"/>
                                </w:rPr>
                              </w:pPr>
                              <w:r>
                                <w:rPr>
                                  <w:rFonts w:ascii="Tahoma"/>
                                  <w:b/>
                                  <w:spacing w:val="-5"/>
                                  <w:w w:val="95"/>
                                  <w:sz w:val="36"/>
                                </w:rPr>
                                <w:t>29</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506944;mso-wrap-distance-left:0;mso-wrap-distance-right:0" id="docshapegroup604" coordorigin="5494,430" coordsize="1148,1032">
                <v:shape style="position:absolute;left:5493;top:429;width:1148;height:1032" type="#_x0000_t75" id="docshape605" stroked="false">
                  <v:imagedata r:id="rId99" o:title=""/>
                </v:shape>
                <v:shape style="position:absolute;left:5493;top:429;width:1148;height:1032" type="#_x0000_t202" id="docshape606" filled="false" stroked="false">
                  <v:textbox inset="0,0,0,0">
                    <w:txbxContent>
                      <w:p>
                        <w:pPr>
                          <w:spacing w:before="350"/>
                          <w:ind w:left="432" w:right="0" w:firstLine="0"/>
                          <w:jc w:val="left"/>
                          <w:rPr>
                            <w:rFonts w:ascii="Tahoma"/>
                            <w:b/>
                            <w:sz w:val="36"/>
                          </w:rPr>
                        </w:pPr>
                        <w:r>
                          <w:rPr>
                            <w:rFonts w:ascii="Tahoma"/>
                            <w:b/>
                            <w:spacing w:val="-5"/>
                            <w:w w:val="95"/>
                            <w:sz w:val="36"/>
                          </w:rPr>
                          <w:t>29</w:t>
                        </w:r>
                      </w:p>
                    </w:txbxContent>
                  </v:textbox>
                  <w10:wrap type="none"/>
                </v:shape>
                <w10:wrap type="topAndBottom"/>
              </v:group>
            </w:pict>
          </mc:Fallback>
        </mc:AlternateContent>
      </w:r>
    </w:p>
    <w:p>
      <w:pPr>
        <w:pStyle w:val="Heading1"/>
        <w:spacing w:line="211" w:lineRule="auto" w:before="4"/>
        <w:ind w:left="1528" w:firstLine="24"/>
        <w:jc w:val="left"/>
      </w:pPr>
      <w:r>
        <w:rPr>
          <w:spacing w:val="-6"/>
        </w:rPr>
        <w:t>The</w:t>
      </w:r>
      <w:r>
        <w:rPr>
          <w:spacing w:val="-14"/>
        </w:rPr>
        <w:t> </w:t>
      </w:r>
      <w:r>
        <w:rPr>
          <w:spacing w:val="-6"/>
        </w:rPr>
        <w:t>Transgressive</w:t>
      </w:r>
      <w:r>
        <w:rPr>
          <w:spacing w:val="-17"/>
        </w:rPr>
        <w:t> </w:t>
      </w:r>
      <w:r>
        <w:rPr>
          <w:spacing w:val="-6"/>
        </w:rPr>
        <w:t>Stage:</w:t>
      </w:r>
      <w:r>
        <w:rPr>
          <w:spacing w:val="-15"/>
        </w:rPr>
        <w:t> </w:t>
      </w:r>
      <w:r>
        <w:rPr>
          <w:spacing w:val="-6"/>
        </w:rPr>
        <w:t>A</w:t>
      </w:r>
      <w:r>
        <w:rPr>
          <w:spacing w:val="-17"/>
        </w:rPr>
        <w:t> </w:t>
      </w:r>
      <w:r>
        <w:rPr>
          <w:spacing w:val="-6"/>
        </w:rPr>
        <w:t>Study</w:t>
      </w:r>
      <w:r>
        <w:rPr>
          <w:spacing w:val="-16"/>
        </w:rPr>
        <w:t> </w:t>
      </w:r>
      <w:r>
        <w:rPr>
          <w:spacing w:val="-6"/>
        </w:rPr>
        <w:t>of </w:t>
      </w:r>
      <w:r>
        <w:rPr>
          <w:spacing w:val="-2"/>
        </w:rPr>
        <w:t>Performance</w:t>
      </w:r>
      <w:r>
        <w:rPr>
          <w:spacing w:val="-17"/>
        </w:rPr>
        <w:t> </w:t>
      </w:r>
      <w:r>
        <w:rPr>
          <w:spacing w:val="-2"/>
        </w:rPr>
        <w:t>and</w:t>
      </w:r>
      <w:r>
        <w:rPr>
          <w:spacing w:val="-17"/>
        </w:rPr>
        <w:t> </w:t>
      </w:r>
      <w:r>
        <w:rPr>
          <w:spacing w:val="-2"/>
        </w:rPr>
        <w:t>Critical</w:t>
      </w:r>
      <w:r>
        <w:rPr>
          <w:spacing w:val="-19"/>
        </w:rPr>
        <w:t> </w:t>
      </w:r>
      <w:r>
        <w:rPr>
          <w:spacing w:val="-5"/>
        </w:rPr>
        <w:t>Reception</w:t>
      </w:r>
    </w:p>
    <w:p>
      <w:pPr>
        <w:tabs>
          <w:tab w:pos="2152" w:val="left" w:leader="none"/>
          <w:tab w:pos="7199" w:val="left" w:leader="none"/>
        </w:tabs>
        <w:spacing w:line="350" w:lineRule="exact" w:before="0"/>
        <w:ind w:left="1440" w:right="0" w:firstLine="0"/>
        <w:jc w:val="left"/>
        <w:rPr>
          <w:rFonts w:ascii="Tahoma" w:hAnsi="Tahoma"/>
          <w:b/>
          <w:sz w:val="32"/>
        </w:rPr>
      </w:pPr>
      <w:r>
        <w:rPr>
          <w:sz w:val="32"/>
          <w:u w:val="single"/>
        </w:rPr>
        <w:tab/>
      </w:r>
      <w:r>
        <w:rPr>
          <w:rFonts w:ascii="Tahoma" w:hAnsi="Tahoma"/>
          <w:b/>
          <w:spacing w:val="-4"/>
          <w:sz w:val="32"/>
          <w:u w:val="single"/>
        </w:rPr>
        <w:t>of</w:t>
      </w:r>
      <w:r>
        <w:rPr>
          <w:rFonts w:ascii="Tahoma" w:hAnsi="Tahoma"/>
          <w:b/>
          <w:spacing w:val="-15"/>
          <w:sz w:val="32"/>
          <w:u w:val="single"/>
        </w:rPr>
        <w:t> </w:t>
      </w:r>
      <w:r>
        <w:rPr>
          <w:rFonts w:ascii="Tahoma" w:hAnsi="Tahoma"/>
          <w:b/>
          <w:spacing w:val="-4"/>
          <w:sz w:val="32"/>
          <w:u w:val="single"/>
        </w:rPr>
        <w:t>Shakespeare’s</w:t>
      </w:r>
      <w:r>
        <w:rPr>
          <w:rFonts w:ascii="Tahoma" w:hAnsi="Tahoma"/>
          <w:b/>
          <w:spacing w:val="-11"/>
          <w:sz w:val="32"/>
          <w:u w:val="single"/>
        </w:rPr>
        <w:t> </w:t>
      </w:r>
      <w:r>
        <w:rPr>
          <w:rFonts w:ascii="Tahoma" w:hAnsi="Tahoma"/>
          <w:b/>
          <w:spacing w:val="-4"/>
          <w:sz w:val="32"/>
          <w:u w:val="single"/>
        </w:rPr>
        <w:t>Womenÿþ</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810048">
                <wp:simplePos x="0" y="0"/>
                <wp:positionH relativeFrom="page">
                  <wp:posOffset>2057400</wp:posOffset>
                </wp:positionH>
                <wp:positionV relativeFrom="paragraph">
                  <wp:posOffset>60051</wp:posOffset>
                </wp:positionV>
                <wp:extent cx="3657600" cy="7620"/>
                <wp:effectExtent l="0" t="0" r="0" b="0"/>
                <wp:wrapTopAndBottom/>
                <wp:docPr id="615" name="Graphic 615"/>
                <wp:cNvGraphicFramePr>
                  <a:graphicFrameLocks/>
                </wp:cNvGraphicFramePr>
                <a:graphic>
                  <a:graphicData uri="http://schemas.microsoft.com/office/word/2010/wordprocessingShape">
                    <wps:wsp>
                      <wps:cNvPr id="615" name="Graphic 615"/>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35pt;width:288.000009pt;height:.599991pt;mso-position-horizontal-relative:page;mso-position-vertical-relative:paragraph;z-index:-15506432;mso-wrap-distance-left:0;mso-wrap-distance-right:0" id="docshape607" filled="true" fillcolor="#000000" stroked="false">
                <v:fill type="solid"/>
                <w10:wrap type="topAndBottom"/>
              </v:rect>
            </w:pict>
          </mc:Fallback>
        </mc:AlternateContent>
      </w:r>
    </w:p>
    <w:p>
      <w:pPr>
        <w:pStyle w:val="BodyText"/>
        <w:spacing w:before="13"/>
        <w:ind w:left="0"/>
        <w:rPr>
          <w:rFonts w:ascii="Tahoma"/>
          <w:b/>
          <w:sz w:val="32"/>
        </w:rPr>
      </w:pPr>
    </w:p>
    <w:p>
      <w:pPr>
        <w:pStyle w:val="Heading5"/>
        <w:ind w:left="0" w:right="1440"/>
        <w:jc w:val="right"/>
        <w:rPr>
          <w:rFonts w:ascii="Times New Roman"/>
        </w:rPr>
      </w:pPr>
      <w:r>
        <w:rPr>
          <w:rFonts w:ascii="Times New Roman"/>
        </w:rPr>
        <w:t>N.</w:t>
      </w:r>
      <w:r>
        <w:rPr>
          <w:rFonts w:ascii="Times New Roman"/>
          <w:spacing w:val="59"/>
        </w:rPr>
        <w:t> </w:t>
      </w:r>
      <w:r>
        <w:rPr>
          <w:rFonts w:ascii="Times New Roman"/>
        </w:rPr>
        <w:t>Uma</w:t>
      </w:r>
      <w:r>
        <w:rPr>
          <w:rFonts w:ascii="Times New Roman"/>
          <w:spacing w:val="63"/>
        </w:rPr>
        <w:t> </w:t>
      </w:r>
      <w:r>
        <w:rPr>
          <w:rFonts w:ascii="Times New Roman"/>
          <w:spacing w:val="-2"/>
        </w:rPr>
        <w:t>Subrahmanyeswari</w:t>
      </w:r>
    </w:p>
    <w:p>
      <w:pPr>
        <w:spacing w:before="15"/>
        <w:ind w:left="0" w:right="1440" w:firstLine="0"/>
        <w:jc w:val="right"/>
        <w:rPr>
          <w:i/>
          <w:sz w:val="19"/>
        </w:rPr>
      </w:pPr>
      <w:r>
        <w:rPr>
          <w:i/>
          <w:sz w:val="19"/>
        </w:rPr>
        <w:t>Lecturer</w:t>
      </w:r>
      <w:r>
        <w:rPr>
          <w:i/>
          <w:spacing w:val="44"/>
          <w:sz w:val="19"/>
        </w:rPr>
        <w:t> </w:t>
      </w:r>
      <w:r>
        <w:rPr>
          <w:i/>
          <w:sz w:val="19"/>
        </w:rPr>
        <w:t>in</w:t>
      </w:r>
      <w:r>
        <w:rPr>
          <w:i/>
          <w:spacing w:val="47"/>
          <w:sz w:val="19"/>
        </w:rPr>
        <w:t> </w:t>
      </w:r>
      <w:r>
        <w:rPr>
          <w:i/>
          <w:sz w:val="19"/>
        </w:rPr>
        <w:t>English,</w:t>
      </w:r>
      <w:r>
        <w:rPr>
          <w:i/>
          <w:spacing w:val="44"/>
          <w:sz w:val="19"/>
        </w:rPr>
        <w:t> </w:t>
      </w:r>
      <w:r>
        <w:rPr>
          <w:i/>
          <w:sz w:val="19"/>
        </w:rPr>
        <w:t>S.K.V.T.</w:t>
      </w:r>
      <w:r>
        <w:rPr>
          <w:i/>
          <w:spacing w:val="45"/>
          <w:sz w:val="19"/>
        </w:rPr>
        <w:t> </w:t>
      </w:r>
      <w:r>
        <w:rPr>
          <w:i/>
          <w:sz w:val="19"/>
        </w:rPr>
        <w:t>Govt</w:t>
      </w:r>
      <w:r>
        <w:rPr>
          <w:i/>
          <w:spacing w:val="44"/>
          <w:sz w:val="19"/>
        </w:rPr>
        <w:t> </w:t>
      </w:r>
      <w:r>
        <w:rPr>
          <w:i/>
          <w:sz w:val="19"/>
        </w:rPr>
        <w:t>Degree</w:t>
      </w:r>
      <w:r>
        <w:rPr>
          <w:i/>
          <w:spacing w:val="45"/>
          <w:sz w:val="19"/>
        </w:rPr>
        <w:t> </w:t>
      </w:r>
      <w:r>
        <w:rPr>
          <w:i/>
          <w:sz w:val="19"/>
        </w:rPr>
        <w:t>College</w:t>
      </w:r>
      <w:r>
        <w:rPr>
          <w:i/>
          <w:spacing w:val="45"/>
          <w:sz w:val="19"/>
        </w:rPr>
        <w:t> </w:t>
      </w:r>
      <w:r>
        <w:rPr>
          <w:i/>
          <w:spacing w:val="-10"/>
          <w:sz w:val="19"/>
        </w:rPr>
        <w:t>,</w:t>
      </w:r>
    </w:p>
    <w:p>
      <w:pPr>
        <w:spacing w:before="9"/>
        <w:ind w:left="0" w:right="1438" w:firstLine="0"/>
        <w:jc w:val="right"/>
        <w:rPr>
          <w:i/>
          <w:sz w:val="19"/>
        </w:rPr>
      </w:pPr>
      <w:r>
        <w:rPr>
          <w:i/>
          <w:spacing w:val="-2"/>
          <w:sz w:val="19"/>
        </w:rPr>
        <w:t>Rajamahendravaram</w:t>
      </w:r>
    </w:p>
    <w:p>
      <w:pPr>
        <w:pStyle w:val="BodyText"/>
        <w:spacing w:before="161"/>
        <w:ind w:left="0"/>
        <w:rPr>
          <w:i/>
          <w:sz w:val="19"/>
        </w:rPr>
      </w:pPr>
    </w:p>
    <w:p>
      <w:pPr>
        <w:pStyle w:val="Heading3"/>
        <w:spacing w:before="0"/>
      </w:pPr>
      <w:r>
        <w:rPr>
          <w:w w:val="90"/>
        </w:rPr>
        <w:t>ABSTRACT</w:t>
      </w:r>
      <w:r>
        <w:rPr>
          <w:spacing w:val="-3"/>
          <w:w w:val="95"/>
        </w:rPr>
        <w:t> </w:t>
      </w:r>
      <w:r>
        <w:rPr>
          <w:spacing w:val="-10"/>
          <w:w w:val="95"/>
        </w:rPr>
        <w:t>:</w:t>
      </w:r>
    </w:p>
    <w:p>
      <w:pPr>
        <w:pStyle w:val="BodyText"/>
        <w:spacing w:line="249" w:lineRule="auto" w:before="78"/>
        <w:ind w:right="1434" w:firstLine="432"/>
        <w:jc w:val="both"/>
      </w:pPr>
      <w:r>
        <w:rPr/>
        <w:t>This</w:t>
      </w:r>
      <w:r>
        <w:rPr>
          <w:spacing w:val="-12"/>
        </w:rPr>
        <w:t> </w:t>
      </w:r>
      <w:r>
        <w:rPr/>
        <w:t>article</w:t>
      </w:r>
      <w:r>
        <w:rPr>
          <w:spacing w:val="-10"/>
        </w:rPr>
        <w:t> </w:t>
      </w:r>
      <w:r>
        <w:rPr/>
        <w:t>investigates</w:t>
      </w:r>
      <w:r>
        <w:rPr>
          <w:spacing w:val="-12"/>
        </w:rPr>
        <w:t> </w:t>
      </w:r>
      <w:r>
        <w:rPr/>
        <w:t>the</w:t>
      </w:r>
      <w:r>
        <w:rPr>
          <w:spacing w:val="-12"/>
        </w:rPr>
        <w:t> </w:t>
      </w:r>
      <w:r>
        <w:rPr/>
        <w:t>metamorphic</w:t>
      </w:r>
      <w:r>
        <w:rPr>
          <w:spacing w:val="-10"/>
        </w:rPr>
        <w:t> </w:t>
      </w:r>
      <w:r>
        <w:rPr/>
        <w:t>journey</w:t>
      </w:r>
      <w:r>
        <w:rPr>
          <w:spacing w:val="-13"/>
        </w:rPr>
        <w:t> </w:t>
      </w:r>
      <w:r>
        <w:rPr/>
        <w:t>of</w:t>
      </w:r>
      <w:r>
        <w:rPr>
          <w:spacing w:val="-10"/>
        </w:rPr>
        <w:t> </w:t>
      </w:r>
      <w:r>
        <w:rPr/>
        <w:t>Shakespeare’s female characters, tracing their evolution from the specialized boy-player traditions of the 16th century to the radical, feminist re-interpretations of the modern era. By analyzing pivotal shifts—such as the 1660 introduction of professional actresses and the advocacy of the 18th-century Shakespeare Ladies Club—this study argues that these </w:t>
      </w:r>
      <w:r>
        <w:rPr>
          <w:spacing w:val="-2"/>
        </w:rPr>
        <w:t>roles</w:t>
      </w:r>
      <w:r>
        <w:rPr>
          <w:spacing w:val="-6"/>
        </w:rPr>
        <w:t> </w:t>
      </w:r>
      <w:r>
        <w:rPr>
          <w:spacing w:val="-2"/>
        </w:rPr>
        <w:t>serve</w:t>
      </w:r>
      <w:r>
        <w:rPr>
          <w:spacing w:val="-3"/>
        </w:rPr>
        <w:t> </w:t>
      </w:r>
      <w:r>
        <w:rPr>
          <w:spacing w:val="-2"/>
        </w:rPr>
        <w:t>as</w:t>
      </w:r>
      <w:r>
        <w:rPr>
          <w:spacing w:val="-10"/>
        </w:rPr>
        <w:t> </w:t>
      </w:r>
      <w:r>
        <w:rPr>
          <w:spacing w:val="-2"/>
        </w:rPr>
        <w:t>a</w:t>
      </w:r>
      <w:r>
        <w:rPr>
          <w:spacing w:val="-3"/>
        </w:rPr>
        <w:t> </w:t>
      </w:r>
      <w:r>
        <w:rPr>
          <w:spacing w:val="-2"/>
        </w:rPr>
        <w:t>historical</w:t>
      </w:r>
      <w:r>
        <w:rPr>
          <w:spacing w:val="-4"/>
        </w:rPr>
        <w:t> </w:t>
      </w:r>
      <w:r>
        <w:rPr>
          <w:spacing w:val="-2"/>
        </w:rPr>
        <w:t>barometer</w:t>
      </w:r>
      <w:r>
        <w:rPr>
          <w:spacing w:val="-6"/>
        </w:rPr>
        <w:t> </w:t>
      </w:r>
      <w:r>
        <w:rPr>
          <w:spacing w:val="-2"/>
        </w:rPr>
        <w:t>for</w:t>
      </w:r>
      <w:r>
        <w:rPr>
          <w:spacing w:val="-3"/>
        </w:rPr>
        <w:t> </w:t>
      </w:r>
      <w:r>
        <w:rPr>
          <w:spacing w:val="-2"/>
        </w:rPr>
        <w:t>societal</w:t>
      </w:r>
      <w:r>
        <w:rPr>
          <w:spacing w:val="-4"/>
        </w:rPr>
        <w:t> </w:t>
      </w:r>
      <w:r>
        <w:rPr>
          <w:spacing w:val="-2"/>
        </w:rPr>
        <w:t>gender</w:t>
      </w:r>
      <w:r>
        <w:rPr>
          <w:spacing w:val="-8"/>
        </w:rPr>
        <w:t> </w:t>
      </w:r>
      <w:r>
        <w:rPr>
          <w:spacing w:val="-2"/>
        </w:rPr>
        <w:t>norms.</w:t>
      </w:r>
      <w:r>
        <w:rPr>
          <w:spacing w:val="-6"/>
        </w:rPr>
        <w:t> </w:t>
      </w:r>
      <w:r>
        <w:rPr>
          <w:spacing w:val="-2"/>
        </w:rPr>
        <w:t>It</w:t>
      </w:r>
      <w:r>
        <w:rPr>
          <w:spacing w:val="-6"/>
        </w:rPr>
        <w:t> </w:t>
      </w:r>
      <w:r>
        <w:rPr>
          <w:spacing w:val="-2"/>
        </w:rPr>
        <w:t>explores </w:t>
      </w:r>
      <w:r>
        <w:rPr/>
        <w:t>how the movement from Victorian idealization to contemporary interrogation has unmasked a latent agency within characters like Lady Macbeth and Rosalind, proving their enduring relevance as tools for social critique.</w:t>
      </w:r>
    </w:p>
    <w:p>
      <w:pPr>
        <w:pStyle w:val="Heading3"/>
        <w:spacing w:before="162"/>
      </w:pPr>
      <w:r>
        <w:rPr>
          <w:spacing w:val="-2"/>
          <w:w w:val="95"/>
        </w:rPr>
        <w:t>INTRODUCTION:</w:t>
      </w:r>
    </w:p>
    <w:p>
      <w:pPr>
        <w:pStyle w:val="BodyText"/>
        <w:spacing w:line="249" w:lineRule="auto" w:before="76"/>
        <w:ind w:right="1439" w:firstLine="432"/>
        <w:jc w:val="both"/>
      </w:pPr>
      <w:r>
        <w:rPr/>
        <w:t>The Paradox of the Absent Presence</w:t>
      </w:r>
      <w:r>
        <w:rPr>
          <w:spacing w:val="40"/>
        </w:rPr>
        <w:t> </w:t>
      </w:r>
      <w:r>
        <w:rPr/>
        <w:t>Shakespeare’s female characters were conceived under a legal and social paradox: they were written</w:t>
      </w:r>
      <w:r>
        <w:rPr>
          <w:spacing w:val="-2"/>
        </w:rPr>
        <w:t> </w:t>
      </w:r>
      <w:r>
        <w:rPr/>
        <w:t>for a stage where their physical</w:t>
      </w:r>
      <w:r>
        <w:rPr>
          <w:spacing w:val="-1"/>
        </w:rPr>
        <w:t> </w:t>
      </w:r>
      <w:r>
        <w:rPr/>
        <w:t>presence</w:t>
      </w:r>
      <w:r>
        <w:rPr>
          <w:spacing w:val="-1"/>
        </w:rPr>
        <w:t> </w:t>
      </w:r>
      <w:r>
        <w:rPr/>
        <w:t>was strictly</w:t>
      </w:r>
      <w:r>
        <w:rPr>
          <w:spacing w:val="-2"/>
        </w:rPr>
        <w:t> </w:t>
      </w:r>
      <w:r>
        <w:rPr/>
        <w:t>forbidden. In the Elizabethan and Jacobean eras, femininity was a performance executed by adolescent males, yet the text endowed these women with</w:t>
      </w:r>
      <w:r>
        <w:rPr>
          <w:spacing w:val="40"/>
        </w:rPr>
        <w:t> </w:t>
      </w:r>
      <w:r>
        <w:rPr/>
        <w:t>a psychological complexity that frequently overstepped patriarchal </w:t>
      </w:r>
      <w:r>
        <w:rPr>
          <w:spacing w:val="-2"/>
        </w:rPr>
        <w:t>boundaries.</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11072">
                <wp:simplePos x="0" y="0"/>
                <wp:positionH relativeFrom="page">
                  <wp:posOffset>2065020</wp:posOffset>
                </wp:positionH>
                <wp:positionV relativeFrom="paragraph">
                  <wp:posOffset>795020</wp:posOffset>
                </wp:positionV>
                <wp:extent cx="3657600" cy="12700"/>
                <wp:effectExtent l="0" t="0" r="0" b="0"/>
                <wp:wrapTopAndBottom/>
                <wp:docPr id="616" name="Graphic 616"/>
                <wp:cNvGraphicFramePr>
                  <a:graphicFrameLocks/>
                </wp:cNvGraphicFramePr>
                <a:graphic>
                  <a:graphicData uri="http://schemas.microsoft.com/office/word/2010/wordprocessingShape">
                    <wps:wsp>
                      <wps:cNvPr id="616" name="Graphic 61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05408;mso-wrap-distance-left:0;mso-wrap-distance-right:0" id="docshape608" filled="true" fillcolor="#000000" stroked="false">
                <v:fill type="solid"/>
                <w10:wrap type="topAndBottom"/>
              </v:rect>
            </w:pict>
          </mc:Fallback>
        </mc:AlternateContent>
      </w:r>
      <w:r>
        <w:rPr>
          <w:rFonts w:ascii="Verdana"/>
          <w:spacing w:val="-2"/>
          <w:sz w:val="18"/>
        </w:rPr>
        <w:t>The Transgressive Stage:</w:t>
      </w:r>
      <w:r>
        <w:rPr>
          <w:rFonts w:ascii="Verdana"/>
          <w:spacing w:val="-4"/>
          <w:sz w:val="18"/>
        </w:rPr>
        <w:t> </w:t>
      </w:r>
      <w:r>
        <w:rPr>
          <w:rFonts w:ascii="Verdana"/>
          <w:spacing w:val="-2"/>
          <w:sz w:val="18"/>
        </w:rPr>
        <w:t>A</w:t>
      </w:r>
      <w:r>
        <w:rPr>
          <w:rFonts w:ascii="Verdana"/>
          <w:spacing w:val="-10"/>
          <w:sz w:val="18"/>
        </w:rPr>
        <w:t> </w:t>
      </w:r>
      <w:r>
        <w:rPr>
          <w:rFonts w:ascii="Verdana"/>
          <w:spacing w:val="-2"/>
          <w:sz w:val="18"/>
        </w:rPr>
        <w:t>Study</w:t>
      </w:r>
      <w:r>
        <w:rPr>
          <w:rFonts w:ascii="Verdana"/>
          <w:spacing w:val="-1"/>
          <w:sz w:val="18"/>
        </w:rPr>
        <w:t> </w:t>
      </w:r>
      <w:r>
        <w:rPr>
          <w:rFonts w:ascii="Verdana"/>
          <w:spacing w:val="-2"/>
          <w:sz w:val="18"/>
        </w:rPr>
        <w:t>of Performance</w:t>
      </w:r>
      <w:r>
        <w:rPr>
          <w:rFonts w:ascii="Verdana"/>
          <w:spacing w:val="-1"/>
          <w:sz w:val="18"/>
        </w:rPr>
        <w:t> </w:t>
      </w:r>
      <w:r>
        <w:rPr>
          <w:rFonts w:ascii="Verdana"/>
          <w:spacing w:val="-2"/>
          <w:sz w:val="18"/>
        </w:rPr>
        <w:t>and...</w:t>
      </w:r>
      <w:r>
        <w:rPr>
          <w:sz w:val="18"/>
        </w:rPr>
        <w:tab/>
      </w:r>
      <w:r>
        <w:rPr>
          <w:rFonts w:ascii="Verdana"/>
          <w:spacing w:val="-5"/>
          <w:sz w:val="18"/>
        </w:rPr>
        <w:t>297</w:t>
      </w:r>
    </w:p>
    <w:p>
      <w:pPr>
        <w:pStyle w:val="BodyText"/>
        <w:spacing w:line="249" w:lineRule="auto" w:before="192"/>
        <w:ind w:right="1437" w:firstLine="432"/>
        <w:jc w:val="both"/>
      </w:pPr>
      <w:r>
        <w:rPr/>
        <w:t>The central question of Shakespearean reception is not merely what these characters are, but what they do when placed in different cultural hands. From the sweetness and modesty favored by Victorian critics to the male toxicity highlighted by modern scholars, the performance history of these roles reflects a shift from stylized artifice to</w:t>
      </w:r>
      <w:r>
        <w:rPr>
          <w:spacing w:val="40"/>
        </w:rPr>
        <w:t> </w:t>
      </w:r>
      <w:r>
        <w:rPr/>
        <w:t>raw,</w:t>
      </w:r>
      <w:r>
        <w:rPr>
          <w:spacing w:val="40"/>
        </w:rPr>
        <w:t> </w:t>
      </w:r>
      <w:r>
        <w:rPr/>
        <w:t>systemic interrogation.</w:t>
      </w:r>
    </w:p>
    <w:p>
      <w:pPr>
        <w:pStyle w:val="Heading3"/>
        <w:spacing w:before="159"/>
        <w:ind w:left="0" w:right="4"/>
        <w:jc w:val="center"/>
      </w:pPr>
      <w:r>
        <w:rPr>
          <w:w w:val="85"/>
        </w:rPr>
        <w:t>THE</w:t>
      </w:r>
      <w:r>
        <w:rPr>
          <w:spacing w:val="-1"/>
        </w:rPr>
        <w:t> </w:t>
      </w:r>
      <w:r>
        <w:rPr>
          <w:w w:val="85"/>
        </w:rPr>
        <w:t>BOY-PLAYER</w:t>
      </w:r>
      <w:r>
        <w:rPr>
          <w:spacing w:val="13"/>
        </w:rPr>
        <w:t> </w:t>
      </w:r>
      <w:r>
        <w:rPr>
          <w:w w:val="85"/>
        </w:rPr>
        <w:t>AND</w:t>
      </w:r>
      <w:r>
        <w:rPr>
          <w:spacing w:val="2"/>
        </w:rPr>
        <w:t> </w:t>
      </w:r>
      <w:r>
        <w:rPr>
          <w:w w:val="85"/>
        </w:rPr>
        <w:t>THE</w:t>
      </w:r>
      <w:r>
        <w:rPr>
          <w:spacing w:val="2"/>
        </w:rPr>
        <w:t> </w:t>
      </w:r>
      <w:r>
        <w:rPr>
          <w:w w:val="85"/>
        </w:rPr>
        <w:t>AESTHETICS</w:t>
      </w:r>
      <w:r>
        <w:rPr>
          <w:spacing w:val="10"/>
        </w:rPr>
        <w:t> </w:t>
      </w:r>
      <w:r>
        <w:rPr>
          <w:w w:val="85"/>
        </w:rPr>
        <w:t>OF</w:t>
      </w:r>
      <w:r>
        <w:rPr>
          <w:spacing w:val="2"/>
        </w:rPr>
        <w:t> </w:t>
      </w:r>
      <w:r>
        <w:rPr>
          <w:spacing w:val="-2"/>
          <w:w w:val="85"/>
        </w:rPr>
        <w:t>ALIENATION</w:t>
      </w:r>
    </w:p>
    <w:p>
      <w:pPr>
        <w:pStyle w:val="BodyText"/>
        <w:spacing w:line="249" w:lineRule="auto" w:before="75"/>
        <w:ind w:right="1440" w:firstLine="432"/>
        <w:jc w:val="both"/>
      </w:pPr>
      <w:r>
        <w:rPr/>
        <w:t>In the 16th century, the absence of women on stage created a unique aesthetic of double consciousness. Because audiences were aware that a youth was portraying</w:t>
      </w:r>
      <w:r>
        <w:rPr>
          <w:spacing w:val="-1"/>
        </w:rPr>
        <w:t> </w:t>
      </w:r>
      <w:r>
        <w:rPr/>
        <w:t>a woman, Shakespeare often utilized high-level</w:t>
      </w:r>
      <w:r>
        <w:rPr>
          <w:spacing w:val="7"/>
        </w:rPr>
        <w:t> </w:t>
      </w:r>
      <w:r>
        <w:rPr/>
        <w:t>linguistic</w:t>
      </w:r>
      <w:r>
        <w:rPr>
          <w:spacing w:val="7"/>
        </w:rPr>
        <w:t> </w:t>
      </w:r>
      <w:r>
        <w:rPr/>
        <w:t>play</w:t>
      </w:r>
      <w:r>
        <w:rPr>
          <w:spacing w:val="5"/>
        </w:rPr>
        <w:t> </w:t>
      </w:r>
      <w:r>
        <w:rPr/>
        <w:t>to</w:t>
      </w:r>
      <w:r>
        <w:rPr>
          <w:spacing w:val="7"/>
        </w:rPr>
        <w:t> </w:t>
      </w:r>
      <w:r>
        <w:rPr/>
        <w:t>define</w:t>
      </w:r>
      <w:r>
        <w:rPr>
          <w:spacing w:val="10"/>
        </w:rPr>
        <w:t> </w:t>
      </w:r>
      <w:r>
        <w:rPr/>
        <w:t>gender</w:t>
      </w:r>
      <w:r>
        <w:rPr>
          <w:spacing w:val="8"/>
        </w:rPr>
        <w:t> </w:t>
      </w:r>
      <w:r>
        <w:rPr/>
        <w:t>rather</w:t>
      </w:r>
      <w:r>
        <w:rPr>
          <w:spacing w:val="8"/>
        </w:rPr>
        <w:t> </w:t>
      </w:r>
      <w:r>
        <w:rPr/>
        <w:t>than</w:t>
      </w:r>
      <w:r>
        <w:rPr>
          <w:spacing w:val="6"/>
        </w:rPr>
        <w:t> </w:t>
      </w:r>
      <w:r>
        <w:rPr/>
        <w:t>physical</w:t>
      </w:r>
      <w:r>
        <w:rPr>
          <w:spacing w:val="6"/>
        </w:rPr>
        <w:t> </w:t>
      </w:r>
      <w:r>
        <w:rPr>
          <w:spacing w:val="-2"/>
        </w:rPr>
        <w:t>realism.</w:t>
      </w:r>
    </w:p>
    <w:p>
      <w:pPr>
        <w:pStyle w:val="BodyText"/>
        <w:spacing w:line="264" w:lineRule="auto" w:before="68"/>
        <w:ind w:right="1441" w:firstLine="432"/>
        <w:jc w:val="both"/>
      </w:pPr>
      <w:r>
        <w:rPr/>
        <w:t>Rhetorical</w:t>
      </w:r>
      <w:r>
        <w:rPr>
          <w:spacing w:val="-3"/>
        </w:rPr>
        <w:t> </w:t>
      </w:r>
      <w:r>
        <w:rPr/>
        <w:t>Femininity:</w:t>
      </w:r>
      <w:r>
        <w:rPr>
          <w:spacing w:val="-3"/>
        </w:rPr>
        <w:t> </w:t>
      </w:r>
      <w:r>
        <w:rPr/>
        <w:t>Since</w:t>
      </w:r>
      <w:r>
        <w:rPr>
          <w:spacing w:val="-4"/>
        </w:rPr>
        <w:t> </w:t>
      </w:r>
      <w:r>
        <w:rPr/>
        <w:t>boy</w:t>
      </w:r>
      <w:r>
        <w:rPr>
          <w:spacing w:val="-6"/>
        </w:rPr>
        <w:t> </w:t>
      </w:r>
      <w:r>
        <w:rPr/>
        <w:t>actors</w:t>
      </w:r>
      <w:r>
        <w:rPr>
          <w:spacing w:val="-3"/>
        </w:rPr>
        <w:t> </w:t>
      </w:r>
      <w:r>
        <w:rPr/>
        <w:t>could</w:t>
      </w:r>
      <w:r>
        <w:rPr>
          <w:spacing w:val="-1"/>
        </w:rPr>
        <w:t> </w:t>
      </w:r>
      <w:r>
        <w:rPr/>
        <w:t>not</w:t>
      </w:r>
      <w:r>
        <w:rPr>
          <w:spacing w:val="-3"/>
        </w:rPr>
        <w:t> </w:t>
      </w:r>
      <w:r>
        <w:rPr/>
        <w:t>rely</w:t>
      </w:r>
      <w:r>
        <w:rPr>
          <w:spacing w:val="-6"/>
        </w:rPr>
        <w:t> </w:t>
      </w:r>
      <w:r>
        <w:rPr/>
        <w:t>on</w:t>
      </w:r>
      <w:r>
        <w:rPr>
          <w:spacing w:val="-3"/>
        </w:rPr>
        <w:t> </w:t>
      </w:r>
      <w:r>
        <w:rPr/>
        <w:t>physical female attributes, Shakespeare gave his heroines—such as Portia or </w:t>
      </w:r>
      <w:r>
        <w:rPr>
          <w:spacing w:val="-2"/>
        </w:rPr>
        <w:t>Beatrice—the</w:t>
      </w:r>
      <w:r>
        <w:rPr>
          <w:spacing w:val="-8"/>
        </w:rPr>
        <w:t> </w:t>
      </w:r>
      <w:r>
        <w:rPr>
          <w:spacing w:val="-2"/>
        </w:rPr>
        <w:t>sharpest</w:t>
      </w:r>
      <w:r>
        <w:rPr>
          <w:spacing w:val="-7"/>
        </w:rPr>
        <w:t> </w:t>
      </w:r>
      <w:r>
        <w:rPr>
          <w:spacing w:val="-2"/>
        </w:rPr>
        <w:t>wits</w:t>
      </w:r>
      <w:r>
        <w:rPr>
          <w:spacing w:val="-11"/>
        </w:rPr>
        <w:t> </w:t>
      </w:r>
      <w:r>
        <w:rPr>
          <w:spacing w:val="-2"/>
        </w:rPr>
        <w:t>in</w:t>
      </w:r>
      <w:r>
        <w:rPr>
          <w:spacing w:val="-8"/>
        </w:rPr>
        <w:t> </w:t>
      </w:r>
      <w:r>
        <w:rPr>
          <w:spacing w:val="-2"/>
        </w:rPr>
        <w:t>the</w:t>
      </w:r>
      <w:r>
        <w:rPr>
          <w:spacing w:val="-6"/>
        </w:rPr>
        <w:t> </w:t>
      </w:r>
      <w:r>
        <w:rPr>
          <w:spacing w:val="-2"/>
        </w:rPr>
        <w:t>plays.</w:t>
      </w:r>
      <w:r>
        <w:rPr>
          <w:spacing w:val="-6"/>
        </w:rPr>
        <w:t> </w:t>
      </w:r>
      <w:r>
        <w:rPr>
          <w:spacing w:val="-2"/>
        </w:rPr>
        <w:t>Their</w:t>
      </w:r>
      <w:r>
        <w:rPr>
          <w:spacing w:val="-9"/>
        </w:rPr>
        <w:t> </w:t>
      </w:r>
      <w:r>
        <w:rPr>
          <w:spacing w:val="-2"/>
        </w:rPr>
        <w:t>femininity</w:t>
      </w:r>
      <w:r>
        <w:rPr>
          <w:spacing w:val="-11"/>
        </w:rPr>
        <w:t> </w:t>
      </w:r>
      <w:r>
        <w:rPr>
          <w:spacing w:val="-2"/>
        </w:rPr>
        <w:t>was</w:t>
      </w:r>
      <w:r>
        <w:rPr>
          <w:spacing w:val="-10"/>
        </w:rPr>
        <w:t> </w:t>
      </w:r>
      <w:r>
        <w:rPr>
          <w:spacing w:val="-2"/>
        </w:rPr>
        <w:t>constructed </w:t>
      </w:r>
      <w:r>
        <w:rPr/>
        <w:t>through</w:t>
      </w:r>
      <w:r>
        <w:rPr>
          <w:spacing w:val="40"/>
        </w:rPr>
        <w:t> </w:t>
      </w:r>
      <w:r>
        <w:rPr/>
        <w:t>superior</w:t>
      </w:r>
      <w:r>
        <w:rPr>
          <w:spacing w:val="40"/>
        </w:rPr>
        <w:t> </w:t>
      </w:r>
      <w:r>
        <w:rPr/>
        <w:t>command</w:t>
      </w:r>
      <w:r>
        <w:rPr>
          <w:spacing w:val="40"/>
        </w:rPr>
        <w:t> </w:t>
      </w:r>
      <w:r>
        <w:rPr/>
        <w:t>of</w:t>
      </w:r>
      <w:r>
        <w:rPr>
          <w:spacing w:val="40"/>
        </w:rPr>
        <w:t> </w:t>
      </w:r>
      <w:r>
        <w:rPr/>
        <w:t>language</w:t>
      </w:r>
      <w:r>
        <w:rPr>
          <w:spacing w:val="40"/>
        </w:rPr>
        <w:t> </w:t>
      </w:r>
      <w:r>
        <w:rPr/>
        <w:t>and</w:t>
      </w:r>
      <w:r>
        <w:rPr>
          <w:spacing w:val="40"/>
        </w:rPr>
        <w:t> </w:t>
      </w:r>
      <w:r>
        <w:rPr/>
        <w:t>logic.</w:t>
      </w:r>
    </w:p>
    <w:p>
      <w:pPr>
        <w:pStyle w:val="BodyText"/>
        <w:spacing w:line="264" w:lineRule="auto" w:before="56"/>
        <w:ind w:right="1439" w:firstLine="432"/>
        <w:jc w:val="both"/>
      </w:pPr>
      <w:r>
        <w:rPr/>
        <w:t>The Ganymede Effect: In As You Like It, the character Rosalind (played by a boy) disguises herself as a boy (Ganymede) who then pretends to be a girl (Rosalind) to teach Orlando how to woo. This creates a hall of mirrors effect where gender is revealed to be a fluid, performative act rather than a biological prison.</w:t>
      </w:r>
    </w:p>
    <w:p>
      <w:pPr>
        <w:pStyle w:val="BodyText"/>
        <w:spacing w:line="264" w:lineRule="auto" w:before="53"/>
        <w:ind w:right="1440" w:firstLine="432"/>
        <w:jc w:val="both"/>
      </w:pPr>
      <w:r>
        <w:rPr/>
        <w:t>The</w:t>
      </w:r>
      <w:r>
        <w:rPr>
          <w:spacing w:val="-8"/>
        </w:rPr>
        <w:t> </w:t>
      </w:r>
      <w:r>
        <w:rPr/>
        <w:t>Restoration:</w:t>
      </w:r>
      <w:r>
        <w:rPr>
          <w:spacing w:val="-9"/>
        </w:rPr>
        <w:t> </w:t>
      </w:r>
      <w:r>
        <w:rPr/>
        <w:t>The</w:t>
      </w:r>
      <w:r>
        <w:rPr>
          <w:spacing w:val="-13"/>
        </w:rPr>
        <w:t> </w:t>
      </w:r>
      <w:r>
        <w:rPr/>
        <w:t>Advent</w:t>
      </w:r>
      <w:r>
        <w:rPr>
          <w:spacing w:val="-4"/>
        </w:rPr>
        <w:t> </w:t>
      </w:r>
      <w:r>
        <w:rPr/>
        <w:t>of</w:t>
      </w:r>
      <w:r>
        <w:rPr>
          <w:spacing w:val="-8"/>
        </w:rPr>
        <w:t> </w:t>
      </w:r>
      <w:r>
        <w:rPr/>
        <w:t>the</w:t>
      </w:r>
      <w:r>
        <w:rPr>
          <w:spacing w:val="-6"/>
        </w:rPr>
        <w:t> </w:t>
      </w:r>
      <w:r>
        <w:rPr/>
        <w:t>Female</w:t>
      </w:r>
      <w:r>
        <w:rPr>
          <w:spacing w:val="-8"/>
        </w:rPr>
        <w:t> </w:t>
      </w:r>
      <w:r>
        <w:rPr/>
        <w:t>Body</w:t>
      </w:r>
      <w:r>
        <w:rPr>
          <w:spacing w:val="-11"/>
        </w:rPr>
        <w:t> </w:t>
      </w:r>
      <w:r>
        <w:rPr/>
        <w:t>The</w:t>
      </w:r>
      <w:r>
        <w:rPr>
          <w:spacing w:val="-6"/>
        </w:rPr>
        <w:t> </w:t>
      </w:r>
      <w:r>
        <w:rPr/>
        <w:t>return</w:t>
      </w:r>
      <w:r>
        <w:rPr>
          <w:spacing w:val="-9"/>
        </w:rPr>
        <w:t> </w:t>
      </w:r>
      <w:r>
        <w:rPr/>
        <w:t>of</w:t>
      </w:r>
      <w:r>
        <w:rPr>
          <w:spacing w:val="-6"/>
        </w:rPr>
        <w:t> </w:t>
      </w:r>
      <w:r>
        <w:rPr/>
        <w:t>the monarchy</w:t>
      </w:r>
      <w:r>
        <w:rPr>
          <w:spacing w:val="-9"/>
        </w:rPr>
        <w:t> </w:t>
      </w:r>
      <w:r>
        <w:rPr/>
        <w:t>in</w:t>
      </w:r>
      <w:r>
        <w:rPr>
          <w:spacing w:val="-5"/>
        </w:rPr>
        <w:t> </w:t>
      </w:r>
      <w:r>
        <w:rPr/>
        <w:t>1660</w:t>
      </w:r>
      <w:r>
        <w:rPr>
          <w:spacing w:val="-5"/>
        </w:rPr>
        <w:t> </w:t>
      </w:r>
      <w:r>
        <w:rPr/>
        <w:t>brought</w:t>
      </w:r>
      <w:r>
        <w:rPr>
          <w:spacing w:val="-7"/>
        </w:rPr>
        <w:t> </w:t>
      </w:r>
      <w:r>
        <w:rPr/>
        <w:t>a</w:t>
      </w:r>
      <w:r>
        <w:rPr>
          <w:spacing w:val="-6"/>
        </w:rPr>
        <w:t> </w:t>
      </w:r>
      <w:r>
        <w:rPr/>
        <w:t>revolution:</w:t>
      </w:r>
      <w:r>
        <w:rPr>
          <w:spacing w:val="-3"/>
        </w:rPr>
        <w:t> </w:t>
      </w:r>
      <w:r>
        <w:rPr/>
        <w:t>the</w:t>
      </w:r>
      <w:r>
        <w:rPr>
          <w:spacing w:val="-6"/>
        </w:rPr>
        <w:t> </w:t>
      </w:r>
      <w:r>
        <w:rPr/>
        <w:t>legal</w:t>
      </w:r>
      <w:r>
        <w:rPr>
          <w:spacing w:val="-7"/>
        </w:rPr>
        <w:t> </w:t>
      </w:r>
      <w:r>
        <w:rPr/>
        <w:t>presence</w:t>
      </w:r>
      <w:r>
        <w:rPr>
          <w:spacing w:val="-6"/>
        </w:rPr>
        <w:t> </w:t>
      </w:r>
      <w:r>
        <w:rPr/>
        <w:t>of</w:t>
      </w:r>
      <w:r>
        <w:rPr>
          <w:spacing w:val="-5"/>
        </w:rPr>
        <w:t> </w:t>
      </w:r>
      <w:r>
        <w:rPr/>
        <w:t>women</w:t>
      </w:r>
      <w:r>
        <w:rPr>
          <w:spacing w:val="-7"/>
        </w:rPr>
        <w:t> </w:t>
      </w:r>
      <w:r>
        <w:rPr/>
        <w:t>on stage. While this added a new layer of realism, it also introduced the concept</w:t>
      </w:r>
      <w:r>
        <w:rPr>
          <w:spacing w:val="40"/>
        </w:rPr>
        <w:t> </w:t>
      </w:r>
      <w:r>
        <w:rPr/>
        <w:t>of</w:t>
      </w:r>
      <w:r>
        <w:rPr>
          <w:spacing w:val="40"/>
        </w:rPr>
        <w:t> </w:t>
      </w:r>
      <w:r>
        <w:rPr/>
        <w:t>the</w:t>
      </w:r>
      <w:r>
        <w:rPr>
          <w:spacing w:val="40"/>
        </w:rPr>
        <w:t> </w:t>
      </w:r>
      <w:r>
        <w:rPr/>
        <w:t>Spectacle.</w:t>
      </w:r>
    </w:p>
    <w:p>
      <w:pPr>
        <w:pStyle w:val="Heading3"/>
        <w:spacing w:before="149"/>
        <w:ind w:left="0" w:right="20"/>
        <w:jc w:val="center"/>
      </w:pPr>
      <w:r>
        <w:rPr>
          <w:w w:val="90"/>
        </w:rPr>
        <w:t>THE</w:t>
      </w:r>
      <w:r>
        <w:rPr>
          <w:spacing w:val="10"/>
        </w:rPr>
        <w:t> </w:t>
      </w:r>
      <w:r>
        <w:rPr>
          <w:w w:val="90"/>
        </w:rPr>
        <w:t>DOUBLE-EDGED</w:t>
      </w:r>
      <w:r>
        <w:rPr>
          <w:spacing w:val="13"/>
        </w:rPr>
        <w:t> </w:t>
      </w:r>
      <w:r>
        <w:rPr>
          <w:w w:val="90"/>
        </w:rPr>
        <w:t>SWORD</w:t>
      </w:r>
      <w:r>
        <w:rPr>
          <w:spacing w:val="13"/>
        </w:rPr>
        <w:t> </w:t>
      </w:r>
      <w:r>
        <w:rPr>
          <w:w w:val="90"/>
        </w:rPr>
        <w:t>OF</w:t>
      </w:r>
      <w:r>
        <w:rPr>
          <w:spacing w:val="11"/>
        </w:rPr>
        <w:t> </w:t>
      </w:r>
      <w:r>
        <w:rPr>
          <w:w w:val="90"/>
        </w:rPr>
        <w:t>THE</w:t>
      </w:r>
      <w:r>
        <w:rPr>
          <w:spacing w:val="14"/>
        </w:rPr>
        <w:t> </w:t>
      </w:r>
      <w:r>
        <w:rPr>
          <w:w w:val="90"/>
        </w:rPr>
        <w:t>BREECHES</w:t>
      </w:r>
      <w:r>
        <w:rPr>
          <w:spacing w:val="11"/>
        </w:rPr>
        <w:t> </w:t>
      </w:r>
      <w:r>
        <w:rPr>
          <w:spacing w:val="-4"/>
          <w:w w:val="90"/>
        </w:rPr>
        <w:t>ROLE</w:t>
      </w:r>
    </w:p>
    <w:p>
      <w:pPr>
        <w:pStyle w:val="BodyText"/>
        <w:spacing w:line="264" w:lineRule="auto" w:before="90"/>
        <w:ind w:right="1439" w:firstLine="432"/>
        <w:jc w:val="both"/>
      </w:pPr>
      <w:r>
        <w:rPr/>
        <w:t>While actresses like Anne Marshall and Margaret Hughes finally </w:t>
      </w:r>
      <w:r>
        <w:rPr>
          <w:spacing w:val="-4"/>
        </w:rPr>
        <w:t>gave</w:t>
      </w:r>
      <w:r>
        <w:rPr>
          <w:spacing w:val="-9"/>
        </w:rPr>
        <w:t> </w:t>
      </w:r>
      <w:r>
        <w:rPr>
          <w:spacing w:val="-4"/>
        </w:rPr>
        <w:t>voice</w:t>
      </w:r>
      <w:r>
        <w:rPr>
          <w:spacing w:val="-8"/>
        </w:rPr>
        <w:t> </w:t>
      </w:r>
      <w:r>
        <w:rPr>
          <w:spacing w:val="-4"/>
        </w:rPr>
        <w:t>to</w:t>
      </w:r>
      <w:r>
        <w:rPr>
          <w:spacing w:val="-9"/>
        </w:rPr>
        <w:t> </w:t>
      </w:r>
      <w:r>
        <w:rPr>
          <w:spacing w:val="-4"/>
        </w:rPr>
        <w:t>these</w:t>
      </w:r>
      <w:r>
        <w:rPr>
          <w:spacing w:val="-6"/>
        </w:rPr>
        <w:t> </w:t>
      </w:r>
      <w:r>
        <w:rPr>
          <w:spacing w:val="-4"/>
        </w:rPr>
        <w:t>roles,</w:t>
      </w:r>
      <w:r>
        <w:rPr>
          <w:spacing w:val="-5"/>
        </w:rPr>
        <w:t> </w:t>
      </w:r>
      <w:r>
        <w:rPr>
          <w:spacing w:val="-4"/>
        </w:rPr>
        <w:t>theater managers</w:t>
      </w:r>
      <w:r>
        <w:rPr>
          <w:spacing w:val="-9"/>
        </w:rPr>
        <w:t> </w:t>
      </w:r>
      <w:r>
        <w:rPr>
          <w:spacing w:val="-4"/>
        </w:rPr>
        <w:t>quickly</w:t>
      </w:r>
      <w:r>
        <w:rPr>
          <w:spacing w:val="-8"/>
        </w:rPr>
        <w:t> </w:t>
      </w:r>
      <w:r>
        <w:rPr>
          <w:spacing w:val="-4"/>
        </w:rPr>
        <w:t>realized</w:t>
      </w:r>
      <w:r>
        <w:rPr>
          <w:spacing w:val="-6"/>
        </w:rPr>
        <w:t> </w:t>
      </w:r>
      <w:r>
        <w:rPr>
          <w:spacing w:val="-4"/>
        </w:rPr>
        <w:t>the commercial </w:t>
      </w:r>
      <w:r>
        <w:rPr/>
        <w:t>value</w:t>
      </w:r>
      <w:r>
        <w:rPr>
          <w:spacing w:val="-2"/>
        </w:rPr>
        <w:t> </w:t>
      </w:r>
      <w:r>
        <w:rPr/>
        <w:t>of</w:t>
      </w:r>
      <w:r>
        <w:rPr>
          <w:spacing w:val="-2"/>
        </w:rPr>
        <w:t> </w:t>
      </w:r>
      <w:r>
        <w:rPr/>
        <w:t>the</w:t>
      </w:r>
      <w:r>
        <w:rPr>
          <w:spacing w:val="-4"/>
        </w:rPr>
        <w:t> </w:t>
      </w:r>
      <w:r>
        <w:rPr/>
        <w:t>Breeches</w:t>
      </w:r>
      <w:r>
        <w:rPr>
          <w:spacing w:val="-2"/>
        </w:rPr>
        <w:t> </w:t>
      </w:r>
      <w:r>
        <w:rPr/>
        <w:t>Role. By</w:t>
      </w:r>
      <w:r>
        <w:rPr>
          <w:spacing w:val="-4"/>
        </w:rPr>
        <w:t> </w:t>
      </w:r>
      <w:r>
        <w:rPr/>
        <w:t>placing</w:t>
      </w:r>
      <w:r>
        <w:rPr>
          <w:spacing w:val="-2"/>
        </w:rPr>
        <w:t> </w:t>
      </w:r>
      <w:r>
        <w:rPr/>
        <w:t>female</w:t>
      </w:r>
      <w:r>
        <w:rPr>
          <w:spacing w:val="-1"/>
        </w:rPr>
        <w:t> </w:t>
      </w:r>
      <w:r>
        <w:rPr/>
        <w:t>characters</w:t>
      </w:r>
      <w:r>
        <w:rPr>
          <w:spacing w:val="-4"/>
        </w:rPr>
        <w:t> </w:t>
      </w:r>
      <w:r>
        <w:rPr/>
        <w:t>in</w:t>
      </w:r>
      <w:r>
        <w:rPr>
          <w:spacing w:val="-2"/>
        </w:rPr>
        <w:t> </w:t>
      </w:r>
      <w:r>
        <w:rPr/>
        <w:t>male</w:t>
      </w:r>
      <w:r>
        <w:rPr>
          <w:spacing w:val="-1"/>
        </w:rPr>
        <w:t> </w:t>
      </w:r>
      <w:r>
        <w:rPr/>
        <w:t>attire, the theater could by pass strict dress codes and reveal the female silhouette to the male gaze. Thus, while women gained a professional platform,</w:t>
      </w:r>
      <w:r>
        <w:rPr>
          <w:spacing w:val="11"/>
        </w:rPr>
        <w:t> </w:t>
      </w:r>
      <w:r>
        <w:rPr/>
        <w:t>their</w:t>
      </w:r>
      <w:r>
        <w:rPr>
          <w:spacing w:val="10"/>
        </w:rPr>
        <w:t> </w:t>
      </w:r>
      <w:r>
        <w:rPr/>
        <w:t>agency</w:t>
      </w:r>
      <w:r>
        <w:rPr>
          <w:spacing w:val="8"/>
        </w:rPr>
        <w:t> </w:t>
      </w:r>
      <w:r>
        <w:rPr/>
        <w:t>was</w:t>
      </w:r>
      <w:r>
        <w:rPr>
          <w:spacing w:val="9"/>
        </w:rPr>
        <w:t> </w:t>
      </w:r>
      <w:r>
        <w:rPr/>
        <w:t>often</w:t>
      </w:r>
      <w:r>
        <w:rPr>
          <w:spacing w:val="9"/>
        </w:rPr>
        <w:t> </w:t>
      </w:r>
      <w:r>
        <w:rPr/>
        <w:t>commodified</w:t>
      </w:r>
      <w:r>
        <w:rPr>
          <w:spacing w:val="11"/>
        </w:rPr>
        <w:t> </w:t>
      </w:r>
      <w:r>
        <w:rPr/>
        <w:t>for</w:t>
      </w:r>
      <w:r>
        <w:rPr>
          <w:spacing w:val="11"/>
        </w:rPr>
        <w:t> </w:t>
      </w:r>
      <w:r>
        <w:rPr/>
        <w:t>visual</w:t>
      </w:r>
      <w:r>
        <w:rPr>
          <w:spacing w:val="11"/>
        </w:rPr>
        <w:t> </w:t>
      </w:r>
      <w:r>
        <w:rPr>
          <w:spacing w:val="-2"/>
        </w:rPr>
        <w:t>consumption.</w:t>
      </w:r>
    </w:p>
    <w:p>
      <w:pPr>
        <w:pStyle w:val="BodyText"/>
        <w:spacing w:line="249" w:lineRule="auto" w:before="45"/>
        <w:ind w:right="1440" w:firstLine="432"/>
        <w:jc w:val="both"/>
      </w:pPr>
      <w:r>
        <w:rPr/>
        <w:t>The Influence of the Shakespeare Ladies ClubÿþBy the 1730s, female audiences began to exert their own power. The Shakespeare Ladies</w:t>
      </w:r>
      <w:r>
        <w:rPr>
          <w:spacing w:val="-13"/>
        </w:rPr>
        <w:t> </w:t>
      </w:r>
      <w:r>
        <w:rPr/>
        <w:t>Club</w:t>
      </w:r>
      <w:r>
        <w:rPr>
          <w:spacing w:val="-12"/>
        </w:rPr>
        <w:t> </w:t>
      </w:r>
      <w:r>
        <w:rPr/>
        <w:t>was</w:t>
      </w:r>
      <w:r>
        <w:rPr>
          <w:spacing w:val="-13"/>
        </w:rPr>
        <w:t> </w:t>
      </w:r>
      <w:r>
        <w:rPr/>
        <w:t>a</w:t>
      </w:r>
      <w:r>
        <w:rPr>
          <w:spacing w:val="-12"/>
        </w:rPr>
        <w:t> </w:t>
      </w:r>
      <w:r>
        <w:rPr/>
        <w:t>group</w:t>
      </w:r>
      <w:r>
        <w:rPr>
          <w:spacing w:val="-13"/>
        </w:rPr>
        <w:t> </w:t>
      </w:r>
      <w:r>
        <w:rPr/>
        <w:t>of</w:t>
      </w:r>
      <w:r>
        <w:rPr>
          <w:spacing w:val="-12"/>
        </w:rPr>
        <w:t> </w:t>
      </w:r>
      <w:r>
        <w:rPr/>
        <w:t>aristocratic</w:t>
      </w:r>
      <w:r>
        <w:rPr>
          <w:spacing w:val="-13"/>
        </w:rPr>
        <w:t> </w:t>
      </w:r>
      <w:r>
        <w:rPr/>
        <w:t>women</w:t>
      </w:r>
      <w:r>
        <w:rPr>
          <w:spacing w:val="-12"/>
        </w:rPr>
        <w:t> </w:t>
      </w:r>
      <w:r>
        <w:rPr/>
        <w:t>who</w:t>
      </w:r>
      <w:r>
        <w:rPr>
          <w:spacing w:val="-13"/>
        </w:rPr>
        <w:t> </w:t>
      </w:r>
      <w:r>
        <w:rPr/>
        <w:t>successfully</w:t>
      </w:r>
      <w:r>
        <w:rPr>
          <w:spacing w:val="-12"/>
        </w:rPr>
        <w:t> </w:t>
      </w:r>
      <w:r>
        <w:rPr/>
        <w:t>lobbied </w:t>
      </w:r>
      <w:r>
        <w:rPr>
          <w:spacing w:val="-2"/>
        </w:rPr>
        <w:t>for</w:t>
      </w:r>
      <w:r>
        <w:rPr>
          <w:spacing w:val="-10"/>
        </w:rPr>
        <w:t> </w:t>
      </w:r>
      <w:r>
        <w:rPr>
          <w:spacing w:val="-2"/>
        </w:rPr>
        <w:t>the</w:t>
      </w:r>
      <w:r>
        <w:rPr>
          <w:spacing w:val="-7"/>
        </w:rPr>
        <w:t> </w:t>
      </w:r>
      <w:r>
        <w:rPr>
          <w:spacing w:val="-2"/>
        </w:rPr>
        <w:t>return</w:t>
      </w:r>
      <w:r>
        <w:rPr>
          <w:spacing w:val="-11"/>
        </w:rPr>
        <w:t> </w:t>
      </w:r>
      <w:r>
        <w:rPr>
          <w:spacing w:val="-2"/>
        </w:rPr>
        <w:t>of</w:t>
      </w:r>
      <w:r>
        <w:rPr>
          <w:spacing w:val="-10"/>
        </w:rPr>
        <w:t> </w:t>
      </w:r>
      <w:r>
        <w:rPr>
          <w:spacing w:val="-2"/>
        </w:rPr>
        <w:t>Shakespeare’s</w:t>
      </w:r>
      <w:r>
        <w:rPr>
          <w:spacing w:val="-11"/>
        </w:rPr>
        <w:t> </w:t>
      </w:r>
      <w:r>
        <w:rPr>
          <w:spacing w:val="-2"/>
        </w:rPr>
        <w:t>original</w:t>
      </w:r>
      <w:r>
        <w:rPr>
          <w:spacing w:val="-9"/>
        </w:rPr>
        <w:t> </w:t>
      </w:r>
      <w:r>
        <w:rPr>
          <w:spacing w:val="-2"/>
        </w:rPr>
        <w:t>texts</w:t>
      </w:r>
      <w:r>
        <w:rPr>
          <w:spacing w:val="-9"/>
        </w:rPr>
        <w:t> </w:t>
      </w:r>
      <w:r>
        <w:rPr>
          <w:spacing w:val="-2"/>
        </w:rPr>
        <w:t>over</w:t>
      </w:r>
      <w:r>
        <w:rPr>
          <w:spacing w:val="-11"/>
        </w:rPr>
        <w:t> </w:t>
      </w:r>
      <w:r>
        <w:rPr>
          <w:spacing w:val="-2"/>
        </w:rPr>
        <w:t>the</w:t>
      </w:r>
      <w:r>
        <w:rPr>
          <w:spacing w:val="-9"/>
        </w:rPr>
        <w:t> </w:t>
      </w:r>
      <w:r>
        <w:rPr>
          <w:spacing w:val="-2"/>
        </w:rPr>
        <w:t>bastardized</w:t>
      </w:r>
      <w:r>
        <w:rPr>
          <w:spacing w:val="-7"/>
        </w:rPr>
        <w:t> </w:t>
      </w:r>
      <w:r>
        <w:rPr>
          <w:spacing w:val="-2"/>
        </w:rPr>
        <w:t>versions </w:t>
      </w:r>
      <w:r>
        <w:rPr/>
        <w:t>common</w:t>
      </w:r>
      <w:r>
        <w:rPr>
          <w:spacing w:val="-3"/>
        </w:rPr>
        <w:t> </w:t>
      </w:r>
      <w:r>
        <w:rPr/>
        <w:t>at the time.</w:t>
      </w:r>
      <w:r>
        <w:rPr>
          <w:spacing w:val="-1"/>
        </w:rPr>
        <w:t> </w:t>
      </w:r>
      <w:r>
        <w:rPr/>
        <w:t>They</w:t>
      </w:r>
      <w:r>
        <w:rPr>
          <w:spacing w:val="-3"/>
        </w:rPr>
        <w:t> </w:t>
      </w:r>
      <w:r>
        <w:rPr/>
        <w:t>prioritized</w:t>
      </w:r>
      <w:r>
        <w:rPr>
          <w:spacing w:val="1"/>
        </w:rPr>
        <w:t> </w:t>
      </w:r>
      <w:r>
        <w:rPr/>
        <w:t>the</w:t>
      </w:r>
      <w:r>
        <w:rPr>
          <w:spacing w:val="-2"/>
        </w:rPr>
        <w:t> </w:t>
      </w:r>
      <w:r>
        <w:rPr/>
        <w:t>restoration</w:t>
      </w:r>
      <w:r>
        <w:rPr>
          <w:spacing w:val="-2"/>
        </w:rPr>
        <w:t> </w:t>
      </w:r>
      <w:r>
        <w:rPr/>
        <w:t>of</w:t>
      </w:r>
      <w:r>
        <w:rPr>
          <w:spacing w:val="-2"/>
        </w:rPr>
        <w:t> </w:t>
      </w:r>
      <w:r>
        <w:rPr/>
        <w:t>complex</w:t>
      </w:r>
      <w:r>
        <w:rPr>
          <w:spacing w:val="-2"/>
        </w:rPr>
        <w:t> female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11584">
                <wp:simplePos x="0" y="0"/>
                <wp:positionH relativeFrom="page">
                  <wp:posOffset>2057400</wp:posOffset>
                </wp:positionH>
                <wp:positionV relativeFrom="paragraph">
                  <wp:posOffset>162604</wp:posOffset>
                </wp:positionV>
                <wp:extent cx="3657600" cy="12700"/>
                <wp:effectExtent l="0" t="0" r="0" b="0"/>
                <wp:wrapTopAndBottom/>
                <wp:docPr id="617" name="Graphic 617"/>
                <wp:cNvGraphicFramePr>
                  <a:graphicFrameLocks/>
                </wp:cNvGraphicFramePr>
                <a:graphic>
                  <a:graphicData uri="http://schemas.microsoft.com/office/word/2010/wordprocessingShape">
                    <wps:wsp>
                      <wps:cNvPr id="617" name="Graphic 61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04896;mso-wrap-distance-left:0;mso-wrap-distance-right:0" id="docshape609" filled="true" fillcolor="#000000" stroked="false">
                <v:fill type="solid"/>
                <w10:wrap type="topAndBottom"/>
              </v:rect>
            </w:pict>
          </mc:Fallback>
        </mc:AlternateContent>
      </w:r>
      <w:r>
        <w:rPr>
          <w:rFonts w:ascii="Verdana"/>
          <w:spacing w:val="-5"/>
          <w:sz w:val="18"/>
        </w:rPr>
        <w:t>298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2"/>
        <w:jc w:val="both"/>
      </w:pPr>
      <w:r>
        <w:rPr/>
        <w:t>roles, effectively asserting that Shakespeare’s women were essential to the</w:t>
      </w:r>
      <w:r>
        <w:rPr>
          <w:spacing w:val="40"/>
        </w:rPr>
        <w:t> </w:t>
      </w:r>
      <w:r>
        <w:rPr/>
        <w:t>moral and</w:t>
      </w:r>
      <w:r>
        <w:rPr>
          <w:spacing w:val="40"/>
        </w:rPr>
        <w:t> </w:t>
      </w:r>
      <w:r>
        <w:rPr/>
        <w:t>intellectual</w:t>
      </w:r>
      <w:r>
        <w:rPr>
          <w:spacing w:val="40"/>
        </w:rPr>
        <w:t> </w:t>
      </w:r>
      <w:r>
        <w:rPr/>
        <w:t>health of the</w:t>
      </w:r>
      <w:r>
        <w:rPr>
          <w:spacing w:val="40"/>
        </w:rPr>
        <w:t> </w:t>
      </w:r>
      <w:r>
        <w:rPr/>
        <w:t>nation.</w:t>
      </w:r>
    </w:p>
    <w:p>
      <w:pPr>
        <w:pStyle w:val="BodyText"/>
        <w:spacing w:line="249" w:lineRule="auto" w:before="59"/>
        <w:ind w:right="1439" w:firstLine="432"/>
        <w:jc w:val="both"/>
      </w:pPr>
      <w:r>
        <w:rPr>
          <w:spacing w:val="-2"/>
        </w:rPr>
        <w:t>Victorian</w:t>
      </w:r>
      <w:r>
        <w:rPr>
          <w:spacing w:val="-11"/>
        </w:rPr>
        <w:t> </w:t>
      </w:r>
      <w:r>
        <w:rPr>
          <w:spacing w:val="-2"/>
        </w:rPr>
        <w:t>Sanctity</w:t>
      </w:r>
      <w:r>
        <w:rPr>
          <w:spacing w:val="-10"/>
        </w:rPr>
        <w:t> </w:t>
      </w:r>
      <w:r>
        <w:rPr>
          <w:spacing w:val="-2"/>
        </w:rPr>
        <w:t>and</w:t>
      </w:r>
      <w:r>
        <w:rPr>
          <w:spacing w:val="-11"/>
        </w:rPr>
        <w:t> </w:t>
      </w:r>
      <w:r>
        <w:rPr>
          <w:spacing w:val="-2"/>
        </w:rPr>
        <w:t>the</w:t>
      </w:r>
      <w:r>
        <w:rPr>
          <w:spacing w:val="-10"/>
        </w:rPr>
        <w:t> </w:t>
      </w:r>
      <w:r>
        <w:rPr>
          <w:spacing w:val="-2"/>
        </w:rPr>
        <w:t>Cult</w:t>
      </w:r>
      <w:r>
        <w:rPr>
          <w:spacing w:val="-11"/>
        </w:rPr>
        <w:t> </w:t>
      </w:r>
      <w:r>
        <w:rPr>
          <w:spacing w:val="-2"/>
        </w:rPr>
        <w:t>of</w:t>
      </w:r>
      <w:r>
        <w:rPr>
          <w:spacing w:val="-10"/>
        </w:rPr>
        <w:t> </w:t>
      </w:r>
      <w:r>
        <w:rPr>
          <w:spacing w:val="-2"/>
        </w:rPr>
        <w:t>DomesticityÿþIn</w:t>
      </w:r>
      <w:r>
        <w:rPr>
          <w:spacing w:val="-11"/>
        </w:rPr>
        <w:t> </w:t>
      </w:r>
      <w:r>
        <w:rPr>
          <w:spacing w:val="-2"/>
        </w:rPr>
        <w:t>the</w:t>
      </w:r>
      <w:r>
        <w:rPr>
          <w:spacing w:val="-9"/>
        </w:rPr>
        <w:t> </w:t>
      </w:r>
      <w:r>
        <w:rPr>
          <w:spacing w:val="-2"/>
        </w:rPr>
        <w:t>19th</w:t>
      </w:r>
      <w:r>
        <w:rPr>
          <w:spacing w:val="-10"/>
        </w:rPr>
        <w:t> </w:t>
      </w:r>
      <w:r>
        <w:rPr>
          <w:spacing w:val="-2"/>
        </w:rPr>
        <w:t>century, </w:t>
      </w:r>
      <w:r>
        <w:rPr/>
        <w:t>the</w:t>
      </w:r>
      <w:r>
        <w:rPr>
          <w:spacing w:val="-13"/>
        </w:rPr>
        <w:t> </w:t>
      </w:r>
      <w:r>
        <w:rPr/>
        <w:t>reception</w:t>
      </w:r>
      <w:r>
        <w:rPr>
          <w:spacing w:val="-12"/>
        </w:rPr>
        <w:t> </w:t>
      </w:r>
      <w:r>
        <w:rPr/>
        <w:t>of</w:t>
      </w:r>
      <w:r>
        <w:rPr>
          <w:spacing w:val="-13"/>
        </w:rPr>
        <w:t> </w:t>
      </w:r>
      <w:r>
        <w:rPr/>
        <w:t>Shakespeare’s</w:t>
      </w:r>
      <w:r>
        <w:rPr>
          <w:spacing w:val="-12"/>
        </w:rPr>
        <w:t> </w:t>
      </w:r>
      <w:r>
        <w:rPr/>
        <w:t>women</w:t>
      </w:r>
      <w:r>
        <w:rPr>
          <w:spacing w:val="-13"/>
        </w:rPr>
        <w:t> </w:t>
      </w:r>
      <w:r>
        <w:rPr/>
        <w:t>underwent</w:t>
      </w:r>
      <w:r>
        <w:rPr>
          <w:spacing w:val="-12"/>
        </w:rPr>
        <w:t> </w:t>
      </w:r>
      <w:r>
        <w:rPr/>
        <w:t>a</w:t>
      </w:r>
      <w:r>
        <w:rPr>
          <w:spacing w:val="-13"/>
        </w:rPr>
        <w:t> </w:t>
      </w:r>
      <w:r>
        <w:rPr/>
        <w:t>process</w:t>
      </w:r>
      <w:r>
        <w:rPr>
          <w:spacing w:val="-12"/>
        </w:rPr>
        <w:t> </w:t>
      </w:r>
      <w:r>
        <w:rPr/>
        <w:t>of</w:t>
      </w:r>
      <w:r>
        <w:rPr>
          <w:spacing w:val="-13"/>
        </w:rPr>
        <w:t> </w:t>
      </w:r>
      <w:r>
        <w:rPr/>
        <w:t>moralistic </w:t>
      </w:r>
      <w:r>
        <w:rPr>
          <w:spacing w:val="-4"/>
        </w:rPr>
        <w:t>idealization.</w:t>
      </w:r>
      <w:r>
        <w:rPr/>
        <w:t> </w:t>
      </w:r>
      <w:r>
        <w:rPr>
          <w:spacing w:val="-4"/>
        </w:rPr>
        <w:t>Critics like</w:t>
      </w:r>
      <w:r>
        <w:rPr>
          <w:spacing w:val="-9"/>
        </w:rPr>
        <w:t> </w:t>
      </w:r>
      <w:r>
        <w:rPr>
          <w:spacing w:val="-4"/>
        </w:rPr>
        <w:t>Anna Jameson sought to prove that Shakespeare’s </w:t>
      </w:r>
      <w:r>
        <w:rPr/>
        <w:t>heroines</w:t>
      </w:r>
      <w:r>
        <w:rPr>
          <w:spacing w:val="-13"/>
        </w:rPr>
        <w:t> </w:t>
      </w:r>
      <w:r>
        <w:rPr/>
        <w:t>were</w:t>
      </w:r>
      <w:r>
        <w:rPr>
          <w:spacing w:val="-12"/>
        </w:rPr>
        <w:t> </w:t>
      </w:r>
      <w:r>
        <w:rPr/>
        <w:t>the</w:t>
      </w:r>
      <w:r>
        <w:rPr>
          <w:spacing w:val="-12"/>
        </w:rPr>
        <w:t> </w:t>
      </w:r>
      <w:r>
        <w:rPr/>
        <w:t>ultimate</w:t>
      </w:r>
      <w:r>
        <w:rPr>
          <w:spacing w:val="-11"/>
        </w:rPr>
        <w:t> </w:t>
      </w:r>
      <w:r>
        <w:rPr/>
        <w:t>models</w:t>
      </w:r>
      <w:r>
        <w:rPr>
          <w:spacing w:val="-12"/>
        </w:rPr>
        <w:t> </w:t>
      </w:r>
      <w:r>
        <w:rPr/>
        <w:t>of</w:t>
      </w:r>
      <w:r>
        <w:rPr>
          <w:spacing w:val="-13"/>
        </w:rPr>
        <w:t> </w:t>
      </w:r>
      <w:r>
        <w:rPr/>
        <w:t>Victorian</w:t>
      </w:r>
      <w:r>
        <w:rPr>
          <w:spacing w:val="-11"/>
        </w:rPr>
        <w:t> </w:t>
      </w:r>
      <w:r>
        <w:rPr/>
        <w:t>womanhood—pure,</w:t>
      </w:r>
      <w:r>
        <w:rPr>
          <w:spacing w:val="-12"/>
        </w:rPr>
        <w:t> </w:t>
      </w:r>
      <w:r>
        <w:rPr/>
        <w:t>self-sacrificing, and domestic.</w:t>
      </w:r>
    </w:p>
    <w:p>
      <w:pPr>
        <w:pStyle w:val="BodyText"/>
        <w:spacing w:line="266" w:lineRule="auto" w:before="72"/>
        <w:ind w:right="1440" w:firstLine="432"/>
        <w:jc w:val="both"/>
      </w:pPr>
      <w:r>
        <w:rPr/>
        <w:t>The Sanitization of Ophelia: Victorian stage productions often stripped Ophelia of her darker, sexually suggestive undertones in her madness scenes, reframing her as a willow-shrouded icon of tragic </w:t>
      </w:r>
      <w:r>
        <w:rPr>
          <w:spacing w:val="-2"/>
        </w:rPr>
        <w:t>beauty.</w:t>
      </w:r>
    </w:p>
    <w:p>
      <w:pPr>
        <w:pStyle w:val="BodyText"/>
        <w:spacing w:line="266" w:lineRule="auto" w:before="61"/>
        <w:ind w:right="1440" w:firstLine="432"/>
        <w:jc w:val="both"/>
      </w:pPr>
      <w:r>
        <w:rPr/>
        <w:t>The Demonization of the Non-Conformist: While sweet heroines were elevated, characters</w:t>
      </w:r>
      <w:r>
        <w:rPr>
          <w:spacing w:val="-2"/>
        </w:rPr>
        <w:t> </w:t>
      </w:r>
      <w:r>
        <w:rPr/>
        <w:t>like Lady Macbeth</w:t>
      </w:r>
      <w:r>
        <w:rPr>
          <w:spacing w:val="-2"/>
        </w:rPr>
        <w:t> </w:t>
      </w:r>
      <w:r>
        <w:rPr/>
        <w:t>were frequently framed as unnatural monsters. Victorian reception struggled to reconcile her political</w:t>
      </w:r>
      <w:r>
        <w:rPr>
          <w:spacing w:val="-3"/>
        </w:rPr>
        <w:t> </w:t>
      </w:r>
      <w:r>
        <w:rPr/>
        <w:t>ambition</w:t>
      </w:r>
      <w:r>
        <w:rPr>
          <w:spacing w:val="-5"/>
        </w:rPr>
        <w:t> </w:t>
      </w:r>
      <w:r>
        <w:rPr/>
        <w:t>with</w:t>
      </w:r>
      <w:r>
        <w:rPr>
          <w:spacing w:val="-4"/>
        </w:rPr>
        <w:t> </w:t>
      </w:r>
      <w:r>
        <w:rPr/>
        <w:t>the</w:t>
      </w:r>
      <w:r>
        <w:rPr>
          <w:spacing w:val="-3"/>
        </w:rPr>
        <w:t> </w:t>
      </w:r>
      <w:r>
        <w:rPr/>
        <w:t>era’s</w:t>
      </w:r>
      <w:r>
        <w:rPr>
          <w:spacing w:val="-2"/>
        </w:rPr>
        <w:t> </w:t>
      </w:r>
      <w:r>
        <w:rPr/>
        <w:t>rigid</w:t>
      </w:r>
      <w:r>
        <w:rPr>
          <w:spacing w:val="1"/>
        </w:rPr>
        <w:t> </w:t>
      </w:r>
      <w:r>
        <w:rPr/>
        <w:t>definition</w:t>
      </w:r>
      <w:r>
        <w:rPr>
          <w:spacing w:val="-5"/>
        </w:rPr>
        <w:t> </w:t>
      </w:r>
      <w:r>
        <w:rPr/>
        <w:t>of</w:t>
      </w:r>
      <w:r>
        <w:rPr>
          <w:spacing w:val="-4"/>
        </w:rPr>
        <w:t> </w:t>
      </w:r>
      <w:r>
        <w:rPr/>
        <w:t>the</w:t>
      </w:r>
      <w:r>
        <w:rPr>
          <w:spacing w:val="-2"/>
        </w:rPr>
        <w:t> </w:t>
      </w:r>
      <w:r>
        <w:rPr/>
        <w:t>maternal</w:t>
      </w:r>
      <w:r>
        <w:rPr>
          <w:spacing w:val="-3"/>
        </w:rPr>
        <w:t> </w:t>
      </w:r>
      <w:r>
        <w:rPr>
          <w:spacing w:val="-2"/>
        </w:rPr>
        <w:t>woman.</w:t>
      </w:r>
    </w:p>
    <w:p>
      <w:pPr>
        <w:pStyle w:val="BodyText"/>
        <w:spacing w:line="266" w:lineRule="auto" w:before="61"/>
        <w:ind w:right="1435" w:firstLine="432"/>
        <w:jc w:val="both"/>
      </w:pPr>
      <w:r>
        <w:rPr>
          <w:b/>
        </w:rPr>
        <w:t>Modernity: </w:t>
      </w:r>
      <w:r>
        <w:rPr/>
        <w:t>Agency, Trauma, and ResistanceÿþContemporary scholarship</w:t>
      </w:r>
      <w:r>
        <w:rPr>
          <w:spacing w:val="-3"/>
        </w:rPr>
        <w:t> </w:t>
      </w:r>
      <w:r>
        <w:rPr/>
        <w:t>and</w:t>
      </w:r>
      <w:r>
        <w:rPr>
          <w:spacing w:val="-3"/>
        </w:rPr>
        <w:t> </w:t>
      </w:r>
      <w:r>
        <w:rPr/>
        <w:t>performance</w:t>
      </w:r>
      <w:r>
        <w:rPr>
          <w:spacing w:val="-4"/>
        </w:rPr>
        <w:t> </w:t>
      </w:r>
      <w:r>
        <w:rPr/>
        <w:t>have</w:t>
      </w:r>
      <w:r>
        <w:rPr>
          <w:spacing w:val="-3"/>
        </w:rPr>
        <w:t> </w:t>
      </w:r>
      <w:r>
        <w:rPr/>
        <w:t>moved</w:t>
      </w:r>
      <w:r>
        <w:rPr>
          <w:spacing w:val="-3"/>
        </w:rPr>
        <w:t> </w:t>
      </w:r>
      <w:r>
        <w:rPr/>
        <w:t>away</w:t>
      </w:r>
      <w:r>
        <w:rPr>
          <w:spacing w:val="-8"/>
        </w:rPr>
        <w:t> </w:t>
      </w:r>
      <w:r>
        <w:rPr/>
        <w:t>from</w:t>
      </w:r>
      <w:r>
        <w:rPr>
          <w:spacing w:val="-7"/>
        </w:rPr>
        <w:t> </w:t>
      </w:r>
      <w:r>
        <w:rPr/>
        <w:t>character</w:t>
      </w:r>
      <w:r>
        <w:rPr>
          <w:spacing w:val="-3"/>
        </w:rPr>
        <w:t> </w:t>
      </w:r>
      <w:r>
        <w:rPr/>
        <w:t>sketches and</w:t>
      </w:r>
      <w:r>
        <w:rPr>
          <w:spacing w:val="40"/>
        </w:rPr>
        <w:t> </w:t>
      </w:r>
      <w:r>
        <w:rPr/>
        <w:t>toward</w:t>
      </w:r>
      <w:r>
        <w:rPr>
          <w:spacing w:val="40"/>
        </w:rPr>
        <w:t> </w:t>
      </w:r>
      <w:r>
        <w:rPr/>
        <w:t>systemic</w:t>
      </w:r>
      <w:r>
        <w:rPr>
          <w:spacing w:val="40"/>
        </w:rPr>
        <w:t> </w:t>
      </w:r>
      <w:r>
        <w:rPr/>
        <w:t>interrogation.</w:t>
      </w:r>
    </w:p>
    <w:p>
      <w:pPr>
        <w:pStyle w:val="BodyText"/>
        <w:spacing w:line="268" w:lineRule="auto" w:before="60"/>
        <w:ind w:right="1439" w:firstLine="432"/>
        <w:jc w:val="both"/>
      </w:pPr>
      <w:r>
        <w:rPr>
          <w:spacing w:val="-2"/>
        </w:rPr>
        <w:t>Psychoanalytic</w:t>
      </w:r>
      <w:r>
        <w:rPr>
          <w:spacing w:val="-3"/>
        </w:rPr>
        <w:t> </w:t>
      </w:r>
      <w:r>
        <w:rPr>
          <w:spacing w:val="-2"/>
        </w:rPr>
        <w:t>Re-readings:</w:t>
      </w:r>
      <w:r>
        <w:rPr>
          <w:spacing w:val="-5"/>
        </w:rPr>
        <w:t> </w:t>
      </w:r>
      <w:r>
        <w:rPr>
          <w:spacing w:val="-2"/>
        </w:rPr>
        <w:t>Modern</w:t>
      </w:r>
      <w:r>
        <w:rPr>
          <w:spacing w:val="-4"/>
        </w:rPr>
        <w:t> </w:t>
      </w:r>
      <w:r>
        <w:rPr>
          <w:spacing w:val="-2"/>
        </w:rPr>
        <w:t>performances</w:t>
      </w:r>
      <w:r>
        <w:rPr>
          <w:spacing w:val="-4"/>
        </w:rPr>
        <w:t> </w:t>
      </w:r>
      <w:r>
        <w:rPr>
          <w:spacing w:val="-2"/>
        </w:rPr>
        <w:t>of</w:t>
      </w:r>
      <w:r>
        <w:rPr>
          <w:spacing w:val="-11"/>
        </w:rPr>
        <w:t> </w:t>
      </w:r>
      <w:r>
        <w:rPr>
          <w:spacing w:val="-2"/>
        </w:rPr>
        <w:t>The</w:t>
      </w:r>
      <w:r>
        <w:rPr>
          <w:spacing w:val="-4"/>
        </w:rPr>
        <w:t> </w:t>
      </w:r>
      <w:r>
        <w:rPr>
          <w:spacing w:val="-2"/>
        </w:rPr>
        <w:t>Winter’s </w:t>
      </w:r>
      <w:r>
        <w:rPr/>
        <w:t>Tale or Othello focus less on the jealousy of the men and more on the psychological trauma and</w:t>
      </w:r>
      <w:r>
        <w:rPr>
          <w:spacing w:val="40"/>
        </w:rPr>
        <w:t> </w:t>
      </w:r>
      <w:r>
        <w:rPr/>
        <w:t>resilience of Hermione and Desdemona.</w:t>
      </w:r>
    </w:p>
    <w:p>
      <w:pPr>
        <w:pStyle w:val="BodyText"/>
        <w:spacing w:line="266" w:lineRule="auto" w:before="53"/>
        <w:ind w:right="1440" w:firstLine="432"/>
        <w:jc w:val="both"/>
      </w:pPr>
      <w:r>
        <w:rPr>
          <w:b/>
          <w:spacing w:val="-2"/>
        </w:rPr>
        <w:t>Subverting</w:t>
      </w:r>
      <w:r>
        <w:rPr>
          <w:b/>
          <w:spacing w:val="-3"/>
        </w:rPr>
        <w:t> </w:t>
      </w:r>
      <w:r>
        <w:rPr>
          <w:b/>
          <w:spacing w:val="-2"/>
        </w:rPr>
        <w:t>the Victim</w:t>
      </w:r>
      <w:r>
        <w:rPr>
          <w:b/>
          <w:spacing w:val="-8"/>
        </w:rPr>
        <w:t> </w:t>
      </w:r>
      <w:r>
        <w:rPr>
          <w:b/>
          <w:spacing w:val="-2"/>
        </w:rPr>
        <w:t>Narrative: </w:t>
      </w:r>
      <w:r>
        <w:rPr>
          <w:spacing w:val="-2"/>
        </w:rPr>
        <w:t>Characters</w:t>
      </w:r>
      <w:r>
        <w:rPr>
          <w:spacing w:val="-6"/>
        </w:rPr>
        <w:t> </w:t>
      </w:r>
      <w:r>
        <w:rPr>
          <w:spacing w:val="-2"/>
        </w:rPr>
        <w:t>once</w:t>
      </w:r>
      <w:r>
        <w:rPr>
          <w:spacing w:val="-3"/>
        </w:rPr>
        <w:t> </w:t>
      </w:r>
      <w:r>
        <w:rPr>
          <w:spacing w:val="-2"/>
        </w:rPr>
        <w:t>seen</w:t>
      </w:r>
      <w:r>
        <w:rPr>
          <w:spacing w:val="-6"/>
        </w:rPr>
        <w:t> </w:t>
      </w:r>
      <w:r>
        <w:rPr>
          <w:spacing w:val="-2"/>
        </w:rPr>
        <w:t>as</w:t>
      </w:r>
      <w:r>
        <w:rPr>
          <w:spacing w:val="-6"/>
        </w:rPr>
        <w:t> </w:t>
      </w:r>
      <w:r>
        <w:rPr>
          <w:spacing w:val="-2"/>
        </w:rPr>
        <w:t>passive </w:t>
      </w:r>
      <w:r>
        <w:rPr/>
        <w:t>victims are now portrayed through the lens of resistance. A modern Ophelia</w:t>
      </w:r>
      <w:r>
        <w:rPr>
          <w:spacing w:val="-11"/>
        </w:rPr>
        <w:t> </w:t>
      </w:r>
      <w:r>
        <w:rPr/>
        <w:t>might</w:t>
      </w:r>
      <w:r>
        <w:rPr>
          <w:spacing w:val="-9"/>
        </w:rPr>
        <w:t> </w:t>
      </w:r>
      <w:r>
        <w:rPr/>
        <w:t>use</w:t>
      </w:r>
      <w:r>
        <w:rPr>
          <w:spacing w:val="-10"/>
        </w:rPr>
        <w:t> </w:t>
      </w:r>
      <w:r>
        <w:rPr/>
        <w:t>her</w:t>
      </w:r>
      <w:r>
        <w:rPr>
          <w:spacing w:val="-9"/>
        </w:rPr>
        <w:t> </w:t>
      </w:r>
      <w:r>
        <w:rPr/>
        <w:t>madness</w:t>
      </w:r>
      <w:r>
        <w:rPr>
          <w:spacing w:val="-12"/>
        </w:rPr>
        <w:t> </w:t>
      </w:r>
      <w:r>
        <w:rPr/>
        <w:t>as</w:t>
      </w:r>
      <w:r>
        <w:rPr>
          <w:spacing w:val="-9"/>
        </w:rPr>
        <w:t> </w:t>
      </w:r>
      <w:r>
        <w:rPr/>
        <w:t>a</w:t>
      </w:r>
      <w:r>
        <w:rPr>
          <w:spacing w:val="-10"/>
        </w:rPr>
        <w:t> </w:t>
      </w:r>
      <w:r>
        <w:rPr/>
        <w:t>calculated</w:t>
      </w:r>
      <w:r>
        <w:rPr>
          <w:spacing w:val="-7"/>
        </w:rPr>
        <w:t> </w:t>
      </w:r>
      <w:r>
        <w:rPr/>
        <w:t>linguistic</w:t>
      </w:r>
      <w:r>
        <w:rPr>
          <w:spacing w:val="-10"/>
        </w:rPr>
        <w:t> </w:t>
      </w:r>
      <w:r>
        <w:rPr/>
        <w:t>weapon</w:t>
      </w:r>
      <w:r>
        <w:rPr>
          <w:spacing w:val="-9"/>
        </w:rPr>
        <w:t> </w:t>
      </w:r>
      <w:r>
        <w:rPr/>
        <w:t>against a</w:t>
      </w:r>
      <w:r>
        <w:rPr>
          <w:spacing w:val="40"/>
        </w:rPr>
        <w:t> </w:t>
      </w:r>
      <w:r>
        <w:rPr/>
        <w:t>corrupt</w:t>
      </w:r>
      <w:r>
        <w:rPr>
          <w:spacing w:val="40"/>
        </w:rPr>
        <w:t> </w:t>
      </w:r>
      <w:r>
        <w:rPr/>
        <w:t>state,</w:t>
      </w:r>
      <w:r>
        <w:rPr>
          <w:spacing w:val="40"/>
        </w:rPr>
        <w:t> </w:t>
      </w:r>
      <w:r>
        <w:rPr/>
        <w:t>rather</w:t>
      </w:r>
      <w:r>
        <w:rPr>
          <w:spacing w:val="40"/>
        </w:rPr>
        <w:t> </w:t>
      </w:r>
      <w:r>
        <w:rPr/>
        <w:t>than</w:t>
      </w:r>
      <w:r>
        <w:rPr>
          <w:spacing w:val="40"/>
        </w:rPr>
        <w:t> </w:t>
      </w:r>
      <w:r>
        <w:rPr/>
        <w:t>a</w:t>
      </w:r>
      <w:r>
        <w:rPr>
          <w:spacing w:val="40"/>
        </w:rPr>
        <w:t> </w:t>
      </w:r>
      <w:r>
        <w:rPr/>
        <w:t>sign</w:t>
      </w:r>
      <w:r>
        <w:rPr>
          <w:spacing w:val="40"/>
        </w:rPr>
        <w:t> </w:t>
      </w:r>
      <w:r>
        <w:rPr/>
        <w:t>of</w:t>
      </w:r>
      <w:r>
        <w:rPr>
          <w:spacing w:val="40"/>
        </w:rPr>
        <w:t> </w:t>
      </w:r>
      <w:r>
        <w:rPr/>
        <w:t>internal</w:t>
      </w:r>
      <w:r>
        <w:rPr>
          <w:spacing w:val="40"/>
        </w:rPr>
        <w:t> </w:t>
      </w:r>
      <w:r>
        <w:rPr/>
        <w:t>collapse.</w:t>
      </w:r>
    </w:p>
    <w:p>
      <w:pPr>
        <w:pStyle w:val="BodyText"/>
        <w:spacing w:line="266" w:lineRule="auto" w:before="61"/>
        <w:ind w:right="1438" w:firstLine="432"/>
        <w:jc w:val="both"/>
      </w:pPr>
      <w:r>
        <w:rPr>
          <w:b/>
        </w:rPr>
        <w:t>Cross-Gender Casting: </w:t>
      </w:r>
      <w:r>
        <w:rPr/>
        <w:t>In the 21st century, the Transgressive Stage has come full circle. We see women playing traditionally male roles (e.g., Harriet Walter as Brutus or Glenda Jackson as Lear). This does more than swap genders; it proves that the human struggle for power, identity, and meaning in Shakespeare’s text is universal, transcending</w:t>
      </w:r>
      <w:r>
        <w:rPr>
          <w:spacing w:val="40"/>
        </w:rPr>
        <w:t> </w:t>
      </w:r>
      <w:r>
        <w:rPr/>
        <w:t>the</w:t>
      </w:r>
      <w:r>
        <w:rPr>
          <w:spacing w:val="40"/>
        </w:rPr>
        <w:t> </w:t>
      </w:r>
      <w:r>
        <w:rPr/>
        <w:t>binary</w:t>
      </w:r>
      <w:r>
        <w:rPr>
          <w:spacing w:val="40"/>
        </w:rPr>
        <w:t> </w:t>
      </w:r>
      <w:r>
        <w:rPr/>
        <w:t>structures</w:t>
      </w:r>
      <w:r>
        <w:rPr>
          <w:spacing w:val="40"/>
        </w:rPr>
        <w:t> </w:t>
      </w:r>
      <w:r>
        <w:rPr/>
        <w:t>of</w:t>
      </w:r>
      <w:r>
        <w:rPr>
          <w:spacing w:val="40"/>
        </w:rPr>
        <w:t> </w:t>
      </w:r>
      <w:r>
        <w:rPr/>
        <w:t>the</w:t>
      </w:r>
      <w:r>
        <w:rPr>
          <w:spacing w:val="40"/>
        </w:rPr>
        <w:t> </w:t>
      </w:r>
      <w:r>
        <w:rPr/>
        <w:t>past.</w:t>
      </w:r>
    </w:p>
    <w:p>
      <w:pPr>
        <w:pStyle w:val="BodyText"/>
        <w:spacing w:line="266" w:lineRule="auto" w:before="62"/>
        <w:ind w:right="1439" w:firstLine="432"/>
        <w:jc w:val="both"/>
      </w:pPr>
      <w:r>
        <w:rPr>
          <w:b/>
        </w:rPr>
        <w:t>Conclusion: </w:t>
      </w:r>
      <w:r>
        <w:rPr/>
        <w:t>The Mirror of BecomingÿþThe performance and reception of Shakespeare’s women are in a constant state of becoming. They are not static archetypes but mirrors held up to the era in which they are performed.</w:t>
      </w:r>
      <w:r>
        <w:rPr>
          <w:spacing w:val="-7"/>
        </w:rPr>
        <w:t> </w:t>
      </w:r>
      <w:r>
        <w:rPr/>
        <w:t>As theater moves toward more diverse, global, and gender-fluid</w:t>
      </w:r>
      <w:r>
        <w:rPr>
          <w:spacing w:val="12"/>
        </w:rPr>
        <w:t> </w:t>
      </w:r>
      <w:r>
        <w:rPr/>
        <w:t>interpretations,</w:t>
      </w:r>
      <w:r>
        <w:rPr>
          <w:spacing w:val="12"/>
        </w:rPr>
        <w:t> </w:t>
      </w:r>
      <w:r>
        <w:rPr/>
        <w:t>these</w:t>
      </w:r>
      <w:r>
        <w:rPr>
          <w:spacing w:val="11"/>
        </w:rPr>
        <w:t> </w:t>
      </w:r>
      <w:r>
        <w:rPr/>
        <w:t>characters</w:t>
      </w:r>
      <w:r>
        <w:rPr>
          <w:spacing w:val="8"/>
        </w:rPr>
        <w:t> </w:t>
      </w:r>
      <w:r>
        <w:rPr/>
        <w:t>continue</w:t>
      </w:r>
      <w:r>
        <w:rPr>
          <w:spacing w:val="11"/>
        </w:rPr>
        <w:t> </w:t>
      </w:r>
      <w:r>
        <w:rPr/>
        <w:t>to</w:t>
      </w:r>
      <w:r>
        <w:rPr>
          <w:spacing w:val="14"/>
        </w:rPr>
        <w:t> </w:t>
      </w:r>
      <w:r>
        <w:rPr/>
        <w:t>challenge</w:t>
      </w:r>
      <w:r>
        <w:rPr>
          <w:spacing w:val="11"/>
        </w:rPr>
        <w:t> </w:t>
      </w:r>
      <w:r>
        <w:rPr>
          <w:spacing w:val="-5"/>
        </w:rPr>
        <w:t>our</w:t>
      </w:r>
    </w:p>
    <w:p>
      <w:pPr>
        <w:pStyle w:val="BodyText"/>
        <w:spacing w:after="0" w:line="266"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12096">
                <wp:simplePos x="0" y="0"/>
                <wp:positionH relativeFrom="page">
                  <wp:posOffset>2065020</wp:posOffset>
                </wp:positionH>
                <wp:positionV relativeFrom="paragraph">
                  <wp:posOffset>795020</wp:posOffset>
                </wp:positionV>
                <wp:extent cx="3657600" cy="12700"/>
                <wp:effectExtent l="0" t="0" r="0" b="0"/>
                <wp:wrapTopAndBottom/>
                <wp:docPr id="618" name="Graphic 618"/>
                <wp:cNvGraphicFramePr>
                  <a:graphicFrameLocks/>
                </wp:cNvGraphicFramePr>
                <a:graphic>
                  <a:graphicData uri="http://schemas.microsoft.com/office/word/2010/wordprocessingShape">
                    <wps:wsp>
                      <wps:cNvPr id="618" name="Graphic 61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04384;mso-wrap-distance-left:0;mso-wrap-distance-right:0" id="docshape610" filled="true" fillcolor="#000000" stroked="false">
                <v:fill type="solid"/>
                <w10:wrap type="topAndBottom"/>
              </v:rect>
            </w:pict>
          </mc:Fallback>
        </mc:AlternateContent>
      </w:r>
      <w:r>
        <w:rPr>
          <w:rFonts w:ascii="Verdana"/>
          <w:spacing w:val="-2"/>
          <w:sz w:val="18"/>
        </w:rPr>
        <w:t>The Transgressive Stage:</w:t>
      </w:r>
      <w:r>
        <w:rPr>
          <w:rFonts w:ascii="Verdana"/>
          <w:spacing w:val="-4"/>
          <w:sz w:val="18"/>
        </w:rPr>
        <w:t> </w:t>
      </w:r>
      <w:r>
        <w:rPr>
          <w:rFonts w:ascii="Verdana"/>
          <w:spacing w:val="-2"/>
          <w:sz w:val="18"/>
        </w:rPr>
        <w:t>A</w:t>
      </w:r>
      <w:r>
        <w:rPr>
          <w:rFonts w:ascii="Verdana"/>
          <w:spacing w:val="-10"/>
          <w:sz w:val="18"/>
        </w:rPr>
        <w:t> </w:t>
      </w:r>
      <w:r>
        <w:rPr>
          <w:rFonts w:ascii="Verdana"/>
          <w:spacing w:val="-2"/>
          <w:sz w:val="18"/>
        </w:rPr>
        <w:t>Study</w:t>
      </w:r>
      <w:r>
        <w:rPr>
          <w:rFonts w:ascii="Verdana"/>
          <w:spacing w:val="-1"/>
          <w:sz w:val="18"/>
        </w:rPr>
        <w:t> </w:t>
      </w:r>
      <w:r>
        <w:rPr>
          <w:rFonts w:ascii="Verdana"/>
          <w:spacing w:val="-2"/>
          <w:sz w:val="18"/>
        </w:rPr>
        <w:t>of Performance</w:t>
      </w:r>
      <w:r>
        <w:rPr>
          <w:rFonts w:ascii="Verdana"/>
          <w:spacing w:val="-1"/>
          <w:sz w:val="18"/>
        </w:rPr>
        <w:t> </w:t>
      </w:r>
      <w:r>
        <w:rPr>
          <w:rFonts w:ascii="Verdana"/>
          <w:spacing w:val="-2"/>
          <w:sz w:val="18"/>
        </w:rPr>
        <w:t>and...</w:t>
      </w:r>
      <w:r>
        <w:rPr>
          <w:sz w:val="18"/>
        </w:rPr>
        <w:tab/>
      </w:r>
      <w:r>
        <w:rPr>
          <w:rFonts w:ascii="Verdana"/>
          <w:spacing w:val="-5"/>
          <w:sz w:val="18"/>
        </w:rPr>
        <w:t>299</w:t>
      </w:r>
    </w:p>
    <w:p>
      <w:pPr>
        <w:pStyle w:val="BodyText"/>
        <w:spacing w:line="266" w:lineRule="auto" w:before="202"/>
        <w:ind w:right="1440"/>
        <w:jc w:val="both"/>
      </w:pPr>
      <w:r>
        <w:rPr/>
        <w:t>understanding of power and identity. We no longer ask if a woman can play</w:t>
      </w:r>
      <w:r>
        <w:rPr>
          <w:spacing w:val="-12"/>
        </w:rPr>
        <w:t> </w:t>
      </w:r>
      <w:r>
        <w:rPr/>
        <w:t>a</w:t>
      </w:r>
      <w:r>
        <w:rPr>
          <w:spacing w:val="-8"/>
        </w:rPr>
        <w:t> </w:t>
      </w:r>
      <w:r>
        <w:rPr/>
        <w:t>man’s</w:t>
      </w:r>
      <w:r>
        <w:rPr>
          <w:spacing w:val="-10"/>
        </w:rPr>
        <w:t> </w:t>
      </w:r>
      <w:r>
        <w:rPr/>
        <w:t>role,</w:t>
      </w:r>
      <w:r>
        <w:rPr>
          <w:spacing w:val="-6"/>
        </w:rPr>
        <w:t> </w:t>
      </w:r>
      <w:r>
        <w:rPr/>
        <w:t>or</w:t>
      </w:r>
      <w:r>
        <w:rPr>
          <w:spacing w:val="-8"/>
        </w:rPr>
        <w:t> </w:t>
      </w:r>
      <w:r>
        <w:rPr/>
        <w:t>vice</w:t>
      </w:r>
      <w:r>
        <w:rPr>
          <w:spacing w:val="-7"/>
        </w:rPr>
        <w:t> </w:t>
      </w:r>
      <w:r>
        <w:rPr/>
        <w:t>versa;</w:t>
      </w:r>
      <w:r>
        <w:rPr>
          <w:spacing w:val="-10"/>
        </w:rPr>
        <w:t> </w:t>
      </w:r>
      <w:r>
        <w:rPr/>
        <w:t>instead,</w:t>
      </w:r>
      <w:r>
        <w:rPr>
          <w:spacing w:val="-6"/>
        </w:rPr>
        <w:t> </w:t>
      </w:r>
      <w:r>
        <w:rPr/>
        <w:t>we</w:t>
      </w:r>
      <w:r>
        <w:rPr>
          <w:spacing w:val="-9"/>
        </w:rPr>
        <w:t> </w:t>
      </w:r>
      <w:r>
        <w:rPr/>
        <w:t>ask</w:t>
      </w:r>
      <w:r>
        <w:rPr>
          <w:spacing w:val="-8"/>
        </w:rPr>
        <w:t> </w:t>
      </w:r>
      <w:r>
        <w:rPr/>
        <w:t>how</w:t>
      </w:r>
      <w:r>
        <w:rPr>
          <w:spacing w:val="-13"/>
        </w:rPr>
        <w:t> </w:t>
      </w:r>
      <w:r>
        <w:rPr/>
        <w:t>these</w:t>
      </w:r>
      <w:r>
        <w:rPr>
          <w:spacing w:val="-7"/>
        </w:rPr>
        <w:t> </w:t>
      </w:r>
      <w:r>
        <w:rPr/>
        <w:t>performances can</w:t>
      </w:r>
      <w:r>
        <w:rPr>
          <w:spacing w:val="36"/>
        </w:rPr>
        <w:t> </w:t>
      </w:r>
      <w:r>
        <w:rPr/>
        <w:t>dismantle</w:t>
      </w:r>
      <w:r>
        <w:rPr>
          <w:spacing w:val="40"/>
        </w:rPr>
        <w:t> </w:t>
      </w:r>
      <w:r>
        <w:rPr/>
        <w:t>the</w:t>
      </w:r>
      <w:r>
        <w:rPr>
          <w:spacing w:val="37"/>
        </w:rPr>
        <w:t> </w:t>
      </w:r>
      <w:r>
        <w:rPr/>
        <w:t>very</w:t>
      </w:r>
      <w:r>
        <w:rPr>
          <w:spacing w:val="36"/>
        </w:rPr>
        <w:t> </w:t>
      </w:r>
      <w:r>
        <w:rPr/>
        <w:t>structures</w:t>
      </w:r>
      <w:r>
        <w:rPr>
          <w:spacing w:val="36"/>
        </w:rPr>
        <w:t> </w:t>
      </w:r>
      <w:r>
        <w:rPr/>
        <w:t>that</w:t>
      </w:r>
      <w:r>
        <w:rPr>
          <w:spacing w:val="38"/>
        </w:rPr>
        <w:t> </w:t>
      </w:r>
      <w:r>
        <w:rPr/>
        <w:t>once</w:t>
      </w:r>
      <w:r>
        <w:rPr>
          <w:spacing w:val="37"/>
        </w:rPr>
        <w:t> </w:t>
      </w:r>
      <w:r>
        <w:rPr/>
        <w:t>sought</w:t>
      </w:r>
      <w:r>
        <w:rPr>
          <w:spacing w:val="40"/>
        </w:rPr>
        <w:t> </w:t>
      </w:r>
      <w:r>
        <w:rPr/>
        <w:t>to</w:t>
      </w:r>
      <w:r>
        <w:rPr>
          <w:spacing w:val="38"/>
        </w:rPr>
        <w:t> </w:t>
      </w:r>
      <w:r>
        <w:rPr/>
        <w:t>contain</w:t>
      </w:r>
      <w:r>
        <w:rPr>
          <w:spacing w:val="40"/>
        </w:rPr>
        <w:t> </w:t>
      </w:r>
      <w:r>
        <w:rPr/>
        <w:t>them.</w:t>
      </w:r>
    </w:p>
    <w:p>
      <w:pPr>
        <w:pStyle w:val="Heading3"/>
        <w:spacing w:before="146"/>
      </w:pPr>
      <w:r>
        <w:rPr>
          <w:spacing w:val="-2"/>
        </w:rPr>
        <w:t>FOOTNOTES:</w:t>
      </w:r>
    </w:p>
    <w:p>
      <w:pPr>
        <w:pStyle w:val="ListParagraph"/>
        <w:numPr>
          <w:ilvl w:val="0"/>
          <w:numId w:val="65"/>
        </w:numPr>
        <w:tabs>
          <w:tab w:pos="2157" w:val="left" w:leader="none"/>
          <w:tab w:pos="2160" w:val="left" w:leader="none"/>
        </w:tabs>
        <w:spacing w:line="261" w:lineRule="auto" w:before="82" w:after="0"/>
        <w:ind w:left="2160" w:right="1438" w:hanging="315"/>
        <w:jc w:val="both"/>
        <w:rPr>
          <w:sz w:val="19"/>
        </w:rPr>
      </w:pPr>
      <w:r>
        <w:rPr>
          <w:sz w:val="19"/>
        </w:rPr>
        <w:t>The Boy-Player Tradition: Professional English theater remained an all-male enclave until 1660. Actors like Edward Kynaston</w:t>
      </w:r>
      <w:r>
        <w:rPr>
          <w:spacing w:val="40"/>
          <w:sz w:val="19"/>
        </w:rPr>
        <w:t> </w:t>
      </w:r>
      <w:r>
        <w:rPr>
          <w:sz w:val="19"/>
        </w:rPr>
        <w:t>were so renowned for their feminine grace that early critics doubted women could replicate the skill.ÿþ 2. The Restoration Milestone: On December 8, 1660, an unidentified actress played Desdemona, marking the first professional female performance</w:t>
      </w:r>
      <w:r>
        <w:rPr>
          <w:spacing w:val="80"/>
          <w:w w:val="150"/>
          <w:sz w:val="19"/>
        </w:rPr>
        <w:t> </w:t>
      </w:r>
      <w:r>
        <w:rPr>
          <w:sz w:val="19"/>
        </w:rPr>
        <w:t>in England.ÿþ 3. The Shakespeare Ladies Club: A 1730s activist group</w:t>
      </w:r>
      <w:r>
        <w:rPr>
          <w:spacing w:val="40"/>
          <w:sz w:val="19"/>
        </w:rPr>
        <w:t> </w:t>
      </w:r>
      <w:r>
        <w:rPr>
          <w:sz w:val="19"/>
        </w:rPr>
        <w:t>that</w:t>
      </w:r>
      <w:r>
        <w:rPr>
          <w:spacing w:val="40"/>
          <w:sz w:val="19"/>
        </w:rPr>
        <w:t> </w:t>
      </w:r>
      <w:r>
        <w:rPr>
          <w:sz w:val="19"/>
        </w:rPr>
        <w:t>significantly</w:t>
      </w:r>
      <w:r>
        <w:rPr>
          <w:spacing w:val="40"/>
          <w:sz w:val="19"/>
        </w:rPr>
        <w:t> </w:t>
      </w:r>
      <w:r>
        <w:rPr>
          <w:sz w:val="19"/>
        </w:rPr>
        <w:t>shaped</w:t>
      </w:r>
      <w:r>
        <w:rPr>
          <w:spacing w:val="40"/>
          <w:sz w:val="19"/>
        </w:rPr>
        <w:t> </w:t>
      </w:r>
      <w:r>
        <w:rPr>
          <w:sz w:val="19"/>
        </w:rPr>
        <w:t>Shakespeare’s</w:t>
      </w:r>
      <w:r>
        <w:rPr>
          <w:spacing w:val="40"/>
          <w:sz w:val="19"/>
        </w:rPr>
        <w:t> </w:t>
      </w:r>
      <w:r>
        <w:rPr>
          <w:sz w:val="19"/>
        </w:rPr>
        <w:t>status</w:t>
      </w:r>
      <w:r>
        <w:rPr>
          <w:spacing w:val="40"/>
          <w:sz w:val="19"/>
        </w:rPr>
        <w:t> </w:t>
      </w:r>
      <w:r>
        <w:rPr>
          <w:sz w:val="19"/>
        </w:rPr>
        <w:t>as</w:t>
      </w:r>
      <w:r>
        <w:rPr>
          <w:spacing w:val="40"/>
          <w:sz w:val="19"/>
        </w:rPr>
        <w:t> </w:t>
      </w:r>
      <w:r>
        <w:rPr>
          <w:sz w:val="19"/>
        </w:rPr>
        <w:t>a national icon through organized lobbying.ÿþReferencesÿþ1. Brown, J. R. (2025). Shakespeare’s Women: Performance and Conception.</w:t>
      </w:r>
      <w:r>
        <w:rPr>
          <w:spacing w:val="40"/>
          <w:sz w:val="19"/>
        </w:rPr>
        <w:t> </w:t>
      </w:r>
      <w:r>
        <w:rPr>
          <w:sz w:val="19"/>
        </w:rPr>
        <w:t>Oxford</w:t>
      </w:r>
      <w:r>
        <w:rPr>
          <w:spacing w:val="40"/>
          <w:sz w:val="19"/>
        </w:rPr>
        <w:t> </w:t>
      </w:r>
      <w:r>
        <w:rPr>
          <w:sz w:val="19"/>
        </w:rPr>
        <w:t>University</w:t>
      </w:r>
      <w:r>
        <w:rPr>
          <w:spacing w:val="40"/>
          <w:sz w:val="19"/>
        </w:rPr>
        <w:t> </w:t>
      </w:r>
      <w:r>
        <w:rPr>
          <w:sz w:val="19"/>
        </w:rPr>
        <w:t>Press.</w:t>
      </w:r>
    </w:p>
    <w:p>
      <w:pPr>
        <w:pStyle w:val="ListParagraph"/>
        <w:numPr>
          <w:ilvl w:val="0"/>
          <w:numId w:val="65"/>
        </w:numPr>
        <w:tabs>
          <w:tab w:pos="2157" w:val="left" w:leader="none"/>
          <w:tab w:pos="2160" w:val="left" w:leader="none"/>
        </w:tabs>
        <w:spacing w:line="261" w:lineRule="auto" w:before="56" w:after="0"/>
        <w:ind w:left="2160" w:right="1438" w:hanging="315"/>
        <w:jc w:val="both"/>
        <w:rPr>
          <w:sz w:val="19"/>
        </w:rPr>
      </w:pPr>
      <w:r>
        <w:rPr>
          <w:spacing w:val="9"/>
          <w:sz w:val="19"/>
        </w:rPr>
        <w:t>Dash,</w:t>
      </w:r>
      <w:r>
        <w:rPr>
          <w:spacing w:val="9"/>
          <w:sz w:val="19"/>
        </w:rPr>
        <w:t> </w:t>
      </w:r>
      <w:r>
        <w:rPr>
          <w:sz w:val="19"/>
        </w:rPr>
        <w:t>I. G. </w:t>
      </w:r>
      <w:r>
        <w:rPr>
          <w:spacing w:val="10"/>
          <w:sz w:val="19"/>
        </w:rPr>
        <w:t>(2024).</w:t>
      </w:r>
      <w:r>
        <w:rPr>
          <w:spacing w:val="10"/>
          <w:sz w:val="19"/>
        </w:rPr>
        <w:t> </w:t>
      </w:r>
      <w:r>
        <w:rPr>
          <w:sz w:val="19"/>
        </w:rPr>
        <w:t>The </w:t>
      </w:r>
      <w:r>
        <w:rPr>
          <w:spacing w:val="11"/>
          <w:sz w:val="19"/>
        </w:rPr>
        <w:t>Representation</w:t>
      </w:r>
      <w:r>
        <w:rPr>
          <w:spacing w:val="11"/>
          <w:sz w:val="19"/>
        </w:rPr>
        <w:t> </w:t>
      </w:r>
      <w:r>
        <w:rPr>
          <w:sz w:val="19"/>
        </w:rPr>
        <w:t>of Women in Shakespeare’s</w:t>
      </w:r>
      <w:r>
        <w:rPr>
          <w:spacing w:val="40"/>
          <w:sz w:val="19"/>
        </w:rPr>
        <w:t> </w:t>
      </w:r>
      <w:r>
        <w:rPr>
          <w:sz w:val="19"/>
        </w:rPr>
        <w:t>Plays:</w:t>
      </w:r>
      <w:r>
        <w:rPr>
          <w:spacing w:val="40"/>
          <w:sz w:val="19"/>
        </w:rPr>
        <w:t> </w:t>
      </w:r>
      <w:r>
        <w:rPr>
          <w:sz w:val="19"/>
        </w:rPr>
        <w:t>A</w:t>
      </w:r>
      <w:r>
        <w:rPr>
          <w:spacing w:val="40"/>
          <w:sz w:val="19"/>
        </w:rPr>
        <w:t> </w:t>
      </w:r>
      <w:r>
        <w:rPr>
          <w:sz w:val="19"/>
        </w:rPr>
        <w:t>Feminist</w:t>
      </w:r>
      <w:r>
        <w:rPr>
          <w:spacing w:val="40"/>
          <w:sz w:val="19"/>
        </w:rPr>
        <w:t> </w:t>
      </w:r>
      <w:r>
        <w:rPr>
          <w:sz w:val="19"/>
        </w:rPr>
        <w:t>Analysis.</w:t>
      </w:r>
      <w:r>
        <w:rPr>
          <w:spacing w:val="40"/>
          <w:sz w:val="19"/>
        </w:rPr>
        <w:t> </w:t>
      </w:r>
      <w:r>
        <w:rPr>
          <w:sz w:val="19"/>
        </w:rPr>
        <w:t>ResearchGate</w:t>
      </w:r>
    </w:p>
    <w:p>
      <w:pPr>
        <w:pStyle w:val="ListParagraph"/>
        <w:numPr>
          <w:ilvl w:val="0"/>
          <w:numId w:val="65"/>
        </w:numPr>
        <w:tabs>
          <w:tab w:pos="2157" w:val="left" w:leader="none"/>
          <w:tab w:pos="2160" w:val="left" w:leader="none"/>
        </w:tabs>
        <w:spacing w:line="261" w:lineRule="auto" w:before="59" w:after="0"/>
        <w:ind w:left="2160" w:right="1438" w:hanging="315"/>
        <w:jc w:val="both"/>
        <w:rPr>
          <w:sz w:val="19"/>
        </w:rPr>
      </w:pPr>
      <w:r>
        <w:rPr>
          <w:sz w:val="19"/>
        </w:rPr>
        <w:t>Hall, K. F. (2023). Women and Shakespeare in the Restoration. Cambridge University Press.ÿþ4. Jameson, A. (1832/Reprint 2026). Shakespeare’s Heroines: Characteristics of Women.ÿþ5. Smith, E. (2026). Feminist Retellings of Shakespeare’s Heroines. Granthaalayah</w:t>
      </w:r>
      <w:r>
        <w:rPr>
          <w:spacing w:val="40"/>
          <w:sz w:val="19"/>
        </w:rPr>
        <w:t> </w:t>
      </w:r>
      <w:r>
        <w:rPr>
          <w:sz w:val="19"/>
        </w:rPr>
        <w:t>Publications.</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77280">
                <wp:simplePos x="0" y="0"/>
                <wp:positionH relativeFrom="page">
                  <wp:posOffset>2057400</wp:posOffset>
                </wp:positionH>
                <wp:positionV relativeFrom="page">
                  <wp:posOffset>1788723</wp:posOffset>
                </wp:positionV>
                <wp:extent cx="3656965" cy="140335"/>
                <wp:effectExtent l="0" t="0" r="0" b="0"/>
                <wp:wrapNone/>
                <wp:docPr id="619" name="Textbox 619"/>
                <wp:cNvGraphicFramePr>
                  <a:graphicFrameLocks/>
                </wp:cNvGraphicFramePr>
                <a:graphic>
                  <a:graphicData uri="http://schemas.microsoft.com/office/word/2010/wordprocessingShape">
                    <wps:wsp>
                      <wps:cNvPr id="619" name="Textbox 619"/>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300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339200" type="#_x0000_t202" id="docshape611"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300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620" name="Group 620"/>
                <wp:cNvGraphicFramePr>
                  <a:graphicFrameLocks/>
                </wp:cNvGraphicFramePr>
                <a:graphic>
                  <a:graphicData uri="http://schemas.microsoft.com/office/word/2010/wordprocessingGroup">
                    <wpg:wgp>
                      <wpg:cNvPr id="620" name="Group 620"/>
                      <wpg:cNvGrpSpPr/>
                      <wpg:grpSpPr>
                        <a:xfrm>
                          <a:off x="0" y="0"/>
                          <a:ext cx="4044950" cy="699770"/>
                          <a:chExt cx="4044950" cy="699770"/>
                        </a:xfrm>
                      </wpg:grpSpPr>
                      <wps:wsp>
                        <wps:cNvPr id="621" name="Graphic 621"/>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612" coordorigin="0,0" coordsize="6370,1102">
                <v:rect style="position:absolute;left:0;top:0;width:6370;height:1102" id="docshape613"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13120">
                <wp:simplePos x="0" y="0"/>
                <wp:positionH relativeFrom="page">
                  <wp:posOffset>3488435</wp:posOffset>
                </wp:positionH>
                <wp:positionV relativeFrom="paragraph">
                  <wp:posOffset>272922</wp:posOffset>
                </wp:positionV>
                <wp:extent cx="728980" cy="655320"/>
                <wp:effectExtent l="0" t="0" r="0" b="0"/>
                <wp:wrapTopAndBottom/>
                <wp:docPr id="622" name="Group 622"/>
                <wp:cNvGraphicFramePr>
                  <a:graphicFrameLocks/>
                </wp:cNvGraphicFramePr>
                <a:graphic>
                  <a:graphicData uri="http://schemas.microsoft.com/office/word/2010/wordprocessingGroup">
                    <wpg:wgp>
                      <wpg:cNvPr id="622" name="Group 622"/>
                      <wpg:cNvGrpSpPr/>
                      <wpg:grpSpPr>
                        <a:xfrm>
                          <a:off x="0" y="0"/>
                          <a:ext cx="728980" cy="655320"/>
                          <a:chExt cx="728980" cy="655320"/>
                        </a:xfrm>
                      </wpg:grpSpPr>
                      <pic:pic>
                        <pic:nvPicPr>
                          <pic:cNvPr id="623" name="Image 623"/>
                          <pic:cNvPicPr/>
                        </pic:nvPicPr>
                        <pic:blipFill>
                          <a:blip r:embed="rId99" cstate="print"/>
                          <a:stretch>
                            <a:fillRect/>
                          </a:stretch>
                        </pic:blipFill>
                        <pic:spPr>
                          <a:xfrm>
                            <a:off x="0" y="0"/>
                            <a:ext cx="728471" cy="655320"/>
                          </a:xfrm>
                          <a:prstGeom prst="rect">
                            <a:avLst/>
                          </a:prstGeom>
                        </pic:spPr>
                      </pic:pic>
                      <wps:wsp>
                        <wps:cNvPr id="624" name="Textbox 624"/>
                        <wps:cNvSpPr txBox="1"/>
                        <wps:spPr>
                          <a:xfrm>
                            <a:off x="0" y="0"/>
                            <a:ext cx="728980" cy="655320"/>
                          </a:xfrm>
                          <a:prstGeom prst="rect">
                            <a:avLst/>
                          </a:prstGeom>
                        </wps:spPr>
                        <wps:txbx>
                          <w:txbxContent>
                            <w:p>
                              <w:pPr>
                                <w:spacing w:before="316"/>
                                <w:ind w:left="432" w:right="0" w:firstLine="0"/>
                                <w:jc w:val="left"/>
                                <w:rPr>
                                  <w:rFonts w:ascii="Tahoma"/>
                                  <w:b/>
                                  <w:sz w:val="36"/>
                                </w:rPr>
                              </w:pPr>
                              <w:r>
                                <w:rPr>
                                  <w:rFonts w:ascii="Tahoma"/>
                                  <w:b/>
                                  <w:spacing w:val="-5"/>
                                  <w:w w:val="95"/>
                                  <w:sz w:val="36"/>
                                </w:rPr>
                                <w:t>30</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503360;mso-wrap-distance-left:0;mso-wrap-distance-right:0" id="docshapegroup614" coordorigin="5494,430" coordsize="1148,1032">
                <v:shape style="position:absolute;left:5493;top:429;width:1148;height:1032" type="#_x0000_t75" id="docshape615" stroked="false">
                  <v:imagedata r:id="rId99" o:title=""/>
                </v:shape>
                <v:shape style="position:absolute;left:5493;top:429;width:1148;height:1032" type="#_x0000_t202" id="docshape616" filled="false" stroked="false">
                  <v:textbox inset="0,0,0,0">
                    <w:txbxContent>
                      <w:p>
                        <w:pPr>
                          <w:spacing w:before="316"/>
                          <w:ind w:left="432" w:right="0" w:firstLine="0"/>
                          <w:jc w:val="left"/>
                          <w:rPr>
                            <w:rFonts w:ascii="Tahoma"/>
                            <w:b/>
                            <w:sz w:val="36"/>
                          </w:rPr>
                        </w:pPr>
                        <w:r>
                          <w:rPr>
                            <w:rFonts w:ascii="Tahoma"/>
                            <w:b/>
                            <w:spacing w:val="-5"/>
                            <w:w w:val="95"/>
                            <w:sz w:val="36"/>
                          </w:rPr>
                          <w:t>30</w:t>
                        </w:r>
                      </w:p>
                    </w:txbxContent>
                  </v:textbox>
                  <w10:wrap type="none"/>
                </v:shape>
                <w10:wrap type="topAndBottom"/>
              </v:group>
            </w:pict>
          </mc:Fallback>
        </mc:AlternateContent>
      </w:r>
    </w:p>
    <w:p>
      <w:pPr>
        <w:pStyle w:val="Heading1"/>
        <w:spacing w:line="211" w:lineRule="auto"/>
        <w:ind w:left="1485" w:firstLine="60"/>
        <w:jc w:val="left"/>
      </w:pPr>
      <w:r>
        <w:rPr>
          <w:spacing w:val="-4"/>
        </w:rPr>
        <w:t>Women’s</w:t>
      </w:r>
      <w:r>
        <w:rPr>
          <w:spacing w:val="-20"/>
        </w:rPr>
        <w:t> </w:t>
      </w:r>
      <w:r>
        <w:rPr>
          <w:spacing w:val="-4"/>
        </w:rPr>
        <w:t>Stereotypes</w:t>
      </w:r>
      <w:r>
        <w:rPr>
          <w:spacing w:val="-19"/>
        </w:rPr>
        <w:t> </w:t>
      </w:r>
      <w:r>
        <w:rPr>
          <w:spacing w:val="-4"/>
        </w:rPr>
        <w:t>and</w:t>
      </w:r>
      <w:r>
        <w:rPr>
          <w:spacing w:val="-20"/>
        </w:rPr>
        <w:t> </w:t>
      </w:r>
      <w:r>
        <w:rPr>
          <w:spacing w:val="-4"/>
        </w:rPr>
        <w:t>Tropes</w:t>
      </w:r>
      <w:r>
        <w:rPr>
          <w:spacing w:val="-19"/>
        </w:rPr>
        <w:t> </w:t>
      </w:r>
      <w:r>
        <w:rPr>
          <w:spacing w:val="-4"/>
        </w:rPr>
        <w:t>in Shakespeare’s</w:t>
      </w:r>
      <w:r>
        <w:rPr>
          <w:spacing w:val="-13"/>
        </w:rPr>
        <w:t> </w:t>
      </w:r>
      <w:r>
        <w:rPr>
          <w:spacing w:val="-4"/>
        </w:rPr>
        <w:t>Macbeth</w:t>
      </w:r>
      <w:r>
        <w:rPr>
          <w:spacing w:val="-11"/>
        </w:rPr>
        <w:t> </w:t>
      </w:r>
      <w:r>
        <w:rPr>
          <w:spacing w:val="-4"/>
        </w:rPr>
        <w:t>through</w:t>
      </w:r>
      <w:r>
        <w:rPr>
          <w:spacing w:val="-13"/>
        </w:rPr>
        <w:t> </w:t>
      </w:r>
      <w:r>
        <w:rPr>
          <w:spacing w:val="-4"/>
        </w:rPr>
        <w:t>the</w:t>
      </w:r>
    </w:p>
    <w:p>
      <w:pPr>
        <w:spacing w:line="347" w:lineRule="exact" w:before="0"/>
        <w:ind w:left="1440" w:right="0" w:firstLine="0"/>
        <w:jc w:val="left"/>
        <w:rPr>
          <w:rFonts w:ascii="Tahoma"/>
          <w:b/>
          <w:sz w:val="32"/>
        </w:rPr>
      </w:pPr>
      <w:r>
        <w:rPr>
          <w:rFonts w:ascii="Tahoma"/>
          <w:b/>
          <w:spacing w:val="46"/>
          <w:sz w:val="32"/>
          <w:u w:val="single"/>
        </w:rPr>
        <w:t> </w:t>
      </w:r>
      <w:r>
        <w:rPr>
          <w:rFonts w:ascii="Tahoma"/>
          <w:b/>
          <w:spacing w:val="-2"/>
          <w:sz w:val="32"/>
          <w:u w:val="single"/>
        </w:rPr>
        <w:t>Lens</w:t>
      </w:r>
      <w:r>
        <w:rPr>
          <w:rFonts w:ascii="Tahoma"/>
          <w:b/>
          <w:spacing w:val="-10"/>
          <w:sz w:val="32"/>
          <w:u w:val="single"/>
        </w:rPr>
        <w:t> </w:t>
      </w:r>
      <w:r>
        <w:rPr>
          <w:rFonts w:ascii="Tahoma"/>
          <w:b/>
          <w:spacing w:val="-2"/>
          <w:sz w:val="32"/>
          <w:u w:val="single"/>
        </w:rPr>
        <w:t>of</w:t>
      </w:r>
      <w:r>
        <w:rPr>
          <w:rFonts w:ascii="Tahoma"/>
          <w:b/>
          <w:spacing w:val="-10"/>
          <w:sz w:val="32"/>
          <w:u w:val="single"/>
        </w:rPr>
        <w:t> </w:t>
      </w:r>
      <w:r>
        <w:rPr>
          <w:rFonts w:ascii="Tahoma"/>
          <w:b/>
          <w:spacing w:val="-2"/>
          <w:sz w:val="32"/>
          <w:u w:val="single"/>
        </w:rPr>
        <w:t>the</w:t>
      </w:r>
      <w:r>
        <w:rPr>
          <w:rFonts w:ascii="Tahoma"/>
          <w:b/>
          <w:spacing w:val="-11"/>
          <w:sz w:val="32"/>
          <w:u w:val="single"/>
        </w:rPr>
        <w:t> </w:t>
      </w:r>
      <w:r>
        <w:rPr>
          <w:rFonts w:ascii="Tahoma"/>
          <w:b/>
          <w:spacing w:val="-2"/>
          <w:sz w:val="32"/>
          <w:u w:val="single"/>
        </w:rPr>
        <w:t>Collective</w:t>
      </w:r>
      <w:r>
        <w:rPr>
          <w:rFonts w:ascii="Tahoma"/>
          <w:b/>
          <w:spacing w:val="-7"/>
          <w:sz w:val="32"/>
          <w:u w:val="single"/>
        </w:rPr>
        <w:t> </w:t>
      </w:r>
      <w:r>
        <w:rPr>
          <w:rFonts w:ascii="Tahoma"/>
          <w:b/>
          <w:spacing w:val="-2"/>
          <w:sz w:val="32"/>
          <w:u w:val="single"/>
        </w:rPr>
        <w:t>Unconscious</w:t>
      </w:r>
      <w:r>
        <w:rPr>
          <w:rFonts w:ascii="Tahoma"/>
          <w:b/>
          <w:spacing w:val="80"/>
          <w:sz w:val="32"/>
          <w:u w:val="single"/>
        </w:rPr>
        <w:t> </w:t>
      </w:r>
    </w:p>
    <w:p>
      <w:pPr>
        <w:pStyle w:val="BodyText"/>
        <w:spacing w:before="7"/>
        <w:ind w:left="0"/>
        <w:rPr>
          <w:rFonts w:ascii="Tahoma"/>
          <w:b/>
          <w:sz w:val="3"/>
        </w:rPr>
      </w:pPr>
      <w:r>
        <w:rPr>
          <w:rFonts w:ascii="Tahoma"/>
          <w:b/>
          <w:sz w:val="3"/>
        </w:rPr>
        <mc:AlternateContent>
          <mc:Choice Requires="wps">
            <w:drawing>
              <wp:anchor distT="0" distB="0" distL="0" distR="0" allowOverlap="1" layoutInCell="1" locked="0" behindDoc="1" simplePos="0" relativeHeight="487813632">
                <wp:simplePos x="0" y="0"/>
                <wp:positionH relativeFrom="page">
                  <wp:posOffset>2057400</wp:posOffset>
                </wp:positionH>
                <wp:positionV relativeFrom="paragraph">
                  <wp:posOffset>42779</wp:posOffset>
                </wp:positionV>
                <wp:extent cx="3657600" cy="7620"/>
                <wp:effectExtent l="0" t="0" r="0" b="0"/>
                <wp:wrapTopAndBottom/>
                <wp:docPr id="625" name="Graphic 625"/>
                <wp:cNvGraphicFramePr>
                  <a:graphicFrameLocks/>
                </wp:cNvGraphicFramePr>
                <a:graphic>
                  <a:graphicData uri="http://schemas.microsoft.com/office/word/2010/wordprocessingShape">
                    <wps:wsp>
                      <wps:cNvPr id="625" name="Graphic 625"/>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3.368445pt;width:288.000009pt;height:.600014pt;mso-position-horizontal-relative:page;mso-position-vertical-relative:paragraph;z-index:-15502848;mso-wrap-distance-left:0;mso-wrap-distance-right:0" id="docshape617"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9"/>
        <w:jc w:val="right"/>
        <w:rPr>
          <w:rFonts w:ascii="Times New Roman"/>
        </w:rPr>
      </w:pPr>
      <w:r>
        <w:rPr>
          <w:rFonts w:ascii="Times New Roman"/>
        </w:rPr>
        <w:t>Kanjarla</w:t>
      </w:r>
      <w:r>
        <w:rPr>
          <w:rFonts w:ascii="Times New Roman"/>
          <w:spacing w:val="67"/>
        </w:rPr>
        <w:t> </w:t>
      </w:r>
      <w:r>
        <w:rPr>
          <w:rFonts w:ascii="Times New Roman"/>
          <w:spacing w:val="-2"/>
        </w:rPr>
        <w:t>Srujana</w:t>
      </w:r>
    </w:p>
    <w:p>
      <w:pPr>
        <w:spacing w:before="15"/>
        <w:ind w:left="0" w:right="1437" w:firstLine="0"/>
        <w:jc w:val="right"/>
        <w:rPr>
          <w:i/>
          <w:sz w:val="19"/>
        </w:rPr>
      </w:pPr>
      <w:r>
        <w:rPr>
          <w:i/>
          <w:sz w:val="19"/>
        </w:rPr>
        <w:t>Research</w:t>
      </w:r>
      <w:r>
        <w:rPr>
          <w:i/>
          <w:spacing w:val="65"/>
          <w:sz w:val="19"/>
        </w:rPr>
        <w:t> </w:t>
      </w:r>
      <w:r>
        <w:rPr>
          <w:i/>
          <w:sz w:val="19"/>
        </w:rPr>
        <w:t>Scholar,</w:t>
      </w:r>
      <w:r>
        <w:rPr>
          <w:i/>
          <w:spacing w:val="64"/>
          <w:sz w:val="19"/>
        </w:rPr>
        <w:t> </w:t>
      </w:r>
      <w:r>
        <w:rPr>
          <w:i/>
          <w:sz w:val="19"/>
        </w:rPr>
        <w:t>Anurag</w:t>
      </w:r>
      <w:r>
        <w:rPr>
          <w:i/>
          <w:spacing w:val="66"/>
          <w:sz w:val="19"/>
        </w:rPr>
        <w:t> </w:t>
      </w:r>
      <w:r>
        <w:rPr>
          <w:i/>
          <w:spacing w:val="-2"/>
          <w:sz w:val="19"/>
        </w:rPr>
        <w:t>University</w:t>
      </w:r>
    </w:p>
    <w:p>
      <w:pPr>
        <w:pStyle w:val="BodyText"/>
        <w:spacing w:before="3"/>
        <w:ind w:left="0"/>
        <w:rPr>
          <w:i/>
          <w:sz w:val="19"/>
        </w:rPr>
      </w:pPr>
    </w:p>
    <w:p>
      <w:pPr>
        <w:pStyle w:val="Heading5"/>
        <w:ind w:left="0" w:right="1439"/>
        <w:jc w:val="right"/>
        <w:rPr>
          <w:rFonts w:ascii="Times New Roman"/>
        </w:rPr>
      </w:pPr>
      <w:r>
        <w:rPr>
          <w:rFonts w:ascii="Times New Roman"/>
        </w:rPr>
        <w:t>Dr.</w:t>
      </w:r>
      <w:r>
        <w:rPr>
          <w:rFonts w:ascii="Times New Roman"/>
          <w:spacing w:val="34"/>
        </w:rPr>
        <w:t> </w:t>
      </w:r>
      <w:r>
        <w:rPr>
          <w:rFonts w:ascii="Times New Roman"/>
        </w:rPr>
        <w:t>Babi</w:t>
      </w:r>
      <w:r>
        <w:rPr>
          <w:rFonts w:ascii="Times New Roman"/>
          <w:spacing w:val="36"/>
        </w:rPr>
        <w:t> </w:t>
      </w:r>
      <w:r>
        <w:rPr>
          <w:rFonts w:ascii="Times New Roman"/>
          <w:spacing w:val="-4"/>
        </w:rPr>
        <w:t>Duli</w:t>
      </w:r>
    </w:p>
    <w:p>
      <w:pPr>
        <w:spacing w:before="15"/>
        <w:ind w:left="0" w:right="1438" w:firstLine="0"/>
        <w:jc w:val="right"/>
        <w:rPr>
          <w:i/>
          <w:sz w:val="19"/>
        </w:rPr>
      </w:pPr>
      <w:r>
        <w:rPr>
          <w:i/>
          <w:sz w:val="19"/>
        </w:rPr>
        <w:t>Assistant</w:t>
      </w:r>
      <w:r>
        <w:rPr>
          <w:i/>
          <w:spacing w:val="59"/>
          <w:sz w:val="19"/>
        </w:rPr>
        <w:t> </w:t>
      </w:r>
      <w:r>
        <w:rPr>
          <w:i/>
          <w:sz w:val="19"/>
        </w:rPr>
        <w:t>Professor,</w:t>
      </w:r>
      <w:r>
        <w:rPr>
          <w:i/>
          <w:spacing w:val="57"/>
          <w:sz w:val="19"/>
        </w:rPr>
        <w:t> </w:t>
      </w:r>
      <w:r>
        <w:rPr>
          <w:i/>
          <w:sz w:val="19"/>
        </w:rPr>
        <w:t>Anurag</w:t>
      </w:r>
      <w:r>
        <w:rPr>
          <w:i/>
          <w:spacing w:val="63"/>
          <w:sz w:val="19"/>
        </w:rPr>
        <w:t> </w:t>
      </w:r>
      <w:r>
        <w:rPr>
          <w:i/>
          <w:spacing w:val="-2"/>
          <w:sz w:val="19"/>
        </w:rPr>
        <w:t>University</w:t>
      </w:r>
    </w:p>
    <w:p>
      <w:pPr>
        <w:pStyle w:val="BodyText"/>
        <w:spacing w:before="161"/>
        <w:ind w:left="0"/>
        <w:rPr>
          <w:i/>
          <w:sz w:val="19"/>
        </w:rPr>
      </w:pPr>
    </w:p>
    <w:p>
      <w:pPr>
        <w:pStyle w:val="Heading3"/>
        <w:spacing w:before="0"/>
      </w:pPr>
      <w:r>
        <w:rPr>
          <w:spacing w:val="-2"/>
        </w:rPr>
        <w:t>ABSTRACT</w:t>
      </w:r>
    </w:p>
    <w:p>
      <w:pPr>
        <w:pStyle w:val="BodyText"/>
        <w:spacing w:line="266" w:lineRule="auto" w:before="85"/>
        <w:ind w:right="1436" w:firstLine="432"/>
        <w:jc w:val="both"/>
      </w:pPr>
      <w:r>
        <w:rPr/>
        <w:t>The</w:t>
      </w:r>
      <w:r>
        <w:rPr>
          <w:spacing w:val="-10"/>
        </w:rPr>
        <w:t> </w:t>
      </w:r>
      <w:r>
        <w:rPr/>
        <w:t>focus</w:t>
      </w:r>
      <w:r>
        <w:rPr>
          <w:spacing w:val="-12"/>
        </w:rPr>
        <w:t> </w:t>
      </w:r>
      <w:r>
        <w:rPr/>
        <w:t>of</w:t>
      </w:r>
      <w:r>
        <w:rPr>
          <w:spacing w:val="-10"/>
        </w:rPr>
        <w:t> </w:t>
      </w:r>
      <w:r>
        <w:rPr/>
        <w:t>this</w:t>
      </w:r>
      <w:r>
        <w:rPr>
          <w:spacing w:val="-13"/>
        </w:rPr>
        <w:t> </w:t>
      </w:r>
      <w:r>
        <w:rPr/>
        <w:t>study</w:t>
      </w:r>
      <w:r>
        <w:rPr>
          <w:spacing w:val="-11"/>
        </w:rPr>
        <w:t> </w:t>
      </w:r>
      <w:r>
        <w:rPr/>
        <w:t>is</w:t>
      </w:r>
      <w:r>
        <w:rPr>
          <w:spacing w:val="-10"/>
        </w:rPr>
        <w:t> </w:t>
      </w:r>
      <w:r>
        <w:rPr/>
        <w:t>on</w:t>
      </w:r>
      <w:r>
        <w:rPr>
          <w:spacing w:val="-12"/>
        </w:rPr>
        <w:t> </w:t>
      </w:r>
      <w:r>
        <w:rPr/>
        <w:t>women’s</w:t>
      </w:r>
      <w:r>
        <w:rPr>
          <w:spacing w:val="-10"/>
        </w:rPr>
        <w:t> </w:t>
      </w:r>
      <w:r>
        <w:rPr/>
        <w:t>stereotypes</w:t>
      </w:r>
      <w:r>
        <w:rPr>
          <w:spacing w:val="-12"/>
        </w:rPr>
        <w:t> </w:t>
      </w:r>
      <w:r>
        <w:rPr/>
        <w:t>in</w:t>
      </w:r>
      <w:r>
        <w:rPr>
          <w:spacing w:val="-10"/>
        </w:rPr>
        <w:t> </w:t>
      </w:r>
      <w:r>
        <w:rPr/>
        <w:t>Shakespeare’s </w:t>
      </w:r>
      <w:r>
        <w:rPr>
          <w:i/>
        </w:rPr>
        <w:t>Macbeth </w:t>
      </w:r>
      <w:r>
        <w:rPr/>
        <w:t>(1606), exploring how these ideas evolve in society and how they</w:t>
      </w:r>
      <w:r>
        <w:rPr>
          <w:spacing w:val="-4"/>
        </w:rPr>
        <w:t> </w:t>
      </w:r>
      <w:r>
        <w:rPr/>
        <w:t>continue</w:t>
      </w:r>
      <w:r>
        <w:rPr>
          <w:spacing w:val="-2"/>
        </w:rPr>
        <w:t> </w:t>
      </w:r>
      <w:r>
        <w:rPr/>
        <w:t>to shape the</w:t>
      </w:r>
      <w:r>
        <w:rPr>
          <w:spacing w:val="-4"/>
        </w:rPr>
        <w:t> </w:t>
      </w:r>
      <w:r>
        <w:rPr/>
        <w:t>future</w:t>
      </w:r>
      <w:r>
        <w:rPr>
          <w:spacing w:val="-2"/>
        </w:rPr>
        <w:t> </w:t>
      </w:r>
      <w:r>
        <w:rPr/>
        <w:t>of</w:t>
      </w:r>
      <w:r>
        <w:rPr>
          <w:spacing w:val="-4"/>
        </w:rPr>
        <w:t> </w:t>
      </w:r>
      <w:r>
        <w:rPr/>
        <w:t>the characters.</w:t>
      </w:r>
      <w:r>
        <w:rPr>
          <w:spacing w:val="-1"/>
        </w:rPr>
        <w:t> </w:t>
      </w:r>
      <w:r>
        <w:rPr/>
        <w:t>This</w:t>
      </w:r>
      <w:r>
        <w:rPr>
          <w:spacing w:val="-4"/>
        </w:rPr>
        <w:t> </w:t>
      </w:r>
      <w:r>
        <w:rPr/>
        <w:t>study</w:t>
      </w:r>
      <w:r>
        <w:rPr>
          <w:spacing w:val="-4"/>
        </w:rPr>
        <w:t> </w:t>
      </w:r>
      <w:r>
        <w:rPr/>
        <w:t>addresses the</w:t>
      </w:r>
      <w:r>
        <w:rPr>
          <w:spacing w:val="40"/>
        </w:rPr>
        <w:t> </w:t>
      </w:r>
      <w:r>
        <w:rPr/>
        <w:t>restrictions</w:t>
      </w:r>
      <w:r>
        <w:rPr>
          <w:spacing w:val="40"/>
        </w:rPr>
        <w:t> </w:t>
      </w:r>
      <w:r>
        <w:rPr/>
        <w:t>that</w:t>
      </w:r>
      <w:r>
        <w:rPr>
          <w:spacing w:val="40"/>
        </w:rPr>
        <w:t> </w:t>
      </w:r>
      <w:r>
        <w:rPr/>
        <w:t>women</w:t>
      </w:r>
      <w:r>
        <w:rPr>
          <w:spacing w:val="40"/>
        </w:rPr>
        <w:t> </w:t>
      </w:r>
      <w:r>
        <w:rPr/>
        <w:t>have</w:t>
      </w:r>
      <w:r>
        <w:rPr>
          <w:spacing w:val="40"/>
        </w:rPr>
        <w:t> </w:t>
      </w:r>
      <w:r>
        <w:rPr/>
        <w:t>faced,</w:t>
      </w:r>
      <w:r>
        <w:rPr>
          <w:spacing w:val="40"/>
        </w:rPr>
        <w:t> </w:t>
      </w:r>
      <w:r>
        <w:rPr/>
        <w:t>and</w:t>
      </w:r>
      <w:r>
        <w:rPr>
          <w:spacing w:val="40"/>
        </w:rPr>
        <w:t> </w:t>
      </w:r>
      <w:r>
        <w:rPr/>
        <w:t>the</w:t>
      </w:r>
      <w:r>
        <w:rPr>
          <w:spacing w:val="40"/>
        </w:rPr>
        <w:t> </w:t>
      </w:r>
      <w:r>
        <w:rPr/>
        <w:t>consequences</w:t>
      </w:r>
      <w:r>
        <w:rPr>
          <w:spacing w:val="40"/>
        </w:rPr>
        <w:t> </w:t>
      </w:r>
      <w:r>
        <w:rPr/>
        <w:t>that have resulted from these events are largely irreversible. Lady Macbeth, living in a society</w:t>
      </w:r>
      <w:r>
        <w:rPr>
          <w:spacing w:val="-1"/>
        </w:rPr>
        <w:t> </w:t>
      </w:r>
      <w:r>
        <w:rPr/>
        <w:t>of stereotypes, writes her own future, questioning all the accepted beliefs about what men and women are expected to do according to the assigned roles and work by the society. Tropes in the works</w:t>
      </w:r>
      <w:r>
        <w:rPr>
          <w:spacing w:val="-4"/>
        </w:rPr>
        <w:t> </w:t>
      </w:r>
      <w:r>
        <w:rPr/>
        <w:t>of</w:t>
      </w:r>
      <w:r>
        <w:rPr>
          <w:spacing w:val="-5"/>
        </w:rPr>
        <w:t> </w:t>
      </w:r>
      <w:r>
        <w:rPr/>
        <w:t>Shakespeare</w:t>
      </w:r>
      <w:r>
        <w:rPr>
          <w:spacing w:val="-3"/>
        </w:rPr>
        <w:t> </w:t>
      </w:r>
      <w:r>
        <w:rPr/>
        <w:t>play</w:t>
      </w:r>
      <w:r>
        <w:rPr>
          <w:spacing w:val="-9"/>
        </w:rPr>
        <w:t> </w:t>
      </w:r>
      <w:r>
        <w:rPr/>
        <w:t>a</w:t>
      </w:r>
      <w:r>
        <w:rPr>
          <w:spacing w:val="-3"/>
        </w:rPr>
        <w:t> </w:t>
      </w:r>
      <w:r>
        <w:rPr/>
        <w:t>major</w:t>
      </w:r>
      <w:r>
        <w:rPr>
          <w:spacing w:val="-4"/>
        </w:rPr>
        <w:t> </w:t>
      </w:r>
      <w:r>
        <w:rPr/>
        <w:t>role</w:t>
      </w:r>
      <w:r>
        <w:rPr>
          <w:spacing w:val="-3"/>
        </w:rPr>
        <w:t> </w:t>
      </w:r>
      <w:r>
        <w:rPr/>
        <w:t>in</w:t>
      </w:r>
      <w:r>
        <w:rPr>
          <w:spacing w:val="-5"/>
        </w:rPr>
        <w:t> </w:t>
      </w:r>
      <w:r>
        <w:rPr/>
        <w:t>elevating</w:t>
      </w:r>
      <w:r>
        <w:rPr>
          <w:spacing w:val="-4"/>
        </w:rPr>
        <w:t> </w:t>
      </w:r>
      <w:r>
        <w:rPr/>
        <w:t>a</w:t>
      </w:r>
      <w:r>
        <w:rPr>
          <w:spacing w:val="-4"/>
        </w:rPr>
        <w:t> </w:t>
      </w:r>
      <w:r>
        <w:rPr/>
        <w:t>drama</w:t>
      </w:r>
      <w:r>
        <w:rPr>
          <w:spacing w:val="-3"/>
        </w:rPr>
        <w:t> </w:t>
      </w:r>
      <w:r>
        <w:rPr/>
        <w:t>into</w:t>
      </w:r>
      <w:r>
        <w:rPr>
          <w:spacing w:val="-4"/>
        </w:rPr>
        <w:t> </w:t>
      </w:r>
      <w:r>
        <w:rPr/>
        <w:t>its</w:t>
      </w:r>
      <w:r>
        <w:rPr>
          <w:spacing w:val="-4"/>
        </w:rPr>
        <w:t> </w:t>
      </w:r>
      <w:r>
        <w:rPr/>
        <w:t>full bloom, a</w:t>
      </w:r>
      <w:r>
        <w:rPr>
          <w:spacing w:val="-3"/>
        </w:rPr>
        <w:t> </w:t>
      </w:r>
      <w:r>
        <w:rPr/>
        <w:t>few</w:t>
      </w:r>
      <w:r>
        <w:rPr>
          <w:spacing w:val="-6"/>
        </w:rPr>
        <w:t> </w:t>
      </w:r>
      <w:r>
        <w:rPr/>
        <w:t>of</w:t>
      </w:r>
      <w:r>
        <w:rPr>
          <w:spacing w:val="-2"/>
        </w:rPr>
        <w:t> </w:t>
      </w:r>
      <w:r>
        <w:rPr/>
        <w:t>them</w:t>
      </w:r>
      <w:r>
        <w:rPr>
          <w:spacing w:val="-5"/>
        </w:rPr>
        <w:t> </w:t>
      </w:r>
      <w:r>
        <w:rPr/>
        <w:t>identified in the</w:t>
      </w:r>
      <w:r>
        <w:rPr>
          <w:spacing w:val="-4"/>
        </w:rPr>
        <w:t> </w:t>
      </w:r>
      <w:r>
        <w:rPr/>
        <w:t>work </w:t>
      </w:r>
      <w:r>
        <w:rPr>
          <w:i/>
        </w:rPr>
        <w:t>Macbeth </w:t>
      </w:r>
      <w:r>
        <w:rPr/>
        <w:t>are</w:t>
      </w:r>
      <w:r>
        <w:rPr>
          <w:spacing w:val="-2"/>
        </w:rPr>
        <w:t> </w:t>
      </w:r>
      <w:r>
        <w:rPr/>
        <w:t>the prophesies of</w:t>
      </w:r>
      <w:r>
        <w:rPr>
          <w:spacing w:val="-2"/>
        </w:rPr>
        <w:t> </w:t>
      </w:r>
      <w:r>
        <w:rPr/>
        <w:t>witches, the appearance</w:t>
      </w:r>
      <w:r>
        <w:rPr>
          <w:spacing w:val="-2"/>
        </w:rPr>
        <w:t> </w:t>
      </w:r>
      <w:r>
        <w:rPr/>
        <w:t>of</w:t>
      </w:r>
      <w:r>
        <w:rPr>
          <w:spacing w:val="-2"/>
        </w:rPr>
        <w:t> </w:t>
      </w:r>
      <w:r>
        <w:rPr/>
        <w:t>a ghost</w:t>
      </w:r>
      <w:r>
        <w:rPr>
          <w:spacing w:val="-1"/>
        </w:rPr>
        <w:t> </w:t>
      </w:r>
      <w:r>
        <w:rPr/>
        <w:t>and the tragic</w:t>
      </w:r>
      <w:r>
        <w:rPr>
          <w:spacing w:val="-1"/>
        </w:rPr>
        <w:t> </w:t>
      </w:r>
      <w:r>
        <w:rPr/>
        <w:t>flaws</w:t>
      </w:r>
      <w:r>
        <w:rPr>
          <w:spacing w:val="-2"/>
        </w:rPr>
        <w:t> </w:t>
      </w:r>
      <w:r>
        <w:rPr/>
        <w:t>of</w:t>
      </w:r>
      <w:r>
        <w:rPr>
          <w:spacing w:val="-2"/>
        </w:rPr>
        <w:t> </w:t>
      </w:r>
      <w:r>
        <w:rPr/>
        <w:t>the leading characters. The play </w:t>
      </w:r>
      <w:r>
        <w:rPr>
          <w:i/>
        </w:rPr>
        <w:t>Macbeth </w:t>
      </w:r>
      <w:r>
        <w:rPr/>
        <w:t>describes power-hungry characters such as Macbeth and Lady Macbeth with their unbridled ambitions, which makes them cross the line of human concern. The gender roles are questioned in attaining power by Lady Macbeth in executing the plots. </w:t>
      </w:r>
      <w:r>
        <w:rPr>
          <w:spacing w:val="-4"/>
        </w:rPr>
        <w:t>This</w:t>
      </w:r>
      <w:r>
        <w:rPr>
          <w:spacing w:val="-9"/>
        </w:rPr>
        <w:t> </w:t>
      </w:r>
      <w:r>
        <w:rPr>
          <w:spacing w:val="-4"/>
        </w:rPr>
        <w:t>study</w:t>
      </w:r>
      <w:r>
        <w:rPr>
          <w:spacing w:val="-8"/>
        </w:rPr>
        <w:t> </w:t>
      </w:r>
      <w:r>
        <w:rPr>
          <w:spacing w:val="-4"/>
        </w:rPr>
        <w:t>employs</w:t>
      </w:r>
      <w:r>
        <w:rPr>
          <w:spacing w:val="-9"/>
        </w:rPr>
        <w:t> </w:t>
      </w:r>
      <w:r>
        <w:rPr>
          <w:spacing w:val="-4"/>
        </w:rPr>
        <w:t>the</w:t>
      </w:r>
      <w:r>
        <w:rPr>
          <w:spacing w:val="-8"/>
        </w:rPr>
        <w:t> </w:t>
      </w:r>
      <w:r>
        <w:rPr>
          <w:spacing w:val="-4"/>
        </w:rPr>
        <w:t>psychoanalytic</w:t>
      </w:r>
      <w:r>
        <w:rPr>
          <w:spacing w:val="-9"/>
        </w:rPr>
        <w:t> </w:t>
      </w:r>
      <w:r>
        <w:rPr>
          <w:spacing w:val="-4"/>
        </w:rPr>
        <w:t>framework</w:t>
      </w:r>
      <w:r>
        <w:rPr>
          <w:spacing w:val="-8"/>
        </w:rPr>
        <w:t> </w:t>
      </w:r>
      <w:r>
        <w:rPr>
          <w:spacing w:val="-4"/>
        </w:rPr>
        <w:t>of</w:t>
      </w:r>
      <w:r>
        <w:rPr>
          <w:spacing w:val="-9"/>
        </w:rPr>
        <w:t> </w:t>
      </w:r>
      <w:r>
        <w:rPr>
          <w:spacing w:val="-4"/>
        </w:rPr>
        <w:t>Carl Jung’s</w:t>
      </w:r>
      <w:r>
        <w:rPr>
          <w:spacing w:val="-5"/>
        </w:rPr>
        <w:t> </w:t>
      </w:r>
      <w:r>
        <w:rPr>
          <w:spacing w:val="-4"/>
        </w:rPr>
        <w:t>collective </w:t>
      </w:r>
      <w:r>
        <w:rPr/>
        <w:t>unconscious,</w:t>
      </w:r>
      <w:r>
        <w:rPr>
          <w:spacing w:val="33"/>
        </w:rPr>
        <w:t> </w:t>
      </w:r>
      <w:r>
        <w:rPr/>
        <w:t>exploring</w:t>
      </w:r>
      <w:r>
        <w:rPr>
          <w:spacing w:val="29"/>
        </w:rPr>
        <w:t> </w:t>
      </w:r>
      <w:r>
        <w:rPr/>
        <w:t>deep</w:t>
      </w:r>
      <w:r>
        <w:rPr>
          <w:spacing w:val="33"/>
        </w:rPr>
        <w:t> </w:t>
      </w:r>
      <w:r>
        <w:rPr/>
        <w:t>into</w:t>
      </w:r>
      <w:r>
        <w:rPr>
          <w:spacing w:val="33"/>
        </w:rPr>
        <w:t> </w:t>
      </w:r>
      <w:r>
        <w:rPr/>
        <w:t>the</w:t>
      </w:r>
      <w:r>
        <w:rPr>
          <w:spacing w:val="33"/>
        </w:rPr>
        <w:t> </w:t>
      </w:r>
      <w:r>
        <w:rPr/>
        <w:t>concepts</w:t>
      </w:r>
      <w:r>
        <w:rPr>
          <w:spacing w:val="31"/>
        </w:rPr>
        <w:t> </w:t>
      </w:r>
      <w:r>
        <w:rPr/>
        <w:t>of</w:t>
      </w:r>
      <w:r>
        <w:rPr>
          <w:spacing w:val="30"/>
        </w:rPr>
        <w:t> </w:t>
      </w:r>
      <w:r>
        <w:rPr/>
        <w:t>Hero</w:t>
      </w:r>
      <w:r>
        <w:rPr>
          <w:spacing w:val="31"/>
        </w:rPr>
        <w:t> </w:t>
      </w:r>
      <w:r>
        <w:rPr/>
        <w:t>and</w:t>
      </w:r>
      <w:r>
        <w:rPr>
          <w:spacing w:val="31"/>
        </w:rPr>
        <w:t> </w:t>
      </w:r>
      <w:r>
        <w:rPr/>
        <w:t>Shadow.</w:t>
      </w:r>
    </w:p>
    <w:p>
      <w:pPr>
        <w:pStyle w:val="BodyText"/>
        <w:spacing w:after="0" w:line="266"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14656">
                <wp:simplePos x="0" y="0"/>
                <wp:positionH relativeFrom="page">
                  <wp:posOffset>2065020</wp:posOffset>
                </wp:positionH>
                <wp:positionV relativeFrom="paragraph">
                  <wp:posOffset>795020</wp:posOffset>
                </wp:positionV>
                <wp:extent cx="3657600" cy="12700"/>
                <wp:effectExtent l="0" t="0" r="0" b="0"/>
                <wp:wrapTopAndBottom/>
                <wp:docPr id="626" name="Graphic 626"/>
                <wp:cNvGraphicFramePr>
                  <a:graphicFrameLocks/>
                </wp:cNvGraphicFramePr>
                <a:graphic>
                  <a:graphicData uri="http://schemas.microsoft.com/office/word/2010/wordprocessingShape">
                    <wps:wsp>
                      <wps:cNvPr id="626" name="Graphic 62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01824;mso-wrap-distance-left:0;mso-wrap-distance-right:0" id="docshape618" filled="true" fillcolor="#000000" stroked="false">
                <v:fill type="solid"/>
                <w10:wrap type="topAndBottom"/>
              </v:rect>
            </w:pict>
          </mc:Fallback>
        </mc:AlternateContent>
      </w:r>
      <w:r>
        <w:rPr>
          <w:rFonts w:ascii="Verdana" w:hAnsi="Verdana"/>
          <w:sz w:val="18"/>
        </w:rPr>
        <w:t>Women’s Stereotypes</w:t>
      </w:r>
      <w:r>
        <w:rPr>
          <w:rFonts w:ascii="Verdana" w:hAnsi="Verdana"/>
          <w:spacing w:val="1"/>
          <w:sz w:val="18"/>
        </w:rPr>
        <w:t> </w:t>
      </w:r>
      <w:r>
        <w:rPr>
          <w:rFonts w:ascii="Verdana" w:hAnsi="Verdana"/>
          <w:sz w:val="18"/>
        </w:rPr>
        <w:t>and</w:t>
      </w:r>
      <w:r>
        <w:rPr>
          <w:rFonts w:ascii="Verdana" w:hAnsi="Verdana"/>
          <w:spacing w:val="3"/>
          <w:sz w:val="18"/>
        </w:rPr>
        <w:t> </w:t>
      </w:r>
      <w:r>
        <w:rPr>
          <w:rFonts w:ascii="Verdana" w:hAnsi="Verdana"/>
          <w:sz w:val="18"/>
        </w:rPr>
        <w:t>Tropes in</w:t>
      </w:r>
      <w:r>
        <w:rPr>
          <w:rFonts w:ascii="Verdana" w:hAnsi="Verdana"/>
          <w:spacing w:val="2"/>
          <w:sz w:val="18"/>
        </w:rPr>
        <w:t> </w:t>
      </w:r>
      <w:r>
        <w:rPr>
          <w:rFonts w:ascii="Verdana" w:hAnsi="Verdana"/>
          <w:spacing w:val="-2"/>
          <w:sz w:val="18"/>
        </w:rPr>
        <w:t>Shakespeare’s...</w:t>
      </w:r>
      <w:r>
        <w:rPr>
          <w:sz w:val="18"/>
        </w:rPr>
        <w:tab/>
      </w:r>
      <w:r>
        <w:rPr>
          <w:rFonts w:ascii="Verdana" w:hAnsi="Verdana"/>
          <w:spacing w:val="-5"/>
          <w:sz w:val="18"/>
        </w:rPr>
        <w:t>301</w:t>
      </w:r>
    </w:p>
    <w:p>
      <w:pPr>
        <w:pStyle w:val="BodyText"/>
        <w:spacing w:line="249" w:lineRule="auto" w:before="192"/>
        <w:ind w:right="1438" w:firstLine="432"/>
        <w:jc w:val="both"/>
      </w:pPr>
      <w:r>
        <w:rPr>
          <w:b/>
        </w:rPr>
        <w:t>Keywords: </w:t>
      </w:r>
      <w:r>
        <w:rPr/>
        <w:t>Women’s Stereotypes-tropes-collective unconscious-</w:t>
      </w:r>
      <w:r>
        <w:rPr>
          <w:spacing w:val="-2"/>
        </w:rPr>
        <w:t>shadow-Hero-Prophecy</w:t>
      </w:r>
    </w:p>
    <w:p>
      <w:pPr>
        <w:pStyle w:val="Heading3"/>
        <w:spacing w:before="155"/>
      </w:pPr>
      <w:r>
        <w:rPr>
          <w:spacing w:val="-2"/>
          <w:w w:val="95"/>
        </w:rPr>
        <w:t>INTRODUCTION</w:t>
      </w:r>
    </w:p>
    <w:p>
      <w:pPr>
        <w:pStyle w:val="BodyText"/>
        <w:spacing w:line="249" w:lineRule="auto" w:before="76"/>
        <w:ind w:right="1435" w:firstLine="432"/>
        <w:jc w:val="both"/>
      </w:pPr>
      <w:r>
        <w:rPr/>
        <w:t>“The</w:t>
      </w:r>
      <w:r>
        <w:rPr>
          <w:spacing w:val="-8"/>
        </w:rPr>
        <w:t> </w:t>
      </w:r>
      <w:r>
        <w:rPr/>
        <w:t>Scottish</w:t>
      </w:r>
      <w:r>
        <w:rPr>
          <w:spacing w:val="-10"/>
        </w:rPr>
        <w:t> </w:t>
      </w:r>
      <w:r>
        <w:rPr/>
        <w:t>Play”</w:t>
      </w:r>
      <w:r>
        <w:rPr>
          <w:spacing w:val="-7"/>
        </w:rPr>
        <w:t> </w:t>
      </w:r>
      <w:r>
        <w:rPr/>
        <w:t>is</w:t>
      </w:r>
      <w:r>
        <w:rPr>
          <w:spacing w:val="-8"/>
        </w:rPr>
        <w:t> </w:t>
      </w:r>
      <w:r>
        <w:rPr/>
        <w:t>another</w:t>
      </w:r>
      <w:r>
        <w:rPr>
          <w:spacing w:val="-8"/>
        </w:rPr>
        <w:t> </w:t>
      </w:r>
      <w:r>
        <w:rPr/>
        <w:t>title</w:t>
      </w:r>
      <w:r>
        <w:rPr>
          <w:spacing w:val="-7"/>
        </w:rPr>
        <w:t> </w:t>
      </w:r>
      <w:r>
        <w:rPr/>
        <w:t>for</w:t>
      </w:r>
      <w:r>
        <w:rPr>
          <w:spacing w:val="-3"/>
        </w:rPr>
        <w:t> </w:t>
      </w:r>
      <w:r>
        <w:rPr>
          <w:i/>
        </w:rPr>
        <w:t>Macbeth</w:t>
      </w:r>
      <w:r>
        <w:rPr/>
        <w:t>,</w:t>
      </w:r>
      <w:r>
        <w:rPr>
          <w:spacing w:val="-6"/>
        </w:rPr>
        <w:t> </w:t>
      </w:r>
      <w:r>
        <w:rPr/>
        <w:t>which</w:t>
      </w:r>
      <w:r>
        <w:rPr>
          <w:spacing w:val="-8"/>
        </w:rPr>
        <w:t> </w:t>
      </w:r>
      <w:r>
        <w:rPr/>
        <w:t>was</w:t>
      </w:r>
      <w:r>
        <w:rPr>
          <w:spacing w:val="-8"/>
        </w:rPr>
        <w:t> </w:t>
      </w:r>
      <w:r>
        <w:rPr/>
        <w:t>mostly used during the initial stage of the play</w:t>
      </w:r>
      <w:r>
        <w:rPr>
          <w:spacing w:val="-2"/>
        </w:rPr>
        <w:t> </w:t>
      </w:r>
      <w:r>
        <w:rPr/>
        <w:t>being performed in the theatres. </w:t>
      </w:r>
      <w:r>
        <w:rPr>
          <w:i/>
        </w:rPr>
        <w:t>Macbeth </w:t>
      </w:r>
      <w:r>
        <w:rPr/>
        <w:t>had achieved its glory too soon and continues to be the one. Women’s stereotypes in the work </w:t>
      </w:r>
      <w:r>
        <w:rPr>
          <w:i/>
        </w:rPr>
        <w:t>Macbeth </w:t>
      </w:r>
      <w:r>
        <w:rPr/>
        <w:t>have taken a different shift, which was unthinkable. Lady Macbeth, the wife of Macbeth, desires to achieve a few goals in her life, supporting her husband Macbeth and finding herself in her spouse in order to accomplish her desires. Lady Macbeth decides to break the shackles and chains tied to every woman by devaluing the stereotypes and making a way into ruling and administration.</w:t>
      </w:r>
      <w:r>
        <w:rPr>
          <w:spacing w:val="-13"/>
        </w:rPr>
        <w:t> </w:t>
      </w:r>
      <w:r>
        <w:rPr/>
        <w:t>Both</w:t>
      </w:r>
      <w:r>
        <w:rPr>
          <w:spacing w:val="-12"/>
        </w:rPr>
        <w:t> </w:t>
      </w:r>
      <w:r>
        <w:rPr/>
        <w:t>Macbeth</w:t>
      </w:r>
      <w:r>
        <w:rPr>
          <w:spacing w:val="-13"/>
        </w:rPr>
        <w:t> </w:t>
      </w:r>
      <w:r>
        <w:rPr/>
        <w:t>and</w:t>
      </w:r>
      <w:r>
        <w:rPr>
          <w:spacing w:val="-12"/>
        </w:rPr>
        <w:t> </w:t>
      </w:r>
      <w:r>
        <w:rPr/>
        <w:t>Lady</w:t>
      </w:r>
      <w:r>
        <w:rPr>
          <w:spacing w:val="-13"/>
        </w:rPr>
        <w:t> </w:t>
      </w:r>
      <w:r>
        <w:rPr/>
        <w:t>Macbeth</w:t>
      </w:r>
      <w:r>
        <w:rPr>
          <w:spacing w:val="-12"/>
        </w:rPr>
        <w:t> </w:t>
      </w:r>
      <w:r>
        <w:rPr/>
        <w:t>suffer</w:t>
      </w:r>
      <w:r>
        <w:rPr>
          <w:spacing w:val="-13"/>
        </w:rPr>
        <w:t> </w:t>
      </w:r>
      <w:r>
        <w:rPr/>
        <w:t>psychologically, where Lady Macbeth enters an insane</w:t>
      </w:r>
      <w:r>
        <w:rPr>
          <w:spacing w:val="23"/>
        </w:rPr>
        <w:t> </w:t>
      </w:r>
      <w:r>
        <w:rPr/>
        <w:t>world and encounters the truth</w:t>
      </w:r>
      <w:r>
        <w:rPr>
          <w:spacing w:val="80"/>
        </w:rPr>
        <w:t> </w:t>
      </w:r>
      <w:r>
        <w:rPr/>
        <w:t>of Cannot escape from the murders they have committed and the consequences</w:t>
      </w:r>
      <w:r>
        <w:rPr>
          <w:spacing w:val="-3"/>
        </w:rPr>
        <w:t> </w:t>
      </w:r>
      <w:r>
        <w:rPr/>
        <w:t>have</w:t>
      </w:r>
      <w:r>
        <w:rPr>
          <w:spacing w:val="-1"/>
        </w:rPr>
        <w:t> </w:t>
      </w:r>
      <w:r>
        <w:rPr/>
        <w:t>to</w:t>
      </w:r>
      <w:r>
        <w:rPr>
          <w:spacing w:val="-1"/>
        </w:rPr>
        <w:t> </w:t>
      </w:r>
      <w:r>
        <w:rPr/>
        <w:t>be</w:t>
      </w:r>
      <w:r>
        <w:rPr>
          <w:spacing w:val="-2"/>
        </w:rPr>
        <w:t> </w:t>
      </w:r>
      <w:r>
        <w:rPr/>
        <w:t>endured. Macbeth’s</w:t>
      </w:r>
      <w:r>
        <w:rPr>
          <w:spacing w:val="-1"/>
        </w:rPr>
        <w:t> </w:t>
      </w:r>
      <w:r>
        <w:rPr/>
        <w:t>psychological</w:t>
      </w:r>
      <w:r>
        <w:rPr>
          <w:spacing w:val="-2"/>
        </w:rPr>
        <w:t> </w:t>
      </w:r>
      <w:r>
        <w:rPr/>
        <w:t>commotion is comprehended when he refuses to weep</w:t>
      </w:r>
      <w:r>
        <w:rPr>
          <w:spacing w:val="28"/>
        </w:rPr>
        <w:t> </w:t>
      </w:r>
      <w:r>
        <w:rPr/>
        <w:t>on the news that his wife</w:t>
      </w:r>
      <w:r>
        <w:rPr>
          <w:spacing w:val="40"/>
        </w:rPr>
        <w:t> </w:t>
      </w:r>
      <w:r>
        <w:rPr/>
        <w:t>has committed suicide and one can visualise where his unconscious desires have</w:t>
      </w:r>
      <w:r>
        <w:rPr>
          <w:spacing w:val="40"/>
        </w:rPr>
        <w:t> </w:t>
      </w:r>
      <w:r>
        <w:rPr/>
        <w:t>led him.</w:t>
      </w:r>
    </w:p>
    <w:p>
      <w:pPr>
        <w:pStyle w:val="Heading3"/>
        <w:spacing w:before="166"/>
      </w:pPr>
      <w:r>
        <w:rPr>
          <w:w w:val="80"/>
        </w:rPr>
        <w:t>LITERATURE</w:t>
      </w:r>
      <w:r>
        <w:rPr>
          <w:spacing w:val="9"/>
        </w:rPr>
        <w:t> </w:t>
      </w:r>
      <w:r>
        <w:rPr>
          <w:spacing w:val="-2"/>
          <w:w w:val="90"/>
        </w:rPr>
        <w:t>REVIEW</w:t>
      </w:r>
    </w:p>
    <w:p>
      <w:pPr>
        <w:pStyle w:val="BodyText"/>
        <w:spacing w:line="249" w:lineRule="auto" w:before="78"/>
        <w:ind w:right="1437" w:firstLine="432"/>
        <w:jc w:val="both"/>
      </w:pPr>
      <w:r>
        <w:rPr/>
        <w:t>A detailed study has been done on the secondary sources of the play </w:t>
      </w:r>
      <w:r>
        <w:rPr>
          <w:i/>
        </w:rPr>
        <w:t>Macbeth, </w:t>
      </w:r>
      <w:r>
        <w:rPr/>
        <w:t>resulting in the comprehension of women’s dominance</w:t>
      </w:r>
      <w:r>
        <w:rPr>
          <w:spacing w:val="40"/>
        </w:rPr>
        <w:t> </w:t>
      </w:r>
      <w:r>
        <w:rPr/>
        <w:t>in the play and the power a woman holds to achieve the desired ambition, irrespective of gender and its</w:t>
      </w:r>
      <w:r>
        <w:rPr>
          <w:spacing w:val="-2"/>
        </w:rPr>
        <w:t> </w:t>
      </w:r>
      <w:r>
        <w:rPr/>
        <w:t>stereotypes. The play</w:t>
      </w:r>
      <w:r>
        <w:rPr>
          <w:spacing w:val="-3"/>
        </w:rPr>
        <w:t> </w:t>
      </w:r>
      <w:r>
        <w:rPr/>
        <w:t>illustrates the persuasive ideas of women in destabilising the authority of men, projecting</w:t>
      </w:r>
      <w:r>
        <w:rPr>
          <w:spacing w:val="-12"/>
        </w:rPr>
        <w:t> </w:t>
      </w:r>
      <w:r>
        <w:rPr/>
        <w:t>the</w:t>
      </w:r>
      <w:r>
        <w:rPr>
          <w:spacing w:val="-12"/>
        </w:rPr>
        <w:t> </w:t>
      </w:r>
      <w:r>
        <w:rPr/>
        <w:t>weakness</w:t>
      </w:r>
      <w:r>
        <w:rPr>
          <w:spacing w:val="-10"/>
        </w:rPr>
        <w:t> </w:t>
      </w:r>
      <w:r>
        <w:rPr/>
        <w:t>of</w:t>
      </w:r>
      <w:r>
        <w:rPr>
          <w:spacing w:val="-10"/>
        </w:rPr>
        <w:t> </w:t>
      </w:r>
      <w:r>
        <w:rPr/>
        <w:t>men</w:t>
      </w:r>
      <w:r>
        <w:rPr>
          <w:spacing w:val="-13"/>
        </w:rPr>
        <w:t> </w:t>
      </w:r>
      <w:r>
        <w:rPr/>
        <w:t>in</w:t>
      </w:r>
      <w:r>
        <w:rPr>
          <w:spacing w:val="-10"/>
        </w:rPr>
        <w:t> </w:t>
      </w:r>
      <w:r>
        <w:rPr/>
        <w:t>executing</w:t>
      </w:r>
      <w:r>
        <w:rPr>
          <w:spacing w:val="-12"/>
        </w:rPr>
        <w:t> </w:t>
      </w:r>
      <w:r>
        <w:rPr/>
        <w:t>their</w:t>
      </w:r>
      <w:r>
        <w:rPr>
          <w:spacing w:val="-8"/>
        </w:rPr>
        <w:t> </w:t>
      </w:r>
      <w:r>
        <w:rPr/>
        <w:t>thoughts.</w:t>
      </w:r>
      <w:r>
        <w:rPr>
          <w:spacing w:val="-12"/>
        </w:rPr>
        <w:t> </w:t>
      </w:r>
      <w:r>
        <w:rPr/>
        <w:t>The</w:t>
      </w:r>
      <w:r>
        <w:rPr>
          <w:spacing w:val="-9"/>
        </w:rPr>
        <w:t> </w:t>
      </w:r>
      <w:r>
        <w:rPr/>
        <w:t>external supernatural powers are connected with the internal psychological thoughts of victory, defeat, manipulation and self-destruction. Lady Macbeth is considered one of the most prominent characters of Shakespeare, attributing the qualities of boldness and willingness to participate in the murders, irrespective of the consequences. Lady Macbeth</w:t>
      </w:r>
      <w:r>
        <w:rPr>
          <w:spacing w:val="-1"/>
        </w:rPr>
        <w:t> </w:t>
      </w:r>
      <w:r>
        <w:rPr/>
        <w:t>is observed to break the traditional norms of</w:t>
      </w:r>
      <w:r>
        <w:rPr>
          <w:spacing w:val="-1"/>
        </w:rPr>
        <w:t> </w:t>
      </w:r>
      <w:r>
        <w:rPr/>
        <w:t>the society</w:t>
      </w:r>
      <w:r>
        <w:rPr>
          <w:spacing w:val="-1"/>
        </w:rPr>
        <w:t> </w:t>
      </w:r>
      <w:r>
        <w:rPr/>
        <w:t>of</w:t>
      </w:r>
      <w:r>
        <w:rPr>
          <w:spacing w:val="-1"/>
        </w:rPr>
        <w:t> </w:t>
      </w:r>
      <w:r>
        <w:rPr/>
        <w:t>the image of women.</w:t>
      </w:r>
    </w:p>
    <w:p>
      <w:pPr>
        <w:pStyle w:val="Heading3"/>
        <w:spacing w:before="164"/>
      </w:pPr>
      <w:r>
        <w:rPr>
          <w:spacing w:val="-2"/>
        </w:rPr>
        <w:t>METHODOLOGY</w:t>
      </w:r>
    </w:p>
    <w:p>
      <w:pPr>
        <w:pStyle w:val="BodyText"/>
        <w:spacing w:line="249" w:lineRule="auto" w:before="75"/>
        <w:ind w:right="1436" w:firstLine="432"/>
        <w:jc w:val="both"/>
      </w:pPr>
      <w:r>
        <w:rPr/>
        <w:t>Carl Gustav Jung’s collective unconscious is known as the “objective psyche.” The collective unconscious denotes the idea of the innermost</w:t>
      </w:r>
      <w:r>
        <w:rPr>
          <w:spacing w:val="57"/>
        </w:rPr>
        <w:t> </w:t>
      </w:r>
      <w:r>
        <w:rPr/>
        <w:t>unconscious</w:t>
      </w:r>
      <w:r>
        <w:rPr>
          <w:spacing w:val="57"/>
        </w:rPr>
        <w:t> </w:t>
      </w:r>
      <w:r>
        <w:rPr/>
        <w:t>thoughts</w:t>
      </w:r>
      <w:r>
        <w:rPr>
          <w:spacing w:val="58"/>
        </w:rPr>
        <w:t> </w:t>
      </w:r>
      <w:r>
        <w:rPr/>
        <w:t>and</w:t>
      </w:r>
      <w:r>
        <w:rPr>
          <w:spacing w:val="57"/>
        </w:rPr>
        <w:t> </w:t>
      </w:r>
      <w:r>
        <w:rPr/>
        <w:t>desires,</w:t>
      </w:r>
      <w:r>
        <w:rPr>
          <w:spacing w:val="56"/>
        </w:rPr>
        <w:t> </w:t>
      </w:r>
      <w:r>
        <w:rPr/>
        <w:t>which</w:t>
      </w:r>
      <w:r>
        <w:rPr>
          <w:spacing w:val="55"/>
        </w:rPr>
        <w:t> </w:t>
      </w:r>
      <w:r>
        <w:rPr/>
        <w:t>are</w:t>
      </w:r>
      <w:r>
        <w:rPr>
          <w:spacing w:val="58"/>
        </w:rPr>
        <w:t> </w:t>
      </w:r>
      <w:r>
        <w:rPr/>
        <w:t>shaped</w:t>
      </w:r>
      <w:r>
        <w:rPr>
          <w:spacing w:val="58"/>
        </w:rPr>
        <w:t> </w:t>
      </w:r>
      <w:r>
        <w:rPr>
          <w:spacing w:val="-5"/>
        </w:rPr>
        <w:t>by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15168">
                <wp:simplePos x="0" y="0"/>
                <wp:positionH relativeFrom="page">
                  <wp:posOffset>2057400</wp:posOffset>
                </wp:positionH>
                <wp:positionV relativeFrom="paragraph">
                  <wp:posOffset>162604</wp:posOffset>
                </wp:positionV>
                <wp:extent cx="3657600" cy="12700"/>
                <wp:effectExtent l="0" t="0" r="0" b="0"/>
                <wp:wrapTopAndBottom/>
                <wp:docPr id="627" name="Graphic 627"/>
                <wp:cNvGraphicFramePr>
                  <a:graphicFrameLocks/>
                </wp:cNvGraphicFramePr>
                <a:graphic>
                  <a:graphicData uri="http://schemas.microsoft.com/office/word/2010/wordprocessingShape">
                    <wps:wsp>
                      <wps:cNvPr id="627" name="Graphic 62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01312;mso-wrap-distance-left:0;mso-wrap-distance-right:0" id="docshape619" filled="true" fillcolor="#000000" stroked="false">
                <v:fill type="solid"/>
                <w10:wrap type="topAndBottom"/>
              </v:rect>
            </w:pict>
          </mc:Fallback>
        </mc:AlternateContent>
      </w:r>
      <w:r>
        <w:rPr>
          <w:rFonts w:ascii="Verdana"/>
          <w:spacing w:val="-5"/>
          <w:sz w:val="18"/>
        </w:rPr>
        <w:t>302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objective experiences.</w:t>
      </w:r>
      <w:r>
        <w:rPr>
          <w:spacing w:val="-2"/>
        </w:rPr>
        <w:t> </w:t>
      </w:r>
      <w:r>
        <w:rPr/>
        <w:t>They</w:t>
      </w:r>
      <w:r>
        <w:rPr>
          <w:spacing w:val="-4"/>
        </w:rPr>
        <w:t> </w:t>
      </w:r>
      <w:r>
        <w:rPr/>
        <w:t>are</w:t>
      </w:r>
      <w:r>
        <w:rPr>
          <w:spacing w:val="-2"/>
        </w:rPr>
        <w:t> </w:t>
      </w:r>
      <w:r>
        <w:rPr/>
        <w:t>shaped from</w:t>
      </w:r>
      <w:r>
        <w:rPr>
          <w:spacing w:val="-3"/>
        </w:rPr>
        <w:t> </w:t>
      </w:r>
      <w:r>
        <w:rPr/>
        <w:t>humanity’s past collective experiences. This study</w:t>
      </w:r>
      <w:r>
        <w:rPr>
          <w:spacing w:val="-1"/>
        </w:rPr>
        <w:t> </w:t>
      </w:r>
      <w:r>
        <w:rPr/>
        <w:t>explores</w:t>
      </w:r>
      <w:r>
        <w:rPr>
          <w:spacing w:val="-1"/>
        </w:rPr>
        <w:t> </w:t>
      </w:r>
      <w:r>
        <w:rPr/>
        <w:t>two of the prominent concepts of</w:t>
      </w:r>
      <w:r>
        <w:rPr>
          <w:spacing w:val="-1"/>
        </w:rPr>
        <w:t> </w:t>
      </w:r>
      <w:r>
        <w:rPr/>
        <w:t>Carl Gustav Jung to interpret Shakespeare’s </w:t>
      </w:r>
      <w:r>
        <w:rPr>
          <w:i/>
        </w:rPr>
        <w:t>Macbeth</w:t>
      </w:r>
      <w:r>
        <w:rPr/>
        <w:t>. Firstly, a hero is a character who has humble beginnings but later triumphs in life, overcoming evil and death, but the contrast is observed in this play. Secondly, the shadow, which means the mind or psyche, reveals the unethical</w:t>
      </w:r>
      <w:r>
        <w:rPr>
          <w:spacing w:val="-8"/>
        </w:rPr>
        <w:t> </w:t>
      </w:r>
      <w:r>
        <w:rPr/>
        <w:t>and</w:t>
      </w:r>
      <w:r>
        <w:rPr>
          <w:spacing w:val="-6"/>
        </w:rPr>
        <w:t> </w:t>
      </w:r>
      <w:r>
        <w:rPr/>
        <w:t>dark</w:t>
      </w:r>
      <w:r>
        <w:rPr>
          <w:spacing w:val="-10"/>
        </w:rPr>
        <w:t> </w:t>
      </w:r>
      <w:r>
        <w:rPr/>
        <w:t>aspects</w:t>
      </w:r>
      <w:r>
        <w:rPr>
          <w:spacing w:val="-8"/>
        </w:rPr>
        <w:t> </w:t>
      </w:r>
      <w:r>
        <w:rPr/>
        <w:t>of</w:t>
      </w:r>
      <w:r>
        <w:rPr>
          <w:spacing w:val="-10"/>
        </w:rPr>
        <w:t> </w:t>
      </w:r>
      <w:r>
        <w:rPr/>
        <w:t>the</w:t>
      </w:r>
      <w:r>
        <w:rPr>
          <w:spacing w:val="-8"/>
        </w:rPr>
        <w:t> </w:t>
      </w:r>
      <w:r>
        <w:rPr/>
        <w:t>behaviour</w:t>
      </w:r>
      <w:r>
        <w:rPr>
          <w:spacing w:val="-6"/>
        </w:rPr>
        <w:t> </w:t>
      </w:r>
      <w:r>
        <w:rPr/>
        <w:t>of</w:t>
      </w:r>
      <w:r>
        <w:rPr>
          <w:spacing w:val="-8"/>
        </w:rPr>
        <w:t> </w:t>
      </w:r>
      <w:r>
        <w:rPr/>
        <w:t>the</w:t>
      </w:r>
      <w:r>
        <w:rPr>
          <w:spacing w:val="-8"/>
        </w:rPr>
        <w:t> </w:t>
      </w:r>
      <w:r>
        <w:rPr/>
        <w:t>characters</w:t>
      </w:r>
      <w:r>
        <w:rPr>
          <w:spacing w:val="-8"/>
        </w:rPr>
        <w:t> </w:t>
      </w:r>
      <w:r>
        <w:rPr/>
        <w:t>of</w:t>
      </w:r>
      <w:r>
        <w:rPr>
          <w:spacing w:val="-10"/>
        </w:rPr>
        <w:t> </w:t>
      </w:r>
      <w:r>
        <w:rPr/>
        <w:t>Macbeth and</w:t>
      </w:r>
      <w:r>
        <w:rPr>
          <w:spacing w:val="-1"/>
        </w:rPr>
        <w:t> </w:t>
      </w:r>
      <w:r>
        <w:rPr/>
        <w:t>Lady</w:t>
      </w:r>
      <w:r>
        <w:rPr>
          <w:spacing w:val="-4"/>
        </w:rPr>
        <w:t> </w:t>
      </w:r>
      <w:r>
        <w:rPr/>
        <w:t>Macbeth,</w:t>
      </w:r>
      <w:r>
        <w:rPr>
          <w:spacing w:val="-3"/>
        </w:rPr>
        <w:t> </w:t>
      </w:r>
      <w:r>
        <w:rPr/>
        <w:t>who</w:t>
      </w:r>
      <w:r>
        <w:rPr>
          <w:spacing w:val="-3"/>
        </w:rPr>
        <w:t> </w:t>
      </w:r>
      <w:r>
        <w:rPr/>
        <w:t>eventually</w:t>
      </w:r>
      <w:r>
        <w:rPr>
          <w:spacing w:val="-6"/>
        </w:rPr>
        <w:t> </w:t>
      </w:r>
      <w:r>
        <w:rPr/>
        <w:t>are</w:t>
      </w:r>
      <w:r>
        <w:rPr>
          <w:spacing w:val="-1"/>
        </w:rPr>
        <w:t> </w:t>
      </w:r>
      <w:r>
        <w:rPr/>
        <w:t>consumed</w:t>
      </w:r>
      <w:r>
        <w:rPr>
          <w:spacing w:val="-3"/>
        </w:rPr>
        <w:t> </w:t>
      </w:r>
      <w:r>
        <w:rPr/>
        <w:t>by</w:t>
      </w:r>
      <w:r>
        <w:rPr>
          <w:spacing w:val="-6"/>
        </w:rPr>
        <w:t> </w:t>
      </w:r>
      <w:r>
        <w:rPr/>
        <w:t>the</w:t>
      </w:r>
      <w:r>
        <w:rPr>
          <w:spacing w:val="-4"/>
        </w:rPr>
        <w:t> </w:t>
      </w:r>
      <w:r>
        <w:rPr/>
        <w:t>lust</w:t>
      </w:r>
      <w:r>
        <w:rPr>
          <w:spacing w:val="-1"/>
        </w:rPr>
        <w:t> </w:t>
      </w:r>
      <w:r>
        <w:rPr/>
        <w:t>for</w:t>
      </w:r>
      <w:r>
        <w:rPr>
          <w:spacing w:val="-1"/>
        </w:rPr>
        <w:t> </w:t>
      </w:r>
      <w:r>
        <w:rPr/>
        <w:t>power. The motives of the protagonists are not their own but of the world at large</w:t>
      </w:r>
      <w:r>
        <w:rPr>
          <w:spacing w:val="40"/>
        </w:rPr>
        <w:t> </w:t>
      </w:r>
      <w:r>
        <w:rPr/>
        <w:t>because</w:t>
      </w:r>
      <w:r>
        <w:rPr>
          <w:spacing w:val="40"/>
        </w:rPr>
        <w:t> </w:t>
      </w:r>
      <w:r>
        <w:rPr/>
        <w:t>of</w:t>
      </w:r>
      <w:r>
        <w:rPr>
          <w:spacing w:val="40"/>
        </w:rPr>
        <w:t> </w:t>
      </w:r>
      <w:r>
        <w:rPr/>
        <w:t>the</w:t>
      </w:r>
      <w:r>
        <w:rPr>
          <w:spacing w:val="40"/>
        </w:rPr>
        <w:t> </w:t>
      </w:r>
      <w:r>
        <w:rPr/>
        <w:t>shared</w:t>
      </w:r>
      <w:r>
        <w:rPr>
          <w:spacing w:val="40"/>
        </w:rPr>
        <w:t> </w:t>
      </w:r>
      <w:r>
        <w:rPr/>
        <w:t>objective</w:t>
      </w:r>
      <w:r>
        <w:rPr>
          <w:spacing w:val="40"/>
        </w:rPr>
        <w:t> </w:t>
      </w:r>
      <w:r>
        <w:rPr/>
        <w:t>development</w:t>
      </w:r>
      <w:r>
        <w:rPr>
          <w:spacing w:val="40"/>
        </w:rPr>
        <w:t> </w:t>
      </w:r>
      <w:r>
        <w:rPr/>
        <w:t>of</w:t>
      </w:r>
      <w:r>
        <w:rPr>
          <w:spacing w:val="40"/>
        </w:rPr>
        <w:t> </w:t>
      </w:r>
      <w:r>
        <w:rPr/>
        <w:t>the</w:t>
      </w:r>
      <w:r>
        <w:rPr>
          <w:spacing w:val="40"/>
        </w:rPr>
        <w:t> </w:t>
      </w:r>
      <w:r>
        <w:rPr/>
        <w:t>psyche.</w:t>
      </w:r>
    </w:p>
    <w:p>
      <w:pPr>
        <w:pStyle w:val="Heading3"/>
        <w:spacing w:before="162"/>
      </w:pPr>
      <w:r>
        <w:rPr>
          <w:spacing w:val="-2"/>
        </w:rPr>
        <w:t>ANALYSIS</w:t>
      </w:r>
    </w:p>
    <w:p>
      <w:pPr>
        <w:pStyle w:val="Heading5"/>
        <w:spacing w:line="244" w:lineRule="auto" w:before="125"/>
        <w:ind w:right="1437"/>
      </w:pPr>
      <w:r>
        <w:rPr>
          <w:w w:val="110"/>
        </w:rPr>
        <w:t>Lady</w:t>
      </w:r>
      <w:r>
        <w:rPr>
          <w:spacing w:val="40"/>
          <w:w w:val="110"/>
        </w:rPr>
        <w:t> </w:t>
      </w:r>
      <w:r>
        <w:rPr>
          <w:w w:val="110"/>
        </w:rPr>
        <w:t>Macbeth</w:t>
      </w:r>
      <w:r>
        <w:rPr>
          <w:spacing w:val="40"/>
          <w:w w:val="110"/>
        </w:rPr>
        <w:t> </w:t>
      </w:r>
      <w:r>
        <w:rPr>
          <w:w w:val="110"/>
        </w:rPr>
        <w:t>makes</w:t>
      </w:r>
      <w:r>
        <w:rPr>
          <w:spacing w:val="40"/>
          <w:w w:val="110"/>
        </w:rPr>
        <w:t> </w:t>
      </w:r>
      <w:r>
        <w:rPr>
          <w:w w:val="110"/>
        </w:rPr>
        <w:t>Macbeth’s</w:t>
      </w:r>
      <w:r>
        <w:rPr>
          <w:spacing w:val="40"/>
          <w:w w:val="110"/>
        </w:rPr>
        <w:t> </w:t>
      </w:r>
      <w:r>
        <w:rPr>
          <w:w w:val="110"/>
        </w:rPr>
        <w:t>prophecy</w:t>
      </w:r>
      <w:r>
        <w:rPr>
          <w:spacing w:val="40"/>
          <w:w w:val="110"/>
        </w:rPr>
        <w:t> </w:t>
      </w:r>
      <w:r>
        <w:rPr>
          <w:w w:val="110"/>
        </w:rPr>
        <w:t>as</w:t>
      </w:r>
      <w:r>
        <w:rPr>
          <w:spacing w:val="40"/>
          <w:w w:val="110"/>
        </w:rPr>
        <w:t> </w:t>
      </w:r>
      <w:r>
        <w:rPr>
          <w:w w:val="110"/>
        </w:rPr>
        <w:t>her</w:t>
      </w:r>
      <w:r>
        <w:rPr>
          <w:spacing w:val="80"/>
          <w:w w:val="150"/>
        </w:rPr>
        <w:t> </w:t>
      </w:r>
      <w:r>
        <w:rPr>
          <w:spacing w:val="6"/>
          <w:w w:val="110"/>
        </w:rPr>
        <w:t>own</w:t>
      </w:r>
    </w:p>
    <w:p>
      <w:pPr>
        <w:pStyle w:val="BodyText"/>
        <w:spacing w:line="249" w:lineRule="auto" w:before="67"/>
        <w:ind w:right="1438" w:firstLine="432"/>
        <w:jc w:val="both"/>
      </w:pPr>
      <w:r>
        <w:rPr/>
        <w:t>As women are not allowed to have a name of their own, in the stereotypical society, Lady Macbeth chose to make her husband’s prophecy her own to accomplish it. Even to remain as a household woman, Lady Macbeth does not have any children, so she decides to assist her husband in ascending the throne. Macbeth was a Thane of Glamis,</w:t>
      </w:r>
      <w:r>
        <w:rPr>
          <w:spacing w:val="-7"/>
        </w:rPr>
        <w:t> </w:t>
      </w:r>
      <w:r>
        <w:rPr/>
        <w:t>and</w:t>
      </w:r>
      <w:r>
        <w:rPr>
          <w:spacing w:val="-9"/>
        </w:rPr>
        <w:t> </w:t>
      </w:r>
      <w:r>
        <w:rPr/>
        <w:t>as</w:t>
      </w:r>
      <w:r>
        <w:rPr>
          <w:spacing w:val="-9"/>
        </w:rPr>
        <w:t> </w:t>
      </w:r>
      <w:r>
        <w:rPr/>
        <w:t>he</w:t>
      </w:r>
      <w:r>
        <w:rPr>
          <w:spacing w:val="-10"/>
        </w:rPr>
        <w:t> </w:t>
      </w:r>
      <w:r>
        <w:rPr/>
        <w:t>returned</w:t>
      </w:r>
      <w:r>
        <w:rPr>
          <w:spacing w:val="-9"/>
        </w:rPr>
        <w:t> </w:t>
      </w:r>
      <w:r>
        <w:rPr/>
        <w:t>from</w:t>
      </w:r>
      <w:r>
        <w:rPr>
          <w:spacing w:val="-11"/>
        </w:rPr>
        <w:t> </w:t>
      </w:r>
      <w:r>
        <w:rPr/>
        <w:t>the</w:t>
      </w:r>
      <w:r>
        <w:rPr>
          <w:spacing w:val="-10"/>
        </w:rPr>
        <w:t> </w:t>
      </w:r>
      <w:r>
        <w:rPr/>
        <w:t>battle,</w:t>
      </w:r>
      <w:r>
        <w:rPr>
          <w:spacing w:val="-9"/>
        </w:rPr>
        <w:t> </w:t>
      </w:r>
      <w:r>
        <w:rPr/>
        <w:t>he</w:t>
      </w:r>
      <w:r>
        <w:rPr>
          <w:spacing w:val="-9"/>
        </w:rPr>
        <w:t> </w:t>
      </w:r>
      <w:r>
        <w:rPr/>
        <w:t>met</w:t>
      </w:r>
      <w:r>
        <w:rPr>
          <w:spacing w:val="-11"/>
        </w:rPr>
        <w:t> </w:t>
      </w:r>
      <w:r>
        <w:rPr/>
        <w:t>three</w:t>
      </w:r>
      <w:r>
        <w:rPr>
          <w:spacing w:val="-9"/>
        </w:rPr>
        <w:t> </w:t>
      </w:r>
      <w:r>
        <w:rPr/>
        <w:t>sisters</w:t>
      </w:r>
      <w:r>
        <w:rPr>
          <w:spacing w:val="-12"/>
        </w:rPr>
        <w:t> </w:t>
      </w:r>
      <w:r>
        <w:rPr/>
        <w:t>who</w:t>
      </w:r>
      <w:r>
        <w:rPr>
          <w:spacing w:val="-9"/>
        </w:rPr>
        <w:t> </w:t>
      </w:r>
      <w:r>
        <w:rPr/>
        <w:t>were the witches and had released three predictions. Firstly, Macbeth would receive the title of the Thane of Cawdor. Secondly, Banquo, another warrior who was with Macbeth during this time, it was prophesied that his descendants would inherit the throne in the future, and finally, Macbeth would ascend the throne. Fortunately, the first prophecy is established naturally, and hence, Lady Macbeth from here on takes the initiative to make Macbeth the king by her own plotting of murdering King</w:t>
      </w:r>
      <w:r>
        <w:rPr>
          <w:spacing w:val="40"/>
        </w:rPr>
        <w:t> </w:t>
      </w:r>
      <w:r>
        <w:rPr/>
        <w:t>Duncan,</w:t>
      </w:r>
      <w:r>
        <w:rPr>
          <w:spacing w:val="40"/>
        </w:rPr>
        <w:t> </w:t>
      </w:r>
      <w:r>
        <w:rPr/>
        <w:t>Banquo</w:t>
      </w:r>
      <w:r>
        <w:rPr>
          <w:spacing w:val="40"/>
        </w:rPr>
        <w:t> </w:t>
      </w:r>
      <w:r>
        <w:rPr/>
        <w:t>and</w:t>
      </w:r>
      <w:r>
        <w:rPr>
          <w:spacing w:val="40"/>
        </w:rPr>
        <w:t> </w:t>
      </w:r>
      <w:r>
        <w:rPr/>
        <w:t>his</w:t>
      </w:r>
      <w:r>
        <w:rPr>
          <w:spacing w:val="40"/>
        </w:rPr>
        <w:t> </w:t>
      </w:r>
      <w:r>
        <w:rPr/>
        <w:t>son</w:t>
      </w:r>
      <w:r>
        <w:rPr>
          <w:spacing w:val="40"/>
        </w:rPr>
        <w:t> </w:t>
      </w:r>
      <w:r>
        <w:rPr/>
        <w:t>Fleance.</w:t>
      </w:r>
    </w:p>
    <w:p>
      <w:pPr>
        <w:spacing w:before="69"/>
        <w:ind w:left="2160" w:right="0" w:firstLine="0"/>
        <w:jc w:val="both"/>
        <w:rPr>
          <w:i/>
          <w:sz w:val="20"/>
        </w:rPr>
      </w:pPr>
      <w:r>
        <w:rPr>
          <w:i/>
          <w:sz w:val="20"/>
        </w:rPr>
        <w:t>“That</w:t>
      </w:r>
      <w:r>
        <w:rPr>
          <w:i/>
          <w:spacing w:val="29"/>
          <w:sz w:val="20"/>
        </w:rPr>
        <w:t> </w:t>
      </w:r>
      <w:r>
        <w:rPr>
          <w:i/>
          <w:sz w:val="20"/>
        </w:rPr>
        <w:t>which</w:t>
      </w:r>
      <w:r>
        <w:rPr>
          <w:i/>
          <w:spacing w:val="31"/>
          <w:sz w:val="20"/>
        </w:rPr>
        <w:t> </w:t>
      </w:r>
      <w:r>
        <w:rPr>
          <w:i/>
          <w:sz w:val="20"/>
        </w:rPr>
        <w:t>hath</w:t>
      </w:r>
      <w:r>
        <w:rPr>
          <w:i/>
          <w:spacing w:val="34"/>
          <w:sz w:val="20"/>
        </w:rPr>
        <w:t> </w:t>
      </w:r>
      <w:r>
        <w:rPr>
          <w:i/>
          <w:sz w:val="20"/>
        </w:rPr>
        <w:t>made</w:t>
      </w:r>
      <w:r>
        <w:rPr>
          <w:i/>
          <w:spacing w:val="30"/>
          <w:sz w:val="20"/>
        </w:rPr>
        <w:t> </w:t>
      </w:r>
      <w:r>
        <w:rPr>
          <w:i/>
          <w:sz w:val="20"/>
        </w:rPr>
        <w:t>them</w:t>
      </w:r>
      <w:r>
        <w:rPr>
          <w:i/>
          <w:spacing w:val="30"/>
          <w:sz w:val="20"/>
        </w:rPr>
        <w:t> </w:t>
      </w:r>
      <w:r>
        <w:rPr>
          <w:i/>
          <w:sz w:val="20"/>
        </w:rPr>
        <w:t>drunk</w:t>
      </w:r>
      <w:r>
        <w:rPr>
          <w:i/>
          <w:spacing w:val="29"/>
          <w:sz w:val="20"/>
        </w:rPr>
        <w:t> </w:t>
      </w:r>
      <w:r>
        <w:rPr>
          <w:i/>
          <w:sz w:val="20"/>
        </w:rPr>
        <w:t>hath</w:t>
      </w:r>
      <w:r>
        <w:rPr>
          <w:i/>
          <w:spacing w:val="35"/>
          <w:sz w:val="20"/>
        </w:rPr>
        <w:t> </w:t>
      </w:r>
      <w:r>
        <w:rPr>
          <w:i/>
          <w:sz w:val="20"/>
        </w:rPr>
        <w:t>made</w:t>
      </w:r>
      <w:r>
        <w:rPr>
          <w:i/>
          <w:spacing w:val="31"/>
          <w:sz w:val="20"/>
        </w:rPr>
        <w:t> </w:t>
      </w:r>
      <w:r>
        <w:rPr>
          <w:i/>
          <w:spacing w:val="-5"/>
          <w:sz w:val="20"/>
        </w:rPr>
        <w:t>me</w:t>
      </w:r>
    </w:p>
    <w:p>
      <w:pPr>
        <w:spacing w:line="249" w:lineRule="auto" w:before="70"/>
        <w:ind w:left="2160" w:right="2163" w:firstLine="0"/>
        <w:jc w:val="both"/>
        <w:rPr>
          <w:i/>
          <w:sz w:val="20"/>
        </w:rPr>
      </w:pPr>
      <w:r>
        <w:rPr>
          <w:i/>
          <w:sz w:val="20"/>
        </w:rPr>
        <w:t>bold. What hath quenched them hath given me fire (Shakespeare</w:t>
      </w:r>
      <w:r>
        <w:rPr>
          <w:i/>
          <w:spacing w:val="40"/>
          <w:sz w:val="20"/>
        </w:rPr>
        <w:t> </w:t>
      </w:r>
      <w:r>
        <w:rPr>
          <w:i/>
          <w:sz w:val="20"/>
        </w:rPr>
        <w:t>2.2.</w:t>
      </w:r>
      <w:r>
        <w:rPr>
          <w:i/>
          <w:spacing w:val="40"/>
          <w:sz w:val="20"/>
        </w:rPr>
        <w:t> </w:t>
      </w:r>
      <w:r>
        <w:rPr>
          <w:i/>
          <w:sz w:val="20"/>
        </w:rPr>
        <w:t>1-2)”</w:t>
      </w:r>
    </w:p>
    <w:p>
      <w:pPr>
        <w:pStyle w:val="BodyText"/>
        <w:spacing w:line="249" w:lineRule="auto" w:before="60"/>
        <w:ind w:right="1439" w:firstLine="493"/>
        <w:jc w:val="both"/>
      </w:pPr>
      <w:r>
        <w:rPr/>
        <w:t>After murdering King Duncan, Macbeth comes to his wife with the dagger, where she takes it back to the guards of Duncan and places them in the guards’ hands. This clearly reveals the courage she carries to make her husband king and to seek her achievement in him. Out of fear Malcom the true heir of the throne, escapes to England, and hence Macbeth is made the King of Scotland.</w:t>
      </w:r>
      <w:r>
        <w:rPr>
          <w:spacing w:val="-6"/>
        </w:rPr>
        <w:t> </w:t>
      </w:r>
      <w:r>
        <w:rPr/>
        <w:t>All the prophecies of the sisters have</w:t>
      </w:r>
      <w:r>
        <w:rPr>
          <w:spacing w:val="-13"/>
        </w:rPr>
        <w:t> </w:t>
      </w:r>
      <w:r>
        <w:rPr/>
        <w:t>been</w:t>
      </w:r>
      <w:r>
        <w:rPr>
          <w:spacing w:val="-12"/>
        </w:rPr>
        <w:t> </w:t>
      </w:r>
      <w:r>
        <w:rPr/>
        <w:t>established</w:t>
      </w:r>
      <w:r>
        <w:rPr>
          <w:spacing w:val="-13"/>
        </w:rPr>
        <w:t> </w:t>
      </w:r>
      <w:r>
        <w:rPr/>
        <w:t>through</w:t>
      </w:r>
      <w:r>
        <w:rPr>
          <w:spacing w:val="-12"/>
        </w:rPr>
        <w:t> </w:t>
      </w:r>
      <w:r>
        <w:rPr/>
        <w:t>natural</w:t>
      </w:r>
      <w:r>
        <w:rPr>
          <w:spacing w:val="-13"/>
        </w:rPr>
        <w:t> </w:t>
      </w:r>
      <w:r>
        <w:rPr/>
        <w:t>means</w:t>
      </w:r>
      <w:r>
        <w:rPr>
          <w:spacing w:val="-12"/>
        </w:rPr>
        <w:t> </w:t>
      </w:r>
      <w:r>
        <w:rPr/>
        <w:t>or</w:t>
      </w:r>
      <w:r>
        <w:rPr>
          <w:spacing w:val="-13"/>
        </w:rPr>
        <w:t> </w:t>
      </w:r>
      <w:r>
        <w:rPr/>
        <w:t>through</w:t>
      </w:r>
      <w:r>
        <w:rPr>
          <w:spacing w:val="-12"/>
        </w:rPr>
        <w:t> </w:t>
      </w:r>
      <w:r>
        <w:rPr/>
        <w:t>the</w:t>
      </w:r>
      <w:r>
        <w:rPr>
          <w:spacing w:val="-13"/>
        </w:rPr>
        <w:t> </w:t>
      </w:r>
      <w:r>
        <w:rPr/>
        <w:t>manipulative actions</w:t>
      </w:r>
      <w:r>
        <w:rPr>
          <w:spacing w:val="40"/>
        </w:rPr>
        <w:t> </w:t>
      </w:r>
      <w:r>
        <w:rPr/>
        <w:t>of</w:t>
      </w:r>
      <w:r>
        <w:rPr>
          <w:spacing w:val="40"/>
        </w:rPr>
        <w:t> </w:t>
      </w:r>
      <w:r>
        <w:rPr/>
        <w:t>Lady</w:t>
      </w:r>
      <w:r>
        <w:rPr>
          <w:spacing w:val="40"/>
        </w:rPr>
        <w:t> </w:t>
      </w:r>
      <w:r>
        <w:rPr/>
        <w:t>Macbeth.</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15680">
                <wp:simplePos x="0" y="0"/>
                <wp:positionH relativeFrom="page">
                  <wp:posOffset>2065020</wp:posOffset>
                </wp:positionH>
                <wp:positionV relativeFrom="paragraph">
                  <wp:posOffset>795020</wp:posOffset>
                </wp:positionV>
                <wp:extent cx="3657600" cy="12700"/>
                <wp:effectExtent l="0" t="0" r="0" b="0"/>
                <wp:wrapTopAndBottom/>
                <wp:docPr id="628" name="Graphic 628"/>
                <wp:cNvGraphicFramePr>
                  <a:graphicFrameLocks/>
                </wp:cNvGraphicFramePr>
                <a:graphic>
                  <a:graphicData uri="http://schemas.microsoft.com/office/word/2010/wordprocessingShape">
                    <wps:wsp>
                      <wps:cNvPr id="628" name="Graphic 62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500800;mso-wrap-distance-left:0;mso-wrap-distance-right:0" id="docshape620" filled="true" fillcolor="#000000" stroked="false">
                <v:fill type="solid"/>
                <w10:wrap type="topAndBottom"/>
              </v:rect>
            </w:pict>
          </mc:Fallback>
        </mc:AlternateContent>
      </w:r>
      <w:r>
        <w:rPr>
          <w:rFonts w:ascii="Verdana" w:hAnsi="Verdana"/>
          <w:sz w:val="18"/>
        </w:rPr>
        <w:t>Women’s Stereotypes</w:t>
      </w:r>
      <w:r>
        <w:rPr>
          <w:rFonts w:ascii="Verdana" w:hAnsi="Verdana"/>
          <w:spacing w:val="1"/>
          <w:sz w:val="18"/>
        </w:rPr>
        <w:t> </w:t>
      </w:r>
      <w:r>
        <w:rPr>
          <w:rFonts w:ascii="Verdana" w:hAnsi="Verdana"/>
          <w:sz w:val="18"/>
        </w:rPr>
        <w:t>and</w:t>
      </w:r>
      <w:r>
        <w:rPr>
          <w:rFonts w:ascii="Verdana" w:hAnsi="Verdana"/>
          <w:spacing w:val="3"/>
          <w:sz w:val="18"/>
        </w:rPr>
        <w:t> </w:t>
      </w:r>
      <w:r>
        <w:rPr>
          <w:rFonts w:ascii="Verdana" w:hAnsi="Verdana"/>
          <w:sz w:val="18"/>
        </w:rPr>
        <w:t>Tropes in</w:t>
      </w:r>
      <w:r>
        <w:rPr>
          <w:rFonts w:ascii="Verdana" w:hAnsi="Verdana"/>
          <w:spacing w:val="2"/>
          <w:sz w:val="18"/>
        </w:rPr>
        <w:t> </w:t>
      </w:r>
      <w:r>
        <w:rPr>
          <w:rFonts w:ascii="Verdana" w:hAnsi="Verdana"/>
          <w:spacing w:val="-2"/>
          <w:sz w:val="18"/>
        </w:rPr>
        <w:t>Shakespeare’s...</w:t>
      </w:r>
      <w:r>
        <w:rPr>
          <w:sz w:val="18"/>
        </w:rPr>
        <w:tab/>
      </w:r>
      <w:r>
        <w:rPr>
          <w:rFonts w:ascii="Verdana" w:hAnsi="Verdana"/>
          <w:spacing w:val="-5"/>
          <w:sz w:val="18"/>
        </w:rPr>
        <w:t>303</w:t>
      </w:r>
    </w:p>
    <w:p>
      <w:pPr>
        <w:pStyle w:val="Heading3"/>
        <w:ind w:right="1437"/>
      </w:pPr>
      <w:r>
        <w:rPr>
          <w:w w:val="90"/>
        </w:rPr>
        <w:t>LADY</w:t>
      </w:r>
      <w:r>
        <w:rPr/>
        <w:t> </w:t>
      </w:r>
      <w:r>
        <w:rPr>
          <w:w w:val="90"/>
        </w:rPr>
        <w:t>MACBETH SYMBOLICALLY</w:t>
      </w:r>
      <w:r>
        <w:rPr/>
        <w:t> </w:t>
      </w:r>
      <w:r>
        <w:rPr>
          <w:w w:val="90"/>
        </w:rPr>
        <w:t>ADDRESSES</w:t>
      </w:r>
      <w:r>
        <w:rPr/>
        <w:t> </w:t>
      </w:r>
      <w:r>
        <w:rPr>
          <w:w w:val="90"/>
        </w:rPr>
        <w:t>HERSELF </w:t>
      </w:r>
      <w:r>
        <w:rPr/>
        <w:t>AS A MAN</w:t>
      </w:r>
    </w:p>
    <w:p>
      <w:pPr>
        <w:pStyle w:val="BodyText"/>
        <w:spacing w:line="266" w:lineRule="auto" w:before="83"/>
        <w:ind w:right="1437" w:firstLine="432"/>
        <w:jc w:val="both"/>
      </w:pPr>
      <w:r>
        <w:rPr/>
        <w:t>Once Lady Macbeth learns about the prophecies, she gains new energy and a mindset in which</w:t>
      </w:r>
      <w:r>
        <w:rPr>
          <w:spacing w:val="-1"/>
        </w:rPr>
        <w:t> </w:t>
      </w:r>
      <w:r>
        <w:rPr/>
        <w:t>she no longer considers</w:t>
      </w:r>
      <w:r>
        <w:rPr>
          <w:spacing w:val="-1"/>
        </w:rPr>
        <w:t> </w:t>
      </w:r>
      <w:r>
        <w:rPr/>
        <w:t>herself a fragile woman as society sees her. She takes on a masculine role, in fact becoming Macbeth’s husband in shaping their path to ascend the</w:t>
      </w:r>
      <w:r>
        <w:rPr>
          <w:spacing w:val="40"/>
        </w:rPr>
        <w:t> </w:t>
      </w:r>
      <w:r>
        <w:rPr/>
        <w:t>throne. Macbeth follows Lady Macbeth’s instructions in implementing the plans and executing the plots, even taking the lives of innocent people, including children and women,</w:t>
      </w:r>
      <w:r>
        <w:rPr>
          <w:spacing w:val="40"/>
        </w:rPr>
        <w:t> </w:t>
      </w:r>
      <w:r>
        <w:rPr/>
        <w:t>along with King Duncan.</w:t>
      </w:r>
    </w:p>
    <w:p>
      <w:pPr>
        <w:spacing w:before="64"/>
        <w:ind w:left="2160" w:right="0" w:firstLine="0"/>
        <w:jc w:val="both"/>
        <w:rPr>
          <w:i/>
          <w:sz w:val="20"/>
        </w:rPr>
      </w:pPr>
      <w:r>
        <w:rPr>
          <w:i/>
          <w:sz w:val="20"/>
        </w:rPr>
        <w:t>“Come,</w:t>
      </w:r>
      <w:r>
        <w:rPr>
          <w:i/>
          <w:spacing w:val="24"/>
          <w:sz w:val="20"/>
        </w:rPr>
        <w:t> </w:t>
      </w:r>
      <w:r>
        <w:rPr>
          <w:i/>
          <w:sz w:val="20"/>
        </w:rPr>
        <w:t>you</w:t>
      </w:r>
      <w:r>
        <w:rPr>
          <w:i/>
          <w:spacing w:val="27"/>
          <w:sz w:val="20"/>
        </w:rPr>
        <w:t> </w:t>
      </w:r>
      <w:r>
        <w:rPr>
          <w:i/>
          <w:spacing w:val="-2"/>
          <w:sz w:val="20"/>
        </w:rPr>
        <w:t>spirits</w:t>
      </w:r>
    </w:p>
    <w:p>
      <w:pPr>
        <w:spacing w:line="326" w:lineRule="auto" w:before="84"/>
        <w:ind w:left="2160" w:right="2609" w:firstLine="0"/>
        <w:jc w:val="both"/>
        <w:rPr>
          <w:i/>
          <w:sz w:val="20"/>
        </w:rPr>
      </w:pPr>
      <w:r>
        <w:rPr>
          <w:i/>
          <w:sz w:val="20"/>
        </w:rPr>
        <w:t>That tend on mortal thoughts, unsex me here, And fill me from the crown to the toe top-full</w:t>
      </w:r>
      <w:r>
        <w:rPr>
          <w:i/>
          <w:spacing w:val="80"/>
          <w:sz w:val="20"/>
        </w:rPr>
        <w:t> </w:t>
      </w:r>
      <w:r>
        <w:rPr>
          <w:i/>
          <w:sz w:val="20"/>
        </w:rPr>
        <w:t>Of</w:t>
      </w:r>
      <w:r>
        <w:rPr>
          <w:i/>
          <w:spacing w:val="39"/>
          <w:sz w:val="20"/>
        </w:rPr>
        <w:t> </w:t>
      </w:r>
      <w:r>
        <w:rPr>
          <w:i/>
          <w:sz w:val="20"/>
        </w:rPr>
        <w:t>direst</w:t>
      </w:r>
      <w:r>
        <w:rPr>
          <w:i/>
          <w:spacing w:val="40"/>
          <w:sz w:val="20"/>
        </w:rPr>
        <w:t> </w:t>
      </w:r>
      <w:r>
        <w:rPr>
          <w:i/>
          <w:sz w:val="20"/>
        </w:rPr>
        <w:t>cruelty.</w:t>
      </w:r>
      <w:r>
        <w:rPr>
          <w:i/>
          <w:spacing w:val="40"/>
          <w:sz w:val="20"/>
        </w:rPr>
        <w:t> </w:t>
      </w:r>
      <w:r>
        <w:rPr>
          <w:i/>
          <w:sz w:val="20"/>
        </w:rPr>
        <w:t>(</w:t>
      </w:r>
      <w:r>
        <w:rPr>
          <w:i/>
          <w:spacing w:val="38"/>
          <w:sz w:val="20"/>
        </w:rPr>
        <w:t> </w:t>
      </w:r>
      <w:r>
        <w:rPr>
          <w:i/>
          <w:sz w:val="20"/>
        </w:rPr>
        <w:t>Shakespeare</w:t>
      </w:r>
      <w:r>
        <w:rPr>
          <w:i/>
          <w:spacing w:val="40"/>
          <w:sz w:val="20"/>
        </w:rPr>
        <w:t> </w:t>
      </w:r>
      <w:r>
        <w:rPr>
          <w:i/>
          <w:sz w:val="20"/>
        </w:rPr>
        <w:t>1.5.</w:t>
      </w:r>
      <w:r>
        <w:rPr>
          <w:i/>
          <w:spacing w:val="40"/>
          <w:sz w:val="20"/>
        </w:rPr>
        <w:t> </w:t>
      </w:r>
      <w:r>
        <w:rPr>
          <w:i/>
          <w:sz w:val="20"/>
        </w:rPr>
        <w:t>40-43)”</w:t>
      </w:r>
    </w:p>
    <w:p>
      <w:pPr>
        <w:pStyle w:val="BodyText"/>
        <w:spacing w:line="266" w:lineRule="auto" w:before="2"/>
        <w:ind w:right="1438" w:firstLine="432"/>
        <w:jc w:val="both"/>
      </w:pPr>
      <w:r>
        <w:rPr/>
        <w:t>In the above lines, Lady Macbeth requests the spirits not to consider her a woman, but rather to fill her with</w:t>
      </w:r>
      <w:r>
        <w:rPr>
          <w:spacing w:val="-1"/>
        </w:rPr>
        <w:t> </w:t>
      </w:r>
      <w:r>
        <w:rPr/>
        <w:t>inhuman cruelty. Lady Macbeth</w:t>
      </w:r>
      <w:r>
        <w:rPr>
          <w:spacing w:val="-13"/>
        </w:rPr>
        <w:t> </w:t>
      </w:r>
      <w:r>
        <w:rPr/>
        <w:t>scorns</w:t>
      </w:r>
      <w:r>
        <w:rPr>
          <w:spacing w:val="-12"/>
        </w:rPr>
        <w:t> </w:t>
      </w:r>
      <w:r>
        <w:rPr/>
        <w:t>Macbeth</w:t>
      </w:r>
      <w:r>
        <w:rPr>
          <w:spacing w:val="-13"/>
        </w:rPr>
        <w:t> </w:t>
      </w:r>
      <w:r>
        <w:rPr/>
        <w:t>for</w:t>
      </w:r>
      <w:r>
        <w:rPr>
          <w:spacing w:val="-12"/>
        </w:rPr>
        <w:t> </w:t>
      </w:r>
      <w:r>
        <w:rPr/>
        <w:t>hesitating</w:t>
      </w:r>
      <w:r>
        <w:rPr>
          <w:spacing w:val="-13"/>
        </w:rPr>
        <w:t> </w:t>
      </w:r>
      <w:r>
        <w:rPr/>
        <w:t>to</w:t>
      </w:r>
      <w:r>
        <w:rPr>
          <w:spacing w:val="-12"/>
        </w:rPr>
        <w:t> </w:t>
      </w:r>
      <w:r>
        <w:rPr/>
        <w:t>murder</w:t>
      </w:r>
      <w:r>
        <w:rPr>
          <w:spacing w:val="-13"/>
        </w:rPr>
        <w:t> </w:t>
      </w:r>
      <w:r>
        <w:rPr/>
        <w:t>King</w:t>
      </w:r>
      <w:r>
        <w:rPr>
          <w:spacing w:val="-12"/>
        </w:rPr>
        <w:t> </w:t>
      </w:r>
      <w:r>
        <w:rPr/>
        <w:t>Duncan,</w:t>
      </w:r>
      <w:r>
        <w:rPr>
          <w:spacing w:val="-13"/>
        </w:rPr>
        <w:t> </w:t>
      </w:r>
      <w:r>
        <w:rPr/>
        <w:t>showing that she has naturally taken over by a masculine mindset to scorn a person</w:t>
      </w:r>
      <w:r>
        <w:rPr>
          <w:spacing w:val="40"/>
        </w:rPr>
        <w:t> </w:t>
      </w:r>
      <w:r>
        <w:rPr/>
        <w:t>who</w:t>
      </w:r>
      <w:r>
        <w:rPr>
          <w:spacing w:val="40"/>
        </w:rPr>
        <w:t> </w:t>
      </w:r>
      <w:r>
        <w:rPr/>
        <w:t>lacks</w:t>
      </w:r>
      <w:r>
        <w:rPr>
          <w:spacing w:val="40"/>
        </w:rPr>
        <w:t> </w:t>
      </w:r>
      <w:r>
        <w:rPr/>
        <w:t>the</w:t>
      </w:r>
      <w:r>
        <w:rPr>
          <w:spacing w:val="40"/>
        </w:rPr>
        <w:t> </w:t>
      </w:r>
      <w:r>
        <w:rPr/>
        <w:t>courage</w:t>
      </w:r>
      <w:r>
        <w:rPr>
          <w:spacing w:val="40"/>
        </w:rPr>
        <w:t> </w:t>
      </w:r>
      <w:r>
        <w:rPr/>
        <w:t>to</w:t>
      </w:r>
      <w:r>
        <w:rPr>
          <w:spacing w:val="40"/>
        </w:rPr>
        <w:t> </w:t>
      </w:r>
      <w:r>
        <w:rPr/>
        <w:t>act</w:t>
      </w:r>
      <w:r>
        <w:rPr>
          <w:spacing w:val="40"/>
        </w:rPr>
        <w:t> </w:t>
      </w:r>
      <w:r>
        <w:rPr/>
        <w:t>on</w:t>
      </w:r>
      <w:r>
        <w:rPr>
          <w:spacing w:val="40"/>
        </w:rPr>
        <w:t> </w:t>
      </w:r>
      <w:r>
        <w:rPr/>
        <w:t>a</w:t>
      </w:r>
      <w:r>
        <w:rPr>
          <w:spacing w:val="40"/>
        </w:rPr>
        <w:t> </w:t>
      </w:r>
      <w:r>
        <w:rPr/>
        <w:t>plan.</w:t>
      </w:r>
    </w:p>
    <w:p>
      <w:pPr>
        <w:spacing w:before="63"/>
        <w:ind w:left="2160" w:right="0" w:firstLine="0"/>
        <w:jc w:val="both"/>
        <w:rPr>
          <w:i/>
          <w:sz w:val="20"/>
        </w:rPr>
      </w:pPr>
      <w:r>
        <w:rPr>
          <w:i/>
          <w:sz w:val="20"/>
        </w:rPr>
        <w:t>“What’s</w:t>
      </w:r>
      <w:r>
        <w:rPr>
          <w:i/>
          <w:spacing w:val="23"/>
          <w:sz w:val="20"/>
        </w:rPr>
        <w:t> </w:t>
      </w:r>
      <w:r>
        <w:rPr>
          <w:i/>
          <w:sz w:val="20"/>
        </w:rPr>
        <w:t>done</w:t>
      </w:r>
      <w:r>
        <w:rPr>
          <w:i/>
          <w:spacing w:val="25"/>
          <w:sz w:val="20"/>
        </w:rPr>
        <w:t> </w:t>
      </w:r>
      <w:r>
        <w:rPr>
          <w:i/>
          <w:sz w:val="20"/>
        </w:rPr>
        <w:t>cannot</w:t>
      </w:r>
      <w:r>
        <w:rPr>
          <w:i/>
          <w:spacing w:val="23"/>
          <w:sz w:val="20"/>
        </w:rPr>
        <w:t> </w:t>
      </w:r>
      <w:r>
        <w:rPr>
          <w:i/>
          <w:sz w:val="20"/>
        </w:rPr>
        <w:t>be</w:t>
      </w:r>
      <w:r>
        <w:rPr>
          <w:i/>
          <w:spacing w:val="27"/>
          <w:sz w:val="20"/>
        </w:rPr>
        <w:t> </w:t>
      </w:r>
      <w:r>
        <w:rPr>
          <w:i/>
          <w:spacing w:val="-2"/>
          <w:sz w:val="20"/>
        </w:rPr>
        <w:t>undone.</w:t>
      </w:r>
    </w:p>
    <w:p>
      <w:pPr>
        <w:spacing w:before="27"/>
        <w:ind w:left="3861" w:right="0" w:firstLine="0"/>
        <w:jc w:val="both"/>
        <w:rPr>
          <w:i/>
          <w:sz w:val="20"/>
        </w:rPr>
      </w:pPr>
      <w:r>
        <w:rPr>
          <w:i/>
          <w:sz w:val="20"/>
        </w:rPr>
        <w:t>(Shakespeare</w:t>
      </w:r>
      <w:r>
        <w:rPr>
          <w:i/>
          <w:spacing w:val="23"/>
          <w:sz w:val="20"/>
        </w:rPr>
        <w:t> </w:t>
      </w:r>
      <w:r>
        <w:rPr>
          <w:i/>
          <w:sz w:val="20"/>
        </w:rPr>
        <w:t>5.1.</w:t>
      </w:r>
      <w:r>
        <w:rPr>
          <w:i/>
          <w:spacing w:val="21"/>
          <w:sz w:val="20"/>
        </w:rPr>
        <w:t> </w:t>
      </w:r>
      <w:r>
        <w:rPr>
          <w:i/>
          <w:spacing w:val="-4"/>
          <w:sz w:val="20"/>
        </w:rPr>
        <w:t>70)”</w:t>
      </w:r>
    </w:p>
    <w:p>
      <w:pPr>
        <w:pStyle w:val="BodyText"/>
        <w:spacing w:line="266" w:lineRule="auto" w:before="82"/>
        <w:ind w:right="1438" w:firstLine="432"/>
        <w:jc w:val="both"/>
      </w:pPr>
      <w:r>
        <w:rPr/>
        <w:t>Lady Macbeth was pressured to take masculine qualities by the society’s pre-decided women stereotypes and restricting them to personal life and domestic progress, which has made Lady Macbeth undergo a new self, where she recognises herself as what the society does not hope to see in her or in any woman. Lady Macbeth shifts her thought process to achieve what she can and to break away from the norms</w:t>
      </w:r>
      <w:r>
        <w:rPr>
          <w:spacing w:val="40"/>
        </w:rPr>
        <w:t> </w:t>
      </w:r>
      <w:r>
        <w:rPr/>
        <w:t>and</w:t>
      </w:r>
      <w:r>
        <w:rPr>
          <w:spacing w:val="40"/>
        </w:rPr>
        <w:t> </w:t>
      </w:r>
      <w:r>
        <w:rPr/>
        <w:t>the</w:t>
      </w:r>
      <w:r>
        <w:rPr>
          <w:spacing w:val="40"/>
        </w:rPr>
        <w:t> </w:t>
      </w:r>
      <w:r>
        <w:rPr/>
        <w:t>beliefs</w:t>
      </w:r>
      <w:r>
        <w:rPr>
          <w:spacing w:val="40"/>
        </w:rPr>
        <w:t> </w:t>
      </w:r>
      <w:r>
        <w:rPr/>
        <w:t>of</w:t>
      </w:r>
      <w:r>
        <w:rPr>
          <w:spacing w:val="40"/>
        </w:rPr>
        <w:t> </w:t>
      </w:r>
      <w:r>
        <w:rPr/>
        <w:t>the</w:t>
      </w:r>
      <w:r>
        <w:rPr>
          <w:spacing w:val="40"/>
        </w:rPr>
        <w:t> </w:t>
      </w:r>
      <w:r>
        <w:rPr/>
        <w:t>past</w:t>
      </w:r>
      <w:r>
        <w:rPr>
          <w:spacing w:val="40"/>
        </w:rPr>
        <w:t> </w:t>
      </w:r>
      <w:r>
        <w:rPr/>
        <w:t>generations.</w:t>
      </w:r>
    </w:p>
    <w:p>
      <w:pPr>
        <w:pStyle w:val="Heading3"/>
        <w:spacing w:line="254" w:lineRule="auto" w:before="162"/>
        <w:ind w:right="1437"/>
      </w:pPr>
      <w:r>
        <w:rPr>
          <w:spacing w:val="-2"/>
          <w:w w:val="90"/>
        </w:rPr>
        <w:t>MACBETH</w:t>
      </w:r>
      <w:r>
        <w:rPr>
          <w:spacing w:val="-6"/>
          <w:w w:val="90"/>
        </w:rPr>
        <w:t> </w:t>
      </w:r>
      <w:r>
        <w:rPr>
          <w:spacing w:val="-2"/>
          <w:w w:val="90"/>
        </w:rPr>
        <w:t>IS</w:t>
      </w:r>
      <w:r>
        <w:rPr>
          <w:spacing w:val="-6"/>
          <w:w w:val="90"/>
        </w:rPr>
        <w:t> </w:t>
      </w:r>
      <w:r>
        <w:rPr>
          <w:spacing w:val="-2"/>
          <w:w w:val="90"/>
        </w:rPr>
        <w:t>ISOLATED</w:t>
      </w:r>
      <w:r>
        <w:rPr>
          <w:spacing w:val="-6"/>
          <w:w w:val="90"/>
        </w:rPr>
        <w:t> </w:t>
      </w:r>
      <w:r>
        <w:rPr>
          <w:spacing w:val="-2"/>
          <w:w w:val="90"/>
        </w:rPr>
        <w:t>TO</w:t>
      </w:r>
      <w:r>
        <w:rPr>
          <w:spacing w:val="-5"/>
          <w:w w:val="90"/>
        </w:rPr>
        <w:t> </w:t>
      </w:r>
      <w:r>
        <w:rPr>
          <w:spacing w:val="-2"/>
          <w:w w:val="90"/>
        </w:rPr>
        <w:t>PROTECT</w:t>
      </w:r>
      <w:r>
        <w:rPr>
          <w:spacing w:val="-6"/>
          <w:w w:val="90"/>
        </w:rPr>
        <w:t> </w:t>
      </w:r>
      <w:r>
        <w:rPr>
          <w:spacing w:val="-2"/>
          <w:w w:val="90"/>
        </w:rPr>
        <w:t>HIS</w:t>
      </w:r>
      <w:r>
        <w:rPr>
          <w:spacing w:val="-6"/>
          <w:w w:val="90"/>
        </w:rPr>
        <w:t> </w:t>
      </w:r>
      <w:r>
        <w:rPr>
          <w:spacing w:val="-2"/>
          <w:w w:val="90"/>
        </w:rPr>
        <w:t>POWER</w:t>
      </w:r>
      <w:r>
        <w:rPr>
          <w:spacing w:val="-6"/>
          <w:w w:val="90"/>
        </w:rPr>
        <w:t> </w:t>
      </w:r>
      <w:r>
        <w:rPr>
          <w:spacing w:val="-2"/>
          <w:w w:val="90"/>
        </w:rPr>
        <w:t>AFTER </w:t>
      </w:r>
      <w:r>
        <w:rPr>
          <w:w w:val="95"/>
        </w:rPr>
        <w:t>LADY MACBETH’S DEMISE</w:t>
      </w:r>
    </w:p>
    <w:p>
      <w:pPr>
        <w:pStyle w:val="BodyText"/>
        <w:spacing w:line="266" w:lineRule="auto" w:before="74"/>
        <w:ind w:right="1438" w:firstLine="432"/>
        <w:jc w:val="both"/>
      </w:pPr>
      <w:r>
        <w:rPr/>
        <w:t>Macbeth</w:t>
      </w:r>
      <w:r>
        <w:rPr>
          <w:spacing w:val="19"/>
        </w:rPr>
        <w:t> </w:t>
      </w:r>
      <w:r>
        <w:rPr/>
        <w:t>fell</w:t>
      </w:r>
      <w:r>
        <w:rPr>
          <w:spacing w:val="20"/>
        </w:rPr>
        <w:t> </w:t>
      </w:r>
      <w:r>
        <w:rPr/>
        <w:t>for</w:t>
      </w:r>
      <w:r>
        <w:rPr>
          <w:spacing w:val="20"/>
        </w:rPr>
        <w:t> </w:t>
      </w:r>
      <w:r>
        <w:rPr/>
        <w:t>the</w:t>
      </w:r>
      <w:r>
        <w:rPr>
          <w:spacing w:val="19"/>
        </w:rPr>
        <w:t> </w:t>
      </w:r>
      <w:r>
        <w:rPr/>
        <w:t>prophecies</w:t>
      </w:r>
      <w:r>
        <w:rPr>
          <w:spacing w:val="19"/>
        </w:rPr>
        <w:t> </w:t>
      </w:r>
      <w:r>
        <w:rPr/>
        <w:t>of</w:t>
      </w:r>
      <w:r>
        <w:rPr>
          <w:spacing w:val="20"/>
        </w:rPr>
        <w:t> </w:t>
      </w:r>
      <w:r>
        <w:rPr/>
        <w:t>the</w:t>
      </w:r>
      <w:r>
        <w:rPr>
          <w:spacing w:val="21"/>
        </w:rPr>
        <w:t> </w:t>
      </w:r>
      <w:r>
        <w:rPr/>
        <w:t>three</w:t>
      </w:r>
      <w:r>
        <w:rPr>
          <w:spacing w:val="20"/>
        </w:rPr>
        <w:t> </w:t>
      </w:r>
      <w:r>
        <w:rPr/>
        <w:t>women</w:t>
      </w:r>
      <w:r>
        <w:rPr>
          <w:spacing w:val="19"/>
        </w:rPr>
        <w:t> </w:t>
      </w:r>
      <w:r>
        <w:rPr/>
        <w:t>who</w:t>
      </w:r>
      <w:r>
        <w:rPr>
          <w:spacing w:val="22"/>
        </w:rPr>
        <w:t> </w:t>
      </w:r>
      <w:r>
        <w:rPr/>
        <w:t>played a crucial role in a strong and mighty man’s life through their words of power. Macbeth</w:t>
      </w:r>
      <w:r>
        <w:rPr>
          <w:spacing w:val="-3"/>
        </w:rPr>
        <w:t> </w:t>
      </w:r>
      <w:r>
        <w:rPr/>
        <w:t>has</w:t>
      </w:r>
      <w:r>
        <w:rPr>
          <w:spacing w:val="-1"/>
        </w:rPr>
        <w:t> </w:t>
      </w:r>
      <w:r>
        <w:rPr/>
        <w:t>become a</w:t>
      </w:r>
      <w:r>
        <w:rPr>
          <w:spacing w:val="-2"/>
        </w:rPr>
        <w:t> </w:t>
      </w:r>
      <w:r>
        <w:rPr/>
        <w:t>slave to the</w:t>
      </w:r>
      <w:r>
        <w:rPr>
          <w:spacing w:val="-1"/>
        </w:rPr>
        <w:t> </w:t>
      </w:r>
      <w:r>
        <w:rPr/>
        <w:t>predictions</w:t>
      </w:r>
      <w:r>
        <w:rPr>
          <w:spacing w:val="-1"/>
        </w:rPr>
        <w:t> </w:t>
      </w:r>
      <w:r>
        <w:rPr/>
        <w:t>and is</w:t>
      </w:r>
      <w:r>
        <w:rPr>
          <w:spacing w:val="-3"/>
        </w:rPr>
        <w:t> </w:t>
      </w:r>
      <w:r>
        <w:rPr/>
        <w:t>after them to</w:t>
      </w:r>
      <w:r>
        <w:rPr>
          <w:spacing w:val="-13"/>
        </w:rPr>
        <w:t> </w:t>
      </w:r>
      <w:r>
        <w:rPr/>
        <w:t>be</w:t>
      </w:r>
      <w:r>
        <w:rPr>
          <w:spacing w:val="-12"/>
        </w:rPr>
        <w:t> </w:t>
      </w:r>
      <w:r>
        <w:rPr/>
        <w:t>manifested</w:t>
      </w:r>
      <w:r>
        <w:rPr>
          <w:spacing w:val="-13"/>
        </w:rPr>
        <w:t> </w:t>
      </w:r>
      <w:r>
        <w:rPr/>
        <w:t>in</w:t>
      </w:r>
      <w:r>
        <w:rPr>
          <w:spacing w:val="-12"/>
        </w:rPr>
        <w:t> </w:t>
      </w:r>
      <w:r>
        <w:rPr/>
        <w:t>his</w:t>
      </w:r>
      <w:r>
        <w:rPr>
          <w:spacing w:val="-13"/>
        </w:rPr>
        <w:t> </w:t>
      </w:r>
      <w:r>
        <w:rPr/>
        <w:t>life,</w:t>
      </w:r>
      <w:r>
        <w:rPr>
          <w:spacing w:val="-12"/>
        </w:rPr>
        <w:t> </w:t>
      </w:r>
      <w:r>
        <w:rPr/>
        <w:t>along</w:t>
      </w:r>
      <w:r>
        <w:rPr>
          <w:spacing w:val="-13"/>
        </w:rPr>
        <w:t> </w:t>
      </w:r>
      <w:r>
        <w:rPr/>
        <w:t>with</w:t>
      </w:r>
      <w:r>
        <w:rPr>
          <w:spacing w:val="-12"/>
        </w:rPr>
        <w:t> </w:t>
      </w:r>
      <w:r>
        <w:rPr/>
        <w:t>his</w:t>
      </w:r>
      <w:r>
        <w:rPr>
          <w:spacing w:val="-13"/>
        </w:rPr>
        <w:t> </w:t>
      </w:r>
      <w:r>
        <w:rPr/>
        <w:t>wife’s</w:t>
      </w:r>
      <w:r>
        <w:rPr>
          <w:spacing w:val="-12"/>
        </w:rPr>
        <w:t> </w:t>
      </w:r>
      <w:r>
        <w:rPr/>
        <w:t>support.</w:t>
      </w:r>
      <w:r>
        <w:rPr>
          <w:spacing w:val="-12"/>
        </w:rPr>
        <w:t> </w:t>
      </w:r>
      <w:r>
        <w:rPr/>
        <w:t>Lady</w:t>
      </w:r>
      <w:r>
        <w:rPr>
          <w:spacing w:val="-13"/>
        </w:rPr>
        <w:t> </w:t>
      </w:r>
      <w:r>
        <w:rPr/>
        <w:t>Macbeth, from the beginning, encourages him to be a man of valour and act on their</w:t>
      </w:r>
      <w:r>
        <w:rPr>
          <w:spacing w:val="40"/>
        </w:rPr>
        <w:t> </w:t>
      </w:r>
      <w:r>
        <w:rPr/>
        <w:t>plots</w:t>
      </w:r>
      <w:r>
        <w:rPr>
          <w:spacing w:val="40"/>
        </w:rPr>
        <w:t> </w:t>
      </w:r>
      <w:r>
        <w:rPr/>
        <w:t>to</w:t>
      </w:r>
      <w:r>
        <w:rPr>
          <w:spacing w:val="40"/>
        </w:rPr>
        <w:t> </w:t>
      </w:r>
      <w:r>
        <w:rPr/>
        <w:t>make</w:t>
      </w:r>
      <w:r>
        <w:rPr>
          <w:spacing w:val="40"/>
        </w:rPr>
        <w:t> </w:t>
      </w:r>
      <w:r>
        <w:rPr/>
        <w:t>their</w:t>
      </w:r>
      <w:r>
        <w:rPr>
          <w:spacing w:val="40"/>
        </w:rPr>
        <w:t> </w:t>
      </w:r>
      <w:r>
        <w:rPr/>
        <w:t>way to</w:t>
      </w:r>
      <w:r>
        <w:rPr>
          <w:spacing w:val="40"/>
        </w:rPr>
        <w:t> </w:t>
      </w:r>
      <w:r>
        <w:rPr/>
        <w:t>the</w:t>
      </w:r>
      <w:r>
        <w:rPr>
          <w:spacing w:val="40"/>
        </w:rPr>
        <w:t> </w:t>
      </w:r>
      <w:r>
        <w:rPr/>
        <w:t>throne.</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16192">
                <wp:simplePos x="0" y="0"/>
                <wp:positionH relativeFrom="page">
                  <wp:posOffset>2057400</wp:posOffset>
                </wp:positionH>
                <wp:positionV relativeFrom="paragraph">
                  <wp:posOffset>162604</wp:posOffset>
                </wp:positionV>
                <wp:extent cx="3657600" cy="12700"/>
                <wp:effectExtent l="0" t="0" r="0" b="0"/>
                <wp:wrapTopAndBottom/>
                <wp:docPr id="629" name="Graphic 629"/>
                <wp:cNvGraphicFramePr>
                  <a:graphicFrameLocks/>
                </wp:cNvGraphicFramePr>
                <a:graphic>
                  <a:graphicData uri="http://schemas.microsoft.com/office/word/2010/wordprocessingShape">
                    <wps:wsp>
                      <wps:cNvPr id="629" name="Graphic 62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500288;mso-wrap-distance-left:0;mso-wrap-distance-right:0" id="docshape621" filled="true" fillcolor="#000000" stroked="false">
                <v:fill type="solid"/>
                <w10:wrap type="topAndBottom"/>
              </v:rect>
            </w:pict>
          </mc:Fallback>
        </mc:AlternateContent>
      </w:r>
      <w:r>
        <w:rPr>
          <w:rFonts w:ascii="Verdana"/>
          <w:spacing w:val="-5"/>
          <w:sz w:val="18"/>
        </w:rPr>
        <w:t>304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before="192"/>
        <w:ind w:left="2160" w:right="0" w:firstLine="0"/>
        <w:jc w:val="left"/>
        <w:rPr>
          <w:i/>
          <w:sz w:val="20"/>
        </w:rPr>
      </w:pPr>
      <w:r>
        <w:rPr>
          <w:i/>
          <w:sz w:val="20"/>
        </w:rPr>
        <w:t>“Is</w:t>
      </w:r>
      <w:r>
        <w:rPr>
          <w:i/>
          <w:spacing w:val="22"/>
          <w:sz w:val="20"/>
        </w:rPr>
        <w:t> </w:t>
      </w:r>
      <w:r>
        <w:rPr>
          <w:i/>
          <w:sz w:val="20"/>
        </w:rPr>
        <w:t>this</w:t>
      </w:r>
      <w:r>
        <w:rPr>
          <w:i/>
          <w:spacing w:val="25"/>
          <w:sz w:val="20"/>
        </w:rPr>
        <w:t> </w:t>
      </w:r>
      <w:r>
        <w:rPr>
          <w:i/>
          <w:sz w:val="20"/>
        </w:rPr>
        <w:t>a</w:t>
      </w:r>
      <w:r>
        <w:rPr>
          <w:i/>
          <w:spacing w:val="25"/>
          <w:sz w:val="20"/>
        </w:rPr>
        <w:t> </w:t>
      </w:r>
      <w:r>
        <w:rPr>
          <w:i/>
          <w:sz w:val="20"/>
        </w:rPr>
        <w:t>dagger</w:t>
      </w:r>
      <w:r>
        <w:rPr>
          <w:i/>
          <w:spacing w:val="22"/>
          <w:sz w:val="20"/>
        </w:rPr>
        <w:t> </w:t>
      </w:r>
      <w:r>
        <w:rPr>
          <w:i/>
          <w:sz w:val="20"/>
        </w:rPr>
        <w:t>which</w:t>
      </w:r>
      <w:r>
        <w:rPr>
          <w:i/>
          <w:spacing w:val="25"/>
          <w:sz w:val="20"/>
        </w:rPr>
        <w:t> </w:t>
      </w:r>
      <w:r>
        <w:rPr>
          <w:i/>
          <w:sz w:val="20"/>
        </w:rPr>
        <w:t>I</w:t>
      </w:r>
      <w:r>
        <w:rPr>
          <w:i/>
          <w:spacing w:val="24"/>
          <w:sz w:val="20"/>
        </w:rPr>
        <w:t> </w:t>
      </w:r>
      <w:r>
        <w:rPr>
          <w:i/>
          <w:sz w:val="20"/>
        </w:rPr>
        <w:t>see</w:t>
      </w:r>
      <w:r>
        <w:rPr>
          <w:i/>
          <w:spacing w:val="23"/>
          <w:sz w:val="20"/>
        </w:rPr>
        <w:t> </w:t>
      </w:r>
      <w:r>
        <w:rPr>
          <w:i/>
          <w:sz w:val="20"/>
        </w:rPr>
        <w:t>before</w:t>
      </w:r>
      <w:r>
        <w:rPr>
          <w:i/>
          <w:spacing w:val="23"/>
          <w:sz w:val="20"/>
        </w:rPr>
        <w:t> </w:t>
      </w:r>
      <w:r>
        <w:rPr>
          <w:i/>
          <w:spacing w:val="-5"/>
          <w:sz w:val="20"/>
        </w:rPr>
        <w:t>me,</w:t>
      </w:r>
    </w:p>
    <w:p>
      <w:pPr>
        <w:spacing w:line="249" w:lineRule="auto" w:before="68"/>
        <w:ind w:left="2160" w:right="2159" w:firstLine="0"/>
        <w:jc w:val="left"/>
        <w:rPr>
          <w:i/>
          <w:sz w:val="20"/>
        </w:rPr>
      </w:pPr>
      <w:r>
        <w:rPr>
          <w:i/>
          <w:sz w:val="20"/>
        </w:rPr>
        <w:t>The</w:t>
      </w:r>
      <w:r>
        <w:rPr>
          <w:i/>
          <w:spacing w:val="36"/>
          <w:sz w:val="20"/>
        </w:rPr>
        <w:t> </w:t>
      </w:r>
      <w:r>
        <w:rPr>
          <w:i/>
          <w:sz w:val="20"/>
        </w:rPr>
        <w:t>handle</w:t>
      </w:r>
      <w:r>
        <w:rPr>
          <w:i/>
          <w:spacing w:val="37"/>
          <w:sz w:val="20"/>
        </w:rPr>
        <w:t> </w:t>
      </w:r>
      <w:r>
        <w:rPr>
          <w:i/>
          <w:sz w:val="20"/>
        </w:rPr>
        <w:t>toward</w:t>
      </w:r>
      <w:r>
        <w:rPr>
          <w:i/>
          <w:spacing w:val="36"/>
          <w:sz w:val="20"/>
        </w:rPr>
        <w:t> </w:t>
      </w:r>
      <w:r>
        <w:rPr>
          <w:i/>
          <w:sz w:val="20"/>
        </w:rPr>
        <w:t>my</w:t>
      </w:r>
      <w:r>
        <w:rPr>
          <w:i/>
          <w:spacing w:val="36"/>
          <w:sz w:val="20"/>
        </w:rPr>
        <w:t> </w:t>
      </w:r>
      <w:r>
        <w:rPr>
          <w:i/>
          <w:sz w:val="20"/>
        </w:rPr>
        <w:t>hand?</w:t>
      </w:r>
      <w:r>
        <w:rPr>
          <w:i/>
          <w:spacing w:val="38"/>
          <w:sz w:val="20"/>
        </w:rPr>
        <w:t> </w:t>
      </w:r>
      <w:r>
        <w:rPr>
          <w:i/>
          <w:sz w:val="20"/>
        </w:rPr>
        <w:t>Come,</w:t>
      </w:r>
      <w:r>
        <w:rPr>
          <w:i/>
          <w:spacing w:val="36"/>
          <w:sz w:val="20"/>
        </w:rPr>
        <w:t> </w:t>
      </w:r>
      <w:r>
        <w:rPr>
          <w:i/>
          <w:sz w:val="20"/>
        </w:rPr>
        <w:t>let</w:t>
      </w:r>
      <w:r>
        <w:rPr>
          <w:i/>
          <w:spacing w:val="34"/>
          <w:sz w:val="20"/>
        </w:rPr>
        <w:t> </w:t>
      </w:r>
      <w:r>
        <w:rPr>
          <w:i/>
          <w:sz w:val="20"/>
        </w:rPr>
        <w:t>me</w:t>
      </w:r>
      <w:r>
        <w:rPr>
          <w:i/>
          <w:spacing w:val="36"/>
          <w:sz w:val="20"/>
        </w:rPr>
        <w:t> </w:t>
      </w:r>
      <w:r>
        <w:rPr>
          <w:i/>
          <w:sz w:val="20"/>
        </w:rPr>
        <w:t>clutch </w:t>
      </w:r>
      <w:r>
        <w:rPr>
          <w:i/>
          <w:spacing w:val="-2"/>
          <w:sz w:val="20"/>
        </w:rPr>
        <w:t>thee.</w:t>
      </w:r>
    </w:p>
    <w:p>
      <w:pPr>
        <w:spacing w:line="249" w:lineRule="auto" w:before="59"/>
        <w:ind w:left="2160" w:right="2159" w:firstLine="0"/>
        <w:jc w:val="left"/>
        <w:rPr>
          <w:i/>
          <w:sz w:val="20"/>
        </w:rPr>
      </w:pPr>
      <w:r>
        <w:rPr>
          <w:i/>
          <w:sz w:val="20"/>
        </w:rPr>
        <w:t>I have thee not, and yet I see thee still. ( Shakespeare 2.1.</w:t>
      </w:r>
      <w:r>
        <w:rPr>
          <w:i/>
          <w:spacing w:val="40"/>
          <w:sz w:val="20"/>
        </w:rPr>
        <w:t> </w:t>
      </w:r>
      <w:r>
        <w:rPr>
          <w:i/>
          <w:sz w:val="20"/>
        </w:rPr>
        <w:t>33-35)”</w:t>
      </w:r>
    </w:p>
    <w:p>
      <w:pPr>
        <w:pStyle w:val="BodyText"/>
        <w:spacing w:line="249" w:lineRule="auto" w:before="59"/>
        <w:ind w:right="1439" w:firstLine="432"/>
        <w:jc w:val="both"/>
      </w:pPr>
      <w:r>
        <w:rPr/>
        <w:t>Macbeth was returning from a victorious battle in the initial parts of</w:t>
      </w:r>
      <w:r>
        <w:rPr>
          <w:spacing w:val="-3"/>
        </w:rPr>
        <w:t> </w:t>
      </w:r>
      <w:r>
        <w:rPr/>
        <w:t>the</w:t>
      </w:r>
      <w:r>
        <w:rPr>
          <w:spacing w:val="-1"/>
        </w:rPr>
        <w:t> </w:t>
      </w:r>
      <w:r>
        <w:rPr/>
        <w:t>play,</w:t>
      </w:r>
      <w:r>
        <w:rPr>
          <w:spacing w:val="-2"/>
        </w:rPr>
        <w:t> </w:t>
      </w:r>
      <w:r>
        <w:rPr/>
        <w:t>as</w:t>
      </w:r>
      <w:r>
        <w:rPr>
          <w:spacing w:val="-3"/>
        </w:rPr>
        <w:t> </w:t>
      </w:r>
      <w:r>
        <w:rPr/>
        <w:t>a</w:t>
      </w:r>
      <w:r>
        <w:rPr>
          <w:spacing w:val="-1"/>
        </w:rPr>
        <w:t> </w:t>
      </w:r>
      <w:r>
        <w:rPr/>
        <w:t>warrior, when</w:t>
      </w:r>
      <w:r>
        <w:rPr>
          <w:spacing w:val="-3"/>
        </w:rPr>
        <w:t> </w:t>
      </w:r>
      <w:r>
        <w:rPr/>
        <w:t>Lady</w:t>
      </w:r>
      <w:r>
        <w:rPr>
          <w:spacing w:val="-5"/>
        </w:rPr>
        <w:t> </w:t>
      </w:r>
      <w:r>
        <w:rPr/>
        <w:t>Macbeth</w:t>
      </w:r>
      <w:r>
        <w:rPr>
          <w:spacing w:val="-3"/>
        </w:rPr>
        <w:t> </w:t>
      </w:r>
      <w:r>
        <w:rPr/>
        <w:t>and Macbeth</w:t>
      </w:r>
      <w:r>
        <w:rPr>
          <w:spacing w:val="-3"/>
        </w:rPr>
        <w:t> </w:t>
      </w:r>
      <w:r>
        <w:rPr/>
        <w:t>had</w:t>
      </w:r>
      <w:r>
        <w:rPr>
          <w:spacing w:val="-2"/>
        </w:rPr>
        <w:t> </w:t>
      </w:r>
      <w:r>
        <w:rPr/>
        <w:t>decided to take the life of King Duncan. Lady Macbeth builds strength in Macbeth to do so. Macbeth has been surrounded by women to lead his life forward through the words of the three sisters and through the actions of Lady Macbeth. Suddenly, when Macbeth learns the news</w:t>
      </w:r>
      <w:r>
        <w:rPr>
          <w:spacing w:val="40"/>
        </w:rPr>
        <w:t> </w:t>
      </w:r>
      <w:r>
        <w:rPr/>
        <w:t>that Lady Macbeth, who has been his brain and strength, is no more, Macbeth loses his sense of rationality and is filled with a vacuum. The darkest desires of Macbeth come into full picture, which resembles the shadow of the collective unconscious. Macbeth’s id is disowned by himself and attaches those hidden thoughts to</w:t>
      </w:r>
      <w:r>
        <w:rPr>
          <w:spacing w:val="32"/>
        </w:rPr>
        <w:t> </w:t>
      </w:r>
      <w:r>
        <w:rPr/>
        <w:t>the external factors of</w:t>
      </w:r>
      <w:r>
        <w:rPr>
          <w:spacing w:val="40"/>
        </w:rPr>
        <w:t> </w:t>
      </w:r>
      <w:r>
        <w:rPr/>
        <w:t>the</w:t>
      </w:r>
      <w:r>
        <w:rPr>
          <w:spacing w:val="40"/>
        </w:rPr>
        <w:t> </w:t>
      </w:r>
      <w:r>
        <w:rPr/>
        <w:t>prophecies.</w:t>
      </w:r>
    </w:p>
    <w:p>
      <w:pPr>
        <w:spacing w:line="309" w:lineRule="auto" w:before="70"/>
        <w:ind w:left="2160" w:right="2401" w:firstLine="0"/>
        <w:jc w:val="left"/>
        <w:rPr>
          <w:i/>
          <w:sz w:val="20"/>
        </w:rPr>
      </w:pPr>
      <w:r>
        <w:rPr>
          <w:i/>
          <w:sz w:val="20"/>
        </w:rPr>
        <w:t>“Life’s</w:t>
      </w:r>
      <w:r>
        <w:rPr>
          <w:i/>
          <w:spacing w:val="32"/>
          <w:sz w:val="20"/>
        </w:rPr>
        <w:t> </w:t>
      </w:r>
      <w:r>
        <w:rPr>
          <w:i/>
          <w:sz w:val="20"/>
        </w:rPr>
        <w:t>but</w:t>
      </w:r>
      <w:r>
        <w:rPr>
          <w:i/>
          <w:spacing w:val="30"/>
          <w:sz w:val="20"/>
        </w:rPr>
        <w:t> </w:t>
      </w:r>
      <w:r>
        <w:rPr>
          <w:i/>
          <w:sz w:val="20"/>
        </w:rPr>
        <w:t>a</w:t>
      </w:r>
      <w:r>
        <w:rPr>
          <w:i/>
          <w:spacing w:val="34"/>
          <w:sz w:val="20"/>
        </w:rPr>
        <w:t> </w:t>
      </w:r>
      <w:r>
        <w:rPr>
          <w:i/>
          <w:sz w:val="20"/>
        </w:rPr>
        <w:t>walking</w:t>
      </w:r>
      <w:r>
        <w:rPr>
          <w:i/>
          <w:spacing w:val="30"/>
          <w:sz w:val="20"/>
        </w:rPr>
        <w:t> </w:t>
      </w:r>
      <w:r>
        <w:rPr>
          <w:i/>
          <w:sz w:val="20"/>
        </w:rPr>
        <w:t>shadow,</w:t>
      </w:r>
      <w:r>
        <w:rPr>
          <w:i/>
          <w:spacing w:val="34"/>
          <w:sz w:val="20"/>
        </w:rPr>
        <w:t> </w:t>
      </w:r>
      <w:r>
        <w:rPr>
          <w:i/>
          <w:sz w:val="20"/>
        </w:rPr>
        <w:t>a</w:t>
      </w:r>
      <w:r>
        <w:rPr>
          <w:i/>
          <w:spacing w:val="32"/>
          <w:sz w:val="20"/>
        </w:rPr>
        <w:t> </w:t>
      </w:r>
      <w:r>
        <w:rPr>
          <w:i/>
          <w:sz w:val="20"/>
        </w:rPr>
        <w:t>poor</w:t>
      </w:r>
      <w:r>
        <w:rPr>
          <w:i/>
          <w:spacing w:val="32"/>
          <w:sz w:val="20"/>
        </w:rPr>
        <w:t> </w:t>
      </w:r>
      <w:r>
        <w:rPr>
          <w:i/>
          <w:sz w:val="20"/>
        </w:rPr>
        <w:t>player That</w:t>
      </w:r>
      <w:r>
        <w:rPr>
          <w:i/>
          <w:spacing w:val="28"/>
          <w:sz w:val="20"/>
        </w:rPr>
        <w:t> </w:t>
      </w:r>
      <w:r>
        <w:rPr>
          <w:i/>
          <w:sz w:val="20"/>
        </w:rPr>
        <w:t>struts</w:t>
      </w:r>
      <w:r>
        <w:rPr>
          <w:i/>
          <w:spacing w:val="30"/>
          <w:sz w:val="20"/>
        </w:rPr>
        <w:t> </w:t>
      </w:r>
      <w:r>
        <w:rPr>
          <w:i/>
          <w:sz w:val="20"/>
        </w:rPr>
        <w:t>and</w:t>
      </w:r>
      <w:r>
        <w:rPr>
          <w:i/>
          <w:spacing w:val="28"/>
          <w:sz w:val="20"/>
        </w:rPr>
        <w:t> </w:t>
      </w:r>
      <w:r>
        <w:rPr>
          <w:i/>
          <w:sz w:val="20"/>
        </w:rPr>
        <w:t>frets</w:t>
      </w:r>
      <w:r>
        <w:rPr>
          <w:i/>
          <w:spacing w:val="28"/>
          <w:sz w:val="20"/>
        </w:rPr>
        <w:t> </w:t>
      </w:r>
      <w:r>
        <w:rPr>
          <w:i/>
          <w:sz w:val="20"/>
        </w:rPr>
        <w:t>his</w:t>
      </w:r>
      <w:r>
        <w:rPr>
          <w:i/>
          <w:spacing w:val="30"/>
          <w:sz w:val="20"/>
        </w:rPr>
        <w:t> </w:t>
      </w:r>
      <w:r>
        <w:rPr>
          <w:i/>
          <w:sz w:val="20"/>
        </w:rPr>
        <w:t>hour</w:t>
      </w:r>
      <w:r>
        <w:rPr>
          <w:i/>
          <w:spacing w:val="28"/>
          <w:sz w:val="20"/>
        </w:rPr>
        <w:t> </w:t>
      </w:r>
      <w:r>
        <w:rPr>
          <w:i/>
          <w:sz w:val="20"/>
        </w:rPr>
        <w:t>upon</w:t>
      </w:r>
      <w:r>
        <w:rPr>
          <w:i/>
          <w:spacing w:val="32"/>
          <w:sz w:val="20"/>
        </w:rPr>
        <w:t> </w:t>
      </w:r>
      <w:r>
        <w:rPr>
          <w:i/>
          <w:sz w:val="20"/>
        </w:rPr>
        <w:t>the</w:t>
      </w:r>
      <w:r>
        <w:rPr>
          <w:i/>
          <w:spacing w:val="28"/>
          <w:sz w:val="20"/>
        </w:rPr>
        <w:t> </w:t>
      </w:r>
      <w:r>
        <w:rPr>
          <w:i/>
          <w:sz w:val="20"/>
        </w:rPr>
        <w:t>stage And</w:t>
      </w:r>
      <w:r>
        <w:rPr>
          <w:i/>
          <w:spacing w:val="40"/>
          <w:sz w:val="20"/>
        </w:rPr>
        <w:t> </w:t>
      </w:r>
      <w:r>
        <w:rPr>
          <w:i/>
          <w:sz w:val="20"/>
        </w:rPr>
        <w:t>then</w:t>
      </w:r>
      <w:r>
        <w:rPr>
          <w:i/>
          <w:spacing w:val="40"/>
          <w:sz w:val="20"/>
        </w:rPr>
        <w:t> </w:t>
      </w:r>
      <w:r>
        <w:rPr>
          <w:i/>
          <w:sz w:val="20"/>
        </w:rPr>
        <w:t>is</w:t>
      </w:r>
      <w:r>
        <w:rPr>
          <w:i/>
          <w:spacing w:val="40"/>
          <w:sz w:val="20"/>
        </w:rPr>
        <w:t> </w:t>
      </w:r>
      <w:r>
        <w:rPr>
          <w:i/>
          <w:sz w:val="20"/>
        </w:rPr>
        <w:t>heard</w:t>
      </w:r>
      <w:r>
        <w:rPr>
          <w:i/>
          <w:spacing w:val="40"/>
          <w:sz w:val="20"/>
        </w:rPr>
        <w:t> </w:t>
      </w:r>
      <w:r>
        <w:rPr>
          <w:i/>
          <w:sz w:val="20"/>
        </w:rPr>
        <w:t>no</w:t>
      </w:r>
      <w:r>
        <w:rPr>
          <w:i/>
          <w:spacing w:val="40"/>
          <w:sz w:val="20"/>
        </w:rPr>
        <w:t> </w:t>
      </w:r>
      <w:r>
        <w:rPr>
          <w:i/>
          <w:sz w:val="20"/>
        </w:rPr>
        <w:t>more.</w:t>
      </w:r>
      <w:r>
        <w:rPr>
          <w:i/>
          <w:spacing w:val="40"/>
          <w:sz w:val="20"/>
        </w:rPr>
        <w:t> </w:t>
      </w:r>
      <w:r>
        <w:rPr>
          <w:i/>
          <w:sz w:val="20"/>
        </w:rPr>
        <w:t>It</w:t>
      </w:r>
      <w:r>
        <w:rPr>
          <w:i/>
          <w:spacing w:val="40"/>
          <w:sz w:val="20"/>
        </w:rPr>
        <w:t> </w:t>
      </w:r>
      <w:r>
        <w:rPr>
          <w:i/>
          <w:sz w:val="20"/>
        </w:rPr>
        <w:t>is</w:t>
      </w:r>
      <w:r>
        <w:rPr>
          <w:i/>
          <w:spacing w:val="40"/>
          <w:sz w:val="20"/>
        </w:rPr>
        <w:t> </w:t>
      </w:r>
      <w:r>
        <w:rPr>
          <w:i/>
          <w:sz w:val="20"/>
        </w:rPr>
        <w:t>a</w:t>
      </w:r>
      <w:r>
        <w:rPr>
          <w:i/>
          <w:spacing w:val="40"/>
          <w:sz w:val="20"/>
        </w:rPr>
        <w:t> </w:t>
      </w:r>
      <w:r>
        <w:rPr>
          <w:i/>
          <w:sz w:val="20"/>
        </w:rPr>
        <w:t>tale.</w:t>
      </w:r>
    </w:p>
    <w:p>
      <w:pPr>
        <w:spacing w:line="309" w:lineRule="auto" w:before="3"/>
        <w:ind w:left="2160" w:right="2401" w:firstLine="0"/>
        <w:jc w:val="left"/>
        <w:rPr>
          <w:i/>
          <w:sz w:val="20"/>
        </w:rPr>
      </w:pPr>
      <w:r>
        <w:rPr>
          <w:i/>
          <w:sz w:val="20"/>
        </w:rPr>
        <w:t>Told</w:t>
      </w:r>
      <w:r>
        <w:rPr>
          <w:i/>
          <w:spacing w:val="40"/>
          <w:sz w:val="20"/>
        </w:rPr>
        <w:t> </w:t>
      </w:r>
      <w:r>
        <w:rPr>
          <w:i/>
          <w:sz w:val="20"/>
        </w:rPr>
        <w:t>by</w:t>
      </w:r>
      <w:r>
        <w:rPr>
          <w:i/>
          <w:spacing w:val="40"/>
          <w:sz w:val="20"/>
        </w:rPr>
        <w:t> </w:t>
      </w:r>
      <w:r>
        <w:rPr>
          <w:i/>
          <w:sz w:val="20"/>
        </w:rPr>
        <w:t>an</w:t>
      </w:r>
      <w:r>
        <w:rPr>
          <w:i/>
          <w:spacing w:val="40"/>
          <w:sz w:val="20"/>
        </w:rPr>
        <w:t> </w:t>
      </w:r>
      <w:r>
        <w:rPr>
          <w:i/>
          <w:sz w:val="20"/>
        </w:rPr>
        <w:t>idiot,</w:t>
      </w:r>
      <w:r>
        <w:rPr>
          <w:i/>
          <w:spacing w:val="40"/>
          <w:sz w:val="20"/>
        </w:rPr>
        <w:t> </w:t>
      </w:r>
      <w:r>
        <w:rPr>
          <w:i/>
          <w:sz w:val="20"/>
        </w:rPr>
        <w:t>full</w:t>
      </w:r>
      <w:r>
        <w:rPr>
          <w:i/>
          <w:spacing w:val="40"/>
          <w:sz w:val="20"/>
        </w:rPr>
        <w:t> </w:t>
      </w:r>
      <w:r>
        <w:rPr>
          <w:i/>
          <w:sz w:val="20"/>
        </w:rPr>
        <w:t>of</w:t>
      </w:r>
      <w:r>
        <w:rPr>
          <w:i/>
          <w:spacing w:val="40"/>
          <w:sz w:val="20"/>
        </w:rPr>
        <w:t> </w:t>
      </w:r>
      <w:r>
        <w:rPr>
          <w:i/>
          <w:sz w:val="20"/>
        </w:rPr>
        <w:t>sound</w:t>
      </w:r>
      <w:r>
        <w:rPr>
          <w:i/>
          <w:spacing w:val="40"/>
          <w:sz w:val="20"/>
        </w:rPr>
        <w:t> </w:t>
      </w:r>
      <w:r>
        <w:rPr>
          <w:i/>
          <w:sz w:val="20"/>
        </w:rPr>
        <w:t>and</w:t>
      </w:r>
      <w:r>
        <w:rPr>
          <w:i/>
          <w:spacing w:val="40"/>
          <w:sz w:val="20"/>
        </w:rPr>
        <w:t> </w:t>
      </w:r>
      <w:r>
        <w:rPr>
          <w:i/>
          <w:sz w:val="20"/>
        </w:rPr>
        <w:t>fury, Signifying</w:t>
      </w:r>
      <w:r>
        <w:rPr>
          <w:i/>
          <w:spacing w:val="40"/>
          <w:sz w:val="20"/>
        </w:rPr>
        <w:t> </w:t>
      </w:r>
      <w:r>
        <w:rPr>
          <w:i/>
          <w:sz w:val="20"/>
        </w:rPr>
        <w:t>nothing.</w:t>
      </w:r>
      <w:r>
        <w:rPr>
          <w:i/>
          <w:spacing w:val="40"/>
          <w:sz w:val="20"/>
        </w:rPr>
        <w:t> </w:t>
      </w:r>
      <w:r>
        <w:rPr>
          <w:i/>
          <w:sz w:val="20"/>
        </w:rPr>
        <w:t>(Shakespeare</w:t>
      </w:r>
      <w:r>
        <w:rPr>
          <w:i/>
          <w:spacing w:val="40"/>
          <w:sz w:val="20"/>
        </w:rPr>
        <w:t> </w:t>
      </w:r>
      <w:r>
        <w:rPr>
          <w:i/>
          <w:sz w:val="20"/>
        </w:rPr>
        <w:t>5.5.</w:t>
      </w:r>
      <w:r>
        <w:rPr>
          <w:i/>
          <w:spacing w:val="40"/>
          <w:sz w:val="20"/>
        </w:rPr>
        <w:t> </w:t>
      </w:r>
      <w:r>
        <w:rPr>
          <w:i/>
          <w:sz w:val="20"/>
        </w:rPr>
        <w:t>24-28)”</w:t>
      </w:r>
    </w:p>
    <w:p>
      <w:pPr>
        <w:pStyle w:val="BodyText"/>
        <w:spacing w:line="249" w:lineRule="auto" w:before="4"/>
        <w:ind w:right="1437" w:firstLine="432"/>
        <w:jc w:val="both"/>
      </w:pPr>
      <w:r>
        <w:rPr/>
        <w:t>Macbeth,</w:t>
      </w:r>
      <w:r>
        <w:rPr>
          <w:spacing w:val="-5"/>
        </w:rPr>
        <w:t> </w:t>
      </w:r>
      <w:r>
        <w:rPr/>
        <w:t>a</w:t>
      </w:r>
      <w:r>
        <w:rPr>
          <w:spacing w:val="-8"/>
        </w:rPr>
        <w:t> </w:t>
      </w:r>
      <w:r>
        <w:rPr/>
        <w:t>hero</w:t>
      </w:r>
      <w:r>
        <w:rPr>
          <w:spacing w:val="-5"/>
        </w:rPr>
        <w:t> </w:t>
      </w:r>
      <w:r>
        <w:rPr/>
        <w:t>of</w:t>
      </w:r>
      <w:r>
        <w:rPr>
          <w:spacing w:val="-7"/>
        </w:rPr>
        <w:t> </w:t>
      </w:r>
      <w:r>
        <w:rPr/>
        <w:t>the</w:t>
      </w:r>
      <w:r>
        <w:rPr>
          <w:spacing w:val="-8"/>
        </w:rPr>
        <w:t> </w:t>
      </w:r>
      <w:r>
        <w:rPr/>
        <w:t>play,</w:t>
      </w:r>
      <w:r>
        <w:rPr>
          <w:spacing w:val="-5"/>
        </w:rPr>
        <w:t> </w:t>
      </w:r>
      <w:r>
        <w:rPr/>
        <w:t>rises</w:t>
      </w:r>
      <w:r>
        <w:rPr>
          <w:spacing w:val="-7"/>
        </w:rPr>
        <w:t> </w:t>
      </w:r>
      <w:r>
        <w:rPr/>
        <w:t>to</w:t>
      </w:r>
      <w:r>
        <w:rPr>
          <w:spacing w:val="-7"/>
        </w:rPr>
        <w:t> </w:t>
      </w:r>
      <w:r>
        <w:rPr/>
        <w:t>victory</w:t>
      </w:r>
      <w:r>
        <w:rPr>
          <w:spacing w:val="-9"/>
        </w:rPr>
        <w:t> </w:t>
      </w:r>
      <w:r>
        <w:rPr/>
        <w:t>and</w:t>
      </w:r>
      <w:r>
        <w:rPr>
          <w:spacing w:val="-5"/>
        </w:rPr>
        <w:t> </w:t>
      </w:r>
      <w:r>
        <w:rPr/>
        <w:t>falls</w:t>
      </w:r>
      <w:r>
        <w:rPr>
          <w:spacing w:val="-10"/>
        </w:rPr>
        <w:t> </w:t>
      </w:r>
      <w:r>
        <w:rPr/>
        <w:t>to</w:t>
      </w:r>
      <w:r>
        <w:rPr>
          <w:spacing w:val="-5"/>
        </w:rPr>
        <w:t> </w:t>
      </w:r>
      <w:r>
        <w:rPr/>
        <w:t>destruction by his own acts of controlling nature, the future and death. Macbeth rose to power by</w:t>
      </w:r>
      <w:r>
        <w:rPr>
          <w:spacing w:val="-2"/>
        </w:rPr>
        <w:t> </w:t>
      </w:r>
      <w:r>
        <w:rPr/>
        <w:t>advancing from</w:t>
      </w:r>
      <w:r>
        <w:rPr>
          <w:spacing w:val="-1"/>
        </w:rPr>
        <w:t> </w:t>
      </w:r>
      <w:r>
        <w:rPr/>
        <w:t>Thane of Glamis to Thane of Cawdor and eventually to the position of “King of Scotland.” To sustain the position, Macbeth summons the witches for a second meeting, where </w:t>
      </w:r>
      <w:r>
        <w:rPr>
          <w:spacing w:val="-2"/>
        </w:rPr>
        <w:t>they</w:t>
      </w:r>
      <w:r>
        <w:rPr>
          <w:spacing w:val="-11"/>
        </w:rPr>
        <w:t> </w:t>
      </w:r>
      <w:r>
        <w:rPr>
          <w:spacing w:val="-2"/>
        </w:rPr>
        <w:t>give</w:t>
      </w:r>
      <w:r>
        <w:rPr>
          <w:spacing w:val="-8"/>
        </w:rPr>
        <w:t> </w:t>
      </w:r>
      <w:r>
        <w:rPr>
          <w:spacing w:val="-2"/>
        </w:rPr>
        <w:t>three</w:t>
      </w:r>
      <w:r>
        <w:rPr>
          <w:spacing w:val="-6"/>
        </w:rPr>
        <w:t> </w:t>
      </w:r>
      <w:r>
        <w:rPr>
          <w:spacing w:val="-2"/>
        </w:rPr>
        <w:t>more</w:t>
      </w:r>
      <w:r>
        <w:rPr>
          <w:spacing w:val="-6"/>
        </w:rPr>
        <w:t> </w:t>
      </w:r>
      <w:r>
        <w:rPr>
          <w:spacing w:val="-2"/>
        </w:rPr>
        <w:t>prophecies.</w:t>
      </w:r>
      <w:r>
        <w:rPr>
          <w:spacing w:val="-8"/>
        </w:rPr>
        <w:t> </w:t>
      </w:r>
      <w:r>
        <w:rPr>
          <w:spacing w:val="-2"/>
        </w:rPr>
        <w:t>Firstly,</w:t>
      </w:r>
      <w:r>
        <w:rPr>
          <w:spacing w:val="-8"/>
        </w:rPr>
        <w:t> </w:t>
      </w:r>
      <w:r>
        <w:rPr>
          <w:spacing w:val="-2"/>
        </w:rPr>
        <w:t>to</w:t>
      </w:r>
      <w:r>
        <w:rPr>
          <w:spacing w:val="-6"/>
        </w:rPr>
        <w:t> </w:t>
      </w:r>
      <w:r>
        <w:rPr>
          <w:spacing w:val="-2"/>
        </w:rPr>
        <w:t>protect</w:t>
      </w:r>
      <w:r>
        <w:rPr>
          <w:spacing w:val="-8"/>
        </w:rPr>
        <w:t> </w:t>
      </w:r>
      <w:r>
        <w:rPr>
          <w:spacing w:val="-2"/>
        </w:rPr>
        <w:t>himself</w:t>
      </w:r>
      <w:r>
        <w:rPr>
          <w:spacing w:val="-8"/>
        </w:rPr>
        <w:t> </w:t>
      </w:r>
      <w:r>
        <w:rPr>
          <w:spacing w:val="-2"/>
        </w:rPr>
        <w:t>from</w:t>
      </w:r>
      <w:r>
        <w:rPr>
          <w:spacing w:val="-11"/>
        </w:rPr>
        <w:t> </w:t>
      </w:r>
      <w:r>
        <w:rPr>
          <w:spacing w:val="-2"/>
        </w:rPr>
        <w:t>Macduff, </w:t>
      </w:r>
      <w:r>
        <w:rPr/>
        <w:t>secondly,</w:t>
      </w:r>
      <w:r>
        <w:rPr>
          <w:spacing w:val="-5"/>
        </w:rPr>
        <w:t> </w:t>
      </w:r>
      <w:r>
        <w:rPr/>
        <w:t>no</w:t>
      </w:r>
      <w:r>
        <w:rPr>
          <w:spacing w:val="-1"/>
        </w:rPr>
        <w:t> </w:t>
      </w:r>
      <w:r>
        <w:rPr/>
        <w:t>man</w:t>
      </w:r>
      <w:r>
        <w:rPr>
          <w:spacing w:val="-6"/>
        </w:rPr>
        <w:t> </w:t>
      </w:r>
      <w:r>
        <w:rPr/>
        <w:t>born</w:t>
      </w:r>
      <w:r>
        <w:rPr>
          <w:spacing w:val="-6"/>
        </w:rPr>
        <w:t> </w:t>
      </w:r>
      <w:r>
        <w:rPr/>
        <w:t>of</w:t>
      </w:r>
      <w:r>
        <w:rPr>
          <w:spacing w:val="-5"/>
        </w:rPr>
        <w:t> </w:t>
      </w:r>
      <w:r>
        <w:rPr/>
        <w:t>a</w:t>
      </w:r>
      <w:r>
        <w:rPr>
          <w:spacing w:val="-5"/>
        </w:rPr>
        <w:t> </w:t>
      </w:r>
      <w:r>
        <w:rPr/>
        <w:t>woman</w:t>
      </w:r>
      <w:r>
        <w:rPr>
          <w:spacing w:val="-6"/>
        </w:rPr>
        <w:t> </w:t>
      </w:r>
      <w:r>
        <w:rPr/>
        <w:t>shall</w:t>
      </w:r>
      <w:r>
        <w:rPr>
          <w:spacing w:val="-4"/>
        </w:rPr>
        <w:t> </w:t>
      </w:r>
      <w:r>
        <w:rPr/>
        <w:t>harm</w:t>
      </w:r>
      <w:r>
        <w:rPr>
          <w:spacing w:val="-9"/>
        </w:rPr>
        <w:t> </w:t>
      </w:r>
      <w:r>
        <w:rPr/>
        <w:t>him,</w:t>
      </w:r>
      <w:r>
        <w:rPr>
          <w:spacing w:val="-1"/>
        </w:rPr>
        <w:t> </w:t>
      </w:r>
      <w:r>
        <w:rPr/>
        <w:t>and</w:t>
      </w:r>
      <w:r>
        <w:rPr>
          <w:spacing w:val="-5"/>
        </w:rPr>
        <w:t> </w:t>
      </w:r>
      <w:r>
        <w:rPr/>
        <w:t>lastly,</w:t>
      </w:r>
      <w:r>
        <w:rPr>
          <w:spacing w:val="-5"/>
        </w:rPr>
        <w:t> </w:t>
      </w:r>
      <w:r>
        <w:rPr/>
        <w:t>he</w:t>
      </w:r>
      <w:r>
        <w:rPr>
          <w:spacing w:val="-4"/>
        </w:rPr>
        <w:t> </w:t>
      </w:r>
      <w:r>
        <w:rPr/>
        <w:t>is</w:t>
      </w:r>
      <w:r>
        <w:rPr>
          <w:spacing w:val="-5"/>
        </w:rPr>
        <w:t> </w:t>
      </w:r>
      <w:r>
        <w:rPr/>
        <w:t>safe until the nearest forest does not approach close to his castle. Macbeth had also killed the wife and child of Macduff, who posed no threat to his</w:t>
      </w:r>
      <w:r>
        <w:rPr>
          <w:spacing w:val="-11"/>
        </w:rPr>
        <w:t> </w:t>
      </w:r>
      <w:r>
        <w:rPr/>
        <w:t>throne.</w:t>
      </w:r>
      <w:r>
        <w:rPr>
          <w:spacing w:val="-10"/>
        </w:rPr>
        <w:t> </w:t>
      </w:r>
      <w:r>
        <w:rPr/>
        <w:t>Later,</w:t>
      </w:r>
      <w:r>
        <w:rPr>
          <w:spacing w:val="-12"/>
        </w:rPr>
        <w:t> </w:t>
      </w:r>
      <w:r>
        <w:rPr/>
        <w:t>Macbeth</w:t>
      </w:r>
      <w:r>
        <w:rPr>
          <w:spacing w:val="-10"/>
        </w:rPr>
        <w:t> </w:t>
      </w:r>
      <w:r>
        <w:rPr/>
        <w:t>learns</w:t>
      </w:r>
      <w:r>
        <w:rPr>
          <w:spacing w:val="-10"/>
        </w:rPr>
        <w:t> </w:t>
      </w:r>
      <w:r>
        <w:rPr/>
        <w:t>that</w:t>
      </w:r>
      <w:r>
        <w:rPr>
          <w:spacing w:val="-10"/>
        </w:rPr>
        <w:t> </w:t>
      </w:r>
      <w:r>
        <w:rPr/>
        <w:t>Macduff</w:t>
      </w:r>
      <w:r>
        <w:rPr>
          <w:spacing w:val="-12"/>
        </w:rPr>
        <w:t> </w:t>
      </w:r>
      <w:r>
        <w:rPr/>
        <w:t>was</w:t>
      </w:r>
      <w:r>
        <w:rPr>
          <w:spacing w:val="-13"/>
        </w:rPr>
        <w:t> </w:t>
      </w:r>
      <w:r>
        <w:rPr/>
        <w:t>born</w:t>
      </w:r>
      <w:r>
        <w:rPr>
          <w:spacing w:val="-12"/>
        </w:rPr>
        <w:t> </w:t>
      </w:r>
      <w:r>
        <w:rPr/>
        <w:t>through</w:t>
      </w:r>
      <w:r>
        <w:rPr>
          <w:spacing w:val="-12"/>
        </w:rPr>
        <w:t> </w:t>
      </w:r>
      <w:r>
        <w:rPr/>
        <w:t>surgery rather than through the traditional labour of giving birth. Likewise, the first set of prophesies is fulfilled by Lady Macbeth and Macbeth; the other</w:t>
      </w:r>
      <w:r>
        <w:rPr>
          <w:spacing w:val="-7"/>
        </w:rPr>
        <w:t> </w:t>
      </w:r>
      <w:r>
        <w:rPr/>
        <w:t>set</w:t>
      </w:r>
      <w:r>
        <w:rPr>
          <w:spacing w:val="-4"/>
        </w:rPr>
        <w:t> </w:t>
      </w:r>
      <w:r>
        <w:rPr/>
        <w:t>of</w:t>
      </w:r>
      <w:r>
        <w:rPr>
          <w:spacing w:val="-7"/>
        </w:rPr>
        <w:t> </w:t>
      </w:r>
      <w:r>
        <w:rPr/>
        <w:t>prophesies</w:t>
      </w:r>
      <w:r>
        <w:rPr>
          <w:spacing w:val="-5"/>
        </w:rPr>
        <w:t> </w:t>
      </w:r>
      <w:r>
        <w:rPr/>
        <w:t>comes</w:t>
      </w:r>
      <w:r>
        <w:rPr>
          <w:spacing w:val="-7"/>
        </w:rPr>
        <w:t> </w:t>
      </w:r>
      <w:r>
        <w:rPr/>
        <w:t>to</w:t>
      </w:r>
      <w:r>
        <w:rPr>
          <w:spacing w:val="-3"/>
        </w:rPr>
        <w:t> </w:t>
      </w:r>
      <w:r>
        <w:rPr/>
        <w:t>pass</w:t>
      </w:r>
      <w:r>
        <w:rPr>
          <w:spacing w:val="-7"/>
        </w:rPr>
        <w:t> </w:t>
      </w:r>
      <w:r>
        <w:rPr/>
        <w:t>naturally,</w:t>
      </w:r>
      <w:r>
        <w:rPr>
          <w:spacing w:val="-3"/>
        </w:rPr>
        <w:t> </w:t>
      </w:r>
      <w:r>
        <w:rPr/>
        <w:t>and</w:t>
      </w:r>
      <w:r>
        <w:rPr>
          <w:spacing w:val="-3"/>
        </w:rPr>
        <w:t> </w:t>
      </w:r>
      <w:r>
        <w:rPr/>
        <w:t>Macbeth</w:t>
      </w:r>
      <w:r>
        <w:rPr>
          <w:spacing w:val="-5"/>
        </w:rPr>
        <w:t> </w:t>
      </w:r>
      <w:r>
        <w:rPr/>
        <w:t>is</w:t>
      </w:r>
      <w:r>
        <w:rPr>
          <w:spacing w:val="-7"/>
        </w:rPr>
        <w:t> </w:t>
      </w:r>
      <w:r>
        <w:rPr/>
        <w:t>defeated by</w:t>
      </w:r>
      <w:r>
        <w:rPr>
          <w:spacing w:val="-3"/>
        </w:rPr>
        <w:t> </w:t>
      </w:r>
      <w:r>
        <w:rPr/>
        <w:t>Macduff</w:t>
      </w:r>
      <w:r>
        <w:rPr>
          <w:spacing w:val="-1"/>
        </w:rPr>
        <w:t> </w:t>
      </w:r>
      <w:r>
        <w:rPr/>
        <w:t>and the rightful heir Malcolm, who claims</w:t>
      </w:r>
      <w:r>
        <w:rPr>
          <w:spacing w:val="-3"/>
        </w:rPr>
        <w:t> </w:t>
      </w:r>
      <w:r>
        <w:rPr/>
        <w:t>the throne at the end</w:t>
      </w:r>
      <w:r>
        <w:rPr>
          <w:spacing w:val="-6"/>
        </w:rPr>
        <w:t> </w:t>
      </w:r>
      <w:r>
        <w:rPr/>
        <w:t>of</w:t>
      </w:r>
      <w:r>
        <w:rPr>
          <w:spacing w:val="-8"/>
        </w:rPr>
        <w:t> </w:t>
      </w:r>
      <w:r>
        <w:rPr/>
        <w:t>the</w:t>
      </w:r>
      <w:r>
        <w:rPr>
          <w:spacing w:val="-7"/>
        </w:rPr>
        <w:t> </w:t>
      </w:r>
      <w:r>
        <w:rPr/>
        <w:t>play,</w:t>
      </w:r>
      <w:r>
        <w:rPr>
          <w:spacing w:val="-6"/>
        </w:rPr>
        <w:t> </w:t>
      </w:r>
      <w:r>
        <w:rPr/>
        <w:t>where</w:t>
      </w:r>
      <w:r>
        <w:rPr>
          <w:spacing w:val="-7"/>
        </w:rPr>
        <w:t> </w:t>
      </w:r>
      <w:r>
        <w:rPr/>
        <w:t>the</w:t>
      </w:r>
      <w:r>
        <w:rPr>
          <w:spacing w:val="-7"/>
        </w:rPr>
        <w:t> </w:t>
      </w:r>
      <w:r>
        <w:rPr/>
        <w:t>hero</w:t>
      </w:r>
      <w:r>
        <w:rPr>
          <w:spacing w:val="-6"/>
        </w:rPr>
        <w:t> </w:t>
      </w:r>
      <w:r>
        <w:rPr/>
        <w:t>tragically</w:t>
      </w:r>
      <w:r>
        <w:rPr>
          <w:spacing w:val="-9"/>
        </w:rPr>
        <w:t> </w:t>
      </w:r>
      <w:r>
        <w:rPr/>
        <w:t>falls</w:t>
      </w:r>
      <w:r>
        <w:rPr>
          <w:spacing w:val="-8"/>
        </w:rPr>
        <w:t> </w:t>
      </w:r>
      <w:r>
        <w:rPr/>
        <w:t>from</w:t>
      </w:r>
      <w:r>
        <w:rPr>
          <w:spacing w:val="-10"/>
        </w:rPr>
        <w:t> </w:t>
      </w:r>
      <w:r>
        <w:rPr/>
        <w:t>his</w:t>
      </w:r>
      <w:r>
        <w:rPr>
          <w:spacing w:val="-8"/>
        </w:rPr>
        <w:t> </w:t>
      </w:r>
      <w:r>
        <w:rPr/>
        <w:t>glorious</w:t>
      </w:r>
      <w:r>
        <w:rPr>
          <w:spacing w:val="-8"/>
        </w:rPr>
        <w:t> </w:t>
      </w:r>
      <w:r>
        <w:rPr/>
        <w:t>position to</w:t>
      </w:r>
      <w:r>
        <w:rPr>
          <w:spacing w:val="40"/>
        </w:rPr>
        <w:t> </w:t>
      </w:r>
      <w:r>
        <w:rPr/>
        <w:t>vulnerable</w:t>
      </w:r>
      <w:r>
        <w:rPr>
          <w:spacing w:val="40"/>
        </w:rPr>
        <w:t> </w:t>
      </w:r>
      <w:r>
        <w:rPr/>
        <w:t>defeat.</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16704">
                <wp:simplePos x="0" y="0"/>
                <wp:positionH relativeFrom="page">
                  <wp:posOffset>2065020</wp:posOffset>
                </wp:positionH>
                <wp:positionV relativeFrom="paragraph">
                  <wp:posOffset>795020</wp:posOffset>
                </wp:positionV>
                <wp:extent cx="3657600" cy="12700"/>
                <wp:effectExtent l="0" t="0" r="0" b="0"/>
                <wp:wrapTopAndBottom/>
                <wp:docPr id="630" name="Graphic 630"/>
                <wp:cNvGraphicFramePr>
                  <a:graphicFrameLocks/>
                </wp:cNvGraphicFramePr>
                <a:graphic>
                  <a:graphicData uri="http://schemas.microsoft.com/office/word/2010/wordprocessingShape">
                    <wps:wsp>
                      <wps:cNvPr id="630" name="Graphic 63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99776;mso-wrap-distance-left:0;mso-wrap-distance-right:0" id="docshape622" filled="true" fillcolor="#000000" stroked="false">
                <v:fill type="solid"/>
                <w10:wrap type="topAndBottom"/>
              </v:rect>
            </w:pict>
          </mc:Fallback>
        </mc:AlternateContent>
      </w:r>
      <w:r>
        <w:rPr>
          <w:rFonts w:ascii="Verdana" w:hAnsi="Verdana"/>
          <w:sz w:val="18"/>
        </w:rPr>
        <w:t>Women’s Stereotypes</w:t>
      </w:r>
      <w:r>
        <w:rPr>
          <w:rFonts w:ascii="Verdana" w:hAnsi="Verdana"/>
          <w:spacing w:val="1"/>
          <w:sz w:val="18"/>
        </w:rPr>
        <w:t> </w:t>
      </w:r>
      <w:r>
        <w:rPr>
          <w:rFonts w:ascii="Verdana" w:hAnsi="Verdana"/>
          <w:sz w:val="18"/>
        </w:rPr>
        <w:t>and</w:t>
      </w:r>
      <w:r>
        <w:rPr>
          <w:rFonts w:ascii="Verdana" w:hAnsi="Verdana"/>
          <w:spacing w:val="3"/>
          <w:sz w:val="18"/>
        </w:rPr>
        <w:t> </w:t>
      </w:r>
      <w:r>
        <w:rPr>
          <w:rFonts w:ascii="Verdana" w:hAnsi="Verdana"/>
          <w:sz w:val="18"/>
        </w:rPr>
        <w:t>Tropes in</w:t>
      </w:r>
      <w:r>
        <w:rPr>
          <w:rFonts w:ascii="Verdana" w:hAnsi="Verdana"/>
          <w:spacing w:val="2"/>
          <w:sz w:val="18"/>
        </w:rPr>
        <w:t> </w:t>
      </w:r>
      <w:r>
        <w:rPr>
          <w:rFonts w:ascii="Verdana" w:hAnsi="Verdana"/>
          <w:spacing w:val="-2"/>
          <w:sz w:val="18"/>
        </w:rPr>
        <w:t>Shakespeare’s...</w:t>
      </w:r>
      <w:r>
        <w:rPr>
          <w:sz w:val="18"/>
        </w:rPr>
        <w:tab/>
      </w:r>
      <w:r>
        <w:rPr>
          <w:rFonts w:ascii="Verdana" w:hAnsi="Verdana"/>
          <w:spacing w:val="-5"/>
          <w:sz w:val="18"/>
        </w:rPr>
        <w:t>305</w:t>
      </w:r>
    </w:p>
    <w:p>
      <w:pPr>
        <w:pStyle w:val="Heading3"/>
        <w:spacing w:before="180"/>
      </w:pPr>
      <w:r>
        <w:rPr>
          <w:w w:val="85"/>
        </w:rPr>
        <w:t>TROPES</w:t>
      </w:r>
      <w:r>
        <w:rPr>
          <w:spacing w:val="32"/>
        </w:rPr>
        <w:t> </w:t>
      </w:r>
      <w:r>
        <w:rPr>
          <w:w w:val="85"/>
        </w:rPr>
        <w:t>IN</w:t>
      </w:r>
      <w:r>
        <w:rPr>
          <w:spacing w:val="32"/>
        </w:rPr>
        <w:t> </w:t>
      </w:r>
      <w:r>
        <w:rPr>
          <w:w w:val="85"/>
        </w:rPr>
        <w:t>SHAKESPEAREAN</w:t>
      </w:r>
      <w:r>
        <w:rPr>
          <w:spacing w:val="32"/>
        </w:rPr>
        <w:t> </w:t>
      </w:r>
      <w:r>
        <w:rPr>
          <w:spacing w:val="-2"/>
          <w:w w:val="85"/>
        </w:rPr>
        <w:t>MACBETH</w:t>
      </w:r>
    </w:p>
    <w:p>
      <w:pPr>
        <w:pStyle w:val="BodyText"/>
        <w:spacing w:line="261" w:lineRule="auto" w:before="87"/>
        <w:ind w:right="1437" w:firstLine="432"/>
        <w:jc w:val="both"/>
      </w:pPr>
      <w:r>
        <w:rPr/>
        <w:t>Tropes in this play of Macbeth are the witches, the ghost and the tragic flaw, which are well utilised in the advancement of the plot. The supernatural interactions of witches with Macbeth move the whole plot to the events that have happened. Macbeth, though he does not seem ambitious</w:t>
      </w:r>
      <w:r>
        <w:rPr>
          <w:spacing w:val="-10"/>
        </w:rPr>
        <w:t> </w:t>
      </w:r>
      <w:r>
        <w:rPr/>
        <w:t>when</w:t>
      </w:r>
      <w:r>
        <w:rPr>
          <w:spacing w:val="-9"/>
        </w:rPr>
        <w:t> </w:t>
      </w:r>
      <w:r>
        <w:rPr/>
        <w:t>Lady</w:t>
      </w:r>
      <w:r>
        <w:rPr>
          <w:spacing w:val="-12"/>
        </w:rPr>
        <w:t> </w:t>
      </w:r>
      <w:r>
        <w:rPr/>
        <w:t>Macbeth</w:t>
      </w:r>
      <w:r>
        <w:rPr>
          <w:spacing w:val="-9"/>
        </w:rPr>
        <w:t> </w:t>
      </w:r>
      <w:r>
        <w:rPr/>
        <w:t>asks</w:t>
      </w:r>
      <w:r>
        <w:rPr>
          <w:spacing w:val="-10"/>
        </w:rPr>
        <w:t> </w:t>
      </w:r>
      <w:r>
        <w:rPr/>
        <w:t>him</w:t>
      </w:r>
      <w:r>
        <w:rPr>
          <w:spacing w:val="-11"/>
        </w:rPr>
        <w:t> </w:t>
      </w:r>
      <w:r>
        <w:rPr/>
        <w:t>to</w:t>
      </w:r>
      <w:r>
        <w:rPr>
          <w:spacing w:val="-9"/>
        </w:rPr>
        <w:t> </w:t>
      </w:r>
      <w:r>
        <w:rPr/>
        <w:t>murder</w:t>
      </w:r>
      <w:r>
        <w:rPr>
          <w:spacing w:val="-7"/>
        </w:rPr>
        <w:t> </w:t>
      </w:r>
      <w:r>
        <w:rPr/>
        <w:t>King</w:t>
      </w:r>
      <w:r>
        <w:rPr>
          <w:spacing w:val="-10"/>
        </w:rPr>
        <w:t> </w:t>
      </w:r>
      <w:r>
        <w:rPr/>
        <w:t>Duncan,</w:t>
      </w:r>
      <w:r>
        <w:rPr>
          <w:spacing w:val="-7"/>
        </w:rPr>
        <w:t> </w:t>
      </w:r>
      <w:r>
        <w:rPr/>
        <w:t>is</w:t>
      </w:r>
      <w:r>
        <w:rPr>
          <w:spacing w:val="-10"/>
        </w:rPr>
        <w:t> </w:t>
      </w:r>
      <w:r>
        <w:rPr/>
        <w:t>now too ambitious that</w:t>
      </w:r>
      <w:r>
        <w:rPr>
          <w:spacing w:val="-1"/>
        </w:rPr>
        <w:t> </w:t>
      </w:r>
      <w:r>
        <w:rPr/>
        <w:t>even</w:t>
      </w:r>
      <w:r>
        <w:rPr>
          <w:spacing w:val="-2"/>
        </w:rPr>
        <w:t> </w:t>
      </w:r>
      <w:r>
        <w:rPr/>
        <w:t>after losing</w:t>
      </w:r>
      <w:r>
        <w:rPr>
          <w:spacing w:val="-2"/>
        </w:rPr>
        <w:t> </w:t>
      </w:r>
      <w:r>
        <w:rPr/>
        <w:t>his wife, he does</w:t>
      </w:r>
      <w:r>
        <w:rPr>
          <w:spacing w:val="-2"/>
        </w:rPr>
        <w:t> </w:t>
      </w:r>
      <w:r>
        <w:rPr/>
        <w:t>not sob or express agony that</w:t>
      </w:r>
      <w:r>
        <w:rPr>
          <w:spacing w:val="18"/>
        </w:rPr>
        <w:t> </w:t>
      </w:r>
      <w:r>
        <w:rPr/>
        <w:t>she</w:t>
      </w:r>
      <w:r>
        <w:rPr>
          <w:spacing w:val="18"/>
        </w:rPr>
        <w:t> </w:t>
      </w:r>
      <w:r>
        <w:rPr/>
        <w:t>is</w:t>
      </w:r>
      <w:r>
        <w:rPr>
          <w:spacing w:val="18"/>
        </w:rPr>
        <w:t> </w:t>
      </w:r>
      <w:r>
        <w:rPr/>
        <w:t>no</w:t>
      </w:r>
      <w:r>
        <w:rPr>
          <w:spacing w:val="20"/>
        </w:rPr>
        <w:t> </w:t>
      </w:r>
      <w:r>
        <w:rPr/>
        <w:t>more, which</w:t>
      </w:r>
      <w:r>
        <w:rPr>
          <w:spacing w:val="18"/>
        </w:rPr>
        <w:t> </w:t>
      </w:r>
      <w:r>
        <w:rPr/>
        <w:t>reveals</w:t>
      </w:r>
      <w:r>
        <w:rPr>
          <w:spacing w:val="20"/>
        </w:rPr>
        <w:t> </w:t>
      </w:r>
      <w:r>
        <w:rPr/>
        <w:t>the</w:t>
      </w:r>
      <w:r>
        <w:rPr>
          <w:spacing w:val="18"/>
        </w:rPr>
        <w:t> </w:t>
      </w:r>
      <w:r>
        <w:rPr/>
        <w:t>inner</w:t>
      </w:r>
      <w:r>
        <w:rPr>
          <w:spacing w:val="19"/>
        </w:rPr>
        <w:t> </w:t>
      </w:r>
      <w:r>
        <w:rPr/>
        <w:t>desire</w:t>
      </w:r>
      <w:r>
        <w:rPr>
          <w:spacing w:val="19"/>
        </w:rPr>
        <w:t> </w:t>
      </w:r>
      <w:r>
        <w:rPr/>
        <w:t>of Macbeth to</w:t>
      </w:r>
      <w:r>
        <w:rPr>
          <w:spacing w:val="40"/>
        </w:rPr>
        <w:t> </w:t>
      </w:r>
      <w:r>
        <w:rPr/>
        <w:t>protect</w:t>
      </w:r>
      <w:r>
        <w:rPr>
          <w:spacing w:val="40"/>
        </w:rPr>
        <w:t> </w:t>
      </w:r>
      <w:r>
        <w:rPr/>
        <w:t>his</w:t>
      </w:r>
      <w:r>
        <w:rPr>
          <w:spacing w:val="40"/>
        </w:rPr>
        <w:t> </w:t>
      </w:r>
      <w:r>
        <w:rPr/>
        <w:t>throne</w:t>
      </w:r>
      <w:r>
        <w:rPr>
          <w:spacing w:val="40"/>
        </w:rPr>
        <w:t> </w:t>
      </w:r>
      <w:r>
        <w:rPr/>
        <w:t>and</w:t>
      </w:r>
      <w:r>
        <w:rPr>
          <w:spacing w:val="40"/>
        </w:rPr>
        <w:t> </w:t>
      </w:r>
      <w:r>
        <w:rPr/>
        <w:t>life.</w:t>
      </w:r>
    </w:p>
    <w:p>
      <w:pPr>
        <w:spacing w:line="321" w:lineRule="auto" w:before="54"/>
        <w:ind w:left="2160" w:right="2764" w:firstLine="0"/>
        <w:jc w:val="left"/>
        <w:rPr>
          <w:i/>
          <w:sz w:val="20"/>
        </w:rPr>
      </w:pPr>
      <w:r>
        <w:rPr>
          <w:i/>
          <w:sz w:val="20"/>
        </w:rPr>
        <w:t>“Macbeth</w:t>
      </w:r>
      <w:r>
        <w:rPr>
          <w:i/>
          <w:spacing w:val="40"/>
          <w:sz w:val="20"/>
        </w:rPr>
        <w:t> </w:t>
      </w:r>
      <w:r>
        <w:rPr>
          <w:i/>
          <w:sz w:val="20"/>
        </w:rPr>
        <w:t>shall</w:t>
      </w:r>
      <w:r>
        <w:rPr>
          <w:i/>
          <w:spacing w:val="40"/>
          <w:sz w:val="20"/>
        </w:rPr>
        <w:t> </w:t>
      </w:r>
      <w:r>
        <w:rPr>
          <w:i/>
          <w:sz w:val="20"/>
        </w:rPr>
        <w:t>never</w:t>
      </w:r>
      <w:r>
        <w:rPr>
          <w:i/>
          <w:spacing w:val="40"/>
          <w:sz w:val="20"/>
        </w:rPr>
        <w:t> </w:t>
      </w:r>
      <w:r>
        <w:rPr>
          <w:i/>
          <w:sz w:val="20"/>
        </w:rPr>
        <w:t>vanquished</w:t>
      </w:r>
      <w:r>
        <w:rPr>
          <w:i/>
          <w:spacing w:val="40"/>
          <w:sz w:val="20"/>
        </w:rPr>
        <w:t> </w:t>
      </w:r>
      <w:r>
        <w:rPr>
          <w:i/>
          <w:sz w:val="20"/>
        </w:rPr>
        <w:t>be</w:t>
      </w:r>
      <w:r>
        <w:rPr>
          <w:i/>
          <w:spacing w:val="40"/>
          <w:sz w:val="20"/>
        </w:rPr>
        <w:t> </w:t>
      </w:r>
      <w:r>
        <w:rPr>
          <w:i/>
          <w:sz w:val="20"/>
        </w:rPr>
        <w:t>until Great</w:t>
      </w:r>
      <w:r>
        <w:rPr>
          <w:i/>
          <w:spacing w:val="28"/>
          <w:sz w:val="20"/>
        </w:rPr>
        <w:t> </w:t>
      </w:r>
      <w:r>
        <w:rPr>
          <w:i/>
          <w:sz w:val="20"/>
        </w:rPr>
        <w:t>Birnam</w:t>
      </w:r>
      <w:r>
        <w:rPr>
          <w:i/>
          <w:spacing w:val="27"/>
          <w:sz w:val="20"/>
        </w:rPr>
        <w:t> </w:t>
      </w:r>
      <w:r>
        <w:rPr>
          <w:i/>
          <w:sz w:val="20"/>
        </w:rPr>
        <w:t>wood</w:t>
      </w:r>
      <w:r>
        <w:rPr>
          <w:i/>
          <w:spacing w:val="30"/>
          <w:sz w:val="20"/>
        </w:rPr>
        <w:t> </w:t>
      </w:r>
      <w:r>
        <w:rPr>
          <w:i/>
          <w:sz w:val="20"/>
        </w:rPr>
        <w:t>to</w:t>
      </w:r>
      <w:r>
        <w:rPr>
          <w:i/>
          <w:spacing w:val="30"/>
          <w:sz w:val="20"/>
        </w:rPr>
        <w:t> </w:t>
      </w:r>
      <w:r>
        <w:rPr>
          <w:i/>
          <w:sz w:val="20"/>
        </w:rPr>
        <w:t>high</w:t>
      </w:r>
      <w:r>
        <w:rPr>
          <w:i/>
          <w:spacing w:val="28"/>
          <w:sz w:val="20"/>
        </w:rPr>
        <w:t> </w:t>
      </w:r>
      <w:r>
        <w:rPr>
          <w:i/>
          <w:sz w:val="20"/>
        </w:rPr>
        <w:t>Dunsinane</w:t>
      </w:r>
      <w:r>
        <w:rPr>
          <w:i/>
          <w:spacing w:val="28"/>
          <w:sz w:val="20"/>
        </w:rPr>
        <w:t> </w:t>
      </w:r>
      <w:r>
        <w:rPr>
          <w:i/>
          <w:sz w:val="20"/>
        </w:rPr>
        <w:t>Hill</w:t>
      </w:r>
    </w:p>
    <w:p>
      <w:pPr>
        <w:spacing w:line="228" w:lineRule="exact" w:before="0"/>
        <w:ind w:left="2160" w:right="0" w:firstLine="0"/>
        <w:jc w:val="left"/>
        <w:rPr>
          <w:i/>
          <w:sz w:val="20"/>
        </w:rPr>
      </w:pPr>
      <w:r>
        <w:rPr>
          <w:i/>
          <w:sz w:val="20"/>
        </w:rPr>
        <w:t>Shall</w:t>
      </w:r>
      <w:r>
        <w:rPr>
          <w:i/>
          <w:spacing w:val="31"/>
          <w:sz w:val="20"/>
        </w:rPr>
        <w:t> </w:t>
      </w:r>
      <w:r>
        <w:rPr>
          <w:i/>
          <w:sz w:val="20"/>
        </w:rPr>
        <w:t>come</w:t>
      </w:r>
      <w:r>
        <w:rPr>
          <w:i/>
          <w:spacing w:val="31"/>
          <w:sz w:val="20"/>
        </w:rPr>
        <w:t> </w:t>
      </w:r>
      <w:r>
        <w:rPr>
          <w:i/>
          <w:sz w:val="20"/>
        </w:rPr>
        <w:t>against</w:t>
      </w:r>
      <w:r>
        <w:rPr>
          <w:i/>
          <w:spacing w:val="31"/>
          <w:sz w:val="20"/>
        </w:rPr>
        <w:t> </w:t>
      </w:r>
      <w:r>
        <w:rPr>
          <w:i/>
          <w:sz w:val="20"/>
        </w:rPr>
        <w:t>him.</w:t>
      </w:r>
      <w:r>
        <w:rPr>
          <w:i/>
          <w:spacing w:val="33"/>
          <w:sz w:val="20"/>
        </w:rPr>
        <w:t> </w:t>
      </w:r>
      <w:r>
        <w:rPr>
          <w:i/>
          <w:sz w:val="20"/>
        </w:rPr>
        <w:t>(Shakespeare</w:t>
      </w:r>
      <w:r>
        <w:rPr>
          <w:i/>
          <w:spacing w:val="32"/>
          <w:sz w:val="20"/>
        </w:rPr>
        <w:t> </w:t>
      </w:r>
      <w:r>
        <w:rPr>
          <w:i/>
          <w:sz w:val="20"/>
        </w:rPr>
        <w:t>4.1.</w:t>
      </w:r>
      <w:r>
        <w:rPr>
          <w:i/>
          <w:spacing w:val="33"/>
          <w:sz w:val="20"/>
        </w:rPr>
        <w:t> </w:t>
      </w:r>
      <w:r>
        <w:rPr>
          <w:i/>
          <w:sz w:val="20"/>
        </w:rPr>
        <w:t>92-</w:t>
      </w:r>
      <w:r>
        <w:rPr>
          <w:i/>
          <w:spacing w:val="-4"/>
          <w:sz w:val="20"/>
        </w:rPr>
        <w:t>94)”</w:t>
      </w:r>
    </w:p>
    <w:p>
      <w:pPr>
        <w:pStyle w:val="BodyText"/>
        <w:spacing w:line="261" w:lineRule="auto" w:before="80"/>
        <w:ind w:right="1438" w:firstLine="432"/>
        <w:jc w:val="both"/>
      </w:pPr>
      <w:r>
        <w:rPr/>
        <w:t>Macbeth</w:t>
      </w:r>
      <w:r>
        <w:rPr>
          <w:spacing w:val="-13"/>
        </w:rPr>
        <w:t> </w:t>
      </w:r>
      <w:r>
        <w:rPr/>
        <w:t>also</w:t>
      </w:r>
      <w:r>
        <w:rPr>
          <w:spacing w:val="-12"/>
        </w:rPr>
        <w:t> </w:t>
      </w:r>
      <w:r>
        <w:rPr/>
        <w:t>experiences</w:t>
      </w:r>
      <w:r>
        <w:rPr>
          <w:spacing w:val="-13"/>
        </w:rPr>
        <w:t> </w:t>
      </w:r>
      <w:r>
        <w:rPr/>
        <w:t>the</w:t>
      </w:r>
      <w:r>
        <w:rPr>
          <w:spacing w:val="-12"/>
        </w:rPr>
        <w:t> </w:t>
      </w:r>
      <w:r>
        <w:rPr/>
        <w:t>apparition</w:t>
      </w:r>
      <w:r>
        <w:rPr>
          <w:spacing w:val="-13"/>
        </w:rPr>
        <w:t> </w:t>
      </w:r>
      <w:r>
        <w:rPr/>
        <w:t>of</w:t>
      </w:r>
      <w:r>
        <w:rPr>
          <w:spacing w:val="-12"/>
        </w:rPr>
        <w:t> </w:t>
      </w:r>
      <w:r>
        <w:rPr/>
        <w:t>Banquo</w:t>
      </w:r>
      <w:r>
        <w:rPr>
          <w:spacing w:val="-13"/>
        </w:rPr>
        <w:t> </w:t>
      </w:r>
      <w:r>
        <w:rPr/>
        <w:t>and</w:t>
      </w:r>
      <w:r>
        <w:rPr>
          <w:spacing w:val="-12"/>
        </w:rPr>
        <w:t> </w:t>
      </w:r>
      <w:r>
        <w:rPr/>
        <w:t>is</w:t>
      </w:r>
      <w:r>
        <w:rPr>
          <w:spacing w:val="-13"/>
        </w:rPr>
        <w:t> </w:t>
      </w:r>
      <w:r>
        <w:rPr/>
        <w:t>suddenly reminded</w:t>
      </w:r>
      <w:r>
        <w:rPr>
          <w:spacing w:val="-13"/>
        </w:rPr>
        <w:t> </w:t>
      </w:r>
      <w:r>
        <w:rPr/>
        <w:t>of</w:t>
      </w:r>
      <w:r>
        <w:rPr>
          <w:spacing w:val="-12"/>
        </w:rPr>
        <w:t> </w:t>
      </w:r>
      <w:r>
        <w:rPr/>
        <w:t>all</w:t>
      </w:r>
      <w:r>
        <w:rPr>
          <w:spacing w:val="-13"/>
        </w:rPr>
        <w:t> </w:t>
      </w:r>
      <w:r>
        <w:rPr/>
        <w:t>his</w:t>
      </w:r>
      <w:r>
        <w:rPr>
          <w:spacing w:val="-12"/>
        </w:rPr>
        <w:t> </w:t>
      </w:r>
      <w:r>
        <w:rPr/>
        <w:t>evil</w:t>
      </w:r>
      <w:r>
        <w:rPr>
          <w:spacing w:val="-13"/>
        </w:rPr>
        <w:t> </w:t>
      </w:r>
      <w:r>
        <w:rPr/>
        <w:t>acts,</w:t>
      </w:r>
      <w:r>
        <w:rPr>
          <w:spacing w:val="-12"/>
        </w:rPr>
        <w:t> </w:t>
      </w:r>
      <w:r>
        <w:rPr/>
        <w:t>which</w:t>
      </w:r>
      <w:r>
        <w:rPr>
          <w:spacing w:val="-13"/>
        </w:rPr>
        <w:t> </w:t>
      </w:r>
      <w:r>
        <w:rPr/>
        <w:t>he</w:t>
      </w:r>
      <w:r>
        <w:rPr>
          <w:spacing w:val="-12"/>
        </w:rPr>
        <w:t> </w:t>
      </w:r>
      <w:r>
        <w:rPr/>
        <w:t>had</w:t>
      </w:r>
      <w:r>
        <w:rPr>
          <w:spacing w:val="-13"/>
        </w:rPr>
        <w:t> </w:t>
      </w:r>
      <w:r>
        <w:rPr/>
        <w:t>committed,</w:t>
      </w:r>
      <w:r>
        <w:rPr>
          <w:spacing w:val="-12"/>
        </w:rPr>
        <w:t> </w:t>
      </w:r>
      <w:r>
        <w:rPr/>
        <w:t>including</w:t>
      </w:r>
      <w:r>
        <w:rPr>
          <w:spacing w:val="-13"/>
        </w:rPr>
        <w:t> </w:t>
      </w:r>
      <w:r>
        <w:rPr/>
        <w:t>multiple murders</w:t>
      </w:r>
      <w:r>
        <w:rPr>
          <w:spacing w:val="-3"/>
        </w:rPr>
        <w:t> </w:t>
      </w:r>
      <w:r>
        <w:rPr/>
        <w:t>and the shedding</w:t>
      </w:r>
      <w:r>
        <w:rPr>
          <w:spacing w:val="-3"/>
        </w:rPr>
        <w:t> </w:t>
      </w:r>
      <w:r>
        <w:rPr/>
        <w:t>of</w:t>
      </w:r>
      <w:r>
        <w:rPr>
          <w:spacing w:val="-3"/>
        </w:rPr>
        <w:t> </w:t>
      </w:r>
      <w:r>
        <w:rPr/>
        <w:t>innocent</w:t>
      </w:r>
      <w:r>
        <w:rPr>
          <w:spacing w:val="-1"/>
        </w:rPr>
        <w:t> </w:t>
      </w:r>
      <w:r>
        <w:rPr/>
        <w:t>blood.</w:t>
      </w:r>
      <w:r>
        <w:rPr>
          <w:spacing w:val="-1"/>
        </w:rPr>
        <w:t> </w:t>
      </w:r>
      <w:r>
        <w:rPr/>
        <w:t>Macbeth’s</w:t>
      </w:r>
      <w:r>
        <w:rPr>
          <w:spacing w:val="-3"/>
        </w:rPr>
        <w:t> </w:t>
      </w:r>
      <w:r>
        <w:rPr/>
        <w:t>becoming</w:t>
      </w:r>
      <w:r>
        <w:rPr>
          <w:spacing w:val="-3"/>
        </w:rPr>
        <w:t> </w:t>
      </w:r>
      <w:r>
        <w:rPr/>
        <w:t>even more stone-hearted by</w:t>
      </w:r>
      <w:r>
        <w:rPr>
          <w:spacing w:val="-3"/>
        </w:rPr>
        <w:t> </w:t>
      </w:r>
      <w:r>
        <w:rPr/>
        <w:t>the end of the</w:t>
      </w:r>
      <w:r>
        <w:rPr>
          <w:spacing w:val="-1"/>
        </w:rPr>
        <w:t> </w:t>
      </w:r>
      <w:r>
        <w:rPr/>
        <w:t>play</w:t>
      </w:r>
      <w:r>
        <w:rPr>
          <w:spacing w:val="-1"/>
        </w:rPr>
        <w:t> </w:t>
      </w:r>
      <w:r>
        <w:rPr/>
        <w:t>is a sign</w:t>
      </w:r>
      <w:r>
        <w:rPr>
          <w:spacing w:val="-1"/>
        </w:rPr>
        <w:t> </w:t>
      </w:r>
      <w:r>
        <w:rPr/>
        <w:t>of the psychological trauma</w:t>
      </w:r>
      <w:r>
        <w:rPr>
          <w:spacing w:val="40"/>
        </w:rPr>
        <w:t> </w:t>
      </w:r>
      <w:r>
        <w:rPr/>
        <w:t>that</w:t>
      </w:r>
      <w:r>
        <w:rPr>
          <w:spacing w:val="40"/>
        </w:rPr>
        <w:t> </w:t>
      </w:r>
      <w:r>
        <w:rPr/>
        <w:t>the</w:t>
      </w:r>
      <w:r>
        <w:rPr>
          <w:spacing w:val="40"/>
        </w:rPr>
        <w:t> </w:t>
      </w:r>
      <w:r>
        <w:rPr/>
        <w:t>threat</w:t>
      </w:r>
      <w:r>
        <w:rPr>
          <w:spacing w:val="40"/>
        </w:rPr>
        <w:t> </w:t>
      </w:r>
      <w:r>
        <w:rPr/>
        <w:t>would</w:t>
      </w:r>
      <w:r>
        <w:rPr>
          <w:spacing w:val="40"/>
        </w:rPr>
        <w:t> </w:t>
      </w:r>
      <w:r>
        <w:rPr/>
        <w:t>pose</w:t>
      </w:r>
      <w:r>
        <w:rPr>
          <w:spacing w:val="40"/>
        </w:rPr>
        <w:t> </w:t>
      </w:r>
      <w:r>
        <w:rPr/>
        <w:t>to</w:t>
      </w:r>
      <w:r>
        <w:rPr>
          <w:spacing w:val="40"/>
        </w:rPr>
        <w:t> </w:t>
      </w:r>
      <w:r>
        <w:rPr/>
        <w:t>him.</w:t>
      </w:r>
    </w:p>
    <w:p>
      <w:pPr>
        <w:spacing w:before="54"/>
        <w:ind w:left="2160" w:right="0" w:firstLine="0"/>
        <w:jc w:val="both"/>
        <w:rPr>
          <w:i/>
          <w:sz w:val="20"/>
        </w:rPr>
      </w:pPr>
      <w:r>
        <w:rPr>
          <w:i/>
          <w:sz w:val="20"/>
        </w:rPr>
        <w:t>“I</w:t>
      </w:r>
      <w:r>
        <w:rPr>
          <w:i/>
          <w:spacing w:val="26"/>
          <w:sz w:val="20"/>
        </w:rPr>
        <w:t> </w:t>
      </w:r>
      <w:r>
        <w:rPr>
          <w:i/>
          <w:sz w:val="20"/>
        </w:rPr>
        <w:t>dare</w:t>
      </w:r>
      <w:r>
        <w:rPr>
          <w:i/>
          <w:spacing w:val="27"/>
          <w:sz w:val="20"/>
        </w:rPr>
        <w:t> </w:t>
      </w:r>
      <w:r>
        <w:rPr>
          <w:i/>
          <w:sz w:val="20"/>
        </w:rPr>
        <w:t>do</w:t>
      </w:r>
      <w:r>
        <w:rPr>
          <w:i/>
          <w:spacing w:val="27"/>
          <w:sz w:val="20"/>
        </w:rPr>
        <w:t> </w:t>
      </w:r>
      <w:r>
        <w:rPr>
          <w:i/>
          <w:sz w:val="20"/>
        </w:rPr>
        <w:t>all</w:t>
      </w:r>
      <w:r>
        <w:rPr>
          <w:i/>
          <w:spacing w:val="24"/>
          <w:sz w:val="20"/>
        </w:rPr>
        <w:t> </w:t>
      </w:r>
      <w:r>
        <w:rPr>
          <w:i/>
          <w:sz w:val="20"/>
        </w:rPr>
        <w:t>that</w:t>
      </w:r>
      <w:r>
        <w:rPr>
          <w:i/>
          <w:spacing w:val="26"/>
          <w:sz w:val="20"/>
        </w:rPr>
        <w:t> </w:t>
      </w:r>
      <w:r>
        <w:rPr>
          <w:i/>
          <w:sz w:val="20"/>
        </w:rPr>
        <w:t>may</w:t>
      </w:r>
      <w:r>
        <w:rPr>
          <w:i/>
          <w:spacing w:val="28"/>
          <w:sz w:val="20"/>
        </w:rPr>
        <w:t> </w:t>
      </w:r>
      <w:r>
        <w:rPr>
          <w:i/>
          <w:sz w:val="20"/>
        </w:rPr>
        <w:t>become</w:t>
      </w:r>
      <w:r>
        <w:rPr>
          <w:i/>
          <w:spacing w:val="27"/>
          <w:sz w:val="20"/>
        </w:rPr>
        <w:t> </w:t>
      </w:r>
      <w:r>
        <w:rPr>
          <w:i/>
          <w:sz w:val="20"/>
        </w:rPr>
        <w:t>a</w:t>
      </w:r>
      <w:r>
        <w:rPr>
          <w:i/>
          <w:spacing w:val="27"/>
          <w:sz w:val="20"/>
        </w:rPr>
        <w:t> </w:t>
      </w:r>
      <w:r>
        <w:rPr>
          <w:i/>
          <w:spacing w:val="-4"/>
          <w:sz w:val="20"/>
        </w:rPr>
        <w:t>man;</w:t>
      </w:r>
    </w:p>
    <w:p>
      <w:pPr>
        <w:spacing w:line="261" w:lineRule="auto" w:before="78"/>
        <w:ind w:left="2160" w:right="2161" w:firstLine="0"/>
        <w:jc w:val="both"/>
        <w:rPr>
          <w:i/>
          <w:sz w:val="20"/>
        </w:rPr>
      </w:pPr>
      <w:r>
        <w:rPr>
          <w:i/>
          <w:sz w:val="20"/>
        </w:rPr>
        <w:t>Who dares do more is none. (Shakespeare 1.7. 46-</w:t>
      </w:r>
      <w:r>
        <w:rPr>
          <w:i/>
          <w:spacing w:val="-4"/>
          <w:sz w:val="20"/>
        </w:rPr>
        <w:t>47)”</w:t>
      </w:r>
    </w:p>
    <w:p>
      <w:pPr>
        <w:pStyle w:val="BodyText"/>
        <w:spacing w:line="261" w:lineRule="auto" w:before="57"/>
        <w:ind w:right="1437" w:firstLine="432"/>
        <w:jc w:val="both"/>
      </w:pPr>
      <w:r>
        <w:rPr/>
        <w:t>Lady Macbeth loses her sanity, which shows that the nature and </w:t>
      </w:r>
      <w:r>
        <w:rPr>
          <w:spacing w:val="-2"/>
        </w:rPr>
        <w:t>lives</w:t>
      </w:r>
      <w:r>
        <w:rPr>
          <w:spacing w:val="-10"/>
        </w:rPr>
        <w:t> </w:t>
      </w:r>
      <w:r>
        <w:rPr>
          <w:spacing w:val="-2"/>
        </w:rPr>
        <w:t>of</w:t>
      </w:r>
      <w:r>
        <w:rPr>
          <w:spacing w:val="-8"/>
        </w:rPr>
        <w:t> </w:t>
      </w:r>
      <w:r>
        <w:rPr>
          <w:spacing w:val="-2"/>
        </w:rPr>
        <w:t>people</w:t>
      </w:r>
      <w:r>
        <w:rPr>
          <w:spacing w:val="-6"/>
        </w:rPr>
        <w:t> </w:t>
      </w:r>
      <w:r>
        <w:rPr>
          <w:spacing w:val="-2"/>
        </w:rPr>
        <w:t>are</w:t>
      </w:r>
      <w:r>
        <w:rPr>
          <w:spacing w:val="-6"/>
        </w:rPr>
        <w:t> </w:t>
      </w:r>
      <w:r>
        <w:rPr>
          <w:spacing w:val="-2"/>
        </w:rPr>
        <w:t>not</w:t>
      </w:r>
      <w:r>
        <w:rPr>
          <w:spacing w:val="-8"/>
        </w:rPr>
        <w:t> </w:t>
      </w:r>
      <w:r>
        <w:rPr>
          <w:spacing w:val="-2"/>
        </w:rPr>
        <w:t>in</w:t>
      </w:r>
      <w:r>
        <w:rPr>
          <w:spacing w:val="-8"/>
        </w:rPr>
        <w:t> </w:t>
      </w:r>
      <w:r>
        <w:rPr>
          <w:spacing w:val="-2"/>
        </w:rPr>
        <w:t>human</w:t>
      </w:r>
      <w:r>
        <w:rPr>
          <w:spacing w:val="-11"/>
        </w:rPr>
        <w:t> </w:t>
      </w:r>
      <w:r>
        <w:rPr>
          <w:spacing w:val="-2"/>
        </w:rPr>
        <w:t>control</w:t>
      </w:r>
      <w:r>
        <w:rPr>
          <w:spacing w:val="-5"/>
        </w:rPr>
        <w:t> </w:t>
      </w:r>
      <w:r>
        <w:rPr>
          <w:spacing w:val="-2"/>
        </w:rPr>
        <w:t>but</w:t>
      </w:r>
      <w:r>
        <w:rPr>
          <w:spacing w:val="-7"/>
        </w:rPr>
        <w:t> </w:t>
      </w:r>
      <w:r>
        <w:rPr>
          <w:spacing w:val="-2"/>
        </w:rPr>
        <w:t>are</w:t>
      </w:r>
      <w:r>
        <w:rPr>
          <w:spacing w:val="-8"/>
        </w:rPr>
        <w:t> </w:t>
      </w:r>
      <w:r>
        <w:rPr>
          <w:spacing w:val="-2"/>
        </w:rPr>
        <w:t>of</w:t>
      </w:r>
      <w:r>
        <w:rPr>
          <w:spacing w:val="-8"/>
        </w:rPr>
        <w:t> </w:t>
      </w:r>
      <w:r>
        <w:rPr>
          <w:spacing w:val="-2"/>
        </w:rPr>
        <w:t>divine</w:t>
      </w:r>
      <w:r>
        <w:rPr>
          <w:spacing w:val="-6"/>
        </w:rPr>
        <w:t> </w:t>
      </w:r>
      <w:r>
        <w:rPr>
          <w:spacing w:val="-2"/>
        </w:rPr>
        <w:t>and</w:t>
      </w:r>
      <w:r>
        <w:rPr>
          <w:spacing w:val="-6"/>
        </w:rPr>
        <w:t> </w:t>
      </w:r>
      <w:r>
        <w:rPr>
          <w:spacing w:val="-2"/>
        </w:rPr>
        <w:t>supernatural </w:t>
      </w:r>
      <w:r>
        <w:rPr/>
        <w:t>origin. She suffers mentally and could see blood on her hands, and quotes that all the perfumes of Arabia cannot cleanse her hands. It is</w:t>
      </w:r>
      <w:r>
        <w:rPr>
          <w:spacing w:val="40"/>
        </w:rPr>
        <w:t> </w:t>
      </w:r>
      <w:r>
        <w:rPr/>
        <w:t>not visible to the characters around, but to her alone, the blood is visible, which is a sign that the evil actions executed by the husband</w:t>
      </w:r>
      <w:r>
        <w:rPr>
          <w:spacing w:val="40"/>
        </w:rPr>
        <w:t> </w:t>
      </w:r>
      <w:r>
        <w:rPr/>
        <w:t>and wife can never be washed away. Losing her sanity and letting her unconscious thoughts surface in the conscious realm reveals what she has done and how great the price has to be paid. Lady Macbeth</w:t>
      </w:r>
      <w:r>
        <w:rPr>
          <w:spacing w:val="40"/>
        </w:rPr>
        <w:t> </w:t>
      </w:r>
      <w:r>
        <w:rPr/>
        <w:t>commits suicide and is free from the troubling thoughts of trauma and agony of her past life; she was not liberated from the trauma, even though</w:t>
      </w:r>
      <w:r>
        <w:rPr>
          <w:spacing w:val="40"/>
        </w:rPr>
        <w:t> </w:t>
      </w:r>
      <w:r>
        <w:rPr/>
        <w:t>she</w:t>
      </w:r>
      <w:r>
        <w:rPr>
          <w:spacing w:val="40"/>
        </w:rPr>
        <w:t> </w:t>
      </w:r>
      <w:r>
        <w:rPr/>
        <w:t>became</w:t>
      </w:r>
      <w:r>
        <w:rPr>
          <w:spacing w:val="40"/>
        </w:rPr>
        <w:t> </w:t>
      </w:r>
      <w:r>
        <w:rPr/>
        <w:t>insane.</w:t>
      </w:r>
    </w:p>
    <w:p>
      <w:pPr>
        <w:pStyle w:val="Heading3"/>
        <w:spacing w:before="138"/>
      </w:pPr>
      <w:r>
        <w:rPr>
          <w:spacing w:val="-2"/>
        </w:rPr>
        <w:t>CONCLUSION</w:t>
      </w:r>
    </w:p>
    <w:p>
      <w:pPr>
        <w:pStyle w:val="BodyText"/>
        <w:spacing w:line="249" w:lineRule="auto" w:before="76"/>
        <w:ind w:right="1438" w:firstLine="432"/>
        <w:jc w:val="both"/>
      </w:pPr>
      <w:r>
        <w:rPr/>
        <w:t>Lady Macbeth has given up her feminine qualities, such as kindness,</w:t>
      </w:r>
      <w:r>
        <w:rPr>
          <w:spacing w:val="-1"/>
        </w:rPr>
        <w:t> </w:t>
      </w:r>
      <w:r>
        <w:rPr/>
        <w:t>compassion</w:t>
      </w:r>
      <w:r>
        <w:rPr>
          <w:spacing w:val="-5"/>
        </w:rPr>
        <w:t> </w:t>
      </w:r>
      <w:r>
        <w:rPr/>
        <w:t>and tender touch,</w:t>
      </w:r>
      <w:r>
        <w:rPr>
          <w:spacing w:val="-3"/>
        </w:rPr>
        <w:t> </w:t>
      </w:r>
      <w:r>
        <w:rPr/>
        <w:t>to achieve her</w:t>
      </w:r>
      <w:r>
        <w:rPr>
          <w:spacing w:val="-1"/>
        </w:rPr>
        <w:t> </w:t>
      </w:r>
      <w:r>
        <w:rPr/>
        <w:t>innermost</w:t>
      </w:r>
      <w:r>
        <w:rPr>
          <w:spacing w:val="-1"/>
        </w:rPr>
        <w:t> </w:t>
      </w:r>
      <w:r>
        <w:rPr/>
        <w:t>desire to</w:t>
      </w:r>
      <w:r>
        <w:rPr>
          <w:spacing w:val="8"/>
        </w:rPr>
        <w:t> </w:t>
      </w:r>
      <w:r>
        <w:rPr/>
        <w:t>establish</w:t>
      </w:r>
      <w:r>
        <w:rPr>
          <w:spacing w:val="6"/>
        </w:rPr>
        <w:t> </w:t>
      </w:r>
      <w:r>
        <w:rPr/>
        <w:t>herself</w:t>
      </w:r>
      <w:r>
        <w:rPr>
          <w:spacing w:val="6"/>
        </w:rPr>
        <w:t> </w:t>
      </w:r>
      <w:r>
        <w:rPr/>
        <w:t>by</w:t>
      </w:r>
      <w:r>
        <w:rPr>
          <w:spacing w:val="7"/>
        </w:rPr>
        <w:t> </w:t>
      </w:r>
      <w:r>
        <w:rPr/>
        <w:t>wearing</w:t>
      </w:r>
      <w:r>
        <w:rPr>
          <w:spacing w:val="6"/>
        </w:rPr>
        <w:t> </w:t>
      </w:r>
      <w:r>
        <w:rPr/>
        <w:t>the</w:t>
      </w:r>
      <w:r>
        <w:rPr>
          <w:spacing w:val="7"/>
        </w:rPr>
        <w:t> </w:t>
      </w:r>
      <w:r>
        <w:rPr/>
        <w:t>mask</w:t>
      </w:r>
      <w:r>
        <w:rPr>
          <w:spacing w:val="5"/>
        </w:rPr>
        <w:t> </w:t>
      </w:r>
      <w:r>
        <w:rPr/>
        <w:t>of</w:t>
      </w:r>
      <w:r>
        <w:rPr>
          <w:spacing w:val="6"/>
        </w:rPr>
        <w:t> </w:t>
      </w:r>
      <w:r>
        <w:rPr/>
        <w:t>a</w:t>
      </w:r>
      <w:r>
        <w:rPr>
          <w:spacing w:val="6"/>
        </w:rPr>
        <w:t> </w:t>
      </w:r>
      <w:r>
        <w:rPr/>
        <w:t>man,</w:t>
      </w:r>
      <w:r>
        <w:rPr>
          <w:spacing w:val="7"/>
        </w:rPr>
        <w:t> </w:t>
      </w:r>
      <w:r>
        <w:rPr/>
        <w:t>as</w:t>
      </w:r>
      <w:r>
        <w:rPr>
          <w:spacing w:val="8"/>
        </w:rPr>
        <w:t> </w:t>
      </w:r>
      <w:r>
        <w:rPr/>
        <w:t>the</w:t>
      </w:r>
      <w:r>
        <w:rPr>
          <w:spacing w:val="7"/>
        </w:rPr>
        <w:t> </w:t>
      </w:r>
      <w:r>
        <w:rPr/>
        <w:t>world</w:t>
      </w:r>
      <w:r>
        <w:rPr>
          <w:spacing w:val="8"/>
        </w:rPr>
        <w:t> </w:t>
      </w:r>
      <w:r>
        <w:rPr/>
        <w:t>has</w:t>
      </w:r>
      <w:r>
        <w:rPr>
          <w:spacing w:val="6"/>
        </w:rPr>
        <w:t> </w:t>
      </w:r>
      <w:r>
        <w:rPr>
          <w:spacing w:val="-5"/>
        </w:rPr>
        <w:t>set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17216">
                <wp:simplePos x="0" y="0"/>
                <wp:positionH relativeFrom="page">
                  <wp:posOffset>2057400</wp:posOffset>
                </wp:positionH>
                <wp:positionV relativeFrom="paragraph">
                  <wp:posOffset>162604</wp:posOffset>
                </wp:positionV>
                <wp:extent cx="3657600" cy="12700"/>
                <wp:effectExtent l="0" t="0" r="0" b="0"/>
                <wp:wrapTopAndBottom/>
                <wp:docPr id="631" name="Graphic 631"/>
                <wp:cNvGraphicFramePr>
                  <a:graphicFrameLocks/>
                </wp:cNvGraphicFramePr>
                <a:graphic>
                  <a:graphicData uri="http://schemas.microsoft.com/office/word/2010/wordprocessingShape">
                    <wps:wsp>
                      <wps:cNvPr id="631" name="Graphic 63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99264;mso-wrap-distance-left:0;mso-wrap-distance-right:0" id="docshape623" filled="true" fillcolor="#000000" stroked="false">
                <v:fill type="solid"/>
                <w10:wrap type="topAndBottom"/>
              </v:rect>
            </w:pict>
          </mc:Fallback>
        </mc:AlternateContent>
      </w:r>
      <w:r>
        <w:rPr>
          <w:rFonts w:ascii="Verdana"/>
          <w:spacing w:val="-5"/>
          <w:sz w:val="18"/>
        </w:rPr>
        <w:t>306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some stereotypes and designated works for women and men to follow. For Lady Macbeth, all these are the obstacles in her path to make the prophecies come true; hence, she rejects her own womanly behaviour and witnessing her husband Macbeth ascend the throne of Scotland is her lifetime passion</w:t>
      </w:r>
      <w:r>
        <w:rPr>
          <w:spacing w:val="-3"/>
        </w:rPr>
        <w:t> </w:t>
      </w:r>
      <w:r>
        <w:rPr/>
        <w:t>to accomplish</w:t>
      </w:r>
      <w:r>
        <w:rPr>
          <w:spacing w:val="-1"/>
        </w:rPr>
        <w:t> </w:t>
      </w:r>
      <w:r>
        <w:rPr/>
        <w:t>and find success</w:t>
      </w:r>
      <w:r>
        <w:rPr>
          <w:spacing w:val="-1"/>
        </w:rPr>
        <w:t> </w:t>
      </w:r>
      <w:r>
        <w:rPr/>
        <w:t>in</w:t>
      </w:r>
      <w:r>
        <w:rPr>
          <w:spacing w:val="-3"/>
        </w:rPr>
        <w:t> </w:t>
      </w:r>
      <w:r>
        <w:rPr/>
        <w:t>working</w:t>
      </w:r>
      <w:r>
        <w:rPr>
          <w:spacing w:val="-1"/>
        </w:rPr>
        <w:t> </w:t>
      </w:r>
      <w:r>
        <w:rPr/>
        <w:t>it</w:t>
      </w:r>
      <w:r>
        <w:rPr>
          <w:spacing w:val="-1"/>
        </w:rPr>
        <w:t> </w:t>
      </w:r>
      <w:r>
        <w:rPr/>
        <w:t>all for </w:t>
      </w:r>
      <w:r>
        <w:rPr>
          <w:spacing w:val="-2"/>
        </w:rPr>
        <w:t>Macbeth.</w:t>
      </w:r>
      <w:r>
        <w:rPr>
          <w:spacing w:val="-11"/>
        </w:rPr>
        <w:t> </w:t>
      </w:r>
      <w:r>
        <w:rPr>
          <w:spacing w:val="-2"/>
        </w:rPr>
        <w:t>Soliloquies</w:t>
      </w:r>
      <w:r>
        <w:rPr>
          <w:spacing w:val="-10"/>
        </w:rPr>
        <w:t> </w:t>
      </w:r>
      <w:r>
        <w:rPr>
          <w:spacing w:val="-2"/>
        </w:rPr>
        <w:t>in</w:t>
      </w:r>
      <w:r>
        <w:rPr>
          <w:spacing w:val="-10"/>
        </w:rPr>
        <w:t> </w:t>
      </w:r>
      <w:r>
        <w:rPr>
          <w:spacing w:val="-2"/>
        </w:rPr>
        <w:t>the</w:t>
      </w:r>
      <w:r>
        <w:rPr>
          <w:spacing w:val="-5"/>
        </w:rPr>
        <w:t> </w:t>
      </w:r>
      <w:r>
        <w:rPr>
          <w:spacing w:val="-2"/>
        </w:rPr>
        <w:t>play</w:t>
      </w:r>
      <w:r>
        <w:rPr>
          <w:spacing w:val="-11"/>
        </w:rPr>
        <w:t> </w:t>
      </w:r>
      <w:r>
        <w:rPr>
          <w:spacing w:val="-2"/>
        </w:rPr>
        <w:t>reveal</w:t>
      </w:r>
      <w:r>
        <w:rPr>
          <w:spacing w:val="-9"/>
        </w:rPr>
        <w:t> </w:t>
      </w:r>
      <w:r>
        <w:rPr>
          <w:spacing w:val="-2"/>
        </w:rPr>
        <w:t>the</w:t>
      </w:r>
      <w:r>
        <w:rPr>
          <w:spacing w:val="-5"/>
        </w:rPr>
        <w:t> </w:t>
      </w:r>
      <w:r>
        <w:rPr>
          <w:spacing w:val="-2"/>
        </w:rPr>
        <w:t>inner</w:t>
      </w:r>
      <w:r>
        <w:rPr>
          <w:spacing w:val="-8"/>
        </w:rPr>
        <w:t> </w:t>
      </w:r>
      <w:r>
        <w:rPr>
          <w:spacing w:val="-2"/>
        </w:rPr>
        <w:t>motives</w:t>
      </w:r>
      <w:r>
        <w:rPr>
          <w:spacing w:val="-10"/>
        </w:rPr>
        <w:t> </w:t>
      </w:r>
      <w:r>
        <w:rPr>
          <w:spacing w:val="-2"/>
        </w:rPr>
        <w:t>of</w:t>
      </w:r>
      <w:r>
        <w:rPr>
          <w:spacing w:val="-11"/>
        </w:rPr>
        <w:t> </w:t>
      </w:r>
      <w:r>
        <w:rPr>
          <w:spacing w:val="-2"/>
        </w:rPr>
        <w:t>the</w:t>
      </w:r>
      <w:r>
        <w:rPr>
          <w:spacing w:val="-7"/>
        </w:rPr>
        <w:t> </w:t>
      </w:r>
      <w:r>
        <w:rPr>
          <w:spacing w:val="-2"/>
        </w:rPr>
        <w:t>characters </w:t>
      </w:r>
      <w:r>
        <w:rPr/>
        <w:t>of</w:t>
      </w:r>
      <w:r>
        <w:rPr>
          <w:spacing w:val="-13"/>
        </w:rPr>
        <w:t> </w:t>
      </w:r>
      <w:r>
        <w:rPr/>
        <w:t>Macbeth</w:t>
      </w:r>
      <w:r>
        <w:rPr>
          <w:spacing w:val="-12"/>
        </w:rPr>
        <w:t> </w:t>
      </w:r>
      <w:r>
        <w:rPr/>
        <w:t>and</w:t>
      </w:r>
      <w:r>
        <w:rPr>
          <w:spacing w:val="-13"/>
        </w:rPr>
        <w:t> </w:t>
      </w:r>
      <w:r>
        <w:rPr/>
        <w:t>Lady</w:t>
      </w:r>
      <w:r>
        <w:rPr>
          <w:spacing w:val="-12"/>
        </w:rPr>
        <w:t> </w:t>
      </w:r>
      <w:r>
        <w:rPr/>
        <w:t>Macbeth’s</w:t>
      </w:r>
      <w:r>
        <w:rPr>
          <w:spacing w:val="-13"/>
        </w:rPr>
        <w:t> </w:t>
      </w:r>
      <w:r>
        <w:rPr/>
        <w:t>intentions</w:t>
      </w:r>
      <w:r>
        <w:rPr>
          <w:spacing w:val="-12"/>
        </w:rPr>
        <w:t> </w:t>
      </w:r>
      <w:r>
        <w:rPr/>
        <w:t>of</w:t>
      </w:r>
      <w:r>
        <w:rPr>
          <w:spacing w:val="-13"/>
        </w:rPr>
        <w:t> </w:t>
      </w:r>
      <w:r>
        <w:rPr/>
        <w:t>making</w:t>
      </w:r>
      <w:r>
        <w:rPr>
          <w:spacing w:val="-12"/>
        </w:rPr>
        <w:t> </w:t>
      </w:r>
      <w:r>
        <w:rPr/>
        <w:t>inhuman</w:t>
      </w:r>
      <w:r>
        <w:rPr>
          <w:spacing w:val="-13"/>
        </w:rPr>
        <w:t> </w:t>
      </w:r>
      <w:r>
        <w:rPr/>
        <w:t>decisions to</w:t>
      </w:r>
      <w:r>
        <w:rPr>
          <w:spacing w:val="-13"/>
        </w:rPr>
        <w:t> </w:t>
      </w:r>
      <w:r>
        <w:rPr/>
        <w:t>take</w:t>
      </w:r>
      <w:r>
        <w:rPr>
          <w:spacing w:val="-12"/>
        </w:rPr>
        <w:t> </w:t>
      </w:r>
      <w:r>
        <w:rPr/>
        <w:t>over</w:t>
      </w:r>
      <w:r>
        <w:rPr>
          <w:spacing w:val="-13"/>
        </w:rPr>
        <w:t> </w:t>
      </w:r>
      <w:r>
        <w:rPr/>
        <w:t>the</w:t>
      </w:r>
      <w:r>
        <w:rPr>
          <w:spacing w:val="-12"/>
        </w:rPr>
        <w:t> </w:t>
      </w:r>
      <w:r>
        <w:rPr/>
        <w:t>most</w:t>
      </w:r>
      <w:r>
        <w:rPr>
          <w:spacing w:val="-13"/>
        </w:rPr>
        <w:t> </w:t>
      </w:r>
      <w:r>
        <w:rPr/>
        <w:t>dominant</w:t>
      </w:r>
      <w:r>
        <w:rPr>
          <w:spacing w:val="-12"/>
        </w:rPr>
        <w:t> </w:t>
      </w:r>
      <w:r>
        <w:rPr/>
        <w:t>position</w:t>
      </w:r>
      <w:r>
        <w:rPr>
          <w:spacing w:val="-13"/>
        </w:rPr>
        <w:t> </w:t>
      </w:r>
      <w:r>
        <w:rPr/>
        <w:t>in</w:t>
      </w:r>
      <w:r>
        <w:rPr>
          <w:spacing w:val="-12"/>
        </w:rPr>
        <w:t> </w:t>
      </w:r>
      <w:r>
        <w:rPr/>
        <w:t>the</w:t>
      </w:r>
      <w:r>
        <w:rPr>
          <w:spacing w:val="-13"/>
        </w:rPr>
        <w:t> </w:t>
      </w:r>
      <w:r>
        <w:rPr/>
        <w:t>kingdom.</w:t>
      </w:r>
      <w:r>
        <w:rPr>
          <w:spacing w:val="-12"/>
        </w:rPr>
        <w:t> </w:t>
      </w:r>
      <w:r>
        <w:rPr/>
        <w:t>The</w:t>
      </w:r>
      <w:r>
        <w:rPr>
          <w:spacing w:val="-13"/>
        </w:rPr>
        <w:t> </w:t>
      </w:r>
      <w:r>
        <w:rPr/>
        <w:t>supernatural elements have surely played a significant role in leading the characters to their destruction, and in this study, the four women have clearly persuaded the protagonist to rely on their words and actions for his future,</w:t>
      </w:r>
      <w:r>
        <w:rPr>
          <w:spacing w:val="-8"/>
        </w:rPr>
        <w:t> </w:t>
      </w:r>
      <w:r>
        <w:rPr/>
        <w:t>and</w:t>
      </w:r>
      <w:r>
        <w:rPr>
          <w:spacing w:val="-7"/>
        </w:rPr>
        <w:t> </w:t>
      </w:r>
      <w:r>
        <w:rPr/>
        <w:t>he</w:t>
      </w:r>
      <w:r>
        <w:rPr>
          <w:spacing w:val="-8"/>
        </w:rPr>
        <w:t> </w:t>
      </w:r>
      <w:r>
        <w:rPr/>
        <w:t>was</w:t>
      </w:r>
      <w:r>
        <w:rPr>
          <w:spacing w:val="-10"/>
        </w:rPr>
        <w:t> </w:t>
      </w:r>
      <w:r>
        <w:rPr/>
        <w:t>isolated</w:t>
      </w:r>
      <w:r>
        <w:rPr>
          <w:spacing w:val="-7"/>
        </w:rPr>
        <w:t> </w:t>
      </w:r>
      <w:r>
        <w:rPr/>
        <w:t>in</w:t>
      </w:r>
      <w:r>
        <w:rPr>
          <w:spacing w:val="-10"/>
        </w:rPr>
        <w:t> </w:t>
      </w:r>
      <w:r>
        <w:rPr/>
        <w:t>the</w:t>
      </w:r>
      <w:r>
        <w:rPr>
          <w:spacing w:val="-7"/>
        </w:rPr>
        <w:t> </w:t>
      </w:r>
      <w:r>
        <w:rPr/>
        <w:t>end</w:t>
      </w:r>
      <w:r>
        <w:rPr>
          <w:spacing w:val="-7"/>
        </w:rPr>
        <w:t> </w:t>
      </w:r>
      <w:r>
        <w:rPr/>
        <w:t>to</w:t>
      </w:r>
      <w:r>
        <w:rPr>
          <w:spacing w:val="-7"/>
        </w:rPr>
        <w:t> </w:t>
      </w:r>
      <w:r>
        <w:rPr/>
        <w:t>solve</w:t>
      </w:r>
      <w:r>
        <w:rPr>
          <w:spacing w:val="-8"/>
        </w:rPr>
        <w:t> </w:t>
      </w:r>
      <w:r>
        <w:rPr/>
        <w:t>his</w:t>
      </w:r>
      <w:r>
        <w:rPr>
          <w:spacing w:val="-8"/>
        </w:rPr>
        <w:t> </w:t>
      </w:r>
      <w:r>
        <w:rPr/>
        <w:t>own</w:t>
      </w:r>
      <w:r>
        <w:rPr>
          <w:spacing w:val="-10"/>
        </w:rPr>
        <w:t> </w:t>
      </w:r>
      <w:r>
        <w:rPr/>
        <w:t>cruel</w:t>
      </w:r>
      <w:r>
        <w:rPr>
          <w:spacing w:val="-8"/>
        </w:rPr>
        <w:t> </w:t>
      </w:r>
      <w:r>
        <w:rPr/>
        <w:t>unconscious thoughts</w:t>
      </w:r>
      <w:r>
        <w:rPr>
          <w:spacing w:val="40"/>
        </w:rPr>
        <w:t> </w:t>
      </w:r>
      <w:r>
        <w:rPr/>
        <w:t>by</w:t>
      </w:r>
      <w:r>
        <w:rPr>
          <w:spacing w:val="40"/>
        </w:rPr>
        <w:t> </w:t>
      </w:r>
      <w:r>
        <w:rPr/>
        <w:t>himself.</w:t>
      </w:r>
    </w:p>
    <w:p>
      <w:pPr>
        <w:pStyle w:val="Heading3"/>
        <w:spacing w:before="164"/>
        <w:jc w:val="both"/>
      </w:pPr>
      <w:r>
        <w:rPr>
          <w:w w:val="90"/>
        </w:rPr>
        <w:t>WORKS</w:t>
      </w:r>
      <w:r>
        <w:rPr>
          <w:spacing w:val="6"/>
        </w:rPr>
        <w:t> </w:t>
      </w:r>
      <w:r>
        <w:rPr>
          <w:spacing w:val="-2"/>
          <w:w w:val="95"/>
        </w:rPr>
        <w:t>CITED</w:t>
      </w:r>
    </w:p>
    <w:p>
      <w:pPr>
        <w:pStyle w:val="ListParagraph"/>
        <w:numPr>
          <w:ilvl w:val="0"/>
          <w:numId w:val="66"/>
        </w:numPr>
        <w:tabs>
          <w:tab w:pos="2158" w:val="left" w:leader="none"/>
          <w:tab w:pos="2160" w:val="left" w:leader="none"/>
        </w:tabs>
        <w:spacing w:line="261" w:lineRule="auto" w:before="83" w:after="0"/>
        <w:ind w:left="2160" w:right="1440" w:hanging="315"/>
        <w:jc w:val="both"/>
        <w:rPr>
          <w:sz w:val="19"/>
        </w:rPr>
      </w:pPr>
      <w:r>
        <w:rPr>
          <w:i/>
          <w:sz w:val="19"/>
        </w:rPr>
        <w:t>Folger Shakespeare Library</w:t>
      </w:r>
      <w:r>
        <w:rPr>
          <w:sz w:val="19"/>
        </w:rPr>
        <w:t>, © 1996 – 2026, Folger Shakespeare Library</w:t>
      </w:r>
      <w:r>
        <w:rPr>
          <w:spacing w:val="40"/>
          <w:sz w:val="19"/>
        </w:rPr>
        <w:t> </w:t>
      </w:r>
      <w:r>
        <w:rPr>
          <w:sz w:val="19"/>
        </w:rPr>
        <w:t>Macbeth</w:t>
      </w:r>
      <w:r>
        <w:rPr>
          <w:spacing w:val="40"/>
          <w:sz w:val="19"/>
        </w:rPr>
        <w:t> </w:t>
      </w:r>
      <w:r>
        <w:rPr>
          <w:sz w:val="19"/>
        </w:rPr>
        <w:t>-</w:t>
      </w:r>
      <w:r>
        <w:rPr>
          <w:spacing w:val="40"/>
          <w:sz w:val="19"/>
        </w:rPr>
        <w:t> </w:t>
      </w:r>
      <w:r>
        <w:rPr>
          <w:sz w:val="19"/>
        </w:rPr>
        <w:t>Entire</w:t>
      </w:r>
      <w:r>
        <w:rPr>
          <w:spacing w:val="40"/>
          <w:sz w:val="19"/>
        </w:rPr>
        <w:t> </w:t>
      </w:r>
      <w:r>
        <w:rPr>
          <w:sz w:val="19"/>
        </w:rPr>
        <w:t>Play</w:t>
      </w:r>
      <w:r>
        <w:rPr>
          <w:spacing w:val="40"/>
          <w:sz w:val="19"/>
        </w:rPr>
        <w:t> </w:t>
      </w:r>
      <w:r>
        <w:rPr>
          <w:sz w:val="19"/>
        </w:rPr>
        <w:t>|</w:t>
      </w:r>
      <w:r>
        <w:rPr>
          <w:spacing w:val="40"/>
          <w:sz w:val="19"/>
        </w:rPr>
        <w:t> </w:t>
      </w:r>
      <w:r>
        <w:rPr>
          <w:sz w:val="19"/>
        </w:rPr>
        <w:t>Folger</w:t>
      </w:r>
      <w:r>
        <w:rPr>
          <w:spacing w:val="40"/>
          <w:sz w:val="19"/>
        </w:rPr>
        <w:t> </w:t>
      </w:r>
      <w:r>
        <w:rPr>
          <w:sz w:val="19"/>
        </w:rPr>
        <w:t>Shakespeare</w:t>
      </w:r>
      <w:r>
        <w:rPr>
          <w:spacing w:val="40"/>
          <w:sz w:val="19"/>
        </w:rPr>
        <w:t> </w:t>
      </w:r>
      <w:r>
        <w:rPr>
          <w:sz w:val="19"/>
        </w:rPr>
        <w:t>Library.</w:t>
      </w:r>
    </w:p>
    <w:p>
      <w:pPr>
        <w:pStyle w:val="ListParagraph"/>
        <w:numPr>
          <w:ilvl w:val="0"/>
          <w:numId w:val="66"/>
        </w:numPr>
        <w:tabs>
          <w:tab w:pos="2157" w:val="left" w:leader="none"/>
          <w:tab w:pos="2160" w:val="left" w:leader="none"/>
        </w:tabs>
        <w:spacing w:line="261" w:lineRule="auto" w:before="58" w:after="0"/>
        <w:ind w:left="2160" w:right="1438" w:hanging="315"/>
        <w:jc w:val="both"/>
        <w:rPr>
          <w:sz w:val="19"/>
        </w:rPr>
      </w:pPr>
      <w:r>
        <w:rPr>
          <w:sz w:val="19"/>
        </w:rPr>
        <w:t>Yue-yin. “A Study of Lady Macbeth’s Tragedy from the Perspective</w:t>
      </w:r>
      <w:r>
        <w:rPr>
          <w:spacing w:val="40"/>
          <w:sz w:val="19"/>
        </w:rPr>
        <w:t> </w:t>
      </w:r>
      <w:r>
        <w:rPr>
          <w:sz w:val="19"/>
        </w:rPr>
        <w:t>of</w:t>
      </w:r>
      <w:r>
        <w:rPr>
          <w:spacing w:val="40"/>
          <w:sz w:val="19"/>
        </w:rPr>
        <w:t> </w:t>
      </w:r>
      <w:r>
        <w:rPr>
          <w:sz w:val="19"/>
        </w:rPr>
        <w:t>Feminist</w:t>
      </w:r>
      <w:r>
        <w:rPr>
          <w:spacing w:val="40"/>
          <w:sz w:val="19"/>
        </w:rPr>
        <w:t> </w:t>
      </w:r>
      <w:r>
        <w:rPr>
          <w:sz w:val="19"/>
        </w:rPr>
        <w:t>Criticism.”</w:t>
      </w:r>
      <w:r>
        <w:rPr>
          <w:spacing w:val="40"/>
          <w:sz w:val="19"/>
        </w:rPr>
        <w:t> </w:t>
      </w:r>
      <w:r>
        <w:rPr>
          <w:i/>
          <w:sz w:val="19"/>
        </w:rPr>
        <w:t>Journal</w:t>
      </w:r>
      <w:r>
        <w:rPr>
          <w:i/>
          <w:spacing w:val="40"/>
          <w:sz w:val="19"/>
        </w:rPr>
        <w:t> </w:t>
      </w:r>
      <w:r>
        <w:rPr>
          <w:i/>
          <w:sz w:val="19"/>
        </w:rPr>
        <w:t>of</w:t>
      </w:r>
      <w:r>
        <w:rPr>
          <w:i/>
          <w:spacing w:val="40"/>
          <w:sz w:val="19"/>
        </w:rPr>
        <w:t> </w:t>
      </w:r>
      <w:r>
        <w:rPr>
          <w:i/>
          <w:sz w:val="19"/>
        </w:rPr>
        <w:t>Literature</w:t>
      </w:r>
      <w:r>
        <w:rPr>
          <w:i/>
          <w:spacing w:val="40"/>
          <w:sz w:val="19"/>
        </w:rPr>
        <w:t> </w:t>
      </w:r>
      <w:r>
        <w:rPr>
          <w:i/>
          <w:sz w:val="19"/>
        </w:rPr>
        <w:t>and Art Studies</w:t>
      </w:r>
      <w:r>
        <w:rPr>
          <w:sz w:val="19"/>
        </w:rPr>
        <w:t>, October 2024, Vol. 14, No. 10, pp. 885-891. DOI: </w:t>
      </w:r>
      <w:r>
        <w:rPr>
          <w:spacing w:val="-2"/>
          <w:sz w:val="19"/>
        </w:rPr>
        <w:t>10.17265/2159-5836/2024.10.010.</w:t>
      </w:r>
    </w:p>
    <w:p>
      <w:pPr>
        <w:pStyle w:val="ListParagraph"/>
        <w:numPr>
          <w:ilvl w:val="0"/>
          <w:numId w:val="66"/>
        </w:numPr>
        <w:tabs>
          <w:tab w:pos="2157" w:val="left" w:leader="none"/>
          <w:tab w:pos="2160" w:val="left" w:leader="none"/>
        </w:tabs>
        <w:spacing w:line="261" w:lineRule="auto" w:before="58" w:after="0"/>
        <w:ind w:left="2160" w:right="1438" w:hanging="315"/>
        <w:jc w:val="both"/>
        <w:rPr>
          <w:sz w:val="19"/>
        </w:rPr>
      </w:pPr>
      <w:r>
        <w:rPr>
          <w:sz w:val="19"/>
        </w:rPr>
        <w:t>Cheng. “Feminist Study of Lady Macbeth.” </w:t>
      </w:r>
      <w:r>
        <w:rPr>
          <w:i/>
          <w:sz w:val="19"/>
        </w:rPr>
        <w:t>SHS Web of Conferences</w:t>
      </w:r>
      <w:r>
        <w:rPr>
          <w:i/>
          <w:spacing w:val="40"/>
          <w:sz w:val="19"/>
        </w:rPr>
        <w:t> </w:t>
      </w:r>
      <w:r>
        <w:rPr>
          <w:sz w:val="19"/>
        </w:rPr>
        <w:t>158,</w:t>
      </w:r>
      <w:r>
        <w:rPr>
          <w:spacing w:val="40"/>
          <w:sz w:val="19"/>
        </w:rPr>
        <w:t> </w:t>
      </w:r>
      <w:r>
        <w:rPr>
          <w:sz w:val="19"/>
        </w:rPr>
        <w:t>02025,</w:t>
      </w:r>
      <w:r>
        <w:rPr>
          <w:spacing w:val="40"/>
          <w:sz w:val="19"/>
        </w:rPr>
        <w:t> </w:t>
      </w:r>
      <w:r>
        <w:rPr>
          <w:sz w:val="19"/>
        </w:rPr>
        <w:t>2023,</w:t>
      </w:r>
      <w:r>
        <w:rPr>
          <w:spacing w:val="40"/>
          <w:sz w:val="19"/>
        </w:rPr>
        <w:t> </w:t>
      </w:r>
      <w:r>
        <w:rPr>
          <w:sz w:val="19"/>
        </w:rPr>
        <w:t>pp.1-5.</w:t>
      </w:r>
      <w:r>
        <w:rPr>
          <w:spacing w:val="40"/>
          <w:sz w:val="19"/>
        </w:rPr>
        <w:t> </w:t>
      </w:r>
      <w:r>
        <w:rPr>
          <w:sz w:val="19"/>
        </w:rPr>
        <w:t>DOI:10.1051/shsconf/</w:t>
      </w:r>
    </w:p>
    <w:p>
      <w:pPr>
        <w:spacing w:line="217" w:lineRule="exact" w:before="0"/>
        <w:ind w:left="2160" w:right="0" w:firstLine="0"/>
        <w:jc w:val="left"/>
        <w:rPr>
          <w:sz w:val="19"/>
        </w:rPr>
      </w:pPr>
      <w:r>
        <w:rPr>
          <w:spacing w:val="-2"/>
          <w:sz w:val="19"/>
        </w:rPr>
        <w:t>202315802025.</w:t>
      </w:r>
    </w:p>
    <w:p>
      <w:pPr>
        <w:pStyle w:val="ListParagraph"/>
        <w:numPr>
          <w:ilvl w:val="0"/>
          <w:numId w:val="66"/>
        </w:numPr>
        <w:tabs>
          <w:tab w:pos="2157" w:val="left" w:leader="none"/>
          <w:tab w:pos="2160" w:val="left" w:leader="none"/>
        </w:tabs>
        <w:spacing w:line="261" w:lineRule="auto" w:before="77" w:after="0"/>
        <w:ind w:left="2160" w:right="1438" w:hanging="315"/>
        <w:jc w:val="both"/>
        <w:rPr>
          <w:sz w:val="19"/>
        </w:rPr>
      </w:pPr>
      <w:r>
        <w:rPr>
          <w:sz w:val="19"/>
        </w:rPr>
        <w:t>Panigrahi. “Gender, Power, and Prophecy: Reimagining the Feminine in </w:t>
      </w:r>
      <w:r>
        <w:rPr>
          <w:i/>
          <w:sz w:val="19"/>
        </w:rPr>
        <w:t>Macbeth.</w:t>
      </w:r>
      <w:r>
        <w:rPr>
          <w:sz w:val="19"/>
        </w:rPr>
        <w:t>” </w:t>
      </w:r>
      <w:r>
        <w:rPr>
          <w:i/>
          <w:sz w:val="19"/>
        </w:rPr>
        <w:t>International Journal of English Literature and Social Sciences</w:t>
      </w:r>
      <w:r>
        <w:rPr>
          <w:sz w:val="19"/>
        </w:rPr>
        <w:t>, Vol-10, Issue-6; Nov-Dec, 2025. </w:t>
      </w:r>
      <w:r>
        <w:rPr>
          <w:spacing w:val="-2"/>
          <w:sz w:val="19"/>
        </w:rPr>
        <w:t>DOI:10.22161/ijels.</w:t>
      </w:r>
    </w:p>
    <w:p>
      <w:pPr>
        <w:pStyle w:val="ListParagraph"/>
        <w:numPr>
          <w:ilvl w:val="0"/>
          <w:numId w:val="66"/>
        </w:numPr>
        <w:tabs>
          <w:tab w:pos="2157" w:val="left" w:leader="none"/>
          <w:tab w:pos="2160" w:val="left" w:leader="none"/>
        </w:tabs>
        <w:spacing w:line="261" w:lineRule="auto" w:before="58" w:after="0"/>
        <w:ind w:left="2160" w:right="1433" w:hanging="315"/>
        <w:jc w:val="both"/>
        <w:rPr>
          <w:sz w:val="19"/>
        </w:rPr>
      </w:pPr>
      <w:r>
        <w:rPr>
          <w:sz w:val="19"/>
        </w:rPr>
        <w:t>Dewani. “The Role of Psychological Dilemma in The Play Macbeth.” </w:t>
      </w:r>
      <w:r>
        <w:rPr>
          <w:i/>
          <w:sz w:val="19"/>
        </w:rPr>
        <w:t>IJIRT</w:t>
      </w:r>
      <w:r>
        <w:rPr>
          <w:sz w:val="19"/>
        </w:rPr>
        <w:t>, Volume 9, Issue 5, ISSN: 2349-6002, October</w:t>
      </w:r>
    </w:p>
    <w:p>
      <w:pPr>
        <w:spacing w:line="217" w:lineRule="exact" w:before="0"/>
        <w:ind w:left="2160" w:right="0" w:firstLine="0"/>
        <w:jc w:val="both"/>
        <w:rPr>
          <w:sz w:val="19"/>
        </w:rPr>
      </w:pPr>
      <w:r>
        <w:rPr>
          <w:sz w:val="19"/>
        </w:rPr>
        <w:t>2022,</w:t>
      </w:r>
      <w:r>
        <w:rPr>
          <w:spacing w:val="-2"/>
          <w:sz w:val="19"/>
        </w:rPr>
        <w:t> </w:t>
      </w:r>
      <w:r>
        <w:rPr>
          <w:sz w:val="19"/>
        </w:rPr>
        <w:t>pp.</w:t>
      </w:r>
      <w:r>
        <w:rPr>
          <w:spacing w:val="-1"/>
          <w:sz w:val="19"/>
        </w:rPr>
        <w:t> </w:t>
      </w:r>
      <w:r>
        <w:rPr>
          <w:sz w:val="19"/>
        </w:rPr>
        <w:t>314-</w:t>
      </w:r>
      <w:r>
        <w:rPr>
          <w:spacing w:val="-4"/>
          <w:sz w:val="19"/>
        </w:rPr>
        <w:t>319.</w:t>
      </w:r>
    </w:p>
    <w:p>
      <w:pPr>
        <w:spacing w:after="0" w:line="217" w:lineRule="exact"/>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82400">
                <wp:simplePos x="0" y="0"/>
                <wp:positionH relativeFrom="page">
                  <wp:posOffset>2057400</wp:posOffset>
                </wp:positionH>
                <wp:positionV relativeFrom="page">
                  <wp:posOffset>1788723</wp:posOffset>
                </wp:positionV>
                <wp:extent cx="3655060" cy="140335"/>
                <wp:effectExtent l="0" t="0" r="0" b="0"/>
                <wp:wrapNone/>
                <wp:docPr id="632" name="Textbox 632"/>
                <wp:cNvGraphicFramePr>
                  <a:graphicFrameLocks/>
                </wp:cNvGraphicFramePr>
                <a:graphic>
                  <a:graphicData uri="http://schemas.microsoft.com/office/word/2010/wordprocessingShape">
                    <wps:wsp>
                      <wps:cNvPr id="632" name="Textbox 632"/>
                      <wps:cNvSpPr txBox="1"/>
                      <wps:spPr>
                        <a:xfrm>
                          <a:off x="0" y="0"/>
                          <a:ext cx="3655060" cy="140335"/>
                        </a:xfrm>
                        <a:prstGeom prst="rect">
                          <a:avLst/>
                        </a:prstGeom>
                      </wps:spPr>
                      <wps:txbx>
                        <w:txbxContent>
                          <w:p>
                            <w:pPr>
                              <w:tabs>
                                <w:tab w:pos="5755" w:val="right" w:leader="none"/>
                              </w:tabs>
                              <w:spacing w:line="219" w:lineRule="exact" w:before="0"/>
                              <w:ind w:left="0" w:right="0" w:firstLine="0"/>
                              <w:jc w:val="left"/>
                              <w:rPr>
                                <w:rFonts w:ascii="Verdana" w:hAnsi="Verdana"/>
                                <w:sz w:val="18"/>
                              </w:rPr>
                            </w:pPr>
                            <w:r>
                              <w:rPr>
                                <w:rFonts w:ascii="Verdana" w:hAnsi="Verdana"/>
                                <w:sz w:val="18"/>
                              </w:rPr>
                              <w:t>Women’s Stereotypes</w:t>
                            </w:r>
                            <w:r>
                              <w:rPr>
                                <w:rFonts w:ascii="Verdana" w:hAnsi="Verdana"/>
                                <w:spacing w:val="1"/>
                                <w:sz w:val="18"/>
                              </w:rPr>
                              <w:t> </w:t>
                            </w:r>
                            <w:r>
                              <w:rPr>
                                <w:rFonts w:ascii="Verdana" w:hAnsi="Verdana"/>
                                <w:sz w:val="18"/>
                              </w:rPr>
                              <w:t>and</w:t>
                            </w:r>
                            <w:r>
                              <w:rPr>
                                <w:rFonts w:ascii="Verdana" w:hAnsi="Verdana"/>
                                <w:spacing w:val="3"/>
                                <w:sz w:val="18"/>
                              </w:rPr>
                              <w:t> </w:t>
                            </w:r>
                            <w:r>
                              <w:rPr>
                                <w:rFonts w:ascii="Verdana" w:hAnsi="Verdana"/>
                                <w:sz w:val="18"/>
                              </w:rPr>
                              <w:t>Tropes in</w:t>
                            </w:r>
                            <w:r>
                              <w:rPr>
                                <w:rFonts w:ascii="Verdana" w:hAnsi="Verdana"/>
                                <w:spacing w:val="2"/>
                                <w:sz w:val="18"/>
                              </w:rPr>
                              <w:t> </w:t>
                            </w:r>
                            <w:r>
                              <w:rPr>
                                <w:rFonts w:ascii="Verdana" w:hAnsi="Verdana"/>
                                <w:spacing w:val="-2"/>
                                <w:sz w:val="18"/>
                              </w:rPr>
                              <w:t>Shakespeare’s...</w:t>
                            </w:r>
                            <w:r>
                              <w:rPr>
                                <w:sz w:val="18"/>
                              </w:rPr>
                              <w:tab/>
                            </w:r>
                            <w:r>
                              <w:rPr>
                                <w:rFonts w:ascii="Verdana" w:hAnsi="Verdana"/>
                                <w:spacing w:val="-5"/>
                                <w:sz w:val="18"/>
                              </w:rPr>
                              <w:t>307</w:t>
                            </w:r>
                          </w:p>
                        </w:txbxContent>
                      </wps:txbx>
                      <wps:bodyPr wrap="square" lIns="0" tIns="0" rIns="0" bIns="0" rtlCol="0">
                        <a:noAutofit/>
                      </wps:bodyPr>
                    </wps:wsp>
                  </a:graphicData>
                </a:graphic>
              </wp:anchor>
            </w:drawing>
          </mc:Choice>
          <mc:Fallback>
            <w:pict>
              <v:shape style="position:absolute;margin-left:162pt;margin-top:140.844391pt;width:287.8pt;height:11.05pt;mso-position-horizontal-relative:page;mso-position-vertical-relative:page;z-index:-20334080" type="#_x0000_t202" id="docshape624" filled="false" stroked="false">
                <v:textbox inset="0,0,0,0">
                  <w:txbxContent>
                    <w:p>
                      <w:pPr>
                        <w:tabs>
                          <w:tab w:pos="5755" w:val="right" w:leader="none"/>
                        </w:tabs>
                        <w:spacing w:line="219" w:lineRule="exact" w:before="0"/>
                        <w:ind w:left="0" w:right="0" w:firstLine="0"/>
                        <w:jc w:val="left"/>
                        <w:rPr>
                          <w:rFonts w:ascii="Verdana" w:hAnsi="Verdana"/>
                          <w:sz w:val="18"/>
                        </w:rPr>
                      </w:pPr>
                      <w:r>
                        <w:rPr>
                          <w:rFonts w:ascii="Verdana" w:hAnsi="Verdana"/>
                          <w:sz w:val="18"/>
                        </w:rPr>
                        <w:t>Women’s Stereotypes</w:t>
                      </w:r>
                      <w:r>
                        <w:rPr>
                          <w:rFonts w:ascii="Verdana" w:hAnsi="Verdana"/>
                          <w:spacing w:val="1"/>
                          <w:sz w:val="18"/>
                        </w:rPr>
                        <w:t> </w:t>
                      </w:r>
                      <w:r>
                        <w:rPr>
                          <w:rFonts w:ascii="Verdana" w:hAnsi="Verdana"/>
                          <w:sz w:val="18"/>
                        </w:rPr>
                        <w:t>and</w:t>
                      </w:r>
                      <w:r>
                        <w:rPr>
                          <w:rFonts w:ascii="Verdana" w:hAnsi="Verdana"/>
                          <w:spacing w:val="3"/>
                          <w:sz w:val="18"/>
                        </w:rPr>
                        <w:t> </w:t>
                      </w:r>
                      <w:r>
                        <w:rPr>
                          <w:rFonts w:ascii="Verdana" w:hAnsi="Verdana"/>
                          <w:sz w:val="18"/>
                        </w:rPr>
                        <w:t>Tropes in</w:t>
                      </w:r>
                      <w:r>
                        <w:rPr>
                          <w:rFonts w:ascii="Verdana" w:hAnsi="Verdana"/>
                          <w:spacing w:val="2"/>
                          <w:sz w:val="18"/>
                        </w:rPr>
                        <w:t> </w:t>
                      </w:r>
                      <w:r>
                        <w:rPr>
                          <w:rFonts w:ascii="Verdana" w:hAnsi="Verdana"/>
                          <w:spacing w:val="-2"/>
                          <w:sz w:val="18"/>
                        </w:rPr>
                        <w:t>Shakespeare’s...</w:t>
                      </w:r>
                      <w:r>
                        <w:rPr>
                          <w:sz w:val="18"/>
                        </w:rPr>
                        <w:tab/>
                      </w:r>
                      <w:r>
                        <w:rPr>
                          <w:rFonts w:ascii="Verdana" w:hAnsi="Verdana"/>
                          <w:spacing w:val="-5"/>
                          <w:sz w:val="18"/>
                        </w:rPr>
                        <w:t>307</w:t>
                      </w:r>
                    </w:p>
                  </w:txbxContent>
                </v:textbox>
                <w10:wrap type="none"/>
              </v:shape>
            </w:pict>
          </mc:Fallback>
        </mc:AlternateContent>
      </w:r>
    </w:p>
    <w:p>
      <w:pPr>
        <w:pStyle w:val="BodyText"/>
        <w:spacing w:before="187"/>
        <w:ind w:left="0"/>
      </w:pPr>
    </w:p>
    <w:p>
      <w:pPr>
        <w:spacing w:line="240" w:lineRule="auto"/>
        <w:ind w:left="1072" w:right="0" w:firstLine="0"/>
        <w:rPr>
          <w:sz w:val="20"/>
        </w:rPr>
      </w:pPr>
      <w:r>
        <w:rPr>
          <w:sz w:val="20"/>
        </w:rPr>
        <mc:AlternateContent>
          <mc:Choice Requires="wps">
            <w:drawing>
              <wp:inline distT="0" distB="0" distL="0" distR="0">
                <wp:extent cx="4043679" cy="699770"/>
                <wp:effectExtent l="0" t="0" r="0" b="0"/>
                <wp:docPr id="633" name="Group 633"/>
                <wp:cNvGraphicFramePr>
                  <a:graphicFrameLocks/>
                </wp:cNvGraphicFramePr>
                <a:graphic>
                  <a:graphicData uri="http://schemas.microsoft.com/office/word/2010/wordprocessingGroup">
                    <wpg:wgp>
                      <wpg:cNvPr id="633" name="Group 633"/>
                      <wpg:cNvGrpSpPr/>
                      <wpg:grpSpPr>
                        <a:xfrm>
                          <a:off x="0" y="0"/>
                          <a:ext cx="4043679" cy="699770"/>
                          <a:chExt cx="4043679" cy="699770"/>
                        </a:xfrm>
                      </wpg:grpSpPr>
                      <wps:wsp>
                        <wps:cNvPr id="634" name="Graphic 634"/>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625" coordorigin="0,0" coordsize="6368,1102">
                <v:rect style="position:absolute;left:0;top:0;width:6368;height:1102" id="docshape626"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18240">
                <wp:simplePos x="0" y="0"/>
                <wp:positionH relativeFrom="page">
                  <wp:posOffset>3493008</wp:posOffset>
                </wp:positionH>
                <wp:positionV relativeFrom="paragraph">
                  <wp:posOffset>272923</wp:posOffset>
                </wp:positionV>
                <wp:extent cx="728980" cy="655320"/>
                <wp:effectExtent l="0" t="0" r="0" b="0"/>
                <wp:wrapTopAndBottom/>
                <wp:docPr id="635" name="Group 635"/>
                <wp:cNvGraphicFramePr>
                  <a:graphicFrameLocks/>
                </wp:cNvGraphicFramePr>
                <a:graphic>
                  <a:graphicData uri="http://schemas.microsoft.com/office/word/2010/wordprocessingGroup">
                    <wpg:wgp>
                      <wpg:cNvPr id="635" name="Group 635"/>
                      <wpg:cNvGrpSpPr/>
                      <wpg:grpSpPr>
                        <a:xfrm>
                          <a:off x="0" y="0"/>
                          <a:ext cx="728980" cy="655320"/>
                          <a:chExt cx="728980" cy="655320"/>
                        </a:xfrm>
                      </wpg:grpSpPr>
                      <pic:pic>
                        <pic:nvPicPr>
                          <pic:cNvPr id="636" name="Image 636"/>
                          <pic:cNvPicPr/>
                        </pic:nvPicPr>
                        <pic:blipFill>
                          <a:blip r:embed="rId122" cstate="print"/>
                          <a:stretch>
                            <a:fillRect/>
                          </a:stretch>
                        </pic:blipFill>
                        <pic:spPr>
                          <a:xfrm>
                            <a:off x="0" y="0"/>
                            <a:ext cx="728471" cy="655320"/>
                          </a:xfrm>
                          <a:prstGeom prst="rect">
                            <a:avLst/>
                          </a:prstGeom>
                        </pic:spPr>
                      </pic:pic>
                      <wps:wsp>
                        <wps:cNvPr id="637" name="Textbox 637"/>
                        <wps:cNvSpPr txBox="1"/>
                        <wps:spPr>
                          <a:xfrm>
                            <a:off x="0" y="0"/>
                            <a:ext cx="728980" cy="655320"/>
                          </a:xfrm>
                          <a:prstGeom prst="rect">
                            <a:avLst/>
                          </a:prstGeom>
                        </wps:spPr>
                        <wps:txbx>
                          <w:txbxContent>
                            <w:p>
                              <w:pPr>
                                <w:spacing w:before="372"/>
                                <w:ind w:left="424" w:right="0" w:firstLine="0"/>
                                <w:jc w:val="left"/>
                                <w:rPr>
                                  <w:rFonts w:ascii="Tahoma"/>
                                  <w:b/>
                                  <w:sz w:val="36"/>
                                </w:rPr>
                              </w:pPr>
                              <w:r>
                                <w:rPr>
                                  <w:rFonts w:ascii="Tahoma"/>
                                  <w:b/>
                                  <w:spacing w:val="-5"/>
                                  <w:w w:val="95"/>
                                  <w:sz w:val="36"/>
                                </w:rPr>
                                <w:t>31</w:t>
                              </w:r>
                            </w:p>
                          </w:txbxContent>
                        </wps:txbx>
                        <wps:bodyPr wrap="square" lIns="0" tIns="0" rIns="0" bIns="0" rtlCol="0">
                          <a:noAutofit/>
                        </wps:bodyPr>
                      </wps:wsp>
                    </wpg:wgp>
                  </a:graphicData>
                </a:graphic>
              </wp:anchor>
            </w:drawing>
          </mc:Choice>
          <mc:Fallback>
            <w:pict>
              <v:group style="position:absolute;margin-left:275.040009pt;margin-top:21.490004pt;width:57.4pt;height:51.6pt;mso-position-horizontal-relative:page;mso-position-vertical-relative:paragraph;z-index:-15498240;mso-wrap-distance-left:0;mso-wrap-distance-right:0" id="docshapegroup627" coordorigin="5501,430" coordsize="1148,1032">
                <v:shape style="position:absolute;left:5500;top:429;width:1148;height:1032" type="#_x0000_t75" id="docshape628" stroked="false">
                  <v:imagedata r:id="rId122" o:title=""/>
                </v:shape>
                <v:shape style="position:absolute;left:5500;top:429;width:1148;height:1032" type="#_x0000_t202" id="docshape629" filled="false" stroked="false">
                  <v:textbox inset="0,0,0,0">
                    <w:txbxContent>
                      <w:p>
                        <w:pPr>
                          <w:spacing w:before="372"/>
                          <w:ind w:left="424" w:right="0" w:firstLine="0"/>
                          <w:jc w:val="left"/>
                          <w:rPr>
                            <w:rFonts w:ascii="Tahoma"/>
                            <w:b/>
                            <w:sz w:val="36"/>
                          </w:rPr>
                        </w:pPr>
                        <w:r>
                          <w:rPr>
                            <w:rFonts w:ascii="Tahoma"/>
                            <w:b/>
                            <w:spacing w:val="-5"/>
                            <w:w w:val="95"/>
                            <w:sz w:val="36"/>
                          </w:rPr>
                          <w:t>31</w:t>
                        </w:r>
                      </w:p>
                    </w:txbxContent>
                  </v:textbox>
                  <w10:wrap type="none"/>
                </v:shape>
                <w10:wrap type="topAndBottom"/>
              </v:group>
            </w:pict>
          </mc:Fallback>
        </mc:AlternateContent>
      </w:r>
    </w:p>
    <w:p>
      <w:pPr>
        <w:pStyle w:val="Heading1"/>
        <w:spacing w:line="211" w:lineRule="auto" w:before="28"/>
        <w:ind w:left="1352" w:right="1359"/>
      </w:pPr>
      <w:r>
        <w:rPr>
          <w:spacing w:val="-6"/>
        </w:rPr>
        <w:t>The</w:t>
      </w:r>
      <w:r>
        <w:rPr>
          <w:spacing w:val="-18"/>
        </w:rPr>
        <w:t> </w:t>
      </w:r>
      <w:r>
        <w:rPr>
          <w:spacing w:val="-6"/>
        </w:rPr>
        <w:t>Politics</w:t>
      </w:r>
      <w:r>
        <w:rPr>
          <w:spacing w:val="-17"/>
        </w:rPr>
        <w:t> </w:t>
      </w:r>
      <w:r>
        <w:rPr>
          <w:spacing w:val="-6"/>
        </w:rPr>
        <w:t>of</w:t>
      </w:r>
      <w:r>
        <w:rPr>
          <w:spacing w:val="-18"/>
        </w:rPr>
        <w:t> </w:t>
      </w:r>
      <w:r>
        <w:rPr>
          <w:spacing w:val="-6"/>
        </w:rPr>
        <w:t>Silence:</w:t>
      </w:r>
      <w:r>
        <w:rPr>
          <w:spacing w:val="-17"/>
        </w:rPr>
        <w:t> </w:t>
      </w:r>
      <w:r>
        <w:rPr>
          <w:spacing w:val="-6"/>
        </w:rPr>
        <w:t>Re-</w:t>
      </w:r>
      <w:r>
        <w:rPr>
          <w:spacing w:val="-6"/>
        </w:rPr>
        <w:t>reading </w:t>
      </w:r>
      <w:r>
        <w:rPr/>
        <w:t>Desdemona and Ophelia in the</w:t>
      </w:r>
    </w:p>
    <w:p>
      <w:pPr>
        <w:tabs>
          <w:tab w:pos="1972" w:val="left" w:leader="none"/>
          <w:tab w:pos="5759" w:val="left" w:leader="none"/>
        </w:tabs>
        <w:spacing w:line="347" w:lineRule="exact" w:before="0"/>
        <w:ind w:left="0" w:right="0" w:firstLine="0"/>
        <w:jc w:val="center"/>
        <w:rPr>
          <w:rFonts w:ascii="Tahoma"/>
          <w:b/>
          <w:sz w:val="32"/>
        </w:rPr>
      </w:pPr>
      <w:r>
        <w:rPr>
          <w:sz w:val="32"/>
          <w:u w:val="single"/>
        </w:rPr>
        <w:tab/>
      </w:r>
      <w:r>
        <w:rPr>
          <w:rFonts w:ascii="Tahoma"/>
          <w:b/>
          <w:w w:val="90"/>
          <w:sz w:val="32"/>
          <w:u w:val="single"/>
        </w:rPr>
        <w:t>#MeToo</w:t>
      </w:r>
      <w:r>
        <w:rPr>
          <w:rFonts w:ascii="Tahoma"/>
          <w:b/>
          <w:spacing w:val="38"/>
          <w:sz w:val="32"/>
          <w:u w:val="single"/>
        </w:rPr>
        <w:t> </w:t>
      </w:r>
      <w:r>
        <w:rPr>
          <w:rFonts w:ascii="Tahoma"/>
          <w:b/>
          <w:spacing w:val="-5"/>
          <w:sz w:val="32"/>
          <w:u w:val="single"/>
        </w:rPr>
        <w:t>Era</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818752">
                <wp:simplePos x="0" y="0"/>
                <wp:positionH relativeFrom="page">
                  <wp:posOffset>2057400</wp:posOffset>
                </wp:positionH>
                <wp:positionV relativeFrom="paragraph">
                  <wp:posOffset>60051</wp:posOffset>
                </wp:positionV>
                <wp:extent cx="3657600" cy="7620"/>
                <wp:effectExtent l="0" t="0" r="0" b="0"/>
                <wp:wrapTopAndBottom/>
                <wp:docPr id="638" name="Graphic 638"/>
                <wp:cNvGraphicFramePr>
                  <a:graphicFrameLocks/>
                </wp:cNvGraphicFramePr>
                <a:graphic>
                  <a:graphicData uri="http://schemas.microsoft.com/office/word/2010/wordprocessingShape">
                    <wps:wsp>
                      <wps:cNvPr id="638" name="Graphic 638"/>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39pt;width:288.000009pt;height:.600014pt;mso-position-horizontal-relative:page;mso-position-vertical-relative:paragraph;z-index:-15497728;mso-wrap-distance-left:0;mso-wrap-distance-right:0" id="docshape630"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7"/>
        <w:jc w:val="right"/>
        <w:rPr>
          <w:rFonts w:ascii="Times New Roman"/>
        </w:rPr>
      </w:pPr>
      <w:r>
        <w:rPr>
          <w:rFonts w:ascii="Times New Roman"/>
          <w:spacing w:val="-2"/>
        </w:rPr>
        <w:t>Preety</w:t>
      </w:r>
    </w:p>
    <w:p>
      <w:pPr>
        <w:spacing w:before="15"/>
        <w:ind w:left="0" w:right="1440" w:firstLine="0"/>
        <w:jc w:val="right"/>
        <w:rPr>
          <w:i/>
          <w:sz w:val="19"/>
        </w:rPr>
      </w:pPr>
      <w:r>
        <w:rPr>
          <w:i/>
          <w:sz w:val="19"/>
        </w:rPr>
        <w:t>Assistant</w:t>
      </w:r>
      <w:r>
        <w:rPr>
          <w:i/>
          <w:spacing w:val="55"/>
          <w:sz w:val="19"/>
        </w:rPr>
        <w:t> </w:t>
      </w:r>
      <w:r>
        <w:rPr>
          <w:i/>
          <w:sz w:val="19"/>
        </w:rPr>
        <w:t>Professor</w:t>
      </w:r>
      <w:r>
        <w:rPr>
          <w:i/>
          <w:spacing w:val="56"/>
          <w:sz w:val="19"/>
        </w:rPr>
        <w:t> </w:t>
      </w:r>
      <w:r>
        <w:rPr>
          <w:i/>
          <w:sz w:val="19"/>
        </w:rPr>
        <w:t>of</w:t>
      </w:r>
      <w:r>
        <w:rPr>
          <w:i/>
          <w:spacing w:val="59"/>
          <w:sz w:val="19"/>
        </w:rPr>
        <w:t> </w:t>
      </w:r>
      <w:r>
        <w:rPr>
          <w:i/>
          <w:sz w:val="19"/>
        </w:rPr>
        <w:t>English,</w:t>
      </w:r>
      <w:r>
        <w:rPr>
          <w:i/>
          <w:spacing w:val="56"/>
          <w:sz w:val="19"/>
        </w:rPr>
        <w:t> </w:t>
      </w:r>
      <w:r>
        <w:rPr>
          <w:i/>
          <w:sz w:val="19"/>
        </w:rPr>
        <w:t>Lord</w:t>
      </w:r>
      <w:r>
        <w:rPr>
          <w:i/>
          <w:spacing w:val="60"/>
          <w:sz w:val="19"/>
        </w:rPr>
        <w:t> </w:t>
      </w:r>
      <w:r>
        <w:rPr>
          <w:i/>
          <w:sz w:val="19"/>
        </w:rPr>
        <w:t>krishna</w:t>
      </w:r>
      <w:r>
        <w:rPr>
          <w:i/>
          <w:spacing w:val="56"/>
          <w:sz w:val="19"/>
        </w:rPr>
        <w:t> </w:t>
      </w:r>
      <w:r>
        <w:rPr>
          <w:i/>
          <w:sz w:val="19"/>
        </w:rPr>
        <w:t>college</w:t>
      </w:r>
      <w:r>
        <w:rPr>
          <w:i/>
          <w:spacing w:val="55"/>
          <w:sz w:val="19"/>
        </w:rPr>
        <w:t> </w:t>
      </w:r>
      <w:r>
        <w:rPr>
          <w:i/>
          <w:spacing w:val="-5"/>
          <w:sz w:val="19"/>
        </w:rPr>
        <w:t>of</w:t>
      </w:r>
    </w:p>
    <w:p>
      <w:pPr>
        <w:spacing w:before="10"/>
        <w:ind w:left="0" w:right="1440" w:firstLine="0"/>
        <w:jc w:val="right"/>
        <w:rPr>
          <w:i/>
          <w:sz w:val="19"/>
        </w:rPr>
      </w:pPr>
      <w:r>
        <w:rPr>
          <w:i/>
          <w:sz w:val="19"/>
        </w:rPr>
        <w:t>Education,</w:t>
      </w:r>
      <w:r>
        <w:rPr>
          <w:i/>
          <w:spacing w:val="59"/>
          <w:w w:val="150"/>
          <w:sz w:val="19"/>
        </w:rPr>
        <w:t> </w:t>
      </w:r>
      <w:r>
        <w:rPr>
          <w:i/>
          <w:sz w:val="19"/>
        </w:rPr>
        <w:t>Adhoya,</w:t>
      </w:r>
      <w:r>
        <w:rPr>
          <w:i/>
          <w:spacing w:val="59"/>
          <w:w w:val="150"/>
          <w:sz w:val="19"/>
        </w:rPr>
        <w:t> </w:t>
      </w:r>
      <w:r>
        <w:rPr>
          <w:i/>
          <w:spacing w:val="-2"/>
          <w:sz w:val="19"/>
        </w:rPr>
        <w:t>Ambala</w:t>
      </w:r>
    </w:p>
    <w:p>
      <w:pPr>
        <w:pStyle w:val="BodyText"/>
        <w:spacing w:before="160"/>
        <w:ind w:left="0"/>
        <w:rPr>
          <w:i/>
          <w:sz w:val="19"/>
        </w:rPr>
      </w:pPr>
    </w:p>
    <w:p>
      <w:pPr>
        <w:pStyle w:val="Heading3"/>
        <w:spacing w:before="1"/>
      </w:pPr>
      <w:r>
        <w:rPr>
          <w:spacing w:val="-2"/>
        </w:rPr>
        <w:t>ABSTRACT</w:t>
      </w:r>
    </w:p>
    <w:p>
      <w:pPr>
        <w:pStyle w:val="BodyText"/>
        <w:spacing w:line="266" w:lineRule="auto" w:before="84"/>
        <w:ind w:right="1439" w:firstLine="432"/>
        <w:jc w:val="both"/>
      </w:pPr>
      <w:r>
        <w:rPr/>
        <w:t>This paper examines the concept of silence as a powerful and politically</w:t>
      </w:r>
      <w:r>
        <w:rPr>
          <w:spacing w:val="-13"/>
        </w:rPr>
        <w:t> </w:t>
      </w:r>
      <w:r>
        <w:rPr/>
        <w:t>charged</w:t>
      </w:r>
      <w:r>
        <w:rPr>
          <w:spacing w:val="-12"/>
        </w:rPr>
        <w:t> </w:t>
      </w:r>
      <w:r>
        <w:rPr/>
        <w:t>tool</w:t>
      </w:r>
      <w:r>
        <w:rPr>
          <w:spacing w:val="-13"/>
        </w:rPr>
        <w:t> </w:t>
      </w:r>
      <w:r>
        <w:rPr/>
        <w:t>in</w:t>
      </w:r>
      <w:r>
        <w:rPr>
          <w:spacing w:val="-12"/>
        </w:rPr>
        <w:t> </w:t>
      </w:r>
      <w:r>
        <w:rPr/>
        <w:t>the</w:t>
      </w:r>
      <w:r>
        <w:rPr>
          <w:spacing w:val="-13"/>
        </w:rPr>
        <w:t> </w:t>
      </w:r>
      <w:r>
        <w:rPr/>
        <w:t>representation</w:t>
      </w:r>
      <w:r>
        <w:rPr>
          <w:spacing w:val="-12"/>
        </w:rPr>
        <w:t> </w:t>
      </w:r>
      <w:r>
        <w:rPr/>
        <w:t>of</w:t>
      </w:r>
      <w:r>
        <w:rPr>
          <w:spacing w:val="-13"/>
        </w:rPr>
        <w:t> </w:t>
      </w:r>
      <w:r>
        <w:rPr/>
        <w:t>women</w:t>
      </w:r>
      <w:r>
        <w:rPr>
          <w:spacing w:val="-12"/>
        </w:rPr>
        <w:t> </w:t>
      </w:r>
      <w:r>
        <w:rPr/>
        <w:t>in</w:t>
      </w:r>
      <w:r>
        <w:rPr>
          <w:spacing w:val="-13"/>
        </w:rPr>
        <w:t> </w:t>
      </w:r>
      <w:r>
        <w:rPr/>
        <w:t>Shakespearean drama, with particular reference to Desdemona in </w:t>
      </w:r>
      <w:r>
        <w:rPr>
          <w:i/>
        </w:rPr>
        <w:t>Othello </w:t>
      </w:r>
      <w:r>
        <w:rPr/>
        <w:t>and Ophelia in </w:t>
      </w:r>
      <w:r>
        <w:rPr>
          <w:i/>
        </w:rPr>
        <w:t>Hamlet</w:t>
      </w:r>
      <w:r>
        <w:rPr/>
        <w:t>. Traditionally perceived as passive and submissive, these characters</w:t>
      </w:r>
      <w:r>
        <w:rPr>
          <w:spacing w:val="-11"/>
        </w:rPr>
        <w:t> </w:t>
      </w:r>
      <w:r>
        <w:rPr/>
        <w:t>are</w:t>
      </w:r>
      <w:r>
        <w:rPr>
          <w:spacing w:val="-10"/>
        </w:rPr>
        <w:t> </w:t>
      </w:r>
      <w:r>
        <w:rPr/>
        <w:t>often</w:t>
      </w:r>
      <w:r>
        <w:rPr>
          <w:spacing w:val="-13"/>
        </w:rPr>
        <w:t> </w:t>
      </w:r>
      <w:r>
        <w:rPr/>
        <w:t>confined</w:t>
      </w:r>
      <w:r>
        <w:rPr>
          <w:spacing w:val="-8"/>
        </w:rPr>
        <w:t> </w:t>
      </w:r>
      <w:r>
        <w:rPr/>
        <w:t>within</w:t>
      </w:r>
      <w:r>
        <w:rPr>
          <w:spacing w:val="-12"/>
        </w:rPr>
        <w:t> </w:t>
      </w:r>
      <w:r>
        <w:rPr/>
        <w:t>patriarchal</w:t>
      </w:r>
      <w:r>
        <w:rPr>
          <w:spacing w:val="-10"/>
        </w:rPr>
        <w:t> </w:t>
      </w:r>
      <w:r>
        <w:rPr/>
        <w:t>narratives</w:t>
      </w:r>
      <w:r>
        <w:rPr>
          <w:spacing w:val="-13"/>
        </w:rPr>
        <w:t> </w:t>
      </w:r>
      <w:r>
        <w:rPr/>
        <w:t>that</w:t>
      </w:r>
      <w:r>
        <w:rPr>
          <w:spacing w:val="-10"/>
        </w:rPr>
        <w:t> </w:t>
      </w:r>
      <w:r>
        <w:rPr/>
        <w:t>limit</w:t>
      </w:r>
      <w:r>
        <w:rPr>
          <w:spacing w:val="-10"/>
        </w:rPr>
        <w:t> </w:t>
      </w:r>
      <w:r>
        <w:rPr/>
        <w:t>their voices and agency. However, in the context of the #MeToo era, their silence demands a critical re-evaluation. Drawing upon feminist and post structuralist frameworks, especially the theories of power and discourse, this study argues that silence is not merely an absence of speech but a reflection of systemic control and gendered oppression. The paper explores how patriarchal structures shape, suppress, and interpret female voices, rendering silence both a sign of victimization and,</w:t>
      </w:r>
      <w:r>
        <w:rPr>
          <w:spacing w:val="40"/>
        </w:rPr>
        <w:t> </w:t>
      </w:r>
      <w:r>
        <w:rPr/>
        <w:t>at</w:t>
      </w:r>
      <w:r>
        <w:rPr>
          <w:spacing w:val="40"/>
        </w:rPr>
        <w:t> </w:t>
      </w:r>
      <w:r>
        <w:rPr/>
        <w:t>times,</w:t>
      </w:r>
      <w:r>
        <w:rPr>
          <w:spacing w:val="40"/>
        </w:rPr>
        <w:t> </w:t>
      </w:r>
      <w:r>
        <w:rPr/>
        <w:t>a</w:t>
      </w:r>
      <w:r>
        <w:rPr>
          <w:spacing w:val="40"/>
        </w:rPr>
        <w:t> </w:t>
      </w:r>
      <w:r>
        <w:rPr/>
        <w:t>subtle form of resistance.</w:t>
      </w:r>
    </w:p>
    <w:p>
      <w:pPr>
        <w:pStyle w:val="BodyText"/>
        <w:spacing w:line="266" w:lineRule="auto" w:before="68"/>
        <w:ind w:right="1439" w:firstLine="432"/>
        <w:jc w:val="both"/>
      </w:pPr>
      <w:r>
        <w:rPr/>
        <w:t>By re-reading these characters through contemporary feminist perspectives,</w:t>
      </w:r>
      <w:r>
        <w:rPr>
          <w:spacing w:val="-13"/>
        </w:rPr>
        <w:t> </w:t>
      </w:r>
      <w:r>
        <w:rPr/>
        <w:t>the</w:t>
      </w:r>
      <w:r>
        <w:rPr>
          <w:spacing w:val="-12"/>
        </w:rPr>
        <w:t> </w:t>
      </w:r>
      <w:r>
        <w:rPr/>
        <w:t>study</w:t>
      </w:r>
      <w:r>
        <w:rPr>
          <w:spacing w:val="-13"/>
        </w:rPr>
        <w:t> </w:t>
      </w:r>
      <w:r>
        <w:rPr/>
        <w:t>highlights</w:t>
      </w:r>
      <w:r>
        <w:rPr>
          <w:spacing w:val="-12"/>
        </w:rPr>
        <w:t> </w:t>
      </w:r>
      <w:r>
        <w:rPr/>
        <w:t>the</w:t>
      </w:r>
      <w:r>
        <w:rPr>
          <w:spacing w:val="-13"/>
        </w:rPr>
        <w:t> </w:t>
      </w:r>
      <w:r>
        <w:rPr/>
        <w:t>relevance</w:t>
      </w:r>
      <w:r>
        <w:rPr>
          <w:spacing w:val="-12"/>
        </w:rPr>
        <w:t> </w:t>
      </w:r>
      <w:r>
        <w:rPr/>
        <w:t>of</w:t>
      </w:r>
      <w:r>
        <w:rPr>
          <w:spacing w:val="-13"/>
        </w:rPr>
        <w:t> </w:t>
      </w:r>
      <w:r>
        <w:rPr/>
        <w:t>Shakespeare’s</w:t>
      </w:r>
      <w:r>
        <w:rPr>
          <w:spacing w:val="-12"/>
        </w:rPr>
        <w:t> </w:t>
      </w:r>
      <w:r>
        <w:rPr/>
        <w:t>women in</w:t>
      </w:r>
      <w:r>
        <w:rPr>
          <w:spacing w:val="-2"/>
        </w:rPr>
        <w:t> </w:t>
      </w:r>
      <w:r>
        <w:rPr/>
        <w:t>ongoing</w:t>
      </w:r>
      <w:r>
        <w:rPr>
          <w:spacing w:val="-2"/>
        </w:rPr>
        <w:t> </w:t>
      </w:r>
      <w:r>
        <w:rPr/>
        <w:t>discussions</w:t>
      </w:r>
      <w:r>
        <w:rPr>
          <w:spacing w:val="-2"/>
        </w:rPr>
        <w:t> </w:t>
      </w:r>
      <w:r>
        <w:rPr/>
        <w:t>about</w:t>
      </w:r>
      <w:r>
        <w:rPr>
          <w:spacing w:val="-1"/>
        </w:rPr>
        <w:t> </w:t>
      </w:r>
      <w:r>
        <w:rPr/>
        <w:t>gender, power,</w:t>
      </w:r>
      <w:r>
        <w:rPr>
          <w:spacing w:val="-2"/>
        </w:rPr>
        <w:t> </w:t>
      </w:r>
      <w:r>
        <w:rPr/>
        <w:t>and voice.</w:t>
      </w:r>
      <w:r>
        <w:rPr>
          <w:spacing w:val="-2"/>
        </w:rPr>
        <w:t> </w:t>
      </w:r>
      <w:r>
        <w:rPr/>
        <w:t>Ultimately,</w:t>
      </w:r>
      <w:r>
        <w:rPr>
          <w:spacing w:val="-2"/>
        </w:rPr>
        <w:t> </w:t>
      </w:r>
      <w:r>
        <w:rPr/>
        <w:t>this paper seeks to reposition silence as an active and meaningful space within</w:t>
      </w:r>
      <w:r>
        <w:rPr>
          <w:spacing w:val="-8"/>
        </w:rPr>
        <w:t> </w:t>
      </w:r>
      <w:r>
        <w:rPr/>
        <w:t>literary</w:t>
      </w:r>
      <w:r>
        <w:rPr>
          <w:spacing w:val="-8"/>
        </w:rPr>
        <w:t> </w:t>
      </w:r>
      <w:r>
        <w:rPr/>
        <w:t>and</w:t>
      </w:r>
      <w:r>
        <w:rPr>
          <w:spacing w:val="-5"/>
        </w:rPr>
        <w:t> </w:t>
      </w:r>
      <w:r>
        <w:rPr/>
        <w:t>cultural</w:t>
      </w:r>
      <w:r>
        <w:rPr>
          <w:spacing w:val="-6"/>
        </w:rPr>
        <w:t> </w:t>
      </w:r>
      <w:r>
        <w:rPr/>
        <w:t>discourse,</w:t>
      </w:r>
      <w:r>
        <w:rPr>
          <w:spacing w:val="-6"/>
        </w:rPr>
        <w:t> </w:t>
      </w:r>
      <w:r>
        <w:rPr/>
        <w:t>aligning</w:t>
      </w:r>
      <w:r>
        <w:rPr>
          <w:spacing w:val="-6"/>
        </w:rPr>
        <w:t> </w:t>
      </w:r>
      <w:r>
        <w:rPr/>
        <w:t>Shakespearean</w:t>
      </w:r>
      <w:r>
        <w:rPr>
          <w:spacing w:val="-8"/>
        </w:rPr>
        <w:t> </w:t>
      </w:r>
      <w:r>
        <w:rPr/>
        <w:t>texts</w:t>
      </w:r>
      <w:r>
        <w:rPr>
          <w:spacing w:val="-6"/>
        </w:rPr>
        <w:t> </w:t>
      </w:r>
      <w:r>
        <w:rPr/>
        <w:t>with the</w:t>
      </w:r>
      <w:r>
        <w:rPr>
          <w:spacing w:val="40"/>
        </w:rPr>
        <w:t> </w:t>
      </w:r>
      <w:r>
        <w:rPr/>
        <w:t>urgent</w:t>
      </w:r>
      <w:r>
        <w:rPr>
          <w:spacing w:val="40"/>
        </w:rPr>
        <w:t> </w:t>
      </w:r>
      <w:r>
        <w:rPr/>
        <w:t>concerns</w:t>
      </w:r>
      <w:r>
        <w:rPr>
          <w:spacing w:val="40"/>
        </w:rPr>
        <w:t> </w:t>
      </w:r>
      <w:r>
        <w:rPr/>
        <w:t>of</w:t>
      </w:r>
      <w:r>
        <w:rPr>
          <w:spacing w:val="40"/>
        </w:rPr>
        <w:t> </w:t>
      </w:r>
      <w:r>
        <w:rPr/>
        <w:t>the</w:t>
      </w:r>
      <w:r>
        <w:rPr>
          <w:spacing w:val="40"/>
        </w:rPr>
        <w:t> </w:t>
      </w:r>
      <w:r>
        <w:rPr/>
        <w:t>#MeToo</w:t>
      </w:r>
      <w:r>
        <w:rPr>
          <w:spacing w:val="40"/>
        </w:rPr>
        <w:t> </w:t>
      </w:r>
      <w:r>
        <w:rPr/>
        <w:t>movement.</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19776">
                <wp:simplePos x="0" y="0"/>
                <wp:positionH relativeFrom="page">
                  <wp:posOffset>2057400</wp:posOffset>
                </wp:positionH>
                <wp:positionV relativeFrom="paragraph">
                  <wp:posOffset>162604</wp:posOffset>
                </wp:positionV>
                <wp:extent cx="3657600" cy="12700"/>
                <wp:effectExtent l="0" t="0" r="0" b="0"/>
                <wp:wrapTopAndBottom/>
                <wp:docPr id="639" name="Graphic 639"/>
                <wp:cNvGraphicFramePr>
                  <a:graphicFrameLocks/>
                </wp:cNvGraphicFramePr>
                <a:graphic>
                  <a:graphicData uri="http://schemas.microsoft.com/office/word/2010/wordprocessingShape">
                    <wps:wsp>
                      <wps:cNvPr id="639" name="Graphic 63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96704;mso-wrap-distance-left:0;mso-wrap-distance-right:0" id="docshape631" filled="true" fillcolor="#000000" stroked="false">
                <v:fill type="solid"/>
                <w10:wrap type="topAndBottom"/>
              </v:rect>
            </w:pict>
          </mc:Fallback>
        </mc:AlternateContent>
      </w:r>
      <w:r>
        <w:rPr>
          <w:rFonts w:ascii="Verdana"/>
          <w:spacing w:val="-5"/>
          <w:sz w:val="18"/>
        </w:rPr>
        <w:t>308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firstLine="432"/>
        <w:jc w:val="both"/>
      </w:pPr>
      <w:r>
        <w:rPr>
          <w:b/>
        </w:rPr>
        <w:t>Keywords:</w:t>
      </w:r>
      <w:r>
        <w:rPr>
          <w:b/>
          <w:spacing w:val="-10"/>
        </w:rPr>
        <w:t> </w:t>
      </w:r>
      <w:r>
        <w:rPr/>
        <w:t>Silence,</w:t>
      </w:r>
      <w:r>
        <w:rPr>
          <w:spacing w:val="-10"/>
        </w:rPr>
        <w:t> </w:t>
      </w:r>
      <w:r>
        <w:rPr/>
        <w:t>Patriarchy,</w:t>
      </w:r>
      <w:r>
        <w:rPr>
          <w:spacing w:val="-8"/>
        </w:rPr>
        <w:t> </w:t>
      </w:r>
      <w:r>
        <w:rPr/>
        <w:t>Shakespeare,</w:t>
      </w:r>
      <w:r>
        <w:rPr>
          <w:spacing w:val="-10"/>
        </w:rPr>
        <w:t> </w:t>
      </w:r>
      <w:r>
        <w:rPr/>
        <w:t>Feminism,</w:t>
      </w:r>
      <w:r>
        <w:rPr>
          <w:spacing w:val="-10"/>
        </w:rPr>
        <w:t> </w:t>
      </w:r>
      <w:r>
        <w:rPr/>
        <w:t>#MeToo, Desdemona, Ophelia, Gender, Power, Discourse, Voice, Resistance</w:t>
      </w:r>
    </w:p>
    <w:p>
      <w:pPr>
        <w:pStyle w:val="Heading3"/>
        <w:numPr>
          <w:ilvl w:val="0"/>
          <w:numId w:val="67"/>
        </w:numPr>
        <w:tabs>
          <w:tab w:pos="1627" w:val="left" w:leader="none"/>
        </w:tabs>
        <w:spacing w:line="240" w:lineRule="auto" w:before="155" w:after="0"/>
        <w:ind w:left="1627" w:right="0" w:hanging="187"/>
        <w:jc w:val="left"/>
      </w:pPr>
      <w:r>
        <w:rPr>
          <w:spacing w:val="-2"/>
          <w:w w:val="95"/>
        </w:rPr>
        <w:t>INTRODUCTION</w:t>
      </w:r>
    </w:p>
    <w:p>
      <w:pPr>
        <w:pStyle w:val="BodyText"/>
        <w:spacing w:line="249" w:lineRule="auto" w:before="76"/>
        <w:ind w:right="1438" w:firstLine="432"/>
        <w:jc w:val="both"/>
      </w:pPr>
      <w:r>
        <w:rPr>
          <w:spacing w:val="-2"/>
        </w:rPr>
        <w:t>The works</w:t>
      </w:r>
      <w:r>
        <w:rPr>
          <w:spacing w:val="-5"/>
        </w:rPr>
        <w:t> </w:t>
      </w:r>
      <w:r>
        <w:rPr>
          <w:spacing w:val="-2"/>
        </w:rPr>
        <w:t>of</w:t>
      </w:r>
      <w:r>
        <w:rPr>
          <w:spacing w:val="-7"/>
        </w:rPr>
        <w:t> </w:t>
      </w:r>
      <w:r>
        <w:rPr>
          <w:spacing w:val="-2"/>
        </w:rPr>
        <w:t>William</w:t>
      </w:r>
      <w:r>
        <w:rPr>
          <w:spacing w:val="-6"/>
        </w:rPr>
        <w:t> </w:t>
      </w:r>
      <w:r>
        <w:rPr>
          <w:spacing w:val="-2"/>
        </w:rPr>
        <w:t>Shakespeare</w:t>
      </w:r>
      <w:r>
        <w:rPr>
          <w:spacing w:val="-7"/>
        </w:rPr>
        <w:t> </w:t>
      </w:r>
      <w:r>
        <w:rPr>
          <w:spacing w:val="-2"/>
        </w:rPr>
        <w:t>have</w:t>
      </w:r>
      <w:r>
        <w:rPr>
          <w:spacing w:val="-4"/>
        </w:rPr>
        <w:t> </w:t>
      </w:r>
      <w:r>
        <w:rPr>
          <w:spacing w:val="-2"/>
        </w:rPr>
        <w:t>always</w:t>
      </w:r>
      <w:r>
        <w:rPr>
          <w:spacing w:val="-5"/>
        </w:rPr>
        <w:t> </w:t>
      </w:r>
      <w:r>
        <w:rPr>
          <w:spacing w:val="-2"/>
        </w:rPr>
        <w:t>been</w:t>
      </w:r>
      <w:r>
        <w:rPr>
          <w:spacing w:val="-5"/>
        </w:rPr>
        <w:t> </w:t>
      </w:r>
      <w:r>
        <w:rPr>
          <w:spacing w:val="-2"/>
        </w:rPr>
        <w:t>prominent</w:t>
      </w:r>
      <w:r>
        <w:rPr>
          <w:spacing w:val="-3"/>
        </w:rPr>
        <w:t> </w:t>
      </w:r>
      <w:r>
        <w:rPr>
          <w:spacing w:val="-2"/>
        </w:rPr>
        <w:t>for </w:t>
      </w:r>
      <w:r>
        <w:rPr/>
        <w:t>their profound understanding of human nature. Still, the representation of women in Shakespearean plays has always been a controversial question. Women like Desdemona and Ophelia tend to be depicted as innocent, submissive, and vulnerable creatures. Nevertheless, beyond this</w:t>
      </w:r>
      <w:r>
        <w:rPr>
          <w:spacing w:val="-3"/>
        </w:rPr>
        <w:t> </w:t>
      </w:r>
      <w:r>
        <w:rPr/>
        <w:t>representation</w:t>
      </w:r>
      <w:r>
        <w:rPr>
          <w:spacing w:val="-3"/>
        </w:rPr>
        <w:t> </w:t>
      </w:r>
      <w:r>
        <w:rPr/>
        <w:t>lie</w:t>
      </w:r>
      <w:r>
        <w:rPr>
          <w:spacing w:val="-5"/>
        </w:rPr>
        <w:t> </w:t>
      </w:r>
      <w:r>
        <w:rPr/>
        <w:t>much</w:t>
      </w:r>
      <w:r>
        <w:rPr>
          <w:spacing w:val="-3"/>
        </w:rPr>
        <w:t> </w:t>
      </w:r>
      <w:r>
        <w:rPr/>
        <w:t>more</w:t>
      </w:r>
      <w:r>
        <w:rPr>
          <w:spacing w:val="-4"/>
        </w:rPr>
        <w:t> </w:t>
      </w:r>
      <w:r>
        <w:rPr/>
        <w:t>complicated</w:t>
      </w:r>
      <w:r>
        <w:rPr>
          <w:spacing w:val="-2"/>
        </w:rPr>
        <w:t> </w:t>
      </w:r>
      <w:r>
        <w:rPr/>
        <w:t>processes</w:t>
      </w:r>
      <w:r>
        <w:rPr>
          <w:spacing w:val="-5"/>
        </w:rPr>
        <w:t> </w:t>
      </w:r>
      <w:r>
        <w:rPr/>
        <w:t>that</w:t>
      </w:r>
      <w:r>
        <w:rPr>
          <w:spacing w:val="-3"/>
        </w:rPr>
        <w:t> </w:t>
      </w:r>
      <w:r>
        <w:rPr/>
        <w:t>depend</w:t>
      </w:r>
      <w:r>
        <w:rPr>
          <w:spacing w:val="-2"/>
        </w:rPr>
        <w:t> </w:t>
      </w:r>
      <w:r>
        <w:rPr/>
        <w:t>on the structure of patriarchy, which influences how these characters navigate their roles and the expectations placed upon them. One of the least</w:t>
      </w:r>
      <w:r>
        <w:rPr>
          <w:spacing w:val="40"/>
        </w:rPr>
        <w:t> </w:t>
      </w:r>
      <w:r>
        <w:rPr/>
        <w:t>considered</w:t>
      </w:r>
      <w:r>
        <w:rPr>
          <w:spacing w:val="40"/>
        </w:rPr>
        <w:t> </w:t>
      </w:r>
      <w:r>
        <w:rPr/>
        <w:t>features</w:t>
      </w:r>
      <w:r>
        <w:rPr>
          <w:spacing w:val="40"/>
        </w:rPr>
        <w:t> </w:t>
      </w:r>
      <w:r>
        <w:rPr/>
        <w:t>of</w:t>
      </w:r>
      <w:r>
        <w:rPr>
          <w:spacing w:val="40"/>
        </w:rPr>
        <w:t> </w:t>
      </w:r>
      <w:r>
        <w:rPr/>
        <w:t>Shakespearean</w:t>
      </w:r>
      <w:r>
        <w:rPr>
          <w:spacing w:val="40"/>
        </w:rPr>
        <w:t> </w:t>
      </w:r>
      <w:r>
        <w:rPr/>
        <w:t>heroines</w:t>
      </w:r>
      <w:r>
        <w:rPr>
          <w:spacing w:val="40"/>
        </w:rPr>
        <w:t> </w:t>
      </w:r>
      <w:r>
        <w:rPr/>
        <w:t>is</w:t>
      </w:r>
      <w:r>
        <w:rPr>
          <w:spacing w:val="40"/>
        </w:rPr>
        <w:t> </w:t>
      </w:r>
      <w:r>
        <w:rPr/>
        <w:t>silence.</w:t>
      </w:r>
    </w:p>
    <w:p>
      <w:pPr>
        <w:pStyle w:val="BodyText"/>
        <w:spacing w:line="249" w:lineRule="auto" w:before="65"/>
        <w:ind w:right="1438" w:firstLine="432"/>
        <w:jc w:val="both"/>
      </w:pPr>
      <w:r>
        <w:rPr/>
        <w:t>As</w:t>
      </w:r>
      <w:r>
        <w:rPr>
          <w:spacing w:val="-12"/>
        </w:rPr>
        <w:t> </w:t>
      </w:r>
      <w:r>
        <w:rPr/>
        <w:t>a</w:t>
      </w:r>
      <w:r>
        <w:rPr>
          <w:spacing w:val="-10"/>
        </w:rPr>
        <w:t> </w:t>
      </w:r>
      <w:r>
        <w:rPr/>
        <w:t>rule,</w:t>
      </w:r>
      <w:r>
        <w:rPr>
          <w:spacing w:val="-12"/>
        </w:rPr>
        <w:t> </w:t>
      </w:r>
      <w:r>
        <w:rPr/>
        <w:t>Shakespearean</w:t>
      </w:r>
      <w:r>
        <w:rPr>
          <w:spacing w:val="-10"/>
        </w:rPr>
        <w:t> </w:t>
      </w:r>
      <w:r>
        <w:rPr/>
        <w:t>female</w:t>
      </w:r>
      <w:r>
        <w:rPr>
          <w:spacing w:val="-11"/>
        </w:rPr>
        <w:t> </w:t>
      </w:r>
      <w:r>
        <w:rPr/>
        <w:t>characters’</w:t>
      </w:r>
      <w:r>
        <w:rPr>
          <w:spacing w:val="-10"/>
        </w:rPr>
        <w:t> </w:t>
      </w:r>
      <w:r>
        <w:rPr/>
        <w:t>experience</w:t>
      </w:r>
      <w:r>
        <w:rPr>
          <w:spacing w:val="-11"/>
        </w:rPr>
        <w:t> </w:t>
      </w:r>
      <w:r>
        <w:rPr/>
        <w:t>difficulties while</w:t>
      </w:r>
      <w:r>
        <w:rPr>
          <w:spacing w:val="-4"/>
        </w:rPr>
        <w:t> </w:t>
      </w:r>
      <w:r>
        <w:rPr/>
        <w:t>trying</w:t>
      </w:r>
      <w:r>
        <w:rPr>
          <w:spacing w:val="-6"/>
        </w:rPr>
        <w:t> </w:t>
      </w:r>
      <w:r>
        <w:rPr/>
        <w:t>to</w:t>
      </w:r>
      <w:r>
        <w:rPr>
          <w:spacing w:val="-1"/>
        </w:rPr>
        <w:t> </w:t>
      </w:r>
      <w:r>
        <w:rPr/>
        <w:t>express</w:t>
      </w:r>
      <w:r>
        <w:rPr>
          <w:spacing w:val="-6"/>
        </w:rPr>
        <w:t> </w:t>
      </w:r>
      <w:r>
        <w:rPr/>
        <w:t>their</w:t>
      </w:r>
      <w:r>
        <w:rPr>
          <w:spacing w:val="-3"/>
        </w:rPr>
        <w:t> </w:t>
      </w:r>
      <w:r>
        <w:rPr/>
        <w:t>thoughts</w:t>
      </w:r>
      <w:r>
        <w:rPr>
          <w:spacing w:val="-5"/>
        </w:rPr>
        <w:t> </w:t>
      </w:r>
      <w:r>
        <w:rPr/>
        <w:t>openly.</w:t>
      </w:r>
      <w:r>
        <w:rPr>
          <w:spacing w:val="-6"/>
        </w:rPr>
        <w:t> </w:t>
      </w:r>
      <w:r>
        <w:rPr/>
        <w:t>Their</w:t>
      </w:r>
      <w:r>
        <w:rPr>
          <w:spacing w:val="-1"/>
        </w:rPr>
        <w:t> </w:t>
      </w:r>
      <w:r>
        <w:rPr/>
        <w:t>attempts</w:t>
      </w:r>
      <w:r>
        <w:rPr>
          <w:spacing w:val="-5"/>
        </w:rPr>
        <w:t> </w:t>
      </w:r>
      <w:r>
        <w:rPr/>
        <w:t>are</w:t>
      </w:r>
      <w:r>
        <w:rPr>
          <w:spacing w:val="-5"/>
        </w:rPr>
        <w:t> </w:t>
      </w:r>
      <w:r>
        <w:rPr/>
        <w:t>usually hindered, interrupted, or ignored altogether. Therefore, in many ways, women in Shakespearean plays were deprived of the right to speak. Silence was imposed</w:t>
      </w:r>
      <w:r>
        <w:rPr>
          <w:spacing w:val="2"/>
        </w:rPr>
        <w:t> </w:t>
      </w:r>
      <w:r>
        <w:rPr/>
        <w:t>upon</w:t>
      </w:r>
      <w:r>
        <w:rPr>
          <w:spacing w:val="-1"/>
        </w:rPr>
        <w:t> </w:t>
      </w:r>
      <w:r>
        <w:rPr/>
        <w:t>them,</w:t>
      </w:r>
      <w:r>
        <w:rPr>
          <w:spacing w:val="3"/>
        </w:rPr>
        <w:t> </w:t>
      </w:r>
      <w:r>
        <w:rPr/>
        <w:t>making</w:t>
      </w:r>
      <w:r>
        <w:rPr>
          <w:spacing w:val="-1"/>
        </w:rPr>
        <w:t> </w:t>
      </w:r>
      <w:r>
        <w:rPr/>
        <w:t>them</w:t>
      </w:r>
      <w:r>
        <w:rPr>
          <w:spacing w:val="-3"/>
        </w:rPr>
        <w:t> </w:t>
      </w:r>
      <w:r>
        <w:rPr/>
        <w:t>oppressed</w:t>
      </w:r>
      <w:r>
        <w:rPr>
          <w:spacing w:val="3"/>
        </w:rPr>
        <w:t> </w:t>
      </w:r>
      <w:r>
        <w:rPr/>
        <w:t>by</w:t>
      </w:r>
      <w:r>
        <w:rPr>
          <w:spacing w:val="-4"/>
        </w:rPr>
        <w:t> </w:t>
      </w:r>
      <w:r>
        <w:rPr>
          <w:spacing w:val="-2"/>
        </w:rPr>
        <w:t>patriarchy.</w:t>
      </w:r>
    </w:p>
    <w:p>
      <w:pPr>
        <w:pStyle w:val="BodyText"/>
        <w:spacing w:line="249" w:lineRule="auto" w:before="64"/>
        <w:ind w:right="1438" w:firstLine="432"/>
        <w:jc w:val="both"/>
      </w:pPr>
      <w:r>
        <w:rPr/>
        <w:t>Given that today women actively fight sexual abuse and gender discrimination through their voices, especially since the emergence of </w:t>
      </w:r>
      <w:r>
        <w:rPr>
          <w:spacing w:val="-4"/>
        </w:rPr>
        <w:t>the #MeToo movement, reconsidering female characters in Shakespearean </w:t>
      </w:r>
      <w:r>
        <w:rPr/>
        <w:t>plays</w:t>
      </w:r>
      <w:r>
        <w:rPr>
          <w:spacing w:val="-1"/>
        </w:rPr>
        <w:t> </w:t>
      </w:r>
      <w:r>
        <w:rPr/>
        <w:t>is</w:t>
      </w:r>
      <w:r>
        <w:rPr>
          <w:spacing w:val="-4"/>
        </w:rPr>
        <w:t> </w:t>
      </w:r>
      <w:r>
        <w:rPr/>
        <w:t>rather important.</w:t>
      </w:r>
      <w:r>
        <w:rPr>
          <w:spacing w:val="-4"/>
        </w:rPr>
        <w:t> </w:t>
      </w:r>
      <w:r>
        <w:rPr/>
        <w:t>Thus, it</w:t>
      </w:r>
      <w:r>
        <w:rPr>
          <w:spacing w:val="-2"/>
        </w:rPr>
        <w:t> </w:t>
      </w:r>
      <w:r>
        <w:rPr/>
        <w:t>became</w:t>
      </w:r>
      <w:r>
        <w:rPr>
          <w:spacing w:val="-2"/>
        </w:rPr>
        <w:t> </w:t>
      </w:r>
      <w:r>
        <w:rPr/>
        <w:t>possible</w:t>
      </w:r>
      <w:r>
        <w:rPr>
          <w:spacing w:val="-1"/>
        </w:rPr>
        <w:t> </w:t>
      </w:r>
      <w:r>
        <w:rPr/>
        <w:t>to</w:t>
      </w:r>
      <w:r>
        <w:rPr>
          <w:spacing w:val="-2"/>
        </w:rPr>
        <w:t> </w:t>
      </w:r>
      <w:r>
        <w:rPr/>
        <w:t>see</w:t>
      </w:r>
      <w:r>
        <w:rPr>
          <w:spacing w:val="-1"/>
        </w:rPr>
        <w:t> </w:t>
      </w:r>
      <w:r>
        <w:rPr/>
        <w:t>Shakespeare’s heroines from an alternative perspective, where their silence can be viewed as resistance. This paper will focus on analysing Desdemona and</w:t>
      </w:r>
      <w:r>
        <w:rPr>
          <w:spacing w:val="40"/>
        </w:rPr>
        <w:t> </w:t>
      </w:r>
      <w:r>
        <w:rPr/>
        <w:t>Ophelia</w:t>
      </w:r>
      <w:r>
        <w:rPr>
          <w:spacing w:val="40"/>
        </w:rPr>
        <w:t> </w:t>
      </w:r>
      <w:r>
        <w:rPr/>
        <w:t>with</w:t>
      </w:r>
      <w:r>
        <w:rPr>
          <w:spacing w:val="40"/>
        </w:rPr>
        <w:t> </w:t>
      </w:r>
      <w:r>
        <w:rPr/>
        <w:t>regard</w:t>
      </w:r>
      <w:r>
        <w:rPr>
          <w:spacing w:val="40"/>
        </w:rPr>
        <w:t> </w:t>
      </w:r>
      <w:r>
        <w:rPr/>
        <w:t>to</w:t>
      </w:r>
      <w:r>
        <w:rPr>
          <w:spacing w:val="40"/>
        </w:rPr>
        <w:t> </w:t>
      </w:r>
      <w:r>
        <w:rPr/>
        <w:t>this</w:t>
      </w:r>
      <w:r>
        <w:rPr>
          <w:spacing w:val="40"/>
        </w:rPr>
        <w:t> </w:t>
      </w:r>
      <w:r>
        <w:rPr/>
        <w:t>aspect.</w:t>
      </w:r>
    </w:p>
    <w:p>
      <w:pPr>
        <w:pStyle w:val="Heading3"/>
        <w:numPr>
          <w:ilvl w:val="0"/>
          <w:numId w:val="67"/>
        </w:numPr>
        <w:tabs>
          <w:tab w:pos="1710" w:val="left" w:leader="none"/>
        </w:tabs>
        <w:spacing w:line="240" w:lineRule="auto" w:before="159" w:after="0"/>
        <w:ind w:left="1710" w:right="0" w:hanging="270"/>
        <w:jc w:val="left"/>
      </w:pPr>
      <w:r>
        <w:rPr>
          <w:w w:val="80"/>
        </w:rPr>
        <w:t>LITERATURE</w:t>
      </w:r>
      <w:r>
        <w:rPr>
          <w:spacing w:val="5"/>
        </w:rPr>
        <w:t> </w:t>
      </w:r>
      <w:r>
        <w:rPr>
          <w:spacing w:val="-2"/>
          <w:w w:val="90"/>
        </w:rPr>
        <w:t>REVIEW</w:t>
      </w:r>
    </w:p>
    <w:p>
      <w:pPr>
        <w:pStyle w:val="BodyText"/>
        <w:spacing w:line="249" w:lineRule="auto" w:before="75"/>
        <w:ind w:right="1438" w:firstLine="432"/>
        <w:jc w:val="both"/>
      </w:pPr>
      <w:r>
        <w:rPr/>
        <w:t>Engagement with the characters created by William Shakespeare has undergone significant changes throughout time, especially</w:t>
      </w:r>
      <w:r>
        <w:rPr>
          <w:spacing w:val="-2"/>
        </w:rPr>
        <w:t> </w:t>
      </w:r>
      <w:r>
        <w:rPr/>
        <w:t>after the rise of feminism</w:t>
      </w:r>
      <w:r>
        <w:rPr>
          <w:spacing w:val="-2"/>
        </w:rPr>
        <w:t> </w:t>
      </w:r>
      <w:r>
        <w:rPr/>
        <w:t>in the late twentieth century. Initially, scholars viewed such</w:t>
      </w:r>
      <w:r>
        <w:rPr>
          <w:spacing w:val="-8"/>
        </w:rPr>
        <w:t> </w:t>
      </w:r>
      <w:r>
        <w:rPr/>
        <w:t>females</w:t>
      </w:r>
      <w:r>
        <w:rPr>
          <w:spacing w:val="-8"/>
        </w:rPr>
        <w:t> </w:t>
      </w:r>
      <w:r>
        <w:rPr/>
        <w:t>as</w:t>
      </w:r>
      <w:r>
        <w:rPr>
          <w:spacing w:val="-11"/>
        </w:rPr>
        <w:t> </w:t>
      </w:r>
      <w:r>
        <w:rPr/>
        <w:t>Desdemona</w:t>
      </w:r>
      <w:r>
        <w:rPr>
          <w:spacing w:val="-7"/>
        </w:rPr>
        <w:t> </w:t>
      </w:r>
      <w:r>
        <w:rPr/>
        <w:t>and</w:t>
      </w:r>
      <w:r>
        <w:rPr>
          <w:spacing w:val="-6"/>
        </w:rPr>
        <w:t> </w:t>
      </w:r>
      <w:r>
        <w:rPr/>
        <w:t>Ophelia</w:t>
      </w:r>
      <w:r>
        <w:rPr>
          <w:spacing w:val="-8"/>
        </w:rPr>
        <w:t> </w:t>
      </w:r>
      <w:r>
        <w:rPr/>
        <w:t>as</w:t>
      </w:r>
      <w:r>
        <w:rPr>
          <w:spacing w:val="-8"/>
        </w:rPr>
        <w:t> </w:t>
      </w:r>
      <w:r>
        <w:rPr/>
        <w:t>helpless</w:t>
      </w:r>
      <w:r>
        <w:rPr>
          <w:spacing w:val="-11"/>
        </w:rPr>
        <w:t> </w:t>
      </w:r>
      <w:r>
        <w:rPr/>
        <w:t>and</w:t>
      </w:r>
      <w:r>
        <w:rPr>
          <w:spacing w:val="-8"/>
        </w:rPr>
        <w:t> </w:t>
      </w:r>
      <w:r>
        <w:rPr/>
        <w:t>passive</w:t>
      </w:r>
      <w:r>
        <w:rPr>
          <w:spacing w:val="-7"/>
        </w:rPr>
        <w:t> </w:t>
      </w:r>
      <w:r>
        <w:rPr/>
        <w:t>victims of tragedy. Nonetheless, the following critical approach became more interested in uncovering the reasons why these females behave the way they</w:t>
      </w:r>
      <w:r>
        <w:rPr>
          <w:spacing w:val="40"/>
        </w:rPr>
        <w:t> </w:t>
      </w:r>
      <w:r>
        <w:rPr/>
        <w:t>do.</w:t>
      </w:r>
    </w:p>
    <w:p>
      <w:pPr>
        <w:pStyle w:val="BodyText"/>
        <w:spacing w:line="249" w:lineRule="auto" w:before="64"/>
        <w:ind w:right="1439" w:firstLine="432"/>
        <w:jc w:val="both"/>
      </w:pPr>
      <w:r>
        <w:rPr>
          <w:spacing w:val="-2"/>
        </w:rPr>
        <w:t>Thus,</w:t>
      </w:r>
      <w:r>
        <w:rPr>
          <w:spacing w:val="-4"/>
        </w:rPr>
        <w:t> </w:t>
      </w:r>
      <w:r>
        <w:rPr>
          <w:spacing w:val="-2"/>
        </w:rPr>
        <w:t>Elaine</w:t>
      </w:r>
      <w:r>
        <w:rPr>
          <w:spacing w:val="-7"/>
        </w:rPr>
        <w:t> </w:t>
      </w:r>
      <w:r>
        <w:rPr>
          <w:spacing w:val="-2"/>
        </w:rPr>
        <w:t>Showalter</w:t>
      </w:r>
      <w:r>
        <w:rPr>
          <w:spacing w:val="-4"/>
        </w:rPr>
        <w:t> </w:t>
      </w:r>
      <w:r>
        <w:rPr>
          <w:spacing w:val="-2"/>
        </w:rPr>
        <w:t>proposes</w:t>
      </w:r>
      <w:r>
        <w:rPr>
          <w:spacing w:val="-7"/>
        </w:rPr>
        <w:t> </w:t>
      </w:r>
      <w:r>
        <w:rPr>
          <w:spacing w:val="-2"/>
        </w:rPr>
        <w:t>an</w:t>
      </w:r>
      <w:r>
        <w:rPr>
          <w:spacing w:val="-9"/>
        </w:rPr>
        <w:t> </w:t>
      </w:r>
      <w:r>
        <w:rPr>
          <w:spacing w:val="-2"/>
        </w:rPr>
        <w:t>alternative</w:t>
      </w:r>
      <w:r>
        <w:rPr>
          <w:spacing w:val="-9"/>
        </w:rPr>
        <w:t> </w:t>
      </w:r>
      <w:r>
        <w:rPr>
          <w:spacing w:val="-2"/>
        </w:rPr>
        <w:t>reading</w:t>
      </w:r>
      <w:r>
        <w:rPr>
          <w:spacing w:val="-9"/>
        </w:rPr>
        <w:t> </w:t>
      </w:r>
      <w:r>
        <w:rPr>
          <w:spacing w:val="-2"/>
        </w:rPr>
        <w:t>of</w:t>
      </w:r>
      <w:r>
        <w:rPr>
          <w:spacing w:val="-7"/>
        </w:rPr>
        <w:t> </w:t>
      </w:r>
      <w:r>
        <w:rPr>
          <w:spacing w:val="-2"/>
        </w:rPr>
        <w:t>Ophelia’s </w:t>
      </w:r>
      <w:r>
        <w:rPr/>
        <w:t>madness, considering her insanity to be a social construction rather</w:t>
      </w:r>
      <w:r>
        <w:rPr>
          <w:spacing w:val="80"/>
        </w:rPr>
        <w:t> </w:t>
      </w:r>
      <w:r>
        <w:rPr/>
        <w:t>than merely a product of emotional outburst.</w:t>
      </w:r>
      <w:r>
        <w:rPr>
          <w:spacing w:val="-3"/>
        </w:rPr>
        <w:t> </w:t>
      </w:r>
      <w:r>
        <w:rPr/>
        <w:t>According to the scholar, the reason for Ophelia’s madness lies in the lack of options for women and</w:t>
      </w:r>
      <w:r>
        <w:rPr>
          <w:spacing w:val="9"/>
        </w:rPr>
        <w:t> </w:t>
      </w:r>
      <w:r>
        <w:rPr/>
        <w:t>the</w:t>
      </w:r>
      <w:r>
        <w:rPr>
          <w:spacing w:val="11"/>
        </w:rPr>
        <w:t> </w:t>
      </w:r>
      <w:r>
        <w:rPr/>
        <w:t>consequences</w:t>
      </w:r>
      <w:r>
        <w:rPr>
          <w:spacing w:val="7"/>
        </w:rPr>
        <w:t> </w:t>
      </w:r>
      <w:r>
        <w:rPr/>
        <w:t>of</w:t>
      </w:r>
      <w:r>
        <w:rPr>
          <w:spacing w:val="10"/>
        </w:rPr>
        <w:t> </w:t>
      </w:r>
      <w:r>
        <w:rPr/>
        <w:t>living</w:t>
      </w:r>
      <w:r>
        <w:rPr>
          <w:spacing w:val="7"/>
        </w:rPr>
        <w:t> </w:t>
      </w:r>
      <w:r>
        <w:rPr/>
        <w:t>in</w:t>
      </w:r>
      <w:r>
        <w:rPr>
          <w:spacing w:val="11"/>
        </w:rPr>
        <w:t> </w:t>
      </w:r>
      <w:r>
        <w:rPr/>
        <w:t>a</w:t>
      </w:r>
      <w:r>
        <w:rPr>
          <w:spacing w:val="8"/>
        </w:rPr>
        <w:t> </w:t>
      </w:r>
      <w:r>
        <w:rPr/>
        <w:t>patriarchal</w:t>
      </w:r>
      <w:r>
        <w:rPr>
          <w:spacing w:val="11"/>
        </w:rPr>
        <w:t> </w:t>
      </w:r>
      <w:r>
        <w:rPr/>
        <w:t>society</w:t>
      </w:r>
      <w:r>
        <w:rPr>
          <w:spacing w:val="5"/>
        </w:rPr>
        <w:t> </w:t>
      </w:r>
      <w:r>
        <w:rPr/>
        <w:t>(Showalter</w:t>
      </w:r>
      <w:r>
        <w:rPr>
          <w:spacing w:val="12"/>
        </w:rPr>
        <w:t> </w:t>
      </w:r>
      <w:r>
        <w:rPr>
          <w:spacing w:val="-4"/>
        </w:rPr>
        <w:t>80).</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20288">
                <wp:simplePos x="0" y="0"/>
                <wp:positionH relativeFrom="page">
                  <wp:posOffset>2065020</wp:posOffset>
                </wp:positionH>
                <wp:positionV relativeFrom="paragraph">
                  <wp:posOffset>795020</wp:posOffset>
                </wp:positionV>
                <wp:extent cx="3657600" cy="12700"/>
                <wp:effectExtent l="0" t="0" r="0" b="0"/>
                <wp:wrapTopAndBottom/>
                <wp:docPr id="640" name="Graphic 640"/>
                <wp:cNvGraphicFramePr>
                  <a:graphicFrameLocks/>
                </wp:cNvGraphicFramePr>
                <a:graphic>
                  <a:graphicData uri="http://schemas.microsoft.com/office/word/2010/wordprocessingShape">
                    <wps:wsp>
                      <wps:cNvPr id="640" name="Graphic 64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96192;mso-wrap-distance-left:0;mso-wrap-distance-right:0" id="docshape632" filled="true" fillcolor="#000000" stroked="false">
                <v:fill type="solid"/>
                <w10:wrap type="topAndBottom"/>
              </v:rect>
            </w:pict>
          </mc:Fallback>
        </mc:AlternateContent>
      </w:r>
      <w:r>
        <w:rPr>
          <w:rFonts w:ascii="Verdana" w:hAnsi="Verdana"/>
          <w:sz w:val="18"/>
        </w:rPr>
        <w:t>Women’s Stereotypes</w:t>
      </w:r>
      <w:r>
        <w:rPr>
          <w:rFonts w:ascii="Verdana" w:hAnsi="Verdana"/>
          <w:spacing w:val="1"/>
          <w:sz w:val="18"/>
        </w:rPr>
        <w:t> </w:t>
      </w:r>
      <w:r>
        <w:rPr>
          <w:rFonts w:ascii="Verdana" w:hAnsi="Verdana"/>
          <w:sz w:val="18"/>
        </w:rPr>
        <w:t>and</w:t>
      </w:r>
      <w:r>
        <w:rPr>
          <w:rFonts w:ascii="Verdana" w:hAnsi="Verdana"/>
          <w:spacing w:val="3"/>
          <w:sz w:val="18"/>
        </w:rPr>
        <w:t> </w:t>
      </w:r>
      <w:r>
        <w:rPr>
          <w:rFonts w:ascii="Verdana" w:hAnsi="Verdana"/>
          <w:sz w:val="18"/>
        </w:rPr>
        <w:t>Tropes in</w:t>
      </w:r>
      <w:r>
        <w:rPr>
          <w:rFonts w:ascii="Verdana" w:hAnsi="Verdana"/>
          <w:spacing w:val="2"/>
          <w:sz w:val="18"/>
        </w:rPr>
        <w:t> </w:t>
      </w:r>
      <w:r>
        <w:rPr>
          <w:rFonts w:ascii="Verdana" w:hAnsi="Verdana"/>
          <w:spacing w:val="-2"/>
          <w:sz w:val="18"/>
        </w:rPr>
        <w:t>Shakespeare’s...</w:t>
      </w:r>
      <w:r>
        <w:rPr>
          <w:sz w:val="18"/>
        </w:rPr>
        <w:tab/>
      </w:r>
      <w:r>
        <w:rPr>
          <w:rFonts w:ascii="Verdana" w:hAnsi="Verdana"/>
          <w:spacing w:val="-5"/>
          <w:sz w:val="18"/>
        </w:rPr>
        <w:t>309</w:t>
      </w:r>
    </w:p>
    <w:p>
      <w:pPr>
        <w:pStyle w:val="BodyText"/>
        <w:spacing w:line="249" w:lineRule="auto" w:before="192"/>
        <w:ind w:right="1439"/>
        <w:jc w:val="both"/>
      </w:pPr>
      <w:r>
        <w:rPr/>
        <w:t>In other words, the author suggests analysing the speech of the</w:t>
      </w:r>
      <w:r>
        <w:rPr>
          <w:spacing w:val="40"/>
        </w:rPr>
        <w:t> </w:t>
      </w:r>
      <w:r>
        <w:rPr/>
        <w:t>character from an indirect point of view.</w:t>
      </w:r>
    </w:p>
    <w:p>
      <w:pPr>
        <w:pStyle w:val="BodyText"/>
        <w:spacing w:line="249" w:lineRule="auto" w:before="59"/>
        <w:ind w:right="1440" w:firstLine="432"/>
        <w:jc w:val="both"/>
      </w:pPr>
      <w:r>
        <w:rPr/>
        <w:t>Moreover, Sandra Gilbert and Susan Gubar explore how female characters can become trapped in predetermined roles due to the work of male authors. In particular, they claim that women’s madness and inability</w:t>
      </w:r>
      <w:r>
        <w:rPr>
          <w:spacing w:val="-7"/>
        </w:rPr>
        <w:t> </w:t>
      </w:r>
      <w:r>
        <w:rPr/>
        <w:t>to</w:t>
      </w:r>
      <w:r>
        <w:rPr>
          <w:spacing w:val="-4"/>
        </w:rPr>
        <w:t> </w:t>
      </w:r>
      <w:r>
        <w:rPr/>
        <w:t>speak</w:t>
      </w:r>
      <w:r>
        <w:rPr>
          <w:spacing w:val="-6"/>
        </w:rPr>
        <w:t> </w:t>
      </w:r>
      <w:r>
        <w:rPr/>
        <w:t>should</w:t>
      </w:r>
      <w:r>
        <w:rPr>
          <w:spacing w:val="-2"/>
        </w:rPr>
        <w:t> </w:t>
      </w:r>
      <w:r>
        <w:rPr/>
        <w:t>be</w:t>
      </w:r>
      <w:r>
        <w:rPr>
          <w:spacing w:val="-7"/>
        </w:rPr>
        <w:t> </w:t>
      </w:r>
      <w:r>
        <w:rPr/>
        <w:t>interpreted</w:t>
      </w:r>
      <w:r>
        <w:rPr>
          <w:spacing w:val="-4"/>
        </w:rPr>
        <w:t> </w:t>
      </w:r>
      <w:r>
        <w:rPr/>
        <w:t>as</w:t>
      </w:r>
      <w:r>
        <w:rPr>
          <w:spacing w:val="-6"/>
        </w:rPr>
        <w:t> </w:t>
      </w:r>
      <w:r>
        <w:rPr/>
        <w:t>symbols</w:t>
      </w:r>
      <w:r>
        <w:rPr>
          <w:spacing w:val="-6"/>
        </w:rPr>
        <w:t> </w:t>
      </w:r>
      <w:r>
        <w:rPr/>
        <w:t>of</w:t>
      </w:r>
      <w:r>
        <w:rPr>
          <w:spacing w:val="-6"/>
        </w:rPr>
        <w:t> </w:t>
      </w:r>
      <w:r>
        <w:rPr/>
        <w:t>their</w:t>
      </w:r>
      <w:r>
        <w:rPr>
          <w:spacing w:val="-4"/>
        </w:rPr>
        <w:t> </w:t>
      </w:r>
      <w:r>
        <w:rPr/>
        <w:t>marginalised positions (Gilbert and Gubar 34). The aforementioned theory could be </w:t>
      </w:r>
      <w:r>
        <w:rPr>
          <w:spacing w:val="-2"/>
        </w:rPr>
        <w:t>applied when</w:t>
      </w:r>
      <w:r>
        <w:rPr>
          <w:spacing w:val="-4"/>
        </w:rPr>
        <w:t> </w:t>
      </w:r>
      <w:r>
        <w:rPr>
          <w:spacing w:val="-2"/>
        </w:rPr>
        <w:t>studying</w:t>
      </w:r>
      <w:r>
        <w:rPr>
          <w:spacing w:val="-6"/>
        </w:rPr>
        <w:t> </w:t>
      </w:r>
      <w:r>
        <w:rPr>
          <w:spacing w:val="-2"/>
        </w:rPr>
        <w:t>both</w:t>
      </w:r>
      <w:r>
        <w:rPr>
          <w:spacing w:val="-4"/>
        </w:rPr>
        <w:t> </w:t>
      </w:r>
      <w:r>
        <w:rPr>
          <w:spacing w:val="-2"/>
        </w:rPr>
        <w:t>Ophelia’s</w:t>
      </w:r>
      <w:r>
        <w:rPr>
          <w:spacing w:val="-3"/>
        </w:rPr>
        <w:t> </w:t>
      </w:r>
      <w:r>
        <w:rPr>
          <w:spacing w:val="-2"/>
        </w:rPr>
        <w:t>and</w:t>
      </w:r>
      <w:r>
        <w:rPr/>
        <w:t> </w:t>
      </w:r>
      <w:r>
        <w:rPr>
          <w:spacing w:val="-2"/>
        </w:rPr>
        <w:t>Desdemona’s</w:t>
      </w:r>
      <w:r>
        <w:rPr>
          <w:spacing w:val="-4"/>
        </w:rPr>
        <w:t> </w:t>
      </w:r>
      <w:r>
        <w:rPr>
          <w:spacing w:val="-2"/>
        </w:rPr>
        <w:t>submissiveness.</w:t>
      </w:r>
    </w:p>
    <w:p>
      <w:pPr>
        <w:pStyle w:val="BodyText"/>
        <w:spacing w:line="249" w:lineRule="auto" w:before="63"/>
        <w:ind w:right="1441" w:firstLine="432"/>
        <w:jc w:val="both"/>
      </w:pPr>
      <w:r>
        <w:rPr/>
        <w:t>It has been noted by feminist scholars like Simone de Beauvoir that women’s Otherness has come about due to the fact that they have always been described in terms of their relationship with the male gender</w:t>
      </w:r>
      <w:r>
        <w:rPr>
          <w:spacing w:val="-4"/>
        </w:rPr>
        <w:t> </w:t>
      </w:r>
      <w:r>
        <w:rPr/>
        <w:t>(de</w:t>
      </w:r>
      <w:r>
        <w:rPr>
          <w:spacing w:val="-5"/>
        </w:rPr>
        <w:t> </w:t>
      </w:r>
      <w:r>
        <w:rPr/>
        <w:t>Beauvoir</w:t>
      </w:r>
      <w:r>
        <w:rPr>
          <w:spacing w:val="-4"/>
        </w:rPr>
        <w:t> </w:t>
      </w:r>
      <w:r>
        <w:rPr/>
        <w:t>26).</w:t>
      </w:r>
      <w:r>
        <w:rPr>
          <w:spacing w:val="-4"/>
        </w:rPr>
        <w:t> </w:t>
      </w:r>
      <w:r>
        <w:rPr/>
        <w:t>This</w:t>
      </w:r>
      <w:r>
        <w:rPr>
          <w:spacing w:val="-6"/>
        </w:rPr>
        <w:t> </w:t>
      </w:r>
      <w:r>
        <w:rPr/>
        <w:t>idea</w:t>
      </w:r>
      <w:r>
        <w:rPr>
          <w:spacing w:val="-7"/>
        </w:rPr>
        <w:t> </w:t>
      </w:r>
      <w:r>
        <w:rPr/>
        <w:t>is</w:t>
      </w:r>
      <w:r>
        <w:rPr>
          <w:spacing w:val="-6"/>
        </w:rPr>
        <w:t> </w:t>
      </w:r>
      <w:r>
        <w:rPr/>
        <w:t>especially</w:t>
      </w:r>
      <w:r>
        <w:rPr>
          <w:spacing w:val="-9"/>
        </w:rPr>
        <w:t> </w:t>
      </w:r>
      <w:r>
        <w:rPr/>
        <w:t>pertinent</w:t>
      </w:r>
      <w:r>
        <w:rPr>
          <w:spacing w:val="-4"/>
        </w:rPr>
        <w:t> </w:t>
      </w:r>
      <w:r>
        <w:rPr/>
        <w:t>to</w:t>
      </w:r>
      <w:r>
        <w:rPr>
          <w:spacing w:val="-4"/>
        </w:rPr>
        <w:t> </w:t>
      </w:r>
      <w:r>
        <w:rPr/>
        <w:t>any</w:t>
      </w:r>
      <w:r>
        <w:rPr>
          <w:spacing w:val="-9"/>
        </w:rPr>
        <w:t> </w:t>
      </w:r>
      <w:r>
        <w:rPr/>
        <w:t>attempt to understand</w:t>
      </w:r>
      <w:r>
        <w:rPr>
          <w:spacing w:val="24"/>
        </w:rPr>
        <w:t> </w:t>
      </w:r>
      <w:r>
        <w:rPr/>
        <w:t>the position occupied by both Desdemona and</w:t>
      </w:r>
      <w:r>
        <w:rPr>
          <w:spacing w:val="24"/>
        </w:rPr>
        <w:t> </w:t>
      </w:r>
      <w:r>
        <w:rPr/>
        <w:t>Ophelia</w:t>
      </w:r>
      <w:r>
        <w:rPr>
          <w:spacing w:val="40"/>
        </w:rPr>
        <w:t> </w:t>
      </w:r>
      <w:r>
        <w:rPr/>
        <w:t>in their</w:t>
      </w:r>
      <w:r>
        <w:rPr>
          <w:spacing w:val="40"/>
        </w:rPr>
        <w:t> </w:t>
      </w:r>
      <w:r>
        <w:rPr/>
        <w:t>stories.</w:t>
      </w:r>
    </w:p>
    <w:p>
      <w:pPr>
        <w:pStyle w:val="BodyText"/>
        <w:spacing w:line="249" w:lineRule="auto" w:before="62"/>
        <w:ind w:right="1439" w:firstLine="432"/>
        <w:jc w:val="both"/>
      </w:pPr>
      <w:r>
        <w:rPr/>
        <w:t>In the same vein, Michel Foucault offers the reader a critical perspective on how the relationship between power and discourse functions. For Foucault, power manifests itself in control of language and knowledge, implying that what is unsaid is sometimes more important</w:t>
      </w:r>
      <w:r>
        <w:rPr>
          <w:spacing w:val="40"/>
        </w:rPr>
        <w:t> </w:t>
      </w:r>
      <w:r>
        <w:rPr/>
        <w:t>that</w:t>
      </w:r>
      <w:r>
        <w:rPr>
          <w:spacing w:val="40"/>
        </w:rPr>
        <w:t> </w:t>
      </w:r>
      <w:r>
        <w:rPr/>
        <w:t>what</w:t>
      </w:r>
      <w:r>
        <w:rPr>
          <w:spacing w:val="40"/>
        </w:rPr>
        <w:t> </w:t>
      </w:r>
      <w:r>
        <w:rPr/>
        <w:t>is</w:t>
      </w:r>
      <w:r>
        <w:rPr>
          <w:spacing w:val="40"/>
        </w:rPr>
        <w:t> </w:t>
      </w:r>
      <w:r>
        <w:rPr/>
        <w:t>actually stated</w:t>
      </w:r>
      <w:r>
        <w:rPr>
          <w:spacing w:val="40"/>
        </w:rPr>
        <w:t> </w:t>
      </w:r>
      <w:r>
        <w:rPr/>
        <w:t>(Foucault</w:t>
      </w:r>
      <w:r>
        <w:rPr>
          <w:spacing w:val="40"/>
        </w:rPr>
        <w:t> </w:t>
      </w:r>
      <w:r>
        <w:rPr/>
        <w:t>27).</w:t>
      </w:r>
    </w:p>
    <w:p>
      <w:pPr>
        <w:pStyle w:val="BodyText"/>
        <w:spacing w:line="249" w:lineRule="auto" w:before="65"/>
        <w:ind w:right="1439" w:firstLine="432"/>
        <w:jc w:val="both"/>
      </w:pPr>
      <w:r>
        <w:rPr/>
        <w:t>Another perspective offered by Judith Butler is that of gender performativity,</w:t>
      </w:r>
      <w:r>
        <w:rPr>
          <w:spacing w:val="-2"/>
        </w:rPr>
        <w:t> </w:t>
      </w:r>
      <w:r>
        <w:rPr/>
        <w:t>which</w:t>
      </w:r>
      <w:r>
        <w:rPr>
          <w:spacing w:val="-5"/>
        </w:rPr>
        <w:t> </w:t>
      </w:r>
      <w:r>
        <w:rPr/>
        <w:t>emphasises</w:t>
      </w:r>
      <w:r>
        <w:rPr>
          <w:spacing w:val="-3"/>
        </w:rPr>
        <w:t> </w:t>
      </w:r>
      <w:r>
        <w:rPr/>
        <w:t>that</w:t>
      </w:r>
      <w:r>
        <w:rPr>
          <w:spacing w:val="-5"/>
        </w:rPr>
        <w:t> </w:t>
      </w:r>
      <w:r>
        <w:rPr/>
        <w:t>gender</w:t>
      </w:r>
      <w:r>
        <w:rPr>
          <w:spacing w:val="-2"/>
        </w:rPr>
        <w:t> </w:t>
      </w:r>
      <w:r>
        <w:rPr/>
        <w:t>does</w:t>
      </w:r>
      <w:r>
        <w:rPr>
          <w:spacing w:val="-5"/>
        </w:rPr>
        <w:t> </w:t>
      </w:r>
      <w:r>
        <w:rPr/>
        <w:t>not</w:t>
      </w:r>
      <w:r>
        <w:rPr>
          <w:spacing w:val="-3"/>
        </w:rPr>
        <w:t> </w:t>
      </w:r>
      <w:r>
        <w:rPr/>
        <w:t>exist</w:t>
      </w:r>
      <w:r>
        <w:rPr>
          <w:spacing w:val="-2"/>
        </w:rPr>
        <w:t> </w:t>
      </w:r>
      <w:r>
        <w:rPr/>
        <w:t>prior</w:t>
      </w:r>
      <w:r>
        <w:rPr>
          <w:spacing w:val="-3"/>
        </w:rPr>
        <w:t> </w:t>
      </w:r>
      <w:r>
        <w:rPr/>
        <w:t>to</w:t>
      </w:r>
      <w:r>
        <w:rPr>
          <w:spacing w:val="-2"/>
        </w:rPr>
        <w:t> </w:t>
      </w:r>
      <w:r>
        <w:rPr/>
        <w:t>but comes into being through repetition (Butler 45). In this regard, one can interpret silence in female characters of Shakespeare’s plays as an aspect of performance.</w:t>
      </w:r>
    </w:p>
    <w:p>
      <w:pPr>
        <w:pStyle w:val="Heading3"/>
        <w:numPr>
          <w:ilvl w:val="0"/>
          <w:numId w:val="67"/>
        </w:numPr>
        <w:tabs>
          <w:tab w:pos="1699" w:val="left" w:leader="none"/>
        </w:tabs>
        <w:spacing w:line="240" w:lineRule="auto" w:before="157" w:after="0"/>
        <w:ind w:left="1699" w:right="0" w:hanging="259"/>
        <w:jc w:val="left"/>
      </w:pPr>
      <w:r>
        <w:rPr>
          <w:w w:val="85"/>
        </w:rPr>
        <w:t>THEORETICAL</w:t>
      </w:r>
      <w:r>
        <w:rPr>
          <w:spacing w:val="27"/>
        </w:rPr>
        <w:t> </w:t>
      </w:r>
      <w:r>
        <w:rPr>
          <w:spacing w:val="-2"/>
        </w:rPr>
        <w:t>FRAMEWORK</w:t>
      </w:r>
    </w:p>
    <w:p>
      <w:pPr>
        <w:pStyle w:val="BodyText"/>
        <w:spacing w:line="266" w:lineRule="auto" w:before="85"/>
        <w:ind w:right="1437" w:firstLine="432"/>
        <w:jc w:val="both"/>
      </w:pPr>
      <w:r>
        <w:rPr/>
        <w:t>An analysis of the silence found within female characters in Shakespeare can be efficiently conducted from a feminist and post-structuralist perspective. The feminist approach will focus on the issue of power and discourse and its connection to the construction of feminine identity. Simone de Beauvoir’s foundational argument that </w:t>
      </w:r>
      <w:r>
        <w:rPr>
          <w:spacing w:val="-2"/>
        </w:rPr>
        <w:t>“one</w:t>
      </w:r>
      <w:r>
        <w:rPr>
          <w:spacing w:val="-9"/>
        </w:rPr>
        <w:t> </w:t>
      </w:r>
      <w:r>
        <w:rPr>
          <w:spacing w:val="-2"/>
        </w:rPr>
        <w:t>is</w:t>
      </w:r>
      <w:r>
        <w:rPr>
          <w:spacing w:val="-11"/>
        </w:rPr>
        <w:t> </w:t>
      </w:r>
      <w:r>
        <w:rPr>
          <w:spacing w:val="-2"/>
        </w:rPr>
        <w:t>not</w:t>
      </w:r>
      <w:r>
        <w:rPr>
          <w:spacing w:val="-10"/>
        </w:rPr>
        <w:t> </w:t>
      </w:r>
      <w:r>
        <w:rPr>
          <w:spacing w:val="-2"/>
        </w:rPr>
        <w:t>born,</w:t>
      </w:r>
      <w:r>
        <w:rPr>
          <w:spacing w:val="-9"/>
        </w:rPr>
        <w:t> </w:t>
      </w:r>
      <w:r>
        <w:rPr>
          <w:spacing w:val="-2"/>
        </w:rPr>
        <w:t>but</w:t>
      </w:r>
      <w:r>
        <w:rPr>
          <w:spacing w:val="-9"/>
        </w:rPr>
        <w:t> </w:t>
      </w:r>
      <w:r>
        <w:rPr>
          <w:spacing w:val="-2"/>
        </w:rPr>
        <w:t>rather</w:t>
      </w:r>
      <w:r>
        <w:rPr>
          <w:spacing w:val="-9"/>
        </w:rPr>
        <w:t> </w:t>
      </w:r>
      <w:r>
        <w:rPr>
          <w:spacing w:val="-2"/>
        </w:rPr>
        <w:t>becomes,</w:t>
      </w:r>
      <w:r>
        <w:rPr>
          <w:spacing w:val="-7"/>
        </w:rPr>
        <w:t> </w:t>
      </w:r>
      <w:r>
        <w:rPr>
          <w:spacing w:val="-2"/>
        </w:rPr>
        <w:t>a</w:t>
      </w:r>
      <w:r>
        <w:rPr>
          <w:spacing w:val="-7"/>
        </w:rPr>
        <w:t> </w:t>
      </w:r>
      <w:r>
        <w:rPr>
          <w:spacing w:val="-2"/>
        </w:rPr>
        <w:t>woman”</w:t>
      </w:r>
      <w:r>
        <w:rPr>
          <w:spacing w:val="-7"/>
        </w:rPr>
        <w:t> </w:t>
      </w:r>
      <w:r>
        <w:rPr>
          <w:spacing w:val="-2"/>
        </w:rPr>
        <w:t>highlights</w:t>
      </w:r>
      <w:r>
        <w:rPr>
          <w:spacing w:val="-11"/>
        </w:rPr>
        <w:t> </w:t>
      </w:r>
      <w:r>
        <w:rPr>
          <w:spacing w:val="-2"/>
        </w:rPr>
        <w:t>the</w:t>
      </w:r>
      <w:r>
        <w:rPr>
          <w:spacing w:val="-6"/>
        </w:rPr>
        <w:t> </w:t>
      </w:r>
      <w:r>
        <w:rPr>
          <w:spacing w:val="-2"/>
        </w:rPr>
        <w:t>constructed </w:t>
      </w:r>
      <w:r>
        <w:rPr/>
        <w:t>nature of gender roles (de Beauvoir 283). This concept is crucial in examining</w:t>
      </w:r>
      <w:r>
        <w:rPr>
          <w:spacing w:val="-5"/>
        </w:rPr>
        <w:t> </w:t>
      </w:r>
      <w:r>
        <w:rPr/>
        <w:t>how</w:t>
      </w:r>
      <w:r>
        <w:rPr>
          <w:spacing w:val="-8"/>
        </w:rPr>
        <w:t> </w:t>
      </w:r>
      <w:r>
        <w:rPr/>
        <w:t>characters</w:t>
      </w:r>
      <w:r>
        <w:rPr>
          <w:spacing w:val="-5"/>
        </w:rPr>
        <w:t> </w:t>
      </w:r>
      <w:r>
        <w:rPr/>
        <w:t>like</w:t>
      </w:r>
      <w:r>
        <w:rPr>
          <w:spacing w:val="-5"/>
        </w:rPr>
        <w:t> </w:t>
      </w:r>
      <w:r>
        <w:rPr/>
        <w:t>Desdemona</w:t>
      </w:r>
      <w:r>
        <w:rPr>
          <w:spacing w:val="-3"/>
        </w:rPr>
        <w:t> </w:t>
      </w:r>
      <w:r>
        <w:rPr/>
        <w:t>and</w:t>
      </w:r>
      <w:r>
        <w:rPr>
          <w:spacing w:val="-5"/>
        </w:rPr>
        <w:t> </w:t>
      </w:r>
      <w:r>
        <w:rPr/>
        <w:t>Ophelia</w:t>
      </w:r>
      <w:r>
        <w:rPr>
          <w:spacing w:val="-2"/>
        </w:rPr>
        <w:t> </w:t>
      </w:r>
      <w:r>
        <w:rPr/>
        <w:t>are</w:t>
      </w:r>
      <w:r>
        <w:rPr>
          <w:spacing w:val="-4"/>
        </w:rPr>
        <w:t> </w:t>
      </w:r>
      <w:r>
        <w:rPr/>
        <w:t>conditioned to embody obedience, modesty, and silence. Their behavior is not inherent but socially imposed, reflecting the expectations of a male-dominated society. Furthermore, Michel Foucault explains his view of the</w:t>
      </w:r>
      <w:r>
        <w:rPr>
          <w:spacing w:val="15"/>
        </w:rPr>
        <w:t> </w:t>
      </w:r>
      <w:r>
        <w:rPr/>
        <w:t>connection</w:t>
      </w:r>
      <w:r>
        <w:rPr>
          <w:spacing w:val="14"/>
        </w:rPr>
        <w:t> </w:t>
      </w:r>
      <w:r>
        <w:rPr/>
        <w:t>between</w:t>
      </w:r>
      <w:r>
        <w:rPr>
          <w:spacing w:val="12"/>
        </w:rPr>
        <w:t> </w:t>
      </w:r>
      <w:r>
        <w:rPr/>
        <w:t>power</w:t>
      </w:r>
      <w:r>
        <w:rPr>
          <w:spacing w:val="16"/>
        </w:rPr>
        <w:t> </w:t>
      </w:r>
      <w:r>
        <w:rPr/>
        <w:t>and</w:t>
      </w:r>
      <w:r>
        <w:rPr>
          <w:spacing w:val="16"/>
        </w:rPr>
        <w:t> </w:t>
      </w:r>
      <w:r>
        <w:rPr/>
        <w:t>discourse</w:t>
      </w:r>
      <w:r>
        <w:rPr>
          <w:spacing w:val="16"/>
        </w:rPr>
        <w:t> </w:t>
      </w:r>
      <w:r>
        <w:rPr/>
        <w:t>by</w:t>
      </w:r>
      <w:r>
        <w:rPr>
          <w:spacing w:val="10"/>
        </w:rPr>
        <w:t> </w:t>
      </w:r>
      <w:r>
        <w:rPr/>
        <w:t>saying</w:t>
      </w:r>
      <w:r>
        <w:rPr>
          <w:spacing w:val="15"/>
        </w:rPr>
        <w:t> </w:t>
      </w:r>
      <w:r>
        <w:rPr/>
        <w:t>that</w:t>
      </w:r>
      <w:r>
        <w:rPr>
          <w:spacing w:val="14"/>
        </w:rPr>
        <w:t> </w:t>
      </w:r>
      <w:r>
        <w:rPr/>
        <w:t>“power</w:t>
      </w:r>
      <w:r>
        <w:rPr>
          <w:spacing w:val="15"/>
        </w:rPr>
        <w:t> </w:t>
      </w:r>
      <w:r>
        <w:rPr>
          <w:spacing w:val="-5"/>
        </w:rPr>
        <w:t>is</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20800">
                <wp:simplePos x="0" y="0"/>
                <wp:positionH relativeFrom="page">
                  <wp:posOffset>2057400</wp:posOffset>
                </wp:positionH>
                <wp:positionV relativeFrom="paragraph">
                  <wp:posOffset>162604</wp:posOffset>
                </wp:positionV>
                <wp:extent cx="3657600" cy="12700"/>
                <wp:effectExtent l="0" t="0" r="0" b="0"/>
                <wp:wrapTopAndBottom/>
                <wp:docPr id="641" name="Graphic 641"/>
                <wp:cNvGraphicFramePr>
                  <a:graphicFrameLocks/>
                </wp:cNvGraphicFramePr>
                <a:graphic>
                  <a:graphicData uri="http://schemas.microsoft.com/office/word/2010/wordprocessingShape">
                    <wps:wsp>
                      <wps:cNvPr id="641" name="Graphic 64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95680;mso-wrap-distance-left:0;mso-wrap-distance-right:0" id="docshape633" filled="true" fillcolor="#000000" stroked="false">
                <v:fill type="solid"/>
                <w10:wrap type="topAndBottom"/>
              </v:rect>
            </w:pict>
          </mc:Fallback>
        </mc:AlternateContent>
      </w:r>
      <w:r>
        <w:rPr>
          <w:rFonts w:ascii="Verdana"/>
          <w:spacing w:val="-5"/>
          <w:sz w:val="18"/>
        </w:rPr>
        <w:t>310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6" w:lineRule="auto" w:before="202"/>
        <w:ind w:right="1437"/>
        <w:jc w:val="both"/>
      </w:pPr>
      <w:r>
        <w:rPr/>
        <w:t>exercised only over free subjects and insofar as they are free” and that</w:t>
      </w:r>
      <w:r>
        <w:rPr>
          <w:spacing w:val="40"/>
        </w:rPr>
        <w:t> </w:t>
      </w:r>
      <w:r>
        <w:rPr/>
        <w:t>it</w:t>
      </w:r>
      <w:r>
        <w:rPr>
          <w:spacing w:val="-8"/>
        </w:rPr>
        <w:t> </w:t>
      </w:r>
      <w:r>
        <w:rPr/>
        <w:t>involves</w:t>
      </w:r>
      <w:r>
        <w:rPr>
          <w:spacing w:val="-8"/>
        </w:rPr>
        <w:t> </w:t>
      </w:r>
      <w:r>
        <w:rPr/>
        <w:t>“what</w:t>
      </w:r>
      <w:r>
        <w:rPr>
          <w:spacing w:val="-8"/>
        </w:rPr>
        <w:t> </w:t>
      </w:r>
      <w:r>
        <w:rPr/>
        <w:t>one</w:t>
      </w:r>
      <w:r>
        <w:rPr>
          <w:spacing w:val="-3"/>
        </w:rPr>
        <w:t> </w:t>
      </w:r>
      <w:r>
        <w:rPr/>
        <w:t>is</w:t>
      </w:r>
      <w:r>
        <w:rPr>
          <w:spacing w:val="-8"/>
        </w:rPr>
        <w:t> </w:t>
      </w:r>
      <w:r>
        <w:rPr/>
        <w:t>capable</w:t>
      </w:r>
      <w:r>
        <w:rPr>
          <w:spacing w:val="-7"/>
        </w:rPr>
        <w:t> </w:t>
      </w:r>
      <w:r>
        <w:rPr/>
        <w:t>of</w:t>
      </w:r>
      <w:r>
        <w:rPr>
          <w:spacing w:val="-8"/>
        </w:rPr>
        <w:t> </w:t>
      </w:r>
      <w:r>
        <w:rPr/>
        <w:t>doing</w:t>
      </w:r>
      <w:r>
        <w:rPr>
          <w:spacing w:val="-8"/>
        </w:rPr>
        <w:t> </w:t>
      </w:r>
      <w:r>
        <w:rPr/>
        <w:t>and,</w:t>
      </w:r>
      <w:r>
        <w:rPr>
          <w:spacing w:val="-6"/>
        </w:rPr>
        <w:t> </w:t>
      </w:r>
      <w:r>
        <w:rPr/>
        <w:t>more</w:t>
      </w:r>
      <w:r>
        <w:rPr>
          <w:spacing w:val="-5"/>
        </w:rPr>
        <w:t> </w:t>
      </w:r>
      <w:r>
        <w:rPr/>
        <w:t>especially,</w:t>
      </w:r>
      <w:r>
        <w:rPr>
          <w:spacing w:val="-6"/>
        </w:rPr>
        <w:t> </w:t>
      </w:r>
      <w:r>
        <w:rPr/>
        <w:t>what</w:t>
      </w:r>
      <w:r>
        <w:rPr>
          <w:spacing w:val="-8"/>
        </w:rPr>
        <w:t> </w:t>
      </w:r>
      <w:r>
        <w:rPr/>
        <w:t>one is permitted to do” (Foucault 27). Thus, silence should be considered</w:t>
      </w:r>
      <w:r>
        <w:rPr>
          <w:spacing w:val="80"/>
        </w:rPr>
        <w:t> </w:t>
      </w:r>
      <w:r>
        <w:rPr/>
        <w:t>an element of discursive power, while the characters’</w:t>
      </w:r>
      <w:r>
        <w:rPr>
          <w:spacing w:val="-9"/>
        </w:rPr>
        <w:t> </w:t>
      </w:r>
      <w:r>
        <w:rPr/>
        <w:t>inability to speak can</w:t>
      </w:r>
      <w:r>
        <w:rPr>
          <w:spacing w:val="-11"/>
        </w:rPr>
        <w:t> </w:t>
      </w:r>
      <w:r>
        <w:rPr/>
        <w:t>be</w:t>
      </w:r>
      <w:r>
        <w:rPr>
          <w:spacing w:val="-6"/>
        </w:rPr>
        <w:t> </w:t>
      </w:r>
      <w:r>
        <w:rPr/>
        <w:t>seen</w:t>
      </w:r>
      <w:r>
        <w:rPr>
          <w:spacing w:val="-11"/>
        </w:rPr>
        <w:t> </w:t>
      </w:r>
      <w:r>
        <w:rPr/>
        <w:t>as</w:t>
      </w:r>
      <w:r>
        <w:rPr>
          <w:spacing w:val="-7"/>
        </w:rPr>
        <w:t> </w:t>
      </w:r>
      <w:r>
        <w:rPr/>
        <w:t>a</w:t>
      </w:r>
      <w:r>
        <w:rPr>
          <w:spacing w:val="-9"/>
        </w:rPr>
        <w:t> </w:t>
      </w:r>
      <w:r>
        <w:rPr/>
        <w:t>sign</w:t>
      </w:r>
      <w:r>
        <w:rPr>
          <w:spacing w:val="-11"/>
        </w:rPr>
        <w:t> </w:t>
      </w:r>
      <w:r>
        <w:rPr/>
        <w:t>of</w:t>
      </w:r>
      <w:r>
        <w:rPr>
          <w:spacing w:val="-9"/>
        </w:rPr>
        <w:t> </w:t>
      </w:r>
      <w:r>
        <w:rPr/>
        <w:t>oppression.</w:t>
      </w:r>
      <w:r>
        <w:rPr>
          <w:spacing w:val="-9"/>
        </w:rPr>
        <w:t> </w:t>
      </w:r>
      <w:r>
        <w:rPr/>
        <w:t>The</w:t>
      </w:r>
      <w:r>
        <w:rPr>
          <w:spacing w:val="-7"/>
        </w:rPr>
        <w:t> </w:t>
      </w:r>
      <w:r>
        <w:rPr/>
        <w:t>theory</w:t>
      </w:r>
      <w:r>
        <w:rPr>
          <w:spacing w:val="-13"/>
        </w:rPr>
        <w:t> </w:t>
      </w:r>
      <w:r>
        <w:rPr/>
        <w:t>of</w:t>
      </w:r>
      <w:r>
        <w:rPr>
          <w:spacing w:val="-9"/>
        </w:rPr>
        <w:t> </w:t>
      </w:r>
      <w:r>
        <w:rPr/>
        <w:t>Gender</w:t>
      </w:r>
      <w:r>
        <w:rPr>
          <w:spacing w:val="-7"/>
        </w:rPr>
        <w:t> </w:t>
      </w:r>
      <w:r>
        <w:rPr/>
        <w:t>performativity put forward by Judith Butler can be another useful approach to understanding the concept of women’s silence. According to Butler, gender is not an inherent feature of a person but a process created by repetitive actions and behaviors (Butler 45). In other words, it can be argued that silence is a form of performance, a behavioral pattern expected from</w:t>
      </w:r>
      <w:r>
        <w:rPr>
          <w:spacing w:val="-2"/>
        </w:rPr>
        <w:t> </w:t>
      </w:r>
      <w:r>
        <w:rPr/>
        <w:t>women. Moreover,</w:t>
      </w:r>
      <w:r>
        <w:rPr>
          <w:spacing w:val="-1"/>
        </w:rPr>
        <w:t> </w:t>
      </w:r>
      <w:r>
        <w:rPr/>
        <w:t>feminists like Elaine Showalter have also pointed out the cultural aspect of women’s speech. According to Showalter, Ophelia’s madness cannot be considered an individual problem; rather, it is caused by the external forces that prevent women from expressing their thoughts freely (Showalter 80). Thus, there is a possibility to interpret women’s silence as a combination of restriction and</w:t>
      </w:r>
      <w:r>
        <w:rPr>
          <w:spacing w:val="40"/>
        </w:rPr>
        <w:t> </w:t>
      </w:r>
      <w:r>
        <w:rPr/>
        <w:t>expression.</w:t>
      </w:r>
    </w:p>
    <w:p>
      <w:pPr>
        <w:spacing w:before="58"/>
        <w:ind w:left="0" w:right="1" w:firstLine="0"/>
        <w:jc w:val="center"/>
        <w:rPr>
          <w:rFonts w:ascii="Cambria"/>
          <w:i/>
          <w:sz w:val="18"/>
        </w:rPr>
      </w:pPr>
      <w:r>
        <w:rPr>
          <w:rFonts w:ascii="Cambria"/>
          <w:i/>
          <w:w w:val="110"/>
          <w:sz w:val="18"/>
        </w:rPr>
        <w:t>Table</w:t>
      </w:r>
      <w:r>
        <w:rPr>
          <w:rFonts w:ascii="Cambria"/>
          <w:i/>
          <w:spacing w:val="3"/>
          <w:w w:val="110"/>
          <w:sz w:val="18"/>
        </w:rPr>
        <w:t> </w:t>
      </w:r>
      <w:r>
        <w:rPr>
          <w:rFonts w:ascii="Cambria"/>
          <w:i/>
          <w:w w:val="110"/>
          <w:sz w:val="18"/>
        </w:rPr>
        <w:t>1:</w:t>
      </w:r>
      <w:r>
        <w:rPr>
          <w:rFonts w:ascii="Cambria"/>
          <w:i/>
          <w:spacing w:val="6"/>
          <w:w w:val="110"/>
          <w:sz w:val="18"/>
        </w:rPr>
        <w:t> </w:t>
      </w:r>
      <w:r>
        <w:rPr>
          <w:rFonts w:ascii="Cambria"/>
          <w:i/>
          <w:w w:val="110"/>
          <w:sz w:val="18"/>
        </w:rPr>
        <w:t>Theoretical</w:t>
      </w:r>
      <w:r>
        <w:rPr>
          <w:rFonts w:ascii="Cambria"/>
          <w:i/>
          <w:spacing w:val="7"/>
          <w:w w:val="110"/>
          <w:sz w:val="18"/>
        </w:rPr>
        <w:t> </w:t>
      </w:r>
      <w:r>
        <w:rPr>
          <w:rFonts w:ascii="Cambria"/>
          <w:i/>
          <w:w w:val="110"/>
          <w:sz w:val="18"/>
        </w:rPr>
        <w:t>Framework</w:t>
      </w:r>
      <w:r>
        <w:rPr>
          <w:rFonts w:ascii="Cambria"/>
          <w:i/>
          <w:spacing w:val="6"/>
          <w:w w:val="110"/>
          <w:sz w:val="18"/>
        </w:rPr>
        <w:t> </w:t>
      </w:r>
      <w:r>
        <w:rPr>
          <w:rFonts w:ascii="Cambria"/>
          <w:i/>
          <w:spacing w:val="-2"/>
          <w:w w:val="110"/>
          <w:sz w:val="18"/>
        </w:rPr>
        <w:t>Mapping</w:t>
      </w:r>
    </w:p>
    <w:p>
      <w:pPr>
        <w:pStyle w:val="BodyText"/>
        <w:spacing w:before="1" w:after="1"/>
        <w:ind w:left="0"/>
        <w:rPr>
          <w:rFonts w:ascii="Cambria"/>
          <w:i/>
          <w:sz w:val="7"/>
        </w:rPr>
      </w:pPr>
    </w:p>
    <w:tbl>
      <w:tblPr>
        <w:tblW w:w="0" w:type="auto"/>
        <w:jc w:val="left"/>
        <w:tblInd w:w="16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84"/>
        <w:gridCol w:w="1794"/>
        <w:gridCol w:w="1788"/>
      </w:tblGrid>
      <w:tr>
        <w:trPr>
          <w:trHeight w:val="166" w:hRule="atLeast"/>
        </w:trPr>
        <w:tc>
          <w:tcPr>
            <w:tcW w:w="1784" w:type="dxa"/>
            <w:tcBorders>
              <w:bottom w:val="single" w:sz="4" w:space="0" w:color="000000"/>
              <w:right w:val="single" w:sz="4" w:space="0" w:color="000000"/>
            </w:tcBorders>
          </w:tcPr>
          <w:p>
            <w:pPr>
              <w:pStyle w:val="TableParagraph"/>
              <w:spacing w:line="146" w:lineRule="exact"/>
              <w:rPr>
                <w:sz w:val="15"/>
              </w:rPr>
            </w:pPr>
            <w:r>
              <w:rPr>
                <w:spacing w:val="-2"/>
                <w:sz w:val="15"/>
              </w:rPr>
              <w:t>Theorist</w:t>
            </w:r>
          </w:p>
        </w:tc>
        <w:tc>
          <w:tcPr>
            <w:tcW w:w="1794" w:type="dxa"/>
            <w:tcBorders>
              <w:left w:val="single" w:sz="4" w:space="0" w:color="000000"/>
              <w:bottom w:val="single" w:sz="4" w:space="0" w:color="000000"/>
              <w:right w:val="single" w:sz="4" w:space="0" w:color="000000"/>
            </w:tcBorders>
          </w:tcPr>
          <w:p>
            <w:pPr>
              <w:pStyle w:val="TableParagraph"/>
              <w:spacing w:line="146" w:lineRule="exact"/>
              <w:ind w:left="69"/>
              <w:rPr>
                <w:sz w:val="15"/>
              </w:rPr>
            </w:pPr>
            <w:r>
              <w:rPr>
                <w:sz w:val="15"/>
              </w:rPr>
              <w:t>Key</w:t>
            </w:r>
            <w:r>
              <w:rPr>
                <w:spacing w:val="-1"/>
                <w:sz w:val="15"/>
              </w:rPr>
              <w:t> </w:t>
            </w:r>
            <w:r>
              <w:rPr>
                <w:spacing w:val="-2"/>
                <w:sz w:val="15"/>
              </w:rPr>
              <w:t>Concept</w:t>
            </w:r>
          </w:p>
        </w:tc>
        <w:tc>
          <w:tcPr>
            <w:tcW w:w="1788" w:type="dxa"/>
            <w:tcBorders>
              <w:left w:val="single" w:sz="4" w:space="0" w:color="000000"/>
              <w:bottom w:val="single" w:sz="4" w:space="0" w:color="000000"/>
              <w:right w:val="single" w:sz="4" w:space="0" w:color="000000"/>
            </w:tcBorders>
          </w:tcPr>
          <w:p>
            <w:pPr>
              <w:pStyle w:val="TableParagraph"/>
              <w:spacing w:line="146" w:lineRule="exact"/>
              <w:rPr>
                <w:sz w:val="15"/>
              </w:rPr>
            </w:pPr>
            <w:r>
              <w:rPr>
                <w:sz w:val="15"/>
              </w:rPr>
              <w:t>Application</w:t>
            </w:r>
            <w:r>
              <w:rPr>
                <w:spacing w:val="-4"/>
                <w:sz w:val="15"/>
              </w:rPr>
              <w:t> </w:t>
            </w:r>
            <w:r>
              <w:rPr>
                <w:sz w:val="15"/>
              </w:rPr>
              <w:t>in </w:t>
            </w:r>
            <w:r>
              <w:rPr>
                <w:spacing w:val="-2"/>
                <w:sz w:val="15"/>
              </w:rPr>
              <w:t>Paper</w:t>
            </w:r>
          </w:p>
        </w:tc>
      </w:tr>
      <w:tr>
        <w:trPr>
          <w:trHeight w:val="342" w:hRule="atLeast"/>
        </w:trPr>
        <w:tc>
          <w:tcPr>
            <w:tcW w:w="1784" w:type="dxa"/>
            <w:tcBorders>
              <w:top w:val="single" w:sz="4" w:space="0" w:color="000000"/>
              <w:right w:val="single" w:sz="4" w:space="0" w:color="000000"/>
            </w:tcBorders>
          </w:tcPr>
          <w:p>
            <w:pPr>
              <w:pStyle w:val="TableParagraph"/>
              <w:spacing w:before="1"/>
              <w:rPr>
                <w:sz w:val="15"/>
              </w:rPr>
            </w:pPr>
            <w:r>
              <w:rPr>
                <w:sz w:val="15"/>
              </w:rPr>
              <w:t>Simone</w:t>
            </w:r>
            <w:r>
              <w:rPr>
                <w:spacing w:val="-5"/>
                <w:sz w:val="15"/>
              </w:rPr>
              <w:t> </w:t>
            </w:r>
            <w:r>
              <w:rPr>
                <w:sz w:val="15"/>
              </w:rPr>
              <w:t>de </w:t>
            </w:r>
            <w:r>
              <w:rPr>
                <w:spacing w:val="-2"/>
                <w:sz w:val="15"/>
              </w:rPr>
              <w:t>Beauvoir</w:t>
            </w:r>
          </w:p>
        </w:tc>
        <w:tc>
          <w:tcPr>
            <w:tcW w:w="1794" w:type="dxa"/>
            <w:tcBorders>
              <w:top w:val="single" w:sz="4" w:space="0" w:color="000000"/>
              <w:left w:val="single" w:sz="4" w:space="0" w:color="000000"/>
              <w:right w:val="single" w:sz="4" w:space="0" w:color="000000"/>
            </w:tcBorders>
          </w:tcPr>
          <w:p>
            <w:pPr>
              <w:pStyle w:val="TableParagraph"/>
              <w:spacing w:before="3"/>
              <w:ind w:left="69"/>
              <w:rPr>
                <w:rFonts w:ascii="SimSun-ExtB" w:hAnsi="SimSun-ExtB"/>
                <w:sz w:val="15"/>
              </w:rPr>
            </w:pPr>
            <w:r>
              <w:rPr>
                <w:sz w:val="15"/>
              </w:rPr>
              <w:t>Woman</w:t>
            </w:r>
            <w:r>
              <w:rPr>
                <w:spacing w:val="-1"/>
                <w:sz w:val="15"/>
              </w:rPr>
              <w:t> </w:t>
            </w:r>
            <w:r>
              <w:rPr>
                <w:sz w:val="15"/>
              </w:rPr>
              <w:t>as</w:t>
            </w:r>
            <w:r>
              <w:rPr>
                <w:spacing w:val="-1"/>
                <w:sz w:val="15"/>
              </w:rPr>
              <w:t> </w:t>
            </w:r>
            <w:r>
              <w:rPr>
                <w:rFonts w:ascii="SimSun-ExtB" w:hAnsi="SimSun-ExtB"/>
                <w:spacing w:val="-2"/>
                <w:sz w:val="15"/>
              </w:rPr>
              <w:t>“</w:t>
            </w:r>
            <w:r>
              <w:rPr>
                <w:spacing w:val="-2"/>
                <w:sz w:val="15"/>
              </w:rPr>
              <w:t>Other</w:t>
            </w:r>
            <w:r>
              <w:rPr>
                <w:rFonts w:ascii="SimSun-ExtB" w:hAnsi="SimSun-ExtB"/>
                <w:spacing w:val="-2"/>
                <w:sz w:val="15"/>
              </w:rPr>
              <w:t>”</w:t>
            </w:r>
          </w:p>
        </w:tc>
        <w:tc>
          <w:tcPr>
            <w:tcW w:w="1788" w:type="dxa"/>
            <w:tcBorders>
              <w:top w:val="single" w:sz="4" w:space="0" w:color="000000"/>
              <w:left w:val="single" w:sz="4" w:space="0" w:color="000000"/>
              <w:right w:val="single" w:sz="4" w:space="0" w:color="000000"/>
            </w:tcBorders>
          </w:tcPr>
          <w:p>
            <w:pPr>
              <w:pStyle w:val="TableParagraph"/>
              <w:spacing w:line="170" w:lineRule="atLeast"/>
              <w:rPr>
                <w:sz w:val="15"/>
              </w:rPr>
            </w:pPr>
            <w:r>
              <w:rPr>
                <w:sz w:val="15"/>
              </w:rPr>
              <w:t>Desdemona</w:t>
            </w:r>
            <w:r>
              <w:rPr>
                <w:spacing w:val="-10"/>
                <w:sz w:val="15"/>
              </w:rPr>
              <w:t> </w:t>
            </w:r>
            <w:r>
              <w:rPr>
                <w:sz w:val="15"/>
              </w:rPr>
              <w:t>&amp;</w:t>
            </w:r>
            <w:r>
              <w:rPr>
                <w:spacing w:val="-9"/>
                <w:sz w:val="15"/>
              </w:rPr>
              <w:t> </w:t>
            </w:r>
            <w:r>
              <w:rPr>
                <w:sz w:val="15"/>
              </w:rPr>
              <w:t>Ophelia</w:t>
            </w:r>
            <w:r>
              <w:rPr>
                <w:spacing w:val="40"/>
                <w:sz w:val="15"/>
              </w:rPr>
              <w:t> </w:t>
            </w:r>
            <w:r>
              <w:rPr>
                <w:sz w:val="15"/>
              </w:rPr>
              <w:t>defined through men</w:t>
            </w:r>
          </w:p>
        </w:tc>
      </w:tr>
      <w:tr>
        <w:trPr>
          <w:trHeight w:val="337" w:hRule="atLeast"/>
        </w:trPr>
        <w:tc>
          <w:tcPr>
            <w:tcW w:w="1784" w:type="dxa"/>
            <w:tcBorders>
              <w:bottom w:val="single" w:sz="4" w:space="0" w:color="000000"/>
              <w:right w:val="single" w:sz="4" w:space="0" w:color="000000"/>
            </w:tcBorders>
          </w:tcPr>
          <w:p>
            <w:pPr>
              <w:pStyle w:val="TableParagraph"/>
              <w:spacing w:line="166" w:lineRule="exact"/>
              <w:rPr>
                <w:sz w:val="15"/>
              </w:rPr>
            </w:pPr>
            <w:r>
              <w:rPr>
                <w:sz w:val="15"/>
              </w:rPr>
              <w:t>Michel</w:t>
            </w:r>
            <w:r>
              <w:rPr>
                <w:spacing w:val="-2"/>
                <w:sz w:val="15"/>
              </w:rPr>
              <w:t> Foucault</w:t>
            </w:r>
          </w:p>
        </w:tc>
        <w:tc>
          <w:tcPr>
            <w:tcW w:w="1794" w:type="dxa"/>
            <w:tcBorders>
              <w:left w:val="single" w:sz="4" w:space="0" w:color="000000"/>
              <w:bottom w:val="single" w:sz="4" w:space="0" w:color="000000"/>
              <w:right w:val="single" w:sz="4" w:space="0" w:color="000000"/>
            </w:tcBorders>
          </w:tcPr>
          <w:p>
            <w:pPr>
              <w:pStyle w:val="TableParagraph"/>
              <w:spacing w:line="166" w:lineRule="exact"/>
              <w:ind w:left="69"/>
              <w:rPr>
                <w:sz w:val="15"/>
              </w:rPr>
            </w:pPr>
            <w:r>
              <w:rPr>
                <w:sz w:val="15"/>
              </w:rPr>
              <w:t>Power</w:t>
            </w:r>
            <w:r>
              <w:rPr>
                <w:spacing w:val="-2"/>
                <w:sz w:val="15"/>
              </w:rPr>
              <w:t> </w:t>
            </w:r>
            <w:r>
              <w:rPr>
                <w:sz w:val="15"/>
              </w:rPr>
              <w:t>&amp;</w:t>
            </w:r>
            <w:r>
              <w:rPr>
                <w:spacing w:val="2"/>
                <w:sz w:val="15"/>
              </w:rPr>
              <w:t> </w:t>
            </w:r>
            <w:r>
              <w:rPr>
                <w:spacing w:val="-2"/>
                <w:sz w:val="15"/>
              </w:rPr>
              <w:t>Discourse</w:t>
            </w:r>
          </w:p>
        </w:tc>
        <w:tc>
          <w:tcPr>
            <w:tcW w:w="1788" w:type="dxa"/>
            <w:tcBorders>
              <w:left w:val="single" w:sz="4" w:space="0" w:color="000000"/>
              <w:bottom w:val="single" w:sz="4" w:space="0" w:color="000000"/>
              <w:right w:val="single" w:sz="4" w:space="0" w:color="000000"/>
            </w:tcBorders>
          </w:tcPr>
          <w:p>
            <w:pPr>
              <w:pStyle w:val="TableParagraph"/>
              <w:spacing w:line="166" w:lineRule="exact"/>
              <w:rPr>
                <w:sz w:val="15"/>
              </w:rPr>
            </w:pPr>
            <w:r>
              <w:rPr>
                <w:sz w:val="15"/>
              </w:rPr>
              <w:t>Silence</w:t>
            </w:r>
            <w:r>
              <w:rPr>
                <w:spacing w:val="-3"/>
                <w:sz w:val="15"/>
              </w:rPr>
              <w:t> </w:t>
            </w:r>
            <w:r>
              <w:rPr>
                <w:sz w:val="15"/>
              </w:rPr>
              <w:t>as </w:t>
            </w:r>
            <w:r>
              <w:rPr>
                <w:spacing w:val="-2"/>
                <w:sz w:val="15"/>
              </w:rPr>
              <w:t>controlled</w:t>
            </w:r>
          </w:p>
          <w:p>
            <w:pPr>
              <w:pStyle w:val="TableParagraph"/>
              <w:spacing w:line="151" w:lineRule="exact"/>
              <w:rPr>
                <w:sz w:val="15"/>
              </w:rPr>
            </w:pPr>
            <w:r>
              <w:rPr>
                <w:spacing w:val="-2"/>
                <w:sz w:val="15"/>
              </w:rPr>
              <w:t>speech</w:t>
            </w:r>
          </w:p>
        </w:tc>
      </w:tr>
      <w:tr>
        <w:trPr>
          <w:trHeight w:val="342" w:hRule="atLeast"/>
        </w:trPr>
        <w:tc>
          <w:tcPr>
            <w:tcW w:w="1784" w:type="dxa"/>
            <w:tcBorders>
              <w:top w:val="single" w:sz="4" w:space="0" w:color="000000"/>
              <w:bottom w:val="single" w:sz="4" w:space="0" w:color="000000"/>
              <w:right w:val="single" w:sz="4" w:space="0" w:color="000000"/>
            </w:tcBorders>
          </w:tcPr>
          <w:p>
            <w:pPr>
              <w:pStyle w:val="TableParagraph"/>
              <w:spacing w:line="172" w:lineRule="exact"/>
              <w:rPr>
                <w:sz w:val="15"/>
              </w:rPr>
            </w:pPr>
            <w:r>
              <w:rPr>
                <w:sz w:val="15"/>
              </w:rPr>
              <w:t>Judith</w:t>
            </w:r>
            <w:r>
              <w:rPr>
                <w:spacing w:val="-3"/>
                <w:sz w:val="15"/>
              </w:rPr>
              <w:t> </w:t>
            </w:r>
            <w:r>
              <w:rPr>
                <w:spacing w:val="-2"/>
                <w:sz w:val="15"/>
              </w:rPr>
              <w:t>Butler</w:t>
            </w:r>
          </w:p>
        </w:tc>
        <w:tc>
          <w:tcPr>
            <w:tcW w:w="1794" w:type="dxa"/>
            <w:tcBorders>
              <w:top w:val="single" w:sz="4" w:space="0" w:color="000000"/>
              <w:left w:val="single" w:sz="4" w:space="0" w:color="000000"/>
              <w:bottom w:val="single" w:sz="4" w:space="0" w:color="000000"/>
              <w:right w:val="single" w:sz="4" w:space="0" w:color="000000"/>
            </w:tcBorders>
          </w:tcPr>
          <w:p>
            <w:pPr>
              <w:pStyle w:val="TableParagraph"/>
              <w:spacing w:line="172" w:lineRule="exact"/>
              <w:ind w:left="69"/>
              <w:rPr>
                <w:sz w:val="15"/>
              </w:rPr>
            </w:pPr>
            <w:r>
              <w:rPr>
                <w:sz w:val="15"/>
              </w:rPr>
              <w:t>Gender</w:t>
            </w:r>
            <w:r>
              <w:rPr>
                <w:spacing w:val="-1"/>
                <w:sz w:val="15"/>
              </w:rPr>
              <w:t> </w:t>
            </w:r>
            <w:r>
              <w:rPr>
                <w:spacing w:val="-2"/>
                <w:sz w:val="15"/>
              </w:rPr>
              <w:t>Performativity</w:t>
            </w:r>
          </w:p>
        </w:tc>
        <w:tc>
          <w:tcPr>
            <w:tcW w:w="1788" w:type="dxa"/>
            <w:tcBorders>
              <w:top w:val="single" w:sz="4" w:space="0" w:color="000000"/>
              <w:left w:val="single" w:sz="4" w:space="0" w:color="000000"/>
              <w:bottom w:val="single" w:sz="4" w:space="0" w:color="000000"/>
              <w:right w:val="single" w:sz="4" w:space="0" w:color="000000"/>
            </w:tcBorders>
          </w:tcPr>
          <w:p>
            <w:pPr>
              <w:pStyle w:val="TableParagraph"/>
              <w:spacing w:line="172" w:lineRule="exact"/>
              <w:ind w:hanging="1"/>
              <w:rPr>
                <w:sz w:val="15"/>
              </w:rPr>
            </w:pPr>
            <w:r>
              <w:rPr>
                <w:sz w:val="15"/>
              </w:rPr>
              <w:t>Silence</w:t>
            </w:r>
            <w:r>
              <w:rPr>
                <w:spacing w:val="-10"/>
                <w:sz w:val="15"/>
              </w:rPr>
              <w:t> </w:t>
            </w:r>
            <w:r>
              <w:rPr>
                <w:sz w:val="15"/>
              </w:rPr>
              <w:t>as</w:t>
            </w:r>
            <w:r>
              <w:rPr>
                <w:spacing w:val="-9"/>
                <w:sz w:val="15"/>
              </w:rPr>
              <w:t> </w:t>
            </w:r>
            <w:r>
              <w:rPr>
                <w:sz w:val="15"/>
              </w:rPr>
              <w:t>performed</w:t>
            </w:r>
            <w:r>
              <w:rPr>
                <w:spacing w:val="40"/>
                <w:sz w:val="15"/>
              </w:rPr>
              <w:t> </w:t>
            </w:r>
            <w:r>
              <w:rPr>
                <w:spacing w:val="-2"/>
                <w:sz w:val="15"/>
              </w:rPr>
              <w:t>femininity</w:t>
            </w:r>
          </w:p>
        </w:tc>
      </w:tr>
      <w:tr>
        <w:trPr>
          <w:trHeight w:val="362" w:hRule="atLeast"/>
        </w:trPr>
        <w:tc>
          <w:tcPr>
            <w:tcW w:w="1784" w:type="dxa"/>
            <w:tcBorders>
              <w:top w:val="single" w:sz="4" w:space="0" w:color="000000"/>
              <w:right w:val="single" w:sz="4" w:space="0" w:color="000000"/>
            </w:tcBorders>
          </w:tcPr>
          <w:p>
            <w:pPr>
              <w:pStyle w:val="TableParagraph"/>
              <w:spacing w:line="170" w:lineRule="exact"/>
              <w:rPr>
                <w:sz w:val="15"/>
              </w:rPr>
            </w:pPr>
            <w:r>
              <w:rPr>
                <w:sz w:val="15"/>
              </w:rPr>
              <w:t>Elaine</w:t>
            </w:r>
            <w:r>
              <w:rPr>
                <w:spacing w:val="-1"/>
                <w:sz w:val="15"/>
              </w:rPr>
              <w:t> </w:t>
            </w:r>
            <w:r>
              <w:rPr>
                <w:spacing w:val="-2"/>
                <w:sz w:val="15"/>
              </w:rPr>
              <w:t>Showalter</w:t>
            </w:r>
          </w:p>
        </w:tc>
        <w:tc>
          <w:tcPr>
            <w:tcW w:w="1794" w:type="dxa"/>
            <w:tcBorders>
              <w:top w:val="single" w:sz="4" w:space="0" w:color="000000"/>
              <w:left w:val="single" w:sz="4" w:space="0" w:color="000000"/>
              <w:right w:val="single" w:sz="4" w:space="0" w:color="000000"/>
            </w:tcBorders>
          </w:tcPr>
          <w:p>
            <w:pPr>
              <w:pStyle w:val="TableParagraph"/>
              <w:spacing w:line="172" w:lineRule="exact"/>
              <w:ind w:left="69" w:right="140" w:hanging="1"/>
              <w:rPr>
                <w:sz w:val="15"/>
              </w:rPr>
            </w:pPr>
            <w:r>
              <w:rPr>
                <w:sz w:val="15"/>
              </w:rPr>
              <w:t>Madness</w:t>
            </w:r>
            <w:r>
              <w:rPr>
                <w:spacing w:val="-10"/>
                <w:sz w:val="15"/>
              </w:rPr>
              <w:t> </w:t>
            </w:r>
            <w:r>
              <w:rPr>
                <w:sz w:val="15"/>
              </w:rPr>
              <w:t>as</w:t>
            </w:r>
            <w:r>
              <w:rPr>
                <w:spacing w:val="-9"/>
                <w:sz w:val="15"/>
              </w:rPr>
              <w:t> </w:t>
            </w:r>
            <w:r>
              <w:rPr>
                <w:sz w:val="15"/>
              </w:rPr>
              <w:t>social</w:t>
            </w:r>
            <w:r>
              <w:rPr>
                <w:spacing w:val="40"/>
                <w:sz w:val="15"/>
              </w:rPr>
              <w:t> </w:t>
            </w:r>
            <w:r>
              <w:rPr>
                <w:spacing w:val="-2"/>
                <w:sz w:val="15"/>
              </w:rPr>
              <w:t>construct</w:t>
            </w:r>
          </w:p>
        </w:tc>
        <w:tc>
          <w:tcPr>
            <w:tcW w:w="1788" w:type="dxa"/>
            <w:tcBorders>
              <w:top w:val="single" w:sz="4" w:space="0" w:color="000000"/>
              <w:left w:val="single" w:sz="4" w:space="0" w:color="000000"/>
              <w:right w:val="single" w:sz="4" w:space="0" w:color="000000"/>
            </w:tcBorders>
          </w:tcPr>
          <w:p>
            <w:pPr>
              <w:pStyle w:val="TableParagraph"/>
              <w:spacing w:line="170" w:lineRule="atLeast"/>
              <w:rPr>
                <w:sz w:val="15"/>
              </w:rPr>
            </w:pPr>
            <w:r>
              <w:rPr>
                <w:sz w:val="15"/>
              </w:rPr>
              <w:t>Ophelia</w:t>
            </w:r>
            <w:r>
              <w:rPr>
                <w:rFonts w:ascii="SimSun-ExtB" w:hAnsi="SimSun-ExtB"/>
                <w:sz w:val="15"/>
              </w:rPr>
              <w:t>’</w:t>
            </w:r>
            <w:r>
              <w:rPr>
                <w:sz w:val="15"/>
              </w:rPr>
              <w:t>s</w:t>
            </w:r>
            <w:r>
              <w:rPr>
                <w:spacing w:val="-10"/>
                <w:sz w:val="15"/>
              </w:rPr>
              <w:t> </w:t>
            </w:r>
            <w:r>
              <w:rPr>
                <w:sz w:val="15"/>
              </w:rPr>
              <w:t>madness</w:t>
            </w:r>
            <w:r>
              <w:rPr>
                <w:spacing w:val="-9"/>
                <w:sz w:val="15"/>
              </w:rPr>
              <w:t> </w:t>
            </w:r>
            <w:r>
              <w:rPr>
                <w:sz w:val="15"/>
              </w:rPr>
              <w:t>as</w:t>
            </w:r>
            <w:r>
              <w:rPr>
                <w:spacing w:val="40"/>
                <w:sz w:val="15"/>
              </w:rPr>
              <w:t> </w:t>
            </w:r>
            <w:r>
              <w:rPr>
                <w:spacing w:val="-2"/>
                <w:sz w:val="15"/>
              </w:rPr>
              <w:t>expression</w:t>
            </w:r>
          </w:p>
        </w:tc>
      </w:tr>
      <w:tr>
        <w:trPr>
          <w:trHeight w:val="338" w:hRule="atLeast"/>
        </w:trPr>
        <w:tc>
          <w:tcPr>
            <w:tcW w:w="1784" w:type="dxa"/>
            <w:tcBorders>
              <w:bottom w:val="single" w:sz="4" w:space="0" w:color="000000"/>
              <w:right w:val="single" w:sz="4" w:space="0" w:color="000000"/>
            </w:tcBorders>
          </w:tcPr>
          <w:p>
            <w:pPr>
              <w:pStyle w:val="TableParagraph"/>
              <w:spacing w:line="165" w:lineRule="exact"/>
              <w:rPr>
                <w:sz w:val="15"/>
              </w:rPr>
            </w:pPr>
            <w:r>
              <w:rPr>
                <w:sz w:val="15"/>
              </w:rPr>
              <w:t>Gilbert</w:t>
            </w:r>
            <w:r>
              <w:rPr>
                <w:spacing w:val="-3"/>
                <w:sz w:val="15"/>
              </w:rPr>
              <w:t> </w:t>
            </w:r>
            <w:r>
              <w:rPr>
                <w:sz w:val="15"/>
              </w:rPr>
              <w:t>&amp;</w:t>
            </w:r>
            <w:r>
              <w:rPr>
                <w:spacing w:val="-1"/>
                <w:sz w:val="15"/>
              </w:rPr>
              <w:t> </w:t>
            </w:r>
            <w:r>
              <w:rPr>
                <w:spacing w:val="-2"/>
                <w:sz w:val="15"/>
              </w:rPr>
              <w:t>Gubar</w:t>
            </w:r>
          </w:p>
        </w:tc>
        <w:tc>
          <w:tcPr>
            <w:tcW w:w="1794" w:type="dxa"/>
            <w:tcBorders>
              <w:left w:val="single" w:sz="4" w:space="0" w:color="000000"/>
              <w:bottom w:val="single" w:sz="4" w:space="0" w:color="000000"/>
              <w:right w:val="single" w:sz="4" w:space="0" w:color="000000"/>
            </w:tcBorders>
          </w:tcPr>
          <w:p>
            <w:pPr>
              <w:pStyle w:val="TableParagraph"/>
              <w:spacing w:line="165" w:lineRule="exact"/>
              <w:ind w:left="69"/>
              <w:rPr>
                <w:sz w:val="15"/>
              </w:rPr>
            </w:pPr>
            <w:r>
              <w:rPr>
                <w:sz w:val="15"/>
              </w:rPr>
              <w:t>Female</w:t>
            </w:r>
            <w:r>
              <w:rPr>
                <w:spacing w:val="-2"/>
                <w:sz w:val="15"/>
              </w:rPr>
              <w:t> marginalization</w:t>
            </w:r>
          </w:p>
        </w:tc>
        <w:tc>
          <w:tcPr>
            <w:tcW w:w="1788" w:type="dxa"/>
            <w:tcBorders>
              <w:left w:val="single" w:sz="4" w:space="0" w:color="000000"/>
              <w:bottom w:val="single" w:sz="4" w:space="0" w:color="000000"/>
              <w:right w:val="single" w:sz="4" w:space="0" w:color="000000"/>
            </w:tcBorders>
          </w:tcPr>
          <w:p>
            <w:pPr>
              <w:pStyle w:val="TableParagraph"/>
              <w:spacing w:line="165" w:lineRule="exact"/>
              <w:rPr>
                <w:sz w:val="15"/>
              </w:rPr>
            </w:pPr>
            <w:r>
              <w:rPr>
                <w:sz w:val="15"/>
              </w:rPr>
              <w:t>Women</w:t>
            </w:r>
            <w:r>
              <w:rPr>
                <w:spacing w:val="-5"/>
                <w:sz w:val="15"/>
              </w:rPr>
              <w:t> </w:t>
            </w:r>
            <w:r>
              <w:rPr>
                <w:sz w:val="15"/>
              </w:rPr>
              <w:t>trapped </w:t>
            </w:r>
            <w:r>
              <w:rPr>
                <w:spacing w:val="-5"/>
                <w:sz w:val="15"/>
              </w:rPr>
              <w:t>in</w:t>
            </w:r>
          </w:p>
          <w:p>
            <w:pPr>
              <w:pStyle w:val="TableParagraph"/>
              <w:spacing w:line="151" w:lineRule="exact" w:before="2"/>
              <w:rPr>
                <w:sz w:val="15"/>
              </w:rPr>
            </w:pPr>
            <w:r>
              <w:rPr>
                <w:sz w:val="15"/>
              </w:rPr>
              <w:t>patriarchal</w:t>
            </w:r>
            <w:r>
              <w:rPr>
                <w:spacing w:val="-3"/>
                <w:sz w:val="15"/>
              </w:rPr>
              <w:t> </w:t>
            </w:r>
            <w:r>
              <w:rPr>
                <w:spacing w:val="-2"/>
                <w:sz w:val="15"/>
              </w:rPr>
              <w:t>roles</w:t>
            </w:r>
          </w:p>
        </w:tc>
      </w:tr>
    </w:tbl>
    <w:p>
      <w:pPr>
        <w:pStyle w:val="Heading3"/>
        <w:numPr>
          <w:ilvl w:val="0"/>
          <w:numId w:val="67"/>
        </w:numPr>
        <w:tabs>
          <w:tab w:pos="1703" w:val="left" w:leader="none"/>
        </w:tabs>
        <w:spacing w:line="240" w:lineRule="auto" w:before="186" w:after="0"/>
        <w:ind w:left="1703" w:right="0" w:hanging="263"/>
        <w:jc w:val="left"/>
      </w:pPr>
      <w:r>
        <w:rPr>
          <w:spacing w:val="-2"/>
          <w:w w:val="95"/>
        </w:rPr>
        <w:t>DISCUSSION</w:t>
      </w:r>
    </w:p>
    <w:p>
      <w:pPr>
        <w:pStyle w:val="Heading5"/>
        <w:numPr>
          <w:ilvl w:val="1"/>
          <w:numId w:val="67"/>
        </w:numPr>
        <w:tabs>
          <w:tab w:pos="1860" w:val="left" w:leader="none"/>
          <w:tab w:pos="1872" w:val="left" w:leader="none"/>
        </w:tabs>
        <w:spacing w:line="240" w:lineRule="auto" w:before="114" w:after="0"/>
        <w:ind w:left="1860" w:right="0" w:hanging="420"/>
        <w:jc w:val="left"/>
      </w:pPr>
      <w:r>
        <w:rPr>
          <w:w w:val="105"/>
        </w:rPr>
        <w:t>Desdemona</w:t>
      </w:r>
      <w:r>
        <w:rPr>
          <w:spacing w:val="68"/>
          <w:w w:val="105"/>
        </w:rPr>
        <w:t> </w:t>
      </w:r>
      <w:r>
        <w:rPr>
          <w:w w:val="105"/>
        </w:rPr>
        <w:t>in</w:t>
      </w:r>
      <w:r>
        <w:rPr>
          <w:spacing w:val="69"/>
          <w:w w:val="105"/>
        </w:rPr>
        <w:t> </w:t>
      </w:r>
      <w:r>
        <w:rPr>
          <w:rFonts w:ascii="Tahoma"/>
          <w:i w:val="0"/>
          <w:w w:val="105"/>
        </w:rPr>
        <w:t>Othello</w:t>
      </w:r>
      <w:r>
        <w:rPr>
          <w:w w:val="105"/>
        </w:rPr>
        <w:t>:</w:t>
      </w:r>
      <w:r>
        <w:rPr>
          <w:spacing w:val="68"/>
          <w:w w:val="105"/>
        </w:rPr>
        <w:t> </w:t>
      </w:r>
      <w:r>
        <w:rPr>
          <w:w w:val="105"/>
        </w:rPr>
        <w:t>Silence</w:t>
      </w:r>
      <w:r>
        <w:rPr>
          <w:spacing w:val="71"/>
          <w:w w:val="105"/>
        </w:rPr>
        <w:t> </w:t>
      </w:r>
      <w:r>
        <w:rPr>
          <w:w w:val="105"/>
        </w:rPr>
        <w:t>and</w:t>
      </w:r>
      <w:r>
        <w:rPr>
          <w:spacing w:val="68"/>
          <w:w w:val="105"/>
        </w:rPr>
        <w:t> </w:t>
      </w:r>
      <w:r>
        <w:rPr>
          <w:spacing w:val="-2"/>
          <w:w w:val="105"/>
        </w:rPr>
        <w:t>Subjugation</w:t>
      </w:r>
    </w:p>
    <w:p>
      <w:pPr>
        <w:pStyle w:val="BodyText"/>
        <w:spacing w:line="249" w:lineRule="auto" w:before="71"/>
        <w:ind w:right="1435" w:firstLine="432"/>
        <w:jc w:val="both"/>
      </w:pPr>
      <w:r>
        <w:rPr/>
        <w:t>Desdemona’s status in the patriarchal system is most clearly illustrated in the closing scenes of Othello, as her silence reveals submissiveness and internalized oppression. Despite being faced with death, she will not implicate her husband but instead holds herself accountable for</w:t>
      </w:r>
      <w:r>
        <w:rPr>
          <w:spacing w:val="40"/>
        </w:rPr>
        <w:t> </w:t>
      </w:r>
      <w:r>
        <w:rPr/>
        <w:t>her fate,</w:t>
      </w:r>
      <w:r>
        <w:rPr>
          <w:spacing w:val="40"/>
        </w:rPr>
        <w:t> </w:t>
      </w:r>
      <w:r>
        <w:rPr/>
        <w:t>declaring that:</w:t>
      </w:r>
    </w:p>
    <w:p>
      <w:pPr>
        <w:spacing w:before="62"/>
        <w:ind w:left="2160" w:right="0" w:firstLine="0"/>
        <w:jc w:val="both"/>
        <w:rPr>
          <w:i/>
          <w:sz w:val="20"/>
        </w:rPr>
      </w:pPr>
      <w:r>
        <w:rPr>
          <w:i/>
          <w:sz w:val="20"/>
        </w:rPr>
        <w:t>“Nobody;</w:t>
      </w:r>
      <w:r>
        <w:rPr>
          <w:i/>
          <w:spacing w:val="16"/>
          <w:sz w:val="20"/>
        </w:rPr>
        <w:t> </w:t>
      </w:r>
      <w:r>
        <w:rPr>
          <w:i/>
          <w:sz w:val="20"/>
        </w:rPr>
        <w:t>I</w:t>
      </w:r>
      <w:r>
        <w:rPr>
          <w:i/>
          <w:spacing w:val="18"/>
          <w:sz w:val="20"/>
        </w:rPr>
        <w:t> </w:t>
      </w:r>
      <w:r>
        <w:rPr>
          <w:i/>
          <w:sz w:val="20"/>
        </w:rPr>
        <w:t>myself.</w:t>
      </w:r>
      <w:r>
        <w:rPr>
          <w:i/>
          <w:spacing w:val="17"/>
          <w:sz w:val="20"/>
        </w:rPr>
        <w:t> </w:t>
      </w:r>
      <w:r>
        <w:rPr>
          <w:i/>
          <w:spacing w:val="-2"/>
          <w:sz w:val="20"/>
        </w:rPr>
        <w:t>Farewell.</w:t>
      </w:r>
    </w:p>
    <w:p>
      <w:pPr>
        <w:spacing w:line="249" w:lineRule="auto" w:before="68"/>
        <w:ind w:left="2160" w:right="2161" w:firstLine="0"/>
        <w:jc w:val="both"/>
        <w:rPr>
          <w:i/>
          <w:sz w:val="20"/>
        </w:rPr>
      </w:pPr>
      <w:r>
        <w:rPr>
          <w:i/>
          <w:sz w:val="20"/>
        </w:rPr>
        <w:t>Commend me to my kind lord” (</w:t>
      </w:r>
      <w:r>
        <w:rPr>
          <w:sz w:val="20"/>
        </w:rPr>
        <w:t>Othello </w:t>
      </w:r>
      <w:r>
        <w:rPr>
          <w:i/>
          <w:sz w:val="20"/>
        </w:rPr>
        <w:t>5.2.123–</w:t>
      </w:r>
      <w:r>
        <w:rPr>
          <w:i/>
          <w:spacing w:val="-2"/>
          <w:sz w:val="20"/>
        </w:rPr>
        <w:t>124).</w:t>
      </w:r>
    </w:p>
    <w:p>
      <w:pPr>
        <w:spacing w:after="0" w:line="249" w:lineRule="auto"/>
        <w:jc w:val="both"/>
        <w:rPr>
          <w:i/>
          <w:sz w:val="20"/>
        </w:rPr>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21312">
                <wp:simplePos x="0" y="0"/>
                <wp:positionH relativeFrom="page">
                  <wp:posOffset>2065020</wp:posOffset>
                </wp:positionH>
                <wp:positionV relativeFrom="paragraph">
                  <wp:posOffset>795020</wp:posOffset>
                </wp:positionV>
                <wp:extent cx="3657600" cy="12700"/>
                <wp:effectExtent l="0" t="0" r="0" b="0"/>
                <wp:wrapTopAndBottom/>
                <wp:docPr id="642" name="Graphic 642"/>
                <wp:cNvGraphicFramePr>
                  <a:graphicFrameLocks/>
                </wp:cNvGraphicFramePr>
                <a:graphic>
                  <a:graphicData uri="http://schemas.microsoft.com/office/word/2010/wordprocessingShape">
                    <wps:wsp>
                      <wps:cNvPr id="642" name="Graphic 64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95168;mso-wrap-distance-left:0;mso-wrap-distance-right:0" id="docshape634" filled="true" fillcolor="#000000" stroked="false">
                <v:fill type="solid"/>
                <w10:wrap type="topAndBottom"/>
              </v:rect>
            </w:pict>
          </mc:Fallback>
        </mc:AlternateContent>
      </w:r>
      <w:r>
        <w:rPr>
          <w:rFonts w:ascii="Verdana" w:hAnsi="Verdana"/>
          <w:sz w:val="18"/>
        </w:rPr>
        <w:t>Women’s Stereotypes</w:t>
      </w:r>
      <w:r>
        <w:rPr>
          <w:rFonts w:ascii="Verdana" w:hAnsi="Verdana"/>
          <w:spacing w:val="1"/>
          <w:sz w:val="18"/>
        </w:rPr>
        <w:t> </w:t>
      </w:r>
      <w:r>
        <w:rPr>
          <w:rFonts w:ascii="Verdana" w:hAnsi="Verdana"/>
          <w:sz w:val="18"/>
        </w:rPr>
        <w:t>and</w:t>
      </w:r>
      <w:r>
        <w:rPr>
          <w:rFonts w:ascii="Verdana" w:hAnsi="Verdana"/>
          <w:spacing w:val="3"/>
          <w:sz w:val="18"/>
        </w:rPr>
        <w:t> </w:t>
      </w:r>
      <w:r>
        <w:rPr>
          <w:rFonts w:ascii="Verdana" w:hAnsi="Verdana"/>
          <w:sz w:val="18"/>
        </w:rPr>
        <w:t>Tropes in</w:t>
      </w:r>
      <w:r>
        <w:rPr>
          <w:rFonts w:ascii="Verdana" w:hAnsi="Verdana"/>
          <w:spacing w:val="2"/>
          <w:sz w:val="18"/>
        </w:rPr>
        <w:t> </w:t>
      </w:r>
      <w:r>
        <w:rPr>
          <w:rFonts w:ascii="Verdana" w:hAnsi="Verdana"/>
          <w:spacing w:val="-2"/>
          <w:sz w:val="18"/>
        </w:rPr>
        <w:t>Shakespeare’s...</w:t>
      </w:r>
      <w:r>
        <w:rPr>
          <w:sz w:val="18"/>
        </w:rPr>
        <w:tab/>
      </w:r>
      <w:r>
        <w:rPr>
          <w:rFonts w:ascii="Verdana" w:hAnsi="Verdana"/>
          <w:spacing w:val="-5"/>
          <w:sz w:val="18"/>
        </w:rPr>
        <w:t>311</w:t>
      </w:r>
    </w:p>
    <w:p>
      <w:pPr>
        <w:pStyle w:val="BodyText"/>
        <w:spacing w:line="249" w:lineRule="auto" w:before="192"/>
        <w:ind w:right="1440" w:firstLine="432"/>
        <w:jc w:val="both"/>
      </w:pPr>
      <w:r>
        <w:rPr/>
        <w:t>The scene captures how thoroughly Desdemona has been imbued with the principles of a society that robs her of her agency. Instead of confronting</w:t>
      </w:r>
      <w:r>
        <w:rPr>
          <w:spacing w:val="-13"/>
        </w:rPr>
        <w:t> </w:t>
      </w:r>
      <w:r>
        <w:rPr/>
        <w:t>or</w:t>
      </w:r>
      <w:r>
        <w:rPr>
          <w:spacing w:val="-12"/>
        </w:rPr>
        <w:t> </w:t>
      </w:r>
      <w:r>
        <w:rPr/>
        <w:t>unmasking</w:t>
      </w:r>
      <w:r>
        <w:rPr>
          <w:spacing w:val="-13"/>
        </w:rPr>
        <w:t> </w:t>
      </w:r>
      <w:r>
        <w:rPr/>
        <w:t>the</w:t>
      </w:r>
      <w:r>
        <w:rPr>
          <w:spacing w:val="-12"/>
        </w:rPr>
        <w:t> </w:t>
      </w:r>
      <w:r>
        <w:rPr/>
        <w:t>unfairness</w:t>
      </w:r>
      <w:r>
        <w:rPr>
          <w:spacing w:val="-13"/>
        </w:rPr>
        <w:t> </w:t>
      </w:r>
      <w:r>
        <w:rPr/>
        <w:t>done</w:t>
      </w:r>
      <w:r>
        <w:rPr>
          <w:spacing w:val="-12"/>
        </w:rPr>
        <w:t> </w:t>
      </w:r>
      <w:r>
        <w:rPr/>
        <w:t>to</w:t>
      </w:r>
      <w:r>
        <w:rPr>
          <w:spacing w:val="-13"/>
        </w:rPr>
        <w:t> </w:t>
      </w:r>
      <w:r>
        <w:rPr/>
        <w:t>her,</w:t>
      </w:r>
      <w:r>
        <w:rPr>
          <w:spacing w:val="-12"/>
        </w:rPr>
        <w:t> </w:t>
      </w:r>
      <w:r>
        <w:rPr/>
        <w:t>she</w:t>
      </w:r>
      <w:r>
        <w:rPr>
          <w:spacing w:val="-13"/>
        </w:rPr>
        <w:t> </w:t>
      </w:r>
      <w:r>
        <w:rPr/>
        <w:t>shields</w:t>
      </w:r>
      <w:r>
        <w:rPr>
          <w:spacing w:val="-12"/>
        </w:rPr>
        <w:t> </w:t>
      </w:r>
      <w:r>
        <w:rPr/>
        <w:t>Othello, thus perpetuating the patriarchal demand that women should be loyal </w:t>
      </w:r>
      <w:r>
        <w:rPr>
          <w:spacing w:val="-2"/>
        </w:rPr>
        <w:t>and</w:t>
      </w:r>
      <w:r>
        <w:rPr>
          <w:spacing w:val="-5"/>
        </w:rPr>
        <w:t> </w:t>
      </w:r>
      <w:r>
        <w:rPr>
          <w:spacing w:val="-2"/>
        </w:rPr>
        <w:t>selfless</w:t>
      </w:r>
      <w:r>
        <w:rPr>
          <w:spacing w:val="-7"/>
        </w:rPr>
        <w:t> </w:t>
      </w:r>
      <w:r>
        <w:rPr>
          <w:spacing w:val="-2"/>
        </w:rPr>
        <w:t>despite</w:t>
      </w:r>
      <w:r>
        <w:rPr>
          <w:spacing w:val="-7"/>
        </w:rPr>
        <w:t> </w:t>
      </w:r>
      <w:r>
        <w:rPr>
          <w:spacing w:val="-2"/>
        </w:rPr>
        <w:t>being</w:t>
      </w:r>
      <w:r>
        <w:rPr>
          <w:spacing w:val="-7"/>
        </w:rPr>
        <w:t> </w:t>
      </w:r>
      <w:r>
        <w:rPr>
          <w:spacing w:val="-2"/>
        </w:rPr>
        <w:t>victimized.</w:t>
      </w:r>
      <w:r>
        <w:rPr>
          <w:spacing w:val="-5"/>
        </w:rPr>
        <w:t> </w:t>
      </w:r>
      <w:r>
        <w:rPr>
          <w:spacing w:val="-2"/>
        </w:rPr>
        <w:t>In</w:t>
      </w:r>
      <w:r>
        <w:rPr>
          <w:spacing w:val="-5"/>
        </w:rPr>
        <w:t> </w:t>
      </w:r>
      <w:r>
        <w:rPr>
          <w:spacing w:val="-2"/>
        </w:rPr>
        <w:t>this</w:t>
      </w:r>
      <w:r>
        <w:rPr>
          <w:spacing w:val="-7"/>
        </w:rPr>
        <w:t> </w:t>
      </w:r>
      <w:r>
        <w:rPr>
          <w:spacing w:val="-2"/>
        </w:rPr>
        <w:t>sense,</w:t>
      </w:r>
      <w:r>
        <w:rPr>
          <w:spacing w:val="-7"/>
        </w:rPr>
        <w:t> </w:t>
      </w:r>
      <w:r>
        <w:rPr>
          <w:spacing w:val="-2"/>
        </w:rPr>
        <w:t>the</w:t>
      </w:r>
      <w:r>
        <w:rPr>
          <w:spacing w:val="-7"/>
        </w:rPr>
        <w:t> </w:t>
      </w:r>
      <w:r>
        <w:rPr>
          <w:spacing w:val="-2"/>
        </w:rPr>
        <w:t>enforced</w:t>
      </w:r>
      <w:r>
        <w:rPr>
          <w:spacing w:val="-5"/>
        </w:rPr>
        <w:t> </w:t>
      </w:r>
      <w:r>
        <w:rPr>
          <w:spacing w:val="-2"/>
        </w:rPr>
        <w:t>muteness </w:t>
      </w:r>
      <w:r>
        <w:rPr/>
        <w:t>becomes self-imposed because it reflects the way subordinate groups internalize their oppression in gender relations, as feminists have noted (de Beauvoir 283). In an earlier scene of the play, Desdemona’s efforts to speak</w:t>
      </w:r>
      <w:r>
        <w:rPr>
          <w:spacing w:val="-1"/>
        </w:rPr>
        <w:t> </w:t>
      </w:r>
      <w:r>
        <w:rPr/>
        <w:t>and express</w:t>
      </w:r>
      <w:r>
        <w:rPr>
          <w:spacing w:val="-1"/>
        </w:rPr>
        <w:t> </w:t>
      </w:r>
      <w:r>
        <w:rPr/>
        <w:t>herself</w:t>
      </w:r>
      <w:r>
        <w:rPr>
          <w:spacing w:val="-1"/>
        </w:rPr>
        <w:t> </w:t>
      </w:r>
      <w:r>
        <w:rPr/>
        <w:t>continue to be misunderstood and ignored, thus emphasizing the constraints on female discourse. Her defense of Cassio, although harmless, serves as proof to Othello of her betrayal, showing</w:t>
      </w:r>
      <w:r>
        <w:rPr>
          <w:spacing w:val="-8"/>
        </w:rPr>
        <w:t> </w:t>
      </w:r>
      <w:r>
        <w:rPr/>
        <w:t>how</w:t>
      </w:r>
      <w:r>
        <w:rPr>
          <w:spacing w:val="-9"/>
        </w:rPr>
        <w:t> </w:t>
      </w:r>
      <w:r>
        <w:rPr/>
        <w:t>patriarchal</w:t>
      </w:r>
      <w:r>
        <w:rPr>
          <w:spacing w:val="-6"/>
        </w:rPr>
        <w:t> </w:t>
      </w:r>
      <w:r>
        <w:rPr/>
        <w:t>distrust</w:t>
      </w:r>
      <w:r>
        <w:rPr>
          <w:spacing w:val="-8"/>
        </w:rPr>
        <w:t> </w:t>
      </w:r>
      <w:r>
        <w:rPr/>
        <w:t>skews</w:t>
      </w:r>
      <w:r>
        <w:rPr>
          <w:spacing w:val="-6"/>
        </w:rPr>
        <w:t> </w:t>
      </w:r>
      <w:r>
        <w:rPr/>
        <w:t>the</w:t>
      </w:r>
      <w:r>
        <w:rPr>
          <w:spacing w:val="-6"/>
        </w:rPr>
        <w:t> </w:t>
      </w:r>
      <w:r>
        <w:rPr/>
        <w:t>meaning</w:t>
      </w:r>
      <w:r>
        <w:rPr>
          <w:spacing w:val="-6"/>
        </w:rPr>
        <w:t> </w:t>
      </w:r>
      <w:r>
        <w:rPr/>
        <w:t>of</w:t>
      </w:r>
      <w:r>
        <w:rPr>
          <w:spacing w:val="-6"/>
        </w:rPr>
        <w:t> </w:t>
      </w:r>
      <w:r>
        <w:rPr/>
        <w:t>women’s</w:t>
      </w:r>
      <w:r>
        <w:rPr>
          <w:spacing w:val="-8"/>
        </w:rPr>
        <w:t> </w:t>
      </w:r>
      <w:r>
        <w:rPr/>
        <w:t>words. Othello</w:t>
      </w:r>
      <w:r>
        <w:rPr>
          <w:spacing w:val="40"/>
        </w:rPr>
        <w:t> </w:t>
      </w:r>
      <w:r>
        <w:rPr/>
        <w:t>says,</w:t>
      </w:r>
    </w:p>
    <w:p>
      <w:pPr>
        <w:spacing w:before="68"/>
        <w:ind w:left="2160" w:right="0" w:firstLine="0"/>
        <w:jc w:val="both"/>
        <w:rPr>
          <w:i/>
          <w:sz w:val="20"/>
        </w:rPr>
      </w:pPr>
      <w:r>
        <w:rPr>
          <w:i/>
          <w:sz w:val="20"/>
        </w:rPr>
        <w:t>She’s</w:t>
      </w:r>
      <w:r>
        <w:rPr>
          <w:i/>
          <w:spacing w:val="21"/>
          <w:sz w:val="20"/>
        </w:rPr>
        <w:t> </w:t>
      </w:r>
      <w:r>
        <w:rPr>
          <w:i/>
          <w:sz w:val="20"/>
        </w:rPr>
        <w:t>gone.</w:t>
      </w:r>
      <w:r>
        <w:rPr>
          <w:i/>
          <w:spacing w:val="23"/>
          <w:sz w:val="20"/>
        </w:rPr>
        <w:t> </w:t>
      </w:r>
      <w:r>
        <w:rPr>
          <w:i/>
          <w:sz w:val="20"/>
        </w:rPr>
        <w:t>I</w:t>
      </w:r>
      <w:r>
        <w:rPr>
          <w:i/>
          <w:spacing w:val="22"/>
          <w:sz w:val="20"/>
        </w:rPr>
        <w:t> </w:t>
      </w:r>
      <w:r>
        <w:rPr>
          <w:i/>
          <w:sz w:val="20"/>
        </w:rPr>
        <w:t>am</w:t>
      </w:r>
      <w:r>
        <w:rPr>
          <w:i/>
          <w:spacing w:val="21"/>
          <w:sz w:val="20"/>
        </w:rPr>
        <w:t> </w:t>
      </w:r>
      <w:r>
        <w:rPr>
          <w:i/>
          <w:sz w:val="20"/>
        </w:rPr>
        <w:t>abused,</w:t>
      </w:r>
      <w:r>
        <w:rPr>
          <w:i/>
          <w:spacing w:val="21"/>
          <w:sz w:val="20"/>
        </w:rPr>
        <w:t> </w:t>
      </w:r>
      <w:r>
        <w:rPr>
          <w:i/>
          <w:sz w:val="20"/>
        </w:rPr>
        <w:t>and</w:t>
      </w:r>
      <w:r>
        <w:rPr>
          <w:i/>
          <w:spacing w:val="23"/>
          <w:sz w:val="20"/>
        </w:rPr>
        <w:t> </w:t>
      </w:r>
      <w:r>
        <w:rPr>
          <w:i/>
          <w:sz w:val="20"/>
        </w:rPr>
        <w:t>my</w:t>
      </w:r>
      <w:r>
        <w:rPr>
          <w:i/>
          <w:spacing w:val="20"/>
          <w:sz w:val="20"/>
        </w:rPr>
        <w:t> </w:t>
      </w:r>
      <w:r>
        <w:rPr>
          <w:i/>
          <w:spacing w:val="-2"/>
          <w:sz w:val="20"/>
        </w:rPr>
        <w:t>relief</w:t>
      </w:r>
    </w:p>
    <w:p>
      <w:pPr>
        <w:spacing w:before="68"/>
        <w:ind w:left="2160" w:right="0" w:firstLine="0"/>
        <w:jc w:val="both"/>
        <w:rPr>
          <w:i/>
          <w:sz w:val="20"/>
        </w:rPr>
      </w:pPr>
      <w:r>
        <w:rPr>
          <w:i/>
          <w:sz w:val="20"/>
        </w:rPr>
        <w:t>Must</w:t>
      </w:r>
      <w:r>
        <w:rPr>
          <w:i/>
          <w:spacing w:val="34"/>
          <w:sz w:val="20"/>
        </w:rPr>
        <w:t> </w:t>
      </w:r>
      <w:r>
        <w:rPr>
          <w:i/>
          <w:sz w:val="20"/>
        </w:rPr>
        <w:t>be</w:t>
      </w:r>
      <w:r>
        <w:rPr>
          <w:i/>
          <w:spacing w:val="32"/>
          <w:sz w:val="20"/>
        </w:rPr>
        <w:t> </w:t>
      </w:r>
      <w:r>
        <w:rPr>
          <w:i/>
          <w:sz w:val="20"/>
        </w:rPr>
        <w:t>to</w:t>
      </w:r>
      <w:r>
        <w:rPr>
          <w:i/>
          <w:spacing w:val="36"/>
          <w:sz w:val="20"/>
        </w:rPr>
        <w:t> </w:t>
      </w:r>
      <w:r>
        <w:rPr>
          <w:i/>
          <w:sz w:val="20"/>
        </w:rPr>
        <w:t>loathe</w:t>
      </w:r>
      <w:r>
        <w:rPr>
          <w:i/>
          <w:spacing w:val="31"/>
          <w:sz w:val="20"/>
        </w:rPr>
        <w:t> </w:t>
      </w:r>
      <w:r>
        <w:rPr>
          <w:i/>
          <w:sz w:val="20"/>
        </w:rPr>
        <w:t>her”</w:t>
      </w:r>
      <w:r>
        <w:rPr>
          <w:i/>
          <w:spacing w:val="34"/>
          <w:sz w:val="20"/>
        </w:rPr>
        <w:t> </w:t>
      </w:r>
      <w:r>
        <w:rPr>
          <w:i/>
          <w:sz w:val="20"/>
        </w:rPr>
        <w:t>(</w:t>
      </w:r>
      <w:r>
        <w:rPr>
          <w:sz w:val="20"/>
        </w:rPr>
        <w:t>Othello</w:t>
      </w:r>
      <w:r>
        <w:rPr>
          <w:spacing w:val="37"/>
          <w:sz w:val="20"/>
        </w:rPr>
        <w:t> </w:t>
      </w:r>
      <w:r>
        <w:rPr>
          <w:i/>
          <w:sz w:val="20"/>
        </w:rPr>
        <w:t>3.3.267–</w:t>
      </w:r>
      <w:r>
        <w:rPr>
          <w:i/>
          <w:spacing w:val="-4"/>
          <w:sz w:val="20"/>
        </w:rPr>
        <w:t>268)</w:t>
      </w:r>
    </w:p>
    <w:p>
      <w:pPr>
        <w:pStyle w:val="BodyText"/>
        <w:spacing w:line="252" w:lineRule="auto" w:before="68"/>
        <w:ind w:right="1440" w:firstLine="432"/>
        <w:jc w:val="both"/>
      </w:pPr>
      <w:r>
        <w:rPr/>
        <w:t>Illustrates the speed with which Desdemona’s speech is silenced through the exercise of male dominance and jealous rage. Her speech thus becomes unreliable, while silence emerges as the only option available to her. In such a way, Desdemona’s silence is not only a signifier of patriarchal dominance but also an expression of her own limited subjectivity. Not</w:t>
      </w:r>
      <w:r>
        <w:rPr>
          <w:spacing w:val="-1"/>
        </w:rPr>
        <w:t> </w:t>
      </w:r>
      <w:r>
        <w:rPr/>
        <w:t>only</w:t>
      </w:r>
      <w:r>
        <w:rPr>
          <w:spacing w:val="-2"/>
        </w:rPr>
        <w:t> </w:t>
      </w:r>
      <w:r>
        <w:rPr/>
        <w:t>does</w:t>
      </w:r>
      <w:r>
        <w:rPr>
          <w:spacing w:val="-2"/>
        </w:rPr>
        <w:t> </w:t>
      </w:r>
      <w:r>
        <w:rPr/>
        <w:t>it indicate her subordination</w:t>
      </w:r>
      <w:r>
        <w:rPr>
          <w:spacing w:val="-1"/>
        </w:rPr>
        <w:t> </w:t>
      </w:r>
      <w:r>
        <w:rPr/>
        <w:t>to male rule, but also reveals the ideological constructs underlying her self-definition</w:t>
      </w:r>
      <w:r>
        <w:rPr>
          <w:spacing w:val="40"/>
        </w:rPr>
        <w:t> </w:t>
      </w:r>
      <w:r>
        <w:rPr/>
        <w:t>and</w:t>
      </w:r>
      <w:r>
        <w:rPr>
          <w:spacing w:val="40"/>
        </w:rPr>
        <w:t> </w:t>
      </w:r>
      <w:r>
        <w:rPr/>
        <w:t>undermining</w:t>
      </w:r>
      <w:r>
        <w:rPr>
          <w:spacing w:val="40"/>
        </w:rPr>
        <w:t> </w:t>
      </w:r>
      <w:r>
        <w:rPr/>
        <w:t>her</w:t>
      </w:r>
      <w:r>
        <w:rPr>
          <w:spacing w:val="40"/>
        </w:rPr>
        <w:t> </w:t>
      </w:r>
      <w:r>
        <w:rPr/>
        <w:t>resistance.</w:t>
      </w:r>
    </w:p>
    <w:p>
      <w:pPr>
        <w:pStyle w:val="Heading5"/>
        <w:numPr>
          <w:ilvl w:val="1"/>
          <w:numId w:val="67"/>
        </w:numPr>
        <w:tabs>
          <w:tab w:pos="1904" w:val="left" w:leader="none"/>
        </w:tabs>
        <w:spacing w:line="244" w:lineRule="auto" w:before="84" w:after="0"/>
        <w:ind w:left="1440" w:right="1438" w:firstLine="0"/>
        <w:jc w:val="left"/>
      </w:pPr>
      <w:r>
        <w:rPr>
          <w:w w:val="105"/>
        </w:rPr>
        <w:t>Ophelia</w:t>
      </w:r>
      <w:r>
        <w:rPr>
          <w:spacing w:val="80"/>
          <w:w w:val="105"/>
        </w:rPr>
        <w:t> </w:t>
      </w:r>
      <w:r>
        <w:rPr>
          <w:w w:val="105"/>
        </w:rPr>
        <w:t>in</w:t>
      </w:r>
      <w:r>
        <w:rPr>
          <w:spacing w:val="80"/>
          <w:w w:val="105"/>
        </w:rPr>
        <w:t> </w:t>
      </w:r>
      <w:r>
        <w:rPr>
          <w:rFonts w:ascii="Tahoma"/>
          <w:i w:val="0"/>
          <w:w w:val="105"/>
        </w:rPr>
        <w:t>Hamlet</w:t>
      </w:r>
      <w:r>
        <w:rPr>
          <w:w w:val="105"/>
        </w:rPr>
        <w:t>:</w:t>
      </w:r>
      <w:r>
        <w:rPr>
          <w:spacing w:val="80"/>
          <w:w w:val="105"/>
        </w:rPr>
        <w:t> </w:t>
      </w:r>
      <w:r>
        <w:rPr>
          <w:w w:val="105"/>
        </w:rPr>
        <w:t>Madness</w:t>
      </w:r>
      <w:r>
        <w:rPr>
          <w:spacing w:val="80"/>
          <w:w w:val="105"/>
        </w:rPr>
        <w:t> </w:t>
      </w:r>
      <w:r>
        <w:rPr>
          <w:w w:val="105"/>
        </w:rPr>
        <w:t>and</w:t>
      </w:r>
      <w:r>
        <w:rPr>
          <w:spacing w:val="80"/>
          <w:w w:val="105"/>
        </w:rPr>
        <w:t> </w:t>
      </w:r>
      <w:r>
        <w:rPr>
          <w:w w:val="105"/>
        </w:rPr>
        <w:t>Expressive</w:t>
      </w:r>
      <w:r>
        <w:rPr>
          <w:spacing w:val="80"/>
          <w:w w:val="150"/>
        </w:rPr>
        <w:t> </w:t>
      </w:r>
      <w:r>
        <w:rPr>
          <w:spacing w:val="-2"/>
          <w:w w:val="105"/>
        </w:rPr>
        <w:t>Silence</w:t>
      </w:r>
    </w:p>
    <w:p>
      <w:pPr>
        <w:pStyle w:val="BodyText"/>
        <w:spacing w:line="249" w:lineRule="auto" w:before="70"/>
        <w:ind w:right="1440" w:firstLine="432"/>
        <w:jc w:val="both"/>
      </w:pPr>
      <w:r>
        <w:rPr/>
        <w:t>The development of the muteness in Hamlet of Ophelia differs greatly from that in Desdemona because the latter’s muteness develops into insanity, becoming the only means of articulation for her in the confining patriarchal environment. In her case, throughout the entire play, the character does not have the chance to speak independently;</w:t>
      </w:r>
      <w:r>
        <w:rPr>
          <w:spacing w:val="40"/>
        </w:rPr>
        <w:t> </w:t>
      </w:r>
      <w:r>
        <w:rPr/>
        <w:t>she is rather treated like an object that comes under the control of her father,</w:t>
      </w:r>
      <w:r>
        <w:rPr>
          <w:spacing w:val="40"/>
        </w:rPr>
        <w:t> </w:t>
      </w:r>
      <w:r>
        <w:rPr/>
        <w:t>Polonius,</w:t>
      </w:r>
      <w:r>
        <w:rPr>
          <w:spacing w:val="40"/>
        </w:rPr>
        <w:t> </w:t>
      </w:r>
      <w:r>
        <w:rPr/>
        <w:t>and</w:t>
      </w:r>
      <w:r>
        <w:rPr>
          <w:spacing w:val="40"/>
        </w:rPr>
        <w:t> </w:t>
      </w:r>
      <w:r>
        <w:rPr/>
        <w:t>subsequently</w:t>
      </w:r>
      <w:r>
        <w:rPr>
          <w:spacing w:val="40"/>
        </w:rPr>
        <w:t> </w:t>
      </w:r>
      <w:r>
        <w:rPr/>
        <w:t>of</w:t>
      </w:r>
      <w:r>
        <w:rPr>
          <w:spacing w:val="40"/>
        </w:rPr>
        <w:t> </w:t>
      </w:r>
      <w:r>
        <w:rPr/>
        <w:t>the</w:t>
      </w:r>
      <w:r>
        <w:rPr>
          <w:spacing w:val="40"/>
        </w:rPr>
        <w:t> </w:t>
      </w:r>
      <w:r>
        <w:rPr/>
        <w:t>moody</w:t>
      </w:r>
      <w:r>
        <w:rPr>
          <w:spacing w:val="40"/>
        </w:rPr>
        <w:t> </w:t>
      </w:r>
      <w:r>
        <w:rPr/>
        <w:t>Hamlet.</w:t>
      </w:r>
    </w:p>
    <w:p>
      <w:pPr>
        <w:spacing w:before="63"/>
        <w:ind w:left="2160" w:right="0" w:firstLine="0"/>
        <w:jc w:val="both"/>
        <w:rPr>
          <w:i/>
          <w:sz w:val="20"/>
        </w:rPr>
      </w:pPr>
      <w:r>
        <w:rPr>
          <w:i/>
          <w:sz w:val="20"/>
        </w:rPr>
        <w:t>“I</w:t>
      </w:r>
      <w:r>
        <w:rPr>
          <w:i/>
          <w:spacing w:val="18"/>
          <w:sz w:val="20"/>
        </w:rPr>
        <w:t> </w:t>
      </w:r>
      <w:r>
        <w:rPr>
          <w:i/>
          <w:sz w:val="20"/>
        </w:rPr>
        <w:t>shall</w:t>
      </w:r>
      <w:r>
        <w:rPr>
          <w:i/>
          <w:spacing w:val="20"/>
          <w:sz w:val="20"/>
        </w:rPr>
        <w:t> </w:t>
      </w:r>
      <w:r>
        <w:rPr>
          <w:i/>
          <w:sz w:val="20"/>
        </w:rPr>
        <w:t>obey,</w:t>
      </w:r>
      <w:r>
        <w:rPr>
          <w:i/>
          <w:spacing w:val="18"/>
          <w:sz w:val="20"/>
        </w:rPr>
        <w:t> </w:t>
      </w:r>
      <w:r>
        <w:rPr>
          <w:i/>
          <w:sz w:val="20"/>
        </w:rPr>
        <w:t>my</w:t>
      </w:r>
      <w:r>
        <w:rPr>
          <w:i/>
          <w:spacing w:val="19"/>
          <w:sz w:val="20"/>
        </w:rPr>
        <w:t> </w:t>
      </w:r>
      <w:r>
        <w:rPr>
          <w:i/>
          <w:sz w:val="20"/>
        </w:rPr>
        <w:t>lord”</w:t>
      </w:r>
      <w:r>
        <w:rPr>
          <w:i/>
          <w:spacing w:val="19"/>
          <w:sz w:val="20"/>
        </w:rPr>
        <w:t> </w:t>
      </w:r>
      <w:r>
        <w:rPr>
          <w:i/>
          <w:sz w:val="20"/>
        </w:rPr>
        <w:t>(</w:t>
      </w:r>
      <w:r>
        <w:rPr>
          <w:sz w:val="20"/>
        </w:rPr>
        <w:t>Hamlet</w:t>
      </w:r>
      <w:r>
        <w:rPr>
          <w:spacing w:val="19"/>
          <w:sz w:val="20"/>
        </w:rPr>
        <w:t> </w:t>
      </w:r>
      <w:r>
        <w:rPr>
          <w:i/>
          <w:spacing w:val="-2"/>
          <w:sz w:val="20"/>
        </w:rPr>
        <w:t>1.3.136).</w:t>
      </w:r>
    </w:p>
    <w:p>
      <w:pPr>
        <w:pStyle w:val="BodyText"/>
        <w:spacing w:line="249" w:lineRule="auto" w:before="68"/>
        <w:ind w:right="1437" w:firstLine="432"/>
        <w:jc w:val="both"/>
      </w:pPr>
      <w:r>
        <w:rPr/>
        <w:t>In this statement, one can understand the limitation of her own willpower</w:t>
      </w:r>
      <w:r>
        <w:rPr>
          <w:spacing w:val="-4"/>
        </w:rPr>
        <w:t> </w:t>
      </w:r>
      <w:r>
        <w:rPr/>
        <w:t>because</w:t>
      </w:r>
      <w:r>
        <w:rPr>
          <w:spacing w:val="-3"/>
        </w:rPr>
        <w:t> </w:t>
      </w:r>
      <w:r>
        <w:rPr/>
        <w:t>her</w:t>
      </w:r>
      <w:r>
        <w:rPr>
          <w:spacing w:val="-4"/>
        </w:rPr>
        <w:t> </w:t>
      </w:r>
      <w:r>
        <w:rPr/>
        <w:t>identity</w:t>
      </w:r>
      <w:r>
        <w:rPr>
          <w:spacing w:val="-8"/>
        </w:rPr>
        <w:t> </w:t>
      </w:r>
      <w:r>
        <w:rPr/>
        <w:t>and</w:t>
      </w:r>
      <w:r>
        <w:rPr>
          <w:spacing w:val="-1"/>
        </w:rPr>
        <w:t> </w:t>
      </w:r>
      <w:r>
        <w:rPr/>
        <w:t>actions</w:t>
      </w:r>
      <w:r>
        <w:rPr>
          <w:spacing w:val="-6"/>
        </w:rPr>
        <w:t> </w:t>
      </w:r>
      <w:r>
        <w:rPr/>
        <w:t>are</w:t>
      </w:r>
      <w:r>
        <w:rPr>
          <w:spacing w:val="-6"/>
        </w:rPr>
        <w:t> </w:t>
      </w:r>
      <w:r>
        <w:rPr/>
        <w:t>completely</w:t>
      </w:r>
      <w:r>
        <w:rPr>
          <w:spacing w:val="-6"/>
        </w:rPr>
        <w:t> </w:t>
      </w:r>
      <w:r>
        <w:rPr/>
        <w:t>controlled</w:t>
      </w:r>
      <w:r>
        <w:rPr>
          <w:spacing w:val="-4"/>
        </w:rPr>
        <w:t> </w:t>
      </w:r>
      <w:r>
        <w:rPr/>
        <w:t>by men. Her silence here is not merely an individual choice but rather a socialization process. In other words, her silence can be understood in the</w:t>
      </w:r>
      <w:r>
        <w:rPr>
          <w:spacing w:val="37"/>
        </w:rPr>
        <w:t> </w:t>
      </w:r>
      <w:r>
        <w:rPr/>
        <w:t>context</w:t>
      </w:r>
      <w:r>
        <w:rPr>
          <w:spacing w:val="35"/>
        </w:rPr>
        <w:t> </w:t>
      </w:r>
      <w:r>
        <w:rPr/>
        <w:t>of</w:t>
      </w:r>
      <w:r>
        <w:rPr>
          <w:spacing w:val="31"/>
        </w:rPr>
        <w:t> </w:t>
      </w:r>
      <w:r>
        <w:rPr/>
        <w:t>the</w:t>
      </w:r>
      <w:r>
        <w:rPr>
          <w:spacing w:val="38"/>
        </w:rPr>
        <w:t> </w:t>
      </w:r>
      <w:r>
        <w:rPr/>
        <w:t>concept</w:t>
      </w:r>
      <w:r>
        <w:rPr>
          <w:spacing w:val="34"/>
        </w:rPr>
        <w:t> </w:t>
      </w:r>
      <w:r>
        <w:rPr/>
        <w:t>of</w:t>
      </w:r>
      <w:r>
        <w:rPr>
          <w:spacing w:val="35"/>
        </w:rPr>
        <w:t> </w:t>
      </w:r>
      <w:r>
        <w:rPr/>
        <w:t>the</w:t>
      </w:r>
      <w:r>
        <w:rPr>
          <w:spacing w:val="37"/>
        </w:rPr>
        <w:t> </w:t>
      </w:r>
      <w:r>
        <w:rPr/>
        <w:t>performativity</w:t>
      </w:r>
      <w:r>
        <w:rPr>
          <w:spacing w:val="32"/>
        </w:rPr>
        <w:t> </w:t>
      </w:r>
      <w:r>
        <w:rPr/>
        <w:t>of</w:t>
      </w:r>
      <w:r>
        <w:rPr>
          <w:spacing w:val="33"/>
        </w:rPr>
        <w:t> </w:t>
      </w:r>
      <w:r>
        <w:rPr/>
        <w:t>gender</w:t>
      </w:r>
      <w:r>
        <w:rPr>
          <w:spacing w:val="37"/>
        </w:rPr>
        <w:t> </w:t>
      </w:r>
      <w:r>
        <w:rPr/>
        <w:t>roles</w:t>
      </w:r>
      <w:r>
        <w:rPr>
          <w:spacing w:val="34"/>
        </w:rPr>
        <w:t> </w:t>
      </w:r>
      <w:r>
        <w:rPr>
          <w:spacing w:val="-5"/>
        </w:rPr>
        <w:t>put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21824">
                <wp:simplePos x="0" y="0"/>
                <wp:positionH relativeFrom="page">
                  <wp:posOffset>2057400</wp:posOffset>
                </wp:positionH>
                <wp:positionV relativeFrom="paragraph">
                  <wp:posOffset>162604</wp:posOffset>
                </wp:positionV>
                <wp:extent cx="3657600" cy="12700"/>
                <wp:effectExtent l="0" t="0" r="0" b="0"/>
                <wp:wrapTopAndBottom/>
                <wp:docPr id="643" name="Graphic 643"/>
                <wp:cNvGraphicFramePr>
                  <a:graphicFrameLocks/>
                </wp:cNvGraphicFramePr>
                <a:graphic>
                  <a:graphicData uri="http://schemas.microsoft.com/office/word/2010/wordprocessingShape">
                    <wps:wsp>
                      <wps:cNvPr id="643" name="Graphic 64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94656;mso-wrap-distance-left:0;mso-wrap-distance-right:0" id="docshape635" filled="true" fillcolor="#000000" stroked="false">
                <v:fill type="solid"/>
                <w10:wrap type="topAndBottom"/>
              </v:rect>
            </w:pict>
          </mc:Fallback>
        </mc:AlternateContent>
      </w:r>
      <w:r>
        <w:rPr>
          <w:rFonts w:ascii="Verdana"/>
          <w:spacing w:val="-5"/>
          <w:sz w:val="18"/>
        </w:rPr>
        <w:t>312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forward by Judith Butler, where obedience and passivity are performed </w:t>
      </w:r>
      <w:r>
        <w:rPr>
          <w:spacing w:val="-4"/>
        </w:rPr>
        <w:t>continuously</w:t>
      </w:r>
      <w:r>
        <w:rPr>
          <w:spacing w:val="-6"/>
        </w:rPr>
        <w:t> </w:t>
      </w:r>
      <w:r>
        <w:rPr>
          <w:spacing w:val="-4"/>
        </w:rPr>
        <w:t>in</w:t>
      </w:r>
      <w:r>
        <w:rPr>
          <w:spacing w:val="-8"/>
        </w:rPr>
        <w:t> </w:t>
      </w:r>
      <w:r>
        <w:rPr>
          <w:spacing w:val="-4"/>
        </w:rPr>
        <w:t>order</w:t>
      </w:r>
      <w:r>
        <w:rPr>
          <w:spacing w:val="-5"/>
        </w:rPr>
        <w:t> </w:t>
      </w:r>
      <w:r>
        <w:rPr>
          <w:spacing w:val="-4"/>
        </w:rPr>
        <w:t>to demonstrate femininity</w:t>
      </w:r>
      <w:r>
        <w:rPr>
          <w:spacing w:val="-9"/>
        </w:rPr>
        <w:t> </w:t>
      </w:r>
      <w:r>
        <w:rPr>
          <w:spacing w:val="-4"/>
        </w:rPr>
        <w:t>(Butler 45). While moving </w:t>
      </w:r>
      <w:r>
        <w:rPr/>
        <w:t>along in the play, the inability of Ophelia to express her feelings in the language of rationality becomes the reason for her mental disorder. Nevertheless, the madness of Ophelia cannot be considered just a case of instability because she uses it as a way of “expressive silence,”</w:t>
      </w:r>
      <w:r>
        <w:rPr>
          <w:spacing w:val="40"/>
        </w:rPr>
        <w:t> </w:t>
      </w:r>
      <w:r>
        <w:rPr/>
        <w:t>which</w:t>
      </w:r>
      <w:r>
        <w:rPr>
          <w:spacing w:val="21"/>
        </w:rPr>
        <w:t> </w:t>
      </w:r>
      <w:r>
        <w:rPr/>
        <w:t>means</w:t>
      </w:r>
      <w:r>
        <w:rPr>
          <w:spacing w:val="22"/>
        </w:rPr>
        <w:t> </w:t>
      </w:r>
      <w:r>
        <w:rPr/>
        <w:t>that</w:t>
      </w:r>
      <w:r>
        <w:rPr>
          <w:spacing w:val="22"/>
        </w:rPr>
        <w:t> </w:t>
      </w:r>
      <w:r>
        <w:rPr/>
        <w:t>all</w:t>
      </w:r>
      <w:r>
        <w:rPr>
          <w:spacing w:val="23"/>
        </w:rPr>
        <w:t> </w:t>
      </w:r>
      <w:r>
        <w:rPr/>
        <w:t>repressed</w:t>
      </w:r>
      <w:r>
        <w:rPr>
          <w:spacing w:val="22"/>
        </w:rPr>
        <w:t> </w:t>
      </w:r>
      <w:r>
        <w:rPr/>
        <w:t>thoughts</w:t>
      </w:r>
      <w:r>
        <w:rPr>
          <w:spacing w:val="24"/>
        </w:rPr>
        <w:t> </w:t>
      </w:r>
      <w:r>
        <w:rPr/>
        <w:t>and</w:t>
      </w:r>
      <w:r>
        <w:rPr>
          <w:spacing w:val="25"/>
        </w:rPr>
        <w:t> </w:t>
      </w:r>
      <w:r>
        <w:rPr/>
        <w:t>feelings</w:t>
      </w:r>
      <w:r>
        <w:rPr>
          <w:spacing w:val="22"/>
        </w:rPr>
        <w:t> </w:t>
      </w:r>
      <w:r>
        <w:rPr/>
        <w:t>become</w:t>
      </w:r>
      <w:r>
        <w:rPr>
          <w:spacing w:val="25"/>
        </w:rPr>
        <w:t> </w:t>
      </w:r>
      <w:r>
        <w:rPr>
          <w:spacing w:val="-2"/>
        </w:rPr>
        <w:t>visible.</w:t>
      </w:r>
    </w:p>
    <w:p>
      <w:pPr>
        <w:spacing w:before="64"/>
        <w:ind w:left="2160" w:right="0" w:firstLine="0"/>
        <w:jc w:val="both"/>
        <w:rPr>
          <w:i/>
          <w:sz w:val="20"/>
        </w:rPr>
      </w:pPr>
      <w:r>
        <w:rPr>
          <w:i/>
          <w:sz w:val="20"/>
        </w:rPr>
        <w:t>“He</w:t>
      </w:r>
      <w:r>
        <w:rPr>
          <w:i/>
          <w:spacing w:val="29"/>
          <w:sz w:val="20"/>
        </w:rPr>
        <w:t> </w:t>
      </w:r>
      <w:r>
        <w:rPr>
          <w:i/>
          <w:sz w:val="20"/>
        </w:rPr>
        <w:t>is</w:t>
      </w:r>
      <w:r>
        <w:rPr>
          <w:i/>
          <w:spacing w:val="29"/>
          <w:sz w:val="20"/>
        </w:rPr>
        <w:t> </w:t>
      </w:r>
      <w:r>
        <w:rPr>
          <w:i/>
          <w:sz w:val="20"/>
        </w:rPr>
        <w:t>dead</w:t>
      </w:r>
      <w:r>
        <w:rPr>
          <w:i/>
          <w:spacing w:val="26"/>
          <w:sz w:val="20"/>
        </w:rPr>
        <w:t> </w:t>
      </w:r>
      <w:r>
        <w:rPr>
          <w:i/>
          <w:sz w:val="20"/>
        </w:rPr>
        <w:t>and</w:t>
      </w:r>
      <w:r>
        <w:rPr>
          <w:i/>
          <w:spacing w:val="31"/>
          <w:sz w:val="20"/>
        </w:rPr>
        <w:t> </w:t>
      </w:r>
      <w:r>
        <w:rPr>
          <w:i/>
          <w:sz w:val="20"/>
        </w:rPr>
        <w:t>gone,</w:t>
      </w:r>
      <w:r>
        <w:rPr>
          <w:i/>
          <w:spacing w:val="28"/>
          <w:sz w:val="20"/>
        </w:rPr>
        <w:t> </w:t>
      </w:r>
      <w:r>
        <w:rPr>
          <w:i/>
          <w:spacing w:val="-4"/>
          <w:sz w:val="20"/>
        </w:rPr>
        <w:t>lady,</w:t>
      </w:r>
    </w:p>
    <w:p>
      <w:pPr>
        <w:spacing w:before="67"/>
        <w:ind w:left="2160" w:right="0" w:firstLine="0"/>
        <w:jc w:val="both"/>
        <w:rPr>
          <w:i/>
          <w:sz w:val="20"/>
        </w:rPr>
      </w:pPr>
      <w:r>
        <w:rPr>
          <w:i/>
          <w:sz w:val="20"/>
        </w:rPr>
        <w:t>He</w:t>
      </w:r>
      <w:r>
        <w:rPr>
          <w:i/>
          <w:spacing w:val="28"/>
          <w:sz w:val="20"/>
        </w:rPr>
        <w:t> </w:t>
      </w:r>
      <w:r>
        <w:rPr>
          <w:i/>
          <w:sz w:val="20"/>
        </w:rPr>
        <w:t>is</w:t>
      </w:r>
      <w:r>
        <w:rPr>
          <w:i/>
          <w:spacing w:val="23"/>
          <w:sz w:val="20"/>
        </w:rPr>
        <w:t> </w:t>
      </w:r>
      <w:r>
        <w:rPr>
          <w:i/>
          <w:sz w:val="20"/>
        </w:rPr>
        <w:t>dead</w:t>
      </w:r>
      <w:r>
        <w:rPr>
          <w:i/>
          <w:spacing w:val="29"/>
          <w:sz w:val="20"/>
        </w:rPr>
        <w:t> </w:t>
      </w:r>
      <w:r>
        <w:rPr>
          <w:i/>
          <w:sz w:val="20"/>
        </w:rPr>
        <w:t>and</w:t>
      </w:r>
      <w:r>
        <w:rPr>
          <w:i/>
          <w:spacing w:val="28"/>
          <w:sz w:val="20"/>
        </w:rPr>
        <w:t> </w:t>
      </w:r>
      <w:r>
        <w:rPr>
          <w:i/>
          <w:sz w:val="20"/>
        </w:rPr>
        <w:t>gone”</w:t>
      </w:r>
      <w:r>
        <w:rPr>
          <w:i/>
          <w:spacing w:val="26"/>
          <w:sz w:val="20"/>
        </w:rPr>
        <w:t> </w:t>
      </w:r>
      <w:r>
        <w:rPr>
          <w:i/>
          <w:sz w:val="20"/>
        </w:rPr>
        <w:t>(</w:t>
      </w:r>
      <w:r>
        <w:rPr>
          <w:sz w:val="20"/>
        </w:rPr>
        <w:t>Hamlet</w:t>
      </w:r>
      <w:r>
        <w:rPr>
          <w:spacing w:val="27"/>
          <w:sz w:val="20"/>
        </w:rPr>
        <w:t> </w:t>
      </w:r>
      <w:r>
        <w:rPr>
          <w:i/>
          <w:sz w:val="20"/>
        </w:rPr>
        <w:t>4.5.29–</w:t>
      </w:r>
      <w:r>
        <w:rPr>
          <w:i/>
          <w:spacing w:val="-4"/>
          <w:sz w:val="20"/>
        </w:rPr>
        <w:t>30).</w:t>
      </w:r>
    </w:p>
    <w:p>
      <w:pPr>
        <w:pStyle w:val="BodyText"/>
        <w:spacing w:line="261" w:lineRule="auto" w:before="75"/>
        <w:ind w:right="1439" w:firstLine="432"/>
        <w:jc w:val="both"/>
      </w:pPr>
      <w:r>
        <w:rPr/>
        <w:t>It is through such poetic exclamations that Ophelia conveys a sense of loss, betrayal, and anguish in a way that transcends traditional language. Her madness acts as an interruption in patriarchal discourse and enables her to express a truthfulness that had been stifled. As</w:t>
      </w:r>
      <w:r>
        <w:rPr>
          <w:spacing w:val="40"/>
        </w:rPr>
        <w:t> </w:t>
      </w:r>
      <w:r>
        <w:rPr/>
        <w:t>Elaine Showalter asserts, “Ophelia’s madness represents the psychic and social consequences of a culture that denies women access to a mode of</w:t>
      </w:r>
      <w:r>
        <w:rPr>
          <w:spacing w:val="-3"/>
        </w:rPr>
        <w:t> </w:t>
      </w:r>
      <w:r>
        <w:rPr/>
        <w:t>discourse” (Showalter 80).</w:t>
      </w:r>
      <w:r>
        <w:rPr>
          <w:spacing w:val="-1"/>
        </w:rPr>
        <w:t> </w:t>
      </w:r>
      <w:r>
        <w:rPr/>
        <w:t>However, Ophelia’s brief</w:t>
      </w:r>
      <w:r>
        <w:rPr>
          <w:spacing w:val="-3"/>
        </w:rPr>
        <w:t> </w:t>
      </w:r>
      <w:r>
        <w:rPr/>
        <w:t>period of interrupted speech ends abruptly, and her tragic demise indicates the ultimate silencing of her voice. Contrary to the male characters in the play,</w:t>
      </w:r>
      <w:r>
        <w:rPr>
          <w:spacing w:val="-7"/>
        </w:rPr>
        <w:t> </w:t>
      </w:r>
      <w:r>
        <w:rPr/>
        <w:t>who</w:t>
      </w:r>
      <w:r>
        <w:rPr>
          <w:spacing w:val="-9"/>
        </w:rPr>
        <w:t> </w:t>
      </w:r>
      <w:r>
        <w:rPr/>
        <w:t>achieve</w:t>
      </w:r>
      <w:r>
        <w:rPr>
          <w:spacing w:val="-6"/>
        </w:rPr>
        <w:t> </w:t>
      </w:r>
      <w:r>
        <w:rPr/>
        <w:t>a</w:t>
      </w:r>
      <w:r>
        <w:rPr>
          <w:spacing w:val="-8"/>
        </w:rPr>
        <w:t> </w:t>
      </w:r>
      <w:r>
        <w:rPr/>
        <w:t>kind</w:t>
      </w:r>
      <w:r>
        <w:rPr>
          <w:spacing w:val="-7"/>
        </w:rPr>
        <w:t> </w:t>
      </w:r>
      <w:r>
        <w:rPr/>
        <w:t>of</w:t>
      </w:r>
      <w:r>
        <w:rPr>
          <w:spacing w:val="-9"/>
        </w:rPr>
        <w:t> </w:t>
      </w:r>
      <w:r>
        <w:rPr/>
        <w:t>closure</w:t>
      </w:r>
      <w:r>
        <w:rPr>
          <w:spacing w:val="-6"/>
        </w:rPr>
        <w:t> </w:t>
      </w:r>
      <w:r>
        <w:rPr/>
        <w:t>by</w:t>
      </w:r>
      <w:r>
        <w:rPr>
          <w:spacing w:val="-11"/>
        </w:rPr>
        <w:t> </w:t>
      </w:r>
      <w:r>
        <w:rPr/>
        <w:t>acting</w:t>
      </w:r>
      <w:r>
        <w:rPr>
          <w:spacing w:val="-9"/>
        </w:rPr>
        <w:t> </w:t>
      </w:r>
      <w:r>
        <w:rPr/>
        <w:t>out</w:t>
      </w:r>
      <w:r>
        <w:rPr>
          <w:spacing w:val="-9"/>
        </w:rPr>
        <w:t> </w:t>
      </w:r>
      <w:r>
        <w:rPr/>
        <w:t>or</w:t>
      </w:r>
      <w:r>
        <w:rPr>
          <w:spacing w:val="-4"/>
        </w:rPr>
        <w:t> </w:t>
      </w:r>
      <w:r>
        <w:rPr/>
        <w:t>changing,</w:t>
      </w:r>
      <w:r>
        <w:rPr>
          <w:spacing w:val="-9"/>
        </w:rPr>
        <w:t> </w:t>
      </w:r>
      <w:r>
        <w:rPr/>
        <w:t>Ophelia’s story concludes with a complete erasure, which underscores the </w:t>
      </w:r>
      <w:r>
        <w:rPr>
          <w:spacing w:val="-4"/>
        </w:rPr>
        <w:t>limitations that women</w:t>
      </w:r>
      <w:r>
        <w:rPr>
          <w:spacing w:val="-7"/>
        </w:rPr>
        <w:t> </w:t>
      </w:r>
      <w:r>
        <w:rPr>
          <w:spacing w:val="-4"/>
        </w:rPr>
        <w:t>face in the context of Hamlet. Therefore, Ophelia’s </w:t>
      </w:r>
      <w:r>
        <w:rPr>
          <w:spacing w:val="-2"/>
        </w:rPr>
        <w:t>silence</w:t>
      </w:r>
      <w:r>
        <w:rPr>
          <w:spacing w:val="-11"/>
        </w:rPr>
        <w:t> </w:t>
      </w:r>
      <w:r>
        <w:rPr>
          <w:spacing w:val="-2"/>
        </w:rPr>
        <w:t>becomes</w:t>
      </w:r>
      <w:r>
        <w:rPr>
          <w:spacing w:val="-10"/>
        </w:rPr>
        <w:t> </w:t>
      </w:r>
      <w:r>
        <w:rPr>
          <w:spacing w:val="-2"/>
        </w:rPr>
        <w:t>both</w:t>
      </w:r>
      <w:r>
        <w:rPr>
          <w:spacing w:val="-11"/>
        </w:rPr>
        <w:t> </w:t>
      </w:r>
      <w:r>
        <w:rPr>
          <w:spacing w:val="-2"/>
        </w:rPr>
        <w:t>a</w:t>
      </w:r>
      <w:r>
        <w:rPr>
          <w:spacing w:val="-10"/>
        </w:rPr>
        <w:t> </w:t>
      </w:r>
      <w:r>
        <w:rPr>
          <w:spacing w:val="-2"/>
        </w:rPr>
        <w:t>form</w:t>
      </w:r>
      <w:r>
        <w:rPr>
          <w:spacing w:val="-11"/>
        </w:rPr>
        <w:t> </w:t>
      </w:r>
      <w:r>
        <w:rPr>
          <w:spacing w:val="-2"/>
        </w:rPr>
        <w:t>of</w:t>
      </w:r>
      <w:r>
        <w:rPr>
          <w:spacing w:val="-10"/>
        </w:rPr>
        <w:t> </w:t>
      </w:r>
      <w:r>
        <w:rPr>
          <w:spacing w:val="-2"/>
        </w:rPr>
        <w:t>constraint</w:t>
      </w:r>
      <w:r>
        <w:rPr>
          <w:spacing w:val="-11"/>
        </w:rPr>
        <w:t> </w:t>
      </w:r>
      <w:r>
        <w:rPr>
          <w:spacing w:val="-2"/>
        </w:rPr>
        <w:t>and</w:t>
      </w:r>
      <w:r>
        <w:rPr>
          <w:spacing w:val="-5"/>
        </w:rPr>
        <w:t> </w:t>
      </w:r>
      <w:r>
        <w:rPr>
          <w:spacing w:val="-2"/>
        </w:rPr>
        <w:t>a</w:t>
      </w:r>
      <w:r>
        <w:rPr>
          <w:spacing w:val="-7"/>
        </w:rPr>
        <w:t> </w:t>
      </w:r>
      <w:r>
        <w:rPr>
          <w:spacing w:val="-2"/>
        </w:rPr>
        <w:t>liberating</w:t>
      </w:r>
      <w:r>
        <w:rPr>
          <w:spacing w:val="-11"/>
        </w:rPr>
        <w:t> </w:t>
      </w:r>
      <w:r>
        <w:rPr>
          <w:spacing w:val="-2"/>
        </w:rPr>
        <w:t>force.</w:t>
      </w:r>
      <w:r>
        <w:rPr>
          <w:spacing w:val="-10"/>
        </w:rPr>
        <w:t> </w:t>
      </w:r>
      <w:r>
        <w:rPr>
          <w:spacing w:val="-2"/>
        </w:rPr>
        <w:t>Although </w:t>
      </w:r>
      <w:r>
        <w:rPr/>
        <w:t>it symbolizes her marginalized position at first, it gradually takes on a subversive quality and becomes a tool for breaking free from linguistic and</w:t>
      </w:r>
      <w:r>
        <w:rPr>
          <w:spacing w:val="40"/>
        </w:rPr>
        <w:t> </w:t>
      </w:r>
      <w:r>
        <w:rPr/>
        <w:t>institutional</w:t>
      </w:r>
      <w:r>
        <w:rPr>
          <w:spacing w:val="40"/>
        </w:rPr>
        <w:t> </w:t>
      </w:r>
      <w:r>
        <w:rPr/>
        <w:t>restraints.</w:t>
      </w:r>
    </w:p>
    <w:p>
      <w:pPr>
        <w:spacing w:before="39"/>
        <w:ind w:left="0" w:right="2" w:firstLine="0"/>
        <w:jc w:val="center"/>
        <w:rPr>
          <w:rFonts w:ascii="Cambria"/>
          <w:i/>
          <w:sz w:val="18"/>
        </w:rPr>
      </w:pPr>
      <w:r>
        <w:rPr>
          <w:rFonts w:ascii="Cambria"/>
          <w:i/>
          <w:w w:val="110"/>
          <w:sz w:val="18"/>
        </w:rPr>
        <w:t>Table</w:t>
      </w:r>
      <w:r>
        <w:rPr>
          <w:rFonts w:ascii="Cambria"/>
          <w:i/>
          <w:spacing w:val="20"/>
          <w:w w:val="110"/>
          <w:sz w:val="18"/>
        </w:rPr>
        <w:t> </w:t>
      </w:r>
      <w:r>
        <w:rPr>
          <w:rFonts w:ascii="Cambria"/>
          <w:i/>
          <w:w w:val="110"/>
          <w:sz w:val="18"/>
        </w:rPr>
        <w:t>1:</w:t>
      </w:r>
      <w:r>
        <w:rPr>
          <w:rFonts w:ascii="Cambria"/>
          <w:i/>
          <w:spacing w:val="24"/>
          <w:w w:val="110"/>
          <w:sz w:val="18"/>
        </w:rPr>
        <w:t> </w:t>
      </w:r>
      <w:r>
        <w:rPr>
          <w:rFonts w:ascii="Cambria"/>
          <w:i/>
          <w:w w:val="110"/>
          <w:sz w:val="18"/>
        </w:rPr>
        <w:t>Comparative</w:t>
      </w:r>
      <w:r>
        <w:rPr>
          <w:rFonts w:ascii="Cambria"/>
          <w:i/>
          <w:spacing w:val="21"/>
          <w:w w:val="110"/>
          <w:sz w:val="18"/>
        </w:rPr>
        <w:t> </w:t>
      </w:r>
      <w:r>
        <w:rPr>
          <w:rFonts w:ascii="Cambria"/>
          <w:i/>
          <w:w w:val="110"/>
          <w:sz w:val="18"/>
        </w:rPr>
        <w:t>Analysis</w:t>
      </w:r>
      <w:r>
        <w:rPr>
          <w:rFonts w:ascii="Cambria"/>
          <w:i/>
          <w:spacing w:val="20"/>
          <w:w w:val="110"/>
          <w:sz w:val="18"/>
        </w:rPr>
        <w:t> </w:t>
      </w:r>
      <w:r>
        <w:rPr>
          <w:rFonts w:ascii="Cambria"/>
          <w:i/>
          <w:w w:val="110"/>
          <w:sz w:val="18"/>
        </w:rPr>
        <w:t>of</w:t>
      </w:r>
      <w:r>
        <w:rPr>
          <w:rFonts w:ascii="Cambria"/>
          <w:i/>
          <w:spacing w:val="22"/>
          <w:w w:val="110"/>
          <w:sz w:val="18"/>
        </w:rPr>
        <w:t> </w:t>
      </w:r>
      <w:r>
        <w:rPr>
          <w:rFonts w:ascii="Cambria"/>
          <w:i/>
          <w:w w:val="110"/>
          <w:sz w:val="18"/>
        </w:rPr>
        <w:t>Desdemona</w:t>
      </w:r>
      <w:r>
        <w:rPr>
          <w:rFonts w:ascii="Cambria"/>
          <w:i/>
          <w:spacing w:val="23"/>
          <w:w w:val="110"/>
          <w:sz w:val="18"/>
        </w:rPr>
        <w:t> </w:t>
      </w:r>
      <w:r>
        <w:rPr>
          <w:rFonts w:ascii="Cambria"/>
          <w:i/>
          <w:w w:val="110"/>
          <w:sz w:val="18"/>
        </w:rPr>
        <w:t>and</w:t>
      </w:r>
      <w:r>
        <w:rPr>
          <w:rFonts w:ascii="Cambria"/>
          <w:i/>
          <w:spacing w:val="22"/>
          <w:w w:val="110"/>
          <w:sz w:val="18"/>
        </w:rPr>
        <w:t> </w:t>
      </w:r>
      <w:r>
        <w:rPr>
          <w:rFonts w:ascii="Cambria"/>
          <w:i/>
          <w:spacing w:val="-2"/>
          <w:w w:val="110"/>
          <w:sz w:val="18"/>
        </w:rPr>
        <w:t>Ophelia</w:t>
      </w:r>
    </w:p>
    <w:p>
      <w:pPr>
        <w:pStyle w:val="BodyText"/>
        <w:spacing w:before="4"/>
        <w:ind w:left="0"/>
        <w:rPr>
          <w:rFonts w:ascii="Cambria"/>
          <w:i/>
          <w:sz w:val="7"/>
        </w:rPr>
      </w:pPr>
    </w:p>
    <w:tbl>
      <w:tblPr>
        <w:tblW w:w="0" w:type="auto"/>
        <w:jc w:val="left"/>
        <w:tblInd w:w="15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20"/>
        <w:gridCol w:w="1822"/>
        <w:gridCol w:w="1822"/>
      </w:tblGrid>
      <w:tr>
        <w:trPr>
          <w:trHeight w:val="167" w:hRule="atLeast"/>
        </w:trPr>
        <w:tc>
          <w:tcPr>
            <w:tcW w:w="1820" w:type="dxa"/>
            <w:tcBorders>
              <w:right w:val="single" w:sz="4" w:space="0" w:color="000000"/>
            </w:tcBorders>
          </w:tcPr>
          <w:p>
            <w:pPr>
              <w:pStyle w:val="TableParagraph"/>
              <w:spacing w:line="148" w:lineRule="exact"/>
              <w:rPr>
                <w:sz w:val="15"/>
              </w:rPr>
            </w:pPr>
            <w:r>
              <w:rPr>
                <w:spacing w:val="-2"/>
                <w:sz w:val="15"/>
              </w:rPr>
              <w:t>Aspect</w:t>
            </w:r>
          </w:p>
        </w:tc>
        <w:tc>
          <w:tcPr>
            <w:tcW w:w="1822" w:type="dxa"/>
            <w:tcBorders>
              <w:left w:val="single" w:sz="4" w:space="0" w:color="000000"/>
              <w:right w:val="single" w:sz="4" w:space="0" w:color="000000"/>
            </w:tcBorders>
          </w:tcPr>
          <w:p>
            <w:pPr>
              <w:pStyle w:val="TableParagraph"/>
              <w:spacing w:line="148" w:lineRule="exact"/>
              <w:ind w:left="72"/>
              <w:rPr>
                <w:sz w:val="15"/>
              </w:rPr>
            </w:pPr>
            <w:r>
              <w:rPr>
                <w:sz w:val="15"/>
              </w:rPr>
              <w:t>Desdemona</w:t>
            </w:r>
            <w:r>
              <w:rPr>
                <w:spacing w:val="11"/>
                <w:sz w:val="15"/>
              </w:rPr>
              <w:t> </w:t>
            </w:r>
            <w:r>
              <w:rPr>
                <w:spacing w:val="-2"/>
                <w:sz w:val="15"/>
              </w:rPr>
              <w:t>(Othello)</w:t>
            </w:r>
          </w:p>
        </w:tc>
        <w:tc>
          <w:tcPr>
            <w:tcW w:w="1822" w:type="dxa"/>
            <w:tcBorders>
              <w:left w:val="single" w:sz="4" w:space="0" w:color="000000"/>
              <w:right w:val="single" w:sz="4" w:space="0" w:color="000000"/>
            </w:tcBorders>
          </w:tcPr>
          <w:p>
            <w:pPr>
              <w:pStyle w:val="TableParagraph"/>
              <w:spacing w:line="148" w:lineRule="exact"/>
              <w:ind w:left="71"/>
              <w:rPr>
                <w:sz w:val="15"/>
              </w:rPr>
            </w:pPr>
            <w:r>
              <w:rPr>
                <w:sz w:val="15"/>
              </w:rPr>
              <w:t>Ophelia</w:t>
            </w:r>
            <w:r>
              <w:rPr>
                <w:spacing w:val="10"/>
                <w:sz w:val="15"/>
              </w:rPr>
              <w:t> </w:t>
            </w:r>
            <w:r>
              <w:rPr>
                <w:spacing w:val="-2"/>
                <w:sz w:val="15"/>
              </w:rPr>
              <w:t>(Hamlet)</w:t>
            </w:r>
          </w:p>
        </w:tc>
      </w:tr>
      <w:tr>
        <w:trPr>
          <w:trHeight w:val="544" w:hRule="atLeast"/>
        </w:trPr>
        <w:tc>
          <w:tcPr>
            <w:tcW w:w="1820" w:type="dxa"/>
            <w:tcBorders>
              <w:right w:val="single" w:sz="4" w:space="0" w:color="000000"/>
            </w:tcBorders>
          </w:tcPr>
          <w:p>
            <w:pPr>
              <w:pStyle w:val="TableParagraph"/>
              <w:spacing w:line="172" w:lineRule="exact"/>
              <w:rPr>
                <w:sz w:val="15"/>
              </w:rPr>
            </w:pPr>
            <w:r>
              <w:rPr>
                <w:sz w:val="15"/>
              </w:rPr>
              <w:t>Type</w:t>
            </w:r>
            <w:r>
              <w:rPr>
                <w:spacing w:val="4"/>
                <w:sz w:val="15"/>
              </w:rPr>
              <w:t> </w:t>
            </w:r>
            <w:r>
              <w:rPr>
                <w:sz w:val="15"/>
              </w:rPr>
              <w:t>of</w:t>
            </w:r>
            <w:r>
              <w:rPr>
                <w:spacing w:val="4"/>
                <w:sz w:val="15"/>
              </w:rPr>
              <w:t> </w:t>
            </w:r>
            <w:r>
              <w:rPr>
                <w:spacing w:val="-2"/>
                <w:sz w:val="15"/>
              </w:rPr>
              <w:t>Silence</w:t>
            </w:r>
          </w:p>
        </w:tc>
        <w:tc>
          <w:tcPr>
            <w:tcW w:w="1822" w:type="dxa"/>
            <w:tcBorders>
              <w:left w:val="single" w:sz="4" w:space="0" w:color="000000"/>
              <w:right w:val="single" w:sz="4" w:space="0" w:color="000000"/>
            </w:tcBorders>
          </w:tcPr>
          <w:p>
            <w:pPr>
              <w:pStyle w:val="TableParagraph"/>
              <w:spacing w:line="172" w:lineRule="exact"/>
              <w:ind w:left="72"/>
              <w:rPr>
                <w:sz w:val="15"/>
              </w:rPr>
            </w:pPr>
            <w:r>
              <w:rPr>
                <w:sz w:val="15"/>
              </w:rPr>
              <w:t>Self-imposed</w:t>
            </w:r>
            <w:r>
              <w:rPr>
                <w:spacing w:val="6"/>
                <w:sz w:val="15"/>
              </w:rPr>
              <w:t> </w:t>
            </w:r>
            <w:r>
              <w:rPr>
                <w:sz w:val="15"/>
              </w:rPr>
              <w:t>/</w:t>
            </w:r>
            <w:r>
              <w:rPr>
                <w:spacing w:val="7"/>
                <w:sz w:val="15"/>
              </w:rPr>
              <w:t> </w:t>
            </w:r>
            <w:r>
              <w:rPr>
                <w:spacing w:val="-2"/>
                <w:sz w:val="15"/>
              </w:rPr>
              <w:t>internalized</w:t>
            </w:r>
          </w:p>
        </w:tc>
        <w:tc>
          <w:tcPr>
            <w:tcW w:w="1822" w:type="dxa"/>
            <w:tcBorders>
              <w:left w:val="single" w:sz="4" w:space="0" w:color="000000"/>
              <w:right w:val="single" w:sz="4" w:space="0" w:color="000000"/>
            </w:tcBorders>
          </w:tcPr>
          <w:p>
            <w:pPr>
              <w:pStyle w:val="TableParagraph"/>
              <w:spacing w:line="261" w:lineRule="auto" w:before="11"/>
              <w:ind w:left="72" w:right="133"/>
              <w:rPr>
                <w:sz w:val="15"/>
              </w:rPr>
            </w:pPr>
            <w:r>
              <w:rPr>
                <w:sz w:val="15"/>
              </w:rPr>
              <w:t>Imposed</w:t>
            </w:r>
            <w:r>
              <w:rPr>
                <w:spacing w:val="-4"/>
                <w:sz w:val="15"/>
              </w:rPr>
              <w:t> </w:t>
            </w:r>
            <w:r>
              <w:rPr>
                <w:sz w:val="15"/>
              </w:rPr>
              <w:t>→ </w:t>
            </w:r>
            <w:r>
              <w:rPr>
                <w:sz w:val="15"/>
              </w:rPr>
              <w:t>transformed</w:t>
            </w:r>
            <w:r>
              <w:rPr>
                <w:spacing w:val="40"/>
                <w:sz w:val="15"/>
              </w:rPr>
              <w:t> </w:t>
            </w:r>
            <w:r>
              <w:rPr>
                <w:sz w:val="15"/>
              </w:rPr>
              <w:t>into</w:t>
            </w:r>
            <w:r>
              <w:rPr>
                <w:spacing w:val="-3"/>
                <w:sz w:val="15"/>
              </w:rPr>
              <w:t> </w:t>
            </w:r>
            <w:r>
              <w:rPr>
                <w:sz w:val="15"/>
              </w:rPr>
              <w:t>madness</w:t>
            </w:r>
          </w:p>
        </w:tc>
      </w:tr>
      <w:tr>
        <w:trPr>
          <w:trHeight w:val="345" w:hRule="atLeast"/>
        </w:trPr>
        <w:tc>
          <w:tcPr>
            <w:tcW w:w="1820" w:type="dxa"/>
            <w:tcBorders>
              <w:bottom w:val="single" w:sz="4" w:space="0" w:color="000000"/>
              <w:right w:val="single" w:sz="4" w:space="0" w:color="000000"/>
            </w:tcBorders>
          </w:tcPr>
          <w:p>
            <w:pPr>
              <w:pStyle w:val="TableParagraph"/>
              <w:spacing w:line="172" w:lineRule="exact"/>
              <w:rPr>
                <w:sz w:val="15"/>
              </w:rPr>
            </w:pPr>
            <w:r>
              <w:rPr>
                <w:sz w:val="15"/>
              </w:rPr>
              <w:t>Cause</w:t>
            </w:r>
            <w:r>
              <w:rPr>
                <w:spacing w:val="5"/>
                <w:sz w:val="15"/>
              </w:rPr>
              <w:t> </w:t>
            </w:r>
            <w:r>
              <w:rPr>
                <w:sz w:val="15"/>
              </w:rPr>
              <w:t>of</w:t>
            </w:r>
            <w:r>
              <w:rPr>
                <w:spacing w:val="4"/>
                <w:sz w:val="15"/>
              </w:rPr>
              <w:t> </w:t>
            </w:r>
            <w:r>
              <w:rPr>
                <w:spacing w:val="-2"/>
                <w:sz w:val="15"/>
              </w:rPr>
              <w:t>Silence</w:t>
            </w:r>
          </w:p>
        </w:tc>
        <w:tc>
          <w:tcPr>
            <w:tcW w:w="1822" w:type="dxa"/>
            <w:tcBorders>
              <w:left w:val="single" w:sz="4" w:space="0" w:color="000000"/>
              <w:bottom w:val="single" w:sz="4" w:space="0" w:color="000000"/>
              <w:right w:val="single" w:sz="4" w:space="0" w:color="000000"/>
            </w:tcBorders>
          </w:tcPr>
          <w:p>
            <w:pPr>
              <w:pStyle w:val="TableParagraph"/>
              <w:spacing w:line="172" w:lineRule="exact"/>
              <w:ind w:left="72"/>
              <w:rPr>
                <w:sz w:val="15"/>
              </w:rPr>
            </w:pPr>
            <w:r>
              <w:rPr>
                <w:sz w:val="15"/>
              </w:rPr>
              <w:t>Patriarchal</w:t>
            </w:r>
            <w:r>
              <w:rPr>
                <w:spacing w:val="10"/>
                <w:sz w:val="15"/>
              </w:rPr>
              <w:t> </w:t>
            </w:r>
            <w:r>
              <w:rPr>
                <w:sz w:val="15"/>
              </w:rPr>
              <w:t>loyalty,</w:t>
            </w:r>
            <w:r>
              <w:rPr>
                <w:spacing w:val="9"/>
                <w:sz w:val="15"/>
              </w:rPr>
              <w:t> </w:t>
            </w:r>
            <w:r>
              <w:rPr>
                <w:spacing w:val="-2"/>
                <w:sz w:val="15"/>
              </w:rPr>
              <w:t>marital</w:t>
            </w:r>
          </w:p>
          <w:p>
            <w:pPr>
              <w:pStyle w:val="TableParagraph"/>
              <w:spacing w:line="152" w:lineRule="exact" w:before="2"/>
              <w:ind w:left="72"/>
              <w:rPr>
                <w:sz w:val="15"/>
              </w:rPr>
            </w:pPr>
            <w:r>
              <w:rPr>
                <w:spacing w:val="-2"/>
                <w:sz w:val="15"/>
              </w:rPr>
              <w:t>obedience</w:t>
            </w:r>
          </w:p>
        </w:tc>
        <w:tc>
          <w:tcPr>
            <w:tcW w:w="1822" w:type="dxa"/>
            <w:tcBorders>
              <w:left w:val="single" w:sz="4" w:space="0" w:color="000000"/>
              <w:bottom w:val="single" w:sz="4" w:space="0" w:color="000000"/>
              <w:right w:val="single" w:sz="4" w:space="0" w:color="000000"/>
            </w:tcBorders>
          </w:tcPr>
          <w:p>
            <w:pPr>
              <w:pStyle w:val="TableParagraph"/>
              <w:spacing w:line="172" w:lineRule="exact"/>
              <w:ind w:left="72"/>
              <w:rPr>
                <w:sz w:val="15"/>
              </w:rPr>
            </w:pPr>
            <w:r>
              <w:rPr>
                <w:sz w:val="15"/>
              </w:rPr>
              <w:t>Control</w:t>
            </w:r>
            <w:r>
              <w:rPr>
                <w:spacing w:val="6"/>
                <w:sz w:val="15"/>
              </w:rPr>
              <w:t> </w:t>
            </w:r>
            <w:r>
              <w:rPr>
                <w:sz w:val="15"/>
              </w:rPr>
              <w:t>by</w:t>
            </w:r>
            <w:r>
              <w:rPr>
                <w:spacing w:val="5"/>
                <w:sz w:val="15"/>
              </w:rPr>
              <w:t> </w:t>
            </w:r>
            <w:r>
              <w:rPr>
                <w:sz w:val="15"/>
              </w:rPr>
              <w:t>father</w:t>
            </w:r>
            <w:r>
              <w:rPr>
                <w:spacing w:val="5"/>
                <w:sz w:val="15"/>
              </w:rPr>
              <w:t> </w:t>
            </w:r>
            <w:r>
              <w:rPr>
                <w:spacing w:val="-5"/>
                <w:sz w:val="15"/>
              </w:rPr>
              <w:t>and</w:t>
            </w:r>
          </w:p>
          <w:p>
            <w:pPr>
              <w:pStyle w:val="TableParagraph"/>
              <w:spacing w:line="152" w:lineRule="exact" w:before="2"/>
              <w:ind w:left="72"/>
              <w:rPr>
                <w:sz w:val="15"/>
              </w:rPr>
            </w:pPr>
            <w:r>
              <w:rPr>
                <w:spacing w:val="-2"/>
                <w:sz w:val="15"/>
              </w:rPr>
              <w:t>Hamlet</w:t>
            </w:r>
          </w:p>
        </w:tc>
      </w:tr>
      <w:tr>
        <w:trPr>
          <w:trHeight w:val="348" w:hRule="atLeast"/>
        </w:trPr>
        <w:tc>
          <w:tcPr>
            <w:tcW w:w="1820" w:type="dxa"/>
            <w:tcBorders>
              <w:top w:val="single" w:sz="4" w:space="0" w:color="000000"/>
              <w:right w:val="single" w:sz="4" w:space="0" w:color="000000"/>
            </w:tcBorders>
          </w:tcPr>
          <w:p>
            <w:pPr>
              <w:pStyle w:val="TableParagraph"/>
              <w:spacing w:before="3"/>
              <w:rPr>
                <w:sz w:val="15"/>
              </w:rPr>
            </w:pPr>
            <w:r>
              <w:rPr>
                <w:spacing w:val="-2"/>
                <w:sz w:val="15"/>
              </w:rPr>
              <w:t>Expression</w:t>
            </w:r>
          </w:p>
        </w:tc>
        <w:tc>
          <w:tcPr>
            <w:tcW w:w="1822" w:type="dxa"/>
            <w:tcBorders>
              <w:top w:val="single" w:sz="4" w:space="0" w:color="000000"/>
              <w:left w:val="single" w:sz="4" w:space="0" w:color="000000"/>
              <w:right w:val="single" w:sz="4" w:space="0" w:color="000000"/>
            </w:tcBorders>
          </w:tcPr>
          <w:p>
            <w:pPr>
              <w:pStyle w:val="TableParagraph"/>
              <w:spacing w:before="3"/>
              <w:ind w:left="72"/>
              <w:rPr>
                <w:sz w:val="15"/>
              </w:rPr>
            </w:pPr>
            <w:r>
              <w:rPr>
                <w:sz w:val="15"/>
              </w:rPr>
              <w:t>Acceptance,</w:t>
            </w:r>
            <w:r>
              <w:rPr>
                <w:spacing w:val="10"/>
                <w:sz w:val="15"/>
              </w:rPr>
              <w:t> </w:t>
            </w:r>
            <w:r>
              <w:rPr>
                <w:spacing w:val="-2"/>
                <w:sz w:val="15"/>
              </w:rPr>
              <w:t>submission</w:t>
            </w:r>
          </w:p>
        </w:tc>
        <w:tc>
          <w:tcPr>
            <w:tcW w:w="1822" w:type="dxa"/>
            <w:tcBorders>
              <w:top w:val="single" w:sz="4" w:space="0" w:color="000000"/>
              <w:left w:val="single" w:sz="4" w:space="0" w:color="000000"/>
              <w:right w:val="single" w:sz="4" w:space="0" w:color="000000"/>
            </w:tcBorders>
          </w:tcPr>
          <w:p>
            <w:pPr>
              <w:pStyle w:val="TableParagraph"/>
              <w:spacing w:line="170" w:lineRule="atLeast"/>
              <w:ind w:left="72" w:right="133" w:hanging="1"/>
              <w:rPr>
                <w:sz w:val="15"/>
              </w:rPr>
            </w:pPr>
            <w:r>
              <w:rPr>
                <w:sz w:val="15"/>
              </w:rPr>
              <w:t>Fragmented</w:t>
            </w:r>
            <w:r>
              <w:rPr>
                <w:spacing w:val="-8"/>
                <w:sz w:val="15"/>
              </w:rPr>
              <w:t> </w:t>
            </w:r>
            <w:r>
              <w:rPr>
                <w:sz w:val="15"/>
              </w:rPr>
              <w:t>songs,</w:t>
            </w:r>
            <w:r>
              <w:rPr>
                <w:spacing w:val="40"/>
                <w:sz w:val="15"/>
              </w:rPr>
              <w:t> </w:t>
            </w:r>
            <w:r>
              <w:rPr>
                <w:spacing w:val="-2"/>
                <w:sz w:val="15"/>
              </w:rPr>
              <w:t>madness</w:t>
            </w:r>
          </w:p>
        </w:tc>
      </w:tr>
      <w:tr>
        <w:trPr>
          <w:trHeight w:val="346" w:hRule="atLeast"/>
        </w:trPr>
        <w:tc>
          <w:tcPr>
            <w:tcW w:w="1820" w:type="dxa"/>
            <w:tcBorders>
              <w:bottom w:val="single" w:sz="4" w:space="0" w:color="000000"/>
              <w:right w:val="single" w:sz="4" w:space="0" w:color="000000"/>
            </w:tcBorders>
          </w:tcPr>
          <w:p>
            <w:pPr>
              <w:pStyle w:val="TableParagraph"/>
              <w:spacing w:line="170" w:lineRule="exact"/>
              <w:rPr>
                <w:sz w:val="15"/>
              </w:rPr>
            </w:pPr>
            <w:r>
              <w:rPr>
                <w:spacing w:val="-2"/>
                <w:sz w:val="15"/>
              </w:rPr>
              <w:t>Agency</w:t>
            </w:r>
          </w:p>
        </w:tc>
        <w:tc>
          <w:tcPr>
            <w:tcW w:w="1822" w:type="dxa"/>
            <w:tcBorders>
              <w:left w:val="single" w:sz="4" w:space="0" w:color="000000"/>
              <w:bottom w:val="single" w:sz="4" w:space="0" w:color="000000"/>
              <w:right w:val="single" w:sz="4" w:space="0" w:color="000000"/>
            </w:tcBorders>
          </w:tcPr>
          <w:p>
            <w:pPr>
              <w:pStyle w:val="TableParagraph"/>
              <w:spacing w:line="170" w:lineRule="exact"/>
              <w:ind w:left="72"/>
              <w:rPr>
                <w:sz w:val="15"/>
              </w:rPr>
            </w:pPr>
            <w:r>
              <w:rPr>
                <w:sz w:val="15"/>
              </w:rPr>
              <w:t>Limited,</w:t>
            </w:r>
            <w:r>
              <w:rPr>
                <w:spacing w:val="7"/>
                <w:sz w:val="15"/>
              </w:rPr>
              <w:t> </w:t>
            </w:r>
            <w:r>
              <w:rPr>
                <w:sz w:val="15"/>
              </w:rPr>
              <w:t>passive</w:t>
            </w:r>
            <w:r>
              <w:rPr>
                <w:spacing w:val="11"/>
                <w:sz w:val="15"/>
              </w:rPr>
              <w:t> </w:t>
            </w:r>
            <w:r>
              <w:rPr>
                <w:spacing w:val="-2"/>
                <w:sz w:val="15"/>
              </w:rPr>
              <w:t>resistance</w:t>
            </w:r>
          </w:p>
        </w:tc>
        <w:tc>
          <w:tcPr>
            <w:tcW w:w="1822" w:type="dxa"/>
            <w:tcBorders>
              <w:left w:val="single" w:sz="4" w:space="0" w:color="000000"/>
              <w:bottom w:val="single" w:sz="4" w:space="0" w:color="000000"/>
              <w:right w:val="single" w:sz="4" w:space="0" w:color="000000"/>
            </w:tcBorders>
          </w:tcPr>
          <w:p>
            <w:pPr>
              <w:pStyle w:val="TableParagraph"/>
              <w:spacing w:line="170" w:lineRule="exact"/>
              <w:ind w:left="71"/>
              <w:rPr>
                <w:sz w:val="15"/>
              </w:rPr>
            </w:pPr>
            <w:r>
              <w:rPr>
                <w:sz w:val="15"/>
              </w:rPr>
              <w:t>Indirect,</w:t>
            </w:r>
            <w:r>
              <w:rPr>
                <w:spacing w:val="7"/>
                <w:sz w:val="15"/>
              </w:rPr>
              <w:t> </w:t>
            </w:r>
            <w:r>
              <w:rPr>
                <w:spacing w:val="-2"/>
                <w:sz w:val="15"/>
              </w:rPr>
              <w:t>symbolic</w:t>
            </w:r>
          </w:p>
          <w:p>
            <w:pPr>
              <w:pStyle w:val="TableParagraph"/>
              <w:spacing w:line="151" w:lineRule="exact" w:before="5"/>
              <w:ind w:left="72"/>
              <w:rPr>
                <w:sz w:val="15"/>
              </w:rPr>
            </w:pPr>
            <w:r>
              <w:rPr>
                <w:spacing w:val="-2"/>
                <w:sz w:val="15"/>
              </w:rPr>
              <w:t>expression</w:t>
            </w:r>
          </w:p>
        </w:tc>
      </w:tr>
      <w:tr>
        <w:trPr>
          <w:trHeight w:val="395" w:hRule="atLeast"/>
        </w:trPr>
        <w:tc>
          <w:tcPr>
            <w:tcW w:w="1820" w:type="dxa"/>
            <w:tcBorders>
              <w:top w:val="single" w:sz="4" w:space="0" w:color="000000"/>
              <w:bottom w:val="single" w:sz="4" w:space="0" w:color="000000"/>
              <w:right w:val="single" w:sz="4" w:space="0" w:color="000000"/>
            </w:tcBorders>
          </w:tcPr>
          <w:p>
            <w:pPr>
              <w:pStyle w:val="TableParagraph"/>
              <w:spacing w:before="1"/>
              <w:rPr>
                <w:sz w:val="15"/>
              </w:rPr>
            </w:pPr>
            <w:r>
              <w:rPr>
                <w:sz w:val="15"/>
              </w:rPr>
              <w:t>Key</w:t>
            </w:r>
            <w:r>
              <w:rPr>
                <w:spacing w:val="2"/>
                <w:sz w:val="15"/>
              </w:rPr>
              <w:t> </w:t>
            </w:r>
            <w:r>
              <w:rPr>
                <w:spacing w:val="-2"/>
                <w:sz w:val="15"/>
              </w:rPr>
              <w:t>Quote</w:t>
            </w:r>
          </w:p>
        </w:tc>
        <w:tc>
          <w:tcPr>
            <w:tcW w:w="1822" w:type="dxa"/>
            <w:tcBorders>
              <w:top w:val="single" w:sz="4" w:space="0" w:color="000000"/>
              <w:left w:val="single" w:sz="4" w:space="0" w:color="000000"/>
              <w:bottom w:val="single" w:sz="4" w:space="0" w:color="000000"/>
              <w:right w:val="single" w:sz="4" w:space="0" w:color="000000"/>
            </w:tcBorders>
          </w:tcPr>
          <w:p>
            <w:pPr>
              <w:pStyle w:val="TableParagraph"/>
              <w:spacing w:before="15"/>
              <w:ind w:left="72"/>
              <w:rPr>
                <w:sz w:val="15"/>
              </w:rPr>
            </w:pPr>
            <w:r>
              <w:rPr>
                <w:w w:val="245"/>
                <w:sz w:val="15"/>
              </w:rPr>
              <w:t>“</w:t>
            </w:r>
            <w:r>
              <w:rPr>
                <w:spacing w:val="-76"/>
                <w:w w:val="245"/>
                <w:sz w:val="15"/>
              </w:rPr>
              <w:t> </w:t>
            </w:r>
            <w:r>
              <w:rPr>
                <w:w w:val="115"/>
                <w:sz w:val="15"/>
              </w:rPr>
              <w:t>Nobody;</w:t>
            </w:r>
            <w:r>
              <w:rPr>
                <w:spacing w:val="-11"/>
                <w:w w:val="115"/>
                <w:sz w:val="15"/>
              </w:rPr>
              <w:t> </w:t>
            </w:r>
            <w:r>
              <w:rPr>
                <w:w w:val="115"/>
                <w:sz w:val="15"/>
              </w:rPr>
              <w:t>I</w:t>
            </w:r>
            <w:r>
              <w:rPr>
                <w:spacing w:val="-9"/>
                <w:w w:val="115"/>
                <w:sz w:val="15"/>
              </w:rPr>
              <w:t> </w:t>
            </w:r>
            <w:r>
              <w:rPr>
                <w:spacing w:val="-2"/>
                <w:w w:val="145"/>
                <w:sz w:val="15"/>
              </w:rPr>
              <w:t>myself”</w:t>
            </w:r>
            <w:r>
              <w:rPr>
                <w:spacing w:val="-2"/>
                <w:w w:val="145"/>
                <w:sz w:val="15"/>
              </w:rPr>
              <w:t> </w:t>
            </w:r>
          </w:p>
        </w:tc>
        <w:tc>
          <w:tcPr>
            <w:tcW w:w="1822" w:type="dxa"/>
            <w:tcBorders>
              <w:top w:val="single" w:sz="4" w:space="0" w:color="000000"/>
              <w:left w:val="single" w:sz="4" w:space="0" w:color="000000"/>
              <w:bottom w:val="single" w:sz="4" w:space="0" w:color="000000"/>
              <w:right w:val="single" w:sz="4" w:space="0" w:color="000000"/>
            </w:tcBorders>
          </w:tcPr>
          <w:p>
            <w:pPr>
              <w:pStyle w:val="TableParagraph"/>
              <w:spacing w:before="15"/>
              <w:ind w:left="71"/>
              <w:rPr>
                <w:sz w:val="15"/>
              </w:rPr>
            </w:pPr>
            <w:r>
              <w:rPr>
                <w:w w:val="220"/>
                <w:sz w:val="15"/>
              </w:rPr>
              <w:t>“</w:t>
            </w:r>
            <w:r>
              <w:rPr>
                <w:spacing w:val="-66"/>
                <w:w w:val="220"/>
                <w:sz w:val="15"/>
              </w:rPr>
              <w:t> </w:t>
            </w:r>
            <w:r>
              <w:rPr>
                <w:w w:val="115"/>
                <w:sz w:val="15"/>
              </w:rPr>
              <w:t>He</w:t>
            </w:r>
            <w:r>
              <w:rPr>
                <w:spacing w:val="-11"/>
                <w:w w:val="115"/>
                <w:sz w:val="15"/>
              </w:rPr>
              <w:t> </w:t>
            </w:r>
            <w:r>
              <w:rPr>
                <w:w w:val="115"/>
                <w:sz w:val="15"/>
              </w:rPr>
              <w:t>is</w:t>
            </w:r>
            <w:r>
              <w:rPr>
                <w:spacing w:val="-11"/>
                <w:w w:val="115"/>
                <w:sz w:val="15"/>
              </w:rPr>
              <w:t> </w:t>
            </w:r>
            <w:r>
              <w:rPr>
                <w:w w:val="115"/>
                <w:sz w:val="15"/>
              </w:rPr>
              <w:t>dead</w:t>
            </w:r>
            <w:r>
              <w:rPr>
                <w:spacing w:val="-11"/>
                <w:w w:val="115"/>
                <w:sz w:val="15"/>
              </w:rPr>
              <w:t> </w:t>
            </w:r>
            <w:r>
              <w:rPr>
                <w:w w:val="115"/>
                <w:sz w:val="15"/>
              </w:rPr>
              <w:t>and</w:t>
            </w:r>
            <w:r>
              <w:rPr>
                <w:spacing w:val="-10"/>
                <w:w w:val="115"/>
                <w:sz w:val="15"/>
              </w:rPr>
              <w:t> </w:t>
            </w:r>
            <w:r>
              <w:rPr>
                <w:spacing w:val="-2"/>
                <w:w w:val="115"/>
                <w:sz w:val="15"/>
              </w:rPr>
              <w:t>gone,</w:t>
            </w:r>
          </w:p>
          <w:p>
            <w:pPr>
              <w:pStyle w:val="TableParagraph"/>
              <w:spacing w:line="161" w:lineRule="exact" w:before="27"/>
              <w:ind w:left="72"/>
              <w:rPr>
                <w:sz w:val="15"/>
              </w:rPr>
            </w:pPr>
            <w:r>
              <w:rPr>
                <w:spacing w:val="-2"/>
                <w:w w:val="150"/>
                <w:sz w:val="15"/>
              </w:rPr>
              <w:t>lady”</w:t>
            </w:r>
            <w:r>
              <w:rPr>
                <w:spacing w:val="-2"/>
                <w:w w:val="150"/>
                <w:sz w:val="15"/>
              </w:rPr>
              <w:t> </w:t>
            </w:r>
          </w:p>
        </w:tc>
      </w:tr>
      <w:tr>
        <w:trPr>
          <w:trHeight w:val="172" w:hRule="atLeast"/>
        </w:trPr>
        <w:tc>
          <w:tcPr>
            <w:tcW w:w="1820" w:type="dxa"/>
            <w:tcBorders>
              <w:top w:val="single" w:sz="4" w:space="0" w:color="000000"/>
              <w:bottom w:val="single" w:sz="4" w:space="0" w:color="000000"/>
              <w:right w:val="single" w:sz="4" w:space="0" w:color="000000"/>
            </w:tcBorders>
          </w:tcPr>
          <w:p>
            <w:pPr>
              <w:pStyle w:val="TableParagraph"/>
              <w:spacing w:line="151" w:lineRule="exact" w:before="1"/>
              <w:rPr>
                <w:sz w:val="15"/>
              </w:rPr>
            </w:pPr>
            <w:r>
              <w:rPr>
                <w:spacing w:val="-2"/>
                <w:sz w:val="15"/>
              </w:rPr>
              <w:t>Outcome</w:t>
            </w:r>
          </w:p>
        </w:tc>
        <w:tc>
          <w:tcPr>
            <w:tcW w:w="1822" w:type="dxa"/>
            <w:tcBorders>
              <w:top w:val="single" w:sz="4" w:space="0" w:color="000000"/>
              <w:left w:val="single" w:sz="4" w:space="0" w:color="000000"/>
              <w:bottom w:val="single" w:sz="4" w:space="0" w:color="000000"/>
              <w:right w:val="single" w:sz="4" w:space="0" w:color="000000"/>
            </w:tcBorders>
          </w:tcPr>
          <w:p>
            <w:pPr>
              <w:pStyle w:val="TableParagraph"/>
              <w:spacing w:line="151" w:lineRule="exact" w:before="1"/>
              <w:ind w:left="72"/>
              <w:rPr>
                <w:sz w:val="15"/>
              </w:rPr>
            </w:pPr>
            <w:r>
              <w:rPr>
                <w:sz w:val="15"/>
              </w:rPr>
              <w:t>Death</w:t>
            </w:r>
            <w:r>
              <w:rPr>
                <w:spacing w:val="3"/>
                <w:sz w:val="15"/>
              </w:rPr>
              <w:t> </w:t>
            </w:r>
            <w:r>
              <w:rPr>
                <w:sz w:val="15"/>
              </w:rPr>
              <w:t>in</w:t>
            </w:r>
            <w:r>
              <w:rPr>
                <w:spacing w:val="4"/>
                <w:sz w:val="15"/>
              </w:rPr>
              <w:t> </w:t>
            </w:r>
            <w:r>
              <w:rPr>
                <w:spacing w:val="-2"/>
                <w:sz w:val="15"/>
              </w:rPr>
              <w:t>silence</w:t>
            </w:r>
          </w:p>
        </w:tc>
        <w:tc>
          <w:tcPr>
            <w:tcW w:w="1822" w:type="dxa"/>
            <w:tcBorders>
              <w:top w:val="single" w:sz="4" w:space="0" w:color="000000"/>
              <w:left w:val="single" w:sz="4" w:space="0" w:color="000000"/>
              <w:bottom w:val="single" w:sz="4" w:space="0" w:color="000000"/>
              <w:right w:val="single" w:sz="4" w:space="0" w:color="000000"/>
            </w:tcBorders>
          </w:tcPr>
          <w:p>
            <w:pPr>
              <w:pStyle w:val="TableParagraph"/>
              <w:spacing w:line="151" w:lineRule="exact" w:before="1"/>
              <w:ind w:left="71"/>
              <w:rPr>
                <w:sz w:val="15"/>
              </w:rPr>
            </w:pPr>
            <w:r>
              <w:rPr>
                <w:sz w:val="15"/>
              </w:rPr>
              <w:t>Death</w:t>
            </w:r>
            <w:r>
              <w:rPr>
                <w:spacing w:val="4"/>
                <w:sz w:val="15"/>
              </w:rPr>
              <w:t> </w:t>
            </w:r>
            <w:r>
              <w:rPr>
                <w:sz w:val="15"/>
              </w:rPr>
              <w:t>after</w:t>
            </w:r>
            <w:r>
              <w:rPr>
                <w:spacing w:val="4"/>
                <w:sz w:val="15"/>
              </w:rPr>
              <w:t> </w:t>
            </w:r>
            <w:r>
              <w:rPr>
                <w:spacing w:val="-2"/>
                <w:sz w:val="15"/>
              </w:rPr>
              <w:t>madness</w:t>
            </w:r>
          </w:p>
        </w:tc>
      </w:tr>
      <w:tr>
        <w:trPr>
          <w:trHeight w:val="350" w:hRule="atLeast"/>
        </w:trPr>
        <w:tc>
          <w:tcPr>
            <w:tcW w:w="1820" w:type="dxa"/>
            <w:tcBorders>
              <w:top w:val="single" w:sz="4" w:space="0" w:color="000000"/>
              <w:bottom w:val="single" w:sz="4" w:space="0" w:color="000000"/>
              <w:right w:val="single" w:sz="4" w:space="0" w:color="000000"/>
            </w:tcBorders>
          </w:tcPr>
          <w:p>
            <w:pPr>
              <w:pStyle w:val="TableParagraph"/>
              <w:spacing w:before="1"/>
              <w:rPr>
                <w:sz w:val="15"/>
              </w:rPr>
            </w:pPr>
            <w:r>
              <w:rPr>
                <w:sz w:val="15"/>
              </w:rPr>
              <w:t>Feminist</w:t>
            </w:r>
            <w:r>
              <w:rPr>
                <w:spacing w:val="11"/>
                <w:sz w:val="15"/>
              </w:rPr>
              <w:t> </w:t>
            </w:r>
            <w:r>
              <w:rPr>
                <w:spacing w:val="-2"/>
                <w:sz w:val="15"/>
              </w:rPr>
              <w:t>Reading</w:t>
            </w:r>
          </w:p>
        </w:tc>
        <w:tc>
          <w:tcPr>
            <w:tcW w:w="1822" w:type="dxa"/>
            <w:tcBorders>
              <w:top w:val="single" w:sz="4" w:space="0" w:color="000000"/>
              <w:left w:val="single" w:sz="4" w:space="0" w:color="000000"/>
              <w:bottom w:val="single" w:sz="4" w:space="0" w:color="000000"/>
              <w:right w:val="single" w:sz="4" w:space="0" w:color="000000"/>
            </w:tcBorders>
          </w:tcPr>
          <w:p>
            <w:pPr>
              <w:pStyle w:val="TableParagraph"/>
              <w:spacing w:before="1"/>
              <w:ind w:left="72"/>
              <w:rPr>
                <w:sz w:val="15"/>
              </w:rPr>
            </w:pPr>
            <w:r>
              <w:rPr>
                <w:sz w:val="15"/>
              </w:rPr>
              <w:t>Internalized</w:t>
            </w:r>
            <w:r>
              <w:rPr>
                <w:spacing w:val="10"/>
                <w:sz w:val="15"/>
              </w:rPr>
              <w:t> </w:t>
            </w:r>
            <w:r>
              <w:rPr>
                <w:spacing w:val="-2"/>
                <w:sz w:val="15"/>
              </w:rPr>
              <w:t>oppression</w:t>
            </w:r>
          </w:p>
        </w:tc>
        <w:tc>
          <w:tcPr>
            <w:tcW w:w="1822" w:type="dxa"/>
            <w:tcBorders>
              <w:top w:val="single" w:sz="4" w:space="0" w:color="000000"/>
              <w:left w:val="single" w:sz="4" w:space="0" w:color="000000"/>
              <w:bottom w:val="single" w:sz="4" w:space="0" w:color="000000"/>
              <w:right w:val="single" w:sz="4" w:space="0" w:color="000000"/>
            </w:tcBorders>
          </w:tcPr>
          <w:p>
            <w:pPr>
              <w:pStyle w:val="TableParagraph"/>
              <w:spacing w:before="1"/>
              <w:ind w:left="71"/>
              <w:rPr>
                <w:sz w:val="15"/>
              </w:rPr>
            </w:pPr>
            <w:r>
              <w:rPr>
                <w:sz w:val="15"/>
              </w:rPr>
              <w:t>Silenced</w:t>
            </w:r>
            <w:r>
              <w:rPr>
                <w:spacing w:val="8"/>
                <w:sz w:val="15"/>
              </w:rPr>
              <w:t> </w:t>
            </w:r>
            <w:r>
              <w:rPr>
                <w:sz w:val="15"/>
              </w:rPr>
              <w:t>voice</w:t>
            </w:r>
            <w:r>
              <w:rPr>
                <w:spacing w:val="5"/>
                <w:sz w:val="15"/>
              </w:rPr>
              <w:t> </w:t>
            </w:r>
            <w:r>
              <w:rPr>
                <w:spacing w:val="-2"/>
                <w:sz w:val="15"/>
              </w:rPr>
              <w:t>turned</w:t>
            </w:r>
          </w:p>
          <w:p>
            <w:pPr>
              <w:pStyle w:val="TableParagraph"/>
              <w:spacing w:line="151" w:lineRule="exact" w:before="5"/>
              <w:ind w:left="72"/>
              <w:rPr>
                <w:sz w:val="15"/>
              </w:rPr>
            </w:pPr>
            <w:r>
              <w:rPr>
                <w:spacing w:val="-2"/>
                <w:sz w:val="15"/>
              </w:rPr>
              <w:t>expressive</w:t>
            </w:r>
          </w:p>
        </w:tc>
      </w:tr>
    </w:tbl>
    <w:p>
      <w:pPr>
        <w:pStyle w:val="TableParagraph"/>
        <w:spacing w:after="0" w:line="151" w:lineRule="exact"/>
        <w:rPr>
          <w:sz w:val="15"/>
        </w:rPr>
        <w:sectPr>
          <w:pgSz w:w="12240" w:h="15840"/>
          <w:pgMar w:top="1820" w:bottom="280" w:left="1800" w:right="1800"/>
        </w:sectPr>
      </w:pPr>
    </w:p>
    <w:p>
      <w:pPr>
        <w:pStyle w:val="BodyText"/>
        <w:ind w:left="0"/>
        <w:rPr>
          <w:rFonts w:ascii="Cambria"/>
          <w:i/>
          <w:sz w:val="18"/>
        </w:rPr>
      </w:pPr>
    </w:p>
    <w:p>
      <w:pPr>
        <w:pStyle w:val="BodyText"/>
        <w:ind w:left="0"/>
        <w:rPr>
          <w:rFonts w:ascii="Cambria"/>
          <w:i/>
          <w:sz w:val="18"/>
        </w:rPr>
      </w:pPr>
    </w:p>
    <w:p>
      <w:pPr>
        <w:pStyle w:val="BodyText"/>
        <w:ind w:left="0"/>
        <w:rPr>
          <w:rFonts w:ascii="Cambria"/>
          <w:i/>
          <w:sz w:val="18"/>
        </w:rPr>
      </w:pPr>
    </w:p>
    <w:p>
      <w:pPr>
        <w:pStyle w:val="BodyText"/>
        <w:spacing w:before="152"/>
        <w:ind w:left="0"/>
        <w:rPr>
          <w:rFonts w:ascii="Cambria"/>
          <w:i/>
          <w:sz w:val="18"/>
        </w:rPr>
      </w:pPr>
    </w:p>
    <w:p>
      <w:pPr>
        <w:tabs>
          <w:tab w:pos="6881" w:val="left" w:leader="none"/>
        </w:tabs>
        <w:spacing w:before="0"/>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22336">
                <wp:simplePos x="0" y="0"/>
                <wp:positionH relativeFrom="page">
                  <wp:posOffset>2065020</wp:posOffset>
                </wp:positionH>
                <wp:positionV relativeFrom="paragraph">
                  <wp:posOffset>162495</wp:posOffset>
                </wp:positionV>
                <wp:extent cx="3657600" cy="12700"/>
                <wp:effectExtent l="0" t="0" r="0" b="0"/>
                <wp:wrapTopAndBottom/>
                <wp:docPr id="644" name="Graphic 644"/>
                <wp:cNvGraphicFramePr>
                  <a:graphicFrameLocks/>
                </wp:cNvGraphicFramePr>
                <a:graphic>
                  <a:graphicData uri="http://schemas.microsoft.com/office/word/2010/wordprocessingShape">
                    <wps:wsp>
                      <wps:cNvPr id="644" name="Graphic 64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794929pt;width:287.999997pt;height:.959999pt;mso-position-horizontal-relative:page;mso-position-vertical-relative:paragraph;z-index:-15494144;mso-wrap-distance-left:0;mso-wrap-distance-right:0" id="docshape636" filled="true" fillcolor="#000000" stroked="false">
                <v:fill type="solid"/>
                <w10:wrap type="topAndBottom"/>
              </v:rect>
            </w:pict>
          </mc:Fallback>
        </mc:AlternateContent>
      </w:r>
      <w:r>
        <w:rPr>
          <w:rFonts w:ascii="Verdana" w:hAnsi="Verdana"/>
          <w:sz w:val="18"/>
        </w:rPr>
        <w:t>Women’s Stereotypes</w:t>
      </w:r>
      <w:r>
        <w:rPr>
          <w:rFonts w:ascii="Verdana" w:hAnsi="Verdana"/>
          <w:spacing w:val="1"/>
          <w:sz w:val="18"/>
        </w:rPr>
        <w:t> </w:t>
      </w:r>
      <w:r>
        <w:rPr>
          <w:rFonts w:ascii="Verdana" w:hAnsi="Verdana"/>
          <w:sz w:val="18"/>
        </w:rPr>
        <w:t>and</w:t>
      </w:r>
      <w:r>
        <w:rPr>
          <w:rFonts w:ascii="Verdana" w:hAnsi="Verdana"/>
          <w:spacing w:val="3"/>
          <w:sz w:val="18"/>
        </w:rPr>
        <w:t> </w:t>
      </w:r>
      <w:r>
        <w:rPr>
          <w:rFonts w:ascii="Verdana" w:hAnsi="Verdana"/>
          <w:sz w:val="18"/>
        </w:rPr>
        <w:t>Tropes in</w:t>
      </w:r>
      <w:r>
        <w:rPr>
          <w:rFonts w:ascii="Verdana" w:hAnsi="Verdana"/>
          <w:spacing w:val="2"/>
          <w:sz w:val="18"/>
        </w:rPr>
        <w:t> </w:t>
      </w:r>
      <w:r>
        <w:rPr>
          <w:rFonts w:ascii="Verdana" w:hAnsi="Verdana"/>
          <w:spacing w:val="-2"/>
          <w:sz w:val="18"/>
        </w:rPr>
        <w:t>Shakespeare’s...</w:t>
      </w:r>
      <w:r>
        <w:rPr>
          <w:sz w:val="18"/>
        </w:rPr>
        <w:tab/>
      </w:r>
      <w:r>
        <w:rPr>
          <w:rFonts w:ascii="Verdana" w:hAnsi="Verdana"/>
          <w:spacing w:val="-5"/>
          <w:sz w:val="18"/>
        </w:rPr>
        <w:t>313</w:t>
      </w:r>
    </w:p>
    <w:p>
      <w:pPr>
        <w:pStyle w:val="Heading5"/>
        <w:numPr>
          <w:ilvl w:val="1"/>
          <w:numId w:val="67"/>
        </w:numPr>
        <w:tabs>
          <w:tab w:pos="1873" w:val="left" w:leader="none"/>
        </w:tabs>
        <w:spacing w:line="240" w:lineRule="auto" w:before="184" w:after="0"/>
        <w:ind w:left="1873" w:right="0" w:hanging="433"/>
        <w:jc w:val="left"/>
      </w:pPr>
      <w:r>
        <w:rPr>
          <w:w w:val="105"/>
        </w:rPr>
        <w:t>Silence</w:t>
      </w:r>
      <w:r>
        <w:rPr>
          <w:spacing w:val="69"/>
          <w:w w:val="150"/>
        </w:rPr>
        <w:t> </w:t>
      </w:r>
      <w:r>
        <w:rPr>
          <w:w w:val="105"/>
        </w:rPr>
        <w:t>as</w:t>
      </w:r>
      <w:r>
        <w:rPr>
          <w:spacing w:val="64"/>
          <w:w w:val="150"/>
        </w:rPr>
        <w:t> </w:t>
      </w:r>
      <w:r>
        <w:rPr>
          <w:w w:val="105"/>
        </w:rPr>
        <w:t>Power</w:t>
      </w:r>
      <w:r>
        <w:rPr>
          <w:spacing w:val="67"/>
          <w:w w:val="150"/>
        </w:rPr>
        <w:t> </w:t>
      </w:r>
      <w:r>
        <w:rPr>
          <w:w w:val="105"/>
        </w:rPr>
        <w:t>and</w:t>
      </w:r>
      <w:r>
        <w:rPr>
          <w:spacing w:val="68"/>
          <w:w w:val="150"/>
        </w:rPr>
        <w:t> </w:t>
      </w:r>
      <w:r>
        <w:rPr>
          <w:spacing w:val="-2"/>
          <w:w w:val="105"/>
        </w:rPr>
        <w:t>Resistance</w:t>
      </w:r>
    </w:p>
    <w:p>
      <w:pPr>
        <w:pStyle w:val="BodyText"/>
        <w:spacing w:line="242" w:lineRule="auto" w:before="67"/>
        <w:ind w:right="1436" w:firstLine="432"/>
        <w:jc w:val="both"/>
      </w:pPr>
      <w:r>
        <w:rPr/>
        <w:t>The silence of characters like Desdemona and Ophelia in Shakespeare’s plays is not something passive; instead, it works in the context of the system of power where it determines who is allowed to speak and who has to stay silent. According to Foucault, power works through</w:t>
      </w:r>
      <w:r>
        <w:rPr>
          <w:spacing w:val="-5"/>
        </w:rPr>
        <w:t> </w:t>
      </w:r>
      <w:r>
        <w:rPr/>
        <w:t>discourse</w:t>
      </w:r>
      <w:r>
        <w:rPr>
          <w:spacing w:val="-2"/>
        </w:rPr>
        <w:t> </w:t>
      </w:r>
      <w:r>
        <w:rPr/>
        <w:t>and</w:t>
      </w:r>
      <w:r>
        <w:rPr>
          <w:spacing w:val="-2"/>
        </w:rPr>
        <w:t> </w:t>
      </w:r>
      <w:r>
        <w:rPr/>
        <w:t>defines</w:t>
      </w:r>
      <w:r>
        <w:rPr>
          <w:spacing w:val="-5"/>
        </w:rPr>
        <w:t> </w:t>
      </w:r>
      <w:r>
        <w:rPr/>
        <w:t>the</w:t>
      </w:r>
      <w:r>
        <w:rPr>
          <w:spacing w:val="-5"/>
        </w:rPr>
        <w:t> </w:t>
      </w:r>
      <w:r>
        <w:rPr/>
        <w:t>limits</w:t>
      </w:r>
      <w:r>
        <w:rPr>
          <w:spacing w:val="-4"/>
        </w:rPr>
        <w:t> </w:t>
      </w:r>
      <w:r>
        <w:rPr/>
        <w:t>of</w:t>
      </w:r>
      <w:r>
        <w:rPr>
          <w:spacing w:val="-5"/>
        </w:rPr>
        <w:t> </w:t>
      </w:r>
      <w:r>
        <w:rPr/>
        <w:t>speech,</w:t>
      </w:r>
      <w:r>
        <w:rPr>
          <w:spacing w:val="-4"/>
        </w:rPr>
        <w:t> </w:t>
      </w:r>
      <w:r>
        <w:rPr/>
        <w:t>making</w:t>
      </w:r>
      <w:r>
        <w:rPr>
          <w:spacing w:val="-4"/>
        </w:rPr>
        <w:t> </w:t>
      </w:r>
      <w:r>
        <w:rPr/>
        <w:t>some</w:t>
      </w:r>
      <w:r>
        <w:rPr>
          <w:spacing w:val="-5"/>
        </w:rPr>
        <w:t> </w:t>
      </w:r>
      <w:r>
        <w:rPr/>
        <w:t>people silent by</w:t>
      </w:r>
      <w:r>
        <w:rPr>
          <w:spacing w:val="-1"/>
        </w:rPr>
        <w:t> </w:t>
      </w:r>
      <w:r>
        <w:rPr/>
        <w:t>default (Foucault 27). In this regard, the reason for the silence of Ophelia and Desdemona has nothing to do with their personal weakness; it comes from a higher structural level. On the other hand, the silence of these two characters can be understood as a kind of performance determined by the rules of society. The concept of gender performativity introduced by Butler implies that there are certain behaviors expected from people according to the rules of social norms. In this regard, both Desdemona and Ophelia follow those rules, thus remaining silent.</w:t>
      </w:r>
    </w:p>
    <w:p>
      <w:pPr>
        <w:pStyle w:val="BodyText"/>
        <w:spacing w:line="242" w:lineRule="auto" w:before="55"/>
        <w:ind w:right="1438" w:firstLine="432"/>
        <w:jc w:val="both"/>
      </w:pPr>
      <w:r>
        <w:rPr/>
        <w:t>However, feminist criticism suggests that silence is not merely imposed on women; it also has an empowering potential. For instance, Showalter’s</w:t>
      </w:r>
      <w:r>
        <w:rPr>
          <w:spacing w:val="-3"/>
        </w:rPr>
        <w:t> </w:t>
      </w:r>
      <w:r>
        <w:rPr/>
        <w:t>interpretation</w:t>
      </w:r>
      <w:r>
        <w:rPr>
          <w:spacing w:val="-5"/>
        </w:rPr>
        <w:t> </w:t>
      </w:r>
      <w:r>
        <w:rPr/>
        <w:t>of</w:t>
      </w:r>
      <w:r>
        <w:rPr>
          <w:spacing w:val="-5"/>
        </w:rPr>
        <w:t> </w:t>
      </w:r>
      <w:r>
        <w:rPr/>
        <w:t>Ophelia’s</w:t>
      </w:r>
      <w:r>
        <w:rPr>
          <w:spacing w:val="-6"/>
        </w:rPr>
        <w:t> </w:t>
      </w:r>
      <w:r>
        <w:rPr/>
        <w:t>madness</w:t>
      </w:r>
      <w:r>
        <w:rPr>
          <w:spacing w:val="-3"/>
        </w:rPr>
        <w:t> </w:t>
      </w:r>
      <w:r>
        <w:rPr/>
        <w:t>illustrates</w:t>
      </w:r>
      <w:r>
        <w:rPr>
          <w:spacing w:val="-5"/>
        </w:rPr>
        <w:t> </w:t>
      </w:r>
      <w:r>
        <w:rPr/>
        <w:t>how</w:t>
      </w:r>
      <w:r>
        <w:rPr>
          <w:spacing w:val="-5"/>
        </w:rPr>
        <w:t> </w:t>
      </w:r>
      <w:r>
        <w:rPr/>
        <w:t>pent-up emotions could be expressed in an indirect manner (Showalter 80). Likewise, Desdemona’s silence before death should be seen as a deliberate choice not to respond to the accusations made against her. Moreover, de Beauvoir’s concept of woman as “the Other” highlights the</w:t>
      </w:r>
      <w:r>
        <w:rPr>
          <w:spacing w:val="-4"/>
        </w:rPr>
        <w:t> </w:t>
      </w:r>
      <w:r>
        <w:rPr/>
        <w:t>way</w:t>
      </w:r>
      <w:r>
        <w:rPr>
          <w:spacing w:val="-8"/>
        </w:rPr>
        <w:t> </w:t>
      </w:r>
      <w:r>
        <w:rPr/>
        <w:t>females</w:t>
      </w:r>
      <w:r>
        <w:rPr>
          <w:spacing w:val="-7"/>
        </w:rPr>
        <w:t> </w:t>
      </w:r>
      <w:r>
        <w:rPr/>
        <w:t>construct</w:t>
      </w:r>
      <w:r>
        <w:rPr>
          <w:spacing w:val="-6"/>
        </w:rPr>
        <w:t> </w:t>
      </w:r>
      <w:r>
        <w:rPr/>
        <w:t>their</w:t>
      </w:r>
      <w:r>
        <w:rPr>
          <w:spacing w:val="-7"/>
        </w:rPr>
        <w:t> </w:t>
      </w:r>
      <w:r>
        <w:rPr/>
        <w:t>identities</w:t>
      </w:r>
      <w:r>
        <w:rPr>
          <w:spacing w:val="-7"/>
        </w:rPr>
        <w:t> </w:t>
      </w:r>
      <w:r>
        <w:rPr/>
        <w:t>in</w:t>
      </w:r>
      <w:r>
        <w:rPr>
          <w:spacing w:val="-7"/>
        </w:rPr>
        <w:t> </w:t>
      </w:r>
      <w:r>
        <w:rPr/>
        <w:t>contrast</w:t>
      </w:r>
      <w:r>
        <w:rPr>
          <w:spacing w:val="-6"/>
        </w:rPr>
        <w:t> </w:t>
      </w:r>
      <w:r>
        <w:rPr/>
        <w:t>to</w:t>
      </w:r>
      <w:r>
        <w:rPr>
          <w:spacing w:val="-5"/>
        </w:rPr>
        <w:t> </w:t>
      </w:r>
      <w:r>
        <w:rPr/>
        <w:t>male</w:t>
      </w:r>
      <w:r>
        <w:rPr>
          <w:spacing w:val="-4"/>
        </w:rPr>
        <w:t> </w:t>
      </w:r>
      <w:r>
        <w:rPr/>
        <w:t>domination (de Beauvoir 26). Such a tendency is reflected in the behavior of both Ophelia and Desdemona whose voices are overshadowed by powerful men. Therefore, their silence is associated with their inferior status in society.</w:t>
      </w:r>
      <w:r>
        <w:rPr>
          <w:spacing w:val="-13"/>
        </w:rPr>
        <w:t> </w:t>
      </w:r>
      <w:r>
        <w:rPr/>
        <w:t>With</w:t>
      </w:r>
      <w:r>
        <w:rPr>
          <w:spacing w:val="-12"/>
        </w:rPr>
        <w:t> </w:t>
      </w:r>
      <w:r>
        <w:rPr/>
        <w:t>regard</w:t>
      </w:r>
      <w:r>
        <w:rPr>
          <w:spacing w:val="-13"/>
        </w:rPr>
        <w:t> </w:t>
      </w:r>
      <w:r>
        <w:rPr/>
        <w:t>to</w:t>
      </w:r>
      <w:r>
        <w:rPr>
          <w:spacing w:val="-12"/>
        </w:rPr>
        <w:t> </w:t>
      </w:r>
      <w:r>
        <w:rPr/>
        <w:t>the</w:t>
      </w:r>
      <w:r>
        <w:rPr>
          <w:spacing w:val="-13"/>
        </w:rPr>
        <w:t> </w:t>
      </w:r>
      <w:r>
        <w:rPr/>
        <w:t>#MeToo</w:t>
      </w:r>
      <w:r>
        <w:rPr>
          <w:spacing w:val="-12"/>
        </w:rPr>
        <w:t> </w:t>
      </w:r>
      <w:r>
        <w:rPr/>
        <w:t>movement,</w:t>
      </w:r>
      <w:r>
        <w:rPr>
          <w:spacing w:val="-13"/>
        </w:rPr>
        <w:t> </w:t>
      </w:r>
      <w:r>
        <w:rPr/>
        <w:t>such</w:t>
      </w:r>
      <w:r>
        <w:rPr>
          <w:spacing w:val="-12"/>
        </w:rPr>
        <w:t> </w:t>
      </w:r>
      <w:r>
        <w:rPr/>
        <w:t>ambiguity</w:t>
      </w:r>
      <w:r>
        <w:rPr>
          <w:spacing w:val="-13"/>
        </w:rPr>
        <w:t> </w:t>
      </w:r>
      <w:r>
        <w:rPr/>
        <w:t>becomes particularly topical for re-reading Shakespeare’s women. On the one hand, silence has long been used as an instrument of oppression and subjugation. On the other hand, current trends seek to challenge this tradition</w:t>
      </w:r>
      <w:r>
        <w:rPr>
          <w:spacing w:val="-4"/>
        </w:rPr>
        <w:t> </w:t>
      </w:r>
      <w:r>
        <w:rPr/>
        <w:t>by</w:t>
      </w:r>
      <w:r>
        <w:rPr>
          <w:spacing w:val="-4"/>
        </w:rPr>
        <w:t> </w:t>
      </w:r>
      <w:r>
        <w:rPr/>
        <w:t>emphasizing</w:t>
      </w:r>
      <w:r>
        <w:rPr>
          <w:spacing w:val="-2"/>
        </w:rPr>
        <w:t> </w:t>
      </w:r>
      <w:r>
        <w:rPr/>
        <w:t>the</w:t>
      </w:r>
      <w:r>
        <w:rPr>
          <w:spacing w:val="-1"/>
        </w:rPr>
        <w:t> </w:t>
      </w:r>
      <w:r>
        <w:rPr/>
        <w:t>importance</w:t>
      </w:r>
      <w:r>
        <w:rPr>
          <w:spacing w:val="-2"/>
        </w:rPr>
        <w:t> </w:t>
      </w:r>
      <w:r>
        <w:rPr/>
        <w:t>of</w:t>
      </w:r>
      <w:r>
        <w:rPr>
          <w:spacing w:val="-2"/>
        </w:rPr>
        <w:t> </w:t>
      </w:r>
      <w:r>
        <w:rPr/>
        <w:t>breaking</w:t>
      </w:r>
      <w:r>
        <w:rPr>
          <w:spacing w:val="-4"/>
        </w:rPr>
        <w:t> </w:t>
      </w:r>
      <w:r>
        <w:rPr/>
        <w:t>silence and</w:t>
      </w:r>
      <w:r>
        <w:rPr>
          <w:spacing w:val="-1"/>
        </w:rPr>
        <w:t> </w:t>
      </w:r>
      <w:r>
        <w:rPr/>
        <w:t>raising one’s</w:t>
      </w:r>
      <w:r>
        <w:rPr>
          <w:spacing w:val="40"/>
        </w:rPr>
        <w:t> </w:t>
      </w:r>
      <w:r>
        <w:rPr/>
        <w:t>voice.</w:t>
      </w:r>
    </w:p>
    <w:p>
      <w:pPr>
        <w:spacing w:before="56"/>
        <w:ind w:left="0" w:right="0" w:firstLine="0"/>
        <w:jc w:val="center"/>
        <w:rPr>
          <w:rFonts w:ascii="Cambria"/>
          <w:i/>
          <w:sz w:val="18"/>
        </w:rPr>
      </w:pPr>
      <w:r>
        <w:rPr>
          <w:rFonts w:ascii="Cambria"/>
          <w:i/>
          <w:w w:val="110"/>
          <w:sz w:val="18"/>
        </w:rPr>
        <w:t>Table</w:t>
      </w:r>
      <w:r>
        <w:rPr>
          <w:rFonts w:ascii="Cambria"/>
          <w:i/>
          <w:spacing w:val="18"/>
          <w:w w:val="110"/>
          <w:sz w:val="18"/>
        </w:rPr>
        <w:t> </w:t>
      </w:r>
      <w:r>
        <w:rPr>
          <w:rFonts w:ascii="Cambria"/>
          <w:i/>
          <w:w w:val="110"/>
          <w:sz w:val="18"/>
        </w:rPr>
        <w:t>3:</w:t>
      </w:r>
      <w:r>
        <w:rPr>
          <w:rFonts w:ascii="Cambria"/>
          <w:i/>
          <w:spacing w:val="23"/>
          <w:w w:val="110"/>
          <w:sz w:val="18"/>
        </w:rPr>
        <w:t> </w:t>
      </w:r>
      <w:r>
        <w:rPr>
          <w:rFonts w:ascii="Cambria"/>
          <w:i/>
          <w:w w:val="110"/>
          <w:sz w:val="18"/>
        </w:rPr>
        <w:t>Silence</w:t>
      </w:r>
      <w:r>
        <w:rPr>
          <w:rFonts w:ascii="Cambria"/>
          <w:i/>
          <w:spacing w:val="17"/>
          <w:w w:val="110"/>
          <w:sz w:val="18"/>
        </w:rPr>
        <w:t> </w:t>
      </w:r>
      <w:r>
        <w:rPr>
          <w:rFonts w:ascii="Cambria"/>
          <w:i/>
          <w:w w:val="110"/>
          <w:sz w:val="18"/>
        </w:rPr>
        <w:t>as</w:t>
      </w:r>
      <w:r>
        <w:rPr>
          <w:rFonts w:ascii="Cambria"/>
          <w:i/>
          <w:spacing w:val="20"/>
          <w:w w:val="110"/>
          <w:sz w:val="18"/>
        </w:rPr>
        <w:t> </w:t>
      </w:r>
      <w:r>
        <w:rPr>
          <w:rFonts w:ascii="Cambria"/>
          <w:i/>
          <w:w w:val="110"/>
          <w:sz w:val="18"/>
        </w:rPr>
        <w:t>Oppression</w:t>
      </w:r>
      <w:r>
        <w:rPr>
          <w:rFonts w:ascii="Cambria"/>
          <w:i/>
          <w:spacing w:val="20"/>
          <w:w w:val="110"/>
          <w:sz w:val="18"/>
        </w:rPr>
        <w:t> </w:t>
      </w:r>
      <w:r>
        <w:rPr>
          <w:rFonts w:ascii="Cambria"/>
          <w:i/>
          <w:w w:val="110"/>
          <w:sz w:val="18"/>
        </w:rPr>
        <w:t>Vs</w:t>
      </w:r>
      <w:r>
        <w:rPr>
          <w:rFonts w:ascii="Cambria"/>
          <w:i/>
          <w:spacing w:val="23"/>
          <w:w w:val="110"/>
          <w:sz w:val="18"/>
        </w:rPr>
        <w:t> </w:t>
      </w:r>
      <w:r>
        <w:rPr>
          <w:rFonts w:ascii="Cambria"/>
          <w:i/>
          <w:spacing w:val="-2"/>
          <w:w w:val="110"/>
          <w:sz w:val="18"/>
        </w:rPr>
        <w:t>Resistance</w:t>
      </w:r>
    </w:p>
    <w:p>
      <w:pPr>
        <w:pStyle w:val="BodyText"/>
        <w:spacing w:before="10"/>
        <w:ind w:left="0"/>
        <w:rPr>
          <w:rFonts w:ascii="Cambria"/>
          <w:i/>
          <w:sz w:val="6"/>
        </w:rPr>
      </w:pPr>
      <w:r>
        <w:rPr>
          <w:rFonts w:ascii="Cambria"/>
          <w:i/>
          <w:sz w:val="6"/>
        </w:rPr>
        <mc:AlternateContent>
          <mc:Choice Requires="wps">
            <w:drawing>
              <wp:anchor distT="0" distB="0" distL="0" distR="0" allowOverlap="1" layoutInCell="1" locked="0" behindDoc="1" simplePos="0" relativeHeight="487822848">
                <wp:simplePos x="0" y="0"/>
                <wp:positionH relativeFrom="page">
                  <wp:posOffset>2057400</wp:posOffset>
                </wp:positionH>
                <wp:positionV relativeFrom="paragraph">
                  <wp:posOffset>66272</wp:posOffset>
                </wp:positionV>
                <wp:extent cx="3657600" cy="12700"/>
                <wp:effectExtent l="0" t="0" r="0" b="0"/>
                <wp:wrapTopAndBottom/>
                <wp:docPr id="645" name="Graphic 645"/>
                <wp:cNvGraphicFramePr>
                  <a:graphicFrameLocks/>
                </wp:cNvGraphicFramePr>
                <a:graphic>
                  <a:graphicData uri="http://schemas.microsoft.com/office/word/2010/wordprocessingShape">
                    <wps:wsp>
                      <wps:cNvPr id="645" name="Graphic 645"/>
                      <wps:cNvSpPr/>
                      <wps:spPr>
                        <a:xfrm>
                          <a:off x="0" y="0"/>
                          <a:ext cx="3657600" cy="12700"/>
                        </a:xfrm>
                        <a:custGeom>
                          <a:avLst/>
                          <a:gdLst/>
                          <a:ahLst/>
                          <a:cxnLst/>
                          <a:rect l="l" t="t" r="r" b="b"/>
                          <a:pathLst>
                            <a:path w="3657600" h="12700">
                              <a:moveTo>
                                <a:pt x="0" y="0"/>
                              </a:moveTo>
                              <a:lnTo>
                                <a:pt x="3657600" y="0"/>
                              </a:lnTo>
                              <a:lnTo>
                                <a:pt x="3657600" y="12192"/>
                              </a:lnTo>
                              <a:lnTo>
                                <a:pt x="0" y="12192"/>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5.218306pt;width:288.000009pt;height:.960023pt;mso-position-horizontal-relative:page;mso-position-vertical-relative:paragraph;z-index:-15493632;mso-wrap-distance-left:0;mso-wrap-distance-right:0" id="docshape637" filled="true" fillcolor="#000000" stroked="false">
                <v:fill type="solid"/>
                <w10:wrap type="topAndBottom"/>
              </v:rect>
            </w:pict>
          </mc:Fallback>
        </mc:AlternateContent>
      </w:r>
    </w:p>
    <w:p>
      <w:pPr>
        <w:pStyle w:val="BodyText"/>
        <w:tabs>
          <w:tab w:pos="4004" w:val="left" w:leader="none"/>
        </w:tabs>
        <w:spacing w:line="312" w:lineRule="auto" w:before="82"/>
        <w:ind w:right="2743"/>
      </w:pPr>
      <w:r>
        <w:rPr/>
        <w:t>Silence</w:t>
      </w:r>
      <w:r>
        <w:rPr>
          <w:spacing w:val="40"/>
        </w:rPr>
        <w:t> </w:t>
      </w:r>
      <w:r>
        <w:rPr/>
        <w:t>as</w:t>
      </w:r>
      <w:r>
        <w:rPr>
          <w:spacing w:val="40"/>
        </w:rPr>
        <w:t> </w:t>
      </w:r>
      <w:r>
        <w:rPr/>
        <w:t>Oppression</w:t>
        <w:tab/>
        <w:t>Silence</w:t>
      </w:r>
      <w:r>
        <w:rPr>
          <w:spacing w:val="40"/>
        </w:rPr>
        <w:t> </w:t>
      </w:r>
      <w:r>
        <w:rPr/>
        <w:t>as</w:t>
      </w:r>
      <w:r>
        <w:rPr>
          <w:spacing w:val="40"/>
        </w:rPr>
        <w:t> </w:t>
      </w:r>
      <w:r>
        <w:rPr/>
        <w:t>Resistance Imposed</w:t>
      </w:r>
      <w:r>
        <w:rPr>
          <w:spacing w:val="40"/>
        </w:rPr>
        <w:t> </w:t>
      </w:r>
      <w:r>
        <w:rPr/>
        <w:t>by</w:t>
      </w:r>
      <w:r>
        <w:rPr>
          <w:spacing w:val="40"/>
        </w:rPr>
        <w:t> </w:t>
      </w:r>
      <w:r>
        <w:rPr/>
        <w:t>patriarchy</w:t>
        <w:tab/>
      </w:r>
      <w:r>
        <w:rPr>
          <w:spacing w:val="-49"/>
        </w:rPr>
        <w:t> </w:t>
      </w:r>
      <w:r>
        <w:rPr/>
        <w:t>Chosen</w:t>
      </w:r>
      <w:r>
        <w:rPr>
          <w:spacing w:val="8"/>
        </w:rPr>
        <w:t> </w:t>
      </w:r>
      <w:r>
        <w:rPr/>
        <w:t>or</w:t>
      </w:r>
      <w:r>
        <w:rPr>
          <w:spacing w:val="9"/>
        </w:rPr>
        <w:t> </w:t>
      </w:r>
      <w:r>
        <w:rPr/>
        <w:t>transformed Denial of voice</w:t>
        <w:tab/>
        <w:t>Alternative</w:t>
      </w:r>
      <w:r>
        <w:rPr>
          <w:spacing w:val="40"/>
        </w:rPr>
        <w:t> </w:t>
      </w:r>
      <w:r>
        <w:rPr/>
        <w:t>expression</w:t>
      </w:r>
    </w:p>
    <w:p>
      <w:pPr>
        <w:pStyle w:val="BodyText"/>
        <w:tabs>
          <w:tab w:pos="4005" w:val="left" w:leader="none"/>
        </w:tabs>
        <w:spacing w:line="228" w:lineRule="exact"/>
      </w:pPr>
      <w:r>
        <w:rPr/>
        <w:t>Social</w:t>
      </w:r>
      <w:r>
        <w:rPr>
          <w:spacing w:val="4"/>
        </w:rPr>
        <w:t> </w:t>
      </w:r>
      <w:r>
        <w:rPr>
          <w:spacing w:val="-2"/>
        </w:rPr>
        <w:t>control</w:t>
      </w:r>
      <w:r>
        <w:rPr/>
        <w:tab/>
        <w:t>Subtle</w:t>
      </w:r>
      <w:r>
        <w:rPr>
          <w:spacing w:val="18"/>
        </w:rPr>
        <w:t> </w:t>
      </w:r>
      <w:r>
        <w:rPr>
          <w:spacing w:val="-2"/>
        </w:rPr>
        <w:t>defiance</w:t>
      </w:r>
    </w:p>
    <w:p>
      <w:pPr>
        <w:pStyle w:val="BodyText"/>
        <w:tabs>
          <w:tab w:pos="4004" w:val="left" w:leader="none"/>
        </w:tabs>
        <w:spacing w:before="67"/>
      </w:pPr>
      <w:r>
        <w:rPr>
          <w:spacing w:val="-2"/>
        </w:rPr>
        <w:t>Passivity</w:t>
      </w:r>
      <w:r>
        <w:rPr/>
        <w:tab/>
        <w:t>Hidden</w:t>
      </w:r>
      <w:r>
        <w:rPr>
          <w:spacing w:val="44"/>
        </w:rPr>
        <w:t> </w:t>
      </w:r>
      <w:r>
        <w:rPr>
          <w:spacing w:val="-2"/>
        </w:rPr>
        <w:t>agency</w:t>
      </w:r>
    </w:p>
    <w:p>
      <w:pPr>
        <w:pStyle w:val="BodyText"/>
        <w:tabs>
          <w:tab w:pos="4004" w:val="left" w:leader="none"/>
        </w:tabs>
        <w:spacing w:before="68"/>
      </w:pPr>
      <w:r>
        <w:rPr>
          <w:spacing w:val="-4"/>
        </w:rPr>
        <w:t>Example:</w:t>
      </w:r>
      <w:r>
        <w:rPr>
          <w:spacing w:val="-7"/>
        </w:rPr>
        <w:t> </w:t>
      </w:r>
      <w:r>
        <w:rPr>
          <w:spacing w:val="-2"/>
        </w:rPr>
        <w:t>Desdemona</w:t>
      </w:r>
      <w:r>
        <w:rPr/>
        <w:tab/>
      </w:r>
      <w:r>
        <w:rPr>
          <w:spacing w:val="-6"/>
        </w:rPr>
        <w:t>Example: </w:t>
      </w:r>
      <w:r>
        <w:rPr>
          <w:spacing w:val="-2"/>
        </w:rPr>
        <w:t>Ophelia</w:t>
      </w:r>
    </w:p>
    <w:p>
      <w:pPr>
        <w:pStyle w:val="BodyText"/>
        <w:ind w:left="0"/>
        <w:rPr>
          <w:sz w:val="5"/>
        </w:rPr>
      </w:pPr>
      <w:r>
        <w:rPr>
          <w:sz w:val="5"/>
        </w:rPr>
        <mc:AlternateContent>
          <mc:Choice Requires="wps">
            <w:drawing>
              <wp:anchor distT="0" distB="0" distL="0" distR="0" allowOverlap="1" layoutInCell="1" locked="0" behindDoc="1" simplePos="0" relativeHeight="487823360">
                <wp:simplePos x="0" y="0"/>
                <wp:positionH relativeFrom="page">
                  <wp:posOffset>2057400</wp:posOffset>
                </wp:positionH>
                <wp:positionV relativeFrom="paragraph">
                  <wp:posOffset>51749</wp:posOffset>
                </wp:positionV>
                <wp:extent cx="3657600" cy="12700"/>
                <wp:effectExtent l="0" t="0" r="0" b="0"/>
                <wp:wrapTopAndBottom/>
                <wp:docPr id="646" name="Graphic 646"/>
                <wp:cNvGraphicFramePr>
                  <a:graphicFrameLocks/>
                </wp:cNvGraphicFramePr>
                <a:graphic>
                  <a:graphicData uri="http://schemas.microsoft.com/office/word/2010/wordprocessingShape">
                    <wps:wsp>
                      <wps:cNvPr id="646" name="Graphic 646"/>
                      <wps:cNvSpPr/>
                      <wps:spPr>
                        <a:xfrm>
                          <a:off x="0" y="0"/>
                          <a:ext cx="3657600" cy="12700"/>
                        </a:xfrm>
                        <a:custGeom>
                          <a:avLst/>
                          <a:gdLst/>
                          <a:ahLst/>
                          <a:cxnLst/>
                          <a:rect l="l" t="t" r="r" b="b"/>
                          <a:pathLst>
                            <a:path w="3657600" h="12700">
                              <a:moveTo>
                                <a:pt x="0" y="0"/>
                              </a:moveTo>
                              <a:lnTo>
                                <a:pt x="3657600" y="0"/>
                              </a:lnTo>
                              <a:lnTo>
                                <a:pt x="3657600" y="12192"/>
                              </a:lnTo>
                              <a:lnTo>
                                <a:pt x="0" y="12192"/>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074756pt;width:288.000009pt;height:.960023pt;mso-position-horizontal-relative:page;mso-position-vertical-relative:paragraph;z-index:-15493120;mso-wrap-distance-left:0;mso-wrap-distance-right:0" id="docshape638" filled="true" fillcolor="#000000" stroked="false">
                <v:fill type="solid"/>
                <w10:wrap type="topAndBottom"/>
              </v:rect>
            </w:pict>
          </mc:Fallback>
        </mc:AlternateContent>
      </w:r>
    </w:p>
    <w:p>
      <w:pPr>
        <w:pStyle w:val="BodyText"/>
        <w:spacing w:after="0"/>
        <w:rPr>
          <w:sz w:val="5"/>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23872">
                <wp:simplePos x="0" y="0"/>
                <wp:positionH relativeFrom="page">
                  <wp:posOffset>2057400</wp:posOffset>
                </wp:positionH>
                <wp:positionV relativeFrom="paragraph">
                  <wp:posOffset>162604</wp:posOffset>
                </wp:positionV>
                <wp:extent cx="3657600" cy="12700"/>
                <wp:effectExtent l="0" t="0" r="0" b="0"/>
                <wp:wrapTopAndBottom/>
                <wp:docPr id="647" name="Graphic 647"/>
                <wp:cNvGraphicFramePr>
                  <a:graphicFrameLocks/>
                </wp:cNvGraphicFramePr>
                <a:graphic>
                  <a:graphicData uri="http://schemas.microsoft.com/office/word/2010/wordprocessingShape">
                    <wps:wsp>
                      <wps:cNvPr id="647" name="Graphic 64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92608;mso-wrap-distance-left:0;mso-wrap-distance-right:0" id="docshape639" filled="true" fillcolor="#000000" stroked="false">
                <v:fill type="solid"/>
                <w10:wrap type="topAndBottom"/>
              </v:rect>
            </w:pict>
          </mc:Fallback>
        </mc:AlternateContent>
      </w:r>
      <w:r>
        <w:rPr>
          <w:rFonts w:ascii="Verdana"/>
          <w:spacing w:val="-5"/>
          <w:sz w:val="18"/>
        </w:rPr>
        <w:t>314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5"/>
        <w:numPr>
          <w:ilvl w:val="1"/>
          <w:numId w:val="67"/>
        </w:numPr>
        <w:tabs>
          <w:tab w:pos="1873" w:val="left" w:leader="none"/>
        </w:tabs>
        <w:spacing w:line="240" w:lineRule="auto" w:before="184" w:after="0"/>
        <w:ind w:left="1873" w:right="0" w:hanging="433"/>
        <w:jc w:val="left"/>
      </w:pPr>
      <w:r>
        <w:rPr>
          <w:w w:val="105"/>
        </w:rPr>
        <w:t>Contemporary</w:t>
      </w:r>
      <w:r>
        <w:rPr>
          <w:spacing w:val="28"/>
          <w:w w:val="105"/>
        </w:rPr>
        <w:t>  </w:t>
      </w:r>
      <w:r>
        <w:rPr>
          <w:w w:val="105"/>
        </w:rPr>
        <w:t>Relevance:</w:t>
      </w:r>
      <w:r>
        <w:rPr>
          <w:spacing w:val="78"/>
          <w:w w:val="150"/>
        </w:rPr>
        <w:t> </w:t>
      </w:r>
      <w:r>
        <w:rPr>
          <w:w w:val="105"/>
        </w:rPr>
        <w:t>The</w:t>
      </w:r>
      <w:r>
        <w:rPr>
          <w:spacing w:val="27"/>
          <w:w w:val="105"/>
        </w:rPr>
        <w:t>  </w:t>
      </w:r>
      <w:r>
        <w:rPr>
          <w:w w:val="105"/>
        </w:rPr>
        <w:t>#MeToo</w:t>
      </w:r>
      <w:r>
        <w:rPr>
          <w:spacing w:val="26"/>
          <w:w w:val="105"/>
        </w:rPr>
        <w:t>  </w:t>
      </w:r>
      <w:r>
        <w:rPr>
          <w:spacing w:val="-5"/>
          <w:w w:val="105"/>
        </w:rPr>
        <w:t>Era</w:t>
      </w:r>
    </w:p>
    <w:p>
      <w:pPr>
        <w:pStyle w:val="BodyText"/>
        <w:spacing w:line="249" w:lineRule="auto" w:before="72"/>
        <w:ind w:right="1440" w:firstLine="432"/>
        <w:jc w:val="both"/>
      </w:pPr>
      <w:r>
        <w:rPr>
          <w:spacing w:val="-2"/>
        </w:rPr>
        <w:t>The</w:t>
      </w:r>
      <w:r>
        <w:rPr>
          <w:spacing w:val="-9"/>
        </w:rPr>
        <w:t> </w:t>
      </w:r>
      <w:r>
        <w:rPr>
          <w:spacing w:val="-2"/>
        </w:rPr>
        <w:t>#MeToo</w:t>
      </w:r>
      <w:r>
        <w:rPr>
          <w:spacing w:val="-6"/>
        </w:rPr>
        <w:t> </w:t>
      </w:r>
      <w:r>
        <w:rPr>
          <w:spacing w:val="-2"/>
        </w:rPr>
        <w:t>campaign</w:t>
      </w:r>
      <w:r>
        <w:rPr>
          <w:spacing w:val="-11"/>
        </w:rPr>
        <w:t> </w:t>
      </w:r>
      <w:r>
        <w:rPr>
          <w:spacing w:val="-2"/>
        </w:rPr>
        <w:t>shed</w:t>
      </w:r>
      <w:r>
        <w:rPr>
          <w:spacing w:val="-6"/>
        </w:rPr>
        <w:t> </w:t>
      </w:r>
      <w:r>
        <w:rPr>
          <w:spacing w:val="-2"/>
        </w:rPr>
        <w:t>light</w:t>
      </w:r>
      <w:r>
        <w:rPr>
          <w:spacing w:val="-8"/>
        </w:rPr>
        <w:t> </w:t>
      </w:r>
      <w:r>
        <w:rPr>
          <w:spacing w:val="-2"/>
        </w:rPr>
        <w:t>upon</w:t>
      </w:r>
      <w:r>
        <w:rPr>
          <w:spacing w:val="-11"/>
        </w:rPr>
        <w:t> </w:t>
      </w:r>
      <w:r>
        <w:rPr>
          <w:spacing w:val="-2"/>
        </w:rPr>
        <w:t>problems</w:t>
      </w:r>
      <w:r>
        <w:rPr>
          <w:spacing w:val="-10"/>
        </w:rPr>
        <w:t> </w:t>
      </w:r>
      <w:r>
        <w:rPr>
          <w:spacing w:val="-2"/>
        </w:rPr>
        <w:t>that</w:t>
      </w:r>
      <w:r>
        <w:rPr>
          <w:spacing w:val="-9"/>
        </w:rPr>
        <w:t> </w:t>
      </w:r>
      <w:r>
        <w:rPr>
          <w:spacing w:val="-2"/>
        </w:rPr>
        <w:t>are</w:t>
      </w:r>
      <w:r>
        <w:rPr>
          <w:spacing w:val="-6"/>
        </w:rPr>
        <w:t> </w:t>
      </w:r>
      <w:r>
        <w:rPr>
          <w:spacing w:val="-2"/>
        </w:rPr>
        <w:t>associated </w:t>
      </w:r>
      <w:r>
        <w:rPr/>
        <w:t>with violence against women, sexual harassment, and oppression of female voices and voices at large. The movement provides a venue for women</w:t>
      </w:r>
      <w:r>
        <w:rPr>
          <w:spacing w:val="40"/>
        </w:rPr>
        <w:t> </w:t>
      </w:r>
      <w:r>
        <w:rPr/>
        <w:t>to</w:t>
      </w:r>
      <w:r>
        <w:rPr>
          <w:spacing w:val="40"/>
        </w:rPr>
        <w:t> </w:t>
      </w:r>
      <w:r>
        <w:rPr/>
        <w:t>speak</w:t>
      </w:r>
      <w:r>
        <w:rPr>
          <w:spacing w:val="40"/>
        </w:rPr>
        <w:t> </w:t>
      </w:r>
      <w:r>
        <w:rPr/>
        <w:t>out</w:t>
      </w:r>
      <w:r>
        <w:rPr>
          <w:spacing w:val="40"/>
        </w:rPr>
        <w:t> </w:t>
      </w:r>
      <w:r>
        <w:rPr/>
        <w:t>about</w:t>
      </w:r>
      <w:r>
        <w:rPr>
          <w:spacing w:val="40"/>
        </w:rPr>
        <w:t> </w:t>
      </w:r>
      <w:r>
        <w:rPr/>
        <w:t>the</w:t>
      </w:r>
      <w:r>
        <w:rPr>
          <w:spacing w:val="40"/>
        </w:rPr>
        <w:t> </w:t>
      </w:r>
      <w:r>
        <w:rPr/>
        <w:t>injustices</w:t>
      </w:r>
      <w:r>
        <w:rPr>
          <w:spacing w:val="40"/>
        </w:rPr>
        <w:t> </w:t>
      </w:r>
      <w:r>
        <w:rPr/>
        <w:t>they</w:t>
      </w:r>
      <w:r>
        <w:rPr>
          <w:spacing w:val="40"/>
        </w:rPr>
        <w:t> </w:t>
      </w:r>
      <w:r>
        <w:rPr/>
        <w:t>experienced.</w:t>
      </w:r>
    </w:p>
    <w:p>
      <w:pPr>
        <w:pStyle w:val="BodyText"/>
        <w:spacing w:line="249" w:lineRule="auto" w:before="61"/>
        <w:ind w:right="1437" w:firstLine="432"/>
        <w:jc w:val="both"/>
      </w:pPr>
      <w:r>
        <w:rPr/>
        <w:t>In view of the above, the silencing of Shakespearean heroines </w:t>
      </w:r>
      <w:r>
        <w:rPr>
          <w:spacing w:val="-2"/>
        </w:rPr>
        <w:t>becomes</w:t>
      </w:r>
      <w:r>
        <w:rPr>
          <w:spacing w:val="-3"/>
        </w:rPr>
        <w:t> </w:t>
      </w:r>
      <w:r>
        <w:rPr>
          <w:spacing w:val="-2"/>
        </w:rPr>
        <w:t>particularly</w:t>
      </w:r>
      <w:r>
        <w:rPr>
          <w:spacing w:val="-5"/>
        </w:rPr>
        <w:t> </w:t>
      </w:r>
      <w:r>
        <w:rPr>
          <w:spacing w:val="-2"/>
        </w:rPr>
        <w:t>topical since one</w:t>
      </w:r>
      <w:r>
        <w:rPr>
          <w:spacing w:val="-3"/>
        </w:rPr>
        <w:t> </w:t>
      </w:r>
      <w:r>
        <w:rPr>
          <w:spacing w:val="-2"/>
        </w:rPr>
        <w:t>can</w:t>
      </w:r>
      <w:r>
        <w:rPr>
          <w:spacing w:val="-3"/>
        </w:rPr>
        <w:t> </w:t>
      </w:r>
      <w:r>
        <w:rPr>
          <w:spacing w:val="-2"/>
        </w:rPr>
        <w:t>perceive</w:t>
      </w:r>
      <w:r>
        <w:rPr>
          <w:spacing w:val="-3"/>
        </w:rPr>
        <w:t> </w:t>
      </w:r>
      <w:r>
        <w:rPr>
          <w:spacing w:val="-2"/>
        </w:rPr>
        <w:t>the</w:t>
      </w:r>
      <w:r>
        <w:rPr>
          <w:spacing w:val="-3"/>
        </w:rPr>
        <w:t> </w:t>
      </w:r>
      <w:r>
        <w:rPr>
          <w:spacing w:val="-2"/>
        </w:rPr>
        <w:t>female characters </w:t>
      </w:r>
      <w:r>
        <w:rPr/>
        <w:t>of</w:t>
      </w:r>
      <w:r>
        <w:rPr>
          <w:spacing w:val="-5"/>
        </w:rPr>
        <w:t> </w:t>
      </w:r>
      <w:r>
        <w:rPr/>
        <w:t>such</w:t>
      </w:r>
      <w:r>
        <w:rPr>
          <w:spacing w:val="-5"/>
        </w:rPr>
        <w:t> </w:t>
      </w:r>
      <w:r>
        <w:rPr/>
        <w:t>plays</w:t>
      </w:r>
      <w:r>
        <w:rPr>
          <w:spacing w:val="-5"/>
        </w:rPr>
        <w:t> </w:t>
      </w:r>
      <w:r>
        <w:rPr/>
        <w:t>as</w:t>
      </w:r>
      <w:r>
        <w:rPr>
          <w:spacing w:val="-5"/>
        </w:rPr>
        <w:t> </w:t>
      </w:r>
      <w:r>
        <w:rPr/>
        <w:t>Othello</w:t>
      </w:r>
      <w:r>
        <w:rPr>
          <w:spacing w:val="-3"/>
        </w:rPr>
        <w:t> </w:t>
      </w:r>
      <w:r>
        <w:rPr/>
        <w:t>or</w:t>
      </w:r>
      <w:r>
        <w:rPr>
          <w:spacing w:val="-3"/>
        </w:rPr>
        <w:t> </w:t>
      </w:r>
      <w:r>
        <w:rPr/>
        <w:t>Hamlet</w:t>
      </w:r>
      <w:r>
        <w:rPr>
          <w:spacing w:val="-3"/>
        </w:rPr>
        <w:t> </w:t>
      </w:r>
      <w:r>
        <w:rPr/>
        <w:t>as</w:t>
      </w:r>
      <w:r>
        <w:rPr>
          <w:spacing w:val="-5"/>
        </w:rPr>
        <w:t> </w:t>
      </w:r>
      <w:r>
        <w:rPr/>
        <w:t>the</w:t>
      </w:r>
      <w:r>
        <w:rPr>
          <w:spacing w:val="-2"/>
        </w:rPr>
        <w:t> </w:t>
      </w:r>
      <w:r>
        <w:rPr/>
        <w:t>earliest</w:t>
      </w:r>
      <w:r>
        <w:rPr>
          <w:spacing w:val="-4"/>
        </w:rPr>
        <w:t> </w:t>
      </w:r>
      <w:r>
        <w:rPr/>
        <w:t>images</w:t>
      </w:r>
      <w:r>
        <w:rPr>
          <w:spacing w:val="-5"/>
        </w:rPr>
        <w:t> </w:t>
      </w:r>
      <w:r>
        <w:rPr/>
        <w:t>of</w:t>
      </w:r>
      <w:r>
        <w:rPr>
          <w:spacing w:val="-5"/>
        </w:rPr>
        <w:t> </w:t>
      </w:r>
      <w:r>
        <w:rPr/>
        <w:t>modern-day women.</w:t>
      </w:r>
      <w:r>
        <w:rPr>
          <w:spacing w:val="-1"/>
        </w:rPr>
        <w:t> </w:t>
      </w:r>
      <w:r>
        <w:rPr/>
        <w:t>The</w:t>
      </w:r>
      <w:r>
        <w:rPr>
          <w:spacing w:val="-1"/>
        </w:rPr>
        <w:t> </w:t>
      </w:r>
      <w:r>
        <w:rPr/>
        <w:t>inability</w:t>
      </w:r>
      <w:r>
        <w:rPr>
          <w:spacing w:val="-7"/>
        </w:rPr>
        <w:t> </w:t>
      </w:r>
      <w:r>
        <w:rPr/>
        <w:t>of</w:t>
      </w:r>
      <w:r>
        <w:rPr>
          <w:spacing w:val="-5"/>
        </w:rPr>
        <w:t> </w:t>
      </w:r>
      <w:r>
        <w:rPr/>
        <w:t>Desdemona</w:t>
      </w:r>
      <w:r>
        <w:rPr>
          <w:spacing w:val="-1"/>
        </w:rPr>
        <w:t> </w:t>
      </w:r>
      <w:r>
        <w:rPr/>
        <w:t>and</w:t>
      </w:r>
      <w:r>
        <w:rPr>
          <w:spacing w:val="-1"/>
        </w:rPr>
        <w:t> </w:t>
      </w:r>
      <w:r>
        <w:rPr/>
        <w:t>Ophelia</w:t>
      </w:r>
      <w:r>
        <w:rPr>
          <w:spacing w:val="-2"/>
        </w:rPr>
        <w:t> </w:t>
      </w:r>
      <w:r>
        <w:rPr/>
        <w:t>to</w:t>
      </w:r>
      <w:r>
        <w:rPr>
          <w:spacing w:val="-1"/>
        </w:rPr>
        <w:t> </w:t>
      </w:r>
      <w:r>
        <w:rPr/>
        <w:t>express</w:t>
      </w:r>
      <w:r>
        <w:rPr>
          <w:spacing w:val="-3"/>
        </w:rPr>
        <w:t> </w:t>
      </w:r>
      <w:r>
        <w:rPr/>
        <w:t>themselves openly mirrors this ongoing process of silencing of women that has existed</w:t>
      </w:r>
      <w:r>
        <w:rPr>
          <w:spacing w:val="40"/>
        </w:rPr>
        <w:t> </w:t>
      </w:r>
      <w:r>
        <w:rPr/>
        <w:t>throughout</w:t>
      </w:r>
      <w:r>
        <w:rPr>
          <w:spacing w:val="40"/>
        </w:rPr>
        <w:t> </w:t>
      </w:r>
      <w:r>
        <w:rPr/>
        <w:t>history.</w:t>
      </w:r>
    </w:p>
    <w:p>
      <w:pPr>
        <w:pStyle w:val="BodyText"/>
        <w:spacing w:line="261" w:lineRule="auto" w:before="69"/>
        <w:ind w:right="1436" w:firstLine="432"/>
        <w:jc w:val="both"/>
      </w:pPr>
      <w:r>
        <w:rPr/>
        <w:t>In the wake of the movement, the need to break silence becomes crucial, and this approach can provide another interpretative angle for discussing these issues.</w:t>
      </w:r>
      <w:r>
        <w:rPr>
          <w:spacing w:val="-4"/>
        </w:rPr>
        <w:t> </w:t>
      </w:r>
      <w:r>
        <w:rPr/>
        <w:t>As a result, one may consider how the concept of silence can be used in connection with the characters and works under analysis. Thus, in addition to analyzing literary works based on the existing set of principles, this movement enables a person to look into the matter from an alternative perspective and examine literary issues</w:t>
      </w:r>
      <w:r>
        <w:rPr>
          <w:spacing w:val="40"/>
        </w:rPr>
        <w:t> </w:t>
      </w:r>
      <w:r>
        <w:rPr/>
        <w:t>differently.</w:t>
      </w:r>
    </w:p>
    <w:p>
      <w:pPr>
        <w:pStyle w:val="Heading3"/>
        <w:spacing w:before="150"/>
      </w:pPr>
      <w:r>
        <w:rPr>
          <w:spacing w:val="-2"/>
        </w:rPr>
        <w:t>CONCLUSION</w:t>
      </w:r>
    </w:p>
    <w:p>
      <w:pPr>
        <w:pStyle w:val="BodyText"/>
        <w:spacing w:line="261" w:lineRule="auto" w:before="87"/>
        <w:ind w:right="1437" w:firstLine="432"/>
        <w:jc w:val="both"/>
      </w:pPr>
      <w:r>
        <w:rPr/>
        <w:t>This paper has sought to explore the politics of silence in Shakespeare’s representation of women, focusing on Desdemona and Ophelia as central figures. Through a feminist and theoretical analysis, it</w:t>
      </w:r>
      <w:r>
        <w:rPr>
          <w:spacing w:val="16"/>
        </w:rPr>
        <w:t> </w:t>
      </w:r>
      <w:r>
        <w:rPr/>
        <w:t>has</w:t>
      </w:r>
      <w:r>
        <w:rPr>
          <w:spacing w:val="14"/>
        </w:rPr>
        <w:t> </w:t>
      </w:r>
      <w:r>
        <w:rPr/>
        <w:t>demonstrated</w:t>
      </w:r>
      <w:r>
        <w:rPr>
          <w:spacing w:val="14"/>
        </w:rPr>
        <w:t> </w:t>
      </w:r>
      <w:r>
        <w:rPr/>
        <w:t>that</w:t>
      </w:r>
      <w:r>
        <w:rPr>
          <w:spacing w:val="17"/>
        </w:rPr>
        <w:t> </w:t>
      </w:r>
      <w:r>
        <w:rPr/>
        <w:t>silence</w:t>
      </w:r>
      <w:r>
        <w:rPr>
          <w:spacing w:val="17"/>
        </w:rPr>
        <w:t> </w:t>
      </w:r>
      <w:r>
        <w:rPr/>
        <w:t>is</w:t>
      </w:r>
      <w:r>
        <w:rPr>
          <w:spacing w:val="16"/>
        </w:rPr>
        <w:t> </w:t>
      </w:r>
      <w:r>
        <w:rPr/>
        <w:t>not</w:t>
      </w:r>
      <w:r>
        <w:rPr>
          <w:spacing w:val="16"/>
        </w:rPr>
        <w:t> </w:t>
      </w:r>
      <w:r>
        <w:rPr/>
        <w:t>merely</w:t>
      </w:r>
      <w:r>
        <w:rPr>
          <w:spacing w:val="12"/>
        </w:rPr>
        <w:t> </w:t>
      </w:r>
      <w:r>
        <w:rPr/>
        <w:t>an</w:t>
      </w:r>
      <w:r>
        <w:rPr>
          <w:spacing w:val="12"/>
        </w:rPr>
        <w:t> </w:t>
      </w:r>
      <w:r>
        <w:rPr/>
        <w:t>absence</w:t>
      </w:r>
      <w:r>
        <w:rPr>
          <w:spacing w:val="17"/>
        </w:rPr>
        <w:t> </w:t>
      </w:r>
      <w:r>
        <w:rPr/>
        <w:t>of</w:t>
      </w:r>
      <w:r>
        <w:rPr>
          <w:spacing w:val="15"/>
        </w:rPr>
        <w:t> </w:t>
      </w:r>
      <w:r>
        <w:rPr/>
        <w:t>voice</w:t>
      </w:r>
      <w:r>
        <w:rPr>
          <w:spacing w:val="17"/>
        </w:rPr>
        <w:t> </w:t>
      </w:r>
      <w:r>
        <w:rPr/>
        <w:t>but </w:t>
      </w:r>
      <w:r>
        <w:rPr>
          <w:spacing w:val="-2"/>
        </w:rPr>
        <w:t>a</w:t>
      </w:r>
      <w:r>
        <w:rPr>
          <w:spacing w:val="-11"/>
        </w:rPr>
        <w:t> </w:t>
      </w:r>
      <w:r>
        <w:rPr>
          <w:spacing w:val="-2"/>
        </w:rPr>
        <w:t>complex</w:t>
      </w:r>
      <w:r>
        <w:rPr>
          <w:spacing w:val="-10"/>
        </w:rPr>
        <w:t> </w:t>
      </w:r>
      <w:r>
        <w:rPr>
          <w:spacing w:val="-2"/>
        </w:rPr>
        <w:t>and</w:t>
      </w:r>
      <w:r>
        <w:rPr>
          <w:spacing w:val="-11"/>
        </w:rPr>
        <w:t> </w:t>
      </w:r>
      <w:r>
        <w:rPr>
          <w:spacing w:val="-2"/>
        </w:rPr>
        <w:t>meaningful</w:t>
      </w:r>
      <w:r>
        <w:rPr>
          <w:spacing w:val="-10"/>
        </w:rPr>
        <w:t> </w:t>
      </w:r>
      <w:r>
        <w:rPr>
          <w:spacing w:val="-2"/>
        </w:rPr>
        <w:t>aspect</w:t>
      </w:r>
      <w:r>
        <w:rPr>
          <w:spacing w:val="-11"/>
        </w:rPr>
        <w:t> </w:t>
      </w:r>
      <w:r>
        <w:rPr>
          <w:spacing w:val="-2"/>
        </w:rPr>
        <w:t>of</w:t>
      </w:r>
      <w:r>
        <w:rPr>
          <w:spacing w:val="-10"/>
        </w:rPr>
        <w:t> </w:t>
      </w:r>
      <w:r>
        <w:rPr>
          <w:spacing w:val="-2"/>
        </w:rPr>
        <w:t>gendered</w:t>
      </w:r>
      <w:r>
        <w:rPr>
          <w:spacing w:val="-11"/>
        </w:rPr>
        <w:t> </w:t>
      </w:r>
      <w:r>
        <w:rPr>
          <w:spacing w:val="-2"/>
        </w:rPr>
        <w:t>experience.</w:t>
      </w:r>
      <w:r>
        <w:rPr>
          <w:spacing w:val="-10"/>
        </w:rPr>
        <w:t> </w:t>
      </w:r>
      <w:r>
        <w:rPr>
          <w:spacing w:val="-2"/>
        </w:rPr>
        <w:t>Both</w:t>
      </w:r>
      <w:r>
        <w:rPr>
          <w:spacing w:val="-11"/>
        </w:rPr>
        <w:t> </w:t>
      </w:r>
      <w:r>
        <w:rPr>
          <w:spacing w:val="-2"/>
        </w:rPr>
        <w:t>characters </w:t>
      </w:r>
      <w:r>
        <w:rPr/>
        <w:t>illustrate how patriarchal structures shape and suppress female expression, reducing women to passive figures within dominant narratives.</w:t>
      </w:r>
      <w:r>
        <w:rPr>
          <w:spacing w:val="-13"/>
        </w:rPr>
        <w:t> </w:t>
      </w:r>
      <w:r>
        <w:rPr/>
        <w:t>At</w:t>
      </w:r>
      <w:r>
        <w:rPr>
          <w:spacing w:val="-8"/>
        </w:rPr>
        <w:t> </w:t>
      </w:r>
      <w:r>
        <w:rPr/>
        <w:t>the</w:t>
      </w:r>
      <w:r>
        <w:rPr>
          <w:spacing w:val="-6"/>
        </w:rPr>
        <w:t> </w:t>
      </w:r>
      <w:r>
        <w:rPr/>
        <w:t>same</w:t>
      </w:r>
      <w:r>
        <w:rPr>
          <w:spacing w:val="-3"/>
        </w:rPr>
        <w:t> </w:t>
      </w:r>
      <w:r>
        <w:rPr/>
        <w:t>time,</w:t>
      </w:r>
      <w:r>
        <w:rPr>
          <w:spacing w:val="-5"/>
        </w:rPr>
        <w:t> </w:t>
      </w:r>
      <w:r>
        <w:rPr/>
        <w:t>their</w:t>
      </w:r>
      <w:r>
        <w:rPr>
          <w:spacing w:val="-5"/>
        </w:rPr>
        <w:t> </w:t>
      </w:r>
      <w:r>
        <w:rPr/>
        <w:t>silence</w:t>
      </w:r>
      <w:r>
        <w:rPr>
          <w:spacing w:val="-3"/>
        </w:rPr>
        <w:t> </w:t>
      </w:r>
      <w:r>
        <w:rPr/>
        <w:t>reveals</w:t>
      </w:r>
      <w:r>
        <w:rPr>
          <w:spacing w:val="-5"/>
        </w:rPr>
        <w:t> </w:t>
      </w:r>
      <w:r>
        <w:rPr/>
        <w:t>moments</w:t>
      </w:r>
      <w:r>
        <w:rPr>
          <w:spacing w:val="-3"/>
        </w:rPr>
        <w:t> </w:t>
      </w:r>
      <w:r>
        <w:rPr/>
        <w:t>of</w:t>
      </w:r>
      <w:r>
        <w:rPr>
          <w:spacing w:val="-7"/>
        </w:rPr>
        <w:t> </w:t>
      </w:r>
      <w:r>
        <w:rPr/>
        <w:t>resistance and</w:t>
      </w:r>
      <w:r>
        <w:rPr>
          <w:spacing w:val="2"/>
        </w:rPr>
        <w:t> </w:t>
      </w:r>
      <w:r>
        <w:rPr/>
        <w:t>alternative</w:t>
      </w:r>
      <w:r>
        <w:rPr>
          <w:spacing w:val="2"/>
        </w:rPr>
        <w:t> </w:t>
      </w:r>
      <w:r>
        <w:rPr/>
        <w:t>forms</w:t>
      </w:r>
      <w:r>
        <w:rPr>
          <w:spacing w:val="3"/>
        </w:rPr>
        <w:t> </w:t>
      </w:r>
      <w:r>
        <w:rPr/>
        <w:t>of communication</w:t>
      </w:r>
      <w:r>
        <w:rPr>
          <w:spacing w:val="1"/>
        </w:rPr>
        <w:t> </w:t>
      </w:r>
      <w:r>
        <w:rPr/>
        <w:t>that</w:t>
      </w:r>
      <w:r>
        <w:rPr>
          <w:spacing w:val="1"/>
        </w:rPr>
        <w:t> </w:t>
      </w:r>
      <w:r>
        <w:rPr/>
        <w:t>challenge</w:t>
      </w:r>
      <w:r>
        <w:rPr>
          <w:spacing w:val="4"/>
        </w:rPr>
        <w:t> </w:t>
      </w:r>
      <w:r>
        <w:rPr/>
        <w:t>these</w:t>
      </w:r>
      <w:r>
        <w:rPr>
          <w:spacing w:val="1"/>
        </w:rPr>
        <w:t> </w:t>
      </w:r>
      <w:r>
        <w:rPr>
          <w:spacing w:val="-2"/>
        </w:rPr>
        <w:t>structures.</w:t>
      </w:r>
    </w:p>
    <w:p>
      <w:pPr>
        <w:pStyle w:val="BodyText"/>
        <w:spacing w:line="261" w:lineRule="auto" w:before="53"/>
        <w:ind w:right="1436" w:firstLine="432"/>
        <w:jc w:val="both"/>
      </w:pPr>
      <w:r>
        <w:rPr/>
        <w:t>In</w:t>
      </w:r>
      <w:r>
        <w:rPr>
          <w:spacing w:val="-6"/>
        </w:rPr>
        <w:t> </w:t>
      </w:r>
      <w:r>
        <w:rPr/>
        <w:t>the</w:t>
      </w:r>
      <w:r>
        <w:rPr>
          <w:spacing w:val="-4"/>
        </w:rPr>
        <w:t> </w:t>
      </w:r>
      <w:r>
        <w:rPr/>
        <w:t>context</w:t>
      </w:r>
      <w:r>
        <w:rPr>
          <w:spacing w:val="-5"/>
        </w:rPr>
        <w:t> </w:t>
      </w:r>
      <w:r>
        <w:rPr/>
        <w:t>of</w:t>
      </w:r>
      <w:r>
        <w:rPr>
          <w:spacing w:val="-6"/>
        </w:rPr>
        <w:t> </w:t>
      </w:r>
      <w:r>
        <w:rPr/>
        <w:t>the</w:t>
      </w:r>
      <w:r>
        <w:rPr>
          <w:spacing w:val="-3"/>
        </w:rPr>
        <w:t> </w:t>
      </w:r>
      <w:r>
        <w:rPr/>
        <w:t>#MeToo</w:t>
      </w:r>
      <w:r>
        <w:rPr>
          <w:spacing w:val="-3"/>
        </w:rPr>
        <w:t> </w:t>
      </w:r>
      <w:r>
        <w:rPr/>
        <w:t>era,</w:t>
      </w:r>
      <w:r>
        <w:rPr>
          <w:spacing w:val="-5"/>
        </w:rPr>
        <w:t> </w:t>
      </w:r>
      <w:r>
        <w:rPr/>
        <w:t>revisiting</w:t>
      </w:r>
      <w:r>
        <w:rPr>
          <w:spacing w:val="-6"/>
        </w:rPr>
        <w:t> </w:t>
      </w:r>
      <w:r>
        <w:rPr/>
        <w:t>Shakespeare’s</w:t>
      </w:r>
      <w:r>
        <w:rPr>
          <w:spacing w:val="-5"/>
        </w:rPr>
        <w:t> </w:t>
      </w:r>
      <w:r>
        <w:rPr/>
        <w:t>women becomes not only relevant but necessary. It allows for a deeper understanding of how historical representations of gender continue to influence contemporary realities. By re-reading these texts, we can uncover new meanings and contribute to ongoing conversations about equality, justice, and the power of voice. Ultimately, silence in Shakespeare is not emptiness but it is a space where power operates, identities</w:t>
      </w:r>
      <w:r>
        <w:rPr>
          <w:spacing w:val="40"/>
        </w:rPr>
        <w:t> </w:t>
      </w:r>
      <w:r>
        <w:rPr/>
        <w:t>are</w:t>
      </w:r>
      <w:r>
        <w:rPr>
          <w:spacing w:val="40"/>
        </w:rPr>
        <w:t> </w:t>
      </w:r>
      <w:r>
        <w:rPr/>
        <w:t>shaped,</w:t>
      </w:r>
      <w:r>
        <w:rPr>
          <w:spacing w:val="40"/>
        </w:rPr>
        <w:t> </w:t>
      </w:r>
      <w:r>
        <w:rPr/>
        <w:t>and</w:t>
      </w:r>
      <w:r>
        <w:rPr>
          <w:spacing w:val="40"/>
        </w:rPr>
        <w:t> </w:t>
      </w:r>
      <w:r>
        <w:rPr/>
        <w:t>resistance</w:t>
      </w:r>
      <w:r>
        <w:rPr>
          <w:spacing w:val="40"/>
        </w:rPr>
        <w:t> </w:t>
      </w:r>
      <w:r>
        <w:rPr/>
        <w:t>quietly</w:t>
      </w:r>
      <w:r>
        <w:rPr>
          <w:spacing w:val="40"/>
        </w:rPr>
        <w:t> </w:t>
      </w:r>
      <w:r>
        <w:rPr/>
        <w:t>emerges.</w:t>
      </w:r>
    </w:p>
    <w:p>
      <w:pPr>
        <w:pStyle w:val="BodyText"/>
        <w:spacing w:after="0" w:line="261"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24384">
                <wp:simplePos x="0" y="0"/>
                <wp:positionH relativeFrom="page">
                  <wp:posOffset>2065020</wp:posOffset>
                </wp:positionH>
                <wp:positionV relativeFrom="paragraph">
                  <wp:posOffset>795020</wp:posOffset>
                </wp:positionV>
                <wp:extent cx="3657600" cy="12700"/>
                <wp:effectExtent l="0" t="0" r="0" b="0"/>
                <wp:wrapTopAndBottom/>
                <wp:docPr id="648" name="Graphic 648"/>
                <wp:cNvGraphicFramePr>
                  <a:graphicFrameLocks/>
                </wp:cNvGraphicFramePr>
                <a:graphic>
                  <a:graphicData uri="http://schemas.microsoft.com/office/word/2010/wordprocessingShape">
                    <wps:wsp>
                      <wps:cNvPr id="648" name="Graphic 64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92096;mso-wrap-distance-left:0;mso-wrap-distance-right:0" id="docshape640" filled="true" fillcolor="#000000" stroked="false">
                <v:fill type="solid"/>
                <w10:wrap type="topAndBottom"/>
              </v:rect>
            </w:pict>
          </mc:Fallback>
        </mc:AlternateContent>
      </w:r>
      <w:r>
        <w:rPr>
          <w:rFonts w:ascii="Verdana" w:hAnsi="Verdana"/>
          <w:sz w:val="18"/>
        </w:rPr>
        <w:t>Women’s Stereotypes</w:t>
      </w:r>
      <w:r>
        <w:rPr>
          <w:rFonts w:ascii="Verdana" w:hAnsi="Verdana"/>
          <w:spacing w:val="1"/>
          <w:sz w:val="18"/>
        </w:rPr>
        <w:t> </w:t>
      </w:r>
      <w:r>
        <w:rPr>
          <w:rFonts w:ascii="Verdana" w:hAnsi="Verdana"/>
          <w:sz w:val="18"/>
        </w:rPr>
        <w:t>and</w:t>
      </w:r>
      <w:r>
        <w:rPr>
          <w:rFonts w:ascii="Verdana" w:hAnsi="Verdana"/>
          <w:spacing w:val="3"/>
          <w:sz w:val="18"/>
        </w:rPr>
        <w:t> </w:t>
      </w:r>
      <w:r>
        <w:rPr>
          <w:rFonts w:ascii="Verdana" w:hAnsi="Verdana"/>
          <w:sz w:val="18"/>
        </w:rPr>
        <w:t>Tropes in</w:t>
      </w:r>
      <w:r>
        <w:rPr>
          <w:rFonts w:ascii="Verdana" w:hAnsi="Verdana"/>
          <w:spacing w:val="2"/>
          <w:sz w:val="18"/>
        </w:rPr>
        <w:t> </w:t>
      </w:r>
      <w:r>
        <w:rPr>
          <w:rFonts w:ascii="Verdana" w:hAnsi="Verdana"/>
          <w:spacing w:val="-2"/>
          <w:sz w:val="18"/>
        </w:rPr>
        <w:t>Shakespeare’s...</w:t>
      </w:r>
      <w:r>
        <w:rPr>
          <w:sz w:val="18"/>
        </w:rPr>
        <w:tab/>
      </w:r>
      <w:r>
        <w:rPr>
          <w:rFonts w:ascii="Verdana" w:hAnsi="Verdana"/>
          <w:spacing w:val="-5"/>
          <w:sz w:val="18"/>
        </w:rPr>
        <w:t>315</w:t>
      </w:r>
    </w:p>
    <w:p>
      <w:pPr>
        <w:pStyle w:val="Heading3"/>
      </w:pPr>
      <w:r>
        <w:rPr>
          <w:w w:val="90"/>
        </w:rPr>
        <w:t>WORKS</w:t>
      </w:r>
      <w:r>
        <w:rPr>
          <w:spacing w:val="6"/>
        </w:rPr>
        <w:t> </w:t>
      </w:r>
      <w:r>
        <w:rPr>
          <w:spacing w:val="-2"/>
          <w:w w:val="95"/>
        </w:rPr>
        <w:t>CITED</w:t>
      </w:r>
    </w:p>
    <w:p>
      <w:pPr>
        <w:pStyle w:val="Heading5"/>
        <w:spacing w:before="125"/>
      </w:pPr>
      <w:r>
        <w:rPr/>
        <w:t>Primary</w:t>
      </w:r>
      <w:r>
        <w:rPr>
          <w:spacing w:val="66"/>
        </w:rPr>
        <w:t> </w:t>
      </w:r>
      <w:r>
        <w:rPr>
          <w:spacing w:val="-2"/>
        </w:rPr>
        <w:t>Sources</w:t>
      </w:r>
    </w:p>
    <w:p>
      <w:pPr>
        <w:pStyle w:val="ListParagraph"/>
        <w:numPr>
          <w:ilvl w:val="2"/>
          <w:numId w:val="67"/>
        </w:numPr>
        <w:tabs>
          <w:tab w:pos="2157" w:val="left" w:leader="none"/>
          <w:tab w:pos="2160" w:val="left" w:leader="none"/>
        </w:tabs>
        <w:spacing w:line="261" w:lineRule="auto" w:before="78" w:after="0"/>
        <w:ind w:left="2160" w:right="1440" w:hanging="315"/>
        <w:jc w:val="both"/>
        <w:rPr>
          <w:sz w:val="19"/>
        </w:rPr>
      </w:pPr>
      <w:r>
        <w:rPr>
          <w:sz w:val="19"/>
        </w:rPr>
        <w:t>Shakespeare, William. </w:t>
      </w:r>
      <w:r>
        <w:rPr>
          <w:i/>
          <w:sz w:val="19"/>
        </w:rPr>
        <w:t>Hamlet</w:t>
      </w:r>
      <w:r>
        <w:rPr>
          <w:sz w:val="19"/>
        </w:rPr>
        <w:t>. Edited by Ann Thompson and</w:t>
      </w:r>
      <w:r>
        <w:rPr>
          <w:spacing w:val="40"/>
          <w:sz w:val="19"/>
        </w:rPr>
        <w:t> </w:t>
      </w:r>
      <w:r>
        <w:rPr>
          <w:sz w:val="19"/>
        </w:rPr>
        <w:t>Neil</w:t>
      </w:r>
      <w:r>
        <w:rPr>
          <w:spacing w:val="40"/>
          <w:sz w:val="19"/>
        </w:rPr>
        <w:t> </w:t>
      </w:r>
      <w:r>
        <w:rPr>
          <w:sz w:val="19"/>
        </w:rPr>
        <w:t>Taylor,</w:t>
      </w:r>
      <w:r>
        <w:rPr>
          <w:spacing w:val="40"/>
          <w:sz w:val="19"/>
        </w:rPr>
        <w:t> </w:t>
      </w:r>
      <w:r>
        <w:rPr>
          <w:sz w:val="19"/>
        </w:rPr>
        <w:t>Arden</w:t>
      </w:r>
      <w:r>
        <w:rPr>
          <w:spacing w:val="40"/>
          <w:sz w:val="19"/>
        </w:rPr>
        <w:t> </w:t>
      </w:r>
      <w:r>
        <w:rPr>
          <w:sz w:val="19"/>
        </w:rPr>
        <w:t>Shakespeare,</w:t>
      </w:r>
      <w:r>
        <w:rPr>
          <w:spacing w:val="40"/>
          <w:sz w:val="19"/>
        </w:rPr>
        <w:t> </w:t>
      </w:r>
      <w:r>
        <w:rPr>
          <w:sz w:val="19"/>
        </w:rPr>
        <w:t>Bloomsbury,</w:t>
      </w:r>
      <w:r>
        <w:rPr>
          <w:spacing w:val="40"/>
          <w:sz w:val="19"/>
        </w:rPr>
        <w:t> </w:t>
      </w:r>
      <w:r>
        <w:rPr>
          <w:sz w:val="19"/>
        </w:rPr>
        <w:t>2006.</w:t>
      </w:r>
    </w:p>
    <w:p>
      <w:pPr>
        <w:pStyle w:val="ListParagraph"/>
        <w:numPr>
          <w:ilvl w:val="2"/>
          <w:numId w:val="67"/>
        </w:numPr>
        <w:tabs>
          <w:tab w:pos="2157" w:val="left" w:leader="none"/>
          <w:tab w:pos="2160" w:val="left" w:leader="none"/>
        </w:tabs>
        <w:spacing w:line="261" w:lineRule="auto" w:before="59" w:after="0"/>
        <w:ind w:left="2160" w:right="1441" w:hanging="315"/>
        <w:jc w:val="both"/>
        <w:rPr>
          <w:sz w:val="19"/>
        </w:rPr>
      </w:pPr>
      <w:r>
        <w:rPr>
          <w:sz w:val="19"/>
        </w:rPr>
        <w:t>Shakespeare, William. </w:t>
      </w:r>
      <w:r>
        <w:rPr>
          <w:i/>
          <w:sz w:val="19"/>
        </w:rPr>
        <w:t>Othello</w:t>
      </w:r>
      <w:r>
        <w:rPr>
          <w:sz w:val="19"/>
        </w:rPr>
        <w:t>. Edited by E. A. J. Honigmann, Arden</w:t>
      </w:r>
      <w:r>
        <w:rPr>
          <w:spacing w:val="40"/>
          <w:sz w:val="19"/>
        </w:rPr>
        <w:t> </w:t>
      </w:r>
      <w:r>
        <w:rPr>
          <w:sz w:val="19"/>
        </w:rPr>
        <w:t>Shakespeare,</w:t>
      </w:r>
      <w:r>
        <w:rPr>
          <w:spacing w:val="40"/>
          <w:sz w:val="19"/>
        </w:rPr>
        <w:t> </w:t>
      </w:r>
      <w:r>
        <w:rPr>
          <w:sz w:val="19"/>
        </w:rPr>
        <w:t>Bloomsbury,</w:t>
      </w:r>
      <w:r>
        <w:rPr>
          <w:spacing w:val="40"/>
          <w:sz w:val="19"/>
        </w:rPr>
        <w:t> </w:t>
      </w:r>
      <w:r>
        <w:rPr>
          <w:sz w:val="19"/>
        </w:rPr>
        <w:t>2001.</w:t>
      </w:r>
    </w:p>
    <w:p>
      <w:pPr>
        <w:pStyle w:val="Heading5"/>
        <w:spacing w:before="112"/>
      </w:pPr>
      <w:r>
        <w:rPr>
          <w:w w:val="110"/>
        </w:rPr>
        <w:t>Secondary</w:t>
      </w:r>
      <w:r>
        <w:rPr>
          <w:spacing w:val="39"/>
          <w:w w:val="110"/>
        </w:rPr>
        <w:t>  </w:t>
      </w:r>
      <w:r>
        <w:rPr>
          <w:spacing w:val="-2"/>
          <w:w w:val="110"/>
        </w:rPr>
        <w:t>Sources</w:t>
      </w:r>
    </w:p>
    <w:p>
      <w:pPr>
        <w:pStyle w:val="ListParagraph"/>
        <w:numPr>
          <w:ilvl w:val="0"/>
          <w:numId w:val="68"/>
        </w:numPr>
        <w:tabs>
          <w:tab w:pos="2157" w:val="left" w:leader="none"/>
          <w:tab w:pos="2160" w:val="left" w:leader="none"/>
        </w:tabs>
        <w:spacing w:line="268" w:lineRule="auto" w:before="88" w:after="0"/>
        <w:ind w:left="2160" w:right="1442" w:hanging="315"/>
        <w:jc w:val="both"/>
        <w:rPr>
          <w:sz w:val="19"/>
        </w:rPr>
      </w:pPr>
      <w:r>
        <w:rPr>
          <w:sz w:val="19"/>
        </w:rPr>
        <w:t>Butler,</w:t>
      </w:r>
      <w:r>
        <w:rPr>
          <w:spacing w:val="40"/>
          <w:sz w:val="19"/>
        </w:rPr>
        <w:t> </w:t>
      </w:r>
      <w:r>
        <w:rPr>
          <w:sz w:val="19"/>
        </w:rPr>
        <w:t>Judith.</w:t>
      </w:r>
      <w:r>
        <w:rPr>
          <w:spacing w:val="40"/>
          <w:sz w:val="19"/>
        </w:rPr>
        <w:t> </w:t>
      </w:r>
      <w:r>
        <w:rPr>
          <w:i/>
          <w:sz w:val="19"/>
        </w:rPr>
        <w:t>Gender</w:t>
      </w:r>
      <w:r>
        <w:rPr>
          <w:i/>
          <w:spacing w:val="40"/>
          <w:sz w:val="19"/>
        </w:rPr>
        <w:t> </w:t>
      </w:r>
      <w:r>
        <w:rPr>
          <w:i/>
          <w:sz w:val="19"/>
        </w:rPr>
        <w:t>Trouble:</w:t>
      </w:r>
      <w:r>
        <w:rPr>
          <w:i/>
          <w:spacing w:val="40"/>
          <w:sz w:val="19"/>
        </w:rPr>
        <w:t> </w:t>
      </w:r>
      <w:r>
        <w:rPr>
          <w:i/>
          <w:sz w:val="19"/>
        </w:rPr>
        <w:t>Feminism</w:t>
      </w:r>
      <w:r>
        <w:rPr>
          <w:i/>
          <w:spacing w:val="38"/>
          <w:sz w:val="19"/>
        </w:rPr>
        <w:t> </w:t>
      </w:r>
      <w:r>
        <w:rPr>
          <w:i/>
          <w:sz w:val="19"/>
        </w:rPr>
        <w:t>and</w:t>
      </w:r>
      <w:r>
        <w:rPr>
          <w:i/>
          <w:spacing w:val="40"/>
          <w:sz w:val="19"/>
        </w:rPr>
        <w:t> </w:t>
      </w:r>
      <w:r>
        <w:rPr>
          <w:i/>
          <w:sz w:val="19"/>
        </w:rPr>
        <w:t>the</w:t>
      </w:r>
      <w:r>
        <w:rPr>
          <w:i/>
          <w:spacing w:val="40"/>
          <w:sz w:val="19"/>
        </w:rPr>
        <w:t> </w:t>
      </w:r>
      <w:r>
        <w:rPr>
          <w:i/>
          <w:sz w:val="19"/>
        </w:rPr>
        <w:t>Subversion of</w:t>
      </w:r>
      <w:r>
        <w:rPr>
          <w:i/>
          <w:spacing w:val="40"/>
          <w:sz w:val="19"/>
        </w:rPr>
        <w:t> </w:t>
      </w:r>
      <w:r>
        <w:rPr>
          <w:i/>
          <w:sz w:val="19"/>
        </w:rPr>
        <w:t>Identity</w:t>
      </w:r>
      <w:r>
        <w:rPr>
          <w:sz w:val="19"/>
        </w:rPr>
        <w:t>.</w:t>
      </w:r>
      <w:r>
        <w:rPr>
          <w:spacing w:val="40"/>
          <w:sz w:val="19"/>
        </w:rPr>
        <w:t> </w:t>
      </w:r>
      <w:r>
        <w:rPr>
          <w:sz w:val="19"/>
        </w:rPr>
        <w:t>Routledge,</w:t>
      </w:r>
      <w:r>
        <w:rPr>
          <w:spacing w:val="40"/>
          <w:sz w:val="19"/>
        </w:rPr>
        <w:t> </w:t>
      </w:r>
      <w:r>
        <w:rPr>
          <w:sz w:val="19"/>
        </w:rPr>
        <w:t>1990.</w:t>
      </w:r>
    </w:p>
    <w:p>
      <w:pPr>
        <w:pStyle w:val="ListParagraph"/>
        <w:numPr>
          <w:ilvl w:val="0"/>
          <w:numId w:val="68"/>
        </w:numPr>
        <w:tabs>
          <w:tab w:pos="2157" w:val="left" w:leader="none"/>
          <w:tab w:pos="2160" w:val="left" w:leader="none"/>
        </w:tabs>
        <w:spacing w:line="268" w:lineRule="auto" w:before="57" w:after="0"/>
        <w:ind w:left="2160" w:right="1439" w:hanging="315"/>
        <w:jc w:val="both"/>
        <w:rPr>
          <w:sz w:val="19"/>
        </w:rPr>
      </w:pPr>
      <w:r>
        <w:rPr>
          <w:sz w:val="19"/>
        </w:rPr>
        <w:t>Cixous,</w:t>
      </w:r>
      <w:r>
        <w:rPr>
          <w:spacing w:val="22"/>
          <w:sz w:val="19"/>
        </w:rPr>
        <w:t> </w:t>
      </w:r>
      <w:r>
        <w:rPr>
          <w:sz w:val="19"/>
        </w:rPr>
        <w:t>Hélène.</w:t>
      </w:r>
      <w:r>
        <w:rPr>
          <w:spacing w:val="22"/>
          <w:sz w:val="19"/>
        </w:rPr>
        <w:t> </w:t>
      </w:r>
      <w:r>
        <w:rPr>
          <w:sz w:val="19"/>
        </w:rPr>
        <w:t>“The</w:t>
      </w:r>
      <w:r>
        <w:rPr>
          <w:spacing w:val="23"/>
          <w:sz w:val="19"/>
        </w:rPr>
        <w:t> </w:t>
      </w:r>
      <w:r>
        <w:rPr>
          <w:sz w:val="19"/>
        </w:rPr>
        <w:t>Laugh</w:t>
      </w:r>
      <w:r>
        <w:rPr>
          <w:spacing w:val="22"/>
          <w:sz w:val="19"/>
        </w:rPr>
        <w:t> </w:t>
      </w:r>
      <w:r>
        <w:rPr>
          <w:sz w:val="19"/>
        </w:rPr>
        <w:t>of</w:t>
      </w:r>
      <w:r>
        <w:rPr>
          <w:spacing w:val="24"/>
          <w:sz w:val="19"/>
        </w:rPr>
        <w:t> </w:t>
      </w:r>
      <w:r>
        <w:rPr>
          <w:sz w:val="19"/>
        </w:rPr>
        <w:t>the</w:t>
      </w:r>
      <w:r>
        <w:rPr>
          <w:spacing w:val="22"/>
          <w:sz w:val="19"/>
        </w:rPr>
        <w:t> </w:t>
      </w:r>
      <w:r>
        <w:rPr>
          <w:sz w:val="19"/>
        </w:rPr>
        <w:t>Medusa.”</w:t>
      </w:r>
      <w:r>
        <w:rPr>
          <w:spacing w:val="25"/>
          <w:sz w:val="19"/>
        </w:rPr>
        <w:t> </w:t>
      </w:r>
      <w:r>
        <w:rPr>
          <w:i/>
          <w:sz w:val="19"/>
        </w:rPr>
        <w:t>Signs</w:t>
      </w:r>
      <w:r>
        <w:rPr>
          <w:sz w:val="19"/>
        </w:rPr>
        <w:t>,</w:t>
      </w:r>
      <w:r>
        <w:rPr>
          <w:spacing w:val="24"/>
          <w:sz w:val="19"/>
        </w:rPr>
        <w:t> </w:t>
      </w:r>
      <w:r>
        <w:rPr>
          <w:sz w:val="19"/>
        </w:rPr>
        <w:t>vol.</w:t>
      </w:r>
      <w:r>
        <w:rPr>
          <w:spacing w:val="24"/>
          <w:sz w:val="19"/>
        </w:rPr>
        <w:t> </w:t>
      </w:r>
      <w:r>
        <w:rPr>
          <w:sz w:val="19"/>
        </w:rPr>
        <w:t>1,</w:t>
      </w:r>
      <w:r>
        <w:rPr>
          <w:spacing w:val="24"/>
          <w:sz w:val="19"/>
        </w:rPr>
        <w:t> </w:t>
      </w:r>
      <w:r>
        <w:rPr>
          <w:sz w:val="19"/>
        </w:rPr>
        <w:t>no. 4, 1976, pp. 875–893.</w:t>
      </w:r>
    </w:p>
    <w:p>
      <w:pPr>
        <w:pStyle w:val="ListParagraph"/>
        <w:numPr>
          <w:ilvl w:val="0"/>
          <w:numId w:val="68"/>
        </w:numPr>
        <w:tabs>
          <w:tab w:pos="2157" w:val="left" w:leader="none"/>
          <w:tab w:pos="2160" w:val="left" w:leader="none"/>
        </w:tabs>
        <w:spacing w:line="268" w:lineRule="auto" w:before="56" w:after="0"/>
        <w:ind w:left="2160" w:right="1438" w:hanging="315"/>
        <w:jc w:val="both"/>
        <w:rPr>
          <w:sz w:val="19"/>
        </w:rPr>
      </w:pPr>
      <w:r>
        <w:rPr>
          <w:sz w:val="19"/>
        </w:rPr>
        <w:t>de Beauvoir, Simone. </w:t>
      </w:r>
      <w:r>
        <w:rPr>
          <w:i/>
          <w:sz w:val="19"/>
        </w:rPr>
        <w:t>The Second Sex</w:t>
      </w:r>
      <w:r>
        <w:rPr>
          <w:sz w:val="19"/>
        </w:rPr>
        <w:t>. Translated by Constance Borde</w:t>
      </w:r>
      <w:r>
        <w:rPr>
          <w:spacing w:val="40"/>
          <w:sz w:val="19"/>
        </w:rPr>
        <w:t> </w:t>
      </w:r>
      <w:r>
        <w:rPr>
          <w:sz w:val="19"/>
        </w:rPr>
        <w:t>and</w:t>
      </w:r>
      <w:r>
        <w:rPr>
          <w:spacing w:val="40"/>
          <w:sz w:val="19"/>
        </w:rPr>
        <w:t> </w:t>
      </w:r>
      <w:r>
        <w:rPr>
          <w:sz w:val="19"/>
        </w:rPr>
        <w:t>Sheila</w:t>
      </w:r>
      <w:r>
        <w:rPr>
          <w:spacing w:val="40"/>
          <w:sz w:val="19"/>
        </w:rPr>
        <w:t> </w:t>
      </w:r>
      <w:r>
        <w:rPr>
          <w:sz w:val="19"/>
        </w:rPr>
        <w:t>Malovany-Chevallier,</w:t>
      </w:r>
      <w:r>
        <w:rPr>
          <w:spacing w:val="40"/>
          <w:sz w:val="19"/>
        </w:rPr>
        <w:t> </w:t>
      </w:r>
      <w:r>
        <w:rPr>
          <w:sz w:val="19"/>
        </w:rPr>
        <w:t>Vintage</w:t>
      </w:r>
      <w:r>
        <w:rPr>
          <w:spacing w:val="40"/>
          <w:sz w:val="19"/>
        </w:rPr>
        <w:t> </w:t>
      </w:r>
      <w:r>
        <w:rPr>
          <w:sz w:val="19"/>
        </w:rPr>
        <w:t>Books,</w:t>
      </w:r>
      <w:r>
        <w:rPr>
          <w:spacing w:val="40"/>
          <w:sz w:val="19"/>
        </w:rPr>
        <w:t> </w:t>
      </w:r>
      <w:r>
        <w:rPr>
          <w:sz w:val="19"/>
        </w:rPr>
        <w:t>2011.</w:t>
      </w:r>
    </w:p>
    <w:p>
      <w:pPr>
        <w:pStyle w:val="ListParagraph"/>
        <w:numPr>
          <w:ilvl w:val="0"/>
          <w:numId w:val="68"/>
        </w:numPr>
        <w:tabs>
          <w:tab w:pos="2157" w:val="left" w:leader="none"/>
          <w:tab w:pos="2160" w:val="left" w:leader="none"/>
        </w:tabs>
        <w:spacing w:line="268" w:lineRule="auto" w:before="58" w:after="0"/>
        <w:ind w:left="2160" w:right="1438" w:hanging="315"/>
        <w:jc w:val="both"/>
        <w:rPr>
          <w:sz w:val="19"/>
        </w:rPr>
      </w:pPr>
      <w:r>
        <w:rPr>
          <w:sz w:val="19"/>
        </w:rPr>
        <w:t>Dusinberre, Juliet. </w:t>
      </w:r>
      <w:r>
        <w:rPr>
          <w:i/>
          <w:sz w:val="19"/>
        </w:rPr>
        <w:t>Shakespeare and the Nature of Women</w:t>
      </w:r>
      <w:r>
        <w:rPr>
          <w:sz w:val="19"/>
        </w:rPr>
        <w:t>. 3rd</w:t>
      </w:r>
      <w:r>
        <w:rPr>
          <w:spacing w:val="40"/>
          <w:sz w:val="19"/>
        </w:rPr>
        <w:t> </w:t>
      </w:r>
      <w:r>
        <w:rPr>
          <w:sz w:val="19"/>
        </w:rPr>
        <w:t>ed.,</w:t>
      </w:r>
      <w:r>
        <w:rPr>
          <w:spacing w:val="40"/>
          <w:sz w:val="19"/>
        </w:rPr>
        <w:t> </w:t>
      </w:r>
      <w:r>
        <w:rPr>
          <w:sz w:val="19"/>
        </w:rPr>
        <w:t>Palgrave</w:t>
      </w:r>
      <w:r>
        <w:rPr>
          <w:spacing w:val="40"/>
          <w:sz w:val="19"/>
        </w:rPr>
        <w:t> </w:t>
      </w:r>
      <w:r>
        <w:rPr>
          <w:sz w:val="19"/>
        </w:rPr>
        <w:t>Macmillan,</w:t>
      </w:r>
      <w:r>
        <w:rPr>
          <w:spacing w:val="40"/>
          <w:sz w:val="19"/>
        </w:rPr>
        <w:t> </w:t>
      </w:r>
      <w:r>
        <w:rPr>
          <w:sz w:val="19"/>
        </w:rPr>
        <w:t>2003.</w:t>
      </w:r>
    </w:p>
    <w:p>
      <w:pPr>
        <w:pStyle w:val="ListParagraph"/>
        <w:numPr>
          <w:ilvl w:val="0"/>
          <w:numId w:val="68"/>
        </w:numPr>
        <w:tabs>
          <w:tab w:pos="2157" w:val="left" w:leader="none"/>
          <w:tab w:pos="2160" w:val="left" w:leader="none"/>
        </w:tabs>
        <w:spacing w:line="268" w:lineRule="auto" w:before="55" w:after="0"/>
        <w:ind w:left="2160" w:right="1438" w:hanging="315"/>
        <w:jc w:val="both"/>
        <w:rPr>
          <w:sz w:val="19"/>
        </w:rPr>
      </w:pPr>
      <w:r>
        <w:rPr>
          <w:sz w:val="19"/>
        </w:rPr>
        <w:t>Foucault, Michel. </w:t>
      </w:r>
      <w:r>
        <w:rPr>
          <w:i/>
          <w:sz w:val="19"/>
        </w:rPr>
        <w:t>The History of Sexuality: Volume 1: An Introduction</w:t>
      </w:r>
      <w:r>
        <w:rPr>
          <w:sz w:val="19"/>
        </w:rPr>
        <w:t>.</w:t>
      </w:r>
      <w:r>
        <w:rPr>
          <w:spacing w:val="40"/>
          <w:sz w:val="19"/>
        </w:rPr>
        <w:t> </w:t>
      </w:r>
      <w:r>
        <w:rPr>
          <w:sz w:val="19"/>
        </w:rPr>
        <w:t>Translated</w:t>
      </w:r>
      <w:r>
        <w:rPr>
          <w:spacing w:val="40"/>
          <w:sz w:val="19"/>
        </w:rPr>
        <w:t> </w:t>
      </w:r>
      <w:r>
        <w:rPr>
          <w:sz w:val="19"/>
        </w:rPr>
        <w:t>by</w:t>
      </w:r>
      <w:r>
        <w:rPr>
          <w:spacing w:val="40"/>
          <w:sz w:val="19"/>
        </w:rPr>
        <w:t> </w:t>
      </w:r>
      <w:r>
        <w:rPr>
          <w:sz w:val="19"/>
        </w:rPr>
        <w:t>Robert</w:t>
      </w:r>
      <w:r>
        <w:rPr>
          <w:spacing w:val="40"/>
          <w:sz w:val="19"/>
        </w:rPr>
        <w:t> </w:t>
      </w:r>
      <w:r>
        <w:rPr>
          <w:sz w:val="19"/>
        </w:rPr>
        <w:t>Hurley,</w:t>
      </w:r>
      <w:r>
        <w:rPr>
          <w:spacing w:val="40"/>
          <w:sz w:val="19"/>
        </w:rPr>
        <w:t> </w:t>
      </w:r>
      <w:r>
        <w:rPr>
          <w:sz w:val="19"/>
        </w:rPr>
        <w:t>Vintage</w:t>
      </w:r>
      <w:r>
        <w:rPr>
          <w:spacing w:val="40"/>
          <w:sz w:val="19"/>
        </w:rPr>
        <w:t> </w:t>
      </w:r>
      <w:r>
        <w:rPr>
          <w:sz w:val="19"/>
        </w:rPr>
        <w:t>Books, </w:t>
      </w:r>
      <w:r>
        <w:rPr>
          <w:spacing w:val="-2"/>
          <w:sz w:val="19"/>
        </w:rPr>
        <w:t>1978.</w:t>
      </w:r>
    </w:p>
    <w:p>
      <w:pPr>
        <w:pStyle w:val="ListParagraph"/>
        <w:numPr>
          <w:ilvl w:val="0"/>
          <w:numId w:val="68"/>
        </w:numPr>
        <w:tabs>
          <w:tab w:pos="2157" w:val="left" w:leader="none"/>
        </w:tabs>
        <w:spacing w:line="240" w:lineRule="auto" w:before="58" w:after="0"/>
        <w:ind w:left="2157" w:right="0" w:hanging="312"/>
        <w:jc w:val="both"/>
        <w:rPr>
          <w:sz w:val="19"/>
        </w:rPr>
      </w:pPr>
      <w:r>
        <w:rPr>
          <w:sz w:val="19"/>
        </w:rPr>
        <w:t>Garber,</w:t>
      </w:r>
      <w:r>
        <w:rPr>
          <w:spacing w:val="13"/>
          <w:sz w:val="19"/>
        </w:rPr>
        <w:t> </w:t>
      </w:r>
      <w:r>
        <w:rPr>
          <w:sz w:val="19"/>
        </w:rPr>
        <w:t>Marjorie.</w:t>
      </w:r>
      <w:r>
        <w:rPr>
          <w:spacing w:val="16"/>
          <w:sz w:val="19"/>
        </w:rPr>
        <w:t> </w:t>
      </w:r>
      <w:r>
        <w:rPr>
          <w:i/>
          <w:sz w:val="19"/>
        </w:rPr>
        <w:t>Shakespeare</w:t>
      </w:r>
      <w:r>
        <w:rPr>
          <w:i/>
          <w:spacing w:val="11"/>
          <w:sz w:val="19"/>
        </w:rPr>
        <w:t> </w:t>
      </w:r>
      <w:r>
        <w:rPr>
          <w:i/>
          <w:sz w:val="19"/>
        </w:rPr>
        <w:t>After</w:t>
      </w:r>
      <w:r>
        <w:rPr>
          <w:i/>
          <w:spacing w:val="13"/>
          <w:sz w:val="19"/>
        </w:rPr>
        <w:t> </w:t>
      </w:r>
      <w:r>
        <w:rPr>
          <w:i/>
          <w:sz w:val="19"/>
        </w:rPr>
        <w:t>All</w:t>
      </w:r>
      <w:r>
        <w:rPr>
          <w:sz w:val="19"/>
        </w:rPr>
        <w:t>.</w:t>
      </w:r>
      <w:r>
        <w:rPr>
          <w:spacing w:val="15"/>
          <w:sz w:val="19"/>
        </w:rPr>
        <w:t> </w:t>
      </w:r>
      <w:r>
        <w:rPr>
          <w:sz w:val="19"/>
        </w:rPr>
        <w:t>Pantheon</w:t>
      </w:r>
      <w:r>
        <w:rPr>
          <w:spacing w:val="15"/>
          <w:sz w:val="19"/>
        </w:rPr>
        <w:t> </w:t>
      </w:r>
      <w:r>
        <w:rPr>
          <w:sz w:val="19"/>
        </w:rPr>
        <w:t>Books,</w:t>
      </w:r>
      <w:r>
        <w:rPr>
          <w:spacing w:val="15"/>
          <w:sz w:val="19"/>
        </w:rPr>
        <w:t> </w:t>
      </w:r>
      <w:r>
        <w:rPr>
          <w:spacing w:val="-4"/>
          <w:sz w:val="19"/>
        </w:rPr>
        <w:t>2004.</w:t>
      </w:r>
    </w:p>
    <w:p>
      <w:pPr>
        <w:pStyle w:val="ListParagraph"/>
        <w:numPr>
          <w:ilvl w:val="0"/>
          <w:numId w:val="68"/>
        </w:numPr>
        <w:tabs>
          <w:tab w:pos="2157" w:val="left" w:leader="none"/>
          <w:tab w:pos="2160" w:val="left" w:leader="none"/>
        </w:tabs>
        <w:spacing w:line="266" w:lineRule="auto" w:before="84" w:after="0"/>
        <w:ind w:left="2160" w:right="1440" w:hanging="315"/>
        <w:jc w:val="both"/>
        <w:rPr>
          <w:sz w:val="19"/>
        </w:rPr>
      </w:pPr>
      <w:r>
        <w:rPr>
          <w:sz w:val="19"/>
        </w:rPr>
        <w:t>Gajowski, Evelyn. </w:t>
      </w:r>
      <w:r>
        <w:rPr>
          <w:i/>
          <w:sz w:val="19"/>
        </w:rPr>
        <w:t>Feminist Readings of Early Modern Culture: Emerging</w:t>
      </w:r>
      <w:r>
        <w:rPr>
          <w:i/>
          <w:spacing w:val="40"/>
          <w:sz w:val="19"/>
        </w:rPr>
        <w:t> </w:t>
      </w:r>
      <w:r>
        <w:rPr>
          <w:i/>
          <w:sz w:val="19"/>
        </w:rPr>
        <w:t>Subjects</w:t>
      </w:r>
      <w:r>
        <w:rPr>
          <w:sz w:val="19"/>
        </w:rPr>
        <w:t>.</w:t>
      </w:r>
      <w:r>
        <w:rPr>
          <w:spacing w:val="40"/>
          <w:sz w:val="19"/>
        </w:rPr>
        <w:t> </w:t>
      </w:r>
      <w:r>
        <w:rPr>
          <w:sz w:val="19"/>
        </w:rPr>
        <w:t>Cambridge</w:t>
      </w:r>
      <w:r>
        <w:rPr>
          <w:spacing w:val="40"/>
          <w:sz w:val="19"/>
        </w:rPr>
        <w:t> </w:t>
      </w:r>
      <w:r>
        <w:rPr>
          <w:sz w:val="19"/>
        </w:rPr>
        <w:t>University</w:t>
      </w:r>
      <w:r>
        <w:rPr>
          <w:spacing w:val="40"/>
          <w:sz w:val="19"/>
        </w:rPr>
        <w:t> </w:t>
      </w:r>
      <w:r>
        <w:rPr>
          <w:sz w:val="19"/>
        </w:rPr>
        <w:t>Press,</w:t>
      </w:r>
      <w:r>
        <w:rPr>
          <w:spacing w:val="40"/>
          <w:sz w:val="19"/>
        </w:rPr>
        <w:t> </w:t>
      </w:r>
      <w:r>
        <w:rPr>
          <w:sz w:val="19"/>
        </w:rPr>
        <w:t>2000.</w:t>
      </w:r>
    </w:p>
    <w:p>
      <w:pPr>
        <w:pStyle w:val="ListParagraph"/>
        <w:numPr>
          <w:ilvl w:val="0"/>
          <w:numId w:val="68"/>
        </w:numPr>
        <w:tabs>
          <w:tab w:pos="2157" w:val="left" w:leader="none"/>
          <w:tab w:pos="2160" w:val="left" w:leader="none"/>
        </w:tabs>
        <w:spacing w:line="268" w:lineRule="auto" w:before="60" w:after="0"/>
        <w:ind w:left="2160" w:right="1438" w:hanging="315"/>
        <w:jc w:val="both"/>
        <w:rPr>
          <w:sz w:val="19"/>
        </w:rPr>
      </w:pPr>
      <w:r>
        <w:rPr>
          <w:sz w:val="19"/>
        </w:rPr>
        <w:t>Gilbert, Sandra M., and Susan Gubar. </w:t>
      </w:r>
      <w:r>
        <w:rPr>
          <w:i/>
          <w:sz w:val="19"/>
        </w:rPr>
        <w:t>The Madwoman in the</w:t>
      </w:r>
      <w:r>
        <w:rPr>
          <w:i/>
          <w:spacing w:val="40"/>
          <w:sz w:val="19"/>
        </w:rPr>
        <w:t> </w:t>
      </w:r>
      <w:r>
        <w:rPr>
          <w:i/>
          <w:sz w:val="19"/>
        </w:rPr>
        <w:t>Attic</w:t>
      </w:r>
      <w:r>
        <w:rPr>
          <w:sz w:val="19"/>
        </w:rPr>
        <w:t>.</w:t>
      </w:r>
      <w:r>
        <w:rPr>
          <w:spacing w:val="40"/>
          <w:sz w:val="19"/>
        </w:rPr>
        <w:t> </w:t>
      </w:r>
      <w:r>
        <w:rPr>
          <w:sz w:val="19"/>
        </w:rPr>
        <w:t>Yale</w:t>
      </w:r>
      <w:r>
        <w:rPr>
          <w:spacing w:val="40"/>
          <w:sz w:val="19"/>
        </w:rPr>
        <w:t> </w:t>
      </w:r>
      <w:r>
        <w:rPr>
          <w:sz w:val="19"/>
        </w:rPr>
        <w:t>University</w:t>
      </w:r>
      <w:r>
        <w:rPr>
          <w:spacing w:val="40"/>
          <w:sz w:val="19"/>
        </w:rPr>
        <w:t> </w:t>
      </w:r>
      <w:r>
        <w:rPr>
          <w:sz w:val="19"/>
        </w:rPr>
        <w:t>Press,</w:t>
      </w:r>
      <w:r>
        <w:rPr>
          <w:spacing w:val="40"/>
          <w:sz w:val="19"/>
        </w:rPr>
        <w:t> </w:t>
      </w:r>
      <w:r>
        <w:rPr>
          <w:sz w:val="19"/>
        </w:rPr>
        <w:t>1979.</w:t>
      </w:r>
    </w:p>
    <w:p>
      <w:pPr>
        <w:pStyle w:val="ListParagraph"/>
        <w:numPr>
          <w:ilvl w:val="0"/>
          <w:numId w:val="68"/>
        </w:numPr>
        <w:tabs>
          <w:tab w:pos="2157" w:val="left" w:leader="none"/>
          <w:tab w:pos="2160" w:val="left" w:leader="none"/>
        </w:tabs>
        <w:spacing w:line="266" w:lineRule="auto" w:before="57" w:after="0"/>
        <w:ind w:left="2160" w:right="1438" w:hanging="315"/>
        <w:jc w:val="both"/>
        <w:rPr>
          <w:sz w:val="19"/>
        </w:rPr>
      </w:pPr>
      <w:r>
        <w:rPr>
          <w:sz w:val="19"/>
        </w:rPr>
        <w:t>Greenblatt,</w:t>
      </w:r>
      <w:r>
        <w:rPr>
          <w:spacing w:val="40"/>
          <w:sz w:val="19"/>
        </w:rPr>
        <w:t> </w:t>
      </w:r>
      <w:r>
        <w:rPr>
          <w:sz w:val="19"/>
        </w:rPr>
        <w:t>Stephen,</w:t>
      </w:r>
      <w:r>
        <w:rPr>
          <w:spacing w:val="40"/>
          <w:sz w:val="19"/>
        </w:rPr>
        <w:t> </w:t>
      </w:r>
      <w:r>
        <w:rPr>
          <w:sz w:val="19"/>
        </w:rPr>
        <w:t>et</w:t>
      </w:r>
      <w:r>
        <w:rPr>
          <w:spacing w:val="40"/>
          <w:sz w:val="19"/>
        </w:rPr>
        <w:t> </w:t>
      </w:r>
      <w:r>
        <w:rPr>
          <w:sz w:val="19"/>
        </w:rPr>
        <w:t>al.,</w:t>
      </w:r>
      <w:r>
        <w:rPr>
          <w:spacing w:val="40"/>
          <w:sz w:val="19"/>
        </w:rPr>
        <w:t> </w:t>
      </w:r>
      <w:r>
        <w:rPr>
          <w:sz w:val="19"/>
        </w:rPr>
        <w:t>editors.</w:t>
      </w:r>
      <w:r>
        <w:rPr>
          <w:spacing w:val="40"/>
          <w:sz w:val="19"/>
        </w:rPr>
        <w:t> </w:t>
      </w:r>
      <w:r>
        <w:rPr>
          <w:i/>
          <w:sz w:val="19"/>
        </w:rPr>
        <w:t>The</w:t>
      </w:r>
      <w:r>
        <w:rPr>
          <w:i/>
          <w:spacing w:val="40"/>
          <w:sz w:val="19"/>
        </w:rPr>
        <w:t> </w:t>
      </w:r>
      <w:r>
        <w:rPr>
          <w:i/>
          <w:sz w:val="19"/>
        </w:rPr>
        <w:t>Norton</w:t>
      </w:r>
      <w:r>
        <w:rPr>
          <w:i/>
          <w:spacing w:val="40"/>
          <w:sz w:val="19"/>
        </w:rPr>
        <w:t> </w:t>
      </w:r>
      <w:r>
        <w:rPr>
          <w:i/>
          <w:sz w:val="19"/>
        </w:rPr>
        <w:t>Shakespeare</w:t>
      </w:r>
      <w:r>
        <w:rPr>
          <w:sz w:val="19"/>
        </w:rPr>
        <w:t>. 3rd</w:t>
      </w:r>
      <w:r>
        <w:rPr>
          <w:spacing w:val="40"/>
          <w:sz w:val="19"/>
        </w:rPr>
        <w:t> </w:t>
      </w:r>
      <w:r>
        <w:rPr>
          <w:sz w:val="19"/>
        </w:rPr>
        <w:t>ed.,</w:t>
      </w:r>
      <w:r>
        <w:rPr>
          <w:spacing w:val="40"/>
          <w:sz w:val="19"/>
        </w:rPr>
        <w:t> </w:t>
      </w:r>
      <w:r>
        <w:rPr>
          <w:sz w:val="19"/>
        </w:rPr>
        <w:t>W.</w:t>
      </w:r>
      <w:r>
        <w:rPr>
          <w:spacing w:val="40"/>
          <w:sz w:val="19"/>
        </w:rPr>
        <w:t> </w:t>
      </w:r>
      <w:r>
        <w:rPr>
          <w:sz w:val="19"/>
        </w:rPr>
        <w:t>W.</w:t>
      </w:r>
      <w:r>
        <w:rPr>
          <w:spacing w:val="40"/>
          <w:sz w:val="19"/>
        </w:rPr>
        <w:t> </w:t>
      </w:r>
      <w:r>
        <w:rPr>
          <w:sz w:val="19"/>
        </w:rPr>
        <w:t>Norton</w:t>
      </w:r>
      <w:r>
        <w:rPr>
          <w:spacing w:val="40"/>
          <w:sz w:val="19"/>
        </w:rPr>
        <w:t> </w:t>
      </w:r>
      <w:r>
        <w:rPr>
          <w:sz w:val="19"/>
        </w:rPr>
        <w:t>&amp;</w:t>
      </w:r>
      <w:r>
        <w:rPr>
          <w:spacing w:val="40"/>
          <w:sz w:val="19"/>
        </w:rPr>
        <w:t> </w:t>
      </w:r>
      <w:r>
        <w:rPr>
          <w:sz w:val="19"/>
        </w:rPr>
        <w:t>Company,</w:t>
      </w:r>
      <w:r>
        <w:rPr>
          <w:spacing w:val="40"/>
          <w:sz w:val="19"/>
        </w:rPr>
        <w:t> </w:t>
      </w:r>
      <w:r>
        <w:rPr>
          <w:sz w:val="19"/>
        </w:rPr>
        <w:t>2016.</w:t>
      </w:r>
    </w:p>
    <w:p>
      <w:pPr>
        <w:pStyle w:val="ListParagraph"/>
        <w:numPr>
          <w:ilvl w:val="0"/>
          <w:numId w:val="68"/>
        </w:numPr>
        <w:tabs>
          <w:tab w:pos="2157" w:val="left" w:leader="none"/>
          <w:tab w:pos="2160" w:val="left" w:leader="none"/>
        </w:tabs>
        <w:spacing w:line="268" w:lineRule="auto" w:before="60" w:after="0"/>
        <w:ind w:left="2160" w:right="1440" w:hanging="406"/>
        <w:jc w:val="both"/>
        <w:rPr>
          <w:sz w:val="19"/>
        </w:rPr>
      </w:pPr>
      <w:r>
        <w:rPr>
          <w:sz w:val="19"/>
        </w:rPr>
        <w:t>hooks,</w:t>
      </w:r>
      <w:r>
        <w:rPr>
          <w:spacing w:val="40"/>
          <w:sz w:val="19"/>
        </w:rPr>
        <w:t> </w:t>
      </w:r>
      <w:r>
        <w:rPr>
          <w:sz w:val="19"/>
        </w:rPr>
        <w:t>bell.</w:t>
      </w:r>
      <w:r>
        <w:rPr>
          <w:spacing w:val="40"/>
          <w:sz w:val="19"/>
        </w:rPr>
        <w:t> </w:t>
      </w:r>
      <w:r>
        <w:rPr>
          <w:i/>
          <w:sz w:val="19"/>
        </w:rPr>
        <w:t>Feminist</w:t>
      </w:r>
      <w:r>
        <w:rPr>
          <w:i/>
          <w:spacing w:val="40"/>
          <w:sz w:val="19"/>
        </w:rPr>
        <w:t> </w:t>
      </w:r>
      <w:r>
        <w:rPr>
          <w:i/>
          <w:sz w:val="19"/>
        </w:rPr>
        <w:t>Theory:</w:t>
      </w:r>
      <w:r>
        <w:rPr>
          <w:i/>
          <w:spacing w:val="40"/>
          <w:sz w:val="19"/>
        </w:rPr>
        <w:t> </w:t>
      </w:r>
      <w:r>
        <w:rPr>
          <w:i/>
          <w:sz w:val="19"/>
        </w:rPr>
        <w:t>From</w:t>
      </w:r>
      <w:r>
        <w:rPr>
          <w:i/>
          <w:spacing w:val="40"/>
          <w:sz w:val="19"/>
        </w:rPr>
        <w:t> </w:t>
      </w:r>
      <w:r>
        <w:rPr>
          <w:i/>
          <w:sz w:val="19"/>
        </w:rPr>
        <w:t>Margin</w:t>
      </w:r>
      <w:r>
        <w:rPr>
          <w:i/>
          <w:spacing w:val="40"/>
          <w:sz w:val="19"/>
        </w:rPr>
        <w:t> </w:t>
      </w:r>
      <w:r>
        <w:rPr>
          <w:i/>
          <w:sz w:val="19"/>
        </w:rPr>
        <w:t>to</w:t>
      </w:r>
      <w:r>
        <w:rPr>
          <w:i/>
          <w:spacing w:val="40"/>
          <w:sz w:val="19"/>
        </w:rPr>
        <w:t> </w:t>
      </w:r>
      <w:r>
        <w:rPr>
          <w:i/>
          <w:sz w:val="19"/>
        </w:rPr>
        <w:t>Center</w:t>
      </w:r>
      <w:r>
        <w:rPr>
          <w:sz w:val="19"/>
        </w:rPr>
        <w:t>.</w:t>
      </w:r>
      <w:r>
        <w:rPr>
          <w:spacing w:val="40"/>
          <w:sz w:val="19"/>
        </w:rPr>
        <w:t> </w:t>
      </w:r>
      <w:r>
        <w:rPr>
          <w:sz w:val="19"/>
        </w:rPr>
        <w:t>South End</w:t>
      </w:r>
      <w:r>
        <w:rPr>
          <w:spacing w:val="40"/>
          <w:sz w:val="19"/>
        </w:rPr>
        <w:t> </w:t>
      </w:r>
      <w:r>
        <w:rPr>
          <w:sz w:val="19"/>
        </w:rPr>
        <w:t>Press,</w:t>
      </w:r>
      <w:r>
        <w:rPr>
          <w:spacing w:val="40"/>
          <w:sz w:val="19"/>
        </w:rPr>
        <w:t> </w:t>
      </w:r>
      <w:r>
        <w:rPr>
          <w:sz w:val="19"/>
        </w:rPr>
        <w:t>1984.</w:t>
      </w:r>
    </w:p>
    <w:p>
      <w:pPr>
        <w:pStyle w:val="ListParagraph"/>
        <w:numPr>
          <w:ilvl w:val="0"/>
          <w:numId w:val="68"/>
        </w:numPr>
        <w:tabs>
          <w:tab w:pos="2157" w:val="left" w:leader="none"/>
          <w:tab w:pos="2160" w:val="left" w:leader="none"/>
        </w:tabs>
        <w:spacing w:line="266" w:lineRule="auto" w:before="58" w:after="0"/>
        <w:ind w:left="2160" w:right="1440" w:hanging="406"/>
        <w:jc w:val="both"/>
        <w:rPr>
          <w:sz w:val="19"/>
        </w:rPr>
      </w:pPr>
      <w:r>
        <w:rPr>
          <w:sz w:val="19"/>
        </w:rPr>
        <w:t>Howard,</w:t>
      </w:r>
      <w:r>
        <w:rPr>
          <w:spacing w:val="40"/>
          <w:sz w:val="19"/>
        </w:rPr>
        <w:t> </w:t>
      </w:r>
      <w:r>
        <w:rPr>
          <w:sz w:val="19"/>
        </w:rPr>
        <w:t>Jean</w:t>
      </w:r>
      <w:r>
        <w:rPr>
          <w:spacing w:val="40"/>
          <w:sz w:val="19"/>
        </w:rPr>
        <w:t> </w:t>
      </w:r>
      <w:r>
        <w:rPr>
          <w:sz w:val="19"/>
        </w:rPr>
        <w:t>E.</w:t>
      </w:r>
      <w:r>
        <w:rPr>
          <w:spacing w:val="40"/>
          <w:sz w:val="19"/>
        </w:rPr>
        <w:t> </w:t>
      </w:r>
      <w:r>
        <w:rPr>
          <w:i/>
          <w:sz w:val="19"/>
        </w:rPr>
        <w:t>Engendering</w:t>
      </w:r>
      <w:r>
        <w:rPr>
          <w:i/>
          <w:spacing w:val="40"/>
          <w:sz w:val="19"/>
        </w:rPr>
        <w:t> </w:t>
      </w:r>
      <w:r>
        <w:rPr>
          <w:i/>
          <w:sz w:val="19"/>
        </w:rPr>
        <w:t>a</w:t>
      </w:r>
      <w:r>
        <w:rPr>
          <w:i/>
          <w:spacing w:val="40"/>
          <w:sz w:val="19"/>
        </w:rPr>
        <w:t> </w:t>
      </w:r>
      <w:r>
        <w:rPr>
          <w:i/>
          <w:sz w:val="19"/>
        </w:rPr>
        <w:t>Nation:</w:t>
      </w:r>
      <w:r>
        <w:rPr>
          <w:i/>
          <w:spacing w:val="40"/>
          <w:sz w:val="19"/>
        </w:rPr>
        <w:t> </w:t>
      </w:r>
      <w:r>
        <w:rPr>
          <w:i/>
          <w:sz w:val="19"/>
        </w:rPr>
        <w:t>A</w:t>
      </w:r>
      <w:r>
        <w:rPr>
          <w:i/>
          <w:spacing w:val="40"/>
          <w:sz w:val="19"/>
        </w:rPr>
        <w:t> </w:t>
      </w:r>
      <w:r>
        <w:rPr>
          <w:i/>
          <w:sz w:val="19"/>
        </w:rPr>
        <w:t>Feminist</w:t>
      </w:r>
      <w:r>
        <w:rPr>
          <w:i/>
          <w:spacing w:val="40"/>
          <w:sz w:val="19"/>
        </w:rPr>
        <w:t> </w:t>
      </w:r>
      <w:r>
        <w:rPr>
          <w:i/>
          <w:sz w:val="19"/>
        </w:rPr>
        <w:t>Account of</w:t>
      </w:r>
      <w:r>
        <w:rPr>
          <w:i/>
          <w:spacing w:val="40"/>
          <w:sz w:val="19"/>
        </w:rPr>
        <w:t> </w:t>
      </w:r>
      <w:r>
        <w:rPr>
          <w:i/>
          <w:sz w:val="19"/>
        </w:rPr>
        <w:t>Shakespeare’s</w:t>
      </w:r>
      <w:r>
        <w:rPr>
          <w:i/>
          <w:spacing w:val="40"/>
          <w:sz w:val="19"/>
        </w:rPr>
        <w:t> </w:t>
      </w:r>
      <w:r>
        <w:rPr>
          <w:i/>
          <w:sz w:val="19"/>
        </w:rPr>
        <w:t>English</w:t>
      </w:r>
      <w:r>
        <w:rPr>
          <w:i/>
          <w:spacing w:val="40"/>
          <w:sz w:val="19"/>
        </w:rPr>
        <w:t> </w:t>
      </w:r>
      <w:r>
        <w:rPr>
          <w:i/>
          <w:sz w:val="19"/>
        </w:rPr>
        <w:t>Histories</w:t>
      </w:r>
      <w:r>
        <w:rPr>
          <w:sz w:val="19"/>
        </w:rPr>
        <w:t>.</w:t>
      </w:r>
      <w:r>
        <w:rPr>
          <w:spacing w:val="40"/>
          <w:sz w:val="19"/>
        </w:rPr>
        <w:t> </w:t>
      </w:r>
      <w:r>
        <w:rPr>
          <w:sz w:val="19"/>
        </w:rPr>
        <w:t>Routledge,</w:t>
      </w:r>
      <w:r>
        <w:rPr>
          <w:spacing w:val="40"/>
          <w:sz w:val="19"/>
        </w:rPr>
        <w:t> </w:t>
      </w:r>
      <w:r>
        <w:rPr>
          <w:sz w:val="19"/>
        </w:rPr>
        <w:t>1997.</w:t>
      </w:r>
    </w:p>
    <w:p>
      <w:pPr>
        <w:pStyle w:val="ListParagraph"/>
        <w:numPr>
          <w:ilvl w:val="0"/>
          <w:numId w:val="68"/>
        </w:numPr>
        <w:tabs>
          <w:tab w:pos="2157" w:val="left" w:leader="none"/>
          <w:tab w:pos="2160" w:val="left" w:leader="none"/>
        </w:tabs>
        <w:spacing w:line="266" w:lineRule="auto" w:before="60" w:after="0"/>
        <w:ind w:left="2160" w:right="1435" w:hanging="406"/>
        <w:jc w:val="both"/>
        <w:rPr>
          <w:sz w:val="19"/>
        </w:rPr>
      </w:pPr>
      <w:r>
        <w:rPr>
          <w:sz w:val="19"/>
        </w:rPr>
        <w:t>Neely, Carol Thomas. </w:t>
      </w:r>
      <w:r>
        <w:rPr>
          <w:i/>
          <w:sz w:val="19"/>
        </w:rPr>
        <w:t>Distracted Subjects: Madness and Gender in Shakespeare and Early Modern Culture</w:t>
      </w:r>
      <w:r>
        <w:rPr>
          <w:sz w:val="19"/>
        </w:rPr>
        <w:t>. Cornell University Press,</w:t>
      </w:r>
      <w:r>
        <w:rPr>
          <w:spacing w:val="40"/>
          <w:sz w:val="19"/>
        </w:rPr>
        <w:t> </w:t>
      </w:r>
      <w:r>
        <w:rPr>
          <w:sz w:val="19"/>
        </w:rPr>
        <w:t>2004.</w:t>
      </w:r>
    </w:p>
    <w:p>
      <w:pPr>
        <w:pStyle w:val="ListParagraph"/>
        <w:numPr>
          <w:ilvl w:val="0"/>
          <w:numId w:val="68"/>
        </w:numPr>
        <w:tabs>
          <w:tab w:pos="2157" w:val="left" w:leader="none"/>
          <w:tab w:pos="2160" w:val="left" w:leader="none"/>
        </w:tabs>
        <w:spacing w:line="268" w:lineRule="auto" w:before="62" w:after="0"/>
        <w:ind w:left="2160" w:right="1438" w:hanging="406"/>
        <w:jc w:val="both"/>
        <w:rPr>
          <w:sz w:val="19"/>
        </w:rPr>
      </w:pPr>
      <w:r>
        <w:rPr>
          <w:sz w:val="19"/>
        </w:rPr>
        <w:t>Parker, Patricia. </w:t>
      </w:r>
      <w:r>
        <w:rPr>
          <w:i/>
          <w:sz w:val="19"/>
        </w:rPr>
        <w:t>Literary</w:t>
      </w:r>
      <w:r>
        <w:rPr>
          <w:i/>
          <w:spacing w:val="-1"/>
          <w:sz w:val="19"/>
        </w:rPr>
        <w:t> </w:t>
      </w:r>
      <w:r>
        <w:rPr>
          <w:i/>
          <w:sz w:val="19"/>
        </w:rPr>
        <w:t>Fat</w:t>
      </w:r>
      <w:r>
        <w:rPr>
          <w:i/>
          <w:spacing w:val="-1"/>
          <w:sz w:val="19"/>
        </w:rPr>
        <w:t> </w:t>
      </w:r>
      <w:r>
        <w:rPr>
          <w:i/>
          <w:sz w:val="19"/>
        </w:rPr>
        <w:t>Ladies:</w:t>
      </w:r>
      <w:r>
        <w:rPr>
          <w:i/>
          <w:spacing w:val="-1"/>
          <w:sz w:val="19"/>
        </w:rPr>
        <w:t> </w:t>
      </w:r>
      <w:r>
        <w:rPr>
          <w:i/>
          <w:sz w:val="19"/>
        </w:rPr>
        <w:t>Rhetoric, Gender,</w:t>
      </w:r>
      <w:r>
        <w:rPr>
          <w:i/>
          <w:spacing w:val="-1"/>
          <w:sz w:val="19"/>
        </w:rPr>
        <w:t> </w:t>
      </w:r>
      <w:r>
        <w:rPr>
          <w:i/>
          <w:sz w:val="19"/>
        </w:rPr>
        <w:t>Property</w:t>
      </w:r>
      <w:r>
        <w:rPr>
          <w:sz w:val="19"/>
        </w:rPr>
        <w:t>. Methuen,</w:t>
      </w:r>
      <w:r>
        <w:rPr>
          <w:spacing w:val="40"/>
          <w:sz w:val="19"/>
        </w:rPr>
        <w:t> </w:t>
      </w:r>
      <w:r>
        <w:rPr>
          <w:sz w:val="19"/>
        </w:rPr>
        <w:t>1987.</w:t>
      </w:r>
    </w:p>
    <w:p>
      <w:pPr>
        <w:pStyle w:val="ListParagraph"/>
        <w:spacing w:after="0" w:line="268" w:lineRule="auto"/>
        <w:jc w:val="both"/>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24896">
                <wp:simplePos x="0" y="0"/>
                <wp:positionH relativeFrom="page">
                  <wp:posOffset>2057400</wp:posOffset>
                </wp:positionH>
                <wp:positionV relativeFrom="paragraph">
                  <wp:posOffset>162604</wp:posOffset>
                </wp:positionV>
                <wp:extent cx="3657600" cy="12700"/>
                <wp:effectExtent l="0" t="0" r="0" b="0"/>
                <wp:wrapTopAndBottom/>
                <wp:docPr id="649" name="Graphic 649"/>
                <wp:cNvGraphicFramePr>
                  <a:graphicFrameLocks/>
                </wp:cNvGraphicFramePr>
                <a:graphic>
                  <a:graphicData uri="http://schemas.microsoft.com/office/word/2010/wordprocessingShape">
                    <wps:wsp>
                      <wps:cNvPr id="649" name="Graphic 64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91584;mso-wrap-distance-left:0;mso-wrap-distance-right:0" id="docshape641" filled="true" fillcolor="#000000" stroked="false">
                <v:fill type="solid"/>
                <w10:wrap type="topAndBottom"/>
              </v:rect>
            </w:pict>
          </mc:Fallback>
        </mc:AlternateContent>
      </w:r>
      <w:r>
        <w:rPr>
          <w:rFonts w:ascii="Verdana"/>
          <w:spacing w:val="-5"/>
          <w:sz w:val="18"/>
        </w:rPr>
        <w:t>316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68"/>
        </w:numPr>
        <w:tabs>
          <w:tab w:pos="2157" w:val="left" w:leader="none"/>
          <w:tab w:pos="2160" w:val="left" w:leader="none"/>
        </w:tabs>
        <w:spacing w:line="261" w:lineRule="auto" w:before="199" w:after="0"/>
        <w:ind w:left="2160" w:right="1432" w:hanging="406"/>
        <w:jc w:val="both"/>
        <w:rPr>
          <w:sz w:val="19"/>
        </w:rPr>
      </w:pPr>
      <w:r>
        <w:rPr>
          <w:sz w:val="19"/>
        </w:rPr>
        <w:t>Spivak, Gayatri Chakravorty. “Can the Subaltern Speak?” </w:t>
      </w:r>
      <w:r>
        <w:rPr>
          <w:i/>
          <w:sz w:val="19"/>
        </w:rPr>
        <w:t>Marxism and the Interpretation of Culture</w:t>
      </w:r>
      <w:r>
        <w:rPr>
          <w:sz w:val="19"/>
        </w:rPr>
        <w:t>, edited by Cary</w:t>
      </w:r>
      <w:r>
        <w:rPr>
          <w:spacing w:val="80"/>
          <w:sz w:val="19"/>
        </w:rPr>
        <w:t> </w:t>
      </w:r>
      <w:r>
        <w:rPr>
          <w:sz w:val="19"/>
        </w:rPr>
        <w:t>Nelson and Lawrence Grossberg, University of Illinois Press, 1988, pp. 271–313.</w:t>
      </w:r>
    </w:p>
    <w:p>
      <w:pPr>
        <w:pStyle w:val="ListParagraph"/>
        <w:numPr>
          <w:ilvl w:val="0"/>
          <w:numId w:val="68"/>
        </w:numPr>
        <w:tabs>
          <w:tab w:pos="2157" w:val="left" w:leader="none"/>
          <w:tab w:pos="2160" w:val="left" w:leader="none"/>
        </w:tabs>
        <w:spacing w:line="261" w:lineRule="auto" w:before="58" w:after="0"/>
        <w:ind w:left="2160" w:right="1438" w:hanging="406"/>
        <w:jc w:val="both"/>
        <w:rPr>
          <w:sz w:val="19"/>
        </w:rPr>
      </w:pPr>
      <w:r>
        <w:rPr>
          <w:sz w:val="19"/>
        </w:rPr>
        <w:t>Showalter, Elaine. “Representing Ophelia: Women, Madness,</w:t>
      </w:r>
      <w:r>
        <w:rPr>
          <w:spacing w:val="80"/>
          <w:sz w:val="19"/>
        </w:rPr>
        <w:t> </w:t>
      </w:r>
      <w:r>
        <w:rPr>
          <w:sz w:val="19"/>
        </w:rPr>
        <w:t>and</w:t>
      </w:r>
      <w:r>
        <w:rPr>
          <w:spacing w:val="40"/>
          <w:sz w:val="19"/>
        </w:rPr>
        <w:t> </w:t>
      </w:r>
      <w:r>
        <w:rPr>
          <w:sz w:val="19"/>
        </w:rPr>
        <w:t>the</w:t>
      </w:r>
      <w:r>
        <w:rPr>
          <w:spacing w:val="40"/>
          <w:sz w:val="19"/>
        </w:rPr>
        <w:t> </w:t>
      </w:r>
      <w:r>
        <w:rPr>
          <w:sz w:val="19"/>
        </w:rPr>
        <w:t>Responsibilities</w:t>
      </w:r>
      <w:r>
        <w:rPr>
          <w:spacing w:val="40"/>
          <w:sz w:val="19"/>
        </w:rPr>
        <w:t> </w:t>
      </w:r>
      <w:r>
        <w:rPr>
          <w:sz w:val="19"/>
        </w:rPr>
        <w:t>of</w:t>
      </w:r>
      <w:r>
        <w:rPr>
          <w:spacing w:val="40"/>
          <w:sz w:val="19"/>
        </w:rPr>
        <w:t> </w:t>
      </w:r>
      <w:r>
        <w:rPr>
          <w:sz w:val="19"/>
        </w:rPr>
        <w:t>Feminist</w:t>
      </w:r>
      <w:r>
        <w:rPr>
          <w:spacing w:val="40"/>
          <w:sz w:val="19"/>
        </w:rPr>
        <w:t> </w:t>
      </w:r>
      <w:r>
        <w:rPr>
          <w:sz w:val="19"/>
        </w:rPr>
        <w:t>Criticism.”</w:t>
      </w:r>
      <w:r>
        <w:rPr>
          <w:spacing w:val="40"/>
          <w:sz w:val="19"/>
        </w:rPr>
        <w:t> </w:t>
      </w:r>
      <w:r>
        <w:rPr>
          <w:i/>
          <w:sz w:val="19"/>
        </w:rPr>
        <w:t>Shakespeare and the Question of Theory</w:t>
      </w:r>
      <w:r>
        <w:rPr>
          <w:sz w:val="19"/>
        </w:rPr>
        <w:t>, edited by Patricia Parker and Geoffrey</w:t>
      </w:r>
      <w:r>
        <w:rPr>
          <w:spacing w:val="40"/>
          <w:sz w:val="19"/>
        </w:rPr>
        <w:t> </w:t>
      </w:r>
      <w:r>
        <w:rPr>
          <w:sz w:val="19"/>
        </w:rPr>
        <w:t>Hartman,</w:t>
      </w:r>
      <w:r>
        <w:rPr>
          <w:spacing w:val="40"/>
          <w:sz w:val="19"/>
        </w:rPr>
        <w:t> </w:t>
      </w:r>
      <w:r>
        <w:rPr>
          <w:sz w:val="19"/>
        </w:rPr>
        <w:t>Methuen,</w:t>
      </w:r>
      <w:r>
        <w:rPr>
          <w:spacing w:val="40"/>
          <w:sz w:val="19"/>
        </w:rPr>
        <w:t> </w:t>
      </w:r>
      <w:r>
        <w:rPr>
          <w:sz w:val="19"/>
        </w:rPr>
        <w:t>1985,</w:t>
      </w:r>
      <w:r>
        <w:rPr>
          <w:spacing w:val="40"/>
          <w:sz w:val="19"/>
        </w:rPr>
        <w:t> </w:t>
      </w:r>
      <w:r>
        <w:rPr>
          <w:sz w:val="19"/>
        </w:rPr>
        <w:t>pp.</w:t>
      </w:r>
      <w:r>
        <w:rPr>
          <w:spacing w:val="40"/>
          <w:sz w:val="19"/>
        </w:rPr>
        <w:t> </w:t>
      </w:r>
      <w:r>
        <w:rPr>
          <w:sz w:val="19"/>
        </w:rPr>
        <w:t>77–94.</w:t>
      </w:r>
    </w:p>
    <w:p>
      <w:pPr>
        <w:pStyle w:val="ListParagraph"/>
        <w:numPr>
          <w:ilvl w:val="0"/>
          <w:numId w:val="68"/>
        </w:numPr>
        <w:tabs>
          <w:tab w:pos="2157" w:val="left" w:leader="none"/>
          <w:tab w:pos="2160" w:val="left" w:leader="none"/>
        </w:tabs>
        <w:spacing w:line="261" w:lineRule="auto" w:before="58" w:after="0"/>
        <w:ind w:left="2160" w:right="1443" w:hanging="406"/>
        <w:jc w:val="both"/>
        <w:rPr>
          <w:sz w:val="19"/>
        </w:rPr>
      </w:pPr>
      <w:r>
        <w:rPr>
          <w:sz w:val="19"/>
        </w:rPr>
        <w:t>Showalter, Elaine. </w:t>
      </w:r>
      <w:r>
        <w:rPr>
          <w:i/>
          <w:sz w:val="19"/>
        </w:rPr>
        <w:t>The Female Malady: Women, Madness, and English</w:t>
      </w:r>
      <w:r>
        <w:rPr>
          <w:i/>
          <w:spacing w:val="40"/>
          <w:sz w:val="19"/>
        </w:rPr>
        <w:t> </w:t>
      </w:r>
      <w:r>
        <w:rPr>
          <w:i/>
          <w:sz w:val="19"/>
        </w:rPr>
        <w:t>Culture,</w:t>
      </w:r>
      <w:r>
        <w:rPr>
          <w:i/>
          <w:spacing w:val="40"/>
          <w:sz w:val="19"/>
        </w:rPr>
        <w:t> </w:t>
      </w:r>
      <w:r>
        <w:rPr>
          <w:i/>
          <w:sz w:val="19"/>
        </w:rPr>
        <w:t>1830–1980</w:t>
      </w:r>
      <w:r>
        <w:rPr>
          <w:sz w:val="19"/>
        </w:rPr>
        <w:t>.</w:t>
      </w:r>
      <w:r>
        <w:rPr>
          <w:spacing w:val="40"/>
          <w:sz w:val="19"/>
        </w:rPr>
        <w:t> </w:t>
      </w:r>
      <w:r>
        <w:rPr>
          <w:sz w:val="19"/>
        </w:rPr>
        <w:t>Virago,</w:t>
      </w:r>
      <w:r>
        <w:rPr>
          <w:spacing w:val="40"/>
          <w:sz w:val="19"/>
        </w:rPr>
        <w:t> </w:t>
      </w:r>
      <w:r>
        <w:rPr>
          <w:sz w:val="19"/>
        </w:rPr>
        <w:t>1987.</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90080">
                <wp:simplePos x="0" y="0"/>
                <wp:positionH relativeFrom="page">
                  <wp:posOffset>2057400</wp:posOffset>
                </wp:positionH>
                <wp:positionV relativeFrom="page">
                  <wp:posOffset>1788723</wp:posOffset>
                </wp:positionV>
                <wp:extent cx="3653790" cy="140335"/>
                <wp:effectExtent l="0" t="0" r="0" b="0"/>
                <wp:wrapNone/>
                <wp:docPr id="650" name="Textbox 650"/>
                <wp:cNvGraphicFramePr>
                  <a:graphicFrameLocks/>
                </wp:cNvGraphicFramePr>
                <a:graphic>
                  <a:graphicData uri="http://schemas.microsoft.com/office/word/2010/wordprocessingShape">
                    <wps:wsp>
                      <wps:cNvPr id="650" name="Textbox 650"/>
                      <wps:cNvSpPr txBox="1"/>
                      <wps:spPr>
                        <a:xfrm>
                          <a:off x="0" y="0"/>
                          <a:ext cx="3653790" cy="140335"/>
                        </a:xfrm>
                        <a:prstGeom prst="rect">
                          <a:avLst/>
                        </a:prstGeom>
                      </wps:spPr>
                      <wps:txbx>
                        <w:txbxContent>
                          <w:p>
                            <w:pPr>
                              <w:tabs>
                                <w:tab w:pos="5753" w:val="right" w:leader="none"/>
                              </w:tabs>
                              <w:spacing w:line="219" w:lineRule="exact" w:before="0"/>
                              <w:ind w:left="0" w:right="0" w:firstLine="0"/>
                              <w:jc w:val="left"/>
                              <w:rPr>
                                <w:rFonts w:ascii="Verdana" w:hAnsi="Verdana"/>
                                <w:sz w:val="18"/>
                              </w:rPr>
                            </w:pPr>
                            <w:r>
                              <w:rPr>
                                <w:rFonts w:ascii="Verdana" w:hAnsi="Verdana"/>
                                <w:spacing w:val="-2"/>
                                <w:sz w:val="18"/>
                              </w:rPr>
                              <w:t>Shakespeare’s</w:t>
                            </w:r>
                            <w:r>
                              <w:rPr>
                                <w:rFonts w:ascii="Verdana" w:hAnsi="Verdana"/>
                                <w:spacing w:val="12"/>
                                <w:sz w:val="18"/>
                              </w:rPr>
                              <w:t> </w:t>
                            </w:r>
                            <w:r>
                              <w:rPr>
                                <w:rFonts w:ascii="Verdana" w:hAnsi="Verdana"/>
                                <w:spacing w:val="-2"/>
                                <w:sz w:val="18"/>
                              </w:rPr>
                              <w:t>Representation</w:t>
                            </w:r>
                            <w:r>
                              <w:rPr>
                                <w:rFonts w:ascii="Verdana" w:hAnsi="Verdana"/>
                                <w:spacing w:val="16"/>
                                <w:sz w:val="18"/>
                              </w:rPr>
                              <w:t> </w:t>
                            </w:r>
                            <w:r>
                              <w:rPr>
                                <w:rFonts w:ascii="Verdana" w:hAnsi="Verdana"/>
                                <w:spacing w:val="-2"/>
                                <w:sz w:val="18"/>
                              </w:rPr>
                              <w:t>of</w:t>
                            </w:r>
                            <w:r>
                              <w:rPr>
                                <w:rFonts w:ascii="Verdana" w:hAnsi="Verdana"/>
                                <w:spacing w:val="15"/>
                                <w:sz w:val="18"/>
                              </w:rPr>
                              <w:t> </w:t>
                            </w:r>
                            <w:r>
                              <w:rPr>
                                <w:rFonts w:ascii="Verdana" w:hAnsi="Verdana"/>
                                <w:spacing w:val="-2"/>
                                <w:sz w:val="18"/>
                              </w:rPr>
                              <w:t>Women:</w:t>
                            </w:r>
                            <w:r>
                              <w:rPr>
                                <w:rFonts w:ascii="Verdana" w:hAnsi="Verdana"/>
                                <w:spacing w:val="15"/>
                                <w:sz w:val="18"/>
                              </w:rPr>
                              <w:t> </w:t>
                            </w:r>
                            <w:r>
                              <w:rPr>
                                <w:rFonts w:ascii="Verdana" w:hAnsi="Verdana"/>
                                <w:spacing w:val="-2"/>
                                <w:sz w:val="18"/>
                              </w:rPr>
                              <w:t>Power...</w:t>
                            </w:r>
                            <w:r>
                              <w:rPr>
                                <w:sz w:val="18"/>
                              </w:rPr>
                              <w:tab/>
                            </w:r>
                            <w:r>
                              <w:rPr>
                                <w:rFonts w:ascii="Verdana" w:hAnsi="Verdana"/>
                                <w:spacing w:val="-5"/>
                                <w:sz w:val="18"/>
                              </w:rPr>
                              <w:t>317</w:t>
                            </w:r>
                          </w:p>
                        </w:txbxContent>
                      </wps:txbx>
                      <wps:bodyPr wrap="square" lIns="0" tIns="0" rIns="0" bIns="0" rtlCol="0">
                        <a:noAutofit/>
                      </wps:bodyPr>
                    </wps:wsp>
                  </a:graphicData>
                </a:graphic>
              </wp:anchor>
            </w:drawing>
          </mc:Choice>
          <mc:Fallback>
            <w:pict>
              <v:shape style="position:absolute;margin-left:162pt;margin-top:140.844391pt;width:287.7pt;height:11.05pt;mso-position-horizontal-relative:page;mso-position-vertical-relative:page;z-index:-20326400" type="#_x0000_t202" id="docshape642" filled="false" stroked="false">
                <v:textbox inset="0,0,0,0">
                  <w:txbxContent>
                    <w:p>
                      <w:pPr>
                        <w:tabs>
                          <w:tab w:pos="5753" w:val="right" w:leader="none"/>
                        </w:tabs>
                        <w:spacing w:line="219" w:lineRule="exact" w:before="0"/>
                        <w:ind w:left="0" w:right="0" w:firstLine="0"/>
                        <w:jc w:val="left"/>
                        <w:rPr>
                          <w:rFonts w:ascii="Verdana" w:hAnsi="Verdana"/>
                          <w:sz w:val="18"/>
                        </w:rPr>
                      </w:pPr>
                      <w:r>
                        <w:rPr>
                          <w:rFonts w:ascii="Verdana" w:hAnsi="Verdana"/>
                          <w:spacing w:val="-2"/>
                          <w:sz w:val="18"/>
                        </w:rPr>
                        <w:t>Shakespeare’s</w:t>
                      </w:r>
                      <w:r>
                        <w:rPr>
                          <w:rFonts w:ascii="Verdana" w:hAnsi="Verdana"/>
                          <w:spacing w:val="12"/>
                          <w:sz w:val="18"/>
                        </w:rPr>
                        <w:t> </w:t>
                      </w:r>
                      <w:r>
                        <w:rPr>
                          <w:rFonts w:ascii="Verdana" w:hAnsi="Verdana"/>
                          <w:spacing w:val="-2"/>
                          <w:sz w:val="18"/>
                        </w:rPr>
                        <w:t>Representation</w:t>
                      </w:r>
                      <w:r>
                        <w:rPr>
                          <w:rFonts w:ascii="Verdana" w:hAnsi="Verdana"/>
                          <w:spacing w:val="16"/>
                          <w:sz w:val="18"/>
                        </w:rPr>
                        <w:t> </w:t>
                      </w:r>
                      <w:r>
                        <w:rPr>
                          <w:rFonts w:ascii="Verdana" w:hAnsi="Verdana"/>
                          <w:spacing w:val="-2"/>
                          <w:sz w:val="18"/>
                        </w:rPr>
                        <w:t>of</w:t>
                      </w:r>
                      <w:r>
                        <w:rPr>
                          <w:rFonts w:ascii="Verdana" w:hAnsi="Verdana"/>
                          <w:spacing w:val="15"/>
                          <w:sz w:val="18"/>
                        </w:rPr>
                        <w:t> </w:t>
                      </w:r>
                      <w:r>
                        <w:rPr>
                          <w:rFonts w:ascii="Verdana" w:hAnsi="Verdana"/>
                          <w:spacing w:val="-2"/>
                          <w:sz w:val="18"/>
                        </w:rPr>
                        <w:t>Women:</w:t>
                      </w:r>
                      <w:r>
                        <w:rPr>
                          <w:rFonts w:ascii="Verdana" w:hAnsi="Verdana"/>
                          <w:spacing w:val="15"/>
                          <w:sz w:val="18"/>
                        </w:rPr>
                        <w:t> </w:t>
                      </w:r>
                      <w:r>
                        <w:rPr>
                          <w:rFonts w:ascii="Verdana" w:hAnsi="Verdana"/>
                          <w:spacing w:val="-2"/>
                          <w:sz w:val="18"/>
                        </w:rPr>
                        <w:t>Power...</w:t>
                      </w:r>
                      <w:r>
                        <w:rPr>
                          <w:sz w:val="18"/>
                        </w:rPr>
                        <w:tab/>
                      </w:r>
                      <w:r>
                        <w:rPr>
                          <w:rFonts w:ascii="Verdana" w:hAnsi="Verdana"/>
                          <w:spacing w:val="-5"/>
                          <w:sz w:val="18"/>
                        </w:rPr>
                        <w:t>317</w:t>
                      </w:r>
                    </w:p>
                  </w:txbxContent>
                </v:textbox>
                <w10:wrap type="none"/>
              </v:shape>
            </w:pict>
          </mc:Fallback>
        </mc:AlternateContent>
      </w:r>
    </w:p>
    <w:p>
      <w:pPr>
        <w:pStyle w:val="BodyText"/>
        <w:spacing w:before="216"/>
        <w:ind w:left="0"/>
      </w:pPr>
    </w:p>
    <w:p>
      <w:pPr>
        <w:spacing w:line="240" w:lineRule="auto"/>
        <w:ind w:left="1147" w:right="0" w:firstLine="0"/>
        <w:rPr>
          <w:sz w:val="20"/>
        </w:rPr>
      </w:pPr>
      <w:r>
        <w:rPr>
          <w:sz w:val="20"/>
        </w:rPr>
        <mc:AlternateContent>
          <mc:Choice Requires="wps">
            <w:drawing>
              <wp:inline distT="0" distB="0" distL="0" distR="0">
                <wp:extent cx="4044950" cy="699770"/>
                <wp:effectExtent l="0" t="0" r="0" b="0"/>
                <wp:docPr id="651" name="Group 651"/>
                <wp:cNvGraphicFramePr>
                  <a:graphicFrameLocks/>
                </wp:cNvGraphicFramePr>
                <a:graphic>
                  <a:graphicData uri="http://schemas.microsoft.com/office/word/2010/wordprocessingGroup">
                    <wpg:wgp>
                      <wpg:cNvPr id="651" name="Group 651"/>
                      <wpg:cNvGrpSpPr/>
                      <wpg:grpSpPr>
                        <a:xfrm>
                          <a:off x="0" y="0"/>
                          <a:ext cx="4044950" cy="699770"/>
                          <a:chExt cx="4044950" cy="699770"/>
                        </a:xfrm>
                      </wpg:grpSpPr>
                      <wps:wsp>
                        <wps:cNvPr id="652" name="Graphic 652"/>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643" coordorigin="0,0" coordsize="6370,1102">
                <v:rect style="position:absolute;left:0;top:0;width:6370;height:1102" id="docshape644"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25920">
                <wp:simplePos x="0" y="0"/>
                <wp:positionH relativeFrom="page">
                  <wp:posOffset>3540252</wp:posOffset>
                </wp:positionH>
                <wp:positionV relativeFrom="paragraph">
                  <wp:posOffset>272923</wp:posOffset>
                </wp:positionV>
                <wp:extent cx="728980" cy="655320"/>
                <wp:effectExtent l="0" t="0" r="0" b="0"/>
                <wp:wrapTopAndBottom/>
                <wp:docPr id="653" name="Group 653"/>
                <wp:cNvGraphicFramePr>
                  <a:graphicFrameLocks/>
                </wp:cNvGraphicFramePr>
                <a:graphic>
                  <a:graphicData uri="http://schemas.microsoft.com/office/word/2010/wordprocessingGroup">
                    <wpg:wgp>
                      <wpg:cNvPr id="653" name="Group 653"/>
                      <wpg:cNvGrpSpPr/>
                      <wpg:grpSpPr>
                        <a:xfrm>
                          <a:off x="0" y="0"/>
                          <a:ext cx="728980" cy="655320"/>
                          <a:chExt cx="728980" cy="655320"/>
                        </a:xfrm>
                      </wpg:grpSpPr>
                      <pic:pic>
                        <pic:nvPicPr>
                          <pic:cNvPr id="654" name="Image 654"/>
                          <pic:cNvPicPr/>
                        </pic:nvPicPr>
                        <pic:blipFill>
                          <a:blip r:embed="rId123" cstate="print"/>
                          <a:stretch>
                            <a:fillRect/>
                          </a:stretch>
                        </pic:blipFill>
                        <pic:spPr>
                          <a:xfrm>
                            <a:off x="0" y="0"/>
                            <a:ext cx="728471" cy="655320"/>
                          </a:xfrm>
                          <a:prstGeom prst="rect">
                            <a:avLst/>
                          </a:prstGeom>
                        </pic:spPr>
                      </pic:pic>
                      <wps:wsp>
                        <wps:cNvPr id="655" name="Textbox 655"/>
                        <wps:cNvSpPr txBox="1"/>
                        <wps:spPr>
                          <a:xfrm>
                            <a:off x="0" y="0"/>
                            <a:ext cx="728980" cy="655320"/>
                          </a:xfrm>
                          <a:prstGeom prst="rect">
                            <a:avLst/>
                          </a:prstGeom>
                        </wps:spPr>
                        <wps:txbx>
                          <w:txbxContent>
                            <w:p>
                              <w:pPr>
                                <w:spacing w:before="343"/>
                                <w:ind w:left="350" w:right="0" w:firstLine="0"/>
                                <w:jc w:val="left"/>
                                <w:rPr>
                                  <w:rFonts w:ascii="Tahoma"/>
                                  <w:b/>
                                  <w:sz w:val="36"/>
                                </w:rPr>
                              </w:pPr>
                              <w:r>
                                <w:rPr>
                                  <w:rFonts w:ascii="Tahoma"/>
                                  <w:b/>
                                  <w:spacing w:val="-5"/>
                                  <w:w w:val="95"/>
                                  <w:sz w:val="36"/>
                                </w:rPr>
                                <w:t>32</w:t>
                              </w:r>
                            </w:p>
                          </w:txbxContent>
                        </wps:txbx>
                        <wps:bodyPr wrap="square" lIns="0" tIns="0" rIns="0" bIns="0" rtlCol="0">
                          <a:noAutofit/>
                        </wps:bodyPr>
                      </wps:wsp>
                    </wpg:wgp>
                  </a:graphicData>
                </a:graphic>
              </wp:anchor>
            </w:drawing>
          </mc:Choice>
          <mc:Fallback>
            <w:pict>
              <v:group style="position:absolute;margin-left:278.760010pt;margin-top:21.490002pt;width:57.4pt;height:51.6pt;mso-position-horizontal-relative:page;mso-position-vertical-relative:paragraph;z-index:-15490560;mso-wrap-distance-left:0;mso-wrap-distance-right:0" id="docshapegroup645" coordorigin="5575,430" coordsize="1148,1032">
                <v:shape style="position:absolute;left:5575;top:429;width:1148;height:1032" type="#_x0000_t75" id="docshape646" stroked="false">
                  <v:imagedata r:id="rId123" o:title=""/>
                </v:shape>
                <v:shape style="position:absolute;left:5575;top:429;width:1148;height:1032" type="#_x0000_t202" id="docshape647" filled="false" stroked="false">
                  <v:textbox inset="0,0,0,0">
                    <w:txbxContent>
                      <w:p>
                        <w:pPr>
                          <w:spacing w:before="343"/>
                          <w:ind w:left="350" w:right="0" w:firstLine="0"/>
                          <w:jc w:val="left"/>
                          <w:rPr>
                            <w:rFonts w:ascii="Tahoma"/>
                            <w:b/>
                            <w:sz w:val="36"/>
                          </w:rPr>
                        </w:pPr>
                        <w:r>
                          <w:rPr>
                            <w:rFonts w:ascii="Tahoma"/>
                            <w:b/>
                            <w:spacing w:val="-5"/>
                            <w:w w:val="95"/>
                            <w:sz w:val="36"/>
                          </w:rPr>
                          <w:t>32</w:t>
                        </w:r>
                      </w:p>
                    </w:txbxContent>
                  </v:textbox>
                  <w10:wrap type="none"/>
                </v:shape>
                <w10:wrap type="topAndBottom"/>
              </v:group>
            </w:pict>
          </mc:Fallback>
        </mc:AlternateContent>
      </w:r>
    </w:p>
    <w:p>
      <w:pPr>
        <w:pStyle w:val="Heading1"/>
        <w:spacing w:line="211" w:lineRule="auto"/>
        <w:ind w:left="1800" w:right="1804"/>
      </w:pPr>
      <w:r>
        <w:rPr>
          <w:spacing w:val="-8"/>
        </w:rPr>
        <w:t>Shakespeare’s</w:t>
      </w:r>
      <w:r>
        <w:rPr>
          <w:spacing w:val="-16"/>
        </w:rPr>
        <w:t> </w:t>
      </w:r>
      <w:r>
        <w:rPr>
          <w:spacing w:val="-8"/>
        </w:rPr>
        <w:t>Representation</w:t>
      </w:r>
      <w:r>
        <w:rPr>
          <w:spacing w:val="-15"/>
        </w:rPr>
        <w:t> </w:t>
      </w:r>
      <w:r>
        <w:rPr>
          <w:spacing w:val="-8"/>
        </w:rPr>
        <w:t>of </w:t>
      </w:r>
      <w:r>
        <w:rPr>
          <w:spacing w:val="-2"/>
        </w:rPr>
        <w:t>Women:</w:t>
      </w:r>
      <w:r>
        <w:rPr>
          <w:spacing w:val="-20"/>
        </w:rPr>
        <w:t> </w:t>
      </w:r>
      <w:r>
        <w:rPr>
          <w:spacing w:val="-2"/>
        </w:rPr>
        <w:t>Power,</w:t>
      </w:r>
      <w:r>
        <w:rPr>
          <w:spacing w:val="-18"/>
        </w:rPr>
        <w:t> </w:t>
      </w:r>
      <w:r>
        <w:rPr>
          <w:spacing w:val="-2"/>
        </w:rPr>
        <w:t>Witchcraft,</w:t>
      </w:r>
      <w:r>
        <w:rPr>
          <w:spacing w:val="-19"/>
        </w:rPr>
        <w:t> </w:t>
      </w:r>
      <w:r>
        <w:rPr>
          <w:spacing w:val="-2"/>
        </w:rPr>
        <w:t>and</w:t>
      </w:r>
    </w:p>
    <w:p>
      <w:pPr>
        <w:tabs>
          <w:tab w:pos="892" w:val="left" w:leader="none"/>
          <w:tab w:pos="5759" w:val="left" w:leader="none"/>
        </w:tabs>
        <w:spacing w:line="347" w:lineRule="exact" w:before="0"/>
        <w:ind w:left="0" w:right="0" w:firstLine="0"/>
        <w:jc w:val="center"/>
        <w:rPr>
          <w:rFonts w:ascii="Tahoma" w:hAnsi="Tahoma"/>
          <w:b/>
          <w:sz w:val="32"/>
        </w:rPr>
      </w:pPr>
      <w:r>
        <w:rPr>
          <w:sz w:val="32"/>
          <w:u w:val="single"/>
        </w:rPr>
        <w:tab/>
      </w:r>
      <w:r>
        <w:rPr>
          <w:rFonts w:ascii="Tahoma" w:hAnsi="Tahoma"/>
          <w:b/>
          <w:spacing w:val="-10"/>
          <w:sz w:val="32"/>
          <w:u w:val="single"/>
        </w:rPr>
        <w:t>Domesticity</w:t>
      </w:r>
      <w:r>
        <w:rPr>
          <w:rFonts w:ascii="Tahoma" w:hAnsi="Tahoma"/>
          <w:b/>
          <w:spacing w:val="-12"/>
          <w:sz w:val="32"/>
          <w:u w:val="single"/>
        </w:rPr>
        <w:t> </w:t>
      </w:r>
      <w:r>
        <w:rPr>
          <w:rFonts w:ascii="Tahoma" w:hAnsi="Tahoma"/>
          <w:b/>
          <w:spacing w:val="-10"/>
          <w:sz w:val="32"/>
          <w:u w:val="single"/>
        </w:rPr>
        <w:t>in</w:t>
      </w:r>
      <w:r>
        <w:rPr>
          <w:rFonts w:ascii="Tahoma" w:hAnsi="Tahoma"/>
          <w:b/>
          <w:spacing w:val="-12"/>
          <w:sz w:val="32"/>
          <w:u w:val="single"/>
        </w:rPr>
        <w:t> </w:t>
      </w:r>
      <w:r>
        <w:rPr>
          <w:rFonts w:ascii="Tahoma" w:hAnsi="Tahoma"/>
          <w:b/>
          <w:spacing w:val="-10"/>
          <w:sz w:val="32"/>
          <w:u w:val="single"/>
        </w:rPr>
        <w:t>“Macbeth”</w:t>
      </w:r>
      <w:r>
        <w:rPr>
          <w:rFonts w:ascii="Tahoma" w:hAnsi="Tahoma"/>
          <w:b/>
          <w:sz w:val="32"/>
          <w:u w:val="single"/>
        </w:rPr>
        <w:tab/>
      </w:r>
    </w:p>
    <w:p>
      <w:pPr>
        <w:pStyle w:val="BodyText"/>
        <w:spacing w:before="9"/>
        <w:ind w:left="0"/>
        <w:rPr>
          <w:rFonts w:ascii="Tahoma"/>
          <w:b/>
          <w:sz w:val="5"/>
        </w:rPr>
      </w:pPr>
      <w:r>
        <w:rPr>
          <w:rFonts w:ascii="Tahoma"/>
          <w:b/>
          <w:sz w:val="5"/>
        </w:rPr>
        <mc:AlternateContent>
          <mc:Choice Requires="wps">
            <w:drawing>
              <wp:anchor distT="0" distB="0" distL="0" distR="0" allowOverlap="1" layoutInCell="1" locked="0" behindDoc="1" simplePos="0" relativeHeight="487826432">
                <wp:simplePos x="0" y="0"/>
                <wp:positionH relativeFrom="page">
                  <wp:posOffset>2057400</wp:posOffset>
                </wp:positionH>
                <wp:positionV relativeFrom="paragraph">
                  <wp:posOffset>59543</wp:posOffset>
                </wp:positionV>
                <wp:extent cx="3657600" cy="7620"/>
                <wp:effectExtent l="0" t="0" r="0" b="0"/>
                <wp:wrapTopAndBottom/>
                <wp:docPr id="656" name="Graphic 656"/>
                <wp:cNvGraphicFramePr>
                  <a:graphicFrameLocks/>
                </wp:cNvGraphicFramePr>
                <a:graphic>
                  <a:graphicData uri="http://schemas.microsoft.com/office/word/2010/wordprocessingShape">
                    <wps:wsp>
                      <wps:cNvPr id="656" name="Graphic 656"/>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688442pt;width:288.000009pt;height:.600014pt;mso-position-horizontal-relative:page;mso-position-vertical-relative:paragraph;z-index:-15490048;mso-wrap-distance-left:0;mso-wrap-distance-right:0" id="docshape648"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3900"/>
        <w:rPr>
          <w:rFonts w:ascii="Times New Roman"/>
        </w:rPr>
      </w:pPr>
      <w:r>
        <w:rPr>
          <w:rFonts w:ascii="Times New Roman"/>
        </w:rPr>
        <w:t>Dr.</w:t>
      </w:r>
      <w:r>
        <w:rPr>
          <w:rFonts w:ascii="Times New Roman"/>
          <w:spacing w:val="55"/>
        </w:rPr>
        <w:t> </w:t>
      </w:r>
      <w:r>
        <w:rPr>
          <w:rFonts w:ascii="Times New Roman"/>
        </w:rPr>
        <w:t>Kobaku</w:t>
      </w:r>
      <w:r>
        <w:rPr>
          <w:rFonts w:ascii="Times New Roman"/>
          <w:spacing w:val="55"/>
        </w:rPr>
        <w:t> </w:t>
      </w:r>
      <w:r>
        <w:rPr>
          <w:rFonts w:ascii="Times New Roman"/>
        </w:rPr>
        <w:t>Rama</w:t>
      </w:r>
      <w:r>
        <w:rPr>
          <w:rFonts w:ascii="Times New Roman"/>
          <w:spacing w:val="55"/>
        </w:rPr>
        <w:t> </w:t>
      </w:r>
      <w:r>
        <w:rPr>
          <w:rFonts w:ascii="Times New Roman"/>
        </w:rPr>
        <w:t>Krishna</w:t>
      </w:r>
      <w:r>
        <w:rPr>
          <w:rFonts w:ascii="Times New Roman"/>
          <w:spacing w:val="55"/>
        </w:rPr>
        <w:t> </w:t>
      </w:r>
      <w:r>
        <w:rPr>
          <w:rFonts w:ascii="Times New Roman"/>
          <w:spacing w:val="-4"/>
        </w:rPr>
        <w:t>Reddy</w:t>
      </w:r>
    </w:p>
    <w:p>
      <w:pPr>
        <w:spacing w:before="15"/>
        <w:ind w:left="0" w:right="1438" w:firstLine="0"/>
        <w:jc w:val="right"/>
        <w:rPr>
          <w:i/>
          <w:sz w:val="19"/>
        </w:rPr>
      </w:pPr>
      <w:r>
        <w:rPr>
          <w:i/>
          <w:sz w:val="19"/>
        </w:rPr>
        <w:t>Guest</w:t>
      </w:r>
      <w:r>
        <w:rPr>
          <w:i/>
          <w:spacing w:val="44"/>
          <w:sz w:val="19"/>
        </w:rPr>
        <w:t> </w:t>
      </w:r>
      <w:r>
        <w:rPr>
          <w:i/>
          <w:sz w:val="19"/>
        </w:rPr>
        <w:t>Faculty,</w:t>
      </w:r>
      <w:r>
        <w:rPr>
          <w:i/>
          <w:spacing w:val="44"/>
          <w:sz w:val="19"/>
        </w:rPr>
        <w:t> </w:t>
      </w:r>
      <w:r>
        <w:rPr>
          <w:i/>
          <w:sz w:val="19"/>
        </w:rPr>
        <w:t>Department</w:t>
      </w:r>
      <w:r>
        <w:rPr>
          <w:i/>
          <w:spacing w:val="43"/>
          <w:sz w:val="19"/>
        </w:rPr>
        <w:t> </w:t>
      </w:r>
      <w:r>
        <w:rPr>
          <w:i/>
          <w:sz w:val="19"/>
        </w:rPr>
        <w:t>of</w:t>
      </w:r>
      <w:r>
        <w:rPr>
          <w:i/>
          <w:spacing w:val="42"/>
          <w:sz w:val="19"/>
        </w:rPr>
        <w:t> </w:t>
      </w:r>
      <w:r>
        <w:rPr>
          <w:i/>
          <w:sz w:val="19"/>
        </w:rPr>
        <w:t>English,</w:t>
      </w:r>
      <w:r>
        <w:rPr>
          <w:i/>
          <w:spacing w:val="45"/>
          <w:sz w:val="19"/>
        </w:rPr>
        <w:t> </w:t>
      </w:r>
      <w:r>
        <w:rPr>
          <w:i/>
          <w:sz w:val="19"/>
        </w:rPr>
        <w:t>S.V.</w:t>
      </w:r>
      <w:r>
        <w:rPr>
          <w:i/>
          <w:spacing w:val="42"/>
          <w:sz w:val="19"/>
        </w:rPr>
        <w:t> </w:t>
      </w:r>
      <w:r>
        <w:rPr>
          <w:i/>
          <w:sz w:val="19"/>
        </w:rPr>
        <w:t>ARTS</w:t>
      </w:r>
      <w:r>
        <w:rPr>
          <w:i/>
          <w:spacing w:val="47"/>
          <w:sz w:val="19"/>
        </w:rPr>
        <w:t> </w:t>
      </w:r>
      <w:r>
        <w:rPr>
          <w:i/>
          <w:spacing w:val="-2"/>
          <w:sz w:val="19"/>
        </w:rPr>
        <w:t>COLLEGE,</w:t>
      </w:r>
    </w:p>
    <w:p>
      <w:pPr>
        <w:spacing w:before="10"/>
        <w:ind w:left="0" w:right="1439" w:firstLine="0"/>
        <w:jc w:val="right"/>
        <w:rPr>
          <w:i/>
          <w:sz w:val="19"/>
        </w:rPr>
      </w:pPr>
      <w:r>
        <w:rPr>
          <w:i/>
          <w:spacing w:val="-2"/>
          <w:sz w:val="19"/>
        </w:rPr>
        <w:t>TIRUPATI-517502</w:t>
      </w:r>
    </w:p>
    <w:p>
      <w:pPr>
        <w:pStyle w:val="BodyText"/>
        <w:spacing w:before="160"/>
        <w:ind w:left="0"/>
        <w:rPr>
          <w:i/>
          <w:sz w:val="19"/>
        </w:rPr>
      </w:pPr>
    </w:p>
    <w:p>
      <w:pPr>
        <w:pStyle w:val="Heading3"/>
        <w:spacing w:before="1"/>
      </w:pPr>
      <w:r>
        <w:rPr>
          <w:spacing w:val="-2"/>
        </w:rPr>
        <w:t>ABSTRACT</w:t>
      </w:r>
    </w:p>
    <w:p>
      <w:pPr>
        <w:pStyle w:val="BodyText"/>
        <w:spacing w:line="249" w:lineRule="auto" w:before="75"/>
        <w:ind w:right="1436" w:firstLine="432"/>
        <w:jc w:val="both"/>
      </w:pPr>
      <w:r>
        <w:rPr/>
        <w:t>This paper examines Shakespeare’s representation of women in Macbeth to assess how the play both reflects and interrogates Jacobean gender ideology. Focusing on the three principal female figures—Lady Macbeth, the Weird Sisters, and Lady Macduff—it argues that Shakespeare constructs women not as passive symbols but as structural agents of</w:t>
      </w:r>
      <w:r>
        <w:rPr>
          <w:spacing w:val="-2"/>
        </w:rPr>
        <w:t> </w:t>
      </w:r>
      <w:r>
        <w:rPr/>
        <w:t>the tragedy. Each woman</w:t>
      </w:r>
      <w:r>
        <w:rPr>
          <w:spacing w:val="-2"/>
        </w:rPr>
        <w:t> </w:t>
      </w:r>
      <w:r>
        <w:rPr/>
        <w:t>embodies a distinct mode of female presence: Lady Macbeth appropriates masculine ambition and rhetoric to initiate regicide; the Witches perform androgynous, supernatural authority</w:t>
      </w:r>
      <w:r>
        <w:rPr>
          <w:spacing w:val="-10"/>
        </w:rPr>
        <w:t> </w:t>
      </w:r>
      <w:r>
        <w:rPr/>
        <w:t>that</w:t>
      </w:r>
      <w:r>
        <w:rPr>
          <w:spacing w:val="-5"/>
        </w:rPr>
        <w:t> </w:t>
      </w:r>
      <w:r>
        <w:rPr/>
        <w:t>destabilizes</w:t>
      </w:r>
      <w:r>
        <w:rPr>
          <w:spacing w:val="-7"/>
        </w:rPr>
        <w:t> </w:t>
      </w:r>
      <w:r>
        <w:rPr/>
        <w:t>natural</w:t>
      </w:r>
      <w:r>
        <w:rPr>
          <w:spacing w:val="-5"/>
        </w:rPr>
        <w:t> </w:t>
      </w:r>
      <w:r>
        <w:rPr/>
        <w:t>and</w:t>
      </w:r>
      <w:r>
        <w:rPr>
          <w:spacing w:val="-3"/>
        </w:rPr>
        <w:t> </w:t>
      </w:r>
      <w:r>
        <w:rPr/>
        <w:t>political</w:t>
      </w:r>
      <w:r>
        <w:rPr>
          <w:spacing w:val="-4"/>
        </w:rPr>
        <w:t> </w:t>
      </w:r>
      <w:r>
        <w:rPr/>
        <w:t>order;</w:t>
      </w:r>
      <w:r>
        <w:rPr>
          <w:spacing w:val="-6"/>
        </w:rPr>
        <w:t> </w:t>
      </w:r>
      <w:r>
        <w:rPr/>
        <w:t>and</w:t>
      </w:r>
      <w:r>
        <w:rPr>
          <w:spacing w:val="-1"/>
        </w:rPr>
        <w:t> </w:t>
      </w:r>
      <w:r>
        <w:rPr/>
        <w:t>Lady</w:t>
      </w:r>
      <w:r>
        <w:rPr>
          <w:spacing w:val="-9"/>
        </w:rPr>
        <w:t> </w:t>
      </w:r>
      <w:r>
        <w:rPr/>
        <w:t>Macduff represents domestic virtue whose destruction exposes the human cost</w:t>
      </w:r>
      <w:r>
        <w:rPr>
          <w:spacing w:val="80"/>
        </w:rPr>
        <w:t> </w:t>
      </w:r>
      <w:r>
        <w:rPr/>
        <w:t>of tyranny. Using close textual analysis framed by feminist and new historicist criticism, the study demonstrates that Shakespeare’s women catalyze</w:t>
      </w:r>
      <w:r>
        <w:rPr>
          <w:spacing w:val="-13"/>
        </w:rPr>
        <w:t> </w:t>
      </w:r>
      <w:r>
        <w:rPr/>
        <w:t>the</w:t>
      </w:r>
      <w:r>
        <w:rPr>
          <w:spacing w:val="-12"/>
        </w:rPr>
        <w:t> </w:t>
      </w:r>
      <w:r>
        <w:rPr/>
        <w:t>play’s</w:t>
      </w:r>
      <w:r>
        <w:rPr>
          <w:spacing w:val="-13"/>
        </w:rPr>
        <w:t> </w:t>
      </w:r>
      <w:r>
        <w:rPr/>
        <w:t>movement</w:t>
      </w:r>
      <w:r>
        <w:rPr>
          <w:spacing w:val="-12"/>
        </w:rPr>
        <w:t> </w:t>
      </w:r>
      <w:r>
        <w:rPr/>
        <w:t>from</w:t>
      </w:r>
      <w:r>
        <w:rPr>
          <w:spacing w:val="-12"/>
        </w:rPr>
        <w:t> </w:t>
      </w:r>
      <w:r>
        <w:rPr/>
        <w:t>order</w:t>
      </w:r>
      <w:r>
        <w:rPr>
          <w:spacing w:val="-13"/>
        </w:rPr>
        <w:t> </w:t>
      </w:r>
      <w:r>
        <w:rPr/>
        <w:t>to</w:t>
      </w:r>
      <w:r>
        <w:rPr>
          <w:spacing w:val="-9"/>
        </w:rPr>
        <w:t> </w:t>
      </w:r>
      <w:r>
        <w:rPr/>
        <w:t>chaos</w:t>
      </w:r>
      <w:r>
        <w:rPr>
          <w:spacing w:val="-11"/>
        </w:rPr>
        <w:t> </w:t>
      </w:r>
      <w:r>
        <w:rPr/>
        <w:t>and</w:t>
      </w:r>
      <w:r>
        <w:rPr>
          <w:spacing w:val="-9"/>
        </w:rPr>
        <w:t> </w:t>
      </w:r>
      <w:r>
        <w:rPr/>
        <w:t>back</w:t>
      </w:r>
      <w:r>
        <w:rPr>
          <w:spacing w:val="-13"/>
        </w:rPr>
        <w:t> </w:t>
      </w:r>
      <w:r>
        <w:rPr/>
        <w:t>to</w:t>
      </w:r>
      <w:r>
        <w:rPr>
          <w:spacing w:val="-11"/>
        </w:rPr>
        <w:t> </w:t>
      </w:r>
      <w:r>
        <w:rPr/>
        <w:t>a</w:t>
      </w:r>
      <w:r>
        <w:rPr>
          <w:spacing w:val="-10"/>
        </w:rPr>
        <w:t> </w:t>
      </w:r>
      <w:r>
        <w:rPr/>
        <w:t>restored, male-led order. The paper concludes that while Macbeth ultimately reinstates patriarchal rule, it does so only after foregrounding cultural anxieties</w:t>
      </w:r>
      <w:r>
        <w:rPr>
          <w:spacing w:val="-4"/>
        </w:rPr>
        <w:t> </w:t>
      </w:r>
      <w:r>
        <w:rPr/>
        <w:t>about</w:t>
      </w:r>
      <w:r>
        <w:rPr>
          <w:spacing w:val="-1"/>
        </w:rPr>
        <w:t> </w:t>
      </w:r>
      <w:r>
        <w:rPr/>
        <w:t>female</w:t>
      </w:r>
      <w:r>
        <w:rPr>
          <w:spacing w:val="-3"/>
        </w:rPr>
        <w:t> </w:t>
      </w:r>
      <w:r>
        <w:rPr/>
        <w:t>speech,</w:t>
      </w:r>
      <w:r>
        <w:rPr>
          <w:spacing w:val="-2"/>
        </w:rPr>
        <w:t> </w:t>
      </w:r>
      <w:r>
        <w:rPr/>
        <w:t>agency,</w:t>
      </w:r>
      <w:r>
        <w:rPr>
          <w:spacing w:val="-1"/>
        </w:rPr>
        <w:t> </w:t>
      </w:r>
      <w:r>
        <w:rPr/>
        <w:t>and</w:t>
      </w:r>
      <w:r>
        <w:rPr>
          <w:spacing w:val="-2"/>
        </w:rPr>
        <w:t> </w:t>
      </w:r>
      <w:r>
        <w:rPr/>
        <w:t>power.</w:t>
      </w:r>
      <w:r>
        <w:rPr>
          <w:spacing w:val="-4"/>
        </w:rPr>
        <w:t> </w:t>
      </w:r>
      <w:r>
        <w:rPr/>
        <w:t>Thus,</w:t>
      </w:r>
      <w:r>
        <w:rPr>
          <w:spacing w:val="-4"/>
        </w:rPr>
        <w:t> </w:t>
      </w:r>
      <w:r>
        <w:rPr/>
        <w:t>Shakespeare’s representation is neither simply misogynist nor proto-feminist but a </w:t>
      </w:r>
      <w:r>
        <w:rPr>
          <w:spacing w:val="-2"/>
        </w:rPr>
        <w:t>complex</w:t>
      </w:r>
      <w:r>
        <w:rPr>
          <w:spacing w:val="-8"/>
        </w:rPr>
        <w:t> </w:t>
      </w:r>
      <w:r>
        <w:rPr>
          <w:spacing w:val="-2"/>
        </w:rPr>
        <w:t>dramatization</w:t>
      </w:r>
      <w:r>
        <w:rPr>
          <w:spacing w:val="-10"/>
        </w:rPr>
        <w:t> </w:t>
      </w:r>
      <w:r>
        <w:rPr>
          <w:spacing w:val="-2"/>
        </w:rPr>
        <w:t>of</w:t>
      </w:r>
      <w:r>
        <w:rPr>
          <w:spacing w:val="-12"/>
        </w:rPr>
        <w:t> </w:t>
      </w:r>
      <w:r>
        <w:rPr>
          <w:spacing w:val="-2"/>
        </w:rPr>
        <w:t>gender</w:t>
      </w:r>
      <w:r>
        <w:rPr>
          <w:spacing w:val="-8"/>
        </w:rPr>
        <w:t> </w:t>
      </w:r>
      <w:r>
        <w:rPr>
          <w:spacing w:val="-2"/>
        </w:rPr>
        <w:t>as</w:t>
      </w:r>
      <w:r>
        <w:rPr>
          <w:spacing w:val="-7"/>
        </w:rPr>
        <w:t> </w:t>
      </w:r>
      <w:r>
        <w:rPr>
          <w:spacing w:val="-2"/>
        </w:rPr>
        <w:t>performance</w:t>
      </w:r>
      <w:r>
        <w:rPr>
          <w:spacing w:val="-10"/>
        </w:rPr>
        <w:t> </w:t>
      </w:r>
      <w:r>
        <w:rPr>
          <w:spacing w:val="-2"/>
        </w:rPr>
        <w:t>under</w:t>
      </w:r>
      <w:r>
        <w:rPr>
          <w:spacing w:val="-8"/>
        </w:rPr>
        <w:t> </w:t>
      </w:r>
      <w:r>
        <w:rPr>
          <w:spacing w:val="-2"/>
        </w:rPr>
        <w:t>political</w:t>
      </w:r>
      <w:r>
        <w:rPr>
          <w:spacing w:val="-7"/>
        </w:rPr>
        <w:t> </w:t>
      </w:r>
      <w:r>
        <w:rPr>
          <w:spacing w:val="-2"/>
        </w:rPr>
        <w:t>pressure.</w:t>
      </w:r>
    </w:p>
    <w:p>
      <w:pPr>
        <w:pStyle w:val="BodyText"/>
        <w:spacing w:line="249" w:lineRule="auto" w:before="72"/>
        <w:ind w:right="1442" w:firstLine="432"/>
        <w:jc w:val="both"/>
      </w:pPr>
      <w:r>
        <w:rPr>
          <w:b/>
        </w:rPr>
        <w:t>Keywords:</w:t>
      </w:r>
      <w:r>
        <w:rPr>
          <w:b/>
          <w:spacing w:val="-11"/>
        </w:rPr>
        <w:t> </w:t>
      </w:r>
      <w:r>
        <w:rPr/>
        <w:t>Shakespeare;</w:t>
      </w:r>
      <w:r>
        <w:rPr>
          <w:spacing w:val="-12"/>
        </w:rPr>
        <w:t> </w:t>
      </w:r>
      <w:r>
        <w:rPr/>
        <w:t>Macbeth;</w:t>
      </w:r>
      <w:r>
        <w:rPr>
          <w:spacing w:val="-10"/>
        </w:rPr>
        <w:t> </w:t>
      </w:r>
      <w:r>
        <w:rPr/>
        <w:t>Gender;</w:t>
      </w:r>
      <w:r>
        <w:rPr>
          <w:spacing w:val="-12"/>
        </w:rPr>
        <w:t> </w:t>
      </w:r>
      <w:r>
        <w:rPr/>
        <w:t>Lady</w:t>
      </w:r>
      <w:r>
        <w:rPr>
          <w:spacing w:val="-13"/>
        </w:rPr>
        <w:t> </w:t>
      </w:r>
      <w:r>
        <w:rPr/>
        <w:t>Macbeth;</w:t>
      </w:r>
      <w:r>
        <w:rPr>
          <w:spacing w:val="-12"/>
        </w:rPr>
        <w:t> </w:t>
      </w:r>
      <w:r>
        <w:rPr/>
        <w:t>Weird Sisters; Jacobean Drama; Feminist Criticism; Witchcraft.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27456">
                <wp:simplePos x="0" y="0"/>
                <wp:positionH relativeFrom="page">
                  <wp:posOffset>2057400</wp:posOffset>
                </wp:positionH>
                <wp:positionV relativeFrom="paragraph">
                  <wp:posOffset>162604</wp:posOffset>
                </wp:positionV>
                <wp:extent cx="3657600" cy="12700"/>
                <wp:effectExtent l="0" t="0" r="0" b="0"/>
                <wp:wrapTopAndBottom/>
                <wp:docPr id="657" name="Graphic 657"/>
                <wp:cNvGraphicFramePr>
                  <a:graphicFrameLocks/>
                </wp:cNvGraphicFramePr>
                <a:graphic>
                  <a:graphicData uri="http://schemas.microsoft.com/office/word/2010/wordprocessingShape">
                    <wps:wsp>
                      <wps:cNvPr id="657" name="Graphic 65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89024;mso-wrap-distance-left:0;mso-wrap-distance-right:0" id="docshape649" filled="true" fillcolor="#000000" stroked="false">
                <v:fill type="solid"/>
                <w10:wrap type="topAndBottom"/>
              </v:rect>
            </w:pict>
          </mc:Fallback>
        </mc:AlternateContent>
      </w:r>
      <w:r>
        <w:rPr>
          <w:rFonts w:ascii="Verdana"/>
          <w:spacing w:val="-5"/>
          <w:sz w:val="18"/>
        </w:rPr>
        <w:t>318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56" w:lineRule="auto" w:before="195"/>
        <w:ind w:right="1437" w:firstLine="432"/>
        <w:jc w:val="both"/>
      </w:pPr>
      <w:r>
        <w:rPr>
          <w:spacing w:val="-2"/>
        </w:rPr>
        <w:t>William</w:t>
      </w:r>
      <w:r>
        <w:rPr>
          <w:spacing w:val="-10"/>
        </w:rPr>
        <w:t> </w:t>
      </w:r>
      <w:r>
        <w:rPr>
          <w:spacing w:val="-2"/>
        </w:rPr>
        <w:t>Shakespeare</w:t>
      </w:r>
      <w:r>
        <w:rPr>
          <w:spacing w:val="-9"/>
        </w:rPr>
        <w:t> </w:t>
      </w:r>
      <w:r>
        <w:rPr>
          <w:spacing w:val="-2"/>
        </w:rPr>
        <w:t>(1564–1616)</w:t>
      </w:r>
      <w:r>
        <w:rPr>
          <w:spacing w:val="-6"/>
        </w:rPr>
        <w:t> </w:t>
      </w:r>
      <w:r>
        <w:rPr>
          <w:spacing w:val="-2"/>
        </w:rPr>
        <w:t>was</w:t>
      </w:r>
      <w:r>
        <w:rPr>
          <w:spacing w:val="-6"/>
        </w:rPr>
        <w:t> </w:t>
      </w:r>
      <w:r>
        <w:rPr>
          <w:spacing w:val="-2"/>
        </w:rPr>
        <w:t>an</w:t>
      </w:r>
      <w:r>
        <w:rPr>
          <w:spacing w:val="-6"/>
        </w:rPr>
        <w:t> </w:t>
      </w:r>
      <w:r>
        <w:rPr>
          <w:spacing w:val="-2"/>
        </w:rPr>
        <w:t>English</w:t>
      </w:r>
      <w:r>
        <w:rPr>
          <w:spacing w:val="-11"/>
        </w:rPr>
        <w:t> </w:t>
      </w:r>
      <w:r>
        <w:rPr>
          <w:spacing w:val="-2"/>
        </w:rPr>
        <w:t>playwright,</w:t>
      </w:r>
      <w:r>
        <w:rPr>
          <w:spacing w:val="-8"/>
        </w:rPr>
        <w:t> </w:t>
      </w:r>
      <w:r>
        <w:rPr>
          <w:spacing w:val="-2"/>
        </w:rPr>
        <w:t>poet, </w:t>
      </w:r>
      <w:r>
        <w:rPr/>
        <w:t>and actor, widely regarded as the greatest dramatist in history and England’s national poet, known as the “Bard of Avon.” He produced approximately 39 plays, 154 sonnets, and two long narrative poems, works that defined the Elizabethan and Jacobean ages through their </w:t>
      </w:r>
      <w:r>
        <w:rPr>
          <w:spacing w:val="-2"/>
        </w:rPr>
        <w:t>exploration of timeless themes. Characterized by</w:t>
      </w:r>
      <w:r>
        <w:rPr>
          <w:spacing w:val="-4"/>
        </w:rPr>
        <w:t> </w:t>
      </w:r>
      <w:r>
        <w:rPr>
          <w:spacing w:val="-2"/>
        </w:rPr>
        <w:t>profound psychological </w:t>
      </w:r>
      <w:r>
        <w:rPr/>
        <w:t>insight and unparalleled linguistic creativity, his writing continues to shape literature and theatre worldwide, influencing how we understand human emotion.</w:t>
      </w:r>
      <w:r>
        <w:rPr>
          <w:spacing w:val="40"/>
        </w:rPr>
        <w:t> </w:t>
      </w:r>
      <w:r>
        <w:rPr/>
        <w:t>Shakespeare was born and raised in Stratford-upon-</w:t>
      </w:r>
      <w:r>
        <w:rPr>
          <w:spacing w:val="-2"/>
        </w:rPr>
        <w:t>Avon,</w:t>
      </w:r>
      <w:r>
        <w:rPr>
          <w:spacing w:val="-11"/>
        </w:rPr>
        <w:t> </w:t>
      </w:r>
      <w:r>
        <w:rPr>
          <w:spacing w:val="-2"/>
        </w:rPr>
        <w:t>Warwickshire. Parish</w:t>
      </w:r>
      <w:r>
        <w:rPr>
          <w:spacing w:val="-5"/>
        </w:rPr>
        <w:t> </w:t>
      </w:r>
      <w:r>
        <w:rPr>
          <w:spacing w:val="-2"/>
        </w:rPr>
        <w:t>records</w:t>
      </w:r>
      <w:r>
        <w:rPr>
          <w:spacing w:val="-5"/>
        </w:rPr>
        <w:t> </w:t>
      </w:r>
      <w:r>
        <w:rPr>
          <w:spacing w:val="-2"/>
        </w:rPr>
        <w:t>indicate</w:t>
      </w:r>
      <w:r>
        <w:rPr>
          <w:spacing w:val="-4"/>
        </w:rPr>
        <w:t> </w:t>
      </w:r>
      <w:r>
        <w:rPr>
          <w:spacing w:val="-2"/>
        </w:rPr>
        <w:t>he was</w:t>
      </w:r>
      <w:r>
        <w:rPr>
          <w:spacing w:val="-5"/>
        </w:rPr>
        <w:t> </w:t>
      </w:r>
      <w:r>
        <w:rPr>
          <w:spacing w:val="-2"/>
        </w:rPr>
        <w:t>baptized</w:t>
      </w:r>
      <w:r>
        <w:rPr>
          <w:spacing w:val="-3"/>
        </w:rPr>
        <w:t> </w:t>
      </w:r>
      <w:r>
        <w:rPr>
          <w:spacing w:val="-2"/>
        </w:rPr>
        <w:t>on</w:t>
      </w:r>
      <w:r>
        <w:rPr>
          <w:spacing w:val="-3"/>
        </w:rPr>
        <w:t> </w:t>
      </w:r>
      <w:r>
        <w:rPr>
          <w:spacing w:val="-2"/>
        </w:rPr>
        <w:t>26</w:t>
      </w:r>
      <w:r>
        <w:rPr>
          <w:spacing w:val="-11"/>
        </w:rPr>
        <w:t> </w:t>
      </w:r>
      <w:r>
        <w:rPr>
          <w:spacing w:val="-2"/>
        </w:rPr>
        <w:t>April </w:t>
      </w:r>
      <w:r>
        <w:rPr/>
        <w:t>1564; tradition places his birth three days earlier, on 23</w:t>
      </w:r>
      <w:r>
        <w:rPr>
          <w:spacing w:val="-5"/>
        </w:rPr>
        <w:t> </w:t>
      </w:r>
      <w:r>
        <w:rPr/>
        <w:t>April, the same date as his death in 1616. His parents were John Shakespeare, a glover and alderman, and Mary</w:t>
      </w:r>
      <w:r>
        <w:rPr>
          <w:spacing w:val="-8"/>
        </w:rPr>
        <w:t> </w:t>
      </w:r>
      <w:r>
        <w:rPr/>
        <w:t>Arden, daughter of a landed family.</w:t>
      </w:r>
      <w:r>
        <w:rPr>
          <w:spacing w:val="-3"/>
        </w:rPr>
        <w:t> </w:t>
      </w:r>
      <w:r>
        <w:rPr/>
        <w:t>Although no school records survive, he was likely educated at the King’s New School in Stratford, where he would have received rigorous training in </w:t>
      </w:r>
      <w:r>
        <w:rPr>
          <w:spacing w:val="-2"/>
        </w:rPr>
        <w:t>Latin</w:t>
      </w:r>
      <w:r>
        <w:rPr>
          <w:spacing w:val="-5"/>
        </w:rPr>
        <w:t> </w:t>
      </w:r>
      <w:r>
        <w:rPr>
          <w:spacing w:val="-2"/>
        </w:rPr>
        <w:t>grammar,</w:t>
      </w:r>
      <w:r>
        <w:rPr>
          <w:spacing w:val="-3"/>
        </w:rPr>
        <w:t> </w:t>
      </w:r>
      <w:r>
        <w:rPr>
          <w:spacing w:val="-2"/>
        </w:rPr>
        <w:t>rhetoric,</w:t>
      </w:r>
      <w:r>
        <w:rPr>
          <w:spacing w:val="-5"/>
        </w:rPr>
        <w:t> </w:t>
      </w:r>
      <w:r>
        <w:rPr>
          <w:spacing w:val="-2"/>
        </w:rPr>
        <w:t>and</w:t>
      </w:r>
      <w:r>
        <w:rPr>
          <w:spacing w:val="-5"/>
        </w:rPr>
        <w:t> </w:t>
      </w:r>
      <w:r>
        <w:rPr>
          <w:spacing w:val="-2"/>
        </w:rPr>
        <w:t>classical</w:t>
      </w:r>
      <w:r>
        <w:rPr>
          <w:spacing w:val="-5"/>
        </w:rPr>
        <w:t> </w:t>
      </w:r>
      <w:r>
        <w:rPr>
          <w:spacing w:val="-2"/>
        </w:rPr>
        <w:t>literature.At</w:t>
      </w:r>
      <w:r>
        <w:rPr>
          <w:spacing w:val="-3"/>
        </w:rPr>
        <w:t> </w:t>
      </w:r>
      <w:r>
        <w:rPr>
          <w:spacing w:val="-2"/>
        </w:rPr>
        <w:t>eighteen,</w:t>
      </w:r>
      <w:r>
        <w:rPr>
          <w:spacing w:val="-3"/>
        </w:rPr>
        <w:t> </w:t>
      </w:r>
      <w:r>
        <w:rPr>
          <w:spacing w:val="-2"/>
        </w:rPr>
        <w:t>Shakespeare </w:t>
      </w:r>
      <w:r>
        <w:rPr/>
        <w:t>married</w:t>
      </w:r>
      <w:r>
        <w:rPr>
          <w:spacing w:val="-13"/>
        </w:rPr>
        <w:t> </w:t>
      </w:r>
      <w:r>
        <w:rPr/>
        <w:t>Anne</w:t>
      </w:r>
      <w:r>
        <w:rPr>
          <w:spacing w:val="-12"/>
        </w:rPr>
        <w:t> </w:t>
      </w:r>
      <w:r>
        <w:rPr/>
        <w:t>Hathaway,</w:t>
      </w:r>
      <w:r>
        <w:rPr>
          <w:spacing w:val="-11"/>
        </w:rPr>
        <w:t> </w:t>
      </w:r>
      <w:r>
        <w:rPr/>
        <w:t>a</w:t>
      </w:r>
      <w:r>
        <w:rPr>
          <w:spacing w:val="-10"/>
        </w:rPr>
        <w:t> </w:t>
      </w:r>
      <w:r>
        <w:rPr/>
        <w:t>woman</w:t>
      </w:r>
      <w:r>
        <w:rPr>
          <w:spacing w:val="-10"/>
        </w:rPr>
        <w:t> </w:t>
      </w:r>
      <w:r>
        <w:rPr/>
        <w:t>eight</w:t>
      </w:r>
      <w:r>
        <w:rPr>
          <w:spacing w:val="-9"/>
        </w:rPr>
        <w:t> </w:t>
      </w:r>
      <w:r>
        <w:rPr/>
        <w:t>years</w:t>
      </w:r>
      <w:r>
        <w:rPr>
          <w:spacing w:val="-10"/>
        </w:rPr>
        <w:t> </w:t>
      </w:r>
      <w:r>
        <w:rPr/>
        <w:t>his</w:t>
      </w:r>
      <w:r>
        <w:rPr>
          <w:spacing w:val="-10"/>
        </w:rPr>
        <w:t> </w:t>
      </w:r>
      <w:r>
        <w:rPr/>
        <w:t>senior.</w:t>
      </w:r>
      <w:r>
        <w:rPr>
          <w:spacing w:val="-10"/>
        </w:rPr>
        <w:t> </w:t>
      </w:r>
      <w:r>
        <w:rPr/>
        <w:t>They</w:t>
      </w:r>
      <w:r>
        <w:rPr>
          <w:spacing w:val="-12"/>
        </w:rPr>
        <w:t> </w:t>
      </w:r>
      <w:r>
        <w:rPr/>
        <w:t>had</w:t>
      </w:r>
      <w:r>
        <w:rPr>
          <w:spacing w:val="-9"/>
        </w:rPr>
        <w:t> </w:t>
      </w:r>
      <w:r>
        <w:rPr/>
        <w:t>three children: Susanna, and the twins Hamnet and Judith. The seven years following the twins’</w:t>
      </w:r>
      <w:r>
        <w:rPr>
          <w:spacing w:val="-12"/>
        </w:rPr>
        <w:t> </w:t>
      </w:r>
      <w:r>
        <w:rPr/>
        <w:t>birth in 1585 are known as</w:t>
      </w:r>
      <w:r>
        <w:rPr>
          <w:spacing w:val="-2"/>
        </w:rPr>
        <w:t> </w:t>
      </w:r>
      <w:r>
        <w:rPr/>
        <w:t>the “Lost</w:t>
      </w:r>
      <w:r>
        <w:rPr>
          <w:spacing w:val="-5"/>
        </w:rPr>
        <w:t> </w:t>
      </w:r>
      <w:r>
        <w:rPr/>
        <w:t>Years,” as no </w:t>
      </w:r>
      <w:r>
        <w:rPr>
          <w:spacing w:val="-2"/>
        </w:rPr>
        <w:t>documentary</w:t>
      </w:r>
      <w:r>
        <w:rPr>
          <w:spacing w:val="-11"/>
        </w:rPr>
        <w:t> </w:t>
      </w:r>
      <w:r>
        <w:rPr>
          <w:spacing w:val="-2"/>
        </w:rPr>
        <w:t>evidence</w:t>
      </w:r>
      <w:r>
        <w:rPr>
          <w:spacing w:val="-10"/>
        </w:rPr>
        <w:t> </w:t>
      </w:r>
      <w:r>
        <w:rPr>
          <w:spacing w:val="-2"/>
        </w:rPr>
        <w:t>of</w:t>
      </w:r>
      <w:r>
        <w:rPr>
          <w:spacing w:val="-11"/>
        </w:rPr>
        <w:t> </w:t>
      </w:r>
      <w:r>
        <w:rPr>
          <w:spacing w:val="-2"/>
        </w:rPr>
        <w:t>his</w:t>
      </w:r>
      <w:r>
        <w:rPr>
          <w:spacing w:val="-10"/>
        </w:rPr>
        <w:t> </w:t>
      </w:r>
      <w:r>
        <w:rPr>
          <w:spacing w:val="-2"/>
        </w:rPr>
        <w:t>activities</w:t>
      </w:r>
      <w:r>
        <w:rPr>
          <w:spacing w:val="-11"/>
        </w:rPr>
        <w:t> </w:t>
      </w:r>
      <w:r>
        <w:rPr>
          <w:spacing w:val="-2"/>
        </w:rPr>
        <w:t>survives.</w:t>
      </w:r>
      <w:r>
        <w:rPr>
          <w:spacing w:val="-7"/>
        </w:rPr>
        <w:t> </w:t>
      </w:r>
      <w:r>
        <w:rPr>
          <w:spacing w:val="-2"/>
        </w:rPr>
        <w:t>He</w:t>
      </w:r>
      <w:r>
        <w:rPr>
          <w:spacing w:val="-11"/>
        </w:rPr>
        <w:t> </w:t>
      </w:r>
      <w:r>
        <w:rPr>
          <w:spacing w:val="-2"/>
        </w:rPr>
        <w:t>reappears</w:t>
      </w:r>
      <w:r>
        <w:rPr>
          <w:spacing w:val="-7"/>
        </w:rPr>
        <w:t> </w:t>
      </w:r>
      <w:r>
        <w:rPr>
          <w:spacing w:val="-2"/>
        </w:rPr>
        <w:t>in</w:t>
      </w:r>
      <w:r>
        <w:rPr>
          <w:spacing w:val="-10"/>
        </w:rPr>
        <w:t> </w:t>
      </w:r>
      <w:r>
        <w:rPr>
          <w:spacing w:val="-2"/>
        </w:rPr>
        <w:t>historical </w:t>
      </w:r>
      <w:r>
        <w:rPr/>
        <w:t>record</w:t>
      </w:r>
      <w:r>
        <w:rPr>
          <w:spacing w:val="40"/>
        </w:rPr>
        <w:t> </w:t>
      </w:r>
      <w:r>
        <w:rPr/>
        <w:t>by</w:t>
      </w:r>
      <w:r>
        <w:rPr>
          <w:spacing w:val="40"/>
        </w:rPr>
        <w:t> </w:t>
      </w:r>
      <w:r>
        <w:rPr/>
        <w:t>1592</w:t>
      </w:r>
      <w:r>
        <w:rPr>
          <w:spacing w:val="40"/>
        </w:rPr>
        <w:t> </w:t>
      </w:r>
      <w:r>
        <w:rPr/>
        <w:t>as</w:t>
      </w:r>
      <w:r>
        <w:rPr>
          <w:spacing w:val="40"/>
        </w:rPr>
        <w:t> </w:t>
      </w:r>
      <w:r>
        <w:rPr/>
        <w:t>an</w:t>
      </w:r>
      <w:r>
        <w:rPr>
          <w:spacing w:val="38"/>
        </w:rPr>
        <w:t> </w:t>
      </w:r>
      <w:r>
        <w:rPr/>
        <w:t>established</w:t>
      </w:r>
      <w:r>
        <w:rPr>
          <w:spacing w:val="40"/>
        </w:rPr>
        <w:t> </w:t>
      </w:r>
      <w:r>
        <w:rPr/>
        <w:t>figure</w:t>
      </w:r>
      <w:r>
        <w:rPr>
          <w:spacing w:val="39"/>
        </w:rPr>
        <w:t> </w:t>
      </w:r>
      <w:r>
        <w:rPr/>
        <w:t>in</w:t>
      </w:r>
      <w:r>
        <w:rPr>
          <w:spacing w:val="40"/>
        </w:rPr>
        <w:t> </w:t>
      </w:r>
      <w:r>
        <w:rPr/>
        <w:t>London’s</w:t>
      </w:r>
      <w:r>
        <w:rPr>
          <w:spacing w:val="38"/>
        </w:rPr>
        <w:t> </w:t>
      </w:r>
      <w:r>
        <w:rPr/>
        <w:t>theatre</w:t>
      </w:r>
      <w:r>
        <w:rPr>
          <w:spacing w:val="40"/>
        </w:rPr>
        <w:t> </w:t>
      </w:r>
      <w:r>
        <w:rPr/>
        <w:t>scene.</w:t>
      </w:r>
    </w:p>
    <w:p>
      <w:pPr>
        <w:pStyle w:val="BodyText"/>
        <w:spacing w:line="256" w:lineRule="auto" w:before="57"/>
        <w:ind w:right="1438" w:firstLine="432"/>
        <w:jc w:val="both"/>
      </w:pPr>
      <w:r>
        <w:rPr/>
        <w:t>Shakespeare’s</w:t>
      </w:r>
      <w:r>
        <w:rPr>
          <w:spacing w:val="-4"/>
        </w:rPr>
        <w:t> </w:t>
      </w:r>
      <w:r>
        <w:rPr/>
        <w:t>dramatic</w:t>
      </w:r>
      <w:r>
        <w:rPr>
          <w:spacing w:val="-5"/>
        </w:rPr>
        <w:t> </w:t>
      </w:r>
      <w:r>
        <w:rPr/>
        <w:t>career</w:t>
      </w:r>
      <w:r>
        <w:rPr>
          <w:spacing w:val="-2"/>
        </w:rPr>
        <w:t> </w:t>
      </w:r>
      <w:r>
        <w:rPr/>
        <w:t>is</w:t>
      </w:r>
      <w:r>
        <w:rPr>
          <w:spacing w:val="-4"/>
        </w:rPr>
        <w:t> </w:t>
      </w:r>
      <w:r>
        <w:rPr/>
        <w:t>conventionally</w:t>
      </w:r>
      <w:r>
        <w:rPr>
          <w:spacing w:val="-7"/>
        </w:rPr>
        <w:t> </w:t>
      </w:r>
      <w:r>
        <w:rPr/>
        <w:t>divided</w:t>
      </w:r>
      <w:r>
        <w:rPr>
          <w:spacing w:val="-5"/>
        </w:rPr>
        <w:t> </w:t>
      </w:r>
      <w:r>
        <w:rPr/>
        <w:t>into</w:t>
      </w:r>
      <w:r>
        <w:rPr>
          <w:spacing w:val="-2"/>
        </w:rPr>
        <w:t> </w:t>
      </w:r>
      <w:r>
        <w:rPr/>
        <w:t>three phases. Comedies and Histories (c. 1590–1600): Early in his career he </w:t>
      </w:r>
      <w:r>
        <w:rPr>
          <w:spacing w:val="-4"/>
        </w:rPr>
        <w:t>wrote</w:t>
      </w:r>
      <w:r>
        <w:rPr>
          <w:spacing w:val="-8"/>
        </w:rPr>
        <w:t> </w:t>
      </w:r>
      <w:r>
        <w:rPr>
          <w:spacing w:val="-4"/>
        </w:rPr>
        <w:t>celebrated</w:t>
      </w:r>
      <w:r>
        <w:rPr/>
        <w:t> </w:t>
      </w:r>
      <w:r>
        <w:rPr>
          <w:spacing w:val="-4"/>
        </w:rPr>
        <w:t>comedies such as</w:t>
      </w:r>
      <w:r>
        <w:rPr>
          <w:spacing w:val="-9"/>
        </w:rPr>
        <w:t> </w:t>
      </w:r>
      <w:r>
        <w:rPr>
          <w:spacing w:val="-4"/>
        </w:rPr>
        <w:t>A</w:t>
      </w:r>
      <w:r>
        <w:rPr>
          <w:spacing w:val="-8"/>
        </w:rPr>
        <w:t> </w:t>
      </w:r>
      <w:r>
        <w:rPr>
          <w:spacing w:val="-4"/>
        </w:rPr>
        <w:t>Midsummer Night’s Dream, Twelfth </w:t>
      </w:r>
      <w:r>
        <w:rPr/>
        <w:t>Night, and Much Ado About Nothing. During the same period he produced histories including Richard III and Henry V, plays that </w:t>
      </w:r>
      <w:r>
        <w:rPr>
          <w:spacing w:val="-2"/>
        </w:rPr>
        <w:t>interrogate</w:t>
      </w:r>
      <w:r>
        <w:rPr>
          <w:spacing w:val="-11"/>
        </w:rPr>
        <w:t> </w:t>
      </w:r>
      <w:r>
        <w:rPr>
          <w:spacing w:val="-2"/>
        </w:rPr>
        <w:t>kingship,</w:t>
      </w:r>
      <w:r>
        <w:rPr>
          <w:spacing w:val="-10"/>
        </w:rPr>
        <w:t> </w:t>
      </w:r>
      <w:r>
        <w:rPr>
          <w:spacing w:val="-2"/>
        </w:rPr>
        <w:t>legitimacy,</w:t>
      </w:r>
      <w:r>
        <w:rPr>
          <w:spacing w:val="-8"/>
        </w:rPr>
        <w:t> </w:t>
      </w:r>
      <w:r>
        <w:rPr>
          <w:spacing w:val="-2"/>
        </w:rPr>
        <w:t>and</w:t>
      </w:r>
      <w:r>
        <w:rPr>
          <w:spacing w:val="-6"/>
        </w:rPr>
        <w:t> </w:t>
      </w:r>
      <w:r>
        <w:rPr>
          <w:spacing w:val="-2"/>
        </w:rPr>
        <w:t>power.</w:t>
      </w:r>
      <w:r>
        <w:rPr>
          <w:spacing w:val="-11"/>
        </w:rPr>
        <w:t> </w:t>
      </w:r>
      <w:r>
        <w:rPr>
          <w:spacing w:val="-2"/>
        </w:rPr>
        <w:t>Tragedies</w:t>
      </w:r>
      <w:r>
        <w:rPr>
          <w:spacing w:val="-10"/>
        </w:rPr>
        <w:t> </w:t>
      </w:r>
      <w:r>
        <w:rPr>
          <w:spacing w:val="-2"/>
        </w:rPr>
        <w:t>(c.</w:t>
      </w:r>
      <w:r>
        <w:rPr>
          <w:spacing w:val="-6"/>
        </w:rPr>
        <w:t> </w:t>
      </w:r>
      <w:r>
        <w:rPr>
          <w:spacing w:val="-2"/>
        </w:rPr>
        <w:t>1600–1608):</w:t>
      </w:r>
      <w:r>
        <w:rPr>
          <w:spacing w:val="-9"/>
        </w:rPr>
        <w:t> </w:t>
      </w:r>
      <w:r>
        <w:rPr>
          <w:spacing w:val="-2"/>
        </w:rPr>
        <w:t>In </w:t>
      </w:r>
      <w:r>
        <w:rPr/>
        <w:t>his middle period Shakespeare wrote his greatest tragedies—Hamlet, Othello, King Lear, and Macbeth_—works renowned for their psychological</w:t>
      </w:r>
      <w:r>
        <w:rPr>
          <w:spacing w:val="-13"/>
        </w:rPr>
        <w:t> </w:t>
      </w:r>
      <w:r>
        <w:rPr/>
        <w:t>complexity</w:t>
      </w:r>
      <w:r>
        <w:rPr>
          <w:spacing w:val="-12"/>
        </w:rPr>
        <w:t> </w:t>
      </w:r>
      <w:r>
        <w:rPr/>
        <w:t>and</w:t>
      </w:r>
      <w:r>
        <w:rPr>
          <w:spacing w:val="-13"/>
        </w:rPr>
        <w:t> </w:t>
      </w:r>
      <w:r>
        <w:rPr/>
        <w:t>unflinching</w:t>
      </w:r>
      <w:r>
        <w:rPr>
          <w:spacing w:val="-12"/>
        </w:rPr>
        <w:t> </w:t>
      </w:r>
      <w:r>
        <w:rPr/>
        <w:t>examination</w:t>
      </w:r>
      <w:r>
        <w:rPr>
          <w:spacing w:val="-13"/>
        </w:rPr>
        <w:t> </w:t>
      </w:r>
      <w:r>
        <w:rPr/>
        <w:t>of</w:t>
      </w:r>
      <w:r>
        <w:rPr>
          <w:spacing w:val="-12"/>
        </w:rPr>
        <w:t> </w:t>
      </w:r>
      <w:r>
        <w:rPr/>
        <w:t>human</w:t>
      </w:r>
      <w:r>
        <w:rPr>
          <w:spacing w:val="-13"/>
        </w:rPr>
        <w:t> </w:t>
      </w:r>
      <w:r>
        <w:rPr/>
        <w:t>frailty. Romances/Tragicomedies</w:t>
      </w:r>
      <w:r>
        <w:rPr>
          <w:spacing w:val="-13"/>
        </w:rPr>
        <w:t> </w:t>
      </w:r>
      <w:r>
        <w:rPr/>
        <w:t>(c.</w:t>
      </w:r>
      <w:r>
        <w:rPr>
          <w:spacing w:val="-12"/>
        </w:rPr>
        <w:t> </w:t>
      </w:r>
      <w:r>
        <w:rPr/>
        <w:t>1608–1613):</w:t>
      </w:r>
      <w:r>
        <w:rPr>
          <w:spacing w:val="-13"/>
        </w:rPr>
        <w:t> </w:t>
      </w:r>
      <w:r>
        <w:rPr/>
        <w:t>His</w:t>
      </w:r>
      <w:r>
        <w:rPr>
          <w:spacing w:val="-12"/>
        </w:rPr>
        <w:t> </w:t>
      </w:r>
      <w:r>
        <w:rPr/>
        <w:t>final</w:t>
      </w:r>
      <w:r>
        <w:rPr>
          <w:spacing w:val="-13"/>
        </w:rPr>
        <w:t> </w:t>
      </w:r>
      <w:r>
        <w:rPr/>
        <w:t>plays,</w:t>
      </w:r>
      <w:r>
        <w:rPr>
          <w:spacing w:val="-12"/>
        </w:rPr>
        <w:t> </w:t>
      </w:r>
      <w:r>
        <w:rPr/>
        <w:t>including</w:t>
      </w:r>
      <w:r>
        <w:rPr>
          <w:spacing w:val="-13"/>
        </w:rPr>
        <w:t> </w:t>
      </w:r>
      <w:r>
        <w:rPr/>
        <w:t>The </w:t>
      </w:r>
      <w:r>
        <w:rPr>
          <w:spacing w:val="-2"/>
        </w:rPr>
        <w:t>Tempest and</w:t>
      </w:r>
      <w:r>
        <w:rPr>
          <w:spacing w:val="-5"/>
        </w:rPr>
        <w:t> </w:t>
      </w:r>
      <w:r>
        <w:rPr>
          <w:spacing w:val="-2"/>
        </w:rPr>
        <w:t>The</w:t>
      </w:r>
      <w:r>
        <w:rPr>
          <w:spacing w:val="-5"/>
        </w:rPr>
        <w:t> </w:t>
      </w:r>
      <w:r>
        <w:rPr>
          <w:spacing w:val="-2"/>
        </w:rPr>
        <w:t>Winter’s</w:t>
      </w:r>
      <w:r>
        <w:rPr>
          <w:spacing w:val="-5"/>
        </w:rPr>
        <w:t> </w:t>
      </w:r>
      <w:r>
        <w:rPr>
          <w:spacing w:val="-2"/>
        </w:rPr>
        <w:t>Tale,</w:t>
      </w:r>
      <w:r>
        <w:rPr>
          <w:spacing w:val="-5"/>
        </w:rPr>
        <w:t> </w:t>
      </w:r>
      <w:r>
        <w:rPr>
          <w:spacing w:val="-2"/>
        </w:rPr>
        <w:t>blend tragedy</w:t>
      </w:r>
      <w:r>
        <w:rPr>
          <w:spacing w:val="-7"/>
        </w:rPr>
        <w:t> </w:t>
      </w:r>
      <w:r>
        <w:rPr>
          <w:spacing w:val="-2"/>
        </w:rPr>
        <w:t>and</w:t>
      </w:r>
      <w:r>
        <w:rPr>
          <w:spacing w:val="-3"/>
        </w:rPr>
        <w:t> </w:t>
      </w:r>
      <w:r>
        <w:rPr>
          <w:spacing w:val="-2"/>
        </w:rPr>
        <w:t>comedy,</w:t>
      </w:r>
      <w:r>
        <w:rPr>
          <w:spacing w:val="-3"/>
        </w:rPr>
        <w:t> </w:t>
      </w:r>
      <w:r>
        <w:rPr>
          <w:spacing w:val="-2"/>
        </w:rPr>
        <w:t>emphasizing </w:t>
      </w:r>
      <w:r>
        <w:rPr/>
        <w:t>forgiveness, reconciliation, and renewal.</w:t>
      </w:r>
      <w:r>
        <w:rPr>
          <w:spacing w:val="40"/>
        </w:rPr>
        <w:t> </w:t>
      </w:r>
      <w:r>
        <w:rPr/>
        <w:t>Alongside his plays, Shakespeare’s 154 sonnets explore love, time, beauty, and mortality, refining the English sonnet form established by Wyatt and Surrey. He</w:t>
      </w:r>
      <w:r>
        <w:rPr>
          <w:spacing w:val="40"/>
        </w:rPr>
        <w:t> </w:t>
      </w:r>
      <w:r>
        <w:rPr/>
        <w:t>is credited with coining or popularizing hundreds of words and phrases still</w:t>
      </w:r>
      <w:r>
        <w:rPr>
          <w:spacing w:val="-1"/>
        </w:rPr>
        <w:t> </w:t>
      </w:r>
      <w:r>
        <w:rPr/>
        <w:t>in</w:t>
      </w:r>
      <w:r>
        <w:rPr>
          <w:spacing w:val="-1"/>
        </w:rPr>
        <w:t> </w:t>
      </w:r>
      <w:r>
        <w:rPr/>
        <w:t>everyday</w:t>
      </w:r>
      <w:r>
        <w:rPr>
          <w:spacing w:val="-5"/>
        </w:rPr>
        <w:t> </w:t>
      </w:r>
      <w:r>
        <w:rPr/>
        <w:t>use,</w:t>
      </w:r>
      <w:r>
        <w:rPr>
          <w:spacing w:val="-1"/>
        </w:rPr>
        <w:t> </w:t>
      </w:r>
      <w:r>
        <w:rPr/>
        <w:t>from</w:t>
      </w:r>
      <w:r>
        <w:rPr>
          <w:spacing w:val="-2"/>
        </w:rPr>
        <w:t> </w:t>
      </w:r>
      <w:r>
        <w:rPr/>
        <w:t>“lonely” to “break</w:t>
      </w:r>
      <w:r>
        <w:rPr>
          <w:spacing w:val="-1"/>
        </w:rPr>
        <w:t> </w:t>
      </w:r>
      <w:r>
        <w:rPr/>
        <w:t>the ice.”</w:t>
      </w:r>
      <w:r>
        <w:rPr>
          <w:spacing w:val="-2"/>
        </w:rPr>
        <w:t> </w:t>
      </w:r>
      <w:r>
        <w:rPr/>
        <w:t>His</w:t>
      </w:r>
      <w:r>
        <w:rPr>
          <w:spacing w:val="-1"/>
        </w:rPr>
        <w:t> </w:t>
      </w:r>
      <w:r>
        <w:rPr/>
        <w:t>plays</w:t>
      </w:r>
      <w:r>
        <w:rPr>
          <w:spacing w:val="-3"/>
        </w:rPr>
        <w:t> </w:t>
      </w:r>
      <w:r>
        <w:rPr/>
        <w:t>remain the</w:t>
      </w:r>
      <w:r>
        <w:rPr>
          <w:spacing w:val="-9"/>
        </w:rPr>
        <w:t> </w:t>
      </w:r>
      <w:r>
        <w:rPr/>
        <w:t>most</w:t>
      </w:r>
      <w:r>
        <w:rPr>
          <w:spacing w:val="-7"/>
        </w:rPr>
        <w:t> </w:t>
      </w:r>
      <w:r>
        <w:rPr/>
        <w:t>frequently</w:t>
      </w:r>
      <w:r>
        <w:rPr>
          <w:spacing w:val="-11"/>
        </w:rPr>
        <w:t> </w:t>
      </w:r>
      <w:r>
        <w:rPr/>
        <w:t>performed</w:t>
      </w:r>
      <w:r>
        <w:rPr>
          <w:spacing w:val="-9"/>
        </w:rPr>
        <w:t> </w:t>
      </w:r>
      <w:r>
        <w:rPr/>
        <w:t>of</w:t>
      </w:r>
      <w:r>
        <w:rPr>
          <w:spacing w:val="-11"/>
        </w:rPr>
        <w:t> </w:t>
      </w:r>
      <w:r>
        <w:rPr/>
        <w:t>any</w:t>
      </w:r>
      <w:r>
        <w:rPr>
          <w:spacing w:val="-11"/>
        </w:rPr>
        <w:t> </w:t>
      </w:r>
      <w:r>
        <w:rPr/>
        <w:t>dramatist</w:t>
      </w:r>
      <w:r>
        <w:rPr>
          <w:spacing w:val="-8"/>
        </w:rPr>
        <w:t> </w:t>
      </w:r>
      <w:r>
        <w:rPr/>
        <w:t>and</w:t>
      </w:r>
      <w:r>
        <w:rPr>
          <w:spacing w:val="-8"/>
        </w:rPr>
        <w:t> </w:t>
      </w:r>
      <w:r>
        <w:rPr/>
        <w:t>have</w:t>
      </w:r>
      <w:r>
        <w:rPr>
          <w:spacing w:val="-7"/>
        </w:rPr>
        <w:t> </w:t>
      </w:r>
      <w:r>
        <w:rPr/>
        <w:t>been</w:t>
      </w:r>
      <w:r>
        <w:rPr>
          <w:spacing w:val="-11"/>
        </w:rPr>
        <w:t> </w:t>
      </w:r>
      <w:r>
        <w:rPr/>
        <w:t>translated into every major language.</w:t>
      </w:r>
    </w:p>
    <w:p>
      <w:pPr>
        <w:pStyle w:val="BodyText"/>
        <w:spacing w:after="0" w:line="256" w:lineRule="auto"/>
        <w:jc w:val="both"/>
        <w:sectPr>
          <w:pgSz w:w="12240" w:h="15840"/>
          <w:pgMar w:top="182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27968">
                <wp:simplePos x="0" y="0"/>
                <wp:positionH relativeFrom="page">
                  <wp:posOffset>2065020</wp:posOffset>
                </wp:positionH>
                <wp:positionV relativeFrom="paragraph">
                  <wp:posOffset>795020</wp:posOffset>
                </wp:positionV>
                <wp:extent cx="3657600" cy="12700"/>
                <wp:effectExtent l="0" t="0" r="0" b="0"/>
                <wp:wrapTopAndBottom/>
                <wp:docPr id="658" name="Graphic 658"/>
                <wp:cNvGraphicFramePr>
                  <a:graphicFrameLocks/>
                </wp:cNvGraphicFramePr>
                <a:graphic>
                  <a:graphicData uri="http://schemas.microsoft.com/office/word/2010/wordprocessingShape">
                    <wps:wsp>
                      <wps:cNvPr id="658" name="Graphic 65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88512;mso-wrap-distance-left:0;mso-wrap-distance-right:0" id="docshape650" filled="true" fillcolor="#000000" stroked="false">
                <v:fill type="solid"/>
                <w10:wrap type="topAndBottom"/>
              </v:rect>
            </w:pict>
          </mc:Fallback>
        </mc:AlternateContent>
      </w:r>
      <w:r>
        <w:rPr>
          <w:rFonts w:ascii="Verdana" w:hAnsi="Verdana"/>
          <w:spacing w:val="-2"/>
          <w:sz w:val="18"/>
        </w:rPr>
        <w:t>Shakespeare’s</w:t>
      </w:r>
      <w:r>
        <w:rPr>
          <w:rFonts w:ascii="Verdana" w:hAnsi="Verdana"/>
          <w:spacing w:val="12"/>
          <w:sz w:val="18"/>
        </w:rPr>
        <w:t> </w:t>
      </w:r>
      <w:r>
        <w:rPr>
          <w:rFonts w:ascii="Verdana" w:hAnsi="Verdana"/>
          <w:spacing w:val="-2"/>
          <w:sz w:val="18"/>
        </w:rPr>
        <w:t>Representation</w:t>
      </w:r>
      <w:r>
        <w:rPr>
          <w:rFonts w:ascii="Verdana" w:hAnsi="Verdana"/>
          <w:spacing w:val="16"/>
          <w:sz w:val="18"/>
        </w:rPr>
        <w:t> </w:t>
      </w:r>
      <w:r>
        <w:rPr>
          <w:rFonts w:ascii="Verdana" w:hAnsi="Verdana"/>
          <w:spacing w:val="-2"/>
          <w:sz w:val="18"/>
        </w:rPr>
        <w:t>of</w:t>
      </w:r>
      <w:r>
        <w:rPr>
          <w:rFonts w:ascii="Verdana" w:hAnsi="Verdana"/>
          <w:spacing w:val="15"/>
          <w:sz w:val="18"/>
        </w:rPr>
        <w:t> </w:t>
      </w:r>
      <w:r>
        <w:rPr>
          <w:rFonts w:ascii="Verdana" w:hAnsi="Verdana"/>
          <w:spacing w:val="-2"/>
          <w:sz w:val="18"/>
        </w:rPr>
        <w:t>Women:</w:t>
      </w:r>
      <w:r>
        <w:rPr>
          <w:rFonts w:ascii="Verdana" w:hAnsi="Verdana"/>
          <w:spacing w:val="15"/>
          <w:sz w:val="18"/>
        </w:rPr>
        <w:t> </w:t>
      </w:r>
      <w:r>
        <w:rPr>
          <w:rFonts w:ascii="Verdana" w:hAnsi="Verdana"/>
          <w:spacing w:val="-2"/>
          <w:sz w:val="18"/>
        </w:rPr>
        <w:t>Power...</w:t>
      </w:r>
      <w:r>
        <w:rPr>
          <w:sz w:val="18"/>
        </w:rPr>
        <w:tab/>
      </w:r>
      <w:r>
        <w:rPr>
          <w:rFonts w:ascii="Verdana" w:hAnsi="Verdana"/>
          <w:spacing w:val="-5"/>
          <w:sz w:val="18"/>
        </w:rPr>
        <w:t>319</w:t>
      </w:r>
    </w:p>
    <w:p>
      <w:pPr>
        <w:pStyle w:val="BodyText"/>
        <w:spacing w:line="249" w:lineRule="auto" w:before="192"/>
        <w:ind w:right="1438" w:firstLine="432"/>
        <w:jc w:val="both"/>
      </w:pPr>
      <w:r>
        <w:rPr>
          <w:spacing w:val="-2"/>
        </w:rPr>
        <w:t>Shakespeare’s</w:t>
      </w:r>
      <w:r>
        <w:rPr>
          <w:spacing w:val="-11"/>
        </w:rPr>
        <w:t> </w:t>
      </w:r>
      <w:r>
        <w:rPr>
          <w:spacing w:val="-2"/>
        </w:rPr>
        <w:t>works</w:t>
      </w:r>
      <w:r>
        <w:rPr>
          <w:spacing w:val="-10"/>
        </w:rPr>
        <w:t> </w:t>
      </w:r>
      <w:r>
        <w:rPr>
          <w:spacing w:val="-2"/>
        </w:rPr>
        <w:t>are</w:t>
      </w:r>
      <w:r>
        <w:rPr>
          <w:spacing w:val="-11"/>
        </w:rPr>
        <w:t> </w:t>
      </w:r>
      <w:r>
        <w:rPr>
          <w:spacing w:val="-2"/>
        </w:rPr>
        <w:t>distinctly</w:t>
      </w:r>
      <w:r>
        <w:rPr>
          <w:spacing w:val="-10"/>
        </w:rPr>
        <w:t> </w:t>
      </w:r>
      <w:r>
        <w:rPr>
          <w:spacing w:val="-2"/>
        </w:rPr>
        <w:t>character-driven,</w:t>
      </w:r>
      <w:r>
        <w:rPr>
          <w:spacing w:val="-11"/>
        </w:rPr>
        <w:t> </w:t>
      </w:r>
      <w:r>
        <w:rPr>
          <w:spacing w:val="-2"/>
        </w:rPr>
        <w:t>creating</w:t>
      </w:r>
      <w:r>
        <w:rPr>
          <w:spacing w:val="-10"/>
        </w:rPr>
        <w:t> </w:t>
      </w:r>
      <w:r>
        <w:rPr>
          <w:spacing w:val="-2"/>
        </w:rPr>
        <w:t>figures </w:t>
      </w:r>
      <w:r>
        <w:rPr/>
        <w:t>whose moral and emotional struggles resonate across centuries. While the scarcity of personal records has invited speculation about his religious beliefs, sexuality, and authorship, the power and scope of his </w:t>
      </w:r>
      <w:r>
        <w:rPr>
          <w:spacing w:val="-2"/>
        </w:rPr>
        <w:t>writing remain undisputed. Shakespeare retired to Stratford around 1613, </w:t>
      </w:r>
      <w:r>
        <w:rPr/>
        <w:t>returning to New Place, one of the largest houses in the town. He died on</w:t>
      </w:r>
      <w:r>
        <w:rPr>
          <w:spacing w:val="-2"/>
        </w:rPr>
        <w:t> </w:t>
      </w:r>
      <w:r>
        <w:rPr/>
        <w:t>23</w:t>
      </w:r>
      <w:r>
        <w:rPr>
          <w:spacing w:val="-13"/>
        </w:rPr>
        <w:t> </w:t>
      </w:r>
      <w:r>
        <w:rPr/>
        <w:t>April 1616</w:t>
      </w:r>
      <w:r>
        <w:rPr>
          <w:spacing w:val="-2"/>
        </w:rPr>
        <w:t> </w:t>
      </w:r>
      <w:r>
        <w:rPr/>
        <w:t>and was</w:t>
      </w:r>
      <w:r>
        <w:rPr>
          <w:spacing w:val="-4"/>
        </w:rPr>
        <w:t> </w:t>
      </w:r>
      <w:r>
        <w:rPr/>
        <w:t>buried in</w:t>
      </w:r>
      <w:r>
        <w:rPr>
          <w:spacing w:val="-4"/>
        </w:rPr>
        <w:t> </w:t>
      </w:r>
      <w:r>
        <w:rPr/>
        <w:t>the chancel</w:t>
      </w:r>
      <w:r>
        <w:rPr>
          <w:spacing w:val="-4"/>
        </w:rPr>
        <w:t> </w:t>
      </w:r>
      <w:r>
        <w:rPr/>
        <w:t>of</w:t>
      </w:r>
      <w:r>
        <w:rPr>
          <w:spacing w:val="-2"/>
        </w:rPr>
        <w:t> </w:t>
      </w:r>
      <w:r>
        <w:rPr/>
        <w:t>Holy</w:t>
      </w:r>
      <w:r>
        <w:rPr>
          <w:spacing w:val="-9"/>
        </w:rPr>
        <w:t> </w:t>
      </w:r>
      <w:r>
        <w:rPr/>
        <w:t>Trinity</w:t>
      </w:r>
      <w:r>
        <w:rPr>
          <w:spacing w:val="-4"/>
        </w:rPr>
        <w:t> </w:t>
      </w:r>
      <w:r>
        <w:rPr/>
        <w:t>Church, </w:t>
      </w:r>
      <w:r>
        <w:rPr>
          <w:spacing w:val="11"/>
        </w:rPr>
        <w:t>Stratford-upon-</w:t>
      </w:r>
      <w:r>
        <w:rPr/>
        <w:t>Avon. </w:t>
      </w:r>
      <w:r>
        <w:rPr>
          <w:spacing w:val="9"/>
        </w:rPr>
        <w:t>Though</w:t>
      </w:r>
      <w:r>
        <w:rPr>
          <w:spacing w:val="9"/>
        </w:rPr>
        <w:t> </w:t>
      </w:r>
      <w:r>
        <w:rPr/>
        <w:t>his </w:t>
      </w:r>
      <w:r>
        <w:rPr>
          <w:spacing w:val="10"/>
        </w:rPr>
        <w:t>direct</w:t>
      </w:r>
      <w:r>
        <w:rPr>
          <w:spacing w:val="10"/>
        </w:rPr>
        <w:t> </w:t>
      </w:r>
      <w:r>
        <w:rPr/>
        <w:t>line </w:t>
      </w:r>
      <w:r>
        <w:rPr>
          <w:spacing w:val="9"/>
        </w:rPr>
        <w:t>ended</w:t>
      </w:r>
      <w:r>
        <w:rPr>
          <w:spacing w:val="9"/>
        </w:rPr>
        <w:t> </w:t>
      </w:r>
      <w:r>
        <w:rPr/>
        <w:t>with his </w:t>
      </w:r>
      <w:r>
        <w:rPr>
          <w:spacing w:val="-2"/>
        </w:rPr>
        <w:t>granddaughter Elizabeth</w:t>
      </w:r>
      <w:r>
        <w:rPr>
          <w:spacing w:val="-4"/>
        </w:rPr>
        <w:t> </w:t>
      </w:r>
      <w:r>
        <w:rPr>
          <w:spacing w:val="-2"/>
        </w:rPr>
        <w:t>Hall,</w:t>
      </w:r>
      <w:r>
        <w:rPr>
          <w:spacing w:val="-7"/>
        </w:rPr>
        <w:t> </w:t>
      </w:r>
      <w:r>
        <w:rPr>
          <w:spacing w:val="-2"/>
        </w:rPr>
        <w:t>his</w:t>
      </w:r>
      <w:r>
        <w:rPr>
          <w:spacing w:val="-4"/>
        </w:rPr>
        <w:t> </w:t>
      </w:r>
      <w:r>
        <w:rPr>
          <w:spacing w:val="-2"/>
        </w:rPr>
        <w:t>literary</w:t>
      </w:r>
      <w:r>
        <w:rPr>
          <w:spacing w:val="-9"/>
        </w:rPr>
        <w:t> </w:t>
      </w:r>
      <w:r>
        <w:rPr>
          <w:spacing w:val="-2"/>
        </w:rPr>
        <w:t>legacy</w:t>
      </w:r>
      <w:r>
        <w:rPr>
          <w:spacing w:val="-9"/>
        </w:rPr>
        <w:t> </w:t>
      </w:r>
      <w:r>
        <w:rPr>
          <w:spacing w:val="-2"/>
        </w:rPr>
        <w:t>endures</w:t>
      </w:r>
      <w:r>
        <w:rPr>
          <w:spacing w:val="-9"/>
        </w:rPr>
        <w:t> </w:t>
      </w:r>
      <w:r>
        <w:rPr>
          <w:spacing w:val="-2"/>
        </w:rPr>
        <w:t>as</w:t>
      </w:r>
      <w:r>
        <w:rPr>
          <w:spacing w:val="-4"/>
        </w:rPr>
        <w:t> </w:t>
      </w:r>
      <w:r>
        <w:rPr>
          <w:spacing w:val="-2"/>
        </w:rPr>
        <w:t>a cornerstone </w:t>
      </w:r>
      <w:r>
        <w:rPr/>
        <w:t>of world literature. William Shakespeare was more than a poet or playwright; he was a master observer of the human condition. His ability to capture the complexities of love, hate, ambition, and fear in verse has ensured his longevity. Four centuries after his death, his</w:t>
      </w:r>
      <w:r>
        <w:rPr>
          <w:spacing w:val="80"/>
        </w:rPr>
        <w:t> </w:t>
      </w:r>
      <w:r>
        <w:rPr/>
        <w:t>plays continue to serve as a mirror to humanity, proving that while contexts</w:t>
      </w:r>
      <w:r>
        <w:rPr>
          <w:spacing w:val="40"/>
        </w:rPr>
        <w:t> </w:t>
      </w:r>
      <w:r>
        <w:rPr/>
        <w:t>change,</w:t>
      </w:r>
      <w:r>
        <w:rPr>
          <w:spacing w:val="40"/>
        </w:rPr>
        <w:t> </w:t>
      </w:r>
      <w:r>
        <w:rPr/>
        <w:t>human</w:t>
      </w:r>
      <w:r>
        <w:rPr>
          <w:spacing w:val="40"/>
        </w:rPr>
        <w:t> </w:t>
      </w:r>
      <w:r>
        <w:rPr/>
        <w:t>nature</w:t>
      </w:r>
      <w:r>
        <w:rPr>
          <w:spacing w:val="40"/>
        </w:rPr>
        <w:t> </w:t>
      </w:r>
      <w:r>
        <w:rPr/>
        <w:t>does</w:t>
      </w:r>
      <w:r>
        <w:rPr>
          <w:spacing w:val="40"/>
        </w:rPr>
        <w:t> </w:t>
      </w:r>
      <w:r>
        <w:rPr/>
        <w:t>not.</w:t>
      </w:r>
    </w:p>
    <w:p>
      <w:pPr>
        <w:pStyle w:val="BodyText"/>
        <w:spacing w:line="249" w:lineRule="auto" w:before="70"/>
        <w:ind w:right="1438" w:firstLine="432"/>
        <w:jc w:val="both"/>
      </w:pPr>
      <w:r>
        <w:rPr/>
        <w:t>The play begins with the brief appearance of a trio of witches and then moves to a military camp, where King Duncan hears that his </w:t>
      </w:r>
      <w:r>
        <w:rPr>
          <w:spacing w:val="-2"/>
        </w:rPr>
        <w:t>generals, Macbeth</w:t>
      </w:r>
      <w:r>
        <w:rPr>
          <w:spacing w:val="-5"/>
        </w:rPr>
        <w:t> </w:t>
      </w:r>
      <w:r>
        <w:rPr>
          <w:spacing w:val="-2"/>
        </w:rPr>
        <w:t>and Banquo,</w:t>
      </w:r>
      <w:r>
        <w:rPr>
          <w:spacing w:val="-3"/>
        </w:rPr>
        <w:t> </w:t>
      </w:r>
      <w:r>
        <w:rPr>
          <w:spacing w:val="-2"/>
        </w:rPr>
        <w:t>have defeated</w:t>
      </w:r>
      <w:r>
        <w:rPr>
          <w:spacing w:val="-5"/>
        </w:rPr>
        <w:t> </w:t>
      </w:r>
      <w:r>
        <w:rPr>
          <w:spacing w:val="-2"/>
        </w:rPr>
        <w:t>two invading</w:t>
      </w:r>
      <w:r>
        <w:rPr>
          <w:spacing w:val="-5"/>
        </w:rPr>
        <w:t> </w:t>
      </w:r>
      <w:r>
        <w:rPr>
          <w:spacing w:val="-2"/>
        </w:rPr>
        <w:t>armies—one </w:t>
      </w:r>
      <w:r>
        <w:rPr>
          <w:spacing w:val="-6"/>
        </w:rPr>
        <w:t>from</w:t>
      </w:r>
      <w:r>
        <w:rPr>
          <w:spacing w:val="-7"/>
        </w:rPr>
        <w:t> </w:t>
      </w:r>
      <w:r>
        <w:rPr>
          <w:spacing w:val="-6"/>
        </w:rPr>
        <w:t>Ireland led</w:t>
      </w:r>
      <w:r>
        <w:rPr>
          <w:spacing w:val="-7"/>
        </w:rPr>
        <w:t> </w:t>
      </w:r>
      <w:r>
        <w:rPr>
          <w:spacing w:val="-6"/>
        </w:rPr>
        <w:t>by the</w:t>
      </w:r>
      <w:r>
        <w:rPr>
          <w:spacing w:val="-7"/>
        </w:rPr>
        <w:t> </w:t>
      </w:r>
      <w:r>
        <w:rPr>
          <w:spacing w:val="-6"/>
        </w:rPr>
        <w:t>rebel Macdonwald,</w:t>
      </w:r>
      <w:r>
        <w:rPr>
          <w:spacing w:val="-7"/>
        </w:rPr>
        <w:t> </w:t>
      </w:r>
      <w:r>
        <w:rPr>
          <w:spacing w:val="-6"/>
        </w:rPr>
        <w:t>and one</w:t>
      </w:r>
      <w:r>
        <w:rPr>
          <w:spacing w:val="-7"/>
        </w:rPr>
        <w:t> </w:t>
      </w:r>
      <w:r>
        <w:rPr>
          <w:spacing w:val="-6"/>
        </w:rPr>
        <w:t>from Norway.</w:t>
      </w:r>
      <w:r>
        <w:rPr>
          <w:spacing w:val="-7"/>
        </w:rPr>
        <w:t> </w:t>
      </w:r>
      <w:r>
        <w:rPr>
          <w:spacing w:val="-6"/>
        </w:rPr>
        <w:t>Following </w:t>
      </w:r>
      <w:r>
        <w:rPr/>
        <w:t>their</w:t>
      </w:r>
      <w:r>
        <w:rPr>
          <w:spacing w:val="-2"/>
        </w:rPr>
        <w:t> </w:t>
      </w:r>
      <w:r>
        <w:rPr/>
        <w:t>battle,</w:t>
      </w:r>
      <w:r>
        <w:rPr>
          <w:spacing w:val="-4"/>
        </w:rPr>
        <w:t> </w:t>
      </w:r>
      <w:r>
        <w:rPr/>
        <w:t>Macbeth</w:t>
      </w:r>
      <w:r>
        <w:rPr>
          <w:spacing w:val="-4"/>
        </w:rPr>
        <w:t> </w:t>
      </w:r>
      <w:r>
        <w:rPr/>
        <w:t>and Banquo</w:t>
      </w:r>
      <w:r>
        <w:rPr>
          <w:spacing w:val="-1"/>
        </w:rPr>
        <w:t> </w:t>
      </w:r>
      <w:r>
        <w:rPr/>
        <w:t>encounter the</w:t>
      </w:r>
      <w:r>
        <w:rPr>
          <w:spacing w:val="-2"/>
        </w:rPr>
        <w:t> </w:t>
      </w:r>
      <w:r>
        <w:rPr/>
        <w:t>witches</w:t>
      </w:r>
      <w:r>
        <w:rPr>
          <w:spacing w:val="-2"/>
        </w:rPr>
        <w:t> </w:t>
      </w:r>
      <w:r>
        <w:rPr/>
        <w:t>on</w:t>
      </w:r>
      <w:r>
        <w:rPr>
          <w:spacing w:val="-4"/>
        </w:rPr>
        <w:t> </w:t>
      </w:r>
      <w:r>
        <w:rPr/>
        <w:t>a</w:t>
      </w:r>
      <w:r>
        <w:rPr>
          <w:spacing w:val="-2"/>
        </w:rPr>
        <w:t> </w:t>
      </w:r>
      <w:r>
        <w:rPr/>
        <w:t>moor.</w:t>
      </w:r>
      <w:r>
        <w:rPr>
          <w:spacing w:val="-2"/>
        </w:rPr>
        <w:t> </w:t>
      </w:r>
      <w:r>
        <w:rPr/>
        <w:t>The witches prophesy that Macbeth will be made Thane of Cawdor and eventually King of Scotland. They also prophesy that Banquo, though never king himself, will beget a line of kings (pp. 48-50).</w:t>
      </w:r>
    </w:p>
    <w:p>
      <w:pPr>
        <w:pStyle w:val="BodyText"/>
        <w:spacing w:line="249" w:lineRule="auto" w:before="64"/>
        <w:ind w:right="1439" w:firstLine="432"/>
        <w:jc w:val="both"/>
      </w:pPr>
      <w:r>
        <w:rPr/>
        <w:t>The witches vanish, and their prophecies seem</w:t>
      </w:r>
      <w:r>
        <w:rPr>
          <w:spacing w:val="-2"/>
        </w:rPr>
        <w:t> </w:t>
      </w:r>
      <w:r>
        <w:rPr/>
        <w:t>fanciful until King Duncan’s men arrive to tell Macbeth that he has indeed been named Thane of Cawdor, the previous thane having been condemned for treason.</w:t>
      </w:r>
      <w:r>
        <w:rPr>
          <w:spacing w:val="-7"/>
        </w:rPr>
        <w:t> </w:t>
      </w:r>
      <w:r>
        <w:rPr/>
        <w:t>Macbeth</w:t>
      </w:r>
      <w:r>
        <w:rPr>
          <w:spacing w:val="-10"/>
        </w:rPr>
        <w:t> </w:t>
      </w:r>
      <w:r>
        <w:rPr/>
        <w:t>is</w:t>
      </w:r>
      <w:r>
        <w:rPr>
          <w:spacing w:val="-9"/>
        </w:rPr>
        <w:t> </w:t>
      </w:r>
      <w:r>
        <w:rPr/>
        <w:t>intrigued</w:t>
      </w:r>
      <w:r>
        <w:rPr>
          <w:spacing w:val="-9"/>
        </w:rPr>
        <w:t> </w:t>
      </w:r>
      <w:r>
        <w:rPr/>
        <w:t>by</w:t>
      </w:r>
      <w:r>
        <w:rPr>
          <w:spacing w:val="-12"/>
        </w:rPr>
        <w:t> </w:t>
      </w:r>
      <w:r>
        <w:rPr/>
        <w:t>the</w:t>
      </w:r>
      <w:r>
        <w:rPr>
          <w:spacing w:val="-7"/>
        </w:rPr>
        <w:t> </w:t>
      </w:r>
      <w:r>
        <w:rPr/>
        <w:t>possibility</w:t>
      </w:r>
      <w:r>
        <w:rPr>
          <w:spacing w:val="-10"/>
        </w:rPr>
        <w:t> </w:t>
      </w:r>
      <w:r>
        <w:rPr/>
        <w:t>that</w:t>
      </w:r>
      <w:r>
        <w:rPr>
          <w:spacing w:val="-9"/>
        </w:rPr>
        <w:t> </w:t>
      </w:r>
      <w:r>
        <w:rPr/>
        <w:t>the</w:t>
      </w:r>
      <w:r>
        <w:rPr>
          <w:spacing w:val="-8"/>
        </w:rPr>
        <w:t> </w:t>
      </w:r>
      <w:r>
        <w:rPr/>
        <w:t>second</w:t>
      </w:r>
      <w:r>
        <w:rPr>
          <w:spacing w:val="-9"/>
        </w:rPr>
        <w:t> </w:t>
      </w:r>
      <w:r>
        <w:rPr/>
        <w:t>prophecy might also be true. He visits Duncan, and they plan to dine together at Inverness, Macbeth’s castle. Macbeth writes to Lady Macbeth, telling her</w:t>
      </w:r>
      <w:r>
        <w:rPr>
          <w:spacing w:val="40"/>
        </w:rPr>
        <w:t> </w:t>
      </w:r>
      <w:r>
        <w:rPr/>
        <w:t>all</w:t>
      </w:r>
      <w:r>
        <w:rPr>
          <w:spacing w:val="40"/>
        </w:rPr>
        <w:t> </w:t>
      </w:r>
      <w:r>
        <w:rPr/>
        <w:t>that</w:t>
      </w:r>
      <w:r>
        <w:rPr>
          <w:spacing w:val="40"/>
        </w:rPr>
        <w:t> </w:t>
      </w:r>
      <w:r>
        <w:rPr/>
        <w:t>has</w:t>
      </w:r>
      <w:r>
        <w:rPr>
          <w:spacing w:val="40"/>
        </w:rPr>
        <w:t> </w:t>
      </w:r>
      <w:r>
        <w:rPr/>
        <w:t>happened.</w:t>
      </w:r>
    </w:p>
    <w:p>
      <w:pPr>
        <w:pStyle w:val="BodyText"/>
        <w:spacing w:line="249" w:lineRule="auto" w:before="66"/>
        <w:ind w:right="1438" w:firstLine="432"/>
        <w:jc w:val="both"/>
      </w:pPr>
      <w:r>
        <w:rPr/>
        <w:t>Lady Macbeth suffers none of her husband’s uncertainty. She desires</w:t>
      </w:r>
      <w:r>
        <w:rPr>
          <w:spacing w:val="-1"/>
        </w:rPr>
        <w:t> </w:t>
      </w:r>
      <w:r>
        <w:rPr/>
        <w:t>the kingship for him</w:t>
      </w:r>
      <w:r>
        <w:rPr>
          <w:spacing w:val="-2"/>
        </w:rPr>
        <w:t> </w:t>
      </w:r>
      <w:r>
        <w:rPr/>
        <w:t>and wants him</w:t>
      </w:r>
      <w:r>
        <w:rPr>
          <w:spacing w:val="-2"/>
        </w:rPr>
        <w:t> </w:t>
      </w:r>
      <w:r>
        <w:rPr/>
        <w:t>to murder Duncan</w:t>
      </w:r>
      <w:r>
        <w:rPr>
          <w:spacing w:val="-1"/>
        </w:rPr>
        <w:t> </w:t>
      </w:r>
      <w:r>
        <w:rPr/>
        <w:t>to obtain it. When Macbeth arrives at Inverness, she overrides his objections and persuades him to kill the king that night. They plan to drug Duncan’s </w:t>
      </w:r>
      <w:r>
        <w:rPr>
          <w:spacing w:val="-2"/>
        </w:rPr>
        <w:t>chamberlains,</w:t>
      </w:r>
      <w:r>
        <w:rPr>
          <w:spacing w:val="-11"/>
        </w:rPr>
        <w:t> </w:t>
      </w:r>
      <w:r>
        <w:rPr>
          <w:spacing w:val="-2"/>
        </w:rPr>
        <w:t>blame</w:t>
      </w:r>
      <w:r>
        <w:rPr>
          <w:spacing w:val="-8"/>
        </w:rPr>
        <w:t> </w:t>
      </w:r>
      <w:r>
        <w:rPr>
          <w:spacing w:val="-2"/>
        </w:rPr>
        <w:t>the</w:t>
      </w:r>
      <w:r>
        <w:rPr>
          <w:spacing w:val="-8"/>
        </w:rPr>
        <w:t> </w:t>
      </w:r>
      <w:r>
        <w:rPr>
          <w:spacing w:val="-2"/>
        </w:rPr>
        <w:t>murder</w:t>
      </w:r>
      <w:r>
        <w:rPr>
          <w:spacing w:val="-8"/>
        </w:rPr>
        <w:t> </w:t>
      </w:r>
      <w:r>
        <w:rPr>
          <w:spacing w:val="-2"/>
        </w:rPr>
        <w:t>on</w:t>
      </w:r>
      <w:r>
        <w:rPr>
          <w:spacing w:val="-11"/>
        </w:rPr>
        <w:t> </w:t>
      </w:r>
      <w:r>
        <w:rPr>
          <w:spacing w:val="-2"/>
        </w:rPr>
        <w:t>them,</w:t>
      </w:r>
      <w:r>
        <w:rPr>
          <w:spacing w:val="-8"/>
        </w:rPr>
        <w:t> </w:t>
      </w:r>
      <w:r>
        <w:rPr>
          <w:spacing w:val="-2"/>
        </w:rPr>
        <w:t>and</w:t>
      </w:r>
      <w:r>
        <w:rPr>
          <w:spacing w:val="-8"/>
        </w:rPr>
        <w:t> </w:t>
      </w:r>
      <w:r>
        <w:rPr>
          <w:spacing w:val="-2"/>
        </w:rPr>
        <w:t>seize</w:t>
      </w:r>
      <w:r>
        <w:rPr>
          <w:spacing w:val="-8"/>
        </w:rPr>
        <w:t> </w:t>
      </w:r>
      <w:r>
        <w:rPr>
          <w:spacing w:val="-2"/>
        </w:rPr>
        <w:t>power.</w:t>
      </w:r>
      <w:r>
        <w:rPr>
          <w:spacing w:val="-11"/>
        </w:rPr>
        <w:t> </w:t>
      </w:r>
      <w:r>
        <w:rPr>
          <w:spacing w:val="-2"/>
        </w:rPr>
        <w:t>While</w:t>
      </w:r>
      <w:r>
        <w:rPr>
          <w:spacing w:val="-8"/>
        </w:rPr>
        <w:t> </w:t>
      </w:r>
      <w:r>
        <w:rPr>
          <w:spacing w:val="-2"/>
        </w:rPr>
        <w:t>Duncan </w:t>
      </w:r>
      <w:r>
        <w:rPr/>
        <w:t>sleeps, Macbeth kills him despite supernatural portents, including a vision of a bloody dagger (pp. 33-35). When Duncan’s death is discovered, Macbeth kills the chamberlains and assumes the kingship. Duncan’s sons Malcolm and Donalbain flee to England and Ireland, fearing for their lives.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28480">
                <wp:simplePos x="0" y="0"/>
                <wp:positionH relativeFrom="page">
                  <wp:posOffset>2057400</wp:posOffset>
                </wp:positionH>
                <wp:positionV relativeFrom="paragraph">
                  <wp:posOffset>162604</wp:posOffset>
                </wp:positionV>
                <wp:extent cx="3657600" cy="12700"/>
                <wp:effectExtent l="0" t="0" r="0" b="0"/>
                <wp:wrapTopAndBottom/>
                <wp:docPr id="659" name="Graphic 659"/>
                <wp:cNvGraphicFramePr>
                  <a:graphicFrameLocks/>
                </wp:cNvGraphicFramePr>
                <a:graphic>
                  <a:graphicData uri="http://schemas.microsoft.com/office/word/2010/wordprocessingShape">
                    <wps:wsp>
                      <wps:cNvPr id="659" name="Graphic 65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88000;mso-wrap-distance-left:0;mso-wrap-distance-right:0" id="docshape651" filled="true" fillcolor="#000000" stroked="false">
                <v:fill type="solid"/>
                <w10:wrap type="topAndBottom"/>
              </v:rect>
            </w:pict>
          </mc:Fallback>
        </mc:AlternateContent>
      </w:r>
      <w:r>
        <w:rPr>
          <w:rFonts w:ascii="Verdana"/>
          <w:spacing w:val="-5"/>
          <w:sz w:val="18"/>
        </w:rPr>
        <w:t>320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firstLine="432"/>
        <w:jc w:val="both"/>
      </w:pPr>
      <w:r>
        <w:rPr/>
        <w:t>Fearful</w:t>
      </w:r>
      <w:r>
        <w:rPr>
          <w:spacing w:val="-3"/>
        </w:rPr>
        <w:t> </w:t>
      </w:r>
      <w:r>
        <w:rPr/>
        <w:t>of</w:t>
      </w:r>
      <w:r>
        <w:rPr>
          <w:spacing w:val="-6"/>
        </w:rPr>
        <w:t> </w:t>
      </w:r>
      <w:r>
        <w:rPr/>
        <w:t>the</w:t>
      </w:r>
      <w:r>
        <w:rPr>
          <w:spacing w:val="-2"/>
        </w:rPr>
        <w:t> </w:t>
      </w:r>
      <w:r>
        <w:rPr/>
        <w:t>prophecy</w:t>
      </w:r>
      <w:r>
        <w:rPr>
          <w:spacing w:val="-6"/>
        </w:rPr>
        <w:t> </w:t>
      </w:r>
      <w:r>
        <w:rPr/>
        <w:t>that</w:t>
      </w:r>
      <w:r>
        <w:rPr>
          <w:spacing w:val="-4"/>
        </w:rPr>
        <w:t> </w:t>
      </w:r>
      <w:r>
        <w:rPr/>
        <w:t>Banquo’s</w:t>
      </w:r>
      <w:r>
        <w:rPr>
          <w:spacing w:val="-4"/>
        </w:rPr>
        <w:t> </w:t>
      </w:r>
      <w:r>
        <w:rPr/>
        <w:t>heirs</w:t>
      </w:r>
      <w:r>
        <w:rPr>
          <w:spacing w:val="-3"/>
        </w:rPr>
        <w:t> </w:t>
      </w:r>
      <w:r>
        <w:rPr/>
        <w:t>will</w:t>
      </w:r>
      <w:r>
        <w:rPr>
          <w:spacing w:val="-3"/>
        </w:rPr>
        <w:t> </w:t>
      </w:r>
      <w:r>
        <w:rPr/>
        <w:t>inherit</w:t>
      </w:r>
      <w:r>
        <w:rPr>
          <w:spacing w:val="-6"/>
        </w:rPr>
        <w:t> </w:t>
      </w:r>
      <w:r>
        <w:rPr/>
        <w:t>the</w:t>
      </w:r>
      <w:r>
        <w:rPr>
          <w:spacing w:val="-3"/>
        </w:rPr>
        <w:t> </w:t>
      </w:r>
      <w:r>
        <w:rPr/>
        <w:t>throne, Macbeth hires murderers to</w:t>
      </w:r>
      <w:r>
        <w:rPr>
          <w:spacing w:val="21"/>
        </w:rPr>
        <w:t> </w:t>
      </w:r>
      <w:r>
        <w:rPr/>
        <w:t>kill Banquo and</w:t>
      </w:r>
      <w:r>
        <w:rPr>
          <w:spacing w:val="19"/>
        </w:rPr>
        <w:t> </w:t>
      </w:r>
      <w:r>
        <w:rPr/>
        <w:t>his son Fleance.</w:t>
      </w:r>
      <w:r>
        <w:rPr>
          <w:spacing w:val="19"/>
        </w:rPr>
        <w:t> </w:t>
      </w:r>
      <w:r>
        <w:rPr/>
        <w:t>Banquo</w:t>
      </w:r>
      <w:r>
        <w:rPr>
          <w:spacing w:val="40"/>
        </w:rPr>
        <w:t> </w:t>
      </w:r>
      <w:r>
        <w:rPr/>
        <w:t>is killed, but Fleance escapes. At a royal feast that night, Banquo’s ghost visits Macbeth, who raves fearfully before his guests. Lady Macbeth tries to contain the damage, but Macbeth’s kingship incites increasing resistance.</w:t>
      </w:r>
      <w:r>
        <w:rPr>
          <w:spacing w:val="40"/>
        </w:rPr>
        <w:t> </w:t>
      </w:r>
      <w:r>
        <w:rPr/>
        <w:t>Frightened, Macbeth visits the witches again. They show him apparitions who present further prophecies: he must beware Macduff; no man “of</w:t>
      </w:r>
      <w:r>
        <w:rPr>
          <w:spacing w:val="-2"/>
        </w:rPr>
        <w:t> </w:t>
      </w:r>
      <w:r>
        <w:rPr/>
        <w:t>woman</w:t>
      </w:r>
      <w:r>
        <w:rPr>
          <w:spacing w:val="-2"/>
        </w:rPr>
        <w:t> </w:t>
      </w:r>
      <w:r>
        <w:rPr/>
        <w:t>born” shall harm</w:t>
      </w:r>
      <w:r>
        <w:rPr>
          <w:spacing w:val="-1"/>
        </w:rPr>
        <w:t> </w:t>
      </w:r>
      <w:r>
        <w:rPr/>
        <w:t>him; and he will be safe until Birnam Wood comes to Dunsinane (pp. 80-94). Relieved, Macbeth believes himself invincible. Learning that Macduff has fled to England to join Malcolm, Macbeth orders the murder of Lady Macduff and her children.</w:t>
      </w:r>
    </w:p>
    <w:p>
      <w:pPr>
        <w:pStyle w:val="BodyText"/>
        <w:spacing w:line="249" w:lineRule="auto" w:before="68"/>
        <w:ind w:right="1435" w:firstLine="432"/>
        <w:jc w:val="both"/>
      </w:pPr>
      <w:r>
        <w:rPr>
          <w:spacing w:val="-2"/>
        </w:rPr>
        <w:t>When</w:t>
      </w:r>
      <w:r>
        <w:rPr>
          <w:spacing w:val="-11"/>
        </w:rPr>
        <w:t> </w:t>
      </w:r>
      <w:r>
        <w:rPr>
          <w:spacing w:val="-2"/>
        </w:rPr>
        <w:t>news</w:t>
      </w:r>
      <w:r>
        <w:rPr>
          <w:spacing w:val="-10"/>
        </w:rPr>
        <w:t> </w:t>
      </w:r>
      <w:r>
        <w:rPr>
          <w:spacing w:val="-2"/>
        </w:rPr>
        <w:t>reaches</w:t>
      </w:r>
      <w:r>
        <w:rPr>
          <w:spacing w:val="-11"/>
        </w:rPr>
        <w:t> </w:t>
      </w:r>
      <w:r>
        <w:rPr>
          <w:spacing w:val="-2"/>
        </w:rPr>
        <w:t>Macduff</w:t>
      </w:r>
      <w:r>
        <w:rPr>
          <w:spacing w:val="-10"/>
        </w:rPr>
        <w:t> </w:t>
      </w:r>
      <w:r>
        <w:rPr>
          <w:spacing w:val="-2"/>
        </w:rPr>
        <w:t>in</w:t>
      </w:r>
      <w:r>
        <w:rPr>
          <w:spacing w:val="-11"/>
        </w:rPr>
        <w:t> </w:t>
      </w:r>
      <w:r>
        <w:rPr>
          <w:spacing w:val="-2"/>
        </w:rPr>
        <w:t>England,</w:t>
      </w:r>
      <w:r>
        <w:rPr>
          <w:spacing w:val="-10"/>
        </w:rPr>
        <w:t> </w:t>
      </w:r>
      <w:r>
        <w:rPr>
          <w:spacing w:val="-2"/>
        </w:rPr>
        <w:t>he</w:t>
      </w:r>
      <w:r>
        <w:rPr>
          <w:spacing w:val="-11"/>
        </w:rPr>
        <w:t> </w:t>
      </w:r>
      <w:r>
        <w:rPr>
          <w:spacing w:val="-2"/>
        </w:rPr>
        <w:t>vows</w:t>
      </w:r>
      <w:r>
        <w:rPr>
          <w:spacing w:val="-10"/>
        </w:rPr>
        <w:t> </w:t>
      </w:r>
      <w:r>
        <w:rPr>
          <w:spacing w:val="-2"/>
        </w:rPr>
        <w:t>revenge.</w:t>
      </w:r>
      <w:r>
        <w:rPr>
          <w:spacing w:val="-11"/>
        </w:rPr>
        <w:t> </w:t>
      </w:r>
      <w:r>
        <w:rPr>
          <w:spacing w:val="-2"/>
        </w:rPr>
        <w:t>Malcolm </w:t>
      </w:r>
      <w:r>
        <w:rPr/>
        <w:t>raises an army, and Macduff joins him to challenge Macbeth. Scottish nobles, appalled by Macbeth’s tyranny, support the invasion. Lady Macbeth becomes plagued by sleepwalking, obsessing over imagined bloodstains.</w:t>
      </w:r>
      <w:r>
        <w:rPr>
          <w:spacing w:val="36"/>
        </w:rPr>
        <w:t> </w:t>
      </w:r>
      <w:r>
        <w:rPr/>
        <w:t>Before</w:t>
      </w:r>
      <w:r>
        <w:rPr>
          <w:spacing w:val="34"/>
        </w:rPr>
        <w:t> </w:t>
      </w:r>
      <w:r>
        <w:rPr/>
        <w:t>Macbeth’s</w:t>
      </w:r>
      <w:r>
        <w:rPr>
          <w:spacing w:val="37"/>
        </w:rPr>
        <w:t> </w:t>
      </w:r>
      <w:r>
        <w:rPr/>
        <w:t>opponents</w:t>
      </w:r>
      <w:r>
        <w:rPr>
          <w:spacing w:val="36"/>
        </w:rPr>
        <w:t> </w:t>
      </w:r>
      <w:r>
        <w:rPr/>
        <w:t>arrive,</w:t>
      </w:r>
      <w:r>
        <w:rPr>
          <w:spacing w:val="36"/>
        </w:rPr>
        <w:t> </w:t>
      </w:r>
      <w:r>
        <w:rPr/>
        <w:t>she</w:t>
      </w:r>
      <w:r>
        <w:rPr>
          <w:spacing w:val="35"/>
        </w:rPr>
        <w:t> </w:t>
      </w:r>
      <w:r>
        <w:rPr/>
        <w:t>dies</w:t>
      </w:r>
      <w:r>
        <w:rPr>
          <w:spacing w:val="34"/>
        </w:rPr>
        <w:t> </w:t>
      </w:r>
      <w:r>
        <w:rPr/>
        <w:t>by</w:t>
      </w:r>
      <w:r>
        <w:rPr>
          <w:spacing w:val="33"/>
        </w:rPr>
        <w:t> </w:t>
      </w:r>
      <w:r>
        <w:rPr>
          <w:spacing w:val="-2"/>
        </w:rPr>
        <w:t>suicide</w:t>
      </w:r>
    </w:p>
    <w:p>
      <w:pPr>
        <w:pStyle w:val="BodyText"/>
        <w:spacing w:line="249" w:lineRule="auto" w:before="4"/>
        <w:ind w:right="1437"/>
        <w:jc w:val="both"/>
      </w:pPr>
      <w:r>
        <w:rPr/>
        <w:t>(16). Though fortified at Dunsinane and confident in the prophecies, Macbeth is struck with fear when he learns that the English army advances shielded with boughs cut from Birnam Wood. In the battle, Macduff reveals he was “from his mother’s womb / Untimely ripped” (pp. 15-16) and kills Macbeth. Malcolm</w:t>
      </w:r>
      <w:r>
        <w:rPr>
          <w:spacing w:val="-1"/>
        </w:rPr>
        <w:t> </w:t>
      </w:r>
      <w:r>
        <w:rPr/>
        <w:t>is hailed King of Scotland and invites all to</w:t>
      </w:r>
      <w:r>
        <w:rPr>
          <w:spacing w:val="40"/>
        </w:rPr>
        <w:t> </w:t>
      </w:r>
      <w:r>
        <w:rPr/>
        <w:t>see him crowned</w:t>
      </w:r>
      <w:r>
        <w:rPr>
          <w:spacing w:val="40"/>
        </w:rPr>
        <w:t> </w:t>
      </w:r>
      <w:r>
        <w:rPr/>
        <w:t>at Scone.</w:t>
      </w:r>
    </w:p>
    <w:p>
      <w:pPr>
        <w:pStyle w:val="BodyText"/>
        <w:spacing w:line="249" w:lineRule="auto" w:before="62"/>
        <w:ind w:right="1437" w:firstLine="432"/>
        <w:jc w:val="both"/>
      </w:pPr>
      <w:r>
        <w:rPr/>
        <w:t>Macbeth</w:t>
      </w:r>
      <w:r>
        <w:rPr>
          <w:spacing w:val="-13"/>
        </w:rPr>
        <w:t> </w:t>
      </w:r>
      <w:r>
        <w:rPr/>
        <w:t>is</w:t>
      </w:r>
      <w:r>
        <w:rPr>
          <w:spacing w:val="-12"/>
        </w:rPr>
        <w:t> </w:t>
      </w:r>
      <w:r>
        <w:rPr/>
        <w:t>a</w:t>
      </w:r>
      <w:r>
        <w:rPr>
          <w:spacing w:val="-13"/>
        </w:rPr>
        <w:t> </w:t>
      </w:r>
      <w:r>
        <w:rPr/>
        <w:t>tragedy</w:t>
      </w:r>
      <w:r>
        <w:rPr>
          <w:spacing w:val="-12"/>
        </w:rPr>
        <w:t> </w:t>
      </w:r>
      <w:r>
        <w:rPr/>
        <w:t>of</w:t>
      </w:r>
      <w:r>
        <w:rPr>
          <w:spacing w:val="-13"/>
        </w:rPr>
        <w:t> </w:t>
      </w:r>
      <w:r>
        <w:rPr/>
        <w:t>ambition</w:t>
      </w:r>
      <w:r>
        <w:rPr>
          <w:spacing w:val="-12"/>
        </w:rPr>
        <w:t> </w:t>
      </w:r>
      <w:r>
        <w:rPr/>
        <w:t>in</w:t>
      </w:r>
      <w:r>
        <w:rPr>
          <w:spacing w:val="-13"/>
        </w:rPr>
        <w:t> </w:t>
      </w:r>
      <w:r>
        <w:rPr/>
        <w:t>which</w:t>
      </w:r>
      <w:r>
        <w:rPr>
          <w:spacing w:val="-12"/>
        </w:rPr>
        <w:t> </w:t>
      </w:r>
      <w:r>
        <w:rPr/>
        <w:t>the</w:t>
      </w:r>
      <w:r>
        <w:rPr>
          <w:spacing w:val="-13"/>
        </w:rPr>
        <w:t> </w:t>
      </w:r>
      <w:r>
        <w:rPr/>
        <w:t>protagonist</w:t>
      </w:r>
      <w:r>
        <w:rPr>
          <w:spacing w:val="-12"/>
        </w:rPr>
        <w:t> </w:t>
      </w:r>
      <w:r>
        <w:rPr/>
        <w:t>abandons his morals and brings near destruction to his kingdom. The initial conflict is internal, between Macbeth’s ambition and his loyalty, and between Macbeth and Lady Macbeth as she urges him to act. Once he murders Duncan, the conflict shifts to Macbeth versus those who challenge his authority, particularly Banquo and Macduff. Though Macbeth is the protagonist, he also functions as antagonist because he acts against his own best interests and those of Scotland. The play</w:t>
      </w:r>
      <w:r>
        <w:rPr>
          <w:spacing w:val="40"/>
        </w:rPr>
        <w:t> </w:t>
      </w:r>
      <w:r>
        <w:rPr/>
        <w:t>opens with the consequences of the Thane of Cawdor’s rebellion, foreshadowing the results of overreaching one’s role. The witches’ prophecy</w:t>
      </w:r>
      <w:r>
        <w:rPr>
          <w:spacing w:val="-8"/>
        </w:rPr>
        <w:t> </w:t>
      </w:r>
      <w:r>
        <w:rPr/>
        <w:t>awakens</w:t>
      </w:r>
      <w:r>
        <w:rPr>
          <w:spacing w:val="-3"/>
        </w:rPr>
        <w:t> </w:t>
      </w:r>
      <w:r>
        <w:rPr/>
        <w:t>Macbeth’s</w:t>
      </w:r>
      <w:r>
        <w:rPr>
          <w:spacing w:val="-6"/>
        </w:rPr>
        <w:t> </w:t>
      </w:r>
      <w:r>
        <w:rPr/>
        <w:t>ambition:</w:t>
      </w:r>
      <w:r>
        <w:rPr>
          <w:spacing w:val="-4"/>
        </w:rPr>
        <w:t> </w:t>
      </w:r>
      <w:r>
        <w:rPr/>
        <w:t>“Two</w:t>
      </w:r>
      <w:r>
        <w:rPr>
          <w:spacing w:val="-5"/>
        </w:rPr>
        <w:t> </w:t>
      </w:r>
      <w:r>
        <w:rPr/>
        <w:t>truths</w:t>
      </w:r>
      <w:r>
        <w:rPr>
          <w:spacing w:val="-4"/>
        </w:rPr>
        <w:t> </w:t>
      </w:r>
      <w:r>
        <w:rPr/>
        <w:t>are</w:t>
      </w:r>
      <w:r>
        <w:rPr>
          <w:spacing w:val="-5"/>
        </w:rPr>
        <w:t> </w:t>
      </w:r>
      <w:r>
        <w:rPr/>
        <w:t>told</w:t>
      </w:r>
      <w:r>
        <w:rPr>
          <w:spacing w:val="-4"/>
        </w:rPr>
        <w:t> </w:t>
      </w:r>
      <w:r>
        <w:rPr/>
        <w:t>/</w:t>
      </w:r>
      <w:r>
        <w:rPr>
          <w:spacing w:val="-13"/>
        </w:rPr>
        <w:t> </w:t>
      </w:r>
      <w:r>
        <w:rPr/>
        <w:t>As</w:t>
      </w:r>
      <w:r>
        <w:rPr>
          <w:spacing w:val="-6"/>
        </w:rPr>
        <w:t> </w:t>
      </w:r>
      <w:r>
        <w:rPr/>
        <w:t>happy prologues</w:t>
      </w:r>
      <w:r>
        <w:rPr>
          <w:spacing w:val="-13"/>
        </w:rPr>
        <w:t> </w:t>
      </w:r>
      <w:r>
        <w:rPr/>
        <w:t>to</w:t>
      </w:r>
      <w:r>
        <w:rPr>
          <w:spacing w:val="-12"/>
        </w:rPr>
        <w:t> </w:t>
      </w:r>
      <w:r>
        <w:rPr/>
        <w:t>the</w:t>
      </w:r>
      <w:r>
        <w:rPr>
          <w:spacing w:val="-12"/>
        </w:rPr>
        <w:t> </w:t>
      </w:r>
      <w:r>
        <w:rPr/>
        <w:t>swelling</w:t>
      </w:r>
      <w:r>
        <w:rPr>
          <w:spacing w:val="-13"/>
        </w:rPr>
        <w:t> </w:t>
      </w:r>
      <w:r>
        <w:rPr/>
        <w:t>act</w:t>
      </w:r>
      <w:r>
        <w:rPr>
          <w:spacing w:val="-12"/>
        </w:rPr>
        <w:t> </w:t>
      </w:r>
      <w:r>
        <w:rPr/>
        <w:t>/</w:t>
      </w:r>
      <w:r>
        <w:rPr>
          <w:spacing w:val="-13"/>
        </w:rPr>
        <w:t> </w:t>
      </w:r>
      <w:r>
        <w:rPr/>
        <w:t>Of</w:t>
      </w:r>
      <w:r>
        <w:rPr>
          <w:spacing w:val="-12"/>
        </w:rPr>
        <w:t> </w:t>
      </w:r>
      <w:r>
        <w:rPr/>
        <w:t>the</w:t>
      </w:r>
      <w:r>
        <w:rPr>
          <w:spacing w:val="-11"/>
        </w:rPr>
        <w:t> </w:t>
      </w:r>
      <w:r>
        <w:rPr/>
        <w:t>imperial</w:t>
      </w:r>
      <w:r>
        <w:rPr>
          <w:spacing w:val="-12"/>
        </w:rPr>
        <w:t> </w:t>
      </w:r>
      <w:r>
        <w:rPr/>
        <w:t>theme”</w:t>
      </w:r>
      <w:r>
        <w:rPr>
          <w:spacing w:val="-12"/>
        </w:rPr>
        <w:t> </w:t>
      </w:r>
      <w:r>
        <w:rPr/>
        <w:t>(pp.</w:t>
      </w:r>
      <w:r>
        <w:rPr>
          <w:spacing w:val="-12"/>
        </w:rPr>
        <w:t> </w:t>
      </w:r>
      <w:r>
        <w:rPr/>
        <w:t>128-130).</w:t>
      </w:r>
      <w:r>
        <w:rPr>
          <w:spacing w:val="-12"/>
        </w:rPr>
        <w:t> </w:t>
      </w:r>
      <w:r>
        <w:rPr/>
        <w:t>The crucial turning point occurs when Macbeth chooses to act rather than wait. He recognizes his duty to Duncan “as his kinsman and as his subject”</w:t>
      </w:r>
      <w:r>
        <w:rPr>
          <w:spacing w:val="-11"/>
        </w:rPr>
        <w:t> </w:t>
      </w:r>
      <w:r>
        <w:rPr/>
        <w:t>(P.</w:t>
      </w:r>
      <w:r>
        <w:rPr>
          <w:spacing w:val="-11"/>
        </w:rPr>
        <w:t> </w:t>
      </w:r>
      <w:r>
        <w:rPr/>
        <w:t>13),</w:t>
      </w:r>
      <w:r>
        <w:rPr>
          <w:spacing w:val="-11"/>
        </w:rPr>
        <w:t> </w:t>
      </w:r>
      <w:r>
        <w:rPr/>
        <w:t>but</w:t>
      </w:r>
      <w:r>
        <w:rPr>
          <w:spacing w:val="-11"/>
        </w:rPr>
        <w:t> </w:t>
      </w:r>
      <w:r>
        <w:rPr/>
        <w:t>Lady</w:t>
      </w:r>
      <w:r>
        <w:rPr>
          <w:spacing w:val="-13"/>
        </w:rPr>
        <w:t> </w:t>
      </w:r>
      <w:r>
        <w:rPr/>
        <w:t>Macbeth</w:t>
      </w:r>
      <w:r>
        <w:rPr>
          <w:spacing w:val="-9"/>
        </w:rPr>
        <w:t> </w:t>
      </w:r>
      <w:r>
        <w:rPr/>
        <w:t>manipulates</w:t>
      </w:r>
      <w:r>
        <w:rPr>
          <w:spacing w:val="-11"/>
        </w:rPr>
        <w:t> </w:t>
      </w:r>
      <w:r>
        <w:rPr/>
        <w:t>him,</w:t>
      </w:r>
      <w:r>
        <w:rPr>
          <w:spacing w:val="-10"/>
        </w:rPr>
        <w:t> </w:t>
      </w:r>
      <w:r>
        <w:rPr/>
        <w:t>asking,</w:t>
      </w:r>
      <w:r>
        <w:rPr>
          <w:spacing w:val="-11"/>
        </w:rPr>
        <w:t> </w:t>
      </w:r>
      <w:r>
        <w:rPr/>
        <w:t>“When</w:t>
      </w:r>
      <w:r>
        <w:rPr>
          <w:spacing w:val="-13"/>
        </w:rPr>
        <w:t> </w:t>
      </w:r>
      <w:r>
        <w:rPr/>
        <w:t>you durst do it, then you were a man” (P. 49). After Duncan’s murder, Macbeth’s</w:t>
      </w:r>
      <w:r>
        <w:rPr>
          <w:spacing w:val="13"/>
        </w:rPr>
        <w:t> </w:t>
      </w:r>
      <w:r>
        <w:rPr/>
        <w:t>conflict</w:t>
      </w:r>
      <w:r>
        <w:rPr>
          <w:spacing w:val="14"/>
        </w:rPr>
        <w:t> </w:t>
      </w:r>
      <w:r>
        <w:rPr/>
        <w:t>becomes</w:t>
      </w:r>
      <w:r>
        <w:rPr>
          <w:spacing w:val="14"/>
        </w:rPr>
        <w:t> </w:t>
      </w:r>
      <w:r>
        <w:rPr/>
        <w:t>external.</w:t>
      </w:r>
      <w:r>
        <w:rPr>
          <w:spacing w:val="13"/>
        </w:rPr>
        <w:t> </w:t>
      </w:r>
      <w:r>
        <w:rPr/>
        <w:t>Having</w:t>
      </w:r>
      <w:r>
        <w:rPr>
          <w:spacing w:val="12"/>
        </w:rPr>
        <w:t> </w:t>
      </w:r>
      <w:r>
        <w:rPr/>
        <w:t>damned</w:t>
      </w:r>
      <w:r>
        <w:rPr>
          <w:spacing w:val="15"/>
        </w:rPr>
        <w:t> </w:t>
      </w:r>
      <w:r>
        <w:rPr/>
        <w:t>himself,</w:t>
      </w:r>
      <w:r>
        <w:rPr>
          <w:spacing w:val="13"/>
        </w:rPr>
        <w:t> </w:t>
      </w:r>
      <w:r>
        <w:rPr/>
        <w:t>he</w:t>
      </w:r>
      <w:r>
        <w:rPr>
          <w:spacing w:val="13"/>
        </w:rPr>
        <w:t> </w:t>
      </w:r>
      <w:r>
        <w:rPr>
          <w:spacing w:val="-4"/>
        </w:rPr>
        <w:t>will</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28992">
                <wp:simplePos x="0" y="0"/>
                <wp:positionH relativeFrom="page">
                  <wp:posOffset>2065020</wp:posOffset>
                </wp:positionH>
                <wp:positionV relativeFrom="paragraph">
                  <wp:posOffset>795020</wp:posOffset>
                </wp:positionV>
                <wp:extent cx="3657600" cy="12700"/>
                <wp:effectExtent l="0" t="0" r="0" b="0"/>
                <wp:wrapTopAndBottom/>
                <wp:docPr id="660" name="Graphic 660"/>
                <wp:cNvGraphicFramePr>
                  <a:graphicFrameLocks/>
                </wp:cNvGraphicFramePr>
                <a:graphic>
                  <a:graphicData uri="http://schemas.microsoft.com/office/word/2010/wordprocessingShape">
                    <wps:wsp>
                      <wps:cNvPr id="660" name="Graphic 66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87488;mso-wrap-distance-left:0;mso-wrap-distance-right:0" id="docshape652" filled="true" fillcolor="#000000" stroked="false">
                <v:fill type="solid"/>
                <w10:wrap type="topAndBottom"/>
              </v:rect>
            </w:pict>
          </mc:Fallback>
        </mc:AlternateContent>
      </w:r>
      <w:r>
        <w:rPr>
          <w:rFonts w:ascii="Verdana" w:hAnsi="Verdana"/>
          <w:spacing w:val="-2"/>
          <w:sz w:val="18"/>
        </w:rPr>
        <w:t>Shakespeare’s</w:t>
      </w:r>
      <w:r>
        <w:rPr>
          <w:rFonts w:ascii="Verdana" w:hAnsi="Verdana"/>
          <w:spacing w:val="12"/>
          <w:sz w:val="18"/>
        </w:rPr>
        <w:t> </w:t>
      </w:r>
      <w:r>
        <w:rPr>
          <w:rFonts w:ascii="Verdana" w:hAnsi="Verdana"/>
          <w:spacing w:val="-2"/>
          <w:sz w:val="18"/>
        </w:rPr>
        <w:t>Representation</w:t>
      </w:r>
      <w:r>
        <w:rPr>
          <w:rFonts w:ascii="Verdana" w:hAnsi="Verdana"/>
          <w:spacing w:val="16"/>
          <w:sz w:val="18"/>
        </w:rPr>
        <w:t> </w:t>
      </w:r>
      <w:r>
        <w:rPr>
          <w:rFonts w:ascii="Verdana" w:hAnsi="Verdana"/>
          <w:spacing w:val="-2"/>
          <w:sz w:val="18"/>
        </w:rPr>
        <w:t>of</w:t>
      </w:r>
      <w:r>
        <w:rPr>
          <w:rFonts w:ascii="Verdana" w:hAnsi="Verdana"/>
          <w:spacing w:val="15"/>
          <w:sz w:val="18"/>
        </w:rPr>
        <w:t> </w:t>
      </w:r>
      <w:r>
        <w:rPr>
          <w:rFonts w:ascii="Verdana" w:hAnsi="Verdana"/>
          <w:spacing w:val="-2"/>
          <w:sz w:val="18"/>
        </w:rPr>
        <w:t>Women:</w:t>
      </w:r>
      <w:r>
        <w:rPr>
          <w:rFonts w:ascii="Verdana" w:hAnsi="Verdana"/>
          <w:spacing w:val="15"/>
          <w:sz w:val="18"/>
        </w:rPr>
        <w:t> </w:t>
      </w:r>
      <w:r>
        <w:rPr>
          <w:rFonts w:ascii="Verdana" w:hAnsi="Verdana"/>
          <w:spacing w:val="-2"/>
          <w:sz w:val="18"/>
        </w:rPr>
        <w:t>Power...</w:t>
      </w:r>
      <w:r>
        <w:rPr>
          <w:sz w:val="18"/>
        </w:rPr>
        <w:tab/>
      </w:r>
      <w:r>
        <w:rPr>
          <w:rFonts w:ascii="Verdana" w:hAnsi="Verdana"/>
          <w:spacing w:val="-5"/>
          <w:sz w:val="18"/>
        </w:rPr>
        <w:t>321</w:t>
      </w:r>
    </w:p>
    <w:p>
      <w:pPr>
        <w:pStyle w:val="BodyText"/>
        <w:spacing w:line="249" w:lineRule="auto" w:before="192"/>
        <w:ind w:right="1440"/>
        <w:jc w:val="both"/>
      </w:pPr>
      <w:r>
        <w:rPr/>
        <w:t>stop</w:t>
      </w:r>
      <w:r>
        <w:rPr>
          <w:spacing w:val="-6"/>
        </w:rPr>
        <w:t> </w:t>
      </w:r>
      <w:r>
        <w:rPr/>
        <w:t>at</w:t>
      </w:r>
      <w:r>
        <w:rPr>
          <w:spacing w:val="-6"/>
        </w:rPr>
        <w:t> </w:t>
      </w:r>
      <w:r>
        <w:rPr/>
        <w:t>nothing</w:t>
      </w:r>
      <w:r>
        <w:rPr>
          <w:spacing w:val="-7"/>
        </w:rPr>
        <w:t> </w:t>
      </w:r>
      <w:r>
        <w:rPr/>
        <w:t>to</w:t>
      </w:r>
      <w:r>
        <w:rPr>
          <w:spacing w:val="-6"/>
        </w:rPr>
        <w:t> </w:t>
      </w:r>
      <w:r>
        <w:rPr/>
        <w:t>retain</w:t>
      </w:r>
      <w:r>
        <w:rPr>
          <w:spacing w:val="-7"/>
        </w:rPr>
        <w:t> </w:t>
      </w:r>
      <w:r>
        <w:rPr/>
        <w:t>power.</w:t>
      </w:r>
      <w:r>
        <w:rPr>
          <w:spacing w:val="-6"/>
        </w:rPr>
        <w:t> </w:t>
      </w:r>
      <w:r>
        <w:rPr/>
        <w:t>He</w:t>
      </w:r>
      <w:r>
        <w:rPr>
          <w:spacing w:val="-7"/>
        </w:rPr>
        <w:t> </w:t>
      </w:r>
      <w:r>
        <w:rPr/>
        <w:t>arranges</w:t>
      </w:r>
      <w:r>
        <w:rPr>
          <w:spacing w:val="-7"/>
        </w:rPr>
        <w:t> </w:t>
      </w:r>
      <w:r>
        <w:rPr/>
        <w:t>Banquo’s</w:t>
      </w:r>
      <w:r>
        <w:rPr>
          <w:spacing w:val="-7"/>
        </w:rPr>
        <w:t> </w:t>
      </w:r>
      <w:r>
        <w:rPr/>
        <w:t>murder,</w:t>
      </w:r>
      <w:r>
        <w:rPr>
          <w:spacing w:val="-6"/>
        </w:rPr>
        <w:t> </w:t>
      </w:r>
      <w:r>
        <w:rPr/>
        <w:t>and</w:t>
      </w:r>
      <w:r>
        <w:rPr>
          <w:spacing w:val="-4"/>
        </w:rPr>
        <w:t> </w:t>
      </w:r>
      <w:r>
        <w:rPr/>
        <w:t>roles reverse:</w:t>
      </w:r>
      <w:r>
        <w:rPr>
          <w:spacing w:val="-1"/>
        </w:rPr>
        <w:t> </w:t>
      </w:r>
      <w:r>
        <w:rPr/>
        <w:t>Macbeth</w:t>
      </w:r>
      <w:r>
        <w:rPr>
          <w:spacing w:val="-3"/>
        </w:rPr>
        <w:t> </w:t>
      </w:r>
      <w:r>
        <w:rPr/>
        <w:t>becomes</w:t>
      </w:r>
      <w:r>
        <w:rPr>
          <w:spacing w:val="-1"/>
        </w:rPr>
        <w:t> </w:t>
      </w:r>
      <w:r>
        <w:rPr/>
        <w:t>decisive</w:t>
      </w:r>
      <w:r>
        <w:rPr>
          <w:spacing w:val="-3"/>
        </w:rPr>
        <w:t> </w:t>
      </w:r>
      <w:r>
        <w:rPr/>
        <w:t>while Lady</w:t>
      </w:r>
      <w:r>
        <w:rPr>
          <w:spacing w:val="-3"/>
        </w:rPr>
        <w:t> </w:t>
      </w:r>
      <w:r>
        <w:rPr/>
        <w:t>Macbeth</w:t>
      </w:r>
      <w:r>
        <w:rPr>
          <w:spacing w:val="-3"/>
        </w:rPr>
        <w:t> </w:t>
      </w:r>
      <w:r>
        <w:rPr/>
        <w:t>urges</w:t>
      </w:r>
      <w:r>
        <w:rPr>
          <w:spacing w:val="-3"/>
        </w:rPr>
        <w:t> </w:t>
      </w:r>
      <w:r>
        <w:rPr/>
        <w:t>restraint (P.</w:t>
      </w:r>
      <w:r>
        <w:rPr>
          <w:spacing w:val="-1"/>
        </w:rPr>
        <w:t> </w:t>
      </w:r>
      <w:r>
        <w:rPr/>
        <w:t>35). Lennox’s</w:t>
      </w:r>
      <w:r>
        <w:rPr>
          <w:spacing w:val="-1"/>
        </w:rPr>
        <w:t> </w:t>
      </w:r>
      <w:r>
        <w:rPr/>
        <w:t>speech in</w:t>
      </w:r>
      <w:r>
        <w:rPr>
          <w:spacing w:val="-1"/>
        </w:rPr>
        <w:t> </w:t>
      </w:r>
      <w:r>
        <w:rPr/>
        <w:t>3.6 clarifies</w:t>
      </w:r>
      <w:r>
        <w:rPr>
          <w:spacing w:val="-1"/>
        </w:rPr>
        <w:t> </w:t>
      </w:r>
      <w:r>
        <w:rPr/>
        <w:t>that Macbeth</w:t>
      </w:r>
      <w:r>
        <w:rPr>
          <w:spacing w:val="-3"/>
        </w:rPr>
        <w:t> </w:t>
      </w:r>
      <w:r>
        <w:rPr/>
        <w:t>is now</w:t>
      </w:r>
      <w:r>
        <w:rPr>
          <w:spacing w:val="-4"/>
        </w:rPr>
        <w:t> </w:t>
      </w:r>
      <w:r>
        <w:rPr/>
        <w:t>viewed as </w:t>
      </w:r>
      <w:r>
        <w:rPr>
          <w:spacing w:val="-2"/>
        </w:rPr>
        <w:t>a</w:t>
      </w:r>
      <w:r>
        <w:rPr>
          <w:spacing w:val="-6"/>
        </w:rPr>
        <w:t> </w:t>
      </w:r>
      <w:r>
        <w:rPr>
          <w:spacing w:val="-2"/>
        </w:rPr>
        <w:t>usurper.</w:t>
      </w:r>
      <w:r>
        <w:rPr>
          <w:spacing w:val="-10"/>
        </w:rPr>
        <w:t> </w:t>
      </w:r>
      <w:r>
        <w:rPr>
          <w:spacing w:val="-2"/>
        </w:rPr>
        <w:t>Macbeth’s</w:t>
      </w:r>
      <w:r>
        <w:rPr>
          <w:spacing w:val="-7"/>
        </w:rPr>
        <w:t> </w:t>
      </w:r>
      <w:r>
        <w:rPr>
          <w:spacing w:val="-2"/>
        </w:rPr>
        <w:t>order</w:t>
      </w:r>
      <w:r>
        <w:rPr>
          <w:spacing w:val="-7"/>
        </w:rPr>
        <w:t> </w:t>
      </w:r>
      <w:r>
        <w:rPr>
          <w:spacing w:val="-2"/>
        </w:rPr>
        <w:t>to</w:t>
      </w:r>
      <w:r>
        <w:rPr>
          <w:spacing w:val="-5"/>
        </w:rPr>
        <w:t> </w:t>
      </w:r>
      <w:r>
        <w:rPr>
          <w:spacing w:val="-2"/>
        </w:rPr>
        <w:t>murder</w:t>
      </w:r>
      <w:r>
        <w:rPr>
          <w:spacing w:val="-5"/>
        </w:rPr>
        <w:t> </w:t>
      </w:r>
      <w:r>
        <w:rPr>
          <w:spacing w:val="-2"/>
        </w:rPr>
        <w:t>Macduff’s</w:t>
      </w:r>
      <w:r>
        <w:rPr>
          <w:spacing w:val="-10"/>
        </w:rPr>
        <w:t> </w:t>
      </w:r>
      <w:r>
        <w:rPr>
          <w:spacing w:val="-2"/>
        </w:rPr>
        <w:t>family</w:t>
      </w:r>
      <w:r>
        <w:rPr>
          <w:spacing w:val="-10"/>
        </w:rPr>
        <w:t> </w:t>
      </w:r>
      <w:r>
        <w:rPr>
          <w:spacing w:val="-2"/>
        </w:rPr>
        <w:t>creates</w:t>
      </w:r>
      <w:r>
        <w:rPr>
          <w:spacing w:val="-10"/>
        </w:rPr>
        <w:t> </w:t>
      </w:r>
      <w:r>
        <w:rPr>
          <w:spacing w:val="-2"/>
        </w:rPr>
        <w:t>a</w:t>
      </w:r>
      <w:r>
        <w:rPr>
          <w:spacing w:val="-6"/>
        </w:rPr>
        <w:t> </w:t>
      </w:r>
      <w:r>
        <w:rPr>
          <w:spacing w:val="-2"/>
        </w:rPr>
        <w:t>personal </w:t>
      </w:r>
      <w:r>
        <w:rPr/>
        <w:t>conflict;</w:t>
      </w:r>
      <w:r>
        <w:rPr>
          <w:spacing w:val="-4"/>
        </w:rPr>
        <w:t> </w:t>
      </w:r>
      <w:r>
        <w:rPr/>
        <w:t>Macduff</w:t>
      </w:r>
      <w:r>
        <w:rPr>
          <w:spacing w:val="-7"/>
        </w:rPr>
        <w:t> </w:t>
      </w:r>
      <w:r>
        <w:rPr/>
        <w:t>vows</w:t>
      </w:r>
      <w:r>
        <w:rPr>
          <w:spacing w:val="-4"/>
        </w:rPr>
        <w:t> </w:t>
      </w:r>
      <w:r>
        <w:rPr/>
        <w:t>to</w:t>
      </w:r>
      <w:r>
        <w:rPr>
          <w:spacing w:val="-3"/>
        </w:rPr>
        <w:t> </w:t>
      </w:r>
      <w:r>
        <w:rPr/>
        <w:t>“Bring</w:t>
      </w:r>
      <w:r>
        <w:rPr>
          <w:spacing w:val="-7"/>
        </w:rPr>
        <w:t> </w:t>
      </w:r>
      <w:r>
        <w:rPr/>
        <w:t>thou</w:t>
      </w:r>
      <w:r>
        <w:rPr>
          <w:spacing w:val="-4"/>
        </w:rPr>
        <w:t> </w:t>
      </w:r>
      <w:r>
        <w:rPr/>
        <w:t>this</w:t>
      </w:r>
      <w:r>
        <w:rPr>
          <w:spacing w:val="-7"/>
        </w:rPr>
        <w:t> </w:t>
      </w:r>
      <w:r>
        <w:rPr/>
        <w:t>fiend</w:t>
      </w:r>
      <w:r>
        <w:rPr>
          <w:spacing w:val="-1"/>
        </w:rPr>
        <w:t> </w:t>
      </w:r>
      <w:r>
        <w:rPr/>
        <w:t>of</w:t>
      </w:r>
      <w:r>
        <w:rPr>
          <w:spacing w:val="-5"/>
        </w:rPr>
        <w:t> </w:t>
      </w:r>
      <w:r>
        <w:rPr/>
        <w:t>Scotland</w:t>
      </w:r>
      <w:r>
        <w:rPr>
          <w:spacing w:val="-4"/>
        </w:rPr>
        <w:t> </w:t>
      </w:r>
      <w:r>
        <w:rPr/>
        <w:t>and</w:t>
      </w:r>
      <w:r>
        <w:rPr>
          <w:spacing w:val="-1"/>
        </w:rPr>
        <w:t> </w:t>
      </w:r>
      <w:r>
        <w:rPr>
          <w:spacing w:val="-2"/>
        </w:rPr>
        <w:t>myself</w:t>
      </w:r>
    </w:p>
    <w:p>
      <w:pPr>
        <w:pStyle w:val="BodyText"/>
        <w:spacing w:line="249" w:lineRule="auto" w:before="4"/>
        <w:ind w:right="1439"/>
        <w:jc w:val="both"/>
      </w:pPr>
      <w:r>
        <w:rPr>
          <w:spacing w:val="-4"/>
        </w:rPr>
        <w:t>/</w:t>
      </w:r>
      <w:r>
        <w:rPr>
          <w:spacing w:val="-9"/>
        </w:rPr>
        <w:t> </w:t>
      </w:r>
      <w:r>
        <w:rPr>
          <w:spacing w:val="-4"/>
        </w:rPr>
        <w:t>Within</w:t>
      </w:r>
      <w:r>
        <w:rPr>
          <w:spacing w:val="-8"/>
        </w:rPr>
        <w:t> </w:t>
      </w:r>
      <w:r>
        <w:rPr>
          <w:spacing w:val="-4"/>
        </w:rPr>
        <w:t>my</w:t>
      </w:r>
      <w:r>
        <w:rPr>
          <w:spacing w:val="-9"/>
        </w:rPr>
        <w:t> </w:t>
      </w:r>
      <w:r>
        <w:rPr>
          <w:spacing w:val="-4"/>
        </w:rPr>
        <w:t>sword’s</w:t>
      </w:r>
      <w:r>
        <w:rPr>
          <w:spacing w:val="-8"/>
        </w:rPr>
        <w:t> </w:t>
      </w:r>
      <w:r>
        <w:rPr>
          <w:spacing w:val="-4"/>
        </w:rPr>
        <w:t>length</w:t>
      </w:r>
      <w:r>
        <w:rPr>
          <w:spacing w:val="-9"/>
        </w:rPr>
        <w:t> </w:t>
      </w:r>
      <w:r>
        <w:rPr>
          <w:spacing w:val="-4"/>
        </w:rPr>
        <w:t>set</w:t>
      </w:r>
      <w:r>
        <w:rPr>
          <w:spacing w:val="-8"/>
        </w:rPr>
        <w:t> </w:t>
      </w:r>
      <w:r>
        <w:rPr>
          <w:spacing w:val="-4"/>
        </w:rPr>
        <w:t>him”</w:t>
      </w:r>
      <w:r>
        <w:rPr>
          <w:spacing w:val="-9"/>
        </w:rPr>
        <w:t> </w:t>
      </w:r>
      <w:r>
        <w:rPr>
          <w:spacing w:val="-4"/>
        </w:rPr>
        <w:t>(pp.</w:t>
      </w:r>
      <w:r>
        <w:rPr>
          <w:spacing w:val="-8"/>
        </w:rPr>
        <w:t> </w:t>
      </w:r>
      <w:r>
        <w:rPr>
          <w:spacing w:val="-4"/>
        </w:rPr>
        <w:t>234-235).</w:t>
      </w:r>
      <w:r>
        <w:rPr>
          <w:spacing w:val="-6"/>
        </w:rPr>
        <w:t> </w:t>
      </w:r>
      <w:r>
        <w:rPr>
          <w:spacing w:val="-4"/>
        </w:rPr>
        <w:t>Macbeth’s</w:t>
      </w:r>
      <w:r>
        <w:rPr>
          <w:spacing w:val="-8"/>
        </w:rPr>
        <w:t> </w:t>
      </w:r>
      <w:r>
        <w:rPr>
          <w:spacing w:val="-4"/>
        </w:rPr>
        <w:t>overreliance </w:t>
      </w:r>
      <w:r>
        <w:rPr/>
        <w:t>on prophecy leads to his downfall when he misinterprets the witches’ equivocations, learning too late that they “palter with us in a double sense” (P. 20). His death resolves the political conflict, and Malcolm’s brief falling action promises restoration.</w:t>
      </w:r>
    </w:p>
    <w:p>
      <w:pPr>
        <w:pStyle w:val="BodyText"/>
        <w:spacing w:line="264" w:lineRule="auto" w:before="69"/>
        <w:ind w:right="1438" w:firstLine="432"/>
        <w:jc w:val="both"/>
      </w:pPr>
      <w:r>
        <w:rPr/>
        <w:t>A.C. Bradley’s Shakespearean Tragedy (1904) established Lady Macbeth</w:t>
      </w:r>
      <w:r>
        <w:rPr>
          <w:spacing w:val="-8"/>
        </w:rPr>
        <w:t> </w:t>
      </w:r>
      <w:r>
        <w:rPr/>
        <w:t>as</w:t>
      </w:r>
      <w:r>
        <w:rPr>
          <w:spacing w:val="-8"/>
        </w:rPr>
        <w:t> </w:t>
      </w:r>
      <w:r>
        <w:rPr/>
        <w:t>“magnificent”</w:t>
      </w:r>
      <w:r>
        <w:rPr>
          <w:spacing w:val="-8"/>
        </w:rPr>
        <w:t> </w:t>
      </w:r>
      <w:r>
        <w:rPr/>
        <w:t>yet</w:t>
      </w:r>
      <w:r>
        <w:rPr>
          <w:spacing w:val="-7"/>
        </w:rPr>
        <w:t> </w:t>
      </w:r>
      <w:r>
        <w:rPr/>
        <w:t>ultimately</w:t>
      </w:r>
      <w:r>
        <w:rPr>
          <w:spacing w:val="-12"/>
        </w:rPr>
        <w:t> </w:t>
      </w:r>
      <w:r>
        <w:rPr/>
        <w:t>destroyed</w:t>
      </w:r>
      <w:r>
        <w:rPr>
          <w:spacing w:val="-7"/>
        </w:rPr>
        <w:t> </w:t>
      </w:r>
      <w:r>
        <w:rPr/>
        <w:t>by</w:t>
      </w:r>
      <w:r>
        <w:rPr>
          <w:spacing w:val="-10"/>
        </w:rPr>
        <w:t> </w:t>
      </w:r>
      <w:r>
        <w:rPr/>
        <w:t>her</w:t>
      </w:r>
      <w:r>
        <w:rPr>
          <w:spacing w:val="-7"/>
        </w:rPr>
        <w:t> </w:t>
      </w:r>
      <w:r>
        <w:rPr/>
        <w:t>own</w:t>
      </w:r>
      <w:r>
        <w:rPr>
          <w:spacing w:val="-8"/>
        </w:rPr>
        <w:t> </w:t>
      </w:r>
      <w:r>
        <w:rPr/>
        <w:t>feminine nature, setting a pattern of reading her as exceptional but contained (Bradley pp. 336-339). Early critics largely ignored the Witches except as supernatural machinery and treated Lady Macduff as a sentimental interlude. The dominant assumption was that Macbeth endorses Jacobean</w:t>
      </w:r>
      <w:r>
        <w:rPr>
          <w:spacing w:val="40"/>
        </w:rPr>
        <w:t> </w:t>
      </w:r>
      <w:r>
        <w:rPr/>
        <w:t>hierarchy</w:t>
      </w:r>
      <w:r>
        <w:rPr>
          <w:spacing w:val="40"/>
        </w:rPr>
        <w:t> </w:t>
      </w:r>
      <w:r>
        <w:rPr/>
        <w:t>by</w:t>
      </w:r>
      <w:r>
        <w:rPr>
          <w:spacing w:val="40"/>
        </w:rPr>
        <w:t> </w:t>
      </w:r>
      <w:r>
        <w:rPr/>
        <w:t>punishing</w:t>
      </w:r>
      <w:r>
        <w:rPr>
          <w:spacing w:val="40"/>
        </w:rPr>
        <w:t> </w:t>
      </w:r>
      <w:r>
        <w:rPr/>
        <w:t>female</w:t>
      </w:r>
      <w:r>
        <w:rPr>
          <w:spacing w:val="40"/>
        </w:rPr>
        <w:t> </w:t>
      </w:r>
      <w:r>
        <w:rPr/>
        <w:t>transgression.</w:t>
      </w:r>
    </w:p>
    <w:p>
      <w:pPr>
        <w:pStyle w:val="BodyText"/>
        <w:spacing w:line="266" w:lineRule="auto" w:before="65"/>
        <w:ind w:right="1435" w:firstLine="432"/>
        <w:jc w:val="both"/>
      </w:pPr>
      <w:r>
        <w:rPr/>
        <w:t>Juliet</w:t>
      </w:r>
      <w:r>
        <w:rPr>
          <w:spacing w:val="-13"/>
        </w:rPr>
        <w:t> </w:t>
      </w:r>
      <w:r>
        <w:rPr/>
        <w:t>Dusinberre</w:t>
      </w:r>
      <w:r>
        <w:rPr>
          <w:spacing w:val="-12"/>
        </w:rPr>
        <w:t> </w:t>
      </w:r>
      <w:r>
        <w:rPr/>
        <w:t>argued</w:t>
      </w:r>
      <w:r>
        <w:rPr>
          <w:spacing w:val="-13"/>
        </w:rPr>
        <w:t> </w:t>
      </w:r>
      <w:r>
        <w:rPr/>
        <w:t>that</w:t>
      </w:r>
      <w:r>
        <w:rPr>
          <w:spacing w:val="-12"/>
        </w:rPr>
        <w:t> </w:t>
      </w:r>
      <w:r>
        <w:rPr/>
        <w:t>Shakespeare’s</w:t>
      </w:r>
      <w:r>
        <w:rPr>
          <w:spacing w:val="-13"/>
        </w:rPr>
        <w:t> </w:t>
      </w:r>
      <w:r>
        <w:rPr/>
        <w:t>women</w:t>
      </w:r>
      <w:r>
        <w:rPr>
          <w:spacing w:val="-12"/>
        </w:rPr>
        <w:t> </w:t>
      </w:r>
      <w:r>
        <w:rPr/>
        <w:t>often</w:t>
      </w:r>
      <w:r>
        <w:rPr>
          <w:spacing w:val="-13"/>
        </w:rPr>
        <w:t> </w:t>
      </w:r>
      <w:r>
        <w:rPr/>
        <w:t>articulate challenges to patriarchal limits, reading Lady Macbeth’s “unsex me” speech as a rational response to a culture that equates power with masculinity (Dusinberre pp. 277-280). Coppélia Kahn linked Lady Macbeth’s</w:t>
      </w:r>
      <w:r>
        <w:rPr>
          <w:spacing w:val="-8"/>
        </w:rPr>
        <w:t> </w:t>
      </w:r>
      <w:r>
        <w:rPr/>
        <w:t>ambition</w:t>
      </w:r>
      <w:r>
        <w:rPr>
          <w:spacing w:val="-8"/>
        </w:rPr>
        <w:t> </w:t>
      </w:r>
      <w:r>
        <w:rPr/>
        <w:t>to</w:t>
      </w:r>
      <w:r>
        <w:rPr>
          <w:spacing w:val="-5"/>
        </w:rPr>
        <w:t> </w:t>
      </w:r>
      <w:r>
        <w:rPr/>
        <w:t>Macbeth’s</w:t>
      </w:r>
      <w:r>
        <w:rPr>
          <w:spacing w:val="-10"/>
        </w:rPr>
        <w:t> </w:t>
      </w:r>
      <w:r>
        <w:rPr/>
        <w:t>masculine</w:t>
      </w:r>
      <w:r>
        <w:rPr>
          <w:spacing w:val="-7"/>
        </w:rPr>
        <w:t> </w:t>
      </w:r>
      <w:r>
        <w:rPr/>
        <w:t>insecurity,</w:t>
      </w:r>
      <w:r>
        <w:rPr>
          <w:spacing w:val="-7"/>
        </w:rPr>
        <w:t> </w:t>
      </w:r>
      <w:r>
        <w:rPr/>
        <w:t>arguing</w:t>
      </w:r>
      <w:r>
        <w:rPr>
          <w:spacing w:val="-8"/>
        </w:rPr>
        <w:t> </w:t>
      </w:r>
      <w:r>
        <w:rPr/>
        <w:t>that</w:t>
      </w:r>
      <w:r>
        <w:rPr>
          <w:spacing w:val="-7"/>
        </w:rPr>
        <w:t> </w:t>
      </w:r>
      <w:r>
        <w:rPr/>
        <w:t>she “mothers Macbeth into a parody of masculinity” by shaming his reluctance</w:t>
      </w:r>
      <w:r>
        <w:rPr>
          <w:spacing w:val="-11"/>
        </w:rPr>
        <w:t> </w:t>
      </w:r>
      <w:r>
        <w:rPr/>
        <w:t>(Kahn</w:t>
      </w:r>
      <w:r>
        <w:rPr>
          <w:spacing w:val="-9"/>
        </w:rPr>
        <w:t> </w:t>
      </w:r>
      <w:r>
        <w:rPr/>
        <w:t>pp.</w:t>
      </w:r>
      <w:r>
        <w:rPr>
          <w:spacing w:val="-11"/>
        </w:rPr>
        <w:t> </w:t>
      </w:r>
      <w:r>
        <w:rPr/>
        <w:t>171-173).</w:t>
      </w:r>
      <w:r>
        <w:rPr>
          <w:spacing w:val="-9"/>
        </w:rPr>
        <w:t> </w:t>
      </w:r>
      <w:r>
        <w:rPr/>
        <w:t>Joan</w:t>
      </w:r>
      <w:r>
        <w:rPr>
          <w:spacing w:val="-13"/>
        </w:rPr>
        <w:t> </w:t>
      </w:r>
      <w:r>
        <w:rPr/>
        <w:t>Larsen</w:t>
      </w:r>
      <w:r>
        <w:rPr>
          <w:spacing w:val="-12"/>
        </w:rPr>
        <w:t> </w:t>
      </w:r>
      <w:r>
        <w:rPr/>
        <w:t>Klein</w:t>
      </w:r>
      <w:r>
        <w:rPr>
          <w:spacing w:val="-9"/>
        </w:rPr>
        <w:t> </w:t>
      </w:r>
      <w:r>
        <w:rPr/>
        <w:t>read</w:t>
      </w:r>
      <w:r>
        <w:rPr>
          <w:spacing w:val="-11"/>
        </w:rPr>
        <w:t> </w:t>
      </w:r>
      <w:r>
        <w:rPr/>
        <w:t>Lady</w:t>
      </w:r>
      <w:r>
        <w:rPr>
          <w:spacing w:val="-13"/>
        </w:rPr>
        <w:t> </w:t>
      </w:r>
      <w:r>
        <w:rPr/>
        <w:t>Macbeth</w:t>
      </w:r>
      <w:r>
        <w:rPr>
          <w:spacing w:val="-12"/>
        </w:rPr>
        <w:t> </w:t>
      </w:r>
      <w:r>
        <w:rPr/>
        <w:t>as a “fiend-like queen” whose collapse reaffirms gender hierarchy, yet noted that her breakdown exposes the cost of patriarchal repression (Klein</w:t>
      </w:r>
      <w:r>
        <w:rPr>
          <w:spacing w:val="-4"/>
        </w:rPr>
        <w:t> </w:t>
      </w:r>
      <w:r>
        <w:rPr/>
        <w:t>P.</w:t>
      </w:r>
      <w:r>
        <w:rPr>
          <w:spacing w:val="-2"/>
        </w:rPr>
        <w:t> </w:t>
      </w:r>
      <w:r>
        <w:rPr/>
        <w:t>247).</w:t>
      </w:r>
      <w:r>
        <w:rPr>
          <w:spacing w:val="-2"/>
        </w:rPr>
        <w:t> </w:t>
      </w:r>
      <w:r>
        <w:rPr/>
        <w:t>During</w:t>
      </w:r>
      <w:r>
        <w:rPr>
          <w:spacing w:val="-4"/>
        </w:rPr>
        <w:t> </w:t>
      </w:r>
      <w:r>
        <w:rPr/>
        <w:t>this</w:t>
      </w:r>
      <w:r>
        <w:rPr>
          <w:spacing w:val="-4"/>
        </w:rPr>
        <w:t> </w:t>
      </w:r>
      <w:r>
        <w:rPr/>
        <w:t>period,</w:t>
      </w:r>
      <w:r>
        <w:rPr>
          <w:spacing w:val="-2"/>
        </w:rPr>
        <w:t> </w:t>
      </w:r>
      <w:r>
        <w:rPr/>
        <w:t>the</w:t>
      </w:r>
      <w:r>
        <w:rPr>
          <w:spacing w:val="-6"/>
        </w:rPr>
        <w:t> </w:t>
      </w:r>
      <w:r>
        <w:rPr/>
        <w:t>Witches</w:t>
      </w:r>
      <w:r>
        <w:rPr>
          <w:spacing w:val="-2"/>
        </w:rPr>
        <w:t> </w:t>
      </w:r>
      <w:r>
        <w:rPr/>
        <w:t>were</w:t>
      </w:r>
      <w:r>
        <w:rPr>
          <w:spacing w:val="-4"/>
        </w:rPr>
        <w:t> </w:t>
      </w:r>
      <w:r>
        <w:rPr/>
        <w:t>revalued</w:t>
      </w:r>
      <w:r>
        <w:rPr>
          <w:spacing w:val="-2"/>
        </w:rPr>
        <w:t> </w:t>
      </w:r>
      <w:r>
        <w:rPr/>
        <w:t>as</w:t>
      </w:r>
      <w:r>
        <w:rPr>
          <w:spacing w:val="-4"/>
        </w:rPr>
        <w:t> </w:t>
      </w:r>
      <w:r>
        <w:rPr/>
        <w:t>figures of female community, and Lady Macduff as the play’s moral center.</w:t>
      </w:r>
    </w:p>
    <w:p>
      <w:pPr>
        <w:pStyle w:val="BodyText"/>
        <w:spacing w:line="264" w:lineRule="auto" w:before="46"/>
        <w:ind w:right="1438" w:firstLine="432"/>
        <w:jc w:val="both"/>
      </w:pPr>
      <w:r>
        <w:rPr>
          <w:spacing w:val="-2"/>
        </w:rPr>
        <w:t>Stephen</w:t>
      </w:r>
      <w:r>
        <w:rPr>
          <w:spacing w:val="-8"/>
        </w:rPr>
        <w:t> </w:t>
      </w:r>
      <w:r>
        <w:rPr>
          <w:spacing w:val="-2"/>
        </w:rPr>
        <w:t>Greenblatt</w:t>
      </w:r>
      <w:r>
        <w:rPr>
          <w:spacing w:val="-9"/>
        </w:rPr>
        <w:t> </w:t>
      </w:r>
      <w:r>
        <w:rPr>
          <w:spacing w:val="-2"/>
        </w:rPr>
        <w:t>situated</w:t>
      </w:r>
      <w:r>
        <w:rPr>
          <w:spacing w:val="-7"/>
        </w:rPr>
        <w:t> </w:t>
      </w:r>
      <w:r>
        <w:rPr>
          <w:spacing w:val="-2"/>
        </w:rPr>
        <w:t>Macbeth</w:t>
      </w:r>
      <w:r>
        <w:rPr>
          <w:spacing w:val="-7"/>
        </w:rPr>
        <w:t> </w:t>
      </w:r>
      <w:r>
        <w:rPr>
          <w:spacing w:val="-2"/>
        </w:rPr>
        <w:t>within</w:t>
      </w:r>
      <w:r>
        <w:rPr>
          <w:spacing w:val="-9"/>
        </w:rPr>
        <w:t> </w:t>
      </w:r>
      <w:r>
        <w:rPr>
          <w:spacing w:val="-2"/>
        </w:rPr>
        <w:t>James</w:t>
      </w:r>
      <w:r>
        <w:rPr>
          <w:spacing w:val="-11"/>
        </w:rPr>
        <w:t> </w:t>
      </w:r>
      <w:r>
        <w:rPr>
          <w:spacing w:val="-2"/>
        </w:rPr>
        <w:t>I’s</w:t>
      </w:r>
      <w:r>
        <w:rPr>
          <w:spacing w:val="-6"/>
        </w:rPr>
        <w:t> </w:t>
      </w:r>
      <w:r>
        <w:rPr>
          <w:spacing w:val="-2"/>
        </w:rPr>
        <w:t>court</w:t>
      </w:r>
      <w:r>
        <w:rPr>
          <w:spacing w:val="-7"/>
        </w:rPr>
        <w:t> </w:t>
      </w:r>
      <w:r>
        <w:rPr>
          <w:spacing w:val="-2"/>
        </w:rPr>
        <w:t>politics. </w:t>
      </w:r>
      <w:r>
        <w:rPr/>
        <w:t>The Witches flatter James’s expertise in Daemonologie while warning against credulity (Greenblatt pp. 317-322). The play’s obsession with equivocation references the 1606 trial of Henry Garnet after the Gunpowder Plot. Diane Purkiss connected the Witches’</w:t>
      </w:r>
      <w:r>
        <w:rPr>
          <w:spacing w:val="-7"/>
        </w:rPr>
        <w:t> </w:t>
      </w:r>
      <w:r>
        <w:rPr/>
        <w:t>beards to early modern pamphlets, arguing that androgyny was the primary visual sign of</w:t>
      </w:r>
      <w:r>
        <w:rPr>
          <w:spacing w:val="-13"/>
        </w:rPr>
        <w:t> </w:t>
      </w:r>
      <w:r>
        <w:rPr/>
        <w:t>the</w:t>
      </w:r>
      <w:r>
        <w:rPr>
          <w:spacing w:val="-12"/>
        </w:rPr>
        <w:t> </w:t>
      </w:r>
      <w:r>
        <w:rPr/>
        <w:t>witch’s</w:t>
      </w:r>
      <w:r>
        <w:rPr>
          <w:spacing w:val="-13"/>
        </w:rPr>
        <w:t> </w:t>
      </w:r>
      <w:r>
        <w:rPr/>
        <w:t>unnaturalness</w:t>
      </w:r>
      <w:r>
        <w:rPr>
          <w:spacing w:val="-12"/>
        </w:rPr>
        <w:t> </w:t>
      </w:r>
      <w:r>
        <w:rPr/>
        <w:t>(Purkiss</w:t>
      </w:r>
      <w:r>
        <w:rPr>
          <w:spacing w:val="-13"/>
        </w:rPr>
        <w:t> </w:t>
      </w:r>
      <w:r>
        <w:rPr/>
        <w:t>pp.</w:t>
      </w:r>
      <w:r>
        <w:rPr>
          <w:spacing w:val="-12"/>
        </w:rPr>
        <w:t> </w:t>
      </w:r>
      <w:r>
        <w:rPr/>
        <w:t>119-124).</w:t>
      </w:r>
      <w:r>
        <w:rPr>
          <w:spacing w:val="-13"/>
        </w:rPr>
        <w:t> </w:t>
      </w:r>
      <w:r>
        <w:rPr/>
        <w:t>New</w:t>
      </w:r>
      <w:r>
        <w:rPr>
          <w:spacing w:val="-12"/>
        </w:rPr>
        <w:t> </w:t>
      </w:r>
      <w:r>
        <w:rPr/>
        <w:t>historicism</w:t>
      </w:r>
      <w:r>
        <w:rPr>
          <w:spacing w:val="-13"/>
        </w:rPr>
        <w:t> </w:t>
      </w:r>
      <w:r>
        <w:rPr/>
        <w:t>thus re-politicized the female characters: Lady Macbeth’s ambition echoes fears of female counsel, the Witches embody demonology, and Lady Macduff’s</w:t>
      </w:r>
      <w:r>
        <w:rPr>
          <w:spacing w:val="3"/>
        </w:rPr>
        <w:t> </w:t>
      </w:r>
      <w:r>
        <w:rPr/>
        <w:t>murder</w:t>
      </w:r>
      <w:r>
        <w:rPr>
          <w:spacing w:val="3"/>
        </w:rPr>
        <w:t> </w:t>
      </w:r>
      <w:r>
        <w:rPr/>
        <w:t>literalizes</w:t>
      </w:r>
      <w:r>
        <w:rPr>
          <w:spacing w:val="4"/>
        </w:rPr>
        <w:t> </w:t>
      </w:r>
      <w:r>
        <w:rPr/>
        <w:t>the</w:t>
      </w:r>
      <w:r>
        <w:rPr>
          <w:spacing w:val="3"/>
        </w:rPr>
        <w:t> </w:t>
      </w:r>
      <w:r>
        <w:rPr/>
        <w:t>claim</w:t>
      </w:r>
      <w:r>
        <w:rPr>
          <w:spacing w:val="1"/>
        </w:rPr>
        <w:t> </w:t>
      </w:r>
      <w:r>
        <w:rPr/>
        <w:t>that</w:t>
      </w:r>
      <w:r>
        <w:rPr>
          <w:spacing w:val="4"/>
        </w:rPr>
        <w:t> </w:t>
      </w:r>
      <w:r>
        <w:rPr/>
        <w:t>tyranny destroys</w:t>
      </w:r>
      <w:r>
        <w:rPr>
          <w:spacing w:val="1"/>
        </w:rPr>
        <w:t> </w:t>
      </w:r>
      <w:r>
        <w:rPr/>
        <w:t>the</w:t>
      </w:r>
      <w:r>
        <w:rPr>
          <w:spacing w:val="5"/>
        </w:rPr>
        <w:t> </w:t>
      </w:r>
      <w:r>
        <w:rPr>
          <w:spacing w:val="-2"/>
        </w:rPr>
        <w:t>family.</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29504">
                <wp:simplePos x="0" y="0"/>
                <wp:positionH relativeFrom="page">
                  <wp:posOffset>2057400</wp:posOffset>
                </wp:positionH>
                <wp:positionV relativeFrom="paragraph">
                  <wp:posOffset>162604</wp:posOffset>
                </wp:positionV>
                <wp:extent cx="3657600" cy="12700"/>
                <wp:effectExtent l="0" t="0" r="0" b="0"/>
                <wp:wrapTopAndBottom/>
                <wp:docPr id="661" name="Graphic 661"/>
                <wp:cNvGraphicFramePr>
                  <a:graphicFrameLocks/>
                </wp:cNvGraphicFramePr>
                <a:graphic>
                  <a:graphicData uri="http://schemas.microsoft.com/office/word/2010/wordprocessingShape">
                    <wps:wsp>
                      <wps:cNvPr id="661" name="Graphic 66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86976;mso-wrap-distance-left:0;mso-wrap-distance-right:0" id="docshape653" filled="true" fillcolor="#000000" stroked="false">
                <v:fill type="solid"/>
                <w10:wrap type="topAndBottom"/>
              </v:rect>
            </w:pict>
          </mc:Fallback>
        </mc:AlternateContent>
      </w:r>
      <w:r>
        <w:rPr>
          <w:rFonts w:ascii="Verdana"/>
          <w:spacing w:val="-5"/>
          <w:sz w:val="18"/>
        </w:rPr>
        <w:t>322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firstLine="432"/>
        <w:jc w:val="both"/>
      </w:pPr>
      <w:r>
        <w:rPr/>
        <w:t>Judith Butler’s claim that gender is “a set of repeated</w:t>
      </w:r>
      <w:r>
        <w:rPr>
          <w:spacing w:val="13"/>
        </w:rPr>
        <w:t> </w:t>
      </w:r>
      <w:r>
        <w:rPr/>
        <w:t>acts within</w:t>
      </w:r>
      <w:r>
        <w:rPr>
          <w:spacing w:val="80"/>
        </w:rPr>
        <w:t> </w:t>
      </w:r>
      <w:r>
        <w:rPr>
          <w:spacing w:val="-4"/>
        </w:rPr>
        <w:t>a highly</w:t>
      </w:r>
      <w:r>
        <w:rPr>
          <w:spacing w:val="-6"/>
        </w:rPr>
        <w:t> </w:t>
      </w:r>
      <w:r>
        <w:rPr>
          <w:spacing w:val="-4"/>
        </w:rPr>
        <w:t>rigid regulatory</w:t>
      </w:r>
      <w:r>
        <w:rPr>
          <w:spacing w:val="-9"/>
        </w:rPr>
        <w:t> </w:t>
      </w:r>
      <w:r>
        <w:rPr>
          <w:spacing w:val="-4"/>
        </w:rPr>
        <w:t>frame” (Butler P. 33) reshaped Macbeth criticism. </w:t>
      </w:r>
      <w:r>
        <w:rPr/>
        <w:t>Lady</w:t>
      </w:r>
      <w:r>
        <w:rPr>
          <w:spacing w:val="-13"/>
        </w:rPr>
        <w:t> </w:t>
      </w:r>
      <w:r>
        <w:rPr/>
        <w:t>Macbeth’s</w:t>
      </w:r>
      <w:r>
        <w:rPr>
          <w:spacing w:val="-12"/>
        </w:rPr>
        <w:t> </w:t>
      </w:r>
      <w:r>
        <w:rPr/>
        <w:t>appropriation</w:t>
      </w:r>
      <w:r>
        <w:rPr>
          <w:spacing w:val="-13"/>
        </w:rPr>
        <w:t> </w:t>
      </w:r>
      <w:r>
        <w:rPr/>
        <w:t>of</w:t>
      </w:r>
      <w:r>
        <w:rPr>
          <w:spacing w:val="-12"/>
        </w:rPr>
        <w:t> </w:t>
      </w:r>
      <w:r>
        <w:rPr/>
        <w:t>masculine</w:t>
      </w:r>
      <w:r>
        <w:rPr>
          <w:spacing w:val="-11"/>
        </w:rPr>
        <w:t> </w:t>
      </w:r>
      <w:r>
        <w:rPr/>
        <w:t>speech,</w:t>
      </w:r>
      <w:r>
        <w:rPr>
          <w:spacing w:val="-9"/>
        </w:rPr>
        <w:t> </w:t>
      </w:r>
      <w:r>
        <w:rPr/>
        <w:t>the</w:t>
      </w:r>
      <w:r>
        <w:rPr>
          <w:spacing w:val="-10"/>
        </w:rPr>
        <w:t> </w:t>
      </w:r>
      <w:r>
        <w:rPr/>
        <w:t>Witches’</w:t>
      </w:r>
      <w:r>
        <w:rPr>
          <w:spacing w:val="-13"/>
        </w:rPr>
        <w:t> </w:t>
      </w:r>
      <w:r>
        <w:rPr/>
        <w:t>refusal of gender coherence, and Lady Macduff’s performance of normative motherhood all reveal gender as unstable. Performance studies of actresses from Sarah Siddons to Saoirse Ronan show how embodiment alters meaning: a female body speaking “unsex me here” produces different</w:t>
      </w:r>
      <w:r>
        <w:rPr>
          <w:spacing w:val="40"/>
        </w:rPr>
        <w:t> </w:t>
      </w:r>
      <w:r>
        <w:rPr/>
        <w:t>effects</w:t>
      </w:r>
      <w:r>
        <w:rPr>
          <w:spacing w:val="40"/>
        </w:rPr>
        <w:t> </w:t>
      </w:r>
      <w:r>
        <w:rPr/>
        <w:t>than</w:t>
      </w:r>
      <w:r>
        <w:rPr>
          <w:spacing w:val="40"/>
        </w:rPr>
        <w:t> </w:t>
      </w:r>
      <w:r>
        <w:rPr/>
        <w:t>a</w:t>
      </w:r>
      <w:r>
        <w:rPr>
          <w:spacing w:val="40"/>
        </w:rPr>
        <w:t> </w:t>
      </w:r>
      <w:r>
        <w:rPr/>
        <w:t>boy</w:t>
      </w:r>
      <w:r>
        <w:rPr>
          <w:spacing w:val="40"/>
        </w:rPr>
        <w:t> </w:t>
      </w:r>
      <w:r>
        <w:rPr/>
        <w:t>actor’s.</w:t>
      </w:r>
    </w:p>
    <w:p>
      <w:pPr>
        <w:pStyle w:val="BodyText"/>
        <w:spacing w:line="249" w:lineRule="auto" w:before="64"/>
        <w:ind w:right="1439" w:firstLine="432"/>
        <w:jc w:val="both"/>
      </w:pPr>
      <w:r>
        <w:rPr/>
        <w:t>Few studies read all three women as a deliberate structural triad. This</w:t>
      </w:r>
      <w:r>
        <w:rPr>
          <w:spacing w:val="-3"/>
        </w:rPr>
        <w:t> </w:t>
      </w:r>
      <w:r>
        <w:rPr/>
        <w:t>paper</w:t>
      </w:r>
      <w:r>
        <w:rPr>
          <w:spacing w:val="-3"/>
        </w:rPr>
        <w:t> </w:t>
      </w:r>
      <w:r>
        <w:rPr/>
        <w:t>contributes</w:t>
      </w:r>
      <w:r>
        <w:rPr>
          <w:spacing w:val="-5"/>
        </w:rPr>
        <w:t> </w:t>
      </w:r>
      <w:r>
        <w:rPr/>
        <w:t>by</w:t>
      </w:r>
      <w:r>
        <w:rPr>
          <w:spacing w:val="-6"/>
        </w:rPr>
        <w:t> </w:t>
      </w:r>
      <w:r>
        <w:rPr/>
        <w:t>treating</w:t>
      </w:r>
      <w:r>
        <w:rPr>
          <w:spacing w:val="-3"/>
        </w:rPr>
        <w:t> </w:t>
      </w:r>
      <w:r>
        <w:rPr/>
        <w:t>power,</w:t>
      </w:r>
      <w:r>
        <w:rPr>
          <w:spacing w:val="-3"/>
        </w:rPr>
        <w:t> </w:t>
      </w:r>
      <w:r>
        <w:rPr/>
        <w:t>witchcraft,</w:t>
      </w:r>
      <w:r>
        <w:rPr>
          <w:spacing w:val="-3"/>
        </w:rPr>
        <w:t> </w:t>
      </w:r>
      <w:r>
        <w:rPr/>
        <w:t>and</w:t>
      </w:r>
      <w:r>
        <w:rPr>
          <w:spacing w:val="-1"/>
        </w:rPr>
        <w:t> </w:t>
      </w:r>
      <w:r>
        <w:rPr/>
        <w:t>domesticity</w:t>
      </w:r>
      <w:r>
        <w:rPr>
          <w:spacing w:val="-6"/>
        </w:rPr>
        <w:t> </w:t>
      </w:r>
      <w:r>
        <w:rPr/>
        <w:t>as three interlocking modes of female representation that constitute the play’s</w:t>
      </w:r>
      <w:r>
        <w:rPr>
          <w:spacing w:val="-5"/>
        </w:rPr>
        <w:t> </w:t>
      </w:r>
      <w:r>
        <w:rPr/>
        <w:t>political</w:t>
      </w:r>
      <w:r>
        <w:rPr>
          <w:spacing w:val="-8"/>
        </w:rPr>
        <w:t> </w:t>
      </w:r>
      <w:r>
        <w:rPr/>
        <w:t>argument.</w:t>
      </w:r>
      <w:r>
        <w:rPr>
          <w:spacing w:val="-3"/>
        </w:rPr>
        <w:t> </w:t>
      </w:r>
      <w:r>
        <w:rPr/>
        <w:t>It</w:t>
      </w:r>
      <w:r>
        <w:rPr>
          <w:spacing w:val="-6"/>
        </w:rPr>
        <w:t> </w:t>
      </w:r>
      <w:r>
        <w:rPr/>
        <w:t>combines</w:t>
      </w:r>
      <w:r>
        <w:rPr>
          <w:spacing w:val="-6"/>
        </w:rPr>
        <w:t> </w:t>
      </w:r>
      <w:r>
        <w:rPr/>
        <w:t>feminist</w:t>
      </w:r>
      <w:r>
        <w:rPr>
          <w:spacing w:val="-5"/>
        </w:rPr>
        <w:t> </w:t>
      </w:r>
      <w:r>
        <w:rPr/>
        <w:t>attention</w:t>
      </w:r>
      <w:r>
        <w:rPr>
          <w:spacing w:val="-8"/>
        </w:rPr>
        <w:t> </w:t>
      </w:r>
      <w:r>
        <w:rPr/>
        <w:t>to</w:t>
      </w:r>
      <w:r>
        <w:rPr>
          <w:spacing w:val="-3"/>
        </w:rPr>
        <w:t> </w:t>
      </w:r>
      <w:r>
        <w:rPr/>
        <w:t>performance with new historicist attention to court politics to show that Macbeth uses</w:t>
      </w:r>
      <w:r>
        <w:rPr>
          <w:spacing w:val="40"/>
        </w:rPr>
        <w:t> </w:t>
      </w:r>
      <w:r>
        <w:rPr/>
        <w:t>women</w:t>
      </w:r>
      <w:r>
        <w:rPr>
          <w:spacing w:val="40"/>
        </w:rPr>
        <w:t> </w:t>
      </w:r>
      <w:r>
        <w:rPr/>
        <w:t>to</w:t>
      </w:r>
      <w:r>
        <w:rPr>
          <w:spacing w:val="40"/>
        </w:rPr>
        <w:t> </w:t>
      </w:r>
      <w:r>
        <w:rPr/>
        <w:t>both</w:t>
      </w:r>
      <w:r>
        <w:rPr>
          <w:spacing w:val="40"/>
        </w:rPr>
        <w:t> </w:t>
      </w:r>
      <w:r>
        <w:rPr/>
        <w:t>construct</w:t>
      </w:r>
      <w:r>
        <w:rPr>
          <w:spacing w:val="40"/>
        </w:rPr>
        <w:t> </w:t>
      </w:r>
      <w:r>
        <w:rPr/>
        <w:t>and</w:t>
      </w:r>
      <w:r>
        <w:rPr>
          <w:spacing w:val="40"/>
        </w:rPr>
        <w:t> </w:t>
      </w:r>
      <w:r>
        <w:rPr/>
        <w:t>critique</w:t>
      </w:r>
      <w:r>
        <w:rPr>
          <w:spacing w:val="40"/>
        </w:rPr>
        <w:t> </w:t>
      </w:r>
      <w:r>
        <w:rPr/>
        <w:t>the</w:t>
      </w:r>
      <w:r>
        <w:rPr>
          <w:spacing w:val="40"/>
        </w:rPr>
        <w:t> </w:t>
      </w:r>
      <w:r>
        <w:rPr/>
        <w:t>Jacobean</w:t>
      </w:r>
      <w:r>
        <w:rPr>
          <w:spacing w:val="40"/>
        </w:rPr>
        <w:t> </w:t>
      </w:r>
      <w:r>
        <w:rPr/>
        <w:t>state.</w:t>
      </w:r>
    </w:p>
    <w:p>
      <w:pPr>
        <w:pStyle w:val="BodyText"/>
        <w:spacing w:line="249" w:lineRule="auto" w:before="63"/>
        <w:ind w:right="1440" w:firstLine="432"/>
        <w:jc w:val="both"/>
      </w:pPr>
      <w:r>
        <w:rPr/>
        <w:t>Macbeth’s entry rejects Jacobean femininity. Reading Macbeth’s letter, she fears his nature “is too full o’ th’ milk of human kindness /</w:t>
      </w:r>
      <w:r>
        <w:rPr>
          <w:spacing w:val="40"/>
        </w:rPr>
        <w:t> </w:t>
      </w:r>
      <w:r>
        <w:rPr/>
        <w:t>To catch the nearest way” (pp. 16-18). Milk, emblem of nurture, is a political liability. She summons spirits: “Come, you spirits / That tend on mortal thoughts, unsex me here, /</w:t>
      </w:r>
      <w:r>
        <w:rPr>
          <w:spacing w:val="-8"/>
        </w:rPr>
        <w:t> </w:t>
      </w:r>
      <w:r>
        <w:rPr/>
        <w:t>And fill me from the crown to the toe</w:t>
      </w:r>
      <w:r>
        <w:rPr>
          <w:spacing w:val="-13"/>
        </w:rPr>
        <w:t> </w:t>
      </w:r>
      <w:r>
        <w:rPr/>
        <w:t>top-full</w:t>
      </w:r>
      <w:r>
        <w:rPr>
          <w:spacing w:val="-12"/>
        </w:rPr>
        <w:t> </w:t>
      </w:r>
      <w:r>
        <w:rPr/>
        <w:t>/</w:t>
      </w:r>
      <w:r>
        <w:rPr>
          <w:spacing w:val="-13"/>
        </w:rPr>
        <w:t> </w:t>
      </w:r>
      <w:r>
        <w:rPr/>
        <w:t>Of</w:t>
      </w:r>
      <w:r>
        <w:rPr>
          <w:spacing w:val="-12"/>
        </w:rPr>
        <w:t> </w:t>
      </w:r>
      <w:r>
        <w:rPr/>
        <w:t>direst</w:t>
      </w:r>
      <w:r>
        <w:rPr>
          <w:spacing w:val="-13"/>
        </w:rPr>
        <w:t> </w:t>
      </w:r>
      <w:r>
        <w:rPr/>
        <w:t>cruelty”</w:t>
      </w:r>
      <w:r>
        <w:rPr>
          <w:spacing w:val="-12"/>
        </w:rPr>
        <w:t> </w:t>
      </w:r>
      <w:r>
        <w:rPr/>
        <w:t>(pp.</w:t>
      </w:r>
      <w:r>
        <w:rPr>
          <w:spacing w:val="-13"/>
        </w:rPr>
        <w:t> </w:t>
      </w:r>
      <w:r>
        <w:rPr/>
        <w:t>40-43).</w:t>
      </w:r>
      <w:r>
        <w:rPr>
          <w:spacing w:val="-12"/>
        </w:rPr>
        <w:t> </w:t>
      </w:r>
      <w:r>
        <w:rPr/>
        <w:t>“Unsex”</w:t>
      </w:r>
      <w:r>
        <w:rPr>
          <w:spacing w:val="-13"/>
        </w:rPr>
        <w:t> </w:t>
      </w:r>
      <w:r>
        <w:rPr/>
        <w:t>means</w:t>
      </w:r>
      <w:r>
        <w:rPr>
          <w:spacing w:val="-12"/>
        </w:rPr>
        <w:t> </w:t>
      </w:r>
      <w:r>
        <w:rPr/>
        <w:t>to</w:t>
      </w:r>
      <w:r>
        <w:rPr>
          <w:spacing w:val="-13"/>
        </w:rPr>
        <w:t> </w:t>
      </w:r>
      <w:r>
        <w:rPr/>
        <w:t>be</w:t>
      </w:r>
      <w:r>
        <w:rPr>
          <w:spacing w:val="-12"/>
        </w:rPr>
        <w:t> </w:t>
      </w:r>
      <w:r>
        <w:rPr/>
        <w:t>stripped of the physiological and cultural markers of womanhood that inhibit violence. She continues: “Make thick my blood, / Stop up th’ access</w:t>
      </w:r>
      <w:r>
        <w:rPr>
          <w:spacing w:val="40"/>
        </w:rPr>
        <w:t> </w:t>
      </w:r>
      <w:r>
        <w:rPr/>
        <w:t>and passage to remorse” (pp. 43-45). Nature, remorse, and compassion are</w:t>
      </w:r>
      <w:r>
        <w:rPr>
          <w:spacing w:val="40"/>
        </w:rPr>
        <w:t> </w:t>
      </w:r>
      <w:r>
        <w:rPr/>
        <w:t>figured</w:t>
      </w:r>
      <w:r>
        <w:rPr>
          <w:spacing w:val="40"/>
        </w:rPr>
        <w:t> </w:t>
      </w:r>
      <w:r>
        <w:rPr/>
        <w:t>as</w:t>
      </w:r>
      <w:r>
        <w:rPr>
          <w:spacing w:val="40"/>
        </w:rPr>
        <w:t> </w:t>
      </w:r>
      <w:r>
        <w:rPr/>
        <w:t>flows</w:t>
      </w:r>
      <w:r>
        <w:rPr>
          <w:spacing w:val="40"/>
        </w:rPr>
        <w:t> </w:t>
      </w:r>
      <w:r>
        <w:rPr/>
        <w:t>to</w:t>
      </w:r>
      <w:r>
        <w:rPr>
          <w:spacing w:val="40"/>
        </w:rPr>
        <w:t> </w:t>
      </w:r>
      <w:r>
        <w:rPr/>
        <w:t>be</w:t>
      </w:r>
      <w:r>
        <w:rPr>
          <w:spacing w:val="40"/>
        </w:rPr>
        <w:t> </w:t>
      </w:r>
      <w:r>
        <w:rPr/>
        <w:t>stopped.</w:t>
      </w:r>
    </w:p>
    <w:p>
      <w:pPr>
        <w:pStyle w:val="BodyText"/>
        <w:spacing w:before="68"/>
        <w:ind w:left="1872"/>
        <w:jc w:val="both"/>
      </w:pPr>
      <w:r>
        <w:rPr/>
        <w:t>The</w:t>
      </w:r>
      <w:r>
        <w:rPr>
          <w:spacing w:val="-9"/>
        </w:rPr>
        <w:t> </w:t>
      </w:r>
      <w:r>
        <w:rPr/>
        <w:t>climax</w:t>
      </w:r>
      <w:r>
        <w:rPr>
          <w:spacing w:val="-9"/>
        </w:rPr>
        <w:t> </w:t>
      </w:r>
      <w:r>
        <w:rPr/>
        <w:t>is</w:t>
      </w:r>
      <w:r>
        <w:rPr>
          <w:spacing w:val="-10"/>
        </w:rPr>
        <w:t> </w:t>
      </w:r>
      <w:r>
        <w:rPr/>
        <w:t>the</w:t>
      </w:r>
      <w:r>
        <w:rPr>
          <w:spacing w:val="-9"/>
        </w:rPr>
        <w:t> </w:t>
      </w:r>
      <w:r>
        <w:rPr/>
        <w:t>infanticide</w:t>
      </w:r>
      <w:r>
        <w:rPr>
          <w:spacing w:val="-8"/>
        </w:rPr>
        <w:t> </w:t>
      </w:r>
      <w:r>
        <w:rPr/>
        <w:t>fantasy:</w:t>
      </w:r>
      <w:r>
        <w:rPr>
          <w:spacing w:val="-11"/>
        </w:rPr>
        <w:t> </w:t>
      </w:r>
      <w:r>
        <w:rPr/>
        <w:t>“I</w:t>
      </w:r>
      <w:r>
        <w:rPr>
          <w:spacing w:val="-8"/>
        </w:rPr>
        <w:t> </w:t>
      </w:r>
      <w:r>
        <w:rPr/>
        <w:t>have</w:t>
      </w:r>
      <w:r>
        <w:rPr>
          <w:spacing w:val="-8"/>
        </w:rPr>
        <w:t> </w:t>
      </w:r>
      <w:r>
        <w:rPr/>
        <w:t>given</w:t>
      </w:r>
      <w:r>
        <w:rPr>
          <w:spacing w:val="-11"/>
        </w:rPr>
        <w:t> </w:t>
      </w:r>
      <w:r>
        <w:rPr/>
        <w:t>suck,</w:t>
      </w:r>
      <w:r>
        <w:rPr>
          <w:spacing w:val="-8"/>
        </w:rPr>
        <w:t> </w:t>
      </w:r>
      <w:r>
        <w:rPr/>
        <w:t>and</w:t>
      </w:r>
      <w:r>
        <w:rPr>
          <w:spacing w:val="-8"/>
        </w:rPr>
        <w:t> </w:t>
      </w:r>
      <w:r>
        <w:rPr>
          <w:spacing w:val="-4"/>
        </w:rPr>
        <w:t>know</w:t>
      </w:r>
    </w:p>
    <w:p>
      <w:pPr>
        <w:pStyle w:val="BodyText"/>
        <w:spacing w:line="249" w:lineRule="auto" w:before="10"/>
        <w:ind w:right="1440"/>
        <w:jc w:val="both"/>
      </w:pPr>
      <w:r>
        <w:rPr/>
        <w:t>/ How</w:t>
      </w:r>
      <w:r>
        <w:rPr>
          <w:spacing w:val="-2"/>
        </w:rPr>
        <w:t> </w:t>
      </w:r>
      <w:r>
        <w:rPr/>
        <w:t>tender ’tis to love the babe that milks me: /</w:t>
      </w:r>
      <w:r>
        <w:rPr>
          <w:spacing w:val="-1"/>
        </w:rPr>
        <w:t> </w:t>
      </w:r>
      <w:r>
        <w:rPr/>
        <w:t>I would, while it was smiling</w:t>
      </w:r>
      <w:r>
        <w:rPr>
          <w:spacing w:val="7"/>
        </w:rPr>
        <w:t> </w:t>
      </w:r>
      <w:r>
        <w:rPr/>
        <w:t>in</w:t>
      </w:r>
      <w:r>
        <w:rPr>
          <w:spacing w:val="8"/>
        </w:rPr>
        <w:t> </w:t>
      </w:r>
      <w:r>
        <w:rPr/>
        <w:t>my</w:t>
      </w:r>
      <w:r>
        <w:rPr>
          <w:spacing w:val="6"/>
        </w:rPr>
        <w:t> </w:t>
      </w:r>
      <w:r>
        <w:rPr/>
        <w:t>face,</w:t>
      </w:r>
      <w:r>
        <w:rPr>
          <w:spacing w:val="11"/>
        </w:rPr>
        <w:t> </w:t>
      </w:r>
      <w:r>
        <w:rPr/>
        <w:t>/</w:t>
      </w:r>
      <w:r>
        <w:rPr>
          <w:spacing w:val="8"/>
        </w:rPr>
        <w:t> </w:t>
      </w:r>
      <w:r>
        <w:rPr/>
        <w:t>Have</w:t>
      </w:r>
      <w:r>
        <w:rPr>
          <w:spacing w:val="9"/>
        </w:rPr>
        <w:t> </w:t>
      </w:r>
      <w:r>
        <w:rPr/>
        <w:t>pluck’d</w:t>
      </w:r>
      <w:r>
        <w:rPr>
          <w:spacing w:val="9"/>
        </w:rPr>
        <w:t> </w:t>
      </w:r>
      <w:r>
        <w:rPr/>
        <w:t>my</w:t>
      </w:r>
      <w:r>
        <w:rPr>
          <w:spacing w:val="6"/>
        </w:rPr>
        <w:t> </w:t>
      </w:r>
      <w:r>
        <w:rPr/>
        <w:t>nipple</w:t>
      </w:r>
      <w:r>
        <w:rPr>
          <w:spacing w:val="10"/>
        </w:rPr>
        <w:t> </w:t>
      </w:r>
      <w:r>
        <w:rPr/>
        <w:t>from</w:t>
      </w:r>
      <w:r>
        <w:rPr>
          <w:spacing w:val="7"/>
        </w:rPr>
        <w:t> </w:t>
      </w:r>
      <w:r>
        <w:rPr/>
        <w:t>his</w:t>
      </w:r>
      <w:r>
        <w:rPr>
          <w:spacing w:val="7"/>
        </w:rPr>
        <w:t> </w:t>
      </w:r>
      <w:r>
        <w:rPr/>
        <w:t>boneless</w:t>
      </w:r>
      <w:r>
        <w:rPr>
          <w:spacing w:val="8"/>
        </w:rPr>
        <w:t> </w:t>
      </w:r>
      <w:r>
        <w:rPr>
          <w:spacing w:val="-2"/>
        </w:rPr>
        <w:t>gums,</w:t>
      </w:r>
    </w:p>
    <w:p>
      <w:pPr>
        <w:pStyle w:val="BodyText"/>
        <w:spacing w:line="249" w:lineRule="auto" w:before="2"/>
        <w:ind w:right="1440"/>
        <w:jc w:val="both"/>
      </w:pPr>
      <w:r>
        <w:rPr/>
        <w:t>/ And dash’d the brains out” (pp. 54-58). As Stephanie Chamberlain argues, this “collapses the distinction between the maternal and the murderous, suggesting that for a woman to enter politics she must first </w:t>
      </w:r>
      <w:r>
        <w:rPr>
          <w:spacing w:val="-2"/>
        </w:rPr>
        <w:t>violate</w:t>
      </w:r>
      <w:r>
        <w:rPr>
          <w:spacing w:val="-11"/>
        </w:rPr>
        <w:t> </w:t>
      </w:r>
      <w:r>
        <w:rPr>
          <w:spacing w:val="-2"/>
        </w:rPr>
        <w:t>the</w:t>
      </w:r>
      <w:r>
        <w:rPr>
          <w:spacing w:val="-10"/>
        </w:rPr>
        <w:t> </w:t>
      </w:r>
      <w:r>
        <w:rPr>
          <w:spacing w:val="-2"/>
        </w:rPr>
        <w:t>ideology</w:t>
      </w:r>
      <w:r>
        <w:rPr>
          <w:spacing w:val="-11"/>
        </w:rPr>
        <w:t> </w:t>
      </w:r>
      <w:r>
        <w:rPr>
          <w:spacing w:val="-2"/>
        </w:rPr>
        <w:t>of</w:t>
      </w:r>
      <w:r>
        <w:rPr>
          <w:spacing w:val="-10"/>
        </w:rPr>
        <w:t> </w:t>
      </w:r>
      <w:r>
        <w:rPr>
          <w:spacing w:val="-2"/>
        </w:rPr>
        <w:t>motherhood”</w:t>
      </w:r>
      <w:r>
        <w:rPr>
          <w:spacing w:val="-11"/>
        </w:rPr>
        <w:t> </w:t>
      </w:r>
      <w:r>
        <w:rPr>
          <w:spacing w:val="-2"/>
        </w:rPr>
        <w:t>(Chamberlain</w:t>
      </w:r>
      <w:r>
        <w:rPr>
          <w:spacing w:val="-10"/>
        </w:rPr>
        <w:t> </w:t>
      </w:r>
      <w:r>
        <w:rPr>
          <w:spacing w:val="-2"/>
        </w:rPr>
        <w:t>P.76).</w:t>
      </w:r>
      <w:r>
        <w:rPr>
          <w:spacing w:val="-11"/>
        </w:rPr>
        <w:t> </w:t>
      </w:r>
      <w:r>
        <w:rPr>
          <w:spacing w:val="-2"/>
        </w:rPr>
        <w:t>Lady</w:t>
      </w:r>
      <w:r>
        <w:rPr>
          <w:spacing w:val="-10"/>
        </w:rPr>
        <w:t> </w:t>
      </w:r>
      <w:r>
        <w:rPr>
          <w:spacing w:val="-2"/>
        </w:rPr>
        <w:t>Macbeth’s </w:t>
      </w:r>
      <w:r>
        <w:rPr/>
        <w:t>power requires the negation of sex and maternity. Shakespeare links female political agency to anti-maternity, reflecting Jacobean anxieties about</w:t>
      </w:r>
      <w:r>
        <w:rPr>
          <w:spacing w:val="40"/>
        </w:rPr>
        <w:t> </w:t>
      </w:r>
      <w:r>
        <w:rPr/>
        <w:t>unnatural</w:t>
      </w:r>
      <w:r>
        <w:rPr>
          <w:spacing w:val="40"/>
        </w:rPr>
        <w:t> </w:t>
      </w:r>
      <w:r>
        <w:rPr/>
        <w:t>women.</w:t>
      </w:r>
    </w:p>
    <w:p>
      <w:pPr>
        <w:pStyle w:val="BodyText"/>
        <w:spacing w:line="249" w:lineRule="auto" w:before="63"/>
        <w:ind w:right="1437" w:firstLine="432"/>
        <w:jc w:val="both"/>
      </w:pPr>
      <w:r>
        <w:rPr/>
        <w:t>Linguistically, Lady</w:t>
      </w:r>
      <w:r>
        <w:rPr>
          <w:spacing w:val="-1"/>
        </w:rPr>
        <w:t> </w:t>
      </w:r>
      <w:r>
        <w:rPr/>
        <w:t>Macbeth dominates</w:t>
      </w:r>
      <w:r>
        <w:rPr>
          <w:spacing w:val="-8"/>
        </w:rPr>
        <w:t> </w:t>
      </w:r>
      <w:r>
        <w:rPr/>
        <w:t>Acts 1 and 2. She speaks in imperatives and prose while Macbeth hesitates in verse, and defines manhood</w:t>
      </w:r>
      <w:r>
        <w:rPr>
          <w:spacing w:val="27"/>
        </w:rPr>
        <w:t> </w:t>
      </w:r>
      <w:r>
        <w:rPr/>
        <w:t>as violence:</w:t>
      </w:r>
      <w:r>
        <w:rPr>
          <w:spacing w:val="23"/>
        </w:rPr>
        <w:t> </w:t>
      </w:r>
      <w:r>
        <w:rPr/>
        <w:t>“When</w:t>
      </w:r>
      <w:r>
        <w:rPr>
          <w:spacing w:val="23"/>
        </w:rPr>
        <w:t> </w:t>
      </w:r>
      <w:r>
        <w:rPr/>
        <w:t>you</w:t>
      </w:r>
      <w:r>
        <w:rPr>
          <w:spacing w:val="25"/>
        </w:rPr>
        <w:t> </w:t>
      </w:r>
      <w:r>
        <w:rPr/>
        <w:t>durst do</w:t>
      </w:r>
      <w:r>
        <w:rPr>
          <w:spacing w:val="27"/>
        </w:rPr>
        <w:t> </w:t>
      </w:r>
      <w:r>
        <w:rPr/>
        <w:t>it,</w:t>
      </w:r>
      <w:r>
        <w:rPr>
          <w:spacing w:val="27"/>
        </w:rPr>
        <w:t> </w:t>
      </w:r>
      <w:r>
        <w:rPr/>
        <w:t>then</w:t>
      </w:r>
      <w:r>
        <w:rPr>
          <w:spacing w:val="23"/>
        </w:rPr>
        <w:t> </w:t>
      </w:r>
      <w:r>
        <w:rPr/>
        <w:t>you</w:t>
      </w:r>
      <w:r>
        <w:rPr>
          <w:spacing w:val="23"/>
        </w:rPr>
        <w:t> </w:t>
      </w:r>
      <w:r>
        <w:rPr/>
        <w:t>were</w:t>
      </w:r>
      <w:r>
        <w:rPr>
          <w:spacing w:val="25"/>
        </w:rPr>
        <w:t> </w:t>
      </w:r>
      <w:r>
        <w:rPr/>
        <w:t>a</w:t>
      </w:r>
      <w:r>
        <w:rPr>
          <w:spacing w:val="25"/>
        </w:rPr>
        <w:t> </w:t>
      </w:r>
      <w:r>
        <w:rPr/>
        <w:t>man” </w:t>
      </w:r>
      <w:r>
        <w:rPr>
          <w:spacing w:val="-2"/>
        </w:rPr>
        <w:t>(P.</w:t>
      </w:r>
      <w:r>
        <w:rPr>
          <w:spacing w:val="-11"/>
        </w:rPr>
        <w:t> </w:t>
      </w:r>
      <w:r>
        <w:rPr>
          <w:spacing w:val="-2"/>
        </w:rPr>
        <w:t>49).</w:t>
      </w:r>
      <w:r>
        <w:rPr>
          <w:spacing w:val="-8"/>
        </w:rPr>
        <w:t> </w:t>
      </w:r>
      <w:r>
        <w:rPr>
          <w:spacing w:val="-2"/>
        </w:rPr>
        <w:t>She</w:t>
      </w:r>
      <w:r>
        <w:rPr>
          <w:spacing w:val="-10"/>
        </w:rPr>
        <w:t> </w:t>
      </w:r>
      <w:r>
        <w:rPr>
          <w:spacing w:val="-2"/>
        </w:rPr>
        <w:t>performs</w:t>
      </w:r>
      <w:r>
        <w:rPr>
          <w:spacing w:val="-10"/>
        </w:rPr>
        <w:t> </w:t>
      </w:r>
      <w:r>
        <w:rPr>
          <w:spacing w:val="-2"/>
        </w:rPr>
        <w:t>masculinity</w:t>
      </w:r>
      <w:r>
        <w:rPr>
          <w:spacing w:val="-11"/>
        </w:rPr>
        <w:t> </w:t>
      </w:r>
      <w:r>
        <w:rPr>
          <w:spacing w:val="-2"/>
        </w:rPr>
        <w:t>more</w:t>
      </w:r>
      <w:r>
        <w:rPr>
          <w:spacing w:val="-7"/>
        </w:rPr>
        <w:t> </w:t>
      </w:r>
      <w:r>
        <w:rPr>
          <w:spacing w:val="-2"/>
        </w:rPr>
        <w:t>effectively</w:t>
      </w:r>
      <w:r>
        <w:rPr>
          <w:spacing w:val="-11"/>
        </w:rPr>
        <w:t> </w:t>
      </w:r>
      <w:r>
        <w:rPr>
          <w:spacing w:val="-2"/>
        </w:rPr>
        <w:t>than</w:t>
      </w:r>
      <w:r>
        <w:rPr>
          <w:spacing w:val="-9"/>
        </w:rPr>
        <w:t> </w:t>
      </w:r>
      <w:r>
        <w:rPr>
          <w:spacing w:val="-2"/>
        </w:rPr>
        <w:t>he</w:t>
      </w:r>
      <w:r>
        <w:rPr>
          <w:spacing w:val="-8"/>
        </w:rPr>
        <w:t> </w:t>
      </w:r>
      <w:r>
        <w:rPr>
          <w:spacing w:val="-2"/>
        </w:rPr>
        <w:t>does,</w:t>
      </w:r>
      <w:r>
        <w:rPr>
          <w:spacing w:val="-8"/>
        </w:rPr>
        <w:t> </w:t>
      </w:r>
      <w:r>
        <w:rPr>
          <w:spacing w:val="-2"/>
        </w:rPr>
        <w:t>exposing </w:t>
      </w:r>
      <w:r>
        <w:rPr/>
        <w:t>“manhood”</w:t>
      </w:r>
      <w:r>
        <w:rPr>
          <w:spacing w:val="4"/>
        </w:rPr>
        <w:t> </w:t>
      </w:r>
      <w:r>
        <w:rPr/>
        <w:t>as</w:t>
      </w:r>
      <w:r>
        <w:rPr>
          <w:spacing w:val="5"/>
        </w:rPr>
        <w:t> </w:t>
      </w:r>
      <w:r>
        <w:rPr/>
        <w:t>a</w:t>
      </w:r>
      <w:r>
        <w:rPr>
          <w:spacing w:val="8"/>
        </w:rPr>
        <w:t> </w:t>
      </w:r>
      <w:r>
        <w:rPr/>
        <w:t>set</w:t>
      </w:r>
      <w:r>
        <w:rPr>
          <w:spacing w:val="4"/>
        </w:rPr>
        <w:t> </w:t>
      </w:r>
      <w:r>
        <w:rPr/>
        <w:t>of</w:t>
      </w:r>
      <w:r>
        <w:rPr>
          <w:spacing w:val="5"/>
        </w:rPr>
        <w:t> </w:t>
      </w:r>
      <w:r>
        <w:rPr/>
        <w:t>performed</w:t>
      </w:r>
      <w:r>
        <w:rPr>
          <w:spacing w:val="7"/>
        </w:rPr>
        <w:t> </w:t>
      </w:r>
      <w:r>
        <w:rPr/>
        <w:t>acts</w:t>
      </w:r>
      <w:r>
        <w:rPr>
          <w:spacing w:val="6"/>
        </w:rPr>
        <w:t> </w:t>
      </w:r>
      <w:r>
        <w:rPr/>
        <w:t>rather</w:t>
      </w:r>
      <w:r>
        <w:rPr>
          <w:spacing w:val="7"/>
        </w:rPr>
        <w:t> </w:t>
      </w:r>
      <w:r>
        <w:rPr/>
        <w:t>than</w:t>
      </w:r>
      <w:r>
        <w:rPr>
          <w:spacing w:val="5"/>
        </w:rPr>
        <w:t> </w:t>
      </w:r>
      <w:r>
        <w:rPr/>
        <w:t>essence.</w:t>
      </w:r>
      <w:r>
        <w:rPr>
          <w:spacing w:val="-1"/>
        </w:rPr>
        <w:t> </w:t>
      </w:r>
      <w:r>
        <w:rPr/>
        <w:t>Yet</w:t>
      </w:r>
      <w:r>
        <w:rPr>
          <w:spacing w:val="9"/>
        </w:rPr>
        <w:t> </w:t>
      </w:r>
      <w:r>
        <w:rPr/>
        <w:t>the</w:t>
      </w:r>
      <w:r>
        <w:rPr>
          <w:spacing w:val="4"/>
        </w:rPr>
        <w:t> </w:t>
      </w:r>
      <w:r>
        <w:rPr>
          <w:spacing w:val="-4"/>
        </w:rPr>
        <w:t>play</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30016">
                <wp:simplePos x="0" y="0"/>
                <wp:positionH relativeFrom="page">
                  <wp:posOffset>2065020</wp:posOffset>
                </wp:positionH>
                <wp:positionV relativeFrom="paragraph">
                  <wp:posOffset>795020</wp:posOffset>
                </wp:positionV>
                <wp:extent cx="3657600" cy="12700"/>
                <wp:effectExtent l="0" t="0" r="0" b="0"/>
                <wp:wrapTopAndBottom/>
                <wp:docPr id="662" name="Graphic 662"/>
                <wp:cNvGraphicFramePr>
                  <a:graphicFrameLocks/>
                </wp:cNvGraphicFramePr>
                <a:graphic>
                  <a:graphicData uri="http://schemas.microsoft.com/office/word/2010/wordprocessingShape">
                    <wps:wsp>
                      <wps:cNvPr id="662" name="Graphic 66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86464;mso-wrap-distance-left:0;mso-wrap-distance-right:0" id="docshape654" filled="true" fillcolor="#000000" stroked="false">
                <v:fill type="solid"/>
                <w10:wrap type="topAndBottom"/>
              </v:rect>
            </w:pict>
          </mc:Fallback>
        </mc:AlternateContent>
      </w:r>
      <w:r>
        <w:rPr>
          <w:rFonts w:ascii="Verdana" w:hAnsi="Verdana"/>
          <w:spacing w:val="-2"/>
          <w:sz w:val="18"/>
        </w:rPr>
        <w:t>Shakespeare’s</w:t>
      </w:r>
      <w:r>
        <w:rPr>
          <w:rFonts w:ascii="Verdana" w:hAnsi="Verdana"/>
          <w:spacing w:val="12"/>
          <w:sz w:val="18"/>
        </w:rPr>
        <w:t> </w:t>
      </w:r>
      <w:r>
        <w:rPr>
          <w:rFonts w:ascii="Verdana" w:hAnsi="Verdana"/>
          <w:spacing w:val="-2"/>
          <w:sz w:val="18"/>
        </w:rPr>
        <w:t>Representation</w:t>
      </w:r>
      <w:r>
        <w:rPr>
          <w:rFonts w:ascii="Verdana" w:hAnsi="Verdana"/>
          <w:spacing w:val="16"/>
          <w:sz w:val="18"/>
        </w:rPr>
        <w:t> </w:t>
      </w:r>
      <w:r>
        <w:rPr>
          <w:rFonts w:ascii="Verdana" w:hAnsi="Verdana"/>
          <w:spacing w:val="-2"/>
          <w:sz w:val="18"/>
        </w:rPr>
        <w:t>of</w:t>
      </w:r>
      <w:r>
        <w:rPr>
          <w:rFonts w:ascii="Verdana" w:hAnsi="Verdana"/>
          <w:spacing w:val="15"/>
          <w:sz w:val="18"/>
        </w:rPr>
        <w:t> </w:t>
      </w:r>
      <w:r>
        <w:rPr>
          <w:rFonts w:ascii="Verdana" w:hAnsi="Verdana"/>
          <w:spacing w:val="-2"/>
          <w:sz w:val="18"/>
        </w:rPr>
        <w:t>Women:</w:t>
      </w:r>
      <w:r>
        <w:rPr>
          <w:rFonts w:ascii="Verdana" w:hAnsi="Verdana"/>
          <w:spacing w:val="15"/>
          <w:sz w:val="18"/>
        </w:rPr>
        <w:t> </w:t>
      </w:r>
      <w:r>
        <w:rPr>
          <w:rFonts w:ascii="Verdana" w:hAnsi="Verdana"/>
          <w:spacing w:val="-2"/>
          <w:sz w:val="18"/>
        </w:rPr>
        <w:t>Power...</w:t>
      </w:r>
      <w:r>
        <w:rPr>
          <w:sz w:val="18"/>
        </w:rPr>
        <w:tab/>
      </w:r>
      <w:r>
        <w:rPr>
          <w:rFonts w:ascii="Verdana" w:hAnsi="Verdana"/>
          <w:spacing w:val="-5"/>
          <w:sz w:val="18"/>
        </w:rPr>
        <w:t>323</w:t>
      </w:r>
    </w:p>
    <w:p>
      <w:pPr>
        <w:pStyle w:val="BodyText"/>
        <w:spacing w:line="249" w:lineRule="auto" w:before="192"/>
        <w:ind w:right="1439"/>
        <w:jc w:val="both"/>
      </w:pPr>
      <w:r>
        <w:rPr/>
        <w:t>does not sustain this inversion. Once crowned, Macbeth excludes her: “Be innocent of the knowledge, dearest chuck, / Till thou applaud the deed”</w:t>
      </w:r>
      <w:r>
        <w:rPr>
          <w:spacing w:val="-5"/>
        </w:rPr>
        <w:t> </w:t>
      </w:r>
      <w:r>
        <w:rPr/>
        <w:t>(pp.</w:t>
      </w:r>
      <w:r>
        <w:rPr>
          <w:spacing w:val="-2"/>
        </w:rPr>
        <w:t> </w:t>
      </w:r>
      <w:r>
        <w:rPr/>
        <w:t>45-46).</w:t>
      </w:r>
      <w:r>
        <w:rPr>
          <w:spacing w:val="-8"/>
        </w:rPr>
        <w:t> </w:t>
      </w:r>
      <w:r>
        <w:rPr/>
        <w:t>The</w:t>
      </w:r>
      <w:r>
        <w:rPr>
          <w:spacing w:val="-6"/>
        </w:rPr>
        <w:t> </w:t>
      </w:r>
      <w:r>
        <w:rPr/>
        <w:t>shift</w:t>
      </w:r>
      <w:r>
        <w:rPr>
          <w:spacing w:val="-3"/>
        </w:rPr>
        <w:t> </w:t>
      </w:r>
      <w:r>
        <w:rPr/>
        <w:t>from</w:t>
      </w:r>
      <w:r>
        <w:rPr>
          <w:spacing w:val="-8"/>
        </w:rPr>
        <w:t> </w:t>
      </w:r>
      <w:r>
        <w:rPr/>
        <w:t>“we”</w:t>
      </w:r>
      <w:r>
        <w:rPr>
          <w:spacing w:val="-6"/>
        </w:rPr>
        <w:t> </w:t>
      </w:r>
      <w:r>
        <w:rPr/>
        <w:t>to</w:t>
      </w:r>
      <w:r>
        <w:rPr>
          <w:spacing w:val="-4"/>
        </w:rPr>
        <w:t> </w:t>
      </w:r>
      <w:r>
        <w:rPr/>
        <w:t>“I”</w:t>
      </w:r>
      <w:r>
        <w:rPr>
          <w:spacing w:val="-4"/>
        </w:rPr>
        <w:t> </w:t>
      </w:r>
      <w:r>
        <w:rPr/>
        <w:t>isolates</w:t>
      </w:r>
      <w:r>
        <w:rPr>
          <w:spacing w:val="-6"/>
        </w:rPr>
        <w:t> </w:t>
      </w:r>
      <w:r>
        <w:rPr/>
        <w:t>her.</w:t>
      </w:r>
      <w:r>
        <w:rPr>
          <w:spacing w:val="40"/>
        </w:rPr>
        <w:t> </w:t>
      </w:r>
      <w:r>
        <w:rPr/>
        <w:t>Her</w:t>
      </w:r>
      <w:r>
        <w:rPr>
          <w:spacing w:val="-4"/>
        </w:rPr>
        <w:t> </w:t>
      </w:r>
      <w:r>
        <w:rPr/>
        <w:t>isolation produces</w:t>
      </w:r>
      <w:r>
        <w:rPr>
          <w:spacing w:val="-8"/>
        </w:rPr>
        <w:t> </w:t>
      </w:r>
      <w:r>
        <w:rPr/>
        <w:t>the</w:t>
      </w:r>
      <w:r>
        <w:rPr>
          <w:spacing w:val="-9"/>
        </w:rPr>
        <w:t> </w:t>
      </w:r>
      <w:r>
        <w:rPr/>
        <w:t>sleepwalking</w:t>
      </w:r>
      <w:r>
        <w:rPr>
          <w:spacing w:val="-8"/>
        </w:rPr>
        <w:t> </w:t>
      </w:r>
      <w:r>
        <w:rPr/>
        <w:t>scene.</w:t>
      </w:r>
      <w:r>
        <w:rPr>
          <w:spacing w:val="79"/>
        </w:rPr>
        <w:t> </w:t>
      </w:r>
      <w:r>
        <w:rPr/>
        <w:t>Where</w:t>
      </w:r>
      <w:r>
        <w:rPr>
          <w:spacing w:val="-9"/>
        </w:rPr>
        <w:t> </w:t>
      </w:r>
      <w:r>
        <w:rPr/>
        <w:t>she</w:t>
      </w:r>
      <w:r>
        <w:rPr>
          <w:spacing w:val="-7"/>
        </w:rPr>
        <w:t> </w:t>
      </w:r>
      <w:r>
        <w:rPr/>
        <w:t>earlier</w:t>
      </w:r>
      <w:r>
        <w:rPr>
          <w:spacing w:val="-8"/>
        </w:rPr>
        <w:t> </w:t>
      </w:r>
      <w:r>
        <w:rPr/>
        <w:t>commanded</w:t>
      </w:r>
      <w:r>
        <w:rPr>
          <w:spacing w:val="-6"/>
        </w:rPr>
        <w:t> </w:t>
      </w:r>
      <w:r>
        <w:rPr/>
        <w:t>spirits to stop remorse, now remorse commands her. Her language fragments: “Out, damned spot! out, I say!” (P. 33). Observed by a Doctor and a Gentlewoman, her madness becomes a public spectacle of female breakdown. Her offstage suicide (P. 16) removes her when Malcolm’s army arrives. Klein argues that Lady Macbeth’s death “re-contains the female transgressor, allowing the male political world to reconstitute </w:t>
      </w:r>
      <w:r>
        <w:rPr>
          <w:spacing w:val="-2"/>
        </w:rPr>
        <w:t>itself”</w:t>
      </w:r>
      <w:r>
        <w:rPr>
          <w:spacing w:val="-9"/>
        </w:rPr>
        <w:t> </w:t>
      </w:r>
      <w:r>
        <w:rPr>
          <w:spacing w:val="-2"/>
        </w:rPr>
        <w:t>(Klein</w:t>
      </w:r>
      <w:r>
        <w:rPr>
          <w:spacing w:val="-9"/>
        </w:rPr>
        <w:t> </w:t>
      </w:r>
      <w:r>
        <w:rPr>
          <w:spacing w:val="-2"/>
        </w:rPr>
        <w:t>P.</w:t>
      </w:r>
      <w:r>
        <w:rPr>
          <w:spacing w:val="-11"/>
        </w:rPr>
        <w:t> </w:t>
      </w:r>
      <w:r>
        <w:rPr>
          <w:spacing w:val="-2"/>
        </w:rPr>
        <w:t>249).</w:t>
      </w:r>
      <w:r>
        <w:rPr>
          <w:spacing w:val="-8"/>
        </w:rPr>
        <w:t> </w:t>
      </w:r>
      <w:r>
        <w:rPr>
          <w:spacing w:val="-2"/>
        </w:rPr>
        <w:t>Shakespeare</w:t>
      </w:r>
      <w:r>
        <w:rPr>
          <w:spacing w:val="-9"/>
        </w:rPr>
        <w:t> </w:t>
      </w:r>
      <w:r>
        <w:rPr>
          <w:spacing w:val="-2"/>
        </w:rPr>
        <w:t>represents</w:t>
      </w:r>
      <w:r>
        <w:rPr>
          <w:spacing w:val="-11"/>
        </w:rPr>
        <w:t> </w:t>
      </w:r>
      <w:r>
        <w:rPr>
          <w:spacing w:val="-2"/>
        </w:rPr>
        <w:t>female</w:t>
      </w:r>
      <w:r>
        <w:rPr>
          <w:spacing w:val="-8"/>
        </w:rPr>
        <w:t> </w:t>
      </w:r>
      <w:r>
        <w:rPr>
          <w:spacing w:val="-2"/>
        </w:rPr>
        <w:t>power</w:t>
      </w:r>
      <w:r>
        <w:rPr>
          <w:spacing w:val="-6"/>
        </w:rPr>
        <w:t> </w:t>
      </w:r>
      <w:r>
        <w:rPr>
          <w:spacing w:val="-2"/>
        </w:rPr>
        <w:t>as</w:t>
      </w:r>
      <w:r>
        <w:rPr>
          <w:spacing w:val="-9"/>
        </w:rPr>
        <w:t> </w:t>
      </w:r>
      <w:r>
        <w:rPr>
          <w:spacing w:val="-2"/>
        </w:rPr>
        <w:t>efficacious </w:t>
      </w:r>
      <w:r>
        <w:rPr/>
        <w:t>but</w:t>
      </w:r>
      <w:r>
        <w:rPr>
          <w:spacing w:val="19"/>
        </w:rPr>
        <w:t> </w:t>
      </w:r>
      <w:r>
        <w:rPr/>
        <w:t>unsustainable.</w:t>
      </w:r>
      <w:r>
        <w:rPr>
          <w:spacing w:val="19"/>
        </w:rPr>
        <w:t> </w:t>
      </w:r>
      <w:r>
        <w:rPr/>
        <w:t>It</w:t>
      </w:r>
      <w:r>
        <w:rPr>
          <w:spacing w:val="18"/>
        </w:rPr>
        <w:t> </w:t>
      </w:r>
      <w:r>
        <w:rPr/>
        <w:t>can</w:t>
      </w:r>
      <w:r>
        <w:rPr>
          <w:spacing w:val="17"/>
        </w:rPr>
        <w:t> </w:t>
      </w:r>
      <w:r>
        <w:rPr/>
        <w:t>initiate</w:t>
      </w:r>
      <w:r>
        <w:rPr>
          <w:spacing w:val="18"/>
        </w:rPr>
        <w:t> </w:t>
      </w:r>
      <w:r>
        <w:rPr/>
        <w:t>regicide</w:t>
      </w:r>
      <w:r>
        <w:rPr>
          <w:spacing w:val="20"/>
        </w:rPr>
        <w:t> </w:t>
      </w:r>
      <w:r>
        <w:rPr/>
        <w:t>but</w:t>
      </w:r>
      <w:r>
        <w:rPr>
          <w:spacing w:val="18"/>
        </w:rPr>
        <w:t> </w:t>
      </w:r>
      <w:r>
        <w:rPr/>
        <w:t>cannot</w:t>
      </w:r>
      <w:r>
        <w:rPr>
          <w:spacing w:val="19"/>
        </w:rPr>
        <w:t> </w:t>
      </w:r>
      <w:r>
        <w:rPr/>
        <w:t>survive</w:t>
      </w:r>
      <w:r>
        <w:rPr>
          <w:spacing w:val="17"/>
        </w:rPr>
        <w:t> </w:t>
      </w:r>
      <w:r>
        <w:rPr/>
        <w:t>the</w:t>
      </w:r>
      <w:r>
        <w:rPr>
          <w:spacing w:val="17"/>
        </w:rPr>
        <w:t> </w:t>
      </w:r>
      <w:r>
        <w:rPr/>
        <w:t>order it</w:t>
      </w:r>
      <w:r>
        <w:rPr>
          <w:spacing w:val="40"/>
        </w:rPr>
        <w:t> </w:t>
      </w:r>
      <w:r>
        <w:rPr/>
        <w:t>creates.</w:t>
      </w:r>
    </w:p>
    <w:p>
      <w:pPr>
        <w:pStyle w:val="BodyText"/>
        <w:spacing w:line="249" w:lineRule="auto" w:before="68"/>
        <w:ind w:right="1441" w:firstLine="432"/>
        <w:jc w:val="both"/>
      </w:pPr>
      <w:r>
        <w:rPr/>
        <w:t>Lady</w:t>
      </w:r>
      <w:r>
        <w:rPr>
          <w:spacing w:val="-4"/>
        </w:rPr>
        <w:t> </w:t>
      </w:r>
      <w:r>
        <w:rPr/>
        <w:t>Macbeth</w:t>
      </w:r>
      <w:r>
        <w:rPr>
          <w:spacing w:val="-4"/>
        </w:rPr>
        <w:t> </w:t>
      </w:r>
      <w:r>
        <w:rPr/>
        <w:t>forces</w:t>
      </w:r>
      <w:r>
        <w:rPr>
          <w:spacing w:val="-1"/>
        </w:rPr>
        <w:t> </w:t>
      </w:r>
      <w:r>
        <w:rPr/>
        <w:t>entry</w:t>
      </w:r>
      <w:r>
        <w:rPr>
          <w:spacing w:val="-4"/>
        </w:rPr>
        <w:t> </w:t>
      </w:r>
      <w:r>
        <w:rPr/>
        <w:t>into</w:t>
      </w:r>
      <w:r>
        <w:rPr>
          <w:spacing w:val="-1"/>
        </w:rPr>
        <w:t> </w:t>
      </w:r>
      <w:r>
        <w:rPr/>
        <w:t>the male sphere,</w:t>
      </w:r>
      <w:r>
        <w:rPr>
          <w:spacing w:val="-1"/>
        </w:rPr>
        <w:t> </w:t>
      </w:r>
      <w:r>
        <w:rPr/>
        <w:t>the</w:t>
      </w:r>
      <w:r>
        <w:rPr>
          <w:spacing w:val="-6"/>
        </w:rPr>
        <w:t> </w:t>
      </w:r>
      <w:r>
        <w:rPr/>
        <w:t>Weïrd Sisters exist</w:t>
      </w:r>
      <w:r>
        <w:rPr>
          <w:spacing w:val="-7"/>
        </w:rPr>
        <w:t> </w:t>
      </w:r>
      <w:r>
        <w:rPr/>
        <w:t>outside</w:t>
      </w:r>
      <w:r>
        <w:rPr>
          <w:spacing w:val="-8"/>
        </w:rPr>
        <w:t> </w:t>
      </w:r>
      <w:r>
        <w:rPr/>
        <w:t>it.</w:t>
      </w:r>
      <w:r>
        <w:rPr>
          <w:spacing w:val="-9"/>
        </w:rPr>
        <w:t> </w:t>
      </w:r>
      <w:r>
        <w:rPr/>
        <w:t>Their</w:t>
      </w:r>
      <w:r>
        <w:rPr>
          <w:spacing w:val="-6"/>
        </w:rPr>
        <w:t> </w:t>
      </w:r>
      <w:r>
        <w:rPr/>
        <w:t>opening</w:t>
      </w:r>
      <w:r>
        <w:rPr>
          <w:spacing w:val="-11"/>
        </w:rPr>
        <w:t> </w:t>
      </w:r>
      <w:r>
        <w:rPr/>
        <w:t>line,</w:t>
      </w:r>
      <w:r>
        <w:rPr>
          <w:spacing w:val="-6"/>
        </w:rPr>
        <w:t> </w:t>
      </w:r>
      <w:r>
        <w:rPr/>
        <w:t>“Fair</w:t>
      </w:r>
      <w:r>
        <w:rPr>
          <w:spacing w:val="-7"/>
        </w:rPr>
        <w:t> </w:t>
      </w:r>
      <w:r>
        <w:rPr/>
        <w:t>is</w:t>
      </w:r>
      <w:r>
        <w:rPr>
          <w:spacing w:val="-7"/>
        </w:rPr>
        <w:t> </w:t>
      </w:r>
      <w:r>
        <w:rPr/>
        <w:t>foul,</w:t>
      </w:r>
      <w:r>
        <w:rPr>
          <w:spacing w:val="-6"/>
        </w:rPr>
        <w:t> </w:t>
      </w:r>
      <w:r>
        <w:rPr/>
        <w:t>and</w:t>
      </w:r>
      <w:r>
        <w:rPr>
          <w:spacing w:val="-7"/>
        </w:rPr>
        <w:t> </w:t>
      </w:r>
      <w:r>
        <w:rPr/>
        <w:t>foul</w:t>
      </w:r>
      <w:r>
        <w:rPr>
          <w:spacing w:val="-6"/>
        </w:rPr>
        <w:t> </w:t>
      </w:r>
      <w:r>
        <w:rPr/>
        <w:t>is</w:t>
      </w:r>
      <w:r>
        <w:rPr>
          <w:spacing w:val="-7"/>
        </w:rPr>
        <w:t> </w:t>
      </w:r>
      <w:r>
        <w:rPr/>
        <w:t>fair”</w:t>
      </w:r>
      <w:r>
        <w:rPr>
          <w:spacing w:val="-8"/>
        </w:rPr>
        <w:t> </w:t>
      </w:r>
      <w:r>
        <w:rPr/>
        <w:t>(P.</w:t>
      </w:r>
      <w:r>
        <w:rPr>
          <w:spacing w:val="-7"/>
        </w:rPr>
        <w:t> </w:t>
      </w:r>
      <w:r>
        <w:rPr/>
        <w:t>11), establishes</w:t>
      </w:r>
      <w:r>
        <w:rPr>
          <w:spacing w:val="-9"/>
        </w:rPr>
        <w:t> </w:t>
      </w:r>
      <w:r>
        <w:rPr/>
        <w:t>epistemological</w:t>
      </w:r>
      <w:r>
        <w:rPr>
          <w:spacing w:val="-10"/>
        </w:rPr>
        <w:t> </w:t>
      </w:r>
      <w:r>
        <w:rPr/>
        <w:t>inversion.</w:t>
      </w:r>
      <w:r>
        <w:rPr>
          <w:spacing w:val="-10"/>
        </w:rPr>
        <w:t> </w:t>
      </w:r>
      <w:r>
        <w:rPr/>
        <w:t>Banquo’s</w:t>
      </w:r>
      <w:r>
        <w:rPr>
          <w:spacing w:val="-10"/>
        </w:rPr>
        <w:t> </w:t>
      </w:r>
      <w:r>
        <w:rPr/>
        <w:t>response—”you</w:t>
      </w:r>
      <w:r>
        <w:rPr>
          <w:spacing w:val="-10"/>
        </w:rPr>
        <w:t> </w:t>
      </w:r>
      <w:r>
        <w:rPr/>
        <w:t>should be women, /</w:t>
      </w:r>
      <w:r>
        <w:rPr>
          <w:spacing w:val="-1"/>
        </w:rPr>
        <w:t> </w:t>
      </w:r>
      <w:r>
        <w:rPr/>
        <w:t>And yet your beards forbid me to interpret / That you are so”</w:t>
      </w:r>
      <w:r>
        <w:rPr>
          <w:spacing w:val="-8"/>
        </w:rPr>
        <w:t> </w:t>
      </w:r>
      <w:r>
        <w:rPr/>
        <w:t>(pp.</w:t>
      </w:r>
      <w:r>
        <w:rPr>
          <w:spacing w:val="-6"/>
        </w:rPr>
        <w:t> </w:t>
      </w:r>
      <w:r>
        <w:rPr/>
        <w:t>45-47)—marks</w:t>
      </w:r>
      <w:r>
        <w:rPr>
          <w:spacing w:val="-9"/>
        </w:rPr>
        <w:t> </w:t>
      </w:r>
      <w:r>
        <w:rPr/>
        <w:t>them</w:t>
      </w:r>
      <w:r>
        <w:rPr>
          <w:spacing w:val="-10"/>
        </w:rPr>
        <w:t> </w:t>
      </w:r>
      <w:r>
        <w:rPr/>
        <w:t>as</w:t>
      </w:r>
      <w:r>
        <w:rPr>
          <w:spacing w:val="-9"/>
        </w:rPr>
        <w:t> </w:t>
      </w:r>
      <w:r>
        <w:rPr/>
        <w:t>biologically</w:t>
      </w:r>
      <w:r>
        <w:rPr>
          <w:spacing w:val="-11"/>
        </w:rPr>
        <w:t> </w:t>
      </w:r>
      <w:r>
        <w:rPr/>
        <w:t>illegible.</w:t>
      </w:r>
      <w:r>
        <w:rPr>
          <w:spacing w:val="-9"/>
        </w:rPr>
        <w:t> </w:t>
      </w:r>
      <w:r>
        <w:rPr/>
        <w:t>Purkiss</w:t>
      </w:r>
      <w:r>
        <w:rPr>
          <w:spacing w:val="-7"/>
        </w:rPr>
        <w:t> </w:t>
      </w:r>
      <w:r>
        <w:rPr/>
        <w:t>notes</w:t>
      </w:r>
      <w:r>
        <w:rPr>
          <w:spacing w:val="-9"/>
        </w:rPr>
        <w:t> </w:t>
      </w:r>
      <w:r>
        <w:rPr/>
        <w:t>that “the bearded witch was a staple of Jacobean witchcraft pamphlets, a visual sign that the witch had stepped outside nature” (Purkiss P. 121). Their</w:t>
      </w:r>
      <w:r>
        <w:rPr>
          <w:spacing w:val="38"/>
        </w:rPr>
        <w:t> </w:t>
      </w:r>
      <w:r>
        <w:rPr/>
        <w:t>androgyny</w:t>
      </w:r>
      <w:r>
        <w:rPr>
          <w:spacing w:val="35"/>
        </w:rPr>
        <w:t> </w:t>
      </w:r>
      <w:r>
        <w:rPr/>
        <w:t>signals</w:t>
      </w:r>
      <w:r>
        <w:rPr>
          <w:spacing w:val="37"/>
        </w:rPr>
        <w:t> </w:t>
      </w:r>
      <w:r>
        <w:rPr/>
        <w:t>a</w:t>
      </w:r>
      <w:r>
        <w:rPr>
          <w:spacing w:val="38"/>
        </w:rPr>
        <w:t> </w:t>
      </w:r>
      <w:r>
        <w:rPr/>
        <w:t>collapse</w:t>
      </w:r>
      <w:r>
        <w:rPr>
          <w:spacing w:val="36"/>
        </w:rPr>
        <w:t> </w:t>
      </w:r>
      <w:r>
        <w:rPr/>
        <w:t>of</w:t>
      </w:r>
      <w:r>
        <w:rPr>
          <w:spacing w:val="37"/>
        </w:rPr>
        <w:t> </w:t>
      </w:r>
      <w:r>
        <w:rPr/>
        <w:t>the</w:t>
      </w:r>
      <w:r>
        <w:rPr>
          <w:spacing w:val="40"/>
        </w:rPr>
        <w:t> </w:t>
      </w:r>
      <w:r>
        <w:rPr/>
        <w:t>Great</w:t>
      </w:r>
      <w:r>
        <w:rPr>
          <w:spacing w:val="37"/>
        </w:rPr>
        <w:t> </w:t>
      </w:r>
      <w:r>
        <w:rPr/>
        <w:t>Chain</w:t>
      </w:r>
      <w:r>
        <w:rPr>
          <w:spacing w:val="37"/>
        </w:rPr>
        <w:t> </w:t>
      </w:r>
      <w:r>
        <w:rPr/>
        <w:t>of</w:t>
      </w:r>
      <w:r>
        <w:rPr>
          <w:spacing w:val="37"/>
        </w:rPr>
        <w:t> </w:t>
      </w:r>
      <w:r>
        <w:rPr/>
        <w:t>Being.</w:t>
      </w:r>
    </w:p>
    <w:p>
      <w:pPr>
        <w:pStyle w:val="BodyText"/>
        <w:spacing w:line="249" w:lineRule="auto" w:before="65"/>
        <w:ind w:right="1434" w:firstLine="432"/>
        <w:jc w:val="both"/>
      </w:pPr>
      <w:r>
        <w:rPr/>
        <w:t>The</w:t>
      </w:r>
      <w:r>
        <w:rPr>
          <w:spacing w:val="-6"/>
        </w:rPr>
        <w:t> </w:t>
      </w:r>
      <w:r>
        <w:rPr/>
        <w:t>Witches’</w:t>
      </w:r>
      <w:r>
        <w:rPr>
          <w:spacing w:val="-13"/>
        </w:rPr>
        <w:t> </w:t>
      </w:r>
      <w:r>
        <w:rPr/>
        <w:t>power is</w:t>
      </w:r>
      <w:r>
        <w:rPr>
          <w:spacing w:val="-1"/>
        </w:rPr>
        <w:t> </w:t>
      </w:r>
      <w:r>
        <w:rPr/>
        <w:t>linguistic.</w:t>
      </w:r>
      <w:r>
        <w:rPr>
          <w:spacing w:val="-5"/>
        </w:rPr>
        <w:t> </w:t>
      </w:r>
      <w:r>
        <w:rPr/>
        <w:t>They</w:t>
      </w:r>
      <w:r>
        <w:rPr>
          <w:spacing w:val="-5"/>
        </w:rPr>
        <w:t> </w:t>
      </w:r>
      <w:r>
        <w:rPr/>
        <w:t>do not</w:t>
      </w:r>
      <w:r>
        <w:rPr>
          <w:spacing w:val="-4"/>
        </w:rPr>
        <w:t> </w:t>
      </w:r>
      <w:r>
        <w:rPr/>
        <w:t>command Macbeth; they prophesy that he “shalt be king hereafter” (P. 50) and let his ambition act. Greenblatt argues that “the Witches do not cause Macbeth’s fall; they give him permission to become what he already desires” (Greenblatt P. 319). Their later prophecies operate by equivocation: “none of woman born / Shall harm Macbeth” (pp. 80-81) is true yet deceptive, as Macduff was “from his mother’s womb / Untimely ripped” (pp. 15-16). Equivocation directly recalled the 1606 Jesuit treason trials for James I’s court. For the court, the Witches staged the danger of uncontrolled female speech: communal, riddling, and politically catalytic.</w:t>
      </w:r>
      <w:r>
        <w:rPr>
          <w:spacing w:val="40"/>
        </w:rPr>
        <w:t> </w:t>
      </w:r>
      <w:r>
        <w:rPr/>
        <w:t>Dramatically, the Witches are indispensable: they</w:t>
      </w:r>
      <w:r>
        <w:rPr>
          <w:spacing w:val="-4"/>
        </w:rPr>
        <w:t> </w:t>
      </w:r>
      <w:r>
        <w:rPr/>
        <w:t>open the</w:t>
      </w:r>
      <w:r>
        <w:rPr>
          <w:spacing w:val="-1"/>
        </w:rPr>
        <w:t> </w:t>
      </w:r>
      <w:r>
        <w:rPr/>
        <w:t>play, plant</w:t>
      </w:r>
      <w:r>
        <w:rPr>
          <w:spacing w:val="-1"/>
        </w:rPr>
        <w:t> </w:t>
      </w:r>
      <w:r>
        <w:rPr/>
        <w:t>the idea</w:t>
      </w:r>
      <w:r>
        <w:rPr>
          <w:spacing w:val="-1"/>
        </w:rPr>
        <w:t> </w:t>
      </w:r>
      <w:r>
        <w:rPr/>
        <w:t>of</w:t>
      </w:r>
      <w:r>
        <w:rPr>
          <w:spacing w:val="-2"/>
        </w:rPr>
        <w:t> </w:t>
      </w:r>
      <w:r>
        <w:rPr/>
        <w:t>kingship,</w:t>
      </w:r>
      <w:r>
        <w:rPr>
          <w:spacing w:val="-1"/>
        </w:rPr>
        <w:t> </w:t>
      </w:r>
      <w:r>
        <w:rPr/>
        <w:t>and reconfirm</w:t>
      </w:r>
      <w:r>
        <w:rPr>
          <w:spacing w:val="-3"/>
        </w:rPr>
        <w:t> </w:t>
      </w:r>
      <w:r>
        <w:rPr/>
        <w:t>Macbeth’s resolve. Yet they vanish after Act 4. Shakespeare represents witchcraft </w:t>
      </w:r>
      <w:r>
        <w:rPr>
          <w:spacing w:val="-4"/>
        </w:rPr>
        <w:t>as female, communal, anti-hierarchical authority—potent enough to topple </w:t>
      </w:r>
      <w:r>
        <w:rPr/>
        <w:t>a king, but too unnatural to survive the return of order. Their final line, “Peace! the charm’s wound up” (P. 37), is ironic: the charm they wind up</w:t>
      </w:r>
      <w:r>
        <w:rPr>
          <w:spacing w:val="40"/>
        </w:rPr>
        <w:t> </w:t>
      </w:r>
      <w:r>
        <w:rPr/>
        <w:t>is</w:t>
      </w:r>
      <w:r>
        <w:rPr>
          <w:spacing w:val="40"/>
        </w:rPr>
        <w:t> </w:t>
      </w:r>
      <w:r>
        <w:rPr/>
        <w:t>the</w:t>
      </w:r>
      <w:r>
        <w:rPr>
          <w:spacing w:val="40"/>
        </w:rPr>
        <w:t> </w:t>
      </w:r>
      <w:r>
        <w:rPr/>
        <w:t>tragedy</w:t>
      </w:r>
      <w:r>
        <w:rPr>
          <w:spacing w:val="40"/>
        </w:rPr>
        <w:t> </w:t>
      </w:r>
      <w:r>
        <w:rPr/>
        <w:t>itself.</w:t>
      </w:r>
    </w:p>
    <w:p>
      <w:pPr>
        <w:pStyle w:val="BodyText"/>
        <w:spacing w:line="249" w:lineRule="auto" w:before="74"/>
        <w:ind w:right="1440" w:firstLine="432"/>
        <w:jc w:val="both"/>
      </w:pPr>
      <w:r>
        <w:rPr>
          <w:spacing w:val="-2"/>
        </w:rPr>
        <w:t>Lady</w:t>
      </w:r>
      <w:r>
        <w:rPr>
          <w:spacing w:val="-11"/>
        </w:rPr>
        <w:t> </w:t>
      </w:r>
      <w:r>
        <w:rPr>
          <w:spacing w:val="-2"/>
        </w:rPr>
        <w:t>Macduff</w:t>
      </w:r>
      <w:r>
        <w:rPr>
          <w:spacing w:val="-10"/>
        </w:rPr>
        <w:t> </w:t>
      </w:r>
      <w:r>
        <w:rPr>
          <w:spacing w:val="-2"/>
        </w:rPr>
        <w:t>appears</w:t>
      </w:r>
      <w:r>
        <w:rPr>
          <w:spacing w:val="-11"/>
        </w:rPr>
        <w:t> </w:t>
      </w:r>
      <w:r>
        <w:rPr>
          <w:spacing w:val="-2"/>
        </w:rPr>
        <w:t>only,</w:t>
      </w:r>
      <w:r>
        <w:rPr>
          <w:spacing w:val="-10"/>
        </w:rPr>
        <w:t> </w:t>
      </w:r>
      <w:r>
        <w:rPr>
          <w:spacing w:val="-2"/>
        </w:rPr>
        <w:t>yet</w:t>
      </w:r>
      <w:r>
        <w:rPr>
          <w:spacing w:val="-11"/>
        </w:rPr>
        <w:t> </w:t>
      </w:r>
      <w:r>
        <w:rPr>
          <w:spacing w:val="-2"/>
        </w:rPr>
        <w:t>is</w:t>
      </w:r>
      <w:r>
        <w:rPr>
          <w:spacing w:val="-10"/>
        </w:rPr>
        <w:t> </w:t>
      </w:r>
      <w:r>
        <w:rPr>
          <w:spacing w:val="-2"/>
        </w:rPr>
        <w:t>structurally</w:t>
      </w:r>
      <w:r>
        <w:rPr>
          <w:spacing w:val="-11"/>
        </w:rPr>
        <w:t> </w:t>
      </w:r>
      <w:r>
        <w:rPr>
          <w:spacing w:val="-2"/>
        </w:rPr>
        <w:t>pivotal.</w:t>
      </w:r>
      <w:r>
        <w:rPr>
          <w:spacing w:val="-10"/>
        </w:rPr>
        <w:t> </w:t>
      </w:r>
      <w:r>
        <w:rPr>
          <w:spacing w:val="-2"/>
        </w:rPr>
        <w:t>She</w:t>
      </w:r>
      <w:r>
        <w:rPr>
          <w:spacing w:val="-11"/>
        </w:rPr>
        <w:t> </w:t>
      </w:r>
      <w:r>
        <w:rPr>
          <w:spacing w:val="-2"/>
        </w:rPr>
        <w:t>embodies </w:t>
      </w:r>
      <w:r>
        <w:rPr/>
        <w:t>Jacobean</w:t>
      </w:r>
      <w:r>
        <w:rPr>
          <w:spacing w:val="43"/>
        </w:rPr>
        <w:t> </w:t>
      </w:r>
      <w:r>
        <w:rPr/>
        <w:t>domestic</w:t>
      </w:r>
      <w:r>
        <w:rPr>
          <w:spacing w:val="47"/>
        </w:rPr>
        <w:t> </w:t>
      </w:r>
      <w:r>
        <w:rPr/>
        <w:t>ideal:</w:t>
      </w:r>
      <w:r>
        <w:rPr>
          <w:spacing w:val="44"/>
        </w:rPr>
        <w:t> </w:t>
      </w:r>
      <w:r>
        <w:rPr/>
        <w:t>a</w:t>
      </w:r>
      <w:r>
        <w:rPr>
          <w:spacing w:val="46"/>
        </w:rPr>
        <w:t> </w:t>
      </w:r>
      <w:r>
        <w:rPr/>
        <w:t>wife</w:t>
      </w:r>
      <w:r>
        <w:rPr>
          <w:spacing w:val="49"/>
        </w:rPr>
        <w:t> </w:t>
      </w:r>
      <w:r>
        <w:rPr/>
        <w:t>and</w:t>
      </w:r>
      <w:r>
        <w:rPr>
          <w:spacing w:val="45"/>
        </w:rPr>
        <w:t> </w:t>
      </w:r>
      <w:r>
        <w:rPr/>
        <w:t>mother</w:t>
      </w:r>
      <w:r>
        <w:rPr>
          <w:spacing w:val="46"/>
        </w:rPr>
        <w:t> </w:t>
      </w:r>
      <w:r>
        <w:rPr/>
        <w:t>defined</w:t>
      </w:r>
      <w:r>
        <w:rPr>
          <w:spacing w:val="46"/>
        </w:rPr>
        <w:t> </w:t>
      </w:r>
      <w:r>
        <w:rPr/>
        <w:t>by</w:t>
      </w:r>
      <w:r>
        <w:rPr>
          <w:spacing w:val="44"/>
        </w:rPr>
        <w:t> </w:t>
      </w:r>
      <w:r>
        <w:rPr>
          <w:spacing w:val="-2"/>
        </w:rPr>
        <w:t>household.</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30528">
                <wp:simplePos x="0" y="0"/>
                <wp:positionH relativeFrom="page">
                  <wp:posOffset>2057400</wp:posOffset>
                </wp:positionH>
                <wp:positionV relativeFrom="paragraph">
                  <wp:posOffset>162604</wp:posOffset>
                </wp:positionV>
                <wp:extent cx="3657600" cy="12700"/>
                <wp:effectExtent l="0" t="0" r="0" b="0"/>
                <wp:wrapTopAndBottom/>
                <wp:docPr id="663" name="Graphic 663"/>
                <wp:cNvGraphicFramePr>
                  <a:graphicFrameLocks/>
                </wp:cNvGraphicFramePr>
                <a:graphic>
                  <a:graphicData uri="http://schemas.microsoft.com/office/word/2010/wordprocessingShape">
                    <wps:wsp>
                      <wps:cNvPr id="663" name="Graphic 66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85952;mso-wrap-distance-left:0;mso-wrap-distance-right:0" id="docshape655" filled="true" fillcolor="#000000" stroked="false">
                <v:fill type="solid"/>
                <w10:wrap type="topAndBottom"/>
              </v:rect>
            </w:pict>
          </mc:Fallback>
        </mc:AlternateContent>
      </w:r>
      <w:r>
        <w:rPr>
          <w:rFonts w:ascii="Verdana"/>
          <w:spacing w:val="-5"/>
          <w:sz w:val="18"/>
        </w:rPr>
        <w:t>324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6"/>
        <w:jc w:val="both"/>
      </w:pPr>
      <w:r>
        <w:rPr/>
        <w:t>Abandoned by</w:t>
      </w:r>
      <w:r>
        <w:rPr>
          <w:spacing w:val="-1"/>
        </w:rPr>
        <w:t> </w:t>
      </w:r>
      <w:r>
        <w:rPr/>
        <w:t>Macduff, she asks, “Whither should I fly? / I have done no harm” (pp.</w:t>
      </w:r>
      <w:r>
        <w:rPr>
          <w:spacing w:val="-2"/>
        </w:rPr>
        <w:t> </w:t>
      </w:r>
      <w:r>
        <w:rPr/>
        <w:t>1-2). In</w:t>
      </w:r>
      <w:r>
        <w:rPr>
          <w:spacing w:val="-4"/>
        </w:rPr>
        <w:t> </w:t>
      </w:r>
      <w:r>
        <w:rPr/>
        <w:t>coverture, a</w:t>
      </w:r>
      <w:r>
        <w:rPr>
          <w:spacing w:val="-3"/>
        </w:rPr>
        <w:t> </w:t>
      </w:r>
      <w:r>
        <w:rPr/>
        <w:t>wife</w:t>
      </w:r>
      <w:r>
        <w:rPr>
          <w:spacing w:val="-2"/>
        </w:rPr>
        <w:t> </w:t>
      </w:r>
      <w:r>
        <w:rPr/>
        <w:t>had</w:t>
      </w:r>
      <w:r>
        <w:rPr>
          <w:spacing w:val="-2"/>
        </w:rPr>
        <w:t> </w:t>
      </w:r>
      <w:r>
        <w:rPr/>
        <w:t>no independent</w:t>
      </w:r>
      <w:r>
        <w:rPr>
          <w:spacing w:val="-2"/>
        </w:rPr>
        <w:t> </w:t>
      </w:r>
      <w:r>
        <w:rPr/>
        <w:t>place to fly to. Where Lady Macbeth repudiates children, Lady Macduff defends</w:t>
      </w:r>
      <w:r>
        <w:rPr>
          <w:spacing w:val="40"/>
        </w:rPr>
        <w:t> </w:t>
      </w:r>
      <w:r>
        <w:rPr/>
        <w:t>her son.</w:t>
      </w:r>
      <w:r>
        <w:rPr>
          <w:spacing w:val="40"/>
        </w:rPr>
        <w:t> </w:t>
      </w:r>
      <w:r>
        <w:rPr/>
        <w:t>The murder of Lady Macduff and her children is the only onstage violence against the defenseless. The scene is deliberately </w:t>
      </w:r>
      <w:r>
        <w:rPr>
          <w:spacing w:val="-2"/>
        </w:rPr>
        <w:t>unbearable:</w:t>
      </w:r>
      <w:r>
        <w:rPr>
          <w:spacing w:val="-5"/>
        </w:rPr>
        <w:t> </w:t>
      </w:r>
      <w:r>
        <w:rPr>
          <w:spacing w:val="-2"/>
        </w:rPr>
        <w:t>a</w:t>
      </w:r>
      <w:r>
        <w:rPr>
          <w:spacing w:val="-7"/>
        </w:rPr>
        <w:t> </w:t>
      </w:r>
      <w:r>
        <w:rPr>
          <w:spacing w:val="-2"/>
        </w:rPr>
        <w:t>child</w:t>
      </w:r>
      <w:r>
        <w:rPr>
          <w:spacing w:val="-5"/>
        </w:rPr>
        <w:t> </w:t>
      </w:r>
      <w:r>
        <w:rPr>
          <w:spacing w:val="-2"/>
        </w:rPr>
        <w:t>is</w:t>
      </w:r>
      <w:r>
        <w:rPr>
          <w:spacing w:val="-5"/>
        </w:rPr>
        <w:t> </w:t>
      </w:r>
      <w:r>
        <w:rPr>
          <w:spacing w:val="-2"/>
        </w:rPr>
        <w:t>called</w:t>
      </w:r>
      <w:r>
        <w:rPr>
          <w:spacing w:val="-5"/>
        </w:rPr>
        <w:t> </w:t>
      </w:r>
      <w:r>
        <w:rPr>
          <w:spacing w:val="-2"/>
        </w:rPr>
        <w:t>“egg”</w:t>
      </w:r>
      <w:r>
        <w:rPr>
          <w:spacing w:val="-7"/>
        </w:rPr>
        <w:t> </w:t>
      </w:r>
      <w:r>
        <w:rPr>
          <w:spacing w:val="-2"/>
        </w:rPr>
        <w:t>and</w:t>
      </w:r>
      <w:r>
        <w:rPr>
          <w:spacing w:val="-5"/>
        </w:rPr>
        <w:t> </w:t>
      </w:r>
      <w:r>
        <w:rPr>
          <w:spacing w:val="-2"/>
        </w:rPr>
        <w:t>“fry”</w:t>
      </w:r>
      <w:r>
        <w:rPr>
          <w:spacing w:val="-6"/>
        </w:rPr>
        <w:t> </w:t>
      </w:r>
      <w:r>
        <w:rPr>
          <w:spacing w:val="-2"/>
        </w:rPr>
        <w:t>(P.</w:t>
      </w:r>
      <w:r>
        <w:rPr>
          <w:spacing w:val="-5"/>
        </w:rPr>
        <w:t> </w:t>
      </w:r>
      <w:r>
        <w:rPr>
          <w:spacing w:val="-2"/>
        </w:rPr>
        <w:t>83)</w:t>
      </w:r>
      <w:r>
        <w:rPr>
          <w:spacing w:val="-5"/>
        </w:rPr>
        <w:t> </w:t>
      </w:r>
      <w:r>
        <w:rPr>
          <w:spacing w:val="-2"/>
        </w:rPr>
        <w:t>before</w:t>
      </w:r>
      <w:r>
        <w:rPr>
          <w:spacing w:val="-7"/>
        </w:rPr>
        <w:t> </w:t>
      </w:r>
      <w:r>
        <w:rPr>
          <w:spacing w:val="-2"/>
        </w:rPr>
        <w:t>being</w:t>
      </w:r>
      <w:r>
        <w:rPr>
          <w:spacing w:val="-7"/>
        </w:rPr>
        <w:t> </w:t>
      </w:r>
      <w:r>
        <w:rPr>
          <w:spacing w:val="-2"/>
        </w:rPr>
        <w:t>stabbed. </w:t>
      </w:r>
      <w:r>
        <w:rPr/>
        <w:t>Shakespeare</w:t>
      </w:r>
      <w:r>
        <w:rPr>
          <w:spacing w:val="-9"/>
        </w:rPr>
        <w:t> </w:t>
      </w:r>
      <w:r>
        <w:rPr/>
        <w:t>chooses</w:t>
      </w:r>
      <w:r>
        <w:rPr>
          <w:spacing w:val="-11"/>
        </w:rPr>
        <w:t> </w:t>
      </w:r>
      <w:r>
        <w:rPr/>
        <w:t>to</w:t>
      </w:r>
      <w:r>
        <w:rPr>
          <w:spacing w:val="-5"/>
        </w:rPr>
        <w:t> </w:t>
      </w:r>
      <w:r>
        <w:rPr/>
        <w:t>show</w:t>
      </w:r>
      <w:r>
        <w:rPr>
          <w:spacing w:val="-13"/>
        </w:rPr>
        <w:t> </w:t>
      </w:r>
      <w:r>
        <w:rPr/>
        <w:t>this</w:t>
      </w:r>
      <w:r>
        <w:rPr>
          <w:spacing w:val="-8"/>
        </w:rPr>
        <w:t> </w:t>
      </w:r>
      <w:r>
        <w:rPr/>
        <w:t>to</w:t>
      </w:r>
      <w:r>
        <w:rPr>
          <w:spacing w:val="-9"/>
        </w:rPr>
        <w:t> </w:t>
      </w:r>
      <w:r>
        <w:rPr/>
        <w:t>establish</w:t>
      </w:r>
      <w:r>
        <w:rPr>
          <w:spacing w:val="-9"/>
        </w:rPr>
        <w:t> </w:t>
      </w:r>
      <w:r>
        <w:rPr/>
        <w:t>the</w:t>
      </w:r>
      <w:r>
        <w:rPr>
          <w:spacing w:val="-10"/>
        </w:rPr>
        <w:t> </w:t>
      </w:r>
      <w:r>
        <w:rPr/>
        <w:t>moral</w:t>
      </w:r>
      <w:r>
        <w:rPr>
          <w:spacing w:val="-9"/>
        </w:rPr>
        <w:t> </w:t>
      </w:r>
      <w:r>
        <w:rPr/>
        <w:t>limit</w:t>
      </w:r>
      <w:r>
        <w:rPr>
          <w:spacing w:val="-11"/>
        </w:rPr>
        <w:t> </w:t>
      </w:r>
      <w:r>
        <w:rPr/>
        <w:t>of</w:t>
      </w:r>
      <w:r>
        <w:rPr>
          <w:spacing w:val="-9"/>
        </w:rPr>
        <w:t> </w:t>
      </w:r>
      <w:r>
        <w:rPr/>
        <w:t>tyranny. </w:t>
      </w:r>
      <w:r>
        <w:rPr>
          <w:spacing w:val="-4"/>
        </w:rPr>
        <w:t>Killing</w:t>
      </w:r>
      <w:r>
        <w:rPr>
          <w:spacing w:val="-6"/>
        </w:rPr>
        <w:t> </w:t>
      </w:r>
      <w:r>
        <w:rPr>
          <w:spacing w:val="-4"/>
        </w:rPr>
        <w:t>Duncan was political usurpation; killing children</w:t>
      </w:r>
      <w:r>
        <w:rPr>
          <w:spacing w:val="-9"/>
        </w:rPr>
        <w:t> </w:t>
      </w:r>
      <w:r>
        <w:rPr>
          <w:spacing w:val="-4"/>
        </w:rPr>
        <w:t>is the annihilation </w:t>
      </w:r>
      <w:r>
        <w:rPr/>
        <w:t>of futurity. Klein observes, “Lady Macduff’s death provides the moral calculus by which we measure Macbeth’s descent from regicide to nihilism” (Klein P. 249).</w:t>
      </w:r>
    </w:p>
    <w:p>
      <w:pPr>
        <w:pStyle w:val="BodyText"/>
        <w:spacing w:line="249" w:lineRule="auto" w:before="67"/>
        <w:ind w:right="1437" w:firstLine="432"/>
        <w:jc w:val="both"/>
      </w:pPr>
      <w:r>
        <w:rPr/>
        <w:t>Her death is also causally necessary. It transforms Macduff from exile</w:t>
      </w:r>
      <w:r>
        <w:rPr>
          <w:spacing w:val="-13"/>
        </w:rPr>
        <w:t> </w:t>
      </w:r>
      <w:r>
        <w:rPr/>
        <w:t>to</w:t>
      </w:r>
      <w:r>
        <w:rPr>
          <w:spacing w:val="-12"/>
        </w:rPr>
        <w:t> </w:t>
      </w:r>
      <w:r>
        <w:rPr/>
        <w:t>avenger.</w:t>
      </w:r>
      <w:r>
        <w:rPr>
          <w:spacing w:val="-13"/>
        </w:rPr>
        <w:t> </w:t>
      </w:r>
      <w:r>
        <w:rPr/>
        <w:t>When</w:t>
      </w:r>
      <w:r>
        <w:rPr>
          <w:spacing w:val="-12"/>
        </w:rPr>
        <w:t> </w:t>
      </w:r>
      <w:r>
        <w:rPr/>
        <w:t>Malcolm</w:t>
      </w:r>
      <w:r>
        <w:rPr>
          <w:spacing w:val="-13"/>
        </w:rPr>
        <w:t> </w:t>
      </w:r>
      <w:r>
        <w:rPr/>
        <w:t>tests</w:t>
      </w:r>
      <w:r>
        <w:rPr>
          <w:spacing w:val="-12"/>
        </w:rPr>
        <w:t> </w:t>
      </w:r>
      <w:r>
        <w:rPr/>
        <w:t>him</w:t>
      </w:r>
      <w:r>
        <w:rPr>
          <w:spacing w:val="-13"/>
        </w:rPr>
        <w:t> </w:t>
      </w:r>
      <w:r>
        <w:rPr/>
        <w:t>in</w:t>
      </w:r>
      <w:r>
        <w:rPr>
          <w:spacing w:val="-12"/>
        </w:rPr>
        <w:t> </w:t>
      </w:r>
      <w:r>
        <w:rPr/>
        <w:t>Macduff’s</w:t>
      </w:r>
      <w:r>
        <w:rPr>
          <w:spacing w:val="-13"/>
        </w:rPr>
        <w:t> </w:t>
      </w:r>
      <w:r>
        <w:rPr/>
        <w:t>grief</w:t>
      </w:r>
      <w:r>
        <w:rPr>
          <w:spacing w:val="-12"/>
        </w:rPr>
        <w:t> </w:t>
      </w:r>
      <w:r>
        <w:rPr/>
        <w:t>erupts:</w:t>
      </w:r>
      <w:r>
        <w:rPr>
          <w:spacing w:val="-13"/>
        </w:rPr>
        <w:t> </w:t>
      </w:r>
      <w:r>
        <w:rPr/>
        <w:t>“He has no children” (P. 216). The line accuses both Malcolm of lacking empathy and Macbeth of killing those who cannot reproduce. Lady Macduff</w:t>
      </w:r>
      <w:r>
        <w:rPr>
          <w:spacing w:val="-13"/>
        </w:rPr>
        <w:t> </w:t>
      </w:r>
      <w:r>
        <w:rPr/>
        <w:t>represents</w:t>
      </w:r>
      <w:r>
        <w:rPr>
          <w:spacing w:val="-12"/>
        </w:rPr>
        <w:t> </w:t>
      </w:r>
      <w:r>
        <w:rPr/>
        <w:t>domesticity</w:t>
      </w:r>
      <w:r>
        <w:rPr>
          <w:spacing w:val="-13"/>
        </w:rPr>
        <w:t> </w:t>
      </w:r>
      <w:r>
        <w:rPr/>
        <w:t>not</w:t>
      </w:r>
      <w:r>
        <w:rPr>
          <w:spacing w:val="-12"/>
        </w:rPr>
        <w:t> </w:t>
      </w:r>
      <w:r>
        <w:rPr/>
        <w:t>as</w:t>
      </w:r>
      <w:r>
        <w:rPr>
          <w:spacing w:val="-13"/>
        </w:rPr>
        <w:t> </w:t>
      </w:r>
      <w:r>
        <w:rPr/>
        <w:t>passivity</w:t>
      </w:r>
      <w:r>
        <w:rPr>
          <w:spacing w:val="-12"/>
        </w:rPr>
        <w:t> </w:t>
      </w:r>
      <w:r>
        <w:rPr/>
        <w:t>but</w:t>
      </w:r>
      <w:r>
        <w:rPr>
          <w:spacing w:val="-13"/>
        </w:rPr>
        <w:t> </w:t>
      </w:r>
      <w:r>
        <w:rPr/>
        <w:t>as</w:t>
      </w:r>
      <w:r>
        <w:rPr>
          <w:spacing w:val="-12"/>
        </w:rPr>
        <w:t> </w:t>
      </w:r>
      <w:r>
        <w:rPr/>
        <w:t>the</w:t>
      </w:r>
      <w:r>
        <w:rPr>
          <w:spacing w:val="-13"/>
        </w:rPr>
        <w:t> </w:t>
      </w:r>
      <w:r>
        <w:rPr/>
        <w:t>moral</w:t>
      </w:r>
      <w:r>
        <w:rPr>
          <w:spacing w:val="-12"/>
        </w:rPr>
        <w:t> </w:t>
      </w:r>
      <w:r>
        <w:rPr/>
        <w:t>baseline of</w:t>
      </w:r>
      <w:r>
        <w:rPr>
          <w:spacing w:val="-5"/>
        </w:rPr>
        <w:t> </w:t>
      </w:r>
      <w:r>
        <w:rPr/>
        <w:t>the</w:t>
      </w:r>
      <w:r>
        <w:rPr>
          <w:spacing w:val="-5"/>
        </w:rPr>
        <w:t> </w:t>
      </w:r>
      <w:r>
        <w:rPr/>
        <w:t>state.</w:t>
      </w:r>
      <w:r>
        <w:rPr>
          <w:spacing w:val="-7"/>
        </w:rPr>
        <w:t> </w:t>
      </w:r>
      <w:r>
        <w:rPr/>
        <w:t>Her</w:t>
      </w:r>
      <w:r>
        <w:rPr>
          <w:spacing w:val="-4"/>
        </w:rPr>
        <w:t> </w:t>
      </w:r>
      <w:r>
        <w:rPr/>
        <w:t>life</w:t>
      </w:r>
      <w:r>
        <w:rPr>
          <w:spacing w:val="-5"/>
        </w:rPr>
        <w:t> </w:t>
      </w:r>
      <w:r>
        <w:rPr/>
        <w:t>defines</w:t>
      </w:r>
      <w:r>
        <w:rPr>
          <w:spacing w:val="-5"/>
        </w:rPr>
        <w:t> </w:t>
      </w:r>
      <w:r>
        <w:rPr/>
        <w:t>order;</w:t>
      </w:r>
      <w:r>
        <w:rPr>
          <w:spacing w:val="-5"/>
        </w:rPr>
        <w:t> </w:t>
      </w:r>
      <w:r>
        <w:rPr/>
        <w:t>her</w:t>
      </w:r>
      <w:r>
        <w:rPr>
          <w:spacing w:val="-4"/>
        </w:rPr>
        <w:t> </w:t>
      </w:r>
      <w:r>
        <w:rPr/>
        <w:t>death</w:t>
      </w:r>
      <w:r>
        <w:rPr>
          <w:spacing w:val="-7"/>
        </w:rPr>
        <w:t> </w:t>
      </w:r>
      <w:r>
        <w:rPr/>
        <w:t>authorizes</w:t>
      </w:r>
      <w:r>
        <w:rPr>
          <w:spacing w:val="-5"/>
        </w:rPr>
        <w:t> </w:t>
      </w:r>
      <w:r>
        <w:rPr/>
        <w:t>the</w:t>
      </w:r>
      <w:r>
        <w:rPr>
          <w:spacing w:val="-5"/>
        </w:rPr>
        <w:t> </w:t>
      </w:r>
      <w:r>
        <w:rPr/>
        <w:t>violence</w:t>
      </w:r>
      <w:r>
        <w:rPr>
          <w:spacing w:val="-5"/>
        </w:rPr>
        <w:t> </w:t>
      </w:r>
      <w:r>
        <w:rPr/>
        <w:t>that restores it.</w:t>
      </w:r>
      <w:r>
        <w:rPr>
          <w:spacing w:val="39"/>
        </w:rPr>
        <w:t> </w:t>
      </w:r>
      <w:r>
        <w:rPr/>
        <w:t>Even the normative</w:t>
      </w:r>
      <w:r>
        <w:rPr>
          <w:spacing w:val="40"/>
        </w:rPr>
        <w:t> </w:t>
      </w:r>
      <w:r>
        <w:rPr/>
        <w:t>woman is causal,</w:t>
      </w:r>
      <w:r>
        <w:rPr>
          <w:spacing w:val="39"/>
        </w:rPr>
        <w:t> </w:t>
      </w:r>
      <w:r>
        <w:rPr/>
        <w:t>not ornamental.</w:t>
      </w:r>
    </w:p>
    <w:p>
      <w:pPr>
        <w:pStyle w:val="BodyText"/>
        <w:spacing w:line="249" w:lineRule="auto" w:before="63"/>
        <w:ind w:right="1437" w:firstLine="432"/>
        <w:jc w:val="both"/>
      </w:pPr>
      <w:r>
        <w:rPr/>
        <w:t>Taken</w:t>
      </w:r>
      <w:r>
        <w:rPr>
          <w:spacing w:val="-13"/>
        </w:rPr>
        <w:t> </w:t>
      </w:r>
      <w:r>
        <w:rPr/>
        <w:t>together,</w:t>
      </w:r>
      <w:r>
        <w:rPr>
          <w:spacing w:val="-12"/>
        </w:rPr>
        <w:t> </w:t>
      </w:r>
      <w:r>
        <w:rPr/>
        <w:t>the</w:t>
      </w:r>
      <w:r>
        <w:rPr>
          <w:spacing w:val="-13"/>
        </w:rPr>
        <w:t> </w:t>
      </w:r>
      <w:r>
        <w:rPr/>
        <w:t>three</w:t>
      </w:r>
      <w:r>
        <w:rPr>
          <w:spacing w:val="-12"/>
        </w:rPr>
        <w:t> </w:t>
      </w:r>
      <w:r>
        <w:rPr/>
        <w:t>women</w:t>
      </w:r>
      <w:r>
        <w:rPr>
          <w:spacing w:val="-13"/>
        </w:rPr>
        <w:t> </w:t>
      </w:r>
      <w:r>
        <w:rPr/>
        <w:t>reveal</w:t>
      </w:r>
      <w:r>
        <w:rPr>
          <w:spacing w:val="-12"/>
        </w:rPr>
        <w:t> </w:t>
      </w:r>
      <w:r>
        <w:rPr/>
        <w:t>three</w:t>
      </w:r>
      <w:r>
        <w:rPr>
          <w:spacing w:val="-13"/>
        </w:rPr>
        <w:t> </w:t>
      </w:r>
      <w:r>
        <w:rPr/>
        <w:t>patterns.</w:t>
      </w:r>
      <w:r>
        <w:rPr>
          <w:spacing w:val="-12"/>
        </w:rPr>
        <w:t> </w:t>
      </w:r>
      <w:r>
        <w:rPr/>
        <w:t>First,</w:t>
      </w:r>
      <w:r>
        <w:rPr>
          <w:spacing w:val="-13"/>
        </w:rPr>
        <w:t> </w:t>
      </w:r>
      <w:r>
        <w:rPr/>
        <w:t>gender in</w:t>
      </w:r>
      <w:r>
        <w:rPr>
          <w:spacing w:val="-5"/>
        </w:rPr>
        <w:t> </w:t>
      </w:r>
      <w:r>
        <w:rPr/>
        <w:t>Macbeth</w:t>
      </w:r>
      <w:r>
        <w:rPr>
          <w:spacing w:val="-3"/>
        </w:rPr>
        <w:t> </w:t>
      </w:r>
      <w:r>
        <w:rPr/>
        <w:t>is</w:t>
      </w:r>
      <w:r>
        <w:rPr>
          <w:spacing w:val="-5"/>
        </w:rPr>
        <w:t> </w:t>
      </w:r>
      <w:r>
        <w:rPr/>
        <w:t>performative.</w:t>
      </w:r>
      <w:r>
        <w:rPr>
          <w:spacing w:val="-1"/>
        </w:rPr>
        <w:t> </w:t>
      </w:r>
      <w:r>
        <w:rPr/>
        <w:t>Butler’s</w:t>
      </w:r>
      <w:r>
        <w:rPr>
          <w:spacing w:val="-5"/>
        </w:rPr>
        <w:t> </w:t>
      </w:r>
      <w:r>
        <w:rPr/>
        <w:t>formulation</w:t>
      </w:r>
      <w:r>
        <w:rPr>
          <w:spacing w:val="-1"/>
        </w:rPr>
        <w:t> </w:t>
      </w:r>
      <w:r>
        <w:rPr/>
        <w:t>that</w:t>
      </w:r>
      <w:r>
        <w:rPr>
          <w:spacing w:val="-5"/>
        </w:rPr>
        <w:t> </w:t>
      </w:r>
      <w:r>
        <w:rPr/>
        <w:t>gender</w:t>
      </w:r>
      <w:r>
        <w:rPr>
          <w:spacing w:val="-1"/>
        </w:rPr>
        <w:t> </w:t>
      </w:r>
      <w:r>
        <w:rPr/>
        <w:t>is</w:t>
      </w:r>
      <w:r>
        <w:rPr>
          <w:spacing w:val="-3"/>
        </w:rPr>
        <w:t> </w:t>
      </w:r>
      <w:r>
        <w:rPr/>
        <w:t>“a</w:t>
      </w:r>
      <w:r>
        <w:rPr>
          <w:spacing w:val="-2"/>
        </w:rPr>
        <w:t> </w:t>
      </w:r>
      <w:r>
        <w:rPr/>
        <w:t>set</w:t>
      </w:r>
      <w:r>
        <w:rPr>
          <w:spacing w:val="-4"/>
        </w:rPr>
        <w:t> </w:t>
      </w:r>
      <w:r>
        <w:rPr/>
        <w:t>of repeated acts within a highly rigid regulatory frame” (Butler P. 33) illuminates the play. Lady Macbeth performs masculinity more successfully than Macbeth; the Witches refuse stable gender; Lady </w:t>
      </w:r>
      <w:r>
        <w:rPr>
          <w:spacing w:val="-2"/>
        </w:rPr>
        <w:t>Macduff</w:t>
      </w:r>
      <w:r>
        <w:rPr>
          <w:spacing w:val="-11"/>
        </w:rPr>
        <w:t> </w:t>
      </w:r>
      <w:r>
        <w:rPr>
          <w:spacing w:val="-2"/>
        </w:rPr>
        <w:t>performs</w:t>
      </w:r>
      <w:r>
        <w:rPr>
          <w:spacing w:val="-10"/>
        </w:rPr>
        <w:t> </w:t>
      </w:r>
      <w:r>
        <w:rPr>
          <w:spacing w:val="-2"/>
        </w:rPr>
        <w:t>normative</w:t>
      </w:r>
      <w:r>
        <w:rPr>
          <w:spacing w:val="-11"/>
        </w:rPr>
        <w:t> </w:t>
      </w:r>
      <w:r>
        <w:rPr>
          <w:spacing w:val="-2"/>
        </w:rPr>
        <w:t>femininity</w:t>
      </w:r>
      <w:r>
        <w:rPr>
          <w:spacing w:val="-10"/>
        </w:rPr>
        <w:t> </w:t>
      </w:r>
      <w:r>
        <w:rPr>
          <w:spacing w:val="-2"/>
        </w:rPr>
        <w:t>and</w:t>
      </w:r>
      <w:r>
        <w:rPr>
          <w:spacing w:val="-11"/>
        </w:rPr>
        <w:t> </w:t>
      </w:r>
      <w:r>
        <w:rPr>
          <w:spacing w:val="-2"/>
        </w:rPr>
        <w:t>is</w:t>
      </w:r>
      <w:r>
        <w:rPr>
          <w:spacing w:val="-10"/>
        </w:rPr>
        <w:t> </w:t>
      </w:r>
      <w:r>
        <w:rPr>
          <w:spacing w:val="-2"/>
        </w:rPr>
        <w:t>destroyed</w:t>
      </w:r>
      <w:r>
        <w:rPr>
          <w:spacing w:val="-11"/>
        </w:rPr>
        <w:t> </w:t>
      </w:r>
      <w:r>
        <w:rPr>
          <w:spacing w:val="-2"/>
        </w:rPr>
        <w:t>for</w:t>
      </w:r>
      <w:r>
        <w:rPr>
          <w:spacing w:val="-10"/>
        </w:rPr>
        <w:t> </w:t>
      </w:r>
      <w:r>
        <w:rPr>
          <w:spacing w:val="-2"/>
        </w:rPr>
        <w:t>it.</w:t>
      </w:r>
      <w:r>
        <w:rPr>
          <w:spacing w:val="-10"/>
        </w:rPr>
        <w:t> </w:t>
      </w:r>
      <w:r>
        <w:rPr>
          <w:spacing w:val="-2"/>
        </w:rPr>
        <w:t>Macbeth’s </w:t>
      </w:r>
      <w:r>
        <w:rPr/>
        <w:t>tragedy</w:t>
      </w:r>
      <w:r>
        <w:rPr>
          <w:spacing w:val="-5"/>
        </w:rPr>
        <w:t> </w:t>
      </w:r>
      <w:r>
        <w:rPr/>
        <w:t>is</w:t>
      </w:r>
      <w:r>
        <w:rPr>
          <w:spacing w:val="-5"/>
        </w:rPr>
        <w:t> </w:t>
      </w:r>
      <w:r>
        <w:rPr/>
        <w:t>partly</w:t>
      </w:r>
      <w:r>
        <w:rPr>
          <w:spacing w:val="-5"/>
        </w:rPr>
        <w:t> </w:t>
      </w:r>
      <w:r>
        <w:rPr/>
        <w:t>his</w:t>
      </w:r>
      <w:r>
        <w:rPr>
          <w:spacing w:val="-5"/>
        </w:rPr>
        <w:t> </w:t>
      </w:r>
      <w:r>
        <w:rPr/>
        <w:t>inability</w:t>
      </w:r>
      <w:r>
        <w:rPr>
          <w:spacing w:val="-5"/>
        </w:rPr>
        <w:t> </w:t>
      </w:r>
      <w:r>
        <w:rPr/>
        <w:t>to stabilize</w:t>
      </w:r>
      <w:r>
        <w:rPr>
          <w:spacing w:val="-3"/>
        </w:rPr>
        <w:t> </w:t>
      </w:r>
      <w:r>
        <w:rPr/>
        <w:t>his</w:t>
      </w:r>
      <w:r>
        <w:rPr>
          <w:spacing w:val="-3"/>
        </w:rPr>
        <w:t> </w:t>
      </w:r>
      <w:r>
        <w:rPr/>
        <w:t>performance</w:t>
      </w:r>
      <w:r>
        <w:rPr>
          <w:spacing w:val="-4"/>
        </w:rPr>
        <w:t> </w:t>
      </w:r>
      <w:r>
        <w:rPr/>
        <w:t>of</w:t>
      </w:r>
      <w:r>
        <w:rPr>
          <w:spacing w:val="-3"/>
        </w:rPr>
        <w:t> </w:t>
      </w:r>
      <w:r>
        <w:rPr/>
        <w:t>“manhood” once these female</w:t>
      </w:r>
      <w:r>
        <w:rPr>
          <w:spacing w:val="40"/>
        </w:rPr>
        <w:t> </w:t>
      </w:r>
      <w:r>
        <w:rPr/>
        <w:t>performances have destabilized</w:t>
      </w:r>
      <w:r>
        <w:rPr>
          <w:spacing w:val="40"/>
        </w:rPr>
        <w:t> </w:t>
      </w:r>
      <w:r>
        <w:rPr/>
        <w:t>it.</w:t>
      </w:r>
    </w:p>
    <w:p>
      <w:pPr>
        <w:pStyle w:val="BodyText"/>
        <w:spacing w:line="249" w:lineRule="auto" w:before="67"/>
        <w:ind w:right="1434" w:firstLine="432"/>
        <w:jc w:val="both"/>
      </w:pPr>
      <w:r>
        <w:rPr/>
        <w:t>Second, the play correlates female speech with political danger. The Witches’ prophecies, Lady Macbeth’s persuasions, and Lady Macduff’s laments all move men to action. The text responds by progressively silencing its women: the Witches vanish after, Lady Macduff</w:t>
      </w:r>
      <w:r>
        <w:rPr>
          <w:spacing w:val="-8"/>
        </w:rPr>
        <w:t> </w:t>
      </w:r>
      <w:r>
        <w:rPr/>
        <w:t>is</w:t>
      </w:r>
      <w:r>
        <w:rPr>
          <w:spacing w:val="-8"/>
        </w:rPr>
        <w:t> </w:t>
      </w:r>
      <w:r>
        <w:rPr/>
        <w:t>murdered</w:t>
      </w:r>
      <w:r>
        <w:rPr>
          <w:spacing w:val="-6"/>
        </w:rPr>
        <w:t> </w:t>
      </w:r>
      <w:r>
        <w:rPr/>
        <w:t>in,</w:t>
      </w:r>
      <w:r>
        <w:rPr>
          <w:spacing w:val="-6"/>
        </w:rPr>
        <w:t> </w:t>
      </w:r>
      <w:r>
        <w:rPr/>
        <w:t>Lady</w:t>
      </w:r>
      <w:r>
        <w:rPr>
          <w:spacing w:val="-9"/>
        </w:rPr>
        <w:t> </w:t>
      </w:r>
      <w:r>
        <w:rPr/>
        <w:t>Macbeth</w:t>
      </w:r>
      <w:r>
        <w:rPr>
          <w:spacing w:val="-9"/>
        </w:rPr>
        <w:t> </w:t>
      </w:r>
      <w:r>
        <w:rPr/>
        <w:t>dies</w:t>
      </w:r>
      <w:r>
        <w:rPr>
          <w:spacing w:val="-9"/>
        </w:rPr>
        <w:t> </w:t>
      </w:r>
      <w:r>
        <w:rPr/>
        <w:t>offstage</w:t>
      </w:r>
      <w:r>
        <w:rPr>
          <w:spacing w:val="-8"/>
        </w:rPr>
        <w:t> </w:t>
      </w:r>
      <w:r>
        <w:rPr/>
        <w:t>before.</w:t>
      </w:r>
      <w:r>
        <w:rPr>
          <w:spacing w:val="40"/>
        </w:rPr>
        <w:t> </w:t>
      </w:r>
      <w:r>
        <w:rPr/>
        <w:t>In</w:t>
      </w:r>
      <w:r>
        <w:rPr>
          <w:spacing w:val="-8"/>
        </w:rPr>
        <w:t> </w:t>
      </w:r>
      <w:r>
        <w:rPr/>
        <w:t>the</w:t>
      </w:r>
      <w:r>
        <w:rPr>
          <w:spacing w:val="-8"/>
        </w:rPr>
        <w:t> </w:t>
      </w:r>
      <w:r>
        <w:rPr/>
        <w:t>final scene only males speak. Malcolm’s closing promise that “by the grace of</w:t>
      </w:r>
      <w:r>
        <w:rPr>
          <w:spacing w:val="-13"/>
        </w:rPr>
        <w:t> </w:t>
      </w:r>
      <w:r>
        <w:rPr/>
        <w:t>Grace</w:t>
      </w:r>
      <w:r>
        <w:rPr>
          <w:spacing w:val="-8"/>
        </w:rPr>
        <w:t> </w:t>
      </w:r>
      <w:r>
        <w:rPr/>
        <w:t>/</w:t>
      </w:r>
      <w:r>
        <w:rPr>
          <w:spacing w:val="-13"/>
        </w:rPr>
        <w:t> </w:t>
      </w:r>
      <w:r>
        <w:rPr/>
        <w:t>We</w:t>
      </w:r>
      <w:r>
        <w:rPr>
          <w:spacing w:val="-7"/>
        </w:rPr>
        <w:t> </w:t>
      </w:r>
      <w:r>
        <w:rPr/>
        <w:t>will</w:t>
      </w:r>
      <w:r>
        <w:rPr>
          <w:spacing w:val="-10"/>
        </w:rPr>
        <w:t> </w:t>
      </w:r>
      <w:r>
        <w:rPr/>
        <w:t>perform</w:t>
      </w:r>
      <w:r>
        <w:rPr>
          <w:spacing w:val="-13"/>
        </w:rPr>
        <w:t> </w:t>
      </w:r>
      <w:r>
        <w:rPr/>
        <w:t>in</w:t>
      </w:r>
      <w:r>
        <w:rPr>
          <w:spacing w:val="-8"/>
        </w:rPr>
        <w:t> </w:t>
      </w:r>
      <w:r>
        <w:rPr/>
        <w:t>measure,</w:t>
      </w:r>
      <w:r>
        <w:rPr>
          <w:spacing w:val="-10"/>
        </w:rPr>
        <w:t> </w:t>
      </w:r>
      <w:r>
        <w:rPr/>
        <w:t>time</w:t>
      </w:r>
      <w:r>
        <w:rPr>
          <w:spacing w:val="-10"/>
        </w:rPr>
        <w:t> </w:t>
      </w:r>
      <w:r>
        <w:rPr/>
        <w:t>and</w:t>
      </w:r>
      <w:r>
        <w:rPr>
          <w:spacing w:val="-7"/>
        </w:rPr>
        <w:t> </w:t>
      </w:r>
      <w:r>
        <w:rPr/>
        <w:t>place”</w:t>
      </w:r>
      <w:r>
        <w:rPr>
          <w:spacing w:val="-10"/>
        </w:rPr>
        <w:t> </w:t>
      </w:r>
      <w:r>
        <w:rPr/>
        <w:t>(pp.</w:t>
      </w:r>
      <w:r>
        <w:rPr>
          <w:spacing w:val="-9"/>
        </w:rPr>
        <w:t> </w:t>
      </w:r>
      <w:r>
        <w:rPr/>
        <w:t>39-40)</w:t>
      </w:r>
      <w:r>
        <w:rPr>
          <w:spacing w:val="-9"/>
        </w:rPr>
        <w:t> </w:t>
      </w:r>
      <w:r>
        <w:rPr/>
        <w:t>links restoration</w:t>
      </w:r>
      <w:r>
        <w:rPr>
          <w:spacing w:val="40"/>
        </w:rPr>
        <w:t> </w:t>
      </w:r>
      <w:r>
        <w:rPr/>
        <w:t>to</w:t>
      </w:r>
      <w:r>
        <w:rPr>
          <w:spacing w:val="40"/>
        </w:rPr>
        <w:t> </w:t>
      </w:r>
      <w:r>
        <w:rPr/>
        <w:t>linguistic</w:t>
      </w:r>
      <w:r>
        <w:rPr>
          <w:spacing w:val="40"/>
        </w:rPr>
        <w:t> </w:t>
      </w:r>
      <w:r>
        <w:rPr/>
        <w:t>regulation.</w:t>
      </w:r>
    </w:p>
    <w:p>
      <w:pPr>
        <w:pStyle w:val="BodyText"/>
        <w:spacing w:line="249" w:lineRule="auto" w:before="64"/>
        <w:ind w:right="1437" w:firstLine="432"/>
        <w:jc w:val="both"/>
      </w:pPr>
      <w:r>
        <w:rPr>
          <w:spacing w:val="-2"/>
        </w:rPr>
        <w:t>Third,</w:t>
      </w:r>
      <w:r>
        <w:rPr>
          <w:spacing w:val="-11"/>
        </w:rPr>
        <w:t> </w:t>
      </w:r>
      <w:r>
        <w:rPr>
          <w:spacing w:val="-2"/>
        </w:rPr>
        <w:t>Shakespeare</w:t>
      </w:r>
      <w:r>
        <w:rPr>
          <w:spacing w:val="-10"/>
        </w:rPr>
        <w:t> </w:t>
      </w:r>
      <w:r>
        <w:rPr>
          <w:spacing w:val="-2"/>
        </w:rPr>
        <w:t>links</w:t>
      </w:r>
      <w:r>
        <w:rPr>
          <w:spacing w:val="-11"/>
        </w:rPr>
        <w:t> </w:t>
      </w:r>
      <w:r>
        <w:rPr>
          <w:spacing w:val="-2"/>
        </w:rPr>
        <w:t>female</w:t>
      </w:r>
      <w:r>
        <w:rPr>
          <w:spacing w:val="-8"/>
        </w:rPr>
        <w:t> </w:t>
      </w:r>
      <w:r>
        <w:rPr>
          <w:spacing w:val="-2"/>
        </w:rPr>
        <w:t>power</w:t>
      </w:r>
      <w:r>
        <w:rPr>
          <w:spacing w:val="-7"/>
        </w:rPr>
        <w:t> </w:t>
      </w:r>
      <w:r>
        <w:rPr>
          <w:spacing w:val="-2"/>
        </w:rPr>
        <w:t>to</w:t>
      </w:r>
      <w:r>
        <w:rPr>
          <w:spacing w:val="-11"/>
        </w:rPr>
        <w:t> </w:t>
      </w:r>
      <w:r>
        <w:rPr>
          <w:spacing w:val="-2"/>
        </w:rPr>
        <w:t>corrupted</w:t>
      </w:r>
      <w:r>
        <w:rPr>
          <w:spacing w:val="-6"/>
        </w:rPr>
        <w:t> </w:t>
      </w:r>
      <w:r>
        <w:rPr>
          <w:spacing w:val="-2"/>
        </w:rPr>
        <w:t>maternity.</w:t>
      </w:r>
      <w:r>
        <w:rPr>
          <w:spacing w:val="-7"/>
        </w:rPr>
        <w:t> </w:t>
      </w:r>
      <w:r>
        <w:rPr>
          <w:spacing w:val="-2"/>
        </w:rPr>
        <w:t>Lady </w:t>
      </w:r>
      <w:r>
        <w:rPr/>
        <w:t>Macbeth would murder her nursling; the Witches conjure a “bloody Child” (P.76); Lady Macduff’s son is stabbed defending his mother. Dusinberre</w:t>
      </w:r>
      <w:r>
        <w:rPr>
          <w:spacing w:val="-13"/>
        </w:rPr>
        <w:t> </w:t>
      </w:r>
      <w:r>
        <w:rPr/>
        <w:t>argues</w:t>
      </w:r>
      <w:r>
        <w:rPr>
          <w:spacing w:val="-12"/>
        </w:rPr>
        <w:t> </w:t>
      </w:r>
      <w:r>
        <w:rPr/>
        <w:t>that</w:t>
      </w:r>
      <w:r>
        <w:rPr>
          <w:spacing w:val="-13"/>
        </w:rPr>
        <w:t> </w:t>
      </w:r>
      <w:r>
        <w:rPr/>
        <w:t>“Shakespeare’s</w:t>
      </w:r>
      <w:r>
        <w:rPr>
          <w:spacing w:val="-12"/>
        </w:rPr>
        <w:t> </w:t>
      </w:r>
      <w:r>
        <w:rPr/>
        <w:t>tragic</w:t>
      </w:r>
      <w:r>
        <w:rPr>
          <w:spacing w:val="-13"/>
        </w:rPr>
        <w:t> </w:t>
      </w:r>
      <w:r>
        <w:rPr/>
        <w:t>women</w:t>
      </w:r>
      <w:r>
        <w:rPr>
          <w:spacing w:val="-12"/>
        </w:rPr>
        <w:t> </w:t>
      </w:r>
      <w:r>
        <w:rPr/>
        <w:t>are</w:t>
      </w:r>
      <w:r>
        <w:rPr>
          <w:spacing w:val="-13"/>
        </w:rPr>
        <w:t> </w:t>
      </w:r>
      <w:r>
        <w:rPr/>
        <w:t>most</w:t>
      </w:r>
      <w:r>
        <w:rPr>
          <w:spacing w:val="-12"/>
        </w:rPr>
        <w:t> </w:t>
      </w:r>
      <w:r>
        <w:rPr/>
        <w:t>dangerous when</w:t>
      </w:r>
      <w:r>
        <w:rPr>
          <w:spacing w:val="21"/>
        </w:rPr>
        <w:t> </w:t>
      </w:r>
      <w:r>
        <w:rPr/>
        <w:t>they</w:t>
      </w:r>
      <w:r>
        <w:rPr>
          <w:spacing w:val="22"/>
        </w:rPr>
        <w:t> </w:t>
      </w:r>
      <w:r>
        <w:rPr/>
        <w:t>repudiate</w:t>
      </w:r>
      <w:r>
        <w:rPr>
          <w:spacing w:val="23"/>
        </w:rPr>
        <w:t> </w:t>
      </w:r>
      <w:r>
        <w:rPr/>
        <w:t>or</w:t>
      </w:r>
      <w:r>
        <w:rPr>
          <w:spacing w:val="27"/>
        </w:rPr>
        <w:t> </w:t>
      </w:r>
      <w:r>
        <w:rPr/>
        <w:t>are</w:t>
      </w:r>
      <w:r>
        <w:rPr>
          <w:spacing w:val="25"/>
        </w:rPr>
        <w:t> </w:t>
      </w:r>
      <w:r>
        <w:rPr/>
        <w:t>severed</w:t>
      </w:r>
      <w:r>
        <w:rPr>
          <w:spacing w:val="27"/>
        </w:rPr>
        <w:t> </w:t>
      </w:r>
      <w:r>
        <w:rPr/>
        <w:t>from</w:t>
      </w:r>
      <w:r>
        <w:rPr>
          <w:spacing w:val="20"/>
        </w:rPr>
        <w:t> </w:t>
      </w:r>
      <w:r>
        <w:rPr/>
        <w:t>their</w:t>
      </w:r>
      <w:r>
        <w:rPr>
          <w:spacing w:val="27"/>
        </w:rPr>
        <w:t> </w:t>
      </w:r>
      <w:r>
        <w:rPr/>
        <w:t>reproductive</w:t>
      </w:r>
      <w:r>
        <w:rPr>
          <w:spacing w:val="24"/>
        </w:rPr>
        <w:t> </w:t>
      </w:r>
      <w:r>
        <w:rPr>
          <w:spacing w:val="-2"/>
        </w:rPr>
        <w:t>function”</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31040">
                <wp:simplePos x="0" y="0"/>
                <wp:positionH relativeFrom="page">
                  <wp:posOffset>2065020</wp:posOffset>
                </wp:positionH>
                <wp:positionV relativeFrom="paragraph">
                  <wp:posOffset>795020</wp:posOffset>
                </wp:positionV>
                <wp:extent cx="3657600" cy="12700"/>
                <wp:effectExtent l="0" t="0" r="0" b="0"/>
                <wp:wrapTopAndBottom/>
                <wp:docPr id="664" name="Graphic 664"/>
                <wp:cNvGraphicFramePr>
                  <a:graphicFrameLocks/>
                </wp:cNvGraphicFramePr>
                <a:graphic>
                  <a:graphicData uri="http://schemas.microsoft.com/office/word/2010/wordprocessingShape">
                    <wps:wsp>
                      <wps:cNvPr id="664" name="Graphic 66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85440;mso-wrap-distance-left:0;mso-wrap-distance-right:0" id="docshape656" filled="true" fillcolor="#000000" stroked="false">
                <v:fill type="solid"/>
                <w10:wrap type="topAndBottom"/>
              </v:rect>
            </w:pict>
          </mc:Fallback>
        </mc:AlternateContent>
      </w:r>
      <w:r>
        <w:rPr>
          <w:rFonts w:ascii="Verdana" w:hAnsi="Verdana"/>
          <w:spacing w:val="-2"/>
          <w:sz w:val="18"/>
        </w:rPr>
        <w:t>Shakespeare’s</w:t>
      </w:r>
      <w:r>
        <w:rPr>
          <w:rFonts w:ascii="Verdana" w:hAnsi="Verdana"/>
          <w:spacing w:val="12"/>
          <w:sz w:val="18"/>
        </w:rPr>
        <w:t> </w:t>
      </w:r>
      <w:r>
        <w:rPr>
          <w:rFonts w:ascii="Verdana" w:hAnsi="Verdana"/>
          <w:spacing w:val="-2"/>
          <w:sz w:val="18"/>
        </w:rPr>
        <w:t>Representation</w:t>
      </w:r>
      <w:r>
        <w:rPr>
          <w:rFonts w:ascii="Verdana" w:hAnsi="Verdana"/>
          <w:spacing w:val="16"/>
          <w:sz w:val="18"/>
        </w:rPr>
        <w:t> </w:t>
      </w:r>
      <w:r>
        <w:rPr>
          <w:rFonts w:ascii="Verdana" w:hAnsi="Verdana"/>
          <w:spacing w:val="-2"/>
          <w:sz w:val="18"/>
        </w:rPr>
        <w:t>of</w:t>
      </w:r>
      <w:r>
        <w:rPr>
          <w:rFonts w:ascii="Verdana" w:hAnsi="Verdana"/>
          <w:spacing w:val="15"/>
          <w:sz w:val="18"/>
        </w:rPr>
        <w:t> </w:t>
      </w:r>
      <w:r>
        <w:rPr>
          <w:rFonts w:ascii="Verdana" w:hAnsi="Verdana"/>
          <w:spacing w:val="-2"/>
          <w:sz w:val="18"/>
        </w:rPr>
        <w:t>Women:</w:t>
      </w:r>
      <w:r>
        <w:rPr>
          <w:rFonts w:ascii="Verdana" w:hAnsi="Verdana"/>
          <w:spacing w:val="15"/>
          <w:sz w:val="18"/>
        </w:rPr>
        <w:t> </w:t>
      </w:r>
      <w:r>
        <w:rPr>
          <w:rFonts w:ascii="Verdana" w:hAnsi="Verdana"/>
          <w:spacing w:val="-2"/>
          <w:sz w:val="18"/>
        </w:rPr>
        <w:t>Power...</w:t>
      </w:r>
      <w:r>
        <w:rPr>
          <w:sz w:val="18"/>
        </w:rPr>
        <w:tab/>
      </w:r>
      <w:r>
        <w:rPr>
          <w:rFonts w:ascii="Verdana" w:hAnsi="Verdana"/>
          <w:spacing w:val="-5"/>
          <w:sz w:val="18"/>
        </w:rPr>
        <w:t>325</w:t>
      </w:r>
    </w:p>
    <w:p>
      <w:pPr>
        <w:pStyle w:val="BodyText"/>
        <w:spacing w:line="249" w:lineRule="auto" w:before="192"/>
        <w:ind w:right="1441"/>
        <w:jc w:val="both"/>
      </w:pPr>
      <w:r>
        <w:rPr/>
        <w:t>(Dusinberre P. 278). The political and the reproductive are inseparable: to seize the crown, Lady Macbeth must unsex herself; to keep it, Macbeth must murder children.</w:t>
      </w:r>
    </w:p>
    <w:p>
      <w:pPr>
        <w:pStyle w:val="BodyText"/>
        <w:spacing w:line="249" w:lineRule="auto" w:before="60"/>
        <w:ind w:right="1439" w:firstLine="432"/>
        <w:jc w:val="both"/>
      </w:pPr>
      <w:r>
        <w:rPr/>
        <w:t>These patterns suggest Macbeth is conservative in plot but radical in</w:t>
      </w:r>
      <w:r>
        <w:rPr>
          <w:spacing w:val="-13"/>
        </w:rPr>
        <w:t> </w:t>
      </w:r>
      <w:r>
        <w:rPr/>
        <w:t>diagnosis.</w:t>
      </w:r>
      <w:r>
        <w:rPr>
          <w:spacing w:val="-11"/>
        </w:rPr>
        <w:t> </w:t>
      </w:r>
      <w:r>
        <w:rPr/>
        <w:t>The</w:t>
      </w:r>
      <w:r>
        <w:rPr>
          <w:spacing w:val="-10"/>
        </w:rPr>
        <w:t> </w:t>
      </w:r>
      <w:r>
        <w:rPr/>
        <w:t>plot</w:t>
      </w:r>
      <w:r>
        <w:rPr>
          <w:spacing w:val="-11"/>
        </w:rPr>
        <w:t> </w:t>
      </w:r>
      <w:r>
        <w:rPr/>
        <w:t>restores</w:t>
      </w:r>
      <w:r>
        <w:rPr>
          <w:spacing w:val="-11"/>
        </w:rPr>
        <w:t> </w:t>
      </w:r>
      <w:r>
        <w:rPr/>
        <w:t>male,</w:t>
      </w:r>
      <w:r>
        <w:rPr>
          <w:spacing w:val="-11"/>
        </w:rPr>
        <w:t> </w:t>
      </w:r>
      <w:r>
        <w:rPr/>
        <w:t>hereditary</w:t>
      </w:r>
      <w:r>
        <w:rPr>
          <w:spacing w:val="-13"/>
        </w:rPr>
        <w:t> </w:t>
      </w:r>
      <w:r>
        <w:rPr/>
        <w:t>monarchy.</w:t>
      </w:r>
      <w:r>
        <w:rPr>
          <w:spacing w:val="-11"/>
        </w:rPr>
        <w:t> </w:t>
      </w:r>
      <w:r>
        <w:rPr/>
        <w:t>The</w:t>
      </w:r>
      <w:r>
        <w:rPr>
          <w:spacing w:val="-11"/>
        </w:rPr>
        <w:t> </w:t>
      </w:r>
      <w:r>
        <w:rPr/>
        <w:t>diagnosis shows such monarchy is built on the exclusion of female speech, the demonization of female community, and the destruction of female </w:t>
      </w:r>
      <w:r>
        <w:rPr>
          <w:spacing w:val="-2"/>
        </w:rPr>
        <w:t>domesticity.</w:t>
      </w:r>
    </w:p>
    <w:p>
      <w:pPr>
        <w:pStyle w:val="BodyText"/>
        <w:spacing w:line="249" w:lineRule="auto" w:before="62"/>
        <w:ind w:right="1438" w:firstLine="432"/>
        <w:jc w:val="both"/>
      </w:pPr>
      <w:r>
        <w:rPr/>
        <w:t>Shakespeare’s representation of women in Macbeth is neither a simple endorsement</w:t>
      </w:r>
      <w:r>
        <w:rPr>
          <w:spacing w:val="-2"/>
        </w:rPr>
        <w:t> </w:t>
      </w:r>
      <w:r>
        <w:rPr/>
        <w:t>of Jacobean misogyny</w:t>
      </w:r>
      <w:r>
        <w:rPr>
          <w:spacing w:val="-3"/>
        </w:rPr>
        <w:t> </w:t>
      </w:r>
      <w:r>
        <w:rPr/>
        <w:t>nor a premature articulation of feminist protest. The play requires its women to initiate disorder, to articulate its terms, and to embody</w:t>
      </w:r>
      <w:r>
        <w:rPr>
          <w:spacing w:val="-2"/>
        </w:rPr>
        <w:t> </w:t>
      </w:r>
      <w:r>
        <w:rPr/>
        <w:t>its cost. Lady Macbeth’s power, the Witches’</w:t>
      </w:r>
      <w:r>
        <w:rPr>
          <w:spacing w:val="-13"/>
        </w:rPr>
        <w:t> </w:t>
      </w:r>
      <w:r>
        <w:rPr/>
        <w:t>witchcraft, and Lady</w:t>
      </w:r>
      <w:r>
        <w:rPr>
          <w:spacing w:val="-6"/>
        </w:rPr>
        <w:t> </w:t>
      </w:r>
      <w:r>
        <w:rPr/>
        <w:t>Macduff’s</w:t>
      </w:r>
      <w:r>
        <w:rPr>
          <w:spacing w:val="-1"/>
        </w:rPr>
        <w:t> </w:t>
      </w:r>
      <w:r>
        <w:rPr/>
        <w:t>domesticity</w:t>
      </w:r>
      <w:r>
        <w:rPr>
          <w:spacing w:val="-5"/>
        </w:rPr>
        <w:t> </w:t>
      </w:r>
      <w:r>
        <w:rPr/>
        <w:t>are</w:t>
      </w:r>
      <w:r>
        <w:rPr>
          <w:spacing w:val="-1"/>
        </w:rPr>
        <w:t> </w:t>
      </w:r>
      <w:r>
        <w:rPr/>
        <w:t>each</w:t>
      </w:r>
      <w:r>
        <w:rPr>
          <w:spacing w:val="-3"/>
        </w:rPr>
        <w:t> </w:t>
      </w:r>
      <w:r>
        <w:rPr/>
        <w:t>essential to the tragedy; removing any one of them would collapse the causal chain. Yet the play also ensures that none of them survives into the restored</w:t>
      </w:r>
      <w:r>
        <w:rPr>
          <w:spacing w:val="-11"/>
        </w:rPr>
        <w:t> </w:t>
      </w:r>
      <w:r>
        <w:rPr/>
        <w:t>order.</w:t>
      </w:r>
      <w:r>
        <w:rPr>
          <w:spacing w:val="-11"/>
        </w:rPr>
        <w:t> </w:t>
      </w:r>
      <w:r>
        <w:rPr/>
        <w:t>Their</w:t>
      </w:r>
      <w:r>
        <w:rPr>
          <w:spacing w:val="-9"/>
        </w:rPr>
        <w:t> </w:t>
      </w:r>
      <w:r>
        <w:rPr/>
        <w:t>exits—by</w:t>
      </w:r>
      <w:r>
        <w:rPr>
          <w:spacing w:val="-13"/>
        </w:rPr>
        <w:t> </w:t>
      </w:r>
      <w:r>
        <w:rPr/>
        <w:t>suicide,</w:t>
      </w:r>
      <w:r>
        <w:rPr>
          <w:spacing w:val="-7"/>
        </w:rPr>
        <w:t> </w:t>
      </w:r>
      <w:r>
        <w:rPr/>
        <w:t>by</w:t>
      </w:r>
      <w:r>
        <w:rPr>
          <w:spacing w:val="-12"/>
        </w:rPr>
        <w:t> </w:t>
      </w:r>
      <w:r>
        <w:rPr/>
        <w:t>vanishing,</w:t>
      </w:r>
      <w:r>
        <w:rPr>
          <w:spacing w:val="-9"/>
        </w:rPr>
        <w:t> </w:t>
      </w:r>
      <w:r>
        <w:rPr/>
        <w:t>by</w:t>
      </w:r>
      <w:r>
        <w:rPr>
          <w:spacing w:val="-11"/>
        </w:rPr>
        <w:t> </w:t>
      </w:r>
      <w:r>
        <w:rPr/>
        <w:t>murder—are</w:t>
      </w:r>
      <w:r>
        <w:rPr>
          <w:spacing w:val="-10"/>
        </w:rPr>
        <w:t> </w:t>
      </w:r>
      <w:r>
        <w:rPr/>
        <w:t>as structurally necessary as their actions. Macbeth thus dramatizes a contradiction</w:t>
      </w:r>
      <w:r>
        <w:rPr>
          <w:spacing w:val="-13"/>
        </w:rPr>
        <w:t> </w:t>
      </w:r>
      <w:r>
        <w:rPr/>
        <w:t>at</w:t>
      </w:r>
      <w:r>
        <w:rPr>
          <w:spacing w:val="-12"/>
        </w:rPr>
        <w:t> </w:t>
      </w:r>
      <w:r>
        <w:rPr/>
        <w:t>the</w:t>
      </w:r>
      <w:r>
        <w:rPr>
          <w:spacing w:val="-13"/>
        </w:rPr>
        <w:t> </w:t>
      </w:r>
      <w:r>
        <w:rPr/>
        <w:t>heart</w:t>
      </w:r>
      <w:r>
        <w:rPr>
          <w:spacing w:val="-11"/>
        </w:rPr>
        <w:t> </w:t>
      </w:r>
      <w:r>
        <w:rPr/>
        <w:t>of</w:t>
      </w:r>
      <w:r>
        <w:rPr>
          <w:spacing w:val="-13"/>
        </w:rPr>
        <w:t> </w:t>
      </w:r>
      <w:r>
        <w:rPr/>
        <w:t>early</w:t>
      </w:r>
      <w:r>
        <w:rPr>
          <w:spacing w:val="-12"/>
        </w:rPr>
        <w:t> </w:t>
      </w:r>
      <w:r>
        <w:rPr/>
        <w:t>modern</w:t>
      </w:r>
      <w:r>
        <w:rPr>
          <w:spacing w:val="-12"/>
        </w:rPr>
        <w:t> </w:t>
      </w:r>
      <w:r>
        <w:rPr/>
        <w:t>patriarchy:</w:t>
      </w:r>
      <w:r>
        <w:rPr>
          <w:spacing w:val="-11"/>
        </w:rPr>
        <w:t> </w:t>
      </w:r>
      <w:r>
        <w:rPr/>
        <w:t>the</w:t>
      </w:r>
      <w:r>
        <w:rPr>
          <w:spacing w:val="-12"/>
        </w:rPr>
        <w:t> </w:t>
      </w:r>
      <w:r>
        <w:rPr/>
        <w:t>system</w:t>
      </w:r>
      <w:r>
        <w:rPr>
          <w:spacing w:val="-13"/>
        </w:rPr>
        <w:t> </w:t>
      </w:r>
      <w:r>
        <w:rPr/>
        <w:t>depends on female agency to define itself against, yet it cannot tolerate that agency once order is threatened. The restoration under Malcolm is achieved by Macduff, who was “not of woman born” (pp. 15-16), and</w:t>
      </w:r>
      <w:r>
        <w:rPr>
          <w:spacing w:val="80"/>
        </w:rPr>
        <w:t> </w:t>
      </w:r>
      <w:r>
        <w:rPr/>
        <w:t>it</w:t>
      </w:r>
      <w:r>
        <w:rPr>
          <w:spacing w:val="34"/>
        </w:rPr>
        <w:t> </w:t>
      </w:r>
      <w:r>
        <w:rPr/>
        <w:t>is</w:t>
      </w:r>
      <w:r>
        <w:rPr>
          <w:spacing w:val="34"/>
        </w:rPr>
        <w:t> </w:t>
      </w:r>
      <w:r>
        <w:rPr/>
        <w:t>celebrated</w:t>
      </w:r>
      <w:r>
        <w:rPr>
          <w:spacing w:val="36"/>
        </w:rPr>
        <w:t> </w:t>
      </w:r>
      <w:r>
        <w:rPr/>
        <w:t>in</w:t>
      </w:r>
      <w:r>
        <w:rPr>
          <w:spacing w:val="34"/>
        </w:rPr>
        <w:t> </w:t>
      </w:r>
      <w:r>
        <w:rPr/>
        <w:t>a</w:t>
      </w:r>
      <w:r>
        <w:rPr>
          <w:spacing w:val="35"/>
        </w:rPr>
        <w:t> </w:t>
      </w:r>
      <w:r>
        <w:rPr/>
        <w:t>scene</w:t>
      </w:r>
      <w:r>
        <w:rPr>
          <w:spacing w:val="33"/>
        </w:rPr>
        <w:t> </w:t>
      </w:r>
      <w:r>
        <w:rPr/>
        <w:t>from</w:t>
      </w:r>
      <w:r>
        <w:rPr>
          <w:spacing w:val="33"/>
        </w:rPr>
        <w:t> </w:t>
      </w:r>
      <w:r>
        <w:rPr/>
        <w:t>which</w:t>
      </w:r>
      <w:r>
        <w:rPr>
          <w:spacing w:val="34"/>
        </w:rPr>
        <w:t> </w:t>
      </w:r>
      <w:r>
        <w:rPr/>
        <w:t>all</w:t>
      </w:r>
      <w:r>
        <w:rPr>
          <w:spacing w:val="34"/>
        </w:rPr>
        <w:t> </w:t>
      </w:r>
      <w:r>
        <w:rPr/>
        <w:t>women</w:t>
      </w:r>
      <w:r>
        <w:rPr>
          <w:spacing w:val="32"/>
        </w:rPr>
        <w:t> </w:t>
      </w:r>
      <w:r>
        <w:rPr/>
        <w:t>are</w:t>
      </w:r>
      <w:r>
        <w:rPr>
          <w:spacing w:val="35"/>
        </w:rPr>
        <w:t> </w:t>
      </w:r>
      <w:r>
        <w:rPr/>
        <w:t>absent.</w:t>
      </w:r>
    </w:p>
    <w:p>
      <w:pPr>
        <w:pStyle w:val="BodyText"/>
        <w:spacing w:line="249" w:lineRule="auto" w:before="71"/>
        <w:ind w:right="1437" w:firstLine="432"/>
        <w:jc w:val="both"/>
      </w:pPr>
      <w:r>
        <w:rPr/>
        <w:t>The enduring power of Macbeth lies in this unresolved tension. The</w:t>
      </w:r>
      <w:r>
        <w:rPr>
          <w:spacing w:val="-13"/>
        </w:rPr>
        <w:t> </w:t>
      </w:r>
      <w:r>
        <w:rPr/>
        <w:t>play</w:t>
      </w:r>
      <w:r>
        <w:rPr>
          <w:spacing w:val="-12"/>
        </w:rPr>
        <w:t> </w:t>
      </w:r>
      <w:r>
        <w:rPr/>
        <w:t>affirms</w:t>
      </w:r>
      <w:r>
        <w:rPr>
          <w:spacing w:val="-13"/>
        </w:rPr>
        <w:t> </w:t>
      </w:r>
      <w:r>
        <w:rPr/>
        <w:t>that</w:t>
      </w:r>
      <w:r>
        <w:rPr>
          <w:spacing w:val="-12"/>
        </w:rPr>
        <w:t> </w:t>
      </w:r>
      <w:r>
        <w:rPr/>
        <w:t>tyranny</w:t>
      </w:r>
      <w:r>
        <w:rPr>
          <w:spacing w:val="-13"/>
        </w:rPr>
        <w:t> </w:t>
      </w:r>
      <w:r>
        <w:rPr/>
        <w:t>is</w:t>
      </w:r>
      <w:r>
        <w:rPr>
          <w:spacing w:val="-12"/>
        </w:rPr>
        <w:t> </w:t>
      </w:r>
      <w:r>
        <w:rPr/>
        <w:t>intolerable</w:t>
      </w:r>
      <w:r>
        <w:rPr>
          <w:spacing w:val="-13"/>
        </w:rPr>
        <w:t> </w:t>
      </w:r>
      <w:r>
        <w:rPr/>
        <w:t>and</w:t>
      </w:r>
      <w:r>
        <w:rPr>
          <w:spacing w:val="-12"/>
        </w:rPr>
        <w:t> </w:t>
      </w:r>
      <w:r>
        <w:rPr/>
        <w:t>that</w:t>
      </w:r>
      <w:r>
        <w:rPr>
          <w:spacing w:val="-13"/>
        </w:rPr>
        <w:t> </w:t>
      </w:r>
      <w:r>
        <w:rPr/>
        <w:t>legitimate</w:t>
      </w:r>
      <w:r>
        <w:rPr>
          <w:spacing w:val="-12"/>
        </w:rPr>
        <w:t> </w:t>
      </w:r>
      <w:r>
        <w:rPr/>
        <w:t>succession must be restored. Simultaneously, it reveals that legitimacy is a performance of gender and speech, one vulnerable to disruption by the very categories it excludes. Lady Macbeth shows that the qualities required to seize power—ruthlessness, rhetorical control, the rejection of pity—are coded as masculine, and that a woman who adopts them will be destroyed by them. The Weird Sisters show that alternative forms</w:t>
      </w:r>
      <w:r>
        <w:rPr>
          <w:spacing w:val="-13"/>
        </w:rPr>
        <w:t> </w:t>
      </w:r>
      <w:r>
        <w:rPr/>
        <w:t>of</w:t>
      </w:r>
      <w:r>
        <w:rPr>
          <w:spacing w:val="-11"/>
        </w:rPr>
        <w:t> </w:t>
      </w:r>
      <w:r>
        <w:rPr/>
        <w:t>female</w:t>
      </w:r>
      <w:r>
        <w:rPr>
          <w:spacing w:val="-11"/>
        </w:rPr>
        <w:t> </w:t>
      </w:r>
      <w:r>
        <w:rPr/>
        <w:t>community</w:t>
      </w:r>
      <w:r>
        <w:rPr>
          <w:spacing w:val="-13"/>
        </w:rPr>
        <w:t> </w:t>
      </w:r>
      <w:r>
        <w:rPr/>
        <w:t>and</w:t>
      </w:r>
      <w:r>
        <w:rPr>
          <w:spacing w:val="-11"/>
        </w:rPr>
        <w:t> </w:t>
      </w:r>
      <w:r>
        <w:rPr/>
        <w:t>knowledge</w:t>
      </w:r>
      <w:r>
        <w:rPr>
          <w:spacing w:val="-11"/>
        </w:rPr>
        <w:t> </w:t>
      </w:r>
      <w:r>
        <w:rPr/>
        <w:t>are</w:t>
      </w:r>
      <w:r>
        <w:rPr>
          <w:spacing w:val="-12"/>
        </w:rPr>
        <w:t> </w:t>
      </w:r>
      <w:r>
        <w:rPr/>
        <w:t>unintelligible</w:t>
      </w:r>
      <w:r>
        <w:rPr>
          <w:spacing w:val="-11"/>
        </w:rPr>
        <w:t> </w:t>
      </w:r>
      <w:r>
        <w:rPr/>
        <w:t>to</w:t>
      </w:r>
      <w:r>
        <w:rPr>
          <w:spacing w:val="-10"/>
        </w:rPr>
        <w:t> </w:t>
      </w:r>
      <w:r>
        <w:rPr/>
        <w:t>the</w:t>
      </w:r>
      <w:r>
        <w:rPr>
          <w:spacing w:val="-11"/>
        </w:rPr>
        <w:t> </w:t>
      </w:r>
      <w:r>
        <w:rPr/>
        <w:t>state and must therefore be defined as demonic. Lady Macduff shows that</w:t>
      </w:r>
      <w:r>
        <w:rPr>
          <w:spacing w:val="40"/>
        </w:rPr>
        <w:t> </w:t>
      </w:r>
      <w:r>
        <w:rPr/>
        <w:t>the normative woman, the mother, is the ultimate hostage of political violence. Together they demonstrate that in Macbeth political disorder and gender disorder are the same phenomenon. The play’s final line promises “measure, time and place” (pp. 39-40), but the audience has seen</w:t>
      </w:r>
      <w:r>
        <w:rPr>
          <w:spacing w:val="-6"/>
        </w:rPr>
        <w:t> </w:t>
      </w:r>
      <w:r>
        <w:rPr/>
        <w:t>measure</w:t>
      </w:r>
      <w:r>
        <w:rPr>
          <w:spacing w:val="-4"/>
        </w:rPr>
        <w:t> </w:t>
      </w:r>
      <w:r>
        <w:rPr/>
        <w:t>violated,</w:t>
      </w:r>
      <w:r>
        <w:rPr>
          <w:spacing w:val="-6"/>
        </w:rPr>
        <w:t> </w:t>
      </w:r>
      <w:r>
        <w:rPr/>
        <w:t>time</w:t>
      </w:r>
      <w:r>
        <w:rPr>
          <w:spacing w:val="-5"/>
        </w:rPr>
        <w:t> </w:t>
      </w:r>
      <w:r>
        <w:rPr/>
        <w:t>accelerated,</w:t>
      </w:r>
      <w:r>
        <w:rPr>
          <w:spacing w:val="-4"/>
        </w:rPr>
        <w:t> </w:t>
      </w:r>
      <w:r>
        <w:rPr/>
        <w:t>and</w:t>
      </w:r>
      <w:r>
        <w:rPr>
          <w:spacing w:val="-3"/>
        </w:rPr>
        <w:t> </w:t>
      </w:r>
      <w:r>
        <w:rPr/>
        <w:t>place</w:t>
      </w:r>
      <w:r>
        <w:rPr>
          <w:spacing w:val="-7"/>
        </w:rPr>
        <w:t> </w:t>
      </w:r>
      <w:r>
        <w:rPr/>
        <w:t>invaded.</w:t>
      </w:r>
      <w:r>
        <w:rPr>
          <w:spacing w:val="-4"/>
        </w:rPr>
        <w:t> </w:t>
      </w:r>
      <w:r>
        <w:rPr/>
        <w:t>The</w:t>
      </w:r>
      <w:r>
        <w:rPr>
          <w:spacing w:val="-6"/>
        </w:rPr>
        <w:t> </w:t>
      </w:r>
      <w:r>
        <w:rPr/>
        <w:t>women of Macbeth make the tragedy possible, and their absence makes its resolution possible. Shakespeare’s representation thus leaves us with a political</w:t>
      </w:r>
      <w:r>
        <w:rPr>
          <w:spacing w:val="13"/>
        </w:rPr>
        <w:t> </w:t>
      </w:r>
      <w:r>
        <w:rPr/>
        <w:t>order</w:t>
      </w:r>
      <w:r>
        <w:rPr>
          <w:spacing w:val="12"/>
        </w:rPr>
        <w:t> </w:t>
      </w:r>
      <w:r>
        <w:rPr/>
        <w:t>that</w:t>
      </w:r>
      <w:r>
        <w:rPr>
          <w:spacing w:val="13"/>
        </w:rPr>
        <w:t> </w:t>
      </w:r>
      <w:r>
        <w:rPr/>
        <w:t>is</w:t>
      </w:r>
      <w:r>
        <w:rPr>
          <w:spacing w:val="12"/>
        </w:rPr>
        <w:t> </w:t>
      </w:r>
      <w:r>
        <w:rPr/>
        <w:t>restored</w:t>
      </w:r>
      <w:r>
        <w:rPr>
          <w:spacing w:val="13"/>
        </w:rPr>
        <w:t> </w:t>
      </w:r>
      <w:r>
        <w:rPr/>
        <w:t>but</w:t>
      </w:r>
      <w:r>
        <w:rPr>
          <w:spacing w:val="11"/>
        </w:rPr>
        <w:t> </w:t>
      </w:r>
      <w:r>
        <w:rPr/>
        <w:t>not</w:t>
      </w:r>
      <w:r>
        <w:rPr>
          <w:spacing w:val="13"/>
        </w:rPr>
        <w:t> </w:t>
      </w:r>
      <w:r>
        <w:rPr/>
        <w:t>secured,</w:t>
      </w:r>
      <w:r>
        <w:rPr>
          <w:spacing w:val="14"/>
        </w:rPr>
        <w:t> </w:t>
      </w:r>
      <w:r>
        <w:rPr/>
        <w:t>and</w:t>
      </w:r>
      <w:r>
        <w:rPr>
          <w:spacing w:val="11"/>
        </w:rPr>
        <w:t> </w:t>
      </w:r>
      <w:r>
        <w:rPr/>
        <w:t>a</w:t>
      </w:r>
      <w:r>
        <w:rPr>
          <w:spacing w:val="14"/>
        </w:rPr>
        <w:t> </w:t>
      </w:r>
      <w:r>
        <w:rPr/>
        <w:t>gender</w:t>
      </w:r>
      <w:r>
        <w:rPr>
          <w:spacing w:val="11"/>
        </w:rPr>
        <w:t> </w:t>
      </w:r>
      <w:r>
        <w:rPr/>
        <w:t>order</w:t>
      </w:r>
      <w:r>
        <w:rPr>
          <w:spacing w:val="15"/>
        </w:rPr>
        <w:t> </w:t>
      </w:r>
      <w:r>
        <w:rPr>
          <w:spacing w:val="-4"/>
        </w:rPr>
        <w:t>that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31552">
                <wp:simplePos x="0" y="0"/>
                <wp:positionH relativeFrom="page">
                  <wp:posOffset>2057400</wp:posOffset>
                </wp:positionH>
                <wp:positionV relativeFrom="paragraph">
                  <wp:posOffset>162604</wp:posOffset>
                </wp:positionV>
                <wp:extent cx="3657600" cy="12700"/>
                <wp:effectExtent l="0" t="0" r="0" b="0"/>
                <wp:wrapTopAndBottom/>
                <wp:docPr id="665" name="Graphic 665"/>
                <wp:cNvGraphicFramePr>
                  <a:graphicFrameLocks/>
                </wp:cNvGraphicFramePr>
                <a:graphic>
                  <a:graphicData uri="http://schemas.microsoft.com/office/word/2010/wordprocessingShape">
                    <wps:wsp>
                      <wps:cNvPr id="665" name="Graphic 66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84928;mso-wrap-distance-left:0;mso-wrap-distance-right:0" id="docshape657" filled="true" fillcolor="#000000" stroked="false">
                <v:fill type="solid"/>
                <w10:wrap type="topAndBottom"/>
              </v:rect>
            </w:pict>
          </mc:Fallback>
        </mc:AlternateContent>
      </w:r>
      <w:r>
        <w:rPr>
          <w:rFonts w:ascii="Verdana"/>
          <w:spacing w:val="-5"/>
          <w:sz w:val="18"/>
        </w:rPr>
        <w:t>326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is reasserted but not unquestioned. Four centuries later, Macbeth continues to resonate because it stages the violent interdependence of power and gender, and because it refuses to pretend that the death of kings</w:t>
      </w:r>
      <w:r>
        <w:rPr>
          <w:spacing w:val="40"/>
        </w:rPr>
        <w:t> </w:t>
      </w:r>
      <w:r>
        <w:rPr/>
        <w:t>or</w:t>
      </w:r>
      <w:r>
        <w:rPr>
          <w:spacing w:val="40"/>
        </w:rPr>
        <w:t> </w:t>
      </w:r>
      <w:r>
        <w:rPr/>
        <w:t>queens</w:t>
      </w:r>
      <w:r>
        <w:rPr>
          <w:spacing w:val="40"/>
        </w:rPr>
        <w:t> </w:t>
      </w:r>
      <w:r>
        <w:rPr/>
        <w:t>can</w:t>
      </w:r>
      <w:r>
        <w:rPr>
          <w:spacing w:val="40"/>
        </w:rPr>
        <w:t> </w:t>
      </w:r>
      <w:r>
        <w:rPr/>
        <w:t>end</w:t>
      </w:r>
      <w:r>
        <w:rPr>
          <w:spacing w:val="40"/>
        </w:rPr>
        <w:t> </w:t>
      </w:r>
      <w:r>
        <w:rPr/>
        <w:t>the</w:t>
      </w:r>
      <w:r>
        <w:rPr>
          <w:spacing w:val="40"/>
        </w:rPr>
        <w:t> </w:t>
      </w:r>
      <w:r>
        <w:rPr/>
        <w:t>questions</w:t>
      </w:r>
      <w:r>
        <w:rPr>
          <w:spacing w:val="40"/>
        </w:rPr>
        <w:t> </w:t>
      </w:r>
      <w:r>
        <w:rPr/>
        <w:t>their</w:t>
      </w:r>
      <w:r>
        <w:rPr>
          <w:spacing w:val="40"/>
        </w:rPr>
        <w:t> </w:t>
      </w:r>
      <w:r>
        <w:rPr/>
        <w:t>lives</w:t>
      </w:r>
      <w:r>
        <w:rPr>
          <w:spacing w:val="40"/>
        </w:rPr>
        <w:t> </w:t>
      </w:r>
      <w:r>
        <w:rPr/>
        <w:t>raise.</w:t>
      </w:r>
    </w:p>
    <w:p>
      <w:pPr>
        <w:pStyle w:val="Heading3"/>
        <w:spacing w:before="157"/>
      </w:pPr>
      <w:r>
        <w:rPr>
          <w:spacing w:val="-2"/>
          <w:w w:val="95"/>
        </w:rPr>
        <w:t>REFERENCES</w:t>
      </w:r>
    </w:p>
    <w:p>
      <w:pPr>
        <w:pStyle w:val="Heading5"/>
        <w:spacing w:before="125"/>
      </w:pPr>
      <w:r>
        <w:rPr/>
        <w:t>Primary</w:t>
      </w:r>
      <w:r>
        <w:rPr>
          <w:spacing w:val="62"/>
        </w:rPr>
        <w:t> </w:t>
      </w:r>
      <w:r>
        <w:rPr>
          <w:spacing w:val="-2"/>
        </w:rPr>
        <w:t>Source</w:t>
      </w:r>
    </w:p>
    <w:p>
      <w:pPr>
        <w:pStyle w:val="ListParagraph"/>
        <w:numPr>
          <w:ilvl w:val="0"/>
          <w:numId w:val="69"/>
        </w:numPr>
        <w:tabs>
          <w:tab w:pos="2157" w:val="left" w:leader="none"/>
          <w:tab w:pos="2160" w:val="left" w:leader="none"/>
        </w:tabs>
        <w:spacing w:line="261" w:lineRule="auto" w:before="78" w:after="0"/>
        <w:ind w:left="2160" w:right="1437" w:hanging="315"/>
        <w:jc w:val="both"/>
        <w:rPr>
          <w:sz w:val="19"/>
        </w:rPr>
      </w:pPr>
      <w:r>
        <w:rPr>
          <w:sz w:val="19"/>
        </w:rPr>
        <w:t>Shakespeare, William. Macbeth. Edited by Barbara A. Mowat</w:t>
      </w:r>
      <w:r>
        <w:rPr>
          <w:spacing w:val="80"/>
          <w:sz w:val="19"/>
        </w:rPr>
        <w:t> </w:t>
      </w:r>
      <w:r>
        <w:rPr>
          <w:sz w:val="19"/>
        </w:rPr>
        <w:t>and Paul Werstine, Folger Shakespeare Library, Simon &amp; Schuster,</w:t>
      </w:r>
      <w:r>
        <w:rPr>
          <w:spacing w:val="40"/>
          <w:sz w:val="19"/>
        </w:rPr>
        <w:t> </w:t>
      </w:r>
      <w:r>
        <w:rPr>
          <w:sz w:val="19"/>
        </w:rPr>
        <w:t>2013.</w:t>
      </w:r>
    </w:p>
    <w:p>
      <w:pPr>
        <w:pStyle w:val="Heading5"/>
        <w:spacing w:before="102"/>
      </w:pPr>
      <w:r>
        <w:rPr>
          <w:w w:val="110"/>
        </w:rPr>
        <w:t>Secondary</w:t>
      </w:r>
      <w:r>
        <w:rPr>
          <w:spacing w:val="39"/>
          <w:w w:val="110"/>
        </w:rPr>
        <w:t>  </w:t>
      </w:r>
      <w:r>
        <w:rPr>
          <w:spacing w:val="-2"/>
          <w:w w:val="110"/>
        </w:rPr>
        <w:t>Sources</w:t>
      </w:r>
    </w:p>
    <w:p>
      <w:pPr>
        <w:pStyle w:val="ListParagraph"/>
        <w:numPr>
          <w:ilvl w:val="0"/>
          <w:numId w:val="70"/>
        </w:numPr>
        <w:tabs>
          <w:tab w:pos="2157" w:val="left" w:leader="none"/>
          <w:tab w:pos="2160" w:val="left" w:leader="none"/>
        </w:tabs>
        <w:spacing w:line="261" w:lineRule="auto" w:before="78" w:after="0"/>
        <w:ind w:left="2160" w:right="1438" w:hanging="315"/>
        <w:jc w:val="both"/>
        <w:rPr>
          <w:sz w:val="19"/>
        </w:rPr>
      </w:pPr>
      <w:r>
        <w:rPr>
          <w:sz w:val="19"/>
        </w:rPr>
        <w:t>Bradley, A. C. Shakespearean Tragedy: Lectures on Hamlet, Othello,</w:t>
      </w:r>
      <w:r>
        <w:rPr>
          <w:spacing w:val="40"/>
          <w:sz w:val="19"/>
        </w:rPr>
        <w:t> </w:t>
      </w:r>
      <w:r>
        <w:rPr>
          <w:sz w:val="19"/>
        </w:rPr>
        <w:t>King</w:t>
      </w:r>
      <w:r>
        <w:rPr>
          <w:spacing w:val="40"/>
          <w:sz w:val="19"/>
        </w:rPr>
        <w:t> </w:t>
      </w:r>
      <w:r>
        <w:rPr>
          <w:sz w:val="19"/>
        </w:rPr>
        <w:t>Lear,</w:t>
      </w:r>
      <w:r>
        <w:rPr>
          <w:spacing w:val="40"/>
          <w:sz w:val="19"/>
        </w:rPr>
        <w:t> </w:t>
      </w:r>
      <w:r>
        <w:rPr>
          <w:sz w:val="19"/>
        </w:rPr>
        <w:t>Macbeth.</w:t>
      </w:r>
      <w:r>
        <w:rPr>
          <w:spacing w:val="40"/>
          <w:sz w:val="19"/>
        </w:rPr>
        <w:t> </w:t>
      </w:r>
      <w:r>
        <w:rPr>
          <w:sz w:val="19"/>
        </w:rPr>
        <w:t>Macmillan,</w:t>
      </w:r>
      <w:r>
        <w:rPr>
          <w:spacing w:val="40"/>
          <w:sz w:val="19"/>
        </w:rPr>
        <w:t> </w:t>
      </w:r>
      <w:r>
        <w:rPr>
          <w:sz w:val="19"/>
        </w:rPr>
        <w:t>1904,</w:t>
      </w:r>
      <w:r>
        <w:rPr>
          <w:spacing w:val="40"/>
          <w:sz w:val="19"/>
        </w:rPr>
        <w:t> </w:t>
      </w:r>
      <w:r>
        <w:rPr>
          <w:sz w:val="19"/>
        </w:rPr>
        <w:t>pp.</w:t>
      </w:r>
      <w:r>
        <w:rPr>
          <w:spacing w:val="40"/>
          <w:sz w:val="19"/>
        </w:rPr>
        <w:t> </w:t>
      </w:r>
      <w:r>
        <w:rPr>
          <w:sz w:val="19"/>
        </w:rPr>
        <w:t>333–367.</w:t>
      </w:r>
    </w:p>
    <w:p>
      <w:pPr>
        <w:pStyle w:val="ListParagraph"/>
        <w:numPr>
          <w:ilvl w:val="0"/>
          <w:numId w:val="70"/>
        </w:numPr>
        <w:tabs>
          <w:tab w:pos="2157" w:val="left" w:leader="none"/>
          <w:tab w:pos="2160" w:val="left" w:leader="none"/>
        </w:tabs>
        <w:spacing w:line="261" w:lineRule="auto" w:before="57" w:after="0"/>
        <w:ind w:left="2160" w:right="1444" w:hanging="315"/>
        <w:jc w:val="both"/>
        <w:rPr>
          <w:sz w:val="19"/>
        </w:rPr>
      </w:pPr>
      <w:r>
        <w:rPr>
          <w:sz w:val="19"/>
        </w:rPr>
        <w:t>Butler, Judith. Gender Trouble: Feminism and the Subversion of Identity.</w:t>
      </w:r>
      <w:r>
        <w:rPr>
          <w:spacing w:val="40"/>
          <w:sz w:val="19"/>
        </w:rPr>
        <w:t> </w:t>
      </w:r>
      <w:r>
        <w:rPr>
          <w:sz w:val="19"/>
        </w:rPr>
        <w:t>Routledge,</w:t>
      </w:r>
      <w:r>
        <w:rPr>
          <w:spacing w:val="40"/>
          <w:sz w:val="19"/>
        </w:rPr>
        <w:t> </w:t>
      </w:r>
      <w:r>
        <w:rPr>
          <w:sz w:val="19"/>
        </w:rPr>
        <w:t>1990.</w:t>
      </w:r>
    </w:p>
    <w:p>
      <w:pPr>
        <w:pStyle w:val="ListParagraph"/>
        <w:numPr>
          <w:ilvl w:val="0"/>
          <w:numId w:val="70"/>
        </w:numPr>
        <w:tabs>
          <w:tab w:pos="2157" w:val="left" w:leader="none"/>
          <w:tab w:pos="2160" w:val="left" w:leader="none"/>
        </w:tabs>
        <w:spacing w:line="261" w:lineRule="auto" w:before="59" w:after="0"/>
        <w:ind w:left="2160" w:right="1442" w:hanging="315"/>
        <w:jc w:val="both"/>
        <w:rPr>
          <w:sz w:val="19"/>
        </w:rPr>
      </w:pPr>
      <w:r>
        <w:rPr>
          <w:sz w:val="19"/>
        </w:rPr>
        <w:t>Chamberlain, Stephanie. “Fantasizing Infanticide: Lady Macbeth and the Murdering Mother in Early Modern England.” College Literature,</w:t>
      </w:r>
      <w:r>
        <w:rPr>
          <w:spacing w:val="-10"/>
          <w:sz w:val="19"/>
        </w:rPr>
        <w:t> </w:t>
      </w:r>
      <w:r>
        <w:rPr>
          <w:sz w:val="19"/>
        </w:rPr>
        <w:t>vol.</w:t>
      </w:r>
      <w:r>
        <w:rPr>
          <w:spacing w:val="-10"/>
          <w:sz w:val="19"/>
        </w:rPr>
        <w:t> </w:t>
      </w:r>
      <w:r>
        <w:rPr>
          <w:sz w:val="19"/>
        </w:rPr>
        <w:t>32,</w:t>
      </w:r>
      <w:r>
        <w:rPr>
          <w:spacing w:val="-10"/>
          <w:sz w:val="19"/>
        </w:rPr>
        <w:t> </w:t>
      </w:r>
      <w:r>
        <w:rPr>
          <w:sz w:val="19"/>
        </w:rPr>
        <w:t>no.</w:t>
      </w:r>
      <w:r>
        <w:rPr>
          <w:spacing w:val="-8"/>
          <w:sz w:val="19"/>
        </w:rPr>
        <w:t> </w:t>
      </w:r>
      <w:r>
        <w:rPr>
          <w:sz w:val="19"/>
        </w:rPr>
        <w:t>3,</w:t>
      </w:r>
      <w:r>
        <w:rPr>
          <w:spacing w:val="-10"/>
          <w:sz w:val="19"/>
        </w:rPr>
        <w:t> </w:t>
      </w:r>
      <w:r>
        <w:rPr>
          <w:sz w:val="19"/>
        </w:rPr>
        <w:t>2005,</w:t>
      </w:r>
      <w:r>
        <w:rPr>
          <w:spacing w:val="-10"/>
          <w:sz w:val="19"/>
        </w:rPr>
        <w:t> </w:t>
      </w:r>
      <w:r>
        <w:rPr>
          <w:sz w:val="19"/>
        </w:rPr>
        <w:t>pp.</w:t>
      </w:r>
      <w:r>
        <w:rPr>
          <w:spacing w:val="-8"/>
          <w:sz w:val="19"/>
        </w:rPr>
        <w:t> </w:t>
      </w:r>
      <w:r>
        <w:rPr>
          <w:sz w:val="19"/>
        </w:rPr>
        <w:t>72–91.</w:t>
      </w:r>
      <w:r>
        <w:rPr>
          <w:spacing w:val="-10"/>
          <w:sz w:val="19"/>
        </w:rPr>
        <w:t> </w:t>
      </w:r>
      <w:r>
        <w:rPr>
          <w:sz w:val="19"/>
        </w:rPr>
        <w:t>JSTOR,</w:t>
      </w:r>
      <w:r>
        <w:rPr>
          <w:spacing w:val="-8"/>
          <w:sz w:val="19"/>
        </w:rPr>
        <w:t> </w:t>
      </w:r>
      <w:hyperlink r:id="rId124">
        <w:r>
          <w:rPr>
            <w:sz w:val="19"/>
          </w:rPr>
          <w:t>www.jstor.org/ </w:t>
        </w:r>
        <w:r>
          <w:rPr>
            <w:spacing w:val="-2"/>
            <w:sz w:val="19"/>
          </w:rPr>
          <w:t>stable/25115288</w:t>
        </w:r>
      </w:hyperlink>
      <w:r>
        <w:rPr>
          <w:spacing w:val="-2"/>
          <w:sz w:val="19"/>
        </w:rPr>
        <w:t>.</w:t>
      </w:r>
    </w:p>
    <w:p>
      <w:pPr>
        <w:pStyle w:val="ListParagraph"/>
        <w:numPr>
          <w:ilvl w:val="0"/>
          <w:numId w:val="70"/>
        </w:numPr>
        <w:tabs>
          <w:tab w:pos="2157" w:val="left" w:leader="none"/>
          <w:tab w:pos="2160" w:val="left" w:leader="none"/>
        </w:tabs>
        <w:spacing w:line="261" w:lineRule="auto" w:before="57" w:after="0"/>
        <w:ind w:left="2160" w:right="1442" w:hanging="315"/>
        <w:jc w:val="both"/>
        <w:rPr>
          <w:sz w:val="19"/>
        </w:rPr>
      </w:pPr>
      <w:r>
        <w:rPr>
          <w:sz w:val="19"/>
        </w:rPr>
        <w:t>Dusinberre, Juliet. Shakespeare and the Nature of Women. 3rd ed.,</w:t>
      </w:r>
      <w:r>
        <w:rPr>
          <w:spacing w:val="40"/>
          <w:sz w:val="19"/>
        </w:rPr>
        <w:t> </w:t>
      </w:r>
      <w:r>
        <w:rPr>
          <w:sz w:val="19"/>
        </w:rPr>
        <w:t>Palgrave</w:t>
      </w:r>
      <w:r>
        <w:rPr>
          <w:spacing w:val="40"/>
          <w:sz w:val="19"/>
        </w:rPr>
        <w:t> </w:t>
      </w:r>
      <w:r>
        <w:rPr>
          <w:sz w:val="19"/>
        </w:rPr>
        <w:t>Macmillan,</w:t>
      </w:r>
      <w:r>
        <w:rPr>
          <w:spacing w:val="40"/>
          <w:sz w:val="19"/>
        </w:rPr>
        <w:t> </w:t>
      </w:r>
      <w:r>
        <w:rPr>
          <w:sz w:val="19"/>
        </w:rPr>
        <w:t>2003.</w:t>
      </w:r>
    </w:p>
    <w:p>
      <w:pPr>
        <w:pStyle w:val="ListParagraph"/>
        <w:numPr>
          <w:ilvl w:val="0"/>
          <w:numId w:val="70"/>
        </w:numPr>
        <w:tabs>
          <w:tab w:pos="2157" w:val="left" w:leader="none"/>
          <w:tab w:pos="2160" w:val="left" w:leader="none"/>
        </w:tabs>
        <w:spacing w:line="261" w:lineRule="auto" w:before="57" w:after="0"/>
        <w:ind w:left="2160" w:right="1438" w:hanging="315"/>
        <w:jc w:val="both"/>
        <w:rPr>
          <w:sz w:val="19"/>
        </w:rPr>
      </w:pPr>
      <w:r>
        <w:rPr>
          <w:sz w:val="19"/>
        </w:rPr>
        <w:t>Greenblatt, Stephen. Will in the World: How Shakespeare</w:t>
      </w:r>
      <w:r>
        <w:rPr>
          <w:spacing w:val="40"/>
          <w:sz w:val="19"/>
        </w:rPr>
        <w:t> </w:t>
      </w:r>
      <w:r>
        <w:rPr>
          <w:sz w:val="19"/>
        </w:rPr>
        <w:t>Became</w:t>
      </w:r>
      <w:r>
        <w:rPr>
          <w:spacing w:val="40"/>
          <w:sz w:val="19"/>
        </w:rPr>
        <w:t> </w:t>
      </w:r>
      <w:r>
        <w:rPr>
          <w:sz w:val="19"/>
        </w:rPr>
        <w:t>Shakespeare.</w:t>
      </w:r>
      <w:r>
        <w:rPr>
          <w:spacing w:val="40"/>
          <w:sz w:val="19"/>
        </w:rPr>
        <w:t> </w:t>
      </w:r>
      <w:r>
        <w:rPr>
          <w:sz w:val="19"/>
        </w:rPr>
        <w:t>W.</w:t>
      </w:r>
      <w:r>
        <w:rPr>
          <w:spacing w:val="40"/>
          <w:sz w:val="19"/>
        </w:rPr>
        <w:t> </w:t>
      </w:r>
      <w:r>
        <w:rPr>
          <w:sz w:val="19"/>
        </w:rPr>
        <w:t>W.</w:t>
      </w:r>
      <w:r>
        <w:rPr>
          <w:spacing w:val="40"/>
          <w:sz w:val="19"/>
        </w:rPr>
        <w:t> </w:t>
      </w:r>
      <w:r>
        <w:rPr>
          <w:sz w:val="19"/>
        </w:rPr>
        <w:t>Norton,</w:t>
      </w:r>
      <w:r>
        <w:rPr>
          <w:spacing w:val="40"/>
          <w:sz w:val="19"/>
        </w:rPr>
        <w:t> </w:t>
      </w:r>
      <w:r>
        <w:rPr>
          <w:sz w:val="19"/>
        </w:rPr>
        <w:t>2004.</w:t>
      </w:r>
    </w:p>
    <w:p>
      <w:pPr>
        <w:pStyle w:val="ListParagraph"/>
        <w:numPr>
          <w:ilvl w:val="0"/>
          <w:numId w:val="70"/>
        </w:numPr>
        <w:tabs>
          <w:tab w:pos="2157" w:val="left" w:leader="none"/>
          <w:tab w:pos="2160" w:val="left" w:leader="none"/>
        </w:tabs>
        <w:spacing w:line="261" w:lineRule="auto" w:before="59" w:after="0"/>
        <w:ind w:left="2160" w:right="1438" w:hanging="315"/>
        <w:jc w:val="both"/>
        <w:rPr>
          <w:sz w:val="19"/>
        </w:rPr>
      </w:pPr>
      <w:r>
        <w:rPr>
          <w:spacing w:val="9"/>
          <w:sz w:val="19"/>
        </w:rPr>
        <w:t>Kahn,</w:t>
      </w:r>
      <w:r>
        <w:rPr>
          <w:spacing w:val="9"/>
          <w:sz w:val="19"/>
        </w:rPr>
        <w:t> </w:t>
      </w:r>
      <w:r>
        <w:rPr>
          <w:spacing w:val="10"/>
          <w:sz w:val="19"/>
        </w:rPr>
        <w:t>Coppélia.</w:t>
      </w:r>
      <w:r>
        <w:rPr>
          <w:spacing w:val="10"/>
          <w:sz w:val="19"/>
        </w:rPr>
        <w:t> </w:t>
      </w:r>
      <w:r>
        <w:rPr>
          <w:sz w:val="19"/>
        </w:rPr>
        <w:t>Man’s </w:t>
      </w:r>
      <w:r>
        <w:rPr>
          <w:spacing w:val="10"/>
          <w:sz w:val="19"/>
        </w:rPr>
        <w:t>Estate:</w:t>
      </w:r>
      <w:r>
        <w:rPr>
          <w:spacing w:val="10"/>
          <w:sz w:val="19"/>
        </w:rPr>
        <w:t> Masculine</w:t>
      </w:r>
      <w:r>
        <w:rPr>
          <w:spacing w:val="10"/>
          <w:sz w:val="19"/>
        </w:rPr>
        <w:t> </w:t>
      </w:r>
      <w:r>
        <w:rPr>
          <w:spacing w:val="9"/>
          <w:sz w:val="19"/>
        </w:rPr>
        <w:t>Identity</w:t>
      </w:r>
      <w:r>
        <w:rPr>
          <w:spacing w:val="9"/>
          <w:sz w:val="19"/>
        </w:rPr>
        <w:t> </w:t>
      </w:r>
      <w:r>
        <w:rPr>
          <w:sz w:val="19"/>
        </w:rPr>
        <w:t>in Shakespeare.</w:t>
      </w:r>
      <w:r>
        <w:rPr>
          <w:spacing w:val="40"/>
          <w:sz w:val="19"/>
        </w:rPr>
        <w:t> </w:t>
      </w:r>
      <w:r>
        <w:rPr>
          <w:sz w:val="19"/>
        </w:rPr>
        <w:t>U</w:t>
      </w:r>
      <w:r>
        <w:rPr>
          <w:spacing w:val="40"/>
          <w:sz w:val="19"/>
        </w:rPr>
        <w:t> </w:t>
      </w:r>
      <w:r>
        <w:rPr>
          <w:sz w:val="19"/>
        </w:rPr>
        <w:t>of</w:t>
      </w:r>
      <w:r>
        <w:rPr>
          <w:spacing w:val="40"/>
          <w:sz w:val="19"/>
        </w:rPr>
        <w:t> </w:t>
      </w:r>
      <w:r>
        <w:rPr>
          <w:sz w:val="19"/>
        </w:rPr>
        <w:t>California</w:t>
      </w:r>
      <w:r>
        <w:rPr>
          <w:spacing w:val="40"/>
          <w:sz w:val="19"/>
        </w:rPr>
        <w:t> </w:t>
      </w:r>
      <w:r>
        <w:rPr>
          <w:sz w:val="19"/>
        </w:rPr>
        <w:t>P,</w:t>
      </w:r>
      <w:r>
        <w:rPr>
          <w:spacing w:val="40"/>
          <w:sz w:val="19"/>
        </w:rPr>
        <w:t> </w:t>
      </w:r>
      <w:r>
        <w:rPr>
          <w:sz w:val="19"/>
        </w:rPr>
        <w:t>1981.</w:t>
      </w:r>
    </w:p>
    <w:p>
      <w:pPr>
        <w:pStyle w:val="ListParagraph"/>
        <w:numPr>
          <w:ilvl w:val="0"/>
          <w:numId w:val="70"/>
        </w:numPr>
        <w:tabs>
          <w:tab w:pos="2157" w:val="left" w:leader="none"/>
          <w:tab w:pos="2160" w:val="left" w:leader="none"/>
        </w:tabs>
        <w:spacing w:line="261" w:lineRule="auto" w:before="56" w:after="0"/>
        <w:ind w:left="2160" w:right="1432" w:hanging="315"/>
        <w:jc w:val="both"/>
        <w:rPr>
          <w:sz w:val="19"/>
        </w:rPr>
      </w:pPr>
      <w:r>
        <w:rPr>
          <w:sz w:val="19"/>
        </w:rPr>
        <w:t>Klein, Joan Larsen. “Lady Macbeth ‘Infirm of Purpose.’” The Woman’s Part: Feminist Criticism of Shakespeare, edited by Carolyn</w:t>
      </w:r>
      <w:r>
        <w:rPr>
          <w:spacing w:val="39"/>
          <w:sz w:val="19"/>
        </w:rPr>
        <w:t> </w:t>
      </w:r>
      <w:r>
        <w:rPr>
          <w:sz w:val="19"/>
        </w:rPr>
        <w:t>Lenz</w:t>
      </w:r>
      <w:r>
        <w:rPr>
          <w:spacing w:val="38"/>
          <w:sz w:val="19"/>
        </w:rPr>
        <w:t> </w:t>
      </w:r>
      <w:r>
        <w:rPr>
          <w:sz w:val="19"/>
        </w:rPr>
        <w:t>et</w:t>
      </w:r>
      <w:r>
        <w:rPr>
          <w:spacing w:val="37"/>
          <w:sz w:val="19"/>
        </w:rPr>
        <w:t> </w:t>
      </w:r>
      <w:r>
        <w:rPr>
          <w:sz w:val="19"/>
        </w:rPr>
        <w:t>al.,</w:t>
      </w:r>
      <w:r>
        <w:rPr>
          <w:spacing w:val="39"/>
          <w:sz w:val="19"/>
        </w:rPr>
        <w:t> </w:t>
      </w:r>
      <w:r>
        <w:rPr>
          <w:sz w:val="19"/>
        </w:rPr>
        <w:t>U</w:t>
      </w:r>
      <w:r>
        <w:rPr>
          <w:spacing w:val="35"/>
          <w:sz w:val="19"/>
        </w:rPr>
        <w:t> </w:t>
      </w:r>
      <w:r>
        <w:rPr>
          <w:sz w:val="19"/>
        </w:rPr>
        <w:t>of</w:t>
      </w:r>
      <w:r>
        <w:rPr>
          <w:spacing w:val="40"/>
          <w:sz w:val="19"/>
        </w:rPr>
        <w:t> </w:t>
      </w:r>
      <w:r>
        <w:rPr>
          <w:sz w:val="19"/>
        </w:rPr>
        <w:t>Illinois</w:t>
      </w:r>
      <w:r>
        <w:rPr>
          <w:spacing w:val="39"/>
          <w:sz w:val="19"/>
        </w:rPr>
        <w:t> </w:t>
      </w:r>
      <w:r>
        <w:rPr>
          <w:sz w:val="19"/>
        </w:rPr>
        <w:t>P,</w:t>
      </w:r>
      <w:r>
        <w:rPr>
          <w:spacing w:val="39"/>
          <w:sz w:val="19"/>
        </w:rPr>
        <w:t> </w:t>
      </w:r>
      <w:r>
        <w:rPr>
          <w:sz w:val="19"/>
        </w:rPr>
        <w:t>1980,</w:t>
      </w:r>
      <w:r>
        <w:rPr>
          <w:spacing w:val="39"/>
          <w:sz w:val="19"/>
        </w:rPr>
        <w:t> </w:t>
      </w:r>
      <w:r>
        <w:rPr>
          <w:sz w:val="19"/>
        </w:rPr>
        <w:t>pp.</w:t>
      </w:r>
      <w:r>
        <w:rPr>
          <w:spacing w:val="39"/>
          <w:sz w:val="19"/>
        </w:rPr>
        <w:t> </w:t>
      </w:r>
      <w:r>
        <w:rPr>
          <w:sz w:val="19"/>
        </w:rPr>
        <w:t>240–255.</w:t>
      </w:r>
    </w:p>
    <w:p>
      <w:pPr>
        <w:pStyle w:val="ListParagraph"/>
        <w:numPr>
          <w:ilvl w:val="0"/>
          <w:numId w:val="70"/>
        </w:numPr>
        <w:tabs>
          <w:tab w:pos="2157" w:val="left" w:leader="none"/>
          <w:tab w:pos="2160" w:val="left" w:leader="none"/>
        </w:tabs>
        <w:spacing w:line="261" w:lineRule="auto" w:before="59" w:after="0"/>
        <w:ind w:left="2160" w:right="1438" w:hanging="315"/>
        <w:jc w:val="both"/>
        <w:rPr>
          <w:sz w:val="19"/>
        </w:rPr>
      </w:pPr>
      <w:r>
        <w:rPr>
          <w:sz w:val="19"/>
        </w:rPr>
        <w:t>Purkiss, Diane. The Witch in History: Early Modern and Twentieth-Century</w:t>
      </w:r>
      <w:r>
        <w:rPr>
          <w:spacing w:val="40"/>
          <w:sz w:val="19"/>
        </w:rPr>
        <w:t> </w:t>
      </w:r>
      <w:r>
        <w:rPr>
          <w:sz w:val="19"/>
        </w:rPr>
        <w:t>Representations.</w:t>
      </w:r>
      <w:r>
        <w:rPr>
          <w:spacing w:val="40"/>
          <w:sz w:val="19"/>
        </w:rPr>
        <w:t> </w:t>
      </w:r>
      <w:r>
        <w:rPr>
          <w:sz w:val="19"/>
        </w:rPr>
        <w:t>Routledge,</w:t>
      </w:r>
      <w:r>
        <w:rPr>
          <w:spacing w:val="40"/>
          <w:sz w:val="19"/>
        </w:rPr>
        <w:t> </w:t>
      </w:r>
      <w:r>
        <w:rPr>
          <w:sz w:val="19"/>
        </w:rPr>
        <w:t>1996.</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2996736">
                <wp:simplePos x="0" y="0"/>
                <wp:positionH relativeFrom="page">
                  <wp:posOffset>2057400</wp:posOffset>
                </wp:positionH>
                <wp:positionV relativeFrom="page">
                  <wp:posOffset>1788723</wp:posOffset>
                </wp:positionV>
                <wp:extent cx="3656329" cy="140335"/>
                <wp:effectExtent l="0" t="0" r="0" b="0"/>
                <wp:wrapNone/>
                <wp:docPr id="666" name="Textbox 666"/>
                <wp:cNvGraphicFramePr>
                  <a:graphicFrameLocks/>
                </wp:cNvGraphicFramePr>
                <a:graphic>
                  <a:graphicData uri="http://schemas.microsoft.com/office/word/2010/wordprocessingShape">
                    <wps:wsp>
                      <wps:cNvPr id="666" name="Textbox 666"/>
                      <wps:cNvSpPr txBox="1"/>
                      <wps:spPr>
                        <a:xfrm>
                          <a:off x="0" y="0"/>
                          <a:ext cx="3656329" cy="140335"/>
                        </a:xfrm>
                        <a:prstGeom prst="rect">
                          <a:avLst/>
                        </a:prstGeom>
                      </wps:spPr>
                      <wps:txbx>
                        <w:txbxContent>
                          <w:p>
                            <w:pPr>
                              <w:tabs>
                                <w:tab w:pos="5443" w:val="left" w:leader="none"/>
                              </w:tabs>
                              <w:spacing w:line="219" w:lineRule="exact" w:before="0"/>
                              <w:ind w:left="0" w:right="0" w:firstLine="0"/>
                              <w:jc w:val="left"/>
                              <w:rPr>
                                <w:rFonts w:ascii="Verdana" w:hAnsi="Verdana"/>
                                <w:sz w:val="18"/>
                              </w:rPr>
                            </w:pPr>
                            <w:r>
                              <w:rPr>
                                <w:rFonts w:ascii="Verdana" w:hAnsi="Verdana"/>
                                <w:sz w:val="18"/>
                              </w:rPr>
                              <w:t>Grief</w:t>
                            </w:r>
                            <w:r>
                              <w:rPr>
                                <w:rFonts w:ascii="Verdana" w:hAnsi="Verdana"/>
                                <w:spacing w:val="-12"/>
                                <w:sz w:val="18"/>
                              </w:rPr>
                              <w:t> </w:t>
                            </w:r>
                            <w:r>
                              <w:rPr>
                                <w:rFonts w:ascii="Verdana" w:hAnsi="Verdana"/>
                                <w:sz w:val="18"/>
                              </w:rPr>
                              <w:t>and</w:t>
                            </w:r>
                            <w:r>
                              <w:rPr>
                                <w:rFonts w:ascii="Verdana" w:hAnsi="Verdana"/>
                                <w:spacing w:val="-12"/>
                                <w:sz w:val="18"/>
                              </w:rPr>
                              <w:t> </w:t>
                            </w:r>
                            <w:r>
                              <w:rPr>
                                <w:rFonts w:ascii="Verdana" w:hAnsi="Verdana"/>
                                <w:sz w:val="18"/>
                              </w:rPr>
                              <w:t>Mourning</w:t>
                            </w:r>
                            <w:r>
                              <w:rPr>
                                <w:rFonts w:ascii="Verdana" w:hAnsi="Verdana"/>
                                <w:spacing w:val="-14"/>
                                <w:sz w:val="18"/>
                              </w:rPr>
                              <w:t> </w:t>
                            </w:r>
                            <w:r>
                              <w:rPr>
                                <w:rFonts w:ascii="Verdana" w:hAnsi="Verdana"/>
                                <w:sz w:val="18"/>
                              </w:rPr>
                              <w:t>in</w:t>
                            </w:r>
                            <w:r>
                              <w:rPr>
                                <w:rFonts w:ascii="Verdana" w:hAnsi="Verdana"/>
                                <w:spacing w:val="-10"/>
                                <w:sz w:val="18"/>
                              </w:rPr>
                              <w:t> </w:t>
                            </w:r>
                            <w:r>
                              <w:rPr>
                                <w:rFonts w:ascii="Verdana" w:hAnsi="Verdana"/>
                                <w:sz w:val="18"/>
                              </w:rPr>
                              <w:t>Shakespeare’s</w:t>
                            </w:r>
                            <w:r>
                              <w:rPr>
                                <w:rFonts w:ascii="Verdana" w:hAnsi="Verdana"/>
                                <w:spacing w:val="-14"/>
                                <w:sz w:val="18"/>
                              </w:rPr>
                              <w:t> </w:t>
                            </w:r>
                            <w:r>
                              <w:rPr>
                                <w:rFonts w:ascii="Verdana" w:hAnsi="Verdana"/>
                                <w:sz w:val="18"/>
                              </w:rPr>
                              <w:t>Female</w:t>
                            </w:r>
                            <w:r>
                              <w:rPr>
                                <w:rFonts w:ascii="Verdana" w:hAnsi="Verdana"/>
                                <w:spacing w:val="-10"/>
                                <w:sz w:val="18"/>
                              </w:rPr>
                              <w:t> </w:t>
                            </w:r>
                            <w:r>
                              <w:rPr>
                                <w:rFonts w:ascii="Verdana" w:hAnsi="Verdana"/>
                                <w:spacing w:val="-2"/>
                                <w:w w:val="95"/>
                                <w:sz w:val="18"/>
                              </w:rPr>
                              <w:t>Characters...</w:t>
                            </w:r>
                            <w:r>
                              <w:rPr>
                                <w:rFonts w:ascii="Verdana" w:hAnsi="Verdana"/>
                                <w:sz w:val="18"/>
                              </w:rPr>
                              <w:tab/>
                            </w:r>
                            <w:r>
                              <w:rPr>
                                <w:rFonts w:ascii="Verdana" w:hAnsi="Verdana"/>
                                <w:spacing w:val="-5"/>
                                <w:w w:val="90"/>
                                <w:sz w:val="18"/>
                              </w:rPr>
                              <w:t>327</w:t>
                            </w:r>
                          </w:p>
                        </w:txbxContent>
                      </wps:txbx>
                      <wps:bodyPr wrap="square" lIns="0" tIns="0" rIns="0" bIns="0" rtlCol="0">
                        <a:noAutofit/>
                      </wps:bodyPr>
                    </wps:wsp>
                  </a:graphicData>
                </a:graphic>
              </wp:anchor>
            </w:drawing>
          </mc:Choice>
          <mc:Fallback>
            <w:pict>
              <v:shape style="position:absolute;margin-left:162pt;margin-top:140.844391pt;width:287.9pt;height:11.05pt;mso-position-horizontal-relative:page;mso-position-vertical-relative:page;z-index:-20319744" type="#_x0000_t202" id="docshape658" filled="false" stroked="false">
                <v:textbox inset="0,0,0,0">
                  <w:txbxContent>
                    <w:p>
                      <w:pPr>
                        <w:tabs>
                          <w:tab w:pos="5443" w:val="left" w:leader="none"/>
                        </w:tabs>
                        <w:spacing w:line="219" w:lineRule="exact" w:before="0"/>
                        <w:ind w:left="0" w:right="0" w:firstLine="0"/>
                        <w:jc w:val="left"/>
                        <w:rPr>
                          <w:rFonts w:ascii="Verdana" w:hAnsi="Verdana"/>
                          <w:sz w:val="18"/>
                        </w:rPr>
                      </w:pPr>
                      <w:r>
                        <w:rPr>
                          <w:rFonts w:ascii="Verdana" w:hAnsi="Verdana"/>
                          <w:sz w:val="18"/>
                        </w:rPr>
                        <w:t>Grief</w:t>
                      </w:r>
                      <w:r>
                        <w:rPr>
                          <w:rFonts w:ascii="Verdana" w:hAnsi="Verdana"/>
                          <w:spacing w:val="-12"/>
                          <w:sz w:val="18"/>
                        </w:rPr>
                        <w:t> </w:t>
                      </w:r>
                      <w:r>
                        <w:rPr>
                          <w:rFonts w:ascii="Verdana" w:hAnsi="Verdana"/>
                          <w:sz w:val="18"/>
                        </w:rPr>
                        <w:t>and</w:t>
                      </w:r>
                      <w:r>
                        <w:rPr>
                          <w:rFonts w:ascii="Verdana" w:hAnsi="Verdana"/>
                          <w:spacing w:val="-12"/>
                          <w:sz w:val="18"/>
                        </w:rPr>
                        <w:t> </w:t>
                      </w:r>
                      <w:r>
                        <w:rPr>
                          <w:rFonts w:ascii="Verdana" w:hAnsi="Verdana"/>
                          <w:sz w:val="18"/>
                        </w:rPr>
                        <w:t>Mourning</w:t>
                      </w:r>
                      <w:r>
                        <w:rPr>
                          <w:rFonts w:ascii="Verdana" w:hAnsi="Verdana"/>
                          <w:spacing w:val="-14"/>
                          <w:sz w:val="18"/>
                        </w:rPr>
                        <w:t> </w:t>
                      </w:r>
                      <w:r>
                        <w:rPr>
                          <w:rFonts w:ascii="Verdana" w:hAnsi="Verdana"/>
                          <w:sz w:val="18"/>
                        </w:rPr>
                        <w:t>in</w:t>
                      </w:r>
                      <w:r>
                        <w:rPr>
                          <w:rFonts w:ascii="Verdana" w:hAnsi="Verdana"/>
                          <w:spacing w:val="-10"/>
                          <w:sz w:val="18"/>
                        </w:rPr>
                        <w:t> </w:t>
                      </w:r>
                      <w:r>
                        <w:rPr>
                          <w:rFonts w:ascii="Verdana" w:hAnsi="Verdana"/>
                          <w:sz w:val="18"/>
                        </w:rPr>
                        <w:t>Shakespeare’s</w:t>
                      </w:r>
                      <w:r>
                        <w:rPr>
                          <w:rFonts w:ascii="Verdana" w:hAnsi="Verdana"/>
                          <w:spacing w:val="-14"/>
                          <w:sz w:val="18"/>
                        </w:rPr>
                        <w:t> </w:t>
                      </w:r>
                      <w:r>
                        <w:rPr>
                          <w:rFonts w:ascii="Verdana" w:hAnsi="Verdana"/>
                          <w:sz w:val="18"/>
                        </w:rPr>
                        <w:t>Female</w:t>
                      </w:r>
                      <w:r>
                        <w:rPr>
                          <w:rFonts w:ascii="Verdana" w:hAnsi="Verdana"/>
                          <w:spacing w:val="-10"/>
                          <w:sz w:val="18"/>
                        </w:rPr>
                        <w:t> </w:t>
                      </w:r>
                      <w:r>
                        <w:rPr>
                          <w:rFonts w:ascii="Verdana" w:hAnsi="Verdana"/>
                          <w:spacing w:val="-2"/>
                          <w:w w:val="95"/>
                          <w:sz w:val="18"/>
                        </w:rPr>
                        <w:t>Characters...</w:t>
                      </w:r>
                      <w:r>
                        <w:rPr>
                          <w:rFonts w:ascii="Verdana" w:hAnsi="Verdana"/>
                          <w:sz w:val="18"/>
                        </w:rPr>
                        <w:tab/>
                      </w:r>
                      <w:r>
                        <w:rPr>
                          <w:rFonts w:ascii="Verdana" w:hAnsi="Verdana"/>
                          <w:spacing w:val="-5"/>
                          <w:w w:val="90"/>
                          <w:sz w:val="18"/>
                        </w:rPr>
                        <w:t>327</w:t>
                      </w:r>
                    </w:p>
                  </w:txbxContent>
                </v:textbox>
                <w10:wrap type="none"/>
              </v:shape>
            </w:pict>
          </mc:Fallback>
        </mc:AlternateContent>
      </w:r>
    </w:p>
    <w:p>
      <w:pPr>
        <w:pStyle w:val="BodyText"/>
        <w:spacing w:before="204"/>
        <w:ind w:left="0"/>
      </w:pPr>
    </w:p>
    <w:p>
      <w:pPr>
        <w:spacing w:line="240" w:lineRule="auto"/>
        <w:ind w:left="1089" w:right="0" w:firstLine="0"/>
        <w:rPr>
          <w:sz w:val="20"/>
        </w:rPr>
      </w:pPr>
      <w:r>
        <w:rPr>
          <w:sz w:val="20"/>
        </w:rPr>
        <mc:AlternateContent>
          <mc:Choice Requires="wps">
            <w:drawing>
              <wp:inline distT="0" distB="0" distL="0" distR="0">
                <wp:extent cx="4043679" cy="699770"/>
                <wp:effectExtent l="0" t="0" r="0" b="0"/>
                <wp:docPr id="667" name="Group 667"/>
                <wp:cNvGraphicFramePr>
                  <a:graphicFrameLocks/>
                </wp:cNvGraphicFramePr>
                <a:graphic>
                  <a:graphicData uri="http://schemas.microsoft.com/office/word/2010/wordprocessingGroup">
                    <wpg:wgp>
                      <wpg:cNvPr id="667" name="Group 667"/>
                      <wpg:cNvGrpSpPr/>
                      <wpg:grpSpPr>
                        <a:xfrm>
                          <a:off x="0" y="0"/>
                          <a:ext cx="4043679" cy="699770"/>
                          <a:chExt cx="4043679" cy="699770"/>
                        </a:xfrm>
                      </wpg:grpSpPr>
                      <wps:wsp>
                        <wps:cNvPr id="668" name="Graphic 668"/>
                        <wps:cNvSpPr/>
                        <wps:spPr>
                          <a:xfrm>
                            <a:off x="0" y="0"/>
                            <a:ext cx="4043679" cy="699770"/>
                          </a:xfrm>
                          <a:custGeom>
                            <a:avLst/>
                            <a:gdLst/>
                            <a:ahLst/>
                            <a:cxnLst/>
                            <a:rect l="l" t="t" r="r" b="b"/>
                            <a:pathLst>
                              <a:path w="4043679" h="699770">
                                <a:moveTo>
                                  <a:pt x="4043171" y="699515"/>
                                </a:moveTo>
                                <a:lnTo>
                                  <a:pt x="0" y="699515"/>
                                </a:lnTo>
                                <a:lnTo>
                                  <a:pt x="0" y="0"/>
                                </a:lnTo>
                                <a:lnTo>
                                  <a:pt x="4043171" y="0"/>
                                </a:lnTo>
                                <a:lnTo>
                                  <a:pt x="4043171" y="699515"/>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659" coordorigin="0,0" coordsize="6368,1102">
                <v:rect style="position:absolute;left:0;top:0;width:6368;height:1102" id="docshape660"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32576">
                <wp:simplePos x="0" y="0"/>
                <wp:positionH relativeFrom="page">
                  <wp:posOffset>3503676</wp:posOffset>
                </wp:positionH>
                <wp:positionV relativeFrom="paragraph">
                  <wp:posOffset>272922</wp:posOffset>
                </wp:positionV>
                <wp:extent cx="728980" cy="655320"/>
                <wp:effectExtent l="0" t="0" r="0" b="0"/>
                <wp:wrapTopAndBottom/>
                <wp:docPr id="669" name="Group 669"/>
                <wp:cNvGraphicFramePr>
                  <a:graphicFrameLocks/>
                </wp:cNvGraphicFramePr>
                <a:graphic>
                  <a:graphicData uri="http://schemas.microsoft.com/office/word/2010/wordprocessingGroup">
                    <wpg:wgp>
                      <wpg:cNvPr id="669" name="Group 669"/>
                      <wpg:cNvGrpSpPr/>
                      <wpg:grpSpPr>
                        <a:xfrm>
                          <a:off x="0" y="0"/>
                          <a:ext cx="728980" cy="655320"/>
                          <a:chExt cx="728980" cy="655320"/>
                        </a:xfrm>
                      </wpg:grpSpPr>
                      <pic:pic>
                        <pic:nvPicPr>
                          <pic:cNvPr id="670" name="Image 670"/>
                          <pic:cNvPicPr/>
                        </pic:nvPicPr>
                        <pic:blipFill>
                          <a:blip r:embed="rId125" cstate="print"/>
                          <a:stretch>
                            <a:fillRect/>
                          </a:stretch>
                        </pic:blipFill>
                        <pic:spPr>
                          <a:xfrm>
                            <a:off x="0" y="0"/>
                            <a:ext cx="728471" cy="655320"/>
                          </a:xfrm>
                          <a:prstGeom prst="rect">
                            <a:avLst/>
                          </a:prstGeom>
                        </pic:spPr>
                      </pic:pic>
                      <wps:wsp>
                        <wps:cNvPr id="671" name="Textbox 671"/>
                        <wps:cNvSpPr txBox="1"/>
                        <wps:spPr>
                          <a:xfrm>
                            <a:off x="0" y="0"/>
                            <a:ext cx="728980" cy="655320"/>
                          </a:xfrm>
                          <a:prstGeom prst="rect">
                            <a:avLst/>
                          </a:prstGeom>
                        </wps:spPr>
                        <wps:txbx>
                          <w:txbxContent>
                            <w:p>
                              <w:pPr>
                                <w:spacing w:before="388"/>
                                <w:ind w:left="408" w:right="0" w:firstLine="0"/>
                                <w:jc w:val="left"/>
                                <w:rPr>
                                  <w:rFonts w:ascii="Tahoma"/>
                                  <w:b/>
                                  <w:sz w:val="36"/>
                                </w:rPr>
                              </w:pPr>
                              <w:r>
                                <w:rPr>
                                  <w:rFonts w:ascii="Tahoma"/>
                                  <w:b/>
                                  <w:spacing w:val="-5"/>
                                  <w:w w:val="95"/>
                                  <w:sz w:val="36"/>
                                </w:rPr>
                                <w:t>33</w:t>
                              </w:r>
                            </w:p>
                          </w:txbxContent>
                        </wps:txbx>
                        <wps:bodyPr wrap="square" lIns="0" tIns="0" rIns="0" bIns="0" rtlCol="0">
                          <a:noAutofit/>
                        </wps:bodyPr>
                      </wps:wsp>
                    </wpg:wgp>
                  </a:graphicData>
                </a:graphic>
              </wp:anchor>
            </w:drawing>
          </mc:Choice>
          <mc:Fallback>
            <w:pict>
              <v:group style="position:absolute;margin-left:275.880005pt;margin-top:21.489992pt;width:57.4pt;height:51.6pt;mso-position-horizontal-relative:page;mso-position-vertical-relative:paragraph;z-index:-15483904;mso-wrap-distance-left:0;mso-wrap-distance-right:0" id="docshapegroup661" coordorigin="5518,430" coordsize="1148,1032">
                <v:shape style="position:absolute;left:5517;top:429;width:1148;height:1032" type="#_x0000_t75" id="docshape662" stroked="false">
                  <v:imagedata r:id="rId125" o:title=""/>
                </v:shape>
                <v:shape style="position:absolute;left:5517;top:429;width:1148;height:1032" type="#_x0000_t202" id="docshape663" filled="false" stroked="false">
                  <v:textbox inset="0,0,0,0">
                    <w:txbxContent>
                      <w:p>
                        <w:pPr>
                          <w:spacing w:before="388"/>
                          <w:ind w:left="408" w:right="0" w:firstLine="0"/>
                          <w:jc w:val="left"/>
                          <w:rPr>
                            <w:rFonts w:ascii="Tahoma"/>
                            <w:b/>
                            <w:sz w:val="36"/>
                          </w:rPr>
                        </w:pPr>
                        <w:r>
                          <w:rPr>
                            <w:rFonts w:ascii="Tahoma"/>
                            <w:b/>
                            <w:spacing w:val="-5"/>
                            <w:w w:val="95"/>
                            <w:sz w:val="36"/>
                          </w:rPr>
                          <w:t>33</w:t>
                        </w:r>
                      </w:p>
                    </w:txbxContent>
                  </v:textbox>
                  <w10:wrap type="none"/>
                </v:shape>
                <w10:wrap type="topAndBottom"/>
              </v:group>
            </w:pict>
          </mc:Fallback>
        </mc:AlternateContent>
      </w:r>
    </w:p>
    <w:p>
      <w:pPr>
        <w:pStyle w:val="Heading1"/>
        <w:spacing w:line="211" w:lineRule="auto" w:before="42"/>
        <w:ind w:left="1439" w:right="1447" w:firstLine="5"/>
      </w:pPr>
      <w:r>
        <w:rPr/>
        <w:t>Grief and Mourning in </w:t>
      </w:r>
      <w:r>
        <w:rPr>
          <w:spacing w:val="-2"/>
        </w:rPr>
        <w:t>Shakespeare’s</w:t>
      </w:r>
      <w:r>
        <w:rPr>
          <w:spacing w:val="-14"/>
        </w:rPr>
        <w:t> </w:t>
      </w:r>
      <w:r>
        <w:rPr>
          <w:spacing w:val="-2"/>
        </w:rPr>
        <w:t>Female</w:t>
      </w:r>
      <w:r>
        <w:rPr>
          <w:spacing w:val="-18"/>
        </w:rPr>
        <w:t> </w:t>
      </w:r>
      <w:r>
        <w:rPr>
          <w:spacing w:val="-2"/>
        </w:rPr>
        <w:t>Characters:</w:t>
      </w:r>
      <w:r>
        <w:rPr>
          <w:spacing w:val="-16"/>
        </w:rPr>
        <w:t> </w:t>
      </w:r>
      <w:r>
        <w:rPr>
          <w:spacing w:val="-2"/>
        </w:rPr>
        <w:t>A </w:t>
      </w:r>
      <w:r>
        <w:rPr/>
        <w:t>Study of Hamlet, Othello, and The</w:t>
      </w:r>
    </w:p>
    <w:p>
      <w:pPr>
        <w:tabs>
          <w:tab w:pos="1598" w:val="left" w:leader="none"/>
          <w:tab w:pos="5759" w:val="left" w:leader="none"/>
        </w:tabs>
        <w:spacing w:line="348" w:lineRule="exact" w:before="0"/>
        <w:ind w:left="0" w:right="0" w:firstLine="0"/>
        <w:jc w:val="center"/>
        <w:rPr>
          <w:rFonts w:ascii="Tahoma"/>
          <w:b/>
          <w:sz w:val="32"/>
        </w:rPr>
      </w:pPr>
      <w:r>
        <w:rPr>
          <w:sz w:val="32"/>
          <w:u w:val="single"/>
        </w:rPr>
        <w:tab/>
      </w:r>
      <w:r>
        <w:rPr>
          <w:rFonts w:ascii="Tahoma"/>
          <w:b/>
          <w:sz w:val="32"/>
          <w:u w:val="single"/>
        </w:rPr>
        <w:t>Rape</w:t>
      </w:r>
      <w:r>
        <w:rPr>
          <w:rFonts w:ascii="Tahoma"/>
          <w:b/>
          <w:spacing w:val="-10"/>
          <w:sz w:val="32"/>
          <w:u w:val="single"/>
        </w:rPr>
        <w:t> </w:t>
      </w:r>
      <w:r>
        <w:rPr>
          <w:rFonts w:ascii="Tahoma"/>
          <w:b/>
          <w:sz w:val="32"/>
          <w:u w:val="single"/>
        </w:rPr>
        <w:t>of</w:t>
      </w:r>
      <w:r>
        <w:rPr>
          <w:rFonts w:ascii="Tahoma"/>
          <w:b/>
          <w:spacing w:val="-7"/>
          <w:sz w:val="32"/>
          <w:u w:val="single"/>
        </w:rPr>
        <w:t> </w:t>
      </w:r>
      <w:r>
        <w:rPr>
          <w:rFonts w:ascii="Tahoma"/>
          <w:b/>
          <w:spacing w:val="-2"/>
          <w:sz w:val="32"/>
          <w:u w:val="single"/>
        </w:rPr>
        <w:t>Lucrece</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833088">
                <wp:simplePos x="0" y="0"/>
                <wp:positionH relativeFrom="page">
                  <wp:posOffset>2057400</wp:posOffset>
                </wp:positionH>
                <wp:positionV relativeFrom="paragraph">
                  <wp:posOffset>60305</wp:posOffset>
                </wp:positionV>
                <wp:extent cx="3657600" cy="7620"/>
                <wp:effectExtent l="0" t="0" r="0" b="0"/>
                <wp:wrapTopAndBottom/>
                <wp:docPr id="672" name="Graphic 672"/>
                <wp:cNvGraphicFramePr>
                  <a:graphicFrameLocks/>
                </wp:cNvGraphicFramePr>
                <a:graphic>
                  <a:graphicData uri="http://schemas.microsoft.com/office/word/2010/wordprocessingShape">
                    <wps:wsp>
                      <wps:cNvPr id="672" name="Graphic 672"/>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48449pt;width:288.000009pt;height:.59999pt;mso-position-horizontal-relative:page;mso-position-vertical-relative:paragraph;z-index:-15483392;mso-wrap-distance-left:0;mso-wrap-distance-right:0" id="docshape664"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3945"/>
        <w:jc w:val="both"/>
        <w:rPr>
          <w:rFonts w:ascii="Times New Roman"/>
        </w:rPr>
      </w:pPr>
      <w:r>
        <w:rPr>
          <w:rFonts w:ascii="Times New Roman"/>
        </w:rPr>
        <w:t>Dr.</w:t>
      </w:r>
      <w:r>
        <w:rPr>
          <w:rFonts w:ascii="Times New Roman"/>
          <w:spacing w:val="61"/>
        </w:rPr>
        <w:t> </w:t>
      </w:r>
      <w:r>
        <w:rPr>
          <w:rFonts w:ascii="Times New Roman"/>
        </w:rPr>
        <w:t>Ramesh</w:t>
      </w:r>
      <w:r>
        <w:rPr>
          <w:rFonts w:ascii="Times New Roman"/>
          <w:spacing w:val="59"/>
        </w:rPr>
        <w:t> </w:t>
      </w:r>
      <w:r>
        <w:rPr>
          <w:rFonts w:ascii="Times New Roman"/>
        </w:rPr>
        <w:t>Baburao</w:t>
      </w:r>
      <w:r>
        <w:rPr>
          <w:rFonts w:ascii="Times New Roman"/>
          <w:spacing w:val="60"/>
        </w:rPr>
        <w:t> </w:t>
      </w:r>
      <w:r>
        <w:rPr>
          <w:rFonts w:ascii="Times New Roman"/>
          <w:spacing w:val="-2"/>
        </w:rPr>
        <w:t>Ghegadmal</w:t>
      </w:r>
    </w:p>
    <w:p>
      <w:pPr>
        <w:spacing w:line="249" w:lineRule="auto" w:before="15"/>
        <w:ind w:left="1800" w:right="1439" w:firstLine="1111"/>
        <w:jc w:val="both"/>
        <w:rPr>
          <w:i/>
          <w:sz w:val="19"/>
        </w:rPr>
      </w:pPr>
      <w:r>
        <w:rPr>
          <w:i/>
          <w:sz w:val="19"/>
        </w:rPr>
        <w:t>M. A. (English Litt.,) M. Phil., P.hD., B. Ed., LL. B. Assistant Professor, Dept. English (Business Communication)</w:t>
      </w:r>
      <w:r>
        <w:rPr>
          <w:i/>
          <w:spacing w:val="40"/>
          <w:sz w:val="19"/>
        </w:rPr>
        <w:t> </w:t>
      </w:r>
      <w:r>
        <w:rPr>
          <w:i/>
          <w:sz w:val="19"/>
        </w:rPr>
        <w:t>Dr. Ambedkar</w:t>
      </w:r>
      <w:r>
        <w:rPr>
          <w:i/>
          <w:spacing w:val="40"/>
          <w:sz w:val="19"/>
        </w:rPr>
        <w:t> </w:t>
      </w:r>
      <w:r>
        <w:rPr>
          <w:i/>
          <w:sz w:val="19"/>
        </w:rPr>
        <w:t>College</w:t>
      </w:r>
      <w:r>
        <w:rPr>
          <w:i/>
          <w:spacing w:val="40"/>
          <w:sz w:val="19"/>
        </w:rPr>
        <w:t> </w:t>
      </w:r>
      <w:r>
        <w:rPr>
          <w:i/>
          <w:sz w:val="19"/>
        </w:rPr>
        <w:t>of</w:t>
      </w:r>
      <w:r>
        <w:rPr>
          <w:i/>
          <w:spacing w:val="40"/>
          <w:sz w:val="19"/>
        </w:rPr>
        <w:t> </w:t>
      </w:r>
      <w:r>
        <w:rPr>
          <w:i/>
          <w:sz w:val="19"/>
        </w:rPr>
        <w:t>Commerce</w:t>
      </w:r>
      <w:r>
        <w:rPr>
          <w:i/>
          <w:spacing w:val="40"/>
          <w:sz w:val="19"/>
        </w:rPr>
        <w:t> </w:t>
      </w:r>
      <w:r>
        <w:rPr>
          <w:i/>
          <w:sz w:val="19"/>
        </w:rPr>
        <w:t>&amp;</w:t>
      </w:r>
      <w:r>
        <w:rPr>
          <w:i/>
          <w:spacing w:val="40"/>
          <w:sz w:val="19"/>
        </w:rPr>
        <w:t> </w:t>
      </w:r>
      <w:r>
        <w:rPr>
          <w:i/>
          <w:sz w:val="19"/>
        </w:rPr>
        <w:t>Economics,</w:t>
      </w:r>
      <w:r>
        <w:rPr>
          <w:i/>
          <w:spacing w:val="40"/>
          <w:sz w:val="19"/>
        </w:rPr>
        <w:t> </w:t>
      </w:r>
      <w:r>
        <w:rPr>
          <w:i/>
          <w:sz w:val="19"/>
        </w:rPr>
        <w:t>Wadala,</w:t>
      </w:r>
      <w:r>
        <w:rPr>
          <w:i/>
          <w:spacing w:val="40"/>
          <w:sz w:val="19"/>
        </w:rPr>
        <w:t> </w:t>
      </w:r>
      <w:r>
        <w:rPr>
          <w:i/>
          <w:sz w:val="19"/>
        </w:rPr>
        <w:t>Mumbai</w:t>
      </w:r>
    </w:p>
    <w:p>
      <w:pPr>
        <w:pStyle w:val="BodyText"/>
        <w:spacing w:before="154"/>
        <w:ind w:left="0"/>
        <w:rPr>
          <w:i/>
          <w:sz w:val="19"/>
        </w:rPr>
      </w:pPr>
    </w:p>
    <w:p>
      <w:pPr>
        <w:pStyle w:val="Heading3"/>
        <w:spacing w:before="0"/>
      </w:pPr>
      <w:r>
        <w:rPr>
          <w:spacing w:val="-2"/>
        </w:rPr>
        <w:t>ABSTRACT:</w:t>
      </w:r>
    </w:p>
    <w:p>
      <w:pPr>
        <w:pStyle w:val="BodyText"/>
        <w:spacing w:line="261" w:lineRule="auto" w:before="82"/>
        <w:ind w:right="1438" w:firstLine="432"/>
        <w:jc w:val="both"/>
      </w:pPr>
      <w:r>
        <w:rPr/>
        <w:t>This research paper examines the multifaceted representation of Grief</w:t>
      </w:r>
      <w:r>
        <w:rPr>
          <w:spacing w:val="-4"/>
        </w:rPr>
        <w:t> </w:t>
      </w:r>
      <w:r>
        <w:rPr/>
        <w:t>and</w:t>
      </w:r>
      <w:r>
        <w:rPr>
          <w:spacing w:val="-2"/>
        </w:rPr>
        <w:t> </w:t>
      </w:r>
      <w:r>
        <w:rPr/>
        <w:t>mourning</w:t>
      </w:r>
      <w:r>
        <w:rPr>
          <w:spacing w:val="-2"/>
        </w:rPr>
        <w:t> </w:t>
      </w:r>
      <w:r>
        <w:rPr/>
        <w:t>among</w:t>
      </w:r>
      <w:r>
        <w:rPr>
          <w:spacing w:val="-4"/>
        </w:rPr>
        <w:t> </w:t>
      </w:r>
      <w:r>
        <w:rPr/>
        <w:t>female</w:t>
      </w:r>
      <w:r>
        <w:rPr>
          <w:spacing w:val="-1"/>
        </w:rPr>
        <w:t> </w:t>
      </w:r>
      <w:r>
        <w:rPr/>
        <w:t>characters</w:t>
      </w:r>
      <w:r>
        <w:rPr>
          <w:spacing w:val="-2"/>
        </w:rPr>
        <w:t> </w:t>
      </w:r>
      <w:r>
        <w:rPr/>
        <w:t>in</w:t>
      </w:r>
      <w:r>
        <w:rPr>
          <w:spacing w:val="-4"/>
        </w:rPr>
        <w:t> </w:t>
      </w:r>
      <w:r>
        <w:rPr/>
        <w:t>William</w:t>
      </w:r>
      <w:r>
        <w:rPr>
          <w:spacing w:val="-5"/>
        </w:rPr>
        <w:t> </w:t>
      </w:r>
      <w:r>
        <w:rPr/>
        <w:t>Shakespeare’s </w:t>
      </w:r>
      <w:r>
        <w:rPr>
          <w:spacing w:val="-2"/>
        </w:rPr>
        <w:t>Othello,</w:t>
      </w:r>
      <w:r>
        <w:rPr>
          <w:spacing w:val="-11"/>
        </w:rPr>
        <w:t> </w:t>
      </w:r>
      <w:r>
        <w:rPr>
          <w:spacing w:val="-2"/>
        </w:rPr>
        <w:t>Hamlet,</w:t>
      </w:r>
      <w:r>
        <w:rPr>
          <w:spacing w:val="-10"/>
        </w:rPr>
        <w:t> </w:t>
      </w:r>
      <w:r>
        <w:rPr>
          <w:spacing w:val="-2"/>
        </w:rPr>
        <w:t>and</w:t>
      </w:r>
      <w:r>
        <w:rPr>
          <w:spacing w:val="-8"/>
        </w:rPr>
        <w:t> </w:t>
      </w:r>
      <w:r>
        <w:rPr>
          <w:spacing w:val="-2"/>
        </w:rPr>
        <w:t>the</w:t>
      </w:r>
      <w:r>
        <w:rPr>
          <w:spacing w:val="-11"/>
        </w:rPr>
        <w:t> </w:t>
      </w:r>
      <w:r>
        <w:rPr>
          <w:spacing w:val="-2"/>
        </w:rPr>
        <w:t>narrative</w:t>
      </w:r>
      <w:r>
        <w:rPr>
          <w:spacing w:val="-10"/>
        </w:rPr>
        <w:t> </w:t>
      </w:r>
      <w:r>
        <w:rPr>
          <w:spacing w:val="-2"/>
        </w:rPr>
        <w:t>poem</w:t>
      </w:r>
      <w:r>
        <w:rPr>
          <w:spacing w:val="-11"/>
        </w:rPr>
        <w:t> </w:t>
      </w:r>
      <w:r>
        <w:rPr>
          <w:spacing w:val="-2"/>
        </w:rPr>
        <w:t>The</w:t>
      </w:r>
      <w:r>
        <w:rPr>
          <w:spacing w:val="-6"/>
        </w:rPr>
        <w:t> </w:t>
      </w:r>
      <w:r>
        <w:rPr>
          <w:spacing w:val="-2"/>
        </w:rPr>
        <w:t>Rape</w:t>
      </w:r>
      <w:r>
        <w:rPr>
          <w:spacing w:val="-9"/>
        </w:rPr>
        <w:t> </w:t>
      </w:r>
      <w:r>
        <w:rPr>
          <w:spacing w:val="-2"/>
        </w:rPr>
        <w:t>of</w:t>
      </w:r>
      <w:r>
        <w:rPr>
          <w:spacing w:val="-9"/>
        </w:rPr>
        <w:t> </w:t>
      </w:r>
      <w:r>
        <w:rPr>
          <w:spacing w:val="-2"/>
        </w:rPr>
        <w:t>Lucrece,</w:t>
      </w:r>
      <w:r>
        <w:rPr>
          <w:spacing w:val="-11"/>
        </w:rPr>
        <w:t> </w:t>
      </w:r>
      <w:r>
        <w:rPr>
          <w:spacing w:val="-2"/>
        </w:rPr>
        <w:t>while</w:t>
      </w:r>
      <w:r>
        <w:rPr>
          <w:spacing w:val="-6"/>
        </w:rPr>
        <w:t> </w:t>
      </w:r>
      <w:r>
        <w:rPr>
          <w:spacing w:val="-2"/>
        </w:rPr>
        <w:t>male </w:t>
      </w:r>
      <w:r>
        <w:rPr/>
        <w:t>mourning in Shakespeare is often depicted through the public anger or endurance of indifferent, resolution that is female grief is normally condensed as complex interplay of silence and ultimate annihilation under the pressure of patriarchal structures. Through the character and analysis</w:t>
      </w:r>
      <w:r>
        <w:rPr>
          <w:spacing w:val="-4"/>
        </w:rPr>
        <w:t> </w:t>
      </w:r>
      <w:r>
        <w:rPr/>
        <w:t>of</w:t>
      </w:r>
      <w:r>
        <w:rPr>
          <w:spacing w:val="-7"/>
        </w:rPr>
        <w:t> </w:t>
      </w:r>
      <w:r>
        <w:rPr/>
        <w:t>Desdemona</w:t>
      </w:r>
      <w:r>
        <w:rPr>
          <w:spacing w:val="-3"/>
        </w:rPr>
        <w:t> </w:t>
      </w:r>
      <w:r>
        <w:rPr/>
        <w:t>and</w:t>
      </w:r>
      <w:r>
        <w:rPr>
          <w:spacing w:val="-2"/>
        </w:rPr>
        <w:t> </w:t>
      </w:r>
      <w:r>
        <w:rPr/>
        <w:t>Emelia</w:t>
      </w:r>
      <w:r>
        <w:rPr>
          <w:spacing w:val="-4"/>
        </w:rPr>
        <w:t> </w:t>
      </w:r>
      <w:r>
        <w:rPr/>
        <w:t>from</w:t>
      </w:r>
      <w:r>
        <w:rPr>
          <w:spacing w:val="-6"/>
        </w:rPr>
        <w:t> </w:t>
      </w:r>
      <w:r>
        <w:rPr/>
        <w:t>Othello,</w:t>
      </w:r>
      <w:r>
        <w:rPr>
          <w:spacing w:val="-4"/>
        </w:rPr>
        <w:t> </w:t>
      </w:r>
      <w:r>
        <w:rPr/>
        <w:t>Ophelia</w:t>
      </w:r>
      <w:r>
        <w:rPr>
          <w:spacing w:val="-7"/>
        </w:rPr>
        <w:t> </w:t>
      </w:r>
      <w:r>
        <w:rPr/>
        <w:t>from</w:t>
      </w:r>
      <w:r>
        <w:rPr>
          <w:spacing w:val="-6"/>
        </w:rPr>
        <w:t> </w:t>
      </w:r>
      <w:r>
        <w:rPr/>
        <w:t>Hamlet, and the nominal character of</w:t>
      </w:r>
      <w:r>
        <w:rPr>
          <w:spacing w:val="-2"/>
        </w:rPr>
        <w:t> </w:t>
      </w:r>
      <w:r>
        <w:rPr/>
        <w:t>the</w:t>
      </w:r>
      <w:r>
        <w:rPr>
          <w:spacing w:val="-2"/>
        </w:rPr>
        <w:t> </w:t>
      </w:r>
      <w:r>
        <w:rPr/>
        <w:t>Rape of</w:t>
      </w:r>
      <w:r>
        <w:rPr>
          <w:spacing w:val="-2"/>
        </w:rPr>
        <w:t> </w:t>
      </w:r>
      <w:r>
        <w:rPr/>
        <w:t>Lucrece. This</w:t>
      </w:r>
      <w:r>
        <w:rPr>
          <w:spacing w:val="-2"/>
        </w:rPr>
        <w:t> </w:t>
      </w:r>
      <w:r>
        <w:rPr/>
        <w:t>particular paper investigates</w:t>
      </w:r>
      <w:r>
        <w:rPr>
          <w:spacing w:val="19"/>
        </w:rPr>
        <w:t> </w:t>
      </w:r>
      <w:r>
        <w:rPr/>
        <w:t>how</w:t>
      </w:r>
      <w:r>
        <w:rPr>
          <w:spacing w:val="19"/>
        </w:rPr>
        <w:t> </w:t>
      </w:r>
      <w:r>
        <w:rPr/>
        <w:t>Shakespeare</w:t>
      </w:r>
      <w:r>
        <w:rPr>
          <w:spacing w:val="21"/>
        </w:rPr>
        <w:t> </w:t>
      </w:r>
      <w:r>
        <w:rPr/>
        <w:t>presents</w:t>
      </w:r>
      <w:r>
        <w:rPr>
          <w:spacing w:val="23"/>
        </w:rPr>
        <w:t> </w:t>
      </w:r>
      <w:r>
        <w:rPr/>
        <w:t>the</w:t>
      </w:r>
      <w:r>
        <w:rPr>
          <w:spacing w:val="22"/>
        </w:rPr>
        <w:t> </w:t>
      </w:r>
      <w:r>
        <w:rPr/>
        <w:t>female</w:t>
      </w:r>
      <w:r>
        <w:rPr>
          <w:spacing w:val="23"/>
        </w:rPr>
        <w:t> </w:t>
      </w:r>
      <w:r>
        <w:rPr/>
        <w:t>characters’</w:t>
      </w:r>
      <w:r>
        <w:rPr>
          <w:spacing w:val="18"/>
        </w:rPr>
        <w:t> </w:t>
      </w:r>
      <w:r>
        <w:rPr/>
        <w:t>grief</w:t>
      </w:r>
      <w:r>
        <w:rPr>
          <w:spacing w:val="20"/>
        </w:rPr>
        <w:t> </w:t>
      </w:r>
      <w:r>
        <w:rPr/>
        <w:t>as a transformative and often damaging force that highlights, within the </w:t>
      </w:r>
      <w:r>
        <w:rPr>
          <w:spacing w:val="10"/>
        </w:rPr>
        <w:t>early</w:t>
      </w:r>
      <w:r>
        <w:rPr>
          <w:spacing w:val="10"/>
        </w:rPr>
        <w:t> modern</w:t>
      </w:r>
      <w:r>
        <w:rPr>
          <w:spacing w:val="10"/>
        </w:rPr>
        <w:t> </w:t>
      </w:r>
      <w:r>
        <w:rPr>
          <w:spacing w:val="11"/>
        </w:rPr>
        <w:t>period.</w:t>
      </w:r>
      <w:r>
        <w:rPr>
          <w:spacing w:val="11"/>
        </w:rPr>
        <w:t> </w:t>
      </w:r>
      <w:r>
        <w:rPr>
          <w:spacing w:val="9"/>
        </w:rPr>
        <w:t>However,</w:t>
      </w:r>
      <w:r>
        <w:rPr>
          <w:spacing w:val="9"/>
        </w:rPr>
        <w:t> </w:t>
      </w:r>
      <w:r>
        <w:rPr>
          <w:spacing w:val="11"/>
        </w:rPr>
        <w:t>Shakespearean</w:t>
      </w:r>
      <w:r>
        <w:rPr>
          <w:spacing w:val="11"/>
        </w:rPr>
        <w:t> </w:t>
      </w:r>
      <w:r>
        <w:rPr>
          <w:spacing w:val="10"/>
        </w:rPr>
        <w:t>tragedy</w:t>
      </w:r>
      <w:r>
        <w:rPr>
          <w:spacing w:val="10"/>
        </w:rPr>
        <w:t> </w:t>
      </w:r>
      <w:r>
        <w:rPr/>
        <w:t>has conventionally been understood through the psychological expeditions of male heroes. His plays often reside in female characters whose suffering reveals hidden moral truths. This paper investigates grief and </w:t>
      </w:r>
      <w:r>
        <w:rPr>
          <w:spacing w:val="-2"/>
        </w:rPr>
        <w:t>mourning</w:t>
      </w:r>
      <w:r>
        <w:rPr>
          <w:spacing w:val="-4"/>
        </w:rPr>
        <w:t> </w:t>
      </w:r>
      <w:r>
        <w:rPr>
          <w:spacing w:val="-2"/>
        </w:rPr>
        <w:t>in Shakespeare’s female characters</w:t>
      </w:r>
      <w:r>
        <w:rPr>
          <w:spacing w:val="-4"/>
        </w:rPr>
        <w:t> </w:t>
      </w:r>
      <w:r>
        <w:rPr>
          <w:spacing w:val="-2"/>
        </w:rPr>
        <w:t>with particular reference to </w:t>
      </w:r>
      <w:r>
        <w:rPr/>
        <w:t>Hamlet,</w:t>
      </w:r>
      <w:r>
        <w:rPr>
          <w:spacing w:val="-8"/>
        </w:rPr>
        <w:t> </w:t>
      </w:r>
      <w:r>
        <w:rPr/>
        <w:t>Othello,</w:t>
      </w:r>
      <w:r>
        <w:rPr>
          <w:spacing w:val="-5"/>
        </w:rPr>
        <w:t> </w:t>
      </w:r>
      <w:r>
        <w:rPr/>
        <w:t>and</w:t>
      </w:r>
      <w:r>
        <w:rPr>
          <w:spacing w:val="-8"/>
        </w:rPr>
        <w:t> </w:t>
      </w:r>
      <w:r>
        <w:rPr/>
        <w:t>The</w:t>
      </w:r>
      <w:r>
        <w:rPr>
          <w:spacing w:val="-6"/>
        </w:rPr>
        <w:t> </w:t>
      </w:r>
      <w:r>
        <w:rPr/>
        <w:t>Rape</w:t>
      </w:r>
      <w:r>
        <w:rPr>
          <w:spacing w:val="-7"/>
        </w:rPr>
        <w:t> </w:t>
      </w:r>
      <w:r>
        <w:rPr/>
        <w:t>of</w:t>
      </w:r>
      <w:r>
        <w:rPr>
          <w:spacing w:val="-7"/>
        </w:rPr>
        <w:t> </w:t>
      </w:r>
      <w:r>
        <w:rPr/>
        <w:t>Lucrece.</w:t>
      </w:r>
      <w:r>
        <w:rPr>
          <w:spacing w:val="-7"/>
        </w:rPr>
        <w:t> </w:t>
      </w:r>
      <w:r>
        <w:rPr/>
        <w:t>Shakespeare’s</w:t>
      </w:r>
      <w:r>
        <w:rPr>
          <w:spacing w:val="-7"/>
        </w:rPr>
        <w:t> </w:t>
      </w:r>
      <w:r>
        <w:rPr>
          <w:spacing w:val="-2"/>
        </w:rPr>
        <w:t>interpretation</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34112">
                <wp:simplePos x="0" y="0"/>
                <wp:positionH relativeFrom="page">
                  <wp:posOffset>2057400</wp:posOffset>
                </wp:positionH>
                <wp:positionV relativeFrom="paragraph">
                  <wp:posOffset>162604</wp:posOffset>
                </wp:positionV>
                <wp:extent cx="3657600" cy="12700"/>
                <wp:effectExtent l="0" t="0" r="0" b="0"/>
                <wp:wrapTopAndBottom/>
                <wp:docPr id="673" name="Graphic 673"/>
                <wp:cNvGraphicFramePr>
                  <a:graphicFrameLocks/>
                </wp:cNvGraphicFramePr>
                <a:graphic>
                  <a:graphicData uri="http://schemas.microsoft.com/office/word/2010/wordprocessingShape">
                    <wps:wsp>
                      <wps:cNvPr id="673" name="Graphic 67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82368;mso-wrap-distance-left:0;mso-wrap-distance-right:0" id="docshape665" filled="true" fillcolor="#000000" stroked="false">
                <v:fill type="solid"/>
                <w10:wrap type="topAndBottom"/>
              </v:rect>
            </w:pict>
          </mc:Fallback>
        </mc:AlternateContent>
      </w:r>
      <w:r>
        <w:rPr>
          <w:rFonts w:ascii="Verdana"/>
          <w:spacing w:val="-5"/>
          <w:sz w:val="18"/>
        </w:rPr>
        <w:t>328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1" w:lineRule="auto" w:before="199"/>
        <w:ind w:right="1437"/>
        <w:jc w:val="both"/>
      </w:pPr>
      <w:r>
        <w:rPr/>
        <w:t>of mourning anticipates modern trauma, emotional intervention, and cultural critique. Understandings of grief, suffering, and mourning intensely shape the emotional world of William Shakespeare’s works.</w:t>
      </w:r>
    </w:p>
    <w:p>
      <w:pPr>
        <w:pStyle w:val="BodyText"/>
        <w:spacing w:line="249" w:lineRule="auto" w:before="50"/>
        <w:ind w:right="1441" w:firstLine="432"/>
        <w:jc w:val="both"/>
      </w:pPr>
      <w:r>
        <w:rPr>
          <w:b/>
        </w:rPr>
        <w:t>Keywords: </w:t>
      </w:r>
      <w:r>
        <w:rPr/>
        <w:t>grief, mourning, Shakespearean tragedy, feminism, trauma, female</w:t>
      </w:r>
      <w:r>
        <w:rPr>
          <w:spacing w:val="40"/>
        </w:rPr>
        <w:t> </w:t>
      </w:r>
      <w:r>
        <w:rPr/>
        <w:t>agency, Renaissance gender politics.</w:t>
      </w:r>
    </w:p>
    <w:p>
      <w:pPr>
        <w:spacing w:line="249" w:lineRule="auto" w:before="59"/>
        <w:ind w:left="1440" w:right="1443" w:firstLine="432"/>
        <w:jc w:val="both"/>
        <w:rPr>
          <w:i/>
          <w:sz w:val="20"/>
        </w:rPr>
      </w:pPr>
      <w:r>
        <w:rPr>
          <w:i/>
          <w:sz w:val="20"/>
        </w:rPr>
        <w:t>To be, or not to</w:t>
      </w:r>
      <w:r>
        <w:rPr>
          <w:i/>
          <w:spacing w:val="25"/>
          <w:sz w:val="20"/>
        </w:rPr>
        <w:t> </w:t>
      </w:r>
      <w:r>
        <w:rPr>
          <w:i/>
          <w:sz w:val="20"/>
        </w:rPr>
        <w:t>be: that is the</w:t>
      </w:r>
      <w:r>
        <w:rPr>
          <w:i/>
          <w:spacing w:val="24"/>
          <w:sz w:val="20"/>
        </w:rPr>
        <w:t> </w:t>
      </w:r>
      <w:r>
        <w:rPr>
          <w:i/>
          <w:sz w:val="20"/>
        </w:rPr>
        <w:t>question: Whether ’tis nobler in</w:t>
      </w:r>
      <w:r>
        <w:rPr>
          <w:i/>
          <w:spacing w:val="40"/>
          <w:sz w:val="20"/>
        </w:rPr>
        <w:t> </w:t>
      </w:r>
      <w:r>
        <w:rPr>
          <w:i/>
          <w:sz w:val="20"/>
        </w:rPr>
        <w:t>the mind to suffer the slings and arrows of outrageous fortune, or to take arms against a sea of troubles, and by opposing end them.</w:t>
      </w:r>
      <w:r>
        <w:rPr>
          <w:i/>
          <w:spacing w:val="80"/>
          <w:sz w:val="20"/>
        </w:rPr>
        <w:t> </w:t>
      </w:r>
      <w:r>
        <w:rPr>
          <w:i/>
          <w:sz w:val="20"/>
        </w:rPr>
        <w:t>- By William</w:t>
      </w:r>
      <w:r>
        <w:rPr>
          <w:i/>
          <w:spacing w:val="40"/>
          <w:sz w:val="20"/>
        </w:rPr>
        <w:t> </w:t>
      </w:r>
      <w:r>
        <w:rPr>
          <w:i/>
          <w:sz w:val="20"/>
        </w:rPr>
        <w:t>Shakespeare</w:t>
      </w:r>
      <w:r>
        <w:rPr>
          <w:i/>
          <w:spacing w:val="40"/>
          <w:sz w:val="20"/>
        </w:rPr>
        <w:t> </w:t>
      </w:r>
      <w:r>
        <w:rPr>
          <w:i/>
          <w:sz w:val="20"/>
        </w:rPr>
        <w:t>(Hamlet)</w:t>
      </w:r>
    </w:p>
    <w:p>
      <w:pPr>
        <w:pStyle w:val="Heading3"/>
        <w:spacing w:before="157"/>
      </w:pPr>
      <w:r>
        <w:rPr>
          <w:spacing w:val="-2"/>
          <w:w w:val="95"/>
        </w:rPr>
        <w:t>INTRODUCTION</w:t>
      </w:r>
    </w:p>
    <w:p>
      <w:pPr>
        <w:pStyle w:val="BodyText"/>
        <w:spacing w:line="249" w:lineRule="auto" w:before="75"/>
        <w:ind w:right="1438" w:firstLine="432"/>
        <w:jc w:val="both"/>
      </w:pPr>
      <w:r>
        <w:rPr/>
        <w:t>Through the dramatic world,</w:t>
      </w:r>
      <w:r>
        <w:rPr>
          <w:spacing w:val="-1"/>
        </w:rPr>
        <w:t> </w:t>
      </w:r>
      <w:r>
        <w:rPr/>
        <w:t>William Shakespeare was shaped by emotional awareness, exploring the delicate nature of human existence, including</w:t>
      </w:r>
      <w:r>
        <w:rPr>
          <w:spacing w:val="-13"/>
        </w:rPr>
        <w:t> </w:t>
      </w:r>
      <w:r>
        <w:rPr/>
        <w:t>betrayal,</w:t>
      </w:r>
      <w:r>
        <w:rPr>
          <w:spacing w:val="-12"/>
        </w:rPr>
        <w:t> </w:t>
      </w:r>
      <w:r>
        <w:rPr/>
        <w:t>loss,</w:t>
      </w:r>
      <w:r>
        <w:rPr>
          <w:spacing w:val="-11"/>
        </w:rPr>
        <w:t> </w:t>
      </w:r>
      <w:r>
        <w:rPr/>
        <w:t>ambition,</w:t>
      </w:r>
      <w:r>
        <w:rPr>
          <w:spacing w:val="-11"/>
        </w:rPr>
        <w:t> </w:t>
      </w:r>
      <w:r>
        <w:rPr/>
        <w:t>jealousy,</w:t>
      </w:r>
      <w:r>
        <w:rPr>
          <w:spacing w:val="-10"/>
        </w:rPr>
        <w:t> </w:t>
      </w:r>
      <w:r>
        <w:rPr/>
        <w:t>and</w:t>
      </w:r>
      <w:r>
        <w:rPr>
          <w:spacing w:val="-13"/>
        </w:rPr>
        <w:t> </w:t>
      </w:r>
      <w:r>
        <w:rPr/>
        <w:t>mortality.</w:t>
      </w:r>
      <w:r>
        <w:rPr>
          <w:spacing w:val="-11"/>
        </w:rPr>
        <w:t> </w:t>
      </w:r>
      <w:r>
        <w:rPr/>
        <w:t>For</w:t>
      </w:r>
      <w:r>
        <w:rPr>
          <w:spacing w:val="-11"/>
        </w:rPr>
        <w:t> </w:t>
      </w:r>
      <w:r>
        <w:rPr/>
        <w:t>centuries, Shakespearean</w:t>
      </w:r>
      <w:r>
        <w:rPr>
          <w:spacing w:val="-13"/>
        </w:rPr>
        <w:t> </w:t>
      </w:r>
      <w:r>
        <w:rPr/>
        <w:t>criticism</w:t>
      </w:r>
      <w:r>
        <w:rPr>
          <w:spacing w:val="-12"/>
        </w:rPr>
        <w:t> </w:t>
      </w:r>
      <w:r>
        <w:rPr/>
        <w:t>has</w:t>
      </w:r>
      <w:r>
        <w:rPr>
          <w:spacing w:val="-13"/>
        </w:rPr>
        <w:t> </w:t>
      </w:r>
      <w:r>
        <w:rPr/>
        <w:t>honoured</w:t>
      </w:r>
      <w:r>
        <w:rPr>
          <w:spacing w:val="-12"/>
        </w:rPr>
        <w:t> </w:t>
      </w:r>
      <w:r>
        <w:rPr/>
        <w:t>male</w:t>
      </w:r>
      <w:r>
        <w:rPr>
          <w:spacing w:val="-13"/>
        </w:rPr>
        <w:t> </w:t>
      </w:r>
      <w:r>
        <w:rPr/>
        <w:t>protagonists</w:t>
      </w:r>
      <w:r>
        <w:rPr>
          <w:spacing w:val="-12"/>
        </w:rPr>
        <w:t> </w:t>
      </w:r>
      <w:r>
        <w:rPr/>
        <w:t>such</w:t>
      </w:r>
      <w:r>
        <w:rPr>
          <w:spacing w:val="-13"/>
        </w:rPr>
        <w:t> </w:t>
      </w:r>
      <w:r>
        <w:rPr/>
        <w:t>as</w:t>
      </w:r>
      <w:r>
        <w:rPr>
          <w:spacing w:val="-12"/>
        </w:rPr>
        <w:t> </w:t>
      </w:r>
      <w:r>
        <w:rPr/>
        <w:t>Hamlet, Othello, Macbeth, and King Lear as the primary</w:t>
      </w:r>
      <w:r>
        <w:rPr>
          <w:spacing w:val="-4"/>
        </w:rPr>
        <w:t> </w:t>
      </w:r>
      <w:r>
        <w:rPr/>
        <w:t>male-centric tragedies. On the contrary, below these heroic narratives, another emotional formation—one articulated through female experience. Shakespeare’s women occupy positions of social limitation within Renaissance patriarchy;</w:t>
      </w:r>
      <w:r>
        <w:rPr>
          <w:spacing w:val="-8"/>
        </w:rPr>
        <w:t> </w:t>
      </w:r>
      <w:r>
        <w:rPr/>
        <w:t>however,</w:t>
      </w:r>
      <w:r>
        <w:rPr>
          <w:spacing w:val="-8"/>
        </w:rPr>
        <w:t> </w:t>
      </w:r>
      <w:r>
        <w:rPr/>
        <w:t>they</w:t>
      </w:r>
      <w:r>
        <w:rPr>
          <w:spacing w:val="-11"/>
        </w:rPr>
        <w:t> </w:t>
      </w:r>
      <w:r>
        <w:rPr/>
        <w:t>simultaneously</w:t>
      </w:r>
      <w:r>
        <w:rPr>
          <w:spacing w:val="-13"/>
        </w:rPr>
        <w:t> </w:t>
      </w:r>
      <w:r>
        <w:rPr/>
        <w:t>emerge</w:t>
      </w:r>
      <w:r>
        <w:rPr>
          <w:spacing w:val="-9"/>
        </w:rPr>
        <w:t> </w:t>
      </w:r>
      <w:r>
        <w:rPr/>
        <w:t>as</w:t>
      </w:r>
      <w:r>
        <w:rPr>
          <w:spacing w:val="-8"/>
        </w:rPr>
        <w:t> </w:t>
      </w:r>
      <w:r>
        <w:rPr/>
        <w:t>powerful</w:t>
      </w:r>
      <w:r>
        <w:rPr>
          <w:spacing w:val="-9"/>
        </w:rPr>
        <w:t> </w:t>
      </w:r>
      <w:r>
        <w:rPr/>
        <w:t>emotional interpreters of tragedy. Their grief reveals moral failures that male characters</w:t>
      </w:r>
      <w:r>
        <w:rPr>
          <w:spacing w:val="-13"/>
        </w:rPr>
        <w:t> </w:t>
      </w:r>
      <w:r>
        <w:rPr/>
        <w:t>either</w:t>
      </w:r>
      <w:r>
        <w:rPr>
          <w:spacing w:val="-12"/>
        </w:rPr>
        <w:t> </w:t>
      </w:r>
      <w:r>
        <w:rPr/>
        <w:t>create</w:t>
      </w:r>
      <w:r>
        <w:rPr>
          <w:spacing w:val="-13"/>
        </w:rPr>
        <w:t> </w:t>
      </w:r>
      <w:r>
        <w:rPr/>
        <w:t>or</w:t>
      </w:r>
      <w:r>
        <w:rPr>
          <w:spacing w:val="-12"/>
        </w:rPr>
        <w:t> </w:t>
      </w:r>
      <w:r>
        <w:rPr/>
        <w:t>fail</w:t>
      </w:r>
      <w:r>
        <w:rPr>
          <w:spacing w:val="-13"/>
        </w:rPr>
        <w:t> </w:t>
      </w:r>
      <w:r>
        <w:rPr/>
        <w:t>to</w:t>
      </w:r>
      <w:r>
        <w:rPr>
          <w:spacing w:val="-12"/>
        </w:rPr>
        <w:t> </w:t>
      </w:r>
      <w:r>
        <w:rPr/>
        <w:t>perceive.</w:t>
      </w:r>
      <w:r>
        <w:rPr>
          <w:spacing w:val="-13"/>
        </w:rPr>
        <w:t> </w:t>
      </w:r>
      <w:r>
        <w:rPr/>
        <w:t>Mourning</w:t>
      </w:r>
      <w:r>
        <w:rPr>
          <w:spacing w:val="-12"/>
        </w:rPr>
        <w:t> </w:t>
      </w:r>
      <w:r>
        <w:rPr/>
        <w:t>becomes</w:t>
      </w:r>
      <w:r>
        <w:rPr>
          <w:spacing w:val="-13"/>
        </w:rPr>
        <w:t> </w:t>
      </w:r>
      <w:r>
        <w:rPr/>
        <w:t>a</w:t>
      </w:r>
      <w:r>
        <w:rPr>
          <w:spacing w:val="-12"/>
        </w:rPr>
        <w:t> </w:t>
      </w:r>
      <w:r>
        <w:rPr/>
        <w:t>dramatic language through which suppressed truths surface. Female grief in his works</w:t>
      </w:r>
      <w:r>
        <w:rPr>
          <w:spacing w:val="-13"/>
        </w:rPr>
        <w:t> </w:t>
      </w:r>
      <w:r>
        <w:rPr/>
        <w:t>becomes</w:t>
      </w:r>
      <w:r>
        <w:rPr>
          <w:spacing w:val="-12"/>
        </w:rPr>
        <w:t> </w:t>
      </w:r>
      <w:r>
        <w:rPr/>
        <w:t>transformative</w:t>
      </w:r>
      <w:r>
        <w:rPr>
          <w:spacing w:val="-13"/>
        </w:rPr>
        <w:t> </w:t>
      </w:r>
      <w:r>
        <w:rPr/>
        <w:t>rather</w:t>
      </w:r>
      <w:r>
        <w:rPr>
          <w:spacing w:val="-12"/>
        </w:rPr>
        <w:t> </w:t>
      </w:r>
      <w:r>
        <w:rPr/>
        <w:t>than</w:t>
      </w:r>
      <w:r>
        <w:rPr>
          <w:spacing w:val="-13"/>
        </w:rPr>
        <w:t> </w:t>
      </w:r>
      <w:r>
        <w:rPr/>
        <w:t>merely</w:t>
      </w:r>
      <w:r>
        <w:rPr>
          <w:spacing w:val="-12"/>
        </w:rPr>
        <w:t> </w:t>
      </w:r>
      <w:r>
        <w:rPr/>
        <w:t>sentimental.</w:t>
      </w:r>
      <w:r>
        <w:rPr>
          <w:spacing w:val="-13"/>
        </w:rPr>
        <w:t> </w:t>
      </w:r>
      <w:r>
        <w:rPr/>
        <w:t>It</w:t>
      </w:r>
      <w:r>
        <w:rPr>
          <w:spacing w:val="-12"/>
        </w:rPr>
        <w:t> </w:t>
      </w:r>
      <w:r>
        <w:rPr/>
        <w:t>exposes corruption, challenges injustice, and articulates moral knowledge.</w:t>
      </w:r>
    </w:p>
    <w:p>
      <w:pPr>
        <w:pStyle w:val="BodyText"/>
        <w:spacing w:line="249" w:lineRule="auto" w:before="69"/>
        <w:ind w:right="1437" w:firstLine="432"/>
        <w:jc w:val="both"/>
      </w:pPr>
      <w:r>
        <w:rPr/>
        <w:t>This study explores the depiction of grief and mourning in </w:t>
      </w:r>
      <w:r>
        <w:rPr>
          <w:spacing w:val="-4"/>
        </w:rPr>
        <w:t>Shakespeare’s female</w:t>
      </w:r>
      <w:r>
        <w:rPr>
          <w:spacing w:val="-6"/>
        </w:rPr>
        <w:t> </w:t>
      </w:r>
      <w:r>
        <w:rPr>
          <w:spacing w:val="-4"/>
        </w:rPr>
        <w:t>characters</w:t>
      </w:r>
      <w:r>
        <w:rPr>
          <w:spacing w:val="-6"/>
        </w:rPr>
        <w:t> </w:t>
      </w:r>
      <w:r>
        <w:rPr>
          <w:spacing w:val="-4"/>
        </w:rPr>
        <w:t>with special reference to Hamlet, Othello, </w:t>
      </w:r>
      <w:r>
        <w:rPr/>
        <w:t>and The Rape of Lucrece. Through these textual feminist and psychoanalytic approaches, this paper surveys how characters such as Ophelia, Queen Gertrude, Desdemona, Emilia, and Lucrece eloquent grief within social limitations. Though Shakespeare presents female mourning</w:t>
      </w:r>
      <w:r>
        <w:rPr>
          <w:spacing w:val="-4"/>
        </w:rPr>
        <w:t> </w:t>
      </w:r>
      <w:r>
        <w:rPr/>
        <w:t>not</w:t>
      </w:r>
      <w:r>
        <w:rPr>
          <w:spacing w:val="-4"/>
        </w:rPr>
        <w:t> </w:t>
      </w:r>
      <w:r>
        <w:rPr/>
        <w:t>as</w:t>
      </w:r>
      <w:r>
        <w:rPr>
          <w:spacing w:val="-4"/>
        </w:rPr>
        <w:t> </w:t>
      </w:r>
      <w:r>
        <w:rPr/>
        <w:t>passive</w:t>
      </w:r>
      <w:r>
        <w:rPr>
          <w:spacing w:val="-2"/>
        </w:rPr>
        <w:t> </w:t>
      </w:r>
      <w:r>
        <w:rPr/>
        <w:t>emotional</w:t>
      </w:r>
      <w:r>
        <w:rPr>
          <w:spacing w:val="-4"/>
        </w:rPr>
        <w:t> </w:t>
      </w:r>
      <w:r>
        <w:rPr/>
        <w:t>weakness</w:t>
      </w:r>
      <w:r>
        <w:rPr>
          <w:spacing w:val="-2"/>
        </w:rPr>
        <w:t> </w:t>
      </w:r>
      <w:r>
        <w:rPr/>
        <w:t>but</w:t>
      </w:r>
      <w:r>
        <w:rPr>
          <w:spacing w:val="-3"/>
        </w:rPr>
        <w:t> </w:t>
      </w:r>
      <w:r>
        <w:rPr/>
        <w:t>as</w:t>
      </w:r>
      <w:r>
        <w:rPr>
          <w:spacing w:val="-4"/>
        </w:rPr>
        <w:t> </w:t>
      </w:r>
      <w:r>
        <w:rPr/>
        <w:t>a</w:t>
      </w:r>
      <w:r>
        <w:rPr>
          <w:spacing w:val="-5"/>
        </w:rPr>
        <w:t> </w:t>
      </w:r>
      <w:r>
        <w:rPr/>
        <w:t>complex</w:t>
      </w:r>
      <w:r>
        <w:rPr>
          <w:spacing w:val="-4"/>
        </w:rPr>
        <w:t> </w:t>
      </w:r>
      <w:r>
        <w:rPr/>
        <w:t>response to</w:t>
      </w:r>
      <w:r>
        <w:rPr>
          <w:spacing w:val="40"/>
        </w:rPr>
        <w:t> </w:t>
      </w:r>
      <w:r>
        <w:rPr/>
        <w:t>betrayal,</w:t>
      </w:r>
      <w:r>
        <w:rPr>
          <w:spacing w:val="40"/>
        </w:rPr>
        <w:t> </w:t>
      </w:r>
      <w:r>
        <w:rPr/>
        <w:t>violence,</w:t>
      </w:r>
      <w:r>
        <w:rPr>
          <w:spacing w:val="40"/>
        </w:rPr>
        <w:t> </w:t>
      </w:r>
      <w:r>
        <w:rPr/>
        <w:t>moral</w:t>
      </w:r>
      <w:r>
        <w:rPr>
          <w:spacing w:val="40"/>
        </w:rPr>
        <w:t> </w:t>
      </w:r>
      <w:r>
        <w:rPr/>
        <w:t>injustice,</w:t>
      </w:r>
      <w:r>
        <w:rPr>
          <w:spacing w:val="40"/>
        </w:rPr>
        <w:t> </w:t>
      </w:r>
      <w:r>
        <w:rPr/>
        <w:t>and</w:t>
      </w:r>
      <w:r>
        <w:rPr>
          <w:spacing w:val="40"/>
        </w:rPr>
        <w:t> </w:t>
      </w:r>
      <w:r>
        <w:rPr/>
        <w:t>social</w:t>
      </w:r>
      <w:r>
        <w:rPr>
          <w:spacing w:val="40"/>
        </w:rPr>
        <w:t> </w:t>
      </w:r>
      <w:r>
        <w:rPr/>
        <w:t>oppression</w:t>
      </w:r>
    </w:p>
    <w:p>
      <w:pPr>
        <w:pStyle w:val="BodyText"/>
        <w:spacing w:line="249" w:lineRule="auto" w:before="64"/>
        <w:ind w:right="1439" w:firstLine="432"/>
        <w:jc w:val="both"/>
      </w:pPr>
      <w:r>
        <w:rPr/>
        <w:t>This study examines how Shakespeare constructs grief through female characters in </w:t>
      </w:r>
      <w:r>
        <w:rPr>
          <w:i/>
        </w:rPr>
        <w:t>Hamlet</w:t>
      </w:r>
      <w:r>
        <w:rPr/>
        <w:t>, </w:t>
      </w:r>
      <w:r>
        <w:rPr>
          <w:i/>
        </w:rPr>
        <w:t>Othello</w:t>
      </w:r>
      <w:r>
        <w:rPr/>
        <w:t>, and </w:t>
      </w:r>
      <w:r>
        <w:rPr>
          <w:i/>
        </w:rPr>
        <w:t>The Rape of Lucrece</w:t>
      </w:r>
      <w:r>
        <w:rPr/>
        <w:t>. These texts</w:t>
      </w:r>
      <w:r>
        <w:rPr>
          <w:spacing w:val="-6"/>
        </w:rPr>
        <w:t> </w:t>
      </w:r>
      <w:r>
        <w:rPr/>
        <w:t>collectively</w:t>
      </w:r>
      <w:r>
        <w:rPr>
          <w:spacing w:val="-10"/>
        </w:rPr>
        <w:t> </w:t>
      </w:r>
      <w:r>
        <w:rPr/>
        <w:t>present</w:t>
      </w:r>
      <w:r>
        <w:rPr>
          <w:spacing w:val="-6"/>
        </w:rPr>
        <w:t> </w:t>
      </w:r>
      <w:r>
        <w:rPr/>
        <w:t>diverse</w:t>
      </w:r>
      <w:r>
        <w:rPr>
          <w:spacing w:val="-7"/>
        </w:rPr>
        <w:t> </w:t>
      </w:r>
      <w:r>
        <w:rPr/>
        <w:t>representations</w:t>
      </w:r>
      <w:r>
        <w:rPr>
          <w:spacing w:val="-6"/>
        </w:rPr>
        <w:t> </w:t>
      </w:r>
      <w:r>
        <w:rPr/>
        <w:t>of</w:t>
      </w:r>
      <w:r>
        <w:rPr>
          <w:spacing w:val="-8"/>
        </w:rPr>
        <w:t> </w:t>
      </w:r>
      <w:r>
        <w:rPr/>
        <w:t>mourning:</w:t>
      </w:r>
      <w:r>
        <w:rPr>
          <w:spacing w:val="-5"/>
        </w:rPr>
        <w:t> </w:t>
      </w:r>
      <w:r>
        <w:rPr/>
        <w:t>madness, silence, sacrifice, resistance, and ethical protest. Through close textual analysis, this paper determines that Shakespearean tragedy cannot be </w:t>
      </w:r>
      <w:r>
        <w:rPr>
          <w:spacing w:val="-2"/>
        </w:rPr>
        <w:t>fully</w:t>
      </w:r>
      <w:r>
        <w:rPr>
          <w:spacing w:val="-9"/>
        </w:rPr>
        <w:t> </w:t>
      </w:r>
      <w:r>
        <w:rPr>
          <w:spacing w:val="-2"/>
        </w:rPr>
        <w:t>understood</w:t>
      </w:r>
      <w:r>
        <w:rPr>
          <w:spacing w:val="-3"/>
        </w:rPr>
        <w:t> </w:t>
      </w:r>
      <w:r>
        <w:rPr>
          <w:spacing w:val="-2"/>
        </w:rPr>
        <w:t>without</w:t>
      </w:r>
      <w:r>
        <w:rPr>
          <w:spacing w:val="-4"/>
        </w:rPr>
        <w:t> </w:t>
      </w:r>
      <w:r>
        <w:rPr>
          <w:spacing w:val="-2"/>
        </w:rPr>
        <w:t>recognizing</w:t>
      </w:r>
      <w:r>
        <w:rPr>
          <w:spacing w:val="-5"/>
        </w:rPr>
        <w:t> </w:t>
      </w:r>
      <w:r>
        <w:rPr>
          <w:spacing w:val="-2"/>
        </w:rPr>
        <w:t>the</w:t>
      </w:r>
      <w:r>
        <w:rPr>
          <w:spacing w:val="-5"/>
        </w:rPr>
        <w:t> </w:t>
      </w:r>
      <w:r>
        <w:rPr>
          <w:spacing w:val="-2"/>
        </w:rPr>
        <w:t>central</w:t>
      </w:r>
      <w:r>
        <w:rPr>
          <w:spacing w:val="-5"/>
        </w:rPr>
        <w:t> </w:t>
      </w:r>
      <w:r>
        <w:rPr>
          <w:spacing w:val="-2"/>
        </w:rPr>
        <w:t>role</w:t>
      </w:r>
      <w:r>
        <w:rPr>
          <w:spacing w:val="-4"/>
        </w:rPr>
        <w:t> </w:t>
      </w:r>
      <w:r>
        <w:rPr>
          <w:spacing w:val="-2"/>
        </w:rPr>
        <w:t>of</w:t>
      </w:r>
      <w:r>
        <w:rPr>
          <w:spacing w:val="-6"/>
        </w:rPr>
        <w:t> </w:t>
      </w:r>
      <w:r>
        <w:rPr>
          <w:spacing w:val="-2"/>
        </w:rPr>
        <w:t>female</w:t>
      </w:r>
      <w:r>
        <w:rPr>
          <w:spacing w:val="-6"/>
        </w:rPr>
        <w:t> </w:t>
      </w:r>
      <w:r>
        <w:rPr>
          <w:spacing w:val="-2"/>
        </w:rPr>
        <w:t>emotional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3" w:val="left" w:leader="none"/>
        </w:tabs>
        <w:spacing w:before="0"/>
        <w:ind w:left="0" w:right="0"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34624">
                <wp:simplePos x="0" y="0"/>
                <wp:positionH relativeFrom="page">
                  <wp:posOffset>2065020</wp:posOffset>
                </wp:positionH>
                <wp:positionV relativeFrom="paragraph">
                  <wp:posOffset>162604</wp:posOffset>
                </wp:positionV>
                <wp:extent cx="3657600" cy="12700"/>
                <wp:effectExtent l="0" t="0" r="0" b="0"/>
                <wp:wrapTopAndBottom/>
                <wp:docPr id="674" name="Graphic 674"/>
                <wp:cNvGraphicFramePr>
                  <a:graphicFrameLocks/>
                </wp:cNvGraphicFramePr>
                <a:graphic>
                  <a:graphicData uri="http://schemas.microsoft.com/office/word/2010/wordprocessingShape">
                    <wps:wsp>
                      <wps:cNvPr id="674" name="Graphic 67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81856;mso-wrap-distance-left:0;mso-wrap-distance-right:0" id="docshape666" filled="true" fillcolor="#000000" stroked="false">
                <v:fill type="solid"/>
                <w10:wrap type="topAndBottom"/>
              </v:rect>
            </w:pict>
          </mc:Fallback>
        </mc:AlternateContent>
      </w:r>
      <w:r>
        <w:rPr>
          <w:rFonts w:ascii="Verdana" w:hAnsi="Verdana"/>
          <w:sz w:val="18"/>
        </w:rPr>
        <w:t>Grief</w:t>
      </w:r>
      <w:r>
        <w:rPr>
          <w:rFonts w:ascii="Verdana" w:hAnsi="Verdana"/>
          <w:spacing w:val="-12"/>
          <w:sz w:val="18"/>
        </w:rPr>
        <w:t> </w:t>
      </w:r>
      <w:r>
        <w:rPr>
          <w:rFonts w:ascii="Verdana" w:hAnsi="Verdana"/>
          <w:sz w:val="18"/>
        </w:rPr>
        <w:t>and</w:t>
      </w:r>
      <w:r>
        <w:rPr>
          <w:rFonts w:ascii="Verdana" w:hAnsi="Verdana"/>
          <w:spacing w:val="-12"/>
          <w:sz w:val="18"/>
        </w:rPr>
        <w:t> </w:t>
      </w:r>
      <w:r>
        <w:rPr>
          <w:rFonts w:ascii="Verdana" w:hAnsi="Verdana"/>
          <w:sz w:val="18"/>
        </w:rPr>
        <w:t>Mourning</w:t>
      </w:r>
      <w:r>
        <w:rPr>
          <w:rFonts w:ascii="Verdana" w:hAnsi="Verdana"/>
          <w:spacing w:val="-14"/>
          <w:sz w:val="18"/>
        </w:rPr>
        <w:t> </w:t>
      </w:r>
      <w:r>
        <w:rPr>
          <w:rFonts w:ascii="Verdana" w:hAnsi="Verdana"/>
          <w:sz w:val="18"/>
        </w:rPr>
        <w:t>in</w:t>
      </w:r>
      <w:r>
        <w:rPr>
          <w:rFonts w:ascii="Verdana" w:hAnsi="Verdana"/>
          <w:spacing w:val="-10"/>
          <w:sz w:val="18"/>
        </w:rPr>
        <w:t> </w:t>
      </w:r>
      <w:r>
        <w:rPr>
          <w:rFonts w:ascii="Verdana" w:hAnsi="Verdana"/>
          <w:sz w:val="18"/>
        </w:rPr>
        <w:t>Shakespeare’s</w:t>
      </w:r>
      <w:r>
        <w:rPr>
          <w:rFonts w:ascii="Verdana" w:hAnsi="Verdana"/>
          <w:spacing w:val="-14"/>
          <w:sz w:val="18"/>
        </w:rPr>
        <w:t> </w:t>
      </w:r>
      <w:r>
        <w:rPr>
          <w:rFonts w:ascii="Verdana" w:hAnsi="Verdana"/>
          <w:sz w:val="18"/>
        </w:rPr>
        <w:t>Female</w:t>
      </w:r>
      <w:r>
        <w:rPr>
          <w:rFonts w:ascii="Verdana" w:hAnsi="Verdana"/>
          <w:spacing w:val="-10"/>
          <w:sz w:val="18"/>
        </w:rPr>
        <w:t> </w:t>
      </w:r>
      <w:r>
        <w:rPr>
          <w:rFonts w:ascii="Verdana" w:hAnsi="Verdana"/>
          <w:spacing w:val="-2"/>
          <w:sz w:val="18"/>
        </w:rPr>
        <w:t>Characters...</w:t>
      </w:r>
      <w:r>
        <w:rPr>
          <w:rFonts w:ascii="Verdana" w:hAnsi="Verdana"/>
          <w:sz w:val="18"/>
        </w:rPr>
        <w:tab/>
      </w:r>
      <w:r>
        <w:rPr>
          <w:rFonts w:ascii="Verdana" w:hAnsi="Verdana"/>
          <w:spacing w:val="-5"/>
          <w:sz w:val="18"/>
        </w:rPr>
        <w:t>329</w:t>
      </w:r>
    </w:p>
    <w:p>
      <w:pPr>
        <w:pStyle w:val="BodyText"/>
        <w:spacing w:line="249" w:lineRule="auto" w:before="192"/>
        <w:ind w:right="1438"/>
        <w:jc w:val="both"/>
      </w:pPr>
      <w:r>
        <w:rPr/>
        <w:t>experience. This study explores the depiction of grief and mourning in </w:t>
      </w:r>
      <w:r>
        <w:rPr>
          <w:spacing w:val="-4"/>
        </w:rPr>
        <w:t>Shakespeare’s female characters</w:t>
      </w:r>
      <w:r>
        <w:rPr>
          <w:spacing w:val="-5"/>
        </w:rPr>
        <w:t> </w:t>
      </w:r>
      <w:r>
        <w:rPr>
          <w:spacing w:val="-4"/>
        </w:rPr>
        <w:t>with</w:t>
      </w:r>
      <w:r>
        <w:rPr>
          <w:spacing w:val="-5"/>
        </w:rPr>
        <w:t> </w:t>
      </w:r>
      <w:r>
        <w:rPr>
          <w:spacing w:val="-4"/>
        </w:rPr>
        <w:t>special reference to</w:t>
      </w:r>
      <w:r>
        <w:rPr/>
        <w:t> </w:t>
      </w:r>
      <w:r>
        <w:rPr>
          <w:i/>
          <w:spacing w:val="-4"/>
        </w:rPr>
        <w:t>Hamlet</w:t>
      </w:r>
      <w:r>
        <w:rPr>
          <w:spacing w:val="-4"/>
        </w:rPr>
        <w:t>, </w:t>
      </w:r>
      <w:r>
        <w:rPr>
          <w:i/>
          <w:spacing w:val="-4"/>
        </w:rPr>
        <w:t>Othello</w:t>
      </w:r>
      <w:r>
        <w:rPr>
          <w:spacing w:val="-4"/>
        </w:rPr>
        <w:t>, </w:t>
      </w:r>
      <w:r>
        <w:rPr/>
        <w:t>and</w:t>
      </w:r>
      <w:r>
        <w:rPr>
          <w:spacing w:val="40"/>
        </w:rPr>
        <w:t> </w:t>
      </w:r>
      <w:r>
        <w:rPr>
          <w:i/>
        </w:rPr>
        <w:t>The Rape</w:t>
      </w:r>
      <w:r>
        <w:rPr>
          <w:i/>
          <w:spacing w:val="40"/>
        </w:rPr>
        <w:t> </w:t>
      </w:r>
      <w:r>
        <w:rPr>
          <w:i/>
        </w:rPr>
        <w:t>of</w:t>
      </w:r>
      <w:r>
        <w:rPr>
          <w:i/>
          <w:spacing w:val="40"/>
        </w:rPr>
        <w:t> </w:t>
      </w:r>
      <w:r>
        <w:rPr>
          <w:i/>
        </w:rPr>
        <w:t>Lucrece</w:t>
      </w:r>
      <w:r>
        <w:rPr/>
        <w:t>.</w:t>
      </w:r>
    </w:p>
    <w:p>
      <w:pPr>
        <w:pStyle w:val="BodyText"/>
        <w:spacing w:line="264" w:lineRule="auto" w:before="67"/>
        <w:ind w:right="1436" w:firstLine="432"/>
        <w:jc w:val="both"/>
      </w:pPr>
      <w:r>
        <w:rPr/>
        <w:t>Through these textual feminist and psychoanalytic approaches, this paper surveys how characters such as Ophelia, Queen Gertrude, </w:t>
      </w:r>
      <w:r>
        <w:rPr>
          <w:spacing w:val="-2"/>
        </w:rPr>
        <w:t>Desdemona, Emilia, and Lucrece</w:t>
      </w:r>
      <w:r>
        <w:rPr>
          <w:spacing w:val="-4"/>
        </w:rPr>
        <w:t> </w:t>
      </w:r>
      <w:r>
        <w:rPr>
          <w:spacing w:val="-2"/>
        </w:rPr>
        <w:t>eloquent grief within</w:t>
      </w:r>
      <w:r>
        <w:rPr>
          <w:spacing w:val="-5"/>
        </w:rPr>
        <w:t> </w:t>
      </w:r>
      <w:r>
        <w:rPr>
          <w:spacing w:val="-2"/>
        </w:rPr>
        <w:t>social limitations. </w:t>
      </w:r>
      <w:r>
        <w:rPr/>
        <w:t>Though</w:t>
      </w:r>
      <w:r>
        <w:rPr>
          <w:spacing w:val="-13"/>
        </w:rPr>
        <w:t> </w:t>
      </w:r>
      <w:r>
        <w:rPr/>
        <w:t>Shakespeare</w:t>
      </w:r>
      <w:r>
        <w:rPr>
          <w:spacing w:val="-10"/>
        </w:rPr>
        <w:t> </w:t>
      </w:r>
      <w:r>
        <w:rPr/>
        <w:t>presents</w:t>
      </w:r>
      <w:r>
        <w:rPr>
          <w:spacing w:val="-11"/>
        </w:rPr>
        <w:t> </w:t>
      </w:r>
      <w:r>
        <w:rPr/>
        <w:t>female</w:t>
      </w:r>
      <w:r>
        <w:rPr>
          <w:spacing w:val="-11"/>
        </w:rPr>
        <w:t> </w:t>
      </w:r>
      <w:r>
        <w:rPr/>
        <w:t>mourning</w:t>
      </w:r>
      <w:r>
        <w:rPr>
          <w:spacing w:val="-11"/>
        </w:rPr>
        <w:t> </w:t>
      </w:r>
      <w:r>
        <w:rPr/>
        <w:t>not</w:t>
      </w:r>
      <w:r>
        <w:rPr>
          <w:spacing w:val="-12"/>
        </w:rPr>
        <w:t> </w:t>
      </w:r>
      <w:r>
        <w:rPr/>
        <w:t>as</w:t>
      </w:r>
      <w:r>
        <w:rPr>
          <w:spacing w:val="-11"/>
        </w:rPr>
        <w:t> </w:t>
      </w:r>
      <w:r>
        <w:rPr/>
        <w:t>passive</w:t>
      </w:r>
      <w:r>
        <w:rPr>
          <w:spacing w:val="-10"/>
        </w:rPr>
        <w:t> </w:t>
      </w:r>
      <w:r>
        <w:rPr/>
        <w:t>emotional </w:t>
      </w:r>
      <w:r>
        <w:rPr>
          <w:spacing w:val="-2"/>
        </w:rPr>
        <w:t>weakness</w:t>
      </w:r>
      <w:r>
        <w:rPr>
          <w:spacing w:val="-8"/>
        </w:rPr>
        <w:t> </w:t>
      </w:r>
      <w:r>
        <w:rPr>
          <w:spacing w:val="-2"/>
        </w:rPr>
        <w:t>but</w:t>
      </w:r>
      <w:r>
        <w:rPr>
          <w:spacing w:val="-8"/>
        </w:rPr>
        <w:t> </w:t>
      </w:r>
      <w:r>
        <w:rPr>
          <w:spacing w:val="-2"/>
        </w:rPr>
        <w:t>as</w:t>
      </w:r>
      <w:r>
        <w:rPr>
          <w:spacing w:val="-10"/>
        </w:rPr>
        <w:t> </w:t>
      </w:r>
      <w:r>
        <w:rPr>
          <w:spacing w:val="-2"/>
        </w:rPr>
        <w:t>a</w:t>
      </w:r>
      <w:r>
        <w:rPr>
          <w:spacing w:val="-8"/>
        </w:rPr>
        <w:t> </w:t>
      </w:r>
      <w:r>
        <w:rPr>
          <w:spacing w:val="-2"/>
        </w:rPr>
        <w:t>complex</w:t>
      </w:r>
      <w:r>
        <w:rPr>
          <w:spacing w:val="-10"/>
        </w:rPr>
        <w:t> </w:t>
      </w:r>
      <w:r>
        <w:rPr>
          <w:spacing w:val="-2"/>
        </w:rPr>
        <w:t>response</w:t>
      </w:r>
      <w:r>
        <w:rPr>
          <w:spacing w:val="-6"/>
        </w:rPr>
        <w:t> </w:t>
      </w:r>
      <w:r>
        <w:rPr>
          <w:spacing w:val="-2"/>
        </w:rPr>
        <w:t>to</w:t>
      </w:r>
      <w:r>
        <w:rPr>
          <w:spacing w:val="-8"/>
        </w:rPr>
        <w:t> </w:t>
      </w:r>
      <w:r>
        <w:rPr>
          <w:spacing w:val="-2"/>
        </w:rPr>
        <w:t>betrayal,</w:t>
      </w:r>
      <w:r>
        <w:rPr>
          <w:spacing w:val="-10"/>
        </w:rPr>
        <w:t> </w:t>
      </w:r>
      <w:r>
        <w:rPr>
          <w:spacing w:val="-2"/>
        </w:rPr>
        <w:t>violence,</w:t>
      </w:r>
      <w:r>
        <w:rPr>
          <w:spacing w:val="-10"/>
        </w:rPr>
        <w:t> </w:t>
      </w:r>
      <w:r>
        <w:rPr>
          <w:spacing w:val="-2"/>
        </w:rPr>
        <w:t>moral</w:t>
      </w:r>
      <w:r>
        <w:rPr>
          <w:spacing w:val="-11"/>
        </w:rPr>
        <w:t> </w:t>
      </w:r>
      <w:r>
        <w:rPr>
          <w:spacing w:val="-2"/>
        </w:rPr>
        <w:t>injustice, </w:t>
      </w:r>
      <w:r>
        <w:rPr/>
        <w:t>and social oppression. The paper concludes that mourning in </w:t>
      </w:r>
      <w:r>
        <w:rPr>
          <w:spacing w:val="-2"/>
        </w:rPr>
        <w:t>Shakespeare’s</w:t>
      </w:r>
      <w:r>
        <w:rPr>
          <w:spacing w:val="-5"/>
        </w:rPr>
        <w:t> </w:t>
      </w:r>
      <w:r>
        <w:rPr>
          <w:spacing w:val="-2"/>
        </w:rPr>
        <w:t>female</w:t>
      </w:r>
      <w:r>
        <w:rPr>
          <w:spacing w:val="-3"/>
        </w:rPr>
        <w:t> </w:t>
      </w:r>
      <w:r>
        <w:rPr>
          <w:spacing w:val="-2"/>
        </w:rPr>
        <w:t>characters</w:t>
      </w:r>
      <w:r>
        <w:rPr>
          <w:spacing w:val="-8"/>
        </w:rPr>
        <w:t> </w:t>
      </w:r>
      <w:r>
        <w:rPr>
          <w:spacing w:val="-2"/>
        </w:rPr>
        <w:t>represents</w:t>
      </w:r>
      <w:r>
        <w:rPr>
          <w:spacing w:val="-5"/>
        </w:rPr>
        <w:t> </w:t>
      </w:r>
      <w:r>
        <w:rPr>
          <w:spacing w:val="-2"/>
        </w:rPr>
        <w:t>psychological</w:t>
      </w:r>
      <w:r>
        <w:rPr>
          <w:spacing w:val="-5"/>
        </w:rPr>
        <w:t> </w:t>
      </w:r>
      <w:r>
        <w:rPr>
          <w:spacing w:val="-2"/>
        </w:rPr>
        <w:t>struggle,</w:t>
      </w:r>
      <w:r>
        <w:rPr>
          <w:spacing w:val="-3"/>
        </w:rPr>
        <w:t> </w:t>
      </w:r>
      <w:r>
        <w:rPr>
          <w:spacing w:val="-2"/>
        </w:rPr>
        <w:t>moral </w:t>
      </w:r>
      <w:r>
        <w:rPr/>
        <w:t>consciousness, and cultural critique, anticipating modern discussions</w:t>
      </w:r>
      <w:r>
        <w:rPr>
          <w:spacing w:val="80"/>
        </w:rPr>
        <w:t> </w:t>
      </w:r>
      <w:r>
        <w:rPr/>
        <w:t>of gender, trauma,</w:t>
      </w:r>
      <w:r>
        <w:rPr>
          <w:spacing w:val="40"/>
        </w:rPr>
        <w:t> </w:t>
      </w:r>
      <w:r>
        <w:rPr/>
        <w:t>and emotional agency.</w:t>
      </w:r>
    </w:p>
    <w:p>
      <w:pPr>
        <w:pStyle w:val="BodyText"/>
        <w:spacing w:line="264" w:lineRule="auto" w:before="49"/>
        <w:ind w:right="1435" w:firstLine="432"/>
        <w:jc w:val="both"/>
      </w:pPr>
      <w:r>
        <w:rPr>
          <w:i/>
        </w:rPr>
        <w:t>Othello </w:t>
      </w:r>
      <w:r>
        <w:rPr/>
        <w:t>is one of the greatest tragedies written by William Shakespeare. The play tells the story of the marriage between Othello,</w:t>
      </w:r>
      <w:r>
        <w:rPr>
          <w:spacing w:val="80"/>
        </w:rPr>
        <w:t> </w:t>
      </w:r>
      <w:r>
        <w:rPr/>
        <w:t>a brave Moorish general, and Desdemona, a beautiful young woman. Although their marriage begins with love and trust, jealousy gradually develops in Othello’s mind. This jealousy is carefully created and intensified by the cunning villain Iago.</w:t>
      </w:r>
      <w:r>
        <w:rPr>
          <w:spacing w:val="-6"/>
        </w:rPr>
        <w:t> </w:t>
      </w:r>
      <w:r>
        <w:rPr/>
        <w:t>As Iago manipulates events and spreads false suspicions, Othello’s jealousy grows so powerful that he murders his innocent wife. When the truth is finally revealed, Othello realizes his tragic mistake and takes his own life. According to A. C. Bradley, </w:t>
      </w:r>
      <w:r>
        <w:rPr>
          <w:i/>
        </w:rPr>
        <w:t>Othello </w:t>
      </w:r>
      <w:r>
        <w:rPr/>
        <w:t>is one of Shakespeare’s most painfully moving and deeply</w:t>
      </w:r>
      <w:r>
        <w:rPr>
          <w:spacing w:val="40"/>
        </w:rPr>
        <w:t> </w:t>
      </w:r>
      <w:r>
        <w:rPr/>
        <w:t>tragic</w:t>
      </w:r>
      <w:r>
        <w:rPr>
          <w:spacing w:val="40"/>
        </w:rPr>
        <w:t> </w:t>
      </w:r>
      <w:r>
        <w:rPr/>
        <w:t>plays.</w:t>
      </w:r>
    </w:p>
    <w:p>
      <w:pPr>
        <w:pStyle w:val="BodyText"/>
        <w:spacing w:line="264" w:lineRule="auto" w:before="49"/>
        <w:ind w:right="1438" w:firstLine="432"/>
        <w:jc w:val="both"/>
      </w:pPr>
      <w:r>
        <w:rPr/>
        <w:t>The</w:t>
      </w:r>
      <w:r>
        <w:rPr>
          <w:spacing w:val="-13"/>
        </w:rPr>
        <w:t> </w:t>
      </w:r>
      <w:r>
        <w:rPr/>
        <w:t>drama</w:t>
      </w:r>
      <w:r>
        <w:rPr>
          <w:spacing w:val="-12"/>
        </w:rPr>
        <w:t> </w:t>
      </w:r>
      <w:r>
        <w:rPr/>
        <w:t>mainly</w:t>
      </w:r>
      <w:r>
        <w:rPr>
          <w:spacing w:val="-13"/>
        </w:rPr>
        <w:t> </w:t>
      </w:r>
      <w:r>
        <w:rPr/>
        <w:t>explores</w:t>
      </w:r>
      <w:r>
        <w:rPr>
          <w:spacing w:val="-12"/>
        </w:rPr>
        <w:t> </w:t>
      </w:r>
      <w:r>
        <w:rPr/>
        <w:t>two</w:t>
      </w:r>
      <w:r>
        <w:rPr>
          <w:spacing w:val="-13"/>
        </w:rPr>
        <w:t> </w:t>
      </w:r>
      <w:r>
        <w:rPr/>
        <w:t>central</w:t>
      </w:r>
      <w:r>
        <w:rPr>
          <w:spacing w:val="-12"/>
        </w:rPr>
        <w:t> </w:t>
      </w:r>
      <w:r>
        <w:rPr/>
        <w:t>themes:</w:t>
      </w:r>
      <w:r>
        <w:rPr>
          <w:spacing w:val="-13"/>
        </w:rPr>
        <w:t> </w:t>
      </w:r>
      <w:r>
        <w:rPr/>
        <w:t>sexual</w:t>
      </w:r>
      <w:r>
        <w:rPr>
          <w:spacing w:val="-12"/>
        </w:rPr>
        <w:t> </w:t>
      </w:r>
      <w:r>
        <w:rPr/>
        <w:t>jealousy</w:t>
      </w:r>
      <w:r>
        <w:rPr>
          <w:spacing w:val="-13"/>
        </w:rPr>
        <w:t> </w:t>
      </w:r>
      <w:r>
        <w:rPr/>
        <w:t>and intrigue.</w:t>
      </w:r>
      <w:r>
        <w:rPr>
          <w:spacing w:val="-2"/>
        </w:rPr>
        <w:t> </w:t>
      </w:r>
      <w:r>
        <w:rPr/>
        <w:t>In</w:t>
      </w:r>
      <w:r>
        <w:rPr>
          <w:spacing w:val="-7"/>
        </w:rPr>
        <w:t> </w:t>
      </w:r>
      <w:r>
        <w:rPr/>
        <w:t>this</w:t>
      </w:r>
      <w:r>
        <w:rPr>
          <w:spacing w:val="-4"/>
        </w:rPr>
        <w:t> </w:t>
      </w:r>
      <w:r>
        <w:rPr/>
        <w:t>context, E.</w:t>
      </w:r>
      <w:r>
        <w:rPr>
          <w:spacing w:val="-2"/>
        </w:rPr>
        <w:t> </w:t>
      </w:r>
      <w:r>
        <w:rPr/>
        <w:t>K.</w:t>
      </w:r>
      <w:r>
        <w:rPr>
          <w:spacing w:val="-4"/>
        </w:rPr>
        <w:t> </w:t>
      </w:r>
      <w:r>
        <w:rPr/>
        <w:t>Chambers</w:t>
      </w:r>
      <w:r>
        <w:rPr>
          <w:spacing w:val="-5"/>
        </w:rPr>
        <w:t> </w:t>
      </w:r>
      <w:r>
        <w:rPr/>
        <w:t>describes</w:t>
      </w:r>
      <w:r>
        <w:rPr>
          <w:spacing w:val="-2"/>
        </w:rPr>
        <w:t> </w:t>
      </w:r>
      <w:r>
        <w:rPr>
          <w:i/>
        </w:rPr>
        <w:t>Othello</w:t>
      </w:r>
      <w:r>
        <w:rPr>
          <w:i/>
          <w:spacing w:val="-3"/>
        </w:rPr>
        <w:t> </w:t>
      </w:r>
      <w:r>
        <w:rPr/>
        <w:t>as</w:t>
      </w:r>
      <w:r>
        <w:rPr>
          <w:spacing w:val="-4"/>
        </w:rPr>
        <w:t> </w:t>
      </w:r>
      <w:r>
        <w:rPr/>
        <w:t>one</w:t>
      </w:r>
      <w:r>
        <w:rPr>
          <w:spacing w:val="-4"/>
        </w:rPr>
        <w:t> </w:t>
      </w:r>
      <w:r>
        <w:rPr/>
        <w:t>of</w:t>
      </w:r>
      <w:r>
        <w:rPr>
          <w:spacing w:val="-2"/>
        </w:rPr>
        <w:t> </w:t>
      </w:r>
      <w:r>
        <w:rPr/>
        <w:t>the most</w:t>
      </w:r>
      <w:r>
        <w:rPr>
          <w:spacing w:val="-10"/>
        </w:rPr>
        <w:t> </w:t>
      </w:r>
      <w:r>
        <w:rPr/>
        <w:t>pathetic</w:t>
      </w:r>
      <w:r>
        <w:rPr>
          <w:spacing w:val="-12"/>
        </w:rPr>
        <w:t> </w:t>
      </w:r>
      <w:r>
        <w:rPr/>
        <w:t>plays</w:t>
      </w:r>
      <w:r>
        <w:rPr>
          <w:spacing w:val="-10"/>
        </w:rPr>
        <w:t> </w:t>
      </w:r>
      <w:r>
        <w:rPr/>
        <w:t>written</w:t>
      </w:r>
      <w:r>
        <w:rPr>
          <w:spacing w:val="-10"/>
        </w:rPr>
        <w:t> </w:t>
      </w:r>
      <w:r>
        <w:rPr/>
        <w:t>by</w:t>
      </w:r>
      <w:r>
        <w:rPr>
          <w:spacing w:val="-12"/>
        </w:rPr>
        <w:t> </w:t>
      </w:r>
      <w:r>
        <w:rPr/>
        <w:t>Shakespeare.</w:t>
      </w:r>
      <w:r>
        <w:rPr>
          <w:spacing w:val="-10"/>
        </w:rPr>
        <w:t> </w:t>
      </w:r>
      <w:r>
        <w:rPr/>
        <w:t>Some</w:t>
      </w:r>
      <w:r>
        <w:rPr>
          <w:spacing w:val="-12"/>
        </w:rPr>
        <w:t> </w:t>
      </w:r>
      <w:r>
        <w:rPr/>
        <w:t>critics</w:t>
      </w:r>
      <w:r>
        <w:rPr>
          <w:spacing w:val="-10"/>
        </w:rPr>
        <w:t> </w:t>
      </w:r>
      <w:r>
        <w:rPr/>
        <w:t>even</w:t>
      </w:r>
      <w:r>
        <w:rPr>
          <w:spacing w:val="-13"/>
        </w:rPr>
        <w:t> </w:t>
      </w:r>
      <w:r>
        <w:rPr/>
        <w:t>argue</w:t>
      </w:r>
      <w:r>
        <w:rPr>
          <w:spacing w:val="-9"/>
        </w:rPr>
        <w:t> </w:t>
      </w:r>
      <w:r>
        <w:rPr/>
        <w:t>that the play appears more pathetic than tragic, which raises an important </w:t>
      </w:r>
      <w:r>
        <w:rPr>
          <w:spacing w:val="-2"/>
        </w:rPr>
        <w:t>question:</w:t>
      </w:r>
      <w:r>
        <w:rPr>
          <w:spacing w:val="-11"/>
        </w:rPr>
        <w:t> </w:t>
      </w:r>
      <w:r>
        <w:rPr>
          <w:spacing w:val="-2"/>
        </w:rPr>
        <w:t>who</w:t>
      </w:r>
      <w:r>
        <w:rPr>
          <w:spacing w:val="-10"/>
        </w:rPr>
        <w:t> </w:t>
      </w:r>
      <w:r>
        <w:rPr>
          <w:spacing w:val="-2"/>
        </w:rPr>
        <w:t>is</w:t>
      </w:r>
      <w:r>
        <w:rPr>
          <w:spacing w:val="-11"/>
        </w:rPr>
        <w:t> </w:t>
      </w:r>
      <w:r>
        <w:rPr>
          <w:spacing w:val="-2"/>
        </w:rPr>
        <w:t>the</w:t>
      </w:r>
      <w:r>
        <w:rPr>
          <w:spacing w:val="-10"/>
        </w:rPr>
        <w:t> </w:t>
      </w:r>
      <w:r>
        <w:rPr>
          <w:spacing w:val="-2"/>
        </w:rPr>
        <w:t>real</w:t>
      </w:r>
      <w:r>
        <w:rPr>
          <w:spacing w:val="-11"/>
        </w:rPr>
        <w:t> </w:t>
      </w:r>
      <w:r>
        <w:rPr>
          <w:spacing w:val="-2"/>
        </w:rPr>
        <w:t>hero</w:t>
      </w:r>
      <w:r>
        <w:rPr>
          <w:spacing w:val="-8"/>
        </w:rPr>
        <w:t> </w:t>
      </w:r>
      <w:r>
        <w:rPr>
          <w:spacing w:val="-2"/>
        </w:rPr>
        <w:t>of</w:t>
      </w:r>
      <w:r>
        <w:rPr>
          <w:spacing w:val="-10"/>
        </w:rPr>
        <w:t> </w:t>
      </w:r>
      <w:r>
        <w:rPr>
          <w:spacing w:val="-2"/>
        </w:rPr>
        <w:t>the</w:t>
      </w:r>
      <w:r>
        <w:rPr>
          <w:spacing w:val="-10"/>
        </w:rPr>
        <w:t> </w:t>
      </w:r>
      <w:r>
        <w:rPr>
          <w:spacing w:val="-2"/>
        </w:rPr>
        <w:t>play—Othello</w:t>
      </w:r>
      <w:r>
        <w:rPr>
          <w:spacing w:val="-11"/>
        </w:rPr>
        <w:t> </w:t>
      </w:r>
      <w:r>
        <w:rPr>
          <w:spacing w:val="-2"/>
        </w:rPr>
        <w:t>or</w:t>
      </w:r>
      <w:r>
        <w:rPr>
          <w:spacing w:val="-10"/>
        </w:rPr>
        <w:t> </w:t>
      </w:r>
      <w:r>
        <w:rPr>
          <w:spacing w:val="-2"/>
        </w:rPr>
        <w:t>Iago?</w:t>
      </w:r>
      <w:r>
        <w:rPr>
          <w:spacing w:val="-11"/>
        </w:rPr>
        <w:t> </w:t>
      </w:r>
      <w:r>
        <w:rPr>
          <w:spacing w:val="-2"/>
        </w:rPr>
        <w:t>While</w:t>
      </w:r>
      <w:r>
        <w:rPr>
          <w:spacing w:val="-10"/>
        </w:rPr>
        <w:t> </w:t>
      </w:r>
      <w:r>
        <w:rPr>
          <w:spacing w:val="-2"/>
        </w:rPr>
        <w:t>Othello </w:t>
      </w:r>
      <w:r>
        <w:rPr/>
        <w:t>is the central figure, Iago dominates the action and influences almost every event, making him appear as the driving force of the tragedy.</w:t>
      </w:r>
    </w:p>
    <w:p>
      <w:pPr>
        <w:pStyle w:val="BodyText"/>
        <w:spacing w:line="249" w:lineRule="auto" w:before="44"/>
        <w:ind w:right="1437" w:firstLine="432"/>
        <w:jc w:val="both"/>
      </w:pPr>
      <w:r>
        <w:rPr/>
        <w:t>Another critical question concerns Othello’s character: is he naturally jealous, or does jealousy arise only because of Iago’s manipulation? Unlike</w:t>
      </w:r>
      <w:r>
        <w:rPr>
          <w:spacing w:val="-1"/>
        </w:rPr>
        <w:t> </w:t>
      </w:r>
      <w:r>
        <w:rPr/>
        <w:t>many</w:t>
      </w:r>
      <w:r>
        <w:rPr>
          <w:spacing w:val="-3"/>
        </w:rPr>
        <w:t> </w:t>
      </w:r>
      <w:r>
        <w:rPr/>
        <w:t>other Shakespearean</w:t>
      </w:r>
      <w:r>
        <w:rPr>
          <w:spacing w:val="-1"/>
        </w:rPr>
        <w:t> </w:t>
      </w:r>
      <w:r>
        <w:rPr/>
        <w:t>tragedies, </w:t>
      </w:r>
      <w:r>
        <w:rPr>
          <w:i/>
        </w:rPr>
        <w:t>Othello </w:t>
      </w:r>
      <w:r>
        <w:rPr/>
        <w:t>has no subplot or secondary storyline. It is essentially a domestic tragedy that focuses on personal relationships rather than political conflict. The </w:t>
      </w:r>
      <w:r>
        <w:rPr>
          <w:spacing w:val="-4"/>
        </w:rPr>
        <w:t>play</w:t>
      </w:r>
      <w:r>
        <w:rPr>
          <w:spacing w:val="-9"/>
        </w:rPr>
        <w:t> </w:t>
      </w:r>
      <w:r>
        <w:rPr>
          <w:spacing w:val="-4"/>
        </w:rPr>
        <w:t>revolves</w:t>
      </w:r>
      <w:r>
        <w:rPr>
          <w:spacing w:val="-6"/>
        </w:rPr>
        <w:t> </w:t>
      </w:r>
      <w:r>
        <w:rPr>
          <w:spacing w:val="-4"/>
        </w:rPr>
        <w:t>mainly around three major</w:t>
      </w:r>
      <w:r>
        <w:rPr>
          <w:spacing w:val="-6"/>
        </w:rPr>
        <w:t> </w:t>
      </w:r>
      <w:r>
        <w:rPr>
          <w:spacing w:val="-4"/>
        </w:rPr>
        <w:t>characters—Othello, Desdemona, </w:t>
      </w:r>
      <w:r>
        <w:rPr/>
        <w:t>and</w:t>
      </w:r>
      <w:r>
        <w:rPr>
          <w:spacing w:val="-9"/>
        </w:rPr>
        <w:t> </w:t>
      </w:r>
      <w:r>
        <w:rPr/>
        <w:t>Iago.</w:t>
      </w:r>
      <w:r>
        <w:rPr>
          <w:spacing w:val="-11"/>
        </w:rPr>
        <w:t> </w:t>
      </w:r>
      <w:r>
        <w:rPr/>
        <w:t>Moreover,</w:t>
      </w:r>
      <w:r>
        <w:rPr>
          <w:spacing w:val="-9"/>
        </w:rPr>
        <w:t> </w:t>
      </w:r>
      <w:r>
        <w:rPr>
          <w:i/>
        </w:rPr>
        <w:t>Othello</w:t>
      </w:r>
      <w:r>
        <w:rPr>
          <w:i/>
          <w:spacing w:val="-10"/>
        </w:rPr>
        <w:t> </w:t>
      </w:r>
      <w:r>
        <w:rPr/>
        <w:t>closely</w:t>
      </w:r>
      <w:r>
        <w:rPr>
          <w:spacing w:val="-13"/>
        </w:rPr>
        <w:t> </w:t>
      </w:r>
      <w:r>
        <w:rPr/>
        <w:t>follows</w:t>
      </w:r>
      <w:r>
        <w:rPr>
          <w:spacing w:val="-12"/>
        </w:rPr>
        <w:t> </w:t>
      </w:r>
      <w:r>
        <w:rPr/>
        <w:t>the</w:t>
      </w:r>
      <w:r>
        <w:rPr>
          <w:spacing w:val="-10"/>
        </w:rPr>
        <w:t> </w:t>
      </w:r>
      <w:r>
        <w:rPr/>
        <w:t>classical</w:t>
      </w:r>
      <w:r>
        <w:rPr>
          <w:spacing w:val="-11"/>
        </w:rPr>
        <w:t> </w:t>
      </w:r>
      <w:r>
        <w:rPr/>
        <w:t>unities</w:t>
      </w:r>
      <w:r>
        <w:rPr>
          <w:spacing w:val="-10"/>
        </w:rPr>
        <w:t> </w:t>
      </w:r>
      <w:r>
        <w:rPr/>
        <w:t>of</w:t>
      </w:r>
      <w:r>
        <w:rPr>
          <w:spacing w:val="-13"/>
        </w:rPr>
        <w:t> </w:t>
      </w:r>
      <w:r>
        <w:rPr/>
        <w:t>time, place,</w:t>
      </w:r>
      <w:r>
        <w:rPr>
          <w:spacing w:val="7"/>
        </w:rPr>
        <w:t> </w:t>
      </w:r>
      <w:r>
        <w:rPr/>
        <w:t>and</w:t>
      </w:r>
      <w:r>
        <w:rPr>
          <w:spacing w:val="7"/>
        </w:rPr>
        <w:t> </w:t>
      </w:r>
      <w:r>
        <w:rPr/>
        <w:t>action</w:t>
      </w:r>
      <w:r>
        <w:rPr>
          <w:spacing w:val="5"/>
        </w:rPr>
        <w:t> </w:t>
      </w:r>
      <w:r>
        <w:rPr/>
        <w:t>more</w:t>
      </w:r>
      <w:r>
        <w:rPr>
          <w:spacing w:val="5"/>
        </w:rPr>
        <w:t> </w:t>
      </w:r>
      <w:r>
        <w:rPr/>
        <w:t>faithfully</w:t>
      </w:r>
      <w:r>
        <w:rPr>
          <w:spacing w:val="5"/>
        </w:rPr>
        <w:t> </w:t>
      </w:r>
      <w:r>
        <w:rPr/>
        <w:t>than</w:t>
      </w:r>
      <w:r>
        <w:rPr>
          <w:spacing w:val="6"/>
        </w:rPr>
        <w:t> </w:t>
      </w:r>
      <w:r>
        <w:rPr/>
        <w:t>most</w:t>
      </w:r>
      <w:r>
        <w:rPr>
          <w:spacing w:val="7"/>
        </w:rPr>
        <w:t> </w:t>
      </w:r>
      <w:r>
        <w:rPr/>
        <w:t>of</w:t>
      </w:r>
      <w:r>
        <w:rPr>
          <w:spacing w:val="5"/>
        </w:rPr>
        <w:t> </w:t>
      </w:r>
      <w:r>
        <w:rPr/>
        <w:t>Shakespeare’s</w:t>
      </w:r>
      <w:r>
        <w:rPr>
          <w:spacing w:val="5"/>
        </w:rPr>
        <w:t> </w:t>
      </w:r>
      <w:r>
        <w:rPr>
          <w:spacing w:val="-2"/>
        </w:rPr>
        <w:t>tragedies.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35136">
                <wp:simplePos x="0" y="0"/>
                <wp:positionH relativeFrom="page">
                  <wp:posOffset>2057400</wp:posOffset>
                </wp:positionH>
                <wp:positionV relativeFrom="paragraph">
                  <wp:posOffset>162604</wp:posOffset>
                </wp:positionV>
                <wp:extent cx="3657600" cy="12700"/>
                <wp:effectExtent l="0" t="0" r="0" b="0"/>
                <wp:wrapTopAndBottom/>
                <wp:docPr id="675" name="Graphic 675"/>
                <wp:cNvGraphicFramePr>
                  <a:graphicFrameLocks/>
                </wp:cNvGraphicFramePr>
                <a:graphic>
                  <a:graphicData uri="http://schemas.microsoft.com/office/word/2010/wordprocessingShape">
                    <wps:wsp>
                      <wps:cNvPr id="675" name="Graphic 67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81344;mso-wrap-distance-left:0;mso-wrap-distance-right:0" id="docshape667" filled="true" fillcolor="#000000" stroked="false">
                <v:fill type="solid"/>
                <w10:wrap type="topAndBottom"/>
              </v:rect>
            </w:pict>
          </mc:Fallback>
        </mc:AlternateContent>
      </w:r>
      <w:r>
        <w:rPr>
          <w:rFonts w:ascii="Verdana"/>
          <w:spacing w:val="-5"/>
          <w:sz w:val="18"/>
        </w:rPr>
        <w:t>330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The play</w:t>
      </w:r>
      <w:r>
        <w:rPr>
          <w:spacing w:val="-3"/>
        </w:rPr>
        <w:t> </w:t>
      </w:r>
      <w:r>
        <w:rPr/>
        <w:t>also presents one of the most unforgettable villains in English literature in the character of Iago.</w:t>
      </w:r>
    </w:p>
    <w:p>
      <w:pPr>
        <w:pStyle w:val="BodyText"/>
        <w:spacing w:line="264" w:lineRule="auto" w:before="67"/>
        <w:ind w:right="1437" w:firstLine="432"/>
        <w:jc w:val="both"/>
      </w:pPr>
      <w:r>
        <w:rPr/>
        <w:t>In </w:t>
      </w:r>
      <w:r>
        <w:rPr>
          <w:i/>
        </w:rPr>
        <w:t>Hamlet</w:t>
      </w:r>
      <w:r>
        <w:rPr/>
        <w:t>, we encounter several scenes filled with violence and tragic action. These include the duel between Hamlet and Laertes, in which</w:t>
      </w:r>
      <w:r>
        <w:rPr>
          <w:spacing w:val="-1"/>
        </w:rPr>
        <w:t> </w:t>
      </w:r>
      <w:r>
        <w:rPr/>
        <w:t>Laertes’</w:t>
      </w:r>
      <w:r>
        <w:rPr>
          <w:spacing w:val="-13"/>
        </w:rPr>
        <w:t> </w:t>
      </w:r>
      <w:r>
        <w:rPr/>
        <w:t>sword is tipped</w:t>
      </w:r>
      <w:r>
        <w:rPr>
          <w:spacing w:val="-2"/>
        </w:rPr>
        <w:t> </w:t>
      </w:r>
      <w:r>
        <w:rPr/>
        <w:t>with deadly</w:t>
      </w:r>
      <w:r>
        <w:rPr>
          <w:spacing w:val="-2"/>
        </w:rPr>
        <w:t> </w:t>
      </w:r>
      <w:r>
        <w:rPr/>
        <w:t>poison;</w:t>
      </w:r>
      <w:r>
        <w:rPr>
          <w:spacing w:val="-1"/>
        </w:rPr>
        <w:t> </w:t>
      </w:r>
      <w:r>
        <w:rPr/>
        <w:t>Hamlet’s accidental killing</w:t>
      </w:r>
      <w:r>
        <w:rPr>
          <w:spacing w:val="-8"/>
        </w:rPr>
        <w:t> </w:t>
      </w:r>
      <w:r>
        <w:rPr/>
        <w:t>of</w:t>
      </w:r>
      <w:r>
        <w:rPr>
          <w:spacing w:val="-10"/>
        </w:rPr>
        <w:t> </w:t>
      </w:r>
      <w:r>
        <w:rPr/>
        <w:t>Polonius;</w:t>
      </w:r>
      <w:r>
        <w:rPr>
          <w:spacing w:val="-6"/>
        </w:rPr>
        <w:t> </w:t>
      </w:r>
      <w:r>
        <w:rPr/>
        <w:t>the</w:t>
      </w:r>
      <w:r>
        <w:rPr>
          <w:spacing w:val="-6"/>
        </w:rPr>
        <w:t> </w:t>
      </w:r>
      <w:r>
        <w:rPr/>
        <w:t>death</w:t>
      </w:r>
      <w:r>
        <w:rPr>
          <w:spacing w:val="-8"/>
        </w:rPr>
        <w:t> </w:t>
      </w:r>
      <w:r>
        <w:rPr/>
        <w:t>of</w:t>
      </w:r>
      <w:r>
        <w:rPr>
          <w:spacing w:val="-6"/>
        </w:rPr>
        <w:t> </w:t>
      </w:r>
      <w:r>
        <w:rPr/>
        <w:t>Queen</w:t>
      </w:r>
      <w:r>
        <w:rPr>
          <w:spacing w:val="-8"/>
        </w:rPr>
        <w:t> </w:t>
      </w:r>
      <w:r>
        <w:rPr/>
        <w:t>Gertrude</w:t>
      </w:r>
      <w:r>
        <w:rPr>
          <w:spacing w:val="-5"/>
        </w:rPr>
        <w:t> </w:t>
      </w:r>
      <w:r>
        <w:rPr/>
        <w:t>after</w:t>
      </w:r>
      <w:r>
        <w:rPr>
          <w:spacing w:val="-6"/>
        </w:rPr>
        <w:t> </w:t>
      </w:r>
      <w:r>
        <w:rPr/>
        <w:t>drinking</w:t>
      </w:r>
      <w:r>
        <w:rPr>
          <w:spacing w:val="-8"/>
        </w:rPr>
        <w:t> </w:t>
      </w:r>
      <w:r>
        <w:rPr/>
        <w:t>poisoned wine;</w:t>
      </w:r>
      <w:r>
        <w:rPr>
          <w:spacing w:val="-1"/>
        </w:rPr>
        <w:t> </w:t>
      </w:r>
      <w:r>
        <w:rPr/>
        <w:t>Hamlet’s</w:t>
      </w:r>
      <w:r>
        <w:rPr>
          <w:spacing w:val="-1"/>
        </w:rPr>
        <w:t> </w:t>
      </w:r>
      <w:r>
        <w:rPr/>
        <w:t>revengeful</w:t>
      </w:r>
      <w:r>
        <w:rPr>
          <w:spacing w:val="-1"/>
        </w:rPr>
        <w:t> </w:t>
      </w:r>
      <w:r>
        <w:rPr/>
        <w:t>murder of King</w:t>
      </w:r>
      <w:r>
        <w:rPr>
          <w:spacing w:val="-3"/>
        </w:rPr>
        <w:t> </w:t>
      </w:r>
      <w:r>
        <w:rPr/>
        <w:t>Claudius;</w:t>
      </w:r>
      <w:r>
        <w:rPr>
          <w:spacing w:val="-1"/>
        </w:rPr>
        <w:t> </w:t>
      </w:r>
      <w:r>
        <w:rPr/>
        <w:t>and the</w:t>
      </w:r>
      <w:r>
        <w:rPr>
          <w:spacing w:val="-1"/>
        </w:rPr>
        <w:t> </w:t>
      </w:r>
      <w:r>
        <w:rPr/>
        <w:t>graveyard scene</w:t>
      </w:r>
      <w:r>
        <w:rPr>
          <w:spacing w:val="-12"/>
        </w:rPr>
        <w:t> </w:t>
      </w:r>
      <w:r>
        <w:rPr/>
        <w:t>with</w:t>
      </w:r>
      <w:r>
        <w:rPr>
          <w:spacing w:val="-11"/>
        </w:rPr>
        <w:t> </w:t>
      </w:r>
      <w:r>
        <w:rPr/>
        <w:t>the</w:t>
      </w:r>
      <w:r>
        <w:rPr>
          <w:spacing w:val="-10"/>
        </w:rPr>
        <w:t> </w:t>
      </w:r>
      <w:r>
        <w:rPr/>
        <w:t>discovery</w:t>
      </w:r>
      <w:r>
        <w:rPr>
          <w:spacing w:val="-13"/>
        </w:rPr>
        <w:t> </w:t>
      </w:r>
      <w:r>
        <w:rPr/>
        <w:t>of</w:t>
      </w:r>
      <w:r>
        <w:rPr>
          <w:spacing w:val="-12"/>
        </w:rPr>
        <w:t> </w:t>
      </w:r>
      <w:r>
        <w:rPr/>
        <w:t>human</w:t>
      </w:r>
      <w:r>
        <w:rPr>
          <w:spacing w:val="-11"/>
        </w:rPr>
        <w:t> </w:t>
      </w:r>
      <w:r>
        <w:rPr/>
        <w:t>skulls.</w:t>
      </w:r>
      <w:r>
        <w:rPr>
          <w:spacing w:val="-9"/>
        </w:rPr>
        <w:t> </w:t>
      </w:r>
      <w:r>
        <w:rPr/>
        <w:t>Such</w:t>
      </w:r>
      <w:r>
        <w:rPr>
          <w:spacing w:val="-12"/>
        </w:rPr>
        <w:t> </w:t>
      </w:r>
      <w:r>
        <w:rPr/>
        <w:t>dramatic</w:t>
      </w:r>
      <w:r>
        <w:rPr>
          <w:spacing w:val="-10"/>
        </w:rPr>
        <w:t> </w:t>
      </w:r>
      <w:r>
        <w:rPr/>
        <w:t>and</w:t>
      </w:r>
      <w:r>
        <w:rPr>
          <w:spacing w:val="-9"/>
        </w:rPr>
        <w:t> </w:t>
      </w:r>
      <w:r>
        <w:rPr/>
        <w:t>sensational episodes appealed strongly to the audience, as they matched the theatrical tastes of</w:t>
      </w:r>
      <w:r>
        <w:rPr>
          <w:spacing w:val="-1"/>
        </w:rPr>
        <w:t> </w:t>
      </w:r>
      <w:r>
        <w:rPr/>
        <w:t>the time. Similarly, </w:t>
      </w:r>
      <w:r>
        <w:rPr>
          <w:i/>
        </w:rPr>
        <w:t>Othello </w:t>
      </w:r>
      <w:r>
        <w:rPr/>
        <w:t>contains many scenes of intense violence and tragic suffering. These include Roderigo’s attack on Cassio, Iago’s stabbing and murder of Roderigo and Emilia, the injuries</w:t>
      </w:r>
      <w:r>
        <w:rPr>
          <w:spacing w:val="-1"/>
        </w:rPr>
        <w:t> </w:t>
      </w:r>
      <w:r>
        <w:rPr/>
        <w:t>inflicted upon</w:t>
      </w:r>
      <w:r>
        <w:rPr>
          <w:spacing w:val="-2"/>
        </w:rPr>
        <w:t> </w:t>
      </w:r>
      <w:r>
        <w:rPr/>
        <w:t>Cassio and</w:t>
      </w:r>
      <w:r>
        <w:rPr>
          <w:spacing w:val="-1"/>
        </w:rPr>
        <w:t> </w:t>
      </w:r>
      <w:r>
        <w:rPr/>
        <w:t>Montano,</w:t>
      </w:r>
      <w:r>
        <w:rPr>
          <w:spacing w:val="-1"/>
        </w:rPr>
        <w:t> </w:t>
      </w:r>
      <w:r>
        <w:rPr/>
        <w:t>the</w:t>
      </w:r>
      <w:r>
        <w:rPr>
          <w:spacing w:val="-1"/>
        </w:rPr>
        <w:t> </w:t>
      </w:r>
      <w:r>
        <w:rPr/>
        <w:t>suffocation</w:t>
      </w:r>
      <w:r>
        <w:rPr>
          <w:spacing w:val="-1"/>
        </w:rPr>
        <w:t> </w:t>
      </w:r>
      <w:r>
        <w:rPr/>
        <w:t>and murder of</w:t>
      </w:r>
      <w:r>
        <w:rPr>
          <w:spacing w:val="-8"/>
        </w:rPr>
        <w:t> </w:t>
      </w:r>
      <w:r>
        <w:rPr/>
        <w:t>Desdemona</w:t>
      </w:r>
      <w:r>
        <w:rPr>
          <w:spacing w:val="-8"/>
        </w:rPr>
        <w:t> </w:t>
      </w:r>
      <w:r>
        <w:rPr/>
        <w:t>by</w:t>
      </w:r>
      <w:r>
        <w:rPr>
          <w:spacing w:val="-12"/>
        </w:rPr>
        <w:t> </w:t>
      </w:r>
      <w:r>
        <w:rPr/>
        <w:t>Othello,</w:t>
      </w:r>
      <w:r>
        <w:rPr>
          <w:spacing w:val="-7"/>
        </w:rPr>
        <w:t> </w:t>
      </w:r>
      <w:r>
        <w:rPr/>
        <w:t>and</w:t>
      </w:r>
      <w:r>
        <w:rPr>
          <w:spacing w:val="-5"/>
        </w:rPr>
        <w:t> </w:t>
      </w:r>
      <w:r>
        <w:rPr/>
        <w:t>finally</w:t>
      </w:r>
      <w:r>
        <w:rPr>
          <w:spacing w:val="-10"/>
        </w:rPr>
        <w:t> </w:t>
      </w:r>
      <w:r>
        <w:rPr/>
        <w:t>Othello’s</w:t>
      </w:r>
      <w:r>
        <w:rPr>
          <w:spacing w:val="-10"/>
        </w:rPr>
        <w:t> </w:t>
      </w:r>
      <w:r>
        <w:rPr/>
        <w:t>suicide.</w:t>
      </w:r>
      <w:r>
        <w:rPr>
          <w:spacing w:val="-8"/>
        </w:rPr>
        <w:t> </w:t>
      </w:r>
      <w:r>
        <w:rPr/>
        <w:t>These</w:t>
      </w:r>
      <w:r>
        <w:rPr>
          <w:spacing w:val="-7"/>
        </w:rPr>
        <w:t> </w:t>
      </w:r>
      <w:r>
        <w:rPr/>
        <w:t>moments present powerful images of horror and bloodshed that deepen the tragic impact of the play.</w:t>
      </w:r>
    </w:p>
    <w:p>
      <w:pPr>
        <w:pStyle w:val="Heading3"/>
        <w:spacing w:before="139"/>
        <w:jc w:val="both"/>
      </w:pPr>
      <w:r>
        <w:rPr>
          <w:w w:val="90"/>
        </w:rPr>
        <w:t>WOMEN,</w:t>
      </w:r>
      <w:r>
        <w:rPr>
          <w:spacing w:val="37"/>
        </w:rPr>
        <w:t> </w:t>
      </w:r>
      <w:r>
        <w:rPr>
          <w:w w:val="90"/>
        </w:rPr>
        <w:t>EMOTION,</w:t>
      </w:r>
      <w:r>
        <w:rPr>
          <w:spacing w:val="37"/>
        </w:rPr>
        <w:t> </w:t>
      </w:r>
      <w:r>
        <w:rPr>
          <w:w w:val="90"/>
        </w:rPr>
        <w:t>AND</w:t>
      </w:r>
      <w:r>
        <w:rPr>
          <w:spacing w:val="42"/>
        </w:rPr>
        <w:t> </w:t>
      </w:r>
      <w:r>
        <w:rPr>
          <w:w w:val="90"/>
        </w:rPr>
        <w:t>RENAISSANCE</w:t>
      </w:r>
      <w:r>
        <w:rPr>
          <w:spacing w:val="38"/>
        </w:rPr>
        <w:t> </w:t>
      </w:r>
      <w:r>
        <w:rPr>
          <w:spacing w:val="-2"/>
          <w:w w:val="90"/>
        </w:rPr>
        <w:t>SOCIETY</w:t>
      </w:r>
    </w:p>
    <w:p>
      <w:pPr>
        <w:pStyle w:val="BodyText"/>
        <w:spacing w:line="264" w:lineRule="auto" w:before="90"/>
        <w:ind w:right="1437" w:firstLine="432"/>
        <w:jc w:val="both"/>
      </w:pPr>
      <w:r>
        <w:rPr/>
        <w:t>Understanding Shakespeare’s representation of grief requires </w:t>
      </w:r>
      <w:r>
        <w:rPr>
          <w:spacing w:val="-4"/>
        </w:rPr>
        <w:t>attention to Renaissance</w:t>
      </w:r>
      <w:r>
        <w:rPr>
          <w:spacing w:val="-7"/>
        </w:rPr>
        <w:t> </w:t>
      </w:r>
      <w:r>
        <w:rPr>
          <w:spacing w:val="-4"/>
        </w:rPr>
        <w:t>gender</w:t>
      </w:r>
      <w:r>
        <w:rPr/>
        <w:t> </w:t>
      </w:r>
      <w:r>
        <w:rPr>
          <w:spacing w:val="-4"/>
        </w:rPr>
        <w:t>ideology. In reality, early modern England </w:t>
      </w:r>
      <w:r>
        <w:rPr/>
        <w:t>located women within rigid social hierarchies governed by obedience, chastity, and silence. Female virtue was defined largely in relation to male authority—father, husband, or ruler. Public speech belonged to men, while emotional</w:t>
      </w:r>
      <w:r>
        <w:rPr>
          <w:spacing w:val="-1"/>
        </w:rPr>
        <w:t> </w:t>
      </w:r>
      <w:r>
        <w:rPr/>
        <w:t>expression</w:t>
      </w:r>
      <w:r>
        <w:rPr>
          <w:spacing w:val="-2"/>
        </w:rPr>
        <w:t> </w:t>
      </w:r>
      <w:r>
        <w:rPr/>
        <w:t>belonged to</w:t>
      </w:r>
      <w:r>
        <w:rPr>
          <w:spacing w:val="-1"/>
        </w:rPr>
        <w:t> </w:t>
      </w:r>
      <w:r>
        <w:rPr/>
        <w:t>women. Mourning</w:t>
      </w:r>
      <w:r>
        <w:rPr>
          <w:spacing w:val="-2"/>
        </w:rPr>
        <w:t> </w:t>
      </w:r>
      <w:r>
        <w:rPr/>
        <w:t>rituals such as lamentation were culturally associated with femininity. Shakespeare adopts these conventions but simultaneously disrupts</w:t>
      </w:r>
      <w:r>
        <w:rPr>
          <w:spacing w:val="40"/>
        </w:rPr>
        <w:t> </w:t>
      </w:r>
      <w:r>
        <w:rPr/>
        <w:t>them. Female mourning becomes an alternative form of authority. In tragic</w:t>
      </w:r>
      <w:r>
        <w:rPr>
          <w:spacing w:val="-13"/>
        </w:rPr>
        <w:t> </w:t>
      </w:r>
      <w:r>
        <w:rPr/>
        <w:t>drama,</w:t>
      </w:r>
      <w:r>
        <w:rPr>
          <w:spacing w:val="-12"/>
        </w:rPr>
        <w:t> </w:t>
      </w:r>
      <w:r>
        <w:rPr/>
        <w:t>men</w:t>
      </w:r>
      <w:r>
        <w:rPr>
          <w:spacing w:val="-13"/>
        </w:rPr>
        <w:t> </w:t>
      </w:r>
      <w:r>
        <w:rPr/>
        <w:t>often</w:t>
      </w:r>
      <w:r>
        <w:rPr>
          <w:spacing w:val="-12"/>
        </w:rPr>
        <w:t> </w:t>
      </w:r>
      <w:r>
        <w:rPr/>
        <w:t>express</w:t>
      </w:r>
      <w:r>
        <w:rPr>
          <w:spacing w:val="-13"/>
        </w:rPr>
        <w:t> </w:t>
      </w:r>
      <w:r>
        <w:rPr/>
        <w:t>grief</w:t>
      </w:r>
      <w:r>
        <w:rPr>
          <w:spacing w:val="-12"/>
        </w:rPr>
        <w:t> </w:t>
      </w:r>
      <w:r>
        <w:rPr/>
        <w:t>through</w:t>
      </w:r>
      <w:r>
        <w:rPr>
          <w:spacing w:val="-13"/>
        </w:rPr>
        <w:t> </w:t>
      </w:r>
      <w:r>
        <w:rPr/>
        <w:t>revenge</w:t>
      </w:r>
      <w:r>
        <w:rPr>
          <w:spacing w:val="-12"/>
        </w:rPr>
        <w:t> </w:t>
      </w:r>
      <w:r>
        <w:rPr/>
        <w:t>or</w:t>
      </w:r>
      <w:r>
        <w:rPr>
          <w:spacing w:val="-13"/>
        </w:rPr>
        <w:t> </w:t>
      </w:r>
      <w:r>
        <w:rPr/>
        <w:t>political</w:t>
      </w:r>
      <w:r>
        <w:rPr>
          <w:spacing w:val="-12"/>
        </w:rPr>
        <w:t> </w:t>
      </w:r>
      <w:r>
        <w:rPr/>
        <w:t>action, whereas women express grief through emotional articulation.</w:t>
      </w:r>
    </w:p>
    <w:p>
      <w:pPr>
        <w:pStyle w:val="BodyText"/>
        <w:spacing w:line="264" w:lineRule="auto" w:before="47"/>
        <w:ind w:right="1438" w:firstLine="432"/>
        <w:jc w:val="both"/>
      </w:pPr>
      <w:r>
        <w:rPr/>
        <w:t>Shakespeare</w:t>
      </w:r>
      <w:r>
        <w:rPr>
          <w:spacing w:val="-8"/>
        </w:rPr>
        <w:t> </w:t>
      </w:r>
      <w:r>
        <w:rPr/>
        <w:t>elevates</w:t>
      </w:r>
      <w:r>
        <w:rPr>
          <w:spacing w:val="-9"/>
        </w:rPr>
        <w:t> </w:t>
      </w:r>
      <w:r>
        <w:rPr/>
        <w:t>this</w:t>
      </w:r>
      <w:r>
        <w:rPr>
          <w:spacing w:val="-7"/>
        </w:rPr>
        <w:t> </w:t>
      </w:r>
      <w:r>
        <w:rPr/>
        <w:t>emotional</w:t>
      </w:r>
      <w:r>
        <w:rPr>
          <w:spacing w:val="-6"/>
        </w:rPr>
        <w:t> </w:t>
      </w:r>
      <w:r>
        <w:rPr/>
        <w:t>articulation</w:t>
      </w:r>
      <w:r>
        <w:rPr>
          <w:spacing w:val="-9"/>
        </w:rPr>
        <w:t> </w:t>
      </w:r>
      <w:r>
        <w:rPr/>
        <w:t>into</w:t>
      </w:r>
      <w:r>
        <w:rPr>
          <w:spacing w:val="-6"/>
        </w:rPr>
        <w:t> </w:t>
      </w:r>
      <w:r>
        <w:rPr/>
        <w:t>philosophical </w:t>
      </w:r>
      <w:r>
        <w:rPr>
          <w:spacing w:val="-2"/>
        </w:rPr>
        <w:t>insight.</w:t>
      </w:r>
      <w:r>
        <w:rPr>
          <w:spacing w:val="-11"/>
        </w:rPr>
        <w:t> </w:t>
      </w:r>
      <w:r>
        <w:rPr>
          <w:spacing w:val="-2"/>
        </w:rPr>
        <w:t>Female</w:t>
      </w:r>
      <w:r>
        <w:rPr>
          <w:spacing w:val="-10"/>
        </w:rPr>
        <w:t> </w:t>
      </w:r>
      <w:r>
        <w:rPr>
          <w:spacing w:val="-2"/>
        </w:rPr>
        <w:t>characters</w:t>
      </w:r>
      <w:r>
        <w:rPr>
          <w:spacing w:val="-11"/>
        </w:rPr>
        <w:t> </w:t>
      </w:r>
      <w:r>
        <w:rPr>
          <w:spacing w:val="-2"/>
        </w:rPr>
        <w:t>become</w:t>
      </w:r>
      <w:r>
        <w:rPr>
          <w:spacing w:val="-10"/>
        </w:rPr>
        <w:t> </w:t>
      </w:r>
      <w:r>
        <w:rPr>
          <w:spacing w:val="-2"/>
        </w:rPr>
        <w:t>witnesses</w:t>
      </w:r>
      <w:r>
        <w:rPr>
          <w:spacing w:val="-11"/>
        </w:rPr>
        <w:t> </w:t>
      </w:r>
      <w:r>
        <w:rPr>
          <w:spacing w:val="-2"/>
        </w:rPr>
        <w:t>to</w:t>
      </w:r>
      <w:r>
        <w:rPr>
          <w:spacing w:val="-10"/>
        </w:rPr>
        <w:t> </w:t>
      </w:r>
      <w:r>
        <w:rPr>
          <w:spacing w:val="-2"/>
        </w:rPr>
        <w:t>moral</w:t>
      </w:r>
      <w:r>
        <w:rPr>
          <w:spacing w:val="-11"/>
        </w:rPr>
        <w:t> </w:t>
      </w:r>
      <w:r>
        <w:rPr>
          <w:spacing w:val="-2"/>
        </w:rPr>
        <w:t>calamity.</w:t>
      </w:r>
      <w:r>
        <w:rPr>
          <w:spacing w:val="-10"/>
        </w:rPr>
        <w:t> </w:t>
      </w:r>
      <w:r>
        <w:rPr>
          <w:spacing w:val="-2"/>
        </w:rPr>
        <w:t>Lucrece’s </w:t>
      </w:r>
      <w:r>
        <w:rPr/>
        <w:t>mourning represents both personal grief and moral tragedy. When Collatine returned, he found her dressed in ritual mourning attire, symbolizing the death of her honour rather than physical loss. Her sorrowful appearance embodied silent suffering and emotional devastation. She briefly narrated the violence inflicted upon her and expressed</w:t>
      </w:r>
      <w:r>
        <w:rPr>
          <w:spacing w:val="22"/>
        </w:rPr>
        <w:t> </w:t>
      </w:r>
      <w:r>
        <w:rPr/>
        <w:t>profound</w:t>
      </w:r>
      <w:r>
        <w:rPr>
          <w:spacing w:val="20"/>
        </w:rPr>
        <w:t> </w:t>
      </w:r>
      <w:r>
        <w:rPr/>
        <w:t>shame,</w:t>
      </w:r>
      <w:r>
        <w:rPr>
          <w:spacing w:val="22"/>
        </w:rPr>
        <w:t> </w:t>
      </w:r>
      <w:r>
        <w:rPr/>
        <w:t>believing</w:t>
      </w:r>
      <w:r>
        <w:rPr>
          <w:spacing w:val="20"/>
        </w:rPr>
        <w:t> </w:t>
      </w:r>
      <w:r>
        <w:rPr/>
        <w:t>herself</w:t>
      </w:r>
      <w:r>
        <w:rPr>
          <w:spacing w:val="21"/>
        </w:rPr>
        <w:t> </w:t>
      </w:r>
      <w:r>
        <w:rPr/>
        <w:t>unworthy to</w:t>
      </w:r>
      <w:r>
        <w:rPr>
          <w:spacing w:val="24"/>
        </w:rPr>
        <w:t> </w:t>
      </w:r>
      <w:r>
        <w:rPr/>
        <w:t>continue</w:t>
      </w:r>
      <w:r>
        <w:rPr>
          <w:spacing w:val="23"/>
        </w:rPr>
        <w:t> </w:t>
      </w:r>
      <w:r>
        <w:rPr/>
        <w:t>as a</w:t>
      </w:r>
      <w:r>
        <w:rPr>
          <w:spacing w:val="5"/>
        </w:rPr>
        <w:t> </w:t>
      </w:r>
      <w:r>
        <w:rPr/>
        <w:t>wife.</w:t>
      </w:r>
      <w:r>
        <w:rPr>
          <w:spacing w:val="4"/>
        </w:rPr>
        <w:t> </w:t>
      </w:r>
      <w:r>
        <w:rPr/>
        <w:t>Before</w:t>
      </w:r>
      <w:r>
        <w:rPr>
          <w:spacing w:val="3"/>
        </w:rPr>
        <w:t> </w:t>
      </w:r>
      <w:r>
        <w:rPr/>
        <w:t>revealing</w:t>
      </w:r>
      <w:r>
        <w:rPr>
          <w:spacing w:val="4"/>
        </w:rPr>
        <w:t> </w:t>
      </w:r>
      <w:r>
        <w:rPr/>
        <w:t>the</w:t>
      </w:r>
      <w:r>
        <w:rPr>
          <w:spacing w:val="4"/>
        </w:rPr>
        <w:t> </w:t>
      </w:r>
      <w:r>
        <w:rPr/>
        <w:t>offender’s</w:t>
      </w:r>
      <w:r>
        <w:rPr>
          <w:spacing w:val="4"/>
        </w:rPr>
        <w:t> </w:t>
      </w:r>
      <w:r>
        <w:rPr/>
        <w:t>name,</w:t>
      </w:r>
      <w:r>
        <w:rPr>
          <w:spacing w:val="5"/>
        </w:rPr>
        <w:t> </w:t>
      </w:r>
      <w:r>
        <w:rPr/>
        <w:t>she</w:t>
      </w:r>
      <w:r>
        <w:rPr>
          <w:spacing w:val="5"/>
        </w:rPr>
        <w:t> </w:t>
      </w:r>
      <w:r>
        <w:rPr/>
        <w:t>demanded</w:t>
      </w:r>
      <w:r>
        <w:rPr>
          <w:spacing w:val="4"/>
        </w:rPr>
        <w:t> </w:t>
      </w:r>
      <w:r>
        <w:rPr/>
        <w:t>an</w:t>
      </w:r>
      <w:r>
        <w:rPr>
          <w:spacing w:val="4"/>
        </w:rPr>
        <w:t> </w:t>
      </w:r>
      <w:r>
        <w:rPr/>
        <w:t>oath</w:t>
      </w:r>
      <w:r>
        <w:rPr>
          <w:spacing w:val="4"/>
        </w:rPr>
        <w:t> </w:t>
      </w:r>
      <w:r>
        <w:rPr>
          <w:spacing w:val="-5"/>
        </w:rPr>
        <w:t>of</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3" w:val="left" w:leader="none"/>
        </w:tabs>
        <w:spacing w:before="0"/>
        <w:ind w:left="0" w:right="0"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35648">
                <wp:simplePos x="0" y="0"/>
                <wp:positionH relativeFrom="page">
                  <wp:posOffset>2065020</wp:posOffset>
                </wp:positionH>
                <wp:positionV relativeFrom="paragraph">
                  <wp:posOffset>162604</wp:posOffset>
                </wp:positionV>
                <wp:extent cx="3657600" cy="12700"/>
                <wp:effectExtent l="0" t="0" r="0" b="0"/>
                <wp:wrapTopAndBottom/>
                <wp:docPr id="676" name="Graphic 676"/>
                <wp:cNvGraphicFramePr>
                  <a:graphicFrameLocks/>
                </wp:cNvGraphicFramePr>
                <a:graphic>
                  <a:graphicData uri="http://schemas.microsoft.com/office/word/2010/wordprocessingShape">
                    <wps:wsp>
                      <wps:cNvPr id="676" name="Graphic 67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80832;mso-wrap-distance-left:0;mso-wrap-distance-right:0" id="docshape668" filled="true" fillcolor="#000000" stroked="false">
                <v:fill type="solid"/>
                <w10:wrap type="topAndBottom"/>
              </v:rect>
            </w:pict>
          </mc:Fallback>
        </mc:AlternateContent>
      </w:r>
      <w:r>
        <w:rPr>
          <w:rFonts w:ascii="Verdana" w:hAnsi="Verdana"/>
          <w:sz w:val="18"/>
        </w:rPr>
        <w:t>Grief</w:t>
      </w:r>
      <w:r>
        <w:rPr>
          <w:rFonts w:ascii="Verdana" w:hAnsi="Verdana"/>
          <w:spacing w:val="-12"/>
          <w:sz w:val="18"/>
        </w:rPr>
        <w:t> </w:t>
      </w:r>
      <w:r>
        <w:rPr>
          <w:rFonts w:ascii="Verdana" w:hAnsi="Verdana"/>
          <w:sz w:val="18"/>
        </w:rPr>
        <w:t>and</w:t>
      </w:r>
      <w:r>
        <w:rPr>
          <w:rFonts w:ascii="Verdana" w:hAnsi="Verdana"/>
          <w:spacing w:val="-12"/>
          <w:sz w:val="18"/>
        </w:rPr>
        <w:t> </w:t>
      </w:r>
      <w:r>
        <w:rPr>
          <w:rFonts w:ascii="Verdana" w:hAnsi="Verdana"/>
          <w:sz w:val="18"/>
        </w:rPr>
        <w:t>Mourning</w:t>
      </w:r>
      <w:r>
        <w:rPr>
          <w:rFonts w:ascii="Verdana" w:hAnsi="Verdana"/>
          <w:spacing w:val="-14"/>
          <w:sz w:val="18"/>
        </w:rPr>
        <w:t> </w:t>
      </w:r>
      <w:r>
        <w:rPr>
          <w:rFonts w:ascii="Verdana" w:hAnsi="Verdana"/>
          <w:sz w:val="18"/>
        </w:rPr>
        <w:t>in</w:t>
      </w:r>
      <w:r>
        <w:rPr>
          <w:rFonts w:ascii="Verdana" w:hAnsi="Verdana"/>
          <w:spacing w:val="-10"/>
          <w:sz w:val="18"/>
        </w:rPr>
        <w:t> </w:t>
      </w:r>
      <w:r>
        <w:rPr>
          <w:rFonts w:ascii="Verdana" w:hAnsi="Verdana"/>
          <w:sz w:val="18"/>
        </w:rPr>
        <w:t>Shakespeare’s</w:t>
      </w:r>
      <w:r>
        <w:rPr>
          <w:rFonts w:ascii="Verdana" w:hAnsi="Verdana"/>
          <w:spacing w:val="-14"/>
          <w:sz w:val="18"/>
        </w:rPr>
        <w:t> </w:t>
      </w:r>
      <w:r>
        <w:rPr>
          <w:rFonts w:ascii="Verdana" w:hAnsi="Verdana"/>
          <w:sz w:val="18"/>
        </w:rPr>
        <w:t>Female</w:t>
      </w:r>
      <w:r>
        <w:rPr>
          <w:rFonts w:ascii="Verdana" w:hAnsi="Verdana"/>
          <w:spacing w:val="-10"/>
          <w:sz w:val="18"/>
        </w:rPr>
        <w:t> </w:t>
      </w:r>
      <w:r>
        <w:rPr>
          <w:rFonts w:ascii="Verdana" w:hAnsi="Verdana"/>
          <w:spacing w:val="-2"/>
          <w:sz w:val="18"/>
        </w:rPr>
        <w:t>Characters...</w:t>
      </w:r>
      <w:r>
        <w:rPr>
          <w:rFonts w:ascii="Verdana" w:hAnsi="Verdana"/>
          <w:sz w:val="18"/>
        </w:rPr>
        <w:tab/>
      </w:r>
      <w:r>
        <w:rPr>
          <w:rFonts w:ascii="Verdana" w:hAnsi="Verdana"/>
          <w:spacing w:val="-5"/>
          <w:sz w:val="18"/>
        </w:rPr>
        <w:t>331</w:t>
      </w:r>
    </w:p>
    <w:p>
      <w:pPr>
        <w:pStyle w:val="BodyText"/>
        <w:spacing w:line="264" w:lineRule="auto" w:before="199"/>
        <w:ind w:right="1438"/>
        <w:jc w:val="both"/>
      </w:pPr>
      <w:r>
        <w:rPr/>
        <w:t>justice from those present, transforming private grief into collective </w:t>
      </w:r>
      <w:r>
        <w:rPr>
          <w:spacing w:val="-2"/>
        </w:rPr>
        <w:t>moral</w:t>
      </w:r>
      <w:r>
        <w:rPr>
          <w:spacing w:val="-10"/>
        </w:rPr>
        <w:t> </w:t>
      </w:r>
      <w:r>
        <w:rPr>
          <w:spacing w:val="-2"/>
        </w:rPr>
        <w:t>responsibility.</w:t>
      </w:r>
      <w:r>
        <w:rPr>
          <w:spacing w:val="-7"/>
        </w:rPr>
        <w:t> </w:t>
      </w:r>
      <w:r>
        <w:rPr>
          <w:spacing w:val="-2"/>
        </w:rPr>
        <w:t>Her</w:t>
      </w:r>
      <w:r>
        <w:rPr>
          <w:spacing w:val="-7"/>
        </w:rPr>
        <w:t> </w:t>
      </w:r>
      <w:r>
        <w:rPr>
          <w:spacing w:val="-2"/>
        </w:rPr>
        <w:t>mourning</w:t>
      </w:r>
      <w:r>
        <w:rPr>
          <w:spacing w:val="-9"/>
        </w:rPr>
        <w:t> </w:t>
      </w:r>
      <w:r>
        <w:rPr>
          <w:spacing w:val="-2"/>
        </w:rPr>
        <w:t>thus</w:t>
      </w:r>
      <w:r>
        <w:rPr>
          <w:spacing w:val="-9"/>
        </w:rPr>
        <w:t> </w:t>
      </w:r>
      <w:r>
        <w:rPr>
          <w:spacing w:val="-2"/>
        </w:rPr>
        <w:t>became</w:t>
      </w:r>
      <w:r>
        <w:rPr>
          <w:spacing w:val="-7"/>
        </w:rPr>
        <w:t> </w:t>
      </w:r>
      <w:r>
        <w:rPr>
          <w:spacing w:val="-2"/>
        </w:rPr>
        <w:t>an</w:t>
      </w:r>
      <w:r>
        <w:rPr>
          <w:spacing w:val="-11"/>
        </w:rPr>
        <w:t> </w:t>
      </w:r>
      <w:r>
        <w:rPr>
          <w:spacing w:val="-2"/>
        </w:rPr>
        <w:t>act</w:t>
      </w:r>
      <w:r>
        <w:rPr>
          <w:spacing w:val="-8"/>
        </w:rPr>
        <w:t> </w:t>
      </w:r>
      <w:r>
        <w:rPr>
          <w:spacing w:val="-2"/>
        </w:rPr>
        <w:t>of</w:t>
      </w:r>
      <w:r>
        <w:rPr>
          <w:spacing w:val="-9"/>
        </w:rPr>
        <w:t> </w:t>
      </w:r>
      <w:r>
        <w:rPr>
          <w:spacing w:val="-2"/>
        </w:rPr>
        <w:t>protest,</w:t>
      </w:r>
      <w:r>
        <w:rPr>
          <w:spacing w:val="-7"/>
        </w:rPr>
        <w:t> </w:t>
      </w:r>
      <w:r>
        <w:rPr>
          <w:spacing w:val="-2"/>
        </w:rPr>
        <w:t>honour, </w:t>
      </w:r>
      <w:r>
        <w:rPr/>
        <w:t>and sacrifice, culminating in her self-inflicted death to preserve dignity and moral integrity.</w:t>
      </w:r>
    </w:p>
    <w:p>
      <w:pPr>
        <w:pStyle w:val="Heading3"/>
        <w:spacing w:before="143"/>
        <w:jc w:val="both"/>
      </w:pPr>
      <w:r>
        <w:rPr>
          <w:w w:val="90"/>
        </w:rPr>
        <w:t>FEMINIST</w:t>
      </w:r>
      <w:r>
        <w:rPr>
          <w:spacing w:val="-8"/>
          <w:w w:val="90"/>
        </w:rPr>
        <w:t> </w:t>
      </w:r>
      <w:r>
        <w:rPr>
          <w:w w:val="90"/>
        </w:rPr>
        <w:t>AND</w:t>
      </w:r>
      <w:r>
        <w:rPr>
          <w:spacing w:val="-6"/>
          <w:w w:val="90"/>
        </w:rPr>
        <w:t> </w:t>
      </w:r>
      <w:r>
        <w:rPr>
          <w:w w:val="90"/>
        </w:rPr>
        <w:t>PSYCHOANALYTIC</w:t>
      </w:r>
      <w:r>
        <w:rPr>
          <w:spacing w:val="-5"/>
          <w:w w:val="90"/>
        </w:rPr>
        <w:t> </w:t>
      </w:r>
      <w:r>
        <w:rPr>
          <w:spacing w:val="-2"/>
          <w:w w:val="90"/>
        </w:rPr>
        <w:t>APPROACHES.</w:t>
      </w:r>
    </w:p>
    <w:p>
      <w:pPr>
        <w:pStyle w:val="BodyText"/>
        <w:spacing w:line="247" w:lineRule="auto" w:before="70"/>
        <w:ind w:right="1438" w:firstLine="432"/>
        <w:jc w:val="both"/>
      </w:pPr>
      <w:r>
        <w:rPr/>
        <w:t>Before her death, Desdemona confessed her innocence. Yet, the accusation of infidelity remained baseless. She urged Othello to acknowledge</w:t>
      </w:r>
      <w:r>
        <w:rPr>
          <w:spacing w:val="-6"/>
        </w:rPr>
        <w:t> </w:t>
      </w:r>
      <w:r>
        <w:rPr/>
        <w:t>their</w:t>
      </w:r>
      <w:r>
        <w:rPr>
          <w:spacing w:val="-7"/>
        </w:rPr>
        <w:t> </w:t>
      </w:r>
      <w:r>
        <w:rPr/>
        <w:t>love,</w:t>
      </w:r>
      <w:r>
        <w:rPr>
          <w:spacing w:val="-5"/>
        </w:rPr>
        <w:t> </w:t>
      </w:r>
      <w:r>
        <w:rPr/>
        <w:t>but</w:t>
      </w:r>
      <w:r>
        <w:rPr>
          <w:spacing w:val="-7"/>
        </w:rPr>
        <w:t> </w:t>
      </w:r>
      <w:r>
        <w:rPr/>
        <w:t>he</w:t>
      </w:r>
      <w:r>
        <w:rPr>
          <w:spacing w:val="-6"/>
        </w:rPr>
        <w:t> </w:t>
      </w:r>
      <w:r>
        <w:rPr/>
        <w:t>denied</w:t>
      </w:r>
      <w:r>
        <w:rPr>
          <w:spacing w:val="-7"/>
        </w:rPr>
        <w:t> </w:t>
      </w:r>
      <w:r>
        <w:rPr/>
        <w:t>it.</w:t>
      </w:r>
      <w:r>
        <w:rPr>
          <w:spacing w:val="-5"/>
        </w:rPr>
        <w:t> </w:t>
      </w:r>
      <w:r>
        <w:rPr/>
        <w:t>Instead</w:t>
      </w:r>
      <w:r>
        <w:rPr>
          <w:spacing w:val="-5"/>
        </w:rPr>
        <w:t> </w:t>
      </w:r>
      <w:r>
        <w:rPr/>
        <w:t>of</w:t>
      </w:r>
      <w:r>
        <w:rPr>
          <w:spacing w:val="-7"/>
        </w:rPr>
        <w:t> </w:t>
      </w:r>
      <w:r>
        <w:rPr/>
        <w:t>sparing</w:t>
      </w:r>
      <w:r>
        <w:rPr>
          <w:spacing w:val="-11"/>
        </w:rPr>
        <w:t> </w:t>
      </w:r>
      <w:r>
        <w:rPr/>
        <w:t>her,</w:t>
      </w:r>
      <w:r>
        <w:rPr>
          <w:spacing w:val="-7"/>
        </w:rPr>
        <w:t> </w:t>
      </w:r>
      <w:r>
        <w:rPr/>
        <w:t>Othello, in</w:t>
      </w:r>
      <w:r>
        <w:rPr>
          <w:spacing w:val="-5"/>
        </w:rPr>
        <w:t> </w:t>
      </w:r>
      <w:r>
        <w:rPr/>
        <w:t>his</w:t>
      </w:r>
      <w:r>
        <w:rPr>
          <w:spacing w:val="-5"/>
        </w:rPr>
        <w:t> </w:t>
      </w:r>
      <w:r>
        <w:rPr/>
        <w:t>rage,</w:t>
      </w:r>
      <w:r>
        <w:rPr>
          <w:spacing w:val="-3"/>
        </w:rPr>
        <w:t> </w:t>
      </w:r>
      <w:r>
        <w:rPr/>
        <w:t>refused</w:t>
      </w:r>
      <w:r>
        <w:rPr>
          <w:spacing w:val="-1"/>
        </w:rPr>
        <w:t> </w:t>
      </w:r>
      <w:r>
        <w:rPr/>
        <w:t>mercy.</w:t>
      </w:r>
      <w:r>
        <w:rPr>
          <w:spacing w:val="-3"/>
        </w:rPr>
        <w:t> </w:t>
      </w:r>
      <w:r>
        <w:rPr/>
        <w:t>He</w:t>
      </w:r>
      <w:r>
        <w:rPr>
          <w:spacing w:val="-6"/>
        </w:rPr>
        <w:t> </w:t>
      </w:r>
      <w:r>
        <w:rPr/>
        <w:t>smothered</w:t>
      </w:r>
      <w:r>
        <w:rPr>
          <w:spacing w:val="-3"/>
        </w:rPr>
        <w:t> </w:t>
      </w:r>
      <w:r>
        <w:rPr/>
        <w:t>Desdemona.</w:t>
      </w:r>
      <w:r>
        <w:rPr>
          <w:spacing w:val="-13"/>
        </w:rPr>
        <w:t> </w:t>
      </w:r>
      <w:r>
        <w:rPr/>
        <w:t>As</w:t>
      </w:r>
      <w:r>
        <w:rPr>
          <w:spacing w:val="-2"/>
        </w:rPr>
        <w:t> </w:t>
      </w:r>
      <w:r>
        <w:rPr/>
        <w:t>the</w:t>
      </w:r>
      <w:r>
        <w:rPr>
          <w:spacing w:val="-5"/>
        </w:rPr>
        <w:t> </w:t>
      </w:r>
      <w:r>
        <w:rPr/>
        <w:t>door</w:t>
      </w:r>
      <w:r>
        <w:rPr>
          <w:spacing w:val="-3"/>
        </w:rPr>
        <w:t> </w:t>
      </w:r>
      <w:r>
        <w:rPr/>
        <w:t>burst open, Emilia, rising from her seat, confirmed Desdemona’s death. She brought</w:t>
      </w:r>
      <w:r>
        <w:rPr>
          <w:spacing w:val="-2"/>
        </w:rPr>
        <w:t> </w:t>
      </w:r>
      <w:r>
        <w:rPr/>
        <w:t>news that</w:t>
      </w:r>
      <w:r>
        <w:rPr>
          <w:spacing w:val="-2"/>
        </w:rPr>
        <w:t> </w:t>
      </w:r>
      <w:r>
        <w:rPr/>
        <w:t>Cassio was</w:t>
      </w:r>
      <w:r>
        <w:rPr>
          <w:spacing w:val="-4"/>
        </w:rPr>
        <w:t> </w:t>
      </w:r>
      <w:r>
        <w:rPr/>
        <w:t>still alive,</w:t>
      </w:r>
      <w:r>
        <w:rPr>
          <w:spacing w:val="-2"/>
        </w:rPr>
        <w:t> </w:t>
      </w:r>
      <w:r>
        <w:rPr/>
        <w:t>but that</w:t>
      </w:r>
      <w:r>
        <w:rPr>
          <w:spacing w:val="-3"/>
        </w:rPr>
        <w:t> </w:t>
      </w:r>
      <w:r>
        <w:rPr/>
        <w:t>his attacker,</w:t>
      </w:r>
      <w:r>
        <w:rPr>
          <w:spacing w:val="-2"/>
        </w:rPr>
        <w:t> </w:t>
      </w:r>
      <w:r>
        <w:rPr/>
        <w:t>Roderigo, was dead. Othello realized he had murdered the wrong person. In anguish,</w:t>
      </w:r>
      <w:r>
        <w:rPr>
          <w:spacing w:val="-5"/>
        </w:rPr>
        <w:t> </w:t>
      </w:r>
      <w:r>
        <w:rPr/>
        <w:t>he</w:t>
      </w:r>
      <w:r>
        <w:rPr>
          <w:spacing w:val="-3"/>
        </w:rPr>
        <w:t> </w:t>
      </w:r>
      <w:r>
        <w:rPr/>
        <w:t>questioned</w:t>
      </w:r>
      <w:r>
        <w:rPr>
          <w:spacing w:val="-5"/>
        </w:rPr>
        <w:t> </w:t>
      </w:r>
      <w:r>
        <w:rPr/>
        <w:t>Emilia,</w:t>
      </w:r>
      <w:r>
        <w:rPr>
          <w:spacing w:val="-4"/>
        </w:rPr>
        <w:t> </w:t>
      </w:r>
      <w:r>
        <w:rPr/>
        <w:t>who</w:t>
      </w:r>
      <w:r>
        <w:rPr>
          <w:spacing w:val="-4"/>
        </w:rPr>
        <w:t> </w:t>
      </w:r>
      <w:r>
        <w:rPr/>
        <w:t>ran</w:t>
      </w:r>
      <w:r>
        <w:rPr>
          <w:spacing w:val="-5"/>
        </w:rPr>
        <w:t> </w:t>
      </w:r>
      <w:r>
        <w:rPr/>
        <w:t>to</w:t>
      </w:r>
      <w:r>
        <w:rPr>
          <w:spacing w:val="-5"/>
        </w:rPr>
        <w:t> </w:t>
      </w:r>
      <w:r>
        <w:rPr/>
        <w:t>see</w:t>
      </w:r>
      <w:r>
        <w:rPr>
          <w:spacing w:val="-5"/>
        </w:rPr>
        <w:t> </w:t>
      </w:r>
      <w:r>
        <w:rPr/>
        <w:t>Desdemona.</w:t>
      </w:r>
      <w:r>
        <w:rPr>
          <w:spacing w:val="-5"/>
        </w:rPr>
        <w:t> </w:t>
      </w:r>
      <w:r>
        <w:rPr/>
        <w:t>Desdemona, on</w:t>
      </w:r>
      <w:r>
        <w:rPr>
          <w:spacing w:val="-12"/>
        </w:rPr>
        <w:t> </w:t>
      </w:r>
      <w:r>
        <w:rPr/>
        <w:t>her</w:t>
      </w:r>
      <w:r>
        <w:rPr>
          <w:spacing w:val="-10"/>
        </w:rPr>
        <w:t> </w:t>
      </w:r>
      <w:r>
        <w:rPr/>
        <w:t>deathbed,</w:t>
      </w:r>
      <w:r>
        <w:rPr>
          <w:spacing w:val="-8"/>
        </w:rPr>
        <w:t> </w:t>
      </w:r>
      <w:r>
        <w:rPr/>
        <w:t>denied</w:t>
      </w:r>
      <w:r>
        <w:rPr>
          <w:spacing w:val="-8"/>
        </w:rPr>
        <w:t> </w:t>
      </w:r>
      <w:r>
        <w:rPr/>
        <w:t>any</w:t>
      </w:r>
      <w:r>
        <w:rPr>
          <w:spacing w:val="-12"/>
        </w:rPr>
        <w:t> </w:t>
      </w:r>
      <w:r>
        <w:rPr/>
        <w:t>falsehood</w:t>
      </w:r>
      <w:r>
        <w:rPr>
          <w:spacing w:val="-8"/>
        </w:rPr>
        <w:t> </w:t>
      </w:r>
      <w:r>
        <w:rPr/>
        <w:t>and</w:t>
      </w:r>
      <w:r>
        <w:rPr>
          <w:spacing w:val="-10"/>
        </w:rPr>
        <w:t> </w:t>
      </w:r>
      <w:r>
        <w:rPr/>
        <w:t>declared</w:t>
      </w:r>
      <w:r>
        <w:rPr>
          <w:spacing w:val="-10"/>
        </w:rPr>
        <w:t> </w:t>
      </w:r>
      <w:r>
        <w:rPr/>
        <w:t>her</w:t>
      </w:r>
      <w:r>
        <w:rPr>
          <w:spacing w:val="-10"/>
        </w:rPr>
        <w:t> </w:t>
      </w:r>
      <w:r>
        <w:rPr/>
        <w:t>suicide.</w:t>
      </w:r>
      <w:r>
        <w:rPr>
          <w:spacing w:val="-10"/>
        </w:rPr>
        <w:t> </w:t>
      </w:r>
      <w:r>
        <w:rPr/>
        <w:t>Othello, </w:t>
      </w:r>
      <w:r>
        <w:rPr>
          <w:spacing w:val="-2"/>
        </w:rPr>
        <w:t>distraught, admitted</w:t>
      </w:r>
      <w:r>
        <w:rPr>
          <w:spacing w:val="-4"/>
        </w:rPr>
        <w:t> </w:t>
      </w:r>
      <w:r>
        <w:rPr>
          <w:spacing w:val="-2"/>
        </w:rPr>
        <w:t>his crime.</w:t>
      </w:r>
      <w:r>
        <w:rPr>
          <w:spacing w:val="-4"/>
        </w:rPr>
        <w:t> </w:t>
      </w:r>
      <w:r>
        <w:rPr>
          <w:spacing w:val="-2"/>
        </w:rPr>
        <w:t>Emilia’s cries</w:t>
      </w:r>
      <w:r>
        <w:rPr>
          <w:spacing w:val="-4"/>
        </w:rPr>
        <w:t> </w:t>
      </w:r>
      <w:r>
        <w:rPr>
          <w:spacing w:val="-2"/>
        </w:rPr>
        <w:t>summoned the</w:t>
      </w:r>
      <w:r>
        <w:rPr>
          <w:spacing w:val="-4"/>
        </w:rPr>
        <w:t> </w:t>
      </w:r>
      <w:r>
        <w:rPr>
          <w:spacing w:val="-2"/>
        </w:rPr>
        <w:t>officers, and </w:t>
      </w:r>
      <w:r>
        <w:rPr/>
        <w:t>now Othello awaited justice. Modern feminist criticism has played a crucial</w:t>
      </w:r>
      <w:r>
        <w:rPr>
          <w:spacing w:val="-13"/>
        </w:rPr>
        <w:t> </w:t>
      </w:r>
      <w:r>
        <w:rPr/>
        <w:t>role</w:t>
      </w:r>
      <w:r>
        <w:rPr>
          <w:spacing w:val="-12"/>
        </w:rPr>
        <w:t> </w:t>
      </w:r>
      <w:r>
        <w:rPr/>
        <w:t>in</w:t>
      </w:r>
      <w:r>
        <w:rPr>
          <w:spacing w:val="-13"/>
        </w:rPr>
        <w:t> </w:t>
      </w:r>
      <w:r>
        <w:rPr/>
        <w:t>reassessing</w:t>
      </w:r>
      <w:r>
        <w:rPr>
          <w:spacing w:val="-12"/>
        </w:rPr>
        <w:t> </w:t>
      </w:r>
      <w:r>
        <w:rPr/>
        <w:t>Shakespeare’s</w:t>
      </w:r>
      <w:r>
        <w:rPr>
          <w:spacing w:val="-13"/>
        </w:rPr>
        <w:t> </w:t>
      </w:r>
      <w:r>
        <w:rPr/>
        <w:t>female</w:t>
      </w:r>
      <w:r>
        <w:rPr>
          <w:spacing w:val="-12"/>
        </w:rPr>
        <w:t> </w:t>
      </w:r>
      <w:r>
        <w:rPr/>
        <w:t>characters.</w:t>
      </w:r>
      <w:r>
        <w:rPr>
          <w:spacing w:val="-13"/>
        </w:rPr>
        <w:t> </w:t>
      </w:r>
      <w:r>
        <w:rPr/>
        <w:t>Critics</w:t>
      </w:r>
      <w:r>
        <w:rPr>
          <w:spacing w:val="-12"/>
        </w:rPr>
        <w:t> </w:t>
      </w:r>
      <w:r>
        <w:rPr/>
        <w:t>argue that Shakespeare grants women symbolic authority through emotional expression. Grief becomes a form of resistance against patriarchal silencing. From a psychoanalytic perspective, mourning reflects the psychological consequences of loss and trauma. Sigmund Freud’s distinction between mourning and melancholia helps illuminate </w:t>
      </w:r>
      <w:r>
        <w:rPr>
          <w:spacing w:val="-2"/>
        </w:rPr>
        <w:t>Shakespeare’s</w:t>
      </w:r>
      <w:r>
        <w:rPr>
          <w:spacing w:val="-9"/>
        </w:rPr>
        <w:t> </w:t>
      </w:r>
      <w:r>
        <w:rPr>
          <w:spacing w:val="-2"/>
        </w:rPr>
        <w:t>characters:</w:t>
      </w:r>
      <w:r>
        <w:rPr>
          <w:spacing w:val="-10"/>
        </w:rPr>
        <w:t> </w:t>
      </w:r>
      <w:r>
        <w:rPr>
          <w:spacing w:val="-2"/>
        </w:rPr>
        <w:t>mourning</w:t>
      </w:r>
      <w:r>
        <w:rPr>
          <w:spacing w:val="-9"/>
        </w:rPr>
        <w:t> </w:t>
      </w:r>
      <w:r>
        <w:rPr>
          <w:spacing w:val="-2"/>
        </w:rPr>
        <w:t>involves</w:t>
      </w:r>
      <w:r>
        <w:rPr>
          <w:spacing w:val="-9"/>
        </w:rPr>
        <w:t> </w:t>
      </w:r>
      <w:r>
        <w:rPr>
          <w:spacing w:val="-2"/>
        </w:rPr>
        <w:t>recognition</w:t>
      </w:r>
      <w:r>
        <w:rPr>
          <w:spacing w:val="-9"/>
        </w:rPr>
        <w:t> </w:t>
      </w:r>
      <w:r>
        <w:rPr>
          <w:spacing w:val="-2"/>
        </w:rPr>
        <w:t>of</w:t>
      </w:r>
      <w:r>
        <w:rPr>
          <w:spacing w:val="-11"/>
        </w:rPr>
        <w:t> </w:t>
      </w:r>
      <w:r>
        <w:rPr>
          <w:spacing w:val="-2"/>
        </w:rPr>
        <w:t>loss,</w:t>
      </w:r>
      <w:r>
        <w:rPr>
          <w:spacing w:val="-4"/>
        </w:rPr>
        <w:t> </w:t>
      </w:r>
      <w:r>
        <w:rPr>
          <w:spacing w:val="-2"/>
        </w:rPr>
        <w:t>whereas </w:t>
      </w:r>
      <w:r>
        <w:rPr/>
        <w:t>melancholia produces psychological fragmentation. Shakespeare anticipates such psychological complexities centuries before modern </w:t>
      </w:r>
      <w:r>
        <w:rPr>
          <w:spacing w:val="-2"/>
        </w:rPr>
        <w:t>theory.</w:t>
      </w:r>
    </w:p>
    <w:p>
      <w:pPr>
        <w:pStyle w:val="Heading3"/>
        <w:spacing w:before="140"/>
        <w:jc w:val="both"/>
        <w:rPr>
          <w:rFonts w:ascii="Cambria"/>
          <w:i/>
        </w:rPr>
      </w:pPr>
      <w:r>
        <w:rPr>
          <w:w w:val="90"/>
        </w:rPr>
        <w:t>GRIEF,</w:t>
      </w:r>
      <w:r>
        <w:rPr>
          <w:spacing w:val="-1"/>
          <w:w w:val="90"/>
        </w:rPr>
        <w:t> </w:t>
      </w:r>
      <w:r>
        <w:rPr>
          <w:w w:val="90"/>
        </w:rPr>
        <w:t>MADNESS,</w:t>
      </w:r>
      <w:r>
        <w:rPr>
          <w:spacing w:val="-6"/>
        </w:rPr>
        <w:t> </w:t>
      </w:r>
      <w:r>
        <w:rPr>
          <w:w w:val="90"/>
        </w:rPr>
        <w:t>AND</w:t>
      </w:r>
      <w:r>
        <w:rPr>
          <w:spacing w:val="-1"/>
          <w:w w:val="90"/>
        </w:rPr>
        <w:t> </w:t>
      </w:r>
      <w:r>
        <w:rPr>
          <w:w w:val="90"/>
        </w:rPr>
        <w:t>SILENCE:</w:t>
      </w:r>
      <w:r>
        <w:rPr>
          <w:spacing w:val="-5"/>
        </w:rPr>
        <w:t> </w:t>
      </w:r>
      <w:r>
        <w:rPr>
          <w:w w:val="90"/>
        </w:rPr>
        <w:t>OPHELIA</w:t>
      </w:r>
      <w:r>
        <w:rPr>
          <w:spacing w:val="-1"/>
          <w:w w:val="90"/>
        </w:rPr>
        <w:t> </w:t>
      </w:r>
      <w:r>
        <w:rPr>
          <w:w w:val="90"/>
        </w:rPr>
        <w:t>IN</w:t>
      </w:r>
      <w:r>
        <w:rPr>
          <w:spacing w:val="1"/>
        </w:rPr>
        <w:t> </w:t>
      </w:r>
      <w:r>
        <w:rPr>
          <w:rFonts w:ascii="Cambria"/>
          <w:i/>
          <w:spacing w:val="-2"/>
          <w:w w:val="90"/>
        </w:rPr>
        <w:t>HAMLET:</w:t>
      </w:r>
    </w:p>
    <w:p>
      <w:pPr>
        <w:pStyle w:val="BodyText"/>
        <w:spacing w:line="249" w:lineRule="auto" w:before="74"/>
        <w:ind w:right="1438" w:firstLine="432"/>
        <w:jc w:val="both"/>
      </w:pPr>
      <w:r>
        <w:rPr/>
        <w:t>Before her death, Desdemona confessed her innocence. Yet, the accusation of infidelity remained baseless. She urged Othello to acknowledge</w:t>
      </w:r>
      <w:r>
        <w:rPr>
          <w:spacing w:val="-6"/>
        </w:rPr>
        <w:t> </w:t>
      </w:r>
      <w:r>
        <w:rPr/>
        <w:t>their</w:t>
      </w:r>
      <w:r>
        <w:rPr>
          <w:spacing w:val="-7"/>
        </w:rPr>
        <w:t> </w:t>
      </w:r>
      <w:r>
        <w:rPr/>
        <w:t>love,</w:t>
      </w:r>
      <w:r>
        <w:rPr>
          <w:spacing w:val="-5"/>
        </w:rPr>
        <w:t> </w:t>
      </w:r>
      <w:r>
        <w:rPr/>
        <w:t>but</w:t>
      </w:r>
      <w:r>
        <w:rPr>
          <w:spacing w:val="-7"/>
        </w:rPr>
        <w:t> </w:t>
      </w:r>
      <w:r>
        <w:rPr/>
        <w:t>he</w:t>
      </w:r>
      <w:r>
        <w:rPr>
          <w:spacing w:val="-6"/>
        </w:rPr>
        <w:t> </w:t>
      </w:r>
      <w:r>
        <w:rPr/>
        <w:t>denied</w:t>
      </w:r>
      <w:r>
        <w:rPr>
          <w:spacing w:val="-7"/>
        </w:rPr>
        <w:t> </w:t>
      </w:r>
      <w:r>
        <w:rPr/>
        <w:t>it.</w:t>
      </w:r>
      <w:r>
        <w:rPr>
          <w:spacing w:val="-5"/>
        </w:rPr>
        <w:t> </w:t>
      </w:r>
      <w:r>
        <w:rPr/>
        <w:t>Instead</w:t>
      </w:r>
      <w:r>
        <w:rPr>
          <w:spacing w:val="-5"/>
        </w:rPr>
        <w:t> </w:t>
      </w:r>
      <w:r>
        <w:rPr/>
        <w:t>of</w:t>
      </w:r>
      <w:r>
        <w:rPr>
          <w:spacing w:val="-7"/>
        </w:rPr>
        <w:t> </w:t>
      </w:r>
      <w:r>
        <w:rPr/>
        <w:t>sparing</w:t>
      </w:r>
      <w:r>
        <w:rPr>
          <w:spacing w:val="-11"/>
        </w:rPr>
        <w:t> </w:t>
      </w:r>
      <w:r>
        <w:rPr/>
        <w:t>her,</w:t>
      </w:r>
      <w:r>
        <w:rPr>
          <w:spacing w:val="-7"/>
        </w:rPr>
        <w:t> </w:t>
      </w:r>
      <w:r>
        <w:rPr/>
        <w:t>Othello, in</w:t>
      </w:r>
      <w:r>
        <w:rPr>
          <w:spacing w:val="-5"/>
        </w:rPr>
        <w:t> </w:t>
      </w:r>
      <w:r>
        <w:rPr/>
        <w:t>his</w:t>
      </w:r>
      <w:r>
        <w:rPr>
          <w:spacing w:val="-5"/>
        </w:rPr>
        <w:t> </w:t>
      </w:r>
      <w:r>
        <w:rPr/>
        <w:t>rage,</w:t>
      </w:r>
      <w:r>
        <w:rPr>
          <w:spacing w:val="-3"/>
        </w:rPr>
        <w:t> </w:t>
      </w:r>
      <w:r>
        <w:rPr/>
        <w:t>refused</w:t>
      </w:r>
      <w:r>
        <w:rPr>
          <w:spacing w:val="-1"/>
        </w:rPr>
        <w:t> </w:t>
      </w:r>
      <w:r>
        <w:rPr/>
        <w:t>mercy.</w:t>
      </w:r>
      <w:r>
        <w:rPr>
          <w:spacing w:val="-3"/>
        </w:rPr>
        <w:t> </w:t>
      </w:r>
      <w:r>
        <w:rPr/>
        <w:t>He</w:t>
      </w:r>
      <w:r>
        <w:rPr>
          <w:spacing w:val="-6"/>
        </w:rPr>
        <w:t> </w:t>
      </w:r>
      <w:r>
        <w:rPr/>
        <w:t>smothered</w:t>
      </w:r>
      <w:r>
        <w:rPr>
          <w:spacing w:val="-3"/>
        </w:rPr>
        <w:t> </w:t>
      </w:r>
      <w:r>
        <w:rPr/>
        <w:t>Desdemona.</w:t>
      </w:r>
      <w:r>
        <w:rPr>
          <w:spacing w:val="-13"/>
        </w:rPr>
        <w:t> </w:t>
      </w:r>
      <w:r>
        <w:rPr/>
        <w:t>As</w:t>
      </w:r>
      <w:r>
        <w:rPr>
          <w:spacing w:val="-2"/>
        </w:rPr>
        <w:t> </w:t>
      </w:r>
      <w:r>
        <w:rPr/>
        <w:t>the</w:t>
      </w:r>
      <w:r>
        <w:rPr>
          <w:spacing w:val="-5"/>
        </w:rPr>
        <w:t> </w:t>
      </w:r>
      <w:r>
        <w:rPr/>
        <w:t>door</w:t>
      </w:r>
      <w:r>
        <w:rPr>
          <w:spacing w:val="-3"/>
        </w:rPr>
        <w:t> </w:t>
      </w:r>
      <w:r>
        <w:rPr/>
        <w:t>burst open, Emilia, rising from her seat, confirmed Desdemona’s death. She brought</w:t>
      </w:r>
      <w:r>
        <w:rPr>
          <w:spacing w:val="-2"/>
        </w:rPr>
        <w:t> </w:t>
      </w:r>
      <w:r>
        <w:rPr/>
        <w:t>news that</w:t>
      </w:r>
      <w:r>
        <w:rPr>
          <w:spacing w:val="-2"/>
        </w:rPr>
        <w:t> </w:t>
      </w:r>
      <w:r>
        <w:rPr/>
        <w:t>Cassio was</w:t>
      </w:r>
      <w:r>
        <w:rPr>
          <w:spacing w:val="-4"/>
        </w:rPr>
        <w:t> </w:t>
      </w:r>
      <w:r>
        <w:rPr/>
        <w:t>still alive,</w:t>
      </w:r>
      <w:r>
        <w:rPr>
          <w:spacing w:val="-2"/>
        </w:rPr>
        <w:t> </w:t>
      </w:r>
      <w:r>
        <w:rPr/>
        <w:t>but that</w:t>
      </w:r>
      <w:r>
        <w:rPr>
          <w:spacing w:val="-3"/>
        </w:rPr>
        <w:t> </w:t>
      </w:r>
      <w:r>
        <w:rPr/>
        <w:t>his attacker,</w:t>
      </w:r>
      <w:r>
        <w:rPr>
          <w:spacing w:val="-2"/>
        </w:rPr>
        <w:t> </w:t>
      </w:r>
      <w:r>
        <w:rPr/>
        <w:t>Roderigo, was dead. Othello realized he had murdered the wrong person. In anguish,</w:t>
      </w:r>
      <w:r>
        <w:rPr>
          <w:spacing w:val="-5"/>
        </w:rPr>
        <w:t> </w:t>
      </w:r>
      <w:r>
        <w:rPr/>
        <w:t>he</w:t>
      </w:r>
      <w:r>
        <w:rPr>
          <w:spacing w:val="-3"/>
        </w:rPr>
        <w:t> </w:t>
      </w:r>
      <w:r>
        <w:rPr/>
        <w:t>questioned</w:t>
      </w:r>
      <w:r>
        <w:rPr>
          <w:spacing w:val="-5"/>
        </w:rPr>
        <w:t> </w:t>
      </w:r>
      <w:r>
        <w:rPr/>
        <w:t>Emilia,</w:t>
      </w:r>
      <w:r>
        <w:rPr>
          <w:spacing w:val="-4"/>
        </w:rPr>
        <w:t> </w:t>
      </w:r>
      <w:r>
        <w:rPr/>
        <w:t>who</w:t>
      </w:r>
      <w:r>
        <w:rPr>
          <w:spacing w:val="-4"/>
        </w:rPr>
        <w:t> </w:t>
      </w:r>
      <w:r>
        <w:rPr/>
        <w:t>ran</w:t>
      </w:r>
      <w:r>
        <w:rPr>
          <w:spacing w:val="-5"/>
        </w:rPr>
        <w:t> </w:t>
      </w:r>
      <w:r>
        <w:rPr/>
        <w:t>to</w:t>
      </w:r>
      <w:r>
        <w:rPr>
          <w:spacing w:val="-5"/>
        </w:rPr>
        <w:t> </w:t>
      </w:r>
      <w:r>
        <w:rPr/>
        <w:t>see</w:t>
      </w:r>
      <w:r>
        <w:rPr>
          <w:spacing w:val="-5"/>
        </w:rPr>
        <w:t> </w:t>
      </w:r>
      <w:r>
        <w:rPr/>
        <w:t>Desdemona.</w:t>
      </w:r>
      <w:r>
        <w:rPr>
          <w:spacing w:val="-5"/>
        </w:rPr>
        <w:t> </w:t>
      </w:r>
      <w:r>
        <w:rPr/>
        <w:t>Desdemona, on</w:t>
      </w:r>
      <w:r>
        <w:rPr>
          <w:spacing w:val="-12"/>
        </w:rPr>
        <w:t> </w:t>
      </w:r>
      <w:r>
        <w:rPr/>
        <w:t>her</w:t>
      </w:r>
      <w:r>
        <w:rPr>
          <w:spacing w:val="-10"/>
        </w:rPr>
        <w:t> </w:t>
      </w:r>
      <w:r>
        <w:rPr/>
        <w:t>deathbed,</w:t>
      </w:r>
      <w:r>
        <w:rPr>
          <w:spacing w:val="-8"/>
        </w:rPr>
        <w:t> </w:t>
      </w:r>
      <w:r>
        <w:rPr/>
        <w:t>denied</w:t>
      </w:r>
      <w:r>
        <w:rPr>
          <w:spacing w:val="-8"/>
        </w:rPr>
        <w:t> </w:t>
      </w:r>
      <w:r>
        <w:rPr/>
        <w:t>any</w:t>
      </w:r>
      <w:r>
        <w:rPr>
          <w:spacing w:val="-12"/>
        </w:rPr>
        <w:t> </w:t>
      </w:r>
      <w:r>
        <w:rPr/>
        <w:t>falsehood</w:t>
      </w:r>
      <w:r>
        <w:rPr>
          <w:spacing w:val="-8"/>
        </w:rPr>
        <w:t> </w:t>
      </w:r>
      <w:r>
        <w:rPr/>
        <w:t>and</w:t>
      </w:r>
      <w:r>
        <w:rPr>
          <w:spacing w:val="-10"/>
        </w:rPr>
        <w:t> </w:t>
      </w:r>
      <w:r>
        <w:rPr/>
        <w:t>declared</w:t>
      </w:r>
      <w:r>
        <w:rPr>
          <w:spacing w:val="-10"/>
        </w:rPr>
        <w:t> </w:t>
      </w:r>
      <w:r>
        <w:rPr/>
        <w:t>her</w:t>
      </w:r>
      <w:r>
        <w:rPr>
          <w:spacing w:val="-10"/>
        </w:rPr>
        <w:t> </w:t>
      </w:r>
      <w:r>
        <w:rPr/>
        <w:t>suicide.</w:t>
      </w:r>
      <w:r>
        <w:rPr>
          <w:spacing w:val="-10"/>
        </w:rPr>
        <w:t> </w:t>
      </w:r>
      <w:r>
        <w:rPr/>
        <w:t>Othello, </w:t>
      </w:r>
      <w:r>
        <w:rPr>
          <w:spacing w:val="-2"/>
        </w:rPr>
        <w:t>distraught, admitted</w:t>
      </w:r>
      <w:r>
        <w:rPr>
          <w:spacing w:val="-4"/>
        </w:rPr>
        <w:t> </w:t>
      </w:r>
      <w:r>
        <w:rPr>
          <w:spacing w:val="-2"/>
        </w:rPr>
        <w:t>his crime.</w:t>
      </w:r>
      <w:r>
        <w:rPr>
          <w:spacing w:val="-4"/>
        </w:rPr>
        <w:t> </w:t>
      </w:r>
      <w:r>
        <w:rPr>
          <w:spacing w:val="-2"/>
        </w:rPr>
        <w:t>Emilia’s cries</w:t>
      </w:r>
      <w:r>
        <w:rPr>
          <w:spacing w:val="-4"/>
        </w:rPr>
        <w:t> </w:t>
      </w:r>
      <w:r>
        <w:rPr>
          <w:spacing w:val="-2"/>
        </w:rPr>
        <w:t>summoned the</w:t>
      </w:r>
      <w:r>
        <w:rPr>
          <w:spacing w:val="-4"/>
        </w:rPr>
        <w:t> </w:t>
      </w:r>
      <w:r>
        <w:rPr>
          <w:spacing w:val="-2"/>
        </w:rPr>
        <w:t>officers, and </w:t>
      </w:r>
      <w:r>
        <w:rPr/>
        <w:t>now Othello awaited justice.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36160">
                <wp:simplePos x="0" y="0"/>
                <wp:positionH relativeFrom="page">
                  <wp:posOffset>2057400</wp:posOffset>
                </wp:positionH>
                <wp:positionV relativeFrom="paragraph">
                  <wp:posOffset>162604</wp:posOffset>
                </wp:positionV>
                <wp:extent cx="3657600" cy="12700"/>
                <wp:effectExtent l="0" t="0" r="0" b="0"/>
                <wp:wrapTopAndBottom/>
                <wp:docPr id="677" name="Graphic 677"/>
                <wp:cNvGraphicFramePr>
                  <a:graphicFrameLocks/>
                </wp:cNvGraphicFramePr>
                <a:graphic>
                  <a:graphicData uri="http://schemas.microsoft.com/office/word/2010/wordprocessingShape">
                    <wps:wsp>
                      <wps:cNvPr id="677" name="Graphic 67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80320;mso-wrap-distance-left:0;mso-wrap-distance-right:0" id="docshape669" filled="true" fillcolor="#000000" stroked="false">
                <v:fill type="solid"/>
                <w10:wrap type="topAndBottom"/>
              </v:rect>
            </w:pict>
          </mc:Fallback>
        </mc:AlternateContent>
      </w:r>
      <w:r>
        <w:rPr>
          <w:rFonts w:ascii="Verdana"/>
          <w:spacing w:val="-5"/>
          <w:sz w:val="18"/>
        </w:rPr>
        <w:t>332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ind w:left="0"/>
        <w:rPr>
          <w:rFonts w:ascii="Verdana"/>
          <w:sz w:val="23"/>
        </w:rPr>
      </w:pPr>
    </w:p>
    <w:p>
      <w:pPr>
        <w:pStyle w:val="BodyText"/>
        <w:spacing w:before="62"/>
        <w:ind w:left="0"/>
        <w:rPr>
          <w:rFonts w:ascii="Verdana"/>
          <w:sz w:val="23"/>
        </w:rPr>
      </w:pPr>
    </w:p>
    <w:p>
      <w:pPr>
        <w:pStyle w:val="Heading3"/>
        <w:spacing w:before="1"/>
        <w:ind w:right="1437"/>
      </w:pPr>
      <w:r>
        <w:rPr>
          <w:w w:val="90"/>
        </w:rPr>
        <w:t>GERTRUDE:</w:t>
      </w:r>
      <w:r>
        <w:rPr>
          <w:spacing w:val="40"/>
        </w:rPr>
        <w:t> </w:t>
      </w:r>
      <w:r>
        <w:rPr>
          <w:w w:val="90"/>
        </w:rPr>
        <w:t>POLITICAL</w:t>
      </w:r>
      <w:r>
        <w:rPr>
          <w:spacing w:val="40"/>
        </w:rPr>
        <w:t> </w:t>
      </w:r>
      <w:r>
        <w:rPr>
          <w:w w:val="90"/>
        </w:rPr>
        <w:t>SURVIVAL</w:t>
      </w:r>
      <w:r>
        <w:rPr>
          <w:spacing w:val="40"/>
        </w:rPr>
        <w:t> </w:t>
      </w:r>
      <w:r>
        <w:rPr>
          <w:w w:val="90"/>
        </w:rPr>
        <w:t>AND</w:t>
      </w:r>
      <w:r>
        <w:rPr>
          <w:spacing w:val="40"/>
        </w:rPr>
        <w:t> </w:t>
      </w:r>
      <w:r>
        <w:rPr>
          <w:w w:val="90"/>
        </w:rPr>
        <w:t>AMBIGUOUS </w:t>
      </w:r>
      <w:r>
        <w:rPr/>
        <w:t>MOURNING QUEEN:</w:t>
      </w:r>
    </w:p>
    <w:p>
      <w:pPr>
        <w:pStyle w:val="BodyText"/>
        <w:spacing w:line="249" w:lineRule="auto" w:before="73"/>
        <w:ind w:right="1440" w:firstLine="432"/>
        <w:jc w:val="both"/>
      </w:pPr>
      <w:r>
        <w:rPr/>
        <w:t>Gertrude</w:t>
      </w:r>
      <w:r>
        <w:rPr>
          <w:spacing w:val="-13"/>
        </w:rPr>
        <w:t> </w:t>
      </w:r>
      <w:r>
        <w:rPr/>
        <w:t>offers</w:t>
      </w:r>
      <w:r>
        <w:rPr>
          <w:spacing w:val="-12"/>
        </w:rPr>
        <w:t> </w:t>
      </w:r>
      <w:r>
        <w:rPr/>
        <w:t>a</w:t>
      </w:r>
      <w:r>
        <w:rPr>
          <w:spacing w:val="-13"/>
        </w:rPr>
        <w:t> </w:t>
      </w:r>
      <w:r>
        <w:rPr/>
        <w:t>contrasting</w:t>
      </w:r>
      <w:r>
        <w:rPr>
          <w:spacing w:val="-12"/>
        </w:rPr>
        <w:t> </w:t>
      </w:r>
      <w:r>
        <w:rPr/>
        <w:t>form</w:t>
      </w:r>
      <w:r>
        <w:rPr>
          <w:spacing w:val="-13"/>
        </w:rPr>
        <w:t> </w:t>
      </w:r>
      <w:r>
        <w:rPr/>
        <w:t>of</w:t>
      </w:r>
      <w:r>
        <w:rPr>
          <w:spacing w:val="-12"/>
        </w:rPr>
        <w:t> </w:t>
      </w:r>
      <w:r>
        <w:rPr/>
        <w:t>grief.</w:t>
      </w:r>
      <w:r>
        <w:rPr>
          <w:spacing w:val="-13"/>
        </w:rPr>
        <w:t> </w:t>
      </w:r>
      <w:r>
        <w:rPr/>
        <w:t>Unlike</w:t>
      </w:r>
      <w:r>
        <w:rPr>
          <w:spacing w:val="-12"/>
        </w:rPr>
        <w:t> </w:t>
      </w:r>
      <w:r>
        <w:rPr/>
        <w:t>Ophelia’s</w:t>
      </w:r>
      <w:r>
        <w:rPr>
          <w:spacing w:val="-13"/>
        </w:rPr>
        <w:t> </w:t>
      </w:r>
      <w:r>
        <w:rPr/>
        <w:t>public breakdown, Gertrude restrains her emotions. Her marriage to Claudius, often morally criticized, can now be seen as a survival tactic in a perilous</w:t>
      </w:r>
      <w:r>
        <w:rPr>
          <w:spacing w:val="-13"/>
        </w:rPr>
        <w:t> </w:t>
      </w:r>
      <w:r>
        <w:rPr/>
        <w:t>political</w:t>
      </w:r>
      <w:r>
        <w:rPr>
          <w:spacing w:val="-12"/>
        </w:rPr>
        <w:t> </w:t>
      </w:r>
      <w:r>
        <w:rPr/>
        <w:t>landscape.</w:t>
      </w:r>
      <w:r>
        <w:rPr>
          <w:spacing w:val="-13"/>
        </w:rPr>
        <w:t> </w:t>
      </w:r>
      <w:r>
        <w:rPr/>
        <w:t>Gertrude’s</w:t>
      </w:r>
      <w:r>
        <w:rPr>
          <w:spacing w:val="-12"/>
        </w:rPr>
        <w:t> </w:t>
      </w:r>
      <w:r>
        <w:rPr/>
        <w:t>grief</w:t>
      </w:r>
      <w:r>
        <w:rPr>
          <w:spacing w:val="-13"/>
        </w:rPr>
        <w:t> </w:t>
      </w:r>
      <w:r>
        <w:rPr/>
        <w:t>remains</w:t>
      </w:r>
      <w:r>
        <w:rPr>
          <w:spacing w:val="-12"/>
        </w:rPr>
        <w:t> </w:t>
      </w:r>
      <w:r>
        <w:rPr/>
        <w:t>hidden</w:t>
      </w:r>
      <w:r>
        <w:rPr>
          <w:spacing w:val="-13"/>
        </w:rPr>
        <w:t> </w:t>
      </w:r>
      <w:r>
        <w:rPr/>
        <w:t>beneath</w:t>
      </w:r>
      <w:r>
        <w:rPr>
          <w:spacing w:val="-12"/>
        </w:rPr>
        <w:t> </w:t>
      </w:r>
      <w:r>
        <w:rPr/>
        <w:t>her </w:t>
      </w:r>
      <w:r>
        <w:rPr>
          <w:spacing w:val="-2"/>
        </w:rPr>
        <w:t>public</w:t>
      </w:r>
      <w:r>
        <w:rPr>
          <w:spacing w:val="-11"/>
        </w:rPr>
        <w:t> </w:t>
      </w:r>
      <w:r>
        <w:rPr>
          <w:spacing w:val="-2"/>
        </w:rPr>
        <w:t>role:</w:t>
      </w:r>
      <w:r>
        <w:rPr>
          <w:spacing w:val="-10"/>
        </w:rPr>
        <w:t> </w:t>
      </w:r>
      <w:r>
        <w:rPr>
          <w:spacing w:val="-2"/>
        </w:rPr>
        <w:t>she</w:t>
      </w:r>
      <w:r>
        <w:rPr>
          <w:spacing w:val="-11"/>
        </w:rPr>
        <w:t> </w:t>
      </w:r>
      <w:r>
        <w:rPr>
          <w:spacing w:val="-2"/>
        </w:rPr>
        <w:t>navigates</w:t>
      </w:r>
      <w:r>
        <w:rPr>
          <w:spacing w:val="-10"/>
        </w:rPr>
        <w:t> </w:t>
      </w:r>
      <w:r>
        <w:rPr>
          <w:spacing w:val="-2"/>
        </w:rPr>
        <w:t>maternal</w:t>
      </w:r>
      <w:r>
        <w:rPr>
          <w:spacing w:val="-11"/>
        </w:rPr>
        <w:t> </w:t>
      </w:r>
      <w:r>
        <w:rPr>
          <w:spacing w:val="-2"/>
        </w:rPr>
        <w:t>love,</w:t>
      </w:r>
      <w:r>
        <w:rPr>
          <w:spacing w:val="-10"/>
        </w:rPr>
        <w:t> </w:t>
      </w:r>
      <w:r>
        <w:rPr>
          <w:spacing w:val="-2"/>
        </w:rPr>
        <w:t>royal</w:t>
      </w:r>
      <w:r>
        <w:rPr>
          <w:spacing w:val="-11"/>
        </w:rPr>
        <w:t> </w:t>
      </w:r>
      <w:r>
        <w:rPr>
          <w:spacing w:val="-2"/>
        </w:rPr>
        <w:t>duty,</w:t>
      </w:r>
      <w:r>
        <w:rPr>
          <w:spacing w:val="-10"/>
        </w:rPr>
        <w:t> </w:t>
      </w:r>
      <w:r>
        <w:rPr>
          <w:spacing w:val="-2"/>
        </w:rPr>
        <w:t>and</w:t>
      </w:r>
      <w:r>
        <w:rPr>
          <w:spacing w:val="-11"/>
        </w:rPr>
        <w:t> </w:t>
      </w:r>
      <w:r>
        <w:rPr>
          <w:spacing w:val="-2"/>
        </w:rPr>
        <w:t>personal</w:t>
      </w:r>
      <w:r>
        <w:rPr>
          <w:spacing w:val="-10"/>
        </w:rPr>
        <w:t> </w:t>
      </w:r>
      <w:r>
        <w:rPr>
          <w:spacing w:val="-2"/>
        </w:rPr>
        <w:t>fragility. </w:t>
      </w:r>
      <w:r>
        <w:rPr/>
        <w:t>Shakespeare</w:t>
      </w:r>
      <w:r>
        <w:rPr>
          <w:spacing w:val="-11"/>
        </w:rPr>
        <w:t> </w:t>
      </w:r>
      <w:r>
        <w:rPr/>
        <w:t>leaves</w:t>
      </w:r>
      <w:r>
        <w:rPr>
          <w:spacing w:val="-10"/>
        </w:rPr>
        <w:t> </w:t>
      </w:r>
      <w:r>
        <w:rPr/>
        <w:t>her</w:t>
      </w:r>
      <w:r>
        <w:rPr>
          <w:spacing w:val="-10"/>
        </w:rPr>
        <w:t> </w:t>
      </w:r>
      <w:r>
        <w:rPr/>
        <w:t>internal</w:t>
      </w:r>
      <w:r>
        <w:rPr>
          <w:spacing w:val="-10"/>
        </w:rPr>
        <w:t> </w:t>
      </w:r>
      <w:r>
        <w:rPr/>
        <w:t>emotions</w:t>
      </w:r>
      <w:r>
        <w:rPr>
          <w:spacing w:val="-11"/>
        </w:rPr>
        <w:t> </w:t>
      </w:r>
      <w:r>
        <w:rPr/>
        <w:t>ambiguous,</w:t>
      </w:r>
      <w:r>
        <w:rPr>
          <w:spacing w:val="-8"/>
        </w:rPr>
        <w:t> </w:t>
      </w:r>
      <w:r>
        <w:rPr/>
        <w:t>inviting</w:t>
      </w:r>
      <w:r>
        <w:rPr>
          <w:spacing w:val="-11"/>
        </w:rPr>
        <w:t> </w:t>
      </w:r>
      <w:r>
        <w:rPr/>
        <w:t>audiences to read her grief indirectly. Her death by poisoned wine is a tragic awakening—whether accidental or sacrificial—it signals a recognition of moral decay.</w:t>
      </w:r>
    </w:p>
    <w:p>
      <w:pPr>
        <w:pStyle w:val="Heading3"/>
        <w:spacing w:before="161"/>
        <w:ind w:right="1437"/>
        <w:rPr>
          <w:rFonts w:ascii="Cambria"/>
          <w:i/>
        </w:rPr>
      </w:pPr>
      <w:r>
        <w:rPr/>
        <w:t>DESDEMONA:</w:t>
      </w:r>
      <w:r>
        <w:rPr>
          <w:spacing w:val="40"/>
        </w:rPr>
        <w:t> </w:t>
      </w:r>
      <w:r>
        <w:rPr/>
        <w:t>INNOCENCE,</w:t>
      </w:r>
      <w:r>
        <w:rPr>
          <w:spacing w:val="40"/>
        </w:rPr>
        <w:t> </w:t>
      </w:r>
      <w:r>
        <w:rPr/>
        <w:t>LOVE,</w:t>
      </w:r>
      <w:r>
        <w:rPr>
          <w:spacing w:val="40"/>
        </w:rPr>
        <w:t> </w:t>
      </w:r>
      <w:r>
        <w:rPr/>
        <w:t>AND</w:t>
      </w:r>
      <w:r>
        <w:rPr>
          <w:spacing w:val="40"/>
        </w:rPr>
        <w:t> </w:t>
      </w:r>
      <w:r>
        <w:rPr/>
        <w:t>SILENT </w:t>
      </w:r>
      <w:r>
        <w:rPr>
          <w:spacing w:val="-2"/>
        </w:rPr>
        <w:t>SUFFERING</w:t>
      </w:r>
      <w:r>
        <w:rPr>
          <w:spacing w:val="-15"/>
        </w:rPr>
        <w:t> </w:t>
      </w:r>
      <w:r>
        <w:rPr>
          <w:spacing w:val="-2"/>
        </w:rPr>
        <w:t>IN</w:t>
      </w:r>
      <w:r>
        <w:rPr>
          <w:spacing w:val="-15"/>
        </w:rPr>
        <w:t> </w:t>
      </w:r>
      <w:r>
        <w:rPr>
          <w:rFonts w:ascii="Cambria"/>
          <w:i/>
          <w:spacing w:val="-2"/>
        </w:rPr>
        <w:t>OTHELLO:</w:t>
      </w:r>
    </w:p>
    <w:p>
      <w:pPr>
        <w:pStyle w:val="BodyText"/>
        <w:spacing w:line="264" w:lineRule="auto" w:before="77"/>
        <w:ind w:right="1438" w:firstLine="432"/>
        <w:jc w:val="both"/>
      </w:pPr>
      <w:r>
        <w:rPr>
          <w:i/>
          <w:spacing w:val="-2"/>
        </w:rPr>
        <w:t>Desdemona </w:t>
      </w:r>
      <w:r>
        <w:rPr>
          <w:spacing w:val="-2"/>
        </w:rPr>
        <w:t>represents</w:t>
      </w:r>
      <w:r>
        <w:rPr>
          <w:spacing w:val="-3"/>
        </w:rPr>
        <w:t> </w:t>
      </w:r>
      <w:r>
        <w:rPr>
          <w:spacing w:val="-2"/>
        </w:rPr>
        <w:t>pure</w:t>
      </w:r>
      <w:r>
        <w:rPr>
          <w:spacing w:val="-5"/>
        </w:rPr>
        <w:t> </w:t>
      </w:r>
      <w:r>
        <w:rPr>
          <w:spacing w:val="-2"/>
        </w:rPr>
        <w:t>love</w:t>
      </w:r>
      <w:r>
        <w:rPr>
          <w:spacing w:val="-5"/>
        </w:rPr>
        <w:t> </w:t>
      </w:r>
      <w:r>
        <w:rPr>
          <w:spacing w:val="-2"/>
        </w:rPr>
        <w:t>and</w:t>
      </w:r>
      <w:r>
        <w:rPr>
          <w:spacing w:val="-3"/>
        </w:rPr>
        <w:t> </w:t>
      </w:r>
      <w:r>
        <w:rPr>
          <w:spacing w:val="-2"/>
        </w:rPr>
        <w:t>innocence,</w:t>
      </w:r>
      <w:r>
        <w:rPr>
          <w:spacing w:val="-3"/>
        </w:rPr>
        <w:t> </w:t>
      </w:r>
      <w:r>
        <w:rPr>
          <w:spacing w:val="-2"/>
        </w:rPr>
        <w:t>her</w:t>
      </w:r>
      <w:r>
        <w:rPr>
          <w:spacing w:val="-3"/>
        </w:rPr>
        <w:t> </w:t>
      </w:r>
      <w:r>
        <w:rPr>
          <w:spacing w:val="-2"/>
        </w:rPr>
        <w:t>grief</w:t>
      </w:r>
      <w:r>
        <w:rPr>
          <w:spacing w:val="-6"/>
        </w:rPr>
        <w:t> </w:t>
      </w:r>
      <w:r>
        <w:rPr>
          <w:spacing w:val="-2"/>
        </w:rPr>
        <w:t>stemming </w:t>
      </w:r>
      <w:r>
        <w:rPr/>
        <w:t>not from guilt but from unjust suspicion. Othello’s jealousy warps love into</w:t>
      </w:r>
      <w:r>
        <w:rPr>
          <w:spacing w:val="-13"/>
        </w:rPr>
        <w:t> </w:t>
      </w:r>
      <w:r>
        <w:rPr/>
        <w:t>violence,</w:t>
      </w:r>
      <w:r>
        <w:rPr>
          <w:spacing w:val="-12"/>
        </w:rPr>
        <w:t> </w:t>
      </w:r>
      <w:r>
        <w:rPr/>
        <w:t>showing</w:t>
      </w:r>
      <w:r>
        <w:rPr>
          <w:spacing w:val="-13"/>
        </w:rPr>
        <w:t> </w:t>
      </w:r>
      <w:r>
        <w:rPr/>
        <w:t>how</w:t>
      </w:r>
      <w:r>
        <w:rPr>
          <w:spacing w:val="-12"/>
        </w:rPr>
        <w:t> </w:t>
      </w:r>
      <w:r>
        <w:rPr/>
        <w:t>patriarchal</w:t>
      </w:r>
      <w:r>
        <w:rPr>
          <w:spacing w:val="-13"/>
        </w:rPr>
        <w:t> </w:t>
      </w:r>
      <w:r>
        <w:rPr/>
        <w:t>fear</w:t>
      </w:r>
      <w:r>
        <w:rPr>
          <w:spacing w:val="-12"/>
        </w:rPr>
        <w:t> </w:t>
      </w:r>
      <w:r>
        <w:rPr/>
        <w:t>renders</w:t>
      </w:r>
      <w:r>
        <w:rPr>
          <w:spacing w:val="-13"/>
        </w:rPr>
        <w:t> </w:t>
      </w:r>
      <w:r>
        <w:rPr/>
        <w:t>female</w:t>
      </w:r>
      <w:r>
        <w:rPr>
          <w:spacing w:val="-12"/>
        </w:rPr>
        <w:t> </w:t>
      </w:r>
      <w:r>
        <w:rPr/>
        <w:t>virtue</w:t>
      </w:r>
      <w:r>
        <w:rPr>
          <w:spacing w:val="-13"/>
        </w:rPr>
        <w:t> </w:t>
      </w:r>
      <w:r>
        <w:rPr/>
        <w:t>fragile. Despite</w:t>
      </w:r>
      <w:r>
        <w:rPr>
          <w:spacing w:val="-1"/>
        </w:rPr>
        <w:t> </w:t>
      </w:r>
      <w:r>
        <w:rPr/>
        <w:t>accusations, Desdemona</w:t>
      </w:r>
      <w:r>
        <w:rPr>
          <w:spacing w:val="-1"/>
        </w:rPr>
        <w:t> </w:t>
      </w:r>
      <w:r>
        <w:rPr/>
        <w:t>stays</w:t>
      </w:r>
      <w:r>
        <w:rPr>
          <w:spacing w:val="-1"/>
        </w:rPr>
        <w:t> </w:t>
      </w:r>
      <w:r>
        <w:rPr/>
        <w:t>gentle</w:t>
      </w:r>
      <w:r>
        <w:rPr>
          <w:spacing w:val="-1"/>
        </w:rPr>
        <w:t> </w:t>
      </w:r>
      <w:r>
        <w:rPr/>
        <w:t>and faithful, her suffering revealing</w:t>
      </w:r>
      <w:r>
        <w:rPr>
          <w:spacing w:val="-5"/>
        </w:rPr>
        <w:t> </w:t>
      </w:r>
      <w:r>
        <w:rPr/>
        <w:t>truth</w:t>
      </w:r>
      <w:r>
        <w:rPr>
          <w:spacing w:val="-3"/>
        </w:rPr>
        <w:t> </w:t>
      </w:r>
      <w:r>
        <w:rPr/>
        <w:t>through</w:t>
      </w:r>
      <w:r>
        <w:rPr>
          <w:spacing w:val="-5"/>
        </w:rPr>
        <w:t> </w:t>
      </w:r>
      <w:r>
        <w:rPr/>
        <w:t>innocence.</w:t>
      </w:r>
      <w:r>
        <w:rPr>
          <w:spacing w:val="-5"/>
        </w:rPr>
        <w:t> </w:t>
      </w:r>
      <w:r>
        <w:rPr/>
        <w:t>In</w:t>
      </w:r>
      <w:r>
        <w:rPr>
          <w:spacing w:val="-5"/>
        </w:rPr>
        <w:t> </w:t>
      </w:r>
      <w:r>
        <w:rPr/>
        <w:t>her</w:t>
      </w:r>
      <w:r>
        <w:rPr>
          <w:spacing w:val="-1"/>
        </w:rPr>
        <w:t> </w:t>
      </w:r>
      <w:r>
        <w:rPr/>
        <w:t>death,</w:t>
      </w:r>
      <w:r>
        <w:rPr>
          <w:spacing w:val="-3"/>
        </w:rPr>
        <w:t> </w:t>
      </w:r>
      <w:r>
        <w:rPr/>
        <w:t>she</w:t>
      </w:r>
      <w:r>
        <w:rPr>
          <w:spacing w:val="-2"/>
        </w:rPr>
        <w:t> </w:t>
      </w:r>
      <w:r>
        <w:rPr/>
        <w:t>even</w:t>
      </w:r>
      <w:r>
        <w:rPr>
          <w:spacing w:val="-3"/>
        </w:rPr>
        <w:t> </w:t>
      </w:r>
      <w:r>
        <w:rPr/>
        <w:t>spares</w:t>
      </w:r>
      <w:r>
        <w:rPr>
          <w:spacing w:val="-5"/>
        </w:rPr>
        <w:t> </w:t>
      </w:r>
      <w:r>
        <w:rPr/>
        <w:t>Othello from blame, embodying tragic compassion. Thus, her innocence is destroyed</w:t>
      </w:r>
      <w:r>
        <w:rPr>
          <w:spacing w:val="40"/>
        </w:rPr>
        <w:t> </w:t>
      </w:r>
      <w:r>
        <w:rPr/>
        <w:t>by irrational</w:t>
      </w:r>
      <w:r>
        <w:rPr>
          <w:spacing w:val="40"/>
        </w:rPr>
        <w:t> </w:t>
      </w:r>
      <w:r>
        <w:rPr/>
        <w:t>power.</w:t>
      </w:r>
    </w:p>
    <w:p>
      <w:pPr>
        <w:pStyle w:val="Heading3"/>
        <w:spacing w:before="149"/>
      </w:pPr>
      <w:r>
        <w:rPr>
          <w:w w:val="90"/>
        </w:rPr>
        <w:t>EMILIA:</w:t>
      </w:r>
      <w:r>
        <w:rPr>
          <w:spacing w:val="-3"/>
        </w:rPr>
        <w:t> </w:t>
      </w:r>
      <w:r>
        <w:rPr>
          <w:w w:val="90"/>
        </w:rPr>
        <w:t>MOURNING</w:t>
      </w:r>
      <w:r>
        <w:rPr>
          <w:spacing w:val="2"/>
        </w:rPr>
        <w:t> </w:t>
      </w:r>
      <w:r>
        <w:rPr>
          <w:w w:val="90"/>
        </w:rPr>
        <w:t>AS</w:t>
      </w:r>
      <w:r>
        <w:rPr>
          <w:spacing w:val="-3"/>
        </w:rPr>
        <w:t> </w:t>
      </w:r>
      <w:r>
        <w:rPr>
          <w:w w:val="90"/>
        </w:rPr>
        <w:t>ETHICAL</w:t>
      </w:r>
      <w:r>
        <w:rPr/>
        <w:t> </w:t>
      </w:r>
      <w:r>
        <w:rPr>
          <w:spacing w:val="-2"/>
          <w:w w:val="90"/>
        </w:rPr>
        <w:t>RESISTANCE:</w:t>
      </w:r>
    </w:p>
    <w:p>
      <w:pPr>
        <w:pStyle w:val="BodyText"/>
        <w:spacing w:line="264" w:lineRule="auto" w:before="90"/>
        <w:ind w:right="1438" w:firstLine="432"/>
        <w:jc w:val="both"/>
      </w:pPr>
      <w:r>
        <w:rPr/>
        <w:t>Emilia is Shakespeare’s most radical figure of grief turned into resistance.</w:t>
      </w:r>
      <w:r>
        <w:rPr>
          <w:spacing w:val="-13"/>
        </w:rPr>
        <w:t> </w:t>
      </w:r>
      <w:r>
        <w:rPr/>
        <w:t>At</w:t>
      </w:r>
      <w:r>
        <w:rPr>
          <w:spacing w:val="-12"/>
        </w:rPr>
        <w:t> </w:t>
      </w:r>
      <w:r>
        <w:rPr/>
        <w:t>first,</w:t>
      </w:r>
      <w:r>
        <w:rPr>
          <w:spacing w:val="-13"/>
        </w:rPr>
        <w:t> </w:t>
      </w:r>
      <w:r>
        <w:rPr/>
        <w:t>she</w:t>
      </w:r>
      <w:r>
        <w:rPr>
          <w:spacing w:val="-12"/>
        </w:rPr>
        <w:t> </w:t>
      </w:r>
      <w:r>
        <w:rPr/>
        <w:t>is</w:t>
      </w:r>
      <w:r>
        <w:rPr>
          <w:spacing w:val="-13"/>
        </w:rPr>
        <w:t> </w:t>
      </w:r>
      <w:r>
        <w:rPr/>
        <w:t>pragmatic</w:t>
      </w:r>
      <w:r>
        <w:rPr>
          <w:spacing w:val="-12"/>
        </w:rPr>
        <w:t> </w:t>
      </w:r>
      <w:r>
        <w:rPr/>
        <w:t>and</w:t>
      </w:r>
      <w:r>
        <w:rPr>
          <w:spacing w:val="-13"/>
        </w:rPr>
        <w:t> </w:t>
      </w:r>
      <w:r>
        <w:rPr/>
        <w:t>obedient,</w:t>
      </w:r>
      <w:r>
        <w:rPr>
          <w:spacing w:val="-12"/>
        </w:rPr>
        <w:t> </w:t>
      </w:r>
      <w:r>
        <w:rPr/>
        <w:t>but</w:t>
      </w:r>
      <w:r>
        <w:rPr>
          <w:spacing w:val="-13"/>
        </w:rPr>
        <w:t> </w:t>
      </w:r>
      <w:r>
        <w:rPr/>
        <w:t>after</w:t>
      </w:r>
      <w:r>
        <w:rPr>
          <w:spacing w:val="-12"/>
        </w:rPr>
        <w:t> </w:t>
      </w:r>
      <w:r>
        <w:rPr/>
        <w:t>Desdemona’s murder, she undergoes a profound transformation. Witnessing the injustice, she finds moral courage and refuses silence. Emilia publicly denounces Othello and exposes Iago’s treachery, even though it costs </w:t>
      </w:r>
      <w:r>
        <w:rPr>
          <w:spacing w:val="-2"/>
        </w:rPr>
        <w:t>her life.</w:t>
      </w:r>
      <w:r>
        <w:rPr>
          <w:spacing w:val="-3"/>
        </w:rPr>
        <w:t> </w:t>
      </w:r>
      <w:r>
        <w:rPr>
          <w:spacing w:val="-2"/>
        </w:rPr>
        <w:t>In</w:t>
      </w:r>
      <w:r>
        <w:rPr>
          <w:spacing w:val="-5"/>
        </w:rPr>
        <w:t> </w:t>
      </w:r>
      <w:r>
        <w:rPr>
          <w:spacing w:val="-2"/>
        </w:rPr>
        <w:t>doing</w:t>
      </w:r>
      <w:r>
        <w:rPr>
          <w:spacing w:val="-5"/>
        </w:rPr>
        <w:t> </w:t>
      </w:r>
      <w:r>
        <w:rPr>
          <w:spacing w:val="-2"/>
        </w:rPr>
        <w:t>so,</w:t>
      </w:r>
      <w:r>
        <w:rPr>
          <w:spacing w:val="-5"/>
        </w:rPr>
        <w:t> </w:t>
      </w:r>
      <w:r>
        <w:rPr>
          <w:spacing w:val="-2"/>
        </w:rPr>
        <w:t>she</w:t>
      </w:r>
      <w:r>
        <w:rPr>
          <w:spacing w:val="-4"/>
        </w:rPr>
        <w:t> </w:t>
      </w:r>
      <w:r>
        <w:rPr>
          <w:spacing w:val="-2"/>
        </w:rPr>
        <w:t>challenges</w:t>
      </w:r>
      <w:r>
        <w:rPr>
          <w:spacing w:val="-5"/>
        </w:rPr>
        <w:t> </w:t>
      </w:r>
      <w:r>
        <w:rPr>
          <w:spacing w:val="-2"/>
        </w:rPr>
        <w:t>patriarchal</w:t>
      </w:r>
      <w:r>
        <w:rPr>
          <w:spacing w:val="-4"/>
        </w:rPr>
        <w:t> </w:t>
      </w:r>
      <w:r>
        <w:rPr>
          <w:spacing w:val="-2"/>
        </w:rPr>
        <w:t>norms,</w:t>
      </w:r>
      <w:r>
        <w:rPr>
          <w:spacing w:val="-3"/>
        </w:rPr>
        <w:t> </w:t>
      </w:r>
      <w:r>
        <w:rPr>
          <w:spacing w:val="-2"/>
        </w:rPr>
        <w:t>asserting</w:t>
      </w:r>
      <w:r>
        <w:rPr>
          <w:spacing w:val="-5"/>
        </w:rPr>
        <w:t> </w:t>
      </w:r>
      <w:r>
        <w:rPr>
          <w:spacing w:val="-2"/>
        </w:rPr>
        <w:t>women’s </w:t>
      </w:r>
      <w:r>
        <w:rPr/>
        <w:t>moral and intellectual equality. Through Emilia,</w:t>
      </w:r>
    </w:p>
    <w:p>
      <w:pPr>
        <w:pStyle w:val="Heading3"/>
        <w:spacing w:line="252" w:lineRule="auto" w:before="147"/>
        <w:ind w:right="1437"/>
      </w:pPr>
      <w:r>
        <w:rPr/>
        <w:t>LUCRECE:</w:t>
      </w:r>
      <w:r>
        <w:rPr>
          <w:spacing w:val="40"/>
        </w:rPr>
        <w:t> </w:t>
      </w:r>
      <w:r>
        <w:rPr/>
        <w:t>TRAUMA,</w:t>
      </w:r>
      <w:r>
        <w:rPr>
          <w:spacing w:val="40"/>
        </w:rPr>
        <w:t> </w:t>
      </w:r>
      <w:r>
        <w:rPr/>
        <w:t>HONOUR,</w:t>
      </w:r>
      <w:r>
        <w:rPr>
          <w:spacing w:val="40"/>
        </w:rPr>
        <w:t> </w:t>
      </w:r>
      <w:r>
        <w:rPr/>
        <w:t>AND</w:t>
      </w:r>
      <w:r>
        <w:rPr>
          <w:spacing w:val="40"/>
        </w:rPr>
        <w:t> </w:t>
      </w:r>
      <w:r>
        <w:rPr/>
        <w:t>POLITICAL </w:t>
      </w:r>
      <w:r>
        <w:rPr>
          <w:spacing w:val="-2"/>
        </w:rPr>
        <w:t>MOURNING:</w:t>
      </w:r>
    </w:p>
    <w:p>
      <w:pPr>
        <w:pStyle w:val="BodyText"/>
        <w:spacing w:line="264" w:lineRule="auto" w:before="75"/>
        <w:ind w:right="1438" w:firstLine="432"/>
        <w:jc w:val="both"/>
      </w:pPr>
      <w:r>
        <w:rPr/>
        <w:t>In </w:t>
      </w:r>
      <w:r>
        <w:rPr>
          <w:i/>
        </w:rPr>
        <w:t>The Rape of Lucrece</w:t>
      </w:r>
      <w:r>
        <w:rPr/>
        <w:t>, Shakespeare presents mourning as a profound poetic meditation on trauma and moral crisis. Lucrece’s suffering</w:t>
      </w:r>
      <w:r>
        <w:rPr>
          <w:spacing w:val="57"/>
        </w:rPr>
        <w:t> </w:t>
      </w:r>
      <w:r>
        <w:rPr/>
        <w:t>forms</w:t>
      </w:r>
      <w:r>
        <w:rPr>
          <w:spacing w:val="63"/>
        </w:rPr>
        <w:t> </w:t>
      </w:r>
      <w:r>
        <w:rPr/>
        <w:t>the</w:t>
      </w:r>
      <w:r>
        <w:rPr>
          <w:spacing w:val="63"/>
        </w:rPr>
        <w:t> </w:t>
      </w:r>
      <w:r>
        <w:rPr/>
        <w:t>emotional</w:t>
      </w:r>
      <w:r>
        <w:rPr>
          <w:spacing w:val="60"/>
        </w:rPr>
        <w:t> </w:t>
      </w:r>
      <w:r>
        <w:rPr/>
        <w:t>centre</w:t>
      </w:r>
      <w:r>
        <w:rPr>
          <w:spacing w:val="63"/>
        </w:rPr>
        <w:t> </w:t>
      </w:r>
      <w:r>
        <w:rPr/>
        <w:t>of</w:t>
      </w:r>
      <w:r>
        <w:rPr>
          <w:spacing w:val="61"/>
        </w:rPr>
        <w:t> </w:t>
      </w:r>
      <w:r>
        <w:rPr/>
        <w:t>the</w:t>
      </w:r>
      <w:r>
        <w:rPr>
          <w:spacing w:val="63"/>
        </w:rPr>
        <w:t> </w:t>
      </w:r>
      <w:r>
        <w:rPr/>
        <w:t>poem,</w:t>
      </w:r>
      <w:r>
        <w:rPr>
          <w:spacing w:val="60"/>
        </w:rPr>
        <w:t> </w:t>
      </w:r>
      <w:r>
        <w:rPr/>
        <w:t>allowing</w:t>
      </w:r>
      <w:r>
        <w:rPr>
          <w:spacing w:val="60"/>
        </w:rPr>
        <w:t> </w:t>
      </w:r>
      <w:r>
        <w:rPr>
          <w:spacing w:val="-4"/>
        </w:rPr>
        <w:t>deep</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3" w:val="left" w:leader="none"/>
        </w:tabs>
        <w:spacing w:before="0"/>
        <w:ind w:left="0" w:right="0"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36672">
                <wp:simplePos x="0" y="0"/>
                <wp:positionH relativeFrom="page">
                  <wp:posOffset>2065020</wp:posOffset>
                </wp:positionH>
                <wp:positionV relativeFrom="paragraph">
                  <wp:posOffset>162604</wp:posOffset>
                </wp:positionV>
                <wp:extent cx="3657600" cy="12700"/>
                <wp:effectExtent l="0" t="0" r="0" b="0"/>
                <wp:wrapTopAndBottom/>
                <wp:docPr id="678" name="Graphic 678"/>
                <wp:cNvGraphicFramePr>
                  <a:graphicFrameLocks/>
                </wp:cNvGraphicFramePr>
                <a:graphic>
                  <a:graphicData uri="http://schemas.microsoft.com/office/word/2010/wordprocessingShape">
                    <wps:wsp>
                      <wps:cNvPr id="678" name="Graphic 67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79808;mso-wrap-distance-left:0;mso-wrap-distance-right:0" id="docshape670" filled="true" fillcolor="#000000" stroked="false">
                <v:fill type="solid"/>
                <w10:wrap type="topAndBottom"/>
              </v:rect>
            </w:pict>
          </mc:Fallback>
        </mc:AlternateContent>
      </w:r>
      <w:r>
        <w:rPr>
          <w:rFonts w:ascii="Verdana" w:hAnsi="Verdana"/>
          <w:sz w:val="18"/>
        </w:rPr>
        <w:t>Grief</w:t>
      </w:r>
      <w:r>
        <w:rPr>
          <w:rFonts w:ascii="Verdana" w:hAnsi="Verdana"/>
          <w:spacing w:val="-12"/>
          <w:sz w:val="18"/>
        </w:rPr>
        <w:t> </w:t>
      </w:r>
      <w:r>
        <w:rPr>
          <w:rFonts w:ascii="Verdana" w:hAnsi="Verdana"/>
          <w:sz w:val="18"/>
        </w:rPr>
        <w:t>and</w:t>
      </w:r>
      <w:r>
        <w:rPr>
          <w:rFonts w:ascii="Verdana" w:hAnsi="Verdana"/>
          <w:spacing w:val="-12"/>
          <w:sz w:val="18"/>
        </w:rPr>
        <w:t> </w:t>
      </w:r>
      <w:r>
        <w:rPr>
          <w:rFonts w:ascii="Verdana" w:hAnsi="Verdana"/>
          <w:sz w:val="18"/>
        </w:rPr>
        <w:t>Mourning</w:t>
      </w:r>
      <w:r>
        <w:rPr>
          <w:rFonts w:ascii="Verdana" w:hAnsi="Verdana"/>
          <w:spacing w:val="-14"/>
          <w:sz w:val="18"/>
        </w:rPr>
        <w:t> </w:t>
      </w:r>
      <w:r>
        <w:rPr>
          <w:rFonts w:ascii="Verdana" w:hAnsi="Verdana"/>
          <w:sz w:val="18"/>
        </w:rPr>
        <w:t>in</w:t>
      </w:r>
      <w:r>
        <w:rPr>
          <w:rFonts w:ascii="Verdana" w:hAnsi="Verdana"/>
          <w:spacing w:val="-10"/>
          <w:sz w:val="18"/>
        </w:rPr>
        <w:t> </w:t>
      </w:r>
      <w:r>
        <w:rPr>
          <w:rFonts w:ascii="Verdana" w:hAnsi="Verdana"/>
          <w:sz w:val="18"/>
        </w:rPr>
        <w:t>Shakespeare’s</w:t>
      </w:r>
      <w:r>
        <w:rPr>
          <w:rFonts w:ascii="Verdana" w:hAnsi="Verdana"/>
          <w:spacing w:val="-14"/>
          <w:sz w:val="18"/>
        </w:rPr>
        <w:t> </w:t>
      </w:r>
      <w:r>
        <w:rPr>
          <w:rFonts w:ascii="Verdana" w:hAnsi="Verdana"/>
          <w:sz w:val="18"/>
        </w:rPr>
        <w:t>Female</w:t>
      </w:r>
      <w:r>
        <w:rPr>
          <w:rFonts w:ascii="Verdana" w:hAnsi="Verdana"/>
          <w:spacing w:val="-10"/>
          <w:sz w:val="18"/>
        </w:rPr>
        <w:t> </w:t>
      </w:r>
      <w:r>
        <w:rPr>
          <w:rFonts w:ascii="Verdana" w:hAnsi="Verdana"/>
          <w:spacing w:val="-2"/>
          <w:sz w:val="18"/>
        </w:rPr>
        <w:t>Characters...</w:t>
      </w:r>
      <w:r>
        <w:rPr>
          <w:rFonts w:ascii="Verdana" w:hAnsi="Verdana"/>
          <w:sz w:val="18"/>
        </w:rPr>
        <w:tab/>
      </w:r>
      <w:r>
        <w:rPr>
          <w:rFonts w:ascii="Verdana" w:hAnsi="Verdana"/>
          <w:spacing w:val="-5"/>
          <w:sz w:val="18"/>
        </w:rPr>
        <w:t>333</w:t>
      </w:r>
    </w:p>
    <w:p>
      <w:pPr>
        <w:pStyle w:val="BodyText"/>
        <w:spacing w:line="264" w:lineRule="auto" w:before="199"/>
        <w:ind w:right="1440"/>
        <w:jc w:val="both"/>
      </w:pPr>
      <w:r>
        <w:rPr/>
        <w:t>psychological</w:t>
      </w:r>
      <w:r>
        <w:rPr>
          <w:spacing w:val="-8"/>
        </w:rPr>
        <w:t> </w:t>
      </w:r>
      <w:r>
        <w:rPr/>
        <w:t>and</w:t>
      </w:r>
      <w:r>
        <w:rPr>
          <w:spacing w:val="-10"/>
        </w:rPr>
        <w:t> </w:t>
      </w:r>
      <w:r>
        <w:rPr/>
        <w:t>philosophical</w:t>
      </w:r>
      <w:r>
        <w:rPr>
          <w:spacing w:val="-7"/>
        </w:rPr>
        <w:t> </w:t>
      </w:r>
      <w:r>
        <w:rPr/>
        <w:t>reflection</w:t>
      </w:r>
      <w:r>
        <w:rPr>
          <w:spacing w:val="-8"/>
        </w:rPr>
        <w:t> </w:t>
      </w:r>
      <w:r>
        <w:rPr/>
        <w:t>on</w:t>
      </w:r>
      <w:r>
        <w:rPr>
          <w:spacing w:val="-8"/>
        </w:rPr>
        <w:t> </w:t>
      </w:r>
      <w:r>
        <w:rPr/>
        <w:t>honour,</w:t>
      </w:r>
      <w:r>
        <w:rPr>
          <w:spacing w:val="-10"/>
        </w:rPr>
        <w:t> </w:t>
      </w:r>
      <w:r>
        <w:rPr/>
        <w:t>shame,</w:t>
      </w:r>
      <w:r>
        <w:rPr>
          <w:spacing w:val="-6"/>
        </w:rPr>
        <w:t> </w:t>
      </w:r>
      <w:r>
        <w:rPr/>
        <w:t>and</w:t>
      </w:r>
      <w:r>
        <w:rPr>
          <w:spacing w:val="-5"/>
        </w:rPr>
        <w:t> </w:t>
      </w:r>
      <w:r>
        <w:rPr/>
        <w:t>moral responsibility.</w:t>
      </w:r>
      <w:r>
        <w:rPr>
          <w:spacing w:val="-5"/>
        </w:rPr>
        <w:t> </w:t>
      </w:r>
      <w:r>
        <w:rPr/>
        <w:t>Her</w:t>
      </w:r>
      <w:r>
        <w:rPr>
          <w:spacing w:val="-5"/>
        </w:rPr>
        <w:t> </w:t>
      </w:r>
      <w:r>
        <w:rPr/>
        <w:t>grief</w:t>
      </w:r>
      <w:r>
        <w:rPr>
          <w:spacing w:val="-7"/>
        </w:rPr>
        <w:t> </w:t>
      </w:r>
      <w:r>
        <w:rPr/>
        <w:t>transforms</w:t>
      </w:r>
      <w:r>
        <w:rPr>
          <w:spacing w:val="-7"/>
        </w:rPr>
        <w:t> </w:t>
      </w:r>
      <w:r>
        <w:rPr/>
        <w:t>personal</w:t>
      </w:r>
      <w:r>
        <w:rPr>
          <w:spacing w:val="-7"/>
        </w:rPr>
        <w:t> </w:t>
      </w:r>
      <w:r>
        <w:rPr/>
        <w:t>pain</w:t>
      </w:r>
      <w:r>
        <w:rPr>
          <w:spacing w:val="-7"/>
        </w:rPr>
        <w:t> </w:t>
      </w:r>
      <w:r>
        <w:rPr/>
        <w:t>into</w:t>
      </w:r>
      <w:r>
        <w:rPr>
          <w:spacing w:val="-3"/>
        </w:rPr>
        <w:t> </w:t>
      </w:r>
      <w:r>
        <w:rPr/>
        <w:t>an</w:t>
      </w:r>
      <w:r>
        <w:rPr>
          <w:spacing w:val="-7"/>
        </w:rPr>
        <w:t> </w:t>
      </w:r>
      <w:r>
        <w:rPr/>
        <w:t>ethical</w:t>
      </w:r>
      <w:r>
        <w:rPr>
          <w:spacing w:val="-7"/>
        </w:rPr>
        <w:t> </w:t>
      </w:r>
      <w:r>
        <w:rPr/>
        <w:t>protest, and</w:t>
      </w:r>
      <w:r>
        <w:rPr>
          <w:spacing w:val="-7"/>
        </w:rPr>
        <w:t> </w:t>
      </w:r>
      <w:r>
        <w:rPr/>
        <w:t>her</w:t>
      </w:r>
      <w:r>
        <w:rPr>
          <w:spacing w:val="-5"/>
        </w:rPr>
        <w:t> </w:t>
      </w:r>
      <w:r>
        <w:rPr/>
        <w:t>suicide</w:t>
      </w:r>
      <w:r>
        <w:rPr>
          <w:spacing w:val="-9"/>
        </w:rPr>
        <w:t> </w:t>
      </w:r>
      <w:r>
        <w:rPr/>
        <w:t>becomes</w:t>
      </w:r>
      <w:r>
        <w:rPr>
          <w:spacing w:val="-9"/>
        </w:rPr>
        <w:t> </w:t>
      </w:r>
      <w:r>
        <w:rPr/>
        <w:t>a</w:t>
      </w:r>
      <w:r>
        <w:rPr>
          <w:spacing w:val="-9"/>
        </w:rPr>
        <w:t> </w:t>
      </w:r>
      <w:r>
        <w:rPr/>
        <w:t>political</w:t>
      </w:r>
      <w:r>
        <w:rPr>
          <w:spacing w:val="-7"/>
        </w:rPr>
        <w:t> </w:t>
      </w:r>
      <w:r>
        <w:rPr/>
        <w:t>act</w:t>
      </w:r>
      <w:r>
        <w:rPr>
          <w:spacing w:val="-9"/>
        </w:rPr>
        <w:t> </w:t>
      </w:r>
      <w:r>
        <w:rPr/>
        <w:t>that</w:t>
      </w:r>
      <w:r>
        <w:rPr>
          <w:spacing w:val="-8"/>
        </w:rPr>
        <w:t> </w:t>
      </w:r>
      <w:r>
        <w:rPr/>
        <w:t>exposes</w:t>
      </w:r>
      <w:r>
        <w:rPr>
          <w:spacing w:val="-9"/>
        </w:rPr>
        <w:t> </w:t>
      </w:r>
      <w:r>
        <w:rPr/>
        <w:t>tyranny</w:t>
      </w:r>
      <w:r>
        <w:rPr>
          <w:spacing w:val="-11"/>
        </w:rPr>
        <w:t> </w:t>
      </w:r>
      <w:r>
        <w:rPr/>
        <w:t>and</w:t>
      </w:r>
      <w:r>
        <w:rPr>
          <w:spacing w:val="-7"/>
        </w:rPr>
        <w:t> </w:t>
      </w:r>
      <w:r>
        <w:rPr/>
        <w:t>initiates social change. The characters in </w:t>
      </w:r>
      <w:r>
        <w:rPr>
          <w:i/>
        </w:rPr>
        <w:t>Lucrece </w:t>
      </w:r>
      <w:r>
        <w:rPr/>
        <w:t>appear deeply human and realistic. As one of Shakespeare’s earliest narrative poems, his turn toward poetry</w:t>
      </w:r>
      <w:r>
        <w:rPr>
          <w:spacing w:val="-4"/>
        </w:rPr>
        <w:t> </w:t>
      </w:r>
      <w:r>
        <w:rPr/>
        <w:t>seems natural, especially</w:t>
      </w:r>
      <w:r>
        <w:rPr>
          <w:spacing w:val="-4"/>
        </w:rPr>
        <w:t> </w:t>
      </w:r>
      <w:r>
        <w:rPr/>
        <w:t>during a period when theatrical activity was limited. The poem is the longest among Shakespeare’s narrative works and recounts the tragic story of the violation of a beautiful, young, and married woman.</w:t>
      </w:r>
    </w:p>
    <w:p>
      <w:pPr>
        <w:pStyle w:val="BodyText"/>
        <w:spacing w:line="249" w:lineRule="auto" w:before="42"/>
        <w:ind w:right="1439" w:firstLine="432"/>
        <w:jc w:val="both"/>
      </w:pPr>
      <w:r>
        <w:rPr/>
        <w:t>The narrative employs a kind of flashback to reveal the origin of Tarquin’s desire. On the previous night, Tarquin had heard Collatine praising his wife Lucrece as the most beautiful and virtuous woman in the world. During the war, Roman nobles decided to test the fidelity of their wives by</w:t>
      </w:r>
      <w:r>
        <w:rPr>
          <w:spacing w:val="-3"/>
        </w:rPr>
        <w:t> </w:t>
      </w:r>
      <w:r>
        <w:rPr/>
        <w:t>visiting them</w:t>
      </w:r>
      <w:r>
        <w:rPr>
          <w:spacing w:val="-2"/>
        </w:rPr>
        <w:t> </w:t>
      </w:r>
      <w:r>
        <w:rPr/>
        <w:t>unexpectedly. When</w:t>
      </w:r>
      <w:r>
        <w:rPr>
          <w:spacing w:val="-1"/>
        </w:rPr>
        <w:t> </w:t>
      </w:r>
      <w:r>
        <w:rPr/>
        <w:t>Tarquin saw</w:t>
      </w:r>
      <w:r>
        <w:rPr>
          <w:spacing w:val="-3"/>
        </w:rPr>
        <w:t> </w:t>
      </w:r>
      <w:r>
        <w:rPr/>
        <w:t>Lucrece, he was deeply struck by her grace and exceptional beauty. From that moment, an uncontrollable desire began to grow within him.</w:t>
      </w:r>
      <w:r>
        <w:rPr>
          <w:spacing w:val="-1"/>
        </w:rPr>
        <w:t> </w:t>
      </w:r>
      <w:r>
        <w:rPr/>
        <w:t>Although he restrained himself that night, he could not master his passion, and</w:t>
      </w:r>
      <w:r>
        <w:rPr>
          <w:spacing w:val="40"/>
        </w:rPr>
        <w:t> </w:t>
      </w:r>
      <w:r>
        <w:rPr/>
        <w:t>the following night, he set out for Collatium, driven by overwhelming </w:t>
      </w:r>
      <w:r>
        <w:rPr>
          <w:spacing w:val="-2"/>
        </w:rPr>
        <w:t>lust.</w:t>
      </w:r>
    </w:p>
    <w:p>
      <w:pPr>
        <w:pStyle w:val="Heading3"/>
        <w:spacing w:before="162"/>
        <w:jc w:val="both"/>
      </w:pPr>
      <w:r>
        <w:rPr>
          <w:spacing w:val="-8"/>
        </w:rPr>
        <w:t>FEMALE</w:t>
      </w:r>
      <w:r>
        <w:rPr>
          <w:spacing w:val="-9"/>
        </w:rPr>
        <w:t> </w:t>
      </w:r>
      <w:r>
        <w:rPr>
          <w:spacing w:val="-8"/>
        </w:rPr>
        <w:t>GRIEF</w:t>
      </w:r>
      <w:r>
        <w:rPr>
          <w:spacing w:val="-9"/>
        </w:rPr>
        <w:t> </w:t>
      </w:r>
      <w:r>
        <w:rPr>
          <w:spacing w:val="-8"/>
        </w:rPr>
        <w:t>AS</w:t>
      </w:r>
      <w:r>
        <w:rPr>
          <w:spacing w:val="-9"/>
        </w:rPr>
        <w:t> </w:t>
      </w:r>
      <w:r>
        <w:rPr>
          <w:spacing w:val="-8"/>
        </w:rPr>
        <w:t>MORAL</w:t>
      </w:r>
      <w:r>
        <w:rPr>
          <w:spacing w:val="-9"/>
        </w:rPr>
        <w:t> </w:t>
      </w:r>
      <w:r>
        <w:rPr>
          <w:spacing w:val="-8"/>
        </w:rPr>
        <w:t>KNOWLEDGE:</w:t>
      </w:r>
    </w:p>
    <w:p>
      <w:pPr>
        <w:pStyle w:val="BodyText"/>
        <w:spacing w:line="249" w:lineRule="auto" w:before="75"/>
        <w:ind w:right="1437" w:firstLine="432"/>
        <w:jc w:val="both"/>
      </w:pPr>
      <w:r>
        <w:rPr>
          <w:spacing w:val="-2"/>
        </w:rPr>
        <w:t>Across</w:t>
      </w:r>
      <w:r>
        <w:rPr>
          <w:spacing w:val="-6"/>
        </w:rPr>
        <w:t> </w:t>
      </w:r>
      <w:r>
        <w:rPr>
          <w:spacing w:val="-2"/>
        </w:rPr>
        <w:t>his</w:t>
      </w:r>
      <w:r>
        <w:rPr>
          <w:spacing w:val="-6"/>
        </w:rPr>
        <w:t> </w:t>
      </w:r>
      <w:r>
        <w:rPr>
          <w:spacing w:val="-2"/>
        </w:rPr>
        <w:t>works,</w:t>
      </w:r>
      <w:r>
        <w:rPr>
          <w:spacing w:val="-6"/>
        </w:rPr>
        <w:t> </w:t>
      </w:r>
      <w:r>
        <w:rPr>
          <w:spacing w:val="-2"/>
        </w:rPr>
        <w:t>William</w:t>
      </w:r>
      <w:r>
        <w:rPr>
          <w:spacing w:val="-11"/>
        </w:rPr>
        <w:t> </w:t>
      </w:r>
      <w:r>
        <w:rPr>
          <w:spacing w:val="-2"/>
        </w:rPr>
        <w:t>Shakespeare</w:t>
      </w:r>
      <w:r>
        <w:rPr>
          <w:spacing w:val="-4"/>
        </w:rPr>
        <w:t> </w:t>
      </w:r>
      <w:r>
        <w:rPr>
          <w:spacing w:val="-2"/>
        </w:rPr>
        <w:t>links</w:t>
      </w:r>
      <w:r>
        <w:rPr>
          <w:spacing w:val="-6"/>
        </w:rPr>
        <w:t> </w:t>
      </w:r>
      <w:r>
        <w:rPr>
          <w:spacing w:val="-2"/>
        </w:rPr>
        <w:t>female</w:t>
      </w:r>
      <w:r>
        <w:rPr>
          <w:spacing w:val="-5"/>
        </w:rPr>
        <w:t> </w:t>
      </w:r>
      <w:r>
        <w:rPr>
          <w:spacing w:val="-2"/>
        </w:rPr>
        <w:t>mourning</w:t>
      </w:r>
      <w:r>
        <w:rPr>
          <w:spacing w:val="-6"/>
        </w:rPr>
        <w:t> </w:t>
      </w:r>
      <w:r>
        <w:rPr>
          <w:spacing w:val="-2"/>
        </w:rPr>
        <w:t>with the</w:t>
      </w:r>
      <w:r>
        <w:rPr>
          <w:spacing w:val="-6"/>
        </w:rPr>
        <w:t> </w:t>
      </w:r>
      <w:r>
        <w:rPr>
          <w:spacing w:val="-2"/>
        </w:rPr>
        <w:t>revelation</w:t>
      </w:r>
      <w:r>
        <w:rPr>
          <w:spacing w:val="-6"/>
        </w:rPr>
        <w:t> </w:t>
      </w:r>
      <w:r>
        <w:rPr>
          <w:spacing w:val="-2"/>
        </w:rPr>
        <w:t>of</w:t>
      </w:r>
      <w:r>
        <w:rPr>
          <w:spacing w:val="-8"/>
        </w:rPr>
        <w:t> </w:t>
      </w:r>
      <w:r>
        <w:rPr>
          <w:spacing w:val="-2"/>
        </w:rPr>
        <w:t>truth</w:t>
      </w:r>
      <w:r>
        <w:rPr>
          <w:spacing w:val="-6"/>
        </w:rPr>
        <w:t> </w:t>
      </w:r>
      <w:r>
        <w:rPr>
          <w:spacing w:val="-2"/>
        </w:rPr>
        <w:t>and</w:t>
      </w:r>
      <w:r>
        <w:rPr>
          <w:spacing w:val="-6"/>
        </w:rPr>
        <w:t> </w:t>
      </w:r>
      <w:r>
        <w:rPr>
          <w:spacing w:val="-2"/>
        </w:rPr>
        <w:t>moral</w:t>
      </w:r>
      <w:r>
        <w:rPr>
          <w:spacing w:val="-7"/>
        </w:rPr>
        <w:t> </w:t>
      </w:r>
      <w:r>
        <w:rPr>
          <w:spacing w:val="-2"/>
        </w:rPr>
        <w:t>clarity.</w:t>
      </w:r>
      <w:r>
        <w:rPr>
          <w:spacing w:val="-6"/>
        </w:rPr>
        <w:t> </w:t>
      </w:r>
      <w:r>
        <w:rPr>
          <w:spacing w:val="-2"/>
        </w:rPr>
        <w:t>While</w:t>
      </w:r>
      <w:r>
        <w:rPr>
          <w:spacing w:val="-6"/>
        </w:rPr>
        <w:t> </w:t>
      </w:r>
      <w:r>
        <w:rPr>
          <w:spacing w:val="-2"/>
        </w:rPr>
        <w:t>male</w:t>
      </w:r>
      <w:r>
        <w:rPr>
          <w:spacing w:val="-5"/>
        </w:rPr>
        <w:t> </w:t>
      </w:r>
      <w:r>
        <w:rPr>
          <w:spacing w:val="-2"/>
        </w:rPr>
        <w:t>characters</w:t>
      </w:r>
      <w:r>
        <w:rPr>
          <w:spacing w:val="-8"/>
        </w:rPr>
        <w:t> </w:t>
      </w:r>
      <w:r>
        <w:rPr>
          <w:spacing w:val="-2"/>
        </w:rPr>
        <w:t>frequently </w:t>
      </w:r>
      <w:r>
        <w:rPr/>
        <w:t>misjudge reality under the influence of ambition, jealousy, pride, or political blindness, women—often excluded from authority and public power—develop a deeper ethical awareness. Their grief becomes more than an emotional expression; it functions as a form of knowledge. Through</w:t>
      </w:r>
      <w:r>
        <w:rPr>
          <w:spacing w:val="-3"/>
        </w:rPr>
        <w:t> </w:t>
      </w:r>
      <w:r>
        <w:rPr/>
        <w:t>suffering,</w:t>
      </w:r>
      <w:r>
        <w:rPr>
          <w:spacing w:val="-3"/>
        </w:rPr>
        <w:t> </w:t>
      </w:r>
      <w:r>
        <w:rPr/>
        <w:t>women</w:t>
      </w:r>
      <w:r>
        <w:rPr>
          <w:spacing w:val="-3"/>
        </w:rPr>
        <w:t> </w:t>
      </w:r>
      <w:r>
        <w:rPr/>
        <w:t>perceive</w:t>
      </w:r>
      <w:r>
        <w:rPr>
          <w:spacing w:val="-1"/>
        </w:rPr>
        <w:t> </w:t>
      </w:r>
      <w:r>
        <w:rPr/>
        <w:t>hidden</w:t>
      </w:r>
      <w:r>
        <w:rPr>
          <w:spacing w:val="-3"/>
        </w:rPr>
        <w:t> </w:t>
      </w:r>
      <w:r>
        <w:rPr/>
        <w:t>injustices</w:t>
      </w:r>
      <w:r>
        <w:rPr>
          <w:spacing w:val="-5"/>
        </w:rPr>
        <w:t> </w:t>
      </w:r>
      <w:r>
        <w:rPr/>
        <w:t>and expose</w:t>
      </w:r>
      <w:r>
        <w:rPr>
          <w:spacing w:val="-1"/>
        </w:rPr>
        <w:t> </w:t>
      </w:r>
      <w:r>
        <w:rPr/>
        <w:t>moral failures that others refuse to acknowledge. Shakespeare thus presents mourning as an epistemological process, where emotional experience leads to insight and understanding. Female sorrow uncovers the ethical structures governing relationships, power, and responsibility. In this framework, grief transforms into wisdom, suggesting that emotional intelligence</w:t>
      </w:r>
      <w:r>
        <w:rPr>
          <w:spacing w:val="-6"/>
        </w:rPr>
        <w:t> </w:t>
      </w:r>
      <w:r>
        <w:rPr/>
        <w:t>is</w:t>
      </w:r>
      <w:r>
        <w:rPr>
          <w:spacing w:val="-7"/>
        </w:rPr>
        <w:t> </w:t>
      </w:r>
      <w:r>
        <w:rPr/>
        <w:t>not</w:t>
      </w:r>
      <w:r>
        <w:rPr>
          <w:spacing w:val="-4"/>
        </w:rPr>
        <w:t> </w:t>
      </w:r>
      <w:r>
        <w:rPr/>
        <w:t>weakness</w:t>
      </w:r>
      <w:r>
        <w:rPr>
          <w:spacing w:val="-7"/>
        </w:rPr>
        <w:t> </w:t>
      </w:r>
      <w:r>
        <w:rPr/>
        <w:t>but</w:t>
      </w:r>
      <w:r>
        <w:rPr>
          <w:spacing w:val="-6"/>
        </w:rPr>
        <w:t> </w:t>
      </w:r>
      <w:r>
        <w:rPr/>
        <w:t>a</w:t>
      </w:r>
      <w:r>
        <w:rPr>
          <w:spacing w:val="-7"/>
        </w:rPr>
        <w:t> </w:t>
      </w:r>
      <w:r>
        <w:rPr/>
        <w:t>profound</w:t>
      </w:r>
      <w:r>
        <w:rPr>
          <w:spacing w:val="-6"/>
        </w:rPr>
        <w:t> </w:t>
      </w:r>
      <w:r>
        <w:rPr/>
        <w:t>source</w:t>
      </w:r>
      <w:r>
        <w:rPr>
          <w:spacing w:val="-6"/>
        </w:rPr>
        <w:t> </w:t>
      </w:r>
      <w:r>
        <w:rPr/>
        <w:t>of</w:t>
      </w:r>
      <w:r>
        <w:rPr>
          <w:spacing w:val="-7"/>
        </w:rPr>
        <w:t> </w:t>
      </w:r>
      <w:r>
        <w:rPr/>
        <w:t>truth.</w:t>
      </w:r>
      <w:r>
        <w:rPr>
          <w:spacing w:val="-7"/>
        </w:rPr>
        <w:t> </w:t>
      </w:r>
      <w:r>
        <w:rPr/>
        <w:t>Shakespeare ultimately</w:t>
      </w:r>
      <w:r>
        <w:rPr>
          <w:spacing w:val="-3"/>
        </w:rPr>
        <w:t> </w:t>
      </w:r>
      <w:r>
        <w:rPr/>
        <w:t>elevates</w:t>
      </w:r>
      <w:r>
        <w:rPr>
          <w:spacing w:val="-1"/>
        </w:rPr>
        <w:t> </w:t>
      </w:r>
      <w:r>
        <w:rPr/>
        <w:t>women’s mourning</w:t>
      </w:r>
      <w:r>
        <w:rPr>
          <w:spacing w:val="-3"/>
        </w:rPr>
        <w:t> </w:t>
      </w:r>
      <w:r>
        <w:rPr/>
        <w:t>as</w:t>
      </w:r>
      <w:r>
        <w:rPr>
          <w:spacing w:val="-1"/>
        </w:rPr>
        <w:t> </w:t>
      </w:r>
      <w:r>
        <w:rPr/>
        <w:t>a</w:t>
      </w:r>
      <w:r>
        <w:rPr>
          <w:spacing w:val="-1"/>
        </w:rPr>
        <w:t> </w:t>
      </w:r>
      <w:r>
        <w:rPr/>
        <w:t>moral and intellectual</w:t>
      </w:r>
      <w:r>
        <w:rPr>
          <w:spacing w:val="-2"/>
        </w:rPr>
        <w:t> </w:t>
      </w:r>
      <w:r>
        <w:rPr/>
        <w:t>force capable</w:t>
      </w:r>
      <w:r>
        <w:rPr>
          <w:spacing w:val="20"/>
        </w:rPr>
        <w:t> </w:t>
      </w:r>
      <w:r>
        <w:rPr/>
        <w:t>of</w:t>
      </w:r>
      <w:r>
        <w:rPr>
          <w:spacing w:val="17"/>
        </w:rPr>
        <w:t> </w:t>
      </w:r>
      <w:r>
        <w:rPr/>
        <w:t>challenging</w:t>
      </w:r>
      <w:r>
        <w:rPr>
          <w:spacing w:val="18"/>
        </w:rPr>
        <w:t> </w:t>
      </w:r>
      <w:r>
        <w:rPr/>
        <w:t>illusion</w:t>
      </w:r>
      <w:r>
        <w:rPr>
          <w:spacing w:val="18"/>
        </w:rPr>
        <w:t> </w:t>
      </w:r>
      <w:r>
        <w:rPr/>
        <w:t>and</w:t>
      </w:r>
      <w:r>
        <w:rPr>
          <w:spacing w:val="23"/>
        </w:rPr>
        <w:t> </w:t>
      </w:r>
      <w:r>
        <w:rPr/>
        <w:t>revealing</w:t>
      </w:r>
      <w:r>
        <w:rPr>
          <w:spacing w:val="17"/>
        </w:rPr>
        <w:t> </w:t>
      </w:r>
      <w:r>
        <w:rPr/>
        <w:t>authentic</w:t>
      </w:r>
      <w:r>
        <w:rPr>
          <w:spacing w:val="19"/>
        </w:rPr>
        <w:t> </w:t>
      </w:r>
      <w:r>
        <w:rPr/>
        <w:t>human</w:t>
      </w:r>
      <w:r>
        <w:rPr>
          <w:spacing w:val="17"/>
        </w:rPr>
        <w:t> </w:t>
      </w:r>
      <w:r>
        <w:rPr>
          <w:spacing w:val="-2"/>
        </w:rPr>
        <w:t>values.</w:t>
      </w:r>
    </w:p>
    <w:p>
      <w:pPr>
        <w:pStyle w:val="BodyText"/>
        <w:spacing w:line="249" w:lineRule="auto" w:before="72"/>
        <w:ind w:right="1439" w:firstLine="501"/>
        <w:jc w:val="both"/>
      </w:pPr>
      <w:r>
        <w:rPr/>
        <w:t>In </w:t>
      </w:r>
      <w:r>
        <w:rPr>
          <w:i/>
        </w:rPr>
        <w:t>Othello</w:t>
      </w:r>
      <w:r>
        <w:rPr/>
        <w:t>, Desdemona represents innocence, loyalty, and moral </w:t>
      </w:r>
      <w:r>
        <w:rPr>
          <w:spacing w:val="-2"/>
        </w:rPr>
        <w:t>purity.</w:t>
      </w:r>
      <w:r>
        <w:rPr>
          <w:spacing w:val="-11"/>
        </w:rPr>
        <w:t> </w:t>
      </w:r>
      <w:r>
        <w:rPr>
          <w:spacing w:val="-2"/>
        </w:rPr>
        <w:t>Her</w:t>
      </w:r>
      <w:r>
        <w:rPr>
          <w:spacing w:val="-10"/>
        </w:rPr>
        <w:t> </w:t>
      </w:r>
      <w:r>
        <w:rPr>
          <w:spacing w:val="-2"/>
        </w:rPr>
        <w:t>grief</w:t>
      </w:r>
      <w:r>
        <w:rPr>
          <w:spacing w:val="-11"/>
        </w:rPr>
        <w:t> </w:t>
      </w:r>
      <w:r>
        <w:rPr>
          <w:spacing w:val="-2"/>
        </w:rPr>
        <w:t>arises</w:t>
      </w:r>
      <w:r>
        <w:rPr>
          <w:spacing w:val="-10"/>
        </w:rPr>
        <w:t> </w:t>
      </w:r>
      <w:r>
        <w:rPr>
          <w:spacing w:val="-2"/>
        </w:rPr>
        <w:t>from</w:t>
      </w:r>
      <w:r>
        <w:rPr>
          <w:spacing w:val="-11"/>
        </w:rPr>
        <w:t> </w:t>
      </w:r>
      <w:r>
        <w:rPr>
          <w:spacing w:val="-2"/>
        </w:rPr>
        <w:t>emotional</w:t>
      </w:r>
      <w:r>
        <w:rPr>
          <w:spacing w:val="-10"/>
        </w:rPr>
        <w:t> </w:t>
      </w:r>
      <w:r>
        <w:rPr>
          <w:spacing w:val="-2"/>
        </w:rPr>
        <w:t>betrayal</w:t>
      </w:r>
      <w:r>
        <w:rPr>
          <w:spacing w:val="-11"/>
        </w:rPr>
        <w:t> </w:t>
      </w:r>
      <w:r>
        <w:rPr>
          <w:spacing w:val="-2"/>
        </w:rPr>
        <w:t>rather</w:t>
      </w:r>
      <w:r>
        <w:rPr>
          <w:spacing w:val="-10"/>
        </w:rPr>
        <w:t> </w:t>
      </w:r>
      <w:r>
        <w:rPr>
          <w:spacing w:val="-2"/>
        </w:rPr>
        <w:t>than</w:t>
      </w:r>
      <w:r>
        <w:rPr>
          <w:spacing w:val="-11"/>
        </w:rPr>
        <w:t> </w:t>
      </w:r>
      <w:r>
        <w:rPr>
          <w:spacing w:val="-2"/>
        </w:rPr>
        <w:t>guilt.</w:t>
      </w:r>
      <w:r>
        <w:rPr>
          <w:spacing w:val="-10"/>
        </w:rPr>
        <w:t> </w:t>
      </w:r>
      <w:r>
        <w:rPr>
          <w:spacing w:val="-2"/>
        </w:rPr>
        <w:t>Although </w:t>
      </w:r>
      <w:r>
        <w:rPr/>
        <w:t>falsely</w:t>
      </w:r>
      <w:r>
        <w:rPr>
          <w:spacing w:val="41"/>
        </w:rPr>
        <w:t> </w:t>
      </w:r>
      <w:r>
        <w:rPr/>
        <w:t>accused</w:t>
      </w:r>
      <w:r>
        <w:rPr>
          <w:spacing w:val="43"/>
        </w:rPr>
        <w:t> </w:t>
      </w:r>
      <w:r>
        <w:rPr/>
        <w:t>of</w:t>
      </w:r>
      <w:r>
        <w:rPr>
          <w:spacing w:val="41"/>
        </w:rPr>
        <w:t> </w:t>
      </w:r>
      <w:r>
        <w:rPr/>
        <w:t>infidelity,</w:t>
      </w:r>
      <w:r>
        <w:rPr>
          <w:spacing w:val="43"/>
        </w:rPr>
        <w:t> </w:t>
      </w:r>
      <w:r>
        <w:rPr/>
        <w:t>she</w:t>
      </w:r>
      <w:r>
        <w:rPr>
          <w:spacing w:val="44"/>
        </w:rPr>
        <w:t> </w:t>
      </w:r>
      <w:r>
        <w:rPr/>
        <w:t>remains</w:t>
      </w:r>
      <w:r>
        <w:rPr>
          <w:spacing w:val="43"/>
        </w:rPr>
        <w:t> </w:t>
      </w:r>
      <w:r>
        <w:rPr/>
        <w:t>loving</w:t>
      </w:r>
      <w:r>
        <w:rPr>
          <w:spacing w:val="41"/>
        </w:rPr>
        <w:t> </w:t>
      </w:r>
      <w:r>
        <w:rPr/>
        <w:t>and</w:t>
      </w:r>
      <w:r>
        <w:rPr>
          <w:spacing w:val="45"/>
        </w:rPr>
        <w:t> </w:t>
      </w:r>
      <w:r>
        <w:rPr>
          <w:spacing w:val="-2"/>
        </w:rPr>
        <w:t>compassionate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37184">
                <wp:simplePos x="0" y="0"/>
                <wp:positionH relativeFrom="page">
                  <wp:posOffset>2057400</wp:posOffset>
                </wp:positionH>
                <wp:positionV relativeFrom="paragraph">
                  <wp:posOffset>162604</wp:posOffset>
                </wp:positionV>
                <wp:extent cx="3657600" cy="12700"/>
                <wp:effectExtent l="0" t="0" r="0" b="0"/>
                <wp:wrapTopAndBottom/>
                <wp:docPr id="679" name="Graphic 679"/>
                <wp:cNvGraphicFramePr>
                  <a:graphicFrameLocks/>
                </wp:cNvGraphicFramePr>
                <a:graphic>
                  <a:graphicData uri="http://schemas.microsoft.com/office/word/2010/wordprocessingShape">
                    <wps:wsp>
                      <wps:cNvPr id="679" name="Graphic 67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79296;mso-wrap-distance-left:0;mso-wrap-distance-right:0" id="docshape671" filled="true" fillcolor="#000000" stroked="false">
                <v:fill type="solid"/>
                <w10:wrap type="topAndBottom"/>
              </v:rect>
            </w:pict>
          </mc:Fallback>
        </mc:AlternateContent>
      </w:r>
      <w:r>
        <w:rPr>
          <w:rFonts w:ascii="Verdana"/>
          <w:spacing w:val="-5"/>
          <w:sz w:val="18"/>
        </w:rPr>
        <w:t>334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toward Othello. Even</w:t>
      </w:r>
      <w:r>
        <w:rPr>
          <w:spacing w:val="-1"/>
        </w:rPr>
        <w:t> </w:t>
      </w:r>
      <w:r>
        <w:rPr/>
        <w:t>at the moment of</w:t>
      </w:r>
      <w:r>
        <w:rPr>
          <w:spacing w:val="-1"/>
        </w:rPr>
        <w:t> </w:t>
      </w:r>
      <w:r>
        <w:rPr/>
        <w:t>death, she refuses to blame him openly,</w:t>
      </w:r>
      <w:r>
        <w:rPr>
          <w:spacing w:val="-13"/>
        </w:rPr>
        <w:t> </w:t>
      </w:r>
      <w:r>
        <w:rPr/>
        <w:t>revealing</w:t>
      </w:r>
      <w:r>
        <w:rPr>
          <w:spacing w:val="-12"/>
        </w:rPr>
        <w:t> </w:t>
      </w:r>
      <w:r>
        <w:rPr/>
        <w:t>moral</w:t>
      </w:r>
      <w:r>
        <w:rPr>
          <w:spacing w:val="-13"/>
        </w:rPr>
        <w:t> </w:t>
      </w:r>
      <w:r>
        <w:rPr/>
        <w:t>forgiveness</w:t>
      </w:r>
      <w:r>
        <w:rPr>
          <w:spacing w:val="-12"/>
        </w:rPr>
        <w:t> </w:t>
      </w:r>
      <w:r>
        <w:rPr/>
        <w:t>and</w:t>
      </w:r>
      <w:r>
        <w:rPr>
          <w:spacing w:val="-11"/>
        </w:rPr>
        <w:t> </w:t>
      </w:r>
      <w:r>
        <w:rPr/>
        <w:t>spiritual</w:t>
      </w:r>
      <w:r>
        <w:rPr>
          <w:spacing w:val="-11"/>
        </w:rPr>
        <w:t> </w:t>
      </w:r>
      <w:r>
        <w:rPr/>
        <w:t>strength.</w:t>
      </w:r>
      <w:r>
        <w:rPr>
          <w:spacing w:val="-11"/>
        </w:rPr>
        <w:t> </w:t>
      </w:r>
      <w:r>
        <w:rPr/>
        <w:t>Desdemona’s suffering exposes the dangers of jealousy, manipulation, and masculine insecurity. Her silence is not weakness but a tragic form of moral endurance. Through her death, Shakespeare reveals the destructive power</w:t>
      </w:r>
      <w:r>
        <w:rPr>
          <w:spacing w:val="-6"/>
        </w:rPr>
        <w:t> </w:t>
      </w:r>
      <w:r>
        <w:rPr/>
        <w:t>of</w:t>
      </w:r>
      <w:r>
        <w:rPr>
          <w:spacing w:val="-6"/>
        </w:rPr>
        <w:t> </w:t>
      </w:r>
      <w:r>
        <w:rPr/>
        <w:t>suspicion</w:t>
      </w:r>
      <w:r>
        <w:rPr>
          <w:spacing w:val="-9"/>
        </w:rPr>
        <w:t> </w:t>
      </w:r>
      <w:r>
        <w:rPr/>
        <w:t>and</w:t>
      </w:r>
      <w:r>
        <w:rPr>
          <w:spacing w:val="-2"/>
        </w:rPr>
        <w:t> </w:t>
      </w:r>
      <w:r>
        <w:rPr/>
        <w:t>the</w:t>
      </w:r>
      <w:r>
        <w:rPr>
          <w:spacing w:val="-7"/>
        </w:rPr>
        <w:t> </w:t>
      </w:r>
      <w:r>
        <w:rPr/>
        <w:t>vulnerability</w:t>
      </w:r>
      <w:r>
        <w:rPr>
          <w:spacing w:val="-8"/>
        </w:rPr>
        <w:t> </w:t>
      </w:r>
      <w:r>
        <w:rPr/>
        <w:t>of</w:t>
      </w:r>
      <w:r>
        <w:rPr>
          <w:spacing w:val="-8"/>
        </w:rPr>
        <w:t> </w:t>
      </w:r>
      <w:r>
        <w:rPr/>
        <w:t>truth</w:t>
      </w:r>
      <w:r>
        <w:rPr>
          <w:spacing w:val="-6"/>
        </w:rPr>
        <w:t> </w:t>
      </w:r>
      <w:r>
        <w:rPr/>
        <w:t>in</w:t>
      </w:r>
      <w:r>
        <w:rPr>
          <w:spacing w:val="-8"/>
        </w:rPr>
        <w:t> </w:t>
      </w:r>
      <w:r>
        <w:rPr/>
        <w:t>a</w:t>
      </w:r>
      <w:r>
        <w:rPr>
          <w:spacing w:val="-4"/>
        </w:rPr>
        <w:t> </w:t>
      </w:r>
      <w:r>
        <w:rPr/>
        <w:t>patriarchal</w:t>
      </w:r>
      <w:r>
        <w:rPr>
          <w:spacing w:val="-8"/>
        </w:rPr>
        <w:t> </w:t>
      </w:r>
      <w:r>
        <w:rPr/>
        <w:t>society. Emilia’s grief provides another dimension of moral knowledge. After witnessing</w:t>
      </w:r>
      <w:r>
        <w:rPr>
          <w:spacing w:val="-13"/>
        </w:rPr>
        <w:t> </w:t>
      </w:r>
      <w:r>
        <w:rPr/>
        <w:t>Desdemona’s</w:t>
      </w:r>
      <w:r>
        <w:rPr>
          <w:spacing w:val="-12"/>
        </w:rPr>
        <w:t> </w:t>
      </w:r>
      <w:r>
        <w:rPr/>
        <w:t>murder,</w:t>
      </w:r>
      <w:r>
        <w:rPr>
          <w:spacing w:val="-13"/>
        </w:rPr>
        <w:t> </w:t>
      </w:r>
      <w:r>
        <w:rPr/>
        <w:t>Emilia</w:t>
      </w:r>
      <w:r>
        <w:rPr>
          <w:spacing w:val="-12"/>
        </w:rPr>
        <w:t> </w:t>
      </w:r>
      <w:r>
        <w:rPr/>
        <w:t>transforms</w:t>
      </w:r>
      <w:r>
        <w:rPr>
          <w:spacing w:val="-13"/>
        </w:rPr>
        <w:t> </w:t>
      </w:r>
      <w:r>
        <w:rPr/>
        <w:t>grief</w:t>
      </w:r>
      <w:r>
        <w:rPr>
          <w:spacing w:val="-12"/>
        </w:rPr>
        <w:t> </w:t>
      </w:r>
      <w:r>
        <w:rPr/>
        <w:t>into</w:t>
      </w:r>
      <w:r>
        <w:rPr>
          <w:spacing w:val="-13"/>
        </w:rPr>
        <w:t> </w:t>
      </w:r>
      <w:r>
        <w:rPr/>
        <w:t>resistance. She courageously exposes Iago’s deception despite the risk to her own </w:t>
      </w:r>
      <w:r>
        <w:rPr>
          <w:spacing w:val="-4"/>
        </w:rPr>
        <w:t>life.</w:t>
      </w:r>
      <w:r>
        <w:rPr>
          <w:spacing w:val="-9"/>
        </w:rPr>
        <w:t> </w:t>
      </w:r>
      <w:r>
        <w:rPr>
          <w:spacing w:val="-4"/>
        </w:rPr>
        <w:t>Her emotional</w:t>
      </w:r>
      <w:r>
        <w:rPr>
          <w:spacing w:val="-8"/>
        </w:rPr>
        <w:t> </w:t>
      </w:r>
      <w:r>
        <w:rPr>
          <w:spacing w:val="-4"/>
        </w:rPr>
        <w:t>awakening</w:t>
      </w:r>
      <w:r>
        <w:rPr>
          <w:spacing w:val="-6"/>
        </w:rPr>
        <w:t> </w:t>
      </w:r>
      <w:r>
        <w:rPr>
          <w:spacing w:val="-4"/>
        </w:rPr>
        <w:t>becomes</w:t>
      </w:r>
      <w:r>
        <w:rPr>
          <w:spacing w:val="-8"/>
        </w:rPr>
        <w:t> </w:t>
      </w:r>
      <w:r>
        <w:rPr>
          <w:spacing w:val="-4"/>
        </w:rPr>
        <w:t>an</w:t>
      </w:r>
      <w:r>
        <w:rPr>
          <w:spacing w:val="-9"/>
        </w:rPr>
        <w:t> </w:t>
      </w:r>
      <w:r>
        <w:rPr>
          <w:spacing w:val="-4"/>
        </w:rPr>
        <w:t>act of</w:t>
      </w:r>
      <w:r>
        <w:rPr>
          <w:spacing w:val="-9"/>
        </w:rPr>
        <w:t> </w:t>
      </w:r>
      <w:r>
        <w:rPr>
          <w:spacing w:val="-4"/>
        </w:rPr>
        <w:t>ethical</w:t>
      </w:r>
      <w:r>
        <w:rPr>
          <w:spacing w:val="-5"/>
        </w:rPr>
        <w:t> </w:t>
      </w:r>
      <w:r>
        <w:rPr>
          <w:spacing w:val="-4"/>
        </w:rPr>
        <w:t>rebellion,</w:t>
      </w:r>
      <w:r>
        <w:rPr>
          <w:spacing w:val="-6"/>
        </w:rPr>
        <w:t> </w:t>
      </w:r>
      <w:r>
        <w:rPr>
          <w:spacing w:val="-4"/>
        </w:rPr>
        <w:t>showing </w:t>
      </w:r>
      <w:r>
        <w:rPr/>
        <w:t>how grief</w:t>
      </w:r>
      <w:r>
        <w:rPr>
          <w:spacing w:val="40"/>
        </w:rPr>
        <w:t> </w:t>
      </w:r>
      <w:r>
        <w:rPr/>
        <w:t>can</w:t>
      </w:r>
      <w:r>
        <w:rPr>
          <w:spacing w:val="40"/>
        </w:rPr>
        <w:t> </w:t>
      </w:r>
      <w:r>
        <w:rPr/>
        <w:t>lead</w:t>
      </w:r>
      <w:r>
        <w:rPr>
          <w:spacing w:val="40"/>
        </w:rPr>
        <w:t> </w:t>
      </w:r>
      <w:r>
        <w:rPr/>
        <w:t>to</w:t>
      </w:r>
      <w:r>
        <w:rPr>
          <w:spacing w:val="40"/>
        </w:rPr>
        <w:t> </w:t>
      </w:r>
      <w:r>
        <w:rPr/>
        <w:t>truth</w:t>
      </w:r>
      <w:r>
        <w:rPr>
          <w:spacing w:val="40"/>
        </w:rPr>
        <w:t> </w:t>
      </w:r>
      <w:r>
        <w:rPr/>
        <w:t>and</w:t>
      </w:r>
      <w:r>
        <w:rPr>
          <w:spacing w:val="40"/>
        </w:rPr>
        <w:t> </w:t>
      </w:r>
      <w:r>
        <w:rPr/>
        <w:t>justice.</w:t>
      </w:r>
    </w:p>
    <w:p>
      <w:pPr>
        <w:pStyle w:val="BodyText"/>
        <w:spacing w:line="261" w:lineRule="auto" w:before="74"/>
        <w:ind w:right="1440" w:firstLine="432"/>
        <w:jc w:val="both"/>
      </w:pPr>
      <w:r>
        <w:rPr/>
        <w:t>In </w:t>
      </w:r>
      <w:r>
        <w:rPr>
          <w:i/>
        </w:rPr>
        <w:t>Hamlet</w:t>
      </w:r>
      <w:r>
        <w:rPr/>
        <w:t>, female grief appears through the characters of Ophelia and</w:t>
      </w:r>
      <w:r>
        <w:rPr>
          <w:spacing w:val="-13"/>
        </w:rPr>
        <w:t> </w:t>
      </w:r>
      <w:r>
        <w:rPr/>
        <w:t>Queen</w:t>
      </w:r>
      <w:r>
        <w:rPr>
          <w:spacing w:val="-12"/>
        </w:rPr>
        <w:t> </w:t>
      </w:r>
      <w:r>
        <w:rPr/>
        <w:t>Gertrude.</w:t>
      </w:r>
      <w:r>
        <w:rPr>
          <w:spacing w:val="-11"/>
        </w:rPr>
        <w:t> </w:t>
      </w:r>
      <w:r>
        <w:rPr/>
        <w:t>Ophelia’s</w:t>
      </w:r>
      <w:r>
        <w:rPr>
          <w:spacing w:val="-13"/>
        </w:rPr>
        <w:t> </w:t>
      </w:r>
      <w:r>
        <w:rPr/>
        <w:t>sorrow</w:t>
      </w:r>
      <w:r>
        <w:rPr>
          <w:spacing w:val="-12"/>
        </w:rPr>
        <w:t> </w:t>
      </w:r>
      <w:r>
        <w:rPr/>
        <w:t>results</w:t>
      </w:r>
      <w:r>
        <w:rPr>
          <w:spacing w:val="-13"/>
        </w:rPr>
        <w:t> </w:t>
      </w:r>
      <w:r>
        <w:rPr/>
        <w:t>from</w:t>
      </w:r>
      <w:r>
        <w:rPr>
          <w:spacing w:val="-11"/>
        </w:rPr>
        <w:t> </w:t>
      </w:r>
      <w:r>
        <w:rPr/>
        <w:t>multiple</w:t>
      </w:r>
      <w:r>
        <w:rPr>
          <w:spacing w:val="-13"/>
        </w:rPr>
        <w:t> </w:t>
      </w:r>
      <w:r>
        <w:rPr/>
        <w:t>losses—her father’s</w:t>
      </w:r>
      <w:r>
        <w:rPr>
          <w:spacing w:val="-13"/>
        </w:rPr>
        <w:t> </w:t>
      </w:r>
      <w:r>
        <w:rPr/>
        <w:t>death,</w:t>
      </w:r>
      <w:r>
        <w:rPr>
          <w:spacing w:val="-12"/>
        </w:rPr>
        <w:t> </w:t>
      </w:r>
      <w:r>
        <w:rPr/>
        <w:t>Hamlet’s</w:t>
      </w:r>
      <w:r>
        <w:rPr>
          <w:spacing w:val="-13"/>
        </w:rPr>
        <w:t> </w:t>
      </w:r>
      <w:r>
        <w:rPr/>
        <w:t>rejection,</w:t>
      </w:r>
      <w:r>
        <w:rPr>
          <w:spacing w:val="-12"/>
        </w:rPr>
        <w:t> </w:t>
      </w:r>
      <w:r>
        <w:rPr/>
        <w:t>and</w:t>
      </w:r>
      <w:r>
        <w:rPr>
          <w:spacing w:val="-13"/>
        </w:rPr>
        <w:t> </w:t>
      </w:r>
      <w:r>
        <w:rPr/>
        <w:t>social</w:t>
      </w:r>
      <w:r>
        <w:rPr>
          <w:spacing w:val="-12"/>
        </w:rPr>
        <w:t> </w:t>
      </w:r>
      <w:r>
        <w:rPr/>
        <w:t>pressure.</w:t>
      </w:r>
      <w:r>
        <w:rPr>
          <w:spacing w:val="-12"/>
        </w:rPr>
        <w:t> </w:t>
      </w:r>
      <w:r>
        <w:rPr/>
        <w:t>Unable</w:t>
      </w:r>
      <w:r>
        <w:rPr>
          <w:spacing w:val="-12"/>
        </w:rPr>
        <w:t> </w:t>
      </w:r>
      <w:r>
        <w:rPr/>
        <w:t>to</w:t>
      </w:r>
      <w:r>
        <w:rPr>
          <w:spacing w:val="-13"/>
        </w:rPr>
        <w:t> </w:t>
      </w:r>
      <w:r>
        <w:rPr/>
        <w:t>express her suffering openly, her grief turns inward and manifests as madness. Her songs and fragmented speech reveal hidden truths about betrayal, sexuality, and emotional repression. Ophelia’s madness becomes a symbolic language through which suppressed social realities emerge. Her tragic death reflects the emotional cost imposed on women within political</w:t>
      </w:r>
      <w:r>
        <w:rPr>
          <w:spacing w:val="-13"/>
        </w:rPr>
        <w:t> </w:t>
      </w:r>
      <w:r>
        <w:rPr/>
        <w:t>and</w:t>
      </w:r>
      <w:r>
        <w:rPr>
          <w:spacing w:val="-12"/>
        </w:rPr>
        <w:t> </w:t>
      </w:r>
      <w:r>
        <w:rPr/>
        <w:t>patriarchal</w:t>
      </w:r>
      <w:r>
        <w:rPr>
          <w:spacing w:val="-13"/>
        </w:rPr>
        <w:t> </w:t>
      </w:r>
      <w:r>
        <w:rPr/>
        <w:t>structures.</w:t>
      </w:r>
      <w:r>
        <w:rPr>
          <w:spacing w:val="-12"/>
        </w:rPr>
        <w:t> </w:t>
      </w:r>
      <w:r>
        <w:rPr/>
        <w:t>Gertrude’s</w:t>
      </w:r>
      <w:r>
        <w:rPr>
          <w:spacing w:val="-13"/>
        </w:rPr>
        <w:t> </w:t>
      </w:r>
      <w:r>
        <w:rPr/>
        <w:t>grief</w:t>
      </w:r>
      <w:r>
        <w:rPr>
          <w:spacing w:val="-12"/>
        </w:rPr>
        <w:t> </w:t>
      </w:r>
      <w:r>
        <w:rPr/>
        <w:t>is</w:t>
      </w:r>
      <w:r>
        <w:rPr>
          <w:spacing w:val="-13"/>
        </w:rPr>
        <w:t> </w:t>
      </w:r>
      <w:r>
        <w:rPr/>
        <w:t>more</w:t>
      </w:r>
      <w:r>
        <w:rPr>
          <w:spacing w:val="-11"/>
        </w:rPr>
        <w:t> </w:t>
      </w:r>
      <w:r>
        <w:rPr/>
        <w:t>complex</w:t>
      </w:r>
      <w:r>
        <w:rPr>
          <w:spacing w:val="-13"/>
        </w:rPr>
        <w:t> </w:t>
      </w:r>
      <w:r>
        <w:rPr/>
        <w:t>and ambiguous.</w:t>
      </w:r>
      <w:r>
        <w:rPr>
          <w:spacing w:val="-2"/>
        </w:rPr>
        <w:t> </w:t>
      </w:r>
      <w:r>
        <w:rPr/>
        <w:t>Though</w:t>
      </w:r>
      <w:r>
        <w:rPr>
          <w:spacing w:val="-4"/>
        </w:rPr>
        <w:t> </w:t>
      </w:r>
      <w:r>
        <w:rPr/>
        <w:t>often</w:t>
      </w:r>
      <w:r>
        <w:rPr>
          <w:spacing w:val="-4"/>
        </w:rPr>
        <w:t> </w:t>
      </w:r>
      <w:r>
        <w:rPr/>
        <w:t>criticized</w:t>
      </w:r>
      <w:r>
        <w:rPr>
          <w:spacing w:val="-2"/>
        </w:rPr>
        <w:t> </w:t>
      </w:r>
      <w:r>
        <w:rPr/>
        <w:t>for</w:t>
      </w:r>
      <w:r>
        <w:rPr>
          <w:spacing w:val="-1"/>
        </w:rPr>
        <w:t> </w:t>
      </w:r>
      <w:r>
        <w:rPr/>
        <w:t>moral</w:t>
      </w:r>
      <w:r>
        <w:rPr>
          <w:spacing w:val="-3"/>
        </w:rPr>
        <w:t> </w:t>
      </w:r>
      <w:r>
        <w:rPr/>
        <w:t>weakness,</w:t>
      </w:r>
      <w:r>
        <w:rPr>
          <w:spacing w:val="-2"/>
        </w:rPr>
        <w:t> </w:t>
      </w:r>
      <w:r>
        <w:rPr/>
        <w:t>her</w:t>
      </w:r>
      <w:r>
        <w:rPr>
          <w:spacing w:val="-1"/>
        </w:rPr>
        <w:t> </w:t>
      </w:r>
      <w:r>
        <w:rPr/>
        <w:t>final</w:t>
      </w:r>
      <w:r>
        <w:rPr>
          <w:spacing w:val="-4"/>
        </w:rPr>
        <w:t> </w:t>
      </w:r>
      <w:r>
        <w:rPr/>
        <w:t>act</w:t>
      </w:r>
      <w:r>
        <w:rPr>
          <w:spacing w:val="-4"/>
        </w:rPr>
        <w:t> </w:t>
      </w:r>
      <w:r>
        <w:rPr/>
        <w:t>of drinking the poisoned wine reveals maternal loyalty and awakening awareness. Her death exposes the corruption of the Danish court and contributes</w:t>
      </w:r>
      <w:r>
        <w:rPr>
          <w:spacing w:val="40"/>
        </w:rPr>
        <w:t> </w:t>
      </w:r>
      <w:r>
        <w:rPr/>
        <w:t>to</w:t>
      </w:r>
      <w:r>
        <w:rPr>
          <w:spacing w:val="40"/>
        </w:rPr>
        <w:t> </w:t>
      </w:r>
      <w:r>
        <w:rPr/>
        <w:t>the</w:t>
      </w:r>
      <w:r>
        <w:rPr>
          <w:spacing w:val="40"/>
        </w:rPr>
        <w:t> </w:t>
      </w:r>
      <w:r>
        <w:rPr/>
        <w:t>moral</w:t>
      </w:r>
      <w:r>
        <w:rPr>
          <w:spacing w:val="40"/>
        </w:rPr>
        <w:t> </w:t>
      </w:r>
      <w:r>
        <w:rPr/>
        <w:t>recognition</w:t>
      </w:r>
      <w:r>
        <w:rPr>
          <w:spacing w:val="40"/>
        </w:rPr>
        <w:t> </w:t>
      </w:r>
      <w:r>
        <w:rPr/>
        <w:t>that</w:t>
      </w:r>
      <w:r>
        <w:rPr>
          <w:spacing w:val="40"/>
        </w:rPr>
        <w:t> </w:t>
      </w:r>
      <w:r>
        <w:rPr/>
        <w:t>concludes</w:t>
      </w:r>
      <w:r>
        <w:rPr>
          <w:spacing w:val="40"/>
        </w:rPr>
        <w:t> </w:t>
      </w:r>
      <w:r>
        <w:rPr/>
        <w:t>the</w:t>
      </w:r>
      <w:r>
        <w:rPr>
          <w:spacing w:val="40"/>
        </w:rPr>
        <w:t> </w:t>
      </w:r>
      <w:r>
        <w:rPr/>
        <w:t>tragedy.</w:t>
      </w:r>
    </w:p>
    <w:p>
      <w:pPr>
        <w:pStyle w:val="BodyText"/>
        <w:spacing w:line="261" w:lineRule="auto" w:before="51"/>
        <w:ind w:right="1439" w:firstLine="432"/>
        <w:jc w:val="both"/>
      </w:pPr>
      <w:r>
        <w:rPr/>
        <w:t>In </w:t>
      </w:r>
      <w:r>
        <w:rPr>
          <w:i/>
        </w:rPr>
        <w:t>The Rape of Lucrece</w:t>
      </w:r>
      <w:r>
        <w:rPr/>
        <w:t>, Shakespeare presents female grief as philosophical reflection and political resistance. Lucrece’s suffering following</w:t>
      </w:r>
      <w:r>
        <w:rPr>
          <w:spacing w:val="-5"/>
        </w:rPr>
        <w:t> </w:t>
      </w:r>
      <w:r>
        <w:rPr/>
        <w:t>sexual</w:t>
      </w:r>
      <w:r>
        <w:rPr>
          <w:spacing w:val="-5"/>
        </w:rPr>
        <w:t> </w:t>
      </w:r>
      <w:r>
        <w:rPr/>
        <w:t>violation</w:t>
      </w:r>
      <w:r>
        <w:rPr>
          <w:spacing w:val="-4"/>
        </w:rPr>
        <w:t> </w:t>
      </w:r>
      <w:r>
        <w:rPr/>
        <w:t>becomes</w:t>
      </w:r>
      <w:r>
        <w:rPr>
          <w:spacing w:val="-5"/>
        </w:rPr>
        <w:t> </w:t>
      </w:r>
      <w:r>
        <w:rPr/>
        <w:t>a</w:t>
      </w:r>
      <w:r>
        <w:rPr>
          <w:spacing w:val="-5"/>
        </w:rPr>
        <w:t> </w:t>
      </w:r>
      <w:r>
        <w:rPr/>
        <w:t>meditation</w:t>
      </w:r>
      <w:r>
        <w:rPr>
          <w:spacing w:val="-5"/>
        </w:rPr>
        <w:t> </w:t>
      </w:r>
      <w:r>
        <w:rPr/>
        <w:t>on</w:t>
      </w:r>
      <w:r>
        <w:rPr>
          <w:spacing w:val="-5"/>
        </w:rPr>
        <w:t> </w:t>
      </w:r>
      <w:r>
        <w:rPr/>
        <w:t>honour,</w:t>
      </w:r>
      <w:r>
        <w:rPr>
          <w:spacing w:val="-4"/>
        </w:rPr>
        <w:t> </w:t>
      </w:r>
      <w:r>
        <w:rPr/>
        <w:t>shame,</w:t>
      </w:r>
      <w:r>
        <w:rPr>
          <w:spacing w:val="-4"/>
        </w:rPr>
        <w:t> </w:t>
      </w:r>
      <w:r>
        <w:rPr/>
        <w:t>and moral</w:t>
      </w:r>
      <w:r>
        <w:rPr>
          <w:spacing w:val="-13"/>
        </w:rPr>
        <w:t> </w:t>
      </w:r>
      <w:r>
        <w:rPr/>
        <w:t>responsibility.</w:t>
      </w:r>
      <w:r>
        <w:rPr>
          <w:spacing w:val="-12"/>
        </w:rPr>
        <w:t> </w:t>
      </w:r>
      <w:r>
        <w:rPr/>
        <w:t>Unlike</w:t>
      </w:r>
      <w:r>
        <w:rPr>
          <w:spacing w:val="-13"/>
        </w:rPr>
        <w:t> </w:t>
      </w:r>
      <w:r>
        <w:rPr/>
        <w:t>dramatic</w:t>
      </w:r>
      <w:r>
        <w:rPr>
          <w:spacing w:val="-12"/>
        </w:rPr>
        <w:t> </w:t>
      </w:r>
      <w:r>
        <w:rPr/>
        <w:t>tragedy,</w:t>
      </w:r>
      <w:r>
        <w:rPr>
          <w:spacing w:val="-13"/>
        </w:rPr>
        <w:t> </w:t>
      </w:r>
      <w:r>
        <w:rPr/>
        <w:t>the</w:t>
      </w:r>
      <w:r>
        <w:rPr>
          <w:spacing w:val="-12"/>
        </w:rPr>
        <w:t> </w:t>
      </w:r>
      <w:r>
        <w:rPr/>
        <w:t>narrative</w:t>
      </w:r>
      <w:r>
        <w:rPr>
          <w:spacing w:val="-13"/>
        </w:rPr>
        <w:t> </w:t>
      </w:r>
      <w:r>
        <w:rPr/>
        <w:t>poem</w:t>
      </w:r>
      <w:r>
        <w:rPr>
          <w:spacing w:val="-12"/>
        </w:rPr>
        <w:t> </w:t>
      </w:r>
      <w:r>
        <w:rPr/>
        <w:t>allows </w:t>
      </w:r>
      <w:r>
        <w:rPr>
          <w:spacing w:val="-2"/>
        </w:rPr>
        <w:t>extensive psychological</w:t>
      </w:r>
      <w:r>
        <w:rPr>
          <w:spacing w:val="-3"/>
        </w:rPr>
        <w:t> </w:t>
      </w:r>
      <w:r>
        <w:rPr>
          <w:spacing w:val="-2"/>
        </w:rPr>
        <w:t>introspection.</w:t>
      </w:r>
      <w:r>
        <w:rPr>
          <w:spacing w:val="-7"/>
        </w:rPr>
        <w:t> </w:t>
      </w:r>
      <w:r>
        <w:rPr>
          <w:spacing w:val="-2"/>
        </w:rPr>
        <w:t>Lucrece</w:t>
      </w:r>
      <w:r>
        <w:rPr>
          <w:spacing w:val="-4"/>
        </w:rPr>
        <w:t> </w:t>
      </w:r>
      <w:r>
        <w:rPr>
          <w:spacing w:val="-2"/>
        </w:rPr>
        <w:t>transforms</w:t>
      </w:r>
      <w:r>
        <w:rPr>
          <w:spacing w:val="-4"/>
        </w:rPr>
        <w:t> </w:t>
      </w:r>
      <w:r>
        <w:rPr>
          <w:spacing w:val="-2"/>
        </w:rPr>
        <w:t>private trauma </w:t>
      </w:r>
      <w:r>
        <w:rPr/>
        <w:t>into public moral knowledge. Her grief refuses silence; instead, she publicly narrates the crime committed against her. Her suicide is not merely</w:t>
      </w:r>
      <w:r>
        <w:rPr>
          <w:spacing w:val="-13"/>
        </w:rPr>
        <w:t> </w:t>
      </w:r>
      <w:r>
        <w:rPr/>
        <w:t>an</w:t>
      </w:r>
      <w:r>
        <w:rPr>
          <w:spacing w:val="-12"/>
        </w:rPr>
        <w:t> </w:t>
      </w:r>
      <w:r>
        <w:rPr/>
        <w:t>act</w:t>
      </w:r>
      <w:r>
        <w:rPr>
          <w:spacing w:val="-13"/>
        </w:rPr>
        <w:t> </w:t>
      </w:r>
      <w:r>
        <w:rPr/>
        <w:t>of</w:t>
      </w:r>
      <w:r>
        <w:rPr>
          <w:spacing w:val="-12"/>
        </w:rPr>
        <w:t> </w:t>
      </w:r>
      <w:r>
        <w:rPr/>
        <w:t>despair</w:t>
      </w:r>
      <w:r>
        <w:rPr>
          <w:spacing w:val="-13"/>
        </w:rPr>
        <w:t> </w:t>
      </w:r>
      <w:r>
        <w:rPr/>
        <w:t>but</w:t>
      </w:r>
      <w:r>
        <w:rPr>
          <w:spacing w:val="-12"/>
        </w:rPr>
        <w:t> </w:t>
      </w:r>
      <w:r>
        <w:rPr/>
        <w:t>a</w:t>
      </w:r>
      <w:r>
        <w:rPr>
          <w:spacing w:val="-13"/>
        </w:rPr>
        <w:t> </w:t>
      </w:r>
      <w:r>
        <w:rPr/>
        <w:t>moral</w:t>
      </w:r>
      <w:r>
        <w:rPr>
          <w:spacing w:val="-12"/>
        </w:rPr>
        <w:t> </w:t>
      </w:r>
      <w:r>
        <w:rPr/>
        <w:t>protest</w:t>
      </w:r>
      <w:r>
        <w:rPr>
          <w:spacing w:val="-13"/>
        </w:rPr>
        <w:t> </w:t>
      </w:r>
      <w:r>
        <w:rPr/>
        <w:t>against</w:t>
      </w:r>
      <w:r>
        <w:rPr>
          <w:spacing w:val="-12"/>
        </w:rPr>
        <w:t> </w:t>
      </w:r>
      <w:r>
        <w:rPr/>
        <w:t>tyranny</w:t>
      </w:r>
      <w:r>
        <w:rPr>
          <w:spacing w:val="-13"/>
        </w:rPr>
        <w:t> </w:t>
      </w:r>
      <w:r>
        <w:rPr/>
        <w:t>and</w:t>
      </w:r>
      <w:r>
        <w:rPr>
          <w:spacing w:val="-10"/>
        </w:rPr>
        <w:t> </w:t>
      </w:r>
      <w:r>
        <w:rPr>
          <w:spacing w:val="-2"/>
        </w:rPr>
        <w:t>injustice.</w:t>
      </w:r>
    </w:p>
    <w:p>
      <w:pPr>
        <w:spacing w:line="244" w:lineRule="auto" w:before="147"/>
        <w:ind w:left="1440" w:right="1438" w:firstLine="0"/>
        <w:jc w:val="both"/>
        <w:rPr>
          <w:rFonts w:ascii="Cambria" w:hAnsi="Cambria"/>
          <w:b/>
          <w:i/>
          <w:sz w:val="23"/>
        </w:rPr>
      </w:pPr>
      <w:r>
        <w:rPr>
          <w:rFonts w:ascii="Tahoma" w:hAnsi="Tahoma"/>
          <w:b/>
          <w:spacing w:val="-2"/>
          <w:w w:val="90"/>
          <w:sz w:val="23"/>
        </w:rPr>
        <w:t>PSYCHOLOGICAL</w:t>
      </w:r>
      <w:r>
        <w:rPr>
          <w:rFonts w:ascii="Tahoma" w:hAnsi="Tahoma"/>
          <w:b/>
          <w:spacing w:val="-9"/>
          <w:w w:val="90"/>
          <w:sz w:val="23"/>
        </w:rPr>
        <w:t> </w:t>
      </w:r>
      <w:r>
        <w:rPr>
          <w:rFonts w:ascii="Tahoma" w:hAnsi="Tahoma"/>
          <w:b/>
          <w:spacing w:val="-2"/>
          <w:w w:val="90"/>
          <w:sz w:val="23"/>
        </w:rPr>
        <w:t>TRAUMA</w:t>
      </w:r>
      <w:r>
        <w:rPr>
          <w:rFonts w:ascii="Tahoma" w:hAnsi="Tahoma"/>
          <w:b/>
          <w:spacing w:val="-8"/>
          <w:w w:val="90"/>
          <w:sz w:val="23"/>
        </w:rPr>
        <w:t> </w:t>
      </w:r>
      <w:r>
        <w:rPr>
          <w:rFonts w:ascii="Tahoma" w:hAnsi="Tahoma"/>
          <w:b/>
          <w:spacing w:val="-2"/>
          <w:w w:val="90"/>
          <w:sz w:val="23"/>
        </w:rPr>
        <w:t>IN</w:t>
      </w:r>
      <w:r>
        <w:rPr>
          <w:rFonts w:ascii="Tahoma" w:hAnsi="Tahoma"/>
          <w:b/>
          <w:spacing w:val="-8"/>
          <w:w w:val="90"/>
          <w:sz w:val="23"/>
        </w:rPr>
        <w:t> </w:t>
      </w:r>
      <w:r>
        <w:rPr>
          <w:rFonts w:ascii="Tahoma" w:hAnsi="Tahoma"/>
          <w:b/>
          <w:spacing w:val="-2"/>
          <w:w w:val="90"/>
          <w:sz w:val="23"/>
        </w:rPr>
        <w:t>SHAKESPEARE’S</w:t>
      </w:r>
      <w:r>
        <w:rPr>
          <w:rFonts w:ascii="Tahoma" w:hAnsi="Tahoma"/>
          <w:b/>
          <w:spacing w:val="-8"/>
          <w:w w:val="90"/>
          <w:sz w:val="23"/>
        </w:rPr>
        <w:t> </w:t>
      </w:r>
      <w:r>
        <w:rPr>
          <w:rFonts w:ascii="Cambria" w:hAnsi="Cambria"/>
          <w:b/>
          <w:i/>
          <w:spacing w:val="-2"/>
          <w:w w:val="90"/>
          <w:sz w:val="23"/>
        </w:rPr>
        <w:t>OTHELLO</w:t>
      </w:r>
      <w:r>
        <w:rPr>
          <w:rFonts w:ascii="Tahoma" w:hAnsi="Tahoma"/>
          <w:b/>
          <w:spacing w:val="-2"/>
          <w:w w:val="90"/>
          <w:sz w:val="23"/>
        </w:rPr>
        <w:t>, </w:t>
      </w:r>
      <w:r>
        <w:rPr>
          <w:rFonts w:ascii="Cambria" w:hAnsi="Cambria"/>
          <w:b/>
          <w:i/>
          <w:sz w:val="23"/>
        </w:rPr>
        <w:t>HAMLET,</w:t>
      </w:r>
      <w:r>
        <w:rPr>
          <w:rFonts w:ascii="Cambria" w:hAnsi="Cambria"/>
          <w:b/>
          <w:i/>
          <w:spacing w:val="40"/>
          <w:sz w:val="23"/>
        </w:rPr>
        <w:t> </w:t>
      </w:r>
      <w:r>
        <w:rPr>
          <w:rFonts w:ascii="Tahoma" w:hAnsi="Tahoma"/>
          <w:b/>
          <w:sz w:val="23"/>
        </w:rPr>
        <w:t>AND </w:t>
      </w:r>
      <w:r>
        <w:rPr>
          <w:rFonts w:ascii="Cambria" w:hAnsi="Cambria"/>
          <w:b/>
          <w:i/>
          <w:sz w:val="23"/>
        </w:rPr>
        <w:t>THE</w:t>
      </w:r>
      <w:r>
        <w:rPr>
          <w:rFonts w:ascii="Cambria" w:hAnsi="Cambria"/>
          <w:b/>
          <w:i/>
          <w:spacing w:val="40"/>
          <w:sz w:val="23"/>
        </w:rPr>
        <w:t> </w:t>
      </w:r>
      <w:r>
        <w:rPr>
          <w:rFonts w:ascii="Cambria" w:hAnsi="Cambria"/>
          <w:b/>
          <w:i/>
          <w:sz w:val="23"/>
        </w:rPr>
        <w:t>RAPE OF</w:t>
      </w:r>
      <w:r>
        <w:rPr>
          <w:rFonts w:ascii="Cambria" w:hAnsi="Cambria"/>
          <w:b/>
          <w:i/>
          <w:spacing w:val="40"/>
          <w:sz w:val="23"/>
        </w:rPr>
        <w:t> </w:t>
      </w:r>
      <w:r>
        <w:rPr>
          <w:rFonts w:ascii="Cambria" w:hAnsi="Cambria"/>
          <w:b/>
          <w:i/>
          <w:sz w:val="23"/>
        </w:rPr>
        <w:t>LUCRECE:</w:t>
      </w:r>
    </w:p>
    <w:p>
      <w:pPr>
        <w:pStyle w:val="BodyText"/>
        <w:spacing w:line="261" w:lineRule="auto" w:before="79"/>
        <w:ind w:right="1439" w:firstLine="504"/>
        <w:jc w:val="both"/>
      </w:pPr>
      <w:r>
        <w:rPr/>
        <w:t>William Shakespeare anticipates modern trauma studies through </w:t>
      </w:r>
      <w:r>
        <w:rPr>
          <w:spacing w:val="-2"/>
        </w:rPr>
        <w:t>his</w:t>
      </w:r>
      <w:r>
        <w:rPr>
          <w:spacing w:val="-9"/>
        </w:rPr>
        <w:t> </w:t>
      </w:r>
      <w:r>
        <w:rPr>
          <w:spacing w:val="-2"/>
        </w:rPr>
        <w:t>nuanced</w:t>
      </w:r>
      <w:r>
        <w:rPr>
          <w:spacing w:val="-6"/>
        </w:rPr>
        <w:t> </w:t>
      </w:r>
      <w:r>
        <w:rPr>
          <w:spacing w:val="-2"/>
        </w:rPr>
        <w:t>portrayal</w:t>
      </w:r>
      <w:r>
        <w:rPr>
          <w:spacing w:val="-11"/>
        </w:rPr>
        <w:t> </w:t>
      </w:r>
      <w:r>
        <w:rPr>
          <w:spacing w:val="-2"/>
        </w:rPr>
        <w:t>of</w:t>
      </w:r>
      <w:r>
        <w:rPr>
          <w:spacing w:val="-10"/>
        </w:rPr>
        <w:t> </w:t>
      </w:r>
      <w:r>
        <w:rPr>
          <w:spacing w:val="-2"/>
        </w:rPr>
        <w:t>female</w:t>
      </w:r>
      <w:r>
        <w:rPr>
          <w:spacing w:val="-9"/>
        </w:rPr>
        <w:t> </w:t>
      </w:r>
      <w:r>
        <w:rPr>
          <w:spacing w:val="-2"/>
        </w:rPr>
        <w:t>grief.</w:t>
      </w:r>
      <w:r>
        <w:rPr>
          <w:spacing w:val="-6"/>
        </w:rPr>
        <w:t> </w:t>
      </w:r>
      <w:r>
        <w:rPr>
          <w:spacing w:val="-2"/>
        </w:rPr>
        <w:t>Characters</w:t>
      </w:r>
      <w:r>
        <w:rPr>
          <w:spacing w:val="-9"/>
        </w:rPr>
        <w:t> </w:t>
      </w:r>
      <w:r>
        <w:rPr>
          <w:spacing w:val="-2"/>
        </w:rPr>
        <w:t>such</w:t>
      </w:r>
      <w:r>
        <w:rPr>
          <w:spacing w:val="-11"/>
        </w:rPr>
        <w:t> </w:t>
      </w:r>
      <w:r>
        <w:rPr>
          <w:spacing w:val="-2"/>
        </w:rPr>
        <w:t>as</w:t>
      </w:r>
      <w:r>
        <w:rPr>
          <w:spacing w:val="-8"/>
        </w:rPr>
        <w:t> </w:t>
      </w:r>
      <w:r>
        <w:rPr>
          <w:spacing w:val="-2"/>
        </w:rPr>
        <w:t>Ophelia</w:t>
      </w:r>
      <w:r>
        <w:rPr>
          <w:spacing w:val="-6"/>
        </w:rPr>
        <w:t> </w:t>
      </w:r>
      <w:r>
        <w:rPr>
          <w:spacing w:val="-2"/>
        </w:rPr>
        <w:t>embody </w:t>
      </w:r>
      <w:r>
        <w:rPr/>
        <w:t>psychological</w:t>
      </w:r>
      <w:r>
        <w:rPr>
          <w:spacing w:val="61"/>
          <w:w w:val="150"/>
        </w:rPr>
        <w:t> </w:t>
      </w:r>
      <w:r>
        <w:rPr/>
        <w:t>fragmentation</w:t>
      </w:r>
      <w:r>
        <w:rPr>
          <w:spacing w:val="67"/>
          <w:w w:val="150"/>
        </w:rPr>
        <w:t> </w:t>
      </w:r>
      <w:r>
        <w:rPr/>
        <w:t>through</w:t>
      </w:r>
      <w:r>
        <w:rPr>
          <w:spacing w:val="64"/>
          <w:w w:val="150"/>
        </w:rPr>
        <w:t> </w:t>
      </w:r>
      <w:r>
        <w:rPr/>
        <w:t>madness,</w:t>
      </w:r>
      <w:r>
        <w:rPr>
          <w:spacing w:val="67"/>
          <w:w w:val="150"/>
        </w:rPr>
        <w:t> </w:t>
      </w:r>
      <w:r>
        <w:rPr/>
        <w:t>while</w:t>
      </w:r>
      <w:r>
        <w:rPr>
          <w:spacing w:val="63"/>
          <w:w w:val="150"/>
        </w:rPr>
        <w:t> </w:t>
      </w:r>
      <w:r>
        <w:rPr>
          <w:spacing w:val="-2"/>
        </w:rPr>
        <w:t>Desdemona</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3" w:val="left" w:leader="none"/>
        </w:tabs>
        <w:spacing w:before="0"/>
        <w:ind w:left="0" w:right="0"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37696">
                <wp:simplePos x="0" y="0"/>
                <wp:positionH relativeFrom="page">
                  <wp:posOffset>2065020</wp:posOffset>
                </wp:positionH>
                <wp:positionV relativeFrom="paragraph">
                  <wp:posOffset>162604</wp:posOffset>
                </wp:positionV>
                <wp:extent cx="3657600" cy="12700"/>
                <wp:effectExtent l="0" t="0" r="0" b="0"/>
                <wp:wrapTopAndBottom/>
                <wp:docPr id="680" name="Graphic 680"/>
                <wp:cNvGraphicFramePr>
                  <a:graphicFrameLocks/>
                </wp:cNvGraphicFramePr>
                <a:graphic>
                  <a:graphicData uri="http://schemas.microsoft.com/office/word/2010/wordprocessingShape">
                    <wps:wsp>
                      <wps:cNvPr id="680" name="Graphic 68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78784;mso-wrap-distance-left:0;mso-wrap-distance-right:0" id="docshape672" filled="true" fillcolor="#000000" stroked="false">
                <v:fill type="solid"/>
                <w10:wrap type="topAndBottom"/>
              </v:rect>
            </w:pict>
          </mc:Fallback>
        </mc:AlternateContent>
      </w:r>
      <w:r>
        <w:rPr>
          <w:rFonts w:ascii="Verdana" w:hAnsi="Verdana"/>
          <w:sz w:val="18"/>
        </w:rPr>
        <w:t>Grief</w:t>
      </w:r>
      <w:r>
        <w:rPr>
          <w:rFonts w:ascii="Verdana" w:hAnsi="Verdana"/>
          <w:spacing w:val="-12"/>
          <w:sz w:val="18"/>
        </w:rPr>
        <w:t> </w:t>
      </w:r>
      <w:r>
        <w:rPr>
          <w:rFonts w:ascii="Verdana" w:hAnsi="Verdana"/>
          <w:sz w:val="18"/>
        </w:rPr>
        <w:t>and</w:t>
      </w:r>
      <w:r>
        <w:rPr>
          <w:rFonts w:ascii="Verdana" w:hAnsi="Verdana"/>
          <w:spacing w:val="-12"/>
          <w:sz w:val="18"/>
        </w:rPr>
        <w:t> </w:t>
      </w:r>
      <w:r>
        <w:rPr>
          <w:rFonts w:ascii="Verdana" w:hAnsi="Verdana"/>
          <w:sz w:val="18"/>
        </w:rPr>
        <w:t>Mourning</w:t>
      </w:r>
      <w:r>
        <w:rPr>
          <w:rFonts w:ascii="Verdana" w:hAnsi="Verdana"/>
          <w:spacing w:val="-14"/>
          <w:sz w:val="18"/>
        </w:rPr>
        <w:t> </w:t>
      </w:r>
      <w:r>
        <w:rPr>
          <w:rFonts w:ascii="Verdana" w:hAnsi="Verdana"/>
          <w:sz w:val="18"/>
        </w:rPr>
        <w:t>in</w:t>
      </w:r>
      <w:r>
        <w:rPr>
          <w:rFonts w:ascii="Verdana" w:hAnsi="Verdana"/>
          <w:spacing w:val="-10"/>
          <w:sz w:val="18"/>
        </w:rPr>
        <w:t> </w:t>
      </w:r>
      <w:r>
        <w:rPr>
          <w:rFonts w:ascii="Verdana" w:hAnsi="Verdana"/>
          <w:sz w:val="18"/>
        </w:rPr>
        <w:t>Shakespeare’s</w:t>
      </w:r>
      <w:r>
        <w:rPr>
          <w:rFonts w:ascii="Verdana" w:hAnsi="Verdana"/>
          <w:spacing w:val="-14"/>
          <w:sz w:val="18"/>
        </w:rPr>
        <w:t> </w:t>
      </w:r>
      <w:r>
        <w:rPr>
          <w:rFonts w:ascii="Verdana" w:hAnsi="Verdana"/>
          <w:sz w:val="18"/>
        </w:rPr>
        <w:t>Female</w:t>
      </w:r>
      <w:r>
        <w:rPr>
          <w:rFonts w:ascii="Verdana" w:hAnsi="Verdana"/>
          <w:spacing w:val="-10"/>
          <w:sz w:val="18"/>
        </w:rPr>
        <w:t> </w:t>
      </w:r>
      <w:r>
        <w:rPr>
          <w:rFonts w:ascii="Verdana" w:hAnsi="Verdana"/>
          <w:spacing w:val="-2"/>
          <w:sz w:val="18"/>
        </w:rPr>
        <w:t>Characters...</w:t>
      </w:r>
      <w:r>
        <w:rPr>
          <w:rFonts w:ascii="Verdana" w:hAnsi="Verdana"/>
          <w:sz w:val="18"/>
        </w:rPr>
        <w:tab/>
      </w:r>
      <w:r>
        <w:rPr>
          <w:rFonts w:ascii="Verdana" w:hAnsi="Verdana"/>
          <w:spacing w:val="-5"/>
          <w:sz w:val="18"/>
        </w:rPr>
        <w:t>335</w:t>
      </w:r>
    </w:p>
    <w:p>
      <w:pPr>
        <w:pStyle w:val="BodyText"/>
        <w:spacing w:line="261" w:lineRule="auto" w:before="199"/>
        <w:ind w:right="1434"/>
        <w:jc w:val="both"/>
      </w:pPr>
      <w:r>
        <w:rPr>
          <w:spacing w:val="-4"/>
        </w:rPr>
        <w:t>represents emotional endurance amid injustice. Emilia demonstrates moral </w:t>
      </w:r>
      <w:r>
        <w:rPr>
          <w:spacing w:val="-2"/>
        </w:rPr>
        <w:t>awakening</w:t>
      </w:r>
      <w:r>
        <w:rPr>
          <w:spacing w:val="-4"/>
        </w:rPr>
        <w:t> </w:t>
      </w:r>
      <w:r>
        <w:rPr>
          <w:spacing w:val="-2"/>
        </w:rPr>
        <w:t>by</w:t>
      </w:r>
      <w:r>
        <w:rPr>
          <w:spacing w:val="-6"/>
        </w:rPr>
        <w:t> </w:t>
      </w:r>
      <w:r>
        <w:rPr>
          <w:spacing w:val="-2"/>
        </w:rPr>
        <w:t>transforming grief</w:t>
      </w:r>
      <w:r>
        <w:rPr>
          <w:spacing w:val="-4"/>
        </w:rPr>
        <w:t> </w:t>
      </w:r>
      <w:r>
        <w:rPr>
          <w:spacing w:val="-2"/>
        </w:rPr>
        <w:t>into courageous</w:t>
      </w:r>
      <w:r>
        <w:rPr>
          <w:spacing w:val="-4"/>
        </w:rPr>
        <w:t> </w:t>
      </w:r>
      <w:r>
        <w:rPr>
          <w:spacing w:val="-2"/>
        </w:rPr>
        <w:t>resistance, and Lucrece </w:t>
      </w:r>
      <w:r>
        <w:rPr/>
        <w:t>expresses philosophical mourning that turns personal suffering into ethical reflection. These varied responses reveal that grief is neither uniform nor passive; instead, it becomes a form of emotional agency. Even within restrictive and patriarchal environments, Shakespeare’s women actively interpret and respond to trauma. His works humanize female psychological experience long before modern psychology recognized</w:t>
      </w:r>
      <w:r>
        <w:rPr>
          <w:spacing w:val="-13"/>
        </w:rPr>
        <w:t> </w:t>
      </w:r>
      <w:r>
        <w:rPr/>
        <w:t>the</w:t>
      </w:r>
      <w:r>
        <w:rPr>
          <w:spacing w:val="-12"/>
        </w:rPr>
        <w:t> </w:t>
      </w:r>
      <w:r>
        <w:rPr/>
        <w:t>complexity,</w:t>
      </w:r>
      <w:r>
        <w:rPr>
          <w:spacing w:val="-13"/>
        </w:rPr>
        <w:t> </w:t>
      </w:r>
      <w:r>
        <w:rPr/>
        <w:t>individuality,</w:t>
      </w:r>
      <w:r>
        <w:rPr>
          <w:spacing w:val="-12"/>
        </w:rPr>
        <w:t> </w:t>
      </w:r>
      <w:r>
        <w:rPr/>
        <w:t>and</w:t>
      </w:r>
      <w:r>
        <w:rPr>
          <w:spacing w:val="-13"/>
        </w:rPr>
        <w:t> </w:t>
      </w:r>
      <w:r>
        <w:rPr/>
        <w:t>transformative</w:t>
      </w:r>
      <w:r>
        <w:rPr>
          <w:spacing w:val="-12"/>
        </w:rPr>
        <w:t> </w:t>
      </w:r>
      <w:r>
        <w:rPr/>
        <w:t>potential</w:t>
      </w:r>
      <w:r>
        <w:rPr>
          <w:spacing w:val="-13"/>
        </w:rPr>
        <w:t> </w:t>
      </w:r>
      <w:r>
        <w:rPr/>
        <w:t>of trauma and emotional suffering.</w:t>
      </w:r>
    </w:p>
    <w:p>
      <w:pPr>
        <w:pStyle w:val="BodyText"/>
        <w:spacing w:line="254" w:lineRule="auto" w:before="47"/>
        <w:ind w:right="1436" w:firstLine="432"/>
        <w:jc w:val="both"/>
      </w:pPr>
      <w:r>
        <w:rPr>
          <w:i/>
          <w:spacing w:val="-4"/>
        </w:rPr>
        <w:t>In</w:t>
      </w:r>
      <w:r>
        <w:rPr>
          <w:i/>
          <w:spacing w:val="-9"/>
        </w:rPr>
        <w:t> </w:t>
      </w:r>
      <w:r>
        <w:rPr>
          <w:i/>
          <w:spacing w:val="-4"/>
        </w:rPr>
        <w:t>Hamlet</w:t>
      </w:r>
      <w:r>
        <w:rPr>
          <w:spacing w:val="-4"/>
        </w:rPr>
        <w:t>,</w:t>
      </w:r>
      <w:r>
        <w:rPr>
          <w:spacing w:val="-8"/>
        </w:rPr>
        <w:t> </w:t>
      </w:r>
      <w:r>
        <w:rPr>
          <w:spacing w:val="-4"/>
        </w:rPr>
        <w:t>psychological</w:t>
      </w:r>
      <w:r>
        <w:rPr>
          <w:spacing w:val="-9"/>
        </w:rPr>
        <w:t> </w:t>
      </w:r>
      <w:r>
        <w:rPr>
          <w:spacing w:val="-4"/>
        </w:rPr>
        <w:t>trauma</w:t>
      </w:r>
      <w:r>
        <w:rPr>
          <w:spacing w:val="-8"/>
        </w:rPr>
        <w:t> </w:t>
      </w:r>
      <w:r>
        <w:rPr>
          <w:spacing w:val="-4"/>
        </w:rPr>
        <w:t>is</w:t>
      </w:r>
      <w:r>
        <w:rPr>
          <w:spacing w:val="-9"/>
        </w:rPr>
        <w:t> </w:t>
      </w:r>
      <w:r>
        <w:rPr>
          <w:spacing w:val="-4"/>
        </w:rPr>
        <w:t>most</w:t>
      </w:r>
      <w:r>
        <w:rPr>
          <w:spacing w:val="-8"/>
        </w:rPr>
        <w:t> </w:t>
      </w:r>
      <w:r>
        <w:rPr>
          <w:spacing w:val="-4"/>
        </w:rPr>
        <w:t>clearly</w:t>
      </w:r>
      <w:r>
        <w:rPr>
          <w:spacing w:val="-9"/>
        </w:rPr>
        <w:t> </w:t>
      </w:r>
      <w:r>
        <w:rPr>
          <w:spacing w:val="-4"/>
        </w:rPr>
        <w:t>embodied</w:t>
      </w:r>
      <w:r>
        <w:rPr>
          <w:spacing w:val="-8"/>
        </w:rPr>
        <w:t> </w:t>
      </w:r>
      <w:r>
        <w:rPr>
          <w:spacing w:val="-4"/>
        </w:rPr>
        <w:t>in</w:t>
      </w:r>
      <w:r>
        <w:rPr>
          <w:spacing w:val="-9"/>
        </w:rPr>
        <w:t> </w:t>
      </w:r>
      <w:r>
        <w:rPr>
          <w:spacing w:val="-4"/>
        </w:rPr>
        <w:t>Ophelia. </w:t>
      </w:r>
      <w:r>
        <w:rPr/>
        <w:t>She experiences emotional fragmentation caused by conflicting loyalties—to her father, Polonius, her brother Laertes, and Hamlet. Patriarchal authority denies her personal agency, forcing her to obey male expectations rather than express her own desires. The sudden death of Polonius at Hamlet’s hands becomes the decisive, traumatic </w:t>
      </w:r>
      <w:r>
        <w:rPr>
          <w:spacing w:val="-2"/>
        </w:rPr>
        <w:t>shock.</w:t>
      </w:r>
      <w:r>
        <w:rPr>
          <w:spacing w:val="-4"/>
        </w:rPr>
        <w:t> </w:t>
      </w:r>
      <w:r>
        <w:rPr>
          <w:spacing w:val="-2"/>
        </w:rPr>
        <w:t>Combined</w:t>
      </w:r>
      <w:r>
        <w:rPr>
          <w:spacing w:val="-4"/>
        </w:rPr>
        <w:t> </w:t>
      </w:r>
      <w:r>
        <w:rPr>
          <w:spacing w:val="-2"/>
        </w:rPr>
        <w:t>with</w:t>
      </w:r>
      <w:r>
        <w:rPr>
          <w:spacing w:val="-4"/>
        </w:rPr>
        <w:t> </w:t>
      </w:r>
      <w:r>
        <w:rPr>
          <w:spacing w:val="-2"/>
        </w:rPr>
        <w:t>Hamlet’s</w:t>
      </w:r>
      <w:r>
        <w:rPr>
          <w:spacing w:val="-4"/>
        </w:rPr>
        <w:t> </w:t>
      </w:r>
      <w:r>
        <w:rPr>
          <w:spacing w:val="-2"/>
        </w:rPr>
        <w:t>rejection</w:t>
      </w:r>
      <w:r>
        <w:rPr>
          <w:spacing w:val="-4"/>
        </w:rPr>
        <w:t> </w:t>
      </w:r>
      <w:r>
        <w:rPr>
          <w:spacing w:val="-2"/>
        </w:rPr>
        <w:t>and the</w:t>
      </w:r>
      <w:r>
        <w:rPr>
          <w:spacing w:val="-5"/>
        </w:rPr>
        <w:t> </w:t>
      </w:r>
      <w:r>
        <w:rPr>
          <w:spacing w:val="-2"/>
        </w:rPr>
        <w:t>moral</w:t>
      </w:r>
      <w:r>
        <w:rPr>
          <w:spacing w:val="-4"/>
        </w:rPr>
        <w:t> </w:t>
      </w:r>
      <w:r>
        <w:rPr>
          <w:spacing w:val="-2"/>
        </w:rPr>
        <w:t>corruption</w:t>
      </w:r>
      <w:r>
        <w:rPr>
          <w:spacing w:val="-6"/>
        </w:rPr>
        <w:t> </w:t>
      </w:r>
      <w:r>
        <w:rPr>
          <w:spacing w:val="-2"/>
        </w:rPr>
        <w:t>of</w:t>
      </w:r>
      <w:r>
        <w:rPr>
          <w:spacing w:val="-4"/>
        </w:rPr>
        <w:t> </w:t>
      </w:r>
      <w:r>
        <w:rPr>
          <w:spacing w:val="-2"/>
        </w:rPr>
        <w:t>the </w:t>
      </w:r>
      <w:r>
        <w:rPr/>
        <w:t>Danish court, Ophelia’s mind collapses under emotional pressure. Her madness symbolizes psychological trauma rather than mere insanity. Through fragmented songs and symbolic speech, she communicates suppressed grief, sexual anxiety, and betrayal. Her eventual drowning </w:t>
      </w:r>
      <w:r>
        <w:rPr>
          <w:spacing w:val="9"/>
        </w:rPr>
        <w:t>represents</w:t>
      </w:r>
      <w:r>
        <w:rPr>
          <w:spacing w:val="9"/>
        </w:rPr>
        <w:t> </w:t>
      </w:r>
      <w:r>
        <w:rPr/>
        <w:t>the tragic consequence of emotional isolation and </w:t>
      </w:r>
      <w:r>
        <w:rPr>
          <w:spacing w:val="-4"/>
        </w:rPr>
        <w:t>unacknowledged suffering.</w:t>
      </w:r>
      <w:r>
        <w:rPr>
          <w:spacing w:val="-5"/>
        </w:rPr>
        <w:t> </w:t>
      </w:r>
      <w:r>
        <w:rPr>
          <w:spacing w:val="-4"/>
        </w:rPr>
        <w:t>Queen Gertrude’s</w:t>
      </w:r>
      <w:r>
        <w:rPr>
          <w:spacing w:val="-5"/>
        </w:rPr>
        <w:t> </w:t>
      </w:r>
      <w:r>
        <w:rPr>
          <w:spacing w:val="-4"/>
        </w:rPr>
        <w:t>trauma is</w:t>
      </w:r>
      <w:r>
        <w:rPr>
          <w:spacing w:val="-5"/>
        </w:rPr>
        <w:t> </w:t>
      </w:r>
      <w:r>
        <w:rPr>
          <w:spacing w:val="-4"/>
        </w:rPr>
        <w:t>quieter but equally </w:t>
      </w:r>
      <w:r>
        <w:rPr/>
        <w:t>significant. Living within a corrupt political environment and caught between</w:t>
      </w:r>
      <w:r>
        <w:rPr>
          <w:spacing w:val="-6"/>
        </w:rPr>
        <w:t> </w:t>
      </w:r>
      <w:r>
        <w:rPr/>
        <w:t>husband</w:t>
      </w:r>
      <w:r>
        <w:rPr>
          <w:spacing w:val="-4"/>
        </w:rPr>
        <w:t> </w:t>
      </w:r>
      <w:r>
        <w:rPr/>
        <w:t>and</w:t>
      </w:r>
      <w:r>
        <w:rPr>
          <w:spacing w:val="-4"/>
        </w:rPr>
        <w:t> </w:t>
      </w:r>
      <w:r>
        <w:rPr/>
        <w:t>son,</w:t>
      </w:r>
      <w:r>
        <w:rPr>
          <w:spacing w:val="-4"/>
        </w:rPr>
        <w:t> </w:t>
      </w:r>
      <w:r>
        <w:rPr/>
        <w:t>she</w:t>
      </w:r>
      <w:r>
        <w:rPr>
          <w:spacing w:val="-3"/>
        </w:rPr>
        <w:t> </w:t>
      </w:r>
      <w:r>
        <w:rPr/>
        <w:t>embodies</w:t>
      </w:r>
      <w:r>
        <w:rPr>
          <w:spacing w:val="-6"/>
        </w:rPr>
        <w:t> </w:t>
      </w:r>
      <w:r>
        <w:rPr/>
        <w:t>emotional</w:t>
      </w:r>
      <w:r>
        <w:rPr>
          <w:spacing w:val="-4"/>
        </w:rPr>
        <w:t> </w:t>
      </w:r>
      <w:r>
        <w:rPr/>
        <w:t>denial.</w:t>
      </w:r>
      <w:r>
        <w:rPr>
          <w:spacing w:val="-4"/>
        </w:rPr>
        <w:t> </w:t>
      </w:r>
      <w:r>
        <w:rPr/>
        <w:t>Her</w:t>
      </w:r>
      <w:r>
        <w:rPr>
          <w:spacing w:val="-4"/>
        </w:rPr>
        <w:t> </w:t>
      </w:r>
      <w:r>
        <w:rPr/>
        <w:t>apparent inability to recognize moral reality suggests psychological repression. Only</w:t>
      </w:r>
      <w:r>
        <w:rPr>
          <w:spacing w:val="-8"/>
        </w:rPr>
        <w:t> </w:t>
      </w:r>
      <w:r>
        <w:rPr/>
        <w:t>near</w:t>
      </w:r>
      <w:r>
        <w:rPr>
          <w:spacing w:val="-6"/>
        </w:rPr>
        <w:t> </w:t>
      </w:r>
      <w:r>
        <w:rPr/>
        <w:t>the</w:t>
      </w:r>
      <w:r>
        <w:rPr>
          <w:spacing w:val="-4"/>
        </w:rPr>
        <w:t> </w:t>
      </w:r>
      <w:r>
        <w:rPr/>
        <w:t>end</w:t>
      </w:r>
      <w:r>
        <w:rPr>
          <w:spacing w:val="-6"/>
        </w:rPr>
        <w:t> </w:t>
      </w:r>
      <w:r>
        <w:rPr/>
        <w:t>does</w:t>
      </w:r>
      <w:r>
        <w:rPr>
          <w:spacing w:val="-6"/>
        </w:rPr>
        <w:t> </w:t>
      </w:r>
      <w:r>
        <w:rPr/>
        <w:t>awareness</w:t>
      </w:r>
      <w:r>
        <w:rPr>
          <w:spacing w:val="-6"/>
        </w:rPr>
        <w:t> </w:t>
      </w:r>
      <w:r>
        <w:rPr/>
        <w:t>emerge,</w:t>
      </w:r>
      <w:r>
        <w:rPr>
          <w:spacing w:val="-8"/>
        </w:rPr>
        <w:t> </w:t>
      </w:r>
      <w:r>
        <w:rPr/>
        <w:t>culminating</w:t>
      </w:r>
      <w:r>
        <w:rPr>
          <w:spacing w:val="-6"/>
        </w:rPr>
        <w:t> </w:t>
      </w:r>
      <w:r>
        <w:rPr/>
        <w:t>in</w:t>
      </w:r>
      <w:r>
        <w:rPr>
          <w:spacing w:val="-8"/>
        </w:rPr>
        <w:t> </w:t>
      </w:r>
      <w:r>
        <w:rPr/>
        <w:t>her</w:t>
      </w:r>
      <w:r>
        <w:rPr>
          <w:spacing w:val="-4"/>
        </w:rPr>
        <w:t> </w:t>
      </w:r>
      <w:r>
        <w:rPr/>
        <w:t>accidental drinking of the poisoned wine—a moment that reveals delayed moral and emotional awakening.</w:t>
      </w:r>
    </w:p>
    <w:p>
      <w:pPr>
        <w:pStyle w:val="BodyText"/>
        <w:spacing w:line="254" w:lineRule="auto" w:before="63"/>
        <w:ind w:right="1438" w:firstLine="432"/>
        <w:jc w:val="both"/>
      </w:pPr>
      <w:r>
        <w:rPr/>
        <w:t>In</w:t>
      </w:r>
      <w:r>
        <w:rPr>
          <w:spacing w:val="-10"/>
        </w:rPr>
        <w:t> </w:t>
      </w:r>
      <w:r>
        <w:rPr>
          <w:i/>
        </w:rPr>
        <w:t>Othello</w:t>
      </w:r>
      <w:r>
        <w:rPr/>
        <w:t>,</w:t>
      </w:r>
      <w:r>
        <w:rPr>
          <w:spacing w:val="-7"/>
        </w:rPr>
        <w:t> </w:t>
      </w:r>
      <w:r>
        <w:rPr/>
        <w:t>Desdemona</w:t>
      </w:r>
      <w:r>
        <w:rPr>
          <w:spacing w:val="-7"/>
        </w:rPr>
        <w:t> </w:t>
      </w:r>
      <w:r>
        <w:rPr/>
        <w:t>represents</w:t>
      </w:r>
      <w:r>
        <w:rPr>
          <w:spacing w:val="-9"/>
        </w:rPr>
        <w:t> </w:t>
      </w:r>
      <w:r>
        <w:rPr/>
        <w:t>psychological</w:t>
      </w:r>
      <w:r>
        <w:rPr>
          <w:spacing w:val="-7"/>
        </w:rPr>
        <w:t> </w:t>
      </w:r>
      <w:r>
        <w:rPr/>
        <w:t>trauma</w:t>
      </w:r>
      <w:r>
        <w:rPr>
          <w:spacing w:val="-8"/>
        </w:rPr>
        <w:t> </w:t>
      </w:r>
      <w:r>
        <w:rPr/>
        <w:t>born</w:t>
      </w:r>
      <w:r>
        <w:rPr>
          <w:spacing w:val="-7"/>
        </w:rPr>
        <w:t> </w:t>
      </w:r>
      <w:r>
        <w:rPr/>
        <w:t>from emotional betrayal and unjust accusation. Although innocent, she becomes</w:t>
      </w:r>
      <w:r>
        <w:rPr>
          <w:spacing w:val="-13"/>
        </w:rPr>
        <w:t> </w:t>
      </w:r>
      <w:r>
        <w:rPr/>
        <w:t>the</w:t>
      </w:r>
      <w:r>
        <w:rPr>
          <w:spacing w:val="-12"/>
        </w:rPr>
        <w:t> </w:t>
      </w:r>
      <w:r>
        <w:rPr/>
        <w:t>victim</w:t>
      </w:r>
      <w:r>
        <w:rPr>
          <w:spacing w:val="-13"/>
        </w:rPr>
        <w:t> </w:t>
      </w:r>
      <w:r>
        <w:rPr/>
        <w:t>of</w:t>
      </w:r>
      <w:r>
        <w:rPr>
          <w:spacing w:val="-12"/>
        </w:rPr>
        <w:t> </w:t>
      </w:r>
      <w:r>
        <w:rPr/>
        <w:t>Othello’s</w:t>
      </w:r>
      <w:r>
        <w:rPr>
          <w:spacing w:val="-13"/>
        </w:rPr>
        <w:t> </w:t>
      </w:r>
      <w:r>
        <w:rPr/>
        <w:t>growing</w:t>
      </w:r>
      <w:r>
        <w:rPr>
          <w:spacing w:val="-12"/>
        </w:rPr>
        <w:t> </w:t>
      </w:r>
      <w:r>
        <w:rPr/>
        <w:t>jealousy,</w:t>
      </w:r>
      <w:r>
        <w:rPr>
          <w:spacing w:val="-13"/>
        </w:rPr>
        <w:t> </w:t>
      </w:r>
      <w:r>
        <w:rPr/>
        <w:t>carefully</w:t>
      </w:r>
      <w:r>
        <w:rPr>
          <w:spacing w:val="-12"/>
        </w:rPr>
        <w:t> </w:t>
      </w:r>
      <w:r>
        <w:rPr/>
        <w:t>manipulated by Iago. Desdemona cannot comprehend the sudden transformation of her husband, which creates emotional confusion and helplessness. Her trauma is marked by silence, patience, and self-blame rather than resistance. She internalizes suffering, attempting to preserve love even in the face of violence. The famous “Willow Song” scene reveals her subconscious awareness of approaching death, reflecting anxiety, abandonment,</w:t>
      </w:r>
      <w:r>
        <w:rPr>
          <w:spacing w:val="16"/>
        </w:rPr>
        <w:t> </w:t>
      </w:r>
      <w:r>
        <w:rPr/>
        <w:t>and</w:t>
      </w:r>
      <w:r>
        <w:rPr>
          <w:spacing w:val="20"/>
        </w:rPr>
        <w:t> </w:t>
      </w:r>
      <w:r>
        <w:rPr/>
        <w:t>emotional</w:t>
      </w:r>
      <w:r>
        <w:rPr>
          <w:spacing w:val="15"/>
        </w:rPr>
        <w:t> </w:t>
      </w:r>
      <w:r>
        <w:rPr/>
        <w:t>vulnerability.</w:t>
      </w:r>
      <w:r>
        <w:rPr>
          <w:spacing w:val="19"/>
        </w:rPr>
        <w:t> </w:t>
      </w:r>
      <w:r>
        <w:rPr/>
        <w:t>Her</w:t>
      </w:r>
      <w:r>
        <w:rPr>
          <w:spacing w:val="16"/>
        </w:rPr>
        <w:t> </w:t>
      </w:r>
      <w:r>
        <w:rPr/>
        <w:t>murder</w:t>
      </w:r>
      <w:r>
        <w:rPr>
          <w:spacing w:val="20"/>
        </w:rPr>
        <w:t> </w:t>
      </w:r>
      <w:r>
        <w:rPr/>
        <w:t>by</w:t>
      </w:r>
      <w:r>
        <w:rPr>
          <w:spacing w:val="13"/>
        </w:rPr>
        <w:t> </w:t>
      </w:r>
      <w:r>
        <w:rPr>
          <w:spacing w:val="-2"/>
        </w:rPr>
        <w:t>suffocation</w:t>
      </w:r>
    </w:p>
    <w:p>
      <w:pPr>
        <w:pStyle w:val="BodyText"/>
        <w:spacing w:after="0" w:line="25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38208">
                <wp:simplePos x="0" y="0"/>
                <wp:positionH relativeFrom="page">
                  <wp:posOffset>2057400</wp:posOffset>
                </wp:positionH>
                <wp:positionV relativeFrom="paragraph">
                  <wp:posOffset>162604</wp:posOffset>
                </wp:positionV>
                <wp:extent cx="3657600" cy="12700"/>
                <wp:effectExtent l="0" t="0" r="0" b="0"/>
                <wp:wrapTopAndBottom/>
                <wp:docPr id="681" name="Graphic 681"/>
                <wp:cNvGraphicFramePr>
                  <a:graphicFrameLocks/>
                </wp:cNvGraphicFramePr>
                <a:graphic>
                  <a:graphicData uri="http://schemas.microsoft.com/office/word/2010/wordprocessingShape">
                    <wps:wsp>
                      <wps:cNvPr id="681" name="Graphic 68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78272;mso-wrap-distance-left:0;mso-wrap-distance-right:0" id="docshape673" filled="true" fillcolor="#000000" stroked="false">
                <v:fill type="solid"/>
                <w10:wrap type="topAndBottom"/>
              </v:rect>
            </w:pict>
          </mc:Fallback>
        </mc:AlternateContent>
      </w:r>
      <w:r>
        <w:rPr>
          <w:rFonts w:ascii="Verdana"/>
          <w:spacing w:val="-5"/>
          <w:sz w:val="18"/>
        </w:rPr>
        <w:t>336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54" w:lineRule="auto" w:before="195"/>
        <w:ind w:right="1438"/>
        <w:jc w:val="both"/>
      </w:pPr>
      <w:r>
        <w:rPr/>
        <w:t>symbolizes the literal and psychological silencing of the female voice </w:t>
      </w:r>
      <w:r>
        <w:rPr>
          <w:spacing w:val="-2"/>
        </w:rPr>
        <w:t>and</w:t>
      </w:r>
      <w:r>
        <w:rPr>
          <w:spacing w:val="-9"/>
        </w:rPr>
        <w:t> </w:t>
      </w:r>
      <w:r>
        <w:rPr>
          <w:spacing w:val="-2"/>
        </w:rPr>
        <w:t>innocence.</w:t>
      </w:r>
      <w:r>
        <w:rPr>
          <w:spacing w:val="-11"/>
        </w:rPr>
        <w:t> </w:t>
      </w:r>
      <w:r>
        <w:rPr>
          <w:spacing w:val="-2"/>
        </w:rPr>
        <w:t>Emilia</w:t>
      </w:r>
      <w:r>
        <w:rPr>
          <w:spacing w:val="-6"/>
        </w:rPr>
        <w:t> </w:t>
      </w:r>
      <w:r>
        <w:rPr>
          <w:spacing w:val="-2"/>
        </w:rPr>
        <w:t>presents</w:t>
      </w:r>
      <w:r>
        <w:rPr>
          <w:spacing w:val="-9"/>
        </w:rPr>
        <w:t> </w:t>
      </w:r>
      <w:r>
        <w:rPr>
          <w:spacing w:val="-2"/>
        </w:rPr>
        <w:t>another</w:t>
      </w:r>
      <w:r>
        <w:rPr>
          <w:spacing w:val="-9"/>
        </w:rPr>
        <w:t> </w:t>
      </w:r>
      <w:r>
        <w:rPr>
          <w:spacing w:val="-2"/>
        </w:rPr>
        <w:t>psychological</w:t>
      </w:r>
      <w:r>
        <w:rPr>
          <w:spacing w:val="-11"/>
        </w:rPr>
        <w:t> </w:t>
      </w:r>
      <w:r>
        <w:rPr>
          <w:spacing w:val="-2"/>
        </w:rPr>
        <w:t>dimension.</w:t>
      </w:r>
      <w:r>
        <w:rPr>
          <w:spacing w:val="-8"/>
        </w:rPr>
        <w:t> </w:t>
      </w:r>
      <w:r>
        <w:rPr>
          <w:spacing w:val="-2"/>
        </w:rPr>
        <w:t>Initially </w:t>
      </w:r>
      <w:r>
        <w:rPr/>
        <w:t>pragmatic and submissive, she gradually recognizes the injustice surrounding Desdemona’s death. Witnessing violence produces moral shock that transforms her consciousness. Emilia’s trauma becomes an ethical awakening; she openly condemns Othello and exposes Iago, converting</w:t>
      </w:r>
      <w:r>
        <w:rPr>
          <w:spacing w:val="40"/>
        </w:rPr>
        <w:t> </w:t>
      </w:r>
      <w:r>
        <w:rPr/>
        <w:t>grief</w:t>
      </w:r>
      <w:r>
        <w:rPr>
          <w:spacing w:val="40"/>
        </w:rPr>
        <w:t> </w:t>
      </w:r>
      <w:r>
        <w:rPr/>
        <w:t>into</w:t>
      </w:r>
      <w:r>
        <w:rPr>
          <w:spacing w:val="40"/>
        </w:rPr>
        <w:t> </w:t>
      </w:r>
      <w:r>
        <w:rPr/>
        <w:t>resistance</w:t>
      </w:r>
      <w:r>
        <w:rPr>
          <w:spacing w:val="40"/>
        </w:rPr>
        <w:t> </w:t>
      </w:r>
      <w:r>
        <w:rPr/>
        <w:t>despite</w:t>
      </w:r>
      <w:r>
        <w:rPr>
          <w:spacing w:val="40"/>
        </w:rPr>
        <w:t> </w:t>
      </w:r>
      <w:r>
        <w:rPr/>
        <w:t>fatal</w:t>
      </w:r>
      <w:r>
        <w:rPr>
          <w:spacing w:val="40"/>
        </w:rPr>
        <w:t> </w:t>
      </w:r>
      <w:r>
        <w:rPr/>
        <w:t>consequences.</w:t>
      </w:r>
    </w:p>
    <w:p>
      <w:pPr>
        <w:pStyle w:val="BodyText"/>
        <w:spacing w:line="249" w:lineRule="auto" w:before="57"/>
        <w:ind w:right="1438" w:firstLine="432"/>
        <w:jc w:val="both"/>
      </w:pPr>
      <w:r>
        <w:rPr>
          <w:i/>
          <w:spacing w:val="-2"/>
        </w:rPr>
        <w:t>The</w:t>
      </w:r>
      <w:r>
        <w:rPr>
          <w:i/>
          <w:spacing w:val="-7"/>
        </w:rPr>
        <w:t> </w:t>
      </w:r>
      <w:r>
        <w:rPr>
          <w:i/>
          <w:spacing w:val="-2"/>
        </w:rPr>
        <w:t>Rape</w:t>
      </w:r>
      <w:r>
        <w:rPr>
          <w:i/>
          <w:spacing w:val="-4"/>
        </w:rPr>
        <w:t> </w:t>
      </w:r>
      <w:r>
        <w:rPr>
          <w:i/>
          <w:spacing w:val="-2"/>
        </w:rPr>
        <w:t>of</w:t>
      </w:r>
      <w:r>
        <w:rPr>
          <w:i/>
          <w:spacing w:val="-7"/>
        </w:rPr>
        <w:t> </w:t>
      </w:r>
      <w:r>
        <w:rPr>
          <w:i/>
          <w:spacing w:val="-2"/>
        </w:rPr>
        <w:t>Lucrece</w:t>
      </w:r>
      <w:r>
        <w:rPr>
          <w:i/>
          <w:spacing w:val="-6"/>
        </w:rPr>
        <w:t> </w:t>
      </w:r>
      <w:r>
        <w:rPr>
          <w:spacing w:val="-2"/>
        </w:rPr>
        <w:t>offers</w:t>
      </w:r>
      <w:r>
        <w:rPr>
          <w:spacing w:val="-7"/>
        </w:rPr>
        <w:t> </w:t>
      </w:r>
      <w:r>
        <w:rPr>
          <w:spacing w:val="-2"/>
        </w:rPr>
        <w:t>Shakespeare’s</w:t>
      </w:r>
      <w:r>
        <w:rPr>
          <w:spacing w:val="-7"/>
        </w:rPr>
        <w:t> </w:t>
      </w:r>
      <w:r>
        <w:rPr>
          <w:spacing w:val="-2"/>
        </w:rPr>
        <w:t>most</w:t>
      </w:r>
      <w:r>
        <w:rPr>
          <w:spacing w:val="-7"/>
        </w:rPr>
        <w:t> </w:t>
      </w:r>
      <w:r>
        <w:rPr>
          <w:spacing w:val="-2"/>
        </w:rPr>
        <w:t>detailed</w:t>
      </w:r>
      <w:r>
        <w:rPr>
          <w:spacing w:val="-5"/>
        </w:rPr>
        <w:t> </w:t>
      </w:r>
      <w:r>
        <w:rPr>
          <w:spacing w:val="-2"/>
        </w:rPr>
        <w:t>exploration </w:t>
      </w:r>
      <w:r>
        <w:rPr/>
        <w:t>of</w:t>
      </w:r>
      <w:r>
        <w:rPr>
          <w:spacing w:val="-12"/>
        </w:rPr>
        <w:t> </w:t>
      </w:r>
      <w:r>
        <w:rPr/>
        <w:t>psychological</w:t>
      </w:r>
      <w:r>
        <w:rPr>
          <w:spacing w:val="-12"/>
        </w:rPr>
        <w:t> </w:t>
      </w:r>
      <w:r>
        <w:rPr/>
        <w:t>trauma.</w:t>
      </w:r>
      <w:r>
        <w:rPr>
          <w:spacing w:val="-9"/>
        </w:rPr>
        <w:t> </w:t>
      </w:r>
      <w:r>
        <w:rPr/>
        <w:t>Lucrece’s</w:t>
      </w:r>
      <w:r>
        <w:rPr>
          <w:spacing w:val="-11"/>
        </w:rPr>
        <w:t> </w:t>
      </w:r>
      <w:r>
        <w:rPr/>
        <w:t>violation</w:t>
      </w:r>
      <w:r>
        <w:rPr>
          <w:spacing w:val="-12"/>
        </w:rPr>
        <w:t> </w:t>
      </w:r>
      <w:r>
        <w:rPr/>
        <w:t>by</w:t>
      </w:r>
      <w:r>
        <w:rPr>
          <w:spacing w:val="-13"/>
        </w:rPr>
        <w:t> </w:t>
      </w:r>
      <w:r>
        <w:rPr/>
        <w:t>Tarquin</w:t>
      </w:r>
      <w:r>
        <w:rPr>
          <w:spacing w:val="-10"/>
        </w:rPr>
        <w:t> </w:t>
      </w:r>
      <w:r>
        <w:rPr/>
        <w:t>is</w:t>
      </w:r>
      <w:r>
        <w:rPr>
          <w:spacing w:val="-12"/>
        </w:rPr>
        <w:t> </w:t>
      </w:r>
      <w:r>
        <w:rPr/>
        <w:t>not</w:t>
      </w:r>
      <w:r>
        <w:rPr>
          <w:spacing w:val="-11"/>
        </w:rPr>
        <w:t> </w:t>
      </w:r>
      <w:r>
        <w:rPr/>
        <w:t>presented merely as physical violence but as profound emotional devastation. Shakespeare devotes extensive poetic space to her inner turmoil, revealing shame, guilt, fear, anger, and moral confusion. Lucrece struggles</w:t>
      </w:r>
      <w:r>
        <w:rPr>
          <w:spacing w:val="-3"/>
        </w:rPr>
        <w:t> </w:t>
      </w:r>
      <w:r>
        <w:rPr/>
        <w:t>with</w:t>
      </w:r>
      <w:r>
        <w:rPr>
          <w:spacing w:val="-3"/>
        </w:rPr>
        <w:t> </w:t>
      </w:r>
      <w:r>
        <w:rPr/>
        <w:t>questions</w:t>
      </w:r>
      <w:r>
        <w:rPr>
          <w:spacing w:val="-4"/>
        </w:rPr>
        <w:t> </w:t>
      </w:r>
      <w:r>
        <w:rPr/>
        <w:t>of</w:t>
      </w:r>
      <w:r>
        <w:rPr>
          <w:spacing w:val="-4"/>
        </w:rPr>
        <w:t> </w:t>
      </w:r>
      <w:r>
        <w:rPr/>
        <w:t>honour</w:t>
      </w:r>
      <w:r>
        <w:rPr>
          <w:spacing w:val="-1"/>
        </w:rPr>
        <w:t> </w:t>
      </w:r>
      <w:r>
        <w:rPr/>
        <w:t>and</w:t>
      </w:r>
      <w:r>
        <w:rPr>
          <w:spacing w:val="-1"/>
        </w:rPr>
        <w:t> </w:t>
      </w:r>
      <w:r>
        <w:rPr/>
        <w:t>identity,</w:t>
      </w:r>
      <w:r>
        <w:rPr>
          <w:spacing w:val="-1"/>
        </w:rPr>
        <w:t> </w:t>
      </w:r>
      <w:r>
        <w:rPr/>
        <w:t>feeling</w:t>
      </w:r>
      <w:r>
        <w:rPr>
          <w:spacing w:val="-3"/>
        </w:rPr>
        <w:t> </w:t>
      </w:r>
      <w:r>
        <w:rPr/>
        <w:t>psychologically divided between innocence and social shame imposed by patriarchal values.</w:t>
      </w:r>
      <w:r>
        <w:rPr>
          <w:spacing w:val="-6"/>
        </w:rPr>
        <w:t> </w:t>
      </w:r>
      <w:r>
        <w:rPr/>
        <w:t>Her</w:t>
      </w:r>
      <w:r>
        <w:rPr>
          <w:spacing w:val="-4"/>
        </w:rPr>
        <w:t> </w:t>
      </w:r>
      <w:r>
        <w:rPr/>
        <w:t>long</w:t>
      </w:r>
      <w:r>
        <w:rPr>
          <w:spacing w:val="-9"/>
        </w:rPr>
        <w:t> </w:t>
      </w:r>
      <w:r>
        <w:rPr/>
        <w:t>lament</w:t>
      </w:r>
      <w:r>
        <w:rPr>
          <w:spacing w:val="-7"/>
        </w:rPr>
        <w:t> </w:t>
      </w:r>
      <w:r>
        <w:rPr/>
        <w:t>functions</w:t>
      </w:r>
      <w:r>
        <w:rPr>
          <w:spacing w:val="-9"/>
        </w:rPr>
        <w:t> </w:t>
      </w:r>
      <w:r>
        <w:rPr/>
        <w:t>as</w:t>
      </w:r>
      <w:r>
        <w:rPr>
          <w:spacing w:val="-6"/>
        </w:rPr>
        <w:t> </w:t>
      </w:r>
      <w:r>
        <w:rPr/>
        <w:t>a</w:t>
      </w:r>
      <w:r>
        <w:rPr>
          <w:spacing w:val="-6"/>
        </w:rPr>
        <w:t> </w:t>
      </w:r>
      <w:r>
        <w:rPr/>
        <w:t>therapeutic</w:t>
      </w:r>
      <w:r>
        <w:rPr>
          <w:spacing w:val="-6"/>
        </w:rPr>
        <w:t> </w:t>
      </w:r>
      <w:r>
        <w:rPr/>
        <w:t>attempt</w:t>
      </w:r>
      <w:r>
        <w:rPr>
          <w:spacing w:val="-6"/>
        </w:rPr>
        <w:t> </w:t>
      </w:r>
      <w:r>
        <w:rPr/>
        <w:t>to</w:t>
      </w:r>
      <w:r>
        <w:rPr>
          <w:spacing w:val="-6"/>
        </w:rPr>
        <w:t> </w:t>
      </w:r>
      <w:r>
        <w:rPr/>
        <w:t>understand trauma.</w:t>
      </w:r>
      <w:r>
        <w:rPr>
          <w:spacing w:val="-6"/>
        </w:rPr>
        <w:t> </w:t>
      </w:r>
      <w:r>
        <w:rPr/>
        <w:t>She</w:t>
      </w:r>
      <w:r>
        <w:rPr>
          <w:spacing w:val="-7"/>
        </w:rPr>
        <w:t> </w:t>
      </w:r>
      <w:r>
        <w:rPr/>
        <w:t>examines</w:t>
      </w:r>
      <w:r>
        <w:rPr>
          <w:spacing w:val="-8"/>
        </w:rPr>
        <w:t> </w:t>
      </w:r>
      <w:r>
        <w:rPr/>
        <w:t>paintings,</w:t>
      </w:r>
      <w:r>
        <w:rPr>
          <w:spacing w:val="-6"/>
        </w:rPr>
        <w:t> </w:t>
      </w:r>
      <w:r>
        <w:rPr/>
        <w:t>memories,</w:t>
      </w:r>
      <w:r>
        <w:rPr>
          <w:spacing w:val="-6"/>
        </w:rPr>
        <w:t> </w:t>
      </w:r>
      <w:r>
        <w:rPr/>
        <w:t>and</w:t>
      </w:r>
      <w:r>
        <w:rPr>
          <w:spacing w:val="-4"/>
        </w:rPr>
        <w:t> </w:t>
      </w:r>
      <w:r>
        <w:rPr/>
        <w:t>historical</w:t>
      </w:r>
      <w:r>
        <w:rPr>
          <w:spacing w:val="-7"/>
        </w:rPr>
        <w:t> </w:t>
      </w:r>
      <w:r>
        <w:rPr/>
        <w:t>examples</w:t>
      </w:r>
      <w:r>
        <w:rPr>
          <w:spacing w:val="-8"/>
        </w:rPr>
        <w:t> </w:t>
      </w:r>
      <w:r>
        <w:rPr/>
        <w:t>as</w:t>
      </w:r>
      <w:r>
        <w:rPr>
          <w:spacing w:val="-8"/>
        </w:rPr>
        <w:t> </w:t>
      </w:r>
      <w:r>
        <w:rPr/>
        <w:t>a way of processing her suffering. Unlike passive despair, Lucrece transforms trauma into moral action. By publicly revealing the crime before</w:t>
      </w:r>
      <w:r>
        <w:rPr>
          <w:spacing w:val="-2"/>
        </w:rPr>
        <w:t> </w:t>
      </w:r>
      <w:r>
        <w:rPr/>
        <w:t>her suicide,</w:t>
      </w:r>
      <w:r>
        <w:rPr>
          <w:spacing w:val="-3"/>
        </w:rPr>
        <w:t> </w:t>
      </w:r>
      <w:r>
        <w:rPr/>
        <w:t>she</w:t>
      </w:r>
      <w:r>
        <w:rPr>
          <w:spacing w:val="-1"/>
        </w:rPr>
        <w:t> </w:t>
      </w:r>
      <w:r>
        <w:rPr/>
        <w:t>converts</w:t>
      </w:r>
      <w:r>
        <w:rPr>
          <w:spacing w:val="-3"/>
        </w:rPr>
        <w:t> </w:t>
      </w:r>
      <w:r>
        <w:rPr/>
        <w:t>personal</w:t>
      </w:r>
      <w:r>
        <w:rPr>
          <w:spacing w:val="-1"/>
        </w:rPr>
        <w:t> </w:t>
      </w:r>
      <w:r>
        <w:rPr/>
        <w:t>suffering</w:t>
      </w:r>
      <w:r>
        <w:rPr>
          <w:spacing w:val="-5"/>
        </w:rPr>
        <w:t> </w:t>
      </w:r>
      <w:r>
        <w:rPr/>
        <w:t>into political</w:t>
      </w:r>
      <w:r>
        <w:rPr>
          <w:spacing w:val="-3"/>
        </w:rPr>
        <w:t> </w:t>
      </w:r>
      <w:r>
        <w:rPr/>
        <w:t>protest. Her</w:t>
      </w:r>
      <w:r>
        <w:rPr>
          <w:spacing w:val="-4"/>
        </w:rPr>
        <w:t> </w:t>
      </w:r>
      <w:r>
        <w:rPr/>
        <w:t>death</w:t>
      </w:r>
      <w:r>
        <w:rPr>
          <w:spacing w:val="-6"/>
        </w:rPr>
        <w:t> </w:t>
      </w:r>
      <w:r>
        <w:rPr/>
        <w:t>exposes</w:t>
      </w:r>
      <w:r>
        <w:rPr>
          <w:spacing w:val="-6"/>
        </w:rPr>
        <w:t> </w:t>
      </w:r>
      <w:r>
        <w:rPr/>
        <w:t>tyranny</w:t>
      </w:r>
      <w:r>
        <w:rPr>
          <w:spacing w:val="-7"/>
        </w:rPr>
        <w:t> </w:t>
      </w:r>
      <w:r>
        <w:rPr/>
        <w:t>and</w:t>
      </w:r>
      <w:r>
        <w:rPr>
          <w:spacing w:val="-6"/>
        </w:rPr>
        <w:t> </w:t>
      </w:r>
      <w:r>
        <w:rPr/>
        <w:t>leads</w:t>
      </w:r>
      <w:r>
        <w:rPr>
          <w:spacing w:val="-6"/>
        </w:rPr>
        <w:t> </w:t>
      </w:r>
      <w:r>
        <w:rPr/>
        <w:t>to</w:t>
      </w:r>
      <w:r>
        <w:rPr>
          <w:spacing w:val="-2"/>
        </w:rPr>
        <w:t> </w:t>
      </w:r>
      <w:r>
        <w:rPr/>
        <w:t>social</w:t>
      </w:r>
      <w:r>
        <w:rPr>
          <w:spacing w:val="-6"/>
        </w:rPr>
        <w:t> </w:t>
      </w:r>
      <w:r>
        <w:rPr/>
        <w:t>revolution,</w:t>
      </w:r>
      <w:r>
        <w:rPr>
          <w:spacing w:val="-6"/>
        </w:rPr>
        <w:t> </w:t>
      </w:r>
      <w:r>
        <w:rPr/>
        <w:t>demonstrating how</w:t>
      </w:r>
      <w:r>
        <w:rPr>
          <w:spacing w:val="-8"/>
        </w:rPr>
        <w:t> </w:t>
      </w:r>
      <w:r>
        <w:rPr/>
        <w:t>psychological</w:t>
      </w:r>
      <w:r>
        <w:rPr>
          <w:spacing w:val="-4"/>
        </w:rPr>
        <w:t> </w:t>
      </w:r>
      <w:r>
        <w:rPr/>
        <w:t>trauma</w:t>
      </w:r>
      <w:r>
        <w:rPr>
          <w:spacing w:val="-3"/>
        </w:rPr>
        <w:t> </w:t>
      </w:r>
      <w:r>
        <w:rPr/>
        <w:t>can</w:t>
      </w:r>
      <w:r>
        <w:rPr>
          <w:spacing w:val="-6"/>
        </w:rPr>
        <w:t> </w:t>
      </w:r>
      <w:r>
        <w:rPr/>
        <w:t>generate</w:t>
      </w:r>
      <w:r>
        <w:rPr>
          <w:spacing w:val="-2"/>
        </w:rPr>
        <w:t> </w:t>
      </w:r>
      <w:r>
        <w:rPr/>
        <w:t>ethical</w:t>
      </w:r>
      <w:r>
        <w:rPr>
          <w:spacing w:val="-5"/>
        </w:rPr>
        <w:t> </w:t>
      </w:r>
      <w:r>
        <w:rPr/>
        <w:t>awareness</w:t>
      </w:r>
      <w:r>
        <w:rPr>
          <w:spacing w:val="-4"/>
        </w:rPr>
        <w:t> </w:t>
      </w:r>
      <w:r>
        <w:rPr/>
        <w:t>and</w:t>
      </w:r>
      <w:r>
        <w:rPr>
          <w:spacing w:val="-3"/>
        </w:rPr>
        <w:t> </w:t>
      </w:r>
      <w:r>
        <w:rPr/>
        <w:t>historical </w:t>
      </w:r>
      <w:r>
        <w:rPr>
          <w:spacing w:val="-2"/>
        </w:rPr>
        <w:t>change.</w:t>
      </w:r>
    </w:p>
    <w:p>
      <w:pPr>
        <w:pStyle w:val="Heading3"/>
        <w:spacing w:before="166"/>
        <w:jc w:val="both"/>
      </w:pPr>
      <w:r>
        <w:rPr>
          <w:w w:val="90"/>
        </w:rPr>
        <w:t>CULTURE,</w:t>
      </w:r>
      <w:r>
        <w:rPr>
          <w:spacing w:val="10"/>
        </w:rPr>
        <w:t> </w:t>
      </w:r>
      <w:r>
        <w:rPr>
          <w:w w:val="90"/>
        </w:rPr>
        <w:t>CRITIQUE,</w:t>
      </w:r>
      <w:r>
        <w:rPr>
          <w:spacing w:val="7"/>
        </w:rPr>
        <w:t> </w:t>
      </w:r>
      <w:r>
        <w:rPr>
          <w:w w:val="90"/>
        </w:rPr>
        <w:t>AND</w:t>
      </w:r>
      <w:r>
        <w:rPr>
          <w:spacing w:val="10"/>
        </w:rPr>
        <w:t> </w:t>
      </w:r>
      <w:r>
        <w:rPr>
          <w:w w:val="90"/>
        </w:rPr>
        <w:t>GENDER</w:t>
      </w:r>
      <w:r>
        <w:rPr>
          <w:spacing w:val="10"/>
        </w:rPr>
        <w:t> </w:t>
      </w:r>
      <w:r>
        <w:rPr>
          <w:w w:val="90"/>
        </w:rPr>
        <w:t>AND</w:t>
      </w:r>
      <w:r>
        <w:rPr>
          <w:spacing w:val="7"/>
        </w:rPr>
        <w:t> </w:t>
      </w:r>
      <w:r>
        <w:rPr>
          <w:spacing w:val="-2"/>
          <w:w w:val="90"/>
        </w:rPr>
        <w:t>POLITICS:</w:t>
      </w:r>
    </w:p>
    <w:p>
      <w:pPr>
        <w:pStyle w:val="BodyText"/>
        <w:spacing w:line="249" w:lineRule="auto" w:before="75"/>
        <w:ind w:right="1437" w:firstLine="432"/>
        <w:jc w:val="both"/>
      </w:pPr>
      <w:r>
        <w:rPr>
          <w:spacing w:val="-2"/>
        </w:rPr>
        <w:t>In</w:t>
      </w:r>
      <w:r>
        <w:rPr>
          <w:spacing w:val="-4"/>
        </w:rPr>
        <w:t> </w:t>
      </w:r>
      <w:r>
        <w:rPr>
          <w:spacing w:val="-2"/>
        </w:rPr>
        <w:t>the tragedies</w:t>
      </w:r>
      <w:r>
        <w:rPr>
          <w:spacing w:val="-4"/>
        </w:rPr>
        <w:t> </w:t>
      </w:r>
      <w:r>
        <w:rPr>
          <w:spacing w:val="-2"/>
        </w:rPr>
        <w:t>of</w:t>
      </w:r>
      <w:r>
        <w:rPr>
          <w:spacing w:val="-6"/>
        </w:rPr>
        <w:t> </w:t>
      </w:r>
      <w:r>
        <w:rPr>
          <w:spacing w:val="-2"/>
        </w:rPr>
        <w:t>William</w:t>
      </w:r>
      <w:r>
        <w:rPr>
          <w:spacing w:val="-5"/>
        </w:rPr>
        <w:t> </w:t>
      </w:r>
      <w:r>
        <w:rPr>
          <w:spacing w:val="-2"/>
        </w:rPr>
        <w:t>Shakespeare, female mourning</w:t>
      </w:r>
      <w:r>
        <w:rPr>
          <w:spacing w:val="-4"/>
        </w:rPr>
        <w:t> </w:t>
      </w:r>
      <w:r>
        <w:rPr>
          <w:spacing w:val="-2"/>
        </w:rPr>
        <w:t>becomes </w:t>
      </w:r>
      <w:r>
        <w:rPr/>
        <w:t>a powerful critique of patriarchal expectations that demand women’s silence and obedience. By granting moral authority to grieving women, Shakespeare challenges established gender hierarchies of Renaissance </w:t>
      </w:r>
      <w:r>
        <w:rPr>
          <w:spacing w:val="-4"/>
        </w:rPr>
        <w:t>society. Female sorrow</w:t>
      </w:r>
      <w:r>
        <w:rPr>
          <w:spacing w:val="-6"/>
        </w:rPr>
        <w:t> </w:t>
      </w:r>
      <w:r>
        <w:rPr>
          <w:spacing w:val="-4"/>
        </w:rPr>
        <w:t>reveals deeper social</w:t>
      </w:r>
      <w:r>
        <w:rPr>
          <w:spacing w:val="-8"/>
        </w:rPr>
        <w:t> </w:t>
      </w:r>
      <w:r>
        <w:rPr>
          <w:spacing w:val="-4"/>
        </w:rPr>
        <w:t>injustices:</w:t>
      </w:r>
      <w:r>
        <w:rPr>
          <w:spacing w:val="-5"/>
        </w:rPr>
        <w:t> </w:t>
      </w:r>
      <w:r>
        <w:rPr>
          <w:spacing w:val="-4"/>
        </w:rPr>
        <w:t>political corruption </w:t>
      </w:r>
      <w:r>
        <w:rPr/>
        <w:t>in</w:t>
      </w:r>
      <w:r>
        <w:rPr>
          <w:spacing w:val="-2"/>
        </w:rPr>
        <w:t> </w:t>
      </w:r>
      <w:r>
        <w:rPr>
          <w:i/>
        </w:rPr>
        <w:t>Hamlet</w:t>
      </w:r>
      <w:r>
        <w:rPr/>
        <w:t>,</w:t>
      </w:r>
      <w:r>
        <w:rPr>
          <w:spacing w:val="-1"/>
        </w:rPr>
        <w:t> </w:t>
      </w:r>
      <w:r>
        <w:rPr/>
        <w:t>racial and marital</w:t>
      </w:r>
      <w:r>
        <w:rPr>
          <w:spacing w:val="-1"/>
        </w:rPr>
        <w:t> </w:t>
      </w:r>
      <w:r>
        <w:rPr/>
        <w:t>anxieties in </w:t>
      </w:r>
      <w:r>
        <w:rPr>
          <w:i/>
        </w:rPr>
        <w:t>Othello</w:t>
      </w:r>
      <w:r>
        <w:rPr/>
        <w:t>,</w:t>
      </w:r>
      <w:r>
        <w:rPr>
          <w:spacing w:val="-1"/>
        </w:rPr>
        <w:t> </w:t>
      </w:r>
      <w:r>
        <w:rPr/>
        <w:t>and sexual</w:t>
      </w:r>
      <w:r>
        <w:rPr>
          <w:spacing w:val="-3"/>
        </w:rPr>
        <w:t> </w:t>
      </w:r>
      <w:r>
        <w:rPr/>
        <w:t>tyranny</w:t>
      </w:r>
      <w:r>
        <w:rPr>
          <w:spacing w:val="-3"/>
        </w:rPr>
        <w:t> </w:t>
      </w:r>
      <w:r>
        <w:rPr/>
        <w:t>in </w:t>
      </w:r>
      <w:r>
        <w:rPr>
          <w:i/>
        </w:rPr>
        <w:t>The</w:t>
      </w:r>
      <w:r>
        <w:rPr>
          <w:i/>
          <w:spacing w:val="-5"/>
        </w:rPr>
        <w:t> </w:t>
      </w:r>
      <w:r>
        <w:rPr>
          <w:i/>
        </w:rPr>
        <w:t>Rape</w:t>
      </w:r>
      <w:r>
        <w:rPr>
          <w:i/>
          <w:spacing w:val="-6"/>
        </w:rPr>
        <w:t> </w:t>
      </w:r>
      <w:r>
        <w:rPr>
          <w:i/>
        </w:rPr>
        <w:t>of</w:t>
      </w:r>
      <w:r>
        <w:rPr>
          <w:i/>
          <w:spacing w:val="-5"/>
        </w:rPr>
        <w:t> </w:t>
      </w:r>
      <w:r>
        <w:rPr>
          <w:i/>
        </w:rPr>
        <w:t>Lucrece</w:t>
      </w:r>
      <w:r>
        <w:rPr/>
        <w:t>.</w:t>
      </w:r>
      <w:r>
        <w:rPr>
          <w:spacing w:val="-3"/>
        </w:rPr>
        <w:t> </w:t>
      </w:r>
      <w:r>
        <w:rPr/>
        <w:t>Through</w:t>
      </w:r>
      <w:r>
        <w:rPr>
          <w:spacing w:val="-5"/>
        </w:rPr>
        <w:t> </w:t>
      </w:r>
      <w:r>
        <w:rPr/>
        <w:t>these</w:t>
      </w:r>
      <w:r>
        <w:rPr>
          <w:spacing w:val="-5"/>
        </w:rPr>
        <w:t> </w:t>
      </w:r>
      <w:r>
        <w:rPr/>
        <w:t>portrayals,</w:t>
      </w:r>
      <w:r>
        <w:rPr>
          <w:spacing w:val="-5"/>
        </w:rPr>
        <w:t> </w:t>
      </w:r>
      <w:r>
        <w:rPr/>
        <w:t>private</w:t>
      </w:r>
      <w:r>
        <w:rPr>
          <w:spacing w:val="-4"/>
        </w:rPr>
        <w:t> </w:t>
      </w:r>
      <w:r>
        <w:rPr/>
        <w:t>suffering</w:t>
      </w:r>
      <w:r>
        <w:rPr>
          <w:spacing w:val="-5"/>
        </w:rPr>
        <w:t> </w:t>
      </w:r>
      <w:r>
        <w:rPr/>
        <w:t>moves beyond personal tragedy and becomes a form of cultural resistance. Shakespeare thus transforms women’s grief into an ethical voice that exposes</w:t>
      </w:r>
      <w:r>
        <w:rPr>
          <w:spacing w:val="-13"/>
        </w:rPr>
        <w:t> </w:t>
      </w:r>
      <w:r>
        <w:rPr/>
        <w:t>oppression</w:t>
      </w:r>
      <w:r>
        <w:rPr>
          <w:spacing w:val="-12"/>
        </w:rPr>
        <w:t> </w:t>
      </w:r>
      <w:r>
        <w:rPr/>
        <w:t>and</w:t>
      </w:r>
      <w:r>
        <w:rPr>
          <w:spacing w:val="-13"/>
        </w:rPr>
        <w:t> </w:t>
      </w:r>
      <w:r>
        <w:rPr/>
        <w:t>questions</w:t>
      </w:r>
      <w:r>
        <w:rPr>
          <w:spacing w:val="-12"/>
        </w:rPr>
        <w:t> </w:t>
      </w:r>
      <w:r>
        <w:rPr/>
        <w:t>dominant</w:t>
      </w:r>
      <w:r>
        <w:rPr>
          <w:spacing w:val="-13"/>
        </w:rPr>
        <w:t> </w:t>
      </w:r>
      <w:r>
        <w:rPr/>
        <w:t>social</w:t>
      </w:r>
      <w:r>
        <w:rPr>
          <w:spacing w:val="-12"/>
        </w:rPr>
        <w:t> </w:t>
      </w:r>
      <w:r>
        <w:rPr/>
        <w:t>and</w:t>
      </w:r>
      <w:r>
        <w:rPr>
          <w:spacing w:val="-13"/>
        </w:rPr>
        <w:t> </w:t>
      </w:r>
      <w:r>
        <w:rPr/>
        <w:t>gender</w:t>
      </w:r>
      <w:r>
        <w:rPr>
          <w:spacing w:val="-12"/>
        </w:rPr>
        <w:t> </w:t>
      </w:r>
      <w:r>
        <w:rPr/>
        <w:t>structures. In</w:t>
      </w:r>
      <w:r>
        <w:rPr>
          <w:spacing w:val="-4"/>
        </w:rPr>
        <w:t> </w:t>
      </w:r>
      <w:r>
        <w:rPr/>
        <w:t>the tragedies</w:t>
      </w:r>
      <w:r>
        <w:rPr>
          <w:spacing w:val="-4"/>
        </w:rPr>
        <w:t> </w:t>
      </w:r>
      <w:r>
        <w:rPr/>
        <w:t>of</w:t>
      </w:r>
      <w:r>
        <w:rPr>
          <w:spacing w:val="-4"/>
        </w:rPr>
        <w:t> </w:t>
      </w:r>
      <w:r>
        <w:rPr/>
        <w:t>William</w:t>
      </w:r>
      <w:r>
        <w:rPr>
          <w:spacing w:val="-5"/>
        </w:rPr>
        <w:t> </w:t>
      </w:r>
      <w:r>
        <w:rPr/>
        <w:t>Shakespeare,</w:t>
      </w:r>
      <w:r>
        <w:rPr>
          <w:spacing w:val="-3"/>
        </w:rPr>
        <w:t> </w:t>
      </w:r>
      <w:r>
        <w:rPr/>
        <w:t>female mourning</w:t>
      </w:r>
      <w:r>
        <w:rPr>
          <w:spacing w:val="-4"/>
        </w:rPr>
        <w:t> </w:t>
      </w:r>
      <w:r>
        <w:rPr/>
        <w:t>emerges</w:t>
      </w:r>
      <w:r>
        <w:rPr>
          <w:spacing w:val="-1"/>
        </w:rPr>
        <w:t> </w:t>
      </w:r>
      <w:r>
        <w:rPr/>
        <w:t>as</w:t>
      </w:r>
      <w:r>
        <w:rPr>
          <w:spacing w:val="-4"/>
        </w:rPr>
        <w:t> </w:t>
      </w:r>
      <w:r>
        <w:rPr/>
        <w:t>a powerful form of moral awareness and cultural resistance.</w:t>
      </w:r>
    </w:p>
    <w:p>
      <w:pPr>
        <w:pStyle w:val="BodyText"/>
        <w:spacing w:line="249" w:lineRule="auto" w:before="68"/>
        <w:ind w:right="1438" w:firstLine="432"/>
        <w:jc w:val="both"/>
      </w:pPr>
      <w:r>
        <w:rPr/>
        <w:t>In </w:t>
      </w:r>
      <w:r>
        <w:rPr>
          <w:i/>
        </w:rPr>
        <w:t>Othello</w:t>
      </w:r>
      <w:r>
        <w:rPr/>
        <w:t>, Desdemona’s suffering exposes the destructive effects of patriarchal control and racial insecurity.</w:t>
      </w:r>
      <w:r>
        <w:rPr>
          <w:spacing w:val="-6"/>
        </w:rPr>
        <w:t> </w:t>
      </w:r>
      <w:r>
        <w:rPr/>
        <w:t>Although falsely accused of infidelity, she remains loyal and sympathetic, revealing the moral blindness</w:t>
      </w:r>
      <w:r>
        <w:rPr>
          <w:spacing w:val="-13"/>
        </w:rPr>
        <w:t> </w:t>
      </w:r>
      <w:r>
        <w:rPr/>
        <w:t>created</w:t>
      </w:r>
      <w:r>
        <w:rPr>
          <w:spacing w:val="-12"/>
        </w:rPr>
        <w:t> </w:t>
      </w:r>
      <w:r>
        <w:rPr/>
        <w:t>by</w:t>
      </w:r>
      <w:r>
        <w:rPr>
          <w:spacing w:val="-12"/>
        </w:rPr>
        <w:t> </w:t>
      </w:r>
      <w:r>
        <w:rPr/>
        <w:t>jealousy</w:t>
      </w:r>
      <w:r>
        <w:rPr>
          <w:spacing w:val="-13"/>
        </w:rPr>
        <w:t> </w:t>
      </w:r>
      <w:r>
        <w:rPr/>
        <w:t>and</w:t>
      </w:r>
      <w:r>
        <w:rPr>
          <w:spacing w:val="-8"/>
        </w:rPr>
        <w:t> </w:t>
      </w:r>
      <w:r>
        <w:rPr/>
        <w:t>masculine</w:t>
      </w:r>
      <w:r>
        <w:rPr>
          <w:spacing w:val="-11"/>
        </w:rPr>
        <w:t> </w:t>
      </w:r>
      <w:r>
        <w:rPr/>
        <w:t>authority.</w:t>
      </w:r>
      <w:r>
        <w:rPr>
          <w:spacing w:val="-9"/>
        </w:rPr>
        <w:t> </w:t>
      </w:r>
      <w:r>
        <w:rPr/>
        <w:t>Her</w:t>
      </w:r>
      <w:r>
        <w:rPr>
          <w:spacing w:val="-9"/>
        </w:rPr>
        <w:t> </w:t>
      </w:r>
      <w:r>
        <w:rPr/>
        <w:t>death</w:t>
      </w:r>
      <w:r>
        <w:rPr>
          <w:spacing w:val="-11"/>
        </w:rPr>
        <w:t> </w:t>
      </w:r>
      <w:r>
        <w:rPr>
          <w:spacing w:val="-2"/>
        </w:rPr>
        <w:t>reveals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3" w:val="left" w:leader="none"/>
        </w:tabs>
        <w:spacing w:before="0"/>
        <w:ind w:left="0" w:right="0" w:firstLine="0"/>
        <w:jc w:val="center"/>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38720">
                <wp:simplePos x="0" y="0"/>
                <wp:positionH relativeFrom="page">
                  <wp:posOffset>2065020</wp:posOffset>
                </wp:positionH>
                <wp:positionV relativeFrom="paragraph">
                  <wp:posOffset>162604</wp:posOffset>
                </wp:positionV>
                <wp:extent cx="3657600" cy="12700"/>
                <wp:effectExtent l="0" t="0" r="0" b="0"/>
                <wp:wrapTopAndBottom/>
                <wp:docPr id="682" name="Graphic 682"/>
                <wp:cNvGraphicFramePr>
                  <a:graphicFrameLocks/>
                </wp:cNvGraphicFramePr>
                <a:graphic>
                  <a:graphicData uri="http://schemas.microsoft.com/office/word/2010/wordprocessingShape">
                    <wps:wsp>
                      <wps:cNvPr id="682" name="Graphic 68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77760;mso-wrap-distance-left:0;mso-wrap-distance-right:0" id="docshape674" filled="true" fillcolor="#000000" stroked="false">
                <v:fill type="solid"/>
                <w10:wrap type="topAndBottom"/>
              </v:rect>
            </w:pict>
          </mc:Fallback>
        </mc:AlternateContent>
      </w:r>
      <w:r>
        <w:rPr>
          <w:rFonts w:ascii="Verdana" w:hAnsi="Verdana"/>
          <w:sz w:val="18"/>
        </w:rPr>
        <w:t>Grief</w:t>
      </w:r>
      <w:r>
        <w:rPr>
          <w:rFonts w:ascii="Verdana" w:hAnsi="Verdana"/>
          <w:spacing w:val="-12"/>
          <w:sz w:val="18"/>
        </w:rPr>
        <w:t> </w:t>
      </w:r>
      <w:r>
        <w:rPr>
          <w:rFonts w:ascii="Verdana" w:hAnsi="Verdana"/>
          <w:sz w:val="18"/>
        </w:rPr>
        <w:t>and</w:t>
      </w:r>
      <w:r>
        <w:rPr>
          <w:rFonts w:ascii="Verdana" w:hAnsi="Verdana"/>
          <w:spacing w:val="-12"/>
          <w:sz w:val="18"/>
        </w:rPr>
        <w:t> </w:t>
      </w:r>
      <w:r>
        <w:rPr>
          <w:rFonts w:ascii="Verdana" w:hAnsi="Verdana"/>
          <w:sz w:val="18"/>
        </w:rPr>
        <w:t>Mourning</w:t>
      </w:r>
      <w:r>
        <w:rPr>
          <w:rFonts w:ascii="Verdana" w:hAnsi="Verdana"/>
          <w:spacing w:val="-14"/>
          <w:sz w:val="18"/>
        </w:rPr>
        <w:t> </w:t>
      </w:r>
      <w:r>
        <w:rPr>
          <w:rFonts w:ascii="Verdana" w:hAnsi="Verdana"/>
          <w:sz w:val="18"/>
        </w:rPr>
        <w:t>in</w:t>
      </w:r>
      <w:r>
        <w:rPr>
          <w:rFonts w:ascii="Verdana" w:hAnsi="Verdana"/>
          <w:spacing w:val="-10"/>
          <w:sz w:val="18"/>
        </w:rPr>
        <w:t> </w:t>
      </w:r>
      <w:r>
        <w:rPr>
          <w:rFonts w:ascii="Verdana" w:hAnsi="Verdana"/>
          <w:sz w:val="18"/>
        </w:rPr>
        <w:t>Shakespeare’s</w:t>
      </w:r>
      <w:r>
        <w:rPr>
          <w:rFonts w:ascii="Verdana" w:hAnsi="Verdana"/>
          <w:spacing w:val="-14"/>
          <w:sz w:val="18"/>
        </w:rPr>
        <w:t> </w:t>
      </w:r>
      <w:r>
        <w:rPr>
          <w:rFonts w:ascii="Verdana" w:hAnsi="Verdana"/>
          <w:sz w:val="18"/>
        </w:rPr>
        <w:t>Female</w:t>
      </w:r>
      <w:r>
        <w:rPr>
          <w:rFonts w:ascii="Verdana" w:hAnsi="Verdana"/>
          <w:spacing w:val="-10"/>
          <w:sz w:val="18"/>
        </w:rPr>
        <w:t> </w:t>
      </w:r>
      <w:r>
        <w:rPr>
          <w:rFonts w:ascii="Verdana" w:hAnsi="Verdana"/>
          <w:spacing w:val="-2"/>
          <w:sz w:val="18"/>
        </w:rPr>
        <w:t>Characters...</w:t>
      </w:r>
      <w:r>
        <w:rPr>
          <w:rFonts w:ascii="Verdana" w:hAnsi="Verdana"/>
          <w:sz w:val="18"/>
        </w:rPr>
        <w:tab/>
      </w:r>
      <w:r>
        <w:rPr>
          <w:rFonts w:ascii="Verdana" w:hAnsi="Verdana"/>
          <w:spacing w:val="-5"/>
          <w:sz w:val="18"/>
        </w:rPr>
        <w:t>337</w:t>
      </w:r>
    </w:p>
    <w:p>
      <w:pPr>
        <w:pStyle w:val="BodyText"/>
        <w:spacing w:line="249" w:lineRule="auto" w:before="192"/>
        <w:ind w:right="1440"/>
        <w:jc w:val="both"/>
      </w:pPr>
      <w:r>
        <w:rPr>
          <w:spacing w:val="-2"/>
        </w:rPr>
        <w:t>how</w:t>
      </w:r>
      <w:r>
        <w:rPr>
          <w:spacing w:val="-8"/>
        </w:rPr>
        <w:t> </w:t>
      </w:r>
      <w:r>
        <w:rPr>
          <w:spacing w:val="-2"/>
        </w:rPr>
        <w:t>women</w:t>
      </w:r>
      <w:r>
        <w:rPr>
          <w:spacing w:val="-8"/>
        </w:rPr>
        <w:t> </w:t>
      </w:r>
      <w:r>
        <w:rPr>
          <w:spacing w:val="-2"/>
        </w:rPr>
        <w:t>become</w:t>
      </w:r>
      <w:r>
        <w:rPr>
          <w:spacing w:val="-3"/>
        </w:rPr>
        <w:t> </w:t>
      </w:r>
      <w:r>
        <w:rPr>
          <w:spacing w:val="-2"/>
        </w:rPr>
        <w:t>victims</w:t>
      </w:r>
      <w:r>
        <w:rPr>
          <w:spacing w:val="-3"/>
        </w:rPr>
        <w:t> </w:t>
      </w:r>
      <w:r>
        <w:rPr>
          <w:spacing w:val="-2"/>
        </w:rPr>
        <w:t>of</w:t>
      </w:r>
      <w:r>
        <w:rPr>
          <w:spacing w:val="-8"/>
        </w:rPr>
        <w:t> </w:t>
      </w:r>
      <w:r>
        <w:rPr>
          <w:spacing w:val="-2"/>
        </w:rPr>
        <w:t>suspicion</w:t>
      </w:r>
      <w:r>
        <w:rPr>
          <w:spacing w:val="-6"/>
        </w:rPr>
        <w:t> </w:t>
      </w:r>
      <w:r>
        <w:rPr>
          <w:spacing w:val="-2"/>
        </w:rPr>
        <w:t>within</w:t>
      </w:r>
      <w:r>
        <w:rPr>
          <w:spacing w:val="-6"/>
        </w:rPr>
        <w:t> </w:t>
      </w:r>
      <w:r>
        <w:rPr>
          <w:spacing w:val="-2"/>
        </w:rPr>
        <w:t>a</w:t>
      </w:r>
      <w:r>
        <w:rPr>
          <w:spacing w:val="-4"/>
        </w:rPr>
        <w:t> </w:t>
      </w:r>
      <w:r>
        <w:rPr>
          <w:spacing w:val="-2"/>
        </w:rPr>
        <w:t>male-dominated</w:t>
      </w:r>
      <w:r>
        <w:rPr>
          <w:spacing w:val="-3"/>
        </w:rPr>
        <w:t> </w:t>
      </w:r>
      <w:r>
        <w:rPr>
          <w:spacing w:val="-2"/>
        </w:rPr>
        <w:t>social </w:t>
      </w:r>
      <w:r>
        <w:rPr/>
        <w:t>order.</w:t>
      </w:r>
      <w:r>
        <w:rPr>
          <w:spacing w:val="-10"/>
        </w:rPr>
        <w:t> </w:t>
      </w:r>
      <w:r>
        <w:rPr/>
        <w:t>Emilia’s</w:t>
      </w:r>
      <w:r>
        <w:rPr>
          <w:spacing w:val="-11"/>
        </w:rPr>
        <w:t> </w:t>
      </w:r>
      <w:r>
        <w:rPr/>
        <w:t>grief,</w:t>
      </w:r>
      <w:r>
        <w:rPr>
          <w:spacing w:val="-11"/>
        </w:rPr>
        <w:t> </w:t>
      </w:r>
      <w:r>
        <w:rPr/>
        <w:t>however,</w:t>
      </w:r>
      <w:r>
        <w:rPr>
          <w:spacing w:val="-9"/>
        </w:rPr>
        <w:t> </w:t>
      </w:r>
      <w:r>
        <w:rPr/>
        <w:t>transforms</w:t>
      </w:r>
      <w:r>
        <w:rPr>
          <w:spacing w:val="-11"/>
        </w:rPr>
        <w:t> </w:t>
      </w:r>
      <w:r>
        <w:rPr/>
        <w:t>into</w:t>
      </w:r>
      <w:r>
        <w:rPr>
          <w:spacing w:val="-9"/>
        </w:rPr>
        <w:t> </w:t>
      </w:r>
      <w:r>
        <w:rPr/>
        <w:t>open</w:t>
      </w:r>
      <w:r>
        <w:rPr>
          <w:spacing w:val="-13"/>
        </w:rPr>
        <w:t> </w:t>
      </w:r>
      <w:r>
        <w:rPr/>
        <w:t>resistance</w:t>
      </w:r>
      <w:r>
        <w:rPr>
          <w:spacing w:val="-10"/>
        </w:rPr>
        <w:t> </w:t>
      </w:r>
      <w:r>
        <w:rPr/>
        <w:t>when</w:t>
      </w:r>
      <w:r>
        <w:rPr>
          <w:spacing w:val="-11"/>
        </w:rPr>
        <w:t> </w:t>
      </w:r>
      <w:r>
        <w:rPr/>
        <w:t>she exposes Iago’s deception, challenging both marital obedience and patriarchal silence.</w:t>
      </w:r>
    </w:p>
    <w:p>
      <w:pPr>
        <w:pStyle w:val="BodyText"/>
        <w:spacing w:line="249" w:lineRule="auto" w:before="61"/>
        <w:ind w:right="1439" w:firstLine="432"/>
        <w:jc w:val="both"/>
      </w:pPr>
      <w:r>
        <w:rPr/>
        <w:t>In </w:t>
      </w:r>
      <w:r>
        <w:rPr>
          <w:i/>
        </w:rPr>
        <w:t>Hamlet</w:t>
      </w:r>
      <w:r>
        <w:rPr/>
        <w:t>, female mourning reflects psychological and political disorder.</w:t>
      </w:r>
      <w:r>
        <w:rPr>
          <w:spacing w:val="-5"/>
        </w:rPr>
        <w:t> </w:t>
      </w:r>
      <w:r>
        <w:rPr/>
        <w:t>Ophelia’s</w:t>
      </w:r>
      <w:r>
        <w:rPr>
          <w:spacing w:val="-4"/>
        </w:rPr>
        <w:t> </w:t>
      </w:r>
      <w:r>
        <w:rPr/>
        <w:t>madness</w:t>
      </w:r>
      <w:r>
        <w:rPr>
          <w:spacing w:val="-5"/>
        </w:rPr>
        <w:t> </w:t>
      </w:r>
      <w:r>
        <w:rPr/>
        <w:t>results</w:t>
      </w:r>
      <w:r>
        <w:rPr>
          <w:spacing w:val="-4"/>
        </w:rPr>
        <w:t> </w:t>
      </w:r>
      <w:r>
        <w:rPr/>
        <w:t>from</w:t>
      </w:r>
      <w:r>
        <w:rPr>
          <w:spacing w:val="-8"/>
        </w:rPr>
        <w:t> </w:t>
      </w:r>
      <w:r>
        <w:rPr/>
        <w:t>emotional</w:t>
      </w:r>
      <w:r>
        <w:rPr>
          <w:spacing w:val="-3"/>
        </w:rPr>
        <w:t> </w:t>
      </w:r>
      <w:r>
        <w:rPr/>
        <w:t>repression,</w:t>
      </w:r>
      <w:r>
        <w:rPr>
          <w:spacing w:val="-4"/>
        </w:rPr>
        <w:t> </w:t>
      </w:r>
      <w:r>
        <w:rPr/>
        <w:t>paternal control, and Hamlet’s rejection. Her fragmented songs express truths that society refuses to acknowledge, making her grief a silent protest </w:t>
      </w:r>
      <w:r>
        <w:rPr>
          <w:spacing w:val="-4"/>
        </w:rPr>
        <w:t>against patriarchal</w:t>
      </w:r>
      <w:r>
        <w:rPr>
          <w:spacing w:val="-5"/>
        </w:rPr>
        <w:t> </w:t>
      </w:r>
      <w:r>
        <w:rPr>
          <w:spacing w:val="-4"/>
        </w:rPr>
        <w:t>domination. Queen Gertrude’s tragic</w:t>
      </w:r>
      <w:r>
        <w:rPr>
          <w:spacing w:val="-6"/>
        </w:rPr>
        <w:t> </w:t>
      </w:r>
      <w:r>
        <w:rPr>
          <w:spacing w:val="-4"/>
        </w:rPr>
        <w:t>end</w:t>
      </w:r>
      <w:r>
        <w:rPr>
          <w:spacing w:val="-6"/>
        </w:rPr>
        <w:t> </w:t>
      </w:r>
      <w:r>
        <w:rPr>
          <w:spacing w:val="-4"/>
        </w:rPr>
        <w:t>further reveals </w:t>
      </w:r>
      <w:r>
        <w:rPr/>
        <w:t>the corruption of the Danish court, suggesting the emotional cost imposed</w:t>
      </w:r>
      <w:r>
        <w:rPr>
          <w:spacing w:val="40"/>
        </w:rPr>
        <w:t> </w:t>
      </w:r>
      <w:r>
        <w:rPr/>
        <w:t>upon women</w:t>
      </w:r>
      <w:r>
        <w:rPr>
          <w:spacing w:val="40"/>
        </w:rPr>
        <w:t> </w:t>
      </w:r>
      <w:r>
        <w:rPr/>
        <w:t>trapped</w:t>
      </w:r>
      <w:r>
        <w:rPr>
          <w:spacing w:val="40"/>
        </w:rPr>
        <w:t> </w:t>
      </w:r>
      <w:r>
        <w:rPr/>
        <w:t>within</w:t>
      </w:r>
      <w:r>
        <w:rPr>
          <w:spacing w:val="40"/>
        </w:rPr>
        <w:t> </w:t>
      </w:r>
      <w:r>
        <w:rPr/>
        <w:t>political power</w:t>
      </w:r>
      <w:r>
        <w:rPr>
          <w:spacing w:val="40"/>
        </w:rPr>
        <w:t> </w:t>
      </w:r>
      <w:r>
        <w:rPr/>
        <w:t>structures.</w:t>
      </w:r>
    </w:p>
    <w:p>
      <w:pPr>
        <w:pStyle w:val="BodyText"/>
        <w:spacing w:line="249" w:lineRule="auto" w:before="63"/>
        <w:ind w:right="1439" w:firstLine="432"/>
        <w:jc w:val="both"/>
      </w:pPr>
      <w:r>
        <w:rPr/>
        <w:t>Similarly, in </w:t>
      </w:r>
      <w:r>
        <w:rPr>
          <w:i/>
        </w:rPr>
        <w:t>The Rape of Lucrece</w:t>
      </w:r>
      <w:r>
        <w:rPr/>
        <w:t>, mourning becomes a direct ethical</w:t>
      </w:r>
      <w:r>
        <w:rPr>
          <w:spacing w:val="-7"/>
        </w:rPr>
        <w:t> </w:t>
      </w:r>
      <w:r>
        <w:rPr/>
        <w:t>protest</w:t>
      </w:r>
      <w:r>
        <w:rPr>
          <w:spacing w:val="-4"/>
        </w:rPr>
        <w:t> </w:t>
      </w:r>
      <w:r>
        <w:rPr/>
        <w:t>against</w:t>
      </w:r>
      <w:r>
        <w:rPr>
          <w:spacing w:val="-6"/>
        </w:rPr>
        <w:t> </w:t>
      </w:r>
      <w:r>
        <w:rPr/>
        <w:t>sexual</w:t>
      </w:r>
      <w:r>
        <w:rPr>
          <w:spacing w:val="-4"/>
        </w:rPr>
        <w:t> </w:t>
      </w:r>
      <w:r>
        <w:rPr/>
        <w:t>tyranny.</w:t>
      </w:r>
      <w:r>
        <w:rPr>
          <w:spacing w:val="-6"/>
        </w:rPr>
        <w:t> </w:t>
      </w:r>
      <w:r>
        <w:rPr/>
        <w:t>Lucrece’s</w:t>
      </w:r>
      <w:r>
        <w:rPr>
          <w:spacing w:val="-4"/>
        </w:rPr>
        <w:t> </w:t>
      </w:r>
      <w:r>
        <w:rPr/>
        <w:t>grief</w:t>
      </w:r>
      <w:r>
        <w:rPr>
          <w:spacing w:val="-8"/>
        </w:rPr>
        <w:t> </w:t>
      </w:r>
      <w:r>
        <w:rPr/>
        <w:t>after</w:t>
      </w:r>
      <w:r>
        <w:rPr>
          <w:spacing w:val="-3"/>
        </w:rPr>
        <w:t> </w:t>
      </w:r>
      <w:r>
        <w:rPr/>
        <w:t>her</w:t>
      </w:r>
      <w:r>
        <w:rPr>
          <w:spacing w:val="-6"/>
        </w:rPr>
        <w:t> </w:t>
      </w:r>
      <w:r>
        <w:rPr/>
        <w:t>violation </w:t>
      </w:r>
      <w:r>
        <w:rPr>
          <w:spacing w:val="-2"/>
        </w:rPr>
        <w:t>transforms</w:t>
      </w:r>
      <w:r>
        <w:rPr>
          <w:spacing w:val="-5"/>
        </w:rPr>
        <w:t> </w:t>
      </w:r>
      <w:r>
        <w:rPr>
          <w:spacing w:val="-2"/>
        </w:rPr>
        <w:t>personal trauma into public</w:t>
      </w:r>
      <w:r>
        <w:rPr>
          <w:spacing w:val="-4"/>
        </w:rPr>
        <w:t> </w:t>
      </w:r>
      <w:r>
        <w:rPr>
          <w:spacing w:val="-2"/>
        </w:rPr>
        <w:t>testimony. By</w:t>
      </w:r>
      <w:r>
        <w:rPr>
          <w:spacing w:val="-7"/>
        </w:rPr>
        <w:t> </w:t>
      </w:r>
      <w:r>
        <w:rPr>
          <w:spacing w:val="-2"/>
        </w:rPr>
        <w:t>revealing</w:t>
      </w:r>
      <w:r>
        <w:rPr>
          <w:spacing w:val="-3"/>
        </w:rPr>
        <w:t> </w:t>
      </w:r>
      <w:r>
        <w:rPr>
          <w:spacing w:val="-2"/>
        </w:rPr>
        <w:t>the crime </w:t>
      </w:r>
      <w:r>
        <w:rPr/>
        <w:t>before her death, she exposes political injustice and initiates social change. Across</w:t>
      </w:r>
      <w:r>
        <w:rPr>
          <w:spacing w:val="18"/>
        </w:rPr>
        <w:t> </w:t>
      </w:r>
      <w:r>
        <w:rPr/>
        <w:t>these</w:t>
      </w:r>
      <w:r>
        <w:rPr>
          <w:spacing w:val="20"/>
        </w:rPr>
        <w:t> </w:t>
      </w:r>
      <w:r>
        <w:rPr/>
        <w:t>works,</w:t>
      </w:r>
      <w:r>
        <w:rPr>
          <w:spacing w:val="18"/>
        </w:rPr>
        <w:t> </w:t>
      </w:r>
      <w:r>
        <w:rPr/>
        <w:t>Shakespeare</w:t>
      </w:r>
      <w:r>
        <w:rPr>
          <w:spacing w:val="20"/>
        </w:rPr>
        <w:t> </w:t>
      </w:r>
      <w:r>
        <w:rPr/>
        <w:t>elevates</w:t>
      </w:r>
      <w:r>
        <w:rPr>
          <w:spacing w:val="18"/>
        </w:rPr>
        <w:t> </w:t>
      </w:r>
      <w:r>
        <w:rPr/>
        <w:t>female</w:t>
      </w:r>
      <w:r>
        <w:rPr>
          <w:spacing w:val="20"/>
        </w:rPr>
        <w:t> </w:t>
      </w:r>
      <w:r>
        <w:rPr/>
        <w:t>sorrow into a</w:t>
      </w:r>
      <w:r>
        <w:rPr>
          <w:spacing w:val="-5"/>
        </w:rPr>
        <w:t> </w:t>
      </w:r>
      <w:r>
        <w:rPr/>
        <w:t>moral</w:t>
      </w:r>
      <w:r>
        <w:rPr>
          <w:spacing w:val="-6"/>
        </w:rPr>
        <w:t> </w:t>
      </w:r>
      <w:r>
        <w:rPr/>
        <w:t>voice</w:t>
      </w:r>
      <w:r>
        <w:rPr>
          <w:spacing w:val="-5"/>
        </w:rPr>
        <w:t> </w:t>
      </w:r>
      <w:r>
        <w:rPr/>
        <w:t>that</w:t>
      </w:r>
      <w:r>
        <w:rPr>
          <w:spacing w:val="-5"/>
        </w:rPr>
        <w:t> </w:t>
      </w:r>
      <w:r>
        <w:rPr/>
        <w:t>analyses</w:t>
      </w:r>
      <w:r>
        <w:rPr>
          <w:spacing w:val="-6"/>
        </w:rPr>
        <w:t> </w:t>
      </w:r>
      <w:r>
        <w:rPr/>
        <w:t>oppression</w:t>
      </w:r>
      <w:r>
        <w:rPr>
          <w:spacing w:val="-6"/>
        </w:rPr>
        <w:t> </w:t>
      </w:r>
      <w:r>
        <w:rPr/>
        <w:t>and</w:t>
      </w:r>
      <w:r>
        <w:rPr>
          <w:spacing w:val="-2"/>
        </w:rPr>
        <w:t> </w:t>
      </w:r>
      <w:r>
        <w:rPr/>
        <w:t>questions</w:t>
      </w:r>
      <w:r>
        <w:rPr>
          <w:spacing w:val="-4"/>
        </w:rPr>
        <w:t> </w:t>
      </w:r>
      <w:r>
        <w:rPr/>
        <w:t>established</w:t>
      </w:r>
      <w:r>
        <w:rPr>
          <w:spacing w:val="-4"/>
        </w:rPr>
        <w:t> </w:t>
      </w:r>
      <w:r>
        <w:rPr/>
        <w:t>gender </w:t>
      </w:r>
      <w:r>
        <w:rPr>
          <w:spacing w:val="-2"/>
        </w:rPr>
        <w:t>hierarchies.</w:t>
      </w:r>
    </w:p>
    <w:p>
      <w:pPr>
        <w:pStyle w:val="Heading3"/>
        <w:spacing w:before="160"/>
      </w:pPr>
      <w:r>
        <w:rPr>
          <w:spacing w:val="-7"/>
        </w:rPr>
        <w:t>MODERN</w:t>
      </w:r>
      <w:r>
        <w:rPr>
          <w:spacing w:val="-1"/>
        </w:rPr>
        <w:t> </w:t>
      </w:r>
      <w:r>
        <w:rPr>
          <w:spacing w:val="-2"/>
        </w:rPr>
        <w:t>RELEVANCE:</w:t>
      </w:r>
    </w:p>
    <w:p>
      <w:pPr>
        <w:pStyle w:val="BodyText"/>
        <w:spacing w:line="249" w:lineRule="auto" w:before="77"/>
        <w:ind w:right="1438" w:firstLine="432"/>
        <w:jc w:val="both"/>
      </w:pPr>
      <w:r>
        <w:rPr/>
        <w:t>Contemporary readers find strong parallels between the works of William Shakespeare and modern discussions of gender violence, emotional labour, and psychological trauma. Shakespeare’s female characters anticipate later feminist debates on voice, agency, and representation, as their expressions of grief challenge systems that silence women. Their mourning extends beyond personal sorrow and resonates with modern literature, psychology, and social theory, where </w:t>
      </w:r>
      <w:r>
        <w:rPr>
          <w:spacing w:val="-2"/>
        </w:rPr>
        <w:t>emotional</w:t>
      </w:r>
      <w:r>
        <w:rPr>
          <w:spacing w:val="-11"/>
        </w:rPr>
        <w:t> </w:t>
      </w:r>
      <w:r>
        <w:rPr>
          <w:spacing w:val="-2"/>
        </w:rPr>
        <w:t>experience</w:t>
      </w:r>
      <w:r>
        <w:rPr>
          <w:spacing w:val="-10"/>
        </w:rPr>
        <w:t> </w:t>
      </w:r>
      <w:r>
        <w:rPr>
          <w:spacing w:val="-2"/>
        </w:rPr>
        <w:t>is</w:t>
      </w:r>
      <w:r>
        <w:rPr>
          <w:spacing w:val="-11"/>
        </w:rPr>
        <w:t> </w:t>
      </w:r>
      <w:r>
        <w:rPr>
          <w:spacing w:val="-2"/>
        </w:rPr>
        <w:t>understood</w:t>
      </w:r>
      <w:r>
        <w:rPr>
          <w:spacing w:val="-10"/>
        </w:rPr>
        <w:t> </w:t>
      </w:r>
      <w:r>
        <w:rPr>
          <w:spacing w:val="-2"/>
        </w:rPr>
        <w:t>as</w:t>
      </w:r>
      <w:r>
        <w:rPr>
          <w:spacing w:val="-11"/>
        </w:rPr>
        <w:t> </w:t>
      </w:r>
      <w:r>
        <w:rPr>
          <w:spacing w:val="-2"/>
        </w:rPr>
        <w:t>socially</w:t>
      </w:r>
      <w:r>
        <w:rPr>
          <w:spacing w:val="-10"/>
        </w:rPr>
        <w:t> </w:t>
      </w:r>
      <w:r>
        <w:rPr>
          <w:spacing w:val="-2"/>
        </w:rPr>
        <w:t>and</w:t>
      </w:r>
      <w:r>
        <w:rPr>
          <w:spacing w:val="-10"/>
        </w:rPr>
        <w:t> </w:t>
      </w:r>
      <w:r>
        <w:rPr>
          <w:spacing w:val="-2"/>
        </w:rPr>
        <w:t>politically</w:t>
      </w:r>
      <w:r>
        <w:rPr>
          <w:spacing w:val="-11"/>
        </w:rPr>
        <w:t> </w:t>
      </w:r>
      <w:r>
        <w:rPr>
          <w:spacing w:val="-2"/>
        </w:rPr>
        <w:t>meaningful. </w:t>
      </w:r>
      <w:r>
        <w:rPr/>
        <w:t>Shakespeare’s</w:t>
      </w:r>
      <w:r>
        <w:rPr>
          <w:spacing w:val="-7"/>
        </w:rPr>
        <w:t> </w:t>
      </w:r>
      <w:r>
        <w:rPr/>
        <w:t>lasting</w:t>
      </w:r>
      <w:r>
        <w:rPr>
          <w:spacing w:val="-7"/>
        </w:rPr>
        <w:t> </w:t>
      </w:r>
      <w:r>
        <w:rPr/>
        <w:t>insight</w:t>
      </w:r>
      <w:r>
        <w:rPr>
          <w:spacing w:val="-8"/>
        </w:rPr>
        <w:t> </w:t>
      </w:r>
      <w:r>
        <w:rPr/>
        <w:t>lies</w:t>
      </w:r>
      <w:r>
        <w:rPr>
          <w:spacing w:val="-7"/>
        </w:rPr>
        <w:t> </w:t>
      </w:r>
      <w:r>
        <w:rPr/>
        <w:t>in</w:t>
      </w:r>
      <w:r>
        <w:rPr>
          <w:spacing w:val="-8"/>
        </w:rPr>
        <w:t> </w:t>
      </w:r>
      <w:r>
        <w:rPr/>
        <w:t>presenting</w:t>
      </w:r>
      <w:r>
        <w:rPr>
          <w:spacing w:val="-7"/>
        </w:rPr>
        <w:t> </w:t>
      </w:r>
      <w:r>
        <w:rPr/>
        <w:t>emotion</w:t>
      </w:r>
      <w:r>
        <w:rPr>
          <w:spacing w:val="-8"/>
        </w:rPr>
        <w:t> </w:t>
      </w:r>
      <w:r>
        <w:rPr/>
        <w:t>not</w:t>
      </w:r>
      <w:r>
        <w:rPr>
          <w:spacing w:val="-5"/>
        </w:rPr>
        <w:t> </w:t>
      </w:r>
      <w:r>
        <w:rPr/>
        <w:t>as</w:t>
      </w:r>
      <w:r>
        <w:rPr>
          <w:spacing w:val="-8"/>
        </w:rPr>
        <w:t> </w:t>
      </w:r>
      <w:r>
        <w:rPr/>
        <w:t>weakness but</w:t>
      </w:r>
      <w:r>
        <w:rPr>
          <w:spacing w:val="-7"/>
        </w:rPr>
        <w:t> </w:t>
      </w:r>
      <w:r>
        <w:rPr/>
        <w:t>as</w:t>
      </w:r>
      <w:r>
        <w:rPr>
          <w:spacing w:val="-5"/>
        </w:rPr>
        <w:t> </w:t>
      </w:r>
      <w:r>
        <w:rPr/>
        <w:t>an</w:t>
      </w:r>
      <w:r>
        <w:rPr>
          <w:spacing w:val="-7"/>
        </w:rPr>
        <w:t> </w:t>
      </w:r>
      <w:r>
        <w:rPr/>
        <w:t>intellectual</w:t>
      </w:r>
      <w:r>
        <w:rPr>
          <w:spacing w:val="-7"/>
        </w:rPr>
        <w:t> </w:t>
      </w:r>
      <w:r>
        <w:rPr/>
        <w:t>and</w:t>
      </w:r>
      <w:r>
        <w:rPr>
          <w:spacing w:val="-5"/>
        </w:rPr>
        <w:t> </w:t>
      </w:r>
      <w:r>
        <w:rPr/>
        <w:t>ethical</w:t>
      </w:r>
      <w:r>
        <w:rPr>
          <w:spacing w:val="-4"/>
        </w:rPr>
        <w:t> </w:t>
      </w:r>
      <w:r>
        <w:rPr/>
        <w:t>force,</w:t>
      </w:r>
      <w:r>
        <w:rPr>
          <w:spacing w:val="-5"/>
        </w:rPr>
        <w:t> </w:t>
      </w:r>
      <w:r>
        <w:rPr/>
        <w:t>capable</w:t>
      </w:r>
      <w:r>
        <w:rPr>
          <w:spacing w:val="-6"/>
        </w:rPr>
        <w:t> </w:t>
      </w:r>
      <w:r>
        <w:rPr/>
        <w:t>of</w:t>
      </w:r>
      <w:r>
        <w:rPr>
          <w:spacing w:val="-5"/>
        </w:rPr>
        <w:t> </w:t>
      </w:r>
      <w:r>
        <w:rPr/>
        <w:t>generating</w:t>
      </w:r>
      <w:r>
        <w:rPr>
          <w:spacing w:val="-8"/>
        </w:rPr>
        <w:t> </w:t>
      </w:r>
      <w:r>
        <w:rPr/>
        <w:t>awareness, resistance,</w:t>
      </w:r>
      <w:r>
        <w:rPr>
          <w:spacing w:val="40"/>
        </w:rPr>
        <w:t> </w:t>
      </w:r>
      <w:r>
        <w:rPr/>
        <w:t>and</w:t>
      </w:r>
      <w:r>
        <w:rPr>
          <w:spacing w:val="40"/>
        </w:rPr>
        <w:t> </w:t>
      </w:r>
      <w:r>
        <w:rPr/>
        <w:t>moral</w:t>
      </w:r>
      <w:r>
        <w:rPr>
          <w:spacing w:val="40"/>
        </w:rPr>
        <w:t> </w:t>
      </w:r>
      <w:r>
        <w:rPr/>
        <w:t>transformation</w:t>
      </w:r>
      <w:r>
        <w:rPr>
          <w:spacing w:val="40"/>
        </w:rPr>
        <w:t> </w:t>
      </w:r>
      <w:r>
        <w:rPr/>
        <w:t>across</w:t>
      </w:r>
      <w:r>
        <w:rPr>
          <w:spacing w:val="40"/>
        </w:rPr>
        <w:t> </w:t>
      </w:r>
      <w:r>
        <w:rPr/>
        <w:t>historical</w:t>
      </w:r>
      <w:r>
        <w:rPr>
          <w:spacing w:val="40"/>
        </w:rPr>
        <w:t> </w:t>
      </w:r>
      <w:r>
        <w:rPr/>
        <w:t>periods.</w:t>
      </w:r>
    </w:p>
    <w:p>
      <w:pPr>
        <w:pStyle w:val="Heading3"/>
        <w:spacing w:before="163"/>
      </w:pPr>
      <w:r>
        <w:rPr>
          <w:spacing w:val="-2"/>
        </w:rPr>
        <w:t>CONCLUSION:</w:t>
      </w:r>
    </w:p>
    <w:p>
      <w:pPr>
        <w:pStyle w:val="BodyText"/>
        <w:spacing w:line="249" w:lineRule="auto" w:before="75"/>
        <w:ind w:right="1440" w:firstLine="432"/>
        <w:jc w:val="both"/>
      </w:pPr>
      <w:r>
        <w:rPr/>
        <w:t>Shakespeare’s</w:t>
      </w:r>
      <w:r>
        <w:rPr>
          <w:spacing w:val="-10"/>
        </w:rPr>
        <w:t> </w:t>
      </w:r>
      <w:r>
        <w:rPr/>
        <w:t>female</w:t>
      </w:r>
      <w:r>
        <w:rPr>
          <w:spacing w:val="-8"/>
        </w:rPr>
        <w:t> </w:t>
      </w:r>
      <w:r>
        <w:rPr/>
        <w:t>characters</w:t>
      </w:r>
      <w:r>
        <w:rPr>
          <w:spacing w:val="-10"/>
        </w:rPr>
        <w:t> </w:t>
      </w:r>
      <w:r>
        <w:rPr/>
        <w:t>in</w:t>
      </w:r>
      <w:r>
        <w:rPr>
          <w:spacing w:val="-9"/>
        </w:rPr>
        <w:t> </w:t>
      </w:r>
      <w:r>
        <w:rPr/>
        <w:t>Othello,</w:t>
      </w:r>
      <w:r>
        <w:rPr>
          <w:spacing w:val="-9"/>
        </w:rPr>
        <w:t> </w:t>
      </w:r>
      <w:r>
        <w:rPr/>
        <w:t>Hamlet,</w:t>
      </w:r>
      <w:r>
        <w:rPr>
          <w:spacing w:val="-7"/>
        </w:rPr>
        <w:t> </w:t>
      </w:r>
      <w:r>
        <w:rPr/>
        <w:t>and</w:t>
      </w:r>
      <w:r>
        <w:rPr>
          <w:spacing w:val="-10"/>
        </w:rPr>
        <w:t> </w:t>
      </w:r>
      <w:r>
        <w:rPr/>
        <w:t>The</w:t>
      </w:r>
      <w:r>
        <w:rPr>
          <w:spacing w:val="-6"/>
        </w:rPr>
        <w:t> </w:t>
      </w:r>
      <w:r>
        <w:rPr/>
        <w:t>Rape of</w:t>
      </w:r>
      <w:r>
        <w:rPr>
          <w:spacing w:val="20"/>
        </w:rPr>
        <w:t> </w:t>
      </w:r>
      <w:r>
        <w:rPr/>
        <w:t>Lucrece</w:t>
      </w:r>
      <w:r>
        <w:rPr>
          <w:spacing w:val="24"/>
        </w:rPr>
        <w:t> </w:t>
      </w:r>
      <w:r>
        <w:rPr/>
        <w:t>do</w:t>
      </w:r>
      <w:r>
        <w:rPr>
          <w:spacing w:val="26"/>
        </w:rPr>
        <w:t> </w:t>
      </w:r>
      <w:r>
        <w:rPr/>
        <w:t>not</w:t>
      </w:r>
      <w:r>
        <w:rPr>
          <w:spacing w:val="23"/>
        </w:rPr>
        <w:t> </w:t>
      </w:r>
      <w:r>
        <w:rPr/>
        <w:t>mourn;</w:t>
      </w:r>
      <w:r>
        <w:rPr>
          <w:spacing w:val="21"/>
        </w:rPr>
        <w:t> </w:t>
      </w:r>
      <w:r>
        <w:rPr/>
        <w:t>his</w:t>
      </w:r>
      <w:r>
        <w:rPr>
          <w:spacing w:val="21"/>
        </w:rPr>
        <w:t> </w:t>
      </w:r>
      <w:r>
        <w:rPr/>
        <w:t>study</w:t>
      </w:r>
      <w:r>
        <w:rPr>
          <w:spacing w:val="19"/>
        </w:rPr>
        <w:t> </w:t>
      </w:r>
      <w:r>
        <w:rPr/>
        <w:t>conventionally,</w:t>
      </w:r>
      <w:r>
        <w:rPr>
          <w:spacing w:val="26"/>
        </w:rPr>
        <w:t> </w:t>
      </w:r>
      <w:r>
        <w:rPr/>
        <w:t>instead,</w:t>
      </w:r>
      <w:r>
        <w:rPr>
          <w:spacing w:val="25"/>
        </w:rPr>
        <w:t> </w:t>
      </w:r>
      <w:r>
        <w:rPr/>
        <w:t>the</w:t>
      </w:r>
      <w:r>
        <w:rPr>
          <w:spacing w:val="23"/>
        </w:rPr>
        <w:t> </w:t>
      </w:r>
      <w:r>
        <w:rPr/>
        <w:t>grief is reflective, often leading to the loss of voice, rationality of life. The character Lucrece uses her grief to recover from death. Ophelia is destroyed by the heaviness of her sorrow, and Desdemona is silenced</w:t>
      </w:r>
      <w:r>
        <w:rPr>
          <w:spacing w:val="40"/>
        </w:rPr>
        <w:t> </w:t>
      </w:r>
      <w:r>
        <w:rPr>
          <w:spacing w:val="-2"/>
        </w:rPr>
        <w:t>by</w:t>
      </w:r>
      <w:r>
        <w:rPr>
          <w:spacing w:val="-7"/>
        </w:rPr>
        <w:t> </w:t>
      </w:r>
      <w:r>
        <w:rPr>
          <w:spacing w:val="-2"/>
        </w:rPr>
        <w:t>it.</w:t>
      </w:r>
      <w:r>
        <w:rPr>
          <w:spacing w:val="-5"/>
        </w:rPr>
        <w:t> </w:t>
      </w:r>
      <w:r>
        <w:rPr>
          <w:spacing w:val="-2"/>
        </w:rPr>
        <w:t>However, through</w:t>
      </w:r>
      <w:r>
        <w:rPr>
          <w:spacing w:val="-5"/>
        </w:rPr>
        <w:t> </w:t>
      </w:r>
      <w:r>
        <w:rPr>
          <w:spacing w:val="-2"/>
        </w:rPr>
        <w:t>characters</w:t>
      </w:r>
      <w:r>
        <w:rPr>
          <w:spacing w:val="-7"/>
        </w:rPr>
        <w:t> </w:t>
      </w:r>
      <w:r>
        <w:rPr>
          <w:spacing w:val="-2"/>
        </w:rPr>
        <w:t>like</w:t>
      </w:r>
      <w:r>
        <w:rPr>
          <w:spacing w:val="-4"/>
        </w:rPr>
        <w:t> </w:t>
      </w:r>
      <w:r>
        <w:rPr>
          <w:spacing w:val="-2"/>
        </w:rPr>
        <w:t>Emilia,</w:t>
      </w:r>
      <w:r>
        <w:rPr>
          <w:spacing w:val="-5"/>
        </w:rPr>
        <w:t> </w:t>
      </w:r>
      <w:r>
        <w:rPr>
          <w:spacing w:val="-2"/>
        </w:rPr>
        <w:t>Shakespeare</w:t>
      </w:r>
      <w:r>
        <w:rPr>
          <w:spacing w:val="-7"/>
        </w:rPr>
        <w:t> </w:t>
      </w:r>
      <w:r>
        <w:rPr>
          <w:spacing w:val="-2"/>
        </w:rPr>
        <w:t>also presents </w:t>
      </w:r>
      <w:r>
        <w:rPr/>
        <w:t>grief</w:t>
      </w:r>
      <w:r>
        <w:rPr>
          <w:spacing w:val="31"/>
        </w:rPr>
        <w:t> </w:t>
      </w:r>
      <w:r>
        <w:rPr/>
        <w:t>as</w:t>
      </w:r>
      <w:r>
        <w:rPr>
          <w:spacing w:val="36"/>
        </w:rPr>
        <w:t> </w:t>
      </w:r>
      <w:r>
        <w:rPr/>
        <w:t>a</w:t>
      </w:r>
      <w:r>
        <w:rPr>
          <w:spacing w:val="35"/>
        </w:rPr>
        <w:t> </w:t>
      </w:r>
      <w:r>
        <w:rPr/>
        <w:t>compound</w:t>
      </w:r>
      <w:r>
        <w:rPr>
          <w:spacing w:val="34"/>
        </w:rPr>
        <w:t> </w:t>
      </w:r>
      <w:r>
        <w:rPr/>
        <w:t>for</w:t>
      </w:r>
      <w:r>
        <w:rPr>
          <w:spacing w:val="37"/>
        </w:rPr>
        <w:t> </w:t>
      </w:r>
      <w:r>
        <w:rPr/>
        <w:t>truth</w:t>
      </w:r>
      <w:r>
        <w:rPr>
          <w:spacing w:val="34"/>
        </w:rPr>
        <w:t> </w:t>
      </w:r>
      <w:r>
        <w:rPr/>
        <w:t>and</w:t>
      </w:r>
      <w:r>
        <w:rPr>
          <w:spacing w:val="39"/>
        </w:rPr>
        <w:t> </w:t>
      </w:r>
      <w:r>
        <w:rPr/>
        <w:t>harmony.</w:t>
      </w:r>
      <w:r>
        <w:rPr>
          <w:spacing w:val="34"/>
        </w:rPr>
        <w:t> </w:t>
      </w:r>
      <w:r>
        <w:rPr/>
        <w:t>In</w:t>
      </w:r>
      <w:r>
        <w:rPr>
          <w:spacing w:val="32"/>
        </w:rPr>
        <w:t> </w:t>
      </w:r>
      <w:r>
        <w:rPr/>
        <w:t>these</w:t>
      </w:r>
      <w:r>
        <w:rPr>
          <w:spacing w:val="37"/>
        </w:rPr>
        <w:t> </w:t>
      </w:r>
      <w:r>
        <w:rPr/>
        <w:t>works,</w:t>
      </w:r>
      <w:r>
        <w:rPr>
          <w:spacing w:val="34"/>
        </w:rPr>
        <w:t> </w:t>
      </w:r>
      <w:r>
        <w:rPr>
          <w:spacing w:val="-2"/>
        </w:rPr>
        <w:t>female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39232">
                <wp:simplePos x="0" y="0"/>
                <wp:positionH relativeFrom="page">
                  <wp:posOffset>2057400</wp:posOffset>
                </wp:positionH>
                <wp:positionV relativeFrom="paragraph">
                  <wp:posOffset>162604</wp:posOffset>
                </wp:positionV>
                <wp:extent cx="3657600" cy="12700"/>
                <wp:effectExtent l="0" t="0" r="0" b="0"/>
                <wp:wrapTopAndBottom/>
                <wp:docPr id="683" name="Graphic 683"/>
                <wp:cNvGraphicFramePr>
                  <a:graphicFrameLocks/>
                </wp:cNvGraphicFramePr>
                <a:graphic>
                  <a:graphicData uri="http://schemas.microsoft.com/office/word/2010/wordprocessingShape">
                    <wps:wsp>
                      <wps:cNvPr id="683" name="Graphic 68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77248;mso-wrap-distance-left:0;mso-wrap-distance-right:0" id="docshape675" filled="true" fillcolor="#000000" stroked="false">
                <v:fill type="solid"/>
                <w10:wrap type="topAndBottom"/>
              </v:rect>
            </w:pict>
          </mc:Fallback>
        </mc:AlternateContent>
      </w:r>
      <w:r>
        <w:rPr>
          <w:rFonts w:ascii="Verdana"/>
          <w:spacing w:val="-5"/>
          <w:sz w:val="18"/>
        </w:rPr>
        <w:t>338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mourning is rarely silent; it is a violent and deeply human riotous expression that exposes breaks within the social order. The female characters of Shakespeare which it establishes that grief and mourning occupy</w:t>
      </w:r>
      <w:r>
        <w:rPr>
          <w:spacing w:val="-1"/>
        </w:rPr>
        <w:t> </w:t>
      </w:r>
      <w:r>
        <w:rPr/>
        <w:t>a central place in</w:t>
      </w:r>
      <w:r>
        <w:rPr>
          <w:spacing w:val="-1"/>
        </w:rPr>
        <w:t> </w:t>
      </w:r>
      <w:r>
        <w:rPr/>
        <w:t>the tragedies of</w:t>
      </w:r>
      <w:r>
        <w:rPr>
          <w:spacing w:val="-1"/>
        </w:rPr>
        <w:t> </w:t>
      </w:r>
      <w:r>
        <w:rPr/>
        <w:t>William Shakespeare through female experience. Characters such as Ophelia, Gertrude, Desdemona, Emilia, and</w:t>
      </w:r>
      <w:r>
        <w:rPr>
          <w:spacing w:val="-2"/>
        </w:rPr>
        <w:t> </w:t>
      </w:r>
      <w:r>
        <w:rPr/>
        <w:t>Lucrece transform</w:t>
      </w:r>
      <w:r>
        <w:rPr>
          <w:spacing w:val="-4"/>
        </w:rPr>
        <w:t> </w:t>
      </w:r>
      <w:r>
        <w:rPr/>
        <w:t>personal suffering into moral revelation. Their mourning challenges patriarchal authority, exposes injustice, and deepens tragic meaning. Rather than passive victims, Shakespeare’s women emerge as ethical witnesses whose emotional insight reshapes </w:t>
      </w:r>
      <w:r>
        <w:rPr>
          <w:spacing w:val="-2"/>
        </w:rPr>
        <w:t>tragedy</w:t>
      </w:r>
      <w:r>
        <w:rPr>
          <w:spacing w:val="-10"/>
        </w:rPr>
        <w:t> </w:t>
      </w:r>
      <w:r>
        <w:rPr>
          <w:spacing w:val="-2"/>
        </w:rPr>
        <w:t>itself.</w:t>
      </w:r>
      <w:r>
        <w:rPr>
          <w:spacing w:val="-7"/>
        </w:rPr>
        <w:t> </w:t>
      </w:r>
      <w:r>
        <w:rPr>
          <w:spacing w:val="-2"/>
        </w:rPr>
        <w:t>Grief</w:t>
      </w:r>
      <w:r>
        <w:rPr>
          <w:spacing w:val="-5"/>
        </w:rPr>
        <w:t> </w:t>
      </w:r>
      <w:r>
        <w:rPr>
          <w:spacing w:val="-2"/>
        </w:rPr>
        <w:t>becomes</w:t>
      </w:r>
      <w:r>
        <w:rPr>
          <w:spacing w:val="-5"/>
        </w:rPr>
        <w:t> </w:t>
      </w:r>
      <w:r>
        <w:rPr>
          <w:spacing w:val="-2"/>
        </w:rPr>
        <w:t>resistance,</w:t>
      </w:r>
      <w:r>
        <w:rPr>
          <w:spacing w:val="-5"/>
        </w:rPr>
        <w:t> </w:t>
      </w:r>
      <w:r>
        <w:rPr>
          <w:spacing w:val="-2"/>
        </w:rPr>
        <w:t>knowledge,</w:t>
      </w:r>
      <w:r>
        <w:rPr>
          <w:spacing w:val="-7"/>
        </w:rPr>
        <w:t> </w:t>
      </w:r>
      <w:r>
        <w:rPr>
          <w:spacing w:val="-2"/>
        </w:rPr>
        <w:t>and cultural</w:t>
      </w:r>
      <w:r>
        <w:rPr>
          <w:spacing w:val="-6"/>
        </w:rPr>
        <w:t> </w:t>
      </w:r>
      <w:r>
        <w:rPr>
          <w:spacing w:val="-2"/>
        </w:rPr>
        <w:t>critique, </w:t>
      </w:r>
      <w:r>
        <w:rPr/>
        <w:t>anticipating</w:t>
      </w:r>
      <w:r>
        <w:rPr>
          <w:spacing w:val="-9"/>
        </w:rPr>
        <w:t> </w:t>
      </w:r>
      <w:r>
        <w:rPr/>
        <w:t>modern</w:t>
      </w:r>
      <w:r>
        <w:rPr>
          <w:spacing w:val="-10"/>
        </w:rPr>
        <w:t> </w:t>
      </w:r>
      <w:r>
        <w:rPr/>
        <w:t>understandings</w:t>
      </w:r>
      <w:r>
        <w:rPr>
          <w:spacing w:val="-9"/>
        </w:rPr>
        <w:t> </w:t>
      </w:r>
      <w:r>
        <w:rPr/>
        <w:t>of</w:t>
      </w:r>
      <w:r>
        <w:rPr>
          <w:spacing w:val="-10"/>
        </w:rPr>
        <w:t> </w:t>
      </w:r>
      <w:r>
        <w:rPr/>
        <w:t>trauma</w:t>
      </w:r>
      <w:r>
        <w:rPr>
          <w:spacing w:val="-6"/>
        </w:rPr>
        <w:t> </w:t>
      </w:r>
      <w:r>
        <w:rPr/>
        <w:t>and</w:t>
      </w:r>
      <w:r>
        <w:rPr>
          <w:spacing w:val="-9"/>
        </w:rPr>
        <w:t> </w:t>
      </w:r>
      <w:r>
        <w:rPr/>
        <w:t>gendered</w:t>
      </w:r>
      <w:r>
        <w:rPr>
          <w:spacing w:val="-7"/>
        </w:rPr>
        <w:t> </w:t>
      </w:r>
      <w:r>
        <w:rPr/>
        <w:t>experience, thereby</w:t>
      </w:r>
      <w:r>
        <w:rPr>
          <w:spacing w:val="40"/>
        </w:rPr>
        <w:t> </w:t>
      </w:r>
      <w:r>
        <w:rPr/>
        <w:t>ensuring.</w:t>
      </w:r>
    </w:p>
    <w:p>
      <w:pPr>
        <w:pStyle w:val="Heading3"/>
        <w:spacing w:before="163"/>
      </w:pPr>
      <w:r>
        <w:rPr>
          <w:spacing w:val="-2"/>
          <w:w w:val="95"/>
        </w:rPr>
        <w:t>REFERENCES:</w:t>
      </w:r>
    </w:p>
    <w:p>
      <w:pPr>
        <w:pStyle w:val="ListParagraph"/>
        <w:numPr>
          <w:ilvl w:val="0"/>
          <w:numId w:val="71"/>
        </w:numPr>
        <w:tabs>
          <w:tab w:pos="2157" w:val="left" w:leader="none"/>
          <w:tab w:pos="2160" w:val="left" w:leader="none"/>
        </w:tabs>
        <w:spacing w:line="261" w:lineRule="auto" w:before="83" w:after="0"/>
        <w:ind w:left="2160" w:right="1438" w:hanging="315"/>
        <w:jc w:val="left"/>
        <w:rPr>
          <w:sz w:val="19"/>
        </w:rPr>
      </w:pPr>
      <w:r>
        <w:rPr>
          <w:sz w:val="19"/>
        </w:rPr>
        <w:t>Adelman,</w:t>
      </w:r>
      <w:r>
        <w:rPr>
          <w:spacing w:val="40"/>
          <w:sz w:val="19"/>
        </w:rPr>
        <w:t> </w:t>
      </w:r>
      <w:r>
        <w:rPr>
          <w:sz w:val="19"/>
        </w:rPr>
        <w:t>Janet.</w:t>
      </w:r>
      <w:r>
        <w:rPr>
          <w:spacing w:val="40"/>
          <w:sz w:val="19"/>
        </w:rPr>
        <w:t> </w:t>
      </w:r>
      <w:r>
        <w:rPr>
          <w:i/>
          <w:sz w:val="19"/>
        </w:rPr>
        <w:t>Suffocating</w:t>
      </w:r>
      <w:r>
        <w:rPr>
          <w:i/>
          <w:spacing w:val="40"/>
          <w:sz w:val="19"/>
        </w:rPr>
        <w:t> </w:t>
      </w:r>
      <w:r>
        <w:rPr>
          <w:i/>
          <w:sz w:val="19"/>
        </w:rPr>
        <w:t>Mothers:</w:t>
      </w:r>
      <w:r>
        <w:rPr>
          <w:i/>
          <w:spacing w:val="40"/>
          <w:sz w:val="19"/>
        </w:rPr>
        <w:t> </w:t>
      </w:r>
      <w:r>
        <w:rPr>
          <w:i/>
          <w:sz w:val="19"/>
        </w:rPr>
        <w:t>Fantasies</w:t>
      </w:r>
      <w:r>
        <w:rPr>
          <w:i/>
          <w:spacing w:val="40"/>
          <w:sz w:val="19"/>
        </w:rPr>
        <w:t> </w:t>
      </w:r>
      <w:r>
        <w:rPr>
          <w:i/>
          <w:sz w:val="19"/>
        </w:rPr>
        <w:t>of</w:t>
      </w:r>
      <w:r>
        <w:rPr>
          <w:i/>
          <w:spacing w:val="40"/>
          <w:sz w:val="19"/>
        </w:rPr>
        <w:t> </w:t>
      </w:r>
      <w:r>
        <w:rPr>
          <w:i/>
          <w:sz w:val="19"/>
        </w:rPr>
        <w:t>Maternal Origin</w:t>
      </w:r>
      <w:r>
        <w:rPr>
          <w:i/>
          <w:spacing w:val="40"/>
          <w:sz w:val="19"/>
        </w:rPr>
        <w:t> </w:t>
      </w:r>
      <w:r>
        <w:rPr>
          <w:i/>
          <w:sz w:val="19"/>
        </w:rPr>
        <w:t>in</w:t>
      </w:r>
      <w:r>
        <w:rPr>
          <w:i/>
          <w:spacing w:val="40"/>
          <w:sz w:val="19"/>
        </w:rPr>
        <w:t> </w:t>
      </w:r>
      <w:r>
        <w:rPr>
          <w:i/>
          <w:sz w:val="19"/>
        </w:rPr>
        <w:t>Shakespeare’s</w:t>
      </w:r>
      <w:r>
        <w:rPr>
          <w:i/>
          <w:spacing w:val="40"/>
          <w:sz w:val="19"/>
        </w:rPr>
        <w:t> </w:t>
      </w:r>
      <w:r>
        <w:rPr>
          <w:i/>
          <w:sz w:val="19"/>
        </w:rPr>
        <w:t>Plays</w:t>
      </w:r>
      <w:r>
        <w:rPr>
          <w:sz w:val="19"/>
        </w:rPr>
        <w:t>.</w:t>
      </w:r>
      <w:r>
        <w:rPr>
          <w:spacing w:val="40"/>
          <w:sz w:val="19"/>
        </w:rPr>
        <w:t> </w:t>
      </w:r>
      <w:r>
        <w:rPr>
          <w:sz w:val="19"/>
        </w:rPr>
        <w:t>Routledge,</w:t>
      </w:r>
      <w:r>
        <w:rPr>
          <w:spacing w:val="40"/>
          <w:sz w:val="19"/>
        </w:rPr>
        <w:t> </w:t>
      </w:r>
      <w:r>
        <w:rPr>
          <w:sz w:val="19"/>
        </w:rPr>
        <w:t>1992.</w:t>
      </w:r>
    </w:p>
    <w:p>
      <w:pPr>
        <w:pStyle w:val="ListParagraph"/>
        <w:numPr>
          <w:ilvl w:val="0"/>
          <w:numId w:val="71"/>
        </w:numPr>
        <w:tabs>
          <w:tab w:pos="2157" w:val="left" w:leader="none"/>
        </w:tabs>
        <w:spacing w:line="240" w:lineRule="auto" w:before="59" w:after="0"/>
        <w:ind w:left="2157" w:right="0" w:hanging="312"/>
        <w:jc w:val="left"/>
        <w:rPr>
          <w:sz w:val="19"/>
        </w:rPr>
      </w:pPr>
      <w:r>
        <w:rPr>
          <w:sz w:val="19"/>
        </w:rPr>
        <w:t>Bradley,</w:t>
      </w:r>
      <w:r>
        <w:rPr>
          <w:spacing w:val="27"/>
          <w:sz w:val="19"/>
        </w:rPr>
        <w:t> </w:t>
      </w:r>
      <w:r>
        <w:rPr>
          <w:sz w:val="19"/>
        </w:rPr>
        <w:t>A.</w:t>
      </w:r>
      <w:r>
        <w:rPr>
          <w:spacing w:val="31"/>
          <w:sz w:val="19"/>
        </w:rPr>
        <w:t> </w:t>
      </w:r>
      <w:r>
        <w:rPr>
          <w:sz w:val="19"/>
        </w:rPr>
        <w:t>C.</w:t>
      </w:r>
      <w:r>
        <w:rPr>
          <w:spacing w:val="37"/>
          <w:sz w:val="19"/>
        </w:rPr>
        <w:t> </w:t>
      </w:r>
      <w:r>
        <w:rPr>
          <w:i/>
          <w:sz w:val="19"/>
        </w:rPr>
        <w:t>Shakespearean</w:t>
      </w:r>
      <w:r>
        <w:rPr>
          <w:i/>
          <w:spacing w:val="35"/>
          <w:sz w:val="19"/>
        </w:rPr>
        <w:t> </w:t>
      </w:r>
      <w:r>
        <w:rPr>
          <w:i/>
          <w:sz w:val="19"/>
        </w:rPr>
        <w:t>Tragedy</w:t>
      </w:r>
      <w:r>
        <w:rPr>
          <w:sz w:val="19"/>
        </w:rPr>
        <w:t>.</w:t>
      </w:r>
      <w:r>
        <w:rPr>
          <w:spacing w:val="35"/>
          <w:sz w:val="19"/>
        </w:rPr>
        <w:t> </w:t>
      </w:r>
      <w:r>
        <w:rPr>
          <w:sz w:val="19"/>
        </w:rPr>
        <w:t>Macmillan,</w:t>
      </w:r>
      <w:r>
        <w:rPr>
          <w:spacing w:val="33"/>
          <w:sz w:val="19"/>
        </w:rPr>
        <w:t> </w:t>
      </w:r>
      <w:r>
        <w:rPr>
          <w:spacing w:val="-4"/>
          <w:sz w:val="19"/>
        </w:rPr>
        <w:t>1904.</w:t>
      </w:r>
    </w:p>
    <w:p>
      <w:pPr>
        <w:pStyle w:val="ListParagraph"/>
        <w:numPr>
          <w:ilvl w:val="0"/>
          <w:numId w:val="71"/>
        </w:numPr>
        <w:tabs>
          <w:tab w:pos="2157" w:val="left" w:leader="none"/>
        </w:tabs>
        <w:spacing w:line="240" w:lineRule="auto" w:before="76" w:after="0"/>
        <w:ind w:left="2157" w:right="0" w:hanging="312"/>
        <w:jc w:val="left"/>
        <w:rPr>
          <w:sz w:val="19"/>
        </w:rPr>
      </w:pPr>
      <w:r>
        <w:rPr>
          <w:sz w:val="19"/>
        </w:rPr>
        <w:t>Garber,</w:t>
      </w:r>
      <w:r>
        <w:rPr>
          <w:spacing w:val="33"/>
          <w:sz w:val="19"/>
        </w:rPr>
        <w:t> </w:t>
      </w:r>
      <w:r>
        <w:rPr>
          <w:sz w:val="19"/>
        </w:rPr>
        <w:t>Marjorie.</w:t>
      </w:r>
      <w:r>
        <w:rPr>
          <w:spacing w:val="38"/>
          <w:sz w:val="19"/>
        </w:rPr>
        <w:t> </w:t>
      </w:r>
      <w:r>
        <w:rPr>
          <w:i/>
          <w:sz w:val="19"/>
        </w:rPr>
        <w:t>Shakespeare</w:t>
      </w:r>
      <w:r>
        <w:rPr>
          <w:i/>
          <w:spacing w:val="32"/>
          <w:sz w:val="19"/>
        </w:rPr>
        <w:t> </w:t>
      </w:r>
      <w:r>
        <w:rPr>
          <w:i/>
          <w:sz w:val="19"/>
        </w:rPr>
        <w:t>After</w:t>
      </w:r>
      <w:r>
        <w:rPr>
          <w:i/>
          <w:spacing w:val="33"/>
          <w:sz w:val="19"/>
        </w:rPr>
        <w:t> </w:t>
      </w:r>
      <w:r>
        <w:rPr>
          <w:i/>
          <w:sz w:val="19"/>
        </w:rPr>
        <w:t>All</w:t>
      </w:r>
      <w:r>
        <w:rPr>
          <w:sz w:val="19"/>
        </w:rPr>
        <w:t>.</w:t>
      </w:r>
      <w:r>
        <w:rPr>
          <w:spacing w:val="27"/>
          <w:sz w:val="19"/>
        </w:rPr>
        <w:t> </w:t>
      </w:r>
      <w:r>
        <w:rPr>
          <w:sz w:val="19"/>
        </w:rPr>
        <w:t>Anchor</w:t>
      </w:r>
      <w:r>
        <w:rPr>
          <w:spacing w:val="33"/>
          <w:sz w:val="19"/>
        </w:rPr>
        <w:t> </w:t>
      </w:r>
      <w:r>
        <w:rPr>
          <w:sz w:val="19"/>
        </w:rPr>
        <w:t>Books,</w:t>
      </w:r>
      <w:r>
        <w:rPr>
          <w:spacing w:val="38"/>
          <w:sz w:val="19"/>
        </w:rPr>
        <w:t> </w:t>
      </w:r>
      <w:r>
        <w:rPr>
          <w:spacing w:val="-4"/>
          <w:sz w:val="19"/>
        </w:rPr>
        <w:t>2004.</w:t>
      </w:r>
    </w:p>
    <w:p>
      <w:pPr>
        <w:pStyle w:val="ListParagraph"/>
        <w:numPr>
          <w:ilvl w:val="0"/>
          <w:numId w:val="71"/>
        </w:numPr>
        <w:tabs>
          <w:tab w:pos="2157" w:val="left" w:leader="none"/>
        </w:tabs>
        <w:spacing w:line="240" w:lineRule="auto" w:before="77" w:after="0"/>
        <w:ind w:left="2157" w:right="0" w:hanging="312"/>
        <w:jc w:val="left"/>
        <w:rPr>
          <w:sz w:val="19"/>
        </w:rPr>
      </w:pPr>
      <w:r>
        <w:rPr>
          <w:sz w:val="19"/>
        </w:rPr>
        <w:t>Greenblatt,</w:t>
      </w:r>
      <w:r>
        <w:rPr>
          <w:spacing w:val="34"/>
          <w:sz w:val="19"/>
        </w:rPr>
        <w:t> </w:t>
      </w:r>
      <w:r>
        <w:rPr>
          <w:sz w:val="19"/>
        </w:rPr>
        <w:t>Stephen.</w:t>
      </w:r>
      <w:r>
        <w:rPr>
          <w:spacing w:val="37"/>
          <w:sz w:val="19"/>
        </w:rPr>
        <w:t> </w:t>
      </w:r>
      <w:r>
        <w:rPr>
          <w:i/>
          <w:sz w:val="19"/>
        </w:rPr>
        <w:t>Will</w:t>
      </w:r>
      <w:r>
        <w:rPr>
          <w:i/>
          <w:spacing w:val="35"/>
          <w:sz w:val="19"/>
        </w:rPr>
        <w:t> </w:t>
      </w:r>
      <w:r>
        <w:rPr>
          <w:i/>
          <w:sz w:val="19"/>
        </w:rPr>
        <w:t>in</w:t>
      </w:r>
      <w:r>
        <w:rPr>
          <w:i/>
          <w:spacing w:val="34"/>
          <w:sz w:val="19"/>
        </w:rPr>
        <w:t> </w:t>
      </w:r>
      <w:r>
        <w:rPr>
          <w:i/>
          <w:sz w:val="19"/>
        </w:rPr>
        <w:t>the</w:t>
      </w:r>
      <w:r>
        <w:rPr>
          <w:i/>
          <w:spacing w:val="33"/>
          <w:sz w:val="19"/>
        </w:rPr>
        <w:t> </w:t>
      </w:r>
      <w:r>
        <w:rPr>
          <w:i/>
          <w:sz w:val="19"/>
        </w:rPr>
        <w:t>World</w:t>
      </w:r>
      <w:r>
        <w:rPr>
          <w:sz w:val="19"/>
        </w:rPr>
        <w:t>.</w:t>
      </w:r>
      <w:r>
        <w:rPr>
          <w:spacing w:val="33"/>
          <w:sz w:val="19"/>
        </w:rPr>
        <w:t> </w:t>
      </w:r>
      <w:r>
        <w:rPr>
          <w:sz w:val="19"/>
        </w:rPr>
        <w:t>W.</w:t>
      </w:r>
      <w:r>
        <w:rPr>
          <w:spacing w:val="33"/>
          <w:sz w:val="19"/>
        </w:rPr>
        <w:t> </w:t>
      </w:r>
      <w:r>
        <w:rPr>
          <w:sz w:val="19"/>
        </w:rPr>
        <w:t>W.</w:t>
      </w:r>
      <w:r>
        <w:rPr>
          <w:spacing w:val="37"/>
          <w:sz w:val="19"/>
        </w:rPr>
        <w:t> </w:t>
      </w:r>
      <w:r>
        <w:rPr>
          <w:sz w:val="19"/>
        </w:rPr>
        <w:t>Norton,</w:t>
      </w:r>
      <w:r>
        <w:rPr>
          <w:spacing w:val="33"/>
          <w:sz w:val="19"/>
        </w:rPr>
        <w:t> </w:t>
      </w:r>
      <w:r>
        <w:rPr>
          <w:spacing w:val="-2"/>
          <w:sz w:val="19"/>
        </w:rPr>
        <w:t>2004.</w:t>
      </w:r>
    </w:p>
    <w:p>
      <w:pPr>
        <w:pStyle w:val="ListParagraph"/>
        <w:numPr>
          <w:ilvl w:val="0"/>
          <w:numId w:val="71"/>
        </w:numPr>
        <w:tabs>
          <w:tab w:pos="2157" w:val="left" w:leader="none"/>
        </w:tabs>
        <w:spacing w:line="240" w:lineRule="auto" w:before="79" w:after="0"/>
        <w:ind w:left="2157" w:right="0" w:hanging="312"/>
        <w:jc w:val="left"/>
        <w:rPr>
          <w:sz w:val="19"/>
        </w:rPr>
      </w:pPr>
      <w:r>
        <w:rPr>
          <w:sz w:val="19"/>
        </w:rPr>
        <w:t>Neill,</w:t>
      </w:r>
      <w:r>
        <w:rPr>
          <w:spacing w:val="20"/>
          <w:sz w:val="19"/>
        </w:rPr>
        <w:t> </w:t>
      </w:r>
      <w:r>
        <w:rPr>
          <w:sz w:val="19"/>
        </w:rPr>
        <w:t>Michael.</w:t>
      </w:r>
      <w:r>
        <w:rPr>
          <w:spacing w:val="23"/>
          <w:sz w:val="19"/>
        </w:rPr>
        <w:t> </w:t>
      </w:r>
      <w:r>
        <w:rPr>
          <w:i/>
          <w:sz w:val="19"/>
        </w:rPr>
        <w:t>Issues</w:t>
      </w:r>
      <w:r>
        <w:rPr>
          <w:i/>
          <w:spacing w:val="22"/>
          <w:sz w:val="19"/>
        </w:rPr>
        <w:t> </w:t>
      </w:r>
      <w:r>
        <w:rPr>
          <w:i/>
          <w:sz w:val="19"/>
        </w:rPr>
        <w:t>of</w:t>
      </w:r>
      <w:r>
        <w:rPr>
          <w:i/>
          <w:spacing w:val="22"/>
          <w:sz w:val="19"/>
        </w:rPr>
        <w:t> </w:t>
      </w:r>
      <w:r>
        <w:rPr>
          <w:i/>
          <w:sz w:val="19"/>
        </w:rPr>
        <w:t>Death</w:t>
      </w:r>
      <w:r>
        <w:rPr>
          <w:sz w:val="19"/>
        </w:rPr>
        <w:t>.</w:t>
      </w:r>
      <w:r>
        <w:rPr>
          <w:spacing w:val="22"/>
          <w:sz w:val="19"/>
        </w:rPr>
        <w:t> </w:t>
      </w:r>
      <w:r>
        <w:rPr>
          <w:sz w:val="19"/>
        </w:rPr>
        <w:t>Oxford</w:t>
      </w:r>
      <w:r>
        <w:rPr>
          <w:spacing w:val="18"/>
          <w:sz w:val="19"/>
        </w:rPr>
        <w:t> </w:t>
      </w:r>
      <w:r>
        <w:rPr>
          <w:sz w:val="19"/>
        </w:rPr>
        <w:t>University</w:t>
      </w:r>
      <w:r>
        <w:rPr>
          <w:spacing w:val="17"/>
          <w:sz w:val="19"/>
        </w:rPr>
        <w:t> </w:t>
      </w:r>
      <w:r>
        <w:rPr>
          <w:sz w:val="19"/>
        </w:rPr>
        <w:t>Press,</w:t>
      </w:r>
      <w:r>
        <w:rPr>
          <w:spacing w:val="22"/>
          <w:sz w:val="19"/>
        </w:rPr>
        <w:t> </w:t>
      </w:r>
      <w:r>
        <w:rPr>
          <w:spacing w:val="-2"/>
          <w:sz w:val="19"/>
        </w:rPr>
        <w:t>1997.</w:t>
      </w:r>
    </w:p>
    <w:p>
      <w:pPr>
        <w:pStyle w:val="ListParagraph"/>
        <w:numPr>
          <w:ilvl w:val="0"/>
          <w:numId w:val="71"/>
        </w:numPr>
        <w:tabs>
          <w:tab w:pos="2157" w:val="left" w:leader="none"/>
          <w:tab w:pos="2160" w:val="left" w:leader="none"/>
        </w:tabs>
        <w:spacing w:line="261" w:lineRule="auto" w:before="77" w:after="0"/>
        <w:ind w:left="2160" w:right="1438" w:hanging="315"/>
        <w:jc w:val="left"/>
        <w:rPr>
          <w:sz w:val="19"/>
        </w:rPr>
      </w:pPr>
      <w:r>
        <w:rPr>
          <w:sz w:val="19"/>
        </w:rPr>
        <w:t>Showalter,</w:t>
      </w:r>
      <w:r>
        <w:rPr>
          <w:spacing w:val="40"/>
          <w:sz w:val="19"/>
        </w:rPr>
        <w:t> </w:t>
      </w:r>
      <w:r>
        <w:rPr>
          <w:sz w:val="19"/>
        </w:rPr>
        <w:t>Elaine.</w:t>
      </w:r>
      <w:r>
        <w:rPr>
          <w:spacing w:val="40"/>
          <w:sz w:val="19"/>
        </w:rPr>
        <w:t> </w:t>
      </w:r>
      <w:r>
        <w:rPr>
          <w:sz w:val="19"/>
        </w:rPr>
        <w:t>“Representing</w:t>
      </w:r>
      <w:r>
        <w:rPr>
          <w:spacing w:val="40"/>
          <w:sz w:val="19"/>
        </w:rPr>
        <w:t> </w:t>
      </w:r>
      <w:r>
        <w:rPr>
          <w:sz w:val="19"/>
        </w:rPr>
        <w:t>Ophelia.”</w:t>
      </w:r>
      <w:r>
        <w:rPr>
          <w:spacing w:val="40"/>
          <w:sz w:val="19"/>
        </w:rPr>
        <w:t> </w:t>
      </w:r>
      <w:r>
        <w:rPr>
          <w:i/>
          <w:sz w:val="19"/>
        </w:rPr>
        <w:t>Shakespeare</w:t>
      </w:r>
      <w:r>
        <w:rPr>
          <w:i/>
          <w:spacing w:val="40"/>
          <w:sz w:val="19"/>
        </w:rPr>
        <w:t> </w:t>
      </w:r>
      <w:r>
        <w:rPr>
          <w:i/>
          <w:sz w:val="19"/>
        </w:rPr>
        <w:t>and the</w:t>
      </w:r>
      <w:r>
        <w:rPr>
          <w:i/>
          <w:spacing w:val="40"/>
          <w:sz w:val="19"/>
        </w:rPr>
        <w:t> </w:t>
      </w:r>
      <w:r>
        <w:rPr>
          <w:i/>
          <w:sz w:val="19"/>
        </w:rPr>
        <w:t>Question</w:t>
      </w:r>
      <w:r>
        <w:rPr>
          <w:i/>
          <w:spacing w:val="40"/>
          <w:sz w:val="19"/>
        </w:rPr>
        <w:t> </w:t>
      </w:r>
      <w:r>
        <w:rPr>
          <w:i/>
          <w:sz w:val="19"/>
        </w:rPr>
        <w:t>of</w:t>
      </w:r>
      <w:r>
        <w:rPr>
          <w:i/>
          <w:spacing w:val="40"/>
          <w:sz w:val="19"/>
        </w:rPr>
        <w:t> </w:t>
      </w:r>
      <w:r>
        <w:rPr>
          <w:i/>
          <w:sz w:val="19"/>
        </w:rPr>
        <w:t>Theory</w:t>
      </w:r>
      <w:r>
        <w:rPr>
          <w:sz w:val="19"/>
        </w:rPr>
        <w:t>.</w:t>
      </w:r>
      <w:r>
        <w:rPr>
          <w:spacing w:val="40"/>
          <w:sz w:val="19"/>
        </w:rPr>
        <w:t> </w:t>
      </w:r>
      <w:r>
        <w:rPr>
          <w:sz w:val="19"/>
        </w:rPr>
        <w:t>Routledge.</w:t>
      </w:r>
    </w:p>
    <w:p>
      <w:pPr>
        <w:pStyle w:val="ListParagraph"/>
        <w:numPr>
          <w:ilvl w:val="0"/>
          <w:numId w:val="71"/>
        </w:numPr>
        <w:tabs>
          <w:tab w:pos="2157" w:val="left" w:leader="none"/>
        </w:tabs>
        <w:spacing w:line="240" w:lineRule="auto" w:before="59" w:after="0"/>
        <w:ind w:left="2157" w:right="0" w:hanging="312"/>
        <w:jc w:val="left"/>
        <w:rPr>
          <w:sz w:val="19"/>
        </w:rPr>
      </w:pPr>
      <w:r>
        <w:rPr>
          <w:sz w:val="19"/>
        </w:rPr>
        <w:t>Shakespeare,</w:t>
      </w:r>
      <w:r>
        <w:rPr>
          <w:spacing w:val="45"/>
          <w:sz w:val="19"/>
        </w:rPr>
        <w:t> </w:t>
      </w:r>
      <w:r>
        <w:rPr>
          <w:sz w:val="19"/>
        </w:rPr>
        <w:t>William.</w:t>
      </w:r>
      <w:r>
        <w:rPr>
          <w:spacing w:val="48"/>
          <w:sz w:val="19"/>
        </w:rPr>
        <w:t> </w:t>
      </w:r>
      <w:r>
        <w:rPr>
          <w:i/>
          <w:sz w:val="19"/>
        </w:rPr>
        <w:t>Hamlet</w:t>
      </w:r>
      <w:r>
        <w:rPr>
          <w:sz w:val="19"/>
        </w:rPr>
        <w:t>.</w:t>
      </w:r>
      <w:r>
        <w:rPr>
          <w:spacing w:val="38"/>
          <w:sz w:val="19"/>
        </w:rPr>
        <w:t> </w:t>
      </w:r>
      <w:r>
        <w:rPr>
          <w:sz w:val="19"/>
        </w:rPr>
        <w:t>Arden</w:t>
      </w:r>
      <w:r>
        <w:rPr>
          <w:spacing w:val="49"/>
          <w:sz w:val="19"/>
        </w:rPr>
        <w:t> </w:t>
      </w:r>
      <w:r>
        <w:rPr>
          <w:spacing w:val="-2"/>
          <w:sz w:val="19"/>
        </w:rPr>
        <w:t>Shakespeare.</w:t>
      </w:r>
    </w:p>
    <w:p>
      <w:pPr>
        <w:pStyle w:val="ListParagraph"/>
        <w:numPr>
          <w:ilvl w:val="0"/>
          <w:numId w:val="71"/>
        </w:numPr>
        <w:tabs>
          <w:tab w:pos="2157" w:val="left" w:leader="none"/>
          <w:tab w:pos="2160" w:val="left" w:leader="none"/>
        </w:tabs>
        <w:spacing w:line="261" w:lineRule="auto" w:before="77" w:after="0"/>
        <w:ind w:left="2160" w:right="1437" w:hanging="315"/>
        <w:jc w:val="both"/>
        <w:rPr>
          <w:sz w:val="19"/>
        </w:rPr>
      </w:pPr>
      <w:r>
        <w:rPr>
          <w:sz w:val="19"/>
        </w:rPr>
        <w:t>Desai and Limaye super guide Shakespeare, publication M.V. Phadke and company, Phadke Bhavan, near Hari Mandir,</w:t>
      </w:r>
      <w:r>
        <w:rPr>
          <w:spacing w:val="40"/>
          <w:sz w:val="19"/>
        </w:rPr>
        <w:t> </w:t>
      </w:r>
      <w:r>
        <w:rPr>
          <w:sz w:val="19"/>
        </w:rPr>
        <w:t>Dudhali,</w:t>
      </w:r>
      <w:r>
        <w:rPr>
          <w:spacing w:val="40"/>
          <w:sz w:val="19"/>
        </w:rPr>
        <w:t> </w:t>
      </w:r>
      <w:r>
        <w:rPr>
          <w:sz w:val="19"/>
        </w:rPr>
        <w:t>Kolapur,1998</w:t>
      </w:r>
    </w:p>
    <w:p>
      <w:pPr>
        <w:pStyle w:val="ListParagraph"/>
        <w:numPr>
          <w:ilvl w:val="0"/>
          <w:numId w:val="71"/>
        </w:numPr>
        <w:tabs>
          <w:tab w:pos="2157" w:val="left" w:leader="none"/>
          <w:tab w:pos="2160" w:val="left" w:leader="none"/>
        </w:tabs>
        <w:spacing w:line="261" w:lineRule="auto" w:before="58" w:after="0"/>
        <w:ind w:left="2160" w:right="1438" w:hanging="315"/>
        <w:jc w:val="both"/>
        <w:rPr>
          <w:sz w:val="19"/>
        </w:rPr>
      </w:pPr>
      <w:r>
        <w:rPr>
          <w:spacing w:val="11"/>
          <w:sz w:val="19"/>
        </w:rPr>
        <w:t>Representing</w:t>
      </w:r>
      <w:r>
        <w:rPr>
          <w:spacing w:val="11"/>
          <w:sz w:val="19"/>
        </w:rPr>
        <w:t> </w:t>
      </w:r>
      <w:r>
        <w:rPr>
          <w:spacing w:val="10"/>
          <w:sz w:val="19"/>
        </w:rPr>
        <w:t>Ophelia:</w:t>
      </w:r>
      <w:r>
        <w:rPr>
          <w:spacing w:val="10"/>
          <w:sz w:val="19"/>
        </w:rPr>
        <w:t> </w:t>
      </w:r>
      <w:r>
        <w:rPr>
          <w:sz w:val="19"/>
        </w:rPr>
        <w:t>Women, </w:t>
      </w:r>
      <w:r>
        <w:rPr>
          <w:spacing w:val="10"/>
          <w:sz w:val="19"/>
        </w:rPr>
        <w:t>Madness,</w:t>
      </w:r>
      <w:r>
        <w:rPr>
          <w:spacing w:val="10"/>
          <w:sz w:val="19"/>
        </w:rPr>
        <w:t> </w:t>
      </w:r>
      <w:r>
        <w:rPr>
          <w:sz w:val="19"/>
        </w:rPr>
        <w:t>and the Responsibilities</w:t>
      </w:r>
      <w:r>
        <w:rPr>
          <w:spacing w:val="40"/>
          <w:sz w:val="19"/>
        </w:rPr>
        <w:t> </w:t>
      </w:r>
      <w:r>
        <w:rPr>
          <w:sz w:val="19"/>
        </w:rPr>
        <w:t>of</w:t>
      </w:r>
      <w:r>
        <w:rPr>
          <w:spacing w:val="40"/>
          <w:sz w:val="19"/>
        </w:rPr>
        <w:t> </w:t>
      </w:r>
      <w:r>
        <w:rPr>
          <w:sz w:val="19"/>
        </w:rPr>
        <w:t>Feminist</w:t>
      </w:r>
      <w:r>
        <w:rPr>
          <w:spacing w:val="40"/>
          <w:sz w:val="19"/>
        </w:rPr>
        <w:t> </w:t>
      </w:r>
      <w:r>
        <w:rPr>
          <w:sz w:val="19"/>
        </w:rPr>
        <w:t>Criticism.”</w:t>
      </w:r>
    </w:p>
    <w:p>
      <w:pPr>
        <w:spacing w:before="56"/>
        <w:ind w:left="2160" w:right="0" w:firstLine="0"/>
        <w:jc w:val="both"/>
        <w:rPr>
          <w:sz w:val="19"/>
        </w:rPr>
      </w:pPr>
      <w:r>
        <w:rPr>
          <w:sz w:val="19"/>
        </w:rPr>
        <w:t>Foundational</w:t>
      </w:r>
      <w:r>
        <w:rPr>
          <w:spacing w:val="47"/>
          <w:sz w:val="19"/>
        </w:rPr>
        <w:t> </w:t>
      </w:r>
      <w:r>
        <w:rPr>
          <w:sz w:val="19"/>
        </w:rPr>
        <w:t>feminist</w:t>
      </w:r>
      <w:r>
        <w:rPr>
          <w:spacing w:val="48"/>
          <w:sz w:val="19"/>
        </w:rPr>
        <w:t> </w:t>
      </w:r>
      <w:r>
        <w:rPr>
          <w:sz w:val="19"/>
        </w:rPr>
        <w:t>reading</w:t>
      </w:r>
      <w:r>
        <w:rPr>
          <w:spacing w:val="48"/>
          <w:sz w:val="19"/>
        </w:rPr>
        <w:t> </w:t>
      </w:r>
      <w:r>
        <w:rPr>
          <w:sz w:val="19"/>
        </w:rPr>
        <w:t>of</w:t>
      </w:r>
      <w:r>
        <w:rPr>
          <w:spacing w:val="49"/>
          <w:sz w:val="19"/>
        </w:rPr>
        <w:t> </w:t>
      </w:r>
      <w:r>
        <w:rPr>
          <w:spacing w:val="-2"/>
          <w:sz w:val="19"/>
        </w:rPr>
        <w:t>Ophelia.</w:t>
      </w:r>
    </w:p>
    <w:p>
      <w:pPr>
        <w:pStyle w:val="ListParagraph"/>
        <w:numPr>
          <w:ilvl w:val="0"/>
          <w:numId w:val="71"/>
        </w:numPr>
        <w:tabs>
          <w:tab w:pos="2157" w:val="left" w:leader="none"/>
        </w:tabs>
        <w:spacing w:line="240" w:lineRule="auto" w:before="77" w:after="0"/>
        <w:ind w:left="2157" w:right="0" w:hanging="403"/>
        <w:jc w:val="left"/>
        <w:rPr>
          <w:sz w:val="19"/>
        </w:rPr>
      </w:pPr>
      <w:r>
        <w:rPr>
          <w:sz w:val="19"/>
        </w:rPr>
        <w:t>Women’s</w:t>
      </w:r>
      <w:r>
        <w:rPr>
          <w:spacing w:val="47"/>
          <w:sz w:val="19"/>
        </w:rPr>
        <w:t> </w:t>
      </w:r>
      <w:r>
        <w:rPr>
          <w:sz w:val="19"/>
        </w:rPr>
        <w:t>Language</w:t>
      </w:r>
      <w:r>
        <w:rPr>
          <w:spacing w:val="42"/>
          <w:sz w:val="19"/>
        </w:rPr>
        <w:t> </w:t>
      </w:r>
      <w:r>
        <w:rPr>
          <w:sz w:val="19"/>
        </w:rPr>
        <w:t>and</w:t>
      </w:r>
      <w:r>
        <w:rPr>
          <w:spacing w:val="45"/>
          <w:sz w:val="19"/>
        </w:rPr>
        <w:t> </w:t>
      </w:r>
      <w:r>
        <w:rPr>
          <w:sz w:val="19"/>
        </w:rPr>
        <w:t>History</w:t>
      </w:r>
      <w:r>
        <w:rPr>
          <w:spacing w:val="40"/>
          <w:sz w:val="19"/>
        </w:rPr>
        <w:t> </w:t>
      </w:r>
      <w:r>
        <w:rPr>
          <w:sz w:val="19"/>
        </w:rPr>
        <w:t>in</w:t>
      </w:r>
      <w:r>
        <w:rPr>
          <w:spacing w:val="44"/>
          <w:sz w:val="19"/>
        </w:rPr>
        <w:t> </w:t>
      </w:r>
      <w:r>
        <w:rPr>
          <w:sz w:val="19"/>
        </w:rPr>
        <w:t>The</w:t>
      </w:r>
      <w:r>
        <w:rPr>
          <w:spacing w:val="45"/>
          <w:sz w:val="19"/>
        </w:rPr>
        <w:t> </w:t>
      </w:r>
      <w:r>
        <w:rPr>
          <w:sz w:val="19"/>
        </w:rPr>
        <w:t>Rape</w:t>
      </w:r>
      <w:r>
        <w:rPr>
          <w:spacing w:val="46"/>
          <w:sz w:val="19"/>
        </w:rPr>
        <w:t> </w:t>
      </w:r>
      <w:r>
        <w:rPr>
          <w:sz w:val="19"/>
        </w:rPr>
        <w:t>of</w:t>
      </w:r>
      <w:r>
        <w:rPr>
          <w:spacing w:val="46"/>
          <w:sz w:val="19"/>
        </w:rPr>
        <w:t> </w:t>
      </w:r>
      <w:r>
        <w:rPr>
          <w:spacing w:val="-2"/>
          <w:sz w:val="19"/>
        </w:rPr>
        <w:t>Lucrece</w:t>
      </w:r>
    </w:p>
    <w:p>
      <w:pPr>
        <w:pStyle w:val="ListParagraph"/>
        <w:numPr>
          <w:ilvl w:val="0"/>
          <w:numId w:val="71"/>
        </w:numPr>
        <w:tabs>
          <w:tab w:pos="2157" w:val="left" w:leader="none"/>
        </w:tabs>
        <w:spacing w:line="240" w:lineRule="auto" w:before="79" w:after="0"/>
        <w:ind w:left="2157" w:right="0" w:hanging="403"/>
        <w:jc w:val="left"/>
        <w:rPr>
          <w:sz w:val="19"/>
        </w:rPr>
      </w:pPr>
      <w:r>
        <w:rPr>
          <w:sz w:val="19"/>
        </w:rPr>
        <w:t>Women</w:t>
      </w:r>
      <w:r>
        <w:rPr>
          <w:spacing w:val="50"/>
          <w:sz w:val="19"/>
        </w:rPr>
        <w:t> </w:t>
      </w:r>
      <w:r>
        <w:rPr>
          <w:sz w:val="19"/>
        </w:rPr>
        <w:t>in</w:t>
      </w:r>
      <w:r>
        <w:rPr>
          <w:spacing w:val="51"/>
          <w:sz w:val="19"/>
        </w:rPr>
        <w:t> </w:t>
      </w:r>
      <w:r>
        <w:rPr>
          <w:sz w:val="19"/>
        </w:rPr>
        <w:t>Shakespeare’s</w:t>
      </w:r>
      <w:r>
        <w:rPr>
          <w:spacing w:val="51"/>
          <w:sz w:val="19"/>
        </w:rPr>
        <w:t> </w:t>
      </w:r>
      <w:r>
        <w:rPr>
          <w:sz w:val="19"/>
        </w:rPr>
        <w:t>Hamlet:</w:t>
      </w:r>
      <w:r>
        <w:rPr>
          <w:spacing w:val="49"/>
          <w:sz w:val="19"/>
        </w:rPr>
        <w:t> </w:t>
      </w:r>
      <w:r>
        <w:rPr>
          <w:sz w:val="19"/>
        </w:rPr>
        <w:t>Defying</w:t>
      </w:r>
      <w:r>
        <w:rPr>
          <w:spacing w:val="49"/>
          <w:sz w:val="19"/>
        </w:rPr>
        <w:t> </w:t>
      </w:r>
      <w:r>
        <w:rPr>
          <w:spacing w:val="-2"/>
          <w:sz w:val="19"/>
        </w:rPr>
        <w:t>Powerlessness</w:t>
      </w:r>
    </w:p>
    <w:p>
      <w:pPr>
        <w:pStyle w:val="ListParagraph"/>
        <w:numPr>
          <w:ilvl w:val="0"/>
          <w:numId w:val="71"/>
        </w:numPr>
        <w:tabs>
          <w:tab w:pos="2157" w:val="left" w:leader="none"/>
        </w:tabs>
        <w:spacing w:line="240" w:lineRule="auto" w:before="77" w:after="0"/>
        <w:ind w:left="2157" w:right="0" w:hanging="403"/>
        <w:jc w:val="left"/>
        <w:rPr>
          <w:sz w:val="19"/>
        </w:rPr>
      </w:pPr>
      <w:r>
        <w:rPr>
          <w:sz w:val="19"/>
        </w:rPr>
        <w:t>Shakespeare’s</w:t>
      </w:r>
      <w:r>
        <w:rPr>
          <w:spacing w:val="46"/>
          <w:sz w:val="19"/>
        </w:rPr>
        <w:t> </w:t>
      </w:r>
      <w:r>
        <w:rPr>
          <w:sz w:val="19"/>
        </w:rPr>
        <w:t>Treatment</w:t>
      </w:r>
      <w:r>
        <w:rPr>
          <w:spacing w:val="49"/>
          <w:sz w:val="19"/>
        </w:rPr>
        <w:t> </w:t>
      </w:r>
      <w:r>
        <w:rPr>
          <w:sz w:val="19"/>
        </w:rPr>
        <w:t>of</w:t>
      </w:r>
      <w:r>
        <w:rPr>
          <w:spacing w:val="49"/>
          <w:sz w:val="19"/>
        </w:rPr>
        <w:t> </w:t>
      </w:r>
      <w:r>
        <w:rPr>
          <w:sz w:val="19"/>
        </w:rPr>
        <w:t>women</w:t>
      </w:r>
      <w:r>
        <w:rPr>
          <w:spacing w:val="51"/>
          <w:sz w:val="19"/>
        </w:rPr>
        <w:t> </w:t>
      </w:r>
      <w:r>
        <w:rPr>
          <w:sz w:val="19"/>
        </w:rPr>
        <w:t>in</w:t>
      </w:r>
      <w:r>
        <w:rPr>
          <w:spacing w:val="50"/>
          <w:sz w:val="19"/>
        </w:rPr>
        <w:t> </w:t>
      </w:r>
      <w:r>
        <w:rPr>
          <w:sz w:val="19"/>
        </w:rPr>
        <w:t>the</w:t>
      </w:r>
      <w:r>
        <w:rPr>
          <w:spacing w:val="50"/>
          <w:sz w:val="19"/>
        </w:rPr>
        <w:t> </w:t>
      </w:r>
      <w:r>
        <w:rPr>
          <w:spacing w:val="-2"/>
          <w:sz w:val="19"/>
        </w:rPr>
        <w:t>tragedies</w:t>
      </w:r>
    </w:p>
    <w:p>
      <w:pPr>
        <w:pStyle w:val="ListParagraph"/>
        <w:numPr>
          <w:ilvl w:val="0"/>
          <w:numId w:val="71"/>
        </w:numPr>
        <w:tabs>
          <w:tab w:pos="2157" w:val="left" w:leader="none"/>
          <w:tab w:pos="2160" w:val="left" w:leader="none"/>
        </w:tabs>
        <w:spacing w:line="264" w:lineRule="auto" w:before="77" w:after="0"/>
        <w:ind w:left="2160" w:right="1438" w:hanging="406"/>
        <w:jc w:val="left"/>
        <w:rPr>
          <w:sz w:val="19"/>
        </w:rPr>
      </w:pPr>
      <w:r>
        <w:rPr>
          <w:sz w:val="19"/>
        </w:rPr>
        <w:t>Representation</w:t>
      </w:r>
      <w:r>
        <w:rPr>
          <w:spacing w:val="80"/>
          <w:sz w:val="19"/>
        </w:rPr>
        <w:t> </w:t>
      </w:r>
      <w:r>
        <w:rPr>
          <w:sz w:val="19"/>
        </w:rPr>
        <w:t>of</w:t>
      </w:r>
      <w:r>
        <w:rPr>
          <w:spacing w:val="80"/>
          <w:sz w:val="19"/>
        </w:rPr>
        <w:t> </w:t>
      </w:r>
      <w:r>
        <w:rPr>
          <w:sz w:val="19"/>
        </w:rPr>
        <w:t>Rape</w:t>
      </w:r>
      <w:r>
        <w:rPr>
          <w:spacing w:val="80"/>
          <w:sz w:val="19"/>
        </w:rPr>
        <w:t> </w:t>
      </w:r>
      <w:r>
        <w:rPr>
          <w:sz w:val="19"/>
        </w:rPr>
        <w:t>in</w:t>
      </w:r>
      <w:r>
        <w:rPr>
          <w:spacing w:val="80"/>
          <w:sz w:val="19"/>
        </w:rPr>
        <w:t> </w:t>
      </w:r>
      <w:r>
        <w:rPr>
          <w:sz w:val="19"/>
        </w:rPr>
        <w:t>Shakespeare’s</w:t>
      </w:r>
      <w:r>
        <w:rPr>
          <w:spacing w:val="80"/>
          <w:sz w:val="19"/>
        </w:rPr>
        <w:t> </w:t>
      </w:r>
      <w:r>
        <w:rPr>
          <w:sz w:val="19"/>
        </w:rPr>
        <w:t>Selected</w:t>
      </w:r>
      <w:r>
        <w:rPr>
          <w:spacing w:val="80"/>
          <w:sz w:val="19"/>
        </w:rPr>
        <w:t> </w:t>
      </w:r>
      <w:r>
        <w:rPr>
          <w:sz w:val="19"/>
        </w:rPr>
        <w:t>Works: feminist</w:t>
      </w:r>
      <w:r>
        <w:rPr>
          <w:spacing w:val="40"/>
          <w:sz w:val="19"/>
        </w:rPr>
        <w:t> </w:t>
      </w:r>
      <w:r>
        <w:rPr>
          <w:sz w:val="19"/>
        </w:rPr>
        <w:t>perspectives.</w:t>
      </w:r>
    </w:p>
    <w:p>
      <w:pPr>
        <w:pStyle w:val="ListParagraph"/>
        <w:spacing w:after="0" w:line="264"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04416">
                <wp:simplePos x="0" y="0"/>
                <wp:positionH relativeFrom="page">
                  <wp:posOffset>2057400</wp:posOffset>
                </wp:positionH>
                <wp:positionV relativeFrom="page">
                  <wp:posOffset>1788723</wp:posOffset>
                </wp:positionV>
                <wp:extent cx="3654425" cy="140335"/>
                <wp:effectExtent l="0" t="0" r="0" b="0"/>
                <wp:wrapNone/>
                <wp:docPr id="684" name="Textbox 684"/>
                <wp:cNvGraphicFramePr>
                  <a:graphicFrameLocks/>
                </wp:cNvGraphicFramePr>
                <a:graphic>
                  <a:graphicData uri="http://schemas.microsoft.com/office/word/2010/wordprocessingShape">
                    <wps:wsp>
                      <wps:cNvPr id="684" name="Textbox 684"/>
                      <wps:cNvSpPr txBox="1"/>
                      <wps:spPr>
                        <a:xfrm>
                          <a:off x="0" y="0"/>
                          <a:ext cx="3654425" cy="140335"/>
                        </a:xfrm>
                        <a:prstGeom prst="rect">
                          <a:avLst/>
                        </a:prstGeom>
                      </wps:spPr>
                      <wps:txbx>
                        <w:txbxContent>
                          <w:p>
                            <w:pPr>
                              <w:tabs>
                                <w:tab w:pos="5754" w:val="right" w:leader="none"/>
                              </w:tabs>
                              <w:spacing w:line="219" w:lineRule="exact" w:before="0"/>
                              <w:ind w:left="0" w:right="0" w:firstLine="0"/>
                              <w:jc w:val="left"/>
                              <w:rPr>
                                <w:rFonts w:ascii="Verdana" w:hAnsi="Verdana"/>
                                <w:sz w:val="18"/>
                              </w:rPr>
                            </w:pPr>
                            <w:r>
                              <w:rPr>
                                <w:rFonts w:ascii="Verdana" w:hAnsi="Verdana"/>
                                <w:sz w:val="18"/>
                              </w:rPr>
                              <w:t>“From</w:t>
                            </w:r>
                            <w:r>
                              <w:rPr>
                                <w:rFonts w:ascii="Verdana" w:hAnsi="Verdana"/>
                                <w:spacing w:val="-12"/>
                                <w:sz w:val="18"/>
                              </w:rPr>
                              <w:t> </w:t>
                            </w:r>
                            <w:r>
                              <w:rPr>
                                <w:rFonts w:ascii="Verdana" w:hAnsi="Verdana"/>
                                <w:sz w:val="18"/>
                              </w:rPr>
                              <w:t>Katherina</w:t>
                            </w:r>
                            <w:r>
                              <w:rPr>
                                <w:rFonts w:ascii="Verdana" w:hAnsi="Verdana"/>
                                <w:spacing w:val="-9"/>
                                <w:sz w:val="18"/>
                              </w:rPr>
                              <w:t> </w:t>
                            </w:r>
                            <w:r>
                              <w:rPr>
                                <w:rFonts w:ascii="Verdana" w:hAnsi="Verdana"/>
                                <w:sz w:val="18"/>
                              </w:rPr>
                              <w:t>to</w:t>
                            </w:r>
                            <w:r>
                              <w:rPr>
                                <w:rFonts w:ascii="Verdana" w:hAnsi="Verdana"/>
                                <w:spacing w:val="-7"/>
                                <w:sz w:val="18"/>
                              </w:rPr>
                              <w:t> </w:t>
                            </w:r>
                            <w:r>
                              <w:rPr>
                                <w:rFonts w:ascii="Verdana" w:hAnsi="Verdana"/>
                                <w:sz w:val="18"/>
                              </w:rPr>
                              <w:t>Kanthapura:</w:t>
                            </w:r>
                            <w:r>
                              <w:rPr>
                                <w:rFonts w:ascii="Verdana" w:hAnsi="Verdana"/>
                                <w:spacing w:val="-11"/>
                                <w:sz w:val="18"/>
                              </w:rPr>
                              <w:t> </w:t>
                            </w:r>
                            <w:r>
                              <w:rPr>
                                <w:rFonts w:ascii="Verdana" w:hAnsi="Verdana"/>
                                <w:sz w:val="18"/>
                              </w:rPr>
                              <w:t>Gender,</w:t>
                            </w:r>
                            <w:r>
                              <w:rPr>
                                <w:rFonts w:ascii="Verdana" w:hAnsi="Verdana"/>
                                <w:spacing w:val="-10"/>
                                <w:sz w:val="18"/>
                              </w:rPr>
                              <w:t> </w:t>
                            </w:r>
                            <w:r>
                              <w:rPr>
                                <w:rFonts w:ascii="Verdana" w:hAnsi="Verdana"/>
                                <w:spacing w:val="-2"/>
                                <w:sz w:val="18"/>
                              </w:rPr>
                              <w:t>Power...</w:t>
                            </w:r>
                            <w:r>
                              <w:rPr>
                                <w:sz w:val="18"/>
                              </w:rPr>
                              <w:tab/>
                            </w:r>
                            <w:r>
                              <w:rPr>
                                <w:rFonts w:ascii="Verdana" w:hAnsi="Verdana"/>
                                <w:spacing w:val="-5"/>
                                <w:sz w:val="18"/>
                              </w:rPr>
                              <w:t>339</w:t>
                            </w:r>
                          </w:p>
                        </w:txbxContent>
                      </wps:txbx>
                      <wps:bodyPr wrap="square" lIns="0" tIns="0" rIns="0" bIns="0" rtlCol="0">
                        <a:noAutofit/>
                      </wps:bodyPr>
                    </wps:wsp>
                  </a:graphicData>
                </a:graphic>
              </wp:anchor>
            </w:drawing>
          </mc:Choice>
          <mc:Fallback>
            <w:pict>
              <v:shape style="position:absolute;margin-left:162pt;margin-top:140.844391pt;width:287.75pt;height:11.05pt;mso-position-horizontal-relative:page;mso-position-vertical-relative:page;z-index:-20312064" type="#_x0000_t202" id="docshape676" filled="false" stroked="false">
                <v:textbox inset="0,0,0,0">
                  <w:txbxContent>
                    <w:p>
                      <w:pPr>
                        <w:tabs>
                          <w:tab w:pos="5754" w:val="right" w:leader="none"/>
                        </w:tabs>
                        <w:spacing w:line="219" w:lineRule="exact" w:before="0"/>
                        <w:ind w:left="0" w:right="0" w:firstLine="0"/>
                        <w:jc w:val="left"/>
                        <w:rPr>
                          <w:rFonts w:ascii="Verdana" w:hAnsi="Verdana"/>
                          <w:sz w:val="18"/>
                        </w:rPr>
                      </w:pPr>
                      <w:r>
                        <w:rPr>
                          <w:rFonts w:ascii="Verdana" w:hAnsi="Verdana"/>
                          <w:sz w:val="18"/>
                        </w:rPr>
                        <w:t>“From</w:t>
                      </w:r>
                      <w:r>
                        <w:rPr>
                          <w:rFonts w:ascii="Verdana" w:hAnsi="Verdana"/>
                          <w:spacing w:val="-12"/>
                          <w:sz w:val="18"/>
                        </w:rPr>
                        <w:t> </w:t>
                      </w:r>
                      <w:r>
                        <w:rPr>
                          <w:rFonts w:ascii="Verdana" w:hAnsi="Verdana"/>
                          <w:sz w:val="18"/>
                        </w:rPr>
                        <w:t>Katherina</w:t>
                      </w:r>
                      <w:r>
                        <w:rPr>
                          <w:rFonts w:ascii="Verdana" w:hAnsi="Verdana"/>
                          <w:spacing w:val="-9"/>
                          <w:sz w:val="18"/>
                        </w:rPr>
                        <w:t> </w:t>
                      </w:r>
                      <w:r>
                        <w:rPr>
                          <w:rFonts w:ascii="Verdana" w:hAnsi="Verdana"/>
                          <w:sz w:val="18"/>
                        </w:rPr>
                        <w:t>to</w:t>
                      </w:r>
                      <w:r>
                        <w:rPr>
                          <w:rFonts w:ascii="Verdana" w:hAnsi="Verdana"/>
                          <w:spacing w:val="-7"/>
                          <w:sz w:val="18"/>
                        </w:rPr>
                        <w:t> </w:t>
                      </w:r>
                      <w:r>
                        <w:rPr>
                          <w:rFonts w:ascii="Verdana" w:hAnsi="Verdana"/>
                          <w:sz w:val="18"/>
                        </w:rPr>
                        <w:t>Kanthapura:</w:t>
                      </w:r>
                      <w:r>
                        <w:rPr>
                          <w:rFonts w:ascii="Verdana" w:hAnsi="Verdana"/>
                          <w:spacing w:val="-11"/>
                          <w:sz w:val="18"/>
                        </w:rPr>
                        <w:t> </w:t>
                      </w:r>
                      <w:r>
                        <w:rPr>
                          <w:rFonts w:ascii="Verdana" w:hAnsi="Verdana"/>
                          <w:sz w:val="18"/>
                        </w:rPr>
                        <w:t>Gender,</w:t>
                      </w:r>
                      <w:r>
                        <w:rPr>
                          <w:rFonts w:ascii="Verdana" w:hAnsi="Verdana"/>
                          <w:spacing w:val="-10"/>
                          <w:sz w:val="18"/>
                        </w:rPr>
                        <w:t> </w:t>
                      </w:r>
                      <w:r>
                        <w:rPr>
                          <w:rFonts w:ascii="Verdana" w:hAnsi="Verdana"/>
                          <w:spacing w:val="-2"/>
                          <w:sz w:val="18"/>
                        </w:rPr>
                        <w:t>Power...</w:t>
                      </w:r>
                      <w:r>
                        <w:rPr>
                          <w:sz w:val="18"/>
                        </w:rPr>
                        <w:tab/>
                      </w:r>
                      <w:r>
                        <w:rPr>
                          <w:rFonts w:ascii="Verdana" w:hAnsi="Verdana"/>
                          <w:spacing w:val="-5"/>
                          <w:sz w:val="18"/>
                        </w:rPr>
                        <w:t>339</w:t>
                      </w:r>
                    </w:p>
                  </w:txbxContent>
                </v:textbox>
                <w10:wrap type="none"/>
              </v:shape>
            </w:pict>
          </mc:Fallback>
        </mc:AlternateContent>
      </w:r>
    </w:p>
    <w:p>
      <w:pPr>
        <w:pStyle w:val="BodyText"/>
        <w:spacing w:before="184" w:after="1"/>
        <w:ind w:left="0"/>
      </w:pPr>
    </w:p>
    <w:p>
      <w:pPr>
        <w:spacing w:line="240" w:lineRule="auto"/>
        <w:ind w:left="1125" w:right="0" w:firstLine="0"/>
        <w:rPr>
          <w:sz w:val="20"/>
        </w:rPr>
      </w:pPr>
      <w:r>
        <w:rPr>
          <w:sz w:val="20"/>
        </w:rPr>
        <mc:AlternateContent>
          <mc:Choice Requires="wps">
            <w:drawing>
              <wp:inline distT="0" distB="0" distL="0" distR="0">
                <wp:extent cx="4043679" cy="699770"/>
                <wp:effectExtent l="0" t="0" r="0" b="0"/>
                <wp:docPr id="685" name="Group 685"/>
                <wp:cNvGraphicFramePr>
                  <a:graphicFrameLocks/>
                </wp:cNvGraphicFramePr>
                <a:graphic>
                  <a:graphicData uri="http://schemas.microsoft.com/office/word/2010/wordprocessingGroup">
                    <wpg:wgp>
                      <wpg:cNvPr id="685" name="Group 685"/>
                      <wpg:cNvGrpSpPr/>
                      <wpg:grpSpPr>
                        <a:xfrm>
                          <a:off x="0" y="0"/>
                          <a:ext cx="4043679" cy="699770"/>
                          <a:chExt cx="4043679" cy="699770"/>
                        </a:xfrm>
                      </wpg:grpSpPr>
                      <wps:wsp>
                        <wps:cNvPr id="686" name="Graphic 686"/>
                        <wps:cNvSpPr/>
                        <wps:spPr>
                          <a:xfrm>
                            <a:off x="0" y="0"/>
                            <a:ext cx="4043679" cy="699770"/>
                          </a:xfrm>
                          <a:custGeom>
                            <a:avLst/>
                            <a:gdLst/>
                            <a:ahLst/>
                            <a:cxnLst/>
                            <a:rect l="l" t="t" r="r" b="b"/>
                            <a:pathLst>
                              <a:path w="4043679" h="699770">
                                <a:moveTo>
                                  <a:pt x="4043172" y="699515"/>
                                </a:moveTo>
                                <a:lnTo>
                                  <a:pt x="0" y="699515"/>
                                </a:lnTo>
                                <a:lnTo>
                                  <a:pt x="0" y="0"/>
                                </a:lnTo>
                                <a:lnTo>
                                  <a:pt x="4043172" y="0"/>
                                </a:lnTo>
                                <a:lnTo>
                                  <a:pt x="4043172" y="699515"/>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677" coordorigin="0,0" coordsize="6368,1102">
                <v:rect style="position:absolute;left:0;top:0;width:6368;height:1102" id="docshape678"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40256">
                <wp:simplePos x="0" y="0"/>
                <wp:positionH relativeFrom="page">
                  <wp:posOffset>3526535</wp:posOffset>
                </wp:positionH>
                <wp:positionV relativeFrom="paragraph">
                  <wp:posOffset>272922</wp:posOffset>
                </wp:positionV>
                <wp:extent cx="727075" cy="654050"/>
                <wp:effectExtent l="0" t="0" r="0" b="0"/>
                <wp:wrapTopAndBottom/>
                <wp:docPr id="687" name="Group 687"/>
                <wp:cNvGraphicFramePr>
                  <a:graphicFrameLocks/>
                </wp:cNvGraphicFramePr>
                <a:graphic>
                  <a:graphicData uri="http://schemas.microsoft.com/office/word/2010/wordprocessingGroup">
                    <wpg:wgp>
                      <wpg:cNvPr id="687" name="Group 687"/>
                      <wpg:cNvGrpSpPr/>
                      <wpg:grpSpPr>
                        <a:xfrm>
                          <a:off x="0" y="0"/>
                          <a:ext cx="727075" cy="654050"/>
                          <a:chExt cx="727075" cy="654050"/>
                        </a:xfrm>
                      </wpg:grpSpPr>
                      <pic:pic>
                        <pic:nvPicPr>
                          <pic:cNvPr id="688" name="Image 688"/>
                          <pic:cNvPicPr/>
                        </pic:nvPicPr>
                        <pic:blipFill>
                          <a:blip r:embed="rId126" cstate="print"/>
                          <a:stretch>
                            <a:fillRect/>
                          </a:stretch>
                        </pic:blipFill>
                        <pic:spPr>
                          <a:xfrm>
                            <a:off x="0" y="0"/>
                            <a:ext cx="726948" cy="653796"/>
                          </a:xfrm>
                          <a:prstGeom prst="rect">
                            <a:avLst/>
                          </a:prstGeom>
                        </pic:spPr>
                      </pic:pic>
                      <wps:wsp>
                        <wps:cNvPr id="689" name="Textbox 689"/>
                        <wps:cNvSpPr txBox="1"/>
                        <wps:spPr>
                          <a:xfrm>
                            <a:off x="0" y="0"/>
                            <a:ext cx="727075" cy="654050"/>
                          </a:xfrm>
                          <a:prstGeom prst="rect">
                            <a:avLst/>
                          </a:prstGeom>
                        </wps:spPr>
                        <wps:txbx>
                          <w:txbxContent>
                            <w:p>
                              <w:pPr>
                                <w:spacing w:before="386"/>
                                <w:ind w:left="372" w:right="0" w:firstLine="0"/>
                                <w:jc w:val="left"/>
                                <w:rPr>
                                  <w:rFonts w:ascii="Tahoma"/>
                                  <w:b/>
                                  <w:sz w:val="36"/>
                                </w:rPr>
                              </w:pPr>
                              <w:r>
                                <w:rPr>
                                  <w:rFonts w:ascii="Tahoma"/>
                                  <w:b/>
                                  <w:spacing w:val="-5"/>
                                  <w:w w:val="95"/>
                                  <w:sz w:val="36"/>
                                </w:rPr>
                                <w:t>34</w:t>
                              </w:r>
                            </w:p>
                          </w:txbxContent>
                        </wps:txbx>
                        <wps:bodyPr wrap="square" lIns="0" tIns="0" rIns="0" bIns="0" rtlCol="0">
                          <a:noAutofit/>
                        </wps:bodyPr>
                      </wps:wsp>
                    </wpg:wgp>
                  </a:graphicData>
                </a:graphic>
              </wp:anchor>
            </w:drawing>
          </mc:Choice>
          <mc:Fallback>
            <w:pict>
              <v:group style="position:absolute;margin-left:277.679993pt;margin-top:21.489992pt;width:57.25pt;height:51.5pt;mso-position-horizontal-relative:page;mso-position-vertical-relative:paragraph;z-index:-15476224;mso-wrap-distance-left:0;mso-wrap-distance-right:0" id="docshapegroup679" coordorigin="5554,430" coordsize="1145,1030">
                <v:shape style="position:absolute;left:5553;top:429;width:1145;height:1030" type="#_x0000_t75" id="docshape680" stroked="false">
                  <v:imagedata r:id="rId126" o:title=""/>
                </v:shape>
                <v:shape style="position:absolute;left:5553;top:429;width:1145;height:1030" type="#_x0000_t202" id="docshape681" filled="false" stroked="false">
                  <v:textbox inset="0,0,0,0">
                    <w:txbxContent>
                      <w:p>
                        <w:pPr>
                          <w:spacing w:before="386"/>
                          <w:ind w:left="372" w:right="0" w:firstLine="0"/>
                          <w:jc w:val="left"/>
                          <w:rPr>
                            <w:rFonts w:ascii="Tahoma"/>
                            <w:b/>
                            <w:sz w:val="36"/>
                          </w:rPr>
                        </w:pPr>
                        <w:r>
                          <w:rPr>
                            <w:rFonts w:ascii="Tahoma"/>
                            <w:b/>
                            <w:spacing w:val="-5"/>
                            <w:w w:val="95"/>
                            <w:sz w:val="36"/>
                          </w:rPr>
                          <w:t>34</w:t>
                        </w:r>
                      </w:p>
                    </w:txbxContent>
                  </v:textbox>
                  <w10:wrap type="none"/>
                </v:shape>
                <w10:wrap type="topAndBottom"/>
              </v:group>
            </w:pict>
          </mc:Fallback>
        </mc:AlternateContent>
      </w:r>
    </w:p>
    <w:p>
      <w:pPr>
        <w:pStyle w:val="Heading1"/>
        <w:spacing w:line="211" w:lineRule="auto" w:before="42"/>
        <w:ind w:left="1352" w:right="1356"/>
      </w:pPr>
      <w:r>
        <w:rPr/>
        <w:t>“From</w:t>
      </w:r>
      <w:r>
        <w:rPr>
          <w:spacing w:val="-18"/>
        </w:rPr>
        <w:t> </w:t>
      </w:r>
      <w:r>
        <w:rPr/>
        <w:t>Katherina</w:t>
      </w:r>
      <w:r>
        <w:rPr>
          <w:spacing w:val="-15"/>
        </w:rPr>
        <w:t> </w:t>
      </w:r>
      <w:r>
        <w:rPr/>
        <w:t>to</w:t>
      </w:r>
      <w:r>
        <w:rPr>
          <w:spacing w:val="-15"/>
        </w:rPr>
        <w:t> </w:t>
      </w:r>
      <w:r>
        <w:rPr/>
        <w:t>Kanthapura: Gender,</w:t>
      </w:r>
      <w:r>
        <w:rPr>
          <w:spacing w:val="-11"/>
        </w:rPr>
        <w:t> </w:t>
      </w:r>
      <w:r>
        <w:rPr/>
        <w:t>Power,</w:t>
      </w:r>
      <w:r>
        <w:rPr>
          <w:spacing w:val="-9"/>
        </w:rPr>
        <w:t> </w:t>
      </w:r>
      <w:r>
        <w:rPr/>
        <w:t>and</w:t>
      </w:r>
      <w:r>
        <w:rPr>
          <w:spacing w:val="-11"/>
        </w:rPr>
        <w:t> </w:t>
      </w:r>
      <w:r>
        <w:rPr/>
        <w:t>Patriarchy</w:t>
      </w:r>
      <w:r>
        <w:rPr>
          <w:spacing w:val="-9"/>
        </w:rPr>
        <w:t> </w:t>
      </w:r>
      <w:r>
        <w:rPr/>
        <w:t>in Gandhi,</w:t>
      </w:r>
      <w:r>
        <w:rPr>
          <w:spacing w:val="16"/>
        </w:rPr>
        <w:t> </w:t>
      </w:r>
      <w:r>
        <w:rPr/>
        <w:t>Shakespeare,</w:t>
      </w:r>
      <w:r>
        <w:rPr>
          <w:spacing w:val="18"/>
        </w:rPr>
        <w:t> </w:t>
      </w:r>
      <w:r>
        <w:rPr/>
        <w:t>and</w:t>
      </w:r>
      <w:r>
        <w:rPr>
          <w:spacing w:val="16"/>
        </w:rPr>
        <w:t> </w:t>
      </w:r>
      <w:r>
        <w:rPr>
          <w:spacing w:val="-13"/>
        </w:rPr>
        <w:t>Indian</w:t>
      </w:r>
    </w:p>
    <w:p>
      <w:pPr>
        <w:tabs>
          <w:tab w:pos="811" w:val="left" w:leader="none"/>
          <w:tab w:pos="5759" w:val="left" w:leader="none"/>
        </w:tabs>
        <w:spacing w:line="348" w:lineRule="exact" w:before="0"/>
        <w:ind w:left="0" w:right="0" w:firstLine="0"/>
        <w:jc w:val="center"/>
        <w:rPr>
          <w:rFonts w:ascii="Tahoma" w:hAnsi="Tahoma"/>
          <w:b/>
          <w:sz w:val="32"/>
        </w:rPr>
      </w:pPr>
      <w:r>
        <w:rPr>
          <w:sz w:val="32"/>
          <w:u w:val="single"/>
        </w:rPr>
        <w:tab/>
      </w:r>
      <w:r>
        <w:rPr>
          <w:rFonts w:ascii="Tahoma" w:hAnsi="Tahoma"/>
          <w:b/>
          <w:spacing w:val="-4"/>
          <w:sz w:val="32"/>
          <w:u w:val="single"/>
        </w:rPr>
        <w:t>Novels</w:t>
      </w:r>
      <w:r>
        <w:rPr>
          <w:rFonts w:ascii="Tahoma" w:hAnsi="Tahoma"/>
          <w:b/>
          <w:spacing w:val="-13"/>
          <w:sz w:val="32"/>
          <w:u w:val="single"/>
        </w:rPr>
        <w:t> </w:t>
      </w:r>
      <w:r>
        <w:rPr>
          <w:rFonts w:ascii="Tahoma" w:hAnsi="Tahoma"/>
          <w:b/>
          <w:spacing w:val="-4"/>
          <w:sz w:val="32"/>
          <w:u w:val="single"/>
        </w:rPr>
        <w:t>in</w:t>
      </w:r>
      <w:r>
        <w:rPr>
          <w:rFonts w:ascii="Tahoma" w:hAnsi="Tahoma"/>
          <w:b/>
          <w:spacing w:val="-14"/>
          <w:sz w:val="32"/>
          <w:u w:val="single"/>
        </w:rPr>
        <w:t> </w:t>
      </w:r>
      <w:r>
        <w:rPr>
          <w:rFonts w:ascii="Tahoma" w:hAnsi="Tahoma"/>
          <w:b/>
          <w:spacing w:val="-4"/>
          <w:sz w:val="32"/>
          <w:u w:val="single"/>
        </w:rPr>
        <w:t>the</w:t>
      </w:r>
      <w:r>
        <w:rPr>
          <w:rFonts w:ascii="Tahoma" w:hAnsi="Tahoma"/>
          <w:b/>
          <w:spacing w:val="-15"/>
          <w:sz w:val="32"/>
          <w:u w:val="single"/>
        </w:rPr>
        <w:t> </w:t>
      </w:r>
      <w:r>
        <w:rPr>
          <w:rFonts w:ascii="Tahoma" w:hAnsi="Tahoma"/>
          <w:b/>
          <w:spacing w:val="-4"/>
          <w:sz w:val="32"/>
          <w:u w:val="single"/>
        </w:rPr>
        <w:t>#MeToo</w:t>
      </w:r>
      <w:r>
        <w:rPr>
          <w:rFonts w:ascii="Tahoma" w:hAnsi="Tahoma"/>
          <w:b/>
          <w:spacing w:val="-14"/>
          <w:sz w:val="32"/>
          <w:u w:val="single"/>
        </w:rPr>
        <w:t> </w:t>
      </w:r>
      <w:r>
        <w:rPr>
          <w:rFonts w:ascii="Tahoma" w:hAnsi="Tahoma"/>
          <w:b/>
          <w:spacing w:val="-4"/>
          <w:sz w:val="32"/>
          <w:u w:val="single"/>
        </w:rPr>
        <w:t>Era”</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840768">
                <wp:simplePos x="0" y="0"/>
                <wp:positionH relativeFrom="page">
                  <wp:posOffset>2057400</wp:posOffset>
                </wp:positionH>
                <wp:positionV relativeFrom="paragraph">
                  <wp:posOffset>60305</wp:posOffset>
                </wp:positionV>
                <wp:extent cx="3657600" cy="7620"/>
                <wp:effectExtent l="0" t="0" r="0" b="0"/>
                <wp:wrapTopAndBottom/>
                <wp:docPr id="690" name="Graphic 690"/>
                <wp:cNvGraphicFramePr>
                  <a:graphicFrameLocks/>
                </wp:cNvGraphicFramePr>
                <a:graphic>
                  <a:graphicData uri="http://schemas.microsoft.com/office/word/2010/wordprocessingShape">
                    <wps:wsp>
                      <wps:cNvPr id="690" name="Graphic 690"/>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48477pt;width:288.000009pt;height:.599991pt;mso-position-horizontal-relative:page;mso-position-vertical-relative:paragraph;z-index:-15475712;mso-wrap-distance-left:0;mso-wrap-distance-right:0" id="docshape682"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43"/>
        <w:jc w:val="right"/>
        <w:rPr>
          <w:rFonts w:ascii="Times New Roman"/>
        </w:rPr>
      </w:pPr>
      <w:r>
        <w:rPr>
          <w:rFonts w:ascii="Times New Roman"/>
        </w:rPr>
        <w:t>Dr.</w:t>
      </w:r>
      <w:r>
        <w:rPr>
          <w:rFonts w:ascii="Times New Roman"/>
          <w:spacing w:val="42"/>
        </w:rPr>
        <w:t> </w:t>
      </w:r>
      <w:r>
        <w:rPr>
          <w:rFonts w:ascii="Times New Roman"/>
        </w:rPr>
        <w:t>S</w:t>
      </w:r>
      <w:r>
        <w:rPr>
          <w:rFonts w:ascii="Times New Roman"/>
          <w:spacing w:val="44"/>
        </w:rPr>
        <w:t> </w:t>
      </w:r>
      <w:r>
        <w:rPr>
          <w:rFonts w:ascii="Times New Roman"/>
        </w:rPr>
        <w:t>Feroz</w:t>
      </w:r>
      <w:r>
        <w:rPr>
          <w:rFonts w:ascii="Times New Roman"/>
          <w:spacing w:val="45"/>
        </w:rPr>
        <w:t> </w:t>
      </w:r>
      <w:r>
        <w:rPr>
          <w:rFonts w:ascii="Times New Roman"/>
          <w:spacing w:val="-4"/>
        </w:rPr>
        <w:t>Begum</w:t>
      </w:r>
    </w:p>
    <w:p>
      <w:pPr>
        <w:spacing w:before="15"/>
        <w:ind w:left="0" w:right="1439" w:firstLine="0"/>
        <w:jc w:val="right"/>
        <w:rPr>
          <w:i/>
          <w:sz w:val="19"/>
        </w:rPr>
      </w:pPr>
      <w:r>
        <w:rPr>
          <w:i/>
          <w:sz w:val="19"/>
        </w:rPr>
        <w:t>Assistant</w:t>
      </w:r>
      <w:r>
        <w:rPr>
          <w:i/>
          <w:spacing w:val="57"/>
          <w:sz w:val="19"/>
        </w:rPr>
        <w:t> </w:t>
      </w:r>
      <w:r>
        <w:rPr>
          <w:i/>
          <w:sz w:val="19"/>
        </w:rPr>
        <w:t>Professor</w:t>
      </w:r>
      <w:r>
        <w:rPr>
          <w:i/>
          <w:spacing w:val="55"/>
          <w:sz w:val="19"/>
        </w:rPr>
        <w:t> </w:t>
      </w:r>
      <w:r>
        <w:rPr>
          <w:i/>
          <w:sz w:val="19"/>
        </w:rPr>
        <w:t>of</w:t>
      </w:r>
      <w:r>
        <w:rPr>
          <w:i/>
          <w:spacing w:val="58"/>
          <w:sz w:val="19"/>
        </w:rPr>
        <w:t> </w:t>
      </w:r>
      <w:r>
        <w:rPr>
          <w:i/>
          <w:sz w:val="19"/>
        </w:rPr>
        <w:t>English,</w:t>
      </w:r>
      <w:r>
        <w:rPr>
          <w:i/>
          <w:spacing w:val="60"/>
          <w:sz w:val="19"/>
        </w:rPr>
        <w:t> </w:t>
      </w:r>
      <w:r>
        <w:rPr>
          <w:i/>
          <w:sz w:val="19"/>
        </w:rPr>
        <w:t>The</w:t>
      </w:r>
      <w:r>
        <w:rPr>
          <w:i/>
          <w:spacing w:val="54"/>
          <w:sz w:val="19"/>
        </w:rPr>
        <w:t> </w:t>
      </w:r>
      <w:r>
        <w:rPr>
          <w:i/>
          <w:sz w:val="19"/>
        </w:rPr>
        <w:t>Apollo</w:t>
      </w:r>
      <w:r>
        <w:rPr>
          <w:i/>
          <w:spacing w:val="60"/>
          <w:sz w:val="19"/>
        </w:rPr>
        <w:t> </w:t>
      </w:r>
      <w:r>
        <w:rPr>
          <w:i/>
          <w:sz w:val="19"/>
        </w:rPr>
        <w:t>University,</w:t>
      </w:r>
      <w:r>
        <w:rPr>
          <w:i/>
          <w:spacing w:val="55"/>
          <w:sz w:val="19"/>
        </w:rPr>
        <w:t> </w:t>
      </w:r>
      <w:r>
        <w:rPr>
          <w:i/>
          <w:spacing w:val="-2"/>
          <w:sz w:val="19"/>
        </w:rPr>
        <w:t>Chittoor</w:t>
      </w:r>
    </w:p>
    <w:p>
      <w:pPr>
        <w:pStyle w:val="BodyText"/>
        <w:spacing w:before="161"/>
        <w:ind w:left="0"/>
        <w:rPr>
          <w:i/>
          <w:sz w:val="19"/>
        </w:rPr>
      </w:pPr>
    </w:p>
    <w:p>
      <w:pPr>
        <w:pStyle w:val="Heading3"/>
        <w:spacing w:before="0"/>
      </w:pPr>
      <w:r>
        <w:rPr>
          <w:spacing w:val="-2"/>
        </w:rPr>
        <w:t>ABSTRACT</w:t>
      </w:r>
    </w:p>
    <w:p>
      <w:pPr>
        <w:pStyle w:val="BodyText"/>
        <w:spacing w:line="254" w:lineRule="auto" w:before="78"/>
        <w:ind w:right="1436" w:firstLine="432"/>
        <w:jc w:val="both"/>
      </w:pPr>
      <w:r>
        <w:rPr/>
        <w:t>This paper explores the ways in which patriarchy, gender, and power are present in early modern and postcolonial literature. Reading Katherina</w:t>
      </w:r>
      <w:r>
        <w:rPr>
          <w:spacing w:val="-1"/>
        </w:rPr>
        <w:t> </w:t>
      </w:r>
      <w:r>
        <w:rPr/>
        <w:t>in</w:t>
      </w:r>
      <w:r>
        <w:rPr>
          <w:spacing w:val="-4"/>
        </w:rPr>
        <w:t> </w:t>
      </w:r>
      <w:r>
        <w:rPr/>
        <w:t>Shakespeare’s</w:t>
      </w:r>
      <w:r>
        <w:rPr>
          <w:spacing w:val="-5"/>
        </w:rPr>
        <w:t> </w:t>
      </w:r>
      <w:r>
        <w:rPr/>
        <w:t>The</w:t>
      </w:r>
      <w:r>
        <w:rPr>
          <w:spacing w:val="-3"/>
        </w:rPr>
        <w:t> </w:t>
      </w:r>
      <w:r>
        <w:rPr/>
        <w:t>Taming</w:t>
      </w:r>
      <w:r>
        <w:rPr>
          <w:spacing w:val="-4"/>
        </w:rPr>
        <w:t> </w:t>
      </w:r>
      <w:r>
        <w:rPr/>
        <w:t>of</w:t>
      </w:r>
      <w:r>
        <w:rPr>
          <w:spacing w:val="-2"/>
        </w:rPr>
        <w:t> </w:t>
      </w:r>
      <w:r>
        <w:rPr/>
        <w:t>the</w:t>
      </w:r>
      <w:r>
        <w:rPr>
          <w:spacing w:val="-2"/>
        </w:rPr>
        <w:t> </w:t>
      </w:r>
      <w:r>
        <w:rPr/>
        <w:t>Shrew</w:t>
      </w:r>
      <w:r>
        <w:rPr>
          <w:spacing w:val="-7"/>
        </w:rPr>
        <w:t> </w:t>
      </w:r>
      <w:r>
        <w:rPr/>
        <w:t>alongside</w:t>
      </w:r>
      <w:r>
        <w:rPr>
          <w:spacing w:val="-1"/>
        </w:rPr>
        <w:t> </w:t>
      </w:r>
      <w:r>
        <w:rPr/>
        <w:t>women in Mulk Raj Anand’s Untouchable, Coolie, and The Sword and the Sickle,</w:t>
      </w:r>
      <w:r>
        <w:rPr>
          <w:spacing w:val="-13"/>
        </w:rPr>
        <w:t> </w:t>
      </w:r>
      <w:r>
        <w:rPr/>
        <w:t>Raja</w:t>
      </w:r>
      <w:r>
        <w:rPr>
          <w:spacing w:val="-12"/>
        </w:rPr>
        <w:t> </w:t>
      </w:r>
      <w:r>
        <w:rPr/>
        <w:t>Rao’s</w:t>
      </w:r>
      <w:r>
        <w:rPr>
          <w:spacing w:val="-13"/>
        </w:rPr>
        <w:t> </w:t>
      </w:r>
      <w:r>
        <w:rPr/>
        <w:t>Kanthapura,</w:t>
      </w:r>
      <w:r>
        <w:rPr>
          <w:spacing w:val="-12"/>
        </w:rPr>
        <w:t> </w:t>
      </w:r>
      <w:r>
        <w:rPr/>
        <w:t>and</w:t>
      </w:r>
      <w:r>
        <w:rPr>
          <w:spacing w:val="-13"/>
        </w:rPr>
        <w:t> </w:t>
      </w:r>
      <w:r>
        <w:rPr/>
        <w:t>R.K.</w:t>
      </w:r>
      <w:r>
        <w:rPr>
          <w:spacing w:val="-12"/>
        </w:rPr>
        <w:t> </w:t>
      </w:r>
      <w:r>
        <w:rPr/>
        <w:t>Narayan’s</w:t>
      </w:r>
      <w:r>
        <w:rPr>
          <w:spacing w:val="-13"/>
        </w:rPr>
        <w:t> </w:t>
      </w:r>
      <w:r>
        <w:rPr/>
        <w:t>A</w:t>
      </w:r>
      <w:r>
        <w:rPr>
          <w:spacing w:val="-12"/>
        </w:rPr>
        <w:t> </w:t>
      </w:r>
      <w:r>
        <w:rPr/>
        <w:t>Tiger</w:t>
      </w:r>
      <w:r>
        <w:rPr>
          <w:spacing w:val="-11"/>
        </w:rPr>
        <w:t> </w:t>
      </w:r>
      <w:r>
        <w:rPr/>
        <w:t>for</w:t>
      </w:r>
      <w:r>
        <w:rPr>
          <w:spacing w:val="-8"/>
        </w:rPr>
        <w:t> </w:t>
      </w:r>
      <w:r>
        <w:rPr/>
        <w:t>Malgudi and</w:t>
      </w:r>
      <w:r>
        <w:rPr>
          <w:spacing w:val="-5"/>
        </w:rPr>
        <w:t> </w:t>
      </w:r>
      <w:r>
        <w:rPr/>
        <w:t>Waiting</w:t>
      </w:r>
      <w:r>
        <w:rPr>
          <w:spacing w:val="-5"/>
        </w:rPr>
        <w:t> </w:t>
      </w:r>
      <w:r>
        <w:rPr/>
        <w:t>for the</w:t>
      </w:r>
      <w:r>
        <w:rPr>
          <w:spacing w:val="-2"/>
        </w:rPr>
        <w:t> </w:t>
      </w:r>
      <w:r>
        <w:rPr/>
        <w:t>Mahatma,</w:t>
      </w:r>
      <w:r>
        <w:rPr>
          <w:spacing w:val="-3"/>
        </w:rPr>
        <w:t> </w:t>
      </w:r>
      <w:r>
        <w:rPr/>
        <w:t>It</w:t>
      </w:r>
      <w:r>
        <w:rPr>
          <w:spacing w:val="-3"/>
        </w:rPr>
        <w:t> </w:t>
      </w:r>
      <w:r>
        <w:rPr/>
        <w:t>is</w:t>
      </w:r>
      <w:r>
        <w:rPr>
          <w:spacing w:val="-5"/>
        </w:rPr>
        <w:t> </w:t>
      </w:r>
      <w:r>
        <w:rPr/>
        <w:t>contend</w:t>
      </w:r>
      <w:r>
        <w:rPr>
          <w:spacing w:val="-1"/>
        </w:rPr>
        <w:t> </w:t>
      </w:r>
      <w:r>
        <w:rPr/>
        <w:t>that</w:t>
      </w:r>
      <w:r>
        <w:rPr>
          <w:spacing w:val="-4"/>
        </w:rPr>
        <w:t> </w:t>
      </w:r>
      <w:r>
        <w:rPr/>
        <w:t>both</w:t>
      </w:r>
      <w:r>
        <w:rPr>
          <w:spacing w:val="-5"/>
        </w:rPr>
        <w:t> </w:t>
      </w:r>
      <w:r>
        <w:rPr/>
        <w:t>Gandhian-inspired and classical texts encode patriarchal structures while staging women’s resistance or partial emancipation. The essay suggests a comparative approach to reread canonical and Indian novels as interwoven locations where patriarchal authority is negotiated, fought, and occasionally reinscribed,</w:t>
      </w:r>
      <w:r>
        <w:rPr>
          <w:spacing w:val="-4"/>
        </w:rPr>
        <w:t> </w:t>
      </w:r>
      <w:r>
        <w:rPr/>
        <w:t>framed by</w:t>
      </w:r>
      <w:r>
        <w:rPr>
          <w:spacing w:val="-7"/>
        </w:rPr>
        <w:t> </w:t>
      </w:r>
      <w:r>
        <w:rPr/>
        <w:t>the</w:t>
      </w:r>
      <w:r>
        <w:rPr>
          <w:spacing w:val="-4"/>
        </w:rPr>
        <w:t> </w:t>
      </w:r>
      <w:r>
        <w:rPr/>
        <w:t>#MeToo era’s</w:t>
      </w:r>
      <w:r>
        <w:rPr>
          <w:spacing w:val="-5"/>
        </w:rPr>
        <w:t> </w:t>
      </w:r>
      <w:r>
        <w:rPr/>
        <w:t>increased</w:t>
      </w:r>
      <w:r>
        <w:rPr>
          <w:spacing w:val="-4"/>
        </w:rPr>
        <w:t> </w:t>
      </w:r>
      <w:r>
        <w:rPr/>
        <w:t>attention</w:t>
      </w:r>
      <w:r>
        <w:rPr>
          <w:spacing w:val="-4"/>
        </w:rPr>
        <w:t> </w:t>
      </w:r>
      <w:r>
        <w:rPr/>
        <w:t>to</w:t>
      </w:r>
      <w:r>
        <w:rPr>
          <w:spacing w:val="-2"/>
        </w:rPr>
        <w:t> </w:t>
      </w:r>
      <w:r>
        <w:rPr/>
        <w:t>consent, compulsion,</w:t>
      </w:r>
      <w:r>
        <w:rPr>
          <w:spacing w:val="40"/>
        </w:rPr>
        <w:t> </w:t>
      </w:r>
      <w:r>
        <w:rPr/>
        <w:t>and</w:t>
      </w:r>
      <w:r>
        <w:rPr>
          <w:spacing w:val="40"/>
        </w:rPr>
        <w:t> </w:t>
      </w:r>
      <w:r>
        <w:rPr/>
        <w:t>silencing.</w:t>
      </w:r>
    </w:p>
    <w:p>
      <w:pPr>
        <w:pStyle w:val="BodyText"/>
        <w:spacing w:line="254" w:lineRule="auto" w:before="60"/>
        <w:ind w:right="1441" w:firstLine="432"/>
        <w:jc w:val="both"/>
      </w:pPr>
      <w:r>
        <w:rPr>
          <w:b/>
        </w:rPr>
        <w:t>Keywords:</w:t>
      </w:r>
      <w:r>
        <w:rPr>
          <w:b/>
          <w:spacing w:val="-13"/>
        </w:rPr>
        <w:t> </w:t>
      </w:r>
      <w:r>
        <w:rPr/>
        <w:t>Shakesphere,</w:t>
      </w:r>
      <w:r>
        <w:rPr>
          <w:spacing w:val="-12"/>
        </w:rPr>
        <w:t> </w:t>
      </w:r>
      <w:r>
        <w:rPr/>
        <w:t>Gandhian</w:t>
      </w:r>
      <w:r>
        <w:rPr>
          <w:spacing w:val="-13"/>
        </w:rPr>
        <w:t> </w:t>
      </w:r>
      <w:r>
        <w:rPr/>
        <w:t>philosophy,</w:t>
      </w:r>
      <w:r>
        <w:rPr>
          <w:spacing w:val="-12"/>
        </w:rPr>
        <w:t> </w:t>
      </w:r>
      <w:r>
        <w:rPr/>
        <w:t>feminism,</w:t>
      </w:r>
      <w:r>
        <w:rPr>
          <w:spacing w:val="-13"/>
        </w:rPr>
        <w:t> </w:t>
      </w:r>
      <w:r>
        <w:rPr/>
        <w:t>gender, </w:t>
      </w:r>
      <w:r>
        <w:rPr>
          <w:spacing w:val="-2"/>
        </w:rPr>
        <w:t>patriarchy,</w:t>
      </w:r>
      <w:r>
        <w:rPr>
          <w:spacing w:val="1"/>
        </w:rPr>
        <w:t> </w:t>
      </w:r>
      <w:r>
        <w:rPr>
          <w:spacing w:val="-2"/>
        </w:rPr>
        <w:t>consent,</w:t>
      </w:r>
      <w:r>
        <w:rPr>
          <w:spacing w:val="4"/>
        </w:rPr>
        <w:t> </w:t>
      </w:r>
      <w:r>
        <w:rPr>
          <w:spacing w:val="-2"/>
        </w:rPr>
        <w:t>coercion,</w:t>
      </w:r>
      <w:r>
        <w:rPr>
          <w:spacing w:val="2"/>
        </w:rPr>
        <w:t> </w:t>
      </w:r>
      <w:r>
        <w:rPr>
          <w:spacing w:val="-2"/>
        </w:rPr>
        <w:t>female</w:t>
      </w:r>
      <w:r>
        <w:rPr>
          <w:spacing w:val="1"/>
        </w:rPr>
        <w:t> </w:t>
      </w:r>
      <w:r>
        <w:rPr>
          <w:spacing w:val="-2"/>
        </w:rPr>
        <w:t>agency,</w:t>
      </w:r>
      <w:r>
        <w:rPr/>
        <w:t> </w:t>
      </w:r>
      <w:r>
        <w:rPr>
          <w:spacing w:val="-2"/>
        </w:rPr>
        <w:t>and</w:t>
      </w:r>
      <w:r>
        <w:rPr>
          <w:spacing w:val="6"/>
        </w:rPr>
        <w:t> </w:t>
      </w:r>
      <w:r>
        <w:rPr>
          <w:spacing w:val="-2"/>
        </w:rPr>
        <w:t>comparative</w:t>
      </w:r>
      <w:r>
        <w:rPr/>
        <w:t> </w:t>
      </w:r>
      <w:r>
        <w:rPr>
          <w:spacing w:val="-2"/>
        </w:rPr>
        <w:t>literature.</w:t>
      </w:r>
    </w:p>
    <w:p>
      <w:pPr>
        <w:pStyle w:val="Heading3"/>
        <w:spacing w:before="155"/>
      </w:pPr>
      <w:r>
        <w:rPr>
          <w:spacing w:val="-2"/>
          <w:w w:val="95"/>
        </w:rPr>
        <w:t>INTRODUCTION:</w:t>
      </w:r>
    </w:p>
    <w:p>
      <w:pPr>
        <w:pStyle w:val="BodyText"/>
        <w:spacing w:line="254" w:lineRule="auto" w:before="81"/>
        <w:ind w:right="1439" w:firstLine="432"/>
        <w:jc w:val="both"/>
      </w:pPr>
      <w:r>
        <w:rPr>
          <w:spacing w:val="-2"/>
        </w:rPr>
        <w:t>Literary</w:t>
      </w:r>
      <w:r>
        <w:rPr>
          <w:spacing w:val="-11"/>
        </w:rPr>
        <w:t> </w:t>
      </w:r>
      <w:r>
        <w:rPr>
          <w:spacing w:val="-2"/>
        </w:rPr>
        <w:t>academics</w:t>
      </w:r>
      <w:r>
        <w:rPr>
          <w:spacing w:val="-10"/>
        </w:rPr>
        <w:t> </w:t>
      </w:r>
      <w:r>
        <w:rPr>
          <w:spacing w:val="-2"/>
        </w:rPr>
        <w:t>have</w:t>
      </w:r>
      <w:r>
        <w:rPr>
          <w:spacing w:val="-11"/>
        </w:rPr>
        <w:t> </w:t>
      </w:r>
      <w:r>
        <w:rPr>
          <w:spacing w:val="-2"/>
        </w:rPr>
        <w:t>re-examined</w:t>
      </w:r>
      <w:r>
        <w:rPr>
          <w:spacing w:val="-10"/>
        </w:rPr>
        <w:t> </w:t>
      </w:r>
      <w:r>
        <w:rPr>
          <w:spacing w:val="-2"/>
        </w:rPr>
        <w:t>classic</w:t>
      </w:r>
      <w:r>
        <w:rPr>
          <w:spacing w:val="-10"/>
        </w:rPr>
        <w:t> </w:t>
      </w:r>
      <w:r>
        <w:rPr>
          <w:spacing w:val="-2"/>
        </w:rPr>
        <w:t>texts</w:t>
      </w:r>
      <w:r>
        <w:rPr>
          <w:spacing w:val="-10"/>
        </w:rPr>
        <w:t> </w:t>
      </w:r>
      <w:r>
        <w:rPr>
          <w:spacing w:val="-2"/>
        </w:rPr>
        <w:t>with</w:t>
      </w:r>
      <w:r>
        <w:rPr>
          <w:spacing w:val="-11"/>
        </w:rPr>
        <w:t> </w:t>
      </w:r>
      <w:r>
        <w:rPr>
          <w:spacing w:val="-2"/>
        </w:rPr>
        <w:t>a</w:t>
      </w:r>
      <w:r>
        <w:rPr>
          <w:spacing w:val="-7"/>
        </w:rPr>
        <w:t> </w:t>
      </w:r>
      <w:r>
        <w:rPr>
          <w:spacing w:val="-2"/>
        </w:rPr>
        <w:t>heightened </w:t>
      </w:r>
      <w:r>
        <w:rPr/>
        <w:t>awareness of issues of consent, bodily autonomy, and the silencing of </w:t>
      </w:r>
      <w:r>
        <w:rPr>
          <w:spacing w:val="-4"/>
        </w:rPr>
        <w:t>women’s</w:t>
      </w:r>
      <w:r>
        <w:rPr>
          <w:spacing w:val="-7"/>
        </w:rPr>
        <w:t> </w:t>
      </w:r>
      <w:r>
        <w:rPr>
          <w:spacing w:val="-4"/>
        </w:rPr>
        <w:t>voices</w:t>
      </w:r>
      <w:r>
        <w:rPr>
          <w:spacing w:val="-6"/>
        </w:rPr>
        <w:t> </w:t>
      </w:r>
      <w:r>
        <w:rPr>
          <w:spacing w:val="-4"/>
        </w:rPr>
        <w:t>in</w:t>
      </w:r>
      <w:r>
        <w:rPr>
          <w:spacing w:val="-9"/>
        </w:rPr>
        <w:t> </w:t>
      </w:r>
      <w:r>
        <w:rPr>
          <w:spacing w:val="-4"/>
        </w:rPr>
        <w:t>the</w:t>
      </w:r>
      <w:r>
        <w:rPr>
          <w:spacing w:val="-6"/>
        </w:rPr>
        <w:t> </w:t>
      </w:r>
      <w:r>
        <w:rPr>
          <w:spacing w:val="-4"/>
        </w:rPr>
        <w:t>aftermath</w:t>
      </w:r>
      <w:r>
        <w:rPr>
          <w:spacing w:val="-7"/>
        </w:rPr>
        <w:t> </w:t>
      </w:r>
      <w:r>
        <w:rPr>
          <w:spacing w:val="-4"/>
        </w:rPr>
        <w:t>of</w:t>
      </w:r>
      <w:r>
        <w:rPr>
          <w:spacing w:val="-6"/>
        </w:rPr>
        <w:t> </w:t>
      </w:r>
      <w:r>
        <w:rPr>
          <w:spacing w:val="-4"/>
        </w:rPr>
        <w:t>the</w:t>
      </w:r>
      <w:r>
        <w:rPr>
          <w:spacing w:val="-9"/>
        </w:rPr>
        <w:t> </w:t>
      </w:r>
      <w:r>
        <w:rPr>
          <w:spacing w:val="-4"/>
        </w:rPr>
        <w:t>#MeToo</w:t>
      </w:r>
      <w:r>
        <w:rPr>
          <w:spacing w:val="-6"/>
        </w:rPr>
        <w:t> </w:t>
      </w:r>
      <w:r>
        <w:rPr>
          <w:spacing w:val="-4"/>
        </w:rPr>
        <w:t>movement.</w:t>
      </w:r>
      <w:r>
        <w:rPr>
          <w:spacing w:val="-5"/>
        </w:rPr>
        <w:t> </w:t>
      </w:r>
      <w:r>
        <w:rPr>
          <w:spacing w:val="-4"/>
        </w:rPr>
        <w:t>Shakespeare’s</w:t>
      </w:r>
    </w:p>
    <w:p>
      <w:pPr>
        <w:pStyle w:val="BodyText"/>
        <w:spacing w:after="0" w:line="25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41792">
                <wp:simplePos x="0" y="0"/>
                <wp:positionH relativeFrom="page">
                  <wp:posOffset>2057400</wp:posOffset>
                </wp:positionH>
                <wp:positionV relativeFrom="paragraph">
                  <wp:posOffset>162604</wp:posOffset>
                </wp:positionV>
                <wp:extent cx="3657600" cy="12700"/>
                <wp:effectExtent l="0" t="0" r="0" b="0"/>
                <wp:wrapTopAndBottom/>
                <wp:docPr id="691" name="Graphic 691"/>
                <wp:cNvGraphicFramePr>
                  <a:graphicFrameLocks/>
                </wp:cNvGraphicFramePr>
                <a:graphic>
                  <a:graphicData uri="http://schemas.microsoft.com/office/word/2010/wordprocessingShape">
                    <wps:wsp>
                      <wps:cNvPr id="691" name="Graphic 69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74688;mso-wrap-distance-left:0;mso-wrap-distance-right:0" id="docshape683" filled="true" fillcolor="#000000" stroked="false">
                <v:fill type="solid"/>
                <w10:wrap type="topAndBottom"/>
              </v:rect>
            </w:pict>
          </mc:Fallback>
        </mc:AlternateContent>
      </w:r>
      <w:r>
        <w:rPr>
          <w:rFonts w:ascii="Verdana"/>
          <w:spacing w:val="-5"/>
          <w:sz w:val="18"/>
        </w:rPr>
        <w:t>340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54" w:lineRule="auto" w:before="195"/>
        <w:ind w:right="1438"/>
        <w:jc w:val="both"/>
      </w:pPr>
      <w:r>
        <w:rPr/>
        <w:t>frequently conflicting depictions of women—both as submissive wives and as “shrewish” rebels—have become particularly contentious. Meanwhile, Indian authors like Mulk Raj Anand, Raja Rao, and R.K. Narayan depict the influence of Gandhian philosophy on the Indian </w:t>
      </w:r>
      <w:r>
        <w:rPr>
          <w:spacing w:val="-2"/>
        </w:rPr>
        <w:t>novel,</w:t>
      </w:r>
      <w:r>
        <w:rPr>
          <w:spacing w:val="-6"/>
        </w:rPr>
        <w:t> </w:t>
      </w:r>
      <w:r>
        <w:rPr>
          <w:spacing w:val="-2"/>
        </w:rPr>
        <w:t>emphasizing</w:t>
      </w:r>
      <w:r>
        <w:rPr>
          <w:spacing w:val="-9"/>
        </w:rPr>
        <w:t> </w:t>
      </w:r>
      <w:r>
        <w:rPr>
          <w:spacing w:val="-2"/>
        </w:rPr>
        <w:t>caste,</w:t>
      </w:r>
      <w:r>
        <w:rPr>
          <w:spacing w:val="-4"/>
        </w:rPr>
        <w:t> </w:t>
      </w:r>
      <w:r>
        <w:rPr>
          <w:spacing w:val="-2"/>
        </w:rPr>
        <w:t>nationalism,</w:t>
      </w:r>
      <w:r>
        <w:rPr>
          <w:spacing w:val="-6"/>
        </w:rPr>
        <w:t> </w:t>
      </w:r>
      <w:r>
        <w:rPr>
          <w:spacing w:val="-2"/>
        </w:rPr>
        <w:t>and</w:t>
      </w:r>
      <w:r>
        <w:rPr>
          <w:spacing w:val="-6"/>
        </w:rPr>
        <w:t> </w:t>
      </w:r>
      <w:r>
        <w:rPr>
          <w:spacing w:val="-2"/>
        </w:rPr>
        <w:t>social</w:t>
      </w:r>
      <w:r>
        <w:rPr>
          <w:spacing w:val="-10"/>
        </w:rPr>
        <w:t> </w:t>
      </w:r>
      <w:r>
        <w:rPr>
          <w:spacing w:val="-2"/>
        </w:rPr>
        <w:t>reform</w:t>
      </w:r>
      <w:r>
        <w:rPr>
          <w:spacing w:val="-10"/>
        </w:rPr>
        <w:t> </w:t>
      </w:r>
      <w:r>
        <w:rPr>
          <w:spacing w:val="-2"/>
        </w:rPr>
        <w:t>while</w:t>
      </w:r>
      <w:r>
        <w:rPr>
          <w:spacing w:val="-4"/>
        </w:rPr>
        <w:t> </w:t>
      </w:r>
      <w:r>
        <w:rPr>
          <w:spacing w:val="-2"/>
        </w:rPr>
        <w:t>frequently </w:t>
      </w:r>
      <w:r>
        <w:rPr/>
        <w:t>subordinating</w:t>
      </w:r>
      <w:r>
        <w:rPr>
          <w:spacing w:val="40"/>
        </w:rPr>
        <w:t> </w:t>
      </w:r>
      <w:r>
        <w:rPr/>
        <w:t>gender</w:t>
      </w:r>
      <w:r>
        <w:rPr>
          <w:spacing w:val="40"/>
        </w:rPr>
        <w:t> </w:t>
      </w:r>
      <w:r>
        <w:rPr/>
        <w:t>to</w:t>
      </w:r>
      <w:r>
        <w:rPr>
          <w:spacing w:val="40"/>
        </w:rPr>
        <w:t> </w:t>
      </w:r>
      <w:r>
        <w:rPr/>
        <w:t>these</w:t>
      </w:r>
      <w:r>
        <w:rPr>
          <w:spacing w:val="40"/>
        </w:rPr>
        <w:t> </w:t>
      </w:r>
      <w:r>
        <w:rPr/>
        <w:t>more</w:t>
      </w:r>
      <w:r>
        <w:rPr>
          <w:spacing w:val="40"/>
        </w:rPr>
        <w:t> </w:t>
      </w:r>
      <w:r>
        <w:rPr/>
        <w:t>general</w:t>
      </w:r>
      <w:r>
        <w:rPr>
          <w:spacing w:val="40"/>
        </w:rPr>
        <w:t> </w:t>
      </w:r>
      <w:r>
        <w:rPr/>
        <w:t>concerns.</w:t>
      </w:r>
    </w:p>
    <w:p>
      <w:pPr>
        <w:pStyle w:val="Heading3"/>
        <w:spacing w:before="152"/>
        <w:ind w:right="1437"/>
      </w:pPr>
      <w:r>
        <w:rPr>
          <w:w w:val="90"/>
        </w:rPr>
        <w:t>THESE</w:t>
      </w:r>
      <w:r>
        <w:rPr>
          <w:spacing w:val="15"/>
        </w:rPr>
        <w:t> </w:t>
      </w:r>
      <w:r>
        <w:rPr>
          <w:w w:val="90"/>
        </w:rPr>
        <w:t>TWO</w:t>
      </w:r>
      <w:r>
        <w:rPr>
          <w:spacing w:val="16"/>
        </w:rPr>
        <w:t> </w:t>
      </w:r>
      <w:r>
        <w:rPr>
          <w:w w:val="90"/>
        </w:rPr>
        <w:t>SETS</w:t>
      </w:r>
      <w:r>
        <w:rPr>
          <w:spacing w:val="15"/>
        </w:rPr>
        <w:t> </w:t>
      </w:r>
      <w:r>
        <w:rPr>
          <w:w w:val="90"/>
        </w:rPr>
        <w:t>OF</w:t>
      </w:r>
      <w:r>
        <w:rPr>
          <w:spacing w:val="15"/>
        </w:rPr>
        <w:t> </w:t>
      </w:r>
      <w:r>
        <w:rPr>
          <w:w w:val="90"/>
        </w:rPr>
        <w:t>WORK</w:t>
      </w:r>
      <w:r>
        <w:rPr>
          <w:spacing w:val="15"/>
        </w:rPr>
        <w:t> </w:t>
      </w:r>
      <w:r>
        <w:rPr>
          <w:w w:val="90"/>
        </w:rPr>
        <w:t>ARE</w:t>
      </w:r>
      <w:r>
        <w:rPr>
          <w:spacing w:val="15"/>
        </w:rPr>
        <w:t> </w:t>
      </w:r>
      <w:r>
        <w:rPr>
          <w:w w:val="90"/>
        </w:rPr>
        <w:t>DISCUSSED</w:t>
      </w:r>
      <w:r>
        <w:rPr>
          <w:spacing w:val="13"/>
        </w:rPr>
        <w:t> </w:t>
      </w:r>
      <w:r>
        <w:rPr>
          <w:w w:val="90"/>
        </w:rPr>
        <w:t>IN</w:t>
      </w:r>
      <w:r>
        <w:rPr>
          <w:spacing w:val="15"/>
        </w:rPr>
        <w:t> </w:t>
      </w:r>
      <w:r>
        <w:rPr>
          <w:w w:val="90"/>
        </w:rPr>
        <w:t>THIS </w:t>
      </w:r>
      <w:r>
        <w:rPr>
          <w:spacing w:val="-2"/>
          <w:w w:val="95"/>
        </w:rPr>
        <w:t>PAPER:</w:t>
      </w:r>
    </w:p>
    <w:p>
      <w:pPr>
        <w:pStyle w:val="BodyText"/>
        <w:spacing w:line="264" w:lineRule="auto" w:before="81"/>
        <w:ind w:right="1441" w:firstLine="432"/>
        <w:jc w:val="both"/>
      </w:pPr>
      <w:r>
        <w:rPr/>
        <w:t>Katherina,</w:t>
      </w:r>
      <w:r>
        <w:rPr>
          <w:spacing w:val="-3"/>
        </w:rPr>
        <w:t> </w:t>
      </w:r>
      <w:r>
        <w:rPr/>
        <w:t>the</w:t>
      </w:r>
      <w:r>
        <w:rPr>
          <w:spacing w:val="-1"/>
        </w:rPr>
        <w:t> </w:t>
      </w:r>
      <w:r>
        <w:rPr/>
        <w:t>main</w:t>
      </w:r>
      <w:r>
        <w:rPr>
          <w:spacing w:val="-5"/>
        </w:rPr>
        <w:t> </w:t>
      </w:r>
      <w:r>
        <w:rPr/>
        <w:t>character in</w:t>
      </w:r>
      <w:r>
        <w:rPr>
          <w:spacing w:val="-5"/>
        </w:rPr>
        <w:t> </w:t>
      </w:r>
      <w:r>
        <w:rPr/>
        <w:t>Shakespeare’s</w:t>
      </w:r>
      <w:r>
        <w:rPr>
          <w:spacing w:val="-3"/>
        </w:rPr>
        <w:t> </w:t>
      </w:r>
      <w:r>
        <w:rPr/>
        <w:t>The</w:t>
      </w:r>
      <w:r>
        <w:rPr>
          <w:spacing w:val="-5"/>
        </w:rPr>
        <w:t> </w:t>
      </w:r>
      <w:r>
        <w:rPr/>
        <w:t>Taming</w:t>
      </w:r>
      <w:r>
        <w:rPr>
          <w:spacing w:val="-1"/>
        </w:rPr>
        <w:t> </w:t>
      </w:r>
      <w:r>
        <w:rPr/>
        <w:t>of</w:t>
      </w:r>
      <w:r>
        <w:rPr>
          <w:spacing w:val="-5"/>
        </w:rPr>
        <w:t> </w:t>
      </w:r>
      <w:r>
        <w:rPr/>
        <w:t>the Shrew</w:t>
      </w:r>
      <w:r>
        <w:rPr>
          <w:spacing w:val="-15"/>
        </w:rPr>
        <w:t> </w:t>
      </w:r>
      <w:r>
        <w:rPr/>
        <w:t>(1590s);</w:t>
      </w:r>
    </w:p>
    <w:p>
      <w:pPr>
        <w:pStyle w:val="BodyText"/>
        <w:spacing w:line="264" w:lineRule="auto" w:before="56"/>
        <w:ind w:right="1440" w:firstLine="432"/>
        <w:jc w:val="both"/>
      </w:pPr>
      <w:r>
        <w:rPr/>
        <w:t>Classical and postcolonial Indian novels influenced by the ideas</w:t>
      </w:r>
      <w:r>
        <w:rPr>
          <w:spacing w:val="40"/>
        </w:rPr>
        <w:t> </w:t>
      </w:r>
      <w:r>
        <w:rPr/>
        <w:t>of Mahatma Gandhi, such as</w:t>
      </w:r>
      <w:r>
        <w:rPr>
          <w:spacing w:val="-8"/>
        </w:rPr>
        <w:t> </w:t>
      </w:r>
      <w:r>
        <w:rPr/>
        <w:t>Anand’s Untouchable, Coolie, The Sword and the Sickle, Kanthapura, A Tiger for Malgudi, and Waiting for the </w:t>
      </w:r>
      <w:r>
        <w:rPr>
          <w:spacing w:val="-2"/>
        </w:rPr>
        <w:t>Mahatma.</w:t>
      </w:r>
    </w:p>
    <w:p>
      <w:pPr>
        <w:pStyle w:val="BodyText"/>
        <w:spacing w:line="264" w:lineRule="auto" w:before="56"/>
        <w:ind w:right="1438" w:firstLine="432"/>
        <w:jc w:val="both"/>
      </w:pPr>
      <w:r>
        <w:rPr/>
        <w:t>It is contend that both traditions portray women as sites of moral patriarchal control, even when they seem to give them agency in nationalist or masculine heroic storylines, by contrasting them under</w:t>
      </w:r>
      <w:r>
        <w:rPr>
          <w:spacing w:val="40"/>
        </w:rPr>
        <w:t> </w:t>
      </w:r>
      <w:r>
        <w:rPr/>
        <w:t>the</w:t>
      </w:r>
      <w:r>
        <w:rPr>
          <w:spacing w:val="40"/>
        </w:rPr>
        <w:t> </w:t>
      </w:r>
      <w:r>
        <w:rPr/>
        <w:t>headings</w:t>
      </w:r>
      <w:r>
        <w:rPr>
          <w:spacing w:val="40"/>
        </w:rPr>
        <w:t> </w:t>
      </w:r>
      <w:r>
        <w:rPr/>
        <w:t>of gender,</w:t>
      </w:r>
      <w:r>
        <w:rPr>
          <w:spacing w:val="40"/>
        </w:rPr>
        <w:t> </w:t>
      </w:r>
      <w:r>
        <w:rPr/>
        <w:t>power,</w:t>
      </w:r>
      <w:r>
        <w:rPr>
          <w:spacing w:val="40"/>
        </w:rPr>
        <w:t> </w:t>
      </w:r>
      <w:r>
        <w:rPr/>
        <w:t>and</w:t>
      </w:r>
      <w:r>
        <w:rPr>
          <w:spacing w:val="40"/>
        </w:rPr>
        <w:t> </w:t>
      </w:r>
      <w:r>
        <w:rPr/>
        <w:t>patriarchy.</w:t>
      </w:r>
    </w:p>
    <w:p>
      <w:pPr>
        <w:pStyle w:val="Heading3"/>
        <w:spacing w:before="149"/>
      </w:pPr>
      <w:r>
        <w:rPr>
          <w:w w:val="90"/>
        </w:rPr>
        <w:t>THE</w:t>
      </w:r>
      <w:r>
        <w:rPr/>
        <w:t> </w:t>
      </w:r>
      <w:r>
        <w:rPr>
          <w:w w:val="90"/>
        </w:rPr>
        <w:t>TAMING</w:t>
      </w:r>
      <w:r>
        <w:rPr>
          <w:spacing w:val="2"/>
        </w:rPr>
        <w:t> </w:t>
      </w:r>
      <w:r>
        <w:rPr>
          <w:w w:val="90"/>
        </w:rPr>
        <w:t>OF</w:t>
      </w:r>
      <w:r>
        <w:rPr/>
        <w:t> </w:t>
      </w:r>
      <w:r>
        <w:rPr>
          <w:w w:val="90"/>
        </w:rPr>
        <w:t>THE</w:t>
      </w:r>
      <w:r>
        <w:rPr>
          <w:spacing w:val="1"/>
        </w:rPr>
        <w:t> </w:t>
      </w:r>
      <w:r>
        <w:rPr>
          <w:spacing w:val="-2"/>
          <w:w w:val="90"/>
        </w:rPr>
        <w:t>SHREW:</w:t>
      </w:r>
    </w:p>
    <w:p>
      <w:pPr>
        <w:pStyle w:val="BodyText"/>
        <w:spacing w:line="264" w:lineRule="auto" w:before="90"/>
        <w:ind w:right="1440" w:firstLine="432"/>
        <w:jc w:val="both"/>
      </w:pPr>
      <w:r>
        <w:rPr/>
        <w:t>Katherina and the Patriarchy Katherina Minola is shown as the “shrew” of Padua in The Taming of the Shrew: she is sharp-tongued, defiant of masculine expectations, and refuses to fulfill the submissive roles</w:t>
      </w:r>
      <w:r>
        <w:rPr>
          <w:spacing w:val="-3"/>
        </w:rPr>
        <w:t> </w:t>
      </w:r>
      <w:r>
        <w:rPr/>
        <w:t>of</w:t>
      </w:r>
      <w:r>
        <w:rPr>
          <w:spacing w:val="-1"/>
        </w:rPr>
        <w:t> </w:t>
      </w:r>
      <w:r>
        <w:rPr/>
        <w:t>wife</w:t>
      </w:r>
      <w:r>
        <w:rPr>
          <w:spacing w:val="-3"/>
        </w:rPr>
        <w:t> </w:t>
      </w:r>
      <w:r>
        <w:rPr/>
        <w:t>and daughter</w:t>
      </w:r>
      <w:r>
        <w:rPr>
          <w:spacing w:val="-1"/>
        </w:rPr>
        <w:t> </w:t>
      </w:r>
      <w:r>
        <w:rPr/>
        <w:t>that</w:t>
      </w:r>
      <w:r>
        <w:rPr>
          <w:spacing w:val="-1"/>
        </w:rPr>
        <w:t> </w:t>
      </w:r>
      <w:r>
        <w:rPr/>
        <w:t>her father and society</w:t>
      </w:r>
      <w:r>
        <w:rPr>
          <w:spacing w:val="-3"/>
        </w:rPr>
        <w:t> </w:t>
      </w:r>
      <w:r>
        <w:rPr/>
        <w:t>expect</w:t>
      </w:r>
      <w:r>
        <w:rPr>
          <w:spacing w:val="-1"/>
        </w:rPr>
        <w:t> </w:t>
      </w:r>
      <w:r>
        <w:rPr/>
        <w:t>of</w:t>
      </w:r>
      <w:r>
        <w:rPr>
          <w:spacing w:val="-1"/>
        </w:rPr>
        <w:t> </w:t>
      </w:r>
      <w:r>
        <w:rPr/>
        <w:t>her.</w:t>
      </w:r>
      <w:r>
        <w:rPr>
          <w:spacing w:val="-1"/>
        </w:rPr>
        <w:t> </w:t>
      </w:r>
      <w:r>
        <w:rPr/>
        <w:t>Her </w:t>
      </w:r>
      <w:r>
        <w:rPr>
          <w:spacing w:val="-4"/>
        </w:rPr>
        <w:t>younger, “gentle” sister Bianca is publicly preferred by</w:t>
      </w:r>
      <w:r>
        <w:rPr>
          <w:spacing w:val="-9"/>
        </w:rPr>
        <w:t> </w:t>
      </w:r>
      <w:r>
        <w:rPr>
          <w:spacing w:val="-4"/>
        </w:rPr>
        <w:t>her father Baptista, </w:t>
      </w:r>
      <w:r>
        <w:rPr/>
        <w:t>a desire that reflects societal fear of women who refuse to be “tamed.” As the tool of this taming, Petruchio manipulates Katherina’s behavior through</w:t>
      </w:r>
      <w:r>
        <w:rPr>
          <w:spacing w:val="-10"/>
        </w:rPr>
        <w:t> </w:t>
      </w:r>
      <w:r>
        <w:rPr/>
        <w:t>starvation,</w:t>
      </w:r>
      <w:r>
        <w:rPr>
          <w:spacing w:val="-10"/>
        </w:rPr>
        <w:t> </w:t>
      </w:r>
      <w:r>
        <w:rPr/>
        <w:t>sleep</w:t>
      </w:r>
      <w:r>
        <w:rPr>
          <w:spacing w:val="-9"/>
        </w:rPr>
        <w:t> </w:t>
      </w:r>
      <w:r>
        <w:rPr/>
        <w:t>deprivation,</w:t>
      </w:r>
      <w:r>
        <w:rPr>
          <w:spacing w:val="-9"/>
        </w:rPr>
        <w:t> </w:t>
      </w:r>
      <w:r>
        <w:rPr/>
        <w:t>and</w:t>
      </w:r>
      <w:r>
        <w:rPr>
          <w:spacing w:val="-7"/>
        </w:rPr>
        <w:t> </w:t>
      </w:r>
      <w:r>
        <w:rPr/>
        <w:t>marital</w:t>
      </w:r>
      <w:r>
        <w:rPr>
          <w:spacing w:val="-10"/>
        </w:rPr>
        <w:t> </w:t>
      </w:r>
      <w:r>
        <w:rPr/>
        <w:t>theater,</w:t>
      </w:r>
      <w:r>
        <w:rPr>
          <w:spacing w:val="-10"/>
        </w:rPr>
        <w:t> </w:t>
      </w:r>
      <w:r>
        <w:rPr/>
        <w:t>culminating</w:t>
      </w:r>
      <w:r>
        <w:rPr>
          <w:spacing w:val="-10"/>
        </w:rPr>
        <w:t> </w:t>
      </w:r>
      <w:r>
        <w:rPr/>
        <w:t>in her well-known farewell speech on wifely obedience.</w:t>
      </w:r>
    </w:p>
    <w:p>
      <w:pPr>
        <w:pStyle w:val="Heading3"/>
        <w:spacing w:before="144"/>
      </w:pPr>
      <w:r>
        <w:rPr>
          <w:w w:val="90"/>
        </w:rPr>
        <w:t>THE</w:t>
      </w:r>
      <w:r>
        <w:rPr>
          <w:spacing w:val="-7"/>
          <w:w w:val="90"/>
        </w:rPr>
        <w:t> </w:t>
      </w:r>
      <w:r>
        <w:rPr>
          <w:w w:val="90"/>
        </w:rPr>
        <w:t>TAMING</w:t>
      </w:r>
      <w:r>
        <w:rPr>
          <w:spacing w:val="-3"/>
          <w:w w:val="90"/>
        </w:rPr>
        <w:t> </w:t>
      </w:r>
      <w:r>
        <w:rPr>
          <w:w w:val="90"/>
        </w:rPr>
        <w:t>OF</w:t>
      </w:r>
      <w:r>
        <w:rPr>
          <w:spacing w:val="-4"/>
          <w:w w:val="90"/>
        </w:rPr>
        <w:t> </w:t>
      </w:r>
      <w:r>
        <w:rPr>
          <w:w w:val="90"/>
        </w:rPr>
        <w:t>THE</w:t>
      </w:r>
      <w:r>
        <w:rPr>
          <w:spacing w:val="-4"/>
          <w:w w:val="90"/>
        </w:rPr>
        <w:t> </w:t>
      </w:r>
      <w:r>
        <w:rPr>
          <w:w w:val="90"/>
        </w:rPr>
        <w:t>SHREW</w:t>
      </w:r>
      <w:r>
        <w:rPr>
          <w:spacing w:val="-6"/>
          <w:w w:val="90"/>
        </w:rPr>
        <w:t> </w:t>
      </w:r>
      <w:r>
        <w:rPr>
          <w:spacing w:val="-2"/>
          <w:w w:val="90"/>
        </w:rPr>
        <w:t>(KATHERINA):</w:t>
      </w:r>
    </w:p>
    <w:p>
      <w:pPr>
        <w:pStyle w:val="BodyText"/>
        <w:spacing w:line="264" w:lineRule="auto" w:before="90"/>
        <w:ind w:right="1437" w:firstLine="432"/>
        <w:jc w:val="both"/>
      </w:pPr>
      <w:r>
        <w:rPr/>
        <w:t>Katherina’s final speech of wifely obedience - “Thy husband is</w:t>
      </w:r>
      <w:r>
        <w:rPr>
          <w:spacing w:val="40"/>
        </w:rPr>
        <w:t> </w:t>
      </w:r>
      <w:r>
        <w:rPr/>
        <w:t>thy lord, thy life, thy keeper…”- stages a central problem</w:t>
      </w:r>
      <w:r>
        <w:rPr>
          <w:spacing w:val="-1"/>
        </w:rPr>
        <w:t> </w:t>
      </w:r>
      <w:r>
        <w:rPr/>
        <w:t>of patriarchal consent: her words can be read as a coerced performance shaped by psychological pressure</w:t>
      </w:r>
      <w:r>
        <w:rPr>
          <w:spacing w:val="18"/>
        </w:rPr>
        <w:t> </w:t>
      </w:r>
      <w:r>
        <w:rPr/>
        <w:t>and</w:t>
      </w:r>
      <w:r>
        <w:rPr>
          <w:spacing w:val="21"/>
        </w:rPr>
        <w:t> </w:t>
      </w:r>
      <w:r>
        <w:rPr/>
        <w:t>material</w:t>
      </w:r>
      <w:r>
        <w:rPr>
          <w:spacing w:val="19"/>
        </w:rPr>
        <w:t> </w:t>
      </w:r>
      <w:r>
        <w:rPr/>
        <w:t>deprivation,</w:t>
      </w:r>
      <w:r>
        <w:rPr>
          <w:spacing w:val="19"/>
        </w:rPr>
        <w:t> </w:t>
      </w:r>
      <w:r>
        <w:rPr/>
        <w:t>yet</w:t>
      </w:r>
      <w:r>
        <w:rPr>
          <w:spacing w:val="19"/>
        </w:rPr>
        <w:t> </w:t>
      </w:r>
      <w:r>
        <w:rPr/>
        <w:t>they also</w:t>
      </w:r>
      <w:r>
        <w:rPr>
          <w:spacing w:val="19"/>
        </w:rPr>
        <w:t> </w:t>
      </w:r>
      <w:r>
        <w:rPr/>
        <w:t>display a rhetorical force that allows her to inhabit and subtly critique the very script</w:t>
      </w:r>
      <w:r>
        <w:rPr>
          <w:spacing w:val="40"/>
        </w:rPr>
        <w:t> </w:t>
      </w:r>
      <w:r>
        <w:rPr/>
        <w:t>of</w:t>
      </w:r>
      <w:r>
        <w:rPr>
          <w:spacing w:val="40"/>
        </w:rPr>
        <w:t> </w:t>
      </w:r>
      <w:r>
        <w:rPr/>
        <w:t>taming</w:t>
      </w:r>
      <w:r>
        <w:rPr>
          <w:spacing w:val="40"/>
        </w:rPr>
        <w:t> </w:t>
      </w:r>
      <w:r>
        <w:rPr/>
        <w:t>that</w:t>
      </w:r>
      <w:r>
        <w:rPr>
          <w:spacing w:val="40"/>
        </w:rPr>
        <w:t> </w:t>
      </w:r>
      <w:r>
        <w:rPr/>
        <w:t>the</w:t>
      </w:r>
      <w:r>
        <w:rPr>
          <w:spacing w:val="40"/>
        </w:rPr>
        <w:t> </w:t>
      </w:r>
      <w:r>
        <w:rPr/>
        <w:t>play</w:t>
      </w:r>
      <w:r>
        <w:rPr>
          <w:spacing w:val="40"/>
        </w:rPr>
        <w:t> </w:t>
      </w:r>
      <w:r>
        <w:rPr/>
        <w:t>demands.</w:t>
      </w:r>
    </w:p>
    <w:p>
      <w:pPr>
        <w:pStyle w:val="BodyText"/>
        <w:spacing w:after="0" w:line="264"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42304">
                <wp:simplePos x="0" y="0"/>
                <wp:positionH relativeFrom="page">
                  <wp:posOffset>2065020</wp:posOffset>
                </wp:positionH>
                <wp:positionV relativeFrom="paragraph">
                  <wp:posOffset>795020</wp:posOffset>
                </wp:positionV>
                <wp:extent cx="3657600" cy="12700"/>
                <wp:effectExtent l="0" t="0" r="0" b="0"/>
                <wp:wrapTopAndBottom/>
                <wp:docPr id="692" name="Graphic 692"/>
                <wp:cNvGraphicFramePr>
                  <a:graphicFrameLocks/>
                </wp:cNvGraphicFramePr>
                <a:graphic>
                  <a:graphicData uri="http://schemas.microsoft.com/office/word/2010/wordprocessingShape">
                    <wps:wsp>
                      <wps:cNvPr id="692" name="Graphic 69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74176;mso-wrap-distance-left:0;mso-wrap-distance-right:0" id="docshape684" filled="true" fillcolor="#000000" stroked="false">
                <v:fill type="solid"/>
                <w10:wrap type="topAndBottom"/>
              </v:rect>
            </w:pict>
          </mc:Fallback>
        </mc:AlternateContent>
      </w:r>
      <w:r>
        <w:rPr>
          <w:rFonts w:ascii="Verdana" w:hAnsi="Verdana"/>
          <w:sz w:val="18"/>
        </w:rPr>
        <w:t>“From</w:t>
      </w:r>
      <w:r>
        <w:rPr>
          <w:rFonts w:ascii="Verdana" w:hAnsi="Verdana"/>
          <w:spacing w:val="-12"/>
          <w:sz w:val="18"/>
        </w:rPr>
        <w:t> </w:t>
      </w:r>
      <w:r>
        <w:rPr>
          <w:rFonts w:ascii="Verdana" w:hAnsi="Verdana"/>
          <w:sz w:val="18"/>
        </w:rPr>
        <w:t>Katherina</w:t>
      </w:r>
      <w:r>
        <w:rPr>
          <w:rFonts w:ascii="Verdana" w:hAnsi="Verdana"/>
          <w:spacing w:val="-9"/>
          <w:sz w:val="18"/>
        </w:rPr>
        <w:t> </w:t>
      </w:r>
      <w:r>
        <w:rPr>
          <w:rFonts w:ascii="Verdana" w:hAnsi="Verdana"/>
          <w:sz w:val="18"/>
        </w:rPr>
        <w:t>to</w:t>
      </w:r>
      <w:r>
        <w:rPr>
          <w:rFonts w:ascii="Verdana" w:hAnsi="Verdana"/>
          <w:spacing w:val="-7"/>
          <w:sz w:val="18"/>
        </w:rPr>
        <w:t> </w:t>
      </w:r>
      <w:r>
        <w:rPr>
          <w:rFonts w:ascii="Verdana" w:hAnsi="Verdana"/>
          <w:sz w:val="18"/>
        </w:rPr>
        <w:t>Kanthapura:</w:t>
      </w:r>
      <w:r>
        <w:rPr>
          <w:rFonts w:ascii="Verdana" w:hAnsi="Verdana"/>
          <w:spacing w:val="-11"/>
          <w:sz w:val="18"/>
        </w:rPr>
        <w:t> </w:t>
      </w:r>
      <w:r>
        <w:rPr>
          <w:rFonts w:ascii="Verdana" w:hAnsi="Verdana"/>
          <w:sz w:val="18"/>
        </w:rPr>
        <w:t>Gender,</w:t>
      </w:r>
      <w:r>
        <w:rPr>
          <w:rFonts w:ascii="Verdana" w:hAnsi="Verdana"/>
          <w:spacing w:val="-10"/>
          <w:sz w:val="18"/>
        </w:rPr>
        <w:t> </w:t>
      </w:r>
      <w:r>
        <w:rPr>
          <w:rFonts w:ascii="Verdana" w:hAnsi="Verdana"/>
          <w:spacing w:val="-2"/>
          <w:sz w:val="18"/>
        </w:rPr>
        <w:t>Power...</w:t>
      </w:r>
      <w:r>
        <w:rPr>
          <w:sz w:val="18"/>
        </w:rPr>
        <w:tab/>
      </w:r>
      <w:r>
        <w:rPr>
          <w:rFonts w:ascii="Verdana" w:hAnsi="Verdana"/>
          <w:spacing w:val="-5"/>
          <w:sz w:val="18"/>
        </w:rPr>
        <w:t>341</w:t>
      </w:r>
    </w:p>
    <w:p>
      <w:pPr>
        <w:pStyle w:val="BodyText"/>
        <w:spacing w:line="249" w:lineRule="auto" w:before="192"/>
        <w:ind w:right="1438" w:firstLine="432"/>
        <w:jc w:val="both"/>
      </w:pPr>
      <w:r>
        <w:rPr/>
        <w:t>The play’s conservative message is validated by traditional interpretations</w:t>
      </w:r>
      <w:r>
        <w:rPr>
          <w:spacing w:val="-5"/>
        </w:rPr>
        <w:t> </w:t>
      </w:r>
      <w:r>
        <w:rPr/>
        <w:t>of</w:t>
      </w:r>
      <w:r>
        <w:rPr>
          <w:spacing w:val="-7"/>
        </w:rPr>
        <w:t> </w:t>
      </w:r>
      <w:r>
        <w:rPr/>
        <w:t>this</w:t>
      </w:r>
      <w:r>
        <w:rPr>
          <w:spacing w:val="-3"/>
        </w:rPr>
        <w:t> </w:t>
      </w:r>
      <w:r>
        <w:rPr/>
        <w:t>speech,</w:t>
      </w:r>
      <w:r>
        <w:rPr>
          <w:spacing w:val="-5"/>
        </w:rPr>
        <w:t> </w:t>
      </w:r>
      <w:r>
        <w:rPr/>
        <w:t>which</w:t>
      </w:r>
      <w:r>
        <w:rPr>
          <w:spacing w:val="-5"/>
        </w:rPr>
        <w:t> </w:t>
      </w:r>
      <w:r>
        <w:rPr/>
        <w:t>interpret</w:t>
      </w:r>
      <w:r>
        <w:rPr>
          <w:spacing w:val="-7"/>
        </w:rPr>
        <w:t> </w:t>
      </w:r>
      <w:r>
        <w:rPr/>
        <w:t>it</w:t>
      </w:r>
      <w:r>
        <w:rPr>
          <w:spacing w:val="-3"/>
        </w:rPr>
        <w:t> </w:t>
      </w:r>
      <w:r>
        <w:rPr/>
        <w:t>as</w:t>
      </w:r>
      <w:r>
        <w:rPr>
          <w:spacing w:val="-7"/>
        </w:rPr>
        <w:t> </w:t>
      </w:r>
      <w:r>
        <w:rPr/>
        <w:t>Katherina’s</w:t>
      </w:r>
      <w:r>
        <w:rPr>
          <w:spacing w:val="-5"/>
        </w:rPr>
        <w:t> </w:t>
      </w:r>
      <w:r>
        <w:rPr/>
        <w:t>complete obedience</w:t>
      </w:r>
      <w:r>
        <w:rPr>
          <w:spacing w:val="-11"/>
        </w:rPr>
        <w:t> </w:t>
      </w:r>
      <w:r>
        <w:rPr/>
        <w:t>to</w:t>
      </w:r>
      <w:r>
        <w:rPr>
          <w:spacing w:val="-9"/>
        </w:rPr>
        <w:t> </w:t>
      </w:r>
      <w:r>
        <w:rPr/>
        <w:t>patriarchal</w:t>
      </w:r>
      <w:r>
        <w:rPr>
          <w:spacing w:val="-11"/>
        </w:rPr>
        <w:t> </w:t>
      </w:r>
      <w:r>
        <w:rPr/>
        <w:t>standards.</w:t>
      </w:r>
      <w:r>
        <w:rPr>
          <w:spacing w:val="-11"/>
        </w:rPr>
        <w:t> </w:t>
      </w:r>
      <w:r>
        <w:rPr/>
        <w:t>However,</w:t>
      </w:r>
      <w:r>
        <w:rPr>
          <w:spacing w:val="-11"/>
        </w:rPr>
        <w:t> </w:t>
      </w:r>
      <w:r>
        <w:rPr/>
        <w:t>feminist</w:t>
      </w:r>
      <w:r>
        <w:rPr>
          <w:spacing w:val="-11"/>
        </w:rPr>
        <w:t> </w:t>
      </w:r>
      <w:r>
        <w:rPr/>
        <w:t>and</w:t>
      </w:r>
      <w:r>
        <w:rPr>
          <w:spacing w:val="-9"/>
        </w:rPr>
        <w:t> </w:t>
      </w:r>
      <w:r>
        <w:rPr/>
        <w:t>post-#MeToo </w:t>
      </w:r>
      <w:r>
        <w:rPr>
          <w:spacing w:val="-2"/>
        </w:rPr>
        <w:t>interpretations</w:t>
      </w:r>
      <w:r>
        <w:rPr>
          <w:spacing w:val="-6"/>
        </w:rPr>
        <w:t> </w:t>
      </w:r>
      <w:r>
        <w:rPr>
          <w:spacing w:val="-2"/>
        </w:rPr>
        <w:t>complicate</w:t>
      </w:r>
      <w:r>
        <w:rPr>
          <w:spacing w:val="-9"/>
        </w:rPr>
        <w:t> </w:t>
      </w:r>
      <w:r>
        <w:rPr>
          <w:spacing w:val="-2"/>
        </w:rPr>
        <w:t>this:</w:t>
      </w:r>
      <w:r>
        <w:rPr>
          <w:spacing w:val="-6"/>
        </w:rPr>
        <w:t> </w:t>
      </w:r>
      <w:r>
        <w:rPr>
          <w:spacing w:val="-2"/>
        </w:rPr>
        <w:t>some</w:t>
      </w:r>
      <w:r>
        <w:rPr>
          <w:spacing w:val="-9"/>
        </w:rPr>
        <w:t> </w:t>
      </w:r>
      <w:r>
        <w:rPr>
          <w:spacing w:val="-2"/>
        </w:rPr>
        <w:t>interpret</w:t>
      </w:r>
      <w:r>
        <w:rPr>
          <w:spacing w:val="-6"/>
        </w:rPr>
        <w:t> </w:t>
      </w:r>
      <w:r>
        <w:rPr>
          <w:spacing w:val="-2"/>
        </w:rPr>
        <w:t>the</w:t>
      </w:r>
      <w:r>
        <w:rPr>
          <w:spacing w:val="-9"/>
        </w:rPr>
        <w:t> </w:t>
      </w:r>
      <w:r>
        <w:rPr>
          <w:spacing w:val="-2"/>
        </w:rPr>
        <w:t>statement</w:t>
      </w:r>
      <w:r>
        <w:rPr>
          <w:spacing w:val="-4"/>
        </w:rPr>
        <w:t> </w:t>
      </w:r>
      <w:r>
        <w:rPr>
          <w:spacing w:val="-2"/>
        </w:rPr>
        <w:t>as</w:t>
      </w:r>
      <w:r>
        <w:rPr>
          <w:spacing w:val="-6"/>
        </w:rPr>
        <w:t> </w:t>
      </w:r>
      <w:r>
        <w:rPr>
          <w:spacing w:val="-2"/>
        </w:rPr>
        <w:t>humorous, </w:t>
      </w:r>
      <w:r>
        <w:rPr/>
        <w:t>executed pragmatically within a coercive framework; others interpret it as an example of instrumental consent, in which a woman seems to choose</w:t>
      </w:r>
      <w:r>
        <w:rPr>
          <w:spacing w:val="40"/>
        </w:rPr>
        <w:t> </w:t>
      </w:r>
      <w:r>
        <w:rPr/>
        <w:t>compliance</w:t>
      </w:r>
      <w:r>
        <w:rPr>
          <w:spacing w:val="40"/>
        </w:rPr>
        <w:t> </w:t>
      </w:r>
      <w:r>
        <w:rPr/>
        <w:t>while</w:t>
      </w:r>
      <w:r>
        <w:rPr>
          <w:spacing w:val="40"/>
        </w:rPr>
        <w:t> </w:t>
      </w:r>
      <w:r>
        <w:rPr/>
        <w:t>yet</w:t>
      </w:r>
      <w:r>
        <w:rPr>
          <w:spacing w:val="40"/>
        </w:rPr>
        <w:t> </w:t>
      </w:r>
      <w:r>
        <w:rPr/>
        <w:t>harboring</w:t>
      </w:r>
      <w:r>
        <w:rPr>
          <w:spacing w:val="40"/>
        </w:rPr>
        <w:t> </w:t>
      </w:r>
      <w:r>
        <w:rPr/>
        <w:t>internal</w:t>
      </w:r>
      <w:r>
        <w:rPr>
          <w:spacing w:val="40"/>
        </w:rPr>
        <w:t> </w:t>
      </w:r>
      <w:r>
        <w:rPr/>
        <w:t>resistance.</w:t>
      </w:r>
    </w:p>
    <w:p>
      <w:pPr>
        <w:pStyle w:val="BodyText"/>
        <w:spacing w:before="64"/>
        <w:ind w:left="1872"/>
        <w:jc w:val="both"/>
      </w:pPr>
      <w:r>
        <w:rPr/>
        <w:t>In</w:t>
      </w:r>
      <w:r>
        <w:rPr>
          <w:spacing w:val="22"/>
        </w:rPr>
        <w:t> </w:t>
      </w:r>
      <w:r>
        <w:rPr/>
        <w:t>the</w:t>
      </w:r>
      <w:r>
        <w:rPr>
          <w:spacing w:val="22"/>
        </w:rPr>
        <w:t> </w:t>
      </w:r>
      <w:r>
        <w:rPr/>
        <w:t>backdrop</w:t>
      </w:r>
      <w:r>
        <w:rPr>
          <w:spacing w:val="25"/>
        </w:rPr>
        <w:t> </w:t>
      </w:r>
      <w:r>
        <w:rPr/>
        <w:t>of</w:t>
      </w:r>
      <w:r>
        <w:rPr>
          <w:spacing w:val="20"/>
        </w:rPr>
        <w:t> </w:t>
      </w:r>
      <w:r>
        <w:rPr/>
        <w:t>#MeToo,</w:t>
      </w:r>
      <w:r>
        <w:rPr>
          <w:spacing w:val="23"/>
        </w:rPr>
        <w:t> </w:t>
      </w:r>
      <w:r>
        <w:rPr/>
        <w:t>Katherina’s</w:t>
      </w:r>
      <w:r>
        <w:rPr>
          <w:spacing w:val="22"/>
        </w:rPr>
        <w:t> </w:t>
      </w:r>
      <w:r>
        <w:rPr/>
        <w:t>path</w:t>
      </w:r>
      <w:r>
        <w:rPr>
          <w:spacing w:val="23"/>
        </w:rPr>
        <w:t> </w:t>
      </w:r>
      <w:r>
        <w:rPr/>
        <w:t>raises</w:t>
      </w:r>
      <w:r>
        <w:rPr>
          <w:spacing w:val="20"/>
        </w:rPr>
        <w:t> </w:t>
      </w:r>
      <w:r>
        <w:rPr/>
        <w:t>issues</w:t>
      </w:r>
      <w:r>
        <w:rPr>
          <w:spacing w:val="22"/>
        </w:rPr>
        <w:t> </w:t>
      </w:r>
      <w:r>
        <w:rPr>
          <w:spacing w:val="-2"/>
        </w:rPr>
        <w:t>like:</w:t>
      </w:r>
    </w:p>
    <w:p>
      <w:pPr>
        <w:pStyle w:val="ListParagraph"/>
        <w:numPr>
          <w:ilvl w:val="0"/>
          <w:numId w:val="72"/>
        </w:numPr>
        <w:tabs>
          <w:tab w:pos="2160" w:val="left" w:leader="none"/>
        </w:tabs>
        <w:spacing w:line="261" w:lineRule="auto" w:before="74" w:after="0"/>
        <w:ind w:left="2160" w:right="1441" w:hanging="240"/>
        <w:jc w:val="both"/>
        <w:rPr>
          <w:sz w:val="20"/>
        </w:rPr>
      </w:pPr>
      <w:r>
        <w:rPr>
          <w:spacing w:val="-2"/>
          <w:sz w:val="20"/>
        </w:rPr>
        <w:t>How</w:t>
      </w:r>
      <w:r>
        <w:rPr>
          <w:spacing w:val="-11"/>
          <w:sz w:val="20"/>
        </w:rPr>
        <w:t> </w:t>
      </w:r>
      <w:r>
        <w:rPr>
          <w:spacing w:val="-2"/>
          <w:sz w:val="20"/>
        </w:rPr>
        <w:t>much</w:t>
      </w:r>
      <w:r>
        <w:rPr>
          <w:spacing w:val="-9"/>
          <w:sz w:val="20"/>
        </w:rPr>
        <w:t> </w:t>
      </w:r>
      <w:r>
        <w:rPr>
          <w:spacing w:val="-2"/>
          <w:sz w:val="20"/>
        </w:rPr>
        <w:t>of</w:t>
      </w:r>
      <w:r>
        <w:rPr>
          <w:spacing w:val="-11"/>
          <w:sz w:val="20"/>
        </w:rPr>
        <w:t> </w:t>
      </w:r>
      <w:r>
        <w:rPr>
          <w:spacing w:val="-2"/>
          <w:sz w:val="20"/>
        </w:rPr>
        <w:t>her</w:t>
      </w:r>
      <w:r>
        <w:rPr>
          <w:spacing w:val="-6"/>
          <w:sz w:val="20"/>
        </w:rPr>
        <w:t> </w:t>
      </w:r>
      <w:r>
        <w:rPr>
          <w:spacing w:val="-2"/>
          <w:sz w:val="20"/>
        </w:rPr>
        <w:t>“taming”</w:t>
      </w:r>
      <w:r>
        <w:rPr>
          <w:spacing w:val="-9"/>
          <w:sz w:val="20"/>
        </w:rPr>
        <w:t> </w:t>
      </w:r>
      <w:r>
        <w:rPr>
          <w:spacing w:val="-2"/>
          <w:sz w:val="20"/>
        </w:rPr>
        <w:t>is</w:t>
      </w:r>
      <w:r>
        <w:rPr>
          <w:spacing w:val="-9"/>
          <w:sz w:val="20"/>
        </w:rPr>
        <w:t> </w:t>
      </w:r>
      <w:r>
        <w:rPr>
          <w:spacing w:val="-2"/>
          <w:sz w:val="20"/>
        </w:rPr>
        <w:t>psychological</w:t>
      </w:r>
      <w:r>
        <w:rPr>
          <w:spacing w:val="-10"/>
          <w:sz w:val="20"/>
        </w:rPr>
        <w:t> </w:t>
      </w:r>
      <w:r>
        <w:rPr>
          <w:spacing w:val="-2"/>
          <w:sz w:val="20"/>
        </w:rPr>
        <w:t>pressure</w:t>
      </w:r>
      <w:r>
        <w:rPr>
          <w:spacing w:val="-7"/>
          <w:sz w:val="20"/>
        </w:rPr>
        <w:t> </w:t>
      </w:r>
      <w:r>
        <w:rPr>
          <w:spacing w:val="-2"/>
          <w:sz w:val="20"/>
        </w:rPr>
        <w:t>as</w:t>
      </w:r>
      <w:r>
        <w:rPr>
          <w:spacing w:val="-9"/>
          <w:sz w:val="20"/>
        </w:rPr>
        <w:t> </w:t>
      </w:r>
      <w:r>
        <w:rPr>
          <w:spacing w:val="-2"/>
          <w:sz w:val="20"/>
        </w:rPr>
        <w:t>opposed </w:t>
      </w:r>
      <w:r>
        <w:rPr>
          <w:sz w:val="20"/>
        </w:rPr>
        <w:t>to</w:t>
      </w:r>
      <w:r>
        <w:rPr>
          <w:spacing w:val="40"/>
          <w:sz w:val="20"/>
        </w:rPr>
        <w:t> </w:t>
      </w:r>
      <w:r>
        <w:rPr>
          <w:sz w:val="20"/>
        </w:rPr>
        <w:t>love</w:t>
      </w:r>
      <w:r>
        <w:rPr>
          <w:spacing w:val="40"/>
          <w:sz w:val="20"/>
        </w:rPr>
        <w:t> </w:t>
      </w:r>
      <w:r>
        <w:rPr>
          <w:sz w:val="20"/>
        </w:rPr>
        <w:t>or</w:t>
      </w:r>
      <w:r>
        <w:rPr>
          <w:spacing w:val="40"/>
          <w:sz w:val="20"/>
        </w:rPr>
        <w:t> </w:t>
      </w:r>
      <w:r>
        <w:rPr>
          <w:sz w:val="20"/>
        </w:rPr>
        <w:t>education?</w:t>
      </w:r>
    </w:p>
    <w:p>
      <w:pPr>
        <w:pStyle w:val="ListParagraph"/>
        <w:numPr>
          <w:ilvl w:val="0"/>
          <w:numId w:val="72"/>
        </w:numPr>
        <w:tabs>
          <w:tab w:pos="2160" w:val="left" w:leader="none"/>
        </w:tabs>
        <w:spacing w:line="261" w:lineRule="auto" w:before="58" w:after="0"/>
        <w:ind w:left="2160" w:right="1441" w:hanging="240"/>
        <w:jc w:val="both"/>
        <w:rPr>
          <w:sz w:val="20"/>
        </w:rPr>
      </w:pPr>
      <w:r>
        <w:rPr>
          <w:sz w:val="20"/>
        </w:rPr>
        <w:t>How is female speech framed in the play—as a performative tool</w:t>
      </w:r>
      <w:r>
        <w:rPr>
          <w:spacing w:val="40"/>
          <w:sz w:val="20"/>
        </w:rPr>
        <w:t> </w:t>
      </w:r>
      <w:r>
        <w:rPr>
          <w:sz w:val="20"/>
        </w:rPr>
        <w:t>that</w:t>
      </w:r>
      <w:r>
        <w:rPr>
          <w:spacing w:val="40"/>
          <w:sz w:val="20"/>
        </w:rPr>
        <w:t> </w:t>
      </w:r>
      <w:r>
        <w:rPr>
          <w:sz w:val="20"/>
        </w:rPr>
        <w:t>may</w:t>
      </w:r>
      <w:r>
        <w:rPr>
          <w:spacing w:val="40"/>
          <w:sz w:val="20"/>
        </w:rPr>
        <w:t> </w:t>
      </w:r>
      <w:r>
        <w:rPr>
          <w:sz w:val="20"/>
        </w:rPr>
        <w:t>be</w:t>
      </w:r>
      <w:r>
        <w:rPr>
          <w:spacing w:val="40"/>
          <w:sz w:val="20"/>
        </w:rPr>
        <w:t> </w:t>
      </w:r>
      <w:r>
        <w:rPr>
          <w:sz w:val="20"/>
        </w:rPr>
        <w:t>used</w:t>
      </w:r>
      <w:r>
        <w:rPr>
          <w:spacing w:val="40"/>
          <w:sz w:val="20"/>
        </w:rPr>
        <w:t> </w:t>
      </w:r>
      <w:r>
        <w:rPr>
          <w:sz w:val="20"/>
        </w:rPr>
        <w:t>for</w:t>
      </w:r>
    </w:p>
    <w:p>
      <w:pPr>
        <w:pStyle w:val="BodyText"/>
        <w:spacing w:before="48"/>
        <w:ind w:left="1872"/>
        <w:jc w:val="both"/>
      </w:pPr>
      <w:r>
        <w:rPr/>
        <w:t>patriarchal</w:t>
      </w:r>
      <w:r>
        <w:rPr>
          <w:spacing w:val="21"/>
        </w:rPr>
        <w:t> </w:t>
      </w:r>
      <w:r>
        <w:rPr/>
        <w:t>service,</w:t>
      </w:r>
      <w:r>
        <w:rPr>
          <w:spacing w:val="26"/>
        </w:rPr>
        <w:t> </w:t>
      </w:r>
      <w:r>
        <w:rPr/>
        <w:t>as</w:t>
      </w:r>
      <w:r>
        <w:rPr>
          <w:spacing w:val="22"/>
        </w:rPr>
        <w:t> </w:t>
      </w:r>
      <w:r>
        <w:rPr/>
        <w:t>a</w:t>
      </w:r>
      <w:r>
        <w:rPr>
          <w:spacing w:val="27"/>
        </w:rPr>
        <w:t> </w:t>
      </w:r>
      <w:r>
        <w:rPr/>
        <w:t>threat,</w:t>
      </w:r>
      <w:r>
        <w:rPr>
          <w:spacing w:val="23"/>
        </w:rPr>
        <w:t> </w:t>
      </w:r>
      <w:r>
        <w:rPr/>
        <w:t>or</w:t>
      </w:r>
      <w:r>
        <w:rPr>
          <w:spacing w:val="26"/>
        </w:rPr>
        <w:t> </w:t>
      </w:r>
      <w:r>
        <w:rPr/>
        <w:t>as</w:t>
      </w:r>
      <w:r>
        <w:rPr>
          <w:spacing w:val="22"/>
        </w:rPr>
        <w:t> </w:t>
      </w:r>
      <w:r>
        <w:rPr>
          <w:spacing w:val="-2"/>
        </w:rPr>
        <w:t>disorder?</w:t>
      </w:r>
    </w:p>
    <w:p>
      <w:pPr>
        <w:pStyle w:val="BodyText"/>
        <w:spacing w:line="249" w:lineRule="auto" w:before="68"/>
        <w:ind w:right="1436" w:firstLine="432"/>
        <w:jc w:val="both"/>
      </w:pPr>
      <w:r>
        <w:rPr/>
        <w:t>These inquiries set the stage for a comparative analysis of how Gandhian-influenced postcolonial Indian fiction similarly reframes women’s</w:t>
      </w:r>
      <w:r>
        <w:rPr>
          <w:spacing w:val="40"/>
        </w:rPr>
        <w:t> </w:t>
      </w:r>
      <w:r>
        <w:rPr/>
        <w:t>agency into</w:t>
      </w:r>
      <w:r>
        <w:rPr>
          <w:spacing w:val="40"/>
        </w:rPr>
        <w:t> </w:t>
      </w:r>
      <w:r>
        <w:rPr/>
        <w:t>moral nationalist</w:t>
      </w:r>
      <w:r>
        <w:rPr>
          <w:spacing w:val="40"/>
        </w:rPr>
        <w:t> </w:t>
      </w:r>
      <w:r>
        <w:rPr/>
        <w:t>narratives.</w:t>
      </w:r>
    </w:p>
    <w:p>
      <w:pPr>
        <w:pStyle w:val="Heading3"/>
        <w:spacing w:before="158"/>
        <w:ind w:right="1437"/>
      </w:pPr>
      <w:r>
        <w:rPr>
          <w:spacing w:val="-8"/>
        </w:rPr>
        <w:t>GENDER</w:t>
      </w:r>
      <w:r>
        <w:rPr>
          <w:spacing w:val="2"/>
        </w:rPr>
        <w:t> </w:t>
      </w:r>
      <w:r>
        <w:rPr>
          <w:spacing w:val="-8"/>
        </w:rPr>
        <w:t>AND</w:t>
      </w:r>
      <w:r>
        <w:rPr>
          <w:spacing w:val="2"/>
        </w:rPr>
        <w:t> </w:t>
      </w:r>
      <w:r>
        <w:rPr>
          <w:spacing w:val="-8"/>
        </w:rPr>
        <w:t>GANDHIAN</w:t>
      </w:r>
      <w:r>
        <w:rPr>
          <w:spacing w:val="3"/>
        </w:rPr>
        <w:t> </w:t>
      </w:r>
      <w:r>
        <w:rPr>
          <w:spacing w:val="-8"/>
        </w:rPr>
        <w:t>THOUGHT</w:t>
      </w:r>
      <w:r>
        <w:rPr>
          <w:spacing w:val="1"/>
        </w:rPr>
        <w:t> </w:t>
      </w:r>
      <w:r>
        <w:rPr>
          <w:spacing w:val="-8"/>
        </w:rPr>
        <w:t>IN</w:t>
      </w:r>
      <w:r>
        <w:rPr>
          <w:spacing w:val="4"/>
        </w:rPr>
        <w:t> </w:t>
      </w:r>
      <w:r>
        <w:rPr>
          <w:spacing w:val="-8"/>
        </w:rPr>
        <w:t>THE</w:t>
      </w:r>
      <w:r>
        <w:rPr>
          <w:spacing w:val="2"/>
        </w:rPr>
        <w:t> </w:t>
      </w:r>
      <w:r>
        <w:rPr>
          <w:spacing w:val="-8"/>
        </w:rPr>
        <w:t>INDIAN </w:t>
      </w:r>
      <w:r>
        <w:rPr>
          <w:spacing w:val="-2"/>
        </w:rPr>
        <w:t>NOVEL:</w:t>
      </w:r>
    </w:p>
    <w:p>
      <w:pPr>
        <w:pStyle w:val="BodyText"/>
        <w:spacing w:line="249" w:lineRule="auto" w:before="74"/>
        <w:ind w:right="1436" w:firstLine="432"/>
        <w:jc w:val="both"/>
      </w:pPr>
      <w:r>
        <w:rPr/>
        <w:t>Indian writing from the middle of the 20th century was greatly impacted by Mahatma Gandhi’s ideas of satyagraha, nonviolence, and moral</w:t>
      </w:r>
      <w:r>
        <w:rPr>
          <w:spacing w:val="-13"/>
        </w:rPr>
        <w:t> </w:t>
      </w:r>
      <w:r>
        <w:rPr/>
        <w:t>elevation.</w:t>
      </w:r>
      <w:r>
        <w:rPr>
          <w:spacing w:val="-12"/>
        </w:rPr>
        <w:t> </w:t>
      </w:r>
      <w:r>
        <w:rPr/>
        <w:t>Gandhian</w:t>
      </w:r>
      <w:r>
        <w:rPr>
          <w:spacing w:val="-13"/>
        </w:rPr>
        <w:t> </w:t>
      </w:r>
      <w:r>
        <w:rPr/>
        <w:t>ideals</w:t>
      </w:r>
      <w:r>
        <w:rPr>
          <w:spacing w:val="-12"/>
        </w:rPr>
        <w:t> </w:t>
      </w:r>
      <w:r>
        <w:rPr/>
        <w:t>are</w:t>
      </w:r>
      <w:r>
        <w:rPr>
          <w:spacing w:val="-13"/>
        </w:rPr>
        <w:t> </w:t>
      </w:r>
      <w:r>
        <w:rPr/>
        <w:t>portrayed</w:t>
      </w:r>
      <w:r>
        <w:rPr>
          <w:spacing w:val="-12"/>
        </w:rPr>
        <w:t> </w:t>
      </w:r>
      <w:r>
        <w:rPr/>
        <w:t>through</w:t>
      </w:r>
      <w:r>
        <w:rPr>
          <w:spacing w:val="-13"/>
        </w:rPr>
        <w:t> </w:t>
      </w:r>
      <w:r>
        <w:rPr/>
        <w:t>village</w:t>
      </w:r>
      <w:r>
        <w:rPr>
          <w:spacing w:val="-12"/>
        </w:rPr>
        <w:t> </w:t>
      </w:r>
      <w:r>
        <w:rPr/>
        <w:t>uprisings, caste criticism, and the quest for a “new” India in works such as Raja Rao’s Kanthapura (1938), R.K. Narayan’s A Tiger for Malgudi and </w:t>
      </w:r>
      <w:r>
        <w:rPr>
          <w:spacing w:val="-2"/>
        </w:rPr>
        <w:t>Waiting</w:t>
      </w:r>
      <w:r>
        <w:rPr>
          <w:spacing w:val="-11"/>
        </w:rPr>
        <w:t> </w:t>
      </w:r>
      <w:r>
        <w:rPr>
          <w:spacing w:val="-2"/>
        </w:rPr>
        <w:t>for</w:t>
      </w:r>
      <w:r>
        <w:rPr>
          <w:spacing w:val="-6"/>
        </w:rPr>
        <w:t> </w:t>
      </w:r>
      <w:r>
        <w:rPr>
          <w:spacing w:val="-2"/>
        </w:rPr>
        <w:t>the</w:t>
      </w:r>
      <w:r>
        <w:rPr>
          <w:spacing w:val="-7"/>
        </w:rPr>
        <w:t> </w:t>
      </w:r>
      <w:r>
        <w:rPr>
          <w:spacing w:val="-2"/>
        </w:rPr>
        <w:t>Mahatma</w:t>
      </w:r>
      <w:r>
        <w:rPr>
          <w:spacing w:val="-6"/>
        </w:rPr>
        <w:t> </w:t>
      </w:r>
      <w:r>
        <w:rPr>
          <w:spacing w:val="-2"/>
        </w:rPr>
        <w:t>(1955),</w:t>
      </w:r>
      <w:r>
        <w:rPr>
          <w:spacing w:val="-7"/>
        </w:rPr>
        <w:t> </w:t>
      </w:r>
      <w:r>
        <w:rPr>
          <w:spacing w:val="-2"/>
        </w:rPr>
        <w:t>Mulk</w:t>
      </w:r>
      <w:r>
        <w:rPr>
          <w:spacing w:val="-7"/>
        </w:rPr>
        <w:t> </w:t>
      </w:r>
      <w:r>
        <w:rPr>
          <w:spacing w:val="-2"/>
        </w:rPr>
        <w:t>Raj</w:t>
      </w:r>
      <w:r>
        <w:rPr>
          <w:spacing w:val="-11"/>
        </w:rPr>
        <w:t> </w:t>
      </w:r>
      <w:r>
        <w:rPr>
          <w:spacing w:val="-2"/>
        </w:rPr>
        <w:t>Anand’s</w:t>
      </w:r>
      <w:r>
        <w:rPr>
          <w:spacing w:val="-6"/>
        </w:rPr>
        <w:t> </w:t>
      </w:r>
      <w:r>
        <w:rPr>
          <w:spacing w:val="-2"/>
        </w:rPr>
        <w:t>Untouchable</w:t>
      </w:r>
      <w:r>
        <w:rPr>
          <w:spacing w:val="-6"/>
        </w:rPr>
        <w:t> </w:t>
      </w:r>
      <w:r>
        <w:rPr>
          <w:spacing w:val="-2"/>
        </w:rPr>
        <w:t>(1935), </w:t>
      </w:r>
      <w:r>
        <w:rPr/>
        <w:t>Coolie (1936), and The Sword and the Sickle (1942).</w:t>
      </w:r>
    </w:p>
    <w:p>
      <w:pPr>
        <w:pStyle w:val="BodyText"/>
        <w:spacing w:line="249" w:lineRule="auto" w:before="63"/>
        <w:ind w:right="1440" w:firstLine="432"/>
        <w:jc w:val="both"/>
      </w:pPr>
      <w:r>
        <w:rPr/>
        <w:t>These writings do, however, also include strongly gendered </w:t>
      </w:r>
      <w:r>
        <w:rPr>
          <w:spacing w:val="-2"/>
        </w:rPr>
        <w:t>expectations.</w:t>
      </w:r>
    </w:p>
    <w:p>
      <w:pPr>
        <w:pStyle w:val="Heading3"/>
        <w:spacing w:before="155"/>
      </w:pPr>
      <w:r>
        <w:rPr>
          <w:w w:val="90"/>
        </w:rPr>
        <w:t>KANTHAPURA</w:t>
      </w:r>
      <w:r>
        <w:rPr>
          <w:spacing w:val="22"/>
        </w:rPr>
        <w:t> </w:t>
      </w:r>
      <w:r>
        <w:rPr>
          <w:w w:val="90"/>
        </w:rPr>
        <w:t>(RAJA</w:t>
      </w:r>
      <w:r>
        <w:rPr>
          <w:spacing w:val="22"/>
        </w:rPr>
        <w:t> </w:t>
      </w:r>
      <w:r>
        <w:rPr>
          <w:spacing w:val="-2"/>
          <w:w w:val="90"/>
        </w:rPr>
        <w:t>RAO):</w:t>
      </w:r>
    </w:p>
    <w:p>
      <w:pPr>
        <w:pStyle w:val="BodyText"/>
        <w:spacing w:line="249" w:lineRule="auto" w:before="76"/>
        <w:ind w:right="1438" w:firstLine="432"/>
        <w:jc w:val="both"/>
      </w:pPr>
      <w:r>
        <w:rPr/>
        <w:t>The</w:t>
      </w:r>
      <w:r>
        <w:rPr>
          <w:spacing w:val="-2"/>
        </w:rPr>
        <w:t> </w:t>
      </w:r>
      <w:r>
        <w:rPr/>
        <w:t>women</w:t>
      </w:r>
      <w:r>
        <w:rPr>
          <w:spacing w:val="-5"/>
        </w:rPr>
        <w:t> </w:t>
      </w:r>
      <w:r>
        <w:rPr/>
        <w:t>of</w:t>
      </w:r>
      <w:r>
        <w:rPr>
          <w:spacing w:val="-5"/>
        </w:rPr>
        <w:t> </w:t>
      </w:r>
      <w:r>
        <w:rPr/>
        <w:t>Kanthapura,</w:t>
      </w:r>
      <w:r>
        <w:rPr>
          <w:spacing w:val="-3"/>
        </w:rPr>
        <w:t> </w:t>
      </w:r>
      <w:r>
        <w:rPr/>
        <w:t>such</w:t>
      </w:r>
      <w:r>
        <w:rPr>
          <w:spacing w:val="-3"/>
        </w:rPr>
        <w:t> </w:t>
      </w:r>
      <w:r>
        <w:rPr/>
        <w:t>as</w:t>
      </w:r>
      <w:r>
        <w:rPr>
          <w:spacing w:val="-5"/>
        </w:rPr>
        <w:t> </w:t>
      </w:r>
      <w:r>
        <w:rPr/>
        <w:t>the</w:t>
      </w:r>
      <w:r>
        <w:rPr>
          <w:spacing w:val="-3"/>
        </w:rPr>
        <w:t> </w:t>
      </w:r>
      <w:r>
        <w:rPr/>
        <w:t>elderly</w:t>
      </w:r>
      <w:r>
        <w:rPr>
          <w:spacing w:val="-6"/>
        </w:rPr>
        <w:t> </w:t>
      </w:r>
      <w:r>
        <w:rPr/>
        <w:t>activist</w:t>
      </w:r>
      <w:r>
        <w:rPr>
          <w:spacing w:val="-3"/>
        </w:rPr>
        <w:t> </w:t>
      </w:r>
      <w:r>
        <w:rPr/>
        <w:t>Rangamma and the village widows, are mobilised into Gandhi inspired satyagraha, yet their public roles are largely framed as extensions of domestic and spiritual</w:t>
      </w:r>
      <w:r>
        <w:rPr>
          <w:spacing w:val="-3"/>
        </w:rPr>
        <w:t> </w:t>
      </w:r>
      <w:r>
        <w:rPr/>
        <w:t>service;</w:t>
      </w:r>
      <w:r>
        <w:rPr>
          <w:spacing w:val="-2"/>
        </w:rPr>
        <w:t> </w:t>
      </w:r>
      <w:r>
        <w:rPr/>
        <w:t>their</w:t>
      </w:r>
      <w:r>
        <w:rPr>
          <w:spacing w:val="-3"/>
        </w:rPr>
        <w:t> </w:t>
      </w:r>
      <w:r>
        <w:rPr/>
        <w:t>fasting,</w:t>
      </w:r>
      <w:r>
        <w:rPr>
          <w:spacing w:val="-3"/>
        </w:rPr>
        <w:t> </w:t>
      </w:r>
      <w:r>
        <w:rPr/>
        <w:t>marching,</w:t>
      </w:r>
      <w:r>
        <w:rPr>
          <w:spacing w:val="-1"/>
        </w:rPr>
        <w:t> </w:t>
      </w:r>
      <w:r>
        <w:rPr/>
        <w:t>and</w:t>
      </w:r>
      <w:r>
        <w:rPr>
          <w:spacing w:val="-1"/>
        </w:rPr>
        <w:t> </w:t>
      </w:r>
      <w:r>
        <w:rPr/>
        <w:t>suffering</w:t>
      </w:r>
      <w:r>
        <w:rPr>
          <w:spacing w:val="-3"/>
        </w:rPr>
        <w:t> </w:t>
      </w:r>
      <w:r>
        <w:rPr/>
        <w:t>are</w:t>
      </w:r>
      <w:r>
        <w:rPr>
          <w:spacing w:val="-1"/>
        </w:rPr>
        <w:t> </w:t>
      </w:r>
      <w:r>
        <w:rPr/>
        <w:t>celebrated</w:t>
      </w:r>
      <w:r>
        <w:rPr>
          <w:spacing w:val="-3"/>
        </w:rPr>
        <w:t> </w:t>
      </w:r>
      <w:r>
        <w:rPr/>
        <w:t>as moral national sacrifice, even as the novel stops short of granting them full</w:t>
      </w:r>
      <w:r>
        <w:rPr>
          <w:spacing w:val="40"/>
        </w:rPr>
        <w:t> </w:t>
      </w:r>
      <w:r>
        <w:rPr/>
        <w:t>political</w:t>
      </w:r>
      <w:r>
        <w:rPr>
          <w:spacing w:val="40"/>
        </w:rPr>
        <w:t> </w:t>
      </w:r>
      <w:r>
        <w:rPr/>
        <w:t>authorship</w:t>
      </w:r>
      <w:r>
        <w:rPr>
          <w:spacing w:val="40"/>
        </w:rPr>
        <w:t> </w:t>
      </w:r>
      <w:r>
        <w:rPr/>
        <w:t>or</w:t>
      </w:r>
      <w:r>
        <w:rPr>
          <w:spacing w:val="40"/>
        </w:rPr>
        <w:t> </w:t>
      </w:r>
      <w:r>
        <w:rPr/>
        <w:t>autonomy over</w:t>
      </w:r>
      <w:r>
        <w:rPr>
          <w:spacing w:val="40"/>
        </w:rPr>
        <w:t> </w:t>
      </w:r>
      <w:r>
        <w:rPr/>
        <w:t>their</w:t>
      </w:r>
      <w:r>
        <w:rPr>
          <w:spacing w:val="40"/>
        </w:rPr>
        <w:t> </w:t>
      </w:r>
      <w:r>
        <w:rPr/>
        <w:t>own bodies.</w:t>
      </w:r>
    </w:p>
    <w:p>
      <w:pPr>
        <w:pStyle w:val="BodyText"/>
        <w:spacing w:line="249" w:lineRule="auto" w:before="62"/>
        <w:ind w:right="1439" w:firstLine="432"/>
        <w:jc w:val="both"/>
      </w:pPr>
      <w:r>
        <w:rPr/>
        <w:t>A Tiger for Malgudi (R.K. Narayan): Though the narrative is focalised</w:t>
      </w:r>
      <w:r>
        <w:rPr>
          <w:spacing w:val="2"/>
        </w:rPr>
        <w:t> </w:t>
      </w:r>
      <w:r>
        <w:rPr/>
        <w:t>through</w:t>
      </w:r>
      <w:r>
        <w:rPr>
          <w:spacing w:val="2"/>
        </w:rPr>
        <w:t> </w:t>
      </w:r>
      <w:r>
        <w:rPr/>
        <w:t>the</w:t>
      </w:r>
      <w:r>
        <w:rPr>
          <w:spacing w:val="4"/>
        </w:rPr>
        <w:t> </w:t>
      </w:r>
      <w:r>
        <w:rPr/>
        <w:t>tiger,</w:t>
      </w:r>
      <w:r>
        <w:rPr>
          <w:spacing w:val="2"/>
        </w:rPr>
        <w:t> </w:t>
      </w:r>
      <w:r>
        <w:rPr/>
        <w:t>the</w:t>
      </w:r>
      <w:r>
        <w:rPr>
          <w:spacing w:val="2"/>
        </w:rPr>
        <w:t> </w:t>
      </w:r>
      <w:r>
        <w:rPr/>
        <w:t>women</w:t>
      </w:r>
      <w:r>
        <w:rPr>
          <w:spacing w:val="1"/>
        </w:rPr>
        <w:t> </w:t>
      </w:r>
      <w:r>
        <w:rPr/>
        <w:t>in</w:t>
      </w:r>
      <w:r>
        <w:rPr>
          <w:spacing w:val="2"/>
        </w:rPr>
        <w:t> </w:t>
      </w:r>
      <w:r>
        <w:rPr/>
        <w:t>Malgudi—such</w:t>
      </w:r>
      <w:r>
        <w:rPr>
          <w:spacing w:val="4"/>
        </w:rPr>
        <w:t> </w:t>
      </w:r>
      <w:r>
        <w:rPr/>
        <w:t>as</w:t>
      </w:r>
      <w:r>
        <w:rPr>
          <w:spacing w:val="2"/>
        </w:rPr>
        <w:t> </w:t>
      </w:r>
      <w:r>
        <w:rPr/>
        <w:t>the</w:t>
      </w:r>
      <w:r>
        <w:rPr>
          <w:spacing w:val="2"/>
        </w:rPr>
        <w:t> </w:t>
      </w:r>
      <w:r>
        <w:rPr>
          <w:spacing w:val="-2"/>
        </w:rPr>
        <w:t>quietly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42816">
                <wp:simplePos x="0" y="0"/>
                <wp:positionH relativeFrom="page">
                  <wp:posOffset>2057400</wp:posOffset>
                </wp:positionH>
                <wp:positionV relativeFrom="paragraph">
                  <wp:posOffset>162604</wp:posOffset>
                </wp:positionV>
                <wp:extent cx="3657600" cy="12700"/>
                <wp:effectExtent l="0" t="0" r="0" b="0"/>
                <wp:wrapTopAndBottom/>
                <wp:docPr id="693" name="Graphic 693"/>
                <wp:cNvGraphicFramePr>
                  <a:graphicFrameLocks/>
                </wp:cNvGraphicFramePr>
                <a:graphic>
                  <a:graphicData uri="http://schemas.microsoft.com/office/word/2010/wordprocessingShape">
                    <wps:wsp>
                      <wps:cNvPr id="693" name="Graphic 69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73664;mso-wrap-distance-left:0;mso-wrap-distance-right:0" id="docshape685" filled="true" fillcolor="#000000" stroked="false">
                <v:fill type="solid"/>
                <w10:wrap type="topAndBottom"/>
              </v:rect>
            </w:pict>
          </mc:Fallback>
        </mc:AlternateContent>
      </w:r>
      <w:r>
        <w:rPr>
          <w:rFonts w:ascii="Verdana"/>
          <w:spacing w:val="-5"/>
          <w:sz w:val="18"/>
        </w:rPr>
        <w:t>342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observant, domestic bound figures—remain confined to the margins of economic and spiritual decision making; their “care” and endurance support the town’s moral order, but they rarely</w:t>
      </w:r>
      <w:r>
        <w:rPr>
          <w:spacing w:val="-2"/>
        </w:rPr>
        <w:t> </w:t>
      </w:r>
      <w:r>
        <w:rPr/>
        <w:t>speak for themselves or publicly challenge the patriarchal routines that define family and </w:t>
      </w:r>
      <w:r>
        <w:rPr>
          <w:spacing w:val="-2"/>
        </w:rPr>
        <w:t>community.</w:t>
      </w:r>
    </w:p>
    <w:p>
      <w:pPr>
        <w:pStyle w:val="BodyText"/>
        <w:spacing w:line="249" w:lineRule="auto" w:before="62"/>
        <w:ind w:right="1439" w:firstLine="432"/>
        <w:jc w:val="both"/>
      </w:pPr>
      <w:r>
        <w:rPr/>
        <w:t>Waiting for the Mahatma (R.K. Narayan): Under the Gandhian shadow, the women in Waiting for the Mahatma, such as the school going Sarojini who falls in love with the freedom fighter Bhaskar, are drawn</w:t>
      </w:r>
      <w:r>
        <w:rPr>
          <w:spacing w:val="-13"/>
        </w:rPr>
        <w:t> </w:t>
      </w:r>
      <w:r>
        <w:rPr/>
        <w:t>into</w:t>
      </w:r>
      <w:r>
        <w:rPr>
          <w:spacing w:val="-12"/>
        </w:rPr>
        <w:t> </w:t>
      </w:r>
      <w:r>
        <w:rPr/>
        <w:t>the</w:t>
      </w:r>
      <w:r>
        <w:rPr>
          <w:spacing w:val="-13"/>
        </w:rPr>
        <w:t> </w:t>
      </w:r>
      <w:r>
        <w:rPr/>
        <w:t>nationalist</w:t>
      </w:r>
      <w:r>
        <w:rPr>
          <w:spacing w:val="-12"/>
        </w:rPr>
        <w:t> </w:t>
      </w:r>
      <w:r>
        <w:rPr/>
        <w:t>movement,</w:t>
      </w:r>
      <w:r>
        <w:rPr>
          <w:spacing w:val="-13"/>
        </w:rPr>
        <w:t> </w:t>
      </w:r>
      <w:r>
        <w:rPr/>
        <w:t>yet</w:t>
      </w:r>
      <w:r>
        <w:rPr>
          <w:spacing w:val="-12"/>
        </w:rPr>
        <w:t> </w:t>
      </w:r>
      <w:r>
        <w:rPr/>
        <w:t>their</w:t>
      </w:r>
      <w:r>
        <w:rPr>
          <w:spacing w:val="-13"/>
        </w:rPr>
        <w:t> </w:t>
      </w:r>
      <w:r>
        <w:rPr/>
        <w:t>participation</w:t>
      </w:r>
      <w:r>
        <w:rPr>
          <w:spacing w:val="-12"/>
        </w:rPr>
        <w:t> </w:t>
      </w:r>
      <w:r>
        <w:rPr/>
        <w:t>is</w:t>
      </w:r>
      <w:r>
        <w:rPr>
          <w:spacing w:val="-13"/>
        </w:rPr>
        <w:t> </w:t>
      </w:r>
      <w:r>
        <w:rPr/>
        <w:t>channelled through self sacrifice, waiting, and chastity, reinforcing the idea that women’s agency is valuable only when it aligns with moral patriarchal codes</w:t>
      </w:r>
      <w:r>
        <w:rPr>
          <w:spacing w:val="40"/>
        </w:rPr>
        <w:t> </w:t>
      </w:r>
      <w:r>
        <w:rPr/>
        <w:t>of</w:t>
      </w:r>
      <w:r>
        <w:rPr>
          <w:spacing w:val="40"/>
        </w:rPr>
        <w:t> </w:t>
      </w:r>
      <w:r>
        <w:rPr/>
        <w:t>purity</w:t>
      </w:r>
      <w:r>
        <w:rPr>
          <w:spacing w:val="40"/>
        </w:rPr>
        <w:t> </w:t>
      </w:r>
      <w:r>
        <w:rPr/>
        <w:t>and</w:t>
      </w:r>
      <w:r>
        <w:rPr>
          <w:spacing w:val="40"/>
        </w:rPr>
        <w:t> </w:t>
      </w:r>
      <w:r>
        <w:rPr/>
        <w:t>discipline.</w:t>
      </w:r>
    </w:p>
    <w:p>
      <w:pPr>
        <w:pStyle w:val="BodyText"/>
        <w:spacing w:line="249" w:lineRule="auto" w:before="63"/>
        <w:ind w:right="1439" w:firstLine="432"/>
        <w:jc w:val="both"/>
      </w:pPr>
      <w:r>
        <w:rPr>
          <w:spacing w:val="-2"/>
        </w:rPr>
        <w:t>Untouchable</w:t>
      </w:r>
      <w:r>
        <w:rPr>
          <w:spacing w:val="-11"/>
        </w:rPr>
        <w:t> </w:t>
      </w:r>
      <w:r>
        <w:rPr>
          <w:spacing w:val="-2"/>
        </w:rPr>
        <w:t>(Mulk</w:t>
      </w:r>
      <w:r>
        <w:rPr>
          <w:spacing w:val="-10"/>
        </w:rPr>
        <w:t> </w:t>
      </w:r>
      <w:r>
        <w:rPr>
          <w:spacing w:val="-2"/>
        </w:rPr>
        <w:t>Raj</w:t>
      </w:r>
      <w:r>
        <w:rPr>
          <w:spacing w:val="-11"/>
        </w:rPr>
        <w:t> </w:t>
      </w:r>
      <w:r>
        <w:rPr>
          <w:spacing w:val="-2"/>
        </w:rPr>
        <w:t>Anand):</w:t>
      </w:r>
      <w:r>
        <w:rPr>
          <w:spacing w:val="-10"/>
        </w:rPr>
        <w:t> </w:t>
      </w:r>
      <w:r>
        <w:rPr>
          <w:spacing w:val="-2"/>
        </w:rPr>
        <w:t>In</w:t>
      </w:r>
      <w:r>
        <w:rPr>
          <w:spacing w:val="-11"/>
        </w:rPr>
        <w:t> </w:t>
      </w:r>
      <w:r>
        <w:rPr>
          <w:spacing w:val="-2"/>
        </w:rPr>
        <w:t>Untouchable,</w:t>
      </w:r>
      <w:r>
        <w:rPr>
          <w:spacing w:val="-10"/>
        </w:rPr>
        <w:t> </w:t>
      </w:r>
      <w:r>
        <w:rPr>
          <w:spacing w:val="-2"/>
        </w:rPr>
        <w:t>women</w:t>
      </w:r>
      <w:r>
        <w:rPr>
          <w:spacing w:val="-11"/>
        </w:rPr>
        <w:t> </w:t>
      </w:r>
      <w:r>
        <w:rPr>
          <w:spacing w:val="-2"/>
        </w:rPr>
        <w:t>like</w:t>
      </w:r>
      <w:r>
        <w:rPr>
          <w:spacing w:val="-10"/>
        </w:rPr>
        <w:t> </w:t>
      </w:r>
      <w:r>
        <w:rPr>
          <w:spacing w:val="-2"/>
        </w:rPr>
        <w:t>Sohini </w:t>
      </w:r>
      <w:r>
        <w:rPr/>
        <w:t>and</w:t>
      </w:r>
      <w:r>
        <w:rPr>
          <w:spacing w:val="-5"/>
        </w:rPr>
        <w:t> </w:t>
      </w:r>
      <w:r>
        <w:rPr/>
        <w:t>the</w:t>
      </w:r>
      <w:r>
        <w:rPr>
          <w:spacing w:val="-7"/>
        </w:rPr>
        <w:t> </w:t>
      </w:r>
      <w:r>
        <w:rPr/>
        <w:t>unnamed</w:t>
      </w:r>
      <w:r>
        <w:rPr>
          <w:spacing w:val="-7"/>
        </w:rPr>
        <w:t> </w:t>
      </w:r>
      <w:r>
        <w:rPr/>
        <w:t>higher</w:t>
      </w:r>
      <w:r>
        <w:rPr>
          <w:spacing w:val="-7"/>
        </w:rPr>
        <w:t> </w:t>
      </w:r>
      <w:r>
        <w:rPr/>
        <w:t>caste</w:t>
      </w:r>
      <w:r>
        <w:rPr>
          <w:spacing w:val="-6"/>
        </w:rPr>
        <w:t> </w:t>
      </w:r>
      <w:r>
        <w:rPr/>
        <w:t>women</w:t>
      </w:r>
      <w:r>
        <w:rPr>
          <w:spacing w:val="-8"/>
        </w:rPr>
        <w:t> </w:t>
      </w:r>
      <w:r>
        <w:rPr/>
        <w:t>remain</w:t>
      </w:r>
      <w:r>
        <w:rPr>
          <w:spacing w:val="-8"/>
        </w:rPr>
        <w:t> </w:t>
      </w:r>
      <w:r>
        <w:rPr/>
        <w:t>largely</w:t>
      </w:r>
      <w:r>
        <w:rPr>
          <w:spacing w:val="-10"/>
        </w:rPr>
        <w:t> </w:t>
      </w:r>
      <w:r>
        <w:rPr/>
        <w:t>symbolic:</w:t>
      </w:r>
      <w:r>
        <w:rPr>
          <w:spacing w:val="-8"/>
        </w:rPr>
        <w:t> </w:t>
      </w:r>
      <w:r>
        <w:rPr/>
        <w:t>Sohini’s </w:t>
      </w:r>
      <w:r>
        <w:rPr>
          <w:spacing w:val="-2"/>
        </w:rPr>
        <w:t>sexual</w:t>
      </w:r>
      <w:r>
        <w:rPr>
          <w:spacing w:val="-11"/>
        </w:rPr>
        <w:t> </w:t>
      </w:r>
      <w:r>
        <w:rPr>
          <w:spacing w:val="-2"/>
        </w:rPr>
        <w:t>violation</w:t>
      </w:r>
      <w:r>
        <w:rPr>
          <w:spacing w:val="-10"/>
        </w:rPr>
        <w:t> </w:t>
      </w:r>
      <w:r>
        <w:rPr>
          <w:spacing w:val="-2"/>
        </w:rPr>
        <w:t>by</w:t>
      </w:r>
      <w:r>
        <w:rPr>
          <w:spacing w:val="-11"/>
        </w:rPr>
        <w:t> </w:t>
      </w:r>
      <w:r>
        <w:rPr>
          <w:spacing w:val="-2"/>
        </w:rPr>
        <w:t>the</w:t>
      </w:r>
      <w:r>
        <w:rPr>
          <w:spacing w:val="-10"/>
        </w:rPr>
        <w:t> </w:t>
      </w:r>
      <w:r>
        <w:rPr>
          <w:spacing w:val="-2"/>
        </w:rPr>
        <w:t>temple</w:t>
      </w:r>
      <w:r>
        <w:rPr>
          <w:spacing w:val="-11"/>
        </w:rPr>
        <w:t> </w:t>
      </w:r>
      <w:r>
        <w:rPr>
          <w:spacing w:val="-2"/>
        </w:rPr>
        <w:t>priest</w:t>
      </w:r>
      <w:r>
        <w:rPr>
          <w:spacing w:val="-10"/>
        </w:rPr>
        <w:t> </w:t>
      </w:r>
      <w:r>
        <w:rPr>
          <w:spacing w:val="-2"/>
        </w:rPr>
        <w:t>exposes</w:t>
      </w:r>
      <w:r>
        <w:rPr>
          <w:spacing w:val="-11"/>
        </w:rPr>
        <w:t> </w:t>
      </w:r>
      <w:r>
        <w:rPr>
          <w:spacing w:val="-2"/>
        </w:rPr>
        <w:t>how</w:t>
      </w:r>
      <w:r>
        <w:rPr>
          <w:spacing w:val="-10"/>
        </w:rPr>
        <w:t> </w:t>
      </w:r>
      <w:r>
        <w:rPr>
          <w:spacing w:val="-2"/>
        </w:rPr>
        <w:t>caste</w:t>
      </w:r>
      <w:r>
        <w:rPr>
          <w:spacing w:val="-11"/>
        </w:rPr>
        <w:t> </w:t>
      </w:r>
      <w:r>
        <w:rPr>
          <w:spacing w:val="-2"/>
        </w:rPr>
        <w:t>pollution</w:t>
      </w:r>
      <w:r>
        <w:rPr>
          <w:spacing w:val="-10"/>
        </w:rPr>
        <w:t> </w:t>
      </w:r>
      <w:r>
        <w:rPr>
          <w:spacing w:val="-2"/>
        </w:rPr>
        <w:t>anxieties </w:t>
      </w:r>
      <w:r>
        <w:rPr/>
        <w:t>are</w:t>
      </w:r>
      <w:r>
        <w:rPr>
          <w:spacing w:val="-11"/>
        </w:rPr>
        <w:t> </w:t>
      </w:r>
      <w:r>
        <w:rPr/>
        <w:t>projected</w:t>
      </w:r>
      <w:r>
        <w:rPr>
          <w:spacing w:val="-10"/>
        </w:rPr>
        <w:t> </w:t>
      </w:r>
      <w:r>
        <w:rPr/>
        <w:t>onto</w:t>
      </w:r>
      <w:r>
        <w:rPr>
          <w:spacing w:val="-10"/>
        </w:rPr>
        <w:t> </w:t>
      </w:r>
      <w:r>
        <w:rPr/>
        <w:t>women’s</w:t>
      </w:r>
      <w:r>
        <w:rPr>
          <w:spacing w:val="-11"/>
        </w:rPr>
        <w:t> </w:t>
      </w:r>
      <w:r>
        <w:rPr/>
        <w:t>bodies,</w:t>
      </w:r>
      <w:r>
        <w:rPr>
          <w:spacing w:val="-13"/>
        </w:rPr>
        <w:t> </w:t>
      </w:r>
      <w:r>
        <w:rPr/>
        <w:t>while</w:t>
      </w:r>
      <w:r>
        <w:rPr>
          <w:spacing w:val="-10"/>
        </w:rPr>
        <w:t> </w:t>
      </w:r>
      <w:r>
        <w:rPr/>
        <w:t>the</w:t>
      </w:r>
      <w:r>
        <w:rPr>
          <w:spacing w:val="-11"/>
        </w:rPr>
        <w:t> </w:t>
      </w:r>
      <w:r>
        <w:rPr/>
        <w:t>higher</w:t>
      </w:r>
      <w:r>
        <w:rPr>
          <w:spacing w:val="-10"/>
        </w:rPr>
        <w:t> </w:t>
      </w:r>
      <w:r>
        <w:rPr/>
        <w:t>caste</w:t>
      </w:r>
      <w:r>
        <w:rPr>
          <w:spacing w:val="-11"/>
        </w:rPr>
        <w:t> </w:t>
      </w:r>
      <w:r>
        <w:rPr/>
        <w:t>women</w:t>
      </w:r>
      <w:r>
        <w:rPr>
          <w:spacing w:val="-13"/>
        </w:rPr>
        <w:t> </w:t>
      </w:r>
      <w:r>
        <w:rPr/>
        <w:t>police purity</w:t>
      </w:r>
      <w:r>
        <w:rPr>
          <w:spacing w:val="-12"/>
        </w:rPr>
        <w:t> </w:t>
      </w:r>
      <w:r>
        <w:rPr/>
        <w:t>and</w:t>
      </w:r>
      <w:r>
        <w:rPr>
          <w:spacing w:val="-9"/>
        </w:rPr>
        <w:t> </w:t>
      </w:r>
      <w:r>
        <w:rPr/>
        <w:t>domestic</w:t>
      </w:r>
      <w:r>
        <w:rPr>
          <w:spacing w:val="-9"/>
        </w:rPr>
        <w:t> </w:t>
      </w:r>
      <w:r>
        <w:rPr/>
        <w:t>order,</w:t>
      </w:r>
      <w:r>
        <w:rPr>
          <w:spacing w:val="-9"/>
        </w:rPr>
        <w:t> </w:t>
      </w:r>
      <w:r>
        <w:rPr/>
        <w:t>underscoring</w:t>
      </w:r>
      <w:r>
        <w:rPr>
          <w:spacing w:val="-9"/>
        </w:rPr>
        <w:t> </w:t>
      </w:r>
      <w:r>
        <w:rPr/>
        <w:t>how</w:t>
      </w:r>
      <w:r>
        <w:rPr>
          <w:spacing w:val="-12"/>
        </w:rPr>
        <w:t> </w:t>
      </w:r>
      <w:r>
        <w:rPr/>
        <w:t>gendered</w:t>
      </w:r>
      <w:r>
        <w:rPr>
          <w:spacing w:val="-9"/>
        </w:rPr>
        <w:t> </w:t>
      </w:r>
      <w:r>
        <w:rPr/>
        <w:t>shame</w:t>
      </w:r>
      <w:r>
        <w:rPr>
          <w:spacing w:val="-8"/>
        </w:rPr>
        <w:t> </w:t>
      </w:r>
      <w:r>
        <w:rPr/>
        <w:t>and</w:t>
      </w:r>
      <w:r>
        <w:rPr>
          <w:spacing w:val="-7"/>
        </w:rPr>
        <w:t> </w:t>
      </w:r>
      <w:r>
        <w:rPr/>
        <w:t>moral policing are deployed even within a text that foregrounds caste </w:t>
      </w:r>
      <w:r>
        <w:rPr>
          <w:spacing w:val="-2"/>
        </w:rPr>
        <w:t>oppression.</w:t>
      </w:r>
    </w:p>
    <w:p>
      <w:pPr>
        <w:pStyle w:val="Heading3"/>
        <w:spacing w:before="159"/>
        <w:jc w:val="both"/>
      </w:pPr>
      <w:r>
        <w:rPr>
          <w:spacing w:val="-8"/>
        </w:rPr>
        <w:t>COOLIE</w:t>
      </w:r>
      <w:r>
        <w:rPr>
          <w:spacing w:val="-4"/>
        </w:rPr>
        <w:t> </w:t>
      </w:r>
      <w:r>
        <w:rPr>
          <w:spacing w:val="-8"/>
        </w:rPr>
        <w:t>(MULK</w:t>
      </w:r>
      <w:r>
        <w:rPr>
          <w:spacing w:val="-1"/>
        </w:rPr>
        <w:t> </w:t>
      </w:r>
      <w:r>
        <w:rPr>
          <w:spacing w:val="-8"/>
        </w:rPr>
        <w:t>RAJ</w:t>
      </w:r>
      <w:r>
        <w:rPr>
          <w:spacing w:val="-5"/>
        </w:rPr>
        <w:t> </w:t>
      </w:r>
      <w:r>
        <w:rPr>
          <w:spacing w:val="-8"/>
        </w:rPr>
        <w:t>ANAND):</w:t>
      </w:r>
    </w:p>
    <w:p>
      <w:pPr>
        <w:pStyle w:val="BodyText"/>
        <w:spacing w:line="249" w:lineRule="auto" w:before="78"/>
        <w:ind w:right="1439" w:firstLine="432"/>
        <w:jc w:val="both"/>
      </w:pPr>
      <w:r>
        <w:rPr/>
        <w:t>The</w:t>
      </w:r>
      <w:r>
        <w:rPr>
          <w:spacing w:val="-8"/>
        </w:rPr>
        <w:t> </w:t>
      </w:r>
      <w:r>
        <w:rPr/>
        <w:t>female</w:t>
      </w:r>
      <w:r>
        <w:rPr>
          <w:spacing w:val="-9"/>
        </w:rPr>
        <w:t> </w:t>
      </w:r>
      <w:r>
        <w:rPr/>
        <w:t>characters</w:t>
      </w:r>
      <w:r>
        <w:rPr>
          <w:spacing w:val="-7"/>
        </w:rPr>
        <w:t> </w:t>
      </w:r>
      <w:r>
        <w:rPr/>
        <w:t>in</w:t>
      </w:r>
      <w:r>
        <w:rPr>
          <w:spacing w:val="-9"/>
        </w:rPr>
        <w:t> </w:t>
      </w:r>
      <w:r>
        <w:rPr/>
        <w:t>Coolie—such</w:t>
      </w:r>
      <w:r>
        <w:rPr>
          <w:spacing w:val="-11"/>
        </w:rPr>
        <w:t> </w:t>
      </w:r>
      <w:r>
        <w:rPr/>
        <w:t>as</w:t>
      </w:r>
      <w:r>
        <w:rPr>
          <w:spacing w:val="-9"/>
        </w:rPr>
        <w:t> </w:t>
      </w:r>
      <w:r>
        <w:rPr/>
        <w:t>Munoo’s</w:t>
      </w:r>
      <w:r>
        <w:rPr>
          <w:spacing w:val="-7"/>
        </w:rPr>
        <w:t> </w:t>
      </w:r>
      <w:r>
        <w:rPr/>
        <w:t>mother</w:t>
      </w:r>
      <w:r>
        <w:rPr>
          <w:spacing w:val="-7"/>
        </w:rPr>
        <w:t> </w:t>
      </w:r>
      <w:r>
        <w:rPr/>
        <w:t>and</w:t>
      </w:r>
      <w:r>
        <w:rPr>
          <w:spacing w:val="-7"/>
        </w:rPr>
        <w:t> </w:t>
      </w:r>
      <w:r>
        <w:rPr/>
        <w:t>the urban factory women—are rendered primarily through their labour and suffering;</w:t>
      </w:r>
      <w:r>
        <w:rPr>
          <w:spacing w:val="-2"/>
        </w:rPr>
        <w:t> </w:t>
      </w:r>
      <w:r>
        <w:rPr/>
        <w:t>their</w:t>
      </w:r>
      <w:r>
        <w:rPr>
          <w:spacing w:val="-4"/>
        </w:rPr>
        <w:t> </w:t>
      </w:r>
      <w:r>
        <w:rPr/>
        <w:t>economic</w:t>
      </w:r>
      <w:r>
        <w:rPr>
          <w:spacing w:val="-1"/>
        </w:rPr>
        <w:t> </w:t>
      </w:r>
      <w:r>
        <w:rPr/>
        <w:t>exploitation</w:t>
      </w:r>
      <w:r>
        <w:rPr>
          <w:spacing w:val="-4"/>
        </w:rPr>
        <w:t> </w:t>
      </w:r>
      <w:r>
        <w:rPr/>
        <w:t>and</w:t>
      </w:r>
      <w:r>
        <w:rPr>
          <w:spacing w:val="-2"/>
        </w:rPr>
        <w:t> </w:t>
      </w:r>
      <w:r>
        <w:rPr/>
        <w:t>domestic</w:t>
      </w:r>
      <w:r>
        <w:rPr>
          <w:spacing w:val="-3"/>
        </w:rPr>
        <w:t> </w:t>
      </w:r>
      <w:r>
        <w:rPr/>
        <w:t>burdens</w:t>
      </w:r>
      <w:r>
        <w:rPr>
          <w:spacing w:val="-2"/>
        </w:rPr>
        <w:t> </w:t>
      </w:r>
      <w:r>
        <w:rPr/>
        <w:t>are</w:t>
      </w:r>
      <w:r>
        <w:rPr>
          <w:spacing w:val="-1"/>
        </w:rPr>
        <w:t> </w:t>
      </w:r>
      <w:r>
        <w:rPr/>
        <w:t>shown, but their voices and desires are rarely centre stage, so that their participation in struggles for dignity still operates within inherited patriarchal and familial scripts.</w:t>
      </w:r>
    </w:p>
    <w:p>
      <w:pPr>
        <w:pStyle w:val="BodyText"/>
        <w:spacing w:line="249" w:lineRule="auto" w:before="63"/>
        <w:ind w:right="1438" w:firstLine="432"/>
        <w:jc w:val="both"/>
      </w:pPr>
      <w:r>
        <w:rPr>
          <w:spacing w:val="-4"/>
        </w:rPr>
        <w:t>Gandhian philosophy</w:t>
      </w:r>
      <w:r>
        <w:rPr>
          <w:spacing w:val="-5"/>
        </w:rPr>
        <w:t> </w:t>
      </w:r>
      <w:r>
        <w:rPr>
          <w:spacing w:val="-4"/>
        </w:rPr>
        <w:t>frequently idealizes women as morally</w:t>
      </w:r>
      <w:r>
        <w:rPr>
          <w:spacing w:val="-5"/>
        </w:rPr>
        <w:t> </w:t>
      </w:r>
      <w:r>
        <w:rPr>
          <w:spacing w:val="-4"/>
        </w:rPr>
        <w:t>upright, </w:t>
      </w:r>
      <w:r>
        <w:rPr/>
        <w:t>selfless, and spiritually powerful, yet also restricts them to roles that uphold patriarchal systems, such as the patient mother, the chaste widow, and the self-denying devotee.</w:t>
      </w:r>
      <w:r>
        <w:rPr>
          <w:spacing w:val="-2"/>
        </w:rPr>
        <w:t> </w:t>
      </w:r>
      <w:r>
        <w:rPr/>
        <w:t>Women like Rachana, Rachanna, and other rural women are crucial to the nationalist fight, but their involvement is presented as spiritual emotive service rather than autonomous political leadership, according to studies of Raja Rao’s </w:t>
      </w:r>
      <w:r>
        <w:rPr>
          <w:spacing w:val="-2"/>
        </w:rPr>
        <w:t>Kanthapura.</w:t>
      </w:r>
    </w:p>
    <w:p>
      <w:pPr>
        <w:pStyle w:val="BodyText"/>
        <w:spacing w:line="249" w:lineRule="auto" w:before="64"/>
        <w:ind w:right="1438" w:firstLine="432"/>
        <w:jc w:val="both"/>
      </w:pPr>
      <w:r>
        <w:rPr/>
        <w:t>In these works, the woman’s body serves as a metaphor for the nation’s purity, vulnerable to being “polluted” by capitalist or colonial forces</w:t>
      </w:r>
      <w:r>
        <w:rPr>
          <w:spacing w:val="-10"/>
        </w:rPr>
        <w:t> </w:t>
      </w:r>
      <w:r>
        <w:rPr/>
        <w:t>and</w:t>
      </w:r>
      <w:r>
        <w:rPr>
          <w:spacing w:val="-5"/>
        </w:rPr>
        <w:t> </w:t>
      </w:r>
      <w:r>
        <w:rPr/>
        <w:t>redeemed</w:t>
      </w:r>
      <w:r>
        <w:rPr>
          <w:spacing w:val="-9"/>
        </w:rPr>
        <w:t> </w:t>
      </w:r>
      <w:r>
        <w:rPr/>
        <w:t>via</w:t>
      </w:r>
      <w:r>
        <w:rPr>
          <w:spacing w:val="-9"/>
        </w:rPr>
        <w:t> </w:t>
      </w:r>
      <w:r>
        <w:rPr/>
        <w:t>Gandhian</w:t>
      </w:r>
      <w:r>
        <w:rPr>
          <w:spacing w:val="-10"/>
        </w:rPr>
        <w:t> </w:t>
      </w:r>
      <w:r>
        <w:rPr/>
        <w:t>self-discipline.</w:t>
      </w:r>
      <w:r>
        <w:rPr>
          <w:spacing w:val="-7"/>
        </w:rPr>
        <w:t> </w:t>
      </w:r>
      <w:r>
        <w:rPr/>
        <w:t>This</w:t>
      </w:r>
      <w:r>
        <w:rPr>
          <w:spacing w:val="-10"/>
        </w:rPr>
        <w:t> </w:t>
      </w:r>
      <w:r>
        <w:rPr/>
        <w:t>is</w:t>
      </w:r>
      <w:r>
        <w:rPr>
          <w:spacing w:val="-10"/>
        </w:rPr>
        <w:t> </w:t>
      </w:r>
      <w:r>
        <w:rPr/>
        <w:t>similar</w:t>
      </w:r>
      <w:r>
        <w:rPr>
          <w:spacing w:val="-7"/>
        </w:rPr>
        <w:t> </w:t>
      </w:r>
      <w:r>
        <w:rPr/>
        <w:t>to</w:t>
      </w:r>
      <w:r>
        <w:rPr>
          <w:spacing w:val="-9"/>
        </w:rPr>
        <w:t> </w:t>
      </w:r>
      <w:r>
        <w:rPr/>
        <w:t>how women</w:t>
      </w:r>
      <w:r>
        <w:rPr>
          <w:spacing w:val="-6"/>
        </w:rPr>
        <w:t> </w:t>
      </w:r>
      <w:r>
        <w:rPr/>
        <w:t>in</w:t>
      </w:r>
      <w:r>
        <w:rPr>
          <w:spacing w:val="-6"/>
        </w:rPr>
        <w:t> </w:t>
      </w:r>
      <w:r>
        <w:rPr/>
        <w:t>Shakespeare’s</w:t>
      </w:r>
      <w:r>
        <w:rPr>
          <w:spacing w:val="-4"/>
        </w:rPr>
        <w:t> </w:t>
      </w:r>
      <w:r>
        <w:rPr/>
        <w:t>plays,</w:t>
      </w:r>
      <w:r>
        <w:rPr>
          <w:spacing w:val="-6"/>
        </w:rPr>
        <w:t> </w:t>
      </w:r>
      <w:r>
        <w:rPr/>
        <w:t>such</w:t>
      </w:r>
      <w:r>
        <w:rPr>
          <w:spacing w:val="-8"/>
        </w:rPr>
        <w:t> </w:t>
      </w:r>
      <w:r>
        <w:rPr/>
        <w:t>as</w:t>
      </w:r>
      <w:r>
        <w:rPr>
          <w:spacing w:val="-6"/>
        </w:rPr>
        <w:t> </w:t>
      </w:r>
      <w:r>
        <w:rPr/>
        <w:t>Katherina</w:t>
      </w:r>
      <w:r>
        <w:rPr>
          <w:spacing w:val="-5"/>
        </w:rPr>
        <w:t> </w:t>
      </w:r>
      <w:r>
        <w:rPr/>
        <w:t>or</w:t>
      </w:r>
      <w:r>
        <w:rPr>
          <w:spacing w:val="-2"/>
        </w:rPr>
        <w:t> </w:t>
      </w:r>
      <w:r>
        <w:rPr/>
        <w:t>Isabella,</w:t>
      </w:r>
      <w:r>
        <w:rPr>
          <w:spacing w:val="-6"/>
        </w:rPr>
        <w:t> </w:t>
      </w:r>
      <w:r>
        <w:rPr/>
        <w:t>are</w:t>
      </w:r>
      <w:r>
        <w:rPr>
          <w:spacing w:val="-5"/>
        </w:rPr>
        <w:t> </w:t>
      </w:r>
      <w:r>
        <w:rPr>
          <w:spacing w:val="-2"/>
        </w:rPr>
        <w:t>forced</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43328">
                <wp:simplePos x="0" y="0"/>
                <wp:positionH relativeFrom="page">
                  <wp:posOffset>2065020</wp:posOffset>
                </wp:positionH>
                <wp:positionV relativeFrom="paragraph">
                  <wp:posOffset>795020</wp:posOffset>
                </wp:positionV>
                <wp:extent cx="3657600" cy="12700"/>
                <wp:effectExtent l="0" t="0" r="0" b="0"/>
                <wp:wrapTopAndBottom/>
                <wp:docPr id="694" name="Graphic 694"/>
                <wp:cNvGraphicFramePr>
                  <a:graphicFrameLocks/>
                </wp:cNvGraphicFramePr>
                <a:graphic>
                  <a:graphicData uri="http://schemas.microsoft.com/office/word/2010/wordprocessingShape">
                    <wps:wsp>
                      <wps:cNvPr id="694" name="Graphic 69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73152;mso-wrap-distance-left:0;mso-wrap-distance-right:0" id="docshape686" filled="true" fillcolor="#000000" stroked="false">
                <v:fill type="solid"/>
                <w10:wrap type="topAndBottom"/>
              </v:rect>
            </w:pict>
          </mc:Fallback>
        </mc:AlternateContent>
      </w:r>
      <w:r>
        <w:rPr>
          <w:rFonts w:ascii="Verdana" w:hAnsi="Verdana"/>
          <w:sz w:val="18"/>
        </w:rPr>
        <w:t>“From</w:t>
      </w:r>
      <w:r>
        <w:rPr>
          <w:rFonts w:ascii="Verdana" w:hAnsi="Verdana"/>
          <w:spacing w:val="-12"/>
          <w:sz w:val="18"/>
        </w:rPr>
        <w:t> </w:t>
      </w:r>
      <w:r>
        <w:rPr>
          <w:rFonts w:ascii="Verdana" w:hAnsi="Verdana"/>
          <w:sz w:val="18"/>
        </w:rPr>
        <w:t>Katherina</w:t>
      </w:r>
      <w:r>
        <w:rPr>
          <w:rFonts w:ascii="Verdana" w:hAnsi="Verdana"/>
          <w:spacing w:val="-9"/>
          <w:sz w:val="18"/>
        </w:rPr>
        <w:t> </w:t>
      </w:r>
      <w:r>
        <w:rPr>
          <w:rFonts w:ascii="Verdana" w:hAnsi="Verdana"/>
          <w:sz w:val="18"/>
        </w:rPr>
        <w:t>to</w:t>
      </w:r>
      <w:r>
        <w:rPr>
          <w:rFonts w:ascii="Verdana" w:hAnsi="Verdana"/>
          <w:spacing w:val="-7"/>
          <w:sz w:val="18"/>
        </w:rPr>
        <w:t> </w:t>
      </w:r>
      <w:r>
        <w:rPr>
          <w:rFonts w:ascii="Verdana" w:hAnsi="Verdana"/>
          <w:sz w:val="18"/>
        </w:rPr>
        <w:t>Kanthapura:</w:t>
      </w:r>
      <w:r>
        <w:rPr>
          <w:rFonts w:ascii="Verdana" w:hAnsi="Verdana"/>
          <w:spacing w:val="-11"/>
          <w:sz w:val="18"/>
        </w:rPr>
        <w:t> </w:t>
      </w:r>
      <w:r>
        <w:rPr>
          <w:rFonts w:ascii="Verdana" w:hAnsi="Verdana"/>
          <w:sz w:val="18"/>
        </w:rPr>
        <w:t>Gender,</w:t>
      </w:r>
      <w:r>
        <w:rPr>
          <w:rFonts w:ascii="Verdana" w:hAnsi="Verdana"/>
          <w:spacing w:val="-10"/>
          <w:sz w:val="18"/>
        </w:rPr>
        <w:t> </w:t>
      </w:r>
      <w:r>
        <w:rPr>
          <w:rFonts w:ascii="Verdana" w:hAnsi="Verdana"/>
          <w:spacing w:val="-2"/>
          <w:sz w:val="18"/>
        </w:rPr>
        <w:t>Power...</w:t>
      </w:r>
      <w:r>
        <w:rPr>
          <w:sz w:val="18"/>
        </w:rPr>
        <w:tab/>
      </w:r>
      <w:r>
        <w:rPr>
          <w:rFonts w:ascii="Verdana" w:hAnsi="Verdana"/>
          <w:spacing w:val="-5"/>
          <w:sz w:val="18"/>
        </w:rPr>
        <w:t>343</w:t>
      </w:r>
    </w:p>
    <w:p>
      <w:pPr>
        <w:pStyle w:val="BodyText"/>
        <w:spacing w:line="249" w:lineRule="auto" w:before="192"/>
        <w:ind w:right="1437"/>
      </w:pPr>
      <w:r>
        <w:rPr/>
        <w:t>to</w:t>
      </w:r>
      <w:r>
        <w:rPr>
          <w:spacing w:val="35"/>
        </w:rPr>
        <w:t> </w:t>
      </w:r>
      <w:r>
        <w:rPr/>
        <w:t>uphold</w:t>
      </w:r>
      <w:r>
        <w:rPr>
          <w:spacing w:val="35"/>
        </w:rPr>
        <w:t> </w:t>
      </w:r>
      <w:r>
        <w:rPr/>
        <w:t>moral</w:t>
      </w:r>
      <w:r>
        <w:rPr>
          <w:spacing w:val="35"/>
        </w:rPr>
        <w:t> </w:t>
      </w:r>
      <w:r>
        <w:rPr/>
        <w:t>sexual</w:t>
      </w:r>
      <w:r>
        <w:rPr>
          <w:spacing w:val="33"/>
        </w:rPr>
        <w:t> </w:t>
      </w:r>
      <w:r>
        <w:rPr/>
        <w:t>standards</w:t>
      </w:r>
      <w:r>
        <w:rPr>
          <w:spacing w:val="35"/>
        </w:rPr>
        <w:t> </w:t>
      </w:r>
      <w:r>
        <w:rPr/>
        <w:t>that</w:t>
      </w:r>
      <w:r>
        <w:rPr>
          <w:spacing w:val="35"/>
        </w:rPr>
        <w:t> </w:t>
      </w:r>
      <w:r>
        <w:rPr/>
        <w:t>determine</w:t>
      </w:r>
      <w:r>
        <w:rPr>
          <w:spacing w:val="34"/>
        </w:rPr>
        <w:t> </w:t>
      </w:r>
      <w:r>
        <w:rPr/>
        <w:t>the</w:t>
      </w:r>
      <w:r>
        <w:rPr>
          <w:spacing w:val="35"/>
        </w:rPr>
        <w:t> </w:t>
      </w:r>
      <w:r>
        <w:rPr/>
        <w:t>integrity</w:t>
      </w:r>
      <w:r>
        <w:rPr>
          <w:spacing w:val="31"/>
        </w:rPr>
        <w:t> </w:t>
      </w:r>
      <w:r>
        <w:rPr/>
        <w:t>of</w:t>
      </w:r>
      <w:r>
        <w:rPr>
          <w:spacing w:val="32"/>
        </w:rPr>
        <w:t> </w:t>
      </w:r>
      <w:r>
        <w:rPr/>
        <w:t>the patriarchal home.</w:t>
      </w:r>
    </w:p>
    <w:p>
      <w:pPr>
        <w:pStyle w:val="Heading3"/>
        <w:spacing w:before="155"/>
        <w:ind w:right="1437"/>
      </w:pPr>
      <w:r>
        <w:rPr>
          <w:w w:val="90"/>
        </w:rPr>
        <w:t>GENDER,</w:t>
      </w:r>
      <w:r>
        <w:rPr>
          <w:spacing w:val="40"/>
        </w:rPr>
        <w:t> </w:t>
      </w:r>
      <w:r>
        <w:rPr>
          <w:w w:val="90"/>
        </w:rPr>
        <w:t>POWER,</w:t>
      </w:r>
      <w:r>
        <w:rPr>
          <w:spacing w:val="40"/>
        </w:rPr>
        <w:t> </w:t>
      </w:r>
      <w:r>
        <w:rPr>
          <w:w w:val="90"/>
        </w:rPr>
        <w:t>AND</w:t>
      </w:r>
      <w:r>
        <w:rPr>
          <w:spacing w:val="40"/>
        </w:rPr>
        <w:t> </w:t>
      </w:r>
      <w:r>
        <w:rPr>
          <w:w w:val="90"/>
        </w:rPr>
        <w:t>INSTRUMENTAL</w:t>
      </w:r>
      <w:r>
        <w:rPr>
          <w:spacing w:val="40"/>
        </w:rPr>
        <w:t> </w:t>
      </w:r>
      <w:r>
        <w:rPr>
          <w:w w:val="90"/>
        </w:rPr>
        <w:t>CONSENT:</w:t>
      </w:r>
      <w:r>
        <w:rPr>
          <w:spacing w:val="40"/>
        </w:rPr>
        <w:t> </w:t>
      </w:r>
      <w:r>
        <w:rPr>
          <w:w w:val="90"/>
        </w:rPr>
        <w:t>A COMPARISON</w:t>
      </w:r>
      <w:r>
        <w:rPr>
          <w:spacing w:val="-12"/>
          <w:w w:val="90"/>
        </w:rPr>
        <w:t> </w:t>
      </w:r>
      <w:r>
        <w:rPr>
          <w:w w:val="90"/>
        </w:rPr>
        <w:t>OF</w:t>
      </w:r>
      <w:r>
        <w:rPr>
          <w:spacing w:val="-14"/>
          <w:w w:val="90"/>
        </w:rPr>
        <w:t> </w:t>
      </w:r>
      <w:r>
        <w:rPr>
          <w:w w:val="90"/>
        </w:rPr>
        <w:t>GANDHIAN</w:t>
      </w:r>
      <w:r>
        <w:rPr>
          <w:spacing w:val="-11"/>
          <w:w w:val="90"/>
        </w:rPr>
        <w:t> </w:t>
      </w:r>
      <w:r>
        <w:rPr>
          <w:w w:val="90"/>
        </w:rPr>
        <w:t>AND</w:t>
      </w:r>
      <w:r>
        <w:rPr>
          <w:spacing w:val="-14"/>
          <w:w w:val="90"/>
        </w:rPr>
        <w:t> </w:t>
      </w:r>
      <w:r>
        <w:rPr>
          <w:w w:val="90"/>
        </w:rPr>
        <w:t>KATHERINA</w:t>
      </w:r>
      <w:r>
        <w:rPr>
          <w:spacing w:val="-12"/>
          <w:w w:val="90"/>
        </w:rPr>
        <w:t> </w:t>
      </w:r>
      <w:r>
        <w:rPr>
          <w:spacing w:val="-2"/>
          <w:w w:val="90"/>
        </w:rPr>
        <w:t>WOMEN</w:t>
      </w:r>
    </w:p>
    <w:p>
      <w:pPr>
        <w:pStyle w:val="BodyText"/>
        <w:spacing w:line="249" w:lineRule="auto" w:before="74"/>
        <w:ind w:right="1439" w:firstLine="432"/>
        <w:jc w:val="both"/>
      </w:pPr>
      <w:r>
        <w:rPr/>
        <w:t>Several</w:t>
      </w:r>
      <w:r>
        <w:rPr>
          <w:spacing w:val="-11"/>
        </w:rPr>
        <w:t> </w:t>
      </w:r>
      <w:r>
        <w:rPr/>
        <w:t>parallels</w:t>
      </w:r>
      <w:r>
        <w:rPr>
          <w:spacing w:val="-10"/>
        </w:rPr>
        <w:t> </w:t>
      </w:r>
      <w:r>
        <w:rPr/>
        <w:t>appear</w:t>
      </w:r>
      <w:r>
        <w:rPr>
          <w:spacing w:val="-10"/>
        </w:rPr>
        <w:t> </w:t>
      </w:r>
      <w:r>
        <w:rPr/>
        <w:t>when</w:t>
      </w:r>
      <w:r>
        <w:rPr>
          <w:spacing w:val="-10"/>
        </w:rPr>
        <w:t> </w:t>
      </w:r>
      <w:r>
        <w:rPr/>
        <w:t>we</w:t>
      </w:r>
      <w:r>
        <w:rPr>
          <w:spacing w:val="-11"/>
        </w:rPr>
        <w:t> </w:t>
      </w:r>
      <w:r>
        <w:rPr/>
        <w:t>read</w:t>
      </w:r>
      <w:r>
        <w:rPr>
          <w:spacing w:val="-8"/>
        </w:rPr>
        <w:t> </w:t>
      </w:r>
      <w:r>
        <w:rPr/>
        <w:t>Katherina</w:t>
      </w:r>
      <w:r>
        <w:rPr>
          <w:spacing w:val="-11"/>
        </w:rPr>
        <w:t> </w:t>
      </w:r>
      <w:r>
        <w:rPr/>
        <w:t>alongside</w:t>
      </w:r>
      <w:r>
        <w:rPr>
          <w:spacing w:val="-9"/>
        </w:rPr>
        <w:t> </w:t>
      </w:r>
      <w:r>
        <w:rPr/>
        <w:t>women in Rao,</w:t>
      </w:r>
      <w:r>
        <w:rPr>
          <w:spacing w:val="40"/>
        </w:rPr>
        <w:t> </w:t>
      </w:r>
      <w:r>
        <w:rPr/>
        <w:t>Narayan,</w:t>
      </w:r>
      <w:r>
        <w:rPr>
          <w:spacing w:val="40"/>
        </w:rPr>
        <w:t> </w:t>
      </w:r>
      <w:r>
        <w:rPr/>
        <w:t>and Anand:</w:t>
      </w:r>
    </w:p>
    <w:p>
      <w:pPr>
        <w:pStyle w:val="Heading3"/>
        <w:spacing w:before="155"/>
      </w:pPr>
      <w:r>
        <w:rPr>
          <w:w w:val="90"/>
        </w:rPr>
        <w:t>PATRIARCHAL</w:t>
      </w:r>
      <w:r>
        <w:rPr>
          <w:spacing w:val="-9"/>
          <w:w w:val="90"/>
        </w:rPr>
        <w:t> </w:t>
      </w:r>
      <w:r>
        <w:rPr>
          <w:w w:val="90"/>
        </w:rPr>
        <w:t>“TAMING”</w:t>
      </w:r>
      <w:r>
        <w:rPr>
          <w:spacing w:val="-9"/>
          <w:w w:val="90"/>
        </w:rPr>
        <w:t> </w:t>
      </w:r>
      <w:r>
        <w:rPr>
          <w:w w:val="90"/>
        </w:rPr>
        <w:t>AND</w:t>
      </w:r>
      <w:r>
        <w:rPr>
          <w:spacing w:val="-7"/>
          <w:w w:val="90"/>
        </w:rPr>
        <w:t> </w:t>
      </w:r>
      <w:r>
        <w:rPr>
          <w:w w:val="90"/>
        </w:rPr>
        <w:t>“UPLIFTMENT”</w:t>
      </w:r>
      <w:r>
        <w:rPr>
          <w:spacing w:val="-9"/>
          <w:w w:val="90"/>
        </w:rPr>
        <w:t> </w:t>
      </w:r>
      <w:r>
        <w:rPr>
          <w:spacing w:val="-2"/>
          <w:w w:val="90"/>
        </w:rPr>
        <w:t>SCRIPTS</w:t>
      </w:r>
    </w:p>
    <w:p>
      <w:pPr>
        <w:pStyle w:val="ListParagraph"/>
        <w:numPr>
          <w:ilvl w:val="0"/>
          <w:numId w:val="73"/>
        </w:numPr>
        <w:tabs>
          <w:tab w:pos="2160" w:val="left" w:leader="none"/>
        </w:tabs>
        <w:spacing w:line="261" w:lineRule="auto" w:before="83" w:after="0"/>
        <w:ind w:left="2160" w:right="1441" w:hanging="240"/>
        <w:jc w:val="both"/>
        <w:rPr>
          <w:sz w:val="20"/>
        </w:rPr>
      </w:pPr>
      <w:r>
        <w:rPr>
          <w:sz w:val="20"/>
        </w:rPr>
        <w:t>In The Taming of the Shrew, Katherina is “tamed” to fit into Renaissance Padua’s heterosexual, property-based marriage </w:t>
      </w:r>
      <w:r>
        <w:rPr>
          <w:spacing w:val="-2"/>
          <w:sz w:val="20"/>
        </w:rPr>
        <w:t>economy.</w:t>
      </w:r>
    </w:p>
    <w:p>
      <w:pPr>
        <w:pStyle w:val="ListParagraph"/>
        <w:numPr>
          <w:ilvl w:val="0"/>
          <w:numId w:val="73"/>
        </w:numPr>
        <w:tabs>
          <w:tab w:pos="2160" w:val="left" w:leader="none"/>
        </w:tabs>
        <w:spacing w:line="261" w:lineRule="auto" w:before="56" w:after="0"/>
        <w:ind w:left="2160" w:right="1441" w:hanging="240"/>
        <w:jc w:val="both"/>
        <w:rPr>
          <w:sz w:val="20"/>
        </w:rPr>
      </w:pPr>
      <w:r>
        <w:rPr>
          <w:sz w:val="20"/>
        </w:rPr>
        <w:t>Women are “uplifted” into nationalist politics in Kanthapura </w:t>
      </w:r>
      <w:r>
        <w:rPr>
          <w:spacing w:val="-2"/>
          <w:sz w:val="20"/>
        </w:rPr>
        <w:t>and</w:t>
      </w:r>
      <w:r>
        <w:rPr>
          <w:spacing w:val="-11"/>
          <w:sz w:val="20"/>
        </w:rPr>
        <w:t> </w:t>
      </w:r>
      <w:r>
        <w:rPr>
          <w:spacing w:val="-2"/>
          <w:sz w:val="20"/>
        </w:rPr>
        <w:t>other</w:t>
      </w:r>
      <w:r>
        <w:rPr>
          <w:spacing w:val="-10"/>
          <w:sz w:val="20"/>
        </w:rPr>
        <w:t> </w:t>
      </w:r>
      <w:r>
        <w:rPr>
          <w:spacing w:val="-2"/>
          <w:sz w:val="20"/>
        </w:rPr>
        <w:t>Gandhian-inspired</w:t>
      </w:r>
      <w:r>
        <w:rPr>
          <w:spacing w:val="-11"/>
          <w:sz w:val="20"/>
        </w:rPr>
        <w:t> </w:t>
      </w:r>
      <w:r>
        <w:rPr>
          <w:spacing w:val="-2"/>
          <w:sz w:val="20"/>
        </w:rPr>
        <w:t>books,</w:t>
      </w:r>
      <w:r>
        <w:rPr>
          <w:spacing w:val="-10"/>
          <w:sz w:val="20"/>
        </w:rPr>
        <w:t> </w:t>
      </w:r>
      <w:r>
        <w:rPr>
          <w:spacing w:val="-2"/>
          <w:sz w:val="20"/>
        </w:rPr>
        <w:t>but</w:t>
      </w:r>
      <w:r>
        <w:rPr>
          <w:spacing w:val="-11"/>
          <w:sz w:val="20"/>
        </w:rPr>
        <w:t> </w:t>
      </w:r>
      <w:r>
        <w:rPr>
          <w:spacing w:val="-2"/>
          <w:sz w:val="20"/>
        </w:rPr>
        <w:t>this</w:t>
      </w:r>
      <w:r>
        <w:rPr>
          <w:spacing w:val="-10"/>
          <w:sz w:val="20"/>
        </w:rPr>
        <w:t> </w:t>
      </w:r>
      <w:r>
        <w:rPr>
          <w:spacing w:val="-2"/>
          <w:sz w:val="20"/>
        </w:rPr>
        <w:t>upliftment</w:t>
      </w:r>
      <w:r>
        <w:rPr>
          <w:spacing w:val="-11"/>
          <w:sz w:val="20"/>
        </w:rPr>
        <w:t> </w:t>
      </w:r>
      <w:r>
        <w:rPr>
          <w:spacing w:val="-2"/>
          <w:sz w:val="20"/>
        </w:rPr>
        <w:t>is</w:t>
      </w:r>
      <w:r>
        <w:rPr>
          <w:spacing w:val="-10"/>
          <w:sz w:val="20"/>
        </w:rPr>
        <w:t> </w:t>
      </w:r>
      <w:r>
        <w:rPr>
          <w:spacing w:val="-2"/>
          <w:sz w:val="20"/>
        </w:rPr>
        <w:t>filtered </w:t>
      </w:r>
      <w:r>
        <w:rPr>
          <w:sz w:val="20"/>
        </w:rPr>
        <w:t>via a patriarchal vocabulary of purity, sacrifice, and</w:t>
      </w:r>
      <w:r>
        <w:rPr>
          <w:spacing w:val="28"/>
          <w:sz w:val="20"/>
        </w:rPr>
        <w:t> </w:t>
      </w:r>
      <w:r>
        <w:rPr>
          <w:sz w:val="20"/>
        </w:rPr>
        <w:t>service.</w:t>
      </w:r>
    </w:p>
    <w:p>
      <w:pPr>
        <w:pStyle w:val="BodyText"/>
        <w:spacing w:line="249" w:lineRule="auto" w:before="50"/>
        <w:ind w:right="1439" w:firstLine="432"/>
        <w:jc w:val="both"/>
      </w:pPr>
      <w:r>
        <w:rPr/>
        <w:t>A male-centered project of control is present in both situations: Gandhi</w:t>
      </w:r>
      <w:r>
        <w:rPr>
          <w:spacing w:val="-2"/>
        </w:rPr>
        <w:t> </w:t>
      </w:r>
      <w:r>
        <w:rPr/>
        <w:t>(or his</w:t>
      </w:r>
      <w:r>
        <w:rPr>
          <w:spacing w:val="-2"/>
        </w:rPr>
        <w:t> </w:t>
      </w:r>
      <w:r>
        <w:rPr/>
        <w:t>local</w:t>
      </w:r>
      <w:r>
        <w:rPr>
          <w:spacing w:val="-2"/>
        </w:rPr>
        <w:t> </w:t>
      </w:r>
      <w:r>
        <w:rPr/>
        <w:t>imitators) for</w:t>
      </w:r>
      <w:r>
        <w:rPr>
          <w:spacing w:val="-2"/>
        </w:rPr>
        <w:t> </w:t>
      </w:r>
      <w:r>
        <w:rPr/>
        <w:t>the village</w:t>
      </w:r>
      <w:r>
        <w:rPr>
          <w:spacing w:val="-1"/>
        </w:rPr>
        <w:t> </w:t>
      </w:r>
      <w:r>
        <w:rPr/>
        <w:t>women,</w:t>
      </w:r>
      <w:r>
        <w:rPr>
          <w:spacing w:val="-2"/>
        </w:rPr>
        <w:t> </w:t>
      </w:r>
      <w:r>
        <w:rPr/>
        <w:t>and Petruchio for Katherina. Women are permitted to act, speak, and engage in both situations,</w:t>
      </w:r>
      <w:r>
        <w:rPr>
          <w:spacing w:val="19"/>
        </w:rPr>
        <w:t> </w:t>
      </w:r>
      <w:r>
        <w:rPr/>
        <w:t>but</w:t>
      </w:r>
      <w:r>
        <w:rPr>
          <w:spacing w:val="17"/>
        </w:rPr>
        <w:t> </w:t>
      </w:r>
      <w:r>
        <w:rPr/>
        <w:t>only</w:t>
      </w:r>
      <w:r>
        <w:rPr>
          <w:spacing w:val="18"/>
        </w:rPr>
        <w:t> </w:t>
      </w:r>
      <w:r>
        <w:rPr/>
        <w:t>within</w:t>
      </w:r>
      <w:r>
        <w:rPr>
          <w:spacing w:val="18"/>
        </w:rPr>
        <w:t> </w:t>
      </w:r>
      <w:r>
        <w:rPr/>
        <w:t>bounds</w:t>
      </w:r>
      <w:r>
        <w:rPr>
          <w:spacing w:val="19"/>
        </w:rPr>
        <w:t> </w:t>
      </w:r>
      <w:r>
        <w:rPr/>
        <w:t>that</w:t>
      </w:r>
      <w:r>
        <w:rPr>
          <w:spacing w:val="18"/>
        </w:rPr>
        <w:t> </w:t>
      </w:r>
      <w:r>
        <w:rPr/>
        <w:t>ultimately</w:t>
      </w:r>
      <w:r>
        <w:rPr>
          <w:spacing w:val="17"/>
        </w:rPr>
        <w:t> </w:t>
      </w:r>
      <w:r>
        <w:rPr/>
        <w:t>uphold</w:t>
      </w:r>
      <w:r>
        <w:rPr>
          <w:spacing w:val="20"/>
        </w:rPr>
        <w:t> </w:t>
      </w:r>
      <w:r>
        <w:rPr/>
        <w:t>male</w:t>
      </w:r>
      <w:r>
        <w:rPr>
          <w:spacing w:val="20"/>
        </w:rPr>
        <w:t> </w:t>
      </w:r>
      <w:r>
        <w:rPr>
          <w:spacing w:val="-2"/>
        </w:rPr>
        <w:t>power.</w:t>
      </w:r>
    </w:p>
    <w:p>
      <w:pPr>
        <w:pStyle w:val="Heading3"/>
        <w:spacing w:before="157"/>
      </w:pPr>
      <w:r>
        <w:rPr>
          <w:w w:val="90"/>
        </w:rPr>
        <w:t>RESISTANCE,</w:t>
      </w:r>
      <w:r>
        <w:rPr>
          <w:spacing w:val="32"/>
        </w:rPr>
        <w:t> </w:t>
      </w:r>
      <w:r>
        <w:rPr>
          <w:w w:val="90"/>
        </w:rPr>
        <w:t>COERCION,</w:t>
      </w:r>
      <w:r>
        <w:rPr>
          <w:spacing w:val="32"/>
        </w:rPr>
        <w:t> </w:t>
      </w:r>
      <w:r>
        <w:rPr>
          <w:w w:val="90"/>
        </w:rPr>
        <w:t>AND</w:t>
      </w:r>
      <w:r>
        <w:rPr>
          <w:spacing w:val="32"/>
        </w:rPr>
        <w:t> </w:t>
      </w:r>
      <w:r>
        <w:rPr>
          <w:spacing w:val="-2"/>
          <w:w w:val="90"/>
        </w:rPr>
        <w:t>CONSENT</w:t>
      </w:r>
    </w:p>
    <w:p>
      <w:pPr>
        <w:pStyle w:val="BodyText"/>
        <w:spacing w:line="249" w:lineRule="auto" w:before="75"/>
        <w:ind w:right="1439" w:firstLine="432"/>
        <w:jc w:val="both"/>
      </w:pPr>
      <w:r>
        <w:rPr/>
        <w:t>The difference between true consent and coerced or instrumental consent</w:t>
      </w:r>
      <w:r>
        <w:rPr>
          <w:spacing w:val="-3"/>
        </w:rPr>
        <w:t> </w:t>
      </w:r>
      <w:r>
        <w:rPr/>
        <w:t>is</w:t>
      </w:r>
      <w:r>
        <w:rPr>
          <w:spacing w:val="-2"/>
        </w:rPr>
        <w:t> </w:t>
      </w:r>
      <w:r>
        <w:rPr/>
        <w:t>highlighted</w:t>
      </w:r>
      <w:r>
        <w:rPr>
          <w:spacing w:val="-2"/>
        </w:rPr>
        <w:t> </w:t>
      </w:r>
      <w:r>
        <w:rPr/>
        <w:t>by</w:t>
      </w:r>
      <w:r>
        <w:rPr>
          <w:spacing w:val="-5"/>
        </w:rPr>
        <w:t> </w:t>
      </w:r>
      <w:r>
        <w:rPr/>
        <w:t>the</w:t>
      </w:r>
      <w:r>
        <w:rPr>
          <w:spacing w:val="-2"/>
        </w:rPr>
        <w:t> </w:t>
      </w:r>
      <w:r>
        <w:rPr/>
        <w:t>#MeToo</w:t>
      </w:r>
      <w:r>
        <w:rPr>
          <w:spacing w:val="-2"/>
        </w:rPr>
        <w:t> </w:t>
      </w:r>
      <w:r>
        <w:rPr/>
        <w:t>lens.</w:t>
      </w:r>
      <w:r>
        <w:rPr>
          <w:spacing w:val="-3"/>
        </w:rPr>
        <w:t> </w:t>
      </w:r>
      <w:r>
        <w:rPr/>
        <w:t>Katherina’s</w:t>
      </w:r>
      <w:r>
        <w:rPr>
          <w:spacing w:val="-3"/>
        </w:rPr>
        <w:t> </w:t>
      </w:r>
      <w:r>
        <w:rPr/>
        <w:t>farewell</w:t>
      </w:r>
      <w:r>
        <w:rPr>
          <w:spacing w:val="-3"/>
        </w:rPr>
        <w:t> </w:t>
      </w:r>
      <w:r>
        <w:rPr/>
        <w:t>speech in Shakespeare’s play can be interpreted as a forced performance influenced by social pressure, material deprivation, and the prospect of more</w:t>
      </w:r>
      <w:r>
        <w:rPr>
          <w:spacing w:val="-13"/>
        </w:rPr>
        <w:t> </w:t>
      </w:r>
      <w:r>
        <w:rPr/>
        <w:t>humiliation.</w:t>
      </w:r>
    </w:p>
    <w:p>
      <w:pPr>
        <w:pStyle w:val="BodyText"/>
        <w:spacing w:line="249" w:lineRule="auto" w:before="62"/>
        <w:ind w:right="1437" w:firstLine="432"/>
        <w:jc w:val="both"/>
      </w:pPr>
      <w:r>
        <w:rPr/>
        <w:t>Women’s involvement in the nationalist movement can also be interpreted as instrumental consent in the context of the Gandhian novel: they accept the Gandhian codes of self-control, chastity, and sacrifice because they are shown as the only means of claiming agency and</w:t>
      </w:r>
      <w:r>
        <w:rPr>
          <w:spacing w:val="-8"/>
        </w:rPr>
        <w:t> </w:t>
      </w:r>
      <w:r>
        <w:rPr/>
        <w:t>dignity.</w:t>
      </w:r>
      <w:r>
        <w:rPr>
          <w:spacing w:val="-10"/>
        </w:rPr>
        <w:t> </w:t>
      </w:r>
      <w:r>
        <w:rPr/>
        <w:t>In</w:t>
      </w:r>
      <w:r>
        <w:rPr>
          <w:spacing w:val="-10"/>
        </w:rPr>
        <w:t> </w:t>
      </w:r>
      <w:r>
        <w:rPr/>
        <w:t>Kanthapura,</w:t>
      </w:r>
      <w:r>
        <w:rPr>
          <w:spacing w:val="-10"/>
        </w:rPr>
        <w:t> </w:t>
      </w:r>
      <w:r>
        <w:rPr/>
        <w:t>for</w:t>
      </w:r>
      <w:r>
        <w:rPr>
          <w:spacing w:val="-8"/>
        </w:rPr>
        <w:t> </w:t>
      </w:r>
      <w:r>
        <w:rPr/>
        <w:t>instance,</w:t>
      </w:r>
      <w:r>
        <w:rPr>
          <w:spacing w:val="-8"/>
        </w:rPr>
        <w:t> </w:t>
      </w:r>
      <w:r>
        <w:rPr/>
        <w:t>women</w:t>
      </w:r>
      <w:r>
        <w:rPr>
          <w:spacing w:val="-10"/>
        </w:rPr>
        <w:t> </w:t>
      </w:r>
      <w:r>
        <w:rPr/>
        <w:t>march,</w:t>
      </w:r>
      <w:r>
        <w:rPr>
          <w:spacing w:val="-8"/>
        </w:rPr>
        <w:t> </w:t>
      </w:r>
      <w:r>
        <w:rPr/>
        <w:t>fast,</w:t>
      </w:r>
      <w:r>
        <w:rPr>
          <w:spacing w:val="-8"/>
        </w:rPr>
        <w:t> </w:t>
      </w:r>
      <w:r>
        <w:rPr/>
        <w:t>and</w:t>
      </w:r>
      <w:r>
        <w:rPr>
          <w:spacing w:val="-8"/>
        </w:rPr>
        <w:t> </w:t>
      </w:r>
      <w:r>
        <w:rPr/>
        <w:t>endure beatings—not as “liberal” feminists, but rather as Gandhian subjects whose bodies are</w:t>
      </w:r>
      <w:r>
        <w:rPr>
          <w:spacing w:val="40"/>
        </w:rPr>
        <w:t> </w:t>
      </w:r>
      <w:r>
        <w:rPr/>
        <w:t>trained</w:t>
      </w:r>
      <w:r>
        <w:rPr>
          <w:spacing w:val="40"/>
        </w:rPr>
        <w:t> </w:t>
      </w:r>
      <w:r>
        <w:rPr/>
        <w:t>into</w:t>
      </w:r>
      <w:r>
        <w:rPr>
          <w:spacing w:val="40"/>
        </w:rPr>
        <w:t> </w:t>
      </w:r>
      <w:r>
        <w:rPr/>
        <w:t>moral national</w:t>
      </w:r>
      <w:r>
        <w:rPr>
          <w:spacing w:val="40"/>
        </w:rPr>
        <w:t> </w:t>
      </w:r>
      <w:r>
        <w:rPr/>
        <w:t>service.</w:t>
      </w:r>
    </w:p>
    <w:p>
      <w:pPr>
        <w:pStyle w:val="BodyText"/>
        <w:spacing w:line="249" w:lineRule="auto" w:before="63"/>
        <w:ind w:right="1438" w:firstLine="432"/>
        <w:jc w:val="both"/>
      </w:pPr>
      <w:r>
        <w:rPr/>
        <w:t>However, modest opposition is also permitted in both traditions. Even though Katherina’s final speech is still framed in a patriarchal manner, her wit and rhetorical power can be interpreted as a kind of </w:t>
      </w:r>
      <w:r>
        <w:rPr>
          <w:spacing w:val="-4"/>
        </w:rPr>
        <w:t>subtle</w:t>
      </w:r>
      <w:r>
        <w:rPr>
          <w:spacing w:val="-9"/>
        </w:rPr>
        <w:t> </w:t>
      </w:r>
      <w:r>
        <w:rPr>
          <w:spacing w:val="-4"/>
        </w:rPr>
        <w:t>criticism.</w:t>
      </w:r>
      <w:r>
        <w:rPr>
          <w:spacing w:val="-8"/>
        </w:rPr>
        <w:t> </w:t>
      </w:r>
      <w:r>
        <w:rPr>
          <w:spacing w:val="-4"/>
        </w:rPr>
        <w:t>Similarly,</w:t>
      </w:r>
      <w:r>
        <w:rPr>
          <w:spacing w:val="-9"/>
        </w:rPr>
        <w:t> </w:t>
      </w:r>
      <w:r>
        <w:rPr>
          <w:spacing w:val="-4"/>
        </w:rPr>
        <w:t>despite</w:t>
      </w:r>
      <w:r>
        <w:rPr>
          <w:spacing w:val="-8"/>
        </w:rPr>
        <w:t> </w:t>
      </w:r>
      <w:r>
        <w:rPr>
          <w:spacing w:val="-4"/>
        </w:rPr>
        <w:t>their</w:t>
      </w:r>
      <w:r>
        <w:rPr>
          <w:spacing w:val="-9"/>
        </w:rPr>
        <w:t> </w:t>
      </w:r>
      <w:r>
        <w:rPr>
          <w:spacing w:val="-4"/>
        </w:rPr>
        <w:t>limited</w:t>
      </w:r>
      <w:r>
        <w:rPr>
          <w:spacing w:val="-8"/>
        </w:rPr>
        <w:t> </w:t>
      </w:r>
      <w:r>
        <w:rPr>
          <w:spacing w:val="-4"/>
        </w:rPr>
        <w:t>roles,</w:t>
      </w:r>
      <w:r>
        <w:rPr>
          <w:spacing w:val="-9"/>
        </w:rPr>
        <w:t> </w:t>
      </w:r>
      <w:r>
        <w:rPr>
          <w:spacing w:val="-4"/>
        </w:rPr>
        <w:t>women</w:t>
      </w:r>
      <w:r>
        <w:rPr>
          <w:spacing w:val="-8"/>
        </w:rPr>
        <w:t> </w:t>
      </w:r>
      <w:r>
        <w:rPr>
          <w:spacing w:val="-4"/>
        </w:rPr>
        <w:t>in</w:t>
      </w:r>
      <w:r>
        <w:rPr>
          <w:spacing w:val="-9"/>
        </w:rPr>
        <w:t> </w:t>
      </w:r>
      <w:r>
        <w:rPr>
          <w:spacing w:val="-4"/>
        </w:rPr>
        <w:t>Kanthapura </w:t>
      </w:r>
      <w:r>
        <w:rPr/>
        <w:t>and</w:t>
      </w:r>
      <w:r>
        <w:rPr>
          <w:spacing w:val="-7"/>
        </w:rPr>
        <w:t> </w:t>
      </w:r>
      <w:r>
        <w:rPr/>
        <w:t>Anand’s works quietly challenge the very systems that define them by shaping</w:t>
      </w:r>
      <w:r>
        <w:rPr>
          <w:spacing w:val="5"/>
        </w:rPr>
        <w:t> </w:t>
      </w:r>
      <w:r>
        <w:rPr/>
        <w:t>the</w:t>
      </w:r>
      <w:r>
        <w:rPr>
          <w:spacing w:val="5"/>
        </w:rPr>
        <w:t> </w:t>
      </w:r>
      <w:r>
        <w:rPr/>
        <w:t>story</w:t>
      </w:r>
      <w:r>
        <w:rPr>
          <w:spacing w:val="2"/>
        </w:rPr>
        <w:t> </w:t>
      </w:r>
      <w:r>
        <w:rPr/>
        <w:t>via</w:t>
      </w:r>
      <w:r>
        <w:rPr>
          <w:spacing w:val="4"/>
        </w:rPr>
        <w:t> </w:t>
      </w:r>
      <w:r>
        <w:rPr/>
        <w:t>their</w:t>
      </w:r>
      <w:r>
        <w:rPr>
          <w:spacing w:val="5"/>
        </w:rPr>
        <w:t> </w:t>
      </w:r>
      <w:r>
        <w:rPr/>
        <w:t>labor,</w:t>
      </w:r>
      <w:r>
        <w:rPr>
          <w:spacing w:val="8"/>
        </w:rPr>
        <w:t> </w:t>
      </w:r>
      <w:r>
        <w:rPr/>
        <w:t>perseverance,</w:t>
      </w:r>
      <w:r>
        <w:rPr>
          <w:spacing w:val="4"/>
        </w:rPr>
        <w:t> </w:t>
      </w:r>
      <w:r>
        <w:rPr/>
        <w:t>and</w:t>
      </w:r>
      <w:r>
        <w:rPr>
          <w:spacing w:val="7"/>
        </w:rPr>
        <w:t> </w:t>
      </w:r>
      <w:r>
        <w:rPr/>
        <w:t>moral</w:t>
      </w:r>
      <w:r>
        <w:rPr>
          <w:spacing w:val="5"/>
        </w:rPr>
        <w:t> </w:t>
      </w:r>
      <w:r>
        <w:rPr>
          <w:spacing w:val="-2"/>
        </w:rPr>
        <w:t>decisions.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43840">
                <wp:simplePos x="0" y="0"/>
                <wp:positionH relativeFrom="page">
                  <wp:posOffset>2057400</wp:posOffset>
                </wp:positionH>
                <wp:positionV relativeFrom="paragraph">
                  <wp:posOffset>162604</wp:posOffset>
                </wp:positionV>
                <wp:extent cx="3657600" cy="12700"/>
                <wp:effectExtent l="0" t="0" r="0" b="0"/>
                <wp:wrapTopAndBottom/>
                <wp:docPr id="695" name="Graphic 695"/>
                <wp:cNvGraphicFramePr>
                  <a:graphicFrameLocks/>
                </wp:cNvGraphicFramePr>
                <a:graphic>
                  <a:graphicData uri="http://schemas.microsoft.com/office/word/2010/wordprocessingShape">
                    <wps:wsp>
                      <wps:cNvPr id="695" name="Graphic 69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72640;mso-wrap-distance-left:0;mso-wrap-distance-right:0" id="docshape687" filled="true" fillcolor="#000000" stroked="false">
                <v:fill type="solid"/>
                <w10:wrap type="topAndBottom"/>
              </v:rect>
            </w:pict>
          </mc:Fallback>
        </mc:AlternateContent>
      </w:r>
      <w:r>
        <w:rPr>
          <w:rFonts w:ascii="Verdana"/>
          <w:spacing w:val="-5"/>
          <w:sz w:val="18"/>
        </w:rPr>
        <w:t>344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ind w:right="1437"/>
      </w:pPr>
      <w:r>
        <w:rPr>
          <w:w w:val="90"/>
        </w:rPr>
        <w:t>RE-EXAMINING</w:t>
      </w:r>
      <w:r>
        <w:rPr/>
        <w:t> </w:t>
      </w:r>
      <w:r>
        <w:rPr>
          <w:w w:val="90"/>
        </w:rPr>
        <w:t>BOTH</w:t>
      </w:r>
      <w:r>
        <w:rPr/>
        <w:t> </w:t>
      </w:r>
      <w:r>
        <w:rPr>
          <w:w w:val="90"/>
        </w:rPr>
        <w:t>TRADITIONS</w:t>
      </w:r>
      <w:r>
        <w:rPr/>
        <w:t> </w:t>
      </w:r>
      <w:r>
        <w:rPr>
          <w:w w:val="90"/>
        </w:rPr>
        <w:t>VIA</w:t>
      </w:r>
      <w:r>
        <w:rPr>
          <w:spacing w:val="18"/>
        </w:rPr>
        <w:t> </w:t>
      </w:r>
      <w:r>
        <w:rPr>
          <w:w w:val="90"/>
        </w:rPr>
        <w:t>THE</w:t>
      </w:r>
      <w:r>
        <w:rPr/>
        <w:t> </w:t>
      </w:r>
      <w:r>
        <w:rPr>
          <w:w w:val="90"/>
        </w:rPr>
        <w:t>#METOO </w:t>
      </w:r>
      <w:r>
        <w:rPr>
          <w:spacing w:val="-4"/>
        </w:rPr>
        <w:t>LENS</w:t>
      </w:r>
    </w:p>
    <w:p>
      <w:pPr>
        <w:pStyle w:val="BodyText"/>
        <w:spacing w:line="249" w:lineRule="auto" w:before="74"/>
        <w:ind w:right="1441" w:firstLine="432"/>
        <w:jc w:val="both"/>
      </w:pPr>
      <w:r>
        <w:rPr/>
        <w:t>The #MeToo movement has brought victim blaming, harassment, and silencing into sharper focus. Such dynamics are ingrained in male power structures throughout Shakespeare’s plays, where women who talk too</w:t>
      </w:r>
      <w:r>
        <w:rPr>
          <w:spacing w:val="40"/>
        </w:rPr>
        <w:t> </w:t>
      </w:r>
      <w:r>
        <w:rPr/>
        <w:t>freely are</w:t>
      </w:r>
      <w:r>
        <w:rPr>
          <w:spacing w:val="40"/>
        </w:rPr>
        <w:t> </w:t>
      </w:r>
      <w:r>
        <w:rPr/>
        <w:t>called</w:t>
      </w:r>
      <w:r>
        <w:rPr>
          <w:spacing w:val="40"/>
        </w:rPr>
        <w:t> </w:t>
      </w:r>
      <w:r>
        <w:rPr/>
        <w:t>“shrews,” “witches,” or “whores.”</w:t>
      </w:r>
    </w:p>
    <w:p>
      <w:pPr>
        <w:pStyle w:val="BodyText"/>
        <w:spacing w:line="249" w:lineRule="auto" w:before="60"/>
        <w:ind w:right="1440" w:firstLine="432"/>
        <w:jc w:val="both"/>
      </w:pPr>
      <w:r>
        <w:rPr/>
        <w:t>The #MeToo lens demonstrates how Gandhian moral patriarchal standards,</w:t>
      </w:r>
      <w:r>
        <w:rPr>
          <w:spacing w:val="-1"/>
        </w:rPr>
        <w:t> </w:t>
      </w:r>
      <w:r>
        <w:rPr/>
        <w:t>while celebrating</w:t>
      </w:r>
      <w:r>
        <w:rPr>
          <w:spacing w:val="-1"/>
        </w:rPr>
        <w:t> </w:t>
      </w:r>
      <w:r>
        <w:rPr/>
        <w:t>women’s involvement</w:t>
      </w:r>
      <w:r>
        <w:rPr>
          <w:spacing w:val="-1"/>
        </w:rPr>
        <w:t> </w:t>
      </w:r>
      <w:r>
        <w:rPr/>
        <w:t>in the</w:t>
      </w:r>
      <w:r>
        <w:rPr>
          <w:spacing w:val="-1"/>
        </w:rPr>
        <w:t> </w:t>
      </w:r>
      <w:r>
        <w:rPr/>
        <w:t>independence struggle,</w:t>
      </w:r>
      <w:r>
        <w:rPr>
          <w:spacing w:val="-13"/>
        </w:rPr>
        <w:t> </w:t>
      </w:r>
      <w:r>
        <w:rPr/>
        <w:t>regulate</w:t>
      </w:r>
      <w:r>
        <w:rPr>
          <w:spacing w:val="-12"/>
        </w:rPr>
        <w:t> </w:t>
      </w:r>
      <w:r>
        <w:rPr/>
        <w:t>women’s</w:t>
      </w:r>
      <w:r>
        <w:rPr>
          <w:spacing w:val="-13"/>
        </w:rPr>
        <w:t> </w:t>
      </w:r>
      <w:r>
        <w:rPr/>
        <w:t>sexuality</w:t>
      </w:r>
      <w:r>
        <w:rPr>
          <w:spacing w:val="-12"/>
        </w:rPr>
        <w:t> </w:t>
      </w:r>
      <w:r>
        <w:rPr/>
        <w:t>and</w:t>
      </w:r>
      <w:r>
        <w:rPr>
          <w:spacing w:val="-13"/>
        </w:rPr>
        <w:t> </w:t>
      </w:r>
      <w:r>
        <w:rPr/>
        <w:t>public</w:t>
      </w:r>
      <w:r>
        <w:rPr>
          <w:spacing w:val="-12"/>
        </w:rPr>
        <w:t> </w:t>
      </w:r>
      <w:r>
        <w:rPr/>
        <w:t>appearance</w:t>
      </w:r>
      <w:r>
        <w:rPr>
          <w:spacing w:val="-13"/>
        </w:rPr>
        <w:t> </w:t>
      </w:r>
      <w:r>
        <w:rPr/>
        <w:t>in</w:t>
      </w:r>
      <w:r>
        <w:rPr>
          <w:spacing w:val="-12"/>
        </w:rPr>
        <w:t> </w:t>
      </w:r>
      <w:r>
        <w:rPr/>
        <w:t>the</w:t>
      </w:r>
      <w:r>
        <w:rPr>
          <w:spacing w:val="-13"/>
        </w:rPr>
        <w:t> </w:t>
      </w:r>
      <w:r>
        <w:rPr/>
        <w:t>Indian literature. For example:</w:t>
      </w:r>
    </w:p>
    <w:p>
      <w:pPr>
        <w:pStyle w:val="ListParagraph"/>
        <w:numPr>
          <w:ilvl w:val="0"/>
          <w:numId w:val="73"/>
        </w:numPr>
        <w:tabs>
          <w:tab w:pos="2160" w:val="left" w:leader="none"/>
        </w:tabs>
        <w:spacing w:line="261" w:lineRule="auto" w:before="69" w:after="0"/>
        <w:ind w:left="2160" w:right="1439" w:hanging="240"/>
        <w:jc w:val="both"/>
        <w:rPr>
          <w:sz w:val="20"/>
        </w:rPr>
      </w:pPr>
      <w:r>
        <w:rPr>
          <w:spacing w:val="-2"/>
          <w:sz w:val="20"/>
        </w:rPr>
        <w:t>Anand</w:t>
      </w:r>
      <w:r>
        <w:rPr>
          <w:spacing w:val="-11"/>
          <w:sz w:val="20"/>
        </w:rPr>
        <w:t> </w:t>
      </w:r>
      <w:r>
        <w:rPr>
          <w:spacing w:val="-2"/>
          <w:sz w:val="20"/>
        </w:rPr>
        <w:t>emphasizes</w:t>
      </w:r>
      <w:r>
        <w:rPr>
          <w:spacing w:val="-10"/>
          <w:sz w:val="20"/>
        </w:rPr>
        <w:t> </w:t>
      </w:r>
      <w:r>
        <w:rPr>
          <w:spacing w:val="-2"/>
          <w:sz w:val="20"/>
        </w:rPr>
        <w:t>Bakha’s</w:t>
      </w:r>
      <w:r>
        <w:rPr>
          <w:spacing w:val="-11"/>
          <w:sz w:val="20"/>
        </w:rPr>
        <w:t> </w:t>
      </w:r>
      <w:r>
        <w:rPr>
          <w:spacing w:val="-2"/>
          <w:sz w:val="20"/>
        </w:rPr>
        <w:t>caste</w:t>
      </w:r>
      <w:r>
        <w:rPr>
          <w:spacing w:val="-10"/>
          <w:sz w:val="20"/>
        </w:rPr>
        <w:t> </w:t>
      </w:r>
      <w:r>
        <w:rPr>
          <w:spacing w:val="-2"/>
          <w:sz w:val="20"/>
        </w:rPr>
        <w:t>discrimination</w:t>
      </w:r>
      <w:r>
        <w:rPr>
          <w:spacing w:val="-11"/>
          <w:sz w:val="20"/>
        </w:rPr>
        <w:t> </w:t>
      </w:r>
      <w:r>
        <w:rPr>
          <w:spacing w:val="-2"/>
          <w:sz w:val="20"/>
        </w:rPr>
        <w:t>in</w:t>
      </w:r>
      <w:r>
        <w:rPr>
          <w:spacing w:val="-10"/>
          <w:sz w:val="20"/>
        </w:rPr>
        <w:t> </w:t>
      </w:r>
      <w:r>
        <w:rPr>
          <w:spacing w:val="-2"/>
          <w:sz w:val="20"/>
        </w:rPr>
        <w:t>Untouchable, </w:t>
      </w:r>
      <w:r>
        <w:rPr>
          <w:sz w:val="20"/>
        </w:rPr>
        <w:t>but women are treated sparingly in the book; when they do appear, they are frequently portrayed as victims or domestic figures, which upholds rather than challenges patriarchal </w:t>
      </w:r>
      <w:r>
        <w:rPr>
          <w:spacing w:val="-2"/>
          <w:sz w:val="20"/>
        </w:rPr>
        <w:t>standards.</w:t>
      </w:r>
    </w:p>
    <w:p>
      <w:pPr>
        <w:pStyle w:val="ListParagraph"/>
        <w:numPr>
          <w:ilvl w:val="0"/>
          <w:numId w:val="73"/>
        </w:numPr>
        <w:tabs>
          <w:tab w:pos="2160" w:val="left" w:leader="none"/>
        </w:tabs>
        <w:spacing w:line="261" w:lineRule="auto" w:before="54" w:after="0"/>
        <w:ind w:left="2160" w:right="1438" w:hanging="240"/>
        <w:jc w:val="both"/>
        <w:rPr>
          <w:sz w:val="20"/>
        </w:rPr>
      </w:pPr>
      <w:r>
        <w:rPr>
          <w:sz w:val="20"/>
        </w:rPr>
        <w:t>Narayan’s subtle irony undermines idealization in Waiting for the Mahatma and A Tiger for Malgudi, but while the male protagonists navigate more significant historical ethical conflicts, women continue to predominantly occupy the domains of care, waiting, and domestic order. Shakespeare’s and Gandhian novel worlds, therefore, become intertwined locations of patriarchal negotiation from a #MeToo-informed perspective:</w:t>
      </w:r>
      <w:r>
        <w:rPr>
          <w:spacing w:val="-2"/>
          <w:sz w:val="20"/>
        </w:rPr>
        <w:t> </w:t>
      </w:r>
      <w:r>
        <w:rPr>
          <w:sz w:val="20"/>
        </w:rPr>
        <w:t>places</w:t>
      </w:r>
      <w:r>
        <w:rPr>
          <w:spacing w:val="-6"/>
          <w:sz w:val="20"/>
        </w:rPr>
        <w:t> </w:t>
      </w:r>
      <w:r>
        <w:rPr>
          <w:sz w:val="20"/>
        </w:rPr>
        <w:t>where</w:t>
      </w:r>
      <w:r>
        <w:rPr>
          <w:spacing w:val="-2"/>
          <w:sz w:val="20"/>
        </w:rPr>
        <w:t> </w:t>
      </w:r>
      <w:r>
        <w:rPr>
          <w:sz w:val="20"/>
        </w:rPr>
        <w:t>women</w:t>
      </w:r>
      <w:r>
        <w:rPr>
          <w:spacing w:val="-6"/>
          <w:sz w:val="20"/>
        </w:rPr>
        <w:t> </w:t>
      </w:r>
      <w:r>
        <w:rPr>
          <w:sz w:val="20"/>
        </w:rPr>
        <w:t>are</w:t>
      </w:r>
      <w:r>
        <w:rPr>
          <w:spacing w:val="-1"/>
          <w:sz w:val="20"/>
        </w:rPr>
        <w:t> </w:t>
      </w:r>
      <w:r>
        <w:rPr>
          <w:sz w:val="20"/>
        </w:rPr>
        <w:t>invited</w:t>
      </w:r>
      <w:r>
        <w:rPr>
          <w:spacing w:val="-4"/>
          <w:sz w:val="20"/>
        </w:rPr>
        <w:t> </w:t>
      </w:r>
      <w:r>
        <w:rPr>
          <w:sz w:val="20"/>
        </w:rPr>
        <w:t>to</w:t>
      </w:r>
      <w:r>
        <w:rPr>
          <w:spacing w:val="-2"/>
          <w:sz w:val="20"/>
        </w:rPr>
        <w:t> </w:t>
      </w:r>
      <w:r>
        <w:rPr>
          <w:sz w:val="20"/>
        </w:rPr>
        <w:t>speak,</w:t>
      </w:r>
      <w:r>
        <w:rPr>
          <w:spacing w:val="-4"/>
          <w:sz w:val="20"/>
        </w:rPr>
        <w:t> </w:t>
      </w:r>
      <w:r>
        <w:rPr>
          <w:sz w:val="20"/>
        </w:rPr>
        <w:t>act,</w:t>
      </w:r>
      <w:r>
        <w:rPr>
          <w:spacing w:val="-2"/>
          <w:sz w:val="20"/>
        </w:rPr>
        <w:t> </w:t>
      </w:r>
      <w:r>
        <w:rPr>
          <w:sz w:val="20"/>
        </w:rPr>
        <w:t>and suffer,</w:t>
      </w:r>
      <w:r>
        <w:rPr>
          <w:spacing w:val="-13"/>
          <w:sz w:val="20"/>
        </w:rPr>
        <w:t> </w:t>
      </w:r>
      <w:r>
        <w:rPr>
          <w:sz w:val="20"/>
        </w:rPr>
        <w:t>but</w:t>
      </w:r>
      <w:r>
        <w:rPr>
          <w:spacing w:val="-12"/>
          <w:sz w:val="20"/>
        </w:rPr>
        <w:t> </w:t>
      </w:r>
      <w:r>
        <w:rPr>
          <w:sz w:val="20"/>
        </w:rPr>
        <w:t>inside</w:t>
      </w:r>
      <w:r>
        <w:rPr>
          <w:spacing w:val="-13"/>
          <w:sz w:val="20"/>
        </w:rPr>
        <w:t> </w:t>
      </w:r>
      <w:r>
        <w:rPr>
          <w:sz w:val="20"/>
        </w:rPr>
        <w:t>scripts</w:t>
      </w:r>
      <w:r>
        <w:rPr>
          <w:spacing w:val="-12"/>
          <w:sz w:val="20"/>
        </w:rPr>
        <w:t> </w:t>
      </w:r>
      <w:r>
        <w:rPr>
          <w:sz w:val="20"/>
        </w:rPr>
        <w:t>that</w:t>
      </w:r>
      <w:r>
        <w:rPr>
          <w:spacing w:val="-13"/>
          <w:sz w:val="20"/>
        </w:rPr>
        <w:t> </w:t>
      </w:r>
      <w:r>
        <w:rPr>
          <w:sz w:val="20"/>
        </w:rPr>
        <w:t>condition</w:t>
      </w:r>
      <w:r>
        <w:rPr>
          <w:spacing w:val="-12"/>
          <w:sz w:val="20"/>
        </w:rPr>
        <w:t> </w:t>
      </w:r>
      <w:r>
        <w:rPr>
          <w:sz w:val="20"/>
        </w:rPr>
        <w:t>their</w:t>
      </w:r>
      <w:r>
        <w:rPr>
          <w:spacing w:val="-13"/>
          <w:sz w:val="20"/>
        </w:rPr>
        <w:t> </w:t>
      </w:r>
      <w:r>
        <w:rPr>
          <w:sz w:val="20"/>
        </w:rPr>
        <w:t>agency</w:t>
      </w:r>
      <w:r>
        <w:rPr>
          <w:spacing w:val="-12"/>
          <w:sz w:val="20"/>
        </w:rPr>
        <w:t> </w:t>
      </w:r>
      <w:r>
        <w:rPr>
          <w:sz w:val="20"/>
        </w:rPr>
        <w:t>beforehand.</w:t>
      </w:r>
    </w:p>
    <w:p>
      <w:pPr>
        <w:pStyle w:val="Heading3"/>
        <w:spacing w:before="141"/>
        <w:ind w:right="1437"/>
      </w:pPr>
      <w:r>
        <w:rPr>
          <w:spacing w:val="-2"/>
          <w:w w:val="90"/>
        </w:rPr>
        <w:t>IMPLICATIONS</w:t>
      </w:r>
      <w:r>
        <w:rPr>
          <w:spacing w:val="-20"/>
          <w:w w:val="90"/>
        </w:rPr>
        <w:t> </w:t>
      </w:r>
      <w:r>
        <w:rPr>
          <w:spacing w:val="-2"/>
          <w:w w:val="90"/>
        </w:rPr>
        <w:t>FOR</w:t>
      </w:r>
      <w:r>
        <w:rPr>
          <w:spacing w:val="-20"/>
          <w:w w:val="90"/>
        </w:rPr>
        <w:t> </w:t>
      </w:r>
      <w:r>
        <w:rPr>
          <w:spacing w:val="-2"/>
          <w:w w:val="90"/>
        </w:rPr>
        <w:t>EDUCATION:</w:t>
      </w:r>
      <w:r>
        <w:rPr>
          <w:spacing w:val="-20"/>
          <w:w w:val="90"/>
        </w:rPr>
        <w:t> </w:t>
      </w:r>
      <w:r>
        <w:rPr>
          <w:spacing w:val="-2"/>
          <w:w w:val="90"/>
        </w:rPr>
        <w:t>TEACHING</w:t>
      </w:r>
      <w:r>
        <w:rPr>
          <w:spacing w:val="-20"/>
          <w:w w:val="90"/>
        </w:rPr>
        <w:t> </w:t>
      </w:r>
      <w:r>
        <w:rPr>
          <w:spacing w:val="-2"/>
          <w:w w:val="90"/>
        </w:rPr>
        <w:t>GANDHIAN </w:t>
      </w:r>
      <w:r>
        <w:rPr>
          <w:spacing w:val="-2"/>
        </w:rPr>
        <w:t>WOMEN</w:t>
      </w:r>
      <w:r>
        <w:rPr>
          <w:spacing w:val="-15"/>
        </w:rPr>
        <w:t> </w:t>
      </w:r>
      <w:r>
        <w:rPr>
          <w:spacing w:val="-2"/>
        </w:rPr>
        <w:t>AND</w:t>
      </w:r>
      <w:r>
        <w:rPr>
          <w:spacing w:val="-15"/>
        </w:rPr>
        <w:t> </w:t>
      </w:r>
      <w:r>
        <w:rPr>
          <w:spacing w:val="-2"/>
        </w:rPr>
        <w:t>KATHERINA</w:t>
      </w:r>
      <w:r>
        <w:rPr>
          <w:spacing w:val="-15"/>
        </w:rPr>
        <w:t> </w:t>
      </w:r>
      <w:r>
        <w:rPr>
          <w:spacing w:val="-2"/>
        </w:rPr>
        <w:t>TODAY</w:t>
      </w:r>
    </w:p>
    <w:p>
      <w:pPr>
        <w:pStyle w:val="BodyText"/>
        <w:spacing w:line="249" w:lineRule="auto" w:before="74"/>
        <w:ind w:right="1441" w:firstLine="432"/>
        <w:jc w:val="both"/>
      </w:pPr>
      <w:r>
        <w:rPr/>
        <w:t>Teachers and academics studying gender and literature find the comparative viewpoint very helpful in the classroom. In post-#MeToo curriculum,</w:t>
      </w:r>
      <w:r>
        <w:rPr>
          <w:spacing w:val="-13"/>
        </w:rPr>
        <w:t> </w:t>
      </w:r>
      <w:r>
        <w:rPr/>
        <w:t>The</w:t>
      </w:r>
      <w:r>
        <w:rPr>
          <w:spacing w:val="-12"/>
        </w:rPr>
        <w:t> </w:t>
      </w:r>
      <w:r>
        <w:rPr/>
        <w:t>Taming</w:t>
      </w:r>
      <w:r>
        <w:rPr>
          <w:spacing w:val="-13"/>
        </w:rPr>
        <w:t> </w:t>
      </w:r>
      <w:r>
        <w:rPr/>
        <w:t>of</w:t>
      </w:r>
      <w:r>
        <w:rPr>
          <w:spacing w:val="-12"/>
        </w:rPr>
        <w:t> </w:t>
      </w:r>
      <w:r>
        <w:rPr/>
        <w:t>the</w:t>
      </w:r>
      <w:r>
        <w:rPr>
          <w:spacing w:val="-11"/>
        </w:rPr>
        <w:t> </w:t>
      </w:r>
      <w:r>
        <w:rPr/>
        <w:t>Shrew</w:t>
      </w:r>
      <w:r>
        <w:rPr>
          <w:spacing w:val="-13"/>
        </w:rPr>
        <w:t> </w:t>
      </w:r>
      <w:r>
        <w:rPr/>
        <w:t>should</w:t>
      </w:r>
      <w:r>
        <w:rPr>
          <w:spacing w:val="-10"/>
        </w:rPr>
        <w:t> </w:t>
      </w:r>
      <w:r>
        <w:rPr/>
        <w:t>be</w:t>
      </w:r>
      <w:r>
        <w:rPr>
          <w:spacing w:val="-10"/>
        </w:rPr>
        <w:t> </w:t>
      </w:r>
      <w:r>
        <w:rPr/>
        <w:t>viewed</w:t>
      </w:r>
      <w:r>
        <w:rPr>
          <w:spacing w:val="-11"/>
        </w:rPr>
        <w:t> </w:t>
      </w:r>
      <w:r>
        <w:rPr/>
        <w:t>as</w:t>
      </w:r>
      <w:r>
        <w:rPr>
          <w:spacing w:val="-12"/>
        </w:rPr>
        <w:t> </w:t>
      </w:r>
      <w:r>
        <w:rPr/>
        <w:t>a</w:t>
      </w:r>
      <w:r>
        <w:rPr>
          <w:spacing w:val="-11"/>
        </w:rPr>
        <w:t> </w:t>
      </w:r>
      <w:r>
        <w:rPr/>
        <w:t>problematic book that promotes critical engagement with problems like coercion, consent, and the performativity of gender roles rather than as a simple “romantic comedy.”</w:t>
      </w:r>
    </w:p>
    <w:p>
      <w:pPr>
        <w:pStyle w:val="BodyText"/>
        <w:spacing w:line="249" w:lineRule="auto" w:before="63"/>
        <w:ind w:right="1440" w:firstLine="533"/>
        <w:jc w:val="both"/>
      </w:pPr>
      <w:r>
        <w:rPr/>
        <w:t>In a similar vein, when teaching Indian texts with Gandhian influences,</w:t>
      </w:r>
      <w:r>
        <w:rPr>
          <w:spacing w:val="40"/>
        </w:rPr>
        <w:t> </w:t>
      </w:r>
      <w:r>
        <w:rPr/>
        <w:t>students</w:t>
      </w:r>
      <w:r>
        <w:rPr>
          <w:spacing w:val="40"/>
        </w:rPr>
        <w:t> </w:t>
      </w:r>
      <w:r>
        <w:rPr/>
        <w:t>can</w:t>
      </w:r>
      <w:r>
        <w:rPr>
          <w:spacing w:val="40"/>
        </w:rPr>
        <w:t> </w:t>
      </w:r>
      <w:r>
        <w:rPr/>
        <w:t>be</w:t>
      </w:r>
      <w:r>
        <w:rPr>
          <w:spacing w:val="40"/>
        </w:rPr>
        <w:t> </w:t>
      </w:r>
      <w:r>
        <w:rPr/>
        <w:t>encouraged</w:t>
      </w:r>
      <w:r>
        <w:rPr>
          <w:spacing w:val="40"/>
        </w:rPr>
        <w:t> </w:t>
      </w:r>
      <w:r>
        <w:rPr/>
        <w:t>to</w:t>
      </w:r>
      <w:r>
        <w:rPr>
          <w:spacing w:val="40"/>
        </w:rPr>
        <w:t> </w:t>
      </w:r>
      <w:r>
        <w:rPr/>
        <w:t>inquire:</w:t>
      </w:r>
    </w:p>
    <w:p>
      <w:pPr>
        <w:pStyle w:val="ListParagraph"/>
        <w:numPr>
          <w:ilvl w:val="0"/>
          <w:numId w:val="73"/>
        </w:numPr>
        <w:tabs>
          <w:tab w:pos="2160" w:val="left" w:leader="none"/>
        </w:tabs>
        <w:spacing w:line="261" w:lineRule="auto" w:before="69" w:after="0"/>
        <w:ind w:left="2160" w:right="1438" w:hanging="240"/>
        <w:jc w:val="both"/>
        <w:rPr>
          <w:sz w:val="20"/>
        </w:rPr>
      </w:pPr>
      <w:r>
        <w:rPr>
          <w:sz w:val="20"/>
        </w:rPr>
        <w:t>How do these writings uphold patriarchal moral standards while mobilizing women for nationalism?</w:t>
      </w:r>
    </w:p>
    <w:p>
      <w:pPr>
        <w:pStyle w:val="ListParagraph"/>
        <w:spacing w:after="0" w:line="261" w:lineRule="auto"/>
        <w:jc w:val="both"/>
        <w:rPr>
          <w:sz w:val="20"/>
        </w:rPr>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44352">
                <wp:simplePos x="0" y="0"/>
                <wp:positionH relativeFrom="page">
                  <wp:posOffset>2065020</wp:posOffset>
                </wp:positionH>
                <wp:positionV relativeFrom="paragraph">
                  <wp:posOffset>795020</wp:posOffset>
                </wp:positionV>
                <wp:extent cx="3657600" cy="12700"/>
                <wp:effectExtent l="0" t="0" r="0" b="0"/>
                <wp:wrapTopAndBottom/>
                <wp:docPr id="696" name="Graphic 696"/>
                <wp:cNvGraphicFramePr>
                  <a:graphicFrameLocks/>
                </wp:cNvGraphicFramePr>
                <a:graphic>
                  <a:graphicData uri="http://schemas.microsoft.com/office/word/2010/wordprocessingShape">
                    <wps:wsp>
                      <wps:cNvPr id="696" name="Graphic 69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72128;mso-wrap-distance-left:0;mso-wrap-distance-right:0" id="docshape688" filled="true" fillcolor="#000000" stroked="false">
                <v:fill type="solid"/>
                <w10:wrap type="topAndBottom"/>
              </v:rect>
            </w:pict>
          </mc:Fallback>
        </mc:AlternateContent>
      </w:r>
      <w:r>
        <w:rPr>
          <w:rFonts w:ascii="Verdana" w:hAnsi="Verdana"/>
          <w:sz w:val="18"/>
        </w:rPr>
        <w:t>“From</w:t>
      </w:r>
      <w:r>
        <w:rPr>
          <w:rFonts w:ascii="Verdana" w:hAnsi="Verdana"/>
          <w:spacing w:val="-12"/>
          <w:sz w:val="18"/>
        </w:rPr>
        <w:t> </w:t>
      </w:r>
      <w:r>
        <w:rPr>
          <w:rFonts w:ascii="Verdana" w:hAnsi="Verdana"/>
          <w:sz w:val="18"/>
        </w:rPr>
        <w:t>Katherina</w:t>
      </w:r>
      <w:r>
        <w:rPr>
          <w:rFonts w:ascii="Verdana" w:hAnsi="Verdana"/>
          <w:spacing w:val="-9"/>
          <w:sz w:val="18"/>
        </w:rPr>
        <w:t> </w:t>
      </w:r>
      <w:r>
        <w:rPr>
          <w:rFonts w:ascii="Verdana" w:hAnsi="Verdana"/>
          <w:sz w:val="18"/>
        </w:rPr>
        <w:t>to</w:t>
      </w:r>
      <w:r>
        <w:rPr>
          <w:rFonts w:ascii="Verdana" w:hAnsi="Verdana"/>
          <w:spacing w:val="-7"/>
          <w:sz w:val="18"/>
        </w:rPr>
        <w:t> </w:t>
      </w:r>
      <w:r>
        <w:rPr>
          <w:rFonts w:ascii="Verdana" w:hAnsi="Verdana"/>
          <w:sz w:val="18"/>
        </w:rPr>
        <w:t>Kanthapura:</w:t>
      </w:r>
      <w:r>
        <w:rPr>
          <w:rFonts w:ascii="Verdana" w:hAnsi="Verdana"/>
          <w:spacing w:val="-11"/>
          <w:sz w:val="18"/>
        </w:rPr>
        <w:t> </w:t>
      </w:r>
      <w:r>
        <w:rPr>
          <w:rFonts w:ascii="Verdana" w:hAnsi="Verdana"/>
          <w:sz w:val="18"/>
        </w:rPr>
        <w:t>Gender,</w:t>
      </w:r>
      <w:r>
        <w:rPr>
          <w:rFonts w:ascii="Verdana" w:hAnsi="Verdana"/>
          <w:spacing w:val="-10"/>
          <w:sz w:val="18"/>
        </w:rPr>
        <w:t> </w:t>
      </w:r>
      <w:r>
        <w:rPr>
          <w:rFonts w:ascii="Verdana" w:hAnsi="Verdana"/>
          <w:spacing w:val="-2"/>
          <w:sz w:val="18"/>
        </w:rPr>
        <w:t>Power...</w:t>
      </w:r>
      <w:r>
        <w:rPr>
          <w:sz w:val="18"/>
        </w:rPr>
        <w:tab/>
      </w:r>
      <w:r>
        <w:rPr>
          <w:rFonts w:ascii="Verdana" w:hAnsi="Verdana"/>
          <w:spacing w:val="-5"/>
          <w:sz w:val="18"/>
        </w:rPr>
        <w:t>345</w:t>
      </w:r>
    </w:p>
    <w:p>
      <w:pPr>
        <w:pStyle w:val="ListParagraph"/>
        <w:numPr>
          <w:ilvl w:val="0"/>
          <w:numId w:val="73"/>
        </w:numPr>
        <w:tabs>
          <w:tab w:pos="2160" w:val="left" w:leader="none"/>
        </w:tabs>
        <w:spacing w:line="261" w:lineRule="auto" w:before="199" w:after="0"/>
        <w:ind w:left="2160" w:right="1441" w:hanging="240"/>
        <w:jc w:val="both"/>
        <w:rPr>
          <w:sz w:val="20"/>
        </w:rPr>
      </w:pPr>
      <w:r>
        <w:rPr>
          <w:sz w:val="20"/>
        </w:rPr>
        <w:t>How</w:t>
      </w:r>
      <w:r>
        <w:rPr>
          <w:spacing w:val="-8"/>
          <w:sz w:val="20"/>
        </w:rPr>
        <w:t> </w:t>
      </w:r>
      <w:r>
        <w:rPr>
          <w:sz w:val="20"/>
        </w:rPr>
        <w:t>do</w:t>
      </w:r>
      <w:r>
        <w:rPr>
          <w:spacing w:val="-4"/>
          <w:sz w:val="20"/>
        </w:rPr>
        <w:t> </w:t>
      </w:r>
      <w:r>
        <w:rPr>
          <w:sz w:val="20"/>
        </w:rPr>
        <w:t>women’s</w:t>
      </w:r>
      <w:r>
        <w:rPr>
          <w:spacing w:val="-6"/>
          <w:sz w:val="20"/>
        </w:rPr>
        <w:t> </w:t>
      </w:r>
      <w:r>
        <w:rPr>
          <w:sz w:val="20"/>
        </w:rPr>
        <w:t>bodies</w:t>
      </w:r>
      <w:r>
        <w:rPr>
          <w:spacing w:val="-8"/>
          <w:sz w:val="20"/>
        </w:rPr>
        <w:t> </w:t>
      </w:r>
      <w:r>
        <w:rPr>
          <w:sz w:val="20"/>
        </w:rPr>
        <w:t>come</w:t>
      </w:r>
      <w:r>
        <w:rPr>
          <w:spacing w:val="-4"/>
          <w:sz w:val="20"/>
        </w:rPr>
        <w:t> </w:t>
      </w:r>
      <w:r>
        <w:rPr>
          <w:sz w:val="20"/>
        </w:rPr>
        <w:t>to</w:t>
      </w:r>
      <w:r>
        <w:rPr>
          <w:spacing w:val="-3"/>
          <w:sz w:val="20"/>
        </w:rPr>
        <w:t> </w:t>
      </w:r>
      <w:r>
        <w:rPr>
          <w:sz w:val="20"/>
        </w:rPr>
        <w:t>represent</w:t>
      </w:r>
      <w:r>
        <w:rPr>
          <w:spacing w:val="-4"/>
          <w:sz w:val="20"/>
        </w:rPr>
        <w:t> </w:t>
      </w:r>
      <w:r>
        <w:rPr>
          <w:sz w:val="20"/>
        </w:rPr>
        <w:t>national</w:t>
      </w:r>
      <w:r>
        <w:rPr>
          <w:spacing w:val="-6"/>
          <w:sz w:val="20"/>
        </w:rPr>
        <w:t> </w:t>
      </w:r>
      <w:r>
        <w:rPr>
          <w:sz w:val="20"/>
        </w:rPr>
        <w:t>discipline, sacrifice, and</w:t>
      </w:r>
      <w:r>
        <w:rPr>
          <w:spacing w:val="40"/>
          <w:sz w:val="20"/>
        </w:rPr>
        <w:t> </w:t>
      </w:r>
      <w:r>
        <w:rPr>
          <w:sz w:val="20"/>
        </w:rPr>
        <w:t>purity?</w:t>
      </w:r>
    </w:p>
    <w:p>
      <w:pPr>
        <w:pStyle w:val="ListParagraph"/>
        <w:numPr>
          <w:ilvl w:val="0"/>
          <w:numId w:val="73"/>
        </w:numPr>
        <w:tabs>
          <w:tab w:pos="2160" w:val="left" w:leader="none"/>
        </w:tabs>
        <w:spacing w:line="261" w:lineRule="auto" w:before="56" w:after="0"/>
        <w:ind w:left="2160" w:right="1442" w:hanging="240"/>
        <w:jc w:val="both"/>
        <w:rPr>
          <w:sz w:val="20"/>
        </w:rPr>
      </w:pPr>
      <w:r>
        <w:rPr>
          <w:sz w:val="20"/>
        </w:rPr>
        <w:t>How</w:t>
      </w:r>
      <w:r>
        <w:rPr>
          <w:spacing w:val="-13"/>
          <w:sz w:val="20"/>
        </w:rPr>
        <w:t> </w:t>
      </w:r>
      <w:r>
        <w:rPr>
          <w:sz w:val="20"/>
        </w:rPr>
        <w:t>can</w:t>
      </w:r>
      <w:r>
        <w:rPr>
          <w:spacing w:val="-9"/>
          <w:sz w:val="20"/>
        </w:rPr>
        <w:t> </w:t>
      </w:r>
      <w:r>
        <w:rPr>
          <w:sz w:val="20"/>
        </w:rPr>
        <w:t>we</w:t>
      </w:r>
      <w:r>
        <w:rPr>
          <w:spacing w:val="-11"/>
          <w:sz w:val="20"/>
        </w:rPr>
        <w:t> </w:t>
      </w:r>
      <w:r>
        <w:rPr>
          <w:sz w:val="20"/>
        </w:rPr>
        <w:t>interpret</w:t>
      </w:r>
      <w:r>
        <w:rPr>
          <w:spacing w:val="-10"/>
          <w:sz w:val="20"/>
        </w:rPr>
        <w:t> </w:t>
      </w:r>
      <w:r>
        <w:rPr>
          <w:sz w:val="20"/>
        </w:rPr>
        <w:t>these</w:t>
      </w:r>
      <w:r>
        <w:rPr>
          <w:spacing w:val="-11"/>
          <w:sz w:val="20"/>
        </w:rPr>
        <w:t> </w:t>
      </w:r>
      <w:r>
        <w:rPr>
          <w:sz w:val="20"/>
        </w:rPr>
        <w:t>writings</w:t>
      </w:r>
      <w:r>
        <w:rPr>
          <w:spacing w:val="-9"/>
          <w:sz w:val="20"/>
        </w:rPr>
        <w:t> </w:t>
      </w:r>
      <w:r>
        <w:rPr>
          <w:sz w:val="20"/>
        </w:rPr>
        <w:t>in</w:t>
      </w:r>
      <w:r>
        <w:rPr>
          <w:spacing w:val="-11"/>
          <w:sz w:val="20"/>
        </w:rPr>
        <w:t> </w:t>
      </w:r>
      <w:r>
        <w:rPr>
          <w:sz w:val="20"/>
        </w:rPr>
        <w:t>light</w:t>
      </w:r>
      <w:r>
        <w:rPr>
          <w:spacing w:val="-11"/>
          <w:sz w:val="20"/>
        </w:rPr>
        <w:t> </w:t>
      </w:r>
      <w:r>
        <w:rPr>
          <w:sz w:val="20"/>
        </w:rPr>
        <w:t>of</w:t>
      </w:r>
      <w:r>
        <w:rPr>
          <w:spacing w:val="-9"/>
          <w:sz w:val="20"/>
        </w:rPr>
        <w:t> </w:t>
      </w:r>
      <w:r>
        <w:rPr>
          <w:sz w:val="20"/>
        </w:rPr>
        <w:t>modern</w:t>
      </w:r>
      <w:r>
        <w:rPr>
          <w:spacing w:val="-13"/>
          <w:sz w:val="20"/>
        </w:rPr>
        <w:t> </w:t>
      </w:r>
      <w:r>
        <w:rPr>
          <w:sz w:val="20"/>
        </w:rPr>
        <w:t>feminist critiques</w:t>
      </w:r>
      <w:r>
        <w:rPr>
          <w:spacing w:val="-4"/>
          <w:sz w:val="20"/>
        </w:rPr>
        <w:t> </w:t>
      </w:r>
      <w:r>
        <w:rPr>
          <w:sz w:val="20"/>
        </w:rPr>
        <w:t>of</w:t>
      </w:r>
      <w:r>
        <w:rPr>
          <w:spacing w:val="-6"/>
          <w:sz w:val="20"/>
        </w:rPr>
        <w:t> </w:t>
      </w:r>
      <w:r>
        <w:rPr>
          <w:sz w:val="20"/>
        </w:rPr>
        <w:t>caste</w:t>
      </w:r>
      <w:r>
        <w:rPr>
          <w:spacing w:val="-2"/>
          <w:sz w:val="20"/>
        </w:rPr>
        <w:t> </w:t>
      </w:r>
      <w:r>
        <w:rPr>
          <w:sz w:val="20"/>
        </w:rPr>
        <w:t>work</w:t>
      </w:r>
      <w:r>
        <w:rPr>
          <w:spacing w:val="-4"/>
          <w:sz w:val="20"/>
        </w:rPr>
        <w:t> </w:t>
      </w:r>
      <w:r>
        <w:rPr>
          <w:sz w:val="20"/>
        </w:rPr>
        <w:t>that</w:t>
      </w:r>
      <w:r>
        <w:rPr>
          <w:spacing w:val="-4"/>
          <w:sz w:val="20"/>
        </w:rPr>
        <w:t> </w:t>
      </w:r>
      <w:r>
        <w:rPr>
          <w:sz w:val="20"/>
        </w:rPr>
        <w:t>emphasize</w:t>
      </w:r>
      <w:r>
        <w:rPr>
          <w:spacing w:val="-2"/>
          <w:sz w:val="20"/>
        </w:rPr>
        <w:t> </w:t>
      </w:r>
      <w:r>
        <w:rPr>
          <w:sz w:val="20"/>
        </w:rPr>
        <w:t>the</w:t>
      </w:r>
      <w:r>
        <w:rPr>
          <w:spacing w:val="-3"/>
          <w:sz w:val="20"/>
        </w:rPr>
        <w:t> </w:t>
      </w:r>
      <w:r>
        <w:rPr>
          <w:sz w:val="20"/>
        </w:rPr>
        <w:t>labor,</w:t>
      </w:r>
      <w:r>
        <w:rPr>
          <w:spacing w:val="-4"/>
          <w:sz w:val="20"/>
        </w:rPr>
        <w:t> </w:t>
      </w:r>
      <w:r>
        <w:rPr>
          <w:sz w:val="20"/>
        </w:rPr>
        <w:t>sexuality,</w:t>
      </w:r>
      <w:r>
        <w:rPr>
          <w:spacing w:val="-3"/>
          <w:sz w:val="20"/>
        </w:rPr>
        <w:t> </w:t>
      </w:r>
      <w:r>
        <w:rPr>
          <w:sz w:val="20"/>
        </w:rPr>
        <w:t>and voice of women?</w:t>
      </w:r>
    </w:p>
    <w:p>
      <w:pPr>
        <w:pStyle w:val="BodyText"/>
        <w:spacing w:line="261" w:lineRule="auto" w:before="57"/>
        <w:ind w:right="1440" w:firstLine="432"/>
        <w:jc w:val="both"/>
      </w:pPr>
      <w:r>
        <w:rPr/>
        <w:t>Students can perceive gender and patriarchy as trans historical </w:t>
      </w:r>
      <w:r>
        <w:rPr>
          <w:spacing w:val="-2"/>
        </w:rPr>
        <w:t>structures</w:t>
      </w:r>
      <w:r>
        <w:rPr>
          <w:spacing w:val="-3"/>
        </w:rPr>
        <w:t> </w:t>
      </w:r>
      <w:r>
        <w:rPr>
          <w:spacing w:val="-2"/>
        </w:rPr>
        <w:t>that</w:t>
      </w:r>
      <w:r>
        <w:rPr>
          <w:spacing w:val="-3"/>
        </w:rPr>
        <w:t> </w:t>
      </w:r>
      <w:r>
        <w:rPr>
          <w:spacing w:val="-2"/>
        </w:rPr>
        <w:t>move throughout</w:t>
      </w:r>
      <w:r>
        <w:rPr>
          <w:spacing w:val="-3"/>
        </w:rPr>
        <w:t> </w:t>
      </w:r>
      <w:r>
        <w:rPr>
          <w:spacing w:val="-2"/>
        </w:rPr>
        <w:t>early</w:t>
      </w:r>
      <w:r>
        <w:rPr>
          <w:spacing w:val="-6"/>
        </w:rPr>
        <w:t> </w:t>
      </w:r>
      <w:r>
        <w:rPr>
          <w:spacing w:val="-2"/>
        </w:rPr>
        <w:t>modern</w:t>
      </w:r>
      <w:r>
        <w:rPr>
          <w:spacing w:val="-3"/>
        </w:rPr>
        <w:t> </w:t>
      </w:r>
      <w:r>
        <w:rPr>
          <w:spacing w:val="-2"/>
        </w:rPr>
        <w:t>Europe</w:t>
      </w:r>
      <w:r>
        <w:rPr>
          <w:spacing w:val="-4"/>
        </w:rPr>
        <w:t> </w:t>
      </w:r>
      <w:r>
        <w:rPr>
          <w:spacing w:val="-2"/>
        </w:rPr>
        <w:t>and mid-twentieth-</w:t>
      </w:r>
      <w:r>
        <w:rPr/>
        <w:t>century India while adapting to various cultural and political situations according</w:t>
      </w:r>
      <w:r>
        <w:rPr>
          <w:spacing w:val="40"/>
        </w:rPr>
        <w:t> </w:t>
      </w:r>
      <w:r>
        <w:rPr/>
        <w:t>to</w:t>
      </w:r>
      <w:r>
        <w:rPr>
          <w:spacing w:val="40"/>
        </w:rPr>
        <w:t> </w:t>
      </w:r>
      <w:r>
        <w:rPr/>
        <w:t>this</w:t>
      </w:r>
      <w:r>
        <w:rPr>
          <w:spacing w:val="40"/>
        </w:rPr>
        <w:t> </w:t>
      </w:r>
      <w:r>
        <w:rPr/>
        <w:t>comparative</w:t>
      </w:r>
      <w:r>
        <w:rPr>
          <w:spacing w:val="40"/>
        </w:rPr>
        <w:t> </w:t>
      </w:r>
      <w:r>
        <w:rPr/>
        <w:t>perspective.</w:t>
      </w:r>
    </w:p>
    <w:p>
      <w:pPr>
        <w:pStyle w:val="Heading3"/>
        <w:spacing w:line="249" w:lineRule="auto" w:before="151"/>
        <w:ind w:right="1437"/>
      </w:pPr>
      <w:r>
        <w:rPr>
          <w:w w:val="85"/>
        </w:rPr>
        <w:t>HOW</w:t>
      </w:r>
      <w:r>
        <w:rPr>
          <w:spacing w:val="-21"/>
          <w:w w:val="85"/>
        </w:rPr>
        <w:t> </w:t>
      </w:r>
      <w:r>
        <w:rPr>
          <w:w w:val="85"/>
        </w:rPr>
        <w:t>WATER,</w:t>
      </w:r>
      <w:r>
        <w:rPr>
          <w:spacing w:val="-21"/>
          <w:w w:val="85"/>
        </w:rPr>
        <w:t> </w:t>
      </w:r>
      <w:r>
        <w:rPr>
          <w:w w:val="85"/>
        </w:rPr>
        <w:t>FIRE,</w:t>
      </w:r>
      <w:r>
        <w:rPr>
          <w:spacing w:val="-19"/>
          <w:w w:val="85"/>
        </w:rPr>
        <w:t> </w:t>
      </w:r>
      <w:r>
        <w:rPr>
          <w:w w:val="85"/>
        </w:rPr>
        <w:t>AND</w:t>
      </w:r>
      <w:r>
        <w:rPr>
          <w:spacing w:val="-21"/>
          <w:w w:val="85"/>
        </w:rPr>
        <w:t> </w:t>
      </w:r>
      <w:r>
        <w:rPr>
          <w:w w:val="85"/>
        </w:rPr>
        <w:t>CHIRAIYA</w:t>
      </w:r>
      <w:r>
        <w:rPr>
          <w:spacing w:val="-21"/>
          <w:w w:val="85"/>
        </w:rPr>
        <w:t> </w:t>
      </w:r>
      <w:r>
        <w:rPr>
          <w:w w:val="85"/>
        </w:rPr>
        <w:t>RELATE</w:t>
      </w:r>
      <w:r>
        <w:rPr>
          <w:spacing w:val="-21"/>
          <w:w w:val="85"/>
        </w:rPr>
        <w:t> </w:t>
      </w:r>
      <w:r>
        <w:rPr>
          <w:w w:val="85"/>
        </w:rPr>
        <w:t>TO</w:t>
      </w:r>
      <w:r>
        <w:rPr>
          <w:spacing w:val="-19"/>
          <w:w w:val="85"/>
        </w:rPr>
        <w:t> </w:t>
      </w:r>
      <w:r>
        <w:rPr>
          <w:w w:val="85"/>
        </w:rPr>
        <w:t>THE</w:t>
      </w:r>
      <w:r>
        <w:rPr>
          <w:spacing w:val="-21"/>
          <w:w w:val="85"/>
        </w:rPr>
        <w:t> </w:t>
      </w:r>
      <w:r>
        <w:rPr>
          <w:w w:val="85"/>
        </w:rPr>
        <w:t>FEMALE </w:t>
      </w:r>
      <w:r>
        <w:rPr>
          <w:w w:val="95"/>
        </w:rPr>
        <w:t>POWER</w:t>
      </w:r>
      <w:r>
        <w:rPr>
          <w:spacing w:val="-1"/>
          <w:w w:val="95"/>
        </w:rPr>
        <w:t> </w:t>
      </w:r>
      <w:r>
        <w:rPr>
          <w:w w:val="95"/>
        </w:rPr>
        <w:t>DEBATE IS AS FOLLOWS:</w:t>
      </w:r>
    </w:p>
    <w:p>
      <w:pPr>
        <w:pStyle w:val="BodyText"/>
        <w:spacing w:before="76"/>
        <w:ind w:left="1872"/>
        <w:jc w:val="both"/>
      </w:pPr>
      <w:r>
        <w:rPr>
          <w:spacing w:val="-2"/>
        </w:rPr>
        <w:t>Traditional</w:t>
      </w:r>
      <w:r>
        <w:rPr>
          <w:spacing w:val="-1"/>
        </w:rPr>
        <w:t> </w:t>
      </w:r>
      <w:r>
        <w:rPr>
          <w:spacing w:val="-2"/>
        </w:rPr>
        <w:t>Control: Water</w:t>
      </w:r>
      <w:r>
        <w:rPr>
          <w:spacing w:val="2"/>
        </w:rPr>
        <w:t> </w:t>
      </w:r>
      <w:r>
        <w:rPr>
          <w:spacing w:val="-2"/>
        </w:rPr>
        <w:t>(2005)</w:t>
      </w:r>
    </w:p>
    <w:p>
      <w:pPr>
        <w:pStyle w:val="BodyText"/>
        <w:spacing w:line="261" w:lineRule="auto" w:before="77"/>
        <w:ind w:right="1440" w:firstLine="432"/>
        <w:jc w:val="both"/>
      </w:pPr>
      <w:r>
        <w:rPr/>
        <w:t>This film, which was directed by Deepa Mehta, is an insightful examination of the ways in which patriarchal “moral codes” deprive women of their identities.</w:t>
      </w:r>
    </w:p>
    <w:p>
      <w:pPr>
        <w:pStyle w:val="BodyText"/>
        <w:spacing w:line="261" w:lineRule="auto" w:before="57"/>
        <w:ind w:right="1440" w:firstLine="432"/>
        <w:jc w:val="both"/>
      </w:pPr>
      <w:r>
        <w:rPr/>
        <w:t>The</w:t>
      </w:r>
      <w:r>
        <w:rPr>
          <w:spacing w:val="-6"/>
        </w:rPr>
        <w:t> </w:t>
      </w:r>
      <w:r>
        <w:rPr/>
        <w:t>Power</w:t>
      </w:r>
      <w:r>
        <w:rPr>
          <w:spacing w:val="-7"/>
        </w:rPr>
        <w:t> </w:t>
      </w:r>
      <w:r>
        <w:rPr/>
        <w:t>Dynamic:</w:t>
      </w:r>
      <w:r>
        <w:rPr>
          <w:spacing w:val="-7"/>
        </w:rPr>
        <w:t> </w:t>
      </w:r>
      <w:r>
        <w:rPr/>
        <w:t>The</w:t>
      </w:r>
      <w:r>
        <w:rPr>
          <w:spacing w:val="-6"/>
        </w:rPr>
        <w:t> </w:t>
      </w:r>
      <w:r>
        <w:rPr/>
        <w:t>movie,</w:t>
      </w:r>
      <w:r>
        <w:rPr>
          <w:spacing w:val="-5"/>
        </w:rPr>
        <w:t> </w:t>
      </w:r>
      <w:r>
        <w:rPr/>
        <w:t>which</w:t>
      </w:r>
      <w:r>
        <w:rPr>
          <w:spacing w:val="-11"/>
        </w:rPr>
        <w:t> </w:t>
      </w:r>
      <w:r>
        <w:rPr/>
        <w:t>is</w:t>
      </w:r>
      <w:r>
        <w:rPr>
          <w:spacing w:val="-7"/>
        </w:rPr>
        <w:t> </w:t>
      </w:r>
      <w:r>
        <w:rPr/>
        <w:t>set</w:t>
      </w:r>
      <w:r>
        <w:rPr>
          <w:spacing w:val="-7"/>
        </w:rPr>
        <w:t> </w:t>
      </w:r>
      <w:r>
        <w:rPr/>
        <w:t>in</w:t>
      </w:r>
      <w:r>
        <w:rPr>
          <w:spacing w:val="-7"/>
        </w:rPr>
        <w:t> </w:t>
      </w:r>
      <w:r>
        <w:rPr/>
        <w:t>the</w:t>
      </w:r>
      <w:r>
        <w:rPr>
          <w:spacing w:val="-8"/>
        </w:rPr>
        <w:t> </w:t>
      </w:r>
      <w:r>
        <w:rPr/>
        <w:t>1940s,</w:t>
      </w:r>
      <w:r>
        <w:rPr>
          <w:spacing w:val="-5"/>
        </w:rPr>
        <w:t> </w:t>
      </w:r>
      <w:r>
        <w:rPr/>
        <w:t>depicts how widows are marginalized by the use of religion and tradition as weapons. Women who no longer “serve” a male figure (a spouse) are </w:t>
      </w:r>
      <w:r>
        <w:rPr>
          <w:spacing w:val="-2"/>
        </w:rPr>
        <w:t>expelled</w:t>
      </w:r>
      <w:r>
        <w:rPr>
          <w:spacing w:val="-6"/>
        </w:rPr>
        <w:t> </w:t>
      </w:r>
      <w:r>
        <w:rPr>
          <w:spacing w:val="-2"/>
        </w:rPr>
        <w:t>from</w:t>
      </w:r>
      <w:r>
        <w:rPr>
          <w:spacing w:val="-12"/>
        </w:rPr>
        <w:t> </w:t>
      </w:r>
      <w:r>
        <w:rPr>
          <w:spacing w:val="-2"/>
        </w:rPr>
        <w:t>society</w:t>
      </w:r>
      <w:r>
        <w:rPr>
          <w:spacing w:val="-15"/>
        </w:rPr>
        <w:t> </w:t>
      </w:r>
      <w:r>
        <w:rPr>
          <w:spacing w:val="-2"/>
        </w:rPr>
        <w:t>by</w:t>
      </w:r>
      <w:r>
        <w:rPr>
          <w:spacing w:val="-10"/>
        </w:rPr>
        <w:t> </w:t>
      </w:r>
      <w:r>
        <w:rPr>
          <w:spacing w:val="-2"/>
        </w:rPr>
        <w:t>patriarchy</w:t>
      </w:r>
      <w:r>
        <w:rPr>
          <w:spacing w:val="-10"/>
        </w:rPr>
        <w:t> </w:t>
      </w:r>
      <w:r>
        <w:rPr>
          <w:spacing w:val="-2"/>
        </w:rPr>
        <w:t>by</w:t>
      </w:r>
      <w:r>
        <w:rPr>
          <w:spacing w:val="-10"/>
        </w:rPr>
        <w:t> </w:t>
      </w:r>
      <w:r>
        <w:rPr>
          <w:spacing w:val="-2"/>
        </w:rPr>
        <w:t>being</w:t>
      </w:r>
      <w:r>
        <w:rPr>
          <w:spacing w:val="-9"/>
        </w:rPr>
        <w:t> </w:t>
      </w:r>
      <w:r>
        <w:rPr>
          <w:spacing w:val="-2"/>
        </w:rPr>
        <w:t>forced</w:t>
      </w:r>
      <w:r>
        <w:rPr>
          <w:spacing w:val="-8"/>
        </w:rPr>
        <w:t> </w:t>
      </w:r>
      <w:r>
        <w:rPr>
          <w:spacing w:val="-2"/>
        </w:rPr>
        <w:t>into</w:t>
      </w:r>
      <w:r>
        <w:rPr>
          <w:spacing w:val="-5"/>
        </w:rPr>
        <w:t> </w:t>
      </w:r>
      <w:r>
        <w:rPr>
          <w:spacing w:val="-2"/>
        </w:rPr>
        <w:t>“widow</w:t>
      </w:r>
      <w:r>
        <w:rPr>
          <w:spacing w:val="-13"/>
        </w:rPr>
        <w:t> </w:t>
      </w:r>
      <w:r>
        <w:rPr>
          <w:spacing w:val="-2"/>
        </w:rPr>
        <w:t>houses.”</w:t>
      </w:r>
    </w:p>
    <w:p>
      <w:pPr>
        <w:pStyle w:val="BodyText"/>
        <w:spacing w:line="261" w:lineRule="auto" w:before="55"/>
        <w:ind w:right="1438" w:firstLine="432"/>
        <w:jc w:val="both"/>
      </w:pPr>
      <w:r>
        <w:rPr/>
        <w:t>The symbolism: The Ganges river stands for both spiritual purity and the lifeless, frigid existence that widows must endure. They have</w:t>
      </w:r>
      <w:r>
        <w:rPr>
          <w:spacing w:val="40"/>
        </w:rPr>
        <w:t> </w:t>
      </w:r>
      <w:r>
        <w:rPr/>
        <w:t>no agency at all; they are viewed as “surplus” individuals because women</w:t>
      </w:r>
      <w:r>
        <w:rPr>
          <w:spacing w:val="30"/>
        </w:rPr>
        <w:t> </w:t>
      </w:r>
      <w:r>
        <w:rPr/>
        <w:t>outside</w:t>
      </w:r>
      <w:r>
        <w:rPr>
          <w:spacing w:val="33"/>
        </w:rPr>
        <w:t> </w:t>
      </w:r>
      <w:r>
        <w:rPr/>
        <w:t>of</w:t>
      </w:r>
      <w:r>
        <w:rPr>
          <w:spacing w:val="32"/>
        </w:rPr>
        <w:t> </w:t>
      </w:r>
      <w:r>
        <w:rPr/>
        <w:t>marriage</w:t>
      </w:r>
      <w:r>
        <w:rPr>
          <w:spacing w:val="30"/>
        </w:rPr>
        <w:t> </w:t>
      </w:r>
      <w:r>
        <w:rPr/>
        <w:t>have</w:t>
      </w:r>
      <w:r>
        <w:rPr>
          <w:spacing w:val="33"/>
        </w:rPr>
        <w:t> </w:t>
      </w:r>
      <w:r>
        <w:rPr/>
        <w:t>no</w:t>
      </w:r>
      <w:r>
        <w:rPr>
          <w:spacing w:val="32"/>
        </w:rPr>
        <w:t> </w:t>
      </w:r>
      <w:r>
        <w:rPr/>
        <w:t>place</w:t>
      </w:r>
      <w:r>
        <w:rPr>
          <w:spacing w:val="31"/>
        </w:rPr>
        <w:t> </w:t>
      </w:r>
      <w:r>
        <w:rPr/>
        <w:t>in</w:t>
      </w:r>
      <w:r>
        <w:rPr>
          <w:spacing w:val="32"/>
        </w:rPr>
        <w:t> </w:t>
      </w:r>
      <w:r>
        <w:rPr/>
        <w:t>the</w:t>
      </w:r>
      <w:r>
        <w:rPr>
          <w:spacing w:val="32"/>
        </w:rPr>
        <w:t> </w:t>
      </w:r>
      <w:r>
        <w:rPr/>
        <w:t>patriarchal</w:t>
      </w:r>
      <w:r>
        <w:rPr>
          <w:spacing w:val="32"/>
        </w:rPr>
        <w:t> </w:t>
      </w:r>
      <w:r>
        <w:rPr/>
        <w:t>system.</w:t>
      </w:r>
    </w:p>
    <w:p>
      <w:pPr>
        <w:pStyle w:val="Heading3"/>
        <w:spacing w:before="152"/>
      </w:pPr>
      <w:r>
        <w:rPr>
          <w:w w:val="85"/>
        </w:rPr>
        <w:t>FIRE:</w:t>
      </w:r>
      <w:r>
        <w:rPr>
          <w:spacing w:val="2"/>
        </w:rPr>
        <w:t> </w:t>
      </w:r>
      <w:r>
        <w:rPr>
          <w:w w:val="85"/>
        </w:rPr>
        <w:t>REBELLION</w:t>
      </w:r>
      <w:r>
        <w:rPr>
          <w:spacing w:val="2"/>
        </w:rPr>
        <w:t> </w:t>
      </w:r>
      <w:r>
        <w:rPr>
          <w:w w:val="85"/>
        </w:rPr>
        <w:t>AND</w:t>
      </w:r>
      <w:r>
        <w:rPr>
          <w:spacing w:val="3"/>
        </w:rPr>
        <w:t> </w:t>
      </w:r>
      <w:r>
        <w:rPr>
          <w:w w:val="85"/>
        </w:rPr>
        <w:t>DESIRE</w:t>
      </w:r>
      <w:r>
        <w:rPr>
          <w:spacing w:val="4"/>
        </w:rPr>
        <w:t> </w:t>
      </w:r>
      <w:r>
        <w:rPr>
          <w:spacing w:val="-2"/>
          <w:w w:val="85"/>
        </w:rPr>
        <w:t>(1996)</w:t>
      </w:r>
    </w:p>
    <w:p>
      <w:pPr>
        <w:pStyle w:val="BodyText"/>
        <w:spacing w:line="261" w:lineRule="auto" w:before="87"/>
        <w:ind w:right="1440" w:firstLine="432"/>
        <w:jc w:val="both"/>
      </w:pPr>
      <w:r>
        <w:rPr/>
        <w:t>One of the first popular movies to openly question the “ideal Indian</w:t>
      </w:r>
      <w:r>
        <w:rPr>
          <w:spacing w:val="-3"/>
        </w:rPr>
        <w:t> </w:t>
      </w:r>
      <w:r>
        <w:rPr/>
        <w:t>wife”</w:t>
      </w:r>
      <w:r>
        <w:rPr>
          <w:spacing w:val="-2"/>
        </w:rPr>
        <w:t> </w:t>
      </w:r>
      <w:r>
        <w:rPr/>
        <w:t>stereotype</w:t>
      </w:r>
      <w:r>
        <w:rPr>
          <w:spacing w:val="-1"/>
        </w:rPr>
        <w:t> </w:t>
      </w:r>
      <w:r>
        <w:rPr/>
        <w:t>was</w:t>
      </w:r>
      <w:r>
        <w:rPr>
          <w:spacing w:val="-3"/>
        </w:rPr>
        <w:t> </w:t>
      </w:r>
      <w:r>
        <w:rPr/>
        <w:t>this</w:t>
      </w:r>
      <w:r>
        <w:rPr>
          <w:spacing w:val="-2"/>
        </w:rPr>
        <w:t> </w:t>
      </w:r>
      <w:r>
        <w:rPr/>
        <w:t>one,</w:t>
      </w:r>
      <w:r>
        <w:rPr>
          <w:spacing w:val="-2"/>
        </w:rPr>
        <w:t> </w:t>
      </w:r>
      <w:r>
        <w:rPr/>
        <w:t>which</w:t>
      </w:r>
      <w:r>
        <w:rPr>
          <w:spacing w:val="-3"/>
        </w:rPr>
        <w:t> </w:t>
      </w:r>
      <w:r>
        <w:rPr/>
        <w:t>was</w:t>
      </w:r>
      <w:r>
        <w:rPr>
          <w:spacing w:val="-3"/>
        </w:rPr>
        <w:t> </w:t>
      </w:r>
      <w:r>
        <w:rPr/>
        <w:t>also</w:t>
      </w:r>
      <w:r>
        <w:rPr>
          <w:spacing w:val="-2"/>
        </w:rPr>
        <w:t> </w:t>
      </w:r>
      <w:r>
        <w:rPr/>
        <w:t>directed</w:t>
      </w:r>
      <w:r>
        <w:rPr>
          <w:spacing w:val="-2"/>
        </w:rPr>
        <w:t> </w:t>
      </w:r>
      <w:r>
        <w:rPr/>
        <w:t>by</w:t>
      </w:r>
      <w:r>
        <w:rPr>
          <w:spacing w:val="-5"/>
        </w:rPr>
        <w:t> </w:t>
      </w:r>
      <w:r>
        <w:rPr/>
        <w:t>Deepa </w:t>
      </w:r>
      <w:r>
        <w:rPr>
          <w:spacing w:val="-2"/>
        </w:rPr>
        <w:t>Mehta.</w:t>
      </w:r>
    </w:p>
    <w:p>
      <w:pPr>
        <w:pStyle w:val="BodyText"/>
        <w:spacing w:line="261" w:lineRule="auto" w:before="57"/>
        <w:ind w:right="1438" w:firstLine="432"/>
        <w:jc w:val="both"/>
      </w:pPr>
      <w:r>
        <w:rPr/>
        <w:t>The Power Dynamic: It examines two sisters-in-law living in a stuffy, conventional home with husbands who are either emotionally distant or dogmatic about religion. The “fire” stands for the intense</w:t>
      </w:r>
      <w:r>
        <w:rPr>
          <w:spacing w:val="40"/>
        </w:rPr>
        <w:t> </w:t>
      </w:r>
      <w:r>
        <w:rPr/>
        <w:t>need</w:t>
      </w:r>
      <w:r>
        <w:rPr>
          <w:spacing w:val="40"/>
        </w:rPr>
        <w:t> </w:t>
      </w:r>
      <w:r>
        <w:rPr/>
        <w:t>for</w:t>
      </w:r>
      <w:r>
        <w:rPr>
          <w:spacing w:val="40"/>
        </w:rPr>
        <w:t> </w:t>
      </w:r>
      <w:r>
        <w:rPr/>
        <w:t>autonomy</w:t>
      </w:r>
      <w:r>
        <w:rPr>
          <w:spacing w:val="40"/>
        </w:rPr>
        <w:t> </w:t>
      </w:r>
      <w:r>
        <w:rPr/>
        <w:t>and</w:t>
      </w:r>
      <w:r>
        <w:rPr>
          <w:spacing w:val="40"/>
        </w:rPr>
        <w:t> </w:t>
      </w:r>
      <w:r>
        <w:rPr/>
        <w:t>company.</w:t>
      </w:r>
    </w:p>
    <w:p>
      <w:pPr>
        <w:pStyle w:val="BodyText"/>
        <w:spacing w:line="249" w:lineRule="auto" w:before="46"/>
        <w:ind w:right="1441" w:firstLine="432"/>
        <w:jc w:val="both"/>
      </w:pPr>
      <w:r>
        <w:rPr/>
        <w:t>The Conflict: Patriarchy gives husbands the authority to demand their wives’ services while ignoring their needs. When the women fall in love, they are recovering their bodies and lives from a system that sees</w:t>
      </w:r>
      <w:r>
        <w:rPr>
          <w:spacing w:val="37"/>
        </w:rPr>
        <w:t> </w:t>
      </w:r>
      <w:r>
        <w:rPr/>
        <w:t>them</w:t>
      </w:r>
      <w:r>
        <w:rPr>
          <w:spacing w:val="33"/>
        </w:rPr>
        <w:t> </w:t>
      </w:r>
      <w:r>
        <w:rPr/>
        <w:t>as</w:t>
      </w:r>
      <w:r>
        <w:rPr>
          <w:spacing w:val="35"/>
        </w:rPr>
        <w:t> </w:t>
      </w:r>
      <w:r>
        <w:rPr/>
        <w:t>domestic</w:t>
      </w:r>
      <w:r>
        <w:rPr>
          <w:spacing w:val="38"/>
        </w:rPr>
        <w:t> </w:t>
      </w:r>
      <w:r>
        <w:rPr/>
        <w:t>property,</w:t>
      </w:r>
      <w:r>
        <w:rPr>
          <w:spacing w:val="39"/>
        </w:rPr>
        <w:t> </w:t>
      </w:r>
      <w:r>
        <w:rPr/>
        <w:t>not</w:t>
      </w:r>
      <w:r>
        <w:rPr>
          <w:spacing w:val="37"/>
        </w:rPr>
        <w:t> </w:t>
      </w:r>
      <w:r>
        <w:rPr/>
        <w:t>only</w:t>
      </w:r>
      <w:r>
        <w:rPr>
          <w:spacing w:val="35"/>
        </w:rPr>
        <w:t> </w:t>
      </w:r>
      <w:r>
        <w:rPr/>
        <w:t>breaking</w:t>
      </w:r>
      <w:r>
        <w:rPr>
          <w:spacing w:val="33"/>
        </w:rPr>
        <w:t> </w:t>
      </w:r>
      <w:r>
        <w:rPr/>
        <w:t>a</w:t>
      </w:r>
      <w:r>
        <w:rPr>
          <w:spacing w:val="38"/>
        </w:rPr>
        <w:t> </w:t>
      </w:r>
      <w:r>
        <w:rPr/>
        <w:t>societal</w:t>
      </w:r>
      <w:r>
        <w:rPr>
          <w:spacing w:val="37"/>
        </w:rPr>
        <w:t> </w:t>
      </w:r>
      <w:r>
        <w:rPr/>
        <w:t>taboo.</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44864">
                <wp:simplePos x="0" y="0"/>
                <wp:positionH relativeFrom="page">
                  <wp:posOffset>2057400</wp:posOffset>
                </wp:positionH>
                <wp:positionV relativeFrom="paragraph">
                  <wp:posOffset>162604</wp:posOffset>
                </wp:positionV>
                <wp:extent cx="3657600" cy="12700"/>
                <wp:effectExtent l="0" t="0" r="0" b="0"/>
                <wp:wrapTopAndBottom/>
                <wp:docPr id="697" name="Graphic 697"/>
                <wp:cNvGraphicFramePr>
                  <a:graphicFrameLocks/>
                </wp:cNvGraphicFramePr>
                <a:graphic>
                  <a:graphicData uri="http://schemas.microsoft.com/office/word/2010/wordprocessingShape">
                    <wps:wsp>
                      <wps:cNvPr id="697" name="Graphic 69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71616;mso-wrap-distance-left:0;mso-wrap-distance-right:0" id="docshape689" filled="true" fillcolor="#000000" stroked="false">
                <v:fill type="solid"/>
                <w10:wrap type="topAndBottom"/>
              </v:rect>
            </w:pict>
          </mc:Fallback>
        </mc:AlternateContent>
      </w:r>
      <w:r>
        <w:rPr>
          <w:rFonts w:ascii="Verdana"/>
          <w:spacing w:val="-5"/>
          <w:sz w:val="18"/>
        </w:rPr>
        <w:t>346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pPr>
      <w:r>
        <w:rPr>
          <w:w w:val="85"/>
        </w:rPr>
        <w:t>CHIRAIYA’S</w:t>
      </w:r>
      <w:r>
        <w:rPr>
          <w:spacing w:val="26"/>
        </w:rPr>
        <w:t> </w:t>
      </w:r>
      <w:r>
        <w:rPr>
          <w:w w:val="85"/>
        </w:rPr>
        <w:t>THE</w:t>
      </w:r>
      <w:r>
        <w:rPr>
          <w:spacing w:val="27"/>
        </w:rPr>
        <w:t> </w:t>
      </w:r>
      <w:r>
        <w:rPr>
          <w:w w:val="85"/>
        </w:rPr>
        <w:t>SILENCE</w:t>
      </w:r>
      <w:r>
        <w:rPr>
          <w:spacing w:val="27"/>
        </w:rPr>
        <w:t> </w:t>
      </w:r>
      <w:r>
        <w:rPr>
          <w:w w:val="85"/>
        </w:rPr>
        <w:t>OF</w:t>
      </w:r>
      <w:r>
        <w:rPr>
          <w:spacing w:val="26"/>
        </w:rPr>
        <w:t> </w:t>
      </w:r>
      <w:r>
        <w:rPr>
          <w:w w:val="85"/>
        </w:rPr>
        <w:t>DOMESTICITY</w:t>
      </w:r>
      <w:r>
        <w:rPr>
          <w:spacing w:val="27"/>
        </w:rPr>
        <w:t> </w:t>
      </w:r>
      <w:r>
        <w:rPr>
          <w:spacing w:val="-2"/>
          <w:w w:val="85"/>
        </w:rPr>
        <w:t>(2026)</w:t>
      </w:r>
    </w:p>
    <w:p>
      <w:pPr>
        <w:pStyle w:val="BodyText"/>
        <w:spacing w:line="249" w:lineRule="auto" w:before="75"/>
        <w:ind w:right="1441" w:firstLine="432"/>
        <w:jc w:val="both"/>
      </w:pPr>
      <w:r>
        <w:rPr/>
        <w:t>A more modern and eerie look at how power functions inside a “happy”</w:t>
      </w:r>
      <w:r>
        <w:rPr>
          <w:spacing w:val="40"/>
        </w:rPr>
        <w:t> </w:t>
      </w:r>
      <w:r>
        <w:rPr/>
        <w:t>home</w:t>
      </w:r>
      <w:r>
        <w:rPr>
          <w:spacing w:val="40"/>
        </w:rPr>
        <w:t> </w:t>
      </w:r>
      <w:r>
        <w:rPr/>
        <w:t>is</w:t>
      </w:r>
      <w:r>
        <w:rPr>
          <w:spacing w:val="40"/>
        </w:rPr>
        <w:t> </w:t>
      </w:r>
      <w:r>
        <w:rPr/>
        <w:t>provided</w:t>
      </w:r>
      <w:r>
        <w:rPr>
          <w:spacing w:val="40"/>
        </w:rPr>
        <w:t> </w:t>
      </w:r>
      <w:r>
        <w:rPr/>
        <w:t>by</w:t>
      </w:r>
      <w:r>
        <w:rPr>
          <w:spacing w:val="40"/>
        </w:rPr>
        <w:t> </w:t>
      </w:r>
      <w:r>
        <w:rPr/>
        <w:t>this</w:t>
      </w:r>
      <w:r>
        <w:rPr>
          <w:spacing w:val="40"/>
        </w:rPr>
        <w:t> </w:t>
      </w:r>
      <w:r>
        <w:rPr/>
        <w:t>series.</w:t>
      </w:r>
    </w:p>
    <w:p>
      <w:pPr>
        <w:pStyle w:val="BodyText"/>
        <w:spacing w:line="249" w:lineRule="auto" w:before="59"/>
        <w:ind w:right="1441" w:firstLine="432"/>
        <w:jc w:val="both"/>
      </w:pPr>
      <w:r>
        <w:rPr>
          <w:spacing w:val="-2"/>
        </w:rPr>
        <w:t>The</w:t>
      </w:r>
      <w:r>
        <w:rPr>
          <w:spacing w:val="-5"/>
        </w:rPr>
        <w:t> </w:t>
      </w:r>
      <w:r>
        <w:rPr>
          <w:spacing w:val="-2"/>
        </w:rPr>
        <w:t>Power</w:t>
      </w:r>
      <w:r>
        <w:rPr>
          <w:spacing w:val="-4"/>
        </w:rPr>
        <w:t> </w:t>
      </w:r>
      <w:r>
        <w:rPr>
          <w:spacing w:val="-2"/>
        </w:rPr>
        <w:t>Dynamic:</w:t>
      </w:r>
      <w:r>
        <w:rPr>
          <w:spacing w:val="-3"/>
        </w:rPr>
        <w:t> </w:t>
      </w:r>
      <w:r>
        <w:rPr>
          <w:spacing w:val="-2"/>
        </w:rPr>
        <w:t>By</w:t>
      </w:r>
      <w:r>
        <w:rPr>
          <w:spacing w:val="-9"/>
        </w:rPr>
        <w:t> </w:t>
      </w:r>
      <w:r>
        <w:rPr>
          <w:spacing w:val="-2"/>
        </w:rPr>
        <w:t>tackling</w:t>
      </w:r>
      <w:r>
        <w:rPr>
          <w:spacing w:val="-6"/>
        </w:rPr>
        <w:t> </w:t>
      </w:r>
      <w:r>
        <w:rPr>
          <w:spacing w:val="-2"/>
        </w:rPr>
        <w:t>the</w:t>
      </w:r>
      <w:r>
        <w:rPr>
          <w:spacing w:val="-6"/>
        </w:rPr>
        <w:t> </w:t>
      </w:r>
      <w:r>
        <w:rPr>
          <w:spacing w:val="-2"/>
        </w:rPr>
        <w:t>topic</w:t>
      </w:r>
      <w:r>
        <w:rPr>
          <w:spacing w:val="-6"/>
        </w:rPr>
        <w:t> </w:t>
      </w:r>
      <w:r>
        <w:rPr>
          <w:spacing w:val="-2"/>
        </w:rPr>
        <w:t>of</w:t>
      </w:r>
      <w:r>
        <w:rPr>
          <w:spacing w:val="-4"/>
        </w:rPr>
        <w:t> </w:t>
      </w:r>
      <w:r>
        <w:rPr>
          <w:spacing w:val="-2"/>
        </w:rPr>
        <w:t>marital</w:t>
      </w:r>
      <w:r>
        <w:rPr>
          <w:spacing w:val="-6"/>
        </w:rPr>
        <w:t> </w:t>
      </w:r>
      <w:r>
        <w:rPr>
          <w:spacing w:val="-2"/>
        </w:rPr>
        <w:t>rape,</w:t>
      </w:r>
      <w:r>
        <w:rPr>
          <w:spacing w:val="-4"/>
        </w:rPr>
        <w:t> </w:t>
      </w:r>
      <w:r>
        <w:rPr>
          <w:spacing w:val="-2"/>
        </w:rPr>
        <w:t>Chiraiya </w:t>
      </w:r>
      <w:r>
        <w:rPr/>
        <w:t>reveals the most personal kind of patriarchal control: the notion that a woman’s</w:t>
      </w:r>
      <w:r>
        <w:rPr>
          <w:spacing w:val="38"/>
        </w:rPr>
        <w:t> </w:t>
      </w:r>
      <w:r>
        <w:rPr/>
        <w:t>body is</w:t>
      </w:r>
      <w:r>
        <w:rPr>
          <w:spacing w:val="40"/>
        </w:rPr>
        <w:t> </w:t>
      </w:r>
      <w:r>
        <w:rPr/>
        <w:t>a</w:t>
      </w:r>
      <w:r>
        <w:rPr>
          <w:spacing w:val="39"/>
        </w:rPr>
        <w:t> </w:t>
      </w:r>
      <w:r>
        <w:rPr/>
        <w:t>“right”</w:t>
      </w:r>
      <w:r>
        <w:rPr>
          <w:spacing w:val="40"/>
        </w:rPr>
        <w:t> </w:t>
      </w:r>
      <w:r>
        <w:rPr/>
        <w:t>bestowed</w:t>
      </w:r>
      <w:r>
        <w:rPr>
          <w:spacing w:val="40"/>
        </w:rPr>
        <w:t> </w:t>
      </w:r>
      <w:r>
        <w:rPr/>
        <w:t>by a</w:t>
      </w:r>
      <w:r>
        <w:rPr>
          <w:spacing w:val="39"/>
        </w:rPr>
        <w:t> </w:t>
      </w:r>
      <w:r>
        <w:rPr/>
        <w:t>marriage</w:t>
      </w:r>
      <w:r>
        <w:rPr>
          <w:spacing w:val="40"/>
        </w:rPr>
        <w:t> </w:t>
      </w:r>
      <w:r>
        <w:rPr/>
        <w:t>license.</w:t>
      </w:r>
    </w:p>
    <w:p>
      <w:pPr>
        <w:pStyle w:val="BodyText"/>
        <w:spacing w:line="249" w:lineRule="auto" w:before="60"/>
        <w:ind w:right="1441" w:firstLine="432"/>
        <w:jc w:val="both"/>
      </w:pPr>
      <w:r>
        <w:rPr/>
        <w:t>The Conflict: The title, which translates to “bird,” represents the </w:t>
      </w:r>
      <w:r>
        <w:rPr>
          <w:spacing w:val="-2"/>
        </w:rPr>
        <w:t>protagonist’s</w:t>
      </w:r>
      <w:r>
        <w:rPr>
          <w:spacing w:val="-3"/>
        </w:rPr>
        <w:t> </w:t>
      </w:r>
      <w:r>
        <w:rPr>
          <w:spacing w:val="-2"/>
        </w:rPr>
        <w:t>sense</w:t>
      </w:r>
      <w:r>
        <w:rPr>
          <w:spacing w:val="-6"/>
        </w:rPr>
        <w:t> </w:t>
      </w:r>
      <w:r>
        <w:rPr>
          <w:spacing w:val="-2"/>
        </w:rPr>
        <w:t>of</w:t>
      </w:r>
      <w:r>
        <w:rPr>
          <w:spacing w:val="-5"/>
        </w:rPr>
        <w:t> </w:t>
      </w:r>
      <w:r>
        <w:rPr>
          <w:spacing w:val="-2"/>
        </w:rPr>
        <w:t>imprisonment.</w:t>
      </w:r>
      <w:r>
        <w:rPr>
          <w:spacing w:val="-5"/>
        </w:rPr>
        <w:t> </w:t>
      </w:r>
      <w:r>
        <w:rPr>
          <w:spacing w:val="-2"/>
        </w:rPr>
        <w:t>It</w:t>
      </w:r>
      <w:r>
        <w:rPr>
          <w:spacing w:val="-3"/>
        </w:rPr>
        <w:t> </w:t>
      </w:r>
      <w:r>
        <w:rPr>
          <w:spacing w:val="-2"/>
        </w:rPr>
        <w:t>emphasizes</w:t>
      </w:r>
      <w:r>
        <w:rPr>
          <w:spacing w:val="-5"/>
        </w:rPr>
        <w:t> </w:t>
      </w:r>
      <w:r>
        <w:rPr>
          <w:spacing w:val="-2"/>
        </w:rPr>
        <w:t>how</w:t>
      </w:r>
      <w:r>
        <w:rPr>
          <w:spacing w:val="-10"/>
        </w:rPr>
        <w:t> </w:t>
      </w:r>
      <w:r>
        <w:rPr>
          <w:spacing w:val="-2"/>
        </w:rPr>
        <w:t>male</w:t>
      </w:r>
      <w:r>
        <w:rPr>
          <w:spacing w:val="-3"/>
        </w:rPr>
        <w:t> </w:t>
      </w:r>
      <w:r>
        <w:rPr>
          <w:spacing w:val="-2"/>
        </w:rPr>
        <w:t>entitlement </w:t>
      </w:r>
      <w:r>
        <w:rPr/>
        <w:t>is</w:t>
      </w:r>
      <w:r>
        <w:rPr>
          <w:spacing w:val="-13"/>
        </w:rPr>
        <w:t> </w:t>
      </w:r>
      <w:r>
        <w:rPr/>
        <w:t>shielded</w:t>
      </w:r>
      <w:r>
        <w:rPr>
          <w:spacing w:val="-12"/>
        </w:rPr>
        <w:t> </w:t>
      </w:r>
      <w:r>
        <w:rPr/>
        <w:t>by</w:t>
      </w:r>
      <w:r>
        <w:rPr>
          <w:spacing w:val="-13"/>
        </w:rPr>
        <w:t> </w:t>
      </w:r>
      <w:r>
        <w:rPr/>
        <w:t>domestic</w:t>
      </w:r>
      <w:r>
        <w:rPr>
          <w:spacing w:val="-12"/>
        </w:rPr>
        <w:t> </w:t>
      </w:r>
      <w:r>
        <w:rPr/>
        <w:t>silence,</w:t>
      </w:r>
      <w:r>
        <w:rPr>
          <w:spacing w:val="-13"/>
        </w:rPr>
        <w:t> </w:t>
      </w:r>
      <w:r>
        <w:rPr/>
        <w:t>where</w:t>
      </w:r>
      <w:r>
        <w:rPr>
          <w:spacing w:val="-12"/>
        </w:rPr>
        <w:t> </w:t>
      </w:r>
      <w:r>
        <w:rPr/>
        <w:t>the</w:t>
      </w:r>
      <w:r>
        <w:rPr>
          <w:spacing w:val="-13"/>
        </w:rPr>
        <w:t> </w:t>
      </w:r>
      <w:r>
        <w:rPr/>
        <w:t>“sanctity”</w:t>
      </w:r>
      <w:r>
        <w:rPr>
          <w:spacing w:val="-12"/>
        </w:rPr>
        <w:t> </w:t>
      </w:r>
      <w:r>
        <w:rPr/>
        <w:t>of</w:t>
      </w:r>
      <w:r>
        <w:rPr>
          <w:spacing w:val="-13"/>
        </w:rPr>
        <w:t> </w:t>
      </w:r>
      <w:r>
        <w:rPr/>
        <w:t>family</w:t>
      </w:r>
      <w:r>
        <w:rPr>
          <w:spacing w:val="-12"/>
        </w:rPr>
        <w:t> </w:t>
      </w:r>
      <w:r>
        <w:rPr/>
        <w:t>reputation masks</w:t>
      </w:r>
      <w:r>
        <w:rPr>
          <w:spacing w:val="40"/>
        </w:rPr>
        <w:t> </w:t>
      </w:r>
      <w:r>
        <w:rPr/>
        <w:t>the</w:t>
      </w:r>
      <w:r>
        <w:rPr>
          <w:spacing w:val="40"/>
        </w:rPr>
        <w:t> </w:t>
      </w:r>
      <w:r>
        <w:rPr/>
        <w:t>lack</w:t>
      </w:r>
      <w:r>
        <w:rPr>
          <w:spacing w:val="40"/>
        </w:rPr>
        <w:t> </w:t>
      </w:r>
      <w:r>
        <w:rPr/>
        <w:t>of</w:t>
      </w:r>
      <w:r>
        <w:rPr>
          <w:spacing w:val="40"/>
        </w:rPr>
        <w:t> </w:t>
      </w:r>
      <w:r>
        <w:rPr/>
        <w:t>consent.</w:t>
      </w:r>
    </w:p>
    <w:p>
      <w:pPr>
        <w:pStyle w:val="Heading3"/>
        <w:spacing w:before="160"/>
      </w:pPr>
      <w:r>
        <w:rPr>
          <w:w w:val="85"/>
        </w:rPr>
        <w:t>IN</w:t>
      </w:r>
      <w:r>
        <w:rPr>
          <w:spacing w:val="-6"/>
        </w:rPr>
        <w:t> </w:t>
      </w:r>
      <w:r>
        <w:rPr>
          <w:spacing w:val="-2"/>
        </w:rPr>
        <w:t>CONCLUSION</w:t>
      </w:r>
    </w:p>
    <w:p>
      <w:pPr>
        <w:pStyle w:val="BodyText"/>
        <w:spacing w:line="249" w:lineRule="auto" w:before="75"/>
        <w:ind w:right="1437" w:firstLine="432"/>
        <w:jc w:val="both"/>
      </w:pPr>
      <w:r>
        <w:rPr/>
        <w:t>In “From Katherina to Kanthapura,” It is examined how gender, </w:t>
      </w:r>
      <w:r>
        <w:rPr>
          <w:spacing w:val="-2"/>
        </w:rPr>
        <w:t>power, and patriarchy</w:t>
      </w:r>
      <w:r>
        <w:rPr>
          <w:spacing w:val="-7"/>
        </w:rPr>
        <w:t> </w:t>
      </w:r>
      <w:r>
        <w:rPr>
          <w:spacing w:val="-2"/>
        </w:rPr>
        <w:t>are</w:t>
      </w:r>
      <w:r>
        <w:rPr>
          <w:spacing w:val="-3"/>
        </w:rPr>
        <w:t> </w:t>
      </w:r>
      <w:r>
        <w:rPr>
          <w:spacing w:val="-2"/>
        </w:rPr>
        <w:t>interwoven in</w:t>
      </w:r>
      <w:r>
        <w:rPr>
          <w:spacing w:val="-4"/>
        </w:rPr>
        <w:t> </w:t>
      </w:r>
      <w:r>
        <w:rPr>
          <w:spacing w:val="-2"/>
        </w:rPr>
        <w:t>Gandhian-inspired Indian</w:t>
      </w:r>
      <w:r>
        <w:rPr>
          <w:spacing w:val="-4"/>
        </w:rPr>
        <w:t> </w:t>
      </w:r>
      <w:r>
        <w:rPr>
          <w:spacing w:val="-2"/>
        </w:rPr>
        <w:t>novels </w:t>
      </w:r>
      <w:r>
        <w:rPr/>
        <w:t>by Raja Rao, R.K. Narayan, and Mulk Raj Anand as well as in Shakespeare’s Taming of the Shrew. In both traditions, women are portrayed as important but limited characters: Gandhian women are “uplifted” into nationalist sacrifice, while Katherina is “tamed” into </w:t>
      </w:r>
      <w:r>
        <w:rPr>
          <w:spacing w:val="-2"/>
        </w:rPr>
        <w:t>wifely</w:t>
      </w:r>
      <w:r>
        <w:rPr>
          <w:spacing w:val="-17"/>
        </w:rPr>
        <w:t> </w:t>
      </w:r>
      <w:r>
        <w:rPr>
          <w:spacing w:val="-2"/>
        </w:rPr>
        <w:t>obedience.</w:t>
      </w:r>
      <w:r>
        <w:rPr>
          <w:spacing w:val="-8"/>
        </w:rPr>
        <w:t> </w:t>
      </w:r>
      <w:r>
        <w:rPr>
          <w:spacing w:val="-2"/>
        </w:rPr>
        <w:t>Both</w:t>
      </w:r>
      <w:r>
        <w:rPr>
          <w:spacing w:val="-15"/>
        </w:rPr>
        <w:t> </w:t>
      </w:r>
      <w:r>
        <w:rPr>
          <w:spacing w:val="-2"/>
        </w:rPr>
        <w:t>projects</w:t>
      </w:r>
      <w:r>
        <w:rPr>
          <w:spacing w:val="-14"/>
        </w:rPr>
        <w:t> </w:t>
      </w:r>
      <w:r>
        <w:rPr>
          <w:spacing w:val="-2"/>
        </w:rPr>
        <w:t>are</w:t>
      </w:r>
      <w:r>
        <w:rPr>
          <w:spacing w:val="-11"/>
        </w:rPr>
        <w:t> </w:t>
      </w:r>
      <w:r>
        <w:rPr>
          <w:spacing w:val="-2"/>
        </w:rPr>
        <w:t>upheld</w:t>
      </w:r>
      <w:r>
        <w:rPr>
          <w:spacing w:val="-10"/>
        </w:rPr>
        <w:t> </w:t>
      </w:r>
      <w:r>
        <w:rPr>
          <w:spacing w:val="-2"/>
        </w:rPr>
        <w:t>by</w:t>
      </w:r>
      <w:r>
        <w:rPr>
          <w:spacing w:val="-19"/>
        </w:rPr>
        <w:t> </w:t>
      </w:r>
      <w:r>
        <w:rPr>
          <w:spacing w:val="-2"/>
        </w:rPr>
        <w:t>patriarchal</w:t>
      </w:r>
      <w:r>
        <w:rPr>
          <w:spacing w:val="-12"/>
        </w:rPr>
        <w:t> </w:t>
      </w:r>
      <w:r>
        <w:rPr>
          <w:spacing w:val="-2"/>
        </w:rPr>
        <w:t>moral</w:t>
      </w:r>
      <w:r>
        <w:rPr>
          <w:spacing w:val="-12"/>
        </w:rPr>
        <w:t> </w:t>
      </w:r>
      <w:r>
        <w:rPr>
          <w:spacing w:val="-2"/>
        </w:rPr>
        <w:t>standards.</w:t>
      </w:r>
    </w:p>
    <w:p>
      <w:pPr>
        <w:pStyle w:val="BodyText"/>
        <w:spacing w:line="249" w:lineRule="auto" w:before="63"/>
        <w:ind w:right="1440" w:firstLine="432"/>
        <w:jc w:val="both"/>
      </w:pPr>
      <w:r>
        <w:rPr/>
        <w:t>The #MeToo movement encourages us to read these books as interconnected places of patriarchal negotiation where women’s voices are both heard and disciplined, rather than as distinct, timeless canons. Literary</w:t>
      </w:r>
      <w:r>
        <w:rPr>
          <w:spacing w:val="-8"/>
        </w:rPr>
        <w:t> </w:t>
      </w:r>
      <w:r>
        <w:rPr/>
        <w:t>criticism</w:t>
      </w:r>
      <w:r>
        <w:rPr>
          <w:spacing w:val="-11"/>
        </w:rPr>
        <w:t> </w:t>
      </w:r>
      <w:r>
        <w:rPr/>
        <w:t>may</w:t>
      </w:r>
      <w:r>
        <w:rPr>
          <w:spacing w:val="-8"/>
        </w:rPr>
        <w:t> </w:t>
      </w:r>
      <w:r>
        <w:rPr/>
        <w:t>increase</w:t>
      </w:r>
      <w:r>
        <w:rPr>
          <w:spacing w:val="-7"/>
        </w:rPr>
        <w:t> </w:t>
      </w:r>
      <w:r>
        <w:rPr/>
        <w:t>its</w:t>
      </w:r>
      <w:r>
        <w:rPr>
          <w:spacing w:val="-6"/>
        </w:rPr>
        <w:t> </w:t>
      </w:r>
      <w:r>
        <w:rPr/>
        <w:t>grasp</w:t>
      </w:r>
      <w:r>
        <w:rPr>
          <w:spacing w:val="-3"/>
        </w:rPr>
        <w:t> </w:t>
      </w:r>
      <w:r>
        <w:rPr/>
        <w:t>of</w:t>
      </w:r>
      <w:r>
        <w:rPr>
          <w:spacing w:val="-8"/>
        </w:rPr>
        <w:t> </w:t>
      </w:r>
      <w:r>
        <w:rPr/>
        <w:t>how</w:t>
      </w:r>
      <w:r>
        <w:rPr>
          <w:spacing w:val="-8"/>
        </w:rPr>
        <w:t> </w:t>
      </w:r>
      <w:r>
        <w:rPr/>
        <w:t>female</w:t>
      </w:r>
      <w:r>
        <w:rPr>
          <w:spacing w:val="-7"/>
        </w:rPr>
        <w:t> </w:t>
      </w:r>
      <w:r>
        <w:rPr/>
        <w:t>power</w:t>
      </w:r>
      <w:r>
        <w:rPr>
          <w:spacing w:val="-5"/>
        </w:rPr>
        <w:t> </w:t>
      </w:r>
      <w:r>
        <w:rPr/>
        <w:t>circulates throughout eras, cultures, and genres by bringing Gandhian-inspired Indian writing and Shakespeare into conversation. This critical insight also</w:t>
      </w:r>
      <w:r>
        <w:rPr>
          <w:spacing w:val="40"/>
        </w:rPr>
        <w:t> </w:t>
      </w:r>
      <w:r>
        <w:rPr/>
        <w:t>enhances</w:t>
      </w:r>
      <w:r>
        <w:rPr>
          <w:spacing w:val="40"/>
        </w:rPr>
        <w:t> </w:t>
      </w:r>
      <w:r>
        <w:rPr/>
        <w:t>classroom</w:t>
      </w:r>
      <w:r>
        <w:rPr>
          <w:spacing w:val="40"/>
        </w:rPr>
        <w:t> </w:t>
      </w:r>
      <w:r>
        <w:rPr/>
        <w:t>pedagogy</w:t>
      </w:r>
      <w:r>
        <w:rPr>
          <w:spacing w:val="40"/>
        </w:rPr>
        <w:t> </w:t>
      </w:r>
      <w:r>
        <w:rPr/>
        <w:t>in</w:t>
      </w:r>
      <w:r>
        <w:rPr>
          <w:spacing w:val="40"/>
        </w:rPr>
        <w:t> </w:t>
      </w:r>
      <w:r>
        <w:rPr/>
        <w:t>the</w:t>
      </w:r>
      <w:r>
        <w:rPr>
          <w:spacing w:val="40"/>
        </w:rPr>
        <w:t> </w:t>
      </w:r>
      <w:r>
        <w:rPr/>
        <w:t>modern</w:t>
      </w:r>
      <w:r>
        <w:rPr>
          <w:spacing w:val="40"/>
        </w:rPr>
        <w:t> </w:t>
      </w:r>
      <w:r>
        <w:rPr/>
        <w:t>era.</w:t>
      </w:r>
    </w:p>
    <w:p>
      <w:pPr>
        <w:pStyle w:val="Heading3"/>
        <w:spacing w:before="159"/>
      </w:pPr>
      <w:r>
        <w:rPr>
          <w:spacing w:val="-2"/>
          <w:w w:val="95"/>
        </w:rPr>
        <w:t>REFERENCES:</w:t>
      </w:r>
    </w:p>
    <w:p>
      <w:pPr>
        <w:pStyle w:val="ListParagraph"/>
        <w:numPr>
          <w:ilvl w:val="0"/>
          <w:numId w:val="74"/>
        </w:numPr>
        <w:tabs>
          <w:tab w:pos="2157" w:val="left" w:leader="none"/>
          <w:tab w:pos="2160" w:val="left" w:leader="none"/>
          <w:tab w:pos="3700" w:val="left" w:leader="none"/>
          <w:tab w:pos="5210" w:val="left" w:leader="none"/>
          <w:tab w:pos="6152" w:val="left" w:leader="none"/>
        </w:tabs>
        <w:spacing w:line="261" w:lineRule="auto" w:before="83" w:after="0"/>
        <w:ind w:left="2160" w:right="1437" w:hanging="315"/>
        <w:jc w:val="both"/>
        <w:rPr>
          <w:sz w:val="19"/>
        </w:rPr>
      </w:pPr>
      <w:r>
        <w:rPr>
          <w:spacing w:val="9"/>
          <w:sz w:val="19"/>
        </w:rPr>
        <w:t>Butt,</w:t>
      </w:r>
      <w:r>
        <w:rPr>
          <w:spacing w:val="9"/>
          <w:sz w:val="19"/>
        </w:rPr>
        <w:t> </w:t>
      </w:r>
      <w:r>
        <w:rPr>
          <w:sz w:val="19"/>
        </w:rPr>
        <w:t>B. “An </w:t>
      </w:r>
      <w:r>
        <w:rPr>
          <w:spacing w:val="9"/>
          <w:sz w:val="19"/>
        </w:rPr>
        <w:t>Analysis</w:t>
      </w:r>
      <w:r>
        <w:rPr>
          <w:spacing w:val="9"/>
          <w:sz w:val="19"/>
        </w:rPr>
        <w:t> </w:t>
      </w:r>
      <w:r>
        <w:rPr>
          <w:sz w:val="19"/>
        </w:rPr>
        <w:t>of </w:t>
      </w:r>
      <w:r>
        <w:rPr>
          <w:i/>
          <w:spacing w:val="10"/>
          <w:sz w:val="19"/>
        </w:rPr>
        <w:t>Kanthapura</w:t>
      </w:r>
      <w:r>
        <w:rPr>
          <w:i/>
          <w:spacing w:val="10"/>
          <w:sz w:val="19"/>
        </w:rPr>
        <w:t> </w:t>
      </w:r>
      <w:r>
        <w:rPr>
          <w:sz w:val="19"/>
        </w:rPr>
        <w:t>by Raja </w:t>
      </w:r>
      <w:r>
        <w:rPr>
          <w:spacing w:val="9"/>
          <w:sz w:val="19"/>
        </w:rPr>
        <w:t>Rao:</w:t>
      </w:r>
      <w:r>
        <w:rPr>
          <w:spacing w:val="9"/>
          <w:sz w:val="19"/>
        </w:rPr>
        <w:t> </w:t>
      </w:r>
      <w:r>
        <w:rPr>
          <w:sz w:val="19"/>
        </w:rPr>
        <w:t>A </w:t>
      </w:r>
      <w:r>
        <w:rPr>
          <w:spacing w:val="11"/>
          <w:sz w:val="19"/>
        </w:rPr>
        <w:t>Postcolonial</w:t>
      </w:r>
      <w:r>
        <w:rPr>
          <w:spacing w:val="11"/>
          <w:sz w:val="19"/>
        </w:rPr>
        <w:t> </w:t>
      </w:r>
      <w:r>
        <w:rPr>
          <w:sz w:val="19"/>
        </w:rPr>
        <w:t>Study.” </w:t>
      </w:r>
      <w:r>
        <w:rPr>
          <w:i/>
          <w:spacing w:val="11"/>
          <w:sz w:val="19"/>
        </w:rPr>
        <w:t>International</w:t>
      </w:r>
      <w:r>
        <w:rPr>
          <w:i/>
          <w:spacing w:val="11"/>
          <w:sz w:val="19"/>
        </w:rPr>
        <w:t> </w:t>
      </w:r>
      <w:r>
        <w:rPr>
          <w:i/>
          <w:spacing w:val="10"/>
          <w:sz w:val="19"/>
        </w:rPr>
        <w:t>Journal</w:t>
      </w:r>
      <w:r>
        <w:rPr>
          <w:i/>
          <w:spacing w:val="10"/>
          <w:sz w:val="19"/>
        </w:rPr>
        <w:t> </w:t>
      </w:r>
      <w:r>
        <w:rPr>
          <w:i/>
          <w:sz w:val="19"/>
        </w:rPr>
        <w:t>of </w:t>
      </w:r>
      <w:r>
        <w:rPr>
          <w:i/>
          <w:spacing w:val="10"/>
          <w:sz w:val="19"/>
        </w:rPr>
        <w:t>English </w:t>
      </w:r>
      <w:r>
        <w:rPr>
          <w:i/>
          <w:spacing w:val="9"/>
          <w:sz w:val="19"/>
        </w:rPr>
        <w:t>Language,</w:t>
      </w:r>
      <w:r>
        <w:rPr>
          <w:i/>
          <w:sz w:val="19"/>
        </w:rPr>
        <w:tab/>
      </w:r>
      <w:r>
        <w:rPr>
          <w:i/>
          <w:spacing w:val="8"/>
          <w:sz w:val="19"/>
        </w:rPr>
        <w:t>Literature</w:t>
      </w:r>
      <w:r>
        <w:rPr>
          <w:i/>
          <w:sz w:val="19"/>
        </w:rPr>
        <w:tab/>
      </w:r>
      <w:r>
        <w:rPr>
          <w:i/>
          <w:spacing w:val="-4"/>
          <w:sz w:val="19"/>
        </w:rPr>
        <w:t>and</w:t>
      </w:r>
      <w:r>
        <w:rPr>
          <w:i/>
          <w:sz w:val="19"/>
        </w:rPr>
        <w:tab/>
      </w:r>
      <w:r>
        <w:rPr>
          <w:i/>
          <w:spacing w:val="9"/>
          <w:sz w:val="19"/>
        </w:rPr>
        <w:t>Humanities</w:t>
      </w:r>
      <w:r>
        <w:rPr>
          <w:spacing w:val="9"/>
          <w:sz w:val="19"/>
        </w:rPr>
        <w:t>, </w:t>
      </w:r>
      <w:r>
        <w:rPr>
          <w:spacing w:val="-2"/>
          <w:sz w:val="19"/>
        </w:rPr>
        <w:t>2021.pdfs.semanticscholar</w:t>
      </w:r>
    </w:p>
    <w:p>
      <w:pPr>
        <w:pStyle w:val="ListParagraph"/>
        <w:numPr>
          <w:ilvl w:val="0"/>
          <w:numId w:val="74"/>
        </w:numPr>
        <w:tabs>
          <w:tab w:pos="2157" w:val="left" w:leader="none"/>
          <w:tab w:pos="2160" w:val="left" w:leader="none"/>
        </w:tabs>
        <w:spacing w:line="261" w:lineRule="auto" w:before="58" w:after="0"/>
        <w:ind w:left="2160" w:right="1438" w:hanging="315"/>
        <w:jc w:val="both"/>
        <w:rPr>
          <w:sz w:val="19"/>
        </w:rPr>
      </w:pPr>
      <w:r>
        <w:rPr>
          <w:sz w:val="19"/>
        </w:rPr>
        <w:t>Butt, B. “An Analysis of </w:t>
      </w:r>
      <w:r>
        <w:rPr>
          <w:i/>
          <w:sz w:val="19"/>
        </w:rPr>
        <w:t>Kanthapura </w:t>
      </w:r>
      <w:r>
        <w:rPr>
          <w:sz w:val="19"/>
        </w:rPr>
        <w:t>by Raja Rao – Duty and </w:t>
      </w:r>
      <w:r>
        <w:rPr>
          <w:spacing w:val="10"/>
          <w:sz w:val="19"/>
        </w:rPr>
        <w:t>Rebellion</w:t>
      </w:r>
      <w:r>
        <w:rPr>
          <w:spacing w:val="10"/>
          <w:sz w:val="19"/>
        </w:rPr>
        <w:t> </w:t>
      </w:r>
      <w:r>
        <w:rPr>
          <w:sz w:val="19"/>
        </w:rPr>
        <w:t>in Three </w:t>
      </w:r>
      <w:r>
        <w:rPr>
          <w:spacing w:val="9"/>
          <w:sz w:val="19"/>
        </w:rPr>
        <w:t>Indian</w:t>
      </w:r>
      <w:r>
        <w:rPr>
          <w:spacing w:val="9"/>
          <w:sz w:val="19"/>
        </w:rPr>
        <w:t> </w:t>
      </w:r>
      <w:r>
        <w:rPr>
          <w:spacing w:val="10"/>
          <w:sz w:val="19"/>
        </w:rPr>
        <w:t>Novels.”</w:t>
      </w:r>
      <w:r>
        <w:rPr>
          <w:spacing w:val="10"/>
          <w:sz w:val="19"/>
        </w:rPr>
        <w:t> </w:t>
      </w:r>
      <w:r>
        <w:rPr>
          <w:spacing w:val="9"/>
          <w:sz w:val="19"/>
        </w:rPr>
        <w:t>Harvard</w:t>
      </w:r>
      <w:r>
        <w:rPr>
          <w:spacing w:val="9"/>
          <w:sz w:val="19"/>
        </w:rPr>
        <w:t> DASH, </w:t>
      </w:r>
      <w:r>
        <w:rPr>
          <w:spacing w:val="-2"/>
          <w:sz w:val="19"/>
        </w:rPr>
        <w:t>2021.dash.harvard</w:t>
      </w:r>
    </w:p>
    <w:p>
      <w:pPr>
        <w:pStyle w:val="ListParagraph"/>
        <w:numPr>
          <w:ilvl w:val="0"/>
          <w:numId w:val="74"/>
        </w:numPr>
        <w:tabs>
          <w:tab w:pos="2157" w:val="left" w:leader="none"/>
          <w:tab w:pos="2160" w:val="left" w:leader="none"/>
        </w:tabs>
        <w:spacing w:line="261" w:lineRule="auto" w:before="58" w:after="0"/>
        <w:ind w:left="2160" w:right="1441" w:hanging="315"/>
        <w:jc w:val="both"/>
        <w:rPr>
          <w:sz w:val="19"/>
        </w:rPr>
      </w:pPr>
      <w:r>
        <w:rPr>
          <w:sz w:val="19"/>
        </w:rPr>
        <w:t>IJELS “An Analysis of Kanthapura by Raja Rao: A Postcolonial Study.” </w:t>
      </w:r>
      <w:r>
        <w:rPr>
          <w:i/>
          <w:sz w:val="19"/>
        </w:rPr>
        <w:t>International Journal of English Language, Literature and</w:t>
      </w:r>
      <w:r>
        <w:rPr>
          <w:i/>
          <w:spacing w:val="40"/>
          <w:sz w:val="19"/>
        </w:rPr>
        <w:t> </w:t>
      </w:r>
      <w:r>
        <w:rPr>
          <w:i/>
          <w:sz w:val="19"/>
        </w:rPr>
        <w:t>Humanities</w:t>
      </w:r>
      <w:r>
        <w:rPr>
          <w:sz w:val="19"/>
        </w:rPr>
        <w:t>,</w:t>
      </w:r>
      <w:r>
        <w:rPr>
          <w:spacing w:val="40"/>
          <w:sz w:val="19"/>
        </w:rPr>
        <w:t> </w:t>
      </w:r>
      <w:r>
        <w:rPr>
          <w:sz w:val="19"/>
        </w:rPr>
        <w:t>2021.pdfs.semanticscholar</w:t>
      </w:r>
    </w:p>
    <w:p>
      <w:pPr>
        <w:pStyle w:val="ListParagraph"/>
        <w:spacing w:after="0" w:line="261" w:lineRule="auto"/>
        <w:jc w:val="both"/>
        <w:rPr>
          <w:sz w:val="19"/>
        </w:rPr>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45376">
                <wp:simplePos x="0" y="0"/>
                <wp:positionH relativeFrom="page">
                  <wp:posOffset>2065020</wp:posOffset>
                </wp:positionH>
                <wp:positionV relativeFrom="paragraph">
                  <wp:posOffset>795020</wp:posOffset>
                </wp:positionV>
                <wp:extent cx="3657600" cy="12700"/>
                <wp:effectExtent l="0" t="0" r="0" b="0"/>
                <wp:wrapTopAndBottom/>
                <wp:docPr id="698" name="Graphic 698"/>
                <wp:cNvGraphicFramePr>
                  <a:graphicFrameLocks/>
                </wp:cNvGraphicFramePr>
                <a:graphic>
                  <a:graphicData uri="http://schemas.microsoft.com/office/word/2010/wordprocessingShape">
                    <wps:wsp>
                      <wps:cNvPr id="698" name="Graphic 69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71104;mso-wrap-distance-left:0;mso-wrap-distance-right:0" id="docshape690" filled="true" fillcolor="#000000" stroked="false">
                <v:fill type="solid"/>
                <w10:wrap type="topAndBottom"/>
              </v:rect>
            </w:pict>
          </mc:Fallback>
        </mc:AlternateContent>
      </w:r>
      <w:r>
        <w:rPr>
          <w:rFonts w:ascii="Verdana" w:hAnsi="Verdana"/>
          <w:sz w:val="18"/>
        </w:rPr>
        <w:t>“From</w:t>
      </w:r>
      <w:r>
        <w:rPr>
          <w:rFonts w:ascii="Verdana" w:hAnsi="Verdana"/>
          <w:spacing w:val="-12"/>
          <w:sz w:val="18"/>
        </w:rPr>
        <w:t> </w:t>
      </w:r>
      <w:r>
        <w:rPr>
          <w:rFonts w:ascii="Verdana" w:hAnsi="Verdana"/>
          <w:sz w:val="18"/>
        </w:rPr>
        <w:t>Katherina</w:t>
      </w:r>
      <w:r>
        <w:rPr>
          <w:rFonts w:ascii="Verdana" w:hAnsi="Verdana"/>
          <w:spacing w:val="-9"/>
          <w:sz w:val="18"/>
        </w:rPr>
        <w:t> </w:t>
      </w:r>
      <w:r>
        <w:rPr>
          <w:rFonts w:ascii="Verdana" w:hAnsi="Verdana"/>
          <w:sz w:val="18"/>
        </w:rPr>
        <w:t>to</w:t>
      </w:r>
      <w:r>
        <w:rPr>
          <w:rFonts w:ascii="Verdana" w:hAnsi="Verdana"/>
          <w:spacing w:val="-7"/>
          <w:sz w:val="18"/>
        </w:rPr>
        <w:t> </w:t>
      </w:r>
      <w:r>
        <w:rPr>
          <w:rFonts w:ascii="Verdana" w:hAnsi="Verdana"/>
          <w:sz w:val="18"/>
        </w:rPr>
        <w:t>Kanthapura:</w:t>
      </w:r>
      <w:r>
        <w:rPr>
          <w:rFonts w:ascii="Verdana" w:hAnsi="Verdana"/>
          <w:spacing w:val="-11"/>
          <w:sz w:val="18"/>
        </w:rPr>
        <w:t> </w:t>
      </w:r>
      <w:r>
        <w:rPr>
          <w:rFonts w:ascii="Verdana" w:hAnsi="Verdana"/>
          <w:sz w:val="18"/>
        </w:rPr>
        <w:t>Gender,</w:t>
      </w:r>
      <w:r>
        <w:rPr>
          <w:rFonts w:ascii="Verdana" w:hAnsi="Verdana"/>
          <w:spacing w:val="-10"/>
          <w:sz w:val="18"/>
        </w:rPr>
        <w:t> </w:t>
      </w:r>
      <w:r>
        <w:rPr>
          <w:rFonts w:ascii="Verdana" w:hAnsi="Verdana"/>
          <w:spacing w:val="-2"/>
          <w:sz w:val="18"/>
        </w:rPr>
        <w:t>Power...</w:t>
      </w:r>
      <w:r>
        <w:rPr>
          <w:sz w:val="18"/>
        </w:rPr>
        <w:tab/>
      </w:r>
      <w:r>
        <w:rPr>
          <w:rFonts w:ascii="Verdana" w:hAnsi="Verdana"/>
          <w:spacing w:val="-5"/>
          <w:sz w:val="18"/>
        </w:rPr>
        <w:t>347</w:t>
      </w:r>
    </w:p>
    <w:p>
      <w:pPr>
        <w:pStyle w:val="ListParagraph"/>
        <w:numPr>
          <w:ilvl w:val="0"/>
          <w:numId w:val="74"/>
        </w:numPr>
        <w:tabs>
          <w:tab w:pos="2157" w:val="left" w:leader="none"/>
          <w:tab w:pos="2160" w:val="left" w:leader="none"/>
        </w:tabs>
        <w:spacing w:line="261" w:lineRule="auto" w:before="199" w:after="0"/>
        <w:ind w:left="2160" w:right="1437" w:hanging="315"/>
        <w:jc w:val="both"/>
        <w:rPr>
          <w:sz w:val="19"/>
        </w:rPr>
      </w:pPr>
      <w:r>
        <w:rPr>
          <w:sz w:val="19"/>
        </w:rPr>
        <w:t>“The Impact of </w:t>
      </w:r>
      <w:r>
        <w:rPr>
          <w:spacing w:val="10"/>
          <w:sz w:val="19"/>
        </w:rPr>
        <w:t>Gandhian</w:t>
      </w:r>
      <w:r>
        <w:rPr>
          <w:spacing w:val="10"/>
          <w:sz w:val="19"/>
        </w:rPr>
        <w:t> </w:t>
      </w:r>
      <w:r>
        <w:rPr>
          <w:spacing w:val="11"/>
          <w:sz w:val="19"/>
        </w:rPr>
        <w:t>Philosophy</w:t>
      </w:r>
      <w:r>
        <w:rPr>
          <w:spacing w:val="11"/>
          <w:sz w:val="19"/>
        </w:rPr>
        <w:t> </w:t>
      </w:r>
      <w:r>
        <w:rPr>
          <w:sz w:val="19"/>
        </w:rPr>
        <w:t>in </w:t>
      </w:r>
      <w:r>
        <w:rPr>
          <w:i/>
          <w:spacing w:val="11"/>
          <w:sz w:val="19"/>
        </w:rPr>
        <w:t>Kanthapura</w:t>
      </w:r>
      <w:r>
        <w:rPr>
          <w:spacing w:val="11"/>
          <w:sz w:val="19"/>
        </w:rPr>
        <w:t>.” </w:t>
      </w:r>
      <w:r>
        <w:rPr>
          <w:sz w:val="19"/>
        </w:rPr>
        <w:t>Academia.edu,</w:t>
      </w:r>
      <w:r>
        <w:rPr>
          <w:spacing w:val="40"/>
          <w:sz w:val="19"/>
        </w:rPr>
        <w:t> </w:t>
      </w:r>
      <w:r>
        <w:rPr>
          <w:sz w:val="19"/>
        </w:rPr>
        <w:t>various</w:t>
      </w:r>
      <w:r>
        <w:rPr>
          <w:spacing w:val="40"/>
          <w:sz w:val="19"/>
        </w:rPr>
        <w:t> </w:t>
      </w:r>
      <w:r>
        <w:rPr>
          <w:sz w:val="19"/>
        </w:rPr>
        <w:t>2020s</w:t>
      </w:r>
      <w:r>
        <w:rPr>
          <w:spacing w:val="40"/>
          <w:sz w:val="19"/>
        </w:rPr>
        <w:t> </w:t>
      </w:r>
      <w:r>
        <w:rPr>
          <w:sz w:val="19"/>
        </w:rPr>
        <w:t>studies.academia</w:t>
      </w:r>
    </w:p>
    <w:p>
      <w:pPr>
        <w:pStyle w:val="ListParagraph"/>
        <w:numPr>
          <w:ilvl w:val="0"/>
          <w:numId w:val="74"/>
        </w:numPr>
        <w:tabs>
          <w:tab w:pos="2157" w:val="left" w:leader="none"/>
          <w:tab w:pos="2160" w:val="left" w:leader="none"/>
        </w:tabs>
        <w:spacing w:line="261" w:lineRule="auto" w:before="57" w:after="0"/>
        <w:ind w:left="2160" w:right="1439" w:hanging="315"/>
        <w:jc w:val="both"/>
        <w:rPr>
          <w:sz w:val="19"/>
        </w:rPr>
      </w:pPr>
      <w:r>
        <w:rPr>
          <w:sz w:val="19"/>
        </w:rPr>
        <w:t>Detmer,</w:t>
      </w:r>
      <w:r>
        <w:rPr>
          <w:spacing w:val="-12"/>
          <w:sz w:val="19"/>
        </w:rPr>
        <w:t> </w:t>
      </w:r>
      <w:r>
        <w:rPr>
          <w:sz w:val="19"/>
        </w:rPr>
        <w:t>Emily.</w:t>
      </w:r>
      <w:r>
        <w:rPr>
          <w:spacing w:val="-12"/>
          <w:sz w:val="19"/>
        </w:rPr>
        <w:t> </w:t>
      </w:r>
      <w:r>
        <w:rPr>
          <w:sz w:val="19"/>
        </w:rPr>
        <w:t>“Civilizing</w:t>
      </w:r>
      <w:r>
        <w:rPr>
          <w:spacing w:val="-12"/>
          <w:sz w:val="19"/>
        </w:rPr>
        <w:t> </w:t>
      </w:r>
      <w:r>
        <w:rPr>
          <w:sz w:val="19"/>
        </w:rPr>
        <w:t>Subordination:</w:t>
      </w:r>
      <w:r>
        <w:rPr>
          <w:spacing w:val="-12"/>
          <w:sz w:val="19"/>
        </w:rPr>
        <w:t> </w:t>
      </w:r>
      <w:r>
        <w:rPr>
          <w:sz w:val="19"/>
        </w:rPr>
        <w:t>Domestic</w:t>
      </w:r>
      <w:r>
        <w:rPr>
          <w:spacing w:val="-12"/>
          <w:sz w:val="19"/>
        </w:rPr>
        <w:t> </w:t>
      </w:r>
      <w:r>
        <w:rPr>
          <w:sz w:val="19"/>
        </w:rPr>
        <w:t>Violence</w:t>
      </w:r>
      <w:r>
        <w:rPr>
          <w:spacing w:val="-12"/>
          <w:sz w:val="19"/>
        </w:rPr>
        <w:t> </w:t>
      </w:r>
      <w:r>
        <w:rPr>
          <w:sz w:val="19"/>
        </w:rPr>
        <w:t>and </w:t>
      </w:r>
      <w:r>
        <w:rPr>
          <w:i/>
          <w:sz w:val="19"/>
        </w:rPr>
        <w:t>The Taming</w:t>
      </w:r>
      <w:r>
        <w:rPr>
          <w:i/>
          <w:spacing w:val="21"/>
          <w:sz w:val="19"/>
        </w:rPr>
        <w:t> </w:t>
      </w:r>
      <w:r>
        <w:rPr>
          <w:i/>
          <w:sz w:val="19"/>
        </w:rPr>
        <w:t>of</w:t>
      </w:r>
      <w:r>
        <w:rPr>
          <w:i/>
          <w:spacing w:val="23"/>
          <w:sz w:val="19"/>
        </w:rPr>
        <w:t> </w:t>
      </w:r>
      <w:r>
        <w:rPr>
          <w:i/>
          <w:sz w:val="19"/>
        </w:rPr>
        <w:t>the Shrew</w:t>
      </w:r>
      <w:r>
        <w:rPr>
          <w:sz w:val="19"/>
        </w:rPr>
        <w:t>.”</w:t>
      </w:r>
      <w:r>
        <w:rPr>
          <w:spacing w:val="21"/>
          <w:sz w:val="19"/>
        </w:rPr>
        <w:t> </w:t>
      </w:r>
      <w:r>
        <w:rPr>
          <w:i/>
          <w:sz w:val="19"/>
        </w:rPr>
        <w:t>Shakespeare</w:t>
      </w:r>
      <w:r>
        <w:rPr>
          <w:i/>
          <w:spacing w:val="22"/>
          <w:sz w:val="19"/>
        </w:rPr>
        <w:t> </w:t>
      </w:r>
      <w:r>
        <w:rPr>
          <w:i/>
          <w:sz w:val="19"/>
        </w:rPr>
        <w:t>Quarterly</w:t>
      </w:r>
      <w:r>
        <w:rPr>
          <w:sz w:val="19"/>
        </w:rPr>
        <w:t>,</w:t>
      </w:r>
      <w:r>
        <w:rPr>
          <w:spacing w:val="21"/>
          <w:sz w:val="19"/>
        </w:rPr>
        <w:t> </w:t>
      </w:r>
      <w:r>
        <w:rPr>
          <w:sz w:val="19"/>
        </w:rPr>
        <w:t>vol.</w:t>
      </w:r>
      <w:r>
        <w:rPr>
          <w:spacing w:val="23"/>
          <w:sz w:val="19"/>
        </w:rPr>
        <w:t> </w:t>
      </w:r>
      <w:r>
        <w:rPr>
          <w:sz w:val="19"/>
        </w:rPr>
        <w:t>48,</w:t>
      </w:r>
      <w:r>
        <w:rPr>
          <w:spacing w:val="21"/>
          <w:sz w:val="19"/>
        </w:rPr>
        <w:t> </w:t>
      </w:r>
      <w:r>
        <w:rPr>
          <w:sz w:val="19"/>
        </w:rPr>
        <w:t>no. 3, 1997, pp. 273–294.</w:t>
      </w:r>
    </w:p>
    <w:p>
      <w:pPr>
        <w:pStyle w:val="ListParagraph"/>
        <w:numPr>
          <w:ilvl w:val="0"/>
          <w:numId w:val="74"/>
        </w:numPr>
        <w:tabs>
          <w:tab w:pos="2157" w:val="left" w:leader="none"/>
          <w:tab w:pos="2160" w:val="left" w:leader="none"/>
        </w:tabs>
        <w:spacing w:line="261" w:lineRule="auto" w:before="58" w:after="0"/>
        <w:ind w:left="2160" w:right="1441" w:hanging="315"/>
        <w:jc w:val="both"/>
        <w:rPr>
          <w:sz w:val="19"/>
        </w:rPr>
      </w:pPr>
      <w:r>
        <w:rPr>
          <w:sz w:val="19"/>
        </w:rPr>
        <w:t>Sarkar, Tanika. </w:t>
      </w:r>
      <w:r>
        <w:rPr>
          <w:i/>
          <w:sz w:val="19"/>
        </w:rPr>
        <w:t>Hindu Wife, Hindu Nation: Community, Religion, and</w:t>
      </w:r>
      <w:r>
        <w:rPr>
          <w:i/>
          <w:spacing w:val="40"/>
          <w:sz w:val="19"/>
        </w:rPr>
        <w:t> </w:t>
      </w:r>
      <w:r>
        <w:rPr>
          <w:i/>
          <w:sz w:val="19"/>
        </w:rPr>
        <w:t>Cultural</w:t>
      </w:r>
      <w:r>
        <w:rPr>
          <w:i/>
          <w:spacing w:val="40"/>
          <w:sz w:val="19"/>
        </w:rPr>
        <w:t> </w:t>
      </w:r>
      <w:r>
        <w:rPr>
          <w:i/>
          <w:sz w:val="19"/>
        </w:rPr>
        <w:t>Nationalism.</w:t>
      </w:r>
      <w:r>
        <w:rPr>
          <w:i/>
          <w:spacing w:val="40"/>
          <w:sz w:val="19"/>
        </w:rPr>
        <w:t> </w:t>
      </w:r>
      <w:r>
        <w:rPr>
          <w:sz w:val="19"/>
        </w:rPr>
        <w:t>Indiana</w:t>
      </w:r>
      <w:r>
        <w:rPr>
          <w:spacing w:val="40"/>
          <w:sz w:val="19"/>
        </w:rPr>
        <w:t> </w:t>
      </w:r>
      <w:r>
        <w:rPr>
          <w:sz w:val="19"/>
        </w:rPr>
        <w:t>University</w:t>
      </w:r>
      <w:r>
        <w:rPr>
          <w:spacing w:val="40"/>
          <w:sz w:val="19"/>
        </w:rPr>
        <w:t> </w:t>
      </w:r>
      <w:r>
        <w:rPr>
          <w:sz w:val="19"/>
        </w:rPr>
        <w:t>Press,</w:t>
      </w:r>
      <w:r>
        <w:rPr>
          <w:spacing w:val="40"/>
          <w:sz w:val="19"/>
        </w:rPr>
        <w:t> </w:t>
      </w:r>
      <w:r>
        <w:rPr>
          <w:sz w:val="19"/>
        </w:rPr>
        <w:t>2001.</w:t>
      </w:r>
    </w:p>
    <w:p>
      <w:pPr>
        <w:pStyle w:val="ListParagraph"/>
        <w:numPr>
          <w:ilvl w:val="0"/>
          <w:numId w:val="74"/>
        </w:numPr>
        <w:tabs>
          <w:tab w:pos="2157" w:val="left" w:leader="none"/>
          <w:tab w:pos="2160" w:val="left" w:leader="none"/>
        </w:tabs>
        <w:spacing w:line="261" w:lineRule="auto" w:before="59" w:after="0"/>
        <w:ind w:left="2160" w:right="1441" w:hanging="315"/>
        <w:jc w:val="both"/>
        <w:rPr>
          <w:sz w:val="19"/>
        </w:rPr>
      </w:pPr>
      <w:r>
        <w:rPr>
          <w:sz w:val="19"/>
        </w:rPr>
        <w:t>Ranmuthugala,</w:t>
      </w:r>
      <w:r>
        <w:rPr>
          <w:spacing w:val="30"/>
          <w:sz w:val="19"/>
        </w:rPr>
        <w:t> </w:t>
      </w:r>
      <w:r>
        <w:rPr>
          <w:sz w:val="19"/>
        </w:rPr>
        <w:t>M.E.P. “Tradition</w:t>
      </w:r>
      <w:r>
        <w:rPr>
          <w:spacing w:val="32"/>
          <w:sz w:val="19"/>
        </w:rPr>
        <w:t> </w:t>
      </w:r>
      <w:r>
        <w:rPr>
          <w:sz w:val="19"/>
        </w:rPr>
        <w:t>and</w:t>
      </w:r>
      <w:r>
        <w:rPr>
          <w:spacing w:val="32"/>
          <w:sz w:val="19"/>
        </w:rPr>
        <w:t> </w:t>
      </w:r>
      <w:r>
        <w:rPr>
          <w:sz w:val="19"/>
        </w:rPr>
        <w:t>Deviance</w:t>
      </w:r>
      <w:r>
        <w:rPr>
          <w:spacing w:val="30"/>
          <w:sz w:val="19"/>
        </w:rPr>
        <w:t> </w:t>
      </w:r>
      <w:r>
        <w:rPr>
          <w:sz w:val="19"/>
        </w:rPr>
        <w:t>in</w:t>
      </w:r>
      <w:r>
        <w:rPr>
          <w:spacing w:val="30"/>
          <w:sz w:val="19"/>
        </w:rPr>
        <w:t> </w:t>
      </w:r>
      <w:r>
        <w:rPr>
          <w:sz w:val="19"/>
        </w:rPr>
        <w:t>the</w:t>
      </w:r>
      <w:r>
        <w:rPr>
          <w:spacing w:val="30"/>
          <w:sz w:val="19"/>
        </w:rPr>
        <w:t> </w:t>
      </w:r>
      <w:r>
        <w:rPr>
          <w:sz w:val="19"/>
        </w:rPr>
        <w:t>Women of Raja Rao’s </w:t>
      </w:r>
      <w:r>
        <w:rPr>
          <w:i/>
          <w:sz w:val="19"/>
        </w:rPr>
        <w:t>Kanthapura</w:t>
      </w:r>
      <w:r>
        <w:rPr>
          <w:sz w:val="19"/>
        </w:rPr>
        <w:t>.” </w:t>
      </w:r>
      <w:r>
        <w:rPr>
          <w:i/>
          <w:sz w:val="19"/>
        </w:rPr>
        <w:t>Journal of International Women’s Studies</w:t>
      </w:r>
      <w:r>
        <w:rPr>
          <w:sz w:val="19"/>
        </w:rPr>
        <w:t>,</w:t>
      </w:r>
      <w:r>
        <w:rPr>
          <w:spacing w:val="40"/>
          <w:sz w:val="19"/>
        </w:rPr>
        <w:t> </w:t>
      </w:r>
      <w:r>
        <w:rPr>
          <w:sz w:val="19"/>
        </w:rPr>
        <w:t>2019.bridgew</w:t>
      </w:r>
    </w:p>
    <w:p>
      <w:pPr>
        <w:pStyle w:val="ListParagraph"/>
        <w:numPr>
          <w:ilvl w:val="0"/>
          <w:numId w:val="74"/>
        </w:numPr>
        <w:tabs>
          <w:tab w:pos="2157" w:val="left" w:leader="none"/>
          <w:tab w:pos="2160" w:val="left" w:leader="none"/>
        </w:tabs>
        <w:spacing w:line="261" w:lineRule="auto" w:before="56" w:after="0"/>
        <w:ind w:left="2160" w:right="1439" w:hanging="315"/>
        <w:jc w:val="both"/>
        <w:rPr>
          <w:sz w:val="19"/>
        </w:rPr>
      </w:pPr>
      <w:r>
        <w:rPr>
          <w:sz w:val="19"/>
        </w:rPr>
        <w:t>“Women Characters in Raja Rao’s Novel </w:t>
      </w:r>
      <w:r>
        <w:rPr>
          <w:i/>
          <w:sz w:val="19"/>
        </w:rPr>
        <w:t>Kanthapura</w:t>
      </w:r>
      <w:r>
        <w:rPr>
          <w:sz w:val="19"/>
        </w:rPr>
        <w:t>:</w:t>
      </w:r>
      <w:r>
        <w:rPr>
          <w:spacing w:val="-3"/>
          <w:sz w:val="19"/>
        </w:rPr>
        <w:t> </w:t>
      </w:r>
      <w:r>
        <w:rPr>
          <w:sz w:val="19"/>
        </w:rPr>
        <w:t>A</w:t>
      </w:r>
      <w:r>
        <w:rPr>
          <w:spacing w:val="-2"/>
          <w:sz w:val="19"/>
        </w:rPr>
        <w:t> </w:t>
      </w:r>
      <w:r>
        <w:rPr>
          <w:sz w:val="19"/>
        </w:rPr>
        <w:t>Study.” Dissertation,</w:t>
      </w:r>
      <w:r>
        <w:rPr>
          <w:spacing w:val="40"/>
          <w:sz w:val="19"/>
        </w:rPr>
        <w:t> </w:t>
      </w:r>
      <w:r>
        <w:rPr>
          <w:sz w:val="19"/>
        </w:rPr>
        <w:t>2024.academia</w:t>
      </w:r>
    </w:p>
    <w:p>
      <w:pPr>
        <w:pStyle w:val="ListParagraph"/>
        <w:numPr>
          <w:ilvl w:val="0"/>
          <w:numId w:val="74"/>
        </w:numPr>
        <w:tabs>
          <w:tab w:pos="2157" w:val="left" w:leader="none"/>
          <w:tab w:pos="2160" w:val="left" w:leader="none"/>
        </w:tabs>
        <w:spacing w:line="261" w:lineRule="auto" w:before="59" w:after="0"/>
        <w:ind w:left="2160" w:right="1438" w:hanging="315"/>
        <w:jc w:val="both"/>
        <w:rPr>
          <w:sz w:val="19"/>
        </w:rPr>
      </w:pPr>
      <w:r>
        <w:rPr>
          <w:sz w:val="19"/>
        </w:rPr>
        <w:t>“The Politics of Gender: Power Relations in Shakespeare’s</w:t>
      </w:r>
      <w:r>
        <w:rPr>
          <w:spacing w:val="40"/>
          <w:sz w:val="19"/>
        </w:rPr>
        <w:t> </w:t>
      </w:r>
      <w:r>
        <w:rPr>
          <w:sz w:val="19"/>
        </w:rPr>
        <w:t>Plays.”</w:t>
      </w:r>
      <w:r>
        <w:rPr>
          <w:spacing w:val="40"/>
          <w:sz w:val="19"/>
        </w:rPr>
        <w:t> </w:t>
      </w:r>
      <w:r>
        <w:rPr>
          <w:i/>
          <w:sz w:val="19"/>
        </w:rPr>
        <w:t>IJELS</w:t>
      </w:r>
      <w:r>
        <w:rPr>
          <w:sz w:val="19"/>
        </w:rPr>
        <w:t>,</w:t>
      </w:r>
      <w:r>
        <w:rPr>
          <w:spacing w:val="40"/>
          <w:sz w:val="19"/>
        </w:rPr>
        <w:t> </w:t>
      </w:r>
      <w:r>
        <w:rPr>
          <w:sz w:val="19"/>
        </w:rPr>
        <w:t>2025.</w:t>
      </w:r>
    </w:p>
    <w:p>
      <w:pPr>
        <w:pStyle w:val="ListParagraph"/>
        <w:numPr>
          <w:ilvl w:val="0"/>
          <w:numId w:val="74"/>
        </w:numPr>
        <w:tabs>
          <w:tab w:pos="2157" w:val="left" w:leader="none"/>
          <w:tab w:pos="2160" w:val="left" w:leader="none"/>
        </w:tabs>
        <w:spacing w:line="261" w:lineRule="auto" w:before="56" w:after="0"/>
        <w:ind w:left="2160" w:right="1439" w:hanging="406"/>
        <w:jc w:val="both"/>
        <w:rPr>
          <w:sz w:val="19"/>
        </w:rPr>
      </w:pPr>
      <w:r>
        <w:rPr>
          <w:sz w:val="19"/>
        </w:rPr>
        <w:t>“Feminism and Gender Dynamics in Contemporary Indian Novels.”</w:t>
      </w:r>
      <w:r>
        <w:rPr>
          <w:spacing w:val="40"/>
          <w:sz w:val="19"/>
        </w:rPr>
        <w:t> </w:t>
      </w:r>
      <w:r>
        <w:rPr>
          <w:i/>
          <w:sz w:val="19"/>
        </w:rPr>
        <w:t>IJELS</w:t>
      </w:r>
      <w:r>
        <w:rPr>
          <w:sz w:val="19"/>
        </w:rPr>
        <w:t>,</w:t>
      </w:r>
      <w:r>
        <w:rPr>
          <w:spacing w:val="40"/>
          <w:sz w:val="19"/>
        </w:rPr>
        <w:t> </w:t>
      </w:r>
      <w:r>
        <w:rPr>
          <w:sz w:val="19"/>
        </w:rPr>
        <w:t>2025.</w:t>
      </w:r>
    </w:p>
    <w:p>
      <w:pPr>
        <w:pStyle w:val="ListParagraph"/>
        <w:numPr>
          <w:ilvl w:val="0"/>
          <w:numId w:val="74"/>
        </w:numPr>
        <w:tabs>
          <w:tab w:pos="2157" w:val="left" w:leader="none"/>
          <w:tab w:pos="2160" w:val="left" w:leader="none"/>
        </w:tabs>
        <w:spacing w:line="261" w:lineRule="auto" w:before="59" w:after="0"/>
        <w:ind w:left="2160" w:right="1437" w:hanging="406"/>
        <w:jc w:val="both"/>
        <w:rPr>
          <w:sz w:val="19"/>
        </w:rPr>
      </w:pPr>
      <w:r>
        <w:rPr>
          <w:sz w:val="19"/>
        </w:rPr>
        <w:t>Bhattacharyya, Rituparna. “#MeToo Movement in India: The</w:t>
      </w:r>
      <w:r>
        <w:rPr>
          <w:spacing w:val="40"/>
          <w:sz w:val="19"/>
        </w:rPr>
        <w:t> </w:t>
      </w:r>
      <w:r>
        <w:rPr>
          <w:sz w:val="19"/>
        </w:rPr>
        <w:t>New Self-Awakening, Empowerment and Public Space.” </w:t>
      </w:r>
      <w:r>
        <w:rPr>
          <w:i/>
          <w:sz w:val="19"/>
        </w:rPr>
        <w:t>Space and</w:t>
      </w:r>
      <w:r>
        <w:rPr>
          <w:i/>
          <w:spacing w:val="40"/>
          <w:sz w:val="19"/>
        </w:rPr>
        <w:t> </w:t>
      </w:r>
      <w:r>
        <w:rPr>
          <w:i/>
          <w:sz w:val="19"/>
        </w:rPr>
        <w:t>Culture,</w:t>
      </w:r>
      <w:r>
        <w:rPr>
          <w:i/>
          <w:spacing w:val="40"/>
          <w:sz w:val="19"/>
        </w:rPr>
        <w:t> </w:t>
      </w:r>
      <w:r>
        <w:rPr>
          <w:i/>
          <w:sz w:val="19"/>
        </w:rPr>
        <w:t>India</w:t>
      </w:r>
      <w:r>
        <w:rPr>
          <w:sz w:val="19"/>
        </w:rPr>
        <w:t>,</w:t>
      </w:r>
      <w:r>
        <w:rPr>
          <w:spacing w:val="40"/>
          <w:sz w:val="19"/>
        </w:rPr>
        <w:t> </w:t>
      </w:r>
      <w:r>
        <w:rPr>
          <w:sz w:val="19"/>
        </w:rPr>
        <w:t>vol.</w:t>
      </w:r>
      <w:r>
        <w:rPr>
          <w:spacing w:val="40"/>
          <w:sz w:val="19"/>
        </w:rPr>
        <w:t> </w:t>
      </w:r>
      <w:r>
        <w:rPr>
          <w:sz w:val="19"/>
        </w:rPr>
        <w:t>6,</w:t>
      </w:r>
      <w:r>
        <w:rPr>
          <w:spacing w:val="40"/>
          <w:sz w:val="19"/>
        </w:rPr>
        <w:t> </w:t>
      </w:r>
      <w:r>
        <w:rPr>
          <w:sz w:val="19"/>
        </w:rPr>
        <w:t>no.</w:t>
      </w:r>
      <w:r>
        <w:rPr>
          <w:spacing w:val="40"/>
          <w:sz w:val="19"/>
        </w:rPr>
        <w:t> </w:t>
      </w:r>
      <w:r>
        <w:rPr>
          <w:sz w:val="19"/>
        </w:rPr>
        <w:t>1,</w:t>
      </w:r>
      <w:r>
        <w:rPr>
          <w:spacing w:val="40"/>
          <w:sz w:val="19"/>
        </w:rPr>
        <w:t> </w:t>
      </w:r>
      <w:r>
        <w:rPr>
          <w:sz w:val="19"/>
        </w:rPr>
        <w:t>2018,</w:t>
      </w:r>
      <w:r>
        <w:rPr>
          <w:spacing w:val="40"/>
          <w:sz w:val="19"/>
        </w:rPr>
        <w:t> </w:t>
      </w:r>
      <w:r>
        <w:rPr>
          <w:sz w:val="19"/>
        </w:rPr>
        <w:t>pp.</w:t>
      </w:r>
      <w:r>
        <w:rPr>
          <w:spacing w:val="40"/>
          <w:sz w:val="19"/>
        </w:rPr>
        <w:t> </w:t>
      </w:r>
      <w:r>
        <w:rPr>
          <w:sz w:val="19"/>
        </w:rPr>
        <w:t>1–11.</w:t>
      </w:r>
    </w:p>
    <w:p>
      <w:pPr>
        <w:pStyle w:val="ListParagraph"/>
        <w:numPr>
          <w:ilvl w:val="0"/>
          <w:numId w:val="74"/>
        </w:numPr>
        <w:tabs>
          <w:tab w:pos="2157" w:val="left" w:leader="none"/>
          <w:tab w:pos="2160" w:val="left" w:leader="none"/>
        </w:tabs>
        <w:spacing w:line="261" w:lineRule="auto" w:before="59" w:after="0"/>
        <w:ind w:left="2160" w:right="1440" w:hanging="406"/>
        <w:jc w:val="both"/>
        <w:rPr>
          <w:sz w:val="19"/>
        </w:rPr>
      </w:pPr>
      <w:r>
        <w:rPr>
          <w:sz w:val="19"/>
        </w:rPr>
        <w:t>Shakespeare,</w:t>
      </w:r>
      <w:r>
        <w:rPr>
          <w:spacing w:val="-5"/>
          <w:sz w:val="19"/>
        </w:rPr>
        <w:t> </w:t>
      </w:r>
      <w:r>
        <w:rPr>
          <w:sz w:val="19"/>
        </w:rPr>
        <w:t>William. </w:t>
      </w:r>
      <w:r>
        <w:rPr>
          <w:i/>
          <w:sz w:val="19"/>
        </w:rPr>
        <w:t>The</w:t>
      </w:r>
      <w:r>
        <w:rPr>
          <w:i/>
          <w:spacing w:val="-3"/>
          <w:sz w:val="19"/>
        </w:rPr>
        <w:t> </w:t>
      </w:r>
      <w:r>
        <w:rPr>
          <w:i/>
          <w:sz w:val="19"/>
        </w:rPr>
        <w:t>Taming of</w:t>
      </w:r>
      <w:r>
        <w:rPr>
          <w:i/>
          <w:spacing w:val="-3"/>
          <w:sz w:val="19"/>
        </w:rPr>
        <w:t> </w:t>
      </w:r>
      <w:r>
        <w:rPr>
          <w:i/>
          <w:sz w:val="19"/>
        </w:rPr>
        <w:t>the</w:t>
      </w:r>
      <w:r>
        <w:rPr>
          <w:i/>
          <w:spacing w:val="-2"/>
          <w:sz w:val="19"/>
        </w:rPr>
        <w:t> </w:t>
      </w:r>
      <w:r>
        <w:rPr>
          <w:i/>
          <w:sz w:val="19"/>
        </w:rPr>
        <w:t>Shrew</w:t>
      </w:r>
      <w:r>
        <w:rPr>
          <w:sz w:val="19"/>
        </w:rPr>
        <w:t>.</w:t>
      </w:r>
      <w:r>
        <w:rPr>
          <w:spacing w:val="-5"/>
          <w:sz w:val="19"/>
        </w:rPr>
        <w:t> </w:t>
      </w:r>
      <w:r>
        <w:rPr>
          <w:sz w:val="19"/>
        </w:rPr>
        <w:t>Various editions (e.g.,</w:t>
      </w:r>
      <w:r>
        <w:rPr>
          <w:spacing w:val="40"/>
          <w:sz w:val="19"/>
        </w:rPr>
        <w:t> </w:t>
      </w:r>
      <w:r>
        <w:rPr>
          <w:sz w:val="19"/>
        </w:rPr>
        <w:t>Arden,</w:t>
      </w:r>
      <w:r>
        <w:rPr>
          <w:spacing w:val="40"/>
          <w:sz w:val="19"/>
        </w:rPr>
        <w:t> </w:t>
      </w:r>
      <w:r>
        <w:rPr>
          <w:sz w:val="19"/>
        </w:rPr>
        <w:t>RSC).shakespeare-online+1</w:t>
      </w:r>
    </w:p>
    <w:p>
      <w:pPr>
        <w:pStyle w:val="ListParagraph"/>
        <w:numPr>
          <w:ilvl w:val="0"/>
          <w:numId w:val="74"/>
        </w:numPr>
        <w:tabs>
          <w:tab w:pos="2157" w:val="left" w:leader="none"/>
        </w:tabs>
        <w:spacing w:line="240" w:lineRule="auto" w:before="56" w:after="0"/>
        <w:ind w:left="2157" w:right="0" w:hanging="403"/>
        <w:jc w:val="both"/>
        <w:rPr>
          <w:sz w:val="19"/>
        </w:rPr>
      </w:pPr>
      <w:r>
        <w:rPr>
          <w:sz w:val="19"/>
        </w:rPr>
        <w:t>Rao,</w:t>
      </w:r>
      <w:r>
        <w:rPr>
          <w:spacing w:val="44"/>
          <w:sz w:val="19"/>
        </w:rPr>
        <w:t> </w:t>
      </w:r>
      <w:r>
        <w:rPr>
          <w:sz w:val="19"/>
        </w:rPr>
        <w:t>Raja.</w:t>
      </w:r>
      <w:r>
        <w:rPr>
          <w:spacing w:val="46"/>
          <w:sz w:val="19"/>
        </w:rPr>
        <w:t> </w:t>
      </w:r>
      <w:r>
        <w:rPr>
          <w:i/>
          <w:sz w:val="19"/>
        </w:rPr>
        <w:t>Kanthapura</w:t>
      </w:r>
      <w:r>
        <w:rPr>
          <w:sz w:val="19"/>
        </w:rPr>
        <w:t>.</w:t>
      </w:r>
      <w:r>
        <w:rPr>
          <w:spacing w:val="45"/>
          <w:sz w:val="19"/>
        </w:rPr>
        <w:t> </w:t>
      </w:r>
      <w:r>
        <w:rPr>
          <w:sz w:val="19"/>
        </w:rPr>
        <w:t>London:</w:t>
      </w:r>
      <w:r>
        <w:rPr>
          <w:spacing w:val="45"/>
          <w:sz w:val="19"/>
        </w:rPr>
        <w:t> </w:t>
      </w:r>
      <w:r>
        <w:rPr>
          <w:sz w:val="19"/>
        </w:rPr>
        <w:t>Chatto</w:t>
      </w:r>
      <w:r>
        <w:rPr>
          <w:spacing w:val="44"/>
          <w:sz w:val="19"/>
        </w:rPr>
        <w:t> </w:t>
      </w:r>
      <w:r>
        <w:rPr>
          <w:sz w:val="19"/>
        </w:rPr>
        <w:t>&amp;</w:t>
      </w:r>
      <w:r>
        <w:rPr>
          <w:spacing w:val="41"/>
          <w:sz w:val="19"/>
        </w:rPr>
        <w:t> </w:t>
      </w:r>
      <w:r>
        <w:rPr>
          <w:sz w:val="19"/>
        </w:rPr>
        <w:t>Windus,</w:t>
      </w:r>
      <w:r>
        <w:rPr>
          <w:spacing w:val="45"/>
          <w:sz w:val="19"/>
        </w:rPr>
        <w:t> </w:t>
      </w:r>
      <w:r>
        <w:rPr>
          <w:spacing w:val="-2"/>
          <w:sz w:val="19"/>
        </w:rPr>
        <w:t>1938.</w:t>
      </w:r>
    </w:p>
    <w:p>
      <w:pPr>
        <w:pStyle w:val="ListParagraph"/>
        <w:numPr>
          <w:ilvl w:val="0"/>
          <w:numId w:val="74"/>
        </w:numPr>
        <w:tabs>
          <w:tab w:pos="2157" w:val="left" w:leader="none"/>
          <w:tab w:pos="2160" w:val="left" w:leader="none"/>
        </w:tabs>
        <w:spacing w:line="264" w:lineRule="auto" w:before="77" w:after="0"/>
        <w:ind w:left="2160" w:right="1440" w:hanging="406"/>
        <w:jc w:val="both"/>
        <w:rPr>
          <w:sz w:val="19"/>
        </w:rPr>
      </w:pPr>
      <w:r>
        <w:rPr>
          <w:sz w:val="19"/>
        </w:rPr>
        <w:t>Narayan, R.K. </w:t>
      </w:r>
      <w:r>
        <w:rPr>
          <w:i/>
          <w:sz w:val="19"/>
        </w:rPr>
        <w:t>Waiting for the Mahatma</w:t>
      </w:r>
      <w:r>
        <w:rPr>
          <w:sz w:val="19"/>
        </w:rPr>
        <w:t>. London: Heinemann, </w:t>
      </w:r>
      <w:r>
        <w:rPr>
          <w:spacing w:val="-2"/>
          <w:sz w:val="19"/>
        </w:rPr>
        <w:t>1955.</w:t>
      </w:r>
    </w:p>
    <w:p>
      <w:pPr>
        <w:pStyle w:val="ListParagraph"/>
        <w:numPr>
          <w:ilvl w:val="0"/>
          <w:numId w:val="74"/>
        </w:numPr>
        <w:tabs>
          <w:tab w:pos="2157" w:val="left" w:leader="none"/>
        </w:tabs>
        <w:spacing w:line="240" w:lineRule="auto" w:before="54" w:after="0"/>
        <w:ind w:left="2157" w:right="0" w:hanging="403"/>
        <w:jc w:val="both"/>
        <w:rPr>
          <w:sz w:val="19"/>
        </w:rPr>
      </w:pPr>
      <w:r>
        <w:rPr>
          <w:sz w:val="19"/>
        </w:rPr>
        <w:t>Narayan,</w:t>
      </w:r>
      <w:r>
        <w:rPr>
          <w:spacing w:val="15"/>
          <w:sz w:val="19"/>
        </w:rPr>
        <w:t> </w:t>
      </w:r>
      <w:r>
        <w:rPr>
          <w:sz w:val="19"/>
        </w:rPr>
        <w:t>R.K.</w:t>
      </w:r>
      <w:r>
        <w:rPr>
          <w:spacing w:val="17"/>
          <w:sz w:val="19"/>
        </w:rPr>
        <w:t> </w:t>
      </w:r>
      <w:r>
        <w:rPr>
          <w:i/>
          <w:sz w:val="19"/>
        </w:rPr>
        <w:t>A</w:t>
      </w:r>
      <w:r>
        <w:rPr>
          <w:i/>
          <w:spacing w:val="12"/>
          <w:sz w:val="19"/>
        </w:rPr>
        <w:t> </w:t>
      </w:r>
      <w:r>
        <w:rPr>
          <w:i/>
          <w:sz w:val="19"/>
        </w:rPr>
        <w:t>Tiger</w:t>
      </w:r>
      <w:r>
        <w:rPr>
          <w:i/>
          <w:spacing w:val="16"/>
          <w:sz w:val="19"/>
        </w:rPr>
        <w:t> </w:t>
      </w:r>
      <w:r>
        <w:rPr>
          <w:i/>
          <w:sz w:val="19"/>
        </w:rPr>
        <w:t>for</w:t>
      </w:r>
      <w:r>
        <w:rPr>
          <w:i/>
          <w:spacing w:val="15"/>
          <w:sz w:val="19"/>
        </w:rPr>
        <w:t> </w:t>
      </w:r>
      <w:r>
        <w:rPr>
          <w:i/>
          <w:sz w:val="19"/>
        </w:rPr>
        <w:t>Malgudi</w:t>
      </w:r>
      <w:r>
        <w:rPr>
          <w:sz w:val="19"/>
        </w:rPr>
        <w:t>.</w:t>
      </w:r>
      <w:r>
        <w:rPr>
          <w:spacing w:val="15"/>
          <w:sz w:val="19"/>
        </w:rPr>
        <w:t> </w:t>
      </w:r>
      <w:r>
        <w:rPr>
          <w:sz w:val="19"/>
        </w:rPr>
        <w:t>London:</w:t>
      </w:r>
      <w:r>
        <w:rPr>
          <w:spacing w:val="17"/>
          <w:sz w:val="19"/>
        </w:rPr>
        <w:t> </w:t>
      </w:r>
      <w:r>
        <w:rPr>
          <w:sz w:val="19"/>
        </w:rPr>
        <w:t>Heinemann,</w:t>
      </w:r>
      <w:r>
        <w:rPr>
          <w:spacing w:val="15"/>
          <w:sz w:val="19"/>
        </w:rPr>
        <w:t> </w:t>
      </w:r>
      <w:r>
        <w:rPr>
          <w:spacing w:val="-4"/>
          <w:sz w:val="19"/>
        </w:rPr>
        <w:t>1983.</w:t>
      </w:r>
    </w:p>
    <w:p>
      <w:pPr>
        <w:pStyle w:val="ListParagraph"/>
        <w:numPr>
          <w:ilvl w:val="0"/>
          <w:numId w:val="74"/>
        </w:numPr>
        <w:tabs>
          <w:tab w:pos="2157" w:val="left" w:leader="none"/>
          <w:tab w:pos="2160" w:val="left" w:leader="none"/>
        </w:tabs>
        <w:spacing w:line="261" w:lineRule="auto" w:before="77" w:after="0"/>
        <w:ind w:left="2160" w:right="1441" w:hanging="406"/>
        <w:jc w:val="both"/>
        <w:rPr>
          <w:sz w:val="19"/>
        </w:rPr>
      </w:pPr>
      <w:r>
        <w:rPr>
          <w:sz w:val="19"/>
        </w:rPr>
        <w:t>Anand, Mulk Raj. </w:t>
      </w:r>
      <w:r>
        <w:rPr>
          <w:i/>
          <w:sz w:val="19"/>
        </w:rPr>
        <w:t>Untouchable</w:t>
      </w:r>
      <w:r>
        <w:rPr>
          <w:sz w:val="19"/>
        </w:rPr>
        <w:t>. London: Lawrence &amp; Wishart, </w:t>
      </w:r>
      <w:r>
        <w:rPr>
          <w:spacing w:val="-2"/>
          <w:sz w:val="19"/>
        </w:rPr>
        <w:t>1935.</w:t>
      </w:r>
    </w:p>
    <w:p>
      <w:pPr>
        <w:pStyle w:val="ListParagraph"/>
        <w:numPr>
          <w:ilvl w:val="0"/>
          <w:numId w:val="74"/>
        </w:numPr>
        <w:tabs>
          <w:tab w:pos="2157" w:val="left" w:leader="none"/>
        </w:tabs>
        <w:spacing w:line="240" w:lineRule="auto" w:before="59" w:after="0"/>
        <w:ind w:left="2157" w:right="0" w:hanging="403"/>
        <w:jc w:val="both"/>
        <w:rPr>
          <w:sz w:val="19"/>
        </w:rPr>
      </w:pPr>
      <w:r>
        <w:rPr>
          <w:sz w:val="19"/>
        </w:rPr>
        <w:t>Anand,</w:t>
      </w:r>
      <w:r>
        <w:rPr>
          <w:spacing w:val="21"/>
          <w:sz w:val="19"/>
        </w:rPr>
        <w:t> </w:t>
      </w:r>
      <w:r>
        <w:rPr>
          <w:sz w:val="19"/>
        </w:rPr>
        <w:t>Mulk</w:t>
      </w:r>
      <w:r>
        <w:rPr>
          <w:spacing w:val="19"/>
          <w:sz w:val="19"/>
        </w:rPr>
        <w:t> </w:t>
      </w:r>
      <w:r>
        <w:rPr>
          <w:sz w:val="19"/>
        </w:rPr>
        <w:t>Raj.</w:t>
      </w:r>
      <w:r>
        <w:rPr>
          <w:spacing w:val="21"/>
          <w:sz w:val="19"/>
        </w:rPr>
        <w:t> </w:t>
      </w:r>
      <w:r>
        <w:rPr>
          <w:i/>
          <w:sz w:val="19"/>
        </w:rPr>
        <w:t>Coolie</w:t>
      </w:r>
      <w:r>
        <w:rPr>
          <w:sz w:val="19"/>
        </w:rPr>
        <w:t>.</w:t>
      </w:r>
      <w:r>
        <w:rPr>
          <w:spacing w:val="22"/>
          <w:sz w:val="19"/>
        </w:rPr>
        <w:t> </w:t>
      </w:r>
      <w:r>
        <w:rPr>
          <w:sz w:val="19"/>
        </w:rPr>
        <w:t>London:</w:t>
      </w:r>
      <w:r>
        <w:rPr>
          <w:spacing w:val="19"/>
          <w:sz w:val="19"/>
        </w:rPr>
        <w:t> </w:t>
      </w:r>
      <w:r>
        <w:rPr>
          <w:sz w:val="19"/>
        </w:rPr>
        <w:t>Lawrence</w:t>
      </w:r>
      <w:r>
        <w:rPr>
          <w:spacing w:val="19"/>
          <w:sz w:val="19"/>
        </w:rPr>
        <w:t> </w:t>
      </w:r>
      <w:r>
        <w:rPr>
          <w:sz w:val="19"/>
        </w:rPr>
        <w:t>&amp;</w:t>
      </w:r>
      <w:r>
        <w:rPr>
          <w:spacing w:val="17"/>
          <w:sz w:val="19"/>
        </w:rPr>
        <w:t> </w:t>
      </w:r>
      <w:r>
        <w:rPr>
          <w:sz w:val="19"/>
        </w:rPr>
        <w:t>Wishart,</w:t>
      </w:r>
      <w:r>
        <w:rPr>
          <w:spacing w:val="21"/>
          <w:sz w:val="19"/>
        </w:rPr>
        <w:t> </w:t>
      </w:r>
      <w:r>
        <w:rPr>
          <w:spacing w:val="-4"/>
          <w:sz w:val="19"/>
        </w:rPr>
        <w:t>1936.</w:t>
      </w:r>
    </w:p>
    <w:p>
      <w:pPr>
        <w:pStyle w:val="ListParagraph"/>
        <w:spacing w:after="0" w:line="240"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10560">
                <wp:simplePos x="0" y="0"/>
                <wp:positionH relativeFrom="page">
                  <wp:posOffset>2057400</wp:posOffset>
                </wp:positionH>
                <wp:positionV relativeFrom="page">
                  <wp:posOffset>1788723</wp:posOffset>
                </wp:positionV>
                <wp:extent cx="3656965" cy="140335"/>
                <wp:effectExtent l="0" t="0" r="0" b="0"/>
                <wp:wrapNone/>
                <wp:docPr id="699" name="Textbox 699"/>
                <wp:cNvGraphicFramePr>
                  <a:graphicFrameLocks/>
                </wp:cNvGraphicFramePr>
                <a:graphic>
                  <a:graphicData uri="http://schemas.microsoft.com/office/word/2010/wordprocessingShape">
                    <wps:wsp>
                      <wps:cNvPr id="699" name="Textbox 699"/>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348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305920" type="#_x0000_t202" id="docshape691"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348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700" name="Group 700"/>
                <wp:cNvGraphicFramePr>
                  <a:graphicFrameLocks/>
                </wp:cNvGraphicFramePr>
                <a:graphic>
                  <a:graphicData uri="http://schemas.microsoft.com/office/word/2010/wordprocessingGroup">
                    <wpg:wgp>
                      <wpg:cNvPr id="700" name="Group 700"/>
                      <wpg:cNvGrpSpPr/>
                      <wpg:grpSpPr>
                        <a:xfrm>
                          <a:off x="0" y="0"/>
                          <a:ext cx="4044950" cy="699770"/>
                          <a:chExt cx="4044950" cy="699770"/>
                        </a:xfrm>
                      </wpg:grpSpPr>
                      <wps:wsp>
                        <wps:cNvPr id="701" name="Graphic 701"/>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692" coordorigin="0,0" coordsize="6370,1102">
                <v:rect style="position:absolute;left:0;top:0;width:6370;height:1102" id="docshape693"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46400">
                <wp:simplePos x="0" y="0"/>
                <wp:positionH relativeFrom="page">
                  <wp:posOffset>3488435</wp:posOffset>
                </wp:positionH>
                <wp:positionV relativeFrom="paragraph">
                  <wp:posOffset>272922</wp:posOffset>
                </wp:positionV>
                <wp:extent cx="728980" cy="655320"/>
                <wp:effectExtent l="0" t="0" r="0" b="0"/>
                <wp:wrapTopAndBottom/>
                <wp:docPr id="702" name="Group 702"/>
                <wp:cNvGraphicFramePr>
                  <a:graphicFrameLocks/>
                </wp:cNvGraphicFramePr>
                <a:graphic>
                  <a:graphicData uri="http://schemas.microsoft.com/office/word/2010/wordprocessingGroup">
                    <wpg:wgp>
                      <wpg:cNvPr id="702" name="Group 702"/>
                      <wpg:cNvGrpSpPr/>
                      <wpg:grpSpPr>
                        <a:xfrm>
                          <a:off x="0" y="0"/>
                          <a:ext cx="728980" cy="655320"/>
                          <a:chExt cx="728980" cy="655320"/>
                        </a:xfrm>
                      </wpg:grpSpPr>
                      <pic:pic>
                        <pic:nvPicPr>
                          <pic:cNvPr id="703" name="Image 703"/>
                          <pic:cNvPicPr/>
                        </pic:nvPicPr>
                        <pic:blipFill>
                          <a:blip r:embed="rId99" cstate="print"/>
                          <a:stretch>
                            <a:fillRect/>
                          </a:stretch>
                        </pic:blipFill>
                        <pic:spPr>
                          <a:xfrm>
                            <a:off x="0" y="0"/>
                            <a:ext cx="728471" cy="655320"/>
                          </a:xfrm>
                          <a:prstGeom prst="rect">
                            <a:avLst/>
                          </a:prstGeom>
                        </pic:spPr>
                      </pic:pic>
                      <wps:wsp>
                        <wps:cNvPr id="704" name="Textbox 704"/>
                        <wps:cNvSpPr txBox="1"/>
                        <wps:spPr>
                          <a:xfrm>
                            <a:off x="0" y="0"/>
                            <a:ext cx="728980" cy="655320"/>
                          </a:xfrm>
                          <a:prstGeom prst="rect">
                            <a:avLst/>
                          </a:prstGeom>
                        </wps:spPr>
                        <wps:txbx>
                          <w:txbxContent>
                            <w:p>
                              <w:pPr>
                                <w:spacing w:before="328"/>
                                <w:ind w:left="432" w:right="0" w:firstLine="0"/>
                                <w:jc w:val="left"/>
                                <w:rPr>
                                  <w:rFonts w:ascii="Tahoma"/>
                                  <w:b/>
                                  <w:sz w:val="36"/>
                                </w:rPr>
                              </w:pPr>
                              <w:r>
                                <w:rPr>
                                  <w:rFonts w:ascii="Tahoma"/>
                                  <w:b/>
                                  <w:spacing w:val="-5"/>
                                  <w:w w:val="95"/>
                                  <w:sz w:val="36"/>
                                </w:rPr>
                                <w:t>35</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470080;mso-wrap-distance-left:0;mso-wrap-distance-right:0" id="docshapegroup694" coordorigin="5494,430" coordsize="1148,1032">
                <v:shape style="position:absolute;left:5493;top:429;width:1148;height:1032" type="#_x0000_t75" id="docshape695" stroked="false">
                  <v:imagedata r:id="rId99" o:title=""/>
                </v:shape>
                <v:shape style="position:absolute;left:5493;top:429;width:1148;height:1032" type="#_x0000_t202" id="docshape696" filled="false" stroked="false">
                  <v:textbox inset="0,0,0,0">
                    <w:txbxContent>
                      <w:p>
                        <w:pPr>
                          <w:spacing w:before="328"/>
                          <w:ind w:left="432" w:right="0" w:firstLine="0"/>
                          <w:jc w:val="left"/>
                          <w:rPr>
                            <w:rFonts w:ascii="Tahoma"/>
                            <w:b/>
                            <w:sz w:val="36"/>
                          </w:rPr>
                        </w:pPr>
                        <w:r>
                          <w:rPr>
                            <w:rFonts w:ascii="Tahoma"/>
                            <w:b/>
                            <w:spacing w:val="-5"/>
                            <w:w w:val="95"/>
                            <w:sz w:val="36"/>
                          </w:rPr>
                          <w:t>35</w:t>
                        </w:r>
                      </w:p>
                    </w:txbxContent>
                  </v:textbox>
                  <w10:wrap type="none"/>
                </v:shape>
                <w10:wrap type="topAndBottom"/>
              </v:group>
            </w:pict>
          </mc:Fallback>
        </mc:AlternateContent>
      </w:r>
    </w:p>
    <w:p>
      <w:pPr>
        <w:pStyle w:val="Heading1"/>
        <w:spacing w:line="307" w:lineRule="exact"/>
        <w:ind w:right="10"/>
      </w:pPr>
      <w:r>
        <w:rPr/>
        <w:t>Women</w:t>
      </w:r>
      <w:r>
        <w:rPr>
          <w:spacing w:val="-10"/>
        </w:rPr>
        <w:t> </w:t>
      </w:r>
      <w:r>
        <w:rPr/>
        <w:t>and</w:t>
      </w:r>
      <w:r>
        <w:rPr>
          <w:spacing w:val="-8"/>
        </w:rPr>
        <w:t> </w:t>
      </w:r>
      <w:r>
        <w:rPr/>
        <w:t>Mental</w:t>
      </w:r>
      <w:r>
        <w:rPr>
          <w:spacing w:val="-9"/>
        </w:rPr>
        <w:t> </w:t>
      </w:r>
      <w:r>
        <w:rPr/>
        <w:t>Health</w:t>
      </w:r>
      <w:r>
        <w:rPr>
          <w:spacing w:val="-10"/>
        </w:rPr>
        <w:t> </w:t>
      </w:r>
      <w:r>
        <w:rPr>
          <w:spacing w:val="-5"/>
        </w:rPr>
        <w:t>in</w:t>
      </w:r>
    </w:p>
    <w:p>
      <w:pPr>
        <w:tabs>
          <w:tab w:pos="1312" w:val="left" w:leader="none"/>
          <w:tab w:pos="5759" w:val="left" w:leader="none"/>
        </w:tabs>
        <w:spacing w:line="364" w:lineRule="exact" w:before="0"/>
        <w:ind w:left="0" w:right="0" w:firstLine="0"/>
        <w:jc w:val="center"/>
        <w:rPr>
          <w:rFonts w:ascii="Tahoma" w:hAnsi="Tahoma"/>
          <w:b/>
          <w:sz w:val="32"/>
        </w:rPr>
      </w:pPr>
      <w:r>
        <w:rPr>
          <w:sz w:val="32"/>
          <w:u w:val="single"/>
        </w:rPr>
        <w:tab/>
      </w:r>
      <w:r>
        <w:rPr>
          <w:rFonts w:ascii="Tahoma" w:hAnsi="Tahoma"/>
          <w:b/>
          <w:spacing w:val="-6"/>
          <w:sz w:val="32"/>
          <w:u w:val="single"/>
        </w:rPr>
        <w:t>Shakespeare’s</w:t>
      </w:r>
      <w:r>
        <w:rPr>
          <w:rFonts w:ascii="Tahoma" w:hAnsi="Tahoma"/>
          <w:b/>
          <w:spacing w:val="-1"/>
          <w:sz w:val="32"/>
          <w:u w:val="single"/>
        </w:rPr>
        <w:t> </w:t>
      </w:r>
      <w:r>
        <w:rPr>
          <w:rFonts w:ascii="Tahoma" w:hAnsi="Tahoma"/>
          <w:b/>
          <w:spacing w:val="-4"/>
          <w:sz w:val="32"/>
          <w:u w:val="single"/>
        </w:rPr>
        <w:t>Plays</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846912">
                <wp:simplePos x="0" y="0"/>
                <wp:positionH relativeFrom="page">
                  <wp:posOffset>2057400</wp:posOffset>
                </wp:positionH>
                <wp:positionV relativeFrom="paragraph">
                  <wp:posOffset>60138</wp:posOffset>
                </wp:positionV>
                <wp:extent cx="3657600" cy="7620"/>
                <wp:effectExtent l="0" t="0" r="0" b="0"/>
                <wp:wrapTopAndBottom/>
                <wp:docPr id="705" name="Graphic 705"/>
                <wp:cNvGraphicFramePr>
                  <a:graphicFrameLocks/>
                </wp:cNvGraphicFramePr>
                <a:graphic>
                  <a:graphicData uri="http://schemas.microsoft.com/office/word/2010/wordprocessingShape">
                    <wps:wsp>
                      <wps:cNvPr id="705" name="Graphic 705"/>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35314pt;width:288.000009pt;height:.599991pt;mso-position-horizontal-relative:page;mso-position-vertical-relative:paragraph;z-index:-15469568;mso-wrap-distance-left:0;mso-wrap-distance-right:0" id="docshape697" filled="true" fillcolor="#000000" stroked="false">
                <v:fill type="solid"/>
                <w10:wrap type="topAndBottom"/>
              </v:rect>
            </w:pict>
          </mc:Fallback>
        </mc:AlternateContent>
      </w:r>
    </w:p>
    <w:p>
      <w:pPr>
        <w:pStyle w:val="BodyText"/>
        <w:spacing w:before="13"/>
        <w:ind w:left="0"/>
        <w:rPr>
          <w:rFonts w:ascii="Tahoma"/>
          <w:b/>
          <w:sz w:val="32"/>
        </w:rPr>
      </w:pPr>
    </w:p>
    <w:p>
      <w:pPr>
        <w:spacing w:line="252" w:lineRule="auto" w:before="0"/>
        <w:ind w:left="2068" w:right="1437" w:firstLine="3271"/>
        <w:jc w:val="right"/>
        <w:rPr>
          <w:i/>
          <w:sz w:val="19"/>
        </w:rPr>
      </w:pPr>
      <w:r>
        <w:rPr>
          <w:b/>
          <w:i/>
          <w:sz w:val="22"/>
        </w:rPr>
        <w:t>Dr.</w:t>
      </w:r>
      <w:r>
        <w:rPr>
          <w:b/>
          <w:i/>
          <w:spacing w:val="40"/>
          <w:sz w:val="22"/>
        </w:rPr>
        <w:t> </w:t>
      </w:r>
      <w:r>
        <w:rPr>
          <w:b/>
          <w:i/>
          <w:sz w:val="22"/>
        </w:rPr>
        <w:t>K.</w:t>
      </w:r>
      <w:r>
        <w:rPr>
          <w:b/>
          <w:i/>
          <w:spacing w:val="40"/>
          <w:sz w:val="22"/>
        </w:rPr>
        <w:t> </w:t>
      </w:r>
      <w:r>
        <w:rPr>
          <w:b/>
          <w:i/>
          <w:sz w:val="22"/>
        </w:rPr>
        <w:t>N.</w:t>
      </w:r>
      <w:r>
        <w:rPr>
          <w:b/>
          <w:i/>
          <w:spacing w:val="40"/>
          <w:sz w:val="22"/>
        </w:rPr>
        <w:t> </w:t>
      </w:r>
      <w:r>
        <w:rPr>
          <w:b/>
          <w:i/>
          <w:sz w:val="22"/>
        </w:rPr>
        <w:t>Umadevi </w:t>
      </w:r>
      <w:r>
        <w:rPr>
          <w:i/>
          <w:sz w:val="19"/>
        </w:rPr>
        <w:t>Research</w:t>
      </w:r>
      <w:r>
        <w:rPr>
          <w:i/>
          <w:spacing w:val="40"/>
          <w:sz w:val="19"/>
        </w:rPr>
        <w:t> </w:t>
      </w:r>
      <w:r>
        <w:rPr>
          <w:i/>
          <w:sz w:val="19"/>
        </w:rPr>
        <w:t>Supervisor</w:t>
      </w:r>
      <w:r>
        <w:rPr>
          <w:i/>
          <w:spacing w:val="40"/>
          <w:sz w:val="19"/>
        </w:rPr>
        <w:t> </w:t>
      </w:r>
      <w:r>
        <w:rPr>
          <w:i/>
          <w:sz w:val="19"/>
        </w:rPr>
        <w:t>&amp;</w:t>
      </w:r>
      <w:r>
        <w:rPr>
          <w:i/>
          <w:spacing w:val="40"/>
          <w:sz w:val="19"/>
        </w:rPr>
        <w:t> </w:t>
      </w:r>
      <w:r>
        <w:rPr>
          <w:i/>
          <w:sz w:val="19"/>
        </w:rPr>
        <w:t>Assistant</w:t>
      </w:r>
      <w:r>
        <w:rPr>
          <w:i/>
          <w:spacing w:val="40"/>
          <w:sz w:val="19"/>
        </w:rPr>
        <w:t> </w:t>
      </w:r>
      <w:r>
        <w:rPr>
          <w:i/>
          <w:sz w:val="19"/>
        </w:rPr>
        <w:t>Professor,</w:t>
      </w:r>
      <w:r>
        <w:rPr>
          <w:i/>
          <w:spacing w:val="40"/>
          <w:sz w:val="19"/>
        </w:rPr>
        <w:t> </w:t>
      </w:r>
      <w:r>
        <w:rPr>
          <w:i/>
          <w:sz w:val="19"/>
        </w:rPr>
        <w:t>Department</w:t>
      </w:r>
      <w:r>
        <w:rPr>
          <w:i/>
          <w:spacing w:val="40"/>
          <w:sz w:val="19"/>
        </w:rPr>
        <w:t> </w:t>
      </w:r>
      <w:r>
        <w:rPr>
          <w:i/>
          <w:sz w:val="19"/>
        </w:rPr>
        <w:t>of English,</w:t>
      </w:r>
      <w:r>
        <w:rPr>
          <w:i/>
          <w:spacing w:val="59"/>
          <w:sz w:val="19"/>
        </w:rPr>
        <w:t> </w:t>
      </w:r>
      <w:r>
        <w:rPr>
          <w:i/>
          <w:sz w:val="19"/>
        </w:rPr>
        <w:t>Vels</w:t>
      </w:r>
      <w:r>
        <w:rPr>
          <w:i/>
          <w:spacing w:val="57"/>
          <w:sz w:val="19"/>
        </w:rPr>
        <w:t> </w:t>
      </w:r>
      <w:r>
        <w:rPr>
          <w:i/>
          <w:sz w:val="19"/>
        </w:rPr>
        <w:t>Institute</w:t>
      </w:r>
      <w:r>
        <w:rPr>
          <w:i/>
          <w:spacing w:val="61"/>
          <w:sz w:val="19"/>
        </w:rPr>
        <w:t> </w:t>
      </w:r>
      <w:r>
        <w:rPr>
          <w:i/>
          <w:sz w:val="19"/>
        </w:rPr>
        <w:t>of</w:t>
      </w:r>
      <w:r>
        <w:rPr>
          <w:i/>
          <w:spacing w:val="57"/>
          <w:sz w:val="19"/>
        </w:rPr>
        <w:t> </w:t>
      </w:r>
      <w:r>
        <w:rPr>
          <w:i/>
          <w:sz w:val="19"/>
        </w:rPr>
        <w:t>Science,</w:t>
      </w:r>
      <w:r>
        <w:rPr>
          <w:i/>
          <w:spacing w:val="58"/>
          <w:sz w:val="19"/>
        </w:rPr>
        <w:t> </w:t>
      </w:r>
      <w:r>
        <w:rPr>
          <w:i/>
          <w:sz w:val="19"/>
        </w:rPr>
        <w:t>Technology,</w:t>
      </w:r>
      <w:r>
        <w:rPr>
          <w:i/>
          <w:spacing w:val="59"/>
          <w:sz w:val="19"/>
        </w:rPr>
        <w:t> </w:t>
      </w:r>
      <w:r>
        <w:rPr>
          <w:i/>
          <w:sz w:val="19"/>
        </w:rPr>
        <w:t>and</w:t>
      </w:r>
      <w:r>
        <w:rPr>
          <w:i/>
          <w:spacing w:val="58"/>
          <w:sz w:val="19"/>
        </w:rPr>
        <w:t> </w:t>
      </w:r>
      <w:r>
        <w:rPr>
          <w:i/>
          <w:spacing w:val="-2"/>
          <w:sz w:val="19"/>
        </w:rPr>
        <w:t>Advanced</w:t>
      </w:r>
    </w:p>
    <w:p>
      <w:pPr>
        <w:spacing w:line="218" w:lineRule="exact" w:before="0"/>
        <w:ind w:left="0" w:right="1438" w:firstLine="0"/>
        <w:jc w:val="right"/>
        <w:rPr>
          <w:i/>
          <w:sz w:val="19"/>
        </w:rPr>
      </w:pPr>
      <w:r>
        <w:rPr>
          <w:i/>
          <w:sz w:val="19"/>
        </w:rPr>
        <w:t>Studies,</w:t>
      </w:r>
      <w:r>
        <w:rPr>
          <w:i/>
          <w:spacing w:val="61"/>
          <w:w w:val="150"/>
          <w:sz w:val="19"/>
        </w:rPr>
        <w:t> </w:t>
      </w:r>
      <w:r>
        <w:rPr>
          <w:i/>
          <w:sz w:val="19"/>
        </w:rPr>
        <w:t>Pallavaram,</w:t>
      </w:r>
      <w:r>
        <w:rPr>
          <w:i/>
          <w:spacing w:val="65"/>
          <w:w w:val="150"/>
          <w:sz w:val="19"/>
        </w:rPr>
        <w:t> </w:t>
      </w:r>
      <w:r>
        <w:rPr>
          <w:i/>
          <w:spacing w:val="-2"/>
          <w:sz w:val="19"/>
        </w:rPr>
        <w:t>Chennai</w:t>
      </w:r>
    </w:p>
    <w:p>
      <w:pPr>
        <w:pStyle w:val="BodyText"/>
        <w:spacing w:before="163"/>
        <w:ind w:left="0"/>
        <w:rPr>
          <w:i/>
          <w:sz w:val="19"/>
        </w:rPr>
      </w:pPr>
    </w:p>
    <w:p>
      <w:pPr>
        <w:pStyle w:val="Heading3"/>
        <w:spacing w:before="0"/>
      </w:pPr>
      <w:r>
        <w:rPr>
          <w:spacing w:val="-2"/>
        </w:rPr>
        <w:t>ABSTRACT</w:t>
      </w:r>
    </w:p>
    <w:p>
      <w:pPr>
        <w:pStyle w:val="BodyText"/>
        <w:spacing w:line="249" w:lineRule="auto" w:before="75"/>
        <w:ind w:right="1435" w:firstLine="432"/>
        <w:jc w:val="both"/>
      </w:pPr>
      <w:r>
        <w:rPr/>
        <w:t>This study investigates the complex representation of women’s mental</w:t>
      </w:r>
      <w:r>
        <w:rPr>
          <w:spacing w:val="-5"/>
        </w:rPr>
        <w:t> </w:t>
      </w:r>
      <w:r>
        <w:rPr/>
        <w:t>health</w:t>
      </w:r>
      <w:r>
        <w:rPr>
          <w:spacing w:val="-5"/>
        </w:rPr>
        <w:t> </w:t>
      </w:r>
      <w:r>
        <w:rPr/>
        <w:t>in</w:t>
      </w:r>
      <w:r>
        <w:rPr>
          <w:spacing w:val="-5"/>
        </w:rPr>
        <w:t> </w:t>
      </w:r>
      <w:r>
        <w:rPr/>
        <w:t>Shakespeare’s</w:t>
      </w:r>
      <w:r>
        <w:rPr>
          <w:spacing w:val="-5"/>
        </w:rPr>
        <w:t> </w:t>
      </w:r>
      <w:r>
        <w:rPr/>
        <w:t>plays,</w:t>
      </w:r>
      <w:r>
        <w:rPr>
          <w:spacing w:val="-5"/>
        </w:rPr>
        <w:t> </w:t>
      </w:r>
      <w:r>
        <w:rPr/>
        <w:t>situating</w:t>
      </w:r>
      <w:r>
        <w:rPr>
          <w:spacing w:val="-5"/>
        </w:rPr>
        <w:t> </w:t>
      </w:r>
      <w:r>
        <w:rPr/>
        <w:t>female</w:t>
      </w:r>
      <w:r>
        <w:rPr>
          <w:spacing w:val="-4"/>
        </w:rPr>
        <w:t> </w:t>
      </w:r>
      <w:r>
        <w:rPr/>
        <w:t>characters</w:t>
      </w:r>
      <w:r>
        <w:rPr>
          <w:spacing w:val="-5"/>
        </w:rPr>
        <w:t> </w:t>
      </w:r>
      <w:r>
        <w:rPr/>
        <w:t>within the</w:t>
      </w:r>
      <w:r>
        <w:rPr>
          <w:spacing w:val="-7"/>
        </w:rPr>
        <w:t> </w:t>
      </w:r>
      <w:r>
        <w:rPr/>
        <w:t>cultural,</w:t>
      </w:r>
      <w:r>
        <w:rPr>
          <w:spacing w:val="-6"/>
        </w:rPr>
        <w:t> </w:t>
      </w:r>
      <w:r>
        <w:rPr/>
        <w:t>medical,</w:t>
      </w:r>
      <w:r>
        <w:rPr>
          <w:spacing w:val="-4"/>
        </w:rPr>
        <w:t> </w:t>
      </w:r>
      <w:r>
        <w:rPr/>
        <w:t>and</w:t>
      </w:r>
      <w:r>
        <w:rPr>
          <w:spacing w:val="-6"/>
        </w:rPr>
        <w:t> </w:t>
      </w:r>
      <w:r>
        <w:rPr/>
        <w:t>patriarchal</w:t>
      </w:r>
      <w:r>
        <w:rPr>
          <w:spacing w:val="-7"/>
        </w:rPr>
        <w:t> </w:t>
      </w:r>
      <w:r>
        <w:rPr/>
        <w:t>frameworks</w:t>
      </w:r>
      <w:r>
        <w:rPr>
          <w:spacing w:val="-9"/>
        </w:rPr>
        <w:t> </w:t>
      </w:r>
      <w:r>
        <w:rPr/>
        <w:t>of</w:t>
      </w:r>
      <w:r>
        <w:rPr>
          <w:spacing w:val="-6"/>
        </w:rPr>
        <w:t> </w:t>
      </w:r>
      <w:r>
        <w:rPr/>
        <w:t>the</w:t>
      </w:r>
      <w:r>
        <w:rPr>
          <w:spacing w:val="-7"/>
        </w:rPr>
        <w:t> </w:t>
      </w:r>
      <w:r>
        <w:rPr/>
        <w:t>Elizabethan</w:t>
      </w:r>
      <w:r>
        <w:rPr>
          <w:spacing w:val="-9"/>
        </w:rPr>
        <w:t> </w:t>
      </w:r>
      <w:r>
        <w:rPr/>
        <w:t>and Jacobean periods. Shakespeare’s dramatic imagination consistently foregrounds women’s psychological struggles, portraying madness, melancholy, grief, guilt, and trauma as both individual afflictions and social commentaries. Characters such as Ophelia in </w:t>
      </w:r>
      <w:r>
        <w:rPr>
          <w:i/>
        </w:rPr>
        <w:t>Hamlet</w:t>
      </w:r>
      <w:r>
        <w:rPr/>
        <w:t>, Lady Macbeth</w:t>
      </w:r>
      <w:r>
        <w:rPr>
          <w:spacing w:val="-6"/>
        </w:rPr>
        <w:t> </w:t>
      </w:r>
      <w:r>
        <w:rPr/>
        <w:t>in</w:t>
      </w:r>
      <w:r>
        <w:rPr>
          <w:spacing w:val="-2"/>
        </w:rPr>
        <w:t> </w:t>
      </w:r>
      <w:r>
        <w:rPr>
          <w:i/>
        </w:rPr>
        <w:t>Macbeth</w:t>
      </w:r>
      <w:r>
        <w:rPr/>
        <w:t>,</w:t>
      </w:r>
      <w:r>
        <w:rPr>
          <w:spacing w:val="-2"/>
        </w:rPr>
        <w:t> </w:t>
      </w:r>
      <w:r>
        <w:rPr/>
        <w:t>Desdemona</w:t>
      </w:r>
      <w:r>
        <w:rPr>
          <w:spacing w:val="-6"/>
        </w:rPr>
        <w:t> </w:t>
      </w:r>
      <w:r>
        <w:rPr/>
        <w:t>in</w:t>
      </w:r>
      <w:r>
        <w:rPr>
          <w:spacing w:val="-2"/>
        </w:rPr>
        <w:t> </w:t>
      </w:r>
      <w:r>
        <w:rPr>
          <w:i/>
        </w:rPr>
        <w:t>Othello</w:t>
      </w:r>
      <w:r>
        <w:rPr/>
        <w:t>,</w:t>
      </w:r>
      <w:r>
        <w:rPr>
          <w:spacing w:val="-4"/>
        </w:rPr>
        <w:t> </w:t>
      </w:r>
      <w:r>
        <w:rPr/>
        <w:t>and</w:t>
      </w:r>
      <w:r>
        <w:rPr>
          <w:spacing w:val="-1"/>
        </w:rPr>
        <w:t> </w:t>
      </w:r>
      <w:r>
        <w:rPr/>
        <w:t>Cordelia</w:t>
      </w:r>
      <w:r>
        <w:rPr>
          <w:spacing w:val="-5"/>
        </w:rPr>
        <w:t> </w:t>
      </w:r>
      <w:r>
        <w:rPr/>
        <w:t>in</w:t>
      </w:r>
      <w:r>
        <w:rPr>
          <w:spacing w:val="-3"/>
        </w:rPr>
        <w:t> </w:t>
      </w:r>
      <w:r>
        <w:rPr>
          <w:i/>
        </w:rPr>
        <w:t>King</w:t>
      </w:r>
      <w:r>
        <w:rPr>
          <w:i/>
          <w:spacing w:val="-2"/>
        </w:rPr>
        <w:t> </w:t>
      </w:r>
      <w:r>
        <w:rPr>
          <w:i/>
        </w:rPr>
        <w:t>Lear </w:t>
      </w:r>
      <w:r>
        <w:rPr/>
        <w:t>embody the intersection of gender and mental health, revealing how </w:t>
      </w:r>
      <w:r>
        <w:rPr>
          <w:spacing w:val="-2"/>
        </w:rPr>
        <w:t>patriarchal structures</w:t>
      </w:r>
      <w:r>
        <w:rPr>
          <w:spacing w:val="-3"/>
        </w:rPr>
        <w:t> </w:t>
      </w:r>
      <w:r>
        <w:rPr>
          <w:spacing w:val="-2"/>
        </w:rPr>
        <w:t>shape</w:t>
      </w:r>
      <w:r>
        <w:rPr>
          <w:spacing w:val="-3"/>
        </w:rPr>
        <w:t> </w:t>
      </w:r>
      <w:r>
        <w:rPr>
          <w:spacing w:val="-2"/>
        </w:rPr>
        <w:t>female</w:t>
      </w:r>
      <w:r>
        <w:rPr>
          <w:spacing w:val="-6"/>
        </w:rPr>
        <w:t> </w:t>
      </w:r>
      <w:r>
        <w:rPr>
          <w:spacing w:val="-2"/>
        </w:rPr>
        <w:t>vulnerability</w:t>
      </w:r>
      <w:r>
        <w:rPr>
          <w:spacing w:val="-8"/>
        </w:rPr>
        <w:t> </w:t>
      </w:r>
      <w:r>
        <w:rPr>
          <w:spacing w:val="-2"/>
        </w:rPr>
        <w:t>and</w:t>
      </w:r>
      <w:r>
        <w:rPr>
          <w:spacing w:val="-3"/>
        </w:rPr>
        <w:t> </w:t>
      </w:r>
      <w:r>
        <w:rPr>
          <w:spacing w:val="-2"/>
        </w:rPr>
        <w:t>resilience.</w:t>
      </w:r>
      <w:r>
        <w:rPr>
          <w:spacing w:val="-3"/>
        </w:rPr>
        <w:t> </w:t>
      </w:r>
      <w:r>
        <w:rPr>
          <w:spacing w:val="-2"/>
        </w:rPr>
        <w:t>Ophelia’s </w:t>
      </w:r>
      <w:r>
        <w:rPr/>
        <w:t>fragmented songs and symbolic gestures dramatize suppressed voices erupting through madness, while Lady Macbeth’s sleepwalking scene illustrates guilt and psychological disintegration. Desdemona’s quiet suffering highlights the emotional trauma of domestic violence, and Lear’s daughters reflect the strain of familial power dynamics. Shakespeare’s use of symbolism—flowers, dreams, silence, and fragmented speech—provides alternative languages for women’s psychological states, anticipating modern trauma theory and feminist criticism. By engaging with psychoanalytic, feminist, and cultural readings, this paper demonstrates how Shakespeare’s portrayal of </w:t>
      </w:r>
      <w:r>
        <w:rPr>
          <w:spacing w:val="-2"/>
        </w:rPr>
        <w:t>women’s</w:t>
      </w:r>
      <w:r>
        <w:rPr>
          <w:spacing w:val="-11"/>
        </w:rPr>
        <w:t> </w:t>
      </w:r>
      <w:r>
        <w:rPr>
          <w:spacing w:val="-2"/>
        </w:rPr>
        <w:t>mental</w:t>
      </w:r>
      <w:r>
        <w:rPr>
          <w:spacing w:val="-8"/>
        </w:rPr>
        <w:t> </w:t>
      </w:r>
      <w:r>
        <w:rPr>
          <w:spacing w:val="-2"/>
        </w:rPr>
        <w:t>health</w:t>
      </w:r>
      <w:r>
        <w:rPr>
          <w:spacing w:val="-10"/>
        </w:rPr>
        <w:t> </w:t>
      </w:r>
      <w:r>
        <w:rPr>
          <w:spacing w:val="-2"/>
        </w:rPr>
        <w:t>transcends</w:t>
      </w:r>
      <w:r>
        <w:rPr>
          <w:spacing w:val="-11"/>
        </w:rPr>
        <w:t> </w:t>
      </w:r>
      <w:r>
        <w:rPr>
          <w:spacing w:val="-2"/>
        </w:rPr>
        <w:t>its</w:t>
      </w:r>
      <w:r>
        <w:rPr>
          <w:spacing w:val="-8"/>
        </w:rPr>
        <w:t> </w:t>
      </w:r>
      <w:r>
        <w:rPr>
          <w:spacing w:val="-2"/>
        </w:rPr>
        <w:t>historical</w:t>
      </w:r>
      <w:r>
        <w:rPr>
          <w:spacing w:val="-10"/>
        </w:rPr>
        <w:t> </w:t>
      </w:r>
      <w:r>
        <w:rPr>
          <w:spacing w:val="-2"/>
        </w:rPr>
        <w:t>moment,</w:t>
      </w:r>
      <w:r>
        <w:rPr>
          <w:spacing w:val="-6"/>
        </w:rPr>
        <w:t> </w:t>
      </w:r>
      <w:r>
        <w:rPr>
          <w:spacing w:val="-2"/>
        </w:rPr>
        <w:t>offering</w:t>
      </w:r>
      <w:r>
        <w:rPr>
          <w:spacing w:val="-10"/>
        </w:rPr>
        <w:t> </w:t>
      </w:r>
      <w:r>
        <w:rPr>
          <w:spacing w:val="-2"/>
        </w:rPr>
        <w:t>insights</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47936">
                <wp:simplePos x="0" y="0"/>
                <wp:positionH relativeFrom="page">
                  <wp:posOffset>2065020</wp:posOffset>
                </wp:positionH>
                <wp:positionV relativeFrom="paragraph">
                  <wp:posOffset>795020</wp:posOffset>
                </wp:positionV>
                <wp:extent cx="3657600" cy="12700"/>
                <wp:effectExtent l="0" t="0" r="0" b="0"/>
                <wp:wrapTopAndBottom/>
                <wp:docPr id="706" name="Graphic 706"/>
                <wp:cNvGraphicFramePr>
                  <a:graphicFrameLocks/>
                </wp:cNvGraphicFramePr>
                <a:graphic>
                  <a:graphicData uri="http://schemas.microsoft.com/office/word/2010/wordprocessingShape">
                    <wps:wsp>
                      <wps:cNvPr id="706" name="Graphic 70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68544;mso-wrap-distance-left:0;mso-wrap-distance-right:0" id="docshape698" filled="true" fillcolor="#000000" stroked="false">
                <v:fill type="solid"/>
                <w10:wrap type="topAndBottom"/>
              </v:rect>
            </w:pict>
          </mc:Fallback>
        </mc:AlternateContent>
      </w:r>
      <w:r>
        <w:rPr>
          <w:rFonts w:ascii="Verdana" w:hAnsi="Verdana"/>
          <w:sz w:val="18"/>
        </w:rPr>
        <w:t>Women</w:t>
      </w:r>
      <w:r>
        <w:rPr>
          <w:rFonts w:ascii="Verdana" w:hAnsi="Verdana"/>
          <w:spacing w:val="11"/>
          <w:sz w:val="18"/>
        </w:rPr>
        <w:t> </w:t>
      </w:r>
      <w:r>
        <w:rPr>
          <w:rFonts w:ascii="Verdana" w:hAnsi="Verdana"/>
          <w:sz w:val="18"/>
        </w:rPr>
        <w:t>and</w:t>
      </w:r>
      <w:r>
        <w:rPr>
          <w:rFonts w:ascii="Verdana" w:hAnsi="Verdana"/>
          <w:spacing w:val="11"/>
          <w:sz w:val="18"/>
        </w:rPr>
        <w:t> </w:t>
      </w:r>
      <w:r>
        <w:rPr>
          <w:rFonts w:ascii="Verdana" w:hAnsi="Verdana"/>
          <w:sz w:val="18"/>
        </w:rPr>
        <w:t>Mental</w:t>
      </w:r>
      <w:r>
        <w:rPr>
          <w:rFonts w:ascii="Verdana" w:hAnsi="Verdana"/>
          <w:spacing w:val="12"/>
          <w:sz w:val="18"/>
        </w:rPr>
        <w:t> </w:t>
      </w:r>
      <w:r>
        <w:rPr>
          <w:rFonts w:ascii="Verdana" w:hAnsi="Verdana"/>
          <w:sz w:val="18"/>
        </w:rPr>
        <w:t>Health</w:t>
      </w:r>
      <w:r>
        <w:rPr>
          <w:rFonts w:ascii="Verdana" w:hAnsi="Verdana"/>
          <w:spacing w:val="13"/>
          <w:sz w:val="18"/>
        </w:rPr>
        <w:t> </w:t>
      </w:r>
      <w:r>
        <w:rPr>
          <w:rFonts w:ascii="Verdana" w:hAnsi="Verdana"/>
          <w:sz w:val="18"/>
        </w:rPr>
        <w:t>in</w:t>
      </w:r>
      <w:r>
        <w:rPr>
          <w:rFonts w:ascii="Verdana" w:hAnsi="Verdana"/>
          <w:spacing w:val="13"/>
          <w:sz w:val="18"/>
        </w:rPr>
        <w:t> </w:t>
      </w:r>
      <w:r>
        <w:rPr>
          <w:rFonts w:ascii="Verdana" w:hAnsi="Verdana"/>
          <w:sz w:val="18"/>
        </w:rPr>
        <w:t>Shakespeare’s</w:t>
      </w:r>
      <w:r>
        <w:rPr>
          <w:rFonts w:ascii="Verdana" w:hAnsi="Verdana"/>
          <w:spacing w:val="13"/>
          <w:sz w:val="18"/>
        </w:rPr>
        <w:t> </w:t>
      </w:r>
      <w:r>
        <w:rPr>
          <w:rFonts w:ascii="Verdana" w:hAnsi="Verdana"/>
          <w:spacing w:val="-4"/>
          <w:sz w:val="18"/>
        </w:rPr>
        <w:t>Plays</w:t>
      </w:r>
      <w:r>
        <w:rPr>
          <w:sz w:val="18"/>
        </w:rPr>
        <w:tab/>
      </w:r>
      <w:r>
        <w:rPr>
          <w:rFonts w:ascii="Verdana" w:hAnsi="Verdana"/>
          <w:spacing w:val="-5"/>
          <w:sz w:val="18"/>
        </w:rPr>
        <w:t>349</w:t>
      </w:r>
    </w:p>
    <w:p>
      <w:pPr>
        <w:pStyle w:val="BodyText"/>
        <w:spacing w:line="249" w:lineRule="auto" w:before="192"/>
        <w:ind w:right="1441"/>
        <w:jc w:val="both"/>
      </w:pPr>
      <w:r>
        <w:rPr/>
        <w:t>into enduring questions of identity, agency, and suffering. Ultimately, these</w:t>
      </w:r>
      <w:r>
        <w:rPr>
          <w:spacing w:val="-6"/>
        </w:rPr>
        <w:t> </w:t>
      </w:r>
      <w:r>
        <w:rPr/>
        <w:t>plays</w:t>
      </w:r>
      <w:r>
        <w:rPr>
          <w:spacing w:val="-6"/>
        </w:rPr>
        <w:t> </w:t>
      </w:r>
      <w:r>
        <w:rPr/>
        <w:t>invite</w:t>
      </w:r>
      <w:r>
        <w:rPr>
          <w:spacing w:val="-5"/>
        </w:rPr>
        <w:t> </w:t>
      </w:r>
      <w:r>
        <w:rPr/>
        <w:t>contemporary</w:t>
      </w:r>
      <w:r>
        <w:rPr>
          <w:spacing w:val="-10"/>
        </w:rPr>
        <w:t> </w:t>
      </w:r>
      <w:r>
        <w:rPr/>
        <w:t>audiences</w:t>
      </w:r>
      <w:r>
        <w:rPr>
          <w:spacing w:val="-6"/>
        </w:rPr>
        <w:t> </w:t>
      </w:r>
      <w:r>
        <w:rPr/>
        <w:t>to</w:t>
      </w:r>
      <w:r>
        <w:rPr>
          <w:spacing w:val="-5"/>
        </w:rPr>
        <w:t> </w:t>
      </w:r>
      <w:r>
        <w:rPr/>
        <w:t>reconsider</w:t>
      </w:r>
      <w:r>
        <w:rPr>
          <w:spacing w:val="-5"/>
        </w:rPr>
        <w:t> </w:t>
      </w:r>
      <w:r>
        <w:rPr/>
        <w:t>the</w:t>
      </w:r>
      <w:r>
        <w:rPr>
          <w:spacing w:val="-6"/>
        </w:rPr>
        <w:t> </w:t>
      </w:r>
      <w:r>
        <w:rPr/>
        <w:t>relationship between</w:t>
      </w:r>
      <w:r>
        <w:rPr>
          <w:spacing w:val="40"/>
        </w:rPr>
        <w:t> </w:t>
      </w:r>
      <w:r>
        <w:rPr/>
        <w:t>gender,</w:t>
      </w:r>
      <w:r>
        <w:rPr>
          <w:spacing w:val="40"/>
        </w:rPr>
        <w:t> </w:t>
      </w:r>
      <w:r>
        <w:rPr/>
        <w:t>mental</w:t>
      </w:r>
      <w:r>
        <w:rPr>
          <w:spacing w:val="40"/>
        </w:rPr>
        <w:t> </w:t>
      </w:r>
      <w:r>
        <w:rPr/>
        <w:t>health,</w:t>
      </w:r>
      <w:r>
        <w:rPr>
          <w:spacing w:val="40"/>
        </w:rPr>
        <w:t> </w:t>
      </w:r>
      <w:r>
        <w:rPr/>
        <w:t>and</w:t>
      </w:r>
      <w:r>
        <w:rPr>
          <w:spacing w:val="40"/>
        </w:rPr>
        <w:t> </w:t>
      </w:r>
      <w:r>
        <w:rPr/>
        <w:t>social</w:t>
      </w:r>
      <w:r>
        <w:rPr>
          <w:spacing w:val="40"/>
        </w:rPr>
        <w:t> </w:t>
      </w:r>
      <w:r>
        <w:rPr/>
        <w:t>structures.</w:t>
      </w:r>
    </w:p>
    <w:p>
      <w:pPr>
        <w:pStyle w:val="BodyText"/>
        <w:spacing w:line="249" w:lineRule="auto" w:before="60"/>
        <w:ind w:right="1441" w:firstLine="432"/>
        <w:jc w:val="both"/>
      </w:pPr>
      <w:r>
        <w:rPr>
          <w:b/>
        </w:rPr>
        <w:t>Keywords:</w:t>
      </w:r>
      <w:r>
        <w:rPr>
          <w:b/>
          <w:spacing w:val="-12"/>
        </w:rPr>
        <w:t> </w:t>
      </w:r>
      <w:r>
        <w:rPr/>
        <w:t>Shakespeare,</w:t>
      </w:r>
      <w:r>
        <w:rPr>
          <w:spacing w:val="-10"/>
        </w:rPr>
        <w:t> </w:t>
      </w:r>
      <w:r>
        <w:rPr/>
        <w:t>women,</w:t>
      </w:r>
      <w:r>
        <w:rPr>
          <w:spacing w:val="-10"/>
        </w:rPr>
        <w:t> </w:t>
      </w:r>
      <w:r>
        <w:rPr/>
        <w:t>mental</w:t>
      </w:r>
      <w:r>
        <w:rPr>
          <w:spacing w:val="-13"/>
        </w:rPr>
        <w:t> </w:t>
      </w:r>
      <w:r>
        <w:rPr/>
        <w:t>health,</w:t>
      </w:r>
      <w:r>
        <w:rPr>
          <w:spacing w:val="-9"/>
        </w:rPr>
        <w:t> </w:t>
      </w:r>
      <w:r>
        <w:rPr/>
        <w:t>madness,</w:t>
      </w:r>
      <w:r>
        <w:rPr>
          <w:spacing w:val="-10"/>
        </w:rPr>
        <w:t> </w:t>
      </w:r>
      <w:r>
        <w:rPr/>
        <w:t>trauma, feminist</w:t>
      </w:r>
      <w:r>
        <w:rPr>
          <w:spacing w:val="-15"/>
        </w:rPr>
        <w:t> </w:t>
      </w:r>
      <w:r>
        <w:rPr/>
        <w:t>criticism</w:t>
      </w:r>
    </w:p>
    <w:p>
      <w:pPr>
        <w:pStyle w:val="Heading3"/>
        <w:spacing w:before="155"/>
      </w:pPr>
      <w:r>
        <w:rPr>
          <w:spacing w:val="-2"/>
          <w:w w:val="95"/>
        </w:rPr>
        <w:t>INTRODUCTION</w:t>
      </w:r>
    </w:p>
    <w:p>
      <w:pPr>
        <w:pStyle w:val="BodyText"/>
        <w:spacing w:line="249" w:lineRule="auto" w:before="76"/>
        <w:ind w:right="1438" w:firstLine="432"/>
        <w:jc w:val="both"/>
      </w:pPr>
      <w:r>
        <w:rPr/>
        <w:t>The question of mental health in Shakespeare’s plays has long fascinated scholars because his works are deeply</w:t>
      </w:r>
      <w:r>
        <w:rPr>
          <w:spacing w:val="-2"/>
        </w:rPr>
        <w:t> </w:t>
      </w:r>
      <w:r>
        <w:rPr/>
        <w:t>invested in</w:t>
      </w:r>
      <w:r>
        <w:rPr>
          <w:spacing w:val="-2"/>
        </w:rPr>
        <w:t> </w:t>
      </w:r>
      <w:r>
        <w:rPr/>
        <w:t>the human psyche and the fragile boundaries between reason and disorder. Shakespeare’s stage is populated with characters whose minds unravel under</w:t>
      </w:r>
      <w:r>
        <w:rPr>
          <w:spacing w:val="-8"/>
        </w:rPr>
        <w:t> </w:t>
      </w:r>
      <w:r>
        <w:rPr/>
        <w:t>the</w:t>
      </w:r>
      <w:r>
        <w:rPr>
          <w:spacing w:val="-7"/>
        </w:rPr>
        <w:t> </w:t>
      </w:r>
      <w:r>
        <w:rPr/>
        <w:t>pressures</w:t>
      </w:r>
      <w:r>
        <w:rPr>
          <w:spacing w:val="-9"/>
        </w:rPr>
        <w:t> </w:t>
      </w:r>
      <w:r>
        <w:rPr/>
        <w:t>of</w:t>
      </w:r>
      <w:r>
        <w:rPr>
          <w:spacing w:val="-9"/>
        </w:rPr>
        <w:t> </w:t>
      </w:r>
      <w:r>
        <w:rPr/>
        <w:t>grief,</w:t>
      </w:r>
      <w:r>
        <w:rPr>
          <w:spacing w:val="-9"/>
        </w:rPr>
        <w:t> </w:t>
      </w:r>
      <w:r>
        <w:rPr/>
        <w:t>guilt,</w:t>
      </w:r>
      <w:r>
        <w:rPr>
          <w:spacing w:val="-6"/>
        </w:rPr>
        <w:t> </w:t>
      </w:r>
      <w:r>
        <w:rPr/>
        <w:t>ambition,</w:t>
      </w:r>
      <w:r>
        <w:rPr>
          <w:spacing w:val="-9"/>
        </w:rPr>
        <w:t> </w:t>
      </w:r>
      <w:r>
        <w:rPr/>
        <w:t>and</w:t>
      </w:r>
      <w:r>
        <w:rPr>
          <w:spacing w:val="-8"/>
        </w:rPr>
        <w:t> </w:t>
      </w:r>
      <w:r>
        <w:rPr/>
        <w:t>social</w:t>
      </w:r>
      <w:r>
        <w:rPr>
          <w:spacing w:val="-8"/>
        </w:rPr>
        <w:t> </w:t>
      </w:r>
      <w:r>
        <w:rPr/>
        <w:t>constraint.</w:t>
      </w:r>
      <w:r>
        <w:rPr>
          <w:spacing w:val="-8"/>
        </w:rPr>
        <w:t> </w:t>
      </w:r>
      <w:r>
        <w:rPr/>
        <w:t>While </w:t>
      </w:r>
      <w:r>
        <w:rPr>
          <w:spacing w:val="-4"/>
        </w:rPr>
        <w:t>male figures such</w:t>
      </w:r>
      <w:r>
        <w:rPr>
          <w:spacing w:val="-7"/>
        </w:rPr>
        <w:t> </w:t>
      </w:r>
      <w:r>
        <w:rPr>
          <w:spacing w:val="-4"/>
        </w:rPr>
        <w:t>as Hamlet, King Lear, and Macbeth dominate traditional </w:t>
      </w:r>
      <w:r>
        <w:rPr>
          <w:spacing w:val="-2"/>
        </w:rPr>
        <w:t>discussions</w:t>
      </w:r>
      <w:r>
        <w:rPr>
          <w:spacing w:val="-9"/>
        </w:rPr>
        <w:t> </w:t>
      </w:r>
      <w:r>
        <w:rPr>
          <w:spacing w:val="-2"/>
        </w:rPr>
        <w:t>of</w:t>
      </w:r>
      <w:r>
        <w:rPr>
          <w:spacing w:val="-5"/>
        </w:rPr>
        <w:t> </w:t>
      </w:r>
      <w:r>
        <w:rPr>
          <w:spacing w:val="-2"/>
        </w:rPr>
        <w:t>melancholy</w:t>
      </w:r>
      <w:r>
        <w:rPr>
          <w:spacing w:val="-11"/>
        </w:rPr>
        <w:t> </w:t>
      </w:r>
      <w:r>
        <w:rPr>
          <w:spacing w:val="-2"/>
        </w:rPr>
        <w:t>and madness,</w:t>
      </w:r>
      <w:r>
        <w:rPr>
          <w:spacing w:val="-5"/>
        </w:rPr>
        <w:t> </w:t>
      </w:r>
      <w:r>
        <w:rPr>
          <w:spacing w:val="-2"/>
        </w:rPr>
        <w:t>Shakespeare’s</w:t>
      </w:r>
      <w:r>
        <w:rPr>
          <w:spacing w:val="-5"/>
        </w:rPr>
        <w:t> </w:t>
      </w:r>
      <w:r>
        <w:rPr>
          <w:spacing w:val="-2"/>
        </w:rPr>
        <w:t>female</w:t>
      </w:r>
      <w:r>
        <w:rPr>
          <w:spacing w:val="-5"/>
        </w:rPr>
        <w:t> </w:t>
      </w:r>
      <w:r>
        <w:rPr>
          <w:spacing w:val="-2"/>
        </w:rPr>
        <w:t>characters </w:t>
      </w:r>
      <w:r>
        <w:rPr/>
        <w:t>often embody subtler yet equally profound forms of psychological suffering. Their struggles are not merely personal afflictions but dramatizations of the cultural, medical, and moral assumptions of the Elizabethan and Jacobean world.</w:t>
      </w:r>
    </w:p>
    <w:p>
      <w:pPr>
        <w:pStyle w:val="BodyText"/>
        <w:spacing w:line="249" w:lineRule="auto" w:before="69"/>
        <w:ind w:right="1438" w:firstLine="432"/>
        <w:jc w:val="both"/>
      </w:pPr>
      <w:r>
        <w:rPr/>
        <w:t>Women in Shakespeare’s plays are frequently depicted as victims of</w:t>
      </w:r>
      <w:r>
        <w:rPr>
          <w:spacing w:val="-13"/>
        </w:rPr>
        <w:t> </w:t>
      </w:r>
      <w:r>
        <w:rPr/>
        <w:t>patriarchal</w:t>
      </w:r>
      <w:r>
        <w:rPr>
          <w:spacing w:val="-12"/>
        </w:rPr>
        <w:t> </w:t>
      </w:r>
      <w:r>
        <w:rPr/>
        <w:t>oppression,</w:t>
      </w:r>
      <w:r>
        <w:rPr>
          <w:spacing w:val="-13"/>
        </w:rPr>
        <w:t> </w:t>
      </w:r>
      <w:r>
        <w:rPr/>
        <w:t>silenced</w:t>
      </w:r>
      <w:r>
        <w:rPr>
          <w:spacing w:val="-12"/>
        </w:rPr>
        <w:t> </w:t>
      </w:r>
      <w:r>
        <w:rPr/>
        <w:t>voices,</w:t>
      </w:r>
      <w:r>
        <w:rPr>
          <w:spacing w:val="-13"/>
        </w:rPr>
        <w:t> </w:t>
      </w:r>
      <w:r>
        <w:rPr/>
        <w:t>or</w:t>
      </w:r>
      <w:r>
        <w:rPr>
          <w:spacing w:val="-12"/>
        </w:rPr>
        <w:t> </w:t>
      </w:r>
      <w:r>
        <w:rPr/>
        <w:t>tragic</w:t>
      </w:r>
      <w:r>
        <w:rPr>
          <w:spacing w:val="-13"/>
        </w:rPr>
        <w:t> </w:t>
      </w:r>
      <w:r>
        <w:rPr/>
        <w:t>figures</w:t>
      </w:r>
      <w:r>
        <w:rPr>
          <w:spacing w:val="-12"/>
        </w:rPr>
        <w:t> </w:t>
      </w:r>
      <w:r>
        <w:rPr/>
        <w:t>whose</w:t>
      </w:r>
      <w:r>
        <w:rPr>
          <w:spacing w:val="-13"/>
        </w:rPr>
        <w:t> </w:t>
      </w:r>
      <w:r>
        <w:rPr/>
        <w:t>mental breakdowns dramatize the costs of gender inequality. Characters such</w:t>
      </w:r>
      <w:r>
        <w:rPr>
          <w:spacing w:val="40"/>
        </w:rPr>
        <w:t> </w:t>
      </w:r>
      <w:r>
        <w:rPr/>
        <w:t>as</w:t>
      </w:r>
      <w:r>
        <w:rPr>
          <w:spacing w:val="-11"/>
        </w:rPr>
        <w:t> </w:t>
      </w:r>
      <w:r>
        <w:rPr/>
        <w:t>Ophelia,</w:t>
      </w:r>
      <w:r>
        <w:rPr>
          <w:spacing w:val="-8"/>
        </w:rPr>
        <w:t> </w:t>
      </w:r>
      <w:r>
        <w:rPr/>
        <w:t>Lady</w:t>
      </w:r>
      <w:r>
        <w:rPr>
          <w:spacing w:val="-13"/>
        </w:rPr>
        <w:t> </w:t>
      </w:r>
      <w:r>
        <w:rPr/>
        <w:t>Macbeth,</w:t>
      </w:r>
      <w:r>
        <w:rPr>
          <w:spacing w:val="-7"/>
        </w:rPr>
        <w:t> </w:t>
      </w:r>
      <w:r>
        <w:rPr/>
        <w:t>Desdemona,</w:t>
      </w:r>
      <w:r>
        <w:rPr>
          <w:spacing w:val="-11"/>
        </w:rPr>
        <w:t> </w:t>
      </w:r>
      <w:r>
        <w:rPr/>
        <w:t>and</w:t>
      </w:r>
      <w:r>
        <w:rPr>
          <w:spacing w:val="-8"/>
        </w:rPr>
        <w:t> </w:t>
      </w:r>
      <w:r>
        <w:rPr/>
        <w:t>Cordelia</w:t>
      </w:r>
      <w:r>
        <w:rPr>
          <w:spacing w:val="-10"/>
        </w:rPr>
        <w:t> </w:t>
      </w:r>
      <w:r>
        <w:rPr/>
        <w:t>reveal</w:t>
      </w:r>
      <w:r>
        <w:rPr>
          <w:spacing w:val="-10"/>
        </w:rPr>
        <w:t> </w:t>
      </w:r>
      <w:r>
        <w:rPr/>
        <w:t>how</w:t>
      </w:r>
      <w:r>
        <w:rPr>
          <w:spacing w:val="-13"/>
        </w:rPr>
        <w:t> </w:t>
      </w:r>
      <w:r>
        <w:rPr/>
        <w:t>female mental health is shaped by forces beyond the individual: familial expectations,</w:t>
      </w:r>
      <w:r>
        <w:rPr>
          <w:spacing w:val="-13"/>
        </w:rPr>
        <w:t> </w:t>
      </w:r>
      <w:r>
        <w:rPr/>
        <w:t>marital</w:t>
      </w:r>
      <w:r>
        <w:rPr>
          <w:spacing w:val="-12"/>
        </w:rPr>
        <w:t> </w:t>
      </w:r>
      <w:r>
        <w:rPr/>
        <w:t>dynamics,</w:t>
      </w:r>
      <w:r>
        <w:rPr>
          <w:spacing w:val="-13"/>
        </w:rPr>
        <w:t> </w:t>
      </w:r>
      <w:r>
        <w:rPr/>
        <w:t>political</w:t>
      </w:r>
      <w:r>
        <w:rPr>
          <w:spacing w:val="-12"/>
        </w:rPr>
        <w:t> </w:t>
      </w:r>
      <w:r>
        <w:rPr/>
        <w:t>ambition,</w:t>
      </w:r>
      <w:r>
        <w:rPr>
          <w:spacing w:val="-13"/>
        </w:rPr>
        <w:t> </w:t>
      </w:r>
      <w:r>
        <w:rPr/>
        <w:t>and</w:t>
      </w:r>
      <w:r>
        <w:rPr>
          <w:spacing w:val="-12"/>
        </w:rPr>
        <w:t> </w:t>
      </w:r>
      <w:r>
        <w:rPr/>
        <w:t>societal</w:t>
      </w:r>
      <w:r>
        <w:rPr>
          <w:spacing w:val="-13"/>
        </w:rPr>
        <w:t> </w:t>
      </w:r>
      <w:r>
        <w:rPr/>
        <w:t>anxieties about</w:t>
      </w:r>
      <w:r>
        <w:rPr>
          <w:spacing w:val="-7"/>
        </w:rPr>
        <w:t> </w:t>
      </w:r>
      <w:r>
        <w:rPr/>
        <w:t>femininity.</w:t>
      </w:r>
      <w:r>
        <w:rPr>
          <w:spacing w:val="-9"/>
        </w:rPr>
        <w:t> </w:t>
      </w:r>
      <w:r>
        <w:rPr/>
        <w:t>Their</w:t>
      </w:r>
      <w:r>
        <w:rPr>
          <w:spacing w:val="-7"/>
        </w:rPr>
        <w:t> </w:t>
      </w:r>
      <w:r>
        <w:rPr/>
        <w:t>psychological</w:t>
      </w:r>
      <w:r>
        <w:rPr>
          <w:spacing w:val="-9"/>
        </w:rPr>
        <w:t> </w:t>
      </w:r>
      <w:r>
        <w:rPr/>
        <w:t>states</w:t>
      </w:r>
      <w:r>
        <w:rPr>
          <w:spacing w:val="-7"/>
        </w:rPr>
        <w:t> </w:t>
      </w:r>
      <w:r>
        <w:rPr/>
        <w:t>are</w:t>
      </w:r>
      <w:r>
        <w:rPr>
          <w:spacing w:val="-8"/>
        </w:rPr>
        <w:t> </w:t>
      </w:r>
      <w:r>
        <w:rPr/>
        <w:t>often</w:t>
      </w:r>
      <w:r>
        <w:rPr>
          <w:spacing w:val="-9"/>
        </w:rPr>
        <w:t> </w:t>
      </w:r>
      <w:r>
        <w:rPr/>
        <w:t>expressed</w:t>
      </w:r>
      <w:r>
        <w:rPr>
          <w:spacing w:val="-7"/>
        </w:rPr>
        <w:t> </w:t>
      </w:r>
      <w:r>
        <w:rPr/>
        <w:t>through fragmented language, symbolic gestures, or silence, underscoring the limitations imposed on women’s voices in patriarchal societies.</w:t>
      </w:r>
    </w:p>
    <w:p>
      <w:pPr>
        <w:pStyle w:val="BodyText"/>
        <w:spacing w:line="249" w:lineRule="auto" w:before="65"/>
        <w:ind w:right="1434" w:firstLine="432"/>
        <w:jc w:val="both"/>
      </w:pPr>
      <w:r>
        <w:rPr/>
        <w:t>This</w:t>
      </w:r>
      <w:r>
        <w:rPr>
          <w:spacing w:val="-4"/>
        </w:rPr>
        <w:t> </w:t>
      </w:r>
      <w:r>
        <w:rPr/>
        <w:t>paper</w:t>
      </w:r>
      <w:r>
        <w:rPr>
          <w:spacing w:val="-4"/>
        </w:rPr>
        <w:t> </w:t>
      </w:r>
      <w:r>
        <w:rPr/>
        <w:t>argues</w:t>
      </w:r>
      <w:r>
        <w:rPr>
          <w:spacing w:val="-6"/>
        </w:rPr>
        <w:t> </w:t>
      </w:r>
      <w:r>
        <w:rPr/>
        <w:t>that</w:t>
      </w:r>
      <w:r>
        <w:rPr>
          <w:spacing w:val="-4"/>
        </w:rPr>
        <w:t> </w:t>
      </w:r>
      <w:r>
        <w:rPr/>
        <w:t>Shakespeare’s</w:t>
      </w:r>
      <w:r>
        <w:rPr>
          <w:spacing w:val="-4"/>
        </w:rPr>
        <w:t> </w:t>
      </w:r>
      <w:r>
        <w:rPr/>
        <w:t>portrayal</w:t>
      </w:r>
      <w:r>
        <w:rPr>
          <w:spacing w:val="-6"/>
        </w:rPr>
        <w:t> </w:t>
      </w:r>
      <w:r>
        <w:rPr/>
        <w:t>of</w:t>
      </w:r>
      <w:r>
        <w:rPr>
          <w:spacing w:val="-6"/>
        </w:rPr>
        <w:t> </w:t>
      </w:r>
      <w:r>
        <w:rPr/>
        <w:t>women’s</w:t>
      </w:r>
      <w:r>
        <w:rPr>
          <w:spacing w:val="-6"/>
        </w:rPr>
        <w:t> </w:t>
      </w:r>
      <w:r>
        <w:rPr/>
        <w:t>mental health is both reflective of early modern medical and social discourses and anticipatory of modern psychological theories. In the Renaissance, madness was often explained through humoral imbalance or divine </w:t>
      </w:r>
      <w:r>
        <w:rPr>
          <w:spacing w:val="-2"/>
        </w:rPr>
        <w:t>punishment,</w:t>
      </w:r>
      <w:r>
        <w:rPr>
          <w:spacing w:val="-11"/>
        </w:rPr>
        <w:t> </w:t>
      </w:r>
      <w:r>
        <w:rPr>
          <w:spacing w:val="-2"/>
        </w:rPr>
        <w:t>and</w:t>
      </w:r>
      <w:r>
        <w:rPr>
          <w:spacing w:val="-10"/>
        </w:rPr>
        <w:t> </w:t>
      </w:r>
      <w:r>
        <w:rPr>
          <w:spacing w:val="-2"/>
        </w:rPr>
        <w:t>women</w:t>
      </w:r>
      <w:r>
        <w:rPr>
          <w:spacing w:val="-11"/>
        </w:rPr>
        <w:t> </w:t>
      </w:r>
      <w:r>
        <w:rPr>
          <w:spacing w:val="-2"/>
        </w:rPr>
        <w:t>were</w:t>
      </w:r>
      <w:r>
        <w:rPr>
          <w:spacing w:val="-10"/>
        </w:rPr>
        <w:t> </w:t>
      </w:r>
      <w:r>
        <w:rPr>
          <w:spacing w:val="-2"/>
        </w:rPr>
        <w:t>considered</w:t>
      </w:r>
      <w:r>
        <w:rPr>
          <w:spacing w:val="-11"/>
        </w:rPr>
        <w:t> </w:t>
      </w:r>
      <w:r>
        <w:rPr>
          <w:spacing w:val="-2"/>
        </w:rPr>
        <w:t>especially</w:t>
      </w:r>
      <w:r>
        <w:rPr>
          <w:spacing w:val="-10"/>
        </w:rPr>
        <w:t> </w:t>
      </w:r>
      <w:r>
        <w:rPr>
          <w:spacing w:val="-2"/>
        </w:rPr>
        <w:t>vulnerable</w:t>
      </w:r>
      <w:r>
        <w:rPr>
          <w:spacing w:val="-11"/>
        </w:rPr>
        <w:t> </w:t>
      </w:r>
      <w:r>
        <w:rPr>
          <w:spacing w:val="-2"/>
        </w:rPr>
        <w:t>to</w:t>
      </w:r>
      <w:r>
        <w:rPr>
          <w:spacing w:val="-10"/>
        </w:rPr>
        <w:t> </w:t>
      </w:r>
      <w:r>
        <w:rPr>
          <w:spacing w:val="-2"/>
        </w:rPr>
        <w:t>hysteria </w:t>
      </w:r>
      <w:r>
        <w:rPr/>
        <w:t>and</w:t>
      </w:r>
      <w:r>
        <w:rPr>
          <w:spacing w:val="-8"/>
        </w:rPr>
        <w:t> </w:t>
      </w:r>
      <w:r>
        <w:rPr/>
        <w:t>melancholy.</w:t>
      </w:r>
      <w:r>
        <w:rPr>
          <w:spacing w:val="-6"/>
        </w:rPr>
        <w:t> </w:t>
      </w:r>
      <w:r>
        <w:rPr/>
        <w:t>Shakespeare</w:t>
      </w:r>
      <w:r>
        <w:rPr>
          <w:spacing w:val="-8"/>
        </w:rPr>
        <w:t> </w:t>
      </w:r>
      <w:r>
        <w:rPr/>
        <w:t>draws</w:t>
      </w:r>
      <w:r>
        <w:rPr>
          <w:spacing w:val="-8"/>
        </w:rPr>
        <w:t> </w:t>
      </w:r>
      <w:r>
        <w:rPr/>
        <w:t>upon</w:t>
      </w:r>
      <w:r>
        <w:rPr>
          <w:spacing w:val="-9"/>
        </w:rPr>
        <w:t> </w:t>
      </w:r>
      <w:r>
        <w:rPr/>
        <w:t>these</w:t>
      </w:r>
      <w:r>
        <w:rPr>
          <w:spacing w:val="-5"/>
        </w:rPr>
        <w:t> </w:t>
      </w:r>
      <w:r>
        <w:rPr/>
        <w:t>cultural</w:t>
      </w:r>
      <w:r>
        <w:rPr>
          <w:spacing w:val="-9"/>
        </w:rPr>
        <w:t> </w:t>
      </w:r>
      <w:r>
        <w:rPr/>
        <w:t>frameworks</w:t>
      </w:r>
      <w:r>
        <w:rPr>
          <w:spacing w:val="-8"/>
        </w:rPr>
        <w:t> </w:t>
      </w:r>
      <w:r>
        <w:rPr/>
        <w:t>but complicates them by giving his female characters depth, agency, and symbolic power. By analyzing Ophelia’s madness in </w:t>
      </w:r>
      <w:r>
        <w:rPr>
          <w:i/>
        </w:rPr>
        <w:t>Hamlet</w:t>
      </w:r>
      <w:r>
        <w:rPr/>
        <w:t>, Lady Macbeth’s guilt ridden disintegration in </w:t>
      </w:r>
      <w:r>
        <w:rPr>
          <w:i/>
        </w:rPr>
        <w:t>Macbeth</w:t>
      </w:r>
      <w:r>
        <w:rPr/>
        <w:t>, Desdemona’s emotional trauma in </w:t>
      </w:r>
      <w:r>
        <w:rPr>
          <w:i/>
        </w:rPr>
        <w:t>Othello</w:t>
      </w:r>
      <w:r>
        <w:rPr/>
        <w:t>, and the strained relationships of Lear’s daughters in </w:t>
      </w:r>
      <w:r>
        <w:rPr>
          <w:i/>
        </w:rPr>
        <w:t>King Lear</w:t>
      </w:r>
      <w:r>
        <w:rPr/>
        <w:t>, we see how Shakespeare dramatizes the intersection</w:t>
      </w:r>
      <w:r>
        <w:rPr>
          <w:spacing w:val="40"/>
        </w:rPr>
        <w:t> </w:t>
      </w:r>
      <w:r>
        <w:rPr/>
        <w:t>of</w:t>
      </w:r>
      <w:r>
        <w:rPr>
          <w:spacing w:val="40"/>
        </w:rPr>
        <w:t> </w:t>
      </w:r>
      <w:r>
        <w:rPr/>
        <w:t>gender</w:t>
      </w:r>
      <w:r>
        <w:rPr>
          <w:spacing w:val="40"/>
        </w:rPr>
        <w:t> </w:t>
      </w:r>
      <w:r>
        <w:rPr/>
        <w:t>and</w:t>
      </w:r>
      <w:r>
        <w:rPr>
          <w:spacing w:val="40"/>
        </w:rPr>
        <w:t> </w:t>
      </w:r>
      <w:r>
        <w:rPr/>
        <w:t>mental</w:t>
      </w:r>
      <w:r>
        <w:rPr>
          <w:spacing w:val="40"/>
        </w:rPr>
        <w:t> </w:t>
      </w:r>
      <w:r>
        <w:rPr/>
        <w:t>health.</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48448">
                <wp:simplePos x="0" y="0"/>
                <wp:positionH relativeFrom="page">
                  <wp:posOffset>2057400</wp:posOffset>
                </wp:positionH>
                <wp:positionV relativeFrom="paragraph">
                  <wp:posOffset>162604</wp:posOffset>
                </wp:positionV>
                <wp:extent cx="3657600" cy="12700"/>
                <wp:effectExtent l="0" t="0" r="0" b="0"/>
                <wp:wrapTopAndBottom/>
                <wp:docPr id="707" name="Graphic 707"/>
                <wp:cNvGraphicFramePr>
                  <a:graphicFrameLocks/>
                </wp:cNvGraphicFramePr>
                <a:graphic>
                  <a:graphicData uri="http://schemas.microsoft.com/office/word/2010/wordprocessingShape">
                    <wps:wsp>
                      <wps:cNvPr id="707" name="Graphic 70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68032;mso-wrap-distance-left:0;mso-wrap-distance-right:0" id="docshape699" filled="true" fillcolor="#000000" stroked="false">
                <v:fill type="solid"/>
                <w10:wrap type="topAndBottom"/>
              </v:rect>
            </w:pict>
          </mc:Fallback>
        </mc:AlternateContent>
      </w:r>
      <w:r>
        <w:rPr>
          <w:rFonts w:ascii="Verdana"/>
          <w:spacing w:val="-5"/>
          <w:sz w:val="18"/>
        </w:rPr>
        <w:t>350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1" w:lineRule="auto" w:before="199"/>
        <w:ind w:right="1437" w:firstLine="432"/>
        <w:jc w:val="both"/>
      </w:pPr>
      <w:r>
        <w:rPr/>
        <w:t>Moreover, these portrayals resonate with modern critical </w:t>
      </w:r>
      <w:r>
        <w:rPr>
          <w:spacing w:val="-2"/>
        </w:rPr>
        <w:t>frameworks</w:t>
      </w:r>
      <w:r>
        <w:rPr>
          <w:spacing w:val="-11"/>
        </w:rPr>
        <w:t> </w:t>
      </w:r>
      <w:r>
        <w:rPr>
          <w:spacing w:val="-2"/>
        </w:rPr>
        <w:t>such</w:t>
      </w:r>
      <w:r>
        <w:rPr>
          <w:spacing w:val="-10"/>
        </w:rPr>
        <w:t> </w:t>
      </w:r>
      <w:r>
        <w:rPr>
          <w:spacing w:val="-2"/>
        </w:rPr>
        <w:t>as</w:t>
      </w:r>
      <w:r>
        <w:rPr>
          <w:spacing w:val="-11"/>
        </w:rPr>
        <w:t> </w:t>
      </w:r>
      <w:r>
        <w:rPr>
          <w:spacing w:val="-2"/>
        </w:rPr>
        <w:t>feminist</w:t>
      </w:r>
      <w:r>
        <w:rPr>
          <w:spacing w:val="-10"/>
        </w:rPr>
        <w:t> </w:t>
      </w:r>
      <w:r>
        <w:rPr>
          <w:spacing w:val="-2"/>
        </w:rPr>
        <w:t>criticism,</w:t>
      </w:r>
      <w:r>
        <w:rPr>
          <w:spacing w:val="-11"/>
        </w:rPr>
        <w:t> </w:t>
      </w:r>
      <w:r>
        <w:rPr>
          <w:spacing w:val="-2"/>
        </w:rPr>
        <w:t>psychoanalysis,</w:t>
      </w:r>
      <w:r>
        <w:rPr>
          <w:spacing w:val="-10"/>
        </w:rPr>
        <w:t> </w:t>
      </w:r>
      <w:r>
        <w:rPr>
          <w:spacing w:val="-2"/>
        </w:rPr>
        <w:t>and</w:t>
      </w:r>
      <w:r>
        <w:rPr>
          <w:spacing w:val="-11"/>
        </w:rPr>
        <w:t> </w:t>
      </w:r>
      <w:r>
        <w:rPr>
          <w:spacing w:val="-2"/>
        </w:rPr>
        <w:t>trauma</w:t>
      </w:r>
      <w:r>
        <w:rPr>
          <w:spacing w:val="-10"/>
        </w:rPr>
        <w:t> </w:t>
      </w:r>
      <w:r>
        <w:rPr>
          <w:spacing w:val="-2"/>
        </w:rPr>
        <w:t>theory. </w:t>
      </w:r>
      <w:r>
        <w:rPr/>
        <w:t>Feminist scholars highlight how madness becomes a language of resistance for women silenced by</w:t>
      </w:r>
      <w:r>
        <w:rPr>
          <w:spacing w:val="-1"/>
        </w:rPr>
        <w:t> </w:t>
      </w:r>
      <w:r>
        <w:rPr/>
        <w:t>patriarchal structures. Psychoanalytic readings</w:t>
      </w:r>
      <w:r>
        <w:rPr>
          <w:spacing w:val="-13"/>
        </w:rPr>
        <w:t> </w:t>
      </w:r>
      <w:r>
        <w:rPr/>
        <w:t>explore</w:t>
      </w:r>
      <w:r>
        <w:rPr>
          <w:spacing w:val="-12"/>
        </w:rPr>
        <w:t> </w:t>
      </w:r>
      <w:r>
        <w:rPr/>
        <w:t>unconscious</w:t>
      </w:r>
      <w:r>
        <w:rPr>
          <w:spacing w:val="-13"/>
        </w:rPr>
        <w:t> </w:t>
      </w:r>
      <w:r>
        <w:rPr/>
        <w:t>desires,</w:t>
      </w:r>
      <w:r>
        <w:rPr>
          <w:spacing w:val="-12"/>
        </w:rPr>
        <w:t> </w:t>
      </w:r>
      <w:r>
        <w:rPr/>
        <w:t>guilt,</w:t>
      </w:r>
      <w:r>
        <w:rPr>
          <w:spacing w:val="-13"/>
        </w:rPr>
        <w:t> </w:t>
      </w:r>
      <w:r>
        <w:rPr/>
        <w:t>and</w:t>
      </w:r>
      <w:r>
        <w:rPr>
          <w:spacing w:val="-12"/>
        </w:rPr>
        <w:t> </w:t>
      </w:r>
      <w:r>
        <w:rPr/>
        <w:t>repression,</w:t>
      </w:r>
      <w:r>
        <w:rPr>
          <w:spacing w:val="-13"/>
        </w:rPr>
        <w:t> </w:t>
      </w:r>
      <w:r>
        <w:rPr/>
        <w:t>while</w:t>
      </w:r>
      <w:r>
        <w:rPr>
          <w:spacing w:val="-12"/>
        </w:rPr>
        <w:t> </w:t>
      </w:r>
      <w:r>
        <w:rPr/>
        <w:t>trauma theory emphasizes how violence and silencing manifest in fragmented narratives and symbolic gestures. Shakespeare’s female characters thus emerge as enduring symbols of suffering and resilience, bridging early modern</w:t>
      </w:r>
      <w:r>
        <w:rPr>
          <w:spacing w:val="-10"/>
        </w:rPr>
        <w:t> </w:t>
      </w:r>
      <w:r>
        <w:rPr/>
        <w:t>anxieties</w:t>
      </w:r>
      <w:r>
        <w:rPr>
          <w:spacing w:val="-10"/>
        </w:rPr>
        <w:t> </w:t>
      </w:r>
      <w:r>
        <w:rPr/>
        <w:t>with</w:t>
      </w:r>
      <w:r>
        <w:rPr>
          <w:spacing w:val="-10"/>
        </w:rPr>
        <w:t> </w:t>
      </w:r>
      <w:r>
        <w:rPr/>
        <w:t>contemporary</w:t>
      </w:r>
      <w:r>
        <w:rPr>
          <w:spacing w:val="-12"/>
        </w:rPr>
        <w:t> </w:t>
      </w:r>
      <w:r>
        <w:rPr/>
        <w:t>debates</w:t>
      </w:r>
      <w:r>
        <w:rPr>
          <w:spacing w:val="-10"/>
        </w:rPr>
        <w:t> </w:t>
      </w:r>
      <w:r>
        <w:rPr/>
        <w:t>about</w:t>
      </w:r>
      <w:r>
        <w:rPr>
          <w:spacing w:val="-9"/>
        </w:rPr>
        <w:t> </w:t>
      </w:r>
      <w:r>
        <w:rPr/>
        <w:t>identity,</w:t>
      </w:r>
      <w:r>
        <w:rPr>
          <w:spacing w:val="-9"/>
        </w:rPr>
        <w:t> </w:t>
      </w:r>
      <w:r>
        <w:rPr/>
        <w:t>agency,</w:t>
      </w:r>
      <w:r>
        <w:rPr>
          <w:spacing w:val="-9"/>
        </w:rPr>
        <w:t> </w:t>
      </w:r>
      <w:r>
        <w:rPr/>
        <w:t>and psychological well being.</w:t>
      </w:r>
    </w:p>
    <w:p>
      <w:pPr>
        <w:pStyle w:val="BodyText"/>
        <w:spacing w:line="261" w:lineRule="auto" w:before="52"/>
        <w:ind w:right="1437" w:firstLine="432"/>
        <w:jc w:val="both"/>
      </w:pPr>
      <w:r>
        <w:rPr/>
        <w:t>Ultimately, Shakespeare’s exploration of women’s mental health invites us to reconsider the relationship between gender, mental illness, and</w:t>
      </w:r>
      <w:r>
        <w:rPr>
          <w:spacing w:val="-8"/>
        </w:rPr>
        <w:t> </w:t>
      </w:r>
      <w:r>
        <w:rPr/>
        <w:t>social</w:t>
      </w:r>
      <w:r>
        <w:rPr>
          <w:spacing w:val="-10"/>
        </w:rPr>
        <w:t> </w:t>
      </w:r>
      <w:r>
        <w:rPr/>
        <w:t>structures.</w:t>
      </w:r>
      <w:r>
        <w:rPr>
          <w:spacing w:val="-8"/>
        </w:rPr>
        <w:t> </w:t>
      </w:r>
      <w:r>
        <w:rPr/>
        <w:t>His</w:t>
      </w:r>
      <w:r>
        <w:rPr>
          <w:spacing w:val="-10"/>
        </w:rPr>
        <w:t> </w:t>
      </w:r>
      <w:r>
        <w:rPr/>
        <w:t>female</w:t>
      </w:r>
      <w:r>
        <w:rPr>
          <w:spacing w:val="-9"/>
        </w:rPr>
        <w:t> </w:t>
      </w:r>
      <w:r>
        <w:rPr/>
        <w:t>characters</w:t>
      </w:r>
      <w:r>
        <w:rPr>
          <w:spacing w:val="-10"/>
        </w:rPr>
        <w:t> </w:t>
      </w:r>
      <w:r>
        <w:rPr/>
        <w:t>are</w:t>
      </w:r>
      <w:r>
        <w:rPr>
          <w:spacing w:val="-10"/>
        </w:rPr>
        <w:t> </w:t>
      </w:r>
      <w:r>
        <w:rPr/>
        <w:t>not</w:t>
      </w:r>
      <w:r>
        <w:rPr>
          <w:spacing w:val="-10"/>
        </w:rPr>
        <w:t> </w:t>
      </w:r>
      <w:r>
        <w:rPr/>
        <w:t>merely</w:t>
      </w:r>
      <w:r>
        <w:rPr>
          <w:spacing w:val="-13"/>
        </w:rPr>
        <w:t> </w:t>
      </w:r>
      <w:r>
        <w:rPr/>
        <w:t>tragic</w:t>
      </w:r>
      <w:r>
        <w:rPr>
          <w:spacing w:val="-8"/>
        </w:rPr>
        <w:t> </w:t>
      </w:r>
      <w:r>
        <w:rPr/>
        <w:t>victims but complex figures whose psychological struggles illuminate the costs of oppression and the resilience of the human spirit. By situating these portrayals within both historical and modern contexts, this paper demonstrates Shakespeare’s continuing relevance to discussions of mental</w:t>
      </w:r>
      <w:r>
        <w:rPr>
          <w:spacing w:val="40"/>
        </w:rPr>
        <w:t> </w:t>
      </w:r>
      <w:r>
        <w:rPr/>
        <w:t>health</w:t>
      </w:r>
      <w:r>
        <w:rPr>
          <w:spacing w:val="40"/>
        </w:rPr>
        <w:t> </w:t>
      </w:r>
      <w:r>
        <w:rPr/>
        <w:t>and</w:t>
      </w:r>
      <w:r>
        <w:rPr>
          <w:spacing w:val="40"/>
        </w:rPr>
        <w:t> </w:t>
      </w:r>
      <w:r>
        <w:rPr/>
        <w:t>gender</w:t>
      </w:r>
      <w:r>
        <w:rPr>
          <w:spacing w:val="40"/>
        </w:rPr>
        <w:t> </w:t>
      </w:r>
      <w:r>
        <w:rPr/>
        <w:t>in</w:t>
      </w:r>
      <w:r>
        <w:rPr>
          <w:spacing w:val="40"/>
        </w:rPr>
        <w:t> </w:t>
      </w:r>
      <w:r>
        <w:rPr/>
        <w:t>literature</w:t>
      </w:r>
      <w:r>
        <w:rPr>
          <w:spacing w:val="40"/>
        </w:rPr>
        <w:t> </w:t>
      </w:r>
      <w:r>
        <w:rPr/>
        <w:t>and</w:t>
      </w:r>
      <w:r>
        <w:rPr>
          <w:spacing w:val="40"/>
        </w:rPr>
        <w:t> </w:t>
      </w:r>
      <w:r>
        <w:rPr/>
        <w:t>society.</w:t>
      </w:r>
    </w:p>
    <w:p>
      <w:pPr>
        <w:pStyle w:val="Heading3"/>
        <w:spacing w:line="244" w:lineRule="auto" w:before="147"/>
        <w:ind w:right="1437"/>
      </w:pPr>
      <w:r>
        <w:rPr>
          <w:w w:val="90"/>
        </w:rPr>
        <w:t>OPHELIA IN </w:t>
      </w:r>
      <w:r>
        <w:rPr>
          <w:rFonts w:ascii="Cambria"/>
          <w:i/>
          <w:w w:val="90"/>
        </w:rPr>
        <w:t>HAMLET</w:t>
      </w:r>
      <w:r>
        <w:rPr>
          <w:w w:val="90"/>
        </w:rPr>
        <w:t>: MADNESS AS RESISTANCE </w:t>
      </w:r>
      <w:r>
        <w:rPr>
          <w:w w:val="90"/>
        </w:rPr>
        <w:t>AND </w:t>
      </w:r>
      <w:r>
        <w:rPr>
          <w:spacing w:val="-2"/>
          <w:w w:val="90"/>
        </w:rPr>
        <w:t>VULNERABILITY</w:t>
      </w:r>
    </w:p>
    <w:p>
      <w:pPr>
        <w:pStyle w:val="BodyText"/>
        <w:spacing w:line="261" w:lineRule="auto" w:before="83"/>
        <w:ind w:right="1437" w:firstLine="432"/>
        <w:jc w:val="both"/>
      </w:pPr>
      <w:r>
        <w:rPr/>
        <w:t>Ophelia’s descent into madness is one of Shakespeare’s most haunting</w:t>
      </w:r>
      <w:r>
        <w:rPr>
          <w:spacing w:val="-3"/>
        </w:rPr>
        <w:t> </w:t>
      </w:r>
      <w:r>
        <w:rPr/>
        <w:t>and</w:t>
      </w:r>
      <w:r>
        <w:rPr>
          <w:spacing w:val="-2"/>
        </w:rPr>
        <w:t> </w:t>
      </w:r>
      <w:r>
        <w:rPr/>
        <w:t>enduring</w:t>
      </w:r>
      <w:r>
        <w:rPr>
          <w:spacing w:val="-5"/>
        </w:rPr>
        <w:t> </w:t>
      </w:r>
      <w:r>
        <w:rPr/>
        <w:t>depictions</w:t>
      </w:r>
      <w:r>
        <w:rPr>
          <w:spacing w:val="-5"/>
        </w:rPr>
        <w:t> </w:t>
      </w:r>
      <w:r>
        <w:rPr/>
        <w:t>of</w:t>
      </w:r>
      <w:r>
        <w:rPr>
          <w:spacing w:val="-5"/>
        </w:rPr>
        <w:t> </w:t>
      </w:r>
      <w:r>
        <w:rPr/>
        <w:t>female</w:t>
      </w:r>
      <w:r>
        <w:rPr>
          <w:spacing w:val="-3"/>
        </w:rPr>
        <w:t> </w:t>
      </w:r>
      <w:r>
        <w:rPr/>
        <w:t>psychological</w:t>
      </w:r>
      <w:r>
        <w:rPr>
          <w:spacing w:val="-3"/>
        </w:rPr>
        <w:t> </w:t>
      </w:r>
      <w:r>
        <w:rPr/>
        <w:t>collapse.</w:t>
      </w:r>
      <w:r>
        <w:rPr>
          <w:spacing w:val="-3"/>
        </w:rPr>
        <w:t> </w:t>
      </w:r>
      <w:r>
        <w:rPr/>
        <w:t>Her fragmented songs—”He is dead and gone, lady, / He is dead and gone” </w:t>
      </w:r>
      <w:r>
        <w:rPr>
          <w:spacing w:val="-4"/>
        </w:rPr>
        <w:t>(IV.v)—express grief</w:t>
      </w:r>
      <w:r>
        <w:rPr>
          <w:spacing w:val="-7"/>
        </w:rPr>
        <w:t> </w:t>
      </w:r>
      <w:r>
        <w:rPr>
          <w:spacing w:val="-4"/>
        </w:rPr>
        <w:t>for her father’s</w:t>
      </w:r>
      <w:r>
        <w:rPr>
          <w:spacing w:val="-7"/>
        </w:rPr>
        <w:t> </w:t>
      </w:r>
      <w:r>
        <w:rPr>
          <w:spacing w:val="-4"/>
        </w:rPr>
        <w:t>death but</w:t>
      </w:r>
      <w:r>
        <w:rPr>
          <w:spacing w:val="-5"/>
        </w:rPr>
        <w:t> </w:t>
      </w:r>
      <w:r>
        <w:rPr>
          <w:spacing w:val="-4"/>
        </w:rPr>
        <w:t>also symbolize her inability </w:t>
      </w:r>
      <w:r>
        <w:rPr/>
        <w:t>to articulate trauma in coherent speech. The broken rhythm of her language,</w:t>
      </w:r>
      <w:r>
        <w:rPr>
          <w:spacing w:val="-1"/>
        </w:rPr>
        <w:t> </w:t>
      </w:r>
      <w:r>
        <w:rPr/>
        <w:t>the sudden</w:t>
      </w:r>
      <w:r>
        <w:rPr>
          <w:spacing w:val="-2"/>
        </w:rPr>
        <w:t> </w:t>
      </w:r>
      <w:r>
        <w:rPr/>
        <w:t>shifts</w:t>
      </w:r>
      <w:r>
        <w:rPr>
          <w:spacing w:val="-1"/>
        </w:rPr>
        <w:t> </w:t>
      </w:r>
      <w:r>
        <w:rPr/>
        <w:t>in</w:t>
      </w:r>
      <w:r>
        <w:rPr>
          <w:spacing w:val="-2"/>
        </w:rPr>
        <w:t> </w:t>
      </w:r>
      <w:r>
        <w:rPr/>
        <w:t>tone, and the mingling</w:t>
      </w:r>
      <w:r>
        <w:rPr>
          <w:spacing w:val="-1"/>
        </w:rPr>
        <w:t> </w:t>
      </w:r>
      <w:r>
        <w:rPr/>
        <w:t>of</w:t>
      </w:r>
      <w:r>
        <w:rPr>
          <w:spacing w:val="-2"/>
        </w:rPr>
        <w:t> </w:t>
      </w:r>
      <w:r>
        <w:rPr/>
        <w:t>nursery</w:t>
      </w:r>
      <w:r>
        <w:rPr>
          <w:spacing w:val="-4"/>
        </w:rPr>
        <w:t> </w:t>
      </w:r>
      <w:r>
        <w:rPr/>
        <w:t>rhymes with lamentations suggest a mind overwhelmed by grief yet struggling to find expression. Shakespeare uses her madness to dramatize the tension</w:t>
      </w:r>
      <w:r>
        <w:rPr>
          <w:spacing w:val="-7"/>
        </w:rPr>
        <w:t> </w:t>
      </w:r>
      <w:r>
        <w:rPr/>
        <w:t>between</w:t>
      </w:r>
      <w:r>
        <w:rPr>
          <w:spacing w:val="-5"/>
        </w:rPr>
        <w:t> </w:t>
      </w:r>
      <w:r>
        <w:rPr/>
        <w:t>silence</w:t>
      </w:r>
      <w:r>
        <w:rPr>
          <w:spacing w:val="-7"/>
        </w:rPr>
        <w:t> </w:t>
      </w:r>
      <w:r>
        <w:rPr/>
        <w:t>and</w:t>
      </w:r>
      <w:r>
        <w:rPr>
          <w:spacing w:val="-5"/>
        </w:rPr>
        <w:t> </w:t>
      </w:r>
      <w:r>
        <w:rPr/>
        <w:t>speech:</w:t>
      </w:r>
      <w:r>
        <w:rPr>
          <w:spacing w:val="-3"/>
        </w:rPr>
        <w:t> </w:t>
      </w:r>
      <w:r>
        <w:rPr/>
        <w:t>Ophelia,</w:t>
      </w:r>
      <w:r>
        <w:rPr>
          <w:spacing w:val="-5"/>
        </w:rPr>
        <w:t> </w:t>
      </w:r>
      <w:r>
        <w:rPr/>
        <w:t>who</w:t>
      </w:r>
      <w:r>
        <w:rPr>
          <w:spacing w:val="-5"/>
        </w:rPr>
        <w:t> </w:t>
      </w:r>
      <w:r>
        <w:rPr/>
        <w:t>has</w:t>
      </w:r>
      <w:r>
        <w:rPr>
          <w:spacing w:val="-5"/>
        </w:rPr>
        <w:t> </w:t>
      </w:r>
      <w:r>
        <w:rPr/>
        <w:t>been</w:t>
      </w:r>
      <w:r>
        <w:rPr>
          <w:spacing w:val="-7"/>
        </w:rPr>
        <w:t> </w:t>
      </w:r>
      <w:r>
        <w:rPr/>
        <w:t>consistently silenced and controlled throughout the play, finally speaks—but only through</w:t>
      </w:r>
      <w:r>
        <w:rPr>
          <w:spacing w:val="40"/>
        </w:rPr>
        <w:t> </w:t>
      </w:r>
      <w:r>
        <w:rPr/>
        <w:t>the</w:t>
      </w:r>
      <w:r>
        <w:rPr>
          <w:spacing w:val="40"/>
        </w:rPr>
        <w:t> </w:t>
      </w:r>
      <w:r>
        <w:rPr/>
        <w:t>fractured</w:t>
      </w:r>
      <w:r>
        <w:rPr>
          <w:spacing w:val="40"/>
        </w:rPr>
        <w:t> </w:t>
      </w:r>
      <w:r>
        <w:rPr/>
        <w:t>idiom</w:t>
      </w:r>
      <w:r>
        <w:rPr>
          <w:spacing w:val="40"/>
        </w:rPr>
        <w:t> </w:t>
      </w:r>
      <w:r>
        <w:rPr/>
        <w:t>of</w:t>
      </w:r>
      <w:r>
        <w:rPr>
          <w:spacing w:val="40"/>
        </w:rPr>
        <w:t> </w:t>
      </w:r>
      <w:r>
        <w:rPr/>
        <w:t>madness.</w:t>
      </w:r>
    </w:p>
    <w:p>
      <w:pPr>
        <w:pStyle w:val="BodyText"/>
        <w:spacing w:line="249" w:lineRule="auto" w:before="44"/>
        <w:ind w:right="1439" w:firstLine="432"/>
        <w:jc w:val="both"/>
      </w:pPr>
      <w:r>
        <w:rPr/>
        <w:t>The flowers she distributes—rosemary for remembrance, pansies for thoughts, fennel for flattery, rue for repentance—become symbolic gestures through which she communicates suppressed emotions. Each flower</w:t>
      </w:r>
      <w:r>
        <w:rPr>
          <w:spacing w:val="-6"/>
        </w:rPr>
        <w:t> </w:t>
      </w:r>
      <w:r>
        <w:rPr/>
        <w:t>is</w:t>
      </w:r>
      <w:r>
        <w:rPr>
          <w:spacing w:val="-6"/>
        </w:rPr>
        <w:t> </w:t>
      </w:r>
      <w:r>
        <w:rPr/>
        <w:t>a</w:t>
      </w:r>
      <w:r>
        <w:rPr>
          <w:spacing w:val="-6"/>
        </w:rPr>
        <w:t> </w:t>
      </w:r>
      <w:r>
        <w:rPr/>
        <w:t>coded</w:t>
      </w:r>
      <w:r>
        <w:rPr>
          <w:spacing w:val="-4"/>
        </w:rPr>
        <w:t> </w:t>
      </w:r>
      <w:r>
        <w:rPr/>
        <w:t>message,</w:t>
      </w:r>
      <w:r>
        <w:rPr>
          <w:spacing w:val="-7"/>
        </w:rPr>
        <w:t> </w:t>
      </w:r>
      <w:r>
        <w:rPr/>
        <w:t>a</w:t>
      </w:r>
      <w:r>
        <w:rPr>
          <w:spacing w:val="-6"/>
        </w:rPr>
        <w:t> </w:t>
      </w:r>
      <w:r>
        <w:rPr/>
        <w:t>symbolic</w:t>
      </w:r>
      <w:r>
        <w:rPr>
          <w:spacing w:val="-3"/>
        </w:rPr>
        <w:t> </w:t>
      </w:r>
      <w:r>
        <w:rPr/>
        <w:t>language</w:t>
      </w:r>
      <w:r>
        <w:rPr>
          <w:spacing w:val="-6"/>
        </w:rPr>
        <w:t> </w:t>
      </w:r>
      <w:r>
        <w:rPr/>
        <w:t>that</w:t>
      </w:r>
      <w:r>
        <w:rPr>
          <w:spacing w:val="-6"/>
        </w:rPr>
        <w:t> </w:t>
      </w:r>
      <w:r>
        <w:rPr/>
        <w:t>allows</w:t>
      </w:r>
      <w:r>
        <w:rPr>
          <w:spacing w:val="-7"/>
        </w:rPr>
        <w:t> </w:t>
      </w:r>
      <w:r>
        <w:rPr/>
        <w:t>her</w:t>
      </w:r>
      <w:r>
        <w:rPr>
          <w:spacing w:val="-4"/>
        </w:rPr>
        <w:t> </w:t>
      </w:r>
      <w:r>
        <w:rPr/>
        <w:t>to</w:t>
      </w:r>
      <w:r>
        <w:rPr>
          <w:spacing w:val="-6"/>
        </w:rPr>
        <w:t> </w:t>
      </w:r>
      <w:r>
        <w:rPr/>
        <w:t>speak truths otherwise forbidden in the patriarchal court. Rosemary and pansies,</w:t>
      </w:r>
      <w:r>
        <w:rPr>
          <w:spacing w:val="-13"/>
        </w:rPr>
        <w:t> </w:t>
      </w:r>
      <w:r>
        <w:rPr/>
        <w:t>given</w:t>
      </w:r>
      <w:r>
        <w:rPr>
          <w:spacing w:val="-12"/>
        </w:rPr>
        <w:t> </w:t>
      </w:r>
      <w:r>
        <w:rPr/>
        <w:t>to</w:t>
      </w:r>
      <w:r>
        <w:rPr>
          <w:spacing w:val="-8"/>
        </w:rPr>
        <w:t> </w:t>
      </w:r>
      <w:r>
        <w:rPr/>
        <w:t>Laertes,</w:t>
      </w:r>
      <w:r>
        <w:rPr>
          <w:spacing w:val="-9"/>
        </w:rPr>
        <w:t> </w:t>
      </w:r>
      <w:r>
        <w:rPr/>
        <w:t>remind</w:t>
      </w:r>
      <w:r>
        <w:rPr>
          <w:spacing w:val="-8"/>
        </w:rPr>
        <w:t> </w:t>
      </w:r>
      <w:r>
        <w:rPr/>
        <w:t>him</w:t>
      </w:r>
      <w:r>
        <w:rPr>
          <w:spacing w:val="-13"/>
        </w:rPr>
        <w:t> </w:t>
      </w:r>
      <w:r>
        <w:rPr/>
        <w:t>of</w:t>
      </w:r>
      <w:r>
        <w:rPr>
          <w:spacing w:val="-10"/>
        </w:rPr>
        <w:t> </w:t>
      </w:r>
      <w:r>
        <w:rPr/>
        <w:t>memory</w:t>
      </w:r>
      <w:r>
        <w:rPr>
          <w:spacing w:val="-12"/>
        </w:rPr>
        <w:t> </w:t>
      </w:r>
      <w:r>
        <w:rPr/>
        <w:t>and</w:t>
      </w:r>
      <w:r>
        <w:rPr>
          <w:spacing w:val="-10"/>
        </w:rPr>
        <w:t> </w:t>
      </w:r>
      <w:r>
        <w:rPr/>
        <w:t>thought,</w:t>
      </w:r>
      <w:r>
        <w:rPr>
          <w:spacing w:val="-12"/>
        </w:rPr>
        <w:t> </w:t>
      </w:r>
      <w:r>
        <w:rPr/>
        <w:t>while</w:t>
      </w:r>
      <w:r>
        <w:rPr>
          <w:spacing w:val="-9"/>
        </w:rPr>
        <w:t> </w:t>
      </w:r>
      <w:r>
        <w:rPr>
          <w:spacing w:val="-4"/>
        </w:rPr>
        <w:t>rue,</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48960">
                <wp:simplePos x="0" y="0"/>
                <wp:positionH relativeFrom="page">
                  <wp:posOffset>2065020</wp:posOffset>
                </wp:positionH>
                <wp:positionV relativeFrom="paragraph">
                  <wp:posOffset>795020</wp:posOffset>
                </wp:positionV>
                <wp:extent cx="3657600" cy="12700"/>
                <wp:effectExtent l="0" t="0" r="0" b="0"/>
                <wp:wrapTopAndBottom/>
                <wp:docPr id="708" name="Graphic 708"/>
                <wp:cNvGraphicFramePr>
                  <a:graphicFrameLocks/>
                </wp:cNvGraphicFramePr>
                <a:graphic>
                  <a:graphicData uri="http://schemas.microsoft.com/office/word/2010/wordprocessingShape">
                    <wps:wsp>
                      <wps:cNvPr id="708" name="Graphic 70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67520;mso-wrap-distance-left:0;mso-wrap-distance-right:0" id="docshape700" filled="true" fillcolor="#000000" stroked="false">
                <v:fill type="solid"/>
                <w10:wrap type="topAndBottom"/>
              </v:rect>
            </w:pict>
          </mc:Fallback>
        </mc:AlternateContent>
      </w:r>
      <w:r>
        <w:rPr>
          <w:rFonts w:ascii="Verdana" w:hAnsi="Verdana"/>
          <w:sz w:val="18"/>
        </w:rPr>
        <w:t>Women</w:t>
      </w:r>
      <w:r>
        <w:rPr>
          <w:rFonts w:ascii="Verdana" w:hAnsi="Verdana"/>
          <w:spacing w:val="11"/>
          <w:sz w:val="18"/>
        </w:rPr>
        <w:t> </w:t>
      </w:r>
      <w:r>
        <w:rPr>
          <w:rFonts w:ascii="Verdana" w:hAnsi="Verdana"/>
          <w:sz w:val="18"/>
        </w:rPr>
        <w:t>and</w:t>
      </w:r>
      <w:r>
        <w:rPr>
          <w:rFonts w:ascii="Verdana" w:hAnsi="Verdana"/>
          <w:spacing w:val="11"/>
          <w:sz w:val="18"/>
        </w:rPr>
        <w:t> </w:t>
      </w:r>
      <w:r>
        <w:rPr>
          <w:rFonts w:ascii="Verdana" w:hAnsi="Verdana"/>
          <w:sz w:val="18"/>
        </w:rPr>
        <w:t>Mental</w:t>
      </w:r>
      <w:r>
        <w:rPr>
          <w:rFonts w:ascii="Verdana" w:hAnsi="Verdana"/>
          <w:spacing w:val="12"/>
          <w:sz w:val="18"/>
        </w:rPr>
        <w:t> </w:t>
      </w:r>
      <w:r>
        <w:rPr>
          <w:rFonts w:ascii="Verdana" w:hAnsi="Verdana"/>
          <w:sz w:val="18"/>
        </w:rPr>
        <w:t>Health</w:t>
      </w:r>
      <w:r>
        <w:rPr>
          <w:rFonts w:ascii="Verdana" w:hAnsi="Verdana"/>
          <w:spacing w:val="13"/>
          <w:sz w:val="18"/>
        </w:rPr>
        <w:t> </w:t>
      </w:r>
      <w:r>
        <w:rPr>
          <w:rFonts w:ascii="Verdana" w:hAnsi="Verdana"/>
          <w:sz w:val="18"/>
        </w:rPr>
        <w:t>in</w:t>
      </w:r>
      <w:r>
        <w:rPr>
          <w:rFonts w:ascii="Verdana" w:hAnsi="Verdana"/>
          <w:spacing w:val="13"/>
          <w:sz w:val="18"/>
        </w:rPr>
        <w:t> </w:t>
      </w:r>
      <w:r>
        <w:rPr>
          <w:rFonts w:ascii="Verdana" w:hAnsi="Verdana"/>
          <w:sz w:val="18"/>
        </w:rPr>
        <w:t>Shakespeare’s</w:t>
      </w:r>
      <w:r>
        <w:rPr>
          <w:rFonts w:ascii="Verdana" w:hAnsi="Verdana"/>
          <w:spacing w:val="13"/>
          <w:sz w:val="18"/>
        </w:rPr>
        <w:t> </w:t>
      </w:r>
      <w:r>
        <w:rPr>
          <w:rFonts w:ascii="Verdana" w:hAnsi="Verdana"/>
          <w:spacing w:val="-4"/>
          <w:sz w:val="18"/>
        </w:rPr>
        <w:t>Plays</w:t>
      </w:r>
      <w:r>
        <w:rPr>
          <w:sz w:val="18"/>
        </w:rPr>
        <w:tab/>
      </w:r>
      <w:r>
        <w:rPr>
          <w:rFonts w:ascii="Verdana" w:hAnsi="Verdana"/>
          <w:spacing w:val="-5"/>
          <w:sz w:val="18"/>
        </w:rPr>
        <w:t>351</w:t>
      </w:r>
    </w:p>
    <w:p>
      <w:pPr>
        <w:pStyle w:val="BodyText"/>
        <w:spacing w:line="249" w:lineRule="auto" w:before="192"/>
        <w:ind w:right="1441"/>
        <w:jc w:val="both"/>
      </w:pPr>
      <w:r>
        <w:rPr/>
        <w:t>handed to the Queen, signifies repentance and sorrow. In this way, Ophelia’s madness becomes a form of resistance: she uses symbolic language</w:t>
      </w:r>
      <w:r>
        <w:rPr>
          <w:spacing w:val="12"/>
        </w:rPr>
        <w:t> </w:t>
      </w:r>
      <w:r>
        <w:rPr/>
        <w:t>to</w:t>
      </w:r>
      <w:r>
        <w:rPr>
          <w:spacing w:val="14"/>
        </w:rPr>
        <w:t> </w:t>
      </w:r>
      <w:r>
        <w:rPr/>
        <w:t>expose</w:t>
      </w:r>
      <w:r>
        <w:rPr>
          <w:spacing w:val="12"/>
        </w:rPr>
        <w:t> </w:t>
      </w:r>
      <w:r>
        <w:rPr/>
        <w:t>corruption,</w:t>
      </w:r>
      <w:r>
        <w:rPr>
          <w:spacing w:val="11"/>
        </w:rPr>
        <w:t> </w:t>
      </w:r>
      <w:r>
        <w:rPr/>
        <w:t>betrayal,</w:t>
      </w:r>
      <w:r>
        <w:rPr>
          <w:spacing w:val="13"/>
        </w:rPr>
        <w:t> </w:t>
      </w:r>
      <w:r>
        <w:rPr/>
        <w:t>and</w:t>
      </w:r>
      <w:r>
        <w:rPr>
          <w:spacing w:val="15"/>
        </w:rPr>
        <w:t> </w:t>
      </w:r>
      <w:r>
        <w:rPr/>
        <w:t>grief</w:t>
      </w:r>
      <w:r>
        <w:rPr>
          <w:spacing w:val="10"/>
        </w:rPr>
        <w:t> </w:t>
      </w:r>
      <w:r>
        <w:rPr/>
        <w:t>in</w:t>
      </w:r>
      <w:r>
        <w:rPr>
          <w:spacing w:val="9"/>
        </w:rPr>
        <w:t> </w:t>
      </w:r>
      <w:r>
        <w:rPr/>
        <w:t>the</w:t>
      </w:r>
      <w:r>
        <w:rPr>
          <w:spacing w:val="13"/>
        </w:rPr>
        <w:t> </w:t>
      </w:r>
      <w:r>
        <w:rPr/>
        <w:t>Danish</w:t>
      </w:r>
      <w:r>
        <w:rPr>
          <w:spacing w:val="9"/>
        </w:rPr>
        <w:t> </w:t>
      </w:r>
      <w:r>
        <w:rPr>
          <w:spacing w:val="-2"/>
        </w:rPr>
        <w:t>court.</w:t>
      </w:r>
    </w:p>
    <w:p>
      <w:pPr>
        <w:pStyle w:val="BodyText"/>
        <w:spacing w:line="242" w:lineRule="auto" w:before="55"/>
        <w:ind w:right="1439" w:firstLine="432"/>
        <w:jc w:val="both"/>
      </w:pPr>
      <w:r>
        <w:rPr/>
        <w:t>Elaine Showalter famously argued that Ophelia’s madness is “a </w:t>
      </w:r>
      <w:r>
        <w:rPr>
          <w:spacing w:val="-2"/>
        </w:rPr>
        <w:t>rebellion</w:t>
      </w:r>
      <w:r>
        <w:rPr>
          <w:spacing w:val="-11"/>
        </w:rPr>
        <w:t> </w:t>
      </w:r>
      <w:r>
        <w:rPr>
          <w:spacing w:val="-2"/>
        </w:rPr>
        <w:t>against</w:t>
      </w:r>
      <w:r>
        <w:rPr>
          <w:spacing w:val="-10"/>
        </w:rPr>
        <w:t> </w:t>
      </w:r>
      <w:r>
        <w:rPr>
          <w:spacing w:val="-2"/>
        </w:rPr>
        <w:t>the</w:t>
      </w:r>
      <w:r>
        <w:rPr>
          <w:spacing w:val="-11"/>
        </w:rPr>
        <w:t> </w:t>
      </w:r>
      <w:r>
        <w:rPr>
          <w:spacing w:val="-2"/>
        </w:rPr>
        <w:t>patriarchal</w:t>
      </w:r>
      <w:r>
        <w:rPr>
          <w:spacing w:val="-10"/>
        </w:rPr>
        <w:t> </w:t>
      </w:r>
      <w:r>
        <w:rPr>
          <w:spacing w:val="-2"/>
        </w:rPr>
        <w:t>order,”</w:t>
      </w:r>
      <w:r>
        <w:rPr>
          <w:spacing w:val="-11"/>
        </w:rPr>
        <w:t> </w:t>
      </w:r>
      <w:r>
        <w:rPr>
          <w:spacing w:val="-2"/>
        </w:rPr>
        <w:t>a</w:t>
      </w:r>
      <w:r>
        <w:rPr>
          <w:spacing w:val="-10"/>
        </w:rPr>
        <w:t> </w:t>
      </w:r>
      <w:r>
        <w:rPr>
          <w:spacing w:val="-2"/>
        </w:rPr>
        <w:t>way</w:t>
      </w:r>
      <w:r>
        <w:rPr>
          <w:spacing w:val="-11"/>
        </w:rPr>
        <w:t> </w:t>
      </w:r>
      <w:r>
        <w:rPr>
          <w:spacing w:val="-2"/>
        </w:rPr>
        <w:t>of</w:t>
      </w:r>
      <w:r>
        <w:rPr>
          <w:spacing w:val="-10"/>
        </w:rPr>
        <w:t> </w:t>
      </w:r>
      <w:r>
        <w:rPr>
          <w:spacing w:val="-2"/>
        </w:rPr>
        <w:t>speaking</w:t>
      </w:r>
      <w:r>
        <w:rPr>
          <w:spacing w:val="-11"/>
        </w:rPr>
        <w:t> </w:t>
      </w:r>
      <w:r>
        <w:rPr>
          <w:spacing w:val="-2"/>
        </w:rPr>
        <w:t>truths</w:t>
      </w:r>
      <w:r>
        <w:rPr>
          <w:spacing w:val="-10"/>
        </w:rPr>
        <w:t> </w:t>
      </w:r>
      <w:r>
        <w:rPr>
          <w:spacing w:val="-2"/>
        </w:rPr>
        <w:t>otherwise </w:t>
      </w:r>
      <w:r>
        <w:rPr/>
        <w:t>silenced. Her madness is not simply a collapse but a transformation of language into a medium of protest. Yet her vulnerability is undeniable. She</w:t>
      </w:r>
      <w:r>
        <w:rPr>
          <w:spacing w:val="-6"/>
        </w:rPr>
        <w:t> </w:t>
      </w:r>
      <w:r>
        <w:rPr/>
        <w:t>is</w:t>
      </w:r>
      <w:r>
        <w:rPr>
          <w:spacing w:val="-7"/>
        </w:rPr>
        <w:t> </w:t>
      </w:r>
      <w:r>
        <w:rPr/>
        <w:t>rejected</w:t>
      </w:r>
      <w:r>
        <w:rPr>
          <w:spacing w:val="-3"/>
        </w:rPr>
        <w:t> </w:t>
      </w:r>
      <w:r>
        <w:rPr/>
        <w:t>by</w:t>
      </w:r>
      <w:r>
        <w:rPr>
          <w:spacing w:val="-9"/>
        </w:rPr>
        <w:t> </w:t>
      </w:r>
      <w:r>
        <w:rPr/>
        <w:t>Hamlet,</w:t>
      </w:r>
      <w:r>
        <w:rPr>
          <w:spacing w:val="-5"/>
        </w:rPr>
        <w:t> </w:t>
      </w:r>
      <w:r>
        <w:rPr/>
        <w:t>who</w:t>
      </w:r>
      <w:r>
        <w:rPr>
          <w:spacing w:val="-5"/>
        </w:rPr>
        <w:t> </w:t>
      </w:r>
      <w:r>
        <w:rPr/>
        <w:t>cruelly</w:t>
      </w:r>
      <w:r>
        <w:rPr>
          <w:spacing w:val="-7"/>
        </w:rPr>
        <w:t> </w:t>
      </w:r>
      <w:r>
        <w:rPr/>
        <w:t>tells</w:t>
      </w:r>
      <w:r>
        <w:rPr>
          <w:spacing w:val="-7"/>
        </w:rPr>
        <w:t> </w:t>
      </w:r>
      <w:r>
        <w:rPr/>
        <w:t>her,</w:t>
      </w:r>
      <w:r>
        <w:rPr>
          <w:spacing w:val="-5"/>
        </w:rPr>
        <w:t> </w:t>
      </w:r>
      <w:r>
        <w:rPr/>
        <w:t>“Get</w:t>
      </w:r>
      <w:r>
        <w:rPr>
          <w:spacing w:val="-7"/>
        </w:rPr>
        <w:t> </w:t>
      </w:r>
      <w:r>
        <w:rPr/>
        <w:t>thee</w:t>
      </w:r>
      <w:r>
        <w:rPr>
          <w:spacing w:val="-4"/>
        </w:rPr>
        <w:t> </w:t>
      </w:r>
      <w:r>
        <w:rPr/>
        <w:t>to</w:t>
      </w:r>
      <w:r>
        <w:rPr>
          <w:spacing w:val="-5"/>
        </w:rPr>
        <w:t> </w:t>
      </w:r>
      <w:r>
        <w:rPr/>
        <w:t>a</w:t>
      </w:r>
      <w:r>
        <w:rPr>
          <w:spacing w:val="-6"/>
        </w:rPr>
        <w:t> </w:t>
      </w:r>
      <w:r>
        <w:rPr/>
        <w:t>nunnery” (III.i), controlled by her father Polonius, who uses her as bait in his schemes, and ignored by the court, which treats her breakdown as spectacle rather than tragedy. Ophelia embodies the destructive impact of silencing women: her madness is both a symptom of trauma and a desperate attempt to reclaim voice.</w:t>
      </w:r>
    </w:p>
    <w:p>
      <w:pPr>
        <w:pStyle w:val="BodyText"/>
        <w:spacing w:line="242" w:lineRule="auto" w:before="56"/>
        <w:ind w:right="1436" w:firstLine="432"/>
        <w:jc w:val="both"/>
      </w:pPr>
      <w:r>
        <w:rPr/>
        <w:t>Trauma theory interprets her breakdown as the eruption of cumulative</w:t>
      </w:r>
      <w:r>
        <w:rPr>
          <w:spacing w:val="-7"/>
        </w:rPr>
        <w:t> </w:t>
      </w:r>
      <w:r>
        <w:rPr/>
        <w:t>emotional</w:t>
      </w:r>
      <w:r>
        <w:rPr>
          <w:spacing w:val="-11"/>
        </w:rPr>
        <w:t> </w:t>
      </w:r>
      <w:r>
        <w:rPr/>
        <w:t>violence,</w:t>
      </w:r>
      <w:r>
        <w:rPr>
          <w:spacing w:val="-9"/>
        </w:rPr>
        <w:t> </w:t>
      </w:r>
      <w:r>
        <w:rPr/>
        <w:t>where</w:t>
      </w:r>
      <w:r>
        <w:rPr>
          <w:spacing w:val="-11"/>
        </w:rPr>
        <w:t> </w:t>
      </w:r>
      <w:r>
        <w:rPr/>
        <w:t>madness</w:t>
      </w:r>
      <w:r>
        <w:rPr>
          <w:spacing w:val="-9"/>
        </w:rPr>
        <w:t> </w:t>
      </w:r>
      <w:r>
        <w:rPr/>
        <w:t>becomes</w:t>
      </w:r>
      <w:r>
        <w:rPr>
          <w:spacing w:val="-11"/>
        </w:rPr>
        <w:t> </w:t>
      </w:r>
      <w:r>
        <w:rPr/>
        <w:t>both</w:t>
      </w:r>
      <w:r>
        <w:rPr>
          <w:spacing w:val="-9"/>
        </w:rPr>
        <w:t> </w:t>
      </w:r>
      <w:r>
        <w:rPr/>
        <w:t>resistance and vulnerability. The repeated losses she suffers—her father’s death, Hamlet’s rejection, the collapse of familial and romantic bonds—</w:t>
      </w:r>
      <w:r>
        <w:rPr>
          <w:spacing w:val="-2"/>
        </w:rPr>
        <w:t>accumulate</w:t>
      </w:r>
      <w:r>
        <w:rPr>
          <w:spacing w:val="-11"/>
        </w:rPr>
        <w:t> </w:t>
      </w:r>
      <w:r>
        <w:rPr>
          <w:spacing w:val="-2"/>
        </w:rPr>
        <w:t>into</w:t>
      </w:r>
      <w:r>
        <w:rPr>
          <w:spacing w:val="-10"/>
        </w:rPr>
        <w:t> </w:t>
      </w:r>
      <w:r>
        <w:rPr>
          <w:spacing w:val="-2"/>
        </w:rPr>
        <w:t>unbearable</w:t>
      </w:r>
      <w:r>
        <w:rPr>
          <w:spacing w:val="-11"/>
        </w:rPr>
        <w:t> </w:t>
      </w:r>
      <w:r>
        <w:rPr>
          <w:spacing w:val="-2"/>
        </w:rPr>
        <w:t>psychological</w:t>
      </w:r>
      <w:r>
        <w:rPr>
          <w:spacing w:val="-10"/>
        </w:rPr>
        <w:t> </w:t>
      </w:r>
      <w:r>
        <w:rPr>
          <w:spacing w:val="-2"/>
        </w:rPr>
        <w:t>strain.</w:t>
      </w:r>
      <w:r>
        <w:rPr>
          <w:spacing w:val="-11"/>
        </w:rPr>
        <w:t> </w:t>
      </w:r>
      <w:r>
        <w:rPr>
          <w:spacing w:val="-2"/>
        </w:rPr>
        <w:t>Her</w:t>
      </w:r>
      <w:r>
        <w:rPr>
          <w:spacing w:val="-10"/>
        </w:rPr>
        <w:t> </w:t>
      </w:r>
      <w:r>
        <w:rPr>
          <w:spacing w:val="-2"/>
        </w:rPr>
        <w:t>drowning,</w:t>
      </w:r>
      <w:r>
        <w:rPr>
          <w:spacing w:val="-11"/>
        </w:rPr>
        <w:t> </w:t>
      </w:r>
      <w:r>
        <w:rPr>
          <w:spacing w:val="-2"/>
        </w:rPr>
        <w:t>described </w:t>
      </w:r>
      <w:r>
        <w:rPr/>
        <w:t>by Gertrude as “mermaid like” (IV.vii), has been read as both passive </w:t>
      </w:r>
      <w:r>
        <w:rPr>
          <w:spacing w:val="-2"/>
        </w:rPr>
        <w:t>victimhood</w:t>
      </w:r>
      <w:r>
        <w:rPr>
          <w:spacing w:val="-11"/>
        </w:rPr>
        <w:t> </w:t>
      </w:r>
      <w:r>
        <w:rPr>
          <w:spacing w:val="-2"/>
        </w:rPr>
        <w:t>and</w:t>
      </w:r>
      <w:r>
        <w:rPr>
          <w:spacing w:val="-10"/>
        </w:rPr>
        <w:t> </w:t>
      </w:r>
      <w:r>
        <w:rPr>
          <w:spacing w:val="-2"/>
        </w:rPr>
        <w:t>symbolic</w:t>
      </w:r>
      <w:r>
        <w:rPr>
          <w:spacing w:val="-11"/>
        </w:rPr>
        <w:t> </w:t>
      </w:r>
      <w:r>
        <w:rPr>
          <w:spacing w:val="-2"/>
        </w:rPr>
        <w:t>liberation.</w:t>
      </w:r>
      <w:r>
        <w:rPr>
          <w:spacing w:val="-10"/>
        </w:rPr>
        <w:t> </w:t>
      </w:r>
      <w:r>
        <w:rPr>
          <w:spacing w:val="-2"/>
        </w:rPr>
        <w:t>The</w:t>
      </w:r>
      <w:r>
        <w:rPr>
          <w:spacing w:val="-11"/>
        </w:rPr>
        <w:t> </w:t>
      </w:r>
      <w:r>
        <w:rPr>
          <w:spacing w:val="-2"/>
        </w:rPr>
        <w:t>image</w:t>
      </w:r>
      <w:r>
        <w:rPr>
          <w:spacing w:val="-10"/>
        </w:rPr>
        <w:t> </w:t>
      </w:r>
      <w:r>
        <w:rPr>
          <w:spacing w:val="-2"/>
        </w:rPr>
        <w:t>of</w:t>
      </w:r>
      <w:r>
        <w:rPr>
          <w:spacing w:val="-11"/>
        </w:rPr>
        <w:t> </w:t>
      </w:r>
      <w:r>
        <w:rPr>
          <w:spacing w:val="-2"/>
        </w:rPr>
        <w:t>Ophelia</w:t>
      </w:r>
      <w:r>
        <w:rPr>
          <w:spacing w:val="-10"/>
        </w:rPr>
        <w:t> </w:t>
      </w:r>
      <w:r>
        <w:rPr>
          <w:spacing w:val="-2"/>
        </w:rPr>
        <w:t>floating</w:t>
      </w:r>
      <w:r>
        <w:rPr>
          <w:spacing w:val="-11"/>
        </w:rPr>
        <w:t> </w:t>
      </w:r>
      <w:r>
        <w:rPr>
          <w:spacing w:val="-2"/>
        </w:rPr>
        <w:t>among </w:t>
      </w:r>
      <w:r>
        <w:rPr/>
        <w:t>flowers suggests a return to nature, a release from the oppressive structures of court and family. Some critics see her death as an act of agency, a final escape from</w:t>
      </w:r>
      <w:r>
        <w:rPr>
          <w:spacing w:val="-1"/>
        </w:rPr>
        <w:t> </w:t>
      </w:r>
      <w:r>
        <w:rPr/>
        <w:t>patriarchal control, while others interpret it as the ultimate silencing of female voice.</w:t>
      </w:r>
    </w:p>
    <w:p>
      <w:pPr>
        <w:pStyle w:val="BodyText"/>
        <w:spacing w:line="242" w:lineRule="auto" w:before="56"/>
        <w:ind w:right="1437" w:firstLine="432"/>
        <w:jc w:val="both"/>
      </w:pPr>
      <w:r>
        <w:rPr/>
        <w:t>Ophelia thus becomes a figure through whom Shakespeare </w:t>
      </w:r>
      <w:r>
        <w:rPr>
          <w:spacing w:val="-2"/>
        </w:rPr>
        <w:t>dramatizes</w:t>
      </w:r>
      <w:r>
        <w:rPr>
          <w:spacing w:val="-4"/>
        </w:rPr>
        <w:t> </w:t>
      </w:r>
      <w:r>
        <w:rPr>
          <w:spacing w:val="-2"/>
        </w:rPr>
        <w:t>the psychological</w:t>
      </w:r>
      <w:r>
        <w:rPr>
          <w:spacing w:val="-4"/>
        </w:rPr>
        <w:t> </w:t>
      </w:r>
      <w:r>
        <w:rPr>
          <w:spacing w:val="-2"/>
        </w:rPr>
        <w:t>costs</w:t>
      </w:r>
      <w:r>
        <w:rPr>
          <w:spacing w:val="-4"/>
        </w:rPr>
        <w:t> </w:t>
      </w:r>
      <w:r>
        <w:rPr>
          <w:spacing w:val="-2"/>
        </w:rPr>
        <w:t>of</w:t>
      </w:r>
      <w:r>
        <w:rPr>
          <w:spacing w:val="-4"/>
        </w:rPr>
        <w:t> </w:t>
      </w:r>
      <w:r>
        <w:rPr>
          <w:spacing w:val="-2"/>
        </w:rPr>
        <w:t>repression</w:t>
      </w:r>
      <w:r>
        <w:rPr>
          <w:spacing w:val="-4"/>
        </w:rPr>
        <w:t> </w:t>
      </w:r>
      <w:r>
        <w:rPr>
          <w:spacing w:val="-2"/>
        </w:rPr>
        <w:t>and the fragile</w:t>
      </w:r>
      <w:r>
        <w:rPr>
          <w:spacing w:val="-3"/>
        </w:rPr>
        <w:t> </w:t>
      </w:r>
      <w:r>
        <w:rPr>
          <w:spacing w:val="-2"/>
        </w:rPr>
        <w:t>boundary </w:t>
      </w:r>
      <w:r>
        <w:rPr/>
        <w:t>between sanity and madness. Her madness is not merely personal but emblematic of the ways in which women’s voices are suppressed, distorted, and pathologized in patriarchal societies. She speaks through symbols, songs, and gestures, creating a language of resistance that resonates with modern feminist and trauma based readings. In Ophelia, Shakespeare offers a portrait of female mental health that is at once tragic, poetic, and profoundly unsettling, reminding audiences of the human cost of silencing and the resilience of voices that refuse to be </w:t>
      </w:r>
      <w:r>
        <w:rPr>
          <w:spacing w:val="-2"/>
        </w:rPr>
        <w:t>contained.</w:t>
      </w:r>
    </w:p>
    <w:p>
      <w:pPr>
        <w:pStyle w:val="Heading3"/>
        <w:spacing w:line="235" w:lineRule="auto" w:before="159"/>
        <w:ind w:right="1441"/>
        <w:jc w:val="both"/>
      </w:pPr>
      <w:r>
        <w:rPr>
          <w:w w:val="90"/>
        </w:rPr>
        <w:t>LADY MACBETH IN </w:t>
      </w:r>
      <w:r>
        <w:rPr>
          <w:rFonts w:ascii="Cambria"/>
          <w:i/>
          <w:w w:val="90"/>
        </w:rPr>
        <w:t>MACBETH</w:t>
      </w:r>
      <w:r>
        <w:rPr>
          <w:w w:val="90"/>
        </w:rPr>
        <w:t>: GUILT, </w:t>
      </w:r>
      <w:r>
        <w:rPr>
          <w:w w:val="90"/>
        </w:rPr>
        <w:t>SLEEPWALKING, </w:t>
      </w:r>
      <w:r>
        <w:rPr>
          <w:spacing w:val="-6"/>
        </w:rPr>
        <w:t>AND</w:t>
      </w:r>
      <w:r>
        <w:rPr>
          <w:spacing w:val="-13"/>
        </w:rPr>
        <w:t> </w:t>
      </w:r>
      <w:r>
        <w:rPr>
          <w:spacing w:val="-6"/>
        </w:rPr>
        <w:t>PSYCHOLOGICAL</w:t>
      </w:r>
      <w:r>
        <w:rPr>
          <w:spacing w:val="-11"/>
        </w:rPr>
        <w:t> </w:t>
      </w:r>
      <w:r>
        <w:rPr>
          <w:spacing w:val="-6"/>
        </w:rPr>
        <w:t>DISINTEGRATION</w:t>
      </w:r>
    </w:p>
    <w:p>
      <w:pPr>
        <w:pStyle w:val="BodyText"/>
        <w:spacing w:line="249" w:lineRule="auto" w:before="77"/>
        <w:ind w:right="1438" w:firstLine="432"/>
        <w:jc w:val="both"/>
      </w:pPr>
      <w:r>
        <w:rPr/>
        <w:t>Lady Macbeth’s psychological journey is one of Shakespeare’s most</w:t>
      </w:r>
      <w:r>
        <w:rPr>
          <w:spacing w:val="57"/>
        </w:rPr>
        <w:t> </w:t>
      </w:r>
      <w:r>
        <w:rPr/>
        <w:t>compelling</w:t>
      </w:r>
      <w:r>
        <w:rPr>
          <w:spacing w:val="55"/>
        </w:rPr>
        <w:t> </w:t>
      </w:r>
      <w:r>
        <w:rPr/>
        <w:t>explorations</w:t>
      </w:r>
      <w:r>
        <w:rPr>
          <w:spacing w:val="58"/>
        </w:rPr>
        <w:t> </w:t>
      </w:r>
      <w:r>
        <w:rPr/>
        <w:t>of</w:t>
      </w:r>
      <w:r>
        <w:rPr>
          <w:spacing w:val="52"/>
        </w:rPr>
        <w:t> </w:t>
      </w:r>
      <w:r>
        <w:rPr/>
        <w:t>conscience,</w:t>
      </w:r>
      <w:r>
        <w:rPr>
          <w:spacing w:val="57"/>
        </w:rPr>
        <w:t> </w:t>
      </w:r>
      <w:r>
        <w:rPr/>
        <w:t>ambition,</w:t>
      </w:r>
      <w:r>
        <w:rPr>
          <w:spacing w:val="60"/>
        </w:rPr>
        <w:t> </w:t>
      </w:r>
      <w:r>
        <w:rPr/>
        <w:t>and</w:t>
      </w:r>
      <w:r>
        <w:rPr>
          <w:spacing w:val="59"/>
        </w:rPr>
        <w:t> </w:t>
      </w:r>
      <w:r>
        <w:rPr>
          <w:spacing w:val="-2"/>
        </w:rPr>
        <w:t>mental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49472">
                <wp:simplePos x="0" y="0"/>
                <wp:positionH relativeFrom="page">
                  <wp:posOffset>2057400</wp:posOffset>
                </wp:positionH>
                <wp:positionV relativeFrom="paragraph">
                  <wp:posOffset>162604</wp:posOffset>
                </wp:positionV>
                <wp:extent cx="3657600" cy="12700"/>
                <wp:effectExtent l="0" t="0" r="0" b="0"/>
                <wp:wrapTopAndBottom/>
                <wp:docPr id="709" name="Graphic 709"/>
                <wp:cNvGraphicFramePr>
                  <a:graphicFrameLocks/>
                </wp:cNvGraphicFramePr>
                <a:graphic>
                  <a:graphicData uri="http://schemas.microsoft.com/office/word/2010/wordprocessingShape">
                    <wps:wsp>
                      <wps:cNvPr id="709" name="Graphic 70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67008;mso-wrap-distance-left:0;mso-wrap-distance-right:0" id="docshape701" filled="true" fillcolor="#000000" stroked="false">
                <v:fill type="solid"/>
                <w10:wrap type="topAndBottom"/>
              </v:rect>
            </w:pict>
          </mc:Fallback>
        </mc:AlternateContent>
      </w:r>
      <w:r>
        <w:rPr>
          <w:rFonts w:ascii="Verdana"/>
          <w:spacing w:val="-5"/>
          <w:sz w:val="18"/>
        </w:rPr>
        <w:t>352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collapse. At the beginning of the play, she appears as a figure of extraordinary</w:t>
      </w:r>
      <w:r>
        <w:rPr>
          <w:spacing w:val="-13"/>
        </w:rPr>
        <w:t> </w:t>
      </w:r>
      <w:r>
        <w:rPr/>
        <w:t>strength</w:t>
      </w:r>
      <w:r>
        <w:rPr>
          <w:spacing w:val="-11"/>
        </w:rPr>
        <w:t> </w:t>
      </w:r>
      <w:r>
        <w:rPr/>
        <w:t>and</w:t>
      </w:r>
      <w:r>
        <w:rPr>
          <w:spacing w:val="-9"/>
        </w:rPr>
        <w:t> </w:t>
      </w:r>
      <w:r>
        <w:rPr/>
        <w:t>determination.</w:t>
      </w:r>
      <w:r>
        <w:rPr>
          <w:spacing w:val="-12"/>
        </w:rPr>
        <w:t> </w:t>
      </w:r>
      <w:r>
        <w:rPr/>
        <w:t>Her</w:t>
      </w:r>
      <w:r>
        <w:rPr>
          <w:spacing w:val="-9"/>
        </w:rPr>
        <w:t> </w:t>
      </w:r>
      <w:r>
        <w:rPr/>
        <w:t>invocation</w:t>
      </w:r>
      <w:r>
        <w:rPr>
          <w:spacing w:val="-11"/>
        </w:rPr>
        <w:t> </w:t>
      </w:r>
      <w:r>
        <w:rPr/>
        <w:t>to</w:t>
      </w:r>
      <w:r>
        <w:rPr>
          <w:spacing w:val="-9"/>
        </w:rPr>
        <w:t> </w:t>
      </w:r>
      <w:r>
        <w:rPr/>
        <w:t>the</w:t>
      </w:r>
      <w:r>
        <w:rPr>
          <w:spacing w:val="-11"/>
        </w:rPr>
        <w:t> </w:t>
      </w:r>
      <w:r>
        <w:rPr/>
        <w:t>spirits—”Come,</w:t>
      </w:r>
      <w:r>
        <w:rPr>
          <w:spacing w:val="-4"/>
        </w:rPr>
        <w:t> </w:t>
      </w:r>
      <w:r>
        <w:rPr/>
        <w:t>you</w:t>
      </w:r>
      <w:r>
        <w:rPr>
          <w:spacing w:val="-7"/>
        </w:rPr>
        <w:t> </w:t>
      </w:r>
      <w:r>
        <w:rPr/>
        <w:t>spirits</w:t>
      </w:r>
      <w:r>
        <w:rPr>
          <w:spacing w:val="-3"/>
        </w:rPr>
        <w:t> </w:t>
      </w:r>
      <w:r>
        <w:rPr/>
        <w:t>/</w:t>
      </w:r>
      <w:r>
        <w:rPr>
          <w:spacing w:val="-8"/>
        </w:rPr>
        <w:t> </w:t>
      </w:r>
      <w:r>
        <w:rPr/>
        <w:t>That</w:t>
      </w:r>
      <w:r>
        <w:rPr>
          <w:spacing w:val="-5"/>
        </w:rPr>
        <w:t> </w:t>
      </w:r>
      <w:r>
        <w:rPr/>
        <w:t>tend</w:t>
      </w:r>
      <w:r>
        <w:rPr>
          <w:spacing w:val="-1"/>
        </w:rPr>
        <w:t> </w:t>
      </w:r>
      <w:r>
        <w:rPr/>
        <w:t>on</w:t>
      </w:r>
      <w:r>
        <w:rPr>
          <w:spacing w:val="-7"/>
        </w:rPr>
        <w:t> </w:t>
      </w:r>
      <w:r>
        <w:rPr/>
        <w:t>mortal</w:t>
      </w:r>
      <w:r>
        <w:rPr>
          <w:spacing w:val="-4"/>
        </w:rPr>
        <w:t> </w:t>
      </w:r>
      <w:r>
        <w:rPr/>
        <w:t>thoughts,</w:t>
      </w:r>
      <w:r>
        <w:rPr>
          <w:spacing w:val="-3"/>
        </w:rPr>
        <w:t> </w:t>
      </w:r>
      <w:r>
        <w:rPr/>
        <w:t>unsex</w:t>
      </w:r>
      <w:r>
        <w:rPr>
          <w:spacing w:val="-7"/>
        </w:rPr>
        <w:t> </w:t>
      </w:r>
      <w:r>
        <w:rPr/>
        <w:t>me</w:t>
      </w:r>
      <w:r>
        <w:rPr>
          <w:spacing w:val="-3"/>
        </w:rPr>
        <w:t> </w:t>
      </w:r>
      <w:r>
        <w:rPr/>
        <w:t>here,</w:t>
      </w:r>
      <w:r>
        <w:rPr>
          <w:spacing w:val="-7"/>
        </w:rPr>
        <w:t> </w:t>
      </w:r>
      <w:r>
        <w:rPr/>
        <w:t>/</w:t>
      </w:r>
      <w:r>
        <w:rPr>
          <w:spacing w:val="-13"/>
        </w:rPr>
        <w:t> </w:t>
      </w:r>
      <w:r>
        <w:rPr/>
        <w:t>And fill</w:t>
      </w:r>
      <w:r>
        <w:rPr>
          <w:spacing w:val="14"/>
        </w:rPr>
        <w:t> </w:t>
      </w:r>
      <w:r>
        <w:rPr/>
        <w:t>me</w:t>
      </w:r>
      <w:r>
        <w:rPr>
          <w:spacing w:val="15"/>
        </w:rPr>
        <w:t> </w:t>
      </w:r>
      <w:r>
        <w:rPr/>
        <w:t>from the</w:t>
      </w:r>
      <w:r>
        <w:rPr>
          <w:spacing w:val="14"/>
        </w:rPr>
        <w:t> </w:t>
      </w:r>
      <w:r>
        <w:rPr/>
        <w:t>crown</w:t>
      </w:r>
      <w:r>
        <w:rPr>
          <w:spacing w:val="12"/>
        </w:rPr>
        <w:t> </w:t>
      </w:r>
      <w:r>
        <w:rPr/>
        <w:t>to</w:t>
      </w:r>
      <w:r>
        <w:rPr>
          <w:spacing w:val="16"/>
        </w:rPr>
        <w:t> </w:t>
      </w:r>
      <w:r>
        <w:rPr/>
        <w:t>the</w:t>
      </w:r>
      <w:r>
        <w:rPr>
          <w:spacing w:val="13"/>
        </w:rPr>
        <w:t> </w:t>
      </w:r>
      <w:r>
        <w:rPr/>
        <w:t>toe</w:t>
      </w:r>
      <w:r>
        <w:rPr>
          <w:spacing w:val="15"/>
        </w:rPr>
        <w:t> </w:t>
      </w:r>
      <w:r>
        <w:rPr/>
        <w:t>top</w:t>
      </w:r>
      <w:r>
        <w:rPr>
          <w:spacing w:val="16"/>
        </w:rPr>
        <w:t> </w:t>
      </w:r>
      <w:r>
        <w:rPr/>
        <w:t>full</w:t>
      </w:r>
      <w:r>
        <w:rPr>
          <w:spacing w:val="13"/>
        </w:rPr>
        <w:t> </w:t>
      </w:r>
      <w:r>
        <w:rPr/>
        <w:t>/</w:t>
      </w:r>
      <w:r>
        <w:rPr>
          <w:spacing w:val="14"/>
        </w:rPr>
        <w:t> </w:t>
      </w:r>
      <w:r>
        <w:rPr/>
        <w:t>Of</w:t>
      </w:r>
      <w:r>
        <w:rPr>
          <w:spacing w:val="10"/>
        </w:rPr>
        <w:t> </w:t>
      </w:r>
      <w:r>
        <w:rPr/>
        <w:t>direst</w:t>
      </w:r>
      <w:r>
        <w:rPr>
          <w:spacing w:val="14"/>
        </w:rPr>
        <w:t> </w:t>
      </w:r>
      <w:r>
        <w:rPr/>
        <w:t>cruelty”</w:t>
      </w:r>
      <w:r>
        <w:rPr>
          <w:spacing w:val="15"/>
        </w:rPr>
        <w:t> </w:t>
      </w:r>
      <w:r>
        <w:rPr/>
        <w:t>(I.v)—is a</w:t>
      </w:r>
      <w:r>
        <w:rPr>
          <w:spacing w:val="-11"/>
        </w:rPr>
        <w:t> </w:t>
      </w:r>
      <w:r>
        <w:rPr/>
        <w:t>radical</w:t>
      </w:r>
      <w:r>
        <w:rPr>
          <w:spacing w:val="-10"/>
        </w:rPr>
        <w:t> </w:t>
      </w:r>
      <w:r>
        <w:rPr/>
        <w:t>rejection</w:t>
      </w:r>
      <w:r>
        <w:rPr>
          <w:spacing w:val="-12"/>
        </w:rPr>
        <w:t> </w:t>
      </w:r>
      <w:r>
        <w:rPr/>
        <w:t>of</w:t>
      </w:r>
      <w:r>
        <w:rPr>
          <w:spacing w:val="-11"/>
        </w:rPr>
        <w:t> </w:t>
      </w:r>
      <w:r>
        <w:rPr/>
        <w:t>traditional</w:t>
      </w:r>
      <w:r>
        <w:rPr>
          <w:spacing w:val="-12"/>
        </w:rPr>
        <w:t> </w:t>
      </w:r>
      <w:r>
        <w:rPr/>
        <w:t>femininity.</w:t>
      </w:r>
      <w:r>
        <w:rPr>
          <w:spacing w:val="-11"/>
        </w:rPr>
        <w:t> </w:t>
      </w:r>
      <w:r>
        <w:rPr/>
        <w:t>By</w:t>
      </w:r>
      <w:r>
        <w:rPr>
          <w:spacing w:val="-13"/>
        </w:rPr>
        <w:t> </w:t>
      </w:r>
      <w:r>
        <w:rPr/>
        <w:t>calling</w:t>
      </w:r>
      <w:r>
        <w:rPr>
          <w:spacing w:val="-10"/>
        </w:rPr>
        <w:t> </w:t>
      </w:r>
      <w:r>
        <w:rPr/>
        <w:t>upon</w:t>
      </w:r>
      <w:r>
        <w:rPr>
          <w:spacing w:val="-12"/>
        </w:rPr>
        <w:t> </w:t>
      </w:r>
      <w:r>
        <w:rPr/>
        <w:t>supernatural forces to strip her of maternal instincts and compassion, Lady</w:t>
      </w:r>
      <w:r>
        <w:rPr>
          <w:spacing w:val="-1"/>
        </w:rPr>
        <w:t> </w:t>
      </w:r>
      <w:r>
        <w:rPr/>
        <w:t>Macbeth seeks to embody ruthless ambition, positioning herself as the driving force</w:t>
      </w:r>
      <w:r>
        <w:rPr>
          <w:spacing w:val="40"/>
        </w:rPr>
        <w:t> </w:t>
      </w:r>
      <w:r>
        <w:rPr/>
        <w:t>behind</w:t>
      </w:r>
      <w:r>
        <w:rPr>
          <w:spacing w:val="40"/>
        </w:rPr>
        <w:t> </w:t>
      </w:r>
      <w:r>
        <w:rPr/>
        <w:t>Macbeth’s</w:t>
      </w:r>
      <w:r>
        <w:rPr>
          <w:spacing w:val="40"/>
        </w:rPr>
        <w:t> </w:t>
      </w:r>
      <w:r>
        <w:rPr/>
        <w:t>regicide.</w:t>
      </w:r>
    </w:p>
    <w:p>
      <w:pPr>
        <w:pStyle w:val="BodyText"/>
        <w:spacing w:line="268" w:lineRule="auto" w:before="76"/>
        <w:ind w:right="1439" w:firstLine="432"/>
        <w:jc w:val="both"/>
      </w:pPr>
      <w:r>
        <w:rPr/>
        <w:t>Yet this rejection of femininity and morality comes at a profound psychological cost. Lady Macbeth’s early confidence—”A little water clears us of this deed” (II.ii)—is gradually eroded by guilt and anxiety. Her attempt</w:t>
      </w:r>
      <w:r>
        <w:rPr>
          <w:spacing w:val="-1"/>
        </w:rPr>
        <w:t> </w:t>
      </w:r>
      <w:r>
        <w:rPr/>
        <w:t>to dismiss</w:t>
      </w:r>
      <w:r>
        <w:rPr>
          <w:spacing w:val="-1"/>
        </w:rPr>
        <w:t> </w:t>
      </w:r>
      <w:r>
        <w:rPr/>
        <w:t>the murder of</w:t>
      </w:r>
      <w:r>
        <w:rPr>
          <w:spacing w:val="-3"/>
        </w:rPr>
        <w:t> </w:t>
      </w:r>
      <w:r>
        <w:rPr/>
        <w:t>Duncan as</w:t>
      </w:r>
      <w:r>
        <w:rPr>
          <w:spacing w:val="-1"/>
        </w:rPr>
        <w:t> </w:t>
      </w:r>
      <w:r>
        <w:rPr/>
        <w:t>a trivial act of</w:t>
      </w:r>
      <w:r>
        <w:rPr>
          <w:spacing w:val="-1"/>
        </w:rPr>
        <w:t> </w:t>
      </w:r>
      <w:r>
        <w:rPr/>
        <w:t>washing hands foreshadows the obsessive compulsions that later dominate her psyche. The sleepwalking scene in Act V reveals the full extent of her </w:t>
      </w:r>
      <w:r>
        <w:rPr>
          <w:spacing w:val="-2"/>
        </w:rPr>
        <w:t>psychological disintegration.</w:t>
      </w:r>
      <w:r>
        <w:rPr>
          <w:spacing w:val="-11"/>
        </w:rPr>
        <w:t> </w:t>
      </w:r>
      <w:r>
        <w:rPr>
          <w:spacing w:val="-2"/>
        </w:rPr>
        <w:t>As she rubs her hands compulsively, crying </w:t>
      </w:r>
      <w:r>
        <w:rPr>
          <w:spacing w:val="-4"/>
        </w:rPr>
        <w:t>“Out,</w:t>
      </w:r>
      <w:r>
        <w:rPr>
          <w:spacing w:val="-5"/>
        </w:rPr>
        <w:t> </w:t>
      </w:r>
      <w:r>
        <w:rPr>
          <w:spacing w:val="-4"/>
        </w:rPr>
        <w:t>damned</w:t>
      </w:r>
      <w:r>
        <w:rPr>
          <w:spacing w:val="-9"/>
        </w:rPr>
        <w:t> </w:t>
      </w:r>
      <w:r>
        <w:rPr>
          <w:spacing w:val="-4"/>
        </w:rPr>
        <w:t>spot!</w:t>
      </w:r>
      <w:r>
        <w:rPr>
          <w:spacing w:val="-6"/>
        </w:rPr>
        <w:t> </w:t>
      </w:r>
      <w:r>
        <w:rPr>
          <w:spacing w:val="-4"/>
        </w:rPr>
        <w:t>Out,</w:t>
      </w:r>
      <w:r>
        <w:rPr>
          <w:spacing w:val="-7"/>
        </w:rPr>
        <w:t> </w:t>
      </w:r>
      <w:r>
        <w:rPr>
          <w:spacing w:val="-4"/>
        </w:rPr>
        <w:t>I</w:t>
      </w:r>
      <w:r>
        <w:rPr/>
        <w:t> </w:t>
      </w:r>
      <w:r>
        <w:rPr>
          <w:spacing w:val="-4"/>
        </w:rPr>
        <w:t>say!”</w:t>
      </w:r>
      <w:r>
        <w:rPr>
          <w:spacing w:val="-6"/>
        </w:rPr>
        <w:t> </w:t>
      </w:r>
      <w:r>
        <w:rPr>
          <w:spacing w:val="-4"/>
        </w:rPr>
        <w:t>(V.i),</w:t>
      </w:r>
      <w:r>
        <w:rPr>
          <w:spacing w:val="-5"/>
        </w:rPr>
        <w:t> </w:t>
      </w:r>
      <w:r>
        <w:rPr>
          <w:spacing w:val="-4"/>
        </w:rPr>
        <w:t>she relives</w:t>
      </w:r>
      <w:r>
        <w:rPr>
          <w:spacing w:val="-7"/>
        </w:rPr>
        <w:t> </w:t>
      </w:r>
      <w:r>
        <w:rPr>
          <w:spacing w:val="-4"/>
        </w:rPr>
        <w:t>the</w:t>
      </w:r>
      <w:r>
        <w:rPr>
          <w:spacing w:val="-6"/>
        </w:rPr>
        <w:t> </w:t>
      </w:r>
      <w:r>
        <w:rPr>
          <w:spacing w:val="-4"/>
        </w:rPr>
        <w:t>murder</w:t>
      </w:r>
      <w:r>
        <w:rPr>
          <w:spacing w:val="-5"/>
        </w:rPr>
        <w:t> </w:t>
      </w:r>
      <w:r>
        <w:rPr>
          <w:spacing w:val="-4"/>
        </w:rPr>
        <w:t>in</w:t>
      </w:r>
      <w:r>
        <w:rPr>
          <w:spacing w:val="-7"/>
        </w:rPr>
        <w:t> </w:t>
      </w:r>
      <w:r>
        <w:rPr>
          <w:spacing w:val="-4"/>
        </w:rPr>
        <w:t>fragmented speech,</w:t>
      </w:r>
      <w:r>
        <w:rPr>
          <w:spacing w:val="-7"/>
        </w:rPr>
        <w:t> </w:t>
      </w:r>
      <w:r>
        <w:rPr>
          <w:spacing w:val="-4"/>
        </w:rPr>
        <w:t>unable to cleanse herself of</w:t>
      </w:r>
      <w:r>
        <w:rPr>
          <w:spacing w:val="-7"/>
        </w:rPr>
        <w:t> </w:t>
      </w:r>
      <w:r>
        <w:rPr>
          <w:spacing w:val="-4"/>
        </w:rPr>
        <w:t>imagined bloodstains. This compulsive </w:t>
      </w:r>
      <w:r>
        <w:rPr/>
        <w:t>gesture dramatizes the persistence of guilt</w:t>
      </w:r>
      <w:r>
        <w:rPr>
          <w:spacing w:val="30"/>
        </w:rPr>
        <w:t> </w:t>
      </w:r>
      <w:r>
        <w:rPr/>
        <w:t>and the futility of denial.</w:t>
      </w:r>
    </w:p>
    <w:p>
      <w:pPr>
        <w:pStyle w:val="BodyText"/>
        <w:spacing w:line="268" w:lineRule="auto" w:before="62"/>
        <w:ind w:right="1435" w:firstLine="432"/>
        <w:jc w:val="both"/>
      </w:pPr>
      <w:r>
        <w:rPr/>
        <w:t>Psychoanalytic critics such as Janet Adelman interpret Lady Macbeth’s breakdown as the return of repressed maternal instincts and moral conscience. Her earlier rejection of femininity is undone by the resurgence of guilt, which manifests in obsessive rituals and hallucinations. Feminist readings highlight the paradox of her agency: Lady Macbeth transgresses gender norms by seeking power, but her collapse reasserts stereotypes of female fragility. Shakespeare thus portrays mental health as inseparable from gendered expectations, dramatizing the psychological cost of ambition in a patriarchal world.</w:t>
      </w:r>
    </w:p>
    <w:p>
      <w:pPr>
        <w:pStyle w:val="BodyText"/>
        <w:spacing w:line="268" w:lineRule="auto" w:before="63"/>
        <w:ind w:right="1440" w:firstLine="432"/>
        <w:jc w:val="both"/>
      </w:pPr>
      <w:r>
        <w:rPr/>
        <w:t>Her death, reported offstage, underscores the silencing of female voices. Unlike Macbeth, whose downfall is dramatized in battle, Lady Macbeth’s</w:t>
      </w:r>
      <w:r>
        <w:rPr>
          <w:spacing w:val="-13"/>
        </w:rPr>
        <w:t> </w:t>
      </w:r>
      <w:r>
        <w:rPr/>
        <w:t>demise</w:t>
      </w:r>
      <w:r>
        <w:rPr>
          <w:spacing w:val="-12"/>
        </w:rPr>
        <w:t> </w:t>
      </w:r>
      <w:r>
        <w:rPr/>
        <w:t>is</w:t>
      </w:r>
      <w:r>
        <w:rPr>
          <w:spacing w:val="-13"/>
        </w:rPr>
        <w:t> </w:t>
      </w:r>
      <w:r>
        <w:rPr/>
        <w:t>shrouded</w:t>
      </w:r>
      <w:r>
        <w:rPr>
          <w:spacing w:val="-12"/>
        </w:rPr>
        <w:t> </w:t>
      </w:r>
      <w:r>
        <w:rPr/>
        <w:t>in</w:t>
      </w:r>
      <w:r>
        <w:rPr>
          <w:spacing w:val="-13"/>
        </w:rPr>
        <w:t> </w:t>
      </w:r>
      <w:r>
        <w:rPr/>
        <w:t>ambiguity.</w:t>
      </w:r>
      <w:r>
        <w:rPr>
          <w:spacing w:val="-12"/>
        </w:rPr>
        <w:t> </w:t>
      </w:r>
      <w:r>
        <w:rPr/>
        <w:t>The</w:t>
      </w:r>
      <w:r>
        <w:rPr>
          <w:spacing w:val="-13"/>
        </w:rPr>
        <w:t> </w:t>
      </w:r>
      <w:r>
        <w:rPr/>
        <w:t>Doctor’s</w:t>
      </w:r>
      <w:r>
        <w:rPr>
          <w:spacing w:val="-12"/>
        </w:rPr>
        <w:t> </w:t>
      </w:r>
      <w:r>
        <w:rPr/>
        <w:t>observation—”Unnatural deeds do breed unnatural troubles” (V.i)—suggests that her madness is both a moral and psychological consequence of regicide. Yet the lack of direct staging of her death leaves her psychological torment</w:t>
      </w:r>
      <w:r>
        <w:rPr>
          <w:spacing w:val="-13"/>
        </w:rPr>
        <w:t> </w:t>
      </w:r>
      <w:r>
        <w:rPr/>
        <w:t>unresolved,</w:t>
      </w:r>
      <w:r>
        <w:rPr>
          <w:spacing w:val="-12"/>
        </w:rPr>
        <w:t> </w:t>
      </w:r>
      <w:r>
        <w:rPr/>
        <w:t>emphasizing</w:t>
      </w:r>
      <w:r>
        <w:rPr>
          <w:spacing w:val="-13"/>
        </w:rPr>
        <w:t> </w:t>
      </w:r>
      <w:r>
        <w:rPr/>
        <w:t>the</w:t>
      </w:r>
      <w:r>
        <w:rPr>
          <w:spacing w:val="-12"/>
        </w:rPr>
        <w:t> </w:t>
      </w:r>
      <w:r>
        <w:rPr/>
        <w:t>invisibility</w:t>
      </w:r>
      <w:r>
        <w:rPr>
          <w:spacing w:val="-13"/>
        </w:rPr>
        <w:t> </w:t>
      </w:r>
      <w:r>
        <w:rPr/>
        <w:t>of</w:t>
      </w:r>
      <w:r>
        <w:rPr>
          <w:spacing w:val="-12"/>
        </w:rPr>
        <w:t> </w:t>
      </w:r>
      <w:r>
        <w:rPr/>
        <w:t>women’s</w:t>
      </w:r>
      <w:r>
        <w:rPr>
          <w:spacing w:val="-13"/>
        </w:rPr>
        <w:t> </w:t>
      </w:r>
      <w:r>
        <w:rPr/>
        <w:t>suffering</w:t>
      </w:r>
      <w:r>
        <w:rPr>
          <w:spacing w:val="-12"/>
        </w:rPr>
        <w:t> </w:t>
      </w:r>
      <w:r>
        <w:rPr/>
        <w:t>in patriarchal narratives.</w:t>
      </w:r>
    </w:p>
    <w:p>
      <w:pPr>
        <w:pStyle w:val="BodyText"/>
        <w:spacing w:line="271" w:lineRule="auto" w:before="61"/>
        <w:ind w:right="1439" w:firstLine="432"/>
        <w:jc w:val="both"/>
      </w:pPr>
      <w:r>
        <w:rPr/>
        <w:t>Lady Macbeth’s trajectory from ruthless ambition to guilt ridden collapse</w:t>
      </w:r>
      <w:r>
        <w:rPr>
          <w:spacing w:val="40"/>
        </w:rPr>
        <w:t> </w:t>
      </w:r>
      <w:r>
        <w:rPr/>
        <w:t>illustrates</w:t>
      </w:r>
    </w:p>
    <w:p>
      <w:pPr>
        <w:pStyle w:val="BodyText"/>
        <w:spacing w:after="0" w:line="27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49984">
                <wp:simplePos x="0" y="0"/>
                <wp:positionH relativeFrom="page">
                  <wp:posOffset>2065020</wp:posOffset>
                </wp:positionH>
                <wp:positionV relativeFrom="paragraph">
                  <wp:posOffset>162604</wp:posOffset>
                </wp:positionV>
                <wp:extent cx="3657600" cy="12700"/>
                <wp:effectExtent l="0" t="0" r="0" b="0"/>
                <wp:wrapTopAndBottom/>
                <wp:docPr id="710" name="Graphic 710"/>
                <wp:cNvGraphicFramePr>
                  <a:graphicFrameLocks/>
                </wp:cNvGraphicFramePr>
                <a:graphic>
                  <a:graphicData uri="http://schemas.microsoft.com/office/word/2010/wordprocessingShape">
                    <wps:wsp>
                      <wps:cNvPr id="710" name="Graphic 71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66496;mso-wrap-distance-left:0;mso-wrap-distance-right:0" id="docshape702" filled="true" fillcolor="#000000" stroked="false">
                <v:fill type="solid"/>
                <w10:wrap type="topAndBottom"/>
              </v:rect>
            </w:pict>
          </mc:Fallback>
        </mc:AlternateContent>
      </w:r>
      <w:r>
        <w:rPr>
          <w:rFonts w:ascii="Verdana" w:hAnsi="Verdana"/>
          <w:sz w:val="18"/>
        </w:rPr>
        <w:t>Women</w:t>
      </w:r>
      <w:r>
        <w:rPr>
          <w:rFonts w:ascii="Verdana" w:hAnsi="Verdana"/>
          <w:spacing w:val="11"/>
          <w:sz w:val="18"/>
        </w:rPr>
        <w:t> </w:t>
      </w:r>
      <w:r>
        <w:rPr>
          <w:rFonts w:ascii="Verdana" w:hAnsi="Verdana"/>
          <w:sz w:val="18"/>
        </w:rPr>
        <w:t>and</w:t>
      </w:r>
      <w:r>
        <w:rPr>
          <w:rFonts w:ascii="Verdana" w:hAnsi="Verdana"/>
          <w:spacing w:val="11"/>
          <w:sz w:val="18"/>
        </w:rPr>
        <w:t> </w:t>
      </w:r>
      <w:r>
        <w:rPr>
          <w:rFonts w:ascii="Verdana" w:hAnsi="Verdana"/>
          <w:sz w:val="18"/>
        </w:rPr>
        <w:t>Mental</w:t>
      </w:r>
      <w:r>
        <w:rPr>
          <w:rFonts w:ascii="Verdana" w:hAnsi="Verdana"/>
          <w:spacing w:val="12"/>
          <w:sz w:val="18"/>
        </w:rPr>
        <w:t> </w:t>
      </w:r>
      <w:r>
        <w:rPr>
          <w:rFonts w:ascii="Verdana" w:hAnsi="Verdana"/>
          <w:sz w:val="18"/>
        </w:rPr>
        <w:t>Health</w:t>
      </w:r>
      <w:r>
        <w:rPr>
          <w:rFonts w:ascii="Verdana" w:hAnsi="Verdana"/>
          <w:spacing w:val="13"/>
          <w:sz w:val="18"/>
        </w:rPr>
        <w:t> </w:t>
      </w:r>
      <w:r>
        <w:rPr>
          <w:rFonts w:ascii="Verdana" w:hAnsi="Verdana"/>
          <w:sz w:val="18"/>
        </w:rPr>
        <w:t>in</w:t>
      </w:r>
      <w:r>
        <w:rPr>
          <w:rFonts w:ascii="Verdana" w:hAnsi="Verdana"/>
          <w:spacing w:val="13"/>
          <w:sz w:val="18"/>
        </w:rPr>
        <w:t> </w:t>
      </w:r>
      <w:r>
        <w:rPr>
          <w:rFonts w:ascii="Verdana" w:hAnsi="Verdana"/>
          <w:sz w:val="18"/>
        </w:rPr>
        <w:t>Shakespeare’s</w:t>
      </w:r>
      <w:r>
        <w:rPr>
          <w:rFonts w:ascii="Verdana" w:hAnsi="Verdana"/>
          <w:spacing w:val="13"/>
          <w:sz w:val="18"/>
        </w:rPr>
        <w:t> </w:t>
      </w:r>
      <w:r>
        <w:rPr>
          <w:rFonts w:ascii="Verdana" w:hAnsi="Verdana"/>
          <w:spacing w:val="-4"/>
          <w:sz w:val="18"/>
        </w:rPr>
        <w:t>Plays</w:t>
      </w:r>
      <w:r>
        <w:rPr>
          <w:sz w:val="18"/>
        </w:rPr>
        <w:tab/>
      </w:r>
      <w:r>
        <w:rPr>
          <w:rFonts w:ascii="Verdana" w:hAnsi="Verdana"/>
          <w:spacing w:val="-5"/>
          <w:sz w:val="18"/>
        </w:rPr>
        <w:t>353</w:t>
      </w:r>
    </w:p>
    <w:p>
      <w:pPr>
        <w:pStyle w:val="Heading3"/>
        <w:tabs>
          <w:tab w:pos="3403" w:val="left" w:leader="none"/>
          <w:tab w:pos="4065" w:val="left" w:leader="none"/>
          <w:tab w:pos="5619" w:val="left" w:leader="none"/>
        </w:tabs>
        <w:spacing w:line="235" w:lineRule="auto" w:before="177"/>
        <w:ind w:right="1439"/>
      </w:pPr>
      <w:r>
        <w:rPr>
          <w:spacing w:val="10"/>
        </w:rPr>
        <w:t>DESDEMONA</w:t>
      </w:r>
      <w:r>
        <w:rPr/>
        <w:tab/>
      </w:r>
      <w:r>
        <w:rPr>
          <w:spacing w:val="-6"/>
        </w:rPr>
        <w:t>IN</w:t>
      </w:r>
      <w:r>
        <w:rPr/>
        <w:tab/>
      </w:r>
      <w:r>
        <w:rPr>
          <w:rFonts w:ascii="Cambria"/>
          <w:i/>
          <w:spacing w:val="9"/>
        </w:rPr>
        <w:t>OTHELLO</w:t>
      </w:r>
      <w:r>
        <w:rPr>
          <w:spacing w:val="9"/>
        </w:rPr>
        <w:t>:</w:t>
      </w:r>
      <w:r>
        <w:rPr/>
        <w:tab/>
      </w:r>
      <w:r>
        <w:rPr>
          <w:spacing w:val="-2"/>
        </w:rPr>
        <w:t>INNOCENCE, </w:t>
      </w:r>
      <w:r>
        <w:rPr>
          <w:spacing w:val="-10"/>
        </w:rPr>
        <w:t>VULNERABILITY,</w:t>
      </w:r>
      <w:r>
        <w:rPr>
          <w:spacing w:val="-1"/>
        </w:rPr>
        <w:t> </w:t>
      </w:r>
      <w:r>
        <w:rPr>
          <w:spacing w:val="-10"/>
        </w:rPr>
        <w:t>AND</w:t>
      </w:r>
      <w:r>
        <w:rPr>
          <w:spacing w:val="-1"/>
        </w:rPr>
        <w:t> </w:t>
      </w:r>
      <w:r>
        <w:rPr>
          <w:spacing w:val="-10"/>
        </w:rPr>
        <w:t>EMOTIONAL</w:t>
      </w:r>
      <w:r>
        <w:rPr>
          <w:spacing w:val="-3"/>
        </w:rPr>
        <w:t> </w:t>
      </w:r>
      <w:r>
        <w:rPr>
          <w:spacing w:val="-10"/>
        </w:rPr>
        <w:t>TRAUMA</w:t>
      </w:r>
    </w:p>
    <w:p>
      <w:pPr>
        <w:pStyle w:val="BodyText"/>
        <w:spacing w:line="249" w:lineRule="auto" w:before="77"/>
        <w:ind w:right="1440" w:firstLine="432"/>
        <w:jc w:val="both"/>
      </w:pPr>
      <w:r>
        <w:rPr/>
        <w:t>Desdemona’s suffering in </w:t>
      </w:r>
      <w:r>
        <w:rPr>
          <w:i/>
        </w:rPr>
        <w:t>Othello </w:t>
      </w:r>
      <w:r>
        <w:rPr/>
        <w:t>is quieter than Ophelia’s or Lady Macbeth’s, but it is no less devastating. Her pleas—”O good</w:t>
      </w:r>
      <w:r>
        <w:rPr>
          <w:spacing w:val="40"/>
        </w:rPr>
        <w:t> </w:t>
      </w:r>
      <w:r>
        <w:rPr/>
        <w:t>Iago, / What shall I do to win my lord again?” (IV.ii)—reveal her emotional vulnerability in the face of Othello’s jealousy and suspicion. Unlike Ophelia, she does not descend into overt madness, but her helplessness dramatizes the psychological trauma of domestic violence and emotional abuse. Shakespeare presents her as a woman caught between</w:t>
      </w:r>
      <w:r>
        <w:rPr>
          <w:spacing w:val="-11"/>
        </w:rPr>
        <w:t> </w:t>
      </w:r>
      <w:r>
        <w:rPr/>
        <w:t>loyalty</w:t>
      </w:r>
      <w:r>
        <w:rPr>
          <w:spacing w:val="-13"/>
        </w:rPr>
        <w:t> </w:t>
      </w:r>
      <w:r>
        <w:rPr/>
        <w:t>and</w:t>
      </w:r>
      <w:r>
        <w:rPr>
          <w:spacing w:val="-10"/>
        </w:rPr>
        <w:t> </w:t>
      </w:r>
      <w:r>
        <w:rPr/>
        <w:t>despair,</w:t>
      </w:r>
      <w:r>
        <w:rPr>
          <w:spacing w:val="-10"/>
        </w:rPr>
        <w:t> </w:t>
      </w:r>
      <w:r>
        <w:rPr/>
        <w:t>whose</w:t>
      </w:r>
      <w:r>
        <w:rPr>
          <w:spacing w:val="-11"/>
        </w:rPr>
        <w:t> </w:t>
      </w:r>
      <w:r>
        <w:rPr/>
        <w:t>mental</w:t>
      </w:r>
      <w:r>
        <w:rPr>
          <w:spacing w:val="-10"/>
        </w:rPr>
        <w:t> </w:t>
      </w:r>
      <w:r>
        <w:rPr/>
        <w:t>anguish</w:t>
      </w:r>
      <w:r>
        <w:rPr>
          <w:spacing w:val="-10"/>
        </w:rPr>
        <w:t> </w:t>
      </w:r>
      <w:r>
        <w:rPr/>
        <w:t>is</w:t>
      </w:r>
      <w:r>
        <w:rPr>
          <w:spacing w:val="-10"/>
        </w:rPr>
        <w:t> </w:t>
      </w:r>
      <w:r>
        <w:rPr/>
        <w:t>expressed</w:t>
      </w:r>
      <w:r>
        <w:rPr>
          <w:spacing w:val="-9"/>
        </w:rPr>
        <w:t> </w:t>
      </w:r>
      <w:r>
        <w:rPr/>
        <w:t>through silence, pleading, and resignation rather than through the fragmented language</w:t>
      </w:r>
      <w:r>
        <w:rPr>
          <w:spacing w:val="40"/>
        </w:rPr>
        <w:t> </w:t>
      </w:r>
      <w:r>
        <w:rPr/>
        <w:t>of</w:t>
      </w:r>
      <w:r>
        <w:rPr>
          <w:spacing w:val="40"/>
        </w:rPr>
        <w:t> </w:t>
      </w:r>
      <w:r>
        <w:rPr/>
        <w:t>madness.</w:t>
      </w:r>
    </w:p>
    <w:p>
      <w:pPr>
        <w:pStyle w:val="BodyText"/>
        <w:spacing w:line="256" w:lineRule="auto" w:before="68"/>
        <w:ind w:right="1439" w:firstLine="432"/>
        <w:jc w:val="both"/>
      </w:pPr>
      <w:r>
        <w:rPr/>
        <w:t>Her final words, “A guiltless death I die” (V.ii), underscore her innocence and the silencing of women’s voices. Even in death, she refuses</w:t>
      </w:r>
      <w:r>
        <w:rPr>
          <w:spacing w:val="-4"/>
        </w:rPr>
        <w:t> </w:t>
      </w:r>
      <w:r>
        <w:rPr/>
        <w:t>to accuse</w:t>
      </w:r>
      <w:r>
        <w:rPr>
          <w:spacing w:val="-3"/>
        </w:rPr>
        <w:t> </w:t>
      </w:r>
      <w:r>
        <w:rPr/>
        <w:t>Othello,</w:t>
      </w:r>
      <w:r>
        <w:rPr>
          <w:spacing w:val="-2"/>
        </w:rPr>
        <w:t> </w:t>
      </w:r>
      <w:r>
        <w:rPr/>
        <w:t>instead</w:t>
      </w:r>
      <w:r>
        <w:rPr>
          <w:spacing w:val="-4"/>
        </w:rPr>
        <w:t> </w:t>
      </w:r>
      <w:r>
        <w:rPr/>
        <w:t>taking</w:t>
      </w:r>
      <w:r>
        <w:rPr>
          <w:spacing w:val="-4"/>
        </w:rPr>
        <w:t> </w:t>
      </w:r>
      <w:r>
        <w:rPr/>
        <w:t>responsibility</w:t>
      </w:r>
      <w:r>
        <w:rPr>
          <w:spacing w:val="-5"/>
        </w:rPr>
        <w:t> </w:t>
      </w:r>
      <w:r>
        <w:rPr/>
        <w:t>for her</w:t>
      </w:r>
      <w:r>
        <w:rPr>
          <w:spacing w:val="-2"/>
        </w:rPr>
        <w:t> </w:t>
      </w:r>
      <w:r>
        <w:rPr/>
        <w:t>own</w:t>
      </w:r>
      <w:r>
        <w:rPr>
          <w:spacing w:val="-4"/>
        </w:rPr>
        <w:t> </w:t>
      </w:r>
      <w:r>
        <w:rPr/>
        <w:t>fate. This act of self effacement reflects the cultural expectations of female obedience</w:t>
      </w:r>
      <w:r>
        <w:rPr>
          <w:spacing w:val="-4"/>
        </w:rPr>
        <w:t> </w:t>
      </w:r>
      <w:r>
        <w:rPr/>
        <w:t>and</w:t>
      </w:r>
      <w:r>
        <w:rPr>
          <w:spacing w:val="-4"/>
        </w:rPr>
        <w:t> </w:t>
      </w:r>
      <w:r>
        <w:rPr/>
        <w:t>submission</w:t>
      </w:r>
      <w:r>
        <w:rPr>
          <w:spacing w:val="-6"/>
        </w:rPr>
        <w:t> </w:t>
      </w:r>
      <w:r>
        <w:rPr/>
        <w:t>in</w:t>
      </w:r>
      <w:r>
        <w:rPr>
          <w:spacing w:val="-6"/>
        </w:rPr>
        <w:t> </w:t>
      </w:r>
      <w:r>
        <w:rPr/>
        <w:t>the</w:t>
      </w:r>
      <w:r>
        <w:rPr>
          <w:spacing w:val="-8"/>
        </w:rPr>
        <w:t> </w:t>
      </w:r>
      <w:r>
        <w:rPr/>
        <w:t>Renaissance,</w:t>
      </w:r>
      <w:r>
        <w:rPr>
          <w:spacing w:val="-4"/>
        </w:rPr>
        <w:t> </w:t>
      </w:r>
      <w:r>
        <w:rPr/>
        <w:t>where</w:t>
      </w:r>
      <w:r>
        <w:rPr>
          <w:spacing w:val="-3"/>
        </w:rPr>
        <w:t> </w:t>
      </w:r>
      <w:r>
        <w:rPr/>
        <w:t>women</w:t>
      </w:r>
      <w:r>
        <w:rPr>
          <w:spacing w:val="-8"/>
        </w:rPr>
        <w:t> </w:t>
      </w:r>
      <w:r>
        <w:rPr/>
        <w:t>were</w:t>
      </w:r>
      <w:r>
        <w:rPr>
          <w:spacing w:val="-5"/>
        </w:rPr>
        <w:t> </w:t>
      </w:r>
      <w:r>
        <w:rPr/>
        <w:t>often expected to endure suffering silently. Desdemona’s refusal to condemn her</w:t>
      </w:r>
      <w:r>
        <w:rPr>
          <w:spacing w:val="-1"/>
        </w:rPr>
        <w:t> </w:t>
      </w:r>
      <w:r>
        <w:rPr/>
        <w:t>husband</w:t>
      </w:r>
      <w:r>
        <w:rPr>
          <w:spacing w:val="-1"/>
        </w:rPr>
        <w:t> </w:t>
      </w:r>
      <w:r>
        <w:rPr/>
        <w:t>highlights</w:t>
      </w:r>
      <w:r>
        <w:rPr>
          <w:spacing w:val="-2"/>
        </w:rPr>
        <w:t> </w:t>
      </w:r>
      <w:r>
        <w:rPr/>
        <w:t>the</w:t>
      </w:r>
      <w:r>
        <w:rPr>
          <w:spacing w:val="-2"/>
        </w:rPr>
        <w:t> </w:t>
      </w:r>
      <w:r>
        <w:rPr/>
        <w:t>psychological</w:t>
      </w:r>
      <w:r>
        <w:rPr>
          <w:spacing w:val="-3"/>
        </w:rPr>
        <w:t> </w:t>
      </w:r>
      <w:r>
        <w:rPr/>
        <w:t>toll</w:t>
      </w:r>
      <w:r>
        <w:rPr>
          <w:spacing w:val="-2"/>
        </w:rPr>
        <w:t> </w:t>
      </w:r>
      <w:r>
        <w:rPr/>
        <w:t>of</w:t>
      </w:r>
      <w:r>
        <w:rPr>
          <w:spacing w:val="-2"/>
        </w:rPr>
        <w:t> </w:t>
      </w:r>
      <w:r>
        <w:rPr/>
        <w:t>patriarchal</w:t>
      </w:r>
      <w:r>
        <w:rPr>
          <w:spacing w:val="-2"/>
        </w:rPr>
        <w:t> </w:t>
      </w:r>
      <w:r>
        <w:rPr/>
        <w:t>domination: she internalizes blame and accepts victimhood, dramatizing the destructive impact of toxic masculinity on women’s mental health.</w:t>
      </w:r>
    </w:p>
    <w:p>
      <w:pPr>
        <w:pStyle w:val="BodyText"/>
        <w:spacing w:line="256" w:lineRule="auto" w:before="58"/>
        <w:ind w:right="1438" w:firstLine="432"/>
        <w:jc w:val="both"/>
      </w:pPr>
      <w:r>
        <w:rPr/>
        <w:t>Modern critics interpret Desdemona’s plight as emblematic of emotional abuse, where mistrust and jealousy erode mental well being. Her</w:t>
      </w:r>
      <w:r>
        <w:rPr>
          <w:spacing w:val="-8"/>
        </w:rPr>
        <w:t> </w:t>
      </w:r>
      <w:r>
        <w:rPr/>
        <w:t>vulnerability</w:t>
      </w:r>
      <w:r>
        <w:rPr>
          <w:spacing w:val="-9"/>
        </w:rPr>
        <w:t> </w:t>
      </w:r>
      <w:r>
        <w:rPr/>
        <w:t>is</w:t>
      </w:r>
      <w:r>
        <w:rPr>
          <w:spacing w:val="-9"/>
        </w:rPr>
        <w:t> </w:t>
      </w:r>
      <w:r>
        <w:rPr/>
        <w:t>heightened</w:t>
      </w:r>
      <w:r>
        <w:rPr>
          <w:spacing w:val="-6"/>
        </w:rPr>
        <w:t> </w:t>
      </w:r>
      <w:r>
        <w:rPr/>
        <w:t>by</w:t>
      </w:r>
      <w:r>
        <w:rPr>
          <w:spacing w:val="-13"/>
        </w:rPr>
        <w:t> </w:t>
      </w:r>
      <w:r>
        <w:rPr/>
        <w:t>her</w:t>
      </w:r>
      <w:r>
        <w:rPr>
          <w:spacing w:val="-5"/>
        </w:rPr>
        <w:t> </w:t>
      </w:r>
      <w:r>
        <w:rPr/>
        <w:t>isolation—she</w:t>
      </w:r>
      <w:r>
        <w:rPr>
          <w:spacing w:val="-9"/>
        </w:rPr>
        <w:t> </w:t>
      </w:r>
      <w:r>
        <w:rPr/>
        <w:t>is</w:t>
      </w:r>
      <w:r>
        <w:rPr>
          <w:spacing w:val="-8"/>
        </w:rPr>
        <w:t> </w:t>
      </w:r>
      <w:r>
        <w:rPr/>
        <w:t>far</w:t>
      </w:r>
      <w:r>
        <w:rPr>
          <w:spacing w:val="-8"/>
        </w:rPr>
        <w:t> </w:t>
      </w:r>
      <w:r>
        <w:rPr/>
        <w:t>from</w:t>
      </w:r>
      <w:r>
        <w:rPr>
          <w:spacing w:val="-12"/>
        </w:rPr>
        <w:t> </w:t>
      </w:r>
      <w:r>
        <w:rPr/>
        <w:t>Venice, </w:t>
      </w:r>
      <w:r>
        <w:rPr>
          <w:spacing w:val="10"/>
        </w:rPr>
        <w:t>surrounded</w:t>
      </w:r>
      <w:r>
        <w:rPr>
          <w:spacing w:val="10"/>
        </w:rPr>
        <w:t> </w:t>
      </w:r>
      <w:r>
        <w:rPr/>
        <w:t>by men who </w:t>
      </w:r>
      <w:r>
        <w:rPr>
          <w:spacing w:val="9"/>
        </w:rPr>
        <w:t>doubt</w:t>
      </w:r>
      <w:r>
        <w:rPr>
          <w:spacing w:val="9"/>
        </w:rPr>
        <w:t> </w:t>
      </w:r>
      <w:r>
        <w:rPr/>
        <w:t>her, and </w:t>
      </w:r>
      <w:r>
        <w:rPr>
          <w:spacing w:val="10"/>
        </w:rPr>
        <w:t>deprived</w:t>
      </w:r>
      <w:r>
        <w:rPr>
          <w:spacing w:val="10"/>
        </w:rPr>
        <w:t> </w:t>
      </w:r>
      <w:r>
        <w:rPr/>
        <w:t>of </w:t>
      </w:r>
      <w:r>
        <w:rPr>
          <w:spacing w:val="9"/>
        </w:rPr>
        <w:t>female </w:t>
      </w:r>
      <w:r>
        <w:rPr/>
        <w:t>companionship. Trauma theory emphasizes how her repeated attempts to reconcile with Othello, despite his growing hostility, reflect the psychological cycle of abuse: hope, denial, and resignation. Her quiet endurance, her refusal to resist even in her final moments, dramatizes the</w:t>
      </w:r>
      <w:r>
        <w:rPr>
          <w:spacing w:val="40"/>
        </w:rPr>
        <w:t> </w:t>
      </w:r>
      <w:r>
        <w:rPr/>
        <w:t>psychological</w:t>
      </w:r>
      <w:r>
        <w:rPr>
          <w:spacing w:val="40"/>
        </w:rPr>
        <w:t> </w:t>
      </w:r>
      <w:r>
        <w:rPr/>
        <w:t>consequences</w:t>
      </w:r>
      <w:r>
        <w:rPr>
          <w:spacing w:val="40"/>
        </w:rPr>
        <w:t> </w:t>
      </w:r>
      <w:r>
        <w:rPr/>
        <w:t>of</w:t>
      </w:r>
      <w:r>
        <w:rPr>
          <w:spacing w:val="40"/>
        </w:rPr>
        <w:t> </w:t>
      </w:r>
      <w:r>
        <w:rPr/>
        <w:t>intimate</w:t>
      </w:r>
      <w:r>
        <w:rPr>
          <w:spacing w:val="40"/>
        </w:rPr>
        <w:t> </w:t>
      </w:r>
      <w:r>
        <w:rPr/>
        <w:t>partner</w:t>
      </w:r>
      <w:r>
        <w:rPr>
          <w:spacing w:val="40"/>
        </w:rPr>
        <w:t> </w:t>
      </w:r>
      <w:r>
        <w:rPr/>
        <w:t>violence.</w:t>
      </w:r>
    </w:p>
    <w:p>
      <w:pPr>
        <w:pStyle w:val="BodyText"/>
        <w:spacing w:line="256" w:lineRule="auto" w:before="58"/>
        <w:ind w:right="1439" w:firstLine="432"/>
        <w:jc w:val="both"/>
      </w:pPr>
      <w:r>
        <w:rPr/>
        <w:t>Shakespeare’s portrayal anticipates contemporary discussions of domestic abuse</w:t>
      </w:r>
      <w:r>
        <w:rPr>
          <w:spacing w:val="-1"/>
        </w:rPr>
        <w:t> </w:t>
      </w:r>
      <w:r>
        <w:rPr/>
        <w:t>and its psychological effects. Desdemona’s tragedy</w:t>
      </w:r>
      <w:r>
        <w:rPr>
          <w:spacing w:val="-3"/>
        </w:rPr>
        <w:t> </w:t>
      </w:r>
      <w:r>
        <w:rPr/>
        <w:t>lies not in madness but in the emotional trauma of being disbelieved, mistrusted, and silenced. Her innocence becomes her vulnerability, and her loyalty becomes her undoing. In Desdemona, Shakespeare offers a portrait of female suffering that is subtle yet profound, reminding audiences that psychological trauma can manifest not only in madness but</w:t>
      </w:r>
      <w:r>
        <w:rPr>
          <w:spacing w:val="40"/>
        </w:rPr>
        <w:t> </w:t>
      </w:r>
      <w:r>
        <w:rPr/>
        <w:t>also</w:t>
      </w:r>
      <w:r>
        <w:rPr>
          <w:spacing w:val="40"/>
        </w:rPr>
        <w:t> </w:t>
      </w:r>
      <w:r>
        <w:rPr/>
        <w:t>in</w:t>
      </w:r>
      <w:r>
        <w:rPr>
          <w:spacing w:val="40"/>
        </w:rPr>
        <w:t> </w:t>
      </w:r>
      <w:r>
        <w:rPr/>
        <w:t>silence,</w:t>
      </w:r>
      <w:r>
        <w:rPr>
          <w:spacing w:val="40"/>
        </w:rPr>
        <w:t> </w:t>
      </w:r>
      <w:r>
        <w:rPr/>
        <w:t>submission,</w:t>
      </w:r>
      <w:r>
        <w:rPr>
          <w:spacing w:val="40"/>
        </w:rPr>
        <w:t> </w:t>
      </w:r>
      <w:r>
        <w:rPr/>
        <w:t>and</w:t>
      </w:r>
      <w:r>
        <w:rPr>
          <w:spacing w:val="40"/>
        </w:rPr>
        <w:t> </w:t>
      </w:r>
      <w:r>
        <w:rPr/>
        <w:t>resignation.</w:t>
      </w:r>
    </w:p>
    <w:p>
      <w:pPr>
        <w:pStyle w:val="BodyText"/>
        <w:spacing w:after="0" w:line="25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50496">
                <wp:simplePos x="0" y="0"/>
                <wp:positionH relativeFrom="page">
                  <wp:posOffset>2057400</wp:posOffset>
                </wp:positionH>
                <wp:positionV relativeFrom="paragraph">
                  <wp:posOffset>162604</wp:posOffset>
                </wp:positionV>
                <wp:extent cx="3657600" cy="12700"/>
                <wp:effectExtent l="0" t="0" r="0" b="0"/>
                <wp:wrapTopAndBottom/>
                <wp:docPr id="711" name="Graphic 711"/>
                <wp:cNvGraphicFramePr>
                  <a:graphicFrameLocks/>
                </wp:cNvGraphicFramePr>
                <a:graphic>
                  <a:graphicData uri="http://schemas.microsoft.com/office/word/2010/wordprocessingShape">
                    <wps:wsp>
                      <wps:cNvPr id="711" name="Graphic 71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65984;mso-wrap-distance-left:0;mso-wrap-distance-right:0" id="docshape703" filled="true" fillcolor="#000000" stroked="false">
                <v:fill type="solid"/>
                <w10:wrap type="topAndBottom"/>
              </v:rect>
            </w:pict>
          </mc:Fallback>
        </mc:AlternateContent>
      </w:r>
      <w:r>
        <w:rPr>
          <w:rFonts w:ascii="Verdana"/>
          <w:spacing w:val="-5"/>
          <w:sz w:val="18"/>
        </w:rPr>
        <w:t>354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spacing w:line="235" w:lineRule="auto" w:before="177"/>
        <w:ind w:right="1437"/>
      </w:pPr>
      <w:r>
        <w:rPr>
          <w:w w:val="90"/>
        </w:rPr>
        <w:t>LEAR’S DAUGHTERS IN </w:t>
      </w:r>
      <w:r>
        <w:rPr>
          <w:rFonts w:ascii="Cambria" w:hAnsi="Cambria"/>
          <w:i/>
          <w:w w:val="90"/>
        </w:rPr>
        <w:t>KING</w:t>
      </w:r>
      <w:r>
        <w:rPr>
          <w:rFonts w:ascii="Cambria" w:hAnsi="Cambria"/>
          <w:i/>
          <w:spacing w:val="38"/>
        </w:rPr>
        <w:t> </w:t>
      </w:r>
      <w:r>
        <w:rPr>
          <w:rFonts w:ascii="Cambria" w:hAnsi="Cambria"/>
          <w:i/>
          <w:w w:val="90"/>
        </w:rPr>
        <w:t>LEAR</w:t>
      </w:r>
      <w:r>
        <w:rPr>
          <w:w w:val="90"/>
        </w:rPr>
        <w:t>: POWER, </w:t>
      </w:r>
      <w:r>
        <w:rPr>
          <w:w w:val="90"/>
        </w:rPr>
        <w:t>CRUELTY, </w:t>
      </w:r>
      <w:r>
        <w:rPr>
          <w:spacing w:val="-2"/>
        </w:rPr>
        <w:t>AND</w:t>
      </w:r>
      <w:r>
        <w:rPr>
          <w:spacing w:val="-15"/>
        </w:rPr>
        <w:t> </w:t>
      </w:r>
      <w:r>
        <w:rPr>
          <w:spacing w:val="-2"/>
        </w:rPr>
        <w:t>EMOTIONAL</w:t>
      </w:r>
      <w:r>
        <w:rPr>
          <w:spacing w:val="-15"/>
        </w:rPr>
        <w:t> </w:t>
      </w:r>
      <w:r>
        <w:rPr>
          <w:spacing w:val="-2"/>
        </w:rPr>
        <w:t>STRAIN</w:t>
      </w:r>
    </w:p>
    <w:p>
      <w:pPr>
        <w:pStyle w:val="BodyText"/>
        <w:spacing w:line="261" w:lineRule="auto" w:before="84"/>
        <w:ind w:right="1437" w:firstLine="432"/>
        <w:jc w:val="both"/>
      </w:pPr>
      <w:r>
        <w:rPr/>
        <w:t>The psychological dimensions of </w:t>
      </w:r>
      <w:r>
        <w:rPr>
          <w:i/>
        </w:rPr>
        <w:t>King Lear </w:t>
      </w:r>
      <w:r>
        <w:rPr/>
        <w:t>are often discussed</w:t>
      </w:r>
      <w:r>
        <w:rPr>
          <w:spacing w:val="80"/>
        </w:rPr>
        <w:t> </w:t>
      </w:r>
      <w:r>
        <w:rPr/>
        <w:t>in relation to Lear himself, whose descent into madness dramatizes the fragility of authority and identity. Yet the play’s female characters—Cordelia, Goneril, and Regan—also embody complex forms of psychological strain, shaped by familial duty, patriarchal expectations, and the brutal dynamics of power. Their mental states, though less overtly dramatized than Lear’s, reveal Shakespeare’s sensitivity to the emotional</w:t>
      </w:r>
      <w:r>
        <w:rPr>
          <w:spacing w:val="40"/>
        </w:rPr>
        <w:t> </w:t>
      </w:r>
      <w:r>
        <w:rPr/>
        <w:t>burdens</w:t>
      </w:r>
      <w:r>
        <w:rPr>
          <w:spacing w:val="40"/>
        </w:rPr>
        <w:t> </w:t>
      </w:r>
      <w:r>
        <w:rPr/>
        <w:t>placed</w:t>
      </w:r>
      <w:r>
        <w:rPr>
          <w:spacing w:val="40"/>
        </w:rPr>
        <w:t> </w:t>
      </w:r>
      <w:r>
        <w:rPr/>
        <w:t>upon</w:t>
      </w:r>
      <w:r>
        <w:rPr>
          <w:spacing w:val="40"/>
        </w:rPr>
        <w:t> </w:t>
      </w:r>
      <w:r>
        <w:rPr/>
        <w:t>women</w:t>
      </w:r>
      <w:r>
        <w:rPr>
          <w:spacing w:val="40"/>
        </w:rPr>
        <w:t> </w:t>
      </w:r>
      <w:r>
        <w:rPr/>
        <w:t>in</w:t>
      </w:r>
      <w:r>
        <w:rPr>
          <w:spacing w:val="40"/>
        </w:rPr>
        <w:t> </w:t>
      </w:r>
      <w:r>
        <w:rPr/>
        <w:t>patriarchal</w:t>
      </w:r>
      <w:r>
        <w:rPr>
          <w:spacing w:val="40"/>
        </w:rPr>
        <w:t> </w:t>
      </w:r>
      <w:r>
        <w:rPr/>
        <w:t>structures.</w:t>
      </w:r>
    </w:p>
    <w:p>
      <w:pPr>
        <w:pStyle w:val="BodyText"/>
        <w:spacing w:line="261" w:lineRule="auto" w:before="54"/>
        <w:ind w:right="1434" w:firstLine="432"/>
        <w:jc w:val="both"/>
      </w:pPr>
      <w:r>
        <w:rPr/>
        <w:t>Cordelia’s restraint in the opening scene—”I cannot heave / My heart into my mouth” (I.i)—illustrates her integrity but also the psychological strain of honesty in a world that rewards flattery. Her refusal to participate in Lear’s love test is not a lack of affection but a refusal to reduce love to performance. This act of resistance, however, leads to her disinheritance and exile, dramatizing the emotional cost of female honesty in a patriarchal family. Cordelia’s silence becomes symbolic: she embodies the paradox of truthfulness punished by authority,</w:t>
      </w:r>
      <w:r>
        <w:rPr>
          <w:spacing w:val="-13"/>
        </w:rPr>
        <w:t> </w:t>
      </w:r>
      <w:r>
        <w:rPr/>
        <w:t>and</w:t>
      </w:r>
      <w:r>
        <w:rPr>
          <w:spacing w:val="-12"/>
        </w:rPr>
        <w:t> </w:t>
      </w:r>
      <w:r>
        <w:rPr/>
        <w:t>her</w:t>
      </w:r>
      <w:r>
        <w:rPr>
          <w:spacing w:val="-13"/>
        </w:rPr>
        <w:t> </w:t>
      </w:r>
      <w:r>
        <w:rPr/>
        <w:t>eventual</w:t>
      </w:r>
      <w:r>
        <w:rPr>
          <w:spacing w:val="-12"/>
        </w:rPr>
        <w:t> </w:t>
      </w:r>
      <w:r>
        <w:rPr/>
        <w:t>death</w:t>
      </w:r>
      <w:r>
        <w:rPr>
          <w:spacing w:val="-13"/>
        </w:rPr>
        <w:t> </w:t>
      </w:r>
      <w:r>
        <w:rPr/>
        <w:t>underscores</w:t>
      </w:r>
      <w:r>
        <w:rPr>
          <w:spacing w:val="-12"/>
        </w:rPr>
        <w:t> </w:t>
      </w:r>
      <w:r>
        <w:rPr/>
        <w:t>the</w:t>
      </w:r>
      <w:r>
        <w:rPr>
          <w:spacing w:val="-13"/>
        </w:rPr>
        <w:t> </w:t>
      </w:r>
      <w:r>
        <w:rPr/>
        <w:t>vulnerability</w:t>
      </w:r>
      <w:r>
        <w:rPr>
          <w:spacing w:val="-12"/>
        </w:rPr>
        <w:t> </w:t>
      </w:r>
      <w:r>
        <w:rPr/>
        <w:t>of</w:t>
      </w:r>
      <w:r>
        <w:rPr>
          <w:spacing w:val="-13"/>
        </w:rPr>
        <w:t> </w:t>
      </w:r>
      <w:r>
        <w:rPr/>
        <w:t>women who</w:t>
      </w:r>
      <w:r>
        <w:rPr>
          <w:spacing w:val="40"/>
        </w:rPr>
        <w:t> </w:t>
      </w:r>
      <w:r>
        <w:rPr/>
        <w:t>resist</w:t>
      </w:r>
      <w:r>
        <w:rPr>
          <w:spacing w:val="40"/>
        </w:rPr>
        <w:t> </w:t>
      </w:r>
      <w:r>
        <w:rPr/>
        <w:t>patriarchal</w:t>
      </w:r>
      <w:r>
        <w:rPr>
          <w:spacing w:val="40"/>
        </w:rPr>
        <w:t> </w:t>
      </w:r>
      <w:r>
        <w:rPr/>
        <w:t>demands.</w:t>
      </w:r>
    </w:p>
    <w:p>
      <w:pPr>
        <w:pStyle w:val="BodyText"/>
        <w:spacing w:line="261" w:lineRule="auto" w:before="52"/>
        <w:ind w:right="1439" w:firstLine="432"/>
        <w:jc w:val="both"/>
      </w:pPr>
      <w:r>
        <w:rPr/>
        <w:t>Goneril and Regan, by</w:t>
      </w:r>
      <w:r>
        <w:rPr>
          <w:spacing w:val="-2"/>
        </w:rPr>
        <w:t> </w:t>
      </w:r>
      <w:r>
        <w:rPr/>
        <w:t>contrast, are often condemned as cruel and ambitious.</w:t>
      </w:r>
      <w:r>
        <w:rPr>
          <w:spacing w:val="-13"/>
        </w:rPr>
        <w:t> </w:t>
      </w:r>
      <w:r>
        <w:rPr/>
        <w:t>Yet</w:t>
      </w:r>
      <w:r>
        <w:rPr>
          <w:spacing w:val="-12"/>
        </w:rPr>
        <w:t> </w:t>
      </w:r>
      <w:r>
        <w:rPr/>
        <w:t>their</w:t>
      </w:r>
      <w:r>
        <w:rPr>
          <w:spacing w:val="-13"/>
        </w:rPr>
        <w:t> </w:t>
      </w:r>
      <w:r>
        <w:rPr/>
        <w:t>ruthlessness</w:t>
      </w:r>
      <w:r>
        <w:rPr>
          <w:spacing w:val="-12"/>
        </w:rPr>
        <w:t> </w:t>
      </w:r>
      <w:r>
        <w:rPr/>
        <w:t>can</w:t>
      </w:r>
      <w:r>
        <w:rPr>
          <w:spacing w:val="-13"/>
        </w:rPr>
        <w:t> </w:t>
      </w:r>
      <w:r>
        <w:rPr/>
        <w:t>be</w:t>
      </w:r>
      <w:r>
        <w:rPr>
          <w:spacing w:val="-10"/>
        </w:rPr>
        <w:t> </w:t>
      </w:r>
      <w:r>
        <w:rPr/>
        <w:t>read</w:t>
      </w:r>
      <w:r>
        <w:rPr>
          <w:spacing w:val="-10"/>
        </w:rPr>
        <w:t> </w:t>
      </w:r>
      <w:r>
        <w:rPr/>
        <w:t>as</w:t>
      </w:r>
      <w:r>
        <w:rPr>
          <w:spacing w:val="-13"/>
        </w:rPr>
        <w:t> </w:t>
      </w:r>
      <w:r>
        <w:rPr/>
        <w:t>a</w:t>
      </w:r>
      <w:r>
        <w:rPr>
          <w:spacing w:val="-11"/>
        </w:rPr>
        <w:t> </w:t>
      </w:r>
      <w:r>
        <w:rPr/>
        <w:t>psychological</w:t>
      </w:r>
      <w:r>
        <w:rPr>
          <w:spacing w:val="-12"/>
        </w:rPr>
        <w:t> </w:t>
      </w:r>
      <w:r>
        <w:rPr/>
        <w:t>response to marginalization. In a world where women’s power is limited, their manipulation of Lear and pursuit of authority reflect both survival strategies and the corrosive effects of patriarchal oppression. Their </w:t>
      </w:r>
      <w:r>
        <w:rPr>
          <w:spacing w:val="-4"/>
        </w:rPr>
        <w:t>cruelty—blinding Gloucester, humiliating Lear—illustrates how ambition, </w:t>
      </w:r>
      <w:r>
        <w:rPr/>
        <w:t>when shaped by systemic inequality, can manifest as destructive behavior. Shakespeare does not excuse their actions, but he dramatizes the psychological strain of women navigating power in a hostile </w:t>
      </w:r>
      <w:r>
        <w:rPr>
          <w:spacing w:val="-2"/>
        </w:rPr>
        <w:t>environment.</w:t>
      </w:r>
    </w:p>
    <w:p>
      <w:pPr>
        <w:pStyle w:val="BodyText"/>
        <w:spacing w:line="249" w:lineRule="auto" w:before="42"/>
        <w:ind w:right="1439" w:firstLine="432"/>
        <w:jc w:val="both"/>
      </w:pPr>
      <w:r>
        <w:rPr/>
        <w:t>The dynamics between the sisters also reveal the emotional complexities</w:t>
      </w:r>
      <w:r>
        <w:rPr>
          <w:spacing w:val="-13"/>
        </w:rPr>
        <w:t> </w:t>
      </w:r>
      <w:r>
        <w:rPr/>
        <w:t>of</w:t>
      </w:r>
      <w:r>
        <w:rPr>
          <w:spacing w:val="-12"/>
        </w:rPr>
        <w:t> </w:t>
      </w:r>
      <w:r>
        <w:rPr/>
        <w:t>female</w:t>
      </w:r>
      <w:r>
        <w:rPr>
          <w:spacing w:val="-13"/>
        </w:rPr>
        <w:t> </w:t>
      </w:r>
      <w:r>
        <w:rPr/>
        <w:t>relationships</w:t>
      </w:r>
      <w:r>
        <w:rPr>
          <w:spacing w:val="-12"/>
        </w:rPr>
        <w:t> </w:t>
      </w:r>
      <w:r>
        <w:rPr/>
        <w:t>in</w:t>
      </w:r>
      <w:r>
        <w:rPr>
          <w:spacing w:val="-13"/>
        </w:rPr>
        <w:t> </w:t>
      </w:r>
      <w:r>
        <w:rPr/>
        <w:t>patriarchal</w:t>
      </w:r>
      <w:r>
        <w:rPr>
          <w:spacing w:val="-12"/>
        </w:rPr>
        <w:t> </w:t>
      </w:r>
      <w:r>
        <w:rPr/>
        <w:t>contexts.</w:t>
      </w:r>
      <w:r>
        <w:rPr>
          <w:spacing w:val="-13"/>
        </w:rPr>
        <w:t> </w:t>
      </w:r>
      <w:r>
        <w:rPr/>
        <w:t>Their</w:t>
      </w:r>
      <w:r>
        <w:rPr>
          <w:spacing w:val="-12"/>
        </w:rPr>
        <w:t> </w:t>
      </w:r>
      <w:r>
        <w:rPr/>
        <w:t>rivalry </w:t>
      </w:r>
      <w:r>
        <w:rPr>
          <w:spacing w:val="-2"/>
        </w:rPr>
        <w:t>over</w:t>
      </w:r>
      <w:r>
        <w:rPr>
          <w:spacing w:val="-4"/>
        </w:rPr>
        <w:t> </w:t>
      </w:r>
      <w:r>
        <w:rPr>
          <w:spacing w:val="-2"/>
        </w:rPr>
        <w:t>Edmund exposes</w:t>
      </w:r>
      <w:r>
        <w:rPr>
          <w:spacing w:val="-6"/>
        </w:rPr>
        <w:t> </w:t>
      </w:r>
      <w:r>
        <w:rPr>
          <w:spacing w:val="-2"/>
        </w:rPr>
        <w:t>the</w:t>
      </w:r>
      <w:r>
        <w:rPr>
          <w:spacing w:val="-6"/>
        </w:rPr>
        <w:t> </w:t>
      </w:r>
      <w:r>
        <w:rPr>
          <w:spacing w:val="-2"/>
        </w:rPr>
        <w:t>intersection</w:t>
      </w:r>
      <w:r>
        <w:rPr>
          <w:spacing w:val="-4"/>
        </w:rPr>
        <w:t> </w:t>
      </w:r>
      <w:r>
        <w:rPr>
          <w:spacing w:val="-2"/>
        </w:rPr>
        <w:t>of</w:t>
      </w:r>
      <w:r>
        <w:rPr>
          <w:spacing w:val="-6"/>
        </w:rPr>
        <w:t> </w:t>
      </w:r>
      <w:r>
        <w:rPr>
          <w:spacing w:val="-2"/>
        </w:rPr>
        <w:t>desire,</w:t>
      </w:r>
      <w:r>
        <w:rPr>
          <w:spacing w:val="-4"/>
        </w:rPr>
        <w:t> </w:t>
      </w:r>
      <w:r>
        <w:rPr>
          <w:spacing w:val="-2"/>
        </w:rPr>
        <w:t>ambition, and</w:t>
      </w:r>
      <w:r>
        <w:rPr>
          <w:spacing w:val="-4"/>
        </w:rPr>
        <w:t> </w:t>
      </w:r>
      <w:r>
        <w:rPr>
          <w:spacing w:val="-2"/>
        </w:rPr>
        <w:t>insecurity. </w:t>
      </w:r>
      <w:r>
        <w:rPr/>
        <w:t>Regan’s</w:t>
      </w:r>
      <w:r>
        <w:rPr>
          <w:spacing w:val="-4"/>
        </w:rPr>
        <w:t> </w:t>
      </w:r>
      <w:r>
        <w:rPr/>
        <w:t>declaration—”I</w:t>
      </w:r>
      <w:r>
        <w:rPr>
          <w:spacing w:val="-4"/>
        </w:rPr>
        <w:t> </w:t>
      </w:r>
      <w:r>
        <w:rPr/>
        <w:t>am</w:t>
      </w:r>
      <w:r>
        <w:rPr>
          <w:spacing w:val="-5"/>
        </w:rPr>
        <w:t> </w:t>
      </w:r>
      <w:r>
        <w:rPr/>
        <w:t>made</w:t>
      </w:r>
      <w:r>
        <w:rPr>
          <w:spacing w:val="-6"/>
        </w:rPr>
        <w:t> </w:t>
      </w:r>
      <w:r>
        <w:rPr/>
        <w:t>of</w:t>
      </w:r>
      <w:r>
        <w:rPr>
          <w:spacing w:val="-4"/>
        </w:rPr>
        <w:t> </w:t>
      </w:r>
      <w:r>
        <w:rPr/>
        <w:t>that</w:t>
      </w:r>
      <w:r>
        <w:rPr>
          <w:spacing w:val="-4"/>
        </w:rPr>
        <w:t> </w:t>
      </w:r>
      <w:r>
        <w:rPr/>
        <w:t>self</w:t>
      </w:r>
      <w:r>
        <w:rPr>
          <w:spacing w:val="-4"/>
        </w:rPr>
        <w:t> </w:t>
      </w:r>
      <w:r>
        <w:rPr/>
        <w:t>metal</w:t>
      </w:r>
      <w:r>
        <w:rPr>
          <w:spacing w:val="-6"/>
        </w:rPr>
        <w:t> </w:t>
      </w:r>
      <w:r>
        <w:rPr/>
        <w:t>as</w:t>
      </w:r>
      <w:r>
        <w:rPr>
          <w:spacing w:val="-2"/>
        </w:rPr>
        <w:t> </w:t>
      </w:r>
      <w:r>
        <w:rPr/>
        <w:t>my</w:t>
      </w:r>
      <w:r>
        <w:rPr>
          <w:spacing w:val="-9"/>
        </w:rPr>
        <w:t> </w:t>
      </w:r>
      <w:r>
        <w:rPr/>
        <w:t>sister”</w:t>
      </w:r>
      <w:r>
        <w:rPr>
          <w:spacing w:val="-2"/>
        </w:rPr>
        <w:t> </w:t>
      </w:r>
      <w:r>
        <w:rPr/>
        <w:t>(I.i)—suggests</w:t>
      </w:r>
      <w:r>
        <w:rPr>
          <w:spacing w:val="-6"/>
        </w:rPr>
        <w:t> </w:t>
      </w:r>
      <w:r>
        <w:rPr/>
        <w:t>both</w:t>
      </w:r>
      <w:r>
        <w:rPr>
          <w:spacing w:val="-7"/>
        </w:rPr>
        <w:t> </w:t>
      </w:r>
      <w:r>
        <w:rPr/>
        <w:t>solidarity</w:t>
      </w:r>
      <w:r>
        <w:rPr>
          <w:spacing w:val="-9"/>
        </w:rPr>
        <w:t> </w:t>
      </w:r>
      <w:r>
        <w:rPr/>
        <w:t>and</w:t>
      </w:r>
      <w:r>
        <w:rPr>
          <w:spacing w:val="-7"/>
        </w:rPr>
        <w:t> </w:t>
      </w:r>
      <w:r>
        <w:rPr/>
        <w:t>competition,</w:t>
      </w:r>
      <w:r>
        <w:rPr>
          <w:spacing w:val="-6"/>
        </w:rPr>
        <w:t> </w:t>
      </w:r>
      <w:r>
        <w:rPr/>
        <w:t>highlighting</w:t>
      </w:r>
      <w:r>
        <w:rPr>
          <w:spacing w:val="-7"/>
        </w:rPr>
        <w:t> </w:t>
      </w:r>
      <w:r>
        <w:rPr/>
        <w:t>the</w:t>
      </w:r>
      <w:r>
        <w:rPr>
          <w:spacing w:val="-6"/>
        </w:rPr>
        <w:t> </w:t>
      </w:r>
      <w:r>
        <w:rPr/>
        <w:t>psychological toll</w:t>
      </w:r>
      <w:r>
        <w:rPr>
          <w:spacing w:val="-11"/>
        </w:rPr>
        <w:t> </w:t>
      </w:r>
      <w:r>
        <w:rPr/>
        <w:t>of</w:t>
      </w:r>
      <w:r>
        <w:rPr>
          <w:spacing w:val="-13"/>
        </w:rPr>
        <w:t> </w:t>
      </w:r>
      <w:r>
        <w:rPr/>
        <w:t>women</w:t>
      </w:r>
      <w:r>
        <w:rPr>
          <w:spacing w:val="-11"/>
        </w:rPr>
        <w:t> </w:t>
      </w:r>
      <w:r>
        <w:rPr/>
        <w:t>forced</w:t>
      </w:r>
      <w:r>
        <w:rPr>
          <w:spacing w:val="-8"/>
        </w:rPr>
        <w:t> </w:t>
      </w:r>
      <w:r>
        <w:rPr/>
        <w:t>into</w:t>
      </w:r>
      <w:r>
        <w:rPr>
          <w:spacing w:val="-8"/>
        </w:rPr>
        <w:t> </w:t>
      </w:r>
      <w:r>
        <w:rPr/>
        <w:t>rivalry</w:t>
      </w:r>
      <w:r>
        <w:rPr>
          <w:spacing w:val="-13"/>
        </w:rPr>
        <w:t> </w:t>
      </w:r>
      <w:r>
        <w:rPr/>
        <w:t>for</w:t>
      </w:r>
      <w:r>
        <w:rPr>
          <w:spacing w:val="-7"/>
        </w:rPr>
        <w:t> </w:t>
      </w:r>
      <w:r>
        <w:rPr/>
        <w:t>power</w:t>
      </w:r>
      <w:r>
        <w:rPr>
          <w:spacing w:val="-9"/>
        </w:rPr>
        <w:t> </w:t>
      </w:r>
      <w:r>
        <w:rPr/>
        <w:t>and</w:t>
      </w:r>
      <w:r>
        <w:rPr>
          <w:spacing w:val="-8"/>
        </w:rPr>
        <w:t> </w:t>
      </w:r>
      <w:r>
        <w:rPr/>
        <w:t>affection.</w:t>
      </w:r>
      <w:r>
        <w:rPr>
          <w:spacing w:val="-9"/>
        </w:rPr>
        <w:t> </w:t>
      </w:r>
      <w:r>
        <w:rPr/>
        <w:t>Their</w:t>
      </w:r>
      <w:r>
        <w:rPr>
          <w:spacing w:val="-8"/>
        </w:rPr>
        <w:t> </w:t>
      </w:r>
      <w:r>
        <w:rPr/>
        <w:t>eventual downfall, poisoned and self destructive, dramatizes the destructive consequences</w:t>
      </w:r>
      <w:r>
        <w:rPr>
          <w:spacing w:val="40"/>
        </w:rPr>
        <w:t> </w:t>
      </w:r>
      <w:r>
        <w:rPr/>
        <w:t>of</w:t>
      </w:r>
      <w:r>
        <w:rPr>
          <w:spacing w:val="40"/>
        </w:rPr>
        <w:t> </w:t>
      </w:r>
      <w:r>
        <w:rPr/>
        <w:t>ambition</w:t>
      </w:r>
      <w:r>
        <w:rPr>
          <w:spacing w:val="40"/>
        </w:rPr>
        <w:t> </w:t>
      </w:r>
      <w:r>
        <w:rPr/>
        <w:t>shaped</w:t>
      </w:r>
      <w:r>
        <w:rPr>
          <w:spacing w:val="40"/>
        </w:rPr>
        <w:t> </w:t>
      </w:r>
      <w:r>
        <w:rPr/>
        <w:t>by</w:t>
      </w:r>
      <w:r>
        <w:rPr>
          <w:spacing w:val="40"/>
        </w:rPr>
        <w:t> </w:t>
      </w:r>
      <w:r>
        <w:rPr/>
        <w:t>patriarchal</w:t>
      </w:r>
      <w:r>
        <w:rPr>
          <w:spacing w:val="40"/>
        </w:rPr>
        <w:t> </w:t>
      </w:r>
      <w:r>
        <w:rPr/>
        <w:t>structures.</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51008">
                <wp:simplePos x="0" y="0"/>
                <wp:positionH relativeFrom="page">
                  <wp:posOffset>2065020</wp:posOffset>
                </wp:positionH>
                <wp:positionV relativeFrom="paragraph">
                  <wp:posOffset>795020</wp:posOffset>
                </wp:positionV>
                <wp:extent cx="3657600" cy="12700"/>
                <wp:effectExtent l="0" t="0" r="0" b="0"/>
                <wp:wrapTopAndBottom/>
                <wp:docPr id="712" name="Graphic 712"/>
                <wp:cNvGraphicFramePr>
                  <a:graphicFrameLocks/>
                </wp:cNvGraphicFramePr>
                <a:graphic>
                  <a:graphicData uri="http://schemas.microsoft.com/office/word/2010/wordprocessingShape">
                    <wps:wsp>
                      <wps:cNvPr id="712" name="Graphic 71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65472;mso-wrap-distance-left:0;mso-wrap-distance-right:0" id="docshape704" filled="true" fillcolor="#000000" stroked="false">
                <v:fill type="solid"/>
                <w10:wrap type="topAndBottom"/>
              </v:rect>
            </w:pict>
          </mc:Fallback>
        </mc:AlternateContent>
      </w:r>
      <w:r>
        <w:rPr>
          <w:rFonts w:ascii="Verdana" w:hAnsi="Verdana"/>
          <w:sz w:val="18"/>
        </w:rPr>
        <w:t>Women</w:t>
      </w:r>
      <w:r>
        <w:rPr>
          <w:rFonts w:ascii="Verdana" w:hAnsi="Verdana"/>
          <w:spacing w:val="11"/>
          <w:sz w:val="18"/>
        </w:rPr>
        <w:t> </w:t>
      </w:r>
      <w:r>
        <w:rPr>
          <w:rFonts w:ascii="Verdana" w:hAnsi="Verdana"/>
          <w:sz w:val="18"/>
        </w:rPr>
        <w:t>and</w:t>
      </w:r>
      <w:r>
        <w:rPr>
          <w:rFonts w:ascii="Verdana" w:hAnsi="Verdana"/>
          <w:spacing w:val="11"/>
          <w:sz w:val="18"/>
        </w:rPr>
        <w:t> </w:t>
      </w:r>
      <w:r>
        <w:rPr>
          <w:rFonts w:ascii="Verdana" w:hAnsi="Verdana"/>
          <w:sz w:val="18"/>
        </w:rPr>
        <w:t>Mental</w:t>
      </w:r>
      <w:r>
        <w:rPr>
          <w:rFonts w:ascii="Verdana" w:hAnsi="Verdana"/>
          <w:spacing w:val="12"/>
          <w:sz w:val="18"/>
        </w:rPr>
        <w:t> </w:t>
      </w:r>
      <w:r>
        <w:rPr>
          <w:rFonts w:ascii="Verdana" w:hAnsi="Verdana"/>
          <w:sz w:val="18"/>
        </w:rPr>
        <w:t>Health</w:t>
      </w:r>
      <w:r>
        <w:rPr>
          <w:rFonts w:ascii="Verdana" w:hAnsi="Verdana"/>
          <w:spacing w:val="13"/>
          <w:sz w:val="18"/>
        </w:rPr>
        <w:t> </w:t>
      </w:r>
      <w:r>
        <w:rPr>
          <w:rFonts w:ascii="Verdana" w:hAnsi="Verdana"/>
          <w:sz w:val="18"/>
        </w:rPr>
        <w:t>in</w:t>
      </w:r>
      <w:r>
        <w:rPr>
          <w:rFonts w:ascii="Verdana" w:hAnsi="Verdana"/>
          <w:spacing w:val="13"/>
          <w:sz w:val="18"/>
        </w:rPr>
        <w:t> </w:t>
      </w:r>
      <w:r>
        <w:rPr>
          <w:rFonts w:ascii="Verdana" w:hAnsi="Verdana"/>
          <w:sz w:val="18"/>
        </w:rPr>
        <w:t>Shakespeare’s</w:t>
      </w:r>
      <w:r>
        <w:rPr>
          <w:rFonts w:ascii="Verdana" w:hAnsi="Verdana"/>
          <w:spacing w:val="13"/>
          <w:sz w:val="18"/>
        </w:rPr>
        <w:t> </w:t>
      </w:r>
      <w:r>
        <w:rPr>
          <w:rFonts w:ascii="Verdana" w:hAnsi="Verdana"/>
          <w:spacing w:val="-4"/>
          <w:sz w:val="18"/>
        </w:rPr>
        <w:t>Plays</w:t>
      </w:r>
      <w:r>
        <w:rPr>
          <w:sz w:val="18"/>
        </w:rPr>
        <w:tab/>
      </w:r>
      <w:r>
        <w:rPr>
          <w:rFonts w:ascii="Verdana" w:hAnsi="Verdana"/>
          <w:spacing w:val="-5"/>
          <w:sz w:val="18"/>
        </w:rPr>
        <w:t>355</w:t>
      </w:r>
    </w:p>
    <w:p>
      <w:pPr>
        <w:pStyle w:val="BodyText"/>
        <w:spacing w:line="249" w:lineRule="auto" w:before="192"/>
        <w:ind w:right="1440" w:firstLine="432"/>
        <w:jc w:val="both"/>
      </w:pPr>
      <w:r>
        <w:rPr/>
        <w:t>Cordelia’s tragic death in Act V is perhaps the most devastating moment</w:t>
      </w:r>
      <w:r>
        <w:rPr>
          <w:spacing w:val="-2"/>
        </w:rPr>
        <w:t> </w:t>
      </w:r>
      <w:r>
        <w:rPr/>
        <w:t>of</w:t>
      </w:r>
      <w:r>
        <w:rPr>
          <w:spacing w:val="-3"/>
        </w:rPr>
        <w:t> </w:t>
      </w:r>
      <w:r>
        <w:rPr/>
        <w:t>the</w:t>
      </w:r>
      <w:r>
        <w:rPr>
          <w:spacing w:val="-2"/>
        </w:rPr>
        <w:t> </w:t>
      </w:r>
      <w:r>
        <w:rPr/>
        <w:t>play. Lear’s</w:t>
      </w:r>
      <w:r>
        <w:rPr>
          <w:spacing w:val="-3"/>
        </w:rPr>
        <w:t> </w:t>
      </w:r>
      <w:r>
        <w:rPr/>
        <w:t>lament—”Her voice</w:t>
      </w:r>
      <w:r>
        <w:rPr>
          <w:spacing w:val="-2"/>
        </w:rPr>
        <w:t> </w:t>
      </w:r>
      <w:r>
        <w:rPr/>
        <w:t>was</w:t>
      </w:r>
      <w:r>
        <w:rPr>
          <w:spacing w:val="-3"/>
        </w:rPr>
        <w:t> </w:t>
      </w:r>
      <w:r>
        <w:rPr/>
        <w:t>ever soft,</w:t>
      </w:r>
      <w:r>
        <w:rPr>
          <w:spacing w:val="-2"/>
        </w:rPr>
        <w:t> </w:t>
      </w:r>
      <w:r>
        <w:rPr/>
        <w:t>/</w:t>
      </w:r>
      <w:r>
        <w:rPr>
          <w:spacing w:val="-2"/>
        </w:rPr>
        <w:t> </w:t>
      </w:r>
      <w:r>
        <w:rPr/>
        <w:t>Gentle, </w:t>
      </w:r>
      <w:r>
        <w:rPr>
          <w:spacing w:val="-2"/>
        </w:rPr>
        <w:t>and</w:t>
      </w:r>
      <w:r>
        <w:rPr>
          <w:spacing w:val="-11"/>
        </w:rPr>
        <w:t> </w:t>
      </w:r>
      <w:r>
        <w:rPr>
          <w:spacing w:val="-2"/>
        </w:rPr>
        <w:t>low,</w:t>
      </w:r>
      <w:r>
        <w:rPr>
          <w:spacing w:val="-10"/>
        </w:rPr>
        <w:t> </w:t>
      </w:r>
      <w:r>
        <w:rPr>
          <w:spacing w:val="-2"/>
        </w:rPr>
        <w:t>an</w:t>
      </w:r>
      <w:r>
        <w:rPr>
          <w:spacing w:val="-11"/>
        </w:rPr>
        <w:t> </w:t>
      </w:r>
      <w:r>
        <w:rPr>
          <w:spacing w:val="-2"/>
        </w:rPr>
        <w:t>excellent</w:t>
      </w:r>
      <w:r>
        <w:rPr>
          <w:spacing w:val="-10"/>
        </w:rPr>
        <w:t> </w:t>
      </w:r>
      <w:r>
        <w:rPr>
          <w:spacing w:val="-2"/>
        </w:rPr>
        <w:t>thing</w:t>
      </w:r>
      <w:r>
        <w:rPr>
          <w:spacing w:val="-11"/>
        </w:rPr>
        <w:t> </w:t>
      </w:r>
      <w:r>
        <w:rPr>
          <w:spacing w:val="-2"/>
        </w:rPr>
        <w:t>in</w:t>
      </w:r>
      <w:r>
        <w:rPr>
          <w:spacing w:val="-10"/>
        </w:rPr>
        <w:t> </w:t>
      </w:r>
      <w:r>
        <w:rPr>
          <w:spacing w:val="-2"/>
        </w:rPr>
        <w:t>woman”</w:t>
      </w:r>
      <w:r>
        <w:rPr>
          <w:spacing w:val="-11"/>
        </w:rPr>
        <w:t> </w:t>
      </w:r>
      <w:r>
        <w:rPr>
          <w:spacing w:val="-2"/>
        </w:rPr>
        <w:t>(V.iii)—reduces</w:t>
      </w:r>
      <w:r>
        <w:rPr>
          <w:spacing w:val="-10"/>
        </w:rPr>
        <w:t> </w:t>
      </w:r>
      <w:r>
        <w:rPr>
          <w:spacing w:val="-2"/>
        </w:rPr>
        <w:t>her</w:t>
      </w:r>
      <w:r>
        <w:rPr>
          <w:spacing w:val="-11"/>
        </w:rPr>
        <w:t> </w:t>
      </w:r>
      <w:r>
        <w:rPr>
          <w:spacing w:val="-2"/>
        </w:rPr>
        <w:t>to</w:t>
      </w:r>
      <w:r>
        <w:rPr>
          <w:spacing w:val="-10"/>
        </w:rPr>
        <w:t> </w:t>
      </w:r>
      <w:r>
        <w:rPr>
          <w:spacing w:val="-2"/>
        </w:rPr>
        <w:t>a</w:t>
      </w:r>
      <w:r>
        <w:rPr>
          <w:spacing w:val="-11"/>
        </w:rPr>
        <w:t> </w:t>
      </w:r>
      <w:r>
        <w:rPr>
          <w:spacing w:val="-2"/>
        </w:rPr>
        <w:t>stereotype </w:t>
      </w:r>
      <w:r>
        <w:rPr/>
        <w:t>of feminine gentleness even as he mourns her. This final silencing of Cordelia</w:t>
      </w:r>
      <w:r>
        <w:rPr>
          <w:spacing w:val="-4"/>
        </w:rPr>
        <w:t> </w:t>
      </w:r>
      <w:r>
        <w:rPr/>
        <w:t>underscores</w:t>
      </w:r>
      <w:r>
        <w:rPr>
          <w:spacing w:val="-8"/>
        </w:rPr>
        <w:t> </w:t>
      </w:r>
      <w:r>
        <w:rPr/>
        <w:t>the</w:t>
      </w:r>
      <w:r>
        <w:rPr>
          <w:spacing w:val="-4"/>
        </w:rPr>
        <w:t> </w:t>
      </w:r>
      <w:r>
        <w:rPr/>
        <w:t>vulnerability</w:t>
      </w:r>
      <w:r>
        <w:rPr>
          <w:spacing w:val="-9"/>
        </w:rPr>
        <w:t> </w:t>
      </w:r>
      <w:r>
        <w:rPr/>
        <w:t>of</w:t>
      </w:r>
      <w:r>
        <w:rPr>
          <w:spacing w:val="-6"/>
        </w:rPr>
        <w:t> </w:t>
      </w:r>
      <w:r>
        <w:rPr/>
        <w:t>women</w:t>
      </w:r>
      <w:r>
        <w:rPr>
          <w:spacing w:val="-6"/>
        </w:rPr>
        <w:t> </w:t>
      </w:r>
      <w:r>
        <w:rPr/>
        <w:t>in</w:t>
      </w:r>
      <w:r>
        <w:rPr>
          <w:spacing w:val="-8"/>
        </w:rPr>
        <w:t> </w:t>
      </w:r>
      <w:r>
        <w:rPr/>
        <w:t>patriarchal</w:t>
      </w:r>
      <w:r>
        <w:rPr>
          <w:spacing w:val="-5"/>
        </w:rPr>
        <w:t> </w:t>
      </w:r>
      <w:r>
        <w:rPr/>
        <w:t>systems: her honesty, loyalty, and compassion are not enough to save her. Her death</w:t>
      </w:r>
      <w:r>
        <w:rPr>
          <w:spacing w:val="-11"/>
        </w:rPr>
        <w:t> </w:t>
      </w:r>
      <w:r>
        <w:rPr/>
        <w:t>becomes</w:t>
      </w:r>
      <w:r>
        <w:rPr>
          <w:spacing w:val="-13"/>
        </w:rPr>
        <w:t> </w:t>
      </w:r>
      <w:r>
        <w:rPr/>
        <w:t>symbolic</w:t>
      </w:r>
      <w:r>
        <w:rPr>
          <w:spacing w:val="-10"/>
        </w:rPr>
        <w:t> </w:t>
      </w:r>
      <w:r>
        <w:rPr/>
        <w:t>of</w:t>
      </w:r>
      <w:r>
        <w:rPr>
          <w:spacing w:val="-12"/>
        </w:rPr>
        <w:t> </w:t>
      </w:r>
      <w:r>
        <w:rPr/>
        <w:t>the</w:t>
      </w:r>
      <w:r>
        <w:rPr>
          <w:spacing w:val="-12"/>
        </w:rPr>
        <w:t> </w:t>
      </w:r>
      <w:r>
        <w:rPr/>
        <w:t>suppression</w:t>
      </w:r>
      <w:r>
        <w:rPr>
          <w:spacing w:val="-12"/>
        </w:rPr>
        <w:t> </w:t>
      </w:r>
      <w:r>
        <w:rPr/>
        <w:t>of</w:t>
      </w:r>
      <w:r>
        <w:rPr>
          <w:spacing w:val="-12"/>
        </w:rPr>
        <w:t> </w:t>
      </w:r>
      <w:r>
        <w:rPr/>
        <w:t>female</w:t>
      </w:r>
      <w:r>
        <w:rPr>
          <w:spacing w:val="-11"/>
        </w:rPr>
        <w:t> </w:t>
      </w:r>
      <w:r>
        <w:rPr/>
        <w:t>voice,</w:t>
      </w:r>
      <w:r>
        <w:rPr>
          <w:spacing w:val="-10"/>
        </w:rPr>
        <w:t> </w:t>
      </w:r>
      <w:r>
        <w:rPr/>
        <w:t>dramatizing the</w:t>
      </w:r>
      <w:r>
        <w:rPr>
          <w:spacing w:val="40"/>
        </w:rPr>
        <w:t> </w:t>
      </w:r>
      <w:r>
        <w:rPr/>
        <w:t>psychological</w:t>
      </w:r>
      <w:r>
        <w:rPr>
          <w:spacing w:val="40"/>
        </w:rPr>
        <w:t> </w:t>
      </w:r>
      <w:r>
        <w:rPr/>
        <w:t>costs</w:t>
      </w:r>
      <w:r>
        <w:rPr>
          <w:spacing w:val="40"/>
        </w:rPr>
        <w:t> </w:t>
      </w:r>
      <w:r>
        <w:rPr/>
        <w:t>of</w:t>
      </w:r>
      <w:r>
        <w:rPr>
          <w:spacing w:val="40"/>
        </w:rPr>
        <w:t> </w:t>
      </w:r>
      <w:r>
        <w:rPr/>
        <w:t>integrity</w:t>
      </w:r>
      <w:r>
        <w:rPr>
          <w:spacing w:val="40"/>
        </w:rPr>
        <w:t> </w:t>
      </w:r>
      <w:r>
        <w:rPr/>
        <w:t>in</w:t>
      </w:r>
      <w:r>
        <w:rPr>
          <w:spacing w:val="40"/>
        </w:rPr>
        <w:t> </w:t>
      </w:r>
      <w:r>
        <w:rPr/>
        <w:t>a</w:t>
      </w:r>
      <w:r>
        <w:rPr>
          <w:spacing w:val="40"/>
        </w:rPr>
        <w:t> </w:t>
      </w:r>
      <w:r>
        <w:rPr/>
        <w:t>corrupt</w:t>
      </w:r>
      <w:r>
        <w:rPr>
          <w:spacing w:val="40"/>
        </w:rPr>
        <w:t> </w:t>
      </w:r>
      <w:r>
        <w:rPr/>
        <w:t>world.</w:t>
      </w:r>
    </w:p>
    <w:p>
      <w:pPr>
        <w:pStyle w:val="BodyText"/>
        <w:spacing w:line="249" w:lineRule="auto" w:before="64"/>
        <w:ind w:right="1440" w:firstLine="432"/>
        <w:jc w:val="both"/>
      </w:pPr>
      <w:r>
        <w:rPr/>
        <w:t>Through Lear’s daughters, Shakespeare explores the emotional strain of women caught between filial duty, honesty, ambition, and </w:t>
      </w:r>
      <w:r>
        <w:rPr>
          <w:spacing w:val="-4"/>
        </w:rPr>
        <w:t>survival. Cordelia embodies integrity</w:t>
      </w:r>
      <w:r>
        <w:rPr>
          <w:spacing w:val="-6"/>
        </w:rPr>
        <w:t> </w:t>
      </w:r>
      <w:r>
        <w:rPr>
          <w:spacing w:val="-4"/>
        </w:rPr>
        <w:t>punished by</w:t>
      </w:r>
      <w:r>
        <w:rPr>
          <w:spacing w:val="-6"/>
        </w:rPr>
        <w:t> </w:t>
      </w:r>
      <w:r>
        <w:rPr>
          <w:spacing w:val="-4"/>
        </w:rPr>
        <w:t>authority, while Goneril </w:t>
      </w:r>
      <w:r>
        <w:rPr>
          <w:spacing w:val="-2"/>
        </w:rPr>
        <w:t>and</w:t>
      </w:r>
      <w:r>
        <w:rPr>
          <w:spacing w:val="-4"/>
        </w:rPr>
        <w:t> </w:t>
      </w:r>
      <w:r>
        <w:rPr>
          <w:spacing w:val="-2"/>
        </w:rPr>
        <w:t>Regan</w:t>
      </w:r>
      <w:r>
        <w:rPr>
          <w:spacing w:val="-4"/>
        </w:rPr>
        <w:t> </w:t>
      </w:r>
      <w:r>
        <w:rPr>
          <w:spacing w:val="-2"/>
        </w:rPr>
        <w:t>dramatize</w:t>
      </w:r>
      <w:r>
        <w:rPr>
          <w:spacing w:val="-4"/>
        </w:rPr>
        <w:t> </w:t>
      </w:r>
      <w:r>
        <w:rPr>
          <w:spacing w:val="-2"/>
        </w:rPr>
        <w:t>the</w:t>
      </w:r>
      <w:r>
        <w:rPr>
          <w:spacing w:val="-4"/>
        </w:rPr>
        <w:t> </w:t>
      </w:r>
      <w:r>
        <w:rPr>
          <w:spacing w:val="-2"/>
        </w:rPr>
        <w:t>psychological</w:t>
      </w:r>
      <w:r>
        <w:rPr>
          <w:spacing w:val="-3"/>
        </w:rPr>
        <w:t> </w:t>
      </w:r>
      <w:r>
        <w:rPr>
          <w:spacing w:val="-2"/>
        </w:rPr>
        <w:t>consequences</w:t>
      </w:r>
      <w:r>
        <w:rPr>
          <w:spacing w:val="-9"/>
        </w:rPr>
        <w:t> </w:t>
      </w:r>
      <w:r>
        <w:rPr>
          <w:spacing w:val="-2"/>
        </w:rPr>
        <w:t>of</w:t>
      </w:r>
      <w:r>
        <w:rPr>
          <w:spacing w:val="-4"/>
        </w:rPr>
        <w:t> </w:t>
      </w:r>
      <w:r>
        <w:rPr>
          <w:spacing w:val="-2"/>
        </w:rPr>
        <w:t>ambition</w:t>
      </w:r>
      <w:r>
        <w:rPr>
          <w:spacing w:val="-6"/>
        </w:rPr>
        <w:t> </w:t>
      </w:r>
      <w:r>
        <w:rPr>
          <w:spacing w:val="-2"/>
        </w:rPr>
        <w:t>shaped </w:t>
      </w:r>
      <w:r>
        <w:rPr/>
        <w:t>by oppression. Together, they</w:t>
      </w:r>
      <w:r>
        <w:rPr>
          <w:spacing w:val="-2"/>
        </w:rPr>
        <w:t> </w:t>
      </w:r>
      <w:r>
        <w:rPr/>
        <w:t>reveal the complexities of female mental health</w:t>
      </w:r>
      <w:r>
        <w:rPr>
          <w:spacing w:val="-13"/>
        </w:rPr>
        <w:t> </w:t>
      </w:r>
      <w:r>
        <w:rPr/>
        <w:t>in</w:t>
      </w:r>
      <w:r>
        <w:rPr>
          <w:spacing w:val="-12"/>
        </w:rPr>
        <w:t> </w:t>
      </w:r>
      <w:r>
        <w:rPr/>
        <w:t>patriarchal</w:t>
      </w:r>
      <w:r>
        <w:rPr>
          <w:spacing w:val="-13"/>
        </w:rPr>
        <w:t> </w:t>
      </w:r>
      <w:r>
        <w:rPr/>
        <w:t>structures,</w:t>
      </w:r>
      <w:r>
        <w:rPr>
          <w:spacing w:val="-12"/>
        </w:rPr>
        <w:t> </w:t>
      </w:r>
      <w:r>
        <w:rPr/>
        <w:t>illustrating</w:t>
      </w:r>
      <w:r>
        <w:rPr>
          <w:spacing w:val="-13"/>
        </w:rPr>
        <w:t> </w:t>
      </w:r>
      <w:r>
        <w:rPr/>
        <w:t>how</w:t>
      </w:r>
      <w:r>
        <w:rPr>
          <w:spacing w:val="-12"/>
        </w:rPr>
        <w:t> </w:t>
      </w:r>
      <w:r>
        <w:rPr/>
        <w:t>honesty,</w:t>
      </w:r>
      <w:r>
        <w:rPr>
          <w:spacing w:val="-13"/>
        </w:rPr>
        <w:t> </w:t>
      </w:r>
      <w:r>
        <w:rPr/>
        <w:t>silence,</w:t>
      </w:r>
      <w:r>
        <w:rPr>
          <w:spacing w:val="-12"/>
        </w:rPr>
        <w:t> </w:t>
      </w:r>
      <w:r>
        <w:rPr/>
        <w:t>cruelty, and</w:t>
      </w:r>
      <w:r>
        <w:rPr>
          <w:spacing w:val="35"/>
        </w:rPr>
        <w:t> </w:t>
      </w:r>
      <w:r>
        <w:rPr/>
        <w:t>ambition</w:t>
      </w:r>
      <w:r>
        <w:rPr>
          <w:spacing w:val="33"/>
        </w:rPr>
        <w:t> </w:t>
      </w:r>
      <w:r>
        <w:rPr/>
        <w:t>are</w:t>
      </w:r>
      <w:r>
        <w:rPr>
          <w:spacing w:val="34"/>
        </w:rPr>
        <w:t> </w:t>
      </w:r>
      <w:r>
        <w:rPr/>
        <w:t>all</w:t>
      </w:r>
      <w:r>
        <w:rPr>
          <w:spacing w:val="35"/>
        </w:rPr>
        <w:t> </w:t>
      </w:r>
      <w:r>
        <w:rPr/>
        <w:t>psychological</w:t>
      </w:r>
      <w:r>
        <w:rPr>
          <w:spacing w:val="33"/>
        </w:rPr>
        <w:t> </w:t>
      </w:r>
      <w:r>
        <w:rPr/>
        <w:t>responses</w:t>
      </w:r>
      <w:r>
        <w:rPr>
          <w:spacing w:val="35"/>
        </w:rPr>
        <w:t> </w:t>
      </w:r>
      <w:r>
        <w:rPr/>
        <w:t>to</w:t>
      </w:r>
      <w:r>
        <w:rPr>
          <w:spacing w:val="35"/>
        </w:rPr>
        <w:t> </w:t>
      </w:r>
      <w:r>
        <w:rPr/>
        <w:t>systemic</w:t>
      </w:r>
      <w:r>
        <w:rPr>
          <w:spacing w:val="36"/>
        </w:rPr>
        <w:t> </w:t>
      </w:r>
      <w:r>
        <w:rPr/>
        <w:t>inequality.</w:t>
      </w:r>
    </w:p>
    <w:p>
      <w:pPr>
        <w:pStyle w:val="Heading3"/>
        <w:spacing w:before="159"/>
      </w:pPr>
      <w:r>
        <w:rPr>
          <w:spacing w:val="-4"/>
        </w:rPr>
        <w:t>SYMBOLISM</w:t>
      </w:r>
      <w:r>
        <w:rPr>
          <w:spacing w:val="-10"/>
        </w:rPr>
        <w:t> </w:t>
      </w:r>
      <w:r>
        <w:rPr>
          <w:spacing w:val="-4"/>
        </w:rPr>
        <w:t>AND</w:t>
      </w:r>
      <w:r>
        <w:rPr>
          <w:spacing w:val="-8"/>
        </w:rPr>
        <w:t> </w:t>
      </w:r>
      <w:r>
        <w:rPr>
          <w:spacing w:val="-4"/>
        </w:rPr>
        <w:t>LANGUAGE</w:t>
      </w:r>
      <w:r>
        <w:rPr>
          <w:spacing w:val="-7"/>
        </w:rPr>
        <w:t> </w:t>
      </w:r>
      <w:r>
        <w:rPr>
          <w:spacing w:val="-4"/>
        </w:rPr>
        <w:t>OF</w:t>
      </w:r>
      <w:r>
        <w:rPr>
          <w:spacing w:val="-9"/>
        </w:rPr>
        <w:t> </w:t>
      </w:r>
      <w:r>
        <w:rPr>
          <w:spacing w:val="-4"/>
        </w:rPr>
        <w:t>MADNESS</w:t>
      </w:r>
    </w:p>
    <w:p>
      <w:pPr>
        <w:pStyle w:val="BodyText"/>
        <w:spacing w:line="249" w:lineRule="auto" w:before="76"/>
        <w:ind w:right="1437" w:firstLine="432"/>
        <w:jc w:val="both"/>
      </w:pPr>
      <w:r>
        <w:rPr>
          <w:spacing w:val="-2"/>
        </w:rPr>
        <w:t>Shakespeare consistently</w:t>
      </w:r>
      <w:r>
        <w:rPr>
          <w:spacing w:val="-3"/>
        </w:rPr>
        <w:t> </w:t>
      </w:r>
      <w:r>
        <w:rPr>
          <w:spacing w:val="-2"/>
        </w:rPr>
        <w:t>employs symbolism</w:t>
      </w:r>
      <w:r>
        <w:rPr>
          <w:spacing w:val="-6"/>
        </w:rPr>
        <w:t> </w:t>
      </w:r>
      <w:r>
        <w:rPr>
          <w:spacing w:val="-2"/>
        </w:rPr>
        <w:t>and alternative forms </w:t>
      </w:r>
      <w:r>
        <w:rPr/>
        <w:t>of</w:t>
      </w:r>
      <w:r>
        <w:rPr>
          <w:spacing w:val="-13"/>
        </w:rPr>
        <w:t> </w:t>
      </w:r>
      <w:r>
        <w:rPr/>
        <w:t>language</w:t>
      </w:r>
      <w:r>
        <w:rPr>
          <w:spacing w:val="-9"/>
        </w:rPr>
        <w:t> </w:t>
      </w:r>
      <w:r>
        <w:rPr/>
        <w:t>to</w:t>
      </w:r>
      <w:r>
        <w:rPr>
          <w:spacing w:val="-10"/>
        </w:rPr>
        <w:t> </w:t>
      </w:r>
      <w:r>
        <w:rPr/>
        <w:t>dramatize</w:t>
      </w:r>
      <w:r>
        <w:rPr>
          <w:spacing w:val="-9"/>
        </w:rPr>
        <w:t> </w:t>
      </w:r>
      <w:r>
        <w:rPr/>
        <w:t>women’s</w:t>
      </w:r>
      <w:r>
        <w:rPr>
          <w:spacing w:val="-11"/>
        </w:rPr>
        <w:t> </w:t>
      </w:r>
      <w:r>
        <w:rPr/>
        <w:t>mental</w:t>
      </w:r>
      <w:r>
        <w:rPr>
          <w:spacing w:val="-11"/>
        </w:rPr>
        <w:t> </w:t>
      </w:r>
      <w:r>
        <w:rPr/>
        <w:t>health,</w:t>
      </w:r>
      <w:r>
        <w:rPr>
          <w:spacing w:val="-10"/>
        </w:rPr>
        <w:t> </w:t>
      </w:r>
      <w:r>
        <w:rPr/>
        <w:t>creating</w:t>
      </w:r>
      <w:r>
        <w:rPr>
          <w:spacing w:val="-13"/>
        </w:rPr>
        <w:t> </w:t>
      </w:r>
      <w:r>
        <w:rPr/>
        <w:t>a</w:t>
      </w:r>
      <w:r>
        <w:rPr>
          <w:spacing w:val="-8"/>
        </w:rPr>
        <w:t> </w:t>
      </w:r>
      <w:r>
        <w:rPr/>
        <w:t>rich</w:t>
      </w:r>
      <w:r>
        <w:rPr>
          <w:spacing w:val="-13"/>
        </w:rPr>
        <w:t> </w:t>
      </w:r>
      <w:r>
        <w:rPr/>
        <w:t>tapestry of imagery that conveys psychological states beyond the limits of rational speech. His female characters often articulate trauma through </w:t>
      </w:r>
      <w:r>
        <w:rPr>
          <w:spacing w:val="9"/>
        </w:rPr>
        <w:t>symbols,</w:t>
      </w:r>
      <w:r>
        <w:rPr>
          <w:spacing w:val="9"/>
        </w:rPr>
        <w:t> </w:t>
      </w:r>
      <w:r>
        <w:rPr>
          <w:spacing w:val="10"/>
        </w:rPr>
        <w:t>fragmented</w:t>
      </w:r>
      <w:r>
        <w:rPr>
          <w:spacing w:val="10"/>
        </w:rPr>
        <w:t> speech,</w:t>
      </w:r>
      <w:r>
        <w:rPr>
          <w:spacing w:val="10"/>
        </w:rPr>
        <w:t> songs,</w:t>
      </w:r>
      <w:r>
        <w:rPr>
          <w:spacing w:val="10"/>
        </w:rPr>
        <w:t> </w:t>
      </w:r>
      <w:r>
        <w:rPr/>
        <w:t>and </w:t>
      </w:r>
      <w:r>
        <w:rPr>
          <w:spacing w:val="12"/>
        </w:rPr>
        <w:t>silence—</w:t>
      </w:r>
      <w:r>
        <w:rPr>
          <w:spacing w:val="9"/>
        </w:rPr>
        <w:t>forms</w:t>
      </w:r>
      <w:r>
        <w:rPr>
          <w:spacing w:val="9"/>
        </w:rPr>
        <w:t> </w:t>
      </w:r>
      <w:r>
        <w:rPr/>
        <w:t>of communication that bypass conventional discourse and reveal the inner turmoil of the mind. These symbolic expressions highlight both the limitations of verbal communication in patriarchal societies and the necessity of non verbal modes of expression for women whose voices are</w:t>
      </w:r>
      <w:r>
        <w:rPr>
          <w:spacing w:val="40"/>
        </w:rPr>
        <w:t> </w:t>
      </w:r>
      <w:r>
        <w:rPr/>
        <w:t>suppressed.</w:t>
      </w:r>
    </w:p>
    <w:p>
      <w:pPr>
        <w:pStyle w:val="BodyText"/>
        <w:spacing w:line="249" w:lineRule="auto" w:before="68"/>
        <w:ind w:right="1437" w:firstLine="432"/>
        <w:jc w:val="both"/>
      </w:pPr>
      <w:r>
        <w:rPr/>
        <w:t>Ophelia’s</w:t>
      </w:r>
      <w:r>
        <w:rPr>
          <w:spacing w:val="-9"/>
        </w:rPr>
        <w:t> </w:t>
      </w:r>
      <w:r>
        <w:rPr/>
        <w:t>flowers</w:t>
      </w:r>
      <w:r>
        <w:rPr>
          <w:spacing w:val="-8"/>
        </w:rPr>
        <w:t> </w:t>
      </w:r>
      <w:r>
        <w:rPr/>
        <w:t>in</w:t>
      </w:r>
      <w:r>
        <w:rPr>
          <w:spacing w:val="-9"/>
        </w:rPr>
        <w:t> </w:t>
      </w:r>
      <w:r>
        <w:rPr>
          <w:i/>
        </w:rPr>
        <w:t>Hamlet</w:t>
      </w:r>
      <w:r>
        <w:rPr>
          <w:i/>
          <w:spacing w:val="-9"/>
        </w:rPr>
        <w:t> </w:t>
      </w:r>
      <w:r>
        <w:rPr/>
        <w:t>are</w:t>
      </w:r>
      <w:r>
        <w:rPr>
          <w:spacing w:val="-6"/>
        </w:rPr>
        <w:t> </w:t>
      </w:r>
      <w:r>
        <w:rPr/>
        <w:t>perhaps</w:t>
      </w:r>
      <w:r>
        <w:rPr>
          <w:spacing w:val="-9"/>
        </w:rPr>
        <w:t> </w:t>
      </w:r>
      <w:r>
        <w:rPr/>
        <w:t>the</w:t>
      </w:r>
      <w:r>
        <w:rPr>
          <w:spacing w:val="-8"/>
        </w:rPr>
        <w:t> </w:t>
      </w:r>
      <w:r>
        <w:rPr/>
        <w:t>most</w:t>
      </w:r>
      <w:r>
        <w:rPr>
          <w:spacing w:val="-9"/>
        </w:rPr>
        <w:t> </w:t>
      </w:r>
      <w:r>
        <w:rPr/>
        <w:t>striking</w:t>
      </w:r>
      <w:r>
        <w:rPr>
          <w:spacing w:val="-8"/>
        </w:rPr>
        <w:t> </w:t>
      </w:r>
      <w:r>
        <w:rPr/>
        <w:t>example of</w:t>
      </w:r>
      <w:r>
        <w:rPr>
          <w:spacing w:val="-13"/>
        </w:rPr>
        <w:t> </w:t>
      </w:r>
      <w:r>
        <w:rPr/>
        <w:t>symbolic</w:t>
      </w:r>
      <w:r>
        <w:rPr>
          <w:spacing w:val="-12"/>
        </w:rPr>
        <w:t> </w:t>
      </w:r>
      <w:r>
        <w:rPr/>
        <w:t>language.</w:t>
      </w:r>
      <w:r>
        <w:rPr>
          <w:spacing w:val="-13"/>
        </w:rPr>
        <w:t> </w:t>
      </w:r>
      <w:r>
        <w:rPr/>
        <w:t>When</w:t>
      </w:r>
      <w:r>
        <w:rPr>
          <w:spacing w:val="-12"/>
        </w:rPr>
        <w:t> </w:t>
      </w:r>
      <w:r>
        <w:rPr/>
        <w:t>she</w:t>
      </w:r>
      <w:r>
        <w:rPr>
          <w:spacing w:val="-13"/>
        </w:rPr>
        <w:t> </w:t>
      </w:r>
      <w:r>
        <w:rPr/>
        <w:t>hands</w:t>
      </w:r>
      <w:r>
        <w:rPr>
          <w:spacing w:val="-12"/>
        </w:rPr>
        <w:t> </w:t>
      </w:r>
      <w:r>
        <w:rPr/>
        <w:t>out</w:t>
      </w:r>
      <w:r>
        <w:rPr>
          <w:spacing w:val="-12"/>
        </w:rPr>
        <w:t> </w:t>
      </w:r>
      <w:r>
        <w:rPr/>
        <w:t>rosemary</w:t>
      </w:r>
      <w:r>
        <w:rPr>
          <w:spacing w:val="-13"/>
        </w:rPr>
        <w:t> </w:t>
      </w:r>
      <w:r>
        <w:rPr/>
        <w:t>“for</w:t>
      </w:r>
      <w:r>
        <w:rPr>
          <w:spacing w:val="-9"/>
        </w:rPr>
        <w:t> </w:t>
      </w:r>
      <w:r>
        <w:rPr/>
        <w:t>remembrance” and pansies “for thoughts” (IV.v), she is not merely distributing plants but encoding messages of grief, betrayal, and memory. Her madness transforms flowers into a language of resistance, allowing her to speak truths</w:t>
      </w:r>
      <w:r>
        <w:rPr>
          <w:spacing w:val="22"/>
        </w:rPr>
        <w:t> </w:t>
      </w:r>
      <w:r>
        <w:rPr/>
        <w:t>otherwise</w:t>
      </w:r>
      <w:r>
        <w:rPr>
          <w:spacing w:val="24"/>
        </w:rPr>
        <w:t> </w:t>
      </w:r>
      <w:r>
        <w:rPr/>
        <w:t>forbidden</w:t>
      </w:r>
      <w:r>
        <w:rPr>
          <w:spacing w:val="22"/>
        </w:rPr>
        <w:t> </w:t>
      </w:r>
      <w:r>
        <w:rPr/>
        <w:t>in</w:t>
      </w:r>
      <w:r>
        <w:rPr>
          <w:spacing w:val="22"/>
        </w:rPr>
        <w:t> </w:t>
      </w:r>
      <w:r>
        <w:rPr/>
        <w:t>the</w:t>
      </w:r>
      <w:r>
        <w:rPr>
          <w:spacing w:val="24"/>
        </w:rPr>
        <w:t> </w:t>
      </w:r>
      <w:r>
        <w:rPr/>
        <w:t>Danish</w:t>
      </w:r>
      <w:r>
        <w:rPr>
          <w:spacing w:val="24"/>
        </w:rPr>
        <w:t> </w:t>
      </w:r>
      <w:r>
        <w:rPr/>
        <w:t>court.</w:t>
      </w:r>
      <w:r>
        <w:rPr>
          <w:spacing w:val="24"/>
        </w:rPr>
        <w:t> </w:t>
      </w:r>
      <w:r>
        <w:rPr/>
        <w:t>The</w:t>
      </w:r>
      <w:r>
        <w:rPr>
          <w:spacing w:val="25"/>
        </w:rPr>
        <w:t> </w:t>
      </w:r>
      <w:r>
        <w:rPr/>
        <w:t>act</w:t>
      </w:r>
      <w:r>
        <w:rPr>
          <w:spacing w:val="24"/>
        </w:rPr>
        <w:t> </w:t>
      </w:r>
      <w:r>
        <w:rPr/>
        <w:t>of</w:t>
      </w:r>
      <w:r>
        <w:rPr>
          <w:spacing w:val="22"/>
        </w:rPr>
        <w:t> </w:t>
      </w:r>
      <w:r>
        <w:rPr/>
        <w:t>giving</w:t>
      </w:r>
      <w:r>
        <w:rPr>
          <w:spacing w:val="22"/>
        </w:rPr>
        <w:t> </w:t>
      </w:r>
      <w:r>
        <w:rPr/>
        <w:t>rue to the Queen, symbolizing repentance, is a</w:t>
      </w:r>
      <w:r>
        <w:rPr>
          <w:spacing w:val="23"/>
        </w:rPr>
        <w:t> </w:t>
      </w:r>
      <w:r>
        <w:rPr/>
        <w:t>subtle accusation of guilt.</w:t>
      </w:r>
      <w:r>
        <w:rPr>
          <w:spacing w:val="80"/>
        </w:rPr>
        <w:t> </w:t>
      </w:r>
      <w:r>
        <w:rPr/>
        <w:t>In this way, Shakespeare uses botanical symbolism to dramatize how madness</w:t>
      </w:r>
      <w:r>
        <w:rPr>
          <w:spacing w:val="11"/>
        </w:rPr>
        <w:t> </w:t>
      </w:r>
      <w:r>
        <w:rPr/>
        <w:t>becomes</w:t>
      </w:r>
      <w:r>
        <w:rPr>
          <w:spacing w:val="15"/>
        </w:rPr>
        <w:t> </w:t>
      </w:r>
      <w:r>
        <w:rPr/>
        <w:t>a</w:t>
      </w:r>
      <w:r>
        <w:rPr>
          <w:spacing w:val="15"/>
        </w:rPr>
        <w:t> </w:t>
      </w:r>
      <w:r>
        <w:rPr/>
        <w:t>medium</w:t>
      </w:r>
      <w:r>
        <w:rPr>
          <w:spacing w:val="11"/>
        </w:rPr>
        <w:t> </w:t>
      </w:r>
      <w:r>
        <w:rPr/>
        <w:t>of</w:t>
      </w:r>
      <w:r>
        <w:rPr>
          <w:spacing w:val="15"/>
        </w:rPr>
        <w:t> </w:t>
      </w:r>
      <w:r>
        <w:rPr/>
        <w:t>communication</w:t>
      </w:r>
      <w:r>
        <w:rPr>
          <w:spacing w:val="12"/>
        </w:rPr>
        <w:t> </w:t>
      </w:r>
      <w:r>
        <w:rPr/>
        <w:t>for</w:t>
      </w:r>
      <w:r>
        <w:rPr>
          <w:spacing w:val="16"/>
        </w:rPr>
        <w:t> </w:t>
      </w:r>
      <w:r>
        <w:rPr/>
        <w:t>suppressed</w:t>
      </w:r>
      <w:r>
        <w:rPr>
          <w:spacing w:val="15"/>
        </w:rPr>
        <w:t> </w:t>
      </w:r>
      <w:r>
        <w:rPr>
          <w:spacing w:val="-2"/>
        </w:rPr>
        <w:t>voices.</w:t>
      </w:r>
    </w:p>
    <w:p>
      <w:pPr>
        <w:pStyle w:val="BodyText"/>
        <w:spacing w:line="249" w:lineRule="auto" w:before="65"/>
        <w:ind w:right="1437" w:firstLine="432"/>
        <w:jc w:val="both"/>
      </w:pPr>
      <w:r>
        <w:rPr/>
        <w:t>Lady Macbeth’s bloodstained hands in </w:t>
      </w:r>
      <w:r>
        <w:rPr>
          <w:i/>
        </w:rPr>
        <w:t>Macbeth </w:t>
      </w:r>
      <w:r>
        <w:rPr/>
        <w:t>function as another</w:t>
      </w:r>
      <w:r>
        <w:rPr>
          <w:spacing w:val="-6"/>
        </w:rPr>
        <w:t> </w:t>
      </w:r>
      <w:r>
        <w:rPr/>
        <w:t>powerful</w:t>
      </w:r>
      <w:r>
        <w:rPr>
          <w:spacing w:val="-6"/>
        </w:rPr>
        <w:t> </w:t>
      </w:r>
      <w:r>
        <w:rPr/>
        <w:t>symbol.</w:t>
      </w:r>
      <w:r>
        <w:rPr>
          <w:spacing w:val="-2"/>
        </w:rPr>
        <w:t> </w:t>
      </w:r>
      <w:r>
        <w:rPr/>
        <w:t>Her</w:t>
      </w:r>
      <w:r>
        <w:rPr>
          <w:spacing w:val="-4"/>
        </w:rPr>
        <w:t> </w:t>
      </w:r>
      <w:r>
        <w:rPr/>
        <w:t>compulsive</w:t>
      </w:r>
      <w:r>
        <w:rPr>
          <w:spacing w:val="-5"/>
        </w:rPr>
        <w:t> </w:t>
      </w:r>
      <w:r>
        <w:rPr/>
        <w:t>cry,</w:t>
      </w:r>
      <w:r>
        <w:rPr>
          <w:spacing w:val="-6"/>
        </w:rPr>
        <w:t> </w:t>
      </w:r>
      <w:r>
        <w:rPr/>
        <w:t>“Out,</w:t>
      </w:r>
      <w:r>
        <w:rPr>
          <w:spacing w:val="-2"/>
        </w:rPr>
        <w:t> </w:t>
      </w:r>
      <w:r>
        <w:rPr/>
        <w:t>damned</w:t>
      </w:r>
      <w:r>
        <w:rPr>
          <w:spacing w:val="-4"/>
        </w:rPr>
        <w:t> </w:t>
      </w:r>
      <w:r>
        <w:rPr/>
        <w:t>spot!</w:t>
      </w:r>
      <w:r>
        <w:rPr>
          <w:spacing w:val="-7"/>
        </w:rPr>
        <w:t> </w:t>
      </w:r>
      <w:r>
        <w:rPr/>
        <w:t>Out, I</w:t>
      </w:r>
      <w:r>
        <w:rPr>
          <w:spacing w:val="-9"/>
        </w:rPr>
        <w:t> </w:t>
      </w:r>
      <w:r>
        <w:rPr/>
        <w:t>say!”</w:t>
      </w:r>
      <w:r>
        <w:rPr>
          <w:spacing w:val="-10"/>
        </w:rPr>
        <w:t> </w:t>
      </w:r>
      <w:r>
        <w:rPr/>
        <w:t>(V.i),</w:t>
      </w:r>
      <w:r>
        <w:rPr>
          <w:spacing w:val="-7"/>
        </w:rPr>
        <w:t> </w:t>
      </w:r>
      <w:r>
        <w:rPr/>
        <w:t>dramatizes</w:t>
      </w:r>
      <w:r>
        <w:rPr>
          <w:spacing w:val="-12"/>
        </w:rPr>
        <w:t> </w:t>
      </w:r>
      <w:r>
        <w:rPr/>
        <w:t>the</w:t>
      </w:r>
      <w:r>
        <w:rPr>
          <w:spacing w:val="-10"/>
        </w:rPr>
        <w:t> </w:t>
      </w:r>
      <w:r>
        <w:rPr/>
        <w:t>persistence</w:t>
      </w:r>
      <w:r>
        <w:rPr>
          <w:spacing w:val="-10"/>
        </w:rPr>
        <w:t> </w:t>
      </w:r>
      <w:r>
        <w:rPr/>
        <w:t>of</w:t>
      </w:r>
      <w:r>
        <w:rPr>
          <w:spacing w:val="-8"/>
        </w:rPr>
        <w:t> </w:t>
      </w:r>
      <w:r>
        <w:rPr/>
        <w:t>guilt</w:t>
      </w:r>
      <w:r>
        <w:rPr>
          <w:spacing w:val="-11"/>
        </w:rPr>
        <w:t> </w:t>
      </w:r>
      <w:r>
        <w:rPr/>
        <w:t>and</w:t>
      </w:r>
      <w:r>
        <w:rPr>
          <w:spacing w:val="-8"/>
        </w:rPr>
        <w:t> </w:t>
      </w:r>
      <w:r>
        <w:rPr/>
        <w:t>the</w:t>
      </w:r>
      <w:r>
        <w:rPr>
          <w:spacing w:val="-10"/>
        </w:rPr>
        <w:t> </w:t>
      </w:r>
      <w:r>
        <w:rPr/>
        <w:t>futility</w:t>
      </w:r>
      <w:r>
        <w:rPr>
          <w:spacing w:val="-11"/>
        </w:rPr>
        <w:t> </w:t>
      </w:r>
      <w:r>
        <w:rPr/>
        <w:t>of</w:t>
      </w:r>
      <w:r>
        <w:rPr>
          <w:spacing w:val="-11"/>
        </w:rPr>
        <w:t> </w:t>
      </w:r>
      <w:r>
        <w:rPr>
          <w:spacing w:val="-2"/>
        </w:rPr>
        <w:t>denial.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51520">
                <wp:simplePos x="0" y="0"/>
                <wp:positionH relativeFrom="page">
                  <wp:posOffset>2057400</wp:posOffset>
                </wp:positionH>
                <wp:positionV relativeFrom="paragraph">
                  <wp:posOffset>162604</wp:posOffset>
                </wp:positionV>
                <wp:extent cx="3657600" cy="12700"/>
                <wp:effectExtent l="0" t="0" r="0" b="0"/>
                <wp:wrapTopAndBottom/>
                <wp:docPr id="713" name="Graphic 713"/>
                <wp:cNvGraphicFramePr>
                  <a:graphicFrameLocks/>
                </wp:cNvGraphicFramePr>
                <a:graphic>
                  <a:graphicData uri="http://schemas.microsoft.com/office/word/2010/wordprocessingShape">
                    <wps:wsp>
                      <wps:cNvPr id="713" name="Graphic 71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64960;mso-wrap-distance-left:0;mso-wrap-distance-right:0" id="docshape705" filled="true" fillcolor="#000000" stroked="false">
                <v:fill type="solid"/>
                <w10:wrap type="topAndBottom"/>
              </v:rect>
            </w:pict>
          </mc:Fallback>
        </mc:AlternateContent>
      </w:r>
      <w:r>
        <w:rPr>
          <w:rFonts w:ascii="Verdana"/>
          <w:spacing w:val="-5"/>
          <w:sz w:val="18"/>
        </w:rPr>
        <w:t>356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spacing w:val="-2"/>
        </w:rPr>
        <w:t>The</w:t>
      </w:r>
      <w:r>
        <w:rPr>
          <w:spacing w:val="-11"/>
        </w:rPr>
        <w:t> </w:t>
      </w:r>
      <w:r>
        <w:rPr>
          <w:spacing w:val="-2"/>
        </w:rPr>
        <w:t>imagined</w:t>
      </w:r>
      <w:r>
        <w:rPr>
          <w:spacing w:val="-10"/>
        </w:rPr>
        <w:t> </w:t>
      </w:r>
      <w:r>
        <w:rPr>
          <w:spacing w:val="-2"/>
        </w:rPr>
        <w:t>bloodstains</w:t>
      </w:r>
      <w:r>
        <w:rPr>
          <w:spacing w:val="-11"/>
        </w:rPr>
        <w:t> </w:t>
      </w:r>
      <w:r>
        <w:rPr>
          <w:spacing w:val="-2"/>
        </w:rPr>
        <w:t>symbolize</w:t>
      </w:r>
      <w:r>
        <w:rPr>
          <w:spacing w:val="-8"/>
        </w:rPr>
        <w:t> </w:t>
      </w:r>
      <w:r>
        <w:rPr>
          <w:spacing w:val="-2"/>
        </w:rPr>
        <w:t>psychological</w:t>
      </w:r>
      <w:r>
        <w:rPr>
          <w:spacing w:val="-8"/>
        </w:rPr>
        <w:t> </w:t>
      </w:r>
      <w:r>
        <w:rPr>
          <w:spacing w:val="-2"/>
        </w:rPr>
        <w:t>torment,</w:t>
      </w:r>
      <w:r>
        <w:rPr>
          <w:spacing w:val="-10"/>
        </w:rPr>
        <w:t> </w:t>
      </w:r>
      <w:r>
        <w:rPr>
          <w:spacing w:val="-2"/>
        </w:rPr>
        <w:t>transforming physical</w:t>
      </w:r>
      <w:r>
        <w:rPr>
          <w:spacing w:val="-11"/>
        </w:rPr>
        <w:t> </w:t>
      </w:r>
      <w:r>
        <w:rPr>
          <w:spacing w:val="-2"/>
        </w:rPr>
        <w:t>cleanliness</w:t>
      </w:r>
      <w:r>
        <w:rPr>
          <w:spacing w:val="-10"/>
        </w:rPr>
        <w:t> </w:t>
      </w:r>
      <w:r>
        <w:rPr>
          <w:spacing w:val="-2"/>
        </w:rPr>
        <w:t>into</w:t>
      </w:r>
      <w:r>
        <w:rPr>
          <w:spacing w:val="-11"/>
        </w:rPr>
        <w:t> </w:t>
      </w:r>
      <w:r>
        <w:rPr>
          <w:spacing w:val="-2"/>
        </w:rPr>
        <w:t>a</w:t>
      </w:r>
      <w:r>
        <w:rPr>
          <w:spacing w:val="-10"/>
        </w:rPr>
        <w:t> </w:t>
      </w:r>
      <w:r>
        <w:rPr>
          <w:spacing w:val="-2"/>
        </w:rPr>
        <w:t>metaphor</w:t>
      </w:r>
      <w:r>
        <w:rPr>
          <w:spacing w:val="-11"/>
        </w:rPr>
        <w:t> </w:t>
      </w:r>
      <w:r>
        <w:rPr>
          <w:spacing w:val="-2"/>
        </w:rPr>
        <w:t>for</w:t>
      </w:r>
      <w:r>
        <w:rPr>
          <w:spacing w:val="-10"/>
        </w:rPr>
        <w:t> </w:t>
      </w:r>
      <w:r>
        <w:rPr>
          <w:spacing w:val="-2"/>
        </w:rPr>
        <w:t>moral</w:t>
      </w:r>
      <w:r>
        <w:rPr>
          <w:spacing w:val="-11"/>
        </w:rPr>
        <w:t> </w:t>
      </w:r>
      <w:r>
        <w:rPr>
          <w:spacing w:val="-2"/>
        </w:rPr>
        <w:t>corruption.</w:t>
      </w:r>
      <w:r>
        <w:rPr>
          <w:spacing w:val="-10"/>
        </w:rPr>
        <w:t> </w:t>
      </w:r>
      <w:r>
        <w:rPr>
          <w:spacing w:val="-2"/>
        </w:rPr>
        <w:t>Her</w:t>
      </w:r>
      <w:r>
        <w:rPr>
          <w:spacing w:val="-11"/>
        </w:rPr>
        <w:t> </w:t>
      </w:r>
      <w:r>
        <w:rPr>
          <w:spacing w:val="-2"/>
        </w:rPr>
        <w:t>fragmented </w:t>
      </w:r>
      <w:r>
        <w:rPr/>
        <w:t>speech</w:t>
      </w:r>
      <w:r>
        <w:rPr>
          <w:spacing w:val="-4"/>
        </w:rPr>
        <w:t> </w:t>
      </w:r>
      <w:r>
        <w:rPr/>
        <w:t>in</w:t>
      </w:r>
      <w:r>
        <w:rPr>
          <w:spacing w:val="-3"/>
        </w:rPr>
        <w:t> </w:t>
      </w:r>
      <w:r>
        <w:rPr/>
        <w:t>the</w:t>
      </w:r>
      <w:r>
        <w:rPr>
          <w:spacing w:val="-3"/>
        </w:rPr>
        <w:t> </w:t>
      </w:r>
      <w:r>
        <w:rPr/>
        <w:t>sleepwalking</w:t>
      </w:r>
      <w:r>
        <w:rPr>
          <w:spacing w:val="-6"/>
        </w:rPr>
        <w:t> </w:t>
      </w:r>
      <w:r>
        <w:rPr/>
        <w:t>scene—broken,</w:t>
      </w:r>
      <w:r>
        <w:rPr>
          <w:spacing w:val="-1"/>
        </w:rPr>
        <w:t> </w:t>
      </w:r>
      <w:r>
        <w:rPr/>
        <w:t>repetitive,</w:t>
      </w:r>
      <w:r>
        <w:rPr>
          <w:spacing w:val="-3"/>
        </w:rPr>
        <w:t> </w:t>
      </w:r>
      <w:r>
        <w:rPr/>
        <w:t>and</w:t>
      </w:r>
      <w:r>
        <w:rPr>
          <w:spacing w:val="-1"/>
        </w:rPr>
        <w:t> </w:t>
      </w:r>
      <w:r>
        <w:rPr/>
        <w:t>incoherent—illustrates how guilt erodes rational language, leaving only compulsive gestures and hallucinations. Shakespeare thus uses symbolism to externalize</w:t>
      </w:r>
      <w:r>
        <w:rPr>
          <w:spacing w:val="-12"/>
        </w:rPr>
        <w:t> </w:t>
      </w:r>
      <w:r>
        <w:rPr/>
        <w:t>inner</w:t>
      </w:r>
      <w:r>
        <w:rPr>
          <w:spacing w:val="-8"/>
        </w:rPr>
        <w:t> </w:t>
      </w:r>
      <w:r>
        <w:rPr/>
        <w:t>states,</w:t>
      </w:r>
      <w:r>
        <w:rPr>
          <w:spacing w:val="-10"/>
        </w:rPr>
        <w:t> </w:t>
      </w:r>
      <w:r>
        <w:rPr/>
        <w:t>making</w:t>
      </w:r>
      <w:r>
        <w:rPr>
          <w:spacing w:val="-13"/>
        </w:rPr>
        <w:t> </w:t>
      </w:r>
      <w:r>
        <w:rPr/>
        <w:t>psychological</w:t>
      </w:r>
      <w:r>
        <w:rPr>
          <w:spacing w:val="-10"/>
        </w:rPr>
        <w:t> </w:t>
      </w:r>
      <w:r>
        <w:rPr/>
        <w:t>suffering</w:t>
      </w:r>
      <w:r>
        <w:rPr>
          <w:spacing w:val="-11"/>
        </w:rPr>
        <w:t> </w:t>
      </w:r>
      <w:r>
        <w:rPr/>
        <w:t>visible</w:t>
      </w:r>
      <w:r>
        <w:rPr>
          <w:spacing w:val="-9"/>
        </w:rPr>
        <w:t> </w:t>
      </w:r>
      <w:r>
        <w:rPr/>
        <w:t>on</w:t>
      </w:r>
      <w:r>
        <w:rPr>
          <w:spacing w:val="-12"/>
        </w:rPr>
        <w:t> </w:t>
      </w:r>
      <w:r>
        <w:rPr>
          <w:spacing w:val="-2"/>
        </w:rPr>
        <w:t>stage.</w:t>
      </w:r>
    </w:p>
    <w:p>
      <w:pPr>
        <w:pStyle w:val="BodyText"/>
        <w:spacing w:line="249" w:lineRule="auto" w:before="63"/>
        <w:ind w:right="1438" w:firstLine="432"/>
        <w:jc w:val="both"/>
      </w:pPr>
      <w:r>
        <w:rPr/>
        <w:t>Desdemona’s wedding sheets in </w:t>
      </w:r>
      <w:r>
        <w:rPr>
          <w:i/>
        </w:rPr>
        <w:t>Othello </w:t>
      </w:r>
      <w:r>
        <w:rPr/>
        <w:t>carry symbolic weight as well.</w:t>
      </w:r>
      <w:r>
        <w:rPr>
          <w:spacing w:val="-10"/>
        </w:rPr>
        <w:t> </w:t>
      </w:r>
      <w:r>
        <w:rPr/>
        <w:t>When</w:t>
      </w:r>
      <w:r>
        <w:rPr>
          <w:spacing w:val="-12"/>
        </w:rPr>
        <w:t> </w:t>
      </w:r>
      <w:r>
        <w:rPr/>
        <w:t>she</w:t>
      </w:r>
      <w:r>
        <w:rPr>
          <w:spacing w:val="-8"/>
        </w:rPr>
        <w:t> </w:t>
      </w:r>
      <w:r>
        <w:rPr/>
        <w:t>asks</w:t>
      </w:r>
      <w:r>
        <w:rPr>
          <w:spacing w:val="-10"/>
        </w:rPr>
        <w:t> </w:t>
      </w:r>
      <w:r>
        <w:rPr/>
        <w:t>Emilia</w:t>
      </w:r>
      <w:r>
        <w:rPr>
          <w:spacing w:val="-9"/>
        </w:rPr>
        <w:t> </w:t>
      </w:r>
      <w:r>
        <w:rPr/>
        <w:t>to</w:t>
      </w:r>
      <w:r>
        <w:rPr>
          <w:spacing w:val="-10"/>
        </w:rPr>
        <w:t> </w:t>
      </w:r>
      <w:r>
        <w:rPr/>
        <w:t>lay</w:t>
      </w:r>
      <w:r>
        <w:rPr>
          <w:spacing w:val="-10"/>
        </w:rPr>
        <w:t> </w:t>
      </w:r>
      <w:r>
        <w:rPr/>
        <w:t>her</w:t>
      </w:r>
      <w:r>
        <w:rPr>
          <w:spacing w:val="-9"/>
        </w:rPr>
        <w:t> </w:t>
      </w:r>
      <w:r>
        <w:rPr/>
        <w:t>wedding</w:t>
      </w:r>
      <w:r>
        <w:rPr>
          <w:spacing w:val="-12"/>
        </w:rPr>
        <w:t> </w:t>
      </w:r>
      <w:r>
        <w:rPr/>
        <w:t>sheets</w:t>
      </w:r>
      <w:r>
        <w:rPr>
          <w:spacing w:val="-10"/>
        </w:rPr>
        <w:t> </w:t>
      </w:r>
      <w:r>
        <w:rPr/>
        <w:t>on</w:t>
      </w:r>
      <w:r>
        <w:rPr>
          <w:spacing w:val="-9"/>
        </w:rPr>
        <w:t> </w:t>
      </w:r>
      <w:r>
        <w:rPr/>
        <w:t>the</w:t>
      </w:r>
      <w:r>
        <w:rPr>
          <w:spacing w:val="-9"/>
        </w:rPr>
        <w:t> </w:t>
      </w:r>
      <w:r>
        <w:rPr/>
        <w:t>bed</w:t>
      </w:r>
      <w:r>
        <w:rPr>
          <w:spacing w:val="-9"/>
        </w:rPr>
        <w:t> </w:t>
      </w:r>
      <w:r>
        <w:rPr/>
        <w:t>(IV.iii), she anticipates her death, linking marital union with mortality. The sheets become a symbol of innocence, loyalty, and vulnerability, dramatizing</w:t>
      </w:r>
      <w:r>
        <w:rPr>
          <w:spacing w:val="-13"/>
        </w:rPr>
        <w:t> </w:t>
      </w:r>
      <w:r>
        <w:rPr/>
        <w:t>the</w:t>
      </w:r>
      <w:r>
        <w:rPr>
          <w:spacing w:val="-12"/>
        </w:rPr>
        <w:t> </w:t>
      </w:r>
      <w:r>
        <w:rPr/>
        <w:t>psychological</w:t>
      </w:r>
      <w:r>
        <w:rPr>
          <w:spacing w:val="-12"/>
        </w:rPr>
        <w:t> </w:t>
      </w:r>
      <w:r>
        <w:rPr/>
        <w:t>trauma</w:t>
      </w:r>
      <w:r>
        <w:rPr>
          <w:spacing w:val="-12"/>
        </w:rPr>
        <w:t> </w:t>
      </w:r>
      <w:r>
        <w:rPr/>
        <w:t>of</w:t>
      </w:r>
      <w:r>
        <w:rPr>
          <w:spacing w:val="-13"/>
        </w:rPr>
        <w:t> </w:t>
      </w:r>
      <w:r>
        <w:rPr/>
        <w:t>mistrust</w:t>
      </w:r>
      <w:r>
        <w:rPr>
          <w:spacing w:val="-12"/>
        </w:rPr>
        <w:t> </w:t>
      </w:r>
      <w:r>
        <w:rPr/>
        <w:t>and</w:t>
      </w:r>
      <w:r>
        <w:rPr>
          <w:spacing w:val="-11"/>
        </w:rPr>
        <w:t> </w:t>
      </w:r>
      <w:r>
        <w:rPr/>
        <w:t>domestic</w:t>
      </w:r>
      <w:r>
        <w:rPr>
          <w:spacing w:val="-12"/>
        </w:rPr>
        <w:t> </w:t>
      </w:r>
      <w:r>
        <w:rPr/>
        <w:t>violence. Her</w:t>
      </w:r>
      <w:r>
        <w:rPr>
          <w:spacing w:val="-13"/>
        </w:rPr>
        <w:t> </w:t>
      </w:r>
      <w:r>
        <w:rPr/>
        <w:t>silence</w:t>
      </w:r>
      <w:r>
        <w:rPr>
          <w:spacing w:val="-12"/>
        </w:rPr>
        <w:t> </w:t>
      </w:r>
      <w:r>
        <w:rPr/>
        <w:t>in</w:t>
      </w:r>
      <w:r>
        <w:rPr>
          <w:spacing w:val="-13"/>
        </w:rPr>
        <w:t> </w:t>
      </w:r>
      <w:r>
        <w:rPr/>
        <w:t>her</w:t>
      </w:r>
      <w:r>
        <w:rPr>
          <w:spacing w:val="-12"/>
        </w:rPr>
        <w:t> </w:t>
      </w:r>
      <w:r>
        <w:rPr/>
        <w:t>final</w:t>
      </w:r>
      <w:r>
        <w:rPr>
          <w:spacing w:val="-13"/>
        </w:rPr>
        <w:t> </w:t>
      </w:r>
      <w:r>
        <w:rPr/>
        <w:t>moments—refusing</w:t>
      </w:r>
      <w:r>
        <w:rPr>
          <w:spacing w:val="-12"/>
        </w:rPr>
        <w:t> </w:t>
      </w:r>
      <w:r>
        <w:rPr/>
        <w:t>to</w:t>
      </w:r>
      <w:r>
        <w:rPr>
          <w:spacing w:val="-13"/>
        </w:rPr>
        <w:t> </w:t>
      </w:r>
      <w:r>
        <w:rPr/>
        <w:t>accuse</w:t>
      </w:r>
      <w:r>
        <w:rPr>
          <w:spacing w:val="-12"/>
        </w:rPr>
        <w:t> </w:t>
      </w:r>
      <w:r>
        <w:rPr/>
        <w:t>Othello</w:t>
      </w:r>
      <w:r>
        <w:rPr>
          <w:spacing w:val="-13"/>
        </w:rPr>
        <w:t> </w:t>
      </w:r>
      <w:r>
        <w:rPr/>
        <w:t>and</w:t>
      </w:r>
      <w:r>
        <w:rPr>
          <w:spacing w:val="-12"/>
        </w:rPr>
        <w:t> </w:t>
      </w:r>
      <w:r>
        <w:rPr/>
        <w:t>instead declaring, “A guiltless death I die” (V.ii)—illustrates how suppressed voice</w:t>
      </w:r>
      <w:r>
        <w:rPr>
          <w:spacing w:val="-13"/>
        </w:rPr>
        <w:t> </w:t>
      </w:r>
      <w:r>
        <w:rPr/>
        <w:t>becomes</w:t>
      </w:r>
      <w:r>
        <w:rPr>
          <w:spacing w:val="-12"/>
        </w:rPr>
        <w:t> </w:t>
      </w:r>
      <w:r>
        <w:rPr/>
        <w:t>both</w:t>
      </w:r>
      <w:r>
        <w:rPr>
          <w:spacing w:val="-13"/>
        </w:rPr>
        <w:t> </w:t>
      </w:r>
      <w:r>
        <w:rPr/>
        <w:t>integrity</w:t>
      </w:r>
      <w:r>
        <w:rPr>
          <w:spacing w:val="-12"/>
        </w:rPr>
        <w:t> </w:t>
      </w:r>
      <w:r>
        <w:rPr/>
        <w:t>and</w:t>
      </w:r>
      <w:r>
        <w:rPr>
          <w:spacing w:val="-13"/>
        </w:rPr>
        <w:t> </w:t>
      </w:r>
      <w:r>
        <w:rPr/>
        <w:t>vulnerability.</w:t>
      </w:r>
      <w:r>
        <w:rPr>
          <w:spacing w:val="-12"/>
        </w:rPr>
        <w:t> </w:t>
      </w:r>
      <w:r>
        <w:rPr/>
        <w:t>Shakespeare</w:t>
      </w:r>
      <w:r>
        <w:rPr>
          <w:spacing w:val="-13"/>
        </w:rPr>
        <w:t> </w:t>
      </w:r>
      <w:r>
        <w:rPr/>
        <w:t>uses</w:t>
      </w:r>
      <w:r>
        <w:rPr>
          <w:spacing w:val="-12"/>
        </w:rPr>
        <w:t> </w:t>
      </w:r>
      <w:r>
        <w:rPr/>
        <w:t>silence </w:t>
      </w:r>
      <w:r>
        <w:rPr>
          <w:spacing w:val="-2"/>
        </w:rPr>
        <w:t>as</w:t>
      </w:r>
      <w:r>
        <w:rPr>
          <w:spacing w:val="-6"/>
        </w:rPr>
        <w:t> </w:t>
      </w:r>
      <w:r>
        <w:rPr>
          <w:spacing w:val="-2"/>
        </w:rPr>
        <w:t>a</w:t>
      </w:r>
      <w:r>
        <w:rPr>
          <w:spacing w:val="-6"/>
        </w:rPr>
        <w:t> </w:t>
      </w:r>
      <w:r>
        <w:rPr>
          <w:spacing w:val="-2"/>
        </w:rPr>
        <w:t>symbolic</w:t>
      </w:r>
      <w:r>
        <w:rPr>
          <w:spacing w:val="-4"/>
        </w:rPr>
        <w:t> </w:t>
      </w:r>
      <w:r>
        <w:rPr>
          <w:spacing w:val="-2"/>
        </w:rPr>
        <w:t>language,</w:t>
      </w:r>
      <w:r>
        <w:rPr>
          <w:spacing w:val="-4"/>
        </w:rPr>
        <w:t> </w:t>
      </w:r>
      <w:r>
        <w:rPr>
          <w:spacing w:val="-2"/>
        </w:rPr>
        <w:t>dramatizing</w:t>
      </w:r>
      <w:r>
        <w:rPr>
          <w:spacing w:val="-6"/>
        </w:rPr>
        <w:t> </w:t>
      </w:r>
      <w:r>
        <w:rPr>
          <w:spacing w:val="-2"/>
        </w:rPr>
        <w:t>the</w:t>
      </w:r>
      <w:r>
        <w:rPr>
          <w:spacing w:val="-6"/>
        </w:rPr>
        <w:t> </w:t>
      </w:r>
      <w:r>
        <w:rPr>
          <w:spacing w:val="-2"/>
        </w:rPr>
        <w:t>psychological</w:t>
      </w:r>
      <w:r>
        <w:rPr>
          <w:spacing w:val="-6"/>
        </w:rPr>
        <w:t> </w:t>
      </w:r>
      <w:r>
        <w:rPr>
          <w:spacing w:val="-2"/>
        </w:rPr>
        <w:t>costs</w:t>
      </w:r>
      <w:r>
        <w:rPr>
          <w:spacing w:val="-6"/>
        </w:rPr>
        <w:t> </w:t>
      </w:r>
      <w:r>
        <w:rPr>
          <w:spacing w:val="-2"/>
        </w:rPr>
        <w:t>of</w:t>
      </w:r>
      <w:r>
        <w:rPr>
          <w:spacing w:val="-9"/>
        </w:rPr>
        <w:t> </w:t>
      </w:r>
      <w:r>
        <w:rPr>
          <w:spacing w:val="-2"/>
        </w:rPr>
        <w:t>obedience </w:t>
      </w:r>
      <w:r>
        <w:rPr/>
        <w:t>and</w:t>
      </w:r>
      <w:r>
        <w:rPr>
          <w:spacing w:val="40"/>
        </w:rPr>
        <w:t> </w:t>
      </w:r>
      <w:r>
        <w:rPr/>
        <w:t>submission.</w:t>
      </w:r>
    </w:p>
    <w:p>
      <w:pPr>
        <w:pStyle w:val="BodyText"/>
        <w:spacing w:line="249" w:lineRule="auto" w:before="66"/>
        <w:ind w:right="1438" w:firstLine="432"/>
        <w:jc w:val="both"/>
      </w:pPr>
      <w:r>
        <w:rPr/>
        <w:t>Cordelia’s silence in </w:t>
      </w:r>
      <w:r>
        <w:rPr>
          <w:i/>
        </w:rPr>
        <w:t>King Lear </w:t>
      </w:r>
      <w:r>
        <w:rPr/>
        <w:t>is equally significant. Her refusal to flatter Lear—”I cannot heave / My heart into my mouth” (I.i)—is an act of integrity, but it also symbolizes the suppression of female voice in patriarchal structures. Her silence becomes a metaphor for honesty punished by authority, and her death underscores the vulnerability of women who resist patriarchal demands. Shakespeare uses silence as both resistance and vulnerability, dramatizing the psychological strain of integrity in a corrupt world.</w:t>
      </w:r>
    </w:p>
    <w:p>
      <w:pPr>
        <w:pStyle w:val="BodyText"/>
        <w:spacing w:line="249" w:lineRule="auto" w:before="66"/>
        <w:ind w:right="1438" w:firstLine="432"/>
        <w:jc w:val="both"/>
      </w:pPr>
      <w:r>
        <w:rPr/>
        <w:t>Fragmented</w:t>
      </w:r>
      <w:r>
        <w:rPr>
          <w:spacing w:val="-5"/>
        </w:rPr>
        <w:t> </w:t>
      </w:r>
      <w:r>
        <w:rPr/>
        <w:t>speech,</w:t>
      </w:r>
      <w:r>
        <w:rPr>
          <w:spacing w:val="-5"/>
        </w:rPr>
        <w:t> </w:t>
      </w:r>
      <w:r>
        <w:rPr/>
        <w:t>songs,</w:t>
      </w:r>
      <w:r>
        <w:rPr>
          <w:spacing w:val="-6"/>
        </w:rPr>
        <w:t> </w:t>
      </w:r>
      <w:r>
        <w:rPr/>
        <w:t>and</w:t>
      </w:r>
      <w:r>
        <w:rPr>
          <w:spacing w:val="-5"/>
        </w:rPr>
        <w:t> </w:t>
      </w:r>
      <w:r>
        <w:rPr/>
        <w:t>dreams</w:t>
      </w:r>
      <w:r>
        <w:rPr>
          <w:spacing w:val="-8"/>
        </w:rPr>
        <w:t> </w:t>
      </w:r>
      <w:r>
        <w:rPr/>
        <w:t>recur</w:t>
      </w:r>
      <w:r>
        <w:rPr>
          <w:spacing w:val="-5"/>
        </w:rPr>
        <w:t> </w:t>
      </w:r>
      <w:r>
        <w:rPr/>
        <w:t>across</w:t>
      </w:r>
      <w:r>
        <w:rPr>
          <w:spacing w:val="-6"/>
        </w:rPr>
        <w:t> </w:t>
      </w:r>
      <w:r>
        <w:rPr/>
        <w:t>Shakespeare’s plays as alternative languages through which women articulate trauma. Ophelia’s songs, Lady Macbeth’s broken speech, Desdemona’s anticipatory laments, and Cordelia’s silence all function as symbolic expressions of psychological states. Madness, in particular, becomes a language of resistance, allowing women to speak truths otherwise </w:t>
      </w:r>
      <w:r>
        <w:rPr>
          <w:spacing w:val="-2"/>
        </w:rPr>
        <w:t>forbidden.</w:t>
      </w:r>
      <w:r>
        <w:rPr>
          <w:spacing w:val="-11"/>
        </w:rPr>
        <w:t> </w:t>
      </w:r>
      <w:r>
        <w:rPr>
          <w:spacing w:val="-2"/>
        </w:rPr>
        <w:t>By</w:t>
      </w:r>
      <w:r>
        <w:rPr>
          <w:spacing w:val="-10"/>
        </w:rPr>
        <w:t> </w:t>
      </w:r>
      <w:r>
        <w:rPr>
          <w:spacing w:val="-2"/>
        </w:rPr>
        <w:t>transforming</w:t>
      </w:r>
      <w:r>
        <w:rPr>
          <w:spacing w:val="-11"/>
        </w:rPr>
        <w:t> </w:t>
      </w:r>
      <w:r>
        <w:rPr>
          <w:spacing w:val="-2"/>
        </w:rPr>
        <w:t>symbols</w:t>
      </w:r>
      <w:r>
        <w:rPr>
          <w:spacing w:val="-10"/>
        </w:rPr>
        <w:t> </w:t>
      </w:r>
      <w:r>
        <w:rPr>
          <w:spacing w:val="-2"/>
        </w:rPr>
        <w:t>into</w:t>
      </w:r>
      <w:r>
        <w:rPr>
          <w:spacing w:val="-11"/>
        </w:rPr>
        <w:t> </w:t>
      </w:r>
      <w:r>
        <w:rPr>
          <w:spacing w:val="-2"/>
        </w:rPr>
        <w:t>speech</w:t>
      </w:r>
      <w:r>
        <w:rPr>
          <w:spacing w:val="-10"/>
        </w:rPr>
        <w:t> </w:t>
      </w:r>
      <w:r>
        <w:rPr>
          <w:spacing w:val="-2"/>
        </w:rPr>
        <w:t>and</w:t>
      </w:r>
      <w:r>
        <w:rPr>
          <w:spacing w:val="-11"/>
        </w:rPr>
        <w:t> </w:t>
      </w:r>
      <w:r>
        <w:rPr>
          <w:spacing w:val="-2"/>
        </w:rPr>
        <w:t>silence</w:t>
      </w:r>
      <w:r>
        <w:rPr>
          <w:spacing w:val="-10"/>
        </w:rPr>
        <w:t> </w:t>
      </w:r>
      <w:r>
        <w:rPr>
          <w:spacing w:val="-2"/>
        </w:rPr>
        <w:t>into</w:t>
      </w:r>
      <w:r>
        <w:rPr>
          <w:spacing w:val="-11"/>
        </w:rPr>
        <w:t> </w:t>
      </w:r>
      <w:r>
        <w:rPr>
          <w:spacing w:val="-2"/>
        </w:rPr>
        <w:t>meaning, </w:t>
      </w:r>
      <w:r>
        <w:rPr/>
        <w:t>Shakespeare dramatizes the intersection of gender, mental health, and social structures, making his female characters enduring symbols of suffering and</w:t>
      </w:r>
      <w:r>
        <w:rPr>
          <w:spacing w:val="40"/>
        </w:rPr>
        <w:t> </w:t>
      </w:r>
      <w:r>
        <w:rPr/>
        <w:t>resilience.</w:t>
      </w:r>
    </w:p>
    <w:p>
      <w:pPr>
        <w:pStyle w:val="Heading3"/>
        <w:spacing w:before="162"/>
        <w:jc w:val="both"/>
      </w:pPr>
      <w:r>
        <w:rPr>
          <w:w w:val="90"/>
        </w:rPr>
        <w:t>MODERN</w:t>
      </w:r>
      <w:r>
        <w:rPr>
          <w:spacing w:val="6"/>
        </w:rPr>
        <w:t> </w:t>
      </w:r>
      <w:r>
        <w:rPr>
          <w:w w:val="90"/>
        </w:rPr>
        <w:t>CRITICAL</w:t>
      </w:r>
      <w:r>
        <w:rPr>
          <w:spacing w:val="8"/>
        </w:rPr>
        <w:t> </w:t>
      </w:r>
      <w:r>
        <w:rPr>
          <w:spacing w:val="-2"/>
          <w:w w:val="90"/>
        </w:rPr>
        <w:t>PERSPECTIVES</w:t>
      </w:r>
    </w:p>
    <w:p>
      <w:pPr>
        <w:pStyle w:val="BodyText"/>
        <w:spacing w:line="249" w:lineRule="auto" w:before="75"/>
        <w:ind w:right="1440" w:firstLine="432"/>
        <w:jc w:val="both"/>
      </w:pPr>
      <w:r>
        <w:rPr/>
        <w:t>Modern criticism has profoundly reshaped our understanding of </w:t>
      </w:r>
      <w:r>
        <w:rPr>
          <w:spacing w:val="-2"/>
        </w:rPr>
        <w:t>Shakespeare’s</w:t>
      </w:r>
      <w:r>
        <w:rPr>
          <w:spacing w:val="-4"/>
        </w:rPr>
        <w:t> </w:t>
      </w:r>
      <w:r>
        <w:rPr>
          <w:spacing w:val="-2"/>
        </w:rPr>
        <w:t>female characters, particularly</w:t>
      </w:r>
      <w:r>
        <w:rPr>
          <w:spacing w:val="-7"/>
        </w:rPr>
        <w:t> </w:t>
      </w:r>
      <w:r>
        <w:rPr>
          <w:spacing w:val="-2"/>
        </w:rPr>
        <w:t>in relation</w:t>
      </w:r>
      <w:r>
        <w:rPr>
          <w:spacing w:val="-4"/>
        </w:rPr>
        <w:t> </w:t>
      </w:r>
      <w:r>
        <w:rPr>
          <w:spacing w:val="-2"/>
        </w:rPr>
        <w:t>to mental</w:t>
      </w:r>
      <w:r>
        <w:rPr>
          <w:spacing w:val="-4"/>
        </w:rPr>
        <w:t> </w:t>
      </w:r>
      <w:r>
        <w:rPr>
          <w:spacing w:val="-2"/>
        </w:rPr>
        <w:t>health. </w:t>
      </w:r>
      <w:r>
        <w:rPr/>
        <w:t>Feminist</w:t>
      </w:r>
      <w:r>
        <w:rPr>
          <w:spacing w:val="-9"/>
        </w:rPr>
        <w:t> </w:t>
      </w:r>
      <w:r>
        <w:rPr/>
        <w:t>critics</w:t>
      </w:r>
      <w:r>
        <w:rPr>
          <w:spacing w:val="-10"/>
        </w:rPr>
        <w:t> </w:t>
      </w:r>
      <w:r>
        <w:rPr/>
        <w:t>have</w:t>
      </w:r>
      <w:r>
        <w:rPr>
          <w:spacing w:val="-7"/>
        </w:rPr>
        <w:t> </w:t>
      </w:r>
      <w:r>
        <w:rPr/>
        <w:t>emphasized</w:t>
      </w:r>
      <w:r>
        <w:rPr>
          <w:spacing w:val="-7"/>
        </w:rPr>
        <w:t> </w:t>
      </w:r>
      <w:r>
        <w:rPr/>
        <w:t>that</w:t>
      </w:r>
      <w:r>
        <w:rPr>
          <w:spacing w:val="-10"/>
        </w:rPr>
        <w:t> </w:t>
      </w:r>
      <w:r>
        <w:rPr/>
        <w:t>these</w:t>
      </w:r>
      <w:r>
        <w:rPr>
          <w:spacing w:val="-8"/>
        </w:rPr>
        <w:t> </w:t>
      </w:r>
      <w:r>
        <w:rPr/>
        <w:t>women</w:t>
      </w:r>
      <w:r>
        <w:rPr>
          <w:spacing w:val="-9"/>
        </w:rPr>
        <w:t> </w:t>
      </w:r>
      <w:r>
        <w:rPr/>
        <w:t>are</w:t>
      </w:r>
      <w:r>
        <w:rPr>
          <w:spacing w:val="-8"/>
        </w:rPr>
        <w:t> </w:t>
      </w:r>
      <w:r>
        <w:rPr/>
        <w:t>not</w:t>
      </w:r>
      <w:r>
        <w:rPr>
          <w:spacing w:val="-10"/>
        </w:rPr>
        <w:t> </w:t>
      </w:r>
      <w:r>
        <w:rPr/>
        <w:t>simply</w:t>
      </w:r>
      <w:r>
        <w:rPr>
          <w:spacing w:val="-10"/>
        </w:rPr>
        <w:t> </w:t>
      </w:r>
      <w:r>
        <w:rPr>
          <w:spacing w:val="-2"/>
        </w:rPr>
        <w:t>tragic</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52032">
                <wp:simplePos x="0" y="0"/>
                <wp:positionH relativeFrom="page">
                  <wp:posOffset>2065020</wp:posOffset>
                </wp:positionH>
                <wp:positionV relativeFrom="paragraph">
                  <wp:posOffset>795020</wp:posOffset>
                </wp:positionV>
                <wp:extent cx="3657600" cy="12700"/>
                <wp:effectExtent l="0" t="0" r="0" b="0"/>
                <wp:wrapTopAndBottom/>
                <wp:docPr id="714" name="Graphic 714"/>
                <wp:cNvGraphicFramePr>
                  <a:graphicFrameLocks/>
                </wp:cNvGraphicFramePr>
                <a:graphic>
                  <a:graphicData uri="http://schemas.microsoft.com/office/word/2010/wordprocessingShape">
                    <wps:wsp>
                      <wps:cNvPr id="714" name="Graphic 71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64448;mso-wrap-distance-left:0;mso-wrap-distance-right:0" id="docshape706" filled="true" fillcolor="#000000" stroked="false">
                <v:fill type="solid"/>
                <w10:wrap type="topAndBottom"/>
              </v:rect>
            </w:pict>
          </mc:Fallback>
        </mc:AlternateContent>
      </w:r>
      <w:r>
        <w:rPr>
          <w:rFonts w:ascii="Verdana" w:hAnsi="Verdana"/>
          <w:sz w:val="18"/>
        </w:rPr>
        <w:t>Women</w:t>
      </w:r>
      <w:r>
        <w:rPr>
          <w:rFonts w:ascii="Verdana" w:hAnsi="Verdana"/>
          <w:spacing w:val="11"/>
          <w:sz w:val="18"/>
        </w:rPr>
        <w:t> </w:t>
      </w:r>
      <w:r>
        <w:rPr>
          <w:rFonts w:ascii="Verdana" w:hAnsi="Verdana"/>
          <w:sz w:val="18"/>
        </w:rPr>
        <w:t>and</w:t>
      </w:r>
      <w:r>
        <w:rPr>
          <w:rFonts w:ascii="Verdana" w:hAnsi="Verdana"/>
          <w:spacing w:val="11"/>
          <w:sz w:val="18"/>
        </w:rPr>
        <w:t> </w:t>
      </w:r>
      <w:r>
        <w:rPr>
          <w:rFonts w:ascii="Verdana" w:hAnsi="Verdana"/>
          <w:sz w:val="18"/>
        </w:rPr>
        <w:t>Mental</w:t>
      </w:r>
      <w:r>
        <w:rPr>
          <w:rFonts w:ascii="Verdana" w:hAnsi="Verdana"/>
          <w:spacing w:val="12"/>
          <w:sz w:val="18"/>
        </w:rPr>
        <w:t> </w:t>
      </w:r>
      <w:r>
        <w:rPr>
          <w:rFonts w:ascii="Verdana" w:hAnsi="Verdana"/>
          <w:sz w:val="18"/>
        </w:rPr>
        <w:t>Health</w:t>
      </w:r>
      <w:r>
        <w:rPr>
          <w:rFonts w:ascii="Verdana" w:hAnsi="Verdana"/>
          <w:spacing w:val="13"/>
          <w:sz w:val="18"/>
        </w:rPr>
        <w:t> </w:t>
      </w:r>
      <w:r>
        <w:rPr>
          <w:rFonts w:ascii="Verdana" w:hAnsi="Verdana"/>
          <w:sz w:val="18"/>
        </w:rPr>
        <w:t>in</w:t>
      </w:r>
      <w:r>
        <w:rPr>
          <w:rFonts w:ascii="Verdana" w:hAnsi="Verdana"/>
          <w:spacing w:val="13"/>
          <w:sz w:val="18"/>
        </w:rPr>
        <w:t> </w:t>
      </w:r>
      <w:r>
        <w:rPr>
          <w:rFonts w:ascii="Verdana" w:hAnsi="Verdana"/>
          <w:sz w:val="18"/>
        </w:rPr>
        <w:t>Shakespeare’s</w:t>
      </w:r>
      <w:r>
        <w:rPr>
          <w:rFonts w:ascii="Verdana" w:hAnsi="Verdana"/>
          <w:spacing w:val="13"/>
          <w:sz w:val="18"/>
        </w:rPr>
        <w:t> </w:t>
      </w:r>
      <w:r>
        <w:rPr>
          <w:rFonts w:ascii="Verdana" w:hAnsi="Verdana"/>
          <w:spacing w:val="-4"/>
          <w:sz w:val="18"/>
        </w:rPr>
        <w:t>Plays</w:t>
      </w:r>
      <w:r>
        <w:rPr>
          <w:sz w:val="18"/>
        </w:rPr>
        <w:tab/>
      </w:r>
      <w:r>
        <w:rPr>
          <w:rFonts w:ascii="Verdana" w:hAnsi="Verdana"/>
          <w:spacing w:val="-5"/>
          <w:sz w:val="18"/>
        </w:rPr>
        <w:t>357</w:t>
      </w:r>
    </w:p>
    <w:p>
      <w:pPr>
        <w:pStyle w:val="BodyText"/>
        <w:spacing w:line="249" w:lineRule="auto" w:before="192"/>
        <w:ind w:right="1439"/>
        <w:jc w:val="both"/>
      </w:pPr>
      <w:r>
        <w:rPr/>
        <w:t>victims but complex figures whose psychological struggles reflect systemic</w:t>
      </w:r>
      <w:r>
        <w:rPr>
          <w:spacing w:val="-13"/>
        </w:rPr>
        <w:t> </w:t>
      </w:r>
      <w:r>
        <w:rPr/>
        <w:t>oppression.</w:t>
      </w:r>
      <w:r>
        <w:rPr>
          <w:spacing w:val="-12"/>
        </w:rPr>
        <w:t> </w:t>
      </w:r>
      <w:r>
        <w:rPr/>
        <w:t>Elaine</w:t>
      </w:r>
      <w:r>
        <w:rPr>
          <w:spacing w:val="-13"/>
        </w:rPr>
        <w:t> </w:t>
      </w:r>
      <w:r>
        <w:rPr/>
        <w:t>Showalter,</w:t>
      </w:r>
      <w:r>
        <w:rPr>
          <w:spacing w:val="-12"/>
        </w:rPr>
        <w:t> </w:t>
      </w:r>
      <w:r>
        <w:rPr/>
        <w:t>for</w:t>
      </w:r>
      <w:r>
        <w:rPr>
          <w:spacing w:val="-13"/>
        </w:rPr>
        <w:t> </w:t>
      </w:r>
      <w:r>
        <w:rPr/>
        <w:t>instance,</w:t>
      </w:r>
      <w:r>
        <w:rPr>
          <w:spacing w:val="-12"/>
        </w:rPr>
        <w:t> </w:t>
      </w:r>
      <w:r>
        <w:rPr/>
        <w:t>interprets</w:t>
      </w:r>
      <w:r>
        <w:rPr>
          <w:spacing w:val="-13"/>
        </w:rPr>
        <w:t> </w:t>
      </w:r>
      <w:r>
        <w:rPr/>
        <w:t>Ophelia’s madness as a cultural symbol of female resistance, arguing that her fragmented songs</w:t>
      </w:r>
      <w:r>
        <w:rPr>
          <w:spacing w:val="-3"/>
        </w:rPr>
        <w:t> </w:t>
      </w:r>
      <w:r>
        <w:rPr/>
        <w:t>and</w:t>
      </w:r>
      <w:r>
        <w:rPr>
          <w:spacing w:val="-3"/>
        </w:rPr>
        <w:t> </w:t>
      </w:r>
      <w:r>
        <w:rPr/>
        <w:t>symbolic</w:t>
      </w:r>
      <w:r>
        <w:rPr>
          <w:spacing w:val="-1"/>
        </w:rPr>
        <w:t> </w:t>
      </w:r>
      <w:r>
        <w:rPr/>
        <w:t>flowers</w:t>
      </w:r>
      <w:r>
        <w:rPr>
          <w:spacing w:val="-3"/>
        </w:rPr>
        <w:t> </w:t>
      </w:r>
      <w:r>
        <w:rPr/>
        <w:t>constitute</w:t>
      </w:r>
      <w:r>
        <w:rPr>
          <w:spacing w:val="-2"/>
        </w:rPr>
        <w:t> </w:t>
      </w:r>
      <w:r>
        <w:rPr/>
        <w:t>a</w:t>
      </w:r>
      <w:r>
        <w:rPr>
          <w:spacing w:val="-4"/>
        </w:rPr>
        <w:t> </w:t>
      </w:r>
      <w:r>
        <w:rPr/>
        <w:t>language</w:t>
      </w:r>
      <w:r>
        <w:rPr>
          <w:spacing w:val="-2"/>
        </w:rPr>
        <w:t> </w:t>
      </w:r>
      <w:r>
        <w:rPr/>
        <w:t>of</w:t>
      </w:r>
      <w:r>
        <w:rPr>
          <w:spacing w:val="-3"/>
        </w:rPr>
        <w:t> </w:t>
      </w:r>
      <w:r>
        <w:rPr/>
        <w:t>protest against patriarchal silencing. In this reading, madness is not merely a collapse but a form of agency, a way for women to articulate truths otherwise</w:t>
      </w:r>
      <w:r>
        <w:rPr>
          <w:spacing w:val="40"/>
        </w:rPr>
        <w:t> </w:t>
      </w:r>
      <w:r>
        <w:rPr/>
        <w:t>forbidden.</w:t>
      </w:r>
    </w:p>
    <w:p>
      <w:pPr>
        <w:pStyle w:val="BodyText"/>
        <w:spacing w:line="249" w:lineRule="auto" w:before="64"/>
        <w:ind w:right="1433" w:firstLine="432"/>
        <w:jc w:val="both"/>
      </w:pPr>
      <w:r>
        <w:rPr/>
        <w:t>Trauma theory adds another dimension, highlighting how experiences of violence, loss, and silencing manifest in fragmented narratives and symbolic gestures. Ophelia’s incoherent songs, Lady </w:t>
      </w:r>
      <w:r>
        <w:rPr>
          <w:spacing w:val="-2"/>
        </w:rPr>
        <w:t>Macbeth’s</w:t>
      </w:r>
      <w:r>
        <w:rPr>
          <w:spacing w:val="-8"/>
        </w:rPr>
        <w:t> </w:t>
      </w:r>
      <w:r>
        <w:rPr>
          <w:spacing w:val="-2"/>
        </w:rPr>
        <w:t>compulsive</w:t>
      </w:r>
      <w:r>
        <w:rPr>
          <w:spacing w:val="-4"/>
        </w:rPr>
        <w:t> </w:t>
      </w:r>
      <w:r>
        <w:rPr>
          <w:spacing w:val="-2"/>
        </w:rPr>
        <w:t>hand</w:t>
      </w:r>
      <w:r>
        <w:rPr>
          <w:spacing w:val="-8"/>
        </w:rPr>
        <w:t> </w:t>
      </w:r>
      <w:r>
        <w:rPr>
          <w:spacing w:val="-2"/>
        </w:rPr>
        <w:t>washing,</w:t>
      </w:r>
      <w:r>
        <w:rPr>
          <w:spacing w:val="-5"/>
        </w:rPr>
        <w:t> </w:t>
      </w:r>
      <w:r>
        <w:rPr>
          <w:spacing w:val="-2"/>
        </w:rPr>
        <w:t>Desdemona’s</w:t>
      </w:r>
      <w:r>
        <w:rPr>
          <w:spacing w:val="-5"/>
        </w:rPr>
        <w:t> </w:t>
      </w:r>
      <w:r>
        <w:rPr>
          <w:spacing w:val="-2"/>
        </w:rPr>
        <w:t>anticipatory</w:t>
      </w:r>
      <w:r>
        <w:rPr>
          <w:spacing w:val="-10"/>
        </w:rPr>
        <w:t> </w:t>
      </w:r>
      <w:r>
        <w:rPr>
          <w:spacing w:val="-2"/>
        </w:rPr>
        <w:t>laments, </w:t>
      </w:r>
      <w:r>
        <w:rPr/>
        <w:t>and Cordelia’s silence can all be read as symptoms of trauma. Cathy Caruth’s work on trauma emphasizes how unassimilated experiences return in repetitive or symbolic forms, a framework that illuminates Shakespeare’s use of dreams, hallucinations, and broken speech to dramatize psychological suffering.</w:t>
      </w:r>
    </w:p>
    <w:p>
      <w:pPr>
        <w:pStyle w:val="BodyText"/>
        <w:spacing w:line="249" w:lineRule="auto" w:before="65"/>
        <w:ind w:right="1438" w:firstLine="432"/>
        <w:jc w:val="both"/>
      </w:pPr>
      <w:r>
        <w:rPr/>
        <w:t>Psychoanalytic</w:t>
      </w:r>
      <w:r>
        <w:rPr>
          <w:spacing w:val="-9"/>
        </w:rPr>
        <w:t> </w:t>
      </w:r>
      <w:r>
        <w:rPr/>
        <w:t>readings</w:t>
      </w:r>
      <w:r>
        <w:rPr>
          <w:spacing w:val="-10"/>
        </w:rPr>
        <w:t> </w:t>
      </w:r>
      <w:r>
        <w:rPr/>
        <w:t>further</w:t>
      </w:r>
      <w:r>
        <w:rPr>
          <w:spacing w:val="-10"/>
        </w:rPr>
        <w:t> </w:t>
      </w:r>
      <w:r>
        <w:rPr/>
        <w:t>explore</w:t>
      </w:r>
      <w:r>
        <w:rPr>
          <w:spacing w:val="-9"/>
        </w:rPr>
        <w:t> </w:t>
      </w:r>
      <w:r>
        <w:rPr/>
        <w:t>unconscious</w:t>
      </w:r>
      <w:r>
        <w:rPr>
          <w:spacing w:val="-10"/>
        </w:rPr>
        <w:t> </w:t>
      </w:r>
      <w:r>
        <w:rPr/>
        <w:t>desires,</w:t>
      </w:r>
      <w:r>
        <w:rPr>
          <w:spacing w:val="-8"/>
        </w:rPr>
        <w:t> </w:t>
      </w:r>
      <w:r>
        <w:rPr/>
        <w:t>guilt, and repression. Lady Macbeth’s invocation to “unsex me here” has</w:t>
      </w:r>
      <w:r>
        <w:rPr>
          <w:spacing w:val="40"/>
        </w:rPr>
        <w:t> </w:t>
      </w:r>
      <w:r>
        <w:rPr/>
        <w:t>been interpreted as a rejection of maternal identity, with her later breakdown representing the return of repressed conscience. Ophelia’s drowning has been read as a symbolic union with nature, reflecting unconscious desires for escape. These psychoanalytic perspectives </w:t>
      </w:r>
      <w:r>
        <w:rPr>
          <w:spacing w:val="-2"/>
        </w:rPr>
        <w:t>underscore how</w:t>
      </w:r>
      <w:r>
        <w:rPr>
          <w:spacing w:val="-5"/>
        </w:rPr>
        <w:t> </w:t>
      </w:r>
      <w:r>
        <w:rPr>
          <w:spacing w:val="-2"/>
        </w:rPr>
        <w:t>Shakespeare dramatizes</w:t>
      </w:r>
      <w:r>
        <w:rPr>
          <w:spacing w:val="-3"/>
        </w:rPr>
        <w:t> </w:t>
      </w:r>
      <w:r>
        <w:rPr>
          <w:spacing w:val="-2"/>
        </w:rPr>
        <w:t>the interplay</w:t>
      </w:r>
      <w:r>
        <w:rPr>
          <w:spacing w:val="-5"/>
        </w:rPr>
        <w:t> </w:t>
      </w:r>
      <w:r>
        <w:rPr>
          <w:spacing w:val="-2"/>
        </w:rPr>
        <w:t>between conscious </w:t>
      </w:r>
      <w:r>
        <w:rPr/>
        <w:t>ambition</w:t>
      </w:r>
      <w:r>
        <w:rPr>
          <w:spacing w:val="40"/>
        </w:rPr>
        <w:t> </w:t>
      </w:r>
      <w:r>
        <w:rPr/>
        <w:t>and</w:t>
      </w:r>
      <w:r>
        <w:rPr>
          <w:spacing w:val="40"/>
        </w:rPr>
        <w:t> </w:t>
      </w:r>
      <w:r>
        <w:rPr/>
        <w:t>unconscious</w:t>
      </w:r>
      <w:r>
        <w:rPr>
          <w:spacing w:val="40"/>
        </w:rPr>
        <w:t> </w:t>
      </w:r>
      <w:r>
        <w:rPr/>
        <w:t>guilt,</w:t>
      </w:r>
      <w:r>
        <w:rPr>
          <w:spacing w:val="40"/>
        </w:rPr>
        <w:t> </w:t>
      </w:r>
      <w:r>
        <w:rPr/>
        <w:t>between</w:t>
      </w:r>
      <w:r>
        <w:rPr>
          <w:spacing w:val="40"/>
        </w:rPr>
        <w:t> </w:t>
      </w:r>
      <w:r>
        <w:rPr/>
        <w:t>repression</w:t>
      </w:r>
      <w:r>
        <w:rPr>
          <w:spacing w:val="40"/>
        </w:rPr>
        <w:t> </w:t>
      </w:r>
      <w:r>
        <w:rPr/>
        <w:t>and</w:t>
      </w:r>
      <w:r>
        <w:rPr>
          <w:spacing w:val="40"/>
        </w:rPr>
        <w:t> </w:t>
      </w:r>
      <w:r>
        <w:rPr/>
        <w:t>eruption.</w:t>
      </w:r>
    </w:p>
    <w:p>
      <w:pPr>
        <w:pStyle w:val="BodyText"/>
        <w:spacing w:line="249" w:lineRule="auto" w:before="66"/>
        <w:ind w:right="1439" w:firstLine="432"/>
        <w:jc w:val="both"/>
      </w:pPr>
      <w:r>
        <w:rPr/>
        <w:t>Together,</w:t>
      </w:r>
      <w:r>
        <w:rPr>
          <w:spacing w:val="-1"/>
        </w:rPr>
        <w:t> </w:t>
      </w:r>
      <w:r>
        <w:rPr/>
        <w:t>these critical</w:t>
      </w:r>
      <w:r>
        <w:rPr>
          <w:spacing w:val="-2"/>
        </w:rPr>
        <w:t> </w:t>
      </w:r>
      <w:r>
        <w:rPr/>
        <w:t>frameworks</w:t>
      </w:r>
      <w:r>
        <w:rPr>
          <w:spacing w:val="-1"/>
        </w:rPr>
        <w:t> </w:t>
      </w:r>
      <w:r>
        <w:rPr/>
        <w:t>reveal</w:t>
      </w:r>
      <w:r>
        <w:rPr>
          <w:spacing w:val="-2"/>
        </w:rPr>
        <w:t> </w:t>
      </w:r>
      <w:r>
        <w:rPr/>
        <w:t>Shakespeare’s nuanced understanding of mental health and its intersection with gender. His female</w:t>
      </w:r>
      <w:r>
        <w:rPr>
          <w:spacing w:val="-13"/>
        </w:rPr>
        <w:t> </w:t>
      </w:r>
      <w:r>
        <w:rPr/>
        <w:t>characters</w:t>
      </w:r>
      <w:r>
        <w:rPr>
          <w:spacing w:val="-12"/>
        </w:rPr>
        <w:t> </w:t>
      </w:r>
      <w:r>
        <w:rPr/>
        <w:t>embody</w:t>
      </w:r>
      <w:r>
        <w:rPr>
          <w:spacing w:val="-13"/>
        </w:rPr>
        <w:t> </w:t>
      </w:r>
      <w:r>
        <w:rPr/>
        <w:t>the</w:t>
      </w:r>
      <w:r>
        <w:rPr>
          <w:spacing w:val="-12"/>
        </w:rPr>
        <w:t> </w:t>
      </w:r>
      <w:r>
        <w:rPr/>
        <w:t>psychological</w:t>
      </w:r>
      <w:r>
        <w:rPr>
          <w:spacing w:val="-13"/>
        </w:rPr>
        <w:t> </w:t>
      </w:r>
      <w:r>
        <w:rPr/>
        <w:t>consequences</w:t>
      </w:r>
      <w:r>
        <w:rPr>
          <w:spacing w:val="-12"/>
        </w:rPr>
        <w:t> </w:t>
      </w:r>
      <w:r>
        <w:rPr/>
        <w:t>of</w:t>
      </w:r>
      <w:r>
        <w:rPr>
          <w:spacing w:val="-13"/>
        </w:rPr>
        <w:t> </w:t>
      </w:r>
      <w:r>
        <w:rPr/>
        <w:t>patriarchal oppression, but they also resist, articulate, and symbolize suffering in </w:t>
      </w:r>
      <w:r>
        <w:rPr>
          <w:spacing w:val="-4"/>
        </w:rPr>
        <w:t>ways</w:t>
      </w:r>
      <w:r>
        <w:rPr>
          <w:spacing w:val="-9"/>
        </w:rPr>
        <w:t> </w:t>
      </w:r>
      <w:r>
        <w:rPr>
          <w:spacing w:val="-4"/>
        </w:rPr>
        <w:t>that</w:t>
      </w:r>
      <w:r>
        <w:rPr>
          <w:spacing w:val="-8"/>
        </w:rPr>
        <w:t> </w:t>
      </w:r>
      <w:r>
        <w:rPr>
          <w:spacing w:val="-4"/>
        </w:rPr>
        <w:t>transcend</w:t>
      </w:r>
      <w:r>
        <w:rPr>
          <w:spacing w:val="-9"/>
        </w:rPr>
        <w:t> </w:t>
      </w:r>
      <w:r>
        <w:rPr>
          <w:spacing w:val="-4"/>
        </w:rPr>
        <w:t>their</w:t>
      </w:r>
      <w:r>
        <w:rPr>
          <w:spacing w:val="-8"/>
        </w:rPr>
        <w:t> </w:t>
      </w:r>
      <w:r>
        <w:rPr>
          <w:spacing w:val="-4"/>
        </w:rPr>
        <w:t>historical</w:t>
      </w:r>
      <w:r>
        <w:rPr>
          <w:spacing w:val="-9"/>
        </w:rPr>
        <w:t> </w:t>
      </w:r>
      <w:r>
        <w:rPr>
          <w:spacing w:val="-4"/>
        </w:rPr>
        <w:t>moment.</w:t>
      </w:r>
      <w:r>
        <w:rPr>
          <w:spacing w:val="-8"/>
        </w:rPr>
        <w:t> </w:t>
      </w:r>
      <w:r>
        <w:rPr>
          <w:spacing w:val="-4"/>
        </w:rPr>
        <w:t>Modern</w:t>
      </w:r>
      <w:r>
        <w:rPr>
          <w:spacing w:val="-9"/>
        </w:rPr>
        <w:t> </w:t>
      </w:r>
      <w:r>
        <w:rPr>
          <w:spacing w:val="-4"/>
        </w:rPr>
        <w:t>criticism</w:t>
      </w:r>
      <w:r>
        <w:rPr>
          <w:spacing w:val="-8"/>
        </w:rPr>
        <w:t> </w:t>
      </w:r>
      <w:r>
        <w:rPr>
          <w:spacing w:val="-4"/>
        </w:rPr>
        <w:t>demonstrates </w:t>
      </w:r>
      <w:r>
        <w:rPr/>
        <w:t>Shakespeare’s</w:t>
      </w:r>
      <w:r>
        <w:rPr>
          <w:spacing w:val="-8"/>
        </w:rPr>
        <w:t> </w:t>
      </w:r>
      <w:r>
        <w:rPr/>
        <w:t>relevance</w:t>
      </w:r>
      <w:r>
        <w:rPr>
          <w:spacing w:val="-9"/>
        </w:rPr>
        <w:t> </w:t>
      </w:r>
      <w:r>
        <w:rPr/>
        <w:t>to</w:t>
      </w:r>
      <w:r>
        <w:rPr>
          <w:spacing w:val="-8"/>
        </w:rPr>
        <w:t> </w:t>
      </w:r>
      <w:r>
        <w:rPr/>
        <w:t>contemporary</w:t>
      </w:r>
      <w:r>
        <w:rPr>
          <w:spacing w:val="-12"/>
        </w:rPr>
        <w:t> </w:t>
      </w:r>
      <w:r>
        <w:rPr/>
        <w:t>debates</w:t>
      </w:r>
      <w:r>
        <w:rPr>
          <w:spacing w:val="-9"/>
        </w:rPr>
        <w:t> </w:t>
      </w:r>
      <w:r>
        <w:rPr/>
        <w:t>about</w:t>
      </w:r>
      <w:r>
        <w:rPr>
          <w:spacing w:val="-9"/>
        </w:rPr>
        <w:t> </w:t>
      </w:r>
      <w:r>
        <w:rPr/>
        <w:t>psychology</w:t>
      </w:r>
      <w:r>
        <w:rPr>
          <w:spacing w:val="-9"/>
        </w:rPr>
        <w:t> </w:t>
      </w:r>
      <w:r>
        <w:rPr/>
        <w:t>and identity, showing how his portrayals anticipate discussions of trauma, </w:t>
      </w:r>
      <w:r>
        <w:rPr>
          <w:spacing w:val="-2"/>
        </w:rPr>
        <w:t>agency,</w:t>
      </w:r>
      <w:r>
        <w:rPr>
          <w:spacing w:val="-4"/>
        </w:rPr>
        <w:t> </w:t>
      </w:r>
      <w:r>
        <w:rPr>
          <w:spacing w:val="-2"/>
        </w:rPr>
        <w:t>and</w:t>
      </w:r>
      <w:r>
        <w:rPr>
          <w:spacing w:val="-4"/>
        </w:rPr>
        <w:t> </w:t>
      </w:r>
      <w:r>
        <w:rPr>
          <w:spacing w:val="-2"/>
        </w:rPr>
        <w:t>resilience.</w:t>
      </w:r>
      <w:r>
        <w:rPr>
          <w:spacing w:val="-4"/>
        </w:rPr>
        <w:t> </w:t>
      </w:r>
      <w:r>
        <w:rPr>
          <w:spacing w:val="-2"/>
        </w:rPr>
        <w:t>By</w:t>
      </w:r>
      <w:r>
        <w:rPr>
          <w:spacing w:val="-4"/>
        </w:rPr>
        <w:t> </w:t>
      </w:r>
      <w:r>
        <w:rPr>
          <w:spacing w:val="-2"/>
        </w:rPr>
        <w:t>situating</w:t>
      </w:r>
      <w:r>
        <w:rPr>
          <w:spacing w:val="-6"/>
        </w:rPr>
        <w:t> </w:t>
      </w:r>
      <w:r>
        <w:rPr>
          <w:spacing w:val="-2"/>
        </w:rPr>
        <w:t>Ophelia,</w:t>
      </w:r>
      <w:r>
        <w:rPr>
          <w:spacing w:val="-4"/>
        </w:rPr>
        <w:t> </w:t>
      </w:r>
      <w:r>
        <w:rPr>
          <w:spacing w:val="-2"/>
        </w:rPr>
        <w:t>Lady</w:t>
      </w:r>
      <w:r>
        <w:rPr>
          <w:spacing w:val="-8"/>
        </w:rPr>
        <w:t> </w:t>
      </w:r>
      <w:r>
        <w:rPr>
          <w:spacing w:val="-2"/>
        </w:rPr>
        <w:t>Macbeth,</w:t>
      </w:r>
      <w:r>
        <w:rPr>
          <w:spacing w:val="-4"/>
        </w:rPr>
        <w:t> </w:t>
      </w:r>
      <w:r>
        <w:rPr>
          <w:spacing w:val="-2"/>
        </w:rPr>
        <w:t>Desdemona, and</w:t>
      </w:r>
      <w:r>
        <w:rPr>
          <w:spacing w:val="-3"/>
        </w:rPr>
        <w:t> </w:t>
      </w:r>
      <w:r>
        <w:rPr>
          <w:spacing w:val="-2"/>
        </w:rPr>
        <w:t>Cordelia</w:t>
      </w:r>
      <w:r>
        <w:rPr>
          <w:spacing w:val="-4"/>
        </w:rPr>
        <w:t> </w:t>
      </w:r>
      <w:r>
        <w:rPr>
          <w:spacing w:val="-2"/>
        </w:rPr>
        <w:t>within</w:t>
      </w:r>
      <w:r>
        <w:rPr>
          <w:spacing w:val="-6"/>
        </w:rPr>
        <w:t> </w:t>
      </w:r>
      <w:r>
        <w:rPr>
          <w:spacing w:val="-2"/>
        </w:rPr>
        <w:t>feminist,</w:t>
      </w:r>
      <w:r>
        <w:rPr>
          <w:spacing w:val="-3"/>
        </w:rPr>
        <w:t> </w:t>
      </w:r>
      <w:r>
        <w:rPr>
          <w:spacing w:val="-2"/>
        </w:rPr>
        <w:t>psychoanalytic,</w:t>
      </w:r>
      <w:r>
        <w:rPr>
          <w:spacing w:val="-3"/>
        </w:rPr>
        <w:t> </w:t>
      </w:r>
      <w:r>
        <w:rPr>
          <w:spacing w:val="-2"/>
        </w:rPr>
        <w:t>and</w:t>
      </w:r>
      <w:r>
        <w:rPr>
          <w:spacing w:val="-3"/>
        </w:rPr>
        <w:t> </w:t>
      </w:r>
      <w:r>
        <w:rPr>
          <w:spacing w:val="-2"/>
        </w:rPr>
        <w:t>trauma</w:t>
      </w:r>
      <w:r>
        <w:rPr>
          <w:spacing w:val="-4"/>
        </w:rPr>
        <w:t> </w:t>
      </w:r>
      <w:r>
        <w:rPr>
          <w:spacing w:val="-2"/>
        </w:rPr>
        <w:t>based readings, </w:t>
      </w:r>
      <w:r>
        <w:rPr>
          <w:spacing w:val="-4"/>
        </w:rPr>
        <w:t>we</w:t>
      </w:r>
      <w:r>
        <w:rPr>
          <w:spacing w:val="-9"/>
        </w:rPr>
        <w:t> </w:t>
      </w:r>
      <w:r>
        <w:rPr>
          <w:spacing w:val="-4"/>
        </w:rPr>
        <w:t>see</w:t>
      </w:r>
      <w:r>
        <w:rPr>
          <w:spacing w:val="-8"/>
        </w:rPr>
        <w:t> </w:t>
      </w:r>
      <w:r>
        <w:rPr>
          <w:spacing w:val="-4"/>
        </w:rPr>
        <w:t>how</w:t>
      </w:r>
      <w:r>
        <w:rPr>
          <w:spacing w:val="-9"/>
        </w:rPr>
        <w:t> </w:t>
      </w:r>
      <w:r>
        <w:rPr>
          <w:spacing w:val="-4"/>
        </w:rPr>
        <w:t>Shakespeare’s</w:t>
      </w:r>
      <w:r>
        <w:rPr>
          <w:spacing w:val="-7"/>
        </w:rPr>
        <w:t> </w:t>
      </w:r>
      <w:r>
        <w:rPr>
          <w:spacing w:val="-4"/>
        </w:rPr>
        <w:t>exploration</w:t>
      </w:r>
      <w:r>
        <w:rPr>
          <w:spacing w:val="-9"/>
        </w:rPr>
        <w:t> </w:t>
      </w:r>
      <w:r>
        <w:rPr>
          <w:spacing w:val="-4"/>
        </w:rPr>
        <w:t>of</w:t>
      </w:r>
      <w:r>
        <w:rPr>
          <w:spacing w:val="-7"/>
        </w:rPr>
        <w:t> </w:t>
      </w:r>
      <w:r>
        <w:rPr>
          <w:spacing w:val="-4"/>
        </w:rPr>
        <w:t>women’s</w:t>
      </w:r>
      <w:r>
        <w:rPr>
          <w:spacing w:val="-9"/>
        </w:rPr>
        <w:t> </w:t>
      </w:r>
      <w:r>
        <w:rPr>
          <w:spacing w:val="-4"/>
        </w:rPr>
        <w:t>mental</w:t>
      </w:r>
      <w:r>
        <w:rPr>
          <w:spacing w:val="-6"/>
        </w:rPr>
        <w:t> </w:t>
      </w:r>
      <w:r>
        <w:rPr>
          <w:spacing w:val="-4"/>
        </w:rPr>
        <w:t>health</w:t>
      </w:r>
      <w:r>
        <w:rPr>
          <w:spacing w:val="-6"/>
        </w:rPr>
        <w:t> </w:t>
      </w:r>
      <w:r>
        <w:rPr>
          <w:spacing w:val="-4"/>
        </w:rPr>
        <w:t>continues </w:t>
      </w:r>
      <w:r>
        <w:rPr/>
        <w:t>to</w:t>
      </w:r>
      <w:r>
        <w:rPr>
          <w:spacing w:val="40"/>
        </w:rPr>
        <w:t> </w:t>
      </w:r>
      <w:r>
        <w:rPr/>
        <w:t>resonate</w:t>
      </w:r>
      <w:r>
        <w:rPr>
          <w:spacing w:val="40"/>
        </w:rPr>
        <w:t> </w:t>
      </w:r>
      <w:r>
        <w:rPr/>
        <w:t>with</w:t>
      </w:r>
      <w:r>
        <w:rPr>
          <w:spacing w:val="37"/>
        </w:rPr>
        <w:t> </w:t>
      </w:r>
      <w:r>
        <w:rPr/>
        <w:t>audiences</w:t>
      </w:r>
      <w:r>
        <w:rPr>
          <w:spacing w:val="40"/>
        </w:rPr>
        <w:t> </w:t>
      </w:r>
      <w:r>
        <w:rPr/>
        <w:t>and</w:t>
      </w:r>
      <w:r>
        <w:rPr>
          <w:spacing w:val="40"/>
        </w:rPr>
        <w:t> </w:t>
      </w:r>
      <w:r>
        <w:rPr/>
        <w:t>scholars</w:t>
      </w:r>
      <w:r>
        <w:rPr>
          <w:spacing w:val="39"/>
        </w:rPr>
        <w:t> </w:t>
      </w:r>
      <w:r>
        <w:rPr/>
        <w:t>alike.</w:t>
      </w:r>
    </w:p>
    <w:p>
      <w:pPr>
        <w:pStyle w:val="Heading3"/>
        <w:spacing w:before="162"/>
      </w:pPr>
      <w:r>
        <w:rPr>
          <w:spacing w:val="-2"/>
        </w:rPr>
        <w:t>CONCLUSION</w:t>
      </w:r>
    </w:p>
    <w:p>
      <w:pPr>
        <w:pStyle w:val="BodyText"/>
        <w:spacing w:line="249" w:lineRule="auto" w:before="76"/>
        <w:ind w:right="1437" w:firstLine="432"/>
        <w:jc w:val="both"/>
      </w:pPr>
      <w:r>
        <w:rPr/>
        <w:t>Shakespeare’s portrayal of women’s mental health remains profoundly</w:t>
      </w:r>
      <w:r>
        <w:rPr>
          <w:spacing w:val="11"/>
        </w:rPr>
        <w:t> </w:t>
      </w:r>
      <w:r>
        <w:rPr/>
        <w:t>relevant,</w:t>
      </w:r>
      <w:r>
        <w:rPr>
          <w:spacing w:val="12"/>
        </w:rPr>
        <w:t> </w:t>
      </w:r>
      <w:r>
        <w:rPr/>
        <w:t>not</w:t>
      </w:r>
      <w:r>
        <w:rPr>
          <w:spacing w:val="14"/>
        </w:rPr>
        <w:t> </w:t>
      </w:r>
      <w:r>
        <w:rPr/>
        <w:t>only</w:t>
      </w:r>
      <w:r>
        <w:rPr>
          <w:spacing w:val="11"/>
        </w:rPr>
        <w:t> </w:t>
      </w:r>
      <w:r>
        <w:rPr/>
        <w:t>as</w:t>
      </w:r>
      <w:r>
        <w:rPr>
          <w:spacing w:val="10"/>
        </w:rPr>
        <w:t> </w:t>
      </w:r>
      <w:r>
        <w:rPr/>
        <w:t>a</w:t>
      </w:r>
      <w:r>
        <w:rPr>
          <w:spacing w:val="15"/>
        </w:rPr>
        <w:t> </w:t>
      </w:r>
      <w:r>
        <w:rPr/>
        <w:t>reflection</w:t>
      </w:r>
      <w:r>
        <w:rPr>
          <w:spacing w:val="13"/>
        </w:rPr>
        <w:t> </w:t>
      </w:r>
      <w:r>
        <w:rPr/>
        <w:t>of</w:t>
      </w:r>
      <w:r>
        <w:rPr>
          <w:spacing w:val="14"/>
        </w:rPr>
        <w:t> </w:t>
      </w:r>
      <w:r>
        <w:rPr/>
        <w:t>early</w:t>
      </w:r>
      <w:r>
        <w:rPr>
          <w:spacing w:val="10"/>
        </w:rPr>
        <w:t> </w:t>
      </w:r>
      <w:r>
        <w:rPr/>
        <w:t>modern</w:t>
      </w:r>
      <w:r>
        <w:rPr>
          <w:spacing w:val="12"/>
        </w:rPr>
        <w:t> </w:t>
      </w:r>
      <w:r>
        <w:rPr>
          <w:spacing w:val="-2"/>
        </w:rPr>
        <w:t>anxieties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52544">
                <wp:simplePos x="0" y="0"/>
                <wp:positionH relativeFrom="page">
                  <wp:posOffset>2057400</wp:posOffset>
                </wp:positionH>
                <wp:positionV relativeFrom="paragraph">
                  <wp:posOffset>162604</wp:posOffset>
                </wp:positionV>
                <wp:extent cx="3657600" cy="12700"/>
                <wp:effectExtent l="0" t="0" r="0" b="0"/>
                <wp:wrapTopAndBottom/>
                <wp:docPr id="715" name="Graphic 715"/>
                <wp:cNvGraphicFramePr>
                  <a:graphicFrameLocks/>
                </wp:cNvGraphicFramePr>
                <a:graphic>
                  <a:graphicData uri="http://schemas.microsoft.com/office/word/2010/wordprocessingShape">
                    <wps:wsp>
                      <wps:cNvPr id="715" name="Graphic 71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63936;mso-wrap-distance-left:0;mso-wrap-distance-right:0" id="docshape707" filled="true" fillcolor="#000000" stroked="false">
                <v:fill type="solid"/>
                <w10:wrap type="topAndBottom"/>
              </v:rect>
            </w:pict>
          </mc:Fallback>
        </mc:AlternateContent>
      </w:r>
      <w:r>
        <w:rPr>
          <w:rFonts w:ascii="Verdana"/>
          <w:spacing w:val="-5"/>
          <w:sz w:val="18"/>
        </w:rPr>
        <w:t>358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6"/>
        <w:jc w:val="both"/>
      </w:pPr>
      <w:r>
        <w:rPr/>
        <w:t>but also as a precursor</w:t>
      </w:r>
      <w:r>
        <w:rPr>
          <w:spacing w:val="-1"/>
        </w:rPr>
        <w:t> </w:t>
      </w:r>
      <w:r>
        <w:rPr/>
        <w:t>to modern</w:t>
      </w:r>
      <w:r>
        <w:rPr>
          <w:spacing w:val="-1"/>
        </w:rPr>
        <w:t> </w:t>
      </w:r>
      <w:r>
        <w:rPr/>
        <w:t>psychological and</w:t>
      </w:r>
      <w:r>
        <w:rPr>
          <w:spacing w:val="-1"/>
        </w:rPr>
        <w:t> </w:t>
      </w:r>
      <w:r>
        <w:rPr/>
        <w:t>feminist discourse. His female characters embody the psychological consequences of </w:t>
      </w:r>
      <w:r>
        <w:rPr>
          <w:spacing w:val="-2"/>
        </w:rPr>
        <w:t>patriarchal</w:t>
      </w:r>
      <w:r>
        <w:rPr>
          <w:spacing w:val="-5"/>
        </w:rPr>
        <w:t> </w:t>
      </w:r>
      <w:r>
        <w:rPr>
          <w:spacing w:val="-2"/>
        </w:rPr>
        <w:t>oppression,</w:t>
      </w:r>
      <w:r>
        <w:rPr>
          <w:spacing w:val="-11"/>
        </w:rPr>
        <w:t> </w:t>
      </w:r>
      <w:r>
        <w:rPr>
          <w:spacing w:val="-2"/>
        </w:rPr>
        <w:t>emotional</w:t>
      </w:r>
      <w:r>
        <w:rPr>
          <w:spacing w:val="-6"/>
        </w:rPr>
        <w:t> </w:t>
      </w:r>
      <w:r>
        <w:rPr>
          <w:spacing w:val="-2"/>
        </w:rPr>
        <w:t>trauma,</w:t>
      </w:r>
      <w:r>
        <w:rPr>
          <w:spacing w:val="-6"/>
        </w:rPr>
        <w:t> </w:t>
      </w:r>
      <w:r>
        <w:rPr>
          <w:spacing w:val="-2"/>
        </w:rPr>
        <w:t>and</w:t>
      </w:r>
      <w:r>
        <w:rPr>
          <w:spacing w:val="-4"/>
        </w:rPr>
        <w:t> </w:t>
      </w:r>
      <w:r>
        <w:rPr>
          <w:spacing w:val="-2"/>
        </w:rPr>
        <w:t>moral</w:t>
      </w:r>
      <w:r>
        <w:rPr>
          <w:spacing w:val="-10"/>
        </w:rPr>
        <w:t> </w:t>
      </w:r>
      <w:r>
        <w:rPr>
          <w:spacing w:val="-2"/>
        </w:rPr>
        <w:t>conflict,</w:t>
      </w:r>
      <w:r>
        <w:rPr>
          <w:spacing w:val="-4"/>
        </w:rPr>
        <w:t> </w:t>
      </w:r>
      <w:r>
        <w:rPr>
          <w:spacing w:val="-2"/>
        </w:rPr>
        <w:t>dramatizing </w:t>
      </w:r>
      <w:r>
        <w:rPr/>
        <w:t>how gendered expectations shape mental health. Ophelia’s fragmented songs</w:t>
      </w:r>
      <w:r>
        <w:rPr>
          <w:spacing w:val="-9"/>
        </w:rPr>
        <w:t> </w:t>
      </w:r>
      <w:r>
        <w:rPr/>
        <w:t>and</w:t>
      </w:r>
      <w:r>
        <w:rPr>
          <w:spacing w:val="-9"/>
        </w:rPr>
        <w:t> </w:t>
      </w:r>
      <w:r>
        <w:rPr/>
        <w:t>symbolic</w:t>
      </w:r>
      <w:r>
        <w:rPr>
          <w:spacing w:val="-8"/>
        </w:rPr>
        <w:t> </w:t>
      </w:r>
      <w:r>
        <w:rPr/>
        <w:t>flowers</w:t>
      </w:r>
      <w:r>
        <w:rPr>
          <w:spacing w:val="-9"/>
        </w:rPr>
        <w:t> </w:t>
      </w:r>
      <w:r>
        <w:rPr/>
        <w:t>reveal</w:t>
      </w:r>
      <w:r>
        <w:rPr>
          <w:spacing w:val="-9"/>
        </w:rPr>
        <w:t> </w:t>
      </w:r>
      <w:r>
        <w:rPr/>
        <w:t>how</w:t>
      </w:r>
      <w:r>
        <w:rPr>
          <w:spacing w:val="-12"/>
        </w:rPr>
        <w:t> </w:t>
      </w:r>
      <w:r>
        <w:rPr/>
        <w:t>madness</w:t>
      </w:r>
      <w:r>
        <w:rPr>
          <w:spacing w:val="-9"/>
        </w:rPr>
        <w:t> </w:t>
      </w:r>
      <w:r>
        <w:rPr/>
        <w:t>can</w:t>
      </w:r>
      <w:r>
        <w:rPr>
          <w:spacing w:val="-9"/>
        </w:rPr>
        <w:t> </w:t>
      </w:r>
      <w:r>
        <w:rPr/>
        <w:t>become</w:t>
      </w:r>
      <w:r>
        <w:rPr>
          <w:spacing w:val="-10"/>
        </w:rPr>
        <w:t> </w:t>
      </w:r>
      <w:r>
        <w:rPr/>
        <w:t>a</w:t>
      </w:r>
      <w:r>
        <w:rPr>
          <w:spacing w:val="-8"/>
        </w:rPr>
        <w:t> </w:t>
      </w:r>
      <w:r>
        <w:rPr/>
        <w:t>language </w:t>
      </w:r>
      <w:r>
        <w:rPr>
          <w:spacing w:val="-2"/>
        </w:rPr>
        <w:t>of</w:t>
      </w:r>
      <w:r>
        <w:rPr>
          <w:spacing w:val="-3"/>
        </w:rPr>
        <w:t> </w:t>
      </w:r>
      <w:r>
        <w:rPr>
          <w:spacing w:val="-2"/>
        </w:rPr>
        <w:t>resistance,</w:t>
      </w:r>
      <w:r>
        <w:rPr>
          <w:spacing w:val="-3"/>
        </w:rPr>
        <w:t> </w:t>
      </w:r>
      <w:r>
        <w:rPr>
          <w:spacing w:val="-2"/>
        </w:rPr>
        <w:t>while Lady</w:t>
      </w:r>
      <w:r>
        <w:rPr>
          <w:spacing w:val="-5"/>
        </w:rPr>
        <w:t> </w:t>
      </w:r>
      <w:r>
        <w:rPr>
          <w:spacing w:val="-2"/>
        </w:rPr>
        <w:t>Macbeth’s compulsive hand washing</w:t>
      </w:r>
      <w:r>
        <w:rPr>
          <w:spacing w:val="-3"/>
        </w:rPr>
        <w:t> </w:t>
      </w:r>
      <w:r>
        <w:rPr>
          <w:spacing w:val="-2"/>
        </w:rPr>
        <w:t>illustrates </w:t>
      </w:r>
      <w:r>
        <w:rPr/>
        <w:t>the</w:t>
      </w:r>
      <w:r>
        <w:rPr>
          <w:spacing w:val="-4"/>
        </w:rPr>
        <w:t> </w:t>
      </w:r>
      <w:r>
        <w:rPr/>
        <w:t>corrosive</w:t>
      </w:r>
      <w:r>
        <w:rPr>
          <w:spacing w:val="-4"/>
        </w:rPr>
        <w:t> </w:t>
      </w:r>
      <w:r>
        <w:rPr/>
        <w:t>effects</w:t>
      </w:r>
      <w:r>
        <w:rPr>
          <w:spacing w:val="-7"/>
        </w:rPr>
        <w:t> </w:t>
      </w:r>
      <w:r>
        <w:rPr/>
        <w:t>of</w:t>
      </w:r>
      <w:r>
        <w:rPr>
          <w:spacing w:val="-7"/>
        </w:rPr>
        <w:t> </w:t>
      </w:r>
      <w:r>
        <w:rPr/>
        <w:t>guilt</w:t>
      </w:r>
      <w:r>
        <w:rPr>
          <w:spacing w:val="-4"/>
        </w:rPr>
        <w:t> </w:t>
      </w:r>
      <w:r>
        <w:rPr/>
        <w:t>and</w:t>
      </w:r>
      <w:r>
        <w:rPr>
          <w:spacing w:val="-4"/>
        </w:rPr>
        <w:t> </w:t>
      </w:r>
      <w:r>
        <w:rPr/>
        <w:t>ambition.</w:t>
      </w:r>
      <w:r>
        <w:rPr>
          <w:spacing w:val="-5"/>
        </w:rPr>
        <w:t> </w:t>
      </w:r>
      <w:r>
        <w:rPr/>
        <w:t>Desdemona’s</w:t>
      </w:r>
      <w:r>
        <w:rPr>
          <w:spacing w:val="-5"/>
        </w:rPr>
        <w:t> </w:t>
      </w:r>
      <w:r>
        <w:rPr/>
        <w:t>quiet</w:t>
      </w:r>
      <w:r>
        <w:rPr>
          <w:spacing w:val="-5"/>
        </w:rPr>
        <w:t> </w:t>
      </w:r>
      <w:r>
        <w:rPr/>
        <w:t>suffering highlights</w:t>
      </w:r>
      <w:r>
        <w:rPr>
          <w:spacing w:val="-13"/>
        </w:rPr>
        <w:t> </w:t>
      </w:r>
      <w:r>
        <w:rPr/>
        <w:t>the</w:t>
      </w:r>
      <w:r>
        <w:rPr>
          <w:spacing w:val="-12"/>
        </w:rPr>
        <w:t> </w:t>
      </w:r>
      <w:r>
        <w:rPr/>
        <w:t>psychological</w:t>
      </w:r>
      <w:r>
        <w:rPr>
          <w:spacing w:val="-13"/>
        </w:rPr>
        <w:t> </w:t>
      </w:r>
      <w:r>
        <w:rPr/>
        <w:t>trauma</w:t>
      </w:r>
      <w:r>
        <w:rPr>
          <w:spacing w:val="-12"/>
        </w:rPr>
        <w:t> </w:t>
      </w:r>
      <w:r>
        <w:rPr/>
        <w:t>of</w:t>
      </w:r>
      <w:r>
        <w:rPr>
          <w:spacing w:val="-13"/>
        </w:rPr>
        <w:t> </w:t>
      </w:r>
      <w:r>
        <w:rPr/>
        <w:t>domestic</w:t>
      </w:r>
      <w:r>
        <w:rPr>
          <w:spacing w:val="-12"/>
        </w:rPr>
        <w:t> </w:t>
      </w:r>
      <w:r>
        <w:rPr/>
        <w:t>violence,</w:t>
      </w:r>
      <w:r>
        <w:rPr>
          <w:spacing w:val="-13"/>
        </w:rPr>
        <w:t> </w:t>
      </w:r>
      <w:r>
        <w:rPr/>
        <w:t>and</w:t>
      </w:r>
      <w:r>
        <w:rPr>
          <w:spacing w:val="-12"/>
        </w:rPr>
        <w:t> </w:t>
      </w:r>
      <w:r>
        <w:rPr/>
        <w:t>Cordelia’s silence</w:t>
      </w:r>
      <w:r>
        <w:rPr>
          <w:spacing w:val="-13"/>
        </w:rPr>
        <w:t> </w:t>
      </w:r>
      <w:r>
        <w:rPr/>
        <w:t>dramatizes</w:t>
      </w:r>
      <w:r>
        <w:rPr>
          <w:spacing w:val="-12"/>
        </w:rPr>
        <w:t> </w:t>
      </w:r>
      <w:r>
        <w:rPr/>
        <w:t>the</w:t>
      </w:r>
      <w:r>
        <w:rPr>
          <w:spacing w:val="-13"/>
        </w:rPr>
        <w:t> </w:t>
      </w:r>
      <w:r>
        <w:rPr/>
        <w:t>emotional</w:t>
      </w:r>
      <w:r>
        <w:rPr>
          <w:spacing w:val="-10"/>
        </w:rPr>
        <w:t> </w:t>
      </w:r>
      <w:r>
        <w:rPr/>
        <w:t>strain</w:t>
      </w:r>
      <w:r>
        <w:rPr>
          <w:spacing w:val="-12"/>
        </w:rPr>
        <w:t> </w:t>
      </w:r>
      <w:r>
        <w:rPr/>
        <w:t>of</w:t>
      </w:r>
      <w:r>
        <w:rPr>
          <w:spacing w:val="-10"/>
        </w:rPr>
        <w:t> </w:t>
      </w:r>
      <w:r>
        <w:rPr/>
        <w:t>honesty</w:t>
      </w:r>
      <w:r>
        <w:rPr>
          <w:spacing w:val="-13"/>
        </w:rPr>
        <w:t> </w:t>
      </w:r>
      <w:r>
        <w:rPr/>
        <w:t>punished</w:t>
      </w:r>
      <w:r>
        <w:rPr>
          <w:spacing w:val="-8"/>
        </w:rPr>
        <w:t> </w:t>
      </w:r>
      <w:r>
        <w:rPr/>
        <w:t>by</w:t>
      </w:r>
      <w:r>
        <w:rPr>
          <w:spacing w:val="-13"/>
        </w:rPr>
        <w:t> </w:t>
      </w:r>
      <w:r>
        <w:rPr>
          <w:spacing w:val="-2"/>
        </w:rPr>
        <w:t>authority.</w:t>
      </w:r>
    </w:p>
    <w:p>
      <w:pPr>
        <w:pStyle w:val="BodyText"/>
        <w:spacing w:line="264" w:lineRule="auto" w:before="72"/>
        <w:ind w:right="1433" w:firstLine="432"/>
        <w:jc w:val="both"/>
      </w:pPr>
      <w:r>
        <w:rPr/>
        <w:t>By dramatizing madness, guilt, vulnerability, and silence, Shakespeare reflects early modern conceptions of mental illness while anticipating modern discussions of psychology and gender. His use of </w:t>
      </w:r>
      <w:r>
        <w:rPr>
          <w:spacing w:val="-2"/>
        </w:rPr>
        <w:t>symbolism—flowers,</w:t>
      </w:r>
      <w:r>
        <w:rPr>
          <w:spacing w:val="-11"/>
        </w:rPr>
        <w:t> </w:t>
      </w:r>
      <w:r>
        <w:rPr>
          <w:spacing w:val="-2"/>
        </w:rPr>
        <w:t>bloodstains,</w:t>
      </w:r>
      <w:r>
        <w:rPr>
          <w:spacing w:val="-9"/>
        </w:rPr>
        <w:t> </w:t>
      </w:r>
      <w:r>
        <w:rPr>
          <w:spacing w:val="-2"/>
        </w:rPr>
        <w:t>wedding</w:t>
      </w:r>
      <w:r>
        <w:rPr>
          <w:spacing w:val="-11"/>
        </w:rPr>
        <w:t> </w:t>
      </w:r>
      <w:r>
        <w:rPr>
          <w:spacing w:val="-2"/>
        </w:rPr>
        <w:t>sheets,</w:t>
      </w:r>
      <w:r>
        <w:rPr>
          <w:spacing w:val="-8"/>
        </w:rPr>
        <w:t> </w:t>
      </w:r>
      <w:r>
        <w:rPr>
          <w:spacing w:val="-2"/>
        </w:rPr>
        <w:t>and</w:t>
      </w:r>
      <w:r>
        <w:rPr>
          <w:spacing w:val="-8"/>
        </w:rPr>
        <w:t> </w:t>
      </w:r>
      <w:r>
        <w:rPr>
          <w:spacing w:val="-2"/>
        </w:rPr>
        <w:t>silence—provides </w:t>
      </w:r>
      <w:r>
        <w:rPr/>
        <w:t>alternative languages for women’s psychological states, underscoring the</w:t>
      </w:r>
      <w:r>
        <w:rPr>
          <w:spacing w:val="-7"/>
        </w:rPr>
        <w:t> </w:t>
      </w:r>
      <w:r>
        <w:rPr/>
        <w:t>limitations</w:t>
      </w:r>
      <w:r>
        <w:rPr>
          <w:spacing w:val="-11"/>
        </w:rPr>
        <w:t> </w:t>
      </w:r>
      <w:r>
        <w:rPr/>
        <w:t>of</w:t>
      </w:r>
      <w:r>
        <w:rPr>
          <w:spacing w:val="-8"/>
        </w:rPr>
        <w:t> </w:t>
      </w:r>
      <w:r>
        <w:rPr/>
        <w:t>verbal</w:t>
      </w:r>
      <w:r>
        <w:rPr>
          <w:spacing w:val="-10"/>
        </w:rPr>
        <w:t> </w:t>
      </w:r>
      <w:r>
        <w:rPr/>
        <w:t>communication</w:t>
      </w:r>
      <w:r>
        <w:rPr>
          <w:spacing w:val="-8"/>
        </w:rPr>
        <w:t> </w:t>
      </w:r>
      <w:r>
        <w:rPr/>
        <w:t>in</w:t>
      </w:r>
      <w:r>
        <w:rPr>
          <w:spacing w:val="-8"/>
        </w:rPr>
        <w:t> </w:t>
      </w:r>
      <w:r>
        <w:rPr/>
        <w:t>patriarchal</w:t>
      </w:r>
      <w:r>
        <w:rPr>
          <w:spacing w:val="-10"/>
        </w:rPr>
        <w:t> </w:t>
      </w:r>
      <w:r>
        <w:rPr/>
        <w:t>societies.</w:t>
      </w:r>
      <w:r>
        <w:rPr>
          <w:spacing w:val="-8"/>
        </w:rPr>
        <w:t> </w:t>
      </w:r>
      <w:r>
        <w:rPr/>
        <w:t>Modern critical frameworks such as feminist criticism, trauma theory, and psychoanalysis further illuminate these portrayals, showing how </w:t>
      </w:r>
      <w:r>
        <w:rPr>
          <w:spacing w:val="-2"/>
        </w:rPr>
        <w:t>Shakespeare’s</w:t>
      </w:r>
      <w:r>
        <w:rPr>
          <w:spacing w:val="-11"/>
        </w:rPr>
        <w:t> </w:t>
      </w:r>
      <w:r>
        <w:rPr>
          <w:spacing w:val="-2"/>
        </w:rPr>
        <w:t>female</w:t>
      </w:r>
      <w:r>
        <w:rPr>
          <w:spacing w:val="-10"/>
        </w:rPr>
        <w:t> </w:t>
      </w:r>
      <w:r>
        <w:rPr>
          <w:spacing w:val="-2"/>
        </w:rPr>
        <w:t>characters</w:t>
      </w:r>
      <w:r>
        <w:rPr>
          <w:spacing w:val="-11"/>
        </w:rPr>
        <w:t> </w:t>
      </w:r>
      <w:r>
        <w:rPr>
          <w:spacing w:val="-2"/>
        </w:rPr>
        <w:t>resist,</w:t>
      </w:r>
      <w:r>
        <w:rPr>
          <w:spacing w:val="-10"/>
        </w:rPr>
        <w:t> </w:t>
      </w:r>
      <w:r>
        <w:rPr>
          <w:spacing w:val="-2"/>
        </w:rPr>
        <w:t>articulate,</w:t>
      </w:r>
      <w:r>
        <w:rPr>
          <w:spacing w:val="-11"/>
        </w:rPr>
        <w:t> </w:t>
      </w:r>
      <w:r>
        <w:rPr>
          <w:spacing w:val="-2"/>
        </w:rPr>
        <w:t>and</w:t>
      </w:r>
      <w:r>
        <w:rPr>
          <w:spacing w:val="-10"/>
        </w:rPr>
        <w:t> </w:t>
      </w:r>
      <w:r>
        <w:rPr>
          <w:spacing w:val="-2"/>
        </w:rPr>
        <w:t>symbolize</w:t>
      </w:r>
      <w:r>
        <w:rPr>
          <w:spacing w:val="-11"/>
        </w:rPr>
        <w:t> </w:t>
      </w:r>
      <w:r>
        <w:rPr>
          <w:spacing w:val="-2"/>
        </w:rPr>
        <w:t>suffering </w:t>
      </w:r>
      <w:r>
        <w:rPr/>
        <w:t>in</w:t>
      </w:r>
      <w:r>
        <w:rPr>
          <w:spacing w:val="40"/>
        </w:rPr>
        <w:t> </w:t>
      </w:r>
      <w:r>
        <w:rPr/>
        <w:t>ways</w:t>
      </w:r>
      <w:r>
        <w:rPr>
          <w:spacing w:val="40"/>
        </w:rPr>
        <w:t> </w:t>
      </w:r>
      <w:r>
        <w:rPr/>
        <w:t>that</w:t>
      </w:r>
      <w:r>
        <w:rPr>
          <w:spacing w:val="40"/>
        </w:rPr>
        <w:t> </w:t>
      </w:r>
      <w:r>
        <w:rPr/>
        <w:t>transcend</w:t>
      </w:r>
      <w:r>
        <w:rPr>
          <w:spacing w:val="40"/>
        </w:rPr>
        <w:t> </w:t>
      </w:r>
      <w:r>
        <w:rPr/>
        <w:t>their</w:t>
      </w:r>
      <w:r>
        <w:rPr>
          <w:spacing w:val="40"/>
        </w:rPr>
        <w:t> </w:t>
      </w:r>
      <w:r>
        <w:rPr/>
        <w:t>historical</w:t>
      </w:r>
      <w:r>
        <w:rPr>
          <w:spacing w:val="40"/>
        </w:rPr>
        <w:t> </w:t>
      </w:r>
      <w:r>
        <w:rPr/>
        <w:t>moment.</w:t>
      </w:r>
    </w:p>
    <w:p>
      <w:pPr>
        <w:pStyle w:val="BodyText"/>
        <w:spacing w:line="264" w:lineRule="auto" w:before="48"/>
        <w:ind w:right="1438" w:firstLine="432"/>
        <w:jc w:val="both"/>
      </w:pPr>
      <w:r>
        <w:rPr/>
        <w:t>Ultimately,</w:t>
      </w:r>
      <w:r>
        <w:rPr>
          <w:spacing w:val="-11"/>
        </w:rPr>
        <w:t> </w:t>
      </w:r>
      <w:r>
        <w:rPr/>
        <w:t>Shakespeare’s</w:t>
      </w:r>
      <w:r>
        <w:rPr>
          <w:spacing w:val="-11"/>
        </w:rPr>
        <w:t> </w:t>
      </w:r>
      <w:r>
        <w:rPr/>
        <w:t>works</w:t>
      </w:r>
      <w:r>
        <w:rPr>
          <w:spacing w:val="-11"/>
        </w:rPr>
        <w:t> </w:t>
      </w:r>
      <w:r>
        <w:rPr/>
        <w:t>invite</w:t>
      </w:r>
      <w:r>
        <w:rPr>
          <w:spacing w:val="-12"/>
        </w:rPr>
        <w:t> </w:t>
      </w:r>
      <w:r>
        <w:rPr/>
        <w:t>audiences</w:t>
      </w:r>
      <w:r>
        <w:rPr>
          <w:spacing w:val="-12"/>
        </w:rPr>
        <w:t> </w:t>
      </w:r>
      <w:r>
        <w:rPr/>
        <w:t>to</w:t>
      </w:r>
      <w:r>
        <w:rPr>
          <w:spacing w:val="-11"/>
        </w:rPr>
        <w:t> </w:t>
      </w:r>
      <w:r>
        <w:rPr/>
        <w:t>reconsider</w:t>
      </w:r>
      <w:r>
        <w:rPr>
          <w:spacing w:val="-11"/>
        </w:rPr>
        <w:t> </w:t>
      </w:r>
      <w:r>
        <w:rPr/>
        <w:t>the relationship between mental health, social structures, and human </w:t>
      </w:r>
      <w:r>
        <w:rPr>
          <w:spacing w:val="-4"/>
        </w:rPr>
        <w:t>resilience. His</w:t>
      </w:r>
      <w:r>
        <w:rPr>
          <w:spacing w:val="-8"/>
        </w:rPr>
        <w:t> </w:t>
      </w:r>
      <w:r>
        <w:rPr>
          <w:spacing w:val="-4"/>
        </w:rPr>
        <w:t>female characters are not merely</w:t>
      </w:r>
      <w:r>
        <w:rPr>
          <w:spacing w:val="-6"/>
        </w:rPr>
        <w:t> </w:t>
      </w:r>
      <w:r>
        <w:rPr>
          <w:spacing w:val="-4"/>
        </w:rPr>
        <w:t>tragic victims but enduring </w:t>
      </w:r>
      <w:r>
        <w:rPr/>
        <w:t>symbols of suffering and strength, whose psychological struggles continue to resonate with contemporary debates about identity, agency, and trauma. In giving voice—whether through madness, silence, or symbolic</w:t>
      </w:r>
      <w:r>
        <w:rPr>
          <w:spacing w:val="-6"/>
        </w:rPr>
        <w:t> </w:t>
      </w:r>
      <w:r>
        <w:rPr/>
        <w:t>gesture—to</w:t>
      </w:r>
      <w:r>
        <w:rPr>
          <w:spacing w:val="-7"/>
        </w:rPr>
        <w:t> </w:t>
      </w:r>
      <w:r>
        <w:rPr/>
        <w:t>women’s</w:t>
      </w:r>
      <w:r>
        <w:rPr>
          <w:spacing w:val="-7"/>
        </w:rPr>
        <w:t> </w:t>
      </w:r>
      <w:r>
        <w:rPr/>
        <w:t>psychological</w:t>
      </w:r>
      <w:r>
        <w:rPr>
          <w:spacing w:val="-8"/>
        </w:rPr>
        <w:t> </w:t>
      </w:r>
      <w:r>
        <w:rPr/>
        <w:t>experiences,</w:t>
      </w:r>
      <w:r>
        <w:rPr>
          <w:spacing w:val="-7"/>
        </w:rPr>
        <w:t> </w:t>
      </w:r>
      <w:r>
        <w:rPr/>
        <w:t>Shakespeare demonstrates</w:t>
      </w:r>
      <w:r>
        <w:rPr>
          <w:spacing w:val="-2"/>
        </w:rPr>
        <w:t> </w:t>
      </w:r>
      <w:r>
        <w:rPr/>
        <w:t>a</w:t>
      </w:r>
      <w:r>
        <w:rPr>
          <w:spacing w:val="-2"/>
        </w:rPr>
        <w:t> </w:t>
      </w:r>
      <w:r>
        <w:rPr/>
        <w:t>profound sensitivity</w:t>
      </w:r>
      <w:r>
        <w:rPr>
          <w:spacing w:val="-5"/>
        </w:rPr>
        <w:t> </w:t>
      </w:r>
      <w:r>
        <w:rPr/>
        <w:t>to the</w:t>
      </w:r>
      <w:r>
        <w:rPr>
          <w:spacing w:val="-2"/>
        </w:rPr>
        <w:t> </w:t>
      </w:r>
      <w:r>
        <w:rPr/>
        <w:t>human</w:t>
      </w:r>
      <w:r>
        <w:rPr>
          <w:spacing w:val="-3"/>
        </w:rPr>
        <w:t> </w:t>
      </w:r>
      <w:r>
        <w:rPr/>
        <w:t>condition,</w:t>
      </w:r>
      <w:r>
        <w:rPr>
          <w:spacing w:val="-2"/>
        </w:rPr>
        <w:t> </w:t>
      </w:r>
      <w:r>
        <w:rPr/>
        <w:t>making</w:t>
      </w:r>
      <w:r>
        <w:rPr>
          <w:spacing w:val="-2"/>
        </w:rPr>
        <w:t> </w:t>
      </w:r>
      <w:r>
        <w:rPr/>
        <w:t>his plays timeless explorations of the intersection between gender and mental health.</w:t>
      </w:r>
    </w:p>
    <w:p>
      <w:pPr>
        <w:pStyle w:val="Heading3"/>
        <w:spacing w:before="144"/>
      </w:pPr>
      <w:r>
        <w:rPr>
          <w:spacing w:val="-2"/>
          <w:w w:val="95"/>
        </w:rPr>
        <w:t>REFERENCES</w:t>
      </w:r>
    </w:p>
    <w:p>
      <w:pPr>
        <w:pStyle w:val="ListParagraph"/>
        <w:numPr>
          <w:ilvl w:val="0"/>
          <w:numId w:val="75"/>
        </w:numPr>
        <w:tabs>
          <w:tab w:pos="2157" w:val="left" w:leader="none"/>
          <w:tab w:pos="2160" w:val="left" w:leader="none"/>
        </w:tabs>
        <w:spacing w:line="264" w:lineRule="auto" w:before="92" w:after="0"/>
        <w:ind w:left="2160" w:right="1443" w:hanging="315"/>
        <w:jc w:val="both"/>
        <w:rPr>
          <w:sz w:val="19"/>
        </w:rPr>
      </w:pPr>
      <w:r>
        <w:rPr>
          <w:sz w:val="19"/>
        </w:rPr>
        <w:t>Showalter, Elaine. </w:t>
      </w:r>
      <w:r>
        <w:rPr>
          <w:i/>
          <w:sz w:val="19"/>
        </w:rPr>
        <w:t>The Female Malady: Women, Madness, and English</w:t>
      </w:r>
      <w:r>
        <w:rPr>
          <w:i/>
          <w:spacing w:val="40"/>
          <w:sz w:val="19"/>
        </w:rPr>
        <w:t> </w:t>
      </w:r>
      <w:r>
        <w:rPr>
          <w:i/>
          <w:sz w:val="19"/>
        </w:rPr>
        <w:t>Culture,</w:t>
      </w:r>
      <w:r>
        <w:rPr>
          <w:i/>
          <w:spacing w:val="40"/>
          <w:sz w:val="19"/>
        </w:rPr>
        <w:t> </w:t>
      </w:r>
      <w:r>
        <w:rPr>
          <w:i/>
          <w:sz w:val="19"/>
        </w:rPr>
        <w:t>1830–1980</w:t>
      </w:r>
      <w:r>
        <w:rPr>
          <w:sz w:val="19"/>
        </w:rPr>
        <w:t>.</w:t>
      </w:r>
      <w:r>
        <w:rPr>
          <w:spacing w:val="40"/>
          <w:sz w:val="19"/>
        </w:rPr>
        <w:t> </w:t>
      </w:r>
      <w:r>
        <w:rPr>
          <w:sz w:val="19"/>
        </w:rPr>
        <w:t>Virago,</w:t>
      </w:r>
      <w:r>
        <w:rPr>
          <w:spacing w:val="40"/>
          <w:sz w:val="19"/>
        </w:rPr>
        <w:t> </w:t>
      </w:r>
      <w:r>
        <w:rPr>
          <w:sz w:val="19"/>
        </w:rPr>
        <w:t>1987.</w:t>
      </w:r>
    </w:p>
    <w:p>
      <w:pPr>
        <w:pStyle w:val="ListParagraph"/>
        <w:numPr>
          <w:ilvl w:val="0"/>
          <w:numId w:val="75"/>
        </w:numPr>
        <w:tabs>
          <w:tab w:pos="2157" w:val="left" w:leader="none"/>
          <w:tab w:pos="2160" w:val="left" w:leader="none"/>
        </w:tabs>
        <w:spacing w:line="264" w:lineRule="auto" w:before="59" w:after="0"/>
        <w:ind w:left="2160" w:right="1435" w:hanging="315"/>
        <w:jc w:val="both"/>
        <w:rPr>
          <w:sz w:val="19"/>
        </w:rPr>
      </w:pPr>
      <w:r>
        <w:rPr>
          <w:sz w:val="19"/>
        </w:rPr>
        <w:t>Neely, Carol Thomas. </w:t>
      </w:r>
      <w:r>
        <w:rPr>
          <w:i/>
          <w:sz w:val="19"/>
        </w:rPr>
        <w:t>Distracted Subjects: Madness and Gender in Shakespeare and Early Modern Culture</w:t>
      </w:r>
      <w:r>
        <w:rPr>
          <w:sz w:val="19"/>
        </w:rPr>
        <w:t>. Cornell University Press,</w:t>
      </w:r>
      <w:r>
        <w:rPr>
          <w:spacing w:val="40"/>
          <w:sz w:val="19"/>
        </w:rPr>
        <w:t> </w:t>
      </w:r>
      <w:r>
        <w:rPr>
          <w:sz w:val="19"/>
        </w:rPr>
        <w:t>2004.</w:t>
      </w:r>
    </w:p>
    <w:p>
      <w:pPr>
        <w:pStyle w:val="ListParagraph"/>
        <w:numPr>
          <w:ilvl w:val="0"/>
          <w:numId w:val="75"/>
        </w:numPr>
        <w:tabs>
          <w:tab w:pos="2157" w:val="left" w:leader="none"/>
          <w:tab w:pos="2160" w:val="left" w:leader="none"/>
        </w:tabs>
        <w:spacing w:line="261" w:lineRule="auto" w:before="54" w:after="0"/>
        <w:ind w:left="2160" w:right="1438" w:hanging="315"/>
        <w:jc w:val="both"/>
        <w:rPr>
          <w:sz w:val="19"/>
        </w:rPr>
      </w:pPr>
      <w:r>
        <w:rPr>
          <w:sz w:val="19"/>
        </w:rPr>
        <w:t>Adelman, Janet. </w:t>
      </w:r>
      <w:r>
        <w:rPr>
          <w:i/>
          <w:sz w:val="19"/>
        </w:rPr>
        <w:t>Suffocating Mothers: Fantasies of Maternal Origin</w:t>
      </w:r>
      <w:r>
        <w:rPr>
          <w:i/>
          <w:spacing w:val="40"/>
          <w:sz w:val="19"/>
        </w:rPr>
        <w:t> </w:t>
      </w:r>
      <w:r>
        <w:rPr>
          <w:i/>
          <w:sz w:val="19"/>
        </w:rPr>
        <w:t>in</w:t>
      </w:r>
      <w:r>
        <w:rPr>
          <w:i/>
          <w:spacing w:val="40"/>
          <w:sz w:val="19"/>
        </w:rPr>
        <w:t> </w:t>
      </w:r>
      <w:r>
        <w:rPr>
          <w:i/>
          <w:sz w:val="19"/>
        </w:rPr>
        <w:t>Shakespeare’s</w:t>
      </w:r>
      <w:r>
        <w:rPr>
          <w:i/>
          <w:spacing w:val="40"/>
          <w:sz w:val="19"/>
        </w:rPr>
        <w:t> </w:t>
      </w:r>
      <w:r>
        <w:rPr>
          <w:i/>
          <w:sz w:val="19"/>
        </w:rPr>
        <w:t>Plays</w:t>
      </w:r>
      <w:r>
        <w:rPr>
          <w:sz w:val="19"/>
        </w:rPr>
        <w:t>.</w:t>
      </w:r>
      <w:r>
        <w:rPr>
          <w:spacing w:val="40"/>
          <w:sz w:val="19"/>
        </w:rPr>
        <w:t> </w:t>
      </w:r>
      <w:r>
        <w:rPr>
          <w:sz w:val="19"/>
        </w:rPr>
        <w:t>Routledge,</w:t>
      </w:r>
      <w:r>
        <w:rPr>
          <w:spacing w:val="40"/>
          <w:sz w:val="19"/>
        </w:rPr>
        <w:t> </w:t>
      </w:r>
      <w:r>
        <w:rPr>
          <w:sz w:val="19"/>
        </w:rPr>
        <w:t>1992.</w:t>
      </w:r>
    </w:p>
    <w:p>
      <w:pPr>
        <w:pStyle w:val="ListParagraph"/>
        <w:spacing w:after="0" w:line="261" w:lineRule="auto"/>
        <w:jc w:val="both"/>
        <w:rPr>
          <w:sz w:val="19"/>
        </w:rPr>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53056">
                <wp:simplePos x="0" y="0"/>
                <wp:positionH relativeFrom="page">
                  <wp:posOffset>2065020</wp:posOffset>
                </wp:positionH>
                <wp:positionV relativeFrom="paragraph">
                  <wp:posOffset>795020</wp:posOffset>
                </wp:positionV>
                <wp:extent cx="3657600" cy="12700"/>
                <wp:effectExtent l="0" t="0" r="0" b="0"/>
                <wp:wrapTopAndBottom/>
                <wp:docPr id="716" name="Graphic 716"/>
                <wp:cNvGraphicFramePr>
                  <a:graphicFrameLocks/>
                </wp:cNvGraphicFramePr>
                <a:graphic>
                  <a:graphicData uri="http://schemas.microsoft.com/office/word/2010/wordprocessingShape">
                    <wps:wsp>
                      <wps:cNvPr id="716" name="Graphic 71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63424;mso-wrap-distance-left:0;mso-wrap-distance-right:0" id="docshape708" filled="true" fillcolor="#000000" stroked="false">
                <v:fill type="solid"/>
                <w10:wrap type="topAndBottom"/>
              </v:rect>
            </w:pict>
          </mc:Fallback>
        </mc:AlternateContent>
      </w:r>
      <w:r>
        <w:rPr>
          <w:rFonts w:ascii="Verdana" w:hAnsi="Verdana"/>
          <w:sz w:val="18"/>
        </w:rPr>
        <w:t>Women</w:t>
      </w:r>
      <w:r>
        <w:rPr>
          <w:rFonts w:ascii="Verdana" w:hAnsi="Verdana"/>
          <w:spacing w:val="11"/>
          <w:sz w:val="18"/>
        </w:rPr>
        <w:t> </w:t>
      </w:r>
      <w:r>
        <w:rPr>
          <w:rFonts w:ascii="Verdana" w:hAnsi="Verdana"/>
          <w:sz w:val="18"/>
        </w:rPr>
        <w:t>and</w:t>
      </w:r>
      <w:r>
        <w:rPr>
          <w:rFonts w:ascii="Verdana" w:hAnsi="Verdana"/>
          <w:spacing w:val="11"/>
          <w:sz w:val="18"/>
        </w:rPr>
        <w:t> </w:t>
      </w:r>
      <w:r>
        <w:rPr>
          <w:rFonts w:ascii="Verdana" w:hAnsi="Verdana"/>
          <w:sz w:val="18"/>
        </w:rPr>
        <w:t>Mental</w:t>
      </w:r>
      <w:r>
        <w:rPr>
          <w:rFonts w:ascii="Verdana" w:hAnsi="Verdana"/>
          <w:spacing w:val="12"/>
          <w:sz w:val="18"/>
        </w:rPr>
        <w:t> </w:t>
      </w:r>
      <w:r>
        <w:rPr>
          <w:rFonts w:ascii="Verdana" w:hAnsi="Verdana"/>
          <w:sz w:val="18"/>
        </w:rPr>
        <w:t>Health</w:t>
      </w:r>
      <w:r>
        <w:rPr>
          <w:rFonts w:ascii="Verdana" w:hAnsi="Verdana"/>
          <w:spacing w:val="13"/>
          <w:sz w:val="18"/>
        </w:rPr>
        <w:t> </w:t>
      </w:r>
      <w:r>
        <w:rPr>
          <w:rFonts w:ascii="Verdana" w:hAnsi="Verdana"/>
          <w:sz w:val="18"/>
        </w:rPr>
        <w:t>in</w:t>
      </w:r>
      <w:r>
        <w:rPr>
          <w:rFonts w:ascii="Verdana" w:hAnsi="Verdana"/>
          <w:spacing w:val="13"/>
          <w:sz w:val="18"/>
        </w:rPr>
        <w:t> </w:t>
      </w:r>
      <w:r>
        <w:rPr>
          <w:rFonts w:ascii="Verdana" w:hAnsi="Verdana"/>
          <w:sz w:val="18"/>
        </w:rPr>
        <w:t>Shakespeare’s</w:t>
      </w:r>
      <w:r>
        <w:rPr>
          <w:rFonts w:ascii="Verdana" w:hAnsi="Verdana"/>
          <w:spacing w:val="13"/>
          <w:sz w:val="18"/>
        </w:rPr>
        <w:t> </w:t>
      </w:r>
      <w:r>
        <w:rPr>
          <w:rFonts w:ascii="Verdana" w:hAnsi="Verdana"/>
          <w:spacing w:val="-4"/>
          <w:sz w:val="18"/>
        </w:rPr>
        <w:t>Plays</w:t>
      </w:r>
      <w:r>
        <w:rPr>
          <w:sz w:val="18"/>
        </w:rPr>
        <w:tab/>
      </w:r>
      <w:r>
        <w:rPr>
          <w:rFonts w:ascii="Verdana" w:hAnsi="Verdana"/>
          <w:spacing w:val="-5"/>
          <w:sz w:val="18"/>
        </w:rPr>
        <w:t>359</w:t>
      </w:r>
    </w:p>
    <w:p>
      <w:pPr>
        <w:pStyle w:val="ListParagraph"/>
        <w:numPr>
          <w:ilvl w:val="0"/>
          <w:numId w:val="75"/>
        </w:numPr>
        <w:tabs>
          <w:tab w:pos="2157" w:val="left" w:leader="none"/>
          <w:tab w:pos="2160" w:val="left" w:leader="none"/>
        </w:tabs>
        <w:spacing w:line="261" w:lineRule="auto" w:before="199" w:after="0"/>
        <w:ind w:left="2160" w:right="1438" w:hanging="315"/>
        <w:jc w:val="both"/>
        <w:rPr>
          <w:sz w:val="19"/>
        </w:rPr>
      </w:pPr>
      <w:r>
        <w:rPr>
          <w:sz w:val="19"/>
        </w:rPr>
        <w:t>Traub,</w:t>
      </w:r>
      <w:r>
        <w:rPr>
          <w:spacing w:val="40"/>
          <w:sz w:val="19"/>
        </w:rPr>
        <w:t> </w:t>
      </w:r>
      <w:r>
        <w:rPr>
          <w:sz w:val="19"/>
        </w:rPr>
        <w:t>Valerie.</w:t>
      </w:r>
      <w:r>
        <w:rPr>
          <w:spacing w:val="40"/>
          <w:sz w:val="19"/>
        </w:rPr>
        <w:t> </w:t>
      </w:r>
      <w:r>
        <w:rPr>
          <w:i/>
          <w:sz w:val="19"/>
        </w:rPr>
        <w:t>Desire</w:t>
      </w:r>
      <w:r>
        <w:rPr>
          <w:i/>
          <w:spacing w:val="40"/>
          <w:sz w:val="19"/>
        </w:rPr>
        <w:t> </w:t>
      </w:r>
      <w:r>
        <w:rPr>
          <w:i/>
          <w:sz w:val="19"/>
        </w:rPr>
        <w:t>and</w:t>
      </w:r>
      <w:r>
        <w:rPr>
          <w:i/>
          <w:spacing w:val="40"/>
          <w:sz w:val="19"/>
        </w:rPr>
        <w:t> </w:t>
      </w:r>
      <w:r>
        <w:rPr>
          <w:i/>
          <w:sz w:val="19"/>
        </w:rPr>
        <w:t>Anxiety:</w:t>
      </w:r>
      <w:r>
        <w:rPr>
          <w:i/>
          <w:spacing w:val="40"/>
          <w:sz w:val="19"/>
        </w:rPr>
        <w:t> </w:t>
      </w:r>
      <w:r>
        <w:rPr>
          <w:i/>
          <w:sz w:val="19"/>
        </w:rPr>
        <w:t>Circulations</w:t>
      </w:r>
      <w:r>
        <w:rPr>
          <w:i/>
          <w:spacing w:val="40"/>
          <w:sz w:val="19"/>
        </w:rPr>
        <w:t> </w:t>
      </w:r>
      <w:r>
        <w:rPr>
          <w:i/>
          <w:sz w:val="19"/>
        </w:rPr>
        <w:t>of</w:t>
      </w:r>
      <w:r>
        <w:rPr>
          <w:i/>
          <w:spacing w:val="40"/>
          <w:sz w:val="19"/>
        </w:rPr>
        <w:t> </w:t>
      </w:r>
      <w:r>
        <w:rPr>
          <w:i/>
          <w:sz w:val="19"/>
        </w:rPr>
        <w:t>Sexuality in</w:t>
      </w:r>
      <w:r>
        <w:rPr>
          <w:i/>
          <w:spacing w:val="40"/>
          <w:sz w:val="19"/>
        </w:rPr>
        <w:t> </w:t>
      </w:r>
      <w:r>
        <w:rPr>
          <w:i/>
          <w:sz w:val="19"/>
        </w:rPr>
        <w:t>Shakespearean</w:t>
      </w:r>
      <w:r>
        <w:rPr>
          <w:i/>
          <w:spacing w:val="40"/>
          <w:sz w:val="19"/>
        </w:rPr>
        <w:t> </w:t>
      </w:r>
      <w:r>
        <w:rPr>
          <w:i/>
          <w:sz w:val="19"/>
        </w:rPr>
        <w:t>Drama</w:t>
      </w:r>
      <w:r>
        <w:rPr>
          <w:sz w:val="19"/>
        </w:rPr>
        <w:t>.</w:t>
      </w:r>
      <w:r>
        <w:rPr>
          <w:spacing w:val="40"/>
          <w:sz w:val="19"/>
        </w:rPr>
        <w:t> </w:t>
      </w:r>
      <w:r>
        <w:rPr>
          <w:sz w:val="19"/>
        </w:rPr>
        <w:t>Routledge,</w:t>
      </w:r>
      <w:r>
        <w:rPr>
          <w:spacing w:val="40"/>
          <w:sz w:val="19"/>
        </w:rPr>
        <w:t> </w:t>
      </w:r>
      <w:r>
        <w:rPr>
          <w:sz w:val="19"/>
        </w:rPr>
        <w:t>1992.</w:t>
      </w:r>
    </w:p>
    <w:p>
      <w:pPr>
        <w:pStyle w:val="ListParagraph"/>
        <w:numPr>
          <w:ilvl w:val="0"/>
          <w:numId w:val="75"/>
        </w:numPr>
        <w:tabs>
          <w:tab w:pos="2157" w:val="left" w:leader="none"/>
          <w:tab w:pos="2160" w:val="left" w:leader="none"/>
        </w:tabs>
        <w:spacing w:line="264" w:lineRule="auto" w:before="57" w:after="0"/>
        <w:ind w:left="2160" w:right="1438" w:hanging="315"/>
        <w:jc w:val="both"/>
        <w:rPr>
          <w:sz w:val="19"/>
        </w:rPr>
      </w:pPr>
      <w:r>
        <w:rPr>
          <w:sz w:val="19"/>
        </w:rPr>
        <w:t>Bloom, Harold. </w:t>
      </w:r>
      <w:r>
        <w:rPr>
          <w:i/>
          <w:sz w:val="19"/>
        </w:rPr>
        <w:t>Shakespeare: The Invention of the Human</w:t>
      </w:r>
      <w:r>
        <w:rPr>
          <w:sz w:val="19"/>
        </w:rPr>
        <w:t>. Riverhead</w:t>
      </w:r>
      <w:r>
        <w:rPr>
          <w:spacing w:val="40"/>
          <w:sz w:val="19"/>
        </w:rPr>
        <w:t> </w:t>
      </w:r>
      <w:r>
        <w:rPr>
          <w:sz w:val="19"/>
        </w:rPr>
        <w:t>Books,</w:t>
      </w:r>
      <w:r>
        <w:rPr>
          <w:spacing w:val="40"/>
          <w:sz w:val="19"/>
        </w:rPr>
        <w:t> </w:t>
      </w:r>
      <w:r>
        <w:rPr>
          <w:sz w:val="19"/>
        </w:rPr>
        <w:t>1998.</w:t>
      </w:r>
    </w:p>
    <w:p>
      <w:pPr>
        <w:pStyle w:val="ListParagraph"/>
        <w:numPr>
          <w:ilvl w:val="0"/>
          <w:numId w:val="75"/>
        </w:numPr>
        <w:tabs>
          <w:tab w:pos="2157" w:val="left" w:leader="none"/>
          <w:tab w:pos="2160" w:val="left" w:leader="none"/>
        </w:tabs>
        <w:spacing w:line="261" w:lineRule="auto" w:before="54" w:after="0"/>
        <w:ind w:left="2160" w:right="1437" w:hanging="315"/>
        <w:jc w:val="both"/>
        <w:rPr>
          <w:sz w:val="19"/>
        </w:rPr>
      </w:pPr>
      <w:r>
        <w:rPr>
          <w:spacing w:val="10"/>
          <w:sz w:val="19"/>
        </w:rPr>
        <w:t>Greenblatt,</w:t>
      </w:r>
      <w:r>
        <w:rPr>
          <w:spacing w:val="10"/>
          <w:sz w:val="19"/>
        </w:rPr>
        <w:t> Stephen.</w:t>
      </w:r>
      <w:r>
        <w:rPr>
          <w:spacing w:val="10"/>
          <w:sz w:val="19"/>
        </w:rPr>
        <w:t> </w:t>
      </w:r>
      <w:r>
        <w:rPr>
          <w:i/>
          <w:spacing w:val="11"/>
          <w:sz w:val="19"/>
        </w:rPr>
        <w:t>Shakespearean</w:t>
      </w:r>
      <w:r>
        <w:rPr>
          <w:i/>
          <w:spacing w:val="11"/>
          <w:sz w:val="19"/>
        </w:rPr>
        <w:t> Negotiations:</w:t>
      </w:r>
      <w:r>
        <w:rPr>
          <w:i/>
          <w:spacing w:val="11"/>
          <w:sz w:val="19"/>
        </w:rPr>
        <w:t> </w:t>
      </w:r>
      <w:r>
        <w:rPr>
          <w:i/>
          <w:sz w:val="19"/>
        </w:rPr>
        <w:t>The </w:t>
      </w:r>
      <w:r>
        <w:rPr>
          <w:i/>
          <w:spacing w:val="11"/>
          <w:sz w:val="19"/>
        </w:rPr>
        <w:t>Circulation</w:t>
      </w:r>
      <w:r>
        <w:rPr>
          <w:i/>
          <w:spacing w:val="11"/>
          <w:sz w:val="19"/>
        </w:rPr>
        <w:t> </w:t>
      </w:r>
      <w:r>
        <w:rPr>
          <w:i/>
          <w:sz w:val="19"/>
        </w:rPr>
        <w:t>of </w:t>
      </w:r>
      <w:r>
        <w:rPr>
          <w:i/>
          <w:spacing w:val="10"/>
          <w:sz w:val="19"/>
        </w:rPr>
        <w:t>Social</w:t>
      </w:r>
      <w:r>
        <w:rPr>
          <w:i/>
          <w:spacing w:val="10"/>
          <w:sz w:val="19"/>
        </w:rPr>
        <w:t> Energy</w:t>
      </w:r>
      <w:r>
        <w:rPr>
          <w:i/>
          <w:spacing w:val="10"/>
          <w:sz w:val="19"/>
        </w:rPr>
        <w:t> </w:t>
      </w:r>
      <w:r>
        <w:rPr>
          <w:i/>
          <w:sz w:val="19"/>
        </w:rPr>
        <w:t>in </w:t>
      </w:r>
      <w:r>
        <w:rPr>
          <w:i/>
          <w:spacing w:val="11"/>
          <w:sz w:val="19"/>
        </w:rPr>
        <w:t>Renaissance</w:t>
      </w:r>
      <w:r>
        <w:rPr>
          <w:i/>
          <w:spacing w:val="11"/>
          <w:sz w:val="19"/>
        </w:rPr>
        <w:t> England</w:t>
      </w:r>
      <w:r>
        <w:rPr>
          <w:spacing w:val="11"/>
          <w:sz w:val="19"/>
        </w:rPr>
        <w:t>. </w:t>
      </w:r>
      <w:r>
        <w:rPr>
          <w:sz w:val="19"/>
        </w:rPr>
        <w:t>University</w:t>
      </w:r>
      <w:r>
        <w:rPr>
          <w:spacing w:val="40"/>
          <w:sz w:val="19"/>
        </w:rPr>
        <w:t> </w:t>
      </w:r>
      <w:r>
        <w:rPr>
          <w:sz w:val="19"/>
        </w:rPr>
        <w:t>of</w:t>
      </w:r>
      <w:r>
        <w:rPr>
          <w:spacing w:val="40"/>
          <w:sz w:val="19"/>
        </w:rPr>
        <w:t> </w:t>
      </w:r>
      <w:r>
        <w:rPr>
          <w:sz w:val="19"/>
        </w:rPr>
        <w:t>California</w:t>
      </w:r>
      <w:r>
        <w:rPr>
          <w:spacing w:val="40"/>
          <w:sz w:val="19"/>
        </w:rPr>
        <w:t> </w:t>
      </w:r>
      <w:r>
        <w:rPr>
          <w:sz w:val="19"/>
        </w:rPr>
        <w:t>Press,</w:t>
      </w:r>
      <w:r>
        <w:rPr>
          <w:spacing w:val="40"/>
          <w:sz w:val="19"/>
        </w:rPr>
        <w:t> </w:t>
      </w:r>
      <w:r>
        <w:rPr>
          <w:sz w:val="19"/>
        </w:rPr>
        <w:t>1988.</w:t>
      </w:r>
    </w:p>
    <w:p>
      <w:pPr>
        <w:pStyle w:val="ListParagraph"/>
        <w:numPr>
          <w:ilvl w:val="0"/>
          <w:numId w:val="75"/>
        </w:numPr>
        <w:tabs>
          <w:tab w:pos="2157" w:val="left" w:leader="none"/>
          <w:tab w:pos="2160" w:val="left" w:leader="none"/>
        </w:tabs>
        <w:spacing w:line="261" w:lineRule="auto" w:before="59" w:after="0"/>
        <w:ind w:left="2160" w:right="1443" w:hanging="315"/>
        <w:jc w:val="both"/>
        <w:rPr>
          <w:sz w:val="19"/>
        </w:rPr>
      </w:pPr>
      <w:r>
        <w:rPr>
          <w:sz w:val="19"/>
        </w:rPr>
        <w:t>Caruth, Cathy. </w:t>
      </w:r>
      <w:r>
        <w:rPr>
          <w:i/>
          <w:sz w:val="19"/>
        </w:rPr>
        <w:t>Unclaimed Experience: Trauma, Narrative, and History</w:t>
      </w:r>
      <w:r>
        <w:rPr>
          <w:sz w:val="19"/>
        </w:rPr>
        <w:t>.</w:t>
      </w:r>
      <w:r>
        <w:rPr>
          <w:spacing w:val="40"/>
          <w:sz w:val="19"/>
        </w:rPr>
        <w:t> </w:t>
      </w:r>
      <w:r>
        <w:rPr>
          <w:sz w:val="19"/>
        </w:rPr>
        <w:t>Johns</w:t>
      </w:r>
      <w:r>
        <w:rPr>
          <w:spacing w:val="40"/>
          <w:sz w:val="19"/>
        </w:rPr>
        <w:t> </w:t>
      </w:r>
      <w:r>
        <w:rPr>
          <w:sz w:val="19"/>
        </w:rPr>
        <w:t>Hopkins</w:t>
      </w:r>
      <w:r>
        <w:rPr>
          <w:spacing w:val="40"/>
          <w:sz w:val="19"/>
        </w:rPr>
        <w:t> </w:t>
      </w:r>
      <w:r>
        <w:rPr>
          <w:sz w:val="19"/>
        </w:rPr>
        <w:t>University</w:t>
      </w:r>
      <w:r>
        <w:rPr>
          <w:spacing w:val="40"/>
          <w:sz w:val="19"/>
        </w:rPr>
        <w:t> </w:t>
      </w:r>
      <w:r>
        <w:rPr>
          <w:sz w:val="19"/>
        </w:rPr>
        <w:t>Press,</w:t>
      </w:r>
      <w:r>
        <w:rPr>
          <w:spacing w:val="40"/>
          <w:sz w:val="19"/>
        </w:rPr>
        <w:t> </w:t>
      </w:r>
      <w:r>
        <w:rPr>
          <w:sz w:val="19"/>
        </w:rPr>
        <w:t>1996.</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18240">
                <wp:simplePos x="0" y="0"/>
                <wp:positionH relativeFrom="page">
                  <wp:posOffset>2057400</wp:posOffset>
                </wp:positionH>
                <wp:positionV relativeFrom="page">
                  <wp:posOffset>1788723</wp:posOffset>
                </wp:positionV>
                <wp:extent cx="3656965" cy="140335"/>
                <wp:effectExtent l="0" t="0" r="0" b="0"/>
                <wp:wrapNone/>
                <wp:docPr id="717" name="Textbox 717"/>
                <wp:cNvGraphicFramePr>
                  <a:graphicFrameLocks/>
                </wp:cNvGraphicFramePr>
                <a:graphic>
                  <a:graphicData uri="http://schemas.microsoft.com/office/word/2010/wordprocessingShape">
                    <wps:wsp>
                      <wps:cNvPr id="717" name="Textbox 717"/>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360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298240" type="#_x0000_t202" id="docshape709"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360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718" name="Group 718"/>
                <wp:cNvGraphicFramePr>
                  <a:graphicFrameLocks/>
                </wp:cNvGraphicFramePr>
                <a:graphic>
                  <a:graphicData uri="http://schemas.microsoft.com/office/word/2010/wordprocessingGroup">
                    <wpg:wgp>
                      <wpg:cNvPr id="718" name="Group 718"/>
                      <wpg:cNvGrpSpPr/>
                      <wpg:grpSpPr>
                        <a:xfrm>
                          <a:off x="0" y="0"/>
                          <a:ext cx="4044950" cy="699770"/>
                          <a:chExt cx="4044950" cy="699770"/>
                        </a:xfrm>
                      </wpg:grpSpPr>
                      <wps:wsp>
                        <wps:cNvPr id="719" name="Graphic 719"/>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710" coordorigin="0,0" coordsize="6370,1102">
                <v:rect style="position:absolute;left:0;top:0;width:6370;height:1102" id="docshape711"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54080">
                <wp:simplePos x="0" y="0"/>
                <wp:positionH relativeFrom="page">
                  <wp:posOffset>3488435</wp:posOffset>
                </wp:positionH>
                <wp:positionV relativeFrom="paragraph">
                  <wp:posOffset>272922</wp:posOffset>
                </wp:positionV>
                <wp:extent cx="728980" cy="655320"/>
                <wp:effectExtent l="0" t="0" r="0" b="0"/>
                <wp:wrapTopAndBottom/>
                <wp:docPr id="720" name="Group 720"/>
                <wp:cNvGraphicFramePr>
                  <a:graphicFrameLocks/>
                </wp:cNvGraphicFramePr>
                <a:graphic>
                  <a:graphicData uri="http://schemas.microsoft.com/office/word/2010/wordprocessingGroup">
                    <wpg:wgp>
                      <wpg:cNvPr id="720" name="Group 720"/>
                      <wpg:cNvGrpSpPr/>
                      <wpg:grpSpPr>
                        <a:xfrm>
                          <a:off x="0" y="0"/>
                          <a:ext cx="728980" cy="655320"/>
                          <a:chExt cx="728980" cy="655320"/>
                        </a:xfrm>
                      </wpg:grpSpPr>
                      <pic:pic>
                        <pic:nvPicPr>
                          <pic:cNvPr id="721" name="Image 721"/>
                          <pic:cNvPicPr/>
                        </pic:nvPicPr>
                        <pic:blipFill>
                          <a:blip r:embed="rId99" cstate="print"/>
                          <a:stretch>
                            <a:fillRect/>
                          </a:stretch>
                        </pic:blipFill>
                        <pic:spPr>
                          <a:xfrm>
                            <a:off x="0" y="0"/>
                            <a:ext cx="728471" cy="655320"/>
                          </a:xfrm>
                          <a:prstGeom prst="rect">
                            <a:avLst/>
                          </a:prstGeom>
                        </pic:spPr>
                      </pic:pic>
                      <wps:wsp>
                        <wps:cNvPr id="722" name="Textbox 722"/>
                        <wps:cNvSpPr txBox="1"/>
                        <wps:spPr>
                          <a:xfrm>
                            <a:off x="0" y="0"/>
                            <a:ext cx="728980" cy="655320"/>
                          </a:xfrm>
                          <a:prstGeom prst="rect">
                            <a:avLst/>
                          </a:prstGeom>
                        </wps:spPr>
                        <wps:txbx>
                          <w:txbxContent>
                            <w:p>
                              <w:pPr>
                                <w:spacing w:before="350"/>
                                <w:ind w:left="432" w:right="0" w:firstLine="0"/>
                                <w:jc w:val="left"/>
                                <w:rPr>
                                  <w:rFonts w:ascii="Tahoma"/>
                                  <w:b/>
                                  <w:sz w:val="36"/>
                                </w:rPr>
                              </w:pPr>
                              <w:r>
                                <w:rPr>
                                  <w:rFonts w:ascii="Tahoma"/>
                                  <w:b/>
                                  <w:spacing w:val="-5"/>
                                  <w:w w:val="95"/>
                                  <w:sz w:val="36"/>
                                </w:rPr>
                                <w:t>36</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462400;mso-wrap-distance-left:0;mso-wrap-distance-right:0" id="docshapegroup712" coordorigin="5494,430" coordsize="1148,1032">
                <v:shape style="position:absolute;left:5493;top:429;width:1148;height:1032" type="#_x0000_t75" id="docshape713" stroked="false">
                  <v:imagedata r:id="rId99" o:title=""/>
                </v:shape>
                <v:shape style="position:absolute;left:5493;top:429;width:1148;height:1032" type="#_x0000_t202" id="docshape714" filled="false" stroked="false">
                  <v:textbox inset="0,0,0,0">
                    <w:txbxContent>
                      <w:p>
                        <w:pPr>
                          <w:spacing w:before="350"/>
                          <w:ind w:left="432" w:right="0" w:firstLine="0"/>
                          <w:jc w:val="left"/>
                          <w:rPr>
                            <w:rFonts w:ascii="Tahoma"/>
                            <w:b/>
                            <w:sz w:val="36"/>
                          </w:rPr>
                        </w:pPr>
                        <w:r>
                          <w:rPr>
                            <w:rFonts w:ascii="Tahoma"/>
                            <w:b/>
                            <w:spacing w:val="-5"/>
                            <w:w w:val="95"/>
                            <w:sz w:val="36"/>
                          </w:rPr>
                          <w:t>36</w:t>
                        </w:r>
                      </w:p>
                    </w:txbxContent>
                  </v:textbox>
                  <w10:wrap type="none"/>
                </v:shape>
                <w10:wrap type="topAndBottom"/>
              </v:group>
            </w:pict>
          </mc:Fallback>
        </mc:AlternateContent>
      </w:r>
    </w:p>
    <w:p>
      <w:pPr>
        <w:pStyle w:val="Heading1"/>
        <w:spacing w:line="211" w:lineRule="auto" w:before="4"/>
        <w:ind w:left="2008" w:right="2018"/>
      </w:pPr>
      <w:r>
        <w:rPr/>
        <w:t>Women</w:t>
      </w:r>
      <w:r>
        <w:rPr>
          <w:spacing w:val="-16"/>
        </w:rPr>
        <w:t> </w:t>
      </w:r>
      <w:r>
        <w:rPr/>
        <w:t>and</w:t>
      </w:r>
      <w:r>
        <w:rPr>
          <w:spacing w:val="-13"/>
        </w:rPr>
        <w:t> </w:t>
      </w:r>
      <w:r>
        <w:rPr/>
        <w:t>Mental</w:t>
      </w:r>
      <w:r>
        <w:rPr>
          <w:spacing w:val="-15"/>
        </w:rPr>
        <w:t> </w:t>
      </w:r>
      <w:r>
        <w:rPr/>
        <w:t>Health</w:t>
      </w:r>
      <w:r>
        <w:rPr>
          <w:spacing w:val="-16"/>
        </w:rPr>
        <w:t> </w:t>
      </w:r>
      <w:r>
        <w:rPr/>
        <w:t>in Shakespeare’s Plays: A</w:t>
      </w:r>
    </w:p>
    <w:p>
      <w:pPr>
        <w:tabs>
          <w:tab w:pos="383" w:val="left" w:leader="none"/>
          <w:tab w:pos="5759" w:val="left" w:leader="none"/>
        </w:tabs>
        <w:spacing w:line="350" w:lineRule="exact" w:before="0"/>
        <w:ind w:left="0" w:right="0" w:firstLine="0"/>
        <w:jc w:val="center"/>
        <w:rPr>
          <w:rFonts w:ascii="Tahoma"/>
          <w:b/>
          <w:sz w:val="32"/>
        </w:rPr>
      </w:pPr>
      <w:r>
        <w:rPr>
          <w:rFonts w:ascii="Tahoma"/>
          <w:b/>
          <w:sz w:val="32"/>
          <w:u w:val="single"/>
        </w:rPr>
        <w:tab/>
      </w:r>
      <w:r>
        <w:rPr>
          <w:rFonts w:ascii="Tahoma"/>
          <w:b/>
          <w:spacing w:val="-4"/>
          <w:sz w:val="32"/>
          <w:u w:val="single"/>
        </w:rPr>
        <w:t>Comprehensive</w:t>
      </w:r>
      <w:r>
        <w:rPr>
          <w:rFonts w:ascii="Tahoma"/>
          <w:b/>
          <w:spacing w:val="-5"/>
          <w:sz w:val="32"/>
          <w:u w:val="single"/>
        </w:rPr>
        <w:t> </w:t>
      </w:r>
      <w:r>
        <w:rPr>
          <w:rFonts w:ascii="Tahoma"/>
          <w:b/>
          <w:spacing w:val="-4"/>
          <w:sz w:val="32"/>
          <w:u w:val="single"/>
        </w:rPr>
        <w:t>Critical Analysis</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854592">
                <wp:simplePos x="0" y="0"/>
                <wp:positionH relativeFrom="page">
                  <wp:posOffset>2057400</wp:posOffset>
                </wp:positionH>
                <wp:positionV relativeFrom="paragraph">
                  <wp:posOffset>60051</wp:posOffset>
                </wp:positionV>
                <wp:extent cx="3657600" cy="7620"/>
                <wp:effectExtent l="0" t="0" r="0" b="0"/>
                <wp:wrapTopAndBottom/>
                <wp:docPr id="723" name="Graphic 723"/>
                <wp:cNvGraphicFramePr>
                  <a:graphicFrameLocks/>
                </wp:cNvGraphicFramePr>
                <a:graphic>
                  <a:graphicData uri="http://schemas.microsoft.com/office/word/2010/wordprocessingShape">
                    <wps:wsp>
                      <wps:cNvPr id="723" name="Graphic 723"/>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35pt;width:288.000009pt;height:.599991pt;mso-position-horizontal-relative:page;mso-position-vertical-relative:paragraph;z-index:-15461888;mso-wrap-distance-left:0;mso-wrap-distance-right:0" id="docshape715" filled="true" fillcolor="#000000" stroked="false">
                <v:fill type="solid"/>
                <w10:wrap type="topAndBottom"/>
              </v:rect>
            </w:pict>
          </mc:Fallback>
        </mc:AlternateContent>
      </w:r>
    </w:p>
    <w:p>
      <w:pPr>
        <w:pStyle w:val="BodyText"/>
        <w:spacing w:before="13"/>
        <w:ind w:left="0"/>
        <w:rPr>
          <w:rFonts w:ascii="Tahoma"/>
          <w:b/>
          <w:sz w:val="32"/>
        </w:rPr>
      </w:pPr>
    </w:p>
    <w:p>
      <w:pPr>
        <w:spacing w:line="252" w:lineRule="auto" w:before="0"/>
        <w:ind w:left="1948" w:right="1438" w:firstLine="4140"/>
        <w:jc w:val="right"/>
        <w:rPr>
          <w:i/>
          <w:sz w:val="19"/>
        </w:rPr>
      </w:pPr>
      <w:r>
        <w:rPr>
          <w:b/>
          <w:i/>
          <w:sz w:val="22"/>
        </w:rPr>
        <w:t>B.</w:t>
      </w:r>
      <w:r>
        <w:rPr>
          <w:b/>
          <w:i/>
          <w:spacing w:val="47"/>
          <w:sz w:val="22"/>
        </w:rPr>
        <w:t> </w:t>
      </w:r>
      <w:r>
        <w:rPr>
          <w:b/>
          <w:i/>
          <w:sz w:val="22"/>
        </w:rPr>
        <w:t>Sreedev</w:t>
      </w:r>
      <w:r>
        <w:rPr>
          <w:b/>
          <w:i/>
          <w:sz w:val="22"/>
        </w:rPr>
        <w:t>i </w:t>
      </w:r>
      <w:r>
        <w:rPr>
          <w:i/>
          <w:sz w:val="19"/>
        </w:rPr>
        <w:t>Lecturer,</w:t>
      </w:r>
      <w:r>
        <w:rPr>
          <w:i/>
          <w:spacing w:val="40"/>
          <w:sz w:val="19"/>
        </w:rPr>
        <w:t> </w:t>
      </w:r>
      <w:r>
        <w:rPr>
          <w:i/>
          <w:sz w:val="19"/>
        </w:rPr>
        <w:t>Department</w:t>
      </w:r>
      <w:r>
        <w:rPr>
          <w:i/>
          <w:spacing w:val="40"/>
          <w:sz w:val="19"/>
        </w:rPr>
        <w:t> </w:t>
      </w:r>
      <w:r>
        <w:rPr>
          <w:i/>
          <w:sz w:val="19"/>
        </w:rPr>
        <w:t>of</w:t>
      </w:r>
      <w:r>
        <w:rPr>
          <w:i/>
          <w:spacing w:val="40"/>
          <w:sz w:val="19"/>
        </w:rPr>
        <w:t> </w:t>
      </w:r>
      <w:r>
        <w:rPr>
          <w:i/>
          <w:sz w:val="19"/>
        </w:rPr>
        <w:t>English,</w:t>
      </w:r>
      <w:r>
        <w:rPr>
          <w:i/>
          <w:spacing w:val="40"/>
          <w:sz w:val="19"/>
        </w:rPr>
        <w:t> </w:t>
      </w:r>
      <w:r>
        <w:rPr>
          <w:i/>
          <w:sz w:val="19"/>
        </w:rPr>
        <w:t>S.V.</w:t>
      </w:r>
      <w:r>
        <w:rPr>
          <w:i/>
          <w:spacing w:val="40"/>
          <w:sz w:val="19"/>
        </w:rPr>
        <w:t> </w:t>
      </w:r>
      <w:r>
        <w:rPr>
          <w:i/>
          <w:sz w:val="19"/>
        </w:rPr>
        <w:t>Arts</w:t>
      </w:r>
      <w:r>
        <w:rPr>
          <w:i/>
          <w:spacing w:val="40"/>
          <w:sz w:val="19"/>
        </w:rPr>
        <w:t> </w:t>
      </w:r>
      <w:r>
        <w:rPr>
          <w:i/>
          <w:sz w:val="19"/>
        </w:rPr>
        <w:t>College (Autonomous),</w:t>
      </w:r>
      <w:r>
        <w:rPr>
          <w:i/>
          <w:spacing w:val="40"/>
          <w:sz w:val="19"/>
        </w:rPr>
        <w:t> </w:t>
      </w:r>
      <w:r>
        <w:rPr>
          <w:i/>
          <w:sz w:val="19"/>
        </w:rPr>
        <w:t>Accredited</w:t>
      </w:r>
      <w:r>
        <w:rPr>
          <w:i/>
          <w:spacing w:val="40"/>
          <w:sz w:val="19"/>
        </w:rPr>
        <w:t> </w:t>
      </w:r>
      <w:r>
        <w:rPr>
          <w:i/>
          <w:sz w:val="19"/>
        </w:rPr>
        <w:t>By</w:t>
      </w:r>
      <w:r>
        <w:rPr>
          <w:i/>
          <w:spacing w:val="40"/>
          <w:sz w:val="19"/>
        </w:rPr>
        <w:t> </w:t>
      </w:r>
      <w:r>
        <w:rPr>
          <w:i/>
          <w:sz w:val="19"/>
        </w:rPr>
        <w:t>NAAC</w:t>
      </w:r>
      <w:r>
        <w:rPr>
          <w:i/>
          <w:spacing w:val="40"/>
          <w:sz w:val="19"/>
        </w:rPr>
        <w:t> </w:t>
      </w:r>
      <w:r>
        <w:rPr>
          <w:i/>
          <w:sz w:val="19"/>
        </w:rPr>
        <w:t>With</w:t>
      </w:r>
      <w:r>
        <w:rPr>
          <w:i/>
          <w:spacing w:val="40"/>
          <w:sz w:val="19"/>
        </w:rPr>
        <w:t> </w:t>
      </w:r>
      <w:r>
        <w:rPr>
          <w:i/>
          <w:sz w:val="19"/>
        </w:rPr>
        <w:t>A+</w:t>
      </w:r>
      <w:r>
        <w:rPr>
          <w:i/>
          <w:spacing w:val="40"/>
          <w:sz w:val="19"/>
        </w:rPr>
        <w:t> </w:t>
      </w:r>
      <w:r>
        <w:rPr>
          <w:i/>
          <w:sz w:val="19"/>
        </w:rPr>
        <w:t>Grade,</w:t>
      </w:r>
      <w:r>
        <w:rPr>
          <w:i/>
          <w:spacing w:val="40"/>
          <w:sz w:val="19"/>
        </w:rPr>
        <w:t> </w:t>
      </w:r>
      <w:r>
        <w:rPr>
          <w:i/>
          <w:sz w:val="19"/>
        </w:rPr>
        <w:t>Tirumala Tirupati</w:t>
      </w:r>
      <w:r>
        <w:rPr>
          <w:i/>
          <w:spacing w:val="40"/>
          <w:sz w:val="19"/>
        </w:rPr>
        <w:t> </w:t>
      </w:r>
      <w:r>
        <w:rPr>
          <w:i/>
          <w:sz w:val="19"/>
        </w:rPr>
        <w:t>Devasthanams</w:t>
      </w:r>
      <w:r>
        <w:rPr>
          <w:i/>
          <w:spacing w:val="40"/>
          <w:sz w:val="19"/>
        </w:rPr>
        <w:t> </w:t>
      </w:r>
      <w:r>
        <w:rPr>
          <w:i/>
          <w:sz w:val="19"/>
        </w:rPr>
        <w:t>(TTD),</w:t>
      </w:r>
      <w:r>
        <w:rPr>
          <w:i/>
          <w:spacing w:val="40"/>
          <w:sz w:val="19"/>
        </w:rPr>
        <w:t> </w:t>
      </w:r>
      <w:r>
        <w:rPr>
          <w:i/>
          <w:sz w:val="19"/>
        </w:rPr>
        <w:t>Tirupati</w:t>
      </w:r>
      <w:r>
        <w:rPr>
          <w:i/>
          <w:spacing w:val="40"/>
          <w:sz w:val="19"/>
        </w:rPr>
        <w:t> </w:t>
      </w:r>
      <w:r>
        <w:rPr>
          <w:i/>
          <w:sz w:val="19"/>
        </w:rPr>
        <w:t>–</w:t>
      </w:r>
      <w:r>
        <w:rPr>
          <w:i/>
          <w:spacing w:val="40"/>
          <w:sz w:val="19"/>
        </w:rPr>
        <w:t> </w:t>
      </w:r>
      <w:r>
        <w:rPr>
          <w:i/>
          <w:sz w:val="19"/>
        </w:rPr>
        <w:t>517502</w:t>
      </w:r>
    </w:p>
    <w:p>
      <w:pPr>
        <w:pStyle w:val="BodyText"/>
        <w:spacing w:before="149"/>
        <w:ind w:left="0"/>
        <w:rPr>
          <w:i/>
          <w:sz w:val="19"/>
        </w:rPr>
      </w:pPr>
    </w:p>
    <w:p>
      <w:pPr>
        <w:pStyle w:val="Heading3"/>
        <w:spacing w:before="0"/>
      </w:pPr>
      <w:r>
        <w:rPr>
          <w:spacing w:val="-2"/>
        </w:rPr>
        <w:t>ABSTRACT</w:t>
      </w:r>
    </w:p>
    <w:p>
      <w:pPr>
        <w:pStyle w:val="BodyText"/>
        <w:spacing w:line="249" w:lineRule="auto" w:before="78"/>
        <w:ind w:right="1437" w:firstLine="432"/>
        <w:jc w:val="both"/>
      </w:pPr>
      <w:r>
        <w:rPr/>
        <w:t>Rather than treating female madness in Shakespeare as a simple emotional collapse,</w:t>
      </w:r>
      <w:r>
        <w:rPr>
          <w:spacing w:val="-1"/>
        </w:rPr>
        <w:t> </w:t>
      </w:r>
      <w:r>
        <w:rPr/>
        <w:t>it</w:t>
      </w:r>
      <w:r>
        <w:rPr>
          <w:spacing w:val="-1"/>
        </w:rPr>
        <w:t> </w:t>
      </w:r>
      <w:r>
        <w:rPr/>
        <w:t>is</w:t>
      </w:r>
      <w:r>
        <w:rPr>
          <w:spacing w:val="-3"/>
        </w:rPr>
        <w:t> </w:t>
      </w:r>
      <w:r>
        <w:rPr/>
        <w:t>more</w:t>
      </w:r>
      <w:r>
        <w:rPr>
          <w:spacing w:val="-1"/>
        </w:rPr>
        <w:t> </w:t>
      </w:r>
      <w:r>
        <w:rPr/>
        <w:t>appropriate</w:t>
      </w:r>
      <w:r>
        <w:rPr>
          <w:spacing w:val="-1"/>
        </w:rPr>
        <w:t> </w:t>
      </w:r>
      <w:r>
        <w:rPr/>
        <w:t>to examine</w:t>
      </w:r>
      <w:r>
        <w:rPr>
          <w:spacing w:val="-1"/>
        </w:rPr>
        <w:t> </w:t>
      </w:r>
      <w:r>
        <w:rPr/>
        <w:t>it</w:t>
      </w:r>
      <w:r>
        <w:rPr>
          <w:spacing w:val="-1"/>
        </w:rPr>
        <w:t> </w:t>
      </w:r>
      <w:r>
        <w:rPr/>
        <w:t>as</w:t>
      </w:r>
      <w:r>
        <w:rPr>
          <w:spacing w:val="-1"/>
        </w:rPr>
        <w:t> </w:t>
      </w:r>
      <w:r>
        <w:rPr/>
        <w:t>a</w:t>
      </w:r>
      <w:r>
        <w:rPr>
          <w:spacing w:val="-1"/>
        </w:rPr>
        <w:t> </w:t>
      </w:r>
      <w:r>
        <w:rPr/>
        <w:t>response</w:t>
      </w:r>
      <w:r>
        <w:rPr>
          <w:spacing w:val="-1"/>
        </w:rPr>
        <w:t> </w:t>
      </w:r>
      <w:r>
        <w:rPr/>
        <w:t>to restrictive patriarchal society. This paper explores the representation of women and mental health in Shakespeare’s plays through a detailed </w:t>
      </w:r>
      <w:r>
        <w:rPr>
          <w:spacing w:val="-2"/>
        </w:rPr>
        <w:t>literary,</w:t>
      </w:r>
      <w:r>
        <w:rPr>
          <w:spacing w:val="-11"/>
        </w:rPr>
        <w:t> </w:t>
      </w:r>
      <w:r>
        <w:rPr>
          <w:spacing w:val="-2"/>
        </w:rPr>
        <w:t>psychological,</w:t>
      </w:r>
      <w:r>
        <w:rPr>
          <w:spacing w:val="-10"/>
        </w:rPr>
        <w:t> </w:t>
      </w:r>
      <w:r>
        <w:rPr>
          <w:spacing w:val="-2"/>
        </w:rPr>
        <w:t>and</w:t>
      </w:r>
      <w:r>
        <w:rPr>
          <w:spacing w:val="-11"/>
        </w:rPr>
        <w:t> </w:t>
      </w:r>
      <w:r>
        <w:rPr>
          <w:spacing w:val="-2"/>
        </w:rPr>
        <w:t>feminist</w:t>
      </w:r>
      <w:r>
        <w:rPr>
          <w:spacing w:val="-10"/>
        </w:rPr>
        <w:t> </w:t>
      </w:r>
      <w:r>
        <w:rPr>
          <w:spacing w:val="-2"/>
        </w:rPr>
        <w:t>analysis.</w:t>
      </w:r>
      <w:r>
        <w:rPr>
          <w:spacing w:val="-11"/>
        </w:rPr>
        <w:t> </w:t>
      </w:r>
      <w:r>
        <w:rPr>
          <w:spacing w:val="-2"/>
        </w:rPr>
        <w:t>We</w:t>
      </w:r>
      <w:r>
        <w:rPr>
          <w:spacing w:val="-10"/>
        </w:rPr>
        <w:t> </w:t>
      </w:r>
      <w:r>
        <w:rPr>
          <w:spacing w:val="-2"/>
        </w:rPr>
        <w:t>approach</w:t>
      </w:r>
      <w:r>
        <w:rPr>
          <w:spacing w:val="-11"/>
        </w:rPr>
        <w:t> </w:t>
      </w:r>
      <w:r>
        <w:rPr>
          <w:spacing w:val="-2"/>
        </w:rPr>
        <w:t>Shakespeare’s </w:t>
      </w:r>
      <w:r>
        <w:rPr/>
        <w:t>women</w:t>
      </w:r>
      <w:r>
        <w:rPr>
          <w:spacing w:val="-7"/>
        </w:rPr>
        <w:t> </w:t>
      </w:r>
      <w:r>
        <w:rPr/>
        <w:t>not</w:t>
      </w:r>
      <w:r>
        <w:rPr>
          <w:spacing w:val="-6"/>
        </w:rPr>
        <w:t> </w:t>
      </w:r>
      <w:r>
        <w:rPr/>
        <w:t>as</w:t>
      </w:r>
      <w:r>
        <w:rPr>
          <w:spacing w:val="-6"/>
        </w:rPr>
        <w:t> </w:t>
      </w:r>
      <w:r>
        <w:rPr/>
        <w:t>inherently</w:t>
      </w:r>
      <w:r>
        <w:rPr>
          <w:spacing w:val="-9"/>
        </w:rPr>
        <w:t> </w:t>
      </w:r>
      <w:r>
        <w:rPr/>
        <w:t>fragile,</w:t>
      </w:r>
      <w:r>
        <w:rPr>
          <w:spacing w:val="-6"/>
        </w:rPr>
        <w:t> </w:t>
      </w:r>
      <w:r>
        <w:rPr/>
        <w:t>but</w:t>
      </w:r>
      <w:r>
        <w:rPr>
          <w:spacing w:val="-6"/>
        </w:rPr>
        <w:t> </w:t>
      </w:r>
      <w:r>
        <w:rPr/>
        <w:t>as</w:t>
      </w:r>
      <w:r>
        <w:rPr>
          <w:spacing w:val="-6"/>
        </w:rPr>
        <w:t> </w:t>
      </w:r>
      <w:r>
        <w:rPr/>
        <w:t>individuals</w:t>
      </w:r>
      <w:r>
        <w:rPr>
          <w:spacing w:val="-7"/>
        </w:rPr>
        <w:t> </w:t>
      </w:r>
      <w:r>
        <w:rPr/>
        <w:t>whose</w:t>
      </w:r>
      <w:r>
        <w:rPr>
          <w:spacing w:val="-6"/>
        </w:rPr>
        <w:t> </w:t>
      </w:r>
      <w:r>
        <w:rPr/>
        <w:t>psychological states</w:t>
      </w:r>
      <w:r>
        <w:rPr>
          <w:spacing w:val="-6"/>
        </w:rPr>
        <w:t> </w:t>
      </w:r>
      <w:r>
        <w:rPr/>
        <w:t>are</w:t>
      </w:r>
      <w:r>
        <w:rPr>
          <w:spacing w:val="-4"/>
        </w:rPr>
        <w:t> </w:t>
      </w:r>
      <w:r>
        <w:rPr/>
        <w:t>shaped</w:t>
      </w:r>
      <w:r>
        <w:rPr>
          <w:spacing w:val="-4"/>
        </w:rPr>
        <w:t> </w:t>
      </w:r>
      <w:r>
        <w:rPr/>
        <w:t>by</w:t>
      </w:r>
      <w:r>
        <w:rPr>
          <w:spacing w:val="-8"/>
        </w:rPr>
        <w:t> </w:t>
      </w:r>
      <w:r>
        <w:rPr/>
        <w:t>social</w:t>
      </w:r>
      <w:r>
        <w:rPr>
          <w:spacing w:val="-5"/>
        </w:rPr>
        <w:t> </w:t>
      </w:r>
      <w:r>
        <w:rPr/>
        <w:t>control,</w:t>
      </w:r>
      <w:r>
        <w:rPr>
          <w:spacing w:val="-2"/>
        </w:rPr>
        <w:t> </w:t>
      </w:r>
      <w:r>
        <w:rPr/>
        <w:t>emotional</w:t>
      </w:r>
      <w:r>
        <w:rPr>
          <w:spacing w:val="-6"/>
        </w:rPr>
        <w:t> </w:t>
      </w:r>
      <w:r>
        <w:rPr/>
        <w:t>suppression</w:t>
      </w:r>
      <w:r>
        <w:rPr>
          <w:spacing w:val="-4"/>
        </w:rPr>
        <w:t> </w:t>
      </w:r>
      <w:r>
        <w:rPr/>
        <w:t>and</w:t>
      </w:r>
      <w:r>
        <w:rPr>
          <w:spacing w:val="-6"/>
        </w:rPr>
        <w:t> </w:t>
      </w:r>
      <w:r>
        <w:rPr/>
        <w:t>relational dependency. Focusing on major tragedies such as Hamlet, Macbeth, Othello, and King Lear, the paper examines how female characters experience</w:t>
      </w:r>
      <w:r>
        <w:rPr>
          <w:spacing w:val="-5"/>
        </w:rPr>
        <w:t> </w:t>
      </w:r>
      <w:r>
        <w:rPr/>
        <w:t>emotional</w:t>
      </w:r>
      <w:r>
        <w:rPr>
          <w:spacing w:val="-3"/>
        </w:rPr>
        <w:t> </w:t>
      </w:r>
      <w:r>
        <w:rPr/>
        <w:t>distress,</w:t>
      </w:r>
      <w:r>
        <w:rPr>
          <w:spacing w:val="-3"/>
        </w:rPr>
        <w:t> </w:t>
      </w:r>
      <w:r>
        <w:rPr/>
        <w:t>trauma,</w:t>
      </w:r>
      <w:r>
        <w:rPr>
          <w:spacing w:val="-5"/>
        </w:rPr>
        <w:t> </w:t>
      </w:r>
      <w:r>
        <w:rPr/>
        <w:t>and</w:t>
      </w:r>
      <w:r>
        <w:rPr>
          <w:spacing w:val="-2"/>
        </w:rPr>
        <w:t> </w:t>
      </w:r>
      <w:r>
        <w:rPr/>
        <w:t>psychological</w:t>
      </w:r>
      <w:r>
        <w:rPr>
          <w:spacing w:val="-5"/>
        </w:rPr>
        <w:t> </w:t>
      </w:r>
      <w:r>
        <w:rPr/>
        <w:t>fragmentation within a patriarchal framework. Shakespeare’s nuanced portrayal of women’s mental states reflects both the limitations of Elizabethan understanding</w:t>
      </w:r>
      <w:r>
        <w:rPr>
          <w:spacing w:val="-13"/>
        </w:rPr>
        <w:t> </w:t>
      </w:r>
      <w:r>
        <w:rPr/>
        <w:t>and</w:t>
      </w:r>
      <w:r>
        <w:rPr>
          <w:spacing w:val="-12"/>
        </w:rPr>
        <w:t> </w:t>
      </w:r>
      <w:r>
        <w:rPr/>
        <w:t>a</w:t>
      </w:r>
      <w:r>
        <w:rPr>
          <w:spacing w:val="-13"/>
        </w:rPr>
        <w:t> </w:t>
      </w:r>
      <w:r>
        <w:rPr/>
        <w:t>surprisingly</w:t>
      </w:r>
      <w:r>
        <w:rPr>
          <w:spacing w:val="-12"/>
        </w:rPr>
        <w:t> </w:t>
      </w:r>
      <w:r>
        <w:rPr/>
        <w:t>modern</w:t>
      </w:r>
      <w:r>
        <w:rPr>
          <w:spacing w:val="-13"/>
        </w:rPr>
        <w:t> </w:t>
      </w:r>
      <w:r>
        <w:rPr/>
        <w:t>insight</w:t>
      </w:r>
      <w:r>
        <w:rPr>
          <w:spacing w:val="-12"/>
        </w:rPr>
        <w:t> </w:t>
      </w:r>
      <w:r>
        <w:rPr/>
        <w:t>into</w:t>
      </w:r>
      <w:r>
        <w:rPr>
          <w:spacing w:val="-13"/>
        </w:rPr>
        <w:t> </w:t>
      </w:r>
      <w:r>
        <w:rPr/>
        <w:t>human</w:t>
      </w:r>
      <w:r>
        <w:rPr>
          <w:spacing w:val="-12"/>
        </w:rPr>
        <w:t> </w:t>
      </w:r>
      <w:r>
        <w:rPr/>
        <w:t>psychology. This study argues that female madness in Shakespeare is not merely an individual condition but a socially constructed phenomenon shaped by repression, loss, and systemic gender inequality. By analyzing key characters such as Ophelia, Lady Macbeth, Desdemona and Cordelia, the</w:t>
      </w:r>
      <w:r>
        <w:rPr>
          <w:spacing w:val="-13"/>
        </w:rPr>
        <w:t> </w:t>
      </w:r>
      <w:r>
        <w:rPr/>
        <w:t>paper</w:t>
      </w:r>
      <w:r>
        <w:rPr>
          <w:spacing w:val="-12"/>
        </w:rPr>
        <w:t> </w:t>
      </w:r>
      <w:r>
        <w:rPr/>
        <w:t>highlights</w:t>
      </w:r>
      <w:r>
        <w:rPr>
          <w:spacing w:val="-13"/>
        </w:rPr>
        <w:t> </w:t>
      </w:r>
      <w:r>
        <w:rPr/>
        <w:t>how</w:t>
      </w:r>
      <w:r>
        <w:rPr>
          <w:spacing w:val="-12"/>
        </w:rPr>
        <w:t> </w:t>
      </w:r>
      <w:r>
        <w:rPr/>
        <w:t>silence,</w:t>
      </w:r>
      <w:r>
        <w:rPr>
          <w:spacing w:val="-13"/>
        </w:rPr>
        <w:t> </w:t>
      </w:r>
      <w:r>
        <w:rPr/>
        <w:t>submission,</w:t>
      </w:r>
      <w:r>
        <w:rPr>
          <w:spacing w:val="-12"/>
        </w:rPr>
        <w:t> </w:t>
      </w:r>
      <w:r>
        <w:rPr/>
        <w:t>and</w:t>
      </w:r>
      <w:r>
        <w:rPr>
          <w:spacing w:val="-12"/>
        </w:rPr>
        <w:t> </w:t>
      </w:r>
      <w:r>
        <w:rPr/>
        <w:t>emotional</w:t>
      </w:r>
      <w:r>
        <w:rPr>
          <w:spacing w:val="-12"/>
        </w:rPr>
        <w:t> </w:t>
      </w:r>
      <w:r>
        <w:rPr/>
        <w:t>suppression contribute</w:t>
      </w:r>
      <w:r>
        <w:rPr>
          <w:spacing w:val="17"/>
        </w:rPr>
        <w:t> </w:t>
      </w:r>
      <w:r>
        <w:rPr/>
        <w:t>to</w:t>
      </w:r>
      <w:r>
        <w:rPr>
          <w:spacing w:val="16"/>
        </w:rPr>
        <w:t> </w:t>
      </w:r>
      <w:r>
        <w:rPr/>
        <w:t>mental</w:t>
      </w:r>
      <w:r>
        <w:rPr>
          <w:spacing w:val="17"/>
        </w:rPr>
        <w:t> </w:t>
      </w:r>
      <w:r>
        <w:rPr/>
        <w:t>deterioration.</w:t>
      </w:r>
      <w:r>
        <w:rPr>
          <w:spacing w:val="14"/>
        </w:rPr>
        <w:t> </w:t>
      </w:r>
      <w:r>
        <w:rPr/>
        <w:t>It</w:t>
      </w:r>
      <w:r>
        <w:rPr>
          <w:spacing w:val="17"/>
        </w:rPr>
        <w:t> </w:t>
      </w:r>
      <w:r>
        <w:rPr/>
        <w:t>also</w:t>
      </w:r>
      <w:r>
        <w:rPr>
          <w:spacing w:val="16"/>
        </w:rPr>
        <w:t> </w:t>
      </w:r>
      <w:r>
        <w:rPr/>
        <w:t>integrates</w:t>
      </w:r>
      <w:r>
        <w:rPr>
          <w:spacing w:val="16"/>
        </w:rPr>
        <w:t> </w:t>
      </w:r>
      <w:r>
        <w:rPr/>
        <w:t>feminist</w:t>
      </w:r>
      <w:r>
        <w:rPr>
          <w:spacing w:val="15"/>
        </w:rPr>
        <w:t> </w:t>
      </w:r>
      <w:r>
        <w:rPr/>
        <w:t>theory</w:t>
      </w:r>
      <w:r>
        <w:rPr>
          <w:spacing w:val="13"/>
        </w:rPr>
        <w:t> </w:t>
      </w:r>
      <w:r>
        <w:rPr>
          <w:spacing w:val="-5"/>
        </w:rPr>
        <w:t>to</w:t>
      </w:r>
    </w:p>
    <w:p>
      <w:pPr>
        <w:pStyle w:val="BodyText"/>
        <w:spacing w:after="0" w:line="249" w:lineRule="auto"/>
        <w:jc w:val="both"/>
        <w:sectPr>
          <w:pgSz w:w="12240" w:h="15840"/>
          <w:pgMar w:top="1820" w:bottom="280" w:left="1800" w:right="1800"/>
        </w:sectPr>
      </w:pPr>
    </w:p>
    <w:p>
      <w:pPr>
        <w:tabs>
          <w:tab w:pos="7192"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55616">
                <wp:simplePos x="0" y="0"/>
                <wp:positionH relativeFrom="page">
                  <wp:posOffset>2065020</wp:posOffset>
                </wp:positionH>
                <wp:positionV relativeFrom="paragraph">
                  <wp:posOffset>795020</wp:posOffset>
                </wp:positionV>
                <wp:extent cx="3657600" cy="12700"/>
                <wp:effectExtent l="0" t="0" r="0" b="0"/>
                <wp:wrapTopAndBottom/>
                <wp:docPr id="724" name="Graphic 724"/>
                <wp:cNvGraphicFramePr>
                  <a:graphicFrameLocks/>
                </wp:cNvGraphicFramePr>
                <a:graphic>
                  <a:graphicData uri="http://schemas.microsoft.com/office/word/2010/wordprocessingShape">
                    <wps:wsp>
                      <wps:cNvPr id="724" name="Graphic 72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60864;mso-wrap-distance-left:0;mso-wrap-distance-right:0" id="docshape716" filled="true" fillcolor="#000000" stroked="false">
                <v:fill type="solid"/>
                <w10:wrap type="topAndBottom"/>
              </v:rect>
            </w:pict>
          </mc:Fallback>
        </mc:AlternateContent>
      </w:r>
      <w:r>
        <w:rPr>
          <w:rFonts w:ascii="Verdana" w:hAnsi="Verdana"/>
          <w:sz w:val="18"/>
        </w:rPr>
        <w:t>Women</w:t>
      </w:r>
      <w:r>
        <w:rPr>
          <w:rFonts w:ascii="Verdana" w:hAnsi="Verdana"/>
          <w:spacing w:val="9"/>
          <w:sz w:val="18"/>
        </w:rPr>
        <w:t> </w:t>
      </w:r>
      <w:r>
        <w:rPr>
          <w:rFonts w:ascii="Verdana" w:hAnsi="Verdana"/>
          <w:sz w:val="18"/>
        </w:rPr>
        <w:t>and</w:t>
      </w:r>
      <w:r>
        <w:rPr>
          <w:rFonts w:ascii="Verdana" w:hAnsi="Verdana"/>
          <w:spacing w:val="13"/>
          <w:sz w:val="18"/>
        </w:rPr>
        <w:t> </w:t>
      </w:r>
      <w:r>
        <w:rPr>
          <w:rFonts w:ascii="Verdana" w:hAnsi="Verdana"/>
          <w:sz w:val="18"/>
        </w:rPr>
        <w:t>Mental</w:t>
      </w:r>
      <w:r>
        <w:rPr>
          <w:rFonts w:ascii="Verdana" w:hAnsi="Verdana"/>
          <w:spacing w:val="9"/>
          <w:sz w:val="18"/>
        </w:rPr>
        <w:t> </w:t>
      </w:r>
      <w:r>
        <w:rPr>
          <w:rFonts w:ascii="Verdana" w:hAnsi="Verdana"/>
          <w:sz w:val="18"/>
        </w:rPr>
        <w:t>Health</w:t>
      </w:r>
      <w:r>
        <w:rPr>
          <w:rFonts w:ascii="Verdana" w:hAnsi="Verdana"/>
          <w:spacing w:val="10"/>
          <w:sz w:val="18"/>
        </w:rPr>
        <w:t> </w:t>
      </w:r>
      <w:r>
        <w:rPr>
          <w:rFonts w:ascii="Verdana" w:hAnsi="Verdana"/>
          <w:sz w:val="18"/>
        </w:rPr>
        <w:t>in</w:t>
      </w:r>
      <w:r>
        <w:rPr>
          <w:rFonts w:ascii="Verdana" w:hAnsi="Verdana"/>
          <w:spacing w:val="12"/>
          <w:sz w:val="18"/>
        </w:rPr>
        <w:t> </w:t>
      </w:r>
      <w:r>
        <w:rPr>
          <w:rFonts w:ascii="Verdana" w:hAnsi="Verdana"/>
          <w:sz w:val="18"/>
        </w:rPr>
        <w:t>Shakespeare’s</w:t>
      </w:r>
      <w:r>
        <w:rPr>
          <w:rFonts w:ascii="Verdana" w:hAnsi="Verdana"/>
          <w:spacing w:val="9"/>
          <w:sz w:val="18"/>
        </w:rPr>
        <w:t> </w:t>
      </w:r>
      <w:r>
        <w:rPr>
          <w:rFonts w:ascii="Verdana" w:hAnsi="Verdana"/>
          <w:spacing w:val="-2"/>
          <w:sz w:val="18"/>
        </w:rPr>
        <w:t>Plays...</w:t>
      </w:r>
      <w:r>
        <w:rPr>
          <w:sz w:val="18"/>
        </w:rPr>
        <w:tab/>
      </w:r>
      <w:r>
        <w:rPr>
          <w:rFonts w:ascii="Verdana" w:hAnsi="Verdana"/>
          <w:spacing w:val="-5"/>
          <w:sz w:val="18"/>
        </w:rPr>
        <w:t>361</w:t>
      </w:r>
    </w:p>
    <w:p>
      <w:pPr>
        <w:pStyle w:val="BodyText"/>
        <w:spacing w:line="249" w:lineRule="auto" w:before="192"/>
        <w:ind w:right="1439"/>
        <w:jc w:val="both"/>
      </w:pPr>
      <w:r>
        <w:rPr/>
        <w:t>interpret madness as both a symptom of oppression and a form of resistance. Ultimately, this paper establishes that Shakespeare’s works remain profoundly relevant in contemporary discussions of gender and mental health.</w:t>
      </w:r>
    </w:p>
    <w:p>
      <w:pPr>
        <w:pStyle w:val="BodyText"/>
        <w:spacing w:line="249" w:lineRule="auto" w:before="61"/>
        <w:ind w:right="1441" w:firstLine="432"/>
        <w:jc w:val="both"/>
      </w:pPr>
      <w:r>
        <w:rPr>
          <w:b/>
          <w:spacing w:val="-4"/>
        </w:rPr>
        <w:t>Keywords: </w:t>
      </w:r>
      <w:r>
        <w:rPr>
          <w:spacing w:val="-4"/>
        </w:rPr>
        <w:t>Shakespeare,</w:t>
      </w:r>
      <w:r>
        <w:rPr>
          <w:spacing w:val="-9"/>
        </w:rPr>
        <w:t> </w:t>
      </w:r>
      <w:r>
        <w:rPr>
          <w:spacing w:val="-4"/>
        </w:rPr>
        <w:t>women,</w:t>
      </w:r>
      <w:r>
        <w:rPr>
          <w:spacing w:val="-6"/>
        </w:rPr>
        <w:t> </w:t>
      </w:r>
      <w:r>
        <w:rPr>
          <w:spacing w:val="-4"/>
        </w:rPr>
        <w:t>mental</w:t>
      </w:r>
      <w:r>
        <w:rPr>
          <w:spacing w:val="-9"/>
        </w:rPr>
        <w:t> </w:t>
      </w:r>
      <w:r>
        <w:rPr>
          <w:spacing w:val="-4"/>
        </w:rPr>
        <w:t>health,</w:t>
      </w:r>
      <w:r>
        <w:rPr>
          <w:spacing w:val="-6"/>
        </w:rPr>
        <w:t> </w:t>
      </w:r>
      <w:r>
        <w:rPr>
          <w:spacing w:val="-4"/>
        </w:rPr>
        <w:t>madness, feminism, </w:t>
      </w:r>
      <w:r>
        <w:rPr/>
        <w:t>trauma, Ophelia, Lady Macbeth, Desdemona, Cordelia.</w:t>
      </w:r>
    </w:p>
    <w:p>
      <w:pPr>
        <w:pStyle w:val="Heading3"/>
        <w:spacing w:before="155"/>
        <w:ind w:left="0"/>
        <w:jc w:val="center"/>
      </w:pPr>
      <w:r>
        <w:rPr>
          <w:w w:val="90"/>
        </w:rPr>
        <w:t>MAIN</w:t>
      </w:r>
      <w:r>
        <w:rPr>
          <w:spacing w:val="14"/>
        </w:rPr>
        <w:t> </w:t>
      </w:r>
      <w:r>
        <w:rPr>
          <w:spacing w:val="-4"/>
          <w:w w:val="95"/>
        </w:rPr>
        <w:t>TEXT</w:t>
      </w:r>
    </w:p>
    <w:p>
      <w:pPr>
        <w:spacing w:before="171"/>
        <w:ind w:left="1440" w:right="0" w:firstLine="0"/>
        <w:jc w:val="left"/>
        <w:rPr>
          <w:rFonts w:ascii="Tahoma"/>
          <w:b/>
          <w:sz w:val="23"/>
        </w:rPr>
      </w:pPr>
      <w:r>
        <w:rPr>
          <w:rFonts w:ascii="Tahoma"/>
          <w:b/>
          <w:spacing w:val="-2"/>
          <w:w w:val="95"/>
          <w:sz w:val="23"/>
        </w:rPr>
        <w:t>INTRODUCTION</w:t>
      </w:r>
    </w:p>
    <w:p>
      <w:pPr>
        <w:pStyle w:val="BodyText"/>
        <w:spacing w:line="264" w:lineRule="auto" w:before="83"/>
        <w:ind w:right="1440" w:firstLine="432"/>
        <w:jc w:val="both"/>
      </w:pPr>
      <w:r>
        <w:rPr>
          <w:spacing w:val="-2"/>
        </w:rPr>
        <w:t>The</w:t>
      </w:r>
      <w:r>
        <w:rPr>
          <w:spacing w:val="-11"/>
        </w:rPr>
        <w:t> </w:t>
      </w:r>
      <w:r>
        <w:rPr>
          <w:spacing w:val="-2"/>
        </w:rPr>
        <w:t>exploration</w:t>
      </w:r>
      <w:r>
        <w:rPr>
          <w:spacing w:val="-10"/>
        </w:rPr>
        <w:t> </w:t>
      </w:r>
      <w:r>
        <w:rPr>
          <w:spacing w:val="-2"/>
        </w:rPr>
        <w:t>of</w:t>
      </w:r>
      <w:r>
        <w:rPr>
          <w:spacing w:val="-11"/>
        </w:rPr>
        <w:t> </w:t>
      </w:r>
      <w:r>
        <w:rPr>
          <w:spacing w:val="-2"/>
        </w:rPr>
        <w:t>mental</w:t>
      </w:r>
      <w:r>
        <w:rPr>
          <w:spacing w:val="-10"/>
        </w:rPr>
        <w:t> </w:t>
      </w:r>
      <w:r>
        <w:rPr>
          <w:spacing w:val="-2"/>
        </w:rPr>
        <w:t>health</w:t>
      </w:r>
      <w:r>
        <w:rPr>
          <w:spacing w:val="-11"/>
        </w:rPr>
        <w:t> </w:t>
      </w:r>
      <w:r>
        <w:rPr>
          <w:spacing w:val="-2"/>
        </w:rPr>
        <w:t>in</w:t>
      </w:r>
      <w:r>
        <w:rPr>
          <w:spacing w:val="-10"/>
        </w:rPr>
        <w:t> </w:t>
      </w:r>
      <w:r>
        <w:rPr>
          <w:spacing w:val="-2"/>
        </w:rPr>
        <w:t>literature</w:t>
      </w:r>
      <w:r>
        <w:rPr>
          <w:spacing w:val="-11"/>
        </w:rPr>
        <w:t> </w:t>
      </w:r>
      <w:r>
        <w:rPr>
          <w:spacing w:val="-2"/>
        </w:rPr>
        <w:t>offers</w:t>
      </w:r>
      <w:r>
        <w:rPr>
          <w:spacing w:val="-10"/>
        </w:rPr>
        <w:t> </w:t>
      </w:r>
      <w:r>
        <w:rPr>
          <w:spacing w:val="-2"/>
        </w:rPr>
        <w:t>valuable</w:t>
      </w:r>
      <w:r>
        <w:rPr>
          <w:spacing w:val="-11"/>
        </w:rPr>
        <w:t> </w:t>
      </w:r>
      <w:r>
        <w:rPr>
          <w:spacing w:val="-2"/>
        </w:rPr>
        <w:t>insights </w:t>
      </w:r>
      <w:r>
        <w:rPr/>
        <w:t>into the sociocultural constructs surrounding psychological well-being. </w:t>
      </w:r>
      <w:r>
        <w:rPr>
          <w:spacing w:val="-4"/>
        </w:rPr>
        <w:t>In</w:t>
      </w:r>
      <w:r>
        <w:rPr>
          <w:spacing w:val="-6"/>
        </w:rPr>
        <w:t> </w:t>
      </w:r>
      <w:r>
        <w:rPr>
          <w:spacing w:val="-4"/>
        </w:rPr>
        <w:t>the</w:t>
      </w:r>
      <w:r>
        <w:rPr>
          <w:spacing w:val="-6"/>
        </w:rPr>
        <w:t> </w:t>
      </w:r>
      <w:r>
        <w:rPr>
          <w:spacing w:val="-4"/>
        </w:rPr>
        <w:t>works of</w:t>
      </w:r>
      <w:r>
        <w:rPr>
          <w:spacing w:val="-6"/>
        </w:rPr>
        <w:t> </w:t>
      </w:r>
      <w:r>
        <w:rPr>
          <w:spacing w:val="-4"/>
        </w:rPr>
        <w:t>William</w:t>
      </w:r>
      <w:r>
        <w:rPr>
          <w:spacing w:val="-8"/>
        </w:rPr>
        <w:t> </w:t>
      </w:r>
      <w:r>
        <w:rPr>
          <w:spacing w:val="-4"/>
        </w:rPr>
        <w:t>Shakespeare, mental</w:t>
      </w:r>
      <w:r>
        <w:rPr>
          <w:spacing w:val="-5"/>
        </w:rPr>
        <w:t> </w:t>
      </w:r>
      <w:r>
        <w:rPr>
          <w:spacing w:val="-4"/>
        </w:rPr>
        <w:t>health emerges as</w:t>
      </w:r>
      <w:r>
        <w:rPr>
          <w:spacing w:val="-6"/>
        </w:rPr>
        <w:t> </w:t>
      </w:r>
      <w:r>
        <w:rPr>
          <w:spacing w:val="-4"/>
        </w:rPr>
        <w:t>a recurring </w:t>
      </w:r>
      <w:r>
        <w:rPr>
          <w:spacing w:val="-2"/>
        </w:rPr>
        <w:t>and</w:t>
      </w:r>
      <w:r>
        <w:rPr>
          <w:spacing w:val="-11"/>
        </w:rPr>
        <w:t> </w:t>
      </w:r>
      <w:r>
        <w:rPr>
          <w:spacing w:val="-2"/>
        </w:rPr>
        <w:t>complex</w:t>
      </w:r>
      <w:r>
        <w:rPr>
          <w:spacing w:val="-10"/>
        </w:rPr>
        <w:t> </w:t>
      </w:r>
      <w:r>
        <w:rPr>
          <w:spacing w:val="-2"/>
        </w:rPr>
        <w:t>theme,</w:t>
      </w:r>
      <w:r>
        <w:rPr>
          <w:spacing w:val="-11"/>
        </w:rPr>
        <w:t> </w:t>
      </w:r>
      <w:r>
        <w:rPr>
          <w:spacing w:val="-2"/>
        </w:rPr>
        <w:t>particularly</w:t>
      </w:r>
      <w:r>
        <w:rPr>
          <w:spacing w:val="-10"/>
        </w:rPr>
        <w:t> </w:t>
      </w:r>
      <w:r>
        <w:rPr>
          <w:spacing w:val="-2"/>
        </w:rPr>
        <w:t>in</w:t>
      </w:r>
      <w:r>
        <w:rPr>
          <w:spacing w:val="-11"/>
        </w:rPr>
        <w:t> </w:t>
      </w:r>
      <w:r>
        <w:rPr>
          <w:spacing w:val="-2"/>
        </w:rPr>
        <w:t>relation</w:t>
      </w:r>
      <w:r>
        <w:rPr>
          <w:spacing w:val="-10"/>
        </w:rPr>
        <w:t> </w:t>
      </w:r>
      <w:r>
        <w:rPr>
          <w:spacing w:val="-2"/>
        </w:rPr>
        <w:t>to</w:t>
      </w:r>
      <w:r>
        <w:rPr>
          <w:spacing w:val="-11"/>
        </w:rPr>
        <w:t> </w:t>
      </w:r>
      <w:r>
        <w:rPr>
          <w:spacing w:val="-2"/>
        </w:rPr>
        <w:t>female</w:t>
      </w:r>
      <w:r>
        <w:rPr>
          <w:spacing w:val="-10"/>
        </w:rPr>
        <w:t> </w:t>
      </w:r>
      <w:r>
        <w:rPr>
          <w:spacing w:val="-2"/>
        </w:rPr>
        <w:t>characters.</w:t>
      </w:r>
      <w:r>
        <w:rPr>
          <w:spacing w:val="-11"/>
        </w:rPr>
        <w:t> </w:t>
      </w:r>
      <w:r>
        <w:rPr>
          <w:spacing w:val="-2"/>
        </w:rPr>
        <w:t>Although </w:t>
      </w:r>
      <w:r>
        <w:rPr/>
        <w:t>the concept of mental illness was not scientifically defined during the </w:t>
      </w:r>
      <w:r>
        <w:rPr>
          <w:spacing w:val="-2"/>
        </w:rPr>
        <w:t>Elizabethan</w:t>
      </w:r>
      <w:r>
        <w:rPr>
          <w:spacing w:val="-3"/>
        </w:rPr>
        <w:t> </w:t>
      </w:r>
      <w:r>
        <w:rPr>
          <w:spacing w:val="-2"/>
        </w:rPr>
        <w:t>era, Shakespeare’s</w:t>
      </w:r>
      <w:r>
        <w:rPr>
          <w:spacing w:val="-3"/>
        </w:rPr>
        <w:t> </w:t>
      </w:r>
      <w:r>
        <w:rPr>
          <w:spacing w:val="-2"/>
        </w:rPr>
        <w:t>plays</w:t>
      </w:r>
      <w:r>
        <w:rPr>
          <w:spacing w:val="-3"/>
        </w:rPr>
        <w:t> </w:t>
      </w:r>
      <w:r>
        <w:rPr>
          <w:spacing w:val="-2"/>
        </w:rPr>
        <w:t>vividly</w:t>
      </w:r>
      <w:r>
        <w:rPr>
          <w:spacing w:val="-6"/>
        </w:rPr>
        <w:t> </w:t>
      </w:r>
      <w:r>
        <w:rPr>
          <w:spacing w:val="-2"/>
        </w:rPr>
        <w:t>portray</w:t>
      </w:r>
      <w:r>
        <w:rPr>
          <w:spacing w:val="-3"/>
        </w:rPr>
        <w:t> </w:t>
      </w:r>
      <w:r>
        <w:rPr>
          <w:spacing w:val="-2"/>
        </w:rPr>
        <w:t>emotional</w:t>
      </w:r>
      <w:r>
        <w:rPr>
          <w:spacing w:val="-3"/>
        </w:rPr>
        <w:t> </w:t>
      </w:r>
      <w:r>
        <w:rPr>
          <w:spacing w:val="-2"/>
        </w:rPr>
        <w:t>suffering, </w:t>
      </w:r>
      <w:r>
        <w:rPr/>
        <w:t>psychological</w:t>
      </w:r>
      <w:r>
        <w:rPr>
          <w:spacing w:val="40"/>
        </w:rPr>
        <w:t> </w:t>
      </w:r>
      <w:r>
        <w:rPr/>
        <w:t>instability</w:t>
      </w:r>
      <w:r>
        <w:rPr>
          <w:spacing w:val="40"/>
        </w:rPr>
        <w:t> </w:t>
      </w:r>
      <w:r>
        <w:rPr/>
        <w:t>and</w:t>
      </w:r>
      <w:r>
        <w:rPr>
          <w:spacing w:val="40"/>
        </w:rPr>
        <w:t> </w:t>
      </w:r>
      <w:r>
        <w:rPr/>
        <w:t>behavioral</w:t>
      </w:r>
      <w:r>
        <w:rPr>
          <w:spacing w:val="40"/>
        </w:rPr>
        <w:t> </w:t>
      </w:r>
      <w:r>
        <w:rPr/>
        <w:t>disturbances.</w:t>
      </w:r>
    </w:p>
    <w:p>
      <w:pPr>
        <w:pStyle w:val="BodyText"/>
        <w:spacing w:line="264" w:lineRule="auto" w:before="53"/>
        <w:ind w:right="1440" w:firstLine="432"/>
        <w:jc w:val="both"/>
      </w:pPr>
      <w:r>
        <w:rPr/>
        <w:t>In Shakespeare’s Era, women</w:t>
      </w:r>
      <w:r>
        <w:rPr>
          <w:spacing w:val="40"/>
        </w:rPr>
        <w:t> </w:t>
      </w:r>
      <w:r>
        <w:rPr/>
        <w:t>were subjected to rigid societal expectations that limited their autonomy and expression. They were expected to embody</w:t>
      </w:r>
      <w:r>
        <w:rPr>
          <w:spacing w:val="-2"/>
        </w:rPr>
        <w:t> </w:t>
      </w:r>
      <w:r>
        <w:rPr/>
        <w:t>obedience, chastity, and emotional restraint. These </w:t>
      </w:r>
      <w:r>
        <w:rPr>
          <w:spacing w:val="-2"/>
        </w:rPr>
        <w:t>constraints</w:t>
      </w:r>
      <w:r>
        <w:rPr>
          <w:spacing w:val="-11"/>
        </w:rPr>
        <w:t> </w:t>
      </w:r>
      <w:r>
        <w:rPr>
          <w:spacing w:val="-2"/>
        </w:rPr>
        <w:t>often</w:t>
      </w:r>
      <w:r>
        <w:rPr>
          <w:spacing w:val="-10"/>
        </w:rPr>
        <w:t> </w:t>
      </w:r>
      <w:r>
        <w:rPr>
          <w:spacing w:val="-2"/>
        </w:rPr>
        <w:t>resulted</w:t>
      </w:r>
      <w:r>
        <w:rPr>
          <w:spacing w:val="-11"/>
        </w:rPr>
        <w:t> </w:t>
      </w:r>
      <w:r>
        <w:rPr>
          <w:spacing w:val="-2"/>
        </w:rPr>
        <w:t>in</w:t>
      </w:r>
      <w:r>
        <w:rPr>
          <w:spacing w:val="-9"/>
        </w:rPr>
        <w:t> </w:t>
      </w:r>
      <w:r>
        <w:rPr>
          <w:spacing w:val="-2"/>
        </w:rPr>
        <w:t>internal</w:t>
      </w:r>
      <w:r>
        <w:rPr>
          <w:spacing w:val="-7"/>
        </w:rPr>
        <w:t> </w:t>
      </w:r>
      <w:r>
        <w:rPr>
          <w:spacing w:val="-2"/>
        </w:rPr>
        <w:t>conflicts</w:t>
      </w:r>
      <w:r>
        <w:rPr>
          <w:spacing w:val="-11"/>
        </w:rPr>
        <w:t> </w:t>
      </w:r>
      <w:r>
        <w:rPr>
          <w:spacing w:val="-2"/>
        </w:rPr>
        <w:t>that</w:t>
      </w:r>
      <w:r>
        <w:rPr>
          <w:spacing w:val="-9"/>
        </w:rPr>
        <w:t> </w:t>
      </w:r>
      <w:r>
        <w:rPr>
          <w:spacing w:val="-2"/>
        </w:rPr>
        <w:t>Shakespeare</w:t>
      </w:r>
      <w:r>
        <w:rPr>
          <w:spacing w:val="-9"/>
        </w:rPr>
        <w:t> </w:t>
      </w:r>
      <w:r>
        <w:rPr>
          <w:spacing w:val="-2"/>
        </w:rPr>
        <w:t>dramatizes </w:t>
      </w:r>
      <w:r>
        <w:rPr/>
        <w:t>through his female characters. This paper aims to analyze how mental health in women is represented in Shakespeare’s plays and how these portrayals</w:t>
      </w:r>
      <w:r>
        <w:rPr>
          <w:spacing w:val="40"/>
        </w:rPr>
        <w:t> </w:t>
      </w:r>
      <w:r>
        <w:rPr/>
        <w:t>reflect</w:t>
      </w:r>
      <w:r>
        <w:rPr>
          <w:spacing w:val="40"/>
        </w:rPr>
        <w:t> </w:t>
      </w:r>
      <w:r>
        <w:rPr/>
        <w:t>broader</w:t>
      </w:r>
      <w:r>
        <w:rPr>
          <w:spacing w:val="40"/>
        </w:rPr>
        <w:t> </w:t>
      </w:r>
      <w:r>
        <w:rPr/>
        <w:t>gender</w:t>
      </w:r>
      <w:r>
        <w:rPr>
          <w:spacing w:val="40"/>
        </w:rPr>
        <w:t> </w:t>
      </w:r>
      <w:r>
        <w:rPr/>
        <w:t>dynamics</w:t>
      </w:r>
      <w:r>
        <w:rPr>
          <w:spacing w:val="40"/>
        </w:rPr>
        <w:t> </w:t>
      </w:r>
      <w:r>
        <w:rPr/>
        <w:t>and</w:t>
      </w:r>
      <w:r>
        <w:rPr>
          <w:spacing w:val="40"/>
        </w:rPr>
        <w:t> </w:t>
      </w:r>
      <w:r>
        <w:rPr/>
        <w:t>societal</w:t>
      </w:r>
      <w:r>
        <w:rPr>
          <w:spacing w:val="40"/>
        </w:rPr>
        <w:t> </w:t>
      </w:r>
      <w:r>
        <w:rPr/>
        <w:t>pressures.</w:t>
      </w:r>
    </w:p>
    <w:p>
      <w:pPr>
        <w:pStyle w:val="Heading3"/>
        <w:spacing w:before="147"/>
      </w:pPr>
      <w:r>
        <w:rPr>
          <w:w w:val="90"/>
        </w:rPr>
        <w:t>HISTORICAL</w:t>
      </w:r>
      <w:r>
        <w:rPr>
          <w:spacing w:val="-2"/>
          <w:w w:val="90"/>
        </w:rPr>
        <w:t> </w:t>
      </w:r>
      <w:r>
        <w:rPr>
          <w:w w:val="90"/>
        </w:rPr>
        <w:t>AND</w:t>
      </w:r>
      <w:r>
        <w:rPr>
          <w:spacing w:val="-2"/>
          <w:w w:val="90"/>
        </w:rPr>
        <w:t> </w:t>
      </w:r>
      <w:r>
        <w:rPr>
          <w:w w:val="90"/>
        </w:rPr>
        <w:t>CULTURAL</w:t>
      </w:r>
      <w:r>
        <w:rPr>
          <w:spacing w:val="-1"/>
          <w:w w:val="90"/>
        </w:rPr>
        <w:t> </w:t>
      </w:r>
      <w:r>
        <w:rPr>
          <w:spacing w:val="-2"/>
          <w:w w:val="90"/>
        </w:rPr>
        <w:t>CONTEXT</w:t>
      </w:r>
    </w:p>
    <w:p>
      <w:pPr>
        <w:pStyle w:val="BodyText"/>
        <w:spacing w:line="264" w:lineRule="auto" w:before="89"/>
        <w:ind w:right="1440" w:firstLine="432"/>
        <w:jc w:val="both"/>
      </w:pPr>
      <w:r>
        <w:rPr/>
        <w:t>Understanding</w:t>
      </w:r>
      <w:r>
        <w:rPr>
          <w:spacing w:val="-13"/>
        </w:rPr>
        <w:t> </w:t>
      </w:r>
      <w:r>
        <w:rPr/>
        <w:t>the</w:t>
      </w:r>
      <w:r>
        <w:rPr>
          <w:spacing w:val="-12"/>
        </w:rPr>
        <w:t> </w:t>
      </w:r>
      <w:r>
        <w:rPr/>
        <w:t>representation</w:t>
      </w:r>
      <w:r>
        <w:rPr>
          <w:spacing w:val="-13"/>
        </w:rPr>
        <w:t> </w:t>
      </w:r>
      <w:r>
        <w:rPr/>
        <w:t>of</w:t>
      </w:r>
      <w:r>
        <w:rPr>
          <w:spacing w:val="-12"/>
        </w:rPr>
        <w:t> </w:t>
      </w:r>
      <w:r>
        <w:rPr/>
        <w:t>mental</w:t>
      </w:r>
      <w:r>
        <w:rPr>
          <w:spacing w:val="-13"/>
        </w:rPr>
        <w:t> </w:t>
      </w:r>
      <w:r>
        <w:rPr/>
        <w:t>health</w:t>
      </w:r>
      <w:r>
        <w:rPr>
          <w:spacing w:val="-12"/>
        </w:rPr>
        <w:t> </w:t>
      </w:r>
      <w:r>
        <w:rPr/>
        <w:t>in</w:t>
      </w:r>
      <w:r>
        <w:rPr>
          <w:spacing w:val="-13"/>
        </w:rPr>
        <w:t> </w:t>
      </w:r>
      <w:r>
        <w:rPr/>
        <w:t>Shakespeare’s plays requires an examination of the historical and cultural context of </w:t>
      </w:r>
      <w:r>
        <w:rPr>
          <w:spacing w:val="-2"/>
        </w:rPr>
        <w:t>the</w:t>
      </w:r>
      <w:r>
        <w:rPr>
          <w:spacing w:val="-11"/>
        </w:rPr>
        <w:t> </w:t>
      </w:r>
      <w:r>
        <w:rPr>
          <w:spacing w:val="-2"/>
        </w:rPr>
        <w:t>Elizabethan</w:t>
      </w:r>
      <w:r>
        <w:rPr>
          <w:spacing w:val="-10"/>
        </w:rPr>
        <w:t> </w:t>
      </w:r>
      <w:r>
        <w:rPr>
          <w:spacing w:val="-2"/>
        </w:rPr>
        <w:t>era.</w:t>
      </w:r>
      <w:r>
        <w:rPr>
          <w:spacing w:val="-11"/>
        </w:rPr>
        <w:t> </w:t>
      </w:r>
      <w:r>
        <w:rPr>
          <w:spacing w:val="-2"/>
        </w:rPr>
        <w:t>During</w:t>
      </w:r>
      <w:r>
        <w:rPr>
          <w:spacing w:val="-10"/>
        </w:rPr>
        <w:t> </w:t>
      </w:r>
      <w:r>
        <w:rPr>
          <w:spacing w:val="-2"/>
        </w:rPr>
        <w:t>this</w:t>
      </w:r>
      <w:r>
        <w:rPr>
          <w:spacing w:val="-11"/>
        </w:rPr>
        <w:t> </w:t>
      </w:r>
      <w:r>
        <w:rPr>
          <w:spacing w:val="-2"/>
        </w:rPr>
        <w:t>period,</w:t>
      </w:r>
      <w:r>
        <w:rPr>
          <w:spacing w:val="-6"/>
        </w:rPr>
        <w:t> </w:t>
      </w:r>
      <w:r>
        <w:rPr>
          <w:spacing w:val="-2"/>
        </w:rPr>
        <w:t>mental</w:t>
      </w:r>
      <w:r>
        <w:rPr>
          <w:spacing w:val="-7"/>
        </w:rPr>
        <w:t> </w:t>
      </w:r>
      <w:r>
        <w:rPr>
          <w:spacing w:val="-2"/>
        </w:rPr>
        <w:t>illness</w:t>
      </w:r>
      <w:r>
        <w:rPr>
          <w:spacing w:val="-11"/>
        </w:rPr>
        <w:t> </w:t>
      </w:r>
      <w:r>
        <w:rPr>
          <w:spacing w:val="-2"/>
        </w:rPr>
        <w:t>was</w:t>
      </w:r>
      <w:r>
        <w:rPr>
          <w:spacing w:val="-8"/>
        </w:rPr>
        <w:t> </w:t>
      </w:r>
      <w:r>
        <w:rPr>
          <w:spacing w:val="-2"/>
        </w:rPr>
        <w:t>often</w:t>
      </w:r>
      <w:r>
        <w:rPr>
          <w:spacing w:val="-8"/>
        </w:rPr>
        <w:t> </w:t>
      </w:r>
      <w:r>
        <w:rPr>
          <w:spacing w:val="-2"/>
        </w:rPr>
        <w:t>attributed </w:t>
      </w:r>
      <w:r>
        <w:rPr/>
        <w:t>to</w:t>
      </w:r>
      <w:r>
        <w:rPr>
          <w:spacing w:val="-13"/>
        </w:rPr>
        <w:t> </w:t>
      </w:r>
      <w:r>
        <w:rPr/>
        <w:t>supernatural</w:t>
      </w:r>
      <w:r>
        <w:rPr>
          <w:spacing w:val="-12"/>
        </w:rPr>
        <w:t> </w:t>
      </w:r>
      <w:r>
        <w:rPr/>
        <w:t>forces,</w:t>
      </w:r>
      <w:r>
        <w:rPr>
          <w:spacing w:val="-13"/>
        </w:rPr>
        <w:t> </w:t>
      </w:r>
      <w:r>
        <w:rPr/>
        <w:t>moral</w:t>
      </w:r>
      <w:r>
        <w:rPr>
          <w:spacing w:val="-12"/>
        </w:rPr>
        <w:t> </w:t>
      </w:r>
      <w:r>
        <w:rPr/>
        <w:t>failings</w:t>
      </w:r>
      <w:r>
        <w:rPr>
          <w:spacing w:val="-13"/>
        </w:rPr>
        <w:t> </w:t>
      </w:r>
      <w:r>
        <w:rPr/>
        <w:t>or</w:t>
      </w:r>
      <w:r>
        <w:rPr>
          <w:spacing w:val="-12"/>
        </w:rPr>
        <w:t> </w:t>
      </w:r>
      <w:r>
        <w:rPr/>
        <w:t>bodily</w:t>
      </w:r>
      <w:r>
        <w:rPr>
          <w:spacing w:val="-13"/>
        </w:rPr>
        <w:t> </w:t>
      </w:r>
      <w:r>
        <w:rPr/>
        <w:t>imbalances.</w:t>
      </w:r>
      <w:r>
        <w:rPr>
          <w:spacing w:val="-12"/>
        </w:rPr>
        <w:t> </w:t>
      </w:r>
      <w:r>
        <w:rPr/>
        <w:t>Women</w:t>
      </w:r>
      <w:r>
        <w:rPr>
          <w:spacing w:val="-13"/>
        </w:rPr>
        <w:t> </w:t>
      </w:r>
      <w:r>
        <w:rPr/>
        <w:t>were particularly</w:t>
      </w:r>
      <w:r>
        <w:rPr>
          <w:spacing w:val="-7"/>
        </w:rPr>
        <w:t> </w:t>
      </w:r>
      <w:r>
        <w:rPr/>
        <w:t>associated</w:t>
      </w:r>
      <w:r>
        <w:rPr>
          <w:spacing w:val="-4"/>
        </w:rPr>
        <w:t> </w:t>
      </w:r>
      <w:r>
        <w:rPr/>
        <w:t>with</w:t>
      </w:r>
      <w:r>
        <w:rPr>
          <w:spacing w:val="-5"/>
        </w:rPr>
        <w:t> </w:t>
      </w:r>
      <w:r>
        <w:rPr/>
        <w:t>emotional</w:t>
      </w:r>
      <w:r>
        <w:rPr>
          <w:spacing w:val="-4"/>
        </w:rPr>
        <w:t> </w:t>
      </w:r>
      <w:r>
        <w:rPr/>
        <w:t>instability</w:t>
      </w:r>
      <w:r>
        <w:rPr>
          <w:spacing w:val="-7"/>
        </w:rPr>
        <w:t> </w:t>
      </w:r>
      <w:r>
        <w:rPr/>
        <w:t>and</w:t>
      </w:r>
      <w:r>
        <w:rPr>
          <w:spacing w:val="-2"/>
        </w:rPr>
        <w:t> </w:t>
      </w:r>
      <w:r>
        <w:rPr/>
        <w:t>conditions</w:t>
      </w:r>
      <w:r>
        <w:rPr>
          <w:spacing w:val="-4"/>
        </w:rPr>
        <w:t> </w:t>
      </w:r>
      <w:r>
        <w:rPr/>
        <w:t>such</w:t>
      </w:r>
      <w:r>
        <w:rPr>
          <w:spacing w:val="-5"/>
        </w:rPr>
        <w:t> </w:t>
      </w:r>
      <w:r>
        <w:rPr/>
        <w:t>as hysteria</w:t>
      </w:r>
      <w:r>
        <w:rPr>
          <w:spacing w:val="40"/>
        </w:rPr>
        <w:t> </w:t>
      </w:r>
      <w:r>
        <w:rPr/>
        <w:t>were</w:t>
      </w:r>
      <w:r>
        <w:rPr>
          <w:spacing w:val="40"/>
        </w:rPr>
        <w:t> </w:t>
      </w:r>
      <w:r>
        <w:rPr/>
        <w:t>believed</w:t>
      </w:r>
      <w:r>
        <w:rPr>
          <w:spacing w:val="40"/>
        </w:rPr>
        <w:t> </w:t>
      </w:r>
      <w:r>
        <w:rPr/>
        <w:t>to</w:t>
      </w:r>
      <w:r>
        <w:rPr>
          <w:spacing w:val="40"/>
        </w:rPr>
        <w:t> </w:t>
      </w:r>
      <w:r>
        <w:rPr/>
        <w:t>originate</w:t>
      </w:r>
      <w:r>
        <w:rPr>
          <w:spacing w:val="40"/>
        </w:rPr>
        <w:t> </w:t>
      </w:r>
      <w:r>
        <w:rPr/>
        <w:t>from physiological</w:t>
      </w:r>
      <w:r>
        <w:rPr>
          <w:spacing w:val="40"/>
        </w:rPr>
        <w:t> </w:t>
      </w:r>
      <w:r>
        <w:rPr/>
        <w:t>causes.</w:t>
      </w:r>
    </w:p>
    <w:p>
      <w:pPr>
        <w:pStyle w:val="BodyText"/>
        <w:spacing w:line="264" w:lineRule="auto" w:before="52"/>
        <w:ind w:right="1437" w:firstLine="432"/>
        <w:jc w:val="both"/>
      </w:pPr>
      <w:r>
        <w:rPr/>
        <w:t>The patriarchal structure of society further exacerbated women’s </w:t>
      </w:r>
      <w:r>
        <w:rPr>
          <w:spacing w:val="-2"/>
        </w:rPr>
        <w:t>vulnerability.</w:t>
      </w:r>
      <w:r>
        <w:rPr>
          <w:spacing w:val="-11"/>
        </w:rPr>
        <w:t> </w:t>
      </w:r>
      <w:r>
        <w:rPr>
          <w:spacing w:val="-2"/>
        </w:rPr>
        <w:t>They</w:t>
      </w:r>
      <w:r>
        <w:rPr>
          <w:spacing w:val="-10"/>
        </w:rPr>
        <w:t> </w:t>
      </w:r>
      <w:r>
        <w:rPr>
          <w:spacing w:val="-2"/>
        </w:rPr>
        <w:t>were</w:t>
      </w:r>
      <w:r>
        <w:rPr>
          <w:spacing w:val="-6"/>
        </w:rPr>
        <w:t> </w:t>
      </w:r>
      <w:r>
        <w:rPr>
          <w:spacing w:val="-2"/>
        </w:rPr>
        <w:t>denied</w:t>
      </w:r>
      <w:r>
        <w:rPr>
          <w:spacing w:val="-7"/>
        </w:rPr>
        <w:t> </w:t>
      </w:r>
      <w:r>
        <w:rPr>
          <w:spacing w:val="-2"/>
        </w:rPr>
        <w:t>education,</w:t>
      </w:r>
      <w:r>
        <w:rPr>
          <w:spacing w:val="-7"/>
        </w:rPr>
        <w:t> </w:t>
      </w:r>
      <w:r>
        <w:rPr>
          <w:spacing w:val="-2"/>
        </w:rPr>
        <w:t>independence</w:t>
      </w:r>
      <w:r>
        <w:rPr>
          <w:spacing w:val="-9"/>
        </w:rPr>
        <w:t> </w:t>
      </w:r>
      <w:r>
        <w:rPr>
          <w:spacing w:val="-2"/>
        </w:rPr>
        <w:t>and</w:t>
      </w:r>
      <w:r>
        <w:rPr>
          <w:spacing w:val="-5"/>
        </w:rPr>
        <w:t> </w:t>
      </w:r>
      <w:r>
        <w:rPr>
          <w:spacing w:val="-2"/>
        </w:rPr>
        <w:t>legal</w:t>
      </w:r>
      <w:r>
        <w:rPr>
          <w:spacing w:val="-9"/>
        </w:rPr>
        <w:t> </w:t>
      </w:r>
      <w:r>
        <w:rPr>
          <w:spacing w:val="-2"/>
        </w:rPr>
        <w:t>rights, </w:t>
      </w:r>
      <w:r>
        <w:rPr/>
        <w:t>making them dependent on male authority figures. This lack of agency often led to emotional repression and psychological distress. Shakespeare’s plays reflect these realities while also offering subtle critiques of societal norms.</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56128">
                <wp:simplePos x="0" y="0"/>
                <wp:positionH relativeFrom="page">
                  <wp:posOffset>2057400</wp:posOffset>
                </wp:positionH>
                <wp:positionV relativeFrom="paragraph">
                  <wp:posOffset>162604</wp:posOffset>
                </wp:positionV>
                <wp:extent cx="3657600" cy="12700"/>
                <wp:effectExtent l="0" t="0" r="0" b="0"/>
                <wp:wrapTopAndBottom/>
                <wp:docPr id="725" name="Graphic 725"/>
                <wp:cNvGraphicFramePr>
                  <a:graphicFrameLocks/>
                </wp:cNvGraphicFramePr>
                <a:graphic>
                  <a:graphicData uri="http://schemas.microsoft.com/office/word/2010/wordprocessingShape">
                    <wps:wsp>
                      <wps:cNvPr id="725" name="Graphic 72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60352;mso-wrap-distance-left:0;mso-wrap-distance-right:0" id="docshape717" filled="true" fillcolor="#000000" stroked="false">
                <v:fill type="solid"/>
                <w10:wrap type="topAndBottom"/>
              </v:rect>
            </w:pict>
          </mc:Fallback>
        </mc:AlternateContent>
      </w:r>
      <w:r>
        <w:rPr>
          <w:rFonts w:ascii="Verdana"/>
          <w:spacing w:val="-5"/>
          <w:sz w:val="18"/>
        </w:rPr>
        <w:t>362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pPr>
      <w:r>
        <w:rPr>
          <w:spacing w:val="-8"/>
        </w:rPr>
        <w:t>THE CONCEPT OF</w:t>
      </w:r>
      <w:r>
        <w:rPr>
          <w:spacing w:val="-7"/>
        </w:rPr>
        <w:t> </w:t>
      </w:r>
      <w:r>
        <w:rPr>
          <w:spacing w:val="-8"/>
        </w:rPr>
        <w:t>FEMALE</w:t>
      </w:r>
      <w:r>
        <w:rPr>
          <w:spacing w:val="-5"/>
        </w:rPr>
        <w:t> </w:t>
      </w:r>
      <w:r>
        <w:rPr>
          <w:spacing w:val="-8"/>
        </w:rPr>
        <w:t>MADNESS</w:t>
      </w:r>
    </w:p>
    <w:p>
      <w:pPr>
        <w:pStyle w:val="BodyText"/>
        <w:spacing w:line="264" w:lineRule="auto" w:before="82"/>
        <w:ind w:right="1438" w:firstLine="432"/>
        <w:jc w:val="both"/>
      </w:pPr>
      <w:r>
        <w:rPr/>
        <w:t>Madness in</w:t>
      </w:r>
      <w:r>
        <w:rPr>
          <w:spacing w:val="-3"/>
        </w:rPr>
        <w:t> </w:t>
      </w:r>
      <w:r>
        <w:rPr/>
        <w:t>Shakespeare’s plays is</w:t>
      </w:r>
      <w:r>
        <w:rPr>
          <w:spacing w:val="-2"/>
        </w:rPr>
        <w:t> </w:t>
      </w:r>
      <w:r>
        <w:rPr/>
        <w:t>not a uniform</w:t>
      </w:r>
      <w:r>
        <w:rPr>
          <w:spacing w:val="-4"/>
        </w:rPr>
        <w:t> </w:t>
      </w:r>
      <w:r>
        <w:rPr/>
        <w:t>phenomenon but varies significantly between male and female characters. While male madness is often portrayed as philosophical or existential, female madness is depicted as emotional and relational. This distinction highlights</w:t>
      </w:r>
      <w:r>
        <w:rPr>
          <w:spacing w:val="40"/>
        </w:rPr>
        <w:t> </w:t>
      </w:r>
      <w:r>
        <w:rPr/>
        <w:t>the</w:t>
      </w:r>
      <w:r>
        <w:rPr>
          <w:spacing w:val="40"/>
        </w:rPr>
        <w:t> </w:t>
      </w:r>
      <w:r>
        <w:rPr/>
        <w:t>gendered</w:t>
      </w:r>
      <w:r>
        <w:rPr>
          <w:spacing w:val="40"/>
        </w:rPr>
        <w:t> </w:t>
      </w:r>
      <w:r>
        <w:rPr/>
        <w:t>perception</w:t>
      </w:r>
      <w:r>
        <w:rPr>
          <w:spacing w:val="40"/>
        </w:rPr>
        <w:t> </w:t>
      </w:r>
      <w:r>
        <w:rPr/>
        <w:t>of</w:t>
      </w:r>
      <w:r>
        <w:rPr>
          <w:spacing w:val="40"/>
        </w:rPr>
        <w:t> </w:t>
      </w:r>
      <w:r>
        <w:rPr/>
        <w:t>mental</w:t>
      </w:r>
      <w:r>
        <w:rPr>
          <w:spacing w:val="40"/>
        </w:rPr>
        <w:t> </w:t>
      </w:r>
      <w:r>
        <w:rPr/>
        <w:t>illness.</w:t>
      </w:r>
    </w:p>
    <w:p>
      <w:pPr>
        <w:pStyle w:val="BodyText"/>
        <w:spacing w:line="264" w:lineRule="auto" w:before="53"/>
        <w:ind w:right="1439" w:firstLine="432"/>
        <w:jc w:val="both"/>
      </w:pPr>
      <w:r>
        <w:rPr/>
        <w:t>Female madness is frequently linked to love, loss, and betrayal. It is often triggered by external circumstances rather than internal flaws. Moreover,</w:t>
      </w:r>
      <w:r>
        <w:rPr>
          <w:spacing w:val="-9"/>
        </w:rPr>
        <w:t> </w:t>
      </w:r>
      <w:r>
        <w:rPr/>
        <w:t>it</w:t>
      </w:r>
      <w:r>
        <w:rPr>
          <w:spacing w:val="-9"/>
        </w:rPr>
        <w:t> </w:t>
      </w:r>
      <w:r>
        <w:rPr/>
        <w:t>serves</w:t>
      </w:r>
      <w:r>
        <w:rPr>
          <w:spacing w:val="-11"/>
        </w:rPr>
        <w:t> </w:t>
      </w:r>
      <w:r>
        <w:rPr/>
        <w:t>as</w:t>
      </w:r>
      <w:r>
        <w:rPr>
          <w:spacing w:val="-9"/>
        </w:rPr>
        <w:t> </w:t>
      </w:r>
      <w:r>
        <w:rPr/>
        <w:t>a</w:t>
      </w:r>
      <w:r>
        <w:rPr>
          <w:spacing w:val="-8"/>
        </w:rPr>
        <w:t> </w:t>
      </w:r>
      <w:r>
        <w:rPr/>
        <w:t>narrative</w:t>
      </w:r>
      <w:r>
        <w:rPr>
          <w:spacing w:val="-9"/>
        </w:rPr>
        <w:t> </w:t>
      </w:r>
      <w:r>
        <w:rPr/>
        <w:t>device</w:t>
      </w:r>
      <w:r>
        <w:rPr>
          <w:spacing w:val="-9"/>
        </w:rPr>
        <w:t> </w:t>
      </w:r>
      <w:r>
        <w:rPr/>
        <w:t>to</w:t>
      </w:r>
      <w:r>
        <w:rPr>
          <w:spacing w:val="-7"/>
        </w:rPr>
        <w:t> </w:t>
      </w:r>
      <w:r>
        <w:rPr/>
        <w:t>express</w:t>
      </w:r>
      <w:r>
        <w:rPr>
          <w:spacing w:val="-9"/>
        </w:rPr>
        <w:t> </w:t>
      </w:r>
      <w:r>
        <w:rPr/>
        <w:t>suppressed</w:t>
      </w:r>
      <w:r>
        <w:rPr>
          <w:spacing w:val="-7"/>
        </w:rPr>
        <w:t> </w:t>
      </w:r>
      <w:r>
        <w:rPr/>
        <w:t>emotions and reveal underlying truths. Shakespeare uses madness to give voice</w:t>
      </w:r>
      <w:r>
        <w:rPr>
          <w:spacing w:val="40"/>
        </w:rPr>
        <w:t> </w:t>
      </w:r>
      <w:r>
        <w:rPr/>
        <w:t>to</w:t>
      </w:r>
      <w:r>
        <w:rPr>
          <w:spacing w:val="-3"/>
        </w:rPr>
        <w:t> </w:t>
      </w:r>
      <w:r>
        <w:rPr/>
        <w:t>women</w:t>
      </w:r>
      <w:r>
        <w:rPr>
          <w:spacing w:val="-2"/>
        </w:rPr>
        <w:t> </w:t>
      </w:r>
      <w:r>
        <w:rPr/>
        <w:t>who</w:t>
      </w:r>
      <w:r>
        <w:rPr>
          <w:spacing w:val="-2"/>
        </w:rPr>
        <w:t> </w:t>
      </w:r>
      <w:r>
        <w:rPr/>
        <w:t>are</w:t>
      </w:r>
      <w:r>
        <w:rPr>
          <w:spacing w:val="-4"/>
        </w:rPr>
        <w:t> </w:t>
      </w:r>
      <w:r>
        <w:rPr/>
        <w:t>otherwise silenced</w:t>
      </w:r>
      <w:r>
        <w:rPr>
          <w:spacing w:val="-3"/>
        </w:rPr>
        <w:t> </w:t>
      </w:r>
      <w:r>
        <w:rPr/>
        <w:t>within</w:t>
      </w:r>
      <w:r>
        <w:rPr>
          <w:spacing w:val="-4"/>
        </w:rPr>
        <w:t> </w:t>
      </w:r>
      <w:r>
        <w:rPr/>
        <w:t>the patriarchal</w:t>
      </w:r>
      <w:r>
        <w:rPr>
          <w:spacing w:val="-2"/>
        </w:rPr>
        <w:t> framework.</w:t>
      </w:r>
    </w:p>
    <w:p>
      <w:pPr>
        <w:pStyle w:val="Heading3"/>
        <w:spacing w:before="149"/>
      </w:pPr>
      <w:r>
        <w:rPr>
          <w:w w:val="85"/>
        </w:rPr>
        <w:t>OPHELIA:</w:t>
      </w:r>
      <w:r>
        <w:rPr>
          <w:spacing w:val="7"/>
        </w:rPr>
        <w:t> </w:t>
      </w:r>
      <w:r>
        <w:rPr>
          <w:w w:val="85"/>
        </w:rPr>
        <w:t>THE</w:t>
      </w:r>
      <w:r>
        <w:rPr>
          <w:spacing w:val="11"/>
        </w:rPr>
        <w:t> </w:t>
      </w:r>
      <w:r>
        <w:rPr>
          <w:w w:val="85"/>
        </w:rPr>
        <w:t>TRAGEDY</w:t>
      </w:r>
      <w:r>
        <w:rPr>
          <w:spacing w:val="8"/>
        </w:rPr>
        <w:t> </w:t>
      </w:r>
      <w:r>
        <w:rPr>
          <w:w w:val="85"/>
        </w:rPr>
        <w:t>OF</w:t>
      </w:r>
      <w:r>
        <w:rPr>
          <w:spacing w:val="4"/>
        </w:rPr>
        <w:t> </w:t>
      </w:r>
      <w:r>
        <w:rPr>
          <w:w w:val="85"/>
        </w:rPr>
        <w:t>SILENCE</w:t>
      </w:r>
      <w:r>
        <w:rPr>
          <w:spacing w:val="11"/>
        </w:rPr>
        <w:t> </w:t>
      </w:r>
      <w:r>
        <w:rPr>
          <w:w w:val="85"/>
        </w:rPr>
        <w:t>AND</w:t>
      </w:r>
      <w:r>
        <w:rPr>
          <w:spacing w:val="4"/>
        </w:rPr>
        <w:t> </w:t>
      </w:r>
      <w:r>
        <w:rPr>
          <w:spacing w:val="-2"/>
          <w:w w:val="85"/>
        </w:rPr>
        <w:t>SUPPRESSION</w:t>
      </w:r>
    </w:p>
    <w:p>
      <w:pPr>
        <w:pStyle w:val="BodyText"/>
        <w:spacing w:line="264" w:lineRule="auto" w:before="89"/>
        <w:ind w:right="1441" w:firstLine="432"/>
        <w:jc w:val="both"/>
      </w:pPr>
      <w:r>
        <w:rPr>
          <w:spacing w:val="-2"/>
        </w:rPr>
        <w:t>Ophelia</w:t>
      </w:r>
      <w:r>
        <w:rPr>
          <w:spacing w:val="-11"/>
        </w:rPr>
        <w:t> </w:t>
      </w:r>
      <w:r>
        <w:rPr>
          <w:spacing w:val="-2"/>
        </w:rPr>
        <w:t>is</w:t>
      </w:r>
      <w:r>
        <w:rPr>
          <w:spacing w:val="-9"/>
        </w:rPr>
        <w:t> </w:t>
      </w:r>
      <w:r>
        <w:rPr>
          <w:spacing w:val="-2"/>
        </w:rPr>
        <w:t>a</w:t>
      </w:r>
      <w:r>
        <w:rPr>
          <w:spacing w:val="-8"/>
        </w:rPr>
        <w:t> </w:t>
      </w:r>
      <w:r>
        <w:rPr>
          <w:spacing w:val="-2"/>
        </w:rPr>
        <w:t>character</w:t>
      </w:r>
      <w:r>
        <w:rPr>
          <w:spacing w:val="-6"/>
        </w:rPr>
        <w:t> </w:t>
      </w:r>
      <w:r>
        <w:rPr>
          <w:spacing w:val="-2"/>
        </w:rPr>
        <w:t>in</w:t>
      </w:r>
      <w:r>
        <w:rPr>
          <w:spacing w:val="-11"/>
        </w:rPr>
        <w:t> </w:t>
      </w:r>
      <w:r>
        <w:rPr>
          <w:spacing w:val="-2"/>
        </w:rPr>
        <w:t>William</w:t>
      </w:r>
      <w:r>
        <w:rPr>
          <w:spacing w:val="-10"/>
        </w:rPr>
        <w:t> </w:t>
      </w:r>
      <w:r>
        <w:rPr>
          <w:spacing w:val="-2"/>
        </w:rPr>
        <w:t>Shakespeare’s</w:t>
      </w:r>
      <w:r>
        <w:rPr>
          <w:spacing w:val="-10"/>
        </w:rPr>
        <w:t> </w:t>
      </w:r>
      <w:r>
        <w:rPr>
          <w:spacing w:val="-2"/>
        </w:rPr>
        <w:t>drama</w:t>
      </w:r>
      <w:r>
        <w:rPr>
          <w:spacing w:val="-8"/>
        </w:rPr>
        <w:t> </w:t>
      </w:r>
      <w:r>
        <w:rPr>
          <w:spacing w:val="-2"/>
        </w:rPr>
        <w:t>Hamlet.</w:t>
      </w:r>
      <w:r>
        <w:rPr>
          <w:spacing w:val="38"/>
        </w:rPr>
        <w:t> </w:t>
      </w:r>
      <w:r>
        <w:rPr>
          <w:spacing w:val="-2"/>
        </w:rPr>
        <w:t>She </w:t>
      </w:r>
      <w:r>
        <w:rPr/>
        <w:t>is a young noble woman of Denmark, the daughter of Polonius, sister</w:t>
      </w:r>
      <w:r>
        <w:rPr>
          <w:spacing w:val="40"/>
        </w:rPr>
        <w:t> </w:t>
      </w:r>
      <w:r>
        <w:rPr/>
        <w:t>of</w:t>
      </w:r>
      <w:r>
        <w:rPr>
          <w:spacing w:val="-13"/>
        </w:rPr>
        <w:t> </w:t>
      </w:r>
      <w:r>
        <w:rPr/>
        <w:t>Laertes</w:t>
      </w:r>
      <w:r>
        <w:rPr>
          <w:spacing w:val="-12"/>
        </w:rPr>
        <w:t> </w:t>
      </w:r>
      <w:r>
        <w:rPr/>
        <w:t>and</w:t>
      </w:r>
      <w:r>
        <w:rPr>
          <w:spacing w:val="-11"/>
        </w:rPr>
        <w:t> </w:t>
      </w:r>
      <w:r>
        <w:rPr/>
        <w:t>potential</w:t>
      </w:r>
      <w:r>
        <w:rPr>
          <w:spacing w:val="-12"/>
        </w:rPr>
        <w:t> </w:t>
      </w:r>
      <w:r>
        <w:rPr/>
        <w:t>wife</w:t>
      </w:r>
      <w:r>
        <w:rPr>
          <w:spacing w:val="-12"/>
        </w:rPr>
        <w:t> </w:t>
      </w:r>
      <w:r>
        <w:rPr/>
        <w:t>of</w:t>
      </w:r>
      <w:r>
        <w:rPr>
          <w:spacing w:val="-12"/>
        </w:rPr>
        <w:t> </w:t>
      </w:r>
      <w:r>
        <w:rPr/>
        <w:t>Prince</w:t>
      </w:r>
      <w:r>
        <w:rPr>
          <w:spacing w:val="-10"/>
        </w:rPr>
        <w:t> </w:t>
      </w:r>
      <w:r>
        <w:rPr/>
        <w:t>Hamlet.</w:t>
      </w:r>
      <w:r>
        <w:rPr>
          <w:spacing w:val="28"/>
        </w:rPr>
        <w:t> </w:t>
      </w:r>
      <w:r>
        <w:rPr/>
        <w:t>Due</w:t>
      </w:r>
      <w:r>
        <w:rPr>
          <w:spacing w:val="-12"/>
        </w:rPr>
        <w:t> </w:t>
      </w:r>
      <w:r>
        <w:rPr/>
        <w:t>to</w:t>
      </w:r>
      <w:r>
        <w:rPr>
          <w:spacing w:val="-11"/>
        </w:rPr>
        <w:t> </w:t>
      </w:r>
      <w:r>
        <w:rPr/>
        <w:t>Hamlet’s</w:t>
      </w:r>
      <w:r>
        <w:rPr>
          <w:spacing w:val="-12"/>
        </w:rPr>
        <w:t> </w:t>
      </w:r>
      <w:r>
        <w:rPr/>
        <w:t>actions, Ophelia ultimately becomes mad and drowns.</w:t>
      </w:r>
    </w:p>
    <w:p>
      <w:pPr>
        <w:pStyle w:val="BodyText"/>
        <w:spacing w:line="264" w:lineRule="auto" w:before="56"/>
        <w:ind w:right="1439" w:firstLine="432"/>
        <w:jc w:val="both"/>
      </w:pPr>
      <w:r>
        <w:rPr/>
        <w:t>Ophelia’s</w:t>
      </w:r>
      <w:r>
        <w:rPr>
          <w:spacing w:val="-3"/>
        </w:rPr>
        <w:t> </w:t>
      </w:r>
      <w:r>
        <w:rPr/>
        <w:t>character in</w:t>
      </w:r>
      <w:r>
        <w:rPr>
          <w:spacing w:val="-5"/>
        </w:rPr>
        <w:t> </w:t>
      </w:r>
      <w:r>
        <w:rPr/>
        <w:t>Hamlet</w:t>
      </w:r>
      <w:r>
        <w:rPr>
          <w:spacing w:val="-1"/>
        </w:rPr>
        <w:t> </w:t>
      </w:r>
      <w:r>
        <w:rPr/>
        <w:t>represents</w:t>
      </w:r>
      <w:r>
        <w:rPr>
          <w:spacing w:val="-1"/>
        </w:rPr>
        <w:t> </w:t>
      </w:r>
      <w:r>
        <w:rPr/>
        <w:t>one</w:t>
      </w:r>
      <w:r>
        <w:rPr>
          <w:spacing w:val="-1"/>
        </w:rPr>
        <w:t> </w:t>
      </w:r>
      <w:r>
        <w:rPr/>
        <w:t>of</w:t>
      </w:r>
      <w:r>
        <w:rPr>
          <w:spacing w:val="-5"/>
        </w:rPr>
        <w:t> </w:t>
      </w:r>
      <w:r>
        <w:rPr/>
        <w:t>the</w:t>
      </w:r>
      <w:r>
        <w:rPr>
          <w:spacing w:val="-1"/>
        </w:rPr>
        <w:t> </w:t>
      </w:r>
      <w:r>
        <w:rPr/>
        <w:t>most</w:t>
      </w:r>
      <w:r>
        <w:rPr>
          <w:spacing w:val="-1"/>
        </w:rPr>
        <w:t> </w:t>
      </w:r>
      <w:r>
        <w:rPr/>
        <w:t>poignant portrayals of female madness. Her psychological breakdown is the result of cumulative trauma, including her father’s death, Hamlet’s </w:t>
      </w:r>
      <w:r>
        <w:rPr>
          <w:spacing w:val="-2"/>
        </w:rPr>
        <w:t>rejection,</w:t>
      </w:r>
      <w:r>
        <w:rPr>
          <w:spacing w:val="-5"/>
        </w:rPr>
        <w:t> </w:t>
      </w:r>
      <w:r>
        <w:rPr>
          <w:spacing w:val="-2"/>
        </w:rPr>
        <w:t>and</w:t>
      </w:r>
      <w:r>
        <w:rPr>
          <w:spacing w:val="-7"/>
        </w:rPr>
        <w:t> </w:t>
      </w:r>
      <w:r>
        <w:rPr>
          <w:spacing w:val="-2"/>
        </w:rPr>
        <w:t>societal</w:t>
      </w:r>
      <w:r>
        <w:rPr>
          <w:spacing w:val="-7"/>
        </w:rPr>
        <w:t> </w:t>
      </w:r>
      <w:r>
        <w:rPr>
          <w:spacing w:val="-2"/>
        </w:rPr>
        <w:t>expectations.</w:t>
      </w:r>
      <w:r>
        <w:rPr>
          <w:spacing w:val="-7"/>
        </w:rPr>
        <w:t> </w:t>
      </w:r>
      <w:r>
        <w:rPr>
          <w:spacing w:val="-2"/>
        </w:rPr>
        <w:t>Ophelia’s</w:t>
      </w:r>
      <w:r>
        <w:rPr>
          <w:spacing w:val="-7"/>
        </w:rPr>
        <w:t> </w:t>
      </w:r>
      <w:r>
        <w:rPr>
          <w:spacing w:val="-2"/>
        </w:rPr>
        <w:t>madness</w:t>
      </w:r>
      <w:r>
        <w:rPr>
          <w:spacing w:val="-10"/>
        </w:rPr>
        <w:t> </w:t>
      </w:r>
      <w:r>
        <w:rPr>
          <w:spacing w:val="-2"/>
        </w:rPr>
        <w:t>manifests</w:t>
      </w:r>
      <w:r>
        <w:rPr>
          <w:spacing w:val="-10"/>
        </w:rPr>
        <w:t> </w:t>
      </w:r>
      <w:r>
        <w:rPr>
          <w:spacing w:val="-2"/>
        </w:rPr>
        <w:t>through </w:t>
      </w:r>
      <w:r>
        <w:rPr/>
        <w:t>disjointed speech, symbolic songs, and erratic behavior. It’s less of abrupt</w:t>
      </w:r>
      <w:r>
        <w:rPr>
          <w:spacing w:val="-2"/>
        </w:rPr>
        <w:t> </w:t>
      </w:r>
      <w:r>
        <w:rPr/>
        <w:t>collapse</w:t>
      </w:r>
      <w:r>
        <w:rPr>
          <w:spacing w:val="-1"/>
        </w:rPr>
        <w:t> </w:t>
      </w:r>
      <w:r>
        <w:rPr/>
        <w:t>and more</w:t>
      </w:r>
      <w:r>
        <w:rPr>
          <w:spacing w:val="-2"/>
        </w:rPr>
        <w:t> </w:t>
      </w:r>
      <w:r>
        <w:rPr/>
        <w:t>of</w:t>
      </w:r>
      <w:r>
        <w:rPr>
          <w:spacing w:val="-4"/>
        </w:rPr>
        <w:t> </w:t>
      </w:r>
      <w:r>
        <w:rPr/>
        <w:t>gradual</w:t>
      </w:r>
      <w:r>
        <w:rPr>
          <w:spacing w:val="-2"/>
        </w:rPr>
        <w:t> </w:t>
      </w:r>
      <w:r>
        <w:rPr/>
        <w:t>erosion</w:t>
      </w:r>
      <w:r>
        <w:rPr>
          <w:spacing w:val="-2"/>
        </w:rPr>
        <w:t> </w:t>
      </w:r>
      <w:r>
        <w:rPr/>
        <w:t>of</w:t>
      </w:r>
      <w:r>
        <w:rPr>
          <w:spacing w:val="-2"/>
        </w:rPr>
        <w:t> </w:t>
      </w:r>
      <w:r>
        <w:rPr/>
        <w:t>identity.</w:t>
      </w:r>
      <w:r>
        <w:rPr>
          <w:spacing w:val="-4"/>
        </w:rPr>
        <w:t> </w:t>
      </w:r>
      <w:r>
        <w:rPr/>
        <w:t>Throughout</w:t>
      </w:r>
      <w:r>
        <w:rPr>
          <w:spacing w:val="-2"/>
        </w:rPr>
        <w:t> </w:t>
      </w:r>
      <w:r>
        <w:rPr/>
        <w:t>the </w:t>
      </w:r>
      <w:r>
        <w:rPr>
          <w:spacing w:val="-2"/>
        </w:rPr>
        <w:t>play</w:t>
      </w:r>
      <w:r>
        <w:rPr>
          <w:spacing w:val="-7"/>
        </w:rPr>
        <w:t> </w:t>
      </w:r>
      <w:r>
        <w:rPr>
          <w:spacing w:val="-2"/>
        </w:rPr>
        <w:t>she</w:t>
      </w:r>
      <w:r>
        <w:rPr>
          <w:spacing w:val="-3"/>
        </w:rPr>
        <w:t> </w:t>
      </w:r>
      <w:r>
        <w:rPr>
          <w:spacing w:val="-2"/>
        </w:rPr>
        <w:t>exists</w:t>
      </w:r>
      <w:r>
        <w:rPr>
          <w:spacing w:val="-4"/>
        </w:rPr>
        <w:t> </w:t>
      </w:r>
      <w:r>
        <w:rPr>
          <w:spacing w:val="-2"/>
        </w:rPr>
        <w:t>primarily</w:t>
      </w:r>
      <w:r>
        <w:rPr>
          <w:spacing w:val="-9"/>
        </w:rPr>
        <w:t> </w:t>
      </w:r>
      <w:r>
        <w:rPr>
          <w:spacing w:val="-2"/>
        </w:rPr>
        <w:t>through</w:t>
      </w:r>
      <w:r>
        <w:rPr>
          <w:spacing w:val="-4"/>
        </w:rPr>
        <w:t> </w:t>
      </w:r>
      <w:r>
        <w:rPr>
          <w:spacing w:val="-2"/>
        </w:rPr>
        <w:t>the instructions</w:t>
      </w:r>
      <w:r>
        <w:rPr>
          <w:spacing w:val="-4"/>
        </w:rPr>
        <w:t> </w:t>
      </w:r>
      <w:r>
        <w:rPr>
          <w:spacing w:val="-2"/>
        </w:rPr>
        <w:t>of</w:t>
      </w:r>
      <w:r>
        <w:rPr>
          <w:spacing w:val="-4"/>
        </w:rPr>
        <w:t> </w:t>
      </w:r>
      <w:r>
        <w:rPr>
          <w:spacing w:val="-2"/>
        </w:rPr>
        <w:t>others, first</w:t>
      </w:r>
      <w:r>
        <w:rPr>
          <w:spacing w:val="-3"/>
        </w:rPr>
        <w:t> </w:t>
      </w:r>
      <w:r>
        <w:rPr>
          <w:spacing w:val="-2"/>
        </w:rPr>
        <w:t>Polonius, </w:t>
      </w:r>
      <w:r>
        <w:rPr/>
        <w:t>then Laertes and finally Hamlet.</w:t>
      </w:r>
    </w:p>
    <w:p>
      <w:pPr>
        <w:pStyle w:val="BodyText"/>
        <w:spacing w:line="264" w:lineRule="auto" w:before="50"/>
        <w:ind w:right="1438" w:firstLine="432"/>
        <w:jc w:val="both"/>
      </w:pPr>
      <w:r>
        <w:rPr/>
        <w:t>Ophelia’s inability to express her emotions openly leads to internalized grief and eventual collapse. Her songs often dismissed as incoherent can instead be read as fragmented attempts to reconstruct meaning from her emotional chaos.</w:t>
      </w:r>
      <w:r>
        <w:rPr>
          <w:spacing w:val="80"/>
        </w:rPr>
        <w:t> </w:t>
      </w:r>
      <w:r>
        <w:rPr/>
        <w:t>She is an obedient daughter. In Hamlet (Act1, Scene 3) Ophelia’s line “I do not know, my lord, what I should think” is a </w:t>
      </w:r>
      <w:r>
        <w:rPr>
          <w:spacing w:val="9"/>
        </w:rPr>
        <w:t>pivotal</w:t>
      </w:r>
      <w:r>
        <w:rPr>
          <w:spacing w:val="40"/>
        </w:rPr>
        <w:t> </w:t>
      </w:r>
      <w:r>
        <w:rPr/>
        <w:t>moment showing her </w:t>
      </w:r>
      <w:r>
        <w:rPr>
          <w:spacing w:val="9"/>
        </w:rPr>
        <w:t>innocence, </w:t>
      </w:r>
      <w:r>
        <w:rPr/>
        <w:t>submissiveness,</w:t>
      </w:r>
      <w:r>
        <w:rPr>
          <w:spacing w:val="-2"/>
        </w:rPr>
        <w:t> </w:t>
      </w:r>
      <w:r>
        <w:rPr/>
        <w:t>and the</w:t>
      </w:r>
      <w:r>
        <w:rPr>
          <w:spacing w:val="-2"/>
        </w:rPr>
        <w:t> </w:t>
      </w:r>
      <w:r>
        <w:rPr/>
        <w:t>pressure she</w:t>
      </w:r>
      <w:r>
        <w:rPr>
          <w:spacing w:val="-2"/>
        </w:rPr>
        <w:t> </w:t>
      </w:r>
      <w:r>
        <w:rPr/>
        <w:t>faces to reject Hamlet’s</w:t>
      </w:r>
      <w:r>
        <w:rPr>
          <w:spacing w:val="-2"/>
        </w:rPr>
        <w:t> </w:t>
      </w:r>
      <w:r>
        <w:rPr/>
        <w:t>advances. It illustrates her as a dutiful daughter, allowing her father, Polonius, to control her actions and her emerging loss of voice to male authority. From a feminist perspective, Ophelia’s madness can be seen as a consequence of her lack of voice. Her tragic end underscores the destructive</w:t>
      </w:r>
      <w:r>
        <w:rPr>
          <w:spacing w:val="31"/>
        </w:rPr>
        <w:t> </w:t>
      </w:r>
      <w:r>
        <w:rPr/>
        <w:t>impact</w:t>
      </w:r>
      <w:r>
        <w:rPr>
          <w:spacing w:val="31"/>
        </w:rPr>
        <w:t> </w:t>
      </w:r>
      <w:r>
        <w:rPr/>
        <w:t>of</w:t>
      </w:r>
      <w:r>
        <w:rPr>
          <w:spacing w:val="30"/>
        </w:rPr>
        <w:t> </w:t>
      </w:r>
      <w:r>
        <w:rPr/>
        <w:t>emotional</w:t>
      </w:r>
      <w:r>
        <w:rPr>
          <w:spacing w:val="31"/>
        </w:rPr>
        <w:t> </w:t>
      </w:r>
      <w:r>
        <w:rPr/>
        <w:t>suppression</w:t>
      </w:r>
      <w:r>
        <w:rPr>
          <w:spacing w:val="30"/>
        </w:rPr>
        <w:t> </w:t>
      </w:r>
      <w:r>
        <w:rPr/>
        <w:t>and</w:t>
      </w:r>
      <w:r>
        <w:rPr>
          <w:spacing w:val="33"/>
        </w:rPr>
        <w:t> </w:t>
      </w:r>
      <w:r>
        <w:rPr/>
        <w:t>societal</w:t>
      </w:r>
      <w:r>
        <w:rPr>
          <w:spacing w:val="29"/>
        </w:rPr>
        <w:t> </w:t>
      </w:r>
      <w:r>
        <w:rPr>
          <w:spacing w:val="-2"/>
        </w:rPr>
        <w:t>constraints.</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0" w:val="left" w:leader="none"/>
        </w:tabs>
        <w:spacing w:before="0"/>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56640">
                <wp:simplePos x="0" y="0"/>
                <wp:positionH relativeFrom="page">
                  <wp:posOffset>2065020</wp:posOffset>
                </wp:positionH>
                <wp:positionV relativeFrom="paragraph">
                  <wp:posOffset>162604</wp:posOffset>
                </wp:positionV>
                <wp:extent cx="3657600" cy="12700"/>
                <wp:effectExtent l="0" t="0" r="0" b="0"/>
                <wp:wrapTopAndBottom/>
                <wp:docPr id="726" name="Graphic 726"/>
                <wp:cNvGraphicFramePr>
                  <a:graphicFrameLocks/>
                </wp:cNvGraphicFramePr>
                <a:graphic>
                  <a:graphicData uri="http://schemas.microsoft.com/office/word/2010/wordprocessingShape">
                    <wps:wsp>
                      <wps:cNvPr id="726" name="Graphic 72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59840;mso-wrap-distance-left:0;mso-wrap-distance-right:0" id="docshape718" filled="true" fillcolor="#000000" stroked="false">
                <v:fill type="solid"/>
                <w10:wrap type="topAndBottom"/>
              </v:rect>
            </w:pict>
          </mc:Fallback>
        </mc:AlternateContent>
      </w:r>
      <w:r>
        <w:rPr>
          <w:rFonts w:ascii="Verdana" w:hAnsi="Verdana"/>
          <w:sz w:val="18"/>
        </w:rPr>
        <w:t>Women</w:t>
      </w:r>
      <w:r>
        <w:rPr>
          <w:rFonts w:ascii="Verdana" w:hAnsi="Verdana"/>
          <w:spacing w:val="9"/>
          <w:sz w:val="18"/>
        </w:rPr>
        <w:t> </w:t>
      </w:r>
      <w:r>
        <w:rPr>
          <w:rFonts w:ascii="Verdana" w:hAnsi="Verdana"/>
          <w:sz w:val="18"/>
        </w:rPr>
        <w:t>and</w:t>
      </w:r>
      <w:r>
        <w:rPr>
          <w:rFonts w:ascii="Verdana" w:hAnsi="Verdana"/>
          <w:spacing w:val="13"/>
          <w:sz w:val="18"/>
        </w:rPr>
        <w:t> </w:t>
      </w:r>
      <w:r>
        <w:rPr>
          <w:rFonts w:ascii="Verdana" w:hAnsi="Verdana"/>
          <w:sz w:val="18"/>
        </w:rPr>
        <w:t>Mental</w:t>
      </w:r>
      <w:r>
        <w:rPr>
          <w:rFonts w:ascii="Verdana" w:hAnsi="Verdana"/>
          <w:spacing w:val="9"/>
          <w:sz w:val="18"/>
        </w:rPr>
        <w:t> </w:t>
      </w:r>
      <w:r>
        <w:rPr>
          <w:rFonts w:ascii="Verdana" w:hAnsi="Verdana"/>
          <w:sz w:val="18"/>
        </w:rPr>
        <w:t>Health</w:t>
      </w:r>
      <w:r>
        <w:rPr>
          <w:rFonts w:ascii="Verdana" w:hAnsi="Verdana"/>
          <w:spacing w:val="10"/>
          <w:sz w:val="18"/>
        </w:rPr>
        <w:t> </w:t>
      </w:r>
      <w:r>
        <w:rPr>
          <w:rFonts w:ascii="Verdana" w:hAnsi="Verdana"/>
          <w:sz w:val="18"/>
        </w:rPr>
        <w:t>in</w:t>
      </w:r>
      <w:r>
        <w:rPr>
          <w:rFonts w:ascii="Verdana" w:hAnsi="Verdana"/>
          <w:spacing w:val="12"/>
          <w:sz w:val="18"/>
        </w:rPr>
        <w:t> </w:t>
      </w:r>
      <w:r>
        <w:rPr>
          <w:rFonts w:ascii="Verdana" w:hAnsi="Verdana"/>
          <w:sz w:val="18"/>
        </w:rPr>
        <w:t>Shakespeare’s</w:t>
      </w:r>
      <w:r>
        <w:rPr>
          <w:rFonts w:ascii="Verdana" w:hAnsi="Verdana"/>
          <w:spacing w:val="9"/>
          <w:sz w:val="18"/>
        </w:rPr>
        <w:t> </w:t>
      </w:r>
      <w:r>
        <w:rPr>
          <w:rFonts w:ascii="Verdana" w:hAnsi="Verdana"/>
          <w:spacing w:val="-2"/>
          <w:sz w:val="18"/>
        </w:rPr>
        <w:t>Plays...</w:t>
      </w:r>
      <w:r>
        <w:rPr>
          <w:sz w:val="18"/>
        </w:rPr>
        <w:tab/>
      </w:r>
      <w:r>
        <w:rPr>
          <w:rFonts w:ascii="Verdana" w:hAnsi="Verdana"/>
          <w:spacing w:val="-5"/>
          <w:sz w:val="18"/>
        </w:rPr>
        <w:t>363</w:t>
      </w:r>
    </w:p>
    <w:p>
      <w:pPr>
        <w:pStyle w:val="Heading3"/>
      </w:pPr>
      <w:r>
        <w:rPr/>
        <w:t>LADY</w:t>
      </w:r>
      <w:r>
        <w:rPr>
          <w:spacing w:val="40"/>
        </w:rPr>
        <w:t> </w:t>
      </w:r>
      <w:r>
        <w:rPr>
          <w:spacing w:val="9"/>
        </w:rPr>
        <w:t>MACBETH:</w:t>
      </w:r>
      <w:r>
        <w:rPr>
          <w:spacing w:val="40"/>
        </w:rPr>
        <w:t> </w:t>
      </w:r>
      <w:r>
        <w:rPr/>
        <w:t>GUILT</w:t>
      </w:r>
      <w:r>
        <w:rPr>
          <w:spacing w:val="40"/>
        </w:rPr>
        <w:t> </w:t>
      </w:r>
      <w:r>
        <w:rPr/>
        <w:t>AND</w:t>
      </w:r>
      <w:r>
        <w:rPr>
          <w:spacing w:val="40"/>
        </w:rPr>
        <w:t> </w:t>
      </w:r>
      <w:r>
        <w:rPr>
          <w:spacing w:val="9"/>
        </w:rPr>
        <w:t>PSYCHOLOGICAL </w:t>
      </w:r>
      <w:r>
        <w:rPr>
          <w:spacing w:val="-10"/>
        </w:rPr>
        <w:t>DISINTEGRATION</w:t>
      </w:r>
    </w:p>
    <w:p>
      <w:pPr>
        <w:pStyle w:val="BodyText"/>
        <w:spacing w:line="259" w:lineRule="auto" w:before="78"/>
        <w:ind w:right="1441" w:firstLine="432"/>
        <w:jc w:val="both"/>
      </w:pPr>
      <w:r>
        <w:rPr/>
        <w:t>Lady Macbeth is one of the</w:t>
      </w:r>
      <w:r>
        <w:rPr>
          <w:spacing w:val="40"/>
        </w:rPr>
        <w:t> </w:t>
      </w:r>
      <w:r>
        <w:rPr/>
        <w:t>most complex and unforgettable characters.</w:t>
      </w:r>
      <w:r>
        <w:rPr>
          <w:spacing w:val="80"/>
        </w:rPr>
        <w:t> </w:t>
      </w:r>
      <w:r>
        <w:rPr/>
        <w:t>In Macbeth a tragic play, Lady</w:t>
      </w:r>
      <w:r>
        <w:rPr>
          <w:spacing w:val="-2"/>
        </w:rPr>
        <w:t> </w:t>
      </w:r>
      <w:r>
        <w:rPr/>
        <w:t>Macbeth</w:t>
      </w:r>
      <w:r>
        <w:rPr>
          <w:spacing w:val="40"/>
        </w:rPr>
        <w:t> </w:t>
      </w:r>
      <w:r>
        <w:rPr/>
        <w:t>is the wife of the play’s tragic hero, Macbeth, a Scottish nobleman. She is ambitious, cunning, persuasive and deeply human. Her psychological depth and moral</w:t>
      </w:r>
      <w:r>
        <w:rPr>
          <w:spacing w:val="36"/>
        </w:rPr>
        <w:t> </w:t>
      </w:r>
      <w:r>
        <w:rPr/>
        <w:t>conflict</w:t>
      </w:r>
      <w:r>
        <w:rPr>
          <w:spacing w:val="38"/>
        </w:rPr>
        <w:t> </w:t>
      </w:r>
      <w:r>
        <w:rPr/>
        <w:t>play a</w:t>
      </w:r>
      <w:r>
        <w:rPr>
          <w:spacing w:val="40"/>
        </w:rPr>
        <w:t> </w:t>
      </w:r>
      <w:r>
        <w:rPr/>
        <w:t>key role</w:t>
      </w:r>
      <w:r>
        <w:rPr>
          <w:spacing w:val="39"/>
        </w:rPr>
        <w:t> </w:t>
      </w:r>
      <w:r>
        <w:rPr/>
        <w:t>in</w:t>
      </w:r>
      <w:r>
        <w:rPr>
          <w:spacing w:val="38"/>
        </w:rPr>
        <w:t> </w:t>
      </w:r>
      <w:r>
        <w:rPr/>
        <w:t>the</w:t>
      </w:r>
      <w:r>
        <w:rPr>
          <w:spacing w:val="36"/>
        </w:rPr>
        <w:t> </w:t>
      </w:r>
      <w:r>
        <w:rPr/>
        <w:t>tragedy of</w:t>
      </w:r>
      <w:r>
        <w:rPr>
          <w:spacing w:val="36"/>
        </w:rPr>
        <w:t> </w:t>
      </w:r>
      <w:r>
        <w:rPr/>
        <w:t>Macbeth.</w:t>
      </w:r>
    </w:p>
    <w:p>
      <w:pPr>
        <w:pStyle w:val="BodyText"/>
        <w:spacing w:line="259" w:lineRule="auto" w:before="57"/>
        <w:ind w:right="1440" w:firstLine="432"/>
        <w:jc w:val="both"/>
      </w:pPr>
      <w:r>
        <w:rPr/>
        <w:t>Lady Macbeth presents a contrasting depiction of mental health. Initially, she is portrayed as a supportive, strong and determined wife. She defies traditional gender roles by embracing ambition and ruthlessness. Her madness arises from intense guilt following her manipulation of Macbeth into killing King Duncan.</w:t>
      </w:r>
      <w:r>
        <w:rPr>
          <w:spacing w:val="40"/>
        </w:rPr>
        <w:t> </w:t>
      </w:r>
      <w:r>
        <w:rPr/>
        <w:t>After Macbeth becomes a murderous tyrant, she is driven to madness by guilt over their crimes and kills herself offstage. Her guilt led to psychological </w:t>
      </w:r>
      <w:r>
        <w:rPr>
          <w:spacing w:val="-2"/>
        </w:rPr>
        <w:t>deterioration.</w:t>
      </w:r>
    </w:p>
    <w:p>
      <w:pPr>
        <w:pStyle w:val="BodyText"/>
        <w:spacing w:line="259" w:lineRule="auto" w:before="55"/>
        <w:ind w:right="1436" w:firstLine="432"/>
        <w:jc w:val="both"/>
      </w:pPr>
      <w:r>
        <w:rPr/>
        <w:t>The </w:t>
      </w:r>
      <w:r>
        <w:rPr>
          <w:spacing w:val="9"/>
        </w:rPr>
        <w:t>sleepwalking</w:t>
      </w:r>
      <w:r>
        <w:rPr>
          <w:spacing w:val="9"/>
        </w:rPr>
        <w:t> scene</w:t>
      </w:r>
      <w:r>
        <w:rPr>
          <w:spacing w:val="9"/>
        </w:rPr>
        <w:t> </w:t>
      </w:r>
      <w:r>
        <w:rPr>
          <w:spacing w:val="10"/>
        </w:rPr>
        <w:t>reveals</w:t>
      </w:r>
      <w:r>
        <w:rPr>
          <w:spacing w:val="10"/>
        </w:rPr>
        <w:t> </w:t>
      </w:r>
      <w:r>
        <w:rPr/>
        <w:t>her </w:t>
      </w:r>
      <w:r>
        <w:rPr>
          <w:spacing w:val="9"/>
        </w:rPr>
        <w:t>fragmented</w:t>
      </w:r>
      <w:r>
        <w:rPr>
          <w:spacing w:val="9"/>
        </w:rPr>
        <w:t> psyche, </w:t>
      </w:r>
      <w:r>
        <w:rPr>
          <w:spacing w:val="11"/>
        </w:rPr>
        <w:t>characterized</w:t>
      </w:r>
      <w:r>
        <w:rPr>
          <w:spacing w:val="11"/>
        </w:rPr>
        <w:t> </w:t>
      </w:r>
      <w:r>
        <w:rPr/>
        <w:t>by </w:t>
      </w:r>
      <w:r>
        <w:rPr>
          <w:spacing w:val="10"/>
        </w:rPr>
        <w:t>hallucinations</w:t>
      </w:r>
      <w:r>
        <w:rPr>
          <w:spacing w:val="10"/>
        </w:rPr>
        <w:t> </w:t>
      </w:r>
      <w:r>
        <w:rPr/>
        <w:t>and </w:t>
      </w:r>
      <w:r>
        <w:rPr>
          <w:spacing w:val="10"/>
        </w:rPr>
        <w:t>obsessive</w:t>
      </w:r>
      <w:r>
        <w:rPr>
          <w:spacing w:val="10"/>
        </w:rPr>
        <w:t> </w:t>
      </w:r>
      <w:r>
        <w:rPr>
          <w:spacing w:val="9"/>
        </w:rPr>
        <w:t>behavior.</w:t>
      </w:r>
      <w:r>
        <w:rPr>
          <w:spacing w:val="9"/>
        </w:rPr>
        <w:t> </w:t>
      </w:r>
      <w:r>
        <w:rPr/>
        <w:t>Her psychological</w:t>
      </w:r>
      <w:r>
        <w:rPr>
          <w:spacing w:val="-3"/>
        </w:rPr>
        <w:t> </w:t>
      </w:r>
      <w:r>
        <w:rPr/>
        <w:t>decline</w:t>
      </w:r>
      <w:r>
        <w:rPr>
          <w:spacing w:val="-3"/>
        </w:rPr>
        <w:t> </w:t>
      </w:r>
      <w:r>
        <w:rPr/>
        <w:t>illustrates</w:t>
      </w:r>
      <w:r>
        <w:rPr>
          <w:spacing w:val="-1"/>
        </w:rPr>
        <w:t> </w:t>
      </w:r>
      <w:r>
        <w:rPr/>
        <w:t>the</w:t>
      </w:r>
      <w:r>
        <w:rPr>
          <w:spacing w:val="-3"/>
        </w:rPr>
        <w:t> </w:t>
      </w:r>
      <w:r>
        <w:rPr/>
        <w:t>consequences</w:t>
      </w:r>
      <w:r>
        <w:rPr>
          <w:spacing w:val="-4"/>
        </w:rPr>
        <w:t> </w:t>
      </w:r>
      <w:r>
        <w:rPr/>
        <w:t>of</w:t>
      </w:r>
      <w:r>
        <w:rPr>
          <w:spacing w:val="-4"/>
        </w:rPr>
        <w:t> </w:t>
      </w:r>
      <w:r>
        <w:rPr/>
        <w:t>moral</w:t>
      </w:r>
      <w:r>
        <w:rPr>
          <w:spacing w:val="-1"/>
        </w:rPr>
        <w:t> </w:t>
      </w:r>
      <w:r>
        <w:rPr/>
        <w:t>conflict</w:t>
      </w:r>
      <w:r>
        <w:rPr>
          <w:spacing w:val="-4"/>
        </w:rPr>
        <w:t> </w:t>
      </w:r>
      <w:r>
        <w:rPr/>
        <w:t>and emotional repression. Shakespeare’s portrayal of Lady Macbeth demonstrates a deep understanding of guilt-induced psychological </w:t>
      </w:r>
      <w:r>
        <w:rPr>
          <w:spacing w:val="-2"/>
        </w:rPr>
        <w:t>distress.</w:t>
      </w:r>
    </w:p>
    <w:p>
      <w:pPr>
        <w:pStyle w:val="Heading3"/>
        <w:spacing w:before="154"/>
      </w:pPr>
      <w:r>
        <w:rPr>
          <w:spacing w:val="-8"/>
        </w:rPr>
        <w:t>DESDEMONA</w:t>
      </w:r>
      <w:r>
        <w:rPr>
          <w:spacing w:val="-9"/>
        </w:rPr>
        <w:t> </w:t>
      </w:r>
      <w:r>
        <w:rPr>
          <w:spacing w:val="-8"/>
        </w:rPr>
        <w:t>:</w:t>
      </w:r>
      <w:r>
        <w:rPr>
          <w:spacing w:val="-5"/>
        </w:rPr>
        <w:t> </w:t>
      </w:r>
      <w:r>
        <w:rPr>
          <w:spacing w:val="-8"/>
        </w:rPr>
        <w:t>EMOTIONAL </w:t>
      </w:r>
      <w:r>
        <w:rPr>
          <w:spacing w:val="-9"/>
        </w:rPr>
        <w:t>VULNERABILITY</w:t>
      </w:r>
    </w:p>
    <w:p>
      <w:pPr>
        <w:pStyle w:val="BodyText"/>
        <w:spacing w:line="259" w:lineRule="auto" w:before="82"/>
        <w:ind w:right="1440" w:firstLine="432"/>
        <w:jc w:val="both"/>
      </w:pPr>
      <w:r>
        <w:rPr/>
        <w:t>Desdemona is a tragic heroine in Shakespeare’s Othello.</w:t>
      </w:r>
      <w:r>
        <w:rPr>
          <w:spacing w:val="40"/>
        </w:rPr>
        <w:t> </w:t>
      </w:r>
      <w:r>
        <w:rPr/>
        <w:t>She is a bold and brave woman who defies social norms by marrying Othello. She was loyal to her husband even he plans to murder her.</w:t>
      </w:r>
      <w:r>
        <w:rPr>
          <w:spacing w:val="40"/>
        </w:rPr>
        <w:t> </w:t>
      </w:r>
      <w:r>
        <w:rPr/>
        <w:t>Her character</w:t>
      </w:r>
      <w:r>
        <w:rPr>
          <w:spacing w:val="-13"/>
        </w:rPr>
        <w:t> </w:t>
      </w:r>
      <w:r>
        <w:rPr/>
        <w:t>embodies</w:t>
      </w:r>
      <w:r>
        <w:rPr>
          <w:spacing w:val="-12"/>
        </w:rPr>
        <w:t> </w:t>
      </w:r>
      <w:r>
        <w:rPr/>
        <w:t>the</w:t>
      </w:r>
      <w:r>
        <w:rPr>
          <w:spacing w:val="-13"/>
        </w:rPr>
        <w:t> </w:t>
      </w:r>
      <w:r>
        <w:rPr/>
        <w:t>tragedy</w:t>
      </w:r>
      <w:r>
        <w:rPr>
          <w:spacing w:val="-12"/>
        </w:rPr>
        <w:t> </w:t>
      </w:r>
      <w:r>
        <w:rPr/>
        <w:t>of</w:t>
      </w:r>
      <w:r>
        <w:rPr>
          <w:spacing w:val="-13"/>
        </w:rPr>
        <w:t> </w:t>
      </w:r>
      <w:r>
        <w:rPr/>
        <w:t>innocence.</w:t>
      </w:r>
      <w:r>
        <w:rPr>
          <w:spacing w:val="-12"/>
        </w:rPr>
        <w:t> </w:t>
      </w:r>
      <w:r>
        <w:rPr/>
        <w:t>She</w:t>
      </w:r>
      <w:r>
        <w:rPr>
          <w:spacing w:val="-13"/>
        </w:rPr>
        <w:t> </w:t>
      </w:r>
      <w:r>
        <w:rPr/>
        <w:t>is</w:t>
      </w:r>
      <w:r>
        <w:rPr>
          <w:spacing w:val="-12"/>
        </w:rPr>
        <w:t> </w:t>
      </w:r>
      <w:r>
        <w:rPr/>
        <w:t>a</w:t>
      </w:r>
      <w:r>
        <w:rPr>
          <w:spacing w:val="-13"/>
        </w:rPr>
        <w:t> </w:t>
      </w:r>
      <w:r>
        <w:rPr/>
        <w:t>victim</w:t>
      </w:r>
      <w:r>
        <w:rPr>
          <w:spacing w:val="-12"/>
        </w:rPr>
        <w:t> </w:t>
      </w:r>
      <w:r>
        <w:rPr/>
        <w:t>of</w:t>
      </w:r>
      <w:r>
        <w:rPr>
          <w:spacing w:val="-13"/>
        </w:rPr>
        <w:t> </w:t>
      </w:r>
      <w:r>
        <w:rPr/>
        <w:t>Othello’s jealousy and Iago’s manipulation.</w:t>
      </w:r>
      <w:r>
        <w:rPr>
          <w:spacing w:val="40"/>
        </w:rPr>
        <w:t> </w:t>
      </w:r>
      <w:r>
        <w:rPr/>
        <w:t>When she was murdered, she said that</w:t>
      </w:r>
      <w:r>
        <w:rPr>
          <w:spacing w:val="-4"/>
        </w:rPr>
        <w:t> </w:t>
      </w:r>
      <w:r>
        <w:rPr/>
        <w:t>she</w:t>
      </w:r>
      <w:r>
        <w:rPr>
          <w:spacing w:val="-6"/>
        </w:rPr>
        <w:t> </w:t>
      </w:r>
      <w:r>
        <w:rPr/>
        <w:t>killed</w:t>
      </w:r>
      <w:r>
        <w:rPr>
          <w:spacing w:val="-4"/>
        </w:rPr>
        <w:t> </w:t>
      </w:r>
      <w:r>
        <w:rPr/>
        <w:t>herself</w:t>
      </w:r>
      <w:r>
        <w:rPr>
          <w:spacing w:val="-6"/>
        </w:rPr>
        <w:t> </w:t>
      </w:r>
      <w:r>
        <w:rPr/>
        <w:t>and</w:t>
      </w:r>
      <w:r>
        <w:rPr>
          <w:spacing w:val="-4"/>
        </w:rPr>
        <w:t> </w:t>
      </w:r>
      <w:r>
        <w:rPr/>
        <w:t>did</w:t>
      </w:r>
      <w:r>
        <w:rPr>
          <w:spacing w:val="-4"/>
        </w:rPr>
        <w:t> </w:t>
      </w:r>
      <w:r>
        <w:rPr/>
        <w:t>not</w:t>
      </w:r>
      <w:r>
        <w:rPr>
          <w:spacing w:val="-4"/>
        </w:rPr>
        <w:t> </w:t>
      </w:r>
      <w:r>
        <w:rPr/>
        <w:t>reveal</w:t>
      </w:r>
      <w:r>
        <w:rPr>
          <w:spacing w:val="-5"/>
        </w:rPr>
        <w:t> </w:t>
      </w:r>
      <w:r>
        <w:rPr/>
        <w:t>the</w:t>
      </w:r>
      <w:r>
        <w:rPr>
          <w:spacing w:val="-3"/>
        </w:rPr>
        <w:t> </w:t>
      </w:r>
      <w:r>
        <w:rPr/>
        <w:t>fact</w:t>
      </w:r>
      <w:r>
        <w:rPr>
          <w:spacing w:val="-4"/>
        </w:rPr>
        <w:t> </w:t>
      </w:r>
      <w:r>
        <w:rPr/>
        <w:t>about</w:t>
      </w:r>
      <w:r>
        <w:rPr>
          <w:spacing w:val="-4"/>
        </w:rPr>
        <w:t> </w:t>
      </w:r>
      <w:r>
        <w:rPr/>
        <w:t>Othello’s</w:t>
      </w:r>
      <w:r>
        <w:rPr>
          <w:spacing w:val="-6"/>
        </w:rPr>
        <w:t> </w:t>
      </w:r>
      <w:r>
        <w:rPr/>
        <w:t>murder attempt</w:t>
      </w:r>
      <w:r>
        <w:rPr>
          <w:spacing w:val="-6"/>
        </w:rPr>
        <w:t> </w:t>
      </w:r>
      <w:r>
        <w:rPr/>
        <w:t>on</w:t>
      </w:r>
      <w:r>
        <w:rPr>
          <w:spacing w:val="-5"/>
        </w:rPr>
        <w:t> </w:t>
      </w:r>
      <w:r>
        <w:rPr/>
        <w:t>her.</w:t>
      </w:r>
      <w:r>
        <w:rPr>
          <w:spacing w:val="40"/>
        </w:rPr>
        <w:t> </w:t>
      </w:r>
      <w:r>
        <w:rPr/>
        <w:t>Such</w:t>
      </w:r>
      <w:r>
        <w:rPr>
          <w:spacing w:val="-6"/>
        </w:rPr>
        <w:t> </w:t>
      </w:r>
      <w:r>
        <w:rPr/>
        <w:t>is</w:t>
      </w:r>
      <w:r>
        <w:rPr>
          <w:spacing w:val="-5"/>
        </w:rPr>
        <w:t> </w:t>
      </w:r>
      <w:r>
        <w:rPr/>
        <w:t>the</w:t>
      </w:r>
      <w:r>
        <w:rPr>
          <w:spacing w:val="-6"/>
        </w:rPr>
        <w:t> </w:t>
      </w:r>
      <w:r>
        <w:rPr/>
        <w:t>Love</w:t>
      </w:r>
      <w:r>
        <w:rPr>
          <w:spacing w:val="-5"/>
        </w:rPr>
        <w:t> </w:t>
      </w:r>
      <w:r>
        <w:rPr/>
        <w:t>she</w:t>
      </w:r>
      <w:r>
        <w:rPr>
          <w:spacing w:val="-6"/>
        </w:rPr>
        <w:t> </w:t>
      </w:r>
      <w:r>
        <w:rPr/>
        <w:t>has</w:t>
      </w:r>
      <w:r>
        <w:rPr>
          <w:spacing w:val="-5"/>
        </w:rPr>
        <w:t> </w:t>
      </w:r>
      <w:r>
        <w:rPr/>
        <w:t>on</w:t>
      </w:r>
      <w:r>
        <w:rPr>
          <w:spacing w:val="-6"/>
        </w:rPr>
        <w:t> </w:t>
      </w:r>
      <w:r>
        <w:rPr/>
        <w:t>Othello.</w:t>
      </w:r>
      <w:r>
        <w:rPr>
          <w:spacing w:val="-5"/>
        </w:rPr>
        <w:t> </w:t>
      </w:r>
      <w:r>
        <w:rPr/>
        <w:t>Her</w:t>
      </w:r>
      <w:r>
        <w:rPr>
          <w:spacing w:val="-6"/>
        </w:rPr>
        <w:t> </w:t>
      </w:r>
      <w:r>
        <w:rPr/>
        <w:t>internalization of blame and unwavering loyalty to Othello reveals the psychological impact of patriarchal conditioning. Desdemona’s tragedy lies in her inability to assert herself, leading to her ultimate victimization.</w:t>
      </w:r>
    </w:p>
    <w:p>
      <w:pPr>
        <w:pStyle w:val="BodyText"/>
        <w:spacing w:line="249" w:lineRule="auto" w:before="51"/>
        <w:ind w:right="1439" w:firstLine="432"/>
        <w:jc w:val="both"/>
      </w:pPr>
      <w:r>
        <w:rPr/>
        <w:t>Desdemona’s character in Othello highlights the subtle forms of psychological distress experienced by women. Unlike Ophelia or Lady Macbeth, Desdemona does not exhibit overt madness. Instead, her mental health is reflected in her emotional vulnerability and </w:t>
      </w:r>
      <w:r>
        <w:rPr>
          <w:spacing w:val="-2"/>
        </w:rPr>
        <w:t>submissiveness.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57152">
                <wp:simplePos x="0" y="0"/>
                <wp:positionH relativeFrom="page">
                  <wp:posOffset>2057400</wp:posOffset>
                </wp:positionH>
                <wp:positionV relativeFrom="paragraph">
                  <wp:posOffset>162604</wp:posOffset>
                </wp:positionV>
                <wp:extent cx="3657600" cy="12700"/>
                <wp:effectExtent l="0" t="0" r="0" b="0"/>
                <wp:wrapTopAndBottom/>
                <wp:docPr id="727" name="Graphic 727"/>
                <wp:cNvGraphicFramePr>
                  <a:graphicFrameLocks/>
                </wp:cNvGraphicFramePr>
                <a:graphic>
                  <a:graphicData uri="http://schemas.microsoft.com/office/word/2010/wordprocessingShape">
                    <wps:wsp>
                      <wps:cNvPr id="727" name="Graphic 72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59328;mso-wrap-distance-left:0;mso-wrap-distance-right:0" id="docshape719" filled="true" fillcolor="#000000" stroked="false">
                <v:fill type="solid"/>
                <w10:wrap type="topAndBottom"/>
              </v:rect>
            </w:pict>
          </mc:Fallback>
        </mc:AlternateContent>
      </w:r>
      <w:r>
        <w:rPr>
          <w:rFonts w:ascii="Verdana"/>
          <w:spacing w:val="-5"/>
          <w:sz w:val="18"/>
        </w:rPr>
        <w:t>364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pPr>
      <w:r>
        <w:rPr>
          <w:spacing w:val="-2"/>
        </w:rPr>
        <w:t>CORDELIA</w:t>
      </w:r>
      <w:r>
        <w:rPr>
          <w:spacing w:val="38"/>
        </w:rPr>
        <w:t> </w:t>
      </w:r>
      <w:r>
        <w:rPr>
          <w:spacing w:val="-2"/>
        </w:rPr>
        <w:t>-</w:t>
      </w:r>
      <w:r>
        <w:rPr>
          <w:spacing w:val="37"/>
        </w:rPr>
        <w:t> </w:t>
      </w:r>
      <w:r>
        <w:rPr>
          <w:spacing w:val="-2"/>
        </w:rPr>
        <w:t>PSYCHOLOGICAL</w:t>
      </w:r>
      <w:r>
        <w:rPr>
          <w:spacing w:val="-15"/>
        </w:rPr>
        <w:t> </w:t>
      </w:r>
      <w:r>
        <w:rPr>
          <w:spacing w:val="-2"/>
        </w:rPr>
        <w:t>STRENGTH</w:t>
      </w:r>
    </w:p>
    <w:p>
      <w:pPr>
        <w:pStyle w:val="BodyText"/>
        <w:spacing w:line="249" w:lineRule="auto" w:before="75"/>
        <w:ind w:right="1438" w:firstLine="432"/>
        <w:jc w:val="both"/>
      </w:pPr>
      <w:r>
        <w:rPr>
          <w:spacing w:val="-2"/>
        </w:rPr>
        <w:t>Cordelia</w:t>
      </w:r>
      <w:r>
        <w:rPr>
          <w:spacing w:val="-11"/>
        </w:rPr>
        <w:t> </w:t>
      </w:r>
      <w:r>
        <w:rPr>
          <w:spacing w:val="-2"/>
        </w:rPr>
        <w:t>is</w:t>
      </w:r>
      <w:r>
        <w:rPr>
          <w:spacing w:val="-10"/>
        </w:rPr>
        <w:t> </w:t>
      </w:r>
      <w:r>
        <w:rPr>
          <w:spacing w:val="-2"/>
        </w:rPr>
        <w:t>one</w:t>
      </w:r>
      <w:r>
        <w:rPr>
          <w:spacing w:val="-11"/>
        </w:rPr>
        <w:t> </w:t>
      </w:r>
      <w:r>
        <w:rPr>
          <w:spacing w:val="-2"/>
        </w:rPr>
        <w:t>of</w:t>
      </w:r>
      <w:r>
        <w:rPr>
          <w:spacing w:val="-10"/>
        </w:rPr>
        <w:t> </w:t>
      </w:r>
      <w:r>
        <w:rPr>
          <w:spacing w:val="-2"/>
        </w:rPr>
        <w:t>the</w:t>
      </w:r>
      <w:r>
        <w:rPr>
          <w:spacing w:val="-9"/>
        </w:rPr>
        <w:t> </w:t>
      </w:r>
      <w:r>
        <w:rPr>
          <w:spacing w:val="-2"/>
        </w:rPr>
        <w:t>adorable</w:t>
      </w:r>
      <w:r>
        <w:rPr>
          <w:spacing w:val="-5"/>
        </w:rPr>
        <w:t> </w:t>
      </w:r>
      <w:r>
        <w:rPr>
          <w:spacing w:val="-2"/>
        </w:rPr>
        <w:t>female</w:t>
      </w:r>
      <w:r>
        <w:rPr>
          <w:spacing w:val="-8"/>
        </w:rPr>
        <w:t> </w:t>
      </w:r>
      <w:r>
        <w:rPr>
          <w:spacing w:val="-2"/>
        </w:rPr>
        <w:t>characters</w:t>
      </w:r>
      <w:r>
        <w:rPr>
          <w:spacing w:val="-11"/>
        </w:rPr>
        <w:t> </w:t>
      </w:r>
      <w:r>
        <w:rPr>
          <w:spacing w:val="-2"/>
        </w:rPr>
        <w:t>created</w:t>
      </w:r>
      <w:r>
        <w:rPr>
          <w:spacing w:val="-7"/>
        </w:rPr>
        <w:t> </w:t>
      </w:r>
      <w:r>
        <w:rPr>
          <w:spacing w:val="-2"/>
        </w:rPr>
        <w:t>by</w:t>
      </w:r>
      <w:r>
        <w:rPr>
          <w:spacing w:val="-11"/>
        </w:rPr>
        <w:t> </w:t>
      </w:r>
      <w:r>
        <w:rPr>
          <w:spacing w:val="-2"/>
        </w:rPr>
        <w:t>William </w:t>
      </w:r>
      <w:r>
        <w:rPr/>
        <w:t>Shakespeare. In King Lear, a tragic play, Cordelia is the youngest daughter of King Lear’s three daughters.</w:t>
      </w:r>
      <w:r>
        <w:rPr>
          <w:spacing w:val="40"/>
        </w:rPr>
        <w:t> </w:t>
      </w:r>
      <w:r>
        <w:rPr/>
        <w:t>She is the favourite of King Lear. She is an epitome of purity of heart and love.</w:t>
      </w:r>
      <w:r>
        <w:rPr>
          <w:spacing w:val="40"/>
        </w:rPr>
        <w:t> </w:t>
      </w:r>
      <w:r>
        <w:rPr/>
        <w:t>She is a devoted daughter.</w:t>
      </w:r>
      <w:r>
        <w:rPr>
          <w:spacing w:val="40"/>
        </w:rPr>
        <w:t> </w:t>
      </w:r>
      <w:r>
        <w:rPr/>
        <w:t>Though a Queen in France, she attends to her father like a humble</w:t>
      </w:r>
      <w:r>
        <w:rPr>
          <w:spacing w:val="40"/>
        </w:rPr>
        <w:t> </w:t>
      </w:r>
      <w:r>
        <w:rPr/>
        <w:t>servant.</w:t>
      </w:r>
    </w:p>
    <w:p>
      <w:pPr>
        <w:pStyle w:val="BodyText"/>
        <w:spacing w:line="249" w:lineRule="auto" w:before="63"/>
        <w:ind w:right="1438" w:firstLine="432"/>
        <w:jc w:val="both"/>
      </w:pPr>
      <w:r>
        <w:rPr/>
        <w:t>Cordelia</w:t>
      </w:r>
      <w:r>
        <w:rPr>
          <w:spacing w:val="-13"/>
        </w:rPr>
        <w:t> </w:t>
      </w:r>
      <w:r>
        <w:rPr/>
        <w:t>in</w:t>
      </w:r>
      <w:r>
        <w:rPr>
          <w:spacing w:val="-12"/>
        </w:rPr>
        <w:t> </w:t>
      </w:r>
      <w:r>
        <w:rPr/>
        <w:t>King</w:t>
      </w:r>
      <w:r>
        <w:rPr>
          <w:spacing w:val="-13"/>
        </w:rPr>
        <w:t> </w:t>
      </w:r>
      <w:r>
        <w:rPr/>
        <w:t>Lear</w:t>
      </w:r>
      <w:r>
        <w:rPr>
          <w:spacing w:val="-12"/>
        </w:rPr>
        <w:t> </w:t>
      </w:r>
      <w:r>
        <w:rPr/>
        <w:t>represents</w:t>
      </w:r>
      <w:r>
        <w:rPr>
          <w:spacing w:val="-13"/>
        </w:rPr>
        <w:t> </w:t>
      </w:r>
      <w:r>
        <w:rPr/>
        <w:t>emotional</w:t>
      </w:r>
      <w:r>
        <w:rPr>
          <w:spacing w:val="-12"/>
        </w:rPr>
        <w:t> </w:t>
      </w:r>
      <w:r>
        <w:rPr/>
        <w:t>resilience</w:t>
      </w:r>
      <w:r>
        <w:rPr>
          <w:spacing w:val="-13"/>
        </w:rPr>
        <w:t> </w:t>
      </w:r>
      <w:r>
        <w:rPr/>
        <w:t>and</w:t>
      </w:r>
      <w:r>
        <w:rPr>
          <w:spacing w:val="-12"/>
        </w:rPr>
        <w:t> </w:t>
      </w:r>
      <w:r>
        <w:rPr/>
        <w:t>integrity. Her refusal to flatter her father demonstrates her strength and self-awareness. However, her honesty led to her exile and suffering. She does not experience madness but her character provides a contrast to other female figures. She embodies psychological stability and moral clarity which highlights the diversity of women’s experiences in Shakespeare’s</w:t>
      </w:r>
      <w:r>
        <w:rPr>
          <w:spacing w:val="40"/>
        </w:rPr>
        <w:t> </w:t>
      </w:r>
      <w:r>
        <w:rPr/>
        <w:t>plays.</w:t>
      </w:r>
    </w:p>
    <w:p>
      <w:pPr>
        <w:pStyle w:val="Heading3"/>
        <w:spacing w:before="159"/>
      </w:pPr>
      <w:r>
        <w:rPr>
          <w:w w:val="80"/>
        </w:rPr>
        <w:t>FEMINIST</w:t>
      </w:r>
      <w:r>
        <w:rPr>
          <w:spacing w:val="-8"/>
          <w:w w:val="80"/>
        </w:rPr>
        <w:t> </w:t>
      </w:r>
      <w:r>
        <w:rPr>
          <w:spacing w:val="-2"/>
          <w:w w:val="90"/>
        </w:rPr>
        <w:t>INTERPRETATIONS</w:t>
      </w:r>
    </w:p>
    <w:p>
      <w:pPr>
        <w:pStyle w:val="BodyText"/>
        <w:spacing w:line="249" w:lineRule="auto" w:before="78"/>
        <w:ind w:right="1438" w:firstLine="432"/>
        <w:jc w:val="both"/>
      </w:pPr>
      <w:r>
        <w:rPr/>
        <w:t>Feminist criticism offers valuable, deep insights into the </w:t>
      </w:r>
      <w:r>
        <w:rPr>
          <w:spacing w:val="-2"/>
        </w:rPr>
        <w:t>representation</w:t>
      </w:r>
      <w:r>
        <w:rPr>
          <w:spacing w:val="-6"/>
        </w:rPr>
        <w:t> </w:t>
      </w:r>
      <w:r>
        <w:rPr>
          <w:spacing w:val="-2"/>
        </w:rPr>
        <w:t>of</w:t>
      </w:r>
      <w:r>
        <w:rPr>
          <w:spacing w:val="-8"/>
        </w:rPr>
        <w:t> </w:t>
      </w:r>
      <w:r>
        <w:rPr>
          <w:spacing w:val="-2"/>
        </w:rPr>
        <w:t>women’s</w:t>
      </w:r>
      <w:r>
        <w:rPr>
          <w:spacing w:val="-6"/>
        </w:rPr>
        <w:t> </w:t>
      </w:r>
      <w:r>
        <w:rPr>
          <w:spacing w:val="-2"/>
        </w:rPr>
        <w:t>mental</w:t>
      </w:r>
      <w:r>
        <w:rPr>
          <w:spacing w:val="-6"/>
        </w:rPr>
        <w:t> </w:t>
      </w:r>
      <w:r>
        <w:rPr>
          <w:spacing w:val="-2"/>
        </w:rPr>
        <w:t>health</w:t>
      </w:r>
      <w:r>
        <w:rPr>
          <w:spacing w:val="-6"/>
        </w:rPr>
        <w:t> </w:t>
      </w:r>
      <w:r>
        <w:rPr>
          <w:spacing w:val="-2"/>
        </w:rPr>
        <w:t>in</w:t>
      </w:r>
      <w:r>
        <w:rPr>
          <w:spacing w:val="-6"/>
        </w:rPr>
        <w:t> </w:t>
      </w:r>
      <w:r>
        <w:rPr>
          <w:spacing w:val="-2"/>
        </w:rPr>
        <w:t>Shakespeare’s</w:t>
      </w:r>
      <w:r>
        <w:rPr>
          <w:spacing w:val="-6"/>
        </w:rPr>
        <w:t> </w:t>
      </w:r>
      <w:r>
        <w:rPr>
          <w:spacing w:val="-2"/>
        </w:rPr>
        <w:t>works.</w:t>
      </w:r>
      <w:r>
        <w:rPr>
          <w:spacing w:val="-4"/>
        </w:rPr>
        <w:t> </w:t>
      </w:r>
      <w:r>
        <w:rPr>
          <w:spacing w:val="-2"/>
        </w:rPr>
        <w:t>Female </w:t>
      </w:r>
      <w:r>
        <w:rPr/>
        <w:t>madness can be interpreted as both a symptom of oppression and a</w:t>
      </w:r>
      <w:r>
        <w:rPr>
          <w:spacing w:val="40"/>
        </w:rPr>
        <w:t> </w:t>
      </w:r>
      <w:r>
        <w:rPr/>
        <w:t>form</w:t>
      </w:r>
      <w:r>
        <w:rPr>
          <w:spacing w:val="-2"/>
        </w:rPr>
        <w:t> </w:t>
      </w:r>
      <w:r>
        <w:rPr/>
        <w:t>of resistance. It allows women to express truths</w:t>
      </w:r>
      <w:r>
        <w:rPr>
          <w:spacing w:val="-1"/>
        </w:rPr>
        <w:t> </w:t>
      </w:r>
      <w:r>
        <w:rPr/>
        <w:t>that are otherwise </w:t>
      </w:r>
      <w:r>
        <w:rPr>
          <w:spacing w:val="-2"/>
        </w:rPr>
        <w:t>suppressed.</w:t>
      </w:r>
    </w:p>
    <w:p>
      <w:pPr>
        <w:pStyle w:val="BodyText"/>
        <w:spacing w:line="249" w:lineRule="auto" w:before="61"/>
        <w:ind w:right="1440" w:firstLine="432"/>
        <w:jc w:val="both"/>
      </w:pPr>
      <w:r>
        <w:rPr/>
        <w:t>Ophelia’s songs and Lady Macbeth’s hallucinations can be seen</w:t>
      </w:r>
      <w:r>
        <w:rPr>
          <w:spacing w:val="40"/>
        </w:rPr>
        <w:t> </w:t>
      </w:r>
      <w:r>
        <w:rPr/>
        <w:t>as manifestations of repressed emotions. These expressions challenge the</w:t>
      </w:r>
      <w:r>
        <w:rPr>
          <w:spacing w:val="-13"/>
        </w:rPr>
        <w:t> </w:t>
      </w:r>
      <w:r>
        <w:rPr/>
        <w:t>notion</w:t>
      </w:r>
      <w:r>
        <w:rPr>
          <w:spacing w:val="-12"/>
        </w:rPr>
        <w:t> </w:t>
      </w:r>
      <w:r>
        <w:rPr/>
        <w:t>of</w:t>
      </w:r>
      <w:r>
        <w:rPr>
          <w:spacing w:val="-11"/>
        </w:rPr>
        <w:t> </w:t>
      </w:r>
      <w:r>
        <w:rPr/>
        <w:t>female</w:t>
      </w:r>
      <w:r>
        <w:rPr>
          <w:spacing w:val="-12"/>
        </w:rPr>
        <w:t> </w:t>
      </w:r>
      <w:r>
        <w:rPr/>
        <w:t>inferiority</w:t>
      </w:r>
      <w:r>
        <w:rPr>
          <w:spacing w:val="-13"/>
        </w:rPr>
        <w:t> </w:t>
      </w:r>
      <w:r>
        <w:rPr/>
        <w:t>and</w:t>
      </w:r>
      <w:r>
        <w:rPr>
          <w:spacing w:val="-9"/>
        </w:rPr>
        <w:t> </w:t>
      </w:r>
      <w:r>
        <w:rPr/>
        <w:t>highlight</w:t>
      </w:r>
      <w:r>
        <w:rPr>
          <w:spacing w:val="-12"/>
        </w:rPr>
        <w:t> </w:t>
      </w:r>
      <w:r>
        <w:rPr/>
        <w:t>the</w:t>
      </w:r>
      <w:r>
        <w:rPr>
          <w:spacing w:val="-11"/>
        </w:rPr>
        <w:t> </w:t>
      </w:r>
      <w:r>
        <w:rPr/>
        <w:t>complexity</w:t>
      </w:r>
      <w:r>
        <w:rPr>
          <w:spacing w:val="-13"/>
        </w:rPr>
        <w:t> </w:t>
      </w:r>
      <w:r>
        <w:rPr/>
        <w:t>of</w:t>
      </w:r>
      <w:r>
        <w:rPr>
          <w:spacing w:val="-10"/>
        </w:rPr>
        <w:t> </w:t>
      </w:r>
      <w:r>
        <w:rPr/>
        <w:t>women’s psychological</w:t>
      </w:r>
      <w:r>
        <w:rPr>
          <w:spacing w:val="40"/>
        </w:rPr>
        <w:t> </w:t>
      </w:r>
      <w:r>
        <w:rPr/>
        <w:t>experiences.</w:t>
      </w:r>
    </w:p>
    <w:p>
      <w:pPr>
        <w:pStyle w:val="Heading3"/>
        <w:spacing w:before="157"/>
      </w:pPr>
      <w:r>
        <w:rPr>
          <w:spacing w:val="-7"/>
        </w:rPr>
        <w:t>PSYCHOLOGICAL</w:t>
      </w:r>
      <w:r>
        <w:rPr>
          <w:spacing w:val="-8"/>
        </w:rPr>
        <w:t> </w:t>
      </w:r>
      <w:r>
        <w:rPr>
          <w:spacing w:val="-6"/>
        </w:rPr>
        <w:t>PERSPECTIVES</w:t>
      </w:r>
    </w:p>
    <w:p>
      <w:pPr>
        <w:pStyle w:val="BodyText"/>
        <w:spacing w:line="249" w:lineRule="auto" w:before="75"/>
        <w:ind w:right="1438" w:firstLine="432"/>
        <w:jc w:val="both"/>
      </w:pPr>
      <w:r>
        <w:rPr/>
        <w:t>Modern psychological theories</w:t>
      </w:r>
      <w:r>
        <w:rPr>
          <w:spacing w:val="-1"/>
        </w:rPr>
        <w:t> </w:t>
      </w:r>
      <w:r>
        <w:rPr/>
        <w:t>provide additional frameworks for understanding Shakespeare’s characters. The concepts of trauma, depression, and anxiety can be applied to analyze their behavior. Shakespeare’s mastery</w:t>
      </w:r>
      <w:r>
        <w:rPr>
          <w:spacing w:val="-2"/>
        </w:rPr>
        <w:t> </w:t>
      </w:r>
      <w:r>
        <w:rPr/>
        <w:t>of human psychology is evident in his portrayal of</w:t>
      </w:r>
      <w:r>
        <w:rPr>
          <w:spacing w:val="-7"/>
        </w:rPr>
        <w:t> </w:t>
      </w:r>
      <w:r>
        <w:rPr/>
        <w:t>complex</w:t>
      </w:r>
      <w:r>
        <w:rPr>
          <w:spacing w:val="-5"/>
        </w:rPr>
        <w:t> </w:t>
      </w:r>
      <w:r>
        <w:rPr/>
        <w:t>emotional</w:t>
      </w:r>
      <w:r>
        <w:rPr>
          <w:spacing w:val="-6"/>
        </w:rPr>
        <w:t> </w:t>
      </w:r>
      <w:r>
        <w:rPr/>
        <w:t>states.</w:t>
      </w:r>
      <w:r>
        <w:rPr>
          <w:spacing w:val="-3"/>
        </w:rPr>
        <w:t> </w:t>
      </w:r>
      <w:r>
        <w:rPr/>
        <w:t>His</w:t>
      </w:r>
      <w:r>
        <w:rPr>
          <w:spacing w:val="-7"/>
        </w:rPr>
        <w:t> </w:t>
      </w:r>
      <w:r>
        <w:rPr/>
        <w:t>characters</w:t>
      </w:r>
      <w:r>
        <w:rPr>
          <w:spacing w:val="-5"/>
        </w:rPr>
        <w:t> </w:t>
      </w:r>
      <w:r>
        <w:rPr/>
        <w:t>exhibit</w:t>
      </w:r>
      <w:r>
        <w:rPr>
          <w:spacing w:val="-5"/>
        </w:rPr>
        <w:t> </w:t>
      </w:r>
      <w:r>
        <w:rPr/>
        <w:t>symptoms</w:t>
      </w:r>
      <w:r>
        <w:rPr>
          <w:spacing w:val="-5"/>
        </w:rPr>
        <w:t> </w:t>
      </w:r>
      <w:r>
        <w:rPr/>
        <w:t>that</w:t>
      </w:r>
      <w:r>
        <w:rPr>
          <w:spacing w:val="-7"/>
        </w:rPr>
        <w:t> </w:t>
      </w:r>
      <w:r>
        <w:rPr/>
        <w:t>align with contemporary definitions of mental illness, demonstrating the timeless relevance of his work.</w:t>
      </w:r>
    </w:p>
    <w:p>
      <w:pPr>
        <w:pStyle w:val="Heading3"/>
        <w:tabs>
          <w:tab w:pos="3452" w:val="left" w:leader="none"/>
          <w:tab w:pos="4070" w:val="left" w:leader="none"/>
          <w:tab w:pos="5300" w:val="left" w:leader="none"/>
          <w:tab w:pos="6664" w:val="left" w:leader="none"/>
        </w:tabs>
        <w:spacing w:before="160"/>
        <w:ind w:right="1439"/>
      </w:pPr>
      <w:r>
        <w:rPr>
          <w:spacing w:val="12"/>
        </w:rPr>
        <w:t>INTERSECTION</w:t>
      </w:r>
      <w:r>
        <w:rPr/>
        <w:tab/>
      </w:r>
      <w:r>
        <w:rPr>
          <w:spacing w:val="-6"/>
        </w:rPr>
        <w:t>OF</w:t>
      </w:r>
      <w:r>
        <w:rPr/>
        <w:tab/>
      </w:r>
      <w:r>
        <w:rPr>
          <w:spacing w:val="11"/>
        </w:rPr>
        <w:t>POWER,</w:t>
      </w:r>
      <w:r>
        <w:rPr/>
        <w:tab/>
      </w:r>
      <w:r>
        <w:rPr>
          <w:spacing w:val="12"/>
        </w:rPr>
        <w:t>GENDER,</w:t>
      </w:r>
      <w:r>
        <w:rPr/>
        <w:tab/>
      </w:r>
      <w:r>
        <w:rPr>
          <w:spacing w:val="-4"/>
        </w:rPr>
        <w:t>AND </w:t>
      </w:r>
      <w:r>
        <w:rPr/>
        <w:t>PSYCHOLOGICAL</w:t>
      </w:r>
      <w:r>
        <w:rPr>
          <w:spacing w:val="-17"/>
        </w:rPr>
        <w:t> </w:t>
      </w:r>
      <w:r>
        <w:rPr/>
        <w:t>BREAKDOWN</w:t>
      </w:r>
    </w:p>
    <w:p>
      <w:pPr>
        <w:pStyle w:val="BodyText"/>
        <w:spacing w:line="249" w:lineRule="auto" w:before="73"/>
        <w:ind w:right="1440" w:firstLine="432"/>
        <w:jc w:val="both"/>
      </w:pPr>
      <w:r>
        <w:rPr>
          <w:spacing w:val="-4"/>
        </w:rPr>
        <w:t>Another important</w:t>
      </w:r>
      <w:r>
        <w:rPr>
          <w:spacing w:val="-6"/>
        </w:rPr>
        <w:t> </w:t>
      </w:r>
      <w:r>
        <w:rPr>
          <w:spacing w:val="-4"/>
        </w:rPr>
        <w:t>dimension in Shakespeare’s portrayal of women’s </w:t>
      </w:r>
      <w:r>
        <w:rPr/>
        <w:t>mental</w:t>
      </w:r>
      <w:r>
        <w:rPr>
          <w:spacing w:val="51"/>
        </w:rPr>
        <w:t> </w:t>
      </w:r>
      <w:r>
        <w:rPr/>
        <w:t>health</w:t>
      </w:r>
      <w:r>
        <w:rPr>
          <w:spacing w:val="49"/>
        </w:rPr>
        <w:t> </w:t>
      </w:r>
      <w:r>
        <w:rPr/>
        <w:t>is</w:t>
      </w:r>
      <w:r>
        <w:rPr>
          <w:spacing w:val="51"/>
        </w:rPr>
        <w:t> </w:t>
      </w:r>
      <w:r>
        <w:rPr/>
        <w:t>the</w:t>
      </w:r>
      <w:r>
        <w:rPr>
          <w:spacing w:val="52"/>
        </w:rPr>
        <w:t> </w:t>
      </w:r>
      <w:r>
        <w:rPr/>
        <w:t>intersection</w:t>
      </w:r>
      <w:r>
        <w:rPr>
          <w:spacing w:val="53"/>
        </w:rPr>
        <w:t> </w:t>
      </w:r>
      <w:r>
        <w:rPr/>
        <w:t>between</w:t>
      </w:r>
      <w:r>
        <w:rPr>
          <w:spacing w:val="51"/>
        </w:rPr>
        <w:t> </w:t>
      </w:r>
      <w:r>
        <w:rPr/>
        <w:t>power</w:t>
      </w:r>
      <w:r>
        <w:rPr>
          <w:spacing w:val="52"/>
        </w:rPr>
        <w:t> </w:t>
      </w:r>
      <w:r>
        <w:rPr/>
        <w:t>and</w:t>
      </w:r>
      <w:r>
        <w:rPr>
          <w:spacing w:val="51"/>
        </w:rPr>
        <w:t> </w:t>
      </w:r>
      <w:r>
        <w:rPr>
          <w:spacing w:val="-2"/>
        </w:rPr>
        <w:t>psychological</w:t>
      </w:r>
    </w:p>
    <w:p>
      <w:pPr>
        <w:pStyle w:val="BodyText"/>
        <w:spacing w:after="0" w:line="249" w:lineRule="auto"/>
        <w:jc w:val="both"/>
        <w:sectPr>
          <w:pgSz w:w="12240" w:h="15840"/>
          <w:pgMar w:top="1820" w:bottom="280" w:left="1800" w:right="1800"/>
        </w:sectPr>
      </w:pPr>
    </w:p>
    <w:p>
      <w:pPr>
        <w:tabs>
          <w:tab w:pos="7192"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57664">
                <wp:simplePos x="0" y="0"/>
                <wp:positionH relativeFrom="page">
                  <wp:posOffset>2065020</wp:posOffset>
                </wp:positionH>
                <wp:positionV relativeFrom="paragraph">
                  <wp:posOffset>795020</wp:posOffset>
                </wp:positionV>
                <wp:extent cx="3657600" cy="12700"/>
                <wp:effectExtent l="0" t="0" r="0" b="0"/>
                <wp:wrapTopAndBottom/>
                <wp:docPr id="728" name="Graphic 728"/>
                <wp:cNvGraphicFramePr>
                  <a:graphicFrameLocks/>
                </wp:cNvGraphicFramePr>
                <a:graphic>
                  <a:graphicData uri="http://schemas.microsoft.com/office/word/2010/wordprocessingShape">
                    <wps:wsp>
                      <wps:cNvPr id="728" name="Graphic 72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58816;mso-wrap-distance-left:0;mso-wrap-distance-right:0" id="docshape720" filled="true" fillcolor="#000000" stroked="false">
                <v:fill type="solid"/>
                <w10:wrap type="topAndBottom"/>
              </v:rect>
            </w:pict>
          </mc:Fallback>
        </mc:AlternateContent>
      </w:r>
      <w:r>
        <w:rPr>
          <w:rFonts w:ascii="Verdana" w:hAnsi="Verdana"/>
          <w:sz w:val="18"/>
        </w:rPr>
        <w:t>Women</w:t>
      </w:r>
      <w:r>
        <w:rPr>
          <w:rFonts w:ascii="Verdana" w:hAnsi="Verdana"/>
          <w:spacing w:val="9"/>
          <w:sz w:val="18"/>
        </w:rPr>
        <w:t> </w:t>
      </w:r>
      <w:r>
        <w:rPr>
          <w:rFonts w:ascii="Verdana" w:hAnsi="Verdana"/>
          <w:sz w:val="18"/>
        </w:rPr>
        <w:t>and</w:t>
      </w:r>
      <w:r>
        <w:rPr>
          <w:rFonts w:ascii="Verdana" w:hAnsi="Verdana"/>
          <w:spacing w:val="13"/>
          <w:sz w:val="18"/>
        </w:rPr>
        <w:t> </w:t>
      </w:r>
      <w:r>
        <w:rPr>
          <w:rFonts w:ascii="Verdana" w:hAnsi="Verdana"/>
          <w:sz w:val="18"/>
        </w:rPr>
        <w:t>Mental</w:t>
      </w:r>
      <w:r>
        <w:rPr>
          <w:rFonts w:ascii="Verdana" w:hAnsi="Verdana"/>
          <w:spacing w:val="9"/>
          <w:sz w:val="18"/>
        </w:rPr>
        <w:t> </w:t>
      </w:r>
      <w:r>
        <w:rPr>
          <w:rFonts w:ascii="Verdana" w:hAnsi="Verdana"/>
          <w:sz w:val="18"/>
        </w:rPr>
        <w:t>Health</w:t>
      </w:r>
      <w:r>
        <w:rPr>
          <w:rFonts w:ascii="Verdana" w:hAnsi="Verdana"/>
          <w:spacing w:val="10"/>
          <w:sz w:val="18"/>
        </w:rPr>
        <w:t> </w:t>
      </w:r>
      <w:r>
        <w:rPr>
          <w:rFonts w:ascii="Verdana" w:hAnsi="Verdana"/>
          <w:sz w:val="18"/>
        </w:rPr>
        <w:t>in</w:t>
      </w:r>
      <w:r>
        <w:rPr>
          <w:rFonts w:ascii="Verdana" w:hAnsi="Verdana"/>
          <w:spacing w:val="12"/>
          <w:sz w:val="18"/>
        </w:rPr>
        <w:t> </w:t>
      </w:r>
      <w:r>
        <w:rPr>
          <w:rFonts w:ascii="Verdana" w:hAnsi="Verdana"/>
          <w:sz w:val="18"/>
        </w:rPr>
        <w:t>Shakespeare’s</w:t>
      </w:r>
      <w:r>
        <w:rPr>
          <w:rFonts w:ascii="Verdana" w:hAnsi="Verdana"/>
          <w:spacing w:val="9"/>
          <w:sz w:val="18"/>
        </w:rPr>
        <w:t> </w:t>
      </w:r>
      <w:r>
        <w:rPr>
          <w:rFonts w:ascii="Verdana" w:hAnsi="Verdana"/>
          <w:spacing w:val="-2"/>
          <w:sz w:val="18"/>
        </w:rPr>
        <w:t>Plays...</w:t>
      </w:r>
      <w:r>
        <w:rPr>
          <w:sz w:val="18"/>
        </w:rPr>
        <w:tab/>
      </w:r>
      <w:r>
        <w:rPr>
          <w:rFonts w:ascii="Verdana" w:hAnsi="Verdana"/>
          <w:spacing w:val="-5"/>
          <w:sz w:val="18"/>
        </w:rPr>
        <w:t>365</w:t>
      </w:r>
    </w:p>
    <w:p>
      <w:pPr>
        <w:pStyle w:val="BodyText"/>
        <w:spacing w:line="249" w:lineRule="auto" w:before="192"/>
        <w:ind w:right="1439"/>
        <w:jc w:val="both"/>
      </w:pPr>
      <w:r>
        <w:rPr>
          <w:spacing w:val="-2"/>
        </w:rPr>
        <w:t>stability.</w:t>
      </w:r>
      <w:r>
        <w:rPr>
          <w:spacing w:val="-11"/>
        </w:rPr>
        <w:t> </w:t>
      </w:r>
      <w:r>
        <w:rPr>
          <w:spacing w:val="-2"/>
        </w:rPr>
        <w:t>Female</w:t>
      </w:r>
      <w:r>
        <w:rPr>
          <w:spacing w:val="-10"/>
        </w:rPr>
        <w:t> </w:t>
      </w:r>
      <w:r>
        <w:rPr>
          <w:spacing w:val="-2"/>
        </w:rPr>
        <w:t>characters,</w:t>
      </w:r>
      <w:r>
        <w:rPr>
          <w:spacing w:val="-11"/>
        </w:rPr>
        <w:t> </w:t>
      </w:r>
      <w:r>
        <w:rPr>
          <w:spacing w:val="-2"/>
        </w:rPr>
        <w:t>who</w:t>
      </w:r>
      <w:r>
        <w:rPr>
          <w:spacing w:val="-10"/>
        </w:rPr>
        <w:t> </w:t>
      </w:r>
      <w:r>
        <w:rPr>
          <w:spacing w:val="-2"/>
        </w:rPr>
        <w:t>attempt</w:t>
      </w:r>
      <w:r>
        <w:rPr>
          <w:spacing w:val="-11"/>
        </w:rPr>
        <w:t> </w:t>
      </w:r>
      <w:r>
        <w:rPr>
          <w:spacing w:val="-2"/>
        </w:rPr>
        <w:t>to</w:t>
      </w:r>
      <w:r>
        <w:rPr>
          <w:spacing w:val="-10"/>
        </w:rPr>
        <w:t> </w:t>
      </w:r>
      <w:r>
        <w:rPr>
          <w:spacing w:val="-2"/>
        </w:rPr>
        <w:t>access</w:t>
      </w:r>
      <w:r>
        <w:rPr>
          <w:spacing w:val="-11"/>
        </w:rPr>
        <w:t> </w:t>
      </w:r>
      <w:r>
        <w:rPr>
          <w:spacing w:val="-2"/>
        </w:rPr>
        <w:t>power</w:t>
      </w:r>
      <w:r>
        <w:rPr>
          <w:spacing w:val="-10"/>
        </w:rPr>
        <w:t> </w:t>
      </w:r>
      <w:r>
        <w:rPr>
          <w:spacing w:val="-2"/>
        </w:rPr>
        <w:t>whether</w:t>
      </w:r>
      <w:r>
        <w:rPr>
          <w:spacing w:val="-11"/>
        </w:rPr>
        <w:t> </w:t>
      </w:r>
      <w:r>
        <w:rPr>
          <w:spacing w:val="-2"/>
        </w:rPr>
        <w:t>directly </w:t>
      </w:r>
      <w:r>
        <w:rPr/>
        <w:t>or</w:t>
      </w:r>
      <w:r>
        <w:rPr>
          <w:spacing w:val="-1"/>
        </w:rPr>
        <w:t> </w:t>
      </w:r>
      <w:r>
        <w:rPr/>
        <w:t>indirectly,</w:t>
      </w:r>
      <w:r>
        <w:rPr>
          <w:spacing w:val="-1"/>
        </w:rPr>
        <w:t> </w:t>
      </w:r>
      <w:r>
        <w:rPr/>
        <w:t>often</w:t>
      </w:r>
      <w:r>
        <w:rPr>
          <w:spacing w:val="-5"/>
        </w:rPr>
        <w:t> </w:t>
      </w:r>
      <w:r>
        <w:rPr/>
        <w:t>experience</w:t>
      </w:r>
      <w:r>
        <w:rPr>
          <w:spacing w:val="-1"/>
        </w:rPr>
        <w:t> </w:t>
      </w:r>
      <w:r>
        <w:rPr/>
        <w:t>mental</w:t>
      </w:r>
      <w:r>
        <w:rPr>
          <w:spacing w:val="-1"/>
        </w:rPr>
        <w:t> </w:t>
      </w:r>
      <w:r>
        <w:rPr/>
        <w:t>disintegration. Lady</w:t>
      </w:r>
      <w:r>
        <w:rPr>
          <w:spacing w:val="-7"/>
        </w:rPr>
        <w:t> </w:t>
      </w:r>
      <w:r>
        <w:rPr/>
        <w:t>Macbeth</w:t>
      </w:r>
      <w:r>
        <w:rPr>
          <w:spacing w:val="-3"/>
        </w:rPr>
        <w:t> </w:t>
      </w:r>
      <w:r>
        <w:rPr/>
        <w:t>is</w:t>
      </w:r>
      <w:r>
        <w:rPr>
          <w:spacing w:val="-1"/>
        </w:rPr>
        <w:t> </w:t>
      </w:r>
      <w:r>
        <w:rPr/>
        <w:t>a </w:t>
      </w:r>
      <w:r>
        <w:rPr>
          <w:spacing w:val="-4"/>
        </w:rPr>
        <w:t>prime</w:t>
      </w:r>
      <w:r>
        <w:rPr>
          <w:spacing w:val="-9"/>
        </w:rPr>
        <w:t> </w:t>
      </w:r>
      <w:r>
        <w:rPr>
          <w:spacing w:val="-4"/>
        </w:rPr>
        <w:t>example,</w:t>
      </w:r>
      <w:r>
        <w:rPr>
          <w:spacing w:val="-8"/>
        </w:rPr>
        <w:t> </w:t>
      </w:r>
      <w:r>
        <w:rPr>
          <w:spacing w:val="-4"/>
        </w:rPr>
        <w:t>as</w:t>
      </w:r>
      <w:r>
        <w:rPr>
          <w:spacing w:val="-9"/>
        </w:rPr>
        <w:t> </w:t>
      </w:r>
      <w:r>
        <w:rPr>
          <w:spacing w:val="-4"/>
        </w:rPr>
        <w:t>her</w:t>
      </w:r>
      <w:r>
        <w:rPr>
          <w:spacing w:val="-8"/>
        </w:rPr>
        <w:t> </w:t>
      </w:r>
      <w:r>
        <w:rPr>
          <w:spacing w:val="-4"/>
        </w:rPr>
        <w:t>initial</w:t>
      </w:r>
      <w:r>
        <w:rPr>
          <w:spacing w:val="-9"/>
        </w:rPr>
        <w:t> </w:t>
      </w:r>
      <w:r>
        <w:rPr>
          <w:spacing w:val="-4"/>
        </w:rPr>
        <w:t>rejection</w:t>
      </w:r>
      <w:r>
        <w:rPr>
          <w:spacing w:val="-8"/>
        </w:rPr>
        <w:t> </w:t>
      </w:r>
      <w:r>
        <w:rPr>
          <w:spacing w:val="-4"/>
        </w:rPr>
        <w:t>of</w:t>
      </w:r>
      <w:r>
        <w:rPr>
          <w:spacing w:val="-9"/>
        </w:rPr>
        <w:t> </w:t>
      </w:r>
      <w:r>
        <w:rPr>
          <w:spacing w:val="-4"/>
        </w:rPr>
        <w:t>traditional</w:t>
      </w:r>
      <w:r>
        <w:rPr>
          <w:spacing w:val="-8"/>
        </w:rPr>
        <w:t> </w:t>
      </w:r>
      <w:r>
        <w:rPr>
          <w:spacing w:val="-4"/>
        </w:rPr>
        <w:t>femininity</w:t>
      </w:r>
      <w:r>
        <w:rPr>
          <w:spacing w:val="-8"/>
        </w:rPr>
        <w:t> </w:t>
      </w:r>
      <w:r>
        <w:rPr>
          <w:spacing w:val="-4"/>
        </w:rPr>
        <w:t>and</w:t>
      </w:r>
      <w:r>
        <w:rPr>
          <w:spacing w:val="-6"/>
        </w:rPr>
        <w:t> </w:t>
      </w:r>
      <w:r>
        <w:rPr>
          <w:spacing w:val="-4"/>
        </w:rPr>
        <w:t>embrace </w:t>
      </w:r>
      <w:r>
        <w:rPr/>
        <w:t>of ambition destabilizes her psyche. Shakespeare seems to suggest that when women transgress socially assigned roles, they are punished not </w:t>
      </w:r>
      <w:r>
        <w:rPr>
          <w:spacing w:val="-2"/>
        </w:rPr>
        <w:t>only</w:t>
      </w:r>
      <w:r>
        <w:rPr>
          <w:spacing w:val="-11"/>
        </w:rPr>
        <w:t> </w:t>
      </w:r>
      <w:r>
        <w:rPr>
          <w:spacing w:val="-2"/>
        </w:rPr>
        <w:t>socially</w:t>
      </w:r>
      <w:r>
        <w:rPr>
          <w:spacing w:val="-10"/>
        </w:rPr>
        <w:t> </w:t>
      </w:r>
      <w:r>
        <w:rPr>
          <w:spacing w:val="-2"/>
        </w:rPr>
        <w:t>but</w:t>
      </w:r>
      <w:r>
        <w:rPr>
          <w:spacing w:val="-11"/>
        </w:rPr>
        <w:t> </w:t>
      </w:r>
      <w:r>
        <w:rPr>
          <w:spacing w:val="-2"/>
        </w:rPr>
        <w:t>psychologically.</w:t>
      </w:r>
      <w:r>
        <w:rPr>
          <w:spacing w:val="-8"/>
        </w:rPr>
        <w:t> </w:t>
      </w:r>
      <w:r>
        <w:rPr>
          <w:spacing w:val="-2"/>
        </w:rPr>
        <w:t>This</w:t>
      </w:r>
      <w:r>
        <w:rPr>
          <w:spacing w:val="-7"/>
        </w:rPr>
        <w:t> </w:t>
      </w:r>
      <w:r>
        <w:rPr>
          <w:spacing w:val="-2"/>
        </w:rPr>
        <w:t>reflects</w:t>
      </w:r>
      <w:r>
        <w:rPr>
          <w:spacing w:val="-7"/>
        </w:rPr>
        <w:t> </w:t>
      </w:r>
      <w:r>
        <w:rPr>
          <w:spacing w:val="-2"/>
        </w:rPr>
        <w:t>the</w:t>
      </w:r>
      <w:r>
        <w:rPr>
          <w:spacing w:val="-5"/>
        </w:rPr>
        <w:t> </w:t>
      </w:r>
      <w:r>
        <w:rPr>
          <w:spacing w:val="-2"/>
        </w:rPr>
        <w:t>anxiety</w:t>
      </w:r>
      <w:r>
        <w:rPr>
          <w:spacing w:val="-11"/>
        </w:rPr>
        <w:t> </w:t>
      </w:r>
      <w:r>
        <w:rPr>
          <w:spacing w:val="-2"/>
        </w:rPr>
        <w:t>of</w:t>
      </w:r>
      <w:r>
        <w:rPr>
          <w:spacing w:val="-9"/>
        </w:rPr>
        <w:t> </w:t>
      </w:r>
      <w:r>
        <w:rPr>
          <w:spacing w:val="-2"/>
        </w:rPr>
        <w:t>a</w:t>
      </w:r>
      <w:r>
        <w:rPr>
          <w:spacing w:val="-5"/>
        </w:rPr>
        <w:t> </w:t>
      </w:r>
      <w:r>
        <w:rPr>
          <w:spacing w:val="-2"/>
        </w:rPr>
        <w:t>patriarchal society</w:t>
      </w:r>
      <w:r>
        <w:rPr>
          <w:spacing w:val="-6"/>
        </w:rPr>
        <w:t> </w:t>
      </w:r>
      <w:r>
        <w:rPr>
          <w:spacing w:val="-2"/>
        </w:rPr>
        <w:t>that views</w:t>
      </w:r>
      <w:r>
        <w:rPr>
          <w:spacing w:val="-4"/>
        </w:rPr>
        <w:t> </w:t>
      </w:r>
      <w:r>
        <w:rPr>
          <w:spacing w:val="-2"/>
        </w:rPr>
        <w:t>powerful</w:t>
      </w:r>
      <w:r>
        <w:rPr>
          <w:spacing w:val="-4"/>
        </w:rPr>
        <w:t> </w:t>
      </w:r>
      <w:r>
        <w:rPr>
          <w:spacing w:val="-2"/>
        </w:rPr>
        <w:t>women as</w:t>
      </w:r>
      <w:r>
        <w:rPr>
          <w:spacing w:val="-4"/>
        </w:rPr>
        <w:t> </w:t>
      </w:r>
      <w:r>
        <w:rPr>
          <w:spacing w:val="-2"/>
        </w:rPr>
        <w:t>inherently</w:t>
      </w:r>
      <w:r>
        <w:rPr>
          <w:spacing w:val="-6"/>
        </w:rPr>
        <w:t> </w:t>
      </w:r>
      <w:r>
        <w:rPr>
          <w:spacing w:val="-2"/>
        </w:rPr>
        <w:t>dangerous or unnatural. </w:t>
      </w:r>
      <w:r>
        <w:rPr/>
        <w:t>The resulting psychological breakdown can thus be interpreted as both</w:t>
      </w:r>
      <w:r>
        <w:rPr>
          <w:spacing w:val="40"/>
        </w:rPr>
        <w:t> </w:t>
      </w:r>
      <w:r>
        <w:rPr/>
        <w:t>a narrative consequence and a cultural warning embedded within the </w:t>
      </w:r>
      <w:r>
        <w:rPr>
          <w:spacing w:val="-2"/>
        </w:rPr>
        <w:t>text.</w:t>
      </w:r>
    </w:p>
    <w:p>
      <w:pPr>
        <w:pStyle w:val="Heading3"/>
        <w:spacing w:before="162"/>
      </w:pPr>
      <w:r>
        <w:rPr>
          <w:spacing w:val="-8"/>
        </w:rPr>
        <w:t>SILENCE</w:t>
      </w:r>
      <w:r>
        <w:rPr>
          <w:spacing w:val="-7"/>
        </w:rPr>
        <w:t> </w:t>
      </w:r>
      <w:r>
        <w:rPr>
          <w:spacing w:val="-8"/>
        </w:rPr>
        <w:t>AS</w:t>
      </w:r>
      <w:r>
        <w:rPr>
          <w:spacing w:val="-7"/>
        </w:rPr>
        <w:t> </w:t>
      </w:r>
      <w:r>
        <w:rPr>
          <w:spacing w:val="-8"/>
        </w:rPr>
        <w:t>PSYCHOLOGICAL</w:t>
      </w:r>
      <w:r>
        <w:rPr>
          <w:spacing w:val="-9"/>
        </w:rPr>
        <w:t> </w:t>
      </w:r>
      <w:r>
        <w:rPr>
          <w:spacing w:val="-8"/>
        </w:rPr>
        <w:t>TRAUMA</w:t>
      </w:r>
    </w:p>
    <w:p>
      <w:pPr>
        <w:pStyle w:val="BodyText"/>
        <w:spacing w:line="249" w:lineRule="auto" w:before="75"/>
        <w:ind w:right="1437" w:firstLine="432"/>
        <w:jc w:val="both"/>
      </w:pPr>
      <w:r>
        <w:rPr/>
        <w:t>Silence plays a crucial role in shaping the mental health of </w:t>
      </w:r>
      <w:r>
        <w:rPr>
          <w:spacing w:val="-2"/>
        </w:rPr>
        <w:t>Shakespeare’s</w:t>
      </w:r>
      <w:r>
        <w:rPr>
          <w:spacing w:val="-5"/>
        </w:rPr>
        <w:t> </w:t>
      </w:r>
      <w:r>
        <w:rPr>
          <w:spacing w:val="-2"/>
        </w:rPr>
        <w:t>female</w:t>
      </w:r>
      <w:r>
        <w:rPr>
          <w:spacing w:val="-5"/>
        </w:rPr>
        <w:t> </w:t>
      </w:r>
      <w:r>
        <w:rPr>
          <w:spacing w:val="-2"/>
        </w:rPr>
        <w:t>characters.</w:t>
      </w:r>
      <w:r>
        <w:rPr>
          <w:spacing w:val="-5"/>
        </w:rPr>
        <w:t> </w:t>
      </w:r>
      <w:r>
        <w:rPr>
          <w:spacing w:val="-2"/>
        </w:rPr>
        <w:t>Unlike</w:t>
      </w:r>
      <w:r>
        <w:rPr>
          <w:spacing w:val="-5"/>
        </w:rPr>
        <w:t> </w:t>
      </w:r>
      <w:r>
        <w:rPr>
          <w:spacing w:val="-2"/>
        </w:rPr>
        <w:t>male</w:t>
      </w:r>
      <w:r>
        <w:rPr>
          <w:spacing w:val="-4"/>
        </w:rPr>
        <w:t> </w:t>
      </w:r>
      <w:r>
        <w:rPr>
          <w:spacing w:val="-2"/>
        </w:rPr>
        <w:t>characters,</w:t>
      </w:r>
      <w:r>
        <w:rPr>
          <w:spacing w:val="-5"/>
        </w:rPr>
        <w:t> </w:t>
      </w:r>
      <w:r>
        <w:rPr>
          <w:spacing w:val="-2"/>
        </w:rPr>
        <w:t>which</w:t>
      </w:r>
      <w:r>
        <w:rPr>
          <w:spacing w:val="-5"/>
        </w:rPr>
        <w:t> </w:t>
      </w:r>
      <w:r>
        <w:rPr>
          <w:spacing w:val="-2"/>
        </w:rPr>
        <w:t>are</w:t>
      </w:r>
      <w:r>
        <w:rPr>
          <w:spacing w:val="-4"/>
        </w:rPr>
        <w:t> </w:t>
      </w:r>
      <w:r>
        <w:rPr>
          <w:spacing w:val="-2"/>
        </w:rPr>
        <w:t>often </w:t>
      </w:r>
      <w:r>
        <w:rPr/>
        <w:t>given</w:t>
      </w:r>
      <w:r>
        <w:rPr>
          <w:spacing w:val="-13"/>
        </w:rPr>
        <w:t> </w:t>
      </w:r>
      <w:r>
        <w:rPr/>
        <w:t>soliloquies</w:t>
      </w:r>
      <w:r>
        <w:rPr>
          <w:spacing w:val="-12"/>
        </w:rPr>
        <w:t> </w:t>
      </w:r>
      <w:r>
        <w:rPr/>
        <w:t>to</w:t>
      </w:r>
      <w:r>
        <w:rPr>
          <w:spacing w:val="-13"/>
        </w:rPr>
        <w:t> </w:t>
      </w:r>
      <w:r>
        <w:rPr/>
        <w:t>articulate</w:t>
      </w:r>
      <w:r>
        <w:rPr>
          <w:spacing w:val="-12"/>
        </w:rPr>
        <w:t> </w:t>
      </w:r>
      <w:r>
        <w:rPr/>
        <w:t>their</w:t>
      </w:r>
      <w:r>
        <w:rPr>
          <w:spacing w:val="-13"/>
        </w:rPr>
        <w:t> </w:t>
      </w:r>
      <w:r>
        <w:rPr/>
        <w:t>inner</w:t>
      </w:r>
      <w:r>
        <w:rPr>
          <w:spacing w:val="-12"/>
        </w:rPr>
        <w:t> </w:t>
      </w:r>
      <w:r>
        <w:rPr/>
        <w:t>conflicts,</w:t>
      </w:r>
      <w:r>
        <w:rPr>
          <w:spacing w:val="-9"/>
        </w:rPr>
        <w:t> </w:t>
      </w:r>
      <w:r>
        <w:rPr/>
        <w:t>women</w:t>
      </w:r>
      <w:r>
        <w:rPr>
          <w:spacing w:val="-13"/>
        </w:rPr>
        <w:t> </w:t>
      </w:r>
      <w:r>
        <w:rPr/>
        <w:t>are</w:t>
      </w:r>
      <w:r>
        <w:rPr>
          <w:spacing w:val="-12"/>
        </w:rPr>
        <w:t> </w:t>
      </w:r>
      <w:r>
        <w:rPr/>
        <w:t>frequently denied</w:t>
      </w:r>
      <w:r>
        <w:rPr>
          <w:spacing w:val="-1"/>
        </w:rPr>
        <w:t> </w:t>
      </w:r>
      <w:r>
        <w:rPr/>
        <w:t>a</w:t>
      </w:r>
      <w:r>
        <w:rPr>
          <w:spacing w:val="-2"/>
        </w:rPr>
        <w:t> </w:t>
      </w:r>
      <w:r>
        <w:rPr/>
        <w:t>sustained</w:t>
      </w:r>
      <w:r>
        <w:rPr>
          <w:spacing w:val="-1"/>
        </w:rPr>
        <w:t> </w:t>
      </w:r>
      <w:r>
        <w:rPr/>
        <w:t>voice.</w:t>
      </w:r>
      <w:r>
        <w:rPr>
          <w:spacing w:val="-1"/>
        </w:rPr>
        <w:t> </w:t>
      </w:r>
      <w:r>
        <w:rPr/>
        <w:t>Ophelia,</w:t>
      </w:r>
      <w:r>
        <w:rPr>
          <w:spacing w:val="-3"/>
        </w:rPr>
        <w:t> </w:t>
      </w:r>
      <w:r>
        <w:rPr/>
        <w:t>for instance,</w:t>
      </w:r>
      <w:r>
        <w:rPr>
          <w:spacing w:val="-1"/>
        </w:rPr>
        <w:t> </w:t>
      </w:r>
      <w:r>
        <w:rPr/>
        <w:t>speaks</w:t>
      </w:r>
      <w:r>
        <w:rPr>
          <w:spacing w:val="-1"/>
        </w:rPr>
        <w:t> </w:t>
      </w:r>
      <w:r>
        <w:rPr/>
        <w:t>very</w:t>
      </w:r>
      <w:r>
        <w:rPr>
          <w:spacing w:val="-7"/>
        </w:rPr>
        <w:t> </w:t>
      </w:r>
      <w:r>
        <w:rPr/>
        <w:t>little before her descent into madness, and her eventual incoherent songs can be</w:t>
      </w:r>
      <w:r>
        <w:rPr>
          <w:spacing w:val="40"/>
        </w:rPr>
        <w:t> </w:t>
      </w:r>
      <w:r>
        <w:rPr/>
        <w:t>seen as a desperate attempt to communicate suppressed emotions. Similarly, Desdemona’s quiet endurance reflects the internalization of suffering. This enforced silence acts</w:t>
      </w:r>
      <w:r>
        <w:rPr>
          <w:spacing w:val="-3"/>
        </w:rPr>
        <w:t> </w:t>
      </w:r>
      <w:r>
        <w:rPr/>
        <w:t>as</w:t>
      </w:r>
      <w:r>
        <w:rPr>
          <w:spacing w:val="-1"/>
        </w:rPr>
        <w:t> </w:t>
      </w:r>
      <w:r>
        <w:rPr/>
        <w:t>a form</w:t>
      </w:r>
      <w:r>
        <w:rPr>
          <w:spacing w:val="-2"/>
        </w:rPr>
        <w:t> </w:t>
      </w:r>
      <w:r>
        <w:rPr/>
        <w:t>of</w:t>
      </w:r>
      <w:r>
        <w:rPr>
          <w:spacing w:val="-1"/>
        </w:rPr>
        <w:t> </w:t>
      </w:r>
      <w:r>
        <w:rPr/>
        <w:t>psychological trauma, where</w:t>
      </w:r>
      <w:r>
        <w:rPr>
          <w:spacing w:val="-4"/>
        </w:rPr>
        <w:t> </w:t>
      </w:r>
      <w:r>
        <w:rPr/>
        <w:t>the</w:t>
      </w:r>
      <w:r>
        <w:rPr>
          <w:spacing w:val="-3"/>
        </w:rPr>
        <w:t> </w:t>
      </w:r>
      <w:r>
        <w:rPr/>
        <w:t>inability</w:t>
      </w:r>
      <w:r>
        <w:rPr>
          <w:spacing w:val="-5"/>
        </w:rPr>
        <w:t> </w:t>
      </w:r>
      <w:r>
        <w:rPr/>
        <w:t>to</w:t>
      </w:r>
      <w:r>
        <w:rPr>
          <w:spacing w:val="-1"/>
        </w:rPr>
        <w:t> </w:t>
      </w:r>
      <w:r>
        <w:rPr/>
        <w:t>express</w:t>
      </w:r>
      <w:r>
        <w:rPr>
          <w:spacing w:val="-3"/>
        </w:rPr>
        <w:t> </w:t>
      </w:r>
      <w:r>
        <w:rPr/>
        <w:t>distress</w:t>
      </w:r>
      <w:r>
        <w:rPr>
          <w:spacing w:val="-3"/>
        </w:rPr>
        <w:t> </w:t>
      </w:r>
      <w:r>
        <w:rPr/>
        <w:t>leads</w:t>
      </w:r>
      <w:r>
        <w:rPr>
          <w:spacing w:val="-1"/>
        </w:rPr>
        <w:t> </w:t>
      </w:r>
      <w:r>
        <w:rPr/>
        <w:t>to</w:t>
      </w:r>
      <w:r>
        <w:rPr>
          <w:spacing w:val="-3"/>
        </w:rPr>
        <w:t> </w:t>
      </w:r>
      <w:r>
        <w:rPr/>
        <w:t>emotional</w:t>
      </w:r>
      <w:r>
        <w:rPr>
          <w:spacing w:val="-3"/>
        </w:rPr>
        <w:t> </w:t>
      </w:r>
      <w:r>
        <w:rPr/>
        <w:t>fragmentation. Shakespeare</w:t>
      </w:r>
      <w:r>
        <w:rPr>
          <w:spacing w:val="-5"/>
        </w:rPr>
        <w:t> </w:t>
      </w:r>
      <w:r>
        <w:rPr/>
        <w:t>uses</w:t>
      </w:r>
      <w:r>
        <w:rPr>
          <w:spacing w:val="-6"/>
        </w:rPr>
        <w:t> </w:t>
      </w:r>
      <w:r>
        <w:rPr/>
        <w:t>this</w:t>
      </w:r>
      <w:r>
        <w:rPr>
          <w:spacing w:val="-8"/>
        </w:rPr>
        <w:t> </w:t>
      </w:r>
      <w:r>
        <w:rPr/>
        <w:t>silence</w:t>
      </w:r>
      <w:r>
        <w:rPr>
          <w:spacing w:val="-6"/>
        </w:rPr>
        <w:t> </w:t>
      </w:r>
      <w:r>
        <w:rPr/>
        <w:t>not</w:t>
      </w:r>
      <w:r>
        <w:rPr>
          <w:spacing w:val="-6"/>
        </w:rPr>
        <w:t> </w:t>
      </w:r>
      <w:r>
        <w:rPr/>
        <w:t>as</w:t>
      </w:r>
      <w:r>
        <w:rPr>
          <w:spacing w:val="-6"/>
        </w:rPr>
        <w:t> </w:t>
      </w:r>
      <w:r>
        <w:rPr/>
        <w:t>absence,</w:t>
      </w:r>
      <w:r>
        <w:rPr>
          <w:spacing w:val="-6"/>
        </w:rPr>
        <w:t> </w:t>
      </w:r>
      <w:r>
        <w:rPr/>
        <w:t>but</w:t>
      </w:r>
      <w:r>
        <w:rPr>
          <w:spacing w:val="-5"/>
        </w:rPr>
        <w:t> </w:t>
      </w:r>
      <w:r>
        <w:rPr/>
        <w:t>as</w:t>
      </w:r>
      <w:r>
        <w:rPr>
          <w:spacing w:val="-8"/>
        </w:rPr>
        <w:t> </w:t>
      </w:r>
      <w:r>
        <w:rPr/>
        <w:t>a</w:t>
      </w:r>
      <w:r>
        <w:rPr>
          <w:spacing w:val="-6"/>
        </w:rPr>
        <w:t> </w:t>
      </w:r>
      <w:r>
        <w:rPr/>
        <w:t>powerful</w:t>
      </w:r>
      <w:r>
        <w:rPr>
          <w:spacing w:val="-6"/>
        </w:rPr>
        <w:t> </w:t>
      </w:r>
      <w:r>
        <w:rPr/>
        <w:t>indicator of inner turmoil.</w:t>
      </w:r>
    </w:p>
    <w:p>
      <w:pPr>
        <w:pStyle w:val="Heading3"/>
        <w:spacing w:before="163"/>
      </w:pPr>
      <w:r>
        <w:rPr>
          <w:w w:val="90"/>
        </w:rPr>
        <w:t>SYMBOLISM</w:t>
      </w:r>
      <w:r>
        <w:rPr>
          <w:spacing w:val="21"/>
        </w:rPr>
        <w:t> </w:t>
      </w:r>
      <w:r>
        <w:rPr>
          <w:w w:val="90"/>
        </w:rPr>
        <w:t>OF</w:t>
      </w:r>
      <w:r>
        <w:rPr>
          <w:spacing w:val="23"/>
        </w:rPr>
        <w:t> </w:t>
      </w:r>
      <w:r>
        <w:rPr>
          <w:w w:val="90"/>
        </w:rPr>
        <w:t>NATURE</w:t>
      </w:r>
      <w:r>
        <w:rPr>
          <w:spacing w:val="21"/>
        </w:rPr>
        <w:t> </w:t>
      </w:r>
      <w:r>
        <w:rPr>
          <w:w w:val="90"/>
        </w:rPr>
        <w:t>AND</w:t>
      </w:r>
      <w:r>
        <w:rPr>
          <w:spacing w:val="25"/>
        </w:rPr>
        <w:t> </w:t>
      </w:r>
      <w:r>
        <w:rPr>
          <w:spacing w:val="-2"/>
          <w:w w:val="90"/>
        </w:rPr>
        <w:t>MADNESS</w:t>
      </w:r>
    </w:p>
    <w:p>
      <w:pPr>
        <w:pStyle w:val="BodyText"/>
        <w:spacing w:line="249" w:lineRule="auto" w:before="77"/>
        <w:ind w:right="1437" w:firstLine="432"/>
        <w:jc w:val="both"/>
      </w:pPr>
      <w:r>
        <w:rPr/>
        <w:t>Shakespeare frequently uses natural imagery to symbolize the mental states</w:t>
      </w:r>
      <w:r>
        <w:rPr>
          <w:spacing w:val="-1"/>
        </w:rPr>
        <w:t> </w:t>
      </w:r>
      <w:r>
        <w:rPr/>
        <w:t>of</w:t>
      </w:r>
      <w:r>
        <w:rPr>
          <w:spacing w:val="-1"/>
        </w:rPr>
        <w:t> </w:t>
      </w:r>
      <w:r>
        <w:rPr/>
        <w:t>his female characters. In Hamlet, Ophelia’s association with flowers reflects both her innocence and her fragmented mental condition. Each flower she distributes carries symbolic meaning, suggesting that even in madness, she communicates truths that society ignores. Similarly, Lady Macbeth’s obsession with washing imaginary bloodstains reflects the symbolic permanence of guilt. Nature, in these instances, becomes an extension of the female psyche that is like fluid, </w:t>
      </w:r>
      <w:r>
        <w:rPr>
          <w:spacing w:val="-2"/>
        </w:rPr>
        <w:t>expressive,</w:t>
      </w:r>
      <w:r>
        <w:rPr>
          <w:spacing w:val="-3"/>
        </w:rPr>
        <w:t> </w:t>
      </w:r>
      <w:r>
        <w:rPr>
          <w:spacing w:val="-2"/>
        </w:rPr>
        <w:t>and</w:t>
      </w:r>
      <w:r>
        <w:rPr>
          <w:spacing w:val="-5"/>
        </w:rPr>
        <w:t> </w:t>
      </w:r>
      <w:r>
        <w:rPr>
          <w:spacing w:val="-2"/>
        </w:rPr>
        <w:t>deeply</w:t>
      </w:r>
      <w:r>
        <w:rPr>
          <w:spacing w:val="-8"/>
        </w:rPr>
        <w:t> </w:t>
      </w:r>
      <w:r>
        <w:rPr>
          <w:spacing w:val="-2"/>
        </w:rPr>
        <w:t>affected</w:t>
      </w:r>
      <w:r>
        <w:rPr>
          <w:spacing w:val="-3"/>
        </w:rPr>
        <w:t> </w:t>
      </w:r>
      <w:r>
        <w:rPr>
          <w:spacing w:val="-2"/>
        </w:rPr>
        <w:t>by</w:t>
      </w:r>
      <w:r>
        <w:rPr>
          <w:spacing w:val="-10"/>
        </w:rPr>
        <w:t> </w:t>
      </w:r>
      <w:r>
        <w:rPr>
          <w:spacing w:val="-2"/>
        </w:rPr>
        <w:t>emotional</w:t>
      </w:r>
      <w:r>
        <w:rPr>
          <w:spacing w:val="-11"/>
        </w:rPr>
        <w:t> </w:t>
      </w:r>
      <w:r>
        <w:rPr>
          <w:spacing w:val="-2"/>
        </w:rPr>
        <w:t>disturbances. This</w:t>
      </w:r>
      <w:r>
        <w:rPr>
          <w:spacing w:val="-8"/>
        </w:rPr>
        <w:t> </w:t>
      </w:r>
      <w:r>
        <w:rPr>
          <w:spacing w:val="-2"/>
        </w:rPr>
        <w:t>symbolic </w:t>
      </w:r>
      <w:r>
        <w:rPr/>
        <w:t>use of nature enhances the audience’s understanding of psychological </w:t>
      </w:r>
      <w:r>
        <w:rPr>
          <w:spacing w:val="-2"/>
        </w:rPr>
        <w:t>complexity.</w:t>
      </w:r>
    </w:p>
    <w:p>
      <w:pPr>
        <w:pStyle w:val="Heading3"/>
        <w:spacing w:before="163"/>
      </w:pPr>
      <w:r>
        <w:rPr>
          <w:w w:val="90"/>
        </w:rPr>
        <w:t>FEMALE</w:t>
      </w:r>
      <w:r>
        <w:rPr>
          <w:spacing w:val="10"/>
        </w:rPr>
        <w:t> </w:t>
      </w:r>
      <w:r>
        <w:rPr>
          <w:w w:val="90"/>
        </w:rPr>
        <w:t>MADNESS</w:t>
      </w:r>
      <w:r>
        <w:rPr>
          <w:spacing w:val="10"/>
        </w:rPr>
        <w:t> </w:t>
      </w:r>
      <w:r>
        <w:rPr>
          <w:w w:val="90"/>
        </w:rPr>
        <w:t>WITH</w:t>
      </w:r>
      <w:r>
        <w:rPr>
          <w:spacing w:val="9"/>
        </w:rPr>
        <w:t> </w:t>
      </w:r>
      <w:r>
        <w:rPr>
          <w:w w:val="90"/>
        </w:rPr>
        <w:t>MALE</w:t>
      </w:r>
      <w:r>
        <w:rPr>
          <w:spacing w:val="13"/>
        </w:rPr>
        <w:t> </w:t>
      </w:r>
      <w:r>
        <w:rPr>
          <w:spacing w:val="-2"/>
          <w:w w:val="90"/>
        </w:rPr>
        <w:t>MADNESS</w:t>
      </w:r>
    </w:p>
    <w:p>
      <w:pPr>
        <w:pStyle w:val="BodyText"/>
        <w:spacing w:line="249" w:lineRule="auto" w:before="75"/>
        <w:ind w:right="1439" w:firstLine="432"/>
        <w:jc w:val="both"/>
      </w:pPr>
      <w:r>
        <w:rPr/>
        <w:t>A</w:t>
      </w:r>
      <w:r>
        <w:rPr>
          <w:spacing w:val="-6"/>
        </w:rPr>
        <w:t> </w:t>
      </w:r>
      <w:r>
        <w:rPr/>
        <w:t>comparative</w:t>
      </w:r>
      <w:r>
        <w:rPr>
          <w:spacing w:val="-2"/>
        </w:rPr>
        <w:t> </w:t>
      </w:r>
      <w:r>
        <w:rPr/>
        <w:t>perspective</w:t>
      </w:r>
      <w:r>
        <w:rPr>
          <w:spacing w:val="-3"/>
        </w:rPr>
        <w:t> </w:t>
      </w:r>
      <w:r>
        <w:rPr/>
        <w:t>reveals</w:t>
      </w:r>
      <w:r>
        <w:rPr>
          <w:spacing w:val="-4"/>
        </w:rPr>
        <w:t> </w:t>
      </w:r>
      <w:r>
        <w:rPr/>
        <w:t>significant</w:t>
      </w:r>
      <w:r>
        <w:rPr>
          <w:spacing w:val="-2"/>
        </w:rPr>
        <w:t> </w:t>
      </w:r>
      <w:r>
        <w:rPr/>
        <w:t>differences</w:t>
      </w:r>
      <w:r>
        <w:rPr>
          <w:spacing w:val="-6"/>
        </w:rPr>
        <w:t> </w:t>
      </w:r>
      <w:r>
        <w:rPr/>
        <w:t>between </w:t>
      </w:r>
      <w:r>
        <w:rPr>
          <w:spacing w:val="-2"/>
        </w:rPr>
        <w:t>male and</w:t>
      </w:r>
      <w:r>
        <w:rPr>
          <w:spacing w:val="-3"/>
        </w:rPr>
        <w:t> </w:t>
      </w:r>
      <w:r>
        <w:rPr>
          <w:spacing w:val="-2"/>
        </w:rPr>
        <w:t>female representations</w:t>
      </w:r>
      <w:r>
        <w:rPr>
          <w:spacing w:val="-4"/>
        </w:rPr>
        <w:t> </w:t>
      </w:r>
      <w:r>
        <w:rPr>
          <w:spacing w:val="-2"/>
        </w:rPr>
        <w:t>of</w:t>
      </w:r>
      <w:r>
        <w:rPr>
          <w:spacing w:val="-8"/>
        </w:rPr>
        <w:t> </w:t>
      </w:r>
      <w:r>
        <w:rPr>
          <w:spacing w:val="-2"/>
        </w:rPr>
        <w:t>mental</w:t>
      </w:r>
      <w:r>
        <w:rPr>
          <w:spacing w:val="-3"/>
        </w:rPr>
        <w:t> </w:t>
      </w:r>
      <w:r>
        <w:rPr>
          <w:spacing w:val="-2"/>
        </w:rPr>
        <w:t>illness</w:t>
      </w:r>
      <w:r>
        <w:rPr>
          <w:spacing w:val="-5"/>
        </w:rPr>
        <w:t> </w:t>
      </w:r>
      <w:r>
        <w:rPr>
          <w:spacing w:val="-2"/>
        </w:rPr>
        <w:t>in</w:t>
      </w:r>
      <w:r>
        <w:rPr>
          <w:spacing w:val="-5"/>
        </w:rPr>
        <w:t> </w:t>
      </w:r>
      <w:r>
        <w:rPr>
          <w:spacing w:val="-2"/>
        </w:rPr>
        <w:t>Shakespeare’s</w:t>
      </w:r>
      <w:r>
        <w:rPr>
          <w:spacing w:val="-3"/>
        </w:rPr>
        <w:t> </w:t>
      </w:r>
      <w:r>
        <w:rPr>
          <w:spacing w:val="-2"/>
        </w:rPr>
        <w:t>plays.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58176">
                <wp:simplePos x="0" y="0"/>
                <wp:positionH relativeFrom="page">
                  <wp:posOffset>2057400</wp:posOffset>
                </wp:positionH>
                <wp:positionV relativeFrom="paragraph">
                  <wp:posOffset>162604</wp:posOffset>
                </wp:positionV>
                <wp:extent cx="3657600" cy="12700"/>
                <wp:effectExtent l="0" t="0" r="0" b="0"/>
                <wp:wrapTopAndBottom/>
                <wp:docPr id="729" name="Graphic 729"/>
                <wp:cNvGraphicFramePr>
                  <a:graphicFrameLocks/>
                </wp:cNvGraphicFramePr>
                <a:graphic>
                  <a:graphicData uri="http://schemas.microsoft.com/office/word/2010/wordprocessingShape">
                    <wps:wsp>
                      <wps:cNvPr id="729" name="Graphic 72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58304;mso-wrap-distance-left:0;mso-wrap-distance-right:0" id="docshape721" filled="true" fillcolor="#000000" stroked="false">
                <v:fill type="solid"/>
                <w10:wrap type="topAndBottom"/>
              </v:rect>
            </w:pict>
          </mc:Fallback>
        </mc:AlternateContent>
      </w:r>
      <w:r>
        <w:rPr>
          <w:rFonts w:ascii="Verdana"/>
          <w:spacing w:val="-5"/>
          <w:sz w:val="18"/>
        </w:rPr>
        <w:t>366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6"/>
        <w:jc w:val="both"/>
      </w:pPr>
      <w:r>
        <w:rPr/>
        <w:t>Male madness, such as that of Hamlet or King Lear, is often intellectualized</w:t>
      </w:r>
      <w:r>
        <w:rPr>
          <w:spacing w:val="-1"/>
        </w:rPr>
        <w:t> </w:t>
      </w:r>
      <w:r>
        <w:rPr/>
        <w:t>and</w:t>
      </w:r>
      <w:r>
        <w:rPr>
          <w:spacing w:val="-1"/>
        </w:rPr>
        <w:t> </w:t>
      </w:r>
      <w:r>
        <w:rPr/>
        <w:t>given</w:t>
      </w:r>
      <w:r>
        <w:rPr>
          <w:spacing w:val="-3"/>
        </w:rPr>
        <w:t> </w:t>
      </w:r>
      <w:r>
        <w:rPr/>
        <w:t>philosophical</w:t>
      </w:r>
      <w:r>
        <w:rPr>
          <w:spacing w:val="-2"/>
        </w:rPr>
        <w:t> </w:t>
      </w:r>
      <w:r>
        <w:rPr/>
        <w:t>depth.</w:t>
      </w:r>
      <w:r>
        <w:rPr>
          <w:spacing w:val="-1"/>
        </w:rPr>
        <w:t> </w:t>
      </w:r>
      <w:r>
        <w:rPr/>
        <w:t>These</w:t>
      </w:r>
      <w:r>
        <w:rPr>
          <w:spacing w:val="-2"/>
        </w:rPr>
        <w:t> </w:t>
      </w:r>
      <w:r>
        <w:rPr/>
        <w:t>characters</w:t>
      </w:r>
      <w:r>
        <w:rPr>
          <w:spacing w:val="-1"/>
        </w:rPr>
        <w:t> </w:t>
      </w:r>
      <w:r>
        <w:rPr/>
        <w:t>engage in introspection and are granted narrative authority. In contrast, female madness is portrayed as chaotic, emotional, and often dismissed by other characters. This disparity reflects gender biases in the perception of</w:t>
      </w:r>
      <w:r>
        <w:rPr>
          <w:spacing w:val="-2"/>
        </w:rPr>
        <w:t> </w:t>
      </w:r>
      <w:r>
        <w:rPr/>
        <w:t>mental health. However, Shakespeare subtly</w:t>
      </w:r>
      <w:r>
        <w:rPr>
          <w:spacing w:val="-3"/>
        </w:rPr>
        <w:t> </w:t>
      </w:r>
      <w:r>
        <w:rPr/>
        <w:t>critiques this imbalance by allowing female madness to reveal hidden truths, suggesting that what is dismissed</w:t>
      </w:r>
      <w:r>
        <w:rPr>
          <w:spacing w:val="36"/>
        </w:rPr>
        <w:t> </w:t>
      </w:r>
      <w:r>
        <w:rPr/>
        <w:t>as irrational may,</w:t>
      </w:r>
      <w:r>
        <w:rPr>
          <w:spacing w:val="36"/>
        </w:rPr>
        <w:t> </w:t>
      </w:r>
      <w:r>
        <w:rPr/>
        <w:t>in fact,</w:t>
      </w:r>
      <w:r>
        <w:rPr>
          <w:spacing w:val="36"/>
        </w:rPr>
        <w:t> </w:t>
      </w:r>
      <w:r>
        <w:rPr/>
        <w:t>be deeply insightful.</w:t>
      </w:r>
    </w:p>
    <w:p>
      <w:pPr>
        <w:pStyle w:val="Heading3"/>
        <w:spacing w:before="160"/>
        <w:ind w:right="1435"/>
      </w:pPr>
      <w:r>
        <w:rPr>
          <w:spacing w:val="-4"/>
        </w:rPr>
        <w:t>RELEVANCE</w:t>
      </w:r>
      <w:r>
        <w:rPr>
          <w:spacing w:val="20"/>
        </w:rPr>
        <w:t> </w:t>
      </w:r>
      <w:r>
        <w:rPr>
          <w:spacing w:val="-4"/>
        </w:rPr>
        <w:t>TO</w:t>
      </w:r>
      <w:r>
        <w:rPr>
          <w:spacing w:val="22"/>
        </w:rPr>
        <w:t> </w:t>
      </w:r>
      <w:r>
        <w:rPr>
          <w:spacing w:val="-4"/>
        </w:rPr>
        <w:t>CONTEMPORARY</w:t>
      </w:r>
      <w:r>
        <w:rPr>
          <w:spacing w:val="22"/>
        </w:rPr>
        <w:t> </w:t>
      </w:r>
      <w:r>
        <w:rPr>
          <w:spacing w:val="-4"/>
        </w:rPr>
        <w:t>MENTAL</w:t>
      </w:r>
      <w:r>
        <w:rPr>
          <w:spacing w:val="20"/>
        </w:rPr>
        <w:t> </w:t>
      </w:r>
      <w:r>
        <w:rPr>
          <w:spacing w:val="-4"/>
        </w:rPr>
        <w:t>HEALTH </w:t>
      </w:r>
      <w:r>
        <w:rPr>
          <w:spacing w:val="-2"/>
        </w:rPr>
        <w:t>DISCOURSE</w:t>
      </w:r>
    </w:p>
    <w:p>
      <w:pPr>
        <w:pStyle w:val="BodyText"/>
        <w:spacing w:line="232" w:lineRule="auto" w:before="68"/>
        <w:ind w:right="1438" w:firstLine="432"/>
        <w:jc w:val="both"/>
      </w:pPr>
      <w:r>
        <w:rPr/>
        <w:t>Shakespeare’s exploration of women’s mental health continues to resonate in modern contexts. Issues such as emotional suppression, gender inequality, and psychological trauma remain relevant today. Ophelia’s breakdown can be interpreted through the lens of modern discussions on depression and suicide, while Lady Macbeth’s guilt aligns with contemporary understandings of post-traumatic stress and anxiety disorders. By examining these characters, readers can better understand how societal expectations contribute to mental health struggles.</w:t>
      </w:r>
      <w:r>
        <w:rPr>
          <w:spacing w:val="-8"/>
        </w:rPr>
        <w:t> </w:t>
      </w:r>
      <w:r>
        <w:rPr/>
        <w:t>Shakespeare’s</w:t>
      </w:r>
      <w:r>
        <w:rPr>
          <w:spacing w:val="-8"/>
        </w:rPr>
        <w:t> </w:t>
      </w:r>
      <w:r>
        <w:rPr/>
        <w:t>work</w:t>
      </w:r>
      <w:r>
        <w:rPr>
          <w:spacing w:val="-9"/>
        </w:rPr>
        <w:t> </w:t>
      </w:r>
      <w:r>
        <w:rPr/>
        <w:t>thus</w:t>
      </w:r>
      <w:r>
        <w:rPr>
          <w:spacing w:val="-6"/>
        </w:rPr>
        <w:t> </w:t>
      </w:r>
      <w:r>
        <w:rPr/>
        <w:t>serves</w:t>
      </w:r>
      <w:r>
        <w:rPr>
          <w:spacing w:val="-8"/>
        </w:rPr>
        <w:t> </w:t>
      </w:r>
      <w:r>
        <w:rPr/>
        <w:t>as</w:t>
      </w:r>
      <w:r>
        <w:rPr>
          <w:spacing w:val="-8"/>
        </w:rPr>
        <w:t> </w:t>
      </w:r>
      <w:r>
        <w:rPr/>
        <w:t>a</w:t>
      </w:r>
      <w:r>
        <w:rPr>
          <w:spacing w:val="-9"/>
        </w:rPr>
        <w:t> </w:t>
      </w:r>
      <w:r>
        <w:rPr/>
        <w:t>bridge</w:t>
      </w:r>
      <w:r>
        <w:rPr>
          <w:spacing w:val="-7"/>
        </w:rPr>
        <w:t> </w:t>
      </w:r>
      <w:r>
        <w:rPr/>
        <w:t>between</w:t>
      </w:r>
      <w:r>
        <w:rPr>
          <w:spacing w:val="-8"/>
        </w:rPr>
        <w:t> </w:t>
      </w:r>
      <w:r>
        <w:rPr/>
        <w:t>historical perspectives</w:t>
      </w:r>
      <w:r>
        <w:rPr>
          <w:spacing w:val="40"/>
        </w:rPr>
        <w:t> </w:t>
      </w:r>
      <w:r>
        <w:rPr/>
        <w:t>and</w:t>
      </w:r>
      <w:r>
        <w:rPr>
          <w:spacing w:val="40"/>
        </w:rPr>
        <w:t> </w:t>
      </w:r>
      <w:r>
        <w:rPr/>
        <w:t>current</w:t>
      </w:r>
      <w:r>
        <w:rPr>
          <w:spacing w:val="40"/>
        </w:rPr>
        <w:t> </w:t>
      </w:r>
      <w:r>
        <w:rPr/>
        <w:t>psychological</w:t>
      </w:r>
      <w:r>
        <w:rPr>
          <w:spacing w:val="40"/>
        </w:rPr>
        <w:t> </w:t>
      </w:r>
      <w:r>
        <w:rPr/>
        <w:t>discourse.</w:t>
      </w:r>
    </w:p>
    <w:p>
      <w:pPr>
        <w:pStyle w:val="Heading3"/>
        <w:spacing w:before="158"/>
      </w:pPr>
      <w:r>
        <w:rPr>
          <w:spacing w:val="-2"/>
        </w:rPr>
        <w:t>CONCLUSION</w:t>
      </w:r>
    </w:p>
    <w:p>
      <w:pPr>
        <w:pStyle w:val="BodyText"/>
        <w:spacing w:line="235" w:lineRule="auto" w:before="60"/>
        <w:ind w:right="1437" w:firstLine="432"/>
        <w:jc w:val="both"/>
      </w:pPr>
      <w:r>
        <w:rPr/>
        <w:t>Shakespeare’s portrayal of women and mental health is both reflective</w:t>
      </w:r>
      <w:r>
        <w:rPr>
          <w:spacing w:val="-6"/>
        </w:rPr>
        <w:t> </w:t>
      </w:r>
      <w:r>
        <w:rPr/>
        <w:t>of</w:t>
      </w:r>
      <w:r>
        <w:rPr>
          <w:spacing w:val="-7"/>
        </w:rPr>
        <w:t> </w:t>
      </w:r>
      <w:r>
        <w:rPr/>
        <w:t>his</w:t>
      </w:r>
      <w:r>
        <w:rPr>
          <w:spacing w:val="-3"/>
        </w:rPr>
        <w:t> </w:t>
      </w:r>
      <w:r>
        <w:rPr/>
        <w:t>time</w:t>
      </w:r>
      <w:r>
        <w:rPr>
          <w:spacing w:val="-4"/>
        </w:rPr>
        <w:t> </w:t>
      </w:r>
      <w:r>
        <w:rPr/>
        <w:t>and</w:t>
      </w:r>
      <w:r>
        <w:rPr>
          <w:spacing w:val="-3"/>
        </w:rPr>
        <w:t> </w:t>
      </w:r>
      <w:r>
        <w:rPr/>
        <w:t>remarkably</w:t>
      </w:r>
      <w:r>
        <w:rPr>
          <w:spacing w:val="-9"/>
        </w:rPr>
        <w:t> </w:t>
      </w:r>
      <w:r>
        <w:rPr/>
        <w:t>progressive.</w:t>
      </w:r>
      <w:r>
        <w:rPr>
          <w:spacing w:val="-3"/>
        </w:rPr>
        <w:t> </w:t>
      </w:r>
      <w:r>
        <w:rPr/>
        <w:t>His</w:t>
      </w:r>
      <w:r>
        <w:rPr>
          <w:spacing w:val="-5"/>
        </w:rPr>
        <w:t> </w:t>
      </w:r>
      <w:r>
        <w:rPr/>
        <w:t>female</w:t>
      </w:r>
      <w:r>
        <w:rPr>
          <w:spacing w:val="-4"/>
        </w:rPr>
        <w:t> </w:t>
      </w:r>
      <w:r>
        <w:rPr/>
        <w:t>characters are shaped by societal expectations, emotional experiences, and psychological conflicts. Through their stories, Shakespeare highlights the impact of gender inequality on mental well-being.</w:t>
      </w:r>
    </w:p>
    <w:p>
      <w:pPr>
        <w:pStyle w:val="BodyText"/>
        <w:spacing w:line="235" w:lineRule="auto" w:before="52"/>
        <w:ind w:right="1436" w:firstLine="432"/>
        <w:jc w:val="both"/>
      </w:pPr>
      <w:r>
        <w:rPr/>
        <w:t>The analysis reveals that female madness is not merely a literary trope but a powerful commentary on social oppression and emotional repression. Shakespeare’s works continue to resonate in modern discussions of gender and mental health, offering valuable insights into the</w:t>
      </w:r>
      <w:r>
        <w:rPr>
          <w:spacing w:val="40"/>
        </w:rPr>
        <w:t> </w:t>
      </w:r>
      <w:r>
        <w:rPr/>
        <w:t>human</w:t>
      </w:r>
      <w:r>
        <w:rPr>
          <w:spacing w:val="40"/>
        </w:rPr>
        <w:t> </w:t>
      </w:r>
      <w:r>
        <w:rPr/>
        <w:t>condition.</w:t>
      </w:r>
    </w:p>
    <w:p>
      <w:pPr>
        <w:pStyle w:val="Heading3"/>
        <w:spacing w:before="143"/>
      </w:pPr>
      <w:r>
        <w:rPr>
          <w:spacing w:val="-2"/>
          <w:w w:val="95"/>
        </w:rPr>
        <w:t>REFERENCES</w:t>
      </w:r>
    </w:p>
    <w:p>
      <w:pPr>
        <w:pStyle w:val="ListParagraph"/>
        <w:numPr>
          <w:ilvl w:val="0"/>
          <w:numId w:val="76"/>
        </w:numPr>
        <w:tabs>
          <w:tab w:pos="2158" w:val="left" w:leader="none"/>
          <w:tab w:pos="2160" w:val="left" w:leader="none"/>
        </w:tabs>
        <w:spacing w:line="232" w:lineRule="auto" w:before="66" w:after="0"/>
        <w:ind w:left="2160" w:right="1443" w:hanging="332"/>
        <w:jc w:val="left"/>
        <w:rPr>
          <w:sz w:val="19"/>
        </w:rPr>
      </w:pPr>
      <w:r>
        <w:rPr>
          <w:sz w:val="19"/>
        </w:rPr>
        <w:t>Ghorpade, R. P. The Representation of Women in Shakespeare’s </w:t>
      </w:r>
      <w:r>
        <w:rPr>
          <w:spacing w:val="-2"/>
          <w:sz w:val="19"/>
        </w:rPr>
        <w:t>Plays.</w:t>
      </w:r>
    </w:p>
    <w:p>
      <w:pPr>
        <w:pStyle w:val="ListParagraph"/>
        <w:numPr>
          <w:ilvl w:val="0"/>
          <w:numId w:val="76"/>
        </w:numPr>
        <w:tabs>
          <w:tab w:pos="2158" w:val="left" w:leader="none"/>
        </w:tabs>
        <w:spacing w:line="240" w:lineRule="auto" w:before="51" w:after="0"/>
        <w:ind w:left="2158" w:right="0" w:hanging="330"/>
        <w:jc w:val="left"/>
        <w:rPr>
          <w:sz w:val="19"/>
        </w:rPr>
      </w:pPr>
      <w:r>
        <w:rPr>
          <w:sz w:val="19"/>
        </w:rPr>
        <w:t>Shakur,</w:t>
      </w:r>
      <w:r>
        <w:rPr>
          <w:spacing w:val="44"/>
          <w:sz w:val="19"/>
        </w:rPr>
        <w:t> </w:t>
      </w:r>
      <w:r>
        <w:rPr>
          <w:sz w:val="19"/>
        </w:rPr>
        <w:t>A.</w:t>
      </w:r>
      <w:r>
        <w:rPr>
          <w:spacing w:val="52"/>
          <w:sz w:val="19"/>
        </w:rPr>
        <w:t> </w:t>
      </w:r>
      <w:r>
        <w:rPr>
          <w:sz w:val="19"/>
        </w:rPr>
        <w:t>Interpreting</w:t>
      </w:r>
      <w:r>
        <w:rPr>
          <w:spacing w:val="53"/>
          <w:sz w:val="19"/>
        </w:rPr>
        <w:t> </w:t>
      </w:r>
      <w:r>
        <w:rPr>
          <w:sz w:val="19"/>
        </w:rPr>
        <w:t>Mental</w:t>
      </w:r>
      <w:r>
        <w:rPr>
          <w:spacing w:val="52"/>
          <w:sz w:val="19"/>
        </w:rPr>
        <w:t> </w:t>
      </w:r>
      <w:r>
        <w:rPr>
          <w:sz w:val="19"/>
        </w:rPr>
        <w:t>Health</w:t>
      </w:r>
      <w:r>
        <w:rPr>
          <w:spacing w:val="55"/>
          <w:sz w:val="19"/>
        </w:rPr>
        <w:t> </w:t>
      </w:r>
      <w:r>
        <w:rPr>
          <w:sz w:val="19"/>
        </w:rPr>
        <w:t>through</w:t>
      </w:r>
      <w:r>
        <w:rPr>
          <w:spacing w:val="52"/>
          <w:sz w:val="19"/>
        </w:rPr>
        <w:t> </w:t>
      </w:r>
      <w:r>
        <w:rPr>
          <w:spacing w:val="-2"/>
          <w:sz w:val="19"/>
        </w:rPr>
        <w:t>Shakespeare.</w:t>
      </w:r>
    </w:p>
    <w:p>
      <w:pPr>
        <w:pStyle w:val="ListParagraph"/>
        <w:numPr>
          <w:ilvl w:val="0"/>
          <w:numId w:val="76"/>
        </w:numPr>
        <w:tabs>
          <w:tab w:pos="2158" w:val="left" w:leader="none"/>
        </w:tabs>
        <w:spacing w:line="240" w:lineRule="auto" w:before="53" w:after="0"/>
        <w:ind w:left="2158" w:right="0" w:hanging="330"/>
        <w:jc w:val="left"/>
        <w:rPr>
          <w:sz w:val="19"/>
        </w:rPr>
      </w:pPr>
      <w:r>
        <w:rPr>
          <w:sz w:val="19"/>
        </w:rPr>
        <w:t>Sharma,</w:t>
      </w:r>
      <w:r>
        <w:rPr>
          <w:spacing w:val="45"/>
          <w:sz w:val="19"/>
        </w:rPr>
        <w:t> </w:t>
      </w:r>
      <w:r>
        <w:rPr>
          <w:sz w:val="19"/>
        </w:rPr>
        <w:t>H.</w:t>
      </w:r>
      <w:r>
        <w:rPr>
          <w:spacing w:val="45"/>
          <w:sz w:val="19"/>
        </w:rPr>
        <w:t> </w:t>
      </w:r>
      <w:r>
        <w:rPr>
          <w:sz w:val="19"/>
        </w:rPr>
        <w:t>Gendered</w:t>
      </w:r>
      <w:r>
        <w:rPr>
          <w:spacing w:val="45"/>
          <w:sz w:val="19"/>
        </w:rPr>
        <w:t> </w:t>
      </w:r>
      <w:r>
        <w:rPr>
          <w:sz w:val="19"/>
        </w:rPr>
        <w:t>Mental</w:t>
      </w:r>
      <w:r>
        <w:rPr>
          <w:spacing w:val="44"/>
          <w:sz w:val="19"/>
        </w:rPr>
        <w:t> </w:t>
      </w:r>
      <w:r>
        <w:rPr>
          <w:sz w:val="19"/>
        </w:rPr>
        <w:t>Illness</w:t>
      </w:r>
      <w:r>
        <w:rPr>
          <w:spacing w:val="43"/>
          <w:sz w:val="19"/>
        </w:rPr>
        <w:t> </w:t>
      </w:r>
      <w:r>
        <w:rPr>
          <w:sz w:val="19"/>
        </w:rPr>
        <w:t>in</w:t>
      </w:r>
      <w:r>
        <w:rPr>
          <w:spacing w:val="47"/>
          <w:sz w:val="19"/>
        </w:rPr>
        <w:t> </w:t>
      </w:r>
      <w:r>
        <w:rPr>
          <w:sz w:val="19"/>
        </w:rPr>
        <w:t>Shakespeare’s</w:t>
      </w:r>
      <w:r>
        <w:rPr>
          <w:spacing w:val="45"/>
          <w:sz w:val="19"/>
        </w:rPr>
        <w:t> </w:t>
      </w:r>
      <w:r>
        <w:rPr>
          <w:spacing w:val="-2"/>
          <w:sz w:val="19"/>
        </w:rPr>
        <w:t>Plays.</w:t>
      </w:r>
    </w:p>
    <w:p>
      <w:pPr>
        <w:pStyle w:val="ListParagraph"/>
        <w:numPr>
          <w:ilvl w:val="0"/>
          <w:numId w:val="76"/>
        </w:numPr>
        <w:tabs>
          <w:tab w:pos="2158" w:val="left" w:leader="none"/>
        </w:tabs>
        <w:spacing w:line="240" w:lineRule="auto" w:before="67" w:after="0"/>
        <w:ind w:left="2158" w:right="0" w:hanging="330"/>
        <w:jc w:val="left"/>
        <w:rPr>
          <w:sz w:val="19"/>
        </w:rPr>
      </w:pPr>
      <w:r>
        <w:rPr>
          <w:sz w:val="19"/>
        </w:rPr>
        <w:t>Neely,</w:t>
      </w:r>
      <w:r>
        <w:rPr>
          <w:spacing w:val="40"/>
          <w:sz w:val="19"/>
        </w:rPr>
        <w:t> </w:t>
      </w:r>
      <w:r>
        <w:rPr>
          <w:sz w:val="19"/>
        </w:rPr>
        <w:t>C.</w:t>
      </w:r>
      <w:r>
        <w:rPr>
          <w:spacing w:val="37"/>
          <w:sz w:val="19"/>
        </w:rPr>
        <w:t> </w:t>
      </w:r>
      <w:r>
        <w:rPr>
          <w:sz w:val="19"/>
        </w:rPr>
        <w:t>T.</w:t>
      </w:r>
      <w:r>
        <w:rPr>
          <w:spacing w:val="34"/>
          <w:sz w:val="19"/>
        </w:rPr>
        <w:t> </w:t>
      </w:r>
      <w:r>
        <w:rPr>
          <w:sz w:val="19"/>
        </w:rPr>
        <w:t>Women</w:t>
      </w:r>
      <w:r>
        <w:rPr>
          <w:spacing w:val="39"/>
          <w:sz w:val="19"/>
        </w:rPr>
        <w:t> </w:t>
      </w:r>
      <w:r>
        <w:rPr>
          <w:sz w:val="19"/>
        </w:rPr>
        <w:t>and</w:t>
      </w:r>
      <w:r>
        <w:rPr>
          <w:spacing w:val="39"/>
          <w:sz w:val="19"/>
        </w:rPr>
        <w:t> </w:t>
      </w:r>
      <w:r>
        <w:rPr>
          <w:sz w:val="19"/>
        </w:rPr>
        <w:t>Madness</w:t>
      </w:r>
      <w:r>
        <w:rPr>
          <w:spacing w:val="38"/>
          <w:sz w:val="19"/>
        </w:rPr>
        <w:t> </w:t>
      </w:r>
      <w:r>
        <w:rPr>
          <w:sz w:val="19"/>
        </w:rPr>
        <w:t>in</w:t>
      </w:r>
      <w:r>
        <w:rPr>
          <w:spacing w:val="40"/>
          <w:sz w:val="19"/>
        </w:rPr>
        <w:t> </w:t>
      </w:r>
      <w:r>
        <w:rPr>
          <w:sz w:val="19"/>
        </w:rPr>
        <w:t>Early</w:t>
      </w:r>
      <w:r>
        <w:rPr>
          <w:spacing w:val="33"/>
          <w:sz w:val="19"/>
        </w:rPr>
        <w:t> </w:t>
      </w:r>
      <w:r>
        <w:rPr>
          <w:sz w:val="19"/>
        </w:rPr>
        <w:t>Modern</w:t>
      </w:r>
      <w:r>
        <w:rPr>
          <w:spacing w:val="39"/>
          <w:sz w:val="19"/>
        </w:rPr>
        <w:t> </w:t>
      </w:r>
      <w:r>
        <w:rPr>
          <w:spacing w:val="-2"/>
          <w:sz w:val="19"/>
        </w:rPr>
        <w:t>England.</w:t>
      </w:r>
    </w:p>
    <w:p>
      <w:pPr>
        <w:pStyle w:val="ListParagraph"/>
        <w:numPr>
          <w:ilvl w:val="0"/>
          <w:numId w:val="76"/>
        </w:numPr>
        <w:tabs>
          <w:tab w:pos="2158" w:val="left" w:leader="none"/>
        </w:tabs>
        <w:spacing w:line="240" w:lineRule="auto" w:before="79" w:after="0"/>
        <w:ind w:left="2158" w:right="0" w:hanging="330"/>
        <w:jc w:val="left"/>
        <w:rPr>
          <w:sz w:val="19"/>
        </w:rPr>
      </w:pPr>
      <w:r>
        <w:rPr>
          <w:sz w:val="19"/>
        </w:rPr>
        <w:t>Showalter,</w:t>
      </w:r>
      <w:r>
        <w:rPr>
          <w:spacing w:val="33"/>
          <w:sz w:val="19"/>
        </w:rPr>
        <w:t> </w:t>
      </w:r>
      <w:r>
        <w:rPr>
          <w:sz w:val="19"/>
        </w:rPr>
        <w:t>E.</w:t>
      </w:r>
      <w:r>
        <w:rPr>
          <w:spacing w:val="31"/>
          <w:sz w:val="19"/>
        </w:rPr>
        <w:t> </w:t>
      </w:r>
      <w:r>
        <w:rPr>
          <w:sz w:val="19"/>
        </w:rPr>
        <w:t>The</w:t>
      </w:r>
      <w:r>
        <w:rPr>
          <w:spacing w:val="34"/>
          <w:sz w:val="19"/>
        </w:rPr>
        <w:t> </w:t>
      </w:r>
      <w:r>
        <w:rPr>
          <w:sz w:val="19"/>
        </w:rPr>
        <w:t>Female</w:t>
      </w:r>
      <w:r>
        <w:rPr>
          <w:spacing w:val="33"/>
          <w:sz w:val="19"/>
        </w:rPr>
        <w:t> </w:t>
      </w:r>
      <w:r>
        <w:rPr>
          <w:spacing w:val="-2"/>
          <w:sz w:val="19"/>
        </w:rPr>
        <w:t>Malady.</w:t>
      </w:r>
    </w:p>
    <w:p>
      <w:pPr>
        <w:pStyle w:val="ListParagraph"/>
        <w:spacing w:after="0" w:line="240"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23360">
                <wp:simplePos x="0" y="0"/>
                <wp:positionH relativeFrom="page">
                  <wp:posOffset>2057400</wp:posOffset>
                </wp:positionH>
                <wp:positionV relativeFrom="page">
                  <wp:posOffset>1788723</wp:posOffset>
                </wp:positionV>
                <wp:extent cx="3654425" cy="140335"/>
                <wp:effectExtent l="0" t="0" r="0" b="0"/>
                <wp:wrapNone/>
                <wp:docPr id="730" name="Textbox 730"/>
                <wp:cNvGraphicFramePr>
                  <a:graphicFrameLocks/>
                </wp:cNvGraphicFramePr>
                <a:graphic>
                  <a:graphicData uri="http://schemas.microsoft.com/office/word/2010/wordprocessingShape">
                    <wps:wsp>
                      <wps:cNvPr id="730" name="Textbox 730"/>
                      <wps:cNvSpPr txBox="1"/>
                      <wps:spPr>
                        <a:xfrm>
                          <a:off x="0" y="0"/>
                          <a:ext cx="3654425" cy="140335"/>
                        </a:xfrm>
                        <a:prstGeom prst="rect">
                          <a:avLst/>
                        </a:prstGeom>
                      </wps:spPr>
                      <wps:txbx>
                        <w:txbxContent>
                          <w:p>
                            <w:pPr>
                              <w:tabs>
                                <w:tab w:pos="5754" w:val="right" w:leader="none"/>
                              </w:tabs>
                              <w:spacing w:line="219" w:lineRule="exact" w:before="0"/>
                              <w:ind w:left="0" w:right="0" w:firstLine="0"/>
                              <w:jc w:val="left"/>
                              <w:rPr>
                                <w:rFonts w:ascii="Verdana" w:hAnsi="Verdana"/>
                                <w:sz w:val="18"/>
                              </w:rPr>
                            </w:pPr>
                            <w:r>
                              <w:rPr>
                                <w:rFonts w:ascii="Verdana" w:hAnsi="Verdana"/>
                                <w:sz w:val="18"/>
                              </w:rPr>
                              <w:t>Shakespeare’s</w:t>
                            </w:r>
                            <w:r>
                              <w:rPr>
                                <w:rFonts w:ascii="Verdana" w:hAnsi="Verdana"/>
                                <w:spacing w:val="1"/>
                                <w:sz w:val="18"/>
                              </w:rPr>
                              <w:t> </w:t>
                            </w:r>
                            <w:r>
                              <w:rPr>
                                <w:rFonts w:ascii="Verdana" w:hAnsi="Verdana"/>
                                <w:sz w:val="18"/>
                              </w:rPr>
                              <w:t>Female</w:t>
                            </w:r>
                            <w:r>
                              <w:rPr>
                                <w:rFonts w:ascii="Verdana" w:hAnsi="Verdana"/>
                                <w:spacing w:val="5"/>
                                <w:sz w:val="18"/>
                              </w:rPr>
                              <w:t> </w:t>
                            </w:r>
                            <w:r>
                              <w:rPr>
                                <w:rFonts w:ascii="Verdana" w:hAnsi="Verdana"/>
                                <w:spacing w:val="-2"/>
                                <w:sz w:val="18"/>
                              </w:rPr>
                              <w:t>Character</w:t>
                            </w:r>
                            <w:r>
                              <w:rPr>
                                <w:sz w:val="18"/>
                              </w:rPr>
                              <w:tab/>
                            </w:r>
                            <w:r>
                              <w:rPr>
                                <w:rFonts w:ascii="Verdana" w:hAnsi="Verdana"/>
                                <w:spacing w:val="-5"/>
                                <w:sz w:val="18"/>
                              </w:rPr>
                              <w:t>367</w:t>
                            </w:r>
                          </w:p>
                        </w:txbxContent>
                      </wps:txbx>
                      <wps:bodyPr wrap="square" lIns="0" tIns="0" rIns="0" bIns="0" rtlCol="0">
                        <a:noAutofit/>
                      </wps:bodyPr>
                    </wps:wsp>
                  </a:graphicData>
                </a:graphic>
              </wp:anchor>
            </w:drawing>
          </mc:Choice>
          <mc:Fallback>
            <w:pict>
              <v:shape style="position:absolute;margin-left:162pt;margin-top:140.844391pt;width:287.75pt;height:11.05pt;mso-position-horizontal-relative:page;mso-position-vertical-relative:page;z-index:-20293120" type="#_x0000_t202" id="docshape722" filled="false" stroked="false">
                <v:textbox inset="0,0,0,0">
                  <w:txbxContent>
                    <w:p>
                      <w:pPr>
                        <w:tabs>
                          <w:tab w:pos="5754" w:val="right" w:leader="none"/>
                        </w:tabs>
                        <w:spacing w:line="219" w:lineRule="exact" w:before="0"/>
                        <w:ind w:left="0" w:right="0" w:firstLine="0"/>
                        <w:jc w:val="left"/>
                        <w:rPr>
                          <w:rFonts w:ascii="Verdana" w:hAnsi="Verdana"/>
                          <w:sz w:val="18"/>
                        </w:rPr>
                      </w:pPr>
                      <w:r>
                        <w:rPr>
                          <w:rFonts w:ascii="Verdana" w:hAnsi="Verdana"/>
                          <w:sz w:val="18"/>
                        </w:rPr>
                        <w:t>Shakespeare’s</w:t>
                      </w:r>
                      <w:r>
                        <w:rPr>
                          <w:rFonts w:ascii="Verdana" w:hAnsi="Verdana"/>
                          <w:spacing w:val="1"/>
                          <w:sz w:val="18"/>
                        </w:rPr>
                        <w:t> </w:t>
                      </w:r>
                      <w:r>
                        <w:rPr>
                          <w:rFonts w:ascii="Verdana" w:hAnsi="Verdana"/>
                          <w:sz w:val="18"/>
                        </w:rPr>
                        <w:t>Female</w:t>
                      </w:r>
                      <w:r>
                        <w:rPr>
                          <w:rFonts w:ascii="Verdana" w:hAnsi="Verdana"/>
                          <w:spacing w:val="5"/>
                          <w:sz w:val="18"/>
                        </w:rPr>
                        <w:t> </w:t>
                      </w:r>
                      <w:r>
                        <w:rPr>
                          <w:rFonts w:ascii="Verdana" w:hAnsi="Verdana"/>
                          <w:spacing w:val="-2"/>
                          <w:sz w:val="18"/>
                        </w:rPr>
                        <w:t>Character</w:t>
                      </w:r>
                      <w:r>
                        <w:rPr>
                          <w:sz w:val="18"/>
                        </w:rPr>
                        <w:tab/>
                      </w:r>
                      <w:r>
                        <w:rPr>
                          <w:rFonts w:ascii="Verdana" w:hAnsi="Verdana"/>
                          <w:spacing w:val="-5"/>
                          <w:sz w:val="18"/>
                        </w:rPr>
                        <w:t>367</w:t>
                      </w:r>
                    </w:p>
                  </w:txbxContent>
                </v:textbox>
                <w10:wrap type="none"/>
              </v:shape>
            </w:pict>
          </mc:Fallback>
        </mc:AlternateContent>
      </w:r>
    </w:p>
    <w:p>
      <w:pPr>
        <w:pStyle w:val="BodyText"/>
        <w:ind w:left="0"/>
      </w:pPr>
    </w:p>
    <w:p>
      <w:pPr>
        <w:pStyle w:val="BodyText"/>
        <w:spacing w:before="12"/>
        <w:ind w:left="0"/>
      </w:pPr>
    </w:p>
    <w:p>
      <w:pPr>
        <w:spacing w:line="240" w:lineRule="auto"/>
        <w:ind w:left="1094" w:right="0" w:firstLine="0"/>
        <w:rPr>
          <w:sz w:val="20"/>
        </w:rPr>
      </w:pPr>
      <w:r>
        <w:rPr>
          <w:sz w:val="20"/>
        </w:rPr>
        <mc:AlternateContent>
          <mc:Choice Requires="wps">
            <w:drawing>
              <wp:inline distT="0" distB="0" distL="0" distR="0">
                <wp:extent cx="4043679" cy="699770"/>
                <wp:effectExtent l="0" t="0" r="0" b="0"/>
                <wp:docPr id="731" name="Group 731"/>
                <wp:cNvGraphicFramePr>
                  <a:graphicFrameLocks/>
                </wp:cNvGraphicFramePr>
                <a:graphic>
                  <a:graphicData uri="http://schemas.microsoft.com/office/word/2010/wordprocessingGroup">
                    <wpg:wgp>
                      <wpg:cNvPr id="731" name="Group 731"/>
                      <wpg:cNvGrpSpPr/>
                      <wpg:grpSpPr>
                        <a:xfrm>
                          <a:off x="0" y="0"/>
                          <a:ext cx="4043679" cy="699770"/>
                          <a:chExt cx="4043679" cy="699770"/>
                        </a:xfrm>
                      </wpg:grpSpPr>
                      <wps:wsp>
                        <wps:cNvPr id="732" name="Graphic 732"/>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723" coordorigin="0,0" coordsize="6368,1102">
                <v:rect style="position:absolute;left:0;top:0;width:6368;height:1102" id="docshape724"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59200">
                <wp:simplePos x="0" y="0"/>
                <wp:positionH relativeFrom="page">
                  <wp:posOffset>3506723</wp:posOffset>
                </wp:positionH>
                <wp:positionV relativeFrom="paragraph">
                  <wp:posOffset>272922</wp:posOffset>
                </wp:positionV>
                <wp:extent cx="727075" cy="655320"/>
                <wp:effectExtent l="0" t="0" r="0" b="0"/>
                <wp:wrapTopAndBottom/>
                <wp:docPr id="733" name="Group 733"/>
                <wp:cNvGraphicFramePr>
                  <a:graphicFrameLocks/>
                </wp:cNvGraphicFramePr>
                <a:graphic>
                  <a:graphicData uri="http://schemas.microsoft.com/office/word/2010/wordprocessingGroup">
                    <wpg:wgp>
                      <wpg:cNvPr id="733" name="Group 733"/>
                      <wpg:cNvGrpSpPr/>
                      <wpg:grpSpPr>
                        <a:xfrm>
                          <a:off x="0" y="0"/>
                          <a:ext cx="727075" cy="655320"/>
                          <a:chExt cx="727075" cy="655320"/>
                        </a:xfrm>
                      </wpg:grpSpPr>
                      <pic:pic>
                        <pic:nvPicPr>
                          <pic:cNvPr id="734" name="Image 734"/>
                          <pic:cNvPicPr/>
                        </pic:nvPicPr>
                        <pic:blipFill>
                          <a:blip r:embed="rId127" cstate="print"/>
                          <a:stretch>
                            <a:fillRect/>
                          </a:stretch>
                        </pic:blipFill>
                        <pic:spPr>
                          <a:xfrm>
                            <a:off x="0" y="0"/>
                            <a:ext cx="726947" cy="655320"/>
                          </a:xfrm>
                          <a:prstGeom prst="rect">
                            <a:avLst/>
                          </a:prstGeom>
                        </pic:spPr>
                      </pic:pic>
                      <wps:wsp>
                        <wps:cNvPr id="735" name="Textbox 735"/>
                        <wps:cNvSpPr txBox="1"/>
                        <wps:spPr>
                          <a:xfrm>
                            <a:off x="0" y="0"/>
                            <a:ext cx="727075" cy="655320"/>
                          </a:xfrm>
                          <a:prstGeom prst="rect">
                            <a:avLst/>
                          </a:prstGeom>
                        </wps:spPr>
                        <wps:txbx>
                          <w:txbxContent>
                            <w:p>
                              <w:pPr>
                                <w:spacing w:before="374"/>
                                <w:ind w:left="403" w:right="0" w:firstLine="0"/>
                                <w:jc w:val="left"/>
                                <w:rPr>
                                  <w:rFonts w:ascii="Tahoma"/>
                                  <w:b/>
                                  <w:sz w:val="36"/>
                                </w:rPr>
                              </w:pPr>
                              <w:r>
                                <w:rPr>
                                  <w:rFonts w:ascii="Tahoma"/>
                                  <w:b/>
                                  <w:spacing w:val="-5"/>
                                  <w:w w:val="95"/>
                                  <w:sz w:val="36"/>
                                </w:rPr>
                                <w:t>37</w:t>
                              </w:r>
                            </w:p>
                          </w:txbxContent>
                        </wps:txbx>
                        <wps:bodyPr wrap="square" lIns="0" tIns="0" rIns="0" bIns="0" rtlCol="0">
                          <a:noAutofit/>
                        </wps:bodyPr>
                      </wps:wsp>
                    </wpg:wgp>
                  </a:graphicData>
                </a:graphic>
              </wp:anchor>
            </w:drawing>
          </mc:Choice>
          <mc:Fallback>
            <w:pict>
              <v:group style="position:absolute;margin-left:276.119995pt;margin-top:21.489992pt;width:57.25pt;height:51.6pt;mso-position-horizontal-relative:page;mso-position-vertical-relative:paragraph;z-index:-15457280;mso-wrap-distance-left:0;mso-wrap-distance-right:0" id="docshapegroup725" coordorigin="5522,430" coordsize="1145,1032">
                <v:shape style="position:absolute;left:5522;top:429;width:1145;height:1032" type="#_x0000_t75" id="docshape726" stroked="false">
                  <v:imagedata r:id="rId127" o:title=""/>
                </v:shape>
                <v:shape style="position:absolute;left:5522;top:429;width:1145;height:1032" type="#_x0000_t202" id="docshape727" filled="false" stroked="false">
                  <v:textbox inset="0,0,0,0">
                    <w:txbxContent>
                      <w:p>
                        <w:pPr>
                          <w:spacing w:before="374"/>
                          <w:ind w:left="403" w:right="0" w:firstLine="0"/>
                          <w:jc w:val="left"/>
                          <w:rPr>
                            <w:rFonts w:ascii="Tahoma"/>
                            <w:b/>
                            <w:sz w:val="36"/>
                          </w:rPr>
                        </w:pPr>
                        <w:r>
                          <w:rPr>
                            <w:rFonts w:ascii="Tahoma"/>
                            <w:b/>
                            <w:spacing w:val="-5"/>
                            <w:w w:val="95"/>
                            <w:sz w:val="36"/>
                          </w:rPr>
                          <w:t>37</w:t>
                        </w:r>
                      </w:p>
                    </w:txbxContent>
                  </v:textbox>
                  <w10:wrap type="none"/>
                </v:shape>
                <w10:wrap type="topAndBottom"/>
              </v:group>
            </w:pict>
          </mc:Fallback>
        </mc:AlternateContent>
      </w:r>
    </w:p>
    <w:p>
      <w:pPr>
        <w:pStyle w:val="Heading1"/>
        <w:tabs>
          <w:tab w:pos="7199" w:val="left" w:leader="none"/>
        </w:tabs>
        <w:ind w:left="1440"/>
        <w:jc w:val="left"/>
      </w:pPr>
      <w:r>
        <w:rPr>
          <w:spacing w:val="53"/>
          <w:u w:val="single"/>
        </w:rPr>
        <w:t>  </w:t>
      </w:r>
      <w:r>
        <w:rPr>
          <w:spacing w:val="-4"/>
          <w:u w:val="single"/>
        </w:rPr>
        <w:t>Shakespeare’s</w:t>
      </w:r>
      <w:r>
        <w:rPr>
          <w:spacing w:val="-8"/>
          <w:u w:val="single"/>
        </w:rPr>
        <w:t> </w:t>
      </w:r>
      <w:r>
        <w:rPr>
          <w:spacing w:val="-4"/>
          <w:u w:val="single"/>
        </w:rPr>
        <w:t>Female</w:t>
      </w:r>
      <w:r>
        <w:rPr>
          <w:spacing w:val="-8"/>
          <w:u w:val="single"/>
        </w:rPr>
        <w:t> </w:t>
      </w:r>
      <w:r>
        <w:rPr>
          <w:spacing w:val="-4"/>
          <w:u w:val="single"/>
        </w:rPr>
        <w:t>Character</w:t>
      </w:r>
      <w:r>
        <w:rPr>
          <w:u w:val="single"/>
        </w:rPr>
        <w:tab/>
      </w:r>
    </w:p>
    <w:p>
      <w:pPr>
        <w:pStyle w:val="BodyText"/>
        <w:spacing w:before="11"/>
        <w:ind w:left="0"/>
        <w:rPr>
          <w:rFonts w:ascii="Tahoma"/>
          <w:b/>
          <w:sz w:val="4"/>
        </w:rPr>
      </w:pPr>
      <w:r>
        <w:rPr>
          <w:rFonts w:ascii="Tahoma"/>
          <w:b/>
          <w:sz w:val="4"/>
        </w:rPr>
        <mc:AlternateContent>
          <mc:Choice Requires="wps">
            <w:drawing>
              <wp:anchor distT="0" distB="0" distL="0" distR="0" allowOverlap="1" layoutInCell="1" locked="0" behindDoc="1" simplePos="0" relativeHeight="487859712">
                <wp:simplePos x="0" y="0"/>
                <wp:positionH relativeFrom="page">
                  <wp:posOffset>2057400</wp:posOffset>
                </wp:positionH>
                <wp:positionV relativeFrom="paragraph">
                  <wp:posOffset>53435</wp:posOffset>
                </wp:positionV>
                <wp:extent cx="3657600" cy="7620"/>
                <wp:effectExtent l="0" t="0" r="0" b="0"/>
                <wp:wrapTopAndBottom/>
                <wp:docPr id="736" name="Graphic 736"/>
                <wp:cNvGraphicFramePr>
                  <a:graphicFrameLocks/>
                </wp:cNvGraphicFramePr>
                <a:graphic>
                  <a:graphicData uri="http://schemas.microsoft.com/office/word/2010/wordprocessingShape">
                    <wps:wsp>
                      <wps:cNvPr id="736" name="Graphic 736"/>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207517pt;width:288.000009pt;height:.59999pt;mso-position-horizontal-relative:page;mso-position-vertical-relative:paragraph;z-index:-15456768;mso-wrap-distance-left:0;mso-wrap-distance-right:0" id="docshape728"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4334"/>
        <w:rPr>
          <w:rFonts w:ascii="Times New Roman"/>
        </w:rPr>
      </w:pPr>
      <w:r>
        <w:rPr>
          <w:rFonts w:ascii="Times New Roman"/>
        </w:rPr>
        <w:t>Dr.</w:t>
      </w:r>
      <w:r>
        <w:rPr>
          <w:rFonts w:ascii="Times New Roman"/>
          <w:spacing w:val="45"/>
        </w:rPr>
        <w:t> </w:t>
      </w:r>
      <w:r>
        <w:rPr>
          <w:rFonts w:ascii="Times New Roman"/>
        </w:rPr>
        <w:t>S.</w:t>
      </w:r>
      <w:r>
        <w:rPr>
          <w:rFonts w:ascii="Times New Roman"/>
          <w:spacing w:val="45"/>
        </w:rPr>
        <w:t> </w:t>
      </w:r>
      <w:r>
        <w:rPr>
          <w:rFonts w:ascii="Times New Roman"/>
        </w:rPr>
        <w:t>G.</w:t>
      </w:r>
      <w:r>
        <w:rPr>
          <w:rFonts w:ascii="Times New Roman"/>
          <w:spacing w:val="45"/>
        </w:rPr>
        <w:t> </w:t>
      </w:r>
      <w:r>
        <w:rPr>
          <w:rFonts w:ascii="Times New Roman"/>
        </w:rPr>
        <w:t>Dhanalakshmi</w:t>
      </w:r>
      <w:r>
        <w:rPr>
          <w:rFonts w:ascii="Times New Roman"/>
          <w:spacing w:val="46"/>
        </w:rPr>
        <w:t> </w:t>
      </w:r>
      <w:r>
        <w:rPr>
          <w:rFonts w:ascii="Times New Roman"/>
          <w:spacing w:val="-4"/>
        </w:rPr>
        <w:t>Devi</w:t>
      </w:r>
    </w:p>
    <w:p>
      <w:pPr>
        <w:spacing w:before="15"/>
        <w:ind w:left="2520" w:right="0" w:firstLine="0"/>
        <w:jc w:val="left"/>
        <w:rPr>
          <w:i/>
          <w:sz w:val="19"/>
        </w:rPr>
      </w:pPr>
      <w:r>
        <w:rPr>
          <w:i/>
          <w:sz w:val="19"/>
        </w:rPr>
        <w:t>Assistant</w:t>
      </w:r>
      <w:r>
        <w:rPr>
          <w:i/>
          <w:spacing w:val="44"/>
          <w:sz w:val="19"/>
        </w:rPr>
        <w:t> </w:t>
      </w:r>
      <w:r>
        <w:rPr>
          <w:i/>
          <w:sz w:val="19"/>
        </w:rPr>
        <w:t>Professor</w:t>
      </w:r>
      <w:r>
        <w:rPr>
          <w:i/>
          <w:spacing w:val="50"/>
          <w:sz w:val="19"/>
        </w:rPr>
        <w:t> </w:t>
      </w:r>
      <w:r>
        <w:rPr>
          <w:i/>
          <w:sz w:val="19"/>
        </w:rPr>
        <w:t>of</w:t>
      </w:r>
      <w:r>
        <w:rPr>
          <w:i/>
          <w:spacing w:val="47"/>
          <w:sz w:val="19"/>
        </w:rPr>
        <w:t> </w:t>
      </w:r>
      <w:r>
        <w:rPr>
          <w:i/>
          <w:sz w:val="19"/>
        </w:rPr>
        <w:t>English</w:t>
      </w:r>
      <w:r>
        <w:rPr>
          <w:i/>
          <w:spacing w:val="47"/>
          <w:sz w:val="19"/>
        </w:rPr>
        <w:t> </w:t>
      </w:r>
      <w:r>
        <w:rPr>
          <w:i/>
          <w:sz w:val="19"/>
        </w:rPr>
        <w:t>©</w:t>
      </w:r>
      <w:r>
        <w:rPr>
          <w:i/>
          <w:spacing w:val="46"/>
          <w:sz w:val="19"/>
        </w:rPr>
        <w:t> </w:t>
      </w:r>
      <w:r>
        <w:rPr>
          <w:i/>
          <w:sz w:val="19"/>
        </w:rPr>
        <w:t>H&amp;BS,</w:t>
      </w:r>
      <w:r>
        <w:rPr>
          <w:i/>
          <w:spacing w:val="49"/>
          <w:sz w:val="19"/>
        </w:rPr>
        <w:t> </w:t>
      </w:r>
      <w:r>
        <w:rPr>
          <w:i/>
          <w:sz w:val="19"/>
        </w:rPr>
        <w:t>UCEK,</w:t>
      </w:r>
      <w:r>
        <w:rPr>
          <w:i/>
          <w:spacing w:val="49"/>
          <w:sz w:val="19"/>
        </w:rPr>
        <w:t> </w:t>
      </w:r>
      <w:r>
        <w:rPr>
          <w:i/>
          <w:spacing w:val="-4"/>
          <w:sz w:val="19"/>
        </w:rPr>
        <w:t>JNTUK</w:t>
      </w:r>
    </w:p>
    <w:p>
      <w:pPr>
        <w:pStyle w:val="BodyText"/>
        <w:ind w:left="0"/>
        <w:rPr>
          <w:i/>
          <w:sz w:val="19"/>
        </w:rPr>
      </w:pPr>
    </w:p>
    <w:p>
      <w:pPr>
        <w:pStyle w:val="BodyText"/>
        <w:ind w:left="0"/>
        <w:rPr>
          <w:i/>
          <w:sz w:val="19"/>
        </w:rPr>
      </w:pPr>
    </w:p>
    <w:p>
      <w:pPr>
        <w:pStyle w:val="BodyText"/>
        <w:spacing w:before="21"/>
        <w:ind w:left="0"/>
        <w:rPr>
          <w:i/>
          <w:sz w:val="19"/>
        </w:rPr>
      </w:pPr>
    </w:p>
    <w:p>
      <w:pPr>
        <w:pStyle w:val="Heading3"/>
        <w:spacing w:before="1"/>
      </w:pPr>
      <w:r>
        <w:rPr>
          <w:spacing w:val="-2"/>
        </w:rPr>
        <w:t>ABSTRACT</w:t>
      </w:r>
    </w:p>
    <w:p>
      <w:pPr>
        <w:pStyle w:val="BodyText"/>
        <w:spacing w:line="249" w:lineRule="auto" w:before="75"/>
        <w:ind w:right="1439" w:firstLine="432"/>
        <w:jc w:val="both"/>
      </w:pPr>
      <w:r>
        <w:rPr/>
        <w:t>From Shakespeare’s eulogy to kindness, his views on life and death, his eulogy to love, his interpretation of forgiveness and his</w:t>
      </w:r>
      <w:r>
        <w:rPr>
          <w:spacing w:val="80"/>
        </w:rPr>
        <w:t> </w:t>
      </w:r>
      <w:r>
        <w:rPr/>
        <w:t>views</w:t>
      </w:r>
      <w:r>
        <w:rPr>
          <w:spacing w:val="-10"/>
        </w:rPr>
        <w:t> </w:t>
      </w:r>
      <w:r>
        <w:rPr/>
        <w:t>on</w:t>
      </w:r>
      <w:r>
        <w:rPr>
          <w:spacing w:val="-12"/>
        </w:rPr>
        <w:t> </w:t>
      </w:r>
      <w:r>
        <w:rPr/>
        <w:t>marriage</w:t>
      </w:r>
      <w:r>
        <w:rPr>
          <w:spacing w:val="-9"/>
        </w:rPr>
        <w:t> </w:t>
      </w:r>
      <w:r>
        <w:rPr/>
        <w:t>in</w:t>
      </w:r>
      <w:r>
        <w:rPr>
          <w:spacing w:val="-10"/>
        </w:rPr>
        <w:t> </w:t>
      </w:r>
      <w:r>
        <w:rPr/>
        <w:t>his</w:t>
      </w:r>
      <w:r>
        <w:rPr>
          <w:spacing w:val="-10"/>
        </w:rPr>
        <w:t> </w:t>
      </w:r>
      <w:r>
        <w:rPr/>
        <w:t>plays,</w:t>
      </w:r>
      <w:r>
        <w:rPr>
          <w:spacing w:val="-10"/>
        </w:rPr>
        <w:t> </w:t>
      </w:r>
      <w:r>
        <w:rPr/>
        <w:t>we</w:t>
      </w:r>
      <w:r>
        <w:rPr>
          <w:spacing w:val="-8"/>
        </w:rPr>
        <w:t> </w:t>
      </w:r>
      <w:r>
        <w:rPr/>
        <w:t>can</w:t>
      </w:r>
      <w:r>
        <w:rPr>
          <w:spacing w:val="-12"/>
        </w:rPr>
        <w:t> </w:t>
      </w:r>
      <w:r>
        <w:rPr/>
        <w:t>detect</w:t>
      </w:r>
      <w:r>
        <w:rPr>
          <w:spacing w:val="-10"/>
        </w:rPr>
        <w:t> </w:t>
      </w:r>
      <w:r>
        <w:rPr/>
        <w:t>the</w:t>
      </w:r>
      <w:r>
        <w:rPr>
          <w:spacing w:val="-9"/>
        </w:rPr>
        <w:t> </w:t>
      </w:r>
      <w:r>
        <w:rPr/>
        <w:t>ethics</w:t>
      </w:r>
      <w:r>
        <w:rPr>
          <w:spacing w:val="-10"/>
        </w:rPr>
        <w:t> </w:t>
      </w:r>
      <w:r>
        <w:rPr/>
        <w:t>in</w:t>
      </w:r>
      <w:r>
        <w:rPr>
          <w:spacing w:val="-12"/>
        </w:rPr>
        <w:t> </w:t>
      </w:r>
      <w:r>
        <w:rPr/>
        <w:t>Shakespeare’s plays, which</w:t>
      </w:r>
      <w:r>
        <w:rPr>
          <w:spacing w:val="-1"/>
        </w:rPr>
        <w:t> </w:t>
      </w:r>
      <w:r>
        <w:rPr/>
        <w:t>are intrinsically</w:t>
      </w:r>
      <w:r>
        <w:rPr>
          <w:spacing w:val="-3"/>
        </w:rPr>
        <w:t> </w:t>
      </w:r>
      <w:r>
        <w:rPr/>
        <w:t>linked</w:t>
      </w:r>
      <w:r>
        <w:rPr>
          <w:spacing w:val="-1"/>
        </w:rPr>
        <w:t> </w:t>
      </w:r>
      <w:r>
        <w:rPr/>
        <w:t>to Christian ethics. Christian</w:t>
      </w:r>
      <w:r>
        <w:rPr>
          <w:spacing w:val="-1"/>
        </w:rPr>
        <w:t> </w:t>
      </w:r>
      <w:r>
        <w:rPr/>
        <w:t>ethics play an extremely important role in Shakespeare’s plays. They are the core elements that shape characters’ behaviours, drive plot conflicts, and explore</w:t>
      </w:r>
      <w:r>
        <w:rPr>
          <w:spacing w:val="-2"/>
        </w:rPr>
        <w:t> </w:t>
      </w:r>
      <w:r>
        <w:rPr/>
        <w:t>the</w:t>
      </w:r>
      <w:r>
        <w:rPr>
          <w:spacing w:val="-1"/>
        </w:rPr>
        <w:t> </w:t>
      </w:r>
      <w:r>
        <w:rPr/>
        <w:t>essence of</w:t>
      </w:r>
      <w:r>
        <w:rPr>
          <w:spacing w:val="-1"/>
        </w:rPr>
        <w:t> </w:t>
      </w:r>
      <w:r>
        <w:rPr/>
        <w:t>human</w:t>
      </w:r>
      <w:r>
        <w:rPr>
          <w:spacing w:val="-5"/>
        </w:rPr>
        <w:t> </w:t>
      </w:r>
      <w:r>
        <w:rPr/>
        <w:t>nature and morality,</w:t>
      </w:r>
      <w:r>
        <w:rPr>
          <w:spacing w:val="-1"/>
        </w:rPr>
        <w:t> </w:t>
      </w:r>
      <w:r>
        <w:rPr/>
        <w:t>rather</w:t>
      </w:r>
      <w:r>
        <w:rPr>
          <w:spacing w:val="-1"/>
        </w:rPr>
        <w:t> </w:t>
      </w:r>
      <w:r>
        <w:rPr/>
        <w:t>than</w:t>
      </w:r>
      <w:r>
        <w:rPr>
          <w:spacing w:val="-3"/>
        </w:rPr>
        <w:t> </w:t>
      </w:r>
      <w:r>
        <w:rPr/>
        <w:t>mere religious preaching—elevating the works to a depth of thought far beyond</w:t>
      </w:r>
      <w:r>
        <w:rPr>
          <w:spacing w:val="-9"/>
        </w:rPr>
        <w:t> </w:t>
      </w:r>
      <w:r>
        <w:rPr/>
        <w:t>ordinary</w:t>
      </w:r>
      <w:r>
        <w:rPr>
          <w:spacing w:val="-13"/>
        </w:rPr>
        <w:t> </w:t>
      </w:r>
      <w:r>
        <w:rPr/>
        <w:t>dramas.</w:t>
      </w:r>
      <w:r>
        <w:rPr>
          <w:spacing w:val="-10"/>
        </w:rPr>
        <w:t> </w:t>
      </w:r>
      <w:r>
        <w:rPr/>
        <w:t>Christian</w:t>
      </w:r>
      <w:r>
        <w:rPr>
          <w:spacing w:val="-12"/>
        </w:rPr>
        <w:t> </w:t>
      </w:r>
      <w:r>
        <w:rPr/>
        <w:t>ethics</w:t>
      </w:r>
      <w:r>
        <w:rPr>
          <w:spacing w:val="-9"/>
        </w:rPr>
        <w:t> </w:t>
      </w:r>
      <w:r>
        <w:rPr/>
        <w:t>serve</w:t>
      </w:r>
      <w:r>
        <w:rPr>
          <w:spacing w:val="-9"/>
        </w:rPr>
        <w:t> </w:t>
      </w:r>
      <w:r>
        <w:rPr/>
        <w:t>as</w:t>
      </w:r>
      <w:r>
        <w:rPr>
          <w:spacing w:val="-10"/>
        </w:rPr>
        <w:t> </w:t>
      </w:r>
      <w:r>
        <w:rPr/>
        <w:t>implicit</w:t>
      </w:r>
      <w:r>
        <w:rPr>
          <w:spacing w:val="-10"/>
        </w:rPr>
        <w:t> </w:t>
      </w:r>
      <w:r>
        <w:rPr/>
        <w:t>guidelines</w:t>
      </w:r>
      <w:r>
        <w:rPr>
          <w:spacing w:val="-10"/>
        </w:rPr>
        <w:t> </w:t>
      </w:r>
      <w:r>
        <w:rPr/>
        <w:t>for Shakespeare’s</w:t>
      </w:r>
      <w:r>
        <w:rPr>
          <w:spacing w:val="40"/>
        </w:rPr>
        <w:t> </w:t>
      </w:r>
      <w:r>
        <w:rPr/>
        <w:t>characters</w:t>
      </w:r>
      <w:r>
        <w:rPr>
          <w:spacing w:val="40"/>
        </w:rPr>
        <w:t> </w:t>
      </w:r>
      <w:r>
        <w:rPr/>
        <w:t>when</w:t>
      </w:r>
      <w:r>
        <w:rPr>
          <w:spacing w:val="40"/>
        </w:rPr>
        <w:t> </w:t>
      </w:r>
      <w:r>
        <w:rPr/>
        <w:t>making</w:t>
      </w:r>
      <w:r>
        <w:rPr>
          <w:spacing w:val="40"/>
        </w:rPr>
        <w:t> </w:t>
      </w:r>
      <w:r>
        <w:rPr/>
        <w:t>choices.</w:t>
      </w:r>
    </w:p>
    <w:p>
      <w:pPr>
        <w:pStyle w:val="BodyText"/>
        <w:spacing w:before="66"/>
        <w:ind w:left="1872"/>
        <w:jc w:val="both"/>
      </w:pPr>
      <w:r>
        <w:rPr>
          <w:b/>
          <w:spacing w:val="-2"/>
        </w:rPr>
        <w:t>Keywords:</w:t>
      </w:r>
      <w:r>
        <w:rPr>
          <w:b/>
          <w:spacing w:val="30"/>
        </w:rPr>
        <w:t> </w:t>
      </w:r>
      <w:r>
        <w:rPr>
          <w:spacing w:val="-2"/>
        </w:rPr>
        <w:t>Shakespeare’s</w:t>
      </w:r>
      <w:r>
        <w:rPr>
          <w:spacing w:val="-14"/>
        </w:rPr>
        <w:t> </w:t>
      </w:r>
      <w:r>
        <w:rPr>
          <w:spacing w:val="-2"/>
        </w:rPr>
        <w:t>plays,</w:t>
      </w:r>
      <w:r>
        <w:rPr>
          <w:spacing w:val="-8"/>
        </w:rPr>
        <w:t> </w:t>
      </w:r>
      <w:r>
        <w:rPr>
          <w:spacing w:val="-2"/>
        </w:rPr>
        <w:t>ethical</w:t>
      </w:r>
      <w:r>
        <w:rPr>
          <w:spacing w:val="-16"/>
        </w:rPr>
        <w:t> </w:t>
      </w:r>
      <w:r>
        <w:rPr>
          <w:spacing w:val="-2"/>
        </w:rPr>
        <w:t>viewpoint,</w:t>
      </w:r>
      <w:r>
        <w:rPr>
          <w:spacing w:val="-8"/>
        </w:rPr>
        <w:t> </w:t>
      </w:r>
      <w:r>
        <w:rPr>
          <w:spacing w:val="-2"/>
        </w:rPr>
        <w:t>Christian</w:t>
      </w:r>
      <w:r>
        <w:rPr>
          <w:spacing w:val="-12"/>
        </w:rPr>
        <w:t> </w:t>
      </w:r>
      <w:r>
        <w:rPr>
          <w:spacing w:val="-2"/>
        </w:rPr>
        <w:t>ethics</w:t>
      </w:r>
    </w:p>
    <w:p>
      <w:pPr>
        <w:pStyle w:val="Heading3"/>
        <w:numPr>
          <w:ilvl w:val="0"/>
          <w:numId w:val="77"/>
        </w:numPr>
        <w:tabs>
          <w:tab w:pos="1685" w:val="left" w:leader="none"/>
        </w:tabs>
        <w:spacing w:line="240" w:lineRule="auto" w:before="163" w:after="0"/>
        <w:ind w:left="1685" w:right="0" w:hanging="245"/>
        <w:jc w:val="left"/>
      </w:pPr>
      <w:r>
        <w:rPr>
          <w:spacing w:val="-2"/>
          <w:w w:val="95"/>
        </w:rPr>
        <w:t>INTRODUCTION</w:t>
      </w:r>
    </w:p>
    <w:p>
      <w:pPr>
        <w:pStyle w:val="BodyText"/>
        <w:spacing w:line="249" w:lineRule="auto" w:before="76"/>
        <w:ind w:right="1440" w:firstLine="432"/>
        <w:jc w:val="both"/>
      </w:pPr>
      <w:r>
        <w:rPr/>
        <w:t>As the curtain of the Globe Theatre slowly rose in Elizabethan </w:t>
      </w:r>
      <w:r>
        <w:rPr>
          <w:spacing w:val="-2"/>
        </w:rPr>
        <w:t>London,</w:t>
      </w:r>
      <w:r>
        <w:rPr>
          <w:spacing w:val="-11"/>
        </w:rPr>
        <w:t> </w:t>
      </w:r>
      <w:r>
        <w:rPr>
          <w:spacing w:val="-2"/>
        </w:rPr>
        <w:t>Shakespeare’s</w:t>
      </w:r>
      <w:r>
        <w:rPr>
          <w:spacing w:val="-10"/>
        </w:rPr>
        <w:t> </w:t>
      </w:r>
      <w:r>
        <w:rPr>
          <w:spacing w:val="-2"/>
        </w:rPr>
        <w:t>plays</w:t>
      </w:r>
      <w:r>
        <w:rPr>
          <w:spacing w:val="-11"/>
        </w:rPr>
        <w:t> </w:t>
      </w:r>
      <w:r>
        <w:rPr>
          <w:spacing w:val="-2"/>
        </w:rPr>
        <w:t>crossed</w:t>
      </w:r>
      <w:r>
        <w:rPr>
          <w:spacing w:val="-10"/>
        </w:rPr>
        <w:t> </w:t>
      </w:r>
      <w:r>
        <w:rPr>
          <w:spacing w:val="-2"/>
        </w:rPr>
        <w:t>the</w:t>
      </w:r>
      <w:r>
        <w:rPr>
          <w:spacing w:val="-10"/>
        </w:rPr>
        <w:t> </w:t>
      </w:r>
      <w:r>
        <w:rPr>
          <w:spacing w:val="-2"/>
        </w:rPr>
        <w:t>English</w:t>
      </w:r>
      <w:r>
        <w:rPr>
          <w:spacing w:val="-11"/>
        </w:rPr>
        <w:t> </w:t>
      </w:r>
      <w:r>
        <w:rPr>
          <w:spacing w:val="-2"/>
        </w:rPr>
        <w:t>Channel,</w:t>
      </w:r>
      <w:r>
        <w:rPr>
          <w:spacing w:val="-10"/>
        </w:rPr>
        <w:t> </w:t>
      </w:r>
      <w:r>
        <w:rPr>
          <w:spacing w:val="-2"/>
        </w:rPr>
        <w:t>stirring</w:t>
      </w:r>
      <w:r>
        <w:rPr>
          <w:spacing w:val="-10"/>
        </w:rPr>
        <w:t> </w:t>
      </w:r>
      <w:r>
        <w:rPr>
          <w:spacing w:val="-2"/>
        </w:rPr>
        <w:t>eternal </w:t>
      </w:r>
      <w:r>
        <w:rPr/>
        <w:t>echoes in the long river of time. Now it has form a spiritual resonance </w:t>
      </w:r>
      <w:r>
        <w:rPr>
          <w:spacing w:val="-2"/>
        </w:rPr>
        <w:t>transcending</w:t>
      </w:r>
      <w:r>
        <w:rPr>
          <w:spacing w:val="-10"/>
        </w:rPr>
        <w:t> </w:t>
      </w:r>
      <w:r>
        <w:rPr>
          <w:spacing w:val="-2"/>
        </w:rPr>
        <w:t>time</w:t>
      </w:r>
      <w:r>
        <w:rPr>
          <w:spacing w:val="-4"/>
        </w:rPr>
        <w:t> </w:t>
      </w:r>
      <w:r>
        <w:rPr>
          <w:spacing w:val="-2"/>
        </w:rPr>
        <w:t>and</w:t>
      </w:r>
      <w:r>
        <w:rPr>
          <w:spacing w:val="-5"/>
        </w:rPr>
        <w:t> </w:t>
      </w:r>
      <w:r>
        <w:rPr>
          <w:spacing w:val="-2"/>
        </w:rPr>
        <w:t>space</w:t>
      </w:r>
      <w:r>
        <w:rPr>
          <w:spacing w:val="-7"/>
        </w:rPr>
        <w:t> </w:t>
      </w:r>
      <w:r>
        <w:rPr>
          <w:spacing w:val="-2"/>
        </w:rPr>
        <w:t>in</w:t>
      </w:r>
      <w:r>
        <w:rPr>
          <w:spacing w:val="-10"/>
        </w:rPr>
        <w:t> </w:t>
      </w:r>
      <w:r>
        <w:rPr>
          <w:spacing w:val="-2"/>
        </w:rPr>
        <w:t>humanity’s</w:t>
      </w:r>
      <w:r>
        <w:rPr>
          <w:spacing w:val="-7"/>
        </w:rPr>
        <w:t> </w:t>
      </w:r>
      <w:r>
        <w:rPr>
          <w:spacing w:val="-2"/>
        </w:rPr>
        <w:t>in-depth</w:t>
      </w:r>
      <w:r>
        <w:rPr>
          <w:spacing w:val="-7"/>
        </w:rPr>
        <w:t> </w:t>
      </w:r>
      <w:r>
        <w:rPr>
          <w:spacing w:val="-2"/>
        </w:rPr>
        <w:t>exploration</w:t>
      </w:r>
      <w:r>
        <w:rPr>
          <w:spacing w:val="-7"/>
        </w:rPr>
        <w:t> </w:t>
      </w:r>
      <w:r>
        <w:rPr>
          <w:spacing w:val="-2"/>
        </w:rPr>
        <w:t>of</w:t>
      </w:r>
      <w:r>
        <w:rPr>
          <w:spacing w:val="-7"/>
        </w:rPr>
        <w:t> </w:t>
      </w:r>
      <w:r>
        <w:rPr>
          <w:spacing w:val="-2"/>
        </w:rPr>
        <w:t>human </w:t>
      </w:r>
      <w:r>
        <w:rPr/>
        <w:t>nature,</w:t>
      </w:r>
      <w:r>
        <w:rPr>
          <w:spacing w:val="40"/>
        </w:rPr>
        <w:t> </w:t>
      </w:r>
      <w:r>
        <w:rPr/>
        <w:t>destiny,</w:t>
      </w:r>
      <w:r>
        <w:rPr>
          <w:spacing w:val="40"/>
        </w:rPr>
        <w:t> </w:t>
      </w:r>
      <w:r>
        <w:rPr/>
        <w:t>and</w:t>
      </w:r>
      <w:r>
        <w:rPr>
          <w:spacing w:val="40"/>
        </w:rPr>
        <w:t> </w:t>
      </w:r>
      <w:r>
        <w:rPr/>
        <w:t>society.</w:t>
      </w:r>
    </w:p>
    <w:p>
      <w:pPr>
        <w:pStyle w:val="BodyText"/>
        <w:spacing w:line="249" w:lineRule="auto" w:before="64"/>
        <w:ind w:right="1441" w:firstLine="432"/>
        <w:jc w:val="both"/>
      </w:pPr>
      <w:r>
        <w:rPr>
          <w:spacing w:val="-2"/>
        </w:rPr>
        <w:t>During</w:t>
      </w:r>
      <w:r>
        <w:rPr>
          <w:spacing w:val="-11"/>
        </w:rPr>
        <w:t> </w:t>
      </w:r>
      <w:r>
        <w:rPr>
          <w:spacing w:val="-2"/>
        </w:rPr>
        <w:t>the</w:t>
      </w:r>
      <w:r>
        <w:rPr>
          <w:spacing w:val="-10"/>
        </w:rPr>
        <w:t> </w:t>
      </w:r>
      <w:r>
        <w:rPr>
          <w:spacing w:val="-2"/>
        </w:rPr>
        <w:t>Elizabethan</w:t>
      </w:r>
      <w:r>
        <w:rPr>
          <w:spacing w:val="-11"/>
        </w:rPr>
        <w:t> </w:t>
      </w:r>
      <w:r>
        <w:rPr>
          <w:spacing w:val="-2"/>
        </w:rPr>
        <w:t>era</w:t>
      </w:r>
      <w:r>
        <w:rPr>
          <w:spacing w:val="-6"/>
        </w:rPr>
        <w:t> </w:t>
      </w:r>
      <w:r>
        <w:rPr>
          <w:spacing w:val="-2"/>
        </w:rPr>
        <w:t>when</w:t>
      </w:r>
      <w:r>
        <w:rPr>
          <w:spacing w:val="-11"/>
        </w:rPr>
        <w:t> </w:t>
      </w:r>
      <w:r>
        <w:rPr>
          <w:spacing w:val="-2"/>
        </w:rPr>
        <w:t>Shakespeare</w:t>
      </w:r>
      <w:r>
        <w:rPr>
          <w:spacing w:val="-10"/>
        </w:rPr>
        <w:t> </w:t>
      </w:r>
      <w:r>
        <w:rPr>
          <w:spacing w:val="-2"/>
        </w:rPr>
        <w:t>lived,</w:t>
      </w:r>
      <w:r>
        <w:rPr>
          <w:spacing w:val="-9"/>
        </w:rPr>
        <w:t> </w:t>
      </w:r>
      <w:r>
        <w:rPr>
          <w:spacing w:val="-2"/>
        </w:rPr>
        <w:t>Christian</w:t>
      </w:r>
      <w:r>
        <w:rPr>
          <w:spacing w:val="-11"/>
        </w:rPr>
        <w:t> </w:t>
      </w:r>
      <w:r>
        <w:rPr>
          <w:spacing w:val="-2"/>
        </w:rPr>
        <w:t>ethics </w:t>
      </w:r>
      <w:r>
        <w:rPr/>
        <w:t>still profoundly influenced society after the Reformation. Shakespeare integrated this background into his plays: not only did he reflect the spiritual</w:t>
      </w:r>
      <w:r>
        <w:rPr>
          <w:spacing w:val="-4"/>
        </w:rPr>
        <w:t> </w:t>
      </w:r>
      <w:r>
        <w:rPr/>
        <w:t>world</w:t>
      </w:r>
      <w:r>
        <w:rPr>
          <w:spacing w:val="-3"/>
        </w:rPr>
        <w:t> </w:t>
      </w:r>
      <w:r>
        <w:rPr/>
        <w:t>of</w:t>
      </w:r>
      <w:r>
        <w:rPr>
          <w:spacing w:val="-3"/>
        </w:rPr>
        <w:t> </w:t>
      </w:r>
      <w:r>
        <w:rPr/>
        <w:t>people</w:t>
      </w:r>
      <w:r>
        <w:rPr>
          <w:spacing w:val="-4"/>
        </w:rPr>
        <w:t> </w:t>
      </w:r>
      <w:r>
        <w:rPr/>
        <w:t>at</w:t>
      </w:r>
      <w:r>
        <w:rPr>
          <w:spacing w:val="-3"/>
        </w:rPr>
        <w:t> </w:t>
      </w:r>
      <w:r>
        <w:rPr/>
        <w:t>that</w:t>
      </w:r>
      <w:r>
        <w:rPr>
          <w:spacing w:val="-5"/>
        </w:rPr>
        <w:t> </w:t>
      </w:r>
      <w:r>
        <w:rPr/>
        <w:t>time</w:t>
      </w:r>
      <w:r>
        <w:rPr>
          <w:spacing w:val="-2"/>
        </w:rPr>
        <w:t> </w:t>
      </w:r>
      <w:r>
        <w:rPr/>
        <w:t>(such</w:t>
      </w:r>
      <w:r>
        <w:rPr>
          <w:spacing w:val="-5"/>
        </w:rPr>
        <w:t> </w:t>
      </w:r>
      <w:r>
        <w:rPr/>
        <w:t>as</w:t>
      </w:r>
      <w:r>
        <w:rPr>
          <w:spacing w:val="-3"/>
        </w:rPr>
        <w:t> </w:t>
      </w:r>
      <w:r>
        <w:rPr/>
        <w:t>reverence</w:t>
      </w:r>
      <w:r>
        <w:rPr>
          <w:spacing w:val="-4"/>
        </w:rPr>
        <w:t> </w:t>
      </w:r>
      <w:r>
        <w:rPr/>
        <w:t>for</w:t>
      </w:r>
      <w:r>
        <w:rPr>
          <w:spacing w:val="-1"/>
        </w:rPr>
        <w:t> </w:t>
      </w:r>
      <w:r>
        <w:rPr/>
        <w:t>God</w:t>
      </w:r>
      <w:r>
        <w:rPr>
          <w:spacing w:val="-3"/>
        </w:rPr>
        <w:t> </w:t>
      </w:r>
      <w:r>
        <w:rPr/>
        <w:t>and</w:t>
      </w:r>
      <w:r>
        <w:rPr>
          <w:spacing w:val="-1"/>
        </w:rPr>
        <w:t> </w:t>
      </w:r>
      <w:r>
        <w:rPr>
          <w:spacing w:val="-5"/>
        </w:rPr>
        <w:t>the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0736">
                <wp:simplePos x="0" y="0"/>
                <wp:positionH relativeFrom="page">
                  <wp:posOffset>2057400</wp:posOffset>
                </wp:positionH>
                <wp:positionV relativeFrom="paragraph">
                  <wp:posOffset>162604</wp:posOffset>
                </wp:positionV>
                <wp:extent cx="3657600" cy="12700"/>
                <wp:effectExtent l="0" t="0" r="0" b="0"/>
                <wp:wrapTopAndBottom/>
                <wp:docPr id="737" name="Graphic 737"/>
                <wp:cNvGraphicFramePr>
                  <a:graphicFrameLocks/>
                </wp:cNvGraphicFramePr>
                <a:graphic>
                  <a:graphicData uri="http://schemas.microsoft.com/office/word/2010/wordprocessingShape">
                    <wps:wsp>
                      <wps:cNvPr id="737" name="Graphic 73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55744;mso-wrap-distance-left:0;mso-wrap-distance-right:0" id="docshape729" filled="true" fillcolor="#000000" stroked="false">
                <v:fill type="solid"/>
                <w10:wrap type="topAndBottom"/>
              </v:rect>
            </w:pict>
          </mc:Fallback>
        </mc:AlternateContent>
      </w:r>
      <w:r>
        <w:rPr>
          <w:rFonts w:ascii="Verdana"/>
          <w:spacing w:val="-5"/>
          <w:sz w:val="18"/>
        </w:rPr>
        <w:t>368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afterlife), but also, through</w:t>
      </w:r>
      <w:r>
        <w:rPr>
          <w:spacing w:val="-1"/>
        </w:rPr>
        <w:t> </w:t>
      </w:r>
      <w:r>
        <w:rPr/>
        <w:t>propositions</w:t>
      </w:r>
      <w:r>
        <w:rPr>
          <w:spacing w:val="-1"/>
        </w:rPr>
        <w:t> </w:t>
      </w:r>
      <w:r>
        <w:rPr/>
        <w:t>related to religious ethics (how to face sin, whether to forgive others), he made his works transcend their era, touch on universal moral dilemmas of humanity, and still resonate with audiences today—forming the extraordinary code of Shakespeare’s drama.</w:t>
      </w:r>
    </w:p>
    <w:p>
      <w:pPr>
        <w:pStyle w:val="BodyText"/>
        <w:spacing w:line="249" w:lineRule="auto" w:before="62"/>
        <w:ind w:right="1440" w:firstLine="432"/>
        <w:jc w:val="both"/>
      </w:pPr>
      <w:r>
        <w:rPr>
          <w:spacing w:val="-2"/>
        </w:rPr>
        <w:t>Shakespeare’s characters are inward-looking explorers, allowing us </w:t>
      </w:r>
      <w:r>
        <w:rPr/>
        <w:t>to see the depth of human nature. Shakespeare “did not write plays as vehicles for his own ideas. Rather he developed a theater of dialectical conflict, in which idea is pitted against idea and from their friction a deeper understanding</w:t>
      </w:r>
      <w:r>
        <w:rPr>
          <w:spacing w:val="-2"/>
        </w:rPr>
        <w:t> </w:t>
      </w:r>
      <w:r>
        <w:rPr/>
        <w:t>of</w:t>
      </w:r>
      <w:r>
        <w:rPr>
          <w:spacing w:val="-2"/>
        </w:rPr>
        <w:t> </w:t>
      </w:r>
      <w:r>
        <w:rPr/>
        <w:t>the</w:t>
      </w:r>
      <w:r>
        <w:rPr>
          <w:spacing w:val="-2"/>
        </w:rPr>
        <w:t> </w:t>
      </w:r>
      <w:r>
        <w:rPr/>
        <w:t>issues</w:t>
      </w:r>
      <w:r>
        <w:rPr>
          <w:spacing w:val="-2"/>
        </w:rPr>
        <w:t> </w:t>
      </w:r>
      <w:r>
        <w:rPr/>
        <w:t>emerges”(Greer,</w:t>
      </w:r>
      <w:r>
        <w:rPr>
          <w:spacing w:val="-2"/>
        </w:rPr>
        <w:t> </w:t>
      </w:r>
      <w:r>
        <w:rPr/>
        <w:t>2007, p.</w:t>
      </w:r>
      <w:r>
        <w:rPr>
          <w:spacing w:val="-2"/>
        </w:rPr>
        <w:t> </w:t>
      </w:r>
      <w:r>
        <w:rPr/>
        <w:t>23).</w:t>
      </w:r>
      <w:r>
        <w:rPr>
          <w:spacing w:val="-2"/>
        </w:rPr>
        <w:t> </w:t>
      </w:r>
      <w:r>
        <w:rPr/>
        <w:t>When we revisit Shakespeare’s plays today in the 21st century, we find that these</w:t>
      </w:r>
      <w:r>
        <w:rPr>
          <w:spacing w:val="-2"/>
        </w:rPr>
        <w:t> </w:t>
      </w:r>
      <w:r>
        <w:rPr/>
        <w:t>works</w:t>
      </w:r>
      <w:r>
        <w:rPr>
          <w:spacing w:val="-2"/>
        </w:rPr>
        <w:t> </w:t>
      </w:r>
      <w:r>
        <w:rPr/>
        <w:t>still</w:t>
      </w:r>
      <w:r>
        <w:rPr>
          <w:spacing w:val="-2"/>
        </w:rPr>
        <w:t> </w:t>
      </w:r>
      <w:r>
        <w:rPr/>
        <w:t>hold strong</w:t>
      </w:r>
      <w:r>
        <w:rPr>
          <w:spacing w:val="-2"/>
        </w:rPr>
        <w:t> </w:t>
      </w:r>
      <w:r>
        <w:rPr/>
        <w:t>practical</w:t>
      </w:r>
      <w:r>
        <w:rPr>
          <w:spacing w:val="-1"/>
        </w:rPr>
        <w:t> </w:t>
      </w:r>
      <w:r>
        <w:rPr/>
        <w:t>significance.</w:t>
      </w:r>
      <w:r>
        <w:rPr>
          <w:spacing w:val="-2"/>
        </w:rPr>
        <w:t> </w:t>
      </w:r>
      <w:r>
        <w:rPr/>
        <w:t>Shakespeare’s</w:t>
      </w:r>
      <w:r>
        <w:rPr>
          <w:spacing w:val="-2"/>
        </w:rPr>
        <w:t> </w:t>
      </w:r>
      <w:r>
        <w:rPr/>
        <w:t>plays are shared treasures of human civilization and reveal the common laws </w:t>
      </w:r>
      <w:r>
        <w:rPr>
          <w:spacing w:val="-2"/>
        </w:rPr>
        <w:t>and</w:t>
      </w:r>
      <w:r>
        <w:rPr>
          <w:spacing w:val="-11"/>
        </w:rPr>
        <w:t> </w:t>
      </w:r>
      <w:r>
        <w:rPr>
          <w:spacing w:val="-2"/>
        </w:rPr>
        <w:t>unique</w:t>
      </w:r>
      <w:r>
        <w:rPr>
          <w:spacing w:val="-10"/>
        </w:rPr>
        <w:t> </w:t>
      </w:r>
      <w:r>
        <w:rPr>
          <w:spacing w:val="-2"/>
        </w:rPr>
        <w:t>charm</w:t>
      </w:r>
      <w:r>
        <w:rPr>
          <w:spacing w:val="-11"/>
        </w:rPr>
        <w:t> </w:t>
      </w:r>
      <w:r>
        <w:rPr>
          <w:spacing w:val="-2"/>
        </w:rPr>
        <w:t>of</w:t>
      </w:r>
      <w:r>
        <w:rPr>
          <w:spacing w:val="-10"/>
        </w:rPr>
        <w:t> </w:t>
      </w:r>
      <w:r>
        <w:rPr>
          <w:spacing w:val="-2"/>
        </w:rPr>
        <w:t>human</w:t>
      </w:r>
      <w:r>
        <w:rPr>
          <w:spacing w:val="-11"/>
        </w:rPr>
        <w:t> </w:t>
      </w:r>
      <w:r>
        <w:rPr>
          <w:spacing w:val="-2"/>
        </w:rPr>
        <w:t>dramatic</w:t>
      </w:r>
      <w:r>
        <w:rPr>
          <w:spacing w:val="-10"/>
        </w:rPr>
        <w:t> </w:t>
      </w:r>
      <w:r>
        <w:rPr>
          <w:spacing w:val="-2"/>
        </w:rPr>
        <w:t>art,</w:t>
      </w:r>
      <w:r>
        <w:rPr>
          <w:spacing w:val="-10"/>
        </w:rPr>
        <w:t> </w:t>
      </w:r>
      <w:r>
        <w:rPr>
          <w:spacing w:val="-2"/>
        </w:rPr>
        <w:t>worthy</w:t>
      </w:r>
      <w:r>
        <w:rPr>
          <w:spacing w:val="-10"/>
        </w:rPr>
        <w:t> </w:t>
      </w:r>
      <w:r>
        <w:rPr>
          <w:spacing w:val="-2"/>
        </w:rPr>
        <w:t>of</w:t>
      </w:r>
      <w:r>
        <w:rPr>
          <w:spacing w:val="-9"/>
        </w:rPr>
        <w:t> </w:t>
      </w:r>
      <w:r>
        <w:rPr>
          <w:spacing w:val="-2"/>
        </w:rPr>
        <w:t>our</w:t>
      </w:r>
      <w:r>
        <w:rPr>
          <w:spacing w:val="-9"/>
        </w:rPr>
        <w:t> </w:t>
      </w:r>
      <w:r>
        <w:rPr>
          <w:spacing w:val="-2"/>
        </w:rPr>
        <w:t>treasure,</w:t>
      </w:r>
      <w:r>
        <w:rPr>
          <w:spacing w:val="-9"/>
        </w:rPr>
        <w:t> </w:t>
      </w:r>
      <w:r>
        <w:rPr>
          <w:spacing w:val="-2"/>
        </w:rPr>
        <w:t>research, </w:t>
      </w:r>
      <w:r>
        <w:rPr/>
        <w:t>and</w:t>
      </w:r>
      <w:r>
        <w:rPr>
          <w:spacing w:val="40"/>
        </w:rPr>
        <w:t> </w:t>
      </w:r>
      <w:r>
        <w:rPr/>
        <w:t>inheritance.</w:t>
      </w:r>
    </w:p>
    <w:p>
      <w:pPr>
        <w:pStyle w:val="Heading3"/>
        <w:numPr>
          <w:ilvl w:val="0"/>
          <w:numId w:val="77"/>
        </w:numPr>
        <w:tabs>
          <w:tab w:pos="1703" w:val="left" w:leader="none"/>
        </w:tabs>
        <w:spacing w:line="240" w:lineRule="auto" w:before="161" w:after="0"/>
        <w:ind w:left="1703" w:right="0" w:hanging="263"/>
        <w:jc w:val="left"/>
      </w:pPr>
      <w:r>
        <w:rPr>
          <w:w w:val="90"/>
        </w:rPr>
        <w:t>SHAKESPEARE’S</w:t>
      </w:r>
      <w:r>
        <w:rPr>
          <w:spacing w:val="7"/>
        </w:rPr>
        <w:t> </w:t>
      </w:r>
      <w:r>
        <w:rPr>
          <w:w w:val="90"/>
        </w:rPr>
        <w:t>EULOGY</w:t>
      </w:r>
      <w:r>
        <w:rPr>
          <w:spacing w:val="13"/>
        </w:rPr>
        <w:t> </w:t>
      </w:r>
      <w:r>
        <w:rPr>
          <w:w w:val="90"/>
        </w:rPr>
        <w:t>TO</w:t>
      </w:r>
      <w:r>
        <w:rPr>
          <w:spacing w:val="8"/>
        </w:rPr>
        <w:t> </w:t>
      </w:r>
      <w:r>
        <w:rPr>
          <w:spacing w:val="-2"/>
          <w:w w:val="90"/>
        </w:rPr>
        <w:t>KINDNESS</w:t>
      </w:r>
    </w:p>
    <w:p>
      <w:pPr>
        <w:pStyle w:val="BodyText"/>
        <w:spacing w:line="249" w:lineRule="auto" w:before="76"/>
        <w:ind w:right="1441" w:firstLine="432"/>
        <w:jc w:val="both"/>
      </w:pPr>
      <w:r>
        <w:rPr>
          <w:i/>
        </w:rPr>
        <w:t>The Merchant of Venice </w:t>
      </w:r>
      <w:r>
        <w:rPr/>
        <w:t>emphasizes the importance of kindness. Even</w:t>
      </w:r>
      <w:r>
        <w:rPr>
          <w:spacing w:val="-4"/>
        </w:rPr>
        <w:t> </w:t>
      </w:r>
      <w:r>
        <w:rPr/>
        <w:t>small</w:t>
      </w:r>
      <w:r>
        <w:rPr>
          <w:spacing w:val="-4"/>
        </w:rPr>
        <w:t> </w:t>
      </w:r>
      <w:r>
        <w:rPr/>
        <w:t>acts</w:t>
      </w:r>
      <w:r>
        <w:rPr>
          <w:spacing w:val="-4"/>
        </w:rPr>
        <w:t> </w:t>
      </w:r>
      <w:r>
        <w:rPr/>
        <w:t>of</w:t>
      </w:r>
      <w:r>
        <w:rPr>
          <w:spacing w:val="-4"/>
        </w:rPr>
        <w:t> </w:t>
      </w:r>
      <w:r>
        <w:rPr/>
        <w:t>kindness</w:t>
      </w:r>
      <w:r>
        <w:rPr>
          <w:spacing w:val="-4"/>
        </w:rPr>
        <w:t> </w:t>
      </w:r>
      <w:r>
        <w:rPr/>
        <w:t>can</w:t>
      </w:r>
      <w:r>
        <w:rPr>
          <w:spacing w:val="-6"/>
        </w:rPr>
        <w:t> </w:t>
      </w:r>
      <w:r>
        <w:rPr/>
        <w:t>generate</w:t>
      </w:r>
      <w:r>
        <w:rPr>
          <w:spacing w:val="-2"/>
        </w:rPr>
        <w:t> </w:t>
      </w:r>
      <w:r>
        <w:rPr/>
        <w:t>immense</w:t>
      </w:r>
      <w:r>
        <w:rPr>
          <w:spacing w:val="-3"/>
        </w:rPr>
        <w:t> </w:t>
      </w:r>
      <w:r>
        <w:rPr/>
        <w:t>power.</w:t>
      </w:r>
      <w:r>
        <w:rPr>
          <w:spacing w:val="-2"/>
        </w:rPr>
        <w:t> </w:t>
      </w:r>
      <w:r>
        <w:rPr/>
        <w:t>Just</w:t>
      </w:r>
      <w:r>
        <w:rPr>
          <w:spacing w:val="-2"/>
        </w:rPr>
        <w:t> </w:t>
      </w:r>
      <w:r>
        <w:rPr/>
        <w:t>as</w:t>
      </w:r>
      <w:r>
        <w:rPr>
          <w:spacing w:val="-4"/>
        </w:rPr>
        <w:t> </w:t>
      </w:r>
      <w:r>
        <w:rPr/>
        <w:t>Portia says, “How far that little candle throws his beams! / So shines a good deed in a naughty world”(Shakespeare, 2009. p. 688). These words are in stark contrast to the words spoken by Macbeth upon hearing of his wife’s death: “Out, out, brief candle! / Life’s but a walking shadow, a poor</w:t>
      </w:r>
      <w:r>
        <w:rPr>
          <w:spacing w:val="25"/>
        </w:rPr>
        <w:t> </w:t>
      </w:r>
      <w:r>
        <w:rPr/>
        <w:t>player</w:t>
      </w:r>
      <w:r>
        <w:rPr>
          <w:spacing w:val="21"/>
        </w:rPr>
        <w:t> </w:t>
      </w:r>
      <w:r>
        <w:rPr/>
        <w:t>/</w:t>
      </w:r>
      <w:r>
        <w:rPr>
          <w:spacing w:val="24"/>
        </w:rPr>
        <w:t> </w:t>
      </w:r>
      <w:r>
        <w:rPr/>
        <w:t>That</w:t>
      </w:r>
      <w:r>
        <w:rPr>
          <w:spacing w:val="24"/>
        </w:rPr>
        <w:t> </w:t>
      </w:r>
      <w:r>
        <w:rPr/>
        <w:t>struts</w:t>
      </w:r>
      <w:r>
        <w:rPr>
          <w:spacing w:val="22"/>
        </w:rPr>
        <w:t> </w:t>
      </w:r>
      <w:r>
        <w:rPr/>
        <w:t>and</w:t>
      </w:r>
      <w:r>
        <w:rPr>
          <w:spacing w:val="26"/>
        </w:rPr>
        <w:t> </w:t>
      </w:r>
      <w:r>
        <w:rPr/>
        <w:t>frets</w:t>
      </w:r>
      <w:r>
        <w:rPr>
          <w:spacing w:val="22"/>
        </w:rPr>
        <w:t> </w:t>
      </w:r>
      <w:r>
        <w:rPr/>
        <w:t>his</w:t>
      </w:r>
      <w:r>
        <w:rPr>
          <w:spacing w:val="22"/>
        </w:rPr>
        <w:t> </w:t>
      </w:r>
      <w:r>
        <w:rPr/>
        <w:t>hour</w:t>
      </w:r>
      <w:r>
        <w:rPr>
          <w:spacing w:val="22"/>
        </w:rPr>
        <w:t> </w:t>
      </w:r>
      <w:r>
        <w:rPr/>
        <w:t>upon</w:t>
      </w:r>
      <w:r>
        <w:rPr>
          <w:spacing w:val="24"/>
        </w:rPr>
        <w:t> </w:t>
      </w:r>
      <w:r>
        <w:rPr/>
        <w:t>the</w:t>
      </w:r>
      <w:r>
        <w:rPr>
          <w:spacing w:val="24"/>
        </w:rPr>
        <w:t> </w:t>
      </w:r>
      <w:r>
        <w:rPr/>
        <w:t>stage</w:t>
      </w:r>
      <w:r>
        <w:rPr>
          <w:spacing w:val="20"/>
        </w:rPr>
        <w:t> </w:t>
      </w:r>
      <w:r>
        <w:rPr/>
        <w:t>/And</w:t>
      </w:r>
      <w:r>
        <w:rPr>
          <w:spacing w:val="24"/>
        </w:rPr>
        <w:t> </w:t>
      </w:r>
      <w:r>
        <w:rPr/>
        <w:t>then is</w:t>
      </w:r>
      <w:r>
        <w:rPr>
          <w:spacing w:val="9"/>
        </w:rPr>
        <w:t> </w:t>
      </w:r>
      <w:r>
        <w:rPr/>
        <w:t>heard</w:t>
      </w:r>
      <w:r>
        <w:rPr>
          <w:spacing w:val="12"/>
        </w:rPr>
        <w:t> </w:t>
      </w:r>
      <w:r>
        <w:rPr/>
        <w:t>no</w:t>
      </w:r>
      <w:r>
        <w:rPr>
          <w:spacing w:val="13"/>
        </w:rPr>
        <w:t> </w:t>
      </w:r>
      <w:r>
        <w:rPr/>
        <w:t>more.</w:t>
      </w:r>
      <w:r>
        <w:rPr>
          <w:spacing w:val="11"/>
        </w:rPr>
        <w:t> </w:t>
      </w:r>
      <w:r>
        <w:rPr/>
        <w:t>It</w:t>
      </w:r>
      <w:r>
        <w:rPr>
          <w:spacing w:val="13"/>
        </w:rPr>
        <w:t> </w:t>
      </w:r>
      <w:r>
        <w:rPr/>
        <w:t>is</w:t>
      </w:r>
      <w:r>
        <w:rPr>
          <w:spacing w:val="9"/>
        </w:rPr>
        <w:t> </w:t>
      </w:r>
      <w:r>
        <w:rPr/>
        <w:t>a</w:t>
      </w:r>
      <w:r>
        <w:rPr>
          <w:spacing w:val="11"/>
        </w:rPr>
        <w:t> </w:t>
      </w:r>
      <w:r>
        <w:rPr/>
        <w:t>tale</w:t>
      </w:r>
      <w:r>
        <w:rPr>
          <w:spacing w:val="11"/>
        </w:rPr>
        <w:t> </w:t>
      </w:r>
      <w:r>
        <w:rPr/>
        <w:t>/</w:t>
      </w:r>
      <w:r>
        <w:rPr>
          <w:spacing w:val="9"/>
        </w:rPr>
        <w:t> </w:t>
      </w:r>
      <w:r>
        <w:rPr/>
        <w:t>Told</w:t>
      </w:r>
      <w:r>
        <w:rPr>
          <w:spacing w:val="12"/>
        </w:rPr>
        <w:t> </w:t>
      </w:r>
      <w:r>
        <w:rPr/>
        <w:t>by</w:t>
      </w:r>
      <w:r>
        <w:rPr>
          <w:spacing w:val="7"/>
        </w:rPr>
        <w:t> </w:t>
      </w:r>
      <w:r>
        <w:rPr/>
        <w:t>an</w:t>
      </w:r>
      <w:r>
        <w:rPr>
          <w:spacing w:val="10"/>
        </w:rPr>
        <w:t> </w:t>
      </w:r>
      <w:r>
        <w:rPr/>
        <w:t>idiot,</w:t>
      </w:r>
      <w:r>
        <w:rPr>
          <w:spacing w:val="13"/>
        </w:rPr>
        <w:t> </w:t>
      </w:r>
      <w:r>
        <w:rPr/>
        <w:t>full</w:t>
      </w:r>
      <w:r>
        <w:rPr>
          <w:spacing w:val="12"/>
        </w:rPr>
        <w:t> </w:t>
      </w:r>
      <w:r>
        <w:rPr/>
        <w:t>of</w:t>
      </w:r>
      <w:r>
        <w:rPr>
          <w:spacing w:val="9"/>
        </w:rPr>
        <w:t> </w:t>
      </w:r>
      <w:r>
        <w:rPr/>
        <w:t>sound</w:t>
      </w:r>
      <w:r>
        <w:rPr>
          <w:spacing w:val="12"/>
        </w:rPr>
        <w:t> </w:t>
      </w:r>
      <w:r>
        <w:rPr/>
        <w:t>and</w:t>
      </w:r>
      <w:r>
        <w:rPr>
          <w:spacing w:val="11"/>
        </w:rPr>
        <w:t> </w:t>
      </w:r>
      <w:r>
        <w:rPr>
          <w:spacing w:val="-2"/>
        </w:rPr>
        <w:t>fury,</w:t>
      </w:r>
    </w:p>
    <w:p>
      <w:pPr>
        <w:pStyle w:val="BodyText"/>
        <w:spacing w:before="6"/>
        <w:jc w:val="both"/>
      </w:pPr>
      <w:r>
        <w:rPr/>
        <w:t>/ Signifying nothing”(Shakespeare,</w:t>
      </w:r>
      <w:r>
        <w:rPr>
          <w:spacing w:val="4"/>
        </w:rPr>
        <w:t> </w:t>
      </w:r>
      <w:r>
        <w:rPr/>
        <w:t>2009,</w:t>
      </w:r>
      <w:r>
        <w:rPr>
          <w:spacing w:val="1"/>
        </w:rPr>
        <w:t> </w:t>
      </w:r>
      <w:r>
        <w:rPr/>
        <w:t>p.</w:t>
      </w:r>
      <w:r>
        <w:rPr>
          <w:spacing w:val="2"/>
        </w:rPr>
        <w:t> </w:t>
      </w:r>
      <w:r>
        <w:rPr>
          <w:spacing w:val="-4"/>
        </w:rPr>
        <w:t>371).</w:t>
      </w:r>
    </w:p>
    <w:p>
      <w:pPr>
        <w:pStyle w:val="BodyText"/>
        <w:spacing w:line="249" w:lineRule="auto" w:before="70"/>
        <w:ind w:right="1437" w:firstLine="432"/>
        <w:jc w:val="both"/>
      </w:pPr>
      <w:r>
        <w:rPr/>
        <w:t>A</w:t>
      </w:r>
      <w:r>
        <w:rPr>
          <w:spacing w:val="-13"/>
        </w:rPr>
        <w:t> </w:t>
      </w:r>
      <w:r>
        <w:rPr/>
        <w:t>life</w:t>
      </w:r>
      <w:r>
        <w:rPr>
          <w:spacing w:val="-12"/>
        </w:rPr>
        <w:t> </w:t>
      </w:r>
      <w:r>
        <w:rPr/>
        <w:t>without</w:t>
      </w:r>
      <w:r>
        <w:rPr>
          <w:spacing w:val="-10"/>
        </w:rPr>
        <w:t> </w:t>
      </w:r>
      <w:r>
        <w:rPr/>
        <w:t>good</w:t>
      </w:r>
      <w:r>
        <w:rPr>
          <w:spacing w:val="-7"/>
        </w:rPr>
        <w:t> </w:t>
      </w:r>
      <w:r>
        <w:rPr/>
        <w:t>deeds</w:t>
      </w:r>
      <w:r>
        <w:rPr>
          <w:spacing w:val="-8"/>
        </w:rPr>
        <w:t> </w:t>
      </w:r>
      <w:r>
        <w:rPr/>
        <w:t>is</w:t>
      </w:r>
      <w:r>
        <w:rPr>
          <w:spacing w:val="-8"/>
        </w:rPr>
        <w:t> </w:t>
      </w:r>
      <w:r>
        <w:rPr/>
        <w:t>meaningless,</w:t>
      </w:r>
      <w:r>
        <w:rPr>
          <w:spacing w:val="-8"/>
        </w:rPr>
        <w:t> </w:t>
      </w:r>
      <w:r>
        <w:rPr/>
        <w:t>and</w:t>
      </w:r>
      <w:r>
        <w:rPr>
          <w:spacing w:val="-8"/>
        </w:rPr>
        <w:t> </w:t>
      </w:r>
      <w:r>
        <w:rPr/>
        <w:t>a</w:t>
      </w:r>
      <w:r>
        <w:rPr>
          <w:spacing w:val="-9"/>
        </w:rPr>
        <w:t> </w:t>
      </w:r>
      <w:r>
        <w:rPr/>
        <w:t>life</w:t>
      </w:r>
      <w:r>
        <w:rPr>
          <w:spacing w:val="-8"/>
        </w:rPr>
        <w:t> </w:t>
      </w:r>
      <w:r>
        <w:rPr/>
        <w:t>like</w:t>
      </w:r>
      <w:r>
        <w:rPr>
          <w:spacing w:val="-8"/>
        </w:rPr>
        <w:t> </w:t>
      </w:r>
      <w:r>
        <w:rPr/>
        <w:t>Macbeth’s and his wife’s, because of their evil deeds, is not only meaningless, but also leads to a tragic ending, for what goes around comes around. In </w:t>
      </w:r>
      <w:r>
        <w:rPr>
          <w:i/>
        </w:rPr>
        <w:t>The Merchant of Venice</w:t>
      </w:r>
      <w:r>
        <w:rPr/>
        <w:t>, Shylock’s insistence on the “pound of flesh” contract stands in contrast to the forgiveness and benevolence of Antonio’s side; this is essentially a collision between justice and fraternity</w:t>
      </w:r>
      <w:r>
        <w:rPr>
          <w:spacing w:val="-6"/>
        </w:rPr>
        <w:t> </w:t>
      </w:r>
      <w:r>
        <w:rPr/>
        <w:t>in</w:t>
      </w:r>
      <w:r>
        <w:rPr>
          <w:spacing w:val="-3"/>
        </w:rPr>
        <w:t> </w:t>
      </w:r>
      <w:r>
        <w:rPr/>
        <w:t>religious</w:t>
      </w:r>
      <w:r>
        <w:rPr>
          <w:spacing w:val="-4"/>
        </w:rPr>
        <w:t> </w:t>
      </w:r>
      <w:r>
        <w:rPr/>
        <w:t>ethics,</w:t>
      </w:r>
      <w:r>
        <w:rPr>
          <w:spacing w:val="-1"/>
        </w:rPr>
        <w:t> </w:t>
      </w:r>
      <w:r>
        <w:rPr/>
        <w:t>deepening</w:t>
      </w:r>
      <w:r>
        <w:rPr>
          <w:spacing w:val="-4"/>
        </w:rPr>
        <w:t> </w:t>
      </w:r>
      <w:r>
        <w:rPr/>
        <w:t>the</w:t>
      </w:r>
      <w:r>
        <w:rPr>
          <w:spacing w:val="-3"/>
        </w:rPr>
        <w:t> </w:t>
      </w:r>
      <w:r>
        <w:rPr/>
        <w:t>exploration</w:t>
      </w:r>
      <w:r>
        <w:rPr>
          <w:spacing w:val="-3"/>
        </w:rPr>
        <w:t> </w:t>
      </w:r>
      <w:r>
        <w:rPr/>
        <w:t>of</w:t>
      </w:r>
      <w:r>
        <w:rPr>
          <w:spacing w:val="-4"/>
        </w:rPr>
        <w:t> </w:t>
      </w:r>
      <w:r>
        <w:rPr/>
        <w:t>good</w:t>
      </w:r>
      <w:r>
        <w:rPr>
          <w:spacing w:val="-1"/>
        </w:rPr>
        <w:t> </w:t>
      </w:r>
      <w:r>
        <w:rPr/>
        <w:t>and</w:t>
      </w:r>
      <w:r>
        <w:rPr>
          <w:spacing w:val="-1"/>
        </w:rPr>
        <w:t> </w:t>
      </w:r>
      <w:r>
        <w:rPr/>
        <w:t>evil in</w:t>
      </w:r>
      <w:r>
        <w:rPr>
          <w:spacing w:val="40"/>
        </w:rPr>
        <w:t> </w:t>
      </w:r>
      <w:r>
        <w:rPr/>
        <w:t>human</w:t>
      </w:r>
      <w:r>
        <w:rPr>
          <w:spacing w:val="40"/>
        </w:rPr>
        <w:t> </w:t>
      </w:r>
      <w:r>
        <w:rPr/>
        <w:t>nature.</w:t>
      </w:r>
    </w:p>
    <w:p>
      <w:pPr>
        <w:pStyle w:val="Heading3"/>
        <w:numPr>
          <w:ilvl w:val="0"/>
          <w:numId w:val="77"/>
        </w:numPr>
        <w:tabs>
          <w:tab w:pos="1710" w:val="left" w:leader="none"/>
        </w:tabs>
        <w:spacing w:line="240" w:lineRule="auto" w:before="160" w:after="0"/>
        <w:ind w:left="1710" w:right="0" w:hanging="270"/>
        <w:jc w:val="left"/>
      </w:pPr>
      <w:r>
        <w:rPr>
          <w:w w:val="90"/>
        </w:rPr>
        <w:t>SHAKESPEARE’S</w:t>
      </w:r>
      <w:r>
        <w:rPr>
          <w:spacing w:val="-2"/>
        </w:rPr>
        <w:t> </w:t>
      </w:r>
      <w:r>
        <w:rPr>
          <w:w w:val="90"/>
        </w:rPr>
        <w:t>VIEWS</w:t>
      </w:r>
      <w:r>
        <w:rPr>
          <w:spacing w:val="-4"/>
        </w:rPr>
        <w:t> </w:t>
      </w:r>
      <w:r>
        <w:rPr>
          <w:w w:val="90"/>
        </w:rPr>
        <w:t>ON</w:t>
      </w:r>
      <w:r>
        <w:rPr>
          <w:spacing w:val="-2"/>
        </w:rPr>
        <w:t> </w:t>
      </w:r>
      <w:r>
        <w:rPr>
          <w:w w:val="90"/>
        </w:rPr>
        <w:t>LIFE</w:t>
      </w:r>
      <w:r>
        <w:rPr>
          <w:spacing w:val="-3"/>
        </w:rPr>
        <w:t> </w:t>
      </w:r>
      <w:r>
        <w:rPr>
          <w:w w:val="90"/>
        </w:rPr>
        <w:t>AND</w:t>
      </w:r>
      <w:r>
        <w:rPr>
          <w:spacing w:val="-4"/>
        </w:rPr>
        <w:t> </w:t>
      </w:r>
      <w:r>
        <w:rPr>
          <w:spacing w:val="-2"/>
          <w:w w:val="90"/>
        </w:rPr>
        <w:t>DEATH</w:t>
      </w:r>
    </w:p>
    <w:p>
      <w:pPr>
        <w:pStyle w:val="BodyText"/>
        <w:spacing w:line="249" w:lineRule="auto" w:before="76"/>
        <w:ind w:right="1440" w:firstLine="432"/>
        <w:jc w:val="both"/>
      </w:pPr>
      <w:r>
        <w:rPr/>
        <w:t>In </w:t>
      </w:r>
      <w:r>
        <w:rPr>
          <w:i/>
        </w:rPr>
        <w:t>Hamlet</w:t>
      </w:r>
      <w:r>
        <w:rPr/>
        <w:t>, Hamlet hesitates to kill Claudius because he fears that if Claudius is praying when killed, his soul will ascend to heaven; this hesitation</w:t>
      </w:r>
      <w:r>
        <w:rPr>
          <w:spacing w:val="-13"/>
        </w:rPr>
        <w:t> </w:t>
      </w:r>
      <w:r>
        <w:rPr/>
        <w:t>stems</w:t>
      </w:r>
      <w:r>
        <w:rPr>
          <w:spacing w:val="-12"/>
        </w:rPr>
        <w:t> </w:t>
      </w:r>
      <w:r>
        <w:rPr/>
        <w:t>precisely</w:t>
      </w:r>
      <w:r>
        <w:rPr>
          <w:spacing w:val="-13"/>
        </w:rPr>
        <w:t> </w:t>
      </w:r>
      <w:r>
        <w:rPr/>
        <w:t>from</w:t>
      </w:r>
      <w:r>
        <w:rPr>
          <w:spacing w:val="-12"/>
        </w:rPr>
        <w:t> </w:t>
      </w:r>
      <w:r>
        <w:rPr/>
        <w:t>his</w:t>
      </w:r>
      <w:r>
        <w:rPr>
          <w:spacing w:val="-13"/>
        </w:rPr>
        <w:t> </w:t>
      </w:r>
      <w:r>
        <w:rPr/>
        <w:t>religious</w:t>
      </w:r>
      <w:r>
        <w:rPr>
          <w:spacing w:val="-12"/>
        </w:rPr>
        <w:t> </w:t>
      </w:r>
      <w:r>
        <w:rPr/>
        <w:t>and</w:t>
      </w:r>
      <w:r>
        <w:rPr>
          <w:spacing w:val="-13"/>
        </w:rPr>
        <w:t> </w:t>
      </w:r>
      <w:r>
        <w:rPr/>
        <w:t>ethical</w:t>
      </w:r>
      <w:r>
        <w:rPr>
          <w:spacing w:val="-12"/>
        </w:rPr>
        <w:t> </w:t>
      </w:r>
      <w:r>
        <w:rPr/>
        <w:t>struggle</w:t>
      </w:r>
      <w:r>
        <w:rPr>
          <w:spacing w:val="-13"/>
        </w:rPr>
        <w:t> </w:t>
      </w:r>
      <w:r>
        <w:rPr/>
        <w:t>between soul</w:t>
      </w:r>
      <w:r>
        <w:rPr>
          <w:spacing w:val="40"/>
        </w:rPr>
        <w:t> </w:t>
      </w:r>
      <w:r>
        <w:rPr/>
        <w:t>redemption</w:t>
      </w:r>
      <w:r>
        <w:rPr>
          <w:spacing w:val="40"/>
        </w:rPr>
        <w:t> </w:t>
      </w:r>
      <w:r>
        <w:rPr/>
        <w:t>and</w:t>
      </w:r>
      <w:r>
        <w:rPr>
          <w:spacing w:val="40"/>
        </w:rPr>
        <w:t> </w:t>
      </w:r>
      <w:r>
        <w:rPr/>
        <w:t>the</w:t>
      </w:r>
      <w:r>
        <w:rPr>
          <w:spacing w:val="40"/>
        </w:rPr>
        <w:t> </w:t>
      </w:r>
      <w:r>
        <w:rPr/>
        <w:t>justice</w:t>
      </w:r>
      <w:r>
        <w:rPr>
          <w:spacing w:val="40"/>
        </w:rPr>
        <w:t> </w:t>
      </w:r>
      <w:r>
        <w:rPr/>
        <w:t>of</w:t>
      </w:r>
      <w:r>
        <w:rPr>
          <w:spacing w:val="40"/>
        </w:rPr>
        <w:t> </w:t>
      </w:r>
      <w:r>
        <w:rPr/>
        <w:t>revenge.</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61248">
                <wp:simplePos x="0" y="0"/>
                <wp:positionH relativeFrom="page">
                  <wp:posOffset>2065020</wp:posOffset>
                </wp:positionH>
                <wp:positionV relativeFrom="paragraph">
                  <wp:posOffset>795020</wp:posOffset>
                </wp:positionV>
                <wp:extent cx="3657600" cy="12700"/>
                <wp:effectExtent l="0" t="0" r="0" b="0"/>
                <wp:wrapTopAndBottom/>
                <wp:docPr id="738" name="Graphic 738"/>
                <wp:cNvGraphicFramePr>
                  <a:graphicFrameLocks/>
                </wp:cNvGraphicFramePr>
                <a:graphic>
                  <a:graphicData uri="http://schemas.microsoft.com/office/word/2010/wordprocessingShape">
                    <wps:wsp>
                      <wps:cNvPr id="738" name="Graphic 73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55232;mso-wrap-distance-left:0;mso-wrap-distance-right:0" id="docshape730" filled="true" fillcolor="#000000" stroked="false">
                <v:fill type="solid"/>
                <w10:wrap type="topAndBottom"/>
              </v:rect>
            </w:pict>
          </mc:Fallback>
        </mc:AlternateContent>
      </w:r>
      <w:r>
        <w:rPr>
          <w:rFonts w:ascii="Verdana" w:hAnsi="Verdana"/>
          <w:sz w:val="18"/>
        </w:rPr>
        <w:t>Shakespeare’s</w:t>
      </w:r>
      <w:r>
        <w:rPr>
          <w:rFonts w:ascii="Verdana" w:hAnsi="Verdana"/>
          <w:spacing w:val="1"/>
          <w:sz w:val="18"/>
        </w:rPr>
        <w:t> </w:t>
      </w:r>
      <w:r>
        <w:rPr>
          <w:rFonts w:ascii="Verdana" w:hAnsi="Verdana"/>
          <w:sz w:val="18"/>
        </w:rPr>
        <w:t>Female</w:t>
      </w:r>
      <w:r>
        <w:rPr>
          <w:rFonts w:ascii="Verdana" w:hAnsi="Verdana"/>
          <w:spacing w:val="5"/>
          <w:sz w:val="18"/>
        </w:rPr>
        <w:t> </w:t>
      </w:r>
      <w:r>
        <w:rPr>
          <w:rFonts w:ascii="Verdana" w:hAnsi="Verdana"/>
          <w:spacing w:val="-2"/>
          <w:sz w:val="18"/>
        </w:rPr>
        <w:t>Character</w:t>
      </w:r>
      <w:r>
        <w:rPr>
          <w:sz w:val="18"/>
        </w:rPr>
        <w:tab/>
      </w:r>
      <w:r>
        <w:rPr>
          <w:rFonts w:ascii="Verdana" w:hAnsi="Verdana"/>
          <w:spacing w:val="-5"/>
          <w:sz w:val="18"/>
        </w:rPr>
        <w:t>369</w:t>
      </w:r>
    </w:p>
    <w:p>
      <w:pPr>
        <w:pStyle w:val="BodyText"/>
        <w:spacing w:line="249" w:lineRule="auto" w:before="192"/>
        <w:ind w:right="1439" w:firstLine="432"/>
        <w:jc w:val="both"/>
      </w:pPr>
      <w:r>
        <w:rPr>
          <w:i/>
        </w:rPr>
        <w:t>Macbeth</w:t>
      </w:r>
      <w:r>
        <w:rPr/>
        <w:t>is an abyss-like writing of human nature cognition. This play</w:t>
      </w:r>
      <w:r>
        <w:rPr>
          <w:spacing w:val="-13"/>
        </w:rPr>
        <w:t> </w:t>
      </w:r>
      <w:r>
        <w:rPr/>
        <w:t>deconstructs</w:t>
      </w:r>
      <w:r>
        <w:rPr>
          <w:spacing w:val="-12"/>
        </w:rPr>
        <w:t> </w:t>
      </w:r>
      <w:r>
        <w:rPr/>
        <w:t>the</w:t>
      </w:r>
      <w:r>
        <w:rPr>
          <w:spacing w:val="-10"/>
        </w:rPr>
        <w:t> </w:t>
      </w:r>
      <w:r>
        <w:rPr/>
        <w:t>good-evil</w:t>
      </w:r>
      <w:r>
        <w:rPr>
          <w:spacing w:val="-12"/>
        </w:rPr>
        <w:t> </w:t>
      </w:r>
      <w:r>
        <w:rPr/>
        <w:t>dualism</w:t>
      </w:r>
      <w:r>
        <w:rPr>
          <w:spacing w:val="-11"/>
        </w:rPr>
        <w:t> </w:t>
      </w:r>
      <w:r>
        <w:rPr/>
        <w:t>through</w:t>
      </w:r>
      <w:r>
        <w:rPr>
          <w:spacing w:val="-13"/>
        </w:rPr>
        <w:t> </w:t>
      </w:r>
      <w:r>
        <w:rPr/>
        <w:t>the</w:t>
      </w:r>
      <w:r>
        <w:rPr>
          <w:spacing w:val="-10"/>
        </w:rPr>
        <w:t> </w:t>
      </w:r>
      <w:r>
        <w:rPr/>
        <w:t>tragedy</w:t>
      </w:r>
      <w:r>
        <w:rPr>
          <w:spacing w:val="-13"/>
        </w:rPr>
        <w:t> </w:t>
      </w:r>
      <w:r>
        <w:rPr/>
        <w:t>of</w:t>
      </w:r>
      <w:r>
        <w:rPr>
          <w:spacing w:val="-10"/>
        </w:rPr>
        <w:t> </w:t>
      </w:r>
      <w:r>
        <w:rPr/>
        <w:t>Macbeth. Macbeth’s ambition-conscience game reveals the fragility of human nature in the face of the desire for extreme power. His transformation from hero to tyrant reveals that it is hard for a person who no longer believes</w:t>
      </w:r>
      <w:r>
        <w:rPr>
          <w:spacing w:val="40"/>
        </w:rPr>
        <w:t> </w:t>
      </w:r>
      <w:r>
        <w:rPr/>
        <w:t>in the</w:t>
      </w:r>
      <w:r>
        <w:rPr>
          <w:spacing w:val="40"/>
        </w:rPr>
        <w:t> </w:t>
      </w:r>
      <w:r>
        <w:rPr/>
        <w:t>Godto</w:t>
      </w:r>
      <w:r>
        <w:rPr>
          <w:spacing w:val="40"/>
        </w:rPr>
        <w:t> </w:t>
      </w:r>
      <w:r>
        <w:rPr/>
        <w:t>resist</w:t>
      </w:r>
      <w:r>
        <w:rPr>
          <w:spacing w:val="40"/>
        </w:rPr>
        <w:t> </w:t>
      </w:r>
      <w:r>
        <w:rPr/>
        <w:t>the</w:t>
      </w:r>
      <w:r>
        <w:rPr>
          <w:spacing w:val="40"/>
        </w:rPr>
        <w:t> </w:t>
      </w:r>
      <w:r>
        <w:rPr/>
        <w:t>evil</w:t>
      </w:r>
      <w:r>
        <w:rPr>
          <w:spacing w:val="40"/>
        </w:rPr>
        <w:t> </w:t>
      </w:r>
      <w:r>
        <w:rPr/>
        <w:t>temptation.</w:t>
      </w:r>
    </w:p>
    <w:p>
      <w:pPr>
        <w:pStyle w:val="BodyText"/>
        <w:spacing w:line="254" w:lineRule="auto" w:before="65"/>
        <w:ind w:right="1439" w:firstLine="432"/>
        <w:jc w:val="both"/>
      </w:pPr>
      <w:r>
        <w:rPr/>
        <w:t>Views on life and death in Shakespearean plays also involve the disenchantment of power, such as the chain reaction of “regicide and usurpation” in </w:t>
      </w:r>
      <w:r>
        <w:rPr>
          <w:i/>
        </w:rPr>
        <w:t>Macbeth</w:t>
      </w:r>
      <w:r>
        <w:rPr/>
        <w:t>. In </w:t>
      </w:r>
      <w:r>
        <w:rPr>
          <w:i/>
        </w:rPr>
        <w:t>Macbeth</w:t>
      </w:r>
      <w:r>
        <w:rPr/>
        <w:t>, driven by ambition and desire, Macbeth</w:t>
      </w:r>
      <w:r>
        <w:rPr>
          <w:spacing w:val="-11"/>
        </w:rPr>
        <w:t> </w:t>
      </w:r>
      <w:r>
        <w:rPr/>
        <w:t>kills</w:t>
      </w:r>
      <w:r>
        <w:rPr>
          <w:spacing w:val="-9"/>
        </w:rPr>
        <w:t> </w:t>
      </w:r>
      <w:r>
        <w:rPr/>
        <w:t>King</w:t>
      </w:r>
      <w:r>
        <w:rPr>
          <w:spacing w:val="-11"/>
        </w:rPr>
        <w:t> </w:t>
      </w:r>
      <w:r>
        <w:rPr/>
        <w:t>Duncan</w:t>
      </w:r>
      <w:r>
        <w:rPr>
          <w:spacing w:val="-11"/>
        </w:rPr>
        <w:t> </w:t>
      </w:r>
      <w:r>
        <w:rPr/>
        <w:t>to</w:t>
      </w:r>
      <w:r>
        <w:rPr>
          <w:spacing w:val="-8"/>
        </w:rPr>
        <w:t> </w:t>
      </w:r>
      <w:r>
        <w:rPr/>
        <w:t>pursue</w:t>
      </w:r>
      <w:r>
        <w:rPr>
          <w:spacing w:val="-7"/>
        </w:rPr>
        <w:t> </w:t>
      </w:r>
      <w:r>
        <w:rPr/>
        <w:t>power.</w:t>
      </w:r>
      <w:r>
        <w:rPr>
          <w:spacing w:val="-11"/>
        </w:rPr>
        <w:t> </w:t>
      </w:r>
      <w:r>
        <w:rPr/>
        <w:t>This</w:t>
      </w:r>
      <w:r>
        <w:rPr>
          <w:spacing w:val="-9"/>
        </w:rPr>
        <w:t> </w:t>
      </w:r>
      <w:r>
        <w:rPr/>
        <w:t>act</w:t>
      </w:r>
      <w:r>
        <w:rPr>
          <w:spacing w:val="-9"/>
        </w:rPr>
        <w:t> </w:t>
      </w:r>
      <w:r>
        <w:rPr/>
        <w:t>violates</w:t>
      </w:r>
      <w:r>
        <w:rPr>
          <w:spacing w:val="-9"/>
        </w:rPr>
        <w:t> </w:t>
      </w:r>
      <w:r>
        <w:rPr/>
        <w:t>moral</w:t>
      </w:r>
      <w:r>
        <w:rPr>
          <w:spacing w:val="-9"/>
        </w:rPr>
        <w:t> </w:t>
      </w:r>
      <w:r>
        <w:rPr/>
        <w:t>and ethical norms,</w:t>
      </w:r>
      <w:r>
        <w:rPr>
          <w:spacing w:val="40"/>
        </w:rPr>
        <w:t> </w:t>
      </w:r>
      <w:r>
        <w:rPr/>
        <w:t>plunging him into</w:t>
      </w:r>
      <w:r>
        <w:rPr>
          <w:spacing w:val="40"/>
        </w:rPr>
        <w:t> </w:t>
      </w:r>
      <w:r>
        <w:rPr/>
        <w:t>endless</w:t>
      </w:r>
      <w:r>
        <w:rPr>
          <w:spacing w:val="40"/>
        </w:rPr>
        <w:t> </w:t>
      </w:r>
      <w:r>
        <w:rPr/>
        <w:t>pain and</w:t>
      </w:r>
      <w:r>
        <w:rPr>
          <w:spacing w:val="40"/>
        </w:rPr>
        <w:t> </w:t>
      </w:r>
      <w:r>
        <w:rPr/>
        <w:t>fear.</w:t>
      </w:r>
    </w:p>
    <w:p>
      <w:pPr>
        <w:pStyle w:val="BodyText"/>
        <w:spacing w:line="254" w:lineRule="auto" w:before="60"/>
        <w:ind w:right="1439" w:firstLine="432"/>
        <w:jc w:val="both"/>
      </w:pPr>
      <w:r>
        <w:rPr/>
        <w:t>In </w:t>
      </w:r>
      <w:r>
        <w:rPr>
          <w:i/>
        </w:rPr>
        <w:t>King Lear</w:t>
      </w:r>
      <w:r>
        <w:rPr/>
        <w:t>, when dividing his kingdom among his three daughters,</w:t>
      </w:r>
      <w:r>
        <w:rPr>
          <w:spacing w:val="-6"/>
        </w:rPr>
        <w:t> </w:t>
      </w:r>
      <w:r>
        <w:rPr/>
        <w:t>Lear</w:t>
      </w:r>
      <w:r>
        <w:rPr>
          <w:spacing w:val="-4"/>
        </w:rPr>
        <w:t> </w:t>
      </w:r>
      <w:r>
        <w:rPr/>
        <w:t>allocates</w:t>
      </w:r>
      <w:r>
        <w:rPr>
          <w:spacing w:val="-8"/>
        </w:rPr>
        <w:t> </w:t>
      </w:r>
      <w:r>
        <w:rPr/>
        <w:t>land</w:t>
      </w:r>
      <w:r>
        <w:rPr>
          <w:spacing w:val="-4"/>
        </w:rPr>
        <w:t> </w:t>
      </w:r>
      <w:r>
        <w:rPr/>
        <w:t>based</w:t>
      </w:r>
      <w:r>
        <w:rPr>
          <w:spacing w:val="-4"/>
        </w:rPr>
        <w:t> </w:t>
      </w:r>
      <w:r>
        <w:rPr/>
        <w:t>on</w:t>
      </w:r>
      <w:r>
        <w:rPr>
          <w:spacing w:val="-8"/>
        </w:rPr>
        <w:t> </w:t>
      </w:r>
      <w:r>
        <w:rPr/>
        <w:t>the</w:t>
      </w:r>
      <w:r>
        <w:rPr>
          <w:spacing w:val="-5"/>
        </w:rPr>
        <w:t> </w:t>
      </w:r>
      <w:r>
        <w:rPr/>
        <w:t>degree</w:t>
      </w:r>
      <w:r>
        <w:rPr>
          <w:spacing w:val="-8"/>
        </w:rPr>
        <w:t> </w:t>
      </w:r>
      <w:r>
        <w:rPr/>
        <w:t>of</w:t>
      </w:r>
      <w:r>
        <w:rPr>
          <w:spacing w:val="-8"/>
        </w:rPr>
        <w:t> </w:t>
      </w:r>
      <w:r>
        <w:rPr/>
        <w:t>their</w:t>
      </w:r>
      <w:r>
        <w:rPr>
          <w:spacing w:val="-4"/>
        </w:rPr>
        <w:t> </w:t>
      </w:r>
      <w:r>
        <w:rPr/>
        <w:t>flattery.</w:t>
      </w:r>
      <w:r>
        <w:rPr>
          <w:spacing w:val="-6"/>
        </w:rPr>
        <w:t> </w:t>
      </w:r>
      <w:r>
        <w:rPr/>
        <w:t>King Lear equates flattery (such as the eldest daughter Goneril’s “I love you more than words can wield the matter”) with true emotion, neglecting the virtue. And he passes his power to his eldest daughter Goneril and his second daughter Regan, both of</w:t>
      </w:r>
      <w:r>
        <w:rPr>
          <w:spacing w:val="-1"/>
        </w:rPr>
        <w:t> </w:t>
      </w:r>
      <w:r>
        <w:rPr/>
        <w:t>whom gain his kingdom</w:t>
      </w:r>
      <w:r>
        <w:rPr>
          <w:spacing w:val="-2"/>
        </w:rPr>
        <w:t> </w:t>
      </w:r>
      <w:r>
        <w:rPr/>
        <w:t>and power through</w:t>
      </w:r>
      <w:r>
        <w:rPr>
          <w:spacing w:val="40"/>
        </w:rPr>
        <w:t> </w:t>
      </w:r>
      <w:r>
        <w:rPr/>
        <w:t>flattery,</w:t>
      </w:r>
      <w:r>
        <w:rPr>
          <w:spacing w:val="40"/>
        </w:rPr>
        <w:t> </w:t>
      </w:r>
      <w:r>
        <w:rPr/>
        <w:t>yet</w:t>
      </w:r>
      <w:r>
        <w:rPr>
          <w:spacing w:val="40"/>
        </w:rPr>
        <w:t> </w:t>
      </w:r>
      <w:r>
        <w:rPr/>
        <w:t>they</w:t>
      </w:r>
      <w:r>
        <w:rPr>
          <w:spacing w:val="40"/>
        </w:rPr>
        <w:t> </w:t>
      </w:r>
      <w:r>
        <w:rPr/>
        <w:t>are</w:t>
      </w:r>
      <w:r>
        <w:rPr>
          <w:spacing w:val="40"/>
        </w:rPr>
        <w:t> </w:t>
      </w:r>
      <w:r>
        <w:rPr/>
        <w:t>heartless</w:t>
      </w:r>
      <w:r>
        <w:rPr>
          <w:spacing w:val="40"/>
        </w:rPr>
        <w:t> </w:t>
      </w:r>
      <w:r>
        <w:rPr/>
        <w:t>and</w:t>
      </w:r>
      <w:r>
        <w:rPr>
          <w:spacing w:val="40"/>
        </w:rPr>
        <w:t> </w:t>
      </w:r>
      <w:r>
        <w:rPr/>
        <w:t>without</w:t>
      </w:r>
      <w:r>
        <w:rPr>
          <w:spacing w:val="40"/>
        </w:rPr>
        <w:t> </w:t>
      </w:r>
      <w:r>
        <w:rPr/>
        <w:t>virtue.</w:t>
      </w:r>
    </w:p>
    <w:p>
      <w:pPr>
        <w:pStyle w:val="BodyText"/>
        <w:spacing w:line="254" w:lineRule="auto" w:before="58"/>
        <w:ind w:right="1441" w:firstLine="432"/>
        <w:jc w:val="both"/>
      </w:pPr>
      <w:r>
        <w:rPr/>
        <w:t>His</w:t>
      </w:r>
      <w:r>
        <w:rPr>
          <w:spacing w:val="-7"/>
        </w:rPr>
        <w:t> </w:t>
      </w:r>
      <w:r>
        <w:rPr/>
        <w:t>youngest</w:t>
      </w:r>
      <w:r>
        <w:rPr>
          <w:spacing w:val="-6"/>
        </w:rPr>
        <w:t> </w:t>
      </w:r>
      <w:r>
        <w:rPr/>
        <w:t>daughter</w:t>
      </w:r>
      <w:r>
        <w:rPr>
          <w:spacing w:val="-6"/>
        </w:rPr>
        <w:t> </w:t>
      </w:r>
      <w:r>
        <w:rPr/>
        <w:t>Cordelia</w:t>
      </w:r>
      <w:r>
        <w:rPr>
          <w:spacing w:val="-6"/>
        </w:rPr>
        <w:t> </w:t>
      </w:r>
      <w:r>
        <w:rPr/>
        <w:t>is</w:t>
      </w:r>
      <w:r>
        <w:rPr>
          <w:spacing w:val="-4"/>
        </w:rPr>
        <w:t> </w:t>
      </w:r>
      <w:r>
        <w:rPr/>
        <w:t>disinherited</w:t>
      </w:r>
      <w:r>
        <w:rPr>
          <w:spacing w:val="-6"/>
        </w:rPr>
        <w:t> </w:t>
      </w:r>
      <w:r>
        <w:rPr/>
        <w:t>because</w:t>
      </w:r>
      <w:r>
        <w:rPr>
          <w:spacing w:val="-7"/>
        </w:rPr>
        <w:t> </w:t>
      </w:r>
      <w:r>
        <w:rPr/>
        <w:t>she</w:t>
      </w:r>
      <w:r>
        <w:rPr>
          <w:spacing w:val="-7"/>
        </w:rPr>
        <w:t> </w:t>
      </w:r>
      <w:r>
        <w:rPr/>
        <w:t>refuses to indulge in flattery. Later, Lear is abused by his eldest and second daughters</w:t>
      </w:r>
      <w:r>
        <w:rPr>
          <w:spacing w:val="-8"/>
        </w:rPr>
        <w:t> </w:t>
      </w:r>
      <w:r>
        <w:rPr/>
        <w:t>and</w:t>
      </w:r>
      <w:r>
        <w:rPr>
          <w:spacing w:val="-6"/>
        </w:rPr>
        <w:t> </w:t>
      </w:r>
      <w:r>
        <w:rPr/>
        <w:t>exiled</w:t>
      </w:r>
      <w:r>
        <w:rPr>
          <w:spacing w:val="-4"/>
        </w:rPr>
        <w:t> </w:t>
      </w:r>
      <w:r>
        <w:rPr/>
        <w:t>to</w:t>
      </w:r>
      <w:r>
        <w:rPr>
          <w:spacing w:val="-6"/>
        </w:rPr>
        <w:t> </w:t>
      </w:r>
      <w:r>
        <w:rPr/>
        <w:t>the</w:t>
      </w:r>
      <w:r>
        <w:rPr>
          <w:spacing w:val="-8"/>
        </w:rPr>
        <w:t> </w:t>
      </w:r>
      <w:r>
        <w:rPr/>
        <w:t>wilderness.</w:t>
      </w:r>
      <w:r>
        <w:rPr>
          <w:spacing w:val="-6"/>
        </w:rPr>
        <w:t> </w:t>
      </w:r>
      <w:r>
        <w:rPr/>
        <w:t>In</w:t>
      </w:r>
      <w:r>
        <w:rPr>
          <w:spacing w:val="-8"/>
        </w:rPr>
        <w:t> </w:t>
      </w:r>
      <w:r>
        <w:rPr/>
        <w:t>this</w:t>
      </w:r>
      <w:r>
        <w:rPr>
          <w:spacing w:val="-6"/>
        </w:rPr>
        <w:t> </w:t>
      </w:r>
      <w:r>
        <w:rPr/>
        <w:t>process,</w:t>
      </w:r>
      <w:r>
        <w:rPr>
          <w:spacing w:val="-6"/>
        </w:rPr>
        <w:t> </w:t>
      </w:r>
      <w:r>
        <w:rPr/>
        <w:t>Lear</w:t>
      </w:r>
      <w:r>
        <w:rPr>
          <w:spacing w:val="-6"/>
        </w:rPr>
        <w:t> </w:t>
      </w:r>
      <w:r>
        <w:rPr/>
        <w:t>experiences a huge drop from the peak of power to having nothing, and his inner world undergoes profound changes. He begins to reflect on his actions, recognizing his own folly and mistakes:</w:t>
      </w:r>
    </w:p>
    <w:p>
      <w:pPr>
        <w:spacing w:line="254" w:lineRule="auto" w:before="61"/>
        <w:ind w:left="2160" w:right="2159" w:firstLine="0"/>
        <w:jc w:val="both"/>
        <w:rPr>
          <w:i/>
          <w:sz w:val="20"/>
        </w:rPr>
      </w:pPr>
      <w:r>
        <w:rPr>
          <w:i/>
          <w:sz w:val="20"/>
        </w:rPr>
        <w:t>LEAR</w:t>
      </w:r>
      <w:r>
        <w:rPr>
          <w:i/>
          <w:spacing w:val="-6"/>
          <w:sz w:val="20"/>
        </w:rPr>
        <w:t> </w:t>
      </w:r>
      <w:r>
        <w:rPr>
          <w:i/>
          <w:sz w:val="20"/>
        </w:rPr>
        <w:t>Ha!</w:t>
      </w:r>
      <w:r>
        <w:rPr>
          <w:i/>
          <w:spacing w:val="-8"/>
          <w:sz w:val="20"/>
        </w:rPr>
        <w:t> </w:t>
      </w:r>
      <w:r>
        <w:rPr>
          <w:i/>
          <w:sz w:val="20"/>
        </w:rPr>
        <w:t>Goneril</w:t>
      </w:r>
      <w:r>
        <w:rPr>
          <w:i/>
          <w:spacing w:val="-4"/>
          <w:sz w:val="20"/>
        </w:rPr>
        <w:t> </w:t>
      </w:r>
      <w:r>
        <w:rPr>
          <w:i/>
          <w:sz w:val="20"/>
        </w:rPr>
        <w:t>with</w:t>
      </w:r>
      <w:r>
        <w:rPr>
          <w:i/>
          <w:spacing w:val="-4"/>
          <w:sz w:val="20"/>
        </w:rPr>
        <w:t> </w:t>
      </w:r>
      <w:r>
        <w:rPr>
          <w:i/>
          <w:sz w:val="20"/>
        </w:rPr>
        <w:t>a</w:t>
      </w:r>
      <w:r>
        <w:rPr>
          <w:i/>
          <w:spacing w:val="-4"/>
          <w:sz w:val="20"/>
        </w:rPr>
        <w:t> </w:t>
      </w:r>
      <w:r>
        <w:rPr>
          <w:i/>
          <w:sz w:val="20"/>
        </w:rPr>
        <w:t>white</w:t>
      </w:r>
      <w:r>
        <w:rPr>
          <w:i/>
          <w:spacing w:val="-7"/>
          <w:sz w:val="20"/>
        </w:rPr>
        <w:t> </w:t>
      </w:r>
      <w:r>
        <w:rPr>
          <w:i/>
          <w:sz w:val="20"/>
        </w:rPr>
        <w:t>beard?</w:t>
      </w:r>
      <w:r>
        <w:rPr>
          <w:i/>
          <w:spacing w:val="-4"/>
          <w:sz w:val="20"/>
        </w:rPr>
        <w:t> </w:t>
      </w:r>
      <w:r>
        <w:rPr>
          <w:i/>
          <w:sz w:val="20"/>
        </w:rPr>
        <w:t>They</w:t>
      </w:r>
      <w:r>
        <w:rPr>
          <w:i/>
          <w:spacing w:val="-5"/>
          <w:sz w:val="20"/>
        </w:rPr>
        <w:t> </w:t>
      </w:r>
      <w:r>
        <w:rPr>
          <w:i/>
          <w:sz w:val="20"/>
        </w:rPr>
        <w:t>flattered me like a dog, and told me I had white hairs in my beard ere the black ones were there. To say ‘ay’and ‘no’to</w:t>
      </w:r>
      <w:r>
        <w:rPr>
          <w:i/>
          <w:spacing w:val="-8"/>
          <w:sz w:val="20"/>
        </w:rPr>
        <w:t> </w:t>
      </w:r>
      <w:r>
        <w:rPr>
          <w:i/>
          <w:sz w:val="20"/>
        </w:rPr>
        <w:t>everything</w:t>
      </w:r>
      <w:r>
        <w:rPr>
          <w:i/>
          <w:spacing w:val="-9"/>
          <w:sz w:val="20"/>
        </w:rPr>
        <w:t> </w:t>
      </w:r>
      <w:r>
        <w:rPr>
          <w:i/>
          <w:sz w:val="20"/>
        </w:rPr>
        <w:t>I</w:t>
      </w:r>
      <w:r>
        <w:rPr>
          <w:i/>
          <w:spacing w:val="-8"/>
          <w:sz w:val="20"/>
        </w:rPr>
        <w:t> </w:t>
      </w:r>
      <w:r>
        <w:rPr>
          <w:i/>
          <w:sz w:val="20"/>
        </w:rPr>
        <w:t>said!</w:t>
      </w:r>
      <w:r>
        <w:rPr>
          <w:i/>
          <w:spacing w:val="-9"/>
          <w:sz w:val="20"/>
        </w:rPr>
        <w:t> </w:t>
      </w:r>
      <w:r>
        <w:rPr>
          <w:i/>
          <w:sz w:val="20"/>
        </w:rPr>
        <w:t>‘Ay’and</w:t>
      </w:r>
      <w:r>
        <w:rPr>
          <w:i/>
          <w:spacing w:val="-8"/>
          <w:sz w:val="20"/>
        </w:rPr>
        <w:t> </w:t>
      </w:r>
      <w:r>
        <w:rPr>
          <w:i/>
          <w:sz w:val="20"/>
        </w:rPr>
        <w:t>‘no’too</w:t>
      </w:r>
      <w:r>
        <w:rPr>
          <w:i/>
          <w:spacing w:val="-8"/>
          <w:sz w:val="20"/>
        </w:rPr>
        <w:t> </w:t>
      </w:r>
      <w:r>
        <w:rPr>
          <w:i/>
          <w:sz w:val="20"/>
        </w:rPr>
        <w:t>was</w:t>
      </w:r>
      <w:r>
        <w:rPr>
          <w:i/>
          <w:spacing w:val="-11"/>
          <w:sz w:val="20"/>
        </w:rPr>
        <w:t> </w:t>
      </w:r>
      <w:r>
        <w:rPr>
          <w:i/>
          <w:sz w:val="20"/>
        </w:rPr>
        <w:t>no</w:t>
      </w:r>
      <w:r>
        <w:rPr>
          <w:i/>
          <w:spacing w:val="-8"/>
          <w:sz w:val="20"/>
        </w:rPr>
        <w:t> </w:t>
      </w:r>
      <w:r>
        <w:rPr>
          <w:i/>
          <w:sz w:val="20"/>
        </w:rPr>
        <w:t>good divinity. When the rain came to wet me once, and the wind to make me chatter; when the thunder would</w:t>
      </w:r>
      <w:r>
        <w:rPr>
          <w:i/>
          <w:spacing w:val="80"/>
          <w:sz w:val="20"/>
        </w:rPr>
        <w:t> </w:t>
      </w:r>
      <w:r>
        <w:rPr>
          <w:i/>
          <w:sz w:val="20"/>
        </w:rPr>
        <w:t>not peace at my bidding; there I found ‘em, there I smelt ‘em out. Go to, they are not men o’their words! They told me I was everything. ‘Tis a lie —I am not </w:t>
      </w:r>
      <w:r>
        <w:rPr>
          <w:i/>
          <w:spacing w:val="-2"/>
          <w:sz w:val="20"/>
        </w:rPr>
        <w:t>ague-proof.</w:t>
      </w:r>
    </w:p>
    <w:p>
      <w:pPr>
        <w:spacing w:before="61"/>
        <w:ind w:left="2160" w:right="0" w:firstLine="0"/>
        <w:jc w:val="both"/>
        <w:rPr>
          <w:i/>
          <w:sz w:val="20"/>
        </w:rPr>
      </w:pPr>
      <w:r>
        <w:rPr>
          <w:i/>
          <w:sz w:val="20"/>
        </w:rPr>
        <w:t>—</w:t>
      </w:r>
      <w:r>
        <w:rPr>
          <w:sz w:val="20"/>
        </w:rPr>
        <w:t>King</w:t>
      </w:r>
      <w:r>
        <w:rPr>
          <w:spacing w:val="4"/>
          <w:sz w:val="20"/>
        </w:rPr>
        <w:t> </w:t>
      </w:r>
      <w:r>
        <w:rPr>
          <w:sz w:val="20"/>
        </w:rPr>
        <w:t>Lear</w:t>
      </w:r>
      <w:r>
        <w:rPr>
          <w:i/>
          <w:sz w:val="20"/>
        </w:rPr>
        <w:t>,</w:t>
      </w:r>
      <w:r>
        <w:rPr>
          <w:i/>
          <w:spacing w:val="7"/>
          <w:sz w:val="20"/>
        </w:rPr>
        <w:t> </w:t>
      </w:r>
      <w:r>
        <w:rPr>
          <w:i/>
          <w:sz w:val="20"/>
        </w:rPr>
        <w:t>Act</w:t>
      </w:r>
      <w:r>
        <w:rPr>
          <w:i/>
          <w:spacing w:val="5"/>
          <w:sz w:val="20"/>
        </w:rPr>
        <w:t> </w:t>
      </w:r>
      <w:r>
        <w:rPr>
          <w:i/>
          <w:sz w:val="20"/>
        </w:rPr>
        <w:t>IV,</w:t>
      </w:r>
      <w:r>
        <w:rPr>
          <w:i/>
          <w:spacing w:val="8"/>
          <w:sz w:val="20"/>
        </w:rPr>
        <w:t> </w:t>
      </w:r>
      <w:r>
        <w:rPr>
          <w:i/>
          <w:sz w:val="20"/>
        </w:rPr>
        <w:t>scene</w:t>
      </w:r>
      <w:r>
        <w:rPr>
          <w:i/>
          <w:spacing w:val="9"/>
          <w:sz w:val="20"/>
        </w:rPr>
        <w:t> </w:t>
      </w:r>
      <w:r>
        <w:rPr>
          <w:i/>
          <w:spacing w:val="-5"/>
          <w:sz w:val="20"/>
        </w:rPr>
        <w:t>vi</w:t>
      </w:r>
    </w:p>
    <w:p>
      <w:pPr>
        <w:pStyle w:val="BodyText"/>
        <w:spacing w:line="249" w:lineRule="auto" w:before="68"/>
        <w:ind w:right="1443" w:firstLine="432"/>
        <w:jc w:val="both"/>
      </w:pPr>
      <w:r>
        <w:rPr/>
        <w:t>His power is stripped away. Not taking virtue as a criterion for judgment and transferring the power to those who are heartless and without</w:t>
      </w:r>
      <w:r>
        <w:rPr>
          <w:spacing w:val="40"/>
        </w:rPr>
        <w:t> </w:t>
      </w:r>
      <w:r>
        <w:rPr/>
        <w:t>virtue</w:t>
      </w:r>
      <w:r>
        <w:rPr>
          <w:spacing w:val="40"/>
        </w:rPr>
        <w:t> </w:t>
      </w:r>
      <w:r>
        <w:rPr/>
        <w:t>can</w:t>
      </w:r>
      <w:r>
        <w:rPr>
          <w:spacing w:val="40"/>
        </w:rPr>
        <w:t> </w:t>
      </w:r>
      <w:r>
        <w:rPr/>
        <w:t>be</w:t>
      </w:r>
      <w:r>
        <w:rPr>
          <w:spacing w:val="40"/>
        </w:rPr>
        <w:t> </w:t>
      </w:r>
      <w:r>
        <w:rPr/>
        <w:t>said</w:t>
      </w:r>
      <w:r>
        <w:rPr>
          <w:spacing w:val="40"/>
        </w:rPr>
        <w:t> </w:t>
      </w:r>
      <w:r>
        <w:rPr/>
        <w:t>to</w:t>
      </w:r>
      <w:r>
        <w:rPr>
          <w:spacing w:val="40"/>
        </w:rPr>
        <w:t> </w:t>
      </w:r>
      <w:r>
        <w:rPr/>
        <w:t>be</w:t>
      </w:r>
      <w:r>
        <w:rPr>
          <w:spacing w:val="40"/>
        </w:rPr>
        <w:t> </w:t>
      </w:r>
      <w:r>
        <w:rPr/>
        <w:t>the</w:t>
      </w:r>
      <w:r>
        <w:rPr>
          <w:spacing w:val="40"/>
        </w:rPr>
        <w:t> </w:t>
      </w:r>
      <w:r>
        <w:rPr/>
        <w:t>root</w:t>
      </w:r>
      <w:r>
        <w:rPr>
          <w:spacing w:val="40"/>
        </w:rPr>
        <w:t> </w:t>
      </w:r>
      <w:r>
        <w:rPr/>
        <w:t>of</w:t>
      </w:r>
      <w:r>
        <w:rPr>
          <w:spacing w:val="39"/>
        </w:rPr>
        <w:t> </w:t>
      </w:r>
      <w:r>
        <w:rPr/>
        <w:t>his</w:t>
      </w:r>
      <w:r>
        <w:rPr>
          <w:spacing w:val="40"/>
        </w:rPr>
        <w:t> </w:t>
      </w:r>
      <w:r>
        <w:rPr/>
        <w:t>tragedy.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1760">
                <wp:simplePos x="0" y="0"/>
                <wp:positionH relativeFrom="page">
                  <wp:posOffset>2057400</wp:posOffset>
                </wp:positionH>
                <wp:positionV relativeFrom="paragraph">
                  <wp:posOffset>162604</wp:posOffset>
                </wp:positionV>
                <wp:extent cx="3657600" cy="12700"/>
                <wp:effectExtent l="0" t="0" r="0" b="0"/>
                <wp:wrapTopAndBottom/>
                <wp:docPr id="739" name="Graphic 739"/>
                <wp:cNvGraphicFramePr>
                  <a:graphicFrameLocks/>
                </wp:cNvGraphicFramePr>
                <a:graphic>
                  <a:graphicData uri="http://schemas.microsoft.com/office/word/2010/wordprocessingShape">
                    <wps:wsp>
                      <wps:cNvPr id="739" name="Graphic 73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54720;mso-wrap-distance-left:0;mso-wrap-distance-right:0" id="docshape731" filled="true" fillcolor="#000000" stroked="false">
                <v:fill type="solid"/>
                <w10:wrap type="topAndBottom"/>
              </v:rect>
            </w:pict>
          </mc:Fallback>
        </mc:AlternateContent>
      </w:r>
      <w:r>
        <w:rPr>
          <w:rFonts w:ascii="Verdana"/>
          <w:spacing w:val="-5"/>
          <w:sz w:val="18"/>
        </w:rPr>
        <w:t>370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firstLine="432"/>
        <w:jc w:val="both"/>
      </w:pPr>
      <w:r>
        <w:rPr/>
        <w:t>When Cordelia, who has been stripped of her inheritance rights and married into France, learns that King Lear has been abused by his eldest</w:t>
      </w:r>
      <w:r>
        <w:rPr>
          <w:spacing w:val="-6"/>
        </w:rPr>
        <w:t> </w:t>
      </w:r>
      <w:r>
        <w:rPr/>
        <w:t>daughter</w:t>
      </w:r>
      <w:r>
        <w:rPr>
          <w:spacing w:val="-4"/>
        </w:rPr>
        <w:t> </w:t>
      </w:r>
      <w:r>
        <w:rPr/>
        <w:t>Goneril</w:t>
      </w:r>
      <w:r>
        <w:rPr>
          <w:spacing w:val="-6"/>
        </w:rPr>
        <w:t> </w:t>
      </w:r>
      <w:r>
        <w:rPr/>
        <w:t>and</w:t>
      </w:r>
      <w:r>
        <w:rPr>
          <w:spacing w:val="-3"/>
        </w:rPr>
        <w:t> </w:t>
      </w:r>
      <w:r>
        <w:rPr/>
        <w:t>second</w:t>
      </w:r>
      <w:r>
        <w:rPr>
          <w:spacing w:val="-6"/>
        </w:rPr>
        <w:t> </w:t>
      </w:r>
      <w:r>
        <w:rPr/>
        <w:t>daughter</w:t>
      </w:r>
      <w:r>
        <w:rPr>
          <w:spacing w:val="-4"/>
        </w:rPr>
        <w:t> </w:t>
      </w:r>
      <w:r>
        <w:rPr/>
        <w:t>Reagan,</w:t>
      </w:r>
      <w:r>
        <w:rPr>
          <w:spacing w:val="-6"/>
        </w:rPr>
        <w:t> </w:t>
      </w:r>
      <w:r>
        <w:rPr/>
        <w:t>Cordelia</w:t>
      </w:r>
      <w:r>
        <w:rPr>
          <w:spacing w:val="-5"/>
        </w:rPr>
        <w:t> </w:t>
      </w:r>
      <w:r>
        <w:rPr/>
        <w:t>leads</w:t>
      </w:r>
      <w:r>
        <w:rPr>
          <w:spacing w:val="-8"/>
        </w:rPr>
        <w:t> </w:t>
      </w:r>
      <w:r>
        <w:rPr/>
        <w:t>the French army to try to seek justice for King Lear, but is defeated and captured. The following is a conversation between Cordelia and King Lear</w:t>
      </w:r>
      <w:r>
        <w:rPr>
          <w:spacing w:val="40"/>
        </w:rPr>
        <w:t> </w:t>
      </w:r>
      <w:r>
        <w:rPr/>
        <w:t>after she is captured:</w:t>
      </w:r>
    </w:p>
    <w:p>
      <w:pPr>
        <w:tabs>
          <w:tab w:pos="3518" w:val="left" w:leader="none"/>
        </w:tabs>
        <w:spacing w:line="249" w:lineRule="auto" w:before="63"/>
        <w:ind w:left="2160" w:right="2159" w:firstLine="0"/>
        <w:jc w:val="left"/>
        <w:rPr>
          <w:i/>
          <w:sz w:val="20"/>
        </w:rPr>
      </w:pPr>
      <w:r>
        <w:rPr>
          <w:i/>
          <w:spacing w:val="-2"/>
          <w:sz w:val="20"/>
        </w:rPr>
        <w:t>CORDELIA:</w:t>
      </w:r>
      <w:r>
        <w:rPr>
          <w:i/>
          <w:sz w:val="20"/>
        </w:rPr>
        <w:tab/>
        <w:t>We</w:t>
      </w:r>
      <w:r>
        <w:rPr>
          <w:i/>
          <w:spacing w:val="21"/>
          <w:sz w:val="20"/>
        </w:rPr>
        <w:t> </w:t>
      </w:r>
      <w:r>
        <w:rPr>
          <w:i/>
          <w:sz w:val="20"/>
        </w:rPr>
        <w:t>are</w:t>
      </w:r>
      <w:r>
        <w:rPr>
          <w:i/>
          <w:spacing w:val="18"/>
          <w:sz w:val="20"/>
        </w:rPr>
        <w:t> </w:t>
      </w:r>
      <w:r>
        <w:rPr>
          <w:i/>
          <w:sz w:val="20"/>
        </w:rPr>
        <w:t>not</w:t>
      </w:r>
      <w:r>
        <w:rPr>
          <w:i/>
          <w:spacing w:val="20"/>
          <w:sz w:val="20"/>
        </w:rPr>
        <w:t> </w:t>
      </w:r>
      <w:r>
        <w:rPr>
          <w:i/>
          <w:sz w:val="20"/>
        </w:rPr>
        <w:t>the</w:t>
      </w:r>
      <w:r>
        <w:rPr>
          <w:i/>
          <w:spacing w:val="20"/>
          <w:sz w:val="20"/>
        </w:rPr>
        <w:t> </w:t>
      </w:r>
      <w:r>
        <w:rPr>
          <w:i/>
          <w:sz w:val="20"/>
        </w:rPr>
        <w:t>first</w:t>
      </w:r>
      <w:r>
        <w:rPr>
          <w:i/>
          <w:spacing w:val="20"/>
          <w:sz w:val="20"/>
        </w:rPr>
        <w:t> </w:t>
      </w:r>
      <w:r>
        <w:rPr>
          <w:i/>
          <w:sz w:val="20"/>
        </w:rPr>
        <w:t>.Who</w:t>
      </w:r>
      <w:r>
        <w:rPr>
          <w:i/>
          <w:spacing w:val="22"/>
          <w:sz w:val="20"/>
        </w:rPr>
        <w:t> </w:t>
      </w:r>
      <w:r>
        <w:rPr>
          <w:i/>
          <w:sz w:val="20"/>
        </w:rPr>
        <w:t>with</w:t>
      </w:r>
      <w:r>
        <w:rPr>
          <w:i/>
          <w:spacing w:val="22"/>
          <w:sz w:val="20"/>
        </w:rPr>
        <w:t> </w:t>
      </w:r>
      <w:r>
        <w:rPr>
          <w:i/>
          <w:sz w:val="20"/>
        </w:rPr>
        <w:t>best meaning</w:t>
      </w:r>
      <w:r>
        <w:rPr>
          <w:i/>
          <w:spacing w:val="40"/>
          <w:sz w:val="20"/>
        </w:rPr>
        <w:t> </w:t>
      </w:r>
      <w:r>
        <w:rPr>
          <w:i/>
          <w:sz w:val="20"/>
        </w:rPr>
        <w:t>have</w:t>
      </w:r>
      <w:r>
        <w:rPr>
          <w:i/>
          <w:spacing w:val="40"/>
          <w:sz w:val="20"/>
        </w:rPr>
        <w:t> </w:t>
      </w:r>
      <w:r>
        <w:rPr>
          <w:i/>
          <w:sz w:val="20"/>
        </w:rPr>
        <w:t>incurred</w:t>
      </w:r>
      <w:r>
        <w:rPr>
          <w:i/>
          <w:spacing w:val="40"/>
          <w:sz w:val="20"/>
        </w:rPr>
        <w:t> </w:t>
      </w:r>
      <w:r>
        <w:rPr>
          <w:i/>
          <w:sz w:val="20"/>
        </w:rPr>
        <w:t>the</w:t>
      </w:r>
      <w:r>
        <w:rPr>
          <w:i/>
          <w:spacing w:val="40"/>
          <w:sz w:val="20"/>
        </w:rPr>
        <w:t> </w:t>
      </w:r>
      <w:r>
        <w:rPr>
          <w:i/>
          <w:sz w:val="20"/>
        </w:rPr>
        <w:t>worst.</w:t>
      </w:r>
    </w:p>
    <w:p>
      <w:pPr>
        <w:spacing w:before="59"/>
        <w:ind w:left="2160" w:right="0" w:firstLine="0"/>
        <w:jc w:val="left"/>
        <w:rPr>
          <w:i/>
          <w:sz w:val="20"/>
        </w:rPr>
      </w:pPr>
      <w:r>
        <w:rPr>
          <w:i/>
          <w:sz w:val="20"/>
        </w:rPr>
        <w:t>For</w:t>
      </w:r>
      <w:r>
        <w:rPr>
          <w:i/>
          <w:spacing w:val="28"/>
          <w:sz w:val="20"/>
        </w:rPr>
        <w:t> </w:t>
      </w:r>
      <w:r>
        <w:rPr>
          <w:i/>
          <w:sz w:val="20"/>
        </w:rPr>
        <w:t>thee,</w:t>
      </w:r>
      <w:r>
        <w:rPr>
          <w:i/>
          <w:spacing w:val="28"/>
          <w:sz w:val="20"/>
        </w:rPr>
        <w:t> </w:t>
      </w:r>
      <w:r>
        <w:rPr>
          <w:i/>
          <w:sz w:val="20"/>
        </w:rPr>
        <w:t>oppressèd</w:t>
      </w:r>
      <w:r>
        <w:rPr>
          <w:i/>
          <w:spacing w:val="30"/>
          <w:sz w:val="20"/>
        </w:rPr>
        <w:t> </w:t>
      </w:r>
      <w:r>
        <w:rPr>
          <w:i/>
          <w:sz w:val="20"/>
        </w:rPr>
        <w:t>king,</w:t>
      </w:r>
      <w:r>
        <w:rPr>
          <w:i/>
          <w:spacing w:val="32"/>
          <w:sz w:val="20"/>
        </w:rPr>
        <w:t> </w:t>
      </w:r>
      <w:r>
        <w:rPr>
          <w:i/>
          <w:sz w:val="20"/>
        </w:rPr>
        <w:t>am</w:t>
      </w:r>
      <w:r>
        <w:rPr>
          <w:i/>
          <w:spacing w:val="31"/>
          <w:sz w:val="20"/>
        </w:rPr>
        <w:t> </w:t>
      </w:r>
      <w:r>
        <w:rPr>
          <w:i/>
          <w:sz w:val="20"/>
        </w:rPr>
        <w:t>I</w:t>
      </w:r>
      <w:r>
        <w:rPr>
          <w:i/>
          <w:spacing w:val="28"/>
          <w:sz w:val="20"/>
        </w:rPr>
        <w:t> </w:t>
      </w:r>
      <w:r>
        <w:rPr>
          <w:i/>
          <w:sz w:val="20"/>
        </w:rPr>
        <w:t>cast</w:t>
      </w:r>
      <w:r>
        <w:rPr>
          <w:i/>
          <w:spacing w:val="28"/>
          <w:sz w:val="20"/>
        </w:rPr>
        <w:t> </w:t>
      </w:r>
      <w:r>
        <w:rPr>
          <w:i/>
          <w:spacing w:val="-4"/>
          <w:sz w:val="20"/>
        </w:rPr>
        <w:t>down;</w:t>
      </w:r>
    </w:p>
    <w:p>
      <w:pPr>
        <w:spacing w:line="312" w:lineRule="auto" w:before="68"/>
        <w:ind w:left="2215" w:right="2159" w:hanging="56"/>
        <w:jc w:val="left"/>
        <w:rPr>
          <w:i/>
          <w:sz w:val="20"/>
        </w:rPr>
      </w:pPr>
      <w:r>
        <w:rPr>
          <w:i/>
          <w:sz w:val="20"/>
        </w:rPr>
        <w:t>Myself</w:t>
      </w:r>
      <w:r>
        <w:rPr>
          <w:i/>
          <w:spacing w:val="19"/>
          <w:sz w:val="20"/>
        </w:rPr>
        <w:t> </w:t>
      </w:r>
      <w:r>
        <w:rPr>
          <w:i/>
          <w:sz w:val="20"/>
        </w:rPr>
        <w:t>could</w:t>
      </w:r>
      <w:r>
        <w:rPr>
          <w:i/>
          <w:spacing w:val="19"/>
          <w:sz w:val="20"/>
        </w:rPr>
        <w:t> </w:t>
      </w:r>
      <w:r>
        <w:rPr>
          <w:i/>
          <w:sz w:val="20"/>
        </w:rPr>
        <w:t>else</w:t>
      </w:r>
      <w:r>
        <w:rPr>
          <w:i/>
          <w:spacing w:val="20"/>
          <w:sz w:val="20"/>
        </w:rPr>
        <w:t> </w:t>
      </w:r>
      <w:r>
        <w:rPr>
          <w:i/>
          <w:sz w:val="20"/>
        </w:rPr>
        <w:t>out</w:t>
      </w:r>
      <w:r>
        <w:rPr>
          <w:i/>
          <w:spacing w:val="15"/>
          <w:sz w:val="20"/>
        </w:rPr>
        <w:t> </w:t>
      </w:r>
      <w:r>
        <w:rPr>
          <w:i/>
          <w:sz w:val="20"/>
        </w:rPr>
        <w:t>frown</w:t>
      </w:r>
      <w:r>
        <w:rPr>
          <w:i/>
          <w:spacing w:val="20"/>
          <w:sz w:val="20"/>
        </w:rPr>
        <w:t> </w:t>
      </w:r>
      <w:r>
        <w:rPr>
          <w:i/>
          <w:sz w:val="20"/>
        </w:rPr>
        <w:t>false</w:t>
      </w:r>
      <w:r>
        <w:rPr>
          <w:i/>
          <w:spacing w:val="16"/>
          <w:sz w:val="20"/>
        </w:rPr>
        <w:t> </w:t>
      </w:r>
      <w:r>
        <w:rPr>
          <w:i/>
          <w:sz w:val="20"/>
        </w:rPr>
        <w:t>Fortune’s</w:t>
      </w:r>
      <w:r>
        <w:rPr>
          <w:i/>
          <w:spacing w:val="19"/>
          <w:sz w:val="20"/>
        </w:rPr>
        <w:t> </w:t>
      </w:r>
      <w:r>
        <w:rPr>
          <w:i/>
          <w:sz w:val="20"/>
        </w:rPr>
        <w:t>frown. </w:t>
      </w:r>
      <w:r>
        <w:rPr>
          <w:i/>
          <w:spacing w:val="-2"/>
          <w:sz w:val="20"/>
        </w:rPr>
        <w:t>LEAR:</w:t>
      </w:r>
    </w:p>
    <w:p>
      <w:pPr>
        <w:spacing w:line="172" w:lineRule="exact" w:before="0"/>
        <w:ind w:left="2160" w:right="0" w:firstLine="0"/>
        <w:jc w:val="left"/>
        <w:rPr>
          <w:i/>
          <w:sz w:val="20"/>
        </w:rPr>
      </w:pPr>
      <w:r>
        <w:rPr>
          <w:i/>
          <w:sz w:val="20"/>
        </w:rPr>
        <w:t>Shall</w:t>
      </w:r>
      <w:r>
        <w:rPr>
          <w:i/>
          <w:spacing w:val="25"/>
          <w:sz w:val="20"/>
        </w:rPr>
        <w:t> </w:t>
      </w:r>
      <w:r>
        <w:rPr>
          <w:i/>
          <w:sz w:val="20"/>
        </w:rPr>
        <w:t>we</w:t>
      </w:r>
      <w:r>
        <w:rPr>
          <w:i/>
          <w:spacing w:val="29"/>
          <w:sz w:val="20"/>
        </w:rPr>
        <w:t> </w:t>
      </w:r>
      <w:r>
        <w:rPr>
          <w:i/>
          <w:sz w:val="20"/>
        </w:rPr>
        <w:t>not</w:t>
      </w:r>
      <w:r>
        <w:rPr>
          <w:i/>
          <w:spacing w:val="26"/>
          <w:sz w:val="20"/>
        </w:rPr>
        <w:t> </w:t>
      </w:r>
      <w:r>
        <w:rPr>
          <w:i/>
          <w:sz w:val="20"/>
        </w:rPr>
        <w:t>see</w:t>
      </w:r>
      <w:r>
        <w:rPr>
          <w:i/>
          <w:spacing w:val="29"/>
          <w:sz w:val="20"/>
        </w:rPr>
        <w:t> </w:t>
      </w:r>
      <w:r>
        <w:rPr>
          <w:i/>
          <w:sz w:val="20"/>
        </w:rPr>
        <w:t>these</w:t>
      </w:r>
      <w:r>
        <w:rPr>
          <w:i/>
          <w:spacing w:val="26"/>
          <w:sz w:val="20"/>
        </w:rPr>
        <w:t> </w:t>
      </w:r>
      <w:r>
        <w:rPr>
          <w:i/>
          <w:sz w:val="20"/>
        </w:rPr>
        <w:t>daughters</w:t>
      </w:r>
      <w:r>
        <w:rPr>
          <w:i/>
          <w:spacing w:val="27"/>
          <w:sz w:val="20"/>
        </w:rPr>
        <w:t> </w:t>
      </w:r>
      <w:r>
        <w:rPr>
          <w:i/>
          <w:sz w:val="20"/>
        </w:rPr>
        <w:t>and</w:t>
      </w:r>
      <w:r>
        <w:rPr>
          <w:i/>
          <w:spacing w:val="28"/>
          <w:sz w:val="20"/>
        </w:rPr>
        <w:t> </w:t>
      </w:r>
      <w:r>
        <w:rPr>
          <w:i/>
          <w:sz w:val="20"/>
        </w:rPr>
        <w:t>these</w:t>
      </w:r>
      <w:r>
        <w:rPr>
          <w:i/>
          <w:spacing w:val="28"/>
          <w:sz w:val="20"/>
        </w:rPr>
        <w:t> </w:t>
      </w:r>
      <w:r>
        <w:rPr>
          <w:i/>
          <w:spacing w:val="-2"/>
          <w:sz w:val="20"/>
        </w:rPr>
        <w:t>sisters?</w:t>
      </w:r>
    </w:p>
    <w:p>
      <w:pPr>
        <w:spacing w:line="309" w:lineRule="auto" w:before="67"/>
        <w:ind w:left="2160" w:right="2764" w:firstLine="0"/>
        <w:jc w:val="left"/>
        <w:rPr>
          <w:i/>
          <w:sz w:val="20"/>
        </w:rPr>
      </w:pPr>
      <w:r>
        <w:rPr>
          <w:i/>
          <w:sz w:val="20"/>
        </w:rPr>
        <w:t>No,</w:t>
      </w:r>
      <w:r>
        <w:rPr>
          <w:i/>
          <w:spacing w:val="22"/>
          <w:sz w:val="20"/>
        </w:rPr>
        <w:t> </w:t>
      </w:r>
      <w:r>
        <w:rPr>
          <w:i/>
          <w:sz w:val="20"/>
        </w:rPr>
        <w:t>no,</w:t>
      </w:r>
      <w:r>
        <w:rPr>
          <w:i/>
          <w:spacing w:val="22"/>
          <w:sz w:val="20"/>
        </w:rPr>
        <w:t> </w:t>
      </w:r>
      <w:r>
        <w:rPr>
          <w:i/>
          <w:sz w:val="20"/>
        </w:rPr>
        <w:t>no,</w:t>
      </w:r>
      <w:r>
        <w:rPr>
          <w:i/>
          <w:spacing w:val="22"/>
          <w:sz w:val="20"/>
        </w:rPr>
        <w:t> </w:t>
      </w:r>
      <w:r>
        <w:rPr>
          <w:i/>
          <w:sz w:val="20"/>
        </w:rPr>
        <w:t>no!</w:t>
      </w:r>
      <w:r>
        <w:rPr>
          <w:i/>
          <w:spacing w:val="21"/>
          <w:sz w:val="20"/>
        </w:rPr>
        <w:t> </w:t>
      </w:r>
      <w:r>
        <w:rPr>
          <w:i/>
          <w:sz w:val="20"/>
        </w:rPr>
        <w:t>Come,</w:t>
      </w:r>
      <w:r>
        <w:rPr>
          <w:i/>
          <w:spacing w:val="22"/>
          <w:sz w:val="20"/>
        </w:rPr>
        <w:t> </w:t>
      </w:r>
      <w:r>
        <w:rPr>
          <w:i/>
          <w:sz w:val="20"/>
        </w:rPr>
        <w:t>let’s</w:t>
      </w:r>
      <w:r>
        <w:rPr>
          <w:i/>
          <w:spacing w:val="22"/>
          <w:sz w:val="20"/>
        </w:rPr>
        <w:t> </w:t>
      </w:r>
      <w:r>
        <w:rPr>
          <w:i/>
          <w:sz w:val="20"/>
        </w:rPr>
        <w:t>away</w:t>
      </w:r>
      <w:r>
        <w:rPr>
          <w:i/>
          <w:spacing w:val="22"/>
          <w:sz w:val="20"/>
        </w:rPr>
        <w:t> </w:t>
      </w:r>
      <w:r>
        <w:rPr>
          <w:i/>
          <w:sz w:val="20"/>
        </w:rPr>
        <w:t>to</w:t>
      </w:r>
      <w:r>
        <w:rPr>
          <w:i/>
          <w:spacing w:val="24"/>
          <w:sz w:val="20"/>
        </w:rPr>
        <w:t> </w:t>
      </w:r>
      <w:r>
        <w:rPr>
          <w:i/>
          <w:sz w:val="20"/>
        </w:rPr>
        <w:t>prison. We</w:t>
      </w:r>
      <w:r>
        <w:rPr>
          <w:i/>
          <w:spacing w:val="34"/>
          <w:sz w:val="20"/>
        </w:rPr>
        <w:t> </w:t>
      </w:r>
      <w:r>
        <w:rPr>
          <w:i/>
          <w:sz w:val="20"/>
        </w:rPr>
        <w:t>two</w:t>
      </w:r>
      <w:r>
        <w:rPr>
          <w:i/>
          <w:spacing w:val="33"/>
          <w:sz w:val="20"/>
        </w:rPr>
        <w:t> </w:t>
      </w:r>
      <w:r>
        <w:rPr>
          <w:i/>
          <w:sz w:val="20"/>
        </w:rPr>
        <w:t>alone</w:t>
      </w:r>
      <w:r>
        <w:rPr>
          <w:i/>
          <w:spacing w:val="33"/>
          <w:sz w:val="20"/>
        </w:rPr>
        <w:t> </w:t>
      </w:r>
      <w:r>
        <w:rPr>
          <w:i/>
          <w:sz w:val="20"/>
        </w:rPr>
        <w:t>will</w:t>
      </w:r>
      <w:r>
        <w:rPr>
          <w:i/>
          <w:spacing w:val="30"/>
          <w:sz w:val="20"/>
        </w:rPr>
        <w:t> </w:t>
      </w:r>
      <w:r>
        <w:rPr>
          <w:i/>
          <w:sz w:val="20"/>
        </w:rPr>
        <w:t>sing</w:t>
      </w:r>
      <w:r>
        <w:rPr>
          <w:i/>
          <w:spacing w:val="33"/>
          <w:sz w:val="20"/>
        </w:rPr>
        <w:t> </w:t>
      </w:r>
      <w:r>
        <w:rPr>
          <w:i/>
          <w:sz w:val="20"/>
        </w:rPr>
        <w:t>like</w:t>
      </w:r>
      <w:r>
        <w:rPr>
          <w:i/>
          <w:spacing w:val="32"/>
          <w:sz w:val="20"/>
        </w:rPr>
        <w:t> </w:t>
      </w:r>
      <w:r>
        <w:rPr>
          <w:i/>
          <w:sz w:val="20"/>
        </w:rPr>
        <w:t>birds</w:t>
      </w:r>
      <w:r>
        <w:rPr>
          <w:i/>
          <w:spacing w:val="31"/>
          <w:sz w:val="20"/>
        </w:rPr>
        <w:t> </w:t>
      </w:r>
      <w:r>
        <w:rPr>
          <w:i/>
          <w:spacing w:val="-2"/>
          <w:sz w:val="20"/>
        </w:rPr>
        <w:t>i’th’cage.</w:t>
      </w:r>
    </w:p>
    <w:p>
      <w:pPr>
        <w:spacing w:line="309" w:lineRule="auto" w:before="2"/>
        <w:ind w:left="2160" w:right="2159" w:firstLine="0"/>
        <w:jc w:val="left"/>
        <w:rPr>
          <w:i/>
          <w:sz w:val="20"/>
        </w:rPr>
      </w:pPr>
      <w:r>
        <w:rPr>
          <w:i/>
          <w:sz w:val="20"/>
        </w:rPr>
        <w:t>When</w:t>
      </w:r>
      <w:r>
        <w:rPr>
          <w:i/>
          <w:spacing w:val="31"/>
          <w:sz w:val="20"/>
        </w:rPr>
        <w:t> </w:t>
      </w:r>
      <w:r>
        <w:rPr>
          <w:i/>
          <w:sz w:val="20"/>
        </w:rPr>
        <w:t>thou</w:t>
      </w:r>
      <w:r>
        <w:rPr>
          <w:i/>
          <w:spacing w:val="33"/>
          <w:sz w:val="20"/>
        </w:rPr>
        <w:t> </w:t>
      </w:r>
      <w:r>
        <w:rPr>
          <w:i/>
          <w:sz w:val="20"/>
        </w:rPr>
        <w:t>dost</w:t>
      </w:r>
      <w:r>
        <w:rPr>
          <w:i/>
          <w:spacing w:val="31"/>
          <w:sz w:val="20"/>
        </w:rPr>
        <w:t> </w:t>
      </w:r>
      <w:r>
        <w:rPr>
          <w:i/>
          <w:sz w:val="20"/>
        </w:rPr>
        <w:t>ask</w:t>
      </w:r>
      <w:r>
        <w:rPr>
          <w:i/>
          <w:spacing w:val="28"/>
          <w:sz w:val="20"/>
        </w:rPr>
        <w:t> </w:t>
      </w:r>
      <w:r>
        <w:rPr>
          <w:i/>
          <w:sz w:val="20"/>
        </w:rPr>
        <w:t>me</w:t>
      </w:r>
      <w:r>
        <w:rPr>
          <w:i/>
          <w:spacing w:val="30"/>
          <w:sz w:val="20"/>
        </w:rPr>
        <w:t> </w:t>
      </w:r>
      <w:r>
        <w:rPr>
          <w:i/>
          <w:sz w:val="20"/>
        </w:rPr>
        <w:t>blessing,</w:t>
      </w:r>
      <w:r>
        <w:rPr>
          <w:i/>
          <w:spacing w:val="31"/>
          <w:sz w:val="20"/>
        </w:rPr>
        <w:t> </w:t>
      </w:r>
      <w:r>
        <w:rPr>
          <w:i/>
          <w:sz w:val="20"/>
        </w:rPr>
        <w:t>I’ll</w:t>
      </w:r>
      <w:r>
        <w:rPr>
          <w:i/>
          <w:spacing w:val="29"/>
          <w:sz w:val="20"/>
        </w:rPr>
        <w:t> </w:t>
      </w:r>
      <w:r>
        <w:rPr>
          <w:i/>
          <w:sz w:val="20"/>
        </w:rPr>
        <w:t>kneel</w:t>
      </w:r>
      <w:r>
        <w:rPr>
          <w:i/>
          <w:spacing w:val="29"/>
          <w:sz w:val="20"/>
        </w:rPr>
        <w:t> </w:t>
      </w:r>
      <w:r>
        <w:rPr>
          <w:i/>
          <w:sz w:val="20"/>
        </w:rPr>
        <w:t>down And</w:t>
      </w:r>
      <w:r>
        <w:rPr>
          <w:i/>
          <w:spacing w:val="40"/>
          <w:sz w:val="20"/>
        </w:rPr>
        <w:t> </w:t>
      </w:r>
      <w:r>
        <w:rPr>
          <w:i/>
          <w:sz w:val="20"/>
        </w:rPr>
        <w:t>ask</w:t>
      </w:r>
      <w:r>
        <w:rPr>
          <w:i/>
          <w:spacing w:val="40"/>
          <w:sz w:val="20"/>
        </w:rPr>
        <w:t> </w:t>
      </w:r>
      <w:r>
        <w:rPr>
          <w:i/>
          <w:sz w:val="20"/>
        </w:rPr>
        <w:t>of</w:t>
      </w:r>
      <w:r>
        <w:rPr>
          <w:i/>
          <w:spacing w:val="40"/>
          <w:sz w:val="20"/>
        </w:rPr>
        <w:t> </w:t>
      </w:r>
      <w:r>
        <w:rPr>
          <w:i/>
          <w:sz w:val="20"/>
        </w:rPr>
        <w:t>thee</w:t>
      </w:r>
      <w:r>
        <w:rPr>
          <w:i/>
          <w:spacing w:val="40"/>
          <w:sz w:val="20"/>
        </w:rPr>
        <w:t> </w:t>
      </w:r>
      <w:r>
        <w:rPr>
          <w:i/>
          <w:sz w:val="20"/>
        </w:rPr>
        <w:t>forgiveness.</w:t>
      </w:r>
      <w:r>
        <w:rPr>
          <w:i/>
          <w:spacing w:val="40"/>
          <w:sz w:val="20"/>
        </w:rPr>
        <w:t> </w:t>
      </w:r>
      <w:r>
        <w:rPr>
          <w:i/>
          <w:sz w:val="20"/>
        </w:rPr>
        <w:t>So</w:t>
      </w:r>
      <w:r>
        <w:rPr>
          <w:i/>
          <w:spacing w:val="40"/>
          <w:sz w:val="20"/>
        </w:rPr>
        <w:t> </w:t>
      </w:r>
      <w:r>
        <w:rPr>
          <w:i/>
          <w:sz w:val="20"/>
        </w:rPr>
        <w:t>we’ll</w:t>
      </w:r>
      <w:r>
        <w:rPr>
          <w:i/>
          <w:spacing w:val="40"/>
          <w:sz w:val="20"/>
        </w:rPr>
        <w:t> </w:t>
      </w:r>
      <w:r>
        <w:rPr>
          <w:i/>
          <w:sz w:val="20"/>
        </w:rPr>
        <w:t>live,</w:t>
      </w:r>
    </w:p>
    <w:p>
      <w:pPr>
        <w:spacing w:line="312" w:lineRule="auto" w:before="2"/>
        <w:ind w:left="2160" w:right="2165" w:firstLine="0"/>
        <w:jc w:val="left"/>
        <w:rPr>
          <w:i/>
          <w:sz w:val="20"/>
        </w:rPr>
      </w:pPr>
      <w:r>
        <w:rPr>
          <w:i/>
          <w:sz w:val="20"/>
        </w:rPr>
        <w:t>And</w:t>
      </w:r>
      <w:r>
        <w:rPr>
          <w:i/>
          <w:spacing w:val="32"/>
          <w:sz w:val="20"/>
        </w:rPr>
        <w:t> </w:t>
      </w:r>
      <w:r>
        <w:rPr>
          <w:i/>
          <w:sz w:val="20"/>
        </w:rPr>
        <w:t>pray,</w:t>
      </w:r>
      <w:r>
        <w:rPr>
          <w:i/>
          <w:spacing w:val="32"/>
          <w:sz w:val="20"/>
        </w:rPr>
        <w:t> </w:t>
      </w:r>
      <w:r>
        <w:rPr>
          <w:i/>
          <w:sz w:val="20"/>
        </w:rPr>
        <w:t>and</w:t>
      </w:r>
      <w:r>
        <w:rPr>
          <w:i/>
          <w:spacing w:val="34"/>
          <w:sz w:val="20"/>
        </w:rPr>
        <w:t> </w:t>
      </w:r>
      <w:r>
        <w:rPr>
          <w:i/>
          <w:sz w:val="20"/>
        </w:rPr>
        <w:t>sing,</w:t>
      </w:r>
      <w:r>
        <w:rPr>
          <w:i/>
          <w:spacing w:val="32"/>
          <w:sz w:val="20"/>
        </w:rPr>
        <w:t> </w:t>
      </w:r>
      <w:r>
        <w:rPr>
          <w:i/>
          <w:sz w:val="20"/>
        </w:rPr>
        <w:t>and</w:t>
      </w:r>
      <w:r>
        <w:rPr>
          <w:i/>
          <w:spacing w:val="32"/>
          <w:sz w:val="20"/>
        </w:rPr>
        <w:t> </w:t>
      </w:r>
      <w:r>
        <w:rPr>
          <w:i/>
          <w:sz w:val="20"/>
        </w:rPr>
        <w:t>tell</w:t>
      </w:r>
      <w:r>
        <w:rPr>
          <w:i/>
          <w:spacing w:val="30"/>
          <w:sz w:val="20"/>
        </w:rPr>
        <w:t> </w:t>
      </w:r>
      <w:r>
        <w:rPr>
          <w:i/>
          <w:sz w:val="20"/>
        </w:rPr>
        <w:t>old</w:t>
      </w:r>
      <w:r>
        <w:rPr>
          <w:i/>
          <w:spacing w:val="34"/>
          <w:sz w:val="20"/>
        </w:rPr>
        <w:t> </w:t>
      </w:r>
      <w:r>
        <w:rPr>
          <w:i/>
          <w:sz w:val="20"/>
        </w:rPr>
        <w:t>tales,</w:t>
      </w:r>
      <w:r>
        <w:rPr>
          <w:i/>
          <w:spacing w:val="32"/>
          <w:sz w:val="20"/>
        </w:rPr>
        <w:t> </w:t>
      </w:r>
      <w:r>
        <w:rPr>
          <w:i/>
          <w:sz w:val="20"/>
        </w:rPr>
        <w:t>and</w:t>
      </w:r>
      <w:r>
        <w:rPr>
          <w:i/>
          <w:spacing w:val="32"/>
          <w:sz w:val="20"/>
        </w:rPr>
        <w:t> </w:t>
      </w:r>
      <w:r>
        <w:rPr>
          <w:i/>
          <w:sz w:val="20"/>
        </w:rPr>
        <w:t>laugh At</w:t>
      </w:r>
      <w:r>
        <w:rPr>
          <w:i/>
          <w:spacing w:val="40"/>
          <w:sz w:val="20"/>
        </w:rPr>
        <w:t> </w:t>
      </w:r>
      <w:r>
        <w:rPr>
          <w:i/>
          <w:sz w:val="20"/>
        </w:rPr>
        <w:t>gilded</w:t>
      </w:r>
      <w:r>
        <w:rPr>
          <w:i/>
          <w:spacing w:val="40"/>
          <w:sz w:val="20"/>
        </w:rPr>
        <w:t> </w:t>
      </w:r>
      <w:r>
        <w:rPr>
          <w:i/>
          <w:sz w:val="20"/>
        </w:rPr>
        <w:t>butterflies,</w:t>
      </w:r>
      <w:r>
        <w:rPr>
          <w:i/>
          <w:spacing w:val="40"/>
          <w:sz w:val="20"/>
        </w:rPr>
        <w:t> </w:t>
      </w:r>
      <w:r>
        <w:rPr>
          <w:i/>
          <w:sz w:val="20"/>
        </w:rPr>
        <w:t>and</w:t>
      </w:r>
      <w:r>
        <w:rPr>
          <w:i/>
          <w:spacing w:val="40"/>
          <w:sz w:val="20"/>
        </w:rPr>
        <w:t> </w:t>
      </w:r>
      <w:r>
        <w:rPr>
          <w:i/>
          <w:sz w:val="20"/>
        </w:rPr>
        <w:t>hear</w:t>
      </w:r>
      <w:r>
        <w:rPr>
          <w:i/>
          <w:spacing w:val="40"/>
          <w:sz w:val="20"/>
        </w:rPr>
        <w:t> </w:t>
      </w:r>
      <w:r>
        <w:rPr>
          <w:i/>
          <w:sz w:val="20"/>
        </w:rPr>
        <w:t>poor</w:t>
      </w:r>
      <w:r>
        <w:rPr>
          <w:i/>
          <w:spacing w:val="40"/>
          <w:sz w:val="20"/>
        </w:rPr>
        <w:t> </w:t>
      </w:r>
      <w:r>
        <w:rPr>
          <w:i/>
          <w:sz w:val="20"/>
        </w:rPr>
        <w:t>rogues</w:t>
      </w:r>
    </w:p>
    <w:p>
      <w:pPr>
        <w:spacing w:line="309" w:lineRule="auto" w:before="0"/>
        <w:ind w:left="2160" w:right="2162" w:firstLine="0"/>
        <w:jc w:val="left"/>
        <w:rPr>
          <w:i/>
          <w:sz w:val="20"/>
        </w:rPr>
      </w:pPr>
      <w:r>
        <w:rPr>
          <w:i/>
          <w:sz w:val="20"/>
        </w:rPr>
        <w:t>Talk</w:t>
      </w:r>
      <w:r>
        <w:rPr>
          <w:i/>
          <w:spacing w:val="21"/>
          <w:sz w:val="20"/>
        </w:rPr>
        <w:t> </w:t>
      </w:r>
      <w:r>
        <w:rPr>
          <w:i/>
          <w:sz w:val="20"/>
        </w:rPr>
        <w:t>of</w:t>
      </w:r>
      <w:r>
        <w:rPr>
          <w:i/>
          <w:spacing w:val="20"/>
          <w:sz w:val="20"/>
        </w:rPr>
        <w:t> </w:t>
      </w:r>
      <w:r>
        <w:rPr>
          <w:i/>
          <w:sz w:val="20"/>
        </w:rPr>
        <w:t>court</w:t>
      </w:r>
      <w:r>
        <w:rPr>
          <w:i/>
          <w:spacing w:val="22"/>
          <w:sz w:val="20"/>
        </w:rPr>
        <w:t> </w:t>
      </w:r>
      <w:r>
        <w:rPr>
          <w:i/>
          <w:sz w:val="20"/>
        </w:rPr>
        <w:t>news; and</w:t>
      </w:r>
      <w:r>
        <w:rPr>
          <w:i/>
          <w:spacing w:val="20"/>
          <w:sz w:val="20"/>
        </w:rPr>
        <w:t> </w:t>
      </w:r>
      <w:r>
        <w:rPr>
          <w:i/>
          <w:sz w:val="20"/>
        </w:rPr>
        <w:t>we’ll talk with</w:t>
      </w:r>
      <w:r>
        <w:rPr>
          <w:i/>
          <w:spacing w:val="24"/>
          <w:sz w:val="20"/>
        </w:rPr>
        <w:t> </w:t>
      </w:r>
      <w:r>
        <w:rPr>
          <w:i/>
          <w:sz w:val="20"/>
        </w:rPr>
        <w:t>them</w:t>
      </w:r>
      <w:r>
        <w:rPr>
          <w:i/>
          <w:spacing w:val="20"/>
          <w:sz w:val="20"/>
        </w:rPr>
        <w:t> </w:t>
      </w:r>
      <w:r>
        <w:rPr>
          <w:i/>
          <w:sz w:val="20"/>
        </w:rPr>
        <w:t>too</w:t>
      </w:r>
      <w:r>
        <w:rPr>
          <w:i/>
          <w:spacing w:val="20"/>
          <w:sz w:val="20"/>
        </w:rPr>
        <w:t> </w:t>
      </w:r>
      <w:r>
        <w:rPr>
          <w:i/>
          <w:sz w:val="20"/>
        </w:rPr>
        <w:t>— Who</w:t>
      </w:r>
      <w:r>
        <w:rPr>
          <w:i/>
          <w:spacing w:val="38"/>
          <w:sz w:val="20"/>
        </w:rPr>
        <w:t> </w:t>
      </w:r>
      <w:r>
        <w:rPr>
          <w:i/>
          <w:sz w:val="20"/>
        </w:rPr>
        <w:t>loses</w:t>
      </w:r>
      <w:r>
        <w:rPr>
          <w:i/>
          <w:spacing w:val="40"/>
          <w:sz w:val="20"/>
        </w:rPr>
        <w:t> </w:t>
      </w:r>
      <w:r>
        <w:rPr>
          <w:i/>
          <w:sz w:val="20"/>
        </w:rPr>
        <w:t>and</w:t>
      </w:r>
      <w:r>
        <w:rPr>
          <w:i/>
          <w:spacing w:val="40"/>
          <w:sz w:val="20"/>
        </w:rPr>
        <w:t> </w:t>
      </w:r>
      <w:r>
        <w:rPr>
          <w:i/>
          <w:sz w:val="20"/>
        </w:rPr>
        <w:t>who</w:t>
      </w:r>
      <w:r>
        <w:rPr>
          <w:i/>
          <w:spacing w:val="38"/>
          <w:sz w:val="20"/>
        </w:rPr>
        <w:t> </w:t>
      </w:r>
      <w:r>
        <w:rPr>
          <w:i/>
          <w:sz w:val="20"/>
        </w:rPr>
        <w:t>wins;</w:t>
      </w:r>
      <w:r>
        <w:rPr>
          <w:i/>
          <w:spacing w:val="40"/>
          <w:sz w:val="20"/>
        </w:rPr>
        <w:t> </w:t>
      </w:r>
      <w:r>
        <w:rPr>
          <w:i/>
          <w:sz w:val="20"/>
        </w:rPr>
        <w:t>who’s</w:t>
      </w:r>
      <w:r>
        <w:rPr>
          <w:i/>
          <w:spacing w:val="38"/>
          <w:sz w:val="20"/>
        </w:rPr>
        <w:t> </w:t>
      </w:r>
      <w:r>
        <w:rPr>
          <w:i/>
          <w:sz w:val="20"/>
        </w:rPr>
        <w:t>in,</w:t>
      </w:r>
      <w:r>
        <w:rPr>
          <w:i/>
          <w:spacing w:val="38"/>
          <w:sz w:val="20"/>
        </w:rPr>
        <w:t> </w:t>
      </w:r>
      <w:r>
        <w:rPr>
          <w:i/>
          <w:sz w:val="20"/>
        </w:rPr>
        <w:t>who’s</w:t>
      </w:r>
      <w:r>
        <w:rPr>
          <w:i/>
          <w:spacing w:val="38"/>
          <w:sz w:val="20"/>
        </w:rPr>
        <w:t> </w:t>
      </w:r>
      <w:r>
        <w:rPr>
          <w:i/>
          <w:sz w:val="20"/>
        </w:rPr>
        <w:t>out</w:t>
      </w:r>
      <w:r>
        <w:rPr>
          <w:i/>
          <w:spacing w:val="36"/>
          <w:sz w:val="20"/>
        </w:rPr>
        <w:t> </w:t>
      </w:r>
      <w:r>
        <w:rPr>
          <w:i/>
          <w:sz w:val="20"/>
        </w:rPr>
        <w:t>— And</w:t>
      </w:r>
      <w:r>
        <w:rPr>
          <w:i/>
          <w:spacing w:val="40"/>
          <w:sz w:val="20"/>
        </w:rPr>
        <w:t> </w:t>
      </w:r>
      <w:r>
        <w:rPr>
          <w:i/>
          <w:sz w:val="20"/>
        </w:rPr>
        <w:t>take</w:t>
      </w:r>
      <w:r>
        <w:rPr>
          <w:i/>
          <w:spacing w:val="40"/>
          <w:sz w:val="20"/>
        </w:rPr>
        <w:t> </w:t>
      </w:r>
      <w:r>
        <w:rPr>
          <w:i/>
          <w:sz w:val="20"/>
        </w:rPr>
        <w:t>upon</w:t>
      </w:r>
      <w:r>
        <w:rPr>
          <w:i/>
          <w:spacing w:val="40"/>
          <w:sz w:val="20"/>
        </w:rPr>
        <w:t> </w:t>
      </w:r>
      <w:r>
        <w:rPr>
          <w:i/>
          <w:sz w:val="20"/>
        </w:rPr>
        <w:t>‘s</w:t>
      </w:r>
      <w:r>
        <w:rPr>
          <w:i/>
          <w:spacing w:val="40"/>
          <w:sz w:val="20"/>
        </w:rPr>
        <w:t> </w:t>
      </w:r>
      <w:r>
        <w:rPr>
          <w:i/>
          <w:sz w:val="20"/>
        </w:rPr>
        <w:t>the</w:t>
      </w:r>
      <w:r>
        <w:rPr>
          <w:i/>
          <w:spacing w:val="40"/>
          <w:sz w:val="20"/>
        </w:rPr>
        <w:t> </w:t>
      </w:r>
      <w:r>
        <w:rPr>
          <w:i/>
          <w:sz w:val="20"/>
        </w:rPr>
        <w:t>mystery</w:t>
      </w:r>
      <w:r>
        <w:rPr>
          <w:i/>
          <w:spacing w:val="40"/>
          <w:sz w:val="20"/>
        </w:rPr>
        <w:t> </w:t>
      </w:r>
      <w:r>
        <w:rPr>
          <w:i/>
          <w:sz w:val="20"/>
        </w:rPr>
        <w:t>of</w:t>
      </w:r>
      <w:r>
        <w:rPr>
          <w:i/>
          <w:spacing w:val="40"/>
          <w:sz w:val="20"/>
        </w:rPr>
        <w:t> </w:t>
      </w:r>
      <w:r>
        <w:rPr>
          <w:i/>
          <w:sz w:val="20"/>
        </w:rPr>
        <w:t>things,</w:t>
      </w:r>
    </w:p>
    <w:p>
      <w:pPr>
        <w:spacing w:before="2"/>
        <w:ind w:left="2160" w:right="0" w:firstLine="0"/>
        <w:jc w:val="left"/>
        <w:rPr>
          <w:i/>
          <w:sz w:val="20"/>
        </w:rPr>
      </w:pPr>
      <w:r>
        <w:rPr>
          <w:i/>
          <w:sz w:val="20"/>
        </w:rPr>
        <w:t>As</w:t>
      </w:r>
      <w:r>
        <w:rPr>
          <w:i/>
          <w:spacing w:val="18"/>
          <w:sz w:val="20"/>
        </w:rPr>
        <w:t> </w:t>
      </w:r>
      <w:r>
        <w:rPr>
          <w:i/>
          <w:sz w:val="20"/>
        </w:rPr>
        <w:t>if</w:t>
      </w:r>
      <w:r>
        <w:rPr>
          <w:i/>
          <w:spacing w:val="21"/>
          <w:sz w:val="20"/>
        </w:rPr>
        <w:t> </w:t>
      </w:r>
      <w:r>
        <w:rPr>
          <w:i/>
          <w:sz w:val="20"/>
        </w:rPr>
        <w:t>we</w:t>
      </w:r>
      <w:r>
        <w:rPr>
          <w:i/>
          <w:spacing w:val="19"/>
          <w:sz w:val="20"/>
        </w:rPr>
        <w:t> </w:t>
      </w:r>
      <w:r>
        <w:rPr>
          <w:i/>
          <w:sz w:val="20"/>
        </w:rPr>
        <w:t>were</w:t>
      </w:r>
      <w:r>
        <w:rPr>
          <w:i/>
          <w:spacing w:val="21"/>
          <w:sz w:val="20"/>
        </w:rPr>
        <w:t> </w:t>
      </w:r>
      <w:r>
        <w:rPr>
          <w:i/>
          <w:sz w:val="20"/>
        </w:rPr>
        <w:t>God’s</w:t>
      </w:r>
      <w:r>
        <w:rPr>
          <w:i/>
          <w:spacing w:val="18"/>
          <w:sz w:val="20"/>
        </w:rPr>
        <w:t> </w:t>
      </w:r>
      <w:r>
        <w:rPr>
          <w:i/>
          <w:sz w:val="20"/>
        </w:rPr>
        <w:t>spies;</w:t>
      </w:r>
      <w:r>
        <w:rPr>
          <w:i/>
          <w:spacing w:val="23"/>
          <w:sz w:val="20"/>
        </w:rPr>
        <w:t> </w:t>
      </w:r>
      <w:r>
        <w:rPr>
          <w:i/>
          <w:sz w:val="20"/>
        </w:rPr>
        <w:t>and</w:t>
      </w:r>
      <w:r>
        <w:rPr>
          <w:i/>
          <w:spacing w:val="22"/>
          <w:sz w:val="20"/>
        </w:rPr>
        <w:t> </w:t>
      </w:r>
      <w:r>
        <w:rPr>
          <w:i/>
          <w:sz w:val="20"/>
        </w:rPr>
        <w:t>we’ll</w:t>
      </w:r>
      <w:r>
        <w:rPr>
          <w:i/>
          <w:spacing w:val="22"/>
          <w:sz w:val="20"/>
        </w:rPr>
        <w:t> </w:t>
      </w:r>
      <w:r>
        <w:rPr>
          <w:i/>
          <w:sz w:val="20"/>
        </w:rPr>
        <w:t>wear</w:t>
      </w:r>
      <w:r>
        <w:rPr>
          <w:i/>
          <w:spacing w:val="18"/>
          <w:sz w:val="20"/>
        </w:rPr>
        <w:t> </w:t>
      </w:r>
      <w:r>
        <w:rPr>
          <w:i/>
          <w:spacing w:val="-4"/>
          <w:sz w:val="20"/>
        </w:rPr>
        <w:t>out,</w:t>
      </w:r>
    </w:p>
    <w:p>
      <w:pPr>
        <w:spacing w:line="309" w:lineRule="auto" w:before="70"/>
        <w:ind w:left="2160" w:right="2159" w:firstLine="0"/>
        <w:jc w:val="left"/>
        <w:rPr>
          <w:i/>
          <w:sz w:val="20"/>
        </w:rPr>
      </w:pPr>
      <w:r>
        <w:rPr>
          <w:i/>
          <w:sz w:val="20"/>
        </w:rPr>
        <w:t>In</w:t>
      </w:r>
      <w:r>
        <w:rPr>
          <w:i/>
          <w:spacing w:val="31"/>
          <w:sz w:val="20"/>
        </w:rPr>
        <w:t> </w:t>
      </w:r>
      <w:r>
        <w:rPr>
          <w:i/>
          <w:sz w:val="20"/>
        </w:rPr>
        <w:t>a</w:t>
      </w:r>
      <w:r>
        <w:rPr>
          <w:i/>
          <w:spacing w:val="31"/>
          <w:sz w:val="20"/>
        </w:rPr>
        <w:t> </w:t>
      </w:r>
      <w:r>
        <w:rPr>
          <w:i/>
          <w:sz w:val="20"/>
        </w:rPr>
        <w:t>walled</w:t>
      </w:r>
      <w:r>
        <w:rPr>
          <w:i/>
          <w:spacing w:val="33"/>
          <w:sz w:val="20"/>
        </w:rPr>
        <w:t> </w:t>
      </w:r>
      <w:r>
        <w:rPr>
          <w:i/>
          <w:sz w:val="20"/>
        </w:rPr>
        <w:t>prison,</w:t>
      </w:r>
      <w:r>
        <w:rPr>
          <w:i/>
          <w:spacing w:val="31"/>
          <w:sz w:val="20"/>
        </w:rPr>
        <w:t> </w:t>
      </w:r>
      <w:r>
        <w:rPr>
          <w:i/>
          <w:sz w:val="20"/>
        </w:rPr>
        <w:t>packs</w:t>
      </w:r>
      <w:r>
        <w:rPr>
          <w:i/>
          <w:spacing w:val="27"/>
          <w:sz w:val="20"/>
        </w:rPr>
        <w:t> </w:t>
      </w:r>
      <w:r>
        <w:rPr>
          <w:i/>
          <w:sz w:val="20"/>
        </w:rPr>
        <w:t>and</w:t>
      </w:r>
      <w:r>
        <w:rPr>
          <w:i/>
          <w:spacing w:val="31"/>
          <w:sz w:val="20"/>
        </w:rPr>
        <w:t> </w:t>
      </w:r>
      <w:r>
        <w:rPr>
          <w:i/>
          <w:sz w:val="20"/>
        </w:rPr>
        <w:t>sects</w:t>
      </w:r>
      <w:r>
        <w:rPr>
          <w:i/>
          <w:spacing w:val="31"/>
          <w:sz w:val="20"/>
        </w:rPr>
        <w:t> </w:t>
      </w:r>
      <w:r>
        <w:rPr>
          <w:i/>
          <w:sz w:val="20"/>
        </w:rPr>
        <w:t>of</w:t>
      </w:r>
      <w:r>
        <w:rPr>
          <w:i/>
          <w:spacing w:val="29"/>
          <w:sz w:val="20"/>
        </w:rPr>
        <w:t> </w:t>
      </w:r>
      <w:r>
        <w:rPr>
          <w:i/>
          <w:sz w:val="20"/>
        </w:rPr>
        <w:t>great</w:t>
      </w:r>
      <w:r>
        <w:rPr>
          <w:i/>
          <w:spacing w:val="29"/>
          <w:sz w:val="20"/>
        </w:rPr>
        <w:t> </w:t>
      </w:r>
      <w:r>
        <w:rPr>
          <w:i/>
          <w:sz w:val="20"/>
        </w:rPr>
        <w:t>ones That</w:t>
      </w:r>
      <w:r>
        <w:rPr>
          <w:i/>
          <w:spacing w:val="40"/>
          <w:sz w:val="20"/>
        </w:rPr>
        <w:t> </w:t>
      </w:r>
      <w:r>
        <w:rPr>
          <w:i/>
          <w:sz w:val="20"/>
        </w:rPr>
        <w:t>ebb</w:t>
      </w:r>
      <w:r>
        <w:rPr>
          <w:i/>
          <w:spacing w:val="40"/>
          <w:sz w:val="20"/>
        </w:rPr>
        <w:t> </w:t>
      </w:r>
      <w:r>
        <w:rPr>
          <w:i/>
          <w:sz w:val="20"/>
        </w:rPr>
        <w:t>and</w:t>
      </w:r>
      <w:r>
        <w:rPr>
          <w:i/>
          <w:spacing w:val="40"/>
          <w:sz w:val="20"/>
        </w:rPr>
        <w:t> </w:t>
      </w:r>
      <w:r>
        <w:rPr>
          <w:i/>
          <w:sz w:val="20"/>
        </w:rPr>
        <w:t>flow</w:t>
      </w:r>
      <w:r>
        <w:rPr>
          <w:i/>
          <w:spacing w:val="40"/>
          <w:sz w:val="20"/>
        </w:rPr>
        <w:t> </w:t>
      </w:r>
      <w:r>
        <w:rPr>
          <w:i/>
          <w:sz w:val="20"/>
        </w:rPr>
        <w:t>by</w:t>
      </w:r>
      <w:r>
        <w:rPr>
          <w:i/>
          <w:spacing w:val="40"/>
          <w:sz w:val="20"/>
        </w:rPr>
        <w:t> </w:t>
      </w:r>
      <w:r>
        <w:rPr>
          <w:i/>
          <w:sz w:val="20"/>
        </w:rPr>
        <w:t>th’moon.</w:t>
      </w:r>
    </w:p>
    <w:p>
      <w:pPr>
        <w:spacing w:before="2"/>
        <w:ind w:left="2160" w:right="0" w:firstLine="0"/>
        <w:jc w:val="left"/>
        <w:rPr>
          <w:i/>
          <w:sz w:val="20"/>
        </w:rPr>
      </w:pPr>
      <w:r>
        <w:rPr>
          <w:i/>
          <w:sz w:val="20"/>
        </w:rPr>
        <w:t>—</w:t>
      </w:r>
      <w:r>
        <w:rPr>
          <w:sz w:val="20"/>
        </w:rPr>
        <w:t>KingLear</w:t>
      </w:r>
      <w:r>
        <w:rPr>
          <w:i/>
          <w:sz w:val="20"/>
        </w:rPr>
        <w:t>,</w:t>
      </w:r>
      <w:r>
        <w:rPr>
          <w:i/>
          <w:spacing w:val="3"/>
          <w:sz w:val="20"/>
        </w:rPr>
        <w:t> </w:t>
      </w:r>
      <w:r>
        <w:rPr>
          <w:i/>
          <w:sz w:val="20"/>
        </w:rPr>
        <w:t>Act</w:t>
      </w:r>
      <w:r>
        <w:rPr>
          <w:i/>
          <w:spacing w:val="6"/>
          <w:sz w:val="20"/>
        </w:rPr>
        <w:t> </w:t>
      </w:r>
      <w:r>
        <w:rPr>
          <w:i/>
          <w:sz w:val="20"/>
        </w:rPr>
        <w:t>V,</w:t>
      </w:r>
      <w:r>
        <w:rPr>
          <w:i/>
          <w:spacing w:val="7"/>
          <w:sz w:val="20"/>
        </w:rPr>
        <w:t> </w:t>
      </w:r>
      <w:r>
        <w:rPr>
          <w:i/>
          <w:sz w:val="20"/>
        </w:rPr>
        <w:t>scene</w:t>
      </w:r>
      <w:r>
        <w:rPr>
          <w:i/>
          <w:spacing w:val="6"/>
          <w:sz w:val="20"/>
        </w:rPr>
        <w:t> </w:t>
      </w:r>
      <w:r>
        <w:rPr>
          <w:i/>
          <w:spacing w:val="-5"/>
          <w:sz w:val="20"/>
        </w:rPr>
        <w:t>iii</w:t>
      </w:r>
    </w:p>
    <w:p>
      <w:pPr>
        <w:pStyle w:val="BodyText"/>
        <w:spacing w:line="249" w:lineRule="auto" w:before="68"/>
        <w:ind w:right="1440" w:firstLine="432"/>
        <w:jc w:val="both"/>
      </w:pPr>
      <w:r>
        <w:rPr/>
        <w:t>Lear’s life-and-death choice embodies</w:t>
      </w:r>
      <w:r>
        <w:rPr>
          <w:spacing w:val="-2"/>
        </w:rPr>
        <w:t> </w:t>
      </w:r>
      <w:r>
        <w:rPr/>
        <w:t>reflection on human nature and self-redemption;</w:t>
      </w:r>
      <w:r>
        <w:rPr>
          <w:spacing w:val="-1"/>
        </w:rPr>
        <w:t> </w:t>
      </w:r>
      <w:r>
        <w:rPr/>
        <w:t>after suffering, he finally</w:t>
      </w:r>
      <w:r>
        <w:rPr>
          <w:spacing w:val="-3"/>
        </w:rPr>
        <w:t> </w:t>
      </w:r>
      <w:r>
        <w:rPr/>
        <w:t>understands the value of true love and family affection.</w:t>
      </w:r>
    </w:p>
    <w:p>
      <w:pPr>
        <w:pStyle w:val="Heading3"/>
        <w:spacing w:before="156"/>
      </w:pPr>
      <w:r>
        <w:rPr>
          <w:spacing w:val="-2"/>
        </w:rPr>
        <w:t>CONCLUSION</w:t>
      </w:r>
    </w:p>
    <w:p>
      <w:pPr>
        <w:pStyle w:val="BodyText"/>
        <w:spacing w:line="249" w:lineRule="auto" w:before="75"/>
        <w:ind w:right="1439" w:firstLine="432"/>
        <w:jc w:val="both"/>
      </w:pPr>
      <w:r>
        <w:rPr/>
        <w:t>Shakespeare’s character portrayal, story symbolism, and lines in his plays all reflect his contemplation on various major life issues, showcasing his ethical views based on the ethics and morals in the </w:t>
      </w:r>
      <w:r>
        <w:rPr>
          <w:spacing w:val="-2"/>
        </w:rPr>
        <w:t>Christian</w:t>
      </w:r>
      <w:r>
        <w:rPr>
          <w:spacing w:val="-4"/>
        </w:rPr>
        <w:t> </w:t>
      </w:r>
      <w:r>
        <w:rPr>
          <w:spacing w:val="-2"/>
        </w:rPr>
        <w:t>Bible. Undoubtedly, Shakespeare’s plays can</w:t>
      </w:r>
      <w:r>
        <w:rPr>
          <w:spacing w:val="-4"/>
        </w:rPr>
        <w:t> </w:t>
      </w:r>
      <w:r>
        <w:rPr>
          <w:spacing w:val="-2"/>
        </w:rPr>
        <w:t>play</w:t>
      </w:r>
      <w:r>
        <w:rPr>
          <w:spacing w:val="-4"/>
        </w:rPr>
        <w:t> </w:t>
      </w:r>
      <w:r>
        <w:rPr>
          <w:spacing w:val="-2"/>
        </w:rPr>
        <w:t>an</w:t>
      </w:r>
      <w:r>
        <w:rPr>
          <w:spacing w:val="-4"/>
        </w:rPr>
        <w:t> </w:t>
      </w:r>
      <w:r>
        <w:rPr>
          <w:spacing w:val="-2"/>
        </w:rPr>
        <w:t>important </w:t>
      </w:r>
      <w:r>
        <w:rPr/>
        <w:t>role in guiding the behaviour of the world to some extent. Studying the ethical</w:t>
      </w:r>
      <w:r>
        <w:rPr>
          <w:spacing w:val="53"/>
        </w:rPr>
        <w:t> </w:t>
      </w:r>
      <w:r>
        <w:rPr/>
        <w:t>perspective</w:t>
      </w:r>
      <w:r>
        <w:rPr>
          <w:spacing w:val="56"/>
        </w:rPr>
        <w:t> </w:t>
      </w:r>
      <w:r>
        <w:rPr/>
        <w:t>of</w:t>
      </w:r>
      <w:r>
        <w:rPr>
          <w:spacing w:val="50"/>
        </w:rPr>
        <w:t> </w:t>
      </w:r>
      <w:r>
        <w:rPr/>
        <w:t>Shakespeare’s</w:t>
      </w:r>
      <w:r>
        <w:rPr>
          <w:spacing w:val="51"/>
        </w:rPr>
        <w:t> </w:t>
      </w:r>
      <w:r>
        <w:rPr/>
        <w:t>plays</w:t>
      </w:r>
      <w:r>
        <w:rPr>
          <w:spacing w:val="51"/>
        </w:rPr>
        <w:t> </w:t>
      </w:r>
      <w:r>
        <w:rPr/>
        <w:t>is</w:t>
      </w:r>
      <w:r>
        <w:rPr>
          <w:spacing w:val="53"/>
        </w:rPr>
        <w:t> </w:t>
      </w:r>
      <w:r>
        <w:rPr/>
        <w:t>of</w:t>
      </w:r>
      <w:r>
        <w:rPr>
          <w:spacing w:val="55"/>
        </w:rPr>
        <w:t> </w:t>
      </w:r>
      <w:r>
        <w:rPr/>
        <w:t>great</w:t>
      </w:r>
      <w:r>
        <w:rPr>
          <w:spacing w:val="53"/>
        </w:rPr>
        <w:t> </w:t>
      </w:r>
      <w:r>
        <w:rPr>
          <w:spacing w:val="-2"/>
        </w:rPr>
        <w:t>significance.</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62272">
                <wp:simplePos x="0" y="0"/>
                <wp:positionH relativeFrom="page">
                  <wp:posOffset>2065020</wp:posOffset>
                </wp:positionH>
                <wp:positionV relativeFrom="paragraph">
                  <wp:posOffset>795020</wp:posOffset>
                </wp:positionV>
                <wp:extent cx="3657600" cy="12700"/>
                <wp:effectExtent l="0" t="0" r="0" b="0"/>
                <wp:wrapTopAndBottom/>
                <wp:docPr id="740" name="Graphic 740"/>
                <wp:cNvGraphicFramePr>
                  <a:graphicFrameLocks/>
                </wp:cNvGraphicFramePr>
                <a:graphic>
                  <a:graphicData uri="http://schemas.microsoft.com/office/word/2010/wordprocessingShape">
                    <wps:wsp>
                      <wps:cNvPr id="740" name="Graphic 74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54208;mso-wrap-distance-left:0;mso-wrap-distance-right:0" id="docshape732" filled="true" fillcolor="#000000" stroked="false">
                <v:fill type="solid"/>
                <w10:wrap type="topAndBottom"/>
              </v:rect>
            </w:pict>
          </mc:Fallback>
        </mc:AlternateContent>
      </w:r>
      <w:r>
        <w:rPr>
          <w:rFonts w:ascii="Verdana" w:hAnsi="Verdana"/>
          <w:sz w:val="18"/>
        </w:rPr>
        <w:t>Shakespeare’s</w:t>
      </w:r>
      <w:r>
        <w:rPr>
          <w:rFonts w:ascii="Verdana" w:hAnsi="Verdana"/>
          <w:spacing w:val="1"/>
          <w:sz w:val="18"/>
        </w:rPr>
        <w:t> </w:t>
      </w:r>
      <w:r>
        <w:rPr>
          <w:rFonts w:ascii="Verdana" w:hAnsi="Verdana"/>
          <w:sz w:val="18"/>
        </w:rPr>
        <w:t>Female</w:t>
      </w:r>
      <w:r>
        <w:rPr>
          <w:rFonts w:ascii="Verdana" w:hAnsi="Verdana"/>
          <w:spacing w:val="5"/>
          <w:sz w:val="18"/>
        </w:rPr>
        <w:t> </w:t>
      </w:r>
      <w:r>
        <w:rPr>
          <w:rFonts w:ascii="Verdana" w:hAnsi="Verdana"/>
          <w:spacing w:val="-2"/>
          <w:sz w:val="18"/>
        </w:rPr>
        <w:t>Character</w:t>
      </w:r>
      <w:r>
        <w:rPr>
          <w:sz w:val="18"/>
        </w:rPr>
        <w:tab/>
      </w:r>
      <w:r>
        <w:rPr>
          <w:rFonts w:ascii="Verdana" w:hAnsi="Verdana"/>
          <w:spacing w:val="-5"/>
          <w:sz w:val="18"/>
        </w:rPr>
        <w:t>371</w:t>
      </w:r>
    </w:p>
    <w:p>
      <w:pPr>
        <w:pStyle w:val="BodyText"/>
        <w:spacing w:line="249" w:lineRule="auto" w:before="192"/>
        <w:ind w:right="1439"/>
        <w:jc w:val="both"/>
      </w:pPr>
      <w:r>
        <w:rPr>
          <w:spacing w:val="-2"/>
        </w:rPr>
        <w:t>Through</w:t>
      </w:r>
      <w:r>
        <w:rPr>
          <w:spacing w:val="-7"/>
        </w:rPr>
        <w:t> </w:t>
      </w:r>
      <w:r>
        <w:rPr>
          <w:spacing w:val="-2"/>
        </w:rPr>
        <w:t>comedy,</w:t>
      </w:r>
      <w:r>
        <w:rPr>
          <w:spacing w:val="-7"/>
        </w:rPr>
        <w:t> </w:t>
      </w:r>
      <w:r>
        <w:rPr>
          <w:spacing w:val="-2"/>
        </w:rPr>
        <w:t>Shakespeare</w:t>
      </w:r>
      <w:r>
        <w:rPr>
          <w:spacing w:val="-6"/>
        </w:rPr>
        <w:t> </w:t>
      </w:r>
      <w:r>
        <w:rPr>
          <w:spacing w:val="-2"/>
        </w:rPr>
        <w:t>achieves</w:t>
      </w:r>
      <w:r>
        <w:rPr>
          <w:spacing w:val="-7"/>
        </w:rPr>
        <w:t> </w:t>
      </w:r>
      <w:r>
        <w:rPr>
          <w:spacing w:val="-2"/>
        </w:rPr>
        <w:t>literature’s ultimate</w:t>
      </w:r>
      <w:r>
        <w:rPr>
          <w:spacing w:val="-4"/>
        </w:rPr>
        <w:t> </w:t>
      </w:r>
      <w:r>
        <w:rPr>
          <w:spacing w:val="-2"/>
        </w:rPr>
        <w:t>aim</w:t>
      </w:r>
      <w:r>
        <w:rPr>
          <w:spacing w:val="-10"/>
        </w:rPr>
        <w:t> </w:t>
      </w:r>
      <w:r>
        <w:rPr>
          <w:spacing w:val="-2"/>
        </w:rPr>
        <w:t>of</w:t>
      </w:r>
      <w:r>
        <w:rPr>
          <w:spacing w:val="-7"/>
        </w:rPr>
        <w:t> </w:t>
      </w:r>
      <w:r>
        <w:rPr>
          <w:spacing w:val="-2"/>
        </w:rPr>
        <w:t>being </w:t>
      </w:r>
      <w:r>
        <w:rPr/>
        <w:t>“sweet</w:t>
      </w:r>
      <w:r>
        <w:rPr>
          <w:spacing w:val="-8"/>
        </w:rPr>
        <w:t> </w:t>
      </w:r>
      <w:r>
        <w:rPr/>
        <w:t>and</w:t>
      </w:r>
      <w:r>
        <w:rPr>
          <w:spacing w:val="-7"/>
        </w:rPr>
        <w:t> </w:t>
      </w:r>
      <w:r>
        <w:rPr/>
        <w:t>useful”</w:t>
      </w:r>
      <w:r>
        <w:rPr>
          <w:spacing w:val="-8"/>
        </w:rPr>
        <w:t> </w:t>
      </w:r>
      <w:r>
        <w:rPr/>
        <w:t>proposed</w:t>
      </w:r>
      <w:r>
        <w:rPr>
          <w:spacing w:val="-7"/>
        </w:rPr>
        <w:t> </w:t>
      </w:r>
      <w:r>
        <w:rPr/>
        <w:t>by</w:t>
      </w:r>
      <w:r>
        <w:rPr>
          <w:spacing w:val="-12"/>
        </w:rPr>
        <w:t> </w:t>
      </w:r>
      <w:r>
        <w:rPr/>
        <w:t>Horace</w:t>
      </w:r>
      <w:r>
        <w:rPr>
          <w:spacing w:val="-8"/>
        </w:rPr>
        <w:t> </w:t>
      </w:r>
      <w:r>
        <w:rPr/>
        <w:t>(Bressler,</w:t>
      </w:r>
      <w:r>
        <w:rPr>
          <w:spacing w:val="-8"/>
        </w:rPr>
        <w:t> </w:t>
      </w:r>
      <w:r>
        <w:rPr/>
        <w:t>2007,</w:t>
      </w:r>
      <w:r>
        <w:rPr>
          <w:spacing w:val="-8"/>
        </w:rPr>
        <w:t> </w:t>
      </w:r>
      <w:r>
        <w:rPr/>
        <w:t>p.</w:t>
      </w:r>
      <w:r>
        <w:rPr>
          <w:spacing w:val="-7"/>
        </w:rPr>
        <w:t> </w:t>
      </w:r>
      <w:r>
        <w:rPr/>
        <w:t>22).</w:t>
      </w:r>
      <w:r>
        <w:rPr>
          <w:spacing w:val="-10"/>
        </w:rPr>
        <w:t> </w:t>
      </w:r>
      <w:r>
        <w:rPr/>
        <w:t>Through tragedy, he discloses the tragic consequences resulted from murder, killing,</w:t>
      </w:r>
      <w:r>
        <w:rPr>
          <w:spacing w:val="-6"/>
        </w:rPr>
        <w:t> </w:t>
      </w:r>
      <w:r>
        <w:rPr/>
        <w:t>envy,</w:t>
      </w:r>
      <w:r>
        <w:rPr>
          <w:spacing w:val="-6"/>
        </w:rPr>
        <w:t> </w:t>
      </w:r>
      <w:r>
        <w:rPr/>
        <w:t>greed</w:t>
      </w:r>
      <w:r>
        <w:rPr>
          <w:spacing w:val="-6"/>
        </w:rPr>
        <w:t> </w:t>
      </w:r>
      <w:r>
        <w:rPr/>
        <w:t>for</w:t>
      </w:r>
      <w:r>
        <w:rPr>
          <w:spacing w:val="-6"/>
        </w:rPr>
        <w:t> </w:t>
      </w:r>
      <w:r>
        <w:rPr/>
        <w:t>power,</w:t>
      </w:r>
      <w:r>
        <w:rPr>
          <w:spacing w:val="-8"/>
        </w:rPr>
        <w:t> </w:t>
      </w:r>
      <w:r>
        <w:rPr/>
        <w:t>maliciousness,</w:t>
      </w:r>
      <w:r>
        <w:rPr>
          <w:spacing w:val="-6"/>
        </w:rPr>
        <w:t> </w:t>
      </w:r>
      <w:r>
        <w:rPr/>
        <w:t>deceit,</w:t>
      </w:r>
      <w:r>
        <w:rPr>
          <w:spacing w:val="-6"/>
        </w:rPr>
        <w:t> </w:t>
      </w:r>
      <w:r>
        <w:rPr/>
        <w:t>selfishness,</w:t>
      </w:r>
      <w:r>
        <w:rPr>
          <w:spacing w:val="-6"/>
        </w:rPr>
        <w:t> </w:t>
      </w:r>
      <w:r>
        <w:rPr/>
        <w:t>and</w:t>
      </w:r>
      <w:r>
        <w:rPr>
          <w:spacing w:val="-4"/>
        </w:rPr>
        <w:t> </w:t>
      </w:r>
      <w:r>
        <w:rPr/>
        <w:t>so on,</w:t>
      </w:r>
      <w:r>
        <w:rPr>
          <w:spacing w:val="-1"/>
        </w:rPr>
        <w:t> </w:t>
      </w:r>
      <w:r>
        <w:rPr/>
        <w:t>and probes</w:t>
      </w:r>
      <w:r>
        <w:rPr>
          <w:spacing w:val="-5"/>
        </w:rPr>
        <w:t> </w:t>
      </w:r>
      <w:r>
        <w:rPr/>
        <w:t>into human</w:t>
      </w:r>
      <w:r>
        <w:rPr>
          <w:spacing w:val="-3"/>
        </w:rPr>
        <w:t> </w:t>
      </w:r>
      <w:r>
        <w:rPr/>
        <w:t>weaknesses.</w:t>
      </w:r>
      <w:r>
        <w:rPr>
          <w:spacing w:val="-1"/>
        </w:rPr>
        <w:t> </w:t>
      </w:r>
      <w:r>
        <w:rPr/>
        <w:t>Through</w:t>
      </w:r>
      <w:r>
        <w:rPr>
          <w:spacing w:val="-3"/>
        </w:rPr>
        <w:t> </w:t>
      </w:r>
      <w:r>
        <w:rPr/>
        <w:t>the</w:t>
      </w:r>
      <w:r>
        <w:rPr>
          <w:spacing w:val="-1"/>
        </w:rPr>
        <w:t> </w:t>
      </w:r>
      <w:r>
        <w:rPr/>
        <w:t>form</w:t>
      </w:r>
      <w:r>
        <w:rPr>
          <w:spacing w:val="-8"/>
        </w:rPr>
        <w:t> </w:t>
      </w:r>
      <w:r>
        <w:rPr/>
        <w:t>of</w:t>
      </w:r>
      <w:r>
        <w:rPr>
          <w:spacing w:val="-3"/>
        </w:rPr>
        <w:t> </w:t>
      </w:r>
      <w:r>
        <w:rPr/>
        <w:t>drama,</w:t>
      </w:r>
      <w:r>
        <w:rPr>
          <w:spacing w:val="-1"/>
        </w:rPr>
        <w:t> </w:t>
      </w:r>
      <w:r>
        <w:rPr/>
        <w:t>the audience can gain lessons unconsciously, realizing the truth that good will be rewarded with good, and evil with evil. From Shakespeare’s plays, the audience can realize what true love is, how to get along well in marriage to achieve happiness, and how to live a meaningful life. Undoubtedly,</w:t>
      </w:r>
      <w:r>
        <w:rPr>
          <w:spacing w:val="-5"/>
        </w:rPr>
        <w:t> </w:t>
      </w:r>
      <w:r>
        <w:rPr/>
        <w:t>Shakespeare’s</w:t>
      </w:r>
      <w:r>
        <w:rPr>
          <w:spacing w:val="-8"/>
        </w:rPr>
        <w:t> </w:t>
      </w:r>
      <w:r>
        <w:rPr/>
        <w:t>plays</w:t>
      </w:r>
      <w:r>
        <w:rPr>
          <w:spacing w:val="-7"/>
        </w:rPr>
        <w:t> </w:t>
      </w:r>
      <w:r>
        <w:rPr/>
        <w:t>can</w:t>
      </w:r>
      <w:r>
        <w:rPr>
          <w:spacing w:val="-7"/>
        </w:rPr>
        <w:t> </w:t>
      </w:r>
      <w:r>
        <w:rPr/>
        <w:t>lay</w:t>
      </w:r>
      <w:r>
        <w:rPr>
          <w:spacing w:val="-11"/>
        </w:rPr>
        <w:t> </w:t>
      </w:r>
      <w:r>
        <w:rPr/>
        <w:t>a</w:t>
      </w:r>
      <w:r>
        <w:rPr>
          <w:spacing w:val="-4"/>
        </w:rPr>
        <w:t> </w:t>
      </w:r>
      <w:r>
        <w:rPr/>
        <w:t>foundation</w:t>
      </w:r>
      <w:r>
        <w:rPr>
          <w:spacing w:val="-5"/>
        </w:rPr>
        <w:t> </w:t>
      </w:r>
      <w:r>
        <w:rPr/>
        <w:t>for</w:t>
      </w:r>
      <w:r>
        <w:rPr>
          <w:spacing w:val="-7"/>
        </w:rPr>
        <w:t> </w:t>
      </w:r>
      <w:r>
        <w:rPr/>
        <w:t>the</w:t>
      </w:r>
      <w:r>
        <w:rPr>
          <w:spacing w:val="-7"/>
        </w:rPr>
        <w:t> </w:t>
      </w:r>
      <w:r>
        <w:rPr/>
        <w:t>audience to make the right choices at critical moments in life.</w:t>
      </w:r>
    </w:p>
    <w:p>
      <w:pPr>
        <w:pStyle w:val="Heading3"/>
        <w:spacing w:before="163"/>
      </w:pPr>
      <w:r>
        <w:rPr>
          <w:spacing w:val="-2"/>
          <w:w w:val="95"/>
        </w:rPr>
        <w:t>REFERENCES</w:t>
      </w:r>
    </w:p>
    <w:p>
      <w:pPr>
        <w:pStyle w:val="ListParagraph"/>
        <w:numPr>
          <w:ilvl w:val="0"/>
          <w:numId w:val="78"/>
        </w:numPr>
        <w:tabs>
          <w:tab w:pos="2157" w:val="left" w:leader="none"/>
          <w:tab w:pos="2160" w:val="left" w:leader="none"/>
        </w:tabs>
        <w:spacing w:line="261" w:lineRule="auto" w:before="82" w:after="0"/>
        <w:ind w:left="2160" w:right="1440" w:hanging="315"/>
        <w:jc w:val="left"/>
        <w:rPr>
          <w:sz w:val="19"/>
        </w:rPr>
      </w:pPr>
      <w:r>
        <w:rPr>
          <w:spacing w:val="-2"/>
          <w:sz w:val="19"/>
        </w:rPr>
        <w:t>Bressler, C. E.(2007).</w:t>
      </w:r>
      <w:r>
        <w:rPr>
          <w:i/>
          <w:spacing w:val="-2"/>
          <w:sz w:val="19"/>
        </w:rPr>
        <w:t>Literary</w:t>
      </w:r>
      <w:r>
        <w:rPr>
          <w:i/>
          <w:spacing w:val="-4"/>
          <w:sz w:val="19"/>
        </w:rPr>
        <w:t> </w:t>
      </w:r>
      <w:r>
        <w:rPr>
          <w:i/>
          <w:spacing w:val="-2"/>
          <w:sz w:val="19"/>
        </w:rPr>
        <w:t>Criticism</w:t>
      </w:r>
      <w:r>
        <w:rPr>
          <w:spacing w:val="-2"/>
          <w:sz w:val="19"/>
        </w:rPr>
        <w:t>. Beijing: Higher</w:t>
      </w:r>
      <w:r>
        <w:rPr>
          <w:spacing w:val="-4"/>
          <w:sz w:val="19"/>
        </w:rPr>
        <w:t> </w:t>
      </w:r>
      <w:r>
        <w:rPr>
          <w:spacing w:val="-2"/>
          <w:sz w:val="19"/>
        </w:rPr>
        <w:t>Education Press.</w:t>
      </w:r>
    </w:p>
    <w:p>
      <w:pPr>
        <w:pStyle w:val="ListParagraph"/>
        <w:numPr>
          <w:ilvl w:val="0"/>
          <w:numId w:val="78"/>
        </w:numPr>
        <w:tabs>
          <w:tab w:pos="2157" w:val="left" w:leader="none"/>
          <w:tab w:pos="2160" w:val="left" w:leader="none"/>
        </w:tabs>
        <w:spacing w:line="261" w:lineRule="auto" w:before="59" w:after="0"/>
        <w:ind w:left="2160" w:right="1438" w:hanging="315"/>
        <w:jc w:val="left"/>
        <w:rPr>
          <w:sz w:val="19"/>
        </w:rPr>
      </w:pPr>
      <w:r>
        <w:rPr>
          <w:sz w:val="19"/>
        </w:rPr>
        <w:t>Greer,</w:t>
      </w:r>
      <w:r>
        <w:rPr>
          <w:spacing w:val="-11"/>
          <w:sz w:val="19"/>
        </w:rPr>
        <w:t> </w:t>
      </w:r>
      <w:r>
        <w:rPr>
          <w:sz w:val="19"/>
        </w:rPr>
        <w:t>Germaine.</w:t>
      </w:r>
      <w:r>
        <w:rPr>
          <w:spacing w:val="-9"/>
          <w:sz w:val="19"/>
        </w:rPr>
        <w:t> </w:t>
      </w:r>
      <w:r>
        <w:rPr>
          <w:sz w:val="19"/>
        </w:rPr>
        <w:t>(2007).</w:t>
      </w:r>
      <w:r>
        <w:rPr>
          <w:spacing w:val="-8"/>
          <w:sz w:val="19"/>
        </w:rPr>
        <w:t> </w:t>
      </w:r>
      <w:r>
        <w:rPr>
          <w:i/>
          <w:sz w:val="19"/>
        </w:rPr>
        <w:t>Shakespeare:</w:t>
      </w:r>
      <w:r>
        <w:rPr>
          <w:i/>
          <w:spacing w:val="-12"/>
          <w:sz w:val="19"/>
        </w:rPr>
        <w:t> </w:t>
      </w:r>
      <w:r>
        <w:rPr>
          <w:i/>
          <w:sz w:val="19"/>
        </w:rPr>
        <w:t>A</w:t>
      </w:r>
      <w:r>
        <w:rPr>
          <w:i/>
          <w:spacing w:val="-11"/>
          <w:sz w:val="19"/>
        </w:rPr>
        <w:t> </w:t>
      </w:r>
      <w:r>
        <w:rPr>
          <w:i/>
          <w:sz w:val="19"/>
        </w:rPr>
        <w:t>Very</w:t>
      </w:r>
      <w:r>
        <w:rPr>
          <w:i/>
          <w:spacing w:val="-10"/>
          <w:sz w:val="19"/>
        </w:rPr>
        <w:t> </w:t>
      </w:r>
      <w:r>
        <w:rPr>
          <w:i/>
          <w:sz w:val="19"/>
        </w:rPr>
        <w:t>Short</w:t>
      </w:r>
      <w:r>
        <w:rPr>
          <w:i/>
          <w:spacing w:val="-7"/>
          <w:sz w:val="19"/>
        </w:rPr>
        <w:t> </w:t>
      </w:r>
      <w:r>
        <w:rPr>
          <w:i/>
          <w:sz w:val="19"/>
        </w:rPr>
        <w:t>Introduction</w:t>
      </w:r>
      <w:r>
        <w:rPr>
          <w:sz w:val="19"/>
        </w:rPr>
        <w:t>. Beijing:</w:t>
      </w:r>
      <w:r>
        <w:rPr>
          <w:spacing w:val="40"/>
          <w:sz w:val="19"/>
        </w:rPr>
        <w:t> </w:t>
      </w:r>
      <w:r>
        <w:rPr>
          <w:sz w:val="19"/>
        </w:rPr>
        <w:t>Foreign</w:t>
      </w:r>
      <w:r>
        <w:rPr>
          <w:spacing w:val="40"/>
          <w:sz w:val="19"/>
        </w:rPr>
        <w:t> </w:t>
      </w:r>
      <w:r>
        <w:rPr>
          <w:sz w:val="19"/>
        </w:rPr>
        <w:t>Language</w:t>
      </w:r>
      <w:r>
        <w:rPr>
          <w:spacing w:val="40"/>
          <w:sz w:val="19"/>
        </w:rPr>
        <w:t> </w:t>
      </w:r>
      <w:r>
        <w:rPr>
          <w:sz w:val="19"/>
        </w:rPr>
        <w:t>Teaching</w:t>
      </w:r>
      <w:r>
        <w:rPr>
          <w:spacing w:val="40"/>
          <w:sz w:val="19"/>
        </w:rPr>
        <w:t> </w:t>
      </w:r>
      <w:r>
        <w:rPr>
          <w:sz w:val="19"/>
        </w:rPr>
        <w:t>and</w:t>
      </w:r>
      <w:r>
        <w:rPr>
          <w:spacing w:val="40"/>
          <w:sz w:val="19"/>
        </w:rPr>
        <w:t> </w:t>
      </w:r>
      <w:r>
        <w:rPr>
          <w:sz w:val="19"/>
        </w:rPr>
        <w:t>Research</w:t>
      </w:r>
      <w:r>
        <w:rPr>
          <w:spacing w:val="40"/>
          <w:sz w:val="19"/>
        </w:rPr>
        <w:t> </w:t>
      </w:r>
      <w:r>
        <w:rPr>
          <w:sz w:val="19"/>
        </w:rPr>
        <w:t>Press.</w:t>
      </w:r>
    </w:p>
    <w:p>
      <w:pPr>
        <w:pStyle w:val="ListParagraph"/>
        <w:numPr>
          <w:ilvl w:val="0"/>
          <w:numId w:val="78"/>
        </w:numPr>
        <w:tabs>
          <w:tab w:pos="2157" w:val="left" w:leader="none"/>
          <w:tab w:pos="2160" w:val="left" w:leader="none"/>
        </w:tabs>
        <w:spacing w:line="261" w:lineRule="auto" w:before="56" w:after="0"/>
        <w:ind w:left="2160" w:right="1437" w:hanging="315"/>
        <w:jc w:val="left"/>
        <w:rPr>
          <w:sz w:val="19"/>
        </w:rPr>
      </w:pPr>
      <w:r>
        <w:rPr>
          <w:sz w:val="19"/>
        </w:rPr>
        <w:t>Shakespeare,</w:t>
      </w:r>
      <w:r>
        <w:rPr>
          <w:spacing w:val="35"/>
          <w:sz w:val="19"/>
        </w:rPr>
        <w:t> </w:t>
      </w:r>
      <w:r>
        <w:rPr>
          <w:sz w:val="19"/>
        </w:rPr>
        <w:t>W.(2002).</w:t>
      </w:r>
      <w:r>
        <w:rPr>
          <w:spacing w:val="40"/>
          <w:sz w:val="19"/>
        </w:rPr>
        <w:t> </w:t>
      </w:r>
      <w:r>
        <w:rPr>
          <w:i/>
          <w:sz w:val="19"/>
        </w:rPr>
        <w:t>Eight</w:t>
      </w:r>
      <w:r>
        <w:rPr>
          <w:i/>
          <w:spacing w:val="39"/>
          <w:sz w:val="19"/>
        </w:rPr>
        <w:t> </w:t>
      </w:r>
      <w:r>
        <w:rPr>
          <w:i/>
          <w:sz w:val="19"/>
        </w:rPr>
        <w:t>Famous</w:t>
      </w:r>
      <w:r>
        <w:rPr>
          <w:i/>
          <w:spacing w:val="40"/>
          <w:sz w:val="19"/>
        </w:rPr>
        <w:t> </w:t>
      </w:r>
      <w:r>
        <w:rPr>
          <w:i/>
          <w:sz w:val="19"/>
        </w:rPr>
        <w:t>Dramas</w:t>
      </w:r>
      <w:r>
        <w:rPr>
          <w:sz w:val="19"/>
        </w:rPr>
        <w:t>.</w:t>
      </w:r>
      <w:r>
        <w:rPr>
          <w:spacing w:val="39"/>
          <w:sz w:val="19"/>
        </w:rPr>
        <w:t> </w:t>
      </w:r>
      <w:r>
        <w:rPr>
          <w:sz w:val="19"/>
        </w:rPr>
        <w:t>Hohhot:</w:t>
      </w:r>
      <w:r>
        <w:rPr>
          <w:spacing w:val="40"/>
          <w:sz w:val="19"/>
        </w:rPr>
        <w:t> </w:t>
      </w:r>
      <w:r>
        <w:rPr>
          <w:sz w:val="19"/>
        </w:rPr>
        <w:t>Inner Mongolia</w:t>
      </w:r>
      <w:r>
        <w:rPr>
          <w:spacing w:val="40"/>
          <w:sz w:val="19"/>
        </w:rPr>
        <w:t> </w:t>
      </w:r>
      <w:r>
        <w:rPr>
          <w:sz w:val="19"/>
        </w:rPr>
        <w:t>People’s</w:t>
      </w:r>
      <w:r>
        <w:rPr>
          <w:spacing w:val="40"/>
          <w:sz w:val="19"/>
        </w:rPr>
        <w:t> </w:t>
      </w:r>
      <w:r>
        <w:rPr>
          <w:sz w:val="19"/>
        </w:rPr>
        <w:t>Press.</w:t>
      </w:r>
    </w:p>
    <w:p>
      <w:pPr>
        <w:pStyle w:val="ListParagraph"/>
        <w:numPr>
          <w:ilvl w:val="0"/>
          <w:numId w:val="78"/>
        </w:numPr>
        <w:tabs>
          <w:tab w:pos="2157" w:val="left" w:leader="none"/>
          <w:tab w:pos="2160" w:val="left" w:leader="none"/>
        </w:tabs>
        <w:spacing w:line="261" w:lineRule="auto" w:before="59" w:after="0"/>
        <w:ind w:left="2160" w:right="1438" w:hanging="315"/>
        <w:jc w:val="left"/>
        <w:rPr>
          <w:sz w:val="19"/>
        </w:rPr>
      </w:pPr>
      <w:r>
        <w:rPr>
          <w:sz w:val="19"/>
        </w:rPr>
        <w:t>Shakespeare,</w:t>
      </w:r>
      <w:r>
        <w:rPr>
          <w:spacing w:val="20"/>
          <w:sz w:val="19"/>
        </w:rPr>
        <w:t> </w:t>
      </w:r>
      <w:r>
        <w:rPr>
          <w:sz w:val="19"/>
        </w:rPr>
        <w:t>W.(2009).</w:t>
      </w:r>
      <w:r>
        <w:rPr>
          <w:i/>
          <w:sz w:val="19"/>
        </w:rPr>
        <w:t>Selected</w:t>
      </w:r>
      <w:r>
        <w:rPr>
          <w:i/>
          <w:spacing w:val="23"/>
          <w:sz w:val="19"/>
        </w:rPr>
        <w:t> </w:t>
      </w:r>
      <w:r>
        <w:rPr>
          <w:i/>
          <w:sz w:val="19"/>
        </w:rPr>
        <w:t>Works</w:t>
      </w:r>
      <w:r>
        <w:rPr>
          <w:i/>
          <w:spacing w:val="23"/>
          <w:sz w:val="19"/>
        </w:rPr>
        <w:t> </w:t>
      </w:r>
      <w:r>
        <w:rPr>
          <w:i/>
          <w:sz w:val="19"/>
        </w:rPr>
        <w:t>of</w:t>
      </w:r>
      <w:r>
        <w:rPr>
          <w:i/>
          <w:spacing w:val="24"/>
          <w:sz w:val="19"/>
        </w:rPr>
        <w:t> </w:t>
      </w:r>
      <w:r>
        <w:rPr>
          <w:i/>
          <w:sz w:val="19"/>
        </w:rPr>
        <w:t>William</w:t>
      </w:r>
      <w:r>
        <w:rPr>
          <w:i/>
          <w:spacing w:val="21"/>
          <w:sz w:val="19"/>
        </w:rPr>
        <w:t> </w:t>
      </w:r>
      <w:r>
        <w:rPr>
          <w:i/>
          <w:sz w:val="19"/>
        </w:rPr>
        <w:t>Shakespeare</w:t>
      </w:r>
      <w:r>
        <w:rPr>
          <w:sz w:val="19"/>
        </w:rPr>
        <w:t>. Shanghai:</w:t>
      </w:r>
      <w:r>
        <w:rPr>
          <w:spacing w:val="40"/>
          <w:sz w:val="19"/>
        </w:rPr>
        <w:t> </w:t>
      </w:r>
      <w:r>
        <w:rPr>
          <w:sz w:val="19"/>
        </w:rPr>
        <w:t>Shanghai</w:t>
      </w:r>
      <w:r>
        <w:rPr>
          <w:spacing w:val="40"/>
          <w:sz w:val="19"/>
        </w:rPr>
        <w:t> </w:t>
      </w:r>
      <w:r>
        <w:rPr>
          <w:sz w:val="19"/>
        </w:rPr>
        <w:t>World</w:t>
      </w:r>
      <w:r>
        <w:rPr>
          <w:spacing w:val="40"/>
          <w:sz w:val="19"/>
        </w:rPr>
        <w:t> </w:t>
      </w:r>
      <w:r>
        <w:rPr>
          <w:sz w:val="19"/>
        </w:rPr>
        <w:t>Book</w:t>
      </w:r>
      <w:r>
        <w:rPr>
          <w:spacing w:val="40"/>
          <w:sz w:val="19"/>
        </w:rPr>
        <w:t> </w:t>
      </w:r>
      <w:r>
        <w:rPr>
          <w:sz w:val="19"/>
        </w:rPr>
        <w:t>Publishing</w:t>
      </w:r>
      <w:r>
        <w:rPr>
          <w:spacing w:val="40"/>
          <w:sz w:val="19"/>
        </w:rPr>
        <w:t> </w:t>
      </w:r>
      <w:r>
        <w:rPr>
          <w:sz w:val="19"/>
        </w:rPr>
        <w:t>House.</w:t>
      </w:r>
    </w:p>
    <w:p>
      <w:pPr>
        <w:pStyle w:val="ListParagraph"/>
        <w:numPr>
          <w:ilvl w:val="0"/>
          <w:numId w:val="78"/>
        </w:numPr>
        <w:tabs>
          <w:tab w:pos="2158" w:val="left" w:leader="none"/>
        </w:tabs>
        <w:spacing w:line="240" w:lineRule="auto" w:before="57" w:after="0"/>
        <w:ind w:left="2158" w:right="0" w:hanging="327"/>
        <w:jc w:val="left"/>
        <w:rPr>
          <w:i/>
          <w:sz w:val="19"/>
        </w:rPr>
      </w:pPr>
      <w:r>
        <w:rPr>
          <w:i/>
          <w:sz w:val="19"/>
        </w:rPr>
        <w:t>The</w:t>
      </w:r>
      <w:r>
        <w:rPr>
          <w:i/>
          <w:spacing w:val="8"/>
          <w:sz w:val="19"/>
        </w:rPr>
        <w:t> </w:t>
      </w:r>
      <w:r>
        <w:rPr>
          <w:i/>
          <w:sz w:val="19"/>
        </w:rPr>
        <w:t>Holy</w:t>
      </w:r>
      <w:r>
        <w:rPr>
          <w:i/>
          <w:spacing w:val="13"/>
          <w:sz w:val="19"/>
        </w:rPr>
        <w:t> </w:t>
      </w:r>
      <w:r>
        <w:rPr>
          <w:i/>
          <w:sz w:val="19"/>
        </w:rPr>
        <w:t>Bible</w:t>
      </w:r>
      <w:r>
        <w:rPr>
          <w:sz w:val="19"/>
        </w:rPr>
        <w:t>.</w:t>
      </w:r>
      <w:r>
        <w:rPr>
          <w:spacing w:val="14"/>
          <w:sz w:val="19"/>
        </w:rPr>
        <w:t> </w:t>
      </w:r>
      <w:r>
        <w:rPr>
          <w:sz w:val="19"/>
        </w:rPr>
        <w:t>(1959).</w:t>
      </w:r>
      <w:r>
        <w:rPr>
          <w:spacing w:val="9"/>
          <w:sz w:val="19"/>
        </w:rPr>
        <w:t> </w:t>
      </w:r>
      <w:r>
        <w:rPr>
          <w:sz w:val="19"/>
        </w:rPr>
        <w:t>Salt</w:t>
      </w:r>
      <w:r>
        <w:rPr>
          <w:spacing w:val="12"/>
          <w:sz w:val="19"/>
        </w:rPr>
        <w:t> </w:t>
      </w:r>
      <w:r>
        <w:rPr>
          <w:sz w:val="19"/>
        </w:rPr>
        <w:t>Lake</w:t>
      </w:r>
      <w:r>
        <w:rPr>
          <w:spacing w:val="11"/>
          <w:sz w:val="19"/>
        </w:rPr>
        <w:t> </w:t>
      </w:r>
      <w:r>
        <w:rPr>
          <w:sz w:val="19"/>
        </w:rPr>
        <w:t>City:</w:t>
      </w:r>
      <w:r>
        <w:rPr>
          <w:spacing w:val="11"/>
          <w:sz w:val="19"/>
        </w:rPr>
        <w:t> </w:t>
      </w:r>
      <w:r>
        <w:rPr>
          <w:sz w:val="19"/>
        </w:rPr>
        <w:t>Deseret</w:t>
      </w:r>
      <w:r>
        <w:rPr>
          <w:spacing w:val="9"/>
          <w:sz w:val="19"/>
        </w:rPr>
        <w:t> </w:t>
      </w:r>
      <w:r>
        <w:rPr>
          <w:sz w:val="19"/>
        </w:rPr>
        <w:t>Book</w:t>
      </w:r>
      <w:r>
        <w:rPr>
          <w:spacing w:val="11"/>
          <w:sz w:val="19"/>
        </w:rPr>
        <w:t> </w:t>
      </w:r>
      <w:r>
        <w:rPr>
          <w:spacing w:val="-2"/>
          <w:sz w:val="19"/>
        </w:rPr>
        <w:t>Company.</w:t>
      </w:r>
    </w:p>
    <w:p>
      <w:pPr>
        <w:pStyle w:val="ListParagraph"/>
        <w:spacing w:after="0" w:line="240" w:lineRule="auto"/>
        <w:jc w:val="left"/>
        <w:rPr>
          <w:i/>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27456">
                <wp:simplePos x="0" y="0"/>
                <wp:positionH relativeFrom="page">
                  <wp:posOffset>2057400</wp:posOffset>
                </wp:positionH>
                <wp:positionV relativeFrom="page">
                  <wp:posOffset>1788723</wp:posOffset>
                </wp:positionV>
                <wp:extent cx="3656965" cy="140335"/>
                <wp:effectExtent l="0" t="0" r="0" b="0"/>
                <wp:wrapNone/>
                <wp:docPr id="741" name="Textbox 741"/>
                <wp:cNvGraphicFramePr>
                  <a:graphicFrameLocks/>
                </wp:cNvGraphicFramePr>
                <a:graphic>
                  <a:graphicData uri="http://schemas.microsoft.com/office/word/2010/wordprocessingShape">
                    <wps:wsp>
                      <wps:cNvPr id="741" name="Textbox 741"/>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372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289024" type="#_x0000_t202" id="docshape733"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372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106" w:right="0" w:firstLine="0"/>
        <w:rPr>
          <w:sz w:val="20"/>
        </w:rPr>
      </w:pPr>
      <w:r>
        <w:rPr>
          <w:sz w:val="20"/>
        </w:rPr>
        <mc:AlternateContent>
          <mc:Choice Requires="wps">
            <w:drawing>
              <wp:inline distT="0" distB="0" distL="0" distR="0">
                <wp:extent cx="4044950" cy="699770"/>
                <wp:effectExtent l="0" t="0" r="0" b="0"/>
                <wp:docPr id="742" name="Group 742"/>
                <wp:cNvGraphicFramePr>
                  <a:graphicFrameLocks/>
                </wp:cNvGraphicFramePr>
                <a:graphic>
                  <a:graphicData uri="http://schemas.microsoft.com/office/word/2010/wordprocessingGroup">
                    <wpg:wgp>
                      <wpg:cNvPr id="742" name="Group 742"/>
                      <wpg:cNvGrpSpPr/>
                      <wpg:grpSpPr>
                        <a:xfrm>
                          <a:off x="0" y="0"/>
                          <a:ext cx="4044950" cy="699770"/>
                          <a:chExt cx="4044950" cy="699770"/>
                        </a:xfrm>
                      </wpg:grpSpPr>
                      <wps:wsp>
                        <wps:cNvPr id="743" name="Graphic 743"/>
                        <wps:cNvSpPr/>
                        <wps:spPr>
                          <a:xfrm>
                            <a:off x="0" y="0"/>
                            <a:ext cx="4044950" cy="699770"/>
                          </a:xfrm>
                          <a:custGeom>
                            <a:avLst/>
                            <a:gdLst/>
                            <a:ahLst/>
                            <a:cxnLst/>
                            <a:rect l="l" t="t" r="r" b="b"/>
                            <a:pathLst>
                              <a:path w="4044950" h="699770">
                                <a:moveTo>
                                  <a:pt x="4044696" y="699516"/>
                                </a:moveTo>
                                <a:lnTo>
                                  <a:pt x="0" y="699516"/>
                                </a:lnTo>
                                <a:lnTo>
                                  <a:pt x="0" y="0"/>
                                </a:lnTo>
                                <a:lnTo>
                                  <a:pt x="4044696" y="0"/>
                                </a:lnTo>
                                <a:lnTo>
                                  <a:pt x="4044696"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734" coordorigin="0,0" coordsize="6370,1102">
                <v:rect style="position:absolute;left:0;top:0;width:6370;height:1102" id="docshape735"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63296">
                <wp:simplePos x="0" y="0"/>
                <wp:positionH relativeFrom="page">
                  <wp:posOffset>3514344</wp:posOffset>
                </wp:positionH>
                <wp:positionV relativeFrom="paragraph">
                  <wp:posOffset>272922</wp:posOffset>
                </wp:positionV>
                <wp:extent cx="728980" cy="655320"/>
                <wp:effectExtent l="0" t="0" r="0" b="0"/>
                <wp:wrapTopAndBottom/>
                <wp:docPr id="744" name="Group 744"/>
                <wp:cNvGraphicFramePr>
                  <a:graphicFrameLocks/>
                </wp:cNvGraphicFramePr>
                <a:graphic>
                  <a:graphicData uri="http://schemas.microsoft.com/office/word/2010/wordprocessingGroup">
                    <wpg:wgp>
                      <wpg:cNvPr id="744" name="Group 744"/>
                      <wpg:cNvGrpSpPr/>
                      <wpg:grpSpPr>
                        <a:xfrm>
                          <a:off x="0" y="0"/>
                          <a:ext cx="728980" cy="655320"/>
                          <a:chExt cx="728980" cy="655320"/>
                        </a:xfrm>
                      </wpg:grpSpPr>
                      <pic:pic>
                        <pic:nvPicPr>
                          <pic:cNvPr id="745" name="Image 745"/>
                          <pic:cNvPicPr/>
                        </pic:nvPicPr>
                        <pic:blipFill>
                          <a:blip r:embed="rId128" cstate="print"/>
                          <a:stretch>
                            <a:fillRect/>
                          </a:stretch>
                        </pic:blipFill>
                        <pic:spPr>
                          <a:xfrm>
                            <a:off x="0" y="0"/>
                            <a:ext cx="728471" cy="655320"/>
                          </a:xfrm>
                          <a:prstGeom prst="rect">
                            <a:avLst/>
                          </a:prstGeom>
                        </pic:spPr>
                      </pic:pic>
                      <wps:wsp>
                        <wps:cNvPr id="746" name="Textbox 746"/>
                        <wps:cNvSpPr txBox="1"/>
                        <wps:spPr>
                          <a:xfrm>
                            <a:off x="0" y="0"/>
                            <a:ext cx="728980" cy="655320"/>
                          </a:xfrm>
                          <a:prstGeom prst="rect">
                            <a:avLst/>
                          </a:prstGeom>
                        </wps:spPr>
                        <wps:txbx>
                          <w:txbxContent>
                            <w:p>
                              <w:pPr>
                                <w:spacing w:before="328"/>
                                <w:ind w:left="391" w:right="0" w:firstLine="0"/>
                                <w:jc w:val="left"/>
                                <w:rPr>
                                  <w:rFonts w:ascii="Tahoma"/>
                                  <w:b/>
                                  <w:sz w:val="36"/>
                                </w:rPr>
                              </w:pPr>
                              <w:r>
                                <w:rPr>
                                  <w:rFonts w:ascii="Tahoma"/>
                                  <w:b/>
                                  <w:spacing w:val="-5"/>
                                  <w:w w:val="95"/>
                                  <w:sz w:val="36"/>
                                </w:rPr>
                                <w:t>38</w:t>
                              </w:r>
                            </w:p>
                          </w:txbxContent>
                        </wps:txbx>
                        <wps:bodyPr wrap="square" lIns="0" tIns="0" rIns="0" bIns="0" rtlCol="0">
                          <a:noAutofit/>
                        </wps:bodyPr>
                      </wps:wsp>
                    </wpg:wgp>
                  </a:graphicData>
                </a:graphic>
              </wp:anchor>
            </w:drawing>
          </mc:Choice>
          <mc:Fallback>
            <w:pict>
              <v:group style="position:absolute;margin-left:276.720001pt;margin-top:21.489992pt;width:57.4pt;height:51.6pt;mso-position-horizontal-relative:page;mso-position-vertical-relative:paragraph;z-index:-15453184;mso-wrap-distance-left:0;mso-wrap-distance-right:0" id="docshapegroup736" coordorigin="5534,430" coordsize="1148,1032">
                <v:shape style="position:absolute;left:5534;top:429;width:1148;height:1032" type="#_x0000_t75" id="docshape737" stroked="false">
                  <v:imagedata r:id="rId128" o:title=""/>
                </v:shape>
                <v:shape style="position:absolute;left:5534;top:429;width:1148;height:1032" type="#_x0000_t202" id="docshape738" filled="false" stroked="false">
                  <v:textbox inset="0,0,0,0">
                    <w:txbxContent>
                      <w:p>
                        <w:pPr>
                          <w:spacing w:before="328"/>
                          <w:ind w:left="391" w:right="0" w:firstLine="0"/>
                          <w:jc w:val="left"/>
                          <w:rPr>
                            <w:rFonts w:ascii="Tahoma"/>
                            <w:b/>
                            <w:sz w:val="36"/>
                          </w:rPr>
                        </w:pPr>
                        <w:r>
                          <w:rPr>
                            <w:rFonts w:ascii="Tahoma"/>
                            <w:b/>
                            <w:spacing w:val="-5"/>
                            <w:w w:val="95"/>
                            <w:sz w:val="36"/>
                          </w:rPr>
                          <w:t>38</w:t>
                        </w:r>
                      </w:p>
                    </w:txbxContent>
                  </v:textbox>
                  <w10:wrap type="none"/>
                </v:shape>
                <w10:wrap type="topAndBottom"/>
              </v:group>
            </w:pict>
          </mc:Fallback>
        </mc:AlternateContent>
      </w:r>
    </w:p>
    <w:p>
      <w:pPr>
        <w:pStyle w:val="Heading1"/>
        <w:spacing w:line="211" w:lineRule="auto"/>
        <w:ind w:left="1567" w:right="1437" w:hanging="82"/>
        <w:jc w:val="left"/>
      </w:pPr>
      <w:r>
        <w:rPr>
          <w:spacing w:val="-4"/>
        </w:rPr>
        <w:t>A</w:t>
      </w:r>
      <w:r>
        <w:rPr>
          <w:spacing w:val="-18"/>
        </w:rPr>
        <w:t> </w:t>
      </w:r>
      <w:r>
        <w:rPr>
          <w:spacing w:val="-4"/>
        </w:rPr>
        <w:t>Critical</w:t>
      </w:r>
      <w:r>
        <w:rPr>
          <w:spacing w:val="-17"/>
        </w:rPr>
        <w:t> </w:t>
      </w:r>
      <w:r>
        <w:rPr>
          <w:spacing w:val="-4"/>
        </w:rPr>
        <w:t>Study</w:t>
      </w:r>
      <w:r>
        <w:rPr>
          <w:spacing w:val="-17"/>
        </w:rPr>
        <w:t> </w:t>
      </w:r>
      <w:r>
        <w:rPr>
          <w:spacing w:val="-4"/>
        </w:rPr>
        <w:t>of</w:t>
      </w:r>
      <w:r>
        <w:rPr>
          <w:spacing w:val="-19"/>
        </w:rPr>
        <w:t> </w:t>
      </w:r>
      <w:r>
        <w:rPr>
          <w:spacing w:val="-4"/>
        </w:rPr>
        <w:t>the</w:t>
      </w:r>
      <w:r>
        <w:rPr>
          <w:spacing w:val="-18"/>
        </w:rPr>
        <w:t> </w:t>
      </w:r>
      <w:r>
        <w:rPr>
          <w:spacing w:val="-4"/>
        </w:rPr>
        <w:t>Power</w:t>
      </w:r>
      <w:r>
        <w:rPr>
          <w:spacing w:val="-15"/>
        </w:rPr>
        <w:t> </w:t>
      </w:r>
      <w:r>
        <w:rPr>
          <w:spacing w:val="-4"/>
        </w:rPr>
        <w:t>Politics </w:t>
      </w:r>
      <w:r>
        <w:rPr/>
        <w:t>and Gender Dynamics in the Plays</w:t>
      </w:r>
    </w:p>
    <w:p>
      <w:pPr>
        <w:tabs>
          <w:tab w:pos="2498" w:val="left" w:leader="none"/>
          <w:tab w:pos="7199" w:val="left" w:leader="none"/>
        </w:tabs>
        <w:spacing w:line="347" w:lineRule="exact" w:before="0"/>
        <w:ind w:left="1440" w:right="0" w:firstLine="0"/>
        <w:jc w:val="left"/>
        <w:rPr>
          <w:rFonts w:ascii="Tahoma"/>
          <w:b/>
          <w:sz w:val="32"/>
        </w:rPr>
      </w:pPr>
      <w:r>
        <w:rPr>
          <w:sz w:val="32"/>
          <w:u w:val="single"/>
        </w:rPr>
        <w:tab/>
      </w:r>
      <w:r>
        <w:rPr>
          <w:rFonts w:ascii="Tahoma"/>
          <w:b/>
          <w:spacing w:val="-10"/>
          <w:sz w:val="32"/>
          <w:u w:val="single"/>
        </w:rPr>
        <w:t>of</w:t>
      </w:r>
      <w:r>
        <w:rPr>
          <w:rFonts w:ascii="Tahoma"/>
          <w:b/>
          <w:spacing w:val="-13"/>
          <w:sz w:val="32"/>
          <w:u w:val="single"/>
        </w:rPr>
        <w:t> </w:t>
      </w:r>
      <w:r>
        <w:rPr>
          <w:rFonts w:ascii="Tahoma"/>
          <w:b/>
          <w:spacing w:val="-10"/>
          <w:sz w:val="32"/>
          <w:u w:val="single"/>
        </w:rPr>
        <w:t>William</w:t>
      </w:r>
      <w:r>
        <w:rPr>
          <w:rFonts w:ascii="Tahoma"/>
          <w:b/>
          <w:spacing w:val="-11"/>
          <w:sz w:val="32"/>
          <w:u w:val="single"/>
        </w:rPr>
        <w:t> </w:t>
      </w:r>
      <w:r>
        <w:rPr>
          <w:rFonts w:ascii="Tahoma"/>
          <w:b/>
          <w:spacing w:val="-10"/>
          <w:sz w:val="32"/>
          <w:u w:val="single"/>
        </w:rPr>
        <w:t>Shakespeare</w:t>
      </w:r>
      <w:r>
        <w:rPr>
          <w:rFonts w:ascii="Tahoma"/>
          <w:b/>
          <w:sz w:val="32"/>
          <w:u w:val="single"/>
        </w:rPr>
        <w:tab/>
      </w:r>
    </w:p>
    <w:p>
      <w:pPr>
        <w:pStyle w:val="BodyText"/>
        <w:spacing w:before="4"/>
        <w:ind w:left="0"/>
        <w:rPr>
          <w:rFonts w:ascii="Tahoma"/>
          <w:b/>
          <w:sz w:val="4"/>
        </w:rPr>
      </w:pPr>
      <w:r>
        <w:rPr>
          <w:rFonts w:ascii="Tahoma"/>
          <w:b/>
          <w:sz w:val="4"/>
        </w:rPr>
        <mc:AlternateContent>
          <mc:Choice Requires="wps">
            <w:drawing>
              <wp:anchor distT="0" distB="0" distL="0" distR="0" allowOverlap="1" layoutInCell="1" locked="0" behindDoc="1" simplePos="0" relativeHeight="487863808">
                <wp:simplePos x="0" y="0"/>
                <wp:positionH relativeFrom="page">
                  <wp:posOffset>2057400</wp:posOffset>
                </wp:positionH>
                <wp:positionV relativeFrom="paragraph">
                  <wp:posOffset>48875</wp:posOffset>
                </wp:positionV>
                <wp:extent cx="3657600" cy="7620"/>
                <wp:effectExtent l="0" t="0" r="0" b="0"/>
                <wp:wrapTopAndBottom/>
                <wp:docPr id="747" name="Graphic 747"/>
                <wp:cNvGraphicFramePr>
                  <a:graphicFrameLocks/>
                </wp:cNvGraphicFramePr>
                <a:graphic>
                  <a:graphicData uri="http://schemas.microsoft.com/office/word/2010/wordprocessingShape">
                    <wps:wsp>
                      <wps:cNvPr id="747" name="Graphic 747"/>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3.848486pt;width:288.000009pt;height:.599991pt;mso-position-horizontal-relative:page;mso-position-vertical-relative:paragraph;z-index:-15452672;mso-wrap-distance-left:0;mso-wrap-distance-right:0" id="docshape739" filled="true" fillcolor="#000000" stroked="false">
                <v:fill type="solid"/>
                <w10:wrap type="topAndBottom"/>
              </v:rect>
            </w:pict>
          </mc:Fallback>
        </mc:AlternateContent>
      </w:r>
    </w:p>
    <w:p>
      <w:pPr>
        <w:pStyle w:val="BodyText"/>
        <w:spacing w:before="15"/>
        <w:ind w:left="0"/>
        <w:rPr>
          <w:rFonts w:ascii="Tahoma"/>
          <w:b/>
          <w:sz w:val="32"/>
        </w:rPr>
      </w:pPr>
    </w:p>
    <w:p>
      <w:pPr>
        <w:spacing w:line="252" w:lineRule="auto" w:before="0"/>
        <w:ind w:left="2385" w:right="1438" w:firstLine="1454"/>
        <w:jc w:val="right"/>
        <w:rPr>
          <w:i/>
          <w:sz w:val="19"/>
        </w:rPr>
      </w:pPr>
      <w:r>
        <w:rPr>
          <w:b/>
          <w:i/>
          <w:sz w:val="22"/>
        </w:rPr>
        <w:t>Dr.</w:t>
      </w:r>
      <w:r>
        <w:rPr>
          <w:b/>
          <w:i/>
          <w:spacing w:val="40"/>
          <w:sz w:val="22"/>
        </w:rPr>
        <w:t> </w:t>
      </w:r>
      <w:r>
        <w:rPr>
          <w:b/>
          <w:i/>
          <w:sz w:val="22"/>
        </w:rPr>
        <w:t>Kalpana</w:t>
      </w:r>
      <w:r>
        <w:rPr>
          <w:b/>
          <w:i/>
          <w:spacing w:val="40"/>
          <w:sz w:val="22"/>
        </w:rPr>
        <w:t> </w:t>
      </w:r>
      <w:r>
        <w:rPr>
          <w:b/>
          <w:i/>
          <w:sz w:val="22"/>
        </w:rPr>
        <w:t>Mohanrao</w:t>
      </w:r>
      <w:r>
        <w:rPr>
          <w:b/>
          <w:i/>
          <w:spacing w:val="40"/>
          <w:sz w:val="22"/>
        </w:rPr>
        <w:t> </w:t>
      </w:r>
      <w:r>
        <w:rPr>
          <w:b/>
          <w:i/>
          <w:sz w:val="22"/>
        </w:rPr>
        <w:t>Wankhade </w:t>
      </w:r>
      <w:r>
        <w:rPr>
          <w:i/>
          <w:sz w:val="19"/>
        </w:rPr>
        <w:t>Department</w:t>
      </w:r>
      <w:r>
        <w:rPr>
          <w:i/>
          <w:spacing w:val="40"/>
          <w:sz w:val="19"/>
        </w:rPr>
        <w:t> </w:t>
      </w:r>
      <w:r>
        <w:rPr>
          <w:i/>
          <w:sz w:val="19"/>
        </w:rPr>
        <w:t>of</w:t>
      </w:r>
      <w:r>
        <w:rPr>
          <w:i/>
          <w:spacing w:val="40"/>
          <w:sz w:val="19"/>
        </w:rPr>
        <w:t> </w:t>
      </w:r>
      <w:r>
        <w:rPr>
          <w:i/>
          <w:sz w:val="19"/>
        </w:rPr>
        <w:t>English,</w:t>
      </w:r>
      <w:r>
        <w:rPr>
          <w:i/>
          <w:spacing w:val="40"/>
          <w:sz w:val="19"/>
        </w:rPr>
        <w:t> </w:t>
      </w:r>
      <w:r>
        <w:rPr>
          <w:i/>
          <w:sz w:val="19"/>
        </w:rPr>
        <w:t>Government</w:t>
      </w:r>
      <w:r>
        <w:rPr>
          <w:i/>
          <w:spacing w:val="40"/>
          <w:sz w:val="19"/>
        </w:rPr>
        <w:t> </w:t>
      </w:r>
      <w:r>
        <w:rPr>
          <w:i/>
          <w:sz w:val="19"/>
        </w:rPr>
        <w:t>Vidarbha</w:t>
      </w:r>
      <w:r>
        <w:rPr>
          <w:i/>
          <w:spacing w:val="40"/>
          <w:sz w:val="19"/>
        </w:rPr>
        <w:t> </w:t>
      </w:r>
      <w:r>
        <w:rPr>
          <w:i/>
          <w:sz w:val="19"/>
        </w:rPr>
        <w:t>Institute</w:t>
      </w:r>
      <w:r>
        <w:rPr>
          <w:i/>
          <w:spacing w:val="40"/>
          <w:sz w:val="19"/>
        </w:rPr>
        <w:t> </w:t>
      </w:r>
      <w:r>
        <w:rPr>
          <w:i/>
          <w:sz w:val="19"/>
        </w:rPr>
        <w:t>of Science</w:t>
      </w:r>
      <w:r>
        <w:rPr>
          <w:i/>
          <w:spacing w:val="40"/>
          <w:sz w:val="19"/>
        </w:rPr>
        <w:t> </w:t>
      </w:r>
      <w:r>
        <w:rPr>
          <w:i/>
          <w:sz w:val="19"/>
        </w:rPr>
        <w:t>and</w:t>
      </w:r>
      <w:r>
        <w:rPr>
          <w:i/>
          <w:spacing w:val="40"/>
          <w:sz w:val="19"/>
        </w:rPr>
        <w:t> </w:t>
      </w:r>
      <w:r>
        <w:rPr>
          <w:i/>
          <w:sz w:val="19"/>
        </w:rPr>
        <w:t>Humanities,</w:t>
      </w:r>
      <w:r>
        <w:rPr>
          <w:i/>
          <w:spacing w:val="40"/>
          <w:sz w:val="19"/>
        </w:rPr>
        <w:t> </w:t>
      </w:r>
      <w:r>
        <w:rPr>
          <w:i/>
          <w:sz w:val="19"/>
        </w:rPr>
        <w:t>Amravati,</w:t>
      </w:r>
      <w:r>
        <w:rPr>
          <w:i/>
          <w:spacing w:val="40"/>
          <w:sz w:val="19"/>
        </w:rPr>
        <w:t> </w:t>
      </w:r>
      <w:r>
        <w:rPr>
          <w:i/>
          <w:sz w:val="19"/>
        </w:rPr>
        <w:t>Maharashtra</w:t>
      </w:r>
    </w:p>
    <w:p>
      <w:pPr>
        <w:pStyle w:val="BodyText"/>
        <w:spacing w:before="144"/>
        <w:ind w:left="0"/>
        <w:rPr>
          <w:i/>
          <w:sz w:val="19"/>
        </w:rPr>
      </w:pPr>
    </w:p>
    <w:p>
      <w:pPr>
        <w:pStyle w:val="Heading3"/>
        <w:spacing w:before="0"/>
      </w:pPr>
      <w:r>
        <w:rPr>
          <w:spacing w:val="-2"/>
        </w:rPr>
        <w:t>ABSTRACT:</w:t>
      </w:r>
    </w:p>
    <w:p>
      <w:pPr>
        <w:pStyle w:val="BodyText"/>
        <w:spacing w:line="242" w:lineRule="auto" w:before="68"/>
        <w:ind w:right="1437" w:firstLine="432"/>
        <w:jc w:val="both"/>
      </w:pPr>
      <w:r>
        <w:rPr/>
        <w:t>Shakespearean plays portrayed a significant role in society, his tragedies are renowned for the exploration of complex human nature. This paper examines the complex nature, the gender dynamics and power politics in his great tragedies. This paper redirects the psychological insights and the role of gender in the sociological and political context of his tragedies. It examines the roles and experiences of women characters and their domination. This paper predominantly focused on the great tragedies such “Hamlet”, “Macbeth”, “Othello” and “King Lear”. This research highlights the social, cultural, political influences</w:t>
      </w:r>
      <w:r>
        <w:rPr>
          <w:spacing w:val="-6"/>
        </w:rPr>
        <w:t> </w:t>
      </w:r>
      <w:r>
        <w:rPr/>
        <w:t>of</w:t>
      </w:r>
      <w:r>
        <w:rPr>
          <w:spacing w:val="-6"/>
        </w:rPr>
        <w:t> </w:t>
      </w:r>
      <w:r>
        <w:rPr/>
        <w:t>Shakespeare’s</w:t>
      </w:r>
      <w:r>
        <w:rPr>
          <w:spacing w:val="-6"/>
        </w:rPr>
        <w:t> </w:t>
      </w:r>
      <w:r>
        <w:rPr/>
        <w:t>portrayal</w:t>
      </w:r>
      <w:r>
        <w:rPr>
          <w:spacing w:val="-4"/>
        </w:rPr>
        <w:t> </w:t>
      </w:r>
      <w:r>
        <w:rPr/>
        <w:t>of</w:t>
      </w:r>
      <w:r>
        <w:rPr>
          <w:spacing w:val="-6"/>
        </w:rPr>
        <w:t> </w:t>
      </w:r>
      <w:r>
        <w:rPr/>
        <w:t>gender,</w:t>
      </w:r>
      <w:r>
        <w:rPr>
          <w:spacing w:val="-4"/>
        </w:rPr>
        <w:t> </w:t>
      </w:r>
      <w:r>
        <w:rPr/>
        <w:t>through</w:t>
      </w:r>
      <w:r>
        <w:rPr>
          <w:spacing w:val="-6"/>
        </w:rPr>
        <w:t> </w:t>
      </w:r>
      <w:r>
        <w:rPr/>
        <w:t>a</w:t>
      </w:r>
      <w:r>
        <w:rPr>
          <w:spacing w:val="-5"/>
        </w:rPr>
        <w:t> </w:t>
      </w:r>
      <w:r>
        <w:rPr/>
        <w:t>critical</w:t>
      </w:r>
      <w:r>
        <w:rPr>
          <w:spacing w:val="-6"/>
        </w:rPr>
        <w:t> </w:t>
      </w:r>
      <w:r>
        <w:rPr/>
        <w:t>study of Shakespeare’s theme, motif and power structure analyzed women character’s, their struggle for existence and social justice. By the study and junctures of power politics and gender dynamics this paper shed</w:t>
      </w:r>
      <w:r>
        <w:rPr>
          <w:spacing w:val="40"/>
        </w:rPr>
        <w:t> </w:t>
      </w:r>
      <w:r>
        <w:rPr/>
        <w:t>the light on the revisiting and re-examined power politics and gender </w:t>
      </w:r>
      <w:r>
        <w:rPr>
          <w:spacing w:val="-2"/>
        </w:rPr>
        <w:t>dynamics.</w:t>
      </w:r>
    </w:p>
    <w:p>
      <w:pPr>
        <w:pStyle w:val="BodyText"/>
        <w:spacing w:line="242" w:lineRule="auto" w:before="53"/>
        <w:ind w:right="1440" w:firstLine="432"/>
        <w:jc w:val="both"/>
      </w:pPr>
      <w:r>
        <w:rPr>
          <w:b/>
        </w:rPr>
        <w:t>Keywords:</w:t>
      </w:r>
      <w:r>
        <w:rPr>
          <w:b/>
          <w:spacing w:val="-5"/>
        </w:rPr>
        <w:t> </w:t>
      </w:r>
      <w:r>
        <w:rPr/>
        <w:t>Power,</w:t>
      </w:r>
      <w:r>
        <w:rPr>
          <w:spacing w:val="-5"/>
        </w:rPr>
        <w:t> </w:t>
      </w:r>
      <w:r>
        <w:rPr/>
        <w:t>Patriarchy,</w:t>
      </w:r>
      <w:r>
        <w:rPr>
          <w:spacing w:val="-5"/>
        </w:rPr>
        <w:t> </w:t>
      </w:r>
      <w:r>
        <w:rPr/>
        <w:t>Politics,</w:t>
      </w:r>
      <w:r>
        <w:rPr>
          <w:spacing w:val="-5"/>
        </w:rPr>
        <w:t> </w:t>
      </w:r>
      <w:r>
        <w:rPr/>
        <w:t>Gender</w:t>
      </w:r>
      <w:r>
        <w:rPr>
          <w:spacing w:val="-5"/>
        </w:rPr>
        <w:t> </w:t>
      </w:r>
      <w:r>
        <w:rPr/>
        <w:t>dynamics,</w:t>
      </w:r>
      <w:r>
        <w:rPr>
          <w:spacing w:val="-6"/>
        </w:rPr>
        <w:t> </w:t>
      </w:r>
      <w:r>
        <w:rPr/>
        <w:t>Justice, Societal norms.</w:t>
      </w:r>
    </w:p>
    <w:p>
      <w:pPr>
        <w:pStyle w:val="Heading3"/>
        <w:spacing w:before="152"/>
      </w:pPr>
      <w:r>
        <w:rPr>
          <w:spacing w:val="2"/>
          <w:w w:val="85"/>
        </w:rPr>
        <w:t>INTRODUCTION:</w:t>
      </w:r>
      <w:r>
        <w:rPr>
          <w:spacing w:val="23"/>
        </w:rPr>
        <w:t> </w:t>
      </w:r>
      <w:r>
        <w:rPr>
          <w:spacing w:val="-10"/>
        </w:rPr>
        <w:t>-</w:t>
      </w:r>
    </w:p>
    <w:p>
      <w:pPr>
        <w:pStyle w:val="BodyText"/>
        <w:spacing w:line="249" w:lineRule="auto" w:before="73"/>
        <w:ind w:right="1438" w:firstLine="432"/>
        <w:jc w:val="both"/>
      </w:pPr>
      <w:r>
        <w:rPr/>
        <w:t>The Shakespearean tragedies are exceptional and captivating audience</w:t>
      </w:r>
      <w:r>
        <w:rPr>
          <w:spacing w:val="29"/>
        </w:rPr>
        <w:t> </w:t>
      </w:r>
      <w:r>
        <w:rPr/>
        <w:t>for</w:t>
      </w:r>
      <w:r>
        <w:rPr>
          <w:spacing w:val="29"/>
        </w:rPr>
        <w:t> </w:t>
      </w:r>
      <w:r>
        <w:rPr/>
        <w:t>centuries</w:t>
      </w:r>
      <w:r>
        <w:rPr>
          <w:spacing w:val="28"/>
        </w:rPr>
        <w:t> </w:t>
      </w:r>
      <w:r>
        <w:rPr/>
        <w:t>with</w:t>
      </w:r>
      <w:r>
        <w:rPr>
          <w:spacing w:val="28"/>
        </w:rPr>
        <w:t> </w:t>
      </w:r>
      <w:r>
        <w:rPr/>
        <w:t>their</w:t>
      </w:r>
      <w:r>
        <w:rPr>
          <w:spacing w:val="29"/>
        </w:rPr>
        <w:t> </w:t>
      </w:r>
      <w:r>
        <w:rPr/>
        <w:t>compelling</w:t>
      </w:r>
      <w:r>
        <w:rPr>
          <w:spacing w:val="28"/>
        </w:rPr>
        <w:t> </w:t>
      </w:r>
      <w:r>
        <w:rPr/>
        <w:t>narratives</w:t>
      </w:r>
      <w:r>
        <w:rPr>
          <w:spacing w:val="28"/>
        </w:rPr>
        <w:t> </w:t>
      </w:r>
      <w:r>
        <w:rPr/>
        <w:t>and</w:t>
      </w:r>
      <w:r>
        <w:rPr>
          <w:spacing w:val="30"/>
        </w:rPr>
        <w:t> </w:t>
      </w:r>
      <w:r>
        <w:rPr>
          <w:spacing w:val="-2"/>
        </w:rPr>
        <w:t>profound</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4832">
                <wp:simplePos x="0" y="0"/>
                <wp:positionH relativeFrom="page">
                  <wp:posOffset>2065020</wp:posOffset>
                </wp:positionH>
                <wp:positionV relativeFrom="paragraph">
                  <wp:posOffset>795020</wp:posOffset>
                </wp:positionV>
                <wp:extent cx="3657600" cy="12700"/>
                <wp:effectExtent l="0" t="0" r="0" b="0"/>
                <wp:wrapTopAndBottom/>
                <wp:docPr id="748" name="Graphic 748"/>
                <wp:cNvGraphicFramePr>
                  <a:graphicFrameLocks/>
                </wp:cNvGraphicFramePr>
                <a:graphic>
                  <a:graphicData uri="http://schemas.microsoft.com/office/word/2010/wordprocessingShape">
                    <wps:wsp>
                      <wps:cNvPr id="748" name="Graphic 74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51648;mso-wrap-distance-left:0;mso-wrap-distance-right:0" id="docshape740" filled="true" fillcolor="#000000" stroked="false">
                <v:fill type="solid"/>
                <w10:wrap type="topAndBottom"/>
              </v:rect>
            </w:pict>
          </mc:Fallback>
        </mc:AlternateContent>
      </w:r>
      <w:r>
        <w:rPr>
          <w:rFonts w:ascii="Verdana"/>
          <w:sz w:val="18"/>
        </w:rPr>
        <w:t>A</w:t>
      </w:r>
      <w:r>
        <w:rPr>
          <w:rFonts w:ascii="Verdana"/>
          <w:spacing w:val="3"/>
          <w:sz w:val="18"/>
        </w:rPr>
        <w:t> </w:t>
      </w:r>
      <w:r>
        <w:rPr>
          <w:rFonts w:ascii="Verdana"/>
          <w:sz w:val="18"/>
        </w:rPr>
        <w:t>Critical</w:t>
      </w:r>
      <w:r>
        <w:rPr>
          <w:rFonts w:ascii="Verdana"/>
          <w:spacing w:val="10"/>
          <w:sz w:val="18"/>
        </w:rPr>
        <w:t> </w:t>
      </w:r>
      <w:r>
        <w:rPr>
          <w:rFonts w:ascii="Verdana"/>
          <w:sz w:val="18"/>
        </w:rPr>
        <w:t>Study</w:t>
      </w:r>
      <w:r>
        <w:rPr>
          <w:rFonts w:ascii="Verdana"/>
          <w:spacing w:val="13"/>
          <w:sz w:val="18"/>
        </w:rPr>
        <w:t> </w:t>
      </w:r>
      <w:r>
        <w:rPr>
          <w:rFonts w:ascii="Verdana"/>
          <w:sz w:val="18"/>
        </w:rPr>
        <w:t>of</w:t>
      </w:r>
      <w:r>
        <w:rPr>
          <w:rFonts w:ascii="Verdana"/>
          <w:spacing w:val="13"/>
          <w:sz w:val="18"/>
        </w:rPr>
        <w:t> </w:t>
      </w:r>
      <w:r>
        <w:rPr>
          <w:rFonts w:ascii="Verdana"/>
          <w:sz w:val="18"/>
        </w:rPr>
        <w:t>the</w:t>
      </w:r>
      <w:r>
        <w:rPr>
          <w:rFonts w:ascii="Verdana"/>
          <w:spacing w:val="12"/>
          <w:sz w:val="18"/>
        </w:rPr>
        <w:t> </w:t>
      </w:r>
      <w:r>
        <w:rPr>
          <w:rFonts w:ascii="Verdana"/>
          <w:sz w:val="18"/>
        </w:rPr>
        <w:t>Power</w:t>
      </w:r>
      <w:r>
        <w:rPr>
          <w:rFonts w:ascii="Verdana"/>
          <w:spacing w:val="13"/>
          <w:sz w:val="18"/>
        </w:rPr>
        <w:t> </w:t>
      </w:r>
      <w:r>
        <w:rPr>
          <w:rFonts w:ascii="Verdana"/>
          <w:sz w:val="18"/>
        </w:rPr>
        <w:t>Politics</w:t>
      </w:r>
      <w:r>
        <w:rPr>
          <w:rFonts w:ascii="Verdana"/>
          <w:spacing w:val="11"/>
          <w:sz w:val="18"/>
        </w:rPr>
        <w:t> </w:t>
      </w:r>
      <w:r>
        <w:rPr>
          <w:rFonts w:ascii="Verdana"/>
          <w:sz w:val="18"/>
        </w:rPr>
        <w:t>and</w:t>
      </w:r>
      <w:r>
        <w:rPr>
          <w:rFonts w:ascii="Verdana"/>
          <w:spacing w:val="10"/>
          <w:sz w:val="18"/>
        </w:rPr>
        <w:t> </w:t>
      </w:r>
      <w:r>
        <w:rPr>
          <w:rFonts w:ascii="Verdana"/>
          <w:spacing w:val="-2"/>
          <w:sz w:val="18"/>
        </w:rPr>
        <w:t>Gender...</w:t>
      </w:r>
      <w:r>
        <w:rPr>
          <w:sz w:val="18"/>
        </w:rPr>
        <w:tab/>
      </w:r>
      <w:r>
        <w:rPr>
          <w:rFonts w:ascii="Verdana"/>
          <w:spacing w:val="-5"/>
          <w:sz w:val="18"/>
        </w:rPr>
        <w:t>373</w:t>
      </w:r>
    </w:p>
    <w:p>
      <w:pPr>
        <w:pStyle w:val="BodyText"/>
        <w:spacing w:line="249" w:lineRule="auto" w:before="192"/>
        <w:ind w:right="1437"/>
        <w:jc w:val="both"/>
      </w:pPr>
      <w:r>
        <w:rPr>
          <w:spacing w:val="10"/>
        </w:rPr>
        <w:t>exploration</w:t>
      </w:r>
      <w:r>
        <w:rPr>
          <w:spacing w:val="10"/>
        </w:rPr>
        <w:t> </w:t>
      </w:r>
      <w:r>
        <w:rPr/>
        <w:t>of human </w:t>
      </w:r>
      <w:r>
        <w:rPr>
          <w:spacing w:val="9"/>
        </w:rPr>
        <w:t>nature.</w:t>
      </w:r>
      <w:r>
        <w:rPr>
          <w:spacing w:val="9"/>
        </w:rPr>
        <w:t> </w:t>
      </w:r>
      <w:r>
        <w:rPr/>
        <w:t>Among the </w:t>
      </w:r>
      <w:r>
        <w:rPr>
          <w:spacing w:val="9"/>
        </w:rPr>
        <w:t>various</w:t>
      </w:r>
      <w:r>
        <w:rPr>
          <w:spacing w:val="9"/>
        </w:rPr>
        <w:t> </w:t>
      </w:r>
      <w:r>
        <w:rPr>
          <w:spacing w:val="10"/>
        </w:rPr>
        <w:t>aspects</w:t>
      </w:r>
      <w:r>
        <w:rPr>
          <w:spacing w:val="10"/>
        </w:rPr>
        <w:t> </w:t>
      </w:r>
      <w:r>
        <w:rPr/>
        <w:t>of </w:t>
      </w:r>
      <w:r>
        <w:rPr>
          <w:spacing w:val="-2"/>
        </w:rPr>
        <w:t>Shakespearean</w:t>
      </w:r>
      <w:r>
        <w:rPr>
          <w:spacing w:val="-3"/>
        </w:rPr>
        <w:t> </w:t>
      </w:r>
      <w:r>
        <w:rPr>
          <w:spacing w:val="-2"/>
        </w:rPr>
        <w:t>tragedies,</w:t>
      </w:r>
      <w:r>
        <w:rPr>
          <w:spacing w:val="-6"/>
        </w:rPr>
        <w:t> </w:t>
      </w:r>
      <w:r>
        <w:rPr>
          <w:spacing w:val="-2"/>
        </w:rPr>
        <w:t>the</w:t>
      </w:r>
      <w:r>
        <w:rPr>
          <w:spacing w:val="-3"/>
        </w:rPr>
        <w:t> </w:t>
      </w:r>
      <w:r>
        <w:rPr>
          <w:spacing w:val="-2"/>
        </w:rPr>
        <w:t>power</w:t>
      </w:r>
      <w:r>
        <w:rPr>
          <w:spacing w:val="-3"/>
        </w:rPr>
        <w:t> </w:t>
      </w:r>
      <w:r>
        <w:rPr>
          <w:spacing w:val="-2"/>
        </w:rPr>
        <w:t>politics</w:t>
      </w:r>
      <w:r>
        <w:rPr>
          <w:spacing w:val="-3"/>
        </w:rPr>
        <w:t> </w:t>
      </w:r>
      <w:r>
        <w:rPr>
          <w:spacing w:val="-2"/>
        </w:rPr>
        <w:t>and gender</w:t>
      </w:r>
      <w:r>
        <w:rPr>
          <w:spacing w:val="-6"/>
        </w:rPr>
        <w:t> </w:t>
      </w:r>
      <w:r>
        <w:rPr>
          <w:spacing w:val="-2"/>
        </w:rPr>
        <w:t>dynamics</w:t>
      </w:r>
      <w:r>
        <w:rPr>
          <w:spacing w:val="-3"/>
        </w:rPr>
        <w:t> </w:t>
      </w:r>
      <w:r>
        <w:rPr>
          <w:spacing w:val="-2"/>
        </w:rPr>
        <w:t>occupy </w:t>
      </w:r>
      <w:r>
        <w:rPr/>
        <w:t>a core place, shedding light on the social and political issues of every era. These are profoundly interlinked, reflecting the stern patriarchal structures of society, while his tragedies distinctly challenging, destabilizing and examining the social constructions of these roles. Shakespeare’s works explores how power is manipulated, how gender intervenes access to that power, and how ambitious characters navigate or</w:t>
      </w:r>
      <w:r>
        <w:rPr>
          <w:spacing w:val="40"/>
        </w:rPr>
        <w:t> </w:t>
      </w:r>
      <w:r>
        <w:rPr/>
        <w:t>control</w:t>
      </w:r>
      <w:r>
        <w:rPr>
          <w:spacing w:val="40"/>
        </w:rPr>
        <w:t> </w:t>
      </w:r>
      <w:r>
        <w:rPr/>
        <w:t>these</w:t>
      </w:r>
      <w:r>
        <w:rPr>
          <w:spacing w:val="40"/>
        </w:rPr>
        <w:t> </w:t>
      </w:r>
      <w:r>
        <w:rPr/>
        <w:t>traditional</w:t>
      </w:r>
      <w:r>
        <w:rPr>
          <w:spacing w:val="40"/>
        </w:rPr>
        <w:t> </w:t>
      </w:r>
      <w:r>
        <w:rPr/>
        <w:t>norms.</w:t>
      </w:r>
    </w:p>
    <w:p>
      <w:pPr>
        <w:pStyle w:val="Heading3"/>
        <w:spacing w:before="161"/>
        <w:jc w:val="both"/>
      </w:pPr>
      <w:r>
        <w:rPr>
          <w:w w:val="85"/>
        </w:rPr>
        <w:t>POWER</w:t>
      </w:r>
      <w:r>
        <w:rPr>
          <w:spacing w:val="20"/>
        </w:rPr>
        <w:t> </w:t>
      </w:r>
      <w:r>
        <w:rPr>
          <w:w w:val="85"/>
        </w:rPr>
        <w:t>POLITICS</w:t>
      </w:r>
      <w:r>
        <w:rPr>
          <w:spacing w:val="17"/>
        </w:rPr>
        <w:t> </w:t>
      </w:r>
      <w:r>
        <w:rPr>
          <w:w w:val="85"/>
        </w:rPr>
        <w:t>IN</w:t>
      </w:r>
      <w:r>
        <w:rPr>
          <w:spacing w:val="21"/>
        </w:rPr>
        <w:t> </w:t>
      </w:r>
      <w:r>
        <w:rPr>
          <w:w w:val="85"/>
        </w:rPr>
        <w:t>SHAKESPEARE’S</w:t>
      </w:r>
      <w:r>
        <w:rPr>
          <w:spacing w:val="21"/>
        </w:rPr>
        <w:t> </w:t>
      </w:r>
      <w:r>
        <w:rPr>
          <w:spacing w:val="-2"/>
          <w:w w:val="85"/>
        </w:rPr>
        <w:t>PLAYS</w:t>
      </w:r>
    </w:p>
    <w:p>
      <w:pPr>
        <w:pStyle w:val="BodyText"/>
        <w:spacing w:line="249" w:lineRule="auto" w:before="75"/>
        <w:ind w:right="1438" w:firstLine="432"/>
        <w:jc w:val="both"/>
      </w:pPr>
      <w:r>
        <w:rPr/>
        <w:t>Shakespearean tragedies mainly focused on male protagonist, patriarchal structures, deeply set in the contemporary society, explores</w:t>
      </w:r>
      <w:r>
        <w:rPr>
          <w:spacing w:val="40"/>
        </w:rPr>
        <w:t> </w:t>
      </w:r>
      <w:r>
        <w:rPr/>
        <w:t>a crucial role in the construction of gender in Shakespeare’s tragedies. These structures determine an orderly system that licenses men and marginalizes women, resulting in power variations and restricted </w:t>
      </w:r>
      <w:r>
        <w:rPr>
          <w:spacing w:val="-2"/>
        </w:rPr>
        <w:t>opportunities</w:t>
      </w:r>
      <w:r>
        <w:rPr>
          <w:spacing w:val="-11"/>
        </w:rPr>
        <w:t> </w:t>
      </w:r>
      <w:r>
        <w:rPr>
          <w:spacing w:val="-2"/>
        </w:rPr>
        <w:t>for</w:t>
      </w:r>
      <w:r>
        <w:rPr>
          <w:spacing w:val="-10"/>
        </w:rPr>
        <w:t> </w:t>
      </w:r>
      <w:r>
        <w:rPr>
          <w:spacing w:val="-2"/>
        </w:rPr>
        <w:t>women.</w:t>
      </w:r>
      <w:r>
        <w:rPr>
          <w:spacing w:val="-11"/>
        </w:rPr>
        <w:t> </w:t>
      </w:r>
      <w:r>
        <w:rPr>
          <w:spacing w:val="-2"/>
        </w:rPr>
        <w:t>By</w:t>
      </w:r>
      <w:r>
        <w:rPr>
          <w:spacing w:val="-10"/>
        </w:rPr>
        <w:t> </w:t>
      </w:r>
      <w:r>
        <w:rPr>
          <w:spacing w:val="-2"/>
        </w:rPr>
        <w:t>studying</w:t>
      </w:r>
      <w:r>
        <w:rPr>
          <w:spacing w:val="-11"/>
        </w:rPr>
        <w:t> </w:t>
      </w:r>
      <w:r>
        <w:rPr>
          <w:spacing w:val="-2"/>
        </w:rPr>
        <w:t>the</w:t>
      </w:r>
      <w:r>
        <w:rPr>
          <w:spacing w:val="-10"/>
        </w:rPr>
        <w:t> </w:t>
      </w:r>
      <w:r>
        <w:rPr>
          <w:spacing w:val="-2"/>
        </w:rPr>
        <w:t>approaches</w:t>
      </w:r>
      <w:r>
        <w:rPr>
          <w:spacing w:val="-11"/>
        </w:rPr>
        <w:t> </w:t>
      </w:r>
      <w:r>
        <w:rPr>
          <w:spacing w:val="-2"/>
        </w:rPr>
        <w:t>in</w:t>
      </w:r>
      <w:r>
        <w:rPr>
          <w:spacing w:val="-10"/>
        </w:rPr>
        <w:t> </w:t>
      </w:r>
      <w:r>
        <w:rPr>
          <w:spacing w:val="-2"/>
        </w:rPr>
        <w:t>which</w:t>
      </w:r>
      <w:r>
        <w:rPr>
          <w:spacing w:val="-11"/>
        </w:rPr>
        <w:t> </w:t>
      </w:r>
      <w:r>
        <w:rPr>
          <w:spacing w:val="-2"/>
        </w:rPr>
        <w:t>patriarchal </w:t>
      </w:r>
      <w:r>
        <w:rPr/>
        <w:t>structures manifest in the plays, it put on a deeper exploration of the power politics between genders and hold back positioned on women’s intervention and individuality. The purposeful relevance of feminist </w:t>
      </w:r>
      <w:r>
        <w:rPr>
          <w:spacing w:val="-2"/>
        </w:rPr>
        <w:t>literary</w:t>
      </w:r>
      <w:r>
        <w:rPr>
          <w:spacing w:val="-11"/>
        </w:rPr>
        <w:t> </w:t>
      </w:r>
      <w:r>
        <w:rPr>
          <w:spacing w:val="-2"/>
        </w:rPr>
        <w:t>theory</w:t>
      </w:r>
      <w:r>
        <w:rPr>
          <w:spacing w:val="-10"/>
        </w:rPr>
        <w:t> </w:t>
      </w:r>
      <w:r>
        <w:rPr>
          <w:spacing w:val="-2"/>
        </w:rPr>
        <w:t>to</w:t>
      </w:r>
      <w:r>
        <w:rPr>
          <w:spacing w:val="-11"/>
        </w:rPr>
        <w:t> </w:t>
      </w:r>
      <w:r>
        <w:rPr>
          <w:spacing w:val="-2"/>
        </w:rPr>
        <w:t>Shakespearean</w:t>
      </w:r>
      <w:r>
        <w:rPr>
          <w:spacing w:val="-10"/>
        </w:rPr>
        <w:t> </w:t>
      </w:r>
      <w:r>
        <w:rPr>
          <w:spacing w:val="-2"/>
        </w:rPr>
        <w:t>tragedies</w:t>
      </w:r>
      <w:r>
        <w:rPr>
          <w:spacing w:val="-11"/>
        </w:rPr>
        <w:t> </w:t>
      </w:r>
      <w:r>
        <w:rPr>
          <w:spacing w:val="-2"/>
        </w:rPr>
        <w:t>acknowledges</w:t>
      </w:r>
      <w:r>
        <w:rPr>
          <w:spacing w:val="-10"/>
        </w:rPr>
        <w:t> </w:t>
      </w:r>
      <w:r>
        <w:rPr>
          <w:spacing w:val="-2"/>
        </w:rPr>
        <w:t>a</w:t>
      </w:r>
      <w:r>
        <w:rPr>
          <w:spacing w:val="-11"/>
        </w:rPr>
        <w:t> </w:t>
      </w:r>
      <w:r>
        <w:rPr>
          <w:spacing w:val="-2"/>
        </w:rPr>
        <w:t>comprehensive </w:t>
      </w:r>
      <w:r>
        <w:rPr/>
        <w:t>analysis of power politics and gender dynamics. This approach enables a</w:t>
      </w:r>
      <w:r>
        <w:rPr>
          <w:spacing w:val="-3"/>
        </w:rPr>
        <w:t> </w:t>
      </w:r>
      <w:r>
        <w:rPr/>
        <w:t>critical</w:t>
      </w:r>
      <w:r>
        <w:rPr>
          <w:spacing w:val="-4"/>
        </w:rPr>
        <w:t> </w:t>
      </w:r>
      <w:r>
        <w:rPr/>
        <w:t>examination</w:t>
      </w:r>
      <w:r>
        <w:rPr>
          <w:spacing w:val="-3"/>
        </w:rPr>
        <w:t> </w:t>
      </w:r>
      <w:r>
        <w:rPr/>
        <w:t>of</w:t>
      </w:r>
      <w:r>
        <w:rPr>
          <w:spacing w:val="-5"/>
        </w:rPr>
        <w:t> </w:t>
      </w:r>
      <w:r>
        <w:rPr/>
        <w:t>the</w:t>
      </w:r>
      <w:r>
        <w:rPr>
          <w:spacing w:val="-1"/>
        </w:rPr>
        <w:t> </w:t>
      </w:r>
      <w:r>
        <w:rPr/>
        <w:t>action,</w:t>
      </w:r>
      <w:r>
        <w:rPr>
          <w:spacing w:val="-5"/>
        </w:rPr>
        <w:t> </w:t>
      </w:r>
      <w:r>
        <w:rPr/>
        <w:t>desires,</w:t>
      </w:r>
      <w:r>
        <w:rPr>
          <w:spacing w:val="-2"/>
        </w:rPr>
        <w:t> </w:t>
      </w:r>
      <w:r>
        <w:rPr/>
        <w:t>and</w:t>
      </w:r>
      <w:r>
        <w:rPr>
          <w:spacing w:val="-3"/>
        </w:rPr>
        <w:t> </w:t>
      </w:r>
      <w:r>
        <w:rPr/>
        <w:t>limitations</w:t>
      </w:r>
      <w:r>
        <w:rPr>
          <w:spacing w:val="-3"/>
        </w:rPr>
        <w:t> </w:t>
      </w:r>
      <w:r>
        <w:rPr/>
        <w:t>experienced by women characters. It urges an understanding of gender with other social categories such as class, race, and sexuality, enhancing our appreciation of complex portrayals of gender in Shakespeare’s plays. Power politics in Shakespeare’s tragedies refers to the harsh often struggle for authority, justice and control, where ambition and betrayal overshadow moral constraints. These tragedies are essentially analyses of</w:t>
      </w:r>
      <w:r>
        <w:rPr>
          <w:spacing w:val="-1"/>
        </w:rPr>
        <w:t> </w:t>
      </w:r>
      <w:r>
        <w:rPr/>
        <w:t>power politics. King Lear shows the improper division</w:t>
      </w:r>
      <w:r>
        <w:rPr>
          <w:spacing w:val="-1"/>
        </w:rPr>
        <w:t> </w:t>
      </w:r>
      <w:r>
        <w:rPr/>
        <w:t>of power and the abandonment of responsibility can destroy a state, leading to chaos and civil strife. The patriarchal pattern strongly suggested that through the following lines from the King Lear as</w:t>
      </w:r>
    </w:p>
    <w:p>
      <w:pPr>
        <w:spacing w:line="312" w:lineRule="auto" w:before="76"/>
        <w:ind w:left="2160" w:right="2893" w:firstLine="0"/>
        <w:jc w:val="both"/>
        <w:rPr>
          <w:i/>
          <w:sz w:val="20"/>
        </w:rPr>
      </w:pPr>
      <w:r>
        <w:rPr>
          <w:i/>
          <w:sz w:val="20"/>
        </w:rPr>
        <w:t>I am sorry, then, you have so lost a father That</w:t>
      </w:r>
      <w:r>
        <w:rPr>
          <w:i/>
          <w:spacing w:val="40"/>
          <w:sz w:val="20"/>
        </w:rPr>
        <w:t> </w:t>
      </w:r>
      <w:r>
        <w:rPr>
          <w:i/>
          <w:sz w:val="20"/>
        </w:rPr>
        <w:t>you</w:t>
      </w:r>
      <w:r>
        <w:rPr>
          <w:i/>
          <w:spacing w:val="40"/>
          <w:sz w:val="20"/>
        </w:rPr>
        <w:t> </w:t>
      </w:r>
      <w:r>
        <w:rPr>
          <w:i/>
          <w:sz w:val="20"/>
        </w:rPr>
        <w:t>must</w:t>
      </w:r>
      <w:r>
        <w:rPr>
          <w:i/>
          <w:spacing w:val="40"/>
          <w:sz w:val="20"/>
        </w:rPr>
        <w:t> </w:t>
      </w:r>
      <w:r>
        <w:rPr>
          <w:i/>
          <w:sz w:val="20"/>
        </w:rPr>
        <w:t>lose</w:t>
      </w:r>
      <w:r>
        <w:rPr>
          <w:i/>
          <w:spacing w:val="40"/>
          <w:sz w:val="20"/>
        </w:rPr>
        <w:t> </w:t>
      </w:r>
      <w:r>
        <w:rPr>
          <w:i/>
          <w:sz w:val="20"/>
        </w:rPr>
        <w:t>a</w:t>
      </w:r>
      <w:r>
        <w:rPr>
          <w:i/>
          <w:spacing w:val="40"/>
          <w:sz w:val="20"/>
        </w:rPr>
        <w:t> </w:t>
      </w:r>
      <w:r>
        <w:rPr>
          <w:i/>
          <w:sz w:val="20"/>
        </w:rPr>
        <w:t>lose</w:t>
      </w:r>
      <w:r>
        <w:rPr>
          <w:i/>
          <w:spacing w:val="40"/>
          <w:sz w:val="20"/>
        </w:rPr>
        <w:t> </w:t>
      </w:r>
      <w:r>
        <w:rPr>
          <w:i/>
          <w:sz w:val="20"/>
        </w:rPr>
        <w:t>a</w:t>
      </w:r>
      <w:r>
        <w:rPr>
          <w:i/>
          <w:spacing w:val="40"/>
          <w:sz w:val="20"/>
        </w:rPr>
        <w:t> </w:t>
      </w:r>
      <w:r>
        <w:rPr>
          <w:i/>
          <w:sz w:val="20"/>
        </w:rPr>
        <w:t>husband</w:t>
      </w:r>
    </w:p>
    <w:p>
      <w:pPr>
        <w:pStyle w:val="BodyText"/>
        <w:spacing w:line="249" w:lineRule="auto"/>
        <w:ind w:right="1439" w:firstLine="432"/>
        <w:jc w:val="both"/>
      </w:pPr>
      <w:r>
        <w:rPr/>
        <w:t>Women in the patriarchal is a secondary to father and husband it showed the deeply rooted power politics, culture and gender dynamic where women are the subject of male domination. Hamlet focuses on questioned</w:t>
      </w:r>
      <w:r>
        <w:rPr>
          <w:spacing w:val="14"/>
        </w:rPr>
        <w:t> </w:t>
      </w:r>
      <w:r>
        <w:rPr/>
        <w:t>authority,</w:t>
      </w:r>
      <w:r>
        <w:rPr>
          <w:spacing w:val="16"/>
        </w:rPr>
        <w:t> </w:t>
      </w:r>
      <w:r>
        <w:rPr/>
        <w:t>political</w:t>
      </w:r>
      <w:r>
        <w:rPr>
          <w:spacing w:val="15"/>
        </w:rPr>
        <w:t> </w:t>
      </w:r>
      <w:r>
        <w:rPr/>
        <w:t>corruption</w:t>
      </w:r>
      <w:r>
        <w:rPr>
          <w:spacing w:val="13"/>
        </w:rPr>
        <w:t> </w:t>
      </w:r>
      <w:r>
        <w:rPr/>
        <w:t>and</w:t>
      </w:r>
      <w:r>
        <w:rPr>
          <w:spacing w:val="14"/>
        </w:rPr>
        <w:t> </w:t>
      </w:r>
      <w:r>
        <w:rPr/>
        <w:t>revenge</w:t>
      </w:r>
      <w:r>
        <w:rPr>
          <w:spacing w:val="15"/>
        </w:rPr>
        <w:t> </w:t>
      </w:r>
      <w:r>
        <w:rPr/>
        <w:t>in</w:t>
      </w:r>
      <w:r>
        <w:rPr>
          <w:spacing w:val="14"/>
        </w:rPr>
        <w:t> </w:t>
      </w:r>
      <w:r>
        <w:rPr/>
        <w:t>a</w:t>
      </w:r>
      <w:r>
        <w:rPr>
          <w:spacing w:val="15"/>
        </w:rPr>
        <w:t> </w:t>
      </w:r>
      <w:r>
        <w:rPr/>
        <w:t>state</w:t>
      </w:r>
      <w:r>
        <w:rPr>
          <w:spacing w:val="14"/>
        </w:rPr>
        <w:t> </w:t>
      </w:r>
      <w:r>
        <w:rPr>
          <w:spacing w:val="-2"/>
        </w:rPr>
        <w:t>where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5344">
                <wp:simplePos x="0" y="0"/>
                <wp:positionH relativeFrom="page">
                  <wp:posOffset>2057400</wp:posOffset>
                </wp:positionH>
                <wp:positionV relativeFrom="paragraph">
                  <wp:posOffset>162604</wp:posOffset>
                </wp:positionV>
                <wp:extent cx="3657600" cy="12700"/>
                <wp:effectExtent l="0" t="0" r="0" b="0"/>
                <wp:wrapTopAndBottom/>
                <wp:docPr id="749" name="Graphic 749"/>
                <wp:cNvGraphicFramePr>
                  <a:graphicFrameLocks/>
                </wp:cNvGraphicFramePr>
                <a:graphic>
                  <a:graphicData uri="http://schemas.microsoft.com/office/word/2010/wordprocessingShape">
                    <wps:wsp>
                      <wps:cNvPr id="749" name="Graphic 74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51136;mso-wrap-distance-left:0;mso-wrap-distance-right:0" id="docshape741" filled="true" fillcolor="#000000" stroked="false">
                <v:fill type="solid"/>
                <w10:wrap type="topAndBottom"/>
              </v:rect>
            </w:pict>
          </mc:Fallback>
        </mc:AlternateContent>
      </w:r>
      <w:r>
        <w:rPr>
          <w:rFonts w:ascii="Verdana"/>
          <w:spacing w:val="-5"/>
          <w:sz w:val="18"/>
        </w:rPr>
        <w:t>374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Ophelia was the victim of prince anger and frustration raised by his understanding and its interpretation. She was rejected, cursed and humiliates</w:t>
      </w:r>
      <w:r>
        <w:rPr>
          <w:spacing w:val="-5"/>
        </w:rPr>
        <w:t> </w:t>
      </w:r>
      <w:r>
        <w:rPr/>
        <w:t>to</w:t>
      </w:r>
      <w:r>
        <w:rPr>
          <w:spacing w:val="-5"/>
        </w:rPr>
        <w:t> </w:t>
      </w:r>
      <w:r>
        <w:rPr/>
        <w:t>commit</w:t>
      </w:r>
      <w:r>
        <w:rPr>
          <w:spacing w:val="-5"/>
        </w:rPr>
        <w:t> </w:t>
      </w:r>
      <w:r>
        <w:rPr/>
        <w:t>a</w:t>
      </w:r>
      <w:r>
        <w:rPr>
          <w:spacing w:val="-2"/>
        </w:rPr>
        <w:t> </w:t>
      </w:r>
      <w:r>
        <w:rPr/>
        <w:t>suicide.</w:t>
      </w:r>
      <w:r>
        <w:rPr>
          <w:spacing w:val="-7"/>
        </w:rPr>
        <w:t> </w:t>
      </w:r>
      <w:r>
        <w:rPr/>
        <w:t>Her</w:t>
      </w:r>
      <w:r>
        <w:rPr>
          <w:spacing w:val="-3"/>
        </w:rPr>
        <w:t> </w:t>
      </w:r>
      <w:r>
        <w:rPr/>
        <w:t>grief</w:t>
      </w:r>
      <w:r>
        <w:rPr>
          <w:spacing w:val="-5"/>
        </w:rPr>
        <w:t> </w:t>
      </w:r>
      <w:r>
        <w:rPr/>
        <w:t>in</w:t>
      </w:r>
      <w:r>
        <w:rPr>
          <w:spacing w:val="-5"/>
        </w:rPr>
        <w:t> </w:t>
      </w:r>
      <w:r>
        <w:rPr/>
        <w:t>the</w:t>
      </w:r>
      <w:r>
        <w:rPr>
          <w:spacing w:val="-6"/>
        </w:rPr>
        <w:t> </w:t>
      </w:r>
      <w:r>
        <w:rPr/>
        <w:t>play</w:t>
      </w:r>
      <w:r>
        <w:rPr>
          <w:spacing w:val="-4"/>
        </w:rPr>
        <w:t> </w:t>
      </w:r>
      <w:r>
        <w:rPr>
          <w:i/>
        </w:rPr>
        <w:t>Hamlet</w:t>
      </w:r>
      <w:r>
        <w:rPr>
          <w:i/>
          <w:spacing w:val="-3"/>
        </w:rPr>
        <w:t> </w:t>
      </w:r>
      <w:r>
        <w:rPr/>
        <w:t>touches</w:t>
      </w:r>
      <w:r>
        <w:rPr>
          <w:spacing w:val="-5"/>
        </w:rPr>
        <w:t> </w:t>
      </w:r>
      <w:r>
        <w:rPr/>
        <w:t>the </w:t>
      </w:r>
      <w:r>
        <w:rPr>
          <w:spacing w:val="-2"/>
        </w:rPr>
        <w:t>audience.</w:t>
      </w:r>
    </w:p>
    <w:p>
      <w:pPr>
        <w:spacing w:before="61"/>
        <w:ind w:left="2160" w:right="0" w:firstLine="0"/>
        <w:jc w:val="both"/>
        <w:rPr>
          <w:i/>
          <w:sz w:val="20"/>
        </w:rPr>
      </w:pPr>
      <w:r>
        <w:rPr>
          <w:i/>
          <w:sz w:val="20"/>
        </w:rPr>
        <w:t>I</w:t>
      </w:r>
      <w:r>
        <w:rPr>
          <w:i/>
          <w:spacing w:val="27"/>
          <w:sz w:val="20"/>
        </w:rPr>
        <w:t> </w:t>
      </w:r>
      <w:r>
        <w:rPr>
          <w:i/>
          <w:sz w:val="20"/>
        </w:rPr>
        <w:t>was</w:t>
      </w:r>
      <w:r>
        <w:rPr>
          <w:i/>
          <w:spacing w:val="24"/>
          <w:sz w:val="20"/>
        </w:rPr>
        <w:t> </w:t>
      </w:r>
      <w:r>
        <w:rPr>
          <w:i/>
          <w:sz w:val="20"/>
        </w:rPr>
        <w:t>the</w:t>
      </w:r>
      <w:r>
        <w:rPr>
          <w:i/>
          <w:spacing w:val="26"/>
          <w:sz w:val="20"/>
        </w:rPr>
        <w:t> </w:t>
      </w:r>
      <w:r>
        <w:rPr>
          <w:i/>
          <w:sz w:val="20"/>
        </w:rPr>
        <w:t>more</w:t>
      </w:r>
      <w:r>
        <w:rPr>
          <w:i/>
          <w:spacing w:val="27"/>
          <w:sz w:val="20"/>
        </w:rPr>
        <w:t> </w:t>
      </w:r>
      <w:r>
        <w:rPr>
          <w:i/>
          <w:spacing w:val="-2"/>
          <w:sz w:val="20"/>
        </w:rPr>
        <w:t>deceived.</w:t>
      </w:r>
    </w:p>
    <w:p>
      <w:pPr>
        <w:pStyle w:val="BodyText"/>
        <w:spacing w:line="249" w:lineRule="auto" w:before="68"/>
        <w:ind w:right="1440" w:firstLine="432"/>
        <w:jc w:val="both"/>
      </w:pPr>
      <w:r>
        <w:rPr/>
        <w:t>Pathos and grief</w:t>
      </w:r>
      <w:r>
        <w:rPr>
          <w:spacing w:val="-2"/>
        </w:rPr>
        <w:t> </w:t>
      </w:r>
      <w:r>
        <w:rPr/>
        <w:t>overwhelmed on her to tolerate the wretchedness and dominance in the structured dynamic of gender and power politics. Another female character of Hamlet faces the worse situation when a mother</w:t>
      </w:r>
      <w:r>
        <w:rPr>
          <w:spacing w:val="-7"/>
        </w:rPr>
        <w:t> </w:t>
      </w:r>
      <w:r>
        <w:rPr/>
        <w:t>had</w:t>
      </w:r>
      <w:r>
        <w:rPr>
          <w:spacing w:val="-6"/>
        </w:rPr>
        <w:t> </w:t>
      </w:r>
      <w:r>
        <w:rPr/>
        <w:t>cross</w:t>
      </w:r>
      <w:r>
        <w:rPr>
          <w:spacing w:val="-9"/>
        </w:rPr>
        <w:t> </w:t>
      </w:r>
      <w:r>
        <w:rPr/>
        <w:t>examined</w:t>
      </w:r>
      <w:r>
        <w:rPr>
          <w:spacing w:val="-7"/>
        </w:rPr>
        <w:t> </w:t>
      </w:r>
      <w:r>
        <w:rPr/>
        <w:t>by</w:t>
      </w:r>
      <w:r>
        <w:rPr>
          <w:spacing w:val="-13"/>
        </w:rPr>
        <w:t> </w:t>
      </w:r>
      <w:r>
        <w:rPr/>
        <w:t>her</w:t>
      </w:r>
      <w:r>
        <w:rPr>
          <w:spacing w:val="-5"/>
        </w:rPr>
        <w:t> </w:t>
      </w:r>
      <w:r>
        <w:rPr/>
        <w:t>own</w:t>
      </w:r>
      <w:r>
        <w:rPr>
          <w:spacing w:val="-9"/>
        </w:rPr>
        <w:t> </w:t>
      </w:r>
      <w:r>
        <w:rPr/>
        <w:t>son</w:t>
      </w:r>
      <w:r>
        <w:rPr>
          <w:spacing w:val="-9"/>
        </w:rPr>
        <w:t> </w:t>
      </w:r>
      <w:r>
        <w:rPr/>
        <w:t>raised</w:t>
      </w:r>
      <w:r>
        <w:rPr>
          <w:spacing w:val="-7"/>
        </w:rPr>
        <w:t> </w:t>
      </w:r>
      <w:r>
        <w:rPr/>
        <w:t>the</w:t>
      </w:r>
      <w:r>
        <w:rPr>
          <w:spacing w:val="-7"/>
        </w:rPr>
        <w:t> </w:t>
      </w:r>
      <w:r>
        <w:rPr/>
        <w:t>question</w:t>
      </w:r>
      <w:r>
        <w:rPr>
          <w:spacing w:val="-9"/>
        </w:rPr>
        <w:t> </w:t>
      </w:r>
      <w:r>
        <w:rPr/>
        <w:t>woman’s loyalty</w:t>
      </w:r>
      <w:r>
        <w:rPr>
          <w:spacing w:val="-8"/>
        </w:rPr>
        <w:t> </w:t>
      </w:r>
      <w:r>
        <w:rPr/>
        <w:t>to</w:t>
      </w:r>
      <w:r>
        <w:rPr>
          <w:spacing w:val="-4"/>
        </w:rPr>
        <w:t> </w:t>
      </w:r>
      <w:r>
        <w:rPr/>
        <w:t>her</w:t>
      </w:r>
      <w:r>
        <w:rPr>
          <w:spacing w:val="-2"/>
        </w:rPr>
        <w:t> </w:t>
      </w:r>
      <w:r>
        <w:rPr/>
        <w:t>husband</w:t>
      </w:r>
      <w:r>
        <w:rPr>
          <w:spacing w:val="-2"/>
        </w:rPr>
        <w:t> </w:t>
      </w:r>
      <w:r>
        <w:rPr/>
        <w:t>was</w:t>
      </w:r>
      <w:r>
        <w:rPr>
          <w:spacing w:val="-6"/>
        </w:rPr>
        <w:t> </w:t>
      </w:r>
      <w:r>
        <w:rPr/>
        <w:t>false.</w:t>
      </w:r>
      <w:r>
        <w:rPr>
          <w:spacing w:val="-4"/>
        </w:rPr>
        <w:t> </w:t>
      </w:r>
      <w:r>
        <w:rPr/>
        <w:t>Hamlet</w:t>
      </w:r>
      <w:r>
        <w:rPr>
          <w:spacing w:val="-4"/>
        </w:rPr>
        <w:t> </w:t>
      </w:r>
      <w:r>
        <w:rPr/>
        <w:t>raises</w:t>
      </w:r>
      <w:r>
        <w:rPr>
          <w:spacing w:val="-6"/>
        </w:rPr>
        <w:t> </w:t>
      </w:r>
      <w:r>
        <w:rPr/>
        <w:t>the</w:t>
      </w:r>
      <w:r>
        <w:rPr>
          <w:spacing w:val="-2"/>
        </w:rPr>
        <w:t> </w:t>
      </w:r>
      <w:r>
        <w:rPr/>
        <w:t>question</w:t>
      </w:r>
      <w:r>
        <w:rPr>
          <w:spacing w:val="-6"/>
        </w:rPr>
        <w:t> </w:t>
      </w:r>
      <w:r>
        <w:rPr/>
        <w:t>of</w:t>
      </w:r>
      <w:r>
        <w:rPr>
          <w:spacing w:val="-6"/>
        </w:rPr>
        <w:t> </w:t>
      </w:r>
      <w:r>
        <w:rPr/>
        <w:t>marriage institution</w:t>
      </w:r>
      <w:r>
        <w:rPr>
          <w:spacing w:val="40"/>
        </w:rPr>
        <w:t> </w:t>
      </w:r>
      <w:r>
        <w:rPr/>
        <w:t>it’s</w:t>
      </w:r>
      <w:r>
        <w:rPr>
          <w:spacing w:val="40"/>
        </w:rPr>
        <w:t> </w:t>
      </w:r>
      <w:r>
        <w:rPr/>
        <w:t>value.</w:t>
      </w:r>
    </w:p>
    <w:p>
      <w:pPr>
        <w:pStyle w:val="BodyText"/>
        <w:spacing w:line="249" w:lineRule="auto" w:before="62"/>
        <w:ind w:right="1440" w:firstLine="475"/>
        <w:jc w:val="both"/>
      </w:pPr>
      <w:r>
        <w:rPr/>
        <w:t>Othello</w:t>
      </w:r>
      <w:r>
        <w:rPr>
          <w:spacing w:val="-13"/>
        </w:rPr>
        <w:t> </w:t>
      </w:r>
      <w:r>
        <w:rPr/>
        <w:t>highlights</w:t>
      </w:r>
      <w:r>
        <w:rPr>
          <w:spacing w:val="-12"/>
        </w:rPr>
        <w:t> </w:t>
      </w:r>
      <w:r>
        <w:rPr/>
        <w:t>the</w:t>
      </w:r>
      <w:r>
        <w:rPr>
          <w:spacing w:val="-13"/>
        </w:rPr>
        <w:t> </w:t>
      </w:r>
      <w:r>
        <w:rPr/>
        <w:t>connection</w:t>
      </w:r>
      <w:r>
        <w:rPr>
          <w:spacing w:val="-12"/>
        </w:rPr>
        <w:t> </w:t>
      </w:r>
      <w:r>
        <w:rPr/>
        <w:t>of</w:t>
      </w:r>
      <w:r>
        <w:rPr>
          <w:spacing w:val="-13"/>
        </w:rPr>
        <w:t> </w:t>
      </w:r>
      <w:r>
        <w:rPr/>
        <w:t>ambition</w:t>
      </w:r>
      <w:r>
        <w:rPr>
          <w:spacing w:val="-12"/>
        </w:rPr>
        <w:t> </w:t>
      </w:r>
      <w:r>
        <w:rPr/>
        <w:t>and</w:t>
      </w:r>
      <w:r>
        <w:rPr>
          <w:spacing w:val="-13"/>
        </w:rPr>
        <w:t> </w:t>
      </w:r>
      <w:r>
        <w:rPr/>
        <w:t>political</w:t>
      </w:r>
      <w:r>
        <w:rPr>
          <w:spacing w:val="-12"/>
        </w:rPr>
        <w:t> </w:t>
      </w:r>
      <w:r>
        <w:rPr/>
        <w:t>intrigue in a republic. Shakespeare suggests that the struggle for power is inherently</w:t>
      </w:r>
      <w:r>
        <w:rPr>
          <w:spacing w:val="-1"/>
        </w:rPr>
        <w:t> </w:t>
      </w:r>
      <w:r>
        <w:rPr/>
        <w:t>dangerous</w:t>
      </w:r>
      <w:r>
        <w:rPr>
          <w:spacing w:val="-1"/>
        </w:rPr>
        <w:t> </w:t>
      </w:r>
      <w:r>
        <w:rPr/>
        <w:t>and</w:t>
      </w:r>
      <w:r>
        <w:rPr>
          <w:spacing w:val="-1"/>
        </w:rPr>
        <w:t> </w:t>
      </w:r>
      <w:r>
        <w:rPr/>
        <w:t>often</w:t>
      </w:r>
      <w:r>
        <w:rPr>
          <w:spacing w:val="-1"/>
        </w:rPr>
        <w:t> </w:t>
      </w:r>
      <w:r>
        <w:rPr/>
        <w:t>results</w:t>
      </w:r>
      <w:r>
        <w:rPr>
          <w:spacing w:val="-1"/>
        </w:rPr>
        <w:t> </w:t>
      </w:r>
      <w:r>
        <w:rPr/>
        <w:t>in the failure of</w:t>
      </w:r>
      <w:r>
        <w:rPr>
          <w:spacing w:val="-3"/>
        </w:rPr>
        <w:t> </w:t>
      </w:r>
      <w:r>
        <w:rPr/>
        <w:t>moral and social orders. Macbeth and Hamlet examine the uncertainty of power gained through murder and deceit, the fear of losing power drives rulers to further</w:t>
      </w:r>
      <w:r>
        <w:rPr>
          <w:spacing w:val="40"/>
        </w:rPr>
        <w:t> </w:t>
      </w:r>
      <w:r>
        <w:rPr/>
        <w:t>actions</w:t>
      </w:r>
      <w:r>
        <w:rPr>
          <w:spacing w:val="40"/>
        </w:rPr>
        <w:t> </w:t>
      </w:r>
      <w:r>
        <w:rPr/>
        <w:t>of</w:t>
      </w:r>
      <w:r>
        <w:rPr>
          <w:spacing w:val="40"/>
        </w:rPr>
        <w:t> </w:t>
      </w:r>
      <w:r>
        <w:rPr/>
        <w:t>violence,</w:t>
      </w:r>
      <w:r>
        <w:rPr>
          <w:spacing w:val="40"/>
        </w:rPr>
        <w:t> </w:t>
      </w:r>
      <w:r>
        <w:rPr/>
        <w:t>creating</w:t>
      </w:r>
      <w:r>
        <w:rPr>
          <w:spacing w:val="40"/>
        </w:rPr>
        <w:t> </w:t>
      </w:r>
      <w:r>
        <w:rPr/>
        <w:t>a</w:t>
      </w:r>
      <w:r>
        <w:rPr>
          <w:spacing w:val="40"/>
        </w:rPr>
        <w:t> </w:t>
      </w:r>
      <w:r>
        <w:rPr/>
        <w:t>chaos.</w:t>
      </w:r>
    </w:p>
    <w:p>
      <w:pPr>
        <w:pStyle w:val="BodyText"/>
        <w:spacing w:line="249" w:lineRule="auto" w:before="65"/>
        <w:ind w:right="1441" w:firstLine="432"/>
        <w:jc w:val="both"/>
      </w:pPr>
      <w:r>
        <w:rPr/>
        <w:t>Gender dynamics denotes to the social dealings, relationships and power disparities between people based on their gender and informed by cultural norms, these dynamics control how men and women are treated,</w:t>
      </w:r>
      <w:r>
        <w:rPr>
          <w:spacing w:val="-12"/>
        </w:rPr>
        <w:t> </w:t>
      </w:r>
      <w:r>
        <w:rPr/>
        <w:t>what</w:t>
      </w:r>
      <w:r>
        <w:rPr>
          <w:spacing w:val="-10"/>
        </w:rPr>
        <w:t> </w:t>
      </w:r>
      <w:r>
        <w:rPr/>
        <w:t>roles</w:t>
      </w:r>
      <w:r>
        <w:rPr>
          <w:spacing w:val="-8"/>
        </w:rPr>
        <w:t> </w:t>
      </w:r>
      <w:r>
        <w:rPr/>
        <w:t>they</w:t>
      </w:r>
      <w:r>
        <w:rPr>
          <w:spacing w:val="-13"/>
        </w:rPr>
        <w:t> </w:t>
      </w:r>
      <w:r>
        <w:rPr/>
        <w:t>are</w:t>
      </w:r>
      <w:r>
        <w:rPr>
          <w:spacing w:val="-10"/>
        </w:rPr>
        <w:t> </w:t>
      </w:r>
      <w:r>
        <w:rPr/>
        <w:t>expected</w:t>
      </w:r>
      <w:r>
        <w:rPr>
          <w:spacing w:val="-8"/>
        </w:rPr>
        <w:t> </w:t>
      </w:r>
      <w:r>
        <w:rPr/>
        <w:t>to</w:t>
      </w:r>
      <w:r>
        <w:rPr>
          <w:spacing w:val="-7"/>
        </w:rPr>
        <w:t> </w:t>
      </w:r>
      <w:r>
        <w:rPr/>
        <w:t>fill,</w:t>
      </w:r>
      <w:r>
        <w:rPr>
          <w:spacing w:val="-10"/>
        </w:rPr>
        <w:t> </w:t>
      </w:r>
      <w:r>
        <w:rPr/>
        <w:t>and</w:t>
      </w:r>
      <w:r>
        <w:rPr>
          <w:spacing w:val="-8"/>
        </w:rPr>
        <w:t> </w:t>
      </w:r>
      <w:r>
        <w:rPr/>
        <w:t>how</w:t>
      </w:r>
      <w:r>
        <w:rPr>
          <w:spacing w:val="-13"/>
        </w:rPr>
        <w:t> </w:t>
      </w:r>
      <w:r>
        <w:rPr/>
        <w:t>power</w:t>
      </w:r>
      <w:r>
        <w:rPr>
          <w:spacing w:val="-6"/>
        </w:rPr>
        <w:t> </w:t>
      </w:r>
      <w:r>
        <w:rPr/>
        <w:t>is</w:t>
      </w:r>
      <w:r>
        <w:rPr>
          <w:spacing w:val="-12"/>
        </w:rPr>
        <w:t> </w:t>
      </w:r>
      <w:r>
        <w:rPr/>
        <w:t>distributed in</w:t>
      </w:r>
      <w:r>
        <w:rPr>
          <w:spacing w:val="40"/>
        </w:rPr>
        <w:t> </w:t>
      </w:r>
      <w:r>
        <w:rPr/>
        <w:t>workplaces,</w:t>
      </w:r>
      <w:r>
        <w:rPr>
          <w:spacing w:val="40"/>
        </w:rPr>
        <w:t> </w:t>
      </w:r>
      <w:r>
        <w:rPr/>
        <w:t>homes</w:t>
      </w:r>
      <w:r>
        <w:rPr>
          <w:spacing w:val="40"/>
        </w:rPr>
        <w:t> </w:t>
      </w:r>
      <w:r>
        <w:rPr/>
        <w:t>and</w:t>
      </w:r>
      <w:r>
        <w:rPr>
          <w:spacing w:val="40"/>
        </w:rPr>
        <w:t> </w:t>
      </w:r>
      <w:r>
        <w:rPr/>
        <w:t>society.</w:t>
      </w:r>
    </w:p>
    <w:p>
      <w:pPr>
        <w:pStyle w:val="Heading3"/>
        <w:spacing w:before="158"/>
        <w:jc w:val="both"/>
      </w:pPr>
      <w:r>
        <w:rPr>
          <w:w w:val="90"/>
        </w:rPr>
        <w:t>KEY</w:t>
      </w:r>
      <w:r>
        <w:rPr>
          <w:spacing w:val="17"/>
        </w:rPr>
        <w:t> </w:t>
      </w:r>
      <w:r>
        <w:rPr>
          <w:w w:val="90"/>
        </w:rPr>
        <w:t>ASPECTS</w:t>
      </w:r>
      <w:r>
        <w:rPr>
          <w:spacing w:val="11"/>
        </w:rPr>
        <w:t> </w:t>
      </w:r>
      <w:r>
        <w:rPr>
          <w:w w:val="90"/>
        </w:rPr>
        <w:t>OF</w:t>
      </w:r>
      <w:r>
        <w:rPr>
          <w:spacing w:val="15"/>
        </w:rPr>
        <w:t> </w:t>
      </w:r>
      <w:r>
        <w:rPr>
          <w:w w:val="90"/>
        </w:rPr>
        <w:t>GENDER</w:t>
      </w:r>
      <w:r>
        <w:rPr>
          <w:spacing w:val="15"/>
        </w:rPr>
        <w:t> </w:t>
      </w:r>
      <w:r>
        <w:rPr>
          <w:spacing w:val="-2"/>
          <w:w w:val="90"/>
        </w:rPr>
        <w:t>DYNAMICS:</w:t>
      </w:r>
    </w:p>
    <w:p>
      <w:pPr>
        <w:pStyle w:val="Heading5"/>
        <w:spacing w:before="125"/>
        <w:jc w:val="both"/>
      </w:pPr>
      <w:r>
        <w:rPr>
          <w:w w:val="105"/>
        </w:rPr>
        <w:t>Power</w:t>
      </w:r>
      <w:r>
        <w:rPr>
          <w:spacing w:val="61"/>
          <w:w w:val="150"/>
        </w:rPr>
        <w:t> </w:t>
      </w:r>
      <w:r>
        <w:rPr>
          <w:w w:val="105"/>
        </w:rPr>
        <w:t>and</w:t>
      </w:r>
      <w:r>
        <w:rPr>
          <w:spacing w:val="64"/>
          <w:w w:val="150"/>
        </w:rPr>
        <w:t> </w:t>
      </w:r>
      <w:r>
        <w:rPr>
          <w:spacing w:val="-2"/>
          <w:w w:val="105"/>
        </w:rPr>
        <w:t>Inequality:</w:t>
      </w:r>
    </w:p>
    <w:p>
      <w:pPr>
        <w:pStyle w:val="BodyText"/>
        <w:spacing w:line="249" w:lineRule="auto" w:before="71"/>
        <w:ind w:right="1438" w:firstLine="432"/>
        <w:jc w:val="both"/>
      </w:pPr>
      <w:r>
        <w:rPr>
          <w:spacing w:val="-4"/>
        </w:rPr>
        <w:t>Gender dynamics often reflect societal inequalities</w:t>
      </w:r>
      <w:r>
        <w:rPr>
          <w:spacing w:val="-6"/>
        </w:rPr>
        <w:t> </w:t>
      </w:r>
      <w:r>
        <w:rPr>
          <w:spacing w:val="-4"/>
        </w:rPr>
        <w:t>where one gender </w:t>
      </w:r>
      <w:r>
        <w:rPr/>
        <w:t>may have more authority, resources or influence over the other. They are shaped by</w:t>
      </w:r>
      <w:r>
        <w:rPr>
          <w:spacing w:val="-3"/>
        </w:rPr>
        <w:t> </w:t>
      </w:r>
      <w:r>
        <w:rPr/>
        <w:t>and reinforce cultural</w:t>
      </w:r>
      <w:r>
        <w:rPr>
          <w:spacing w:val="-1"/>
        </w:rPr>
        <w:t> </w:t>
      </w:r>
      <w:r>
        <w:rPr/>
        <w:t>beliefs</w:t>
      </w:r>
      <w:r>
        <w:rPr>
          <w:spacing w:val="-1"/>
        </w:rPr>
        <w:t> </w:t>
      </w:r>
      <w:r>
        <w:rPr/>
        <w:t>about how</w:t>
      </w:r>
      <w:r>
        <w:rPr>
          <w:spacing w:val="-3"/>
        </w:rPr>
        <w:t> </w:t>
      </w:r>
      <w:r>
        <w:rPr/>
        <w:t>men</w:t>
      </w:r>
      <w:r>
        <w:rPr>
          <w:spacing w:val="-1"/>
        </w:rPr>
        <w:t> </w:t>
      </w:r>
      <w:r>
        <w:rPr/>
        <w:t>and women should act, such as traditional roles of men as providers and women as caregivers. This involves disparate treatment, such as women facing harsher</w:t>
      </w:r>
      <w:r>
        <w:rPr>
          <w:spacing w:val="-1"/>
        </w:rPr>
        <w:t> </w:t>
      </w:r>
      <w:r>
        <w:rPr/>
        <w:t>criticism</w:t>
      </w:r>
      <w:r>
        <w:rPr>
          <w:spacing w:val="-6"/>
        </w:rPr>
        <w:t> </w:t>
      </w:r>
      <w:r>
        <w:rPr/>
        <w:t>or being</w:t>
      </w:r>
      <w:r>
        <w:rPr>
          <w:spacing w:val="-1"/>
        </w:rPr>
        <w:t> </w:t>
      </w:r>
      <w:r>
        <w:rPr/>
        <w:t>expected</w:t>
      </w:r>
      <w:r>
        <w:rPr>
          <w:spacing w:val="-1"/>
        </w:rPr>
        <w:t> </w:t>
      </w:r>
      <w:r>
        <w:rPr/>
        <w:t>to focus</w:t>
      </w:r>
      <w:r>
        <w:rPr>
          <w:spacing w:val="-1"/>
        </w:rPr>
        <w:t> </w:t>
      </w:r>
      <w:r>
        <w:rPr/>
        <w:t>on</w:t>
      </w:r>
      <w:r>
        <w:rPr>
          <w:spacing w:val="-3"/>
        </w:rPr>
        <w:t> </w:t>
      </w:r>
      <w:r>
        <w:rPr/>
        <w:t>relationships</w:t>
      </w:r>
      <w:r>
        <w:rPr>
          <w:spacing w:val="-1"/>
        </w:rPr>
        <w:t> </w:t>
      </w:r>
      <w:r>
        <w:rPr/>
        <w:t>rather</w:t>
      </w:r>
      <w:r>
        <w:rPr>
          <w:spacing w:val="-1"/>
        </w:rPr>
        <w:t> </w:t>
      </w:r>
      <w:r>
        <w:rPr/>
        <w:t>than tasks. Gender is the socially constructed meaning of biological sex.</w:t>
      </w:r>
      <w:r>
        <w:rPr>
          <w:spacing w:val="-3"/>
        </w:rPr>
        <w:t> </w:t>
      </w:r>
      <w:r>
        <w:rPr/>
        <w:t>As </w:t>
      </w:r>
      <w:r>
        <w:rPr>
          <w:spacing w:val="-2"/>
        </w:rPr>
        <w:t>Simone</w:t>
      </w:r>
      <w:r>
        <w:rPr>
          <w:spacing w:val="-9"/>
        </w:rPr>
        <w:t> </w:t>
      </w:r>
      <w:r>
        <w:rPr>
          <w:spacing w:val="-2"/>
        </w:rPr>
        <w:t>De</w:t>
      </w:r>
      <w:r>
        <w:rPr>
          <w:spacing w:val="-7"/>
        </w:rPr>
        <w:t> </w:t>
      </w:r>
      <w:r>
        <w:rPr>
          <w:spacing w:val="-2"/>
        </w:rPr>
        <w:t>Beauvoir</w:t>
      </w:r>
      <w:r>
        <w:rPr>
          <w:spacing w:val="-7"/>
        </w:rPr>
        <w:t> </w:t>
      </w:r>
      <w:r>
        <w:rPr>
          <w:spacing w:val="-2"/>
        </w:rPr>
        <w:t>said</w:t>
      </w:r>
      <w:r>
        <w:rPr>
          <w:spacing w:val="-3"/>
        </w:rPr>
        <w:t> </w:t>
      </w:r>
      <w:r>
        <w:rPr>
          <w:spacing w:val="-2"/>
        </w:rPr>
        <w:t>“One</w:t>
      </w:r>
      <w:r>
        <w:rPr>
          <w:spacing w:val="-7"/>
        </w:rPr>
        <w:t> </w:t>
      </w:r>
      <w:r>
        <w:rPr>
          <w:spacing w:val="-2"/>
        </w:rPr>
        <w:t>is</w:t>
      </w:r>
      <w:r>
        <w:rPr>
          <w:spacing w:val="-7"/>
        </w:rPr>
        <w:t> </w:t>
      </w:r>
      <w:r>
        <w:rPr>
          <w:spacing w:val="-2"/>
        </w:rPr>
        <w:t>not</w:t>
      </w:r>
      <w:r>
        <w:rPr>
          <w:spacing w:val="-9"/>
        </w:rPr>
        <w:t> </w:t>
      </w:r>
      <w:r>
        <w:rPr>
          <w:spacing w:val="-2"/>
        </w:rPr>
        <w:t>born</w:t>
      </w:r>
      <w:r>
        <w:rPr>
          <w:spacing w:val="-7"/>
        </w:rPr>
        <w:t> </w:t>
      </w:r>
      <w:r>
        <w:rPr>
          <w:spacing w:val="-2"/>
        </w:rPr>
        <w:t>but</w:t>
      </w:r>
      <w:r>
        <w:rPr>
          <w:spacing w:val="-8"/>
        </w:rPr>
        <w:t> </w:t>
      </w:r>
      <w:r>
        <w:rPr>
          <w:spacing w:val="-2"/>
        </w:rPr>
        <w:t>rather</w:t>
      </w:r>
      <w:r>
        <w:rPr>
          <w:spacing w:val="-5"/>
        </w:rPr>
        <w:t> </w:t>
      </w:r>
      <w:r>
        <w:rPr>
          <w:spacing w:val="-2"/>
        </w:rPr>
        <w:t>becomes</w:t>
      </w:r>
      <w:r>
        <w:rPr>
          <w:spacing w:val="-9"/>
        </w:rPr>
        <w:t> </w:t>
      </w:r>
      <w:r>
        <w:rPr>
          <w:spacing w:val="-2"/>
        </w:rPr>
        <w:t>a</w:t>
      </w:r>
      <w:r>
        <w:rPr>
          <w:spacing w:val="-6"/>
        </w:rPr>
        <w:t> </w:t>
      </w:r>
      <w:r>
        <w:rPr>
          <w:spacing w:val="-2"/>
        </w:rPr>
        <w:t>woman”. </w:t>
      </w:r>
      <w:r>
        <w:rPr/>
        <w:t>It’s one thing to be male or female, but another to create specific meanings out of biological differences. When our beliefs, expectations, and reactions to a person reflect patterns drew by gender rather than something specific to the individual and his/her situation, the interpersonal</w:t>
      </w:r>
      <w:r>
        <w:rPr>
          <w:spacing w:val="-1"/>
        </w:rPr>
        <w:t> </w:t>
      </w:r>
      <w:r>
        <w:rPr/>
        <w:t>interaction</w:t>
      </w:r>
      <w:r>
        <w:rPr>
          <w:spacing w:val="-3"/>
        </w:rPr>
        <w:t> </w:t>
      </w:r>
      <w:r>
        <w:rPr/>
        <w:t>is</w:t>
      </w:r>
      <w:r>
        <w:rPr>
          <w:spacing w:val="-1"/>
        </w:rPr>
        <w:t> </w:t>
      </w:r>
      <w:r>
        <w:rPr/>
        <w:t>informed</w:t>
      </w:r>
      <w:r>
        <w:rPr>
          <w:spacing w:val="-1"/>
        </w:rPr>
        <w:t> </w:t>
      </w:r>
      <w:r>
        <w:rPr/>
        <w:t>by</w:t>
      </w:r>
      <w:r>
        <w:rPr>
          <w:spacing w:val="-5"/>
        </w:rPr>
        <w:t> </w:t>
      </w:r>
      <w:r>
        <w:rPr/>
        <w:t>gender</w:t>
      </w:r>
      <w:r>
        <w:rPr>
          <w:spacing w:val="-1"/>
        </w:rPr>
        <w:t> </w:t>
      </w:r>
      <w:r>
        <w:rPr/>
        <w:t>dynamics.</w:t>
      </w:r>
      <w:r>
        <w:rPr>
          <w:spacing w:val="-1"/>
        </w:rPr>
        <w:t> </w:t>
      </w:r>
      <w:r>
        <w:rPr/>
        <w:t>For</w:t>
      </w:r>
      <w:r>
        <w:rPr>
          <w:spacing w:val="-1"/>
        </w:rPr>
        <w:t> </w:t>
      </w:r>
      <w:r>
        <w:rPr/>
        <w:t>example, when</w:t>
      </w:r>
      <w:r>
        <w:rPr>
          <w:spacing w:val="3"/>
        </w:rPr>
        <w:t> </w:t>
      </w:r>
      <w:r>
        <w:rPr/>
        <w:t>a</w:t>
      </w:r>
      <w:r>
        <w:rPr>
          <w:spacing w:val="4"/>
        </w:rPr>
        <w:t> </w:t>
      </w:r>
      <w:r>
        <w:rPr/>
        <w:t>man</w:t>
      </w:r>
      <w:r>
        <w:rPr>
          <w:spacing w:val="5"/>
        </w:rPr>
        <w:t> </w:t>
      </w:r>
      <w:r>
        <w:rPr/>
        <w:t>and</w:t>
      </w:r>
      <w:r>
        <w:rPr>
          <w:spacing w:val="5"/>
        </w:rPr>
        <w:t> </w:t>
      </w:r>
      <w:r>
        <w:rPr/>
        <w:t>a</w:t>
      </w:r>
      <w:r>
        <w:rPr>
          <w:spacing w:val="6"/>
        </w:rPr>
        <w:t> </w:t>
      </w:r>
      <w:r>
        <w:rPr/>
        <w:t>woman</w:t>
      </w:r>
      <w:r>
        <w:rPr>
          <w:spacing w:val="3"/>
        </w:rPr>
        <w:t> </w:t>
      </w:r>
      <w:r>
        <w:rPr/>
        <w:t>cause</w:t>
      </w:r>
      <w:r>
        <w:rPr>
          <w:spacing w:val="6"/>
        </w:rPr>
        <w:t> </w:t>
      </w:r>
      <w:r>
        <w:rPr/>
        <w:t>detestation</w:t>
      </w:r>
      <w:r>
        <w:rPr>
          <w:spacing w:val="4"/>
        </w:rPr>
        <w:t> </w:t>
      </w:r>
      <w:r>
        <w:rPr/>
        <w:t>for</w:t>
      </w:r>
      <w:r>
        <w:rPr>
          <w:spacing w:val="7"/>
        </w:rPr>
        <w:t> </w:t>
      </w:r>
      <w:r>
        <w:rPr/>
        <w:t>being</w:t>
      </w:r>
      <w:r>
        <w:rPr>
          <w:spacing w:val="1"/>
        </w:rPr>
        <w:t> </w:t>
      </w:r>
      <w:r>
        <w:rPr/>
        <w:t>gender</w:t>
      </w:r>
      <w:r>
        <w:rPr>
          <w:spacing w:val="7"/>
        </w:rPr>
        <w:t> </w:t>
      </w:r>
      <w:r>
        <w:rPr>
          <w:spacing w:val="-2"/>
        </w:rPr>
        <w:t>dynamics</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5856">
                <wp:simplePos x="0" y="0"/>
                <wp:positionH relativeFrom="page">
                  <wp:posOffset>2065020</wp:posOffset>
                </wp:positionH>
                <wp:positionV relativeFrom="paragraph">
                  <wp:posOffset>795020</wp:posOffset>
                </wp:positionV>
                <wp:extent cx="3657600" cy="12700"/>
                <wp:effectExtent l="0" t="0" r="0" b="0"/>
                <wp:wrapTopAndBottom/>
                <wp:docPr id="750" name="Graphic 750"/>
                <wp:cNvGraphicFramePr>
                  <a:graphicFrameLocks/>
                </wp:cNvGraphicFramePr>
                <a:graphic>
                  <a:graphicData uri="http://schemas.microsoft.com/office/word/2010/wordprocessingShape">
                    <wps:wsp>
                      <wps:cNvPr id="750" name="Graphic 75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50624;mso-wrap-distance-left:0;mso-wrap-distance-right:0" id="docshape742" filled="true" fillcolor="#000000" stroked="false">
                <v:fill type="solid"/>
                <w10:wrap type="topAndBottom"/>
              </v:rect>
            </w:pict>
          </mc:Fallback>
        </mc:AlternateContent>
      </w:r>
      <w:r>
        <w:rPr>
          <w:rFonts w:ascii="Verdana"/>
          <w:sz w:val="18"/>
        </w:rPr>
        <w:t>A</w:t>
      </w:r>
      <w:r>
        <w:rPr>
          <w:rFonts w:ascii="Verdana"/>
          <w:spacing w:val="3"/>
          <w:sz w:val="18"/>
        </w:rPr>
        <w:t> </w:t>
      </w:r>
      <w:r>
        <w:rPr>
          <w:rFonts w:ascii="Verdana"/>
          <w:sz w:val="18"/>
        </w:rPr>
        <w:t>Critical</w:t>
      </w:r>
      <w:r>
        <w:rPr>
          <w:rFonts w:ascii="Verdana"/>
          <w:spacing w:val="10"/>
          <w:sz w:val="18"/>
        </w:rPr>
        <w:t> </w:t>
      </w:r>
      <w:r>
        <w:rPr>
          <w:rFonts w:ascii="Verdana"/>
          <w:sz w:val="18"/>
        </w:rPr>
        <w:t>Study</w:t>
      </w:r>
      <w:r>
        <w:rPr>
          <w:rFonts w:ascii="Verdana"/>
          <w:spacing w:val="13"/>
          <w:sz w:val="18"/>
        </w:rPr>
        <w:t> </w:t>
      </w:r>
      <w:r>
        <w:rPr>
          <w:rFonts w:ascii="Verdana"/>
          <w:sz w:val="18"/>
        </w:rPr>
        <w:t>of</w:t>
      </w:r>
      <w:r>
        <w:rPr>
          <w:rFonts w:ascii="Verdana"/>
          <w:spacing w:val="13"/>
          <w:sz w:val="18"/>
        </w:rPr>
        <w:t> </w:t>
      </w:r>
      <w:r>
        <w:rPr>
          <w:rFonts w:ascii="Verdana"/>
          <w:sz w:val="18"/>
        </w:rPr>
        <w:t>the</w:t>
      </w:r>
      <w:r>
        <w:rPr>
          <w:rFonts w:ascii="Verdana"/>
          <w:spacing w:val="12"/>
          <w:sz w:val="18"/>
        </w:rPr>
        <w:t> </w:t>
      </w:r>
      <w:r>
        <w:rPr>
          <w:rFonts w:ascii="Verdana"/>
          <w:sz w:val="18"/>
        </w:rPr>
        <w:t>Power</w:t>
      </w:r>
      <w:r>
        <w:rPr>
          <w:rFonts w:ascii="Verdana"/>
          <w:spacing w:val="13"/>
          <w:sz w:val="18"/>
        </w:rPr>
        <w:t> </w:t>
      </w:r>
      <w:r>
        <w:rPr>
          <w:rFonts w:ascii="Verdana"/>
          <w:sz w:val="18"/>
        </w:rPr>
        <w:t>Politics</w:t>
      </w:r>
      <w:r>
        <w:rPr>
          <w:rFonts w:ascii="Verdana"/>
          <w:spacing w:val="11"/>
          <w:sz w:val="18"/>
        </w:rPr>
        <w:t> </w:t>
      </w:r>
      <w:r>
        <w:rPr>
          <w:rFonts w:ascii="Verdana"/>
          <w:sz w:val="18"/>
        </w:rPr>
        <w:t>and</w:t>
      </w:r>
      <w:r>
        <w:rPr>
          <w:rFonts w:ascii="Verdana"/>
          <w:spacing w:val="10"/>
          <w:sz w:val="18"/>
        </w:rPr>
        <w:t> </w:t>
      </w:r>
      <w:r>
        <w:rPr>
          <w:rFonts w:ascii="Verdana"/>
          <w:spacing w:val="-2"/>
          <w:sz w:val="18"/>
        </w:rPr>
        <w:t>Gender...</w:t>
      </w:r>
      <w:r>
        <w:rPr>
          <w:sz w:val="18"/>
        </w:rPr>
        <w:tab/>
      </w:r>
      <w:r>
        <w:rPr>
          <w:rFonts w:ascii="Verdana"/>
          <w:spacing w:val="-5"/>
          <w:sz w:val="18"/>
        </w:rPr>
        <w:t>375</w:t>
      </w:r>
    </w:p>
    <w:p>
      <w:pPr>
        <w:pStyle w:val="BodyText"/>
        <w:spacing w:line="249" w:lineRule="auto" w:before="192"/>
        <w:ind w:right="1439"/>
        <w:jc w:val="both"/>
      </w:pPr>
      <w:r>
        <w:rPr/>
        <w:t>refers to people treating men and women differently in ways that affect their power status and authority. When we introduce gender dynamics it’s a form of irrationality. Women might have a harder time achieving equal pay and authority disdain exhibiting equal skill because gender dynamics twist people’s</w:t>
      </w:r>
      <w:r>
        <w:rPr>
          <w:spacing w:val="35"/>
        </w:rPr>
        <w:t> </w:t>
      </w:r>
      <w:r>
        <w:rPr/>
        <w:t>views of women’s skill</w:t>
      </w:r>
      <w:r>
        <w:rPr>
          <w:spacing w:val="35"/>
        </w:rPr>
        <w:t> </w:t>
      </w:r>
      <w:r>
        <w:rPr/>
        <w:t>and</w:t>
      </w:r>
      <w:r>
        <w:rPr>
          <w:spacing w:val="37"/>
        </w:rPr>
        <w:t> </w:t>
      </w:r>
      <w:r>
        <w:rPr/>
        <w:t>behavior.</w:t>
      </w:r>
    </w:p>
    <w:p>
      <w:pPr>
        <w:pStyle w:val="BodyText"/>
        <w:spacing w:line="249" w:lineRule="auto" w:before="62"/>
        <w:ind w:right="1438" w:firstLine="432"/>
        <w:jc w:val="both"/>
      </w:pPr>
      <w:r>
        <w:rPr/>
        <w:t>Lady Macbeth, a dominant character in “Macbeth,” challenges traditional gender roles and unveils a significant shade of society. She confronts societal expectations by actively encouraging her husband to pursue</w:t>
      </w:r>
      <w:r>
        <w:rPr>
          <w:spacing w:val="-10"/>
        </w:rPr>
        <w:t> </w:t>
      </w:r>
      <w:r>
        <w:rPr/>
        <w:t>his</w:t>
      </w:r>
      <w:r>
        <w:rPr>
          <w:spacing w:val="-11"/>
        </w:rPr>
        <w:t> </w:t>
      </w:r>
      <w:r>
        <w:rPr/>
        <w:t>ambitions</w:t>
      </w:r>
      <w:r>
        <w:rPr>
          <w:spacing w:val="-12"/>
        </w:rPr>
        <w:t> </w:t>
      </w:r>
      <w:r>
        <w:rPr/>
        <w:t>and</w:t>
      </w:r>
      <w:r>
        <w:rPr>
          <w:spacing w:val="-9"/>
        </w:rPr>
        <w:t> </w:t>
      </w:r>
      <w:r>
        <w:rPr/>
        <w:t>seize</w:t>
      </w:r>
      <w:r>
        <w:rPr>
          <w:spacing w:val="-10"/>
        </w:rPr>
        <w:t> </w:t>
      </w:r>
      <w:r>
        <w:rPr/>
        <w:t>power,</w:t>
      </w:r>
      <w:r>
        <w:rPr>
          <w:spacing w:val="-11"/>
        </w:rPr>
        <w:t> </w:t>
      </w:r>
      <w:r>
        <w:rPr/>
        <w:t>even</w:t>
      </w:r>
      <w:r>
        <w:rPr>
          <w:spacing w:val="-11"/>
        </w:rPr>
        <w:t> </w:t>
      </w:r>
      <w:r>
        <w:rPr/>
        <w:t>to</w:t>
      </w:r>
      <w:r>
        <w:rPr>
          <w:spacing w:val="-9"/>
        </w:rPr>
        <w:t> </w:t>
      </w:r>
      <w:r>
        <w:rPr/>
        <w:t>the</w:t>
      </w:r>
      <w:r>
        <w:rPr>
          <w:spacing w:val="-12"/>
        </w:rPr>
        <w:t> </w:t>
      </w:r>
      <w:r>
        <w:rPr/>
        <w:t>extent</w:t>
      </w:r>
      <w:r>
        <w:rPr>
          <w:spacing w:val="-9"/>
        </w:rPr>
        <w:t> </w:t>
      </w:r>
      <w:r>
        <w:rPr/>
        <w:t>of</w:t>
      </w:r>
      <w:r>
        <w:rPr>
          <w:spacing w:val="-12"/>
        </w:rPr>
        <w:t> </w:t>
      </w:r>
      <w:r>
        <w:rPr/>
        <w:t>manipulating him into committing crime. Lady Macbeth’s ambition and boldness attack the passive and submissive role typically given to women in patriarchal societies. She takes control of the situation and actively merges in the plot to get her husband’s position as king. However, her quest for power ultimately directs to her own mental and emotional defeat, breakdown, highlighting the consequences and limitations imposed</w:t>
      </w:r>
      <w:r>
        <w:rPr>
          <w:spacing w:val="-10"/>
        </w:rPr>
        <w:t> </w:t>
      </w:r>
      <w:r>
        <w:rPr/>
        <w:t>on</w:t>
      </w:r>
      <w:r>
        <w:rPr>
          <w:spacing w:val="-11"/>
        </w:rPr>
        <w:t> </w:t>
      </w:r>
      <w:r>
        <w:rPr/>
        <w:t>women</w:t>
      </w:r>
      <w:r>
        <w:rPr>
          <w:spacing w:val="-11"/>
        </w:rPr>
        <w:t> </w:t>
      </w:r>
      <w:r>
        <w:rPr/>
        <w:t>who</w:t>
      </w:r>
      <w:r>
        <w:rPr>
          <w:spacing w:val="-10"/>
        </w:rPr>
        <w:t> </w:t>
      </w:r>
      <w:r>
        <w:rPr/>
        <w:t>transgress</w:t>
      </w:r>
      <w:r>
        <w:rPr>
          <w:spacing w:val="-10"/>
        </w:rPr>
        <w:t> </w:t>
      </w:r>
      <w:r>
        <w:rPr/>
        <w:t>societal</w:t>
      </w:r>
      <w:r>
        <w:rPr>
          <w:spacing w:val="-11"/>
        </w:rPr>
        <w:t> </w:t>
      </w:r>
      <w:r>
        <w:rPr/>
        <w:t>boundaries.</w:t>
      </w:r>
      <w:r>
        <w:rPr>
          <w:spacing w:val="-11"/>
        </w:rPr>
        <w:t> </w:t>
      </w:r>
      <w:r>
        <w:rPr/>
        <w:t>Lady</w:t>
      </w:r>
      <w:r>
        <w:rPr>
          <w:spacing w:val="-13"/>
        </w:rPr>
        <w:t> </w:t>
      </w:r>
      <w:r>
        <w:rPr/>
        <w:t>Macbeth’s character demonstrates the complexities and contradictions faced by women</w:t>
      </w:r>
      <w:r>
        <w:rPr>
          <w:spacing w:val="14"/>
        </w:rPr>
        <w:t> </w:t>
      </w:r>
      <w:r>
        <w:rPr/>
        <w:t>who</w:t>
      </w:r>
      <w:r>
        <w:rPr>
          <w:spacing w:val="18"/>
        </w:rPr>
        <w:t> </w:t>
      </w:r>
      <w:r>
        <w:rPr/>
        <w:t>strive</w:t>
      </w:r>
      <w:r>
        <w:rPr>
          <w:spacing w:val="15"/>
        </w:rPr>
        <w:t> </w:t>
      </w:r>
      <w:r>
        <w:rPr/>
        <w:t>for</w:t>
      </w:r>
      <w:r>
        <w:rPr>
          <w:spacing w:val="15"/>
        </w:rPr>
        <w:t> </w:t>
      </w:r>
      <w:r>
        <w:rPr/>
        <w:t>intervention</w:t>
      </w:r>
      <w:r>
        <w:rPr>
          <w:spacing w:val="15"/>
        </w:rPr>
        <w:t> </w:t>
      </w:r>
      <w:r>
        <w:rPr/>
        <w:t>and</w:t>
      </w:r>
      <w:r>
        <w:rPr>
          <w:spacing w:val="18"/>
        </w:rPr>
        <w:t> </w:t>
      </w:r>
      <w:r>
        <w:rPr/>
        <w:t>power</w:t>
      </w:r>
      <w:r>
        <w:rPr>
          <w:spacing w:val="15"/>
        </w:rPr>
        <w:t> </w:t>
      </w:r>
      <w:r>
        <w:rPr/>
        <w:t>in</w:t>
      </w:r>
      <w:r>
        <w:rPr>
          <w:spacing w:val="15"/>
        </w:rPr>
        <w:t> </w:t>
      </w:r>
      <w:r>
        <w:rPr/>
        <w:t>a</w:t>
      </w:r>
      <w:r>
        <w:rPr>
          <w:spacing w:val="16"/>
        </w:rPr>
        <w:t> </w:t>
      </w:r>
      <w:r>
        <w:rPr/>
        <w:t>patriarchal</w:t>
      </w:r>
      <w:r>
        <w:rPr>
          <w:spacing w:val="15"/>
        </w:rPr>
        <w:t> </w:t>
      </w:r>
      <w:r>
        <w:rPr>
          <w:spacing w:val="-2"/>
        </w:rPr>
        <w:t>society.</w:t>
      </w:r>
    </w:p>
    <w:p>
      <w:pPr>
        <w:pStyle w:val="BodyText"/>
        <w:spacing w:line="249" w:lineRule="auto" w:before="68"/>
        <w:ind w:right="1439" w:firstLine="432"/>
        <w:jc w:val="both"/>
      </w:pPr>
      <w:r>
        <w:rPr/>
        <w:t>Gertrude in “Hamlet” provides another intriguing example a patriarchal society.</w:t>
      </w:r>
      <w:r>
        <w:rPr>
          <w:spacing w:val="-6"/>
        </w:rPr>
        <w:t> </w:t>
      </w:r>
      <w:r>
        <w:rPr/>
        <w:t>As a mother, she carries a certain level of influence and authority. However, Gertrude is complicated by her relationships, particularly her hasty remarriage to her husband’s brother, Claudius. Several</w:t>
      </w:r>
      <w:r>
        <w:rPr>
          <w:spacing w:val="-2"/>
        </w:rPr>
        <w:t> </w:t>
      </w:r>
      <w:r>
        <w:rPr/>
        <w:t>studies</w:t>
      </w:r>
      <w:r>
        <w:rPr>
          <w:spacing w:val="-3"/>
        </w:rPr>
        <w:t> </w:t>
      </w:r>
      <w:r>
        <w:rPr/>
        <w:t>view</w:t>
      </w:r>
      <w:r>
        <w:rPr>
          <w:spacing w:val="-5"/>
        </w:rPr>
        <w:t> </w:t>
      </w:r>
      <w:r>
        <w:rPr/>
        <w:t>her</w:t>
      </w:r>
      <w:r>
        <w:rPr>
          <w:spacing w:val="-1"/>
        </w:rPr>
        <w:t> </w:t>
      </w:r>
      <w:r>
        <w:rPr/>
        <w:t>actions</w:t>
      </w:r>
      <w:r>
        <w:rPr>
          <w:spacing w:val="-3"/>
        </w:rPr>
        <w:t> </w:t>
      </w:r>
      <w:r>
        <w:rPr/>
        <w:t>as</w:t>
      </w:r>
      <w:r>
        <w:rPr>
          <w:spacing w:val="-3"/>
        </w:rPr>
        <w:t> </w:t>
      </w:r>
      <w:r>
        <w:rPr/>
        <w:t>a</w:t>
      </w:r>
      <w:r>
        <w:rPr>
          <w:spacing w:val="-2"/>
        </w:rPr>
        <w:t> </w:t>
      </w:r>
      <w:r>
        <w:rPr/>
        <w:t>demonstration</w:t>
      </w:r>
      <w:r>
        <w:rPr>
          <w:spacing w:val="-3"/>
        </w:rPr>
        <w:t> </w:t>
      </w:r>
      <w:r>
        <w:rPr/>
        <w:t>of</w:t>
      </w:r>
      <w:r>
        <w:rPr>
          <w:spacing w:val="-3"/>
        </w:rPr>
        <w:t> </w:t>
      </w:r>
      <w:r>
        <w:rPr/>
        <w:t>individuality</w:t>
      </w:r>
      <w:r>
        <w:rPr>
          <w:spacing w:val="-5"/>
        </w:rPr>
        <w:t> </w:t>
      </w:r>
      <w:r>
        <w:rPr/>
        <w:t>and practicality, suggesting that she seeks to maintain stability and protect her</w:t>
      </w:r>
      <w:r>
        <w:rPr>
          <w:spacing w:val="-7"/>
        </w:rPr>
        <w:t> </w:t>
      </w:r>
      <w:r>
        <w:rPr/>
        <w:t>position</w:t>
      </w:r>
      <w:r>
        <w:rPr>
          <w:spacing w:val="-11"/>
        </w:rPr>
        <w:t> </w:t>
      </w:r>
      <w:r>
        <w:rPr/>
        <w:t>in</w:t>
      </w:r>
      <w:r>
        <w:rPr>
          <w:spacing w:val="-9"/>
        </w:rPr>
        <w:t> </w:t>
      </w:r>
      <w:r>
        <w:rPr/>
        <w:t>a</w:t>
      </w:r>
      <w:r>
        <w:rPr>
          <w:spacing w:val="-9"/>
        </w:rPr>
        <w:t> </w:t>
      </w:r>
      <w:r>
        <w:rPr/>
        <w:t>world.</w:t>
      </w:r>
      <w:r>
        <w:rPr>
          <w:spacing w:val="-9"/>
        </w:rPr>
        <w:t> </w:t>
      </w:r>
      <w:r>
        <w:rPr/>
        <w:t>However,</w:t>
      </w:r>
      <w:r>
        <w:rPr>
          <w:spacing w:val="-11"/>
        </w:rPr>
        <w:t> </w:t>
      </w:r>
      <w:r>
        <w:rPr/>
        <w:t>others</w:t>
      </w:r>
      <w:r>
        <w:rPr>
          <w:spacing w:val="-11"/>
        </w:rPr>
        <w:t> </w:t>
      </w:r>
      <w:r>
        <w:rPr/>
        <w:t>criticize</w:t>
      </w:r>
      <w:r>
        <w:rPr>
          <w:spacing w:val="-9"/>
        </w:rPr>
        <w:t> </w:t>
      </w:r>
      <w:r>
        <w:rPr/>
        <w:t>her</w:t>
      </w:r>
      <w:r>
        <w:rPr>
          <w:spacing w:val="-7"/>
        </w:rPr>
        <w:t> </w:t>
      </w:r>
      <w:r>
        <w:rPr/>
        <w:t>for</w:t>
      </w:r>
      <w:r>
        <w:rPr>
          <w:spacing w:val="-7"/>
        </w:rPr>
        <w:t> </w:t>
      </w:r>
      <w:r>
        <w:rPr/>
        <w:t>being</w:t>
      </w:r>
      <w:r>
        <w:rPr>
          <w:spacing w:val="-11"/>
        </w:rPr>
        <w:t> </w:t>
      </w:r>
      <w:r>
        <w:rPr/>
        <w:t>complicit </w:t>
      </w:r>
      <w:r>
        <w:rPr>
          <w:spacing w:val="-2"/>
        </w:rPr>
        <w:t>in</w:t>
      </w:r>
      <w:r>
        <w:rPr>
          <w:spacing w:val="-8"/>
        </w:rPr>
        <w:t> </w:t>
      </w:r>
      <w:r>
        <w:rPr>
          <w:spacing w:val="-2"/>
        </w:rPr>
        <w:t>the</w:t>
      </w:r>
      <w:r>
        <w:rPr>
          <w:spacing w:val="-5"/>
        </w:rPr>
        <w:t> </w:t>
      </w:r>
      <w:r>
        <w:rPr>
          <w:spacing w:val="-2"/>
        </w:rPr>
        <w:t>power</w:t>
      </w:r>
      <w:r>
        <w:rPr>
          <w:spacing w:val="-4"/>
        </w:rPr>
        <w:t> </w:t>
      </w:r>
      <w:r>
        <w:rPr>
          <w:spacing w:val="-2"/>
        </w:rPr>
        <w:t>dynamics</w:t>
      </w:r>
      <w:r>
        <w:rPr>
          <w:spacing w:val="-8"/>
        </w:rPr>
        <w:t> </w:t>
      </w:r>
      <w:r>
        <w:rPr>
          <w:spacing w:val="-2"/>
        </w:rPr>
        <w:t>that</w:t>
      </w:r>
      <w:r>
        <w:rPr>
          <w:spacing w:val="-6"/>
        </w:rPr>
        <w:t> </w:t>
      </w:r>
      <w:r>
        <w:rPr>
          <w:spacing w:val="-2"/>
        </w:rPr>
        <w:t>contribute</w:t>
      </w:r>
      <w:r>
        <w:rPr>
          <w:spacing w:val="-5"/>
        </w:rPr>
        <w:t> </w:t>
      </w:r>
      <w:r>
        <w:rPr>
          <w:spacing w:val="-2"/>
        </w:rPr>
        <w:t>to</w:t>
      </w:r>
      <w:r>
        <w:rPr>
          <w:spacing w:val="-4"/>
        </w:rPr>
        <w:t> </w:t>
      </w:r>
      <w:r>
        <w:rPr>
          <w:spacing w:val="-2"/>
        </w:rPr>
        <w:t>the</w:t>
      </w:r>
      <w:r>
        <w:rPr>
          <w:spacing w:val="-4"/>
        </w:rPr>
        <w:t> </w:t>
      </w:r>
      <w:r>
        <w:rPr>
          <w:spacing w:val="-2"/>
        </w:rPr>
        <w:t>tragedy.</w:t>
      </w:r>
      <w:r>
        <w:rPr>
          <w:spacing w:val="-6"/>
        </w:rPr>
        <w:t> </w:t>
      </w:r>
      <w:r>
        <w:rPr>
          <w:spacing w:val="-2"/>
        </w:rPr>
        <w:t>Gertrude’s</w:t>
      </w:r>
      <w:r>
        <w:rPr>
          <w:spacing w:val="-8"/>
        </w:rPr>
        <w:t> </w:t>
      </w:r>
      <w:r>
        <w:rPr>
          <w:spacing w:val="-2"/>
        </w:rPr>
        <w:t>portrayal </w:t>
      </w:r>
      <w:r>
        <w:rPr/>
        <w:t>highlights the complex choices women face within patriarchal systems and the societal expectations. She deals with the boundaries of her role as a wife and mother, balancing her personal desires with the societal demands</w:t>
      </w:r>
      <w:r>
        <w:rPr>
          <w:spacing w:val="40"/>
        </w:rPr>
        <w:t> </w:t>
      </w:r>
      <w:r>
        <w:rPr/>
        <w:t>placed</w:t>
      </w:r>
      <w:r>
        <w:rPr>
          <w:spacing w:val="40"/>
        </w:rPr>
        <w:t> </w:t>
      </w:r>
      <w:r>
        <w:rPr/>
        <w:t>upon</w:t>
      </w:r>
      <w:r>
        <w:rPr>
          <w:spacing w:val="40"/>
        </w:rPr>
        <w:t> </w:t>
      </w:r>
      <w:r>
        <w:rPr/>
        <w:t>her.</w:t>
      </w:r>
    </w:p>
    <w:p>
      <w:pPr>
        <w:pStyle w:val="BodyText"/>
        <w:spacing w:line="249" w:lineRule="auto" w:before="70"/>
        <w:ind w:right="1436" w:firstLine="432"/>
        <w:jc w:val="both"/>
      </w:pPr>
      <w:r>
        <w:rPr/>
        <w:t>Desdemona in “Othello” provides yet another perspective about women characters in Shakespearean tragedies. Initially presented as a strong-willed and self-determining character, she challenges societal norms by marrying Othello, a general. Desdemona reveals conflict by following her desires and disregarding racial and social prejudices. Ultimately,</w:t>
      </w:r>
      <w:r>
        <w:rPr>
          <w:spacing w:val="-13"/>
        </w:rPr>
        <w:t> </w:t>
      </w:r>
      <w:r>
        <w:rPr/>
        <w:t>she</w:t>
      </w:r>
      <w:r>
        <w:rPr>
          <w:spacing w:val="-12"/>
        </w:rPr>
        <w:t> </w:t>
      </w:r>
      <w:r>
        <w:rPr/>
        <w:t>challenged</w:t>
      </w:r>
      <w:r>
        <w:rPr>
          <w:spacing w:val="-12"/>
        </w:rPr>
        <w:t> </w:t>
      </w:r>
      <w:r>
        <w:rPr/>
        <w:t>and</w:t>
      </w:r>
      <w:r>
        <w:rPr>
          <w:spacing w:val="-11"/>
        </w:rPr>
        <w:t> </w:t>
      </w:r>
      <w:r>
        <w:rPr/>
        <w:t>undermined</w:t>
      </w:r>
      <w:r>
        <w:rPr>
          <w:spacing w:val="-11"/>
        </w:rPr>
        <w:t> </w:t>
      </w:r>
      <w:r>
        <w:rPr/>
        <w:t>by</w:t>
      </w:r>
      <w:r>
        <w:rPr>
          <w:spacing w:val="-13"/>
        </w:rPr>
        <w:t> </w:t>
      </w:r>
      <w:r>
        <w:rPr/>
        <w:t>the</w:t>
      </w:r>
      <w:r>
        <w:rPr>
          <w:spacing w:val="-12"/>
        </w:rPr>
        <w:t> </w:t>
      </w:r>
      <w:r>
        <w:rPr/>
        <w:t>manipulations</w:t>
      </w:r>
      <w:r>
        <w:rPr>
          <w:spacing w:val="-13"/>
        </w:rPr>
        <w:t> </w:t>
      </w:r>
      <w:r>
        <w:rPr/>
        <w:t>of</w:t>
      </w:r>
      <w:r>
        <w:rPr>
          <w:spacing w:val="-12"/>
        </w:rPr>
        <w:t> </w:t>
      </w:r>
      <w:r>
        <w:rPr/>
        <w:t>Iago and Othello’s own insecurities. Desdemona’s tragic fate echoes the dangers faced by women who assert their autonomy and challenge patriarchal authority. Her character exposes the vulnerability and limitations</w:t>
      </w:r>
      <w:r>
        <w:rPr>
          <w:spacing w:val="1"/>
        </w:rPr>
        <w:t> </w:t>
      </w:r>
      <w:r>
        <w:rPr/>
        <w:t>experienced</w:t>
      </w:r>
      <w:r>
        <w:rPr>
          <w:spacing w:val="3"/>
        </w:rPr>
        <w:t> </w:t>
      </w:r>
      <w:r>
        <w:rPr/>
        <w:t>by</w:t>
      </w:r>
      <w:r>
        <w:rPr>
          <w:spacing w:val="-1"/>
        </w:rPr>
        <w:t> </w:t>
      </w:r>
      <w:r>
        <w:rPr/>
        <w:t>women</w:t>
      </w:r>
      <w:r>
        <w:rPr>
          <w:spacing w:val="-1"/>
        </w:rPr>
        <w:t> </w:t>
      </w:r>
      <w:r>
        <w:rPr/>
        <w:t>in</w:t>
      </w:r>
      <w:r>
        <w:rPr>
          <w:spacing w:val="1"/>
        </w:rPr>
        <w:t> </w:t>
      </w:r>
      <w:r>
        <w:rPr/>
        <w:t>a society</w:t>
      </w:r>
      <w:r>
        <w:rPr>
          <w:spacing w:val="-3"/>
        </w:rPr>
        <w:t> </w:t>
      </w:r>
      <w:r>
        <w:rPr/>
        <w:t>that</w:t>
      </w:r>
      <w:r>
        <w:rPr>
          <w:spacing w:val="1"/>
        </w:rPr>
        <w:t> </w:t>
      </w:r>
      <w:r>
        <w:rPr/>
        <w:t>seeks</w:t>
      </w:r>
      <w:r>
        <w:rPr>
          <w:spacing w:val="1"/>
        </w:rPr>
        <w:t> </w:t>
      </w:r>
      <w:r>
        <w:rPr/>
        <w:t>to</w:t>
      </w:r>
      <w:r>
        <w:rPr>
          <w:spacing w:val="3"/>
        </w:rPr>
        <w:t> </w:t>
      </w:r>
      <w:r>
        <w:rPr/>
        <w:t>control</w:t>
      </w:r>
      <w:r>
        <w:rPr>
          <w:spacing w:val="1"/>
        </w:rPr>
        <w:t> </w:t>
      </w:r>
      <w:r>
        <w:rPr>
          <w:spacing w:val="-5"/>
        </w:rPr>
        <w:t>and</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6368">
                <wp:simplePos x="0" y="0"/>
                <wp:positionH relativeFrom="page">
                  <wp:posOffset>2057400</wp:posOffset>
                </wp:positionH>
                <wp:positionV relativeFrom="paragraph">
                  <wp:posOffset>162604</wp:posOffset>
                </wp:positionV>
                <wp:extent cx="3657600" cy="12700"/>
                <wp:effectExtent l="0" t="0" r="0" b="0"/>
                <wp:wrapTopAndBottom/>
                <wp:docPr id="751" name="Graphic 751"/>
                <wp:cNvGraphicFramePr>
                  <a:graphicFrameLocks/>
                </wp:cNvGraphicFramePr>
                <a:graphic>
                  <a:graphicData uri="http://schemas.microsoft.com/office/word/2010/wordprocessingShape">
                    <wps:wsp>
                      <wps:cNvPr id="751" name="Graphic 75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50112;mso-wrap-distance-left:0;mso-wrap-distance-right:0" id="docshape743" filled="true" fillcolor="#000000" stroked="false">
                <v:fill type="solid"/>
                <w10:wrap type="topAndBottom"/>
              </v:rect>
            </w:pict>
          </mc:Fallback>
        </mc:AlternateContent>
      </w:r>
      <w:r>
        <w:rPr>
          <w:rFonts w:ascii="Verdana"/>
          <w:spacing w:val="-5"/>
          <w:sz w:val="18"/>
        </w:rPr>
        <w:t>376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suppress their agency. Desdemona becomes a victim of the oppressive patriarchal</w:t>
      </w:r>
      <w:r>
        <w:rPr>
          <w:spacing w:val="40"/>
        </w:rPr>
        <w:t> </w:t>
      </w:r>
      <w:r>
        <w:rPr/>
        <w:t>forces</w:t>
      </w:r>
      <w:r>
        <w:rPr>
          <w:spacing w:val="40"/>
        </w:rPr>
        <w:t> </w:t>
      </w:r>
      <w:r>
        <w:rPr/>
        <w:t>that</w:t>
      </w:r>
      <w:r>
        <w:rPr>
          <w:spacing w:val="40"/>
        </w:rPr>
        <w:t> </w:t>
      </w:r>
      <w:r>
        <w:rPr/>
        <w:t>deny</w:t>
      </w:r>
      <w:r>
        <w:rPr>
          <w:spacing w:val="40"/>
        </w:rPr>
        <w:t> </w:t>
      </w:r>
      <w:r>
        <w:rPr/>
        <w:t>her</w:t>
      </w:r>
      <w:r>
        <w:rPr>
          <w:spacing w:val="40"/>
        </w:rPr>
        <w:t> </w:t>
      </w:r>
      <w:r>
        <w:rPr/>
        <w:t>voice</w:t>
      </w:r>
      <w:r>
        <w:rPr>
          <w:spacing w:val="40"/>
        </w:rPr>
        <w:t> </w:t>
      </w:r>
      <w:r>
        <w:rPr/>
        <w:t>and</w:t>
      </w:r>
      <w:r>
        <w:rPr>
          <w:spacing w:val="40"/>
        </w:rPr>
        <w:t> </w:t>
      </w:r>
      <w:r>
        <w:rPr/>
        <w:t>leading</w:t>
      </w:r>
      <w:r>
        <w:rPr>
          <w:spacing w:val="40"/>
        </w:rPr>
        <w:t> </w:t>
      </w:r>
      <w:r>
        <w:rPr/>
        <w:t>to</w:t>
      </w:r>
      <w:r>
        <w:rPr>
          <w:spacing w:val="40"/>
        </w:rPr>
        <w:t> </w:t>
      </w:r>
      <w:r>
        <w:rPr/>
        <w:t>her</w:t>
      </w:r>
      <w:r>
        <w:rPr>
          <w:spacing w:val="40"/>
        </w:rPr>
        <w:t> </w:t>
      </w:r>
      <w:r>
        <w:rPr/>
        <w:t>end.</w:t>
      </w:r>
    </w:p>
    <w:p>
      <w:pPr>
        <w:pStyle w:val="BodyText"/>
        <w:spacing w:line="249" w:lineRule="auto" w:before="59"/>
        <w:ind w:right="1438" w:firstLine="432"/>
        <w:jc w:val="both"/>
      </w:pPr>
      <w:r>
        <w:rPr/>
        <w:t>Through the exploration of these women characters, Shakespeare reveals the complexities of feminine independences within patriarchal societies. While some characters challenge societal norms are often undermined or met with tragic consequences. These interpretations reflect</w:t>
      </w:r>
      <w:r>
        <w:rPr>
          <w:spacing w:val="-10"/>
        </w:rPr>
        <w:t> </w:t>
      </w:r>
      <w:r>
        <w:rPr/>
        <w:t>the</w:t>
      </w:r>
      <w:r>
        <w:rPr>
          <w:spacing w:val="-7"/>
        </w:rPr>
        <w:t> </w:t>
      </w:r>
      <w:r>
        <w:rPr/>
        <w:t>societal</w:t>
      </w:r>
      <w:r>
        <w:rPr>
          <w:spacing w:val="-10"/>
        </w:rPr>
        <w:t> </w:t>
      </w:r>
      <w:r>
        <w:rPr/>
        <w:t>pressures</w:t>
      </w:r>
      <w:r>
        <w:rPr>
          <w:spacing w:val="-10"/>
        </w:rPr>
        <w:t> </w:t>
      </w:r>
      <w:r>
        <w:rPr/>
        <w:t>faced</w:t>
      </w:r>
      <w:r>
        <w:rPr>
          <w:spacing w:val="-7"/>
        </w:rPr>
        <w:t> </w:t>
      </w:r>
      <w:r>
        <w:rPr/>
        <w:t>by</w:t>
      </w:r>
      <w:r>
        <w:rPr>
          <w:spacing w:val="-13"/>
        </w:rPr>
        <w:t> </w:t>
      </w:r>
      <w:r>
        <w:rPr/>
        <w:t>women</w:t>
      </w:r>
      <w:r>
        <w:rPr>
          <w:spacing w:val="-9"/>
        </w:rPr>
        <w:t> </w:t>
      </w:r>
      <w:r>
        <w:rPr/>
        <w:t>during</w:t>
      </w:r>
      <w:r>
        <w:rPr>
          <w:spacing w:val="-10"/>
        </w:rPr>
        <w:t> </w:t>
      </w:r>
      <w:r>
        <w:rPr/>
        <w:t>Shakespeare’s</w:t>
      </w:r>
      <w:r>
        <w:rPr>
          <w:spacing w:val="-10"/>
        </w:rPr>
        <w:t> </w:t>
      </w:r>
      <w:r>
        <w:rPr/>
        <w:t>time and raise questions about the boundaries placed on women’s accomplishment</w:t>
      </w:r>
      <w:r>
        <w:rPr>
          <w:spacing w:val="40"/>
        </w:rPr>
        <w:t> </w:t>
      </w:r>
      <w:r>
        <w:rPr/>
        <w:t>and</w:t>
      </w:r>
      <w:r>
        <w:rPr>
          <w:spacing w:val="40"/>
        </w:rPr>
        <w:t> </w:t>
      </w:r>
      <w:r>
        <w:rPr/>
        <w:t>the</w:t>
      </w:r>
      <w:r>
        <w:rPr>
          <w:spacing w:val="40"/>
        </w:rPr>
        <w:t> </w:t>
      </w:r>
      <w:r>
        <w:rPr/>
        <w:t>consequences</w:t>
      </w:r>
      <w:r>
        <w:rPr>
          <w:spacing w:val="40"/>
        </w:rPr>
        <w:t> </w:t>
      </w:r>
      <w:r>
        <w:rPr/>
        <w:t>of</w:t>
      </w:r>
      <w:r>
        <w:rPr>
          <w:spacing w:val="40"/>
        </w:rPr>
        <w:t> </w:t>
      </w:r>
      <w:r>
        <w:rPr/>
        <w:t>defying</w:t>
      </w:r>
      <w:r>
        <w:rPr>
          <w:spacing w:val="40"/>
        </w:rPr>
        <w:t> </w:t>
      </w:r>
      <w:r>
        <w:rPr/>
        <w:t>societal</w:t>
      </w:r>
      <w:r>
        <w:rPr>
          <w:spacing w:val="40"/>
        </w:rPr>
        <w:t> </w:t>
      </w:r>
      <w:r>
        <w:rPr/>
        <w:t>norms.</w:t>
      </w:r>
    </w:p>
    <w:p>
      <w:pPr>
        <w:pStyle w:val="BodyText"/>
        <w:spacing w:line="254" w:lineRule="auto" w:before="66"/>
        <w:ind w:right="1438" w:firstLine="432"/>
        <w:jc w:val="both"/>
      </w:pPr>
      <w:r>
        <w:rPr/>
        <w:t>By critically evaluating the actions, desires, and relationships of female characters in Shakespearean tragedies, emphasizes the complex intervention</w:t>
      </w:r>
      <w:r>
        <w:rPr>
          <w:spacing w:val="-8"/>
        </w:rPr>
        <w:t> </w:t>
      </w:r>
      <w:r>
        <w:rPr/>
        <w:t>of</w:t>
      </w:r>
      <w:r>
        <w:rPr>
          <w:spacing w:val="-10"/>
        </w:rPr>
        <w:t> </w:t>
      </w:r>
      <w:r>
        <w:rPr/>
        <w:t>power</w:t>
      </w:r>
      <w:r>
        <w:rPr>
          <w:spacing w:val="-5"/>
        </w:rPr>
        <w:t> </w:t>
      </w:r>
      <w:r>
        <w:rPr/>
        <w:t>and</w:t>
      </w:r>
      <w:r>
        <w:rPr>
          <w:spacing w:val="-7"/>
        </w:rPr>
        <w:t> </w:t>
      </w:r>
      <w:r>
        <w:rPr/>
        <w:t>action</w:t>
      </w:r>
      <w:r>
        <w:rPr>
          <w:spacing w:val="-8"/>
        </w:rPr>
        <w:t> </w:t>
      </w:r>
      <w:r>
        <w:rPr/>
        <w:t>for</w:t>
      </w:r>
      <w:r>
        <w:rPr>
          <w:spacing w:val="-7"/>
        </w:rPr>
        <w:t> </w:t>
      </w:r>
      <w:r>
        <w:rPr/>
        <w:t>women</w:t>
      </w:r>
      <w:r>
        <w:rPr>
          <w:spacing w:val="-7"/>
        </w:rPr>
        <w:t> </w:t>
      </w:r>
      <w:r>
        <w:rPr/>
        <w:t>within</w:t>
      </w:r>
      <w:r>
        <w:rPr>
          <w:spacing w:val="-8"/>
        </w:rPr>
        <w:t> </w:t>
      </w:r>
      <w:r>
        <w:rPr/>
        <w:t>patriarchal</w:t>
      </w:r>
      <w:r>
        <w:rPr>
          <w:spacing w:val="-9"/>
        </w:rPr>
        <w:t> </w:t>
      </w:r>
      <w:r>
        <w:rPr/>
        <w:t>societies. It highlights the various dimension of these characters and their role in challenging or conforming to societal norms. Shakespeare’s nuanced portrayal of gender role deepens our understanding of the complex dynamics of power, gender, and societal expectations within his plays. It encourages broader discussions on male domination, representation, and the impact of patriarchal systems on women’s lives, both in Shakespearean</w:t>
      </w:r>
      <w:r>
        <w:rPr>
          <w:spacing w:val="40"/>
        </w:rPr>
        <w:t> </w:t>
      </w:r>
      <w:r>
        <w:rPr/>
        <w:t>times</w:t>
      </w:r>
      <w:r>
        <w:rPr>
          <w:spacing w:val="40"/>
        </w:rPr>
        <w:t> </w:t>
      </w:r>
      <w:r>
        <w:rPr/>
        <w:t>and</w:t>
      </w:r>
      <w:r>
        <w:rPr>
          <w:spacing w:val="40"/>
        </w:rPr>
        <w:t> </w:t>
      </w:r>
      <w:r>
        <w:rPr/>
        <w:t>in</w:t>
      </w:r>
      <w:r>
        <w:rPr>
          <w:spacing w:val="40"/>
        </w:rPr>
        <w:t> </w:t>
      </w:r>
      <w:r>
        <w:rPr/>
        <w:t>contemporary</w:t>
      </w:r>
      <w:r>
        <w:rPr>
          <w:spacing w:val="40"/>
        </w:rPr>
        <w:t> </w:t>
      </w:r>
      <w:r>
        <w:rPr/>
        <w:t>society.</w:t>
      </w:r>
    </w:p>
    <w:p>
      <w:pPr>
        <w:pStyle w:val="Heading5"/>
        <w:spacing w:before="113"/>
        <w:jc w:val="both"/>
      </w:pPr>
      <w:r>
        <w:rPr>
          <w:w w:val="105"/>
        </w:rPr>
        <w:t>Formation</w:t>
      </w:r>
      <w:r>
        <w:rPr>
          <w:spacing w:val="58"/>
          <w:w w:val="105"/>
        </w:rPr>
        <w:t> </w:t>
      </w:r>
      <w:r>
        <w:rPr>
          <w:w w:val="105"/>
        </w:rPr>
        <w:t>of</w:t>
      </w:r>
      <w:r>
        <w:rPr>
          <w:spacing w:val="60"/>
          <w:w w:val="105"/>
        </w:rPr>
        <w:t> </w:t>
      </w:r>
      <w:r>
        <w:rPr>
          <w:spacing w:val="-2"/>
          <w:w w:val="105"/>
        </w:rPr>
        <w:t>Gender</w:t>
      </w:r>
    </w:p>
    <w:p>
      <w:pPr>
        <w:pStyle w:val="BodyText"/>
        <w:spacing w:line="254" w:lineRule="auto" w:before="74"/>
        <w:ind w:right="1440" w:firstLine="432"/>
        <w:jc w:val="both"/>
      </w:pPr>
      <w:r>
        <w:rPr/>
        <w:t>Shakespeare’s tragedies explore the anticipation put upon male characters and its</w:t>
      </w:r>
      <w:r>
        <w:rPr>
          <w:spacing w:val="-1"/>
        </w:rPr>
        <w:t> </w:t>
      </w:r>
      <w:r>
        <w:rPr/>
        <w:t>effects on their actions and relationships. It examines the characters of Macbeth, Hamlet and Othello and the portrayal of masculinity</w:t>
      </w:r>
      <w:r>
        <w:rPr>
          <w:spacing w:val="-3"/>
        </w:rPr>
        <w:t> </w:t>
      </w:r>
      <w:r>
        <w:rPr/>
        <w:t>and its</w:t>
      </w:r>
      <w:r>
        <w:rPr>
          <w:spacing w:val="-5"/>
        </w:rPr>
        <w:t> </w:t>
      </w:r>
      <w:r>
        <w:rPr/>
        <w:t>limitations</w:t>
      </w:r>
      <w:r>
        <w:rPr>
          <w:spacing w:val="-3"/>
        </w:rPr>
        <w:t> </w:t>
      </w:r>
      <w:r>
        <w:rPr/>
        <w:t>within</w:t>
      </w:r>
      <w:r>
        <w:rPr>
          <w:spacing w:val="-1"/>
        </w:rPr>
        <w:t> </w:t>
      </w:r>
      <w:r>
        <w:rPr/>
        <w:t>these tragic figures.</w:t>
      </w:r>
      <w:r>
        <w:rPr>
          <w:spacing w:val="40"/>
        </w:rPr>
        <w:t> </w:t>
      </w:r>
      <w:r>
        <w:rPr/>
        <w:t>It</w:t>
      </w:r>
      <w:r>
        <w:rPr>
          <w:spacing w:val="-1"/>
        </w:rPr>
        <w:t> </w:t>
      </w:r>
      <w:r>
        <w:rPr/>
        <w:t>sheds</w:t>
      </w:r>
      <w:r>
        <w:rPr>
          <w:spacing w:val="-3"/>
        </w:rPr>
        <w:t> </w:t>
      </w:r>
      <w:r>
        <w:rPr/>
        <w:t>light on</w:t>
      </w:r>
      <w:r>
        <w:rPr>
          <w:spacing w:val="-13"/>
        </w:rPr>
        <w:t> </w:t>
      </w:r>
      <w:r>
        <w:rPr/>
        <w:t>the</w:t>
      </w:r>
      <w:r>
        <w:rPr>
          <w:spacing w:val="-12"/>
        </w:rPr>
        <w:t> </w:t>
      </w:r>
      <w:r>
        <w:rPr/>
        <w:t>complexities</w:t>
      </w:r>
      <w:r>
        <w:rPr>
          <w:spacing w:val="-13"/>
        </w:rPr>
        <w:t> </w:t>
      </w:r>
      <w:r>
        <w:rPr/>
        <w:t>and</w:t>
      </w:r>
      <w:r>
        <w:rPr>
          <w:spacing w:val="-12"/>
        </w:rPr>
        <w:t> </w:t>
      </w:r>
      <w:r>
        <w:rPr/>
        <w:t>consequences</w:t>
      </w:r>
      <w:r>
        <w:rPr>
          <w:spacing w:val="-13"/>
        </w:rPr>
        <w:t> </w:t>
      </w:r>
      <w:r>
        <w:rPr/>
        <w:t>of</w:t>
      </w:r>
      <w:r>
        <w:rPr>
          <w:spacing w:val="-12"/>
        </w:rPr>
        <w:t> </w:t>
      </w:r>
      <w:r>
        <w:rPr/>
        <w:t>societal</w:t>
      </w:r>
      <w:r>
        <w:rPr>
          <w:spacing w:val="-13"/>
        </w:rPr>
        <w:t> </w:t>
      </w:r>
      <w:r>
        <w:rPr/>
        <w:t>expectations</w:t>
      </w:r>
      <w:r>
        <w:rPr>
          <w:spacing w:val="-12"/>
        </w:rPr>
        <w:t> </w:t>
      </w:r>
      <w:r>
        <w:rPr/>
        <w:t>of</w:t>
      </w:r>
      <w:r>
        <w:rPr>
          <w:spacing w:val="-13"/>
        </w:rPr>
        <w:t> </w:t>
      </w:r>
      <w:r>
        <w:rPr/>
        <w:t>gender, roles</w:t>
      </w:r>
      <w:r>
        <w:rPr>
          <w:spacing w:val="40"/>
        </w:rPr>
        <w:t> </w:t>
      </w:r>
      <w:r>
        <w:rPr/>
        <w:t>as</w:t>
      </w:r>
      <w:r>
        <w:rPr>
          <w:spacing w:val="40"/>
        </w:rPr>
        <w:t> </w:t>
      </w:r>
      <w:r>
        <w:rPr/>
        <w:t>well</w:t>
      </w:r>
      <w:r>
        <w:rPr>
          <w:spacing w:val="40"/>
        </w:rPr>
        <w:t> </w:t>
      </w:r>
      <w:r>
        <w:rPr/>
        <w:t>as</w:t>
      </w:r>
      <w:r>
        <w:rPr>
          <w:spacing w:val="40"/>
        </w:rPr>
        <w:t> </w:t>
      </w:r>
      <w:r>
        <w:rPr/>
        <w:t>the</w:t>
      </w:r>
      <w:r>
        <w:rPr>
          <w:spacing w:val="40"/>
        </w:rPr>
        <w:t> </w:t>
      </w:r>
      <w:r>
        <w:rPr/>
        <w:t>potential</w:t>
      </w:r>
      <w:r>
        <w:rPr>
          <w:spacing w:val="40"/>
        </w:rPr>
        <w:t> </w:t>
      </w:r>
      <w:r>
        <w:rPr/>
        <w:t>for</w:t>
      </w:r>
      <w:r>
        <w:rPr>
          <w:spacing w:val="40"/>
        </w:rPr>
        <w:t> </w:t>
      </w:r>
      <w:r>
        <w:rPr/>
        <w:t>struggle.</w:t>
      </w:r>
    </w:p>
    <w:p>
      <w:pPr>
        <w:pStyle w:val="BodyText"/>
        <w:spacing w:line="254" w:lineRule="auto" w:before="59"/>
        <w:ind w:right="1436" w:firstLine="432"/>
        <w:jc w:val="both"/>
      </w:pPr>
      <w:r>
        <w:rPr/>
        <w:t>Macbeth, primarily portrayed as a brave and noble warrior, he is energetic and determined to prove his power. However, as the play progresses, his ambition transforms into a destructive force, leading to his descent into tyranny and moral decay. Macbeth’s actions are associated with power, dominance, and violence with manhood. His fanatical quest of power ultimately leads to downfall, highlighting the consequences of holding to severe and oppressive notions of power politics. Macbeth’s character reveals the destructive nature of power and</w:t>
      </w:r>
      <w:r>
        <w:rPr>
          <w:spacing w:val="40"/>
        </w:rPr>
        <w:t> </w:t>
      </w:r>
      <w:r>
        <w:rPr/>
        <w:t>its</w:t>
      </w:r>
      <w:r>
        <w:rPr>
          <w:spacing w:val="40"/>
        </w:rPr>
        <w:t> </w:t>
      </w:r>
      <w:r>
        <w:rPr/>
        <w:t>impact</w:t>
      </w:r>
      <w:r>
        <w:rPr>
          <w:spacing w:val="40"/>
        </w:rPr>
        <w:t> </w:t>
      </w:r>
      <w:r>
        <w:rPr/>
        <w:t>on</w:t>
      </w:r>
      <w:r>
        <w:rPr>
          <w:spacing w:val="40"/>
        </w:rPr>
        <w:t> </w:t>
      </w:r>
      <w:r>
        <w:rPr/>
        <w:t>both</w:t>
      </w:r>
      <w:r>
        <w:rPr>
          <w:spacing w:val="40"/>
        </w:rPr>
        <w:t> </w:t>
      </w:r>
      <w:r>
        <w:rPr/>
        <w:t>the</w:t>
      </w:r>
      <w:r>
        <w:rPr>
          <w:spacing w:val="40"/>
        </w:rPr>
        <w:t> </w:t>
      </w:r>
      <w:r>
        <w:rPr/>
        <w:t>individual</w:t>
      </w:r>
      <w:r>
        <w:rPr>
          <w:spacing w:val="40"/>
        </w:rPr>
        <w:t> </w:t>
      </w:r>
      <w:r>
        <w:rPr/>
        <w:t>and</w:t>
      </w:r>
      <w:r>
        <w:rPr>
          <w:spacing w:val="40"/>
        </w:rPr>
        <w:t> </w:t>
      </w:r>
      <w:r>
        <w:rPr/>
        <w:t>society.</w:t>
      </w:r>
    </w:p>
    <w:p>
      <w:pPr>
        <w:pStyle w:val="BodyText"/>
        <w:spacing w:line="249" w:lineRule="auto" w:before="57"/>
        <w:ind w:right="1440" w:firstLine="501"/>
        <w:jc w:val="both"/>
      </w:pPr>
      <w:r>
        <w:rPr/>
        <w:t>Hamlet provides a complex exploration of gender power and its limitations.</w:t>
      </w:r>
      <w:r>
        <w:rPr>
          <w:spacing w:val="-11"/>
        </w:rPr>
        <w:t> </w:t>
      </w:r>
      <w:r>
        <w:rPr/>
        <w:t>Hamlet</w:t>
      </w:r>
      <w:r>
        <w:rPr>
          <w:spacing w:val="-11"/>
        </w:rPr>
        <w:t> </w:t>
      </w:r>
      <w:r>
        <w:rPr/>
        <w:t>is</w:t>
      </w:r>
      <w:r>
        <w:rPr>
          <w:spacing w:val="-10"/>
        </w:rPr>
        <w:t> </w:t>
      </w:r>
      <w:r>
        <w:rPr/>
        <w:t>torn</w:t>
      </w:r>
      <w:r>
        <w:rPr>
          <w:spacing w:val="-11"/>
        </w:rPr>
        <w:t> </w:t>
      </w:r>
      <w:r>
        <w:rPr/>
        <w:t>between</w:t>
      </w:r>
      <w:r>
        <w:rPr>
          <w:spacing w:val="-13"/>
        </w:rPr>
        <w:t> </w:t>
      </w:r>
      <w:r>
        <w:rPr/>
        <w:t>conflicting</w:t>
      </w:r>
      <w:r>
        <w:rPr>
          <w:spacing w:val="-11"/>
        </w:rPr>
        <w:t> </w:t>
      </w:r>
      <w:r>
        <w:rPr/>
        <w:t>expectations</w:t>
      </w:r>
      <w:r>
        <w:rPr>
          <w:spacing w:val="-10"/>
        </w:rPr>
        <w:t> </w:t>
      </w:r>
      <w:r>
        <w:rPr/>
        <w:t>placed</w:t>
      </w:r>
      <w:r>
        <w:rPr>
          <w:spacing w:val="-11"/>
        </w:rPr>
        <w:t> </w:t>
      </w:r>
      <w:r>
        <w:rPr/>
        <w:t>upon him</w:t>
      </w:r>
      <w:r>
        <w:rPr>
          <w:spacing w:val="9"/>
        </w:rPr>
        <w:t> </w:t>
      </w:r>
      <w:r>
        <w:rPr/>
        <w:t>as</w:t>
      </w:r>
      <w:r>
        <w:rPr>
          <w:spacing w:val="9"/>
        </w:rPr>
        <w:t> </w:t>
      </w:r>
      <w:r>
        <w:rPr/>
        <w:t>a</w:t>
      </w:r>
      <w:r>
        <w:rPr>
          <w:spacing w:val="14"/>
        </w:rPr>
        <w:t> </w:t>
      </w:r>
      <w:r>
        <w:rPr/>
        <w:t>man</w:t>
      </w:r>
      <w:r>
        <w:rPr>
          <w:spacing w:val="9"/>
        </w:rPr>
        <w:t> </w:t>
      </w:r>
      <w:r>
        <w:rPr/>
        <w:t>and</w:t>
      </w:r>
      <w:r>
        <w:rPr>
          <w:spacing w:val="15"/>
        </w:rPr>
        <w:t> </w:t>
      </w:r>
      <w:r>
        <w:rPr/>
        <w:t>a</w:t>
      </w:r>
      <w:r>
        <w:rPr>
          <w:spacing w:val="9"/>
        </w:rPr>
        <w:t> </w:t>
      </w:r>
      <w:r>
        <w:rPr/>
        <w:t>prince.</w:t>
      </w:r>
      <w:r>
        <w:rPr>
          <w:spacing w:val="12"/>
        </w:rPr>
        <w:t> </w:t>
      </w:r>
      <w:r>
        <w:rPr/>
        <w:t>He</w:t>
      </w:r>
      <w:r>
        <w:rPr>
          <w:spacing w:val="11"/>
        </w:rPr>
        <w:t> </w:t>
      </w:r>
      <w:r>
        <w:rPr/>
        <w:t>deals</w:t>
      </w:r>
      <w:r>
        <w:rPr>
          <w:spacing w:val="13"/>
        </w:rPr>
        <w:t> </w:t>
      </w:r>
      <w:r>
        <w:rPr/>
        <w:t>with</w:t>
      </w:r>
      <w:r>
        <w:rPr>
          <w:spacing w:val="9"/>
        </w:rPr>
        <w:t> </w:t>
      </w:r>
      <w:r>
        <w:rPr/>
        <w:t>his</w:t>
      </w:r>
      <w:r>
        <w:rPr>
          <w:spacing w:val="11"/>
        </w:rPr>
        <w:t> </w:t>
      </w:r>
      <w:r>
        <w:rPr/>
        <w:t>grief,</w:t>
      </w:r>
      <w:r>
        <w:rPr>
          <w:spacing w:val="10"/>
        </w:rPr>
        <w:t> </w:t>
      </w:r>
      <w:r>
        <w:rPr/>
        <w:t>duty</w:t>
      </w:r>
      <w:r>
        <w:rPr>
          <w:spacing w:val="9"/>
        </w:rPr>
        <w:t> </w:t>
      </w:r>
      <w:r>
        <w:rPr/>
        <w:t>to</w:t>
      </w:r>
      <w:r>
        <w:rPr>
          <w:spacing w:val="13"/>
        </w:rPr>
        <w:t> </w:t>
      </w:r>
      <w:r>
        <w:rPr/>
        <w:t>avenge</w:t>
      </w:r>
      <w:r>
        <w:rPr>
          <w:spacing w:val="13"/>
        </w:rPr>
        <w:t> </w:t>
      </w:r>
      <w:r>
        <w:rPr>
          <w:spacing w:val="-5"/>
        </w:rPr>
        <w:t>his</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6880">
                <wp:simplePos x="0" y="0"/>
                <wp:positionH relativeFrom="page">
                  <wp:posOffset>2065020</wp:posOffset>
                </wp:positionH>
                <wp:positionV relativeFrom="paragraph">
                  <wp:posOffset>795020</wp:posOffset>
                </wp:positionV>
                <wp:extent cx="3657600" cy="12700"/>
                <wp:effectExtent l="0" t="0" r="0" b="0"/>
                <wp:wrapTopAndBottom/>
                <wp:docPr id="752" name="Graphic 752"/>
                <wp:cNvGraphicFramePr>
                  <a:graphicFrameLocks/>
                </wp:cNvGraphicFramePr>
                <a:graphic>
                  <a:graphicData uri="http://schemas.microsoft.com/office/word/2010/wordprocessingShape">
                    <wps:wsp>
                      <wps:cNvPr id="752" name="Graphic 75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49600;mso-wrap-distance-left:0;mso-wrap-distance-right:0" id="docshape744" filled="true" fillcolor="#000000" stroked="false">
                <v:fill type="solid"/>
                <w10:wrap type="topAndBottom"/>
              </v:rect>
            </w:pict>
          </mc:Fallback>
        </mc:AlternateContent>
      </w:r>
      <w:r>
        <w:rPr>
          <w:rFonts w:ascii="Verdana"/>
          <w:sz w:val="18"/>
        </w:rPr>
        <w:t>A</w:t>
      </w:r>
      <w:r>
        <w:rPr>
          <w:rFonts w:ascii="Verdana"/>
          <w:spacing w:val="3"/>
          <w:sz w:val="18"/>
        </w:rPr>
        <w:t> </w:t>
      </w:r>
      <w:r>
        <w:rPr>
          <w:rFonts w:ascii="Verdana"/>
          <w:sz w:val="18"/>
        </w:rPr>
        <w:t>Critical</w:t>
      </w:r>
      <w:r>
        <w:rPr>
          <w:rFonts w:ascii="Verdana"/>
          <w:spacing w:val="10"/>
          <w:sz w:val="18"/>
        </w:rPr>
        <w:t> </w:t>
      </w:r>
      <w:r>
        <w:rPr>
          <w:rFonts w:ascii="Verdana"/>
          <w:sz w:val="18"/>
        </w:rPr>
        <w:t>Study</w:t>
      </w:r>
      <w:r>
        <w:rPr>
          <w:rFonts w:ascii="Verdana"/>
          <w:spacing w:val="13"/>
          <w:sz w:val="18"/>
        </w:rPr>
        <w:t> </w:t>
      </w:r>
      <w:r>
        <w:rPr>
          <w:rFonts w:ascii="Verdana"/>
          <w:sz w:val="18"/>
        </w:rPr>
        <w:t>of</w:t>
      </w:r>
      <w:r>
        <w:rPr>
          <w:rFonts w:ascii="Verdana"/>
          <w:spacing w:val="13"/>
          <w:sz w:val="18"/>
        </w:rPr>
        <w:t> </w:t>
      </w:r>
      <w:r>
        <w:rPr>
          <w:rFonts w:ascii="Verdana"/>
          <w:sz w:val="18"/>
        </w:rPr>
        <w:t>the</w:t>
      </w:r>
      <w:r>
        <w:rPr>
          <w:rFonts w:ascii="Verdana"/>
          <w:spacing w:val="12"/>
          <w:sz w:val="18"/>
        </w:rPr>
        <w:t> </w:t>
      </w:r>
      <w:r>
        <w:rPr>
          <w:rFonts w:ascii="Verdana"/>
          <w:sz w:val="18"/>
        </w:rPr>
        <w:t>Power</w:t>
      </w:r>
      <w:r>
        <w:rPr>
          <w:rFonts w:ascii="Verdana"/>
          <w:spacing w:val="13"/>
          <w:sz w:val="18"/>
        </w:rPr>
        <w:t> </w:t>
      </w:r>
      <w:r>
        <w:rPr>
          <w:rFonts w:ascii="Verdana"/>
          <w:sz w:val="18"/>
        </w:rPr>
        <w:t>Politics</w:t>
      </w:r>
      <w:r>
        <w:rPr>
          <w:rFonts w:ascii="Verdana"/>
          <w:spacing w:val="11"/>
          <w:sz w:val="18"/>
        </w:rPr>
        <w:t> </w:t>
      </w:r>
      <w:r>
        <w:rPr>
          <w:rFonts w:ascii="Verdana"/>
          <w:sz w:val="18"/>
        </w:rPr>
        <w:t>and</w:t>
      </w:r>
      <w:r>
        <w:rPr>
          <w:rFonts w:ascii="Verdana"/>
          <w:spacing w:val="10"/>
          <w:sz w:val="18"/>
        </w:rPr>
        <w:t> </w:t>
      </w:r>
      <w:r>
        <w:rPr>
          <w:rFonts w:ascii="Verdana"/>
          <w:spacing w:val="-2"/>
          <w:sz w:val="18"/>
        </w:rPr>
        <w:t>Gender...</w:t>
      </w:r>
      <w:r>
        <w:rPr>
          <w:sz w:val="18"/>
        </w:rPr>
        <w:tab/>
      </w:r>
      <w:r>
        <w:rPr>
          <w:rFonts w:ascii="Verdana"/>
          <w:spacing w:val="-5"/>
          <w:sz w:val="18"/>
        </w:rPr>
        <w:t>377</w:t>
      </w:r>
    </w:p>
    <w:p>
      <w:pPr>
        <w:pStyle w:val="BodyText"/>
        <w:spacing w:line="249" w:lineRule="auto" w:before="192"/>
        <w:ind w:right="1439"/>
        <w:jc w:val="both"/>
      </w:pPr>
      <w:r>
        <w:rPr/>
        <w:t>father’s</w:t>
      </w:r>
      <w:r>
        <w:rPr>
          <w:spacing w:val="-13"/>
        </w:rPr>
        <w:t> </w:t>
      </w:r>
      <w:r>
        <w:rPr/>
        <w:t>murder,</w:t>
      </w:r>
      <w:r>
        <w:rPr>
          <w:spacing w:val="-12"/>
        </w:rPr>
        <w:t> </w:t>
      </w:r>
      <w:r>
        <w:rPr/>
        <w:t>and</w:t>
      </w:r>
      <w:r>
        <w:rPr>
          <w:spacing w:val="-9"/>
        </w:rPr>
        <w:t> </w:t>
      </w:r>
      <w:r>
        <w:rPr/>
        <w:t>inner</w:t>
      </w:r>
      <w:r>
        <w:rPr>
          <w:spacing w:val="-12"/>
        </w:rPr>
        <w:t> </w:t>
      </w:r>
      <w:r>
        <w:rPr/>
        <w:t>struggle</w:t>
      </w:r>
      <w:r>
        <w:rPr>
          <w:spacing w:val="-11"/>
        </w:rPr>
        <w:t> </w:t>
      </w:r>
      <w:r>
        <w:rPr/>
        <w:t>with</w:t>
      </w:r>
      <w:r>
        <w:rPr>
          <w:spacing w:val="-13"/>
        </w:rPr>
        <w:t> </w:t>
      </w:r>
      <w:r>
        <w:rPr/>
        <w:t>his</w:t>
      </w:r>
      <w:r>
        <w:rPr>
          <w:spacing w:val="-12"/>
        </w:rPr>
        <w:t> </w:t>
      </w:r>
      <w:r>
        <w:rPr/>
        <w:t>self.</w:t>
      </w:r>
      <w:r>
        <w:rPr>
          <w:spacing w:val="-13"/>
        </w:rPr>
        <w:t> </w:t>
      </w:r>
      <w:r>
        <w:rPr/>
        <w:t>Hamlet’s</w:t>
      </w:r>
      <w:r>
        <w:rPr>
          <w:spacing w:val="-12"/>
        </w:rPr>
        <w:t> </w:t>
      </w:r>
      <w:r>
        <w:rPr/>
        <w:t>contemplative nature</w:t>
      </w:r>
      <w:r>
        <w:rPr>
          <w:spacing w:val="-7"/>
        </w:rPr>
        <w:t> </w:t>
      </w:r>
      <w:r>
        <w:rPr/>
        <w:t>weighs</w:t>
      </w:r>
      <w:r>
        <w:rPr>
          <w:spacing w:val="-6"/>
        </w:rPr>
        <w:t> </w:t>
      </w:r>
      <w:r>
        <w:rPr/>
        <w:t>with</w:t>
      </w:r>
      <w:r>
        <w:rPr>
          <w:spacing w:val="-8"/>
        </w:rPr>
        <w:t> </w:t>
      </w:r>
      <w:r>
        <w:rPr/>
        <w:t>societal</w:t>
      </w:r>
      <w:r>
        <w:rPr>
          <w:spacing w:val="-7"/>
        </w:rPr>
        <w:t> </w:t>
      </w:r>
      <w:r>
        <w:rPr/>
        <w:t>ideals</w:t>
      </w:r>
      <w:r>
        <w:rPr>
          <w:spacing w:val="-6"/>
        </w:rPr>
        <w:t> </w:t>
      </w:r>
      <w:r>
        <w:rPr/>
        <w:t>of</w:t>
      </w:r>
      <w:r>
        <w:rPr>
          <w:spacing w:val="-8"/>
        </w:rPr>
        <w:t> </w:t>
      </w:r>
      <w:r>
        <w:rPr/>
        <w:t>boldness</w:t>
      </w:r>
      <w:r>
        <w:rPr>
          <w:spacing w:val="-8"/>
        </w:rPr>
        <w:t> </w:t>
      </w:r>
      <w:r>
        <w:rPr/>
        <w:t>and</w:t>
      </w:r>
      <w:r>
        <w:rPr>
          <w:spacing w:val="-5"/>
        </w:rPr>
        <w:t> </w:t>
      </w:r>
      <w:r>
        <w:rPr/>
        <w:t>aggression</w:t>
      </w:r>
      <w:r>
        <w:rPr>
          <w:spacing w:val="-10"/>
        </w:rPr>
        <w:t> </w:t>
      </w:r>
      <w:r>
        <w:rPr/>
        <w:t>associated with power. His struggle to lead to his inner turmoil contributes to the tragedy. The character of Hamlet exposes the pressures and constraints that</w:t>
      </w:r>
      <w:r>
        <w:rPr>
          <w:spacing w:val="-4"/>
        </w:rPr>
        <w:t> </w:t>
      </w:r>
      <w:r>
        <w:rPr/>
        <w:t>imposes</w:t>
      </w:r>
      <w:r>
        <w:rPr>
          <w:spacing w:val="-4"/>
        </w:rPr>
        <w:t> </w:t>
      </w:r>
      <w:r>
        <w:rPr/>
        <w:t>on</w:t>
      </w:r>
      <w:r>
        <w:rPr>
          <w:spacing w:val="-5"/>
        </w:rPr>
        <w:t> </w:t>
      </w:r>
      <w:r>
        <w:rPr/>
        <w:t>men,</w:t>
      </w:r>
      <w:r>
        <w:rPr>
          <w:spacing w:val="-2"/>
        </w:rPr>
        <w:t> </w:t>
      </w:r>
      <w:r>
        <w:rPr/>
        <w:t>highlighting</w:t>
      </w:r>
      <w:r>
        <w:rPr>
          <w:spacing w:val="-5"/>
        </w:rPr>
        <w:t> </w:t>
      </w:r>
      <w:r>
        <w:rPr/>
        <w:t>the</w:t>
      </w:r>
      <w:r>
        <w:rPr>
          <w:spacing w:val="-2"/>
        </w:rPr>
        <w:t> </w:t>
      </w:r>
      <w:r>
        <w:rPr/>
        <w:t>limitations</w:t>
      </w:r>
      <w:r>
        <w:rPr>
          <w:spacing w:val="-5"/>
        </w:rPr>
        <w:t> </w:t>
      </w:r>
      <w:r>
        <w:rPr/>
        <w:t>and harmful</w:t>
      </w:r>
      <w:r>
        <w:rPr>
          <w:spacing w:val="-4"/>
        </w:rPr>
        <w:t> </w:t>
      </w:r>
      <w:r>
        <w:rPr/>
        <w:t>effects</w:t>
      </w:r>
      <w:r>
        <w:rPr>
          <w:spacing w:val="-2"/>
        </w:rPr>
        <w:t> </w:t>
      </w:r>
      <w:r>
        <w:rPr/>
        <w:t>of such societal constructs. Hamlet’s introspection and refusal to conform to traditional masculine norms provide a critique of patriarchy and its damaging</w:t>
      </w:r>
      <w:r>
        <w:rPr>
          <w:spacing w:val="40"/>
        </w:rPr>
        <w:t> </w:t>
      </w:r>
      <w:r>
        <w:rPr/>
        <w:t>consequences.</w:t>
      </w:r>
    </w:p>
    <w:p>
      <w:pPr>
        <w:pStyle w:val="BodyText"/>
        <w:spacing w:line="254" w:lineRule="auto" w:before="67"/>
        <w:ind w:right="1439" w:firstLine="432"/>
        <w:jc w:val="both"/>
      </w:pPr>
      <w:r>
        <w:rPr/>
        <w:t>Othello, the protagonist offers observations about power politics, was a respected military general, courageous and leadership. However, his weakness lies in his insecurity about his race and his place in a</w:t>
      </w:r>
      <w:r>
        <w:rPr>
          <w:spacing w:val="40"/>
        </w:rPr>
        <w:t> </w:t>
      </w:r>
      <w:r>
        <w:rPr/>
        <w:t>white society. Iago, the foul, operates Othello’s insecurities and manipulates him into believing that his power is threatened by the disloyalty</w:t>
      </w:r>
      <w:r>
        <w:rPr>
          <w:spacing w:val="-11"/>
        </w:rPr>
        <w:t> </w:t>
      </w:r>
      <w:r>
        <w:rPr/>
        <w:t>of</w:t>
      </w:r>
      <w:r>
        <w:rPr>
          <w:spacing w:val="-7"/>
        </w:rPr>
        <w:t> </w:t>
      </w:r>
      <w:r>
        <w:rPr/>
        <w:t>his</w:t>
      </w:r>
      <w:r>
        <w:rPr>
          <w:spacing w:val="-9"/>
        </w:rPr>
        <w:t> </w:t>
      </w:r>
      <w:r>
        <w:rPr/>
        <w:t>wife,</w:t>
      </w:r>
      <w:r>
        <w:rPr>
          <w:spacing w:val="-7"/>
        </w:rPr>
        <w:t> </w:t>
      </w:r>
      <w:r>
        <w:rPr/>
        <w:t>Desdemona.</w:t>
      </w:r>
      <w:r>
        <w:rPr>
          <w:spacing w:val="-9"/>
        </w:rPr>
        <w:t> </w:t>
      </w:r>
      <w:r>
        <w:rPr/>
        <w:t>Othello’s</w:t>
      </w:r>
      <w:r>
        <w:rPr>
          <w:spacing w:val="-9"/>
        </w:rPr>
        <w:t> </w:t>
      </w:r>
      <w:r>
        <w:rPr/>
        <w:t>tragic</w:t>
      </w:r>
      <w:r>
        <w:rPr>
          <w:spacing w:val="-7"/>
        </w:rPr>
        <w:t> </w:t>
      </w:r>
      <w:r>
        <w:rPr/>
        <w:t>downfall</w:t>
      </w:r>
      <w:r>
        <w:rPr>
          <w:spacing w:val="-8"/>
        </w:rPr>
        <w:t> </w:t>
      </w:r>
      <w:r>
        <w:rPr/>
        <w:t>is</w:t>
      </w:r>
      <w:r>
        <w:rPr>
          <w:spacing w:val="-7"/>
        </w:rPr>
        <w:t> </w:t>
      </w:r>
      <w:r>
        <w:rPr/>
        <w:t>rooted</w:t>
      </w:r>
      <w:r>
        <w:rPr>
          <w:spacing w:val="-7"/>
        </w:rPr>
        <w:t> </w:t>
      </w:r>
      <w:r>
        <w:rPr/>
        <w:t>in his desperate attempts to maintain his gender dynamics resulting in a destructive</w:t>
      </w:r>
      <w:r>
        <w:rPr>
          <w:spacing w:val="-13"/>
        </w:rPr>
        <w:t> </w:t>
      </w:r>
      <w:r>
        <w:rPr/>
        <w:t>twist</w:t>
      </w:r>
      <w:r>
        <w:rPr>
          <w:spacing w:val="-12"/>
        </w:rPr>
        <w:t> </w:t>
      </w:r>
      <w:r>
        <w:rPr/>
        <w:t>of</w:t>
      </w:r>
      <w:r>
        <w:rPr>
          <w:spacing w:val="-13"/>
        </w:rPr>
        <w:t> </w:t>
      </w:r>
      <w:r>
        <w:rPr/>
        <w:t>jealousy,</w:t>
      </w:r>
      <w:r>
        <w:rPr>
          <w:spacing w:val="-12"/>
        </w:rPr>
        <w:t> </w:t>
      </w:r>
      <w:r>
        <w:rPr/>
        <w:t>rage,</w:t>
      </w:r>
      <w:r>
        <w:rPr>
          <w:spacing w:val="-13"/>
        </w:rPr>
        <w:t> </w:t>
      </w:r>
      <w:r>
        <w:rPr/>
        <w:t>and</w:t>
      </w:r>
      <w:r>
        <w:rPr>
          <w:spacing w:val="-12"/>
        </w:rPr>
        <w:t> </w:t>
      </w:r>
      <w:r>
        <w:rPr/>
        <w:t>violence.</w:t>
      </w:r>
      <w:r>
        <w:rPr>
          <w:spacing w:val="-13"/>
        </w:rPr>
        <w:t> </w:t>
      </w:r>
      <w:r>
        <w:rPr/>
        <w:t>The</w:t>
      </w:r>
      <w:r>
        <w:rPr>
          <w:spacing w:val="-12"/>
        </w:rPr>
        <w:t> </w:t>
      </w:r>
      <w:r>
        <w:rPr/>
        <w:t>character</w:t>
      </w:r>
      <w:r>
        <w:rPr>
          <w:spacing w:val="-13"/>
        </w:rPr>
        <w:t> </w:t>
      </w:r>
      <w:r>
        <w:rPr/>
        <w:t>of</w:t>
      </w:r>
      <w:r>
        <w:rPr>
          <w:spacing w:val="-12"/>
        </w:rPr>
        <w:t> </w:t>
      </w:r>
      <w:r>
        <w:rPr/>
        <w:t>Othello exposes</w:t>
      </w:r>
      <w:r>
        <w:rPr>
          <w:spacing w:val="-8"/>
        </w:rPr>
        <w:t> </w:t>
      </w:r>
      <w:r>
        <w:rPr/>
        <w:t>the</w:t>
      </w:r>
      <w:r>
        <w:rPr>
          <w:spacing w:val="-7"/>
        </w:rPr>
        <w:t> </w:t>
      </w:r>
      <w:r>
        <w:rPr/>
        <w:t>fragility</w:t>
      </w:r>
      <w:r>
        <w:rPr>
          <w:spacing w:val="-13"/>
        </w:rPr>
        <w:t> </w:t>
      </w:r>
      <w:r>
        <w:rPr/>
        <w:t>and</w:t>
      </w:r>
      <w:r>
        <w:rPr>
          <w:spacing w:val="-6"/>
        </w:rPr>
        <w:t> </w:t>
      </w:r>
      <w:r>
        <w:rPr/>
        <w:t>dangers</w:t>
      </w:r>
      <w:r>
        <w:rPr>
          <w:spacing w:val="-8"/>
        </w:rPr>
        <w:t> </w:t>
      </w:r>
      <w:r>
        <w:rPr/>
        <w:t>of</w:t>
      </w:r>
      <w:r>
        <w:rPr>
          <w:spacing w:val="-8"/>
        </w:rPr>
        <w:t> </w:t>
      </w:r>
      <w:r>
        <w:rPr/>
        <w:t>dominance,</w:t>
      </w:r>
      <w:r>
        <w:rPr>
          <w:spacing w:val="-10"/>
        </w:rPr>
        <w:t> </w:t>
      </w:r>
      <w:r>
        <w:rPr/>
        <w:t>control,</w:t>
      </w:r>
      <w:r>
        <w:rPr>
          <w:spacing w:val="-6"/>
        </w:rPr>
        <w:t> </w:t>
      </w:r>
      <w:r>
        <w:rPr/>
        <w:t>and</w:t>
      </w:r>
      <w:r>
        <w:rPr>
          <w:spacing w:val="-6"/>
        </w:rPr>
        <w:t> </w:t>
      </w:r>
      <w:r>
        <w:rPr/>
        <w:t>possession. His story made necessary as an instructive saga, challenging the damaging effects of gender dynamics and the harm it imposes on individuals</w:t>
      </w:r>
      <w:r>
        <w:rPr>
          <w:spacing w:val="40"/>
        </w:rPr>
        <w:t> </w:t>
      </w:r>
      <w:r>
        <w:rPr/>
        <w:t>and</w:t>
      </w:r>
      <w:r>
        <w:rPr>
          <w:spacing w:val="40"/>
        </w:rPr>
        <w:t> </w:t>
      </w:r>
      <w:r>
        <w:rPr/>
        <w:t>their</w:t>
      </w:r>
      <w:r>
        <w:rPr>
          <w:spacing w:val="40"/>
        </w:rPr>
        <w:t> </w:t>
      </w:r>
      <w:r>
        <w:rPr/>
        <w:t>relationships.</w:t>
      </w:r>
    </w:p>
    <w:p>
      <w:pPr>
        <w:pStyle w:val="BodyText"/>
        <w:spacing w:line="254" w:lineRule="auto" w:before="60"/>
        <w:ind w:right="1436" w:firstLine="432"/>
        <w:jc w:val="both"/>
      </w:pPr>
      <w:r>
        <w:rPr/>
        <w:t>Through the examination of these male characters, Shakespeare enlightens</w:t>
      </w:r>
      <w:r>
        <w:rPr>
          <w:spacing w:val="-3"/>
        </w:rPr>
        <w:t> </w:t>
      </w:r>
      <w:r>
        <w:rPr/>
        <w:t>the consequences</w:t>
      </w:r>
      <w:r>
        <w:rPr>
          <w:spacing w:val="-3"/>
        </w:rPr>
        <w:t> </w:t>
      </w:r>
      <w:r>
        <w:rPr/>
        <w:t>of</w:t>
      </w:r>
      <w:r>
        <w:rPr>
          <w:spacing w:val="80"/>
        </w:rPr>
        <w:t> </w:t>
      </w:r>
      <w:r>
        <w:rPr/>
        <w:t>the</w:t>
      </w:r>
      <w:r>
        <w:rPr>
          <w:spacing w:val="-1"/>
        </w:rPr>
        <w:t> </w:t>
      </w:r>
      <w:r>
        <w:rPr/>
        <w:t>power</w:t>
      </w:r>
      <w:r>
        <w:rPr>
          <w:spacing w:val="-1"/>
        </w:rPr>
        <w:t> </w:t>
      </w:r>
      <w:r>
        <w:rPr/>
        <w:t>politics</w:t>
      </w:r>
      <w:r>
        <w:rPr>
          <w:spacing w:val="-3"/>
        </w:rPr>
        <w:t> </w:t>
      </w:r>
      <w:r>
        <w:rPr/>
        <w:t>and</w:t>
      </w:r>
      <w:r>
        <w:rPr>
          <w:spacing w:val="-1"/>
        </w:rPr>
        <w:t> </w:t>
      </w:r>
      <w:r>
        <w:rPr/>
        <w:t>gender</w:t>
      </w:r>
      <w:r>
        <w:rPr>
          <w:spacing w:val="-1"/>
        </w:rPr>
        <w:t> </w:t>
      </w:r>
      <w:r>
        <w:rPr/>
        <w:t>dynamic within his tragedies. These characters epitomize the effects of rigid societal</w:t>
      </w:r>
      <w:r>
        <w:rPr>
          <w:spacing w:val="-5"/>
        </w:rPr>
        <w:t> </w:t>
      </w:r>
      <w:r>
        <w:rPr/>
        <w:t>norms</w:t>
      </w:r>
      <w:r>
        <w:rPr>
          <w:spacing w:val="-6"/>
        </w:rPr>
        <w:t> </w:t>
      </w:r>
      <w:r>
        <w:rPr/>
        <w:t>that</w:t>
      </w:r>
      <w:r>
        <w:rPr>
          <w:spacing w:val="-5"/>
        </w:rPr>
        <w:t> </w:t>
      </w:r>
      <w:r>
        <w:rPr/>
        <w:t>associate</w:t>
      </w:r>
      <w:r>
        <w:rPr>
          <w:spacing w:val="-5"/>
        </w:rPr>
        <w:t> </w:t>
      </w:r>
      <w:r>
        <w:rPr/>
        <w:t>gender</w:t>
      </w:r>
      <w:r>
        <w:rPr>
          <w:spacing w:val="-4"/>
        </w:rPr>
        <w:t> </w:t>
      </w:r>
      <w:r>
        <w:rPr/>
        <w:t>power</w:t>
      </w:r>
      <w:r>
        <w:rPr>
          <w:spacing w:val="-6"/>
        </w:rPr>
        <w:t> </w:t>
      </w:r>
      <w:r>
        <w:rPr/>
        <w:t>and</w:t>
      </w:r>
      <w:r>
        <w:rPr>
          <w:spacing w:val="-4"/>
        </w:rPr>
        <w:t> </w:t>
      </w:r>
      <w:r>
        <w:rPr/>
        <w:t>politics</w:t>
      </w:r>
      <w:r>
        <w:rPr>
          <w:spacing w:val="-6"/>
        </w:rPr>
        <w:t> </w:t>
      </w:r>
      <w:r>
        <w:rPr/>
        <w:t>with</w:t>
      </w:r>
      <w:r>
        <w:rPr>
          <w:spacing w:val="-6"/>
        </w:rPr>
        <w:t> </w:t>
      </w:r>
      <w:r>
        <w:rPr/>
        <w:t>aggression, dominance, and control.</w:t>
      </w:r>
      <w:r>
        <w:rPr>
          <w:spacing w:val="-1"/>
        </w:rPr>
        <w:t> </w:t>
      </w:r>
      <w:r>
        <w:rPr/>
        <w:t>The portrayal of</w:t>
      </w:r>
      <w:r>
        <w:rPr>
          <w:spacing w:val="-1"/>
        </w:rPr>
        <w:t> </w:t>
      </w:r>
      <w:r>
        <w:rPr/>
        <w:t>the treatment</w:t>
      </w:r>
      <w:r>
        <w:rPr>
          <w:spacing w:val="-2"/>
        </w:rPr>
        <w:t> </w:t>
      </w:r>
      <w:r>
        <w:rPr/>
        <w:t>given</w:t>
      </w:r>
      <w:r>
        <w:rPr>
          <w:spacing w:val="-1"/>
        </w:rPr>
        <w:t> </w:t>
      </w:r>
      <w:r>
        <w:rPr/>
        <w:t>to women characters in these tragic figure’s emphasizes the harm bring to bear upon both men and women when individuals are confined by societal constructs that prioritize power and reinforce harmful gender norms. However, these characters also break down for resistance as they question</w:t>
      </w:r>
      <w:r>
        <w:rPr>
          <w:spacing w:val="6"/>
        </w:rPr>
        <w:t> </w:t>
      </w:r>
      <w:r>
        <w:rPr/>
        <w:t>and</w:t>
      </w:r>
      <w:r>
        <w:rPr>
          <w:spacing w:val="8"/>
        </w:rPr>
        <w:t> </w:t>
      </w:r>
      <w:r>
        <w:rPr/>
        <w:t>challenge</w:t>
      </w:r>
      <w:r>
        <w:rPr>
          <w:spacing w:val="8"/>
        </w:rPr>
        <w:t> </w:t>
      </w:r>
      <w:r>
        <w:rPr/>
        <w:t>societal</w:t>
      </w:r>
      <w:r>
        <w:rPr>
          <w:spacing w:val="8"/>
        </w:rPr>
        <w:t> </w:t>
      </w:r>
      <w:r>
        <w:rPr/>
        <w:t>expectations</w:t>
      </w:r>
      <w:r>
        <w:rPr>
          <w:spacing w:val="7"/>
        </w:rPr>
        <w:t> </w:t>
      </w:r>
      <w:r>
        <w:rPr/>
        <w:t>in</w:t>
      </w:r>
      <w:r>
        <w:rPr>
          <w:spacing w:val="7"/>
        </w:rPr>
        <w:t> </w:t>
      </w:r>
      <w:r>
        <w:rPr/>
        <w:t>their</w:t>
      </w:r>
      <w:r>
        <w:rPr>
          <w:spacing w:val="8"/>
        </w:rPr>
        <w:t> </w:t>
      </w:r>
      <w:r>
        <w:rPr/>
        <w:t>own</w:t>
      </w:r>
      <w:r>
        <w:rPr>
          <w:spacing w:val="6"/>
        </w:rPr>
        <w:t> </w:t>
      </w:r>
      <w:r>
        <w:rPr/>
        <w:t>unique</w:t>
      </w:r>
      <w:r>
        <w:rPr>
          <w:spacing w:val="8"/>
        </w:rPr>
        <w:t> </w:t>
      </w:r>
      <w:r>
        <w:rPr>
          <w:spacing w:val="-2"/>
        </w:rPr>
        <w:t>ways.</w:t>
      </w:r>
    </w:p>
    <w:p>
      <w:pPr>
        <w:pStyle w:val="BodyText"/>
        <w:spacing w:line="249" w:lineRule="auto" w:before="58"/>
        <w:ind w:right="1440" w:firstLine="432"/>
        <w:jc w:val="both"/>
      </w:pPr>
      <w:r>
        <w:rPr/>
        <w:t>By analyzing the gender power and politics in Shakespeare’s tragedies, highlights the complexities and consequences of societal expectations placed upon men. It encourages a nuanced understanding of gender power politics and promotes discussions on patriarchy, male domination</w:t>
      </w:r>
      <w:r>
        <w:rPr>
          <w:spacing w:val="-7"/>
        </w:rPr>
        <w:t> </w:t>
      </w:r>
      <w:r>
        <w:rPr/>
        <w:t>and</w:t>
      </w:r>
      <w:r>
        <w:rPr>
          <w:spacing w:val="-4"/>
        </w:rPr>
        <w:t> </w:t>
      </w:r>
      <w:r>
        <w:rPr/>
        <w:t>social-</w:t>
      </w:r>
      <w:r>
        <w:rPr>
          <w:spacing w:val="-7"/>
        </w:rPr>
        <w:t> </w:t>
      </w:r>
      <w:r>
        <w:rPr/>
        <w:t>political</w:t>
      </w:r>
      <w:r>
        <w:rPr>
          <w:spacing w:val="-4"/>
        </w:rPr>
        <w:t> </w:t>
      </w:r>
      <w:r>
        <w:rPr/>
        <w:t>norms</w:t>
      </w:r>
      <w:r>
        <w:rPr>
          <w:spacing w:val="-7"/>
        </w:rPr>
        <w:t> </w:t>
      </w:r>
      <w:r>
        <w:rPr/>
        <w:t>and</w:t>
      </w:r>
      <w:r>
        <w:rPr>
          <w:spacing w:val="-7"/>
        </w:rPr>
        <w:t> </w:t>
      </w:r>
      <w:r>
        <w:rPr/>
        <w:t>its</w:t>
      </w:r>
      <w:r>
        <w:rPr>
          <w:spacing w:val="-5"/>
        </w:rPr>
        <w:t> </w:t>
      </w:r>
      <w:r>
        <w:rPr/>
        <w:t>effects</w:t>
      </w:r>
      <w:r>
        <w:rPr>
          <w:spacing w:val="-7"/>
        </w:rPr>
        <w:t> </w:t>
      </w:r>
      <w:r>
        <w:rPr/>
        <w:t>on</w:t>
      </w:r>
      <w:r>
        <w:rPr>
          <w:spacing w:val="-5"/>
        </w:rPr>
        <w:t> </w:t>
      </w:r>
      <w:r>
        <w:rPr/>
        <w:t>individuals</w:t>
      </w:r>
      <w:r>
        <w:rPr>
          <w:spacing w:val="-7"/>
        </w:rPr>
        <w:t> </w:t>
      </w:r>
      <w:r>
        <w:rPr/>
        <w:t>and relationships. Shakespeare’s portrayal of imperfect and conflicted male </w:t>
      </w:r>
      <w:r>
        <w:rPr>
          <w:spacing w:val="-2"/>
        </w:rPr>
        <w:t>characters</w:t>
      </w:r>
      <w:r>
        <w:rPr>
          <w:spacing w:val="-5"/>
        </w:rPr>
        <w:t> </w:t>
      </w:r>
      <w:r>
        <w:rPr>
          <w:spacing w:val="-2"/>
        </w:rPr>
        <w:t>challenges</w:t>
      </w:r>
      <w:r>
        <w:rPr>
          <w:spacing w:val="-10"/>
        </w:rPr>
        <w:t> </w:t>
      </w:r>
      <w:r>
        <w:rPr>
          <w:spacing w:val="-2"/>
        </w:rPr>
        <w:t>and</w:t>
      </w:r>
      <w:r>
        <w:rPr>
          <w:spacing w:val="-5"/>
        </w:rPr>
        <w:t> </w:t>
      </w:r>
      <w:r>
        <w:rPr>
          <w:spacing w:val="-2"/>
        </w:rPr>
        <w:t>subverts</w:t>
      </w:r>
      <w:r>
        <w:rPr>
          <w:spacing w:val="-5"/>
        </w:rPr>
        <w:t> </w:t>
      </w:r>
      <w:r>
        <w:rPr>
          <w:spacing w:val="-2"/>
        </w:rPr>
        <w:t>traditional</w:t>
      </w:r>
      <w:r>
        <w:rPr>
          <w:spacing w:val="-5"/>
        </w:rPr>
        <w:t> </w:t>
      </w:r>
      <w:r>
        <w:rPr>
          <w:spacing w:val="-2"/>
        </w:rPr>
        <w:t>notions</w:t>
      </w:r>
      <w:r>
        <w:rPr>
          <w:spacing w:val="-7"/>
        </w:rPr>
        <w:t> </w:t>
      </w:r>
      <w:r>
        <w:rPr>
          <w:spacing w:val="-2"/>
        </w:rPr>
        <w:t>of</w:t>
      </w:r>
      <w:r>
        <w:rPr>
          <w:spacing w:val="-5"/>
        </w:rPr>
        <w:t> </w:t>
      </w:r>
      <w:r>
        <w:rPr>
          <w:spacing w:val="-2"/>
        </w:rPr>
        <w:t>male domination </w:t>
      </w:r>
      <w:r>
        <w:rPr/>
        <w:t>inviting</w:t>
      </w:r>
      <w:r>
        <w:rPr>
          <w:spacing w:val="-1"/>
        </w:rPr>
        <w:t> </w:t>
      </w:r>
      <w:r>
        <w:rPr/>
        <w:t>reflection</w:t>
      </w:r>
      <w:r>
        <w:rPr>
          <w:spacing w:val="-3"/>
        </w:rPr>
        <w:t> </w:t>
      </w:r>
      <w:r>
        <w:rPr/>
        <w:t>and introspection</w:t>
      </w:r>
      <w:r>
        <w:rPr>
          <w:spacing w:val="-3"/>
        </w:rPr>
        <w:t> </w:t>
      </w:r>
      <w:r>
        <w:rPr/>
        <w:t>on</w:t>
      </w:r>
      <w:r>
        <w:rPr>
          <w:spacing w:val="-1"/>
        </w:rPr>
        <w:t> </w:t>
      </w:r>
      <w:r>
        <w:rPr/>
        <w:t>the societal pressures</w:t>
      </w:r>
      <w:r>
        <w:rPr>
          <w:spacing w:val="-3"/>
        </w:rPr>
        <w:t> </w:t>
      </w:r>
      <w:r>
        <w:rPr/>
        <w:t>that shape and</w:t>
      </w:r>
      <w:r>
        <w:rPr>
          <w:spacing w:val="3"/>
        </w:rPr>
        <w:t> </w:t>
      </w:r>
      <w:r>
        <w:rPr/>
        <w:t>constrain</w:t>
      </w:r>
      <w:r>
        <w:rPr>
          <w:spacing w:val="2"/>
        </w:rPr>
        <w:t> </w:t>
      </w:r>
      <w:r>
        <w:rPr/>
        <w:t>individuals</w:t>
      </w:r>
      <w:r>
        <w:rPr>
          <w:spacing w:val="3"/>
        </w:rPr>
        <w:t> </w:t>
      </w:r>
      <w:r>
        <w:rPr/>
        <w:t>based</w:t>
      </w:r>
      <w:r>
        <w:rPr>
          <w:spacing w:val="4"/>
        </w:rPr>
        <w:t> </w:t>
      </w:r>
      <w:r>
        <w:rPr/>
        <w:t>on</w:t>
      </w:r>
      <w:r>
        <w:rPr>
          <w:spacing w:val="1"/>
        </w:rPr>
        <w:t> </w:t>
      </w:r>
      <w:r>
        <w:rPr/>
        <w:t>their</w:t>
      </w:r>
      <w:r>
        <w:rPr>
          <w:spacing w:val="4"/>
        </w:rPr>
        <w:t> </w:t>
      </w:r>
      <w:r>
        <w:rPr/>
        <w:t>gender.</w:t>
      </w:r>
      <w:r>
        <w:rPr>
          <w:spacing w:val="2"/>
        </w:rPr>
        <w:t> </w:t>
      </w:r>
      <w:r>
        <w:rPr/>
        <w:t>This</w:t>
      </w:r>
      <w:r>
        <w:rPr>
          <w:spacing w:val="3"/>
        </w:rPr>
        <w:t> </w:t>
      </w:r>
      <w:r>
        <w:rPr/>
        <w:t>analysis</w:t>
      </w:r>
      <w:r>
        <w:rPr>
          <w:spacing w:val="2"/>
        </w:rPr>
        <w:t> </w:t>
      </w:r>
      <w:r>
        <w:rPr/>
        <w:t>opens</w:t>
      </w:r>
      <w:r>
        <w:rPr>
          <w:spacing w:val="2"/>
        </w:rPr>
        <w:t> </w:t>
      </w:r>
      <w:r>
        <w:rPr>
          <w:spacing w:val="-5"/>
        </w:rPr>
        <w:t>up</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7392">
                <wp:simplePos x="0" y="0"/>
                <wp:positionH relativeFrom="page">
                  <wp:posOffset>2057400</wp:posOffset>
                </wp:positionH>
                <wp:positionV relativeFrom="paragraph">
                  <wp:posOffset>162604</wp:posOffset>
                </wp:positionV>
                <wp:extent cx="3657600" cy="12700"/>
                <wp:effectExtent l="0" t="0" r="0" b="0"/>
                <wp:wrapTopAndBottom/>
                <wp:docPr id="753" name="Graphic 753"/>
                <wp:cNvGraphicFramePr>
                  <a:graphicFrameLocks/>
                </wp:cNvGraphicFramePr>
                <a:graphic>
                  <a:graphicData uri="http://schemas.microsoft.com/office/word/2010/wordprocessingShape">
                    <wps:wsp>
                      <wps:cNvPr id="753" name="Graphic 75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49088;mso-wrap-distance-left:0;mso-wrap-distance-right:0" id="docshape745" filled="true" fillcolor="#000000" stroked="false">
                <v:fill type="solid"/>
                <w10:wrap type="topAndBottom"/>
              </v:rect>
            </w:pict>
          </mc:Fallback>
        </mc:AlternateContent>
      </w:r>
      <w:r>
        <w:rPr>
          <w:rFonts w:ascii="Verdana"/>
          <w:spacing w:val="-5"/>
          <w:sz w:val="18"/>
        </w:rPr>
        <w:t>378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possibilities</w:t>
      </w:r>
      <w:r>
        <w:rPr>
          <w:spacing w:val="-11"/>
        </w:rPr>
        <w:t> </w:t>
      </w:r>
      <w:r>
        <w:rPr/>
        <w:t>for</w:t>
      </w:r>
      <w:r>
        <w:rPr>
          <w:spacing w:val="-9"/>
        </w:rPr>
        <w:t> </w:t>
      </w:r>
      <w:r>
        <w:rPr/>
        <w:t>redefining</w:t>
      </w:r>
      <w:r>
        <w:rPr>
          <w:spacing w:val="-9"/>
        </w:rPr>
        <w:t> </w:t>
      </w:r>
      <w:r>
        <w:rPr/>
        <w:t>and</w:t>
      </w:r>
      <w:r>
        <w:rPr>
          <w:spacing w:val="-11"/>
        </w:rPr>
        <w:t> </w:t>
      </w:r>
      <w:r>
        <w:rPr/>
        <w:t>reimagining</w:t>
      </w:r>
      <w:r>
        <w:rPr>
          <w:spacing w:val="-11"/>
        </w:rPr>
        <w:t> </w:t>
      </w:r>
      <w:r>
        <w:rPr/>
        <w:t>healthier</w:t>
      </w:r>
      <w:r>
        <w:rPr>
          <w:spacing w:val="-9"/>
        </w:rPr>
        <w:t> </w:t>
      </w:r>
      <w:r>
        <w:rPr/>
        <w:t>and</w:t>
      </w:r>
      <w:r>
        <w:rPr>
          <w:spacing w:val="-7"/>
        </w:rPr>
        <w:t> </w:t>
      </w:r>
      <w:r>
        <w:rPr/>
        <w:t>more</w:t>
      </w:r>
      <w:r>
        <w:rPr>
          <w:spacing w:val="-10"/>
        </w:rPr>
        <w:t> </w:t>
      </w:r>
      <w:r>
        <w:rPr/>
        <w:t>inclusive forms of gender.</w:t>
      </w:r>
    </w:p>
    <w:p>
      <w:pPr>
        <w:pStyle w:val="Heading5"/>
        <w:spacing w:before="109"/>
      </w:pPr>
      <w:r>
        <w:rPr>
          <w:w w:val="110"/>
        </w:rPr>
        <w:t>Power</w:t>
      </w:r>
      <w:r>
        <w:rPr>
          <w:spacing w:val="65"/>
          <w:w w:val="150"/>
        </w:rPr>
        <w:t> </w:t>
      </w:r>
      <w:r>
        <w:rPr>
          <w:w w:val="110"/>
        </w:rPr>
        <w:t>dynamics</w:t>
      </w:r>
      <w:r>
        <w:rPr>
          <w:spacing w:val="66"/>
          <w:w w:val="150"/>
        </w:rPr>
        <w:t> </w:t>
      </w:r>
      <w:r>
        <w:rPr>
          <w:w w:val="110"/>
        </w:rPr>
        <w:t>between</w:t>
      </w:r>
      <w:r>
        <w:rPr>
          <w:spacing w:val="67"/>
          <w:w w:val="150"/>
        </w:rPr>
        <w:t> </w:t>
      </w:r>
      <w:r>
        <w:rPr>
          <w:spacing w:val="-2"/>
          <w:w w:val="110"/>
        </w:rPr>
        <w:t>genders</w:t>
      </w:r>
    </w:p>
    <w:p>
      <w:pPr>
        <w:pStyle w:val="BodyText"/>
        <w:spacing w:line="249" w:lineRule="auto" w:before="72"/>
        <w:ind w:right="1440" w:firstLine="479"/>
        <w:jc w:val="both"/>
      </w:pPr>
      <w:r>
        <w:rPr/>
        <w:t>The</w:t>
      </w:r>
      <w:r>
        <w:rPr>
          <w:spacing w:val="-13"/>
        </w:rPr>
        <w:t> </w:t>
      </w:r>
      <w:r>
        <w:rPr/>
        <w:t>power</w:t>
      </w:r>
      <w:r>
        <w:rPr>
          <w:spacing w:val="-12"/>
        </w:rPr>
        <w:t> </w:t>
      </w:r>
      <w:r>
        <w:rPr/>
        <w:t>dynamics</w:t>
      </w:r>
      <w:r>
        <w:rPr>
          <w:spacing w:val="-13"/>
        </w:rPr>
        <w:t> </w:t>
      </w:r>
      <w:r>
        <w:rPr/>
        <w:t>between</w:t>
      </w:r>
      <w:r>
        <w:rPr>
          <w:spacing w:val="-12"/>
        </w:rPr>
        <w:t> </w:t>
      </w:r>
      <w:r>
        <w:rPr/>
        <w:t>genders</w:t>
      </w:r>
      <w:r>
        <w:rPr>
          <w:spacing w:val="-13"/>
        </w:rPr>
        <w:t> </w:t>
      </w:r>
      <w:r>
        <w:rPr/>
        <w:t>in</w:t>
      </w:r>
      <w:r>
        <w:rPr>
          <w:spacing w:val="-12"/>
        </w:rPr>
        <w:t> </w:t>
      </w:r>
      <w:r>
        <w:rPr/>
        <w:t>Shakespearean</w:t>
      </w:r>
      <w:r>
        <w:rPr>
          <w:spacing w:val="-13"/>
        </w:rPr>
        <w:t> </w:t>
      </w:r>
      <w:r>
        <w:rPr/>
        <w:t>tragedies, observing how</w:t>
      </w:r>
      <w:r>
        <w:rPr>
          <w:spacing w:val="-1"/>
        </w:rPr>
        <w:t> </w:t>
      </w:r>
      <w:r>
        <w:rPr/>
        <w:t>power is distributed, negotiated, and abused in relations between man and woman. Through keen analysis of scenes and interactions sheds light on the social and cultural forces that shape</w:t>
      </w:r>
      <w:r>
        <w:rPr>
          <w:spacing w:val="80"/>
        </w:rPr>
        <w:t> </w:t>
      </w:r>
      <w:r>
        <w:rPr/>
        <w:t>these power and gender dynamics and their broader implications for gender</w:t>
      </w:r>
      <w:r>
        <w:rPr>
          <w:spacing w:val="40"/>
        </w:rPr>
        <w:t> </w:t>
      </w:r>
      <w:r>
        <w:rPr/>
        <w:t>equality</w:t>
      </w:r>
      <w:r>
        <w:rPr>
          <w:spacing w:val="40"/>
        </w:rPr>
        <w:t> </w:t>
      </w:r>
      <w:r>
        <w:rPr/>
        <w:t>within</w:t>
      </w:r>
      <w:r>
        <w:rPr>
          <w:spacing w:val="40"/>
        </w:rPr>
        <w:t> </w:t>
      </w:r>
      <w:r>
        <w:rPr/>
        <w:t>the</w:t>
      </w:r>
      <w:r>
        <w:rPr>
          <w:spacing w:val="40"/>
        </w:rPr>
        <w:t> </w:t>
      </w:r>
      <w:r>
        <w:rPr/>
        <w:t>plays.</w:t>
      </w:r>
    </w:p>
    <w:p>
      <w:pPr>
        <w:pStyle w:val="BodyText"/>
        <w:spacing w:line="249" w:lineRule="auto" w:before="62"/>
        <w:ind w:right="1440" w:firstLine="432"/>
        <w:jc w:val="both"/>
      </w:pPr>
      <w:r>
        <w:rPr/>
        <w:t>Shakespeare’s tragedies exploring the complex power dynamics between genders through the lens of feminist approach. Within these works, male characters often occupy positions of authority and wield power, while female characters navigate their agency and influence </w:t>
      </w:r>
      <w:r>
        <w:rPr>
          <w:spacing w:val="-2"/>
        </w:rPr>
        <w:t>within</w:t>
      </w:r>
      <w:r>
        <w:rPr>
          <w:spacing w:val="-11"/>
        </w:rPr>
        <w:t> </w:t>
      </w:r>
      <w:r>
        <w:rPr>
          <w:spacing w:val="-2"/>
        </w:rPr>
        <w:t>societal</w:t>
      </w:r>
      <w:r>
        <w:rPr>
          <w:spacing w:val="-10"/>
        </w:rPr>
        <w:t> </w:t>
      </w:r>
      <w:r>
        <w:rPr>
          <w:spacing w:val="-2"/>
        </w:rPr>
        <w:t>constraints.</w:t>
      </w:r>
      <w:r>
        <w:rPr>
          <w:spacing w:val="-10"/>
        </w:rPr>
        <w:t> </w:t>
      </w:r>
      <w:r>
        <w:rPr>
          <w:spacing w:val="-2"/>
        </w:rPr>
        <w:t>These</w:t>
      </w:r>
      <w:r>
        <w:rPr>
          <w:spacing w:val="-9"/>
        </w:rPr>
        <w:t> </w:t>
      </w:r>
      <w:r>
        <w:rPr>
          <w:spacing w:val="-2"/>
        </w:rPr>
        <w:t>power</w:t>
      </w:r>
      <w:r>
        <w:rPr>
          <w:spacing w:val="-9"/>
        </w:rPr>
        <w:t> </w:t>
      </w:r>
      <w:r>
        <w:rPr>
          <w:spacing w:val="-2"/>
        </w:rPr>
        <w:t>imbalances</w:t>
      </w:r>
      <w:r>
        <w:rPr>
          <w:spacing w:val="-11"/>
        </w:rPr>
        <w:t> </w:t>
      </w:r>
      <w:r>
        <w:rPr>
          <w:spacing w:val="-2"/>
        </w:rPr>
        <w:t>reflect</w:t>
      </w:r>
      <w:r>
        <w:rPr>
          <w:spacing w:val="-6"/>
        </w:rPr>
        <w:t> </w:t>
      </w:r>
      <w:r>
        <w:rPr>
          <w:spacing w:val="-2"/>
        </w:rPr>
        <w:t>the</w:t>
      </w:r>
      <w:r>
        <w:rPr>
          <w:spacing w:val="-9"/>
        </w:rPr>
        <w:t> </w:t>
      </w:r>
      <w:r>
        <w:rPr>
          <w:spacing w:val="-2"/>
        </w:rPr>
        <w:t>patriarchal </w:t>
      </w:r>
      <w:r>
        <w:rPr/>
        <w:t>society of Shakespeare’s time and offer insights into the dynamics of power and</w:t>
      </w:r>
      <w:r>
        <w:rPr>
          <w:spacing w:val="40"/>
        </w:rPr>
        <w:t> </w:t>
      </w:r>
      <w:r>
        <w:rPr/>
        <w:t>control within intimate relationships.</w:t>
      </w:r>
    </w:p>
    <w:p>
      <w:pPr>
        <w:pStyle w:val="BodyText"/>
        <w:spacing w:line="259" w:lineRule="auto" w:before="68"/>
        <w:ind w:right="1440" w:firstLine="493"/>
        <w:jc w:val="both"/>
      </w:pPr>
      <w:r>
        <w:rPr/>
        <w:t>The power dynamic between Macbeth and Lady Macbeth carries out as a crucial example of the complex nature of power within a marriage. Lady Macbeth primarily put forth significant influence over her husband, provoking him to pursue power and scheming the murder of King Duncan. However, as the plot develops, Macbeth’s ambition leads</w:t>
      </w:r>
      <w:r>
        <w:rPr>
          <w:spacing w:val="-9"/>
        </w:rPr>
        <w:t> </w:t>
      </w:r>
      <w:r>
        <w:rPr/>
        <w:t>to</w:t>
      </w:r>
      <w:r>
        <w:rPr>
          <w:spacing w:val="-9"/>
        </w:rPr>
        <w:t> </w:t>
      </w:r>
      <w:r>
        <w:rPr/>
        <w:t>a</w:t>
      </w:r>
      <w:r>
        <w:rPr>
          <w:spacing w:val="-8"/>
        </w:rPr>
        <w:t> </w:t>
      </w:r>
      <w:r>
        <w:rPr/>
        <w:t>shift</w:t>
      </w:r>
      <w:r>
        <w:rPr>
          <w:spacing w:val="-10"/>
        </w:rPr>
        <w:t> </w:t>
      </w:r>
      <w:r>
        <w:rPr/>
        <w:t>in</w:t>
      </w:r>
      <w:r>
        <w:rPr>
          <w:spacing w:val="-10"/>
        </w:rPr>
        <w:t> </w:t>
      </w:r>
      <w:r>
        <w:rPr/>
        <w:t>power</w:t>
      </w:r>
      <w:r>
        <w:rPr>
          <w:spacing w:val="-7"/>
        </w:rPr>
        <w:t> </w:t>
      </w:r>
      <w:r>
        <w:rPr/>
        <w:t>dynamics,</w:t>
      </w:r>
      <w:r>
        <w:rPr>
          <w:spacing w:val="-9"/>
        </w:rPr>
        <w:t> </w:t>
      </w:r>
      <w:r>
        <w:rPr/>
        <w:t>and</w:t>
      </w:r>
      <w:r>
        <w:rPr>
          <w:spacing w:val="-7"/>
        </w:rPr>
        <w:t> </w:t>
      </w:r>
      <w:r>
        <w:rPr/>
        <w:t>he</w:t>
      </w:r>
      <w:r>
        <w:rPr>
          <w:spacing w:val="-6"/>
        </w:rPr>
        <w:t> </w:t>
      </w:r>
      <w:r>
        <w:rPr/>
        <w:t>commences</w:t>
      </w:r>
      <w:r>
        <w:rPr>
          <w:spacing w:val="-10"/>
        </w:rPr>
        <w:t> </w:t>
      </w:r>
      <w:r>
        <w:rPr/>
        <w:t>decisions</w:t>
      </w:r>
      <w:r>
        <w:rPr>
          <w:spacing w:val="-10"/>
        </w:rPr>
        <w:t> </w:t>
      </w:r>
      <w:r>
        <w:rPr/>
        <w:t>without conferring Lady Macbeth. This change highlights the adaptability of power</w:t>
      </w:r>
      <w:r>
        <w:rPr>
          <w:spacing w:val="-6"/>
        </w:rPr>
        <w:t> </w:t>
      </w:r>
      <w:r>
        <w:rPr/>
        <w:t>within</w:t>
      </w:r>
      <w:r>
        <w:rPr>
          <w:spacing w:val="-7"/>
        </w:rPr>
        <w:t> </w:t>
      </w:r>
      <w:r>
        <w:rPr/>
        <w:t>a</w:t>
      </w:r>
      <w:r>
        <w:rPr>
          <w:spacing w:val="-3"/>
        </w:rPr>
        <w:t> </w:t>
      </w:r>
      <w:r>
        <w:rPr/>
        <w:t>relationship</w:t>
      </w:r>
      <w:r>
        <w:rPr>
          <w:spacing w:val="-4"/>
        </w:rPr>
        <w:t> </w:t>
      </w:r>
      <w:r>
        <w:rPr/>
        <w:t>and</w:t>
      </w:r>
      <w:r>
        <w:rPr>
          <w:spacing w:val="-6"/>
        </w:rPr>
        <w:t> </w:t>
      </w:r>
      <w:r>
        <w:rPr/>
        <w:t>the</w:t>
      </w:r>
      <w:r>
        <w:rPr>
          <w:spacing w:val="-6"/>
        </w:rPr>
        <w:t> </w:t>
      </w:r>
      <w:r>
        <w:rPr/>
        <w:t>potential</w:t>
      </w:r>
      <w:r>
        <w:rPr>
          <w:spacing w:val="-7"/>
        </w:rPr>
        <w:t> </w:t>
      </w:r>
      <w:r>
        <w:rPr/>
        <w:t>for</w:t>
      </w:r>
      <w:r>
        <w:rPr>
          <w:spacing w:val="-2"/>
        </w:rPr>
        <w:t> </w:t>
      </w:r>
      <w:r>
        <w:rPr/>
        <w:t>abuse.</w:t>
      </w:r>
      <w:r>
        <w:rPr>
          <w:spacing w:val="-6"/>
        </w:rPr>
        <w:t> </w:t>
      </w:r>
      <w:r>
        <w:rPr/>
        <w:t>Lady</w:t>
      </w:r>
      <w:r>
        <w:rPr>
          <w:spacing w:val="-9"/>
        </w:rPr>
        <w:t> </w:t>
      </w:r>
      <w:r>
        <w:rPr/>
        <w:t>Macbeth’s early</w:t>
      </w:r>
      <w:r>
        <w:rPr>
          <w:spacing w:val="-5"/>
        </w:rPr>
        <w:t> </w:t>
      </w:r>
      <w:r>
        <w:rPr/>
        <w:t>authority</w:t>
      </w:r>
      <w:r>
        <w:rPr>
          <w:spacing w:val="-3"/>
        </w:rPr>
        <w:t> </w:t>
      </w:r>
      <w:r>
        <w:rPr/>
        <w:t>stands</w:t>
      </w:r>
      <w:r>
        <w:rPr>
          <w:spacing w:val="-1"/>
        </w:rPr>
        <w:t> </w:t>
      </w:r>
      <w:r>
        <w:rPr/>
        <w:t>for</w:t>
      </w:r>
      <w:r>
        <w:rPr>
          <w:spacing w:val="-1"/>
        </w:rPr>
        <w:t> </w:t>
      </w:r>
      <w:r>
        <w:rPr/>
        <w:t>the power</w:t>
      </w:r>
      <w:r>
        <w:rPr>
          <w:spacing w:val="-1"/>
        </w:rPr>
        <w:t> </w:t>
      </w:r>
      <w:r>
        <w:rPr/>
        <w:t>women</w:t>
      </w:r>
      <w:r>
        <w:rPr>
          <w:spacing w:val="-1"/>
        </w:rPr>
        <w:t> </w:t>
      </w:r>
      <w:r>
        <w:rPr/>
        <w:t>can</w:t>
      </w:r>
      <w:r>
        <w:rPr>
          <w:spacing w:val="-3"/>
        </w:rPr>
        <w:t> </w:t>
      </w:r>
      <w:r>
        <w:rPr/>
        <w:t>possess,</w:t>
      </w:r>
      <w:r>
        <w:rPr>
          <w:spacing w:val="-1"/>
        </w:rPr>
        <w:t> </w:t>
      </w:r>
      <w:r>
        <w:rPr/>
        <w:t>but it</w:t>
      </w:r>
      <w:r>
        <w:rPr>
          <w:spacing w:val="-1"/>
        </w:rPr>
        <w:t> </w:t>
      </w:r>
      <w:r>
        <w:rPr/>
        <w:t>becomes dominated by Macbeth’s vicious pursuit of power, leading to tragic </w:t>
      </w:r>
      <w:r>
        <w:rPr>
          <w:spacing w:val="-2"/>
        </w:rPr>
        <w:t>consequences.</w:t>
      </w:r>
    </w:p>
    <w:p>
      <w:pPr>
        <w:pStyle w:val="BodyText"/>
        <w:spacing w:line="259" w:lineRule="auto" w:before="55"/>
        <w:ind w:right="1438" w:firstLine="432"/>
        <w:jc w:val="both"/>
      </w:pPr>
      <w:r>
        <w:rPr/>
        <w:t>The power dynamics in “Hamlet” is visible between Hamlet and Gertrude,</w:t>
      </w:r>
      <w:r>
        <w:rPr>
          <w:spacing w:val="-13"/>
        </w:rPr>
        <w:t> </w:t>
      </w:r>
      <w:r>
        <w:rPr/>
        <w:t>as</w:t>
      </w:r>
      <w:r>
        <w:rPr>
          <w:spacing w:val="-12"/>
        </w:rPr>
        <w:t> </w:t>
      </w:r>
      <w:r>
        <w:rPr/>
        <w:t>well</w:t>
      </w:r>
      <w:r>
        <w:rPr>
          <w:spacing w:val="-13"/>
        </w:rPr>
        <w:t> </w:t>
      </w:r>
      <w:r>
        <w:rPr/>
        <w:t>as</w:t>
      </w:r>
      <w:r>
        <w:rPr>
          <w:spacing w:val="-12"/>
        </w:rPr>
        <w:t> </w:t>
      </w:r>
      <w:r>
        <w:rPr/>
        <w:t>Hamlet</w:t>
      </w:r>
      <w:r>
        <w:rPr>
          <w:spacing w:val="-13"/>
        </w:rPr>
        <w:t> </w:t>
      </w:r>
      <w:r>
        <w:rPr/>
        <w:t>and</w:t>
      </w:r>
      <w:r>
        <w:rPr>
          <w:spacing w:val="-12"/>
        </w:rPr>
        <w:t> </w:t>
      </w:r>
      <w:r>
        <w:rPr/>
        <w:t>Ophelia.</w:t>
      </w:r>
      <w:r>
        <w:rPr>
          <w:spacing w:val="-13"/>
        </w:rPr>
        <w:t> </w:t>
      </w:r>
      <w:r>
        <w:rPr/>
        <w:t>Gertrude,</w:t>
      </w:r>
      <w:r>
        <w:rPr>
          <w:spacing w:val="-12"/>
        </w:rPr>
        <w:t> </w:t>
      </w:r>
      <w:r>
        <w:rPr/>
        <w:t>Hamlet’s</w:t>
      </w:r>
      <w:r>
        <w:rPr>
          <w:spacing w:val="-13"/>
        </w:rPr>
        <w:t> </w:t>
      </w:r>
      <w:r>
        <w:rPr/>
        <w:t>mother</w:t>
      </w:r>
      <w:r>
        <w:rPr>
          <w:spacing w:val="-12"/>
        </w:rPr>
        <w:t> </w:t>
      </w:r>
      <w:r>
        <w:rPr/>
        <w:t>and the queen, initially holds authority and influence. However, Hamlet’s interpretation of Gertrude’s involvement in his father’s murder and her following marriage to Claudius introduce tensions and raise questions about power distribution and Gertrude’s loyalty. The power dynamic between Hamlet and Ophelia further pointed out Hamlet’s annoyance and disillusionment with women. These power forces in “Hamlet” highlight the constraints placed on women’s place within patriarchal structures and the complexities of power within personal and romantic </w:t>
      </w:r>
      <w:r>
        <w:rPr>
          <w:spacing w:val="-2"/>
        </w:rPr>
        <w:t>relationships.</w:t>
      </w:r>
    </w:p>
    <w:p>
      <w:pPr>
        <w:pStyle w:val="BodyText"/>
        <w:spacing w:after="0" w:line="25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7904">
                <wp:simplePos x="0" y="0"/>
                <wp:positionH relativeFrom="page">
                  <wp:posOffset>2065020</wp:posOffset>
                </wp:positionH>
                <wp:positionV relativeFrom="paragraph">
                  <wp:posOffset>795020</wp:posOffset>
                </wp:positionV>
                <wp:extent cx="3657600" cy="12700"/>
                <wp:effectExtent l="0" t="0" r="0" b="0"/>
                <wp:wrapTopAndBottom/>
                <wp:docPr id="754" name="Graphic 754"/>
                <wp:cNvGraphicFramePr>
                  <a:graphicFrameLocks/>
                </wp:cNvGraphicFramePr>
                <a:graphic>
                  <a:graphicData uri="http://schemas.microsoft.com/office/word/2010/wordprocessingShape">
                    <wps:wsp>
                      <wps:cNvPr id="754" name="Graphic 75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48576;mso-wrap-distance-left:0;mso-wrap-distance-right:0" id="docshape746" filled="true" fillcolor="#000000" stroked="false">
                <v:fill type="solid"/>
                <w10:wrap type="topAndBottom"/>
              </v:rect>
            </w:pict>
          </mc:Fallback>
        </mc:AlternateContent>
      </w:r>
      <w:r>
        <w:rPr>
          <w:rFonts w:ascii="Verdana"/>
          <w:sz w:val="18"/>
        </w:rPr>
        <w:t>A</w:t>
      </w:r>
      <w:r>
        <w:rPr>
          <w:rFonts w:ascii="Verdana"/>
          <w:spacing w:val="3"/>
          <w:sz w:val="18"/>
        </w:rPr>
        <w:t> </w:t>
      </w:r>
      <w:r>
        <w:rPr>
          <w:rFonts w:ascii="Verdana"/>
          <w:sz w:val="18"/>
        </w:rPr>
        <w:t>Critical</w:t>
      </w:r>
      <w:r>
        <w:rPr>
          <w:rFonts w:ascii="Verdana"/>
          <w:spacing w:val="10"/>
          <w:sz w:val="18"/>
        </w:rPr>
        <w:t> </w:t>
      </w:r>
      <w:r>
        <w:rPr>
          <w:rFonts w:ascii="Verdana"/>
          <w:sz w:val="18"/>
        </w:rPr>
        <w:t>Study</w:t>
      </w:r>
      <w:r>
        <w:rPr>
          <w:rFonts w:ascii="Verdana"/>
          <w:spacing w:val="13"/>
          <w:sz w:val="18"/>
        </w:rPr>
        <w:t> </w:t>
      </w:r>
      <w:r>
        <w:rPr>
          <w:rFonts w:ascii="Verdana"/>
          <w:sz w:val="18"/>
        </w:rPr>
        <w:t>of</w:t>
      </w:r>
      <w:r>
        <w:rPr>
          <w:rFonts w:ascii="Verdana"/>
          <w:spacing w:val="13"/>
          <w:sz w:val="18"/>
        </w:rPr>
        <w:t> </w:t>
      </w:r>
      <w:r>
        <w:rPr>
          <w:rFonts w:ascii="Verdana"/>
          <w:sz w:val="18"/>
        </w:rPr>
        <w:t>the</w:t>
      </w:r>
      <w:r>
        <w:rPr>
          <w:rFonts w:ascii="Verdana"/>
          <w:spacing w:val="12"/>
          <w:sz w:val="18"/>
        </w:rPr>
        <w:t> </w:t>
      </w:r>
      <w:r>
        <w:rPr>
          <w:rFonts w:ascii="Verdana"/>
          <w:sz w:val="18"/>
        </w:rPr>
        <w:t>Power</w:t>
      </w:r>
      <w:r>
        <w:rPr>
          <w:rFonts w:ascii="Verdana"/>
          <w:spacing w:val="13"/>
          <w:sz w:val="18"/>
        </w:rPr>
        <w:t> </w:t>
      </w:r>
      <w:r>
        <w:rPr>
          <w:rFonts w:ascii="Verdana"/>
          <w:sz w:val="18"/>
        </w:rPr>
        <w:t>Politics</w:t>
      </w:r>
      <w:r>
        <w:rPr>
          <w:rFonts w:ascii="Verdana"/>
          <w:spacing w:val="11"/>
          <w:sz w:val="18"/>
        </w:rPr>
        <w:t> </w:t>
      </w:r>
      <w:r>
        <w:rPr>
          <w:rFonts w:ascii="Verdana"/>
          <w:sz w:val="18"/>
        </w:rPr>
        <w:t>and</w:t>
      </w:r>
      <w:r>
        <w:rPr>
          <w:rFonts w:ascii="Verdana"/>
          <w:spacing w:val="10"/>
          <w:sz w:val="18"/>
        </w:rPr>
        <w:t> </w:t>
      </w:r>
      <w:r>
        <w:rPr>
          <w:rFonts w:ascii="Verdana"/>
          <w:spacing w:val="-2"/>
          <w:sz w:val="18"/>
        </w:rPr>
        <w:t>Gender...</w:t>
      </w:r>
      <w:r>
        <w:rPr>
          <w:sz w:val="18"/>
        </w:rPr>
        <w:tab/>
      </w:r>
      <w:r>
        <w:rPr>
          <w:rFonts w:ascii="Verdana"/>
          <w:spacing w:val="-5"/>
          <w:sz w:val="18"/>
        </w:rPr>
        <w:t>379</w:t>
      </w:r>
    </w:p>
    <w:p>
      <w:pPr>
        <w:pStyle w:val="BodyText"/>
        <w:spacing w:line="249" w:lineRule="auto" w:before="192"/>
        <w:ind w:right="1438" w:firstLine="432"/>
        <w:jc w:val="both"/>
      </w:pPr>
      <w:r>
        <w:rPr/>
        <w:t>In</w:t>
      </w:r>
      <w:r>
        <w:rPr>
          <w:spacing w:val="-11"/>
        </w:rPr>
        <w:t> </w:t>
      </w:r>
      <w:r>
        <w:rPr/>
        <w:t>“Othello,”</w:t>
      </w:r>
      <w:r>
        <w:rPr>
          <w:spacing w:val="-9"/>
        </w:rPr>
        <w:t> </w:t>
      </w:r>
      <w:r>
        <w:rPr/>
        <w:t>power</w:t>
      </w:r>
      <w:r>
        <w:rPr>
          <w:spacing w:val="-8"/>
        </w:rPr>
        <w:t> </w:t>
      </w:r>
      <w:r>
        <w:rPr/>
        <w:t>dynamics</w:t>
      </w:r>
      <w:r>
        <w:rPr>
          <w:spacing w:val="-11"/>
        </w:rPr>
        <w:t> </w:t>
      </w:r>
      <w:r>
        <w:rPr/>
        <w:t>play</w:t>
      </w:r>
      <w:r>
        <w:rPr>
          <w:spacing w:val="-13"/>
        </w:rPr>
        <w:t> </w:t>
      </w:r>
      <w:r>
        <w:rPr/>
        <w:t>a</w:t>
      </w:r>
      <w:r>
        <w:rPr>
          <w:spacing w:val="-6"/>
        </w:rPr>
        <w:t> </w:t>
      </w:r>
      <w:r>
        <w:rPr/>
        <w:t>central</w:t>
      </w:r>
      <w:r>
        <w:rPr>
          <w:spacing w:val="-9"/>
        </w:rPr>
        <w:t> </w:t>
      </w:r>
      <w:r>
        <w:rPr/>
        <w:t>role</w:t>
      </w:r>
      <w:r>
        <w:rPr>
          <w:spacing w:val="-9"/>
        </w:rPr>
        <w:t> </w:t>
      </w:r>
      <w:r>
        <w:rPr/>
        <w:t>in</w:t>
      </w:r>
      <w:r>
        <w:rPr>
          <w:spacing w:val="-9"/>
        </w:rPr>
        <w:t> </w:t>
      </w:r>
      <w:r>
        <w:rPr/>
        <w:t>challenging</w:t>
      </w:r>
      <w:r>
        <w:rPr>
          <w:spacing w:val="-9"/>
        </w:rPr>
        <w:t> </w:t>
      </w:r>
      <w:r>
        <w:rPr/>
        <w:t>the tragic events. The relationship between Othello and Desdemona is </w:t>
      </w:r>
      <w:r>
        <w:rPr>
          <w:spacing w:val="-2"/>
        </w:rPr>
        <w:t>deceptive</w:t>
      </w:r>
      <w:r>
        <w:rPr>
          <w:spacing w:val="-6"/>
        </w:rPr>
        <w:t> </w:t>
      </w:r>
      <w:r>
        <w:rPr>
          <w:spacing w:val="-2"/>
        </w:rPr>
        <w:t>by</w:t>
      </w:r>
      <w:r>
        <w:rPr>
          <w:spacing w:val="-6"/>
        </w:rPr>
        <w:t> </w:t>
      </w:r>
      <w:r>
        <w:rPr>
          <w:spacing w:val="-2"/>
        </w:rPr>
        <w:t>a</w:t>
      </w:r>
      <w:r>
        <w:rPr>
          <w:spacing w:val="-5"/>
        </w:rPr>
        <w:t> </w:t>
      </w:r>
      <w:r>
        <w:rPr>
          <w:spacing w:val="-2"/>
        </w:rPr>
        <w:t>significant</w:t>
      </w:r>
      <w:r>
        <w:rPr>
          <w:spacing w:val="-4"/>
        </w:rPr>
        <w:t> </w:t>
      </w:r>
      <w:r>
        <w:rPr>
          <w:spacing w:val="-2"/>
        </w:rPr>
        <w:t>power disparity,</w:t>
      </w:r>
      <w:r>
        <w:rPr>
          <w:spacing w:val="-6"/>
        </w:rPr>
        <w:t> </w:t>
      </w:r>
      <w:r>
        <w:rPr>
          <w:spacing w:val="-2"/>
        </w:rPr>
        <w:t>with</w:t>
      </w:r>
      <w:r>
        <w:rPr>
          <w:spacing w:val="-6"/>
        </w:rPr>
        <w:t> </w:t>
      </w:r>
      <w:r>
        <w:rPr>
          <w:spacing w:val="-2"/>
        </w:rPr>
        <w:t>Othello holding</w:t>
      </w:r>
      <w:r>
        <w:rPr>
          <w:spacing w:val="-6"/>
        </w:rPr>
        <w:t> </w:t>
      </w:r>
      <w:r>
        <w:rPr>
          <w:spacing w:val="-2"/>
        </w:rPr>
        <w:t>authority as</w:t>
      </w:r>
      <w:r>
        <w:rPr>
          <w:spacing w:val="-7"/>
        </w:rPr>
        <w:t> </w:t>
      </w:r>
      <w:r>
        <w:rPr>
          <w:spacing w:val="-2"/>
        </w:rPr>
        <w:t>a</w:t>
      </w:r>
      <w:r>
        <w:rPr>
          <w:spacing w:val="-10"/>
        </w:rPr>
        <w:t> </w:t>
      </w:r>
      <w:r>
        <w:rPr>
          <w:spacing w:val="-2"/>
        </w:rPr>
        <w:t>respected</w:t>
      </w:r>
      <w:r>
        <w:rPr>
          <w:spacing w:val="-10"/>
        </w:rPr>
        <w:t> </w:t>
      </w:r>
      <w:r>
        <w:rPr>
          <w:spacing w:val="-2"/>
        </w:rPr>
        <w:t>general,</w:t>
      </w:r>
      <w:r>
        <w:rPr>
          <w:spacing w:val="-7"/>
        </w:rPr>
        <w:t> </w:t>
      </w:r>
      <w:r>
        <w:rPr>
          <w:spacing w:val="-2"/>
        </w:rPr>
        <w:t>while</w:t>
      </w:r>
      <w:r>
        <w:rPr>
          <w:spacing w:val="-5"/>
        </w:rPr>
        <w:t> </w:t>
      </w:r>
      <w:r>
        <w:rPr>
          <w:spacing w:val="-2"/>
        </w:rPr>
        <w:t>Desdemona,</w:t>
      </w:r>
      <w:r>
        <w:rPr>
          <w:spacing w:val="-10"/>
        </w:rPr>
        <w:t> </w:t>
      </w:r>
      <w:r>
        <w:rPr>
          <w:spacing w:val="-2"/>
        </w:rPr>
        <w:t>despite</w:t>
      </w:r>
      <w:r>
        <w:rPr>
          <w:spacing w:val="-10"/>
        </w:rPr>
        <w:t> </w:t>
      </w:r>
      <w:r>
        <w:rPr>
          <w:spacing w:val="-2"/>
        </w:rPr>
        <w:t>her</w:t>
      </w:r>
      <w:r>
        <w:rPr>
          <w:spacing w:val="-5"/>
        </w:rPr>
        <w:t> </w:t>
      </w:r>
      <w:r>
        <w:rPr>
          <w:spacing w:val="-2"/>
        </w:rPr>
        <w:t>initial</w:t>
      </w:r>
      <w:r>
        <w:rPr>
          <w:spacing w:val="-7"/>
        </w:rPr>
        <w:t> </w:t>
      </w:r>
      <w:r>
        <w:rPr>
          <w:spacing w:val="-2"/>
        </w:rPr>
        <w:t>assertiveness, </w:t>
      </w:r>
      <w:r>
        <w:rPr/>
        <w:t>becomes</w:t>
      </w:r>
      <w:r>
        <w:rPr>
          <w:spacing w:val="-7"/>
        </w:rPr>
        <w:t> </w:t>
      </w:r>
      <w:r>
        <w:rPr/>
        <w:t>subject</w:t>
      </w:r>
      <w:r>
        <w:rPr>
          <w:spacing w:val="-4"/>
        </w:rPr>
        <w:t> </w:t>
      </w:r>
      <w:r>
        <w:rPr/>
        <w:t>to</w:t>
      </w:r>
      <w:r>
        <w:rPr>
          <w:spacing w:val="-5"/>
        </w:rPr>
        <w:t> </w:t>
      </w:r>
      <w:r>
        <w:rPr/>
        <w:t>Othello’s</w:t>
      </w:r>
      <w:r>
        <w:rPr>
          <w:spacing w:val="-5"/>
        </w:rPr>
        <w:t> </w:t>
      </w:r>
      <w:r>
        <w:rPr/>
        <w:t>insecurities</w:t>
      </w:r>
      <w:r>
        <w:rPr>
          <w:spacing w:val="-7"/>
        </w:rPr>
        <w:t> </w:t>
      </w:r>
      <w:r>
        <w:rPr/>
        <w:t>and</w:t>
      </w:r>
      <w:r>
        <w:rPr>
          <w:spacing w:val="-2"/>
        </w:rPr>
        <w:t> </w:t>
      </w:r>
      <w:r>
        <w:rPr/>
        <w:t>the</w:t>
      </w:r>
      <w:r>
        <w:rPr>
          <w:spacing w:val="-6"/>
        </w:rPr>
        <w:t> </w:t>
      </w:r>
      <w:r>
        <w:rPr/>
        <w:t>manipulations</w:t>
      </w:r>
      <w:r>
        <w:rPr>
          <w:spacing w:val="-5"/>
        </w:rPr>
        <w:t> </w:t>
      </w:r>
      <w:r>
        <w:rPr/>
        <w:t>of</w:t>
      </w:r>
      <w:r>
        <w:rPr>
          <w:spacing w:val="-7"/>
        </w:rPr>
        <w:t> </w:t>
      </w:r>
      <w:r>
        <w:rPr/>
        <w:t>Iago. Othello’s jealousy and Iago’s influence contribute to the devastating downfall of their relationship, revealing how power can be abused and </w:t>
      </w:r>
      <w:r>
        <w:rPr>
          <w:spacing w:val="-2"/>
        </w:rPr>
        <w:t>weaponized</w:t>
      </w:r>
      <w:r>
        <w:rPr>
          <w:spacing w:val="-11"/>
        </w:rPr>
        <w:t> </w:t>
      </w:r>
      <w:r>
        <w:rPr>
          <w:spacing w:val="-2"/>
        </w:rPr>
        <w:t>against</w:t>
      </w:r>
      <w:r>
        <w:rPr>
          <w:spacing w:val="-10"/>
        </w:rPr>
        <w:t> </w:t>
      </w:r>
      <w:r>
        <w:rPr>
          <w:spacing w:val="-2"/>
        </w:rPr>
        <w:t>women.</w:t>
      </w:r>
      <w:r>
        <w:rPr>
          <w:spacing w:val="-11"/>
        </w:rPr>
        <w:t> </w:t>
      </w:r>
      <w:r>
        <w:rPr>
          <w:spacing w:val="-2"/>
        </w:rPr>
        <w:t>The</w:t>
      </w:r>
      <w:r>
        <w:rPr>
          <w:spacing w:val="-10"/>
        </w:rPr>
        <w:t> </w:t>
      </w:r>
      <w:r>
        <w:rPr>
          <w:spacing w:val="-2"/>
        </w:rPr>
        <w:t>power</w:t>
      </w:r>
      <w:r>
        <w:rPr>
          <w:spacing w:val="-11"/>
        </w:rPr>
        <w:t> </w:t>
      </w:r>
      <w:r>
        <w:rPr>
          <w:spacing w:val="-2"/>
        </w:rPr>
        <w:t>dynamics</w:t>
      </w:r>
      <w:r>
        <w:rPr>
          <w:spacing w:val="-10"/>
        </w:rPr>
        <w:t> </w:t>
      </w:r>
      <w:r>
        <w:rPr>
          <w:spacing w:val="-2"/>
        </w:rPr>
        <w:t>in</w:t>
      </w:r>
      <w:r>
        <w:rPr>
          <w:spacing w:val="-11"/>
        </w:rPr>
        <w:t> </w:t>
      </w:r>
      <w:r>
        <w:rPr>
          <w:spacing w:val="-2"/>
        </w:rPr>
        <w:t>“Othello”</w:t>
      </w:r>
      <w:r>
        <w:rPr>
          <w:spacing w:val="-10"/>
        </w:rPr>
        <w:t> </w:t>
      </w:r>
      <w:r>
        <w:rPr>
          <w:spacing w:val="-2"/>
        </w:rPr>
        <w:t>underscore </w:t>
      </w:r>
      <w:r>
        <w:rPr/>
        <w:t>the vulnerabilities and limitations experienced by women within patriarchal</w:t>
      </w:r>
      <w:r>
        <w:rPr>
          <w:spacing w:val="40"/>
        </w:rPr>
        <w:t> </w:t>
      </w:r>
      <w:r>
        <w:rPr/>
        <w:t>systems.</w:t>
      </w:r>
    </w:p>
    <w:p>
      <w:pPr>
        <w:pStyle w:val="BodyText"/>
        <w:spacing w:line="249" w:lineRule="auto" w:before="66"/>
        <w:ind w:right="1440" w:firstLine="432"/>
        <w:jc w:val="both"/>
      </w:pPr>
      <w:r>
        <w:rPr/>
        <w:t>Through the exploration of these power dynamics, Shakespeare illuminates the unequal distribution of power between genders and its profound impact on individuals and relationships. These portrayals </w:t>
      </w:r>
      <w:r>
        <w:rPr>
          <w:spacing w:val="-4"/>
        </w:rPr>
        <w:t>reflect</w:t>
      </w:r>
      <w:r>
        <w:rPr>
          <w:spacing w:val="-9"/>
        </w:rPr>
        <w:t> </w:t>
      </w:r>
      <w:r>
        <w:rPr>
          <w:spacing w:val="-4"/>
        </w:rPr>
        <w:t>the</w:t>
      </w:r>
      <w:r>
        <w:rPr>
          <w:spacing w:val="-7"/>
        </w:rPr>
        <w:t> </w:t>
      </w:r>
      <w:r>
        <w:rPr>
          <w:spacing w:val="-4"/>
        </w:rPr>
        <w:t>social</w:t>
      </w:r>
      <w:r>
        <w:rPr>
          <w:spacing w:val="-9"/>
        </w:rPr>
        <w:t> </w:t>
      </w:r>
      <w:r>
        <w:rPr>
          <w:spacing w:val="-4"/>
        </w:rPr>
        <w:t>and cultural</w:t>
      </w:r>
      <w:r>
        <w:rPr>
          <w:spacing w:val="-7"/>
        </w:rPr>
        <w:t> </w:t>
      </w:r>
      <w:r>
        <w:rPr>
          <w:spacing w:val="-4"/>
        </w:rPr>
        <w:t>forces</w:t>
      </w:r>
      <w:r>
        <w:rPr>
          <w:spacing w:val="-6"/>
        </w:rPr>
        <w:t> </w:t>
      </w:r>
      <w:r>
        <w:rPr>
          <w:spacing w:val="-4"/>
        </w:rPr>
        <w:t>of</w:t>
      </w:r>
      <w:r>
        <w:rPr>
          <w:spacing w:val="-9"/>
        </w:rPr>
        <w:t> </w:t>
      </w:r>
      <w:r>
        <w:rPr>
          <w:spacing w:val="-4"/>
        </w:rPr>
        <w:t>Shakespeare’s</w:t>
      </w:r>
      <w:r>
        <w:rPr>
          <w:spacing w:val="-8"/>
        </w:rPr>
        <w:t> </w:t>
      </w:r>
      <w:r>
        <w:rPr>
          <w:spacing w:val="-4"/>
        </w:rPr>
        <w:t>time, where</w:t>
      </w:r>
      <w:r>
        <w:rPr>
          <w:spacing w:val="-9"/>
        </w:rPr>
        <w:t> </w:t>
      </w:r>
      <w:r>
        <w:rPr>
          <w:spacing w:val="-4"/>
        </w:rPr>
        <w:t>women’s </w:t>
      </w:r>
      <w:r>
        <w:rPr/>
        <w:t>agency and influence were often constrained by societal expectations and</w:t>
      </w:r>
      <w:r>
        <w:rPr>
          <w:spacing w:val="40"/>
        </w:rPr>
        <w:t> </w:t>
      </w:r>
      <w:r>
        <w:rPr/>
        <w:t>gender</w:t>
      </w:r>
      <w:r>
        <w:rPr>
          <w:spacing w:val="40"/>
        </w:rPr>
        <w:t> </w:t>
      </w:r>
      <w:r>
        <w:rPr/>
        <w:t>norms.</w:t>
      </w:r>
    </w:p>
    <w:p>
      <w:pPr>
        <w:pStyle w:val="BodyText"/>
        <w:spacing w:line="249" w:lineRule="auto" w:before="63"/>
        <w:ind w:right="1437" w:firstLine="432"/>
        <w:jc w:val="both"/>
      </w:pPr>
      <w:r>
        <w:rPr/>
        <w:t>By </w:t>
      </w:r>
      <w:r>
        <w:rPr>
          <w:spacing w:val="10"/>
        </w:rPr>
        <w:t>analyzing</w:t>
      </w:r>
      <w:r>
        <w:rPr>
          <w:spacing w:val="10"/>
        </w:rPr>
        <w:t> </w:t>
      </w:r>
      <w:r>
        <w:rPr/>
        <w:t>the </w:t>
      </w:r>
      <w:r>
        <w:rPr>
          <w:spacing w:val="9"/>
        </w:rPr>
        <w:t>power</w:t>
      </w:r>
      <w:r>
        <w:rPr>
          <w:spacing w:val="9"/>
        </w:rPr>
        <w:t> dynamics</w:t>
      </w:r>
      <w:r>
        <w:rPr>
          <w:spacing w:val="9"/>
        </w:rPr>
        <w:t> </w:t>
      </w:r>
      <w:r>
        <w:rPr>
          <w:spacing w:val="10"/>
        </w:rPr>
        <w:t>between</w:t>
      </w:r>
      <w:r>
        <w:rPr>
          <w:spacing w:val="10"/>
        </w:rPr>
        <w:t> genders</w:t>
      </w:r>
      <w:r>
        <w:rPr>
          <w:spacing w:val="10"/>
        </w:rPr>
        <w:t> </w:t>
      </w:r>
      <w:r>
        <w:rPr/>
        <w:t>in Shakespearean tragedies, this section emphasizes the complexity of power relations and their implications for gender equality. It highlights the ways in which power can be negotiated, abused, and limited within </w:t>
      </w:r>
      <w:r>
        <w:rPr>
          <w:spacing w:val="-2"/>
        </w:rPr>
        <w:t>intimate</w:t>
      </w:r>
    </w:p>
    <w:p>
      <w:pPr>
        <w:pStyle w:val="Heading3"/>
        <w:spacing w:before="157"/>
      </w:pPr>
      <w:r>
        <w:rPr>
          <w:w w:val="90"/>
        </w:rPr>
        <w:t>SOCIO-CULTURAL,</w:t>
      </w:r>
      <w:r>
        <w:rPr>
          <w:spacing w:val="11"/>
        </w:rPr>
        <w:t> </w:t>
      </w:r>
      <w:r>
        <w:rPr>
          <w:w w:val="90"/>
        </w:rPr>
        <w:t>AND</w:t>
      </w:r>
      <w:r>
        <w:rPr>
          <w:spacing w:val="11"/>
        </w:rPr>
        <w:t> </w:t>
      </w:r>
      <w:r>
        <w:rPr>
          <w:w w:val="90"/>
        </w:rPr>
        <w:t>POLITICAL</w:t>
      </w:r>
      <w:r>
        <w:rPr>
          <w:spacing w:val="11"/>
        </w:rPr>
        <w:t> </w:t>
      </w:r>
      <w:r>
        <w:rPr>
          <w:spacing w:val="-2"/>
          <w:w w:val="90"/>
        </w:rPr>
        <w:t>CONTEXTS</w:t>
      </w:r>
    </w:p>
    <w:p>
      <w:pPr>
        <w:pStyle w:val="BodyText"/>
        <w:spacing w:line="249" w:lineRule="auto" w:before="78"/>
        <w:ind w:right="1440" w:firstLine="432"/>
        <w:jc w:val="both"/>
      </w:pPr>
      <w:r>
        <w:rPr/>
        <w:t>To understand the gender dynamics in Shakespeare’s tragedies, it is vital to examine the social, cultural, and political contexts of the respective era when these plays were performed. Through the study of an</w:t>
      </w:r>
      <w:r>
        <w:rPr>
          <w:spacing w:val="-2"/>
        </w:rPr>
        <w:t> </w:t>
      </w:r>
      <w:r>
        <w:rPr/>
        <w:t>Elizabethan</w:t>
      </w:r>
      <w:r>
        <w:rPr>
          <w:spacing w:val="-2"/>
        </w:rPr>
        <w:t> </w:t>
      </w:r>
      <w:r>
        <w:rPr/>
        <w:t>age with gender norms, societal, cultural norms, and the role of women in early modern England, we can gain insights into Shakespeare’s representation of gender. The late 16th and early 17th centuries, was</w:t>
      </w:r>
      <w:r>
        <w:rPr>
          <w:spacing w:val="-3"/>
        </w:rPr>
        <w:t> </w:t>
      </w:r>
      <w:r>
        <w:rPr/>
        <w:t>marked</w:t>
      </w:r>
      <w:r>
        <w:rPr>
          <w:spacing w:val="-1"/>
        </w:rPr>
        <w:t> </w:t>
      </w:r>
      <w:r>
        <w:rPr/>
        <w:t>as</w:t>
      </w:r>
      <w:r>
        <w:rPr>
          <w:spacing w:val="-3"/>
        </w:rPr>
        <w:t> </w:t>
      </w:r>
      <w:r>
        <w:rPr/>
        <w:t>patriarchal</w:t>
      </w:r>
      <w:r>
        <w:rPr>
          <w:spacing w:val="-1"/>
        </w:rPr>
        <w:t> </w:t>
      </w:r>
      <w:r>
        <w:rPr/>
        <w:t>society</w:t>
      </w:r>
      <w:r>
        <w:rPr>
          <w:spacing w:val="-4"/>
        </w:rPr>
        <w:t> </w:t>
      </w:r>
      <w:r>
        <w:rPr/>
        <w:t>through</w:t>
      </w:r>
      <w:r>
        <w:rPr>
          <w:spacing w:val="-4"/>
        </w:rPr>
        <w:t> </w:t>
      </w:r>
      <w:r>
        <w:rPr/>
        <w:t>the various</w:t>
      </w:r>
      <w:r>
        <w:rPr>
          <w:spacing w:val="-1"/>
        </w:rPr>
        <w:t> </w:t>
      </w:r>
      <w:r>
        <w:rPr/>
        <w:t>studies women in this period faced restrictions and were limited to domestic roles. They had too little opportunities to access education, career opportunities, and political power. Women were</w:t>
      </w:r>
      <w:r>
        <w:rPr>
          <w:spacing w:val="-1"/>
        </w:rPr>
        <w:t> </w:t>
      </w:r>
      <w:r>
        <w:rPr/>
        <w:t>projected to epitomize assets such as modesty, chastity, and obedience, conforming to the prevailing</w:t>
      </w:r>
      <w:r>
        <w:rPr>
          <w:spacing w:val="-7"/>
        </w:rPr>
        <w:t> </w:t>
      </w:r>
      <w:r>
        <w:rPr/>
        <w:t>gender</w:t>
      </w:r>
      <w:r>
        <w:rPr>
          <w:spacing w:val="-5"/>
        </w:rPr>
        <w:t> </w:t>
      </w:r>
      <w:r>
        <w:rPr/>
        <w:t>norms</w:t>
      </w:r>
      <w:r>
        <w:rPr>
          <w:spacing w:val="-8"/>
        </w:rPr>
        <w:t> </w:t>
      </w:r>
      <w:r>
        <w:rPr/>
        <w:t>and</w:t>
      </w:r>
      <w:r>
        <w:rPr>
          <w:spacing w:val="-3"/>
        </w:rPr>
        <w:t> </w:t>
      </w:r>
      <w:r>
        <w:rPr/>
        <w:t>fulfilling</w:t>
      </w:r>
      <w:r>
        <w:rPr>
          <w:spacing w:val="-7"/>
        </w:rPr>
        <w:t> </w:t>
      </w:r>
      <w:r>
        <w:rPr/>
        <w:t>their</w:t>
      </w:r>
      <w:r>
        <w:rPr>
          <w:spacing w:val="-5"/>
        </w:rPr>
        <w:t> </w:t>
      </w:r>
      <w:r>
        <w:rPr/>
        <w:t>roles</w:t>
      </w:r>
      <w:r>
        <w:rPr>
          <w:spacing w:val="-7"/>
        </w:rPr>
        <w:t> </w:t>
      </w:r>
      <w:r>
        <w:rPr/>
        <w:t>as</w:t>
      </w:r>
      <w:r>
        <w:rPr>
          <w:spacing w:val="-8"/>
        </w:rPr>
        <w:t> </w:t>
      </w:r>
      <w:r>
        <w:rPr/>
        <w:t>wives,</w:t>
      </w:r>
      <w:r>
        <w:rPr>
          <w:spacing w:val="-7"/>
        </w:rPr>
        <w:t> </w:t>
      </w:r>
      <w:r>
        <w:rPr/>
        <w:t>mothers,</w:t>
      </w:r>
      <w:r>
        <w:rPr>
          <w:spacing w:val="-5"/>
        </w:rPr>
        <w:t> </w:t>
      </w:r>
      <w:r>
        <w:rPr/>
        <w:t>and daughters. These societal expectations deeply influenced the power dynamics</w:t>
      </w:r>
      <w:r>
        <w:rPr>
          <w:spacing w:val="40"/>
        </w:rPr>
        <w:t> </w:t>
      </w:r>
      <w:r>
        <w:rPr/>
        <w:t>and</w:t>
      </w:r>
      <w:r>
        <w:rPr>
          <w:spacing w:val="40"/>
        </w:rPr>
        <w:t> </w:t>
      </w:r>
      <w:r>
        <w:rPr/>
        <w:t>relationships</w:t>
      </w:r>
      <w:r>
        <w:rPr>
          <w:spacing w:val="40"/>
        </w:rPr>
        <w:t> </w:t>
      </w:r>
      <w:r>
        <w:rPr/>
        <w:t>depicted</w:t>
      </w:r>
      <w:r>
        <w:rPr>
          <w:spacing w:val="40"/>
        </w:rPr>
        <w:t> </w:t>
      </w:r>
      <w:r>
        <w:rPr/>
        <w:t>in</w:t>
      </w:r>
      <w:r>
        <w:rPr>
          <w:spacing w:val="40"/>
        </w:rPr>
        <w:t> </w:t>
      </w:r>
      <w:r>
        <w:rPr/>
        <w:t>Shakespeare’s</w:t>
      </w:r>
      <w:r>
        <w:rPr>
          <w:spacing w:val="40"/>
        </w:rPr>
        <w:t> </w:t>
      </w:r>
      <w:r>
        <w:rPr/>
        <w:t>tragedies.</w:t>
      </w:r>
    </w:p>
    <w:p>
      <w:pPr>
        <w:pStyle w:val="BodyText"/>
        <w:spacing w:line="249" w:lineRule="auto" w:before="69"/>
        <w:ind w:right="1440" w:firstLine="432"/>
        <w:jc w:val="both"/>
      </w:pPr>
      <w:r>
        <w:rPr/>
        <w:t>Marriage is considered one of the major roles in socio- cultural point</w:t>
      </w:r>
      <w:r>
        <w:rPr>
          <w:spacing w:val="53"/>
        </w:rPr>
        <w:t> </w:t>
      </w:r>
      <w:r>
        <w:rPr/>
        <w:t>of</w:t>
      </w:r>
      <w:r>
        <w:rPr>
          <w:spacing w:val="51"/>
        </w:rPr>
        <w:t> </w:t>
      </w:r>
      <w:r>
        <w:rPr/>
        <w:t>view</w:t>
      </w:r>
      <w:r>
        <w:rPr>
          <w:spacing w:val="48"/>
        </w:rPr>
        <w:t> </w:t>
      </w:r>
      <w:r>
        <w:rPr/>
        <w:t>during</w:t>
      </w:r>
      <w:r>
        <w:rPr>
          <w:spacing w:val="53"/>
        </w:rPr>
        <w:t> </w:t>
      </w:r>
      <w:r>
        <w:rPr/>
        <w:t>the</w:t>
      </w:r>
      <w:r>
        <w:rPr>
          <w:spacing w:val="54"/>
        </w:rPr>
        <w:t> </w:t>
      </w:r>
      <w:r>
        <w:rPr/>
        <w:t>Elizabethan</w:t>
      </w:r>
      <w:r>
        <w:rPr>
          <w:spacing w:val="52"/>
        </w:rPr>
        <w:t> </w:t>
      </w:r>
      <w:r>
        <w:rPr/>
        <w:t>era,</w:t>
      </w:r>
      <w:r>
        <w:rPr>
          <w:spacing w:val="53"/>
        </w:rPr>
        <w:t> </w:t>
      </w:r>
      <w:r>
        <w:rPr/>
        <w:t>serving</w:t>
      </w:r>
      <w:r>
        <w:rPr>
          <w:spacing w:val="51"/>
        </w:rPr>
        <w:t> </w:t>
      </w:r>
      <w:r>
        <w:rPr/>
        <w:t>as</w:t>
      </w:r>
      <w:r>
        <w:rPr>
          <w:spacing w:val="55"/>
        </w:rPr>
        <w:t> </w:t>
      </w:r>
      <w:r>
        <w:rPr/>
        <w:t>an</w:t>
      </w:r>
      <w:r>
        <w:rPr>
          <w:spacing w:val="51"/>
        </w:rPr>
        <w:t> </w:t>
      </w:r>
      <w:r>
        <w:rPr>
          <w:spacing w:val="-2"/>
        </w:rPr>
        <w:t>important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8416">
                <wp:simplePos x="0" y="0"/>
                <wp:positionH relativeFrom="page">
                  <wp:posOffset>2057400</wp:posOffset>
                </wp:positionH>
                <wp:positionV relativeFrom="paragraph">
                  <wp:posOffset>162604</wp:posOffset>
                </wp:positionV>
                <wp:extent cx="3657600" cy="12700"/>
                <wp:effectExtent l="0" t="0" r="0" b="0"/>
                <wp:wrapTopAndBottom/>
                <wp:docPr id="755" name="Graphic 755"/>
                <wp:cNvGraphicFramePr>
                  <a:graphicFrameLocks/>
                </wp:cNvGraphicFramePr>
                <a:graphic>
                  <a:graphicData uri="http://schemas.microsoft.com/office/word/2010/wordprocessingShape">
                    <wps:wsp>
                      <wps:cNvPr id="755" name="Graphic 75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48064;mso-wrap-distance-left:0;mso-wrap-distance-right:0" id="docshape747" filled="true" fillcolor="#000000" stroked="false">
                <v:fill type="solid"/>
                <w10:wrap type="topAndBottom"/>
              </v:rect>
            </w:pict>
          </mc:Fallback>
        </mc:AlternateContent>
      </w:r>
      <w:r>
        <w:rPr>
          <w:rFonts w:ascii="Verdana"/>
          <w:spacing w:val="-5"/>
          <w:sz w:val="18"/>
        </w:rPr>
        <w:t>380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institution for social stability, the partnership of wealth, and the </w:t>
      </w:r>
      <w:r>
        <w:rPr>
          <w:spacing w:val="-2"/>
        </w:rPr>
        <w:t>continuation</w:t>
      </w:r>
      <w:r>
        <w:rPr>
          <w:spacing w:val="-6"/>
        </w:rPr>
        <w:t> </w:t>
      </w:r>
      <w:r>
        <w:rPr>
          <w:spacing w:val="-2"/>
        </w:rPr>
        <w:t>of</w:t>
      </w:r>
      <w:r>
        <w:rPr>
          <w:spacing w:val="-6"/>
        </w:rPr>
        <w:t> </w:t>
      </w:r>
      <w:r>
        <w:rPr>
          <w:spacing w:val="-2"/>
        </w:rPr>
        <w:t>ancestry. Marriages</w:t>
      </w:r>
      <w:r>
        <w:rPr>
          <w:spacing w:val="-6"/>
        </w:rPr>
        <w:t> </w:t>
      </w:r>
      <w:r>
        <w:rPr>
          <w:spacing w:val="-2"/>
        </w:rPr>
        <w:t>were</w:t>
      </w:r>
      <w:r>
        <w:rPr>
          <w:spacing w:val="-6"/>
        </w:rPr>
        <w:t> </w:t>
      </w:r>
      <w:r>
        <w:rPr>
          <w:spacing w:val="-2"/>
        </w:rPr>
        <w:t>habitually</w:t>
      </w:r>
      <w:r>
        <w:rPr>
          <w:spacing w:val="-9"/>
        </w:rPr>
        <w:t> </w:t>
      </w:r>
      <w:r>
        <w:rPr>
          <w:spacing w:val="-2"/>
        </w:rPr>
        <w:t>arranged for</w:t>
      </w:r>
      <w:r>
        <w:rPr>
          <w:spacing w:val="-4"/>
        </w:rPr>
        <w:t> </w:t>
      </w:r>
      <w:r>
        <w:rPr>
          <w:spacing w:val="-2"/>
        </w:rPr>
        <w:t>strategic </w:t>
      </w:r>
      <w:r>
        <w:rPr/>
        <w:t>reasons, such as political agreements or economic benefits.</w:t>
      </w:r>
      <w:r>
        <w:rPr>
          <w:spacing w:val="-7"/>
        </w:rPr>
        <w:t> </w:t>
      </w:r>
      <w:r>
        <w:rPr/>
        <w:t>As a matter of facts women were frequently subjected to the authority and control</w:t>
      </w:r>
      <w:r>
        <w:rPr>
          <w:spacing w:val="40"/>
        </w:rPr>
        <w:t> </w:t>
      </w:r>
      <w:r>
        <w:rPr/>
        <w:t>of their husbands or fathers. The power dynamics within marriage, </w:t>
      </w:r>
      <w:r>
        <w:rPr>
          <w:spacing w:val="-2"/>
        </w:rPr>
        <w:t>illustrated</w:t>
      </w:r>
      <w:r>
        <w:rPr>
          <w:spacing w:val="-11"/>
        </w:rPr>
        <w:t> </w:t>
      </w:r>
      <w:r>
        <w:rPr>
          <w:spacing w:val="-2"/>
        </w:rPr>
        <w:t>by</w:t>
      </w:r>
      <w:r>
        <w:rPr>
          <w:spacing w:val="-10"/>
        </w:rPr>
        <w:t> </w:t>
      </w:r>
      <w:r>
        <w:rPr>
          <w:spacing w:val="-2"/>
        </w:rPr>
        <w:t>male</w:t>
      </w:r>
      <w:r>
        <w:rPr>
          <w:spacing w:val="-11"/>
        </w:rPr>
        <w:t> </w:t>
      </w:r>
      <w:r>
        <w:rPr>
          <w:spacing w:val="-2"/>
        </w:rPr>
        <w:t>dominance</w:t>
      </w:r>
      <w:r>
        <w:rPr>
          <w:spacing w:val="-10"/>
        </w:rPr>
        <w:t> </w:t>
      </w:r>
      <w:r>
        <w:rPr>
          <w:spacing w:val="-2"/>
        </w:rPr>
        <w:t>and</w:t>
      </w:r>
      <w:r>
        <w:rPr>
          <w:spacing w:val="-11"/>
        </w:rPr>
        <w:t> </w:t>
      </w:r>
      <w:r>
        <w:rPr>
          <w:spacing w:val="-2"/>
        </w:rPr>
        <w:t>female</w:t>
      </w:r>
      <w:r>
        <w:rPr>
          <w:spacing w:val="-10"/>
        </w:rPr>
        <w:t> </w:t>
      </w:r>
      <w:r>
        <w:rPr>
          <w:spacing w:val="-2"/>
        </w:rPr>
        <w:t>subordination,</w:t>
      </w:r>
      <w:r>
        <w:rPr>
          <w:spacing w:val="-11"/>
        </w:rPr>
        <w:t> </w:t>
      </w:r>
      <w:r>
        <w:rPr>
          <w:spacing w:val="-2"/>
        </w:rPr>
        <w:t>are</w:t>
      </w:r>
      <w:r>
        <w:rPr>
          <w:spacing w:val="-10"/>
        </w:rPr>
        <w:t> </w:t>
      </w:r>
      <w:r>
        <w:rPr>
          <w:spacing w:val="-2"/>
        </w:rPr>
        <w:t>echoed</w:t>
      </w:r>
      <w:r>
        <w:rPr>
          <w:spacing w:val="-11"/>
        </w:rPr>
        <w:t> </w:t>
      </w:r>
      <w:r>
        <w:rPr>
          <w:spacing w:val="-2"/>
        </w:rPr>
        <w:t>in</w:t>
      </w:r>
      <w:r>
        <w:rPr>
          <w:spacing w:val="-10"/>
        </w:rPr>
        <w:t> </w:t>
      </w:r>
      <w:r>
        <w:rPr>
          <w:spacing w:val="-2"/>
        </w:rPr>
        <w:t>the </w:t>
      </w:r>
      <w:r>
        <w:rPr>
          <w:spacing w:val="-6"/>
        </w:rPr>
        <w:t>relationships characterized</w:t>
      </w:r>
      <w:r>
        <w:rPr/>
        <w:t> </w:t>
      </w:r>
      <w:r>
        <w:rPr>
          <w:spacing w:val="-6"/>
        </w:rPr>
        <w:t>in Shakespeare’s tragedies,</w:t>
      </w:r>
      <w:r>
        <w:rPr/>
        <w:t> </w:t>
      </w:r>
      <w:r>
        <w:rPr>
          <w:spacing w:val="-6"/>
        </w:rPr>
        <w:t>for instance Macbeth </w:t>
      </w:r>
      <w:r>
        <w:rPr/>
        <w:t>and</w:t>
      </w:r>
      <w:r>
        <w:rPr>
          <w:spacing w:val="5"/>
        </w:rPr>
        <w:t> </w:t>
      </w:r>
      <w:r>
        <w:rPr/>
        <w:t>Lady</w:t>
      </w:r>
      <w:r>
        <w:rPr>
          <w:spacing w:val="2"/>
        </w:rPr>
        <w:t> </w:t>
      </w:r>
      <w:r>
        <w:rPr/>
        <w:t>Macbeth,</w:t>
      </w:r>
      <w:r>
        <w:rPr>
          <w:spacing w:val="5"/>
        </w:rPr>
        <w:t> </w:t>
      </w:r>
      <w:r>
        <w:rPr/>
        <w:t>Hamlet</w:t>
      </w:r>
      <w:r>
        <w:rPr>
          <w:spacing w:val="5"/>
        </w:rPr>
        <w:t> </w:t>
      </w:r>
      <w:r>
        <w:rPr/>
        <w:t>and</w:t>
      </w:r>
      <w:r>
        <w:rPr>
          <w:spacing w:val="5"/>
        </w:rPr>
        <w:t> </w:t>
      </w:r>
      <w:r>
        <w:rPr/>
        <w:t>Gertrude,</w:t>
      </w:r>
      <w:r>
        <w:rPr>
          <w:spacing w:val="4"/>
        </w:rPr>
        <w:t> </w:t>
      </w:r>
      <w:r>
        <w:rPr/>
        <w:t>and</w:t>
      </w:r>
      <w:r>
        <w:rPr>
          <w:spacing w:val="4"/>
        </w:rPr>
        <w:t> </w:t>
      </w:r>
      <w:r>
        <w:rPr/>
        <w:t>Othello</w:t>
      </w:r>
      <w:r>
        <w:rPr>
          <w:spacing w:val="7"/>
        </w:rPr>
        <w:t> </w:t>
      </w:r>
      <w:r>
        <w:rPr/>
        <w:t>and</w:t>
      </w:r>
      <w:r>
        <w:rPr>
          <w:spacing w:val="4"/>
        </w:rPr>
        <w:t> </w:t>
      </w:r>
      <w:r>
        <w:rPr>
          <w:spacing w:val="-2"/>
        </w:rPr>
        <w:t>Desdemona.</w:t>
      </w:r>
    </w:p>
    <w:p>
      <w:pPr>
        <w:pStyle w:val="BodyText"/>
        <w:spacing w:line="264" w:lineRule="auto" w:before="72"/>
        <w:ind w:right="1437" w:firstLine="432"/>
        <w:jc w:val="both"/>
      </w:pPr>
      <w:r>
        <w:rPr/>
        <w:t>Cultural dogmas and its interpretations had a significant role in shaping gender roles and expectations during the Elizabethan era. The labels of virtues such as modesty, piety, and obedience are stricken women who set off from these prescribed roles and exhibited assertiveness or independence were often defamed and considered immoral. Shakespeare’s women characters, such as Lady Macbeth and </w:t>
      </w:r>
      <w:r>
        <w:rPr>
          <w:spacing w:val="-2"/>
        </w:rPr>
        <w:t>Ophelia, challenge these narrow</w:t>
      </w:r>
      <w:r>
        <w:rPr>
          <w:spacing w:val="-8"/>
        </w:rPr>
        <w:t> </w:t>
      </w:r>
      <w:r>
        <w:rPr>
          <w:spacing w:val="-2"/>
        </w:rPr>
        <w:t>definitions of</w:t>
      </w:r>
      <w:r>
        <w:rPr>
          <w:spacing w:val="-4"/>
        </w:rPr>
        <w:t> </w:t>
      </w:r>
      <w:r>
        <w:rPr>
          <w:spacing w:val="-2"/>
        </w:rPr>
        <w:t>woman</w:t>
      </w:r>
      <w:r>
        <w:rPr>
          <w:spacing w:val="-4"/>
        </w:rPr>
        <w:t> </w:t>
      </w:r>
      <w:r>
        <w:rPr>
          <w:spacing w:val="-2"/>
        </w:rPr>
        <w:t>in</w:t>
      </w:r>
      <w:r>
        <w:rPr>
          <w:spacing w:val="-4"/>
        </w:rPr>
        <w:t> </w:t>
      </w:r>
      <w:r>
        <w:rPr>
          <w:spacing w:val="-2"/>
        </w:rPr>
        <w:t>particular.</w:t>
      </w:r>
      <w:r>
        <w:rPr>
          <w:spacing w:val="-4"/>
        </w:rPr>
        <w:t> </w:t>
      </w:r>
      <w:r>
        <w:rPr>
          <w:spacing w:val="-2"/>
        </w:rPr>
        <w:t>They </w:t>
      </w:r>
      <w:r>
        <w:rPr/>
        <w:t>unveil complexities, contradictions, and desires that confront societal norms, thereby put forward an exploration of gender roles within their respective contexts. At the same time as women faced numerous restrictions and limitations, they could carry out influence and power within the private sphere, particularly within the household. Women of the high rank, like Lady</w:t>
      </w:r>
      <w:r>
        <w:rPr>
          <w:spacing w:val="-1"/>
        </w:rPr>
        <w:t> </w:t>
      </w:r>
      <w:r>
        <w:rPr/>
        <w:t>Macbeth and Gertrude, always initiate ways to proclaim their authority behind the scenes, operating their husbands or </w:t>
      </w:r>
      <w:r>
        <w:rPr>
          <w:spacing w:val="-2"/>
        </w:rPr>
        <w:t>tempting</w:t>
      </w:r>
      <w:r>
        <w:rPr>
          <w:spacing w:val="-11"/>
        </w:rPr>
        <w:t> </w:t>
      </w:r>
      <w:r>
        <w:rPr>
          <w:spacing w:val="-2"/>
        </w:rPr>
        <w:t>in</w:t>
      </w:r>
      <w:r>
        <w:rPr>
          <w:spacing w:val="-10"/>
        </w:rPr>
        <w:t> </w:t>
      </w:r>
      <w:r>
        <w:rPr>
          <w:spacing w:val="-2"/>
        </w:rPr>
        <w:t>political</w:t>
      </w:r>
      <w:r>
        <w:rPr>
          <w:spacing w:val="-11"/>
        </w:rPr>
        <w:t> </w:t>
      </w:r>
      <w:r>
        <w:rPr>
          <w:spacing w:val="-2"/>
        </w:rPr>
        <w:t>intrigue.</w:t>
      </w:r>
      <w:r>
        <w:rPr>
          <w:spacing w:val="-10"/>
        </w:rPr>
        <w:t> </w:t>
      </w:r>
      <w:r>
        <w:rPr>
          <w:spacing w:val="-2"/>
        </w:rPr>
        <w:t>These</w:t>
      </w:r>
      <w:r>
        <w:rPr>
          <w:spacing w:val="-11"/>
        </w:rPr>
        <w:t> </w:t>
      </w:r>
      <w:r>
        <w:rPr>
          <w:spacing w:val="-2"/>
        </w:rPr>
        <w:t>portrayals</w:t>
      </w:r>
      <w:r>
        <w:rPr>
          <w:spacing w:val="-10"/>
        </w:rPr>
        <w:t> </w:t>
      </w:r>
      <w:r>
        <w:rPr>
          <w:spacing w:val="-2"/>
        </w:rPr>
        <w:t>highlight</w:t>
      </w:r>
      <w:r>
        <w:rPr>
          <w:spacing w:val="-11"/>
        </w:rPr>
        <w:t> </w:t>
      </w:r>
      <w:r>
        <w:rPr>
          <w:spacing w:val="-2"/>
        </w:rPr>
        <w:t>that</w:t>
      </w:r>
      <w:r>
        <w:rPr>
          <w:spacing w:val="-10"/>
        </w:rPr>
        <w:t> </w:t>
      </w:r>
      <w:r>
        <w:rPr>
          <w:spacing w:val="-2"/>
        </w:rPr>
        <w:t>some</w:t>
      </w:r>
      <w:r>
        <w:rPr>
          <w:spacing w:val="-11"/>
        </w:rPr>
        <w:t> </w:t>
      </w:r>
      <w:r>
        <w:rPr>
          <w:spacing w:val="-2"/>
        </w:rPr>
        <w:t>women </w:t>
      </w:r>
      <w:r>
        <w:rPr/>
        <w:t>possessed power to rule despite the prevailing patriarchal norms. The most notable sentence</w:t>
      </w:r>
      <w:r>
        <w:rPr>
          <w:spacing w:val="-1"/>
        </w:rPr>
        <w:t> </w:t>
      </w:r>
      <w:r>
        <w:rPr/>
        <w:t>of Sandra Gilbert and Susana Gubar use the idea of ‘Social-castration’ which amount to the same thing, for this term signifies women’s lack of social power, this lack of being represented, by means of word ‘castration’ as a male possession, though not as in any male attribute.</w:t>
      </w:r>
    </w:p>
    <w:p>
      <w:pPr>
        <w:pStyle w:val="BodyText"/>
        <w:spacing w:line="264" w:lineRule="auto" w:before="37"/>
        <w:ind w:right="1436" w:firstLine="432"/>
        <w:jc w:val="both"/>
      </w:pPr>
      <w:r>
        <w:rPr/>
        <w:t>By studying the social, cultural, and political contexts of the Elizabethan era, understanding of the gender dynamics within Shakespeare’s tragedies, provides the insights of plays reflect and challenge the prevailing gender norms of the time, presenting complex female characters who direct and attack on societal expectations. Shakespeare’s evaluation of gender is shaped by the socio-cultural and political context, and his works continue to stir up discussions and reflections</w:t>
      </w:r>
      <w:r>
        <w:rPr>
          <w:spacing w:val="-8"/>
        </w:rPr>
        <w:t> </w:t>
      </w:r>
      <w:r>
        <w:rPr/>
        <w:t>on</w:t>
      </w:r>
      <w:r>
        <w:rPr>
          <w:spacing w:val="-8"/>
        </w:rPr>
        <w:t> </w:t>
      </w:r>
      <w:r>
        <w:rPr/>
        <w:t>gender</w:t>
      </w:r>
      <w:r>
        <w:rPr>
          <w:spacing w:val="-5"/>
        </w:rPr>
        <w:t> </w:t>
      </w:r>
      <w:r>
        <w:rPr/>
        <w:t>roles,</w:t>
      </w:r>
      <w:r>
        <w:rPr>
          <w:spacing w:val="-6"/>
        </w:rPr>
        <w:t> </w:t>
      </w:r>
      <w:r>
        <w:rPr/>
        <w:t>power,</w:t>
      </w:r>
      <w:r>
        <w:rPr>
          <w:spacing w:val="-6"/>
        </w:rPr>
        <w:t> </w:t>
      </w:r>
      <w:r>
        <w:rPr/>
        <w:t>and</w:t>
      </w:r>
      <w:r>
        <w:rPr>
          <w:spacing w:val="-6"/>
        </w:rPr>
        <w:t> </w:t>
      </w:r>
      <w:r>
        <w:rPr/>
        <w:t>patriarchy,</w:t>
      </w:r>
      <w:r>
        <w:rPr>
          <w:spacing w:val="-3"/>
        </w:rPr>
        <w:t> </w:t>
      </w:r>
      <w:r>
        <w:rPr/>
        <w:t>dynamics</w:t>
      </w:r>
      <w:r>
        <w:rPr>
          <w:spacing w:val="-8"/>
        </w:rPr>
        <w:t> </w:t>
      </w:r>
      <w:r>
        <w:rPr/>
        <w:t>gender</w:t>
      </w:r>
      <w:r>
        <w:rPr>
          <w:spacing w:val="-6"/>
        </w:rPr>
        <w:t> </w:t>
      </w:r>
      <w:r>
        <w:rPr/>
        <w:t>and equality</w:t>
      </w:r>
      <w:r>
        <w:rPr>
          <w:spacing w:val="40"/>
        </w:rPr>
        <w:t> </w:t>
      </w:r>
      <w:r>
        <w:rPr/>
        <w:t>in</w:t>
      </w:r>
      <w:r>
        <w:rPr>
          <w:spacing w:val="40"/>
        </w:rPr>
        <w:t> </w:t>
      </w:r>
      <w:r>
        <w:rPr/>
        <w:t>contemporary</w:t>
      </w:r>
      <w:r>
        <w:rPr>
          <w:spacing w:val="40"/>
        </w:rPr>
        <w:t> </w:t>
      </w:r>
      <w:r>
        <w:rPr/>
        <w:t>society.</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8928">
                <wp:simplePos x="0" y="0"/>
                <wp:positionH relativeFrom="page">
                  <wp:posOffset>2065020</wp:posOffset>
                </wp:positionH>
                <wp:positionV relativeFrom="paragraph">
                  <wp:posOffset>162604</wp:posOffset>
                </wp:positionV>
                <wp:extent cx="3657600" cy="12700"/>
                <wp:effectExtent l="0" t="0" r="0" b="0"/>
                <wp:wrapTopAndBottom/>
                <wp:docPr id="756" name="Graphic 756"/>
                <wp:cNvGraphicFramePr>
                  <a:graphicFrameLocks/>
                </wp:cNvGraphicFramePr>
                <a:graphic>
                  <a:graphicData uri="http://schemas.microsoft.com/office/word/2010/wordprocessingShape">
                    <wps:wsp>
                      <wps:cNvPr id="756" name="Graphic 75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47552;mso-wrap-distance-left:0;mso-wrap-distance-right:0" id="docshape748" filled="true" fillcolor="#000000" stroked="false">
                <v:fill type="solid"/>
                <w10:wrap type="topAndBottom"/>
              </v:rect>
            </w:pict>
          </mc:Fallback>
        </mc:AlternateContent>
      </w:r>
      <w:r>
        <w:rPr>
          <w:rFonts w:ascii="Verdana"/>
          <w:sz w:val="18"/>
        </w:rPr>
        <w:t>A</w:t>
      </w:r>
      <w:r>
        <w:rPr>
          <w:rFonts w:ascii="Verdana"/>
          <w:spacing w:val="3"/>
          <w:sz w:val="18"/>
        </w:rPr>
        <w:t> </w:t>
      </w:r>
      <w:r>
        <w:rPr>
          <w:rFonts w:ascii="Verdana"/>
          <w:sz w:val="18"/>
        </w:rPr>
        <w:t>Critical</w:t>
      </w:r>
      <w:r>
        <w:rPr>
          <w:rFonts w:ascii="Verdana"/>
          <w:spacing w:val="10"/>
          <w:sz w:val="18"/>
        </w:rPr>
        <w:t> </w:t>
      </w:r>
      <w:r>
        <w:rPr>
          <w:rFonts w:ascii="Verdana"/>
          <w:sz w:val="18"/>
        </w:rPr>
        <w:t>Study</w:t>
      </w:r>
      <w:r>
        <w:rPr>
          <w:rFonts w:ascii="Verdana"/>
          <w:spacing w:val="13"/>
          <w:sz w:val="18"/>
        </w:rPr>
        <w:t> </w:t>
      </w:r>
      <w:r>
        <w:rPr>
          <w:rFonts w:ascii="Verdana"/>
          <w:sz w:val="18"/>
        </w:rPr>
        <w:t>of</w:t>
      </w:r>
      <w:r>
        <w:rPr>
          <w:rFonts w:ascii="Verdana"/>
          <w:spacing w:val="13"/>
          <w:sz w:val="18"/>
        </w:rPr>
        <w:t> </w:t>
      </w:r>
      <w:r>
        <w:rPr>
          <w:rFonts w:ascii="Verdana"/>
          <w:sz w:val="18"/>
        </w:rPr>
        <w:t>the</w:t>
      </w:r>
      <w:r>
        <w:rPr>
          <w:rFonts w:ascii="Verdana"/>
          <w:spacing w:val="12"/>
          <w:sz w:val="18"/>
        </w:rPr>
        <w:t> </w:t>
      </w:r>
      <w:r>
        <w:rPr>
          <w:rFonts w:ascii="Verdana"/>
          <w:sz w:val="18"/>
        </w:rPr>
        <w:t>Power</w:t>
      </w:r>
      <w:r>
        <w:rPr>
          <w:rFonts w:ascii="Verdana"/>
          <w:spacing w:val="13"/>
          <w:sz w:val="18"/>
        </w:rPr>
        <w:t> </w:t>
      </w:r>
      <w:r>
        <w:rPr>
          <w:rFonts w:ascii="Verdana"/>
          <w:sz w:val="18"/>
        </w:rPr>
        <w:t>Politics</w:t>
      </w:r>
      <w:r>
        <w:rPr>
          <w:rFonts w:ascii="Verdana"/>
          <w:spacing w:val="11"/>
          <w:sz w:val="18"/>
        </w:rPr>
        <w:t> </w:t>
      </w:r>
      <w:r>
        <w:rPr>
          <w:rFonts w:ascii="Verdana"/>
          <w:sz w:val="18"/>
        </w:rPr>
        <w:t>and</w:t>
      </w:r>
      <w:r>
        <w:rPr>
          <w:rFonts w:ascii="Verdana"/>
          <w:spacing w:val="10"/>
          <w:sz w:val="18"/>
        </w:rPr>
        <w:t> </w:t>
      </w:r>
      <w:r>
        <w:rPr>
          <w:rFonts w:ascii="Verdana"/>
          <w:spacing w:val="-2"/>
          <w:sz w:val="18"/>
        </w:rPr>
        <w:t>Gender...</w:t>
      </w:r>
      <w:r>
        <w:rPr>
          <w:sz w:val="18"/>
        </w:rPr>
        <w:tab/>
      </w:r>
      <w:r>
        <w:rPr>
          <w:rFonts w:ascii="Verdana"/>
          <w:spacing w:val="-5"/>
          <w:sz w:val="18"/>
        </w:rPr>
        <w:t>381</w:t>
      </w:r>
    </w:p>
    <w:p>
      <w:pPr>
        <w:pStyle w:val="Heading5"/>
        <w:spacing w:before="184"/>
      </w:pPr>
      <w:r>
        <w:rPr>
          <w:w w:val="105"/>
        </w:rPr>
        <w:t>Present-day</w:t>
      </w:r>
      <w:r>
        <w:rPr>
          <w:spacing w:val="38"/>
          <w:w w:val="105"/>
        </w:rPr>
        <w:t>  </w:t>
      </w:r>
      <w:r>
        <w:rPr>
          <w:w w:val="105"/>
        </w:rPr>
        <w:t>significance</w:t>
      </w:r>
      <w:r>
        <w:rPr>
          <w:spacing w:val="41"/>
          <w:w w:val="105"/>
        </w:rPr>
        <w:t>  </w:t>
      </w:r>
      <w:r>
        <w:rPr>
          <w:w w:val="105"/>
        </w:rPr>
        <w:t>and</w:t>
      </w:r>
      <w:r>
        <w:rPr>
          <w:spacing w:val="40"/>
          <w:w w:val="105"/>
        </w:rPr>
        <w:t>  </w:t>
      </w:r>
      <w:r>
        <w:rPr>
          <w:spacing w:val="-2"/>
          <w:w w:val="105"/>
        </w:rPr>
        <w:t>implications</w:t>
      </w:r>
    </w:p>
    <w:p>
      <w:pPr>
        <w:pStyle w:val="BodyText"/>
        <w:spacing w:line="254" w:lineRule="auto" w:before="74"/>
        <w:ind w:right="1436" w:firstLine="432"/>
        <w:jc w:val="both"/>
      </w:pPr>
      <w:r>
        <w:rPr/>
        <w:t>The relevance of gender dynamics in Shakespearean tragedies remains highly relevant today because they function as mirrors to the </w:t>
      </w:r>
      <w:r>
        <w:rPr>
          <w:spacing w:val="-2"/>
        </w:rPr>
        <w:t>human</w:t>
      </w:r>
      <w:r>
        <w:rPr>
          <w:spacing w:val="-4"/>
        </w:rPr>
        <w:t> </w:t>
      </w:r>
      <w:r>
        <w:rPr>
          <w:spacing w:val="-2"/>
        </w:rPr>
        <w:t>condition, exploring</w:t>
      </w:r>
      <w:r>
        <w:rPr>
          <w:spacing w:val="-4"/>
        </w:rPr>
        <w:t> </w:t>
      </w:r>
      <w:r>
        <w:rPr>
          <w:spacing w:val="-2"/>
        </w:rPr>
        <w:t>universal flaws, intense emotions and ethical </w:t>
      </w:r>
      <w:r>
        <w:rPr/>
        <w:t>dilemmas that transcend the 17</w:t>
      </w:r>
      <w:r>
        <w:rPr>
          <w:vertAlign w:val="superscript"/>
        </w:rPr>
        <w:t>th</w:t>
      </w:r>
      <w:r>
        <w:rPr>
          <w:vertAlign w:val="baseline"/>
        </w:rPr>
        <w:t> century context their implications for contemporary</w:t>
      </w:r>
      <w:r>
        <w:rPr>
          <w:spacing w:val="-13"/>
          <w:vertAlign w:val="baseline"/>
        </w:rPr>
        <w:t> </w:t>
      </w:r>
      <w:r>
        <w:rPr>
          <w:vertAlign w:val="baseline"/>
        </w:rPr>
        <w:t>society.</w:t>
      </w:r>
      <w:r>
        <w:rPr>
          <w:spacing w:val="-12"/>
          <w:vertAlign w:val="baseline"/>
        </w:rPr>
        <w:t> </w:t>
      </w:r>
      <w:r>
        <w:rPr>
          <w:vertAlign w:val="baseline"/>
        </w:rPr>
        <w:t>The</w:t>
      </w:r>
      <w:r>
        <w:rPr>
          <w:spacing w:val="-13"/>
          <w:vertAlign w:val="baseline"/>
        </w:rPr>
        <w:t> </w:t>
      </w:r>
      <w:r>
        <w:rPr>
          <w:vertAlign w:val="baseline"/>
        </w:rPr>
        <w:t>exploration</w:t>
      </w:r>
      <w:r>
        <w:rPr>
          <w:spacing w:val="-12"/>
          <w:vertAlign w:val="baseline"/>
        </w:rPr>
        <w:t> </w:t>
      </w:r>
      <w:r>
        <w:rPr>
          <w:vertAlign w:val="baseline"/>
        </w:rPr>
        <w:t>of</w:t>
      </w:r>
      <w:r>
        <w:rPr>
          <w:spacing w:val="-13"/>
          <w:vertAlign w:val="baseline"/>
        </w:rPr>
        <w:t> </w:t>
      </w:r>
      <w:r>
        <w:rPr>
          <w:vertAlign w:val="baseline"/>
        </w:rPr>
        <w:t>gender</w:t>
      </w:r>
      <w:r>
        <w:rPr>
          <w:spacing w:val="-12"/>
          <w:vertAlign w:val="baseline"/>
        </w:rPr>
        <w:t> </w:t>
      </w:r>
      <w:r>
        <w:rPr>
          <w:vertAlign w:val="baseline"/>
        </w:rPr>
        <w:t>in</w:t>
      </w:r>
      <w:r>
        <w:rPr>
          <w:spacing w:val="-13"/>
          <w:vertAlign w:val="baseline"/>
        </w:rPr>
        <w:t> </w:t>
      </w:r>
      <w:r>
        <w:rPr>
          <w:vertAlign w:val="baseline"/>
        </w:rPr>
        <w:t>these</w:t>
      </w:r>
      <w:r>
        <w:rPr>
          <w:spacing w:val="-12"/>
          <w:vertAlign w:val="baseline"/>
        </w:rPr>
        <w:t> </w:t>
      </w:r>
      <w:r>
        <w:rPr>
          <w:vertAlign w:val="baseline"/>
        </w:rPr>
        <w:t>plays</w:t>
      </w:r>
      <w:r>
        <w:rPr>
          <w:spacing w:val="-13"/>
          <w:vertAlign w:val="baseline"/>
        </w:rPr>
        <w:t> </w:t>
      </w:r>
      <w:r>
        <w:rPr>
          <w:vertAlign w:val="baseline"/>
        </w:rPr>
        <w:t>resonates with ongoing debates and struggles for gender equality, it emphasizes the importance of seriously engaging with gender dynamics in Shakespearean tragedies as ways to challenge and modify existing power</w:t>
      </w:r>
      <w:r>
        <w:rPr>
          <w:spacing w:val="-6"/>
          <w:vertAlign w:val="baseline"/>
        </w:rPr>
        <w:t> </w:t>
      </w:r>
      <w:r>
        <w:rPr>
          <w:vertAlign w:val="baseline"/>
        </w:rPr>
        <w:t>structures.</w:t>
      </w:r>
      <w:r>
        <w:rPr>
          <w:spacing w:val="-6"/>
          <w:vertAlign w:val="baseline"/>
        </w:rPr>
        <w:t> </w:t>
      </w:r>
      <w:r>
        <w:rPr>
          <w:vertAlign w:val="baseline"/>
        </w:rPr>
        <w:t>The</w:t>
      </w:r>
      <w:r>
        <w:rPr>
          <w:spacing w:val="-7"/>
          <w:vertAlign w:val="baseline"/>
        </w:rPr>
        <w:t> </w:t>
      </w:r>
      <w:r>
        <w:rPr>
          <w:vertAlign w:val="baseline"/>
        </w:rPr>
        <w:t>Elizabethan</w:t>
      </w:r>
      <w:r>
        <w:rPr>
          <w:spacing w:val="-8"/>
          <w:vertAlign w:val="baseline"/>
        </w:rPr>
        <w:t> </w:t>
      </w:r>
      <w:r>
        <w:rPr>
          <w:vertAlign w:val="baseline"/>
        </w:rPr>
        <w:t>period</w:t>
      </w:r>
      <w:r>
        <w:rPr>
          <w:spacing w:val="-8"/>
          <w:vertAlign w:val="baseline"/>
        </w:rPr>
        <w:t> </w:t>
      </w:r>
      <w:r>
        <w:rPr>
          <w:vertAlign w:val="baseline"/>
        </w:rPr>
        <w:t>being</w:t>
      </w:r>
      <w:r>
        <w:rPr>
          <w:spacing w:val="-8"/>
          <w:vertAlign w:val="baseline"/>
        </w:rPr>
        <w:t> </w:t>
      </w:r>
      <w:r>
        <w:rPr>
          <w:vertAlign w:val="baseline"/>
        </w:rPr>
        <w:t>vastly</w:t>
      </w:r>
      <w:r>
        <w:rPr>
          <w:spacing w:val="-9"/>
          <w:vertAlign w:val="baseline"/>
        </w:rPr>
        <w:t> </w:t>
      </w:r>
      <w:r>
        <w:rPr>
          <w:vertAlign w:val="baseline"/>
        </w:rPr>
        <w:t>different</w:t>
      </w:r>
      <w:r>
        <w:rPr>
          <w:spacing w:val="-6"/>
          <w:vertAlign w:val="baseline"/>
        </w:rPr>
        <w:t> </w:t>
      </w:r>
      <w:r>
        <w:rPr>
          <w:vertAlign w:val="baseline"/>
        </w:rPr>
        <w:t>from</w:t>
      </w:r>
      <w:r>
        <w:rPr>
          <w:spacing w:val="-10"/>
          <w:vertAlign w:val="baseline"/>
        </w:rPr>
        <w:t> </w:t>
      </w:r>
      <w:r>
        <w:rPr>
          <w:vertAlign w:val="baseline"/>
        </w:rPr>
        <w:t>the present, the gender dynamics depicted in Shakespeare’s tragedies continue to hold up-to-date relevance. The struggles faced by the</w:t>
      </w:r>
      <w:r>
        <w:rPr>
          <w:spacing w:val="40"/>
          <w:vertAlign w:val="baseline"/>
        </w:rPr>
        <w:t> </w:t>
      </w:r>
      <w:r>
        <w:rPr>
          <w:vertAlign w:val="baseline"/>
        </w:rPr>
        <w:t>female characters, the imbalances of</w:t>
      </w:r>
      <w:r>
        <w:rPr>
          <w:spacing w:val="-2"/>
          <w:vertAlign w:val="baseline"/>
        </w:rPr>
        <w:t> </w:t>
      </w:r>
      <w:r>
        <w:rPr>
          <w:vertAlign w:val="baseline"/>
        </w:rPr>
        <w:t>power, and the societal beliefs put upon them echo the challenges still experienced by women today. By examining these dynamics, able to uncover universal themes and shed light</w:t>
      </w:r>
      <w:r>
        <w:rPr>
          <w:spacing w:val="40"/>
          <w:vertAlign w:val="baseline"/>
        </w:rPr>
        <w:t> </w:t>
      </w:r>
      <w:r>
        <w:rPr>
          <w:vertAlign w:val="baseline"/>
        </w:rPr>
        <w:t>on</w:t>
      </w:r>
      <w:r>
        <w:rPr>
          <w:spacing w:val="40"/>
          <w:vertAlign w:val="baseline"/>
        </w:rPr>
        <w:t> </w:t>
      </w:r>
      <w:r>
        <w:rPr>
          <w:vertAlign w:val="baseline"/>
        </w:rPr>
        <w:t>constant</w:t>
      </w:r>
      <w:r>
        <w:rPr>
          <w:spacing w:val="40"/>
          <w:vertAlign w:val="baseline"/>
        </w:rPr>
        <w:t> </w:t>
      </w:r>
      <w:r>
        <w:rPr>
          <w:vertAlign w:val="baseline"/>
        </w:rPr>
        <w:t>gender</w:t>
      </w:r>
      <w:r>
        <w:rPr>
          <w:spacing w:val="40"/>
          <w:vertAlign w:val="baseline"/>
        </w:rPr>
        <w:t> </w:t>
      </w:r>
      <w:r>
        <w:rPr>
          <w:vertAlign w:val="baseline"/>
        </w:rPr>
        <w:t>inequalities</w:t>
      </w:r>
      <w:r>
        <w:rPr>
          <w:spacing w:val="40"/>
          <w:vertAlign w:val="baseline"/>
        </w:rPr>
        <w:t> </w:t>
      </w:r>
      <w:r>
        <w:rPr>
          <w:vertAlign w:val="baseline"/>
        </w:rPr>
        <w:t>at</w:t>
      </w:r>
      <w:r>
        <w:rPr>
          <w:spacing w:val="40"/>
          <w:vertAlign w:val="baseline"/>
        </w:rPr>
        <w:t> </w:t>
      </w:r>
      <w:r>
        <w:rPr>
          <w:vertAlign w:val="baseline"/>
        </w:rPr>
        <w:t>present</w:t>
      </w:r>
      <w:r>
        <w:rPr>
          <w:spacing w:val="40"/>
          <w:vertAlign w:val="baseline"/>
        </w:rPr>
        <w:t> </w:t>
      </w:r>
      <w:r>
        <w:rPr>
          <w:vertAlign w:val="baseline"/>
        </w:rPr>
        <w:t>day</w:t>
      </w:r>
      <w:r>
        <w:rPr>
          <w:spacing w:val="40"/>
          <w:vertAlign w:val="baseline"/>
        </w:rPr>
        <w:t> </w:t>
      </w:r>
      <w:r>
        <w:rPr>
          <w:vertAlign w:val="baseline"/>
        </w:rPr>
        <w:t>time.</w:t>
      </w:r>
    </w:p>
    <w:p>
      <w:pPr>
        <w:pStyle w:val="BodyText"/>
        <w:spacing w:line="254" w:lineRule="auto" w:before="61"/>
        <w:ind w:right="1437" w:firstLine="432"/>
        <w:jc w:val="both"/>
      </w:pPr>
      <w:r>
        <w:rPr/>
        <w:t>Shakespeare’s portrayal of complex and distinguished female characters suggests the constraints and limitations placed upon women, inviting us to question and challenge societal norms and expectations. Characters such as Lady Macbeth, Ophelia, and Desdemona attacked</w:t>
      </w:r>
      <w:r>
        <w:rPr>
          <w:spacing w:val="40"/>
        </w:rPr>
        <w:t> </w:t>
      </w:r>
      <w:r>
        <w:rPr/>
        <w:t>on traditional gender roles, highlighting the potential for resistance within oppressive systems. Their stories provide as signals of the ongoing struggle for gender equality and the need to challenge deeply rooted gender stereotypes. Furthermore, the power dynamics between male</w:t>
      </w:r>
      <w:r>
        <w:rPr>
          <w:spacing w:val="-1"/>
        </w:rPr>
        <w:t> </w:t>
      </w:r>
      <w:r>
        <w:rPr/>
        <w:t>and female</w:t>
      </w:r>
      <w:r>
        <w:rPr>
          <w:spacing w:val="-1"/>
        </w:rPr>
        <w:t> </w:t>
      </w:r>
      <w:r>
        <w:rPr/>
        <w:t>characters</w:t>
      </w:r>
      <w:r>
        <w:rPr>
          <w:spacing w:val="-3"/>
        </w:rPr>
        <w:t> </w:t>
      </w:r>
      <w:r>
        <w:rPr/>
        <w:t>in</w:t>
      </w:r>
      <w:r>
        <w:rPr>
          <w:spacing w:val="-3"/>
        </w:rPr>
        <w:t> </w:t>
      </w:r>
      <w:r>
        <w:rPr/>
        <w:t>Shakespeare’s</w:t>
      </w:r>
      <w:r>
        <w:rPr>
          <w:spacing w:val="-3"/>
        </w:rPr>
        <w:t> </w:t>
      </w:r>
      <w:r>
        <w:rPr/>
        <w:t>tragedies</w:t>
      </w:r>
      <w:r>
        <w:rPr>
          <w:spacing w:val="-3"/>
        </w:rPr>
        <w:t> </w:t>
      </w:r>
      <w:r>
        <w:rPr/>
        <w:t>expose</w:t>
      </w:r>
      <w:r>
        <w:rPr>
          <w:spacing w:val="-1"/>
        </w:rPr>
        <w:t> </w:t>
      </w:r>
      <w:r>
        <w:rPr/>
        <w:t>the</w:t>
      </w:r>
      <w:r>
        <w:rPr>
          <w:spacing w:val="-2"/>
        </w:rPr>
        <w:t> </w:t>
      </w:r>
      <w:r>
        <w:rPr/>
        <w:t>harsh effects</w:t>
      </w:r>
      <w:r>
        <w:rPr>
          <w:spacing w:val="-1"/>
        </w:rPr>
        <w:t> </w:t>
      </w:r>
      <w:r>
        <w:rPr/>
        <w:t>and impact of</w:t>
      </w:r>
      <w:r>
        <w:rPr>
          <w:spacing w:val="-1"/>
        </w:rPr>
        <w:t> </w:t>
      </w:r>
      <w:r>
        <w:rPr/>
        <w:t>patriarchal systems on</w:t>
      </w:r>
      <w:r>
        <w:rPr>
          <w:spacing w:val="-1"/>
        </w:rPr>
        <w:t> </w:t>
      </w:r>
      <w:r>
        <w:rPr/>
        <w:t>both men</w:t>
      </w:r>
      <w:r>
        <w:rPr>
          <w:spacing w:val="-1"/>
        </w:rPr>
        <w:t> </w:t>
      </w:r>
      <w:r>
        <w:rPr/>
        <w:t>and women. The control, violence, and abuse depicted in these plays emphasize the earnest need to address and demolish such harmful behaviors and</w:t>
      </w:r>
      <w:r>
        <w:rPr>
          <w:spacing w:val="40"/>
        </w:rPr>
        <w:t> </w:t>
      </w:r>
      <w:r>
        <w:rPr/>
        <w:t>power</w:t>
      </w:r>
      <w:r>
        <w:rPr>
          <w:spacing w:val="-3"/>
        </w:rPr>
        <w:t> </w:t>
      </w:r>
      <w:r>
        <w:rPr/>
        <w:t>structures</w:t>
      </w:r>
      <w:r>
        <w:rPr>
          <w:spacing w:val="-8"/>
        </w:rPr>
        <w:t> </w:t>
      </w:r>
      <w:r>
        <w:rPr/>
        <w:t>in</w:t>
      </w:r>
      <w:r>
        <w:rPr>
          <w:spacing w:val="-5"/>
        </w:rPr>
        <w:t> </w:t>
      </w:r>
      <w:r>
        <w:rPr/>
        <w:t>contemporary</w:t>
      </w:r>
      <w:r>
        <w:rPr>
          <w:spacing w:val="-10"/>
        </w:rPr>
        <w:t> </w:t>
      </w:r>
      <w:r>
        <w:rPr/>
        <w:t>society.</w:t>
      </w:r>
      <w:r>
        <w:rPr>
          <w:spacing w:val="-3"/>
        </w:rPr>
        <w:t> </w:t>
      </w:r>
      <w:r>
        <w:rPr/>
        <w:t>By</w:t>
      </w:r>
      <w:r>
        <w:rPr>
          <w:spacing w:val="-6"/>
        </w:rPr>
        <w:t> </w:t>
      </w:r>
      <w:r>
        <w:rPr/>
        <w:t>effectively</w:t>
      </w:r>
      <w:r>
        <w:rPr>
          <w:spacing w:val="-10"/>
        </w:rPr>
        <w:t> </w:t>
      </w:r>
      <w:r>
        <w:rPr/>
        <w:t>involving</w:t>
      </w:r>
      <w:r>
        <w:rPr>
          <w:spacing w:val="-6"/>
        </w:rPr>
        <w:t> </w:t>
      </w:r>
      <w:r>
        <w:rPr/>
        <w:t>with these power dynamics, and one can work on creating more justifiable and</w:t>
      </w:r>
      <w:r>
        <w:rPr>
          <w:spacing w:val="-7"/>
        </w:rPr>
        <w:t> </w:t>
      </w:r>
      <w:r>
        <w:rPr/>
        <w:t>comprehensive</w:t>
      </w:r>
      <w:r>
        <w:rPr>
          <w:spacing w:val="-5"/>
        </w:rPr>
        <w:t> </w:t>
      </w:r>
      <w:r>
        <w:rPr/>
        <w:t>relationships</w:t>
      </w:r>
      <w:r>
        <w:rPr>
          <w:spacing w:val="-9"/>
        </w:rPr>
        <w:t> </w:t>
      </w:r>
      <w:r>
        <w:rPr/>
        <w:t>and</w:t>
      </w:r>
      <w:r>
        <w:rPr>
          <w:spacing w:val="-5"/>
        </w:rPr>
        <w:t> </w:t>
      </w:r>
      <w:r>
        <w:rPr/>
        <w:t>institutions.</w:t>
      </w:r>
      <w:r>
        <w:rPr>
          <w:spacing w:val="-5"/>
        </w:rPr>
        <w:t> </w:t>
      </w:r>
      <w:r>
        <w:rPr/>
        <w:t>“Culture</w:t>
      </w:r>
      <w:r>
        <w:rPr>
          <w:spacing w:val="-8"/>
        </w:rPr>
        <w:t> </w:t>
      </w:r>
      <w:r>
        <w:rPr/>
        <w:t>is</w:t>
      </w:r>
      <w:r>
        <w:rPr>
          <w:spacing w:val="-5"/>
        </w:rPr>
        <w:t> </w:t>
      </w:r>
      <w:r>
        <w:rPr/>
        <w:t>not</w:t>
      </w:r>
      <w:r>
        <w:rPr>
          <w:spacing w:val="-9"/>
        </w:rPr>
        <w:t> </w:t>
      </w:r>
      <w:r>
        <w:rPr/>
        <w:t>simply a reflection of the economic and political system, but nor can it be independent of it.” (Peter Barry, </w:t>
      </w:r>
      <w:r>
        <w:rPr>
          <w:i/>
        </w:rPr>
        <w:t>Beginning Theory</w:t>
      </w:r>
      <w:r>
        <w:rPr/>
        <w:t>) The unwavering relevance of gender dynamics in Shakespearean tragedies spread out beyond the range of literature and theater. These plays implement as a channel for discussions and reflections on gender inequality, consent, patriarchy, and the intersections of power and identity. They encourage to encounter biases, challenge social norms, and strive for a more just and</w:t>
      </w:r>
      <w:r>
        <w:rPr>
          <w:spacing w:val="40"/>
        </w:rPr>
        <w:t> </w:t>
      </w:r>
      <w:r>
        <w:rPr/>
        <w:t>egalitarian</w:t>
      </w:r>
      <w:r>
        <w:rPr>
          <w:spacing w:val="40"/>
        </w:rPr>
        <w:t> </w:t>
      </w:r>
      <w:r>
        <w:rPr/>
        <w:t>society.</w:t>
      </w:r>
    </w:p>
    <w:p>
      <w:pPr>
        <w:pStyle w:val="BodyText"/>
        <w:spacing w:after="0" w:line="25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9440">
                <wp:simplePos x="0" y="0"/>
                <wp:positionH relativeFrom="page">
                  <wp:posOffset>2057400</wp:posOffset>
                </wp:positionH>
                <wp:positionV relativeFrom="paragraph">
                  <wp:posOffset>162604</wp:posOffset>
                </wp:positionV>
                <wp:extent cx="3657600" cy="12700"/>
                <wp:effectExtent l="0" t="0" r="0" b="0"/>
                <wp:wrapTopAndBottom/>
                <wp:docPr id="757" name="Graphic 757"/>
                <wp:cNvGraphicFramePr>
                  <a:graphicFrameLocks/>
                </wp:cNvGraphicFramePr>
                <a:graphic>
                  <a:graphicData uri="http://schemas.microsoft.com/office/word/2010/wordprocessingShape">
                    <wps:wsp>
                      <wps:cNvPr id="757" name="Graphic 75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47040;mso-wrap-distance-left:0;mso-wrap-distance-right:0" id="docshape749" filled="true" fillcolor="#000000" stroked="false">
                <v:fill type="solid"/>
                <w10:wrap type="topAndBottom"/>
              </v:rect>
            </w:pict>
          </mc:Fallback>
        </mc:AlternateContent>
      </w:r>
      <w:r>
        <w:rPr>
          <w:rFonts w:ascii="Verdana"/>
          <w:spacing w:val="-5"/>
          <w:sz w:val="18"/>
        </w:rPr>
        <w:t>382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firstLine="432"/>
        <w:jc w:val="both"/>
      </w:pPr>
      <w:r>
        <w:rPr/>
        <w:t>By illustrating connections between the past and the present, it emphasizes the importance of gender dynamics in Shakespearean tragedies. Through these timeless works, can continue to clarify the </w:t>
      </w:r>
      <w:r>
        <w:rPr>
          <w:spacing w:val="-2"/>
        </w:rPr>
        <w:t>complexities</w:t>
      </w:r>
      <w:r>
        <w:rPr>
          <w:spacing w:val="-7"/>
        </w:rPr>
        <w:t> </w:t>
      </w:r>
      <w:r>
        <w:rPr>
          <w:spacing w:val="-2"/>
        </w:rPr>
        <w:t>of</w:t>
      </w:r>
      <w:r>
        <w:rPr>
          <w:spacing w:val="-7"/>
        </w:rPr>
        <w:t> </w:t>
      </w:r>
      <w:r>
        <w:rPr>
          <w:spacing w:val="-2"/>
        </w:rPr>
        <w:t>gender</w:t>
      </w:r>
      <w:r>
        <w:rPr>
          <w:spacing w:val="-5"/>
        </w:rPr>
        <w:t> </w:t>
      </w:r>
      <w:r>
        <w:rPr>
          <w:spacing w:val="-2"/>
        </w:rPr>
        <w:t>and power,</w:t>
      </w:r>
      <w:r>
        <w:rPr>
          <w:spacing w:val="-5"/>
        </w:rPr>
        <w:t> </w:t>
      </w:r>
      <w:r>
        <w:rPr>
          <w:spacing w:val="-2"/>
        </w:rPr>
        <w:t>fostering</w:t>
      </w:r>
      <w:r>
        <w:rPr>
          <w:spacing w:val="-10"/>
        </w:rPr>
        <w:t> </w:t>
      </w:r>
      <w:r>
        <w:rPr>
          <w:spacing w:val="-2"/>
        </w:rPr>
        <w:t>dialogue,</w:t>
      </w:r>
      <w:r>
        <w:rPr>
          <w:spacing w:val="-5"/>
        </w:rPr>
        <w:t> </w:t>
      </w:r>
      <w:r>
        <w:rPr>
          <w:spacing w:val="-2"/>
        </w:rPr>
        <w:t>and</w:t>
      </w:r>
      <w:r>
        <w:rPr>
          <w:spacing w:val="-5"/>
        </w:rPr>
        <w:t> </w:t>
      </w:r>
      <w:r>
        <w:rPr>
          <w:spacing w:val="-2"/>
        </w:rPr>
        <w:t>understanding. </w:t>
      </w:r>
      <w:r>
        <w:rPr/>
        <w:t>The exploration of gender, power and patriarchy in Shakespeare’s tragedies</w:t>
      </w:r>
      <w:r>
        <w:rPr>
          <w:spacing w:val="-6"/>
        </w:rPr>
        <w:t> </w:t>
      </w:r>
      <w:r>
        <w:rPr/>
        <w:t>provides</w:t>
      </w:r>
      <w:r>
        <w:rPr>
          <w:spacing w:val="-6"/>
        </w:rPr>
        <w:t> </w:t>
      </w:r>
      <w:r>
        <w:rPr/>
        <w:t>a</w:t>
      </w:r>
      <w:r>
        <w:rPr>
          <w:spacing w:val="-4"/>
        </w:rPr>
        <w:t> </w:t>
      </w:r>
      <w:r>
        <w:rPr/>
        <w:t>framework</w:t>
      </w:r>
      <w:r>
        <w:rPr>
          <w:spacing w:val="-6"/>
        </w:rPr>
        <w:t> </w:t>
      </w:r>
      <w:r>
        <w:rPr/>
        <w:t>for</w:t>
      </w:r>
      <w:r>
        <w:rPr>
          <w:spacing w:val="-3"/>
        </w:rPr>
        <w:t> </w:t>
      </w:r>
      <w:r>
        <w:rPr/>
        <w:t>examining</w:t>
      </w:r>
      <w:r>
        <w:rPr>
          <w:spacing w:val="-6"/>
        </w:rPr>
        <w:t> </w:t>
      </w:r>
      <w:r>
        <w:rPr/>
        <w:t>and</w:t>
      </w:r>
      <w:r>
        <w:rPr>
          <w:spacing w:val="-3"/>
        </w:rPr>
        <w:t> </w:t>
      </w:r>
      <w:r>
        <w:rPr/>
        <w:t>re-examining,</w:t>
      </w:r>
      <w:r>
        <w:rPr>
          <w:spacing w:val="-5"/>
        </w:rPr>
        <w:t> </w:t>
      </w:r>
      <w:r>
        <w:rPr/>
        <w:t>power structures,</w:t>
      </w:r>
      <w:r>
        <w:rPr>
          <w:spacing w:val="40"/>
        </w:rPr>
        <w:t> </w:t>
      </w:r>
      <w:r>
        <w:rPr/>
        <w:t>paving</w:t>
      </w:r>
      <w:r>
        <w:rPr>
          <w:spacing w:val="40"/>
        </w:rPr>
        <w:t> </w:t>
      </w:r>
      <w:r>
        <w:rPr/>
        <w:t>the</w:t>
      </w:r>
      <w:r>
        <w:rPr>
          <w:spacing w:val="40"/>
        </w:rPr>
        <w:t> </w:t>
      </w:r>
      <w:r>
        <w:rPr/>
        <w:t>way</w:t>
      </w:r>
      <w:r>
        <w:rPr>
          <w:spacing w:val="38"/>
        </w:rPr>
        <w:t> </w:t>
      </w:r>
      <w:r>
        <w:rPr/>
        <w:t>for</w:t>
      </w:r>
      <w:r>
        <w:rPr>
          <w:spacing w:val="40"/>
        </w:rPr>
        <w:t> </w:t>
      </w:r>
      <w:r>
        <w:rPr/>
        <w:t>a</w:t>
      </w:r>
      <w:r>
        <w:rPr>
          <w:spacing w:val="40"/>
        </w:rPr>
        <w:t> </w:t>
      </w:r>
      <w:r>
        <w:rPr/>
        <w:t>complete</w:t>
      </w:r>
      <w:r>
        <w:rPr>
          <w:spacing w:val="40"/>
        </w:rPr>
        <w:t> </w:t>
      </w:r>
      <w:r>
        <w:rPr/>
        <w:t>and</w:t>
      </w:r>
      <w:r>
        <w:rPr>
          <w:spacing w:val="40"/>
        </w:rPr>
        <w:t> </w:t>
      </w:r>
      <w:r>
        <w:rPr/>
        <w:t>fair</w:t>
      </w:r>
      <w:r>
        <w:rPr>
          <w:spacing w:val="40"/>
        </w:rPr>
        <w:t> </w:t>
      </w:r>
      <w:r>
        <w:rPr/>
        <w:t>society.</w:t>
      </w:r>
    </w:p>
    <w:p>
      <w:pPr>
        <w:pStyle w:val="Heading3"/>
        <w:spacing w:before="159"/>
      </w:pPr>
      <w:r>
        <w:rPr>
          <w:spacing w:val="-2"/>
        </w:rPr>
        <w:t>CONCLUSION</w:t>
      </w:r>
    </w:p>
    <w:p>
      <w:pPr>
        <w:pStyle w:val="BodyText"/>
        <w:spacing w:line="249" w:lineRule="auto" w:before="76"/>
        <w:ind w:right="1437" w:firstLine="432"/>
        <w:jc w:val="both"/>
      </w:pPr>
      <w:r>
        <w:rPr/>
        <w:t>Shakespearean tragedies explored the complex relationships between</w:t>
      </w:r>
      <w:r>
        <w:rPr>
          <w:spacing w:val="-7"/>
        </w:rPr>
        <w:t> </w:t>
      </w:r>
      <w:r>
        <w:rPr/>
        <w:t>characters,</w:t>
      </w:r>
      <w:r>
        <w:rPr>
          <w:spacing w:val="-6"/>
        </w:rPr>
        <w:t> </w:t>
      </w:r>
      <w:r>
        <w:rPr/>
        <w:t>examining</w:t>
      </w:r>
      <w:r>
        <w:rPr>
          <w:spacing w:val="-7"/>
        </w:rPr>
        <w:t> </w:t>
      </w:r>
      <w:r>
        <w:rPr/>
        <w:t>key</w:t>
      </w:r>
      <w:r>
        <w:rPr>
          <w:spacing w:val="-11"/>
        </w:rPr>
        <w:t> </w:t>
      </w:r>
      <w:r>
        <w:rPr/>
        <w:t>scenes</w:t>
      </w:r>
      <w:r>
        <w:rPr>
          <w:spacing w:val="-7"/>
        </w:rPr>
        <w:t> </w:t>
      </w:r>
      <w:r>
        <w:rPr/>
        <w:t>and</w:t>
      </w:r>
      <w:r>
        <w:rPr>
          <w:spacing w:val="-6"/>
        </w:rPr>
        <w:t> </w:t>
      </w:r>
      <w:r>
        <w:rPr/>
        <w:t>interactions,</w:t>
      </w:r>
      <w:r>
        <w:rPr>
          <w:spacing w:val="-6"/>
        </w:rPr>
        <w:t> </w:t>
      </w:r>
      <w:r>
        <w:rPr/>
        <w:t>revealed</w:t>
      </w:r>
      <w:r>
        <w:rPr>
          <w:spacing w:val="-6"/>
        </w:rPr>
        <w:t> </w:t>
      </w:r>
      <w:r>
        <w:rPr/>
        <w:t>the ways</w:t>
      </w:r>
      <w:r>
        <w:rPr>
          <w:spacing w:val="-5"/>
        </w:rPr>
        <w:t> </w:t>
      </w:r>
      <w:r>
        <w:rPr/>
        <w:t>in</w:t>
      </w:r>
      <w:r>
        <w:rPr>
          <w:spacing w:val="-1"/>
        </w:rPr>
        <w:t> </w:t>
      </w:r>
      <w:r>
        <w:rPr/>
        <w:t>which</w:t>
      </w:r>
      <w:r>
        <w:rPr>
          <w:spacing w:val="-5"/>
        </w:rPr>
        <w:t> </w:t>
      </w:r>
      <w:r>
        <w:rPr/>
        <w:t>power</w:t>
      </w:r>
      <w:r>
        <w:rPr>
          <w:spacing w:val="-1"/>
        </w:rPr>
        <w:t> </w:t>
      </w:r>
      <w:r>
        <w:rPr/>
        <w:t>is</w:t>
      </w:r>
      <w:r>
        <w:rPr>
          <w:spacing w:val="-3"/>
        </w:rPr>
        <w:t> </w:t>
      </w:r>
      <w:r>
        <w:rPr/>
        <w:t>distributed,</w:t>
      </w:r>
      <w:r>
        <w:rPr>
          <w:spacing w:val="-1"/>
        </w:rPr>
        <w:t> </w:t>
      </w:r>
      <w:r>
        <w:rPr/>
        <w:t>negotiated,</w:t>
      </w:r>
      <w:r>
        <w:rPr>
          <w:spacing w:val="-3"/>
        </w:rPr>
        <w:t> </w:t>
      </w:r>
      <w:r>
        <w:rPr/>
        <w:t>and</w:t>
      </w:r>
      <w:r>
        <w:rPr>
          <w:spacing w:val="-1"/>
        </w:rPr>
        <w:t> </w:t>
      </w:r>
      <w:r>
        <w:rPr/>
        <w:t>abused</w:t>
      </w:r>
      <w:r>
        <w:rPr>
          <w:spacing w:val="-1"/>
        </w:rPr>
        <w:t> </w:t>
      </w:r>
      <w:r>
        <w:rPr/>
        <w:t>within</w:t>
      </w:r>
      <w:r>
        <w:rPr>
          <w:spacing w:val="-3"/>
        </w:rPr>
        <w:t> </w:t>
      </w:r>
      <w:r>
        <w:rPr/>
        <w:t>these plays, threw light on the social, cultural and political forces that shape these</w:t>
      </w:r>
      <w:r>
        <w:rPr>
          <w:spacing w:val="40"/>
        </w:rPr>
        <w:t> </w:t>
      </w:r>
      <w:r>
        <w:rPr/>
        <w:t>gender</w:t>
      </w:r>
      <w:r>
        <w:rPr>
          <w:spacing w:val="40"/>
        </w:rPr>
        <w:t> </w:t>
      </w:r>
      <w:r>
        <w:rPr/>
        <w:t>dynamics</w:t>
      </w:r>
      <w:r>
        <w:rPr>
          <w:spacing w:val="40"/>
        </w:rPr>
        <w:t> </w:t>
      </w:r>
      <w:r>
        <w:rPr/>
        <w:t>and</w:t>
      </w:r>
      <w:r>
        <w:rPr>
          <w:spacing w:val="40"/>
        </w:rPr>
        <w:t> </w:t>
      </w:r>
      <w:r>
        <w:rPr/>
        <w:t>power</w:t>
      </w:r>
      <w:r>
        <w:rPr>
          <w:spacing w:val="40"/>
        </w:rPr>
        <w:t> </w:t>
      </w:r>
      <w:r>
        <w:rPr/>
        <w:t>politics.</w:t>
      </w:r>
    </w:p>
    <w:p>
      <w:pPr>
        <w:pStyle w:val="BodyText"/>
        <w:spacing w:line="249" w:lineRule="auto" w:before="61"/>
        <w:ind w:right="1437" w:firstLine="432"/>
        <w:jc w:val="both"/>
      </w:pPr>
      <w:r>
        <w:rPr/>
        <w:t>It emphasized the significance of the social, cultural, and political contexts</w:t>
      </w:r>
      <w:r>
        <w:rPr>
          <w:spacing w:val="-5"/>
        </w:rPr>
        <w:t> </w:t>
      </w:r>
      <w:r>
        <w:rPr/>
        <w:t>in</w:t>
      </w:r>
      <w:r>
        <w:rPr>
          <w:spacing w:val="-5"/>
        </w:rPr>
        <w:t> </w:t>
      </w:r>
      <w:r>
        <w:rPr/>
        <w:t>which</w:t>
      </w:r>
      <w:r>
        <w:rPr>
          <w:spacing w:val="-6"/>
        </w:rPr>
        <w:t> </w:t>
      </w:r>
      <w:r>
        <w:rPr/>
        <w:t>Shakespeare’s</w:t>
      </w:r>
      <w:r>
        <w:rPr>
          <w:spacing w:val="-5"/>
        </w:rPr>
        <w:t> </w:t>
      </w:r>
      <w:r>
        <w:rPr/>
        <w:t>plays</w:t>
      </w:r>
      <w:r>
        <w:rPr>
          <w:spacing w:val="-3"/>
        </w:rPr>
        <w:t> </w:t>
      </w:r>
      <w:r>
        <w:rPr/>
        <w:t>were</w:t>
      </w:r>
      <w:r>
        <w:rPr>
          <w:spacing w:val="-6"/>
        </w:rPr>
        <w:t> </w:t>
      </w:r>
      <w:r>
        <w:rPr/>
        <w:t>written</w:t>
      </w:r>
      <w:r>
        <w:rPr>
          <w:spacing w:val="-6"/>
        </w:rPr>
        <w:t> </w:t>
      </w:r>
      <w:r>
        <w:rPr/>
        <w:t>and</w:t>
      </w:r>
      <w:r>
        <w:rPr>
          <w:spacing w:val="-3"/>
        </w:rPr>
        <w:t> </w:t>
      </w:r>
      <w:r>
        <w:rPr/>
        <w:t>performed.</w:t>
      </w:r>
      <w:r>
        <w:rPr>
          <w:spacing w:val="-8"/>
        </w:rPr>
        <w:t> </w:t>
      </w:r>
      <w:r>
        <w:rPr/>
        <w:t>The Elizabethan patriarchal society, with rigid gender norms and limited opportunities for women, influenced the portrayal of gender dynamics in the tragedies. Through the exploration of these gender dynamics, gained insights behind Shakespeare’s representation of power politics and</w:t>
      </w:r>
      <w:r>
        <w:rPr>
          <w:spacing w:val="-1"/>
        </w:rPr>
        <w:t> </w:t>
      </w:r>
      <w:r>
        <w:rPr/>
        <w:t>gender</w:t>
      </w:r>
      <w:r>
        <w:rPr>
          <w:spacing w:val="-2"/>
        </w:rPr>
        <w:t> </w:t>
      </w:r>
      <w:r>
        <w:rPr/>
        <w:t>dynamics.</w:t>
      </w:r>
      <w:r>
        <w:rPr>
          <w:spacing w:val="-4"/>
        </w:rPr>
        <w:t> </w:t>
      </w:r>
      <w:r>
        <w:rPr/>
        <w:t>It</w:t>
      </w:r>
      <w:r>
        <w:rPr>
          <w:spacing w:val="-2"/>
        </w:rPr>
        <w:t> </w:t>
      </w:r>
      <w:r>
        <w:rPr/>
        <w:t>is</w:t>
      </w:r>
      <w:r>
        <w:rPr>
          <w:spacing w:val="-2"/>
        </w:rPr>
        <w:t> </w:t>
      </w:r>
      <w:r>
        <w:rPr/>
        <w:t>highlighted</w:t>
      </w:r>
      <w:r>
        <w:rPr>
          <w:spacing w:val="-2"/>
        </w:rPr>
        <w:t> </w:t>
      </w:r>
      <w:r>
        <w:rPr/>
        <w:t>the</w:t>
      </w:r>
      <w:r>
        <w:rPr>
          <w:spacing w:val="-2"/>
        </w:rPr>
        <w:t> </w:t>
      </w:r>
      <w:r>
        <w:rPr/>
        <w:t>enduring</w:t>
      </w:r>
      <w:r>
        <w:rPr>
          <w:spacing w:val="-6"/>
        </w:rPr>
        <w:t> </w:t>
      </w:r>
      <w:r>
        <w:rPr/>
        <w:t>relevance</w:t>
      </w:r>
      <w:r>
        <w:rPr>
          <w:spacing w:val="-2"/>
        </w:rPr>
        <w:t> </w:t>
      </w:r>
      <w:r>
        <w:rPr/>
        <w:t>of</w:t>
      </w:r>
      <w:r>
        <w:rPr>
          <w:spacing w:val="-4"/>
        </w:rPr>
        <w:t> </w:t>
      </w:r>
      <w:r>
        <w:rPr/>
        <w:t>gender dynamics in Shakespearean tragedies for contemporary society. Throughout the connections between the past and the present, recognized the parallels between the struggles faced by the female characters and the ongoing challenges for gender equality at present</w:t>
      </w:r>
      <w:r>
        <w:rPr>
          <w:spacing w:val="40"/>
        </w:rPr>
        <w:t> </w:t>
      </w:r>
      <w:r>
        <w:rPr/>
        <w:t>day time. The exploration of these dynamics provided a valuable framework for reflecting and challenging existing power structures and societal expectations. The feminist approach made the study of Shakespeare’s plays in various perspectives as designating a critical method which has four characteristics it combines an attention to historical</w:t>
      </w:r>
      <w:r>
        <w:rPr>
          <w:spacing w:val="-9"/>
        </w:rPr>
        <w:t> </w:t>
      </w:r>
      <w:r>
        <w:rPr/>
        <w:t>context,</w:t>
      </w:r>
      <w:r>
        <w:rPr>
          <w:spacing w:val="-9"/>
        </w:rPr>
        <w:t> </w:t>
      </w:r>
      <w:r>
        <w:rPr/>
        <w:t>theoretical</w:t>
      </w:r>
      <w:r>
        <w:rPr>
          <w:spacing w:val="-9"/>
        </w:rPr>
        <w:t> </w:t>
      </w:r>
      <w:r>
        <w:rPr/>
        <w:t>method,</w:t>
      </w:r>
      <w:r>
        <w:rPr>
          <w:spacing w:val="-7"/>
        </w:rPr>
        <w:t> </w:t>
      </w:r>
      <w:r>
        <w:rPr/>
        <w:t>political</w:t>
      </w:r>
      <w:r>
        <w:rPr>
          <w:spacing w:val="-8"/>
        </w:rPr>
        <w:t> </w:t>
      </w:r>
      <w:r>
        <w:rPr/>
        <w:t>commitment,</w:t>
      </w:r>
      <w:r>
        <w:rPr>
          <w:spacing w:val="-9"/>
        </w:rPr>
        <w:t> </w:t>
      </w:r>
      <w:r>
        <w:rPr/>
        <w:t>and</w:t>
      </w:r>
      <w:r>
        <w:rPr>
          <w:spacing w:val="-7"/>
        </w:rPr>
        <w:t> </w:t>
      </w:r>
      <w:r>
        <w:rPr/>
        <w:t>textual analysis. It is an essential approach to analysis of gender dynamics in Shakespearean tragedies from a feminist perspective. By centering </w:t>
      </w:r>
      <w:r>
        <w:rPr>
          <w:spacing w:val="-4"/>
        </w:rPr>
        <w:t>women’s experiences, agency, and resistance, we can challenge traditional </w:t>
      </w:r>
      <w:r>
        <w:rPr/>
        <w:t>interpretations and assumptions, paving the way for a more inclusive and equitable understanding of gender roles and relationships. The complexities</w:t>
      </w:r>
      <w:r>
        <w:rPr>
          <w:spacing w:val="-3"/>
        </w:rPr>
        <w:t> </w:t>
      </w:r>
      <w:r>
        <w:rPr/>
        <w:t>and nuances of</w:t>
      </w:r>
      <w:r>
        <w:rPr>
          <w:spacing w:val="-3"/>
        </w:rPr>
        <w:t> </w:t>
      </w:r>
      <w:r>
        <w:rPr/>
        <w:t>gender</w:t>
      </w:r>
      <w:r>
        <w:rPr>
          <w:spacing w:val="-1"/>
        </w:rPr>
        <w:t> </w:t>
      </w:r>
      <w:r>
        <w:rPr/>
        <w:t>representation</w:t>
      </w:r>
      <w:r>
        <w:rPr>
          <w:spacing w:val="-3"/>
        </w:rPr>
        <w:t> </w:t>
      </w:r>
      <w:r>
        <w:rPr/>
        <w:t>in</w:t>
      </w:r>
      <w:r>
        <w:rPr>
          <w:spacing w:val="-3"/>
        </w:rPr>
        <w:t> </w:t>
      </w:r>
      <w:r>
        <w:rPr/>
        <w:t>these play</w:t>
      </w:r>
      <w:r>
        <w:rPr>
          <w:spacing w:val="-4"/>
        </w:rPr>
        <w:t> </w:t>
      </w:r>
      <w:r>
        <w:rPr/>
        <w:t>call</w:t>
      </w:r>
      <w:r>
        <w:rPr>
          <w:spacing w:val="-1"/>
        </w:rPr>
        <w:t> </w:t>
      </w:r>
      <w:r>
        <w:rPr/>
        <w:t>for continued</w:t>
      </w:r>
      <w:r>
        <w:rPr>
          <w:spacing w:val="40"/>
        </w:rPr>
        <w:t> </w:t>
      </w:r>
      <w:r>
        <w:rPr/>
        <w:t>exploration,</w:t>
      </w:r>
      <w:r>
        <w:rPr>
          <w:spacing w:val="40"/>
        </w:rPr>
        <w:t> </w:t>
      </w:r>
      <w:r>
        <w:rPr/>
        <w:t>discussion,</w:t>
      </w:r>
      <w:r>
        <w:rPr>
          <w:spacing w:val="40"/>
        </w:rPr>
        <w:t> </w:t>
      </w:r>
      <w:r>
        <w:rPr/>
        <w:t>and</w:t>
      </w:r>
      <w:r>
        <w:rPr>
          <w:spacing w:val="40"/>
        </w:rPr>
        <w:t> </w:t>
      </w:r>
      <w:r>
        <w:rPr/>
        <w:t>critical</w:t>
      </w:r>
      <w:r>
        <w:rPr>
          <w:spacing w:val="40"/>
        </w:rPr>
        <w:t> </w:t>
      </w:r>
      <w:r>
        <w:rPr/>
        <w:t>engagement.</w:t>
      </w:r>
    </w:p>
    <w:p>
      <w:pPr>
        <w:pStyle w:val="BodyText"/>
        <w:spacing w:line="249" w:lineRule="auto" w:before="80"/>
        <w:ind w:right="1438" w:firstLine="432"/>
        <w:jc w:val="both"/>
      </w:pPr>
      <w:r>
        <w:rPr/>
        <w:t>In conclusion, the research paper tried to brought a deeper understanding</w:t>
      </w:r>
      <w:r>
        <w:rPr>
          <w:spacing w:val="10"/>
        </w:rPr>
        <w:t> </w:t>
      </w:r>
      <w:r>
        <w:rPr/>
        <w:t>of</w:t>
      </w:r>
      <w:r>
        <w:rPr>
          <w:spacing w:val="8"/>
        </w:rPr>
        <w:t> </w:t>
      </w:r>
      <w:r>
        <w:rPr/>
        <w:t>power</w:t>
      </w:r>
      <w:r>
        <w:rPr>
          <w:spacing w:val="11"/>
        </w:rPr>
        <w:t> </w:t>
      </w:r>
      <w:r>
        <w:rPr/>
        <w:t>politics</w:t>
      </w:r>
      <w:r>
        <w:rPr>
          <w:spacing w:val="8"/>
        </w:rPr>
        <w:t> </w:t>
      </w:r>
      <w:r>
        <w:rPr/>
        <w:t>and</w:t>
      </w:r>
      <w:r>
        <w:rPr>
          <w:spacing w:val="11"/>
        </w:rPr>
        <w:t> </w:t>
      </w:r>
      <w:r>
        <w:rPr/>
        <w:t>gender</w:t>
      </w:r>
      <w:r>
        <w:rPr>
          <w:spacing w:val="10"/>
        </w:rPr>
        <w:t> </w:t>
      </w:r>
      <w:r>
        <w:rPr/>
        <w:t>dynamic</w:t>
      </w:r>
      <w:r>
        <w:rPr>
          <w:spacing w:val="9"/>
        </w:rPr>
        <w:t> </w:t>
      </w:r>
      <w:r>
        <w:rPr/>
        <w:t>in</w:t>
      </w:r>
      <w:r>
        <w:rPr>
          <w:spacing w:val="9"/>
        </w:rPr>
        <w:t> </w:t>
      </w:r>
      <w:r>
        <w:rPr>
          <w:spacing w:val="-2"/>
        </w:rPr>
        <w:t>Shakespearean</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69952">
                <wp:simplePos x="0" y="0"/>
                <wp:positionH relativeFrom="page">
                  <wp:posOffset>2065020</wp:posOffset>
                </wp:positionH>
                <wp:positionV relativeFrom="paragraph">
                  <wp:posOffset>795020</wp:posOffset>
                </wp:positionV>
                <wp:extent cx="3657600" cy="12700"/>
                <wp:effectExtent l="0" t="0" r="0" b="0"/>
                <wp:wrapTopAndBottom/>
                <wp:docPr id="758" name="Graphic 758"/>
                <wp:cNvGraphicFramePr>
                  <a:graphicFrameLocks/>
                </wp:cNvGraphicFramePr>
                <a:graphic>
                  <a:graphicData uri="http://schemas.microsoft.com/office/word/2010/wordprocessingShape">
                    <wps:wsp>
                      <wps:cNvPr id="758" name="Graphic 75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46528;mso-wrap-distance-left:0;mso-wrap-distance-right:0" id="docshape750" filled="true" fillcolor="#000000" stroked="false">
                <v:fill type="solid"/>
                <w10:wrap type="topAndBottom"/>
              </v:rect>
            </w:pict>
          </mc:Fallback>
        </mc:AlternateContent>
      </w:r>
      <w:r>
        <w:rPr>
          <w:rFonts w:ascii="Verdana"/>
          <w:sz w:val="18"/>
        </w:rPr>
        <w:t>A</w:t>
      </w:r>
      <w:r>
        <w:rPr>
          <w:rFonts w:ascii="Verdana"/>
          <w:spacing w:val="3"/>
          <w:sz w:val="18"/>
        </w:rPr>
        <w:t> </w:t>
      </w:r>
      <w:r>
        <w:rPr>
          <w:rFonts w:ascii="Verdana"/>
          <w:sz w:val="18"/>
        </w:rPr>
        <w:t>Critical</w:t>
      </w:r>
      <w:r>
        <w:rPr>
          <w:rFonts w:ascii="Verdana"/>
          <w:spacing w:val="10"/>
          <w:sz w:val="18"/>
        </w:rPr>
        <w:t> </w:t>
      </w:r>
      <w:r>
        <w:rPr>
          <w:rFonts w:ascii="Verdana"/>
          <w:sz w:val="18"/>
        </w:rPr>
        <w:t>Study</w:t>
      </w:r>
      <w:r>
        <w:rPr>
          <w:rFonts w:ascii="Verdana"/>
          <w:spacing w:val="13"/>
          <w:sz w:val="18"/>
        </w:rPr>
        <w:t> </w:t>
      </w:r>
      <w:r>
        <w:rPr>
          <w:rFonts w:ascii="Verdana"/>
          <w:sz w:val="18"/>
        </w:rPr>
        <w:t>of</w:t>
      </w:r>
      <w:r>
        <w:rPr>
          <w:rFonts w:ascii="Verdana"/>
          <w:spacing w:val="13"/>
          <w:sz w:val="18"/>
        </w:rPr>
        <w:t> </w:t>
      </w:r>
      <w:r>
        <w:rPr>
          <w:rFonts w:ascii="Verdana"/>
          <w:sz w:val="18"/>
        </w:rPr>
        <w:t>the</w:t>
      </w:r>
      <w:r>
        <w:rPr>
          <w:rFonts w:ascii="Verdana"/>
          <w:spacing w:val="12"/>
          <w:sz w:val="18"/>
        </w:rPr>
        <w:t> </w:t>
      </w:r>
      <w:r>
        <w:rPr>
          <w:rFonts w:ascii="Verdana"/>
          <w:sz w:val="18"/>
        </w:rPr>
        <w:t>Power</w:t>
      </w:r>
      <w:r>
        <w:rPr>
          <w:rFonts w:ascii="Verdana"/>
          <w:spacing w:val="13"/>
          <w:sz w:val="18"/>
        </w:rPr>
        <w:t> </w:t>
      </w:r>
      <w:r>
        <w:rPr>
          <w:rFonts w:ascii="Verdana"/>
          <w:sz w:val="18"/>
        </w:rPr>
        <w:t>Politics</w:t>
      </w:r>
      <w:r>
        <w:rPr>
          <w:rFonts w:ascii="Verdana"/>
          <w:spacing w:val="11"/>
          <w:sz w:val="18"/>
        </w:rPr>
        <w:t> </w:t>
      </w:r>
      <w:r>
        <w:rPr>
          <w:rFonts w:ascii="Verdana"/>
          <w:sz w:val="18"/>
        </w:rPr>
        <w:t>and</w:t>
      </w:r>
      <w:r>
        <w:rPr>
          <w:rFonts w:ascii="Verdana"/>
          <w:spacing w:val="10"/>
          <w:sz w:val="18"/>
        </w:rPr>
        <w:t> </w:t>
      </w:r>
      <w:r>
        <w:rPr>
          <w:rFonts w:ascii="Verdana"/>
          <w:spacing w:val="-2"/>
          <w:sz w:val="18"/>
        </w:rPr>
        <w:t>Gender...</w:t>
      </w:r>
      <w:r>
        <w:rPr>
          <w:sz w:val="18"/>
        </w:rPr>
        <w:tab/>
      </w:r>
      <w:r>
        <w:rPr>
          <w:rFonts w:ascii="Verdana"/>
          <w:spacing w:val="-5"/>
          <w:sz w:val="18"/>
        </w:rPr>
        <w:t>383</w:t>
      </w:r>
    </w:p>
    <w:p>
      <w:pPr>
        <w:pStyle w:val="BodyText"/>
        <w:spacing w:line="249" w:lineRule="auto" w:before="192"/>
        <w:ind w:right="1440"/>
        <w:jc w:val="both"/>
      </w:pPr>
      <w:r>
        <w:rPr/>
        <w:t>tragedies. The complexities of gender and politics can contribute to the endless</w:t>
      </w:r>
      <w:r>
        <w:rPr>
          <w:spacing w:val="-7"/>
        </w:rPr>
        <w:t> </w:t>
      </w:r>
      <w:r>
        <w:rPr/>
        <w:t>discourse</w:t>
      </w:r>
      <w:r>
        <w:rPr>
          <w:spacing w:val="-7"/>
        </w:rPr>
        <w:t> </w:t>
      </w:r>
      <w:r>
        <w:rPr/>
        <w:t>on</w:t>
      </w:r>
      <w:r>
        <w:rPr>
          <w:spacing w:val="-7"/>
        </w:rPr>
        <w:t> </w:t>
      </w:r>
      <w:r>
        <w:rPr/>
        <w:t>gender</w:t>
      </w:r>
      <w:r>
        <w:rPr>
          <w:spacing w:val="-7"/>
        </w:rPr>
        <w:t> </w:t>
      </w:r>
      <w:r>
        <w:rPr/>
        <w:t>equality</w:t>
      </w:r>
      <w:r>
        <w:rPr>
          <w:spacing w:val="-9"/>
        </w:rPr>
        <w:t> </w:t>
      </w:r>
      <w:r>
        <w:rPr/>
        <w:t>and</w:t>
      </w:r>
      <w:r>
        <w:rPr>
          <w:spacing w:val="-4"/>
        </w:rPr>
        <w:t> </w:t>
      </w:r>
      <w:r>
        <w:rPr/>
        <w:t>work</w:t>
      </w:r>
      <w:r>
        <w:rPr>
          <w:spacing w:val="-7"/>
        </w:rPr>
        <w:t> </w:t>
      </w:r>
      <w:r>
        <w:rPr/>
        <w:t>towards</w:t>
      </w:r>
      <w:r>
        <w:rPr>
          <w:spacing w:val="-7"/>
        </w:rPr>
        <w:t> </w:t>
      </w:r>
      <w:r>
        <w:rPr/>
        <w:t>a</w:t>
      </w:r>
      <w:r>
        <w:rPr>
          <w:spacing w:val="-7"/>
        </w:rPr>
        <w:t> </w:t>
      </w:r>
      <w:r>
        <w:rPr/>
        <w:t>more</w:t>
      </w:r>
      <w:r>
        <w:rPr>
          <w:spacing w:val="-7"/>
        </w:rPr>
        <w:t> </w:t>
      </w:r>
      <w:r>
        <w:rPr/>
        <w:t>inclusive and</w:t>
      </w:r>
      <w:r>
        <w:rPr>
          <w:spacing w:val="-9"/>
        </w:rPr>
        <w:t> </w:t>
      </w:r>
      <w:r>
        <w:rPr/>
        <w:t>equitable</w:t>
      </w:r>
      <w:r>
        <w:rPr>
          <w:spacing w:val="-10"/>
        </w:rPr>
        <w:t> </w:t>
      </w:r>
      <w:r>
        <w:rPr/>
        <w:t>society.</w:t>
      </w:r>
      <w:r>
        <w:rPr>
          <w:spacing w:val="-12"/>
        </w:rPr>
        <w:t> </w:t>
      </w:r>
      <w:r>
        <w:rPr/>
        <w:t>Through</w:t>
      </w:r>
      <w:r>
        <w:rPr>
          <w:spacing w:val="-12"/>
        </w:rPr>
        <w:t> </w:t>
      </w:r>
      <w:r>
        <w:rPr/>
        <w:t>the</w:t>
      </w:r>
      <w:r>
        <w:rPr>
          <w:spacing w:val="-9"/>
        </w:rPr>
        <w:t> </w:t>
      </w:r>
      <w:r>
        <w:rPr/>
        <w:t>perspectives</w:t>
      </w:r>
      <w:r>
        <w:rPr>
          <w:spacing w:val="-11"/>
        </w:rPr>
        <w:t> </w:t>
      </w:r>
      <w:r>
        <w:rPr/>
        <w:t>of</w:t>
      </w:r>
      <w:r>
        <w:rPr>
          <w:spacing w:val="-12"/>
        </w:rPr>
        <w:t> </w:t>
      </w:r>
      <w:r>
        <w:rPr/>
        <w:t>Shakespeare’s</w:t>
      </w:r>
      <w:r>
        <w:rPr>
          <w:spacing w:val="-11"/>
        </w:rPr>
        <w:t> </w:t>
      </w:r>
      <w:r>
        <w:rPr/>
        <w:t>classic works, we came to know that the importance of challenging societal norms, amplifying marginalized voices, and striving for transformative change. The Shakespeare’s tragic heroines stands in mostly stronger than</w:t>
      </w:r>
      <w:r>
        <w:rPr>
          <w:spacing w:val="40"/>
        </w:rPr>
        <w:t> </w:t>
      </w:r>
      <w:r>
        <w:rPr/>
        <w:t>the</w:t>
      </w:r>
      <w:r>
        <w:rPr>
          <w:spacing w:val="40"/>
        </w:rPr>
        <w:t> </w:t>
      </w:r>
      <w:r>
        <w:rPr/>
        <w:t>tragic</w:t>
      </w:r>
      <w:r>
        <w:rPr>
          <w:spacing w:val="40"/>
        </w:rPr>
        <w:t> </w:t>
      </w:r>
      <w:r>
        <w:rPr/>
        <w:t>heroes.</w:t>
      </w:r>
    </w:p>
    <w:p>
      <w:pPr>
        <w:pStyle w:val="Heading3"/>
        <w:spacing w:before="159"/>
        <w:jc w:val="both"/>
      </w:pPr>
      <w:r>
        <w:rPr>
          <w:w w:val="90"/>
        </w:rPr>
        <w:t>WORKS</w:t>
      </w:r>
      <w:r>
        <w:rPr>
          <w:spacing w:val="6"/>
        </w:rPr>
        <w:t> </w:t>
      </w:r>
      <w:r>
        <w:rPr>
          <w:spacing w:val="-2"/>
          <w:w w:val="95"/>
        </w:rPr>
        <w:t>CITED</w:t>
      </w:r>
    </w:p>
    <w:p>
      <w:pPr>
        <w:pStyle w:val="ListParagraph"/>
        <w:numPr>
          <w:ilvl w:val="0"/>
          <w:numId w:val="79"/>
        </w:numPr>
        <w:tabs>
          <w:tab w:pos="2160" w:val="left" w:leader="none"/>
          <w:tab w:pos="2211" w:val="left" w:leader="none"/>
        </w:tabs>
        <w:spacing w:line="261" w:lineRule="auto" w:before="83" w:after="0"/>
        <w:ind w:left="2160" w:right="1438" w:hanging="315"/>
        <w:jc w:val="both"/>
        <w:rPr>
          <w:sz w:val="19"/>
        </w:rPr>
      </w:pPr>
      <w:r>
        <w:rPr>
          <w:sz w:val="19"/>
        </w:rPr>
        <w:t>Adelman,</w:t>
      </w:r>
      <w:r>
        <w:rPr>
          <w:spacing w:val="40"/>
          <w:sz w:val="19"/>
        </w:rPr>
        <w:t> </w:t>
      </w:r>
      <w:r>
        <w:rPr>
          <w:sz w:val="19"/>
        </w:rPr>
        <w:t>J. </w:t>
      </w:r>
      <w:r>
        <w:rPr>
          <w:i/>
          <w:sz w:val="19"/>
        </w:rPr>
        <w:t>Suffocating Mothers: Fantasies of Maternal Origin in Shakespeare’s Plays, “Hamlet” to “The Tempest”. </w:t>
      </w:r>
      <w:r>
        <w:rPr>
          <w:sz w:val="19"/>
        </w:rPr>
        <w:t>Routledge. </w:t>
      </w:r>
      <w:r>
        <w:rPr>
          <w:spacing w:val="-4"/>
          <w:sz w:val="19"/>
        </w:rPr>
        <w:t>2002</w:t>
      </w:r>
    </w:p>
    <w:p>
      <w:pPr>
        <w:pStyle w:val="ListParagraph"/>
        <w:numPr>
          <w:ilvl w:val="0"/>
          <w:numId w:val="79"/>
        </w:numPr>
        <w:tabs>
          <w:tab w:pos="2160" w:val="left" w:leader="none"/>
          <w:tab w:pos="2222" w:val="left" w:leader="none"/>
        </w:tabs>
        <w:spacing w:line="261" w:lineRule="auto" w:before="58" w:after="0"/>
        <w:ind w:left="2160" w:right="1441" w:hanging="315"/>
        <w:jc w:val="both"/>
        <w:rPr>
          <w:sz w:val="19"/>
        </w:rPr>
      </w:pPr>
      <w:r>
        <w:rPr>
          <w:sz w:val="19"/>
        </w:rPr>
        <w:tab/>
        <w:t>Belsey, C Shakespeare </w:t>
      </w:r>
      <w:r>
        <w:rPr>
          <w:i/>
          <w:sz w:val="19"/>
        </w:rPr>
        <w:t>and the Loss of Eden: The Construction</w:t>
      </w:r>
      <w:r>
        <w:rPr>
          <w:i/>
          <w:spacing w:val="40"/>
          <w:sz w:val="19"/>
        </w:rPr>
        <w:t> </w:t>
      </w:r>
      <w:r>
        <w:rPr>
          <w:i/>
          <w:sz w:val="19"/>
        </w:rPr>
        <w:t>of</w:t>
      </w:r>
      <w:r>
        <w:rPr>
          <w:i/>
          <w:spacing w:val="41"/>
          <w:sz w:val="19"/>
        </w:rPr>
        <w:t> </w:t>
      </w:r>
      <w:r>
        <w:rPr>
          <w:i/>
          <w:sz w:val="19"/>
        </w:rPr>
        <w:t>Family</w:t>
      </w:r>
      <w:r>
        <w:rPr>
          <w:i/>
          <w:spacing w:val="42"/>
          <w:sz w:val="19"/>
        </w:rPr>
        <w:t> </w:t>
      </w:r>
      <w:r>
        <w:rPr>
          <w:i/>
          <w:sz w:val="19"/>
        </w:rPr>
        <w:t>Values</w:t>
      </w:r>
      <w:r>
        <w:rPr>
          <w:i/>
          <w:spacing w:val="42"/>
          <w:sz w:val="19"/>
        </w:rPr>
        <w:t> </w:t>
      </w:r>
      <w:r>
        <w:rPr>
          <w:i/>
          <w:sz w:val="19"/>
        </w:rPr>
        <w:t>in</w:t>
      </w:r>
      <w:r>
        <w:rPr>
          <w:i/>
          <w:spacing w:val="43"/>
          <w:sz w:val="19"/>
        </w:rPr>
        <w:t> </w:t>
      </w:r>
      <w:r>
        <w:rPr>
          <w:i/>
          <w:sz w:val="19"/>
        </w:rPr>
        <w:t>Early</w:t>
      </w:r>
      <w:r>
        <w:rPr>
          <w:i/>
          <w:spacing w:val="45"/>
          <w:sz w:val="19"/>
        </w:rPr>
        <w:t> </w:t>
      </w:r>
      <w:r>
        <w:rPr>
          <w:i/>
          <w:sz w:val="19"/>
        </w:rPr>
        <w:t>Modern</w:t>
      </w:r>
      <w:r>
        <w:rPr>
          <w:i/>
          <w:spacing w:val="45"/>
          <w:sz w:val="19"/>
        </w:rPr>
        <w:t> </w:t>
      </w:r>
      <w:r>
        <w:rPr>
          <w:i/>
          <w:sz w:val="19"/>
        </w:rPr>
        <w:t>Culture.</w:t>
      </w:r>
      <w:r>
        <w:rPr>
          <w:i/>
          <w:spacing w:val="43"/>
          <w:sz w:val="19"/>
        </w:rPr>
        <w:t> </w:t>
      </w:r>
      <w:r>
        <w:rPr>
          <w:sz w:val="19"/>
        </w:rPr>
        <w:t>Macmillan.</w:t>
      </w:r>
      <w:r>
        <w:rPr>
          <w:spacing w:val="42"/>
          <w:sz w:val="19"/>
        </w:rPr>
        <w:t> </w:t>
      </w:r>
      <w:r>
        <w:rPr>
          <w:spacing w:val="-4"/>
          <w:sz w:val="19"/>
        </w:rPr>
        <w:t>1999</w:t>
      </w:r>
    </w:p>
    <w:p>
      <w:pPr>
        <w:pStyle w:val="ListParagraph"/>
        <w:numPr>
          <w:ilvl w:val="0"/>
          <w:numId w:val="79"/>
        </w:numPr>
        <w:tabs>
          <w:tab w:pos="2160" w:val="left" w:leader="none"/>
          <w:tab w:pos="2261" w:val="left" w:leader="none"/>
        </w:tabs>
        <w:spacing w:line="264" w:lineRule="auto" w:before="57" w:after="0"/>
        <w:ind w:left="2160" w:right="1439" w:hanging="315"/>
        <w:jc w:val="both"/>
        <w:rPr>
          <w:sz w:val="19"/>
        </w:rPr>
      </w:pPr>
      <w:r>
        <w:rPr>
          <w:sz w:val="19"/>
        </w:rPr>
        <w:tab/>
        <w:t>Callaghan, D. </w:t>
      </w:r>
      <w:r>
        <w:rPr>
          <w:i/>
          <w:sz w:val="19"/>
        </w:rPr>
        <w:t>Shakespeare’s Sonnets and the Politics of Romantic</w:t>
      </w:r>
      <w:r>
        <w:rPr>
          <w:i/>
          <w:spacing w:val="40"/>
          <w:sz w:val="19"/>
        </w:rPr>
        <w:t> </w:t>
      </w:r>
      <w:r>
        <w:rPr>
          <w:i/>
          <w:sz w:val="19"/>
        </w:rPr>
        <w:t>Love.</w:t>
      </w:r>
      <w:r>
        <w:rPr>
          <w:i/>
          <w:spacing w:val="40"/>
          <w:sz w:val="19"/>
        </w:rPr>
        <w:t> </w:t>
      </w:r>
      <w:r>
        <w:rPr>
          <w:sz w:val="19"/>
        </w:rPr>
        <w:t>Oxford</w:t>
      </w:r>
      <w:r>
        <w:rPr>
          <w:spacing w:val="40"/>
          <w:sz w:val="19"/>
        </w:rPr>
        <w:t> </w:t>
      </w:r>
      <w:r>
        <w:rPr>
          <w:sz w:val="19"/>
        </w:rPr>
        <w:t>University</w:t>
      </w:r>
      <w:r>
        <w:rPr>
          <w:spacing w:val="40"/>
          <w:sz w:val="19"/>
        </w:rPr>
        <w:t> </w:t>
      </w:r>
      <w:r>
        <w:rPr>
          <w:sz w:val="19"/>
        </w:rPr>
        <w:t>Press.</w:t>
      </w:r>
      <w:r>
        <w:rPr>
          <w:spacing w:val="40"/>
          <w:sz w:val="19"/>
        </w:rPr>
        <w:t> </w:t>
      </w:r>
      <w:r>
        <w:rPr>
          <w:sz w:val="19"/>
        </w:rPr>
        <w:t>(2017).</w:t>
      </w:r>
    </w:p>
    <w:p>
      <w:pPr>
        <w:pStyle w:val="ListParagraph"/>
        <w:numPr>
          <w:ilvl w:val="0"/>
          <w:numId w:val="79"/>
        </w:numPr>
        <w:tabs>
          <w:tab w:pos="2160" w:val="left" w:leader="none"/>
          <w:tab w:pos="2230" w:val="left" w:leader="none"/>
        </w:tabs>
        <w:spacing w:line="261" w:lineRule="auto" w:before="54" w:after="0"/>
        <w:ind w:left="2160" w:right="1439" w:hanging="315"/>
        <w:jc w:val="both"/>
        <w:rPr>
          <w:sz w:val="19"/>
        </w:rPr>
      </w:pPr>
      <w:r>
        <w:rPr>
          <w:sz w:val="19"/>
        </w:rPr>
        <w:tab/>
        <w:t>Dollimore, J.</w:t>
      </w:r>
      <w:r>
        <w:rPr>
          <w:spacing w:val="80"/>
          <w:sz w:val="19"/>
        </w:rPr>
        <w:t> </w:t>
      </w:r>
      <w:r>
        <w:rPr>
          <w:i/>
          <w:sz w:val="19"/>
        </w:rPr>
        <w:t>Radical Tragedy: Religion, Ideology and Power</w:t>
      </w:r>
      <w:r>
        <w:rPr>
          <w:i/>
          <w:spacing w:val="40"/>
          <w:sz w:val="19"/>
        </w:rPr>
        <w:t> </w:t>
      </w:r>
      <w:r>
        <w:rPr>
          <w:i/>
          <w:sz w:val="19"/>
        </w:rPr>
        <w:t>in the Drama of Shakespeare and His Contemporaries. </w:t>
      </w:r>
      <w:r>
        <w:rPr>
          <w:sz w:val="19"/>
        </w:rPr>
        <w:t>Palgrave Macmillan. 2001</w:t>
      </w:r>
    </w:p>
    <w:p>
      <w:pPr>
        <w:pStyle w:val="ListParagraph"/>
        <w:numPr>
          <w:ilvl w:val="0"/>
          <w:numId w:val="79"/>
        </w:numPr>
        <w:tabs>
          <w:tab w:pos="2160" w:val="left" w:leader="none"/>
          <w:tab w:pos="2258" w:val="left" w:leader="none"/>
        </w:tabs>
        <w:spacing w:line="261" w:lineRule="auto" w:before="58" w:after="0"/>
        <w:ind w:left="2160" w:right="1438" w:hanging="315"/>
        <w:jc w:val="both"/>
        <w:rPr>
          <w:sz w:val="19"/>
        </w:rPr>
      </w:pPr>
      <w:r>
        <w:rPr>
          <w:sz w:val="19"/>
        </w:rPr>
        <w:tab/>
        <w:t>French, M. </w:t>
      </w:r>
      <w:r>
        <w:rPr>
          <w:i/>
          <w:sz w:val="19"/>
        </w:rPr>
        <w:t>Shakespeare’s Division of Experience</w:t>
      </w:r>
      <w:r>
        <w:rPr>
          <w:sz w:val="19"/>
        </w:rPr>
        <w:t>. Oxford University</w:t>
      </w:r>
      <w:r>
        <w:rPr>
          <w:spacing w:val="40"/>
          <w:sz w:val="19"/>
        </w:rPr>
        <w:t> </w:t>
      </w:r>
      <w:r>
        <w:rPr>
          <w:sz w:val="19"/>
        </w:rPr>
        <w:t>Press.</w:t>
      </w:r>
      <w:r>
        <w:rPr>
          <w:spacing w:val="40"/>
          <w:sz w:val="19"/>
        </w:rPr>
        <w:t> </w:t>
      </w:r>
      <w:r>
        <w:rPr>
          <w:sz w:val="19"/>
        </w:rPr>
        <w:t>(2010).</w:t>
      </w:r>
    </w:p>
    <w:p>
      <w:pPr>
        <w:pStyle w:val="ListParagraph"/>
        <w:numPr>
          <w:ilvl w:val="0"/>
          <w:numId w:val="79"/>
        </w:numPr>
        <w:tabs>
          <w:tab w:pos="2254" w:val="left" w:leader="none"/>
        </w:tabs>
        <w:spacing w:line="240" w:lineRule="auto" w:before="57" w:after="0"/>
        <w:ind w:left="2254" w:right="0" w:hanging="409"/>
        <w:jc w:val="both"/>
        <w:rPr>
          <w:sz w:val="19"/>
        </w:rPr>
      </w:pPr>
      <w:r>
        <w:rPr>
          <w:sz w:val="19"/>
        </w:rPr>
        <w:t>Garber,</w:t>
      </w:r>
      <w:r>
        <w:rPr>
          <w:spacing w:val="49"/>
          <w:sz w:val="19"/>
        </w:rPr>
        <w:t> </w:t>
      </w:r>
      <w:r>
        <w:rPr>
          <w:sz w:val="19"/>
        </w:rPr>
        <w:t>M</w:t>
      </w:r>
      <w:r>
        <w:rPr>
          <w:i/>
          <w:sz w:val="19"/>
        </w:rPr>
        <w:t>.</w:t>
      </w:r>
      <w:r>
        <w:rPr>
          <w:i/>
          <w:spacing w:val="48"/>
          <w:sz w:val="19"/>
        </w:rPr>
        <w:t> </w:t>
      </w:r>
      <w:r>
        <w:rPr>
          <w:i/>
          <w:sz w:val="19"/>
        </w:rPr>
        <w:t>Shakespeare</w:t>
      </w:r>
      <w:r>
        <w:rPr>
          <w:i/>
          <w:spacing w:val="49"/>
          <w:sz w:val="19"/>
        </w:rPr>
        <w:t> </w:t>
      </w:r>
      <w:r>
        <w:rPr>
          <w:i/>
          <w:sz w:val="19"/>
        </w:rPr>
        <w:t>and</w:t>
      </w:r>
      <w:r>
        <w:rPr>
          <w:i/>
          <w:spacing w:val="47"/>
          <w:sz w:val="19"/>
        </w:rPr>
        <w:t> </w:t>
      </w:r>
      <w:r>
        <w:rPr>
          <w:i/>
          <w:sz w:val="19"/>
        </w:rPr>
        <w:t>Modern</w:t>
      </w:r>
      <w:r>
        <w:rPr>
          <w:i/>
          <w:spacing w:val="50"/>
          <w:sz w:val="19"/>
        </w:rPr>
        <w:t> </w:t>
      </w:r>
      <w:r>
        <w:rPr>
          <w:i/>
          <w:sz w:val="19"/>
        </w:rPr>
        <w:t>Culture.</w:t>
      </w:r>
      <w:r>
        <w:rPr>
          <w:i/>
          <w:spacing w:val="41"/>
          <w:sz w:val="19"/>
        </w:rPr>
        <w:t> </w:t>
      </w:r>
      <w:r>
        <w:rPr>
          <w:spacing w:val="-2"/>
          <w:sz w:val="19"/>
        </w:rPr>
        <w:t>Anchor.2008.</w:t>
      </w:r>
    </w:p>
    <w:p>
      <w:pPr>
        <w:pStyle w:val="ListParagraph"/>
        <w:numPr>
          <w:ilvl w:val="0"/>
          <w:numId w:val="79"/>
        </w:numPr>
        <w:tabs>
          <w:tab w:pos="2160" w:val="left" w:leader="none"/>
          <w:tab w:pos="2256" w:val="left" w:leader="none"/>
        </w:tabs>
        <w:spacing w:line="264" w:lineRule="auto" w:before="77" w:after="0"/>
        <w:ind w:left="2160" w:right="1441" w:hanging="315"/>
        <w:jc w:val="left"/>
        <w:rPr>
          <w:sz w:val="19"/>
        </w:rPr>
      </w:pPr>
      <w:r>
        <w:rPr>
          <w:sz w:val="19"/>
        </w:rPr>
        <w:tab/>
        <w:t>Hunter,</w:t>
      </w:r>
      <w:r>
        <w:rPr>
          <w:spacing w:val="40"/>
          <w:sz w:val="19"/>
        </w:rPr>
        <w:t> </w:t>
      </w:r>
      <w:r>
        <w:rPr>
          <w:sz w:val="19"/>
        </w:rPr>
        <w:t>L.</w:t>
      </w:r>
      <w:r>
        <w:rPr>
          <w:spacing w:val="40"/>
          <w:sz w:val="19"/>
        </w:rPr>
        <w:t> </w:t>
      </w:r>
      <w:r>
        <w:rPr>
          <w:i/>
          <w:sz w:val="19"/>
        </w:rPr>
        <w:t>Shakespeare</w:t>
      </w:r>
      <w:r>
        <w:rPr>
          <w:i/>
          <w:spacing w:val="40"/>
          <w:sz w:val="19"/>
        </w:rPr>
        <w:t> </w:t>
      </w:r>
      <w:r>
        <w:rPr>
          <w:i/>
          <w:sz w:val="19"/>
        </w:rPr>
        <w:t>and</w:t>
      </w:r>
      <w:r>
        <w:rPr>
          <w:i/>
          <w:spacing w:val="40"/>
          <w:sz w:val="19"/>
        </w:rPr>
        <w:t> </w:t>
      </w:r>
      <w:r>
        <w:rPr>
          <w:i/>
          <w:sz w:val="19"/>
        </w:rPr>
        <w:t>Masculinity.</w:t>
      </w:r>
      <w:r>
        <w:rPr>
          <w:i/>
          <w:spacing w:val="40"/>
          <w:sz w:val="19"/>
        </w:rPr>
        <w:t> </w:t>
      </w:r>
      <w:r>
        <w:rPr>
          <w:i/>
          <w:sz w:val="19"/>
        </w:rPr>
        <w:t>Bloomsbury</w:t>
      </w:r>
      <w:r>
        <w:rPr>
          <w:i/>
          <w:spacing w:val="40"/>
          <w:sz w:val="19"/>
        </w:rPr>
        <w:t> </w:t>
      </w:r>
      <w:r>
        <w:rPr>
          <w:i/>
          <w:sz w:val="19"/>
        </w:rPr>
        <w:t>Arden Shakespeare.</w:t>
      </w:r>
      <w:r>
        <w:rPr>
          <w:i/>
          <w:spacing w:val="40"/>
          <w:sz w:val="19"/>
        </w:rPr>
        <w:t> </w:t>
      </w:r>
      <w:r>
        <w:rPr>
          <w:sz w:val="19"/>
        </w:rPr>
        <w:t>2015</w:t>
      </w:r>
    </w:p>
    <w:p>
      <w:pPr>
        <w:pStyle w:val="ListParagraph"/>
        <w:numPr>
          <w:ilvl w:val="0"/>
          <w:numId w:val="79"/>
        </w:numPr>
        <w:tabs>
          <w:tab w:pos="2160" w:val="left" w:leader="none"/>
          <w:tab w:pos="2233" w:val="left" w:leader="none"/>
        </w:tabs>
        <w:spacing w:line="261" w:lineRule="auto" w:before="54" w:after="0"/>
        <w:ind w:left="2160" w:right="1442" w:hanging="315"/>
        <w:jc w:val="left"/>
        <w:rPr>
          <w:sz w:val="19"/>
        </w:rPr>
      </w:pPr>
      <w:r>
        <w:rPr>
          <w:sz w:val="19"/>
        </w:rPr>
        <w:tab/>
        <w:t>Jardine, L.</w:t>
      </w:r>
      <w:r>
        <w:rPr>
          <w:spacing w:val="22"/>
          <w:sz w:val="19"/>
        </w:rPr>
        <w:t> </w:t>
      </w:r>
      <w:r>
        <w:rPr>
          <w:i/>
          <w:sz w:val="19"/>
        </w:rPr>
        <w:t>Still Harping</w:t>
      </w:r>
      <w:r>
        <w:rPr>
          <w:i/>
          <w:spacing w:val="22"/>
          <w:sz w:val="19"/>
        </w:rPr>
        <w:t> </w:t>
      </w:r>
      <w:r>
        <w:rPr>
          <w:i/>
          <w:sz w:val="19"/>
        </w:rPr>
        <w:t>on</w:t>
      </w:r>
      <w:r>
        <w:rPr>
          <w:i/>
          <w:spacing w:val="22"/>
          <w:sz w:val="19"/>
        </w:rPr>
        <w:t> </w:t>
      </w:r>
      <w:r>
        <w:rPr>
          <w:i/>
          <w:sz w:val="19"/>
        </w:rPr>
        <w:t>Daughters: Women and</w:t>
      </w:r>
      <w:r>
        <w:rPr>
          <w:i/>
          <w:spacing w:val="22"/>
          <w:sz w:val="19"/>
        </w:rPr>
        <w:t> </w:t>
      </w:r>
      <w:r>
        <w:rPr>
          <w:i/>
          <w:sz w:val="19"/>
        </w:rPr>
        <w:t>Drama</w:t>
      </w:r>
      <w:r>
        <w:rPr>
          <w:i/>
          <w:spacing w:val="22"/>
          <w:sz w:val="19"/>
        </w:rPr>
        <w:t> </w:t>
      </w:r>
      <w:r>
        <w:rPr>
          <w:i/>
          <w:sz w:val="19"/>
        </w:rPr>
        <w:t>in the</w:t>
      </w:r>
      <w:r>
        <w:rPr>
          <w:i/>
          <w:spacing w:val="48"/>
          <w:sz w:val="19"/>
        </w:rPr>
        <w:t> </w:t>
      </w:r>
      <w:r>
        <w:rPr>
          <w:i/>
          <w:sz w:val="19"/>
        </w:rPr>
        <w:t>Age</w:t>
      </w:r>
      <w:r>
        <w:rPr>
          <w:i/>
          <w:spacing w:val="49"/>
          <w:sz w:val="19"/>
        </w:rPr>
        <w:t> </w:t>
      </w:r>
      <w:r>
        <w:rPr>
          <w:i/>
          <w:sz w:val="19"/>
        </w:rPr>
        <w:t>of</w:t>
      </w:r>
      <w:r>
        <w:rPr>
          <w:i/>
          <w:spacing w:val="50"/>
          <w:sz w:val="19"/>
        </w:rPr>
        <w:t> </w:t>
      </w:r>
      <w:r>
        <w:rPr>
          <w:i/>
          <w:sz w:val="19"/>
        </w:rPr>
        <w:t>Shakespeare.</w:t>
      </w:r>
      <w:r>
        <w:rPr>
          <w:i/>
          <w:spacing w:val="50"/>
          <w:sz w:val="19"/>
        </w:rPr>
        <w:t> </w:t>
      </w:r>
      <w:r>
        <w:rPr>
          <w:sz w:val="19"/>
        </w:rPr>
        <w:t>University</w:t>
      </w:r>
      <w:r>
        <w:rPr>
          <w:spacing w:val="44"/>
          <w:sz w:val="19"/>
        </w:rPr>
        <w:t> </w:t>
      </w:r>
      <w:r>
        <w:rPr>
          <w:sz w:val="19"/>
        </w:rPr>
        <w:t>of</w:t>
      </w:r>
      <w:r>
        <w:rPr>
          <w:spacing w:val="52"/>
          <w:sz w:val="19"/>
        </w:rPr>
        <w:t> </w:t>
      </w:r>
      <w:r>
        <w:rPr>
          <w:sz w:val="19"/>
        </w:rPr>
        <w:t>Michigan</w:t>
      </w:r>
      <w:r>
        <w:rPr>
          <w:spacing w:val="51"/>
          <w:sz w:val="19"/>
        </w:rPr>
        <w:t> </w:t>
      </w:r>
      <w:r>
        <w:rPr>
          <w:sz w:val="19"/>
        </w:rPr>
        <w:t>Press.</w:t>
      </w:r>
      <w:r>
        <w:rPr>
          <w:spacing w:val="50"/>
          <w:sz w:val="19"/>
        </w:rPr>
        <w:t> </w:t>
      </w:r>
      <w:r>
        <w:rPr>
          <w:spacing w:val="-4"/>
          <w:sz w:val="19"/>
        </w:rPr>
        <w:t>2011</w:t>
      </w:r>
    </w:p>
    <w:p>
      <w:pPr>
        <w:pStyle w:val="ListParagraph"/>
        <w:numPr>
          <w:ilvl w:val="0"/>
          <w:numId w:val="79"/>
        </w:numPr>
        <w:tabs>
          <w:tab w:pos="2256" w:val="left" w:leader="none"/>
        </w:tabs>
        <w:spacing w:line="240" w:lineRule="auto" w:before="57" w:after="0"/>
        <w:ind w:left="2256" w:right="0" w:hanging="411"/>
        <w:jc w:val="left"/>
        <w:rPr>
          <w:sz w:val="19"/>
        </w:rPr>
      </w:pPr>
      <w:r>
        <w:rPr>
          <w:sz w:val="19"/>
        </w:rPr>
        <w:t>Muir,</w:t>
      </w:r>
      <w:r>
        <w:rPr>
          <w:spacing w:val="41"/>
          <w:sz w:val="19"/>
        </w:rPr>
        <w:t> </w:t>
      </w:r>
      <w:r>
        <w:rPr>
          <w:sz w:val="19"/>
        </w:rPr>
        <w:t>K.</w:t>
      </w:r>
      <w:r>
        <w:rPr>
          <w:spacing w:val="37"/>
          <w:sz w:val="19"/>
        </w:rPr>
        <w:t> </w:t>
      </w:r>
      <w:r>
        <w:rPr>
          <w:i/>
          <w:sz w:val="19"/>
        </w:rPr>
        <w:t>Shakespeare’s</w:t>
      </w:r>
      <w:r>
        <w:rPr>
          <w:i/>
          <w:spacing w:val="40"/>
          <w:sz w:val="19"/>
        </w:rPr>
        <w:t> </w:t>
      </w:r>
      <w:r>
        <w:rPr>
          <w:i/>
          <w:sz w:val="19"/>
        </w:rPr>
        <w:t>Tragic</w:t>
      </w:r>
      <w:r>
        <w:rPr>
          <w:i/>
          <w:spacing w:val="37"/>
          <w:sz w:val="19"/>
        </w:rPr>
        <w:t> </w:t>
      </w:r>
      <w:r>
        <w:rPr>
          <w:i/>
          <w:sz w:val="19"/>
        </w:rPr>
        <w:t>Sequence</w:t>
      </w:r>
      <w:r>
        <w:rPr>
          <w:sz w:val="19"/>
        </w:rPr>
        <w:t>.</w:t>
      </w:r>
      <w:r>
        <w:rPr>
          <w:spacing w:val="38"/>
          <w:sz w:val="19"/>
        </w:rPr>
        <w:t> </w:t>
      </w:r>
      <w:r>
        <w:rPr>
          <w:sz w:val="19"/>
        </w:rPr>
        <w:t>Routledge.</w:t>
      </w:r>
      <w:r>
        <w:rPr>
          <w:spacing w:val="39"/>
          <w:sz w:val="19"/>
        </w:rPr>
        <w:t> </w:t>
      </w:r>
      <w:r>
        <w:rPr>
          <w:spacing w:val="-2"/>
          <w:sz w:val="19"/>
        </w:rPr>
        <w:t>(2005).</w:t>
      </w:r>
    </w:p>
    <w:p>
      <w:pPr>
        <w:pStyle w:val="ListParagraph"/>
        <w:numPr>
          <w:ilvl w:val="0"/>
          <w:numId w:val="79"/>
        </w:numPr>
        <w:tabs>
          <w:tab w:pos="2160" w:val="left" w:leader="none"/>
          <w:tab w:pos="2257" w:val="left" w:leader="none"/>
        </w:tabs>
        <w:spacing w:line="261" w:lineRule="auto" w:before="79" w:after="0"/>
        <w:ind w:left="2160" w:right="1437" w:hanging="406"/>
        <w:jc w:val="left"/>
        <w:rPr>
          <w:sz w:val="19"/>
        </w:rPr>
      </w:pPr>
      <w:r>
        <w:rPr>
          <w:sz w:val="19"/>
        </w:rPr>
        <w:tab/>
        <w:t>Neely,</w:t>
      </w:r>
      <w:r>
        <w:rPr>
          <w:spacing w:val="40"/>
          <w:sz w:val="19"/>
        </w:rPr>
        <w:t> </w:t>
      </w:r>
      <w:r>
        <w:rPr>
          <w:sz w:val="19"/>
        </w:rPr>
        <w:t>C.</w:t>
      </w:r>
      <w:r>
        <w:rPr>
          <w:spacing w:val="40"/>
          <w:sz w:val="19"/>
        </w:rPr>
        <w:t> </w:t>
      </w:r>
      <w:r>
        <w:rPr>
          <w:sz w:val="19"/>
        </w:rPr>
        <w:t>T.</w:t>
      </w:r>
      <w:r>
        <w:rPr>
          <w:spacing w:val="40"/>
          <w:sz w:val="19"/>
        </w:rPr>
        <w:t> </w:t>
      </w:r>
      <w:r>
        <w:rPr>
          <w:i/>
          <w:sz w:val="19"/>
        </w:rPr>
        <w:t>Broken</w:t>
      </w:r>
      <w:r>
        <w:rPr>
          <w:i/>
          <w:spacing w:val="40"/>
          <w:sz w:val="19"/>
        </w:rPr>
        <w:t> </w:t>
      </w:r>
      <w:r>
        <w:rPr>
          <w:i/>
          <w:sz w:val="19"/>
        </w:rPr>
        <w:t>Nuptials</w:t>
      </w:r>
      <w:r>
        <w:rPr>
          <w:i/>
          <w:spacing w:val="40"/>
          <w:sz w:val="19"/>
        </w:rPr>
        <w:t> </w:t>
      </w:r>
      <w:r>
        <w:rPr>
          <w:i/>
          <w:sz w:val="19"/>
        </w:rPr>
        <w:t>in</w:t>
      </w:r>
      <w:r>
        <w:rPr>
          <w:i/>
          <w:spacing w:val="40"/>
          <w:sz w:val="19"/>
        </w:rPr>
        <w:t> </w:t>
      </w:r>
      <w:r>
        <w:rPr>
          <w:i/>
          <w:sz w:val="19"/>
        </w:rPr>
        <w:t>Shakespeare’s</w:t>
      </w:r>
      <w:r>
        <w:rPr>
          <w:i/>
          <w:spacing w:val="40"/>
          <w:sz w:val="19"/>
        </w:rPr>
        <w:t> </w:t>
      </w:r>
      <w:r>
        <w:rPr>
          <w:i/>
          <w:sz w:val="19"/>
        </w:rPr>
        <w:t>Plays.</w:t>
      </w:r>
      <w:r>
        <w:rPr>
          <w:i/>
          <w:spacing w:val="40"/>
          <w:sz w:val="19"/>
        </w:rPr>
        <w:t> </w:t>
      </w:r>
      <w:r>
        <w:rPr>
          <w:sz w:val="19"/>
        </w:rPr>
        <w:t>Yale University</w:t>
      </w:r>
      <w:r>
        <w:rPr>
          <w:spacing w:val="40"/>
          <w:sz w:val="19"/>
        </w:rPr>
        <w:t> </w:t>
      </w:r>
      <w:r>
        <w:rPr>
          <w:sz w:val="19"/>
        </w:rPr>
        <w:t>Press.</w:t>
      </w:r>
      <w:r>
        <w:rPr>
          <w:spacing w:val="40"/>
          <w:sz w:val="19"/>
        </w:rPr>
        <w:t> </w:t>
      </w:r>
      <w:r>
        <w:rPr>
          <w:sz w:val="19"/>
        </w:rPr>
        <w:t>(1997).</w:t>
      </w:r>
    </w:p>
    <w:p>
      <w:pPr>
        <w:pStyle w:val="ListParagraph"/>
        <w:numPr>
          <w:ilvl w:val="0"/>
          <w:numId w:val="79"/>
        </w:numPr>
        <w:tabs>
          <w:tab w:pos="2231" w:val="left" w:leader="none"/>
        </w:tabs>
        <w:spacing w:line="240" w:lineRule="auto" w:before="56" w:after="0"/>
        <w:ind w:left="2231" w:right="0" w:hanging="477"/>
        <w:jc w:val="left"/>
        <w:rPr>
          <w:i/>
          <w:sz w:val="19"/>
        </w:rPr>
      </w:pPr>
      <w:r>
        <w:rPr>
          <w:sz w:val="19"/>
        </w:rPr>
        <w:t>Nelsen,</w:t>
      </w:r>
      <w:r>
        <w:rPr>
          <w:spacing w:val="20"/>
          <w:sz w:val="19"/>
        </w:rPr>
        <w:t> </w:t>
      </w:r>
      <w:r>
        <w:rPr>
          <w:sz w:val="19"/>
        </w:rPr>
        <w:t>P.</w:t>
      </w:r>
      <w:r>
        <w:rPr>
          <w:spacing w:val="22"/>
          <w:sz w:val="19"/>
        </w:rPr>
        <w:t> </w:t>
      </w:r>
      <w:r>
        <w:rPr>
          <w:sz w:val="19"/>
        </w:rPr>
        <w:t>R.</w:t>
      </w:r>
      <w:r>
        <w:rPr>
          <w:spacing w:val="20"/>
          <w:sz w:val="19"/>
        </w:rPr>
        <w:t> </w:t>
      </w:r>
      <w:r>
        <w:rPr>
          <w:i/>
          <w:sz w:val="19"/>
        </w:rPr>
        <w:t>The</w:t>
      </w:r>
      <w:r>
        <w:rPr>
          <w:i/>
          <w:spacing w:val="18"/>
          <w:sz w:val="19"/>
        </w:rPr>
        <w:t> </w:t>
      </w:r>
      <w:r>
        <w:rPr>
          <w:i/>
          <w:sz w:val="19"/>
        </w:rPr>
        <w:t>Gender</w:t>
      </w:r>
      <w:r>
        <w:rPr>
          <w:i/>
          <w:spacing w:val="22"/>
          <w:sz w:val="19"/>
        </w:rPr>
        <w:t> </w:t>
      </w:r>
      <w:r>
        <w:rPr>
          <w:i/>
          <w:sz w:val="19"/>
        </w:rPr>
        <w:t>of</w:t>
      </w:r>
      <w:r>
        <w:rPr>
          <w:i/>
          <w:spacing w:val="18"/>
          <w:sz w:val="19"/>
        </w:rPr>
        <w:t> </w:t>
      </w:r>
      <w:r>
        <w:rPr>
          <w:i/>
          <w:sz w:val="19"/>
        </w:rPr>
        <w:t>Sound</w:t>
      </w:r>
      <w:r>
        <w:rPr>
          <w:i/>
          <w:spacing w:val="21"/>
          <w:sz w:val="19"/>
        </w:rPr>
        <w:t> </w:t>
      </w:r>
      <w:r>
        <w:rPr>
          <w:i/>
          <w:sz w:val="19"/>
        </w:rPr>
        <w:t>in</w:t>
      </w:r>
      <w:r>
        <w:rPr>
          <w:i/>
          <w:spacing w:val="20"/>
          <w:sz w:val="19"/>
        </w:rPr>
        <w:t> </w:t>
      </w:r>
      <w:r>
        <w:rPr>
          <w:i/>
          <w:sz w:val="19"/>
        </w:rPr>
        <w:t>Early</w:t>
      </w:r>
      <w:r>
        <w:rPr>
          <w:i/>
          <w:spacing w:val="21"/>
          <w:sz w:val="19"/>
        </w:rPr>
        <w:t> </w:t>
      </w:r>
      <w:r>
        <w:rPr>
          <w:i/>
          <w:sz w:val="19"/>
        </w:rPr>
        <w:t>Modern</w:t>
      </w:r>
      <w:r>
        <w:rPr>
          <w:i/>
          <w:spacing w:val="20"/>
          <w:sz w:val="19"/>
        </w:rPr>
        <w:t> </w:t>
      </w:r>
      <w:r>
        <w:rPr>
          <w:i/>
          <w:spacing w:val="-2"/>
          <w:sz w:val="19"/>
        </w:rPr>
        <w:t>England.</w:t>
      </w:r>
    </w:p>
    <w:p>
      <w:pPr>
        <w:spacing w:before="19"/>
        <w:ind w:left="2160" w:right="0" w:firstLine="0"/>
        <w:jc w:val="left"/>
        <w:rPr>
          <w:sz w:val="19"/>
        </w:rPr>
      </w:pPr>
      <w:r>
        <w:rPr>
          <w:sz w:val="19"/>
        </w:rPr>
        <w:t>University</w:t>
      </w:r>
      <w:r>
        <w:rPr>
          <w:spacing w:val="43"/>
          <w:sz w:val="19"/>
        </w:rPr>
        <w:t> </w:t>
      </w:r>
      <w:r>
        <w:rPr>
          <w:sz w:val="19"/>
        </w:rPr>
        <w:t>of</w:t>
      </w:r>
      <w:r>
        <w:rPr>
          <w:spacing w:val="51"/>
          <w:sz w:val="19"/>
        </w:rPr>
        <w:t> </w:t>
      </w:r>
      <w:r>
        <w:rPr>
          <w:sz w:val="19"/>
        </w:rPr>
        <w:t>Pennsylvania</w:t>
      </w:r>
      <w:r>
        <w:rPr>
          <w:spacing w:val="50"/>
          <w:sz w:val="19"/>
        </w:rPr>
        <w:t> </w:t>
      </w:r>
      <w:r>
        <w:rPr>
          <w:sz w:val="19"/>
        </w:rPr>
        <w:t>Press.</w:t>
      </w:r>
      <w:r>
        <w:rPr>
          <w:spacing w:val="50"/>
          <w:sz w:val="19"/>
        </w:rPr>
        <w:t> </w:t>
      </w:r>
      <w:r>
        <w:rPr>
          <w:spacing w:val="-4"/>
          <w:sz w:val="19"/>
        </w:rPr>
        <w:t>2018</w:t>
      </w:r>
    </w:p>
    <w:p>
      <w:pPr>
        <w:pStyle w:val="ListParagraph"/>
        <w:numPr>
          <w:ilvl w:val="0"/>
          <w:numId w:val="79"/>
        </w:numPr>
        <w:tabs>
          <w:tab w:pos="2160" w:val="left" w:leader="none"/>
          <w:tab w:pos="2236" w:val="left" w:leader="none"/>
        </w:tabs>
        <w:spacing w:line="261" w:lineRule="auto" w:before="80" w:after="0"/>
        <w:ind w:left="2160" w:right="1441" w:hanging="406"/>
        <w:jc w:val="left"/>
        <w:rPr>
          <w:sz w:val="19"/>
        </w:rPr>
      </w:pPr>
      <w:r>
        <w:rPr>
          <w:sz w:val="19"/>
        </w:rPr>
        <w:tab/>
        <w:t>Pacheco, A</w:t>
      </w:r>
      <w:r>
        <w:rPr>
          <w:i/>
          <w:sz w:val="19"/>
        </w:rPr>
        <w:t>.</w:t>
      </w:r>
      <w:r>
        <w:rPr>
          <w:i/>
          <w:spacing w:val="26"/>
          <w:sz w:val="19"/>
        </w:rPr>
        <w:t> </w:t>
      </w:r>
      <w:r>
        <w:rPr>
          <w:i/>
          <w:sz w:val="19"/>
        </w:rPr>
        <w:t>Shakespeare</w:t>
      </w:r>
      <w:r>
        <w:rPr>
          <w:i/>
          <w:spacing w:val="24"/>
          <w:sz w:val="19"/>
        </w:rPr>
        <w:t> </w:t>
      </w:r>
      <w:r>
        <w:rPr>
          <w:i/>
          <w:sz w:val="19"/>
        </w:rPr>
        <w:t>and</w:t>
      </w:r>
      <w:r>
        <w:rPr>
          <w:i/>
          <w:spacing w:val="24"/>
          <w:sz w:val="19"/>
        </w:rPr>
        <w:t> </w:t>
      </w:r>
      <w:r>
        <w:rPr>
          <w:i/>
          <w:sz w:val="19"/>
        </w:rPr>
        <w:t>Feminist</w:t>
      </w:r>
      <w:r>
        <w:rPr>
          <w:i/>
          <w:spacing w:val="26"/>
          <w:sz w:val="19"/>
        </w:rPr>
        <w:t> </w:t>
      </w:r>
      <w:r>
        <w:rPr>
          <w:i/>
          <w:sz w:val="19"/>
        </w:rPr>
        <w:t>Performance:</w:t>
      </w:r>
      <w:r>
        <w:rPr>
          <w:i/>
          <w:spacing w:val="24"/>
          <w:sz w:val="19"/>
        </w:rPr>
        <w:t> </w:t>
      </w:r>
      <w:r>
        <w:rPr>
          <w:i/>
          <w:sz w:val="19"/>
        </w:rPr>
        <w:t>Ideology on</w:t>
      </w:r>
      <w:r>
        <w:rPr>
          <w:i/>
          <w:spacing w:val="40"/>
          <w:sz w:val="19"/>
        </w:rPr>
        <w:t> </w:t>
      </w:r>
      <w:r>
        <w:rPr>
          <w:i/>
          <w:sz w:val="19"/>
        </w:rPr>
        <w:t>Stage</w:t>
      </w:r>
      <w:r>
        <w:rPr>
          <w:sz w:val="19"/>
        </w:rPr>
        <w:t>.</w:t>
      </w:r>
      <w:r>
        <w:rPr>
          <w:spacing w:val="40"/>
          <w:sz w:val="19"/>
        </w:rPr>
        <w:t> </w:t>
      </w:r>
      <w:r>
        <w:rPr>
          <w:sz w:val="19"/>
        </w:rPr>
        <w:t>Routledge.</w:t>
      </w:r>
      <w:r>
        <w:rPr>
          <w:spacing w:val="40"/>
          <w:sz w:val="19"/>
        </w:rPr>
        <w:t> </w:t>
      </w:r>
      <w:r>
        <w:rPr>
          <w:sz w:val="19"/>
        </w:rPr>
        <w:t>2018</w:t>
      </w:r>
    </w:p>
    <w:p>
      <w:pPr>
        <w:pStyle w:val="ListParagraph"/>
        <w:numPr>
          <w:ilvl w:val="0"/>
          <w:numId w:val="79"/>
        </w:numPr>
        <w:tabs>
          <w:tab w:pos="2160" w:val="left" w:leader="none"/>
          <w:tab w:pos="2244" w:val="left" w:leader="none"/>
        </w:tabs>
        <w:spacing w:line="261" w:lineRule="auto" w:before="56" w:after="0"/>
        <w:ind w:left="2160" w:right="1441" w:hanging="406"/>
        <w:jc w:val="left"/>
        <w:rPr>
          <w:sz w:val="19"/>
        </w:rPr>
      </w:pPr>
      <w:r>
        <w:rPr>
          <w:sz w:val="19"/>
        </w:rPr>
        <w:tab/>
        <w:t>Rackin,</w:t>
      </w:r>
      <w:r>
        <w:rPr>
          <w:spacing w:val="27"/>
          <w:sz w:val="19"/>
        </w:rPr>
        <w:t> </w:t>
      </w:r>
      <w:r>
        <w:rPr>
          <w:sz w:val="19"/>
        </w:rPr>
        <w:t>P.</w:t>
      </w:r>
      <w:r>
        <w:rPr>
          <w:spacing w:val="24"/>
          <w:sz w:val="19"/>
        </w:rPr>
        <w:t> </w:t>
      </w:r>
      <w:r>
        <w:rPr>
          <w:i/>
          <w:sz w:val="19"/>
        </w:rPr>
        <w:t>Shakespeare</w:t>
      </w:r>
      <w:r>
        <w:rPr>
          <w:i/>
          <w:spacing w:val="26"/>
          <w:sz w:val="19"/>
        </w:rPr>
        <w:t> </w:t>
      </w:r>
      <w:r>
        <w:rPr>
          <w:i/>
          <w:sz w:val="19"/>
        </w:rPr>
        <w:t>and</w:t>
      </w:r>
      <w:r>
        <w:rPr>
          <w:i/>
          <w:spacing w:val="27"/>
          <w:sz w:val="19"/>
        </w:rPr>
        <w:t> </w:t>
      </w:r>
      <w:r>
        <w:rPr>
          <w:i/>
          <w:sz w:val="19"/>
        </w:rPr>
        <w:t>Women</w:t>
      </w:r>
      <w:r>
        <w:rPr>
          <w:sz w:val="19"/>
        </w:rPr>
        <w:t>.</w:t>
      </w:r>
      <w:r>
        <w:rPr>
          <w:spacing w:val="27"/>
          <w:sz w:val="19"/>
        </w:rPr>
        <w:t> </w:t>
      </w:r>
      <w:r>
        <w:rPr>
          <w:sz w:val="19"/>
        </w:rPr>
        <w:t>Oxford</w:t>
      </w:r>
      <w:r>
        <w:rPr>
          <w:spacing w:val="25"/>
          <w:sz w:val="19"/>
        </w:rPr>
        <w:t> </w:t>
      </w:r>
      <w:r>
        <w:rPr>
          <w:sz w:val="19"/>
        </w:rPr>
        <w:t>University</w:t>
      </w:r>
      <w:r>
        <w:rPr>
          <w:spacing w:val="22"/>
          <w:sz w:val="19"/>
        </w:rPr>
        <w:t> </w:t>
      </w:r>
      <w:r>
        <w:rPr>
          <w:sz w:val="19"/>
        </w:rPr>
        <w:t>Press. </w:t>
      </w:r>
      <w:r>
        <w:rPr>
          <w:spacing w:val="-4"/>
          <w:sz w:val="19"/>
        </w:rPr>
        <w:t>2011</w:t>
      </w:r>
    </w:p>
    <w:p>
      <w:pPr>
        <w:pStyle w:val="ListParagraph"/>
        <w:numPr>
          <w:ilvl w:val="0"/>
          <w:numId w:val="79"/>
        </w:numPr>
        <w:tabs>
          <w:tab w:pos="2160" w:val="left" w:leader="none"/>
          <w:tab w:pos="2263" w:val="left" w:leader="none"/>
        </w:tabs>
        <w:spacing w:line="261" w:lineRule="auto" w:before="59" w:after="0"/>
        <w:ind w:left="2160" w:right="1439" w:hanging="406"/>
        <w:jc w:val="left"/>
        <w:rPr>
          <w:sz w:val="19"/>
        </w:rPr>
      </w:pPr>
      <w:r>
        <w:rPr>
          <w:sz w:val="19"/>
        </w:rPr>
        <w:tab/>
        <w:t>Showalter,</w:t>
      </w:r>
      <w:r>
        <w:rPr>
          <w:spacing w:val="80"/>
          <w:sz w:val="19"/>
        </w:rPr>
        <w:t> </w:t>
      </w:r>
      <w:r>
        <w:rPr>
          <w:sz w:val="19"/>
        </w:rPr>
        <w:t>E.</w:t>
      </w:r>
      <w:r>
        <w:rPr>
          <w:spacing w:val="80"/>
          <w:sz w:val="19"/>
        </w:rPr>
        <w:t> </w:t>
      </w:r>
      <w:r>
        <w:rPr>
          <w:i/>
          <w:sz w:val="19"/>
        </w:rPr>
        <w:t>Shakespeare</w:t>
      </w:r>
      <w:r>
        <w:rPr>
          <w:i/>
          <w:spacing w:val="80"/>
          <w:sz w:val="19"/>
        </w:rPr>
        <w:t> </w:t>
      </w:r>
      <w:r>
        <w:rPr>
          <w:i/>
          <w:sz w:val="19"/>
        </w:rPr>
        <w:t>and</w:t>
      </w:r>
      <w:r>
        <w:rPr>
          <w:i/>
          <w:spacing w:val="80"/>
          <w:sz w:val="19"/>
        </w:rPr>
        <w:t> </w:t>
      </w:r>
      <w:r>
        <w:rPr>
          <w:i/>
          <w:sz w:val="19"/>
        </w:rPr>
        <w:t>the</w:t>
      </w:r>
      <w:r>
        <w:rPr>
          <w:i/>
          <w:spacing w:val="80"/>
          <w:sz w:val="19"/>
        </w:rPr>
        <w:t> </w:t>
      </w:r>
      <w:r>
        <w:rPr>
          <w:i/>
          <w:sz w:val="19"/>
        </w:rPr>
        <w:t>Question</w:t>
      </w:r>
      <w:r>
        <w:rPr>
          <w:i/>
          <w:spacing w:val="80"/>
          <w:sz w:val="19"/>
        </w:rPr>
        <w:t> </w:t>
      </w:r>
      <w:r>
        <w:rPr>
          <w:i/>
          <w:sz w:val="19"/>
        </w:rPr>
        <w:t>of</w:t>
      </w:r>
      <w:r>
        <w:rPr>
          <w:i/>
          <w:spacing w:val="80"/>
          <w:sz w:val="19"/>
        </w:rPr>
        <w:t> </w:t>
      </w:r>
      <w:r>
        <w:rPr>
          <w:i/>
          <w:sz w:val="19"/>
        </w:rPr>
        <w:t>Theory. Routledge</w:t>
      </w:r>
      <w:r>
        <w:rPr>
          <w:i/>
          <w:spacing w:val="40"/>
          <w:sz w:val="19"/>
        </w:rPr>
        <w:t> </w:t>
      </w:r>
      <w:r>
        <w:rPr>
          <w:sz w:val="19"/>
        </w:rPr>
        <w:t>1985</w:t>
      </w:r>
    </w:p>
    <w:p>
      <w:pPr>
        <w:pStyle w:val="ListParagraph"/>
        <w:spacing w:after="0" w:line="261" w:lineRule="auto"/>
        <w:jc w:val="left"/>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70464">
                <wp:simplePos x="0" y="0"/>
                <wp:positionH relativeFrom="page">
                  <wp:posOffset>2057400</wp:posOffset>
                </wp:positionH>
                <wp:positionV relativeFrom="paragraph">
                  <wp:posOffset>162604</wp:posOffset>
                </wp:positionV>
                <wp:extent cx="3657600" cy="12700"/>
                <wp:effectExtent l="0" t="0" r="0" b="0"/>
                <wp:wrapTopAndBottom/>
                <wp:docPr id="759" name="Graphic 759"/>
                <wp:cNvGraphicFramePr>
                  <a:graphicFrameLocks/>
                </wp:cNvGraphicFramePr>
                <a:graphic>
                  <a:graphicData uri="http://schemas.microsoft.com/office/word/2010/wordprocessingShape">
                    <wps:wsp>
                      <wps:cNvPr id="759" name="Graphic 75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46016;mso-wrap-distance-left:0;mso-wrap-distance-right:0" id="docshape751" filled="true" fillcolor="#000000" stroked="false">
                <v:fill type="solid"/>
                <w10:wrap type="topAndBottom"/>
              </v:rect>
            </w:pict>
          </mc:Fallback>
        </mc:AlternateContent>
      </w:r>
      <w:r>
        <w:rPr>
          <w:rFonts w:ascii="Verdana"/>
          <w:spacing w:val="-5"/>
          <w:sz w:val="18"/>
        </w:rPr>
        <w:t>384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79"/>
        </w:numPr>
        <w:tabs>
          <w:tab w:pos="2160" w:val="left" w:leader="none"/>
          <w:tab w:pos="2256" w:val="left" w:leader="none"/>
        </w:tabs>
        <w:spacing w:line="261" w:lineRule="auto" w:before="199" w:after="0"/>
        <w:ind w:left="2160" w:right="1438" w:hanging="406"/>
        <w:jc w:val="both"/>
        <w:rPr>
          <w:sz w:val="19"/>
        </w:rPr>
      </w:pPr>
      <w:r>
        <w:rPr>
          <w:sz w:val="19"/>
        </w:rPr>
        <w:tab/>
        <w:t>Smith, E. </w:t>
      </w:r>
      <w:r>
        <w:rPr>
          <w:i/>
          <w:sz w:val="19"/>
        </w:rPr>
        <w:t>Masculinity and the Metropolis of Vice in Early Modern</w:t>
      </w:r>
      <w:r>
        <w:rPr>
          <w:i/>
          <w:spacing w:val="40"/>
          <w:sz w:val="19"/>
        </w:rPr>
        <w:t> </w:t>
      </w:r>
      <w:r>
        <w:rPr>
          <w:sz w:val="19"/>
        </w:rPr>
        <w:t>London.</w:t>
      </w:r>
      <w:r>
        <w:rPr>
          <w:spacing w:val="40"/>
          <w:sz w:val="19"/>
        </w:rPr>
        <w:t> </w:t>
      </w:r>
      <w:r>
        <w:rPr>
          <w:sz w:val="19"/>
        </w:rPr>
        <w:t>Palgrave</w:t>
      </w:r>
      <w:r>
        <w:rPr>
          <w:spacing w:val="40"/>
          <w:sz w:val="19"/>
        </w:rPr>
        <w:t> </w:t>
      </w:r>
      <w:r>
        <w:rPr>
          <w:sz w:val="19"/>
        </w:rPr>
        <w:t>Macmillan.</w:t>
      </w:r>
      <w:r>
        <w:rPr>
          <w:spacing w:val="40"/>
          <w:sz w:val="19"/>
        </w:rPr>
        <w:t> </w:t>
      </w:r>
      <w:r>
        <w:rPr>
          <w:sz w:val="19"/>
        </w:rPr>
        <w:t>2007.</w:t>
      </w:r>
    </w:p>
    <w:p>
      <w:pPr>
        <w:pStyle w:val="ListParagraph"/>
        <w:numPr>
          <w:ilvl w:val="0"/>
          <w:numId w:val="79"/>
        </w:numPr>
        <w:tabs>
          <w:tab w:pos="2160" w:val="left" w:leader="none"/>
          <w:tab w:pos="2263" w:val="left" w:leader="none"/>
        </w:tabs>
        <w:spacing w:line="261" w:lineRule="auto" w:before="57" w:after="0"/>
        <w:ind w:left="2160" w:right="1438" w:hanging="406"/>
        <w:jc w:val="both"/>
        <w:rPr>
          <w:sz w:val="19"/>
        </w:rPr>
      </w:pPr>
      <w:r>
        <w:rPr>
          <w:sz w:val="19"/>
        </w:rPr>
        <w:tab/>
        <w:t>Smith, E. </w:t>
      </w:r>
      <w:r>
        <w:rPr>
          <w:i/>
          <w:sz w:val="19"/>
        </w:rPr>
        <w:t>Shakespeare’s Global </w:t>
      </w:r>
      <w:r>
        <w:rPr>
          <w:i/>
          <w:spacing w:val="9"/>
          <w:sz w:val="19"/>
        </w:rPr>
        <w:t>Philosophy:</w:t>
      </w:r>
      <w:r>
        <w:rPr>
          <w:i/>
          <w:spacing w:val="9"/>
          <w:sz w:val="19"/>
        </w:rPr>
        <w:t> </w:t>
      </w:r>
      <w:r>
        <w:rPr>
          <w:i/>
          <w:sz w:val="19"/>
        </w:rPr>
        <w:t>Exploring Shakespeare’s Based Philosophy in His Sonnets, Plays, and</w:t>
      </w:r>
      <w:r>
        <w:rPr>
          <w:i/>
          <w:spacing w:val="40"/>
          <w:sz w:val="19"/>
        </w:rPr>
        <w:t> </w:t>
      </w:r>
      <w:r>
        <w:rPr>
          <w:i/>
          <w:sz w:val="19"/>
        </w:rPr>
        <w:t>Globe</w:t>
      </w:r>
      <w:r>
        <w:rPr>
          <w:i/>
          <w:spacing w:val="40"/>
          <w:sz w:val="19"/>
        </w:rPr>
        <w:t> </w:t>
      </w:r>
      <w:r>
        <w:rPr>
          <w:i/>
          <w:sz w:val="19"/>
        </w:rPr>
        <w:t>Construction</w:t>
      </w:r>
      <w:r>
        <w:rPr>
          <w:sz w:val="19"/>
        </w:rPr>
        <w:t>.</w:t>
      </w:r>
      <w:r>
        <w:rPr>
          <w:spacing w:val="40"/>
          <w:sz w:val="19"/>
        </w:rPr>
        <w:t> </w:t>
      </w:r>
      <w:r>
        <w:rPr>
          <w:sz w:val="19"/>
        </w:rPr>
        <w:t>Sussex</w:t>
      </w:r>
      <w:r>
        <w:rPr>
          <w:spacing w:val="40"/>
          <w:sz w:val="19"/>
        </w:rPr>
        <w:t> </w:t>
      </w:r>
      <w:r>
        <w:rPr>
          <w:sz w:val="19"/>
        </w:rPr>
        <w:t>Academic</w:t>
      </w:r>
      <w:r>
        <w:rPr>
          <w:spacing w:val="40"/>
          <w:sz w:val="19"/>
        </w:rPr>
        <w:t> </w:t>
      </w:r>
      <w:r>
        <w:rPr>
          <w:sz w:val="19"/>
        </w:rPr>
        <w:t>Press.</w:t>
      </w:r>
      <w:r>
        <w:rPr>
          <w:spacing w:val="40"/>
          <w:sz w:val="19"/>
        </w:rPr>
        <w:t> </w:t>
      </w:r>
      <w:r>
        <w:rPr>
          <w:sz w:val="19"/>
        </w:rPr>
        <w:t>2013</w:t>
      </w:r>
    </w:p>
    <w:p>
      <w:pPr>
        <w:pStyle w:val="ListParagraph"/>
        <w:numPr>
          <w:ilvl w:val="0"/>
          <w:numId w:val="79"/>
        </w:numPr>
        <w:tabs>
          <w:tab w:pos="2160" w:val="left" w:leader="none"/>
          <w:tab w:pos="2220" w:val="left" w:leader="none"/>
        </w:tabs>
        <w:spacing w:line="261" w:lineRule="auto" w:before="58" w:after="0"/>
        <w:ind w:left="2160" w:right="1441" w:hanging="406"/>
        <w:jc w:val="both"/>
        <w:rPr>
          <w:sz w:val="19"/>
        </w:rPr>
      </w:pPr>
      <w:r>
        <w:rPr>
          <w:sz w:val="19"/>
        </w:rPr>
        <w:t>Wells,</w:t>
      </w:r>
      <w:r>
        <w:rPr>
          <w:spacing w:val="40"/>
          <w:sz w:val="19"/>
        </w:rPr>
        <w:t> </w:t>
      </w:r>
      <w:r>
        <w:rPr>
          <w:sz w:val="19"/>
        </w:rPr>
        <w:t>R. </w:t>
      </w:r>
      <w:r>
        <w:rPr>
          <w:i/>
          <w:sz w:val="19"/>
        </w:rPr>
        <w:t>Shakespeare, Sex, and Love. </w:t>
      </w:r>
      <w:r>
        <w:rPr>
          <w:sz w:val="19"/>
        </w:rPr>
        <w:t>Oxford University Press. </w:t>
      </w:r>
      <w:r>
        <w:rPr>
          <w:spacing w:val="-2"/>
          <w:sz w:val="19"/>
        </w:rPr>
        <w:t>(2012</w:t>
      </w:r>
    </w:p>
    <w:p>
      <w:pPr>
        <w:pStyle w:val="ListParagraph"/>
        <w:numPr>
          <w:ilvl w:val="0"/>
          <w:numId w:val="79"/>
        </w:numPr>
        <w:tabs>
          <w:tab w:pos="2157" w:val="left" w:leader="none"/>
          <w:tab w:pos="2160" w:val="left" w:leader="none"/>
        </w:tabs>
        <w:spacing w:line="261" w:lineRule="auto" w:before="59" w:after="0"/>
        <w:ind w:left="2160" w:right="1441" w:hanging="406"/>
        <w:jc w:val="both"/>
        <w:rPr>
          <w:sz w:val="19"/>
        </w:rPr>
      </w:pPr>
      <w:r>
        <w:rPr>
          <w:sz w:val="19"/>
        </w:rPr>
        <w:t>Aston,</w:t>
      </w:r>
      <w:r>
        <w:rPr>
          <w:spacing w:val="38"/>
          <w:sz w:val="19"/>
        </w:rPr>
        <w:t> </w:t>
      </w:r>
      <w:r>
        <w:rPr>
          <w:sz w:val="19"/>
        </w:rPr>
        <w:t>E.,</w:t>
      </w:r>
      <w:r>
        <w:rPr>
          <w:spacing w:val="36"/>
          <w:sz w:val="19"/>
        </w:rPr>
        <w:t> </w:t>
      </w:r>
      <w:r>
        <w:rPr>
          <w:sz w:val="19"/>
        </w:rPr>
        <w:t>&amp;</w:t>
      </w:r>
      <w:r>
        <w:rPr>
          <w:spacing w:val="34"/>
          <w:sz w:val="19"/>
        </w:rPr>
        <w:t> </w:t>
      </w:r>
      <w:r>
        <w:rPr>
          <w:sz w:val="19"/>
        </w:rPr>
        <w:t>Savona,</w:t>
      </w:r>
      <w:r>
        <w:rPr>
          <w:spacing w:val="36"/>
          <w:sz w:val="19"/>
        </w:rPr>
        <w:t> </w:t>
      </w:r>
      <w:r>
        <w:rPr>
          <w:sz w:val="19"/>
        </w:rPr>
        <w:t>G.</w:t>
      </w:r>
      <w:r>
        <w:rPr>
          <w:spacing w:val="39"/>
          <w:sz w:val="19"/>
        </w:rPr>
        <w:t> </w:t>
      </w:r>
      <w:r>
        <w:rPr>
          <w:i/>
          <w:sz w:val="19"/>
        </w:rPr>
        <w:t>Theatre</w:t>
      </w:r>
      <w:r>
        <w:rPr>
          <w:i/>
          <w:spacing w:val="36"/>
          <w:sz w:val="19"/>
        </w:rPr>
        <w:t> </w:t>
      </w:r>
      <w:r>
        <w:rPr>
          <w:i/>
          <w:sz w:val="19"/>
        </w:rPr>
        <w:t>as</w:t>
      </w:r>
      <w:r>
        <w:rPr>
          <w:i/>
          <w:spacing w:val="36"/>
          <w:sz w:val="19"/>
        </w:rPr>
        <w:t> </w:t>
      </w:r>
      <w:r>
        <w:rPr>
          <w:i/>
          <w:sz w:val="19"/>
        </w:rPr>
        <w:t>Sign-System:</w:t>
      </w:r>
      <w:r>
        <w:rPr>
          <w:i/>
          <w:spacing w:val="33"/>
          <w:sz w:val="19"/>
        </w:rPr>
        <w:t> </w:t>
      </w:r>
      <w:r>
        <w:rPr>
          <w:i/>
          <w:sz w:val="19"/>
        </w:rPr>
        <w:t>A</w:t>
      </w:r>
      <w:r>
        <w:rPr>
          <w:i/>
          <w:spacing w:val="34"/>
          <w:sz w:val="19"/>
        </w:rPr>
        <w:t> </w:t>
      </w:r>
      <w:r>
        <w:rPr>
          <w:i/>
          <w:sz w:val="19"/>
        </w:rPr>
        <w:t>Semiotics of</w:t>
      </w:r>
      <w:r>
        <w:rPr>
          <w:i/>
          <w:spacing w:val="40"/>
          <w:sz w:val="19"/>
        </w:rPr>
        <w:t> </w:t>
      </w:r>
      <w:r>
        <w:rPr>
          <w:i/>
          <w:sz w:val="19"/>
        </w:rPr>
        <w:t>Text</w:t>
      </w:r>
      <w:r>
        <w:rPr>
          <w:i/>
          <w:spacing w:val="40"/>
          <w:sz w:val="19"/>
        </w:rPr>
        <w:t> </w:t>
      </w:r>
      <w:r>
        <w:rPr>
          <w:i/>
          <w:sz w:val="19"/>
        </w:rPr>
        <w:t>and</w:t>
      </w:r>
      <w:r>
        <w:rPr>
          <w:i/>
          <w:spacing w:val="40"/>
          <w:sz w:val="19"/>
        </w:rPr>
        <w:t> </w:t>
      </w:r>
      <w:r>
        <w:rPr>
          <w:i/>
          <w:sz w:val="19"/>
        </w:rPr>
        <w:t>Performance.</w:t>
      </w:r>
      <w:r>
        <w:rPr>
          <w:i/>
          <w:spacing w:val="40"/>
          <w:sz w:val="19"/>
        </w:rPr>
        <w:t> </w:t>
      </w:r>
      <w:r>
        <w:rPr>
          <w:sz w:val="19"/>
        </w:rPr>
        <w:t>Routledge.</w:t>
      </w:r>
      <w:r>
        <w:rPr>
          <w:spacing w:val="40"/>
          <w:sz w:val="19"/>
        </w:rPr>
        <w:t> </w:t>
      </w:r>
      <w:r>
        <w:rPr>
          <w:sz w:val="19"/>
        </w:rPr>
        <w:t>2013</w:t>
      </w:r>
    </w:p>
    <w:p>
      <w:pPr>
        <w:pStyle w:val="ListParagraph"/>
        <w:numPr>
          <w:ilvl w:val="0"/>
          <w:numId w:val="79"/>
        </w:numPr>
        <w:tabs>
          <w:tab w:pos="2157" w:val="left" w:leader="none"/>
          <w:tab w:pos="2160" w:val="left" w:leader="none"/>
        </w:tabs>
        <w:spacing w:line="261" w:lineRule="auto" w:before="56" w:after="0"/>
        <w:ind w:left="2160" w:right="1439" w:hanging="406"/>
        <w:jc w:val="both"/>
        <w:rPr>
          <w:sz w:val="19"/>
        </w:rPr>
      </w:pPr>
      <w:r>
        <w:rPr>
          <w:sz w:val="19"/>
        </w:rPr>
        <w:t>Bachav, Hemant Sunil. </w:t>
      </w:r>
      <w:r>
        <w:rPr>
          <w:i/>
          <w:sz w:val="19"/>
        </w:rPr>
        <w:t>The Politics of Gender: Power Relations in Shakespeare’s plays </w:t>
      </w:r>
      <w:r>
        <w:rPr>
          <w:spacing w:val="9"/>
          <w:sz w:val="19"/>
        </w:rPr>
        <w:t>International</w:t>
      </w:r>
      <w:r>
        <w:rPr>
          <w:spacing w:val="9"/>
          <w:sz w:val="19"/>
        </w:rPr>
        <w:t> Journal</w:t>
      </w:r>
      <w:r>
        <w:rPr>
          <w:spacing w:val="9"/>
          <w:sz w:val="19"/>
        </w:rPr>
        <w:t> </w:t>
      </w:r>
      <w:r>
        <w:rPr>
          <w:sz w:val="19"/>
        </w:rPr>
        <w:t>of English Literature</w:t>
      </w:r>
      <w:r>
        <w:rPr>
          <w:spacing w:val="-6"/>
          <w:sz w:val="19"/>
        </w:rPr>
        <w:t> </w:t>
      </w:r>
      <w:r>
        <w:rPr>
          <w:sz w:val="19"/>
        </w:rPr>
        <w:t>and</w:t>
      </w:r>
      <w:r>
        <w:rPr>
          <w:spacing w:val="-5"/>
          <w:sz w:val="19"/>
        </w:rPr>
        <w:t> </w:t>
      </w:r>
      <w:r>
        <w:rPr>
          <w:sz w:val="19"/>
        </w:rPr>
        <w:t>Social</w:t>
      </w:r>
      <w:r>
        <w:rPr>
          <w:spacing w:val="-6"/>
          <w:sz w:val="19"/>
        </w:rPr>
        <w:t> </w:t>
      </w:r>
      <w:r>
        <w:rPr>
          <w:sz w:val="19"/>
        </w:rPr>
        <w:t>Sciences,</w:t>
      </w:r>
      <w:r>
        <w:rPr>
          <w:spacing w:val="-6"/>
          <w:sz w:val="19"/>
        </w:rPr>
        <w:t> </w:t>
      </w:r>
      <w:r>
        <w:rPr>
          <w:sz w:val="19"/>
        </w:rPr>
        <w:t>Vol-10,</w:t>
      </w:r>
      <w:r>
        <w:rPr>
          <w:spacing w:val="-5"/>
          <w:sz w:val="19"/>
        </w:rPr>
        <w:t> </w:t>
      </w:r>
      <w:r>
        <w:rPr>
          <w:sz w:val="19"/>
        </w:rPr>
        <w:t>Issue</w:t>
      </w:r>
      <w:r>
        <w:rPr>
          <w:spacing w:val="-5"/>
          <w:sz w:val="19"/>
        </w:rPr>
        <w:t> </w:t>
      </w:r>
      <w:r>
        <w:rPr>
          <w:sz w:val="19"/>
        </w:rPr>
        <w:t>3;</w:t>
      </w:r>
      <w:r>
        <w:rPr>
          <w:spacing w:val="-5"/>
          <w:sz w:val="19"/>
        </w:rPr>
        <w:t> </w:t>
      </w:r>
      <w:r>
        <w:rPr>
          <w:sz w:val="19"/>
        </w:rPr>
        <w:t>May</w:t>
      </w:r>
      <w:r>
        <w:rPr>
          <w:spacing w:val="-11"/>
          <w:sz w:val="19"/>
        </w:rPr>
        <w:t> </w:t>
      </w:r>
      <w:r>
        <w:rPr>
          <w:sz w:val="19"/>
        </w:rPr>
        <w:t>-June,20225.</w:t>
      </w:r>
    </w:p>
    <w:p>
      <w:pPr>
        <w:pStyle w:val="ListParagraph"/>
        <w:numPr>
          <w:ilvl w:val="0"/>
          <w:numId w:val="79"/>
        </w:numPr>
        <w:tabs>
          <w:tab w:pos="2157" w:val="left" w:leader="none"/>
          <w:tab w:pos="2160" w:val="left" w:leader="none"/>
        </w:tabs>
        <w:spacing w:line="261" w:lineRule="auto" w:before="59" w:after="0"/>
        <w:ind w:left="2160" w:right="1437" w:hanging="406"/>
        <w:jc w:val="both"/>
        <w:rPr>
          <w:sz w:val="19"/>
        </w:rPr>
      </w:pPr>
      <w:r>
        <w:rPr>
          <w:sz w:val="19"/>
        </w:rPr>
        <w:t>Barry,</w:t>
      </w:r>
      <w:r>
        <w:rPr>
          <w:spacing w:val="40"/>
          <w:sz w:val="19"/>
        </w:rPr>
        <w:t> </w:t>
      </w:r>
      <w:r>
        <w:rPr>
          <w:sz w:val="19"/>
        </w:rPr>
        <w:t>Peter.</w:t>
      </w:r>
      <w:r>
        <w:rPr>
          <w:spacing w:val="40"/>
          <w:sz w:val="19"/>
        </w:rPr>
        <w:t> </w:t>
      </w:r>
      <w:r>
        <w:rPr>
          <w:i/>
          <w:sz w:val="19"/>
        </w:rPr>
        <w:t>Beginning</w:t>
      </w:r>
      <w:r>
        <w:rPr>
          <w:i/>
          <w:spacing w:val="40"/>
          <w:sz w:val="19"/>
        </w:rPr>
        <w:t> </w:t>
      </w:r>
      <w:r>
        <w:rPr>
          <w:i/>
          <w:sz w:val="19"/>
        </w:rPr>
        <w:t>Theory:</w:t>
      </w:r>
      <w:r>
        <w:rPr>
          <w:i/>
          <w:spacing w:val="40"/>
          <w:sz w:val="19"/>
        </w:rPr>
        <w:t> </w:t>
      </w:r>
      <w:r>
        <w:rPr>
          <w:i/>
          <w:sz w:val="19"/>
        </w:rPr>
        <w:t>An</w:t>
      </w:r>
      <w:r>
        <w:rPr>
          <w:i/>
          <w:spacing w:val="40"/>
          <w:sz w:val="19"/>
        </w:rPr>
        <w:t> </w:t>
      </w:r>
      <w:r>
        <w:rPr>
          <w:i/>
          <w:sz w:val="19"/>
        </w:rPr>
        <w:t>Introduction</w:t>
      </w:r>
      <w:r>
        <w:rPr>
          <w:i/>
          <w:spacing w:val="40"/>
          <w:sz w:val="19"/>
        </w:rPr>
        <w:t> </w:t>
      </w:r>
      <w:r>
        <w:rPr>
          <w:i/>
          <w:sz w:val="19"/>
        </w:rPr>
        <w:t>to</w:t>
      </w:r>
      <w:r>
        <w:rPr>
          <w:i/>
          <w:spacing w:val="40"/>
          <w:sz w:val="19"/>
        </w:rPr>
        <w:t> </w:t>
      </w:r>
      <w:r>
        <w:rPr>
          <w:i/>
          <w:sz w:val="19"/>
        </w:rPr>
        <w:t>Literary and</w:t>
      </w:r>
      <w:r>
        <w:rPr>
          <w:i/>
          <w:spacing w:val="40"/>
          <w:sz w:val="19"/>
        </w:rPr>
        <w:t> </w:t>
      </w:r>
      <w:r>
        <w:rPr>
          <w:i/>
          <w:sz w:val="19"/>
        </w:rPr>
        <w:t>Cultural</w:t>
      </w:r>
      <w:r>
        <w:rPr>
          <w:i/>
          <w:spacing w:val="40"/>
          <w:sz w:val="19"/>
        </w:rPr>
        <w:t> </w:t>
      </w:r>
      <w:r>
        <w:rPr>
          <w:i/>
          <w:sz w:val="19"/>
        </w:rPr>
        <w:t>Theory,</w:t>
      </w:r>
      <w:r>
        <w:rPr>
          <w:i/>
          <w:spacing w:val="40"/>
          <w:sz w:val="19"/>
        </w:rPr>
        <w:t> </w:t>
      </w:r>
      <w:r>
        <w:rPr>
          <w:sz w:val="19"/>
        </w:rPr>
        <w:t>Viva</w:t>
      </w:r>
      <w:r>
        <w:rPr>
          <w:spacing w:val="40"/>
          <w:sz w:val="19"/>
        </w:rPr>
        <w:t> </w:t>
      </w:r>
      <w:r>
        <w:rPr>
          <w:sz w:val="19"/>
        </w:rPr>
        <w:t>Books</w:t>
      </w:r>
      <w:r>
        <w:rPr>
          <w:spacing w:val="40"/>
          <w:sz w:val="19"/>
        </w:rPr>
        <w:t> </w:t>
      </w:r>
      <w:r>
        <w:rPr>
          <w:sz w:val="19"/>
        </w:rPr>
        <w:t>Private</w:t>
      </w:r>
      <w:r>
        <w:rPr>
          <w:spacing w:val="40"/>
          <w:sz w:val="19"/>
        </w:rPr>
        <w:t> </w:t>
      </w:r>
      <w:r>
        <w:rPr>
          <w:sz w:val="19"/>
        </w:rPr>
        <w:t>limited</w:t>
      </w:r>
      <w:r>
        <w:rPr>
          <w:spacing w:val="40"/>
          <w:sz w:val="19"/>
        </w:rPr>
        <w:t> </w:t>
      </w:r>
      <w:r>
        <w:rPr>
          <w:sz w:val="19"/>
        </w:rPr>
        <w:t>2010</w:t>
      </w:r>
    </w:p>
    <w:p>
      <w:pPr>
        <w:pStyle w:val="ListParagraph"/>
        <w:numPr>
          <w:ilvl w:val="0"/>
          <w:numId w:val="79"/>
        </w:numPr>
        <w:tabs>
          <w:tab w:pos="2157" w:val="left" w:leader="none"/>
          <w:tab w:pos="2160" w:val="left" w:leader="none"/>
        </w:tabs>
        <w:spacing w:line="261" w:lineRule="auto" w:before="56" w:after="0"/>
        <w:ind w:left="2160" w:right="1440" w:hanging="406"/>
        <w:jc w:val="both"/>
        <w:rPr>
          <w:sz w:val="19"/>
        </w:rPr>
      </w:pPr>
      <w:r>
        <w:rPr>
          <w:sz w:val="19"/>
        </w:rPr>
        <w:t>Dr. Pradhan, Kalyani. Gender </w:t>
      </w:r>
      <w:r>
        <w:rPr>
          <w:i/>
          <w:sz w:val="19"/>
        </w:rPr>
        <w:t>Dynamics in Shakespearean Tragedies A Feminist Perspective, </w:t>
      </w:r>
      <w:r>
        <w:rPr>
          <w:sz w:val="19"/>
        </w:rPr>
        <w:t>EXPRESSIO: BSS Journal of English</w:t>
      </w:r>
      <w:r>
        <w:rPr>
          <w:spacing w:val="40"/>
          <w:sz w:val="19"/>
        </w:rPr>
        <w:t> </w:t>
      </w:r>
      <w:r>
        <w:rPr>
          <w:sz w:val="19"/>
        </w:rPr>
        <w:t>Language</w:t>
      </w:r>
      <w:r>
        <w:rPr>
          <w:spacing w:val="40"/>
          <w:sz w:val="19"/>
        </w:rPr>
        <w:t> </w:t>
      </w:r>
      <w:r>
        <w:rPr>
          <w:sz w:val="19"/>
        </w:rPr>
        <w:t>and</w:t>
      </w:r>
      <w:r>
        <w:rPr>
          <w:spacing w:val="40"/>
          <w:sz w:val="19"/>
        </w:rPr>
        <w:t> </w:t>
      </w:r>
      <w:r>
        <w:rPr>
          <w:sz w:val="19"/>
        </w:rPr>
        <w:t>Literature,</w:t>
      </w:r>
      <w:r>
        <w:rPr>
          <w:spacing w:val="40"/>
          <w:sz w:val="19"/>
        </w:rPr>
        <w:t> </w:t>
      </w:r>
      <w:r>
        <w:rPr>
          <w:sz w:val="19"/>
        </w:rPr>
        <w:t>Volume</w:t>
      </w:r>
      <w:r>
        <w:rPr>
          <w:spacing w:val="40"/>
          <w:sz w:val="19"/>
        </w:rPr>
        <w:t> </w:t>
      </w:r>
      <w:r>
        <w:rPr>
          <w:sz w:val="19"/>
        </w:rPr>
        <w:t>11,</w:t>
      </w:r>
      <w:r>
        <w:rPr>
          <w:spacing w:val="40"/>
          <w:sz w:val="19"/>
        </w:rPr>
        <w:t> </w:t>
      </w:r>
      <w:r>
        <w:rPr>
          <w:sz w:val="19"/>
        </w:rPr>
        <w:t>Issue</w:t>
      </w:r>
      <w:r>
        <w:rPr>
          <w:spacing w:val="40"/>
          <w:sz w:val="19"/>
        </w:rPr>
        <w:t> </w:t>
      </w:r>
      <w:r>
        <w:rPr>
          <w:sz w:val="19"/>
        </w:rPr>
        <w:t>I</w:t>
      </w:r>
      <w:r>
        <w:rPr>
          <w:spacing w:val="40"/>
          <w:sz w:val="19"/>
        </w:rPr>
        <w:t> </w:t>
      </w:r>
      <w:r>
        <w:rPr>
          <w:sz w:val="19"/>
        </w:rPr>
        <w:t>2024</w:t>
      </w:r>
    </w:p>
    <w:p>
      <w:pPr>
        <w:pStyle w:val="ListParagraph"/>
        <w:numPr>
          <w:ilvl w:val="0"/>
          <w:numId w:val="79"/>
        </w:numPr>
        <w:tabs>
          <w:tab w:pos="2157" w:val="left" w:leader="none"/>
          <w:tab w:pos="2160" w:val="left" w:leader="none"/>
        </w:tabs>
        <w:spacing w:line="261" w:lineRule="auto" w:before="59" w:after="0"/>
        <w:ind w:left="2160" w:right="1440" w:hanging="406"/>
        <w:jc w:val="both"/>
        <w:rPr>
          <w:sz w:val="19"/>
        </w:rPr>
      </w:pPr>
      <w:r>
        <w:rPr>
          <w:sz w:val="19"/>
        </w:rPr>
        <w:t>Dr. Upadhay, Suneeta. </w:t>
      </w:r>
      <w:r>
        <w:rPr>
          <w:i/>
          <w:sz w:val="19"/>
        </w:rPr>
        <w:t>The Relationship between Gender and Power in Shakespeare’s Plays, </w:t>
      </w:r>
      <w:r>
        <w:rPr>
          <w:sz w:val="19"/>
        </w:rPr>
        <w:t>IJHSSI, www.ijhsi.org\Vol 12 Issue</w:t>
      </w:r>
      <w:r>
        <w:rPr>
          <w:spacing w:val="40"/>
          <w:sz w:val="19"/>
        </w:rPr>
        <w:t> </w:t>
      </w:r>
      <w:r>
        <w:rPr>
          <w:sz w:val="19"/>
        </w:rPr>
        <w:t>3//</w:t>
      </w:r>
      <w:r>
        <w:rPr>
          <w:spacing w:val="40"/>
          <w:sz w:val="19"/>
        </w:rPr>
        <w:t> </w:t>
      </w:r>
      <w:r>
        <w:rPr>
          <w:sz w:val="19"/>
        </w:rPr>
        <w:t>March,2023//PP133-135</w:t>
      </w:r>
    </w:p>
    <w:p>
      <w:pPr>
        <w:pStyle w:val="ListParagraph"/>
        <w:numPr>
          <w:ilvl w:val="0"/>
          <w:numId w:val="79"/>
        </w:numPr>
        <w:tabs>
          <w:tab w:pos="2157" w:val="left" w:leader="none"/>
          <w:tab w:pos="2160" w:val="left" w:leader="none"/>
        </w:tabs>
        <w:spacing w:line="261" w:lineRule="auto" w:before="58" w:after="0"/>
        <w:ind w:left="2160" w:right="1439" w:hanging="406"/>
        <w:jc w:val="both"/>
        <w:rPr>
          <w:sz w:val="19"/>
        </w:rPr>
      </w:pPr>
      <w:r>
        <w:rPr>
          <w:sz w:val="19"/>
        </w:rPr>
        <w:t>Ghorpade, R. P. and Samy. </w:t>
      </w:r>
      <w:r>
        <w:rPr>
          <w:i/>
          <w:sz w:val="19"/>
        </w:rPr>
        <w:t>The Representation of women in Shakespeare’s</w:t>
      </w:r>
      <w:r>
        <w:rPr>
          <w:i/>
          <w:spacing w:val="40"/>
          <w:sz w:val="19"/>
        </w:rPr>
        <w:t> </w:t>
      </w:r>
      <w:r>
        <w:rPr>
          <w:i/>
          <w:sz w:val="19"/>
        </w:rPr>
        <w:t>plays:</w:t>
      </w:r>
      <w:r>
        <w:rPr>
          <w:i/>
          <w:spacing w:val="38"/>
          <w:sz w:val="19"/>
        </w:rPr>
        <w:t> </w:t>
      </w:r>
      <w:r>
        <w:rPr>
          <w:i/>
          <w:sz w:val="19"/>
        </w:rPr>
        <w:t>A</w:t>
      </w:r>
      <w:r>
        <w:rPr>
          <w:i/>
          <w:spacing w:val="38"/>
          <w:sz w:val="19"/>
        </w:rPr>
        <w:t> </w:t>
      </w:r>
      <w:r>
        <w:rPr>
          <w:i/>
          <w:sz w:val="19"/>
        </w:rPr>
        <w:t>Feminist</w:t>
      </w:r>
      <w:r>
        <w:rPr>
          <w:i/>
          <w:spacing w:val="40"/>
          <w:sz w:val="19"/>
        </w:rPr>
        <w:t> </w:t>
      </w:r>
      <w:r>
        <w:rPr>
          <w:i/>
          <w:sz w:val="19"/>
        </w:rPr>
        <w:t>Analysis,</w:t>
      </w:r>
      <w:r>
        <w:rPr>
          <w:i/>
          <w:spacing w:val="40"/>
          <w:sz w:val="19"/>
        </w:rPr>
        <w:t> </w:t>
      </w:r>
      <w:r>
        <w:rPr>
          <w:sz w:val="19"/>
        </w:rPr>
        <w:t>Shodhkosh:</w:t>
      </w:r>
      <w:r>
        <w:rPr>
          <w:spacing w:val="40"/>
          <w:sz w:val="19"/>
        </w:rPr>
        <w:t> </w:t>
      </w:r>
      <w:r>
        <w:rPr>
          <w:sz w:val="19"/>
        </w:rPr>
        <w:t>journal of Visual and Performing Arts 4(2) 4014-4020. doi 10.29121 / shodhkosh.</w:t>
      </w:r>
      <w:r>
        <w:rPr>
          <w:spacing w:val="40"/>
          <w:sz w:val="19"/>
        </w:rPr>
        <w:t> </w:t>
      </w:r>
      <w:r>
        <w:rPr>
          <w:sz w:val="19"/>
        </w:rPr>
        <w:t>v 4i2023.4537.</w:t>
      </w:r>
      <w:r>
        <w:rPr>
          <w:spacing w:val="40"/>
          <w:sz w:val="19"/>
        </w:rPr>
        <w:t> </w:t>
      </w:r>
      <w:r>
        <w:rPr>
          <w:sz w:val="19"/>
        </w:rPr>
        <w:t>2023</w:t>
      </w:r>
    </w:p>
    <w:p>
      <w:pPr>
        <w:pStyle w:val="ListParagraph"/>
        <w:numPr>
          <w:ilvl w:val="0"/>
          <w:numId w:val="79"/>
        </w:numPr>
        <w:tabs>
          <w:tab w:pos="2157" w:val="left" w:leader="none"/>
          <w:tab w:pos="2160" w:val="left" w:leader="none"/>
        </w:tabs>
        <w:spacing w:line="261" w:lineRule="auto" w:before="58" w:after="0"/>
        <w:ind w:left="2160" w:right="1433" w:hanging="406"/>
        <w:jc w:val="both"/>
        <w:rPr>
          <w:sz w:val="19"/>
        </w:rPr>
      </w:pPr>
      <w:r>
        <w:rPr>
          <w:sz w:val="19"/>
        </w:rPr>
        <w:t>Greenblatt,</w:t>
      </w:r>
      <w:r>
        <w:rPr>
          <w:spacing w:val="80"/>
          <w:sz w:val="19"/>
        </w:rPr>
        <w:t> </w:t>
      </w:r>
      <w:r>
        <w:rPr>
          <w:sz w:val="19"/>
        </w:rPr>
        <w:t>S.</w:t>
      </w:r>
      <w:r>
        <w:rPr>
          <w:spacing w:val="80"/>
          <w:sz w:val="19"/>
        </w:rPr>
        <w:t> </w:t>
      </w:r>
      <w:r>
        <w:rPr>
          <w:i/>
          <w:sz w:val="19"/>
        </w:rPr>
        <w:t>Shakespearean</w:t>
      </w:r>
      <w:r>
        <w:rPr>
          <w:i/>
          <w:spacing w:val="80"/>
          <w:sz w:val="19"/>
        </w:rPr>
        <w:t> </w:t>
      </w:r>
      <w:r>
        <w:rPr>
          <w:i/>
          <w:sz w:val="19"/>
        </w:rPr>
        <w:t>Negotiations:</w:t>
      </w:r>
      <w:r>
        <w:rPr>
          <w:i/>
          <w:spacing w:val="80"/>
          <w:sz w:val="19"/>
        </w:rPr>
        <w:t> </w:t>
      </w:r>
      <w:r>
        <w:rPr>
          <w:i/>
          <w:sz w:val="19"/>
        </w:rPr>
        <w:t>The</w:t>
      </w:r>
      <w:r>
        <w:rPr>
          <w:i/>
          <w:spacing w:val="80"/>
          <w:sz w:val="19"/>
        </w:rPr>
        <w:t> </w:t>
      </w:r>
      <w:r>
        <w:rPr>
          <w:i/>
          <w:sz w:val="19"/>
        </w:rPr>
        <w:t>Circulation of Social Energy in Renaissance </w:t>
      </w:r>
      <w:r>
        <w:rPr>
          <w:sz w:val="19"/>
        </w:rPr>
        <w:t>England. Oxford University Press.</w:t>
      </w:r>
      <w:r>
        <w:rPr>
          <w:spacing w:val="40"/>
          <w:sz w:val="19"/>
        </w:rPr>
        <w:t> </w:t>
      </w:r>
      <w:r>
        <w:rPr>
          <w:sz w:val="19"/>
        </w:rPr>
        <w:t>1980</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35648">
                <wp:simplePos x="0" y="0"/>
                <wp:positionH relativeFrom="page">
                  <wp:posOffset>2057400</wp:posOffset>
                </wp:positionH>
                <wp:positionV relativeFrom="page">
                  <wp:posOffset>1788723</wp:posOffset>
                </wp:positionV>
                <wp:extent cx="3655060" cy="140335"/>
                <wp:effectExtent l="0" t="0" r="0" b="0"/>
                <wp:wrapNone/>
                <wp:docPr id="760" name="Textbox 760"/>
                <wp:cNvGraphicFramePr>
                  <a:graphicFrameLocks/>
                </wp:cNvGraphicFramePr>
                <a:graphic>
                  <a:graphicData uri="http://schemas.microsoft.com/office/word/2010/wordprocessingShape">
                    <wps:wsp>
                      <wps:cNvPr id="760" name="Textbox 760"/>
                      <wps:cNvSpPr txBox="1"/>
                      <wps:spPr>
                        <a:xfrm>
                          <a:off x="0" y="0"/>
                          <a:ext cx="3655060" cy="140335"/>
                        </a:xfrm>
                        <a:prstGeom prst="rect">
                          <a:avLst/>
                        </a:prstGeom>
                      </wps:spPr>
                      <wps:txbx>
                        <w:txbxContent>
                          <w:p>
                            <w:pPr>
                              <w:tabs>
                                <w:tab w:pos="5441" w:val="left" w:leader="none"/>
                              </w:tabs>
                              <w:spacing w:line="219" w:lineRule="exact" w:before="0"/>
                              <w:ind w:left="0" w:right="0" w:firstLine="0"/>
                              <w:jc w:val="left"/>
                              <w:rPr>
                                <w:rFonts w:ascii="Verdana"/>
                                <w:sz w:val="18"/>
                              </w:rPr>
                            </w:pPr>
                            <w:r>
                              <w:rPr>
                                <w:rFonts w:ascii="Verdana"/>
                                <w:sz w:val="18"/>
                              </w:rPr>
                              <w:t>Between</w:t>
                            </w:r>
                            <w:r>
                              <w:rPr>
                                <w:rFonts w:ascii="Verdana"/>
                                <w:spacing w:val="-1"/>
                                <w:sz w:val="18"/>
                              </w:rPr>
                              <w:t> </w:t>
                            </w:r>
                            <w:r>
                              <w:rPr>
                                <w:rFonts w:ascii="Verdana"/>
                                <w:sz w:val="18"/>
                              </w:rPr>
                              <w:t>Joy</w:t>
                            </w:r>
                            <w:r>
                              <w:rPr>
                                <w:rFonts w:ascii="Verdana"/>
                                <w:spacing w:val="-1"/>
                                <w:sz w:val="18"/>
                              </w:rPr>
                              <w:t> </w:t>
                            </w:r>
                            <w:r>
                              <w:rPr>
                                <w:rFonts w:ascii="Verdana"/>
                                <w:sz w:val="18"/>
                              </w:rPr>
                              <w:t>and</w:t>
                            </w:r>
                            <w:r>
                              <w:rPr>
                                <w:rFonts w:ascii="Verdana"/>
                                <w:spacing w:val="-1"/>
                                <w:sz w:val="18"/>
                              </w:rPr>
                              <w:t> </w:t>
                            </w:r>
                            <w:r>
                              <w:rPr>
                                <w:rFonts w:ascii="Verdana"/>
                                <w:sz w:val="18"/>
                              </w:rPr>
                              <w:t>Ruin:</w:t>
                            </w:r>
                            <w:r>
                              <w:rPr>
                                <w:rFonts w:ascii="Verdana"/>
                                <w:spacing w:val="-1"/>
                                <w:sz w:val="18"/>
                              </w:rPr>
                              <w:t> </w:t>
                            </w:r>
                            <w:r>
                              <w:rPr>
                                <w:rFonts w:ascii="Verdana"/>
                                <w:sz w:val="18"/>
                              </w:rPr>
                              <w:t>The</w:t>
                            </w:r>
                            <w:r>
                              <w:rPr>
                                <w:rFonts w:ascii="Verdana"/>
                                <w:spacing w:val="2"/>
                                <w:sz w:val="18"/>
                              </w:rPr>
                              <w:t> </w:t>
                            </w:r>
                            <w:r>
                              <w:rPr>
                                <w:rFonts w:ascii="Verdana"/>
                                <w:sz w:val="18"/>
                              </w:rPr>
                              <w:t>Role of Women Under</w:t>
                            </w:r>
                            <w:r>
                              <w:rPr>
                                <w:rFonts w:ascii="Verdana"/>
                                <w:spacing w:val="1"/>
                                <w:sz w:val="18"/>
                              </w:rPr>
                              <w:t> </w:t>
                            </w:r>
                            <w:r>
                              <w:rPr>
                                <w:rFonts w:ascii="Verdana"/>
                                <w:spacing w:val="-2"/>
                                <w:w w:val="95"/>
                                <w:sz w:val="18"/>
                              </w:rPr>
                              <w:t>the...</w:t>
                            </w:r>
                            <w:r>
                              <w:rPr>
                                <w:rFonts w:ascii="Verdana"/>
                                <w:sz w:val="18"/>
                              </w:rPr>
                              <w:tab/>
                            </w:r>
                            <w:r>
                              <w:rPr>
                                <w:rFonts w:ascii="Verdana"/>
                                <w:spacing w:val="-5"/>
                                <w:w w:val="90"/>
                                <w:sz w:val="18"/>
                              </w:rPr>
                              <w:t>385</w:t>
                            </w:r>
                          </w:p>
                        </w:txbxContent>
                      </wps:txbx>
                      <wps:bodyPr wrap="square" lIns="0" tIns="0" rIns="0" bIns="0" rtlCol="0">
                        <a:noAutofit/>
                      </wps:bodyPr>
                    </wps:wsp>
                  </a:graphicData>
                </a:graphic>
              </wp:anchor>
            </w:drawing>
          </mc:Choice>
          <mc:Fallback>
            <w:pict>
              <v:shape style="position:absolute;margin-left:162pt;margin-top:140.844391pt;width:287.8pt;height:11.05pt;mso-position-horizontal-relative:page;mso-position-vertical-relative:page;z-index:-20280832" type="#_x0000_t202" id="docshape752" filled="false" stroked="false">
                <v:textbox inset="0,0,0,0">
                  <w:txbxContent>
                    <w:p>
                      <w:pPr>
                        <w:tabs>
                          <w:tab w:pos="5441" w:val="left" w:leader="none"/>
                        </w:tabs>
                        <w:spacing w:line="219" w:lineRule="exact" w:before="0"/>
                        <w:ind w:left="0" w:right="0" w:firstLine="0"/>
                        <w:jc w:val="left"/>
                        <w:rPr>
                          <w:rFonts w:ascii="Verdana"/>
                          <w:sz w:val="18"/>
                        </w:rPr>
                      </w:pPr>
                      <w:r>
                        <w:rPr>
                          <w:rFonts w:ascii="Verdana"/>
                          <w:sz w:val="18"/>
                        </w:rPr>
                        <w:t>Between</w:t>
                      </w:r>
                      <w:r>
                        <w:rPr>
                          <w:rFonts w:ascii="Verdana"/>
                          <w:spacing w:val="-1"/>
                          <w:sz w:val="18"/>
                        </w:rPr>
                        <w:t> </w:t>
                      </w:r>
                      <w:r>
                        <w:rPr>
                          <w:rFonts w:ascii="Verdana"/>
                          <w:sz w:val="18"/>
                        </w:rPr>
                        <w:t>Joy</w:t>
                      </w:r>
                      <w:r>
                        <w:rPr>
                          <w:rFonts w:ascii="Verdana"/>
                          <w:spacing w:val="-1"/>
                          <w:sz w:val="18"/>
                        </w:rPr>
                        <w:t> </w:t>
                      </w:r>
                      <w:r>
                        <w:rPr>
                          <w:rFonts w:ascii="Verdana"/>
                          <w:sz w:val="18"/>
                        </w:rPr>
                        <w:t>and</w:t>
                      </w:r>
                      <w:r>
                        <w:rPr>
                          <w:rFonts w:ascii="Verdana"/>
                          <w:spacing w:val="-1"/>
                          <w:sz w:val="18"/>
                        </w:rPr>
                        <w:t> </w:t>
                      </w:r>
                      <w:r>
                        <w:rPr>
                          <w:rFonts w:ascii="Verdana"/>
                          <w:sz w:val="18"/>
                        </w:rPr>
                        <w:t>Ruin:</w:t>
                      </w:r>
                      <w:r>
                        <w:rPr>
                          <w:rFonts w:ascii="Verdana"/>
                          <w:spacing w:val="-1"/>
                          <w:sz w:val="18"/>
                        </w:rPr>
                        <w:t> </w:t>
                      </w:r>
                      <w:r>
                        <w:rPr>
                          <w:rFonts w:ascii="Verdana"/>
                          <w:sz w:val="18"/>
                        </w:rPr>
                        <w:t>The</w:t>
                      </w:r>
                      <w:r>
                        <w:rPr>
                          <w:rFonts w:ascii="Verdana"/>
                          <w:spacing w:val="2"/>
                          <w:sz w:val="18"/>
                        </w:rPr>
                        <w:t> </w:t>
                      </w:r>
                      <w:r>
                        <w:rPr>
                          <w:rFonts w:ascii="Verdana"/>
                          <w:sz w:val="18"/>
                        </w:rPr>
                        <w:t>Role of Women Under</w:t>
                      </w:r>
                      <w:r>
                        <w:rPr>
                          <w:rFonts w:ascii="Verdana"/>
                          <w:spacing w:val="1"/>
                          <w:sz w:val="18"/>
                        </w:rPr>
                        <w:t> </w:t>
                      </w:r>
                      <w:r>
                        <w:rPr>
                          <w:rFonts w:ascii="Verdana"/>
                          <w:spacing w:val="-2"/>
                          <w:w w:val="95"/>
                          <w:sz w:val="18"/>
                        </w:rPr>
                        <w:t>the...</w:t>
                      </w:r>
                      <w:r>
                        <w:rPr>
                          <w:rFonts w:ascii="Verdana"/>
                          <w:sz w:val="18"/>
                        </w:rPr>
                        <w:tab/>
                      </w:r>
                      <w:r>
                        <w:rPr>
                          <w:rFonts w:ascii="Verdana"/>
                          <w:spacing w:val="-5"/>
                          <w:w w:val="90"/>
                          <w:sz w:val="18"/>
                        </w:rPr>
                        <w:t>385</w:t>
                      </w:r>
                    </w:p>
                  </w:txbxContent>
                </v:textbox>
                <w10:wrap type="none"/>
              </v:shape>
            </w:pict>
          </mc:Fallback>
        </mc:AlternateContent>
      </w:r>
    </w:p>
    <w:p>
      <w:pPr>
        <w:pStyle w:val="BodyText"/>
        <w:spacing w:before="170"/>
        <w:ind w:left="0"/>
      </w:pPr>
    </w:p>
    <w:p>
      <w:pPr>
        <w:spacing w:line="240" w:lineRule="auto"/>
        <w:ind w:left="1094" w:right="0" w:firstLine="0"/>
        <w:rPr>
          <w:sz w:val="20"/>
        </w:rPr>
      </w:pPr>
      <w:r>
        <w:rPr>
          <w:sz w:val="20"/>
        </w:rPr>
        <mc:AlternateContent>
          <mc:Choice Requires="wps">
            <w:drawing>
              <wp:inline distT="0" distB="0" distL="0" distR="0">
                <wp:extent cx="4043679" cy="699770"/>
                <wp:effectExtent l="0" t="0" r="0" b="0"/>
                <wp:docPr id="761" name="Group 761"/>
                <wp:cNvGraphicFramePr>
                  <a:graphicFrameLocks/>
                </wp:cNvGraphicFramePr>
                <a:graphic>
                  <a:graphicData uri="http://schemas.microsoft.com/office/word/2010/wordprocessingGroup">
                    <wpg:wgp>
                      <wpg:cNvPr id="761" name="Group 761"/>
                      <wpg:cNvGrpSpPr/>
                      <wpg:grpSpPr>
                        <a:xfrm>
                          <a:off x="0" y="0"/>
                          <a:ext cx="4043679" cy="699770"/>
                          <a:chExt cx="4043679" cy="699770"/>
                        </a:xfrm>
                      </wpg:grpSpPr>
                      <wps:wsp>
                        <wps:cNvPr id="762" name="Graphic 762"/>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753" coordorigin="0,0" coordsize="6368,1102">
                <v:rect style="position:absolute;left:0;top:0;width:6368;height:1102" id="docshape754"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71488">
                <wp:simplePos x="0" y="0"/>
                <wp:positionH relativeFrom="page">
                  <wp:posOffset>3506723</wp:posOffset>
                </wp:positionH>
                <wp:positionV relativeFrom="paragraph">
                  <wp:posOffset>272923</wp:posOffset>
                </wp:positionV>
                <wp:extent cx="727075" cy="655320"/>
                <wp:effectExtent l="0" t="0" r="0" b="0"/>
                <wp:wrapTopAndBottom/>
                <wp:docPr id="763" name="Group 763"/>
                <wp:cNvGraphicFramePr>
                  <a:graphicFrameLocks/>
                </wp:cNvGraphicFramePr>
                <a:graphic>
                  <a:graphicData uri="http://schemas.microsoft.com/office/word/2010/wordprocessingGroup">
                    <wpg:wgp>
                      <wpg:cNvPr id="763" name="Group 763"/>
                      <wpg:cNvGrpSpPr/>
                      <wpg:grpSpPr>
                        <a:xfrm>
                          <a:off x="0" y="0"/>
                          <a:ext cx="727075" cy="655320"/>
                          <a:chExt cx="727075" cy="655320"/>
                        </a:xfrm>
                      </wpg:grpSpPr>
                      <pic:pic>
                        <pic:nvPicPr>
                          <pic:cNvPr id="764" name="Image 764"/>
                          <pic:cNvPicPr/>
                        </pic:nvPicPr>
                        <pic:blipFill>
                          <a:blip r:embed="rId129" cstate="print"/>
                          <a:stretch>
                            <a:fillRect/>
                          </a:stretch>
                        </pic:blipFill>
                        <pic:spPr>
                          <a:xfrm>
                            <a:off x="0" y="0"/>
                            <a:ext cx="726947" cy="655319"/>
                          </a:xfrm>
                          <a:prstGeom prst="rect">
                            <a:avLst/>
                          </a:prstGeom>
                        </pic:spPr>
                      </pic:pic>
                      <wps:wsp>
                        <wps:cNvPr id="765" name="Textbox 765"/>
                        <wps:cNvSpPr txBox="1"/>
                        <wps:spPr>
                          <a:xfrm>
                            <a:off x="0" y="0"/>
                            <a:ext cx="727075" cy="655320"/>
                          </a:xfrm>
                          <a:prstGeom prst="rect">
                            <a:avLst/>
                          </a:prstGeom>
                        </wps:spPr>
                        <wps:txbx>
                          <w:txbxContent>
                            <w:p>
                              <w:pPr>
                                <w:spacing w:before="379"/>
                                <w:ind w:left="403" w:right="0" w:firstLine="0"/>
                                <w:jc w:val="left"/>
                                <w:rPr>
                                  <w:rFonts w:ascii="Tahoma"/>
                                  <w:b/>
                                  <w:sz w:val="36"/>
                                </w:rPr>
                              </w:pPr>
                              <w:r>
                                <w:rPr>
                                  <w:rFonts w:ascii="Tahoma"/>
                                  <w:b/>
                                  <w:spacing w:val="-5"/>
                                  <w:w w:val="95"/>
                                  <w:sz w:val="36"/>
                                </w:rPr>
                                <w:t>39</w:t>
                              </w:r>
                            </w:p>
                          </w:txbxContent>
                        </wps:txbx>
                        <wps:bodyPr wrap="square" lIns="0" tIns="0" rIns="0" bIns="0" rtlCol="0">
                          <a:noAutofit/>
                        </wps:bodyPr>
                      </wps:wsp>
                    </wpg:wgp>
                  </a:graphicData>
                </a:graphic>
              </wp:anchor>
            </w:drawing>
          </mc:Choice>
          <mc:Fallback>
            <w:pict>
              <v:group style="position:absolute;margin-left:276.119995pt;margin-top:21.490004pt;width:57.25pt;height:51.6pt;mso-position-horizontal-relative:page;mso-position-vertical-relative:paragraph;z-index:-15444992;mso-wrap-distance-left:0;mso-wrap-distance-right:0" id="docshapegroup755" coordorigin="5522,430" coordsize="1145,1032">
                <v:shape style="position:absolute;left:5522;top:429;width:1145;height:1032" type="#_x0000_t75" id="docshape756" stroked="false">
                  <v:imagedata r:id="rId129" o:title=""/>
                </v:shape>
                <v:shape style="position:absolute;left:5522;top:429;width:1145;height:1032" type="#_x0000_t202" id="docshape757" filled="false" stroked="false">
                  <v:textbox inset="0,0,0,0">
                    <w:txbxContent>
                      <w:p>
                        <w:pPr>
                          <w:spacing w:before="379"/>
                          <w:ind w:left="403" w:right="0" w:firstLine="0"/>
                          <w:jc w:val="left"/>
                          <w:rPr>
                            <w:rFonts w:ascii="Tahoma"/>
                            <w:b/>
                            <w:sz w:val="36"/>
                          </w:rPr>
                        </w:pPr>
                        <w:r>
                          <w:rPr>
                            <w:rFonts w:ascii="Tahoma"/>
                            <w:b/>
                            <w:spacing w:val="-5"/>
                            <w:w w:val="95"/>
                            <w:sz w:val="36"/>
                          </w:rPr>
                          <w:t>39</w:t>
                        </w:r>
                      </w:p>
                    </w:txbxContent>
                  </v:textbox>
                  <w10:wrap type="none"/>
                </v:shape>
                <w10:wrap type="topAndBottom"/>
              </v:group>
            </w:pict>
          </mc:Fallback>
        </mc:AlternateContent>
      </w:r>
    </w:p>
    <w:p>
      <w:pPr>
        <w:pStyle w:val="Heading1"/>
        <w:spacing w:line="211" w:lineRule="auto" w:before="32"/>
        <w:ind w:left="1552" w:right="1560" w:firstLine="5"/>
      </w:pPr>
      <w:r>
        <w:rPr/>
        <w:t>Between</w:t>
      </w:r>
      <w:r>
        <w:rPr>
          <w:spacing w:val="-18"/>
        </w:rPr>
        <w:t> </w:t>
      </w:r>
      <w:r>
        <w:rPr/>
        <w:t>Joy</w:t>
      </w:r>
      <w:r>
        <w:rPr>
          <w:spacing w:val="-15"/>
        </w:rPr>
        <w:t> </w:t>
      </w:r>
      <w:r>
        <w:rPr/>
        <w:t>and</w:t>
      </w:r>
      <w:r>
        <w:rPr>
          <w:spacing w:val="-15"/>
        </w:rPr>
        <w:t> </w:t>
      </w:r>
      <w:r>
        <w:rPr/>
        <w:t>Ruin:</w:t>
      </w:r>
      <w:r>
        <w:rPr>
          <w:spacing w:val="-15"/>
        </w:rPr>
        <w:t> </w:t>
      </w:r>
      <w:r>
        <w:rPr/>
        <w:t>The</w:t>
      </w:r>
      <w:r>
        <w:rPr>
          <w:spacing w:val="-18"/>
        </w:rPr>
        <w:t> </w:t>
      </w:r>
      <w:r>
        <w:rPr/>
        <w:t>Role</w:t>
      </w:r>
      <w:r>
        <w:rPr>
          <w:spacing w:val="-15"/>
        </w:rPr>
        <w:t> </w:t>
      </w:r>
      <w:r>
        <w:rPr/>
        <w:t>of Women</w:t>
      </w:r>
      <w:r>
        <w:rPr>
          <w:spacing w:val="-13"/>
        </w:rPr>
        <w:t> </w:t>
      </w:r>
      <w:r>
        <w:rPr/>
        <w:t>Under</w:t>
      </w:r>
      <w:r>
        <w:rPr>
          <w:spacing w:val="-13"/>
        </w:rPr>
        <w:t> </w:t>
      </w:r>
      <w:r>
        <w:rPr/>
        <w:t>the</w:t>
      </w:r>
      <w:r>
        <w:rPr>
          <w:spacing w:val="-15"/>
        </w:rPr>
        <w:t> </w:t>
      </w:r>
      <w:r>
        <w:rPr/>
        <w:t>Hands</w:t>
      </w:r>
      <w:r>
        <w:rPr>
          <w:spacing w:val="-12"/>
        </w:rPr>
        <w:t> </w:t>
      </w:r>
      <w:r>
        <w:rPr/>
        <w:t>of</w:t>
      </w:r>
      <w:r>
        <w:rPr>
          <w:spacing w:val="-15"/>
        </w:rPr>
        <w:t> </w:t>
      </w:r>
      <w:r>
        <w:rPr/>
        <w:t>Fate</w:t>
      </w:r>
      <w:r>
        <w:rPr>
          <w:spacing w:val="-13"/>
        </w:rPr>
        <w:t> </w:t>
      </w:r>
      <w:r>
        <w:rPr>
          <w:spacing w:val="-11"/>
        </w:rPr>
        <w:t>in</w:t>
      </w:r>
    </w:p>
    <w:p>
      <w:pPr>
        <w:tabs>
          <w:tab w:pos="1252" w:val="left" w:leader="none"/>
          <w:tab w:pos="5759" w:val="left" w:leader="none"/>
        </w:tabs>
        <w:spacing w:line="347" w:lineRule="exact" w:before="0"/>
        <w:ind w:left="0" w:right="0" w:firstLine="0"/>
        <w:jc w:val="center"/>
        <w:rPr>
          <w:rFonts w:ascii="Tahoma" w:hAnsi="Tahoma"/>
          <w:b/>
          <w:sz w:val="32"/>
        </w:rPr>
      </w:pPr>
      <w:r>
        <w:rPr>
          <w:sz w:val="32"/>
          <w:u w:val="single"/>
        </w:rPr>
        <w:tab/>
      </w:r>
      <w:r>
        <w:rPr>
          <w:rFonts w:ascii="Tahoma" w:hAnsi="Tahoma"/>
          <w:b/>
          <w:spacing w:val="-6"/>
          <w:sz w:val="32"/>
          <w:u w:val="single"/>
        </w:rPr>
        <w:t>Shakespeare’s</w:t>
      </w:r>
      <w:r>
        <w:rPr>
          <w:rFonts w:ascii="Tahoma" w:hAnsi="Tahoma"/>
          <w:b/>
          <w:spacing w:val="-10"/>
          <w:sz w:val="32"/>
          <w:u w:val="single"/>
        </w:rPr>
        <w:t> </w:t>
      </w:r>
      <w:r>
        <w:rPr>
          <w:rFonts w:ascii="Tahoma" w:hAnsi="Tahoma"/>
          <w:b/>
          <w:spacing w:val="-4"/>
          <w:sz w:val="32"/>
          <w:u w:val="single"/>
        </w:rPr>
        <w:t>Works</w:t>
      </w:r>
      <w:r>
        <w:rPr>
          <w:rFonts w:ascii="Tahoma" w:hAnsi="Tahoma"/>
          <w:b/>
          <w:sz w:val="32"/>
          <w:u w:val="single"/>
        </w:rPr>
        <w:tab/>
      </w:r>
    </w:p>
    <w:p>
      <w:pPr>
        <w:pStyle w:val="BodyText"/>
        <w:spacing w:before="11"/>
        <w:ind w:left="0"/>
        <w:rPr>
          <w:rFonts w:ascii="Tahoma"/>
          <w:b/>
          <w:sz w:val="5"/>
        </w:rPr>
      </w:pPr>
      <w:r>
        <w:rPr>
          <w:rFonts w:ascii="Tahoma"/>
          <w:b/>
          <w:sz w:val="5"/>
        </w:rPr>
        <mc:AlternateContent>
          <mc:Choice Requires="wps">
            <w:drawing>
              <wp:anchor distT="0" distB="0" distL="0" distR="0" allowOverlap="1" layoutInCell="1" locked="0" behindDoc="1" simplePos="0" relativeHeight="487872000">
                <wp:simplePos x="0" y="0"/>
                <wp:positionH relativeFrom="page">
                  <wp:posOffset>2057400</wp:posOffset>
                </wp:positionH>
                <wp:positionV relativeFrom="paragraph">
                  <wp:posOffset>60559</wp:posOffset>
                </wp:positionV>
                <wp:extent cx="3657600" cy="7620"/>
                <wp:effectExtent l="0" t="0" r="0" b="0"/>
                <wp:wrapTopAndBottom/>
                <wp:docPr id="766" name="Graphic 766"/>
                <wp:cNvGraphicFramePr>
                  <a:graphicFrameLocks/>
                </wp:cNvGraphicFramePr>
                <a:graphic>
                  <a:graphicData uri="http://schemas.microsoft.com/office/word/2010/wordprocessingShape">
                    <wps:wsp>
                      <wps:cNvPr id="766" name="Graphic 766"/>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68457pt;width:288.000009pt;height:.599991pt;mso-position-horizontal-relative:page;mso-position-vertical-relative:paragraph;z-index:-15444480;mso-wrap-distance-left:0;mso-wrap-distance-right:0" id="docshape758" filled="true" fillcolor="#000000" stroked="false">
                <v:fill type="solid"/>
                <w10:wrap type="topAndBottom"/>
              </v:rect>
            </w:pict>
          </mc:Fallback>
        </mc:AlternateContent>
      </w:r>
    </w:p>
    <w:p>
      <w:pPr>
        <w:pStyle w:val="BodyText"/>
        <w:spacing w:before="15"/>
        <w:ind w:left="0"/>
        <w:rPr>
          <w:rFonts w:ascii="Tahoma"/>
          <w:b/>
          <w:sz w:val="32"/>
        </w:rPr>
      </w:pPr>
    </w:p>
    <w:p>
      <w:pPr>
        <w:spacing w:line="252" w:lineRule="auto" w:before="0"/>
        <w:ind w:left="1665" w:right="1436" w:firstLine="4305"/>
        <w:jc w:val="right"/>
        <w:rPr>
          <w:i/>
          <w:sz w:val="19"/>
        </w:rPr>
      </w:pPr>
      <w:r>
        <w:rPr>
          <w:b/>
          <w:i/>
          <w:sz w:val="22"/>
        </w:rPr>
        <w:t>N.</w:t>
      </w:r>
      <w:r>
        <w:rPr>
          <w:b/>
          <w:i/>
          <w:spacing w:val="20"/>
          <w:sz w:val="22"/>
        </w:rPr>
        <w:t> </w:t>
      </w:r>
      <w:r>
        <w:rPr>
          <w:b/>
          <w:i/>
          <w:sz w:val="22"/>
        </w:rPr>
        <w:t>Abbenaya </w:t>
      </w:r>
      <w:r>
        <w:rPr>
          <w:i/>
          <w:sz w:val="19"/>
        </w:rPr>
        <w:t>Ph.D.</w:t>
      </w:r>
      <w:r>
        <w:rPr>
          <w:i/>
          <w:spacing w:val="80"/>
          <w:sz w:val="19"/>
        </w:rPr>
        <w:t> </w:t>
      </w:r>
      <w:r>
        <w:rPr>
          <w:i/>
          <w:sz w:val="19"/>
        </w:rPr>
        <w:t>Research</w:t>
      </w:r>
      <w:r>
        <w:rPr>
          <w:i/>
          <w:spacing w:val="80"/>
          <w:sz w:val="19"/>
        </w:rPr>
        <w:t> </w:t>
      </w:r>
      <w:r>
        <w:rPr>
          <w:i/>
          <w:sz w:val="19"/>
        </w:rPr>
        <w:t>Scholar,</w:t>
      </w:r>
      <w:r>
        <w:rPr>
          <w:i/>
          <w:spacing w:val="80"/>
          <w:sz w:val="19"/>
        </w:rPr>
        <w:t> </w:t>
      </w:r>
      <w:r>
        <w:rPr>
          <w:i/>
          <w:sz w:val="19"/>
        </w:rPr>
        <w:t>Department</w:t>
      </w:r>
      <w:r>
        <w:rPr>
          <w:i/>
          <w:spacing w:val="80"/>
          <w:sz w:val="19"/>
        </w:rPr>
        <w:t> </w:t>
      </w:r>
      <w:r>
        <w:rPr>
          <w:i/>
          <w:sz w:val="19"/>
        </w:rPr>
        <w:t>of</w:t>
      </w:r>
      <w:r>
        <w:rPr>
          <w:i/>
          <w:spacing w:val="80"/>
          <w:sz w:val="19"/>
        </w:rPr>
        <w:t> </w:t>
      </w:r>
      <w:r>
        <w:rPr>
          <w:i/>
          <w:sz w:val="19"/>
        </w:rPr>
        <w:t>English,</w:t>
      </w:r>
      <w:r>
        <w:rPr>
          <w:i/>
          <w:spacing w:val="80"/>
          <w:sz w:val="19"/>
        </w:rPr>
        <w:t> </w:t>
      </w:r>
      <w:r>
        <w:rPr>
          <w:i/>
          <w:sz w:val="19"/>
        </w:rPr>
        <w:t>St.Xaviers College,</w:t>
      </w:r>
      <w:r>
        <w:rPr>
          <w:i/>
          <w:spacing w:val="40"/>
          <w:sz w:val="19"/>
        </w:rPr>
        <w:t> </w:t>
      </w:r>
      <w:r>
        <w:rPr>
          <w:i/>
          <w:sz w:val="19"/>
        </w:rPr>
        <w:t>Palayamkottai,</w:t>
      </w:r>
      <w:r>
        <w:rPr>
          <w:i/>
          <w:spacing w:val="40"/>
          <w:sz w:val="19"/>
        </w:rPr>
        <w:t> </w:t>
      </w:r>
      <w:r>
        <w:rPr>
          <w:i/>
          <w:sz w:val="19"/>
        </w:rPr>
        <w:t>Affiliated</w:t>
      </w:r>
      <w:r>
        <w:rPr>
          <w:i/>
          <w:spacing w:val="40"/>
          <w:sz w:val="19"/>
        </w:rPr>
        <w:t> </w:t>
      </w:r>
      <w:r>
        <w:rPr>
          <w:i/>
          <w:sz w:val="19"/>
        </w:rPr>
        <w:t>to</w:t>
      </w:r>
      <w:r>
        <w:rPr>
          <w:i/>
          <w:spacing w:val="40"/>
          <w:sz w:val="19"/>
        </w:rPr>
        <w:t> </w:t>
      </w:r>
      <w:r>
        <w:rPr>
          <w:i/>
          <w:sz w:val="19"/>
        </w:rPr>
        <w:t>Manonmaniam</w:t>
      </w:r>
      <w:r>
        <w:rPr>
          <w:i/>
          <w:spacing w:val="40"/>
          <w:sz w:val="19"/>
        </w:rPr>
        <w:t> </w:t>
      </w:r>
      <w:r>
        <w:rPr>
          <w:i/>
          <w:sz w:val="19"/>
        </w:rPr>
        <w:t>Sundaranar</w:t>
      </w:r>
      <w:r>
        <w:rPr>
          <w:i/>
          <w:spacing w:val="80"/>
          <w:sz w:val="19"/>
        </w:rPr>
        <w:t> </w:t>
      </w:r>
      <w:r>
        <w:rPr>
          <w:i/>
          <w:sz w:val="19"/>
        </w:rPr>
        <w:t>University,</w:t>
      </w:r>
      <w:r>
        <w:rPr>
          <w:i/>
          <w:spacing w:val="69"/>
          <w:sz w:val="19"/>
        </w:rPr>
        <w:t> </w:t>
      </w:r>
      <w:r>
        <w:rPr>
          <w:i/>
          <w:sz w:val="19"/>
        </w:rPr>
        <w:t>Abishekapatti,</w:t>
      </w:r>
      <w:r>
        <w:rPr>
          <w:i/>
          <w:spacing w:val="72"/>
          <w:sz w:val="19"/>
        </w:rPr>
        <w:t> </w:t>
      </w:r>
      <w:r>
        <w:rPr>
          <w:i/>
          <w:sz w:val="19"/>
        </w:rPr>
        <w:t>Tirunelveli</w:t>
      </w:r>
      <w:r>
        <w:rPr>
          <w:i/>
          <w:spacing w:val="72"/>
          <w:sz w:val="19"/>
        </w:rPr>
        <w:t> </w:t>
      </w:r>
      <w:r>
        <w:rPr>
          <w:i/>
          <w:sz w:val="19"/>
        </w:rPr>
        <w:t>–</w:t>
      </w:r>
      <w:r>
        <w:rPr>
          <w:i/>
          <w:spacing w:val="72"/>
          <w:sz w:val="19"/>
        </w:rPr>
        <w:t> </w:t>
      </w:r>
      <w:r>
        <w:rPr>
          <w:i/>
          <w:sz w:val="19"/>
        </w:rPr>
        <w:t>627012,</w:t>
      </w:r>
      <w:r>
        <w:rPr>
          <w:i/>
          <w:spacing w:val="72"/>
          <w:sz w:val="19"/>
        </w:rPr>
        <w:t> </w:t>
      </w:r>
      <w:r>
        <w:rPr>
          <w:i/>
          <w:sz w:val="19"/>
        </w:rPr>
        <w:t>Tamilnadu,</w:t>
      </w:r>
      <w:r>
        <w:rPr>
          <w:i/>
          <w:spacing w:val="72"/>
          <w:sz w:val="19"/>
        </w:rPr>
        <w:t> </w:t>
      </w:r>
      <w:r>
        <w:rPr>
          <w:i/>
          <w:spacing w:val="-2"/>
          <w:sz w:val="19"/>
        </w:rPr>
        <w:t>India</w:t>
      </w:r>
    </w:p>
    <w:p>
      <w:pPr>
        <w:spacing w:line="252" w:lineRule="auto" w:before="210"/>
        <w:ind w:left="2191" w:right="1437" w:firstLine="2654"/>
        <w:jc w:val="right"/>
        <w:rPr>
          <w:i/>
          <w:sz w:val="19"/>
        </w:rPr>
      </w:pPr>
      <w:r>
        <w:rPr>
          <w:b/>
          <w:i/>
          <w:sz w:val="22"/>
        </w:rPr>
        <w:t>Dr.</w:t>
      </w:r>
      <w:r>
        <w:rPr>
          <w:b/>
          <w:i/>
          <w:spacing w:val="40"/>
          <w:sz w:val="22"/>
        </w:rPr>
        <w:t> </w:t>
      </w:r>
      <w:r>
        <w:rPr>
          <w:b/>
          <w:i/>
          <w:sz w:val="22"/>
        </w:rPr>
        <w:t>B.</w:t>
      </w:r>
      <w:r>
        <w:rPr>
          <w:b/>
          <w:i/>
          <w:spacing w:val="40"/>
          <w:sz w:val="22"/>
        </w:rPr>
        <w:t> </w:t>
      </w:r>
      <w:r>
        <w:rPr>
          <w:b/>
          <w:i/>
          <w:sz w:val="22"/>
        </w:rPr>
        <w:t>Lakshmikantham </w:t>
      </w:r>
      <w:r>
        <w:rPr>
          <w:i/>
          <w:sz w:val="19"/>
        </w:rPr>
        <w:t>Assistant</w:t>
      </w:r>
      <w:r>
        <w:rPr>
          <w:i/>
          <w:spacing w:val="40"/>
          <w:sz w:val="19"/>
        </w:rPr>
        <w:t> </w:t>
      </w:r>
      <w:r>
        <w:rPr>
          <w:i/>
          <w:sz w:val="19"/>
        </w:rPr>
        <w:t>Professor,</w:t>
      </w:r>
      <w:r>
        <w:rPr>
          <w:i/>
          <w:spacing w:val="40"/>
          <w:sz w:val="19"/>
        </w:rPr>
        <w:t> </w:t>
      </w:r>
      <w:r>
        <w:rPr>
          <w:i/>
          <w:sz w:val="19"/>
        </w:rPr>
        <w:t>Research</w:t>
      </w:r>
      <w:r>
        <w:rPr>
          <w:i/>
          <w:spacing w:val="40"/>
          <w:sz w:val="19"/>
        </w:rPr>
        <w:t> </w:t>
      </w:r>
      <w:r>
        <w:rPr>
          <w:i/>
          <w:sz w:val="19"/>
        </w:rPr>
        <w:t>Department</w:t>
      </w:r>
      <w:r>
        <w:rPr>
          <w:i/>
          <w:spacing w:val="40"/>
          <w:sz w:val="19"/>
        </w:rPr>
        <w:t> </w:t>
      </w:r>
      <w:r>
        <w:rPr>
          <w:i/>
          <w:sz w:val="19"/>
        </w:rPr>
        <w:t>of</w:t>
      </w:r>
      <w:r>
        <w:rPr>
          <w:i/>
          <w:spacing w:val="40"/>
          <w:sz w:val="19"/>
        </w:rPr>
        <w:t> </w:t>
      </w:r>
      <w:r>
        <w:rPr>
          <w:i/>
          <w:sz w:val="19"/>
        </w:rPr>
        <w:t>English,</w:t>
      </w:r>
      <w:r>
        <w:rPr>
          <w:i/>
          <w:spacing w:val="80"/>
          <w:sz w:val="19"/>
        </w:rPr>
        <w:t> </w:t>
      </w:r>
      <w:r>
        <w:rPr>
          <w:i/>
          <w:sz w:val="19"/>
        </w:rPr>
        <w:t>St. Xavier’s</w:t>
      </w:r>
      <w:r>
        <w:rPr>
          <w:i/>
          <w:spacing w:val="78"/>
          <w:sz w:val="19"/>
        </w:rPr>
        <w:t> </w:t>
      </w:r>
      <w:r>
        <w:rPr>
          <w:i/>
          <w:sz w:val="19"/>
        </w:rPr>
        <w:t>College</w:t>
      </w:r>
      <w:r>
        <w:rPr>
          <w:i/>
          <w:spacing w:val="57"/>
          <w:w w:val="150"/>
          <w:sz w:val="19"/>
        </w:rPr>
        <w:t> </w:t>
      </w:r>
      <w:r>
        <w:rPr>
          <w:i/>
          <w:sz w:val="19"/>
        </w:rPr>
        <w:t>(Autonomous)</w:t>
      </w:r>
      <w:r>
        <w:rPr>
          <w:i/>
          <w:spacing w:val="56"/>
          <w:w w:val="150"/>
          <w:sz w:val="19"/>
        </w:rPr>
        <w:t> </w:t>
      </w:r>
      <w:r>
        <w:rPr>
          <w:i/>
          <w:sz w:val="19"/>
        </w:rPr>
        <w:t>Palayamkottai,</w:t>
      </w:r>
      <w:r>
        <w:rPr>
          <w:i/>
          <w:spacing w:val="76"/>
          <w:sz w:val="19"/>
        </w:rPr>
        <w:t> </w:t>
      </w:r>
      <w:r>
        <w:rPr>
          <w:i/>
          <w:sz w:val="19"/>
        </w:rPr>
        <w:t>Affiliated</w:t>
      </w:r>
      <w:r>
        <w:rPr>
          <w:i/>
          <w:spacing w:val="58"/>
          <w:w w:val="150"/>
          <w:sz w:val="19"/>
        </w:rPr>
        <w:t> </w:t>
      </w:r>
      <w:r>
        <w:rPr>
          <w:i/>
          <w:spacing w:val="-5"/>
          <w:sz w:val="19"/>
        </w:rPr>
        <w:t>to</w:t>
      </w:r>
    </w:p>
    <w:p>
      <w:pPr>
        <w:spacing w:line="218" w:lineRule="exact" w:before="0"/>
        <w:ind w:left="0" w:right="1436" w:firstLine="0"/>
        <w:jc w:val="right"/>
        <w:rPr>
          <w:i/>
          <w:sz w:val="19"/>
        </w:rPr>
      </w:pPr>
      <w:r>
        <w:rPr>
          <w:i/>
          <w:sz w:val="19"/>
        </w:rPr>
        <w:t>Manonmaniam</w:t>
      </w:r>
      <w:r>
        <w:rPr>
          <w:i/>
          <w:spacing w:val="60"/>
          <w:w w:val="150"/>
          <w:sz w:val="19"/>
        </w:rPr>
        <w:t> </w:t>
      </w:r>
      <w:r>
        <w:rPr>
          <w:i/>
          <w:sz w:val="19"/>
        </w:rPr>
        <w:t>Sundaranar</w:t>
      </w:r>
      <w:r>
        <w:rPr>
          <w:i/>
          <w:spacing w:val="61"/>
          <w:w w:val="150"/>
          <w:sz w:val="19"/>
        </w:rPr>
        <w:t> </w:t>
      </w:r>
      <w:r>
        <w:rPr>
          <w:i/>
          <w:sz w:val="19"/>
        </w:rPr>
        <w:t>University,</w:t>
      </w:r>
      <w:r>
        <w:rPr>
          <w:i/>
          <w:spacing w:val="62"/>
          <w:w w:val="150"/>
          <w:sz w:val="19"/>
        </w:rPr>
        <w:t> </w:t>
      </w:r>
      <w:r>
        <w:rPr>
          <w:i/>
          <w:sz w:val="19"/>
        </w:rPr>
        <w:t>Abhishekapatti,</w:t>
      </w:r>
      <w:r>
        <w:rPr>
          <w:i/>
          <w:spacing w:val="65"/>
          <w:w w:val="150"/>
          <w:sz w:val="19"/>
        </w:rPr>
        <w:t> </w:t>
      </w:r>
      <w:r>
        <w:rPr>
          <w:i/>
          <w:sz w:val="19"/>
        </w:rPr>
        <w:t>Tirunelveli</w:t>
      </w:r>
      <w:r>
        <w:rPr>
          <w:i/>
          <w:spacing w:val="65"/>
          <w:w w:val="150"/>
          <w:sz w:val="19"/>
        </w:rPr>
        <w:t> </w:t>
      </w:r>
      <w:r>
        <w:rPr>
          <w:i/>
          <w:spacing w:val="-10"/>
          <w:sz w:val="19"/>
        </w:rPr>
        <w:t>-</w:t>
      </w:r>
    </w:p>
    <w:p>
      <w:pPr>
        <w:spacing w:before="10"/>
        <w:ind w:left="0" w:right="1439" w:firstLine="0"/>
        <w:jc w:val="right"/>
        <w:rPr>
          <w:i/>
          <w:sz w:val="19"/>
        </w:rPr>
      </w:pPr>
      <w:r>
        <w:rPr>
          <w:i/>
          <w:sz w:val="19"/>
        </w:rPr>
        <w:t>627012,</w:t>
      </w:r>
      <w:r>
        <w:rPr>
          <w:i/>
          <w:spacing w:val="58"/>
          <w:sz w:val="19"/>
        </w:rPr>
        <w:t> </w:t>
      </w:r>
      <w:r>
        <w:rPr>
          <w:i/>
          <w:sz w:val="19"/>
        </w:rPr>
        <w:t>Tamil</w:t>
      </w:r>
      <w:r>
        <w:rPr>
          <w:i/>
          <w:spacing w:val="62"/>
          <w:sz w:val="19"/>
        </w:rPr>
        <w:t> </w:t>
      </w:r>
      <w:r>
        <w:rPr>
          <w:i/>
          <w:sz w:val="19"/>
        </w:rPr>
        <w:t>Nadu,</w:t>
      </w:r>
      <w:r>
        <w:rPr>
          <w:i/>
          <w:spacing w:val="60"/>
          <w:sz w:val="19"/>
        </w:rPr>
        <w:t> </w:t>
      </w:r>
      <w:r>
        <w:rPr>
          <w:i/>
          <w:spacing w:val="-4"/>
          <w:sz w:val="19"/>
        </w:rPr>
        <w:t>India</w:t>
      </w:r>
    </w:p>
    <w:p>
      <w:pPr>
        <w:pStyle w:val="BodyText"/>
        <w:spacing w:before="160"/>
        <w:ind w:left="0"/>
        <w:rPr>
          <w:i/>
          <w:sz w:val="19"/>
        </w:rPr>
      </w:pPr>
    </w:p>
    <w:p>
      <w:pPr>
        <w:pStyle w:val="Heading3"/>
        <w:spacing w:before="1"/>
      </w:pPr>
      <w:r>
        <w:rPr>
          <w:spacing w:val="-2"/>
        </w:rPr>
        <w:t>ABSTRACT</w:t>
      </w:r>
    </w:p>
    <w:p>
      <w:pPr>
        <w:pStyle w:val="BodyText"/>
        <w:spacing w:line="271" w:lineRule="auto" w:before="87"/>
        <w:ind w:right="1437" w:firstLine="432"/>
        <w:jc w:val="both"/>
      </w:pPr>
      <w:r>
        <w:rPr/>
        <w:t>This paper examines the representation of marriage, desire, and </w:t>
      </w:r>
      <w:r>
        <w:rPr>
          <w:spacing w:val="-2"/>
        </w:rPr>
        <w:t>female</w:t>
      </w:r>
      <w:r>
        <w:rPr>
          <w:spacing w:val="-11"/>
        </w:rPr>
        <w:t> </w:t>
      </w:r>
      <w:r>
        <w:rPr>
          <w:spacing w:val="-2"/>
        </w:rPr>
        <w:t>sexual</w:t>
      </w:r>
      <w:r>
        <w:rPr>
          <w:spacing w:val="-10"/>
        </w:rPr>
        <w:t> </w:t>
      </w:r>
      <w:r>
        <w:rPr>
          <w:spacing w:val="-2"/>
        </w:rPr>
        <w:t>agency</w:t>
      </w:r>
      <w:r>
        <w:rPr>
          <w:spacing w:val="-11"/>
        </w:rPr>
        <w:t> </w:t>
      </w:r>
      <w:r>
        <w:rPr>
          <w:spacing w:val="-2"/>
        </w:rPr>
        <w:t>in</w:t>
      </w:r>
      <w:r>
        <w:rPr>
          <w:spacing w:val="-10"/>
        </w:rPr>
        <w:t> </w:t>
      </w:r>
      <w:r>
        <w:rPr>
          <w:spacing w:val="-2"/>
        </w:rPr>
        <w:t>two</w:t>
      </w:r>
      <w:r>
        <w:rPr>
          <w:spacing w:val="-11"/>
        </w:rPr>
        <w:t> </w:t>
      </w:r>
      <w:r>
        <w:rPr>
          <w:spacing w:val="-2"/>
        </w:rPr>
        <w:t>of</w:t>
      </w:r>
      <w:r>
        <w:rPr>
          <w:spacing w:val="-10"/>
        </w:rPr>
        <w:t> </w:t>
      </w:r>
      <w:r>
        <w:rPr>
          <w:spacing w:val="-2"/>
        </w:rPr>
        <w:t>Shakespeare’s</w:t>
      </w:r>
      <w:r>
        <w:rPr>
          <w:spacing w:val="-11"/>
        </w:rPr>
        <w:t> </w:t>
      </w:r>
      <w:r>
        <w:rPr>
          <w:spacing w:val="-2"/>
        </w:rPr>
        <w:t>plays:</w:t>
      </w:r>
      <w:r>
        <w:rPr>
          <w:spacing w:val="-10"/>
        </w:rPr>
        <w:t> </w:t>
      </w:r>
      <w:r>
        <w:rPr>
          <w:spacing w:val="-2"/>
        </w:rPr>
        <w:t>Measure</w:t>
      </w:r>
      <w:r>
        <w:rPr>
          <w:spacing w:val="-11"/>
        </w:rPr>
        <w:t> </w:t>
      </w:r>
      <w:r>
        <w:rPr>
          <w:spacing w:val="-2"/>
        </w:rPr>
        <w:t>for</w:t>
      </w:r>
      <w:r>
        <w:rPr>
          <w:spacing w:val="-10"/>
        </w:rPr>
        <w:t> </w:t>
      </w:r>
      <w:r>
        <w:rPr>
          <w:spacing w:val="-2"/>
        </w:rPr>
        <w:t>Measure </w:t>
      </w:r>
      <w:r>
        <w:rPr/>
        <w:t>and Othello. Through a feminist critical lens and attention to early modern marriage laws and cultural discourses on female chastity, the study argues that Shakespeare constructs a tension between patriarchal control over women’s bodies and moments of subversive female assertion. Isabella in Measure for Measure resists the commodification of</w:t>
      </w:r>
      <w:r>
        <w:rPr>
          <w:spacing w:val="-3"/>
        </w:rPr>
        <w:t> </w:t>
      </w:r>
      <w:r>
        <w:rPr/>
        <w:t>her sexuality</w:t>
      </w:r>
      <w:r>
        <w:rPr>
          <w:spacing w:val="-3"/>
        </w:rPr>
        <w:t> </w:t>
      </w:r>
      <w:r>
        <w:rPr/>
        <w:t>even within</w:t>
      </w:r>
      <w:r>
        <w:rPr>
          <w:spacing w:val="-1"/>
        </w:rPr>
        <w:t> </w:t>
      </w:r>
      <w:r>
        <w:rPr/>
        <w:t>the coercive logic of</w:t>
      </w:r>
      <w:r>
        <w:rPr>
          <w:spacing w:val="-3"/>
        </w:rPr>
        <w:t> </w:t>
      </w:r>
      <w:r>
        <w:rPr/>
        <w:t>ducal authority,</w:t>
      </w:r>
      <w:r>
        <w:rPr>
          <w:spacing w:val="-1"/>
        </w:rPr>
        <w:t> </w:t>
      </w:r>
      <w:r>
        <w:rPr/>
        <w:t>while Desdemona in</w:t>
      </w:r>
      <w:r>
        <w:rPr>
          <w:spacing w:val="-1"/>
        </w:rPr>
        <w:t> </w:t>
      </w:r>
      <w:r>
        <w:rPr/>
        <w:t>Othello exercises</w:t>
      </w:r>
      <w:r>
        <w:rPr>
          <w:spacing w:val="-1"/>
        </w:rPr>
        <w:t> </w:t>
      </w:r>
      <w:r>
        <w:rPr/>
        <w:t>initial agency</w:t>
      </w:r>
      <w:r>
        <w:rPr>
          <w:spacing w:val="-3"/>
        </w:rPr>
        <w:t> </w:t>
      </w:r>
      <w:r>
        <w:rPr/>
        <w:t>in</w:t>
      </w:r>
      <w:r>
        <w:rPr>
          <w:spacing w:val="-1"/>
        </w:rPr>
        <w:t> </w:t>
      </w:r>
      <w:r>
        <w:rPr/>
        <w:t>her elopement only</w:t>
      </w:r>
      <w:r>
        <w:rPr>
          <w:spacing w:val="-3"/>
        </w:rPr>
        <w:t> </w:t>
      </w:r>
      <w:r>
        <w:rPr/>
        <w:t>to be destroyed by</w:t>
      </w:r>
      <w:r>
        <w:rPr>
          <w:spacing w:val="-3"/>
        </w:rPr>
        <w:t> </w:t>
      </w:r>
      <w:r>
        <w:rPr/>
        <w:t>the very</w:t>
      </w:r>
      <w:r>
        <w:rPr>
          <w:spacing w:val="-3"/>
        </w:rPr>
        <w:t> </w:t>
      </w:r>
      <w:r>
        <w:rPr/>
        <w:t>sexual suspicions her marriage unleashes. The paper</w:t>
      </w:r>
      <w:r>
        <w:rPr>
          <w:spacing w:val="-1"/>
        </w:rPr>
        <w:t> </w:t>
      </w:r>
      <w:r>
        <w:rPr/>
        <w:t>employs</w:t>
      </w:r>
      <w:r>
        <w:rPr>
          <w:spacing w:val="-3"/>
        </w:rPr>
        <w:t> </w:t>
      </w:r>
      <w:r>
        <w:rPr/>
        <w:t>close</w:t>
      </w:r>
      <w:r>
        <w:rPr>
          <w:spacing w:val="-1"/>
        </w:rPr>
        <w:t> </w:t>
      </w:r>
      <w:r>
        <w:rPr/>
        <w:t>reading</w:t>
      </w:r>
      <w:r>
        <w:rPr>
          <w:spacing w:val="-3"/>
        </w:rPr>
        <w:t> </w:t>
      </w:r>
      <w:r>
        <w:rPr/>
        <w:t>of</w:t>
      </w:r>
      <w:r>
        <w:rPr>
          <w:spacing w:val="-1"/>
        </w:rPr>
        <w:t> </w:t>
      </w:r>
      <w:r>
        <w:rPr/>
        <w:t>key</w:t>
      </w:r>
      <w:r>
        <w:rPr>
          <w:spacing w:val="-5"/>
        </w:rPr>
        <w:t> </w:t>
      </w:r>
      <w:r>
        <w:rPr/>
        <w:t>scenes</w:t>
      </w:r>
      <w:r>
        <w:rPr>
          <w:spacing w:val="-3"/>
        </w:rPr>
        <w:t> </w:t>
      </w:r>
      <w:r>
        <w:rPr/>
        <w:t>alongside historical</w:t>
      </w:r>
      <w:r>
        <w:rPr>
          <w:spacing w:val="-2"/>
        </w:rPr>
        <w:t> </w:t>
      </w:r>
      <w:r>
        <w:rPr/>
        <w:t>research on</w:t>
      </w:r>
      <w:r>
        <w:rPr>
          <w:spacing w:val="40"/>
        </w:rPr>
        <w:t> </w:t>
      </w:r>
      <w:r>
        <w:rPr/>
        <w:t>coverture,</w:t>
      </w:r>
      <w:r>
        <w:rPr>
          <w:spacing w:val="40"/>
        </w:rPr>
        <w:t> </w:t>
      </w:r>
      <w:r>
        <w:rPr/>
        <w:t>consent,</w:t>
      </w:r>
      <w:r>
        <w:rPr>
          <w:spacing w:val="40"/>
        </w:rPr>
        <w:t> </w:t>
      </w:r>
      <w:r>
        <w:rPr/>
        <w:t>and</w:t>
      </w:r>
      <w:r>
        <w:rPr>
          <w:spacing w:val="40"/>
        </w:rPr>
        <w:t> </w:t>
      </w:r>
      <w:r>
        <w:rPr/>
        <w:t>honour</w:t>
      </w:r>
      <w:r>
        <w:rPr>
          <w:spacing w:val="40"/>
        </w:rPr>
        <w:t> </w:t>
      </w:r>
      <w:r>
        <w:rPr/>
        <w:t>codes.</w:t>
      </w:r>
    </w:p>
    <w:p>
      <w:pPr>
        <w:pStyle w:val="BodyText"/>
        <w:spacing w:after="0" w:line="27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73024">
                <wp:simplePos x="0" y="0"/>
                <wp:positionH relativeFrom="page">
                  <wp:posOffset>2057400</wp:posOffset>
                </wp:positionH>
                <wp:positionV relativeFrom="paragraph">
                  <wp:posOffset>162604</wp:posOffset>
                </wp:positionV>
                <wp:extent cx="3657600" cy="12700"/>
                <wp:effectExtent l="0" t="0" r="0" b="0"/>
                <wp:wrapTopAndBottom/>
                <wp:docPr id="767" name="Graphic 767"/>
                <wp:cNvGraphicFramePr>
                  <a:graphicFrameLocks/>
                </wp:cNvGraphicFramePr>
                <a:graphic>
                  <a:graphicData uri="http://schemas.microsoft.com/office/word/2010/wordprocessingShape">
                    <wps:wsp>
                      <wps:cNvPr id="767" name="Graphic 76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43456;mso-wrap-distance-left:0;mso-wrap-distance-right:0" id="docshape759" filled="true" fillcolor="#000000" stroked="false">
                <v:fill type="solid"/>
                <w10:wrap type="topAndBottom"/>
              </v:rect>
            </w:pict>
          </mc:Fallback>
        </mc:AlternateContent>
      </w:r>
      <w:r>
        <w:rPr>
          <w:rFonts w:ascii="Verdana"/>
          <w:spacing w:val="-5"/>
          <w:sz w:val="18"/>
        </w:rPr>
        <w:t>386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firstLine="432"/>
        <w:jc w:val="both"/>
      </w:pPr>
      <w:r>
        <w:rPr/>
        <w:t>King</w:t>
      </w:r>
      <w:r>
        <w:rPr>
          <w:spacing w:val="-13"/>
        </w:rPr>
        <w:t> </w:t>
      </w:r>
      <w:r>
        <w:rPr/>
        <w:t>Lear</w:t>
      </w:r>
      <w:r>
        <w:rPr>
          <w:spacing w:val="-12"/>
        </w:rPr>
        <w:t> </w:t>
      </w:r>
      <w:r>
        <w:rPr/>
        <w:t>provides</w:t>
      </w:r>
      <w:r>
        <w:rPr>
          <w:spacing w:val="-13"/>
        </w:rPr>
        <w:t> </w:t>
      </w:r>
      <w:r>
        <w:rPr/>
        <w:t>a</w:t>
      </w:r>
      <w:r>
        <w:rPr>
          <w:spacing w:val="-12"/>
        </w:rPr>
        <w:t> </w:t>
      </w:r>
      <w:r>
        <w:rPr/>
        <w:t>more</w:t>
      </w:r>
      <w:r>
        <w:rPr>
          <w:spacing w:val="-12"/>
        </w:rPr>
        <w:t> </w:t>
      </w:r>
      <w:r>
        <w:rPr/>
        <w:t>complex</w:t>
      </w:r>
      <w:r>
        <w:rPr>
          <w:spacing w:val="-12"/>
        </w:rPr>
        <w:t> </w:t>
      </w:r>
      <w:r>
        <w:rPr/>
        <w:t>comparison.</w:t>
      </w:r>
      <w:r>
        <w:rPr>
          <w:spacing w:val="-11"/>
        </w:rPr>
        <w:t> </w:t>
      </w:r>
      <w:r>
        <w:rPr/>
        <w:t>Cordelia,</w:t>
      </w:r>
      <w:r>
        <w:rPr>
          <w:spacing w:val="-12"/>
        </w:rPr>
        <w:t> </w:t>
      </w:r>
      <w:r>
        <w:rPr/>
        <w:t>married to the King of France, temporarily leaves her husband to rescue her father</w:t>
      </w:r>
      <w:r>
        <w:rPr>
          <w:spacing w:val="-4"/>
        </w:rPr>
        <w:t> </w:t>
      </w:r>
      <w:r>
        <w:rPr/>
        <w:t>from</w:t>
      </w:r>
      <w:r>
        <w:rPr>
          <w:spacing w:val="-8"/>
        </w:rPr>
        <w:t> </w:t>
      </w:r>
      <w:r>
        <w:rPr/>
        <w:t>the</w:t>
      </w:r>
      <w:r>
        <w:rPr>
          <w:spacing w:val="-4"/>
        </w:rPr>
        <w:t> </w:t>
      </w:r>
      <w:r>
        <w:rPr/>
        <w:t>heath.</w:t>
      </w:r>
      <w:r>
        <w:rPr>
          <w:spacing w:val="-6"/>
        </w:rPr>
        <w:t> </w:t>
      </w:r>
      <w:r>
        <w:rPr/>
        <w:t>This</w:t>
      </w:r>
      <w:r>
        <w:rPr>
          <w:spacing w:val="-6"/>
        </w:rPr>
        <w:t> </w:t>
      </w:r>
      <w:r>
        <w:rPr/>
        <w:t>act</w:t>
      </w:r>
      <w:r>
        <w:rPr>
          <w:spacing w:val="-5"/>
        </w:rPr>
        <w:t> </w:t>
      </w:r>
      <w:r>
        <w:rPr/>
        <w:t>of</w:t>
      </w:r>
      <w:r>
        <w:rPr>
          <w:spacing w:val="-4"/>
        </w:rPr>
        <w:t> </w:t>
      </w:r>
      <w:r>
        <w:rPr/>
        <w:t>filial</w:t>
      </w:r>
      <w:r>
        <w:rPr>
          <w:spacing w:val="-5"/>
        </w:rPr>
        <w:t> </w:t>
      </w:r>
      <w:r>
        <w:rPr/>
        <w:t>duty</w:t>
      </w:r>
      <w:r>
        <w:rPr>
          <w:spacing w:val="-7"/>
        </w:rPr>
        <w:t> </w:t>
      </w:r>
      <w:r>
        <w:rPr/>
        <w:t>over</w:t>
      </w:r>
      <w:r>
        <w:rPr>
          <w:spacing w:val="-4"/>
        </w:rPr>
        <w:t> </w:t>
      </w:r>
      <w:r>
        <w:rPr/>
        <w:t>marital</w:t>
      </w:r>
      <w:r>
        <w:rPr>
          <w:spacing w:val="-4"/>
        </w:rPr>
        <w:t> </w:t>
      </w:r>
      <w:r>
        <w:rPr/>
        <w:t>loyalty</w:t>
      </w:r>
      <w:r>
        <w:rPr>
          <w:spacing w:val="-9"/>
        </w:rPr>
        <w:t> </w:t>
      </w:r>
      <w:r>
        <w:rPr/>
        <w:t>is</w:t>
      </w:r>
      <w:r>
        <w:rPr>
          <w:spacing w:val="-6"/>
        </w:rPr>
        <w:t> </w:t>
      </w:r>
      <w:r>
        <w:rPr/>
        <w:t>tragic </w:t>
      </w:r>
      <w:r>
        <w:rPr>
          <w:spacing w:val="-2"/>
        </w:rPr>
        <w:t>in</w:t>
      </w:r>
      <w:r>
        <w:rPr>
          <w:spacing w:val="-5"/>
        </w:rPr>
        <w:t> </w:t>
      </w:r>
      <w:r>
        <w:rPr>
          <w:spacing w:val="-2"/>
        </w:rPr>
        <w:t>outcome;</w:t>
      </w:r>
      <w:r>
        <w:rPr>
          <w:spacing w:val="-7"/>
        </w:rPr>
        <w:t> </w:t>
      </w:r>
      <w:r>
        <w:rPr>
          <w:spacing w:val="-2"/>
        </w:rPr>
        <w:t>Cordelia</w:t>
      </w:r>
      <w:r>
        <w:rPr>
          <w:spacing w:val="-5"/>
        </w:rPr>
        <w:t> </w:t>
      </w:r>
      <w:r>
        <w:rPr>
          <w:spacing w:val="-2"/>
        </w:rPr>
        <w:t>dies</w:t>
      </w:r>
      <w:r>
        <w:rPr>
          <w:spacing w:val="-7"/>
        </w:rPr>
        <w:t> </w:t>
      </w:r>
      <w:r>
        <w:rPr>
          <w:spacing w:val="-2"/>
        </w:rPr>
        <w:t>hanged,</w:t>
      </w:r>
      <w:r>
        <w:rPr>
          <w:spacing w:val="-5"/>
        </w:rPr>
        <w:t> </w:t>
      </w:r>
      <w:r>
        <w:rPr>
          <w:spacing w:val="-2"/>
        </w:rPr>
        <w:t>yet</w:t>
      </w:r>
      <w:r>
        <w:rPr>
          <w:spacing w:val="-7"/>
        </w:rPr>
        <w:t> </w:t>
      </w:r>
      <w:r>
        <w:rPr>
          <w:spacing w:val="-2"/>
        </w:rPr>
        <w:t>her</w:t>
      </w:r>
      <w:r>
        <w:rPr>
          <w:spacing w:val="-3"/>
        </w:rPr>
        <w:t> </w:t>
      </w:r>
      <w:r>
        <w:rPr>
          <w:spacing w:val="-2"/>
        </w:rPr>
        <w:t>marriage</w:t>
      </w:r>
      <w:r>
        <w:rPr>
          <w:spacing w:val="-5"/>
        </w:rPr>
        <w:t> </w:t>
      </w:r>
      <w:r>
        <w:rPr>
          <w:spacing w:val="-2"/>
        </w:rPr>
        <w:t>to</w:t>
      </w:r>
      <w:r>
        <w:rPr>
          <w:spacing w:val="-3"/>
        </w:rPr>
        <w:t> </w:t>
      </w:r>
      <w:r>
        <w:rPr>
          <w:spacing w:val="-2"/>
        </w:rPr>
        <w:t>France</w:t>
      </w:r>
      <w:r>
        <w:rPr>
          <w:spacing w:val="-5"/>
        </w:rPr>
        <w:t> </w:t>
      </w:r>
      <w:r>
        <w:rPr>
          <w:spacing w:val="-2"/>
        </w:rPr>
        <w:t>is</w:t>
      </w:r>
      <w:r>
        <w:rPr>
          <w:spacing w:val="-5"/>
        </w:rPr>
        <w:t> </w:t>
      </w:r>
      <w:r>
        <w:rPr>
          <w:spacing w:val="-2"/>
        </w:rPr>
        <w:t>portrayed </w:t>
      </w:r>
      <w:r>
        <w:rPr/>
        <w:t>as genuinely affectionate and freely chosen. Goneril and Regan, by contrast, are married to Albany and Cornwall, but their marriages are hollow,</w:t>
      </w:r>
      <w:r>
        <w:rPr>
          <w:spacing w:val="-9"/>
        </w:rPr>
        <w:t> </w:t>
      </w:r>
      <w:r>
        <w:rPr/>
        <w:t>and</w:t>
      </w:r>
      <w:r>
        <w:rPr>
          <w:spacing w:val="-4"/>
        </w:rPr>
        <w:t> </w:t>
      </w:r>
      <w:r>
        <w:rPr/>
        <w:t>both</w:t>
      </w:r>
      <w:r>
        <w:rPr>
          <w:spacing w:val="-9"/>
        </w:rPr>
        <w:t> </w:t>
      </w:r>
      <w:r>
        <w:rPr/>
        <w:t>women</w:t>
      </w:r>
      <w:r>
        <w:rPr>
          <w:spacing w:val="-9"/>
        </w:rPr>
        <w:t> </w:t>
      </w:r>
      <w:r>
        <w:rPr/>
        <w:t>pursue</w:t>
      </w:r>
      <w:r>
        <w:rPr>
          <w:spacing w:val="-8"/>
        </w:rPr>
        <w:t> </w:t>
      </w:r>
      <w:r>
        <w:rPr/>
        <w:t>an</w:t>
      </w:r>
      <w:r>
        <w:rPr>
          <w:spacing w:val="-7"/>
        </w:rPr>
        <w:t> </w:t>
      </w:r>
      <w:r>
        <w:rPr/>
        <w:t>adulterous</w:t>
      </w:r>
      <w:r>
        <w:rPr>
          <w:spacing w:val="-9"/>
        </w:rPr>
        <w:t> </w:t>
      </w:r>
      <w:r>
        <w:rPr/>
        <w:t>desire</w:t>
      </w:r>
      <w:r>
        <w:rPr>
          <w:spacing w:val="-8"/>
        </w:rPr>
        <w:t> </w:t>
      </w:r>
      <w:r>
        <w:rPr/>
        <w:t>with</w:t>
      </w:r>
      <w:r>
        <w:rPr>
          <w:spacing w:val="-7"/>
        </w:rPr>
        <w:t> </w:t>
      </w:r>
      <w:r>
        <w:rPr/>
        <w:t>Edmund.</w:t>
      </w:r>
      <w:r>
        <w:rPr>
          <w:spacing w:val="-9"/>
        </w:rPr>
        <w:t> </w:t>
      </w:r>
      <w:r>
        <w:rPr/>
        <w:t>Fate in King Lear is cruel. Cordelia’s happiness is sacrificed to the larger tragedy</w:t>
      </w:r>
      <w:r>
        <w:rPr>
          <w:spacing w:val="-2"/>
        </w:rPr>
        <w:t> </w:t>
      </w:r>
      <w:r>
        <w:rPr/>
        <w:t>of</w:t>
      </w:r>
      <w:r>
        <w:rPr>
          <w:spacing w:val="-1"/>
        </w:rPr>
        <w:t> </w:t>
      </w:r>
      <w:r>
        <w:rPr/>
        <w:t>Lear’s blindness, while</w:t>
      </w:r>
      <w:r>
        <w:rPr>
          <w:spacing w:val="-1"/>
        </w:rPr>
        <w:t> </w:t>
      </w:r>
      <w:r>
        <w:rPr/>
        <w:t>the wicked sisters meet violent ends. No</w:t>
      </w:r>
      <w:r>
        <w:rPr>
          <w:spacing w:val="40"/>
        </w:rPr>
        <w:t> </w:t>
      </w:r>
      <w:r>
        <w:rPr/>
        <w:t>marriage</w:t>
      </w:r>
      <w:r>
        <w:rPr>
          <w:spacing w:val="40"/>
        </w:rPr>
        <w:t> </w:t>
      </w:r>
      <w:r>
        <w:rPr/>
        <w:t>survives</w:t>
      </w:r>
      <w:r>
        <w:rPr>
          <w:spacing w:val="40"/>
        </w:rPr>
        <w:t> </w:t>
      </w:r>
      <w:r>
        <w:rPr/>
        <w:t>the</w:t>
      </w:r>
      <w:r>
        <w:rPr>
          <w:spacing w:val="40"/>
        </w:rPr>
        <w:t> </w:t>
      </w:r>
      <w:r>
        <w:rPr/>
        <w:t>play’s</w:t>
      </w:r>
      <w:r>
        <w:rPr>
          <w:spacing w:val="40"/>
        </w:rPr>
        <w:t> </w:t>
      </w:r>
      <w:r>
        <w:rPr/>
        <w:t>catastrophic</w:t>
      </w:r>
      <w:r>
        <w:rPr>
          <w:spacing w:val="40"/>
        </w:rPr>
        <w:t> </w:t>
      </w:r>
      <w:r>
        <w:rPr/>
        <w:t>conclusion.</w:t>
      </w:r>
    </w:p>
    <w:p>
      <w:pPr>
        <w:pStyle w:val="BodyText"/>
        <w:spacing w:line="249" w:lineRule="auto" w:before="66"/>
        <w:ind w:right="1436" w:firstLine="432"/>
        <w:jc w:val="both"/>
      </w:pPr>
      <w:r>
        <w:rPr/>
        <w:t>Macbeth</w:t>
      </w:r>
      <w:r>
        <w:rPr>
          <w:spacing w:val="-6"/>
        </w:rPr>
        <w:t> </w:t>
      </w:r>
      <w:r>
        <w:rPr/>
        <w:t>offers</w:t>
      </w:r>
      <w:r>
        <w:rPr>
          <w:spacing w:val="-4"/>
        </w:rPr>
        <w:t> </w:t>
      </w:r>
      <w:r>
        <w:rPr/>
        <w:t>a</w:t>
      </w:r>
      <w:r>
        <w:rPr>
          <w:spacing w:val="-5"/>
        </w:rPr>
        <w:t> </w:t>
      </w:r>
      <w:r>
        <w:rPr/>
        <w:t>different</w:t>
      </w:r>
      <w:r>
        <w:rPr>
          <w:spacing w:val="-2"/>
        </w:rPr>
        <w:t> </w:t>
      </w:r>
      <w:r>
        <w:rPr/>
        <w:t>model.</w:t>
      </w:r>
      <w:r>
        <w:rPr>
          <w:spacing w:val="-6"/>
        </w:rPr>
        <w:t> </w:t>
      </w:r>
      <w:r>
        <w:rPr/>
        <w:t>The</w:t>
      </w:r>
      <w:r>
        <w:rPr>
          <w:spacing w:val="-4"/>
        </w:rPr>
        <w:t> </w:t>
      </w:r>
      <w:r>
        <w:rPr/>
        <w:t>Macbeths</w:t>
      </w:r>
      <w:r>
        <w:rPr>
          <w:spacing w:val="-6"/>
        </w:rPr>
        <w:t> </w:t>
      </w:r>
      <w:r>
        <w:rPr/>
        <w:t>begin</w:t>
      </w:r>
      <w:r>
        <w:rPr>
          <w:spacing w:val="-4"/>
        </w:rPr>
        <w:t> </w:t>
      </w:r>
      <w:r>
        <w:rPr/>
        <w:t>as</w:t>
      </w:r>
      <w:r>
        <w:rPr>
          <w:spacing w:val="-6"/>
        </w:rPr>
        <w:t> </w:t>
      </w:r>
      <w:r>
        <w:rPr/>
        <w:t>a</w:t>
      </w:r>
      <w:r>
        <w:rPr>
          <w:spacing w:val="-4"/>
        </w:rPr>
        <w:t> </w:t>
      </w:r>
      <w:r>
        <w:rPr/>
        <w:t>united, sexually desiring couple; Lady Macbeth calls Macbeth her”dearest partner of greatness”. Their marriage is initially happy in its shared ambition. Yet fate, in the form of the witches prophecies, corrupts that happiness into mutual destruction. Lady Macbeth’s suicide and Macbeth’s</w:t>
      </w:r>
      <w:r>
        <w:rPr>
          <w:spacing w:val="-6"/>
        </w:rPr>
        <w:t> </w:t>
      </w:r>
      <w:r>
        <w:rPr/>
        <w:t>death</w:t>
      </w:r>
      <w:r>
        <w:rPr>
          <w:spacing w:val="-6"/>
        </w:rPr>
        <w:t> </w:t>
      </w:r>
      <w:r>
        <w:rPr/>
        <w:t>on</w:t>
      </w:r>
      <w:r>
        <w:rPr>
          <w:spacing w:val="-4"/>
        </w:rPr>
        <w:t> </w:t>
      </w:r>
      <w:r>
        <w:rPr/>
        <w:t>the</w:t>
      </w:r>
      <w:r>
        <w:rPr>
          <w:spacing w:val="-6"/>
        </w:rPr>
        <w:t> </w:t>
      </w:r>
      <w:r>
        <w:rPr/>
        <w:t>battlefield</w:t>
      </w:r>
      <w:r>
        <w:rPr>
          <w:spacing w:val="-2"/>
        </w:rPr>
        <w:t> </w:t>
      </w:r>
      <w:r>
        <w:rPr/>
        <w:t>show</w:t>
      </w:r>
      <w:r>
        <w:rPr>
          <w:spacing w:val="-7"/>
        </w:rPr>
        <w:t> </w:t>
      </w:r>
      <w:r>
        <w:rPr/>
        <w:t>that</w:t>
      </w:r>
      <w:r>
        <w:rPr>
          <w:spacing w:val="-6"/>
        </w:rPr>
        <w:t> </w:t>
      </w:r>
      <w:r>
        <w:rPr/>
        <w:t>even</w:t>
      </w:r>
      <w:r>
        <w:rPr>
          <w:spacing w:val="-6"/>
        </w:rPr>
        <w:t> </w:t>
      </w:r>
      <w:r>
        <w:rPr/>
        <w:t>a</w:t>
      </w:r>
      <w:r>
        <w:rPr>
          <w:spacing w:val="-2"/>
        </w:rPr>
        <w:t> </w:t>
      </w:r>
      <w:r>
        <w:rPr/>
        <w:t>loving</w:t>
      </w:r>
      <w:r>
        <w:rPr>
          <w:spacing w:val="-6"/>
        </w:rPr>
        <w:t> </w:t>
      </w:r>
      <w:r>
        <w:rPr/>
        <w:t>marriage</w:t>
      </w:r>
      <w:r>
        <w:rPr>
          <w:spacing w:val="-3"/>
        </w:rPr>
        <w:t> </w:t>
      </w:r>
      <w:r>
        <w:rPr/>
        <w:t>can be unmade when fate tempts transgression. The research method combines historical analysis of coverture, the legal erasure of married women, with attention to early modern beliefs in fortune, providence, and</w:t>
      </w:r>
      <w:r>
        <w:rPr>
          <w:spacing w:val="-12"/>
        </w:rPr>
        <w:t> </w:t>
      </w:r>
      <w:r>
        <w:rPr/>
        <w:t>the</w:t>
      </w:r>
      <w:r>
        <w:rPr>
          <w:spacing w:val="-9"/>
        </w:rPr>
        <w:t> </w:t>
      </w:r>
      <w:r>
        <w:rPr/>
        <w:t>wheel</w:t>
      </w:r>
      <w:r>
        <w:rPr>
          <w:spacing w:val="-12"/>
        </w:rPr>
        <w:t> </w:t>
      </w:r>
      <w:r>
        <w:rPr/>
        <w:t>of</w:t>
      </w:r>
      <w:r>
        <w:rPr>
          <w:spacing w:val="-10"/>
        </w:rPr>
        <w:t> </w:t>
      </w:r>
      <w:r>
        <w:rPr/>
        <w:t>fate.</w:t>
      </w:r>
      <w:r>
        <w:rPr>
          <w:spacing w:val="-12"/>
        </w:rPr>
        <w:t> </w:t>
      </w:r>
      <w:r>
        <w:rPr/>
        <w:t>Primary</w:t>
      </w:r>
      <w:r>
        <w:rPr>
          <w:spacing w:val="-13"/>
        </w:rPr>
        <w:t> </w:t>
      </w:r>
      <w:r>
        <w:rPr/>
        <w:t>sources</w:t>
      </w:r>
      <w:r>
        <w:rPr>
          <w:spacing w:val="-12"/>
        </w:rPr>
        <w:t> </w:t>
      </w:r>
      <w:r>
        <w:rPr/>
        <w:t>include</w:t>
      </w:r>
      <w:r>
        <w:rPr>
          <w:spacing w:val="-10"/>
        </w:rPr>
        <w:t> </w:t>
      </w:r>
      <w:r>
        <w:rPr/>
        <w:t>marriage</w:t>
      </w:r>
      <w:r>
        <w:rPr>
          <w:spacing w:val="-11"/>
        </w:rPr>
        <w:t> </w:t>
      </w:r>
      <w:r>
        <w:rPr/>
        <w:t>sermons,</w:t>
      </w:r>
      <w:r>
        <w:rPr>
          <w:spacing w:val="-9"/>
        </w:rPr>
        <w:t> </w:t>
      </w:r>
      <w:r>
        <w:rPr/>
        <w:t>church court </w:t>
      </w:r>
      <w:r>
        <w:rPr>
          <w:spacing w:val="9"/>
        </w:rPr>
        <w:t>records,</w:t>
      </w:r>
      <w:r>
        <w:rPr>
          <w:spacing w:val="9"/>
        </w:rPr>
        <w:t> </w:t>
      </w:r>
      <w:r>
        <w:rPr/>
        <w:t>and conduct books. The </w:t>
      </w:r>
      <w:r>
        <w:rPr>
          <w:spacing w:val="9"/>
        </w:rPr>
        <w:t>paper</w:t>
      </w:r>
      <w:r>
        <w:rPr>
          <w:spacing w:val="9"/>
        </w:rPr>
        <w:t> </w:t>
      </w:r>
      <w:r>
        <w:rPr/>
        <w:t>concludes that </w:t>
      </w:r>
      <w:r>
        <w:rPr>
          <w:spacing w:val="-2"/>
        </w:rPr>
        <w:t>Shakespeare’s married</w:t>
      </w:r>
      <w:r>
        <w:rPr>
          <w:spacing w:val="-3"/>
        </w:rPr>
        <w:t> </w:t>
      </w:r>
      <w:r>
        <w:rPr>
          <w:spacing w:val="-2"/>
        </w:rPr>
        <w:t>women</w:t>
      </w:r>
      <w:r>
        <w:rPr>
          <w:spacing w:val="-3"/>
        </w:rPr>
        <w:t> </w:t>
      </w:r>
      <w:r>
        <w:rPr>
          <w:spacing w:val="-2"/>
        </w:rPr>
        <w:t>possess sexual agency</w:t>
      </w:r>
      <w:r>
        <w:rPr>
          <w:spacing w:val="-8"/>
        </w:rPr>
        <w:t> </w:t>
      </w:r>
      <w:r>
        <w:rPr>
          <w:spacing w:val="-2"/>
        </w:rPr>
        <w:t>only</w:t>
      </w:r>
      <w:r>
        <w:rPr>
          <w:spacing w:val="-3"/>
        </w:rPr>
        <w:t> </w:t>
      </w:r>
      <w:r>
        <w:rPr>
          <w:spacing w:val="-2"/>
        </w:rPr>
        <w:t>within</w:t>
      </w:r>
      <w:r>
        <w:rPr>
          <w:spacing w:val="-3"/>
        </w:rPr>
        <w:t> </w:t>
      </w:r>
      <w:r>
        <w:rPr>
          <w:spacing w:val="-2"/>
        </w:rPr>
        <w:t>narrow </w:t>
      </w:r>
      <w:r>
        <w:rPr/>
        <w:t>bounds;</w:t>
      </w:r>
      <w:r>
        <w:rPr>
          <w:spacing w:val="-13"/>
        </w:rPr>
        <w:t> </w:t>
      </w:r>
      <w:r>
        <w:rPr/>
        <w:t>fate</w:t>
      </w:r>
      <w:r>
        <w:rPr>
          <w:spacing w:val="-12"/>
        </w:rPr>
        <w:t> </w:t>
      </w:r>
      <w:r>
        <w:rPr/>
        <w:t>amplifies</w:t>
      </w:r>
      <w:r>
        <w:rPr>
          <w:spacing w:val="-12"/>
        </w:rPr>
        <w:t> </w:t>
      </w:r>
      <w:r>
        <w:rPr/>
        <w:t>or</w:t>
      </w:r>
      <w:r>
        <w:rPr>
          <w:spacing w:val="-10"/>
        </w:rPr>
        <w:t> </w:t>
      </w:r>
      <w:r>
        <w:rPr/>
        <w:t>annihilates</w:t>
      </w:r>
      <w:r>
        <w:rPr>
          <w:spacing w:val="-12"/>
        </w:rPr>
        <w:t> </w:t>
      </w:r>
      <w:r>
        <w:rPr/>
        <w:t>that</w:t>
      </w:r>
      <w:r>
        <w:rPr>
          <w:spacing w:val="-12"/>
        </w:rPr>
        <w:t> </w:t>
      </w:r>
      <w:r>
        <w:rPr/>
        <w:t>agency.</w:t>
      </w:r>
      <w:r>
        <w:rPr>
          <w:spacing w:val="-10"/>
        </w:rPr>
        <w:t> </w:t>
      </w:r>
      <w:r>
        <w:rPr/>
        <w:t>Happiness</w:t>
      </w:r>
      <w:r>
        <w:rPr>
          <w:spacing w:val="-12"/>
        </w:rPr>
        <w:t> </w:t>
      </w:r>
      <w:r>
        <w:rPr/>
        <w:t>in</w:t>
      </w:r>
      <w:r>
        <w:rPr>
          <w:spacing w:val="-12"/>
        </w:rPr>
        <w:t> </w:t>
      </w:r>
      <w:r>
        <w:rPr/>
        <w:t>marriage, when</w:t>
      </w:r>
      <w:r>
        <w:rPr>
          <w:spacing w:val="-13"/>
        </w:rPr>
        <w:t> </w:t>
      </w:r>
      <w:r>
        <w:rPr/>
        <w:t>it</w:t>
      </w:r>
      <w:r>
        <w:rPr>
          <w:spacing w:val="-12"/>
        </w:rPr>
        <w:t> </w:t>
      </w:r>
      <w:r>
        <w:rPr/>
        <w:t>appears,</w:t>
      </w:r>
      <w:r>
        <w:rPr>
          <w:spacing w:val="-12"/>
        </w:rPr>
        <w:t> </w:t>
      </w:r>
      <w:r>
        <w:rPr/>
        <w:t>is</w:t>
      </w:r>
      <w:r>
        <w:rPr>
          <w:spacing w:val="-12"/>
        </w:rPr>
        <w:t> </w:t>
      </w:r>
      <w:r>
        <w:rPr/>
        <w:t>fleeting</w:t>
      </w:r>
      <w:r>
        <w:rPr>
          <w:spacing w:val="-13"/>
        </w:rPr>
        <w:t> </w:t>
      </w:r>
      <w:r>
        <w:rPr/>
        <w:t>and</w:t>
      </w:r>
      <w:r>
        <w:rPr>
          <w:spacing w:val="-10"/>
        </w:rPr>
        <w:t> </w:t>
      </w:r>
      <w:r>
        <w:rPr/>
        <w:t>contingent,</w:t>
      </w:r>
      <w:r>
        <w:rPr>
          <w:spacing w:val="-12"/>
        </w:rPr>
        <w:t> </w:t>
      </w:r>
      <w:r>
        <w:rPr/>
        <w:t>always</w:t>
      </w:r>
      <w:r>
        <w:rPr>
          <w:spacing w:val="-12"/>
        </w:rPr>
        <w:t> </w:t>
      </w:r>
      <w:r>
        <w:rPr/>
        <w:t>shadowed</w:t>
      </w:r>
      <w:r>
        <w:rPr>
          <w:spacing w:val="-10"/>
        </w:rPr>
        <w:t> </w:t>
      </w:r>
      <w:r>
        <w:rPr/>
        <w:t>by</w:t>
      </w:r>
      <w:r>
        <w:rPr>
          <w:spacing w:val="-13"/>
        </w:rPr>
        <w:t> </w:t>
      </w:r>
      <w:r>
        <w:rPr/>
        <w:t>tragedy. This comparative approach contributes to feminist Shakespeare scholarship by demonstrating that the distinction between comic and tragic marriage</w:t>
      </w:r>
      <w:r>
        <w:rPr>
          <w:spacing w:val="-2"/>
        </w:rPr>
        <w:t> </w:t>
      </w:r>
      <w:r>
        <w:rPr/>
        <w:t>is not a matter of</w:t>
      </w:r>
      <w:r>
        <w:rPr>
          <w:spacing w:val="-2"/>
        </w:rPr>
        <w:t> </w:t>
      </w:r>
      <w:r>
        <w:rPr/>
        <w:t>genre alone, but of</w:t>
      </w:r>
      <w:r>
        <w:rPr>
          <w:spacing w:val="-2"/>
        </w:rPr>
        <w:t> </w:t>
      </w:r>
      <w:r>
        <w:rPr/>
        <w:t>how</w:t>
      </w:r>
      <w:r>
        <w:rPr>
          <w:spacing w:val="-4"/>
        </w:rPr>
        <w:t> </w:t>
      </w:r>
      <w:r>
        <w:rPr/>
        <w:t>fate intersects with female desire in a patriarchal legal order.</w:t>
      </w:r>
    </w:p>
    <w:p>
      <w:pPr>
        <w:spacing w:before="72"/>
        <w:ind w:left="1872" w:right="0" w:firstLine="0"/>
        <w:jc w:val="both"/>
        <w:rPr>
          <w:sz w:val="20"/>
        </w:rPr>
      </w:pPr>
      <w:r>
        <w:rPr>
          <w:b/>
          <w:sz w:val="20"/>
        </w:rPr>
        <w:t>Key</w:t>
      </w:r>
      <w:r>
        <w:rPr>
          <w:b/>
          <w:spacing w:val="12"/>
          <w:sz w:val="20"/>
        </w:rPr>
        <w:t> </w:t>
      </w:r>
      <w:r>
        <w:rPr>
          <w:b/>
          <w:sz w:val="20"/>
        </w:rPr>
        <w:t>words</w:t>
      </w:r>
      <w:r>
        <w:rPr>
          <w:b/>
          <w:spacing w:val="13"/>
          <w:sz w:val="20"/>
        </w:rPr>
        <w:t> </w:t>
      </w:r>
      <w:r>
        <w:rPr>
          <w:b/>
          <w:sz w:val="20"/>
        </w:rPr>
        <w:t>:</w:t>
      </w:r>
      <w:r>
        <w:rPr>
          <w:b/>
          <w:spacing w:val="12"/>
          <w:sz w:val="20"/>
        </w:rPr>
        <w:t> </w:t>
      </w:r>
      <w:r>
        <w:rPr>
          <w:sz w:val="20"/>
        </w:rPr>
        <w:t>comparative,</w:t>
      </w:r>
      <w:r>
        <w:rPr>
          <w:spacing w:val="11"/>
          <w:sz w:val="20"/>
        </w:rPr>
        <w:t> </w:t>
      </w:r>
      <w:r>
        <w:rPr>
          <w:sz w:val="20"/>
        </w:rPr>
        <w:t>gender</w:t>
      </w:r>
      <w:r>
        <w:rPr>
          <w:spacing w:val="13"/>
          <w:sz w:val="20"/>
        </w:rPr>
        <w:t> </w:t>
      </w:r>
      <w:r>
        <w:rPr>
          <w:sz w:val="20"/>
        </w:rPr>
        <w:t>,</w:t>
      </w:r>
      <w:r>
        <w:rPr>
          <w:spacing w:val="11"/>
          <w:sz w:val="20"/>
        </w:rPr>
        <w:t> </w:t>
      </w:r>
      <w:r>
        <w:rPr>
          <w:sz w:val="20"/>
        </w:rPr>
        <w:t>tragedy,</w:t>
      </w:r>
      <w:r>
        <w:rPr>
          <w:spacing w:val="13"/>
          <w:sz w:val="20"/>
        </w:rPr>
        <w:t> </w:t>
      </w:r>
      <w:r>
        <w:rPr>
          <w:sz w:val="20"/>
        </w:rPr>
        <w:t>fate</w:t>
      </w:r>
      <w:r>
        <w:rPr>
          <w:spacing w:val="12"/>
          <w:sz w:val="20"/>
        </w:rPr>
        <w:t> </w:t>
      </w:r>
      <w:r>
        <w:rPr>
          <w:sz w:val="20"/>
        </w:rPr>
        <w:t>and</w:t>
      </w:r>
      <w:r>
        <w:rPr>
          <w:spacing w:val="14"/>
          <w:sz w:val="20"/>
        </w:rPr>
        <w:t> </w:t>
      </w:r>
      <w:r>
        <w:rPr>
          <w:spacing w:val="-4"/>
          <w:sz w:val="20"/>
        </w:rPr>
        <w:t>love</w:t>
      </w:r>
    </w:p>
    <w:p>
      <w:pPr>
        <w:pStyle w:val="Heading3"/>
        <w:spacing w:before="164"/>
      </w:pPr>
      <w:r>
        <w:rPr>
          <w:spacing w:val="-2"/>
          <w:w w:val="95"/>
        </w:rPr>
        <w:t>INTRODUCTION</w:t>
      </w:r>
    </w:p>
    <w:p>
      <w:pPr>
        <w:pStyle w:val="BodyText"/>
        <w:spacing w:line="249" w:lineRule="auto" w:before="78"/>
        <w:ind w:right="1437" w:firstLine="432"/>
        <w:jc w:val="both"/>
      </w:pPr>
      <w:r>
        <w:rPr/>
        <w:t>In the world of Shakespearean drama, no force proves more capricious than fate. Whether conceived as Fortune’s spinning wheel,</w:t>
      </w:r>
      <w:r>
        <w:rPr>
          <w:spacing w:val="40"/>
        </w:rPr>
        <w:t> </w:t>
      </w:r>
      <w:r>
        <w:rPr>
          <w:spacing w:val="-2"/>
        </w:rPr>
        <w:t>as</w:t>
      </w:r>
      <w:r>
        <w:rPr>
          <w:spacing w:val="-6"/>
        </w:rPr>
        <w:t> </w:t>
      </w:r>
      <w:r>
        <w:rPr>
          <w:spacing w:val="-2"/>
        </w:rPr>
        <w:t>the</w:t>
      </w:r>
      <w:r>
        <w:rPr>
          <w:spacing w:val="-3"/>
        </w:rPr>
        <w:t> </w:t>
      </w:r>
      <w:r>
        <w:rPr>
          <w:spacing w:val="-2"/>
        </w:rPr>
        <w:t>impersonal</w:t>
      </w:r>
      <w:r>
        <w:rPr>
          <w:spacing w:val="-6"/>
        </w:rPr>
        <w:t> </w:t>
      </w:r>
      <w:r>
        <w:rPr>
          <w:spacing w:val="-2"/>
        </w:rPr>
        <w:t>machinery</w:t>
      </w:r>
      <w:r>
        <w:rPr>
          <w:spacing w:val="-8"/>
        </w:rPr>
        <w:t> </w:t>
      </w:r>
      <w:r>
        <w:rPr>
          <w:spacing w:val="-2"/>
        </w:rPr>
        <w:t>of</w:t>
      </w:r>
      <w:r>
        <w:rPr>
          <w:spacing w:val="-6"/>
        </w:rPr>
        <w:t> </w:t>
      </w:r>
      <w:r>
        <w:rPr>
          <w:spacing w:val="-2"/>
        </w:rPr>
        <w:t>providence, or</w:t>
      </w:r>
      <w:r>
        <w:rPr>
          <w:spacing w:val="-3"/>
        </w:rPr>
        <w:t> </w:t>
      </w:r>
      <w:r>
        <w:rPr>
          <w:spacing w:val="-2"/>
        </w:rPr>
        <w:t>as</w:t>
      </w:r>
      <w:r>
        <w:rPr>
          <w:spacing w:val="-3"/>
        </w:rPr>
        <w:t> </w:t>
      </w:r>
      <w:r>
        <w:rPr>
          <w:spacing w:val="-2"/>
        </w:rPr>
        <w:t>the</w:t>
      </w:r>
      <w:r>
        <w:rPr>
          <w:spacing w:val="-6"/>
        </w:rPr>
        <w:t> </w:t>
      </w:r>
      <w:r>
        <w:rPr>
          <w:spacing w:val="-2"/>
        </w:rPr>
        <w:t>destructive</w:t>
      </w:r>
      <w:r>
        <w:rPr>
          <w:spacing w:val="-3"/>
        </w:rPr>
        <w:t> </w:t>
      </w:r>
      <w:r>
        <w:rPr>
          <w:spacing w:val="-2"/>
        </w:rPr>
        <w:t>collision </w:t>
      </w:r>
      <w:r>
        <w:rPr/>
        <w:t>of human agency with cosmic indifference, fate governs the lives of Shakespeare’s</w:t>
      </w:r>
      <w:r>
        <w:rPr>
          <w:spacing w:val="-7"/>
        </w:rPr>
        <w:t> </w:t>
      </w:r>
      <w:r>
        <w:rPr/>
        <w:t>women</w:t>
      </w:r>
      <w:r>
        <w:rPr>
          <w:spacing w:val="-9"/>
        </w:rPr>
        <w:t> </w:t>
      </w:r>
      <w:r>
        <w:rPr/>
        <w:t>with</w:t>
      </w:r>
      <w:r>
        <w:rPr>
          <w:spacing w:val="-9"/>
        </w:rPr>
        <w:t> </w:t>
      </w:r>
      <w:r>
        <w:rPr/>
        <w:t>a</w:t>
      </w:r>
      <w:r>
        <w:rPr>
          <w:spacing w:val="-11"/>
        </w:rPr>
        <w:t> </w:t>
      </w:r>
      <w:r>
        <w:rPr/>
        <w:t>cruelty</w:t>
      </w:r>
      <w:r>
        <w:rPr>
          <w:spacing w:val="-11"/>
        </w:rPr>
        <w:t> </w:t>
      </w:r>
      <w:r>
        <w:rPr/>
        <w:t>that</w:t>
      </w:r>
      <w:r>
        <w:rPr>
          <w:spacing w:val="-9"/>
        </w:rPr>
        <w:t> </w:t>
      </w:r>
      <w:r>
        <w:rPr/>
        <w:t>transcends</w:t>
      </w:r>
      <w:r>
        <w:rPr>
          <w:spacing w:val="-9"/>
        </w:rPr>
        <w:t> </w:t>
      </w:r>
      <w:r>
        <w:rPr/>
        <w:t>generic</w:t>
      </w:r>
      <w:r>
        <w:rPr>
          <w:spacing w:val="-9"/>
        </w:rPr>
        <w:t> </w:t>
      </w:r>
      <w:r>
        <w:rPr/>
        <w:t>boundaries. This paper examines the representation of marriage, desire, and female sexual agency across four of Shakespeare’s major works </w:t>
      </w:r>
      <w:r>
        <w:rPr>
          <w:i/>
        </w:rPr>
        <w:t>Measure for Measure</w:t>
      </w:r>
      <w:r>
        <w:rPr/>
        <w:t>, </w:t>
      </w:r>
      <w:r>
        <w:rPr>
          <w:i/>
        </w:rPr>
        <w:t>Othello</w:t>
      </w:r>
      <w:r>
        <w:rPr/>
        <w:t>, </w:t>
      </w:r>
      <w:r>
        <w:rPr>
          <w:i/>
        </w:rPr>
        <w:t>King Lear</w:t>
      </w:r>
      <w:r>
        <w:rPr/>
        <w:t>, and </w:t>
      </w:r>
      <w:r>
        <w:rPr>
          <w:i/>
        </w:rPr>
        <w:t>Macbeth </w:t>
      </w:r>
      <w:r>
        <w:rPr/>
        <w:t>to argue that Shakespeare constructs</w:t>
      </w:r>
      <w:r>
        <w:rPr>
          <w:spacing w:val="-10"/>
        </w:rPr>
        <w:t> </w:t>
      </w:r>
      <w:r>
        <w:rPr/>
        <w:t>a</w:t>
      </w:r>
      <w:r>
        <w:rPr>
          <w:spacing w:val="-9"/>
        </w:rPr>
        <w:t> </w:t>
      </w:r>
      <w:r>
        <w:rPr/>
        <w:t>persistent</w:t>
      </w:r>
      <w:r>
        <w:rPr>
          <w:spacing w:val="-7"/>
        </w:rPr>
        <w:t> </w:t>
      </w:r>
      <w:r>
        <w:rPr/>
        <w:t>tension</w:t>
      </w:r>
      <w:r>
        <w:rPr>
          <w:spacing w:val="-11"/>
        </w:rPr>
        <w:t> </w:t>
      </w:r>
      <w:r>
        <w:rPr/>
        <w:t>between</w:t>
      </w:r>
      <w:r>
        <w:rPr>
          <w:spacing w:val="-12"/>
        </w:rPr>
        <w:t> </w:t>
      </w:r>
      <w:r>
        <w:rPr/>
        <w:t>patriarchal</w:t>
      </w:r>
      <w:r>
        <w:rPr>
          <w:spacing w:val="-9"/>
        </w:rPr>
        <w:t> </w:t>
      </w:r>
      <w:r>
        <w:rPr/>
        <w:t>control</w:t>
      </w:r>
      <w:r>
        <w:rPr>
          <w:spacing w:val="-10"/>
        </w:rPr>
        <w:t> </w:t>
      </w:r>
      <w:r>
        <w:rPr/>
        <w:t>over</w:t>
      </w:r>
      <w:r>
        <w:rPr>
          <w:spacing w:val="-7"/>
        </w:rPr>
        <w:t> </w:t>
      </w:r>
      <w:r>
        <w:rPr>
          <w:spacing w:val="-2"/>
        </w:rPr>
        <w:t>women’s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1" w:val="left" w:leader="none"/>
        </w:tabs>
        <w:spacing w:before="0"/>
        <w:ind w:left="0" w:right="2"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73536">
                <wp:simplePos x="0" y="0"/>
                <wp:positionH relativeFrom="page">
                  <wp:posOffset>2065020</wp:posOffset>
                </wp:positionH>
                <wp:positionV relativeFrom="paragraph">
                  <wp:posOffset>162604</wp:posOffset>
                </wp:positionV>
                <wp:extent cx="3657600" cy="12700"/>
                <wp:effectExtent l="0" t="0" r="0" b="0"/>
                <wp:wrapTopAndBottom/>
                <wp:docPr id="768" name="Graphic 768"/>
                <wp:cNvGraphicFramePr>
                  <a:graphicFrameLocks/>
                </wp:cNvGraphicFramePr>
                <a:graphic>
                  <a:graphicData uri="http://schemas.microsoft.com/office/word/2010/wordprocessingShape">
                    <wps:wsp>
                      <wps:cNvPr id="768" name="Graphic 76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42944;mso-wrap-distance-left:0;mso-wrap-distance-right:0" id="docshape760" filled="true" fillcolor="#000000" stroked="false">
                <v:fill type="solid"/>
                <w10:wrap type="topAndBottom"/>
              </v:rect>
            </w:pict>
          </mc:Fallback>
        </mc:AlternateContent>
      </w:r>
      <w:r>
        <w:rPr>
          <w:rFonts w:ascii="Verdana"/>
          <w:sz w:val="18"/>
        </w:rPr>
        <w:t>Between</w:t>
      </w:r>
      <w:r>
        <w:rPr>
          <w:rFonts w:ascii="Verdana"/>
          <w:spacing w:val="-1"/>
          <w:sz w:val="18"/>
        </w:rPr>
        <w:t> </w:t>
      </w:r>
      <w:r>
        <w:rPr>
          <w:rFonts w:ascii="Verdana"/>
          <w:sz w:val="18"/>
        </w:rPr>
        <w:t>Joy</w:t>
      </w:r>
      <w:r>
        <w:rPr>
          <w:rFonts w:ascii="Verdana"/>
          <w:spacing w:val="-1"/>
          <w:sz w:val="18"/>
        </w:rPr>
        <w:t> </w:t>
      </w:r>
      <w:r>
        <w:rPr>
          <w:rFonts w:ascii="Verdana"/>
          <w:sz w:val="18"/>
        </w:rPr>
        <w:t>and</w:t>
      </w:r>
      <w:r>
        <w:rPr>
          <w:rFonts w:ascii="Verdana"/>
          <w:spacing w:val="-1"/>
          <w:sz w:val="18"/>
        </w:rPr>
        <w:t> </w:t>
      </w:r>
      <w:r>
        <w:rPr>
          <w:rFonts w:ascii="Verdana"/>
          <w:sz w:val="18"/>
        </w:rPr>
        <w:t>Ruin:</w:t>
      </w:r>
      <w:r>
        <w:rPr>
          <w:rFonts w:ascii="Verdana"/>
          <w:spacing w:val="-1"/>
          <w:sz w:val="18"/>
        </w:rPr>
        <w:t> </w:t>
      </w:r>
      <w:r>
        <w:rPr>
          <w:rFonts w:ascii="Verdana"/>
          <w:sz w:val="18"/>
        </w:rPr>
        <w:t>The</w:t>
      </w:r>
      <w:r>
        <w:rPr>
          <w:rFonts w:ascii="Verdana"/>
          <w:spacing w:val="2"/>
          <w:sz w:val="18"/>
        </w:rPr>
        <w:t> </w:t>
      </w:r>
      <w:r>
        <w:rPr>
          <w:rFonts w:ascii="Verdana"/>
          <w:sz w:val="18"/>
        </w:rPr>
        <w:t>Role of Women Under</w:t>
      </w:r>
      <w:r>
        <w:rPr>
          <w:rFonts w:ascii="Verdana"/>
          <w:spacing w:val="1"/>
          <w:sz w:val="18"/>
        </w:rPr>
        <w:t> </w:t>
      </w:r>
      <w:r>
        <w:rPr>
          <w:rFonts w:ascii="Verdana"/>
          <w:spacing w:val="-2"/>
          <w:sz w:val="18"/>
        </w:rPr>
        <w:t>the...</w:t>
      </w:r>
      <w:r>
        <w:rPr>
          <w:rFonts w:ascii="Verdana"/>
          <w:sz w:val="18"/>
        </w:rPr>
        <w:tab/>
      </w:r>
      <w:r>
        <w:rPr>
          <w:rFonts w:ascii="Verdana"/>
          <w:spacing w:val="-5"/>
          <w:sz w:val="18"/>
        </w:rPr>
        <w:t>387</w:t>
      </w:r>
    </w:p>
    <w:p>
      <w:pPr>
        <w:pStyle w:val="BodyText"/>
        <w:spacing w:line="249" w:lineRule="auto" w:before="192"/>
        <w:ind w:right="1443"/>
        <w:jc w:val="both"/>
      </w:pPr>
      <w:r>
        <w:rPr/>
        <w:t>bodies and moments of subversive female assertion, tensions that fate ultimately</w:t>
      </w:r>
      <w:r>
        <w:rPr>
          <w:spacing w:val="40"/>
        </w:rPr>
        <w:t> </w:t>
      </w:r>
      <w:r>
        <w:rPr/>
        <w:t>resolves</w:t>
      </w:r>
      <w:r>
        <w:rPr>
          <w:spacing w:val="40"/>
        </w:rPr>
        <w:t> </w:t>
      </w:r>
      <w:r>
        <w:rPr/>
        <w:t>with</w:t>
      </w:r>
      <w:r>
        <w:rPr>
          <w:spacing w:val="40"/>
        </w:rPr>
        <w:t> </w:t>
      </w:r>
      <w:r>
        <w:rPr/>
        <w:t>tragic</w:t>
      </w:r>
      <w:r>
        <w:rPr>
          <w:spacing w:val="40"/>
        </w:rPr>
        <w:t> </w:t>
      </w:r>
      <w:r>
        <w:rPr/>
        <w:t>necessity.</w:t>
      </w:r>
    </w:p>
    <w:p>
      <w:pPr>
        <w:pStyle w:val="BodyText"/>
        <w:spacing w:line="249" w:lineRule="auto" w:before="59"/>
        <w:ind w:right="1437" w:firstLine="432"/>
        <w:jc w:val="both"/>
      </w:pPr>
      <w:r>
        <w:rPr/>
        <w:t>The argument proceeds from a central observation: that female agency in Shakespeare’s plays can only be exercised within narrow, precariously bounded spaces. Isabella in Measure for Measure resists the commodification of her sexuality even within the coercive logic of ducal authority; Desdemona exercises initial agency in her elopement only to be destroyed by the very sexual suspicions her marriage unleashes; Cordelia’s freely chosen marriage to the King of France proves no shelter against the ruin of her father’s tragedy; Goneril and Regan pursue political ambition and adulterous desire only to meet violent ends; and Lady Macbeth, initially her husband’s</w:t>
      </w:r>
      <w:r>
        <w:rPr>
          <w:spacing w:val="40"/>
        </w:rPr>
        <w:t> </w:t>
      </w:r>
      <w:r>
        <w:rPr/>
        <w:t>lovable and supporting partner greatness but his actions later finds her loving marriage corrupted into mutual destruction. In each case, happiness in marriage,</w:t>
      </w:r>
      <w:r>
        <w:rPr>
          <w:spacing w:val="-8"/>
        </w:rPr>
        <w:t> </w:t>
      </w:r>
      <w:r>
        <w:rPr/>
        <w:t>when</w:t>
      </w:r>
      <w:r>
        <w:rPr>
          <w:spacing w:val="-7"/>
        </w:rPr>
        <w:t> </w:t>
      </w:r>
      <w:r>
        <w:rPr/>
        <w:t>it</w:t>
      </w:r>
      <w:r>
        <w:rPr>
          <w:spacing w:val="-8"/>
        </w:rPr>
        <w:t> </w:t>
      </w:r>
      <w:r>
        <w:rPr/>
        <w:t>appears</w:t>
      </w:r>
      <w:r>
        <w:rPr>
          <w:spacing w:val="-8"/>
        </w:rPr>
        <w:t> </w:t>
      </w:r>
      <w:r>
        <w:rPr/>
        <w:t>at</w:t>
      </w:r>
      <w:r>
        <w:rPr>
          <w:spacing w:val="-8"/>
        </w:rPr>
        <w:t> </w:t>
      </w:r>
      <w:r>
        <w:rPr/>
        <w:t>all,</w:t>
      </w:r>
      <w:r>
        <w:rPr>
          <w:spacing w:val="-5"/>
        </w:rPr>
        <w:t> </w:t>
      </w:r>
      <w:r>
        <w:rPr/>
        <w:t>remains</w:t>
      </w:r>
      <w:r>
        <w:rPr>
          <w:spacing w:val="-8"/>
        </w:rPr>
        <w:t> </w:t>
      </w:r>
      <w:r>
        <w:rPr/>
        <w:t>fleeting</w:t>
      </w:r>
      <w:r>
        <w:rPr>
          <w:spacing w:val="-10"/>
        </w:rPr>
        <w:t> </w:t>
      </w:r>
      <w:r>
        <w:rPr/>
        <w:t>and</w:t>
      </w:r>
      <w:r>
        <w:rPr>
          <w:spacing w:val="-5"/>
        </w:rPr>
        <w:t> </w:t>
      </w:r>
      <w:r>
        <w:rPr/>
        <w:t>contingent,</w:t>
      </w:r>
      <w:r>
        <w:rPr>
          <w:spacing w:val="-7"/>
        </w:rPr>
        <w:t> </w:t>
      </w:r>
      <w:r>
        <w:rPr/>
        <w:t>always shadowed</w:t>
      </w:r>
      <w:r>
        <w:rPr>
          <w:spacing w:val="40"/>
        </w:rPr>
        <w:t> </w:t>
      </w:r>
      <w:r>
        <w:rPr/>
        <w:t>by</w:t>
      </w:r>
      <w:r>
        <w:rPr>
          <w:spacing w:val="40"/>
        </w:rPr>
        <w:t> </w:t>
      </w:r>
      <w:r>
        <w:rPr/>
        <w:t>tragedy.</w:t>
      </w:r>
    </w:p>
    <w:p>
      <w:pPr>
        <w:pStyle w:val="BodyText"/>
        <w:spacing w:line="249" w:lineRule="auto" w:before="70"/>
        <w:ind w:right="1437" w:firstLine="432"/>
        <w:jc w:val="both"/>
      </w:pPr>
      <w:r>
        <w:rPr/>
        <w:t>The distinction between comic and tragic marriage, this paper argues, is not a matter of genre alone but of how fate intersects with </w:t>
      </w:r>
      <w:r>
        <w:rPr>
          <w:spacing w:val="-2"/>
        </w:rPr>
        <w:t>female</w:t>
      </w:r>
      <w:r>
        <w:rPr>
          <w:spacing w:val="-11"/>
        </w:rPr>
        <w:t> </w:t>
      </w:r>
      <w:r>
        <w:rPr>
          <w:spacing w:val="-2"/>
        </w:rPr>
        <w:t>desire</w:t>
      </w:r>
      <w:r>
        <w:rPr>
          <w:spacing w:val="-10"/>
        </w:rPr>
        <w:t> </w:t>
      </w:r>
      <w:r>
        <w:rPr>
          <w:spacing w:val="-2"/>
        </w:rPr>
        <w:t>within</w:t>
      </w:r>
      <w:r>
        <w:rPr>
          <w:spacing w:val="-11"/>
        </w:rPr>
        <w:t> </w:t>
      </w:r>
      <w:r>
        <w:rPr>
          <w:spacing w:val="-2"/>
        </w:rPr>
        <w:t>a</w:t>
      </w:r>
      <w:r>
        <w:rPr>
          <w:spacing w:val="-10"/>
        </w:rPr>
        <w:t> </w:t>
      </w:r>
      <w:r>
        <w:rPr>
          <w:spacing w:val="-2"/>
        </w:rPr>
        <w:t>patriarchal</w:t>
      </w:r>
      <w:r>
        <w:rPr>
          <w:spacing w:val="-11"/>
        </w:rPr>
        <w:t> </w:t>
      </w:r>
      <w:r>
        <w:rPr>
          <w:spacing w:val="-2"/>
        </w:rPr>
        <w:t>legal</w:t>
      </w:r>
      <w:r>
        <w:rPr>
          <w:spacing w:val="-10"/>
        </w:rPr>
        <w:t> </w:t>
      </w:r>
      <w:r>
        <w:rPr>
          <w:spacing w:val="-2"/>
        </w:rPr>
        <w:t>order.</w:t>
      </w:r>
      <w:r>
        <w:rPr>
          <w:spacing w:val="-11"/>
        </w:rPr>
        <w:t> </w:t>
      </w:r>
      <w:r>
        <w:rPr>
          <w:spacing w:val="-2"/>
        </w:rPr>
        <w:t>Drawing</w:t>
      </w:r>
      <w:r>
        <w:rPr>
          <w:spacing w:val="-10"/>
        </w:rPr>
        <w:t> </w:t>
      </w:r>
      <w:r>
        <w:rPr>
          <w:spacing w:val="-2"/>
        </w:rPr>
        <w:t>on</w:t>
      </w:r>
      <w:r>
        <w:rPr>
          <w:spacing w:val="-11"/>
        </w:rPr>
        <w:t> </w:t>
      </w:r>
      <w:r>
        <w:rPr>
          <w:spacing w:val="-2"/>
        </w:rPr>
        <w:t>feminist</w:t>
      </w:r>
      <w:r>
        <w:rPr>
          <w:spacing w:val="-10"/>
        </w:rPr>
        <w:t> </w:t>
      </w:r>
      <w:r>
        <w:rPr>
          <w:spacing w:val="-2"/>
        </w:rPr>
        <w:t>literary </w:t>
      </w:r>
      <w:r>
        <w:rPr/>
        <w:t>criticism, historical analysis of early modern marriage law, and close reading of selected scenes, the paper demonstrates that Shakespeare’s married women possess</w:t>
      </w:r>
      <w:r>
        <w:rPr>
          <w:spacing w:val="-1"/>
        </w:rPr>
        <w:t> </w:t>
      </w:r>
      <w:r>
        <w:rPr/>
        <w:t>sexual agency only within narrow bounds; fate amplifies or annihilates that agency</w:t>
      </w:r>
      <w:r>
        <w:rPr>
          <w:spacing w:val="-4"/>
        </w:rPr>
        <w:t> </w:t>
      </w:r>
      <w:r>
        <w:rPr/>
        <w:t>with a terrible consistency.</w:t>
      </w:r>
      <w:r>
        <w:rPr>
          <w:spacing w:val="-1"/>
        </w:rPr>
        <w:t> </w:t>
      </w:r>
      <w:r>
        <w:rPr/>
        <w:t>The joy to which the title alludes the brief glimpses of marital happiness, of freely chosen love, of successful resistance is always balanced, and ultimately outweighed, by ruin.</w:t>
      </w:r>
    </w:p>
    <w:p>
      <w:pPr>
        <w:pStyle w:val="Heading3"/>
        <w:spacing w:before="161"/>
      </w:pPr>
      <w:r>
        <w:rPr>
          <w:spacing w:val="-2"/>
        </w:rPr>
        <w:t>METHODOLOGY</w:t>
      </w:r>
    </w:p>
    <w:p>
      <w:pPr>
        <w:pStyle w:val="BodyText"/>
        <w:spacing w:line="249" w:lineRule="auto" w:before="78"/>
        <w:ind w:right="1437" w:firstLine="432"/>
        <w:jc w:val="both"/>
      </w:pPr>
      <w:r>
        <w:rPr>
          <w:spacing w:val="-2"/>
        </w:rPr>
        <w:t>This</w:t>
      </w:r>
      <w:r>
        <w:rPr>
          <w:spacing w:val="-6"/>
        </w:rPr>
        <w:t> </w:t>
      </w:r>
      <w:r>
        <w:rPr>
          <w:spacing w:val="-2"/>
        </w:rPr>
        <w:t>paper</w:t>
      </w:r>
      <w:r>
        <w:rPr>
          <w:spacing w:val="-6"/>
        </w:rPr>
        <w:t> </w:t>
      </w:r>
      <w:r>
        <w:rPr>
          <w:spacing w:val="-2"/>
        </w:rPr>
        <w:t>employs</w:t>
      </w:r>
      <w:r>
        <w:rPr>
          <w:spacing w:val="-6"/>
        </w:rPr>
        <w:t> </w:t>
      </w:r>
      <w:r>
        <w:rPr>
          <w:spacing w:val="-2"/>
        </w:rPr>
        <w:t>an</w:t>
      </w:r>
      <w:r>
        <w:rPr>
          <w:spacing w:val="-6"/>
        </w:rPr>
        <w:t> </w:t>
      </w:r>
      <w:r>
        <w:rPr>
          <w:spacing w:val="-2"/>
        </w:rPr>
        <w:t>interdisciplinary</w:t>
      </w:r>
      <w:r>
        <w:rPr>
          <w:spacing w:val="-8"/>
        </w:rPr>
        <w:t> </w:t>
      </w:r>
      <w:r>
        <w:rPr>
          <w:spacing w:val="-2"/>
        </w:rPr>
        <w:t>methodology</w:t>
      </w:r>
      <w:r>
        <w:rPr>
          <w:spacing w:val="-10"/>
        </w:rPr>
        <w:t> </w:t>
      </w:r>
      <w:r>
        <w:rPr>
          <w:spacing w:val="-2"/>
        </w:rPr>
        <w:t>that</w:t>
      </w:r>
      <w:r>
        <w:rPr>
          <w:spacing w:val="-4"/>
        </w:rPr>
        <w:t> </w:t>
      </w:r>
      <w:r>
        <w:rPr>
          <w:spacing w:val="-2"/>
        </w:rPr>
        <w:t>combines </w:t>
      </w:r>
      <w:r>
        <w:rPr/>
        <w:t>close literary analysis with historical research into early modern legal, social, and theological frameworks. The central historical lens is the </w:t>
      </w:r>
      <w:r>
        <w:rPr>
          <w:spacing w:val="-2"/>
        </w:rPr>
        <w:t>doctrine</w:t>
      </w:r>
      <w:r>
        <w:rPr>
          <w:spacing w:val="-4"/>
        </w:rPr>
        <w:t> </w:t>
      </w:r>
      <w:r>
        <w:rPr>
          <w:spacing w:val="-2"/>
        </w:rPr>
        <w:t>of</w:t>
      </w:r>
      <w:r>
        <w:rPr>
          <w:spacing w:val="-9"/>
        </w:rPr>
        <w:t> </w:t>
      </w:r>
      <w:r>
        <w:rPr>
          <w:spacing w:val="-2"/>
        </w:rPr>
        <w:t>coverture,</w:t>
      </w:r>
      <w:r>
        <w:rPr>
          <w:spacing w:val="-6"/>
        </w:rPr>
        <w:t> </w:t>
      </w:r>
      <w:r>
        <w:rPr>
          <w:spacing w:val="-2"/>
        </w:rPr>
        <w:t>the</w:t>
      </w:r>
      <w:r>
        <w:rPr>
          <w:spacing w:val="-6"/>
        </w:rPr>
        <w:t> </w:t>
      </w:r>
      <w:r>
        <w:rPr>
          <w:spacing w:val="-2"/>
        </w:rPr>
        <w:t>common-law</w:t>
      </w:r>
      <w:r>
        <w:rPr>
          <w:spacing w:val="-11"/>
        </w:rPr>
        <w:t> </w:t>
      </w:r>
      <w:r>
        <w:rPr>
          <w:spacing w:val="-2"/>
        </w:rPr>
        <w:t>principle</w:t>
      </w:r>
      <w:r>
        <w:rPr>
          <w:spacing w:val="-3"/>
        </w:rPr>
        <w:t> </w:t>
      </w:r>
      <w:r>
        <w:rPr>
          <w:spacing w:val="-2"/>
        </w:rPr>
        <w:t>that</w:t>
      </w:r>
      <w:r>
        <w:rPr>
          <w:spacing w:val="-6"/>
        </w:rPr>
        <w:t> </w:t>
      </w:r>
      <w:r>
        <w:rPr>
          <w:spacing w:val="-2"/>
        </w:rPr>
        <w:t>subsumed</w:t>
      </w:r>
      <w:r>
        <w:rPr>
          <w:spacing w:val="-6"/>
        </w:rPr>
        <w:t> </w:t>
      </w:r>
      <w:r>
        <w:rPr>
          <w:spacing w:val="-2"/>
        </w:rPr>
        <w:t>a</w:t>
      </w:r>
      <w:r>
        <w:rPr>
          <w:spacing w:val="-4"/>
        </w:rPr>
        <w:t> </w:t>
      </w:r>
      <w:r>
        <w:rPr>
          <w:spacing w:val="-2"/>
        </w:rPr>
        <w:t>married </w:t>
      </w:r>
      <w:r>
        <w:rPr/>
        <w:t>woman’s legal identity into that of her husband. Coverture was more </w:t>
      </w:r>
      <w:r>
        <w:rPr>
          <w:spacing w:val="-4"/>
        </w:rPr>
        <w:t>debilitating than</w:t>
      </w:r>
      <w:r>
        <w:rPr>
          <w:spacing w:val="-5"/>
        </w:rPr>
        <w:t> </w:t>
      </w:r>
      <w:r>
        <w:rPr>
          <w:spacing w:val="-4"/>
        </w:rPr>
        <w:t>merely</w:t>
      </w:r>
      <w:r>
        <w:rPr>
          <w:spacing w:val="-9"/>
        </w:rPr>
        <w:t> </w:t>
      </w:r>
      <w:r>
        <w:rPr>
          <w:spacing w:val="-4"/>
        </w:rPr>
        <w:t>presuming</w:t>
      </w:r>
      <w:r>
        <w:rPr>
          <w:spacing w:val="-5"/>
        </w:rPr>
        <w:t> </w:t>
      </w:r>
      <w:r>
        <w:rPr>
          <w:spacing w:val="-4"/>
        </w:rPr>
        <w:t>women’s inferiority</w:t>
      </w:r>
      <w:r>
        <w:rPr>
          <w:spacing w:val="-5"/>
        </w:rPr>
        <w:t> </w:t>
      </w:r>
      <w:r>
        <w:rPr>
          <w:spacing w:val="-4"/>
        </w:rPr>
        <w:t>to</w:t>
      </w:r>
      <w:r>
        <w:rPr>
          <w:spacing w:val="-5"/>
        </w:rPr>
        <w:t> </w:t>
      </w:r>
      <w:r>
        <w:rPr>
          <w:spacing w:val="-4"/>
        </w:rPr>
        <w:t>men; it involved </w:t>
      </w:r>
      <w:r>
        <w:rPr/>
        <w:t>the</w:t>
      </w:r>
      <w:r>
        <w:rPr>
          <w:spacing w:val="-9"/>
        </w:rPr>
        <w:t> </w:t>
      </w:r>
      <w:r>
        <w:rPr/>
        <w:t>near</w:t>
      </w:r>
      <w:r>
        <w:rPr>
          <w:spacing w:val="-8"/>
        </w:rPr>
        <w:t> </w:t>
      </w:r>
      <w:r>
        <w:rPr/>
        <w:t>complete</w:t>
      </w:r>
      <w:r>
        <w:rPr>
          <w:spacing w:val="-9"/>
        </w:rPr>
        <w:t> </w:t>
      </w:r>
      <w:r>
        <w:rPr/>
        <w:t>absorption</w:t>
      </w:r>
      <w:r>
        <w:rPr>
          <w:spacing w:val="-11"/>
        </w:rPr>
        <w:t> </w:t>
      </w:r>
      <w:r>
        <w:rPr/>
        <w:t>of</w:t>
      </w:r>
      <w:r>
        <w:rPr>
          <w:spacing w:val="-11"/>
        </w:rPr>
        <w:t> </w:t>
      </w:r>
      <w:r>
        <w:rPr/>
        <w:t>a</w:t>
      </w:r>
      <w:r>
        <w:rPr>
          <w:spacing w:val="-11"/>
        </w:rPr>
        <w:t> </w:t>
      </w:r>
      <w:r>
        <w:rPr/>
        <w:t>wife’s</w:t>
      </w:r>
      <w:r>
        <w:rPr>
          <w:spacing w:val="-10"/>
        </w:rPr>
        <w:t> </w:t>
      </w:r>
      <w:r>
        <w:rPr/>
        <w:t>identity</w:t>
      </w:r>
      <w:r>
        <w:rPr>
          <w:spacing w:val="-11"/>
        </w:rPr>
        <w:t> </w:t>
      </w:r>
      <w:r>
        <w:rPr/>
        <w:t>into</w:t>
      </w:r>
      <w:r>
        <w:rPr>
          <w:spacing w:val="-8"/>
        </w:rPr>
        <w:t> </w:t>
      </w:r>
      <w:r>
        <w:rPr/>
        <w:t>that</w:t>
      </w:r>
      <w:r>
        <w:rPr>
          <w:spacing w:val="-9"/>
        </w:rPr>
        <w:t> </w:t>
      </w:r>
      <w:r>
        <w:rPr/>
        <w:t>of</w:t>
      </w:r>
      <w:r>
        <w:rPr>
          <w:spacing w:val="-10"/>
        </w:rPr>
        <w:t> </w:t>
      </w:r>
      <w:r>
        <w:rPr/>
        <w:t>her</w:t>
      </w:r>
      <w:r>
        <w:rPr>
          <w:spacing w:val="-8"/>
        </w:rPr>
        <w:t> </w:t>
      </w:r>
      <w:r>
        <w:rPr/>
        <w:t>husband acknowledgement, granting husbands control not only over property and household decisions but also “the right to discipline and corporally punish their wives”. This legal erasure of married women’s separate existence provides the juridical backdrop against which Shakespeare’s representations</w:t>
      </w:r>
      <w:r>
        <w:rPr>
          <w:spacing w:val="56"/>
        </w:rPr>
        <w:t> </w:t>
      </w:r>
      <w:r>
        <w:rPr/>
        <w:t>of</w:t>
      </w:r>
      <w:r>
        <w:rPr>
          <w:spacing w:val="59"/>
        </w:rPr>
        <w:t> </w:t>
      </w:r>
      <w:r>
        <w:rPr/>
        <w:t>wives,</w:t>
      </w:r>
      <w:r>
        <w:rPr>
          <w:spacing w:val="58"/>
        </w:rPr>
        <w:t> </w:t>
      </w:r>
      <w:r>
        <w:rPr/>
        <w:t>widows,</w:t>
      </w:r>
      <w:r>
        <w:rPr>
          <w:spacing w:val="60"/>
        </w:rPr>
        <w:t> </w:t>
      </w:r>
      <w:r>
        <w:rPr/>
        <w:t>and</w:t>
      </w:r>
      <w:r>
        <w:rPr>
          <w:spacing w:val="60"/>
        </w:rPr>
        <w:t> </w:t>
      </w:r>
      <w:r>
        <w:rPr/>
        <w:t>unmarried</w:t>
      </w:r>
      <w:r>
        <w:rPr>
          <w:spacing w:val="61"/>
        </w:rPr>
        <w:t> </w:t>
      </w:r>
      <w:r>
        <w:rPr/>
        <w:t>women</w:t>
      </w:r>
      <w:r>
        <w:rPr>
          <w:spacing w:val="56"/>
        </w:rPr>
        <w:t> </w:t>
      </w:r>
      <w:r>
        <w:rPr/>
        <w:t>must</w:t>
      </w:r>
      <w:r>
        <w:rPr>
          <w:spacing w:val="58"/>
        </w:rPr>
        <w:t> </w:t>
      </w:r>
      <w:r>
        <w:rPr>
          <w:spacing w:val="-5"/>
        </w:rPr>
        <w:t>be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74048">
                <wp:simplePos x="0" y="0"/>
                <wp:positionH relativeFrom="page">
                  <wp:posOffset>2057400</wp:posOffset>
                </wp:positionH>
                <wp:positionV relativeFrom="paragraph">
                  <wp:posOffset>162604</wp:posOffset>
                </wp:positionV>
                <wp:extent cx="3657600" cy="12700"/>
                <wp:effectExtent l="0" t="0" r="0" b="0"/>
                <wp:wrapTopAndBottom/>
                <wp:docPr id="769" name="Graphic 769"/>
                <wp:cNvGraphicFramePr>
                  <a:graphicFrameLocks/>
                </wp:cNvGraphicFramePr>
                <a:graphic>
                  <a:graphicData uri="http://schemas.microsoft.com/office/word/2010/wordprocessingShape">
                    <wps:wsp>
                      <wps:cNvPr id="769" name="Graphic 76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42432;mso-wrap-distance-left:0;mso-wrap-distance-right:0" id="docshape761" filled="true" fillcolor="#000000" stroked="false">
                <v:fill type="solid"/>
                <w10:wrap type="topAndBottom"/>
              </v:rect>
            </w:pict>
          </mc:Fallback>
        </mc:AlternateContent>
      </w:r>
      <w:r>
        <w:rPr>
          <w:rFonts w:ascii="Verdana"/>
          <w:spacing w:val="-5"/>
          <w:sz w:val="18"/>
        </w:rPr>
        <w:t>388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understood.</w:t>
      </w:r>
      <w:r>
        <w:rPr>
          <w:spacing w:val="-13"/>
        </w:rPr>
        <w:t> </w:t>
      </w:r>
      <w:r>
        <w:rPr/>
        <w:t>The</w:t>
      </w:r>
      <w:r>
        <w:rPr>
          <w:spacing w:val="-10"/>
        </w:rPr>
        <w:t> </w:t>
      </w:r>
      <w:r>
        <w:rPr/>
        <w:t>doctrine</w:t>
      </w:r>
      <w:r>
        <w:rPr>
          <w:spacing w:val="-11"/>
        </w:rPr>
        <w:t> </w:t>
      </w:r>
      <w:r>
        <w:rPr/>
        <w:t>of</w:t>
      </w:r>
      <w:r>
        <w:rPr>
          <w:spacing w:val="-10"/>
        </w:rPr>
        <w:t> </w:t>
      </w:r>
      <w:r>
        <w:rPr/>
        <w:t>coverture</w:t>
      </w:r>
      <w:r>
        <w:rPr>
          <w:spacing w:val="-12"/>
        </w:rPr>
        <w:t> </w:t>
      </w:r>
      <w:r>
        <w:rPr/>
        <w:t>“restricted</w:t>
      </w:r>
      <w:r>
        <w:rPr>
          <w:spacing w:val="-8"/>
        </w:rPr>
        <w:t> </w:t>
      </w:r>
      <w:r>
        <w:rPr/>
        <w:t>married</w:t>
      </w:r>
      <w:r>
        <w:rPr>
          <w:spacing w:val="-12"/>
        </w:rPr>
        <w:t> </w:t>
      </w:r>
      <w:r>
        <w:rPr/>
        <w:t>women’s</w:t>
      </w:r>
      <w:r>
        <w:rPr>
          <w:spacing w:val="-10"/>
        </w:rPr>
        <w:t> </w:t>
      </w:r>
      <w:r>
        <w:rPr/>
        <w:t>legal agency during the early modern period,” and while its implementation varied</w:t>
      </w:r>
      <w:r>
        <w:rPr>
          <w:spacing w:val="-1"/>
        </w:rPr>
        <w:t> </w:t>
      </w:r>
      <w:r>
        <w:rPr/>
        <w:t>across</w:t>
      </w:r>
      <w:r>
        <w:rPr>
          <w:spacing w:val="-4"/>
        </w:rPr>
        <w:t> </w:t>
      </w:r>
      <w:r>
        <w:rPr/>
        <w:t>contexts,</w:t>
      </w:r>
      <w:r>
        <w:rPr>
          <w:spacing w:val="-1"/>
        </w:rPr>
        <w:t> </w:t>
      </w:r>
      <w:r>
        <w:rPr/>
        <w:t>“the underlying</w:t>
      </w:r>
      <w:r>
        <w:rPr>
          <w:spacing w:val="-2"/>
        </w:rPr>
        <w:t> </w:t>
      </w:r>
      <w:r>
        <w:rPr/>
        <w:t>ideology</w:t>
      </w:r>
      <w:r>
        <w:rPr>
          <w:spacing w:val="-6"/>
        </w:rPr>
        <w:t> </w:t>
      </w:r>
      <w:r>
        <w:rPr/>
        <w:t>of</w:t>
      </w:r>
      <w:r>
        <w:rPr>
          <w:spacing w:val="-2"/>
        </w:rPr>
        <w:t> </w:t>
      </w:r>
      <w:r>
        <w:rPr/>
        <w:t>patriarchy</w:t>
      </w:r>
      <w:r>
        <w:rPr>
          <w:spacing w:val="-2"/>
        </w:rPr>
        <w:t> </w:t>
      </w:r>
      <w:r>
        <w:rPr/>
        <w:t>remained </w:t>
      </w:r>
      <w:r>
        <w:rPr>
          <w:spacing w:val="-2"/>
        </w:rPr>
        <w:t>steadfast”.</w:t>
      </w:r>
    </w:p>
    <w:p>
      <w:pPr>
        <w:pStyle w:val="BodyText"/>
        <w:spacing w:line="249" w:lineRule="auto" w:before="61"/>
        <w:ind w:right="1437" w:firstLine="432"/>
        <w:jc w:val="both"/>
      </w:pPr>
      <w:r>
        <w:rPr/>
        <w:t>Beyond legal history, the paper engages with early modern theological and philosophical conceptions of fate. The period inherited</w:t>
      </w:r>
      <w:r>
        <w:rPr>
          <w:spacing w:val="40"/>
        </w:rPr>
        <w:t> </w:t>
      </w:r>
      <w:r>
        <w:rPr/>
        <w:t>a complex amalgam of beliefs: the Boethian tradition of Fortune as a blind</w:t>
      </w:r>
      <w:r>
        <w:rPr>
          <w:spacing w:val="-13"/>
        </w:rPr>
        <w:t> </w:t>
      </w:r>
      <w:r>
        <w:rPr/>
        <w:t>spinner</w:t>
      </w:r>
      <w:r>
        <w:rPr>
          <w:spacing w:val="-12"/>
        </w:rPr>
        <w:t> </w:t>
      </w:r>
      <w:r>
        <w:rPr/>
        <w:t>of</w:t>
      </w:r>
      <w:r>
        <w:rPr>
          <w:spacing w:val="-13"/>
        </w:rPr>
        <w:t> </w:t>
      </w:r>
      <w:r>
        <w:rPr/>
        <w:t>the</w:t>
      </w:r>
      <w:r>
        <w:rPr>
          <w:spacing w:val="-12"/>
        </w:rPr>
        <w:t> </w:t>
      </w:r>
      <w:r>
        <w:rPr/>
        <w:t>wheel</w:t>
      </w:r>
      <w:r>
        <w:rPr>
          <w:spacing w:val="-13"/>
        </w:rPr>
        <w:t> </w:t>
      </w:r>
      <w:r>
        <w:rPr/>
        <w:t>of</w:t>
      </w:r>
      <w:r>
        <w:rPr>
          <w:spacing w:val="-12"/>
        </w:rPr>
        <w:t> </w:t>
      </w:r>
      <w:r>
        <w:rPr/>
        <w:t>life,</w:t>
      </w:r>
      <w:r>
        <w:rPr>
          <w:spacing w:val="-13"/>
        </w:rPr>
        <w:t> </w:t>
      </w:r>
      <w:r>
        <w:rPr/>
        <w:t>Protestant</w:t>
      </w:r>
      <w:r>
        <w:rPr>
          <w:spacing w:val="-12"/>
        </w:rPr>
        <w:t> </w:t>
      </w:r>
      <w:r>
        <w:rPr/>
        <w:t>notions</w:t>
      </w:r>
      <w:r>
        <w:rPr>
          <w:spacing w:val="-13"/>
        </w:rPr>
        <w:t> </w:t>
      </w:r>
      <w:r>
        <w:rPr/>
        <w:t>of</w:t>
      </w:r>
      <w:r>
        <w:rPr>
          <w:spacing w:val="-12"/>
        </w:rPr>
        <w:t> </w:t>
      </w:r>
      <w:r>
        <w:rPr/>
        <w:t>divine</w:t>
      </w:r>
      <w:r>
        <w:rPr>
          <w:spacing w:val="-13"/>
        </w:rPr>
        <w:t> </w:t>
      </w:r>
      <w:r>
        <w:rPr/>
        <w:t>providence as the ultimate arbiter of human affairs, and increasingly influential Machiavellian</w:t>
      </w:r>
      <w:r>
        <w:rPr>
          <w:spacing w:val="-4"/>
        </w:rPr>
        <w:t> </w:t>
      </w:r>
      <w:r>
        <w:rPr/>
        <w:t>ideas</w:t>
      </w:r>
      <w:r>
        <w:rPr>
          <w:spacing w:val="-5"/>
        </w:rPr>
        <w:t> </w:t>
      </w:r>
      <w:r>
        <w:rPr/>
        <w:t>about</w:t>
      </w:r>
      <w:r>
        <w:rPr>
          <w:spacing w:val="-2"/>
        </w:rPr>
        <w:t> </w:t>
      </w:r>
      <w:r>
        <w:rPr/>
        <w:t>the</w:t>
      </w:r>
      <w:r>
        <w:rPr>
          <w:spacing w:val="-3"/>
        </w:rPr>
        <w:t> </w:t>
      </w:r>
      <w:r>
        <w:rPr/>
        <w:t>capacity</w:t>
      </w:r>
      <w:r>
        <w:rPr>
          <w:spacing w:val="-5"/>
        </w:rPr>
        <w:t> </w:t>
      </w:r>
      <w:r>
        <w:rPr/>
        <w:t>of</w:t>
      </w:r>
      <w:r>
        <w:rPr>
          <w:spacing w:val="-4"/>
        </w:rPr>
        <w:t> </w:t>
      </w:r>
      <w:r>
        <w:rPr/>
        <w:t>human</w:t>
      </w:r>
      <w:r>
        <w:rPr>
          <w:spacing w:val="-5"/>
        </w:rPr>
        <w:t> </w:t>
      </w:r>
      <w:r>
        <w:rPr/>
        <w:t>will</w:t>
      </w:r>
      <w:r>
        <w:rPr>
          <w:spacing w:val="-2"/>
        </w:rPr>
        <w:t> </w:t>
      </w:r>
      <w:r>
        <w:rPr/>
        <w:t>and</w:t>
      </w:r>
      <w:r>
        <w:rPr>
          <w:spacing w:val="-4"/>
        </w:rPr>
        <w:t> </w:t>
      </w:r>
      <w:r>
        <w:rPr/>
        <w:t>valiant</w:t>
      </w:r>
      <w:r>
        <w:rPr>
          <w:spacing w:val="-2"/>
        </w:rPr>
        <w:t> </w:t>
      </w:r>
      <w:r>
        <w:rPr/>
        <w:t>action to master fortune. As Jane Hwang Degenhardt demonstrates, “fortune was never fully subsumed by providence in the cultural imagination of England and continued to wield a power of its own that was seen to assert itself particularly in the context of human will and action”. The early</w:t>
      </w:r>
      <w:r>
        <w:rPr>
          <w:spacing w:val="-8"/>
        </w:rPr>
        <w:t> </w:t>
      </w:r>
      <w:r>
        <w:rPr/>
        <w:t>modern</w:t>
      </w:r>
      <w:r>
        <w:rPr>
          <w:spacing w:val="-8"/>
        </w:rPr>
        <w:t> </w:t>
      </w:r>
      <w:r>
        <w:rPr/>
        <w:t>stage,</w:t>
      </w:r>
      <w:r>
        <w:rPr>
          <w:spacing w:val="-5"/>
        </w:rPr>
        <w:t> </w:t>
      </w:r>
      <w:r>
        <w:rPr/>
        <w:t>responding</w:t>
      </w:r>
      <w:r>
        <w:rPr>
          <w:spacing w:val="-8"/>
        </w:rPr>
        <w:t> </w:t>
      </w:r>
      <w:r>
        <w:rPr/>
        <w:t>to</w:t>
      </w:r>
      <w:r>
        <w:rPr>
          <w:spacing w:val="-3"/>
        </w:rPr>
        <w:t> </w:t>
      </w:r>
      <w:r>
        <w:rPr/>
        <w:t>England’s</w:t>
      </w:r>
      <w:r>
        <w:rPr>
          <w:spacing w:val="-5"/>
        </w:rPr>
        <w:t> </w:t>
      </w:r>
      <w:r>
        <w:rPr/>
        <w:t>commercial</w:t>
      </w:r>
      <w:r>
        <w:rPr>
          <w:spacing w:val="-8"/>
        </w:rPr>
        <w:t> </w:t>
      </w:r>
      <w:r>
        <w:rPr/>
        <w:t>expansion</w:t>
      </w:r>
      <w:r>
        <w:rPr>
          <w:spacing w:val="-6"/>
        </w:rPr>
        <w:t> </w:t>
      </w:r>
      <w:r>
        <w:rPr/>
        <w:t>and colonial ambitions, revived fortune as “a force associated with valiant risks, ennobling adventures, and purposeful action”. This paper applies that</w:t>
      </w:r>
      <w:r>
        <w:rPr>
          <w:spacing w:val="-13"/>
        </w:rPr>
        <w:t> </w:t>
      </w:r>
      <w:r>
        <w:rPr/>
        <w:t>framework</w:t>
      </w:r>
      <w:r>
        <w:rPr>
          <w:spacing w:val="-12"/>
        </w:rPr>
        <w:t> </w:t>
      </w:r>
      <w:r>
        <w:rPr/>
        <w:t>to</w:t>
      </w:r>
      <w:r>
        <w:rPr>
          <w:spacing w:val="-13"/>
        </w:rPr>
        <w:t> </w:t>
      </w:r>
      <w:r>
        <w:rPr/>
        <w:t>Shakespeare’s</w:t>
      </w:r>
      <w:r>
        <w:rPr>
          <w:spacing w:val="-12"/>
        </w:rPr>
        <w:t> </w:t>
      </w:r>
      <w:r>
        <w:rPr/>
        <w:t>female</w:t>
      </w:r>
      <w:r>
        <w:rPr>
          <w:spacing w:val="-13"/>
        </w:rPr>
        <w:t> </w:t>
      </w:r>
      <w:r>
        <w:rPr/>
        <w:t>characters,</w:t>
      </w:r>
      <w:r>
        <w:rPr>
          <w:spacing w:val="-12"/>
        </w:rPr>
        <w:t> </w:t>
      </w:r>
      <w:r>
        <w:rPr/>
        <w:t>examining</w:t>
      </w:r>
      <w:r>
        <w:rPr>
          <w:spacing w:val="-13"/>
        </w:rPr>
        <w:t> </w:t>
      </w:r>
      <w:r>
        <w:rPr/>
        <w:t>how</w:t>
      </w:r>
      <w:r>
        <w:rPr>
          <w:spacing w:val="-12"/>
        </w:rPr>
        <w:t> </w:t>
      </w:r>
      <w:r>
        <w:rPr/>
        <w:t>their agency interacts with and is ultimately constrained by the operation of fortune,</w:t>
      </w:r>
      <w:r>
        <w:rPr>
          <w:spacing w:val="40"/>
        </w:rPr>
        <w:t> </w:t>
      </w:r>
      <w:r>
        <w:rPr/>
        <w:t>fate,</w:t>
      </w:r>
      <w:r>
        <w:rPr>
          <w:spacing w:val="40"/>
        </w:rPr>
        <w:t> </w:t>
      </w:r>
      <w:r>
        <w:rPr/>
        <w:t>or</w:t>
      </w:r>
      <w:r>
        <w:rPr>
          <w:spacing w:val="40"/>
        </w:rPr>
        <w:t> </w:t>
      </w:r>
      <w:r>
        <w:rPr/>
        <w:t>providence.</w:t>
      </w:r>
    </w:p>
    <w:p>
      <w:pPr>
        <w:pStyle w:val="BodyText"/>
        <w:spacing w:line="249" w:lineRule="auto" w:before="71"/>
        <w:ind w:right="1437" w:firstLine="432"/>
        <w:jc w:val="both"/>
      </w:pPr>
      <w:r>
        <w:rPr/>
        <w:t>The</w:t>
      </w:r>
      <w:r>
        <w:rPr>
          <w:spacing w:val="-7"/>
        </w:rPr>
        <w:t> </w:t>
      </w:r>
      <w:r>
        <w:rPr/>
        <w:t>Primary</w:t>
      </w:r>
      <w:r>
        <w:rPr>
          <w:spacing w:val="-13"/>
        </w:rPr>
        <w:t> </w:t>
      </w:r>
      <w:r>
        <w:rPr/>
        <w:t>textual</w:t>
      </w:r>
      <w:r>
        <w:rPr>
          <w:spacing w:val="-7"/>
        </w:rPr>
        <w:t> </w:t>
      </w:r>
      <w:r>
        <w:rPr/>
        <w:t>sources</w:t>
      </w:r>
      <w:r>
        <w:rPr>
          <w:spacing w:val="-9"/>
        </w:rPr>
        <w:t> </w:t>
      </w:r>
      <w:r>
        <w:rPr/>
        <w:t>include</w:t>
      </w:r>
      <w:r>
        <w:rPr>
          <w:spacing w:val="-7"/>
        </w:rPr>
        <w:t> </w:t>
      </w:r>
      <w:r>
        <w:rPr/>
        <w:t>the</w:t>
      </w:r>
      <w:r>
        <w:rPr>
          <w:spacing w:val="-9"/>
        </w:rPr>
        <w:t> </w:t>
      </w:r>
      <w:r>
        <w:rPr/>
        <w:t>complete</w:t>
      </w:r>
      <w:r>
        <w:rPr>
          <w:spacing w:val="-7"/>
        </w:rPr>
        <w:t> </w:t>
      </w:r>
      <w:r>
        <w:rPr/>
        <w:t>texts</w:t>
      </w:r>
      <w:r>
        <w:rPr>
          <w:spacing w:val="-9"/>
        </w:rPr>
        <w:t> </w:t>
      </w:r>
      <w:r>
        <w:rPr/>
        <w:t>of</w:t>
      </w:r>
      <w:r>
        <w:rPr>
          <w:spacing w:val="-5"/>
        </w:rPr>
        <w:t> </w:t>
      </w:r>
      <w:r>
        <w:rPr>
          <w:i/>
        </w:rPr>
        <w:t>Measure for Measure , Othello </w:t>
      </w:r>
      <w:r>
        <w:rPr/>
        <w:t>, </w:t>
      </w:r>
      <w:r>
        <w:rPr>
          <w:i/>
        </w:rPr>
        <w:t>King Lear </w:t>
      </w:r>
      <w:r>
        <w:rPr/>
        <w:t>, and </w:t>
      </w:r>
      <w:r>
        <w:rPr>
          <w:i/>
        </w:rPr>
        <w:t>Macbeth</w:t>
      </w:r>
      <w:r>
        <w:rPr/>
        <w:t>, with close attention</w:t>
      </w:r>
      <w:r>
        <w:rPr>
          <w:spacing w:val="80"/>
        </w:rPr>
        <w:t> </w:t>
      </w:r>
      <w:r>
        <w:rPr/>
        <w:t>to key scenes of marital negotiation, sexual resistance, and fatal confrontation. The paper also draws on early modern conduct literature to recover the period’s prescriptive ideals of female chastity, wifely obedience, and proper marriage. Feminist literary theory guides the reading, particularly the work of Elaine Showalter and Susan Gubar on </w:t>
      </w:r>
      <w:r>
        <w:rPr>
          <w:spacing w:val="-2"/>
        </w:rPr>
        <w:t>women’s</w:t>
      </w:r>
      <w:r>
        <w:rPr>
          <w:spacing w:val="-11"/>
        </w:rPr>
        <w:t> </w:t>
      </w:r>
      <w:r>
        <w:rPr>
          <w:spacing w:val="-2"/>
        </w:rPr>
        <w:t>“wild</w:t>
      </w:r>
      <w:r>
        <w:rPr>
          <w:spacing w:val="-10"/>
        </w:rPr>
        <w:t> </w:t>
      </w:r>
      <w:r>
        <w:rPr>
          <w:spacing w:val="-2"/>
        </w:rPr>
        <w:t>zone”</w:t>
      </w:r>
      <w:r>
        <w:rPr>
          <w:spacing w:val="-11"/>
        </w:rPr>
        <w:t> </w:t>
      </w:r>
      <w:r>
        <w:rPr>
          <w:spacing w:val="-2"/>
        </w:rPr>
        <w:t>of</w:t>
      </w:r>
      <w:r>
        <w:rPr>
          <w:spacing w:val="-10"/>
        </w:rPr>
        <w:t> </w:t>
      </w:r>
      <w:r>
        <w:rPr>
          <w:spacing w:val="-2"/>
        </w:rPr>
        <w:t>autonomous</w:t>
      </w:r>
      <w:r>
        <w:rPr>
          <w:spacing w:val="-11"/>
        </w:rPr>
        <w:t> </w:t>
      </w:r>
      <w:r>
        <w:rPr>
          <w:spacing w:val="-2"/>
        </w:rPr>
        <w:t>expression,</w:t>
      </w:r>
      <w:r>
        <w:rPr>
          <w:spacing w:val="-7"/>
        </w:rPr>
        <w:t> </w:t>
      </w:r>
      <w:r>
        <w:rPr>
          <w:spacing w:val="-2"/>
        </w:rPr>
        <w:t>as</w:t>
      </w:r>
      <w:r>
        <w:rPr>
          <w:spacing w:val="-11"/>
        </w:rPr>
        <w:t> </w:t>
      </w:r>
      <w:r>
        <w:rPr>
          <w:spacing w:val="-2"/>
        </w:rPr>
        <w:t>well</w:t>
      </w:r>
      <w:r>
        <w:rPr>
          <w:spacing w:val="-9"/>
        </w:rPr>
        <w:t> </w:t>
      </w:r>
      <w:r>
        <w:rPr>
          <w:spacing w:val="-2"/>
        </w:rPr>
        <w:t>as</w:t>
      </w:r>
      <w:r>
        <w:rPr>
          <w:spacing w:val="-10"/>
        </w:rPr>
        <w:t> </w:t>
      </w:r>
      <w:r>
        <w:rPr>
          <w:spacing w:val="-2"/>
        </w:rPr>
        <w:t>contemporary </w:t>
      </w:r>
      <w:r>
        <w:rPr/>
        <w:t>Shakespeare scholarship that interrogates the representation of gender</w:t>
      </w:r>
      <w:r>
        <w:rPr>
          <w:spacing w:val="40"/>
        </w:rPr>
        <w:t> </w:t>
      </w:r>
      <w:r>
        <w:rPr/>
        <w:t>in the plays. Secondary sources include recent feminist criticism on each play, historical studies of marriage and coverture, and theological analyses</w:t>
      </w:r>
      <w:r>
        <w:rPr>
          <w:spacing w:val="40"/>
        </w:rPr>
        <w:t> </w:t>
      </w:r>
      <w:r>
        <w:rPr/>
        <w:t>of</w:t>
      </w:r>
      <w:r>
        <w:rPr>
          <w:spacing w:val="40"/>
        </w:rPr>
        <w:t> </w:t>
      </w:r>
      <w:r>
        <w:rPr/>
        <w:t>fortune</w:t>
      </w:r>
      <w:r>
        <w:rPr>
          <w:spacing w:val="40"/>
        </w:rPr>
        <w:t> </w:t>
      </w:r>
      <w:r>
        <w:rPr/>
        <w:t>and</w:t>
      </w:r>
      <w:r>
        <w:rPr>
          <w:spacing w:val="40"/>
        </w:rPr>
        <w:t> </w:t>
      </w:r>
      <w:r>
        <w:rPr/>
        <w:t>providence.</w:t>
      </w:r>
    </w:p>
    <w:p>
      <w:pPr>
        <w:pStyle w:val="BodyText"/>
        <w:spacing w:line="249" w:lineRule="auto" w:before="70"/>
        <w:ind w:right="1438" w:firstLine="432"/>
        <w:jc w:val="both"/>
      </w:pPr>
      <w:r>
        <w:rPr/>
        <w:t>The paper proceeds in three main sections: first, a theoretical framework</w:t>
      </w:r>
      <w:r>
        <w:rPr>
          <w:spacing w:val="-3"/>
        </w:rPr>
        <w:t> </w:t>
      </w:r>
      <w:r>
        <w:rPr/>
        <w:t>that elaborates</w:t>
      </w:r>
      <w:r>
        <w:rPr>
          <w:spacing w:val="-2"/>
        </w:rPr>
        <w:t> </w:t>
      </w:r>
      <w:r>
        <w:rPr/>
        <w:t>the</w:t>
      </w:r>
      <w:r>
        <w:rPr>
          <w:spacing w:val="-2"/>
        </w:rPr>
        <w:t> </w:t>
      </w:r>
      <w:r>
        <w:rPr/>
        <w:t>intersection</w:t>
      </w:r>
      <w:r>
        <w:rPr>
          <w:spacing w:val="-3"/>
        </w:rPr>
        <w:t> </w:t>
      </w:r>
      <w:r>
        <w:rPr/>
        <w:t>of</w:t>
      </w:r>
      <w:r>
        <w:rPr>
          <w:spacing w:val="-2"/>
        </w:rPr>
        <w:t> </w:t>
      </w:r>
      <w:r>
        <w:rPr/>
        <w:t>coverture</w:t>
      </w:r>
      <w:r>
        <w:rPr>
          <w:spacing w:val="-2"/>
        </w:rPr>
        <w:t> </w:t>
      </w:r>
      <w:r>
        <w:rPr/>
        <w:t>and fate in</w:t>
      </w:r>
      <w:r>
        <w:rPr>
          <w:spacing w:val="-2"/>
        </w:rPr>
        <w:t> </w:t>
      </w:r>
      <w:r>
        <w:rPr/>
        <w:t>early modern England; second, a detailed analysis of the four plays, moving </w:t>
      </w:r>
      <w:r>
        <w:rPr>
          <w:spacing w:val="-2"/>
        </w:rPr>
        <w:t>from</w:t>
      </w:r>
      <w:r>
        <w:rPr>
          <w:spacing w:val="-11"/>
        </w:rPr>
        <w:t> </w:t>
      </w:r>
      <w:r>
        <w:rPr>
          <w:spacing w:val="-2"/>
        </w:rPr>
        <w:t>Measure</w:t>
      </w:r>
      <w:r>
        <w:rPr>
          <w:spacing w:val="-10"/>
        </w:rPr>
        <w:t> </w:t>
      </w:r>
      <w:r>
        <w:rPr>
          <w:spacing w:val="-2"/>
        </w:rPr>
        <w:t>for</w:t>
      </w:r>
      <w:r>
        <w:rPr>
          <w:spacing w:val="-11"/>
        </w:rPr>
        <w:t> </w:t>
      </w:r>
      <w:r>
        <w:rPr>
          <w:spacing w:val="-2"/>
        </w:rPr>
        <w:t>Measure</w:t>
      </w:r>
      <w:r>
        <w:rPr>
          <w:spacing w:val="-10"/>
        </w:rPr>
        <w:t> </w:t>
      </w:r>
      <w:r>
        <w:rPr>
          <w:spacing w:val="-2"/>
        </w:rPr>
        <w:t>and</w:t>
      </w:r>
      <w:r>
        <w:rPr>
          <w:spacing w:val="-11"/>
        </w:rPr>
        <w:t> </w:t>
      </w:r>
      <w:r>
        <w:rPr>
          <w:spacing w:val="-2"/>
        </w:rPr>
        <w:t>Othello</w:t>
      </w:r>
      <w:r>
        <w:rPr>
          <w:spacing w:val="10"/>
        </w:rPr>
        <w:t> </w:t>
      </w:r>
      <w:r>
        <w:rPr>
          <w:spacing w:val="-2"/>
        </w:rPr>
        <w:t>which</w:t>
      </w:r>
      <w:r>
        <w:rPr>
          <w:spacing w:val="-11"/>
        </w:rPr>
        <w:t> </w:t>
      </w:r>
      <w:r>
        <w:rPr>
          <w:spacing w:val="-2"/>
        </w:rPr>
        <w:t>foreground</w:t>
      </w:r>
      <w:r>
        <w:rPr>
          <w:spacing w:val="-9"/>
        </w:rPr>
        <w:t> </w:t>
      </w:r>
      <w:r>
        <w:rPr>
          <w:spacing w:val="-2"/>
        </w:rPr>
        <w:t>sexual</w:t>
      </w:r>
      <w:r>
        <w:rPr>
          <w:spacing w:val="-11"/>
        </w:rPr>
        <w:t> </w:t>
      </w:r>
      <w:r>
        <w:rPr>
          <w:spacing w:val="-2"/>
        </w:rPr>
        <w:t>coercion </w:t>
      </w:r>
      <w:r>
        <w:rPr/>
        <w:t>and suspicion</w:t>
      </w:r>
      <w:r>
        <w:rPr>
          <w:spacing w:val="40"/>
        </w:rPr>
        <w:t> </w:t>
      </w:r>
      <w:r>
        <w:rPr/>
        <w:t>to King Lear and Macbeth which broaden the scope to political ambition and marital partnership and finally, a comparative discussion that synthesizes</w:t>
      </w:r>
      <w:r>
        <w:rPr>
          <w:spacing w:val="-1"/>
        </w:rPr>
        <w:t> </w:t>
      </w:r>
      <w:r>
        <w:rPr/>
        <w:t>findings and reflects on the implications for feminist</w:t>
      </w:r>
      <w:r>
        <w:rPr>
          <w:spacing w:val="40"/>
        </w:rPr>
        <w:t> </w:t>
      </w:r>
      <w:r>
        <w:rPr/>
        <w:t>Shakespeare</w:t>
      </w:r>
      <w:r>
        <w:rPr>
          <w:spacing w:val="40"/>
        </w:rPr>
        <w:t> </w:t>
      </w:r>
      <w:r>
        <w:rPr/>
        <w:t>scholarship.</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74560">
                <wp:simplePos x="0" y="0"/>
                <wp:positionH relativeFrom="page">
                  <wp:posOffset>2065020</wp:posOffset>
                </wp:positionH>
                <wp:positionV relativeFrom="paragraph">
                  <wp:posOffset>162604</wp:posOffset>
                </wp:positionV>
                <wp:extent cx="3657600" cy="12700"/>
                <wp:effectExtent l="0" t="0" r="0" b="0"/>
                <wp:wrapTopAndBottom/>
                <wp:docPr id="770" name="Graphic 770"/>
                <wp:cNvGraphicFramePr>
                  <a:graphicFrameLocks/>
                </wp:cNvGraphicFramePr>
                <a:graphic>
                  <a:graphicData uri="http://schemas.microsoft.com/office/word/2010/wordprocessingShape">
                    <wps:wsp>
                      <wps:cNvPr id="770" name="Graphic 77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41920;mso-wrap-distance-left:0;mso-wrap-distance-right:0" id="docshape762" filled="true" fillcolor="#000000" stroked="false">
                <v:fill type="solid"/>
                <w10:wrap type="topAndBottom"/>
              </v:rect>
            </w:pict>
          </mc:Fallback>
        </mc:AlternateContent>
      </w:r>
      <w:r>
        <w:rPr>
          <w:rFonts w:ascii="Verdana"/>
          <w:sz w:val="18"/>
        </w:rPr>
        <w:t>Between</w:t>
      </w:r>
      <w:r>
        <w:rPr>
          <w:rFonts w:ascii="Verdana"/>
          <w:spacing w:val="-1"/>
          <w:sz w:val="18"/>
        </w:rPr>
        <w:t> </w:t>
      </w:r>
      <w:r>
        <w:rPr>
          <w:rFonts w:ascii="Verdana"/>
          <w:sz w:val="18"/>
        </w:rPr>
        <w:t>Joy</w:t>
      </w:r>
      <w:r>
        <w:rPr>
          <w:rFonts w:ascii="Verdana"/>
          <w:spacing w:val="-1"/>
          <w:sz w:val="18"/>
        </w:rPr>
        <w:t> </w:t>
      </w:r>
      <w:r>
        <w:rPr>
          <w:rFonts w:ascii="Verdana"/>
          <w:sz w:val="18"/>
        </w:rPr>
        <w:t>and</w:t>
      </w:r>
      <w:r>
        <w:rPr>
          <w:rFonts w:ascii="Verdana"/>
          <w:spacing w:val="-1"/>
          <w:sz w:val="18"/>
        </w:rPr>
        <w:t> </w:t>
      </w:r>
      <w:r>
        <w:rPr>
          <w:rFonts w:ascii="Verdana"/>
          <w:sz w:val="18"/>
        </w:rPr>
        <w:t>Ruin:</w:t>
      </w:r>
      <w:r>
        <w:rPr>
          <w:rFonts w:ascii="Verdana"/>
          <w:spacing w:val="-1"/>
          <w:sz w:val="18"/>
        </w:rPr>
        <w:t> </w:t>
      </w:r>
      <w:r>
        <w:rPr>
          <w:rFonts w:ascii="Verdana"/>
          <w:sz w:val="18"/>
        </w:rPr>
        <w:t>The</w:t>
      </w:r>
      <w:r>
        <w:rPr>
          <w:rFonts w:ascii="Verdana"/>
          <w:spacing w:val="2"/>
          <w:sz w:val="18"/>
        </w:rPr>
        <w:t> </w:t>
      </w:r>
      <w:r>
        <w:rPr>
          <w:rFonts w:ascii="Verdana"/>
          <w:sz w:val="18"/>
        </w:rPr>
        <w:t>Role of Women Under</w:t>
      </w:r>
      <w:r>
        <w:rPr>
          <w:rFonts w:ascii="Verdana"/>
          <w:spacing w:val="1"/>
          <w:sz w:val="18"/>
        </w:rPr>
        <w:t> </w:t>
      </w:r>
      <w:r>
        <w:rPr>
          <w:rFonts w:ascii="Verdana"/>
          <w:spacing w:val="-2"/>
          <w:sz w:val="18"/>
        </w:rPr>
        <w:t>the...</w:t>
      </w:r>
      <w:r>
        <w:rPr>
          <w:rFonts w:ascii="Verdana"/>
          <w:sz w:val="18"/>
        </w:rPr>
        <w:tab/>
      </w:r>
      <w:r>
        <w:rPr>
          <w:rFonts w:ascii="Verdana"/>
          <w:spacing w:val="-5"/>
          <w:sz w:val="18"/>
        </w:rPr>
        <w:t>389</w:t>
      </w:r>
    </w:p>
    <w:p>
      <w:pPr>
        <w:pStyle w:val="Heading3"/>
        <w:ind w:right="1434"/>
      </w:pPr>
      <w:r>
        <w:rPr>
          <w:w w:val="90"/>
        </w:rPr>
        <w:t>THEORETICAL</w:t>
      </w:r>
      <w:r>
        <w:rPr>
          <w:spacing w:val="-18"/>
          <w:w w:val="90"/>
        </w:rPr>
        <w:t> </w:t>
      </w:r>
      <w:r>
        <w:rPr>
          <w:w w:val="90"/>
        </w:rPr>
        <w:t>FRAMEWORK</w:t>
      </w:r>
      <w:r>
        <w:rPr>
          <w:spacing w:val="-17"/>
          <w:w w:val="90"/>
        </w:rPr>
        <w:t> </w:t>
      </w:r>
      <w:r>
        <w:rPr>
          <w:w w:val="90"/>
        </w:rPr>
        <w:t>OF</w:t>
      </w:r>
      <w:r>
        <w:rPr>
          <w:spacing w:val="-13"/>
          <w:w w:val="90"/>
        </w:rPr>
        <w:t> </w:t>
      </w:r>
      <w:r>
        <w:rPr>
          <w:w w:val="90"/>
        </w:rPr>
        <w:t>COVERTURE,</w:t>
      </w:r>
      <w:r>
        <w:rPr>
          <w:spacing w:val="-16"/>
          <w:w w:val="90"/>
        </w:rPr>
        <w:t> </w:t>
      </w:r>
      <w:r>
        <w:rPr>
          <w:w w:val="90"/>
        </w:rPr>
        <w:t>FATE,</w:t>
      </w:r>
      <w:r>
        <w:rPr>
          <w:spacing w:val="-15"/>
          <w:w w:val="90"/>
        </w:rPr>
        <w:t> </w:t>
      </w:r>
      <w:r>
        <w:rPr>
          <w:w w:val="90"/>
        </w:rPr>
        <w:t>AND </w:t>
      </w:r>
      <w:r>
        <w:rPr>
          <w:spacing w:val="-6"/>
        </w:rPr>
        <w:t>THE</w:t>
      </w:r>
      <w:r>
        <w:rPr>
          <w:spacing w:val="-11"/>
        </w:rPr>
        <w:t> </w:t>
      </w:r>
      <w:r>
        <w:rPr>
          <w:spacing w:val="-6"/>
        </w:rPr>
        <w:t>PATRIARCHAL</w:t>
      </w:r>
      <w:r>
        <w:rPr>
          <w:spacing w:val="-11"/>
        </w:rPr>
        <w:t> </w:t>
      </w:r>
      <w:r>
        <w:rPr>
          <w:spacing w:val="-6"/>
        </w:rPr>
        <w:t>LEGAL</w:t>
      </w:r>
      <w:r>
        <w:rPr>
          <w:spacing w:val="-11"/>
        </w:rPr>
        <w:t> </w:t>
      </w:r>
      <w:r>
        <w:rPr>
          <w:spacing w:val="-6"/>
        </w:rPr>
        <w:t>ORDER</w:t>
      </w:r>
    </w:p>
    <w:p>
      <w:pPr>
        <w:pStyle w:val="Heading5"/>
        <w:spacing w:before="123"/>
      </w:pPr>
      <w:r>
        <w:rPr/>
        <w:t>The</w:t>
      </w:r>
      <w:r>
        <w:rPr>
          <w:spacing w:val="56"/>
          <w:w w:val="150"/>
        </w:rPr>
        <w:t> </w:t>
      </w:r>
      <w:r>
        <w:rPr/>
        <w:t>Legal</w:t>
      </w:r>
      <w:r>
        <w:rPr>
          <w:spacing w:val="57"/>
          <w:w w:val="150"/>
        </w:rPr>
        <w:t> </w:t>
      </w:r>
      <w:r>
        <w:rPr/>
        <w:t>Erasure</w:t>
      </w:r>
      <w:r>
        <w:rPr>
          <w:spacing w:val="59"/>
          <w:w w:val="150"/>
        </w:rPr>
        <w:t> </w:t>
      </w:r>
      <w:r>
        <w:rPr/>
        <w:t>of</w:t>
      </w:r>
      <w:r>
        <w:rPr>
          <w:spacing w:val="77"/>
        </w:rPr>
        <w:t> </w:t>
      </w:r>
      <w:r>
        <w:rPr/>
        <w:t>Married</w:t>
      </w:r>
      <w:r>
        <w:rPr>
          <w:spacing w:val="57"/>
          <w:w w:val="150"/>
        </w:rPr>
        <w:t> </w:t>
      </w:r>
      <w:r>
        <w:rPr>
          <w:spacing w:val="-4"/>
        </w:rPr>
        <w:t>Women</w:t>
      </w:r>
    </w:p>
    <w:p>
      <w:pPr>
        <w:pStyle w:val="BodyText"/>
        <w:spacing w:line="249" w:lineRule="auto" w:before="72"/>
        <w:ind w:right="1439" w:firstLine="432"/>
        <w:jc w:val="both"/>
      </w:pPr>
      <w:r>
        <w:rPr/>
        <w:t>To understand the plight of Shakespeare’s female characters, It’s important</w:t>
      </w:r>
      <w:r>
        <w:rPr>
          <w:spacing w:val="-13"/>
        </w:rPr>
        <w:t> </w:t>
      </w:r>
      <w:r>
        <w:rPr/>
        <w:t>to</w:t>
      </w:r>
      <w:r>
        <w:rPr>
          <w:spacing w:val="-12"/>
        </w:rPr>
        <w:t> </w:t>
      </w:r>
      <w:r>
        <w:rPr/>
        <w:t>understand</w:t>
      </w:r>
      <w:r>
        <w:rPr>
          <w:spacing w:val="-13"/>
        </w:rPr>
        <w:t> </w:t>
      </w:r>
      <w:r>
        <w:rPr/>
        <w:t>the</w:t>
      </w:r>
      <w:r>
        <w:rPr>
          <w:spacing w:val="-12"/>
        </w:rPr>
        <w:t> </w:t>
      </w:r>
      <w:r>
        <w:rPr/>
        <w:t>legal</w:t>
      </w:r>
      <w:r>
        <w:rPr>
          <w:spacing w:val="-13"/>
        </w:rPr>
        <w:t> </w:t>
      </w:r>
      <w:r>
        <w:rPr/>
        <w:t>architecture</w:t>
      </w:r>
      <w:r>
        <w:rPr>
          <w:spacing w:val="-12"/>
        </w:rPr>
        <w:t> </w:t>
      </w:r>
      <w:r>
        <w:rPr/>
        <w:t>within</w:t>
      </w:r>
      <w:r>
        <w:rPr>
          <w:spacing w:val="-13"/>
        </w:rPr>
        <w:t> </w:t>
      </w:r>
      <w:r>
        <w:rPr/>
        <w:t>which</w:t>
      </w:r>
      <w:r>
        <w:rPr>
          <w:spacing w:val="-12"/>
        </w:rPr>
        <w:t> </w:t>
      </w:r>
      <w:r>
        <w:rPr/>
        <w:t>early</w:t>
      </w:r>
      <w:r>
        <w:rPr>
          <w:spacing w:val="-13"/>
        </w:rPr>
        <w:t> </w:t>
      </w:r>
      <w:r>
        <w:rPr/>
        <w:t>modern Englishwoman existed. The doctrine of coverture from the Old French held</w:t>
      </w:r>
      <w:r>
        <w:rPr>
          <w:spacing w:val="-2"/>
        </w:rPr>
        <w:t> </w:t>
      </w:r>
      <w:r>
        <w:rPr/>
        <w:t>that</w:t>
      </w:r>
      <w:r>
        <w:rPr>
          <w:spacing w:val="-3"/>
        </w:rPr>
        <w:t> </w:t>
      </w:r>
      <w:r>
        <w:rPr/>
        <w:t>upon</w:t>
      </w:r>
      <w:r>
        <w:rPr>
          <w:spacing w:val="-3"/>
        </w:rPr>
        <w:t> </w:t>
      </w:r>
      <w:r>
        <w:rPr/>
        <w:t>marriage,</w:t>
      </w:r>
      <w:r>
        <w:rPr>
          <w:spacing w:val="-3"/>
        </w:rPr>
        <w:t> </w:t>
      </w:r>
      <w:r>
        <w:rPr/>
        <w:t>a</w:t>
      </w:r>
      <w:r>
        <w:rPr>
          <w:spacing w:val="-3"/>
        </w:rPr>
        <w:t> </w:t>
      </w:r>
      <w:r>
        <w:rPr/>
        <w:t>woman’s</w:t>
      </w:r>
      <w:r>
        <w:rPr>
          <w:spacing w:val="-2"/>
        </w:rPr>
        <w:t> </w:t>
      </w:r>
      <w:r>
        <w:rPr/>
        <w:t>legal</w:t>
      </w:r>
      <w:r>
        <w:rPr>
          <w:spacing w:val="-4"/>
        </w:rPr>
        <w:t> </w:t>
      </w:r>
      <w:r>
        <w:rPr/>
        <w:t>existence</w:t>
      </w:r>
      <w:r>
        <w:rPr>
          <w:spacing w:val="-3"/>
        </w:rPr>
        <w:t> </w:t>
      </w:r>
      <w:r>
        <w:rPr/>
        <w:t>was</w:t>
      </w:r>
      <w:r>
        <w:rPr>
          <w:spacing w:val="-5"/>
        </w:rPr>
        <w:t> </w:t>
      </w:r>
      <w:r>
        <w:rPr/>
        <w:t>covered</w:t>
      </w:r>
      <w:r>
        <w:rPr>
          <w:spacing w:val="-3"/>
        </w:rPr>
        <w:t> </w:t>
      </w:r>
      <w:r>
        <w:rPr/>
        <w:t>by</w:t>
      </w:r>
      <w:r>
        <w:rPr>
          <w:spacing w:val="-7"/>
        </w:rPr>
        <w:t> </w:t>
      </w:r>
      <w:r>
        <w:rPr/>
        <w:t>that of</w:t>
      </w:r>
      <w:r>
        <w:rPr>
          <w:spacing w:val="-4"/>
        </w:rPr>
        <w:t> </w:t>
      </w:r>
      <w:r>
        <w:rPr/>
        <w:t>her husband.</w:t>
      </w:r>
      <w:r>
        <w:rPr>
          <w:spacing w:val="-12"/>
        </w:rPr>
        <w:t> </w:t>
      </w:r>
      <w:r>
        <w:rPr/>
        <w:t>As</w:t>
      </w:r>
      <w:r>
        <w:rPr>
          <w:spacing w:val="-2"/>
        </w:rPr>
        <w:t> </w:t>
      </w:r>
      <w:r>
        <w:rPr/>
        <w:t>the eighteenth-century</w:t>
      </w:r>
      <w:r>
        <w:rPr>
          <w:spacing w:val="-5"/>
        </w:rPr>
        <w:t> </w:t>
      </w:r>
      <w:r>
        <w:rPr/>
        <w:t>jurist</w:t>
      </w:r>
      <w:r>
        <w:rPr>
          <w:spacing w:val="-2"/>
        </w:rPr>
        <w:t> </w:t>
      </w:r>
      <w:r>
        <w:rPr/>
        <w:t>Sir William</w:t>
      </w:r>
      <w:r>
        <w:rPr>
          <w:spacing w:val="-4"/>
        </w:rPr>
        <w:t> </w:t>
      </w:r>
      <w:r>
        <w:rPr/>
        <w:t>Blackstone famously</w:t>
      </w:r>
      <w:r>
        <w:rPr>
          <w:spacing w:val="-6"/>
        </w:rPr>
        <w:t> </w:t>
      </w:r>
      <w:r>
        <w:rPr/>
        <w:t>summarized the</w:t>
      </w:r>
      <w:r>
        <w:rPr>
          <w:spacing w:val="-4"/>
        </w:rPr>
        <w:t> </w:t>
      </w:r>
      <w:r>
        <w:rPr/>
        <w:t>principle, the</w:t>
      </w:r>
      <w:r>
        <w:rPr>
          <w:spacing w:val="-2"/>
        </w:rPr>
        <w:t> </w:t>
      </w:r>
      <w:r>
        <w:rPr/>
        <w:t>very</w:t>
      </w:r>
      <w:r>
        <w:rPr>
          <w:spacing w:val="-4"/>
        </w:rPr>
        <w:t> </w:t>
      </w:r>
      <w:r>
        <w:rPr/>
        <w:t>being</w:t>
      </w:r>
      <w:r>
        <w:rPr>
          <w:spacing w:val="-4"/>
        </w:rPr>
        <w:t> </w:t>
      </w:r>
      <w:r>
        <w:rPr/>
        <w:t>or legal</w:t>
      </w:r>
      <w:r>
        <w:rPr>
          <w:spacing w:val="-2"/>
        </w:rPr>
        <w:t> </w:t>
      </w:r>
      <w:r>
        <w:rPr/>
        <w:t>existence of the woman</w:t>
      </w:r>
      <w:r>
        <w:rPr>
          <w:spacing w:val="-1"/>
        </w:rPr>
        <w:t> </w:t>
      </w:r>
      <w:r>
        <w:rPr/>
        <w:t>is suspended during</w:t>
      </w:r>
      <w:r>
        <w:rPr>
          <w:spacing w:val="-1"/>
        </w:rPr>
        <w:t> </w:t>
      </w:r>
      <w:r>
        <w:rPr/>
        <w:t>the marriage, or at least is incorporated and consolidated into that of the husband”. Despite being a married woman , a woman</w:t>
      </w:r>
      <w:r>
        <w:rPr>
          <w:spacing w:val="40"/>
        </w:rPr>
        <w:t> </w:t>
      </w:r>
      <w:r>
        <w:rPr/>
        <w:t>could not own property in her own name, enter contracts,</w:t>
      </w:r>
      <w:r>
        <w:rPr>
          <w:spacing w:val="-3"/>
        </w:rPr>
        <w:t> </w:t>
      </w:r>
      <w:r>
        <w:rPr/>
        <w:t>sue</w:t>
      </w:r>
      <w:r>
        <w:rPr>
          <w:spacing w:val="-2"/>
        </w:rPr>
        <w:t> </w:t>
      </w:r>
      <w:r>
        <w:rPr/>
        <w:t>or</w:t>
      </w:r>
      <w:r>
        <w:rPr>
          <w:spacing w:val="-3"/>
        </w:rPr>
        <w:t> </w:t>
      </w:r>
      <w:r>
        <w:rPr/>
        <w:t>be</w:t>
      </w:r>
      <w:r>
        <w:rPr>
          <w:spacing w:val="-2"/>
        </w:rPr>
        <w:t> </w:t>
      </w:r>
      <w:r>
        <w:rPr/>
        <w:t>sued,</w:t>
      </w:r>
      <w:r>
        <w:rPr>
          <w:spacing w:val="-3"/>
        </w:rPr>
        <w:t> </w:t>
      </w:r>
      <w:r>
        <w:rPr/>
        <w:t>or</w:t>
      </w:r>
      <w:r>
        <w:rPr>
          <w:spacing w:val="-1"/>
        </w:rPr>
        <w:t> </w:t>
      </w:r>
      <w:r>
        <w:rPr/>
        <w:t>make</w:t>
      </w:r>
      <w:r>
        <w:rPr>
          <w:spacing w:val="-2"/>
        </w:rPr>
        <w:t> </w:t>
      </w:r>
      <w:r>
        <w:rPr/>
        <w:t>a</w:t>
      </w:r>
      <w:r>
        <w:rPr>
          <w:spacing w:val="-4"/>
        </w:rPr>
        <w:t> </w:t>
      </w:r>
      <w:r>
        <w:rPr/>
        <w:t>will</w:t>
      </w:r>
      <w:r>
        <w:rPr>
          <w:spacing w:val="-5"/>
        </w:rPr>
        <w:t> </w:t>
      </w:r>
      <w:r>
        <w:rPr/>
        <w:t>without</w:t>
      </w:r>
      <w:r>
        <w:rPr>
          <w:spacing w:val="-5"/>
        </w:rPr>
        <w:t> </w:t>
      </w:r>
      <w:r>
        <w:rPr/>
        <w:t>her</w:t>
      </w:r>
      <w:r>
        <w:rPr>
          <w:spacing w:val="-3"/>
        </w:rPr>
        <w:t> </w:t>
      </w:r>
      <w:r>
        <w:rPr/>
        <w:t>husband’s</w:t>
      </w:r>
      <w:r>
        <w:rPr>
          <w:spacing w:val="-3"/>
        </w:rPr>
        <w:t> </w:t>
      </w:r>
      <w:r>
        <w:rPr/>
        <w:t>consent. From her</w:t>
      </w:r>
      <w:r>
        <w:rPr>
          <w:spacing w:val="40"/>
        </w:rPr>
        <w:t> </w:t>
      </w:r>
      <w:r>
        <w:rPr/>
        <w:t>body to her labor and all her children belonged according to the</w:t>
      </w:r>
      <w:r>
        <w:rPr>
          <w:spacing w:val="40"/>
        </w:rPr>
        <w:t> </w:t>
      </w:r>
      <w:r>
        <w:rPr/>
        <w:t>law</w:t>
      </w:r>
      <w:r>
        <w:rPr>
          <w:spacing w:val="40"/>
        </w:rPr>
        <w:t> </w:t>
      </w:r>
      <w:r>
        <w:rPr/>
        <w:t>to</w:t>
      </w:r>
      <w:r>
        <w:rPr>
          <w:spacing w:val="40"/>
        </w:rPr>
        <w:t> </w:t>
      </w:r>
      <w:r>
        <w:rPr/>
        <w:t>her</w:t>
      </w:r>
      <w:r>
        <w:rPr>
          <w:spacing w:val="40"/>
        </w:rPr>
        <w:t> </w:t>
      </w:r>
      <w:r>
        <w:rPr/>
        <w:t>husband.</w:t>
      </w:r>
    </w:p>
    <w:p>
      <w:pPr>
        <w:pStyle w:val="BodyText"/>
        <w:spacing w:line="249" w:lineRule="auto" w:before="67"/>
        <w:ind w:right="1439" w:firstLine="432"/>
        <w:jc w:val="both"/>
      </w:pPr>
      <w:r>
        <w:rPr/>
        <w:t>During</w:t>
      </w:r>
      <w:r>
        <w:rPr>
          <w:spacing w:val="-1"/>
        </w:rPr>
        <w:t> </w:t>
      </w:r>
      <w:r>
        <w:rPr/>
        <w:t>the Shakespeare era,</w:t>
      </w:r>
      <w:r>
        <w:rPr>
          <w:spacing w:val="40"/>
        </w:rPr>
        <w:t> </w:t>
      </w:r>
      <w:r>
        <w:rPr/>
        <w:t>female agency</w:t>
      </w:r>
      <w:r>
        <w:rPr>
          <w:spacing w:val="-4"/>
        </w:rPr>
        <w:t> </w:t>
      </w:r>
      <w:r>
        <w:rPr/>
        <w:t>was</w:t>
      </w:r>
      <w:r>
        <w:rPr>
          <w:spacing w:val="-3"/>
        </w:rPr>
        <w:t> </w:t>
      </w:r>
      <w:r>
        <w:rPr/>
        <w:t>profound.</w:t>
      </w:r>
      <w:r>
        <w:rPr>
          <w:spacing w:val="-8"/>
        </w:rPr>
        <w:t> </w:t>
      </w:r>
      <w:r>
        <w:rPr/>
        <w:t>A</w:t>
      </w:r>
      <w:r>
        <w:rPr>
          <w:spacing w:val="-13"/>
        </w:rPr>
        <w:t> </w:t>
      </w:r>
      <w:r>
        <w:rPr/>
        <w:t>wife held very</w:t>
      </w:r>
      <w:r>
        <w:rPr>
          <w:spacing w:val="-3"/>
        </w:rPr>
        <w:t> </w:t>
      </w:r>
      <w:r>
        <w:rPr/>
        <w:t>little</w:t>
      </w:r>
      <w:r>
        <w:rPr>
          <w:spacing w:val="-2"/>
        </w:rPr>
        <w:t> </w:t>
      </w:r>
      <w:r>
        <w:rPr/>
        <w:t>freedom</w:t>
      </w:r>
      <w:r>
        <w:rPr>
          <w:spacing w:val="-2"/>
        </w:rPr>
        <w:t> </w:t>
      </w:r>
      <w:r>
        <w:rPr/>
        <w:t>and rights to</w:t>
      </w:r>
      <w:r>
        <w:rPr>
          <w:spacing w:val="-1"/>
        </w:rPr>
        <w:t> </w:t>
      </w:r>
      <w:r>
        <w:rPr/>
        <w:t>commit certain</w:t>
      </w:r>
      <w:r>
        <w:rPr>
          <w:spacing w:val="-3"/>
        </w:rPr>
        <w:t> </w:t>
      </w:r>
      <w:r>
        <w:rPr/>
        <w:t>actions against</w:t>
      </w:r>
      <w:r>
        <w:rPr>
          <w:spacing w:val="-1"/>
        </w:rPr>
        <w:t> </w:t>
      </w:r>
      <w:r>
        <w:rPr/>
        <w:t>her husband at that time under the law.</w:t>
      </w:r>
      <w:r>
        <w:rPr>
          <w:spacing w:val="40"/>
        </w:rPr>
        <w:t> </w:t>
      </w:r>
      <w:r>
        <w:rPr/>
        <w:t>This also shows how little power the women</w:t>
      </w:r>
      <w:r>
        <w:rPr>
          <w:spacing w:val="-3"/>
        </w:rPr>
        <w:t> </w:t>
      </w:r>
      <w:r>
        <w:rPr/>
        <w:t>held during</w:t>
      </w:r>
      <w:r>
        <w:rPr>
          <w:spacing w:val="-1"/>
        </w:rPr>
        <w:t> </w:t>
      </w:r>
      <w:r>
        <w:rPr/>
        <w:t>those times.</w:t>
      </w:r>
      <w:r>
        <w:rPr>
          <w:spacing w:val="40"/>
        </w:rPr>
        <w:t> </w:t>
      </w:r>
      <w:r>
        <w:rPr/>
        <w:t>As</w:t>
      </w:r>
      <w:r>
        <w:rPr>
          <w:spacing w:val="-1"/>
        </w:rPr>
        <w:t> </w:t>
      </w:r>
      <w:r>
        <w:rPr/>
        <w:t>Emily</w:t>
      </w:r>
      <w:r>
        <w:rPr>
          <w:spacing w:val="-5"/>
        </w:rPr>
        <w:t> </w:t>
      </w:r>
      <w:r>
        <w:rPr/>
        <w:t>Ireland</w:t>
      </w:r>
      <w:r>
        <w:rPr>
          <w:spacing w:val="-1"/>
        </w:rPr>
        <w:t> </w:t>
      </w:r>
      <w:r>
        <w:rPr/>
        <w:t>notes, arguments of</w:t>
      </w:r>
      <w:r>
        <w:rPr>
          <w:spacing w:val="40"/>
        </w:rPr>
        <w:t> </w:t>
      </w:r>
      <w:r>
        <w:rPr/>
        <w:t>legal impossibility due to coverture persisted in married women’s criminal trials from the sixteenth well into the nineteenth century. The most extreme expression of this logic was the marital rape exemption, because a wife had consented to her husband’s sexual access in the marriage contract, English law did not recognize a husband’s capacity to</w:t>
      </w:r>
      <w:r>
        <w:rPr>
          <w:spacing w:val="-6"/>
        </w:rPr>
        <w:t> </w:t>
      </w:r>
      <w:r>
        <w:rPr/>
        <w:t>rape</w:t>
      </w:r>
      <w:r>
        <w:rPr>
          <w:spacing w:val="-6"/>
        </w:rPr>
        <w:t> </w:t>
      </w:r>
      <w:r>
        <w:rPr/>
        <w:t>his</w:t>
      </w:r>
      <w:r>
        <w:rPr>
          <w:spacing w:val="-8"/>
        </w:rPr>
        <w:t> </w:t>
      </w:r>
      <w:r>
        <w:rPr/>
        <w:t>wife.</w:t>
      </w:r>
      <w:r>
        <w:rPr>
          <w:spacing w:val="-6"/>
        </w:rPr>
        <w:t> </w:t>
      </w:r>
      <w:r>
        <w:rPr/>
        <w:t>The</w:t>
      </w:r>
      <w:r>
        <w:rPr>
          <w:spacing w:val="-7"/>
        </w:rPr>
        <w:t> </w:t>
      </w:r>
      <w:r>
        <w:rPr/>
        <w:t>women</w:t>
      </w:r>
      <w:r>
        <w:rPr>
          <w:spacing w:val="-6"/>
        </w:rPr>
        <w:t> </w:t>
      </w:r>
      <w:r>
        <w:rPr/>
        <w:t>are</w:t>
      </w:r>
      <w:r>
        <w:rPr>
          <w:spacing w:val="-8"/>
        </w:rPr>
        <w:t> </w:t>
      </w:r>
      <w:r>
        <w:rPr/>
        <w:t>to</w:t>
      </w:r>
      <w:r>
        <w:rPr>
          <w:spacing w:val="-6"/>
        </w:rPr>
        <w:t> </w:t>
      </w:r>
      <w:r>
        <w:rPr/>
        <w:t>be</w:t>
      </w:r>
      <w:r>
        <w:rPr>
          <w:spacing w:val="-6"/>
        </w:rPr>
        <w:t> </w:t>
      </w:r>
      <w:r>
        <w:rPr/>
        <w:t>married</w:t>
      </w:r>
      <w:r>
        <w:rPr>
          <w:spacing w:val="-6"/>
        </w:rPr>
        <w:t> </w:t>
      </w:r>
      <w:r>
        <w:rPr/>
        <w:t>and</w:t>
      </w:r>
      <w:r>
        <w:rPr>
          <w:spacing w:val="-3"/>
        </w:rPr>
        <w:t> </w:t>
      </w:r>
      <w:r>
        <w:rPr/>
        <w:t>who</w:t>
      </w:r>
      <w:r>
        <w:rPr>
          <w:spacing w:val="-6"/>
        </w:rPr>
        <w:t> </w:t>
      </w:r>
      <w:r>
        <w:rPr/>
        <w:t>sought</w:t>
      </w:r>
      <w:r>
        <w:rPr>
          <w:spacing w:val="-5"/>
        </w:rPr>
        <w:t> </w:t>
      </w:r>
      <w:r>
        <w:rPr/>
        <w:t>to</w:t>
      </w:r>
      <w:r>
        <w:rPr>
          <w:spacing w:val="-8"/>
        </w:rPr>
        <w:t> </w:t>
      </w:r>
      <w:r>
        <w:rPr/>
        <w:t>escape unwanted marital sex had few legal protections and limited social and economic resources</w:t>
      </w:r>
      <w:r>
        <w:rPr>
          <w:spacing w:val="40"/>
        </w:rPr>
        <w:t> </w:t>
      </w:r>
      <w:r>
        <w:rPr/>
        <w:t>and those who could afford the costs turned to ecclesiastical courts to seek separation though English ecclesiastical</w:t>
      </w:r>
      <w:r>
        <w:rPr>
          <w:spacing w:val="40"/>
        </w:rPr>
        <w:t> </w:t>
      </w:r>
      <w:r>
        <w:rPr/>
        <w:t>law “did not explicitly identify sexual discord as justifying marital </w:t>
      </w:r>
      <w:r>
        <w:rPr>
          <w:spacing w:val="-2"/>
        </w:rPr>
        <w:t>separation”.</w:t>
      </w:r>
    </w:p>
    <w:p>
      <w:pPr>
        <w:pStyle w:val="BodyText"/>
        <w:spacing w:line="249" w:lineRule="auto" w:before="70"/>
        <w:ind w:right="1437" w:firstLine="432"/>
        <w:jc w:val="both"/>
      </w:pPr>
      <w:r>
        <w:rPr/>
        <w:t>For a woman to possess sexual agency to control her own body,</w:t>
      </w:r>
      <w:r>
        <w:rPr>
          <w:spacing w:val="80"/>
        </w:rPr>
        <w:t> </w:t>
      </w:r>
      <w:r>
        <w:rPr/>
        <w:t>to consent or refuse consent, to speak her own desire was therefore to transgress against the legal fiction of coverture. This is the world that Shakespeare</w:t>
      </w:r>
      <w:r>
        <w:rPr>
          <w:spacing w:val="-1"/>
        </w:rPr>
        <w:t> </w:t>
      </w:r>
      <w:r>
        <w:rPr/>
        <w:t>dramatizes.</w:t>
      </w:r>
      <w:r>
        <w:rPr>
          <w:spacing w:val="-2"/>
        </w:rPr>
        <w:t> </w:t>
      </w:r>
      <w:r>
        <w:rPr/>
        <w:t>His</w:t>
      </w:r>
      <w:r>
        <w:rPr>
          <w:spacing w:val="-3"/>
        </w:rPr>
        <w:t> </w:t>
      </w:r>
      <w:r>
        <w:rPr/>
        <w:t>female</w:t>
      </w:r>
      <w:r>
        <w:rPr>
          <w:spacing w:val="-2"/>
        </w:rPr>
        <w:t> </w:t>
      </w:r>
      <w:r>
        <w:rPr/>
        <w:t>characters</w:t>
      </w:r>
      <w:r>
        <w:rPr>
          <w:spacing w:val="-3"/>
        </w:rPr>
        <w:t> </w:t>
      </w:r>
      <w:r>
        <w:rPr/>
        <w:t>are</w:t>
      </w:r>
      <w:r>
        <w:rPr>
          <w:spacing w:val="-2"/>
        </w:rPr>
        <w:t> </w:t>
      </w:r>
      <w:r>
        <w:rPr/>
        <w:t>not</w:t>
      </w:r>
      <w:r>
        <w:rPr>
          <w:spacing w:val="-2"/>
        </w:rPr>
        <w:t> </w:t>
      </w:r>
      <w:r>
        <w:rPr/>
        <w:t>merely</w:t>
      </w:r>
      <w:r>
        <w:rPr>
          <w:spacing w:val="-3"/>
        </w:rPr>
        <w:t> </w:t>
      </w:r>
      <w:r>
        <w:rPr/>
        <w:t>symbolic figures; they are situated within a juridical order that systematically denies them the status of autonomous moral agents. When Isabella in Measure</w:t>
      </w:r>
      <w:r>
        <w:rPr>
          <w:spacing w:val="23"/>
        </w:rPr>
        <w:t> </w:t>
      </w:r>
      <w:r>
        <w:rPr/>
        <w:t>for</w:t>
      </w:r>
      <w:r>
        <w:rPr>
          <w:spacing w:val="25"/>
        </w:rPr>
        <w:t> </w:t>
      </w:r>
      <w:r>
        <w:rPr/>
        <w:t>Measure</w:t>
      </w:r>
      <w:r>
        <w:rPr>
          <w:spacing w:val="23"/>
        </w:rPr>
        <w:t> </w:t>
      </w:r>
      <w:r>
        <w:rPr/>
        <w:t>refuses Angelo’s</w:t>
      </w:r>
      <w:r>
        <w:rPr>
          <w:spacing w:val="20"/>
        </w:rPr>
        <w:t> </w:t>
      </w:r>
      <w:r>
        <w:rPr/>
        <w:t>proposition,</w:t>
      </w:r>
      <w:r>
        <w:rPr>
          <w:spacing w:val="25"/>
        </w:rPr>
        <w:t> </w:t>
      </w:r>
      <w:r>
        <w:rPr/>
        <w:t>she</w:t>
      </w:r>
      <w:r>
        <w:rPr>
          <w:spacing w:val="23"/>
        </w:rPr>
        <w:t> </w:t>
      </w:r>
      <w:r>
        <w:rPr/>
        <w:t>is</w:t>
      </w:r>
      <w:r>
        <w:rPr>
          <w:spacing w:val="24"/>
        </w:rPr>
        <w:t> </w:t>
      </w:r>
      <w:r>
        <w:rPr/>
        <w:t>not</w:t>
      </w:r>
      <w:r>
        <w:rPr>
          <w:spacing w:val="22"/>
        </w:rPr>
        <w:t> </w:t>
      </w:r>
      <w:r>
        <w:rPr/>
        <w:t>simply a virtuous nun defending personal integrity but also she is a woman resisting</w:t>
      </w:r>
      <w:r>
        <w:rPr>
          <w:spacing w:val="19"/>
        </w:rPr>
        <w:t> </w:t>
      </w:r>
      <w:r>
        <w:rPr/>
        <w:t>a</w:t>
      </w:r>
      <w:r>
        <w:rPr>
          <w:spacing w:val="24"/>
        </w:rPr>
        <w:t> </w:t>
      </w:r>
      <w:r>
        <w:rPr/>
        <w:t>legal</w:t>
      </w:r>
      <w:r>
        <w:rPr>
          <w:spacing w:val="20"/>
        </w:rPr>
        <w:t> </w:t>
      </w:r>
      <w:r>
        <w:rPr/>
        <w:t>and</w:t>
      </w:r>
      <w:r>
        <w:rPr>
          <w:spacing w:val="21"/>
        </w:rPr>
        <w:t> </w:t>
      </w:r>
      <w:r>
        <w:rPr/>
        <w:t>social</w:t>
      </w:r>
      <w:r>
        <w:rPr>
          <w:spacing w:val="21"/>
        </w:rPr>
        <w:t> </w:t>
      </w:r>
      <w:r>
        <w:rPr/>
        <w:t>system</w:t>
      </w:r>
      <w:r>
        <w:rPr>
          <w:spacing w:val="19"/>
        </w:rPr>
        <w:t> </w:t>
      </w:r>
      <w:r>
        <w:rPr/>
        <w:t>that,</w:t>
      </w:r>
      <w:r>
        <w:rPr>
          <w:spacing w:val="23"/>
        </w:rPr>
        <w:t> </w:t>
      </w:r>
      <w:r>
        <w:rPr/>
        <w:t>in</w:t>
      </w:r>
      <w:r>
        <w:rPr>
          <w:spacing w:val="20"/>
        </w:rPr>
        <w:t> </w:t>
      </w:r>
      <w:r>
        <w:rPr/>
        <w:t>other</w:t>
      </w:r>
      <w:r>
        <w:rPr>
          <w:spacing w:val="21"/>
        </w:rPr>
        <w:t> </w:t>
      </w:r>
      <w:r>
        <w:rPr/>
        <w:t>contexts,</w:t>
      </w:r>
      <w:r>
        <w:rPr>
          <w:spacing w:val="23"/>
        </w:rPr>
        <w:t> </w:t>
      </w:r>
      <w:r>
        <w:rPr/>
        <w:t>would</w:t>
      </w:r>
      <w:r>
        <w:rPr>
          <w:spacing w:val="24"/>
        </w:rPr>
        <w:t> </w:t>
      </w:r>
      <w:r>
        <w:rPr>
          <w:spacing w:val="-4"/>
        </w:rPr>
        <w:t>give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75072">
                <wp:simplePos x="0" y="0"/>
                <wp:positionH relativeFrom="page">
                  <wp:posOffset>2057400</wp:posOffset>
                </wp:positionH>
                <wp:positionV relativeFrom="paragraph">
                  <wp:posOffset>162604</wp:posOffset>
                </wp:positionV>
                <wp:extent cx="3657600" cy="12700"/>
                <wp:effectExtent l="0" t="0" r="0" b="0"/>
                <wp:wrapTopAndBottom/>
                <wp:docPr id="771" name="Graphic 771"/>
                <wp:cNvGraphicFramePr>
                  <a:graphicFrameLocks/>
                </wp:cNvGraphicFramePr>
                <a:graphic>
                  <a:graphicData uri="http://schemas.microsoft.com/office/word/2010/wordprocessingShape">
                    <wps:wsp>
                      <wps:cNvPr id="771" name="Graphic 77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41408;mso-wrap-distance-left:0;mso-wrap-distance-right:0" id="docshape763" filled="true" fillcolor="#000000" stroked="false">
                <v:fill type="solid"/>
                <w10:wrap type="topAndBottom"/>
              </v:rect>
            </w:pict>
          </mc:Fallback>
        </mc:AlternateContent>
      </w:r>
      <w:r>
        <w:rPr>
          <w:rFonts w:ascii="Verdana"/>
          <w:spacing w:val="-5"/>
          <w:sz w:val="18"/>
        </w:rPr>
        <w:t>390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Angelo absolute authority over her. When Desdemona elopes with Othello, she is not simply a romantic heroine following her heart. She</w:t>
      </w:r>
      <w:r>
        <w:rPr>
          <w:spacing w:val="40"/>
        </w:rPr>
        <w:t> </w:t>
      </w:r>
      <w:r>
        <w:rPr/>
        <w:t>is also a</w:t>
      </w:r>
      <w:r>
        <w:rPr>
          <w:spacing w:val="40"/>
        </w:rPr>
        <w:t> </w:t>
      </w:r>
      <w:r>
        <w:rPr/>
        <w:t>daughter who has defied her father’s authority, and a married woman who has chosen a husband whose racial otherness places him outside</w:t>
      </w:r>
      <w:r>
        <w:rPr>
          <w:spacing w:val="40"/>
        </w:rPr>
        <w:t> </w:t>
      </w:r>
      <w:r>
        <w:rPr/>
        <w:t>the</w:t>
      </w:r>
      <w:r>
        <w:rPr>
          <w:spacing w:val="40"/>
        </w:rPr>
        <w:t> </w:t>
      </w:r>
      <w:r>
        <w:rPr/>
        <w:t>norms</w:t>
      </w:r>
      <w:r>
        <w:rPr>
          <w:spacing w:val="40"/>
        </w:rPr>
        <w:t> </w:t>
      </w:r>
      <w:r>
        <w:rPr/>
        <w:t>of Venetian</w:t>
      </w:r>
      <w:r>
        <w:rPr>
          <w:spacing w:val="40"/>
        </w:rPr>
        <w:t> </w:t>
      </w:r>
      <w:r>
        <w:rPr/>
        <w:t>patriarchy.</w:t>
      </w:r>
    </w:p>
    <w:p>
      <w:pPr>
        <w:pStyle w:val="Heading5"/>
        <w:spacing w:before="112"/>
        <w:jc w:val="both"/>
      </w:pPr>
      <w:r>
        <w:rPr>
          <w:w w:val="105"/>
        </w:rPr>
        <w:t>Fate</w:t>
      </w:r>
      <w:r>
        <w:rPr>
          <w:spacing w:val="77"/>
          <w:w w:val="105"/>
        </w:rPr>
        <w:t> </w:t>
      </w:r>
      <w:r>
        <w:rPr>
          <w:w w:val="105"/>
        </w:rPr>
        <w:t>as</w:t>
      </w:r>
      <w:r>
        <w:rPr>
          <w:spacing w:val="77"/>
          <w:w w:val="105"/>
        </w:rPr>
        <w:t> </w:t>
      </w:r>
      <w:r>
        <w:rPr>
          <w:w w:val="105"/>
        </w:rPr>
        <w:t>Juridical</w:t>
      </w:r>
      <w:r>
        <w:rPr>
          <w:spacing w:val="79"/>
          <w:w w:val="105"/>
        </w:rPr>
        <w:t> </w:t>
      </w:r>
      <w:r>
        <w:rPr>
          <w:spacing w:val="-2"/>
          <w:w w:val="105"/>
        </w:rPr>
        <w:t>Force</w:t>
      </w:r>
    </w:p>
    <w:p>
      <w:pPr>
        <w:pStyle w:val="BodyText"/>
        <w:spacing w:line="261" w:lineRule="auto" w:before="78"/>
        <w:ind w:right="1439" w:firstLine="432"/>
        <w:jc w:val="both"/>
      </w:pPr>
      <w:r>
        <w:rPr/>
        <w:t>If coverture structures the legal possibilities available to married women, fate structures their narrative outcomes. The early modern imagination contained multiple, sometimes competing, models of fate. The Boethian tradition, inherited from the Middle Ages, personified Fortune as a goddess who spins the wheel of human life: those who</w:t>
      </w:r>
      <w:r>
        <w:rPr>
          <w:spacing w:val="80"/>
        </w:rPr>
        <w:t> </w:t>
      </w:r>
      <w:r>
        <w:rPr/>
        <w:t>rise to its apex are inevitably cast down. This tradition emphasized human helplessness in the face of fortune’s caprice, counseling stoic detachment rather than worldly ambition. The Protestant Reformation introduced</w:t>
      </w:r>
      <w:r>
        <w:rPr>
          <w:spacing w:val="-9"/>
        </w:rPr>
        <w:t> </w:t>
      </w:r>
      <w:r>
        <w:rPr/>
        <w:t>a</w:t>
      </w:r>
      <w:r>
        <w:rPr>
          <w:spacing w:val="-9"/>
        </w:rPr>
        <w:t> </w:t>
      </w:r>
      <w:r>
        <w:rPr/>
        <w:t>different</w:t>
      </w:r>
      <w:r>
        <w:rPr>
          <w:spacing w:val="-11"/>
        </w:rPr>
        <w:t> </w:t>
      </w:r>
      <w:r>
        <w:rPr/>
        <w:t>emphasis:</w:t>
      </w:r>
      <w:r>
        <w:rPr>
          <w:spacing w:val="-11"/>
        </w:rPr>
        <w:t> </w:t>
      </w:r>
      <w:r>
        <w:rPr/>
        <w:t>divine</w:t>
      </w:r>
      <w:r>
        <w:rPr>
          <w:spacing w:val="-8"/>
        </w:rPr>
        <w:t> </w:t>
      </w:r>
      <w:r>
        <w:rPr/>
        <w:t>providence,</w:t>
      </w:r>
      <w:r>
        <w:rPr>
          <w:spacing w:val="-11"/>
        </w:rPr>
        <w:t> </w:t>
      </w:r>
      <w:r>
        <w:rPr/>
        <w:t>the</w:t>
      </w:r>
      <w:r>
        <w:rPr>
          <w:spacing w:val="-11"/>
        </w:rPr>
        <w:t> </w:t>
      </w:r>
      <w:r>
        <w:rPr/>
        <w:t>belief</w:t>
      </w:r>
      <w:r>
        <w:rPr>
          <w:spacing w:val="-11"/>
        </w:rPr>
        <w:t> </w:t>
      </w:r>
      <w:r>
        <w:rPr/>
        <w:t>that</w:t>
      </w:r>
      <w:r>
        <w:rPr>
          <w:spacing w:val="-11"/>
        </w:rPr>
        <w:t> </w:t>
      </w:r>
      <w:r>
        <w:rPr/>
        <w:t>God’s inscrutable</w:t>
      </w:r>
      <w:r>
        <w:rPr>
          <w:spacing w:val="-13"/>
        </w:rPr>
        <w:t> </w:t>
      </w:r>
      <w:r>
        <w:rPr/>
        <w:t>will</w:t>
      </w:r>
      <w:r>
        <w:rPr>
          <w:spacing w:val="-12"/>
        </w:rPr>
        <w:t> </w:t>
      </w:r>
      <w:r>
        <w:rPr/>
        <w:t>governs</w:t>
      </w:r>
      <w:r>
        <w:rPr>
          <w:spacing w:val="-13"/>
        </w:rPr>
        <w:t> </w:t>
      </w:r>
      <w:r>
        <w:rPr/>
        <w:t>all</w:t>
      </w:r>
      <w:r>
        <w:rPr>
          <w:spacing w:val="-11"/>
        </w:rPr>
        <w:t> </w:t>
      </w:r>
      <w:r>
        <w:rPr/>
        <w:t>events,</w:t>
      </w:r>
      <w:r>
        <w:rPr>
          <w:spacing w:val="-13"/>
        </w:rPr>
        <w:t> </w:t>
      </w:r>
      <w:r>
        <w:rPr/>
        <w:t>both</w:t>
      </w:r>
      <w:r>
        <w:rPr>
          <w:spacing w:val="-11"/>
        </w:rPr>
        <w:t> </w:t>
      </w:r>
      <w:r>
        <w:rPr/>
        <w:t>great</w:t>
      </w:r>
      <w:r>
        <w:rPr>
          <w:spacing w:val="-12"/>
        </w:rPr>
        <w:t> </w:t>
      </w:r>
      <w:r>
        <w:rPr/>
        <w:t>and</w:t>
      </w:r>
      <w:r>
        <w:rPr>
          <w:spacing w:val="-10"/>
        </w:rPr>
        <w:t> </w:t>
      </w:r>
      <w:r>
        <w:rPr/>
        <w:t>small.</w:t>
      </w:r>
      <w:r>
        <w:rPr>
          <w:spacing w:val="-13"/>
        </w:rPr>
        <w:t> </w:t>
      </w:r>
      <w:r>
        <w:rPr/>
        <w:t>Yet</w:t>
      </w:r>
      <w:r>
        <w:rPr>
          <w:spacing w:val="-11"/>
        </w:rPr>
        <w:t> </w:t>
      </w:r>
      <w:r>
        <w:rPr/>
        <w:t>providence, too, offered little comfort; God’s ways were mysterious, and human beings could not presume to know His purposes. As the epigraph to Macbeth might suggest, “Fair is foul, and foul is fair” operates as a providential logic that inverts human moral categories.</w:t>
      </w:r>
    </w:p>
    <w:p>
      <w:pPr>
        <w:pStyle w:val="BodyText"/>
        <w:spacing w:line="261" w:lineRule="auto" w:before="50"/>
        <w:ind w:right="1439" w:firstLine="432"/>
        <w:jc w:val="both"/>
      </w:pPr>
      <w:r>
        <w:rPr/>
        <w:t>Alongside these theological models, the Renaissance also witnessed the revival of a more active conception of fortune. Drawing on Machiavelli, Renaissance thinkers increasingly emphasized the capacity</w:t>
      </w:r>
      <w:r>
        <w:rPr>
          <w:spacing w:val="-12"/>
        </w:rPr>
        <w:t> </w:t>
      </w:r>
      <w:r>
        <w:rPr/>
        <w:t>of</w:t>
      </w:r>
      <w:r>
        <w:rPr>
          <w:spacing w:val="-12"/>
        </w:rPr>
        <w:t> </w:t>
      </w:r>
      <w:r>
        <w:rPr/>
        <w:t>human</w:t>
      </w:r>
      <w:r>
        <w:rPr>
          <w:spacing w:val="-9"/>
        </w:rPr>
        <w:t> </w:t>
      </w:r>
      <w:r>
        <w:rPr/>
        <w:t>will</w:t>
      </w:r>
      <w:r>
        <w:rPr>
          <w:spacing w:val="-9"/>
        </w:rPr>
        <w:t> </w:t>
      </w:r>
      <w:r>
        <w:rPr/>
        <w:t>and</w:t>
      </w:r>
      <w:r>
        <w:rPr>
          <w:spacing w:val="-7"/>
        </w:rPr>
        <w:t> </w:t>
      </w:r>
      <w:r>
        <w:rPr/>
        <w:t>virtù</w:t>
      </w:r>
      <w:r>
        <w:rPr>
          <w:spacing w:val="-11"/>
        </w:rPr>
        <w:t> </w:t>
      </w:r>
      <w:r>
        <w:rPr/>
        <w:t>to</w:t>
      </w:r>
      <w:r>
        <w:rPr>
          <w:spacing w:val="-7"/>
        </w:rPr>
        <w:t> </w:t>
      </w:r>
      <w:r>
        <w:rPr/>
        <w:t>master</w:t>
      </w:r>
      <w:r>
        <w:rPr>
          <w:spacing w:val="-7"/>
        </w:rPr>
        <w:t> </w:t>
      </w:r>
      <w:r>
        <w:rPr/>
        <w:t>fortune.</w:t>
      </w:r>
      <w:r>
        <w:rPr>
          <w:spacing w:val="-11"/>
        </w:rPr>
        <w:t> </w:t>
      </w:r>
      <w:r>
        <w:rPr/>
        <w:t>Fortune,</w:t>
      </w:r>
      <w:r>
        <w:rPr>
          <w:spacing w:val="-7"/>
        </w:rPr>
        <w:t> </w:t>
      </w:r>
      <w:r>
        <w:rPr/>
        <w:t>in</w:t>
      </w:r>
      <w:r>
        <w:rPr>
          <w:spacing w:val="-11"/>
        </w:rPr>
        <w:t> </w:t>
      </w:r>
      <w:r>
        <w:rPr/>
        <w:t>this</w:t>
      </w:r>
      <w:r>
        <w:rPr>
          <w:spacing w:val="-9"/>
        </w:rPr>
        <w:t> </w:t>
      </w:r>
      <w:r>
        <w:rPr/>
        <w:t>view, is like a river that floods the plains; the prudent man builds dykes and canals</w:t>
      </w:r>
      <w:r>
        <w:rPr>
          <w:spacing w:val="-9"/>
        </w:rPr>
        <w:t> </w:t>
      </w:r>
      <w:r>
        <w:rPr/>
        <w:t>to</w:t>
      </w:r>
      <w:r>
        <w:rPr>
          <w:spacing w:val="-7"/>
        </w:rPr>
        <w:t> </w:t>
      </w:r>
      <w:r>
        <w:rPr/>
        <w:t>channel</w:t>
      </w:r>
      <w:r>
        <w:rPr>
          <w:spacing w:val="-8"/>
        </w:rPr>
        <w:t> </w:t>
      </w:r>
      <w:r>
        <w:rPr/>
        <w:t>her</w:t>
      </w:r>
      <w:r>
        <w:rPr>
          <w:spacing w:val="-7"/>
        </w:rPr>
        <w:t> </w:t>
      </w:r>
      <w:r>
        <w:rPr/>
        <w:t>force.</w:t>
      </w:r>
      <w:r>
        <w:rPr>
          <w:spacing w:val="-11"/>
        </w:rPr>
        <w:t> </w:t>
      </w:r>
      <w:r>
        <w:rPr/>
        <w:t>This</w:t>
      </w:r>
      <w:r>
        <w:rPr>
          <w:spacing w:val="-9"/>
        </w:rPr>
        <w:t> </w:t>
      </w:r>
      <w:r>
        <w:rPr/>
        <w:t>active,</w:t>
      </w:r>
      <w:r>
        <w:rPr>
          <w:spacing w:val="-9"/>
        </w:rPr>
        <w:t> </w:t>
      </w:r>
      <w:r>
        <w:rPr/>
        <w:t>masculine</w:t>
      </w:r>
      <w:r>
        <w:rPr>
          <w:spacing w:val="-9"/>
        </w:rPr>
        <w:t> </w:t>
      </w:r>
      <w:r>
        <w:rPr/>
        <w:t>conception</w:t>
      </w:r>
      <w:r>
        <w:rPr>
          <w:spacing w:val="-11"/>
        </w:rPr>
        <w:t> </w:t>
      </w:r>
      <w:r>
        <w:rPr/>
        <w:t>of</w:t>
      </w:r>
      <w:r>
        <w:rPr>
          <w:spacing w:val="-11"/>
        </w:rPr>
        <w:t> </w:t>
      </w:r>
      <w:r>
        <w:rPr/>
        <w:t>fortune as something to be conquered, managed, or exploited are said to permeates the early modern stage. Tamburlaine boasts of binding “the Fates” in iron chains and turning “Fortune’s wheel” with his hand. In this model, fortune is not merely something that happens to human beings</w:t>
      </w:r>
      <w:r>
        <w:rPr>
          <w:spacing w:val="-3"/>
        </w:rPr>
        <w:t> </w:t>
      </w:r>
      <w:r>
        <w:rPr/>
        <w:t>but</w:t>
      </w:r>
      <w:r>
        <w:rPr>
          <w:spacing w:val="2"/>
        </w:rPr>
        <w:t> </w:t>
      </w:r>
      <w:r>
        <w:rPr/>
        <w:t>something</w:t>
      </w:r>
      <w:r>
        <w:rPr>
          <w:spacing w:val="-1"/>
        </w:rPr>
        <w:t> </w:t>
      </w:r>
      <w:r>
        <w:rPr/>
        <w:t>that</w:t>
      </w:r>
      <w:r>
        <w:rPr>
          <w:spacing w:val="1"/>
        </w:rPr>
        <w:t> </w:t>
      </w:r>
      <w:r>
        <w:rPr/>
        <w:t>human</w:t>
      </w:r>
      <w:r>
        <w:rPr>
          <w:spacing w:val="-3"/>
        </w:rPr>
        <w:t> </w:t>
      </w:r>
      <w:r>
        <w:rPr/>
        <w:t>beings</w:t>
      </w:r>
      <w:r>
        <w:rPr>
          <w:spacing w:val="-3"/>
        </w:rPr>
        <w:t> </w:t>
      </w:r>
      <w:r>
        <w:rPr/>
        <w:t>can,</w:t>
      </w:r>
      <w:r>
        <w:rPr>
          <w:spacing w:val="3"/>
        </w:rPr>
        <w:t> </w:t>
      </w:r>
      <w:r>
        <w:rPr/>
        <w:t>at</w:t>
      </w:r>
      <w:r>
        <w:rPr>
          <w:spacing w:val="-1"/>
        </w:rPr>
        <w:t> </w:t>
      </w:r>
      <w:r>
        <w:rPr/>
        <w:t>least potentially,</w:t>
      </w:r>
      <w:r>
        <w:rPr>
          <w:spacing w:val="-1"/>
        </w:rPr>
        <w:t> </w:t>
      </w:r>
      <w:r>
        <w:rPr>
          <w:spacing w:val="-2"/>
        </w:rPr>
        <w:t>shape.</w:t>
      </w:r>
    </w:p>
    <w:p>
      <w:pPr>
        <w:pStyle w:val="BodyText"/>
        <w:spacing w:line="261" w:lineRule="auto" w:before="51"/>
        <w:ind w:right="1440" w:firstLine="432"/>
        <w:jc w:val="both"/>
      </w:pPr>
      <w:r>
        <w:rPr/>
        <w:t>Shakespeare’s women, however, rarely have access to this active, masterful</w:t>
      </w:r>
      <w:r>
        <w:rPr>
          <w:spacing w:val="-4"/>
        </w:rPr>
        <w:t> </w:t>
      </w:r>
      <w:r>
        <w:rPr/>
        <w:t>relationship with</w:t>
      </w:r>
      <w:r>
        <w:rPr>
          <w:spacing w:val="-4"/>
        </w:rPr>
        <w:t> </w:t>
      </w:r>
      <w:r>
        <w:rPr/>
        <w:t>fortune.</w:t>
      </w:r>
      <w:r>
        <w:rPr>
          <w:spacing w:val="-3"/>
        </w:rPr>
        <w:t> </w:t>
      </w:r>
      <w:r>
        <w:rPr/>
        <w:t>Their</w:t>
      </w:r>
      <w:r>
        <w:rPr>
          <w:spacing w:val="-3"/>
        </w:rPr>
        <w:t> </w:t>
      </w:r>
      <w:r>
        <w:rPr/>
        <w:t>agency</w:t>
      </w:r>
      <w:r>
        <w:rPr>
          <w:spacing w:val="-4"/>
        </w:rPr>
        <w:t> </w:t>
      </w:r>
      <w:r>
        <w:rPr/>
        <w:t>is</w:t>
      </w:r>
      <w:r>
        <w:rPr>
          <w:spacing w:val="-4"/>
        </w:rPr>
        <w:t> </w:t>
      </w:r>
      <w:r>
        <w:rPr/>
        <w:t>hemmed</w:t>
      </w:r>
      <w:r>
        <w:rPr>
          <w:spacing w:val="-3"/>
        </w:rPr>
        <w:t> </w:t>
      </w:r>
      <w:r>
        <w:rPr/>
        <w:t>in</w:t>
      </w:r>
      <w:r>
        <w:rPr>
          <w:spacing w:val="-3"/>
        </w:rPr>
        <w:t> </w:t>
      </w:r>
      <w:r>
        <w:rPr/>
        <w:t>by</w:t>
      </w:r>
      <w:r>
        <w:rPr>
          <w:spacing w:val="-6"/>
        </w:rPr>
        <w:t> </w:t>
      </w:r>
      <w:r>
        <w:rPr/>
        <w:t>legal disability</w:t>
      </w:r>
      <w:r>
        <w:rPr>
          <w:spacing w:val="-6"/>
        </w:rPr>
        <w:t> </w:t>
      </w:r>
      <w:r>
        <w:rPr/>
        <w:t>and</w:t>
      </w:r>
      <w:r>
        <w:rPr>
          <w:spacing w:val="-3"/>
        </w:rPr>
        <w:t> </w:t>
      </w:r>
      <w:r>
        <w:rPr/>
        <w:t>social</w:t>
      </w:r>
      <w:r>
        <w:rPr>
          <w:spacing w:val="-3"/>
        </w:rPr>
        <w:t> </w:t>
      </w:r>
      <w:r>
        <w:rPr/>
        <w:t>prescription;</w:t>
      </w:r>
      <w:r>
        <w:rPr>
          <w:spacing w:val="-5"/>
        </w:rPr>
        <w:t> </w:t>
      </w:r>
      <w:r>
        <w:rPr/>
        <w:t>they</w:t>
      </w:r>
      <w:r>
        <w:rPr>
          <w:spacing w:val="-6"/>
        </w:rPr>
        <w:t> </w:t>
      </w:r>
      <w:r>
        <w:rPr/>
        <w:t>cannot,</w:t>
      </w:r>
      <w:r>
        <w:rPr>
          <w:spacing w:val="-3"/>
        </w:rPr>
        <w:t> </w:t>
      </w:r>
      <w:r>
        <w:rPr/>
        <w:t>like</w:t>
      </w:r>
      <w:r>
        <w:rPr>
          <w:spacing w:val="-8"/>
        </w:rPr>
        <w:t> </w:t>
      </w:r>
      <w:r>
        <w:rPr/>
        <w:t>Tamburlaine,</w:t>
      </w:r>
      <w:r>
        <w:rPr>
          <w:spacing w:val="-3"/>
        </w:rPr>
        <w:t> </w:t>
      </w:r>
      <w:r>
        <w:rPr/>
        <w:t>simply seize the wheel of fortune and turn it to their advantage. Instead, what we see in the plays is a gendered double bind: women may exercise limited</w:t>
      </w:r>
      <w:r>
        <w:rPr>
          <w:spacing w:val="-10"/>
        </w:rPr>
        <w:t> </w:t>
      </w:r>
      <w:r>
        <w:rPr/>
        <w:t>agency</w:t>
      </w:r>
      <w:r>
        <w:rPr>
          <w:spacing w:val="-13"/>
        </w:rPr>
        <w:t> </w:t>
      </w:r>
      <w:r>
        <w:rPr/>
        <w:t>Isabella’s</w:t>
      </w:r>
      <w:r>
        <w:rPr>
          <w:spacing w:val="-9"/>
        </w:rPr>
        <w:t> </w:t>
      </w:r>
      <w:r>
        <w:rPr/>
        <w:t>rhetorical</w:t>
      </w:r>
      <w:r>
        <w:rPr>
          <w:spacing w:val="-12"/>
        </w:rPr>
        <w:t> </w:t>
      </w:r>
      <w:r>
        <w:rPr/>
        <w:t>skill,</w:t>
      </w:r>
      <w:r>
        <w:rPr>
          <w:spacing w:val="-9"/>
        </w:rPr>
        <w:t> </w:t>
      </w:r>
      <w:r>
        <w:rPr/>
        <w:t>Desdemona’s</w:t>
      </w:r>
      <w:r>
        <w:rPr>
          <w:spacing w:val="-12"/>
        </w:rPr>
        <w:t> </w:t>
      </w:r>
      <w:r>
        <w:rPr/>
        <w:t>elopement,</w:t>
      </w:r>
      <w:r>
        <w:rPr>
          <w:spacing w:val="-9"/>
        </w:rPr>
        <w:t> </w:t>
      </w:r>
      <w:r>
        <w:rPr/>
        <w:t>Lady Macbeth’s</w:t>
      </w:r>
      <w:r>
        <w:rPr>
          <w:spacing w:val="49"/>
        </w:rPr>
        <w:t> </w:t>
      </w:r>
      <w:r>
        <w:rPr/>
        <w:t>ambition</w:t>
      </w:r>
      <w:r>
        <w:rPr>
          <w:spacing w:val="49"/>
        </w:rPr>
        <w:t> </w:t>
      </w:r>
      <w:r>
        <w:rPr/>
        <w:t>but</w:t>
      </w:r>
      <w:r>
        <w:rPr>
          <w:spacing w:val="49"/>
        </w:rPr>
        <w:t> </w:t>
      </w:r>
      <w:r>
        <w:rPr/>
        <w:t>that</w:t>
      </w:r>
      <w:r>
        <w:rPr>
          <w:spacing w:val="49"/>
        </w:rPr>
        <w:t> </w:t>
      </w:r>
      <w:r>
        <w:rPr/>
        <w:t>agency</w:t>
      </w:r>
      <w:r>
        <w:rPr>
          <w:spacing w:val="45"/>
        </w:rPr>
        <w:t> </w:t>
      </w:r>
      <w:r>
        <w:rPr/>
        <w:t>only</w:t>
      </w:r>
      <w:r>
        <w:rPr>
          <w:spacing w:val="46"/>
        </w:rPr>
        <w:t> </w:t>
      </w:r>
      <w:r>
        <w:rPr/>
        <w:t>brings</w:t>
      </w:r>
      <w:r>
        <w:rPr>
          <w:spacing w:val="49"/>
        </w:rPr>
        <w:t> </w:t>
      </w:r>
      <w:r>
        <w:rPr/>
        <w:t>them</w:t>
      </w:r>
      <w:r>
        <w:rPr>
          <w:spacing w:val="45"/>
        </w:rPr>
        <w:t> </w:t>
      </w:r>
      <w:r>
        <w:rPr/>
        <w:t>into</w:t>
      </w:r>
      <w:r>
        <w:rPr>
          <w:spacing w:val="51"/>
        </w:rPr>
        <w:t> </w:t>
      </w:r>
      <w:r>
        <w:rPr>
          <w:spacing w:val="-2"/>
        </w:rPr>
        <w:t>sharper</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1" w:val="left" w:leader="none"/>
        </w:tabs>
        <w:spacing w:before="0"/>
        <w:ind w:left="0" w:right="2"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75584">
                <wp:simplePos x="0" y="0"/>
                <wp:positionH relativeFrom="page">
                  <wp:posOffset>2065020</wp:posOffset>
                </wp:positionH>
                <wp:positionV relativeFrom="paragraph">
                  <wp:posOffset>162604</wp:posOffset>
                </wp:positionV>
                <wp:extent cx="3657600" cy="12700"/>
                <wp:effectExtent l="0" t="0" r="0" b="0"/>
                <wp:wrapTopAndBottom/>
                <wp:docPr id="772" name="Graphic 772"/>
                <wp:cNvGraphicFramePr>
                  <a:graphicFrameLocks/>
                </wp:cNvGraphicFramePr>
                <a:graphic>
                  <a:graphicData uri="http://schemas.microsoft.com/office/word/2010/wordprocessingShape">
                    <wps:wsp>
                      <wps:cNvPr id="772" name="Graphic 77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40896;mso-wrap-distance-left:0;mso-wrap-distance-right:0" id="docshape764" filled="true" fillcolor="#000000" stroked="false">
                <v:fill type="solid"/>
                <w10:wrap type="topAndBottom"/>
              </v:rect>
            </w:pict>
          </mc:Fallback>
        </mc:AlternateContent>
      </w:r>
      <w:r>
        <w:rPr>
          <w:rFonts w:ascii="Verdana"/>
          <w:sz w:val="18"/>
        </w:rPr>
        <w:t>Between</w:t>
      </w:r>
      <w:r>
        <w:rPr>
          <w:rFonts w:ascii="Verdana"/>
          <w:spacing w:val="-1"/>
          <w:sz w:val="18"/>
        </w:rPr>
        <w:t> </w:t>
      </w:r>
      <w:r>
        <w:rPr>
          <w:rFonts w:ascii="Verdana"/>
          <w:sz w:val="18"/>
        </w:rPr>
        <w:t>Joy</w:t>
      </w:r>
      <w:r>
        <w:rPr>
          <w:rFonts w:ascii="Verdana"/>
          <w:spacing w:val="-1"/>
          <w:sz w:val="18"/>
        </w:rPr>
        <w:t> </w:t>
      </w:r>
      <w:r>
        <w:rPr>
          <w:rFonts w:ascii="Verdana"/>
          <w:sz w:val="18"/>
        </w:rPr>
        <w:t>and</w:t>
      </w:r>
      <w:r>
        <w:rPr>
          <w:rFonts w:ascii="Verdana"/>
          <w:spacing w:val="-1"/>
          <w:sz w:val="18"/>
        </w:rPr>
        <w:t> </w:t>
      </w:r>
      <w:r>
        <w:rPr>
          <w:rFonts w:ascii="Verdana"/>
          <w:sz w:val="18"/>
        </w:rPr>
        <w:t>Ruin:</w:t>
      </w:r>
      <w:r>
        <w:rPr>
          <w:rFonts w:ascii="Verdana"/>
          <w:spacing w:val="-1"/>
          <w:sz w:val="18"/>
        </w:rPr>
        <w:t> </w:t>
      </w:r>
      <w:r>
        <w:rPr>
          <w:rFonts w:ascii="Verdana"/>
          <w:sz w:val="18"/>
        </w:rPr>
        <w:t>The</w:t>
      </w:r>
      <w:r>
        <w:rPr>
          <w:rFonts w:ascii="Verdana"/>
          <w:spacing w:val="2"/>
          <w:sz w:val="18"/>
        </w:rPr>
        <w:t> </w:t>
      </w:r>
      <w:r>
        <w:rPr>
          <w:rFonts w:ascii="Verdana"/>
          <w:sz w:val="18"/>
        </w:rPr>
        <w:t>Role of Women Under</w:t>
      </w:r>
      <w:r>
        <w:rPr>
          <w:rFonts w:ascii="Verdana"/>
          <w:spacing w:val="1"/>
          <w:sz w:val="18"/>
        </w:rPr>
        <w:t> </w:t>
      </w:r>
      <w:r>
        <w:rPr>
          <w:rFonts w:ascii="Verdana"/>
          <w:spacing w:val="-2"/>
          <w:sz w:val="18"/>
        </w:rPr>
        <w:t>the...</w:t>
      </w:r>
      <w:r>
        <w:rPr>
          <w:rFonts w:ascii="Verdana"/>
          <w:sz w:val="18"/>
        </w:rPr>
        <w:tab/>
      </w:r>
      <w:r>
        <w:rPr>
          <w:rFonts w:ascii="Verdana"/>
          <w:spacing w:val="-5"/>
          <w:sz w:val="18"/>
        </w:rPr>
        <w:t>391</w:t>
      </w:r>
    </w:p>
    <w:p>
      <w:pPr>
        <w:pStyle w:val="BodyText"/>
        <w:spacing w:line="261" w:lineRule="auto" w:before="199"/>
        <w:ind w:right="1437"/>
      </w:pPr>
      <w:r>
        <w:rPr/>
        <w:t>collision with fate. The very exercise of female autonomy becomes the occasion</w:t>
      </w:r>
      <w:r>
        <w:rPr>
          <w:spacing w:val="40"/>
        </w:rPr>
        <w:t> </w:t>
      </w:r>
      <w:r>
        <w:rPr/>
        <w:t>for</w:t>
      </w:r>
      <w:r>
        <w:rPr>
          <w:spacing w:val="40"/>
        </w:rPr>
        <w:t> </w:t>
      </w:r>
      <w:r>
        <w:rPr/>
        <w:t>fate’s</w:t>
      </w:r>
      <w:r>
        <w:rPr>
          <w:spacing w:val="40"/>
        </w:rPr>
        <w:t> </w:t>
      </w:r>
      <w:r>
        <w:rPr/>
        <w:t>punitive</w:t>
      </w:r>
      <w:r>
        <w:rPr>
          <w:spacing w:val="40"/>
        </w:rPr>
        <w:t> </w:t>
      </w:r>
      <w:r>
        <w:rPr/>
        <w:t>intervention.</w:t>
      </w:r>
    </w:p>
    <w:p>
      <w:pPr>
        <w:pStyle w:val="Heading5"/>
        <w:spacing w:before="98"/>
      </w:pPr>
      <w:r>
        <w:rPr/>
        <w:t>The</w:t>
      </w:r>
      <w:r>
        <w:rPr>
          <w:spacing w:val="34"/>
        </w:rPr>
        <w:t>  </w:t>
      </w:r>
      <w:r>
        <w:rPr/>
        <w:t>Uneasy</w:t>
      </w:r>
      <w:r>
        <w:rPr>
          <w:spacing w:val="35"/>
        </w:rPr>
        <w:t>  </w:t>
      </w:r>
      <w:r>
        <w:rPr>
          <w:spacing w:val="-2"/>
        </w:rPr>
        <w:t>Intersection</w:t>
      </w:r>
    </w:p>
    <w:p>
      <w:pPr>
        <w:pStyle w:val="BodyText"/>
        <w:spacing w:line="249" w:lineRule="auto" w:before="72"/>
        <w:ind w:right="1437" w:firstLine="432"/>
        <w:jc w:val="both"/>
      </w:pPr>
      <w:r>
        <w:rPr/>
        <w:t>Where coverture ends and fate begins is never entirely clear in Shakespeare’s plays. The two forces intertwine. When a woman defies the patriarchal order like when Isabella refuses to trade her chastity for her brother’s life, when Cordelia refuses Lear’s love-test, when Lady Macbeth incites her husband to murder. she is simultaneously violating legal or social norms and stepping outside the providentially ordained order of things. The ruin that follows can be read as both the consequence of patriarchal punishment and the working out of tragic necessity. This ambiguity is productive for feminist analysis: it allows us to see that Shakespeare</w:t>
      </w:r>
      <w:r>
        <w:rPr>
          <w:spacing w:val="-2"/>
        </w:rPr>
        <w:t> </w:t>
      </w:r>
      <w:r>
        <w:rPr/>
        <w:t>neither simply</w:t>
      </w:r>
      <w:r>
        <w:rPr>
          <w:spacing w:val="-2"/>
        </w:rPr>
        <w:t> </w:t>
      </w:r>
      <w:r>
        <w:rPr/>
        <w:t>endorses the patriarchal order nor straightforwardly</w:t>
      </w:r>
      <w:r>
        <w:rPr>
          <w:spacing w:val="-4"/>
        </w:rPr>
        <w:t> </w:t>
      </w:r>
      <w:r>
        <w:rPr/>
        <w:t>subverts</w:t>
      </w:r>
      <w:r>
        <w:rPr>
          <w:spacing w:val="-1"/>
        </w:rPr>
        <w:t> </w:t>
      </w:r>
      <w:r>
        <w:rPr/>
        <w:t>it.</w:t>
      </w:r>
      <w:r>
        <w:rPr>
          <w:spacing w:val="-1"/>
        </w:rPr>
        <w:t> </w:t>
      </w:r>
      <w:r>
        <w:rPr/>
        <w:t>Instead, he stages</w:t>
      </w:r>
      <w:r>
        <w:rPr>
          <w:spacing w:val="-3"/>
        </w:rPr>
        <w:t> </w:t>
      </w:r>
      <w:r>
        <w:rPr/>
        <w:t>the</w:t>
      </w:r>
      <w:r>
        <w:rPr>
          <w:spacing w:val="-1"/>
        </w:rPr>
        <w:t> </w:t>
      </w:r>
      <w:r>
        <w:rPr/>
        <w:t>tension</w:t>
      </w:r>
      <w:r>
        <w:rPr>
          <w:spacing w:val="-3"/>
        </w:rPr>
        <w:t> </w:t>
      </w:r>
      <w:r>
        <w:rPr/>
        <w:t>between law and agency, between fate and freedom, in ways that refuse easy </w:t>
      </w:r>
      <w:r>
        <w:rPr>
          <w:spacing w:val="-2"/>
        </w:rPr>
        <w:t>resolution.</w:t>
      </w:r>
    </w:p>
    <w:p>
      <w:pPr>
        <w:pStyle w:val="BodyText"/>
        <w:spacing w:line="249" w:lineRule="auto" w:before="71"/>
        <w:ind w:right="1438" w:firstLine="432"/>
        <w:jc w:val="both"/>
      </w:pPr>
      <w:r>
        <w:rPr/>
        <w:t>The</w:t>
      </w:r>
      <w:r>
        <w:rPr>
          <w:spacing w:val="-9"/>
        </w:rPr>
        <w:t> </w:t>
      </w:r>
      <w:r>
        <w:rPr/>
        <w:t>bed-trick</w:t>
      </w:r>
      <w:r>
        <w:rPr>
          <w:spacing w:val="34"/>
        </w:rPr>
        <w:t> </w:t>
      </w:r>
      <w:r>
        <w:rPr/>
        <w:t>in</w:t>
      </w:r>
      <w:r>
        <w:rPr>
          <w:spacing w:val="-9"/>
        </w:rPr>
        <w:t> </w:t>
      </w:r>
      <w:r>
        <w:rPr>
          <w:i/>
        </w:rPr>
        <w:t>Measure</w:t>
      </w:r>
      <w:r>
        <w:rPr>
          <w:i/>
          <w:spacing w:val="-7"/>
        </w:rPr>
        <w:t> </w:t>
      </w:r>
      <w:r>
        <w:rPr/>
        <w:t>for</w:t>
      </w:r>
      <w:r>
        <w:rPr>
          <w:spacing w:val="-6"/>
        </w:rPr>
        <w:t> </w:t>
      </w:r>
      <w:r>
        <w:rPr>
          <w:i/>
        </w:rPr>
        <w:t>Measure</w:t>
      </w:r>
      <w:r>
        <w:rPr>
          <w:i/>
          <w:spacing w:val="-7"/>
        </w:rPr>
        <w:t> </w:t>
      </w:r>
      <w:r>
        <w:rPr/>
        <w:t>exemplifies</w:t>
      </w:r>
      <w:r>
        <w:rPr>
          <w:spacing w:val="-8"/>
        </w:rPr>
        <w:t> </w:t>
      </w:r>
      <w:r>
        <w:rPr/>
        <w:t>this</w:t>
      </w:r>
      <w:r>
        <w:rPr>
          <w:spacing w:val="-8"/>
        </w:rPr>
        <w:t> </w:t>
      </w:r>
      <w:r>
        <w:rPr/>
        <w:t>ambiguity. Isabella, having refused to sleep with Angelo herself, agrees to the Duke’s plot to substitute Mariana in her place. An ecofeminist reading suggests</w:t>
      </w:r>
      <w:r>
        <w:rPr>
          <w:spacing w:val="-3"/>
        </w:rPr>
        <w:t> </w:t>
      </w:r>
      <w:r>
        <w:rPr/>
        <w:t>that</w:t>
      </w:r>
      <w:r>
        <w:rPr>
          <w:spacing w:val="40"/>
        </w:rPr>
        <w:t> </w:t>
      </w:r>
      <w:r>
        <w:rPr/>
        <w:t>Isabella’s</w:t>
      </w:r>
      <w:r>
        <w:rPr>
          <w:spacing w:val="40"/>
        </w:rPr>
        <w:t> </w:t>
      </w:r>
      <w:r>
        <w:rPr/>
        <w:t>and</w:t>
      </w:r>
      <w:r>
        <w:rPr>
          <w:spacing w:val="-1"/>
        </w:rPr>
        <w:t> </w:t>
      </w:r>
      <w:r>
        <w:rPr/>
        <w:t>Mariana’s</w:t>
      </w:r>
      <w:r>
        <w:rPr>
          <w:spacing w:val="-4"/>
        </w:rPr>
        <w:t> </w:t>
      </w:r>
      <w:r>
        <w:rPr/>
        <w:t>transformation</w:t>
      </w:r>
      <w:r>
        <w:rPr>
          <w:spacing w:val="-4"/>
        </w:rPr>
        <w:t> </w:t>
      </w:r>
      <w:r>
        <w:rPr/>
        <w:t>into</w:t>
      </w:r>
      <w:r>
        <w:rPr>
          <w:spacing w:val="-1"/>
        </w:rPr>
        <w:t> </w:t>
      </w:r>
      <w:r>
        <w:rPr/>
        <w:t>plant</w:t>
      </w:r>
      <w:r>
        <w:rPr>
          <w:spacing w:val="-3"/>
        </w:rPr>
        <w:t> </w:t>
      </w:r>
      <w:r>
        <w:rPr/>
        <w:t>matter creates female-horticultural bodies that can resist as women with autonomy over their sexualized bodies”. Yet the bed-trick is also a mechanism of patriarchal control: it is the Duke who orchestrates the substitution,</w:t>
      </w:r>
      <w:r>
        <w:rPr>
          <w:spacing w:val="-4"/>
        </w:rPr>
        <w:t> </w:t>
      </w:r>
      <w:r>
        <w:rPr/>
        <w:t>and</w:t>
      </w:r>
      <w:r>
        <w:rPr>
          <w:spacing w:val="-4"/>
        </w:rPr>
        <w:t> </w:t>
      </w:r>
      <w:r>
        <w:rPr/>
        <w:t>the</w:t>
      </w:r>
      <w:r>
        <w:rPr>
          <w:spacing w:val="-4"/>
        </w:rPr>
        <w:t> </w:t>
      </w:r>
      <w:r>
        <w:rPr/>
        <w:t>Duke</w:t>
      </w:r>
      <w:r>
        <w:rPr>
          <w:spacing w:val="-3"/>
        </w:rPr>
        <w:t> </w:t>
      </w:r>
      <w:r>
        <w:rPr/>
        <w:t>who</w:t>
      </w:r>
      <w:r>
        <w:rPr>
          <w:spacing w:val="-4"/>
        </w:rPr>
        <w:t> </w:t>
      </w:r>
      <w:r>
        <w:rPr/>
        <w:t>ultimately</w:t>
      </w:r>
      <w:r>
        <w:rPr>
          <w:spacing w:val="-6"/>
        </w:rPr>
        <w:t> </w:t>
      </w:r>
      <w:r>
        <w:rPr/>
        <w:t>proposes</w:t>
      </w:r>
      <w:r>
        <w:rPr>
          <w:spacing w:val="-4"/>
        </w:rPr>
        <w:t> </w:t>
      </w:r>
      <w:r>
        <w:rPr/>
        <w:t>marriage</w:t>
      </w:r>
      <w:r>
        <w:rPr>
          <w:spacing w:val="-5"/>
        </w:rPr>
        <w:t> </w:t>
      </w:r>
      <w:r>
        <w:rPr/>
        <w:t>to</w:t>
      </w:r>
      <w:r>
        <w:rPr>
          <w:spacing w:val="-1"/>
        </w:rPr>
        <w:t> </w:t>
      </w:r>
      <w:r>
        <w:rPr/>
        <w:t>Isabella in the final scene, a proposal to which she famously does not reply. Whether she accepts or not has been criticised for a long time and debated the significance of her silence. It also symbolises that her sexual agency remains circumscribed by male authority.</w:t>
      </w:r>
    </w:p>
    <w:p>
      <w:pPr>
        <w:pStyle w:val="BodyText"/>
        <w:spacing w:line="249" w:lineRule="auto" w:before="67"/>
        <w:ind w:right="1439" w:firstLine="432"/>
        <w:jc w:val="both"/>
      </w:pPr>
      <w:r>
        <w:rPr/>
        <w:t>The theoretical framework elaborated here informs the close analyses that follow. Each play will be examined through the lenses of coverture, fate, and female agency, attending to the specific ways Shakespeare stages the collision between women’s desires and the forces</w:t>
      </w:r>
      <w:r>
        <w:rPr>
          <w:spacing w:val="40"/>
        </w:rPr>
        <w:t> </w:t>
      </w:r>
      <w:r>
        <w:rPr/>
        <w:t>that</w:t>
      </w:r>
      <w:r>
        <w:rPr>
          <w:spacing w:val="40"/>
        </w:rPr>
        <w:t> </w:t>
      </w:r>
      <w:r>
        <w:rPr/>
        <w:t>oppose</w:t>
      </w:r>
      <w:r>
        <w:rPr>
          <w:spacing w:val="40"/>
        </w:rPr>
        <w:t> </w:t>
      </w:r>
      <w:r>
        <w:rPr/>
        <w:t>them.</w:t>
      </w:r>
    </w:p>
    <w:p>
      <w:pPr>
        <w:pStyle w:val="Heading3"/>
        <w:spacing w:before="158"/>
      </w:pPr>
      <w:r>
        <w:rPr>
          <w:spacing w:val="-2"/>
        </w:rPr>
        <w:t>ANALYSIS</w:t>
      </w:r>
    </w:p>
    <w:p>
      <w:pPr>
        <w:pStyle w:val="Heading5"/>
        <w:spacing w:before="125"/>
      </w:pPr>
      <w:r>
        <w:rPr/>
        <w:t>Measure</w:t>
      </w:r>
      <w:r>
        <w:rPr>
          <w:spacing w:val="70"/>
          <w:w w:val="150"/>
        </w:rPr>
        <w:t> </w:t>
      </w:r>
      <w:r>
        <w:rPr/>
        <w:t>for</w:t>
      </w:r>
      <w:r>
        <w:rPr>
          <w:spacing w:val="70"/>
          <w:w w:val="150"/>
        </w:rPr>
        <w:t> </w:t>
      </w:r>
      <w:r>
        <w:rPr/>
        <w:t>Measure:</w:t>
      </w:r>
      <w:r>
        <w:rPr>
          <w:spacing w:val="72"/>
          <w:w w:val="150"/>
        </w:rPr>
        <w:t> </w:t>
      </w:r>
      <w:r>
        <w:rPr/>
        <w:t>The</w:t>
      </w:r>
      <w:r>
        <w:rPr>
          <w:spacing w:val="75"/>
          <w:w w:val="150"/>
        </w:rPr>
        <w:t> </w:t>
      </w:r>
      <w:r>
        <w:rPr/>
        <w:t>Price</w:t>
      </w:r>
      <w:r>
        <w:rPr>
          <w:spacing w:val="71"/>
          <w:w w:val="150"/>
        </w:rPr>
        <w:t> </w:t>
      </w:r>
      <w:r>
        <w:rPr/>
        <w:t>of</w:t>
      </w:r>
      <w:r>
        <w:rPr>
          <w:spacing w:val="71"/>
          <w:w w:val="150"/>
        </w:rPr>
        <w:t> </w:t>
      </w:r>
      <w:r>
        <w:rPr>
          <w:spacing w:val="-2"/>
        </w:rPr>
        <w:t>Refusal</w:t>
      </w:r>
    </w:p>
    <w:p>
      <w:pPr>
        <w:pStyle w:val="BodyText"/>
        <w:spacing w:line="249" w:lineRule="auto" w:before="71"/>
        <w:ind w:right="1440" w:firstLine="432"/>
        <w:jc w:val="both"/>
      </w:pPr>
      <w:r>
        <w:rPr>
          <w:spacing w:val="-4"/>
        </w:rPr>
        <w:t>Measure</w:t>
      </w:r>
      <w:r>
        <w:rPr>
          <w:spacing w:val="-9"/>
        </w:rPr>
        <w:t> </w:t>
      </w:r>
      <w:r>
        <w:rPr>
          <w:spacing w:val="-4"/>
        </w:rPr>
        <w:t>for</w:t>
      </w:r>
      <w:r>
        <w:rPr>
          <w:spacing w:val="-8"/>
        </w:rPr>
        <w:t> </w:t>
      </w:r>
      <w:r>
        <w:rPr>
          <w:spacing w:val="-4"/>
        </w:rPr>
        <w:t>Measure</w:t>
      </w:r>
      <w:r>
        <w:rPr>
          <w:spacing w:val="-9"/>
        </w:rPr>
        <w:t> </w:t>
      </w:r>
      <w:r>
        <w:rPr>
          <w:spacing w:val="-4"/>
        </w:rPr>
        <w:t>presents</w:t>
      </w:r>
      <w:r>
        <w:rPr>
          <w:spacing w:val="-8"/>
        </w:rPr>
        <w:t> </w:t>
      </w:r>
      <w:r>
        <w:rPr>
          <w:spacing w:val="-4"/>
        </w:rPr>
        <w:t>a</w:t>
      </w:r>
      <w:r>
        <w:rPr>
          <w:spacing w:val="-9"/>
        </w:rPr>
        <w:t> </w:t>
      </w:r>
      <w:r>
        <w:rPr>
          <w:spacing w:val="-4"/>
        </w:rPr>
        <w:t>Vienna</w:t>
      </w:r>
      <w:r>
        <w:rPr>
          <w:spacing w:val="-8"/>
        </w:rPr>
        <w:t> </w:t>
      </w:r>
      <w:r>
        <w:rPr>
          <w:spacing w:val="-4"/>
        </w:rPr>
        <w:t>whose</w:t>
      </w:r>
      <w:r>
        <w:rPr>
          <w:spacing w:val="-9"/>
        </w:rPr>
        <w:t> </w:t>
      </w:r>
      <w:r>
        <w:rPr>
          <w:spacing w:val="-4"/>
        </w:rPr>
        <w:t>ruler,</w:t>
      </w:r>
      <w:r>
        <w:rPr>
          <w:spacing w:val="-8"/>
        </w:rPr>
        <w:t> </w:t>
      </w:r>
      <w:r>
        <w:rPr>
          <w:spacing w:val="-4"/>
        </w:rPr>
        <w:t>Duke</w:t>
      </w:r>
      <w:r>
        <w:rPr>
          <w:spacing w:val="-9"/>
        </w:rPr>
        <w:t> </w:t>
      </w:r>
      <w:r>
        <w:rPr>
          <w:spacing w:val="-4"/>
        </w:rPr>
        <w:t>Vincentio, </w:t>
      </w:r>
      <w:r>
        <w:rPr/>
        <w:t>has</w:t>
      </w:r>
      <w:r>
        <w:rPr>
          <w:spacing w:val="58"/>
        </w:rPr>
        <w:t> </w:t>
      </w:r>
      <w:r>
        <w:rPr/>
        <w:t>abandoned</w:t>
      </w:r>
      <w:r>
        <w:rPr>
          <w:spacing w:val="62"/>
        </w:rPr>
        <w:t> </w:t>
      </w:r>
      <w:r>
        <w:rPr/>
        <w:t>his</w:t>
      </w:r>
      <w:r>
        <w:rPr>
          <w:spacing w:val="59"/>
        </w:rPr>
        <w:t> </w:t>
      </w:r>
      <w:r>
        <w:rPr/>
        <w:t>post,</w:t>
      </w:r>
      <w:r>
        <w:rPr>
          <w:spacing w:val="62"/>
        </w:rPr>
        <w:t> </w:t>
      </w:r>
      <w:r>
        <w:rPr/>
        <w:t>leaving</w:t>
      </w:r>
      <w:r>
        <w:rPr>
          <w:spacing w:val="61"/>
        </w:rPr>
        <w:t> </w:t>
      </w:r>
      <w:r>
        <w:rPr/>
        <w:t>the</w:t>
      </w:r>
      <w:r>
        <w:rPr>
          <w:spacing w:val="61"/>
        </w:rPr>
        <w:t> </w:t>
      </w:r>
      <w:r>
        <w:rPr/>
        <w:t>puritanical</w:t>
      </w:r>
      <w:r>
        <w:rPr>
          <w:spacing w:val="61"/>
        </w:rPr>
        <w:t> </w:t>
      </w:r>
      <w:r>
        <w:rPr/>
        <w:t>deputy</w:t>
      </w:r>
      <w:r>
        <w:rPr>
          <w:spacing w:val="45"/>
        </w:rPr>
        <w:t> </w:t>
      </w:r>
      <w:r>
        <w:rPr/>
        <w:t>Angelo</w:t>
      </w:r>
      <w:r>
        <w:rPr>
          <w:spacing w:val="63"/>
        </w:rPr>
        <w:t> </w:t>
      </w:r>
      <w:r>
        <w:rPr>
          <w:spacing w:val="-5"/>
        </w:rPr>
        <w:t>to</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76096">
                <wp:simplePos x="0" y="0"/>
                <wp:positionH relativeFrom="page">
                  <wp:posOffset>2057400</wp:posOffset>
                </wp:positionH>
                <wp:positionV relativeFrom="paragraph">
                  <wp:posOffset>162604</wp:posOffset>
                </wp:positionV>
                <wp:extent cx="3657600" cy="12700"/>
                <wp:effectExtent l="0" t="0" r="0" b="0"/>
                <wp:wrapTopAndBottom/>
                <wp:docPr id="773" name="Graphic 773"/>
                <wp:cNvGraphicFramePr>
                  <a:graphicFrameLocks/>
                </wp:cNvGraphicFramePr>
                <a:graphic>
                  <a:graphicData uri="http://schemas.microsoft.com/office/word/2010/wordprocessingShape">
                    <wps:wsp>
                      <wps:cNvPr id="773" name="Graphic 77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40384;mso-wrap-distance-left:0;mso-wrap-distance-right:0" id="docshape765" filled="true" fillcolor="#000000" stroked="false">
                <v:fill type="solid"/>
                <w10:wrap type="topAndBottom"/>
              </v:rect>
            </w:pict>
          </mc:Fallback>
        </mc:AlternateContent>
      </w:r>
      <w:r>
        <w:rPr>
          <w:rFonts w:ascii="Verdana"/>
          <w:spacing w:val="-5"/>
          <w:sz w:val="18"/>
        </w:rPr>
        <w:t>392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jc w:val="both"/>
      </w:pPr>
      <w:r>
        <w:rPr/>
        <w:t>enforce</w:t>
      </w:r>
      <w:r>
        <w:rPr>
          <w:spacing w:val="-10"/>
        </w:rPr>
        <w:t> </w:t>
      </w:r>
      <w:r>
        <w:rPr/>
        <w:t>long-dormant</w:t>
      </w:r>
      <w:r>
        <w:rPr>
          <w:spacing w:val="-12"/>
        </w:rPr>
        <w:t> </w:t>
      </w:r>
      <w:r>
        <w:rPr/>
        <w:t>laws</w:t>
      </w:r>
      <w:r>
        <w:rPr>
          <w:spacing w:val="-11"/>
        </w:rPr>
        <w:t> </w:t>
      </w:r>
      <w:r>
        <w:rPr/>
        <w:t>against</w:t>
      </w:r>
      <w:r>
        <w:rPr>
          <w:spacing w:val="-12"/>
        </w:rPr>
        <w:t> </w:t>
      </w:r>
      <w:r>
        <w:rPr/>
        <w:t>fornication.</w:t>
      </w:r>
      <w:r>
        <w:rPr>
          <w:spacing w:val="-11"/>
        </w:rPr>
        <w:t> </w:t>
      </w:r>
      <w:r>
        <w:rPr/>
        <w:t>When</w:t>
      </w:r>
      <w:r>
        <w:rPr>
          <w:spacing w:val="-11"/>
        </w:rPr>
        <w:t> </w:t>
      </w:r>
      <w:r>
        <w:rPr/>
        <w:t>the</w:t>
      </w:r>
      <w:r>
        <w:rPr>
          <w:spacing w:val="-12"/>
        </w:rPr>
        <w:t> </w:t>
      </w:r>
      <w:r>
        <w:rPr/>
        <w:t>young</w:t>
      </w:r>
      <w:r>
        <w:rPr>
          <w:spacing w:val="-11"/>
        </w:rPr>
        <w:t> </w:t>
      </w:r>
      <w:r>
        <w:rPr/>
        <w:t>Claudio is sentenced to death for impregnating his betrothed, his sister Isabella who was a novice nun on the verge of taking her vows is forced to</w:t>
      </w:r>
      <w:r>
        <w:rPr>
          <w:spacing w:val="40"/>
        </w:rPr>
        <w:t> </w:t>
      </w:r>
      <w:r>
        <w:rPr/>
        <w:t>plead</w:t>
      </w:r>
      <w:r>
        <w:rPr>
          <w:spacing w:val="-4"/>
        </w:rPr>
        <w:t> </w:t>
      </w:r>
      <w:r>
        <w:rPr/>
        <w:t>with</w:t>
      </w:r>
      <w:r>
        <w:rPr>
          <w:spacing w:val="-13"/>
        </w:rPr>
        <w:t> </w:t>
      </w:r>
      <w:r>
        <w:rPr/>
        <w:t>Angelo</w:t>
      </w:r>
      <w:r>
        <w:rPr>
          <w:spacing w:val="-2"/>
        </w:rPr>
        <w:t> </w:t>
      </w:r>
      <w:r>
        <w:rPr/>
        <w:t>for his</w:t>
      </w:r>
      <w:r>
        <w:rPr>
          <w:spacing w:val="-2"/>
        </w:rPr>
        <w:t> </w:t>
      </w:r>
      <w:r>
        <w:rPr/>
        <w:t>life.</w:t>
      </w:r>
      <w:r>
        <w:rPr>
          <w:spacing w:val="-13"/>
        </w:rPr>
        <w:t> </w:t>
      </w:r>
      <w:r>
        <w:rPr/>
        <w:t>Angelo,</w:t>
      </w:r>
      <w:r>
        <w:rPr>
          <w:spacing w:val="-2"/>
        </w:rPr>
        <w:t> </w:t>
      </w:r>
      <w:r>
        <w:rPr/>
        <w:t>suddenly</w:t>
      </w:r>
      <w:r>
        <w:rPr>
          <w:spacing w:val="-6"/>
        </w:rPr>
        <w:t> </w:t>
      </w:r>
      <w:r>
        <w:rPr/>
        <w:t>seized</w:t>
      </w:r>
      <w:r>
        <w:rPr>
          <w:spacing w:val="-2"/>
        </w:rPr>
        <w:t> </w:t>
      </w:r>
      <w:r>
        <w:rPr/>
        <w:t>by</w:t>
      </w:r>
      <w:r>
        <w:rPr>
          <w:spacing w:val="-6"/>
        </w:rPr>
        <w:t> </w:t>
      </w:r>
      <w:r>
        <w:rPr/>
        <w:t>desire,</w:t>
      </w:r>
      <w:r>
        <w:rPr>
          <w:spacing w:val="-2"/>
        </w:rPr>
        <w:t> </w:t>
      </w:r>
      <w:r>
        <w:rPr/>
        <w:t>offers Isabella a proposition: surrender her virginity to him, and Claudio will be</w:t>
      </w:r>
      <w:r>
        <w:rPr>
          <w:spacing w:val="40"/>
        </w:rPr>
        <w:t> </w:t>
      </w:r>
      <w:r>
        <w:rPr/>
        <w:t>spared.</w:t>
      </w:r>
      <w:r>
        <w:rPr>
          <w:spacing w:val="40"/>
        </w:rPr>
        <w:t> </w:t>
      </w:r>
      <w:r>
        <w:rPr/>
        <w:t>She</w:t>
      </w:r>
      <w:r>
        <w:rPr>
          <w:spacing w:val="40"/>
        </w:rPr>
        <w:t> </w:t>
      </w:r>
      <w:r>
        <w:rPr/>
        <w:t>refuses</w:t>
      </w:r>
      <w:r>
        <w:rPr>
          <w:spacing w:val="40"/>
        </w:rPr>
        <w:t> </w:t>
      </w:r>
      <w:r>
        <w:rPr/>
        <w:t>in</w:t>
      </w:r>
      <w:r>
        <w:rPr>
          <w:spacing w:val="40"/>
        </w:rPr>
        <w:t> </w:t>
      </w:r>
      <w:r>
        <w:rPr/>
        <w:t>terms</w:t>
      </w:r>
      <w:r>
        <w:rPr>
          <w:spacing w:val="40"/>
        </w:rPr>
        <w:t> </w:t>
      </w:r>
      <w:r>
        <w:rPr/>
        <w:t>that</w:t>
      </w:r>
      <w:r>
        <w:rPr>
          <w:spacing w:val="40"/>
        </w:rPr>
        <w:t> </w:t>
      </w:r>
      <w:r>
        <w:rPr/>
        <w:t>have</w:t>
      </w:r>
      <w:r>
        <w:rPr>
          <w:spacing w:val="40"/>
        </w:rPr>
        <w:t> </w:t>
      </w:r>
      <w:r>
        <w:rPr/>
        <w:t>become</w:t>
      </w:r>
      <w:r>
        <w:rPr>
          <w:spacing w:val="40"/>
        </w:rPr>
        <w:t> </w:t>
      </w:r>
      <w:r>
        <w:rPr/>
        <w:t>iconic:</w:t>
      </w:r>
    </w:p>
    <w:p>
      <w:pPr>
        <w:spacing w:before="63"/>
        <w:ind w:left="2160" w:right="0" w:firstLine="0"/>
        <w:jc w:val="both"/>
        <w:rPr>
          <w:i/>
          <w:sz w:val="20"/>
        </w:rPr>
      </w:pPr>
      <w:r>
        <w:rPr>
          <w:i/>
          <w:sz w:val="20"/>
        </w:rPr>
        <w:t>“More</w:t>
      </w:r>
      <w:r>
        <w:rPr>
          <w:i/>
          <w:spacing w:val="10"/>
          <w:sz w:val="20"/>
        </w:rPr>
        <w:t> </w:t>
      </w:r>
      <w:r>
        <w:rPr>
          <w:i/>
          <w:sz w:val="20"/>
        </w:rPr>
        <w:t>than</w:t>
      </w:r>
      <w:r>
        <w:rPr>
          <w:i/>
          <w:spacing w:val="9"/>
          <w:sz w:val="20"/>
        </w:rPr>
        <w:t> </w:t>
      </w:r>
      <w:r>
        <w:rPr>
          <w:i/>
          <w:sz w:val="20"/>
        </w:rPr>
        <w:t>our</w:t>
      </w:r>
      <w:r>
        <w:rPr>
          <w:i/>
          <w:spacing w:val="8"/>
          <w:sz w:val="20"/>
        </w:rPr>
        <w:t> </w:t>
      </w:r>
      <w:r>
        <w:rPr>
          <w:i/>
          <w:sz w:val="20"/>
        </w:rPr>
        <w:t>brother</w:t>
      </w:r>
      <w:r>
        <w:rPr>
          <w:i/>
          <w:spacing w:val="5"/>
          <w:sz w:val="20"/>
        </w:rPr>
        <w:t> </w:t>
      </w:r>
      <w:r>
        <w:rPr>
          <w:i/>
          <w:sz w:val="20"/>
        </w:rPr>
        <w:t>is</w:t>
      </w:r>
      <w:r>
        <w:rPr>
          <w:i/>
          <w:spacing w:val="8"/>
          <w:sz w:val="20"/>
        </w:rPr>
        <w:t> </w:t>
      </w:r>
      <w:r>
        <w:rPr>
          <w:i/>
          <w:sz w:val="20"/>
        </w:rPr>
        <w:t>our</w:t>
      </w:r>
      <w:r>
        <w:rPr>
          <w:i/>
          <w:spacing w:val="7"/>
          <w:sz w:val="20"/>
        </w:rPr>
        <w:t> </w:t>
      </w:r>
      <w:r>
        <w:rPr>
          <w:i/>
          <w:sz w:val="20"/>
        </w:rPr>
        <w:t>chastity.”</w:t>
      </w:r>
      <w:r>
        <w:rPr>
          <w:i/>
          <w:spacing w:val="10"/>
          <w:sz w:val="20"/>
        </w:rPr>
        <w:t> </w:t>
      </w:r>
      <w:r>
        <w:rPr>
          <w:i/>
          <w:sz w:val="20"/>
        </w:rPr>
        <w:t>2.4.184–</w:t>
      </w:r>
      <w:r>
        <w:rPr>
          <w:i/>
          <w:spacing w:val="-5"/>
          <w:sz w:val="20"/>
        </w:rPr>
        <w:t>85</w:t>
      </w:r>
    </w:p>
    <w:p>
      <w:pPr>
        <w:pStyle w:val="BodyText"/>
        <w:spacing w:line="249" w:lineRule="auto" w:before="67"/>
        <w:ind w:right="1438" w:firstLine="432"/>
        <w:jc w:val="both"/>
      </w:pPr>
      <w:r>
        <w:rPr/>
        <w:t>Isabella’s refusal has generated intense critical debate. Some readings cast her as a proto-feminist heroine who refuses to trade her body for her brother’s life; others critique her as inflexible, cold, and </w:t>
      </w:r>
      <w:r>
        <w:rPr>
          <w:spacing w:val="-2"/>
        </w:rPr>
        <w:t>complicit</w:t>
      </w:r>
      <w:r>
        <w:rPr>
          <w:spacing w:val="-3"/>
        </w:rPr>
        <w:t> </w:t>
      </w:r>
      <w:r>
        <w:rPr>
          <w:spacing w:val="-2"/>
        </w:rPr>
        <w:t>in</w:t>
      </w:r>
      <w:r>
        <w:rPr>
          <w:spacing w:val="-3"/>
        </w:rPr>
        <w:t> </w:t>
      </w:r>
      <w:r>
        <w:rPr>
          <w:spacing w:val="-2"/>
        </w:rPr>
        <w:t>the</w:t>
      </w:r>
      <w:r>
        <w:rPr>
          <w:spacing w:val="-4"/>
        </w:rPr>
        <w:t> </w:t>
      </w:r>
      <w:r>
        <w:rPr>
          <w:spacing w:val="-2"/>
        </w:rPr>
        <w:t>very</w:t>
      </w:r>
      <w:r>
        <w:rPr>
          <w:spacing w:val="-7"/>
        </w:rPr>
        <w:t> </w:t>
      </w:r>
      <w:r>
        <w:rPr>
          <w:spacing w:val="-2"/>
        </w:rPr>
        <w:t>patriarchal ideologies</w:t>
      </w:r>
      <w:r>
        <w:rPr>
          <w:spacing w:val="-5"/>
        </w:rPr>
        <w:t> </w:t>
      </w:r>
      <w:r>
        <w:rPr>
          <w:spacing w:val="-2"/>
        </w:rPr>
        <w:t>that</w:t>
      </w:r>
      <w:r>
        <w:rPr>
          <w:spacing w:val="-5"/>
        </w:rPr>
        <w:t> </w:t>
      </w:r>
      <w:r>
        <w:rPr>
          <w:spacing w:val="-2"/>
        </w:rPr>
        <w:t>degrade women’s</w:t>
      </w:r>
      <w:r>
        <w:rPr>
          <w:spacing w:val="-5"/>
        </w:rPr>
        <w:t> </w:t>
      </w:r>
      <w:r>
        <w:rPr>
          <w:spacing w:val="-2"/>
        </w:rPr>
        <w:t>bodies. </w:t>
      </w:r>
      <w:r>
        <w:rPr/>
        <w:t>Virtue, in early modern terms, was not merely a personal quality but a social and legal status.</w:t>
      </w:r>
      <w:r>
        <w:rPr>
          <w:spacing w:val="-8"/>
        </w:rPr>
        <w:t> </w:t>
      </w:r>
      <w:r>
        <w:rPr/>
        <w:t>A</w:t>
      </w:r>
      <w:r>
        <w:rPr>
          <w:spacing w:val="-10"/>
        </w:rPr>
        <w:t> </w:t>
      </w:r>
      <w:r>
        <w:rPr/>
        <w:t>woman’s chastity was</w:t>
      </w:r>
      <w:r>
        <w:rPr>
          <w:spacing w:val="-1"/>
        </w:rPr>
        <w:t> </w:t>
      </w:r>
      <w:r>
        <w:rPr/>
        <w:t>her most valuable asset and in a cruel way it’s the only non-negotiable possession of hers that </w:t>
      </w:r>
      <w:r>
        <w:rPr>
          <w:spacing w:val="-2"/>
        </w:rPr>
        <w:t>solely</w:t>
      </w:r>
      <w:r>
        <w:rPr>
          <w:spacing w:val="-11"/>
        </w:rPr>
        <w:t> </w:t>
      </w:r>
      <w:r>
        <w:rPr>
          <w:spacing w:val="-2"/>
        </w:rPr>
        <w:t>belongs</w:t>
      </w:r>
      <w:r>
        <w:rPr>
          <w:spacing w:val="-10"/>
        </w:rPr>
        <w:t> </w:t>
      </w:r>
      <w:r>
        <w:rPr>
          <w:spacing w:val="-2"/>
        </w:rPr>
        <w:t>to</w:t>
      </w:r>
      <w:r>
        <w:rPr>
          <w:spacing w:val="-11"/>
        </w:rPr>
        <w:t> </w:t>
      </w:r>
      <w:r>
        <w:rPr>
          <w:spacing w:val="-2"/>
        </w:rPr>
        <w:t>her</w:t>
      </w:r>
      <w:r>
        <w:rPr>
          <w:spacing w:val="-10"/>
        </w:rPr>
        <w:t> </w:t>
      </w:r>
      <w:r>
        <w:rPr>
          <w:spacing w:val="-2"/>
        </w:rPr>
        <w:t>.</w:t>
      </w:r>
      <w:r>
        <w:rPr>
          <w:spacing w:val="-11"/>
        </w:rPr>
        <w:t> </w:t>
      </w:r>
      <w:r>
        <w:rPr>
          <w:spacing w:val="-2"/>
        </w:rPr>
        <w:t>it</w:t>
      </w:r>
      <w:r>
        <w:rPr>
          <w:spacing w:val="-7"/>
        </w:rPr>
        <w:t> </w:t>
      </w:r>
      <w:r>
        <w:rPr>
          <w:spacing w:val="-2"/>
        </w:rPr>
        <w:t>determined</w:t>
      </w:r>
      <w:r>
        <w:rPr>
          <w:spacing w:val="-8"/>
        </w:rPr>
        <w:t> </w:t>
      </w:r>
      <w:r>
        <w:rPr>
          <w:spacing w:val="-2"/>
        </w:rPr>
        <w:t>her</w:t>
      </w:r>
      <w:r>
        <w:rPr>
          <w:spacing w:val="-6"/>
        </w:rPr>
        <w:t> </w:t>
      </w:r>
      <w:r>
        <w:rPr>
          <w:spacing w:val="-2"/>
        </w:rPr>
        <w:t>marriageability</w:t>
      </w:r>
      <w:r>
        <w:rPr>
          <w:spacing w:val="-11"/>
        </w:rPr>
        <w:t> </w:t>
      </w:r>
      <w:r>
        <w:rPr>
          <w:spacing w:val="-2"/>
        </w:rPr>
        <w:t>and,</w:t>
      </w:r>
      <w:r>
        <w:rPr>
          <w:spacing w:val="-8"/>
        </w:rPr>
        <w:t> </w:t>
      </w:r>
      <w:r>
        <w:rPr>
          <w:spacing w:val="-2"/>
        </w:rPr>
        <w:t>by</w:t>
      </w:r>
      <w:r>
        <w:rPr>
          <w:spacing w:val="-11"/>
        </w:rPr>
        <w:t> </w:t>
      </w:r>
      <w:r>
        <w:rPr>
          <w:spacing w:val="-2"/>
        </w:rPr>
        <w:t>extension, </w:t>
      </w:r>
      <w:r>
        <w:rPr/>
        <w:t>her place in the social order. Isabella’s refusal to sacrifice her chastity</w:t>
      </w:r>
      <w:r>
        <w:rPr>
          <w:spacing w:val="40"/>
        </w:rPr>
        <w:t> </w:t>
      </w:r>
      <w:r>
        <w:rPr/>
        <w:t>is a loss of her image in society. playing into the structural patriarchy which</w:t>
      </w:r>
      <w:r>
        <w:rPr>
          <w:spacing w:val="-3"/>
        </w:rPr>
        <w:t> </w:t>
      </w:r>
      <w:r>
        <w:rPr/>
        <w:t>demands</w:t>
      </w:r>
      <w:r>
        <w:rPr>
          <w:spacing w:val="-1"/>
        </w:rPr>
        <w:t> </w:t>
      </w:r>
      <w:r>
        <w:rPr/>
        <w:t>chastity</w:t>
      </w:r>
      <w:r>
        <w:rPr>
          <w:spacing w:val="-5"/>
        </w:rPr>
        <w:t> </w:t>
      </w:r>
      <w:r>
        <w:rPr/>
        <w:t>from</w:t>
      </w:r>
      <w:r>
        <w:rPr>
          <w:spacing w:val="-6"/>
        </w:rPr>
        <w:t> </w:t>
      </w:r>
      <w:r>
        <w:rPr/>
        <w:t>women</w:t>
      </w:r>
      <w:r>
        <w:rPr>
          <w:spacing w:val="-1"/>
        </w:rPr>
        <w:t> </w:t>
      </w:r>
      <w:r>
        <w:rPr/>
        <w:t>,</w:t>
      </w:r>
      <w:r>
        <w:rPr>
          <w:spacing w:val="40"/>
        </w:rPr>
        <w:t> </w:t>
      </w:r>
      <w:r>
        <w:rPr/>
        <w:t>She is</w:t>
      </w:r>
      <w:r>
        <w:rPr>
          <w:spacing w:val="-1"/>
        </w:rPr>
        <w:t> </w:t>
      </w:r>
      <w:r>
        <w:rPr/>
        <w:t>considered</w:t>
      </w:r>
      <w:r>
        <w:rPr>
          <w:spacing w:val="-1"/>
        </w:rPr>
        <w:t> </w:t>
      </w:r>
      <w:r>
        <w:rPr/>
        <w:t>a</w:t>
      </w:r>
      <w:r>
        <w:rPr>
          <w:spacing w:val="-2"/>
        </w:rPr>
        <w:t> </w:t>
      </w:r>
      <w:r>
        <w:rPr/>
        <w:t>loser. In</w:t>
      </w:r>
      <w:r>
        <w:rPr>
          <w:spacing w:val="-3"/>
        </w:rPr>
        <w:t> </w:t>
      </w:r>
      <w:r>
        <w:rPr/>
        <w:t>the end</w:t>
      </w:r>
      <w:r>
        <w:rPr>
          <w:spacing w:val="-13"/>
        </w:rPr>
        <w:t> </w:t>
      </w:r>
      <w:r>
        <w:rPr/>
        <w:t>she</w:t>
      </w:r>
      <w:r>
        <w:rPr>
          <w:spacing w:val="-12"/>
        </w:rPr>
        <w:t> </w:t>
      </w:r>
      <w:r>
        <w:rPr/>
        <w:t>yields,</w:t>
      </w:r>
      <w:r>
        <w:rPr>
          <w:spacing w:val="-12"/>
        </w:rPr>
        <w:t> </w:t>
      </w:r>
      <w:r>
        <w:rPr/>
        <w:t>she</w:t>
      </w:r>
      <w:r>
        <w:rPr>
          <w:spacing w:val="-11"/>
        </w:rPr>
        <w:t> </w:t>
      </w:r>
      <w:r>
        <w:rPr/>
        <w:t>becomes</w:t>
      </w:r>
      <w:r>
        <w:rPr>
          <w:spacing w:val="-13"/>
        </w:rPr>
        <w:t> </w:t>
      </w:r>
      <w:r>
        <w:rPr/>
        <w:t>a</w:t>
      </w:r>
      <w:r>
        <w:rPr>
          <w:spacing w:val="-12"/>
        </w:rPr>
        <w:t> </w:t>
      </w:r>
      <w:r>
        <w:rPr/>
        <w:t>fallen</w:t>
      </w:r>
      <w:r>
        <w:rPr>
          <w:spacing w:val="-13"/>
        </w:rPr>
        <w:t> </w:t>
      </w:r>
      <w:r>
        <w:rPr/>
        <w:t>woman;</w:t>
      </w:r>
      <w:r>
        <w:rPr>
          <w:spacing w:val="-12"/>
        </w:rPr>
        <w:t> </w:t>
      </w:r>
      <w:r>
        <w:rPr/>
        <w:t>if</w:t>
      </w:r>
      <w:r>
        <w:rPr>
          <w:spacing w:val="-13"/>
        </w:rPr>
        <w:t> </w:t>
      </w:r>
      <w:r>
        <w:rPr/>
        <w:t>she</w:t>
      </w:r>
      <w:r>
        <w:rPr>
          <w:spacing w:val="-12"/>
        </w:rPr>
        <w:t> </w:t>
      </w:r>
      <w:r>
        <w:rPr/>
        <w:t>refuses,</w:t>
      </w:r>
      <w:r>
        <w:rPr>
          <w:spacing w:val="-12"/>
        </w:rPr>
        <w:t> </w:t>
      </w:r>
      <w:r>
        <w:rPr/>
        <w:t>she</w:t>
      </w:r>
      <w:r>
        <w:rPr>
          <w:spacing w:val="-11"/>
        </w:rPr>
        <w:t> </w:t>
      </w:r>
      <w:r>
        <w:rPr/>
        <w:t>sacrifices her brother and remains subject to patriarchal expectations of female purity.</w:t>
      </w:r>
      <w:r>
        <w:rPr>
          <w:spacing w:val="-4"/>
        </w:rPr>
        <w:t> </w:t>
      </w:r>
      <w:r>
        <w:rPr/>
        <w:t>This</w:t>
      </w:r>
      <w:r>
        <w:rPr>
          <w:spacing w:val="-6"/>
        </w:rPr>
        <w:t> </w:t>
      </w:r>
      <w:r>
        <w:rPr/>
        <w:t>also</w:t>
      </w:r>
      <w:r>
        <w:rPr>
          <w:spacing w:val="-3"/>
        </w:rPr>
        <w:t> </w:t>
      </w:r>
      <w:r>
        <w:rPr/>
        <w:t>places</w:t>
      </w:r>
      <w:r>
        <w:rPr>
          <w:spacing w:val="-4"/>
        </w:rPr>
        <w:t> </w:t>
      </w:r>
      <w:r>
        <w:rPr/>
        <w:t>a</w:t>
      </w:r>
      <w:r>
        <w:rPr>
          <w:spacing w:val="-5"/>
        </w:rPr>
        <w:t> </w:t>
      </w:r>
      <w:r>
        <w:rPr/>
        <w:t>burden</w:t>
      </w:r>
      <w:r>
        <w:rPr>
          <w:spacing w:val="-4"/>
        </w:rPr>
        <w:t> </w:t>
      </w:r>
      <w:r>
        <w:rPr/>
        <w:t>of</w:t>
      </w:r>
      <w:r>
        <w:rPr>
          <w:spacing w:val="-4"/>
        </w:rPr>
        <w:t> </w:t>
      </w:r>
      <w:r>
        <w:rPr/>
        <w:t>filial</w:t>
      </w:r>
      <w:r>
        <w:rPr>
          <w:spacing w:val="-6"/>
        </w:rPr>
        <w:t> </w:t>
      </w:r>
      <w:r>
        <w:rPr/>
        <w:t>pity</w:t>
      </w:r>
      <w:r>
        <w:rPr>
          <w:spacing w:val="-6"/>
        </w:rPr>
        <w:t> </w:t>
      </w:r>
      <w:r>
        <w:rPr/>
        <w:t>on</w:t>
      </w:r>
      <w:r>
        <w:rPr>
          <w:spacing w:val="-4"/>
        </w:rPr>
        <w:t> </w:t>
      </w:r>
      <w:r>
        <w:rPr/>
        <w:t>her</w:t>
      </w:r>
      <w:r>
        <w:rPr>
          <w:spacing w:val="-6"/>
        </w:rPr>
        <w:t> </w:t>
      </w:r>
      <w:r>
        <w:rPr/>
        <w:t>.</w:t>
      </w:r>
      <w:r>
        <w:rPr>
          <w:spacing w:val="-3"/>
        </w:rPr>
        <w:t> </w:t>
      </w:r>
      <w:r>
        <w:rPr/>
        <w:t>It’s</w:t>
      </w:r>
      <w:r>
        <w:rPr>
          <w:spacing w:val="-4"/>
        </w:rPr>
        <w:t> </w:t>
      </w:r>
      <w:r>
        <w:rPr/>
        <w:t>also</w:t>
      </w:r>
      <w:r>
        <w:rPr>
          <w:spacing w:val="-3"/>
        </w:rPr>
        <w:t> </w:t>
      </w:r>
      <w:r>
        <w:rPr/>
        <w:t>a</w:t>
      </w:r>
      <w:r>
        <w:rPr>
          <w:spacing w:val="-4"/>
        </w:rPr>
        <w:t> </w:t>
      </w:r>
      <w:r>
        <w:rPr/>
        <w:t>struggle between</w:t>
      </w:r>
      <w:r>
        <w:rPr>
          <w:spacing w:val="40"/>
        </w:rPr>
        <w:t> </w:t>
      </w:r>
      <w:r>
        <w:rPr/>
        <w:t>choosing</w:t>
      </w:r>
      <w:r>
        <w:rPr>
          <w:spacing w:val="80"/>
        </w:rPr>
        <w:t> </w:t>
      </w:r>
      <w:r>
        <w:rPr/>
        <w:t>herself</w:t>
      </w:r>
      <w:r>
        <w:rPr>
          <w:spacing w:val="40"/>
        </w:rPr>
        <w:t> </w:t>
      </w:r>
      <w:r>
        <w:rPr/>
        <w:t>and</w:t>
      </w:r>
      <w:r>
        <w:rPr>
          <w:spacing w:val="40"/>
        </w:rPr>
        <w:t> </w:t>
      </w:r>
      <w:r>
        <w:rPr/>
        <w:t>her</w:t>
      </w:r>
      <w:r>
        <w:rPr>
          <w:spacing w:val="40"/>
        </w:rPr>
        <w:t> </w:t>
      </w:r>
      <w:r>
        <w:rPr/>
        <w:t>family</w:t>
      </w:r>
    </w:p>
    <w:p>
      <w:pPr>
        <w:pStyle w:val="BodyText"/>
        <w:spacing w:line="249" w:lineRule="auto" w:before="73"/>
        <w:ind w:right="1439" w:firstLine="432"/>
        <w:jc w:val="both"/>
      </w:pPr>
      <w:r>
        <w:rPr/>
        <w:t>The play’s resolute</w:t>
      </w:r>
      <w:r>
        <w:rPr>
          <w:spacing w:val="40"/>
        </w:rPr>
        <w:t> </w:t>
      </w:r>
      <w:r>
        <w:rPr/>
        <w:t>to the bed-trick by which Mariana takes Isabella’s place in Angelo’s bed. When the</w:t>
      </w:r>
      <w:r>
        <w:rPr>
          <w:spacing w:val="40"/>
        </w:rPr>
        <w:t> </w:t>
      </w:r>
      <w:r>
        <w:rPr/>
        <w:t>Duke returned after dispensation</w:t>
      </w:r>
      <w:r>
        <w:rPr>
          <w:spacing w:val="-4"/>
        </w:rPr>
        <w:t> </w:t>
      </w:r>
      <w:r>
        <w:rPr/>
        <w:t>of</w:t>
      </w:r>
      <w:r>
        <w:rPr>
          <w:spacing w:val="-4"/>
        </w:rPr>
        <w:t> </w:t>
      </w:r>
      <w:r>
        <w:rPr/>
        <w:t>justice,</w:t>
      </w:r>
      <w:r>
        <w:rPr>
          <w:spacing w:val="-6"/>
        </w:rPr>
        <w:t> </w:t>
      </w:r>
      <w:r>
        <w:rPr/>
        <w:t>the</w:t>
      </w:r>
      <w:r>
        <w:rPr>
          <w:spacing w:val="-4"/>
        </w:rPr>
        <w:t> </w:t>
      </w:r>
      <w:r>
        <w:rPr/>
        <w:t>marriage</w:t>
      </w:r>
      <w:r>
        <w:rPr>
          <w:spacing w:val="-3"/>
        </w:rPr>
        <w:t> </w:t>
      </w:r>
      <w:r>
        <w:rPr/>
        <w:t>proposal</w:t>
      </w:r>
      <w:r>
        <w:rPr>
          <w:spacing w:val="-2"/>
        </w:rPr>
        <w:t> </w:t>
      </w:r>
      <w:r>
        <w:rPr/>
        <w:t>to Isabella</w:t>
      </w:r>
      <w:r>
        <w:rPr>
          <w:spacing w:val="-5"/>
        </w:rPr>
        <w:t> </w:t>
      </w:r>
      <w:r>
        <w:rPr/>
        <w:t>did not</w:t>
      </w:r>
      <w:r>
        <w:rPr>
          <w:spacing w:val="-4"/>
        </w:rPr>
        <w:t> </w:t>
      </w:r>
      <w:r>
        <w:rPr/>
        <w:t>resolve these tensions. Mariana, having</w:t>
      </w:r>
      <w:r>
        <w:rPr>
          <w:spacing w:val="-2"/>
        </w:rPr>
        <w:t> </w:t>
      </w:r>
      <w:r>
        <w:rPr/>
        <w:t>been deflowered by</w:t>
      </w:r>
      <w:r>
        <w:rPr>
          <w:spacing w:val="-13"/>
        </w:rPr>
        <w:t> </w:t>
      </w:r>
      <w:r>
        <w:rPr/>
        <w:t>Angelo under false pretenses, then becomes his wife in the play’s conclusion; her sexual history is erased by marriage, thus her actions are then considered as</w:t>
      </w:r>
      <w:r>
        <w:rPr>
          <w:spacing w:val="40"/>
        </w:rPr>
        <w:t> </w:t>
      </w:r>
      <w:r>
        <w:rPr/>
        <w:t>the</w:t>
      </w:r>
      <w:r>
        <w:rPr>
          <w:spacing w:val="-13"/>
        </w:rPr>
        <w:t> </w:t>
      </w:r>
      <w:r>
        <w:rPr/>
        <w:t>ultimate</w:t>
      </w:r>
      <w:r>
        <w:rPr>
          <w:spacing w:val="-12"/>
        </w:rPr>
        <w:t> </w:t>
      </w:r>
      <w:r>
        <w:rPr/>
        <w:t>patriarchal</w:t>
      </w:r>
      <w:r>
        <w:rPr>
          <w:spacing w:val="-13"/>
        </w:rPr>
        <w:t> </w:t>
      </w:r>
      <w:r>
        <w:rPr/>
        <w:t>rehabilitation.</w:t>
      </w:r>
      <w:r>
        <w:rPr>
          <w:spacing w:val="-12"/>
        </w:rPr>
        <w:t> </w:t>
      </w:r>
      <w:r>
        <w:rPr/>
        <w:t>Isabella,</w:t>
      </w:r>
      <w:r>
        <w:rPr>
          <w:spacing w:val="-13"/>
        </w:rPr>
        <w:t> </w:t>
      </w:r>
      <w:r>
        <w:rPr/>
        <w:t>on</w:t>
      </w:r>
      <w:r>
        <w:rPr>
          <w:spacing w:val="-12"/>
        </w:rPr>
        <w:t> </w:t>
      </w:r>
      <w:r>
        <w:rPr/>
        <w:t>other</w:t>
      </w:r>
      <w:r>
        <w:rPr>
          <w:spacing w:val="-13"/>
        </w:rPr>
        <w:t> </w:t>
      </w:r>
      <w:r>
        <w:rPr/>
        <w:t>hand</w:t>
      </w:r>
      <w:r>
        <w:rPr>
          <w:spacing w:val="22"/>
        </w:rPr>
        <w:t> </w:t>
      </w:r>
      <w:r>
        <w:rPr/>
        <w:t>disappears from the stage at the end without responding to the Duke’s proposal. “There</w:t>
      </w:r>
      <w:r>
        <w:rPr>
          <w:spacing w:val="-5"/>
        </w:rPr>
        <w:t> </w:t>
      </w:r>
      <w:r>
        <w:rPr/>
        <w:t>is</w:t>
      </w:r>
      <w:r>
        <w:rPr>
          <w:spacing w:val="-4"/>
        </w:rPr>
        <w:t> </w:t>
      </w:r>
      <w:r>
        <w:rPr/>
        <w:t>an</w:t>
      </w:r>
      <w:r>
        <w:rPr>
          <w:spacing w:val="-6"/>
        </w:rPr>
        <w:t> </w:t>
      </w:r>
      <w:r>
        <w:rPr/>
        <w:t>absence</w:t>
      </w:r>
      <w:r>
        <w:rPr>
          <w:spacing w:val="-5"/>
        </w:rPr>
        <w:t> </w:t>
      </w:r>
      <w:r>
        <w:rPr/>
        <w:t>of</w:t>
      </w:r>
      <w:r>
        <w:rPr>
          <w:spacing w:val="-6"/>
        </w:rPr>
        <w:t> </w:t>
      </w:r>
      <w:r>
        <w:rPr/>
        <w:t>women’s</w:t>
      </w:r>
      <w:r>
        <w:rPr>
          <w:spacing w:val="-5"/>
        </w:rPr>
        <w:t> </w:t>
      </w:r>
      <w:r>
        <w:rPr/>
        <w:t>measure</w:t>
      </w:r>
      <w:r>
        <w:rPr>
          <w:spacing w:val="-5"/>
        </w:rPr>
        <w:t> </w:t>
      </w:r>
      <w:r>
        <w:rPr/>
        <w:t>for</w:t>
      </w:r>
      <w:r>
        <w:rPr>
          <w:spacing w:val="-2"/>
        </w:rPr>
        <w:t> </w:t>
      </w:r>
      <w:r>
        <w:rPr/>
        <w:t>men’s</w:t>
      </w:r>
      <w:r>
        <w:rPr>
          <w:spacing w:val="-6"/>
        </w:rPr>
        <w:t> </w:t>
      </w:r>
      <w:r>
        <w:rPr/>
        <w:t>measure,</w:t>
      </w:r>
      <w:r>
        <w:rPr>
          <w:spacing w:val="-4"/>
        </w:rPr>
        <w:t> </w:t>
      </w:r>
      <w:r>
        <w:rPr/>
        <w:t>after</w:t>
      </w:r>
      <w:r>
        <w:rPr>
          <w:spacing w:val="-4"/>
        </w:rPr>
        <w:t> </w:t>
      </w:r>
      <w:r>
        <w:rPr>
          <w:spacing w:val="-2"/>
        </w:rPr>
        <w:t>all”.</w:t>
      </w:r>
    </w:p>
    <w:p>
      <w:pPr>
        <w:pStyle w:val="BodyText"/>
        <w:spacing w:line="249" w:lineRule="auto" w:before="65"/>
        <w:ind w:right="1438" w:firstLine="432"/>
        <w:jc w:val="both"/>
      </w:pPr>
      <w:r>
        <w:rPr/>
        <w:t>Fate in </w:t>
      </w:r>
      <w:r>
        <w:rPr>
          <w:i/>
        </w:rPr>
        <w:t>Measure for Measure </w:t>
      </w:r>
      <w:r>
        <w:rPr/>
        <w:t>operates through disguised machinations.</w:t>
      </w:r>
      <w:r>
        <w:rPr>
          <w:spacing w:val="-8"/>
        </w:rPr>
        <w:t> </w:t>
      </w:r>
      <w:r>
        <w:rPr/>
        <w:t>The</w:t>
      </w:r>
      <w:r>
        <w:rPr>
          <w:spacing w:val="-7"/>
        </w:rPr>
        <w:t> </w:t>
      </w:r>
      <w:r>
        <w:rPr/>
        <w:t>female</w:t>
      </w:r>
      <w:r>
        <w:rPr>
          <w:spacing w:val="-7"/>
        </w:rPr>
        <w:t> </w:t>
      </w:r>
      <w:r>
        <w:rPr/>
        <w:t>agency</w:t>
      </w:r>
      <w:r>
        <w:rPr>
          <w:spacing w:val="-12"/>
        </w:rPr>
        <w:t> </w:t>
      </w:r>
      <w:r>
        <w:rPr/>
        <w:t>here</w:t>
      </w:r>
      <w:r>
        <w:rPr>
          <w:spacing w:val="-7"/>
        </w:rPr>
        <w:t> </w:t>
      </w:r>
      <w:r>
        <w:rPr/>
        <w:t>,</w:t>
      </w:r>
      <w:r>
        <w:rPr>
          <w:spacing w:val="-7"/>
        </w:rPr>
        <w:t> </w:t>
      </w:r>
      <w:r>
        <w:rPr/>
        <w:t>disguised</w:t>
      </w:r>
      <w:r>
        <w:rPr>
          <w:spacing w:val="-7"/>
        </w:rPr>
        <w:t> </w:t>
      </w:r>
      <w:r>
        <w:rPr/>
        <w:t>as</w:t>
      </w:r>
      <w:r>
        <w:rPr>
          <w:spacing w:val="-7"/>
        </w:rPr>
        <w:t> </w:t>
      </w:r>
      <w:r>
        <w:rPr/>
        <w:t>a</w:t>
      </w:r>
      <w:r>
        <w:rPr>
          <w:spacing w:val="-7"/>
        </w:rPr>
        <w:t> </w:t>
      </w:r>
      <w:r>
        <w:rPr/>
        <w:t>friar,</w:t>
      </w:r>
      <w:r>
        <w:rPr>
          <w:spacing w:val="-7"/>
        </w:rPr>
        <w:t> </w:t>
      </w:r>
      <w:r>
        <w:rPr/>
        <w:t>orchestrates the bed-trick, manages the timing of</w:t>
      </w:r>
      <w:r>
        <w:rPr>
          <w:spacing w:val="-6"/>
        </w:rPr>
        <w:t> </w:t>
      </w:r>
      <w:r>
        <w:rPr/>
        <w:t>Angelo’s exposure, and stages the final</w:t>
      </w:r>
      <w:r>
        <w:rPr>
          <w:spacing w:val="-3"/>
        </w:rPr>
        <w:t> </w:t>
      </w:r>
      <w:r>
        <w:rPr/>
        <w:t>act</w:t>
      </w:r>
      <w:r>
        <w:rPr>
          <w:spacing w:val="-3"/>
        </w:rPr>
        <w:t> </w:t>
      </w:r>
      <w:r>
        <w:rPr/>
        <w:t>of</w:t>
      </w:r>
      <w:r>
        <w:rPr>
          <w:spacing w:val="-4"/>
        </w:rPr>
        <w:t> </w:t>
      </w:r>
      <w:r>
        <w:rPr/>
        <w:t>judgment.</w:t>
      </w:r>
      <w:r>
        <w:rPr>
          <w:spacing w:val="-3"/>
        </w:rPr>
        <w:t> </w:t>
      </w:r>
      <w:r>
        <w:rPr/>
        <w:t>Fate</w:t>
      </w:r>
      <w:r>
        <w:rPr>
          <w:spacing w:val="-2"/>
        </w:rPr>
        <w:t> </w:t>
      </w:r>
      <w:r>
        <w:rPr/>
        <w:t>is,</w:t>
      </w:r>
      <w:r>
        <w:rPr>
          <w:spacing w:val="-4"/>
        </w:rPr>
        <w:t> </w:t>
      </w:r>
      <w:r>
        <w:rPr/>
        <w:t>in</w:t>
      </w:r>
      <w:r>
        <w:rPr>
          <w:spacing w:val="-4"/>
        </w:rPr>
        <w:t> </w:t>
      </w:r>
      <w:r>
        <w:rPr/>
        <w:t>effect,</w:t>
      </w:r>
      <w:r>
        <w:rPr>
          <w:spacing w:val="-3"/>
        </w:rPr>
        <w:t> </w:t>
      </w:r>
      <w:r>
        <w:rPr/>
        <w:t>the</w:t>
      </w:r>
      <w:r>
        <w:rPr>
          <w:spacing w:val="-3"/>
        </w:rPr>
        <w:t> </w:t>
      </w:r>
      <w:r>
        <w:rPr/>
        <w:t>play’s</w:t>
      </w:r>
      <w:r>
        <w:rPr>
          <w:spacing w:val="-4"/>
        </w:rPr>
        <w:t> </w:t>
      </w:r>
      <w:r>
        <w:rPr/>
        <w:t>master</w:t>
      </w:r>
      <w:r>
        <w:rPr>
          <w:spacing w:val="-1"/>
        </w:rPr>
        <w:t> </w:t>
      </w:r>
      <w:r>
        <w:rPr/>
        <w:t>of</w:t>
      </w:r>
      <w:r>
        <w:rPr>
          <w:spacing w:val="-4"/>
        </w:rPr>
        <w:t> </w:t>
      </w:r>
      <w:r>
        <w:rPr/>
        <w:t>ceremonies, the manipulator of fortune. Yet his control is not absolute; the play’s dark, problematique quality derives precisely from the fact that his solutions and the substitutions and forced marriages do not genuinely restore</w:t>
      </w:r>
      <w:r>
        <w:rPr>
          <w:spacing w:val="32"/>
        </w:rPr>
        <w:t> </w:t>
      </w:r>
      <w:r>
        <w:rPr/>
        <w:t>justice.</w:t>
      </w:r>
      <w:r>
        <w:rPr>
          <w:spacing w:val="33"/>
        </w:rPr>
        <w:t> </w:t>
      </w:r>
      <w:r>
        <w:rPr/>
        <w:t>For</w:t>
      </w:r>
      <w:r>
        <w:rPr>
          <w:spacing w:val="34"/>
        </w:rPr>
        <w:t> </w:t>
      </w:r>
      <w:r>
        <w:rPr/>
        <w:t>the</w:t>
      </w:r>
      <w:r>
        <w:rPr>
          <w:spacing w:val="33"/>
        </w:rPr>
        <w:t> </w:t>
      </w:r>
      <w:r>
        <w:rPr/>
        <w:t>women,</w:t>
      </w:r>
      <w:r>
        <w:rPr>
          <w:spacing w:val="33"/>
        </w:rPr>
        <w:t> </w:t>
      </w:r>
      <w:r>
        <w:rPr/>
        <w:t>fate</w:t>
      </w:r>
      <w:r>
        <w:rPr>
          <w:spacing w:val="33"/>
        </w:rPr>
        <w:t> </w:t>
      </w:r>
      <w:r>
        <w:rPr/>
        <w:t>is</w:t>
      </w:r>
      <w:r>
        <w:rPr>
          <w:spacing w:val="33"/>
        </w:rPr>
        <w:t> </w:t>
      </w:r>
      <w:r>
        <w:rPr/>
        <w:t>what</w:t>
      </w:r>
      <w:r>
        <w:rPr>
          <w:spacing w:val="31"/>
        </w:rPr>
        <w:t> </w:t>
      </w:r>
      <w:r>
        <w:rPr/>
        <w:t>the</w:t>
      </w:r>
      <w:r>
        <w:rPr>
          <w:spacing w:val="33"/>
        </w:rPr>
        <w:t> </w:t>
      </w:r>
      <w:r>
        <w:rPr/>
        <w:t>man</w:t>
      </w:r>
      <w:r>
        <w:rPr>
          <w:spacing w:val="31"/>
        </w:rPr>
        <w:t> </w:t>
      </w:r>
      <w:r>
        <w:rPr/>
        <w:t>make</w:t>
      </w:r>
      <w:r>
        <w:rPr>
          <w:spacing w:val="34"/>
        </w:rPr>
        <w:t> </w:t>
      </w:r>
      <w:r>
        <w:rPr/>
        <w:t>of</w:t>
      </w:r>
      <w:r>
        <w:rPr>
          <w:spacing w:val="32"/>
        </w:rPr>
        <w:t> </w:t>
      </w:r>
      <w:r>
        <w:rPr>
          <w:spacing w:val="-2"/>
        </w:rPr>
        <w:t>them.</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1" w:val="left" w:leader="none"/>
        </w:tabs>
        <w:spacing w:before="0"/>
        <w:ind w:left="0" w:right="2"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76608">
                <wp:simplePos x="0" y="0"/>
                <wp:positionH relativeFrom="page">
                  <wp:posOffset>2065020</wp:posOffset>
                </wp:positionH>
                <wp:positionV relativeFrom="paragraph">
                  <wp:posOffset>162604</wp:posOffset>
                </wp:positionV>
                <wp:extent cx="3657600" cy="12700"/>
                <wp:effectExtent l="0" t="0" r="0" b="0"/>
                <wp:wrapTopAndBottom/>
                <wp:docPr id="774" name="Graphic 774"/>
                <wp:cNvGraphicFramePr>
                  <a:graphicFrameLocks/>
                </wp:cNvGraphicFramePr>
                <a:graphic>
                  <a:graphicData uri="http://schemas.microsoft.com/office/word/2010/wordprocessingShape">
                    <wps:wsp>
                      <wps:cNvPr id="774" name="Graphic 77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39872;mso-wrap-distance-left:0;mso-wrap-distance-right:0" id="docshape766" filled="true" fillcolor="#000000" stroked="false">
                <v:fill type="solid"/>
                <w10:wrap type="topAndBottom"/>
              </v:rect>
            </w:pict>
          </mc:Fallback>
        </mc:AlternateContent>
      </w:r>
      <w:r>
        <w:rPr>
          <w:rFonts w:ascii="Verdana"/>
          <w:sz w:val="18"/>
        </w:rPr>
        <w:t>Between</w:t>
      </w:r>
      <w:r>
        <w:rPr>
          <w:rFonts w:ascii="Verdana"/>
          <w:spacing w:val="-1"/>
          <w:sz w:val="18"/>
        </w:rPr>
        <w:t> </w:t>
      </w:r>
      <w:r>
        <w:rPr>
          <w:rFonts w:ascii="Verdana"/>
          <w:sz w:val="18"/>
        </w:rPr>
        <w:t>Joy</w:t>
      </w:r>
      <w:r>
        <w:rPr>
          <w:rFonts w:ascii="Verdana"/>
          <w:spacing w:val="-1"/>
          <w:sz w:val="18"/>
        </w:rPr>
        <w:t> </w:t>
      </w:r>
      <w:r>
        <w:rPr>
          <w:rFonts w:ascii="Verdana"/>
          <w:sz w:val="18"/>
        </w:rPr>
        <w:t>and</w:t>
      </w:r>
      <w:r>
        <w:rPr>
          <w:rFonts w:ascii="Verdana"/>
          <w:spacing w:val="-1"/>
          <w:sz w:val="18"/>
        </w:rPr>
        <w:t> </w:t>
      </w:r>
      <w:r>
        <w:rPr>
          <w:rFonts w:ascii="Verdana"/>
          <w:sz w:val="18"/>
        </w:rPr>
        <w:t>Ruin:</w:t>
      </w:r>
      <w:r>
        <w:rPr>
          <w:rFonts w:ascii="Verdana"/>
          <w:spacing w:val="-1"/>
          <w:sz w:val="18"/>
        </w:rPr>
        <w:t> </w:t>
      </w:r>
      <w:r>
        <w:rPr>
          <w:rFonts w:ascii="Verdana"/>
          <w:sz w:val="18"/>
        </w:rPr>
        <w:t>The</w:t>
      </w:r>
      <w:r>
        <w:rPr>
          <w:rFonts w:ascii="Verdana"/>
          <w:spacing w:val="2"/>
          <w:sz w:val="18"/>
        </w:rPr>
        <w:t> </w:t>
      </w:r>
      <w:r>
        <w:rPr>
          <w:rFonts w:ascii="Verdana"/>
          <w:sz w:val="18"/>
        </w:rPr>
        <w:t>Role of Women Under</w:t>
      </w:r>
      <w:r>
        <w:rPr>
          <w:rFonts w:ascii="Verdana"/>
          <w:spacing w:val="1"/>
          <w:sz w:val="18"/>
        </w:rPr>
        <w:t> </w:t>
      </w:r>
      <w:r>
        <w:rPr>
          <w:rFonts w:ascii="Verdana"/>
          <w:spacing w:val="-2"/>
          <w:sz w:val="18"/>
        </w:rPr>
        <w:t>the...</w:t>
      </w:r>
      <w:r>
        <w:rPr>
          <w:rFonts w:ascii="Verdana"/>
          <w:sz w:val="18"/>
        </w:rPr>
        <w:tab/>
      </w:r>
      <w:r>
        <w:rPr>
          <w:rFonts w:ascii="Verdana"/>
          <w:spacing w:val="-5"/>
          <w:sz w:val="18"/>
        </w:rPr>
        <w:t>393</w:t>
      </w:r>
    </w:p>
    <w:p>
      <w:pPr>
        <w:pStyle w:val="BodyText"/>
        <w:spacing w:line="249" w:lineRule="auto" w:before="192"/>
        <w:ind w:right="1436"/>
        <w:jc w:val="both"/>
      </w:pPr>
      <w:r>
        <w:rPr/>
        <w:t>Isabella’s</w:t>
      </w:r>
      <w:r>
        <w:rPr>
          <w:spacing w:val="-13"/>
        </w:rPr>
        <w:t> </w:t>
      </w:r>
      <w:r>
        <w:rPr/>
        <w:t>agency,</w:t>
      </w:r>
      <w:r>
        <w:rPr>
          <w:spacing w:val="-10"/>
        </w:rPr>
        <w:t> </w:t>
      </w:r>
      <w:r>
        <w:rPr/>
        <w:t>real</w:t>
      </w:r>
      <w:r>
        <w:rPr>
          <w:spacing w:val="-8"/>
        </w:rPr>
        <w:t> </w:t>
      </w:r>
      <w:r>
        <w:rPr/>
        <w:t>as</w:t>
      </w:r>
      <w:r>
        <w:rPr>
          <w:spacing w:val="-11"/>
        </w:rPr>
        <w:t> </w:t>
      </w:r>
      <w:r>
        <w:rPr/>
        <w:t>it</w:t>
      </w:r>
      <w:r>
        <w:rPr>
          <w:spacing w:val="-9"/>
        </w:rPr>
        <w:t> </w:t>
      </w:r>
      <w:r>
        <w:rPr/>
        <w:t>is</w:t>
      </w:r>
      <w:r>
        <w:rPr>
          <w:spacing w:val="-11"/>
        </w:rPr>
        <w:t> </w:t>
      </w:r>
      <w:r>
        <w:rPr/>
        <w:t>in</w:t>
      </w:r>
      <w:r>
        <w:rPr>
          <w:spacing w:val="-11"/>
        </w:rPr>
        <w:t> </w:t>
      </w:r>
      <w:r>
        <w:rPr/>
        <w:t>her</w:t>
      </w:r>
      <w:r>
        <w:rPr>
          <w:spacing w:val="-11"/>
        </w:rPr>
        <w:t> </w:t>
      </w:r>
      <w:r>
        <w:rPr/>
        <w:t>brilliant</w:t>
      </w:r>
      <w:r>
        <w:rPr>
          <w:spacing w:val="-7"/>
        </w:rPr>
        <w:t> </w:t>
      </w:r>
      <w:r>
        <w:rPr/>
        <w:t>rhetorical</w:t>
      </w:r>
      <w:r>
        <w:rPr>
          <w:spacing w:val="-10"/>
        </w:rPr>
        <w:t> </w:t>
      </w:r>
      <w:r>
        <w:rPr/>
        <w:t>performances</w:t>
      </w:r>
      <w:r>
        <w:rPr>
          <w:spacing w:val="-11"/>
        </w:rPr>
        <w:t> </w:t>
      </w:r>
      <w:r>
        <w:rPr/>
        <w:t>“by way of using her intelligence and tactful discourses,” is ultimately co-opted by the patriarchal order. Her “virtuous ethos” becomes the very quality that makes her instrumentalizable: because she is chaste, she cannot be used sexually; but she can be used rhetorically, as a tool of the</w:t>
      </w:r>
      <w:r>
        <w:rPr>
          <w:spacing w:val="40"/>
        </w:rPr>
        <w:t> </w:t>
      </w:r>
      <w:r>
        <w:rPr/>
        <w:t>Duke’s</w:t>
      </w:r>
      <w:r>
        <w:rPr>
          <w:spacing w:val="40"/>
        </w:rPr>
        <w:t> </w:t>
      </w:r>
      <w:r>
        <w:rPr/>
        <w:t>justice.</w:t>
      </w:r>
    </w:p>
    <w:p>
      <w:pPr>
        <w:pStyle w:val="BodyText"/>
        <w:spacing w:line="249" w:lineRule="auto" w:before="63"/>
        <w:ind w:right="1439" w:firstLine="432"/>
        <w:jc w:val="both"/>
      </w:pPr>
      <w:r>
        <w:rPr/>
        <w:t>The play thus stages the paradox of female virtue in a patriarchal legal order: virtue is simultaneously the only value a woman possesses and the instrument of her subordination.The Joy here is</w:t>
      </w:r>
      <w:r>
        <w:rPr>
          <w:spacing w:val="40"/>
        </w:rPr>
        <w:t> </w:t>
      </w:r>
      <w:r>
        <w:rPr/>
        <w:t>the possibility of a freely chosen marriage or a meaningful response to the Duke’s proposal</w:t>
      </w:r>
      <w:r>
        <w:rPr>
          <w:spacing w:val="-13"/>
        </w:rPr>
        <w:t> </w:t>
      </w:r>
      <w:r>
        <w:rPr/>
        <w:t>which</w:t>
      </w:r>
      <w:r>
        <w:rPr>
          <w:spacing w:val="-10"/>
        </w:rPr>
        <w:t> </w:t>
      </w:r>
      <w:r>
        <w:rPr/>
        <w:t>remains</w:t>
      </w:r>
      <w:r>
        <w:rPr>
          <w:spacing w:val="-12"/>
        </w:rPr>
        <w:t> </w:t>
      </w:r>
      <w:r>
        <w:rPr/>
        <w:t>suspended.</w:t>
      </w:r>
      <w:r>
        <w:rPr>
          <w:spacing w:val="-11"/>
        </w:rPr>
        <w:t> </w:t>
      </w:r>
      <w:r>
        <w:rPr/>
        <w:t>Isabella</w:t>
      </w:r>
      <w:r>
        <w:rPr>
          <w:spacing w:val="-10"/>
        </w:rPr>
        <w:t> </w:t>
      </w:r>
      <w:r>
        <w:rPr/>
        <w:t>does</w:t>
      </w:r>
      <w:r>
        <w:rPr>
          <w:spacing w:val="-13"/>
        </w:rPr>
        <w:t> </w:t>
      </w:r>
      <w:r>
        <w:rPr/>
        <w:t>not</w:t>
      </w:r>
      <w:r>
        <w:rPr>
          <w:spacing w:val="-12"/>
        </w:rPr>
        <w:t> </w:t>
      </w:r>
      <w:r>
        <w:rPr/>
        <w:t>answer;</w:t>
      </w:r>
      <w:r>
        <w:rPr>
          <w:spacing w:val="-11"/>
        </w:rPr>
        <w:t> </w:t>
      </w:r>
      <w:r>
        <w:rPr/>
        <w:t>her</w:t>
      </w:r>
      <w:r>
        <w:rPr>
          <w:spacing w:val="-11"/>
        </w:rPr>
        <w:t> </w:t>
      </w:r>
      <w:r>
        <w:rPr/>
        <w:t>silence is</w:t>
      </w:r>
      <w:r>
        <w:rPr>
          <w:spacing w:val="40"/>
        </w:rPr>
        <w:t> </w:t>
      </w:r>
      <w:r>
        <w:rPr/>
        <w:t>the</w:t>
      </w:r>
      <w:r>
        <w:rPr>
          <w:spacing w:val="40"/>
        </w:rPr>
        <w:t> </w:t>
      </w:r>
      <w:r>
        <w:rPr/>
        <w:t>only</w:t>
      </w:r>
      <w:r>
        <w:rPr>
          <w:spacing w:val="40"/>
        </w:rPr>
        <w:t> </w:t>
      </w:r>
      <w:r>
        <w:rPr/>
        <w:t>agency</w:t>
      </w:r>
      <w:r>
        <w:rPr>
          <w:spacing w:val="40"/>
        </w:rPr>
        <w:t> </w:t>
      </w:r>
      <w:r>
        <w:rPr/>
        <w:t>left</w:t>
      </w:r>
      <w:r>
        <w:rPr>
          <w:spacing w:val="40"/>
        </w:rPr>
        <w:t> </w:t>
      </w:r>
      <w:r>
        <w:rPr/>
        <w:t>to</w:t>
      </w:r>
      <w:r>
        <w:rPr>
          <w:spacing w:val="40"/>
        </w:rPr>
        <w:t> </w:t>
      </w:r>
      <w:r>
        <w:rPr/>
        <w:t>her.</w:t>
      </w:r>
    </w:p>
    <w:p>
      <w:pPr>
        <w:spacing w:before="62"/>
        <w:ind w:left="2160" w:right="0" w:firstLine="0"/>
        <w:jc w:val="both"/>
        <w:rPr>
          <w:i/>
          <w:sz w:val="20"/>
        </w:rPr>
      </w:pPr>
      <w:r>
        <w:rPr>
          <w:sz w:val="20"/>
        </w:rPr>
        <w:t>Othello</w:t>
      </w:r>
      <w:r>
        <w:rPr>
          <w:i/>
          <w:sz w:val="20"/>
        </w:rPr>
        <w:t>:</w:t>
      </w:r>
      <w:r>
        <w:rPr>
          <w:i/>
          <w:spacing w:val="20"/>
          <w:sz w:val="20"/>
        </w:rPr>
        <w:t> </w:t>
      </w:r>
      <w:r>
        <w:rPr>
          <w:i/>
          <w:sz w:val="20"/>
        </w:rPr>
        <w:t>The</w:t>
      </w:r>
      <w:r>
        <w:rPr>
          <w:i/>
          <w:spacing w:val="19"/>
          <w:sz w:val="20"/>
        </w:rPr>
        <w:t> </w:t>
      </w:r>
      <w:r>
        <w:rPr>
          <w:i/>
          <w:sz w:val="20"/>
        </w:rPr>
        <w:t>Chastity</w:t>
      </w:r>
      <w:r>
        <w:rPr>
          <w:i/>
          <w:spacing w:val="22"/>
          <w:sz w:val="20"/>
        </w:rPr>
        <w:t> </w:t>
      </w:r>
      <w:r>
        <w:rPr>
          <w:i/>
          <w:spacing w:val="-4"/>
          <w:sz w:val="20"/>
        </w:rPr>
        <w:t>Trap</w:t>
      </w:r>
    </w:p>
    <w:p>
      <w:pPr>
        <w:pStyle w:val="BodyText"/>
        <w:spacing w:line="249" w:lineRule="auto" w:before="68"/>
        <w:ind w:right="1437" w:firstLine="432"/>
        <w:jc w:val="both"/>
      </w:pPr>
      <w:r>
        <w:rPr/>
        <w:t>If </w:t>
      </w:r>
      <w:r>
        <w:rPr>
          <w:i/>
        </w:rPr>
        <w:t>Measure for Measure </w:t>
      </w:r>
      <w:r>
        <w:rPr/>
        <w:t>dramatizes the tragedy of a woman who refuses to trade her body, </w:t>
      </w:r>
      <w:r>
        <w:rPr>
          <w:i/>
        </w:rPr>
        <w:t>Othello </w:t>
      </w:r>
      <w:r>
        <w:rPr/>
        <w:t>dramatizes the tragedy of a woman who</w:t>
      </w:r>
      <w:r>
        <w:rPr>
          <w:spacing w:val="-2"/>
        </w:rPr>
        <w:t> </w:t>
      </w:r>
      <w:r>
        <w:rPr/>
        <w:t>has</w:t>
      </w:r>
      <w:r>
        <w:rPr>
          <w:spacing w:val="-6"/>
        </w:rPr>
        <w:t> </w:t>
      </w:r>
      <w:r>
        <w:rPr/>
        <w:t>already</w:t>
      </w:r>
      <w:r>
        <w:rPr>
          <w:spacing w:val="-6"/>
        </w:rPr>
        <w:t> </w:t>
      </w:r>
      <w:r>
        <w:rPr/>
        <w:t>traded</w:t>
      </w:r>
      <w:r>
        <w:rPr>
          <w:spacing w:val="-4"/>
        </w:rPr>
        <w:t> </w:t>
      </w:r>
      <w:r>
        <w:rPr/>
        <w:t>it</w:t>
      </w:r>
      <w:r>
        <w:rPr>
          <w:spacing w:val="-4"/>
        </w:rPr>
        <w:t> </w:t>
      </w:r>
      <w:r>
        <w:rPr/>
        <w:t>in</w:t>
      </w:r>
      <w:r>
        <w:rPr>
          <w:spacing w:val="-4"/>
        </w:rPr>
        <w:t> </w:t>
      </w:r>
      <w:r>
        <w:rPr/>
        <w:t>the</w:t>
      </w:r>
      <w:r>
        <w:rPr>
          <w:spacing w:val="-6"/>
        </w:rPr>
        <w:t> </w:t>
      </w:r>
      <w:r>
        <w:rPr/>
        <w:t>act</w:t>
      </w:r>
      <w:r>
        <w:rPr>
          <w:spacing w:val="-4"/>
        </w:rPr>
        <w:t> </w:t>
      </w:r>
      <w:r>
        <w:rPr/>
        <w:t>of</w:t>
      </w:r>
      <w:r>
        <w:rPr>
          <w:spacing w:val="-6"/>
        </w:rPr>
        <w:t> </w:t>
      </w:r>
      <w:r>
        <w:rPr/>
        <w:t>marriage.</w:t>
      </w:r>
      <w:r>
        <w:rPr>
          <w:spacing w:val="-2"/>
        </w:rPr>
        <w:t> </w:t>
      </w:r>
      <w:r>
        <w:rPr/>
        <w:t>which</w:t>
      </w:r>
      <w:r>
        <w:rPr>
          <w:spacing w:val="-4"/>
        </w:rPr>
        <w:t> </w:t>
      </w:r>
      <w:r>
        <w:rPr/>
        <w:t>is</w:t>
      </w:r>
      <w:r>
        <w:rPr>
          <w:spacing w:val="-6"/>
        </w:rPr>
        <w:t> </w:t>
      </w:r>
      <w:r>
        <w:rPr/>
        <w:t>to</w:t>
      </w:r>
      <w:r>
        <w:rPr>
          <w:spacing w:val="-2"/>
        </w:rPr>
        <w:t> </w:t>
      </w:r>
      <w:r>
        <w:rPr/>
        <w:t>say,</w:t>
      </w:r>
      <w:r>
        <w:rPr>
          <w:spacing w:val="-4"/>
        </w:rPr>
        <w:t> </w:t>
      </w:r>
      <w:r>
        <w:rPr/>
        <w:t>in</w:t>
      </w:r>
      <w:r>
        <w:rPr>
          <w:spacing w:val="-4"/>
        </w:rPr>
        <w:t> </w:t>
      </w:r>
      <w:r>
        <w:rPr/>
        <w:t>other words it’s the</w:t>
      </w:r>
      <w:r>
        <w:rPr>
          <w:spacing w:val="40"/>
        </w:rPr>
        <w:t> </w:t>
      </w:r>
      <w:r>
        <w:rPr/>
        <w:t>socially sanctioned transfer of sexual access from father </w:t>
      </w:r>
      <w:r>
        <w:rPr>
          <w:spacing w:val="-2"/>
        </w:rPr>
        <w:t>to</w:t>
      </w:r>
      <w:r>
        <w:rPr>
          <w:spacing w:val="-11"/>
        </w:rPr>
        <w:t> </w:t>
      </w:r>
      <w:r>
        <w:rPr>
          <w:spacing w:val="-2"/>
        </w:rPr>
        <w:t>husband.</w:t>
      </w:r>
      <w:r>
        <w:rPr>
          <w:spacing w:val="4"/>
        </w:rPr>
        <w:t> </w:t>
      </w:r>
      <w:r>
        <w:rPr>
          <w:spacing w:val="-2"/>
        </w:rPr>
        <w:t>Desdemona’s</w:t>
      </w:r>
      <w:r>
        <w:rPr>
          <w:spacing w:val="-10"/>
        </w:rPr>
        <w:t> </w:t>
      </w:r>
      <w:r>
        <w:rPr>
          <w:spacing w:val="-2"/>
        </w:rPr>
        <w:t>elopement</w:t>
      </w:r>
      <w:r>
        <w:rPr>
          <w:spacing w:val="-11"/>
        </w:rPr>
        <w:t> </w:t>
      </w:r>
      <w:r>
        <w:rPr>
          <w:spacing w:val="-2"/>
        </w:rPr>
        <w:t>with</w:t>
      </w:r>
      <w:r>
        <w:rPr>
          <w:spacing w:val="-10"/>
        </w:rPr>
        <w:t> </w:t>
      </w:r>
      <w:r>
        <w:rPr>
          <w:spacing w:val="-2"/>
        </w:rPr>
        <w:t>Othello</w:t>
      </w:r>
      <w:r>
        <w:rPr>
          <w:spacing w:val="-11"/>
        </w:rPr>
        <w:t> </w:t>
      </w:r>
      <w:r>
        <w:rPr>
          <w:spacing w:val="-2"/>
        </w:rPr>
        <w:t>is,</w:t>
      </w:r>
      <w:r>
        <w:rPr>
          <w:spacing w:val="-10"/>
        </w:rPr>
        <w:t> </w:t>
      </w:r>
      <w:r>
        <w:rPr>
          <w:spacing w:val="-2"/>
        </w:rPr>
        <w:t>from</w:t>
      </w:r>
      <w:r>
        <w:rPr>
          <w:spacing w:val="-11"/>
        </w:rPr>
        <w:t> </w:t>
      </w:r>
      <w:r>
        <w:rPr>
          <w:spacing w:val="-2"/>
        </w:rPr>
        <w:t>the</w:t>
      </w:r>
      <w:r>
        <w:rPr>
          <w:spacing w:val="-10"/>
        </w:rPr>
        <w:t> </w:t>
      </w:r>
      <w:r>
        <w:rPr>
          <w:spacing w:val="-2"/>
        </w:rPr>
        <w:t>perspective </w:t>
      </w:r>
      <w:r>
        <w:rPr/>
        <w:t>of Venetian patriarchy, a double transgression: she marries without her father’s consent, and she marries a Moor.</w:t>
      </w:r>
      <w:r>
        <w:rPr>
          <w:spacing w:val="-6"/>
        </w:rPr>
        <w:t> </w:t>
      </w:r>
      <w:r>
        <w:rPr/>
        <w:t>Yet the play</w:t>
      </w:r>
      <w:r>
        <w:rPr>
          <w:spacing w:val="-3"/>
        </w:rPr>
        <w:t> </w:t>
      </w:r>
      <w:r>
        <w:rPr/>
        <w:t>also presents the elopement as an expression of genuine, mutual love. When Desdemona appears before the Duke and the Senators, she defends her choice with remarkable</w:t>
      </w:r>
      <w:r>
        <w:rPr>
          <w:spacing w:val="-11"/>
        </w:rPr>
        <w:t> </w:t>
      </w:r>
      <w:r>
        <w:rPr/>
        <w:t>eloquence:</w:t>
      </w:r>
    </w:p>
    <w:p>
      <w:pPr>
        <w:spacing w:before="68"/>
        <w:ind w:left="2160" w:right="0" w:firstLine="0"/>
        <w:jc w:val="left"/>
        <w:rPr>
          <w:i/>
          <w:sz w:val="20"/>
        </w:rPr>
      </w:pPr>
      <w:r>
        <w:rPr>
          <w:i/>
          <w:sz w:val="20"/>
        </w:rPr>
        <w:t>“I</w:t>
      </w:r>
      <w:r>
        <w:rPr>
          <w:i/>
          <w:spacing w:val="20"/>
          <w:sz w:val="20"/>
        </w:rPr>
        <w:t> </w:t>
      </w:r>
      <w:r>
        <w:rPr>
          <w:i/>
          <w:sz w:val="20"/>
        </w:rPr>
        <w:t>saw</w:t>
      </w:r>
      <w:r>
        <w:rPr>
          <w:i/>
          <w:spacing w:val="21"/>
          <w:sz w:val="20"/>
        </w:rPr>
        <w:t> </w:t>
      </w:r>
      <w:r>
        <w:rPr>
          <w:i/>
          <w:sz w:val="20"/>
        </w:rPr>
        <w:t>Othello’s</w:t>
      </w:r>
      <w:r>
        <w:rPr>
          <w:i/>
          <w:spacing w:val="20"/>
          <w:sz w:val="20"/>
        </w:rPr>
        <w:t> </w:t>
      </w:r>
      <w:r>
        <w:rPr>
          <w:i/>
          <w:sz w:val="20"/>
        </w:rPr>
        <w:t>visage</w:t>
      </w:r>
      <w:r>
        <w:rPr>
          <w:i/>
          <w:spacing w:val="21"/>
          <w:sz w:val="20"/>
        </w:rPr>
        <w:t> </w:t>
      </w:r>
      <w:r>
        <w:rPr>
          <w:i/>
          <w:sz w:val="20"/>
        </w:rPr>
        <w:t>in</w:t>
      </w:r>
      <w:r>
        <w:rPr>
          <w:i/>
          <w:spacing w:val="23"/>
          <w:sz w:val="20"/>
        </w:rPr>
        <w:t> </w:t>
      </w:r>
      <w:r>
        <w:rPr>
          <w:i/>
          <w:sz w:val="20"/>
        </w:rPr>
        <w:t>his</w:t>
      </w:r>
      <w:r>
        <w:rPr>
          <w:i/>
          <w:spacing w:val="22"/>
          <w:sz w:val="20"/>
        </w:rPr>
        <w:t> </w:t>
      </w:r>
      <w:r>
        <w:rPr>
          <w:i/>
          <w:spacing w:val="-2"/>
          <w:sz w:val="20"/>
        </w:rPr>
        <w:t>mind,</w:t>
      </w:r>
    </w:p>
    <w:p>
      <w:pPr>
        <w:spacing w:line="309" w:lineRule="auto" w:before="68"/>
        <w:ind w:left="2160" w:right="2764" w:firstLine="0"/>
        <w:jc w:val="left"/>
        <w:rPr>
          <w:i/>
          <w:sz w:val="20"/>
        </w:rPr>
      </w:pPr>
      <w:r>
        <w:rPr>
          <w:i/>
          <w:sz w:val="20"/>
        </w:rPr>
        <w:t>And</w:t>
      </w:r>
      <w:r>
        <w:rPr>
          <w:i/>
          <w:spacing w:val="36"/>
          <w:sz w:val="20"/>
        </w:rPr>
        <w:t> </w:t>
      </w:r>
      <w:r>
        <w:rPr>
          <w:i/>
          <w:sz w:val="20"/>
        </w:rPr>
        <w:t>to</w:t>
      </w:r>
      <w:r>
        <w:rPr>
          <w:i/>
          <w:spacing w:val="36"/>
          <w:sz w:val="20"/>
        </w:rPr>
        <w:t> </w:t>
      </w:r>
      <w:r>
        <w:rPr>
          <w:i/>
          <w:sz w:val="20"/>
        </w:rPr>
        <w:t>his</w:t>
      </w:r>
      <w:r>
        <w:rPr>
          <w:i/>
          <w:spacing w:val="32"/>
          <w:sz w:val="20"/>
        </w:rPr>
        <w:t> </w:t>
      </w:r>
      <w:r>
        <w:rPr>
          <w:i/>
          <w:sz w:val="20"/>
        </w:rPr>
        <w:t>honours</w:t>
      </w:r>
      <w:r>
        <w:rPr>
          <w:i/>
          <w:spacing w:val="32"/>
          <w:sz w:val="20"/>
        </w:rPr>
        <w:t> </w:t>
      </w:r>
      <w:r>
        <w:rPr>
          <w:i/>
          <w:sz w:val="20"/>
        </w:rPr>
        <w:t>and</w:t>
      </w:r>
      <w:r>
        <w:rPr>
          <w:i/>
          <w:spacing w:val="34"/>
          <w:sz w:val="20"/>
        </w:rPr>
        <w:t> </w:t>
      </w:r>
      <w:r>
        <w:rPr>
          <w:i/>
          <w:sz w:val="20"/>
        </w:rPr>
        <w:t>his</w:t>
      </w:r>
      <w:r>
        <w:rPr>
          <w:i/>
          <w:spacing w:val="32"/>
          <w:sz w:val="20"/>
        </w:rPr>
        <w:t> </w:t>
      </w:r>
      <w:r>
        <w:rPr>
          <w:i/>
          <w:sz w:val="20"/>
        </w:rPr>
        <w:t>valiant</w:t>
      </w:r>
      <w:r>
        <w:rPr>
          <w:i/>
          <w:spacing w:val="32"/>
          <w:sz w:val="20"/>
        </w:rPr>
        <w:t> </w:t>
      </w:r>
      <w:r>
        <w:rPr>
          <w:i/>
          <w:sz w:val="20"/>
        </w:rPr>
        <w:t>parts Did</w:t>
      </w:r>
      <w:r>
        <w:rPr>
          <w:i/>
          <w:spacing w:val="40"/>
          <w:sz w:val="20"/>
        </w:rPr>
        <w:t> </w:t>
      </w:r>
      <w:r>
        <w:rPr>
          <w:i/>
          <w:sz w:val="20"/>
        </w:rPr>
        <w:t>I</w:t>
      </w:r>
      <w:r>
        <w:rPr>
          <w:i/>
          <w:spacing w:val="39"/>
          <w:sz w:val="20"/>
        </w:rPr>
        <w:t> </w:t>
      </w:r>
      <w:r>
        <w:rPr>
          <w:i/>
          <w:sz w:val="20"/>
        </w:rPr>
        <w:t>my soul</w:t>
      </w:r>
      <w:r>
        <w:rPr>
          <w:i/>
          <w:spacing w:val="39"/>
          <w:sz w:val="20"/>
        </w:rPr>
        <w:t> </w:t>
      </w:r>
      <w:r>
        <w:rPr>
          <w:i/>
          <w:sz w:val="20"/>
        </w:rPr>
        <w:t>and</w:t>
      </w:r>
      <w:r>
        <w:rPr>
          <w:i/>
          <w:spacing w:val="40"/>
          <w:sz w:val="20"/>
        </w:rPr>
        <w:t> </w:t>
      </w:r>
      <w:r>
        <w:rPr>
          <w:i/>
          <w:sz w:val="20"/>
        </w:rPr>
        <w:t>fortunes</w:t>
      </w:r>
      <w:r>
        <w:rPr>
          <w:i/>
          <w:spacing w:val="37"/>
          <w:sz w:val="20"/>
        </w:rPr>
        <w:t> </w:t>
      </w:r>
      <w:r>
        <w:rPr>
          <w:i/>
          <w:sz w:val="20"/>
        </w:rPr>
        <w:t>consecrate.” </w:t>
      </w:r>
      <w:r>
        <w:rPr>
          <w:i/>
          <w:spacing w:val="-2"/>
          <w:sz w:val="20"/>
        </w:rPr>
        <w:t>(1.3.250–52)</w:t>
      </w:r>
    </w:p>
    <w:p>
      <w:pPr>
        <w:pStyle w:val="BodyText"/>
        <w:spacing w:line="249" w:lineRule="auto" w:before="2"/>
        <w:ind w:right="1438" w:firstLine="432"/>
        <w:jc w:val="both"/>
      </w:pPr>
      <w:r>
        <w:rPr/>
        <w:t>Here is a woman claiming the right to choose her own husband,</w:t>
      </w:r>
      <w:r>
        <w:rPr>
          <w:spacing w:val="80"/>
        </w:rPr>
        <w:t> </w:t>
      </w:r>
      <w:r>
        <w:rPr/>
        <w:t>to pledge her</w:t>
      </w:r>
      <w:r>
        <w:rPr>
          <w:spacing w:val="40"/>
        </w:rPr>
        <w:t> </w:t>
      </w:r>
      <w:r>
        <w:rPr/>
        <w:t>soul to whomever her heart chooses . She made</w:t>
      </w:r>
      <w:r>
        <w:rPr>
          <w:spacing w:val="40"/>
        </w:rPr>
        <w:t> </w:t>
      </w:r>
      <w:r>
        <w:rPr/>
        <w:t>her choice and it’s not her father but</w:t>
      </w:r>
      <w:r>
        <w:rPr>
          <w:spacing w:val="-1"/>
        </w:rPr>
        <w:t> </w:t>
      </w:r>
      <w:r>
        <w:rPr/>
        <w:t>it’s</w:t>
      </w:r>
      <w:r>
        <w:rPr>
          <w:spacing w:val="40"/>
        </w:rPr>
        <w:t> </w:t>
      </w:r>
      <w:r>
        <w:rPr/>
        <w:t>the man</w:t>
      </w:r>
      <w:r>
        <w:rPr>
          <w:spacing w:val="-2"/>
        </w:rPr>
        <w:t> </w:t>
      </w:r>
      <w:r>
        <w:rPr/>
        <w:t>she loves. For a moment, it seems that Desdemona has seized the wheel of fortune and happiness and even independence was seen exercising a degree of agency that transcends her legal status as a daughter. But the play later relentlessly demonstrates</w:t>
      </w:r>
      <w:r>
        <w:rPr>
          <w:spacing w:val="40"/>
        </w:rPr>
        <w:t> </w:t>
      </w:r>
      <w:r>
        <w:rPr/>
        <w:t>the</w:t>
      </w:r>
      <w:r>
        <w:rPr>
          <w:spacing w:val="40"/>
        </w:rPr>
        <w:t> </w:t>
      </w:r>
      <w:r>
        <w:rPr/>
        <w:t>actions</w:t>
      </w:r>
      <w:r>
        <w:rPr>
          <w:spacing w:val="40"/>
        </w:rPr>
        <w:t> </w:t>
      </w:r>
      <w:r>
        <w:rPr/>
        <w:t>of</w:t>
      </w:r>
      <w:r>
        <w:rPr>
          <w:spacing w:val="40"/>
        </w:rPr>
        <w:t> </w:t>
      </w:r>
      <w:r>
        <w:rPr/>
        <w:t>that</w:t>
      </w:r>
      <w:r>
        <w:rPr>
          <w:spacing w:val="40"/>
        </w:rPr>
        <w:t> </w:t>
      </w:r>
      <w:r>
        <w:rPr/>
        <w:t>agency.</w:t>
      </w:r>
    </w:p>
    <w:p>
      <w:pPr>
        <w:pStyle w:val="BodyText"/>
        <w:spacing w:line="249" w:lineRule="auto" w:before="66"/>
        <w:ind w:right="1438" w:firstLine="432"/>
        <w:jc w:val="both"/>
      </w:pPr>
      <w:r>
        <w:rPr/>
        <w:t>The problem, as feminist critics have long recognized, is that Desdemona’s chastity becomes the obsessive object of Othello’s suspicion. Iago’s poison works precisely because it taps into deep cultural</w:t>
      </w:r>
      <w:r>
        <w:rPr>
          <w:spacing w:val="14"/>
        </w:rPr>
        <w:t> </w:t>
      </w:r>
      <w:r>
        <w:rPr/>
        <w:t>anxieties</w:t>
      </w:r>
      <w:r>
        <w:rPr>
          <w:spacing w:val="13"/>
        </w:rPr>
        <w:t> </w:t>
      </w:r>
      <w:r>
        <w:rPr/>
        <w:t>about</w:t>
      </w:r>
      <w:r>
        <w:rPr>
          <w:spacing w:val="15"/>
        </w:rPr>
        <w:t> </w:t>
      </w:r>
      <w:r>
        <w:rPr/>
        <w:t>female</w:t>
      </w:r>
      <w:r>
        <w:rPr>
          <w:spacing w:val="12"/>
        </w:rPr>
        <w:t> </w:t>
      </w:r>
      <w:r>
        <w:rPr/>
        <w:t>sexuality.</w:t>
      </w:r>
      <w:r>
        <w:rPr>
          <w:spacing w:val="14"/>
        </w:rPr>
        <w:t> </w:t>
      </w:r>
      <w:r>
        <w:rPr/>
        <w:t>The</w:t>
      </w:r>
      <w:r>
        <w:rPr>
          <w:spacing w:val="13"/>
        </w:rPr>
        <w:t> </w:t>
      </w:r>
      <w:r>
        <w:rPr/>
        <w:t>virgin</w:t>
      </w:r>
      <w:r>
        <w:rPr>
          <w:spacing w:val="13"/>
        </w:rPr>
        <w:t> </w:t>
      </w:r>
      <w:r>
        <w:rPr/>
        <w:t>whore</w:t>
      </w:r>
      <w:r>
        <w:rPr>
          <w:spacing w:val="15"/>
        </w:rPr>
        <w:t> </w:t>
      </w:r>
      <w:r>
        <w:rPr>
          <w:spacing w:val="-2"/>
        </w:rPr>
        <w:t>dichotomy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77120">
                <wp:simplePos x="0" y="0"/>
                <wp:positionH relativeFrom="page">
                  <wp:posOffset>2057400</wp:posOffset>
                </wp:positionH>
                <wp:positionV relativeFrom="paragraph">
                  <wp:posOffset>162604</wp:posOffset>
                </wp:positionV>
                <wp:extent cx="3657600" cy="12700"/>
                <wp:effectExtent l="0" t="0" r="0" b="0"/>
                <wp:wrapTopAndBottom/>
                <wp:docPr id="775" name="Graphic 775"/>
                <wp:cNvGraphicFramePr>
                  <a:graphicFrameLocks/>
                </wp:cNvGraphicFramePr>
                <a:graphic>
                  <a:graphicData uri="http://schemas.microsoft.com/office/word/2010/wordprocessingShape">
                    <wps:wsp>
                      <wps:cNvPr id="775" name="Graphic 77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39360;mso-wrap-distance-left:0;mso-wrap-distance-right:0" id="docshape767" filled="true" fillcolor="#000000" stroked="false">
                <v:fill type="solid"/>
                <w10:wrap type="topAndBottom"/>
              </v:rect>
            </w:pict>
          </mc:Fallback>
        </mc:AlternateContent>
      </w:r>
      <w:r>
        <w:rPr>
          <w:rFonts w:ascii="Verdana"/>
          <w:spacing w:val="-5"/>
          <w:sz w:val="18"/>
        </w:rPr>
        <w:t>394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structures the play’s gendered economy: a woman is either pure and chaste and therefore valuable . If she is not</w:t>
      </w:r>
      <w:r>
        <w:rPr>
          <w:spacing w:val="40"/>
        </w:rPr>
        <w:t> </w:t>
      </w:r>
      <w:r>
        <w:rPr/>
        <w:t>she is considered as a whore, and therefore worthless. Desdemona, being married, no longer has</w:t>
      </w:r>
      <w:r>
        <w:rPr>
          <w:spacing w:val="-6"/>
        </w:rPr>
        <w:t> </w:t>
      </w:r>
      <w:r>
        <w:rPr/>
        <w:t>the</w:t>
      </w:r>
      <w:r>
        <w:rPr>
          <w:spacing w:val="-6"/>
        </w:rPr>
        <w:t> </w:t>
      </w:r>
      <w:r>
        <w:rPr/>
        <w:t>protective</w:t>
      </w:r>
      <w:r>
        <w:rPr>
          <w:spacing w:val="-4"/>
        </w:rPr>
        <w:t> </w:t>
      </w:r>
      <w:r>
        <w:rPr/>
        <w:t>status</w:t>
      </w:r>
      <w:r>
        <w:rPr>
          <w:spacing w:val="-3"/>
        </w:rPr>
        <w:t> </w:t>
      </w:r>
      <w:r>
        <w:rPr/>
        <w:t>of</w:t>
      </w:r>
      <w:r>
        <w:rPr>
          <w:spacing w:val="-6"/>
        </w:rPr>
        <w:t> </w:t>
      </w:r>
      <w:r>
        <w:rPr/>
        <w:t>virginity.</w:t>
      </w:r>
      <w:r>
        <w:rPr>
          <w:spacing w:val="-4"/>
        </w:rPr>
        <w:t> </w:t>
      </w:r>
      <w:r>
        <w:rPr/>
        <w:t>In</w:t>
      </w:r>
      <w:r>
        <w:rPr>
          <w:spacing w:val="-6"/>
        </w:rPr>
        <w:t> </w:t>
      </w:r>
      <w:r>
        <w:rPr/>
        <w:t>the</w:t>
      </w:r>
      <w:r>
        <w:rPr>
          <w:spacing w:val="-4"/>
        </w:rPr>
        <w:t> </w:t>
      </w:r>
      <w:r>
        <w:rPr/>
        <w:t>logic</w:t>
      </w:r>
      <w:r>
        <w:rPr>
          <w:spacing w:val="-4"/>
        </w:rPr>
        <w:t> </w:t>
      </w:r>
      <w:r>
        <w:rPr/>
        <w:t>of</w:t>
      </w:r>
      <w:r>
        <w:rPr>
          <w:spacing w:val="-4"/>
        </w:rPr>
        <w:t> </w:t>
      </w:r>
      <w:r>
        <w:rPr/>
        <w:t>early</w:t>
      </w:r>
      <w:r>
        <w:rPr>
          <w:spacing w:val="-8"/>
        </w:rPr>
        <w:t> </w:t>
      </w:r>
      <w:r>
        <w:rPr/>
        <w:t>modern</w:t>
      </w:r>
      <w:r>
        <w:rPr>
          <w:spacing w:val="-6"/>
        </w:rPr>
        <w:t> </w:t>
      </w:r>
      <w:r>
        <w:rPr/>
        <w:t>honor, a wife’s chastity is her husband’s possession, and any suspicion of </w:t>
      </w:r>
      <w:r>
        <w:rPr>
          <w:spacing w:val="-4"/>
        </w:rPr>
        <w:t>infidelity</w:t>
      </w:r>
      <w:r>
        <w:rPr>
          <w:spacing w:val="-9"/>
        </w:rPr>
        <w:t> </w:t>
      </w:r>
      <w:r>
        <w:rPr>
          <w:spacing w:val="-4"/>
        </w:rPr>
        <w:t>dishonors</w:t>
      </w:r>
      <w:r>
        <w:rPr>
          <w:spacing w:val="-8"/>
        </w:rPr>
        <w:t> </w:t>
      </w:r>
      <w:r>
        <w:rPr>
          <w:spacing w:val="-4"/>
        </w:rPr>
        <w:t>him.</w:t>
      </w:r>
      <w:r>
        <w:rPr>
          <w:spacing w:val="-9"/>
        </w:rPr>
        <w:t> </w:t>
      </w:r>
      <w:r>
        <w:rPr>
          <w:spacing w:val="-4"/>
        </w:rPr>
        <w:t>Othello’s</w:t>
      </w:r>
      <w:r>
        <w:rPr>
          <w:spacing w:val="-8"/>
        </w:rPr>
        <w:t> </w:t>
      </w:r>
      <w:r>
        <w:rPr>
          <w:spacing w:val="-4"/>
        </w:rPr>
        <w:t>jealousy</w:t>
      </w:r>
      <w:r>
        <w:rPr>
          <w:spacing w:val="-9"/>
        </w:rPr>
        <w:t> </w:t>
      </w:r>
      <w:r>
        <w:rPr>
          <w:spacing w:val="-4"/>
        </w:rPr>
        <w:t>is</w:t>
      </w:r>
      <w:r>
        <w:rPr>
          <w:spacing w:val="-8"/>
        </w:rPr>
        <w:t> </w:t>
      </w:r>
      <w:r>
        <w:rPr>
          <w:spacing w:val="-4"/>
        </w:rPr>
        <w:t>therefore</w:t>
      </w:r>
      <w:r>
        <w:rPr>
          <w:spacing w:val="-9"/>
        </w:rPr>
        <w:t> </w:t>
      </w:r>
      <w:r>
        <w:rPr>
          <w:spacing w:val="-4"/>
        </w:rPr>
        <w:t>not</w:t>
      </w:r>
      <w:r>
        <w:rPr>
          <w:spacing w:val="-8"/>
        </w:rPr>
        <w:t> </w:t>
      </w:r>
      <w:r>
        <w:rPr>
          <w:spacing w:val="-4"/>
        </w:rPr>
        <w:t>merely</w:t>
      </w:r>
      <w:r>
        <w:rPr>
          <w:spacing w:val="-9"/>
        </w:rPr>
        <w:t> </w:t>
      </w:r>
      <w:r>
        <w:rPr>
          <w:spacing w:val="-4"/>
        </w:rPr>
        <w:t>personal </w:t>
      </w:r>
      <w:r>
        <w:rPr/>
        <w:t>pathology but the logical extension of a cultural system that makes female sexuality the ground of male honor.</w:t>
      </w:r>
    </w:p>
    <w:p>
      <w:pPr>
        <w:pStyle w:val="Heading3"/>
        <w:spacing w:before="160"/>
        <w:ind w:right="1439"/>
        <w:jc w:val="both"/>
      </w:pPr>
      <w:r>
        <w:rPr>
          <w:w w:val="85"/>
        </w:rPr>
        <w:t>DESDEMONA’S CRITICAL RECEPTION HAS HISTORICALLY </w:t>
      </w:r>
      <w:r>
        <w:rPr>
          <w:w w:val="90"/>
        </w:rPr>
        <w:t>REFLECTED</w:t>
      </w:r>
      <w:r>
        <w:rPr>
          <w:spacing w:val="-11"/>
          <w:w w:val="90"/>
        </w:rPr>
        <w:t> </w:t>
      </w:r>
      <w:r>
        <w:rPr>
          <w:w w:val="90"/>
        </w:rPr>
        <w:t>THESE</w:t>
      </w:r>
      <w:r>
        <w:rPr>
          <w:spacing w:val="-10"/>
          <w:w w:val="90"/>
        </w:rPr>
        <w:t> </w:t>
      </w:r>
      <w:r>
        <w:rPr>
          <w:w w:val="90"/>
        </w:rPr>
        <w:t>ANXIETIES.</w:t>
      </w:r>
    </w:p>
    <w:p>
      <w:pPr>
        <w:pStyle w:val="BodyText"/>
        <w:spacing w:line="254" w:lineRule="auto" w:before="76"/>
        <w:ind w:right="1437" w:firstLine="432"/>
        <w:jc w:val="both"/>
      </w:pPr>
      <w:r>
        <w:rPr/>
        <w:t>She has been forced into the framework of sins that include elopement, elopement with a Moor, joking about women’s virtue with Iago, advocating on Cassio’s behalf,</w:t>
      </w:r>
      <w:r>
        <w:rPr>
          <w:spacing w:val="40"/>
        </w:rPr>
        <w:t> </w:t>
      </w:r>
      <w:r>
        <w:rPr/>
        <w:t>lying to Othello about the loss of the</w:t>
      </w:r>
      <w:r>
        <w:rPr>
          <w:spacing w:val="-11"/>
        </w:rPr>
        <w:t> </w:t>
      </w:r>
      <w:r>
        <w:rPr/>
        <w:t>handkerchief,</w:t>
      </w:r>
      <w:r>
        <w:rPr>
          <w:spacing w:val="-11"/>
        </w:rPr>
        <w:t> </w:t>
      </w:r>
      <w:r>
        <w:rPr/>
        <w:t>talking</w:t>
      </w:r>
      <w:r>
        <w:rPr>
          <w:spacing w:val="-12"/>
        </w:rPr>
        <w:t> </w:t>
      </w:r>
      <w:r>
        <w:rPr/>
        <w:t>about</w:t>
      </w:r>
      <w:r>
        <w:rPr>
          <w:spacing w:val="-12"/>
        </w:rPr>
        <w:t> </w:t>
      </w:r>
      <w:r>
        <w:rPr/>
        <w:t>adultery</w:t>
      </w:r>
      <w:r>
        <w:rPr>
          <w:spacing w:val="-13"/>
        </w:rPr>
        <w:t> </w:t>
      </w:r>
      <w:r>
        <w:rPr/>
        <w:t>with</w:t>
      </w:r>
      <w:r>
        <w:rPr>
          <w:spacing w:val="-10"/>
        </w:rPr>
        <w:t> </w:t>
      </w:r>
      <w:r>
        <w:rPr/>
        <w:t>Emilia.</w:t>
      </w:r>
      <w:r>
        <w:rPr>
          <w:spacing w:val="-12"/>
        </w:rPr>
        <w:t> </w:t>
      </w:r>
      <w:r>
        <w:rPr/>
        <w:t>This</w:t>
      </w:r>
      <w:r>
        <w:rPr>
          <w:spacing w:val="-11"/>
        </w:rPr>
        <w:t> </w:t>
      </w:r>
      <w:r>
        <w:rPr/>
        <w:t>also</w:t>
      </w:r>
      <w:r>
        <w:rPr>
          <w:spacing w:val="-11"/>
        </w:rPr>
        <w:t> </w:t>
      </w:r>
      <w:r>
        <w:rPr/>
        <w:t>ends</w:t>
      </w:r>
      <w:r>
        <w:rPr>
          <w:spacing w:val="-11"/>
        </w:rPr>
        <w:t> </w:t>
      </w:r>
      <w:r>
        <w:rPr/>
        <w:t>with her</w:t>
      </w:r>
      <w:r>
        <w:rPr>
          <w:spacing w:val="40"/>
        </w:rPr>
        <w:t> </w:t>
      </w:r>
      <w:r>
        <w:rPr/>
        <w:t>taking the blame for her own murder in the society’s eyes despite she being innocent . Even critics who defend Desdemona’s chastity often do so by defining chastity in ways that exonerate her that is, by insisting</w:t>
      </w:r>
      <w:r>
        <w:rPr>
          <w:spacing w:val="40"/>
        </w:rPr>
        <w:t> </w:t>
      </w:r>
      <w:r>
        <w:rPr/>
        <w:t>she</w:t>
      </w:r>
      <w:r>
        <w:rPr>
          <w:spacing w:val="40"/>
        </w:rPr>
        <w:t> </w:t>
      </w:r>
      <w:r>
        <w:rPr/>
        <w:t>never</w:t>
      </w:r>
      <w:r>
        <w:rPr>
          <w:spacing w:val="40"/>
        </w:rPr>
        <w:t> </w:t>
      </w:r>
      <w:r>
        <w:rPr/>
        <w:t>committed</w:t>
      </w:r>
      <w:r>
        <w:rPr>
          <w:spacing w:val="40"/>
        </w:rPr>
        <w:t> </w:t>
      </w:r>
      <w:r>
        <w:rPr/>
        <w:t>adultery.</w:t>
      </w:r>
    </w:p>
    <w:p>
      <w:pPr>
        <w:pStyle w:val="BodyText"/>
        <w:spacing w:line="254" w:lineRule="auto" w:before="61"/>
        <w:ind w:right="1441" w:firstLine="432"/>
        <w:jc w:val="both"/>
      </w:pPr>
      <w:r>
        <w:rPr>
          <w:spacing w:val="-2"/>
        </w:rPr>
        <w:t>One</w:t>
      </w:r>
      <w:r>
        <w:rPr>
          <w:spacing w:val="-11"/>
        </w:rPr>
        <w:t> </w:t>
      </w:r>
      <w:r>
        <w:rPr>
          <w:spacing w:val="-2"/>
        </w:rPr>
        <w:t>of</w:t>
      </w:r>
      <w:r>
        <w:rPr>
          <w:spacing w:val="-10"/>
        </w:rPr>
        <w:t> </w:t>
      </w:r>
      <w:r>
        <w:rPr>
          <w:spacing w:val="-2"/>
        </w:rPr>
        <w:t>the</w:t>
      </w:r>
      <w:r>
        <w:rPr>
          <w:spacing w:val="-11"/>
        </w:rPr>
        <w:t> </w:t>
      </w:r>
      <w:r>
        <w:rPr>
          <w:spacing w:val="-2"/>
        </w:rPr>
        <w:t>critics</w:t>
      </w:r>
      <w:r>
        <w:rPr>
          <w:spacing w:val="-10"/>
        </w:rPr>
        <w:t> </w:t>
      </w:r>
      <w:r>
        <w:rPr>
          <w:spacing w:val="-2"/>
        </w:rPr>
        <w:t>even</w:t>
      </w:r>
      <w:r>
        <w:rPr>
          <w:spacing w:val="-11"/>
        </w:rPr>
        <w:t> </w:t>
      </w:r>
      <w:r>
        <w:rPr>
          <w:spacing w:val="-2"/>
        </w:rPr>
        <w:t>exclaim</w:t>
      </w:r>
      <w:r>
        <w:rPr>
          <w:spacing w:val="-10"/>
        </w:rPr>
        <w:t> </w:t>
      </w:r>
      <w:r>
        <w:rPr>
          <w:spacing w:val="-2"/>
        </w:rPr>
        <w:t>that</w:t>
      </w:r>
      <w:r>
        <w:rPr>
          <w:spacing w:val="-11"/>
        </w:rPr>
        <w:t> </w:t>
      </w:r>
      <w:r>
        <w:rPr>
          <w:spacing w:val="-2"/>
        </w:rPr>
        <w:t>“many</w:t>
      </w:r>
      <w:r>
        <w:rPr>
          <w:spacing w:val="-10"/>
        </w:rPr>
        <w:t> </w:t>
      </w:r>
      <w:r>
        <w:rPr>
          <w:spacing w:val="-2"/>
        </w:rPr>
        <w:t>apologies</w:t>
      </w:r>
      <w:r>
        <w:rPr>
          <w:spacing w:val="-11"/>
        </w:rPr>
        <w:t> </w:t>
      </w:r>
      <w:r>
        <w:rPr>
          <w:spacing w:val="-2"/>
        </w:rPr>
        <w:t>for</w:t>
      </w:r>
      <w:r>
        <w:rPr>
          <w:spacing w:val="-10"/>
        </w:rPr>
        <w:t> </w:t>
      </w:r>
      <w:r>
        <w:rPr>
          <w:spacing w:val="-2"/>
        </w:rPr>
        <w:t>Desdemona </w:t>
      </w:r>
      <w:r>
        <w:rPr/>
        <w:t>selectively define</w:t>
      </w:r>
      <w:r>
        <w:rPr>
          <w:spacing w:val="18"/>
        </w:rPr>
        <w:t> </w:t>
      </w:r>
      <w:r>
        <w:rPr/>
        <w:t>chastity in order</w:t>
      </w:r>
      <w:r>
        <w:rPr>
          <w:spacing w:val="19"/>
        </w:rPr>
        <w:t> </w:t>
      </w:r>
      <w:r>
        <w:rPr/>
        <w:t>to</w:t>
      </w:r>
      <w:r>
        <w:rPr>
          <w:spacing w:val="18"/>
        </w:rPr>
        <w:t> </w:t>
      </w:r>
      <w:r>
        <w:rPr/>
        <w:t>exonerate</w:t>
      </w:r>
      <w:r>
        <w:rPr>
          <w:spacing w:val="18"/>
        </w:rPr>
        <w:t> </w:t>
      </w:r>
      <w:r>
        <w:rPr/>
        <w:t>her”.</w:t>
      </w:r>
      <w:r>
        <w:rPr>
          <w:spacing w:val="18"/>
        </w:rPr>
        <w:t> </w:t>
      </w:r>
      <w:r>
        <w:rPr/>
        <w:t>The</w:t>
      </w:r>
      <w:r>
        <w:rPr>
          <w:spacing w:val="16"/>
        </w:rPr>
        <w:t> </w:t>
      </w:r>
      <w:r>
        <w:rPr/>
        <w:t>trap</w:t>
      </w:r>
      <w:r>
        <w:rPr>
          <w:spacing w:val="20"/>
        </w:rPr>
        <w:t> </w:t>
      </w:r>
      <w:r>
        <w:rPr/>
        <w:t>is</w:t>
      </w:r>
      <w:r>
        <w:rPr>
          <w:spacing w:val="16"/>
        </w:rPr>
        <w:t> </w:t>
      </w:r>
      <w:r>
        <w:rPr/>
        <w:t>this: if Desdemona is chaste, she is a passive victim; if she is unchaste, she</w:t>
      </w:r>
      <w:r>
        <w:rPr>
          <w:spacing w:val="40"/>
        </w:rPr>
        <w:t> </w:t>
      </w:r>
      <w:r>
        <w:rPr/>
        <w:t>is</w:t>
      </w:r>
      <w:r>
        <w:rPr>
          <w:spacing w:val="18"/>
        </w:rPr>
        <w:t> </w:t>
      </w:r>
      <w:r>
        <w:rPr/>
        <w:t>a</w:t>
      </w:r>
      <w:r>
        <w:rPr>
          <w:spacing w:val="17"/>
        </w:rPr>
        <w:t> </w:t>
      </w:r>
      <w:r>
        <w:rPr/>
        <w:t>whore</w:t>
      </w:r>
      <w:r>
        <w:rPr>
          <w:spacing w:val="18"/>
        </w:rPr>
        <w:t> </w:t>
      </w:r>
      <w:r>
        <w:rPr/>
        <w:t>who</w:t>
      </w:r>
      <w:r>
        <w:rPr>
          <w:spacing w:val="21"/>
        </w:rPr>
        <w:t> </w:t>
      </w:r>
      <w:r>
        <w:rPr/>
        <w:t>deserves</w:t>
      </w:r>
      <w:r>
        <w:rPr>
          <w:spacing w:val="18"/>
        </w:rPr>
        <w:t> </w:t>
      </w:r>
      <w:r>
        <w:rPr/>
        <w:t>her</w:t>
      </w:r>
      <w:r>
        <w:rPr>
          <w:spacing w:val="17"/>
        </w:rPr>
        <w:t> </w:t>
      </w:r>
      <w:r>
        <w:rPr/>
        <w:t>fate.</w:t>
      </w:r>
      <w:r>
        <w:rPr>
          <w:spacing w:val="18"/>
        </w:rPr>
        <w:t> </w:t>
      </w:r>
      <w:r>
        <w:rPr/>
        <w:t>The</w:t>
      </w:r>
      <w:r>
        <w:rPr>
          <w:spacing w:val="18"/>
        </w:rPr>
        <w:t> </w:t>
      </w:r>
      <w:r>
        <w:rPr/>
        <w:t>dichotomy</w:t>
      </w:r>
      <w:r>
        <w:rPr>
          <w:spacing w:val="14"/>
        </w:rPr>
        <w:t> </w:t>
      </w:r>
      <w:r>
        <w:rPr/>
        <w:t>leaves</w:t>
      </w:r>
      <w:r>
        <w:rPr>
          <w:spacing w:val="16"/>
        </w:rPr>
        <w:t> </w:t>
      </w:r>
      <w:r>
        <w:rPr/>
        <w:t>no</w:t>
      </w:r>
      <w:r>
        <w:rPr>
          <w:spacing w:val="19"/>
        </w:rPr>
        <w:t> </w:t>
      </w:r>
      <w:r>
        <w:rPr/>
        <w:t>space</w:t>
      </w:r>
      <w:r>
        <w:rPr>
          <w:spacing w:val="18"/>
        </w:rPr>
        <w:t> </w:t>
      </w:r>
      <w:r>
        <w:rPr/>
        <w:t>for a</w:t>
      </w:r>
      <w:r>
        <w:rPr>
          <w:spacing w:val="26"/>
        </w:rPr>
        <w:t> </w:t>
      </w:r>
      <w:r>
        <w:rPr/>
        <w:t>sexually desiring female</w:t>
      </w:r>
      <w:r>
        <w:rPr>
          <w:spacing w:val="26"/>
        </w:rPr>
        <w:t> </w:t>
      </w:r>
      <w:r>
        <w:rPr/>
        <w:t>subject</w:t>
      </w:r>
      <w:r>
        <w:rPr>
          <w:spacing w:val="25"/>
        </w:rPr>
        <w:t> </w:t>
      </w:r>
      <w:r>
        <w:rPr/>
        <w:t>who is</w:t>
      </w:r>
      <w:r>
        <w:rPr>
          <w:spacing w:val="25"/>
        </w:rPr>
        <w:t> </w:t>
      </w:r>
      <w:r>
        <w:rPr/>
        <w:t>not</w:t>
      </w:r>
      <w:r>
        <w:rPr>
          <w:spacing w:val="26"/>
        </w:rPr>
        <w:t> </w:t>
      </w:r>
      <w:r>
        <w:rPr/>
        <w:t>either</w:t>
      </w:r>
      <w:r>
        <w:rPr>
          <w:spacing w:val="26"/>
        </w:rPr>
        <w:t> </w:t>
      </w:r>
      <w:r>
        <w:rPr/>
        <w:t>virgin</w:t>
      </w:r>
      <w:r>
        <w:rPr>
          <w:spacing w:val="25"/>
        </w:rPr>
        <w:t> </w:t>
      </w:r>
      <w:r>
        <w:rPr/>
        <w:t>or</w:t>
      </w:r>
      <w:r>
        <w:rPr>
          <w:spacing w:val="26"/>
        </w:rPr>
        <w:t> </w:t>
      </w:r>
      <w:r>
        <w:rPr/>
        <w:t>whore.</w:t>
      </w:r>
    </w:p>
    <w:p>
      <w:pPr>
        <w:pStyle w:val="BodyText"/>
        <w:spacing w:line="254" w:lineRule="auto" w:before="58"/>
        <w:ind w:right="1436" w:firstLine="432"/>
        <w:jc w:val="both"/>
      </w:pPr>
      <w:r>
        <w:rPr/>
        <w:t>Desdemona’s murder is the ruin toward which the entire play drives.</w:t>
      </w:r>
      <w:r>
        <w:rPr>
          <w:spacing w:val="-1"/>
        </w:rPr>
        <w:t> </w:t>
      </w:r>
      <w:r>
        <w:rPr/>
        <w:t>When</w:t>
      </w:r>
      <w:r>
        <w:rPr>
          <w:spacing w:val="-1"/>
        </w:rPr>
        <w:t> </w:t>
      </w:r>
      <w:r>
        <w:rPr/>
        <w:t>Othello</w:t>
      </w:r>
      <w:r>
        <w:rPr>
          <w:spacing w:val="-1"/>
        </w:rPr>
        <w:t> </w:t>
      </w:r>
      <w:r>
        <w:rPr/>
        <w:t>smothers</w:t>
      </w:r>
      <w:r>
        <w:rPr>
          <w:spacing w:val="-1"/>
        </w:rPr>
        <w:t> </w:t>
      </w:r>
      <w:r>
        <w:rPr/>
        <w:t>her, he is</w:t>
      </w:r>
      <w:r>
        <w:rPr>
          <w:spacing w:val="-1"/>
        </w:rPr>
        <w:t> </w:t>
      </w:r>
      <w:r>
        <w:rPr/>
        <w:t>executing</w:t>
      </w:r>
      <w:r>
        <w:rPr>
          <w:spacing w:val="-3"/>
        </w:rPr>
        <w:t> </w:t>
      </w:r>
      <w:r>
        <w:rPr/>
        <w:t>not merely</w:t>
      </w:r>
      <w:r>
        <w:rPr>
          <w:spacing w:val="-3"/>
        </w:rPr>
        <w:t> </w:t>
      </w:r>
      <w:r>
        <w:rPr/>
        <w:t>personal revenge but themurder is the ruin toward which the entire play drives. When</w:t>
      </w:r>
      <w:r>
        <w:rPr>
          <w:spacing w:val="-13"/>
        </w:rPr>
        <w:t> </w:t>
      </w:r>
      <w:r>
        <w:rPr/>
        <w:t>Othello</w:t>
      </w:r>
      <w:r>
        <w:rPr>
          <w:spacing w:val="-8"/>
        </w:rPr>
        <w:t> </w:t>
      </w:r>
      <w:r>
        <w:rPr/>
        <w:t>smothers</w:t>
      </w:r>
      <w:r>
        <w:rPr>
          <w:spacing w:val="-10"/>
        </w:rPr>
        <w:t> </w:t>
      </w:r>
      <w:r>
        <w:rPr/>
        <w:t>her,</w:t>
      </w:r>
      <w:r>
        <w:rPr>
          <w:spacing w:val="-9"/>
        </w:rPr>
        <w:t> </w:t>
      </w:r>
      <w:r>
        <w:rPr/>
        <w:t>he</w:t>
      </w:r>
      <w:r>
        <w:rPr>
          <w:spacing w:val="-11"/>
        </w:rPr>
        <w:t> </w:t>
      </w:r>
      <w:r>
        <w:rPr/>
        <w:t>is</w:t>
      </w:r>
      <w:r>
        <w:rPr>
          <w:spacing w:val="-10"/>
        </w:rPr>
        <w:t> </w:t>
      </w:r>
      <w:r>
        <w:rPr/>
        <w:t>executing</w:t>
      </w:r>
      <w:r>
        <w:rPr>
          <w:spacing w:val="-10"/>
        </w:rPr>
        <w:t> </w:t>
      </w:r>
      <w:r>
        <w:rPr/>
        <w:t>not</w:t>
      </w:r>
      <w:r>
        <w:rPr>
          <w:spacing w:val="-10"/>
        </w:rPr>
        <w:t> </w:t>
      </w:r>
      <w:r>
        <w:rPr/>
        <w:t>merely</w:t>
      </w:r>
      <w:r>
        <w:rPr>
          <w:spacing w:val="-13"/>
        </w:rPr>
        <w:t> </w:t>
      </w:r>
      <w:r>
        <w:rPr/>
        <w:t>personal</w:t>
      </w:r>
      <w:r>
        <w:rPr>
          <w:spacing w:val="-10"/>
        </w:rPr>
        <w:t> </w:t>
      </w:r>
      <w:r>
        <w:rPr/>
        <w:t>revenge but the logic of a system that equates female honor with sexual purity. She dies</w:t>
      </w:r>
      <w:r>
        <w:rPr>
          <w:spacing w:val="-2"/>
        </w:rPr>
        <w:t> </w:t>
      </w:r>
      <w:r>
        <w:rPr/>
        <w:t>protesting her innocence</w:t>
      </w:r>
      <w:r>
        <w:rPr>
          <w:spacing w:val="-1"/>
        </w:rPr>
        <w:t> </w:t>
      </w:r>
      <w:r>
        <w:rPr/>
        <w:t>“A guiltless death I die” (5.2.120)but her protest</w:t>
      </w:r>
      <w:r>
        <w:rPr>
          <w:spacing w:val="-1"/>
        </w:rPr>
        <w:t> </w:t>
      </w:r>
      <w:r>
        <w:rPr/>
        <w:t>is meaningless. Fate, in the form</w:t>
      </w:r>
      <w:r>
        <w:rPr>
          <w:spacing w:val="-3"/>
        </w:rPr>
        <w:t> </w:t>
      </w:r>
      <w:r>
        <w:rPr/>
        <w:t>of</w:t>
      </w:r>
      <w:r>
        <w:rPr>
          <w:spacing w:val="-2"/>
        </w:rPr>
        <w:t> </w:t>
      </w:r>
      <w:r>
        <w:rPr/>
        <w:t>Iago’s</w:t>
      </w:r>
      <w:r>
        <w:rPr>
          <w:spacing w:val="-2"/>
        </w:rPr>
        <w:t> </w:t>
      </w:r>
      <w:r>
        <w:rPr/>
        <w:t>machinations and Othello’s</w:t>
      </w:r>
      <w:r>
        <w:rPr>
          <w:spacing w:val="-5"/>
        </w:rPr>
        <w:t> </w:t>
      </w:r>
      <w:r>
        <w:rPr/>
        <w:t>tragic</w:t>
      </w:r>
      <w:r>
        <w:rPr>
          <w:spacing w:val="-4"/>
        </w:rPr>
        <w:t> </w:t>
      </w:r>
      <w:r>
        <w:rPr/>
        <w:t>credulity,</w:t>
      </w:r>
      <w:r>
        <w:rPr>
          <w:spacing w:val="-5"/>
        </w:rPr>
        <w:t> </w:t>
      </w:r>
      <w:r>
        <w:rPr/>
        <w:t>has</w:t>
      </w:r>
      <w:r>
        <w:rPr>
          <w:spacing w:val="-6"/>
        </w:rPr>
        <w:t> </w:t>
      </w:r>
      <w:r>
        <w:rPr/>
        <w:t>already</w:t>
      </w:r>
      <w:r>
        <w:rPr>
          <w:spacing w:val="-8"/>
        </w:rPr>
        <w:t> </w:t>
      </w:r>
      <w:r>
        <w:rPr/>
        <w:t>sealed</w:t>
      </w:r>
      <w:r>
        <w:rPr>
          <w:spacing w:val="-3"/>
        </w:rPr>
        <w:t> </w:t>
      </w:r>
      <w:r>
        <w:rPr/>
        <w:t>her</w:t>
      </w:r>
      <w:r>
        <w:rPr>
          <w:spacing w:val="-5"/>
        </w:rPr>
        <w:t> </w:t>
      </w:r>
      <w:r>
        <w:rPr/>
        <w:t>end.</w:t>
      </w:r>
      <w:r>
        <w:rPr>
          <w:spacing w:val="-6"/>
        </w:rPr>
        <w:t> </w:t>
      </w:r>
      <w:r>
        <w:rPr/>
        <w:t>The</w:t>
      </w:r>
      <w:r>
        <w:rPr>
          <w:spacing w:val="-4"/>
        </w:rPr>
        <w:t> </w:t>
      </w:r>
      <w:r>
        <w:rPr/>
        <w:t>handkerchief, that trivial object, becomes the material sign of</w:t>
      </w:r>
      <w:r>
        <w:rPr>
          <w:spacing w:val="-1"/>
        </w:rPr>
        <w:t> </w:t>
      </w:r>
      <w:r>
        <w:rPr/>
        <w:t>her alleged infidelity; it is “the token of her chastity” transformed into the evidence of her whoredom. Desdemona’s initial agency in eloping is not simply erased but</w:t>
      </w:r>
      <w:r>
        <w:rPr>
          <w:spacing w:val="-13"/>
        </w:rPr>
        <w:t> </w:t>
      </w:r>
      <w:r>
        <w:rPr/>
        <w:t>retroactively</w:t>
      </w:r>
      <w:r>
        <w:rPr>
          <w:spacing w:val="-12"/>
        </w:rPr>
        <w:t> </w:t>
      </w:r>
      <w:r>
        <w:rPr/>
        <w:t>punished</w:t>
      </w:r>
      <w:r>
        <w:rPr>
          <w:spacing w:val="-13"/>
        </w:rPr>
        <w:t> </w:t>
      </w:r>
      <w:r>
        <w:rPr/>
        <w:t>by</w:t>
      </w:r>
      <w:r>
        <w:rPr>
          <w:spacing w:val="-12"/>
        </w:rPr>
        <w:t> </w:t>
      </w:r>
      <w:r>
        <w:rPr/>
        <w:t>the</w:t>
      </w:r>
      <w:r>
        <w:rPr>
          <w:spacing w:val="-13"/>
        </w:rPr>
        <w:t> </w:t>
      </w:r>
      <w:r>
        <w:rPr/>
        <w:t>play’s</w:t>
      </w:r>
      <w:r>
        <w:rPr>
          <w:spacing w:val="-12"/>
        </w:rPr>
        <w:t> </w:t>
      </w:r>
      <w:r>
        <w:rPr/>
        <w:t>fatal</w:t>
      </w:r>
      <w:r>
        <w:rPr>
          <w:spacing w:val="-13"/>
        </w:rPr>
        <w:t> </w:t>
      </w:r>
      <w:r>
        <w:rPr/>
        <w:t>logic.</w:t>
      </w:r>
      <w:r>
        <w:rPr>
          <w:spacing w:val="-12"/>
        </w:rPr>
        <w:t> </w:t>
      </w:r>
      <w:r>
        <w:rPr/>
        <w:t>Had</w:t>
      </w:r>
      <w:r>
        <w:rPr>
          <w:spacing w:val="-13"/>
        </w:rPr>
        <w:t> </w:t>
      </w:r>
      <w:r>
        <w:rPr/>
        <w:t>she</w:t>
      </w:r>
      <w:r>
        <w:rPr>
          <w:spacing w:val="-12"/>
        </w:rPr>
        <w:t> </w:t>
      </w:r>
      <w:r>
        <w:rPr/>
        <w:t>not</w:t>
      </w:r>
      <w:r>
        <w:rPr>
          <w:spacing w:val="-13"/>
        </w:rPr>
        <w:t> </w:t>
      </w:r>
      <w:r>
        <w:rPr/>
        <w:t>exercised that agency had she remained obedient to her father she would never have married Othello at all. But then there would be no play. Tragedy requires</w:t>
      </w:r>
      <w:r>
        <w:rPr>
          <w:spacing w:val="40"/>
        </w:rPr>
        <w:t> </w:t>
      </w:r>
      <w:r>
        <w:rPr/>
        <w:t>that</w:t>
      </w:r>
      <w:r>
        <w:rPr>
          <w:spacing w:val="40"/>
        </w:rPr>
        <w:t> </w:t>
      </w:r>
      <w:r>
        <w:rPr/>
        <w:t>virtue</w:t>
      </w:r>
      <w:r>
        <w:rPr>
          <w:spacing w:val="40"/>
        </w:rPr>
        <w:t> </w:t>
      </w:r>
      <w:r>
        <w:rPr/>
        <w:t>be</w:t>
      </w:r>
      <w:r>
        <w:rPr>
          <w:spacing w:val="40"/>
        </w:rPr>
        <w:t> </w:t>
      </w:r>
      <w:r>
        <w:rPr/>
        <w:t>exercised</w:t>
      </w:r>
      <w:r>
        <w:rPr>
          <w:spacing w:val="40"/>
        </w:rPr>
        <w:t> </w:t>
      </w:r>
      <w:r>
        <w:rPr/>
        <w:t>and</w:t>
      </w:r>
      <w:r>
        <w:rPr>
          <w:spacing w:val="40"/>
        </w:rPr>
        <w:t> </w:t>
      </w:r>
      <w:r>
        <w:rPr/>
        <w:t>then</w:t>
      </w:r>
      <w:r>
        <w:rPr>
          <w:spacing w:val="40"/>
        </w:rPr>
        <w:t> </w:t>
      </w:r>
      <w:r>
        <w:rPr/>
        <w:t>destroyed.</w:t>
      </w:r>
    </w:p>
    <w:p>
      <w:pPr>
        <w:pStyle w:val="BodyText"/>
        <w:spacing w:after="0" w:line="25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77632">
                <wp:simplePos x="0" y="0"/>
                <wp:positionH relativeFrom="page">
                  <wp:posOffset>2065020</wp:posOffset>
                </wp:positionH>
                <wp:positionV relativeFrom="paragraph">
                  <wp:posOffset>162604</wp:posOffset>
                </wp:positionV>
                <wp:extent cx="3657600" cy="12700"/>
                <wp:effectExtent l="0" t="0" r="0" b="0"/>
                <wp:wrapTopAndBottom/>
                <wp:docPr id="776" name="Graphic 776"/>
                <wp:cNvGraphicFramePr>
                  <a:graphicFrameLocks/>
                </wp:cNvGraphicFramePr>
                <a:graphic>
                  <a:graphicData uri="http://schemas.microsoft.com/office/word/2010/wordprocessingShape">
                    <wps:wsp>
                      <wps:cNvPr id="776" name="Graphic 77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38848;mso-wrap-distance-left:0;mso-wrap-distance-right:0" id="docshape768" filled="true" fillcolor="#000000" stroked="false">
                <v:fill type="solid"/>
                <w10:wrap type="topAndBottom"/>
              </v:rect>
            </w:pict>
          </mc:Fallback>
        </mc:AlternateContent>
      </w:r>
      <w:r>
        <w:rPr>
          <w:rFonts w:ascii="Verdana"/>
          <w:sz w:val="18"/>
        </w:rPr>
        <w:t>Between</w:t>
      </w:r>
      <w:r>
        <w:rPr>
          <w:rFonts w:ascii="Verdana"/>
          <w:spacing w:val="-1"/>
          <w:sz w:val="18"/>
        </w:rPr>
        <w:t> </w:t>
      </w:r>
      <w:r>
        <w:rPr>
          <w:rFonts w:ascii="Verdana"/>
          <w:sz w:val="18"/>
        </w:rPr>
        <w:t>Joy</w:t>
      </w:r>
      <w:r>
        <w:rPr>
          <w:rFonts w:ascii="Verdana"/>
          <w:spacing w:val="-1"/>
          <w:sz w:val="18"/>
        </w:rPr>
        <w:t> </w:t>
      </w:r>
      <w:r>
        <w:rPr>
          <w:rFonts w:ascii="Verdana"/>
          <w:sz w:val="18"/>
        </w:rPr>
        <w:t>and</w:t>
      </w:r>
      <w:r>
        <w:rPr>
          <w:rFonts w:ascii="Verdana"/>
          <w:spacing w:val="-1"/>
          <w:sz w:val="18"/>
        </w:rPr>
        <w:t> </w:t>
      </w:r>
      <w:r>
        <w:rPr>
          <w:rFonts w:ascii="Verdana"/>
          <w:sz w:val="18"/>
        </w:rPr>
        <w:t>Ruin:</w:t>
      </w:r>
      <w:r>
        <w:rPr>
          <w:rFonts w:ascii="Verdana"/>
          <w:spacing w:val="-1"/>
          <w:sz w:val="18"/>
        </w:rPr>
        <w:t> </w:t>
      </w:r>
      <w:r>
        <w:rPr>
          <w:rFonts w:ascii="Verdana"/>
          <w:sz w:val="18"/>
        </w:rPr>
        <w:t>The</w:t>
      </w:r>
      <w:r>
        <w:rPr>
          <w:rFonts w:ascii="Verdana"/>
          <w:spacing w:val="2"/>
          <w:sz w:val="18"/>
        </w:rPr>
        <w:t> </w:t>
      </w:r>
      <w:r>
        <w:rPr>
          <w:rFonts w:ascii="Verdana"/>
          <w:sz w:val="18"/>
        </w:rPr>
        <w:t>Role of Women Under</w:t>
      </w:r>
      <w:r>
        <w:rPr>
          <w:rFonts w:ascii="Verdana"/>
          <w:spacing w:val="1"/>
          <w:sz w:val="18"/>
        </w:rPr>
        <w:t> </w:t>
      </w:r>
      <w:r>
        <w:rPr>
          <w:rFonts w:ascii="Verdana"/>
          <w:spacing w:val="-2"/>
          <w:sz w:val="18"/>
        </w:rPr>
        <w:t>the...</w:t>
      </w:r>
      <w:r>
        <w:rPr>
          <w:rFonts w:ascii="Verdana"/>
          <w:sz w:val="18"/>
        </w:rPr>
        <w:tab/>
      </w:r>
      <w:r>
        <w:rPr>
          <w:rFonts w:ascii="Verdana"/>
          <w:spacing w:val="-5"/>
          <w:sz w:val="18"/>
        </w:rPr>
        <w:t>395</w:t>
      </w:r>
    </w:p>
    <w:p>
      <w:pPr>
        <w:pStyle w:val="Heading3"/>
      </w:pPr>
      <w:r>
        <w:rPr>
          <w:w w:val="85"/>
        </w:rPr>
        <w:t>KING</w:t>
      </w:r>
      <w:r>
        <w:rPr>
          <w:spacing w:val="14"/>
        </w:rPr>
        <w:t> </w:t>
      </w:r>
      <w:r>
        <w:rPr>
          <w:w w:val="85"/>
        </w:rPr>
        <w:t>LEAR:</w:t>
      </w:r>
      <w:r>
        <w:rPr>
          <w:spacing w:val="12"/>
        </w:rPr>
        <w:t> </w:t>
      </w:r>
      <w:r>
        <w:rPr>
          <w:w w:val="85"/>
        </w:rPr>
        <w:t>THE</w:t>
      </w:r>
      <w:r>
        <w:rPr>
          <w:spacing w:val="10"/>
        </w:rPr>
        <w:t> </w:t>
      </w:r>
      <w:r>
        <w:rPr>
          <w:w w:val="85"/>
        </w:rPr>
        <w:t>LIMITS</w:t>
      </w:r>
      <w:r>
        <w:rPr>
          <w:spacing w:val="12"/>
        </w:rPr>
        <w:t> </w:t>
      </w:r>
      <w:r>
        <w:rPr>
          <w:w w:val="85"/>
        </w:rPr>
        <w:t>OF</w:t>
      </w:r>
      <w:r>
        <w:rPr>
          <w:spacing w:val="12"/>
        </w:rPr>
        <w:t> </w:t>
      </w:r>
      <w:r>
        <w:rPr>
          <w:w w:val="85"/>
        </w:rPr>
        <w:t>MARITAL</w:t>
      </w:r>
      <w:r>
        <w:rPr>
          <w:spacing w:val="13"/>
        </w:rPr>
        <w:t> </w:t>
      </w:r>
      <w:r>
        <w:rPr>
          <w:spacing w:val="-2"/>
          <w:w w:val="85"/>
        </w:rPr>
        <w:t>LOYALTY</w:t>
      </w:r>
    </w:p>
    <w:p>
      <w:pPr>
        <w:pStyle w:val="BodyText"/>
        <w:spacing w:line="249" w:lineRule="auto" w:before="75"/>
        <w:ind w:right="1436" w:firstLine="432"/>
        <w:jc w:val="both"/>
      </w:pPr>
      <w:r>
        <w:rPr/>
        <w:t>King Lear offers a more complex comparative model. Unlike the women of Measure for Measure and Othello, Cordelia, Goneril, and Regan are all married, and their marriages provide the structure for the play’s political and familial conflicts. Yet the marriages function very differently. Cordelia’s marriage to the King of France is “genuinely </w:t>
      </w:r>
      <w:r>
        <w:rPr>
          <w:spacing w:val="-2"/>
        </w:rPr>
        <w:t>affectionate and freely</w:t>
      </w:r>
      <w:r>
        <w:rPr>
          <w:spacing w:val="-8"/>
        </w:rPr>
        <w:t> </w:t>
      </w:r>
      <w:r>
        <w:rPr>
          <w:spacing w:val="-2"/>
        </w:rPr>
        <w:t>chosen” a rare</w:t>
      </w:r>
      <w:r>
        <w:rPr>
          <w:spacing w:val="-3"/>
        </w:rPr>
        <w:t> </w:t>
      </w:r>
      <w:r>
        <w:rPr>
          <w:spacing w:val="-2"/>
        </w:rPr>
        <w:t>instance</w:t>
      </w:r>
      <w:r>
        <w:rPr>
          <w:spacing w:val="-4"/>
        </w:rPr>
        <w:t> </w:t>
      </w:r>
      <w:r>
        <w:rPr>
          <w:spacing w:val="-2"/>
        </w:rPr>
        <w:t>in</w:t>
      </w:r>
      <w:r>
        <w:rPr>
          <w:spacing w:val="-3"/>
        </w:rPr>
        <w:t> </w:t>
      </w:r>
      <w:r>
        <w:rPr>
          <w:spacing w:val="-2"/>
        </w:rPr>
        <w:t>Shakespeare’s</w:t>
      </w:r>
      <w:r>
        <w:rPr>
          <w:spacing w:val="-3"/>
        </w:rPr>
        <w:t> </w:t>
      </w:r>
      <w:r>
        <w:rPr>
          <w:spacing w:val="-2"/>
        </w:rPr>
        <w:t>tragedies </w:t>
      </w:r>
      <w:r>
        <w:rPr/>
        <w:t>of a marriage founded on mutual respect and honest feeling. When Burgundy withdraws his suit upon learning Cordelia has no dowry, France</w:t>
      </w:r>
      <w:r>
        <w:rPr>
          <w:spacing w:val="-3"/>
        </w:rPr>
        <w:t> </w:t>
      </w:r>
      <w:r>
        <w:rPr/>
        <w:t>sees</w:t>
      </w:r>
      <w:r>
        <w:rPr>
          <w:spacing w:val="-4"/>
        </w:rPr>
        <w:t> </w:t>
      </w:r>
      <w:r>
        <w:rPr/>
        <w:t>in</w:t>
      </w:r>
      <w:r>
        <w:rPr>
          <w:spacing w:val="-4"/>
        </w:rPr>
        <w:t> </w:t>
      </w:r>
      <w:r>
        <w:rPr/>
        <w:t>her disinheritance</w:t>
      </w:r>
      <w:r>
        <w:rPr>
          <w:spacing w:val="-3"/>
        </w:rPr>
        <w:t> </w:t>
      </w:r>
      <w:r>
        <w:rPr/>
        <w:t>a</w:t>
      </w:r>
      <w:r>
        <w:rPr>
          <w:spacing w:val="-3"/>
        </w:rPr>
        <w:t> </w:t>
      </w:r>
      <w:r>
        <w:rPr/>
        <w:t>proof</w:t>
      </w:r>
      <w:r>
        <w:rPr>
          <w:spacing w:val="-4"/>
        </w:rPr>
        <w:t> </w:t>
      </w:r>
      <w:r>
        <w:rPr/>
        <w:t>of</w:t>
      </w:r>
      <w:r>
        <w:rPr>
          <w:spacing w:val="-4"/>
        </w:rPr>
        <w:t> </w:t>
      </w:r>
      <w:r>
        <w:rPr/>
        <w:t>her</w:t>
      </w:r>
      <w:r>
        <w:rPr>
          <w:spacing w:val="-2"/>
        </w:rPr>
        <w:t> </w:t>
      </w:r>
      <w:r>
        <w:rPr/>
        <w:t>integrity: “She</w:t>
      </w:r>
      <w:r>
        <w:rPr>
          <w:spacing w:val="-4"/>
        </w:rPr>
        <w:t> </w:t>
      </w:r>
      <w:r>
        <w:rPr/>
        <w:t>is</w:t>
      </w:r>
      <w:r>
        <w:rPr>
          <w:spacing w:val="-4"/>
        </w:rPr>
        <w:t> </w:t>
      </w:r>
      <w:r>
        <w:rPr/>
        <w:t>herself a dowry” (1.1.241). France chooses Cordelia for what she is, not for what she brings. This, we might think, is joy in marriage.</w:t>
      </w:r>
    </w:p>
    <w:p>
      <w:pPr>
        <w:pStyle w:val="BodyText"/>
        <w:spacing w:line="249" w:lineRule="auto" w:before="67"/>
        <w:ind w:right="1439" w:firstLine="432"/>
        <w:jc w:val="both"/>
      </w:pPr>
      <w:r>
        <w:rPr/>
        <w:t>Yet Cordelia’s marriage is also the play’s most poignant site of tragic conflict. She loves her father as well as her husband, and when Lear is cast out onto the heath, she feels obliged to rescue him. She invades her native country with a French army, but the invasion fails, and she is hanged on Edmund’s orders. Her fate is cruel: “Cordelia’s happiness is sacrificed to the larger tragedy of Lear’s blindness”. The play offers no comfort. Lear dies holding her body, believing for a desperate</w:t>
      </w:r>
      <w:r>
        <w:rPr>
          <w:spacing w:val="-9"/>
        </w:rPr>
        <w:t> </w:t>
      </w:r>
      <w:r>
        <w:rPr/>
        <w:t>moment</w:t>
      </w:r>
      <w:r>
        <w:rPr>
          <w:spacing w:val="-1"/>
        </w:rPr>
        <w:t> </w:t>
      </w:r>
      <w:r>
        <w:rPr/>
        <w:t>that</w:t>
      </w:r>
      <w:r>
        <w:rPr>
          <w:spacing w:val="-3"/>
        </w:rPr>
        <w:t> </w:t>
      </w:r>
      <w:r>
        <w:rPr/>
        <w:t>she</w:t>
      </w:r>
      <w:r>
        <w:rPr>
          <w:spacing w:val="-5"/>
        </w:rPr>
        <w:t> </w:t>
      </w:r>
      <w:r>
        <w:rPr/>
        <w:t>still</w:t>
      </w:r>
      <w:r>
        <w:rPr>
          <w:spacing w:val="-5"/>
        </w:rPr>
        <w:t> </w:t>
      </w:r>
      <w:r>
        <w:rPr/>
        <w:t>breathes.</w:t>
      </w:r>
      <w:r>
        <w:rPr>
          <w:spacing w:val="-12"/>
        </w:rPr>
        <w:t> </w:t>
      </w:r>
      <w:r>
        <w:rPr/>
        <w:t>A</w:t>
      </w:r>
      <w:r>
        <w:rPr>
          <w:spacing w:val="-13"/>
        </w:rPr>
        <w:t> </w:t>
      </w:r>
      <w:r>
        <w:rPr/>
        <w:t>different</w:t>
      </w:r>
      <w:r>
        <w:rPr>
          <w:spacing w:val="-3"/>
        </w:rPr>
        <w:t> </w:t>
      </w:r>
      <w:r>
        <w:rPr/>
        <w:t>legal</w:t>
      </w:r>
      <w:r>
        <w:rPr>
          <w:spacing w:val="-3"/>
        </w:rPr>
        <w:t> </w:t>
      </w:r>
      <w:r>
        <w:rPr/>
        <w:t>order</w:t>
      </w:r>
      <w:r>
        <w:rPr>
          <w:spacing w:val="-1"/>
        </w:rPr>
        <w:t> </w:t>
      </w:r>
      <w:r>
        <w:rPr/>
        <w:t>one</w:t>
      </w:r>
      <w:r>
        <w:rPr>
          <w:spacing w:val="-5"/>
        </w:rPr>
        <w:t> </w:t>
      </w:r>
      <w:r>
        <w:rPr/>
        <w:t>that did not absorb a wife’s identity into her husband’s might have allowed Cordelia to remain in</w:t>
      </w:r>
      <w:r>
        <w:rPr>
          <w:spacing w:val="-1"/>
        </w:rPr>
        <w:t> </w:t>
      </w:r>
      <w:r>
        <w:rPr/>
        <w:t>France, to send an</w:t>
      </w:r>
      <w:r>
        <w:rPr>
          <w:spacing w:val="-1"/>
        </w:rPr>
        <w:t> </w:t>
      </w:r>
      <w:r>
        <w:rPr/>
        <w:t>army</w:t>
      </w:r>
      <w:r>
        <w:rPr>
          <w:spacing w:val="-3"/>
        </w:rPr>
        <w:t> </w:t>
      </w:r>
      <w:r>
        <w:rPr/>
        <w:t>without accompanying</w:t>
      </w:r>
      <w:r>
        <w:rPr>
          <w:spacing w:val="-1"/>
        </w:rPr>
        <w:t> </w:t>
      </w:r>
      <w:r>
        <w:rPr/>
        <w:t>it herself, to honor both her filial and marital duties. But the tragedy’s logic</w:t>
      </w:r>
      <w:r>
        <w:rPr>
          <w:spacing w:val="-6"/>
        </w:rPr>
        <w:t> </w:t>
      </w:r>
      <w:r>
        <w:rPr/>
        <w:t>demands</w:t>
      </w:r>
      <w:r>
        <w:rPr>
          <w:spacing w:val="-5"/>
        </w:rPr>
        <w:t> </w:t>
      </w:r>
      <w:r>
        <w:rPr/>
        <w:t>that</w:t>
      </w:r>
      <w:r>
        <w:rPr>
          <w:spacing w:val="-7"/>
        </w:rPr>
        <w:t> </w:t>
      </w:r>
      <w:r>
        <w:rPr/>
        <w:t>she</w:t>
      </w:r>
      <w:r>
        <w:rPr>
          <w:spacing w:val="-2"/>
        </w:rPr>
        <w:t> </w:t>
      </w:r>
      <w:r>
        <w:rPr/>
        <w:t>choose,</w:t>
      </w:r>
      <w:r>
        <w:rPr>
          <w:spacing w:val="-5"/>
        </w:rPr>
        <w:t> </w:t>
      </w:r>
      <w:r>
        <w:rPr/>
        <w:t>and</w:t>
      </w:r>
      <w:r>
        <w:rPr>
          <w:spacing w:val="-1"/>
        </w:rPr>
        <w:t> </w:t>
      </w:r>
      <w:r>
        <w:rPr/>
        <w:t>her</w:t>
      </w:r>
      <w:r>
        <w:rPr>
          <w:spacing w:val="-5"/>
        </w:rPr>
        <w:t> </w:t>
      </w:r>
      <w:r>
        <w:rPr/>
        <w:t>choice</w:t>
      </w:r>
      <w:r>
        <w:rPr>
          <w:spacing w:val="-4"/>
        </w:rPr>
        <w:t> </w:t>
      </w:r>
      <w:r>
        <w:rPr/>
        <w:t>of</w:t>
      </w:r>
      <w:r>
        <w:rPr>
          <w:spacing w:val="-7"/>
        </w:rPr>
        <w:t> </w:t>
      </w:r>
      <w:r>
        <w:rPr/>
        <w:t>filial</w:t>
      </w:r>
      <w:r>
        <w:rPr>
          <w:spacing w:val="-4"/>
        </w:rPr>
        <w:t> </w:t>
      </w:r>
      <w:r>
        <w:rPr/>
        <w:t>duty</w:t>
      </w:r>
      <w:r>
        <w:rPr>
          <w:spacing w:val="-8"/>
        </w:rPr>
        <w:t> </w:t>
      </w:r>
      <w:r>
        <w:rPr/>
        <w:t>over</w:t>
      </w:r>
      <w:r>
        <w:rPr>
          <w:spacing w:val="-3"/>
        </w:rPr>
        <w:t> </w:t>
      </w:r>
      <w:r>
        <w:rPr/>
        <w:t>marital loyalty</w:t>
      </w:r>
      <w:r>
        <w:rPr>
          <w:spacing w:val="40"/>
        </w:rPr>
        <w:t> </w:t>
      </w:r>
      <w:r>
        <w:rPr/>
        <w:t>leads</w:t>
      </w:r>
      <w:r>
        <w:rPr>
          <w:spacing w:val="40"/>
        </w:rPr>
        <w:t> </w:t>
      </w:r>
      <w:r>
        <w:rPr/>
        <w:t>directly</w:t>
      </w:r>
      <w:r>
        <w:rPr>
          <w:spacing w:val="40"/>
        </w:rPr>
        <w:t> </w:t>
      </w:r>
      <w:r>
        <w:rPr/>
        <w:t>to</w:t>
      </w:r>
      <w:r>
        <w:rPr>
          <w:spacing w:val="40"/>
        </w:rPr>
        <w:t> </w:t>
      </w:r>
      <w:r>
        <w:rPr/>
        <w:t>her</w:t>
      </w:r>
      <w:r>
        <w:rPr>
          <w:spacing w:val="40"/>
        </w:rPr>
        <w:t> </w:t>
      </w:r>
      <w:r>
        <w:rPr/>
        <w:t>death.</w:t>
      </w:r>
    </w:p>
    <w:p>
      <w:pPr>
        <w:pStyle w:val="BodyText"/>
        <w:spacing w:line="249" w:lineRule="auto" w:before="70"/>
        <w:ind w:right="1437" w:firstLine="432"/>
        <w:jc w:val="both"/>
      </w:pPr>
      <w:r>
        <w:rPr/>
        <w:t>Goneril and Regan present a contrast. Their marriages to Albany and Cornwall are hollow; the sisters feel no genuine loyalty to their husbands, and both pursue an adulterous desire for Edmund. In doing so,</w:t>
      </w:r>
      <w:r>
        <w:rPr>
          <w:spacing w:val="-3"/>
        </w:rPr>
        <w:t> </w:t>
      </w:r>
      <w:r>
        <w:rPr/>
        <w:t>they</w:t>
      </w:r>
      <w:r>
        <w:rPr>
          <w:spacing w:val="-11"/>
        </w:rPr>
        <w:t> </w:t>
      </w:r>
      <w:r>
        <w:rPr/>
        <w:t>assert</w:t>
      </w:r>
      <w:r>
        <w:rPr>
          <w:spacing w:val="-4"/>
        </w:rPr>
        <w:t> </w:t>
      </w:r>
      <w:r>
        <w:rPr/>
        <w:t>a</w:t>
      </w:r>
      <w:r>
        <w:rPr>
          <w:spacing w:val="-3"/>
        </w:rPr>
        <w:t> </w:t>
      </w:r>
      <w:r>
        <w:rPr/>
        <w:t>kind</w:t>
      </w:r>
      <w:r>
        <w:rPr>
          <w:spacing w:val="-5"/>
        </w:rPr>
        <w:t> </w:t>
      </w:r>
      <w:r>
        <w:rPr/>
        <w:t>of</w:t>
      </w:r>
      <w:r>
        <w:rPr>
          <w:spacing w:val="-6"/>
        </w:rPr>
        <w:t> </w:t>
      </w:r>
      <w:r>
        <w:rPr/>
        <w:t>sexual</w:t>
      </w:r>
      <w:r>
        <w:rPr>
          <w:spacing w:val="-6"/>
        </w:rPr>
        <w:t> </w:t>
      </w:r>
      <w:r>
        <w:rPr/>
        <w:t>and</w:t>
      </w:r>
      <w:r>
        <w:rPr>
          <w:spacing w:val="-3"/>
        </w:rPr>
        <w:t> </w:t>
      </w:r>
      <w:r>
        <w:rPr/>
        <w:t>political</w:t>
      </w:r>
      <w:r>
        <w:rPr>
          <w:spacing w:val="-6"/>
        </w:rPr>
        <w:t> </w:t>
      </w:r>
      <w:r>
        <w:rPr/>
        <w:t>agency</w:t>
      </w:r>
      <w:r>
        <w:rPr>
          <w:spacing w:val="-8"/>
        </w:rPr>
        <w:t> </w:t>
      </w:r>
      <w:r>
        <w:rPr/>
        <w:t>that</w:t>
      </w:r>
      <w:r>
        <w:rPr>
          <w:spacing w:val="-3"/>
        </w:rPr>
        <w:t> </w:t>
      </w:r>
      <w:r>
        <w:rPr/>
        <w:t>goes</w:t>
      </w:r>
      <w:r>
        <w:rPr>
          <w:spacing w:val="-6"/>
        </w:rPr>
        <w:t> </w:t>
      </w:r>
      <w:r>
        <w:rPr/>
        <w:t>far</w:t>
      </w:r>
      <w:r>
        <w:rPr>
          <w:spacing w:val="-5"/>
        </w:rPr>
        <w:t> </w:t>
      </w:r>
      <w:r>
        <w:rPr/>
        <w:t>beyond anything Isabella or Desdemona attempt. Goneril and Regan “strive to hold</w:t>
      </w:r>
      <w:r>
        <w:rPr>
          <w:spacing w:val="-8"/>
        </w:rPr>
        <w:t> </w:t>
      </w:r>
      <w:r>
        <w:rPr/>
        <w:t>regal</w:t>
      </w:r>
      <w:r>
        <w:rPr>
          <w:spacing w:val="-8"/>
        </w:rPr>
        <w:t> </w:t>
      </w:r>
      <w:r>
        <w:rPr/>
        <w:t>power</w:t>
      </w:r>
      <w:r>
        <w:rPr>
          <w:spacing w:val="-10"/>
        </w:rPr>
        <w:t> </w:t>
      </w:r>
      <w:r>
        <w:rPr/>
        <w:t>committing</w:t>
      </w:r>
      <w:r>
        <w:rPr>
          <w:spacing w:val="-7"/>
        </w:rPr>
        <w:t> </w:t>
      </w:r>
      <w:r>
        <w:rPr/>
        <w:t>masculin</w:t>
      </w:r>
      <w:r>
        <w:rPr>
          <w:spacing w:val="-11"/>
        </w:rPr>
        <w:t> </w:t>
      </w:r>
      <w:r>
        <w:rPr/>
        <w:t>’</w:t>
      </w:r>
      <w:r>
        <w:rPr>
          <w:spacing w:val="-8"/>
        </w:rPr>
        <w:t> </w:t>
      </w:r>
      <w:r>
        <w:rPr/>
        <w:t>crimes,”</w:t>
      </w:r>
      <w:r>
        <w:rPr>
          <w:spacing w:val="-11"/>
        </w:rPr>
        <w:t> </w:t>
      </w:r>
      <w:r>
        <w:rPr/>
        <w:t>and</w:t>
      </w:r>
      <w:r>
        <w:rPr>
          <w:spacing w:val="-8"/>
        </w:rPr>
        <w:t> </w:t>
      </w:r>
      <w:r>
        <w:rPr/>
        <w:t>in</w:t>
      </w:r>
      <w:r>
        <w:rPr>
          <w:spacing w:val="-11"/>
        </w:rPr>
        <w:t> </w:t>
      </w:r>
      <w:r>
        <w:rPr/>
        <w:t>the</w:t>
      </w:r>
      <w:r>
        <w:rPr>
          <w:spacing w:val="-8"/>
        </w:rPr>
        <w:t> </w:t>
      </w:r>
      <w:r>
        <w:rPr/>
        <w:t>process</w:t>
      </w:r>
      <w:r>
        <w:rPr>
          <w:spacing w:val="-11"/>
        </w:rPr>
        <w:t> </w:t>
      </w:r>
      <w:r>
        <w:rPr/>
        <w:t>they reveal the patriarchal system’s reliance on violence and</w:t>
      </w:r>
      <w:r>
        <w:rPr>
          <w:spacing w:val="29"/>
        </w:rPr>
        <w:t> </w:t>
      </w:r>
      <w:r>
        <w:rPr/>
        <w:t>coercion.</w:t>
      </w:r>
    </w:p>
    <w:p>
      <w:pPr>
        <w:pStyle w:val="BodyText"/>
        <w:spacing w:line="249" w:lineRule="auto" w:before="64"/>
        <w:ind w:right="1437" w:firstLine="432"/>
        <w:jc w:val="both"/>
      </w:pPr>
      <w:r>
        <w:rPr/>
        <w:t>They</w:t>
      </w:r>
      <w:r>
        <w:rPr>
          <w:spacing w:val="-13"/>
        </w:rPr>
        <w:t> </w:t>
      </w:r>
      <w:r>
        <w:rPr/>
        <w:t>“deny</w:t>
      </w:r>
      <w:r>
        <w:rPr>
          <w:spacing w:val="-10"/>
        </w:rPr>
        <w:t> </w:t>
      </w:r>
      <w:r>
        <w:rPr/>
        <w:t>their</w:t>
      </w:r>
      <w:r>
        <w:rPr>
          <w:spacing w:val="-6"/>
        </w:rPr>
        <w:t> </w:t>
      </w:r>
      <w:r>
        <w:rPr/>
        <w:t>socially</w:t>
      </w:r>
      <w:r>
        <w:rPr>
          <w:spacing w:val="-13"/>
        </w:rPr>
        <w:t> </w:t>
      </w:r>
      <w:r>
        <w:rPr/>
        <w:t>and</w:t>
      </w:r>
      <w:r>
        <w:rPr>
          <w:spacing w:val="-7"/>
        </w:rPr>
        <w:t> </w:t>
      </w:r>
      <w:r>
        <w:rPr/>
        <w:t>culturally</w:t>
      </w:r>
      <w:r>
        <w:rPr>
          <w:spacing w:val="-11"/>
        </w:rPr>
        <w:t> </w:t>
      </w:r>
      <w:r>
        <w:rPr/>
        <w:t>given</w:t>
      </w:r>
      <w:r>
        <w:rPr>
          <w:spacing w:val="-9"/>
        </w:rPr>
        <w:t> </w:t>
      </w:r>
      <w:r>
        <w:rPr/>
        <w:t>roles</w:t>
      </w:r>
      <w:r>
        <w:rPr>
          <w:spacing w:val="-7"/>
        </w:rPr>
        <w:t> </w:t>
      </w:r>
      <w:r>
        <w:rPr/>
        <w:t>of</w:t>
      </w:r>
      <w:r>
        <w:rPr>
          <w:spacing w:val="-11"/>
        </w:rPr>
        <w:t> </w:t>
      </w:r>
      <w:r>
        <w:rPr/>
        <w:t>docile</w:t>
      </w:r>
      <w:r>
        <w:rPr>
          <w:spacing w:val="-9"/>
        </w:rPr>
        <w:t> </w:t>
      </w:r>
      <w:r>
        <w:rPr/>
        <w:t>lover, dependent daughter, and servile wife,” showing “the developing processes of their true self-fashioning even though they are contained</w:t>
      </w:r>
      <w:r>
        <w:rPr>
          <w:spacing w:val="40"/>
        </w:rPr>
        <w:t> </w:t>
      </w:r>
      <w:r>
        <w:rPr/>
        <w:t>in</w:t>
      </w:r>
      <w:r>
        <w:rPr>
          <w:spacing w:val="40"/>
        </w:rPr>
        <w:t> </w:t>
      </w:r>
      <w:r>
        <w:rPr/>
        <w:t>the</w:t>
      </w:r>
      <w:r>
        <w:rPr>
          <w:spacing w:val="40"/>
        </w:rPr>
        <w:t> </w:t>
      </w:r>
      <w:r>
        <w:rPr/>
        <w:t>patriarchal</w:t>
      </w:r>
      <w:r>
        <w:rPr>
          <w:spacing w:val="40"/>
        </w:rPr>
        <w:t> </w:t>
      </w:r>
      <w:r>
        <w:rPr/>
        <w:t>system”.</w:t>
      </w:r>
    </w:p>
    <w:p>
      <w:pPr>
        <w:pStyle w:val="BodyText"/>
        <w:spacing w:line="249" w:lineRule="auto" w:before="61"/>
        <w:ind w:right="1437" w:firstLine="432"/>
        <w:jc w:val="both"/>
      </w:pPr>
      <w:r>
        <w:rPr/>
        <w:t>This symbols their rebellion is not merely evil but politically significant: it puts into question “the validity and legitimacy of the patriarchal</w:t>
      </w:r>
      <w:r>
        <w:rPr>
          <w:spacing w:val="40"/>
        </w:rPr>
        <w:t> </w:t>
      </w:r>
      <w:r>
        <w:rPr/>
        <w:t>system”.</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78144">
                <wp:simplePos x="0" y="0"/>
                <wp:positionH relativeFrom="page">
                  <wp:posOffset>2057400</wp:posOffset>
                </wp:positionH>
                <wp:positionV relativeFrom="paragraph">
                  <wp:posOffset>162604</wp:posOffset>
                </wp:positionV>
                <wp:extent cx="3657600" cy="12700"/>
                <wp:effectExtent l="0" t="0" r="0" b="0"/>
                <wp:wrapTopAndBottom/>
                <wp:docPr id="777" name="Graphic 777"/>
                <wp:cNvGraphicFramePr>
                  <a:graphicFrameLocks/>
                </wp:cNvGraphicFramePr>
                <a:graphic>
                  <a:graphicData uri="http://schemas.microsoft.com/office/word/2010/wordprocessingShape">
                    <wps:wsp>
                      <wps:cNvPr id="777" name="Graphic 77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38336;mso-wrap-distance-left:0;mso-wrap-distance-right:0" id="docshape769" filled="true" fillcolor="#000000" stroked="false">
                <v:fill type="solid"/>
                <w10:wrap type="topAndBottom"/>
              </v:rect>
            </w:pict>
          </mc:Fallback>
        </mc:AlternateContent>
      </w:r>
      <w:r>
        <w:rPr>
          <w:rFonts w:ascii="Verdana"/>
          <w:spacing w:val="-5"/>
          <w:sz w:val="18"/>
        </w:rPr>
        <w:t>396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before="192"/>
        <w:ind w:left="1872"/>
        <w:jc w:val="both"/>
      </w:pPr>
      <w:r>
        <w:rPr/>
        <w:t>They</w:t>
      </w:r>
      <w:r>
        <w:rPr>
          <w:spacing w:val="24"/>
        </w:rPr>
        <w:t> </w:t>
      </w:r>
      <w:r>
        <w:rPr/>
        <w:t>reap</w:t>
      </w:r>
      <w:r>
        <w:rPr>
          <w:spacing w:val="29"/>
        </w:rPr>
        <w:t> </w:t>
      </w:r>
      <w:r>
        <w:rPr/>
        <w:t>what</w:t>
      </w:r>
      <w:r>
        <w:rPr>
          <w:spacing w:val="25"/>
        </w:rPr>
        <w:t> </w:t>
      </w:r>
      <w:r>
        <w:rPr/>
        <w:t>they</w:t>
      </w:r>
      <w:r>
        <w:rPr>
          <w:spacing w:val="25"/>
        </w:rPr>
        <w:t> </w:t>
      </w:r>
      <w:r>
        <w:rPr/>
        <w:t>sow</w:t>
      </w:r>
      <w:r>
        <w:rPr>
          <w:spacing w:val="25"/>
        </w:rPr>
        <w:t> </w:t>
      </w:r>
      <w:r>
        <w:rPr/>
        <w:t>when</w:t>
      </w:r>
      <w:r>
        <w:rPr>
          <w:spacing w:val="29"/>
        </w:rPr>
        <w:t> </w:t>
      </w:r>
      <w:r>
        <w:rPr/>
        <w:t>the</w:t>
      </w:r>
      <w:r>
        <w:rPr>
          <w:spacing w:val="68"/>
        </w:rPr>
        <w:t>  </w:t>
      </w:r>
      <w:r>
        <w:rPr/>
        <w:t>play</w:t>
      </w:r>
      <w:r>
        <w:rPr>
          <w:spacing w:val="25"/>
        </w:rPr>
        <w:t> </w:t>
      </w:r>
      <w:r>
        <w:rPr/>
        <w:t>condemns</w:t>
      </w:r>
      <w:r>
        <w:rPr>
          <w:spacing w:val="29"/>
        </w:rPr>
        <w:t> </w:t>
      </w:r>
      <w:r>
        <w:rPr>
          <w:spacing w:val="-2"/>
        </w:rPr>
        <w:t>them.</w:t>
      </w:r>
    </w:p>
    <w:p>
      <w:pPr>
        <w:pStyle w:val="BodyText"/>
        <w:spacing w:line="249" w:lineRule="auto" w:before="68"/>
        <w:ind w:right="1440" w:firstLine="432"/>
        <w:jc w:val="both"/>
      </w:pPr>
      <w:r>
        <w:rPr/>
        <w:t>Goneril</w:t>
      </w:r>
      <w:r>
        <w:rPr>
          <w:spacing w:val="-2"/>
        </w:rPr>
        <w:t> </w:t>
      </w:r>
      <w:r>
        <w:rPr/>
        <w:t>poisons</w:t>
      </w:r>
      <w:r>
        <w:rPr>
          <w:spacing w:val="-2"/>
        </w:rPr>
        <w:t> </w:t>
      </w:r>
      <w:r>
        <w:rPr/>
        <w:t>Regan</w:t>
      </w:r>
      <w:r>
        <w:rPr>
          <w:spacing w:val="-4"/>
        </w:rPr>
        <w:t> </w:t>
      </w:r>
      <w:r>
        <w:rPr/>
        <w:t>and then</w:t>
      </w:r>
      <w:r>
        <w:rPr>
          <w:spacing w:val="-2"/>
        </w:rPr>
        <w:t> </w:t>
      </w:r>
      <w:r>
        <w:rPr/>
        <w:t>kills</w:t>
      </w:r>
      <w:r>
        <w:rPr>
          <w:spacing w:val="-2"/>
        </w:rPr>
        <w:t> </w:t>
      </w:r>
      <w:r>
        <w:rPr/>
        <w:t>herself;</w:t>
      </w:r>
      <w:r>
        <w:rPr>
          <w:spacing w:val="-3"/>
        </w:rPr>
        <w:t> </w:t>
      </w:r>
      <w:r>
        <w:rPr/>
        <w:t>both</w:t>
      </w:r>
      <w:r>
        <w:rPr>
          <w:spacing w:val="-4"/>
        </w:rPr>
        <w:t> </w:t>
      </w:r>
      <w:r>
        <w:rPr/>
        <w:t>die</w:t>
      </w:r>
      <w:r>
        <w:rPr>
          <w:spacing w:val="-2"/>
        </w:rPr>
        <w:t> </w:t>
      </w:r>
      <w:r>
        <w:rPr/>
        <w:t>unrepentant and unlamented. It’s absurd to Call</w:t>
      </w:r>
      <w:r>
        <w:rPr>
          <w:spacing w:val="40"/>
        </w:rPr>
        <w:t> </w:t>
      </w:r>
      <w:r>
        <w:rPr/>
        <w:t>King Lear a feminist play as it’s something difficult because many readers will not accept it, because it condemns politically ambitious women Gonerill and Regan and praises a feminine woman like . Cordelia”.</w:t>
      </w:r>
    </w:p>
    <w:p>
      <w:pPr>
        <w:pStyle w:val="BodyText"/>
        <w:spacing w:line="249" w:lineRule="auto" w:before="62"/>
        <w:ind w:right="1438" w:firstLine="432"/>
        <w:jc w:val="both"/>
      </w:pPr>
      <w:r>
        <w:rPr/>
        <w:t>The distinction could hardly be clearer: women who accept patriarchal authority (Cordelia) die as victims; women who defy it (Goneril, Regan) die as villains. Neither survives. The play offers no viable</w:t>
      </w:r>
      <w:r>
        <w:rPr>
          <w:spacing w:val="13"/>
        </w:rPr>
        <w:t> </w:t>
      </w:r>
      <w:r>
        <w:rPr/>
        <w:t>model</w:t>
      </w:r>
      <w:r>
        <w:rPr>
          <w:spacing w:val="15"/>
        </w:rPr>
        <w:t> </w:t>
      </w:r>
      <w:r>
        <w:rPr/>
        <w:t>of</w:t>
      </w:r>
      <w:r>
        <w:rPr>
          <w:spacing w:val="11"/>
        </w:rPr>
        <w:t> </w:t>
      </w:r>
      <w:r>
        <w:rPr/>
        <w:t>female</w:t>
      </w:r>
      <w:r>
        <w:rPr>
          <w:spacing w:val="14"/>
        </w:rPr>
        <w:t> </w:t>
      </w:r>
      <w:r>
        <w:rPr/>
        <w:t>agency</w:t>
      </w:r>
      <w:r>
        <w:rPr>
          <w:spacing w:val="13"/>
        </w:rPr>
        <w:t> </w:t>
      </w:r>
      <w:r>
        <w:rPr/>
        <w:t>that</w:t>
      </w:r>
      <w:r>
        <w:rPr>
          <w:spacing w:val="13"/>
        </w:rPr>
        <w:t> </w:t>
      </w:r>
      <w:r>
        <w:rPr/>
        <w:t>ends</w:t>
      </w:r>
      <w:r>
        <w:rPr>
          <w:spacing w:val="15"/>
        </w:rPr>
        <w:t> </w:t>
      </w:r>
      <w:r>
        <w:rPr/>
        <w:t>in</w:t>
      </w:r>
      <w:r>
        <w:rPr>
          <w:spacing w:val="13"/>
        </w:rPr>
        <w:t> </w:t>
      </w:r>
      <w:r>
        <w:rPr/>
        <w:t>anything</w:t>
      </w:r>
      <w:r>
        <w:rPr>
          <w:spacing w:val="13"/>
        </w:rPr>
        <w:t> </w:t>
      </w:r>
      <w:r>
        <w:rPr/>
        <w:t>other</w:t>
      </w:r>
      <w:r>
        <w:rPr>
          <w:spacing w:val="16"/>
        </w:rPr>
        <w:t> </w:t>
      </w:r>
      <w:r>
        <w:rPr/>
        <w:t>than</w:t>
      </w:r>
      <w:r>
        <w:rPr>
          <w:spacing w:val="11"/>
        </w:rPr>
        <w:t> </w:t>
      </w:r>
      <w:r>
        <w:rPr>
          <w:spacing w:val="-2"/>
        </w:rPr>
        <w:t>death.</w:t>
      </w:r>
    </w:p>
    <w:p>
      <w:pPr>
        <w:pStyle w:val="BodyText"/>
        <w:spacing w:line="249" w:lineRule="auto" w:before="60"/>
        <w:ind w:right="1439" w:firstLine="432"/>
        <w:jc w:val="both"/>
      </w:pPr>
      <w:r>
        <w:rPr/>
        <w:t>No</w:t>
      </w:r>
      <w:r>
        <w:rPr>
          <w:spacing w:val="-13"/>
        </w:rPr>
        <w:t> </w:t>
      </w:r>
      <w:r>
        <w:rPr/>
        <w:t>marriage</w:t>
      </w:r>
      <w:r>
        <w:rPr>
          <w:spacing w:val="-7"/>
        </w:rPr>
        <w:t> </w:t>
      </w:r>
      <w:r>
        <w:rPr/>
        <w:t>survives</w:t>
      </w:r>
      <w:r>
        <w:rPr>
          <w:spacing w:val="-10"/>
        </w:rPr>
        <w:t> </w:t>
      </w:r>
      <w:r>
        <w:rPr/>
        <w:t>King</w:t>
      </w:r>
      <w:r>
        <w:rPr>
          <w:spacing w:val="-10"/>
        </w:rPr>
        <w:t> </w:t>
      </w:r>
      <w:r>
        <w:rPr/>
        <w:t>Lear’s</w:t>
      </w:r>
      <w:r>
        <w:rPr>
          <w:spacing w:val="-10"/>
        </w:rPr>
        <w:t> </w:t>
      </w:r>
      <w:r>
        <w:rPr/>
        <w:t>catastrophic</w:t>
      </w:r>
      <w:r>
        <w:rPr>
          <w:spacing w:val="-6"/>
        </w:rPr>
        <w:t> </w:t>
      </w:r>
      <w:r>
        <w:rPr/>
        <w:t>conclusion.</w:t>
      </w:r>
      <w:r>
        <w:rPr>
          <w:spacing w:val="-13"/>
        </w:rPr>
        <w:t> </w:t>
      </w:r>
      <w:r>
        <w:rPr/>
        <w:t>Albany outlives Regan but has learned nothing; Albany and Cornwall were never more than names of authority. The kingdom passes to Edgar, a man, and the women are erased. Fate in King Lear is perhaps more remorseless</w:t>
      </w:r>
      <w:r>
        <w:rPr>
          <w:spacing w:val="40"/>
        </w:rPr>
        <w:t> </w:t>
      </w:r>
      <w:r>
        <w:rPr/>
        <w:t>than</w:t>
      </w:r>
      <w:r>
        <w:rPr>
          <w:spacing w:val="40"/>
        </w:rPr>
        <w:t> </w:t>
      </w:r>
      <w:r>
        <w:rPr/>
        <w:t>in</w:t>
      </w:r>
      <w:r>
        <w:rPr>
          <w:spacing w:val="40"/>
        </w:rPr>
        <w:t> </w:t>
      </w:r>
      <w:r>
        <w:rPr/>
        <w:t>any</w:t>
      </w:r>
      <w:r>
        <w:rPr>
          <w:spacing w:val="40"/>
        </w:rPr>
        <w:t> </w:t>
      </w:r>
      <w:r>
        <w:rPr/>
        <w:t>other</w:t>
      </w:r>
      <w:r>
        <w:rPr>
          <w:spacing w:val="40"/>
        </w:rPr>
        <w:t> </w:t>
      </w:r>
      <w:r>
        <w:rPr/>
        <w:t>Shakespearean</w:t>
      </w:r>
      <w:r>
        <w:rPr>
          <w:spacing w:val="40"/>
        </w:rPr>
        <w:t> </w:t>
      </w:r>
      <w:r>
        <w:rPr/>
        <w:t>tragedy</w:t>
      </w:r>
      <w:r>
        <w:rPr>
          <w:spacing w:val="40"/>
        </w:rPr>
        <w:t> </w:t>
      </w:r>
      <w:r>
        <w:rPr/>
        <w:t>.</w:t>
      </w:r>
    </w:p>
    <w:p>
      <w:pPr>
        <w:pStyle w:val="BodyText"/>
        <w:spacing w:line="249" w:lineRule="auto" w:before="64"/>
        <w:ind w:right="1440" w:firstLine="432"/>
        <w:jc w:val="both"/>
      </w:pPr>
      <w:r>
        <w:rPr>
          <w:spacing w:val="-2"/>
        </w:rPr>
        <w:t>Lear</w:t>
      </w:r>
      <w:r>
        <w:rPr>
          <w:spacing w:val="-8"/>
        </w:rPr>
        <w:t> </w:t>
      </w:r>
      <w:r>
        <w:rPr>
          <w:spacing w:val="-2"/>
        </w:rPr>
        <w:t>himself,</w:t>
      </w:r>
      <w:r>
        <w:rPr>
          <w:spacing w:val="-6"/>
        </w:rPr>
        <w:t> </w:t>
      </w:r>
      <w:r>
        <w:rPr>
          <w:spacing w:val="-2"/>
        </w:rPr>
        <w:t>Goneril,</w:t>
      </w:r>
      <w:r>
        <w:rPr>
          <w:spacing w:val="-6"/>
        </w:rPr>
        <w:t> </w:t>
      </w:r>
      <w:r>
        <w:rPr>
          <w:spacing w:val="-2"/>
        </w:rPr>
        <w:t>Regan,</w:t>
      </w:r>
      <w:r>
        <w:rPr>
          <w:spacing w:val="-8"/>
        </w:rPr>
        <w:t> </w:t>
      </w:r>
      <w:r>
        <w:rPr>
          <w:spacing w:val="-2"/>
        </w:rPr>
        <w:t>Cordelia</w:t>
      </w:r>
      <w:r>
        <w:rPr>
          <w:spacing w:val="-8"/>
        </w:rPr>
        <w:t> </w:t>
      </w:r>
      <w:r>
        <w:rPr>
          <w:spacing w:val="-2"/>
        </w:rPr>
        <w:t>,</w:t>
      </w:r>
      <w:r>
        <w:rPr>
          <w:spacing w:val="-3"/>
        </w:rPr>
        <w:t> </w:t>
      </w:r>
      <w:r>
        <w:rPr>
          <w:spacing w:val="-2"/>
        </w:rPr>
        <w:t>all</w:t>
      </w:r>
      <w:r>
        <w:rPr>
          <w:spacing w:val="-7"/>
        </w:rPr>
        <w:t> </w:t>
      </w:r>
      <w:r>
        <w:rPr>
          <w:spacing w:val="-2"/>
        </w:rPr>
        <w:t>of</w:t>
      </w:r>
      <w:r>
        <w:rPr>
          <w:spacing w:val="-8"/>
        </w:rPr>
        <w:t> </w:t>
      </w:r>
      <w:r>
        <w:rPr>
          <w:spacing w:val="-2"/>
        </w:rPr>
        <w:t>his</w:t>
      </w:r>
      <w:r>
        <w:rPr>
          <w:spacing w:val="-8"/>
        </w:rPr>
        <w:t> </w:t>
      </w:r>
      <w:r>
        <w:rPr>
          <w:spacing w:val="-2"/>
        </w:rPr>
        <w:t>daughters</w:t>
      </w:r>
      <w:r>
        <w:rPr>
          <w:spacing w:val="-6"/>
        </w:rPr>
        <w:t> </w:t>
      </w:r>
      <w:r>
        <w:rPr>
          <w:spacing w:val="-2"/>
        </w:rPr>
        <w:t>fall,</w:t>
      </w:r>
      <w:r>
        <w:rPr>
          <w:spacing w:val="-6"/>
        </w:rPr>
        <w:t> </w:t>
      </w:r>
      <w:r>
        <w:rPr>
          <w:spacing w:val="-2"/>
        </w:rPr>
        <w:t>but </w:t>
      </w:r>
      <w:r>
        <w:rPr/>
        <w:t>the women fall farthest because they have the least power to cushion their</w:t>
      </w:r>
      <w:r>
        <w:rPr>
          <w:spacing w:val="40"/>
        </w:rPr>
        <w:t> </w:t>
      </w:r>
      <w:r>
        <w:rPr/>
        <w:t>descent.</w:t>
      </w:r>
    </w:p>
    <w:p>
      <w:pPr>
        <w:pStyle w:val="Heading3"/>
        <w:spacing w:before="156"/>
      </w:pPr>
      <w:r>
        <w:rPr>
          <w:spacing w:val="-6"/>
        </w:rPr>
        <w:t>MACBETH:</w:t>
      </w:r>
      <w:r>
        <w:rPr>
          <w:spacing w:val="-11"/>
        </w:rPr>
        <w:t> </w:t>
      </w:r>
      <w:r>
        <w:rPr>
          <w:spacing w:val="-6"/>
        </w:rPr>
        <w:t>A</w:t>
      </w:r>
      <w:r>
        <w:rPr>
          <w:spacing w:val="-8"/>
        </w:rPr>
        <w:t> </w:t>
      </w:r>
      <w:r>
        <w:rPr>
          <w:spacing w:val="-6"/>
        </w:rPr>
        <w:t>LOVING</w:t>
      </w:r>
      <w:r>
        <w:rPr>
          <w:spacing w:val="-7"/>
        </w:rPr>
        <w:t> </w:t>
      </w:r>
      <w:r>
        <w:rPr>
          <w:spacing w:val="-6"/>
        </w:rPr>
        <w:t>MARRIAGE</w:t>
      </w:r>
      <w:r>
        <w:rPr>
          <w:spacing w:val="-10"/>
        </w:rPr>
        <w:t> </w:t>
      </w:r>
      <w:r>
        <w:rPr>
          <w:spacing w:val="-6"/>
        </w:rPr>
        <w:t>CORRUPTED</w:t>
      </w:r>
    </w:p>
    <w:p>
      <w:pPr>
        <w:pStyle w:val="BodyText"/>
        <w:spacing w:line="249" w:lineRule="auto" w:before="76"/>
        <w:ind w:right="1436" w:firstLine="432"/>
        <w:jc w:val="both"/>
      </w:pPr>
      <w:r>
        <w:rPr>
          <w:spacing w:val="-2"/>
        </w:rPr>
        <w:t>Macbeth</w:t>
      </w:r>
      <w:r>
        <w:rPr>
          <w:spacing w:val="-9"/>
        </w:rPr>
        <w:t> </w:t>
      </w:r>
      <w:r>
        <w:rPr>
          <w:spacing w:val="-2"/>
        </w:rPr>
        <w:t>offers</w:t>
      </w:r>
      <w:r>
        <w:rPr>
          <w:spacing w:val="-8"/>
        </w:rPr>
        <w:t> </w:t>
      </w:r>
      <w:r>
        <w:rPr>
          <w:spacing w:val="-2"/>
        </w:rPr>
        <w:t>the</w:t>
      </w:r>
      <w:r>
        <w:rPr>
          <w:spacing w:val="-8"/>
        </w:rPr>
        <w:t> </w:t>
      </w:r>
      <w:r>
        <w:rPr>
          <w:spacing w:val="-2"/>
        </w:rPr>
        <w:t>most</w:t>
      </w:r>
      <w:r>
        <w:rPr>
          <w:spacing w:val="-5"/>
        </w:rPr>
        <w:t> </w:t>
      </w:r>
      <w:r>
        <w:rPr>
          <w:spacing w:val="-2"/>
        </w:rPr>
        <w:t>intimate</w:t>
      </w:r>
      <w:r>
        <w:rPr>
          <w:spacing w:val="-5"/>
        </w:rPr>
        <w:t> </w:t>
      </w:r>
      <w:r>
        <w:rPr>
          <w:spacing w:val="-2"/>
        </w:rPr>
        <w:t>and</w:t>
      </w:r>
      <w:r>
        <w:rPr>
          <w:spacing w:val="-8"/>
        </w:rPr>
        <w:t> </w:t>
      </w:r>
      <w:r>
        <w:rPr>
          <w:spacing w:val="-2"/>
        </w:rPr>
        <w:t>disturbing</w:t>
      </w:r>
      <w:r>
        <w:rPr>
          <w:spacing w:val="-11"/>
        </w:rPr>
        <w:t> </w:t>
      </w:r>
      <w:r>
        <w:rPr>
          <w:spacing w:val="-2"/>
        </w:rPr>
        <w:t>portrait</w:t>
      </w:r>
      <w:r>
        <w:rPr>
          <w:spacing w:val="-5"/>
        </w:rPr>
        <w:t> </w:t>
      </w:r>
      <w:r>
        <w:rPr>
          <w:spacing w:val="-2"/>
        </w:rPr>
        <w:t>of</w:t>
      </w:r>
      <w:r>
        <w:rPr>
          <w:spacing w:val="-8"/>
        </w:rPr>
        <w:t> </w:t>
      </w:r>
      <w:r>
        <w:rPr>
          <w:spacing w:val="-2"/>
        </w:rPr>
        <w:t>marriage </w:t>
      </w:r>
      <w:r>
        <w:rPr/>
        <w:t>in Shakespearean tragedy. The Macbeths begin as “a united, sexually </w:t>
      </w:r>
      <w:r>
        <w:rPr>
          <w:spacing w:val="-2"/>
        </w:rPr>
        <w:t>desiring</w:t>
      </w:r>
      <w:r>
        <w:rPr>
          <w:spacing w:val="-11"/>
        </w:rPr>
        <w:t> </w:t>
      </w:r>
      <w:r>
        <w:rPr>
          <w:spacing w:val="-2"/>
        </w:rPr>
        <w:t>couple.”</w:t>
      </w:r>
      <w:r>
        <w:rPr>
          <w:spacing w:val="-10"/>
        </w:rPr>
        <w:t> </w:t>
      </w:r>
      <w:r>
        <w:rPr>
          <w:spacing w:val="-2"/>
        </w:rPr>
        <w:t>Lady</w:t>
      </w:r>
      <w:r>
        <w:rPr>
          <w:spacing w:val="-11"/>
        </w:rPr>
        <w:t> </w:t>
      </w:r>
      <w:r>
        <w:rPr>
          <w:spacing w:val="-2"/>
        </w:rPr>
        <w:t>Macbeth’s</w:t>
      </w:r>
      <w:r>
        <w:rPr>
          <w:spacing w:val="-9"/>
        </w:rPr>
        <w:t> </w:t>
      </w:r>
      <w:r>
        <w:rPr>
          <w:spacing w:val="-2"/>
        </w:rPr>
        <w:t>greeting</w:t>
      </w:r>
      <w:r>
        <w:rPr>
          <w:spacing w:val="-11"/>
        </w:rPr>
        <w:t> </w:t>
      </w:r>
      <w:r>
        <w:rPr>
          <w:spacing w:val="-2"/>
        </w:rPr>
        <w:t>to</w:t>
      </w:r>
      <w:r>
        <w:rPr>
          <w:spacing w:val="-6"/>
        </w:rPr>
        <w:t> </w:t>
      </w:r>
      <w:r>
        <w:rPr>
          <w:spacing w:val="-2"/>
        </w:rPr>
        <w:t>her</w:t>
      </w:r>
      <w:r>
        <w:rPr>
          <w:spacing w:val="-11"/>
        </w:rPr>
        <w:t> </w:t>
      </w:r>
      <w:r>
        <w:rPr>
          <w:spacing w:val="-2"/>
        </w:rPr>
        <w:t>husband</w:t>
      </w:r>
      <w:r>
        <w:rPr>
          <w:spacing w:val="-6"/>
        </w:rPr>
        <w:t> </w:t>
      </w:r>
      <w:r>
        <w:rPr>
          <w:spacing w:val="-2"/>
        </w:rPr>
        <w:t>“Great</w:t>
      </w:r>
      <w:r>
        <w:rPr>
          <w:spacing w:val="-11"/>
        </w:rPr>
        <w:t> </w:t>
      </w:r>
      <w:r>
        <w:rPr>
          <w:spacing w:val="-2"/>
        </w:rPr>
        <w:t>Glamis! worthy</w:t>
      </w:r>
      <w:r>
        <w:rPr>
          <w:spacing w:val="-11"/>
        </w:rPr>
        <w:t> </w:t>
      </w:r>
      <w:r>
        <w:rPr>
          <w:spacing w:val="-2"/>
        </w:rPr>
        <w:t>Cawdor!</w:t>
      </w:r>
      <w:r>
        <w:rPr>
          <w:spacing w:val="57"/>
        </w:rPr>
        <w:t> </w:t>
      </w:r>
      <w:r>
        <w:rPr>
          <w:spacing w:val="-2"/>
        </w:rPr>
        <w:t>Greater</w:t>
      </w:r>
      <w:r>
        <w:rPr>
          <w:spacing w:val="-11"/>
        </w:rPr>
        <w:t> </w:t>
      </w:r>
      <w:r>
        <w:rPr>
          <w:spacing w:val="-2"/>
        </w:rPr>
        <w:t>than</w:t>
      </w:r>
      <w:r>
        <w:rPr>
          <w:spacing w:val="-10"/>
        </w:rPr>
        <w:t> </w:t>
      </w:r>
      <w:r>
        <w:rPr>
          <w:spacing w:val="-2"/>
        </w:rPr>
        <w:t>both,</w:t>
      </w:r>
      <w:r>
        <w:rPr>
          <w:spacing w:val="-11"/>
        </w:rPr>
        <w:t> </w:t>
      </w:r>
      <w:r>
        <w:rPr>
          <w:spacing w:val="-2"/>
        </w:rPr>
        <w:t>by</w:t>
      </w:r>
      <w:r>
        <w:rPr>
          <w:spacing w:val="-10"/>
        </w:rPr>
        <w:t> </w:t>
      </w:r>
      <w:r>
        <w:rPr>
          <w:spacing w:val="-2"/>
        </w:rPr>
        <w:t>the</w:t>
      </w:r>
      <w:r>
        <w:rPr>
          <w:spacing w:val="-8"/>
        </w:rPr>
        <w:t> </w:t>
      </w:r>
      <w:r>
        <w:rPr>
          <w:spacing w:val="-2"/>
        </w:rPr>
        <w:t>all-hail</w:t>
      </w:r>
      <w:r>
        <w:rPr>
          <w:spacing w:val="-11"/>
        </w:rPr>
        <w:t> </w:t>
      </w:r>
      <w:r>
        <w:rPr>
          <w:spacing w:val="-2"/>
        </w:rPr>
        <w:t>hereafter!”</w:t>
      </w:r>
      <w:r>
        <w:rPr>
          <w:spacing w:val="-10"/>
        </w:rPr>
        <w:t> </w:t>
      </w:r>
      <w:r>
        <w:rPr>
          <w:spacing w:val="-2"/>
        </w:rPr>
        <w:t>(1.5.54–55) </w:t>
      </w:r>
      <w:r>
        <w:rPr/>
        <w:t>is</w:t>
      </w:r>
      <w:r>
        <w:rPr>
          <w:spacing w:val="-10"/>
        </w:rPr>
        <w:t> </w:t>
      </w:r>
      <w:r>
        <w:rPr/>
        <w:t>charged</w:t>
      </w:r>
      <w:r>
        <w:rPr>
          <w:spacing w:val="-4"/>
        </w:rPr>
        <w:t> </w:t>
      </w:r>
      <w:r>
        <w:rPr/>
        <w:t>with</w:t>
      </w:r>
      <w:r>
        <w:rPr>
          <w:spacing w:val="-3"/>
        </w:rPr>
        <w:t> </w:t>
      </w:r>
      <w:r>
        <w:rPr/>
        <w:t>erotic</w:t>
      </w:r>
      <w:r>
        <w:rPr>
          <w:spacing w:val="-7"/>
        </w:rPr>
        <w:t> </w:t>
      </w:r>
      <w:r>
        <w:rPr/>
        <w:t>energy.</w:t>
      </w:r>
      <w:r>
        <w:rPr>
          <w:spacing w:val="-8"/>
        </w:rPr>
        <w:t> </w:t>
      </w:r>
      <w:r>
        <w:rPr/>
        <w:t>Her</w:t>
      </w:r>
      <w:r>
        <w:rPr>
          <w:spacing w:val="-5"/>
        </w:rPr>
        <w:t> </w:t>
      </w:r>
      <w:r>
        <w:rPr/>
        <w:t>famous</w:t>
      </w:r>
      <w:r>
        <w:rPr>
          <w:spacing w:val="-8"/>
        </w:rPr>
        <w:t> </w:t>
      </w:r>
      <w:r>
        <w:rPr/>
        <w:t>speech</w:t>
      </w:r>
      <w:r>
        <w:rPr>
          <w:spacing w:val="-6"/>
        </w:rPr>
        <w:t> </w:t>
      </w:r>
      <w:r>
        <w:rPr/>
        <w:t>anticipating</w:t>
      </w:r>
      <w:r>
        <w:rPr>
          <w:spacing w:val="-8"/>
        </w:rPr>
        <w:t> </w:t>
      </w:r>
      <w:r>
        <w:rPr/>
        <w:t>his</w:t>
      </w:r>
      <w:r>
        <w:rPr>
          <w:spacing w:val="-8"/>
        </w:rPr>
        <w:t> </w:t>
      </w:r>
      <w:r>
        <w:rPr>
          <w:spacing w:val="-2"/>
        </w:rPr>
        <w:t>arrival</w:t>
      </w:r>
    </w:p>
    <w:p>
      <w:pPr>
        <w:spacing w:line="249" w:lineRule="auto" w:before="61"/>
        <w:ind w:left="2160" w:right="2157" w:firstLine="0"/>
        <w:jc w:val="both"/>
        <w:rPr>
          <w:i/>
          <w:sz w:val="20"/>
        </w:rPr>
      </w:pPr>
      <w:r>
        <w:rPr>
          <w:i/>
          <w:sz w:val="20"/>
        </w:rPr>
        <w:t>“Come, you spirits / That tend on mortal thoughts, unsex me here” (1.5.47–48) is often read as an attempt to escape femininity, but a more nuanced feminist reading suggests that her ambition can be “summarized into one word, love from the illusion of love</w:t>
      </w:r>
      <w:r>
        <w:rPr>
          <w:i/>
          <w:spacing w:val="-1"/>
          <w:sz w:val="20"/>
        </w:rPr>
        <w:t> </w:t>
      </w:r>
      <w:r>
        <w:rPr>
          <w:i/>
          <w:sz w:val="20"/>
        </w:rPr>
        <w:t>to the</w:t>
      </w:r>
      <w:r>
        <w:rPr>
          <w:i/>
          <w:spacing w:val="-4"/>
          <w:sz w:val="20"/>
        </w:rPr>
        <w:t> </w:t>
      </w:r>
      <w:r>
        <w:rPr>
          <w:i/>
          <w:sz w:val="20"/>
        </w:rPr>
        <w:t>loss</w:t>
      </w:r>
      <w:r>
        <w:rPr>
          <w:i/>
          <w:spacing w:val="-3"/>
          <w:sz w:val="20"/>
        </w:rPr>
        <w:t> </w:t>
      </w:r>
      <w:r>
        <w:rPr>
          <w:i/>
          <w:sz w:val="20"/>
        </w:rPr>
        <w:t>of</w:t>
      </w:r>
      <w:r>
        <w:rPr>
          <w:i/>
          <w:spacing w:val="-1"/>
          <w:sz w:val="20"/>
        </w:rPr>
        <w:t> </w:t>
      </w:r>
      <w:r>
        <w:rPr>
          <w:i/>
          <w:sz w:val="20"/>
        </w:rPr>
        <w:t>the</w:t>
      </w:r>
      <w:r>
        <w:rPr>
          <w:i/>
          <w:spacing w:val="-2"/>
          <w:sz w:val="20"/>
        </w:rPr>
        <w:t> </w:t>
      </w:r>
      <w:r>
        <w:rPr>
          <w:i/>
          <w:sz w:val="20"/>
        </w:rPr>
        <w:t>illusion</w:t>
      </w:r>
      <w:r>
        <w:rPr>
          <w:i/>
          <w:spacing w:val="-1"/>
          <w:sz w:val="20"/>
        </w:rPr>
        <w:t> </w:t>
      </w:r>
      <w:r>
        <w:rPr>
          <w:i/>
          <w:sz w:val="20"/>
        </w:rPr>
        <w:t>of</w:t>
      </w:r>
      <w:r>
        <w:rPr>
          <w:i/>
          <w:spacing w:val="-5"/>
          <w:sz w:val="20"/>
        </w:rPr>
        <w:t> </w:t>
      </w:r>
      <w:r>
        <w:rPr>
          <w:i/>
          <w:sz w:val="20"/>
        </w:rPr>
        <w:t>love”.</w:t>
      </w:r>
      <w:r>
        <w:rPr>
          <w:i/>
          <w:spacing w:val="-1"/>
          <w:sz w:val="20"/>
        </w:rPr>
        <w:t> </w:t>
      </w:r>
      <w:r>
        <w:rPr>
          <w:i/>
          <w:sz w:val="20"/>
        </w:rPr>
        <w:t>Lady</w:t>
      </w:r>
      <w:r>
        <w:rPr>
          <w:i/>
          <w:spacing w:val="-2"/>
          <w:sz w:val="20"/>
        </w:rPr>
        <w:t> </w:t>
      </w:r>
      <w:r>
        <w:rPr>
          <w:i/>
          <w:sz w:val="20"/>
        </w:rPr>
        <w:t>Macbeth “solely devotes herself in the quest for power for her husband, not for manliness”. She is a “helpmate” in the</w:t>
      </w:r>
      <w:r>
        <w:rPr>
          <w:i/>
          <w:spacing w:val="-3"/>
          <w:sz w:val="20"/>
        </w:rPr>
        <w:t> </w:t>
      </w:r>
      <w:r>
        <w:rPr>
          <w:i/>
          <w:sz w:val="20"/>
        </w:rPr>
        <w:t>most</w:t>
      </w:r>
      <w:r>
        <w:rPr>
          <w:i/>
          <w:spacing w:val="-2"/>
          <w:sz w:val="20"/>
        </w:rPr>
        <w:t> </w:t>
      </w:r>
      <w:r>
        <w:rPr>
          <w:i/>
          <w:sz w:val="20"/>
        </w:rPr>
        <w:t>terrible</w:t>
      </w:r>
      <w:r>
        <w:rPr>
          <w:i/>
          <w:spacing w:val="-2"/>
          <w:sz w:val="20"/>
        </w:rPr>
        <w:t> </w:t>
      </w:r>
      <w:r>
        <w:rPr>
          <w:i/>
          <w:sz w:val="20"/>
        </w:rPr>
        <w:t>sense:</w:t>
      </w:r>
      <w:r>
        <w:rPr>
          <w:i/>
          <w:spacing w:val="-2"/>
          <w:sz w:val="20"/>
        </w:rPr>
        <w:t> </w:t>
      </w:r>
      <w:r>
        <w:rPr>
          <w:i/>
          <w:sz w:val="20"/>
        </w:rPr>
        <w:t>she</w:t>
      </w:r>
      <w:r>
        <w:rPr>
          <w:i/>
          <w:spacing w:val="-3"/>
          <w:sz w:val="20"/>
        </w:rPr>
        <w:t> </w:t>
      </w:r>
      <w:r>
        <w:rPr>
          <w:i/>
          <w:sz w:val="20"/>
        </w:rPr>
        <w:t>helps</w:t>
      </w:r>
      <w:r>
        <w:rPr>
          <w:i/>
          <w:spacing w:val="-3"/>
          <w:sz w:val="20"/>
        </w:rPr>
        <w:t> </w:t>
      </w:r>
      <w:r>
        <w:rPr>
          <w:i/>
          <w:sz w:val="20"/>
        </w:rPr>
        <w:t>her</w:t>
      </w:r>
      <w:r>
        <w:rPr>
          <w:i/>
          <w:spacing w:val="-3"/>
          <w:sz w:val="20"/>
        </w:rPr>
        <w:t> </w:t>
      </w:r>
      <w:r>
        <w:rPr>
          <w:i/>
          <w:sz w:val="20"/>
        </w:rPr>
        <w:t>husband</w:t>
      </w:r>
      <w:r>
        <w:rPr>
          <w:i/>
          <w:spacing w:val="-2"/>
          <w:sz w:val="20"/>
        </w:rPr>
        <w:t> </w:t>
      </w:r>
      <w:r>
        <w:rPr>
          <w:i/>
          <w:sz w:val="20"/>
        </w:rPr>
        <w:t>realize his deepest desires, even when those desires involve murder and</w:t>
      </w:r>
      <w:r>
        <w:rPr>
          <w:i/>
          <w:spacing w:val="-2"/>
          <w:sz w:val="20"/>
        </w:rPr>
        <w:t> </w:t>
      </w:r>
      <w:r>
        <w:rPr>
          <w:i/>
          <w:sz w:val="20"/>
        </w:rPr>
        <w:t>tyranny. Her</w:t>
      </w:r>
      <w:r>
        <w:rPr>
          <w:i/>
          <w:spacing w:val="-4"/>
          <w:sz w:val="20"/>
        </w:rPr>
        <w:t> </w:t>
      </w:r>
      <w:r>
        <w:rPr>
          <w:i/>
          <w:sz w:val="20"/>
        </w:rPr>
        <w:t>gender</w:t>
      </w:r>
      <w:r>
        <w:rPr>
          <w:i/>
          <w:spacing w:val="-2"/>
          <w:sz w:val="20"/>
        </w:rPr>
        <w:t> </w:t>
      </w:r>
      <w:r>
        <w:rPr>
          <w:i/>
          <w:sz w:val="20"/>
        </w:rPr>
        <w:t>role</w:t>
      </w:r>
      <w:r>
        <w:rPr>
          <w:i/>
          <w:spacing w:val="-2"/>
          <w:sz w:val="20"/>
        </w:rPr>
        <w:t> </w:t>
      </w:r>
      <w:r>
        <w:rPr>
          <w:i/>
          <w:sz w:val="20"/>
        </w:rPr>
        <w:t>as a</w:t>
      </w:r>
      <w:r>
        <w:rPr>
          <w:i/>
          <w:spacing w:val="-2"/>
          <w:sz w:val="20"/>
        </w:rPr>
        <w:t> </w:t>
      </w:r>
      <w:r>
        <w:rPr>
          <w:i/>
          <w:sz w:val="20"/>
        </w:rPr>
        <w:t>wife</w:t>
      </w:r>
      <w:r>
        <w:rPr>
          <w:i/>
          <w:spacing w:val="-1"/>
          <w:sz w:val="20"/>
        </w:rPr>
        <w:t> </w:t>
      </w:r>
      <w:r>
        <w:rPr>
          <w:i/>
          <w:sz w:val="20"/>
        </w:rPr>
        <w:t>drives her tragedy: she is “the victim of patriarchy and a scapegoat of men’s battle against each other for </w:t>
      </w:r>
      <w:r>
        <w:rPr>
          <w:i/>
          <w:spacing w:val="-2"/>
          <w:sz w:val="20"/>
        </w:rPr>
        <w:t>power”.</w:t>
      </w:r>
    </w:p>
    <w:p>
      <w:pPr>
        <w:spacing w:after="0" w:line="249" w:lineRule="auto"/>
        <w:jc w:val="both"/>
        <w:rPr>
          <w:i/>
          <w:sz w:val="20"/>
        </w:rPr>
        <w:sectPr>
          <w:pgSz w:w="12240" w:h="15840"/>
          <w:pgMar w:top="1820" w:bottom="280" w:left="1800" w:right="1800"/>
        </w:sectPr>
      </w:pPr>
    </w:p>
    <w:p>
      <w:pPr>
        <w:pStyle w:val="BodyText"/>
        <w:ind w:left="0"/>
        <w:rPr>
          <w:i/>
          <w:sz w:val="18"/>
        </w:rPr>
      </w:pPr>
    </w:p>
    <w:p>
      <w:pPr>
        <w:pStyle w:val="BodyText"/>
        <w:ind w:left="0"/>
        <w:rPr>
          <w:i/>
          <w:sz w:val="18"/>
        </w:rPr>
      </w:pPr>
    </w:p>
    <w:p>
      <w:pPr>
        <w:pStyle w:val="BodyText"/>
        <w:ind w:left="0"/>
        <w:rPr>
          <w:i/>
          <w:sz w:val="18"/>
        </w:rPr>
      </w:pPr>
    </w:p>
    <w:p>
      <w:pPr>
        <w:pStyle w:val="BodyText"/>
        <w:spacing w:before="168"/>
        <w:ind w:left="0"/>
        <w:rPr>
          <w:i/>
          <w:sz w:val="18"/>
        </w:rPr>
      </w:pPr>
    </w:p>
    <w:p>
      <w:pPr>
        <w:tabs>
          <w:tab w:pos="5441" w:val="left" w:leader="none"/>
        </w:tabs>
        <w:spacing w:before="0"/>
        <w:ind w:left="0" w:right="2"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78656">
                <wp:simplePos x="0" y="0"/>
                <wp:positionH relativeFrom="page">
                  <wp:posOffset>2065020</wp:posOffset>
                </wp:positionH>
                <wp:positionV relativeFrom="paragraph">
                  <wp:posOffset>162604</wp:posOffset>
                </wp:positionV>
                <wp:extent cx="3657600" cy="12700"/>
                <wp:effectExtent l="0" t="0" r="0" b="0"/>
                <wp:wrapTopAndBottom/>
                <wp:docPr id="778" name="Graphic 778"/>
                <wp:cNvGraphicFramePr>
                  <a:graphicFrameLocks/>
                </wp:cNvGraphicFramePr>
                <a:graphic>
                  <a:graphicData uri="http://schemas.microsoft.com/office/word/2010/wordprocessingShape">
                    <wps:wsp>
                      <wps:cNvPr id="778" name="Graphic 77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37824;mso-wrap-distance-left:0;mso-wrap-distance-right:0" id="docshape770" filled="true" fillcolor="#000000" stroked="false">
                <v:fill type="solid"/>
                <w10:wrap type="topAndBottom"/>
              </v:rect>
            </w:pict>
          </mc:Fallback>
        </mc:AlternateContent>
      </w:r>
      <w:r>
        <w:rPr>
          <w:rFonts w:ascii="Verdana"/>
          <w:sz w:val="18"/>
        </w:rPr>
        <w:t>Between</w:t>
      </w:r>
      <w:r>
        <w:rPr>
          <w:rFonts w:ascii="Verdana"/>
          <w:spacing w:val="-1"/>
          <w:sz w:val="18"/>
        </w:rPr>
        <w:t> </w:t>
      </w:r>
      <w:r>
        <w:rPr>
          <w:rFonts w:ascii="Verdana"/>
          <w:sz w:val="18"/>
        </w:rPr>
        <w:t>Joy</w:t>
      </w:r>
      <w:r>
        <w:rPr>
          <w:rFonts w:ascii="Verdana"/>
          <w:spacing w:val="-1"/>
          <w:sz w:val="18"/>
        </w:rPr>
        <w:t> </w:t>
      </w:r>
      <w:r>
        <w:rPr>
          <w:rFonts w:ascii="Verdana"/>
          <w:sz w:val="18"/>
        </w:rPr>
        <w:t>and</w:t>
      </w:r>
      <w:r>
        <w:rPr>
          <w:rFonts w:ascii="Verdana"/>
          <w:spacing w:val="-1"/>
          <w:sz w:val="18"/>
        </w:rPr>
        <w:t> </w:t>
      </w:r>
      <w:r>
        <w:rPr>
          <w:rFonts w:ascii="Verdana"/>
          <w:sz w:val="18"/>
        </w:rPr>
        <w:t>Ruin:</w:t>
      </w:r>
      <w:r>
        <w:rPr>
          <w:rFonts w:ascii="Verdana"/>
          <w:spacing w:val="-1"/>
          <w:sz w:val="18"/>
        </w:rPr>
        <w:t> </w:t>
      </w:r>
      <w:r>
        <w:rPr>
          <w:rFonts w:ascii="Verdana"/>
          <w:sz w:val="18"/>
        </w:rPr>
        <w:t>The</w:t>
      </w:r>
      <w:r>
        <w:rPr>
          <w:rFonts w:ascii="Verdana"/>
          <w:spacing w:val="2"/>
          <w:sz w:val="18"/>
        </w:rPr>
        <w:t> </w:t>
      </w:r>
      <w:r>
        <w:rPr>
          <w:rFonts w:ascii="Verdana"/>
          <w:sz w:val="18"/>
        </w:rPr>
        <w:t>Role of Women Under</w:t>
      </w:r>
      <w:r>
        <w:rPr>
          <w:rFonts w:ascii="Verdana"/>
          <w:spacing w:val="1"/>
          <w:sz w:val="18"/>
        </w:rPr>
        <w:t> </w:t>
      </w:r>
      <w:r>
        <w:rPr>
          <w:rFonts w:ascii="Verdana"/>
          <w:spacing w:val="-2"/>
          <w:sz w:val="18"/>
        </w:rPr>
        <w:t>the...</w:t>
      </w:r>
      <w:r>
        <w:rPr>
          <w:rFonts w:ascii="Verdana"/>
          <w:sz w:val="18"/>
        </w:rPr>
        <w:tab/>
      </w:r>
      <w:r>
        <w:rPr>
          <w:rFonts w:ascii="Verdana"/>
          <w:spacing w:val="-5"/>
          <w:sz w:val="18"/>
        </w:rPr>
        <w:t>397</w:t>
      </w:r>
    </w:p>
    <w:p>
      <w:pPr>
        <w:pStyle w:val="BodyText"/>
        <w:spacing w:line="249" w:lineRule="auto" w:before="192"/>
        <w:ind w:right="1438" w:firstLine="432"/>
        <w:jc w:val="both"/>
      </w:pPr>
      <w:r>
        <w:rPr/>
        <w:t>The witches’ prophecies are the engine of fate in the play. They</w:t>
      </w:r>
      <w:r>
        <w:rPr>
          <w:spacing w:val="40"/>
        </w:rPr>
        <w:t> </w:t>
      </w:r>
      <w:r>
        <w:rPr/>
        <w:t>do not compel Macbeth to act; they merely predict, and his ambition amplified by Lady Macbeth’s urgings does the rest. Yet the prophecies are also self-fulfilling: because Macbeth believes he will be king, he murders Duncan; because he believes he cannot be harmed by one “of </w:t>
      </w:r>
      <w:r>
        <w:rPr>
          <w:spacing w:val="-4"/>
        </w:rPr>
        <w:t>woman</w:t>
      </w:r>
      <w:r>
        <w:rPr>
          <w:spacing w:val="-5"/>
        </w:rPr>
        <w:t> </w:t>
      </w:r>
      <w:r>
        <w:rPr>
          <w:spacing w:val="-4"/>
        </w:rPr>
        <w:t>born” (4.1.80), he becomes overconfident. Fate</w:t>
      </w:r>
      <w:r>
        <w:rPr>
          <w:spacing w:val="-5"/>
        </w:rPr>
        <w:t> </w:t>
      </w:r>
      <w:r>
        <w:rPr>
          <w:spacing w:val="-4"/>
        </w:rPr>
        <w:t>and human</w:t>
      </w:r>
      <w:r>
        <w:rPr>
          <w:spacing w:val="-5"/>
        </w:rPr>
        <w:t> </w:t>
      </w:r>
      <w:r>
        <w:rPr>
          <w:spacing w:val="-4"/>
        </w:rPr>
        <w:t>agency </w:t>
      </w:r>
      <w:r>
        <w:rPr/>
        <w:t>cannot be disentangled. For the Macbeths, the prophecies corrupt a happy marriage into mutual destruction. Lady Macbeth descends into sleepwalking madness, obsessively washing the imaginary blood from her</w:t>
      </w:r>
      <w:r>
        <w:rPr>
          <w:spacing w:val="40"/>
        </w:rPr>
        <w:t> </w:t>
      </w:r>
      <w:r>
        <w:rPr/>
        <w:t>hands:</w:t>
      </w:r>
    </w:p>
    <w:p>
      <w:pPr>
        <w:spacing w:before="66"/>
        <w:ind w:left="2160" w:right="0" w:firstLine="0"/>
        <w:jc w:val="both"/>
        <w:rPr>
          <w:i/>
          <w:sz w:val="20"/>
        </w:rPr>
      </w:pPr>
      <w:r>
        <w:rPr>
          <w:i/>
          <w:sz w:val="20"/>
        </w:rPr>
        <w:t>“Out,</w:t>
      </w:r>
      <w:r>
        <w:rPr>
          <w:i/>
          <w:spacing w:val="27"/>
          <w:sz w:val="20"/>
        </w:rPr>
        <w:t> </w:t>
      </w:r>
      <w:r>
        <w:rPr>
          <w:i/>
          <w:sz w:val="20"/>
        </w:rPr>
        <w:t>damned</w:t>
      </w:r>
      <w:r>
        <w:rPr>
          <w:i/>
          <w:spacing w:val="24"/>
          <w:sz w:val="20"/>
        </w:rPr>
        <w:t> </w:t>
      </w:r>
      <w:r>
        <w:rPr>
          <w:i/>
          <w:sz w:val="20"/>
        </w:rPr>
        <w:t>spot!</w:t>
      </w:r>
      <w:r>
        <w:rPr>
          <w:i/>
          <w:spacing w:val="27"/>
          <w:sz w:val="20"/>
        </w:rPr>
        <w:t> </w:t>
      </w:r>
      <w:r>
        <w:rPr>
          <w:i/>
          <w:sz w:val="20"/>
        </w:rPr>
        <w:t>out,</w:t>
      </w:r>
      <w:r>
        <w:rPr>
          <w:i/>
          <w:spacing w:val="26"/>
          <w:sz w:val="20"/>
        </w:rPr>
        <w:t> </w:t>
      </w:r>
      <w:r>
        <w:rPr>
          <w:i/>
          <w:sz w:val="20"/>
        </w:rPr>
        <w:t>I</w:t>
      </w:r>
      <w:r>
        <w:rPr>
          <w:i/>
          <w:spacing w:val="23"/>
          <w:sz w:val="20"/>
        </w:rPr>
        <w:t> </w:t>
      </w:r>
      <w:r>
        <w:rPr>
          <w:i/>
          <w:sz w:val="20"/>
        </w:rPr>
        <w:t>say!”</w:t>
      </w:r>
      <w:r>
        <w:rPr>
          <w:i/>
          <w:spacing w:val="25"/>
          <w:sz w:val="20"/>
        </w:rPr>
        <w:t> </w:t>
      </w:r>
      <w:r>
        <w:rPr>
          <w:i/>
          <w:spacing w:val="-2"/>
          <w:sz w:val="20"/>
        </w:rPr>
        <w:t>(5.1.37)</w:t>
      </w:r>
    </w:p>
    <w:p>
      <w:pPr>
        <w:pStyle w:val="BodyText"/>
        <w:spacing w:line="266" w:lineRule="auto" w:before="77"/>
        <w:ind w:right="1440" w:firstLine="432"/>
        <w:jc w:val="both"/>
      </w:pPr>
      <w:r>
        <w:rPr/>
        <w:t>Her suicide, reported rather than shown on stage, is the play’s</w:t>
      </w:r>
      <w:r>
        <w:rPr>
          <w:spacing w:val="40"/>
        </w:rPr>
        <w:t> </w:t>
      </w:r>
      <w:r>
        <w:rPr/>
        <w:t>final acknowledgement that female agency has limits: she cannot wash away the consequences of her ambition, and she cannot live with what she</w:t>
      </w:r>
      <w:r>
        <w:rPr>
          <w:spacing w:val="40"/>
        </w:rPr>
        <w:t> </w:t>
      </w:r>
      <w:r>
        <w:rPr/>
        <w:t>has</w:t>
      </w:r>
      <w:r>
        <w:rPr>
          <w:spacing w:val="40"/>
        </w:rPr>
        <w:t> </w:t>
      </w:r>
      <w:r>
        <w:rPr/>
        <w:t>become.</w:t>
      </w:r>
    </w:p>
    <w:p>
      <w:pPr>
        <w:pStyle w:val="BodyText"/>
        <w:spacing w:line="266" w:lineRule="auto" w:before="61"/>
        <w:ind w:right="1439" w:firstLine="432"/>
        <w:jc w:val="both"/>
      </w:pPr>
      <w:r>
        <w:rPr/>
        <w:t>Macbeth’s response to his wife’s death “She should have died hereafter” (5.5.17) is cold, as if he had already lost the capacity for feeling. The marriage that began in mutual respect and shared desire ends in isolation and despair. They are united in ambition only to be destroyed by</w:t>
      </w:r>
      <w:r>
        <w:rPr>
          <w:spacing w:val="-1"/>
        </w:rPr>
        <w:t> </w:t>
      </w:r>
      <w:r>
        <w:rPr/>
        <w:t>it. The ruin is total: Lady</w:t>
      </w:r>
      <w:r>
        <w:rPr>
          <w:spacing w:val="-1"/>
        </w:rPr>
        <w:t> </w:t>
      </w:r>
      <w:r>
        <w:rPr/>
        <w:t>Macbeth dead by</w:t>
      </w:r>
      <w:r>
        <w:rPr>
          <w:spacing w:val="-1"/>
        </w:rPr>
        <w:t> </w:t>
      </w:r>
      <w:r>
        <w:rPr/>
        <w:t>her own hand, Macbeth dead on the battlefield, and Scotland passed to another male </w:t>
      </w:r>
      <w:r>
        <w:rPr>
          <w:spacing w:val="-2"/>
        </w:rPr>
        <w:t>ruler.</w:t>
      </w:r>
      <w:r>
        <w:rPr>
          <w:spacing w:val="-11"/>
        </w:rPr>
        <w:t> </w:t>
      </w:r>
      <w:r>
        <w:rPr>
          <w:spacing w:val="-2"/>
        </w:rPr>
        <w:t>Fate</w:t>
      </w:r>
      <w:r>
        <w:rPr>
          <w:spacing w:val="-10"/>
        </w:rPr>
        <w:t> </w:t>
      </w:r>
      <w:r>
        <w:rPr>
          <w:spacing w:val="-2"/>
        </w:rPr>
        <w:t>has</w:t>
      </w:r>
      <w:r>
        <w:rPr>
          <w:spacing w:val="-11"/>
        </w:rPr>
        <w:t> </w:t>
      </w:r>
      <w:r>
        <w:rPr>
          <w:spacing w:val="-2"/>
        </w:rPr>
        <w:t>amplified</w:t>
      </w:r>
      <w:r>
        <w:rPr>
          <w:spacing w:val="-10"/>
        </w:rPr>
        <w:t> </w:t>
      </w:r>
      <w:r>
        <w:rPr>
          <w:spacing w:val="-2"/>
        </w:rPr>
        <w:t>the</w:t>
      </w:r>
      <w:r>
        <w:rPr>
          <w:spacing w:val="-11"/>
        </w:rPr>
        <w:t> </w:t>
      </w:r>
      <w:r>
        <w:rPr>
          <w:spacing w:val="-2"/>
        </w:rPr>
        <w:t>couple’s</w:t>
      </w:r>
      <w:r>
        <w:rPr>
          <w:spacing w:val="-10"/>
        </w:rPr>
        <w:t> </w:t>
      </w:r>
      <w:r>
        <w:rPr>
          <w:spacing w:val="-2"/>
        </w:rPr>
        <w:t>ambition</w:t>
      </w:r>
      <w:r>
        <w:rPr>
          <w:spacing w:val="-11"/>
        </w:rPr>
        <w:t> </w:t>
      </w:r>
      <w:r>
        <w:rPr>
          <w:spacing w:val="-2"/>
        </w:rPr>
        <w:t>into</w:t>
      </w:r>
      <w:r>
        <w:rPr>
          <w:spacing w:val="-10"/>
        </w:rPr>
        <w:t> </w:t>
      </w:r>
      <w:r>
        <w:rPr>
          <w:spacing w:val="-2"/>
        </w:rPr>
        <w:t>catastrophe,</w:t>
      </w:r>
      <w:r>
        <w:rPr>
          <w:spacing w:val="-11"/>
        </w:rPr>
        <w:t> </w:t>
      </w:r>
      <w:r>
        <w:rPr>
          <w:spacing w:val="-2"/>
        </w:rPr>
        <w:t>punishing </w:t>
      </w:r>
      <w:r>
        <w:rPr/>
        <w:t>the wife more harshly (by her own hand) than the husband (by an enemy’s</w:t>
      </w:r>
      <w:r>
        <w:rPr>
          <w:spacing w:val="-9"/>
        </w:rPr>
        <w:t> </w:t>
      </w:r>
      <w:r>
        <w:rPr/>
        <w:t>sword).</w:t>
      </w:r>
      <w:r>
        <w:rPr>
          <w:spacing w:val="-6"/>
        </w:rPr>
        <w:t> </w:t>
      </w:r>
      <w:r>
        <w:rPr/>
        <w:t>Even</w:t>
      </w:r>
      <w:r>
        <w:rPr>
          <w:spacing w:val="-9"/>
        </w:rPr>
        <w:t> </w:t>
      </w:r>
      <w:r>
        <w:rPr/>
        <w:t>in</w:t>
      </w:r>
      <w:r>
        <w:rPr>
          <w:spacing w:val="-9"/>
        </w:rPr>
        <w:t> </w:t>
      </w:r>
      <w:r>
        <w:rPr/>
        <w:t>a</w:t>
      </w:r>
      <w:r>
        <w:rPr>
          <w:spacing w:val="-7"/>
        </w:rPr>
        <w:t> </w:t>
      </w:r>
      <w:r>
        <w:rPr/>
        <w:t>loving,</w:t>
      </w:r>
      <w:r>
        <w:rPr>
          <w:spacing w:val="-8"/>
        </w:rPr>
        <w:t> </w:t>
      </w:r>
      <w:r>
        <w:rPr/>
        <w:t>companionate</w:t>
      </w:r>
      <w:r>
        <w:rPr>
          <w:spacing w:val="-7"/>
        </w:rPr>
        <w:t> </w:t>
      </w:r>
      <w:r>
        <w:rPr/>
        <w:t>marriage,</w:t>
      </w:r>
      <w:r>
        <w:rPr>
          <w:spacing w:val="-8"/>
        </w:rPr>
        <w:t> </w:t>
      </w:r>
      <w:r>
        <w:rPr/>
        <w:t>Shakespeare suggests,</w:t>
      </w:r>
      <w:r>
        <w:rPr>
          <w:spacing w:val="40"/>
        </w:rPr>
        <w:t> </w:t>
      </w:r>
      <w:r>
        <w:rPr/>
        <w:t>female</w:t>
      </w:r>
      <w:r>
        <w:rPr>
          <w:spacing w:val="40"/>
        </w:rPr>
        <w:t> </w:t>
      </w:r>
      <w:r>
        <w:rPr/>
        <w:t>desire</w:t>
      </w:r>
      <w:r>
        <w:rPr>
          <w:spacing w:val="40"/>
        </w:rPr>
        <w:t> </w:t>
      </w:r>
      <w:r>
        <w:rPr/>
        <w:t>cannot</w:t>
      </w:r>
      <w:r>
        <w:rPr>
          <w:spacing w:val="40"/>
        </w:rPr>
        <w:t> </w:t>
      </w:r>
      <w:r>
        <w:rPr/>
        <w:t>survive</w:t>
      </w:r>
      <w:r>
        <w:rPr>
          <w:spacing w:val="40"/>
        </w:rPr>
        <w:t> </w:t>
      </w:r>
      <w:r>
        <w:rPr/>
        <w:t>contact</w:t>
      </w:r>
      <w:r>
        <w:rPr>
          <w:spacing w:val="40"/>
        </w:rPr>
        <w:t> </w:t>
      </w:r>
      <w:r>
        <w:rPr/>
        <w:t>with</w:t>
      </w:r>
      <w:r>
        <w:rPr>
          <w:spacing w:val="40"/>
        </w:rPr>
        <w:t> </w:t>
      </w:r>
      <w:r>
        <w:rPr/>
        <w:t>fate.</w:t>
      </w:r>
    </w:p>
    <w:p>
      <w:pPr>
        <w:pStyle w:val="Heading3"/>
        <w:spacing w:before="164"/>
      </w:pPr>
      <w:r>
        <w:rPr>
          <w:spacing w:val="-2"/>
        </w:rPr>
        <w:t>CONCLUSION</w:t>
      </w:r>
    </w:p>
    <w:p>
      <w:pPr>
        <w:pStyle w:val="BodyText"/>
        <w:spacing w:line="266" w:lineRule="auto" w:before="92"/>
        <w:ind w:right="1437" w:firstLine="432"/>
        <w:jc w:val="both"/>
      </w:pPr>
      <w:r>
        <w:rPr/>
        <w:t>Across these four plays, a consistent pattern emerges: female agency</w:t>
      </w:r>
      <w:r>
        <w:rPr>
          <w:spacing w:val="-6"/>
        </w:rPr>
        <w:t> </w:t>
      </w:r>
      <w:r>
        <w:rPr/>
        <w:t>in</w:t>
      </w:r>
      <w:r>
        <w:rPr>
          <w:spacing w:val="-1"/>
        </w:rPr>
        <w:t> </w:t>
      </w:r>
      <w:r>
        <w:rPr/>
        <w:t>Shakespeare’s</w:t>
      </w:r>
      <w:r>
        <w:rPr>
          <w:spacing w:val="-2"/>
        </w:rPr>
        <w:t> </w:t>
      </w:r>
      <w:r>
        <w:rPr/>
        <w:t>works</w:t>
      </w:r>
      <w:r>
        <w:rPr>
          <w:spacing w:val="-2"/>
        </w:rPr>
        <w:t> </w:t>
      </w:r>
      <w:r>
        <w:rPr/>
        <w:t>operates</w:t>
      </w:r>
      <w:r>
        <w:rPr>
          <w:spacing w:val="-1"/>
        </w:rPr>
        <w:t> </w:t>
      </w:r>
      <w:r>
        <w:rPr/>
        <w:t>only</w:t>
      </w:r>
      <w:r>
        <w:rPr>
          <w:spacing w:val="-4"/>
        </w:rPr>
        <w:t> </w:t>
      </w:r>
      <w:r>
        <w:rPr/>
        <w:t>within</w:t>
      </w:r>
      <w:r>
        <w:rPr>
          <w:spacing w:val="-1"/>
        </w:rPr>
        <w:t> </w:t>
      </w:r>
      <w:r>
        <w:rPr/>
        <w:t>narrow,</w:t>
      </w:r>
      <w:r>
        <w:rPr>
          <w:spacing w:val="-1"/>
        </w:rPr>
        <w:t> </w:t>
      </w:r>
      <w:r>
        <w:rPr/>
        <w:t>precarious bounds; when women exercise that agency, they invite fate’s punitive intervention; and happiness in marriage, when it appears at all, proves fleeting</w:t>
      </w:r>
      <w:r>
        <w:rPr>
          <w:spacing w:val="-2"/>
        </w:rPr>
        <w:t> </w:t>
      </w:r>
      <w:r>
        <w:rPr/>
        <w:t>and</w:t>
      </w:r>
      <w:r>
        <w:rPr>
          <w:spacing w:val="-2"/>
        </w:rPr>
        <w:t> </w:t>
      </w:r>
      <w:r>
        <w:rPr/>
        <w:t>contingent. Isabella’s</w:t>
      </w:r>
      <w:r>
        <w:rPr>
          <w:spacing w:val="-4"/>
        </w:rPr>
        <w:t> </w:t>
      </w:r>
      <w:r>
        <w:rPr/>
        <w:t>refusal</w:t>
      </w:r>
      <w:r>
        <w:rPr>
          <w:spacing w:val="-2"/>
        </w:rPr>
        <w:t> </w:t>
      </w:r>
      <w:r>
        <w:rPr/>
        <w:t>to</w:t>
      </w:r>
      <w:r>
        <w:rPr>
          <w:spacing w:val="-4"/>
        </w:rPr>
        <w:t> </w:t>
      </w:r>
      <w:r>
        <w:rPr/>
        <w:t>trade</w:t>
      </w:r>
      <w:r>
        <w:rPr>
          <w:spacing w:val="-2"/>
        </w:rPr>
        <w:t> </w:t>
      </w:r>
      <w:r>
        <w:rPr/>
        <w:t>her</w:t>
      </w:r>
      <w:r>
        <w:rPr>
          <w:spacing w:val="-2"/>
        </w:rPr>
        <w:t> </w:t>
      </w:r>
      <w:r>
        <w:rPr/>
        <w:t>chastity</w:t>
      </w:r>
      <w:r>
        <w:rPr>
          <w:spacing w:val="-5"/>
        </w:rPr>
        <w:t> </w:t>
      </w:r>
      <w:r>
        <w:rPr/>
        <w:t>preserves her virtue but leaves her silenced at the play’s end. Desdemona’s agency in eloping is destroyed by the sexual suspicions her choice </w:t>
      </w:r>
      <w:r>
        <w:rPr>
          <w:spacing w:val="-2"/>
        </w:rPr>
        <w:t>unleashes.</w:t>
      </w:r>
      <w:r>
        <w:rPr>
          <w:spacing w:val="-8"/>
        </w:rPr>
        <w:t> </w:t>
      </w:r>
      <w:r>
        <w:rPr>
          <w:spacing w:val="-2"/>
        </w:rPr>
        <w:t>Cordelia’s</w:t>
      </w:r>
      <w:r>
        <w:rPr>
          <w:spacing w:val="-10"/>
        </w:rPr>
        <w:t> </w:t>
      </w:r>
      <w:r>
        <w:rPr>
          <w:spacing w:val="-2"/>
        </w:rPr>
        <w:t>loving</w:t>
      </w:r>
      <w:r>
        <w:rPr>
          <w:spacing w:val="-10"/>
        </w:rPr>
        <w:t> </w:t>
      </w:r>
      <w:r>
        <w:rPr>
          <w:spacing w:val="-2"/>
        </w:rPr>
        <w:t>marriage</w:t>
      </w:r>
      <w:r>
        <w:rPr>
          <w:spacing w:val="-8"/>
        </w:rPr>
        <w:t> </w:t>
      </w:r>
      <w:r>
        <w:rPr>
          <w:spacing w:val="-2"/>
        </w:rPr>
        <w:t>cannot</w:t>
      </w:r>
      <w:r>
        <w:rPr>
          <w:spacing w:val="-8"/>
        </w:rPr>
        <w:t> </w:t>
      </w:r>
      <w:r>
        <w:rPr>
          <w:spacing w:val="-2"/>
        </w:rPr>
        <w:t>protect</w:t>
      </w:r>
      <w:r>
        <w:rPr>
          <w:spacing w:val="-11"/>
        </w:rPr>
        <w:t> </w:t>
      </w:r>
      <w:r>
        <w:rPr>
          <w:spacing w:val="-2"/>
        </w:rPr>
        <w:t>her</w:t>
      </w:r>
      <w:r>
        <w:rPr>
          <w:spacing w:val="-10"/>
        </w:rPr>
        <w:t> </w:t>
      </w:r>
      <w:r>
        <w:rPr>
          <w:spacing w:val="-2"/>
        </w:rPr>
        <w:t>from</w:t>
      </w:r>
      <w:r>
        <w:rPr>
          <w:spacing w:val="-9"/>
        </w:rPr>
        <w:t> </w:t>
      </w:r>
      <w:r>
        <w:rPr>
          <w:spacing w:val="-2"/>
        </w:rPr>
        <w:t>her</w:t>
      </w:r>
      <w:r>
        <w:rPr>
          <w:spacing w:val="-8"/>
        </w:rPr>
        <w:t> </w:t>
      </w:r>
      <w:r>
        <w:rPr>
          <w:spacing w:val="-2"/>
        </w:rPr>
        <w:t>father’s </w:t>
      </w:r>
      <w:r>
        <w:rPr/>
        <w:t>tragedy, while Goneril and Regan’s rebellious sexuality destroys them. Even in Macbeth, where marriage begins as a genuinely companionate partnership,</w:t>
      </w:r>
      <w:r>
        <w:rPr>
          <w:spacing w:val="40"/>
        </w:rPr>
        <w:t> </w:t>
      </w:r>
      <w:r>
        <w:rPr/>
        <w:t>fate</w:t>
      </w:r>
      <w:r>
        <w:rPr>
          <w:spacing w:val="40"/>
        </w:rPr>
        <w:t> </w:t>
      </w:r>
      <w:r>
        <w:rPr/>
        <w:t>corrupts mutual</w:t>
      </w:r>
      <w:r>
        <w:rPr>
          <w:spacing w:val="40"/>
        </w:rPr>
        <w:t> </w:t>
      </w:r>
      <w:r>
        <w:rPr/>
        <w:t>love into</w:t>
      </w:r>
      <w:r>
        <w:rPr>
          <w:spacing w:val="40"/>
        </w:rPr>
        <w:t> </w:t>
      </w:r>
      <w:r>
        <w:rPr/>
        <w:t>mutual</w:t>
      </w:r>
      <w:r>
        <w:rPr>
          <w:spacing w:val="40"/>
        </w:rPr>
        <w:t> </w:t>
      </w:r>
      <w:r>
        <w:rPr/>
        <w:t>annihilation.</w:t>
      </w:r>
    </w:p>
    <w:p>
      <w:pPr>
        <w:pStyle w:val="BodyText"/>
        <w:spacing w:after="0" w:line="26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79168">
                <wp:simplePos x="0" y="0"/>
                <wp:positionH relativeFrom="page">
                  <wp:posOffset>2057400</wp:posOffset>
                </wp:positionH>
                <wp:positionV relativeFrom="paragraph">
                  <wp:posOffset>162604</wp:posOffset>
                </wp:positionV>
                <wp:extent cx="3657600" cy="12700"/>
                <wp:effectExtent l="0" t="0" r="0" b="0"/>
                <wp:wrapTopAndBottom/>
                <wp:docPr id="779" name="Graphic 779"/>
                <wp:cNvGraphicFramePr>
                  <a:graphicFrameLocks/>
                </wp:cNvGraphicFramePr>
                <a:graphic>
                  <a:graphicData uri="http://schemas.microsoft.com/office/word/2010/wordprocessingShape">
                    <wps:wsp>
                      <wps:cNvPr id="779" name="Graphic 77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37312;mso-wrap-distance-left:0;mso-wrap-distance-right:0" id="docshape771" filled="true" fillcolor="#000000" stroked="false">
                <v:fill type="solid"/>
                <w10:wrap type="topAndBottom"/>
              </v:rect>
            </w:pict>
          </mc:Fallback>
        </mc:AlternateContent>
      </w:r>
      <w:r>
        <w:rPr>
          <w:rFonts w:ascii="Verdana"/>
          <w:spacing w:val="-5"/>
          <w:sz w:val="18"/>
        </w:rPr>
        <w:t>398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32" w:lineRule="auto" w:before="186"/>
        <w:ind w:right="1436" w:firstLine="432"/>
        <w:jc w:val="both"/>
      </w:pPr>
      <w:r>
        <w:rPr>
          <w:spacing w:val="-2"/>
        </w:rPr>
        <w:t>The</w:t>
      </w:r>
      <w:r>
        <w:rPr>
          <w:spacing w:val="-3"/>
        </w:rPr>
        <w:t> </w:t>
      </w:r>
      <w:r>
        <w:rPr>
          <w:spacing w:val="-2"/>
        </w:rPr>
        <w:t>doctrinal</w:t>
      </w:r>
      <w:r>
        <w:rPr>
          <w:spacing w:val="-6"/>
        </w:rPr>
        <w:t> </w:t>
      </w:r>
      <w:r>
        <w:rPr>
          <w:spacing w:val="-2"/>
        </w:rPr>
        <w:t>framework</w:t>
      </w:r>
      <w:r>
        <w:rPr>
          <w:spacing w:val="-4"/>
        </w:rPr>
        <w:t> </w:t>
      </w:r>
      <w:r>
        <w:rPr>
          <w:spacing w:val="-2"/>
        </w:rPr>
        <w:t>of</w:t>
      </w:r>
      <w:r>
        <w:rPr>
          <w:spacing w:val="-4"/>
        </w:rPr>
        <w:t> </w:t>
      </w:r>
      <w:r>
        <w:rPr>
          <w:spacing w:val="-2"/>
        </w:rPr>
        <w:t>coverture, which</w:t>
      </w:r>
      <w:r>
        <w:rPr>
          <w:spacing w:val="-6"/>
        </w:rPr>
        <w:t> </w:t>
      </w:r>
      <w:r>
        <w:rPr>
          <w:spacing w:val="-2"/>
        </w:rPr>
        <w:t>legally</w:t>
      </w:r>
      <w:r>
        <w:rPr>
          <w:spacing w:val="-6"/>
        </w:rPr>
        <w:t> </w:t>
      </w:r>
      <w:r>
        <w:rPr>
          <w:spacing w:val="-2"/>
        </w:rPr>
        <w:t>erased married </w:t>
      </w:r>
      <w:r>
        <w:rPr/>
        <w:t>women’s separate existence, provides the juridical ground for these tragic outcomes.</w:t>
      </w:r>
      <w:r>
        <w:rPr>
          <w:spacing w:val="-1"/>
        </w:rPr>
        <w:t> </w:t>
      </w:r>
      <w:r>
        <w:rPr/>
        <w:t>Husbands owned</w:t>
      </w:r>
      <w:r>
        <w:rPr>
          <w:spacing w:val="-1"/>
        </w:rPr>
        <w:t> </w:t>
      </w:r>
      <w:r>
        <w:rPr/>
        <w:t>their wives’</w:t>
      </w:r>
      <w:r>
        <w:rPr>
          <w:spacing w:val="-1"/>
        </w:rPr>
        <w:t> </w:t>
      </w:r>
      <w:r>
        <w:rPr/>
        <w:t>bodies, and wives could not legally refuse sexual access; female sexual agency was therefore </w:t>
      </w:r>
      <w:r>
        <w:rPr>
          <w:spacing w:val="-2"/>
        </w:rPr>
        <w:t>impossible</w:t>
      </w:r>
      <w:r>
        <w:rPr>
          <w:spacing w:val="-11"/>
        </w:rPr>
        <w:t> </w:t>
      </w:r>
      <w:r>
        <w:rPr>
          <w:spacing w:val="-2"/>
        </w:rPr>
        <w:t>within</w:t>
      </w:r>
      <w:r>
        <w:rPr>
          <w:spacing w:val="-10"/>
        </w:rPr>
        <w:t> </w:t>
      </w:r>
      <w:r>
        <w:rPr>
          <w:spacing w:val="-2"/>
        </w:rPr>
        <w:t>the</w:t>
      </w:r>
      <w:r>
        <w:rPr>
          <w:spacing w:val="-11"/>
        </w:rPr>
        <w:t> </w:t>
      </w:r>
      <w:r>
        <w:rPr>
          <w:spacing w:val="-2"/>
        </w:rPr>
        <w:t>terms</w:t>
      </w:r>
      <w:r>
        <w:rPr>
          <w:spacing w:val="-10"/>
        </w:rPr>
        <w:t> </w:t>
      </w:r>
      <w:r>
        <w:rPr>
          <w:spacing w:val="-2"/>
        </w:rPr>
        <w:t>of</w:t>
      </w:r>
      <w:r>
        <w:rPr>
          <w:spacing w:val="-11"/>
        </w:rPr>
        <w:t> </w:t>
      </w:r>
      <w:r>
        <w:rPr>
          <w:spacing w:val="-2"/>
        </w:rPr>
        <w:t>law.</w:t>
      </w:r>
      <w:r>
        <w:rPr>
          <w:spacing w:val="-10"/>
        </w:rPr>
        <w:t> </w:t>
      </w:r>
      <w:r>
        <w:rPr>
          <w:spacing w:val="-2"/>
        </w:rPr>
        <w:t>Fate—whether</w:t>
      </w:r>
      <w:r>
        <w:rPr>
          <w:spacing w:val="-11"/>
        </w:rPr>
        <w:t> </w:t>
      </w:r>
      <w:r>
        <w:rPr>
          <w:spacing w:val="-2"/>
        </w:rPr>
        <w:t>conceived</w:t>
      </w:r>
      <w:r>
        <w:rPr>
          <w:spacing w:val="-10"/>
        </w:rPr>
        <w:t> </w:t>
      </w:r>
      <w:r>
        <w:rPr>
          <w:spacing w:val="-2"/>
        </w:rPr>
        <w:t>as</w:t>
      </w:r>
      <w:r>
        <w:rPr>
          <w:spacing w:val="-11"/>
        </w:rPr>
        <w:t> </w:t>
      </w:r>
      <w:r>
        <w:rPr>
          <w:spacing w:val="-2"/>
        </w:rPr>
        <w:t>Fortune’s </w:t>
      </w:r>
      <w:r>
        <w:rPr/>
        <w:t>wheel, divine </w:t>
      </w:r>
      <w:r>
        <w:rPr>
          <w:spacing w:val="10"/>
        </w:rPr>
        <w:t>providence,</w:t>
      </w:r>
      <w:r>
        <w:rPr>
          <w:spacing w:val="10"/>
        </w:rPr>
        <w:t> </w:t>
      </w:r>
      <w:r>
        <w:rPr/>
        <w:t>or </w:t>
      </w:r>
      <w:r>
        <w:rPr>
          <w:spacing w:val="9"/>
        </w:rPr>
        <w:t>tragic</w:t>
      </w:r>
      <w:r>
        <w:rPr>
          <w:spacing w:val="9"/>
        </w:rPr>
        <w:t> </w:t>
      </w:r>
      <w:r>
        <w:rPr>
          <w:spacing w:val="11"/>
        </w:rPr>
        <w:t>necessity—</w:t>
      </w:r>
      <w:r>
        <w:rPr>
          <w:spacing w:val="9"/>
        </w:rPr>
        <w:t>amplifies</w:t>
      </w:r>
      <w:r>
        <w:rPr>
          <w:spacing w:val="9"/>
        </w:rPr>
        <w:t> </w:t>
      </w:r>
      <w:r>
        <w:rPr/>
        <w:t>the consequences of female assertion. A woman who chooses her own husband, as Desdemona does, may also choose her own death. A woman</w:t>
      </w:r>
      <w:r>
        <w:rPr>
          <w:spacing w:val="-6"/>
        </w:rPr>
        <w:t> </w:t>
      </w:r>
      <w:r>
        <w:rPr/>
        <w:t>who</w:t>
      </w:r>
      <w:r>
        <w:rPr>
          <w:spacing w:val="-4"/>
        </w:rPr>
        <w:t> </w:t>
      </w:r>
      <w:r>
        <w:rPr/>
        <w:t>refuses</w:t>
      </w:r>
      <w:r>
        <w:rPr>
          <w:spacing w:val="-6"/>
        </w:rPr>
        <w:t> </w:t>
      </w:r>
      <w:r>
        <w:rPr/>
        <w:t>to</w:t>
      </w:r>
      <w:r>
        <w:rPr>
          <w:spacing w:val="-4"/>
        </w:rPr>
        <w:t> </w:t>
      </w:r>
      <w:r>
        <w:rPr/>
        <w:t>trade</w:t>
      </w:r>
      <w:r>
        <w:rPr>
          <w:spacing w:val="-3"/>
        </w:rPr>
        <w:t> </w:t>
      </w:r>
      <w:r>
        <w:rPr/>
        <w:t>her</w:t>
      </w:r>
      <w:r>
        <w:rPr>
          <w:spacing w:val="-4"/>
        </w:rPr>
        <w:t> </w:t>
      </w:r>
      <w:r>
        <w:rPr/>
        <w:t>body,</w:t>
      </w:r>
      <w:r>
        <w:rPr>
          <w:spacing w:val="-4"/>
        </w:rPr>
        <w:t> </w:t>
      </w:r>
      <w:r>
        <w:rPr/>
        <w:t>as</w:t>
      </w:r>
      <w:r>
        <w:rPr>
          <w:spacing w:val="-6"/>
        </w:rPr>
        <w:t> </w:t>
      </w:r>
      <w:r>
        <w:rPr/>
        <w:t>Isabella</w:t>
      </w:r>
      <w:r>
        <w:rPr>
          <w:spacing w:val="-3"/>
        </w:rPr>
        <w:t> </w:t>
      </w:r>
      <w:r>
        <w:rPr/>
        <w:t>does,</w:t>
      </w:r>
      <w:r>
        <w:rPr>
          <w:spacing w:val="-4"/>
        </w:rPr>
        <w:t> </w:t>
      </w:r>
      <w:r>
        <w:rPr/>
        <w:t>may</w:t>
      </w:r>
      <w:r>
        <w:rPr>
          <w:spacing w:val="-8"/>
        </w:rPr>
        <w:t> </w:t>
      </w:r>
      <w:r>
        <w:rPr/>
        <w:t>find</w:t>
      </w:r>
      <w:r>
        <w:rPr>
          <w:spacing w:val="-4"/>
        </w:rPr>
        <w:t> </w:t>
      </w:r>
      <w:r>
        <w:rPr/>
        <w:t>herself traded by other means. A woman who transgresses the boundaries of wifely</w:t>
      </w:r>
      <w:r>
        <w:rPr>
          <w:spacing w:val="-13"/>
        </w:rPr>
        <w:t> </w:t>
      </w:r>
      <w:r>
        <w:rPr/>
        <w:t>duty,</w:t>
      </w:r>
      <w:r>
        <w:rPr>
          <w:spacing w:val="-8"/>
        </w:rPr>
        <w:t> </w:t>
      </w:r>
      <w:r>
        <w:rPr/>
        <w:t>as</w:t>
      </w:r>
      <w:r>
        <w:rPr>
          <w:spacing w:val="-7"/>
        </w:rPr>
        <w:t> </w:t>
      </w:r>
      <w:r>
        <w:rPr/>
        <w:t>Goneril</w:t>
      </w:r>
      <w:r>
        <w:rPr>
          <w:spacing w:val="-5"/>
        </w:rPr>
        <w:t> </w:t>
      </w:r>
      <w:r>
        <w:rPr/>
        <w:t>and</w:t>
      </w:r>
      <w:r>
        <w:rPr>
          <w:spacing w:val="-2"/>
        </w:rPr>
        <w:t> </w:t>
      </w:r>
      <w:r>
        <w:rPr/>
        <w:t>Regan</w:t>
      </w:r>
      <w:r>
        <w:rPr>
          <w:spacing w:val="-7"/>
        </w:rPr>
        <w:t> </w:t>
      </w:r>
      <w:r>
        <w:rPr/>
        <w:t>do,</w:t>
      </w:r>
      <w:r>
        <w:rPr>
          <w:spacing w:val="-5"/>
        </w:rPr>
        <w:t> </w:t>
      </w:r>
      <w:r>
        <w:rPr/>
        <w:t>dies</w:t>
      </w:r>
      <w:r>
        <w:rPr>
          <w:spacing w:val="-4"/>
        </w:rPr>
        <w:t> </w:t>
      </w:r>
      <w:r>
        <w:rPr/>
        <w:t>unwept.</w:t>
      </w:r>
      <w:r>
        <w:rPr>
          <w:spacing w:val="-13"/>
        </w:rPr>
        <w:t> </w:t>
      </w:r>
      <w:r>
        <w:rPr/>
        <w:t>A</w:t>
      </w:r>
      <w:r>
        <w:rPr>
          <w:spacing w:val="-12"/>
        </w:rPr>
        <w:t> </w:t>
      </w:r>
      <w:r>
        <w:rPr/>
        <w:t>woman</w:t>
      </w:r>
      <w:r>
        <w:rPr>
          <w:spacing w:val="-5"/>
        </w:rPr>
        <w:t> </w:t>
      </w:r>
      <w:r>
        <w:rPr/>
        <w:t>who</w:t>
      </w:r>
      <w:r>
        <w:rPr>
          <w:spacing w:val="-4"/>
        </w:rPr>
        <w:t> </w:t>
      </w:r>
      <w:r>
        <w:rPr/>
        <w:t>helps her husband achieve greatness, as Lady Macbeth does, destroys them </w:t>
      </w:r>
      <w:r>
        <w:rPr>
          <w:spacing w:val="-2"/>
        </w:rPr>
        <w:t>both.</w:t>
      </w:r>
    </w:p>
    <w:p>
      <w:pPr>
        <w:pStyle w:val="Heading3"/>
        <w:spacing w:before="159"/>
      </w:pPr>
      <w:r>
        <w:rPr>
          <w:spacing w:val="-2"/>
          <w:w w:val="95"/>
        </w:rPr>
        <w:t>WORKCITED:</w:t>
      </w:r>
    </w:p>
    <w:p>
      <w:pPr>
        <w:pStyle w:val="ListParagraph"/>
        <w:numPr>
          <w:ilvl w:val="0"/>
          <w:numId w:val="80"/>
        </w:numPr>
        <w:tabs>
          <w:tab w:pos="2157" w:val="left" w:leader="none"/>
          <w:tab w:pos="2160" w:val="left" w:leader="none"/>
        </w:tabs>
        <w:spacing w:line="232" w:lineRule="auto" w:before="66" w:after="0"/>
        <w:ind w:left="2160" w:right="1441" w:hanging="315"/>
        <w:jc w:val="both"/>
        <w:rPr>
          <w:sz w:val="19"/>
        </w:rPr>
      </w:pPr>
      <w:r>
        <w:rPr>
          <w:sz w:val="19"/>
        </w:rPr>
        <w:t>Shakespeare, William. Measure for Measure. Edited by J. W. Lever,</w:t>
      </w:r>
      <w:r>
        <w:rPr>
          <w:spacing w:val="40"/>
          <w:sz w:val="19"/>
        </w:rPr>
        <w:t> </w:t>
      </w:r>
      <w:r>
        <w:rPr>
          <w:sz w:val="19"/>
        </w:rPr>
        <w:t>The</w:t>
      </w:r>
      <w:r>
        <w:rPr>
          <w:spacing w:val="40"/>
          <w:sz w:val="19"/>
        </w:rPr>
        <w:t> </w:t>
      </w:r>
      <w:r>
        <w:rPr>
          <w:sz w:val="19"/>
        </w:rPr>
        <w:t>Arden</w:t>
      </w:r>
      <w:r>
        <w:rPr>
          <w:spacing w:val="40"/>
          <w:sz w:val="19"/>
        </w:rPr>
        <w:t> </w:t>
      </w:r>
      <w:r>
        <w:rPr>
          <w:sz w:val="19"/>
        </w:rPr>
        <w:t>Shakespeare,</w:t>
      </w:r>
      <w:r>
        <w:rPr>
          <w:spacing w:val="40"/>
          <w:sz w:val="19"/>
        </w:rPr>
        <w:t> </w:t>
      </w:r>
      <w:r>
        <w:rPr>
          <w:sz w:val="19"/>
        </w:rPr>
        <w:t>2001.</w:t>
      </w:r>
    </w:p>
    <w:p>
      <w:pPr>
        <w:pStyle w:val="ListParagraph"/>
        <w:numPr>
          <w:ilvl w:val="0"/>
          <w:numId w:val="80"/>
        </w:numPr>
        <w:tabs>
          <w:tab w:pos="2157" w:val="left" w:leader="none"/>
          <w:tab w:pos="2160" w:val="left" w:leader="none"/>
        </w:tabs>
        <w:spacing w:line="232" w:lineRule="auto" w:before="58" w:after="0"/>
        <w:ind w:left="2160" w:right="1443" w:hanging="315"/>
        <w:jc w:val="both"/>
        <w:rPr>
          <w:sz w:val="19"/>
        </w:rPr>
      </w:pPr>
      <w:r>
        <w:rPr>
          <w:sz w:val="19"/>
        </w:rPr>
        <w:t>Shakespeare, William. Othello. Edited by E. A. J. Honigmann, The</w:t>
      </w:r>
      <w:r>
        <w:rPr>
          <w:spacing w:val="40"/>
          <w:sz w:val="19"/>
        </w:rPr>
        <w:t> </w:t>
      </w:r>
      <w:r>
        <w:rPr>
          <w:sz w:val="19"/>
        </w:rPr>
        <w:t>Arden</w:t>
      </w:r>
      <w:r>
        <w:rPr>
          <w:spacing w:val="40"/>
          <w:sz w:val="19"/>
        </w:rPr>
        <w:t> </w:t>
      </w:r>
      <w:r>
        <w:rPr>
          <w:sz w:val="19"/>
        </w:rPr>
        <w:t>Shakespeare,</w:t>
      </w:r>
      <w:r>
        <w:rPr>
          <w:spacing w:val="40"/>
          <w:sz w:val="19"/>
        </w:rPr>
        <w:t> </w:t>
      </w:r>
      <w:r>
        <w:rPr>
          <w:sz w:val="19"/>
        </w:rPr>
        <w:t>2017.</w:t>
      </w:r>
    </w:p>
    <w:p>
      <w:pPr>
        <w:pStyle w:val="ListParagraph"/>
        <w:numPr>
          <w:ilvl w:val="0"/>
          <w:numId w:val="80"/>
        </w:numPr>
        <w:tabs>
          <w:tab w:pos="2157" w:val="left" w:leader="none"/>
          <w:tab w:pos="2160" w:val="left" w:leader="none"/>
        </w:tabs>
        <w:spacing w:line="232" w:lineRule="auto" w:before="59" w:after="0"/>
        <w:ind w:left="2160" w:right="1441" w:hanging="315"/>
        <w:jc w:val="both"/>
        <w:rPr>
          <w:sz w:val="19"/>
        </w:rPr>
      </w:pPr>
      <w:r>
        <w:rPr>
          <w:sz w:val="19"/>
        </w:rPr>
        <w:t>Shakespeare, William. King Lear. Edited by R. A. Foakes, The Arden</w:t>
      </w:r>
      <w:r>
        <w:rPr>
          <w:spacing w:val="40"/>
          <w:sz w:val="19"/>
        </w:rPr>
        <w:t> </w:t>
      </w:r>
      <w:r>
        <w:rPr>
          <w:sz w:val="19"/>
        </w:rPr>
        <w:t>Shakespeare,</w:t>
      </w:r>
      <w:r>
        <w:rPr>
          <w:spacing w:val="40"/>
          <w:sz w:val="19"/>
        </w:rPr>
        <w:t> </w:t>
      </w:r>
      <w:r>
        <w:rPr>
          <w:sz w:val="19"/>
        </w:rPr>
        <w:t>1997.</w:t>
      </w:r>
    </w:p>
    <w:p>
      <w:pPr>
        <w:pStyle w:val="ListParagraph"/>
        <w:numPr>
          <w:ilvl w:val="0"/>
          <w:numId w:val="80"/>
        </w:numPr>
        <w:tabs>
          <w:tab w:pos="2157" w:val="left" w:leader="none"/>
          <w:tab w:pos="2160" w:val="left" w:leader="none"/>
        </w:tabs>
        <w:spacing w:line="232" w:lineRule="auto" w:before="58" w:after="0"/>
        <w:ind w:left="2160" w:right="1440" w:hanging="315"/>
        <w:jc w:val="both"/>
        <w:rPr>
          <w:sz w:val="19"/>
        </w:rPr>
      </w:pPr>
      <w:r>
        <w:rPr>
          <w:sz w:val="19"/>
        </w:rPr>
        <w:t>Shakespeare, William. Macbeth. Edited by Sandra Clark and Pamela</w:t>
      </w:r>
      <w:r>
        <w:rPr>
          <w:spacing w:val="40"/>
          <w:sz w:val="19"/>
        </w:rPr>
        <w:t> </w:t>
      </w:r>
      <w:r>
        <w:rPr>
          <w:sz w:val="19"/>
        </w:rPr>
        <w:t>Mason,</w:t>
      </w:r>
      <w:r>
        <w:rPr>
          <w:spacing w:val="40"/>
          <w:sz w:val="19"/>
        </w:rPr>
        <w:t> </w:t>
      </w:r>
      <w:r>
        <w:rPr>
          <w:sz w:val="19"/>
        </w:rPr>
        <w:t>The</w:t>
      </w:r>
      <w:r>
        <w:rPr>
          <w:spacing w:val="40"/>
          <w:sz w:val="19"/>
        </w:rPr>
        <w:t> </w:t>
      </w:r>
      <w:r>
        <w:rPr>
          <w:sz w:val="19"/>
        </w:rPr>
        <w:t>Arden</w:t>
      </w:r>
      <w:r>
        <w:rPr>
          <w:spacing w:val="40"/>
          <w:sz w:val="19"/>
        </w:rPr>
        <w:t> </w:t>
      </w:r>
      <w:r>
        <w:rPr>
          <w:sz w:val="19"/>
        </w:rPr>
        <w:t>Shakespeare,</w:t>
      </w:r>
      <w:r>
        <w:rPr>
          <w:spacing w:val="40"/>
          <w:sz w:val="19"/>
        </w:rPr>
        <w:t> </w:t>
      </w:r>
      <w:r>
        <w:rPr>
          <w:sz w:val="19"/>
        </w:rPr>
        <w:t>2015.</w:t>
      </w:r>
    </w:p>
    <w:p>
      <w:pPr>
        <w:pStyle w:val="ListParagraph"/>
        <w:numPr>
          <w:ilvl w:val="0"/>
          <w:numId w:val="80"/>
        </w:numPr>
        <w:tabs>
          <w:tab w:pos="2157" w:val="left" w:leader="none"/>
          <w:tab w:pos="2160" w:val="left" w:leader="none"/>
        </w:tabs>
        <w:spacing w:line="232" w:lineRule="auto" w:before="57" w:after="0"/>
        <w:ind w:left="2160" w:right="1433" w:hanging="315"/>
        <w:jc w:val="both"/>
        <w:rPr>
          <w:sz w:val="19"/>
        </w:rPr>
      </w:pPr>
      <w:r>
        <w:rPr>
          <w:sz w:val="19"/>
        </w:rPr>
        <w:t>Degenhardt, Jane</w:t>
      </w:r>
      <w:r>
        <w:rPr>
          <w:spacing w:val="40"/>
          <w:sz w:val="19"/>
        </w:rPr>
        <w:t> </w:t>
      </w:r>
      <w:r>
        <w:rPr>
          <w:sz w:val="19"/>
        </w:rPr>
        <w:t>Hwang.</w:t>
      </w:r>
      <w:r>
        <w:rPr>
          <w:spacing w:val="40"/>
          <w:sz w:val="19"/>
        </w:rPr>
        <w:t> </w:t>
      </w:r>
      <w:r>
        <w:rPr>
          <w:sz w:val="19"/>
        </w:rPr>
        <w:t>“Fortune and Fate on</w:t>
      </w:r>
      <w:r>
        <w:rPr>
          <w:spacing w:val="40"/>
          <w:sz w:val="19"/>
        </w:rPr>
        <w:t> </w:t>
      </w:r>
      <w:r>
        <w:rPr>
          <w:sz w:val="19"/>
        </w:rPr>
        <w:t>the Early Modern</w:t>
      </w:r>
      <w:r>
        <w:rPr>
          <w:spacing w:val="40"/>
          <w:sz w:val="19"/>
        </w:rPr>
        <w:t> </w:t>
      </w:r>
      <w:r>
        <w:rPr>
          <w:sz w:val="19"/>
        </w:rPr>
        <w:t>Stage.”</w:t>
      </w:r>
      <w:r>
        <w:rPr>
          <w:spacing w:val="40"/>
          <w:sz w:val="19"/>
        </w:rPr>
        <w:t> </w:t>
      </w:r>
      <w:r>
        <w:rPr>
          <w:sz w:val="19"/>
        </w:rPr>
        <w:t>A</w:t>
      </w:r>
      <w:r>
        <w:rPr>
          <w:spacing w:val="40"/>
          <w:sz w:val="19"/>
        </w:rPr>
        <w:t> </w:t>
      </w:r>
      <w:r>
        <w:rPr>
          <w:sz w:val="19"/>
        </w:rPr>
        <w:t>Companion</w:t>
      </w:r>
      <w:r>
        <w:rPr>
          <w:spacing w:val="40"/>
          <w:sz w:val="19"/>
        </w:rPr>
        <w:t> </w:t>
      </w:r>
      <w:r>
        <w:rPr>
          <w:sz w:val="19"/>
        </w:rPr>
        <w:t>to</w:t>
      </w:r>
      <w:r>
        <w:rPr>
          <w:spacing w:val="40"/>
          <w:sz w:val="19"/>
        </w:rPr>
        <w:t> </w:t>
      </w:r>
      <w:r>
        <w:rPr>
          <w:sz w:val="19"/>
        </w:rPr>
        <w:t>Renaissance</w:t>
      </w:r>
      <w:r>
        <w:rPr>
          <w:spacing w:val="40"/>
          <w:sz w:val="19"/>
        </w:rPr>
        <w:t> </w:t>
      </w:r>
      <w:r>
        <w:rPr>
          <w:sz w:val="19"/>
        </w:rPr>
        <w:t>Drama,</w:t>
      </w:r>
      <w:r>
        <w:rPr>
          <w:spacing w:val="40"/>
          <w:sz w:val="19"/>
        </w:rPr>
        <w:t> </w:t>
      </w:r>
      <w:r>
        <w:rPr>
          <w:sz w:val="19"/>
        </w:rPr>
        <w:t>edited by Arthur</w:t>
      </w:r>
      <w:r>
        <w:rPr>
          <w:spacing w:val="40"/>
          <w:sz w:val="19"/>
        </w:rPr>
        <w:t> </w:t>
      </w:r>
      <w:r>
        <w:rPr>
          <w:sz w:val="19"/>
        </w:rPr>
        <w:t>F.</w:t>
      </w:r>
      <w:r>
        <w:rPr>
          <w:spacing w:val="40"/>
          <w:sz w:val="19"/>
        </w:rPr>
        <w:t> </w:t>
      </w:r>
      <w:r>
        <w:rPr>
          <w:sz w:val="19"/>
        </w:rPr>
        <w:t>Kinney,</w:t>
      </w:r>
      <w:r>
        <w:rPr>
          <w:spacing w:val="40"/>
          <w:sz w:val="19"/>
        </w:rPr>
        <w:t> </w:t>
      </w:r>
      <w:r>
        <w:rPr>
          <w:sz w:val="19"/>
        </w:rPr>
        <w:t>Wiley-Blackwell,</w:t>
      </w:r>
      <w:r>
        <w:rPr>
          <w:spacing w:val="40"/>
          <w:sz w:val="19"/>
        </w:rPr>
        <w:t> </w:t>
      </w:r>
      <w:r>
        <w:rPr>
          <w:sz w:val="19"/>
        </w:rPr>
        <w:t>2018,</w:t>
      </w:r>
      <w:r>
        <w:rPr>
          <w:spacing w:val="40"/>
          <w:sz w:val="19"/>
        </w:rPr>
        <w:t> </w:t>
      </w:r>
      <w:r>
        <w:rPr>
          <w:sz w:val="19"/>
        </w:rPr>
        <w:t>pp.</w:t>
      </w:r>
      <w:r>
        <w:rPr>
          <w:spacing w:val="40"/>
          <w:sz w:val="19"/>
        </w:rPr>
        <w:t> </w:t>
      </w:r>
      <w:r>
        <w:rPr>
          <w:sz w:val="19"/>
        </w:rPr>
        <w:t>345–61.</w:t>
      </w:r>
    </w:p>
    <w:p>
      <w:pPr>
        <w:pStyle w:val="ListParagraph"/>
        <w:numPr>
          <w:ilvl w:val="0"/>
          <w:numId w:val="80"/>
        </w:numPr>
        <w:tabs>
          <w:tab w:pos="2157" w:val="left" w:leader="none"/>
          <w:tab w:pos="2160" w:val="left" w:leader="none"/>
        </w:tabs>
        <w:spacing w:line="232" w:lineRule="auto" w:before="60" w:after="0"/>
        <w:ind w:left="2160" w:right="1437" w:hanging="315"/>
        <w:jc w:val="both"/>
        <w:rPr>
          <w:sz w:val="19"/>
        </w:rPr>
      </w:pPr>
      <w:r>
        <w:rPr>
          <w:sz w:val="19"/>
        </w:rPr>
        <w:t>Ireland, Emily. </w:t>
      </w:r>
      <w:r>
        <w:rPr>
          <w:spacing w:val="9"/>
          <w:sz w:val="19"/>
        </w:rPr>
        <w:t>“‘Coverture</w:t>
      </w:r>
      <w:r>
        <w:rPr>
          <w:spacing w:val="9"/>
          <w:sz w:val="19"/>
        </w:rPr>
        <w:t> </w:t>
      </w:r>
      <w:r>
        <w:rPr>
          <w:sz w:val="19"/>
        </w:rPr>
        <w:t>and Its </w:t>
      </w:r>
      <w:r>
        <w:rPr>
          <w:spacing w:val="9"/>
          <w:sz w:val="19"/>
        </w:rPr>
        <w:t>Discontents’:</w:t>
      </w:r>
      <w:r>
        <w:rPr>
          <w:spacing w:val="9"/>
          <w:sz w:val="19"/>
        </w:rPr>
        <w:t> </w:t>
      </w:r>
      <w:r>
        <w:rPr>
          <w:sz w:val="19"/>
        </w:rPr>
        <w:t>Legal Impossibility</w:t>
      </w:r>
      <w:r>
        <w:rPr>
          <w:spacing w:val="-3"/>
          <w:sz w:val="19"/>
        </w:rPr>
        <w:t> </w:t>
      </w:r>
      <w:r>
        <w:rPr>
          <w:sz w:val="19"/>
        </w:rPr>
        <w:t>and Married Women’s Criminality</w:t>
      </w:r>
      <w:r>
        <w:rPr>
          <w:spacing w:val="-3"/>
          <w:sz w:val="19"/>
        </w:rPr>
        <w:t> </w:t>
      </w:r>
      <w:r>
        <w:rPr>
          <w:sz w:val="19"/>
        </w:rPr>
        <w:t>in Early</w:t>
      </w:r>
      <w:r>
        <w:rPr>
          <w:spacing w:val="-3"/>
          <w:sz w:val="19"/>
        </w:rPr>
        <w:t> </w:t>
      </w:r>
      <w:r>
        <w:rPr>
          <w:sz w:val="19"/>
        </w:rPr>
        <w:t>Modern England.” Law and History Review, vol. 38, no. 3, 2020, pp.</w:t>
      </w:r>
      <w:r>
        <w:rPr>
          <w:spacing w:val="80"/>
          <w:sz w:val="19"/>
        </w:rPr>
        <w:t> </w:t>
      </w:r>
      <w:r>
        <w:rPr>
          <w:spacing w:val="-2"/>
          <w:sz w:val="19"/>
        </w:rPr>
        <w:t>567–98.</w:t>
      </w:r>
    </w:p>
    <w:p>
      <w:pPr>
        <w:pStyle w:val="ListParagraph"/>
        <w:numPr>
          <w:ilvl w:val="0"/>
          <w:numId w:val="80"/>
        </w:numPr>
        <w:tabs>
          <w:tab w:pos="2157" w:val="left" w:leader="none"/>
          <w:tab w:pos="2160" w:val="left" w:leader="none"/>
        </w:tabs>
        <w:spacing w:line="232" w:lineRule="auto" w:before="57" w:after="0"/>
        <w:ind w:left="2160" w:right="1438" w:hanging="315"/>
        <w:jc w:val="both"/>
        <w:rPr>
          <w:sz w:val="19"/>
        </w:rPr>
      </w:pPr>
      <w:r>
        <w:rPr>
          <w:sz w:val="19"/>
        </w:rPr>
        <w:t>Korda, Natasha. “The Bawdy Courts and the Politics of Sexual Reputation</w:t>
      </w:r>
      <w:r>
        <w:rPr>
          <w:spacing w:val="40"/>
          <w:sz w:val="19"/>
        </w:rPr>
        <w:t> </w:t>
      </w:r>
      <w:r>
        <w:rPr>
          <w:sz w:val="19"/>
        </w:rPr>
        <w:t>in</w:t>
      </w:r>
      <w:r>
        <w:rPr>
          <w:spacing w:val="40"/>
          <w:sz w:val="19"/>
        </w:rPr>
        <w:t> </w:t>
      </w:r>
      <w:r>
        <w:rPr>
          <w:sz w:val="19"/>
        </w:rPr>
        <w:t>Measure</w:t>
      </w:r>
      <w:r>
        <w:rPr>
          <w:spacing w:val="40"/>
          <w:sz w:val="19"/>
        </w:rPr>
        <w:t> </w:t>
      </w:r>
      <w:r>
        <w:rPr>
          <w:sz w:val="19"/>
        </w:rPr>
        <w:t>for</w:t>
      </w:r>
      <w:r>
        <w:rPr>
          <w:spacing w:val="40"/>
          <w:sz w:val="19"/>
        </w:rPr>
        <w:t> </w:t>
      </w:r>
      <w:r>
        <w:rPr>
          <w:sz w:val="19"/>
        </w:rPr>
        <w:t>Measure.”</w:t>
      </w:r>
      <w:r>
        <w:rPr>
          <w:spacing w:val="40"/>
          <w:sz w:val="19"/>
        </w:rPr>
        <w:t> </w:t>
      </w:r>
      <w:r>
        <w:rPr>
          <w:sz w:val="19"/>
        </w:rPr>
        <w:t>Shakespeare</w:t>
      </w:r>
      <w:r>
        <w:rPr>
          <w:spacing w:val="40"/>
          <w:sz w:val="19"/>
        </w:rPr>
        <w:t> </w:t>
      </w:r>
      <w:r>
        <w:rPr>
          <w:sz w:val="19"/>
        </w:rPr>
        <w:t>Studies,</w:t>
      </w:r>
      <w:r>
        <w:rPr>
          <w:spacing w:val="40"/>
          <w:sz w:val="19"/>
        </w:rPr>
        <w:t> </w:t>
      </w:r>
      <w:r>
        <w:rPr>
          <w:sz w:val="19"/>
        </w:rPr>
        <w:t>vol. 48, 2020, pp. 112–30.</w:t>
      </w:r>
    </w:p>
    <w:p>
      <w:pPr>
        <w:pStyle w:val="ListParagraph"/>
        <w:numPr>
          <w:ilvl w:val="0"/>
          <w:numId w:val="80"/>
        </w:numPr>
        <w:tabs>
          <w:tab w:pos="2157" w:val="left" w:leader="none"/>
          <w:tab w:pos="2160" w:val="left" w:leader="none"/>
        </w:tabs>
        <w:spacing w:line="235" w:lineRule="auto" w:before="56" w:after="0"/>
        <w:ind w:left="2160" w:right="1440" w:hanging="315"/>
        <w:jc w:val="both"/>
        <w:rPr>
          <w:sz w:val="19"/>
        </w:rPr>
      </w:pPr>
      <w:r>
        <w:rPr>
          <w:sz w:val="19"/>
        </w:rPr>
        <w:t>Loomba, Ania. Shakespeare, Race, and Colonialism. Oxford University</w:t>
      </w:r>
      <w:r>
        <w:rPr>
          <w:spacing w:val="40"/>
          <w:sz w:val="19"/>
        </w:rPr>
        <w:t> </w:t>
      </w:r>
      <w:r>
        <w:rPr>
          <w:sz w:val="19"/>
        </w:rPr>
        <w:t>Press,</w:t>
      </w:r>
      <w:r>
        <w:rPr>
          <w:spacing w:val="40"/>
          <w:sz w:val="19"/>
        </w:rPr>
        <w:t> </w:t>
      </w:r>
      <w:r>
        <w:rPr>
          <w:sz w:val="19"/>
        </w:rPr>
        <w:t>2002.</w:t>
      </w:r>
    </w:p>
    <w:p>
      <w:pPr>
        <w:pStyle w:val="ListParagraph"/>
        <w:numPr>
          <w:ilvl w:val="0"/>
          <w:numId w:val="80"/>
        </w:numPr>
        <w:tabs>
          <w:tab w:pos="2157" w:val="left" w:leader="none"/>
          <w:tab w:pos="2160" w:val="left" w:leader="none"/>
        </w:tabs>
        <w:spacing w:line="232" w:lineRule="auto" w:before="56" w:after="0"/>
        <w:ind w:left="2160" w:right="1436" w:hanging="315"/>
        <w:jc w:val="both"/>
        <w:rPr>
          <w:sz w:val="19"/>
        </w:rPr>
      </w:pPr>
      <w:r>
        <w:rPr>
          <w:sz w:val="19"/>
        </w:rPr>
        <w:t>Neill, Michael. Putting History to the Question: Power, Politics, and Society</w:t>
      </w:r>
      <w:r>
        <w:rPr>
          <w:spacing w:val="-1"/>
          <w:sz w:val="19"/>
        </w:rPr>
        <w:t> </w:t>
      </w:r>
      <w:r>
        <w:rPr>
          <w:sz w:val="19"/>
        </w:rPr>
        <w:t>in English Renaissance Drama. Columbia University Press,</w:t>
      </w:r>
      <w:r>
        <w:rPr>
          <w:spacing w:val="40"/>
          <w:sz w:val="19"/>
        </w:rPr>
        <w:t> </w:t>
      </w:r>
      <w:r>
        <w:rPr>
          <w:sz w:val="19"/>
        </w:rPr>
        <w:t>2000.</w:t>
      </w:r>
    </w:p>
    <w:p>
      <w:pPr>
        <w:pStyle w:val="ListParagraph"/>
        <w:numPr>
          <w:ilvl w:val="0"/>
          <w:numId w:val="80"/>
        </w:numPr>
        <w:tabs>
          <w:tab w:pos="2157" w:val="left" w:leader="none"/>
          <w:tab w:pos="2160" w:val="left" w:leader="none"/>
        </w:tabs>
        <w:spacing w:line="261" w:lineRule="auto" w:before="69" w:after="0"/>
        <w:ind w:left="2160" w:right="1438" w:hanging="406"/>
        <w:jc w:val="both"/>
        <w:rPr>
          <w:sz w:val="19"/>
        </w:rPr>
      </w:pPr>
      <w:r>
        <w:rPr>
          <w:sz w:val="19"/>
        </w:rPr>
        <w:t>Parker, Patricia. “Fantasies of ‘Race’ and ‘Gender’ in Othello.” Shakespeare from the Margins: Language, Culture, Context, University</w:t>
      </w:r>
      <w:r>
        <w:rPr>
          <w:spacing w:val="40"/>
          <w:sz w:val="19"/>
        </w:rPr>
        <w:t> </w:t>
      </w:r>
      <w:r>
        <w:rPr>
          <w:sz w:val="19"/>
        </w:rPr>
        <w:t>of</w:t>
      </w:r>
      <w:r>
        <w:rPr>
          <w:spacing w:val="40"/>
          <w:sz w:val="19"/>
        </w:rPr>
        <w:t> </w:t>
      </w:r>
      <w:r>
        <w:rPr>
          <w:sz w:val="19"/>
        </w:rPr>
        <w:t>Chicago</w:t>
      </w:r>
      <w:r>
        <w:rPr>
          <w:spacing w:val="40"/>
          <w:sz w:val="19"/>
        </w:rPr>
        <w:t> </w:t>
      </w:r>
      <w:r>
        <w:rPr>
          <w:sz w:val="19"/>
        </w:rPr>
        <w:t>Press,</w:t>
      </w:r>
      <w:r>
        <w:rPr>
          <w:spacing w:val="40"/>
          <w:sz w:val="19"/>
        </w:rPr>
        <w:t> </w:t>
      </w:r>
      <w:r>
        <w:rPr>
          <w:sz w:val="19"/>
        </w:rPr>
        <w:t>1996,</w:t>
      </w:r>
      <w:r>
        <w:rPr>
          <w:spacing w:val="40"/>
          <w:sz w:val="19"/>
        </w:rPr>
        <w:t> </w:t>
      </w:r>
      <w:r>
        <w:rPr>
          <w:sz w:val="19"/>
        </w:rPr>
        <w:t>pp.</w:t>
      </w:r>
      <w:r>
        <w:rPr>
          <w:spacing w:val="40"/>
          <w:sz w:val="19"/>
        </w:rPr>
        <w:t> </w:t>
      </w:r>
      <w:r>
        <w:rPr>
          <w:sz w:val="19"/>
        </w:rPr>
        <w:t>228–72.</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44352">
                <wp:simplePos x="0" y="0"/>
                <wp:positionH relativeFrom="page">
                  <wp:posOffset>2057400</wp:posOffset>
                </wp:positionH>
                <wp:positionV relativeFrom="page">
                  <wp:posOffset>1788723</wp:posOffset>
                </wp:positionV>
                <wp:extent cx="3656965" cy="140335"/>
                <wp:effectExtent l="0" t="0" r="0" b="0"/>
                <wp:wrapNone/>
                <wp:docPr id="780" name="Textbox 780"/>
                <wp:cNvGraphicFramePr>
                  <a:graphicFrameLocks/>
                </wp:cNvGraphicFramePr>
                <a:graphic>
                  <a:graphicData uri="http://schemas.microsoft.com/office/word/2010/wordprocessingShape">
                    <wps:wsp>
                      <wps:cNvPr id="780" name="Textbox 780"/>
                      <wps:cNvSpPr txBox="1"/>
                      <wps:spPr>
                        <a:xfrm>
                          <a:off x="0" y="0"/>
                          <a:ext cx="3656965" cy="140335"/>
                        </a:xfrm>
                        <a:prstGeom prst="rect">
                          <a:avLst/>
                        </a:prstGeom>
                      </wps:spPr>
                      <wps:txbx>
                        <w:txbxContent>
                          <w:p>
                            <w:pPr>
                              <w:tabs>
                                <w:tab w:pos="5445" w:val="left" w:leader="none"/>
                              </w:tabs>
                              <w:spacing w:line="219" w:lineRule="exact" w:before="0"/>
                              <w:ind w:left="0" w:right="0" w:firstLine="0"/>
                              <w:jc w:val="left"/>
                              <w:rPr>
                                <w:rFonts w:ascii="Verdana"/>
                                <w:sz w:val="18"/>
                              </w:rPr>
                            </w:pPr>
                            <w:r>
                              <w:rPr>
                                <w:rFonts w:ascii="Verdana"/>
                                <w:spacing w:val="-4"/>
                                <w:sz w:val="18"/>
                              </w:rPr>
                              <w:t>Women</w:t>
                            </w:r>
                            <w:r>
                              <w:rPr>
                                <w:rFonts w:ascii="Verdana"/>
                                <w:spacing w:val="-10"/>
                                <w:sz w:val="18"/>
                              </w:rPr>
                              <w:t> </w:t>
                            </w:r>
                            <w:r>
                              <w:rPr>
                                <w:rFonts w:ascii="Verdana"/>
                                <w:spacing w:val="-4"/>
                                <w:sz w:val="18"/>
                              </w:rPr>
                              <w:t>and</w:t>
                            </w:r>
                            <w:r>
                              <w:rPr>
                                <w:rFonts w:ascii="Verdana"/>
                                <w:spacing w:val="-10"/>
                                <w:sz w:val="18"/>
                              </w:rPr>
                              <w:t> </w:t>
                            </w:r>
                            <w:r>
                              <w:rPr>
                                <w:rFonts w:ascii="Verdana"/>
                                <w:spacing w:val="-4"/>
                                <w:sz w:val="18"/>
                              </w:rPr>
                              <w:t>Mental</w:t>
                            </w:r>
                            <w:r>
                              <w:rPr>
                                <w:rFonts w:ascii="Verdana"/>
                                <w:spacing w:val="-10"/>
                                <w:sz w:val="18"/>
                              </w:rPr>
                              <w:t> </w:t>
                            </w:r>
                            <w:r>
                              <w:rPr>
                                <w:rFonts w:ascii="Verdana"/>
                                <w:spacing w:val="-4"/>
                                <w:sz w:val="18"/>
                              </w:rPr>
                              <w:t>Health</w:t>
                            </w:r>
                            <w:r>
                              <w:rPr>
                                <w:rFonts w:ascii="Verdana"/>
                                <w:spacing w:val="-7"/>
                                <w:sz w:val="18"/>
                              </w:rPr>
                              <w:t> </w:t>
                            </w:r>
                            <w:r>
                              <w:rPr>
                                <w:rFonts w:ascii="Verdana"/>
                                <w:spacing w:val="-4"/>
                                <w:sz w:val="18"/>
                              </w:rPr>
                              <w:t>in</w:t>
                            </w:r>
                            <w:r>
                              <w:rPr>
                                <w:rFonts w:ascii="Verdana"/>
                                <w:spacing w:val="-10"/>
                                <w:sz w:val="18"/>
                              </w:rPr>
                              <w:t> </w:t>
                            </w:r>
                            <w:r>
                              <w:rPr>
                                <w:rFonts w:ascii="Verdana"/>
                                <w:spacing w:val="-4"/>
                                <w:sz w:val="18"/>
                              </w:rPr>
                              <w:t>Select</w:t>
                            </w:r>
                            <w:r>
                              <w:rPr>
                                <w:rFonts w:ascii="Verdana"/>
                                <w:spacing w:val="-11"/>
                                <w:sz w:val="18"/>
                              </w:rPr>
                              <w:t> </w:t>
                            </w:r>
                            <w:r>
                              <w:rPr>
                                <w:rFonts w:ascii="Verdana"/>
                                <w:spacing w:val="-4"/>
                                <w:sz w:val="18"/>
                              </w:rPr>
                              <w:t>Shakespearean</w:t>
                            </w:r>
                            <w:r>
                              <w:rPr>
                                <w:rFonts w:ascii="Verdana"/>
                                <w:spacing w:val="-9"/>
                                <w:sz w:val="18"/>
                              </w:rPr>
                              <w:t> </w:t>
                            </w:r>
                            <w:r>
                              <w:rPr>
                                <w:rFonts w:ascii="Verdana"/>
                                <w:spacing w:val="-4"/>
                                <w:sz w:val="18"/>
                              </w:rPr>
                              <w:t>Plays...</w:t>
                            </w:r>
                            <w:r>
                              <w:rPr>
                                <w:rFonts w:ascii="Verdana"/>
                                <w:sz w:val="18"/>
                              </w:rPr>
                              <w:tab/>
                            </w:r>
                            <w:r>
                              <w:rPr>
                                <w:rFonts w:ascii="Verdana"/>
                                <w:spacing w:val="-5"/>
                                <w:w w:val="90"/>
                                <w:sz w:val="18"/>
                              </w:rPr>
                              <w:t>399</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272128" type="#_x0000_t202" id="docshape772" filled="false" stroked="false">
                <v:textbox inset="0,0,0,0">
                  <w:txbxContent>
                    <w:p>
                      <w:pPr>
                        <w:tabs>
                          <w:tab w:pos="5445" w:val="left" w:leader="none"/>
                        </w:tabs>
                        <w:spacing w:line="219" w:lineRule="exact" w:before="0"/>
                        <w:ind w:left="0" w:right="0" w:firstLine="0"/>
                        <w:jc w:val="left"/>
                        <w:rPr>
                          <w:rFonts w:ascii="Verdana"/>
                          <w:sz w:val="18"/>
                        </w:rPr>
                      </w:pPr>
                      <w:r>
                        <w:rPr>
                          <w:rFonts w:ascii="Verdana"/>
                          <w:spacing w:val="-4"/>
                          <w:sz w:val="18"/>
                        </w:rPr>
                        <w:t>Women</w:t>
                      </w:r>
                      <w:r>
                        <w:rPr>
                          <w:rFonts w:ascii="Verdana"/>
                          <w:spacing w:val="-10"/>
                          <w:sz w:val="18"/>
                        </w:rPr>
                        <w:t> </w:t>
                      </w:r>
                      <w:r>
                        <w:rPr>
                          <w:rFonts w:ascii="Verdana"/>
                          <w:spacing w:val="-4"/>
                          <w:sz w:val="18"/>
                        </w:rPr>
                        <w:t>and</w:t>
                      </w:r>
                      <w:r>
                        <w:rPr>
                          <w:rFonts w:ascii="Verdana"/>
                          <w:spacing w:val="-10"/>
                          <w:sz w:val="18"/>
                        </w:rPr>
                        <w:t> </w:t>
                      </w:r>
                      <w:r>
                        <w:rPr>
                          <w:rFonts w:ascii="Verdana"/>
                          <w:spacing w:val="-4"/>
                          <w:sz w:val="18"/>
                        </w:rPr>
                        <w:t>Mental</w:t>
                      </w:r>
                      <w:r>
                        <w:rPr>
                          <w:rFonts w:ascii="Verdana"/>
                          <w:spacing w:val="-10"/>
                          <w:sz w:val="18"/>
                        </w:rPr>
                        <w:t> </w:t>
                      </w:r>
                      <w:r>
                        <w:rPr>
                          <w:rFonts w:ascii="Verdana"/>
                          <w:spacing w:val="-4"/>
                          <w:sz w:val="18"/>
                        </w:rPr>
                        <w:t>Health</w:t>
                      </w:r>
                      <w:r>
                        <w:rPr>
                          <w:rFonts w:ascii="Verdana"/>
                          <w:spacing w:val="-7"/>
                          <w:sz w:val="18"/>
                        </w:rPr>
                        <w:t> </w:t>
                      </w:r>
                      <w:r>
                        <w:rPr>
                          <w:rFonts w:ascii="Verdana"/>
                          <w:spacing w:val="-4"/>
                          <w:sz w:val="18"/>
                        </w:rPr>
                        <w:t>in</w:t>
                      </w:r>
                      <w:r>
                        <w:rPr>
                          <w:rFonts w:ascii="Verdana"/>
                          <w:spacing w:val="-10"/>
                          <w:sz w:val="18"/>
                        </w:rPr>
                        <w:t> </w:t>
                      </w:r>
                      <w:r>
                        <w:rPr>
                          <w:rFonts w:ascii="Verdana"/>
                          <w:spacing w:val="-4"/>
                          <w:sz w:val="18"/>
                        </w:rPr>
                        <w:t>Select</w:t>
                      </w:r>
                      <w:r>
                        <w:rPr>
                          <w:rFonts w:ascii="Verdana"/>
                          <w:spacing w:val="-11"/>
                          <w:sz w:val="18"/>
                        </w:rPr>
                        <w:t> </w:t>
                      </w:r>
                      <w:r>
                        <w:rPr>
                          <w:rFonts w:ascii="Verdana"/>
                          <w:spacing w:val="-4"/>
                          <w:sz w:val="18"/>
                        </w:rPr>
                        <w:t>Shakespearean</w:t>
                      </w:r>
                      <w:r>
                        <w:rPr>
                          <w:rFonts w:ascii="Verdana"/>
                          <w:spacing w:val="-9"/>
                          <w:sz w:val="18"/>
                        </w:rPr>
                        <w:t> </w:t>
                      </w:r>
                      <w:r>
                        <w:rPr>
                          <w:rFonts w:ascii="Verdana"/>
                          <w:spacing w:val="-4"/>
                          <w:sz w:val="18"/>
                        </w:rPr>
                        <w:t>Plays...</w:t>
                      </w:r>
                      <w:r>
                        <w:rPr>
                          <w:rFonts w:ascii="Verdana"/>
                          <w:sz w:val="18"/>
                        </w:rPr>
                        <w:tab/>
                      </w:r>
                      <w:r>
                        <w:rPr>
                          <w:rFonts w:ascii="Verdana"/>
                          <w:spacing w:val="-5"/>
                          <w:w w:val="90"/>
                          <w:sz w:val="18"/>
                        </w:rPr>
                        <w:t>399</w:t>
                      </w:r>
                    </w:p>
                  </w:txbxContent>
                </v:textbox>
                <w10:wrap type="none"/>
              </v:shape>
            </w:pict>
          </mc:Fallback>
        </mc:AlternateContent>
      </w:r>
    </w:p>
    <w:p>
      <w:pPr>
        <w:pStyle w:val="BodyText"/>
        <w:ind w:left="0"/>
      </w:pPr>
    </w:p>
    <w:p>
      <w:pPr>
        <w:pStyle w:val="BodyText"/>
        <w:spacing w:before="12"/>
        <w:ind w:left="0"/>
      </w:pPr>
    </w:p>
    <w:p>
      <w:pPr>
        <w:spacing w:line="240" w:lineRule="auto"/>
        <w:ind w:left="1152" w:right="0" w:firstLine="0"/>
        <w:rPr>
          <w:sz w:val="20"/>
        </w:rPr>
      </w:pPr>
      <w:r>
        <w:rPr>
          <w:sz w:val="20"/>
        </w:rPr>
        <mc:AlternateContent>
          <mc:Choice Requires="wps">
            <w:drawing>
              <wp:inline distT="0" distB="0" distL="0" distR="0">
                <wp:extent cx="4043679" cy="699770"/>
                <wp:effectExtent l="0" t="0" r="0" b="0"/>
                <wp:docPr id="781" name="Group 781"/>
                <wp:cNvGraphicFramePr>
                  <a:graphicFrameLocks/>
                </wp:cNvGraphicFramePr>
                <a:graphic>
                  <a:graphicData uri="http://schemas.microsoft.com/office/word/2010/wordprocessingGroup">
                    <wpg:wgp>
                      <wpg:cNvPr id="781" name="Group 781"/>
                      <wpg:cNvGrpSpPr/>
                      <wpg:grpSpPr>
                        <a:xfrm>
                          <a:off x="0" y="0"/>
                          <a:ext cx="4043679" cy="699770"/>
                          <a:chExt cx="4043679" cy="699770"/>
                        </a:xfrm>
                      </wpg:grpSpPr>
                      <wps:wsp>
                        <wps:cNvPr id="782" name="Graphic 782"/>
                        <wps:cNvSpPr/>
                        <wps:spPr>
                          <a:xfrm>
                            <a:off x="0" y="0"/>
                            <a:ext cx="4043679" cy="699770"/>
                          </a:xfrm>
                          <a:custGeom>
                            <a:avLst/>
                            <a:gdLst/>
                            <a:ahLst/>
                            <a:cxnLst/>
                            <a:rect l="l" t="t" r="r" b="b"/>
                            <a:pathLst>
                              <a:path w="4043679" h="699770">
                                <a:moveTo>
                                  <a:pt x="4043172" y="699516"/>
                                </a:moveTo>
                                <a:lnTo>
                                  <a:pt x="0" y="699516"/>
                                </a:lnTo>
                                <a:lnTo>
                                  <a:pt x="0" y="0"/>
                                </a:lnTo>
                                <a:lnTo>
                                  <a:pt x="4043172" y="0"/>
                                </a:lnTo>
                                <a:lnTo>
                                  <a:pt x="4043172"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773" coordorigin="0,0" coordsize="6368,1102">
                <v:rect style="position:absolute;left:0;top:0;width:6368;height:1102" id="docshape774"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80192">
                <wp:simplePos x="0" y="0"/>
                <wp:positionH relativeFrom="page">
                  <wp:posOffset>3541776</wp:posOffset>
                </wp:positionH>
                <wp:positionV relativeFrom="paragraph">
                  <wp:posOffset>272922</wp:posOffset>
                </wp:positionV>
                <wp:extent cx="728980" cy="655320"/>
                <wp:effectExtent l="0" t="0" r="0" b="0"/>
                <wp:wrapTopAndBottom/>
                <wp:docPr id="783" name="Group 783"/>
                <wp:cNvGraphicFramePr>
                  <a:graphicFrameLocks/>
                </wp:cNvGraphicFramePr>
                <a:graphic>
                  <a:graphicData uri="http://schemas.microsoft.com/office/word/2010/wordprocessingGroup">
                    <wpg:wgp>
                      <wpg:cNvPr id="783" name="Group 783"/>
                      <wpg:cNvGrpSpPr/>
                      <wpg:grpSpPr>
                        <a:xfrm>
                          <a:off x="0" y="0"/>
                          <a:ext cx="728980" cy="655320"/>
                          <a:chExt cx="728980" cy="655320"/>
                        </a:xfrm>
                      </wpg:grpSpPr>
                      <pic:pic>
                        <pic:nvPicPr>
                          <pic:cNvPr id="784" name="Image 784"/>
                          <pic:cNvPicPr/>
                        </pic:nvPicPr>
                        <pic:blipFill>
                          <a:blip r:embed="rId130" cstate="print"/>
                          <a:stretch>
                            <a:fillRect/>
                          </a:stretch>
                        </pic:blipFill>
                        <pic:spPr>
                          <a:xfrm>
                            <a:off x="0" y="0"/>
                            <a:ext cx="728471" cy="655320"/>
                          </a:xfrm>
                          <a:prstGeom prst="rect">
                            <a:avLst/>
                          </a:prstGeom>
                        </pic:spPr>
                      </pic:pic>
                      <wps:wsp>
                        <wps:cNvPr id="785" name="Textbox 785"/>
                        <wps:cNvSpPr txBox="1"/>
                        <wps:spPr>
                          <a:xfrm>
                            <a:off x="0" y="0"/>
                            <a:ext cx="728980" cy="655320"/>
                          </a:xfrm>
                          <a:prstGeom prst="rect">
                            <a:avLst/>
                          </a:prstGeom>
                        </wps:spPr>
                        <wps:txbx>
                          <w:txbxContent>
                            <w:p>
                              <w:pPr>
                                <w:spacing w:before="374"/>
                                <w:ind w:left="348" w:right="0" w:firstLine="0"/>
                                <w:jc w:val="left"/>
                                <w:rPr>
                                  <w:rFonts w:ascii="Tahoma"/>
                                  <w:b/>
                                  <w:sz w:val="36"/>
                                </w:rPr>
                              </w:pPr>
                              <w:r>
                                <w:rPr>
                                  <w:rFonts w:ascii="Tahoma"/>
                                  <w:b/>
                                  <w:spacing w:val="-5"/>
                                  <w:w w:val="95"/>
                                  <w:sz w:val="36"/>
                                </w:rPr>
                                <w:t>40</w:t>
                              </w:r>
                            </w:p>
                          </w:txbxContent>
                        </wps:txbx>
                        <wps:bodyPr wrap="square" lIns="0" tIns="0" rIns="0" bIns="0" rtlCol="0">
                          <a:noAutofit/>
                        </wps:bodyPr>
                      </wps:wsp>
                    </wpg:wgp>
                  </a:graphicData>
                </a:graphic>
              </wp:anchor>
            </w:drawing>
          </mc:Choice>
          <mc:Fallback>
            <w:pict>
              <v:group style="position:absolute;margin-left:278.880005pt;margin-top:21.489992pt;width:57.4pt;height:51.6pt;mso-position-horizontal-relative:page;mso-position-vertical-relative:paragraph;z-index:-15436288;mso-wrap-distance-left:0;mso-wrap-distance-right:0" id="docshapegroup775" coordorigin="5578,430" coordsize="1148,1032">
                <v:shape style="position:absolute;left:5577;top:429;width:1148;height:1032" type="#_x0000_t75" id="docshape776" stroked="false">
                  <v:imagedata r:id="rId130" o:title=""/>
                </v:shape>
                <v:shape style="position:absolute;left:5577;top:429;width:1148;height:1032" type="#_x0000_t202" id="docshape777" filled="false" stroked="false">
                  <v:textbox inset="0,0,0,0">
                    <w:txbxContent>
                      <w:p>
                        <w:pPr>
                          <w:spacing w:before="374"/>
                          <w:ind w:left="348" w:right="0" w:firstLine="0"/>
                          <w:jc w:val="left"/>
                          <w:rPr>
                            <w:rFonts w:ascii="Tahoma"/>
                            <w:b/>
                            <w:sz w:val="36"/>
                          </w:rPr>
                        </w:pPr>
                        <w:r>
                          <w:rPr>
                            <w:rFonts w:ascii="Tahoma"/>
                            <w:b/>
                            <w:spacing w:val="-5"/>
                            <w:w w:val="95"/>
                            <w:sz w:val="36"/>
                          </w:rPr>
                          <w:t>40</w:t>
                        </w:r>
                      </w:p>
                    </w:txbxContent>
                  </v:textbox>
                  <w10:wrap type="none"/>
                </v:shape>
                <w10:wrap type="topAndBottom"/>
              </v:group>
            </w:pict>
          </mc:Fallback>
        </mc:AlternateContent>
      </w:r>
    </w:p>
    <w:p>
      <w:pPr>
        <w:pStyle w:val="Heading1"/>
        <w:spacing w:line="211" w:lineRule="auto" w:before="28"/>
        <w:ind w:left="1352" w:right="1354"/>
      </w:pPr>
      <w:r>
        <w:rPr/>
        <w:t>Women</w:t>
      </w:r>
      <w:r>
        <w:rPr>
          <w:spacing w:val="-18"/>
        </w:rPr>
        <w:t> </w:t>
      </w:r>
      <w:r>
        <w:rPr/>
        <w:t>and</w:t>
      </w:r>
      <w:r>
        <w:rPr>
          <w:spacing w:val="-15"/>
        </w:rPr>
        <w:t> </w:t>
      </w:r>
      <w:r>
        <w:rPr/>
        <w:t>Mental</w:t>
      </w:r>
      <w:r>
        <w:rPr>
          <w:spacing w:val="-20"/>
        </w:rPr>
        <w:t> </w:t>
      </w:r>
      <w:r>
        <w:rPr/>
        <w:t>Health</w:t>
      </w:r>
      <w:r>
        <w:rPr>
          <w:spacing w:val="-17"/>
        </w:rPr>
        <w:t> </w:t>
      </w:r>
      <w:r>
        <w:rPr/>
        <w:t>in</w:t>
      </w:r>
      <w:r>
        <w:rPr>
          <w:spacing w:val="-15"/>
        </w:rPr>
        <w:t> </w:t>
      </w:r>
      <w:r>
        <w:rPr/>
        <w:t>Select Shakespearean Plays:</w:t>
      </w:r>
    </w:p>
    <w:p>
      <w:pPr>
        <w:tabs>
          <w:tab w:pos="1747" w:val="left" w:leader="none"/>
          <w:tab w:pos="5759" w:val="left" w:leader="none"/>
        </w:tabs>
        <w:spacing w:line="347" w:lineRule="exact" w:before="0"/>
        <w:ind w:left="0" w:right="0" w:firstLine="0"/>
        <w:jc w:val="center"/>
        <w:rPr>
          <w:rFonts w:ascii="Tahoma"/>
          <w:b/>
          <w:sz w:val="32"/>
        </w:rPr>
      </w:pPr>
      <w:r>
        <w:rPr>
          <w:sz w:val="32"/>
          <w:u w:val="single"/>
        </w:rPr>
        <w:tab/>
      </w:r>
      <w:r>
        <w:rPr>
          <w:rFonts w:ascii="Tahoma"/>
          <w:b/>
          <w:sz w:val="32"/>
          <w:u w:val="single"/>
        </w:rPr>
        <w:t>An</w:t>
      </w:r>
      <w:r>
        <w:rPr>
          <w:rFonts w:ascii="Tahoma"/>
          <w:b/>
          <w:spacing w:val="26"/>
          <w:sz w:val="32"/>
          <w:u w:val="single"/>
        </w:rPr>
        <w:t> </w:t>
      </w:r>
      <w:r>
        <w:rPr>
          <w:rFonts w:ascii="Tahoma"/>
          <w:b/>
          <w:spacing w:val="-2"/>
          <w:sz w:val="32"/>
          <w:u w:val="single"/>
        </w:rPr>
        <w:t>Exploration</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880704">
                <wp:simplePos x="0" y="0"/>
                <wp:positionH relativeFrom="page">
                  <wp:posOffset>2057400</wp:posOffset>
                </wp:positionH>
                <wp:positionV relativeFrom="paragraph">
                  <wp:posOffset>60051</wp:posOffset>
                </wp:positionV>
                <wp:extent cx="3657600" cy="7620"/>
                <wp:effectExtent l="0" t="0" r="0" b="0"/>
                <wp:wrapTopAndBottom/>
                <wp:docPr id="786" name="Graphic 786"/>
                <wp:cNvGraphicFramePr>
                  <a:graphicFrameLocks/>
                </wp:cNvGraphicFramePr>
                <a:graphic>
                  <a:graphicData uri="http://schemas.microsoft.com/office/word/2010/wordprocessingShape">
                    <wps:wsp>
                      <wps:cNvPr id="786" name="Graphic 786"/>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62pt;width:288.000009pt;height:.599991pt;mso-position-horizontal-relative:page;mso-position-vertical-relative:paragraph;z-index:-15435776;mso-wrap-distance-left:0;mso-wrap-distance-right:0" id="docshape778" filled="true" fillcolor="#000000" stroked="false">
                <v:fill type="solid"/>
                <w10:wrap type="topAndBottom"/>
              </v:rect>
            </w:pict>
          </mc:Fallback>
        </mc:AlternateContent>
      </w:r>
    </w:p>
    <w:p>
      <w:pPr>
        <w:pStyle w:val="BodyText"/>
        <w:spacing w:before="15"/>
        <w:ind w:left="0"/>
        <w:rPr>
          <w:rFonts w:ascii="Tahoma"/>
          <w:b/>
          <w:sz w:val="32"/>
        </w:rPr>
      </w:pPr>
    </w:p>
    <w:p>
      <w:pPr>
        <w:spacing w:line="252" w:lineRule="auto" w:before="0"/>
        <w:ind w:left="2145" w:right="1435" w:firstLine="2565"/>
        <w:jc w:val="both"/>
        <w:rPr>
          <w:i/>
          <w:sz w:val="19"/>
        </w:rPr>
      </w:pPr>
      <w:r>
        <w:rPr>
          <w:b/>
          <w:i/>
          <w:sz w:val="22"/>
        </w:rPr>
        <w:t>Akshay Dada Dhalawade </w:t>
      </w:r>
      <w:r>
        <w:rPr>
          <w:i/>
          <w:sz w:val="19"/>
        </w:rPr>
        <w:t>Assistant Professor in English (C.H.B.), Maharaja Jivajirao Shinde</w:t>
      </w:r>
      <w:r>
        <w:rPr>
          <w:i/>
          <w:spacing w:val="73"/>
          <w:sz w:val="19"/>
        </w:rPr>
        <w:t> </w:t>
      </w:r>
      <w:r>
        <w:rPr>
          <w:i/>
          <w:sz w:val="19"/>
        </w:rPr>
        <w:t>Mahavidyalaya,</w:t>
      </w:r>
      <w:r>
        <w:rPr>
          <w:i/>
          <w:spacing w:val="75"/>
          <w:sz w:val="19"/>
        </w:rPr>
        <w:t> </w:t>
      </w:r>
      <w:r>
        <w:rPr>
          <w:i/>
          <w:sz w:val="19"/>
        </w:rPr>
        <w:t>Tal.:</w:t>
      </w:r>
      <w:r>
        <w:rPr>
          <w:i/>
          <w:spacing w:val="77"/>
          <w:sz w:val="19"/>
        </w:rPr>
        <w:t> </w:t>
      </w:r>
      <w:r>
        <w:rPr>
          <w:i/>
          <w:sz w:val="19"/>
        </w:rPr>
        <w:t>Shrigonda,</w:t>
      </w:r>
      <w:r>
        <w:rPr>
          <w:i/>
          <w:spacing w:val="75"/>
          <w:sz w:val="19"/>
        </w:rPr>
        <w:t> </w:t>
      </w:r>
      <w:r>
        <w:rPr>
          <w:i/>
          <w:sz w:val="19"/>
        </w:rPr>
        <w:t>Dist.:</w:t>
      </w:r>
      <w:r>
        <w:rPr>
          <w:i/>
          <w:spacing w:val="69"/>
          <w:sz w:val="19"/>
        </w:rPr>
        <w:t> </w:t>
      </w:r>
      <w:r>
        <w:rPr>
          <w:i/>
          <w:spacing w:val="-2"/>
          <w:sz w:val="19"/>
        </w:rPr>
        <w:t>Ahilyanagar,</w:t>
      </w:r>
    </w:p>
    <w:p>
      <w:pPr>
        <w:spacing w:line="218" w:lineRule="exact" w:before="0"/>
        <w:ind w:left="5460" w:right="0" w:firstLine="0"/>
        <w:jc w:val="both"/>
        <w:rPr>
          <w:i/>
          <w:sz w:val="19"/>
        </w:rPr>
      </w:pPr>
      <w:r>
        <w:rPr>
          <w:i/>
          <w:sz w:val="19"/>
        </w:rPr>
        <w:t>Maharashtra</w:t>
      </w:r>
      <w:r>
        <w:rPr>
          <w:i/>
          <w:spacing w:val="32"/>
          <w:sz w:val="19"/>
        </w:rPr>
        <w:t>  </w:t>
      </w:r>
      <w:r>
        <w:rPr>
          <w:i/>
          <w:spacing w:val="-2"/>
          <w:sz w:val="19"/>
        </w:rPr>
        <w:t>(India)</w:t>
      </w:r>
    </w:p>
    <w:p>
      <w:pPr>
        <w:pStyle w:val="BodyText"/>
        <w:spacing w:before="161"/>
        <w:ind w:left="0"/>
        <w:rPr>
          <w:i/>
          <w:sz w:val="19"/>
        </w:rPr>
      </w:pPr>
    </w:p>
    <w:p>
      <w:pPr>
        <w:pStyle w:val="Heading3"/>
        <w:spacing w:before="0"/>
      </w:pPr>
      <w:r>
        <w:rPr>
          <w:spacing w:val="-2"/>
        </w:rPr>
        <w:t>ABSTRACT:</w:t>
      </w:r>
    </w:p>
    <w:p>
      <w:pPr>
        <w:pStyle w:val="BodyText"/>
        <w:spacing w:line="264" w:lineRule="auto" w:before="83"/>
        <w:ind w:right="1437" w:firstLine="432"/>
        <w:jc w:val="both"/>
      </w:pPr>
      <w:r>
        <w:rPr/>
        <w:t>This paper explores the representation of women’s mental health in the plays of William Shakespeare, with a main focus on 04 plays: Hamlet, Macbeth, Othello, and Romeo and Juliet. Instead of</w:t>
      </w:r>
      <w:r>
        <w:rPr>
          <w:spacing w:val="-2"/>
        </w:rPr>
        <w:t> </w:t>
      </w:r>
      <w:r>
        <w:rPr/>
        <w:t>presenting mental instability as an inherent feminine trait, the study argues that emotional distress in Shakespeare’s female characters emerges from patriarchal control, restricted agency and social expectations. Using </w:t>
      </w:r>
      <w:r>
        <w:rPr>
          <w:spacing w:val="-2"/>
        </w:rPr>
        <w:t>feminist</w:t>
      </w:r>
      <w:r>
        <w:rPr>
          <w:spacing w:val="-11"/>
        </w:rPr>
        <w:t> </w:t>
      </w:r>
      <w:r>
        <w:rPr>
          <w:spacing w:val="-2"/>
        </w:rPr>
        <w:t>criticism</w:t>
      </w:r>
      <w:r>
        <w:rPr>
          <w:spacing w:val="-10"/>
        </w:rPr>
        <w:t> </w:t>
      </w:r>
      <w:r>
        <w:rPr>
          <w:spacing w:val="-2"/>
        </w:rPr>
        <w:t>and</w:t>
      </w:r>
      <w:r>
        <w:rPr>
          <w:spacing w:val="-11"/>
        </w:rPr>
        <w:t> </w:t>
      </w:r>
      <w:r>
        <w:rPr>
          <w:spacing w:val="-2"/>
        </w:rPr>
        <w:t>psychoanalytic</w:t>
      </w:r>
      <w:r>
        <w:rPr>
          <w:spacing w:val="-10"/>
        </w:rPr>
        <w:t> </w:t>
      </w:r>
      <w:r>
        <w:rPr>
          <w:spacing w:val="-2"/>
        </w:rPr>
        <w:t>theory,</w:t>
      </w:r>
      <w:r>
        <w:rPr>
          <w:spacing w:val="-10"/>
        </w:rPr>
        <w:t> </w:t>
      </w:r>
      <w:r>
        <w:rPr>
          <w:spacing w:val="-2"/>
        </w:rPr>
        <w:t>the</w:t>
      </w:r>
      <w:r>
        <w:rPr>
          <w:spacing w:val="-10"/>
        </w:rPr>
        <w:t> </w:t>
      </w:r>
      <w:r>
        <w:rPr>
          <w:spacing w:val="-2"/>
        </w:rPr>
        <w:t>paper</w:t>
      </w:r>
      <w:r>
        <w:rPr>
          <w:spacing w:val="-8"/>
        </w:rPr>
        <w:t> </w:t>
      </w:r>
      <w:r>
        <w:rPr>
          <w:spacing w:val="-2"/>
        </w:rPr>
        <w:t>examines</w:t>
      </w:r>
      <w:r>
        <w:rPr>
          <w:spacing w:val="-10"/>
        </w:rPr>
        <w:t> </w:t>
      </w:r>
      <w:r>
        <w:rPr>
          <w:spacing w:val="-2"/>
        </w:rPr>
        <w:t>Ophelia, </w:t>
      </w:r>
      <w:r>
        <w:rPr/>
        <w:t>Lady Macbeth, Desdemona and Juliet as figures shaped by repression, trauma and moral conflict. The analysis demonstrates that Shakespeare not only reflects early modern assumptions about women but also exposes the damaging effects of gender inequality. By incorporating ideas from Elaine Showalter and Sigmund Freud, the study positions these portrayals within broader theoretical frameworks. In the end, the study argues that Shakespeare’s depiction of women’s mental health remains</w:t>
      </w:r>
      <w:r>
        <w:rPr>
          <w:spacing w:val="-7"/>
        </w:rPr>
        <w:t> </w:t>
      </w:r>
      <w:r>
        <w:rPr/>
        <w:t>relevant</w:t>
      </w:r>
      <w:r>
        <w:rPr>
          <w:spacing w:val="-6"/>
        </w:rPr>
        <w:t> </w:t>
      </w:r>
      <w:r>
        <w:rPr/>
        <w:t>for</w:t>
      </w:r>
      <w:r>
        <w:rPr>
          <w:spacing w:val="-2"/>
        </w:rPr>
        <w:t> </w:t>
      </w:r>
      <w:r>
        <w:rPr/>
        <w:t>contemporary</w:t>
      </w:r>
      <w:r>
        <w:rPr>
          <w:spacing w:val="-9"/>
        </w:rPr>
        <w:t> </w:t>
      </w:r>
      <w:r>
        <w:rPr/>
        <w:t>discussions</w:t>
      </w:r>
      <w:r>
        <w:rPr>
          <w:spacing w:val="-7"/>
        </w:rPr>
        <w:t> </w:t>
      </w:r>
      <w:r>
        <w:rPr/>
        <w:t>on</w:t>
      </w:r>
      <w:r>
        <w:rPr>
          <w:spacing w:val="-7"/>
        </w:rPr>
        <w:t> </w:t>
      </w:r>
      <w:r>
        <w:rPr/>
        <w:t>gender</w:t>
      </w:r>
      <w:r>
        <w:rPr>
          <w:spacing w:val="-4"/>
        </w:rPr>
        <w:t> </w:t>
      </w:r>
      <w:r>
        <w:rPr/>
        <w:t>and</w:t>
      </w:r>
      <w:r>
        <w:rPr>
          <w:spacing w:val="-4"/>
        </w:rPr>
        <w:t> </w:t>
      </w:r>
      <w:r>
        <w:rPr/>
        <w:t>emotional </w:t>
      </w:r>
      <w:r>
        <w:rPr>
          <w:spacing w:val="-2"/>
        </w:rPr>
        <w:t>well-being.</w:t>
      </w:r>
    </w:p>
    <w:p>
      <w:pPr>
        <w:pStyle w:val="BodyText"/>
        <w:spacing w:line="264" w:lineRule="auto" w:before="41"/>
        <w:ind w:right="1438" w:firstLine="432"/>
        <w:jc w:val="both"/>
      </w:pPr>
      <w:r>
        <w:rPr>
          <w:b/>
        </w:rPr>
        <w:t>Keywords: </w:t>
      </w:r>
      <w:r>
        <w:rPr/>
        <w:t>Shakespeare, Psychoanalysis, Feminist Criticism, Women, Mental Health.</w:t>
      </w:r>
    </w:p>
    <w:p>
      <w:pPr>
        <w:pStyle w:val="BodyText"/>
        <w:spacing w:after="0" w:line="264"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6022528">
                <wp:simplePos x="0" y="0"/>
                <wp:positionH relativeFrom="page">
                  <wp:posOffset>2057400</wp:posOffset>
                </wp:positionH>
                <wp:positionV relativeFrom="paragraph">
                  <wp:posOffset>226097</wp:posOffset>
                </wp:positionV>
                <wp:extent cx="3657600" cy="12700"/>
                <wp:effectExtent l="0" t="0" r="0" b="0"/>
                <wp:wrapNone/>
                <wp:docPr id="787" name="Graphic 787"/>
                <wp:cNvGraphicFramePr>
                  <a:graphicFrameLocks/>
                </wp:cNvGraphicFramePr>
                <a:graphic>
                  <a:graphicData uri="http://schemas.microsoft.com/office/word/2010/wordprocessingShape">
                    <wps:wsp>
                      <wps:cNvPr id="787" name="Graphic 78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6022528" id="docshape779" filled="true" fillcolor="#000000" stroked="false">
                <v:fill type="solid"/>
                <w10:wrap type="none"/>
              </v:rect>
            </w:pict>
          </mc:Fallback>
        </mc:AlternateContent>
      </w:r>
      <w:r>
        <w:rPr>
          <w:rFonts w:ascii="Verdana"/>
          <w:spacing w:val="-5"/>
          <w:w w:val="95"/>
          <w:sz w:val="18"/>
        </w:rPr>
        <w:t>400</w:t>
      </w:r>
    </w:p>
    <w:p>
      <w:pPr>
        <w:pStyle w:val="BodyText"/>
        <w:spacing w:before="10"/>
        <w:ind w:left="0"/>
        <w:rPr>
          <w:rFonts w:ascii="Verdana"/>
          <w:sz w:val="18"/>
        </w:rPr>
      </w:pPr>
    </w:p>
    <w:p>
      <w:pPr>
        <w:pStyle w:val="Heading3"/>
        <w:spacing w:before="1"/>
      </w:pPr>
      <w:r>
        <w:rPr>
          <w:w w:val="90"/>
        </w:rPr>
        <w:t>RESEARCH</w:t>
      </w:r>
      <w:r>
        <w:rPr>
          <w:spacing w:val="9"/>
        </w:rPr>
        <w:t> </w:t>
      </w:r>
      <w:r>
        <w:rPr>
          <w:spacing w:val="-2"/>
          <w:w w:val="90"/>
        </w:rPr>
        <w:t>PROBLEM:</w:t>
      </w:r>
    </w:p>
    <w:p>
      <w:pPr>
        <w:spacing w:before="100"/>
        <w:ind w:left="549"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3731" w:space="40"/>
            <w:col w:w="4869"/>
          </w:cols>
        </w:sectPr>
      </w:pPr>
    </w:p>
    <w:p>
      <w:pPr>
        <w:pStyle w:val="BodyText"/>
        <w:spacing w:line="249" w:lineRule="auto" w:before="75"/>
        <w:ind w:right="1439" w:firstLine="432"/>
        <w:jc w:val="both"/>
      </w:pPr>
      <w:r>
        <w:rPr/>
        <w:t>In what ways does Shakespeare construct the mental health of female characters and how are these constructions shaped by the </w:t>
      </w:r>
      <w:r>
        <w:rPr>
          <w:spacing w:val="-2"/>
        </w:rPr>
        <w:t>interplay</w:t>
      </w:r>
      <w:r>
        <w:rPr>
          <w:spacing w:val="-7"/>
        </w:rPr>
        <w:t> </w:t>
      </w:r>
      <w:r>
        <w:rPr>
          <w:spacing w:val="-2"/>
        </w:rPr>
        <w:t>between</w:t>
      </w:r>
      <w:r>
        <w:rPr>
          <w:spacing w:val="-3"/>
        </w:rPr>
        <w:t> </w:t>
      </w:r>
      <w:r>
        <w:rPr>
          <w:spacing w:val="-2"/>
        </w:rPr>
        <w:t>patriarchal</w:t>
      </w:r>
      <w:r>
        <w:rPr>
          <w:spacing w:val="-4"/>
        </w:rPr>
        <w:t> </w:t>
      </w:r>
      <w:r>
        <w:rPr>
          <w:spacing w:val="-2"/>
        </w:rPr>
        <w:t>authority, emotional</w:t>
      </w:r>
      <w:r>
        <w:rPr>
          <w:spacing w:val="-5"/>
        </w:rPr>
        <w:t> </w:t>
      </w:r>
      <w:r>
        <w:rPr>
          <w:spacing w:val="-2"/>
        </w:rPr>
        <w:t>repression</w:t>
      </w:r>
      <w:r>
        <w:rPr>
          <w:spacing w:val="-3"/>
        </w:rPr>
        <w:t> </w:t>
      </w:r>
      <w:r>
        <w:rPr>
          <w:spacing w:val="-2"/>
        </w:rPr>
        <w:t>and</w:t>
      </w:r>
      <w:r>
        <w:rPr>
          <w:spacing w:val="-3"/>
        </w:rPr>
        <w:t> </w:t>
      </w:r>
      <w:r>
        <w:rPr>
          <w:spacing w:val="-2"/>
        </w:rPr>
        <w:t>cultural </w:t>
      </w:r>
      <w:r>
        <w:rPr/>
        <w:t>expectations? This question seeks to move beyond simplistic interpretations of female madness and instead examine the social and psychological</w:t>
      </w:r>
      <w:r>
        <w:rPr>
          <w:spacing w:val="40"/>
        </w:rPr>
        <w:t> </w:t>
      </w:r>
      <w:r>
        <w:rPr/>
        <w:t>mechanisms</w:t>
      </w:r>
      <w:r>
        <w:rPr>
          <w:spacing w:val="40"/>
        </w:rPr>
        <w:t> </w:t>
      </w:r>
      <w:r>
        <w:rPr/>
        <w:t>that</w:t>
      </w:r>
      <w:r>
        <w:rPr>
          <w:spacing w:val="40"/>
        </w:rPr>
        <w:t> </w:t>
      </w:r>
      <w:r>
        <w:rPr/>
        <w:t>produce</w:t>
      </w:r>
      <w:r>
        <w:rPr>
          <w:spacing w:val="40"/>
        </w:rPr>
        <w:t> </w:t>
      </w:r>
      <w:r>
        <w:rPr/>
        <w:t>such</w:t>
      </w:r>
      <w:r>
        <w:rPr>
          <w:spacing w:val="40"/>
        </w:rPr>
        <w:t> </w:t>
      </w:r>
      <w:r>
        <w:rPr/>
        <w:t>representations.</w:t>
      </w:r>
    </w:p>
    <w:p>
      <w:pPr>
        <w:pStyle w:val="Heading3"/>
        <w:spacing w:before="158"/>
      </w:pPr>
      <w:r>
        <w:rPr>
          <w:spacing w:val="-2"/>
          <w:w w:val="95"/>
        </w:rPr>
        <w:t>OBJECTIVES:</w:t>
      </w:r>
    </w:p>
    <w:p>
      <w:pPr>
        <w:pStyle w:val="ListParagraph"/>
        <w:numPr>
          <w:ilvl w:val="0"/>
          <w:numId w:val="81"/>
        </w:numPr>
        <w:tabs>
          <w:tab w:pos="2160" w:val="left" w:leader="none"/>
        </w:tabs>
        <w:spacing w:line="264" w:lineRule="auto" w:before="83" w:after="0"/>
        <w:ind w:left="2160" w:right="1440" w:hanging="240"/>
        <w:jc w:val="left"/>
        <w:rPr>
          <w:sz w:val="20"/>
        </w:rPr>
      </w:pPr>
      <w:r>
        <w:rPr>
          <w:spacing w:val="-2"/>
          <w:sz w:val="20"/>
        </w:rPr>
        <w:t>To</w:t>
      </w:r>
      <w:r>
        <w:rPr>
          <w:spacing w:val="-8"/>
          <w:sz w:val="20"/>
        </w:rPr>
        <w:t> </w:t>
      </w:r>
      <w:r>
        <w:rPr>
          <w:spacing w:val="-2"/>
          <w:sz w:val="20"/>
        </w:rPr>
        <w:t>examine</w:t>
      </w:r>
      <w:r>
        <w:rPr>
          <w:spacing w:val="-12"/>
          <w:sz w:val="20"/>
        </w:rPr>
        <w:t> </w:t>
      </w:r>
      <w:r>
        <w:rPr>
          <w:spacing w:val="-2"/>
          <w:sz w:val="20"/>
        </w:rPr>
        <w:t>the</w:t>
      </w:r>
      <w:r>
        <w:rPr>
          <w:spacing w:val="-8"/>
          <w:sz w:val="20"/>
        </w:rPr>
        <w:t> </w:t>
      </w:r>
      <w:r>
        <w:rPr>
          <w:spacing w:val="-2"/>
          <w:sz w:val="20"/>
        </w:rPr>
        <w:t>psychological</w:t>
      </w:r>
      <w:r>
        <w:rPr>
          <w:spacing w:val="-10"/>
          <w:sz w:val="20"/>
        </w:rPr>
        <w:t> </w:t>
      </w:r>
      <w:r>
        <w:rPr>
          <w:spacing w:val="-2"/>
          <w:sz w:val="20"/>
        </w:rPr>
        <w:t>portrayal</w:t>
      </w:r>
      <w:r>
        <w:rPr>
          <w:spacing w:val="-10"/>
          <w:sz w:val="20"/>
        </w:rPr>
        <w:t> </w:t>
      </w:r>
      <w:r>
        <w:rPr>
          <w:spacing w:val="-2"/>
          <w:sz w:val="20"/>
        </w:rPr>
        <w:t>of</w:t>
      </w:r>
      <w:r>
        <w:rPr>
          <w:spacing w:val="-12"/>
          <w:sz w:val="20"/>
        </w:rPr>
        <w:t> </w:t>
      </w:r>
      <w:r>
        <w:rPr>
          <w:spacing w:val="-2"/>
          <w:sz w:val="20"/>
        </w:rPr>
        <w:t>key</w:t>
      </w:r>
      <w:r>
        <w:rPr>
          <w:spacing w:val="-14"/>
          <w:sz w:val="20"/>
        </w:rPr>
        <w:t> </w:t>
      </w:r>
      <w:r>
        <w:rPr>
          <w:spacing w:val="-2"/>
          <w:sz w:val="20"/>
        </w:rPr>
        <w:t>female</w:t>
      </w:r>
      <w:r>
        <w:rPr>
          <w:spacing w:val="-8"/>
          <w:sz w:val="20"/>
        </w:rPr>
        <w:t> </w:t>
      </w:r>
      <w:r>
        <w:rPr>
          <w:spacing w:val="-2"/>
          <w:sz w:val="20"/>
        </w:rPr>
        <w:t>characters </w:t>
      </w:r>
      <w:r>
        <w:rPr>
          <w:sz w:val="20"/>
        </w:rPr>
        <w:t>in</w:t>
      </w:r>
      <w:r>
        <w:rPr>
          <w:spacing w:val="40"/>
          <w:sz w:val="20"/>
        </w:rPr>
        <w:t> </w:t>
      </w:r>
      <w:r>
        <w:rPr>
          <w:sz w:val="20"/>
        </w:rPr>
        <w:t>select</w:t>
      </w:r>
      <w:r>
        <w:rPr>
          <w:spacing w:val="40"/>
          <w:sz w:val="20"/>
        </w:rPr>
        <w:t> </w:t>
      </w:r>
      <w:r>
        <w:rPr>
          <w:sz w:val="20"/>
        </w:rPr>
        <w:t>Shakespearean</w:t>
      </w:r>
      <w:r>
        <w:rPr>
          <w:spacing w:val="40"/>
          <w:sz w:val="20"/>
        </w:rPr>
        <w:t> </w:t>
      </w:r>
      <w:r>
        <w:rPr>
          <w:sz w:val="20"/>
        </w:rPr>
        <w:t>plays.</w:t>
      </w:r>
    </w:p>
    <w:p>
      <w:pPr>
        <w:pStyle w:val="ListParagraph"/>
        <w:numPr>
          <w:ilvl w:val="0"/>
          <w:numId w:val="81"/>
        </w:numPr>
        <w:tabs>
          <w:tab w:pos="2160" w:val="left" w:leader="none"/>
        </w:tabs>
        <w:spacing w:line="261" w:lineRule="auto" w:before="53" w:after="0"/>
        <w:ind w:left="2160" w:right="1441" w:hanging="240"/>
        <w:jc w:val="left"/>
        <w:rPr>
          <w:sz w:val="20"/>
        </w:rPr>
      </w:pPr>
      <w:r>
        <w:rPr>
          <w:spacing w:val="-2"/>
          <w:sz w:val="20"/>
        </w:rPr>
        <w:t>To</w:t>
      </w:r>
      <w:r>
        <w:rPr>
          <w:spacing w:val="-3"/>
          <w:sz w:val="20"/>
        </w:rPr>
        <w:t> </w:t>
      </w:r>
      <w:r>
        <w:rPr>
          <w:spacing w:val="-2"/>
          <w:sz w:val="20"/>
        </w:rPr>
        <w:t>analyze</w:t>
      </w:r>
      <w:r>
        <w:rPr>
          <w:spacing w:val="-4"/>
          <w:sz w:val="20"/>
        </w:rPr>
        <w:t> </w:t>
      </w:r>
      <w:r>
        <w:rPr>
          <w:spacing w:val="-2"/>
          <w:sz w:val="20"/>
        </w:rPr>
        <w:t>the</w:t>
      </w:r>
      <w:r>
        <w:rPr>
          <w:spacing w:val="-5"/>
          <w:sz w:val="20"/>
        </w:rPr>
        <w:t> </w:t>
      </w:r>
      <w:r>
        <w:rPr>
          <w:spacing w:val="-2"/>
          <w:sz w:val="20"/>
        </w:rPr>
        <w:t>role of</w:t>
      </w:r>
      <w:r>
        <w:rPr>
          <w:spacing w:val="-7"/>
          <w:sz w:val="20"/>
        </w:rPr>
        <w:t> </w:t>
      </w:r>
      <w:r>
        <w:rPr>
          <w:spacing w:val="-2"/>
          <w:sz w:val="20"/>
        </w:rPr>
        <w:t>patriarchal</w:t>
      </w:r>
      <w:r>
        <w:rPr>
          <w:spacing w:val="-3"/>
          <w:sz w:val="20"/>
        </w:rPr>
        <w:t> </w:t>
      </w:r>
      <w:r>
        <w:rPr>
          <w:spacing w:val="-2"/>
          <w:sz w:val="20"/>
        </w:rPr>
        <w:t>structures</w:t>
      </w:r>
      <w:r>
        <w:rPr>
          <w:spacing w:val="-7"/>
          <w:sz w:val="20"/>
        </w:rPr>
        <w:t> </w:t>
      </w:r>
      <w:r>
        <w:rPr>
          <w:spacing w:val="-2"/>
          <w:sz w:val="20"/>
        </w:rPr>
        <w:t>in</w:t>
      </w:r>
      <w:r>
        <w:rPr>
          <w:spacing w:val="-5"/>
          <w:sz w:val="20"/>
        </w:rPr>
        <w:t> </w:t>
      </w:r>
      <w:r>
        <w:rPr>
          <w:spacing w:val="-2"/>
          <w:sz w:val="20"/>
        </w:rPr>
        <w:t>shaping</w:t>
      </w:r>
      <w:r>
        <w:rPr>
          <w:spacing w:val="-7"/>
          <w:sz w:val="20"/>
        </w:rPr>
        <w:t> </w:t>
      </w:r>
      <w:r>
        <w:rPr>
          <w:spacing w:val="-2"/>
          <w:sz w:val="20"/>
        </w:rPr>
        <w:t>women’s </w:t>
      </w:r>
      <w:r>
        <w:rPr>
          <w:sz w:val="20"/>
        </w:rPr>
        <w:t>mental</w:t>
      </w:r>
      <w:r>
        <w:rPr>
          <w:spacing w:val="-1"/>
          <w:sz w:val="20"/>
        </w:rPr>
        <w:t> </w:t>
      </w:r>
      <w:r>
        <w:rPr>
          <w:sz w:val="20"/>
        </w:rPr>
        <w:t>experiences.</w:t>
      </w:r>
    </w:p>
    <w:p>
      <w:pPr>
        <w:pStyle w:val="ListParagraph"/>
        <w:numPr>
          <w:ilvl w:val="0"/>
          <w:numId w:val="81"/>
        </w:numPr>
        <w:tabs>
          <w:tab w:pos="2160" w:val="left" w:leader="none"/>
        </w:tabs>
        <w:spacing w:line="264" w:lineRule="auto" w:before="55" w:after="0"/>
        <w:ind w:left="2160" w:right="1440" w:hanging="240"/>
        <w:jc w:val="left"/>
        <w:rPr>
          <w:sz w:val="20"/>
        </w:rPr>
      </w:pPr>
      <w:r>
        <w:rPr>
          <w:sz w:val="20"/>
        </w:rPr>
        <w:t>To interpret</w:t>
      </w:r>
      <w:r>
        <w:rPr>
          <w:spacing w:val="-4"/>
          <w:sz w:val="20"/>
        </w:rPr>
        <w:t> </w:t>
      </w:r>
      <w:r>
        <w:rPr>
          <w:sz w:val="20"/>
        </w:rPr>
        <w:t>representations</w:t>
      </w:r>
      <w:r>
        <w:rPr>
          <w:spacing w:val="-3"/>
          <w:sz w:val="20"/>
        </w:rPr>
        <w:t> </w:t>
      </w:r>
      <w:r>
        <w:rPr>
          <w:sz w:val="20"/>
        </w:rPr>
        <w:t>of</w:t>
      </w:r>
      <w:r>
        <w:rPr>
          <w:spacing w:val="-2"/>
          <w:sz w:val="20"/>
        </w:rPr>
        <w:t> </w:t>
      </w:r>
      <w:r>
        <w:rPr>
          <w:sz w:val="20"/>
        </w:rPr>
        <w:t>madness,</w:t>
      </w:r>
      <w:r>
        <w:rPr>
          <w:spacing w:val="-2"/>
          <w:sz w:val="20"/>
        </w:rPr>
        <w:t> </w:t>
      </w:r>
      <w:r>
        <w:rPr>
          <w:sz w:val="20"/>
        </w:rPr>
        <w:t>trauma</w:t>
      </w:r>
      <w:r>
        <w:rPr>
          <w:spacing w:val="-2"/>
          <w:sz w:val="20"/>
        </w:rPr>
        <w:t> </w:t>
      </w:r>
      <w:r>
        <w:rPr>
          <w:sz w:val="20"/>
        </w:rPr>
        <w:t>and emotional conflict</w:t>
      </w:r>
      <w:r>
        <w:rPr>
          <w:spacing w:val="40"/>
          <w:sz w:val="20"/>
        </w:rPr>
        <w:t> </w:t>
      </w:r>
      <w:r>
        <w:rPr>
          <w:sz w:val="20"/>
        </w:rPr>
        <w:t>using</w:t>
      </w:r>
      <w:r>
        <w:rPr>
          <w:spacing w:val="40"/>
          <w:sz w:val="20"/>
        </w:rPr>
        <w:t> </w:t>
      </w:r>
      <w:r>
        <w:rPr>
          <w:sz w:val="20"/>
        </w:rPr>
        <w:t>feminist</w:t>
      </w:r>
      <w:r>
        <w:rPr>
          <w:spacing w:val="40"/>
          <w:sz w:val="20"/>
        </w:rPr>
        <w:t> </w:t>
      </w:r>
      <w:r>
        <w:rPr>
          <w:sz w:val="20"/>
        </w:rPr>
        <w:t>and</w:t>
      </w:r>
      <w:r>
        <w:rPr>
          <w:spacing w:val="40"/>
          <w:sz w:val="20"/>
        </w:rPr>
        <w:t> </w:t>
      </w:r>
      <w:r>
        <w:rPr>
          <w:sz w:val="20"/>
        </w:rPr>
        <w:t>psychoanalytic</w:t>
      </w:r>
      <w:r>
        <w:rPr>
          <w:spacing w:val="40"/>
          <w:sz w:val="20"/>
        </w:rPr>
        <w:t> </w:t>
      </w:r>
      <w:r>
        <w:rPr>
          <w:sz w:val="20"/>
        </w:rPr>
        <w:t>frameworks.</w:t>
      </w:r>
    </w:p>
    <w:p>
      <w:pPr>
        <w:pStyle w:val="ListParagraph"/>
        <w:numPr>
          <w:ilvl w:val="0"/>
          <w:numId w:val="81"/>
        </w:numPr>
        <w:tabs>
          <w:tab w:pos="2160" w:val="left" w:leader="none"/>
        </w:tabs>
        <w:spacing w:line="261" w:lineRule="auto" w:before="54" w:after="0"/>
        <w:ind w:left="2160" w:right="1440" w:hanging="240"/>
        <w:jc w:val="left"/>
        <w:rPr>
          <w:sz w:val="20"/>
        </w:rPr>
      </w:pPr>
      <w:r>
        <w:rPr>
          <w:sz w:val="20"/>
        </w:rPr>
        <w:t>To</w:t>
      </w:r>
      <w:r>
        <w:rPr>
          <w:spacing w:val="36"/>
          <w:sz w:val="20"/>
        </w:rPr>
        <w:t> </w:t>
      </w:r>
      <w:r>
        <w:rPr>
          <w:sz w:val="20"/>
        </w:rPr>
        <w:t>explore</w:t>
      </w:r>
      <w:r>
        <w:rPr>
          <w:spacing w:val="33"/>
          <w:sz w:val="20"/>
        </w:rPr>
        <w:t> </w:t>
      </w:r>
      <w:r>
        <w:rPr>
          <w:sz w:val="20"/>
        </w:rPr>
        <w:t>the</w:t>
      </w:r>
      <w:r>
        <w:rPr>
          <w:spacing w:val="35"/>
          <w:sz w:val="20"/>
        </w:rPr>
        <w:t> </w:t>
      </w:r>
      <w:r>
        <w:rPr>
          <w:sz w:val="20"/>
        </w:rPr>
        <w:t>symbolic</w:t>
      </w:r>
      <w:r>
        <w:rPr>
          <w:spacing w:val="33"/>
          <w:sz w:val="20"/>
        </w:rPr>
        <w:t> </w:t>
      </w:r>
      <w:r>
        <w:rPr>
          <w:sz w:val="20"/>
        </w:rPr>
        <w:t>and</w:t>
      </w:r>
      <w:r>
        <w:rPr>
          <w:spacing w:val="36"/>
          <w:sz w:val="20"/>
        </w:rPr>
        <w:t> </w:t>
      </w:r>
      <w:r>
        <w:rPr>
          <w:sz w:val="20"/>
        </w:rPr>
        <w:t>cultural</w:t>
      </w:r>
      <w:r>
        <w:rPr>
          <w:spacing w:val="34"/>
          <w:sz w:val="20"/>
        </w:rPr>
        <w:t> </w:t>
      </w:r>
      <w:r>
        <w:rPr>
          <w:sz w:val="20"/>
        </w:rPr>
        <w:t>dimensions</w:t>
      </w:r>
      <w:r>
        <w:rPr>
          <w:spacing w:val="33"/>
          <w:sz w:val="20"/>
        </w:rPr>
        <w:t> </w:t>
      </w:r>
      <w:r>
        <w:rPr>
          <w:sz w:val="20"/>
        </w:rPr>
        <w:t>of</w:t>
      </w:r>
      <w:r>
        <w:rPr>
          <w:spacing w:val="33"/>
          <w:sz w:val="20"/>
        </w:rPr>
        <w:t> </w:t>
      </w:r>
      <w:r>
        <w:rPr>
          <w:sz w:val="20"/>
        </w:rPr>
        <w:t>female psychological</w:t>
      </w:r>
      <w:r>
        <w:rPr>
          <w:spacing w:val="40"/>
          <w:sz w:val="20"/>
        </w:rPr>
        <w:t> </w:t>
      </w:r>
      <w:r>
        <w:rPr>
          <w:sz w:val="20"/>
        </w:rPr>
        <w:t>distress.</w:t>
      </w:r>
    </w:p>
    <w:p>
      <w:pPr>
        <w:pStyle w:val="ListParagraph"/>
        <w:numPr>
          <w:ilvl w:val="0"/>
          <w:numId w:val="81"/>
        </w:numPr>
        <w:tabs>
          <w:tab w:pos="2160" w:val="left" w:leader="none"/>
        </w:tabs>
        <w:spacing w:line="264" w:lineRule="auto" w:before="55" w:after="0"/>
        <w:ind w:left="2160" w:right="1440" w:hanging="240"/>
        <w:jc w:val="left"/>
        <w:rPr>
          <w:sz w:val="20"/>
        </w:rPr>
      </w:pPr>
      <w:r>
        <w:rPr>
          <w:spacing w:val="-2"/>
          <w:sz w:val="20"/>
        </w:rPr>
        <w:t>To</w:t>
      </w:r>
      <w:r>
        <w:rPr>
          <w:spacing w:val="-13"/>
          <w:sz w:val="20"/>
        </w:rPr>
        <w:t> </w:t>
      </w:r>
      <w:r>
        <w:rPr>
          <w:spacing w:val="-2"/>
          <w:sz w:val="20"/>
        </w:rPr>
        <w:t>evaluate</w:t>
      </w:r>
      <w:r>
        <w:rPr>
          <w:spacing w:val="-13"/>
          <w:sz w:val="20"/>
        </w:rPr>
        <w:t> </w:t>
      </w:r>
      <w:r>
        <w:rPr>
          <w:spacing w:val="-2"/>
          <w:sz w:val="20"/>
        </w:rPr>
        <w:t>the</w:t>
      </w:r>
      <w:r>
        <w:rPr>
          <w:spacing w:val="-13"/>
          <w:sz w:val="20"/>
        </w:rPr>
        <w:t> </w:t>
      </w:r>
      <w:r>
        <w:rPr>
          <w:spacing w:val="-2"/>
          <w:sz w:val="20"/>
        </w:rPr>
        <w:t>relevance</w:t>
      </w:r>
      <w:r>
        <w:rPr>
          <w:spacing w:val="-15"/>
          <w:sz w:val="20"/>
        </w:rPr>
        <w:t> </w:t>
      </w:r>
      <w:r>
        <w:rPr>
          <w:spacing w:val="-2"/>
          <w:sz w:val="20"/>
        </w:rPr>
        <w:t>of</w:t>
      </w:r>
      <w:r>
        <w:rPr>
          <w:spacing w:val="-13"/>
          <w:sz w:val="20"/>
        </w:rPr>
        <w:t> </w:t>
      </w:r>
      <w:r>
        <w:rPr>
          <w:spacing w:val="-2"/>
          <w:sz w:val="20"/>
        </w:rPr>
        <w:t>Shakespeare’s</w:t>
      </w:r>
      <w:r>
        <w:rPr>
          <w:spacing w:val="-17"/>
          <w:sz w:val="20"/>
        </w:rPr>
        <w:t> </w:t>
      </w:r>
      <w:r>
        <w:rPr>
          <w:spacing w:val="-2"/>
          <w:sz w:val="20"/>
        </w:rPr>
        <w:t>portrayal</w:t>
      </w:r>
      <w:r>
        <w:rPr>
          <w:spacing w:val="-13"/>
          <w:sz w:val="20"/>
        </w:rPr>
        <w:t> </w:t>
      </w:r>
      <w:r>
        <w:rPr>
          <w:spacing w:val="-2"/>
          <w:sz w:val="20"/>
        </w:rPr>
        <w:t>of</w:t>
      </w:r>
      <w:r>
        <w:rPr>
          <w:spacing w:val="-15"/>
          <w:sz w:val="20"/>
        </w:rPr>
        <w:t> </w:t>
      </w:r>
      <w:r>
        <w:rPr>
          <w:spacing w:val="-2"/>
          <w:sz w:val="20"/>
        </w:rPr>
        <w:t>women’s </w:t>
      </w:r>
      <w:r>
        <w:rPr>
          <w:sz w:val="20"/>
        </w:rPr>
        <w:t>mental health in contemporary times.</w:t>
      </w:r>
    </w:p>
    <w:p>
      <w:pPr>
        <w:pStyle w:val="Heading3"/>
        <w:spacing w:before="142"/>
      </w:pPr>
      <w:r>
        <w:rPr>
          <w:spacing w:val="-2"/>
        </w:rPr>
        <w:t>IMPORTANCE:</w:t>
      </w:r>
    </w:p>
    <w:p>
      <w:pPr>
        <w:pStyle w:val="BodyText"/>
        <w:spacing w:line="249" w:lineRule="auto" w:before="75"/>
        <w:ind w:right="1437" w:firstLine="432"/>
        <w:jc w:val="both"/>
      </w:pPr>
      <w:r>
        <w:rPr/>
        <w:t>This study enriches Shakespearean scholarship by centering women’s mental health through feminist and psychoanalytic lenses, offering a nuanced reading of female characters’ inner worlds. It also bridges early modern literature with contemporary concerns, showing that themes like emotional repression, gender inequality, and psychological</w:t>
      </w:r>
      <w:r>
        <w:rPr>
          <w:spacing w:val="-1"/>
        </w:rPr>
        <w:t> </w:t>
      </w:r>
      <w:r>
        <w:rPr/>
        <w:t>distress</w:t>
      </w:r>
      <w:r>
        <w:rPr>
          <w:spacing w:val="-4"/>
        </w:rPr>
        <w:t> </w:t>
      </w:r>
      <w:r>
        <w:rPr/>
        <w:t>remain</w:t>
      </w:r>
      <w:r>
        <w:rPr>
          <w:spacing w:val="-1"/>
        </w:rPr>
        <w:t> </w:t>
      </w:r>
      <w:r>
        <w:rPr/>
        <w:t>relevant</w:t>
      </w:r>
      <w:r>
        <w:rPr>
          <w:spacing w:val="-2"/>
        </w:rPr>
        <w:t> </w:t>
      </w:r>
      <w:r>
        <w:rPr/>
        <w:t>and socially</w:t>
      </w:r>
      <w:r>
        <w:rPr>
          <w:spacing w:val="-6"/>
        </w:rPr>
        <w:t> </w:t>
      </w:r>
      <w:r>
        <w:rPr/>
        <w:t>rooted. Moreover,</w:t>
      </w:r>
      <w:r>
        <w:rPr>
          <w:spacing w:val="-1"/>
        </w:rPr>
        <w:t> </w:t>
      </w:r>
      <w:r>
        <w:rPr/>
        <w:t>it carries pedagogical significance by illustrating how classical texts can be reinterpreted through modern theoretical frameworks, encouraging deeper critical and interdisciplinary engagement.</w:t>
      </w:r>
    </w:p>
    <w:p>
      <w:pPr>
        <w:pStyle w:val="Heading3"/>
        <w:spacing w:before="161"/>
      </w:pPr>
      <w:r>
        <w:rPr>
          <w:spacing w:val="-2"/>
          <w:w w:val="95"/>
        </w:rPr>
        <w:t>INTRODUCTION:</w:t>
      </w:r>
    </w:p>
    <w:p>
      <w:pPr>
        <w:pStyle w:val="BodyText"/>
        <w:spacing w:line="249" w:lineRule="auto" w:before="76"/>
        <w:ind w:right="1437" w:firstLine="432"/>
        <w:jc w:val="both"/>
      </w:pPr>
      <w:r>
        <w:rPr>
          <w:spacing w:val="-6"/>
        </w:rPr>
        <w:t>The</w:t>
      </w:r>
      <w:r>
        <w:rPr/>
        <w:t> </w:t>
      </w:r>
      <w:r>
        <w:rPr>
          <w:spacing w:val="-6"/>
        </w:rPr>
        <w:t>dramatic world</w:t>
      </w:r>
      <w:r>
        <w:rPr/>
        <w:t> </w:t>
      </w:r>
      <w:r>
        <w:rPr>
          <w:spacing w:val="-6"/>
        </w:rPr>
        <w:t>of William Shakespeare explores</w:t>
      </w:r>
      <w:r>
        <w:rPr/>
        <w:t> </w:t>
      </w:r>
      <w:r>
        <w:rPr>
          <w:spacing w:val="-6"/>
        </w:rPr>
        <w:t>human</w:t>
      </w:r>
      <w:r>
        <w:rPr/>
        <w:t> </w:t>
      </w:r>
      <w:r>
        <w:rPr>
          <w:spacing w:val="-6"/>
        </w:rPr>
        <w:t>emotion, </w:t>
      </w:r>
      <w:r>
        <w:rPr>
          <w:spacing w:val="-2"/>
        </w:rPr>
        <w:t>ethical</w:t>
      </w:r>
      <w:r>
        <w:rPr>
          <w:spacing w:val="-11"/>
        </w:rPr>
        <w:t> </w:t>
      </w:r>
      <w:r>
        <w:rPr>
          <w:spacing w:val="-2"/>
        </w:rPr>
        <w:t>conflict,</w:t>
      </w:r>
      <w:r>
        <w:rPr>
          <w:spacing w:val="-10"/>
        </w:rPr>
        <w:t> </w:t>
      </w:r>
      <w:r>
        <w:rPr>
          <w:spacing w:val="-2"/>
        </w:rPr>
        <w:t>and</w:t>
      </w:r>
      <w:r>
        <w:rPr>
          <w:spacing w:val="-11"/>
        </w:rPr>
        <w:t> </w:t>
      </w:r>
      <w:r>
        <w:rPr>
          <w:spacing w:val="-2"/>
        </w:rPr>
        <w:t>social</w:t>
      </w:r>
      <w:r>
        <w:rPr>
          <w:spacing w:val="-10"/>
        </w:rPr>
        <w:t> </w:t>
      </w:r>
      <w:r>
        <w:rPr>
          <w:spacing w:val="-2"/>
        </w:rPr>
        <w:t>hierarchy,</w:t>
      </w:r>
      <w:r>
        <w:rPr>
          <w:spacing w:val="-11"/>
        </w:rPr>
        <w:t> </w:t>
      </w:r>
      <w:r>
        <w:rPr>
          <w:spacing w:val="-2"/>
        </w:rPr>
        <w:t>with</w:t>
      </w:r>
      <w:r>
        <w:rPr>
          <w:spacing w:val="-10"/>
        </w:rPr>
        <w:t> </w:t>
      </w:r>
      <w:r>
        <w:rPr>
          <w:spacing w:val="-2"/>
        </w:rPr>
        <w:t>women</w:t>
      </w:r>
      <w:r>
        <w:rPr>
          <w:spacing w:val="-11"/>
        </w:rPr>
        <w:t> </w:t>
      </w:r>
      <w:r>
        <w:rPr>
          <w:spacing w:val="-2"/>
        </w:rPr>
        <w:t>positioned</w:t>
      </w:r>
      <w:r>
        <w:rPr>
          <w:spacing w:val="-10"/>
        </w:rPr>
        <w:t> </w:t>
      </w:r>
      <w:r>
        <w:rPr>
          <w:spacing w:val="-2"/>
        </w:rPr>
        <w:t>in</w:t>
      </w:r>
      <w:r>
        <w:rPr>
          <w:spacing w:val="-11"/>
        </w:rPr>
        <w:t> </w:t>
      </w:r>
      <w:r>
        <w:rPr>
          <w:spacing w:val="-2"/>
        </w:rPr>
        <w:t>a</w:t>
      </w:r>
      <w:r>
        <w:rPr>
          <w:spacing w:val="-10"/>
        </w:rPr>
        <w:t> </w:t>
      </w:r>
      <w:r>
        <w:rPr>
          <w:spacing w:val="-2"/>
        </w:rPr>
        <w:t>complex </w:t>
      </w:r>
      <w:r>
        <w:rPr/>
        <w:t>and</w:t>
      </w:r>
      <w:r>
        <w:rPr>
          <w:spacing w:val="-13"/>
        </w:rPr>
        <w:t> </w:t>
      </w:r>
      <w:r>
        <w:rPr/>
        <w:t>often</w:t>
      </w:r>
      <w:r>
        <w:rPr>
          <w:spacing w:val="-12"/>
        </w:rPr>
        <w:t> </w:t>
      </w:r>
      <w:r>
        <w:rPr/>
        <w:t>paradoxical</w:t>
      </w:r>
      <w:r>
        <w:rPr>
          <w:spacing w:val="-10"/>
        </w:rPr>
        <w:t> </w:t>
      </w:r>
      <w:r>
        <w:rPr/>
        <w:t>role.</w:t>
      </w:r>
      <w:r>
        <w:rPr>
          <w:spacing w:val="-13"/>
        </w:rPr>
        <w:t> </w:t>
      </w:r>
      <w:r>
        <w:rPr/>
        <w:t>Although</w:t>
      </w:r>
      <w:r>
        <w:rPr>
          <w:spacing w:val="-12"/>
        </w:rPr>
        <w:t> </w:t>
      </w:r>
      <w:r>
        <w:rPr/>
        <w:t>constrained</w:t>
      </w:r>
      <w:r>
        <w:rPr>
          <w:spacing w:val="-8"/>
        </w:rPr>
        <w:t> </w:t>
      </w:r>
      <w:r>
        <w:rPr/>
        <w:t>by</w:t>
      </w:r>
      <w:r>
        <w:rPr>
          <w:spacing w:val="-12"/>
        </w:rPr>
        <w:t> </w:t>
      </w:r>
      <w:r>
        <w:rPr/>
        <w:t>a</w:t>
      </w:r>
      <w:r>
        <w:rPr>
          <w:spacing w:val="-10"/>
        </w:rPr>
        <w:t> </w:t>
      </w:r>
      <w:r>
        <w:rPr/>
        <w:t>patriarchal</w:t>
      </w:r>
      <w:r>
        <w:rPr>
          <w:spacing w:val="-10"/>
        </w:rPr>
        <w:t> </w:t>
      </w:r>
      <w:r>
        <w:rPr/>
        <w:t>system that restricts women’s independence, Shakespeare’s female characters display</w:t>
      </w:r>
      <w:r>
        <w:rPr>
          <w:spacing w:val="-12"/>
        </w:rPr>
        <w:t> </w:t>
      </w:r>
      <w:r>
        <w:rPr/>
        <w:t>significant</w:t>
      </w:r>
      <w:r>
        <w:rPr>
          <w:spacing w:val="-8"/>
        </w:rPr>
        <w:t> </w:t>
      </w:r>
      <w:r>
        <w:rPr/>
        <w:t>psychological</w:t>
      </w:r>
      <w:r>
        <w:rPr>
          <w:spacing w:val="-10"/>
        </w:rPr>
        <w:t> </w:t>
      </w:r>
      <w:r>
        <w:rPr/>
        <w:t>depth</w:t>
      </w:r>
      <w:r>
        <w:rPr>
          <w:spacing w:val="-8"/>
        </w:rPr>
        <w:t> </w:t>
      </w:r>
      <w:r>
        <w:rPr/>
        <w:t>that</w:t>
      </w:r>
      <w:r>
        <w:rPr>
          <w:spacing w:val="-10"/>
        </w:rPr>
        <w:t> </w:t>
      </w:r>
      <w:r>
        <w:rPr/>
        <w:t>resists</w:t>
      </w:r>
      <w:r>
        <w:rPr>
          <w:spacing w:val="-10"/>
        </w:rPr>
        <w:t> </w:t>
      </w:r>
      <w:r>
        <w:rPr/>
        <w:t>simple</w:t>
      </w:r>
      <w:r>
        <w:rPr>
          <w:spacing w:val="-9"/>
        </w:rPr>
        <w:t> </w:t>
      </w:r>
      <w:r>
        <w:rPr/>
        <w:t>interpretation. His</w:t>
      </w:r>
      <w:r>
        <w:rPr>
          <w:spacing w:val="41"/>
        </w:rPr>
        <w:t> </w:t>
      </w:r>
      <w:r>
        <w:rPr/>
        <w:t>treatment</w:t>
      </w:r>
      <w:r>
        <w:rPr>
          <w:spacing w:val="40"/>
        </w:rPr>
        <w:t> </w:t>
      </w:r>
      <w:r>
        <w:rPr/>
        <w:t>of</w:t>
      </w:r>
      <w:r>
        <w:rPr>
          <w:spacing w:val="41"/>
        </w:rPr>
        <w:t> </w:t>
      </w:r>
      <w:r>
        <w:rPr/>
        <w:t>women’s</w:t>
      </w:r>
      <w:r>
        <w:rPr>
          <w:spacing w:val="40"/>
        </w:rPr>
        <w:t> </w:t>
      </w:r>
      <w:r>
        <w:rPr/>
        <w:t>mental</w:t>
      </w:r>
      <w:r>
        <w:rPr>
          <w:spacing w:val="43"/>
        </w:rPr>
        <w:t> </w:t>
      </w:r>
      <w:r>
        <w:rPr/>
        <w:t>health</w:t>
      </w:r>
      <w:r>
        <w:rPr>
          <w:spacing w:val="41"/>
        </w:rPr>
        <w:t> </w:t>
      </w:r>
      <w:r>
        <w:rPr/>
        <w:t>is</w:t>
      </w:r>
      <w:r>
        <w:rPr>
          <w:spacing w:val="40"/>
        </w:rPr>
        <w:t> </w:t>
      </w:r>
      <w:r>
        <w:rPr/>
        <w:t>especially</w:t>
      </w:r>
      <w:r>
        <w:rPr>
          <w:spacing w:val="40"/>
        </w:rPr>
        <w:t> </w:t>
      </w:r>
      <w:r>
        <w:rPr/>
        <w:t>notable,</w:t>
      </w:r>
      <w:r>
        <w:rPr>
          <w:spacing w:val="41"/>
        </w:rPr>
        <w:t> </w:t>
      </w:r>
      <w:r>
        <w:rPr/>
        <w:t>as</w:t>
      </w:r>
      <w:r>
        <w:rPr>
          <w:spacing w:val="41"/>
        </w:rPr>
        <w:t> </w:t>
      </w:r>
      <w:r>
        <w:rPr>
          <w:spacing w:val="-5"/>
        </w:rPr>
        <w:t>it</w:t>
      </w:r>
    </w:p>
    <w:p>
      <w:pPr>
        <w:pStyle w:val="BodyText"/>
        <w:spacing w:after="0" w:line="249" w:lineRule="auto"/>
        <w:jc w:val="both"/>
        <w:sectPr>
          <w:type w:val="continuous"/>
          <w:pgSz w:w="12240" w:h="15840"/>
          <w:pgMar w:top="138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5" w:val="left" w:leader="none"/>
        </w:tabs>
        <w:spacing w:before="0"/>
        <w:ind w:left="0" w:right="1"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82240">
                <wp:simplePos x="0" y="0"/>
                <wp:positionH relativeFrom="page">
                  <wp:posOffset>2065020</wp:posOffset>
                </wp:positionH>
                <wp:positionV relativeFrom="paragraph">
                  <wp:posOffset>162604</wp:posOffset>
                </wp:positionV>
                <wp:extent cx="3657600" cy="12700"/>
                <wp:effectExtent l="0" t="0" r="0" b="0"/>
                <wp:wrapTopAndBottom/>
                <wp:docPr id="788" name="Graphic 788"/>
                <wp:cNvGraphicFramePr>
                  <a:graphicFrameLocks/>
                </wp:cNvGraphicFramePr>
                <a:graphic>
                  <a:graphicData uri="http://schemas.microsoft.com/office/word/2010/wordprocessingShape">
                    <wps:wsp>
                      <wps:cNvPr id="788" name="Graphic 78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34240;mso-wrap-distance-left:0;mso-wrap-distance-right:0" id="docshape780" filled="true" fillcolor="#000000" stroked="false">
                <v:fill type="solid"/>
                <w10:wrap type="topAndBottom"/>
              </v:rect>
            </w:pict>
          </mc:Fallback>
        </mc:AlternateContent>
      </w:r>
      <w:r>
        <w:rPr>
          <w:rFonts w:ascii="Verdana"/>
          <w:spacing w:val="-4"/>
          <w:sz w:val="18"/>
        </w:rPr>
        <w:t>Women</w:t>
      </w:r>
      <w:r>
        <w:rPr>
          <w:rFonts w:ascii="Verdana"/>
          <w:spacing w:val="-10"/>
          <w:sz w:val="18"/>
        </w:rPr>
        <w:t> </w:t>
      </w:r>
      <w:r>
        <w:rPr>
          <w:rFonts w:ascii="Verdana"/>
          <w:spacing w:val="-4"/>
          <w:sz w:val="18"/>
        </w:rPr>
        <w:t>and</w:t>
      </w:r>
      <w:r>
        <w:rPr>
          <w:rFonts w:ascii="Verdana"/>
          <w:spacing w:val="-10"/>
          <w:sz w:val="18"/>
        </w:rPr>
        <w:t> </w:t>
      </w:r>
      <w:r>
        <w:rPr>
          <w:rFonts w:ascii="Verdana"/>
          <w:spacing w:val="-4"/>
          <w:sz w:val="18"/>
        </w:rPr>
        <w:t>Mental</w:t>
      </w:r>
      <w:r>
        <w:rPr>
          <w:rFonts w:ascii="Verdana"/>
          <w:spacing w:val="-10"/>
          <w:sz w:val="18"/>
        </w:rPr>
        <w:t> </w:t>
      </w:r>
      <w:r>
        <w:rPr>
          <w:rFonts w:ascii="Verdana"/>
          <w:spacing w:val="-4"/>
          <w:sz w:val="18"/>
        </w:rPr>
        <w:t>Health</w:t>
      </w:r>
      <w:r>
        <w:rPr>
          <w:rFonts w:ascii="Verdana"/>
          <w:spacing w:val="-7"/>
          <w:sz w:val="18"/>
        </w:rPr>
        <w:t> </w:t>
      </w:r>
      <w:r>
        <w:rPr>
          <w:rFonts w:ascii="Verdana"/>
          <w:spacing w:val="-4"/>
          <w:sz w:val="18"/>
        </w:rPr>
        <w:t>in</w:t>
      </w:r>
      <w:r>
        <w:rPr>
          <w:rFonts w:ascii="Verdana"/>
          <w:spacing w:val="-10"/>
          <w:sz w:val="18"/>
        </w:rPr>
        <w:t> </w:t>
      </w:r>
      <w:r>
        <w:rPr>
          <w:rFonts w:ascii="Verdana"/>
          <w:spacing w:val="-4"/>
          <w:sz w:val="18"/>
        </w:rPr>
        <w:t>Select</w:t>
      </w:r>
      <w:r>
        <w:rPr>
          <w:rFonts w:ascii="Verdana"/>
          <w:spacing w:val="-11"/>
          <w:sz w:val="18"/>
        </w:rPr>
        <w:t> </w:t>
      </w:r>
      <w:r>
        <w:rPr>
          <w:rFonts w:ascii="Verdana"/>
          <w:spacing w:val="-4"/>
          <w:sz w:val="18"/>
        </w:rPr>
        <w:t>Shakespearean</w:t>
      </w:r>
      <w:r>
        <w:rPr>
          <w:rFonts w:ascii="Verdana"/>
          <w:spacing w:val="-9"/>
          <w:sz w:val="18"/>
        </w:rPr>
        <w:t> </w:t>
      </w:r>
      <w:r>
        <w:rPr>
          <w:rFonts w:ascii="Verdana"/>
          <w:spacing w:val="-4"/>
          <w:sz w:val="18"/>
        </w:rPr>
        <w:t>Plays...</w:t>
      </w:r>
      <w:r>
        <w:rPr>
          <w:rFonts w:ascii="Verdana"/>
          <w:sz w:val="18"/>
        </w:rPr>
        <w:tab/>
      </w:r>
      <w:r>
        <w:rPr>
          <w:rFonts w:ascii="Verdana"/>
          <w:spacing w:val="-5"/>
          <w:sz w:val="18"/>
        </w:rPr>
        <w:t>401</w:t>
      </w:r>
    </w:p>
    <w:p>
      <w:pPr>
        <w:pStyle w:val="BodyText"/>
        <w:spacing w:line="249" w:lineRule="auto" w:before="192"/>
        <w:ind w:right="1437"/>
        <w:jc w:val="both"/>
      </w:pPr>
      <w:r>
        <w:rPr/>
        <w:t>reflects prevailing Elizabethan society beliefs that associated mental disturbance with moral or spiritual failure and viewed women as inherently more emotionally fragile. Yet, these assumptions are complicated through nuanced portrayals where psychological distress emerges</w:t>
      </w:r>
      <w:r>
        <w:rPr>
          <w:spacing w:val="-13"/>
        </w:rPr>
        <w:t> </w:t>
      </w:r>
      <w:r>
        <w:rPr/>
        <w:t>from</w:t>
      </w:r>
      <w:r>
        <w:rPr>
          <w:spacing w:val="-12"/>
        </w:rPr>
        <w:t> </w:t>
      </w:r>
      <w:r>
        <w:rPr/>
        <w:t>lived</w:t>
      </w:r>
      <w:r>
        <w:rPr>
          <w:spacing w:val="-13"/>
        </w:rPr>
        <w:t> </w:t>
      </w:r>
      <w:r>
        <w:rPr/>
        <w:t>experiences</w:t>
      </w:r>
      <w:r>
        <w:rPr>
          <w:spacing w:val="-12"/>
        </w:rPr>
        <w:t> </w:t>
      </w:r>
      <w:r>
        <w:rPr/>
        <w:t>such</w:t>
      </w:r>
      <w:r>
        <w:rPr>
          <w:spacing w:val="-13"/>
        </w:rPr>
        <w:t> </w:t>
      </w:r>
      <w:r>
        <w:rPr/>
        <w:t>as</w:t>
      </w:r>
      <w:r>
        <w:rPr>
          <w:spacing w:val="-12"/>
        </w:rPr>
        <w:t> </w:t>
      </w:r>
      <w:r>
        <w:rPr/>
        <w:t>grief,</w:t>
      </w:r>
      <w:r>
        <w:rPr>
          <w:spacing w:val="-13"/>
        </w:rPr>
        <w:t> </w:t>
      </w:r>
      <w:r>
        <w:rPr/>
        <w:t>betrayal,</w:t>
      </w:r>
      <w:r>
        <w:rPr>
          <w:spacing w:val="-12"/>
        </w:rPr>
        <w:t> </w:t>
      </w:r>
      <w:r>
        <w:rPr/>
        <w:t>guilt,</w:t>
      </w:r>
      <w:r>
        <w:rPr>
          <w:spacing w:val="-13"/>
        </w:rPr>
        <w:t> </w:t>
      </w:r>
      <w:r>
        <w:rPr/>
        <w:t>and</w:t>
      </w:r>
      <w:r>
        <w:rPr>
          <w:spacing w:val="-12"/>
        </w:rPr>
        <w:t> </w:t>
      </w:r>
      <w:r>
        <w:rPr/>
        <w:t>societal pressure.</w:t>
      </w:r>
      <w:r>
        <w:rPr>
          <w:spacing w:val="-13"/>
        </w:rPr>
        <w:t> </w:t>
      </w:r>
      <w:r>
        <w:rPr/>
        <w:t>Characters</w:t>
      </w:r>
      <w:r>
        <w:rPr>
          <w:spacing w:val="-12"/>
        </w:rPr>
        <w:t> </w:t>
      </w:r>
      <w:r>
        <w:rPr/>
        <w:t>like</w:t>
      </w:r>
      <w:r>
        <w:rPr>
          <w:spacing w:val="-13"/>
        </w:rPr>
        <w:t> </w:t>
      </w:r>
      <w:r>
        <w:rPr/>
        <w:t>Ophelia,</w:t>
      </w:r>
      <w:r>
        <w:rPr>
          <w:spacing w:val="-12"/>
        </w:rPr>
        <w:t> </w:t>
      </w:r>
      <w:r>
        <w:rPr/>
        <w:t>Lady</w:t>
      </w:r>
      <w:r>
        <w:rPr>
          <w:spacing w:val="-13"/>
        </w:rPr>
        <w:t> </w:t>
      </w:r>
      <w:r>
        <w:rPr/>
        <w:t>Macbeth,</w:t>
      </w:r>
      <w:r>
        <w:rPr>
          <w:spacing w:val="-12"/>
        </w:rPr>
        <w:t> </w:t>
      </w:r>
      <w:r>
        <w:rPr/>
        <w:t>Desdemona,</w:t>
      </w:r>
      <w:r>
        <w:rPr>
          <w:spacing w:val="-13"/>
        </w:rPr>
        <w:t> </w:t>
      </w:r>
      <w:r>
        <w:rPr/>
        <w:t>and</w:t>
      </w:r>
      <w:r>
        <w:rPr>
          <w:spacing w:val="-12"/>
        </w:rPr>
        <w:t> </w:t>
      </w:r>
      <w:r>
        <w:rPr/>
        <w:t>Juliet embody varied responses to emotional turmoil. Thus, Shakespeare’s representation is both reflective of his time and subtly critical of it, and when examined through feminist and psychoanalytic perspectives, it reveals deeper insights into</w:t>
      </w:r>
      <w:r>
        <w:rPr>
          <w:spacing w:val="40"/>
        </w:rPr>
        <w:t> </w:t>
      </w:r>
      <w:r>
        <w:rPr/>
        <w:t>female</w:t>
      </w:r>
      <w:r>
        <w:rPr>
          <w:spacing w:val="40"/>
        </w:rPr>
        <w:t> </w:t>
      </w:r>
      <w:r>
        <w:rPr/>
        <w:t>psychological experience.</w:t>
      </w:r>
    </w:p>
    <w:p>
      <w:pPr>
        <w:pStyle w:val="Heading3"/>
        <w:spacing w:before="162"/>
      </w:pPr>
      <w:r>
        <w:rPr>
          <w:spacing w:val="-2"/>
        </w:rPr>
        <w:t>METHODOLOGY:</w:t>
      </w:r>
    </w:p>
    <w:p>
      <w:pPr>
        <w:pStyle w:val="BodyText"/>
        <w:spacing w:line="249" w:lineRule="auto" w:before="75"/>
        <w:ind w:right="1437" w:firstLine="432"/>
        <w:jc w:val="both"/>
      </w:pPr>
      <w:r>
        <w:rPr/>
        <w:t>This research adopts a qualitative and interpretative approach comprising close textual analysis. The primary texts include Hamlet, Macbeth, Othello,</w:t>
      </w:r>
      <w:r>
        <w:rPr>
          <w:spacing w:val="-2"/>
        </w:rPr>
        <w:t> </w:t>
      </w:r>
      <w:r>
        <w:rPr/>
        <w:t>Romeo and Juliet.</w:t>
      </w:r>
      <w:r>
        <w:rPr>
          <w:spacing w:val="-2"/>
        </w:rPr>
        <w:t> </w:t>
      </w:r>
      <w:r>
        <w:rPr/>
        <w:t>The analysis</w:t>
      </w:r>
      <w:r>
        <w:rPr>
          <w:spacing w:val="-2"/>
        </w:rPr>
        <w:t> </w:t>
      </w:r>
      <w:r>
        <w:rPr/>
        <w:t>focuses</w:t>
      </w:r>
      <w:r>
        <w:rPr>
          <w:spacing w:val="-4"/>
        </w:rPr>
        <w:t> </w:t>
      </w:r>
      <w:r>
        <w:rPr/>
        <w:t>on</w:t>
      </w:r>
      <w:r>
        <w:rPr>
          <w:spacing w:val="-2"/>
        </w:rPr>
        <w:t> </w:t>
      </w:r>
      <w:r>
        <w:rPr/>
        <w:t>language, imagery,</w:t>
      </w:r>
      <w:r>
        <w:rPr>
          <w:spacing w:val="-3"/>
        </w:rPr>
        <w:t> </w:t>
      </w:r>
      <w:r>
        <w:rPr/>
        <w:t>symbolism,</w:t>
      </w:r>
      <w:r>
        <w:rPr>
          <w:spacing w:val="-2"/>
        </w:rPr>
        <w:t> </w:t>
      </w:r>
      <w:r>
        <w:rPr/>
        <w:t>and</w:t>
      </w:r>
      <w:r>
        <w:rPr>
          <w:spacing w:val="-5"/>
        </w:rPr>
        <w:t> </w:t>
      </w:r>
      <w:r>
        <w:rPr/>
        <w:t>characterization.</w:t>
      </w:r>
      <w:r>
        <w:rPr>
          <w:spacing w:val="-3"/>
        </w:rPr>
        <w:t> </w:t>
      </w:r>
      <w:r>
        <w:rPr/>
        <w:t>Feminist</w:t>
      </w:r>
      <w:r>
        <w:rPr>
          <w:spacing w:val="-5"/>
        </w:rPr>
        <w:t> </w:t>
      </w:r>
      <w:r>
        <w:rPr/>
        <w:t>and psychoanalytic frameworks are employed to interpret the psychological states of characters.</w:t>
      </w:r>
      <w:r>
        <w:rPr>
          <w:spacing w:val="-9"/>
        </w:rPr>
        <w:t> </w:t>
      </w:r>
      <w:r>
        <w:rPr/>
        <w:t>Secondary</w:t>
      </w:r>
      <w:r>
        <w:rPr>
          <w:spacing w:val="-12"/>
        </w:rPr>
        <w:t> </w:t>
      </w:r>
      <w:r>
        <w:rPr/>
        <w:t>sources</w:t>
      </w:r>
      <w:r>
        <w:rPr>
          <w:spacing w:val="-12"/>
        </w:rPr>
        <w:t> </w:t>
      </w:r>
      <w:r>
        <w:rPr/>
        <w:t>are</w:t>
      </w:r>
      <w:r>
        <w:rPr>
          <w:spacing w:val="-9"/>
        </w:rPr>
        <w:t> </w:t>
      </w:r>
      <w:r>
        <w:rPr/>
        <w:t>also</w:t>
      </w:r>
      <w:r>
        <w:rPr>
          <w:spacing w:val="-7"/>
        </w:rPr>
        <w:t> </w:t>
      </w:r>
      <w:r>
        <w:rPr/>
        <w:t>used</w:t>
      </w:r>
      <w:r>
        <w:rPr>
          <w:spacing w:val="-7"/>
        </w:rPr>
        <w:t> </w:t>
      </w:r>
      <w:r>
        <w:rPr/>
        <w:t>to</w:t>
      </w:r>
      <w:r>
        <w:rPr>
          <w:spacing w:val="-9"/>
        </w:rPr>
        <w:t> </w:t>
      </w:r>
      <w:r>
        <w:rPr/>
        <w:t>support</w:t>
      </w:r>
      <w:r>
        <w:rPr>
          <w:spacing w:val="-9"/>
        </w:rPr>
        <w:t> </w:t>
      </w:r>
      <w:r>
        <w:rPr/>
        <w:t>and</w:t>
      </w:r>
      <w:r>
        <w:rPr>
          <w:spacing w:val="-7"/>
        </w:rPr>
        <w:t> </w:t>
      </w:r>
      <w:r>
        <w:rPr/>
        <w:t>contextualize the analysis. The study is interpretative in nature and does not include any empirical data.</w:t>
      </w:r>
    </w:p>
    <w:p>
      <w:pPr>
        <w:pStyle w:val="Heading3"/>
        <w:spacing w:before="160"/>
      </w:pPr>
      <w:r>
        <w:rPr>
          <w:w w:val="85"/>
        </w:rPr>
        <w:t>THEORETICAL</w:t>
      </w:r>
      <w:r>
        <w:rPr>
          <w:spacing w:val="14"/>
        </w:rPr>
        <w:t> </w:t>
      </w:r>
      <w:r>
        <w:rPr>
          <w:spacing w:val="-2"/>
          <w:w w:val="95"/>
        </w:rPr>
        <w:t>FRAMEWORK:</w:t>
      </w:r>
    </w:p>
    <w:p>
      <w:pPr>
        <w:pStyle w:val="Heading5"/>
        <w:spacing w:before="125"/>
      </w:pPr>
      <w:r>
        <w:rPr>
          <w:w w:val="105"/>
        </w:rPr>
        <w:t>Feminist</w:t>
      </w:r>
      <w:r>
        <w:rPr>
          <w:spacing w:val="77"/>
          <w:w w:val="150"/>
        </w:rPr>
        <w:t> </w:t>
      </w:r>
      <w:r>
        <w:rPr>
          <w:w w:val="105"/>
        </w:rPr>
        <w:t>Criticism</w:t>
      </w:r>
      <w:r>
        <w:rPr>
          <w:spacing w:val="75"/>
          <w:w w:val="150"/>
        </w:rPr>
        <w:t> </w:t>
      </w:r>
      <w:r>
        <w:rPr>
          <w:w w:val="105"/>
        </w:rPr>
        <w:t>and</w:t>
      </w:r>
      <w:r>
        <w:rPr>
          <w:spacing w:val="25"/>
          <w:w w:val="105"/>
        </w:rPr>
        <w:t>  </w:t>
      </w:r>
      <w:r>
        <w:rPr>
          <w:w w:val="105"/>
        </w:rPr>
        <w:t>Gendered</w:t>
      </w:r>
      <w:r>
        <w:rPr>
          <w:spacing w:val="26"/>
          <w:w w:val="105"/>
        </w:rPr>
        <w:t>  </w:t>
      </w:r>
      <w:r>
        <w:rPr>
          <w:spacing w:val="-2"/>
          <w:w w:val="105"/>
        </w:rPr>
        <w:t>Experience:</w:t>
      </w:r>
    </w:p>
    <w:p>
      <w:pPr>
        <w:pStyle w:val="BodyText"/>
        <w:spacing w:line="249" w:lineRule="auto" w:before="72"/>
        <w:ind w:right="1439" w:firstLine="432"/>
        <w:jc w:val="both"/>
      </w:pPr>
      <w:r>
        <w:rPr/>
        <w:t>Feminist criticism provides a crucial foundation for analyzing the </w:t>
      </w:r>
      <w:r>
        <w:rPr>
          <w:spacing w:val="-2"/>
        </w:rPr>
        <w:t>representation</w:t>
      </w:r>
      <w:r>
        <w:rPr>
          <w:spacing w:val="-8"/>
        </w:rPr>
        <w:t> </w:t>
      </w:r>
      <w:r>
        <w:rPr>
          <w:spacing w:val="-2"/>
        </w:rPr>
        <w:t>of</w:t>
      </w:r>
      <w:r>
        <w:rPr>
          <w:spacing w:val="-8"/>
        </w:rPr>
        <w:t> </w:t>
      </w:r>
      <w:r>
        <w:rPr>
          <w:spacing w:val="-2"/>
        </w:rPr>
        <w:t>women</w:t>
      </w:r>
      <w:r>
        <w:rPr>
          <w:spacing w:val="-8"/>
        </w:rPr>
        <w:t> </w:t>
      </w:r>
      <w:r>
        <w:rPr>
          <w:spacing w:val="-2"/>
        </w:rPr>
        <w:t>in</w:t>
      </w:r>
      <w:r>
        <w:rPr>
          <w:spacing w:val="-8"/>
        </w:rPr>
        <w:t> </w:t>
      </w:r>
      <w:r>
        <w:rPr>
          <w:spacing w:val="-2"/>
        </w:rPr>
        <w:t>Shakespeare’s</w:t>
      </w:r>
      <w:r>
        <w:rPr>
          <w:spacing w:val="-6"/>
        </w:rPr>
        <w:t> </w:t>
      </w:r>
      <w:r>
        <w:rPr>
          <w:spacing w:val="-2"/>
        </w:rPr>
        <w:t>plays.</w:t>
      </w:r>
      <w:r>
        <w:rPr>
          <w:spacing w:val="-8"/>
        </w:rPr>
        <w:t> </w:t>
      </w:r>
      <w:r>
        <w:rPr>
          <w:spacing w:val="-2"/>
        </w:rPr>
        <w:t>Elaine</w:t>
      </w:r>
      <w:r>
        <w:rPr>
          <w:spacing w:val="-8"/>
        </w:rPr>
        <w:t> </w:t>
      </w:r>
      <w:r>
        <w:rPr>
          <w:spacing w:val="-2"/>
        </w:rPr>
        <w:t>Showalter</w:t>
      </w:r>
      <w:r>
        <w:rPr>
          <w:spacing w:val="-6"/>
        </w:rPr>
        <w:t> </w:t>
      </w:r>
      <w:r>
        <w:rPr>
          <w:spacing w:val="-2"/>
        </w:rPr>
        <w:t>argues </w:t>
      </w:r>
      <w:r>
        <w:rPr/>
        <w:t>that literary</w:t>
      </w:r>
      <w:r>
        <w:rPr>
          <w:spacing w:val="-1"/>
        </w:rPr>
        <w:t> </w:t>
      </w:r>
      <w:r>
        <w:rPr/>
        <w:t>depictions of female madness often reflect broader cultural anxieties about gender roles and control (Showalter 80). According to this perspective, madness is not simply a personal condition, but a socially</w:t>
      </w:r>
      <w:r>
        <w:rPr>
          <w:spacing w:val="-3"/>
        </w:rPr>
        <w:t> </w:t>
      </w:r>
      <w:r>
        <w:rPr/>
        <w:t>constructed phenomenon shaped by</w:t>
      </w:r>
      <w:r>
        <w:rPr>
          <w:spacing w:val="-1"/>
        </w:rPr>
        <w:t> </w:t>
      </w:r>
      <w:r>
        <w:rPr/>
        <w:t>the limitations imposed on </w:t>
      </w:r>
      <w:r>
        <w:rPr>
          <w:spacing w:val="-2"/>
        </w:rPr>
        <w:t>women.</w:t>
      </w:r>
    </w:p>
    <w:p>
      <w:pPr>
        <w:pStyle w:val="BodyText"/>
        <w:spacing w:line="249" w:lineRule="auto" w:before="66"/>
        <w:ind w:right="1440" w:firstLine="432"/>
        <w:jc w:val="both"/>
      </w:pPr>
      <w:r>
        <w:rPr/>
        <w:t>In the context of Shakespeare’s plays, feminist analysis reveals how</w:t>
      </w:r>
      <w:r>
        <w:rPr>
          <w:spacing w:val="-3"/>
        </w:rPr>
        <w:t> </w:t>
      </w:r>
      <w:r>
        <w:rPr/>
        <w:t>female characters</w:t>
      </w:r>
      <w:r>
        <w:rPr>
          <w:spacing w:val="-1"/>
        </w:rPr>
        <w:t> </w:t>
      </w:r>
      <w:r>
        <w:rPr/>
        <w:t>are often</w:t>
      </w:r>
      <w:r>
        <w:rPr>
          <w:spacing w:val="-1"/>
        </w:rPr>
        <w:t> </w:t>
      </w:r>
      <w:r>
        <w:rPr/>
        <w:t>denied agency</w:t>
      </w:r>
      <w:r>
        <w:rPr>
          <w:spacing w:val="-3"/>
        </w:rPr>
        <w:t> </w:t>
      </w:r>
      <w:r>
        <w:rPr/>
        <w:t>and voice. Their mental distress</w:t>
      </w:r>
      <w:r>
        <w:rPr>
          <w:spacing w:val="28"/>
        </w:rPr>
        <w:t> </w:t>
      </w:r>
      <w:r>
        <w:rPr/>
        <w:t>emerges</w:t>
      </w:r>
      <w:r>
        <w:rPr>
          <w:spacing w:val="28"/>
        </w:rPr>
        <w:t> </w:t>
      </w:r>
      <w:r>
        <w:rPr/>
        <w:t>as</w:t>
      </w:r>
      <w:r>
        <w:rPr>
          <w:spacing w:val="30"/>
        </w:rPr>
        <w:t> </w:t>
      </w:r>
      <w:r>
        <w:rPr/>
        <w:t>a</w:t>
      </w:r>
      <w:r>
        <w:rPr>
          <w:spacing w:val="29"/>
        </w:rPr>
        <w:t> </w:t>
      </w:r>
      <w:r>
        <w:rPr/>
        <w:t>response</w:t>
      </w:r>
      <w:r>
        <w:rPr>
          <w:spacing w:val="29"/>
        </w:rPr>
        <w:t> </w:t>
      </w:r>
      <w:r>
        <w:rPr/>
        <w:t>to</w:t>
      </w:r>
      <w:r>
        <w:rPr>
          <w:spacing w:val="30"/>
        </w:rPr>
        <w:t> </w:t>
      </w:r>
      <w:r>
        <w:rPr/>
        <w:t>these</w:t>
      </w:r>
      <w:r>
        <w:rPr>
          <w:spacing w:val="32"/>
        </w:rPr>
        <w:t> </w:t>
      </w:r>
      <w:r>
        <w:rPr/>
        <w:t>restrictions,</w:t>
      </w:r>
      <w:r>
        <w:rPr>
          <w:spacing w:val="30"/>
        </w:rPr>
        <w:t> </w:t>
      </w:r>
      <w:r>
        <w:rPr/>
        <w:t>functioning</w:t>
      </w:r>
      <w:r>
        <w:rPr>
          <w:spacing w:val="28"/>
        </w:rPr>
        <w:t> </w:t>
      </w:r>
      <w:r>
        <w:rPr/>
        <w:t>both as</w:t>
      </w:r>
      <w:r>
        <w:rPr>
          <w:spacing w:val="40"/>
        </w:rPr>
        <w:t> </w:t>
      </w:r>
      <w:r>
        <w:rPr/>
        <w:t>a</w:t>
      </w:r>
      <w:r>
        <w:rPr>
          <w:spacing w:val="40"/>
        </w:rPr>
        <w:t> </w:t>
      </w:r>
      <w:r>
        <w:rPr/>
        <w:t>symptom</w:t>
      </w:r>
      <w:r>
        <w:rPr>
          <w:spacing w:val="39"/>
        </w:rPr>
        <w:t> </w:t>
      </w:r>
      <w:r>
        <w:rPr/>
        <w:t>of</w:t>
      </w:r>
      <w:r>
        <w:rPr>
          <w:spacing w:val="40"/>
        </w:rPr>
        <w:t> </w:t>
      </w:r>
      <w:r>
        <w:rPr/>
        <w:t>oppression</w:t>
      </w:r>
      <w:r>
        <w:rPr>
          <w:spacing w:val="40"/>
        </w:rPr>
        <w:t> </w:t>
      </w:r>
      <w:r>
        <w:rPr/>
        <w:t>and</w:t>
      </w:r>
      <w:r>
        <w:rPr>
          <w:spacing w:val="40"/>
        </w:rPr>
        <w:t> </w:t>
      </w:r>
      <w:r>
        <w:rPr/>
        <w:t>as</w:t>
      </w:r>
      <w:r>
        <w:rPr>
          <w:spacing w:val="40"/>
        </w:rPr>
        <w:t> </w:t>
      </w:r>
      <w:r>
        <w:rPr/>
        <w:t>a</w:t>
      </w:r>
      <w:r>
        <w:rPr>
          <w:spacing w:val="40"/>
        </w:rPr>
        <w:t> </w:t>
      </w:r>
      <w:r>
        <w:rPr/>
        <w:t>form</w:t>
      </w:r>
      <w:r>
        <w:rPr>
          <w:spacing w:val="40"/>
        </w:rPr>
        <w:t> </w:t>
      </w:r>
      <w:r>
        <w:rPr/>
        <w:t>of</w:t>
      </w:r>
      <w:r>
        <w:rPr>
          <w:spacing w:val="40"/>
        </w:rPr>
        <w:t> </w:t>
      </w:r>
      <w:r>
        <w:rPr/>
        <w:t>resistance.</w:t>
      </w:r>
    </w:p>
    <w:p>
      <w:pPr>
        <w:pStyle w:val="Heading5"/>
        <w:spacing w:before="110"/>
      </w:pPr>
      <w:r>
        <w:rPr>
          <w:w w:val="105"/>
        </w:rPr>
        <w:t>Psychoanalytic</w:t>
      </w:r>
      <w:r>
        <w:rPr>
          <w:spacing w:val="76"/>
          <w:w w:val="150"/>
        </w:rPr>
        <w:t> </w:t>
      </w:r>
      <w:r>
        <w:rPr>
          <w:w w:val="105"/>
        </w:rPr>
        <w:t>Theory</w:t>
      </w:r>
      <w:r>
        <w:rPr>
          <w:spacing w:val="25"/>
          <w:w w:val="105"/>
        </w:rPr>
        <w:t>  </w:t>
      </w:r>
      <w:r>
        <w:rPr>
          <w:w w:val="105"/>
        </w:rPr>
        <w:t>and</w:t>
      </w:r>
      <w:r>
        <w:rPr>
          <w:spacing w:val="25"/>
          <w:w w:val="105"/>
        </w:rPr>
        <w:t>  </w:t>
      </w:r>
      <w:r>
        <w:rPr>
          <w:w w:val="105"/>
        </w:rPr>
        <w:t>the</w:t>
      </w:r>
      <w:r>
        <w:rPr>
          <w:spacing w:val="25"/>
          <w:w w:val="105"/>
        </w:rPr>
        <w:t>  </w:t>
      </w:r>
      <w:r>
        <w:rPr>
          <w:spacing w:val="-2"/>
          <w:w w:val="105"/>
        </w:rPr>
        <w:t>Unconscious:</w:t>
      </w:r>
    </w:p>
    <w:p>
      <w:pPr>
        <w:pStyle w:val="BodyText"/>
        <w:spacing w:line="249" w:lineRule="auto" w:before="72"/>
        <w:ind w:right="1441" w:firstLine="432"/>
        <w:jc w:val="both"/>
      </w:pPr>
      <w:r>
        <w:rPr/>
        <w:t>The psychoanalytic theories of Sigmund Freud provide valuable insights</w:t>
      </w:r>
      <w:r>
        <w:rPr>
          <w:spacing w:val="-3"/>
        </w:rPr>
        <w:t> </w:t>
      </w:r>
      <w:r>
        <w:rPr/>
        <w:t>into</w:t>
      </w:r>
      <w:r>
        <w:rPr>
          <w:spacing w:val="-3"/>
        </w:rPr>
        <w:t> </w:t>
      </w:r>
      <w:r>
        <w:rPr/>
        <w:t>the</w:t>
      </w:r>
      <w:r>
        <w:rPr>
          <w:spacing w:val="-2"/>
        </w:rPr>
        <w:t> </w:t>
      </w:r>
      <w:r>
        <w:rPr/>
        <w:t>internal</w:t>
      </w:r>
      <w:r>
        <w:rPr>
          <w:spacing w:val="-3"/>
        </w:rPr>
        <w:t> </w:t>
      </w:r>
      <w:r>
        <w:rPr/>
        <w:t>dynamics</w:t>
      </w:r>
      <w:r>
        <w:rPr>
          <w:spacing w:val="-3"/>
        </w:rPr>
        <w:t> </w:t>
      </w:r>
      <w:r>
        <w:rPr/>
        <w:t>of</w:t>
      </w:r>
      <w:r>
        <w:rPr>
          <w:spacing w:val="-3"/>
        </w:rPr>
        <w:t> </w:t>
      </w:r>
      <w:r>
        <w:rPr/>
        <w:t>Shakespeare’s</w:t>
      </w:r>
      <w:r>
        <w:rPr>
          <w:spacing w:val="-2"/>
        </w:rPr>
        <w:t> </w:t>
      </w:r>
      <w:r>
        <w:rPr/>
        <w:t>characters.</w:t>
      </w:r>
      <w:r>
        <w:rPr>
          <w:spacing w:val="-2"/>
        </w:rPr>
        <w:t> </w:t>
      </w:r>
      <w:r>
        <w:rPr/>
        <w:t>Freud’s concept</w:t>
      </w:r>
      <w:r>
        <w:rPr>
          <w:spacing w:val="-2"/>
        </w:rPr>
        <w:t> </w:t>
      </w:r>
      <w:r>
        <w:rPr/>
        <w:t>of</w:t>
      </w:r>
      <w:r>
        <w:rPr>
          <w:spacing w:val="-4"/>
        </w:rPr>
        <w:t> </w:t>
      </w:r>
      <w:r>
        <w:rPr/>
        <w:t>repression</w:t>
      </w:r>
      <w:r>
        <w:rPr>
          <w:spacing w:val="-2"/>
        </w:rPr>
        <w:t> </w:t>
      </w:r>
      <w:r>
        <w:rPr/>
        <w:t>suggests</w:t>
      </w:r>
      <w:r>
        <w:rPr>
          <w:spacing w:val="-2"/>
        </w:rPr>
        <w:t> </w:t>
      </w:r>
      <w:r>
        <w:rPr/>
        <w:t>that</w:t>
      </w:r>
      <w:r>
        <w:rPr>
          <w:spacing w:val="-2"/>
        </w:rPr>
        <w:t> </w:t>
      </w:r>
      <w:r>
        <w:rPr/>
        <w:t>unacceptable</w:t>
      </w:r>
      <w:r>
        <w:rPr>
          <w:spacing w:val="-1"/>
        </w:rPr>
        <w:t> </w:t>
      </w:r>
      <w:r>
        <w:rPr/>
        <w:t>thoughts</w:t>
      </w:r>
      <w:r>
        <w:rPr>
          <w:spacing w:val="-1"/>
        </w:rPr>
        <w:t> </w:t>
      </w:r>
      <w:r>
        <w:rPr/>
        <w:t>and</w:t>
      </w:r>
      <w:r>
        <w:rPr>
          <w:spacing w:val="-2"/>
        </w:rPr>
        <w:t> emotions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82752">
                <wp:simplePos x="0" y="0"/>
                <wp:positionH relativeFrom="page">
                  <wp:posOffset>2057400</wp:posOffset>
                </wp:positionH>
                <wp:positionV relativeFrom="paragraph">
                  <wp:posOffset>162604</wp:posOffset>
                </wp:positionV>
                <wp:extent cx="3657600" cy="12700"/>
                <wp:effectExtent l="0" t="0" r="0" b="0"/>
                <wp:wrapTopAndBottom/>
                <wp:docPr id="789" name="Graphic 789"/>
                <wp:cNvGraphicFramePr>
                  <a:graphicFrameLocks/>
                </wp:cNvGraphicFramePr>
                <a:graphic>
                  <a:graphicData uri="http://schemas.microsoft.com/office/word/2010/wordprocessingShape">
                    <wps:wsp>
                      <wps:cNvPr id="789" name="Graphic 78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33728;mso-wrap-distance-left:0;mso-wrap-distance-right:0" id="docshape781" filled="true" fillcolor="#000000" stroked="false">
                <v:fill type="solid"/>
                <w10:wrap type="topAndBottom"/>
              </v:rect>
            </w:pict>
          </mc:Fallback>
        </mc:AlternateContent>
      </w:r>
      <w:r>
        <w:rPr>
          <w:rFonts w:ascii="Verdana"/>
          <w:spacing w:val="-5"/>
          <w:sz w:val="18"/>
        </w:rPr>
        <w:t>402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t>are pushed into the unconscious, where they continue to influence behavior (Freud 147).</w:t>
      </w:r>
    </w:p>
    <w:p>
      <w:pPr>
        <w:pStyle w:val="BodyText"/>
        <w:spacing w:line="249" w:lineRule="auto" w:before="59"/>
        <w:ind w:right="1438" w:firstLine="432"/>
        <w:jc w:val="both"/>
      </w:pPr>
      <w:r>
        <w:rPr/>
        <w:t>In characters such as Lady Macbeth, repressed guilt manifests through hallucinations and compulsive actions (Shakespeare, Macbeth 5.1). Similarly, Ophelia’s fragmented speech can be interpreted as an expression of unconscious conflict (Shakespeare, Hamlet 4.5). </w:t>
      </w:r>
      <w:r>
        <w:rPr>
          <w:spacing w:val="10"/>
        </w:rPr>
        <w:t>Psychoanalysis</w:t>
      </w:r>
      <w:r>
        <w:rPr>
          <w:spacing w:val="10"/>
        </w:rPr>
        <w:t> </w:t>
      </w:r>
      <w:r>
        <w:rPr/>
        <w:t>thus </w:t>
      </w:r>
      <w:r>
        <w:rPr>
          <w:spacing w:val="10"/>
        </w:rPr>
        <w:t>enables</w:t>
      </w:r>
      <w:r>
        <w:rPr>
          <w:spacing w:val="10"/>
        </w:rPr>
        <w:t> </w:t>
      </w:r>
      <w:r>
        <w:rPr/>
        <w:t>a </w:t>
      </w:r>
      <w:r>
        <w:rPr>
          <w:spacing w:val="11"/>
        </w:rPr>
        <w:t>deeper</w:t>
      </w:r>
      <w:r>
        <w:rPr>
          <w:spacing w:val="11"/>
        </w:rPr>
        <w:t> understanding</w:t>
      </w:r>
      <w:r>
        <w:rPr>
          <w:spacing w:val="11"/>
        </w:rPr>
        <w:t> </w:t>
      </w:r>
      <w:r>
        <w:rPr/>
        <w:t>of the psychological processes underlying dramatic</w:t>
      </w:r>
      <w:r>
        <w:rPr>
          <w:spacing w:val="40"/>
        </w:rPr>
        <w:t> </w:t>
      </w:r>
      <w:r>
        <w:rPr/>
        <w:t>action (Freud</w:t>
      </w:r>
      <w:r>
        <w:rPr>
          <w:spacing w:val="40"/>
        </w:rPr>
        <w:t> </w:t>
      </w:r>
      <w:r>
        <w:rPr/>
        <w:t>152).</w:t>
      </w:r>
    </w:p>
    <w:p>
      <w:pPr>
        <w:pStyle w:val="Heading5"/>
        <w:spacing w:before="113"/>
        <w:jc w:val="both"/>
      </w:pPr>
      <w:r>
        <w:rPr>
          <w:w w:val="105"/>
        </w:rPr>
        <w:t>Tragic</w:t>
      </w:r>
      <w:r>
        <w:rPr>
          <w:spacing w:val="55"/>
          <w:w w:val="105"/>
        </w:rPr>
        <w:t> </w:t>
      </w:r>
      <w:r>
        <w:rPr>
          <w:spacing w:val="-2"/>
          <w:w w:val="105"/>
        </w:rPr>
        <w:t>Psychology:</w:t>
      </w:r>
    </w:p>
    <w:p>
      <w:pPr>
        <w:pStyle w:val="BodyText"/>
        <w:spacing w:line="249" w:lineRule="auto" w:before="71"/>
        <w:ind w:right="1439" w:firstLine="432"/>
        <w:jc w:val="both"/>
      </w:pPr>
      <w:r>
        <w:rPr/>
        <w:t>A. C. Bradley emphasizes the importance of internal conflict in shaping Shakespearean tragedy (Bradley 210). According to Bradley, the</w:t>
      </w:r>
      <w:r>
        <w:rPr>
          <w:spacing w:val="-13"/>
        </w:rPr>
        <w:t> </w:t>
      </w:r>
      <w:r>
        <w:rPr/>
        <w:t>downfall</w:t>
      </w:r>
      <w:r>
        <w:rPr>
          <w:spacing w:val="-12"/>
        </w:rPr>
        <w:t> </w:t>
      </w:r>
      <w:r>
        <w:rPr/>
        <w:t>of</w:t>
      </w:r>
      <w:r>
        <w:rPr>
          <w:spacing w:val="-13"/>
        </w:rPr>
        <w:t> </w:t>
      </w:r>
      <w:r>
        <w:rPr/>
        <w:t>tragic</w:t>
      </w:r>
      <w:r>
        <w:rPr>
          <w:spacing w:val="-12"/>
        </w:rPr>
        <w:t> </w:t>
      </w:r>
      <w:r>
        <w:rPr/>
        <w:t>characters</w:t>
      </w:r>
      <w:r>
        <w:rPr>
          <w:spacing w:val="-13"/>
        </w:rPr>
        <w:t> </w:t>
      </w:r>
      <w:r>
        <w:rPr/>
        <w:t>is</w:t>
      </w:r>
      <w:r>
        <w:rPr>
          <w:spacing w:val="-12"/>
        </w:rPr>
        <w:t> </w:t>
      </w:r>
      <w:r>
        <w:rPr/>
        <w:t>often</w:t>
      </w:r>
      <w:r>
        <w:rPr>
          <w:spacing w:val="-12"/>
        </w:rPr>
        <w:t> </w:t>
      </w:r>
      <w:r>
        <w:rPr/>
        <w:t>linked</w:t>
      </w:r>
      <w:r>
        <w:rPr>
          <w:spacing w:val="-13"/>
        </w:rPr>
        <w:t> </w:t>
      </w:r>
      <w:r>
        <w:rPr/>
        <w:t>to</w:t>
      </w:r>
      <w:r>
        <w:rPr>
          <w:spacing w:val="-10"/>
        </w:rPr>
        <w:t> </w:t>
      </w:r>
      <w:r>
        <w:rPr/>
        <w:t>psychological</w:t>
      </w:r>
      <w:r>
        <w:rPr>
          <w:spacing w:val="-13"/>
        </w:rPr>
        <w:t> </w:t>
      </w:r>
      <w:r>
        <w:rPr/>
        <w:t>struggle rather</w:t>
      </w:r>
      <w:r>
        <w:rPr>
          <w:spacing w:val="-9"/>
        </w:rPr>
        <w:t> </w:t>
      </w:r>
      <w:r>
        <w:rPr/>
        <w:t>than</w:t>
      </w:r>
      <w:r>
        <w:rPr>
          <w:spacing w:val="-9"/>
        </w:rPr>
        <w:t> </w:t>
      </w:r>
      <w:r>
        <w:rPr/>
        <w:t>external</w:t>
      </w:r>
      <w:r>
        <w:rPr>
          <w:spacing w:val="-12"/>
        </w:rPr>
        <w:t> </w:t>
      </w:r>
      <w:r>
        <w:rPr/>
        <w:t>circumstances</w:t>
      </w:r>
      <w:r>
        <w:rPr>
          <w:spacing w:val="-11"/>
        </w:rPr>
        <w:t> </w:t>
      </w:r>
      <w:r>
        <w:rPr/>
        <w:t>alone</w:t>
      </w:r>
      <w:r>
        <w:rPr>
          <w:spacing w:val="-10"/>
        </w:rPr>
        <w:t> </w:t>
      </w:r>
      <w:r>
        <w:rPr/>
        <w:t>(Bradley</w:t>
      </w:r>
      <w:r>
        <w:rPr>
          <w:spacing w:val="-13"/>
        </w:rPr>
        <w:t> </w:t>
      </w:r>
      <w:r>
        <w:rPr/>
        <w:t>212).</w:t>
      </w:r>
      <w:r>
        <w:rPr>
          <w:spacing w:val="-11"/>
        </w:rPr>
        <w:t> </w:t>
      </w:r>
      <w:r>
        <w:rPr/>
        <w:t>This</w:t>
      </w:r>
      <w:r>
        <w:rPr>
          <w:spacing w:val="-9"/>
        </w:rPr>
        <w:t> </w:t>
      </w:r>
      <w:r>
        <w:rPr/>
        <w:t>perspective is particularly relevant in analyzing female characters, whose mental experiences play a central role in their narrative trajectories.</w:t>
      </w:r>
    </w:p>
    <w:p>
      <w:pPr>
        <w:pStyle w:val="Heading3"/>
        <w:spacing w:before="159"/>
        <w:jc w:val="both"/>
      </w:pPr>
      <w:r>
        <w:rPr>
          <w:w w:val="90"/>
        </w:rPr>
        <w:t>MAIN</w:t>
      </w:r>
      <w:r>
        <w:rPr>
          <w:spacing w:val="2"/>
        </w:rPr>
        <w:t> </w:t>
      </w:r>
      <w:r>
        <w:rPr>
          <w:spacing w:val="-2"/>
          <w:w w:val="95"/>
        </w:rPr>
        <w:t>ANALYSIS:</w:t>
      </w:r>
    </w:p>
    <w:p>
      <w:pPr>
        <w:pStyle w:val="Heading4"/>
        <w:numPr>
          <w:ilvl w:val="0"/>
          <w:numId w:val="82"/>
        </w:numPr>
        <w:tabs>
          <w:tab w:pos="252" w:val="left" w:leader="none"/>
        </w:tabs>
        <w:spacing w:line="240" w:lineRule="auto" w:before="114" w:after="0"/>
        <w:ind w:left="252" w:right="3" w:hanging="252"/>
        <w:jc w:val="center"/>
      </w:pPr>
      <w:r>
        <w:rPr>
          <w:rFonts w:ascii="Cambria"/>
          <w:i/>
        </w:rPr>
        <w:t>Ophelia:</w:t>
      </w:r>
      <w:r>
        <w:rPr>
          <w:rFonts w:ascii="Cambria"/>
          <w:i/>
          <w:spacing w:val="14"/>
        </w:rPr>
        <w:t> </w:t>
      </w:r>
      <w:r>
        <w:rPr/>
        <w:t>Madness,</w:t>
      </w:r>
      <w:r>
        <w:rPr>
          <w:spacing w:val="-2"/>
        </w:rPr>
        <w:t> </w:t>
      </w:r>
      <w:r>
        <w:rPr/>
        <w:t>Silence</w:t>
      </w:r>
      <w:r>
        <w:rPr>
          <w:spacing w:val="-6"/>
        </w:rPr>
        <w:t> </w:t>
      </w:r>
      <w:r>
        <w:rPr/>
        <w:t>and</w:t>
      </w:r>
      <w:r>
        <w:rPr>
          <w:spacing w:val="-5"/>
        </w:rPr>
        <w:t> </w:t>
      </w:r>
      <w:r>
        <w:rPr/>
        <w:t>the</w:t>
      </w:r>
      <w:r>
        <w:rPr>
          <w:spacing w:val="-4"/>
        </w:rPr>
        <w:t> </w:t>
      </w:r>
      <w:r>
        <w:rPr/>
        <w:t>Crisis</w:t>
      </w:r>
      <w:r>
        <w:rPr>
          <w:spacing w:val="-7"/>
        </w:rPr>
        <w:t> </w:t>
      </w:r>
      <w:r>
        <w:rPr/>
        <w:t>of</w:t>
      </w:r>
      <w:r>
        <w:rPr>
          <w:spacing w:val="-1"/>
        </w:rPr>
        <w:t> </w:t>
      </w:r>
      <w:r>
        <w:rPr>
          <w:spacing w:val="-2"/>
        </w:rPr>
        <w:t>Identity</w:t>
      </w:r>
    </w:p>
    <w:p>
      <w:pPr>
        <w:pStyle w:val="BodyText"/>
        <w:spacing w:line="249" w:lineRule="auto" w:before="71"/>
        <w:ind w:right="1438" w:firstLine="432"/>
        <w:jc w:val="both"/>
      </w:pPr>
      <w:r>
        <w:rPr/>
        <w:t>Ophelia’s</w:t>
      </w:r>
      <w:r>
        <w:rPr>
          <w:spacing w:val="-3"/>
        </w:rPr>
        <w:t> </w:t>
      </w:r>
      <w:r>
        <w:rPr/>
        <w:t>psychological</w:t>
      </w:r>
      <w:r>
        <w:rPr>
          <w:spacing w:val="-3"/>
        </w:rPr>
        <w:t> </w:t>
      </w:r>
      <w:r>
        <w:rPr/>
        <w:t>trajectory</w:t>
      </w:r>
      <w:r>
        <w:rPr>
          <w:spacing w:val="-5"/>
        </w:rPr>
        <w:t> </w:t>
      </w:r>
      <w:r>
        <w:rPr/>
        <w:t>in</w:t>
      </w:r>
      <w:r>
        <w:rPr>
          <w:spacing w:val="-2"/>
        </w:rPr>
        <w:t> </w:t>
      </w:r>
      <w:r>
        <w:rPr/>
        <w:t>Hamlet</w:t>
      </w:r>
      <w:r>
        <w:rPr>
          <w:spacing w:val="-2"/>
        </w:rPr>
        <w:t> </w:t>
      </w:r>
      <w:r>
        <w:rPr/>
        <w:t>represents</w:t>
      </w:r>
      <w:r>
        <w:rPr>
          <w:spacing w:val="-3"/>
        </w:rPr>
        <w:t> </w:t>
      </w:r>
      <w:r>
        <w:rPr/>
        <w:t>one</w:t>
      </w:r>
      <w:r>
        <w:rPr>
          <w:spacing w:val="-2"/>
        </w:rPr>
        <w:t> </w:t>
      </w:r>
      <w:r>
        <w:rPr/>
        <w:t>of</w:t>
      </w:r>
      <w:r>
        <w:rPr>
          <w:spacing w:val="-3"/>
        </w:rPr>
        <w:t> </w:t>
      </w:r>
      <w:r>
        <w:rPr/>
        <w:t>the most intricate portrayals of female mental disturbance in early modern drama.</w:t>
      </w:r>
      <w:r>
        <w:rPr>
          <w:spacing w:val="-1"/>
        </w:rPr>
        <w:t> </w:t>
      </w:r>
      <w:r>
        <w:rPr/>
        <w:t>Her</w:t>
      </w:r>
      <w:r>
        <w:rPr>
          <w:spacing w:val="-1"/>
        </w:rPr>
        <w:t> </w:t>
      </w:r>
      <w:r>
        <w:rPr/>
        <w:t>character is</w:t>
      </w:r>
      <w:r>
        <w:rPr>
          <w:spacing w:val="-1"/>
        </w:rPr>
        <w:t> </w:t>
      </w:r>
      <w:r>
        <w:rPr/>
        <w:t>situated at</w:t>
      </w:r>
      <w:r>
        <w:rPr>
          <w:spacing w:val="-1"/>
        </w:rPr>
        <w:t> </w:t>
      </w:r>
      <w:r>
        <w:rPr/>
        <w:t>the intersection of</w:t>
      </w:r>
      <w:r>
        <w:rPr>
          <w:spacing w:val="-1"/>
        </w:rPr>
        <w:t> </w:t>
      </w:r>
      <w:r>
        <w:rPr/>
        <w:t>familial</w:t>
      </w:r>
      <w:r>
        <w:rPr>
          <w:spacing w:val="-1"/>
        </w:rPr>
        <w:t> </w:t>
      </w:r>
      <w:r>
        <w:rPr/>
        <w:t>authority, romantic expectation, and social control. Unlike Hamlet, whose inner conflict is articulated through philosophical reflection, Ophelia’s experience</w:t>
      </w:r>
      <w:r>
        <w:rPr>
          <w:spacing w:val="-13"/>
        </w:rPr>
        <w:t> </w:t>
      </w:r>
      <w:r>
        <w:rPr/>
        <w:t>is</w:t>
      </w:r>
      <w:r>
        <w:rPr>
          <w:spacing w:val="-12"/>
        </w:rPr>
        <w:t> </w:t>
      </w:r>
      <w:r>
        <w:rPr/>
        <w:t>marked</w:t>
      </w:r>
      <w:r>
        <w:rPr>
          <w:spacing w:val="-13"/>
        </w:rPr>
        <w:t> </w:t>
      </w:r>
      <w:r>
        <w:rPr/>
        <w:t>by</w:t>
      </w:r>
      <w:r>
        <w:rPr>
          <w:spacing w:val="-12"/>
        </w:rPr>
        <w:t> </w:t>
      </w:r>
      <w:r>
        <w:rPr/>
        <w:t>an</w:t>
      </w:r>
      <w:r>
        <w:rPr>
          <w:spacing w:val="-13"/>
        </w:rPr>
        <w:t> </w:t>
      </w:r>
      <w:r>
        <w:rPr/>
        <w:t>absence</w:t>
      </w:r>
      <w:r>
        <w:rPr>
          <w:spacing w:val="-10"/>
        </w:rPr>
        <w:t> </w:t>
      </w:r>
      <w:r>
        <w:rPr/>
        <w:t>of</w:t>
      </w:r>
      <w:r>
        <w:rPr>
          <w:spacing w:val="-13"/>
        </w:rPr>
        <w:t> </w:t>
      </w:r>
      <w:r>
        <w:rPr/>
        <w:t>voice,</w:t>
      </w:r>
      <w:r>
        <w:rPr>
          <w:spacing w:val="-12"/>
        </w:rPr>
        <w:t> </w:t>
      </w:r>
      <w:r>
        <w:rPr/>
        <w:t>a</w:t>
      </w:r>
      <w:r>
        <w:rPr>
          <w:spacing w:val="-13"/>
        </w:rPr>
        <w:t> </w:t>
      </w:r>
      <w:r>
        <w:rPr/>
        <w:t>condition</w:t>
      </w:r>
      <w:r>
        <w:rPr>
          <w:spacing w:val="-10"/>
        </w:rPr>
        <w:t> </w:t>
      </w:r>
      <w:r>
        <w:rPr/>
        <w:t>that</w:t>
      </w:r>
      <w:r>
        <w:rPr>
          <w:spacing w:val="-12"/>
        </w:rPr>
        <w:t> </w:t>
      </w:r>
      <w:r>
        <w:rPr/>
        <w:t>profoundly shapes</w:t>
      </w:r>
      <w:r>
        <w:rPr>
          <w:spacing w:val="40"/>
        </w:rPr>
        <w:t> </w:t>
      </w:r>
      <w:r>
        <w:rPr/>
        <w:t>her</w:t>
      </w:r>
      <w:r>
        <w:rPr>
          <w:spacing w:val="40"/>
        </w:rPr>
        <w:t> </w:t>
      </w:r>
      <w:r>
        <w:rPr/>
        <w:t>mental</w:t>
      </w:r>
      <w:r>
        <w:rPr>
          <w:spacing w:val="40"/>
        </w:rPr>
        <w:t> </w:t>
      </w:r>
      <w:r>
        <w:rPr/>
        <w:t>state.</w:t>
      </w:r>
    </w:p>
    <w:p>
      <w:pPr>
        <w:pStyle w:val="BodyText"/>
        <w:spacing w:line="249" w:lineRule="auto" w:before="66"/>
        <w:ind w:right="1438" w:firstLine="432"/>
        <w:jc w:val="both"/>
      </w:pPr>
      <w:r>
        <w:rPr/>
        <w:t>From</w:t>
      </w:r>
      <w:r>
        <w:rPr>
          <w:spacing w:val="-1"/>
        </w:rPr>
        <w:t> </w:t>
      </w:r>
      <w:r>
        <w:rPr/>
        <w:t>the outset, Ophelia is defined through her relationships with male figures. Polonius instructs her to reject Hamlet’s advances, emphasizing</w:t>
      </w:r>
      <w:r>
        <w:rPr>
          <w:spacing w:val="-12"/>
        </w:rPr>
        <w:t> </w:t>
      </w:r>
      <w:r>
        <w:rPr/>
        <w:t>obedience</w:t>
      </w:r>
      <w:r>
        <w:rPr>
          <w:spacing w:val="-12"/>
        </w:rPr>
        <w:t> </w:t>
      </w:r>
      <w:r>
        <w:rPr/>
        <w:t>over</w:t>
      </w:r>
      <w:r>
        <w:rPr>
          <w:spacing w:val="-10"/>
        </w:rPr>
        <w:t> </w:t>
      </w:r>
      <w:r>
        <w:rPr/>
        <w:t>personal</w:t>
      </w:r>
      <w:r>
        <w:rPr>
          <w:spacing w:val="-11"/>
        </w:rPr>
        <w:t> </w:t>
      </w:r>
      <w:r>
        <w:rPr/>
        <w:t>emotions.</w:t>
      </w:r>
      <w:r>
        <w:rPr>
          <w:spacing w:val="-12"/>
        </w:rPr>
        <w:t> </w:t>
      </w:r>
      <w:r>
        <w:rPr/>
        <w:t>Her</w:t>
      </w:r>
      <w:r>
        <w:rPr>
          <w:spacing w:val="-12"/>
        </w:rPr>
        <w:t> </w:t>
      </w:r>
      <w:r>
        <w:rPr/>
        <w:t>compliance</w:t>
      </w:r>
      <w:r>
        <w:rPr>
          <w:spacing w:val="-12"/>
        </w:rPr>
        <w:t> </w:t>
      </w:r>
      <w:r>
        <w:rPr/>
        <w:t>reflects the internalization</w:t>
      </w:r>
      <w:r>
        <w:rPr>
          <w:spacing w:val="-2"/>
        </w:rPr>
        <w:t> </w:t>
      </w:r>
      <w:r>
        <w:rPr/>
        <w:t>of</w:t>
      </w:r>
      <w:r>
        <w:rPr>
          <w:spacing w:val="-2"/>
        </w:rPr>
        <w:t> </w:t>
      </w:r>
      <w:r>
        <w:rPr/>
        <w:t>patriarchal</w:t>
      </w:r>
      <w:r>
        <w:rPr>
          <w:spacing w:val="-2"/>
        </w:rPr>
        <w:t> </w:t>
      </w:r>
      <w:r>
        <w:rPr/>
        <w:t>values,</w:t>
      </w:r>
      <w:r>
        <w:rPr>
          <w:spacing w:val="-1"/>
        </w:rPr>
        <w:t> </w:t>
      </w:r>
      <w:r>
        <w:rPr/>
        <w:t>where</w:t>
      </w:r>
      <w:r>
        <w:rPr>
          <w:spacing w:val="-1"/>
        </w:rPr>
        <w:t> </w:t>
      </w:r>
      <w:r>
        <w:rPr/>
        <w:t>selfhood is</w:t>
      </w:r>
      <w:r>
        <w:rPr>
          <w:spacing w:val="-1"/>
        </w:rPr>
        <w:t> </w:t>
      </w:r>
      <w:r>
        <w:rPr/>
        <w:t>subordinated to</w:t>
      </w:r>
      <w:r>
        <w:rPr>
          <w:spacing w:val="-12"/>
        </w:rPr>
        <w:t> </w:t>
      </w:r>
      <w:r>
        <w:rPr/>
        <w:t>duty.</w:t>
      </w:r>
      <w:r>
        <w:rPr>
          <w:spacing w:val="-12"/>
        </w:rPr>
        <w:t> </w:t>
      </w:r>
      <w:r>
        <w:rPr/>
        <w:t>Hamlet’s</w:t>
      </w:r>
      <w:r>
        <w:rPr>
          <w:spacing w:val="-13"/>
        </w:rPr>
        <w:t> </w:t>
      </w:r>
      <w:r>
        <w:rPr/>
        <w:t>subsequent</w:t>
      </w:r>
      <w:r>
        <w:rPr>
          <w:spacing w:val="-10"/>
        </w:rPr>
        <w:t> </w:t>
      </w:r>
      <w:r>
        <w:rPr/>
        <w:t>rejection</w:t>
      </w:r>
      <w:r>
        <w:rPr>
          <w:spacing w:val="-13"/>
        </w:rPr>
        <w:t> </w:t>
      </w:r>
      <w:r>
        <w:rPr/>
        <w:t>further</w:t>
      </w:r>
      <w:r>
        <w:rPr>
          <w:spacing w:val="-12"/>
        </w:rPr>
        <w:t> </w:t>
      </w:r>
      <w:r>
        <w:rPr/>
        <w:t>destabilizes</w:t>
      </w:r>
      <w:r>
        <w:rPr>
          <w:spacing w:val="-13"/>
        </w:rPr>
        <w:t> </w:t>
      </w:r>
      <w:r>
        <w:rPr/>
        <w:t>her</w:t>
      </w:r>
      <w:r>
        <w:rPr>
          <w:spacing w:val="-10"/>
        </w:rPr>
        <w:t> </w:t>
      </w:r>
      <w:r>
        <w:rPr/>
        <w:t>emotional condition,</w:t>
      </w:r>
      <w:r>
        <w:rPr>
          <w:spacing w:val="40"/>
        </w:rPr>
        <w:t> </w:t>
      </w:r>
      <w:r>
        <w:rPr/>
        <w:t>leaving</w:t>
      </w:r>
      <w:r>
        <w:rPr>
          <w:spacing w:val="40"/>
        </w:rPr>
        <w:t> </w:t>
      </w:r>
      <w:r>
        <w:rPr/>
        <w:t>her</w:t>
      </w:r>
      <w:r>
        <w:rPr>
          <w:spacing w:val="40"/>
        </w:rPr>
        <w:t> </w:t>
      </w:r>
      <w:r>
        <w:rPr/>
        <w:t>caught</w:t>
      </w:r>
      <w:r>
        <w:rPr>
          <w:spacing w:val="40"/>
        </w:rPr>
        <w:t> </w:t>
      </w:r>
      <w:r>
        <w:rPr/>
        <w:t>between</w:t>
      </w:r>
      <w:r>
        <w:rPr>
          <w:spacing w:val="40"/>
        </w:rPr>
        <w:t> </w:t>
      </w:r>
      <w:r>
        <w:rPr/>
        <w:t>conflicting</w:t>
      </w:r>
      <w:r>
        <w:rPr>
          <w:spacing w:val="40"/>
        </w:rPr>
        <w:t> </w:t>
      </w:r>
      <w:r>
        <w:rPr/>
        <w:t>demands.</w:t>
      </w:r>
    </w:p>
    <w:p>
      <w:pPr>
        <w:pStyle w:val="BodyText"/>
        <w:spacing w:line="249" w:lineRule="auto" w:before="62"/>
        <w:ind w:right="1439" w:firstLine="432"/>
        <w:jc w:val="both"/>
      </w:pPr>
      <w:r>
        <w:rPr/>
        <w:t>The death of Polonius acts as a crucial moment in Ophelia’s psychological decline. With the loss of paternal authority, she is left without</w:t>
      </w:r>
      <w:r>
        <w:rPr>
          <w:spacing w:val="-5"/>
        </w:rPr>
        <w:t> </w:t>
      </w:r>
      <w:r>
        <w:rPr/>
        <w:t>a</w:t>
      </w:r>
      <w:r>
        <w:rPr>
          <w:spacing w:val="-1"/>
        </w:rPr>
        <w:t> </w:t>
      </w:r>
      <w:r>
        <w:rPr/>
        <w:t>guiding</w:t>
      </w:r>
      <w:r>
        <w:rPr>
          <w:spacing w:val="-4"/>
        </w:rPr>
        <w:t> </w:t>
      </w:r>
      <w:r>
        <w:rPr/>
        <w:t>structure,</w:t>
      </w:r>
      <w:r>
        <w:rPr>
          <w:spacing w:val="-2"/>
        </w:rPr>
        <w:t> </w:t>
      </w:r>
      <w:r>
        <w:rPr/>
        <w:t>resulting</w:t>
      </w:r>
      <w:r>
        <w:rPr>
          <w:spacing w:val="-6"/>
        </w:rPr>
        <w:t> </w:t>
      </w:r>
      <w:r>
        <w:rPr/>
        <w:t>in</w:t>
      </w:r>
      <w:r>
        <w:rPr>
          <w:spacing w:val="-6"/>
        </w:rPr>
        <w:t> </w:t>
      </w:r>
      <w:r>
        <w:rPr/>
        <w:t>a</w:t>
      </w:r>
      <w:r>
        <w:rPr>
          <w:spacing w:val="-1"/>
        </w:rPr>
        <w:t> </w:t>
      </w:r>
      <w:r>
        <w:rPr/>
        <w:t>fragmentation</w:t>
      </w:r>
      <w:r>
        <w:rPr>
          <w:spacing w:val="-6"/>
        </w:rPr>
        <w:t> </w:t>
      </w:r>
      <w:r>
        <w:rPr/>
        <w:t>of</w:t>
      </w:r>
      <w:r>
        <w:rPr>
          <w:spacing w:val="-4"/>
        </w:rPr>
        <w:t> </w:t>
      </w:r>
      <w:r>
        <w:rPr/>
        <w:t>identity.</w:t>
      </w:r>
      <w:r>
        <w:rPr>
          <w:spacing w:val="-4"/>
        </w:rPr>
        <w:t> </w:t>
      </w:r>
      <w:r>
        <w:rPr/>
        <w:t>Her madness is not a sudden incident but a gradual unraveling, expressed through</w:t>
      </w:r>
      <w:r>
        <w:rPr>
          <w:spacing w:val="40"/>
        </w:rPr>
        <w:t> </w:t>
      </w:r>
      <w:r>
        <w:rPr/>
        <w:t>disjointed</w:t>
      </w:r>
      <w:r>
        <w:rPr>
          <w:spacing w:val="40"/>
        </w:rPr>
        <w:t> </w:t>
      </w:r>
      <w:r>
        <w:rPr/>
        <w:t>speech,</w:t>
      </w:r>
      <w:r>
        <w:rPr>
          <w:spacing w:val="40"/>
        </w:rPr>
        <w:t> </w:t>
      </w:r>
      <w:r>
        <w:rPr/>
        <w:t>symbolic</w:t>
      </w:r>
      <w:r>
        <w:rPr>
          <w:spacing w:val="40"/>
        </w:rPr>
        <w:t> </w:t>
      </w:r>
      <w:r>
        <w:rPr/>
        <w:t>gestures</w:t>
      </w:r>
      <w:r>
        <w:rPr>
          <w:spacing w:val="40"/>
        </w:rPr>
        <w:t> </w:t>
      </w:r>
      <w:r>
        <w:rPr/>
        <w:t>and</w:t>
      </w:r>
      <w:r>
        <w:rPr>
          <w:spacing w:val="40"/>
        </w:rPr>
        <w:t> </w:t>
      </w:r>
      <w:r>
        <w:rPr/>
        <w:t>songs:</w:t>
      </w:r>
    </w:p>
    <w:p>
      <w:pPr>
        <w:spacing w:before="62"/>
        <w:ind w:left="2160" w:right="0" w:firstLine="0"/>
        <w:jc w:val="both"/>
        <w:rPr>
          <w:i/>
          <w:sz w:val="20"/>
        </w:rPr>
      </w:pPr>
      <w:r>
        <w:rPr>
          <w:i/>
          <w:sz w:val="20"/>
        </w:rPr>
        <w:t>“He</w:t>
      </w:r>
      <w:r>
        <w:rPr>
          <w:i/>
          <w:spacing w:val="29"/>
          <w:sz w:val="20"/>
        </w:rPr>
        <w:t> </w:t>
      </w:r>
      <w:r>
        <w:rPr>
          <w:i/>
          <w:sz w:val="20"/>
        </w:rPr>
        <w:t>is</w:t>
      </w:r>
      <w:r>
        <w:rPr>
          <w:i/>
          <w:spacing w:val="29"/>
          <w:sz w:val="20"/>
        </w:rPr>
        <w:t> </w:t>
      </w:r>
      <w:r>
        <w:rPr>
          <w:i/>
          <w:sz w:val="20"/>
        </w:rPr>
        <w:t>dead</w:t>
      </w:r>
      <w:r>
        <w:rPr>
          <w:i/>
          <w:spacing w:val="26"/>
          <w:sz w:val="20"/>
        </w:rPr>
        <w:t> </w:t>
      </w:r>
      <w:r>
        <w:rPr>
          <w:i/>
          <w:sz w:val="20"/>
        </w:rPr>
        <w:t>and</w:t>
      </w:r>
      <w:r>
        <w:rPr>
          <w:i/>
          <w:spacing w:val="31"/>
          <w:sz w:val="20"/>
        </w:rPr>
        <w:t> </w:t>
      </w:r>
      <w:r>
        <w:rPr>
          <w:i/>
          <w:sz w:val="20"/>
        </w:rPr>
        <w:t>gone,</w:t>
      </w:r>
      <w:r>
        <w:rPr>
          <w:i/>
          <w:spacing w:val="28"/>
          <w:sz w:val="20"/>
        </w:rPr>
        <w:t> </w:t>
      </w:r>
      <w:r>
        <w:rPr>
          <w:i/>
          <w:spacing w:val="-4"/>
          <w:sz w:val="20"/>
        </w:rPr>
        <w:t>lady,</w:t>
      </w:r>
    </w:p>
    <w:p>
      <w:pPr>
        <w:spacing w:before="68"/>
        <w:ind w:left="2160" w:right="0" w:firstLine="0"/>
        <w:jc w:val="both"/>
        <w:rPr>
          <w:i/>
          <w:sz w:val="20"/>
        </w:rPr>
      </w:pPr>
      <w:r>
        <w:rPr>
          <w:sz w:val="20"/>
        </w:rPr>
        <w:t>He</w:t>
      </w:r>
      <w:r>
        <w:rPr>
          <w:spacing w:val="32"/>
          <w:sz w:val="20"/>
        </w:rPr>
        <w:t> </w:t>
      </w:r>
      <w:r>
        <w:rPr>
          <w:sz w:val="20"/>
        </w:rPr>
        <w:t>is</w:t>
      </w:r>
      <w:r>
        <w:rPr>
          <w:spacing w:val="32"/>
          <w:sz w:val="20"/>
        </w:rPr>
        <w:t> </w:t>
      </w:r>
      <w:r>
        <w:rPr>
          <w:sz w:val="20"/>
        </w:rPr>
        <w:t>dead</w:t>
      </w:r>
      <w:r>
        <w:rPr>
          <w:spacing w:val="33"/>
          <w:sz w:val="20"/>
        </w:rPr>
        <w:t> </w:t>
      </w:r>
      <w:r>
        <w:rPr>
          <w:sz w:val="20"/>
        </w:rPr>
        <w:t>and</w:t>
      </w:r>
      <w:r>
        <w:rPr>
          <w:spacing w:val="32"/>
          <w:sz w:val="20"/>
        </w:rPr>
        <w:t> </w:t>
      </w:r>
      <w:r>
        <w:rPr>
          <w:sz w:val="20"/>
        </w:rPr>
        <w:t>gone”</w:t>
      </w:r>
      <w:r>
        <w:rPr>
          <w:spacing w:val="33"/>
          <w:sz w:val="20"/>
        </w:rPr>
        <w:t> </w:t>
      </w:r>
      <w:r>
        <w:rPr>
          <w:i/>
          <w:sz w:val="20"/>
        </w:rPr>
        <w:t>(Hamlet</w:t>
      </w:r>
      <w:r>
        <w:rPr>
          <w:i/>
          <w:spacing w:val="32"/>
          <w:sz w:val="20"/>
        </w:rPr>
        <w:t> </w:t>
      </w:r>
      <w:r>
        <w:rPr>
          <w:i/>
          <w:sz w:val="20"/>
        </w:rPr>
        <w:t>4.5.29–</w:t>
      </w:r>
      <w:r>
        <w:rPr>
          <w:i/>
          <w:spacing w:val="-4"/>
          <w:sz w:val="20"/>
        </w:rPr>
        <w:t>30).</w:t>
      </w:r>
    </w:p>
    <w:p>
      <w:pPr>
        <w:spacing w:after="0"/>
        <w:jc w:val="both"/>
        <w:rPr>
          <w:i/>
          <w:sz w:val="20"/>
        </w:rPr>
        <w:sectPr>
          <w:pgSz w:w="12240" w:h="15840"/>
          <w:pgMar w:top="1820" w:bottom="280" w:left="1800" w:right="1800"/>
        </w:sectPr>
      </w:pPr>
    </w:p>
    <w:p>
      <w:pPr>
        <w:pStyle w:val="BodyText"/>
        <w:ind w:left="0"/>
        <w:rPr>
          <w:i/>
          <w:sz w:val="18"/>
        </w:rPr>
      </w:pPr>
    </w:p>
    <w:p>
      <w:pPr>
        <w:pStyle w:val="BodyText"/>
        <w:ind w:left="0"/>
        <w:rPr>
          <w:i/>
          <w:sz w:val="18"/>
        </w:rPr>
      </w:pPr>
    </w:p>
    <w:p>
      <w:pPr>
        <w:pStyle w:val="BodyText"/>
        <w:ind w:left="0"/>
        <w:rPr>
          <w:i/>
          <w:sz w:val="18"/>
        </w:rPr>
      </w:pPr>
    </w:p>
    <w:p>
      <w:pPr>
        <w:pStyle w:val="BodyText"/>
        <w:spacing w:before="168"/>
        <w:ind w:left="0"/>
        <w:rPr>
          <w:i/>
          <w:sz w:val="18"/>
        </w:rPr>
      </w:pPr>
    </w:p>
    <w:p>
      <w:pPr>
        <w:tabs>
          <w:tab w:pos="5445" w:val="left" w:leader="none"/>
        </w:tabs>
        <w:spacing w:before="0"/>
        <w:ind w:left="0" w:right="1"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83264">
                <wp:simplePos x="0" y="0"/>
                <wp:positionH relativeFrom="page">
                  <wp:posOffset>2065020</wp:posOffset>
                </wp:positionH>
                <wp:positionV relativeFrom="paragraph">
                  <wp:posOffset>162604</wp:posOffset>
                </wp:positionV>
                <wp:extent cx="3657600" cy="12700"/>
                <wp:effectExtent l="0" t="0" r="0" b="0"/>
                <wp:wrapTopAndBottom/>
                <wp:docPr id="790" name="Graphic 790"/>
                <wp:cNvGraphicFramePr>
                  <a:graphicFrameLocks/>
                </wp:cNvGraphicFramePr>
                <a:graphic>
                  <a:graphicData uri="http://schemas.microsoft.com/office/word/2010/wordprocessingShape">
                    <wps:wsp>
                      <wps:cNvPr id="790" name="Graphic 79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33216;mso-wrap-distance-left:0;mso-wrap-distance-right:0" id="docshape782" filled="true" fillcolor="#000000" stroked="false">
                <v:fill type="solid"/>
                <w10:wrap type="topAndBottom"/>
              </v:rect>
            </w:pict>
          </mc:Fallback>
        </mc:AlternateContent>
      </w:r>
      <w:r>
        <w:rPr>
          <w:rFonts w:ascii="Verdana"/>
          <w:spacing w:val="-4"/>
          <w:sz w:val="18"/>
        </w:rPr>
        <w:t>Women</w:t>
      </w:r>
      <w:r>
        <w:rPr>
          <w:rFonts w:ascii="Verdana"/>
          <w:spacing w:val="-10"/>
          <w:sz w:val="18"/>
        </w:rPr>
        <w:t> </w:t>
      </w:r>
      <w:r>
        <w:rPr>
          <w:rFonts w:ascii="Verdana"/>
          <w:spacing w:val="-4"/>
          <w:sz w:val="18"/>
        </w:rPr>
        <w:t>and</w:t>
      </w:r>
      <w:r>
        <w:rPr>
          <w:rFonts w:ascii="Verdana"/>
          <w:spacing w:val="-10"/>
          <w:sz w:val="18"/>
        </w:rPr>
        <w:t> </w:t>
      </w:r>
      <w:r>
        <w:rPr>
          <w:rFonts w:ascii="Verdana"/>
          <w:spacing w:val="-4"/>
          <w:sz w:val="18"/>
        </w:rPr>
        <w:t>Mental</w:t>
      </w:r>
      <w:r>
        <w:rPr>
          <w:rFonts w:ascii="Verdana"/>
          <w:spacing w:val="-10"/>
          <w:sz w:val="18"/>
        </w:rPr>
        <w:t> </w:t>
      </w:r>
      <w:r>
        <w:rPr>
          <w:rFonts w:ascii="Verdana"/>
          <w:spacing w:val="-4"/>
          <w:sz w:val="18"/>
        </w:rPr>
        <w:t>Health</w:t>
      </w:r>
      <w:r>
        <w:rPr>
          <w:rFonts w:ascii="Verdana"/>
          <w:spacing w:val="-7"/>
          <w:sz w:val="18"/>
        </w:rPr>
        <w:t> </w:t>
      </w:r>
      <w:r>
        <w:rPr>
          <w:rFonts w:ascii="Verdana"/>
          <w:spacing w:val="-4"/>
          <w:sz w:val="18"/>
        </w:rPr>
        <w:t>in</w:t>
      </w:r>
      <w:r>
        <w:rPr>
          <w:rFonts w:ascii="Verdana"/>
          <w:spacing w:val="-10"/>
          <w:sz w:val="18"/>
        </w:rPr>
        <w:t> </w:t>
      </w:r>
      <w:r>
        <w:rPr>
          <w:rFonts w:ascii="Verdana"/>
          <w:spacing w:val="-4"/>
          <w:sz w:val="18"/>
        </w:rPr>
        <w:t>Select</w:t>
      </w:r>
      <w:r>
        <w:rPr>
          <w:rFonts w:ascii="Verdana"/>
          <w:spacing w:val="-11"/>
          <w:sz w:val="18"/>
        </w:rPr>
        <w:t> </w:t>
      </w:r>
      <w:r>
        <w:rPr>
          <w:rFonts w:ascii="Verdana"/>
          <w:spacing w:val="-4"/>
          <w:sz w:val="18"/>
        </w:rPr>
        <w:t>Shakespearean</w:t>
      </w:r>
      <w:r>
        <w:rPr>
          <w:rFonts w:ascii="Verdana"/>
          <w:spacing w:val="-9"/>
          <w:sz w:val="18"/>
        </w:rPr>
        <w:t> </w:t>
      </w:r>
      <w:r>
        <w:rPr>
          <w:rFonts w:ascii="Verdana"/>
          <w:spacing w:val="-4"/>
          <w:sz w:val="18"/>
        </w:rPr>
        <w:t>Plays...</w:t>
      </w:r>
      <w:r>
        <w:rPr>
          <w:rFonts w:ascii="Verdana"/>
          <w:sz w:val="18"/>
        </w:rPr>
        <w:tab/>
      </w:r>
      <w:r>
        <w:rPr>
          <w:rFonts w:ascii="Verdana"/>
          <w:spacing w:val="-5"/>
          <w:sz w:val="18"/>
        </w:rPr>
        <w:t>403</w:t>
      </w:r>
    </w:p>
    <w:p>
      <w:pPr>
        <w:pStyle w:val="BodyText"/>
        <w:spacing w:line="249" w:lineRule="auto" w:before="192"/>
        <w:ind w:right="1440" w:firstLine="432"/>
        <w:jc w:val="both"/>
      </w:pPr>
      <w:r>
        <w:rPr/>
        <w:t>These lines reveal a repetitive fixation on loss, suggesting an inability to process grief within conventional forms of expression. Her use of flowers</w:t>
      </w:r>
      <w:r>
        <w:rPr>
          <w:spacing w:val="30"/>
        </w:rPr>
        <w:t> </w:t>
      </w:r>
      <w:r>
        <w:rPr/>
        <w:t>as symbolic markers further</w:t>
      </w:r>
      <w:r>
        <w:rPr>
          <w:spacing w:val="34"/>
        </w:rPr>
        <w:t> </w:t>
      </w:r>
      <w:r>
        <w:rPr/>
        <w:t>illustrates this</w:t>
      </w:r>
      <w:r>
        <w:rPr>
          <w:spacing w:val="30"/>
        </w:rPr>
        <w:t> </w:t>
      </w:r>
      <w:r>
        <w:rPr/>
        <w:t>condition:</w:t>
      </w:r>
    </w:p>
    <w:p>
      <w:pPr>
        <w:spacing w:line="249" w:lineRule="auto" w:before="60"/>
        <w:ind w:left="2160" w:right="2158" w:firstLine="0"/>
        <w:jc w:val="both"/>
        <w:rPr>
          <w:i/>
          <w:sz w:val="20"/>
        </w:rPr>
      </w:pPr>
      <w:r>
        <w:rPr>
          <w:sz w:val="20"/>
        </w:rPr>
        <w:t>“There’s rosemary, that’s for remembrance” </w:t>
      </w:r>
      <w:r>
        <w:rPr>
          <w:i/>
          <w:sz w:val="20"/>
        </w:rPr>
        <w:t>(Hamlet </w:t>
      </w:r>
      <w:r>
        <w:rPr>
          <w:i/>
          <w:spacing w:val="-2"/>
          <w:sz w:val="20"/>
        </w:rPr>
        <w:t>4.5.175).</w:t>
      </w:r>
    </w:p>
    <w:p>
      <w:pPr>
        <w:pStyle w:val="BodyText"/>
        <w:spacing w:line="249" w:lineRule="auto" w:before="59"/>
        <w:ind w:right="1440" w:firstLine="432"/>
        <w:jc w:val="both"/>
      </w:pPr>
      <w:r>
        <w:rPr/>
        <w:t>Each</w:t>
      </w:r>
      <w:r>
        <w:rPr>
          <w:spacing w:val="-8"/>
        </w:rPr>
        <w:t> </w:t>
      </w:r>
      <w:r>
        <w:rPr/>
        <w:t>flower</w:t>
      </w:r>
      <w:r>
        <w:rPr>
          <w:spacing w:val="-8"/>
        </w:rPr>
        <w:t> </w:t>
      </w:r>
      <w:r>
        <w:rPr/>
        <w:t>carries</w:t>
      </w:r>
      <w:r>
        <w:rPr>
          <w:spacing w:val="-8"/>
        </w:rPr>
        <w:t> </w:t>
      </w:r>
      <w:r>
        <w:rPr/>
        <w:t>cultural</w:t>
      </w:r>
      <w:r>
        <w:rPr>
          <w:spacing w:val="-10"/>
        </w:rPr>
        <w:t> </w:t>
      </w:r>
      <w:r>
        <w:rPr/>
        <w:t>meaning,</w:t>
      </w:r>
      <w:r>
        <w:rPr>
          <w:spacing w:val="-6"/>
        </w:rPr>
        <w:t> </w:t>
      </w:r>
      <w:r>
        <w:rPr/>
        <w:t>transforming</w:t>
      </w:r>
      <w:r>
        <w:rPr>
          <w:spacing w:val="-8"/>
        </w:rPr>
        <w:t> </w:t>
      </w:r>
      <w:r>
        <w:rPr/>
        <w:t>her</w:t>
      </w:r>
      <w:r>
        <w:rPr>
          <w:spacing w:val="-8"/>
        </w:rPr>
        <w:t> </w:t>
      </w:r>
      <w:r>
        <w:rPr/>
        <w:t>speech</w:t>
      </w:r>
      <w:r>
        <w:rPr>
          <w:spacing w:val="-8"/>
        </w:rPr>
        <w:t> </w:t>
      </w:r>
      <w:r>
        <w:rPr/>
        <w:t>into a coded language of</w:t>
      </w:r>
      <w:r>
        <w:rPr>
          <w:spacing w:val="-1"/>
        </w:rPr>
        <w:t> </w:t>
      </w:r>
      <w:r>
        <w:rPr/>
        <w:t>emotion.</w:t>
      </w:r>
      <w:r>
        <w:rPr>
          <w:spacing w:val="-1"/>
        </w:rPr>
        <w:t> </w:t>
      </w:r>
      <w:r>
        <w:rPr/>
        <w:t>Elaine Showalter interprets</w:t>
      </w:r>
      <w:r>
        <w:rPr>
          <w:spacing w:val="-1"/>
        </w:rPr>
        <w:t> </w:t>
      </w:r>
      <w:r>
        <w:rPr/>
        <w:t>this symbolic communication as a form of “female discourse” that emerges in the absence of authorized speech (Showalter 82). Ophelia’s madness, therefore,</w:t>
      </w:r>
      <w:r>
        <w:rPr>
          <w:spacing w:val="-3"/>
        </w:rPr>
        <w:t> </w:t>
      </w:r>
      <w:r>
        <w:rPr/>
        <w:t>functions</w:t>
      </w:r>
      <w:r>
        <w:rPr>
          <w:spacing w:val="-7"/>
        </w:rPr>
        <w:t> </w:t>
      </w:r>
      <w:r>
        <w:rPr/>
        <w:t>not</w:t>
      </w:r>
      <w:r>
        <w:rPr>
          <w:spacing w:val="-5"/>
        </w:rPr>
        <w:t> </w:t>
      </w:r>
      <w:r>
        <w:rPr/>
        <w:t>as</w:t>
      </w:r>
      <w:r>
        <w:rPr>
          <w:spacing w:val="-7"/>
        </w:rPr>
        <w:t> </w:t>
      </w:r>
      <w:r>
        <w:rPr/>
        <w:t>a</w:t>
      </w:r>
      <w:r>
        <w:rPr>
          <w:spacing w:val="-4"/>
        </w:rPr>
        <w:t> </w:t>
      </w:r>
      <w:r>
        <w:rPr/>
        <w:t>breakdown</w:t>
      </w:r>
      <w:r>
        <w:rPr>
          <w:spacing w:val="-7"/>
        </w:rPr>
        <w:t> </w:t>
      </w:r>
      <w:r>
        <w:rPr/>
        <w:t>of</w:t>
      </w:r>
      <w:r>
        <w:rPr>
          <w:spacing w:val="-5"/>
        </w:rPr>
        <w:t> </w:t>
      </w:r>
      <w:r>
        <w:rPr/>
        <w:t>meaning</w:t>
      </w:r>
      <w:r>
        <w:rPr>
          <w:spacing w:val="-8"/>
        </w:rPr>
        <w:t> </w:t>
      </w:r>
      <w:r>
        <w:rPr/>
        <w:t>but</w:t>
      </w:r>
      <w:r>
        <w:rPr>
          <w:spacing w:val="-4"/>
        </w:rPr>
        <w:t> </w:t>
      </w:r>
      <w:r>
        <w:rPr/>
        <w:t>as</w:t>
      </w:r>
      <w:r>
        <w:rPr>
          <w:spacing w:val="-7"/>
        </w:rPr>
        <w:t> </w:t>
      </w:r>
      <w:r>
        <w:rPr/>
        <w:t>an</w:t>
      </w:r>
      <w:r>
        <w:rPr>
          <w:spacing w:val="-5"/>
        </w:rPr>
        <w:t> </w:t>
      </w:r>
      <w:r>
        <w:rPr/>
        <w:t>alternative system</w:t>
      </w:r>
      <w:r>
        <w:rPr>
          <w:spacing w:val="40"/>
        </w:rPr>
        <w:t> </w:t>
      </w:r>
      <w:r>
        <w:rPr/>
        <w:t>of</w:t>
      </w:r>
      <w:r>
        <w:rPr>
          <w:spacing w:val="40"/>
        </w:rPr>
        <w:t> </w:t>
      </w:r>
      <w:r>
        <w:rPr/>
        <w:t>expression.</w:t>
      </w:r>
    </w:p>
    <w:p>
      <w:pPr>
        <w:pStyle w:val="BodyText"/>
        <w:spacing w:line="249" w:lineRule="auto" w:before="63"/>
        <w:ind w:right="1440" w:firstLine="432"/>
        <w:jc w:val="both"/>
      </w:pPr>
      <w:r>
        <w:rPr/>
        <w:t>From a psychoanalytic perspective, Ophelia’s behavior can be understood as the manifestation of repressed emotion. Her inability to articulate</w:t>
      </w:r>
      <w:r>
        <w:rPr>
          <w:spacing w:val="-6"/>
        </w:rPr>
        <w:t> </w:t>
      </w:r>
      <w:r>
        <w:rPr/>
        <w:t>desire,</w:t>
      </w:r>
      <w:r>
        <w:rPr>
          <w:spacing w:val="-5"/>
        </w:rPr>
        <w:t> </w:t>
      </w:r>
      <w:r>
        <w:rPr/>
        <w:t>grief,</w:t>
      </w:r>
      <w:r>
        <w:rPr>
          <w:spacing w:val="-6"/>
        </w:rPr>
        <w:t> </w:t>
      </w:r>
      <w:r>
        <w:rPr/>
        <w:t>and</w:t>
      </w:r>
      <w:r>
        <w:rPr>
          <w:spacing w:val="-5"/>
        </w:rPr>
        <w:t> </w:t>
      </w:r>
      <w:r>
        <w:rPr/>
        <w:t>anger</w:t>
      </w:r>
      <w:r>
        <w:rPr>
          <w:spacing w:val="-5"/>
        </w:rPr>
        <w:t> </w:t>
      </w:r>
      <w:r>
        <w:rPr/>
        <w:t>within</w:t>
      </w:r>
      <w:r>
        <w:rPr>
          <w:spacing w:val="-8"/>
        </w:rPr>
        <w:t> </w:t>
      </w:r>
      <w:r>
        <w:rPr/>
        <w:t>socially</w:t>
      </w:r>
      <w:r>
        <w:rPr>
          <w:spacing w:val="-8"/>
        </w:rPr>
        <w:t> </w:t>
      </w:r>
      <w:r>
        <w:rPr/>
        <w:t>acceptable</w:t>
      </w:r>
      <w:r>
        <w:rPr>
          <w:spacing w:val="-6"/>
        </w:rPr>
        <w:t> </w:t>
      </w:r>
      <w:r>
        <w:rPr/>
        <w:t>frameworks leads to their displacement into fragmented language and symbolic action.</w:t>
      </w:r>
      <w:r>
        <w:rPr>
          <w:spacing w:val="-13"/>
        </w:rPr>
        <w:t> </w:t>
      </w:r>
      <w:r>
        <w:rPr/>
        <w:t>This</w:t>
      </w:r>
      <w:r>
        <w:rPr>
          <w:spacing w:val="-12"/>
        </w:rPr>
        <w:t> </w:t>
      </w:r>
      <w:r>
        <w:rPr/>
        <w:t>aligns</w:t>
      </w:r>
      <w:r>
        <w:rPr>
          <w:spacing w:val="-13"/>
        </w:rPr>
        <w:t> </w:t>
      </w:r>
      <w:r>
        <w:rPr/>
        <w:t>with</w:t>
      </w:r>
      <w:r>
        <w:rPr>
          <w:spacing w:val="-12"/>
        </w:rPr>
        <w:t> </w:t>
      </w:r>
      <w:r>
        <w:rPr/>
        <w:t>Freudian</w:t>
      </w:r>
      <w:r>
        <w:rPr>
          <w:spacing w:val="-13"/>
        </w:rPr>
        <w:t> </w:t>
      </w:r>
      <w:r>
        <w:rPr/>
        <w:t>theory,</w:t>
      </w:r>
      <w:r>
        <w:rPr>
          <w:spacing w:val="-12"/>
        </w:rPr>
        <w:t> </w:t>
      </w:r>
      <w:r>
        <w:rPr/>
        <w:t>where</w:t>
      </w:r>
      <w:r>
        <w:rPr>
          <w:spacing w:val="-13"/>
        </w:rPr>
        <w:t> </w:t>
      </w:r>
      <w:r>
        <w:rPr/>
        <w:t>repressed</w:t>
      </w:r>
      <w:r>
        <w:rPr>
          <w:spacing w:val="-12"/>
        </w:rPr>
        <w:t> </w:t>
      </w:r>
      <w:r>
        <w:rPr/>
        <w:t>content</w:t>
      </w:r>
      <w:r>
        <w:rPr>
          <w:spacing w:val="-13"/>
        </w:rPr>
        <w:t> </w:t>
      </w:r>
      <w:r>
        <w:rPr/>
        <w:t>returns in disguised forms (Freud 115).</w:t>
      </w:r>
    </w:p>
    <w:p>
      <w:pPr>
        <w:pStyle w:val="BodyText"/>
        <w:spacing w:line="249" w:lineRule="auto" w:before="65"/>
        <w:ind w:right="1441" w:firstLine="432"/>
        <w:jc w:val="both"/>
      </w:pPr>
      <w:r>
        <w:rPr/>
        <w:t>Ophelia’s death further complicates her psychological narrative. Often interpreted as suicide, her drowning represents both a literal and symbolic dissolution of identity. Water, traditionally associated with </w:t>
      </w:r>
      <w:r>
        <w:rPr>
          <w:spacing w:val="-2"/>
        </w:rPr>
        <w:t>femininity</w:t>
      </w:r>
      <w:r>
        <w:rPr>
          <w:spacing w:val="-11"/>
        </w:rPr>
        <w:t> </w:t>
      </w:r>
      <w:r>
        <w:rPr>
          <w:spacing w:val="-2"/>
        </w:rPr>
        <w:t>and</w:t>
      </w:r>
      <w:r>
        <w:rPr>
          <w:spacing w:val="-10"/>
        </w:rPr>
        <w:t> </w:t>
      </w:r>
      <w:r>
        <w:rPr>
          <w:spacing w:val="-2"/>
        </w:rPr>
        <w:t>fluidity,</w:t>
      </w:r>
      <w:r>
        <w:rPr>
          <w:spacing w:val="-10"/>
        </w:rPr>
        <w:t> </w:t>
      </w:r>
      <w:r>
        <w:rPr>
          <w:spacing w:val="-2"/>
        </w:rPr>
        <w:t>becomes</w:t>
      </w:r>
      <w:r>
        <w:rPr>
          <w:spacing w:val="-10"/>
        </w:rPr>
        <w:t> </w:t>
      </w:r>
      <w:r>
        <w:rPr>
          <w:spacing w:val="-2"/>
        </w:rPr>
        <w:t>a</w:t>
      </w:r>
      <w:r>
        <w:rPr>
          <w:spacing w:val="-11"/>
        </w:rPr>
        <w:t> </w:t>
      </w:r>
      <w:r>
        <w:rPr>
          <w:spacing w:val="-2"/>
        </w:rPr>
        <w:t>medium</w:t>
      </w:r>
      <w:r>
        <w:rPr>
          <w:spacing w:val="-10"/>
        </w:rPr>
        <w:t> </w:t>
      </w:r>
      <w:r>
        <w:rPr>
          <w:spacing w:val="-2"/>
        </w:rPr>
        <w:t>through</w:t>
      </w:r>
      <w:r>
        <w:rPr>
          <w:spacing w:val="-11"/>
        </w:rPr>
        <w:t> </w:t>
      </w:r>
      <w:r>
        <w:rPr>
          <w:spacing w:val="-2"/>
        </w:rPr>
        <w:t>which</w:t>
      </w:r>
      <w:r>
        <w:rPr>
          <w:spacing w:val="-10"/>
        </w:rPr>
        <w:t> </w:t>
      </w:r>
      <w:r>
        <w:rPr>
          <w:spacing w:val="-2"/>
        </w:rPr>
        <w:t>her</w:t>
      </w:r>
      <w:r>
        <w:rPr>
          <w:spacing w:val="-9"/>
        </w:rPr>
        <w:t> </w:t>
      </w:r>
      <w:r>
        <w:rPr>
          <w:spacing w:val="-2"/>
        </w:rPr>
        <w:t>fragmented </w:t>
      </w:r>
      <w:r>
        <w:rPr/>
        <w:t>self is absorbed into nature. Her death, while tragic, also signifies the ultimate</w:t>
      </w:r>
      <w:r>
        <w:rPr>
          <w:spacing w:val="40"/>
        </w:rPr>
        <w:t> </w:t>
      </w:r>
      <w:r>
        <w:rPr/>
        <w:t>consequence</w:t>
      </w:r>
      <w:r>
        <w:rPr>
          <w:spacing w:val="40"/>
        </w:rPr>
        <w:t> </w:t>
      </w:r>
      <w:r>
        <w:rPr/>
        <w:t>of</w:t>
      </w:r>
      <w:r>
        <w:rPr>
          <w:spacing w:val="40"/>
        </w:rPr>
        <w:t> </w:t>
      </w:r>
      <w:r>
        <w:rPr/>
        <w:t>a</w:t>
      </w:r>
      <w:r>
        <w:rPr>
          <w:spacing w:val="40"/>
        </w:rPr>
        <w:t> </w:t>
      </w:r>
      <w:r>
        <w:rPr/>
        <w:t>life</w:t>
      </w:r>
      <w:r>
        <w:rPr>
          <w:spacing w:val="40"/>
        </w:rPr>
        <w:t> </w:t>
      </w:r>
      <w:r>
        <w:rPr/>
        <w:t>constrained</w:t>
      </w:r>
      <w:r>
        <w:rPr>
          <w:spacing w:val="40"/>
        </w:rPr>
        <w:t> </w:t>
      </w:r>
      <w:r>
        <w:rPr/>
        <w:t>by</w:t>
      </w:r>
      <w:r>
        <w:rPr>
          <w:spacing w:val="40"/>
        </w:rPr>
        <w:t> </w:t>
      </w:r>
      <w:r>
        <w:rPr/>
        <w:t>silence</w:t>
      </w:r>
      <w:r>
        <w:rPr>
          <w:spacing w:val="40"/>
        </w:rPr>
        <w:t> </w:t>
      </w:r>
      <w:r>
        <w:rPr/>
        <w:t>and</w:t>
      </w:r>
      <w:r>
        <w:rPr>
          <w:spacing w:val="40"/>
        </w:rPr>
        <w:t> </w:t>
      </w:r>
      <w:r>
        <w:rPr/>
        <w:t>control.</w:t>
      </w:r>
    </w:p>
    <w:p>
      <w:pPr>
        <w:pStyle w:val="BodyText"/>
        <w:spacing w:line="249" w:lineRule="auto" w:before="62"/>
        <w:ind w:right="1436" w:firstLine="432"/>
        <w:jc w:val="both"/>
      </w:pPr>
      <w:r>
        <w:rPr/>
        <w:t>Importantly, Ophelia’s madness must be understood within its cultural context. In early modern England, female madness was often aestheticized, viewed</w:t>
      </w:r>
      <w:r>
        <w:rPr>
          <w:spacing w:val="-2"/>
        </w:rPr>
        <w:t> </w:t>
      </w:r>
      <w:r>
        <w:rPr/>
        <w:t>as</w:t>
      </w:r>
      <w:r>
        <w:rPr>
          <w:spacing w:val="-2"/>
        </w:rPr>
        <w:t> </w:t>
      </w:r>
      <w:r>
        <w:rPr/>
        <w:t>both</w:t>
      </w:r>
      <w:r>
        <w:rPr>
          <w:spacing w:val="-3"/>
        </w:rPr>
        <w:t> </w:t>
      </w:r>
      <w:r>
        <w:rPr/>
        <w:t>tragic</w:t>
      </w:r>
      <w:r>
        <w:rPr>
          <w:spacing w:val="-1"/>
        </w:rPr>
        <w:t> </w:t>
      </w:r>
      <w:r>
        <w:rPr/>
        <w:t>and poetic.</w:t>
      </w:r>
      <w:r>
        <w:rPr>
          <w:spacing w:val="-2"/>
        </w:rPr>
        <w:t> </w:t>
      </w:r>
      <w:r>
        <w:rPr/>
        <w:t>Shakespeare’s</w:t>
      </w:r>
      <w:r>
        <w:rPr>
          <w:spacing w:val="-2"/>
        </w:rPr>
        <w:t> </w:t>
      </w:r>
      <w:r>
        <w:rPr/>
        <w:t>portrayal engages with this tradition while also exposing its underlying assumptions. By presenting Ophelia’s mental breakdown as a response to social conditions, the play implicitly critiques the structures that produce</w:t>
      </w:r>
      <w:r>
        <w:rPr>
          <w:spacing w:val="40"/>
        </w:rPr>
        <w:t> </w:t>
      </w:r>
      <w:r>
        <w:rPr/>
        <w:t>such</w:t>
      </w:r>
      <w:r>
        <w:rPr>
          <w:spacing w:val="40"/>
        </w:rPr>
        <w:t> </w:t>
      </w:r>
      <w:r>
        <w:rPr/>
        <w:t>suffering.</w:t>
      </w:r>
    </w:p>
    <w:p>
      <w:pPr>
        <w:pStyle w:val="ListParagraph"/>
        <w:numPr>
          <w:ilvl w:val="0"/>
          <w:numId w:val="82"/>
        </w:numPr>
        <w:tabs>
          <w:tab w:pos="1686" w:val="left" w:leader="none"/>
        </w:tabs>
        <w:spacing w:line="235" w:lineRule="auto" w:before="107" w:after="0"/>
        <w:ind w:left="1440" w:right="1443" w:firstLine="0"/>
        <w:jc w:val="left"/>
        <w:rPr>
          <w:rFonts w:ascii="Tahoma"/>
          <w:b/>
          <w:sz w:val="22"/>
        </w:rPr>
      </w:pPr>
      <w:r>
        <w:rPr>
          <w:rFonts w:ascii="Cambria"/>
          <w:b/>
          <w:i/>
          <w:sz w:val="22"/>
        </w:rPr>
        <w:t>Lady</w:t>
      </w:r>
      <w:r>
        <w:rPr>
          <w:rFonts w:ascii="Cambria"/>
          <w:b/>
          <w:i/>
          <w:spacing w:val="-10"/>
          <w:sz w:val="22"/>
        </w:rPr>
        <w:t> </w:t>
      </w:r>
      <w:r>
        <w:rPr>
          <w:rFonts w:ascii="Cambria"/>
          <w:b/>
          <w:i/>
          <w:sz w:val="22"/>
        </w:rPr>
        <w:t>Macbeth:</w:t>
      </w:r>
      <w:r>
        <w:rPr>
          <w:rFonts w:ascii="Cambria"/>
          <w:b/>
          <w:i/>
          <w:spacing w:val="-9"/>
          <w:sz w:val="22"/>
        </w:rPr>
        <w:t> </w:t>
      </w:r>
      <w:r>
        <w:rPr>
          <w:rFonts w:ascii="Tahoma"/>
          <w:b/>
          <w:sz w:val="22"/>
        </w:rPr>
        <w:t>Ambition,</w:t>
      </w:r>
      <w:r>
        <w:rPr>
          <w:rFonts w:ascii="Tahoma"/>
          <w:b/>
          <w:spacing w:val="-16"/>
          <w:sz w:val="22"/>
        </w:rPr>
        <w:t> </w:t>
      </w:r>
      <w:r>
        <w:rPr>
          <w:rFonts w:ascii="Tahoma"/>
          <w:b/>
          <w:sz w:val="22"/>
        </w:rPr>
        <w:t>Repression</w:t>
      </w:r>
      <w:r>
        <w:rPr>
          <w:rFonts w:ascii="Tahoma"/>
          <w:b/>
          <w:spacing w:val="-16"/>
          <w:sz w:val="22"/>
        </w:rPr>
        <w:t> </w:t>
      </w:r>
      <w:r>
        <w:rPr>
          <w:rFonts w:ascii="Tahoma"/>
          <w:b/>
          <w:sz w:val="22"/>
        </w:rPr>
        <w:t>and</w:t>
      </w:r>
      <w:r>
        <w:rPr>
          <w:rFonts w:ascii="Tahoma"/>
          <w:b/>
          <w:spacing w:val="-16"/>
          <w:sz w:val="22"/>
        </w:rPr>
        <w:t> </w:t>
      </w:r>
      <w:r>
        <w:rPr>
          <w:rFonts w:ascii="Tahoma"/>
          <w:b/>
          <w:sz w:val="22"/>
        </w:rPr>
        <w:t>the</w:t>
      </w:r>
      <w:r>
        <w:rPr>
          <w:rFonts w:ascii="Tahoma"/>
          <w:b/>
          <w:spacing w:val="-16"/>
          <w:sz w:val="22"/>
        </w:rPr>
        <w:t> </w:t>
      </w:r>
      <w:r>
        <w:rPr>
          <w:rFonts w:ascii="Tahoma"/>
          <w:b/>
          <w:sz w:val="22"/>
        </w:rPr>
        <w:t>Return of</w:t>
      </w:r>
      <w:r>
        <w:rPr>
          <w:rFonts w:ascii="Tahoma"/>
          <w:b/>
          <w:spacing w:val="40"/>
          <w:sz w:val="22"/>
        </w:rPr>
        <w:t> </w:t>
      </w:r>
      <w:r>
        <w:rPr>
          <w:rFonts w:ascii="Tahoma"/>
          <w:b/>
          <w:sz w:val="22"/>
        </w:rPr>
        <w:t>the</w:t>
      </w:r>
      <w:r>
        <w:rPr>
          <w:rFonts w:ascii="Tahoma"/>
          <w:b/>
          <w:spacing w:val="40"/>
          <w:sz w:val="22"/>
        </w:rPr>
        <w:t> </w:t>
      </w:r>
      <w:r>
        <w:rPr>
          <w:rFonts w:ascii="Tahoma"/>
          <w:b/>
          <w:sz w:val="22"/>
        </w:rPr>
        <w:t>Unconscious</w:t>
      </w:r>
    </w:p>
    <w:p>
      <w:pPr>
        <w:pStyle w:val="BodyText"/>
        <w:spacing w:line="249" w:lineRule="auto" w:before="76"/>
        <w:ind w:right="1440" w:firstLine="432"/>
        <w:jc w:val="both"/>
      </w:pPr>
      <w:r>
        <w:rPr/>
        <w:t>Lady Macbeth’s psychological development in Macbeth presents</w:t>
      </w:r>
      <w:r>
        <w:rPr>
          <w:spacing w:val="40"/>
        </w:rPr>
        <w:t> </w:t>
      </w:r>
      <w:r>
        <w:rPr/>
        <w:t>a</w:t>
      </w:r>
      <w:r>
        <w:rPr>
          <w:spacing w:val="-13"/>
        </w:rPr>
        <w:t> </w:t>
      </w:r>
      <w:r>
        <w:rPr/>
        <w:t>striking</w:t>
      </w:r>
      <w:r>
        <w:rPr>
          <w:spacing w:val="-12"/>
        </w:rPr>
        <w:t> </w:t>
      </w:r>
      <w:r>
        <w:rPr/>
        <w:t>contrast</w:t>
      </w:r>
      <w:r>
        <w:rPr>
          <w:spacing w:val="-13"/>
        </w:rPr>
        <w:t> </w:t>
      </w:r>
      <w:r>
        <w:rPr/>
        <w:t>to</w:t>
      </w:r>
      <w:r>
        <w:rPr>
          <w:spacing w:val="-12"/>
        </w:rPr>
        <w:t> </w:t>
      </w:r>
      <w:r>
        <w:rPr/>
        <w:t>Ophelia’s</w:t>
      </w:r>
      <w:r>
        <w:rPr>
          <w:spacing w:val="-13"/>
        </w:rPr>
        <w:t> </w:t>
      </w:r>
      <w:r>
        <w:rPr/>
        <w:t>trajectory.</w:t>
      </w:r>
      <w:r>
        <w:rPr>
          <w:spacing w:val="-12"/>
        </w:rPr>
        <w:t> </w:t>
      </w:r>
      <w:r>
        <w:rPr/>
        <w:t>While</w:t>
      </w:r>
      <w:r>
        <w:rPr>
          <w:spacing w:val="-13"/>
        </w:rPr>
        <w:t> </w:t>
      </w:r>
      <w:r>
        <w:rPr/>
        <w:t>Ophelia</w:t>
      </w:r>
      <w:r>
        <w:rPr>
          <w:spacing w:val="-12"/>
        </w:rPr>
        <w:t> </w:t>
      </w:r>
      <w:r>
        <w:rPr/>
        <w:t>is</w:t>
      </w:r>
      <w:r>
        <w:rPr>
          <w:spacing w:val="-13"/>
        </w:rPr>
        <w:t> </w:t>
      </w:r>
      <w:r>
        <w:rPr/>
        <w:t>characterized by</w:t>
      </w:r>
      <w:r>
        <w:rPr>
          <w:spacing w:val="-13"/>
        </w:rPr>
        <w:t> </w:t>
      </w:r>
      <w:r>
        <w:rPr/>
        <w:t>passivity</w:t>
      </w:r>
      <w:r>
        <w:rPr>
          <w:spacing w:val="-12"/>
        </w:rPr>
        <w:t> </w:t>
      </w:r>
      <w:r>
        <w:rPr/>
        <w:t>and</w:t>
      </w:r>
      <w:r>
        <w:rPr>
          <w:spacing w:val="-13"/>
        </w:rPr>
        <w:t> </w:t>
      </w:r>
      <w:r>
        <w:rPr/>
        <w:t>emotional</w:t>
      </w:r>
      <w:r>
        <w:rPr>
          <w:spacing w:val="-12"/>
        </w:rPr>
        <w:t> </w:t>
      </w:r>
      <w:r>
        <w:rPr/>
        <w:t>vulnerability,</w:t>
      </w:r>
      <w:r>
        <w:rPr>
          <w:spacing w:val="-9"/>
        </w:rPr>
        <w:t> </w:t>
      </w:r>
      <w:r>
        <w:rPr/>
        <w:t>Lady</w:t>
      </w:r>
      <w:r>
        <w:rPr>
          <w:spacing w:val="-13"/>
        </w:rPr>
        <w:t> </w:t>
      </w:r>
      <w:r>
        <w:rPr/>
        <w:t>Macbeth</w:t>
      </w:r>
      <w:r>
        <w:rPr>
          <w:spacing w:val="-12"/>
        </w:rPr>
        <w:t> </w:t>
      </w:r>
      <w:r>
        <w:rPr/>
        <w:t>initially</w:t>
      </w:r>
      <w:r>
        <w:rPr>
          <w:spacing w:val="-13"/>
        </w:rPr>
        <w:t> </w:t>
      </w:r>
      <w:r>
        <w:rPr/>
        <w:t>appears </w:t>
      </w:r>
      <w:r>
        <w:rPr>
          <w:spacing w:val="-4"/>
        </w:rPr>
        <w:t>as</w:t>
      </w:r>
      <w:r>
        <w:rPr>
          <w:spacing w:val="-5"/>
        </w:rPr>
        <w:t> </w:t>
      </w:r>
      <w:r>
        <w:rPr>
          <w:spacing w:val="-4"/>
        </w:rPr>
        <w:t>a</w:t>
      </w:r>
      <w:r>
        <w:rPr>
          <w:spacing w:val="-5"/>
        </w:rPr>
        <w:t> </w:t>
      </w:r>
      <w:r>
        <w:rPr>
          <w:spacing w:val="-4"/>
        </w:rPr>
        <w:t>figure</w:t>
      </w:r>
      <w:r>
        <w:rPr>
          <w:spacing w:val="-5"/>
        </w:rPr>
        <w:t> </w:t>
      </w:r>
      <w:r>
        <w:rPr>
          <w:spacing w:val="-4"/>
        </w:rPr>
        <w:t>of</w:t>
      </w:r>
      <w:r>
        <w:rPr>
          <w:spacing w:val="-8"/>
        </w:rPr>
        <w:t> </w:t>
      </w:r>
      <w:r>
        <w:rPr>
          <w:spacing w:val="-4"/>
        </w:rPr>
        <w:t>power</w:t>
      </w:r>
      <w:r>
        <w:rPr>
          <w:spacing w:val="-5"/>
        </w:rPr>
        <w:t> </w:t>
      </w:r>
      <w:r>
        <w:rPr>
          <w:spacing w:val="-4"/>
        </w:rPr>
        <w:t>and</w:t>
      </w:r>
      <w:r>
        <w:rPr>
          <w:spacing w:val="-8"/>
        </w:rPr>
        <w:t> </w:t>
      </w:r>
      <w:r>
        <w:rPr>
          <w:spacing w:val="-4"/>
        </w:rPr>
        <w:t>control.</w:t>
      </w:r>
      <w:r>
        <w:rPr>
          <w:spacing w:val="-5"/>
        </w:rPr>
        <w:t> </w:t>
      </w:r>
      <w:r>
        <w:rPr>
          <w:spacing w:val="-4"/>
        </w:rPr>
        <w:t>Her ambition</w:t>
      </w:r>
      <w:r>
        <w:rPr>
          <w:spacing w:val="-8"/>
        </w:rPr>
        <w:t> </w:t>
      </w:r>
      <w:r>
        <w:rPr>
          <w:spacing w:val="-4"/>
        </w:rPr>
        <w:t>and</w:t>
      </w:r>
      <w:r>
        <w:rPr>
          <w:spacing w:val="-8"/>
        </w:rPr>
        <w:t> </w:t>
      </w:r>
      <w:r>
        <w:rPr>
          <w:spacing w:val="-4"/>
        </w:rPr>
        <w:t>determination</w:t>
      </w:r>
      <w:r>
        <w:rPr>
          <w:spacing w:val="-5"/>
        </w:rPr>
        <w:t> </w:t>
      </w:r>
      <w:r>
        <w:rPr>
          <w:spacing w:val="-4"/>
        </w:rPr>
        <w:t>challenge </w:t>
      </w:r>
      <w:r>
        <w:rPr/>
        <w:t>conventional gender roles, positioning her as an active participant in</w:t>
      </w:r>
      <w:r>
        <w:rPr>
          <w:spacing w:val="80"/>
        </w:rPr>
        <w:t> </w:t>
      </w:r>
      <w:r>
        <w:rPr/>
        <w:t>the</w:t>
      </w:r>
      <w:r>
        <w:rPr>
          <w:spacing w:val="40"/>
        </w:rPr>
        <w:t> </w:t>
      </w:r>
      <w:r>
        <w:rPr/>
        <w:t>pursuit</w:t>
      </w:r>
      <w:r>
        <w:rPr>
          <w:spacing w:val="40"/>
        </w:rPr>
        <w:t> </w:t>
      </w:r>
      <w:r>
        <w:rPr/>
        <w:t>of</w:t>
      </w:r>
      <w:r>
        <w:rPr>
          <w:spacing w:val="40"/>
        </w:rPr>
        <w:t> </w:t>
      </w:r>
      <w:r>
        <w:rPr/>
        <w:t>power.</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83776">
                <wp:simplePos x="0" y="0"/>
                <wp:positionH relativeFrom="page">
                  <wp:posOffset>2057400</wp:posOffset>
                </wp:positionH>
                <wp:positionV relativeFrom="paragraph">
                  <wp:posOffset>162604</wp:posOffset>
                </wp:positionV>
                <wp:extent cx="3657600" cy="12700"/>
                <wp:effectExtent l="0" t="0" r="0" b="0"/>
                <wp:wrapTopAndBottom/>
                <wp:docPr id="791" name="Graphic 791"/>
                <wp:cNvGraphicFramePr>
                  <a:graphicFrameLocks/>
                </wp:cNvGraphicFramePr>
                <a:graphic>
                  <a:graphicData uri="http://schemas.microsoft.com/office/word/2010/wordprocessingShape">
                    <wps:wsp>
                      <wps:cNvPr id="791" name="Graphic 79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32704;mso-wrap-distance-left:0;mso-wrap-distance-right:0" id="docshape783" filled="true" fillcolor="#000000" stroked="false">
                <v:fill type="solid"/>
                <w10:wrap type="topAndBottom"/>
              </v:rect>
            </w:pict>
          </mc:Fallback>
        </mc:AlternateContent>
      </w:r>
      <w:r>
        <w:rPr>
          <w:rFonts w:ascii="Verdana"/>
          <w:spacing w:val="-5"/>
          <w:sz w:val="18"/>
        </w:rPr>
        <w:t>404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firstLine="432"/>
      </w:pPr>
      <w:r>
        <w:rPr/>
        <w:t>Her</w:t>
      </w:r>
      <w:r>
        <w:rPr>
          <w:spacing w:val="-1"/>
        </w:rPr>
        <w:t> </w:t>
      </w:r>
      <w:r>
        <w:rPr/>
        <w:t>invocation</w:t>
      </w:r>
      <w:r>
        <w:rPr>
          <w:spacing w:val="-3"/>
        </w:rPr>
        <w:t> </w:t>
      </w:r>
      <w:r>
        <w:rPr/>
        <w:t>of</w:t>
      </w:r>
      <w:r>
        <w:rPr>
          <w:spacing w:val="-1"/>
        </w:rPr>
        <w:t> </w:t>
      </w:r>
      <w:r>
        <w:rPr/>
        <w:t>supernatural</w:t>
      </w:r>
      <w:r>
        <w:rPr>
          <w:spacing w:val="-3"/>
        </w:rPr>
        <w:t> </w:t>
      </w:r>
      <w:r>
        <w:rPr/>
        <w:t>forces</w:t>
      </w:r>
      <w:r>
        <w:rPr>
          <w:spacing w:val="-3"/>
        </w:rPr>
        <w:t> </w:t>
      </w:r>
      <w:r>
        <w:rPr/>
        <w:t>reveals</w:t>
      </w:r>
      <w:r>
        <w:rPr>
          <w:spacing w:val="-1"/>
        </w:rPr>
        <w:t> </w:t>
      </w:r>
      <w:r>
        <w:rPr/>
        <w:t>a desire to transcend the limitations of femininity:</w:t>
      </w:r>
    </w:p>
    <w:p>
      <w:pPr>
        <w:spacing w:before="59"/>
        <w:ind w:left="2160" w:right="0" w:firstLine="0"/>
        <w:jc w:val="left"/>
        <w:rPr>
          <w:i/>
          <w:sz w:val="20"/>
        </w:rPr>
      </w:pPr>
      <w:r>
        <w:rPr>
          <w:i/>
          <w:sz w:val="20"/>
        </w:rPr>
        <w:t>“Come,</w:t>
      </w:r>
      <w:r>
        <w:rPr>
          <w:i/>
          <w:spacing w:val="24"/>
          <w:sz w:val="20"/>
        </w:rPr>
        <w:t> </w:t>
      </w:r>
      <w:r>
        <w:rPr>
          <w:i/>
          <w:sz w:val="20"/>
        </w:rPr>
        <w:t>you</w:t>
      </w:r>
      <w:r>
        <w:rPr>
          <w:i/>
          <w:spacing w:val="27"/>
          <w:sz w:val="20"/>
        </w:rPr>
        <w:t> </w:t>
      </w:r>
      <w:r>
        <w:rPr>
          <w:i/>
          <w:spacing w:val="-2"/>
          <w:sz w:val="20"/>
        </w:rPr>
        <w:t>spirits</w:t>
      </w:r>
    </w:p>
    <w:p>
      <w:pPr>
        <w:pStyle w:val="BodyText"/>
        <w:spacing w:before="68"/>
        <w:ind w:left="2160"/>
      </w:pPr>
      <w:r>
        <w:rPr/>
        <w:t>That</w:t>
      </w:r>
      <w:r>
        <w:rPr>
          <w:spacing w:val="61"/>
          <w:w w:val="150"/>
        </w:rPr>
        <w:t> </w:t>
      </w:r>
      <w:r>
        <w:rPr/>
        <w:t>tend</w:t>
      </w:r>
      <w:r>
        <w:rPr>
          <w:spacing w:val="61"/>
          <w:w w:val="150"/>
        </w:rPr>
        <w:t> </w:t>
      </w:r>
      <w:r>
        <w:rPr/>
        <w:t>on</w:t>
      </w:r>
      <w:r>
        <w:rPr>
          <w:spacing w:val="61"/>
          <w:w w:val="150"/>
        </w:rPr>
        <w:t> </w:t>
      </w:r>
      <w:r>
        <w:rPr/>
        <w:t>mortal</w:t>
      </w:r>
      <w:r>
        <w:rPr>
          <w:spacing w:val="58"/>
          <w:w w:val="150"/>
        </w:rPr>
        <w:t> </w:t>
      </w:r>
      <w:r>
        <w:rPr/>
        <w:t>thoughts,</w:t>
      </w:r>
      <w:r>
        <w:rPr>
          <w:spacing w:val="59"/>
          <w:w w:val="150"/>
        </w:rPr>
        <w:t> </w:t>
      </w:r>
      <w:r>
        <w:rPr/>
        <w:t>unsex</w:t>
      </w:r>
      <w:r>
        <w:rPr>
          <w:spacing w:val="59"/>
          <w:w w:val="150"/>
        </w:rPr>
        <w:t> </w:t>
      </w:r>
      <w:r>
        <w:rPr/>
        <w:t>me</w:t>
      </w:r>
      <w:r>
        <w:rPr>
          <w:spacing w:val="62"/>
          <w:w w:val="150"/>
        </w:rPr>
        <w:t> </w:t>
      </w:r>
      <w:r>
        <w:rPr>
          <w:spacing w:val="-4"/>
        </w:rPr>
        <w:t>here”</w:t>
      </w:r>
    </w:p>
    <w:p>
      <w:pPr>
        <w:spacing w:before="10"/>
        <w:ind w:left="2160" w:right="0" w:firstLine="0"/>
        <w:jc w:val="left"/>
        <w:rPr>
          <w:i/>
          <w:sz w:val="20"/>
        </w:rPr>
      </w:pPr>
      <w:r>
        <w:rPr>
          <w:i/>
          <w:sz w:val="20"/>
        </w:rPr>
        <w:t>(Macbeth</w:t>
      </w:r>
      <w:r>
        <w:rPr>
          <w:i/>
          <w:spacing w:val="60"/>
          <w:sz w:val="20"/>
        </w:rPr>
        <w:t> </w:t>
      </w:r>
      <w:r>
        <w:rPr>
          <w:i/>
          <w:sz w:val="20"/>
        </w:rPr>
        <w:t>1.5.39–</w:t>
      </w:r>
      <w:r>
        <w:rPr>
          <w:i/>
          <w:spacing w:val="-4"/>
          <w:sz w:val="20"/>
        </w:rPr>
        <w:t>40).</w:t>
      </w:r>
    </w:p>
    <w:p>
      <w:pPr>
        <w:pStyle w:val="BodyText"/>
        <w:spacing w:line="261" w:lineRule="auto" w:before="75"/>
        <w:ind w:right="1438" w:firstLine="432"/>
        <w:jc w:val="both"/>
      </w:pPr>
      <w:r>
        <w:rPr/>
        <w:t>This</w:t>
      </w:r>
      <w:r>
        <w:rPr>
          <w:spacing w:val="-13"/>
        </w:rPr>
        <w:t> </w:t>
      </w:r>
      <w:r>
        <w:rPr/>
        <w:t>appeal</w:t>
      </w:r>
      <w:r>
        <w:rPr>
          <w:spacing w:val="-12"/>
        </w:rPr>
        <w:t> </w:t>
      </w:r>
      <w:r>
        <w:rPr/>
        <w:t>signifies</w:t>
      </w:r>
      <w:r>
        <w:rPr>
          <w:spacing w:val="-12"/>
        </w:rPr>
        <w:t> </w:t>
      </w:r>
      <w:r>
        <w:rPr/>
        <w:t>a</w:t>
      </w:r>
      <w:r>
        <w:rPr>
          <w:spacing w:val="-12"/>
        </w:rPr>
        <w:t> </w:t>
      </w:r>
      <w:r>
        <w:rPr/>
        <w:t>rejection</w:t>
      </w:r>
      <w:r>
        <w:rPr>
          <w:spacing w:val="-12"/>
        </w:rPr>
        <w:t> </w:t>
      </w:r>
      <w:r>
        <w:rPr/>
        <w:t>of</w:t>
      </w:r>
      <w:r>
        <w:rPr>
          <w:spacing w:val="-12"/>
        </w:rPr>
        <w:t> </w:t>
      </w:r>
      <w:r>
        <w:rPr/>
        <w:t>qualities</w:t>
      </w:r>
      <w:r>
        <w:rPr>
          <w:spacing w:val="-13"/>
        </w:rPr>
        <w:t> </w:t>
      </w:r>
      <w:r>
        <w:rPr/>
        <w:t>traditionally</w:t>
      </w:r>
      <w:r>
        <w:rPr>
          <w:spacing w:val="-12"/>
        </w:rPr>
        <w:t> </w:t>
      </w:r>
      <w:r>
        <w:rPr/>
        <w:t>associated with women, such as compassion and nurturing. By seeking</w:t>
      </w:r>
      <w:r>
        <w:rPr>
          <w:spacing w:val="-1"/>
        </w:rPr>
        <w:t> </w:t>
      </w:r>
      <w:r>
        <w:rPr/>
        <w:t>to “unsex” herself, Lady Macbeth attempts to align with attributes of power, decisiveness and cruelty, which are culturally coded as masculine. However, this rejection of emotional capacity is inherently unstable. While she initially suppresses her moral response to Duncan’s murder, the psychological consequences of this repression gradually surface. Her famous declaration—</w:t>
      </w:r>
    </w:p>
    <w:p>
      <w:pPr>
        <w:spacing w:before="54"/>
        <w:ind w:left="2160" w:right="0" w:firstLine="0"/>
        <w:jc w:val="both"/>
        <w:rPr>
          <w:i/>
          <w:sz w:val="20"/>
        </w:rPr>
      </w:pPr>
      <w:r>
        <w:rPr>
          <w:sz w:val="20"/>
        </w:rPr>
        <w:t>“A</w:t>
      </w:r>
      <w:r>
        <w:rPr>
          <w:spacing w:val="-13"/>
          <w:sz w:val="20"/>
        </w:rPr>
        <w:t> </w:t>
      </w:r>
      <w:r>
        <w:rPr>
          <w:sz w:val="20"/>
        </w:rPr>
        <w:t>little</w:t>
      </w:r>
      <w:r>
        <w:rPr>
          <w:spacing w:val="-12"/>
          <w:sz w:val="20"/>
        </w:rPr>
        <w:t> </w:t>
      </w:r>
      <w:r>
        <w:rPr>
          <w:sz w:val="20"/>
        </w:rPr>
        <w:t>water</w:t>
      </w:r>
      <w:r>
        <w:rPr>
          <w:spacing w:val="-9"/>
          <w:sz w:val="20"/>
        </w:rPr>
        <w:t> </w:t>
      </w:r>
      <w:r>
        <w:rPr>
          <w:sz w:val="20"/>
        </w:rPr>
        <w:t>clears</w:t>
      </w:r>
      <w:r>
        <w:rPr>
          <w:spacing w:val="-13"/>
          <w:sz w:val="20"/>
        </w:rPr>
        <w:t> </w:t>
      </w:r>
      <w:r>
        <w:rPr>
          <w:sz w:val="20"/>
        </w:rPr>
        <w:t>us</w:t>
      </w:r>
      <w:r>
        <w:rPr>
          <w:spacing w:val="-12"/>
          <w:sz w:val="20"/>
        </w:rPr>
        <w:t> </w:t>
      </w:r>
      <w:r>
        <w:rPr>
          <w:sz w:val="20"/>
        </w:rPr>
        <w:t>of</w:t>
      </w:r>
      <w:r>
        <w:rPr>
          <w:spacing w:val="-13"/>
          <w:sz w:val="20"/>
        </w:rPr>
        <w:t> </w:t>
      </w:r>
      <w:r>
        <w:rPr>
          <w:sz w:val="20"/>
        </w:rPr>
        <w:t>this</w:t>
      </w:r>
      <w:r>
        <w:rPr>
          <w:spacing w:val="-9"/>
          <w:sz w:val="20"/>
        </w:rPr>
        <w:t> </w:t>
      </w:r>
      <w:r>
        <w:rPr>
          <w:sz w:val="20"/>
        </w:rPr>
        <w:t>deed”</w:t>
      </w:r>
      <w:r>
        <w:rPr>
          <w:spacing w:val="-9"/>
          <w:sz w:val="20"/>
        </w:rPr>
        <w:t> </w:t>
      </w:r>
      <w:r>
        <w:rPr>
          <w:i/>
          <w:sz w:val="20"/>
        </w:rPr>
        <w:t>(Macbeth</w:t>
      </w:r>
      <w:r>
        <w:rPr>
          <w:i/>
          <w:spacing w:val="-11"/>
          <w:sz w:val="20"/>
        </w:rPr>
        <w:t> </w:t>
      </w:r>
      <w:r>
        <w:rPr>
          <w:i/>
          <w:spacing w:val="-2"/>
          <w:sz w:val="20"/>
        </w:rPr>
        <w:t>2.2.66)</w:t>
      </w:r>
    </w:p>
    <w:p>
      <w:pPr>
        <w:spacing w:line="261" w:lineRule="auto" w:before="77"/>
        <w:ind w:left="2160" w:right="2159" w:firstLine="0"/>
        <w:jc w:val="both"/>
        <w:rPr>
          <w:i/>
          <w:sz w:val="20"/>
        </w:rPr>
      </w:pPr>
      <w:r>
        <w:rPr>
          <w:i/>
          <w:sz w:val="20"/>
        </w:rPr>
        <w:t>—reveals an attempt to minimize guilt through rationalization. Yet, this</w:t>
      </w:r>
      <w:r>
        <w:rPr>
          <w:i/>
          <w:spacing w:val="-1"/>
          <w:sz w:val="20"/>
        </w:rPr>
        <w:t> </w:t>
      </w:r>
      <w:r>
        <w:rPr>
          <w:i/>
          <w:sz w:val="20"/>
        </w:rPr>
        <w:t>outward composure masks a deeper</w:t>
      </w:r>
      <w:r>
        <w:rPr>
          <w:i/>
          <w:spacing w:val="40"/>
          <w:sz w:val="20"/>
        </w:rPr>
        <w:t> </w:t>
      </w:r>
      <w:r>
        <w:rPr>
          <w:i/>
          <w:sz w:val="20"/>
        </w:rPr>
        <w:t>internal</w:t>
      </w:r>
      <w:r>
        <w:rPr>
          <w:i/>
          <w:spacing w:val="40"/>
          <w:sz w:val="20"/>
        </w:rPr>
        <w:t> </w:t>
      </w:r>
      <w:r>
        <w:rPr>
          <w:i/>
          <w:sz w:val="20"/>
        </w:rPr>
        <w:t>conflict.</w:t>
      </w:r>
    </w:p>
    <w:p>
      <w:pPr>
        <w:pStyle w:val="BodyText"/>
        <w:spacing w:line="261" w:lineRule="auto" w:before="57"/>
        <w:ind w:right="1440" w:firstLine="432"/>
        <w:jc w:val="both"/>
      </w:pPr>
      <w:r>
        <w:rPr/>
        <w:t>The sleepwalking scene represents the culmination of her mental breakdown.</w:t>
      </w:r>
      <w:r>
        <w:rPr>
          <w:spacing w:val="21"/>
        </w:rPr>
        <w:t> </w:t>
      </w:r>
      <w:r>
        <w:rPr/>
        <w:t>Her</w:t>
      </w:r>
      <w:r>
        <w:rPr>
          <w:spacing w:val="16"/>
        </w:rPr>
        <w:t> </w:t>
      </w:r>
      <w:r>
        <w:rPr/>
        <w:t>compulsive</w:t>
      </w:r>
      <w:r>
        <w:rPr>
          <w:spacing w:val="20"/>
        </w:rPr>
        <w:t> </w:t>
      </w:r>
      <w:r>
        <w:rPr/>
        <w:t>attempt</w:t>
      </w:r>
      <w:r>
        <w:rPr>
          <w:spacing w:val="20"/>
        </w:rPr>
        <w:t> </w:t>
      </w:r>
      <w:r>
        <w:rPr/>
        <w:t>to</w:t>
      </w:r>
      <w:r>
        <w:rPr>
          <w:spacing w:val="21"/>
        </w:rPr>
        <w:t> </w:t>
      </w:r>
      <w:r>
        <w:rPr/>
        <w:t>wash</w:t>
      </w:r>
      <w:r>
        <w:rPr>
          <w:spacing w:val="15"/>
        </w:rPr>
        <w:t> </w:t>
      </w:r>
      <w:r>
        <w:rPr/>
        <w:t>imaginary</w:t>
      </w:r>
      <w:r>
        <w:rPr>
          <w:spacing w:val="16"/>
        </w:rPr>
        <w:t> </w:t>
      </w:r>
      <w:r>
        <w:rPr>
          <w:spacing w:val="-2"/>
        </w:rPr>
        <w:t>bloodstains—</w:t>
      </w:r>
    </w:p>
    <w:p>
      <w:pPr>
        <w:spacing w:before="57"/>
        <w:ind w:left="2160" w:right="0" w:firstLine="0"/>
        <w:jc w:val="both"/>
        <w:rPr>
          <w:i/>
          <w:sz w:val="20"/>
        </w:rPr>
      </w:pPr>
      <w:r>
        <w:rPr>
          <w:sz w:val="20"/>
        </w:rPr>
        <w:t>“Out,</w:t>
      </w:r>
      <w:r>
        <w:rPr>
          <w:spacing w:val="32"/>
          <w:sz w:val="20"/>
        </w:rPr>
        <w:t> </w:t>
      </w:r>
      <w:r>
        <w:rPr>
          <w:sz w:val="20"/>
        </w:rPr>
        <w:t>damned</w:t>
      </w:r>
      <w:r>
        <w:rPr>
          <w:spacing w:val="31"/>
          <w:sz w:val="20"/>
        </w:rPr>
        <w:t> </w:t>
      </w:r>
      <w:r>
        <w:rPr>
          <w:sz w:val="20"/>
        </w:rPr>
        <w:t>spot!</w:t>
      </w:r>
      <w:r>
        <w:rPr>
          <w:spacing w:val="30"/>
          <w:sz w:val="20"/>
        </w:rPr>
        <w:t> </w:t>
      </w:r>
      <w:r>
        <w:rPr>
          <w:sz w:val="20"/>
        </w:rPr>
        <w:t>out,</w:t>
      </w:r>
      <w:r>
        <w:rPr>
          <w:spacing w:val="31"/>
          <w:sz w:val="20"/>
        </w:rPr>
        <w:t> </w:t>
      </w:r>
      <w:r>
        <w:rPr>
          <w:sz w:val="20"/>
        </w:rPr>
        <w:t>I</w:t>
      </w:r>
      <w:r>
        <w:rPr>
          <w:spacing w:val="33"/>
          <w:sz w:val="20"/>
        </w:rPr>
        <w:t> </w:t>
      </w:r>
      <w:r>
        <w:rPr>
          <w:sz w:val="20"/>
        </w:rPr>
        <w:t>say!”</w:t>
      </w:r>
      <w:r>
        <w:rPr>
          <w:spacing w:val="33"/>
          <w:sz w:val="20"/>
        </w:rPr>
        <w:t> </w:t>
      </w:r>
      <w:r>
        <w:rPr>
          <w:i/>
          <w:sz w:val="20"/>
        </w:rPr>
        <w:t>(Macbeth</w:t>
      </w:r>
      <w:r>
        <w:rPr>
          <w:i/>
          <w:spacing w:val="34"/>
          <w:sz w:val="20"/>
        </w:rPr>
        <w:t> </w:t>
      </w:r>
      <w:r>
        <w:rPr>
          <w:i/>
          <w:spacing w:val="-2"/>
          <w:sz w:val="20"/>
        </w:rPr>
        <w:t>5.1.30)</w:t>
      </w:r>
    </w:p>
    <w:p>
      <w:pPr>
        <w:spacing w:line="261" w:lineRule="auto" w:before="78"/>
        <w:ind w:left="2160" w:right="2160" w:firstLine="0"/>
        <w:jc w:val="both"/>
        <w:rPr>
          <w:i/>
          <w:sz w:val="20"/>
        </w:rPr>
      </w:pPr>
      <w:r>
        <w:rPr>
          <w:i/>
          <w:sz w:val="20"/>
        </w:rPr>
        <w:t>—demonstrates the persistence of guilt within the unconscious.</w:t>
      </w:r>
      <w:r>
        <w:rPr>
          <w:i/>
          <w:spacing w:val="-7"/>
          <w:sz w:val="20"/>
        </w:rPr>
        <w:t> </w:t>
      </w:r>
      <w:r>
        <w:rPr>
          <w:i/>
          <w:sz w:val="20"/>
        </w:rPr>
        <w:t>From</w:t>
      </w:r>
      <w:r>
        <w:rPr>
          <w:i/>
          <w:spacing w:val="-7"/>
          <w:sz w:val="20"/>
        </w:rPr>
        <w:t> </w:t>
      </w:r>
      <w:r>
        <w:rPr>
          <w:i/>
          <w:sz w:val="20"/>
        </w:rPr>
        <w:t>a</w:t>
      </w:r>
      <w:r>
        <w:rPr>
          <w:i/>
          <w:spacing w:val="-7"/>
          <w:sz w:val="20"/>
        </w:rPr>
        <w:t> </w:t>
      </w:r>
      <w:r>
        <w:rPr>
          <w:i/>
          <w:sz w:val="20"/>
        </w:rPr>
        <w:t>Freudian</w:t>
      </w:r>
      <w:r>
        <w:rPr>
          <w:i/>
          <w:spacing w:val="-6"/>
          <w:sz w:val="20"/>
        </w:rPr>
        <w:t> </w:t>
      </w:r>
      <w:r>
        <w:rPr>
          <w:i/>
          <w:sz w:val="20"/>
        </w:rPr>
        <w:t>perspective,</w:t>
      </w:r>
      <w:r>
        <w:rPr>
          <w:i/>
          <w:spacing w:val="-9"/>
          <w:sz w:val="20"/>
        </w:rPr>
        <w:t> </w:t>
      </w:r>
      <w:r>
        <w:rPr>
          <w:i/>
          <w:sz w:val="20"/>
        </w:rPr>
        <w:t>this</w:t>
      </w:r>
      <w:r>
        <w:rPr>
          <w:i/>
          <w:spacing w:val="-7"/>
          <w:sz w:val="20"/>
        </w:rPr>
        <w:t> </w:t>
      </w:r>
      <w:r>
        <w:rPr>
          <w:i/>
          <w:sz w:val="20"/>
        </w:rPr>
        <w:t>scene exemplifies the “return of the repressed,” where suppressed emotions resurface in involuntary and symbolic</w:t>
      </w:r>
      <w:r>
        <w:rPr>
          <w:i/>
          <w:spacing w:val="40"/>
          <w:sz w:val="20"/>
        </w:rPr>
        <w:t> </w:t>
      </w:r>
      <w:r>
        <w:rPr>
          <w:i/>
          <w:sz w:val="20"/>
        </w:rPr>
        <w:t>forms</w:t>
      </w:r>
      <w:r>
        <w:rPr>
          <w:i/>
          <w:spacing w:val="40"/>
          <w:sz w:val="20"/>
        </w:rPr>
        <w:t> </w:t>
      </w:r>
      <w:r>
        <w:rPr>
          <w:i/>
          <w:sz w:val="20"/>
        </w:rPr>
        <w:t>(Freud</w:t>
      </w:r>
      <w:r>
        <w:rPr>
          <w:i/>
          <w:spacing w:val="40"/>
          <w:sz w:val="20"/>
        </w:rPr>
        <w:t> </w:t>
      </w:r>
      <w:r>
        <w:rPr>
          <w:i/>
          <w:sz w:val="20"/>
        </w:rPr>
        <w:t>115).</w:t>
      </w:r>
    </w:p>
    <w:p>
      <w:pPr>
        <w:pStyle w:val="BodyText"/>
        <w:spacing w:line="261" w:lineRule="auto" w:before="54"/>
        <w:ind w:right="1439" w:firstLine="432"/>
        <w:jc w:val="both"/>
      </w:pPr>
      <w:r>
        <w:rPr>
          <w:spacing w:val="-2"/>
        </w:rPr>
        <w:t>Lady</w:t>
      </w:r>
      <w:r>
        <w:rPr>
          <w:spacing w:val="-10"/>
        </w:rPr>
        <w:t> </w:t>
      </w:r>
      <w:r>
        <w:rPr>
          <w:spacing w:val="-2"/>
        </w:rPr>
        <w:t>Macbeth’s</w:t>
      </w:r>
      <w:r>
        <w:rPr>
          <w:spacing w:val="-8"/>
        </w:rPr>
        <w:t> </w:t>
      </w:r>
      <w:r>
        <w:rPr>
          <w:spacing w:val="-2"/>
        </w:rPr>
        <w:t>language in</w:t>
      </w:r>
      <w:r>
        <w:rPr>
          <w:spacing w:val="-8"/>
        </w:rPr>
        <w:t> </w:t>
      </w:r>
      <w:r>
        <w:rPr>
          <w:spacing w:val="-2"/>
        </w:rPr>
        <w:t>this</w:t>
      </w:r>
      <w:r>
        <w:rPr>
          <w:spacing w:val="-8"/>
        </w:rPr>
        <w:t> </w:t>
      </w:r>
      <w:r>
        <w:rPr>
          <w:spacing w:val="-2"/>
        </w:rPr>
        <w:t>scene</w:t>
      </w:r>
      <w:r>
        <w:rPr>
          <w:spacing w:val="-5"/>
        </w:rPr>
        <w:t> </w:t>
      </w:r>
      <w:r>
        <w:rPr>
          <w:spacing w:val="-2"/>
        </w:rPr>
        <w:t>is</w:t>
      </w:r>
      <w:r>
        <w:rPr>
          <w:spacing w:val="-3"/>
        </w:rPr>
        <w:t> </w:t>
      </w:r>
      <w:r>
        <w:rPr>
          <w:spacing w:val="-2"/>
        </w:rPr>
        <w:t>fragmented</w:t>
      </w:r>
      <w:r>
        <w:rPr>
          <w:spacing w:val="-6"/>
        </w:rPr>
        <w:t> </w:t>
      </w:r>
      <w:r>
        <w:rPr>
          <w:spacing w:val="-2"/>
        </w:rPr>
        <w:t>and</w:t>
      </w:r>
      <w:r>
        <w:rPr>
          <w:spacing w:val="-3"/>
        </w:rPr>
        <w:t> </w:t>
      </w:r>
      <w:r>
        <w:rPr>
          <w:spacing w:val="-2"/>
        </w:rPr>
        <w:t>repetitive, </w:t>
      </w:r>
      <w:r>
        <w:rPr>
          <w:spacing w:val="-4"/>
        </w:rPr>
        <w:t>mirroring</w:t>
      </w:r>
      <w:r>
        <w:rPr>
          <w:spacing w:val="-8"/>
        </w:rPr>
        <w:t> </w:t>
      </w:r>
      <w:r>
        <w:rPr>
          <w:spacing w:val="-4"/>
        </w:rPr>
        <w:t>the disintegration</w:t>
      </w:r>
      <w:r>
        <w:rPr>
          <w:spacing w:val="-9"/>
        </w:rPr>
        <w:t> </w:t>
      </w:r>
      <w:r>
        <w:rPr>
          <w:spacing w:val="-4"/>
        </w:rPr>
        <w:t>of</w:t>
      </w:r>
      <w:r>
        <w:rPr>
          <w:spacing w:val="-6"/>
        </w:rPr>
        <w:t> </w:t>
      </w:r>
      <w:r>
        <w:rPr>
          <w:spacing w:val="-4"/>
        </w:rPr>
        <w:t>her mental</w:t>
      </w:r>
      <w:r>
        <w:rPr>
          <w:spacing w:val="-5"/>
        </w:rPr>
        <w:t> </w:t>
      </w:r>
      <w:r>
        <w:rPr>
          <w:spacing w:val="-4"/>
        </w:rPr>
        <w:t>state. Unlike</w:t>
      </w:r>
      <w:r>
        <w:rPr>
          <w:spacing w:val="-9"/>
        </w:rPr>
        <w:t> </w:t>
      </w:r>
      <w:r>
        <w:rPr>
          <w:spacing w:val="-4"/>
        </w:rPr>
        <w:t>her</w:t>
      </w:r>
      <w:r>
        <w:rPr>
          <w:spacing w:val="-6"/>
        </w:rPr>
        <w:t> </w:t>
      </w:r>
      <w:r>
        <w:rPr>
          <w:spacing w:val="-4"/>
        </w:rPr>
        <w:t>earlier articulate </w:t>
      </w:r>
      <w:r>
        <w:rPr/>
        <w:t>and commanding speech, her words now reflect confusion and helplessness. This transformation highlights the limits of repression as</w:t>
      </w:r>
      <w:r>
        <w:rPr>
          <w:spacing w:val="40"/>
        </w:rPr>
        <w:t> </w:t>
      </w:r>
      <w:r>
        <w:rPr/>
        <w:t>a psychological strategy. The very qualities that enabled her initial power—control, suppression, denial—ultimately contribute to her </w:t>
      </w:r>
      <w:r>
        <w:rPr>
          <w:spacing w:val="-2"/>
        </w:rPr>
        <w:t>downfall.</w:t>
      </w:r>
    </w:p>
    <w:p>
      <w:pPr>
        <w:pStyle w:val="BodyText"/>
        <w:spacing w:line="249" w:lineRule="auto" w:before="46"/>
        <w:ind w:right="1439" w:firstLine="432"/>
        <w:jc w:val="both"/>
      </w:pPr>
      <w:r>
        <w:rPr/>
        <w:t>Her</w:t>
      </w:r>
      <w:r>
        <w:rPr>
          <w:spacing w:val="-3"/>
        </w:rPr>
        <w:t> </w:t>
      </w:r>
      <w:r>
        <w:rPr/>
        <w:t>death,</w:t>
      </w:r>
      <w:r>
        <w:rPr>
          <w:spacing w:val="-3"/>
        </w:rPr>
        <w:t> </w:t>
      </w:r>
      <w:r>
        <w:rPr/>
        <w:t>though</w:t>
      </w:r>
      <w:r>
        <w:rPr>
          <w:spacing w:val="-7"/>
        </w:rPr>
        <w:t> </w:t>
      </w:r>
      <w:r>
        <w:rPr/>
        <w:t>not</w:t>
      </w:r>
      <w:r>
        <w:rPr>
          <w:spacing w:val="-4"/>
        </w:rPr>
        <w:t> </w:t>
      </w:r>
      <w:r>
        <w:rPr/>
        <w:t>explicitly</w:t>
      </w:r>
      <w:r>
        <w:rPr>
          <w:spacing w:val="-7"/>
        </w:rPr>
        <w:t> </w:t>
      </w:r>
      <w:r>
        <w:rPr/>
        <w:t>depicted,</w:t>
      </w:r>
      <w:r>
        <w:rPr>
          <w:spacing w:val="-1"/>
        </w:rPr>
        <w:t> </w:t>
      </w:r>
      <w:r>
        <w:rPr/>
        <w:t>is</w:t>
      </w:r>
      <w:r>
        <w:rPr>
          <w:spacing w:val="-3"/>
        </w:rPr>
        <w:t> </w:t>
      </w:r>
      <w:r>
        <w:rPr/>
        <w:t>strongly</w:t>
      </w:r>
      <w:r>
        <w:rPr>
          <w:spacing w:val="-7"/>
        </w:rPr>
        <w:t> </w:t>
      </w:r>
      <w:r>
        <w:rPr/>
        <w:t>implied</w:t>
      </w:r>
      <w:r>
        <w:rPr>
          <w:spacing w:val="-3"/>
        </w:rPr>
        <w:t> </w:t>
      </w:r>
      <w:r>
        <w:rPr/>
        <w:t>to</w:t>
      </w:r>
      <w:r>
        <w:rPr>
          <w:spacing w:val="-1"/>
        </w:rPr>
        <w:t> </w:t>
      </w:r>
      <w:r>
        <w:rPr/>
        <w:t>be self-inflicted. This outcome underscores the destructive consequences of</w:t>
      </w:r>
      <w:r>
        <w:rPr>
          <w:spacing w:val="-13"/>
        </w:rPr>
        <w:t> </w:t>
      </w:r>
      <w:r>
        <w:rPr/>
        <w:t>unresolved</w:t>
      </w:r>
      <w:r>
        <w:rPr>
          <w:spacing w:val="-12"/>
        </w:rPr>
        <w:t> </w:t>
      </w:r>
      <w:r>
        <w:rPr/>
        <w:t>guilt</w:t>
      </w:r>
      <w:r>
        <w:rPr>
          <w:spacing w:val="-13"/>
        </w:rPr>
        <w:t> </w:t>
      </w:r>
      <w:r>
        <w:rPr/>
        <w:t>and</w:t>
      </w:r>
      <w:r>
        <w:rPr>
          <w:spacing w:val="-12"/>
        </w:rPr>
        <w:t> </w:t>
      </w:r>
      <w:r>
        <w:rPr/>
        <w:t>internal</w:t>
      </w:r>
      <w:r>
        <w:rPr>
          <w:spacing w:val="-13"/>
        </w:rPr>
        <w:t> </w:t>
      </w:r>
      <w:r>
        <w:rPr/>
        <w:t>conflict.</w:t>
      </w:r>
      <w:r>
        <w:rPr>
          <w:spacing w:val="-12"/>
        </w:rPr>
        <w:t> </w:t>
      </w:r>
      <w:r>
        <w:rPr/>
        <w:t>Unlike</w:t>
      </w:r>
      <w:r>
        <w:rPr>
          <w:spacing w:val="-13"/>
        </w:rPr>
        <w:t> </w:t>
      </w:r>
      <w:r>
        <w:rPr/>
        <w:t>Ophelia,</w:t>
      </w:r>
      <w:r>
        <w:rPr>
          <w:spacing w:val="-12"/>
        </w:rPr>
        <w:t> </w:t>
      </w:r>
      <w:r>
        <w:rPr/>
        <w:t>whose</w:t>
      </w:r>
      <w:r>
        <w:rPr>
          <w:spacing w:val="-13"/>
        </w:rPr>
        <w:t> </w:t>
      </w:r>
      <w:r>
        <w:rPr/>
        <w:t>madness arises from external pressure, Lady Macbeth’s breakdown is rooted in the internalization of moral guilt.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5445" w:val="left" w:leader="none"/>
        </w:tabs>
        <w:spacing w:before="0"/>
        <w:ind w:left="0" w:right="1"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84288">
                <wp:simplePos x="0" y="0"/>
                <wp:positionH relativeFrom="page">
                  <wp:posOffset>2065020</wp:posOffset>
                </wp:positionH>
                <wp:positionV relativeFrom="paragraph">
                  <wp:posOffset>162604</wp:posOffset>
                </wp:positionV>
                <wp:extent cx="3657600" cy="12700"/>
                <wp:effectExtent l="0" t="0" r="0" b="0"/>
                <wp:wrapTopAndBottom/>
                <wp:docPr id="792" name="Graphic 792"/>
                <wp:cNvGraphicFramePr>
                  <a:graphicFrameLocks/>
                </wp:cNvGraphicFramePr>
                <a:graphic>
                  <a:graphicData uri="http://schemas.microsoft.com/office/word/2010/wordprocessingShape">
                    <wps:wsp>
                      <wps:cNvPr id="792" name="Graphic 79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32192;mso-wrap-distance-left:0;mso-wrap-distance-right:0" id="docshape784" filled="true" fillcolor="#000000" stroked="false">
                <v:fill type="solid"/>
                <w10:wrap type="topAndBottom"/>
              </v:rect>
            </w:pict>
          </mc:Fallback>
        </mc:AlternateContent>
      </w:r>
      <w:r>
        <w:rPr>
          <w:rFonts w:ascii="Verdana"/>
          <w:spacing w:val="-4"/>
          <w:sz w:val="18"/>
        </w:rPr>
        <w:t>Women</w:t>
      </w:r>
      <w:r>
        <w:rPr>
          <w:rFonts w:ascii="Verdana"/>
          <w:spacing w:val="-10"/>
          <w:sz w:val="18"/>
        </w:rPr>
        <w:t> </w:t>
      </w:r>
      <w:r>
        <w:rPr>
          <w:rFonts w:ascii="Verdana"/>
          <w:spacing w:val="-4"/>
          <w:sz w:val="18"/>
        </w:rPr>
        <w:t>and</w:t>
      </w:r>
      <w:r>
        <w:rPr>
          <w:rFonts w:ascii="Verdana"/>
          <w:spacing w:val="-10"/>
          <w:sz w:val="18"/>
        </w:rPr>
        <w:t> </w:t>
      </w:r>
      <w:r>
        <w:rPr>
          <w:rFonts w:ascii="Verdana"/>
          <w:spacing w:val="-4"/>
          <w:sz w:val="18"/>
        </w:rPr>
        <w:t>Mental</w:t>
      </w:r>
      <w:r>
        <w:rPr>
          <w:rFonts w:ascii="Verdana"/>
          <w:spacing w:val="-10"/>
          <w:sz w:val="18"/>
        </w:rPr>
        <w:t> </w:t>
      </w:r>
      <w:r>
        <w:rPr>
          <w:rFonts w:ascii="Verdana"/>
          <w:spacing w:val="-4"/>
          <w:sz w:val="18"/>
        </w:rPr>
        <w:t>Health</w:t>
      </w:r>
      <w:r>
        <w:rPr>
          <w:rFonts w:ascii="Verdana"/>
          <w:spacing w:val="-7"/>
          <w:sz w:val="18"/>
        </w:rPr>
        <w:t> </w:t>
      </w:r>
      <w:r>
        <w:rPr>
          <w:rFonts w:ascii="Verdana"/>
          <w:spacing w:val="-4"/>
          <w:sz w:val="18"/>
        </w:rPr>
        <w:t>in</w:t>
      </w:r>
      <w:r>
        <w:rPr>
          <w:rFonts w:ascii="Verdana"/>
          <w:spacing w:val="-10"/>
          <w:sz w:val="18"/>
        </w:rPr>
        <w:t> </w:t>
      </w:r>
      <w:r>
        <w:rPr>
          <w:rFonts w:ascii="Verdana"/>
          <w:spacing w:val="-4"/>
          <w:sz w:val="18"/>
        </w:rPr>
        <w:t>Select</w:t>
      </w:r>
      <w:r>
        <w:rPr>
          <w:rFonts w:ascii="Verdana"/>
          <w:spacing w:val="-11"/>
          <w:sz w:val="18"/>
        </w:rPr>
        <w:t> </w:t>
      </w:r>
      <w:r>
        <w:rPr>
          <w:rFonts w:ascii="Verdana"/>
          <w:spacing w:val="-4"/>
          <w:sz w:val="18"/>
        </w:rPr>
        <w:t>Shakespearean</w:t>
      </w:r>
      <w:r>
        <w:rPr>
          <w:rFonts w:ascii="Verdana"/>
          <w:spacing w:val="-9"/>
          <w:sz w:val="18"/>
        </w:rPr>
        <w:t> </w:t>
      </w:r>
      <w:r>
        <w:rPr>
          <w:rFonts w:ascii="Verdana"/>
          <w:spacing w:val="-4"/>
          <w:sz w:val="18"/>
        </w:rPr>
        <w:t>Plays...</w:t>
      </w:r>
      <w:r>
        <w:rPr>
          <w:rFonts w:ascii="Verdana"/>
          <w:sz w:val="18"/>
        </w:rPr>
        <w:tab/>
      </w:r>
      <w:r>
        <w:rPr>
          <w:rFonts w:ascii="Verdana"/>
          <w:spacing w:val="-5"/>
          <w:sz w:val="18"/>
        </w:rPr>
        <w:t>405</w:t>
      </w:r>
    </w:p>
    <w:p>
      <w:pPr>
        <w:pStyle w:val="BodyText"/>
        <w:spacing w:line="249" w:lineRule="auto" w:before="192"/>
        <w:ind w:right="1434" w:firstLine="432"/>
        <w:jc w:val="both"/>
      </w:pPr>
      <w:r>
        <w:rPr/>
        <w:t>From a feminist perspective, Lady Macbeth’s character raises important questions about gender and power. While she initially challenges patriarchal norms, her eventual collapse can be interpreted</w:t>
      </w:r>
      <w:r>
        <w:rPr>
          <w:spacing w:val="40"/>
        </w:rPr>
        <w:t> </w:t>
      </w:r>
      <w:r>
        <w:rPr>
          <w:spacing w:val="-4"/>
        </w:rPr>
        <w:t>in</w:t>
      </w:r>
      <w:r>
        <w:rPr>
          <w:spacing w:val="-9"/>
        </w:rPr>
        <w:t> </w:t>
      </w:r>
      <w:r>
        <w:rPr>
          <w:spacing w:val="-4"/>
        </w:rPr>
        <w:t>multiple</w:t>
      </w:r>
      <w:r>
        <w:rPr>
          <w:spacing w:val="-6"/>
        </w:rPr>
        <w:t> </w:t>
      </w:r>
      <w:r>
        <w:rPr>
          <w:spacing w:val="-4"/>
        </w:rPr>
        <w:t>ways.</w:t>
      </w:r>
      <w:r>
        <w:rPr>
          <w:spacing w:val="-8"/>
        </w:rPr>
        <w:t> </w:t>
      </w:r>
      <w:r>
        <w:rPr>
          <w:spacing w:val="-4"/>
        </w:rPr>
        <w:t>Some</w:t>
      </w:r>
      <w:r>
        <w:rPr>
          <w:spacing w:val="-6"/>
        </w:rPr>
        <w:t> </w:t>
      </w:r>
      <w:r>
        <w:rPr>
          <w:spacing w:val="-4"/>
        </w:rPr>
        <w:t>critics</w:t>
      </w:r>
      <w:r>
        <w:rPr>
          <w:spacing w:val="-6"/>
        </w:rPr>
        <w:t> </w:t>
      </w:r>
      <w:r>
        <w:rPr>
          <w:spacing w:val="-4"/>
        </w:rPr>
        <w:t>argue</w:t>
      </w:r>
      <w:r>
        <w:rPr>
          <w:spacing w:val="-6"/>
        </w:rPr>
        <w:t> </w:t>
      </w:r>
      <w:r>
        <w:rPr>
          <w:spacing w:val="-4"/>
        </w:rPr>
        <w:t>that</w:t>
      </w:r>
      <w:r>
        <w:rPr>
          <w:spacing w:val="-7"/>
        </w:rPr>
        <w:t> </w:t>
      </w:r>
      <w:r>
        <w:rPr>
          <w:spacing w:val="-4"/>
        </w:rPr>
        <w:t>her</w:t>
      </w:r>
      <w:r>
        <w:rPr>
          <w:spacing w:val="-9"/>
        </w:rPr>
        <w:t> </w:t>
      </w:r>
      <w:r>
        <w:rPr>
          <w:spacing w:val="-4"/>
        </w:rPr>
        <w:t>downfall reinforces</w:t>
      </w:r>
      <w:r>
        <w:rPr>
          <w:spacing w:val="-8"/>
        </w:rPr>
        <w:t> </w:t>
      </w:r>
      <w:r>
        <w:rPr>
          <w:spacing w:val="-4"/>
        </w:rPr>
        <w:t>traditional </w:t>
      </w:r>
      <w:r>
        <w:rPr/>
        <w:t>gender roles, suggesting that women who transgress boundaries are punished. Others contend that her suffering exposes the psychological cost</w:t>
      </w:r>
      <w:r>
        <w:rPr>
          <w:spacing w:val="40"/>
        </w:rPr>
        <w:t> </w:t>
      </w:r>
      <w:r>
        <w:rPr/>
        <w:t>of</w:t>
      </w:r>
      <w:r>
        <w:rPr>
          <w:spacing w:val="40"/>
        </w:rPr>
        <w:t> </w:t>
      </w:r>
      <w:r>
        <w:rPr/>
        <w:t>adopting</w:t>
      </w:r>
      <w:r>
        <w:rPr>
          <w:spacing w:val="40"/>
        </w:rPr>
        <w:t> </w:t>
      </w:r>
      <w:r>
        <w:rPr/>
        <w:t>a</w:t>
      </w:r>
      <w:r>
        <w:rPr>
          <w:spacing w:val="40"/>
        </w:rPr>
        <w:t> </w:t>
      </w:r>
      <w:r>
        <w:rPr/>
        <w:t>role</w:t>
      </w:r>
      <w:r>
        <w:rPr>
          <w:spacing w:val="40"/>
        </w:rPr>
        <w:t> </w:t>
      </w:r>
      <w:r>
        <w:rPr/>
        <w:t>that</w:t>
      </w:r>
      <w:r>
        <w:rPr>
          <w:spacing w:val="40"/>
        </w:rPr>
        <w:t> </w:t>
      </w:r>
      <w:r>
        <w:rPr/>
        <w:t>denies</w:t>
      </w:r>
      <w:r>
        <w:rPr>
          <w:spacing w:val="40"/>
        </w:rPr>
        <w:t> </w:t>
      </w:r>
      <w:r>
        <w:rPr/>
        <w:t>emotional</w:t>
      </w:r>
      <w:r>
        <w:rPr>
          <w:spacing w:val="40"/>
        </w:rPr>
        <w:t> </w:t>
      </w:r>
      <w:r>
        <w:rPr/>
        <w:t>authenticity.</w:t>
      </w:r>
    </w:p>
    <w:p>
      <w:pPr>
        <w:pStyle w:val="BodyText"/>
        <w:spacing w:line="264" w:lineRule="auto" w:before="71"/>
        <w:ind w:right="1438" w:firstLine="432"/>
        <w:jc w:val="both"/>
      </w:pPr>
      <w:r>
        <w:rPr/>
        <w:t>Ultimately, Lady Macbeth’s psychological journey illustrates the complexity</w:t>
      </w:r>
      <w:r>
        <w:rPr>
          <w:spacing w:val="-13"/>
        </w:rPr>
        <w:t> </w:t>
      </w:r>
      <w:r>
        <w:rPr/>
        <w:t>of</w:t>
      </w:r>
      <w:r>
        <w:rPr>
          <w:spacing w:val="-9"/>
        </w:rPr>
        <w:t> </w:t>
      </w:r>
      <w:r>
        <w:rPr/>
        <w:t>mental</w:t>
      </w:r>
      <w:r>
        <w:rPr>
          <w:spacing w:val="-10"/>
        </w:rPr>
        <w:t> </w:t>
      </w:r>
      <w:r>
        <w:rPr/>
        <w:t>health</w:t>
      </w:r>
      <w:r>
        <w:rPr>
          <w:spacing w:val="-12"/>
        </w:rPr>
        <w:t> </w:t>
      </w:r>
      <w:r>
        <w:rPr/>
        <w:t>as</w:t>
      </w:r>
      <w:r>
        <w:rPr>
          <w:spacing w:val="-10"/>
        </w:rPr>
        <w:t> </w:t>
      </w:r>
      <w:r>
        <w:rPr/>
        <w:t>a</w:t>
      </w:r>
      <w:r>
        <w:rPr>
          <w:spacing w:val="-8"/>
        </w:rPr>
        <w:t> </w:t>
      </w:r>
      <w:r>
        <w:rPr/>
        <w:t>dynamic</w:t>
      </w:r>
      <w:r>
        <w:rPr>
          <w:spacing w:val="-10"/>
        </w:rPr>
        <w:t> </w:t>
      </w:r>
      <w:r>
        <w:rPr/>
        <w:t>interplay</w:t>
      </w:r>
      <w:r>
        <w:rPr>
          <w:spacing w:val="-13"/>
        </w:rPr>
        <w:t> </w:t>
      </w:r>
      <w:r>
        <w:rPr/>
        <w:t>between</w:t>
      </w:r>
      <w:r>
        <w:rPr>
          <w:spacing w:val="-8"/>
        </w:rPr>
        <w:t> </w:t>
      </w:r>
      <w:r>
        <w:rPr/>
        <w:t>internal</w:t>
      </w:r>
      <w:r>
        <w:rPr>
          <w:spacing w:val="-10"/>
        </w:rPr>
        <w:t> </w:t>
      </w:r>
      <w:r>
        <w:rPr/>
        <w:t>and external forces. Her character demonstrates that power, when achieved through repression and violence, carries profound psychological </w:t>
      </w:r>
      <w:r>
        <w:rPr>
          <w:spacing w:val="-2"/>
        </w:rPr>
        <w:t>consequences.</w:t>
      </w:r>
    </w:p>
    <w:p>
      <w:pPr>
        <w:pStyle w:val="Heading4"/>
        <w:numPr>
          <w:ilvl w:val="0"/>
          <w:numId w:val="82"/>
        </w:numPr>
        <w:tabs>
          <w:tab w:pos="1785" w:val="left" w:leader="none"/>
        </w:tabs>
        <w:spacing w:line="249" w:lineRule="auto" w:before="93" w:after="0"/>
        <w:ind w:left="1440" w:right="1437" w:firstLine="0"/>
        <w:jc w:val="left"/>
      </w:pPr>
      <w:r>
        <w:rPr>
          <w:rFonts w:ascii="Cambria"/>
          <w:i/>
          <w:spacing w:val="9"/>
        </w:rPr>
        <w:t>Desdemona:</w:t>
      </w:r>
      <w:r>
        <w:rPr>
          <w:rFonts w:ascii="Cambria"/>
          <w:i/>
          <w:spacing w:val="80"/>
        </w:rPr>
        <w:t> </w:t>
      </w:r>
      <w:r>
        <w:rPr>
          <w:spacing w:val="9"/>
        </w:rPr>
        <w:t>Emotional</w:t>
      </w:r>
      <w:r>
        <w:rPr>
          <w:spacing w:val="40"/>
        </w:rPr>
        <w:t> </w:t>
      </w:r>
      <w:r>
        <w:rPr>
          <w:spacing w:val="9"/>
        </w:rPr>
        <w:t>Trauma,</w:t>
      </w:r>
      <w:r>
        <w:rPr>
          <w:spacing w:val="40"/>
        </w:rPr>
        <w:t> </w:t>
      </w:r>
      <w:r>
        <w:rPr>
          <w:spacing w:val="9"/>
        </w:rPr>
        <w:t>Silence</w:t>
      </w:r>
      <w:r>
        <w:rPr>
          <w:spacing w:val="40"/>
        </w:rPr>
        <w:t> </w:t>
      </w:r>
      <w:r>
        <w:rPr/>
        <w:t>and Psychological</w:t>
      </w:r>
      <w:r>
        <w:rPr>
          <w:spacing w:val="40"/>
        </w:rPr>
        <w:t> </w:t>
      </w:r>
      <w:r>
        <w:rPr/>
        <w:t>Endurance</w:t>
      </w:r>
    </w:p>
    <w:p>
      <w:pPr>
        <w:pStyle w:val="BodyText"/>
        <w:spacing w:line="264" w:lineRule="auto" w:before="76"/>
        <w:ind w:right="1441" w:firstLine="432"/>
        <w:jc w:val="both"/>
      </w:pPr>
      <w:r>
        <w:rPr/>
        <w:t>Desdemona’s psychological experience in Othello represents a distinct form of mental distress that differs significantly from the overt madness of Ophelia or the guilt-driven breakdown of Lady Macbeth. Her</w:t>
      </w:r>
      <w:r>
        <w:rPr>
          <w:spacing w:val="-8"/>
        </w:rPr>
        <w:t> </w:t>
      </w:r>
      <w:r>
        <w:rPr/>
        <w:t>character</w:t>
      </w:r>
      <w:r>
        <w:rPr>
          <w:spacing w:val="-8"/>
        </w:rPr>
        <w:t> </w:t>
      </w:r>
      <w:r>
        <w:rPr/>
        <w:t>illustrates</w:t>
      </w:r>
      <w:r>
        <w:rPr>
          <w:spacing w:val="-8"/>
        </w:rPr>
        <w:t> </w:t>
      </w:r>
      <w:r>
        <w:rPr/>
        <w:t>a</w:t>
      </w:r>
      <w:r>
        <w:rPr>
          <w:spacing w:val="-9"/>
        </w:rPr>
        <w:t> </w:t>
      </w:r>
      <w:r>
        <w:rPr/>
        <w:t>mode</w:t>
      </w:r>
      <w:r>
        <w:rPr>
          <w:spacing w:val="-9"/>
        </w:rPr>
        <w:t> </w:t>
      </w:r>
      <w:r>
        <w:rPr/>
        <w:t>of</w:t>
      </w:r>
      <w:r>
        <w:rPr>
          <w:spacing w:val="-12"/>
        </w:rPr>
        <w:t> </w:t>
      </w:r>
      <w:r>
        <w:rPr/>
        <w:t>suffering</w:t>
      </w:r>
      <w:r>
        <w:rPr>
          <w:spacing w:val="-10"/>
        </w:rPr>
        <w:t> </w:t>
      </w:r>
      <w:r>
        <w:rPr/>
        <w:t>rooted</w:t>
      </w:r>
      <w:r>
        <w:rPr>
          <w:spacing w:val="-6"/>
        </w:rPr>
        <w:t> </w:t>
      </w:r>
      <w:r>
        <w:rPr/>
        <w:t>in</w:t>
      </w:r>
      <w:r>
        <w:rPr>
          <w:spacing w:val="-10"/>
        </w:rPr>
        <w:t> </w:t>
      </w:r>
      <w:r>
        <w:rPr/>
        <w:t>emotional</w:t>
      </w:r>
      <w:r>
        <w:rPr>
          <w:spacing w:val="-10"/>
        </w:rPr>
        <w:t> </w:t>
      </w:r>
      <w:r>
        <w:rPr/>
        <w:t>trauma, internalized anxiety, and enforced silence. While she does not exhibit visible signs of mental instability, her experience reflects the profound psychological</w:t>
      </w:r>
      <w:r>
        <w:rPr>
          <w:spacing w:val="40"/>
        </w:rPr>
        <w:t> </w:t>
      </w:r>
      <w:r>
        <w:rPr/>
        <w:t>impact</w:t>
      </w:r>
      <w:r>
        <w:rPr>
          <w:spacing w:val="40"/>
        </w:rPr>
        <w:t> </w:t>
      </w:r>
      <w:r>
        <w:rPr/>
        <w:t>of love,</w:t>
      </w:r>
      <w:r>
        <w:rPr>
          <w:spacing w:val="40"/>
        </w:rPr>
        <w:t> </w:t>
      </w:r>
      <w:r>
        <w:rPr/>
        <w:t>mistrust,</w:t>
      </w:r>
      <w:r>
        <w:rPr>
          <w:spacing w:val="40"/>
        </w:rPr>
        <w:t> </w:t>
      </w:r>
      <w:r>
        <w:rPr/>
        <w:t>and</w:t>
      </w:r>
      <w:r>
        <w:rPr>
          <w:spacing w:val="40"/>
        </w:rPr>
        <w:t> </w:t>
      </w:r>
      <w:r>
        <w:rPr/>
        <w:t>social</w:t>
      </w:r>
      <w:r>
        <w:rPr>
          <w:spacing w:val="40"/>
        </w:rPr>
        <w:t> </w:t>
      </w:r>
      <w:r>
        <w:rPr/>
        <w:t>constraint.</w:t>
      </w:r>
    </w:p>
    <w:p>
      <w:pPr>
        <w:pStyle w:val="BodyText"/>
        <w:spacing w:line="264" w:lineRule="auto" w:before="50"/>
        <w:ind w:right="1438" w:firstLine="432"/>
        <w:jc w:val="both"/>
      </w:pPr>
      <w:r>
        <w:rPr/>
        <w:t>At the beginning of the play, Desdemona appears as a figure of independence and courage. Her decision to marry Othello against her </w:t>
      </w:r>
      <w:r>
        <w:rPr>
          <w:spacing w:val="-2"/>
        </w:rPr>
        <w:t>father’s</w:t>
      </w:r>
      <w:r>
        <w:rPr>
          <w:spacing w:val="-8"/>
        </w:rPr>
        <w:t> </w:t>
      </w:r>
      <w:r>
        <w:rPr>
          <w:spacing w:val="-2"/>
        </w:rPr>
        <w:t>wishes</w:t>
      </w:r>
      <w:r>
        <w:rPr>
          <w:spacing w:val="-5"/>
        </w:rPr>
        <w:t> </w:t>
      </w:r>
      <w:r>
        <w:rPr>
          <w:spacing w:val="-2"/>
        </w:rPr>
        <w:t>demonstrates</w:t>
      </w:r>
      <w:r>
        <w:rPr>
          <w:spacing w:val="-7"/>
        </w:rPr>
        <w:t> </w:t>
      </w:r>
      <w:r>
        <w:rPr>
          <w:spacing w:val="-2"/>
        </w:rPr>
        <w:t>agency</w:t>
      </w:r>
      <w:r>
        <w:rPr>
          <w:spacing w:val="-11"/>
        </w:rPr>
        <w:t> </w:t>
      </w:r>
      <w:r>
        <w:rPr>
          <w:spacing w:val="-2"/>
        </w:rPr>
        <w:t>and</w:t>
      </w:r>
      <w:r>
        <w:rPr>
          <w:spacing w:val="-7"/>
        </w:rPr>
        <w:t> </w:t>
      </w:r>
      <w:r>
        <w:rPr>
          <w:spacing w:val="-2"/>
        </w:rPr>
        <w:t>emotional</w:t>
      </w:r>
      <w:r>
        <w:rPr>
          <w:spacing w:val="-5"/>
        </w:rPr>
        <w:t> </w:t>
      </w:r>
      <w:r>
        <w:rPr>
          <w:spacing w:val="-2"/>
        </w:rPr>
        <w:t>conviction.</w:t>
      </w:r>
      <w:r>
        <w:rPr>
          <w:spacing w:val="-5"/>
        </w:rPr>
        <w:t> </w:t>
      </w:r>
      <w:r>
        <w:rPr>
          <w:spacing w:val="-2"/>
        </w:rPr>
        <w:t>However, this</w:t>
      </w:r>
      <w:r>
        <w:rPr>
          <w:spacing w:val="-7"/>
        </w:rPr>
        <w:t> </w:t>
      </w:r>
      <w:r>
        <w:rPr>
          <w:spacing w:val="-2"/>
        </w:rPr>
        <w:t>initial</w:t>
      </w:r>
      <w:r>
        <w:rPr>
          <w:spacing w:val="-5"/>
        </w:rPr>
        <w:t> </w:t>
      </w:r>
      <w:r>
        <w:rPr>
          <w:spacing w:val="-2"/>
        </w:rPr>
        <w:t>assertion</w:t>
      </w:r>
      <w:r>
        <w:rPr>
          <w:spacing w:val="-7"/>
        </w:rPr>
        <w:t> </w:t>
      </w:r>
      <w:r>
        <w:rPr>
          <w:spacing w:val="-2"/>
        </w:rPr>
        <w:t>of</w:t>
      </w:r>
      <w:r>
        <w:rPr>
          <w:spacing w:val="-5"/>
        </w:rPr>
        <w:t> </w:t>
      </w:r>
      <w:r>
        <w:rPr>
          <w:spacing w:val="-2"/>
        </w:rPr>
        <w:t>autonomy</w:t>
      </w:r>
      <w:r>
        <w:rPr>
          <w:spacing w:val="-10"/>
        </w:rPr>
        <w:t> </w:t>
      </w:r>
      <w:r>
        <w:rPr>
          <w:spacing w:val="-2"/>
        </w:rPr>
        <w:t>is</w:t>
      </w:r>
      <w:r>
        <w:rPr>
          <w:spacing w:val="-7"/>
        </w:rPr>
        <w:t> </w:t>
      </w:r>
      <w:r>
        <w:rPr>
          <w:spacing w:val="-2"/>
        </w:rPr>
        <w:t>gradually</w:t>
      </w:r>
      <w:r>
        <w:rPr>
          <w:spacing w:val="-10"/>
        </w:rPr>
        <w:t> </w:t>
      </w:r>
      <w:r>
        <w:rPr>
          <w:spacing w:val="-2"/>
        </w:rPr>
        <w:t>undermined</w:t>
      </w:r>
      <w:r>
        <w:rPr>
          <w:spacing w:val="-5"/>
        </w:rPr>
        <w:t> </w:t>
      </w:r>
      <w:r>
        <w:rPr>
          <w:spacing w:val="-2"/>
        </w:rPr>
        <w:t>as</w:t>
      </w:r>
      <w:r>
        <w:rPr>
          <w:spacing w:val="-5"/>
        </w:rPr>
        <w:t> </w:t>
      </w:r>
      <w:r>
        <w:rPr>
          <w:spacing w:val="-2"/>
        </w:rPr>
        <w:t>she</w:t>
      </w:r>
      <w:r>
        <w:rPr>
          <w:spacing w:val="-7"/>
        </w:rPr>
        <w:t> </w:t>
      </w:r>
      <w:r>
        <w:rPr>
          <w:spacing w:val="-2"/>
        </w:rPr>
        <w:t>becomes </w:t>
      </w:r>
      <w:r>
        <w:rPr/>
        <w:t>subject to Othello’s growing suspicion and Iago’s manipulation. The shift from love to distrust creates a psychological environment characterized</w:t>
      </w:r>
      <w:r>
        <w:rPr>
          <w:spacing w:val="40"/>
        </w:rPr>
        <w:t> </w:t>
      </w:r>
      <w:r>
        <w:rPr/>
        <w:t>by uncertainty and</w:t>
      </w:r>
      <w:r>
        <w:rPr>
          <w:spacing w:val="40"/>
        </w:rPr>
        <w:t> </w:t>
      </w:r>
      <w:r>
        <w:rPr/>
        <w:t>fear.</w:t>
      </w:r>
    </w:p>
    <w:p>
      <w:pPr>
        <w:pStyle w:val="BodyText"/>
        <w:spacing w:line="264" w:lineRule="auto" w:before="51"/>
        <w:ind w:right="1440" w:firstLine="432"/>
        <w:jc w:val="both"/>
      </w:pPr>
      <w:r>
        <w:rPr/>
        <w:t>Desdemona’s</w:t>
      </w:r>
      <w:r>
        <w:rPr>
          <w:spacing w:val="-13"/>
        </w:rPr>
        <w:t> </w:t>
      </w:r>
      <w:r>
        <w:rPr/>
        <w:t>mental</w:t>
      </w:r>
      <w:r>
        <w:rPr>
          <w:spacing w:val="-12"/>
        </w:rPr>
        <w:t> </w:t>
      </w:r>
      <w:r>
        <w:rPr/>
        <w:t>state</w:t>
      </w:r>
      <w:r>
        <w:rPr>
          <w:spacing w:val="-12"/>
        </w:rPr>
        <w:t> </w:t>
      </w:r>
      <w:r>
        <w:rPr/>
        <w:t>is</w:t>
      </w:r>
      <w:r>
        <w:rPr>
          <w:spacing w:val="-12"/>
        </w:rPr>
        <w:t> </w:t>
      </w:r>
      <w:r>
        <w:rPr/>
        <w:t>marked</w:t>
      </w:r>
      <w:r>
        <w:rPr>
          <w:spacing w:val="-10"/>
        </w:rPr>
        <w:t> </w:t>
      </w:r>
      <w:r>
        <w:rPr/>
        <w:t>by</w:t>
      </w:r>
      <w:r>
        <w:rPr>
          <w:spacing w:val="-13"/>
        </w:rPr>
        <w:t> </w:t>
      </w:r>
      <w:r>
        <w:rPr/>
        <w:t>a</w:t>
      </w:r>
      <w:r>
        <w:rPr>
          <w:spacing w:val="-12"/>
        </w:rPr>
        <w:t> </w:t>
      </w:r>
      <w:r>
        <w:rPr/>
        <w:t>gradual</w:t>
      </w:r>
      <w:r>
        <w:rPr>
          <w:spacing w:val="-12"/>
        </w:rPr>
        <w:t> </w:t>
      </w:r>
      <w:r>
        <w:rPr/>
        <w:t>internalization</w:t>
      </w:r>
      <w:r>
        <w:rPr>
          <w:spacing w:val="-12"/>
        </w:rPr>
        <w:t> </w:t>
      </w:r>
      <w:r>
        <w:rPr/>
        <w:t>of </w:t>
      </w:r>
      <w:r>
        <w:rPr>
          <w:spacing w:val="-2"/>
        </w:rPr>
        <w:t>emotional</w:t>
      </w:r>
      <w:r>
        <w:rPr>
          <w:spacing w:val="-5"/>
        </w:rPr>
        <w:t> </w:t>
      </w:r>
      <w:r>
        <w:rPr>
          <w:spacing w:val="-2"/>
        </w:rPr>
        <w:t>distress. Unlike Ophelia, she does</w:t>
      </w:r>
      <w:r>
        <w:rPr>
          <w:spacing w:val="-5"/>
        </w:rPr>
        <w:t> </w:t>
      </w:r>
      <w:r>
        <w:rPr>
          <w:spacing w:val="-2"/>
        </w:rPr>
        <w:t>not</w:t>
      </w:r>
      <w:r>
        <w:rPr>
          <w:spacing w:val="-5"/>
        </w:rPr>
        <w:t> </w:t>
      </w:r>
      <w:r>
        <w:rPr>
          <w:spacing w:val="-2"/>
        </w:rPr>
        <w:t>externalize</w:t>
      </w:r>
      <w:r>
        <w:rPr>
          <w:spacing w:val="-5"/>
        </w:rPr>
        <w:t> </w:t>
      </w:r>
      <w:r>
        <w:rPr>
          <w:spacing w:val="-2"/>
        </w:rPr>
        <w:t>her suffering through</w:t>
      </w:r>
      <w:r>
        <w:rPr>
          <w:spacing w:val="-11"/>
        </w:rPr>
        <w:t> </w:t>
      </w:r>
      <w:r>
        <w:rPr>
          <w:spacing w:val="-2"/>
        </w:rPr>
        <w:t>madness</w:t>
      </w:r>
      <w:r>
        <w:rPr>
          <w:spacing w:val="-10"/>
        </w:rPr>
        <w:t> </w:t>
      </w:r>
      <w:r>
        <w:rPr>
          <w:spacing w:val="-2"/>
        </w:rPr>
        <w:t>or</w:t>
      </w:r>
      <w:r>
        <w:rPr>
          <w:spacing w:val="-9"/>
        </w:rPr>
        <w:t> </w:t>
      </w:r>
      <w:r>
        <w:rPr>
          <w:spacing w:val="-2"/>
        </w:rPr>
        <w:t>symbolic</w:t>
      </w:r>
      <w:r>
        <w:rPr>
          <w:spacing w:val="-4"/>
        </w:rPr>
        <w:t> </w:t>
      </w:r>
      <w:r>
        <w:rPr>
          <w:spacing w:val="-2"/>
        </w:rPr>
        <w:t>expression.</w:t>
      </w:r>
      <w:r>
        <w:rPr>
          <w:spacing w:val="-5"/>
        </w:rPr>
        <w:t> </w:t>
      </w:r>
      <w:r>
        <w:rPr>
          <w:spacing w:val="-2"/>
        </w:rPr>
        <w:t>Instead,</w:t>
      </w:r>
      <w:r>
        <w:rPr>
          <w:spacing w:val="-11"/>
        </w:rPr>
        <w:t> </w:t>
      </w:r>
      <w:r>
        <w:rPr>
          <w:spacing w:val="-2"/>
        </w:rPr>
        <w:t>she</w:t>
      </w:r>
      <w:r>
        <w:rPr>
          <w:spacing w:val="-5"/>
        </w:rPr>
        <w:t> </w:t>
      </w:r>
      <w:r>
        <w:rPr>
          <w:spacing w:val="-2"/>
        </w:rPr>
        <w:t>remains</w:t>
      </w:r>
      <w:r>
        <w:rPr>
          <w:spacing w:val="-7"/>
        </w:rPr>
        <w:t> </w:t>
      </w:r>
      <w:r>
        <w:rPr>
          <w:spacing w:val="-2"/>
        </w:rPr>
        <w:t>composed, </w:t>
      </w:r>
      <w:r>
        <w:rPr/>
        <w:t>attempting to maintain harmony even as her situation deteriorates. Her words reflect a mixture of loyalty and</w:t>
      </w:r>
      <w:r>
        <w:rPr>
          <w:spacing w:val="40"/>
        </w:rPr>
        <w:t> </w:t>
      </w:r>
      <w:r>
        <w:rPr/>
        <w:t>confusion:</w:t>
      </w:r>
    </w:p>
    <w:p>
      <w:pPr>
        <w:spacing w:before="46"/>
        <w:ind w:left="2160" w:right="0" w:firstLine="0"/>
        <w:jc w:val="both"/>
        <w:rPr>
          <w:i/>
          <w:sz w:val="20"/>
        </w:rPr>
      </w:pPr>
      <w:r>
        <w:rPr>
          <w:i/>
          <w:sz w:val="20"/>
        </w:rPr>
        <w:t>“His</w:t>
      </w:r>
      <w:r>
        <w:rPr>
          <w:i/>
          <w:spacing w:val="24"/>
          <w:sz w:val="20"/>
        </w:rPr>
        <w:t> </w:t>
      </w:r>
      <w:r>
        <w:rPr>
          <w:i/>
          <w:sz w:val="20"/>
        </w:rPr>
        <w:t>unkindness</w:t>
      </w:r>
      <w:r>
        <w:rPr>
          <w:i/>
          <w:spacing w:val="24"/>
          <w:sz w:val="20"/>
        </w:rPr>
        <w:t> </w:t>
      </w:r>
      <w:r>
        <w:rPr>
          <w:i/>
          <w:sz w:val="20"/>
        </w:rPr>
        <w:t>may</w:t>
      </w:r>
      <w:r>
        <w:rPr>
          <w:i/>
          <w:spacing w:val="23"/>
          <w:sz w:val="20"/>
        </w:rPr>
        <w:t> </w:t>
      </w:r>
      <w:r>
        <w:rPr>
          <w:i/>
          <w:sz w:val="20"/>
        </w:rPr>
        <w:t>defeat</w:t>
      </w:r>
      <w:r>
        <w:rPr>
          <w:i/>
          <w:spacing w:val="24"/>
          <w:sz w:val="20"/>
        </w:rPr>
        <w:t> </w:t>
      </w:r>
      <w:r>
        <w:rPr>
          <w:i/>
          <w:sz w:val="20"/>
        </w:rPr>
        <w:t>my</w:t>
      </w:r>
      <w:r>
        <w:rPr>
          <w:i/>
          <w:spacing w:val="26"/>
          <w:sz w:val="20"/>
        </w:rPr>
        <w:t> </w:t>
      </w:r>
      <w:r>
        <w:rPr>
          <w:i/>
          <w:spacing w:val="-4"/>
          <w:sz w:val="20"/>
        </w:rPr>
        <w:t>life,</w:t>
      </w:r>
    </w:p>
    <w:p>
      <w:pPr>
        <w:spacing w:before="70"/>
        <w:ind w:left="2160" w:right="0" w:firstLine="0"/>
        <w:jc w:val="both"/>
        <w:rPr>
          <w:i/>
          <w:sz w:val="20"/>
        </w:rPr>
      </w:pPr>
      <w:r>
        <w:rPr>
          <w:sz w:val="20"/>
        </w:rPr>
        <w:t>But</w:t>
      </w:r>
      <w:r>
        <w:rPr>
          <w:spacing w:val="29"/>
          <w:sz w:val="20"/>
        </w:rPr>
        <w:t> </w:t>
      </w:r>
      <w:r>
        <w:rPr>
          <w:sz w:val="20"/>
        </w:rPr>
        <w:t>never</w:t>
      </w:r>
      <w:r>
        <w:rPr>
          <w:spacing w:val="31"/>
          <w:sz w:val="20"/>
        </w:rPr>
        <w:t> </w:t>
      </w:r>
      <w:r>
        <w:rPr>
          <w:sz w:val="20"/>
        </w:rPr>
        <w:t>taint</w:t>
      </w:r>
      <w:r>
        <w:rPr>
          <w:spacing w:val="30"/>
          <w:sz w:val="20"/>
        </w:rPr>
        <w:t> </w:t>
      </w:r>
      <w:r>
        <w:rPr>
          <w:sz w:val="20"/>
        </w:rPr>
        <w:t>my</w:t>
      </w:r>
      <w:r>
        <w:rPr>
          <w:spacing w:val="25"/>
          <w:sz w:val="20"/>
        </w:rPr>
        <w:t> </w:t>
      </w:r>
      <w:r>
        <w:rPr>
          <w:sz w:val="20"/>
        </w:rPr>
        <w:t>love”</w:t>
      </w:r>
      <w:r>
        <w:rPr>
          <w:spacing w:val="32"/>
          <w:sz w:val="20"/>
        </w:rPr>
        <w:t> </w:t>
      </w:r>
      <w:r>
        <w:rPr>
          <w:i/>
          <w:sz w:val="20"/>
        </w:rPr>
        <w:t>(Othello</w:t>
      </w:r>
      <w:r>
        <w:rPr>
          <w:i/>
          <w:spacing w:val="31"/>
          <w:sz w:val="20"/>
        </w:rPr>
        <w:t> </w:t>
      </w:r>
      <w:r>
        <w:rPr>
          <w:i/>
          <w:sz w:val="20"/>
        </w:rPr>
        <w:t>4.2.161–</w:t>
      </w:r>
      <w:r>
        <w:rPr>
          <w:i/>
          <w:spacing w:val="-4"/>
          <w:sz w:val="20"/>
        </w:rPr>
        <w:t>162).</w:t>
      </w:r>
    </w:p>
    <w:p>
      <w:pPr>
        <w:pStyle w:val="BodyText"/>
        <w:spacing w:line="249" w:lineRule="auto" w:before="67"/>
        <w:ind w:right="1437" w:firstLine="432"/>
        <w:jc w:val="both"/>
      </w:pPr>
      <w:r>
        <w:rPr/>
        <w:t>This statement reveals a psychological tension between self-</w:t>
      </w:r>
      <w:r>
        <w:rPr>
          <w:spacing w:val="-2"/>
        </w:rPr>
        <w:t>preservation</w:t>
      </w:r>
      <w:r>
        <w:rPr>
          <w:spacing w:val="-6"/>
        </w:rPr>
        <w:t> </w:t>
      </w:r>
      <w:r>
        <w:rPr>
          <w:spacing w:val="-2"/>
        </w:rPr>
        <w:t>and</w:t>
      </w:r>
      <w:r>
        <w:rPr>
          <w:spacing w:val="1"/>
        </w:rPr>
        <w:t> </w:t>
      </w:r>
      <w:r>
        <w:rPr>
          <w:spacing w:val="-2"/>
        </w:rPr>
        <w:t>emotional</w:t>
      </w:r>
      <w:r>
        <w:rPr>
          <w:spacing w:val="-5"/>
        </w:rPr>
        <w:t> </w:t>
      </w:r>
      <w:r>
        <w:rPr>
          <w:spacing w:val="-2"/>
        </w:rPr>
        <w:t>commitment.</w:t>
      </w:r>
      <w:r>
        <w:rPr>
          <w:spacing w:val="-3"/>
        </w:rPr>
        <w:t> </w:t>
      </w:r>
      <w:r>
        <w:rPr>
          <w:spacing w:val="-2"/>
        </w:rPr>
        <w:t>Her</w:t>
      </w:r>
      <w:r>
        <w:rPr>
          <w:spacing w:val="-4"/>
        </w:rPr>
        <w:t> </w:t>
      </w:r>
      <w:r>
        <w:rPr>
          <w:spacing w:val="-2"/>
        </w:rPr>
        <w:t>unwavering</w:t>
      </w:r>
      <w:r>
        <w:rPr>
          <w:spacing w:val="-3"/>
        </w:rPr>
        <w:t> </w:t>
      </w:r>
      <w:r>
        <w:rPr>
          <w:spacing w:val="-2"/>
        </w:rPr>
        <w:t>devotion,</w:t>
      </w:r>
      <w:r>
        <w:rPr>
          <w:spacing w:val="-4"/>
        </w:rPr>
        <w:t> even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84800">
                <wp:simplePos x="0" y="0"/>
                <wp:positionH relativeFrom="page">
                  <wp:posOffset>2057400</wp:posOffset>
                </wp:positionH>
                <wp:positionV relativeFrom="paragraph">
                  <wp:posOffset>162604</wp:posOffset>
                </wp:positionV>
                <wp:extent cx="3657600" cy="12700"/>
                <wp:effectExtent l="0" t="0" r="0" b="0"/>
                <wp:wrapTopAndBottom/>
                <wp:docPr id="793" name="Graphic 793"/>
                <wp:cNvGraphicFramePr>
                  <a:graphicFrameLocks/>
                </wp:cNvGraphicFramePr>
                <a:graphic>
                  <a:graphicData uri="http://schemas.microsoft.com/office/word/2010/wordprocessingShape">
                    <wps:wsp>
                      <wps:cNvPr id="793" name="Graphic 79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31680;mso-wrap-distance-left:0;mso-wrap-distance-right:0" id="docshape785" filled="true" fillcolor="#000000" stroked="false">
                <v:fill type="solid"/>
                <w10:wrap type="topAndBottom"/>
              </v:rect>
            </w:pict>
          </mc:Fallback>
        </mc:AlternateContent>
      </w:r>
      <w:r>
        <w:rPr>
          <w:rFonts w:ascii="Verdana"/>
          <w:spacing w:val="-5"/>
          <w:sz w:val="18"/>
        </w:rPr>
        <w:t>406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3"/>
        <w:jc w:val="both"/>
      </w:pPr>
      <w:r>
        <w:rPr/>
        <w:t>in the face of</w:t>
      </w:r>
      <w:r>
        <w:rPr>
          <w:spacing w:val="-2"/>
        </w:rPr>
        <w:t> </w:t>
      </w:r>
      <w:r>
        <w:rPr/>
        <w:t>unjust accusation, highlights the limited options available to her within a patriarchal framework.</w:t>
      </w:r>
    </w:p>
    <w:p>
      <w:pPr>
        <w:pStyle w:val="BodyText"/>
        <w:spacing w:line="249" w:lineRule="auto" w:before="59"/>
        <w:ind w:right="1438" w:firstLine="432"/>
        <w:jc w:val="both"/>
      </w:pPr>
      <w:r>
        <w:rPr>
          <w:spacing w:val="-2"/>
        </w:rPr>
        <w:t>From</w:t>
      </w:r>
      <w:r>
        <w:rPr>
          <w:spacing w:val="-11"/>
        </w:rPr>
        <w:t> </w:t>
      </w:r>
      <w:r>
        <w:rPr>
          <w:spacing w:val="-2"/>
        </w:rPr>
        <w:t>a</w:t>
      </w:r>
      <w:r>
        <w:rPr>
          <w:spacing w:val="-10"/>
        </w:rPr>
        <w:t> </w:t>
      </w:r>
      <w:r>
        <w:rPr>
          <w:spacing w:val="-2"/>
        </w:rPr>
        <w:t>feminist</w:t>
      </w:r>
      <w:r>
        <w:rPr>
          <w:spacing w:val="-11"/>
        </w:rPr>
        <w:t> </w:t>
      </w:r>
      <w:r>
        <w:rPr>
          <w:spacing w:val="-2"/>
        </w:rPr>
        <w:t>perspective,</w:t>
      </w:r>
      <w:r>
        <w:rPr>
          <w:spacing w:val="-10"/>
        </w:rPr>
        <w:t> </w:t>
      </w:r>
      <w:r>
        <w:rPr>
          <w:spacing w:val="-2"/>
        </w:rPr>
        <w:t>Desdemona’s</w:t>
      </w:r>
      <w:r>
        <w:rPr>
          <w:spacing w:val="-11"/>
        </w:rPr>
        <w:t> </w:t>
      </w:r>
      <w:r>
        <w:rPr>
          <w:spacing w:val="-2"/>
        </w:rPr>
        <w:t>silence</w:t>
      </w:r>
      <w:r>
        <w:rPr>
          <w:spacing w:val="-10"/>
        </w:rPr>
        <w:t> </w:t>
      </w:r>
      <w:r>
        <w:rPr>
          <w:spacing w:val="-2"/>
        </w:rPr>
        <w:t>can</w:t>
      </w:r>
      <w:r>
        <w:rPr>
          <w:spacing w:val="-11"/>
        </w:rPr>
        <w:t> </w:t>
      </w:r>
      <w:r>
        <w:rPr>
          <w:spacing w:val="-2"/>
        </w:rPr>
        <w:t>be</w:t>
      </w:r>
      <w:r>
        <w:rPr>
          <w:spacing w:val="-10"/>
        </w:rPr>
        <w:t> </w:t>
      </w:r>
      <w:r>
        <w:rPr>
          <w:spacing w:val="-2"/>
        </w:rPr>
        <w:t>interpreted </w:t>
      </w:r>
      <w:r>
        <w:rPr/>
        <w:t>as</w:t>
      </w:r>
      <w:r>
        <w:rPr>
          <w:spacing w:val="-13"/>
        </w:rPr>
        <w:t> </w:t>
      </w:r>
      <w:r>
        <w:rPr/>
        <w:t>both</w:t>
      </w:r>
      <w:r>
        <w:rPr>
          <w:spacing w:val="-12"/>
        </w:rPr>
        <w:t> </w:t>
      </w:r>
      <w:r>
        <w:rPr/>
        <w:t>a</w:t>
      </w:r>
      <w:r>
        <w:rPr>
          <w:spacing w:val="-13"/>
        </w:rPr>
        <w:t> </w:t>
      </w:r>
      <w:r>
        <w:rPr/>
        <w:t>condition</w:t>
      </w:r>
      <w:r>
        <w:rPr>
          <w:spacing w:val="-12"/>
        </w:rPr>
        <w:t> </w:t>
      </w:r>
      <w:r>
        <w:rPr/>
        <w:t>imposed</w:t>
      </w:r>
      <w:r>
        <w:rPr>
          <w:spacing w:val="-13"/>
        </w:rPr>
        <w:t> </w:t>
      </w:r>
      <w:r>
        <w:rPr/>
        <w:t>by</w:t>
      </w:r>
      <w:r>
        <w:rPr>
          <w:spacing w:val="-12"/>
        </w:rPr>
        <w:t> </w:t>
      </w:r>
      <w:r>
        <w:rPr/>
        <w:t>society</w:t>
      </w:r>
      <w:r>
        <w:rPr>
          <w:spacing w:val="-13"/>
        </w:rPr>
        <w:t> </w:t>
      </w:r>
      <w:r>
        <w:rPr/>
        <w:t>and</w:t>
      </w:r>
      <w:r>
        <w:rPr>
          <w:spacing w:val="-12"/>
        </w:rPr>
        <w:t> </w:t>
      </w:r>
      <w:r>
        <w:rPr/>
        <w:t>a</w:t>
      </w:r>
      <w:r>
        <w:rPr>
          <w:spacing w:val="-13"/>
        </w:rPr>
        <w:t> </w:t>
      </w:r>
      <w:r>
        <w:rPr/>
        <w:t>strategic</w:t>
      </w:r>
      <w:r>
        <w:rPr>
          <w:spacing w:val="-12"/>
        </w:rPr>
        <w:t> </w:t>
      </w:r>
      <w:r>
        <w:rPr/>
        <w:t>form</w:t>
      </w:r>
      <w:r>
        <w:rPr>
          <w:spacing w:val="-13"/>
        </w:rPr>
        <w:t> </w:t>
      </w:r>
      <w:r>
        <w:rPr/>
        <w:t>of</w:t>
      </w:r>
      <w:r>
        <w:rPr>
          <w:spacing w:val="-12"/>
        </w:rPr>
        <w:t> </w:t>
      </w:r>
      <w:r>
        <w:rPr/>
        <w:t>endurance. She</w:t>
      </w:r>
      <w:r>
        <w:rPr>
          <w:spacing w:val="-13"/>
        </w:rPr>
        <w:t> </w:t>
      </w:r>
      <w:r>
        <w:rPr/>
        <w:t>lacks</w:t>
      </w:r>
      <w:r>
        <w:rPr>
          <w:spacing w:val="-10"/>
        </w:rPr>
        <w:t> </w:t>
      </w:r>
      <w:r>
        <w:rPr/>
        <w:t>the</w:t>
      </w:r>
      <w:r>
        <w:rPr>
          <w:spacing w:val="-12"/>
        </w:rPr>
        <w:t> </w:t>
      </w:r>
      <w:r>
        <w:rPr/>
        <w:t>authority</w:t>
      </w:r>
      <w:r>
        <w:rPr>
          <w:spacing w:val="-13"/>
        </w:rPr>
        <w:t> </w:t>
      </w:r>
      <w:r>
        <w:rPr/>
        <w:t>to</w:t>
      </w:r>
      <w:r>
        <w:rPr>
          <w:spacing w:val="-10"/>
        </w:rPr>
        <w:t> </w:t>
      </w:r>
      <w:r>
        <w:rPr/>
        <w:t>challenge</w:t>
      </w:r>
      <w:r>
        <w:rPr>
          <w:spacing w:val="-10"/>
        </w:rPr>
        <w:t> </w:t>
      </w:r>
      <w:r>
        <w:rPr/>
        <w:t>Othello</w:t>
      </w:r>
      <w:r>
        <w:rPr>
          <w:spacing w:val="-10"/>
        </w:rPr>
        <w:t> </w:t>
      </w:r>
      <w:r>
        <w:rPr/>
        <w:t>effectively,</w:t>
      </w:r>
      <w:r>
        <w:rPr>
          <w:spacing w:val="-10"/>
        </w:rPr>
        <w:t> </w:t>
      </w:r>
      <w:r>
        <w:rPr/>
        <w:t>and</w:t>
      </w:r>
      <w:r>
        <w:rPr>
          <w:spacing w:val="-9"/>
        </w:rPr>
        <w:t> </w:t>
      </w:r>
      <w:r>
        <w:rPr/>
        <w:t>her</w:t>
      </w:r>
      <w:r>
        <w:rPr>
          <w:spacing w:val="-10"/>
        </w:rPr>
        <w:t> </w:t>
      </w:r>
      <w:r>
        <w:rPr/>
        <w:t>attempts to defend herself are overshadowed by his power and social position. Her psychological distress is thus internalized, manifesting not in madness</w:t>
      </w:r>
      <w:r>
        <w:rPr>
          <w:spacing w:val="40"/>
        </w:rPr>
        <w:t> </w:t>
      </w:r>
      <w:r>
        <w:rPr/>
        <w:t>but</w:t>
      </w:r>
      <w:r>
        <w:rPr>
          <w:spacing w:val="40"/>
        </w:rPr>
        <w:t> </w:t>
      </w:r>
      <w:r>
        <w:rPr/>
        <w:t>in</w:t>
      </w:r>
      <w:r>
        <w:rPr>
          <w:spacing w:val="40"/>
        </w:rPr>
        <w:t> </w:t>
      </w:r>
      <w:r>
        <w:rPr/>
        <w:t>resignation.</w:t>
      </w:r>
    </w:p>
    <w:p>
      <w:pPr>
        <w:pStyle w:val="BodyText"/>
        <w:spacing w:line="309" w:lineRule="auto" w:before="63"/>
        <w:ind w:left="2160" w:right="1534" w:hanging="288"/>
        <w:jc w:val="both"/>
        <w:rPr>
          <w:i/>
        </w:rPr>
      </w:pPr>
      <w:r>
        <w:rPr/>
        <w:t>The culmination of her experience occurs in her final moments: “A</w:t>
      </w:r>
      <w:r>
        <w:rPr>
          <w:spacing w:val="40"/>
        </w:rPr>
        <w:t> </w:t>
      </w:r>
      <w:r>
        <w:rPr/>
        <w:t>guiltless</w:t>
      </w:r>
      <w:r>
        <w:rPr>
          <w:spacing w:val="40"/>
        </w:rPr>
        <w:t> </w:t>
      </w:r>
      <w:r>
        <w:rPr/>
        <w:t>death</w:t>
      </w:r>
      <w:r>
        <w:rPr>
          <w:spacing w:val="40"/>
        </w:rPr>
        <w:t> </w:t>
      </w:r>
      <w:r>
        <w:rPr/>
        <w:t>I</w:t>
      </w:r>
      <w:r>
        <w:rPr>
          <w:spacing w:val="40"/>
        </w:rPr>
        <w:t> </w:t>
      </w:r>
      <w:r>
        <w:rPr/>
        <w:t>die”</w:t>
      </w:r>
      <w:r>
        <w:rPr>
          <w:spacing w:val="40"/>
        </w:rPr>
        <w:t> </w:t>
      </w:r>
      <w:r>
        <w:rPr>
          <w:i/>
        </w:rPr>
        <w:t>(Othello</w:t>
      </w:r>
      <w:r>
        <w:rPr>
          <w:i/>
          <w:spacing w:val="40"/>
        </w:rPr>
        <w:t> </w:t>
      </w:r>
      <w:r>
        <w:rPr>
          <w:i/>
        </w:rPr>
        <w:t>5.2.123).</w:t>
      </w:r>
    </w:p>
    <w:p>
      <w:pPr>
        <w:pStyle w:val="BodyText"/>
        <w:spacing w:line="249" w:lineRule="auto" w:before="4"/>
        <w:ind w:right="1438" w:firstLine="432"/>
        <w:jc w:val="both"/>
      </w:pPr>
      <w:r>
        <w:rPr/>
        <w:t>This declaration underscores her awareness of injustice while simultaneously affirming her innocence. Her death represents not only</w:t>
      </w:r>
      <w:r>
        <w:rPr>
          <w:spacing w:val="40"/>
        </w:rPr>
        <w:t> </w:t>
      </w:r>
      <w:r>
        <w:rPr/>
        <w:t>a physical tragedy but also the ultimate consequence of emotional suppression</w:t>
      </w:r>
      <w:r>
        <w:rPr>
          <w:spacing w:val="40"/>
        </w:rPr>
        <w:t> </w:t>
      </w:r>
      <w:r>
        <w:rPr/>
        <w:t>and</w:t>
      </w:r>
      <w:r>
        <w:rPr>
          <w:spacing w:val="40"/>
        </w:rPr>
        <w:t> </w:t>
      </w:r>
      <w:r>
        <w:rPr/>
        <w:t>social</w:t>
      </w:r>
      <w:r>
        <w:rPr>
          <w:spacing w:val="40"/>
        </w:rPr>
        <w:t> </w:t>
      </w:r>
      <w:r>
        <w:rPr/>
        <w:t>inequality.</w:t>
      </w:r>
    </w:p>
    <w:p>
      <w:pPr>
        <w:pStyle w:val="BodyText"/>
        <w:spacing w:line="249" w:lineRule="auto" w:before="61"/>
        <w:ind w:right="1438" w:firstLine="432"/>
        <w:jc w:val="both"/>
      </w:pPr>
      <w:r>
        <w:rPr/>
        <w:t>Desdemona’s</w:t>
      </w:r>
      <w:r>
        <w:rPr>
          <w:spacing w:val="-2"/>
        </w:rPr>
        <w:t> </w:t>
      </w:r>
      <w:r>
        <w:rPr/>
        <w:t>character</w:t>
      </w:r>
      <w:r>
        <w:rPr>
          <w:spacing w:val="-1"/>
        </w:rPr>
        <w:t> </w:t>
      </w:r>
      <w:r>
        <w:rPr/>
        <w:t>challenges</w:t>
      </w:r>
      <w:r>
        <w:rPr>
          <w:spacing w:val="-2"/>
        </w:rPr>
        <w:t> </w:t>
      </w:r>
      <w:r>
        <w:rPr/>
        <w:t>conventional</w:t>
      </w:r>
      <w:r>
        <w:rPr>
          <w:spacing w:val="-2"/>
        </w:rPr>
        <w:t> </w:t>
      </w:r>
      <w:r>
        <w:rPr/>
        <w:t>notions</w:t>
      </w:r>
      <w:r>
        <w:rPr>
          <w:spacing w:val="-2"/>
        </w:rPr>
        <w:t> </w:t>
      </w:r>
      <w:r>
        <w:rPr/>
        <w:t>of</w:t>
      </w:r>
      <w:r>
        <w:rPr>
          <w:spacing w:val="-2"/>
        </w:rPr>
        <w:t> </w:t>
      </w:r>
      <w:r>
        <w:rPr/>
        <w:t>mental health by demonstrating that psychological suffering does not always </w:t>
      </w:r>
      <w:r>
        <w:rPr>
          <w:spacing w:val="-2"/>
        </w:rPr>
        <w:t>manifest</w:t>
      </w:r>
      <w:r>
        <w:rPr>
          <w:spacing w:val="-8"/>
        </w:rPr>
        <w:t> </w:t>
      </w:r>
      <w:r>
        <w:rPr>
          <w:spacing w:val="-2"/>
        </w:rPr>
        <w:t>visibly.</w:t>
      </w:r>
      <w:r>
        <w:rPr>
          <w:spacing w:val="-6"/>
        </w:rPr>
        <w:t> </w:t>
      </w:r>
      <w:r>
        <w:rPr>
          <w:spacing w:val="-2"/>
        </w:rPr>
        <w:t>Her</w:t>
      </w:r>
      <w:r>
        <w:rPr>
          <w:spacing w:val="-8"/>
        </w:rPr>
        <w:t> </w:t>
      </w:r>
      <w:r>
        <w:rPr>
          <w:spacing w:val="-2"/>
        </w:rPr>
        <w:t>experience</w:t>
      </w:r>
      <w:r>
        <w:rPr>
          <w:spacing w:val="-8"/>
        </w:rPr>
        <w:t> </w:t>
      </w:r>
      <w:r>
        <w:rPr>
          <w:spacing w:val="-2"/>
        </w:rPr>
        <w:t>highlights</w:t>
      </w:r>
      <w:r>
        <w:rPr>
          <w:spacing w:val="-6"/>
        </w:rPr>
        <w:t> </w:t>
      </w:r>
      <w:r>
        <w:rPr>
          <w:spacing w:val="-2"/>
        </w:rPr>
        <w:t>the</w:t>
      </w:r>
      <w:r>
        <w:rPr>
          <w:spacing w:val="-6"/>
        </w:rPr>
        <w:t> </w:t>
      </w:r>
      <w:r>
        <w:rPr>
          <w:spacing w:val="-2"/>
        </w:rPr>
        <w:t>importance</w:t>
      </w:r>
      <w:r>
        <w:rPr>
          <w:spacing w:val="-8"/>
        </w:rPr>
        <w:t> </w:t>
      </w:r>
      <w:r>
        <w:rPr>
          <w:spacing w:val="-2"/>
        </w:rPr>
        <w:t>of</w:t>
      </w:r>
      <w:r>
        <w:rPr>
          <w:spacing w:val="-8"/>
        </w:rPr>
        <w:t> </w:t>
      </w:r>
      <w:r>
        <w:rPr>
          <w:spacing w:val="-2"/>
        </w:rPr>
        <w:t>recognizing </w:t>
      </w:r>
      <w:r>
        <w:rPr/>
        <w:t>silent forms of distress, particularly in contexts where expression is constrained. Shakespeare’s portrayal thus expands the understanding</w:t>
      </w:r>
      <w:r>
        <w:rPr>
          <w:spacing w:val="80"/>
          <w:w w:val="150"/>
        </w:rPr>
        <w:t> </w:t>
      </w:r>
      <w:r>
        <w:rPr/>
        <w:t>of mental health beyond overt symptoms, emphasizing the role of emotional</w:t>
      </w:r>
      <w:r>
        <w:rPr>
          <w:spacing w:val="40"/>
        </w:rPr>
        <w:t> </w:t>
      </w:r>
      <w:r>
        <w:rPr/>
        <w:t>endurance</w:t>
      </w:r>
      <w:r>
        <w:rPr>
          <w:spacing w:val="40"/>
        </w:rPr>
        <w:t> </w:t>
      </w:r>
      <w:r>
        <w:rPr/>
        <w:t>and</w:t>
      </w:r>
      <w:r>
        <w:rPr>
          <w:spacing w:val="40"/>
        </w:rPr>
        <w:t> </w:t>
      </w:r>
      <w:r>
        <w:rPr/>
        <w:t>social</w:t>
      </w:r>
      <w:r>
        <w:rPr>
          <w:spacing w:val="40"/>
        </w:rPr>
        <w:t> </w:t>
      </w:r>
      <w:r>
        <w:rPr/>
        <w:t>pressure.</w:t>
      </w:r>
    </w:p>
    <w:p>
      <w:pPr>
        <w:pStyle w:val="Heading4"/>
        <w:numPr>
          <w:ilvl w:val="0"/>
          <w:numId w:val="82"/>
        </w:numPr>
        <w:tabs>
          <w:tab w:pos="1681" w:val="left" w:leader="none"/>
        </w:tabs>
        <w:spacing w:line="235" w:lineRule="auto" w:before="106" w:after="0"/>
        <w:ind w:left="1440" w:right="1444" w:firstLine="0"/>
        <w:jc w:val="left"/>
      </w:pPr>
      <w:r>
        <w:rPr>
          <w:rFonts w:ascii="Cambria"/>
          <w:i/>
          <w:spacing w:val="-4"/>
        </w:rPr>
        <w:t>Juliet:</w:t>
      </w:r>
      <w:r>
        <w:rPr>
          <w:rFonts w:ascii="Cambria"/>
          <w:i/>
          <w:spacing w:val="-6"/>
        </w:rPr>
        <w:t> </w:t>
      </w:r>
      <w:r>
        <w:rPr>
          <w:spacing w:val="-4"/>
        </w:rPr>
        <w:t>Emotional</w:t>
      </w:r>
      <w:r>
        <w:rPr>
          <w:spacing w:val="-12"/>
        </w:rPr>
        <w:t> </w:t>
      </w:r>
      <w:r>
        <w:rPr>
          <w:spacing w:val="-4"/>
        </w:rPr>
        <w:t>Extremity,</w:t>
      </w:r>
      <w:r>
        <w:rPr>
          <w:spacing w:val="-12"/>
        </w:rPr>
        <w:t> </w:t>
      </w:r>
      <w:r>
        <w:rPr>
          <w:spacing w:val="-4"/>
        </w:rPr>
        <w:t>Youth</w:t>
      </w:r>
      <w:r>
        <w:rPr>
          <w:spacing w:val="-13"/>
        </w:rPr>
        <w:t> </w:t>
      </w:r>
      <w:r>
        <w:rPr>
          <w:spacing w:val="-4"/>
        </w:rPr>
        <w:t>and</w:t>
      </w:r>
      <w:r>
        <w:rPr>
          <w:spacing w:val="-12"/>
        </w:rPr>
        <w:t> </w:t>
      </w:r>
      <w:r>
        <w:rPr>
          <w:spacing w:val="-4"/>
        </w:rPr>
        <w:t>Psychological </w:t>
      </w:r>
      <w:r>
        <w:rPr>
          <w:spacing w:val="-2"/>
        </w:rPr>
        <w:t>Conflict</w:t>
      </w:r>
    </w:p>
    <w:p>
      <w:pPr>
        <w:pStyle w:val="BodyText"/>
        <w:spacing w:line="249" w:lineRule="auto" w:before="77"/>
        <w:ind w:right="1439" w:firstLine="432"/>
        <w:jc w:val="both"/>
      </w:pPr>
      <w:r>
        <w:rPr/>
        <w:t>Juliet’s psychological journey in Romeo and Juliet offers a compelling exploration of emotional intensity and internal conflict. As</w:t>
      </w:r>
      <w:r>
        <w:rPr>
          <w:spacing w:val="40"/>
        </w:rPr>
        <w:t> </w:t>
      </w:r>
      <w:r>
        <w:rPr/>
        <w:t>a</w:t>
      </w:r>
      <w:r>
        <w:rPr>
          <w:spacing w:val="-13"/>
        </w:rPr>
        <w:t> </w:t>
      </w:r>
      <w:r>
        <w:rPr/>
        <w:t>young</w:t>
      </w:r>
      <w:r>
        <w:rPr>
          <w:spacing w:val="-12"/>
        </w:rPr>
        <w:t> </w:t>
      </w:r>
      <w:r>
        <w:rPr/>
        <w:t>woman</w:t>
      </w:r>
      <w:r>
        <w:rPr>
          <w:spacing w:val="-13"/>
        </w:rPr>
        <w:t> </w:t>
      </w:r>
      <w:r>
        <w:rPr/>
        <w:t>navigating</w:t>
      </w:r>
      <w:r>
        <w:rPr>
          <w:spacing w:val="-12"/>
        </w:rPr>
        <w:t> </w:t>
      </w:r>
      <w:r>
        <w:rPr/>
        <w:t>the</w:t>
      </w:r>
      <w:r>
        <w:rPr>
          <w:spacing w:val="-13"/>
        </w:rPr>
        <w:t> </w:t>
      </w:r>
      <w:r>
        <w:rPr/>
        <w:t>transition</w:t>
      </w:r>
      <w:r>
        <w:rPr>
          <w:spacing w:val="-12"/>
        </w:rPr>
        <w:t> </w:t>
      </w:r>
      <w:r>
        <w:rPr/>
        <w:t>from</w:t>
      </w:r>
      <w:r>
        <w:rPr>
          <w:spacing w:val="-13"/>
        </w:rPr>
        <w:t> </w:t>
      </w:r>
      <w:r>
        <w:rPr/>
        <w:t>adolescence</w:t>
      </w:r>
      <w:r>
        <w:rPr>
          <w:spacing w:val="-12"/>
        </w:rPr>
        <w:t> </w:t>
      </w:r>
      <w:r>
        <w:rPr/>
        <w:t>to</w:t>
      </w:r>
      <w:r>
        <w:rPr>
          <w:spacing w:val="-12"/>
        </w:rPr>
        <w:t> </w:t>
      </w:r>
      <w:r>
        <w:rPr/>
        <w:t>adulthood, Juliet experiences a range of powerful emotions that shape her mental state. Her character is defined by passion, urgency,</w:t>
      </w:r>
      <w:r>
        <w:rPr>
          <w:spacing w:val="22"/>
        </w:rPr>
        <w:t> </w:t>
      </w:r>
      <w:r>
        <w:rPr/>
        <w:t>and</w:t>
      </w:r>
      <w:r>
        <w:rPr>
          <w:spacing w:val="22"/>
        </w:rPr>
        <w:t> </w:t>
      </w:r>
      <w:r>
        <w:rPr/>
        <w:t>a willingness</w:t>
      </w:r>
      <w:r>
        <w:rPr>
          <w:spacing w:val="40"/>
        </w:rPr>
        <w:t> </w:t>
      </w:r>
      <w:r>
        <w:rPr/>
        <w:t>to challenge social norms, yet these qualities also contribute to her psychological</w:t>
      </w:r>
      <w:r>
        <w:rPr>
          <w:spacing w:val="40"/>
        </w:rPr>
        <w:t> </w:t>
      </w:r>
      <w:r>
        <w:rPr/>
        <w:t>vulnerability.</w:t>
      </w:r>
    </w:p>
    <w:p>
      <w:pPr>
        <w:pStyle w:val="BodyText"/>
        <w:spacing w:line="249" w:lineRule="auto" w:before="63"/>
        <w:ind w:right="1441" w:firstLine="432"/>
        <w:jc w:val="both"/>
      </w:pPr>
      <w:r>
        <w:rPr/>
        <w:t>At the core of Juliet’s experience is the tension between personal desire and social expectation. Her love for Romeo emerges in direct opposition to her family’s feud, creating a situation in which emotional fulfillment</w:t>
      </w:r>
      <w:r>
        <w:rPr>
          <w:spacing w:val="-5"/>
        </w:rPr>
        <w:t> </w:t>
      </w:r>
      <w:r>
        <w:rPr/>
        <w:t>and</w:t>
      </w:r>
      <w:r>
        <w:rPr>
          <w:spacing w:val="-1"/>
        </w:rPr>
        <w:t> </w:t>
      </w:r>
      <w:r>
        <w:rPr/>
        <w:t>social</w:t>
      </w:r>
      <w:r>
        <w:rPr>
          <w:spacing w:val="-6"/>
        </w:rPr>
        <w:t> </w:t>
      </w:r>
      <w:r>
        <w:rPr/>
        <w:t>duty</w:t>
      </w:r>
      <w:r>
        <w:rPr>
          <w:spacing w:val="-8"/>
        </w:rPr>
        <w:t> </w:t>
      </w:r>
      <w:r>
        <w:rPr/>
        <w:t>are</w:t>
      </w:r>
      <w:r>
        <w:rPr>
          <w:spacing w:val="-2"/>
        </w:rPr>
        <w:t> </w:t>
      </w:r>
      <w:r>
        <w:rPr/>
        <w:t>irreconcilable.</w:t>
      </w:r>
      <w:r>
        <w:rPr>
          <w:spacing w:val="-4"/>
        </w:rPr>
        <w:t> </w:t>
      </w:r>
      <w:r>
        <w:rPr/>
        <w:t>This</w:t>
      </w:r>
      <w:r>
        <w:rPr>
          <w:spacing w:val="-6"/>
        </w:rPr>
        <w:t> </w:t>
      </w:r>
      <w:r>
        <w:rPr/>
        <w:t>conflict</w:t>
      </w:r>
      <w:r>
        <w:rPr>
          <w:spacing w:val="-4"/>
        </w:rPr>
        <w:t> </w:t>
      </w:r>
      <w:r>
        <w:rPr/>
        <w:t>is</w:t>
      </w:r>
      <w:r>
        <w:rPr>
          <w:spacing w:val="-4"/>
        </w:rPr>
        <w:t> </w:t>
      </w:r>
      <w:r>
        <w:rPr/>
        <w:t>articulated in her famous realization:</w:t>
      </w:r>
    </w:p>
    <w:p>
      <w:pPr>
        <w:spacing w:line="249" w:lineRule="auto" w:before="62"/>
        <w:ind w:left="2160" w:right="2162" w:firstLine="0"/>
        <w:jc w:val="both"/>
        <w:rPr>
          <w:i/>
          <w:sz w:val="20"/>
        </w:rPr>
      </w:pPr>
      <w:r>
        <w:rPr>
          <w:i/>
          <w:sz w:val="20"/>
        </w:rPr>
        <w:t>“My only love sprung from my only hate!” (Romeo and</w:t>
      </w:r>
      <w:r>
        <w:rPr>
          <w:i/>
          <w:spacing w:val="40"/>
          <w:sz w:val="20"/>
        </w:rPr>
        <w:t> </w:t>
      </w:r>
      <w:r>
        <w:rPr>
          <w:i/>
          <w:sz w:val="20"/>
        </w:rPr>
        <w:t>Juliet</w:t>
      </w:r>
      <w:r>
        <w:rPr>
          <w:i/>
          <w:spacing w:val="40"/>
          <w:sz w:val="20"/>
        </w:rPr>
        <w:t> </w:t>
      </w:r>
      <w:r>
        <w:rPr>
          <w:i/>
          <w:sz w:val="20"/>
        </w:rPr>
        <w:t>1.5.152).</w:t>
      </w:r>
    </w:p>
    <w:p>
      <w:pPr>
        <w:spacing w:after="0" w:line="249" w:lineRule="auto"/>
        <w:jc w:val="both"/>
        <w:rPr>
          <w:i/>
          <w:sz w:val="20"/>
        </w:rPr>
        <w:sectPr>
          <w:pgSz w:w="12240" w:h="15840"/>
          <w:pgMar w:top="1820" w:bottom="280" w:left="1800" w:right="1800"/>
        </w:sectPr>
      </w:pPr>
    </w:p>
    <w:p>
      <w:pPr>
        <w:pStyle w:val="BodyText"/>
        <w:ind w:left="0"/>
        <w:rPr>
          <w:i/>
          <w:sz w:val="18"/>
        </w:rPr>
      </w:pPr>
    </w:p>
    <w:p>
      <w:pPr>
        <w:pStyle w:val="BodyText"/>
        <w:ind w:left="0"/>
        <w:rPr>
          <w:i/>
          <w:sz w:val="18"/>
        </w:rPr>
      </w:pPr>
    </w:p>
    <w:p>
      <w:pPr>
        <w:pStyle w:val="BodyText"/>
        <w:ind w:left="0"/>
        <w:rPr>
          <w:i/>
          <w:sz w:val="18"/>
        </w:rPr>
      </w:pPr>
    </w:p>
    <w:p>
      <w:pPr>
        <w:pStyle w:val="BodyText"/>
        <w:spacing w:before="168"/>
        <w:ind w:left="0"/>
        <w:rPr>
          <w:i/>
          <w:sz w:val="18"/>
        </w:rPr>
      </w:pPr>
    </w:p>
    <w:p>
      <w:pPr>
        <w:tabs>
          <w:tab w:pos="5445" w:val="left" w:leader="none"/>
        </w:tabs>
        <w:spacing w:before="0"/>
        <w:ind w:left="0" w:right="1" w:firstLine="0"/>
        <w:jc w:val="center"/>
        <w:rPr>
          <w:rFonts w:ascii="Verdana"/>
          <w:sz w:val="18"/>
        </w:rPr>
      </w:pPr>
      <w:r>
        <w:rPr>
          <w:rFonts w:ascii="Verdana"/>
          <w:sz w:val="18"/>
        </w:rPr>
        <mc:AlternateContent>
          <mc:Choice Requires="wps">
            <w:drawing>
              <wp:anchor distT="0" distB="0" distL="0" distR="0" allowOverlap="1" layoutInCell="1" locked="0" behindDoc="1" simplePos="0" relativeHeight="487885312">
                <wp:simplePos x="0" y="0"/>
                <wp:positionH relativeFrom="page">
                  <wp:posOffset>2065020</wp:posOffset>
                </wp:positionH>
                <wp:positionV relativeFrom="paragraph">
                  <wp:posOffset>162604</wp:posOffset>
                </wp:positionV>
                <wp:extent cx="3657600" cy="12700"/>
                <wp:effectExtent l="0" t="0" r="0" b="0"/>
                <wp:wrapTopAndBottom/>
                <wp:docPr id="794" name="Graphic 794"/>
                <wp:cNvGraphicFramePr>
                  <a:graphicFrameLocks/>
                </wp:cNvGraphicFramePr>
                <a:graphic>
                  <a:graphicData uri="http://schemas.microsoft.com/office/word/2010/wordprocessingShape">
                    <wps:wsp>
                      <wps:cNvPr id="794" name="Graphic 79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31168;mso-wrap-distance-left:0;mso-wrap-distance-right:0" id="docshape786" filled="true" fillcolor="#000000" stroked="false">
                <v:fill type="solid"/>
                <w10:wrap type="topAndBottom"/>
              </v:rect>
            </w:pict>
          </mc:Fallback>
        </mc:AlternateContent>
      </w:r>
      <w:r>
        <w:rPr>
          <w:rFonts w:ascii="Verdana"/>
          <w:spacing w:val="-4"/>
          <w:sz w:val="18"/>
        </w:rPr>
        <w:t>Women</w:t>
      </w:r>
      <w:r>
        <w:rPr>
          <w:rFonts w:ascii="Verdana"/>
          <w:spacing w:val="-10"/>
          <w:sz w:val="18"/>
        </w:rPr>
        <w:t> </w:t>
      </w:r>
      <w:r>
        <w:rPr>
          <w:rFonts w:ascii="Verdana"/>
          <w:spacing w:val="-4"/>
          <w:sz w:val="18"/>
        </w:rPr>
        <w:t>and</w:t>
      </w:r>
      <w:r>
        <w:rPr>
          <w:rFonts w:ascii="Verdana"/>
          <w:spacing w:val="-10"/>
          <w:sz w:val="18"/>
        </w:rPr>
        <w:t> </w:t>
      </w:r>
      <w:r>
        <w:rPr>
          <w:rFonts w:ascii="Verdana"/>
          <w:spacing w:val="-4"/>
          <w:sz w:val="18"/>
        </w:rPr>
        <w:t>Mental</w:t>
      </w:r>
      <w:r>
        <w:rPr>
          <w:rFonts w:ascii="Verdana"/>
          <w:spacing w:val="-10"/>
          <w:sz w:val="18"/>
        </w:rPr>
        <w:t> </w:t>
      </w:r>
      <w:r>
        <w:rPr>
          <w:rFonts w:ascii="Verdana"/>
          <w:spacing w:val="-4"/>
          <w:sz w:val="18"/>
        </w:rPr>
        <w:t>Health</w:t>
      </w:r>
      <w:r>
        <w:rPr>
          <w:rFonts w:ascii="Verdana"/>
          <w:spacing w:val="-7"/>
          <w:sz w:val="18"/>
        </w:rPr>
        <w:t> </w:t>
      </w:r>
      <w:r>
        <w:rPr>
          <w:rFonts w:ascii="Verdana"/>
          <w:spacing w:val="-4"/>
          <w:sz w:val="18"/>
        </w:rPr>
        <w:t>in</w:t>
      </w:r>
      <w:r>
        <w:rPr>
          <w:rFonts w:ascii="Verdana"/>
          <w:spacing w:val="-10"/>
          <w:sz w:val="18"/>
        </w:rPr>
        <w:t> </w:t>
      </w:r>
      <w:r>
        <w:rPr>
          <w:rFonts w:ascii="Verdana"/>
          <w:spacing w:val="-4"/>
          <w:sz w:val="18"/>
        </w:rPr>
        <w:t>Select</w:t>
      </w:r>
      <w:r>
        <w:rPr>
          <w:rFonts w:ascii="Verdana"/>
          <w:spacing w:val="-11"/>
          <w:sz w:val="18"/>
        </w:rPr>
        <w:t> </w:t>
      </w:r>
      <w:r>
        <w:rPr>
          <w:rFonts w:ascii="Verdana"/>
          <w:spacing w:val="-4"/>
          <w:sz w:val="18"/>
        </w:rPr>
        <w:t>Shakespearean</w:t>
      </w:r>
      <w:r>
        <w:rPr>
          <w:rFonts w:ascii="Verdana"/>
          <w:spacing w:val="-9"/>
          <w:sz w:val="18"/>
        </w:rPr>
        <w:t> </w:t>
      </w:r>
      <w:r>
        <w:rPr>
          <w:rFonts w:ascii="Verdana"/>
          <w:spacing w:val="-4"/>
          <w:sz w:val="18"/>
        </w:rPr>
        <w:t>Plays...</w:t>
      </w:r>
      <w:r>
        <w:rPr>
          <w:rFonts w:ascii="Verdana"/>
          <w:sz w:val="18"/>
        </w:rPr>
        <w:tab/>
      </w:r>
      <w:r>
        <w:rPr>
          <w:rFonts w:ascii="Verdana"/>
          <w:spacing w:val="-5"/>
          <w:sz w:val="18"/>
        </w:rPr>
        <w:t>407</w:t>
      </w:r>
    </w:p>
    <w:p>
      <w:pPr>
        <w:pStyle w:val="BodyText"/>
        <w:spacing w:line="249" w:lineRule="auto" w:before="192"/>
        <w:ind w:right="1441" w:firstLine="432"/>
        <w:jc w:val="both"/>
      </w:pPr>
      <w:r>
        <w:rPr/>
        <w:t>This</w:t>
      </w:r>
      <w:r>
        <w:rPr>
          <w:spacing w:val="-9"/>
        </w:rPr>
        <w:t> </w:t>
      </w:r>
      <w:r>
        <w:rPr/>
        <w:t>line</w:t>
      </w:r>
      <w:r>
        <w:rPr>
          <w:spacing w:val="-10"/>
        </w:rPr>
        <w:t> </w:t>
      </w:r>
      <w:r>
        <w:rPr/>
        <w:t>encapsulates</w:t>
      </w:r>
      <w:r>
        <w:rPr>
          <w:spacing w:val="-11"/>
        </w:rPr>
        <w:t> </w:t>
      </w:r>
      <w:r>
        <w:rPr/>
        <w:t>the</w:t>
      </w:r>
      <w:r>
        <w:rPr>
          <w:spacing w:val="-9"/>
        </w:rPr>
        <w:t> </w:t>
      </w:r>
      <w:r>
        <w:rPr/>
        <w:t>paradox</w:t>
      </w:r>
      <w:r>
        <w:rPr>
          <w:spacing w:val="-11"/>
        </w:rPr>
        <w:t> </w:t>
      </w:r>
      <w:r>
        <w:rPr/>
        <w:t>at</w:t>
      </w:r>
      <w:r>
        <w:rPr>
          <w:spacing w:val="-9"/>
        </w:rPr>
        <w:t> </w:t>
      </w:r>
      <w:r>
        <w:rPr/>
        <w:t>the</w:t>
      </w:r>
      <w:r>
        <w:rPr>
          <w:spacing w:val="-8"/>
        </w:rPr>
        <w:t> </w:t>
      </w:r>
      <w:r>
        <w:rPr/>
        <w:t>heart</w:t>
      </w:r>
      <w:r>
        <w:rPr>
          <w:spacing w:val="-8"/>
        </w:rPr>
        <w:t> </w:t>
      </w:r>
      <w:r>
        <w:rPr/>
        <w:t>of</w:t>
      </w:r>
      <w:r>
        <w:rPr>
          <w:spacing w:val="-12"/>
        </w:rPr>
        <w:t> </w:t>
      </w:r>
      <w:r>
        <w:rPr/>
        <w:t>her</w:t>
      </w:r>
      <w:r>
        <w:rPr>
          <w:spacing w:val="-7"/>
        </w:rPr>
        <w:t> </w:t>
      </w:r>
      <w:r>
        <w:rPr/>
        <w:t>psychological struggle. Love, which should be a source of joy, becomes intertwined with conflict and danger. The intensity of her emotions accelerates her decision-making,</w:t>
      </w:r>
      <w:r>
        <w:rPr>
          <w:spacing w:val="40"/>
        </w:rPr>
        <w:t> </w:t>
      </w:r>
      <w:r>
        <w:rPr/>
        <w:t>leading</w:t>
      </w:r>
      <w:r>
        <w:rPr>
          <w:spacing w:val="40"/>
        </w:rPr>
        <w:t> </w:t>
      </w:r>
      <w:r>
        <w:rPr/>
        <w:t>her</w:t>
      </w:r>
      <w:r>
        <w:rPr>
          <w:spacing w:val="40"/>
        </w:rPr>
        <w:t> </w:t>
      </w:r>
      <w:r>
        <w:rPr/>
        <w:t>to</w:t>
      </w:r>
      <w:r>
        <w:rPr>
          <w:spacing w:val="40"/>
        </w:rPr>
        <w:t> </w:t>
      </w:r>
      <w:r>
        <w:rPr/>
        <w:t>take</w:t>
      </w:r>
      <w:r>
        <w:rPr>
          <w:spacing w:val="40"/>
        </w:rPr>
        <w:t> </w:t>
      </w:r>
      <w:r>
        <w:rPr/>
        <w:t>increasingly drastic</w:t>
      </w:r>
      <w:r>
        <w:rPr>
          <w:spacing w:val="40"/>
        </w:rPr>
        <w:t> </w:t>
      </w:r>
      <w:r>
        <w:rPr/>
        <w:t>actions.</w:t>
      </w:r>
    </w:p>
    <w:p>
      <w:pPr>
        <w:pStyle w:val="BodyText"/>
        <w:spacing w:line="249" w:lineRule="auto" w:before="61"/>
        <w:ind w:right="1438" w:firstLine="432"/>
        <w:jc w:val="both"/>
      </w:pPr>
      <w:r>
        <w:rPr/>
        <w:t>Juliet’s mental state evolves rapidly as she confronts the consequences of her choices. The threat of forced marriage to Paris intensifies</w:t>
      </w:r>
      <w:r>
        <w:rPr>
          <w:spacing w:val="-3"/>
        </w:rPr>
        <w:t> </w:t>
      </w:r>
      <w:r>
        <w:rPr/>
        <w:t>her</w:t>
      </w:r>
      <w:r>
        <w:rPr>
          <w:spacing w:val="-3"/>
        </w:rPr>
        <w:t> </w:t>
      </w:r>
      <w:r>
        <w:rPr/>
        <w:t>anxiety,</w:t>
      </w:r>
      <w:r>
        <w:rPr>
          <w:spacing w:val="-2"/>
        </w:rPr>
        <w:t> </w:t>
      </w:r>
      <w:r>
        <w:rPr/>
        <w:t>leaving</w:t>
      </w:r>
      <w:r>
        <w:rPr>
          <w:spacing w:val="-3"/>
        </w:rPr>
        <w:t> </w:t>
      </w:r>
      <w:r>
        <w:rPr/>
        <w:t>her with</w:t>
      </w:r>
      <w:r>
        <w:rPr>
          <w:spacing w:val="-2"/>
        </w:rPr>
        <w:t> </w:t>
      </w:r>
      <w:r>
        <w:rPr/>
        <w:t>limited</w:t>
      </w:r>
      <w:r>
        <w:rPr>
          <w:spacing w:val="-3"/>
        </w:rPr>
        <w:t> </w:t>
      </w:r>
      <w:r>
        <w:rPr/>
        <w:t>options.</w:t>
      </w:r>
      <w:r>
        <w:rPr>
          <w:spacing w:val="-2"/>
        </w:rPr>
        <w:t> </w:t>
      </w:r>
      <w:r>
        <w:rPr/>
        <w:t>Her</w:t>
      </w:r>
      <w:r>
        <w:rPr>
          <w:spacing w:val="-3"/>
        </w:rPr>
        <w:t> </w:t>
      </w:r>
      <w:r>
        <w:rPr/>
        <w:t>decision</w:t>
      </w:r>
      <w:r>
        <w:rPr>
          <w:spacing w:val="-3"/>
        </w:rPr>
        <w:t> </w:t>
      </w:r>
      <w:r>
        <w:rPr/>
        <w:t>to consume the sleeping potion represents a moment of both agency and </w:t>
      </w:r>
      <w:r>
        <w:rPr>
          <w:spacing w:val="-2"/>
        </w:rPr>
        <w:t>desperation:</w:t>
      </w:r>
    </w:p>
    <w:p>
      <w:pPr>
        <w:spacing w:line="249" w:lineRule="auto" w:before="62"/>
        <w:ind w:left="1440" w:right="1439" w:firstLine="432"/>
        <w:jc w:val="both"/>
        <w:rPr>
          <w:sz w:val="20"/>
        </w:rPr>
      </w:pPr>
      <w:r>
        <w:rPr>
          <w:i/>
          <w:sz w:val="20"/>
        </w:rPr>
        <w:t>“Give me, give me! O, tell not me of fear!” </w:t>
      </w:r>
      <w:r>
        <w:rPr>
          <w:sz w:val="20"/>
        </w:rPr>
        <w:t>(Romeo and Juliet </w:t>
      </w:r>
      <w:r>
        <w:rPr>
          <w:spacing w:val="-2"/>
          <w:sz w:val="20"/>
        </w:rPr>
        <w:t>4.1.121).</w:t>
      </w:r>
    </w:p>
    <w:p>
      <w:pPr>
        <w:pStyle w:val="BodyText"/>
        <w:spacing w:line="249" w:lineRule="auto" w:before="59"/>
        <w:ind w:right="1439" w:firstLine="432"/>
        <w:jc w:val="both"/>
      </w:pPr>
      <w:r>
        <w:rPr/>
        <w:t>This declaration reflects her determination to assert control over her situation, even at great personal risk. However, it also reveals the extent of her psychological distress, as she is willing to embrace uncertainty</w:t>
      </w:r>
      <w:r>
        <w:rPr>
          <w:spacing w:val="40"/>
        </w:rPr>
        <w:t> </w:t>
      </w:r>
      <w:r>
        <w:rPr/>
        <w:t>and</w:t>
      </w:r>
      <w:r>
        <w:rPr>
          <w:spacing w:val="40"/>
        </w:rPr>
        <w:t> </w:t>
      </w:r>
      <w:r>
        <w:rPr/>
        <w:t>fear</w:t>
      </w:r>
      <w:r>
        <w:rPr>
          <w:spacing w:val="40"/>
        </w:rPr>
        <w:t> </w:t>
      </w:r>
      <w:r>
        <w:rPr/>
        <w:t>to</w:t>
      </w:r>
      <w:r>
        <w:rPr>
          <w:spacing w:val="40"/>
        </w:rPr>
        <w:t> </w:t>
      </w:r>
      <w:r>
        <w:rPr/>
        <w:t>escape</w:t>
      </w:r>
      <w:r>
        <w:rPr>
          <w:spacing w:val="40"/>
        </w:rPr>
        <w:t> </w:t>
      </w:r>
      <w:r>
        <w:rPr/>
        <w:t>social</w:t>
      </w:r>
      <w:r>
        <w:rPr>
          <w:spacing w:val="40"/>
        </w:rPr>
        <w:t> </w:t>
      </w:r>
      <w:r>
        <w:rPr/>
        <w:t>constraint.</w:t>
      </w:r>
    </w:p>
    <w:p>
      <w:pPr>
        <w:pStyle w:val="BodyText"/>
        <w:spacing w:line="249" w:lineRule="auto" w:before="63"/>
        <w:ind w:right="1437" w:firstLine="432"/>
        <w:jc w:val="both"/>
      </w:pPr>
      <w:r>
        <w:rPr/>
        <w:t>From a psychoanalytic perspective, Juliet’s actions can be understood as responses to overwhelming emotional pressure. Her</w:t>
      </w:r>
      <w:r>
        <w:rPr>
          <w:spacing w:val="80"/>
        </w:rPr>
        <w:t> </w:t>
      </w:r>
      <w:r>
        <w:rPr>
          <w:spacing w:val="-2"/>
        </w:rPr>
        <w:t>rapid</w:t>
      </w:r>
      <w:r>
        <w:rPr>
          <w:spacing w:val="-11"/>
        </w:rPr>
        <w:t> </w:t>
      </w:r>
      <w:r>
        <w:rPr>
          <w:spacing w:val="-2"/>
        </w:rPr>
        <w:t>transition</w:t>
      </w:r>
      <w:r>
        <w:rPr>
          <w:spacing w:val="-10"/>
        </w:rPr>
        <w:t> </w:t>
      </w:r>
      <w:r>
        <w:rPr>
          <w:spacing w:val="-2"/>
        </w:rPr>
        <w:t>from</w:t>
      </w:r>
      <w:r>
        <w:rPr>
          <w:spacing w:val="-11"/>
        </w:rPr>
        <w:t> </w:t>
      </w:r>
      <w:r>
        <w:rPr>
          <w:spacing w:val="-2"/>
        </w:rPr>
        <w:t>innocence</w:t>
      </w:r>
      <w:r>
        <w:rPr>
          <w:spacing w:val="-10"/>
        </w:rPr>
        <w:t> </w:t>
      </w:r>
      <w:r>
        <w:rPr>
          <w:spacing w:val="-2"/>
        </w:rPr>
        <w:t>to</w:t>
      </w:r>
      <w:r>
        <w:rPr>
          <w:spacing w:val="-6"/>
        </w:rPr>
        <w:t> </w:t>
      </w:r>
      <w:r>
        <w:rPr>
          <w:spacing w:val="-2"/>
        </w:rPr>
        <w:t>tragic</w:t>
      </w:r>
      <w:r>
        <w:rPr>
          <w:spacing w:val="-7"/>
        </w:rPr>
        <w:t> </w:t>
      </w:r>
      <w:r>
        <w:rPr>
          <w:spacing w:val="-2"/>
        </w:rPr>
        <w:t>awareness</w:t>
      </w:r>
      <w:r>
        <w:rPr>
          <w:spacing w:val="-11"/>
        </w:rPr>
        <w:t> </w:t>
      </w:r>
      <w:r>
        <w:rPr>
          <w:spacing w:val="-2"/>
        </w:rPr>
        <w:t>highlights</w:t>
      </w:r>
      <w:r>
        <w:rPr>
          <w:spacing w:val="-8"/>
        </w:rPr>
        <w:t> </w:t>
      </w:r>
      <w:r>
        <w:rPr>
          <w:spacing w:val="-2"/>
        </w:rPr>
        <w:t>the</w:t>
      </w:r>
      <w:r>
        <w:rPr>
          <w:spacing w:val="-9"/>
        </w:rPr>
        <w:t> </w:t>
      </w:r>
      <w:r>
        <w:rPr>
          <w:spacing w:val="-2"/>
        </w:rPr>
        <w:t>fragility </w:t>
      </w:r>
      <w:r>
        <w:rPr/>
        <w:t>of</w:t>
      </w:r>
      <w:r>
        <w:rPr>
          <w:spacing w:val="-13"/>
        </w:rPr>
        <w:t> </w:t>
      </w:r>
      <w:r>
        <w:rPr/>
        <w:t>youthful</w:t>
      </w:r>
      <w:r>
        <w:rPr>
          <w:spacing w:val="-12"/>
        </w:rPr>
        <w:t> </w:t>
      </w:r>
      <w:r>
        <w:rPr/>
        <w:t>psychology</w:t>
      </w:r>
      <w:r>
        <w:rPr>
          <w:spacing w:val="-13"/>
        </w:rPr>
        <w:t> </w:t>
      </w:r>
      <w:r>
        <w:rPr/>
        <w:t>when</w:t>
      </w:r>
      <w:r>
        <w:rPr>
          <w:spacing w:val="-12"/>
        </w:rPr>
        <w:t> </w:t>
      </w:r>
      <w:r>
        <w:rPr/>
        <w:t>confronted</w:t>
      </w:r>
      <w:r>
        <w:rPr>
          <w:spacing w:val="-13"/>
        </w:rPr>
        <w:t> </w:t>
      </w:r>
      <w:r>
        <w:rPr/>
        <w:t>with</w:t>
      </w:r>
      <w:r>
        <w:rPr>
          <w:spacing w:val="-12"/>
        </w:rPr>
        <w:t> </w:t>
      </w:r>
      <w:r>
        <w:rPr/>
        <w:t>extreme</w:t>
      </w:r>
      <w:r>
        <w:rPr>
          <w:spacing w:val="-13"/>
        </w:rPr>
        <w:t> </w:t>
      </w:r>
      <w:r>
        <w:rPr/>
        <w:t>situations.</w:t>
      </w:r>
      <w:r>
        <w:rPr>
          <w:spacing w:val="-12"/>
        </w:rPr>
        <w:t> </w:t>
      </w:r>
      <w:r>
        <w:rPr/>
        <w:t>Unlike Lady Macbeth, whose conflict arises from moral guilt, Juliet’s distress is</w:t>
      </w:r>
      <w:r>
        <w:rPr>
          <w:spacing w:val="40"/>
        </w:rPr>
        <w:t> </w:t>
      </w:r>
      <w:r>
        <w:rPr/>
        <w:t>rooted</w:t>
      </w:r>
      <w:r>
        <w:rPr>
          <w:spacing w:val="40"/>
        </w:rPr>
        <w:t> </w:t>
      </w:r>
      <w:r>
        <w:rPr/>
        <w:t>in</w:t>
      </w:r>
      <w:r>
        <w:rPr>
          <w:spacing w:val="40"/>
        </w:rPr>
        <w:t> </w:t>
      </w:r>
      <w:r>
        <w:rPr/>
        <w:t>love</w:t>
      </w:r>
      <w:r>
        <w:rPr>
          <w:spacing w:val="40"/>
        </w:rPr>
        <w:t> </w:t>
      </w:r>
      <w:r>
        <w:rPr/>
        <w:t>and</w:t>
      </w:r>
      <w:r>
        <w:rPr>
          <w:spacing w:val="40"/>
        </w:rPr>
        <w:t> </w:t>
      </w:r>
      <w:r>
        <w:rPr/>
        <w:t>social</w:t>
      </w:r>
      <w:r>
        <w:rPr>
          <w:spacing w:val="40"/>
        </w:rPr>
        <w:t> </w:t>
      </w:r>
      <w:r>
        <w:rPr/>
        <w:t>opposition.</w:t>
      </w:r>
    </w:p>
    <w:p>
      <w:pPr>
        <w:pStyle w:val="BodyText"/>
        <w:spacing w:line="249" w:lineRule="auto" w:before="63"/>
        <w:ind w:right="1441" w:firstLine="432"/>
        <w:jc w:val="both"/>
      </w:pPr>
      <w:r>
        <w:rPr/>
        <w:t>Her eventual suicide marks the culmination of her psychological journey. While it can be interpreted as an act of love and devotion, it also reflects</w:t>
      </w:r>
      <w:r>
        <w:rPr>
          <w:spacing w:val="-4"/>
        </w:rPr>
        <w:t> </w:t>
      </w:r>
      <w:r>
        <w:rPr/>
        <w:t>the</w:t>
      </w:r>
      <w:r>
        <w:rPr>
          <w:spacing w:val="-2"/>
        </w:rPr>
        <w:t> </w:t>
      </w:r>
      <w:r>
        <w:rPr/>
        <w:t>absence</w:t>
      </w:r>
      <w:r>
        <w:rPr>
          <w:spacing w:val="-3"/>
        </w:rPr>
        <w:t> </w:t>
      </w:r>
      <w:r>
        <w:rPr/>
        <w:t>of</w:t>
      </w:r>
      <w:r>
        <w:rPr>
          <w:spacing w:val="-4"/>
        </w:rPr>
        <w:t> </w:t>
      </w:r>
      <w:r>
        <w:rPr/>
        <w:t>viable</w:t>
      </w:r>
      <w:r>
        <w:rPr>
          <w:spacing w:val="-1"/>
        </w:rPr>
        <w:t> </w:t>
      </w:r>
      <w:r>
        <w:rPr/>
        <w:t>alternatives</w:t>
      </w:r>
      <w:r>
        <w:rPr>
          <w:spacing w:val="-4"/>
        </w:rPr>
        <w:t> </w:t>
      </w:r>
      <w:r>
        <w:rPr/>
        <w:t>within</w:t>
      </w:r>
      <w:r>
        <w:rPr>
          <w:spacing w:val="-2"/>
        </w:rPr>
        <w:t> </w:t>
      </w:r>
      <w:r>
        <w:rPr/>
        <w:t>her</w:t>
      </w:r>
      <w:r>
        <w:rPr>
          <w:spacing w:val="-2"/>
        </w:rPr>
        <w:t> </w:t>
      </w:r>
      <w:r>
        <w:rPr/>
        <w:t>social</w:t>
      </w:r>
      <w:r>
        <w:rPr>
          <w:spacing w:val="-2"/>
        </w:rPr>
        <w:t> </w:t>
      </w:r>
      <w:r>
        <w:rPr/>
        <w:t>context. </w:t>
      </w:r>
      <w:r>
        <w:rPr>
          <w:spacing w:val="-2"/>
        </w:rPr>
        <w:t>The</w:t>
      </w:r>
      <w:r>
        <w:rPr>
          <w:spacing w:val="-11"/>
        </w:rPr>
        <w:t> </w:t>
      </w:r>
      <w:r>
        <w:rPr>
          <w:spacing w:val="-2"/>
        </w:rPr>
        <w:t>intensity</w:t>
      </w:r>
      <w:r>
        <w:rPr>
          <w:spacing w:val="-10"/>
        </w:rPr>
        <w:t> </w:t>
      </w:r>
      <w:r>
        <w:rPr>
          <w:spacing w:val="-2"/>
        </w:rPr>
        <w:t>of</w:t>
      </w:r>
      <w:r>
        <w:rPr>
          <w:spacing w:val="-11"/>
        </w:rPr>
        <w:t> </w:t>
      </w:r>
      <w:r>
        <w:rPr>
          <w:spacing w:val="-2"/>
        </w:rPr>
        <w:t>her</w:t>
      </w:r>
      <w:r>
        <w:rPr>
          <w:spacing w:val="-10"/>
        </w:rPr>
        <w:t> </w:t>
      </w:r>
      <w:r>
        <w:rPr>
          <w:spacing w:val="-2"/>
        </w:rPr>
        <w:t>emotional</w:t>
      </w:r>
      <w:r>
        <w:rPr>
          <w:spacing w:val="-11"/>
        </w:rPr>
        <w:t> </w:t>
      </w:r>
      <w:r>
        <w:rPr>
          <w:spacing w:val="-2"/>
        </w:rPr>
        <w:t>experience</w:t>
      </w:r>
      <w:r>
        <w:rPr>
          <w:spacing w:val="-10"/>
        </w:rPr>
        <w:t> </w:t>
      </w:r>
      <w:r>
        <w:rPr>
          <w:spacing w:val="-2"/>
        </w:rPr>
        <w:t>leaves</w:t>
      </w:r>
      <w:r>
        <w:rPr>
          <w:spacing w:val="-11"/>
        </w:rPr>
        <w:t> </w:t>
      </w:r>
      <w:r>
        <w:rPr>
          <w:spacing w:val="-2"/>
        </w:rPr>
        <w:t>no</w:t>
      </w:r>
      <w:r>
        <w:rPr>
          <w:spacing w:val="-10"/>
        </w:rPr>
        <w:t> </w:t>
      </w:r>
      <w:r>
        <w:rPr>
          <w:spacing w:val="-2"/>
        </w:rPr>
        <w:t>space</w:t>
      </w:r>
      <w:r>
        <w:rPr>
          <w:spacing w:val="-11"/>
        </w:rPr>
        <w:t> </w:t>
      </w:r>
      <w:r>
        <w:rPr>
          <w:spacing w:val="-2"/>
        </w:rPr>
        <w:t>for</w:t>
      </w:r>
      <w:r>
        <w:rPr>
          <w:spacing w:val="-10"/>
        </w:rPr>
        <w:t> </w:t>
      </w:r>
      <w:r>
        <w:rPr>
          <w:spacing w:val="-2"/>
        </w:rPr>
        <w:t>compromise </w:t>
      </w:r>
      <w:r>
        <w:rPr/>
        <w:t>or</w:t>
      </w:r>
      <w:r>
        <w:rPr>
          <w:spacing w:val="40"/>
        </w:rPr>
        <w:t> </w:t>
      </w:r>
      <w:r>
        <w:rPr/>
        <w:t>resolution.</w:t>
      </w:r>
    </w:p>
    <w:p>
      <w:pPr>
        <w:pStyle w:val="BodyText"/>
        <w:spacing w:line="249" w:lineRule="auto" w:before="62"/>
        <w:ind w:right="1440" w:firstLine="432"/>
        <w:jc w:val="both"/>
      </w:pPr>
      <w:r>
        <w:rPr/>
        <w:t>Juliet’s</w:t>
      </w:r>
      <w:r>
        <w:rPr>
          <w:spacing w:val="-11"/>
        </w:rPr>
        <w:t> </w:t>
      </w:r>
      <w:r>
        <w:rPr/>
        <w:t>character</w:t>
      </w:r>
      <w:r>
        <w:rPr>
          <w:spacing w:val="-11"/>
        </w:rPr>
        <w:t> </w:t>
      </w:r>
      <w:r>
        <w:rPr/>
        <w:t>thus</w:t>
      </w:r>
      <w:r>
        <w:rPr>
          <w:spacing w:val="-11"/>
        </w:rPr>
        <w:t> </w:t>
      </w:r>
      <w:r>
        <w:rPr/>
        <w:t>illustrates</w:t>
      </w:r>
      <w:r>
        <w:rPr>
          <w:spacing w:val="-11"/>
        </w:rPr>
        <w:t> </w:t>
      </w:r>
      <w:r>
        <w:rPr/>
        <w:t>the</w:t>
      </w:r>
      <w:r>
        <w:rPr>
          <w:spacing w:val="-11"/>
        </w:rPr>
        <w:t> </w:t>
      </w:r>
      <w:r>
        <w:rPr/>
        <w:t>complexity</w:t>
      </w:r>
      <w:r>
        <w:rPr>
          <w:spacing w:val="-12"/>
        </w:rPr>
        <w:t> </w:t>
      </w:r>
      <w:r>
        <w:rPr/>
        <w:t>of</w:t>
      </w:r>
      <w:r>
        <w:rPr>
          <w:spacing w:val="-11"/>
        </w:rPr>
        <w:t> </w:t>
      </w:r>
      <w:r>
        <w:rPr/>
        <w:t>mental</w:t>
      </w:r>
      <w:r>
        <w:rPr>
          <w:spacing w:val="-11"/>
        </w:rPr>
        <w:t> </w:t>
      </w:r>
      <w:r>
        <w:rPr/>
        <w:t>health</w:t>
      </w:r>
      <w:r>
        <w:rPr>
          <w:spacing w:val="-11"/>
        </w:rPr>
        <w:t> </w:t>
      </w:r>
      <w:r>
        <w:rPr/>
        <w:t>as shaped by age, emotion, and social structure. Her story emphasizes the importance of recognizing the psychological impact of conflict and constraint,</w:t>
      </w:r>
      <w:r>
        <w:rPr>
          <w:spacing w:val="40"/>
        </w:rPr>
        <w:t> </w:t>
      </w:r>
      <w:r>
        <w:rPr/>
        <w:t>particularly in</w:t>
      </w:r>
      <w:r>
        <w:rPr>
          <w:spacing w:val="40"/>
        </w:rPr>
        <w:t> </w:t>
      </w:r>
      <w:r>
        <w:rPr/>
        <w:t>the</w:t>
      </w:r>
      <w:r>
        <w:rPr>
          <w:spacing w:val="40"/>
        </w:rPr>
        <w:t> </w:t>
      </w:r>
      <w:r>
        <w:rPr/>
        <w:t>lives</w:t>
      </w:r>
      <w:r>
        <w:rPr>
          <w:spacing w:val="40"/>
        </w:rPr>
        <w:t> </w:t>
      </w:r>
      <w:r>
        <w:rPr/>
        <w:t>of</w:t>
      </w:r>
      <w:r>
        <w:rPr>
          <w:spacing w:val="40"/>
        </w:rPr>
        <w:t> </w:t>
      </w:r>
      <w:r>
        <w:rPr/>
        <w:t>young</w:t>
      </w:r>
      <w:r>
        <w:rPr>
          <w:spacing w:val="40"/>
        </w:rPr>
        <w:t> </w:t>
      </w:r>
      <w:r>
        <w:rPr/>
        <w:t>individuals.</w:t>
      </w:r>
    </w:p>
    <w:p>
      <w:pPr>
        <w:pStyle w:val="Heading5"/>
        <w:numPr>
          <w:ilvl w:val="0"/>
          <w:numId w:val="82"/>
        </w:numPr>
        <w:tabs>
          <w:tab w:pos="1754" w:val="left" w:leader="none"/>
        </w:tabs>
        <w:spacing w:line="240" w:lineRule="auto" w:before="110" w:after="0"/>
        <w:ind w:left="1754" w:right="0" w:hanging="314"/>
        <w:jc w:val="left"/>
      </w:pPr>
      <w:r>
        <w:rPr>
          <w:w w:val="105"/>
        </w:rPr>
        <w:t>Comparative</w:t>
      </w:r>
      <w:r>
        <w:rPr>
          <w:spacing w:val="52"/>
          <w:w w:val="105"/>
        </w:rPr>
        <w:t>  </w:t>
      </w:r>
      <w:r>
        <w:rPr>
          <w:spacing w:val="-2"/>
          <w:w w:val="105"/>
        </w:rPr>
        <w:t>Analysis:</w:t>
      </w:r>
    </w:p>
    <w:p>
      <w:pPr>
        <w:pStyle w:val="BodyText"/>
        <w:spacing w:line="249" w:lineRule="auto" w:before="72"/>
        <w:ind w:right="1441" w:firstLine="432"/>
        <w:jc w:val="both"/>
      </w:pPr>
      <w:r>
        <w:rPr>
          <w:spacing w:val="-2"/>
        </w:rPr>
        <w:t>A</w:t>
      </w:r>
      <w:r>
        <w:rPr>
          <w:spacing w:val="-11"/>
        </w:rPr>
        <w:t> </w:t>
      </w:r>
      <w:r>
        <w:rPr>
          <w:spacing w:val="-2"/>
        </w:rPr>
        <w:t>comparative</w:t>
      </w:r>
      <w:r>
        <w:rPr>
          <w:spacing w:val="-10"/>
        </w:rPr>
        <w:t> </w:t>
      </w:r>
      <w:r>
        <w:rPr>
          <w:spacing w:val="-2"/>
        </w:rPr>
        <w:t>examination</w:t>
      </w:r>
      <w:r>
        <w:rPr>
          <w:spacing w:val="-11"/>
        </w:rPr>
        <w:t> </w:t>
      </w:r>
      <w:r>
        <w:rPr>
          <w:spacing w:val="-2"/>
        </w:rPr>
        <w:t>of</w:t>
      </w:r>
      <w:r>
        <w:rPr>
          <w:spacing w:val="-10"/>
        </w:rPr>
        <w:t> </w:t>
      </w:r>
      <w:r>
        <w:rPr>
          <w:spacing w:val="-2"/>
        </w:rPr>
        <w:t>Ophelia,</w:t>
      </w:r>
      <w:r>
        <w:rPr>
          <w:spacing w:val="-11"/>
        </w:rPr>
        <w:t> </w:t>
      </w:r>
      <w:r>
        <w:rPr>
          <w:spacing w:val="-2"/>
        </w:rPr>
        <w:t>Lady</w:t>
      </w:r>
      <w:r>
        <w:rPr>
          <w:spacing w:val="-10"/>
        </w:rPr>
        <w:t> </w:t>
      </w:r>
      <w:r>
        <w:rPr>
          <w:spacing w:val="-2"/>
        </w:rPr>
        <w:t>Macbeth,</w:t>
      </w:r>
      <w:r>
        <w:rPr>
          <w:spacing w:val="-11"/>
        </w:rPr>
        <w:t> </w:t>
      </w:r>
      <w:r>
        <w:rPr>
          <w:spacing w:val="-2"/>
        </w:rPr>
        <w:t>Desdemona, </w:t>
      </w:r>
      <w:r>
        <w:rPr>
          <w:spacing w:val="-4"/>
        </w:rPr>
        <w:t>and Juliet</w:t>
      </w:r>
      <w:r>
        <w:rPr>
          <w:spacing w:val="-6"/>
        </w:rPr>
        <w:t> </w:t>
      </w:r>
      <w:r>
        <w:rPr>
          <w:spacing w:val="-4"/>
        </w:rPr>
        <w:t>reveals</w:t>
      </w:r>
      <w:r>
        <w:rPr>
          <w:spacing w:val="-9"/>
        </w:rPr>
        <w:t> </w:t>
      </w:r>
      <w:r>
        <w:rPr>
          <w:spacing w:val="-4"/>
        </w:rPr>
        <w:t>recurring patterns</w:t>
      </w:r>
      <w:r>
        <w:rPr>
          <w:spacing w:val="-5"/>
        </w:rPr>
        <w:t> </w:t>
      </w:r>
      <w:r>
        <w:rPr>
          <w:spacing w:val="-4"/>
        </w:rPr>
        <w:t>in</w:t>
      </w:r>
      <w:r>
        <w:rPr>
          <w:spacing w:val="-5"/>
        </w:rPr>
        <w:t> </w:t>
      </w:r>
      <w:r>
        <w:rPr>
          <w:spacing w:val="-4"/>
        </w:rPr>
        <w:t>Shakespeare’s</w:t>
      </w:r>
      <w:r>
        <w:rPr>
          <w:spacing w:val="-7"/>
        </w:rPr>
        <w:t> </w:t>
      </w:r>
      <w:r>
        <w:rPr>
          <w:spacing w:val="-4"/>
        </w:rPr>
        <w:t>portrayal</w:t>
      </w:r>
      <w:r>
        <w:rPr>
          <w:spacing w:val="-5"/>
        </w:rPr>
        <w:t> </w:t>
      </w:r>
      <w:r>
        <w:rPr>
          <w:spacing w:val="-4"/>
        </w:rPr>
        <w:t>of</w:t>
      </w:r>
      <w:r>
        <w:rPr>
          <w:spacing w:val="-5"/>
        </w:rPr>
        <w:t> </w:t>
      </w:r>
      <w:r>
        <w:rPr>
          <w:spacing w:val="-4"/>
        </w:rPr>
        <w:t>women’s </w:t>
      </w:r>
      <w:r>
        <w:rPr/>
        <w:t>mental health. Despite their differing circumstances, these characters share common experiences shaped by patriarchal authority, emotional repression,</w:t>
      </w:r>
      <w:r>
        <w:rPr>
          <w:spacing w:val="40"/>
        </w:rPr>
        <w:t> </w:t>
      </w:r>
      <w:r>
        <w:rPr/>
        <w:t>and</w:t>
      </w:r>
      <w:r>
        <w:rPr>
          <w:spacing w:val="40"/>
        </w:rPr>
        <w:t> </w:t>
      </w:r>
      <w:r>
        <w:rPr/>
        <w:t>social</w:t>
      </w:r>
      <w:r>
        <w:rPr>
          <w:spacing w:val="40"/>
        </w:rPr>
        <w:t> </w:t>
      </w:r>
      <w:r>
        <w:rPr/>
        <w:t>expectation.</w:t>
      </w:r>
    </w:p>
    <w:p>
      <w:pPr>
        <w:pStyle w:val="BodyText"/>
        <w:spacing w:line="249" w:lineRule="auto" w:before="61"/>
        <w:ind w:right="1441" w:firstLine="432"/>
        <w:jc w:val="both"/>
      </w:pPr>
      <w:r>
        <w:rPr/>
        <w:t>One significant pattern is the limitation of agency. Each character </w:t>
      </w:r>
      <w:r>
        <w:rPr>
          <w:spacing w:val="-2"/>
        </w:rPr>
        <w:t>operates</w:t>
      </w:r>
      <w:r>
        <w:rPr>
          <w:spacing w:val="-11"/>
        </w:rPr>
        <w:t> </w:t>
      </w:r>
      <w:r>
        <w:rPr>
          <w:spacing w:val="-2"/>
        </w:rPr>
        <w:t>within</w:t>
      </w:r>
      <w:r>
        <w:rPr>
          <w:spacing w:val="-9"/>
        </w:rPr>
        <w:t> </w:t>
      </w:r>
      <w:r>
        <w:rPr>
          <w:spacing w:val="-2"/>
        </w:rPr>
        <w:t>a</w:t>
      </w:r>
      <w:r>
        <w:rPr>
          <w:spacing w:val="-5"/>
        </w:rPr>
        <w:t> </w:t>
      </w:r>
      <w:r>
        <w:rPr>
          <w:spacing w:val="-2"/>
        </w:rPr>
        <w:t>framework</w:t>
      </w:r>
      <w:r>
        <w:rPr>
          <w:spacing w:val="-8"/>
        </w:rPr>
        <w:t> </w:t>
      </w:r>
      <w:r>
        <w:rPr>
          <w:spacing w:val="-2"/>
        </w:rPr>
        <w:t>that</w:t>
      </w:r>
      <w:r>
        <w:rPr>
          <w:spacing w:val="-9"/>
        </w:rPr>
        <w:t> </w:t>
      </w:r>
      <w:r>
        <w:rPr>
          <w:spacing w:val="-2"/>
        </w:rPr>
        <w:t>restricts</w:t>
      </w:r>
      <w:r>
        <w:rPr>
          <w:spacing w:val="-8"/>
        </w:rPr>
        <w:t> </w:t>
      </w:r>
      <w:r>
        <w:rPr>
          <w:spacing w:val="-2"/>
        </w:rPr>
        <w:t>her</w:t>
      </w:r>
      <w:r>
        <w:rPr>
          <w:spacing w:val="-7"/>
        </w:rPr>
        <w:t> </w:t>
      </w:r>
      <w:r>
        <w:rPr>
          <w:spacing w:val="-2"/>
        </w:rPr>
        <w:t>ability</w:t>
      </w:r>
      <w:r>
        <w:rPr>
          <w:spacing w:val="-8"/>
        </w:rPr>
        <w:t> </w:t>
      </w:r>
      <w:r>
        <w:rPr>
          <w:spacing w:val="-2"/>
        </w:rPr>
        <w:t>to</w:t>
      </w:r>
      <w:r>
        <w:rPr>
          <w:spacing w:val="-7"/>
        </w:rPr>
        <w:t> </w:t>
      </w:r>
      <w:r>
        <w:rPr>
          <w:spacing w:val="-2"/>
        </w:rPr>
        <w:t>make</w:t>
      </w:r>
      <w:r>
        <w:rPr>
          <w:spacing w:val="-6"/>
        </w:rPr>
        <w:t> </w:t>
      </w:r>
      <w:r>
        <w:rPr>
          <w:spacing w:val="-2"/>
        </w:rPr>
        <w:t>independent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85824">
                <wp:simplePos x="0" y="0"/>
                <wp:positionH relativeFrom="page">
                  <wp:posOffset>2057400</wp:posOffset>
                </wp:positionH>
                <wp:positionV relativeFrom="paragraph">
                  <wp:posOffset>162604</wp:posOffset>
                </wp:positionV>
                <wp:extent cx="3657600" cy="12700"/>
                <wp:effectExtent l="0" t="0" r="0" b="0"/>
                <wp:wrapTopAndBottom/>
                <wp:docPr id="795" name="Graphic 795"/>
                <wp:cNvGraphicFramePr>
                  <a:graphicFrameLocks/>
                </wp:cNvGraphicFramePr>
                <a:graphic>
                  <a:graphicData uri="http://schemas.microsoft.com/office/word/2010/wordprocessingShape">
                    <wps:wsp>
                      <wps:cNvPr id="795" name="Graphic 79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30656;mso-wrap-distance-left:0;mso-wrap-distance-right:0" id="docshape787" filled="true" fillcolor="#000000" stroked="false">
                <v:fill type="solid"/>
                <w10:wrap type="topAndBottom"/>
              </v:rect>
            </w:pict>
          </mc:Fallback>
        </mc:AlternateContent>
      </w:r>
      <w:r>
        <w:rPr>
          <w:rFonts w:ascii="Verdana"/>
          <w:spacing w:val="-5"/>
          <w:sz w:val="18"/>
        </w:rPr>
        <w:t>408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decisions. Ophelia is controlled by her father and Hamlet, Desdemona</w:t>
      </w:r>
      <w:r>
        <w:rPr>
          <w:spacing w:val="40"/>
        </w:rPr>
        <w:t> </w:t>
      </w:r>
      <w:r>
        <w:rPr/>
        <w:t>is subject to Othello’s authority, Juliet is constrained by familial expectations, and even Lady Macbeth’s apparent power is ultimately tied to her relationship with Macbeth. This limited agency contributes</w:t>
      </w:r>
      <w:r>
        <w:rPr>
          <w:spacing w:val="40"/>
        </w:rPr>
        <w:t> </w:t>
      </w:r>
      <w:r>
        <w:rPr/>
        <w:t>to psychological tension, as personal desires conflict with social </w:t>
      </w:r>
      <w:r>
        <w:rPr>
          <w:spacing w:val="-2"/>
        </w:rPr>
        <w:t>obligations.</w:t>
      </w:r>
    </w:p>
    <w:p>
      <w:pPr>
        <w:pStyle w:val="BodyText"/>
        <w:spacing w:line="266" w:lineRule="auto" w:before="72"/>
        <w:ind w:right="1438" w:firstLine="432"/>
        <w:jc w:val="both"/>
      </w:pPr>
      <w:r>
        <w:rPr/>
        <w:t>Another recurring theme is the role of repression. Emotional expression is often discouraged or controlled, leading to internalized distress. Ophelia’s madness, Lady Macbeth’s hallucinations and Desdemona’s</w:t>
      </w:r>
      <w:r>
        <w:rPr>
          <w:spacing w:val="-6"/>
        </w:rPr>
        <w:t> </w:t>
      </w:r>
      <w:r>
        <w:rPr/>
        <w:t>silence</w:t>
      </w:r>
      <w:r>
        <w:rPr>
          <w:spacing w:val="-5"/>
        </w:rPr>
        <w:t> </w:t>
      </w:r>
      <w:r>
        <w:rPr/>
        <w:t>all</w:t>
      </w:r>
      <w:r>
        <w:rPr>
          <w:spacing w:val="-4"/>
        </w:rPr>
        <w:t> </w:t>
      </w:r>
      <w:r>
        <w:rPr/>
        <w:t>represent</w:t>
      </w:r>
      <w:r>
        <w:rPr>
          <w:spacing w:val="-7"/>
        </w:rPr>
        <w:t> </w:t>
      </w:r>
      <w:r>
        <w:rPr/>
        <w:t>different</w:t>
      </w:r>
      <w:r>
        <w:rPr>
          <w:spacing w:val="-4"/>
        </w:rPr>
        <w:t> </w:t>
      </w:r>
      <w:r>
        <w:rPr/>
        <w:t>responses</w:t>
      </w:r>
      <w:r>
        <w:rPr>
          <w:spacing w:val="-6"/>
        </w:rPr>
        <w:t> </w:t>
      </w:r>
      <w:r>
        <w:rPr/>
        <w:t>to</w:t>
      </w:r>
      <w:r>
        <w:rPr>
          <w:spacing w:val="-3"/>
        </w:rPr>
        <w:t> </w:t>
      </w:r>
      <w:r>
        <w:rPr/>
        <w:t>this</w:t>
      </w:r>
      <w:r>
        <w:rPr>
          <w:spacing w:val="-6"/>
        </w:rPr>
        <w:t> </w:t>
      </w:r>
      <w:r>
        <w:rPr/>
        <w:t>repression. </w:t>
      </w:r>
      <w:r>
        <w:rPr>
          <w:spacing w:val="-2"/>
        </w:rPr>
        <w:t>While</w:t>
      </w:r>
      <w:r>
        <w:rPr>
          <w:spacing w:val="-11"/>
        </w:rPr>
        <w:t> </w:t>
      </w:r>
      <w:r>
        <w:rPr>
          <w:spacing w:val="-2"/>
        </w:rPr>
        <w:t>their</w:t>
      </w:r>
      <w:r>
        <w:rPr>
          <w:spacing w:val="-10"/>
        </w:rPr>
        <w:t> </w:t>
      </w:r>
      <w:r>
        <w:rPr>
          <w:spacing w:val="-2"/>
        </w:rPr>
        <w:t>experiences</w:t>
      </w:r>
      <w:r>
        <w:rPr>
          <w:spacing w:val="-11"/>
        </w:rPr>
        <w:t> </w:t>
      </w:r>
      <w:r>
        <w:rPr>
          <w:spacing w:val="-2"/>
        </w:rPr>
        <w:t>vary,</w:t>
      </w:r>
      <w:r>
        <w:rPr>
          <w:spacing w:val="-10"/>
        </w:rPr>
        <w:t> </w:t>
      </w:r>
      <w:r>
        <w:rPr>
          <w:spacing w:val="-2"/>
        </w:rPr>
        <w:t>they</w:t>
      </w:r>
      <w:r>
        <w:rPr>
          <w:spacing w:val="-11"/>
        </w:rPr>
        <w:t> </w:t>
      </w:r>
      <w:r>
        <w:rPr>
          <w:spacing w:val="-2"/>
        </w:rPr>
        <w:t>collectively</w:t>
      </w:r>
      <w:r>
        <w:rPr>
          <w:spacing w:val="-10"/>
        </w:rPr>
        <w:t> </w:t>
      </w:r>
      <w:r>
        <w:rPr>
          <w:spacing w:val="-2"/>
        </w:rPr>
        <w:t>highlight</w:t>
      </w:r>
      <w:r>
        <w:rPr>
          <w:spacing w:val="-11"/>
        </w:rPr>
        <w:t> </w:t>
      </w:r>
      <w:r>
        <w:rPr>
          <w:spacing w:val="-2"/>
        </w:rPr>
        <w:t>the</w:t>
      </w:r>
      <w:r>
        <w:rPr>
          <w:spacing w:val="-10"/>
        </w:rPr>
        <w:t> </w:t>
      </w:r>
      <w:r>
        <w:rPr>
          <w:spacing w:val="-2"/>
        </w:rPr>
        <w:t>psychological </w:t>
      </w:r>
      <w:r>
        <w:rPr/>
        <w:t>consequences</w:t>
      </w:r>
      <w:r>
        <w:rPr>
          <w:spacing w:val="40"/>
        </w:rPr>
        <w:t> </w:t>
      </w:r>
      <w:r>
        <w:rPr/>
        <w:t>of</w:t>
      </w:r>
      <w:r>
        <w:rPr>
          <w:spacing w:val="40"/>
        </w:rPr>
        <w:t> </w:t>
      </w:r>
      <w:r>
        <w:rPr/>
        <w:t>suppressing</w:t>
      </w:r>
      <w:r>
        <w:rPr>
          <w:spacing w:val="40"/>
        </w:rPr>
        <w:t> </w:t>
      </w:r>
      <w:r>
        <w:rPr/>
        <w:t>emotion.</w:t>
      </w:r>
    </w:p>
    <w:p>
      <w:pPr>
        <w:pStyle w:val="BodyText"/>
        <w:spacing w:line="266" w:lineRule="auto" w:before="62"/>
        <w:ind w:right="1438" w:firstLine="432"/>
        <w:jc w:val="both"/>
      </w:pPr>
      <w:r>
        <w:rPr>
          <w:spacing w:val="-2"/>
        </w:rPr>
        <w:t>The</w:t>
      </w:r>
      <w:r>
        <w:rPr>
          <w:spacing w:val="-4"/>
        </w:rPr>
        <w:t> </w:t>
      </w:r>
      <w:r>
        <w:rPr>
          <w:spacing w:val="-2"/>
        </w:rPr>
        <w:t>distinction</w:t>
      </w:r>
      <w:r>
        <w:rPr>
          <w:spacing w:val="-10"/>
        </w:rPr>
        <w:t> </w:t>
      </w:r>
      <w:r>
        <w:rPr>
          <w:spacing w:val="-2"/>
        </w:rPr>
        <w:t>between</w:t>
      </w:r>
      <w:r>
        <w:rPr>
          <w:spacing w:val="-5"/>
        </w:rPr>
        <w:t> </w:t>
      </w:r>
      <w:r>
        <w:rPr>
          <w:spacing w:val="-2"/>
        </w:rPr>
        <w:t>visible</w:t>
      </w:r>
      <w:r>
        <w:rPr>
          <w:spacing w:val="-5"/>
        </w:rPr>
        <w:t> </w:t>
      </w:r>
      <w:r>
        <w:rPr>
          <w:spacing w:val="-2"/>
        </w:rPr>
        <w:t>and invisible</w:t>
      </w:r>
      <w:r>
        <w:rPr>
          <w:spacing w:val="-4"/>
        </w:rPr>
        <w:t> </w:t>
      </w:r>
      <w:r>
        <w:rPr>
          <w:spacing w:val="-2"/>
        </w:rPr>
        <w:t>suffering</w:t>
      </w:r>
      <w:r>
        <w:rPr>
          <w:spacing w:val="-8"/>
        </w:rPr>
        <w:t> </w:t>
      </w:r>
      <w:r>
        <w:rPr>
          <w:spacing w:val="-2"/>
        </w:rPr>
        <w:t>also emerges </w:t>
      </w:r>
      <w:r>
        <w:rPr/>
        <w:t>as a key pattern. Ophelia and Lady Macbeth exhibit overt signs of mental</w:t>
      </w:r>
      <w:r>
        <w:rPr>
          <w:spacing w:val="-6"/>
        </w:rPr>
        <w:t> </w:t>
      </w:r>
      <w:r>
        <w:rPr/>
        <w:t>breakdown,</w:t>
      </w:r>
      <w:r>
        <w:rPr>
          <w:spacing w:val="-4"/>
        </w:rPr>
        <w:t> </w:t>
      </w:r>
      <w:r>
        <w:rPr/>
        <w:t>while</w:t>
      </w:r>
      <w:r>
        <w:rPr>
          <w:spacing w:val="-2"/>
        </w:rPr>
        <w:t> </w:t>
      </w:r>
      <w:r>
        <w:rPr/>
        <w:t>Desdemona</w:t>
      </w:r>
      <w:r>
        <w:rPr>
          <w:spacing w:val="-4"/>
        </w:rPr>
        <w:t> </w:t>
      </w:r>
      <w:r>
        <w:rPr/>
        <w:t>and</w:t>
      </w:r>
      <w:r>
        <w:rPr>
          <w:spacing w:val="-3"/>
        </w:rPr>
        <w:t> </w:t>
      </w:r>
      <w:r>
        <w:rPr/>
        <w:t>Juliet</w:t>
      </w:r>
      <w:r>
        <w:rPr>
          <w:spacing w:val="-5"/>
        </w:rPr>
        <w:t> </w:t>
      </w:r>
      <w:r>
        <w:rPr/>
        <w:t>experience</w:t>
      </w:r>
      <w:r>
        <w:rPr>
          <w:spacing w:val="-2"/>
        </w:rPr>
        <w:t> </w:t>
      </w:r>
      <w:r>
        <w:rPr/>
        <w:t>more</w:t>
      </w:r>
      <w:r>
        <w:rPr>
          <w:spacing w:val="-4"/>
        </w:rPr>
        <w:t> </w:t>
      </w:r>
      <w:r>
        <w:rPr/>
        <w:t>subtle forms of distress. This contrast underscores the various ways in which mental </w:t>
      </w:r>
      <w:r>
        <w:rPr>
          <w:spacing w:val="9"/>
        </w:rPr>
        <w:t>health</w:t>
      </w:r>
      <w:r>
        <w:rPr>
          <w:spacing w:val="9"/>
        </w:rPr>
        <w:t> </w:t>
      </w:r>
      <w:r>
        <w:rPr/>
        <w:t>can </w:t>
      </w:r>
      <w:r>
        <w:rPr>
          <w:spacing w:val="9"/>
        </w:rPr>
        <w:t>manifest,</w:t>
      </w:r>
      <w:r>
        <w:rPr>
          <w:spacing w:val="9"/>
        </w:rPr>
        <w:t> challenging</w:t>
      </w:r>
      <w:r>
        <w:rPr>
          <w:spacing w:val="9"/>
        </w:rPr>
        <w:t> </w:t>
      </w:r>
      <w:r>
        <w:rPr/>
        <w:t>the </w:t>
      </w:r>
      <w:r>
        <w:rPr>
          <w:spacing w:val="9"/>
        </w:rPr>
        <w:t>assumption</w:t>
      </w:r>
      <w:r>
        <w:rPr>
          <w:spacing w:val="9"/>
        </w:rPr>
        <w:t> </w:t>
      </w:r>
      <w:r>
        <w:rPr/>
        <w:t>that psychological</w:t>
      </w:r>
      <w:r>
        <w:rPr>
          <w:spacing w:val="40"/>
        </w:rPr>
        <w:t> </w:t>
      </w:r>
      <w:r>
        <w:rPr/>
        <w:t>suffering</w:t>
      </w:r>
      <w:r>
        <w:rPr>
          <w:spacing w:val="40"/>
        </w:rPr>
        <w:t> </w:t>
      </w:r>
      <w:r>
        <w:rPr/>
        <w:t>must</w:t>
      </w:r>
      <w:r>
        <w:rPr>
          <w:spacing w:val="40"/>
        </w:rPr>
        <w:t> </w:t>
      </w:r>
      <w:r>
        <w:rPr/>
        <w:t>be</w:t>
      </w:r>
      <w:r>
        <w:rPr>
          <w:spacing w:val="40"/>
        </w:rPr>
        <w:t> </w:t>
      </w:r>
      <w:r>
        <w:rPr/>
        <w:t>outwardly</w:t>
      </w:r>
      <w:r>
        <w:rPr>
          <w:spacing w:val="40"/>
        </w:rPr>
        <w:t> </w:t>
      </w:r>
      <w:r>
        <w:rPr/>
        <w:t>visible.</w:t>
      </w:r>
    </w:p>
    <w:p>
      <w:pPr>
        <w:pStyle w:val="BodyText"/>
        <w:spacing w:line="266" w:lineRule="auto" w:before="65"/>
        <w:ind w:right="1438" w:firstLine="432"/>
        <w:jc w:val="both"/>
      </w:pPr>
      <w:r>
        <w:rPr/>
        <w:t>Finally, the outcomes of these characters’ experiences reveal the tragic consequences of unresolved conflict. Each character’s narrative ends in death, suggesting that the social structures within which they operate offer no sustainable resolution. This pattern reinforces the idea that mental distress is not merely an individual issue, but a systemic problem rooted</w:t>
      </w:r>
      <w:r>
        <w:rPr>
          <w:spacing w:val="40"/>
        </w:rPr>
        <w:t> </w:t>
      </w:r>
      <w:r>
        <w:rPr/>
        <w:t>in inequality and control.</w:t>
      </w:r>
    </w:p>
    <w:p>
      <w:pPr>
        <w:pStyle w:val="Heading3"/>
        <w:spacing w:before="160"/>
        <w:jc w:val="both"/>
      </w:pPr>
      <w:r>
        <w:rPr>
          <w:w w:val="85"/>
        </w:rPr>
        <w:t>KEY</w:t>
      </w:r>
      <w:r>
        <w:rPr>
          <w:spacing w:val="-3"/>
        </w:rPr>
        <w:t> </w:t>
      </w:r>
      <w:r>
        <w:rPr>
          <w:spacing w:val="-2"/>
          <w:w w:val="95"/>
        </w:rPr>
        <w:t>FINDINGS:</w:t>
      </w:r>
    </w:p>
    <w:p>
      <w:pPr>
        <w:pStyle w:val="ListParagraph"/>
        <w:numPr>
          <w:ilvl w:val="0"/>
          <w:numId w:val="83"/>
        </w:numPr>
        <w:tabs>
          <w:tab w:pos="2160" w:val="left" w:leader="none"/>
        </w:tabs>
        <w:spacing w:line="268" w:lineRule="auto" w:before="89" w:after="0"/>
        <w:ind w:left="2160" w:right="1440" w:hanging="240"/>
        <w:jc w:val="left"/>
        <w:rPr>
          <w:sz w:val="20"/>
        </w:rPr>
      </w:pPr>
      <w:r>
        <w:rPr>
          <w:sz w:val="20"/>
        </w:rPr>
        <w:t>Women’s</w:t>
      </w:r>
      <w:r>
        <w:rPr>
          <w:spacing w:val="13"/>
          <w:sz w:val="20"/>
        </w:rPr>
        <w:t> </w:t>
      </w:r>
      <w:r>
        <w:rPr>
          <w:sz w:val="20"/>
        </w:rPr>
        <w:t>mental</w:t>
      </w:r>
      <w:r>
        <w:rPr>
          <w:spacing w:val="15"/>
          <w:sz w:val="20"/>
        </w:rPr>
        <w:t> </w:t>
      </w:r>
      <w:r>
        <w:rPr>
          <w:sz w:val="20"/>
        </w:rPr>
        <w:t>health</w:t>
      </w:r>
      <w:r>
        <w:rPr>
          <w:spacing w:val="13"/>
          <w:sz w:val="20"/>
        </w:rPr>
        <w:t> </w:t>
      </w:r>
      <w:r>
        <w:rPr>
          <w:sz w:val="20"/>
        </w:rPr>
        <w:t>is significantly shaped</w:t>
      </w:r>
      <w:r>
        <w:rPr>
          <w:spacing w:val="15"/>
          <w:sz w:val="20"/>
        </w:rPr>
        <w:t> </w:t>
      </w:r>
      <w:r>
        <w:rPr>
          <w:sz w:val="20"/>
        </w:rPr>
        <w:t>by patriarchal structures</w:t>
      </w:r>
      <w:r>
        <w:rPr>
          <w:spacing w:val="40"/>
          <w:sz w:val="20"/>
        </w:rPr>
        <w:t> </w:t>
      </w:r>
      <w:r>
        <w:rPr>
          <w:sz w:val="20"/>
        </w:rPr>
        <w:t>that</w:t>
      </w:r>
      <w:r>
        <w:rPr>
          <w:spacing w:val="40"/>
          <w:sz w:val="20"/>
        </w:rPr>
        <w:t> </w:t>
      </w:r>
      <w:r>
        <w:rPr>
          <w:sz w:val="20"/>
        </w:rPr>
        <w:t>limit</w:t>
      </w:r>
      <w:r>
        <w:rPr>
          <w:spacing w:val="40"/>
          <w:sz w:val="20"/>
        </w:rPr>
        <w:t> </w:t>
      </w:r>
      <w:r>
        <w:rPr>
          <w:sz w:val="20"/>
        </w:rPr>
        <w:t>autonomy</w:t>
      </w:r>
      <w:r>
        <w:rPr>
          <w:spacing w:val="40"/>
          <w:sz w:val="20"/>
        </w:rPr>
        <w:t> </w:t>
      </w:r>
      <w:r>
        <w:rPr>
          <w:sz w:val="20"/>
        </w:rPr>
        <w:t>and</w:t>
      </w:r>
      <w:r>
        <w:rPr>
          <w:spacing w:val="40"/>
          <w:sz w:val="20"/>
        </w:rPr>
        <w:t> </w:t>
      </w:r>
      <w:r>
        <w:rPr>
          <w:sz w:val="20"/>
        </w:rPr>
        <w:t>expression.</w:t>
      </w:r>
    </w:p>
    <w:p>
      <w:pPr>
        <w:pStyle w:val="ListParagraph"/>
        <w:numPr>
          <w:ilvl w:val="0"/>
          <w:numId w:val="83"/>
        </w:numPr>
        <w:tabs>
          <w:tab w:pos="2160" w:val="left" w:leader="none"/>
        </w:tabs>
        <w:spacing w:line="266" w:lineRule="auto" w:before="57" w:after="0"/>
        <w:ind w:left="2160" w:right="1439" w:hanging="240"/>
        <w:jc w:val="left"/>
        <w:rPr>
          <w:sz w:val="20"/>
        </w:rPr>
      </w:pPr>
      <w:r>
        <w:rPr>
          <w:sz w:val="20"/>
        </w:rPr>
        <w:t>Emotional</w:t>
      </w:r>
      <w:r>
        <w:rPr>
          <w:spacing w:val="-9"/>
          <w:sz w:val="20"/>
        </w:rPr>
        <w:t> </w:t>
      </w:r>
      <w:r>
        <w:rPr>
          <w:sz w:val="20"/>
        </w:rPr>
        <w:t>repression</w:t>
      </w:r>
      <w:r>
        <w:rPr>
          <w:spacing w:val="-9"/>
          <w:sz w:val="20"/>
        </w:rPr>
        <w:t> </w:t>
      </w:r>
      <w:r>
        <w:rPr>
          <w:sz w:val="20"/>
        </w:rPr>
        <w:t>plays</w:t>
      </w:r>
      <w:r>
        <w:rPr>
          <w:spacing w:val="-9"/>
          <w:sz w:val="20"/>
        </w:rPr>
        <w:t> </w:t>
      </w:r>
      <w:r>
        <w:rPr>
          <w:sz w:val="20"/>
        </w:rPr>
        <w:t>a</w:t>
      </w:r>
      <w:r>
        <w:rPr>
          <w:spacing w:val="-7"/>
          <w:sz w:val="20"/>
        </w:rPr>
        <w:t> </w:t>
      </w:r>
      <w:r>
        <w:rPr>
          <w:sz w:val="20"/>
        </w:rPr>
        <w:t>central</w:t>
      </w:r>
      <w:r>
        <w:rPr>
          <w:spacing w:val="-9"/>
          <w:sz w:val="20"/>
        </w:rPr>
        <w:t> </w:t>
      </w:r>
      <w:r>
        <w:rPr>
          <w:sz w:val="20"/>
        </w:rPr>
        <w:t>role</w:t>
      </w:r>
      <w:r>
        <w:rPr>
          <w:spacing w:val="-6"/>
          <w:sz w:val="20"/>
        </w:rPr>
        <w:t> </w:t>
      </w:r>
      <w:r>
        <w:rPr>
          <w:sz w:val="20"/>
        </w:rPr>
        <w:t>in</w:t>
      </w:r>
      <w:r>
        <w:rPr>
          <w:spacing w:val="-9"/>
          <w:sz w:val="20"/>
        </w:rPr>
        <w:t> </w:t>
      </w:r>
      <w:r>
        <w:rPr>
          <w:sz w:val="20"/>
        </w:rPr>
        <w:t>the</w:t>
      </w:r>
      <w:r>
        <w:rPr>
          <w:spacing w:val="-6"/>
          <w:sz w:val="20"/>
        </w:rPr>
        <w:t> </w:t>
      </w:r>
      <w:r>
        <w:rPr>
          <w:sz w:val="20"/>
        </w:rPr>
        <w:t>development</w:t>
      </w:r>
      <w:r>
        <w:rPr>
          <w:spacing w:val="-9"/>
          <w:sz w:val="20"/>
        </w:rPr>
        <w:t> </w:t>
      </w:r>
      <w:r>
        <w:rPr>
          <w:sz w:val="20"/>
        </w:rPr>
        <w:t>of psychological</w:t>
      </w:r>
      <w:r>
        <w:rPr>
          <w:spacing w:val="40"/>
          <w:sz w:val="20"/>
        </w:rPr>
        <w:t> </w:t>
      </w:r>
      <w:r>
        <w:rPr>
          <w:sz w:val="20"/>
        </w:rPr>
        <w:t>distress.</w:t>
      </w:r>
    </w:p>
    <w:p>
      <w:pPr>
        <w:pStyle w:val="ListParagraph"/>
        <w:numPr>
          <w:ilvl w:val="0"/>
          <w:numId w:val="83"/>
        </w:numPr>
        <w:tabs>
          <w:tab w:pos="2160" w:val="left" w:leader="none"/>
        </w:tabs>
        <w:spacing w:line="268" w:lineRule="auto" w:before="58" w:after="0"/>
        <w:ind w:left="2160" w:right="1442" w:hanging="240"/>
        <w:jc w:val="left"/>
        <w:rPr>
          <w:sz w:val="20"/>
        </w:rPr>
      </w:pPr>
      <w:r>
        <w:rPr>
          <w:sz w:val="20"/>
        </w:rPr>
        <w:t>Female</w:t>
      </w:r>
      <w:r>
        <w:rPr>
          <w:spacing w:val="-13"/>
          <w:sz w:val="20"/>
        </w:rPr>
        <w:t> </w:t>
      </w:r>
      <w:r>
        <w:rPr>
          <w:sz w:val="20"/>
        </w:rPr>
        <w:t>madness</w:t>
      </w:r>
      <w:r>
        <w:rPr>
          <w:spacing w:val="-12"/>
          <w:sz w:val="20"/>
        </w:rPr>
        <w:t> </w:t>
      </w:r>
      <w:r>
        <w:rPr>
          <w:sz w:val="20"/>
        </w:rPr>
        <w:t>is</w:t>
      </w:r>
      <w:r>
        <w:rPr>
          <w:spacing w:val="-13"/>
          <w:sz w:val="20"/>
        </w:rPr>
        <w:t> </w:t>
      </w:r>
      <w:r>
        <w:rPr>
          <w:sz w:val="20"/>
        </w:rPr>
        <w:t>often</w:t>
      </w:r>
      <w:r>
        <w:rPr>
          <w:spacing w:val="-12"/>
          <w:sz w:val="20"/>
        </w:rPr>
        <w:t> </w:t>
      </w:r>
      <w:r>
        <w:rPr>
          <w:sz w:val="20"/>
        </w:rPr>
        <w:t>symbolic,</w:t>
      </w:r>
      <w:r>
        <w:rPr>
          <w:spacing w:val="-13"/>
          <w:sz w:val="20"/>
        </w:rPr>
        <w:t> </w:t>
      </w:r>
      <w:r>
        <w:rPr>
          <w:sz w:val="20"/>
        </w:rPr>
        <w:t>functioning</w:t>
      </w:r>
      <w:r>
        <w:rPr>
          <w:spacing w:val="-12"/>
          <w:sz w:val="20"/>
        </w:rPr>
        <w:t> </w:t>
      </w:r>
      <w:r>
        <w:rPr>
          <w:sz w:val="20"/>
        </w:rPr>
        <w:t>as</w:t>
      </w:r>
      <w:r>
        <w:rPr>
          <w:spacing w:val="-13"/>
          <w:sz w:val="20"/>
        </w:rPr>
        <w:t> </w:t>
      </w:r>
      <w:r>
        <w:rPr>
          <w:sz w:val="20"/>
        </w:rPr>
        <w:t>an</w:t>
      </w:r>
      <w:r>
        <w:rPr>
          <w:spacing w:val="-12"/>
          <w:sz w:val="20"/>
        </w:rPr>
        <w:t> </w:t>
      </w:r>
      <w:r>
        <w:rPr>
          <w:sz w:val="20"/>
        </w:rPr>
        <w:t>alternative mode of communication.</w:t>
      </w:r>
    </w:p>
    <w:p>
      <w:pPr>
        <w:pStyle w:val="ListParagraph"/>
        <w:numPr>
          <w:ilvl w:val="0"/>
          <w:numId w:val="83"/>
        </w:numPr>
        <w:tabs>
          <w:tab w:pos="2160" w:val="left" w:leader="none"/>
        </w:tabs>
        <w:spacing w:line="266" w:lineRule="auto" w:before="56" w:after="0"/>
        <w:ind w:left="2160" w:right="1443" w:hanging="240"/>
        <w:jc w:val="left"/>
        <w:rPr>
          <w:sz w:val="20"/>
        </w:rPr>
      </w:pPr>
      <w:r>
        <w:rPr>
          <w:sz w:val="20"/>
        </w:rPr>
        <w:t>Psychological suffering manifests in both visible and invisible </w:t>
      </w:r>
      <w:r>
        <w:rPr>
          <w:spacing w:val="-2"/>
          <w:sz w:val="20"/>
        </w:rPr>
        <w:t>forms.</w:t>
      </w:r>
    </w:p>
    <w:p>
      <w:pPr>
        <w:pStyle w:val="ListParagraph"/>
        <w:numPr>
          <w:ilvl w:val="0"/>
          <w:numId w:val="83"/>
        </w:numPr>
        <w:tabs>
          <w:tab w:pos="2160" w:val="left" w:leader="none"/>
        </w:tabs>
        <w:spacing w:line="268" w:lineRule="auto" w:before="58" w:after="0"/>
        <w:ind w:left="2160" w:right="1444" w:hanging="240"/>
        <w:jc w:val="left"/>
        <w:rPr>
          <w:sz w:val="20"/>
        </w:rPr>
      </w:pPr>
      <w:r>
        <w:rPr>
          <w:spacing w:val="-2"/>
          <w:sz w:val="20"/>
        </w:rPr>
        <w:t>Shakespeare’s</w:t>
      </w:r>
      <w:r>
        <w:rPr>
          <w:spacing w:val="-9"/>
          <w:sz w:val="20"/>
        </w:rPr>
        <w:t> </w:t>
      </w:r>
      <w:r>
        <w:rPr>
          <w:spacing w:val="-2"/>
          <w:sz w:val="20"/>
        </w:rPr>
        <w:t>portrayal</w:t>
      </w:r>
      <w:r>
        <w:rPr>
          <w:spacing w:val="-7"/>
          <w:sz w:val="20"/>
        </w:rPr>
        <w:t> </w:t>
      </w:r>
      <w:r>
        <w:rPr>
          <w:spacing w:val="-2"/>
          <w:sz w:val="20"/>
        </w:rPr>
        <w:t>reflects</w:t>
      </w:r>
      <w:r>
        <w:rPr>
          <w:spacing w:val="-14"/>
          <w:sz w:val="20"/>
        </w:rPr>
        <w:t> </w:t>
      </w:r>
      <w:r>
        <w:rPr>
          <w:spacing w:val="-2"/>
          <w:sz w:val="20"/>
        </w:rPr>
        <w:t>contemporary</w:t>
      </w:r>
      <w:r>
        <w:rPr>
          <w:spacing w:val="-14"/>
          <w:sz w:val="20"/>
        </w:rPr>
        <w:t> </w:t>
      </w:r>
      <w:r>
        <w:rPr>
          <w:spacing w:val="-2"/>
          <w:sz w:val="20"/>
        </w:rPr>
        <w:t>beliefs</w:t>
      </w:r>
      <w:r>
        <w:rPr>
          <w:spacing w:val="-9"/>
          <w:sz w:val="20"/>
        </w:rPr>
        <w:t> </w:t>
      </w:r>
      <w:r>
        <w:rPr>
          <w:spacing w:val="-2"/>
          <w:sz w:val="20"/>
        </w:rPr>
        <w:t>while</w:t>
      </w:r>
      <w:r>
        <w:rPr>
          <w:spacing w:val="-4"/>
          <w:sz w:val="20"/>
        </w:rPr>
        <w:t> </w:t>
      </w:r>
      <w:r>
        <w:rPr>
          <w:spacing w:val="-2"/>
          <w:sz w:val="20"/>
        </w:rPr>
        <w:t>also </w:t>
      </w:r>
      <w:r>
        <w:rPr>
          <w:sz w:val="20"/>
        </w:rPr>
        <w:t>critiquing them.</w:t>
      </w:r>
    </w:p>
    <w:p>
      <w:pPr>
        <w:pStyle w:val="ListParagraph"/>
        <w:spacing w:after="0" w:line="268" w:lineRule="auto"/>
        <w:jc w:val="left"/>
        <w:rPr>
          <w:sz w:val="20"/>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5"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86336">
                <wp:simplePos x="0" y="0"/>
                <wp:positionH relativeFrom="page">
                  <wp:posOffset>2065020</wp:posOffset>
                </wp:positionH>
                <wp:positionV relativeFrom="paragraph">
                  <wp:posOffset>162604</wp:posOffset>
                </wp:positionV>
                <wp:extent cx="3657600" cy="12700"/>
                <wp:effectExtent l="0" t="0" r="0" b="0"/>
                <wp:wrapTopAndBottom/>
                <wp:docPr id="796" name="Graphic 796"/>
                <wp:cNvGraphicFramePr>
                  <a:graphicFrameLocks/>
                </wp:cNvGraphicFramePr>
                <a:graphic>
                  <a:graphicData uri="http://schemas.microsoft.com/office/word/2010/wordprocessingShape">
                    <wps:wsp>
                      <wps:cNvPr id="796" name="Graphic 79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30144;mso-wrap-distance-left:0;mso-wrap-distance-right:0" id="docshape788" filled="true" fillcolor="#000000" stroked="false">
                <v:fill type="solid"/>
                <w10:wrap type="topAndBottom"/>
              </v:rect>
            </w:pict>
          </mc:Fallback>
        </mc:AlternateContent>
      </w:r>
      <w:r>
        <w:rPr>
          <w:rFonts w:ascii="Verdana"/>
          <w:spacing w:val="-4"/>
          <w:sz w:val="18"/>
        </w:rPr>
        <w:t>Women</w:t>
      </w:r>
      <w:r>
        <w:rPr>
          <w:rFonts w:ascii="Verdana"/>
          <w:spacing w:val="-10"/>
          <w:sz w:val="18"/>
        </w:rPr>
        <w:t> </w:t>
      </w:r>
      <w:r>
        <w:rPr>
          <w:rFonts w:ascii="Verdana"/>
          <w:spacing w:val="-4"/>
          <w:sz w:val="18"/>
        </w:rPr>
        <w:t>and</w:t>
      </w:r>
      <w:r>
        <w:rPr>
          <w:rFonts w:ascii="Verdana"/>
          <w:spacing w:val="-10"/>
          <w:sz w:val="18"/>
        </w:rPr>
        <w:t> </w:t>
      </w:r>
      <w:r>
        <w:rPr>
          <w:rFonts w:ascii="Verdana"/>
          <w:spacing w:val="-4"/>
          <w:sz w:val="18"/>
        </w:rPr>
        <w:t>Mental</w:t>
      </w:r>
      <w:r>
        <w:rPr>
          <w:rFonts w:ascii="Verdana"/>
          <w:spacing w:val="-10"/>
          <w:sz w:val="18"/>
        </w:rPr>
        <w:t> </w:t>
      </w:r>
      <w:r>
        <w:rPr>
          <w:rFonts w:ascii="Verdana"/>
          <w:spacing w:val="-4"/>
          <w:sz w:val="18"/>
        </w:rPr>
        <w:t>Health</w:t>
      </w:r>
      <w:r>
        <w:rPr>
          <w:rFonts w:ascii="Verdana"/>
          <w:spacing w:val="-7"/>
          <w:sz w:val="18"/>
        </w:rPr>
        <w:t> </w:t>
      </w:r>
      <w:r>
        <w:rPr>
          <w:rFonts w:ascii="Verdana"/>
          <w:spacing w:val="-4"/>
          <w:sz w:val="18"/>
        </w:rPr>
        <w:t>in</w:t>
      </w:r>
      <w:r>
        <w:rPr>
          <w:rFonts w:ascii="Verdana"/>
          <w:spacing w:val="-10"/>
          <w:sz w:val="18"/>
        </w:rPr>
        <w:t> </w:t>
      </w:r>
      <w:r>
        <w:rPr>
          <w:rFonts w:ascii="Verdana"/>
          <w:spacing w:val="-4"/>
          <w:sz w:val="18"/>
        </w:rPr>
        <w:t>Select</w:t>
      </w:r>
      <w:r>
        <w:rPr>
          <w:rFonts w:ascii="Verdana"/>
          <w:spacing w:val="-11"/>
          <w:sz w:val="18"/>
        </w:rPr>
        <w:t> </w:t>
      </w:r>
      <w:r>
        <w:rPr>
          <w:rFonts w:ascii="Verdana"/>
          <w:spacing w:val="-4"/>
          <w:sz w:val="18"/>
        </w:rPr>
        <w:t>Shakespearean</w:t>
      </w:r>
      <w:r>
        <w:rPr>
          <w:rFonts w:ascii="Verdana"/>
          <w:spacing w:val="-9"/>
          <w:sz w:val="18"/>
        </w:rPr>
        <w:t> </w:t>
      </w:r>
      <w:r>
        <w:rPr>
          <w:rFonts w:ascii="Verdana"/>
          <w:spacing w:val="-4"/>
          <w:sz w:val="18"/>
        </w:rPr>
        <w:t>Plays...</w:t>
      </w:r>
      <w:r>
        <w:rPr>
          <w:rFonts w:ascii="Verdana"/>
          <w:sz w:val="18"/>
        </w:rPr>
        <w:tab/>
      </w:r>
      <w:r>
        <w:rPr>
          <w:rFonts w:ascii="Verdana"/>
          <w:spacing w:val="-5"/>
          <w:sz w:val="18"/>
        </w:rPr>
        <w:t>409</w:t>
      </w:r>
    </w:p>
    <w:p>
      <w:pPr>
        <w:pStyle w:val="Heading3"/>
      </w:pPr>
      <w:r>
        <w:rPr>
          <w:spacing w:val="-2"/>
          <w:w w:val="95"/>
        </w:rPr>
        <w:t>DISCUSSION:</w:t>
      </w:r>
    </w:p>
    <w:p>
      <w:pPr>
        <w:pStyle w:val="BodyText"/>
        <w:spacing w:line="249" w:lineRule="auto" w:before="75"/>
        <w:ind w:right="1434" w:firstLine="432"/>
        <w:jc w:val="both"/>
      </w:pPr>
      <w:r>
        <w:rPr/>
        <w:t>The findings of this study demonstrate that Shakespeare’s representation of women’s mental health is deeply intertwined with social and cultural dynamics. His female characters illustrate how psychological distress emerges from the interaction between personal emotion</w:t>
      </w:r>
      <w:r>
        <w:rPr>
          <w:spacing w:val="-5"/>
        </w:rPr>
        <w:t> </w:t>
      </w:r>
      <w:r>
        <w:rPr/>
        <w:t>and</w:t>
      </w:r>
      <w:r>
        <w:rPr>
          <w:spacing w:val="-5"/>
        </w:rPr>
        <w:t> </w:t>
      </w:r>
      <w:r>
        <w:rPr/>
        <w:t>social</w:t>
      </w:r>
      <w:r>
        <w:rPr>
          <w:spacing w:val="-4"/>
        </w:rPr>
        <w:t> </w:t>
      </w:r>
      <w:r>
        <w:rPr/>
        <w:t>constraint.</w:t>
      </w:r>
      <w:r>
        <w:rPr>
          <w:spacing w:val="-3"/>
        </w:rPr>
        <w:t> </w:t>
      </w:r>
      <w:r>
        <w:rPr/>
        <w:t>The</w:t>
      </w:r>
      <w:r>
        <w:rPr>
          <w:spacing w:val="-6"/>
        </w:rPr>
        <w:t> </w:t>
      </w:r>
      <w:r>
        <w:rPr/>
        <w:t>relevance</w:t>
      </w:r>
      <w:r>
        <w:rPr>
          <w:spacing w:val="-5"/>
        </w:rPr>
        <w:t> </w:t>
      </w:r>
      <w:r>
        <w:rPr/>
        <w:t>of</w:t>
      </w:r>
      <w:r>
        <w:rPr>
          <w:spacing w:val="-5"/>
        </w:rPr>
        <w:t> </w:t>
      </w:r>
      <w:r>
        <w:rPr/>
        <w:t>these</w:t>
      </w:r>
      <w:r>
        <w:rPr>
          <w:spacing w:val="-6"/>
        </w:rPr>
        <w:t> </w:t>
      </w:r>
      <w:r>
        <w:rPr/>
        <w:t>portrayals</w:t>
      </w:r>
      <w:r>
        <w:rPr>
          <w:spacing w:val="-5"/>
        </w:rPr>
        <w:t> </w:t>
      </w:r>
      <w:r>
        <w:rPr/>
        <w:t>extends beyond their historical context. In contemporary discussions on mental health, issues such as emotional repression, gender inequality, and social pressure continue to play a significant role. Shakespeare’s plays provide a valuable framework for understanding these issues. They highlight the importance of addressing both individual and structural factors in mental well-being.</w:t>
      </w:r>
    </w:p>
    <w:p>
      <w:pPr>
        <w:pStyle w:val="Heading3"/>
        <w:spacing w:before="163"/>
      </w:pPr>
      <w:r>
        <w:rPr>
          <w:spacing w:val="-2"/>
        </w:rPr>
        <w:t>CONCLUSION:</w:t>
      </w:r>
    </w:p>
    <w:p>
      <w:pPr>
        <w:pStyle w:val="BodyText"/>
        <w:spacing w:line="249" w:lineRule="auto" w:before="75"/>
        <w:ind w:right="1438" w:firstLine="432"/>
        <w:jc w:val="both"/>
      </w:pPr>
      <w:r>
        <w:rPr/>
        <w:t>Shakespeare’s</w:t>
      </w:r>
      <w:r>
        <w:rPr>
          <w:spacing w:val="-3"/>
        </w:rPr>
        <w:t> </w:t>
      </w:r>
      <w:r>
        <w:rPr/>
        <w:t>plays</w:t>
      </w:r>
      <w:r>
        <w:rPr>
          <w:spacing w:val="-5"/>
        </w:rPr>
        <w:t> </w:t>
      </w:r>
      <w:r>
        <w:rPr/>
        <w:t>offer</w:t>
      </w:r>
      <w:r>
        <w:rPr>
          <w:spacing w:val="-3"/>
        </w:rPr>
        <w:t> </w:t>
      </w:r>
      <w:r>
        <w:rPr/>
        <w:t>a</w:t>
      </w:r>
      <w:r>
        <w:rPr>
          <w:spacing w:val="-4"/>
        </w:rPr>
        <w:t> </w:t>
      </w:r>
      <w:r>
        <w:rPr/>
        <w:t>complex</w:t>
      </w:r>
      <w:r>
        <w:rPr>
          <w:spacing w:val="-5"/>
        </w:rPr>
        <w:t> </w:t>
      </w:r>
      <w:r>
        <w:rPr/>
        <w:t>depiction</w:t>
      </w:r>
      <w:r>
        <w:rPr>
          <w:spacing w:val="-5"/>
        </w:rPr>
        <w:t> </w:t>
      </w:r>
      <w:r>
        <w:rPr/>
        <w:t>of</w:t>
      </w:r>
      <w:r>
        <w:rPr>
          <w:spacing w:val="-6"/>
        </w:rPr>
        <w:t> </w:t>
      </w:r>
      <w:r>
        <w:rPr/>
        <w:t>women’s</w:t>
      </w:r>
      <w:r>
        <w:rPr>
          <w:spacing w:val="-3"/>
        </w:rPr>
        <w:t> </w:t>
      </w:r>
      <w:r>
        <w:rPr/>
        <w:t>mental health, showing how psychological distress is shaped by gender roles, power dynamics, and societal constraints. Through characters like Ophelia, Lady Macbeth, Desdemona, and Juliet, he presents varied responses to repression, guilt, conflict, and limited agency, rather than portraying instability as inherently feminine. Their experiences reflect how patriarchal structures suppress expression and contribute to emotional suffering. Drawing on feminist and psychoanalytic </w:t>
      </w:r>
      <w:r>
        <w:rPr>
          <w:spacing w:val="-2"/>
        </w:rPr>
        <w:t>perspectives,</w:t>
      </w:r>
      <w:r>
        <w:rPr>
          <w:spacing w:val="-3"/>
        </w:rPr>
        <w:t> </w:t>
      </w:r>
      <w:r>
        <w:rPr>
          <w:spacing w:val="-2"/>
        </w:rPr>
        <w:t>this analysis</w:t>
      </w:r>
      <w:r>
        <w:rPr>
          <w:spacing w:val="-3"/>
        </w:rPr>
        <w:t> </w:t>
      </w:r>
      <w:r>
        <w:rPr>
          <w:spacing w:val="-2"/>
        </w:rPr>
        <w:t>underscores</w:t>
      </w:r>
      <w:r>
        <w:rPr>
          <w:spacing w:val="-5"/>
        </w:rPr>
        <w:t> </w:t>
      </w:r>
      <w:r>
        <w:rPr>
          <w:spacing w:val="-2"/>
        </w:rPr>
        <w:t>how</w:t>
      </w:r>
      <w:r>
        <w:rPr>
          <w:spacing w:val="-8"/>
        </w:rPr>
        <w:t> </w:t>
      </w:r>
      <w:r>
        <w:rPr>
          <w:spacing w:val="-2"/>
        </w:rPr>
        <w:t>Shakespeare not only</w:t>
      </w:r>
      <w:r>
        <w:rPr>
          <w:spacing w:val="-5"/>
        </w:rPr>
        <w:t> </w:t>
      </w:r>
      <w:r>
        <w:rPr>
          <w:spacing w:val="-2"/>
        </w:rPr>
        <w:t>mirrors </w:t>
      </w:r>
      <w:r>
        <w:rPr/>
        <w:t>early</w:t>
      </w:r>
      <w:r>
        <w:rPr>
          <w:spacing w:val="-7"/>
        </w:rPr>
        <w:t> </w:t>
      </w:r>
      <w:r>
        <w:rPr/>
        <w:t>modern</w:t>
      </w:r>
      <w:r>
        <w:rPr>
          <w:spacing w:val="-3"/>
        </w:rPr>
        <w:t> </w:t>
      </w:r>
      <w:r>
        <w:rPr/>
        <w:t>attitudes</w:t>
      </w:r>
      <w:r>
        <w:rPr>
          <w:spacing w:val="-5"/>
        </w:rPr>
        <w:t> </w:t>
      </w:r>
      <w:r>
        <w:rPr/>
        <w:t>but</w:t>
      </w:r>
      <w:r>
        <w:rPr>
          <w:spacing w:val="-1"/>
        </w:rPr>
        <w:t> </w:t>
      </w:r>
      <w:r>
        <w:rPr/>
        <w:t>also</w:t>
      </w:r>
      <w:r>
        <w:rPr>
          <w:spacing w:val="-3"/>
        </w:rPr>
        <w:t> </w:t>
      </w:r>
      <w:r>
        <w:rPr/>
        <w:t>critiques</w:t>
      </w:r>
      <w:r>
        <w:rPr>
          <w:spacing w:val="-5"/>
        </w:rPr>
        <w:t> </w:t>
      </w:r>
      <w:r>
        <w:rPr/>
        <w:t>the</w:t>
      </w:r>
      <w:r>
        <w:rPr>
          <w:spacing w:val="-1"/>
        </w:rPr>
        <w:t> </w:t>
      </w:r>
      <w:r>
        <w:rPr/>
        <w:t>impact</w:t>
      </w:r>
      <w:r>
        <w:rPr>
          <w:spacing w:val="-5"/>
        </w:rPr>
        <w:t> </w:t>
      </w:r>
      <w:r>
        <w:rPr/>
        <w:t>of</w:t>
      </w:r>
      <w:r>
        <w:rPr>
          <w:spacing w:val="-3"/>
        </w:rPr>
        <w:t> </w:t>
      </w:r>
      <w:r>
        <w:rPr/>
        <w:t>gender</w:t>
      </w:r>
      <w:r>
        <w:rPr>
          <w:spacing w:val="-3"/>
        </w:rPr>
        <w:t> </w:t>
      </w:r>
      <w:r>
        <w:rPr/>
        <w:t>inequality on the mind. Consequently, his works continue to provide meaningful insight into the connection between social conditions and women’s psychological</w:t>
      </w:r>
      <w:r>
        <w:rPr>
          <w:spacing w:val="40"/>
        </w:rPr>
        <w:t> </w:t>
      </w:r>
      <w:r>
        <w:rPr/>
        <w:t>experiences across</w:t>
      </w:r>
      <w:r>
        <w:rPr>
          <w:spacing w:val="40"/>
        </w:rPr>
        <w:t> </w:t>
      </w:r>
      <w:r>
        <w:rPr/>
        <w:t>time.</w:t>
      </w:r>
    </w:p>
    <w:p>
      <w:pPr>
        <w:pStyle w:val="Heading3"/>
        <w:spacing w:before="166"/>
      </w:pPr>
      <w:r>
        <w:rPr>
          <w:w w:val="90"/>
        </w:rPr>
        <w:t>WORKS</w:t>
      </w:r>
      <w:r>
        <w:rPr>
          <w:spacing w:val="2"/>
        </w:rPr>
        <w:t> </w:t>
      </w:r>
      <w:r>
        <w:rPr>
          <w:spacing w:val="-2"/>
          <w:w w:val="95"/>
        </w:rPr>
        <w:t>CITED:</w:t>
      </w:r>
    </w:p>
    <w:p>
      <w:pPr>
        <w:pStyle w:val="ListParagraph"/>
        <w:numPr>
          <w:ilvl w:val="0"/>
          <w:numId w:val="84"/>
        </w:numPr>
        <w:tabs>
          <w:tab w:pos="2157" w:val="left" w:leader="none"/>
          <w:tab w:pos="2160" w:val="left" w:leader="none"/>
        </w:tabs>
        <w:spacing w:line="261" w:lineRule="auto" w:before="83" w:after="0"/>
        <w:ind w:left="2160" w:right="1440" w:hanging="315"/>
        <w:jc w:val="left"/>
        <w:rPr>
          <w:sz w:val="19"/>
        </w:rPr>
      </w:pPr>
      <w:r>
        <w:rPr>
          <w:sz w:val="19"/>
        </w:rPr>
        <w:t>Shakespeare,</w:t>
      </w:r>
      <w:r>
        <w:rPr>
          <w:spacing w:val="40"/>
          <w:sz w:val="19"/>
        </w:rPr>
        <w:t> </w:t>
      </w:r>
      <w:r>
        <w:rPr>
          <w:sz w:val="19"/>
        </w:rPr>
        <w:t>William.</w:t>
      </w:r>
      <w:r>
        <w:rPr>
          <w:spacing w:val="40"/>
          <w:sz w:val="19"/>
        </w:rPr>
        <w:t> </w:t>
      </w:r>
      <w:r>
        <w:rPr>
          <w:i/>
          <w:sz w:val="19"/>
        </w:rPr>
        <w:t>Hamlet</w:t>
      </w:r>
      <w:r>
        <w:rPr>
          <w:sz w:val="19"/>
        </w:rPr>
        <w:t>.</w:t>
      </w:r>
      <w:r>
        <w:rPr>
          <w:spacing w:val="40"/>
          <w:sz w:val="19"/>
        </w:rPr>
        <w:t> </w:t>
      </w:r>
      <w:r>
        <w:rPr>
          <w:sz w:val="19"/>
        </w:rPr>
        <w:t>Edited</w:t>
      </w:r>
      <w:r>
        <w:rPr>
          <w:spacing w:val="40"/>
          <w:sz w:val="19"/>
        </w:rPr>
        <w:t> </w:t>
      </w:r>
      <w:r>
        <w:rPr>
          <w:sz w:val="19"/>
        </w:rPr>
        <w:t>by</w:t>
      </w:r>
      <w:r>
        <w:rPr>
          <w:spacing w:val="31"/>
          <w:sz w:val="19"/>
        </w:rPr>
        <w:t> </w:t>
      </w:r>
      <w:r>
        <w:rPr>
          <w:sz w:val="19"/>
        </w:rPr>
        <w:t>Ann</w:t>
      </w:r>
      <w:r>
        <w:rPr>
          <w:spacing w:val="40"/>
          <w:sz w:val="19"/>
        </w:rPr>
        <w:t> </w:t>
      </w:r>
      <w:r>
        <w:rPr>
          <w:sz w:val="19"/>
        </w:rPr>
        <w:t>Thompson</w:t>
      </w:r>
      <w:r>
        <w:rPr>
          <w:spacing w:val="40"/>
          <w:sz w:val="19"/>
        </w:rPr>
        <w:t> </w:t>
      </w:r>
      <w:r>
        <w:rPr>
          <w:sz w:val="19"/>
        </w:rPr>
        <w:t>and Neil</w:t>
      </w:r>
      <w:r>
        <w:rPr>
          <w:spacing w:val="40"/>
          <w:sz w:val="19"/>
        </w:rPr>
        <w:t> </w:t>
      </w:r>
      <w:r>
        <w:rPr>
          <w:sz w:val="19"/>
        </w:rPr>
        <w:t>Taylor,</w:t>
      </w:r>
      <w:r>
        <w:rPr>
          <w:spacing w:val="40"/>
          <w:sz w:val="19"/>
        </w:rPr>
        <w:t> </w:t>
      </w:r>
      <w:r>
        <w:rPr>
          <w:sz w:val="19"/>
        </w:rPr>
        <w:t>Arden</w:t>
      </w:r>
      <w:r>
        <w:rPr>
          <w:spacing w:val="40"/>
          <w:sz w:val="19"/>
        </w:rPr>
        <w:t> </w:t>
      </w:r>
      <w:r>
        <w:rPr>
          <w:sz w:val="19"/>
        </w:rPr>
        <w:t>Shakespeare,</w:t>
      </w:r>
      <w:r>
        <w:rPr>
          <w:spacing w:val="40"/>
          <w:sz w:val="19"/>
        </w:rPr>
        <w:t> </w:t>
      </w:r>
      <w:r>
        <w:rPr>
          <w:sz w:val="19"/>
        </w:rPr>
        <w:t>Bloomsbury,</w:t>
      </w:r>
      <w:r>
        <w:rPr>
          <w:spacing w:val="40"/>
          <w:sz w:val="19"/>
        </w:rPr>
        <w:t> </w:t>
      </w:r>
      <w:r>
        <w:rPr>
          <w:sz w:val="19"/>
        </w:rPr>
        <w:t>2016.</w:t>
      </w:r>
    </w:p>
    <w:p>
      <w:pPr>
        <w:pStyle w:val="ListParagraph"/>
        <w:numPr>
          <w:ilvl w:val="0"/>
          <w:numId w:val="84"/>
        </w:numPr>
        <w:tabs>
          <w:tab w:pos="2157" w:val="left" w:leader="none"/>
          <w:tab w:pos="2160" w:val="left" w:leader="none"/>
        </w:tabs>
        <w:spacing w:line="261" w:lineRule="auto" w:before="56" w:after="0"/>
        <w:ind w:left="2160" w:right="1439" w:hanging="315"/>
        <w:jc w:val="left"/>
        <w:rPr>
          <w:sz w:val="19"/>
        </w:rPr>
      </w:pPr>
      <w:r>
        <w:rPr>
          <w:sz w:val="19"/>
        </w:rPr>
        <w:t>_</w:t>
      </w:r>
      <w:r>
        <w:rPr>
          <w:spacing w:val="40"/>
          <w:sz w:val="19"/>
        </w:rPr>
        <w:t> </w:t>
      </w:r>
      <w:r>
        <w:rPr>
          <w:sz w:val="19"/>
        </w:rPr>
        <w:t>_</w:t>
      </w:r>
      <w:r>
        <w:rPr>
          <w:spacing w:val="40"/>
          <w:sz w:val="19"/>
        </w:rPr>
        <w:t> </w:t>
      </w:r>
      <w:r>
        <w:rPr>
          <w:sz w:val="19"/>
        </w:rPr>
        <w:t>_.</w:t>
      </w:r>
      <w:r>
        <w:rPr>
          <w:spacing w:val="40"/>
          <w:sz w:val="19"/>
        </w:rPr>
        <w:t> </w:t>
      </w:r>
      <w:r>
        <w:rPr>
          <w:i/>
          <w:sz w:val="19"/>
        </w:rPr>
        <w:t>Macbeth</w:t>
      </w:r>
      <w:r>
        <w:rPr>
          <w:sz w:val="19"/>
        </w:rPr>
        <w:t>.</w:t>
      </w:r>
      <w:r>
        <w:rPr>
          <w:spacing w:val="40"/>
          <w:sz w:val="19"/>
        </w:rPr>
        <w:t> </w:t>
      </w:r>
      <w:r>
        <w:rPr>
          <w:sz w:val="19"/>
        </w:rPr>
        <w:t>Edited</w:t>
      </w:r>
      <w:r>
        <w:rPr>
          <w:spacing w:val="40"/>
          <w:sz w:val="19"/>
        </w:rPr>
        <w:t> </w:t>
      </w:r>
      <w:r>
        <w:rPr>
          <w:sz w:val="19"/>
        </w:rPr>
        <w:t>by</w:t>
      </w:r>
      <w:r>
        <w:rPr>
          <w:spacing w:val="39"/>
          <w:sz w:val="19"/>
        </w:rPr>
        <w:t> </w:t>
      </w:r>
      <w:r>
        <w:rPr>
          <w:sz w:val="19"/>
        </w:rPr>
        <w:t>Sandra</w:t>
      </w:r>
      <w:r>
        <w:rPr>
          <w:spacing w:val="40"/>
          <w:sz w:val="19"/>
        </w:rPr>
        <w:t> </w:t>
      </w:r>
      <w:r>
        <w:rPr>
          <w:sz w:val="19"/>
        </w:rPr>
        <w:t>Clark</w:t>
      </w:r>
      <w:r>
        <w:rPr>
          <w:spacing w:val="40"/>
          <w:sz w:val="19"/>
        </w:rPr>
        <w:t> </w:t>
      </w:r>
      <w:r>
        <w:rPr>
          <w:sz w:val="19"/>
        </w:rPr>
        <w:t>and</w:t>
      </w:r>
      <w:r>
        <w:rPr>
          <w:spacing w:val="40"/>
          <w:sz w:val="19"/>
        </w:rPr>
        <w:t> </w:t>
      </w:r>
      <w:r>
        <w:rPr>
          <w:sz w:val="19"/>
        </w:rPr>
        <w:t>Pamela</w:t>
      </w:r>
      <w:r>
        <w:rPr>
          <w:spacing w:val="40"/>
          <w:sz w:val="19"/>
        </w:rPr>
        <w:t> </w:t>
      </w:r>
      <w:r>
        <w:rPr>
          <w:sz w:val="19"/>
        </w:rPr>
        <w:t>Mason, Arden</w:t>
      </w:r>
      <w:r>
        <w:rPr>
          <w:spacing w:val="40"/>
          <w:sz w:val="19"/>
        </w:rPr>
        <w:t> </w:t>
      </w:r>
      <w:r>
        <w:rPr>
          <w:sz w:val="19"/>
        </w:rPr>
        <w:t>Shakespeare,</w:t>
      </w:r>
      <w:r>
        <w:rPr>
          <w:spacing w:val="40"/>
          <w:sz w:val="19"/>
        </w:rPr>
        <w:t> </w:t>
      </w:r>
      <w:r>
        <w:rPr>
          <w:sz w:val="19"/>
        </w:rPr>
        <w:t>Bloomsbury,</w:t>
      </w:r>
      <w:r>
        <w:rPr>
          <w:spacing w:val="40"/>
          <w:sz w:val="19"/>
        </w:rPr>
        <w:t> </w:t>
      </w:r>
      <w:r>
        <w:rPr>
          <w:sz w:val="19"/>
        </w:rPr>
        <w:t>2015.</w:t>
      </w:r>
    </w:p>
    <w:p>
      <w:pPr>
        <w:pStyle w:val="ListParagraph"/>
        <w:numPr>
          <w:ilvl w:val="0"/>
          <w:numId w:val="84"/>
        </w:numPr>
        <w:tabs>
          <w:tab w:pos="2157" w:val="left" w:leader="none"/>
          <w:tab w:pos="2160" w:val="left" w:leader="none"/>
          <w:tab w:pos="2464" w:val="left" w:leader="none"/>
          <w:tab w:pos="2767" w:val="left" w:leader="none"/>
        </w:tabs>
        <w:spacing w:line="261" w:lineRule="auto" w:before="59" w:after="0"/>
        <w:ind w:left="2160" w:right="1439" w:hanging="315"/>
        <w:jc w:val="left"/>
        <w:rPr>
          <w:sz w:val="19"/>
        </w:rPr>
      </w:pPr>
      <w:r>
        <w:rPr>
          <w:spacing w:val="-10"/>
          <w:sz w:val="19"/>
        </w:rPr>
        <w:t>_</w:t>
      </w:r>
      <w:r>
        <w:rPr>
          <w:sz w:val="19"/>
        </w:rPr>
        <w:tab/>
      </w:r>
      <w:r>
        <w:rPr>
          <w:spacing w:val="-10"/>
          <w:sz w:val="19"/>
        </w:rPr>
        <w:t>_</w:t>
      </w:r>
      <w:r>
        <w:rPr>
          <w:sz w:val="19"/>
        </w:rPr>
        <w:tab/>
        <w:t>_</w:t>
      </w:r>
      <w:r>
        <w:rPr>
          <w:spacing w:val="75"/>
          <w:sz w:val="19"/>
        </w:rPr>
        <w:t> </w:t>
      </w:r>
      <w:r>
        <w:rPr>
          <w:sz w:val="19"/>
        </w:rPr>
        <w:t>.</w:t>
      </w:r>
      <w:r>
        <w:rPr>
          <w:spacing w:val="71"/>
          <w:sz w:val="19"/>
        </w:rPr>
        <w:t> </w:t>
      </w:r>
      <w:r>
        <w:rPr>
          <w:i/>
          <w:sz w:val="19"/>
        </w:rPr>
        <w:t>Othello</w:t>
      </w:r>
      <w:r>
        <w:rPr>
          <w:sz w:val="19"/>
        </w:rPr>
        <w:t>.</w:t>
      </w:r>
      <w:r>
        <w:rPr>
          <w:spacing w:val="71"/>
          <w:sz w:val="19"/>
        </w:rPr>
        <w:t> </w:t>
      </w:r>
      <w:r>
        <w:rPr>
          <w:sz w:val="19"/>
        </w:rPr>
        <w:t>Edited</w:t>
      </w:r>
      <w:r>
        <w:rPr>
          <w:spacing w:val="73"/>
          <w:sz w:val="19"/>
        </w:rPr>
        <w:t> </w:t>
      </w:r>
      <w:r>
        <w:rPr>
          <w:sz w:val="19"/>
        </w:rPr>
        <w:t>by</w:t>
      </w:r>
      <w:r>
        <w:rPr>
          <w:spacing w:val="40"/>
          <w:sz w:val="19"/>
        </w:rPr>
        <w:t> </w:t>
      </w:r>
      <w:r>
        <w:rPr>
          <w:sz w:val="19"/>
        </w:rPr>
        <w:t>E.</w:t>
      </w:r>
      <w:r>
        <w:rPr>
          <w:spacing w:val="40"/>
          <w:sz w:val="19"/>
        </w:rPr>
        <w:t> </w:t>
      </w:r>
      <w:r>
        <w:rPr>
          <w:sz w:val="19"/>
        </w:rPr>
        <w:t>A.</w:t>
      </w:r>
      <w:r>
        <w:rPr>
          <w:spacing w:val="71"/>
          <w:sz w:val="19"/>
        </w:rPr>
        <w:t> </w:t>
      </w:r>
      <w:r>
        <w:rPr>
          <w:sz w:val="19"/>
        </w:rPr>
        <w:t>J.</w:t>
      </w:r>
      <w:r>
        <w:rPr>
          <w:spacing w:val="71"/>
          <w:sz w:val="19"/>
        </w:rPr>
        <w:t> </w:t>
      </w:r>
      <w:r>
        <w:rPr>
          <w:sz w:val="19"/>
        </w:rPr>
        <w:t>Honigmann,</w:t>
      </w:r>
      <w:r>
        <w:rPr>
          <w:spacing w:val="40"/>
          <w:sz w:val="19"/>
        </w:rPr>
        <w:t> </w:t>
      </w:r>
      <w:r>
        <w:rPr>
          <w:sz w:val="19"/>
        </w:rPr>
        <w:t>Arden Shakespeare,</w:t>
      </w:r>
      <w:r>
        <w:rPr>
          <w:spacing w:val="40"/>
          <w:sz w:val="19"/>
        </w:rPr>
        <w:t> </w:t>
      </w:r>
      <w:r>
        <w:rPr>
          <w:sz w:val="19"/>
        </w:rPr>
        <w:t>Bloomsbury,</w:t>
      </w:r>
      <w:r>
        <w:rPr>
          <w:spacing w:val="40"/>
          <w:sz w:val="19"/>
        </w:rPr>
        <w:t> </w:t>
      </w:r>
      <w:r>
        <w:rPr>
          <w:sz w:val="19"/>
        </w:rPr>
        <w:t>2016.</w:t>
      </w:r>
    </w:p>
    <w:p>
      <w:pPr>
        <w:pStyle w:val="ListParagraph"/>
        <w:numPr>
          <w:ilvl w:val="0"/>
          <w:numId w:val="84"/>
        </w:numPr>
        <w:tabs>
          <w:tab w:pos="2157" w:val="left" w:leader="none"/>
          <w:tab w:pos="2160" w:val="left" w:leader="none"/>
          <w:tab w:pos="2460" w:val="left" w:leader="none"/>
          <w:tab w:pos="2759" w:val="left" w:leader="none"/>
        </w:tabs>
        <w:spacing w:line="261" w:lineRule="auto" w:before="57" w:after="0"/>
        <w:ind w:left="2160" w:right="1439" w:hanging="315"/>
        <w:jc w:val="left"/>
        <w:rPr>
          <w:sz w:val="19"/>
        </w:rPr>
      </w:pPr>
      <w:r>
        <w:rPr>
          <w:spacing w:val="-10"/>
          <w:sz w:val="19"/>
        </w:rPr>
        <w:t>_</w:t>
      </w:r>
      <w:r>
        <w:rPr>
          <w:sz w:val="19"/>
        </w:rPr>
        <w:tab/>
      </w:r>
      <w:r>
        <w:rPr>
          <w:spacing w:val="-10"/>
          <w:sz w:val="19"/>
        </w:rPr>
        <w:t>_</w:t>
      </w:r>
      <w:r>
        <w:rPr>
          <w:sz w:val="19"/>
        </w:rPr>
        <w:tab/>
        <w:t>_</w:t>
      </w:r>
      <w:r>
        <w:rPr>
          <w:spacing w:val="40"/>
          <w:sz w:val="19"/>
        </w:rPr>
        <w:t> </w:t>
      </w:r>
      <w:r>
        <w:rPr>
          <w:sz w:val="19"/>
        </w:rPr>
        <w:t>.</w:t>
      </w:r>
      <w:r>
        <w:rPr>
          <w:spacing w:val="40"/>
          <w:sz w:val="19"/>
        </w:rPr>
        <w:t> </w:t>
      </w:r>
      <w:r>
        <w:rPr>
          <w:i/>
          <w:sz w:val="19"/>
        </w:rPr>
        <w:t>Romeo</w:t>
      </w:r>
      <w:r>
        <w:rPr>
          <w:i/>
          <w:spacing w:val="40"/>
          <w:sz w:val="19"/>
        </w:rPr>
        <w:t> </w:t>
      </w:r>
      <w:r>
        <w:rPr>
          <w:i/>
          <w:sz w:val="19"/>
        </w:rPr>
        <w:t>and</w:t>
      </w:r>
      <w:r>
        <w:rPr>
          <w:i/>
          <w:spacing w:val="40"/>
          <w:sz w:val="19"/>
        </w:rPr>
        <w:t> </w:t>
      </w:r>
      <w:r>
        <w:rPr>
          <w:i/>
          <w:sz w:val="19"/>
        </w:rPr>
        <w:t>Juliet</w:t>
      </w:r>
      <w:r>
        <w:rPr>
          <w:sz w:val="19"/>
        </w:rPr>
        <w:t>.</w:t>
      </w:r>
      <w:r>
        <w:rPr>
          <w:spacing w:val="40"/>
          <w:sz w:val="19"/>
        </w:rPr>
        <w:t> </w:t>
      </w:r>
      <w:r>
        <w:rPr>
          <w:sz w:val="19"/>
        </w:rPr>
        <w:t>Edited</w:t>
      </w:r>
      <w:r>
        <w:rPr>
          <w:spacing w:val="40"/>
          <w:sz w:val="19"/>
        </w:rPr>
        <w:t> </w:t>
      </w:r>
      <w:r>
        <w:rPr>
          <w:sz w:val="19"/>
        </w:rPr>
        <w:t>by</w:t>
      </w:r>
      <w:r>
        <w:rPr>
          <w:spacing w:val="40"/>
          <w:sz w:val="19"/>
        </w:rPr>
        <w:t> </w:t>
      </w:r>
      <w:r>
        <w:rPr>
          <w:sz w:val="19"/>
        </w:rPr>
        <w:t>René</w:t>
      </w:r>
      <w:r>
        <w:rPr>
          <w:spacing w:val="40"/>
          <w:sz w:val="19"/>
        </w:rPr>
        <w:t> </w:t>
      </w:r>
      <w:r>
        <w:rPr>
          <w:sz w:val="19"/>
        </w:rPr>
        <w:t>Weis,</w:t>
      </w:r>
      <w:r>
        <w:rPr>
          <w:spacing w:val="40"/>
          <w:sz w:val="19"/>
        </w:rPr>
        <w:t> </w:t>
      </w:r>
      <w:r>
        <w:rPr>
          <w:sz w:val="19"/>
        </w:rPr>
        <w:t>Arden</w:t>
      </w:r>
      <w:r>
        <w:rPr>
          <w:spacing w:val="40"/>
          <w:sz w:val="19"/>
        </w:rPr>
        <w:t> </w:t>
      </w:r>
      <w:r>
        <w:rPr>
          <w:sz w:val="19"/>
        </w:rPr>
        <w:t>Shakespeare,</w:t>
      </w:r>
      <w:r>
        <w:rPr>
          <w:spacing w:val="40"/>
          <w:sz w:val="19"/>
        </w:rPr>
        <w:t> </w:t>
      </w:r>
      <w:r>
        <w:rPr>
          <w:sz w:val="19"/>
        </w:rPr>
        <w:t>Bloomsbury,</w:t>
      </w:r>
      <w:r>
        <w:rPr>
          <w:spacing w:val="40"/>
          <w:sz w:val="19"/>
        </w:rPr>
        <w:t> </w:t>
      </w:r>
      <w:r>
        <w:rPr>
          <w:sz w:val="19"/>
        </w:rPr>
        <w:t>2012.</w:t>
      </w:r>
    </w:p>
    <w:p>
      <w:pPr>
        <w:pStyle w:val="ListParagraph"/>
        <w:numPr>
          <w:ilvl w:val="0"/>
          <w:numId w:val="84"/>
        </w:numPr>
        <w:tabs>
          <w:tab w:pos="2157" w:val="left" w:leader="none"/>
          <w:tab w:pos="2160" w:val="left" w:leader="none"/>
        </w:tabs>
        <w:spacing w:line="261" w:lineRule="auto" w:before="59" w:after="0"/>
        <w:ind w:left="2160" w:right="1438" w:hanging="315"/>
        <w:jc w:val="left"/>
        <w:rPr>
          <w:i/>
          <w:sz w:val="19"/>
        </w:rPr>
      </w:pPr>
      <w:r>
        <w:rPr>
          <w:sz w:val="19"/>
        </w:rPr>
        <w:t>Showalter,</w:t>
      </w:r>
      <w:r>
        <w:rPr>
          <w:spacing w:val="40"/>
          <w:sz w:val="19"/>
        </w:rPr>
        <w:t> </w:t>
      </w:r>
      <w:r>
        <w:rPr>
          <w:sz w:val="19"/>
        </w:rPr>
        <w:t>Elaine.</w:t>
      </w:r>
      <w:r>
        <w:rPr>
          <w:spacing w:val="40"/>
          <w:sz w:val="19"/>
        </w:rPr>
        <w:t> </w:t>
      </w:r>
      <w:r>
        <w:rPr>
          <w:sz w:val="19"/>
        </w:rPr>
        <w:t>“Representing</w:t>
      </w:r>
      <w:r>
        <w:rPr>
          <w:spacing w:val="40"/>
          <w:sz w:val="19"/>
        </w:rPr>
        <w:t> </w:t>
      </w:r>
      <w:r>
        <w:rPr>
          <w:sz w:val="19"/>
        </w:rPr>
        <w:t>Ophelia:</w:t>
      </w:r>
      <w:r>
        <w:rPr>
          <w:spacing w:val="40"/>
          <w:sz w:val="19"/>
        </w:rPr>
        <w:t> </w:t>
      </w:r>
      <w:r>
        <w:rPr>
          <w:sz w:val="19"/>
        </w:rPr>
        <w:t>Women,</w:t>
      </w:r>
      <w:r>
        <w:rPr>
          <w:spacing w:val="40"/>
          <w:sz w:val="19"/>
        </w:rPr>
        <w:t> </w:t>
      </w:r>
      <w:r>
        <w:rPr>
          <w:sz w:val="19"/>
        </w:rPr>
        <w:t>Madness, and</w:t>
      </w:r>
      <w:r>
        <w:rPr>
          <w:spacing w:val="40"/>
          <w:sz w:val="19"/>
        </w:rPr>
        <w:t> </w:t>
      </w:r>
      <w:r>
        <w:rPr>
          <w:sz w:val="19"/>
        </w:rPr>
        <w:t>the</w:t>
      </w:r>
      <w:r>
        <w:rPr>
          <w:spacing w:val="40"/>
          <w:sz w:val="19"/>
        </w:rPr>
        <w:t> </w:t>
      </w:r>
      <w:r>
        <w:rPr>
          <w:sz w:val="19"/>
        </w:rPr>
        <w:t>Responsibilities</w:t>
      </w:r>
      <w:r>
        <w:rPr>
          <w:spacing w:val="40"/>
          <w:sz w:val="19"/>
        </w:rPr>
        <w:t> </w:t>
      </w:r>
      <w:r>
        <w:rPr>
          <w:sz w:val="19"/>
        </w:rPr>
        <w:t>of</w:t>
      </w:r>
      <w:r>
        <w:rPr>
          <w:spacing w:val="40"/>
          <w:sz w:val="19"/>
        </w:rPr>
        <w:t> </w:t>
      </w:r>
      <w:r>
        <w:rPr>
          <w:sz w:val="19"/>
        </w:rPr>
        <w:t>Feminist</w:t>
      </w:r>
      <w:r>
        <w:rPr>
          <w:spacing w:val="40"/>
          <w:sz w:val="19"/>
        </w:rPr>
        <w:t> </w:t>
      </w:r>
      <w:r>
        <w:rPr>
          <w:sz w:val="19"/>
        </w:rPr>
        <w:t>Criticism.”</w:t>
      </w:r>
      <w:r>
        <w:rPr>
          <w:spacing w:val="40"/>
          <w:sz w:val="19"/>
        </w:rPr>
        <w:t> </w:t>
      </w:r>
      <w:r>
        <w:rPr>
          <w:i/>
          <w:sz w:val="19"/>
        </w:rPr>
        <w:t>Shakespeare</w:t>
      </w:r>
    </w:p>
    <w:p>
      <w:pPr>
        <w:pStyle w:val="ListParagraph"/>
        <w:spacing w:after="0" w:line="261" w:lineRule="auto"/>
        <w:jc w:val="left"/>
        <w:rPr>
          <w:i/>
          <w:sz w:val="19"/>
        </w:rPr>
        <w:sectPr>
          <w:pgSz w:w="12240" w:h="15840"/>
          <w:pgMar w:top="1820" w:bottom="280" w:left="1800" w:right="1800"/>
        </w:sectPr>
      </w:pPr>
    </w:p>
    <w:p>
      <w:pPr>
        <w:pStyle w:val="BodyText"/>
        <w:ind w:left="0"/>
        <w:rPr>
          <w:i/>
          <w:sz w:val="18"/>
        </w:rPr>
      </w:pPr>
    </w:p>
    <w:p>
      <w:pPr>
        <w:pStyle w:val="BodyText"/>
        <w:ind w:left="0"/>
        <w:rPr>
          <w:i/>
          <w:sz w:val="18"/>
        </w:rPr>
      </w:pPr>
    </w:p>
    <w:p>
      <w:pPr>
        <w:pStyle w:val="BodyText"/>
        <w:ind w:left="0"/>
        <w:rPr>
          <w:i/>
          <w:sz w:val="18"/>
        </w:rPr>
      </w:pPr>
    </w:p>
    <w:p>
      <w:pPr>
        <w:pStyle w:val="BodyText"/>
        <w:spacing w:before="168"/>
        <w:ind w:left="0"/>
        <w:rPr>
          <w:i/>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86848">
                <wp:simplePos x="0" y="0"/>
                <wp:positionH relativeFrom="page">
                  <wp:posOffset>2057400</wp:posOffset>
                </wp:positionH>
                <wp:positionV relativeFrom="paragraph">
                  <wp:posOffset>162604</wp:posOffset>
                </wp:positionV>
                <wp:extent cx="3657600" cy="12700"/>
                <wp:effectExtent l="0" t="0" r="0" b="0"/>
                <wp:wrapTopAndBottom/>
                <wp:docPr id="797" name="Graphic 797"/>
                <wp:cNvGraphicFramePr>
                  <a:graphicFrameLocks/>
                </wp:cNvGraphicFramePr>
                <a:graphic>
                  <a:graphicData uri="http://schemas.microsoft.com/office/word/2010/wordprocessingShape">
                    <wps:wsp>
                      <wps:cNvPr id="797" name="Graphic 79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29632;mso-wrap-distance-left:0;mso-wrap-distance-right:0" id="docshape789" filled="true" fillcolor="#000000" stroked="false">
                <v:fill type="solid"/>
                <w10:wrap type="topAndBottom"/>
              </v:rect>
            </w:pict>
          </mc:Fallback>
        </mc:AlternateContent>
      </w:r>
      <w:r>
        <w:rPr>
          <w:rFonts w:ascii="Verdana"/>
          <w:spacing w:val="-5"/>
          <w:sz w:val="18"/>
        </w:rPr>
        <w:t>410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tabs>
          <w:tab w:pos="5329" w:val="left" w:leader="none"/>
        </w:tabs>
        <w:spacing w:line="261" w:lineRule="auto" w:before="199"/>
        <w:ind w:left="2160" w:right="1440" w:firstLine="0"/>
        <w:jc w:val="left"/>
        <w:rPr>
          <w:sz w:val="19"/>
        </w:rPr>
      </w:pPr>
      <w:r>
        <w:rPr>
          <w:i/>
          <w:sz w:val="19"/>
        </w:rPr>
        <w:t>and</w:t>
      </w:r>
      <w:r>
        <w:rPr>
          <w:i/>
          <w:spacing w:val="40"/>
          <w:sz w:val="19"/>
        </w:rPr>
        <w:t> </w:t>
      </w:r>
      <w:r>
        <w:rPr>
          <w:i/>
          <w:sz w:val="19"/>
        </w:rPr>
        <w:t>the</w:t>
      </w:r>
      <w:r>
        <w:rPr>
          <w:i/>
          <w:spacing w:val="40"/>
          <w:sz w:val="19"/>
        </w:rPr>
        <w:t> </w:t>
      </w:r>
      <w:r>
        <w:rPr>
          <w:i/>
          <w:sz w:val="19"/>
        </w:rPr>
        <w:t>Question</w:t>
      </w:r>
      <w:r>
        <w:rPr>
          <w:i/>
          <w:spacing w:val="40"/>
          <w:sz w:val="19"/>
        </w:rPr>
        <w:t> </w:t>
      </w:r>
      <w:r>
        <w:rPr>
          <w:i/>
          <w:sz w:val="19"/>
        </w:rPr>
        <w:t>of</w:t>
      </w:r>
      <w:r>
        <w:rPr>
          <w:i/>
          <w:spacing w:val="40"/>
          <w:sz w:val="19"/>
        </w:rPr>
        <w:t> </w:t>
      </w:r>
      <w:r>
        <w:rPr>
          <w:i/>
          <w:sz w:val="19"/>
        </w:rPr>
        <w:t>Theory</w:t>
      </w:r>
      <w:r>
        <w:rPr>
          <w:sz w:val="19"/>
        </w:rPr>
        <w:t>,</w:t>
      </w:r>
      <w:r>
        <w:rPr>
          <w:spacing w:val="40"/>
          <w:sz w:val="19"/>
        </w:rPr>
        <w:t> </w:t>
      </w:r>
      <w:r>
        <w:rPr>
          <w:sz w:val="19"/>
        </w:rPr>
        <w:t>edited</w:t>
        <w:tab/>
        <w:t>by</w:t>
      </w:r>
      <w:r>
        <w:rPr>
          <w:spacing w:val="40"/>
          <w:sz w:val="19"/>
        </w:rPr>
        <w:t> </w:t>
      </w:r>
      <w:r>
        <w:rPr>
          <w:sz w:val="19"/>
        </w:rPr>
        <w:t>Patricia</w:t>
      </w:r>
      <w:r>
        <w:rPr>
          <w:spacing w:val="40"/>
          <w:sz w:val="19"/>
        </w:rPr>
        <w:t> </w:t>
      </w:r>
      <w:r>
        <w:rPr>
          <w:sz w:val="19"/>
        </w:rPr>
        <w:t>Parker</w:t>
      </w:r>
      <w:r>
        <w:rPr>
          <w:spacing w:val="40"/>
          <w:sz w:val="19"/>
        </w:rPr>
        <w:t> </w:t>
      </w:r>
      <w:r>
        <w:rPr>
          <w:sz w:val="19"/>
        </w:rPr>
        <w:t>and Geoffrey</w:t>
      </w:r>
      <w:r>
        <w:rPr>
          <w:spacing w:val="40"/>
          <w:sz w:val="19"/>
        </w:rPr>
        <w:t> </w:t>
      </w:r>
      <w:r>
        <w:rPr>
          <w:sz w:val="19"/>
        </w:rPr>
        <w:t>Hartman,</w:t>
      </w:r>
      <w:r>
        <w:rPr>
          <w:spacing w:val="40"/>
          <w:sz w:val="19"/>
        </w:rPr>
        <w:t> </w:t>
      </w:r>
      <w:r>
        <w:rPr>
          <w:sz w:val="19"/>
        </w:rPr>
        <w:t>Routledge,</w:t>
      </w:r>
      <w:r>
        <w:rPr>
          <w:spacing w:val="40"/>
          <w:sz w:val="19"/>
        </w:rPr>
        <w:t> </w:t>
      </w:r>
      <w:r>
        <w:rPr>
          <w:sz w:val="19"/>
        </w:rPr>
        <w:t>1985,</w:t>
      </w:r>
      <w:r>
        <w:rPr>
          <w:spacing w:val="40"/>
          <w:sz w:val="19"/>
        </w:rPr>
        <w:t> </w:t>
      </w:r>
      <w:r>
        <w:rPr>
          <w:sz w:val="19"/>
        </w:rPr>
        <w:t>pp.</w:t>
      </w:r>
      <w:r>
        <w:rPr>
          <w:spacing w:val="40"/>
          <w:sz w:val="19"/>
        </w:rPr>
        <w:t> </w:t>
      </w:r>
      <w:r>
        <w:rPr>
          <w:sz w:val="19"/>
        </w:rPr>
        <w:t>77–94.</w:t>
      </w:r>
    </w:p>
    <w:p>
      <w:pPr>
        <w:pStyle w:val="ListParagraph"/>
        <w:numPr>
          <w:ilvl w:val="0"/>
          <w:numId w:val="84"/>
        </w:numPr>
        <w:tabs>
          <w:tab w:pos="2157" w:val="left" w:leader="none"/>
          <w:tab w:pos="2160" w:val="left" w:leader="none"/>
        </w:tabs>
        <w:spacing w:line="264" w:lineRule="auto" w:before="57" w:after="0"/>
        <w:ind w:left="2160" w:right="1432" w:hanging="315"/>
        <w:jc w:val="left"/>
        <w:rPr>
          <w:sz w:val="19"/>
        </w:rPr>
      </w:pPr>
      <w:r>
        <w:rPr>
          <w:sz w:val="19"/>
        </w:rPr>
        <w:t>Freud,</w:t>
      </w:r>
      <w:r>
        <w:rPr>
          <w:spacing w:val="40"/>
          <w:sz w:val="19"/>
        </w:rPr>
        <w:t> </w:t>
      </w:r>
      <w:r>
        <w:rPr>
          <w:sz w:val="19"/>
        </w:rPr>
        <w:t>Sigmund.</w:t>
      </w:r>
      <w:r>
        <w:rPr>
          <w:spacing w:val="40"/>
          <w:sz w:val="19"/>
        </w:rPr>
        <w:t> </w:t>
      </w:r>
      <w:r>
        <w:rPr>
          <w:i/>
          <w:sz w:val="19"/>
        </w:rPr>
        <w:t>The</w:t>
      </w:r>
      <w:r>
        <w:rPr>
          <w:i/>
          <w:spacing w:val="40"/>
          <w:sz w:val="19"/>
        </w:rPr>
        <w:t> </w:t>
      </w:r>
      <w:r>
        <w:rPr>
          <w:i/>
          <w:sz w:val="19"/>
        </w:rPr>
        <w:t>Interpretation</w:t>
      </w:r>
      <w:r>
        <w:rPr>
          <w:i/>
          <w:spacing w:val="40"/>
          <w:sz w:val="19"/>
        </w:rPr>
        <w:t> </w:t>
      </w:r>
      <w:r>
        <w:rPr>
          <w:i/>
          <w:sz w:val="19"/>
        </w:rPr>
        <w:t>of</w:t>
      </w:r>
      <w:r>
        <w:rPr>
          <w:i/>
          <w:spacing w:val="40"/>
          <w:sz w:val="19"/>
        </w:rPr>
        <w:t> </w:t>
      </w:r>
      <w:r>
        <w:rPr>
          <w:i/>
          <w:sz w:val="19"/>
        </w:rPr>
        <w:t>Dreams</w:t>
      </w:r>
      <w:r>
        <w:rPr>
          <w:sz w:val="19"/>
        </w:rPr>
        <w:t>.</w:t>
      </w:r>
      <w:r>
        <w:rPr>
          <w:spacing w:val="40"/>
          <w:sz w:val="19"/>
        </w:rPr>
        <w:t> </w:t>
      </w:r>
      <w:r>
        <w:rPr>
          <w:sz w:val="19"/>
        </w:rPr>
        <w:t>Translated</w:t>
      </w:r>
      <w:r>
        <w:rPr>
          <w:spacing w:val="40"/>
          <w:sz w:val="19"/>
        </w:rPr>
        <w:t> </w:t>
      </w:r>
      <w:r>
        <w:rPr>
          <w:sz w:val="19"/>
        </w:rPr>
        <w:t>by James</w:t>
      </w:r>
      <w:r>
        <w:rPr>
          <w:spacing w:val="40"/>
          <w:sz w:val="19"/>
        </w:rPr>
        <w:t> </w:t>
      </w:r>
      <w:r>
        <w:rPr>
          <w:sz w:val="19"/>
        </w:rPr>
        <w:t>Strachey,</w:t>
      </w:r>
      <w:r>
        <w:rPr>
          <w:spacing w:val="40"/>
          <w:sz w:val="19"/>
        </w:rPr>
        <w:t> </w:t>
      </w:r>
      <w:r>
        <w:rPr>
          <w:sz w:val="19"/>
        </w:rPr>
        <w:t>Basic</w:t>
      </w:r>
      <w:r>
        <w:rPr>
          <w:spacing w:val="40"/>
          <w:sz w:val="19"/>
        </w:rPr>
        <w:t> </w:t>
      </w:r>
      <w:r>
        <w:rPr>
          <w:sz w:val="19"/>
        </w:rPr>
        <w:t>Books,</w:t>
      </w:r>
      <w:r>
        <w:rPr>
          <w:spacing w:val="40"/>
          <w:sz w:val="19"/>
        </w:rPr>
        <w:t> </w:t>
      </w:r>
      <w:r>
        <w:rPr>
          <w:sz w:val="19"/>
        </w:rPr>
        <w:t>2010.</w:t>
      </w:r>
    </w:p>
    <w:p>
      <w:pPr>
        <w:pStyle w:val="ListParagraph"/>
        <w:numPr>
          <w:ilvl w:val="0"/>
          <w:numId w:val="84"/>
        </w:numPr>
        <w:tabs>
          <w:tab w:pos="2157" w:val="left" w:leader="none"/>
          <w:tab w:pos="2160" w:val="left" w:leader="none"/>
        </w:tabs>
        <w:spacing w:line="261" w:lineRule="auto" w:before="54" w:after="0"/>
        <w:ind w:left="2160" w:right="1441" w:hanging="315"/>
        <w:jc w:val="left"/>
        <w:rPr>
          <w:sz w:val="19"/>
        </w:rPr>
      </w:pPr>
      <w:r>
        <w:rPr>
          <w:sz w:val="19"/>
        </w:rPr>
        <w:t>Bradley,</w:t>
      </w:r>
      <w:r>
        <w:rPr>
          <w:spacing w:val="36"/>
          <w:sz w:val="19"/>
        </w:rPr>
        <w:t> </w:t>
      </w:r>
      <w:r>
        <w:rPr>
          <w:sz w:val="19"/>
        </w:rPr>
        <w:t>A.</w:t>
      </w:r>
      <w:r>
        <w:rPr>
          <w:spacing w:val="40"/>
          <w:sz w:val="19"/>
        </w:rPr>
        <w:t> </w:t>
      </w:r>
      <w:r>
        <w:rPr>
          <w:sz w:val="19"/>
        </w:rPr>
        <w:t>C.</w:t>
      </w:r>
      <w:r>
        <w:rPr>
          <w:spacing w:val="40"/>
          <w:sz w:val="19"/>
        </w:rPr>
        <w:t> </w:t>
      </w:r>
      <w:r>
        <w:rPr>
          <w:sz w:val="19"/>
        </w:rPr>
        <w:t>“Shakespearean</w:t>
      </w:r>
      <w:r>
        <w:rPr>
          <w:spacing w:val="40"/>
          <w:sz w:val="19"/>
        </w:rPr>
        <w:t> </w:t>
      </w:r>
      <w:r>
        <w:rPr>
          <w:sz w:val="19"/>
        </w:rPr>
        <w:t>Tragedy:</w:t>
      </w:r>
      <w:r>
        <w:rPr>
          <w:spacing w:val="40"/>
          <w:sz w:val="19"/>
        </w:rPr>
        <w:t> </w:t>
      </w:r>
      <w:r>
        <w:rPr>
          <w:sz w:val="19"/>
        </w:rPr>
        <w:t>Lectures</w:t>
      </w:r>
      <w:r>
        <w:rPr>
          <w:spacing w:val="40"/>
          <w:sz w:val="19"/>
        </w:rPr>
        <w:t> </w:t>
      </w:r>
      <w:r>
        <w:rPr>
          <w:sz w:val="19"/>
        </w:rPr>
        <w:t>on</w:t>
      </w:r>
      <w:r>
        <w:rPr>
          <w:spacing w:val="40"/>
          <w:sz w:val="19"/>
        </w:rPr>
        <w:t> </w:t>
      </w:r>
      <w:r>
        <w:rPr>
          <w:sz w:val="19"/>
        </w:rPr>
        <w:t>Hamlet, Othello,</w:t>
      </w:r>
      <w:r>
        <w:rPr>
          <w:spacing w:val="40"/>
          <w:sz w:val="19"/>
        </w:rPr>
        <w:t> </w:t>
      </w:r>
      <w:r>
        <w:rPr>
          <w:sz w:val="19"/>
        </w:rPr>
        <w:t>King</w:t>
      </w:r>
      <w:r>
        <w:rPr>
          <w:spacing w:val="40"/>
          <w:sz w:val="19"/>
        </w:rPr>
        <w:t> </w:t>
      </w:r>
      <w:r>
        <w:rPr>
          <w:sz w:val="19"/>
        </w:rPr>
        <w:t>Lear,</w:t>
      </w:r>
      <w:r>
        <w:rPr>
          <w:spacing w:val="40"/>
          <w:sz w:val="19"/>
        </w:rPr>
        <w:t> </w:t>
      </w:r>
      <w:r>
        <w:rPr>
          <w:sz w:val="19"/>
        </w:rPr>
        <w:t>Macbeth”.</w:t>
      </w:r>
      <w:r>
        <w:rPr>
          <w:spacing w:val="40"/>
          <w:sz w:val="19"/>
        </w:rPr>
        <w:t> </w:t>
      </w:r>
      <w:r>
        <w:rPr>
          <w:i/>
          <w:sz w:val="19"/>
        </w:rPr>
        <w:t>Penguin</w:t>
      </w:r>
      <w:r>
        <w:rPr>
          <w:i/>
          <w:spacing w:val="40"/>
          <w:sz w:val="19"/>
        </w:rPr>
        <w:t> </w:t>
      </w:r>
      <w:r>
        <w:rPr>
          <w:i/>
          <w:sz w:val="19"/>
        </w:rPr>
        <w:t>Classics</w:t>
      </w:r>
      <w:r>
        <w:rPr>
          <w:sz w:val="19"/>
        </w:rPr>
        <w:t>,</w:t>
      </w:r>
      <w:r>
        <w:rPr>
          <w:spacing w:val="40"/>
          <w:sz w:val="19"/>
        </w:rPr>
        <w:t> </w:t>
      </w:r>
      <w:r>
        <w:rPr>
          <w:sz w:val="19"/>
        </w:rPr>
        <w:t>1991.</w:t>
      </w:r>
    </w:p>
    <w:p>
      <w:pPr>
        <w:pStyle w:val="ListParagraph"/>
        <w:spacing w:after="0" w:line="261"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52032">
                <wp:simplePos x="0" y="0"/>
                <wp:positionH relativeFrom="page">
                  <wp:posOffset>2057400</wp:posOffset>
                </wp:positionH>
                <wp:positionV relativeFrom="page">
                  <wp:posOffset>1788723</wp:posOffset>
                </wp:positionV>
                <wp:extent cx="3653790" cy="140335"/>
                <wp:effectExtent l="0" t="0" r="0" b="0"/>
                <wp:wrapNone/>
                <wp:docPr id="798" name="Textbox 798"/>
                <wp:cNvGraphicFramePr>
                  <a:graphicFrameLocks/>
                </wp:cNvGraphicFramePr>
                <a:graphic>
                  <a:graphicData uri="http://schemas.microsoft.com/office/word/2010/wordprocessingShape">
                    <wps:wsp>
                      <wps:cNvPr id="798" name="Textbox 798"/>
                      <wps:cNvSpPr txBox="1"/>
                      <wps:spPr>
                        <a:xfrm>
                          <a:off x="0" y="0"/>
                          <a:ext cx="3653790" cy="140335"/>
                        </a:xfrm>
                        <a:prstGeom prst="rect">
                          <a:avLst/>
                        </a:prstGeom>
                      </wps:spPr>
                      <wps:txbx>
                        <w:txbxContent>
                          <w:p>
                            <w:pPr>
                              <w:tabs>
                                <w:tab w:pos="5753" w:val="right" w:leader="none"/>
                              </w:tabs>
                              <w:spacing w:line="219" w:lineRule="exact" w:before="0"/>
                              <w:ind w:left="0" w:right="0" w:firstLine="0"/>
                              <w:jc w:val="left"/>
                              <w:rPr>
                                <w:rFonts w:ascii="Verdana" w:hAnsi="Verdana"/>
                                <w:sz w:val="18"/>
                              </w:rPr>
                            </w:pPr>
                            <w:r>
                              <w:rPr>
                                <w:rFonts w:ascii="Verdana" w:hAnsi="Verdana"/>
                                <w:sz w:val="18"/>
                              </w:rPr>
                              <w:t>Gender,</w:t>
                            </w:r>
                            <w:r>
                              <w:rPr>
                                <w:rFonts w:ascii="Verdana" w:hAnsi="Verdana"/>
                                <w:spacing w:val="-4"/>
                                <w:sz w:val="18"/>
                              </w:rPr>
                              <w:t> </w:t>
                            </w: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3"/>
                                <w:sz w:val="18"/>
                              </w:rPr>
                              <w:t> </w:t>
                            </w:r>
                            <w:r>
                              <w:rPr>
                                <w:rFonts w:ascii="Verdana" w:hAnsi="Verdana"/>
                                <w:sz w:val="18"/>
                              </w:rPr>
                              <w:t>Patriarchy</w:t>
                            </w:r>
                            <w:r>
                              <w:rPr>
                                <w:rFonts w:ascii="Verdana" w:hAnsi="Verdana"/>
                                <w:spacing w:val="-2"/>
                                <w:sz w:val="18"/>
                              </w:rPr>
                              <w:t> </w:t>
                            </w:r>
                            <w:r>
                              <w:rPr>
                                <w:rFonts w:ascii="Verdana" w:hAnsi="Verdana"/>
                                <w:sz w:val="18"/>
                              </w:rPr>
                              <w:t>in</w:t>
                            </w:r>
                            <w:r>
                              <w:rPr>
                                <w:rFonts w:ascii="Verdana" w:hAnsi="Verdana"/>
                                <w:spacing w:val="-3"/>
                                <w:sz w:val="18"/>
                              </w:rPr>
                              <w:t> </w:t>
                            </w:r>
                            <w:r>
                              <w:rPr>
                                <w:rFonts w:ascii="Verdana" w:hAnsi="Verdana"/>
                                <w:sz w:val="18"/>
                              </w:rPr>
                              <w:t>Shakespeare’s</w:t>
                            </w:r>
                            <w:r>
                              <w:rPr>
                                <w:rFonts w:ascii="Verdana" w:hAnsi="Verdana"/>
                                <w:spacing w:val="-2"/>
                                <w:sz w:val="18"/>
                              </w:rPr>
                              <w:t> Plays...</w:t>
                            </w:r>
                            <w:r>
                              <w:rPr>
                                <w:sz w:val="18"/>
                              </w:rPr>
                              <w:tab/>
                            </w:r>
                            <w:r>
                              <w:rPr>
                                <w:rFonts w:ascii="Verdana" w:hAnsi="Verdana"/>
                                <w:spacing w:val="-5"/>
                                <w:sz w:val="18"/>
                              </w:rPr>
                              <w:t>411</w:t>
                            </w:r>
                          </w:p>
                        </w:txbxContent>
                      </wps:txbx>
                      <wps:bodyPr wrap="square" lIns="0" tIns="0" rIns="0" bIns="0" rtlCol="0">
                        <a:noAutofit/>
                      </wps:bodyPr>
                    </wps:wsp>
                  </a:graphicData>
                </a:graphic>
              </wp:anchor>
            </w:drawing>
          </mc:Choice>
          <mc:Fallback>
            <w:pict>
              <v:shape style="position:absolute;margin-left:162pt;margin-top:140.844391pt;width:287.7pt;height:11.05pt;mso-position-horizontal-relative:page;mso-position-vertical-relative:page;z-index:-20264448" type="#_x0000_t202" id="docshape790" filled="false" stroked="false">
                <v:textbox inset="0,0,0,0">
                  <w:txbxContent>
                    <w:p>
                      <w:pPr>
                        <w:tabs>
                          <w:tab w:pos="5753" w:val="right" w:leader="none"/>
                        </w:tabs>
                        <w:spacing w:line="219" w:lineRule="exact" w:before="0"/>
                        <w:ind w:left="0" w:right="0" w:firstLine="0"/>
                        <w:jc w:val="left"/>
                        <w:rPr>
                          <w:rFonts w:ascii="Verdana" w:hAnsi="Verdana"/>
                          <w:sz w:val="18"/>
                        </w:rPr>
                      </w:pPr>
                      <w:r>
                        <w:rPr>
                          <w:rFonts w:ascii="Verdana" w:hAnsi="Verdana"/>
                          <w:sz w:val="18"/>
                        </w:rPr>
                        <w:t>Gender,</w:t>
                      </w:r>
                      <w:r>
                        <w:rPr>
                          <w:rFonts w:ascii="Verdana" w:hAnsi="Verdana"/>
                          <w:spacing w:val="-4"/>
                          <w:sz w:val="18"/>
                        </w:rPr>
                        <w:t> </w:t>
                      </w: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3"/>
                          <w:sz w:val="18"/>
                        </w:rPr>
                        <w:t> </w:t>
                      </w:r>
                      <w:r>
                        <w:rPr>
                          <w:rFonts w:ascii="Verdana" w:hAnsi="Verdana"/>
                          <w:sz w:val="18"/>
                        </w:rPr>
                        <w:t>Patriarchy</w:t>
                      </w:r>
                      <w:r>
                        <w:rPr>
                          <w:rFonts w:ascii="Verdana" w:hAnsi="Verdana"/>
                          <w:spacing w:val="-2"/>
                          <w:sz w:val="18"/>
                        </w:rPr>
                        <w:t> </w:t>
                      </w:r>
                      <w:r>
                        <w:rPr>
                          <w:rFonts w:ascii="Verdana" w:hAnsi="Verdana"/>
                          <w:sz w:val="18"/>
                        </w:rPr>
                        <w:t>in</w:t>
                      </w:r>
                      <w:r>
                        <w:rPr>
                          <w:rFonts w:ascii="Verdana" w:hAnsi="Verdana"/>
                          <w:spacing w:val="-3"/>
                          <w:sz w:val="18"/>
                        </w:rPr>
                        <w:t> </w:t>
                      </w:r>
                      <w:r>
                        <w:rPr>
                          <w:rFonts w:ascii="Verdana" w:hAnsi="Verdana"/>
                          <w:sz w:val="18"/>
                        </w:rPr>
                        <w:t>Shakespeare’s</w:t>
                      </w:r>
                      <w:r>
                        <w:rPr>
                          <w:rFonts w:ascii="Verdana" w:hAnsi="Verdana"/>
                          <w:spacing w:val="-2"/>
                          <w:sz w:val="18"/>
                        </w:rPr>
                        <w:t> Plays...</w:t>
                      </w:r>
                      <w:r>
                        <w:rPr>
                          <w:sz w:val="18"/>
                        </w:rPr>
                        <w:tab/>
                      </w:r>
                      <w:r>
                        <w:rPr>
                          <w:rFonts w:ascii="Verdana" w:hAnsi="Verdana"/>
                          <w:spacing w:val="-5"/>
                          <w:sz w:val="18"/>
                        </w:rPr>
                        <w:t>411</w:t>
                      </w:r>
                    </w:p>
                  </w:txbxContent>
                </v:textbox>
                <w10:wrap type="none"/>
              </v:shape>
            </w:pict>
          </mc:Fallback>
        </mc:AlternateContent>
      </w:r>
    </w:p>
    <w:p>
      <w:pPr>
        <w:pStyle w:val="BodyText"/>
        <w:ind w:left="0"/>
      </w:pPr>
    </w:p>
    <w:p>
      <w:pPr>
        <w:pStyle w:val="BodyText"/>
        <w:spacing w:before="12"/>
        <w:ind w:left="0"/>
      </w:pPr>
    </w:p>
    <w:p>
      <w:pPr>
        <w:spacing w:line="240" w:lineRule="auto"/>
        <w:ind w:left="1053" w:right="0" w:firstLine="0"/>
        <w:rPr>
          <w:sz w:val="20"/>
        </w:rPr>
      </w:pPr>
      <w:r>
        <w:rPr>
          <w:sz w:val="20"/>
        </w:rPr>
        <mc:AlternateContent>
          <mc:Choice Requires="wps">
            <w:drawing>
              <wp:inline distT="0" distB="0" distL="0" distR="0">
                <wp:extent cx="4043679" cy="699770"/>
                <wp:effectExtent l="0" t="0" r="0" b="0"/>
                <wp:docPr id="799" name="Group 799"/>
                <wp:cNvGraphicFramePr>
                  <a:graphicFrameLocks/>
                </wp:cNvGraphicFramePr>
                <a:graphic>
                  <a:graphicData uri="http://schemas.microsoft.com/office/word/2010/wordprocessingGroup">
                    <wpg:wgp>
                      <wpg:cNvPr id="799" name="Group 799"/>
                      <wpg:cNvGrpSpPr/>
                      <wpg:grpSpPr>
                        <a:xfrm>
                          <a:off x="0" y="0"/>
                          <a:ext cx="4043679" cy="699770"/>
                          <a:chExt cx="4043679" cy="699770"/>
                        </a:xfrm>
                      </wpg:grpSpPr>
                      <wps:wsp>
                        <wps:cNvPr id="800" name="Graphic 800"/>
                        <wps:cNvSpPr/>
                        <wps:spPr>
                          <a:xfrm>
                            <a:off x="0" y="0"/>
                            <a:ext cx="4043679" cy="699770"/>
                          </a:xfrm>
                          <a:custGeom>
                            <a:avLst/>
                            <a:gdLst/>
                            <a:ahLst/>
                            <a:cxnLst/>
                            <a:rect l="l" t="t" r="r" b="b"/>
                            <a:pathLst>
                              <a:path w="4043679" h="699770">
                                <a:moveTo>
                                  <a:pt x="4043171" y="699516"/>
                                </a:moveTo>
                                <a:lnTo>
                                  <a:pt x="0" y="699516"/>
                                </a:lnTo>
                                <a:lnTo>
                                  <a:pt x="0" y="0"/>
                                </a:lnTo>
                                <a:lnTo>
                                  <a:pt x="4043171" y="0"/>
                                </a:lnTo>
                                <a:lnTo>
                                  <a:pt x="4043171"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791" coordorigin="0,0" coordsize="6368,1102">
                <v:rect style="position:absolute;left:0;top:0;width:6368;height:1102" id="docshape792"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87872">
                <wp:simplePos x="0" y="0"/>
                <wp:positionH relativeFrom="page">
                  <wp:posOffset>3480816</wp:posOffset>
                </wp:positionH>
                <wp:positionV relativeFrom="paragraph">
                  <wp:posOffset>272922</wp:posOffset>
                </wp:positionV>
                <wp:extent cx="727075" cy="655320"/>
                <wp:effectExtent l="0" t="0" r="0" b="0"/>
                <wp:wrapTopAndBottom/>
                <wp:docPr id="801" name="Group 801"/>
                <wp:cNvGraphicFramePr>
                  <a:graphicFrameLocks/>
                </wp:cNvGraphicFramePr>
                <a:graphic>
                  <a:graphicData uri="http://schemas.microsoft.com/office/word/2010/wordprocessingGroup">
                    <wpg:wgp>
                      <wpg:cNvPr id="801" name="Group 801"/>
                      <wpg:cNvGrpSpPr/>
                      <wpg:grpSpPr>
                        <a:xfrm>
                          <a:off x="0" y="0"/>
                          <a:ext cx="727075" cy="655320"/>
                          <a:chExt cx="727075" cy="655320"/>
                        </a:xfrm>
                      </wpg:grpSpPr>
                      <pic:pic>
                        <pic:nvPicPr>
                          <pic:cNvPr id="802" name="Image 802"/>
                          <pic:cNvPicPr/>
                        </pic:nvPicPr>
                        <pic:blipFill>
                          <a:blip r:embed="rId131" cstate="print"/>
                          <a:stretch>
                            <a:fillRect/>
                          </a:stretch>
                        </pic:blipFill>
                        <pic:spPr>
                          <a:xfrm>
                            <a:off x="0" y="0"/>
                            <a:ext cx="726947" cy="655320"/>
                          </a:xfrm>
                          <a:prstGeom prst="rect">
                            <a:avLst/>
                          </a:prstGeom>
                        </pic:spPr>
                      </pic:pic>
                      <wps:wsp>
                        <wps:cNvPr id="803" name="Textbox 803"/>
                        <wps:cNvSpPr txBox="1"/>
                        <wps:spPr>
                          <a:xfrm>
                            <a:off x="0" y="0"/>
                            <a:ext cx="727075" cy="655320"/>
                          </a:xfrm>
                          <a:prstGeom prst="rect">
                            <a:avLst/>
                          </a:prstGeom>
                        </wps:spPr>
                        <wps:txbx>
                          <w:txbxContent>
                            <w:p>
                              <w:pPr>
                                <w:spacing w:before="374"/>
                                <w:ind w:left="443" w:right="0" w:firstLine="0"/>
                                <w:jc w:val="left"/>
                                <w:rPr>
                                  <w:rFonts w:ascii="Tahoma"/>
                                  <w:b/>
                                  <w:sz w:val="36"/>
                                </w:rPr>
                              </w:pPr>
                              <w:r>
                                <w:rPr>
                                  <w:rFonts w:ascii="Tahoma"/>
                                  <w:b/>
                                  <w:spacing w:val="-5"/>
                                  <w:w w:val="95"/>
                                  <w:sz w:val="36"/>
                                </w:rPr>
                                <w:t>41</w:t>
                              </w:r>
                            </w:p>
                          </w:txbxContent>
                        </wps:txbx>
                        <wps:bodyPr wrap="square" lIns="0" tIns="0" rIns="0" bIns="0" rtlCol="0">
                          <a:noAutofit/>
                        </wps:bodyPr>
                      </wps:wsp>
                    </wpg:wgp>
                  </a:graphicData>
                </a:graphic>
              </wp:anchor>
            </w:drawing>
          </mc:Choice>
          <mc:Fallback>
            <w:pict>
              <v:group style="position:absolute;margin-left:274.080017pt;margin-top:21.489992pt;width:57.25pt;height:51.6pt;mso-position-horizontal-relative:page;mso-position-vertical-relative:paragraph;z-index:-15428608;mso-wrap-distance-left:0;mso-wrap-distance-right:0" id="docshapegroup793" coordorigin="5482,430" coordsize="1145,1032">
                <v:shape style="position:absolute;left:5481;top:429;width:1145;height:1032" type="#_x0000_t75" id="docshape794" stroked="false">
                  <v:imagedata r:id="rId131" o:title=""/>
                </v:shape>
                <v:shape style="position:absolute;left:5481;top:429;width:1145;height:1032" type="#_x0000_t202" id="docshape795" filled="false" stroked="false">
                  <v:textbox inset="0,0,0,0">
                    <w:txbxContent>
                      <w:p>
                        <w:pPr>
                          <w:spacing w:before="374"/>
                          <w:ind w:left="443" w:right="0" w:firstLine="0"/>
                          <w:jc w:val="left"/>
                          <w:rPr>
                            <w:rFonts w:ascii="Tahoma"/>
                            <w:b/>
                            <w:sz w:val="36"/>
                          </w:rPr>
                        </w:pPr>
                        <w:r>
                          <w:rPr>
                            <w:rFonts w:ascii="Tahoma"/>
                            <w:b/>
                            <w:spacing w:val="-5"/>
                            <w:w w:val="95"/>
                            <w:sz w:val="36"/>
                          </w:rPr>
                          <w:t>41</w:t>
                        </w:r>
                      </w:p>
                    </w:txbxContent>
                  </v:textbox>
                  <w10:wrap type="none"/>
                </v:shape>
                <w10:wrap type="topAndBottom"/>
              </v:group>
            </w:pict>
          </mc:Fallback>
        </mc:AlternateContent>
      </w:r>
    </w:p>
    <w:p>
      <w:pPr>
        <w:spacing w:line="211" w:lineRule="auto" w:before="28"/>
        <w:ind w:left="1352" w:right="1357" w:firstLine="0"/>
        <w:jc w:val="center"/>
        <w:rPr>
          <w:rFonts w:ascii="Tahoma" w:hAnsi="Tahoma"/>
          <w:b/>
          <w:sz w:val="32"/>
        </w:rPr>
      </w:pPr>
      <w:r>
        <w:rPr>
          <w:rFonts w:ascii="Tahoma" w:hAnsi="Tahoma"/>
          <w:b/>
          <w:spacing w:val="-2"/>
          <w:sz w:val="32"/>
        </w:rPr>
        <w:t>Gender,</w:t>
      </w:r>
      <w:r>
        <w:rPr>
          <w:rFonts w:ascii="Tahoma" w:hAnsi="Tahoma"/>
          <w:b/>
          <w:spacing w:val="-14"/>
          <w:sz w:val="32"/>
        </w:rPr>
        <w:t> </w:t>
      </w:r>
      <w:r>
        <w:rPr>
          <w:rFonts w:ascii="Tahoma" w:hAnsi="Tahoma"/>
          <w:b/>
          <w:spacing w:val="-2"/>
          <w:sz w:val="32"/>
        </w:rPr>
        <w:t>Power,</w:t>
      </w:r>
      <w:r>
        <w:rPr>
          <w:rFonts w:ascii="Tahoma" w:hAnsi="Tahoma"/>
          <w:b/>
          <w:spacing w:val="-11"/>
          <w:sz w:val="32"/>
        </w:rPr>
        <w:t> </w:t>
      </w:r>
      <w:r>
        <w:rPr>
          <w:rFonts w:ascii="Tahoma" w:hAnsi="Tahoma"/>
          <w:b/>
          <w:spacing w:val="-2"/>
          <w:sz w:val="32"/>
        </w:rPr>
        <w:t>and</w:t>
      </w:r>
      <w:r>
        <w:rPr>
          <w:rFonts w:ascii="Tahoma" w:hAnsi="Tahoma"/>
          <w:b/>
          <w:spacing w:val="-13"/>
          <w:sz w:val="32"/>
        </w:rPr>
        <w:t> </w:t>
      </w:r>
      <w:r>
        <w:rPr>
          <w:rFonts w:ascii="Tahoma" w:hAnsi="Tahoma"/>
          <w:b/>
          <w:spacing w:val="-2"/>
          <w:sz w:val="32"/>
        </w:rPr>
        <w:t>Patriarchy</w:t>
      </w:r>
      <w:r>
        <w:rPr>
          <w:rFonts w:ascii="Tahoma" w:hAnsi="Tahoma"/>
          <w:b/>
          <w:spacing w:val="-12"/>
          <w:sz w:val="32"/>
        </w:rPr>
        <w:t> </w:t>
      </w:r>
      <w:r>
        <w:rPr>
          <w:rFonts w:ascii="Tahoma" w:hAnsi="Tahoma"/>
          <w:b/>
          <w:spacing w:val="-2"/>
          <w:sz w:val="32"/>
        </w:rPr>
        <w:t>in </w:t>
      </w:r>
      <w:r>
        <w:rPr>
          <w:rFonts w:ascii="Tahoma" w:hAnsi="Tahoma"/>
          <w:b/>
          <w:sz w:val="32"/>
        </w:rPr>
        <w:t>Shakespeare’s plays:</w:t>
      </w:r>
    </w:p>
    <w:p>
      <w:pPr>
        <w:spacing w:line="325" w:lineRule="exact" w:before="0"/>
        <w:ind w:left="0" w:right="1" w:firstLine="0"/>
        <w:jc w:val="center"/>
        <w:rPr>
          <w:rFonts w:ascii="Tahoma"/>
          <w:b/>
          <w:sz w:val="32"/>
        </w:rPr>
      </w:pPr>
      <w:r>
        <w:rPr>
          <w:rFonts w:ascii="Tahoma"/>
          <w:b/>
          <w:sz w:val="32"/>
        </w:rPr>
        <w:t>A</w:t>
      </w:r>
      <w:r>
        <w:rPr>
          <w:rFonts w:ascii="Tahoma"/>
          <w:b/>
          <w:spacing w:val="-6"/>
          <w:sz w:val="32"/>
        </w:rPr>
        <w:t> </w:t>
      </w:r>
      <w:r>
        <w:rPr>
          <w:rFonts w:ascii="Tahoma"/>
          <w:b/>
          <w:sz w:val="32"/>
        </w:rPr>
        <w:t>Comparative</w:t>
      </w:r>
      <w:r>
        <w:rPr>
          <w:rFonts w:ascii="Tahoma"/>
          <w:b/>
          <w:spacing w:val="-7"/>
          <w:sz w:val="32"/>
        </w:rPr>
        <w:t> </w:t>
      </w:r>
      <w:r>
        <w:rPr>
          <w:rFonts w:ascii="Tahoma"/>
          <w:b/>
          <w:sz w:val="32"/>
        </w:rPr>
        <w:t>Study</w:t>
      </w:r>
      <w:r>
        <w:rPr>
          <w:rFonts w:ascii="Tahoma"/>
          <w:b/>
          <w:spacing w:val="-6"/>
          <w:sz w:val="32"/>
        </w:rPr>
        <w:t> </w:t>
      </w:r>
      <w:r>
        <w:rPr>
          <w:rFonts w:ascii="Tahoma"/>
          <w:b/>
          <w:sz w:val="32"/>
        </w:rPr>
        <w:t>in</w:t>
      </w:r>
      <w:r>
        <w:rPr>
          <w:rFonts w:ascii="Tahoma"/>
          <w:b/>
          <w:spacing w:val="-5"/>
          <w:sz w:val="32"/>
        </w:rPr>
        <w:t> </w:t>
      </w:r>
      <w:r>
        <w:rPr>
          <w:rFonts w:ascii="Tahoma"/>
          <w:b/>
          <w:sz w:val="32"/>
        </w:rPr>
        <w:t>The</w:t>
      </w:r>
      <w:r>
        <w:rPr>
          <w:rFonts w:ascii="Tahoma"/>
          <w:b/>
          <w:spacing w:val="-7"/>
          <w:sz w:val="32"/>
        </w:rPr>
        <w:t> </w:t>
      </w:r>
      <w:r>
        <w:rPr>
          <w:rFonts w:ascii="Tahoma"/>
          <w:b/>
          <w:sz w:val="32"/>
        </w:rPr>
        <w:t>Era</w:t>
      </w:r>
      <w:r>
        <w:rPr>
          <w:rFonts w:ascii="Tahoma"/>
          <w:b/>
          <w:spacing w:val="-3"/>
          <w:sz w:val="32"/>
        </w:rPr>
        <w:t> </w:t>
      </w:r>
      <w:r>
        <w:rPr>
          <w:rFonts w:ascii="Tahoma"/>
          <w:b/>
          <w:spacing w:val="-5"/>
          <w:sz w:val="32"/>
        </w:rPr>
        <w:t>of</w:t>
      </w:r>
    </w:p>
    <w:p>
      <w:pPr>
        <w:tabs>
          <w:tab w:pos="2311" w:val="left" w:leader="none"/>
          <w:tab w:pos="5759" w:val="left" w:leader="none"/>
        </w:tabs>
        <w:spacing w:line="364" w:lineRule="exact" w:before="0"/>
        <w:ind w:left="0" w:right="0" w:firstLine="0"/>
        <w:jc w:val="center"/>
        <w:rPr>
          <w:rFonts w:ascii="Tahoma"/>
          <w:b/>
          <w:sz w:val="32"/>
        </w:rPr>
      </w:pPr>
      <w:r>
        <w:rPr>
          <w:sz w:val="32"/>
          <w:u w:val="single"/>
        </w:rPr>
        <w:tab/>
      </w:r>
      <w:r>
        <w:rPr>
          <w:rFonts w:ascii="Tahoma"/>
          <w:b/>
          <w:sz w:val="32"/>
          <w:u w:val="single"/>
        </w:rPr>
        <w:t>Me</w:t>
      </w:r>
      <w:r>
        <w:rPr>
          <w:rFonts w:ascii="Tahoma"/>
          <w:b/>
          <w:spacing w:val="24"/>
          <w:sz w:val="32"/>
          <w:u w:val="single"/>
        </w:rPr>
        <w:t> </w:t>
      </w:r>
      <w:r>
        <w:rPr>
          <w:rFonts w:ascii="Tahoma"/>
          <w:b/>
          <w:spacing w:val="-5"/>
          <w:sz w:val="32"/>
          <w:u w:val="single"/>
        </w:rPr>
        <w:t>Too</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888384">
                <wp:simplePos x="0" y="0"/>
                <wp:positionH relativeFrom="page">
                  <wp:posOffset>2057400</wp:posOffset>
                </wp:positionH>
                <wp:positionV relativeFrom="paragraph">
                  <wp:posOffset>60051</wp:posOffset>
                </wp:positionV>
                <wp:extent cx="3657600" cy="7620"/>
                <wp:effectExtent l="0" t="0" r="0" b="0"/>
                <wp:wrapTopAndBottom/>
                <wp:docPr id="804" name="Graphic 804"/>
                <wp:cNvGraphicFramePr>
                  <a:graphicFrameLocks/>
                </wp:cNvGraphicFramePr>
                <a:graphic>
                  <a:graphicData uri="http://schemas.microsoft.com/office/word/2010/wordprocessingShape">
                    <wps:wsp>
                      <wps:cNvPr id="804" name="Graphic 804"/>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56pt;width:288.000009pt;height:.59999pt;mso-position-horizontal-relative:page;mso-position-vertical-relative:paragraph;z-index:-15428096;mso-wrap-distance-left:0;mso-wrap-distance-right:0" id="docshape796" filled="true" fillcolor="#000000" stroked="false">
                <v:fill type="solid"/>
                <w10:wrap type="topAndBottom"/>
              </v:rect>
            </w:pict>
          </mc:Fallback>
        </mc:AlternateContent>
      </w:r>
    </w:p>
    <w:p>
      <w:pPr>
        <w:pStyle w:val="BodyText"/>
        <w:spacing w:before="15"/>
        <w:ind w:left="0"/>
        <w:rPr>
          <w:rFonts w:ascii="Tahoma"/>
          <w:b/>
          <w:sz w:val="32"/>
        </w:rPr>
      </w:pPr>
    </w:p>
    <w:p>
      <w:pPr>
        <w:spacing w:line="252" w:lineRule="auto" w:before="0"/>
        <w:ind w:left="2700" w:right="1438" w:firstLine="1711"/>
        <w:jc w:val="right"/>
        <w:rPr>
          <w:i/>
          <w:sz w:val="19"/>
        </w:rPr>
      </w:pPr>
      <w:r>
        <w:rPr>
          <w:b/>
          <w:i/>
          <w:sz w:val="22"/>
        </w:rPr>
        <w:t>Dr.</w:t>
      </w:r>
      <w:r>
        <w:rPr>
          <w:b/>
          <w:i/>
          <w:spacing w:val="35"/>
          <w:sz w:val="22"/>
        </w:rPr>
        <w:t> </w:t>
      </w:r>
      <w:r>
        <w:rPr>
          <w:b/>
          <w:i/>
          <w:sz w:val="22"/>
        </w:rPr>
        <w:t>Ch.</w:t>
      </w:r>
      <w:r>
        <w:rPr>
          <w:b/>
          <w:i/>
          <w:spacing w:val="33"/>
          <w:sz w:val="22"/>
        </w:rPr>
        <w:t> </w:t>
      </w:r>
      <w:r>
        <w:rPr>
          <w:b/>
          <w:i/>
          <w:sz w:val="22"/>
        </w:rPr>
        <w:t>Bhogachandra</w:t>
      </w:r>
      <w:r>
        <w:rPr>
          <w:b/>
          <w:i/>
          <w:spacing w:val="35"/>
          <w:sz w:val="22"/>
        </w:rPr>
        <w:t> </w:t>
      </w:r>
      <w:r>
        <w:rPr>
          <w:b/>
          <w:i/>
          <w:sz w:val="22"/>
        </w:rPr>
        <w:t>Vittal </w:t>
      </w:r>
      <w:r>
        <w:rPr>
          <w:i/>
          <w:sz w:val="19"/>
        </w:rPr>
        <w:t>Assistant</w:t>
      </w:r>
      <w:r>
        <w:rPr>
          <w:i/>
          <w:spacing w:val="40"/>
          <w:sz w:val="19"/>
        </w:rPr>
        <w:t> </w:t>
      </w:r>
      <w:r>
        <w:rPr>
          <w:i/>
          <w:sz w:val="19"/>
        </w:rPr>
        <w:t>Professor,</w:t>
      </w:r>
      <w:r>
        <w:rPr>
          <w:i/>
          <w:spacing w:val="40"/>
          <w:sz w:val="19"/>
        </w:rPr>
        <w:t> </w:t>
      </w:r>
      <w:r>
        <w:rPr>
          <w:i/>
          <w:sz w:val="19"/>
        </w:rPr>
        <w:t>TKR</w:t>
      </w:r>
      <w:r>
        <w:rPr>
          <w:i/>
          <w:spacing w:val="40"/>
          <w:sz w:val="19"/>
        </w:rPr>
        <w:t> </w:t>
      </w:r>
      <w:r>
        <w:rPr>
          <w:i/>
          <w:sz w:val="19"/>
        </w:rPr>
        <w:t>-</w:t>
      </w:r>
      <w:r>
        <w:rPr>
          <w:i/>
          <w:spacing w:val="40"/>
          <w:sz w:val="19"/>
        </w:rPr>
        <w:t> </w:t>
      </w:r>
      <w:r>
        <w:rPr>
          <w:i/>
          <w:sz w:val="19"/>
        </w:rPr>
        <w:t>College</w:t>
      </w:r>
      <w:r>
        <w:rPr>
          <w:i/>
          <w:spacing w:val="40"/>
          <w:sz w:val="19"/>
        </w:rPr>
        <w:t> </w:t>
      </w:r>
      <w:r>
        <w:rPr>
          <w:i/>
          <w:sz w:val="19"/>
        </w:rPr>
        <w:t>of</w:t>
      </w:r>
      <w:r>
        <w:rPr>
          <w:i/>
          <w:spacing w:val="40"/>
          <w:sz w:val="19"/>
        </w:rPr>
        <w:t> </w:t>
      </w:r>
      <w:r>
        <w:rPr>
          <w:i/>
          <w:sz w:val="19"/>
        </w:rPr>
        <w:t>Egineering</w:t>
      </w:r>
      <w:r>
        <w:rPr>
          <w:i/>
          <w:spacing w:val="40"/>
          <w:sz w:val="19"/>
        </w:rPr>
        <w:t> </w:t>
      </w:r>
      <w:r>
        <w:rPr>
          <w:i/>
          <w:sz w:val="19"/>
        </w:rPr>
        <w:t>and Technology,</w:t>
      </w:r>
      <w:r>
        <w:rPr>
          <w:i/>
          <w:spacing w:val="40"/>
          <w:sz w:val="19"/>
        </w:rPr>
        <w:t> </w:t>
      </w:r>
      <w:r>
        <w:rPr>
          <w:i/>
          <w:sz w:val="19"/>
        </w:rPr>
        <w:t>Meerpet</w:t>
      </w:r>
      <w:r>
        <w:rPr>
          <w:i/>
          <w:spacing w:val="40"/>
          <w:sz w:val="19"/>
        </w:rPr>
        <w:t> </w:t>
      </w:r>
      <w:r>
        <w:rPr>
          <w:i/>
          <w:sz w:val="19"/>
        </w:rPr>
        <w:t>-</w:t>
      </w:r>
      <w:r>
        <w:rPr>
          <w:i/>
          <w:spacing w:val="40"/>
          <w:sz w:val="19"/>
        </w:rPr>
        <w:t> </w:t>
      </w:r>
      <w:r>
        <w:rPr>
          <w:i/>
          <w:sz w:val="19"/>
        </w:rPr>
        <w:t>Telangana</w:t>
      </w:r>
      <w:r>
        <w:rPr>
          <w:i/>
          <w:spacing w:val="40"/>
          <w:sz w:val="19"/>
        </w:rPr>
        <w:t> </w:t>
      </w:r>
      <w:r>
        <w:rPr>
          <w:i/>
          <w:sz w:val="19"/>
        </w:rPr>
        <w:t>State</w:t>
      </w:r>
    </w:p>
    <w:p>
      <w:pPr>
        <w:pStyle w:val="BodyText"/>
        <w:spacing w:before="151"/>
        <w:ind w:left="0"/>
        <w:rPr>
          <w:i/>
          <w:sz w:val="19"/>
        </w:rPr>
      </w:pPr>
    </w:p>
    <w:p>
      <w:pPr>
        <w:pStyle w:val="Heading3"/>
        <w:spacing w:before="0"/>
      </w:pPr>
      <w:r>
        <w:rPr>
          <w:spacing w:val="-2"/>
        </w:rPr>
        <w:t>ABSTRACT:</w:t>
      </w:r>
    </w:p>
    <w:p>
      <w:pPr>
        <w:pStyle w:val="BodyText"/>
        <w:spacing w:line="249" w:lineRule="auto" w:before="75"/>
        <w:ind w:right="1435" w:firstLine="432"/>
        <w:jc w:val="both"/>
      </w:pPr>
      <w:r>
        <w:rPr>
          <w:spacing w:val="-2"/>
        </w:rPr>
        <w:t>This</w:t>
      </w:r>
      <w:r>
        <w:rPr>
          <w:spacing w:val="-4"/>
        </w:rPr>
        <w:t> </w:t>
      </w:r>
      <w:r>
        <w:rPr>
          <w:spacing w:val="-2"/>
        </w:rPr>
        <w:t>study</w:t>
      </w:r>
      <w:r>
        <w:rPr>
          <w:spacing w:val="-8"/>
        </w:rPr>
        <w:t> </w:t>
      </w:r>
      <w:r>
        <w:rPr>
          <w:spacing w:val="-2"/>
        </w:rPr>
        <w:t>aims</w:t>
      </w:r>
      <w:r>
        <w:rPr>
          <w:spacing w:val="-8"/>
        </w:rPr>
        <w:t> </w:t>
      </w:r>
      <w:r>
        <w:rPr>
          <w:spacing w:val="-2"/>
        </w:rPr>
        <w:t>to</w:t>
      </w:r>
      <w:r>
        <w:rPr>
          <w:spacing w:val="-4"/>
        </w:rPr>
        <w:t> </w:t>
      </w:r>
      <w:r>
        <w:rPr>
          <w:spacing w:val="-2"/>
        </w:rPr>
        <w:t>analyze</w:t>
      </w:r>
      <w:r>
        <w:rPr>
          <w:spacing w:val="-5"/>
        </w:rPr>
        <w:t> </w:t>
      </w:r>
      <w:r>
        <w:rPr>
          <w:spacing w:val="-2"/>
        </w:rPr>
        <w:t>the</w:t>
      </w:r>
      <w:r>
        <w:rPr>
          <w:spacing w:val="-4"/>
        </w:rPr>
        <w:t> </w:t>
      </w:r>
      <w:r>
        <w:rPr>
          <w:spacing w:val="-2"/>
        </w:rPr>
        <w:t>portrayal</w:t>
      </w:r>
      <w:r>
        <w:rPr>
          <w:spacing w:val="-4"/>
        </w:rPr>
        <w:t> </w:t>
      </w:r>
      <w:r>
        <w:rPr>
          <w:spacing w:val="-2"/>
        </w:rPr>
        <w:t>of</w:t>
      </w:r>
      <w:r>
        <w:rPr>
          <w:spacing w:val="-8"/>
        </w:rPr>
        <w:t> </w:t>
      </w:r>
      <w:r>
        <w:rPr>
          <w:spacing w:val="-2"/>
        </w:rPr>
        <w:t>women</w:t>
      </w:r>
      <w:r>
        <w:rPr>
          <w:spacing w:val="-6"/>
        </w:rPr>
        <w:t> </w:t>
      </w:r>
      <w:r>
        <w:rPr>
          <w:spacing w:val="-2"/>
        </w:rPr>
        <w:t>in</w:t>
      </w:r>
      <w:r>
        <w:rPr>
          <w:spacing w:val="-6"/>
        </w:rPr>
        <w:t> </w:t>
      </w:r>
      <w:r>
        <w:rPr>
          <w:spacing w:val="-2"/>
        </w:rPr>
        <w:t>Shakespeare’s </w:t>
      </w:r>
      <w:r>
        <w:rPr/>
        <w:t>writings.</w:t>
      </w:r>
      <w:r>
        <w:rPr>
          <w:spacing w:val="-13"/>
        </w:rPr>
        <w:t> </w:t>
      </w:r>
      <w:r>
        <w:rPr/>
        <w:t>Shakespeare</w:t>
      </w:r>
      <w:r>
        <w:rPr>
          <w:spacing w:val="-12"/>
        </w:rPr>
        <w:t> </w:t>
      </w:r>
      <w:r>
        <w:rPr/>
        <w:t>belonged</w:t>
      </w:r>
      <w:r>
        <w:rPr>
          <w:spacing w:val="-12"/>
        </w:rPr>
        <w:t> </w:t>
      </w:r>
      <w:r>
        <w:rPr/>
        <w:t>to</w:t>
      </w:r>
      <w:r>
        <w:rPr>
          <w:spacing w:val="-10"/>
        </w:rPr>
        <w:t> </w:t>
      </w:r>
      <w:r>
        <w:rPr/>
        <w:t>the</w:t>
      </w:r>
      <w:r>
        <w:rPr>
          <w:spacing w:val="-13"/>
        </w:rPr>
        <w:t> </w:t>
      </w:r>
      <w:r>
        <w:rPr/>
        <w:t>Victorian</w:t>
      </w:r>
      <w:r>
        <w:rPr>
          <w:spacing w:val="-12"/>
        </w:rPr>
        <w:t> </w:t>
      </w:r>
      <w:r>
        <w:rPr/>
        <w:t>and</w:t>
      </w:r>
      <w:r>
        <w:rPr>
          <w:spacing w:val="-12"/>
        </w:rPr>
        <w:t> </w:t>
      </w:r>
      <w:r>
        <w:rPr/>
        <w:t>Jacobian</w:t>
      </w:r>
      <w:r>
        <w:rPr>
          <w:spacing w:val="-13"/>
        </w:rPr>
        <w:t> </w:t>
      </w:r>
      <w:r>
        <w:rPr/>
        <w:t>Era.</w:t>
      </w:r>
      <w:r>
        <w:rPr>
          <w:spacing w:val="-11"/>
        </w:rPr>
        <w:t> </w:t>
      </w:r>
      <w:r>
        <w:rPr/>
        <w:t>It</w:t>
      </w:r>
      <w:r>
        <w:rPr>
          <w:spacing w:val="-13"/>
        </w:rPr>
        <w:t> </w:t>
      </w:r>
      <w:r>
        <w:rPr/>
        <w:t>was a</w:t>
      </w:r>
      <w:r>
        <w:rPr>
          <w:spacing w:val="-5"/>
        </w:rPr>
        <w:t> </w:t>
      </w:r>
      <w:r>
        <w:rPr/>
        <w:t>period</w:t>
      </w:r>
      <w:r>
        <w:rPr>
          <w:spacing w:val="-6"/>
        </w:rPr>
        <w:t> </w:t>
      </w:r>
      <w:r>
        <w:rPr/>
        <w:t>when</w:t>
      </w:r>
      <w:r>
        <w:rPr>
          <w:spacing w:val="-6"/>
        </w:rPr>
        <w:t> </w:t>
      </w:r>
      <w:r>
        <w:rPr/>
        <w:t>male</w:t>
      </w:r>
      <w:r>
        <w:rPr>
          <w:spacing w:val="-6"/>
        </w:rPr>
        <w:t> </w:t>
      </w:r>
      <w:r>
        <w:rPr/>
        <w:t>domination</w:t>
      </w:r>
      <w:r>
        <w:rPr>
          <w:spacing w:val="-6"/>
        </w:rPr>
        <w:t> </w:t>
      </w:r>
      <w:r>
        <w:rPr/>
        <w:t>prevailed</w:t>
      </w:r>
      <w:r>
        <w:rPr>
          <w:spacing w:val="-6"/>
        </w:rPr>
        <w:t> </w:t>
      </w:r>
      <w:r>
        <w:rPr/>
        <w:t>and</w:t>
      </w:r>
      <w:r>
        <w:rPr>
          <w:spacing w:val="-4"/>
        </w:rPr>
        <w:t> </w:t>
      </w:r>
      <w:r>
        <w:rPr/>
        <w:t>women</w:t>
      </w:r>
      <w:r>
        <w:rPr>
          <w:spacing w:val="-7"/>
        </w:rPr>
        <w:t> </w:t>
      </w:r>
      <w:r>
        <w:rPr/>
        <w:t>had</w:t>
      </w:r>
      <w:r>
        <w:rPr>
          <w:spacing w:val="-4"/>
        </w:rPr>
        <w:t> </w:t>
      </w:r>
      <w:r>
        <w:rPr/>
        <w:t>very</w:t>
      </w:r>
      <w:r>
        <w:rPr>
          <w:spacing w:val="-9"/>
        </w:rPr>
        <w:t> </w:t>
      </w:r>
      <w:r>
        <w:rPr/>
        <w:t>little</w:t>
      </w:r>
      <w:r>
        <w:rPr>
          <w:spacing w:val="-5"/>
        </w:rPr>
        <w:t> </w:t>
      </w:r>
      <w:r>
        <w:rPr/>
        <w:t>say when it comes to power, property and politics. An attempt is made to explore Shakespeare’s women in his writings resisting male patriarchy, double standards of chastity, male dominance. The study tries to draw parallels with the 2017 popular Me -Too movement that exposed the exploitation of women by men who were powerful. The movement encouraged women to speak out and dismantle the shame and secrecy that often protected the perpetrators. The study tries to explore how little has changed from the times of Shakespearian period to present </w:t>
      </w:r>
      <w:r>
        <w:rPr>
          <w:spacing w:val="-4"/>
        </w:rPr>
        <w:t>times.</w:t>
      </w:r>
      <w:r>
        <w:rPr>
          <w:spacing w:val="-7"/>
        </w:rPr>
        <w:t> </w:t>
      </w:r>
      <w:r>
        <w:rPr>
          <w:spacing w:val="-4"/>
        </w:rPr>
        <w:t>The Me-Too moment</w:t>
      </w:r>
      <w:r>
        <w:rPr>
          <w:spacing w:val="-6"/>
        </w:rPr>
        <w:t> </w:t>
      </w:r>
      <w:r>
        <w:rPr>
          <w:spacing w:val="-4"/>
        </w:rPr>
        <w:t>helped many</w:t>
      </w:r>
      <w:r>
        <w:rPr>
          <w:spacing w:val="-9"/>
        </w:rPr>
        <w:t> </w:t>
      </w:r>
      <w:r>
        <w:rPr>
          <w:spacing w:val="-4"/>
        </w:rPr>
        <w:t>women</w:t>
      </w:r>
      <w:r>
        <w:rPr>
          <w:spacing w:val="-6"/>
        </w:rPr>
        <w:t> </w:t>
      </w:r>
      <w:r>
        <w:rPr>
          <w:spacing w:val="-4"/>
        </w:rPr>
        <w:t>victims</w:t>
      </w:r>
      <w:r>
        <w:rPr>
          <w:spacing w:val="-7"/>
        </w:rPr>
        <w:t> </w:t>
      </w:r>
      <w:r>
        <w:rPr>
          <w:spacing w:val="-4"/>
        </w:rPr>
        <w:t>to come forward </w:t>
      </w:r>
      <w:r>
        <w:rPr/>
        <w:t>and expose the perpetrators. It was a very popular movement of the people across all races and religions, across the nations and continents. Shakespeare’s plays in an era when it was considered a sin for women to rule,</w:t>
      </w:r>
      <w:r>
        <w:rPr>
          <w:spacing w:val="-1"/>
        </w:rPr>
        <w:t> </w:t>
      </w:r>
      <w:r>
        <w:rPr/>
        <w:t>he</w:t>
      </w:r>
      <w:r>
        <w:rPr>
          <w:spacing w:val="-1"/>
        </w:rPr>
        <w:t> </w:t>
      </w:r>
      <w:r>
        <w:rPr/>
        <w:t>uses</w:t>
      </w:r>
      <w:r>
        <w:rPr>
          <w:spacing w:val="-2"/>
        </w:rPr>
        <w:t> </w:t>
      </w:r>
      <w:r>
        <w:rPr/>
        <w:t>his</w:t>
      </w:r>
      <w:r>
        <w:rPr>
          <w:spacing w:val="-1"/>
        </w:rPr>
        <w:t> </w:t>
      </w:r>
      <w:r>
        <w:rPr/>
        <w:t>characters</w:t>
      </w:r>
      <w:r>
        <w:rPr>
          <w:spacing w:val="-1"/>
        </w:rPr>
        <w:t> </w:t>
      </w:r>
      <w:r>
        <w:rPr/>
        <w:t>very</w:t>
      </w:r>
      <w:r>
        <w:rPr>
          <w:spacing w:val="-4"/>
        </w:rPr>
        <w:t> </w:t>
      </w:r>
      <w:r>
        <w:rPr/>
        <w:t>intelligently</w:t>
      </w:r>
      <w:r>
        <w:rPr>
          <w:spacing w:val="-2"/>
        </w:rPr>
        <w:t> </w:t>
      </w:r>
      <w:r>
        <w:rPr/>
        <w:t>in</w:t>
      </w:r>
      <w:r>
        <w:rPr>
          <w:spacing w:val="-1"/>
        </w:rPr>
        <w:t> </w:t>
      </w:r>
      <w:r>
        <w:rPr/>
        <w:t>protesting</w:t>
      </w:r>
      <w:r>
        <w:rPr>
          <w:spacing w:val="-2"/>
        </w:rPr>
        <w:t> </w:t>
      </w:r>
      <w:r>
        <w:rPr/>
        <w:t>against the ills that deprived women of an equal role along with men. The study is </w:t>
      </w:r>
      <w:r>
        <w:rPr>
          <w:spacing w:val="-2"/>
        </w:rPr>
        <w:t>made</w:t>
      </w:r>
      <w:r>
        <w:rPr>
          <w:spacing w:val="-11"/>
        </w:rPr>
        <w:t> </w:t>
      </w:r>
      <w:r>
        <w:rPr>
          <w:spacing w:val="-2"/>
        </w:rPr>
        <w:t>in</w:t>
      </w:r>
      <w:r>
        <w:rPr>
          <w:spacing w:val="-10"/>
        </w:rPr>
        <w:t> </w:t>
      </w:r>
      <w:r>
        <w:rPr>
          <w:spacing w:val="-2"/>
        </w:rPr>
        <w:t>the</w:t>
      </w:r>
      <w:r>
        <w:rPr>
          <w:spacing w:val="-11"/>
        </w:rPr>
        <w:t> </w:t>
      </w:r>
      <w:r>
        <w:rPr>
          <w:spacing w:val="-2"/>
        </w:rPr>
        <w:t>select</w:t>
      </w:r>
      <w:r>
        <w:rPr>
          <w:spacing w:val="-10"/>
        </w:rPr>
        <w:t> </w:t>
      </w:r>
      <w:r>
        <w:rPr>
          <w:spacing w:val="-2"/>
        </w:rPr>
        <w:t>works</w:t>
      </w:r>
      <w:r>
        <w:rPr>
          <w:spacing w:val="-11"/>
        </w:rPr>
        <w:t> </w:t>
      </w:r>
      <w:r>
        <w:rPr>
          <w:spacing w:val="-2"/>
        </w:rPr>
        <w:t>of</w:t>
      </w:r>
      <w:r>
        <w:rPr>
          <w:spacing w:val="-10"/>
        </w:rPr>
        <w:t> </w:t>
      </w:r>
      <w:r>
        <w:rPr>
          <w:spacing w:val="-2"/>
        </w:rPr>
        <w:t>Shakespeare:</w:t>
      </w:r>
      <w:r>
        <w:rPr>
          <w:spacing w:val="-11"/>
        </w:rPr>
        <w:t> </w:t>
      </w:r>
      <w:r>
        <w:rPr>
          <w:spacing w:val="-2"/>
        </w:rPr>
        <w:t>The</w:t>
      </w:r>
      <w:r>
        <w:rPr>
          <w:spacing w:val="-10"/>
        </w:rPr>
        <w:t> </w:t>
      </w:r>
      <w:r>
        <w:rPr>
          <w:spacing w:val="-2"/>
        </w:rPr>
        <w:t>merchant</w:t>
      </w:r>
      <w:r>
        <w:rPr>
          <w:spacing w:val="-11"/>
        </w:rPr>
        <w:t> </w:t>
      </w:r>
      <w:r>
        <w:rPr>
          <w:spacing w:val="-2"/>
        </w:rPr>
        <w:t>of</w:t>
      </w:r>
      <w:r>
        <w:rPr>
          <w:spacing w:val="-10"/>
        </w:rPr>
        <w:t> </w:t>
      </w:r>
      <w:r>
        <w:rPr>
          <w:spacing w:val="-2"/>
        </w:rPr>
        <w:t>Venice,</w:t>
      </w:r>
      <w:r>
        <w:rPr>
          <w:spacing w:val="-11"/>
        </w:rPr>
        <w:t> </w:t>
      </w:r>
      <w:r>
        <w:rPr>
          <w:spacing w:val="-2"/>
        </w:rPr>
        <w:t>Romeo </w:t>
      </w:r>
      <w:r>
        <w:rPr/>
        <w:t>and Juliet, Macbeth and As you like it, Othello, the moor of Venice.</w:t>
      </w:r>
    </w:p>
    <w:p>
      <w:pPr>
        <w:pStyle w:val="BodyText"/>
        <w:spacing w:after="0" w:line="249"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6030208">
                <wp:simplePos x="0" y="0"/>
                <wp:positionH relativeFrom="page">
                  <wp:posOffset>2057400</wp:posOffset>
                </wp:positionH>
                <wp:positionV relativeFrom="paragraph">
                  <wp:posOffset>226097</wp:posOffset>
                </wp:positionV>
                <wp:extent cx="3657600" cy="12700"/>
                <wp:effectExtent l="0" t="0" r="0" b="0"/>
                <wp:wrapNone/>
                <wp:docPr id="805" name="Graphic 805"/>
                <wp:cNvGraphicFramePr>
                  <a:graphicFrameLocks/>
                </wp:cNvGraphicFramePr>
                <a:graphic>
                  <a:graphicData uri="http://schemas.microsoft.com/office/word/2010/wordprocessingShape">
                    <wps:wsp>
                      <wps:cNvPr id="805" name="Graphic 80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6030208" id="docshape797" filled="true" fillcolor="#000000" stroked="false">
                <v:fill type="solid"/>
                <w10:wrap type="none"/>
              </v:rect>
            </w:pict>
          </mc:Fallback>
        </mc:AlternateContent>
      </w:r>
      <w:r>
        <w:rPr>
          <w:rFonts w:ascii="Verdana"/>
          <w:spacing w:val="-5"/>
          <w:w w:val="95"/>
          <w:sz w:val="18"/>
        </w:rPr>
        <w:t>412</w:t>
      </w:r>
    </w:p>
    <w:p>
      <w:pPr>
        <w:pStyle w:val="BodyText"/>
        <w:spacing w:before="10"/>
        <w:ind w:left="0"/>
        <w:rPr>
          <w:rFonts w:ascii="Verdana"/>
          <w:sz w:val="18"/>
        </w:rPr>
      </w:pPr>
    </w:p>
    <w:p>
      <w:pPr>
        <w:pStyle w:val="Heading3"/>
        <w:spacing w:before="1"/>
      </w:pPr>
      <w:r>
        <w:rPr>
          <w:spacing w:val="-2"/>
          <w:w w:val="85"/>
        </w:rPr>
        <w:t>INTRODUCTION:</w:t>
      </w:r>
    </w:p>
    <w:p>
      <w:pPr>
        <w:spacing w:before="100"/>
        <w:ind w:left="1129"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3151" w:space="40"/>
            <w:col w:w="5449"/>
          </w:cols>
        </w:sectPr>
      </w:pPr>
    </w:p>
    <w:p>
      <w:pPr>
        <w:pStyle w:val="BodyText"/>
        <w:spacing w:line="249" w:lineRule="auto" w:before="75"/>
        <w:ind w:right="1439" w:firstLine="432"/>
        <w:jc w:val="both"/>
      </w:pPr>
      <w:r>
        <w:rPr/>
        <w:t>William</w:t>
      </w:r>
      <w:r>
        <w:rPr>
          <w:spacing w:val="-13"/>
        </w:rPr>
        <w:t> </w:t>
      </w:r>
      <w:r>
        <w:rPr/>
        <w:t>Shakespeare</w:t>
      </w:r>
      <w:r>
        <w:rPr>
          <w:spacing w:val="-12"/>
        </w:rPr>
        <w:t> </w:t>
      </w:r>
      <w:r>
        <w:rPr/>
        <w:t>was</w:t>
      </w:r>
      <w:r>
        <w:rPr>
          <w:spacing w:val="-10"/>
        </w:rPr>
        <w:t> </w:t>
      </w:r>
      <w:r>
        <w:rPr/>
        <w:t>born</w:t>
      </w:r>
      <w:r>
        <w:rPr>
          <w:spacing w:val="-11"/>
        </w:rPr>
        <w:t> </w:t>
      </w:r>
      <w:r>
        <w:rPr/>
        <w:t>in</w:t>
      </w:r>
      <w:r>
        <w:rPr>
          <w:spacing w:val="-9"/>
        </w:rPr>
        <w:t> </w:t>
      </w:r>
      <w:r>
        <w:rPr/>
        <w:t>1564</w:t>
      </w:r>
      <w:r>
        <w:rPr>
          <w:spacing w:val="-8"/>
        </w:rPr>
        <w:t> </w:t>
      </w:r>
      <w:r>
        <w:rPr/>
        <w:t>in</w:t>
      </w:r>
      <w:r>
        <w:rPr>
          <w:spacing w:val="-9"/>
        </w:rPr>
        <w:t> </w:t>
      </w:r>
      <w:r>
        <w:rPr/>
        <w:t>Stratford-</w:t>
      </w:r>
      <w:r>
        <w:rPr>
          <w:spacing w:val="-9"/>
        </w:rPr>
        <w:t> </w:t>
      </w:r>
      <w:r>
        <w:rPr/>
        <w:t>upon-</w:t>
      </w:r>
      <w:r>
        <w:rPr>
          <w:spacing w:val="-13"/>
        </w:rPr>
        <w:t> </w:t>
      </w:r>
      <w:r>
        <w:rPr/>
        <w:t>Avon</w:t>
      </w:r>
      <w:r>
        <w:rPr>
          <w:spacing w:val="-9"/>
        </w:rPr>
        <w:t> </w:t>
      </w:r>
      <w:r>
        <w:rPr/>
        <w:t>in England. Shakespeare’s literary career started with the writing of the narrative</w:t>
      </w:r>
      <w:r>
        <w:rPr>
          <w:spacing w:val="-8"/>
        </w:rPr>
        <w:t> </w:t>
      </w:r>
      <w:r>
        <w:rPr/>
        <w:t>poems</w:t>
      </w:r>
      <w:r>
        <w:rPr>
          <w:spacing w:val="-6"/>
        </w:rPr>
        <w:t> </w:t>
      </w:r>
      <w:r>
        <w:rPr/>
        <w:t>‘Venus</w:t>
      </w:r>
      <w:r>
        <w:rPr>
          <w:spacing w:val="-7"/>
        </w:rPr>
        <w:t> </w:t>
      </w:r>
      <w:r>
        <w:rPr/>
        <w:t>and</w:t>
      </w:r>
      <w:r>
        <w:rPr>
          <w:spacing w:val="-13"/>
        </w:rPr>
        <w:t> </w:t>
      </w:r>
      <w:r>
        <w:rPr/>
        <w:t>Adonis’,</w:t>
      </w:r>
      <w:r>
        <w:rPr>
          <w:spacing w:val="-5"/>
        </w:rPr>
        <w:t> </w:t>
      </w:r>
      <w:r>
        <w:rPr/>
        <w:t>(1593)</w:t>
      </w:r>
      <w:r>
        <w:rPr>
          <w:spacing w:val="-4"/>
        </w:rPr>
        <w:t> </w:t>
      </w:r>
      <w:r>
        <w:rPr/>
        <w:t>and</w:t>
      </w:r>
      <w:r>
        <w:rPr>
          <w:spacing w:val="-4"/>
        </w:rPr>
        <w:t> </w:t>
      </w:r>
      <w:r>
        <w:rPr/>
        <w:t>‘The</w:t>
      </w:r>
      <w:r>
        <w:rPr>
          <w:spacing w:val="-7"/>
        </w:rPr>
        <w:t> </w:t>
      </w:r>
      <w:r>
        <w:rPr/>
        <w:t>Rape</w:t>
      </w:r>
      <w:r>
        <w:rPr>
          <w:spacing w:val="-4"/>
        </w:rPr>
        <w:t> </w:t>
      </w:r>
      <w:r>
        <w:rPr/>
        <w:t>of</w:t>
      </w:r>
      <w:r>
        <w:rPr>
          <w:spacing w:val="-7"/>
        </w:rPr>
        <w:t> </w:t>
      </w:r>
      <w:r>
        <w:rPr/>
        <w:t>Lucrece’ </w:t>
      </w:r>
      <w:r>
        <w:rPr>
          <w:spacing w:val="-2"/>
        </w:rPr>
        <w:t>(1594).</w:t>
      </w:r>
      <w:r>
        <w:rPr>
          <w:spacing w:val="-11"/>
        </w:rPr>
        <w:t> </w:t>
      </w:r>
      <w:r>
        <w:rPr>
          <w:spacing w:val="-2"/>
        </w:rPr>
        <w:t>Shakespeare</w:t>
      </w:r>
      <w:r>
        <w:rPr>
          <w:spacing w:val="-8"/>
        </w:rPr>
        <w:t> </w:t>
      </w:r>
      <w:r>
        <w:rPr>
          <w:spacing w:val="-2"/>
        </w:rPr>
        <w:t>during</w:t>
      </w:r>
      <w:r>
        <w:rPr>
          <w:spacing w:val="-11"/>
        </w:rPr>
        <w:t> </w:t>
      </w:r>
      <w:r>
        <w:rPr>
          <w:spacing w:val="-2"/>
        </w:rPr>
        <w:t>his</w:t>
      </w:r>
      <w:r>
        <w:rPr>
          <w:spacing w:val="-7"/>
        </w:rPr>
        <w:t> </w:t>
      </w:r>
      <w:r>
        <w:rPr>
          <w:spacing w:val="-2"/>
        </w:rPr>
        <w:t>time</w:t>
      </w:r>
      <w:r>
        <w:rPr>
          <w:spacing w:val="-8"/>
        </w:rPr>
        <w:t> </w:t>
      </w:r>
      <w:r>
        <w:rPr>
          <w:spacing w:val="-2"/>
        </w:rPr>
        <w:t>wrote</w:t>
      </w:r>
      <w:r>
        <w:rPr>
          <w:spacing w:val="-5"/>
        </w:rPr>
        <w:t> </w:t>
      </w:r>
      <w:r>
        <w:rPr>
          <w:spacing w:val="-2"/>
        </w:rPr>
        <w:t>39</w:t>
      </w:r>
      <w:r>
        <w:rPr>
          <w:spacing w:val="-6"/>
        </w:rPr>
        <w:t> </w:t>
      </w:r>
      <w:r>
        <w:rPr>
          <w:spacing w:val="-2"/>
        </w:rPr>
        <w:t>popular</w:t>
      </w:r>
      <w:r>
        <w:rPr>
          <w:spacing w:val="-8"/>
        </w:rPr>
        <w:t> </w:t>
      </w:r>
      <w:r>
        <w:rPr>
          <w:spacing w:val="-2"/>
        </w:rPr>
        <w:t>plays,</w:t>
      </w:r>
      <w:r>
        <w:rPr>
          <w:spacing w:val="-5"/>
        </w:rPr>
        <w:t> </w:t>
      </w:r>
      <w:r>
        <w:rPr>
          <w:spacing w:val="-2"/>
        </w:rPr>
        <w:t>154</w:t>
      </w:r>
      <w:r>
        <w:rPr>
          <w:spacing w:val="-6"/>
        </w:rPr>
        <w:t> </w:t>
      </w:r>
      <w:r>
        <w:rPr>
          <w:spacing w:val="-2"/>
        </w:rPr>
        <w:t>Sonnets, </w:t>
      </w:r>
      <w:r>
        <w:rPr/>
        <w:t>two narrative classical poems, Venus and Adonis and, The rape of Lucrece, and two shorter poems, The Phoenix and the Turtle and A Lovers complaint.</w:t>
      </w:r>
    </w:p>
    <w:p>
      <w:pPr>
        <w:pStyle w:val="BodyText"/>
        <w:spacing w:line="249" w:lineRule="auto" w:before="63"/>
        <w:ind w:right="1437" w:firstLine="432"/>
        <w:jc w:val="both"/>
      </w:pPr>
      <w:r>
        <w:rPr/>
        <w:t>During Elizabethan period, women ruling men was considered a sin. Shakespeare had to use males draped as women characters to play the women roles in his plays in his famous Globe theatre. The study tries</w:t>
      </w:r>
      <w:r>
        <w:rPr>
          <w:spacing w:val="-8"/>
        </w:rPr>
        <w:t> </w:t>
      </w:r>
      <w:r>
        <w:rPr/>
        <w:t>to</w:t>
      </w:r>
      <w:r>
        <w:rPr>
          <w:spacing w:val="-6"/>
        </w:rPr>
        <w:t> </w:t>
      </w:r>
      <w:r>
        <w:rPr/>
        <w:t>examine</w:t>
      </w:r>
      <w:r>
        <w:rPr>
          <w:spacing w:val="-7"/>
        </w:rPr>
        <w:t> </w:t>
      </w:r>
      <w:r>
        <w:rPr/>
        <w:t>how</w:t>
      </w:r>
      <w:r>
        <w:rPr>
          <w:spacing w:val="-10"/>
        </w:rPr>
        <w:t> </w:t>
      </w:r>
      <w:r>
        <w:rPr/>
        <w:t>the</w:t>
      </w:r>
      <w:r>
        <w:rPr>
          <w:spacing w:val="-8"/>
        </w:rPr>
        <w:t> </w:t>
      </w:r>
      <w:r>
        <w:rPr/>
        <w:t>various</w:t>
      </w:r>
      <w:r>
        <w:rPr>
          <w:spacing w:val="-11"/>
        </w:rPr>
        <w:t> </w:t>
      </w:r>
      <w:r>
        <w:rPr/>
        <w:t>women</w:t>
      </w:r>
      <w:r>
        <w:rPr>
          <w:spacing w:val="-8"/>
        </w:rPr>
        <w:t> </w:t>
      </w:r>
      <w:r>
        <w:rPr/>
        <w:t>characters</w:t>
      </w:r>
      <w:r>
        <w:rPr>
          <w:spacing w:val="-8"/>
        </w:rPr>
        <w:t> </w:t>
      </w:r>
      <w:r>
        <w:rPr/>
        <w:t>in</w:t>
      </w:r>
      <w:r>
        <w:rPr>
          <w:spacing w:val="-8"/>
        </w:rPr>
        <w:t> </w:t>
      </w:r>
      <w:r>
        <w:rPr/>
        <w:t>his</w:t>
      </w:r>
      <w:r>
        <w:rPr>
          <w:spacing w:val="-8"/>
        </w:rPr>
        <w:t> </w:t>
      </w:r>
      <w:r>
        <w:rPr/>
        <w:t>different</w:t>
      </w:r>
      <w:r>
        <w:rPr>
          <w:spacing w:val="-6"/>
        </w:rPr>
        <w:t> </w:t>
      </w:r>
      <w:r>
        <w:rPr/>
        <w:t>plays resisted</w:t>
      </w:r>
      <w:r>
        <w:rPr>
          <w:spacing w:val="40"/>
        </w:rPr>
        <w:t> </w:t>
      </w:r>
      <w:r>
        <w:rPr/>
        <w:t>male</w:t>
      </w:r>
      <w:r>
        <w:rPr>
          <w:spacing w:val="40"/>
        </w:rPr>
        <w:t> </w:t>
      </w:r>
      <w:r>
        <w:rPr/>
        <w:t>patriarchy,</w:t>
      </w:r>
      <w:r>
        <w:rPr>
          <w:spacing w:val="40"/>
        </w:rPr>
        <w:t> </w:t>
      </w:r>
      <w:r>
        <w:rPr/>
        <w:t>challenged</w:t>
      </w:r>
      <w:r>
        <w:rPr>
          <w:spacing w:val="40"/>
        </w:rPr>
        <w:t> </w:t>
      </w:r>
      <w:r>
        <w:rPr/>
        <w:t>gender roles.</w:t>
      </w:r>
    </w:p>
    <w:p>
      <w:pPr>
        <w:pStyle w:val="Heading3"/>
        <w:spacing w:before="158"/>
      </w:pPr>
      <w:r>
        <w:rPr>
          <w:w w:val="90"/>
        </w:rPr>
        <w:t>MATERIALS</w:t>
      </w:r>
      <w:r>
        <w:rPr>
          <w:spacing w:val="3"/>
        </w:rPr>
        <w:t> </w:t>
      </w:r>
      <w:r>
        <w:rPr>
          <w:w w:val="90"/>
        </w:rPr>
        <w:t>AND</w:t>
      </w:r>
      <w:r>
        <w:rPr>
          <w:spacing w:val="5"/>
        </w:rPr>
        <w:t> </w:t>
      </w:r>
      <w:r>
        <w:rPr>
          <w:spacing w:val="-2"/>
          <w:w w:val="90"/>
        </w:rPr>
        <w:t>METHODS:</w:t>
      </w:r>
    </w:p>
    <w:p>
      <w:pPr>
        <w:pStyle w:val="BodyText"/>
        <w:spacing w:line="249" w:lineRule="auto" w:before="78"/>
        <w:ind w:right="1440" w:firstLine="432"/>
        <w:jc w:val="both"/>
      </w:pPr>
      <w:r>
        <w:rPr/>
        <w:t>The study employs a comparative literary analysis to examine women resistance against patriarchy in the select texts: The Merchant</w:t>
      </w:r>
      <w:r>
        <w:rPr>
          <w:spacing w:val="40"/>
        </w:rPr>
        <w:t> </w:t>
      </w:r>
      <w:r>
        <w:rPr/>
        <w:t>of Venice, A</w:t>
      </w:r>
      <w:r>
        <w:rPr>
          <w:spacing w:val="-1"/>
        </w:rPr>
        <w:t> </w:t>
      </w:r>
      <w:r>
        <w:rPr/>
        <w:t>Midsummer Night’s Dream, Romeo and Juliet, Macbeth, Othello, the moor of Venice and</w:t>
      </w:r>
      <w:r>
        <w:rPr>
          <w:spacing w:val="-1"/>
        </w:rPr>
        <w:t> </w:t>
      </w:r>
      <w:r>
        <w:rPr/>
        <w:t>As you like it. The texts were chosen for exploring the women</w:t>
      </w:r>
      <w:r>
        <w:rPr>
          <w:spacing w:val="-2"/>
        </w:rPr>
        <w:t> </w:t>
      </w:r>
      <w:r>
        <w:rPr/>
        <w:t>character’s role in resisting patriarchy, double standards of chastity, male dominance in the different novels. In some of</w:t>
      </w:r>
      <w:r>
        <w:rPr>
          <w:spacing w:val="-1"/>
        </w:rPr>
        <w:t> </w:t>
      </w:r>
      <w:r>
        <w:rPr/>
        <w:t>his plays</w:t>
      </w:r>
      <w:r>
        <w:rPr>
          <w:spacing w:val="-1"/>
        </w:rPr>
        <w:t> </w:t>
      </w:r>
      <w:r>
        <w:rPr/>
        <w:t>the women</w:t>
      </w:r>
      <w:r>
        <w:rPr>
          <w:spacing w:val="-1"/>
        </w:rPr>
        <w:t> </w:t>
      </w:r>
      <w:r>
        <w:rPr/>
        <w:t>characters resist their father’s choice of a suitor and got married to their lovers, risking</w:t>
      </w:r>
      <w:r>
        <w:rPr>
          <w:spacing w:val="-1"/>
        </w:rPr>
        <w:t> </w:t>
      </w:r>
      <w:r>
        <w:rPr/>
        <w:t>their lives</w:t>
      </w:r>
      <w:r>
        <w:rPr>
          <w:spacing w:val="-1"/>
        </w:rPr>
        <w:t> </w:t>
      </w:r>
      <w:r>
        <w:rPr/>
        <w:t>from</w:t>
      </w:r>
      <w:r>
        <w:rPr>
          <w:spacing w:val="-2"/>
        </w:rPr>
        <w:t> </w:t>
      </w:r>
      <w:r>
        <w:rPr/>
        <w:t>laws of the time that</w:t>
      </w:r>
      <w:r>
        <w:rPr>
          <w:spacing w:val="18"/>
        </w:rPr>
        <w:t> </w:t>
      </w:r>
      <w:r>
        <w:rPr/>
        <w:t>only</w:t>
      </w:r>
      <w:r>
        <w:rPr>
          <w:spacing w:val="16"/>
        </w:rPr>
        <w:t> </w:t>
      </w:r>
      <w:r>
        <w:rPr/>
        <w:t>meant</w:t>
      </w:r>
      <w:r>
        <w:rPr>
          <w:spacing w:val="20"/>
        </w:rPr>
        <w:t> </w:t>
      </w:r>
      <w:r>
        <w:rPr/>
        <w:t>death.</w:t>
      </w:r>
      <w:r>
        <w:rPr>
          <w:spacing w:val="19"/>
        </w:rPr>
        <w:t> </w:t>
      </w:r>
      <w:r>
        <w:rPr/>
        <w:t>The</w:t>
      </w:r>
      <w:r>
        <w:rPr>
          <w:spacing w:val="18"/>
        </w:rPr>
        <w:t> </w:t>
      </w:r>
      <w:r>
        <w:rPr/>
        <w:t>comparative</w:t>
      </w:r>
      <w:r>
        <w:rPr>
          <w:spacing w:val="17"/>
        </w:rPr>
        <w:t> </w:t>
      </w:r>
      <w:r>
        <w:rPr/>
        <w:t>study</w:t>
      </w:r>
      <w:r>
        <w:rPr>
          <w:spacing w:val="17"/>
        </w:rPr>
        <w:t> </w:t>
      </w:r>
      <w:r>
        <w:rPr/>
        <w:t>tries</w:t>
      </w:r>
      <w:r>
        <w:rPr>
          <w:spacing w:val="18"/>
        </w:rPr>
        <w:t> </w:t>
      </w:r>
      <w:r>
        <w:rPr/>
        <w:t>to</w:t>
      </w:r>
      <w:r>
        <w:rPr>
          <w:spacing w:val="19"/>
        </w:rPr>
        <w:t> </w:t>
      </w:r>
      <w:r>
        <w:rPr/>
        <w:t>address</w:t>
      </w:r>
      <w:r>
        <w:rPr>
          <w:spacing w:val="18"/>
        </w:rPr>
        <w:t> </w:t>
      </w:r>
      <w:r>
        <w:rPr/>
        <w:t>the</w:t>
      </w:r>
      <w:r>
        <w:rPr>
          <w:spacing w:val="18"/>
        </w:rPr>
        <w:t> </w:t>
      </w:r>
      <w:r>
        <w:rPr>
          <w:spacing w:val="-5"/>
        </w:rPr>
        <w:t>Me</w:t>
      </w:r>
    </w:p>
    <w:p>
      <w:pPr>
        <w:pStyle w:val="BodyText"/>
        <w:spacing w:line="249" w:lineRule="auto" w:before="7"/>
        <w:ind w:right="1441"/>
        <w:jc w:val="both"/>
      </w:pPr>
      <w:r>
        <w:rPr/>
        <w:t>-too movement of 2017 that became a popular movement in parallel to the</w:t>
      </w:r>
      <w:r>
        <w:rPr>
          <w:spacing w:val="-2"/>
        </w:rPr>
        <w:t> </w:t>
      </w:r>
      <w:r>
        <w:rPr/>
        <w:t>study</w:t>
      </w:r>
      <w:r>
        <w:rPr>
          <w:spacing w:val="-6"/>
        </w:rPr>
        <w:t> </w:t>
      </w:r>
      <w:r>
        <w:rPr/>
        <w:t>of</w:t>
      </w:r>
      <w:r>
        <w:rPr>
          <w:spacing w:val="-3"/>
        </w:rPr>
        <w:t> </w:t>
      </w:r>
      <w:r>
        <w:rPr/>
        <w:t>women</w:t>
      </w:r>
      <w:r>
        <w:rPr>
          <w:spacing w:val="-3"/>
        </w:rPr>
        <w:t> </w:t>
      </w:r>
      <w:r>
        <w:rPr/>
        <w:t>in</w:t>
      </w:r>
      <w:r>
        <w:rPr>
          <w:spacing w:val="-3"/>
        </w:rPr>
        <w:t> </w:t>
      </w:r>
      <w:r>
        <w:rPr/>
        <w:t>Shakespeare’s</w:t>
      </w:r>
      <w:r>
        <w:rPr>
          <w:spacing w:val="-3"/>
        </w:rPr>
        <w:t> </w:t>
      </w:r>
      <w:r>
        <w:rPr/>
        <w:t>play.</w:t>
      </w:r>
      <w:r>
        <w:rPr>
          <w:spacing w:val="-1"/>
        </w:rPr>
        <w:t> </w:t>
      </w:r>
      <w:r>
        <w:rPr/>
        <w:t>During,</w:t>
      </w:r>
      <w:r>
        <w:rPr>
          <w:spacing w:val="-3"/>
        </w:rPr>
        <w:t> </w:t>
      </w:r>
      <w:r>
        <w:rPr/>
        <w:t>Me</w:t>
      </w:r>
      <w:r>
        <w:rPr>
          <w:spacing w:val="-3"/>
        </w:rPr>
        <w:t> </w:t>
      </w:r>
      <w:r>
        <w:rPr/>
        <w:t>-Too</w:t>
      </w:r>
      <w:r>
        <w:rPr>
          <w:spacing w:val="-3"/>
        </w:rPr>
        <w:t> </w:t>
      </w:r>
      <w:r>
        <w:rPr/>
        <w:t>movement women braved to expose people holding high offices, holding power and</w:t>
      </w:r>
      <w:r>
        <w:rPr>
          <w:spacing w:val="37"/>
        </w:rPr>
        <w:t> </w:t>
      </w:r>
      <w:r>
        <w:rPr/>
        <w:t>wealth</w:t>
      </w:r>
      <w:r>
        <w:rPr>
          <w:spacing w:val="37"/>
        </w:rPr>
        <w:t> </w:t>
      </w:r>
      <w:r>
        <w:rPr/>
        <w:t>and</w:t>
      </w:r>
      <w:r>
        <w:rPr>
          <w:spacing w:val="37"/>
        </w:rPr>
        <w:t> </w:t>
      </w:r>
      <w:r>
        <w:rPr/>
        <w:t>who</w:t>
      </w:r>
      <w:r>
        <w:rPr>
          <w:spacing w:val="40"/>
        </w:rPr>
        <w:t> </w:t>
      </w:r>
      <w:r>
        <w:rPr/>
        <w:t>were</w:t>
      </w:r>
      <w:r>
        <w:rPr>
          <w:spacing w:val="36"/>
        </w:rPr>
        <w:t> </w:t>
      </w:r>
      <w:r>
        <w:rPr/>
        <w:t>involved</w:t>
      </w:r>
      <w:r>
        <w:rPr>
          <w:spacing w:val="37"/>
        </w:rPr>
        <w:t> </w:t>
      </w:r>
      <w:r>
        <w:rPr/>
        <w:t>in</w:t>
      </w:r>
      <w:r>
        <w:rPr>
          <w:spacing w:val="37"/>
        </w:rPr>
        <w:t> </w:t>
      </w:r>
      <w:r>
        <w:rPr/>
        <w:t>sexual</w:t>
      </w:r>
      <w:r>
        <w:rPr>
          <w:spacing w:val="35"/>
        </w:rPr>
        <w:t> </w:t>
      </w:r>
      <w:r>
        <w:rPr/>
        <w:t>abuse</w:t>
      </w:r>
      <w:r>
        <w:rPr>
          <w:spacing w:val="38"/>
        </w:rPr>
        <w:t> </w:t>
      </w:r>
      <w:r>
        <w:rPr/>
        <w:t>of</w:t>
      </w:r>
      <w:r>
        <w:rPr>
          <w:spacing w:val="35"/>
        </w:rPr>
        <w:t> </w:t>
      </w:r>
      <w:r>
        <w:rPr/>
        <w:t>women.</w:t>
      </w:r>
    </w:p>
    <w:p>
      <w:pPr>
        <w:pStyle w:val="Heading3"/>
        <w:spacing w:before="157"/>
      </w:pPr>
      <w:r>
        <w:rPr>
          <w:spacing w:val="-2"/>
          <w:w w:val="95"/>
        </w:rPr>
        <w:t>DISCUSSION:</w:t>
      </w:r>
    </w:p>
    <w:p>
      <w:pPr>
        <w:pStyle w:val="BodyText"/>
        <w:spacing w:line="249" w:lineRule="auto" w:before="75"/>
        <w:ind w:right="1440" w:firstLine="432"/>
        <w:jc w:val="both"/>
      </w:pPr>
      <w:r>
        <w:rPr/>
        <w:t>In the play, ‘A Midsummer Night’s Dream, Hermia daughter of Eugeus loves Lysander. When Hermia refuses to marry a suitor of her father’s choice,</w:t>
      </w:r>
      <w:r>
        <w:rPr>
          <w:spacing w:val="37"/>
        </w:rPr>
        <w:t> </w:t>
      </w:r>
      <w:r>
        <w:rPr/>
        <w:t>Demetreus, he reminds her of the</w:t>
      </w:r>
      <w:r>
        <w:rPr>
          <w:spacing w:val="38"/>
        </w:rPr>
        <w:t> </w:t>
      </w:r>
      <w:r>
        <w:rPr/>
        <w:t>‘Law of Athens’.</w:t>
      </w:r>
    </w:p>
    <w:p>
      <w:pPr>
        <w:pStyle w:val="BodyText"/>
        <w:spacing w:line="249" w:lineRule="auto" w:before="60"/>
        <w:ind w:right="1440" w:firstLine="432"/>
        <w:jc w:val="both"/>
      </w:pPr>
      <w:r>
        <w:rPr/>
        <w:t>He threatens, “As she is mine, I may dispose of her: which shall</w:t>
      </w:r>
      <w:r>
        <w:rPr>
          <w:spacing w:val="40"/>
        </w:rPr>
        <w:t> </w:t>
      </w:r>
      <w:r>
        <w:rPr/>
        <w:t>be either to this gentleman or to her death, according to our law”. (Act 1, Scene 1)</w:t>
      </w:r>
    </w:p>
    <w:p>
      <w:pPr>
        <w:pStyle w:val="BodyText"/>
        <w:spacing w:line="249" w:lineRule="auto" w:before="60"/>
        <w:ind w:right="1440" w:firstLine="432"/>
        <w:jc w:val="both"/>
      </w:pPr>
      <w:r>
        <w:rPr/>
        <w:t>Egeus</w:t>
      </w:r>
      <w:r>
        <w:rPr>
          <w:spacing w:val="-13"/>
        </w:rPr>
        <w:t> </w:t>
      </w:r>
      <w:r>
        <w:rPr/>
        <w:t>literally</w:t>
      </w:r>
      <w:r>
        <w:rPr>
          <w:spacing w:val="-12"/>
        </w:rPr>
        <w:t> </w:t>
      </w:r>
      <w:r>
        <w:rPr/>
        <w:t>claims</w:t>
      </w:r>
      <w:r>
        <w:rPr>
          <w:spacing w:val="-13"/>
        </w:rPr>
        <w:t> </w:t>
      </w:r>
      <w:r>
        <w:rPr/>
        <w:t>ownership</w:t>
      </w:r>
      <w:r>
        <w:rPr>
          <w:spacing w:val="-12"/>
        </w:rPr>
        <w:t> </w:t>
      </w:r>
      <w:r>
        <w:rPr/>
        <w:t>of</w:t>
      </w:r>
      <w:r>
        <w:rPr>
          <w:spacing w:val="-13"/>
        </w:rPr>
        <w:t> </w:t>
      </w:r>
      <w:r>
        <w:rPr/>
        <w:t>his</w:t>
      </w:r>
      <w:r>
        <w:rPr>
          <w:spacing w:val="-12"/>
        </w:rPr>
        <w:t> </w:t>
      </w:r>
      <w:r>
        <w:rPr/>
        <w:t>daughter</w:t>
      </w:r>
      <w:r>
        <w:rPr>
          <w:spacing w:val="-13"/>
        </w:rPr>
        <w:t> </w:t>
      </w:r>
      <w:r>
        <w:rPr/>
        <w:t>in</w:t>
      </w:r>
      <w:r>
        <w:rPr>
          <w:spacing w:val="-12"/>
        </w:rPr>
        <w:t> </w:t>
      </w:r>
      <w:r>
        <w:rPr/>
        <w:t>the</w:t>
      </w:r>
      <w:r>
        <w:rPr>
          <w:spacing w:val="-13"/>
        </w:rPr>
        <w:t> </w:t>
      </w:r>
      <w:r>
        <w:rPr/>
        <w:t>play.</w:t>
      </w:r>
      <w:r>
        <w:rPr>
          <w:spacing w:val="-12"/>
        </w:rPr>
        <w:t> </w:t>
      </w:r>
      <w:r>
        <w:rPr/>
        <w:t>During Shakespeare’s</w:t>
      </w:r>
      <w:r>
        <w:rPr>
          <w:spacing w:val="-3"/>
        </w:rPr>
        <w:t> </w:t>
      </w:r>
      <w:r>
        <w:rPr/>
        <w:t>period</w:t>
      </w:r>
      <w:r>
        <w:rPr>
          <w:spacing w:val="-3"/>
        </w:rPr>
        <w:t> </w:t>
      </w:r>
      <w:r>
        <w:rPr/>
        <w:t>daughters</w:t>
      </w:r>
      <w:r>
        <w:rPr>
          <w:spacing w:val="-5"/>
        </w:rPr>
        <w:t> </w:t>
      </w:r>
      <w:r>
        <w:rPr/>
        <w:t>were</w:t>
      </w:r>
      <w:r>
        <w:rPr>
          <w:spacing w:val="-3"/>
        </w:rPr>
        <w:t> </w:t>
      </w:r>
      <w:r>
        <w:rPr/>
        <w:t>treated</w:t>
      </w:r>
      <w:r>
        <w:rPr>
          <w:spacing w:val="-3"/>
        </w:rPr>
        <w:t> </w:t>
      </w:r>
      <w:r>
        <w:rPr/>
        <w:t>as</w:t>
      </w:r>
      <w:r>
        <w:rPr>
          <w:spacing w:val="-6"/>
        </w:rPr>
        <w:t> </w:t>
      </w:r>
      <w:r>
        <w:rPr/>
        <w:t>property.</w:t>
      </w:r>
      <w:r>
        <w:rPr>
          <w:spacing w:val="-5"/>
        </w:rPr>
        <w:t> </w:t>
      </w:r>
      <w:r>
        <w:rPr/>
        <w:t>The</w:t>
      </w:r>
      <w:r>
        <w:rPr>
          <w:spacing w:val="-3"/>
        </w:rPr>
        <w:t> </w:t>
      </w:r>
      <w:r>
        <w:rPr/>
        <w:t>daughters had</w:t>
      </w:r>
      <w:r>
        <w:rPr>
          <w:spacing w:val="12"/>
        </w:rPr>
        <w:t> </w:t>
      </w:r>
      <w:r>
        <w:rPr/>
        <w:t>very</w:t>
      </w:r>
      <w:r>
        <w:rPr>
          <w:spacing w:val="8"/>
        </w:rPr>
        <w:t> </w:t>
      </w:r>
      <w:r>
        <w:rPr/>
        <w:t>little</w:t>
      </w:r>
      <w:r>
        <w:rPr>
          <w:spacing w:val="14"/>
        </w:rPr>
        <w:t> </w:t>
      </w:r>
      <w:r>
        <w:rPr/>
        <w:t>say</w:t>
      </w:r>
      <w:r>
        <w:rPr>
          <w:spacing w:val="7"/>
        </w:rPr>
        <w:t> </w:t>
      </w:r>
      <w:r>
        <w:rPr/>
        <w:t>even</w:t>
      </w:r>
      <w:r>
        <w:rPr>
          <w:spacing w:val="10"/>
        </w:rPr>
        <w:t> </w:t>
      </w:r>
      <w:r>
        <w:rPr/>
        <w:t>in</w:t>
      </w:r>
      <w:r>
        <w:rPr>
          <w:spacing w:val="9"/>
        </w:rPr>
        <w:t> </w:t>
      </w:r>
      <w:r>
        <w:rPr/>
        <w:t>matters</w:t>
      </w:r>
      <w:r>
        <w:rPr>
          <w:spacing w:val="9"/>
        </w:rPr>
        <w:t> </w:t>
      </w:r>
      <w:r>
        <w:rPr/>
        <w:t>concerning</w:t>
      </w:r>
      <w:r>
        <w:rPr>
          <w:spacing w:val="10"/>
        </w:rPr>
        <w:t> </w:t>
      </w:r>
      <w:r>
        <w:rPr/>
        <w:t>marriage</w:t>
      </w:r>
      <w:r>
        <w:rPr>
          <w:spacing w:val="14"/>
        </w:rPr>
        <w:t> </w:t>
      </w:r>
      <w:r>
        <w:rPr/>
        <w:t>where</w:t>
      </w:r>
      <w:r>
        <w:rPr>
          <w:spacing w:val="11"/>
        </w:rPr>
        <w:t> </w:t>
      </w:r>
      <w:r>
        <w:rPr/>
        <w:t>she</w:t>
      </w:r>
      <w:r>
        <w:rPr>
          <w:spacing w:val="11"/>
        </w:rPr>
        <w:t> </w:t>
      </w:r>
      <w:r>
        <w:rPr>
          <w:spacing w:val="-5"/>
        </w:rPr>
        <w:t>was</w:t>
      </w:r>
    </w:p>
    <w:p>
      <w:pPr>
        <w:pStyle w:val="BodyText"/>
        <w:spacing w:after="0" w:line="249" w:lineRule="auto"/>
        <w:jc w:val="both"/>
        <w:sectPr>
          <w:type w:val="continuous"/>
          <w:pgSz w:w="12240" w:h="15840"/>
          <w:pgMar w:top="138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89920">
                <wp:simplePos x="0" y="0"/>
                <wp:positionH relativeFrom="page">
                  <wp:posOffset>2065020</wp:posOffset>
                </wp:positionH>
                <wp:positionV relativeFrom="paragraph">
                  <wp:posOffset>795020</wp:posOffset>
                </wp:positionV>
                <wp:extent cx="3657600" cy="12700"/>
                <wp:effectExtent l="0" t="0" r="0" b="0"/>
                <wp:wrapTopAndBottom/>
                <wp:docPr id="806" name="Graphic 806"/>
                <wp:cNvGraphicFramePr>
                  <a:graphicFrameLocks/>
                </wp:cNvGraphicFramePr>
                <a:graphic>
                  <a:graphicData uri="http://schemas.microsoft.com/office/word/2010/wordprocessingShape">
                    <wps:wsp>
                      <wps:cNvPr id="806" name="Graphic 80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26560;mso-wrap-distance-left:0;mso-wrap-distance-right:0" id="docshape798" filled="true" fillcolor="#000000" stroked="false">
                <v:fill type="solid"/>
                <w10:wrap type="topAndBottom"/>
              </v:rect>
            </w:pict>
          </mc:Fallback>
        </mc:AlternateContent>
      </w:r>
      <w:r>
        <w:rPr>
          <w:rFonts w:ascii="Verdana" w:hAnsi="Verdana"/>
          <w:sz w:val="18"/>
        </w:rPr>
        <w:t>Gender,</w:t>
      </w:r>
      <w:r>
        <w:rPr>
          <w:rFonts w:ascii="Verdana" w:hAnsi="Verdana"/>
          <w:spacing w:val="-4"/>
          <w:sz w:val="18"/>
        </w:rPr>
        <w:t> </w:t>
      </w: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3"/>
          <w:sz w:val="18"/>
        </w:rPr>
        <w:t> </w:t>
      </w:r>
      <w:r>
        <w:rPr>
          <w:rFonts w:ascii="Verdana" w:hAnsi="Verdana"/>
          <w:sz w:val="18"/>
        </w:rPr>
        <w:t>Patriarchy</w:t>
      </w:r>
      <w:r>
        <w:rPr>
          <w:rFonts w:ascii="Verdana" w:hAnsi="Verdana"/>
          <w:spacing w:val="-2"/>
          <w:sz w:val="18"/>
        </w:rPr>
        <w:t> </w:t>
      </w:r>
      <w:r>
        <w:rPr>
          <w:rFonts w:ascii="Verdana" w:hAnsi="Verdana"/>
          <w:sz w:val="18"/>
        </w:rPr>
        <w:t>in</w:t>
      </w:r>
      <w:r>
        <w:rPr>
          <w:rFonts w:ascii="Verdana" w:hAnsi="Verdana"/>
          <w:spacing w:val="-3"/>
          <w:sz w:val="18"/>
        </w:rPr>
        <w:t> </w:t>
      </w:r>
      <w:r>
        <w:rPr>
          <w:rFonts w:ascii="Verdana" w:hAnsi="Verdana"/>
          <w:sz w:val="18"/>
        </w:rPr>
        <w:t>Shakespeare’s</w:t>
      </w:r>
      <w:r>
        <w:rPr>
          <w:rFonts w:ascii="Verdana" w:hAnsi="Verdana"/>
          <w:spacing w:val="-2"/>
          <w:sz w:val="18"/>
        </w:rPr>
        <w:t> Plays...</w:t>
      </w:r>
      <w:r>
        <w:rPr>
          <w:sz w:val="18"/>
        </w:rPr>
        <w:tab/>
      </w:r>
      <w:r>
        <w:rPr>
          <w:rFonts w:ascii="Verdana" w:hAnsi="Verdana"/>
          <w:spacing w:val="-5"/>
          <w:sz w:val="18"/>
        </w:rPr>
        <w:t>413</w:t>
      </w:r>
    </w:p>
    <w:p>
      <w:pPr>
        <w:pStyle w:val="BodyText"/>
        <w:spacing w:line="249" w:lineRule="auto" w:before="192"/>
        <w:ind w:right="1441"/>
        <w:jc w:val="both"/>
      </w:pPr>
      <w:r>
        <w:rPr/>
        <w:t>not allowed to marry the person of her choice is true from the above </w:t>
      </w:r>
      <w:r>
        <w:rPr>
          <w:spacing w:val="-2"/>
        </w:rPr>
        <w:t>quote:</w:t>
      </w:r>
    </w:p>
    <w:p>
      <w:pPr>
        <w:pStyle w:val="BodyText"/>
        <w:spacing w:line="249" w:lineRule="auto" w:before="59"/>
        <w:ind w:right="1439" w:firstLine="432"/>
        <w:jc w:val="both"/>
      </w:pPr>
      <w:r>
        <w:rPr/>
        <w:t>In a patriarchal society of his times, the women autonomy was very limited. They had to be very obedient to their husbands. Their husbands</w:t>
      </w:r>
      <w:r>
        <w:rPr>
          <w:spacing w:val="40"/>
        </w:rPr>
        <w:t> </w:t>
      </w:r>
      <w:r>
        <w:rPr/>
        <w:t>were</w:t>
      </w:r>
      <w:r>
        <w:rPr>
          <w:spacing w:val="40"/>
        </w:rPr>
        <w:t> </w:t>
      </w:r>
      <w:r>
        <w:rPr/>
        <w:t>to</w:t>
      </w:r>
      <w:r>
        <w:rPr>
          <w:spacing w:val="40"/>
        </w:rPr>
        <w:t> </w:t>
      </w:r>
      <w:r>
        <w:rPr/>
        <w:t>be</w:t>
      </w:r>
      <w:r>
        <w:rPr>
          <w:spacing w:val="40"/>
        </w:rPr>
        <w:t> </w:t>
      </w:r>
      <w:r>
        <w:rPr/>
        <w:t>treated</w:t>
      </w:r>
      <w:r>
        <w:rPr>
          <w:spacing w:val="40"/>
        </w:rPr>
        <w:t> </w:t>
      </w:r>
      <w:r>
        <w:rPr/>
        <w:t>as</w:t>
      </w:r>
      <w:r>
        <w:rPr>
          <w:spacing w:val="40"/>
        </w:rPr>
        <w:t> </w:t>
      </w:r>
      <w:r>
        <w:rPr/>
        <w:t>the</w:t>
      </w:r>
      <w:r>
        <w:rPr>
          <w:spacing w:val="40"/>
        </w:rPr>
        <w:t> </w:t>
      </w:r>
      <w:r>
        <w:rPr/>
        <w:t>head,</w:t>
      </w:r>
      <w:r>
        <w:rPr>
          <w:spacing w:val="40"/>
        </w:rPr>
        <w:t> </w:t>
      </w:r>
      <w:r>
        <w:rPr/>
        <w:t>the</w:t>
      </w:r>
      <w:r>
        <w:rPr>
          <w:spacing w:val="40"/>
        </w:rPr>
        <w:t> </w:t>
      </w:r>
      <w:r>
        <w:rPr/>
        <w:t>Lord.</w:t>
      </w:r>
    </w:p>
    <w:p>
      <w:pPr>
        <w:pStyle w:val="BodyText"/>
        <w:spacing w:line="249" w:lineRule="auto" w:before="60"/>
        <w:ind w:right="1439" w:firstLine="432"/>
        <w:jc w:val="both"/>
      </w:pPr>
      <w:r>
        <w:rPr/>
        <w:t>In the play, ‘The Taming of the shrew’, Katherina’s final speech outlines the expected hierarchy of the household. She speaks of the patriarchal</w:t>
      </w:r>
      <w:r>
        <w:rPr>
          <w:spacing w:val="-11"/>
        </w:rPr>
        <w:t> </w:t>
      </w:r>
      <w:r>
        <w:rPr/>
        <w:t>ideal.</w:t>
      </w:r>
    </w:p>
    <w:p>
      <w:pPr>
        <w:pStyle w:val="BodyText"/>
        <w:spacing w:line="249" w:lineRule="auto" w:before="61"/>
        <w:ind w:right="1437" w:firstLine="432"/>
        <w:jc w:val="both"/>
      </w:pPr>
      <w:r>
        <w:rPr/>
        <w:t>“Thy husband is thy lord, thy life, thy keeper, thy head, thy sovereign: one that cares for thee…</w:t>
      </w:r>
      <w:r>
        <w:rPr>
          <w:spacing w:val="-1"/>
        </w:rPr>
        <w:t> </w:t>
      </w:r>
      <w:r>
        <w:rPr/>
        <w:t>And craves no other tribute at thy hands</w:t>
      </w:r>
      <w:r>
        <w:rPr>
          <w:spacing w:val="36"/>
        </w:rPr>
        <w:t> </w:t>
      </w:r>
      <w:r>
        <w:rPr/>
        <w:t>but</w:t>
      </w:r>
      <w:r>
        <w:rPr>
          <w:spacing w:val="36"/>
        </w:rPr>
        <w:t> </w:t>
      </w:r>
      <w:r>
        <w:rPr/>
        <w:t>love,</w:t>
      </w:r>
      <w:r>
        <w:rPr>
          <w:spacing w:val="40"/>
        </w:rPr>
        <w:t> </w:t>
      </w:r>
      <w:r>
        <w:rPr/>
        <w:t>fair</w:t>
      </w:r>
      <w:r>
        <w:rPr>
          <w:spacing w:val="37"/>
        </w:rPr>
        <w:t> </w:t>
      </w:r>
      <w:r>
        <w:rPr/>
        <w:t>looks,</w:t>
      </w:r>
      <w:r>
        <w:rPr>
          <w:spacing w:val="38"/>
        </w:rPr>
        <w:t> </w:t>
      </w:r>
      <w:r>
        <w:rPr/>
        <w:t>and</w:t>
      </w:r>
      <w:r>
        <w:rPr>
          <w:spacing w:val="40"/>
        </w:rPr>
        <w:t> </w:t>
      </w:r>
      <w:r>
        <w:rPr/>
        <w:t>true</w:t>
      </w:r>
      <w:r>
        <w:rPr>
          <w:spacing w:val="37"/>
        </w:rPr>
        <w:t> </w:t>
      </w:r>
      <w:r>
        <w:rPr/>
        <w:t>obedience.”</w:t>
      </w:r>
      <w:r>
        <w:rPr>
          <w:spacing w:val="37"/>
        </w:rPr>
        <w:t> </w:t>
      </w:r>
      <w:r>
        <w:rPr/>
        <w:t>(Act</w:t>
      </w:r>
      <w:r>
        <w:rPr>
          <w:spacing w:val="40"/>
        </w:rPr>
        <w:t> </w:t>
      </w:r>
      <w:r>
        <w:rPr/>
        <w:t>5,</w:t>
      </w:r>
      <w:r>
        <w:rPr>
          <w:spacing w:val="36"/>
        </w:rPr>
        <w:t> </w:t>
      </w:r>
      <w:r>
        <w:rPr/>
        <w:t>Scene</w:t>
      </w:r>
      <w:r>
        <w:rPr>
          <w:spacing w:val="37"/>
        </w:rPr>
        <w:t> </w:t>
      </w:r>
      <w:r>
        <w:rPr/>
        <w:t>2)</w:t>
      </w:r>
    </w:p>
    <w:p>
      <w:pPr>
        <w:pStyle w:val="BodyText"/>
        <w:spacing w:line="249" w:lineRule="auto" w:before="62"/>
        <w:ind w:right="1438" w:firstLine="432"/>
        <w:jc w:val="both"/>
      </w:pPr>
      <w:r>
        <w:rPr/>
        <w:t>Women of the time had to be very obedient to their husbands,</w:t>
      </w:r>
      <w:r>
        <w:rPr>
          <w:spacing w:val="40"/>
        </w:rPr>
        <w:t> </w:t>
      </w:r>
      <w:r>
        <w:rPr/>
        <w:t>they were to be treated as lords, the gods in a women’s life. In a patriarchal society of the Shakespeare’s period, for a woman to be unfaithful meant death. Her worth was tied up entirely to her chastity and</w:t>
      </w:r>
      <w:r>
        <w:rPr>
          <w:spacing w:val="40"/>
        </w:rPr>
        <w:t> </w:t>
      </w:r>
      <w:r>
        <w:rPr/>
        <w:t>reputation.</w:t>
      </w:r>
    </w:p>
    <w:p>
      <w:pPr>
        <w:pStyle w:val="BodyText"/>
        <w:spacing w:line="249" w:lineRule="auto" w:before="62"/>
        <w:ind w:right="1438" w:firstLine="432"/>
        <w:jc w:val="both"/>
      </w:pPr>
      <w:r>
        <w:rPr/>
        <w:t>In the play, ‘Much Ado About Nothing, just by hearing an accusation of his daughter being unfaithful, Leonato wishes her death rather</w:t>
      </w:r>
      <w:r>
        <w:rPr>
          <w:spacing w:val="40"/>
        </w:rPr>
        <w:t> </w:t>
      </w:r>
      <w:r>
        <w:rPr/>
        <w:t>than</w:t>
      </w:r>
      <w:r>
        <w:rPr>
          <w:spacing w:val="40"/>
        </w:rPr>
        <w:t> </w:t>
      </w:r>
      <w:r>
        <w:rPr/>
        <w:t>be</w:t>
      </w:r>
      <w:r>
        <w:rPr>
          <w:spacing w:val="40"/>
        </w:rPr>
        <w:t> </w:t>
      </w:r>
      <w:r>
        <w:rPr/>
        <w:t>stained</w:t>
      </w:r>
      <w:r>
        <w:rPr>
          <w:spacing w:val="40"/>
        </w:rPr>
        <w:t> </w:t>
      </w:r>
      <w:r>
        <w:rPr/>
        <w:t>by</w:t>
      </w:r>
      <w:r>
        <w:rPr>
          <w:spacing w:val="40"/>
        </w:rPr>
        <w:t> </w:t>
      </w:r>
      <w:r>
        <w:rPr/>
        <w:t>her</w:t>
      </w:r>
      <w:r>
        <w:rPr>
          <w:spacing w:val="40"/>
        </w:rPr>
        <w:t> </w:t>
      </w:r>
      <w:r>
        <w:rPr/>
        <w:t>image.</w:t>
      </w:r>
    </w:p>
    <w:p>
      <w:pPr>
        <w:pStyle w:val="BodyText"/>
        <w:spacing w:line="249" w:lineRule="auto" w:before="60"/>
        <w:ind w:right="1440" w:firstLine="432"/>
        <w:jc w:val="both"/>
      </w:pPr>
      <w:r>
        <w:rPr/>
        <w:t>He says, “Do not live, Hero; do not open thy eyes…Grieved I, I had but one child I for that at frugal nature’s frame? O, one too much</w:t>
      </w:r>
      <w:r>
        <w:rPr>
          <w:spacing w:val="40"/>
        </w:rPr>
        <w:t> </w:t>
      </w:r>
      <w:r>
        <w:rPr/>
        <w:t>by thee!” (Act4, Scene1)</w:t>
      </w:r>
    </w:p>
    <w:p>
      <w:pPr>
        <w:pStyle w:val="BodyText"/>
        <w:spacing w:line="249" w:lineRule="auto" w:before="60"/>
        <w:ind w:right="1437" w:firstLine="432"/>
        <w:jc w:val="both"/>
      </w:pPr>
      <w:r>
        <w:rPr/>
        <w:t>Thus, one can say that patriarchy during Shakespeare’s time reflected</w:t>
      </w:r>
      <w:r>
        <w:rPr>
          <w:spacing w:val="23"/>
        </w:rPr>
        <w:t> </w:t>
      </w:r>
      <w:r>
        <w:rPr/>
        <w:t>a</w:t>
      </w:r>
      <w:r>
        <w:rPr>
          <w:spacing w:val="24"/>
        </w:rPr>
        <w:t> </w:t>
      </w:r>
      <w:r>
        <w:rPr/>
        <w:t>male</w:t>
      </w:r>
      <w:r>
        <w:rPr>
          <w:spacing w:val="25"/>
        </w:rPr>
        <w:t> </w:t>
      </w:r>
      <w:r>
        <w:rPr/>
        <w:t>dominated</w:t>
      </w:r>
      <w:r>
        <w:rPr>
          <w:spacing w:val="23"/>
        </w:rPr>
        <w:t> </w:t>
      </w:r>
      <w:r>
        <w:rPr/>
        <w:t>society.</w:t>
      </w:r>
      <w:r>
        <w:rPr>
          <w:spacing w:val="12"/>
        </w:rPr>
        <w:t> </w:t>
      </w:r>
      <w:r>
        <w:rPr/>
        <w:t>And</w:t>
      </w:r>
      <w:r>
        <w:rPr>
          <w:spacing w:val="23"/>
        </w:rPr>
        <w:t> </w:t>
      </w:r>
      <w:r>
        <w:rPr/>
        <w:t>it</w:t>
      </w:r>
      <w:r>
        <w:rPr>
          <w:spacing w:val="24"/>
        </w:rPr>
        <w:t> </w:t>
      </w:r>
      <w:r>
        <w:rPr/>
        <w:t>is</w:t>
      </w:r>
      <w:r>
        <w:rPr>
          <w:spacing w:val="21"/>
        </w:rPr>
        <w:t> </w:t>
      </w:r>
      <w:r>
        <w:rPr/>
        <w:t>true</w:t>
      </w:r>
      <w:r>
        <w:rPr>
          <w:spacing w:val="23"/>
        </w:rPr>
        <w:t> </w:t>
      </w:r>
      <w:r>
        <w:rPr/>
        <w:t>to</w:t>
      </w:r>
      <w:r>
        <w:rPr>
          <w:spacing w:val="24"/>
        </w:rPr>
        <w:t> </w:t>
      </w:r>
      <w:r>
        <w:rPr/>
        <w:t>say</w:t>
      </w:r>
      <w:r>
        <w:rPr>
          <w:spacing w:val="21"/>
        </w:rPr>
        <w:t> </w:t>
      </w:r>
      <w:r>
        <w:rPr/>
        <w:t>that</w:t>
      </w:r>
      <w:r>
        <w:rPr>
          <w:spacing w:val="23"/>
        </w:rPr>
        <w:t> </w:t>
      </w:r>
      <w:r>
        <w:rPr/>
        <w:t>in</w:t>
      </w:r>
      <w:r>
        <w:rPr>
          <w:spacing w:val="21"/>
        </w:rPr>
        <w:t> </w:t>
      </w:r>
      <w:r>
        <w:rPr/>
        <w:t>such a society women had little or no autonomy. Marriage was often transactional</w:t>
      </w:r>
      <w:r>
        <w:rPr>
          <w:spacing w:val="13"/>
        </w:rPr>
        <w:t> </w:t>
      </w:r>
      <w:r>
        <w:rPr/>
        <w:t>and</w:t>
      </w:r>
      <w:r>
        <w:rPr>
          <w:spacing w:val="15"/>
        </w:rPr>
        <w:t> </w:t>
      </w:r>
      <w:r>
        <w:rPr/>
        <w:t>the</w:t>
      </w:r>
      <w:r>
        <w:rPr>
          <w:spacing w:val="14"/>
        </w:rPr>
        <w:t> </w:t>
      </w:r>
      <w:r>
        <w:rPr/>
        <w:t>female</w:t>
      </w:r>
      <w:r>
        <w:rPr>
          <w:spacing w:val="14"/>
        </w:rPr>
        <w:t> </w:t>
      </w:r>
      <w:r>
        <w:rPr/>
        <w:t>virtue</w:t>
      </w:r>
      <w:r>
        <w:rPr>
          <w:spacing w:val="13"/>
        </w:rPr>
        <w:t> </w:t>
      </w:r>
      <w:r>
        <w:rPr/>
        <w:t>was</w:t>
      </w:r>
      <w:r>
        <w:rPr>
          <w:spacing w:val="15"/>
        </w:rPr>
        <w:t> </w:t>
      </w:r>
      <w:r>
        <w:rPr/>
        <w:t>tied</w:t>
      </w:r>
      <w:r>
        <w:rPr>
          <w:spacing w:val="15"/>
        </w:rPr>
        <w:t> </w:t>
      </w:r>
      <w:r>
        <w:rPr/>
        <w:t>to</w:t>
      </w:r>
      <w:r>
        <w:rPr>
          <w:spacing w:val="14"/>
        </w:rPr>
        <w:t> </w:t>
      </w:r>
      <w:r>
        <w:rPr/>
        <w:t>obedience</w:t>
      </w:r>
      <w:r>
        <w:rPr>
          <w:spacing w:val="13"/>
        </w:rPr>
        <w:t> </w:t>
      </w:r>
      <w:r>
        <w:rPr/>
        <w:t>and</w:t>
      </w:r>
      <w:r>
        <w:rPr>
          <w:spacing w:val="13"/>
        </w:rPr>
        <w:t> </w:t>
      </w:r>
      <w:r>
        <w:rPr>
          <w:spacing w:val="-2"/>
        </w:rPr>
        <w:t>chastity.</w:t>
      </w:r>
    </w:p>
    <w:p>
      <w:pPr>
        <w:pStyle w:val="BodyText"/>
        <w:spacing w:line="249" w:lineRule="auto" w:before="61"/>
        <w:ind w:right="1438" w:firstLine="432"/>
        <w:jc w:val="both"/>
      </w:pPr>
      <w:r>
        <w:rPr/>
        <w:t>Rosalind</w:t>
      </w:r>
      <w:r>
        <w:rPr>
          <w:spacing w:val="-12"/>
        </w:rPr>
        <w:t> </w:t>
      </w:r>
      <w:r>
        <w:rPr/>
        <w:t>in</w:t>
      </w:r>
      <w:r>
        <w:rPr>
          <w:spacing w:val="-7"/>
        </w:rPr>
        <w:t> </w:t>
      </w:r>
      <w:r>
        <w:rPr/>
        <w:t>the</w:t>
      </w:r>
      <w:r>
        <w:rPr>
          <w:spacing w:val="-9"/>
        </w:rPr>
        <w:t> </w:t>
      </w:r>
      <w:r>
        <w:rPr/>
        <w:t>play,</w:t>
      </w:r>
      <w:r>
        <w:rPr>
          <w:spacing w:val="-13"/>
        </w:rPr>
        <w:t> </w:t>
      </w:r>
      <w:r>
        <w:rPr/>
        <w:t>As</w:t>
      </w:r>
      <w:r>
        <w:rPr>
          <w:spacing w:val="-7"/>
        </w:rPr>
        <w:t> </w:t>
      </w:r>
      <w:r>
        <w:rPr/>
        <w:t>you</w:t>
      </w:r>
      <w:r>
        <w:rPr>
          <w:spacing w:val="-9"/>
        </w:rPr>
        <w:t> </w:t>
      </w:r>
      <w:r>
        <w:rPr/>
        <w:t>like</w:t>
      </w:r>
      <w:r>
        <w:rPr>
          <w:spacing w:val="-8"/>
        </w:rPr>
        <w:t> </w:t>
      </w:r>
      <w:r>
        <w:rPr/>
        <w:t>it</w:t>
      </w:r>
      <w:r>
        <w:rPr>
          <w:spacing w:val="-5"/>
        </w:rPr>
        <w:t> </w:t>
      </w:r>
      <w:r>
        <w:rPr/>
        <w:t>and</w:t>
      </w:r>
      <w:r>
        <w:rPr>
          <w:spacing w:val="-9"/>
        </w:rPr>
        <w:t> </w:t>
      </w:r>
      <w:r>
        <w:rPr/>
        <w:t>Viola</w:t>
      </w:r>
      <w:r>
        <w:rPr>
          <w:spacing w:val="-6"/>
        </w:rPr>
        <w:t> </w:t>
      </w:r>
      <w:r>
        <w:rPr/>
        <w:t>in</w:t>
      </w:r>
      <w:r>
        <w:rPr>
          <w:spacing w:val="-9"/>
        </w:rPr>
        <w:t> </w:t>
      </w:r>
      <w:r>
        <w:rPr/>
        <w:t>in</w:t>
      </w:r>
      <w:r>
        <w:rPr>
          <w:spacing w:val="-9"/>
        </w:rPr>
        <w:t> </w:t>
      </w:r>
      <w:r>
        <w:rPr/>
        <w:t>the</w:t>
      </w:r>
      <w:r>
        <w:rPr>
          <w:spacing w:val="-5"/>
        </w:rPr>
        <w:t> </w:t>
      </w:r>
      <w:r>
        <w:rPr/>
        <w:t>play</w:t>
      </w:r>
      <w:r>
        <w:rPr>
          <w:spacing w:val="-13"/>
        </w:rPr>
        <w:t> </w:t>
      </w:r>
      <w:r>
        <w:rPr/>
        <w:t>Twelfth Night disguise themselves as men to gain safety and freedom. Under</w:t>
      </w:r>
      <w:r>
        <w:rPr>
          <w:spacing w:val="40"/>
        </w:rPr>
        <w:t> </w:t>
      </w:r>
      <w:r>
        <w:rPr/>
        <w:t>the</w:t>
      </w:r>
      <w:r>
        <w:rPr>
          <w:spacing w:val="-13"/>
        </w:rPr>
        <w:t> </w:t>
      </w:r>
      <w:r>
        <w:rPr/>
        <w:t>disguise</w:t>
      </w:r>
      <w:r>
        <w:rPr>
          <w:spacing w:val="-12"/>
        </w:rPr>
        <w:t> </w:t>
      </w:r>
      <w:r>
        <w:rPr/>
        <w:t>of</w:t>
      </w:r>
      <w:r>
        <w:rPr>
          <w:spacing w:val="-13"/>
        </w:rPr>
        <w:t> </w:t>
      </w:r>
      <w:r>
        <w:rPr/>
        <w:t>men,</w:t>
      </w:r>
      <w:r>
        <w:rPr>
          <w:spacing w:val="-12"/>
        </w:rPr>
        <w:t> </w:t>
      </w:r>
      <w:r>
        <w:rPr/>
        <w:t>they</w:t>
      </w:r>
      <w:r>
        <w:rPr>
          <w:spacing w:val="-13"/>
        </w:rPr>
        <w:t> </w:t>
      </w:r>
      <w:r>
        <w:rPr/>
        <w:t>experience</w:t>
      </w:r>
      <w:r>
        <w:rPr>
          <w:spacing w:val="-9"/>
        </w:rPr>
        <w:t> </w:t>
      </w:r>
      <w:r>
        <w:rPr/>
        <w:t>a</w:t>
      </w:r>
      <w:r>
        <w:rPr>
          <w:spacing w:val="-13"/>
        </w:rPr>
        <w:t> </w:t>
      </w:r>
      <w:r>
        <w:rPr/>
        <w:t>greater</w:t>
      </w:r>
      <w:r>
        <w:rPr>
          <w:spacing w:val="-10"/>
        </w:rPr>
        <w:t> </w:t>
      </w:r>
      <w:r>
        <w:rPr/>
        <w:t>social</w:t>
      </w:r>
      <w:r>
        <w:rPr>
          <w:spacing w:val="-13"/>
        </w:rPr>
        <w:t> </w:t>
      </w:r>
      <w:r>
        <w:rPr/>
        <w:t>power</w:t>
      </w:r>
      <w:r>
        <w:rPr>
          <w:spacing w:val="-9"/>
        </w:rPr>
        <w:t> </w:t>
      </w:r>
      <w:r>
        <w:rPr/>
        <w:t>and</w:t>
      </w:r>
      <w:r>
        <w:rPr>
          <w:spacing w:val="-11"/>
        </w:rPr>
        <w:t> </w:t>
      </w:r>
      <w:r>
        <w:rPr/>
        <w:t>mobility. The ripples of male suspicion can be felt in the play, Othello, Desdemona’s</w:t>
      </w:r>
      <w:r>
        <w:rPr>
          <w:spacing w:val="-8"/>
        </w:rPr>
        <w:t> </w:t>
      </w:r>
      <w:r>
        <w:rPr/>
        <w:t>voice</w:t>
      </w:r>
      <w:r>
        <w:rPr>
          <w:spacing w:val="-5"/>
        </w:rPr>
        <w:t> </w:t>
      </w:r>
      <w:r>
        <w:rPr/>
        <w:t>is</w:t>
      </w:r>
      <w:r>
        <w:rPr>
          <w:spacing w:val="-6"/>
        </w:rPr>
        <w:t> </w:t>
      </w:r>
      <w:r>
        <w:rPr/>
        <w:t>ignored</w:t>
      </w:r>
      <w:r>
        <w:rPr>
          <w:spacing w:val="-6"/>
        </w:rPr>
        <w:t> </w:t>
      </w:r>
      <w:r>
        <w:rPr/>
        <w:t>and</w:t>
      </w:r>
      <w:r>
        <w:rPr>
          <w:spacing w:val="-3"/>
        </w:rPr>
        <w:t> </w:t>
      </w:r>
      <w:r>
        <w:rPr/>
        <w:t>her</w:t>
      </w:r>
      <w:r>
        <w:rPr>
          <w:spacing w:val="-6"/>
        </w:rPr>
        <w:t> </w:t>
      </w:r>
      <w:r>
        <w:rPr/>
        <w:t>resistance</w:t>
      </w:r>
      <w:r>
        <w:rPr>
          <w:spacing w:val="-8"/>
        </w:rPr>
        <w:t> </w:t>
      </w:r>
      <w:r>
        <w:rPr/>
        <w:t>to</w:t>
      </w:r>
      <w:r>
        <w:rPr>
          <w:spacing w:val="-3"/>
        </w:rPr>
        <w:t> </w:t>
      </w:r>
      <w:r>
        <w:rPr/>
        <w:t>sexual</w:t>
      </w:r>
      <w:r>
        <w:rPr>
          <w:spacing w:val="-7"/>
        </w:rPr>
        <w:t> </w:t>
      </w:r>
      <w:r>
        <w:rPr/>
        <w:t>manipulation </w:t>
      </w:r>
      <w:r>
        <w:rPr>
          <w:spacing w:val="-2"/>
        </w:rPr>
        <w:t>is</w:t>
      </w:r>
      <w:r>
        <w:rPr>
          <w:spacing w:val="-4"/>
        </w:rPr>
        <w:t> </w:t>
      </w:r>
      <w:r>
        <w:rPr>
          <w:spacing w:val="-2"/>
        </w:rPr>
        <w:t>overridden. Finally, Desdemona</w:t>
      </w:r>
      <w:r>
        <w:rPr>
          <w:spacing w:val="-3"/>
        </w:rPr>
        <w:t> </w:t>
      </w:r>
      <w:r>
        <w:rPr>
          <w:spacing w:val="-2"/>
        </w:rPr>
        <w:t>is mistrusted and ultimately</w:t>
      </w:r>
      <w:r>
        <w:rPr>
          <w:spacing w:val="-7"/>
        </w:rPr>
        <w:t> </w:t>
      </w:r>
      <w:r>
        <w:rPr>
          <w:spacing w:val="-2"/>
        </w:rPr>
        <w:t>killed due </w:t>
      </w:r>
      <w:r>
        <w:rPr/>
        <w:t>to male jealousy.</w:t>
      </w:r>
    </w:p>
    <w:p>
      <w:pPr>
        <w:pStyle w:val="BodyText"/>
        <w:spacing w:line="249" w:lineRule="auto" w:before="65"/>
        <w:ind w:right="1440" w:firstLine="432"/>
        <w:jc w:val="both"/>
      </w:pPr>
      <w:r>
        <w:rPr/>
        <w:t>In the novel, The Merchant of Venice, Portia uses disguise of a man. Only then the court allows her and</w:t>
      </w:r>
      <w:r>
        <w:rPr>
          <w:spacing w:val="23"/>
        </w:rPr>
        <w:t> </w:t>
      </w:r>
      <w:r>
        <w:rPr/>
        <w:t>she is able to outwit men in</w:t>
      </w:r>
      <w:r>
        <w:rPr>
          <w:spacing w:val="40"/>
        </w:rPr>
        <w:t> </w:t>
      </w:r>
      <w:r>
        <w:rPr/>
        <w:t>the</w:t>
      </w:r>
      <w:r>
        <w:rPr>
          <w:spacing w:val="40"/>
        </w:rPr>
        <w:t> </w:t>
      </w:r>
      <w:r>
        <w:rPr/>
        <w:t>court.</w:t>
      </w:r>
    </w:p>
    <w:p>
      <w:pPr>
        <w:pStyle w:val="BodyText"/>
        <w:spacing w:line="249" w:lineRule="auto" w:before="61"/>
        <w:ind w:right="1439" w:firstLine="432"/>
        <w:jc w:val="both"/>
      </w:pPr>
      <w:r>
        <w:rPr/>
        <w:t>Today</w:t>
      </w:r>
      <w:r>
        <w:rPr>
          <w:spacing w:val="-5"/>
        </w:rPr>
        <w:t> </w:t>
      </w:r>
      <w:r>
        <w:rPr/>
        <w:t>after so many</w:t>
      </w:r>
      <w:r>
        <w:rPr>
          <w:spacing w:val="-3"/>
        </w:rPr>
        <w:t> </w:t>
      </w:r>
      <w:r>
        <w:rPr/>
        <w:t>protests,</w:t>
      </w:r>
      <w:r>
        <w:rPr>
          <w:spacing w:val="-1"/>
        </w:rPr>
        <w:t> </w:t>
      </w:r>
      <w:r>
        <w:rPr/>
        <w:t>after many</w:t>
      </w:r>
      <w:r>
        <w:rPr>
          <w:spacing w:val="-3"/>
        </w:rPr>
        <w:t> </w:t>
      </w:r>
      <w:r>
        <w:rPr/>
        <w:t>feminist</w:t>
      </w:r>
      <w:r>
        <w:rPr>
          <w:spacing w:val="-1"/>
        </w:rPr>
        <w:t> </w:t>
      </w:r>
      <w:r>
        <w:rPr/>
        <w:t>movements</w:t>
      </w:r>
      <w:r>
        <w:rPr>
          <w:spacing w:val="-1"/>
        </w:rPr>
        <w:t> </w:t>
      </w:r>
      <w:r>
        <w:rPr/>
        <w:t>and after</w:t>
      </w:r>
      <w:r>
        <w:rPr>
          <w:spacing w:val="47"/>
        </w:rPr>
        <w:t> </w:t>
      </w:r>
      <w:r>
        <w:rPr/>
        <w:t>many</w:t>
      </w:r>
      <w:r>
        <w:rPr>
          <w:spacing w:val="44"/>
        </w:rPr>
        <w:t> </w:t>
      </w:r>
      <w:r>
        <w:rPr/>
        <w:t>changes</w:t>
      </w:r>
      <w:r>
        <w:rPr>
          <w:spacing w:val="46"/>
        </w:rPr>
        <w:t> </w:t>
      </w:r>
      <w:r>
        <w:rPr/>
        <w:t>Indian</w:t>
      </w:r>
      <w:r>
        <w:rPr>
          <w:spacing w:val="46"/>
        </w:rPr>
        <w:t> </w:t>
      </w:r>
      <w:r>
        <w:rPr/>
        <w:t>and</w:t>
      </w:r>
      <w:r>
        <w:rPr>
          <w:spacing w:val="48"/>
        </w:rPr>
        <w:t> </w:t>
      </w:r>
      <w:r>
        <w:rPr/>
        <w:t>in</w:t>
      </w:r>
      <w:r>
        <w:rPr>
          <w:spacing w:val="46"/>
        </w:rPr>
        <w:t> </w:t>
      </w:r>
      <w:r>
        <w:rPr/>
        <w:t>many</w:t>
      </w:r>
      <w:r>
        <w:rPr>
          <w:spacing w:val="46"/>
        </w:rPr>
        <w:t> </w:t>
      </w:r>
      <w:r>
        <w:rPr/>
        <w:t>countries,</w:t>
      </w:r>
      <w:r>
        <w:rPr>
          <w:spacing w:val="50"/>
        </w:rPr>
        <w:t> </w:t>
      </w:r>
      <w:r>
        <w:rPr/>
        <w:t>laws</w:t>
      </w:r>
      <w:r>
        <w:rPr>
          <w:spacing w:val="46"/>
        </w:rPr>
        <w:t> </w:t>
      </w:r>
      <w:r>
        <w:rPr/>
        <w:t>have</w:t>
      </w:r>
      <w:r>
        <w:rPr>
          <w:spacing w:val="47"/>
        </w:rPr>
        <w:t> </w:t>
      </w:r>
      <w:r>
        <w:rPr>
          <w:spacing w:val="-4"/>
        </w:rPr>
        <w:t>been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90432">
                <wp:simplePos x="0" y="0"/>
                <wp:positionH relativeFrom="page">
                  <wp:posOffset>2057400</wp:posOffset>
                </wp:positionH>
                <wp:positionV relativeFrom="paragraph">
                  <wp:posOffset>162604</wp:posOffset>
                </wp:positionV>
                <wp:extent cx="3657600" cy="12700"/>
                <wp:effectExtent l="0" t="0" r="0" b="0"/>
                <wp:wrapTopAndBottom/>
                <wp:docPr id="807" name="Graphic 807"/>
                <wp:cNvGraphicFramePr>
                  <a:graphicFrameLocks/>
                </wp:cNvGraphicFramePr>
                <a:graphic>
                  <a:graphicData uri="http://schemas.microsoft.com/office/word/2010/wordprocessingShape">
                    <wps:wsp>
                      <wps:cNvPr id="807" name="Graphic 80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26048;mso-wrap-distance-left:0;mso-wrap-distance-right:0" id="docshape799" filled="true" fillcolor="#000000" stroked="false">
                <v:fill type="solid"/>
                <w10:wrap type="topAndBottom"/>
              </v:rect>
            </w:pict>
          </mc:Fallback>
        </mc:AlternateContent>
      </w:r>
      <w:r>
        <w:rPr>
          <w:rFonts w:ascii="Verdana"/>
          <w:spacing w:val="-5"/>
          <w:sz w:val="18"/>
        </w:rPr>
        <w:t>414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enacted</w:t>
      </w:r>
      <w:r>
        <w:rPr>
          <w:spacing w:val="-5"/>
        </w:rPr>
        <w:t> </w:t>
      </w:r>
      <w:r>
        <w:rPr/>
        <w:t>in</w:t>
      </w:r>
      <w:r>
        <w:rPr>
          <w:spacing w:val="-5"/>
        </w:rPr>
        <w:t> </w:t>
      </w:r>
      <w:r>
        <w:rPr/>
        <w:t>favour</w:t>
      </w:r>
      <w:r>
        <w:rPr>
          <w:spacing w:val="-5"/>
        </w:rPr>
        <w:t> </w:t>
      </w:r>
      <w:r>
        <w:rPr/>
        <w:t>of</w:t>
      </w:r>
      <w:r>
        <w:rPr>
          <w:spacing w:val="-7"/>
        </w:rPr>
        <w:t> </w:t>
      </w:r>
      <w:r>
        <w:rPr/>
        <w:t>women</w:t>
      </w:r>
      <w:r>
        <w:rPr>
          <w:spacing w:val="-7"/>
        </w:rPr>
        <w:t> </w:t>
      </w:r>
      <w:r>
        <w:rPr/>
        <w:t>across</w:t>
      </w:r>
      <w:r>
        <w:rPr>
          <w:spacing w:val="-5"/>
        </w:rPr>
        <w:t> </w:t>
      </w:r>
      <w:r>
        <w:rPr/>
        <w:t>caste</w:t>
      </w:r>
      <w:r>
        <w:rPr>
          <w:spacing w:val="-5"/>
        </w:rPr>
        <w:t> </w:t>
      </w:r>
      <w:r>
        <w:rPr/>
        <w:t>race</w:t>
      </w:r>
      <w:r>
        <w:rPr>
          <w:spacing w:val="-6"/>
        </w:rPr>
        <w:t> </w:t>
      </w:r>
      <w:r>
        <w:rPr/>
        <w:t>and</w:t>
      </w:r>
      <w:r>
        <w:rPr>
          <w:spacing w:val="-2"/>
        </w:rPr>
        <w:t> </w:t>
      </w:r>
      <w:r>
        <w:rPr/>
        <w:t>colour,</w:t>
      </w:r>
      <w:r>
        <w:rPr>
          <w:spacing w:val="-5"/>
        </w:rPr>
        <w:t> </w:t>
      </w:r>
      <w:r>
        <w:rPr/>
        <w:t>Shakespeare’s plays remind us that very little has changed in the lives of woman. The </w:t>
      </w:r>
      <w:r>
        <w:rPr>
          <w:spacing w:val="-2"/>
        </w:rPr>
        <w:t>‘Me</w:t>
      </w:r>
      <w:r>
        <w:rPr>
          <w:spacing w:val="-11"/>
        </w:rPr>
        <w:t> </w:t>
      </w:r>
      <w:r>
        <w:rPr>
          <w:spacing w:val="-2"/>
        </w:rPr>
        <w:t>too’</w:t>
      </w:r>
      <w:r>
        <w:rPr>
          <w:spacing w:val="-10"/>
        </w:rPr>
        <w:t> </w:t>
      </w:r>
      <w:r>
        <w:rPr>
          <w:spacing w:val="-2"/>
        </w:rPr>
        <w:t>movement</w:t>
      </w:r>
      <w:r>
        <w:rPr>
          <w:spacing w:val="-11"/>
        </w:rPr>
        <w:t> </w:t>
      </w:r>
      <w:r>
        <w:rPr>
          <w:spacing w:val="-2"/>
        </w:rPr>
        <w:t>was</w:t>
      </w:r>
      <w:r>
        <w:rPr>
          <w:spacing w:val="-6"/>
        </w:rPr>
        <w:t> </w:t>
      </w:r>
      <w:r>
        <w:rPr>
          <w:spacing w:val="-2"/>
        </w:rPr>
        <w:t>started in 2006</w:t>
      </w:r>
      <w:r>
        <w:rPr>
          <w:spacing w:val="-4"/>
        </w:rPr>
        <w:t> </w:t>
      </w:r>
      <w:r>
        <w:rPr>
          <w:spacing w:val="-2"/>
        </w:rPr>
        <w:t>by</w:t>
      </w:r>
      <w:r>
        <w:rPr>
          <w:spacing w:val="-11"/>
        </w:rPr>
        <w:t> </w:t>
      </w:r>
      <w:r>
        <w:rPr>
          <w:spacing w:val="-2"/>
        </w:rPr>
        <w:t>Tarana Burke.</w:t>
      </w:r>
      <w:r>
        <w:rPr>
          <w:spacing w:val="-6"/>
        </w:rPr>
        <w:t> </w:t>
      </w:r>
      <w:r>
        <w:rPr>
          <w:spacing w:val="-2"/>
        </w:rPr>
        <w:t>The</w:t>
      </w:r>
      <w:r>
        <w:rPr>
          <w:spacing w:val="-4"/>
        </w:rPr>
        <w:t> </w:t>
      </w:r>
      <w:r>
        <w:rPr>
          <w:spacing w:val="-2"/>
        </w:rPr>
        <w:t>movement </w:t>
      </w:r>
      <w:r>
        <w:rPr/>
        <w:t>became very popular and a global movement in 2017. On social media when Alyssa Milano posted a tweet encouraging people who had experienced sexual harassment to reply with ‘Me too’ on the tweet exposing</w:t>
      </w:r>
      <w:r>
        <w:rPr>
          <w:spacing w:val="-13"/>
        </w:rPr>
        <w:t> </w:t>
      </w:r>
      <w:r>
        <w:rPr/>
        <w:t>the</w:t>
      </w:r>
      <w:r>
        <w:rPr>
          <w:spacing w:val="-12"/>
        </w:rPr>
        <w:t> </w:t>
      </w:r>
      <w:r>
        <w:rPr/>
        <w:t>perpetrators</w:t>
      </w:r>
      <w:r>
        <w:rPr>
          <w:spacing w:val="-13"/>
        </w:rPr>
        <w:t> </w:t>
      </w:r>
      <w:r>
        <w:rPr/>
        <w:t>involved</w:t>
      </w:r>
      <w:r>
        <w:rPr>
          <w:spacing w:val="-12"/>
        </w:rPr>
        <w:t> </w:t>
      </w:r>
      <w:r>
        <w:rPr/>
        <w:t>in</w:t>
      </w:r>
      <w:r>
        <w:rPr>
          <w:spacing w:val="-13"/>
        </w:rPr>
        <w:t> </w:t>
      </w:r>
      <w:r>
        <w:rPr/>
        <w:t>sexual</w:t>
      </w:r>
      <w:r>
        <w:rPr>
          <w:spacing w:val="-12"/>
        </w:rPr>
        <w:t> </w:t>
      </w:r>
      <w:r>
        <w:rPr/>
        <w:t>harassment</w:t>
      </w:r>
      <w:r>
        <w:rPr>
          <w:spacing w:val="-13"/>
        </w:rPr>
        <w:t> </w:t>
      </w:r>
      <w:r>
        <w:rPr/>
        <w:t>and</w:t>
      </w:r>
      <w:r>
        <w:rPr>
          <w:spacing w:val="-12"/>
        </w:rPr>
        <w:t> </w:t>
      </w:r>
      <w:r>
        <w:rPr/>
        <w:t>from</w:t>
      </w:r>
      <w:r>
        <w:rPr>
          <w:spacing w:val="-13"/>
        </w:rPr>
        <w:t> </w:t>
      </w:r>
      <w:r>
        <w:rPr/>
        <w:t>further exploitation.</w:t>
      </w:r>
      <w:r>
        <w:rPr>
          <w:spacing w:val="-11"/>
        </w:rPr>
        <w:t> </w:t>
      </w:r>
      <w:r>
        <w:rPr/>
        <w:t>It</w:t>
      </w:r>
      <w:r>
        <w:rPr>
          <w:spacing w:val="-9"/>
        </w:rPr>
        <w:t> </w:t>
      </w:r>
      <w:r>
        <w:rPr/>
        <w:t>was</w:t>
      </w:r>
      <w:r>
        <w:rPr>
          <w:spacing w:val="-13"/>
        </w:rPr>
        <w:t> </w:t>
      </w:r>
      <w:r>
        <w:rPr/>
        <w:t>found</w:t>
      </w:r>
      <w:r>
        <w:rPr>
          <w:spacing w:val="-7"/>
        </w:rPr>
        <w:t> </w:t>
      </w:r>
      <w:r>
        <w:rPr/>
        <w:t>that</w:t>
      </w:r>
      <w:r>
        <w:rPr>
          <w:spacing w:val="-11"/>
        </w:rPr>
        <w:t> </w:t>
      </w:r>
      <w:r>
        <w:rPr/>
        <w:t>victims</w:t>
      </w:r>
      <w:r>
        <w:rPr>
          <w:spacing w:val="-13"/>
        </w:rPr>
        <w:t> </w:t>
      </w:r>
      <w:r>
        <w:rPr/>
        <w:t>were</w:t>
      </w:r>
      <w:r>
        <w:rPr>
          <w:spacing w:val="-8"/>
        </w:rPr>
        <w:t> </w:t>
      </w:r>
      <w:r>
        <w:rPr/>
        <w:t>silent</w:t>
      </w:r>
      <w:r>
        <w:rPr>
          <w:spacing w:val="-11"/>
        </w:rPr>
        <w:t> </w:t>
      </w:r>
      <w:r>
        <w:rPr/>
        <w:t>and</w:t>
      </w:r>
      <w:r>
        <w:rPr>
          <w:spacing w:val="-7"/>
        </w:rPr>
        <w:t> </w:t>
      </w:r>
      <w:r>
        <w:rPr/>
        <w:t>feared</w:t>
      </w:r>
      <w:r>
        <w:rPr>
          <w:spacing w:val="-11"/>
        </w:rPr>
        <w:t> </w:t>
      </w:r>
      <w:r>
        <w:rPr/>
        <w:t>even</w:t>
      </w:r>
      <w:r>
        <w:rPr>
          <w:spacing w:val="-11"/>
        </w:rPr>
        <w:t> </w:t>
      </w:r>
      <w:r>
        <w:rPr/>
        <w:t>to</w:t>
      </w:r>
      <w:r>
        <w:rPr>
          <w:spacing w:val="-9"/>
        </w:rPr>
        <w:t> </w:t>
      </w:r>
      <w:r>
        <w:rPr/>
        <w:t>talk about sexual harassment and assault at work places. It was more out of shame and fear of being ostracized by the society. This one weakness became more of a ploy by the perpetrators to escape and from being bought to justice. The ‘Me Too’</w:t>
      </w:r>
      <w:r>
        <w:rPr>
          <w:spacing w:val="-3"/>
        </w:rPr>
        <w:t> </w:t>
      </w:r>
      <w:r>
        <w:rPr/>
        <w:t>movement bought together victims of sexual assault of past and present to expose the perpetrators. The Epstein files are another example of the horrors of sexual assault on even children by people holding high offices. Bill Clinton, Donald trump,</w:t>
      </w:r>
      <w:r>
        <w:rPr>
          <w:spacing w:val="-13"/>
        </w:rPr>
        <w:t> </w:t>
      </w:r>
      <w:r>
        <w:rPr/>
        <w:t>Bill</w:t>
      </w:r>
      <w:r>
        <w:rPr>
          <w:spacing w:val="-12"/>
        </w:rPr>
        <w:t> </w:t>
      </w:r>
      <w:r>
        <w:rPr/>
        <w:t>gates</w:t>
      </w:r>
      <w:r>
        <w:rPr>
          <w:spacing w:val="-13"/>
        </w:rPr>
        <w:t> </w:t>
      </w:r>
      <w:r>
        <w:rPr/>
        <w:t>are</w:t>
      </w:r>
      <w:r>
        <w:rPr>
          <w:spacing w:val="-12"/>
        </w:rPr>
        <w:t> </w:t>
      </w:r>
      <w:r>
        <w:rPr/>
        <w:t>only</w:t>
      </w:r>
      <w:r>
        <w:rPr>
          <w:spacing w:val="-13"/>
        </w:rPr>
        <w:t> </w:t>
      </w:r>
      <w:r>
        <w:rPr/>
        <w:t>a</w:t>
      </w:r>
      <w:r>
        <w:rPr>
          <w:spacing w:val="-12"/>
        </w:rPr>
        <w:t> </w:t>
      </w:r>
      <w:r>
        <w:rPr/>
        <w:t>few</w:t>
      </w:r>
      <w:r>
        <w:rPr>
          <w:spacing w:val="-13"/>
        </w:rPr>
        <w:t> </w:t>
      </w:r>
      <w:r>
        <w:rPr/>
        <w:t>names</w:t>
      </w:r>
      <w:r>
        <w:rPr>
          <w:spacing w:val="-12"/>
        </w:rPr>
        <w:t> </w:t>
      </w:r>
      <w:r>
        <w:rPr/>
        <w:t>that</w:t>
      </w:r>
      <w:r>
        <w:rPr>
          <w:spacing w:val="-13"/>
        </w:rPr>
        <w:t> </w:t>
      </w:r>
      <w:r>
        <w:rPr/>
        <w:t>were</w:t>
      </w:r>
      <w:r>
        <w:rPr>
          <w:spacing w:val="-12"/>
        </w:rPr>
        <w:t> </w:t>
      </w:r>
      <w:r>
        <w:rPr/>
        <w:t>exposed</w:t>
      </w:r>
      <w:r>
        <w:rPr>
          <w:spacing w:val="-12"/>
        </w:rPr>
        <w:t> </w:t>
      </w:r>
      <w:r>
        <w:rPr/>
        <w:t>in</w:t>
      </w:r>
      <w:r>
        <w:rPr>
          <w:spacing w:val="-12"/>
        </w:rPr>
        <w:t> </w:t>
      </w:r>
      <w:r>
        <w:rPr/>
        <w:t>Epstein</w:t>
      </w:r>
      <w:r>
        <w:rPr>
          <w:spacing w:val="-13"/>
        </w:rPr>
        <w:t> </w:t>
      </w:r>
      <w:r>
        <w:rPr>
          <w:spacing w:val="-2"/>
        </w:rPr>
        <w:t>files.</w:t>
      </w:r>
    </w:p>
    <w:p>
      <w:pPr>
        <w:pStyle w:val="Heading3"/>
        <w:spacing w:before="167"/>
      </w:pPr>
      <w:r>
        <w:rPr>
          <w:spacing w:val="-2"/>
        </w:rPr>
        <w:t>CONCLUSION:</w:t>
      </w:r>
    </w:p>
    <w:p>
      <w:pPr>
        <w:pStyle w:val="BodyText"/>
        <w:spacing w:line="249" w:lineRule="auto" w:before="75"/>
        <w:ind w:right="1437" w:firstLine="432"/>
        <w:jc w:val="both"/>
      </w:pPr>
      <w:r>
        <w:rPr/>
        <w:t>Was</w:t>
      </w:r>
      <w:r>
        <w:rPr>
          <w:spacing w:val="-1"/>
        </w:rPr>
        <w:t> </w:t>
      </w:r>
      <w:r>
        <w:rPr/>
        <w:t>Shakespeare a feminist. The answer is yes and no.</w:t>
      </w:r>
      <w:r>
        <w:rPr>
          <w:spacing w:val="-1"/>
        </w:rPr>
        <w:t> </w:t>
      </w:r>
      <w:r>
        <w:rPr/>
        <w:t>The many plays of Shakespeare try to explore the seriousness of patriarchy in the society.</w:t>
      </w:r>
      <w:r>
        <w:rPr>
          <w:spacing w:val="-9"/>
        </w:rPr>
        <w:t> </w:t>
      </w:r>
      <w:r>
        <w:rPr/>
        <w:t>The</w:t>
      </w:r>
      <w:r>
        <w:rPr>
          <w:spacing w:val="-10"/>
        </w:rPr>
        <w:t> </w:t>
      </w:r>
      <w:r>
        <w:rPr/>
        <w:t>female</w:t>
      </w:r>
      <w:r>
        <w:rPr>
          <w:spacing w:val="-9"/>
        </w:rPr>
        <w:t> </w:t>
      </w:r>
      <w:r>
        <w:rPr/>
        <w:t>characters</w:t>
      </w:r>
      <w:r>
        <w:rPr>
          <w:spacing w:val="-9"/>
        </w:rPr>
        <w:t> </w:t>
      </w:r>
      <w:r>
        <w:rPr/>
        <w:t>in</w:t>
      </w:r>
      <w:r>
        <w:rPr>
          <w:spacing w:val="-13"/>
        </w:rPr>
        <w:t> </w:t>
      </w:r>
      <w:r>
        <w:rPr/>
        <w:t>his</w:t>
      </w:r>
      <w:r>
        <w:rPr>
          <w:spacing w:val="-9"/>
        </w:rPr>
        <w:t> </w:t>
      </w:r>
      <w:r>
        <w:rPr/>
        <w:t>various</w:t>
      </w:r>
      <w:r>
        <w:rPr>
          <w:spacing w:val="-11"/>
        </w:rPr>
        <w:t> </w:t>
      </w:r>
      <w:r>
        <w:rPr/>
        <w:t>play</w:t>
      </w:r>
      <w:r>
        <w:rPr>
          <w:spacing w:val="-13"/>
        </w:rPr>
        <w:t> </w:t>
      </w:r>
      <w:r>
        <w:rPr/>
        <w:t>resist</w:t>
      </w:r>
      <w:r>
        <w:rPr>
          <w:spacing w:val="-11"/>
        </w:rPr>
        <w:t> </w:t>
      </w:r>
      <w:r>
        <w:rPr/>
        <w:t>patriarchy.</w:t>
      </w:r>
      <w:r>
        <w:rPr>
          <w:spacing w:val="-8"/>
        </w:rPr>
        <w:t> </w:t>
      </w:r>
      <w:r>
        <w:rPr/>
        <w:t>Juliet in the novel Romeo and Juliet, and Hermia in, A Midsummer Night’s Dream risk death and banishment to choose their own partners. They defied death in making individual choices. The role of the women characters in Shakespeare’s plays is a movement in itself, if not to the scale of the, ‘Me Too’ movement of our times. To speak against the monarchy or to rival the law was too perilous for the times. Yet Shakespeare’s in his plays uses wit, comic structure, disguise and irony to</w:t>
      </w:r>
      <w:r>
        <w:rPr>
          <w:spacing w:val="-13"/>
        </w:rPr>
        <w:t> </w:t>
      </w:r>
      <w:r>
        <w:rPr/>
        <w:t>expose</w:t>
      </w:r>
      <w:r>
        <w:rPr>
          <w:spacing w:val="-12"/>
        </w:rPr>
        <w:t> </w:t>
      </w:r>
      <w:r>
        <w:rPr/>
        <w:t>and</w:t>
      </w:r>
      <w:r>
        <w:rPr>
          <w:spacing w:val="-13"/>
        </w:rPr>
        <w:t> </w:t>
      </w:r>
      <w:r>
        <w:rPr/>
        <w:t>sometimes</w:t>
      </w:r>
      <w:r>
        <w:rPr>
          <w:spacing w:val="-12"/>
        </w:rPr>
        <w:t> </w:t>
      </w:r>
      <w:r>
        <w:rPr/>
        <w:t>to</w:t>
      </w:r>
      <w:r>
        <w:rPr>
          <w:spacing w:val="-13"/>
        </w:rPr>
        <w:t> </w:t>
      </w:r>
      <w:r>
        <w:rPr/>
        <w:t>undermine</w:t>
      </w:r>
      <w:r>
        <w:rPr>
          <w:spacing w:val="-12"/>
        </w:rPr>
        <w:t> </w:t>
      </w:r>
      <w:r>
        <w:rPr/>
        <w:t>rigid</w:t>
      </w:r>
      <w:r>
        <w:rPr>
          <w:spacing w:val="-13"/>
        </w:rPr>
        <w:t> </w:t>
      </w:r>
      <w:r>
        <w:rPr/>
        <w:t>ideas</w:t>
      </w:r>
      <w:r>
        <w:rPr>
          <w:spacing w:val="-12"/>
        </w:rPr>
        <w:t> </w:t>
      </w:r>
      <w:r>
        <w:rPr/>
        <w:t>about</w:t>
      </w:r>
      <w:r>
        <w:rPr>
          <w:spacing w:val="-13"/>
        </w:rPr>
        <w:t> </w:t>
      </w:r>
      <w:r>
        <w:rPr/>
        <w:t>women,</w:t>
      </w:r>
      <w:r>
        <w:rPr>
          <w:spacing w:val="-12"/>
        </w:rPr>
        <w:t> </w:t>
      </w:r>
      <w:r>
        <w:rPr/>
        <w:t>chastity and gender roles. The women characters are allowed to perform within the patriarchal systems and at the same time exposing the flaws. Shakespeare’s plays are very popular and the plays have been staged across the globe. The different women characters are debated across</w:t>
      </w:r>
      <w:r>
        <w:rPr>
          <w:spacing w:val="80"/>
        </w:rPr>
        <w:t> </w:t>
      </w:r>
      <w:r>
        <w:rPr/>
        <w:t>the</w:t>
      </w:r>
      <w:r>
        <w:rPr>
          <w:spacing w:val="-13"/>
        </w:rPr>
        <w:t> </w:t>
      </w:r>
      <w:r>
        <w:rPr/>
        <w:t>globe</w:t>
      </w:r>
      <w:r>
        <w:rPr>
          <w:spacing w:val="-12"/>
        </w:rPr>
        <w:t> </w:t>
      </w:r>
      <w:r>
        <w:rPr/>
        <w:t>for</w:t>
      </w:r>
      <w:r>
        <w:rPr>
          <w:spacing w:val="-13"/>
        </w:rPr>
        <w:t> </w:t>
      </w:r>
      <w:r>
        <w:rPr/>
        <w:t>their</w:t>
      </w:r>
      <w:r>
        <w:rPr>
          <w:spacing w:val="-12"/>
        </w:rPr>
        <w:t> </w:t>
      </w:r>
      <w:r>
        <w:rPr/>
        <w:t>resistance</w:t>
      </w:r>
      <w:r>
        <w:rPr>
          <w:spacing w:val="-13"/>
        </w:rPr>
        <w:t> </w:t>
      </w:r>
      <w:r>
        <w:rPr/>
        <w:t>to</w:t>
      </w:r>
      <w:r>
        <w:rPr>
          <w:spacing w:val="-12"/>
        </w:rPr>
        <w:t> </w:t>
      </w:r>
      <w:r>
        <w:rPr/>
        <w:t>patriarchy,</w:t>
      </w:r>
      <w:r>
        <w:rPr>
          <w:spacing w:val="-13"/>
        </w:rPr>
        <w:t> </w:t>
      </w:r>
      <w:r>
        <w:rPr/>
        <w:t>exposing</w:t>
      </w:r>
      <w:r>
        <w:rPr>
          <w:spacing w:val="-12"/>
        </w:rPr>
        <w:t> </w:t>
      </w:r>
      <w:r>
        <w:rPr/>
        <w:t>the</w:t>
      </w:r>
      <w:r>
        <w:rPr>
          <w:spacing w:val="-13"/>
        </w:rPr>
        <w:t> </w:t>
      </w:r>
      <w:r>
        <w:rPr/>
        <w:t>double</w:t>
      </w:r>
      <w:r>
        <w:rPr>
          <w:spacing w:val="-12"/>
        </w:rPr>
        <w:t> </w:t>
      </w:r>
      <w:r>
        <w:rPr/>
        <w:t>standards of chastity and the biased laws prevailing during the times. The Laws either banished the women or punished them to death. The study concludes that there is enough evidence that patriarchy dominated the societies of Shakespeare’s times and period. Shakespeare is successful in exposing the ills of his society through Drama. His books are still popular</w:t>
      </w:r>
      <w:r>
        <w:rPr>
          <w:spacing w:val="31"/>
        </w:rPr>
        <w:t> </w:t>
      </w:r>
      <w:r>
        <w:rPr/>
        <w:t>among</w:t>
      </w:r>
      <w:r>
        <w:rPr>
          <w:spacing w:val="30"/>
        </w:rPr>
        <w:t> </w:t>
      </w:r>
      <w:r>
        <w:rPr/>
        <w:t>the</w:t>
      </w:r>
      <w:r>
        <w:rPr>
          <w:spacing w:val="30"/>
        </w:rPr>
        <w:t> </w:t>
      </w:r>
      <w:r>
        <w:rPr/>
        <w:t>masses</w:t>
      </w:r>
      <w:r>
        <w:rPr>
          <w:spacing w:val="30"/>
        </w:rPr>
        <w:t> </w:t>
      </w:r>
      <w:r>
        <w:rPr/>
        <w:t>and</w:t>
      </w:r>
      <w:r>
        <w:rPr>
          <w:spacing w:val="34"/>
        </w:rPr>
        <w:t> </w:t>
      </w:r>
      <w:r>
        <w:rPr/>
        <w:t>for</w:t>
      </w:r>
      <w:r>
        <w:rPr>
          <w:spacing w:val="33"/>
        </w:rPr>
        <w:t> </w:t>
      </w:r>
      <w:r>
        <w:rPr/>
        <w:t>a</w:t>
      </w:r>
      <w:r>
        <w:rPr>
          <w:spacing w:val="31"/>
        </w:rPr>
        <w:t> </w:t>
      </w:r>
      <w:r>
        <w:rPr/>
        <w:t>period</w:t>
      </w:r>
      <w:r>
        <w:rPr>
          <w:spacing w:val="32"/>
        </w:rPr>
        <w:t> </w:t>
      </w:r>
      <w:r>
        <w:rPr/>
        <w:t>more</w:t>
      </w:r>
      <w:r>
        <w:rPr>
          <w:spacing w:val="30"/>
        </w:rPr>
        <w:t> </w:t>
      </w:r>
      <w:r>
        <w:rPr/>
        <w:t>than</w:t>
      </w:r>
      <w:r>
        <w:rPr>
          <w:spacing w:val="30"/>
        </w:rPr>
        <w:t> </w:t>
      </w:r>
      <w:r>
        <w:rPr/>
        <w:t>four</w:t>
      </w:r>
      <w:r>
        <w:rPr>
          <w:spacing w:val="33"/>
        </w:rPr>
        <w:t> </w:t>
      </w:r>
      <w:r>
        <w:rPr>
          <w:spacing w:val="-2"/>
        </w:rPr>
        <w:t>hundred</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90944">
                <wp:simplePos x="0" y="0"/>
                <wp:positionH relativeFrom="page">
                  <wp:posOffset>2065020</wp:posOffset>
                </wp:positionH>
                <wp:positionV relativeFrom="paragraph">
                  <wp:posOffset>795020</wp:posOffset>
                </wp:positionV>
                <wp:extent cx="3657600" cy="12700"/>
                <wp:effectExtent l="0" t="0" r="0" b="0"/>
                <wp:wrapTopAndBottom/>
                <wp:docPr id="808" name="Graphic 808"/>
                <wp:cNvGraphicFramePr>
                  <a:graphicFrameLocks/>
                </wp:cNvGraphicFramePr>
                <a:graphic>
                  <a:graphicData uri="http://schemas.microsoft.com/office/word/2010/wordprocessingShape">
                    <wps:wsp>
                      <wps:cNvPr id="808" name="Graphic 80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25536;mso-wrap-distance-left:0;mso-wrap-distance-right:0" id="docshape800" filled="true" fillcolor="#000000" stroked="false">
                <v:fill type="solid"/>
                <w10:wrap type="topAndBottom"/>
              </v:rect>
            </w:pict>
          </mc:Fallback>
        </mc:AlternateContent>
      </w:r>
      <w:r>
        <w:rPr>
          <w:rFonts w:ascii="Verdana" w:hAnsi="Verdana"/>
          <w:sz w:val="18"/>
        </w:rPr>
        <w:t>Gender,</w:t>
      </w:r>
      <w:r>
        <w:rPr>
          <w:rFonts w:ascii="Verdana" w:hAnsi="Verdana"/>
          <w:spacing w:val="-4"/>
          <w:sz w:val="18"/>
        </w:rPr>
        <w:t> </w:t>
      </w:r>
      <w:r>
        <w:rPr>
          <w:rFonts w:ascii="Verdana" w:hAnsi="Verdana"/>
          <w:sz w:val="18"/>
        </w:rPr>
        <w:t>Power,</w:t>
      </w:r>
      <w:r>
        <w:rPr>
          <w:rFonts w:ascii="Verdana" w:hAnsi="Verdana"/>
          <w:spacing w:val="-6"/>
          <w:sz w:val="18"/>
        </w:rPr>
        <w:t> </w:t>
      </w:r>
      <w:r>
        <w:rPr>
          <w:rFonts w:ascii="Verdana" w:hAnsi="Verdana"/>
          <w:sz w:val="18"/>
        </w:rPr>
        <w:t>and</w:t>
      </w:r>
      <w:r>
        <w:rPr>
          <w:rFonts w:ascii="Verdana" w:hAnsi="Verdana"/>
          <w:spacing w:val="-3"/>
          <w:sz w:val="18"/>
        </w:rPr>
        <w:t> </w:t>
      </w:r>
      <w:r>
        <w:rPr>
          <w:rFonts w:ascii="Verdana" w:hAnsi="Verdana"/>
          <w:sz w:val="18"/>
        </w:rPr>
        <w:t>Patriarchy</w:t>
      </w:r>
      <w:r>
        <w:rPr>
          <w:rFonts w:ascii="Verdana" w:hAnsi="Verdana"/>
          <w:spacing w:val="-2"/>
          <w:sz w:val="18"/>
        </w:rPr>
        <w:t> </w:t>
      </w:r>
      <w:r>
        <w:rPr>
          <w:rFonts w:ascii="Verdana" w:hAnsi="Verdana"/>
          <w:sz w:val="18"/>
        </w:rPr>
        <w:t>in</w:t>
      </w:r>
      <w:r>
        <w:rPr>
          <w:rFonts w:ascii="Verdana" w:hAnsi="Verdana"/>
          <w:spacing w:val="-3"/>
          <w:sz w:val="18"/>
        </w:rPr>
        <w:t> </w:t>
      </w:r>
      <w:r>
        <w:rPr>
          <w:rFonts w:ascii="Verdana" w:hAnsi="Verdana"/>
          <w:sz w:val="18"/>
        </w:rPr>
        <w:t>Shakespeare’s</w:t>
      </w:r>
      <w:r>
        <w:rPr>
          <w:rFonts w:ascii="Verdana" w:hAnsi="Verdana"/>
          <w:spacing w:val="-2"/>
          <w:sz w:val="18"/>
        </w:rPr>
        <w:t> Plays...</w:t>
      </w:r>
      <w:r>
        <w:rPr>
          <w:sz w:val="18"/>
        </w:rPr>
        <w:tab/>
      </w:r>
      <w:r>
        <w:rPr>
          <w:rFonts w:ascii="Verdana" w:hAnsi="Verdana"/>
          <w:spacing w:val="-5"/>
          <w:sz w:val="18"/>
        </w:rPr>
        <w:t>415</w:t>
      </w:r>
    </w:p>
    <w:p>
      <w:pPr>
        <w:pStyle w:val="BodyText"/>
        <w:spacing w:line="249" w:lineRule="auto" w:before="192"/>
        <w:ind w:right="1441"/>
        <w:jc w:val="both"/>
      </w:pPr>
      <w:r>
        <w:rPr/>
        <w:t>years, have been educating the masses of patriarchy and its double standards.</w:t>
      </w:r>
      <w:r>
        <w:rPr>
          <w:spacing w:val="-1"/>
        </w:rPr>
        <w:t> </w:t>
      </w:r>
      <w:r>
        <w:rPr/>
        <w:t>And the seed has grown over the years, and have flourished </w:t>
      </w:r>
      <w:r>
        <w:rPr>
          <w:spacing w:val="-2"/>
        </w:rPr>
        <w:t>into</w:t>
      </w:r>
      <w:r>
        <w:rPr>
          <w:spacing w:val="-3"/>
        </w:rPr>
        <w:t> </w:t>
      </w:r>
      <w:r>
        <w:rPr>
          <w:spacing w:val="-2"/>
        </w:rPr>
        <w:t>a</w:t>
      </w:r>
      <w:r>
        <w:rPr>
          <w:spacing w:val="-5"/>
        </w:rPr>
        <w:t> </w:t>
      </w:r>
      <w:r>
        <w:rPr>
          <w:spacing w:val="-2"/>
        </w:rPr>
        <w:t>bigger</w:t>
      </w:r>
      <w:r>
        <w:rPr>
          <w:spacing w:val="-5"/>
        </w:rPr>
        <w:t> </w:t>
      </w:r>
      <w:r>
        <w:rPr>
          <w:spacing w:val="-2"/>
        </w:rPr>
        <w:t>mass</w:t>
      </w:r>
      <w:r>
        <w:rPr>
          <w:spacing w:val="-7"/>
        </w:rPr>
        <w:t> </w:t>
      </w:r>
      <w:r>
        <w:rPr>
          <w:spacing w:val="-2"/>
        </w:rPr>
        <w:t>movement</w:t>
      </w:r>
      <w:r>
        <w:rPr>
          <w:spacing w:val="-5"/>
        </w:rPr>
        <w:t> </w:t>
      </w:r>
      <w:r>
        <w:rPr>
          <w:spacing w:val="-2"/>
        </w:rPr>
        <w:t>like</w:t>
      </w:r>
      <w:r>
        <w:rPr>
          <w:spacing w:val="-5"/>
        </w:rPr>
        <w:t> </w:t>
      </w:r>
      <w:r>
        <w:rPr>
          <w:spacing w:val="-2"/>
        </w:rPr>
        <w:t>the</w:t>
      </w:r>
      <w:r>
        <w:rPr>
          <w:spacing w:val="-7"/>
        </w:rPr>
        <w:t> </w:t>
      </w:r>
      <w:r>
        <w:rPr>
          <w:spacing w:val="-2"/>
        </w:rPr>
        <w:t>‘Me</w:t>
      </w:r>
      <w:r>
        <w:rPr>
          <w:spacing w:val="-6"/>
        </w:rPr>
        <w:t> </w:t>
      </w:r>
      <w:r>
        <w:rPr>
          <w:spacing w:val="-2"/>
        </w:rPr>
        <w:t>too’</w:t>
      </w:r>
      <w:r>
        <w:rPr>
          <w:spacing w:val="-7"/>
        </w:rPr>
        <w:t> </w:t>
      </w:r>
      <w:r>
        <w:rPr>
          <w:spacing w:val="-2"/>
        </w:rPr>
        <w:t>movement</w:t>
      </w:r>
      <w:r>
        <w:rPr>
          <w:spacing w:val="-5"/>
        </w:rPr>
        <w:t> </w:t>
      </w:r>
      <w:r>
        <w:rPr>
          <w:spacing w:val="-2"/>
        </w:rPr>
        <w:t>our</w:t>
      </w:r>
      <w:r>
        <w:rPr>
          <w:spacing w:val="-5"/>
        </w:rPr>
        <w:t> </w:t>
      </w:r>
      <w:r>
        <w:rPr>
          <w:spacing w:val="-2"/>
        </w:rPr>
        <w:t>own</w:t>
      </w:r>
      <w:r>
        <w:rPr>
          <w:spacing w:val="-7"/>
        </w:rPr>
        <w:t> </w:t>
      </w:r>
      <w:r>
        <w:rPr>
          <w:spacing w:val="-2"/>
        </w:rPr>
        <w:t>times.</w:t>
      </w:r>
    </w:p>
    <w:p>
      <w:pPr>
        <w:pStyle w:val="BodyText"/>
        <w:spacing w:line="249" w:lineRule="auto" w:before="60"/>
        <w:ind w:right="1438" w:firstLine="432"/>
        <w:jc w:val="both"/>
      </w:pPr>
      <w:r>
        <w:rPr/>
        <w:t>‘Me -Too’</w:t>
      </w:r>
      <w:r>
        <w:rPr>
          <w:spacing w:val="-10"/>
        </w:rPr>
        <w:t> </w:t>
      </w:r>
      <w:r>
        <w:rPr/>
        <w:t>movement of our times exposed the modern women of her</w:t>
      </w:r>
      <w:r>
        <w:rPr>
          <w:spacing w:val="-13"/>
        </w:rPr>
        <w:t> </w:t>
      </w:r>
      <w:r>
        <w:rPr/>
        <w:t>problems</w:t>
      </w:r>
      <w:r>
        <w:rPr>
          <w:spacing w:val="-11"/>
        </w:rPr>
        <w:t> </w:t>
      </w:r>
      <w:r>
        <w:rPr/>
        <w:t>and</w:t>
      </w:r>
      <w:r>
        <w:rPr>
          <w:spacing w:val="-11"/>
        </w:rPr>
        <w:t> </w:t>
      </w:r>
      <w:r>
        <w:rPr/>
        <w:t>turmoil</w:t>
      </w:r>
      <w:r>
        <w:rPr>
          <w:spacing w:val="-11"/>
        </w:rPr>
        <w:t> </w:t>
      </w:r>
      <w:r>
        <w:rPr/>
        <w:t>in</w:t>
      </w:r>
      <w:r>
        <w:rPr>
          <w:spacing w:val="-13"/>
        </w:rPr>
        <w:t> </w:t>
      </w:r>
      <w:r>
        <w:rPr/>
        <w:t>a</w:t>
      </w:r>
      <w:r>
        <w:rPr>
          <w:spacing w:val="-9"/>
        </w:rPr>
        <w:t> </w:t>
      </w:r>
      <w:r>
        <w:rPr/>
        <w:t>male</w:t>
      </w:r>
      <w:r>
        <w:rPr>
          <w:spacing w:val="-12"/>
        </w:rPr>
        <w:t> </w:t>
      </w:r>
      <w:r>
        <w:rPr/>
        <w:t>dominated</w:t>
      </w:r>
      <w:r>
        <w:rPr>
          <w:spacing w:val="-9"/>
        </w:rPr>
        <w:t> </w:t>
      </w:r>
      <w:r>
        <w:rPr/>
        <w:t>society.</w:t>
      </w:r>
      <w:r>
        <w:rPr>
          <w:spacing w:val="-13"/>
        </w:rPr>
        <w:t> </w:t>
      </w:r>
      <w:r>
        <w:rPr/>
        <w:t>The</w:t>
      </w:r>
      <w:r>
        <w:rPr>
          <w:spacing w:val="-9"/>
        </w:rPr>
        <w:t> </w:t>
      </w:r>
      <w:r>
        <w:rPr/>
        <w:t>present</w:t>
      </w:r>
      <w:r>
        <w:rPr>
          <w:spacing w:val="-13"/>
        </w:rPr>
        <w:t> </w:t>
      </w:r>
      <w:r>
        <w:rPr/>
        <w:t>times are</w:t>
      </w:r>
      <w:r>
        <w:rPr>
          <w:spacing w:val="16"/>
        </w:rPr>
        <w:t> </w:t>
      </w:r>
      <w:r>
        <w:rPr/>
        <w:t>no</w:t>
      </w:r>
      <w:r>
        <w:rPr>
          <w:spacing w:val="17"/>
        </w:rPr>
        <w:t> </w:t>
      </w:r>
      <w:r>
        <w:rPr/>
        <w:t>better</w:t>
      </w:r>
      <w:r>
        <w:rPr>
          <w:spacing w:val="16"/>
        </w:rPr>
        <w:t> </w:t>
      </w:r>
      <w:r>
        <w:rPr/>
        <w:t>than</w:t>
      </w:r>
      <w:r>
        <w:rPr>
          <w:spacing w:val="13"/>
        </w:rPr>
        <w:t> </w:t>
      </w:r>
      <w:r>
        <w:rPr/>
        <w:t>the</w:t>
      </w:r>
      <w:r>
        <w:rPr>
          <w:spacing w:val="16"/>
        </w:rPr>
        <w:t> </w:t>
      </w:r>
      <w:r>
        <w:rPr/>
        <w:t>times</w:t>
      </w:r>
      <w:r>
        <w:rPr>
          <w:spacing w:val="13"/>
        </w:rPr>
        <w:t> </w:t>
      </w:r>
      <w:r>
        <w:rPr/>
        <w:t>of</w:t>
      </w:r>
      <w:r>
        <w:rPr>
          <w:spacing w:val="13"/>
        </w:rPr>
        <w:t> </w:t>
      </w:r>
      <w:r>
        <w:rPr/>
        <w:t>Shakespeare.</w:t>
      </w:r>
      <w:r>
        <w:rPr>
          <w:spacing w:val="15"/>
        </w:rPr>
        <w:t> </w:t>
      </w:r>
      <w:r>
        <w:rPr/>
        <w:t>The</w:t>
      </w:r>
      <w:r>
        <w:rPr>
          <w:spacing w:val="15"/>
        </w:rPr>
        <w:t> </w:t>
      </w:r>
      <w:r>
        <w:rPr/>
        <w:t>sex</w:t>
      </w:r>
      <w:r>
        <w:rPr>
          <w:spacing w:val="13"/>
        </w:rPr>
        <w:t> </w:t>
      </w:r>
      <w:r>
        <w:rPr/>
        <w:t>quid</w:t>
      </w:r>
      <w:r>
        <w:rPr>
          <w:spacing w:val="17"/>
        </w:rPr>
        <w:t> </w:t>
      </w:r>
      <w:r>
        <w:rPr/>
        <w:t>pro</w:t>
      </w:r>
      <w:r>
        <w:rPr>
          <w:spacing w:val="17"/>
        </w:rPr>
        <w:t> </w:t>
      </w:r>
      <w:r>
        <w:rPr/>
        <w:t>quo</w:t>
      </w:r>
      <w:r>
        <w:rPr>
          <w:spacing w:val="17"/>
        </w:rPr>
        <w:t> </w:t>
      </w:r>
      <w:r>
        <w:rPr/>
        <w:t>for a job, sexual harassment at workplace and women victims silence in exposing the perpetrators of sexual violence has been more a vantage</w:t>
      </w:r>
      <w:r>
        <w:rPr>
          <w:spacing w:val="80"/>
        </w:rPr>
        <w:t> </w:t>
      </w:r>
      <w:r>
        <w:rPr/>
        <w:t>to the perpetrators, who escaped punishment. Countries over the years enacted many new laws to curb the menace but all in vain. It’s hard to believe that popular people’s movement like ‘Me</w:t>
      </w:r>
      <w:r>
        <w:rPr>
          <w:spacing w:val="-1"/>
        </w:rPr>
        <w:t> </w:t>
      </w:r>
      <w:r>
        <w:rPr/>
        <w:t>Too’, have the ability to</w:t>
      </w:r>
      <w:r>
        <w:rPr>
          <w:spacing w:val="18"/>
        </w:rPr>
        <w:t> </w:t>
      </w:r>
      <w:r>
        <w:rPr/>
        <w:t>open</w:t>
      </w:r>
      <w:r>
        <w:rPr>
          <w:spacing w:val="18"/>
        </w:rPr>
        <w:t> </w:t>
      </w:r>
      <w:r>
        <w:rPr/>
        <w:t>the eyes of</w:t>
      </w:r>
      <w:r>
        <w:rPr>
          <w:spacing w:val="18"/>
        </w:rPr>
        <w:t> </w:t>
      </w:r>
      <w:r>
        <w:rPr/>
        <w:t>the society in</w:t>
      </w:r>
      <w:r>
        <w:rPr>
          <w:spacing w:val="18"/>
        </w:rPr>
        <w:t> </w:t>
      </w:r>
      <w:r>
        <w:rPr/>
        <w:t>exposing and</w:t>
      </w:r>
      <w:r>
        <w:rPr>
          <w:spacing w:val="18"/>
        </w:rPr>
        <w:t> </w:t>
      </w:r>
      <w:r>
        <w:rPr/>
        <w:t>bring</w:t>
      </w:r>
      <w:r>
        <w:rPr>
          <w:spacing w:val="18"/>
        </w:rPr>
        <w:t> </w:t>
      </w:r>
      <w:r>
        <w:rPr/>
        <w:t>the perpetrators to</w:t>
      </w:r>
      <w:r>
        <w:rPr>
          <w:spacing w:val="40"/>
        </w:rPr>
        <w:t> </w:t>
      </w:r>
      <w:r>
        <w:rPr/>
        <w:t>justice.</w:t>
      </w:r>
    </w:p>
    <w:p>
      <w:pPr>
        <w:pStyle w:val="Heading3"/>
        <w:spacing w:before="162"/>
      </w:pPr>
      <w:r>
        <w:rPr>
          <w:spacing w:val="-2"/>
          <w:w w:val="95"/>
        </w:rPr>
        <w:t>BIBLIOGRAPHY:</w:t>
      </w:r>
    </w:p>
    <w:p>
      <w:pPr>
        <w:pStyle w:val="ListParagraph"/>
        <w:numPr>
          <w:ilvl w:val="0"/>
          <w:numId w:val="85"/>
        </w:numPr>
        <w:tabs>
          <w:tab w:pos="2157" w:val="left" w:leader="none"/>
          <w:tab w:pos="2160" w:val="left" w:leader="none"/>
        </w:tabs>
        <w:spacing w:line="261" w:lineRule="auto" w:before="82" w:after="0"/>
        <w:ind w:left="2160" w:right="1435" w:hanging="315"/>
        <w:jc w:val="both"/>
        <w:rPr>
          <w:sz w:val="19"/>
        </w:rPr>
      </w:pPr>
      <w:r>
        <w:rPr>
          <w:sz w:val="19"/>
        </w:rPr>
        <w:t>William Shakespeare. A Midsummer Night’s Dream. Edited by Barbara Mowat and Paul Werstine, Folger Shakespeare Library, </w:t>
      </w:r>
      <w:r>
        <w:rPr>
          <w:spacing w:val="-2"/>
          <w:sz w:val="19"/>
        </w:rPr>
        <w:t>2011.</w:t>
      </w:r>
    </w:p>
    <w:p>
      <w:pPr>
        <w:pStyle w:val="ListParagraph"/>
        <w:numPr>
          <w:ilvl w:val="0"/>
          <w:numId w:val="85"/>
        </w:numPr>
        <w:tabs>
          <w:tab w:pos="2157" w:val="left" w:leader="none"/>
          <w:tab w:pos="2160" w:val="left" w:leader="none"/>
        </w:tabs>
        <w:spacing w:line="261" w:lineRule="auto" w:before="59" w:after="0"/>
        <w:ind w:left="2160" w:right="1441" w:hanging="315"/>
        <w:jc w:val="both"/>
        <w:rPr>
          <w:sz w:val="19"/>
        </w:rPr>
      </w:pPr>
      <w:r>
        <w:rPr>
          <w:sz w:val="19"/>
        </w:rPr>
        <w:t>William</w:t>
      </w:r>
      <w:r>
        <w:rPr>
          <w:spacing w:val="40"/>
          <w:sz w:val="19"/>
        </w:rPr>
        <w:t> </w:t>
      </w:r>
      <w:r>
        <w:rPr>
          <w:sz w:val="19"/>
        </w:rPr>
        <w:t>Shakespeare.</w:t>
      </w:r>
      <w:r>
        <w:rPr>
          <w:spacing w:val="40"/>
          <w:sz w:val="19"/>
        </w:rPr>
        <w:t> </w:t>
      </w:r>
      <w:r>
        <w:rPr>
          <w:sz w:val="19"/>
        </w:rPr>
        <w:t>Macbeth.</w:t>
      </w:r>
      <w:r>
        <w:rPr>
          <w:spacing w:val="40"/>
          <w:sz w:val="19"/>
        </w:rPr>
        <w:t> </w:t>
      </w:r>
      <w:r>
        <w:rPr>
          <w:sz w:val="19"/>
        </w:rPr>
        <w:t>Edited</w:t>
      </w:r>
      <w:r>
        <w:rPr>
          <w:spacing w:val="40"/>
          <w:sz w:val="19"/>
        </w:rPr>
        <w:t> </w:t>
      </w:r>
      <w:r>
        <w:rPr>
          <w:sz w:val="19"/>
        </w:rPr>
        <w:t>by Barbara A.</w:t>
      </w:r>
      <w:r>
        <w:rPr>
          <w:spacing w:val="40"/>
          <w:sz w:val="19"/>
        </w:rPr>
        <w:t> </w:t>
      </w:r>
      <w:r>
        <w:rPr>
          <w:sz w:val="19"/>
        </w:rPr>
        <w:t>Mowat and</w:t>
      </w:r>
      <w:r>
        <w:rPr>
          <w:spacing w:val="40"/>
          <w:sz w:val="19"/>
        </w:rPr>
        <w:t> </w:t>
      </w:r>
      <w:r>
        <w:rPr>
          <w:sz w:val="19"/>
        </w:rPr>
        <w:t>Paul</w:t>
      </w:r>
      <w:r>
        <w:rPr>
          <w:spacing w:val="40"/>
          <w:sz w:val="19"/>
        </w:rPr>
        <w:t> </w:t>
      </w:r>
      <w:r>
        <w:rPr>
          <w:sz w:val="19"/>
        </w:rPr>
        <w:t>Werstine,</w:t>
      </w:r>
      <w:r>
        <w:rPr>
          <w:spacing w:val="40"/>
          <w:sz w:val="19"/>
        </w:rPr>
        <w:t> </w:t>
      </w:r>
      <w:r>
        <w:rPr>
          <w:sz w:val="19"/>
        </w:rPr>
        <w:t>Folgar</w:t>
      </w:r>
      <w:r>
        <w:rPr>
          <w:spacing w:val="40"/>
          <w:sz w:val="19"/>
        </w:rPr>
        <w:t> </w:t>
      </w:r>
      <w:r>
        <w:rPr>
          <w:sz w:val="19"/>
        </w:rPr>
        <w:t>Shakespeare</w:t>
      </w:r>
      <w:r>
        <w:rPr>
          <w:spacing w:val="40"/>
          <w:sz w:val="19"/>
        </w:rPr>
        <w:t> </w:t>
      </w:r>
      <w:r>
        <w:rPr>
          <w:sz w:val="19"/>
        </w:rPr>
        <w:t>Library,</w:t>
      </w:r>
      <w:r>
        <w:rPr>
          <w:spacing w:val="40"/>
          <w:sz w:val="19"/>
        </w:rPr>
        <w:t> </w:t>
      </w:r>
      <w:r>
        <w:rPr>
          <w:sz w:val="19"/>
        </w:rPr>
        <w:t>2013.</w:t>
      </w:r>
    </w:p>
    <w:p>
      <w:pPr>
        <w:pStyle w:val="ListParagraph"/>
        <w:numPr>
          <w:ilvl w:val="0"/>
          <w:numId w:val="85"/>
        </w:numPr>
        <w:tabs>
          <w:tab w:pos="312" w:val="left" w:leader="none"/>
        </w:tabs>
        <w:spacing w:line="240" w:lineRule="auto" w:before="58" w:after="0"/>
        <w:ind w:left="312" w:right="1442" w:hanging="312"/>
        <w:jc w:val="right"/>
        <w:rPr>
          <w:sz w:val="19"/>
        </w:rPr>
      </w:pPr>
      <w:r>
        <w:rPr>
          <w:sz w:val="19"/>
        </w:rPr>
        <w:t>William</w:t>
      </w:r>
      <w:r>
        <w:rPr>
          <w:spacing w:val="-7"/>
          <w:sz w:val="19"/>
        </w:rPr>
        <w:t> </w:t>
      </w:r>
      <w:r>
        <w:rPr>
          <w:sz w:val="19"/>
        </w:rPr>
        <w:t>Shakespeare.</w:t>
      </w:r>
      <w:r>
        <w:rPr>
          <w:spacing w:val="-8"/>
          <w:sz w:val="19"/>
        </w:rPr>
        <w:t> </w:t>
      </w:r>
      <w:r>
        <w:rPr>
          <w:sz w:val="19"/>
        </w:rPr>
        <w:t>The</w:t>
      </w:r>
      <w:r>
        <w:rPr>
          <w:spacing w:val="-7"/>
          <w:sz w:val="19"/>
        </w:rPr>
        <w:t> </w:t>
      </w:r>
      <w:r>
        <w:rPr>
          <w:sz w:val="19"/>
        </w:rPr>
        <w:t>Merchant</w:t>
      </w:r>
      <w:r>
        <w:rPr>
          <w:spacing w:val="-8"/>
          <w:sz w:val="19"/>
        </w:rPr>
        <w:t> </w:t>
      </w:r>
      <w:r>
        <w:rPr>
          <w:sz w:val="19"/>
        </w:rPr>
        <w:t>of</w:t>
      </w:r>
      <w:r>
        <w:rPr>
          <w:spacing w:val="-5"/>
          <w:sz w:val="19"/>
        </w:rPr>
        <w:t> </w:t>
      </w:r>
      <w:r>
        <w:rPr>
          <w:sz w:val="19"/>
        </w:rPr>
        <w:t>Venice.</w:t>
      </w:r>
      <w:r>
        <w:rPr>
          <w:spacing w:val="-6"/>
          <w:sz w:val="19"/>
        </w:rPr>
        <w:t> </w:t>
      </w:r>
      <w:r>
        <w:rPr>
          <w:sz w:val="19"/>
        </w:rPr>
        <w:t>Edited</w:t>
      </w:r>
      <w:r>
        <w:rPr>
          <w:spacing w:val="-2"/>
          <w:sz w:val="19"/>
        </w:rPr>
        <w:t> </w:t>
      </w:r>
      <w:r>
        <w:rPr>
          <w:sz w:val="19"/>
        </w:rPr>
        <w:t>by</w:t>
      </w:r>
      <w:r>
        <w:rPr>
          <w:spacing w:val="-11"/>
          <w:sz w:val="19"/>
        </w:rPr>
        <w:t> </w:t>
      </w:r>
      <w:r>
        <w:rPr>
          <w:spacing w:val="-2"/>
          <w:sz w:val="19"/>
        </w:rPr>
        <w:t>Barbara</w:t>
      </w:r>
    </w:p>
    <w:p>
      <w:pPr>
        <w:pStyle w:val="ListParagraph"/>
        <w:numPr>
          <w:ilvl w:val="1"/>
          <w:numId w:val="85"/>
        </w:numPr>
        <w:tabs>
          <w:tab w:pos="279" w:val="left" w:leader="none"/>
        </w:tabs>
        <w:spacing w:line="240" w:lineRule="auto" w:before="20" w:after="0"/>
        <w:ind w:left="279" w:right="1517" w:hanging="279"/>
        <w:jc w:val="right"/>
        <w:rPr>
          <w:sz w:val="19"/>
        </w:rPr>
      </w:pPr>
      <w:r>
        <w:rPr>
          <w:sz w:val="19"/>
        </w:rPr>
        <w:t>Mowat,</w:t>
      </w:r>
      <w:r>
        <w:rPr>
          <w:spacing w:val="36"/>
          <w:sz w:val="19"/>
        </w:rPr>
        <w:t> </w:t>
      </w:r>
      <w:r>
        <w:rPr>
          <w:sz w:val="19"/>
        </w:rPr>
        <w:t>Paul</w:t>
      </w:r>
      <w:r>
        <w:rPr>
          <w:spacing w:val="33"/>
          <w:sz w:val="19"/>
        </w:rPr>
        <w:t> </w:t>
      </w:r>
      <w:r>
        <w:rPr>
          <w:sz w:val="19"/>
        </w:rPr>
        <w:t>Werstine,</w:t>
      </w:r>
      <w:r>
        <w:rPr>
          <w:spacing w:val="37"/>
          <w:sz w:val="19"/>
        </w:rPr>
        <w:t> </w:t>
      </w:r>
      <w:r>
        <w:rPr>
          <w:sz w:val="19"/>
        </w:rPr>
        <w:t>Folgar</w:t>
      </w:r>
      <w:r>
        <w:rPr>
          <w:spacing w:val="34"/>
          <w:sz w:val="19"/>
        </w:rPr>
        <w:t> </w:t>
      </w:r>
      <w:r>
        <w:rPr>
          <w:sz w:val="19"/>
        </w:rPr>
        <w:t>Shakespeare</w:t>
      </w:r>
      <w:r>
        <w:rPr>
          <w:spacing w:val="35"/>
          <w:sz w:val="19"/>
        </w:rPr>
        <w:t> </w:t>
      </w:r>
      <w:r>
        <w:rPr>
          <w:sz w:val="19"/>
        </w:rPr>
        <w:t>Library,</w:t>
      </w:r>
      <w:r>
        <w:rPr>
          <w:spacing w:val="38"/>
          <w:sz w:val="19"/>
        </w:rPr>
        <w:t> </w:t>
      </w:r>
      <w:r>
        <w:rPr>
          <w:spacing w:val="-4"/>
          <w:sz w:val="19"/>
        </w:rPr>
        <w:t>2011.</w:t>
      </w:r>
    </w:p>
    <w:p>
      <w:pPr>
        <w:pStyle w:val="ListParagraph"/>
        <w:numPr>
          <w:ilvl w:val="0"/>
          <w:numId w:val="85"/>
        </w:numPr>
        <w:tabs>
          <w:tab w:pos="2157" w:val="left" w:leader="none"/>
          <w:tab w:pos="2160" w:val="left" w:leader="none"/>
        </w:tabs>
        <w:spacing w:line="261" w:lineRule="auto" w:before="76" w:after="0"/>
        <w:ind w:left="2160" w:right="1441" w:hanging="315"/>
        <w:jc w:val="left"/>
        <w:rPr>
          <w:sz w:val="19"/>
        </w:rPr>
      </w:pPr>
      <w:r>
        <w:rPr>
          <w:sz w:val="19"/>
        </w:rPr>
        <w:t>William</w:t>
      </w:r>
      <w:r>
        <w:rPr>
          <w:spacing w:val="34"/>
          <w:sz w:val="19"/>
        </w:rPr>
        <w:t> </w:t>
      </w:r>
      <w:r>
        <w:rPr>
          <w:sz w:val="19"/>
        </w:rPr>
        <w:t>Shakespeare.</w:t>
      </w:r>
      <w:r>
        <w:rPr>
          <w:spacing w:val="37"/>
          <w:sz w:val="19"/>
        </w:rPr>
        <w:t> </w:t>
      </w:r>
      <w:r>
        <w:rPr>
          <w:sz w:val="19"/>
        </w:rPr>
        <w:t>Romio</w:t>
      </w:r>
      <w:r>
        <w:rPr>
          <w:spacing w:val="37"/>
          <w:sz w:val="19"/>
        </w:rPr>
        <w:t> </w:t>
      </w:r>
      <w:r>
        <w:rPr>
          <w:sz w:val="19"/>
        </w:rPr>
        <w:t>and</w:t>
      </w:r>
      <w:r>
        <w:rPr>
          <w:spacing w:val="37"/>
          <w:sz w:val="19"/>
        </w:rPr>
        <w:t> </w:t>
      </w:r>
      <w:r>
        <w:rPr>
          <w:sz w:val="19"/>
        </w:rPr>
        <w:t>Juliet.</w:t>
      </w:r>
      <w:r>
        <w:rPr>
          <w:spacing w:val="35"/>
          <w:sz w:val="19"/>
        </w:rPr>
        <w:t> </w:t>
      </w:r>
      <w:r>
        <w:rPr>
          <w:sz w:val="19"/>
        </w:rPr>
        <w:t>Edited</w:t>
      </w:r>
      <w:r>
        <w:rPr>
          <w:spacing w:val="39"/>
          <w:sz w:val="19"/>
        </w:rPr>
        <w:t> </w:t>
      </w:r>
      <w:r>
        <w:rPr>
          <w:sz w:val="19"/>
        </w:rPr>
        <w:t>by</w:t>
      </w:r>
      <w:r>
        <w:rPr>
          <w:spacing w:val="29"/>
          <w:sz w:val="19"/>
        </w:rPr>
        <w:t> </w:t>
      </w:r>
      <w:r>
        <w:rPr>
          <w:sz w:val="19"/>
        </w:rPr>
        <w:t>Barbara</w:t>
      </w:r>
      <w:r>
        <w:rPr>
          <w:spacing w:val="27"/>
          <w:sz w:val="19"/>
        </w:rPr>
        <w:t> </w:t>
      </w:r>
      <w:r>
        <w:rPr>
          <w:sz w:val="19"/>
        </w:rPr>
        <w:t>A. Mowat,</w:t>
      </w:r>
      <w:r>
        <w:rPr>
          <w:spacing w:val="40"/>
          <w:sz w:val="19"/>
        </w:rPr>
        <w:t> </w:t>
      </w:r>
      <w:r>
        <w:rPr>
          <w:sz w:val="19"/>
        </w:rPr>
        <w:t>Paul</w:t>
      </w:r>
      <w:r>
        <w:rPr>
          <w:spacing w:val="40"/>
          <w:sz w:val="19"/>
        </w:rPr>
        <w:t> </w:t>
      </w:r>
      <w:r>
        <w:rPr>
          <w:sz w:val="19"/>
        </w:rPr>
        <w:t>Werstine,</w:t>
      </w:r>
      <w:r>
        <w:rPr>
          <w:spacing w:val="40"/>
          <w:sz w:val="19"/>
        </w:rPr>
        <w:t> </w:t>
      </w:r>
      <w:r>
        <w:rPr>
          <w:sz w:val="19"/>
        </w:rPr>
        <w:t>Folgar</w:t>
      </w:r>
      <w:r>
        <w:rPr>
          <w:spacing w:val="40"/>
          <w:sz w:val="19"/>
        </w:rPr>
        <w:t> </w:t>
      </w:r>
      <w:r>
        <w:rPr>
          <w:sz w:val="19"/>
        </w:rPr>
        <w:t>Shakespeare</w:t>
      </w:r>
      <w:r>
        <w:rPr>
          <w:spacing w:val="40"/>
          <w:sz w:val="19"/>
        </w:rPr>
        <w:t> </w:t>
      </w:r>
      <w:r>
        <w:rPr>
          <w:sz w:val="19"/>
        </w:rPr>
        <w:t>Library,</w:t>
      </w:r>
      <w:r>
        <w:rPr>
          <w:spacing w:val="40"/>
          <w:sz w:val="19"/>
        </w:rPr>
        <w:t> </w:t>
      </w:r>
      <w:r>
        <w:rPr>
          <w:sz w:val="19"/>
        </w:rPr>
        <w:t>2011.</w:t>
      </w:r>
    </w:p>
    <w:p>
      <w:pPr>
        <w:pStyle w:val="ListParagraph"/>
        <w:numPr>
          <w:ilvl w:val="0"/>
          <w:numId w:val="85"/>
        </w:numPr>
        <w:tabs>
          <w:tab w:pos="2157" w:val="left" w:leader="none"/>
          <w:tab w:pos="2160" w:val="left" w:leader="none"/>
        </w:tabs>
        <w:spacing w:line="261" w:lineRule="auto" w:before="59" w:after="0"/>
        <w:ind w:left="2160" w:right="1439" w:hanging="315"/>
        <w:jc w:val="left"/>
        <w:rPr>
          <w:sz w:val="19"/>
        </w:rPr>
      </w:pPr>
      <w:r>
        <w:rPr>
          <w:sz w:val="19"/>
        </w:rPr>
        <w:t>William</w:t>
      </w:r>
      <w:r>
        <w:rPr>
          <w:spacing w:val="40"/>
          <w:sz w:val="19"/>
        </w:rPr>
        <w:t> </w:t>
      </w:r>
      <w:r>
        <w:rPr>
          <w:sz w:val="19"/>
        </w:rPr>
        <w:t>Shakespeare.</w:t>
      </w:r>
      <w:r>
        <w:rPr>
          <w:spacing w:val="40"/>
          <w:sz w:val="19"/>
        </w:rPr>
        <w:t> </w:t>
      </w:r>
      <w:r>
        <w:rPr>
          <w:sz w:val="19"/>
        </w:rPr>
        <w:t>As</w:t>
      </w:r>
      <w:r>
        <w:rPr>
          <w:spacing w:val="40"/>
          <w:sz w:val="19"/>
        </w:rPr>
        <w:t> </w:t>
      </w:r>
      <w:r>
        <w:rPr>
          <w:sz w:val="19"/>
        </w:rPr>
        <w:t>you</w:t>
      </w:r>
      <w:r>
        <w:rPr>
          <w:spacing w:val="40"/>
          <w:sz w:val="19"/>
        </w:rPr>
        <w:t> </w:t>
      </w:r>
      <w:r>
        <w:rPr>
          <w:sz w:val="19"/>
        </w:rPr>
        <w:t>like</w:t>
      </w:r>
      <w:r>
        <w:rPr>
          <w:spacing w:val="40"/>
          <w:sz w:val="19"/>
        </w:rPr>
        <w:t> </w:t>
      </w:r>
      <w:r>
        <w:rPr>
          <w:sz w:val="19"/>
        </w:rPr>
        <w:t>it.</w:t>
      </w:r>
      <w:r>
        <w:rPr>
          <w:spacing w:val="40"/>
          <w:sz w:val="19"/>
        </w:rPr>
        <w:t> </w:t>
      </w:r>
      <w:r>
        <w:rPr>
          <w:sz w:val="19"/>
        </w:rPr>
        <w:t>Edited</w:t>
      </w:r>
      <w:r>
        <w:rPr>
          <w:spacing w:val="40"/>
          <w:sz w:val="19"/>
        </w:rPr>
        <w:t> </w:t>
      </w:r>
      <w:r>
        <w:rPr>
          <w:sz w:val="19"/>
        </w:rPr>
        <w:t>by</w:t>
      </w:r>
      <w:r>
        <w:rPr>
          <w:spacing w:val="40"/>
          <w:sz w:val="19"/>
        </w:rPr>
        <w:t> </w:t>
      </w:r>
      <w:r>
        <w:rPr>
          <w:sz w:val="19"/>
        </w:rPr>
        <w:t>Barbara</w:t>
      </w:r>
      <w:r>
        <w:rPr>
          <w:spacing w:val="40"/>
          <w:sz w:val="19"/>
        </w:rPr>
        <w:t> </w:t>
      </w:r>
      <w:r>
        <w:rPr>
          <w:sz w:val="19"/>
        </w:rPr>
        <w:t>A.</w:t>
      </w:r>
      <w:r>
        <w:rPr>
          <w:spacing w:val="40"/>
          <w:sz w:val="19"/>
        </w:rPr>
        <w:t> </w:t>
      </w:r>
      <w:r>
        <w:rPr>
          <w:sz w:val="19"/>
        </w:rPr>
        <w:t>Mowat,</w:t>
      </w:r>
      <w:r>
        <w:rPr>
          <w:spacing w:val="40"/>
          <w:sz w:val="19"/>
        </w:rPr>
        <w:t> </w:t>
      </w:r>
      <w:r>
        <w:rPr>
          <w:sz w:val="19"/>
        </w:rPr>
        <w:t>Paul</w:t>
      </w:r>
      <w:r>
        <w:rPr>
          <w:spacing w:val="40"/>
          <w:sz w:val="19"/>
        </w:rPr>
        <w:t> </w:t>
      </w:r>
      <w:r>
        <w:rPr>
          <w:sz w:val="19"/>
        </w:rPr>
        <w:t>Werstine,</w:t>
      </w:r>
      <w:r>
        <w:rPr>
          <w:spacing w:val="40"/>
          <w:sz w:val="19"/>
        </w:rPr>
        <w:t> </w:t>
      </w:r>
      <w:r>
        <w:rPr>
          <w:sz w:val="19"/>
        </w:rPr>
        <w:t>Folgar</w:t>
      </w:r>
      <w:r>
        <w:rPr>
          <w:spacing w:val="40"/>
          <w:sz w:val="19"/>
        </w:rPr>
        <w:t> </w:t>
      </w:r>
      <w:r>
        <w:rPr>
          <w:sz w:val="19"/>
        </w:rPr>
        <w:t>Shakespeare</w:t>
      </w:r>
      <w:r>
        <w:rPr>
          <w:spacing w:val="40"/>
          <w:sz w:val="19"/>
        </w:rPr>
        <w:t> </w:t>
      </w:r>
      <w:r>
        <w:rPr>
          <w:sz w:val="19"/>
        </w:rPr>
        <w:t>Library,</w:t>
      </w:r>
      <w:r>
        <w:rPr>
          <w:spacing w:val="40"/>
          <w:sz w:val="19"/>
        </w:rPr>
        <w:t> </w:t>
      </w:r>
      <w:r>
        <w:rPr>
          <w:sz w:val="19"/>
        </w:rPr>
        <w:t>2011.</w:t>
      </w:r>
    </w:p>
    <w:p>
      <w:pPr>
        <w:pStyle w:val="ListParagraph"/>
        <w:numPr>
          <w:ilvl w:val="0"/>
          <w:numId w:val="85"/>
        </w:numPr>
        <w:tabs>
          <w:tab w:pos="2157" w:val="left" w:leader="none"/>
        </w:tabs>
        <w:spacing w:line="240" w:lineRule="auto" w:before="57" w:after="0"/>
        <w:ind w:left="2157" w:right="0" w:hanging="312"/>
        <w:jc w:val="left"/>
        <w:rPr>
          <w:sz w:val="19"/>
        </w:rPr>
      </w:pPr>
      <w:r>
        <w:rPr>
          <w:sz w:val="19"/>
        </w:rPr>
        <w:t>William</w:t>
      </w:r>
      <w:r>
        <w:rPr>
          <w:spacing w:val="7"/>
          <w:sz w:val="19"/>
        </w:rPr>
        <w:t> </w:t>
      </w:r>
      <w:r>
        <w:rPr>
          <w:sz w:val="19"/>
        </w:rPr>
        <w:t>Shakespeare.</w:t>
      </w:r>
      <w:r>
        <w:rPr>
          <w:spacing w:val="11"/>
          <w:sz w:val="19"/>
        </w:rPr>
        <w:t> </w:t>
      </w:r>
      <w:r>
        <w:rPr>
          <w:sz w:val="19"/>
        </w:rPr>
        <w:t>Othello,</w:t>
      </w:r>
      <w:r>
        <w:rPr>
          <w:spacing w:val="10"/>
          <w:sz w:val="19"/>
        </w:rPr>
        <w:t> </w:t>
      </w:r>
      <w:r>
        <w:rPr>
          <w:sz w:val="19"/>
        </w:rPr>
        <w:t>the</w:t>
      </w:r>
      <w:r>
        <w:rPr>
          <w:spacing w:val="9"/>
          <w:sz w:val="19"/>
        </w:rPr>
        <w:t> </w:t>
      </w:r>
      <w:r>
        <w:rPr>
          <w:sz w:val="19"/>
        </w:rPr>
        <w:t>Moor</w:t>
      </w:r>
      <w:r>
        <w:rPr>
          <w:spacing w:val="10"/>
          <w:sz w:val="19"/>
        </w:rPr>
        <w:t> </w:t>
      </w:r>
      <w:r>
        <w:rPr>
          <w:sz w:val="19"/>
        </w:rPr>
        <w:t>of</w:t>
      </w:r>
      <w:r>
        <w:rPr>
          <w:spacing w:val="9"/>
          <w:sz w:val="19"/>
        </w:rPr>
        <w:t> </w:t>
      </w:r>
      <w:r>
        <w:rPr>
          <w:sz w:val="19"/>
        </w:rPr>
        <w:t>Venice,</w:t>
      </w:r>
      <w:r>
        <w:rPr>
          <w:spacing w:val="9"/>
          <w:sz w:val="19"/>
        </w:rPr>
        <w:t> </w:t>
      </w:r>
      <w:r>
        <w:rPr>
          <w:sz w:val="19"/>
        </w:rPr>
        <w:t>Edited</w:t>
      </w:r>
      <w:r>
        <w:rPr>
          <w:spacing w:val="12"/>
          <w:sz w:val="19"/>
        </w:rPr>
        <w:t> </w:t>
      </w:r>
      <w:r>
        <w:rPr>
          <w:sz w:val="19"/>
        </w:rPr>
        <w:t>by</w:t>
      </w:r>
      <w:r>
        <w:rPr>
          <w:spacing w:val="4"/>
          <w:sz w:val="19"/>
        </w:rPr>
        <w:t> </w:t>
      </w:r>
      <w:r>
        <w:rPr>
          <w:spacing w:val="-5"/>
          <w:sz w:val="19"/>
        </w:rPr>
        <w:t>E.</w:t>
      </w:r>
    </w:p>
    <w:p>
      <w:pPr>
        <w:pStyle w:val="ListParagraph"/>
        <w:numPr>
          <w:ilvl w:val="1"/>
          <w:numId w:val="85"/>
        </w:numPr>
        <w:tabs>
          <w:tab w:pos="2437" w:val="left" w:leader="none"/>
        </w:tabs>
        <w:spacing w:line="240" w:lineRule="auto" w:before="19" w:after="0"/>
        <w:ind w:left="2437" w:right="0" w:hanging="277"/>
        <w:jc w:val="left"/>
        <w:rPr>
          <w:sz w:val="19"/>
        </w:rPr>
      </w:pPr>
      <w:r>
        <w:rPr>
          <w:sz w:val="19"/>
        </w:rPr>
        <w:t>J.</w:t>
      </w:r>
      <w:r>
        <w:rPr>
          <w:spacing w:val="41"/>
          <w:sz w:val="19"/>
        </w:rPr>
        <w:t> </w:t>
      </w:r>
      <w:r>
        <w:rPr>
          <w:sz w:val="19"/>
        </w:rPr>
        <w:t>Honigmann,</w:t>
      </w:r>
      <w:r>
        <w:rPr>
          <w:spacing w:val="32"/>
          <w:sz w:val="19"/>
        </w:rPr>
        <w:t> </w:t>
      </w:r>
      <w:r>
        <w:rPr>
          <w:sz w:val="19"/>
        </w:rPr>
        <w:t>Arden</w:t>
      </w:r>
      <w:r>
        <w:rPr>
          <w:spacing w:val="42"/>
          <w:sz w:val="19"/>
        </w:rPr>
        <w:t> </w:t>
      </w:r>
      <w:r>
        <w:rPr>
          <w:sz w:val="19"/>
        </w:rPr>
        <w:t>Shakespeare,</w:t>
      </w:r>
      <w:r>
        <w:rPr>
          <w:spacing w:val="38"/>
          <w:sz w:val="19"/>
        </w:rPr>
        <w:t> </w:t>
      </w:r>
      <w:r>
        <w:rPr>
          <w:spacing w:val="-4"/>
          <w:sz w:val="19"/>
        </w:rPr>
        <w:t>1997</w:t>
      </w:r>
    </w:p>
    <w:p>
      <w:pPr>
        <w:pStyle w:val="ListParagraph"/>
        <w:spacing w:after="0" w:line="240"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56128">
                <wp:simplePos x="0" y="0"/>
                <wp:positionH relativeFrom="page">
                  <wp:posOffset>2057400</wp:posOffset>
                </wp:positionH>
                <wp:positionV relativeFrom="page">
                  <wp:posOffset>1788723</wp:posOffset>
                </wp:positionV>
                <wp:extent cx="3656965" cy="140335"/>
                <wp:effectExtent l="0" t="0" r="0" b="0"/>
                <wp:wrapNone/>
                <wp:docPr id="809" name="Textbox 809"/>
                <wp:cNvGraphicFramePr>
                  <a:graphicFrameLocks/>
                </wp:cNvGraphicFramePr>
                <a:graphic>
                  <a:graphicData uri="http://schemas.microsoft.com/office/word/2010/wordprocessingShape">
                    <wps:wsp>
                      <wps:cNvPr id="809" name="Textbox 809"/>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416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260352" type="#_x0000_t202" id="docshape801"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416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810" name="Group 810"/>
                <wp:cNvGraphicFramePr>
                  <a:graphicFrameLocks/>
                </wp:cNvGraphicFramePr>
                <a:graphic>
                  <a:graphicData uri="http://schemas.microsoft.com/office/word/2010/wordprocessingGroup">
                    <wpg:wgp>
                      <wpg:cNvPr id="810" name="Group 810"/>
                      <wpg:cNvGrpSpPr/>
                      <wpg:grpSpPr>
                        <a:xfrm>
                          <a:off x="0" y="0"/>
                          <a:ext cx="4044950" cy="699770"/>
                          <a:chExt cx="4044950" cy="699770"/>
                        </a:xfrm>
                      </wpg:grpSpPr>
                      <wps:wsp>
                        <wps:cNvPr id="811" name="Graphic 811"/>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802" coordorigin="0,0" coordsize="6370,1102">
                <v:rect style="position:absolute;left:0;top:0;width:6370;height:1102" id="docshape803"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891968">
                <wp:simplePos x="0" y="0"/>
                <wp:positionH relativeFrom="page">
                  <wp:posOffset>3488435</wp:posOffset>
                </wp:positionH>
                <wp:positionV relativeFrom="paragraph">
                  <wp:posOffset>272922</wp:posOffset>
                </wp:positionV>
                <wp:extent cx="728980" cy="655320"/>
                <wp:effectExtent l="0" t="0" r="0" b="0"/>
                <wp:wrapTopAndBottom/>
                <wp:docPr id="812" name="Group 812"/>
                <wp:cNvGraphicFramePr>
                  <a:graphicFrameLocks/>
                </wp:cNvGraphicFramePr>
                <a:graphic>
                  <a:graphicData uri="http://schemas.microsoft.com/office/word/2010/wordprocessingGroup">
                    <wpg:wgp>
                      <wpg:cNvPr id="812" name="Group 812"/>
                      <wpg:cNvGrpSpPr/>
                      <wpg:grpSpPr>
                        <a:xfrm>
                          <a:off x="0" y="0"/>
                          <a:ext cx="728980" cy="655320"/>
                          <a:chExt cx="728980" cy="655320"/>
                        </a:xfrm>
                      </wpg:grpSpPr>
                      <pic:pic>
                        <pic:nvPicPr>
                          <pic:cNvPr id="813" name="Image 813"/>
                          <pic:cNvPicPr/>
                        </pic:nvPicPr>
                        <pic:blipFill>
                          <a:blip r:embed="rId99" cstate="print"/>
                          <a:stretch>
                            <a:fillRect/>
                          </a:stretch>
                        </pic:blipFill>
                        <pic:spPr>
                          <a:xfrm>
                            <a:off x="0" y="0"/>
                            <a:ext cx="728471" cy="655320"/>
                          </a:xfrm>
                          <a:prstGeom prst="rect">
                            <a:avLst/>
                          </a:prstGeom>
                        </pic:spPr>
                      </pic:pic>
                      <wps:wsp>
                        <wps:cNvPr id="814" name="Textbox 814"/>
                        <wps:cNvSpPr txBox="1"/>
                        <wps:spPr>
                          <a:xfrm>
                            <a:off x="0" y="0"/>
                            <a:ext cx="728980" cy="655320"/>
                          </a:xfrm>
                          <a:prstGeom prst="rect">
                            <a:avLst/>
                          </a:prstGeom>
                        </wps:spPr>
                        <wps:txbx>
                          <w:txbxContent>
                            <w:p>
                              <w:pPr>
                                <w:spacing w:before="350"/>
                                <w:ind w:left="432" w:right="0" w:firstLine="0"/>
                                <w:jc w:val="left"/>
                                <w:rPr>
                                  <w:rFonts w:ascii="Tahoma"/>
                                  <w:b/>
                                  <w:sz w:val="36"/>
                                </w:rPr>
                              </w:pPr>
                              <w:r>
                                <w:rPr>
                                  <w:rFonts w:ascii="Tahoma"/>
                                  <w:b/>
                                  <w:spacing w:val="-5"/>
                                  <w:w w:val="95"/>
                                  <w:sz w:val="36"/>
                                </w:rPr>
                                <w:t>42</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424512;mso-wrap-distance-left:0;mso-wrap-distance-right:0" id="docshapegroup804" coordorigin="5494,430" coordsize="1148,1032">
                <v:shape style="position:absolute;left:5493;top:429;width:1148;height:1032" type="#_x0000_t75" id="docshape805" stroked="false">
                  <v:imagedata r:id="rId99" o:title=""/>
                </v:shape>
                <v:shape style="position:absolute;left:5493;top:429;width:1148;height:1032" type="#_x0000_t202" id="docshape806" filled="false" stroked="false">
                  <v:textbox inset="0,0,0,0">
                    <w:txbxContent>
                      <w:p>
                        <w:pPr>
                          <w:spacing w:before="350"/>
                          <w:ind w:left="432" w:right="0" w:firstLine="0"/>
                          <w:jc w:val="left"/>
                          <w:rPr>
                            <w:rFonts w:ascii="Tahoma"/>
                            <w:b/>
                            <w:sz w:val="36"/>
                          </w:rPr>
                        </w:pPr>
                        <w:r>
                          <w:rPr>
                            <w:rFonts w:ascii="Tahoma"/>
                            <w:b/>
                            <w:spacing w:val="-5"/>
                            <w:w w:val="95"/>
                            <w:sz w:val="36"/>
                          </w:rPr>
                          <w:t>42</w:t>
                        </w:r>
                      </w:p>
                    </w:txbxContent>
                  </v:textbox>
                  <w10:wrap type="none"/>
                </v:shape>
                <w10:wrap type="topAndBottom"/>
              </v:group>
            </w:pict>
          </mc:Fallback>
        </mc:AlternateContent>
      </w:r>
    </w:p>
    <w:p>
      <w:pPr>
        <w:pStyle w:val="Heading1"/>
        <w:spacing w:line="211" w:lineRule="auto" w:before="4"/>
        <w:ind w:left="2138" w:right="2141"/>
      </w:pPr>
      <w:r>
        <w:rPr/>
        <w:t>‘Examining</w:t>
      </w:r>
      <w:r>
        <w:rPr>
          <w:spacing w:val="-12"/>
        </w:rPr>
        <w:t> </w:t>
      </w:r>
      <w:r>
        <w:rPr/>
        <w:t>Gender</w:t>
      </w:r>
      <w:r>
        <w:rPr>
          <w:spacing w:val="-13"/>
        </w:rPr>
        <w:t> </w:t>
      </w:r>
      <w:r>
        <w:rPr/>
        <w:t>Vices</w:t>
      </w:r>
      <w:r>
        <w:rPr>
          <w:spacing w:val="-13"/>
        </w:rPr>
        <w:t> </w:t>
      </w:r>
      <w:r>
        <w:rPr/>
        <w:t>in Elizabethan Drama and</w:t>
      </w:r>
    </w:p>
    <w:p>
      <w:pPr>
        <w:tabs>
          <w:tab w:pos="1447" w:val="left" w:leader="none"/>
          <w:tab w:pos="5759" w:val="left" w:leader="none"/>
        </w:tabs>
        <w:spacing w:line="350" w:lineRule="exact" w:before="0"/>
        <w:ind w:left="0" w:right="0" w:firstLine="0"/>
        <w:jc w:val="center"/>
        <w:rPr>
          <w:rFonts w:ascii="Tahoma" w:hAnsi="Tahoma"/>
          <w:b/>
          <w:sz w:val="32"/>
        </w:rPr>
      </w:pPr>
      <w:r>
        <w:rPr>
          <w:sz w:val="32"/>
          <w:u w:val="single"/>
        </w:rPr>
        <w:tab/>
      </w:r>
      <w:r>
        <w:rPr>
          <w:rFonts w:ascii="Tahoma" w:hAnsi="Tahoma"/>
          <w:b/>
          <w:spacing w:val="-9"/>
          <w:sz w:val="32"/>
          <w:u w:val="single"/>
        </w:rPr>
        <w:t>Millennium</w:t>
      </w:r>
      <w:r>
        <w:rPr>
          <w:rFonts w:ascii="Tahoma" w:hAnsi="Tahoma"/>
          <w:b/>
          <w:spacing w:val="-7"/>
          <w:sz w:val="32"/>
          <w:u w:val="single"/>
        </w:rPr>
        <w:t> </w:t>
      </w:r>
      <w:r>
        <w:rPr>
          <w:rFonts w:ascii="Tahoma" w:hAnsi="Tahoma"/>
          <w:b/>
          <w:spacing w:val="-2"/>
          <w:sz w:val="32"/>
          <w:u w:val="single"/>
        </w:rPr>
        <w:t>Media’</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892480">
                <wp:simplePos x="0" y="0"/>
                <wp:positionH relativeFrom="page">
                  <wp:posOffset>2057400</wp:posOffset>
                </wp:positionH>
                <wp:positionV relativeFrom="paragraph">
                  <wp:posOffset>60051</wp:posOffset>
                </wp:positionV>
                <wp:extent cx="3657600" cy="7620"/>
                <wp:effectExtent l="0" t="0" r="0" b="0"/>
                <wp:wrapTopAndBottom/>
                <wp:docPr id="815" name="Graphic 815"/>
                <wp:cNvGraphicFramePr>
                  <a:graphicFrameLocks/>
                </wp:cNvGraphicFramePr>
                <a:graphic>
                  <a:graphicData uri="http://schemas.microsoft.com/office/word/2010/wordprocessingShape">
                    <wps:wsp>
                      <wps:cNvPr id="815" name="Graphic 815"/>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35pt;width:288.000009pt;height:.599991pt;mso-position-horizontal-relative:page;mso-position-vertical-relative:paragraph;z-index:-15424000;mso-wrap-distance-left:0;mso-wrap-distance-right:0" id="docshape807" filled="true" fillcolor="#000000" stroked="false">
                <v:fill type="solid"/>
                <w10:wrap type="topAndBottom"/>
              </v:rect>
            </w:pict>
          </mc:Fallback>
        </mc:AlternateContent>
      </w:r>
    </w:p>
    <w:p>
      <w:pPr>
        <w:pStyle w:val="BodyText"/>
        <w:spacing w:before="13"/>
        <w:ind w:left="0"/>
        <w:rPr>
          <w:rFonts w:ascii="Tahoma"/>
          <w:b/>
          <w:sz w:val="32"/>
        </w:rPr>
      </w:pPr>
    </w:p>
    <w:p>
      <w:pPr>
        <w:pStyle w:val="Heading5"/>
        <w:ind w:left="0" w:right="1437"/>
        <w:jc w:val="right"/>
        <w:rPr>
          <w:rFonts w:ascii="Times New Roman"/>
        </w:rPr>
      </w:pPr>
      <w:r>
        <w:rPr>
          <w:rFonts w:ascii="Times New Roman"/>
        </w:rPr>
        <w:t>Sangeetha</w:t>
      </w:r>
      <w:r>
        <w:rPr>
          <w:rFonts w:ascii="Times New Roman"/>
          <w:spacing w:val="63"/>
          <w:w w:val="150"/>
        </w:rPr>
        <w:t> </w:t>
      </w:r>
      <w:r>
        <w:rPr>
          <w:rFonts w:ascii="Times New Roman"/>
          <w:spacing w:val="-2"/>
        </w:rPr>
        <w:t>Dayanand</w:t>
      </w:r>
    </w:p>
    <w:p>
      <w:pPr>
        <w:spacing w:before="15"/>
        <w:ind w:left="0" w:right="1438" w:firstLine="0"/>
        <w:jc w:val="right"/>
        <w:rPr>
          <w:i/>
          <w:sz w:val="19"/>
        </w:rPr>
      </w:pPr>
      <w:r>
        <w:rPr>
          <w:i/>
          <w:sz w:val="19"/>
        </w:rPr>
        <w:t>Assistant</w:t>
      </w:r>
      <w:r>
        <w:rPr>
          <w:i/>
          <w:spacing w:val="58"/>
          <w:sz w:val="19"/>
        </w:rPr>
        <w:t> </w:t>
      </w:r>
      <w:r>
        <w:rPr>
          <w:i/>
          <w:sz w:val="19"/>
        </w:rPr>
        <w:t>Professor,</w:t>
      </w:r>
      <w:r>
        <w:rPr>
          <w:i/>
          <w:spacing w:val="59"/>
          <w:sz w:val="19"/>
        </w:rPr>
        <w:t> </w:t>
      </w:r>
      <w:r>
        <w:rPr>
          <w:i/>
          <w:sz w:val="19"/>
        </w:rPr>
        <w:t>Dayananda</w:t>
      </w:r>
      <w:r>
        <w:rPr>
          <w:i/>
          <w:spacing w:val="60"/>
          <w:sz w:val="19"/>
        </w:rPr>
        <w:t> </w:t>
      </w:r>
      <w:r>
        <w:rPr>
          <w:i/>
          <w:sz w:val="19"/>
        </w:rPr>
        <w:t>Sagar</w:t>
      </w:r>
      <w:r>
        <w:rPr>
          <w:i/>
          <w:spacing w:val="59"/>
          <w:sz w:val="19"/>
        </w:rPr>
        <w:t> </w:t>
      </w:r>
      <w:r>
        <w:rPr>
          <w:i/>
          <w:sz w:val="19"/>
        </w:rPr>
        <w:t>College</w:t>
      </w:r>
      <w:r>
        <w:rPr>
          <w:i/>
          <w:spacing w:val="59"/>
          <w:sz w:val="19"/>
        </w:rPr>
        <w:t> </w:t>
      </w:r>
      <w:r>
        <w:rPr>
          <w:i/>
          <w:sz w:val="19"/>
        </w:rPr>
        <w:t>of</w:t>
      </w:r>
      <w:r>
        <w:rPr>
          <w:i/>
          <w:spacing w:val="57"/>
          <w:sz w:val="19"/>
        </w:rPr>
        <w:t> </w:t>
      </w:r>
      <w:r>
        <w:rPr>
          <w:i/>
          <w:sz w:val="19"/>
        </w:rPr>
        <w:t>Arts,</w:t>
      </w:r>
      <w:r>
        <w:rPr>
          <w:i/>
          <w:spacing w:val="62"/>
          <w:sz w:val="19"/>
        </w:rPr>
        <w:t> </w:t>
      </w:r>
      <w:r>
        <w:rPr>
          <w:i/>
          <w:spacing w:val="-2"/>
          <w:sz w:val="19"/>
        </w:rPr>
        <w:t>Science</w:t>
      </w:r>
    </w:p>
    <w:p>
      <w:pPr>
        <w:spacing w:before="9"/>
        <w:ind w:left="0" w:right="1437" w:firstLine="0"/>
        <w:jc w:val="right"/>
        <w:rPr>
          <w:i/>
          <w:sz w:val="19"/>
        </w:rPr>
      </w:pPr>
      <w:r>
        <w:rPr>
          <w:i/>
          <w:sz w:val="19"/>
        </w:rPr>
        <w:t>and</w:t>
      </w:r>
      <w:r>
        <w:rPr>
          <w:i/>
          <w:spacing w:val="62"/>
          <w:sz w:val="19"/>
        </w:rPr>
        <w:t> </w:t>
      </w:r>
      <w:r>
        <w:rPr>
          <w:i/>
          <w:spacing w:val="-2"/>
          <w:sz w:val="19"/>
        </w:rPr>
        <w:t>Commerce</w:t>
      </w:r>
    </w:p>
    <w:p>
      <w:pPr>
        <w:pStyle w:val="BodyText"/>
        <w:spacing w:before="161"/>
        <w:ind w:left="0"/>
        <w:rPr>
          <w:i/>
          <w:sz w:val="19"/>
        </w:rPr>
      </w:pPr>
    </w:p>
    <w:p>
      <w:pPr>
        <w:pStyle w:val="Heading3"/>
        <w:spacing w:before="0"/>
      </w:pPr>
      <w:r>
        <w:rPr>
          <w:spacing w:val="-2"/>
        </w:rPr>
        <w:t>ABSTRACT</w:t>
      </w:r>
    </w:p>
    <w:p>
      <w:pPr>
        <w:pStyle w:val="BodyText"/>
        <w:spacing w:line="249" w:lineRule="auto" w:before="78"/>
        <w:ind w:right="1438" w:firstLine="432"/>
        <w:jc w:val="both"/>
      </w:pPr>
      <w:r>
        <w:rPr/>
        <w:t>The inferno of the mind influences evil temptation. The art superfluous</w:t>
      </w:r>
      <w:r>
        <w:rPr>
          <w:spacing w:val="-3"/>
        </w:rPr>
        <w:t> </w:t>
      </w:r>
      <w:r>
        <w:rPr/>
        <w:t>in</w:t>
      </w:r>
      <w:r>
        <w:rPr>
          <w:spacing w:val="-3"/>
        </w:rPr>
        <w:t> </w:t>
      </w:r>
      <w:r>
        <w:rPr/>
        <w:t>success</w:t>
      </w:r>
      <w:r>
        <w:rPr>
          <w:spacing w:val="-3"/>
        </w:rPr>
        <w:t> </w:t>
      </w:r>
      <w:r>
        <w:rPr/>
        <w:t>is</w:t>
      </w:r>
      <w:r>
        <w:rPr>
          <w:spacing w:val="-6"/>
        </w:rPr>
        <w:t> </w:t>
      </w:r>
      <w:r>
        <w:rPr/>
        <w:t>innocent</w:t>
      </w:r>
      <w:r>
        <w:rPr>
          <w:spacing w:val="-5"/>
        </w:rPr>
        <w:t> </w:t>
      </w:r>
      <w:r>
        <w:rPr/>
        <w:t>and raw</w:t>
      </w:r>
      <w:r>
        <w:rPr>
          <w:spacing w:val="-5"/>
        </w:rPr>
        <w:t> </w:t>
      </w:r>
      <w:r>
        <w:rPr/>
        <w:t>in</w:t>
      </w:r>
      <w:r>
        <w:rPr>
          <w:spacing w:val="-6"/>
        </w:rPr>
        <w:t> </w:t>
      </w:r>
      <w:r>
        <w:rPr/>
        <w:t>sexualities</w:t>
      </w:r>
      <w:r>
        <w:rPr>
          <w:spacing w:val="-1"/>
        </w:rPr>
        <w:t> </w:t>
      </w:r>
      <w:r>
        <w:rPr/>
        <w:t>of</w:t>
      </w:r>
      <w:r>
        <w:rPr>
          <w:spacing w:val="-5"/>
        </w:rPr>
        <w:t> </w:t>
      </w:r>
      <w:r>
        <w:rPr/>
        <w:t>desire of</w:t>
      </w:r>
      <w:r>
        <w:rPr>
          <w:spacing w:val="-3"/>
        </w:rPr>
        <w:t> </w:t>
      </w:r>
      <w:r>
        <w:rPr/>
        <w:t>the </w:t>
      </w:r>
      <w:r>
        <w:rPr>
          <w:spacing w:val="-2"/>
        </w:rPr>
        <w:t>mind.</w:t>
      </w:r>
    </w:p>
    <w:p>
      <w:pPr>
        <w:pStyle w:val="BodyText"/>
        <w:spacing w:line="249" w:lineRule="auto" w:before="60"/>
        <w:ind w:right="1441" w:firstLine="432"/>
        <w:jc w:val="both"/>
      </w:pPr>
      <w:r>
        <w:rPr/>
        <w:t>Stirred, aroused unleashed gratification of a murderous act as the will of Satan not forbidden or fatal but righteously</w:t>
      </w:r>
      <w:r>
        <w:rPr>
          <w:spacing w:val="-9"/>
        </w:rPr>
        <w:t> </w:t>
      </w:r>
      <w:r>
        <w:rPr/>
        <w:t>flourishes</w:t>
      </w:r>
      <w:r>
        <w:rPr>
          <w:spacing w:val="-5"/>
        </w:rPr>
        <w:t> </w:t>
      </w:r>
      <w:r>
        <w:rPr/>
        <w:t>from the unsexed</w:t>
      </w:r>
      <w:r>
        <w:rPr>
          <w:spacing w:val="40"/>
        </w:rPr>
        <w:t> </w:t>
      </w:r>
      <w:r>
        <w:rPr/>
        <w:t>Gender</w:t>
      </w:r>
      <w:r>
        <w:rPr>
          <w:spacing w:val="40"/>
        </w:rPr>
        <w:t> </w:t>
      </w:r>
      <w:r>
        <w:rPr/>
        <w:t>-</w:t>
      </w:r>
      <w:r>
        <w:rPr>
          <w:spacing w:val="40"/>
        </w:rPr>
        <w:t> </w:t>
      </w:r>
      <w:r>
        <w:rPr/>
        <w:t>Lady Macbeth’s</w:t>
      </w:r>
      <w:r>
        <w:rPr>
          <w:spacing w:val="40"/>
        </w:rPr>
        <w:t> </w:t>
      </w:r>
      <w:r>
        <w:rPr/>
        <w:t>breast</w:t>
      </w:r>
      <w:r>
        <w:rPr>
          <w:spacing w:val="40"/>
        </w:rPr>
        <w:t> </w:t>
      </w:r>
      <w:r>
        <w:rPr/>
        <w:t>-</w:t>
      </w:r>
      <w:r>
        <w:rPr>
          <w:spacing w:val="40"/>
        </w:rPr>
        <w:t> </w:t>
      </w:r>
      <w:r>
        <w:rPr/>
        <w:t>the</w:t>
      </w:r>
      <w:r>
        <w:rPr>
          <w:spacing w:val="40"/>
        </w:rPr>
        <w:t> </w:t>
      </w:r>
      <w:r>
        <w:rPr/>
        <w:t>bosom borne!</w:t>
      </w:r>
    </w:p>
    <w:p>
      <w:pPr>
        <w:pStyle w:val="BodyText"/>
        <w:spacing w:line="249" w:lineRule="auto" w:before="60"/>
        <w:ind w:right="1441" w:firstLine="432"/>
        <w:jc w:val="both"/>
      </w:pPr>
      <w:r>
        <w:rPr/>
        <w:t>The act is virgin - fertile to no hell bounds of consequences and </w:t>
      </w:r>
      <w:r>
        <w:rPr>
          <w:spacing w:val="-2"/>
        </w:rPr>
        <w:t>commandments.</w:t>
      </w:r>
    </w:p>
    <w:p>
      <w:pPr>
        <w:pStyle w:val="BodyText"/>
        <w:spacing w:before="59"/>
        <w:ind w:left="1872"/>
        <w:jc w:val="both"/>
      </w:pPr>
      <w:r>
        <w:rPr/>
        <w:t>An</w:t>
      </w:r>
      <w:r>
        <w:rPr>
          <w:spacing w:val="31"/>
        </w:rPr>
        <w:t> </w:t>
      </w:r>
      <w:r>
        <w:rPr/>
        <w:t>un</w:t>
      </w:r>
      <w:r>
        <w:rPr>
          <w:spacing w:val="30"/>
        </w:rPr>
        <w:t> </w:t>
      </w:r>
      <w:r>
        <w:rPr/>
        <w:t>ethereal</w:t>
      </w:r>
      <w:r>
        <w:rPr>
          <w:spacing w:val="32"/>
        </w:rPr>
        <w:t> </w:t>
      </w:r>
      <w:r>
        <w:rPr/>
        <w:t>tempest</w:t>
      </w:r>
      <w:r>
        <w:rPr>
          <w:spacing w:val="32"/>
        </w:rPr>
        <w:t> </w:t>
      </w:r>
      <w:r>
        <w:rPr>
          <w:spacing w:val="-2"/>
        </w:rPr>
        <w:t>besieged:</w:t>
      </w:r>
    </w:p>
    <w:p>
      <w:pPr>
        <w:pStyle w:val="BodyText"/>
        <w:spacing w:line="309" w:lineRule="auto" w:before="68"/>
        <w:ind w:left="1872" w:right="4251"/>
      </w:pPr>
      <w:r>
        <w:rPr/>
        <w:t>The</w:t>
      </w:r>
      <w:r>
        <w:rPr>
          <w:spacing w:val="21"/>
        </w:rPr>
        <w:t> </w:t>
      </w:r>
      <w:r>
        <w:rPr/>
        <w:t>conscience</w:t>
      </w:r>
      <w:r>
        <w:rPr>
          <w:spacing w:val="-8"/>
        </w:rPr>
        <w:t> </w:t>
      </w:r>
      <w:r>
        <w:rPr/>
        <w:t>of</w:t>
      </w:r>
      <w:r>
        <w:rPr>
          <w:spacing w:val="19"/>
        </w:rPr>
        <w:t> </w:t>
      </w:r>
      <w:r>
        <w:rPr/>
        <w:t>no</w:t>
      </w:r>
      <w:r>
        <w:rPr>
          <w:spacing w:val="22"/>
        </w:rPr>
        <w:t> </w:t>
      </w:r>
      <w:r>
        <w:rPr/>
        <w:t>guilt, The helpless empowered,</w:t>
      </w:r>
    </w:p>
    <w:p>
      <w:pPr>
        <w:pStyle w:val="BodyText"/>
        <w:spacing w:before="4"/>
        <w:ind w:left="1872"/>
      </w:pPr>
      <w:r>
        <w:rPr/>
        <w:t>No</w:t>
      </w:r>
      <w:r>
        <w:rPr>
          <w:spacing w:val="22"/>
        </w:rPr>
        <w:t> </w:t>
      </w:r>
      <w:r>
        <w:rPr/>
        <w:t>soliloquies</w:t>
      </w:r>
      <w:r>
        <w:rPr>
          <w:spacing w:val="18"/>
        </w:rPr>
        <w:t> </w:t>
      </w:r>
      <w:r>
        <w:rPr/>
        <w:t>of,</w:t>
      </w:r>
      <w:r>
        <w:rPr>
          <w:spacing w:val="22"/>
        </w:rPr>
        <w:t> </w:t>
      </w:r>
      <w:r>
        <w:rPr/>
        <w:t>‘To</w:t>
      </w:r>
      <w:r>
        <w:rPr>
          <w:spacing w:val="20"/>
        </w:rPr>
        <w:t> </w:t>
      </w:r>
      <w:r>
        <w:rPr/>
        <w:t>be</w:t>
      </w:r>
      <w:r>
        <w:rPr>
          <w:spacing w:val="22"/>
        </w:rPr>
        <w:t> </w:t>
      </w:r>
      <w:r>
        <w:rPr/>
        <w:t>or</w:t>
      </w:r>
      <w:r>
        <w:rPr>
          <w:spacing w:val="23"/>
        </w:rPr>
        <w:t> </w:t>
      </w:r>
      <w:r>
        <w:rPr/>
        <w:t>not</w:t>
      </w:r>
      <w:r>
        <w:rPr>
          <w:spacing w:val="19"/>
        </w:rPr>
        <w:t> </w:t>
      </w:r>
      <w:r>
        <w:rPr/>
        <w:t>to</w:t>
      </w:r>
      <w:r>
        <w:rPr>
          <w:spacing w:val="22"/>
        </w:rPr>
        <w:t> </w:t>
      </w:r>
      <w:r>
        <w:rPr>
          <w:spacing w:val="-4"/>
        </w:rPr>
        <w:t>be’!</w:t>
      </w:r>
    </w:p>
    <w:p>
      <w:pPr>
        <w:pStyle w:val="BodyText"/>
        <w:spacing w:before="68"/>
        <w:ind w:left="1872"/>
      </w:pPr>
      <w:r>
        <w:rPr/>
        <w:t>Rising</w:t>
      </w:r>
      <w:r>
        <w:rPr>
          <w:spacing w:val="25"/>
        </w:rPr>
        <w:t> </w:t>
      </w:r>
      <w:r>
        <w:rPr/>
        <w:t>in</w:t>
      </w:r>
      <w:r>
        <w:rPr>
          <w:spacing w:val="24"/>
        </w:rPr>
        <w:t> </w:t>
      </w:r>
      <w:r>
        <w:rPr/>
        <w:t>innocent</w:t>
      </w:r>
      <w:r>
        <w:rPr>
          <w:spacing w:val="28"/>
        </w:rPr>
        <w:t> </w:t>
      </w:r>
      <w:r>
        <w:rPr/>
        <w:t>raptures</w:t>
      </w:r>
      <w:r>
        <w:rPr>
          <w:spacing w:val="24"/>
        </w:rPr>
        <w:t> </w:t>
      </w:r>
      <w:r>
        <w:rPr/>
        <w:t>of</w:t>
      </w:r>
      <w:r>
        <w:rPr>
          <w:spacing w:val="24"/>
        </w:rPr>
        <w:t> </w:t>
      </w:r>
      <w:r>
        <w:rPr/>
        <w:t>ecstasies</w:t>
      </w:r>
      <w:r>
        <w:rPr>
          <w:spacing w:val="26"/>
        </w:rPr>
        <w:t> </w:t>
      </w:r>
      <w:r>
        <w:rPr/>
        <w:t>of</w:t>
      </w:r>
      <w:r>
        <w:rPr>
          <w:spacing w:val="-4"/>
        </w:rPr>
        <w:t> </w:t>
      </w:r>
      <w:r>
        <w:rPr/>
        <w:t>devil</w:t>
      </w:r>
      <w:r>
        <w:rPr>
          <w:spacing w:val="28"/>
        </w:rPr>
        <w:t> </w:t>
      </w:r>
      <w:r>
        <w:rPr/>
        <w:t>penetrated</w:t>
      </w:r>
      <w:r>
        <w:rPr>
          <w:spacing w:val="28"/>
        </w:rPr>
        <w:t> </w:t>
      </w:r>
      <w:r>
        <w:rPr>
          <w:spacing w:val="-2"/>
        </w:rPr>
        <w:t>evil.</w:t>
      </w:r>
    </w:p>
    <w:p>
      <w:pPr>
        <w:pStyle w:val="BodyText"/>
        <w:spacing w:line="249" w:lineRule="auto" w:before="67"/>
        <w:ind w:right="1438" w:firstLine="432"/>
        <w:jc w:val="both"/>
      </w:pPr>
      <w:r>
        <w:rPr/>
        <w:t>The unsex</w:t>
      </w:r>
      <w:r>
        <w:rPr>
          <w:spacing w:val="-1"/>
        </w:rPr>
        <w:t> </w:t>
      </w:r>
      <w:r>
        <w:rPr/>
        <w:t>gender</w:t>
      </w:r>
      <w:r>
        <w:rPr>
          <w:spacing w:val="-1"/>
        </w:rPr>
        <w:t> </w:t>
      </w:r>
      <w:r>
        <w:rPr/>
        <w:t>is</w:t>
      </w:r>
      <w:r>
        <w:rPr>
          <w:spacing w:val="-1"/>
        </w:rPr>
        <w:t> </w:t>
      </w:r>
      <w:r>
        <w:rPr/>
        <w:t>the</w:t>
      </w:r>
      <w:r>
        <w:rPr>
          <w:spacing w:val="-1"/>
        </w:rPr>
        <w:t> </w:t>
      </w:r>
      <w:r>
        <w:rPr/>
        <w:t>Divinity</w:t>
      </w:r>
      <w:r>
        <w:rPr>
          <w:spacing w:val="-1"/>
        </w:rPr>
        <w:t> </w:t>
      </w:r>
      <w:r>
        <w:rPr/>
        <w:t>of</w:t>
      </w:r>
      <w:r>
        <w:rPr>
          <w:spacing w:val="-3"/>
        </w:rPr>
        <w:t> </w:t>
      </w:r>
      <w:r>
        <w:rPr/>
        <w:t>Satanic Murder!</w:t>
      </w:r>
      <w:r>
        <w:rPr>
          <w:spacing w:val="-3"/>
        </w:rPr>
        <w:t> </w:t>
      </w:r>
      <w:r>
        <w:rPr/>
        <w:t>The Game</w:t>
      </w:r>
      <w:r>
        <w:rPr>
          <w:spacing w:val="-1"/>
        </w:rPr>
        <w:t> </w:t>
      </w:r>
      <w:r>
        <w:rPr/>
        <w:t>of thrones in monarchy birth rights is the most pleasing pleasure with the syndrome of the ‘She - Devil ‘ The Freudian Principles of psycho analytics of</w:t>
      </w:r>
      <w:r>
        <w:rPr>
          <w:spacing w:val="40"/>
        </w:rPr>
        <w:t> </w:t>
      </w:r>
      <w:r>
        <w:rPr/>
        <w:t>dissecting and investigating into the erogenous virgin fair maiden</w:t>
      </w:r>
      <w:r>
        <w:rPr>
          <w:spacing w:val="9"/>
        </w:rPr>
        <w:t> </w:t>
      </w:r>
      <w:r>
        <w:rPr/>
        <w:t>into</w:t>
      </w:r>
      <w:r>
        <w:rPr>
          <w:spacing w:val="15"/>
        </w:rPr>
        <w:t> </w:t>
      </w:r>
      <w:r>
        <w:rPr/>
        <w:t>the</w:t>
      </w:r>
      <w:r>
        <w:rPr>
          <w:spacing w:val="13"/>
        </w:rPr>
        <w:t> </w:t>
      </w:r>
      <w:r>
        <w:rPr/>
        <w:t>prophecy</w:t>
      </w:r>
      <w:r>
        <w:rPr>
          <w:spacing w:val="8"/>
        </w:rPr>
        <w:t> </w:t>
      </w:r>
      <w:r>
        <w:rPr/>
        <w:t>of</w:t>
      </w:r>
      <w:r>
        <w:rPr>
          <w:spacing w:val="11"/>
        </w:rPr>
        <w:t> </w:t>
      </w:r>
      <w:r>
        <w:rPr/>
        <w:t>the</w:t>
      </w:r>
      <w:r>
        <w:rPr>
          <w:spacing w:val="12"/>
        </w:rPr>
        <w:t> </w:t>
      </w:r>
      <w:r>
        <w:rPr/>
        <w:t>three</w:t>
      </w:r>
      <w:r>
        <w:rPr>
          <w:spacing w:val="13"/>
        </w:rPr>
        <w:t> </w:t>
      </w:r>
      <w:r>
        <w:rPr/>
        <w:t>witches</w:t>
      </w:r>
      <w:r>
        <w:rPr>
          <w:spacing w:val="10"/>
        </w:rPr>
        <w:t> </w:t>
      </w:r>
      <w:r>
        <w:rPr/>
        <w:t>is</w:t>
      </w:r>
      <w:r>
        <w:rPr>
          <w:spacing w:val="9"/>
        </w:rPr>
        <w:t> </w:t>
      </w:r>
      <w:r>
        <w:rPr/>
        <w:t>the</w:t>
      </w:r>
      <w:r>
        <w:rPr>
          <w:spacing w:val="14"/>
        </w:rPr>
        <w:t> </w:t>
      </w:r>
      <w:r>
        <w:rPr/>
        <w:t>Feminine</w:t>
      </w:r>
      <w:r>
        <w:rPr>
          <w:spacing w:val="11"/>
        </w:rPr>
        <w:t> </w:t>
      </w:r>
      <w:r>
        <w:rPr>
          <w:spacing w:val="-2"/>
        </w:rPr>
        <w:t>Fatality</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93504">
                <wp:simplePos x="0" y="0"/>
                <wp:positionH relativeFrom="page">
                  <wp:posOffset>2065020</wp:posOffset>
                </wp:positionH>
                <wp:positionV relativeFrom="paragraph">
                  <wp:posOffset>795020</wp:posOffset>
                </wp:positionV>
                <wp:extent cx="3657600" cy="12700"/>
                <wp:effectExtent l="0" t="0" r="0" b="0"/>
                <wp:wrapTopAndBottom/>
                <wp:docPr id="816" name="Graphic 816"/>
                <wp:cNvGraphicFramePr>
                  <a:graphicFrameLocks/>
                </wp:cNvGraphicFramePr>
                <a:graphic>
                  <a:graphicData uri="http://schemas.microsoft.com/office/word/2010/wordprocessingShape">
                    <wps:wsp>
                      <wps:cNvPr id="816" name="Graphic 81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22976;mso-wrap-distance-left:0;mso-wrap-distance-right:0" id="docshape808"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417</w:t>
      </w:r>
    </w:p>
    <w:p>
      <w:pPr>
        <w:pStyle w:val="BodyText"/>
        <w:spacing w:line="249" w:lineRule="auto" w:before="192"/>
        <w:ind w:right="1437"/>
        <w:jc w:val="both"/>
      </w:pPr>
      <w:r>
        <w:rPr/>
        <w:t>embarked in Lady Macbeth’s bosom - requires no mystic and mystery to</w:t>
      </w:r>
      <w:r>
        <w:rPr>
          <w:spacing w:val="40"/>
        </w:rPr>
        <w:t> </w:t>
      </w:r>
      <w:r>
        <w:rPr/>
        <w:t>commit</w:t>
      </w:r>
      <w:r>
        <w:rPr>
          <w:spacing w:val="40"/>
        </w:rPr>
        <w:t> </w:t>
      </w:r>
      <w:r>
        <w:rPr/>
        <w:t>a murderous</w:t>
      </w:r>
      <w:r>
        <w:rPr>
          <w:spacing w:val="40"/>
        </w:rPr>
        <w:t> </w:t>
      </w:r>
      <w:r>
        <w:rPr/>
        <w:t>act</w:t>
      </w:r>
      <w:r>
        <w:rPr>
          <w:spacing w:val="40"/>
        </w:rPr>
        <w:t> </w:t>
      </w:r>
      <w:r>
        <w:rPr/>
        <w:t>as</w:t>
      </w:r>
      <w:r>
        <w:rPr>
          <w:spacing w:val="40"/>
        </w:rPr>
        <w:t> </w:t>
      </w:r>
      <w:r>
        <w:rPr/>
        <w:t>heaven</w:t>
      </w:r>
      <w:r>
        <w:rPr>
          <w:spacing w:val="40"/>
        </w:rPr>
        <w:t> </w:t>
      </w:r>
      <w:r>
        <w:rPr/>
        <w:t>strikes</w:t>
      </w:r>
      <w:r>
        <w:rPr>
          <w:spacing w:val="40"/>
        </w:rPr>
        <w:t> </w:t>
      </w:r>
      <w:r>
        <w:rPr/>
        <w:t>the</w:t>
      </w:r>
      <w:r>
        <w:rPr>
          <w:spacing w:val="40"/>
        </w:rPr>
        <w:t> </w:t>
      </w:r>
      <w:r>
        <w:rPr/>
        <w:t>clock</w:t>
      </w:r>
      <w:r>
        <w:rPr>
          <w:spacing w:val="40"/>
        </w:rPr>
        <w:t> </w:t>
      </w:r>
      <w:r>
        <w:rPr/>
        <w:t>auspicious. The omen</w:t>
      </w:r>
      <w:r>
        <w:rPr>
          <w:spacing w:val="40"/>
        </w:rPr>
        <w:t> </w:t>
      </w:r>
      <w:r>
        <w:rPr/>
        <w:t>is nocturnal</w:t>
      </w:r>
      <w:r>
        <w:rPr>
          <w:spacing w:val="40"/>
        </w:rPr>
        <w:t> </w:t>
      </w:r>
      <w:r>
        <w:rPr/>
        <w:t>haunt</w:t>
      </w:r>
      <w:r>
        <w:rPr>
          <w:spacing w:val="40"/>
        </w:rPr>
        <w:t> </w:t>
      </w:r>
      <w:r>
        <w:rPr/>
        <w:t>for</w:t>
      </w:r>
      <w:r>
        <w:rPr>
          <w:spacing w:val="40"/>
        </w:rPr>
        <w:t> </w:t>
      </w:r>
      <w:r>
        <w:rPr/>
        <w:t>its</w:t>
      </w:r>
      <w:r>
        <w:rPr>
          <w:spacing w:val="40"/>
        </w:rPr>
        <w:t> </w:t>
      </w:r>
      <w:r>
        <w:rPr/>
        <w:t>prey.</w:t>
      </w:r>
    </w:p>
    <w:p>
      <w:pPr>
        <w:pStyle w:val="BodyText"/>
        <w:spacing w:line="249" w:lineRule="auto" w:before="60"/>
        <w:ind w:right="1440" w:firstLine="432"/>
        <w:jc w:val="both"/>
      </w:pPr>
      <w:r>
        <w:rPr/>
        <w:t>Is the masterly</w:t>
      </w:r>
      <w:r>
        <w:rPr>
          <w:spacing w:val="-9"/>
        </w:rPr>
        <w:t> </w:t>
      </w:r>
      <w:r>
        <w:rPr/>
        <w:t>and poignantly the staunch embodiment of just doing</w:t>
      </w:r>
      <w:r>
        <w:rPr>
          <w:spacing w:val="40"/>
        </w:rPr>
        <w:t> </w:t>
      </w:r>
      <w:r>
        <w:rPr/>
        <w:t>the</w:t>
      </w:r>
      <w:r>
        <w:rPr>
          <w:spacing w:val="40"/>
        </w:rPr>
        <w:t> </w:t>
      </w:r>
      <w:r>
        <w:rPr/>
        <w:t>act</w:t>
      </w:r>
      <w:r>
        <w:rPr>
          <w:spacing w:val="40"/>
        </w:rPr>
        <w:t> </w:t>
      </w:r>
      <w:r>
        <w:rPr/>
        <w:t>of</w:t>
      </w:r>
      <w:r>
        <w:rPr>
          <w:spacing w:val="40"/>
        </w:rPr>
        <w:t> </w:t>
      </w:r>
      <w:r>
        <w:rPr/>
        <w:t>sheer</w:t>
      </w:r>
      <w:r>
        <w:rPr>
          <w:spacing w:val="40"/>
        </w:rPr>
        <w:t> </w:t>
      </w:r>
      <w:r>
        <w:rPr/>
        <w:t>serendipity.</w:t>
      </w:r>
    </w:p>
    <w:p>
      <w:pPr>
        <w:pStyle w:val="BodyText"/>
        <w:spacing w:line="312" w:lineRule="auto" w:before="59"/>
        <w:ind w:left="1872" w:right="3688"/>
      </w:pPr>
      <w:r>
        <w:rPr/>
        <w:t>Hell indeed has no </w:t>
      </w:r>
      <w:r>
        <w:rPr/>
        <w:t>commandments But</w:t>
      </w:r>
      <w:r>
        <w:rPr>
          <w:spacing w:val="33"/>
        </w:rPr>
        <w:t> </w:t>
      </w:r>
      <w:r>
        <w:rPr/>
        <w:t>the apparition</w:t>
      </w:r>
      <w:r>
        <w:rPr>
          <w:spacing w:val="29"/>
        </w:rPr>
        <w:t> </w:t>
      </w:r>
      <w:r>
        <w:rPr/>
        <w:t>is</w:t>
      </w:r>
      <w:r>
        <w:rPr>
          <w:spacing w:val="33"/>
        </w:rPr>
        <w:t> </w:t>
      </w:r>
      <w:r>
        <w:rPr/>
        <w:t>bewitched</w:t>
      </w:r>
      <w:r>
        <w:rPr>
          <w:spacing w:val="35"/>
        </w:rPr>
        <w:t> </w:t>
      </w:r>
      <w:r>
        <w:rPr/>
        <w:t>as The mortal.</w:t>
      </w:r>
    </w:p>
    <w:p>
      <w:pPr>
        <w:pStyle w:val="BodyText"/>
        <w:spacing w:line="228" w:lineRule="exact"/>
        <w:ind w:left="1872"/>
      </w:pPr>
      <w:r>
        <w:rPr/>
        <w:t>Hells</w:t>
      </w:r>
      <w:r>
        <w:rPr>
          <w:spacing w:val="27"/>
        </w:rPr>
        <w:t> </w:t>
      </w:r>
      <w:r>
        <w:rPr/>
        <w:t>curtains</w:t>
      </w:r>
      <w:r>
        <w:rPr>
          <w:spacing w:val="27"/>
        </w:rPr>
        <w:t> </w:t>
      </w:r>
      <w:r>
        <w:rPr/>
        <w:t>never</w:t>
      </w:r>
      <w:r>
        <w:rPr>
          <w:spacing w:val="28"/>
        </w:rPr>
        <w:t> </w:t>
      </w:r>
      <w:r>
        <w:rPr>
          <w:spacing w:val="-2"/>
        </w:rPr>
        <w:t>closes</w:t>
      </w:r>
    </w:p>
    <w:p>
      <w:pPr>
        <w:pStyle w:val="BodyText"/>
        <w:spacing w:before="75"/>
        <w:ind w:left="1872"/>
      </w:pPr>
      <w:r>
        <w:rPr/>
        <w:t>It</w:t>
      </w:r>
      <w:r>
        <w:rPr>
          <w:spacing w:val="18"/>
        </w:rPr>
        <w:t> </w:t>
      </w:r>
      <w:r>
        <w:rPr/>
        <w:t>burns</w:t>
      </w:r>
      <w:r>
        <w:rPr>
          <w:spacing w:val="18"/>
        </w:rPr>
        <w:t> </w:t>
      </w:r>
      <w:r>
        <w:rPr/>
        <w:t>in</w:t>
      </w:r>
      <w:r>
        <w:rPr>
          <w:spacing w:val="20"/>
        </w:rPr>
        <w:t> </w:t>
      </w:r>
      <w:r>
        <w:rPr/>
        <w:t>aftermath</w:t>
      </w:r>
      <w:r>
        <w:rPr>
          <w:spacing w:val="19"/>
        </w:rPr>
        <w:t> </w:t>
      </w:r>
      <w:r>
        <w:rPr>
          <w:spacing w:val="-2"/>
        </w:rPr>
        <w:t>Murder!</w:t>
      </w:r>
    </w:p>
    <w:p>
      <w:pPr>
        <w:pStyle w:val="BodyText"/>
        <w:spacing w:line="261" w:lineRule="auto" w:before="78"/>
        <w:ind w:right="1438" w:firstLine="432"/>
        <w:jc w:val="both"/>
      </w:pPr>
      <w:r>
        <w:rPr/>
        <w:t>Genius Grandeur the grace on grave save no art dwindled in mystical aura is the ornamental Eve of Shakespearean Revenge </w:t>
      </w:r>
      <w:r>
        <w:rPr>
          <w:spacing w:val="-2"/>
        </w:rPr>
        <w:t>Tragedies!</w:t>
      </w:r>
    </w:p>
    <w:p>
      <w:pPr>
        <w:pStyle w:val="BodyText"/>
        <w:spacing w:before="56"/>
        <w:ind w:left="1872"/>
        <w:jc w:val="both"/>
      </w:pPr>
      <w:r>
        <w:rPr/>
        <w:t>Woman</w:t>
      </w:r>
      <w:r>
        <w:rPr>
          <w:spacing w:val="5"/>
        </w:rPr>
        <w:t> </w:t>
      </w:r>
      <w:r>
        <w:rPr/>
        <w:t>Thy</w:t>
      </w:r>
      <w:r>
        <w:rPr>
          <w:spacing w:val="8"/>
        </w:rPr>
        <w:t> </w:t>
      </w:r>
      <w:r>
        <w:rPr/>
        <w:t>Name</w:t>
      </w:r>
      <w:r>
        <w:rPr>
          <w:spacing w:val="10"/>
        </w:rPr>
        <w:t> </w:t>
      </w:r>
      <w:r>
        <w:rPr/>
        <w:t>is</w:t>
      </w:r>
      <w:r>
        <w:rPr>
          <w:spacing w:val="9"/>
        </w:rPr>
        <w:t> </w:t>
      </w:r>
      <w:r>
        <w:rPr>
          <w:spacing w:val="-2"/>
        </w:rPr>
        <w:t>Frailty?</w:t>
      </w:r>
    </w:p>
    <w:p>
      <w:pPr>
        <w:pStyle w:val="BodyText"/>
        <w:spacing w:before="78"/>
        <w:ind w:left="1872"/>
        <w:jc w:val="both"/>
      </w:pPr>
      <w:r>
        <w:rPr/>
        <w:t>Un</w:t>
      </w:r>
      <w:r>
        <w:rPr>
          <w:spacing w:val="16"/>
        </w:rPr>
        <w:t> </w:t>
      </w:r>
      <w:r>
        <w:rPr/>
        <w:t>bound</w:t>
      </w:r>
      <w:r>
        <w:rPr>
          <w:spacing w:val="21"/>
        </w:rPr>
        <w:t> </w:t>
      </w:r>
      <w:r>
        <w:rPr/>
        <w:t>me</w:t>
      </w:r>
      <w:r>
        <w:rPr>
          <w:spacing w:val="19"/>
        </w:rPr>
        <w:t> </w:t>
      </w:r>
      <w:r>
        <w:rPr/>
        <w:t>unsex</w:t>
      </w:r>
      <w:r>
        <w:rPr>
          <w:spacing w:val="19"/>
        </w:rPr>
        <w:t> </w:t>
      </w:r>
      <w:r>
        <w:rPr/>
        <w:t>me</w:t>
      </w:r>
      <w:r>
        <w:rPr>
          <w:spacing w:val="18"/>
        </w:rPr>
        <w:t> </w:t>
      </w:r>
      <w:r>
        <w:rPr/>
        <w:t>unleash</w:t>
      </w:r>
      <w:r>
        <w:rPr>
          <w:spacing w:val="18"/>
        </w:rPr>
        <w:t> </w:t>
      </w:r>
      <w:r>
        <w:rPr>
          <w:spacing w:val="-5"/>
        </w:rPr>
        <w:t>me</w:t>
      </w:r>
    </w:p>
    <w:p>
      <w:pPr>
        <w:pStyle w:val="BodyText"/>
        <w:spacing w:line="261" w:lineRule="auto" w:before="79"/>
        <w:ind w:right="1440" w:firstLine="432"/>
        <w:jc w:val="both"/>
      </w:pPr>
      <w:r>
        <w:rPr/>
        <w:t>I am the undone female version - virgin chaste in</w:t>
      </w:r>
      <w:r>
        <w:rPr>
          <w:spacing w:val="-6"/>
        </w:rPr>
        <w:t> </w:t>
      </w:r>
      <w:r>
        <w:rPr/>
        <w:t>mesmerizing </w:t>
      </w:r>
      <w:r>
        <w:rPr>
          <w:spacing w:val="-2"/>
        </w:rPr>
        <w:t>haunts!</w:t>
      </w:r>
    </w:p>
    <w:p>
      <w:pPr>
        <w:pStyle w:val="BodyText"/>
        <w:spacing w:before="56"/>
        <w:ind w:left="1872"/>
        <w:jc w:val="both"/>
      </w:pPr>
      <w:r>
        <w:rPr/>
        <w:t>This</w:t>
      </w:r>
      <w:r>
        <w:rPr>
          <w:spacing w:val="30"/>
        </w:rPr>
        <w:t> </w:t>
      </w:r>
      <w:r>
        <w:rPr/>
        <w:t>is</w:t>
      </w:r>
      <w:r>
        <w:rPr>
          <w:spacing w:val="32"/>
        </w:rPr>
        <w:t> </w:t>
      </w:r>
      <w:r>
        <w:rPr/>
        <w:t>sombre</w:t>
      </w:r>
      <w:r>
        <w:rPr>
          <w:spacing w:val="28"/>
        </w:rPr>
        <w:t> </w:t>
      </w:r>
      <w:r>
        <w:rPr/>
        <w:t>symphony</w:t>
      </w:r>
      <w:r>
        <w:rPr>
          <w:spacing w:val="27"/>
        </w:rPr>
        <w:t> </w:t>
      </w:r>
      <w:r>
        <w:rPr/>
        <w:t>of</w:t>
      </w:r>
      <w:r>
        <w:rPr>
          <w:spacing w:val="30"/>
        </w:rPr>
        <w:t> </w:t>
      </w:r>
      <w:r>
        <w:rPr/>
        <w:t>Shakespearean</w:t>
      </w:r>
      <w:r>
        <w:rPr>
          <w:spacing w:val="30"/>
        </w:rPr>
        <w:t> </w:t>
      </w:r>
      <w:r>
        <w:rPr>
          <w:spacing w:val="-2"/>
        </w:rPr>
        <w:t>Success!</w:t>
      </w:r>
    </w:p>
    <w:p>
      <w:pPr>
        <w:pStyle w:val="BodyText"/>
        <w:spacing w:line="261" w:lineRule="auto" w:before="79"/>
        <w:ind w:right="1437" w:firstLine="432"/>
        <w:jc w:val="both"/>
      </w:pPr>
      <w:r>
        <w:rPr>
          <w:b/>
        </w:rPr>
        <w:t>Key</w:t>
      </w:r>
      <w:r>
        <w:rPr>
          <w:b/>
          <w:spacing w:val="-10"/>
        </w:rPr>
        <w:t> </w:t>
      </w:r>
      <w:r>
        <w:rPr>
          <w:b/>
        </w:rPr>
        <w:t>words:</w:t>
      </w:r>
      <w:r>
        <w:rPr>
          <w:b/>
          <w:spacing w:val="80"/>
        </w:rPr>
        <w:t> </w:t>
      </w:r>
      <w:r>
        <w:rPr/>
        <w:t>Theories</w:t>
      </w:r>
      <w:r>
        <w:rPr>
          <w:spacing w:val="-6"/>
        </w:rPr>
        <w:t> </w:t>
      </w:r>
      <w:r>
        <w:rPr/>
        <w:t>of</w:t>
      </w:r>
      <w:r>
        <w:rPr>
          <w:spacing w:val="-13"/>
        </w:rPr>
        <w:t> </w:t>
      </w:r>
      <w:r>
        <w:rPr/>
        <w:t>Analytical</w:t>
      </w:r>
      <w:r>
        <w:rPr>
          <w:spacing w:val="-12"/>
        </w:rPr>
        <w:t> </w:t>
      </w:r>
      <w:r>
        <w:rPr/>
        <w:t>Approach:</w:t>
      </w:r>
      <w:r>
        <w:rPr>
          <w:spacing w:val="-3"/>
        </w:rPr>
        <w:t> </w:t>
      </w:r>
      <w:r>
        <w:rPr/>
        <w:t>Principles</w:t>
      </w:r>
      <w:r>
        <w:rPr>
          <w:spacing w:val="-6"/>
        </w:rPr>
        <w:t> </w:t>
      </w:r>
      <w:r>
        <w:rPr/>
        <w:t>of</w:t>
      </w:r>
      <w:r>
        <w:rPr>
          <w:spacing w:val="-4"/>
        </w:rPr>
        <w:t> </w:t>
      </w:r>
      <w:r>
        <w:rPr/>
        <w:t>Lust: Freudian Theory of unconscious drive (Eros and Thanatos): untamed shrew</w:t>
      </w:r>
      <w:r>
        <w:rPr>
          <w:spacing w:val="-9"/>
        </w:rPr>
        <w:t> </w:t>
      </w:r>
      <w:r>
        <w:rPr/>
        <w:t>syndrome: Fair is Foul, Foul is Fair: Monarchy and Patriarchy </w:t>
      </w:r>
      <w:r>
        <w:rPr>
          <w:spacing w:val="-2"/>
        </w:rPr>
        <w:t>Catastrophe:</w:t>
      </w:r>
      <w:r>
        <w:rPr>
          <w:spacing w:val="-11"/>
        </w:rPr>
        <w:t> </w:t>
      </w:r>
      <w:r>
        <w:rPr>
          <w:spacing w:val="-2"/>
        </w:rPr>
        <w:t>Revenge</w:t>
      </w:r>
      <w:r>
        <w:rPr>
          <w:spacing w:val="-10"/>
        </w:rPr>
        <w:t> </w:t>
      </w:r>
      <w:r>
        <w:rPr>
          <w:spacing w:val="-2"/>
        </w:rPr>
        <w:t>-</w:t>
      </w:r>
      <w:r>
        <w:rPr>
          <w:spacing w:val="-11"/>
        </w:rPr>
        <w:t> </w:t>
      </w:r>
      <w:r>
        <w:rPr>
          <w:spacing w:val="-2"/>
        </w:rPr>
        <w:t>Avenge:</w:t>
      </w:r>
      <w:r>
        <w:rPr>
          <w:spacing w:val="-10"/>
        </w:rPr>
        <w:t> </w:t>
      </w:r>
      <w:r>
        <w:rPr>
          <w:spacing w:val="-2"/>
        </w:rPr>
        <w:t>Apparition:</w:t>
      </w:r>
      <w:r>
        <w:rPr>
          <w:spacing w:val="-11"/>
        </w:rPr>
        <w:t> </w:t>
      </w:r>
      <w:r>
        <w:rPr>
          <w:spacing w:val="-2"/>
        </w:rPr>
        <w:t>Elizabethan</w:t>
      </w:r>
      <w:r>
        <w:rPr>
          <w:spacing w:val="-10"/>
        </w:rPr>
        <w:t> </w:t>
      </w:r>
      <w:r>
        <w:rPr>
          <w:spacing w:val="-2"/>
        </w:rPr>
        <w:t>Women:</w:t>
      </w:r>
      <w:r>
        <w:rPr>
          <w:spacing w:val="-11"/>
        </w:rPr>
        <w:t> </w:t>
      </w:r>
      <w:r>
        <w:rPr>
          <w:spacing w:val="-2"/>
        </w:rPr>
        <w:t>Psyche </w:t>
      </w:r>
      <w:r>
        <w:rPr>
          <w:spacing w:val="-4"/>
        </w:rPr>
        <w:t>and ideologies</w:t>
      </w:r>
      <w:r>
        <w:rPr>
          <w:spacing w:val="-6"/>
        </w:rPr>
        <w:t> </w:t>
      </w:r>
      <w:r>
        <w:rPr>
          <w:spacing w:val="-4"/>
        </w:rPr>
        <w:t>of</w:t>
      </w:r>
      <w:r>
        <w:rPr>
          <w:spacing w:val="-9"/>
        </w:rPr>
        <w:t> </w:t>
      </w:r>
      <w:r>
        <w:rPr>
          <w:spacing w:val="-4"/>
        </w:rPr>
        <w:t>modern</w:t>
      </w:r>
      <w:r>
        <w:rPr>
          <w:spacing w:val="-6"/>
        </w:rPr>
        <w:t> </w:t>
      </w:r>
      <w:r>
        <w:rPr>
          <w:spacing w:val="-4"/>
        </w:rPr>
        <w:t>women in media, Gender, Power and Patriarchy: </w:t>
      </w:r>
      <w:r>
        <w:rPr/>
        <w:t>Re - examining Shakespeare’s Women in the # Me Too Era</w:t>
      </w:r>
    </w:p>
    <w:p>
      <w:pPr>
        <w:pStyle w:val="Heading3"/>
        <w:spacing w:before="150"/>
      </w:pPr>
      <w:r>
        <w:rPr>
          <w:spacing w:val="-2"/>
          <w:w w:val="95"/>
        </w:rPr>
        <w:t>INTRODUCTION:</w:t>
      </w:r>
    </w:p>
    <w:p>
      <w:pPr>
        <w:pStyle w:val="BodyText"/>
        <w:spacing w:line="261" w:lineRule="auto" w:before="87"/>
        <w:ind w:right="1438" w:firstLine="432"/>
        <w:jc w:val="both"/>
      </w:pPr>
      <w:r>
        <w:rPr/>
        <w:t>Bard of</w:t>
      </w:r>
      <w:r>
        <w:rPr>
          <w:spacing w:val="-4"/>
        </w:rPr>
        <w:t> </w:t>
      </w:r>
      <w:r>
        <w:rPr/>
        <w:t>Avon,William Shakespeare ( 1564-1616) orchestra’s as a maestro of</w:t>
      </w:r>
      <w:r>
        <w:rPr>
          <w:spacing w:val="40"/>
        </w:rPr>
        <w:t> </w:t>
      </w:r>
      <w:r>
        <w:rPr/>
        <w:t>world’s</w:t>
      </w:r>
      <w:r>
        <w:rPr>
          <w:spacing w:val="-3"/>
        </w:rPr>
        <w:t> </w:t>
      </w:r>
      <w:r>
        <w:rPr/>
        <w:t>reigning</w:t>
      </w:r>
      <w:r>
        <w:rPr>
          <w:spacing w:val="-5"/>
        </w:rPr>
        <w:t> </w:t>
      </w:r>
      <w:r>
        <w:rPr/>
        <w:t>dramatist</w:t>
      </w:r>
      <w:r>
        <w:rPr>
          <w:spacing w:val="-1"/>
        </w:rPr>
        <w:t> </w:t>
      </w:r>
      <w:r>
        <w:rPr/>
        <w:t>.Queen</w:t>
      </w:r>
      <w:r>
        <w:rPr>
          <w:spacing w:val="-5"/>
        </w:rPr>
        <w:t> </w:t>
      </w:r>
      <w:r>
        <w:rPr/>
        <w:t>Elizabeth</w:t>
      </w:r>
      <w:r>
        <w:rPr>
          <w:spacing w:val="-1"/>
        </w:rPr>
        <w:t> </w:t>
      </w:r>
      <w:r>
        <w:rPr/>
        <w:t>(</w:t>
      </w:r>
      <w:r>
        <w:rPr>
          <w:spacing w:val="-3"/>
        </w:rPr>
        <w:t> </w:t>
      </w:r>
      <w:r>
        <w:rPr/>
        <w:t>1583</w:t>
      </w:r>
      <w:r>
        <w:rPr>
          <w:spacing w:val="-1"/>
        </w:rPr>
        <w:t> </w:t>
      </w:r>
      <w:r>
        <w:rPr/>
        <w:t>-</w:t>
      </w:r>
      <w:r>
        <w:rPr>
          <w:spacing w:val="-5"/>
        </w:rPr>
        <w:t> </w:t>
      </w:r>
      <w:r>
        <w:rPr/>
        <w:t>1603</w:t>
      </w:r>
      <w:r>
        <w:rPr>
          <w:spacing w:val="-1"/>
        </w:rPr>
        <w:t> </w:t>
      </w:r>
      <w:r>
        <w:rPr/>
        <w:t>) the royal patronage of arts and entreaties of drama rolled a royal carpet of amusement and entertainment Lord Chamberlain’s Men .Paving arts and literature to be staged on occasions by Shakespeare’s company embarking and enthralling the Elizabethan theatre to raise the curtains into vividity of a sphere hidden, where the Elizabethan audience could see the rising of the Elizabethan curtains unmasking man under the masquerade of human nature - ‘The Elizabethan Mirror’. That Man’s Will Be Done’. Haunting the audience in the Elizabethan gallery.</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94016">
                <wp:simplePos x="0" y="0"/>
                <wp:positionH relativeFrom="page">
                  <wp:posOffset>2057400</wp:posOffset>
                </wp:positionH>
                <wp:positionV relativeFrom="paragraph">
                  <wp:posOffset>162604</wp:posOffset>
                </wp:positionV>
                <wp:extent cx="3657600" cy="12700"/>
                <wp:effectExtent l="0" t="0" r="0" b="0"/>
                <wp:wrapTopAndBottom/>
                <wp:docPr id="817" name="Graphic 817"/>
                <wp:cNvGraphicFramePr>
                  <a:graphicFrameLocks/>
                </wp:cNvGraphicFramePr>
                <a:graphic>
                  <a:graphicData uri="http://schemas.microsoft.com/office/word/2010/wordprocessingShape">
                    <wps:wsp>
                      <wps:cNvPr id="817" name="Graphic 81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22464;mso-wrap-distance-left:0;mso-wrap-distance-right:0" id="docshape809" filled="true" fillcolor="#000000" stroked="false">
                <v:fill type="solid"/>
                <w10:wrap type="topAndBottom"/>
              </v:rect>
            </w:pict>
          </mc:Fallback>
        </mc:AlternateContent>
      </w:r>
      <w:r>
        <w:rPr>
          <w:rFonts w:ascii="Verdana"/>
          <w:spacing w:val="-5"/>
          <w:sz w:val="18"/>
        </w:rPr>
        <w:t>418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1" w:firstLine="432"/>
        <w:jc w:val="both"/>
      </w:pPr>
      <w:r>
        <w:rPr/>
        <w:t>Shakespearean</w:t>
      </w:r>
      <w:r>
        <w:rPr>
          <w:spacing w:val="-13"/>
        </w:rPr>
        <w:t> </w:t>
      </w:r>
      <w:r>
        <w:rPr/>
        <w:t>supernatural</w:t>
      </w:r>
      <w:r>
        <w:rPr>
          <w:spacing w:val="-12"/>
        </w:rPr>
        <w:t> </w:t>
      </w:r>
      <w:r>
        <w:rPr/>
        <w:t>elements</w:t>
      </w:r>
      <w:r>
        <w:rPr>
          <w:spacing w:val="-13"/>
        </w:rPr>
        <w:t> </w:t>
      </w:r>
      <w:r>
        <w:rPr/>
        <w:t>enticing</w:t>
      </w:r>
      <w:r>
        <w:rPr>
          <w:spacing w:val="-12"/>
        </w:rPr>
        <w:t> </w:t>
      </w:r>
      <w:r>
        <w:rPr/>
        <w:t>man</w:t>
      </w:r>
      <w:r>
        <w:rPr>
          <w:spacing w:val="-13"/>
        </w:rPr>
        <w:t> </w:t>
      </w:r>
      <w:r>
        <w:rPr/>
        <w:t>to</w:t>
      </w:r>
      <w:r>
        <w:rPr>
          <w:spacing w:val="-12"/>
        </w:rPr>
        <w:t> </w:t>
      </w:r>
      <w:r>
        <w:rPr/>
        <w:t>be</w:t>
      </w:r>
      <w:r>
        <w:rPr>
          <w:spacing w:val="-13"/>
        </w:rPr>
        <w:t> </w:t>
      </w:r>
      <w:r>
        <w:rPr/>
        <w:t>bewitched into a</w:t>
      </w:r>
      <w:r>
        <w:rPr>
          <w:spacing w:val="-3"/>
        </w:rPr>
        <w:t> </w:t>
      </w:r>
      <w:r>
        <w:rPr/>
        <w:t>trance</w:t>
      </w:r>
      <w:r>
        <w:rPr>
          <w:spacing w:val="-2"/>
        </w:rPr>
        <w:t> </w:t>
      </w:r>
      <w:r>
        <w:rPr/>
        <w:t>of</w:t>
      </w:r>
      <w:r>
        <w:rPr>
          <w:spacing w:val="-3"/>
        </w:rPr>
        <w:t> </w:t>
      </w:r>
      <w:r>
        <w:rPr/>
        <w:t>characters</w:t>
      </w:r>
      <w:r>
        <w:rPr>
          <w:spacing w:val="-3"/>
        </w:rPr>
        <w:t> </w:t>
      </w:r>
      <w:r>
        <w:rPr/>
        <w:t>where</w:t>
      </w:r>
      <w:r>
        <w:rPr>
          <w:spacing w:val="-5"/>
        </w:rPr>
        <w:t> </w:t>
      </w:r>
      <w:r>
        <w:rPr/>
        <w:t>no</w:t>
      </w:r>
      <w:r>
        <w:rPr>
          <w:spacing w:val="-1"/>
        </w:rPr>
        <w:t> </w:t>
      </w:r>
      <w:r>
        <w:rPr/>
        <w:t>human</w:t>
      </w:r>
      <w:r>
        <w:rPr>
          <w:spacing w:val="-3"/>
        </w:rPr>
        <w:t> </w:t>
      </w:r>
      <w:r>
        <w:rPr/>
        <w:t>had espied</w:t>
      </w:r>
      <w:r>
        <w:rPr>
          <w:spacing w:val="-3"/>
        </w:rPr>
        <w:t> </w:t>
      </w:r>
      <w:r>
        <w:rPr/>
        <w:t>a</w:t>
      </w:r>
      <w:r>
        <w:rPr>
          <w:spacing w:val="-1"/>
        </w:rPr>
        <w:t> </w:t>
      </w:r>
      <w:r>
        <w:rPr/>
        <w:t>Gender,</w:t>
      </w:r>
      <w:r>
        <w:rPr>
          <w:spacing w:val="-1"/>
        </w:rPr>
        <w:t> </w:t>
      </w:r>
      <w:r>
        <w:rPr/>
        <w:t>Power a Royalty and Revenge change their spirits and soul into the darkness</w:t>
      </w:r>
      <w:r>
        <w:rPr>
          <w:spacing w:val="40"/>
        </w:rPr>
        <w:t> </w:t>
      </w:r>
      <w:r>
        <w:rPr/>
        <w:t>of diabolic acts.</w:t>
      </w:r>
    </w:p>
    <w:p>
      <w:pPr>
        <w:pStyle w:val="BodyText"/>
        <w:spacing w:line="249" w:lineRule="auto" w:before="61"/>
        <w:ind w:right="1436" w:firstLine="432"/>
        <w:jc w:val="both"/>
      </w:pPr>
      <w:r>
        <w:rPr/>
        <w:t>The article explores how</w:t>
      </w:r>
      <w:r>
        <w:rPr>
          <w:spacing w:val="-1"/>
        </w:rPr>
        <w:t> </w:t>
      </w:r>
      <w:r>
        <w:rPr/>
        <w:t>William Shakespeare used theatre in the Elizabethan</w:t>
      </w:r>
      <w:r>
        <w:rPr>
          <w:spacing w:val="-9"/>
        </w:rPr>
        <w:t> </w:t>
      </w:r>
      <w:r>
        <w:rPr/>
        <w:t>era</w:t>
      </w:r>
      <w:r>
        <w:rPr>
          <w:spacing w:val="-9"/>
        </w:rPr>
        <w:t> </w:t>
      </w:r>
      <w:r>
        <w:rPr/>
        <w:t>to</w:t>
      </w:r>
      <w:r>
        <w:rPr>
          <w:spacing w:val="-8"/>
        </w:rPr>
        <w:t> </w:t>
      </w:r>
      <w:r>
        <w:rPr/>
        <w:t>reflect</w:t>
      </w:r>
      <w:r>
        <w:rPr>
          <w:spacing w:val="-9"/>
        </w:rPr>
        <w:t> </w:t>
      </w:r>
      <w:r>
        <w:rPr/>
        <w:t>human</w:t>
      </w:r>
      <w:r>
        <w:rPr>
          <w:spacing w:val="-11"/>
        </w:rPr>
        <w:t> </w:t>
      </w:r>
      <w:r>
        <w:rPr/>
        <w:t>nature</w:t>
      </w:r>
      <w:r>
        <w:rPr>
          <w:spacing w:val="-10"/>
        </w:rPr>
        <w:t> </w:t>
      </w:r>
      <w:r>
        <w:rPr/>
        <w:t>as</w:t>
      </w:r>
      <w:r>
        <w:rPr>
          <w:spacing w:val="-9"/>
        </w:rPr>
        <w:t> </w:t>
      </w:r>
      <w:r>
        <w:rPr/>
        <w:t>a</w:t>
      </w:r>
      <w:r>
        <w:rPr>
          <w:spacing w:val="-9"/>
        </w:rPr>
        <w:t> </w:t>
      </w:r>
      <w:r>
        <w:rPr/>
        <w:t>mirror</w:t>
      </w:r>
      <w:r>
        <w:rPr>
          <w:spacing w:val="-8"/>
        </w:rPr>
        <w:t> </w:t>
      </w:r>
      <w:r>
        <w:rPr/>
        <w:t>of</w:t>
      </w:r>
      <w:r>
        <w:rPr>
          <w:spacing w:val="-9"/>
        </w:rPr>
        <w:t> </w:t>
      </w:r>
      <w:r>
        <w:rPr/>
        <w:t>society.</w:t>
      </w:r>
      <w:r>
        <w:rPr>
          <w:spacing w:val="-8"/>
        </w:rPr>
        <w:t> </w:t>
      </w:r>
      <w:r>
        <w:rPr/>
        <w:t>Supported by</w:t>
      </w:r>
      <w:r>
        <w:rPr>
          <w:spacing w:val="-13"/>
        </w:rPr>
        <w:t> </w:t>
      </w:r>
      <w:r>
        <w:rPr/>
        <w:t>Queen</w:t>
      </w:r>
      <w:r>
        <w:rPr>
          <w:spacing w:val="-12"/>
        </w:rPr>
        <w:t> </w:t>
      </w:r>
      <w:r>
        <w:rPr/>
        <w:t>Elizabeth</w:t>
      </w:r>
      <w:r>
        <w:rPr>
          <w:spacing w:val="-13"/>
        </w:rPr>
        <w:t> </w:t>
      </w:r>
      <w:r>
        <w:rPr/>
        <w:t>I</w:t>
      </w:r>
      <w:r>
        <w:rPr>
          <w:spacing w:val="-12"/>
        </w:rPr>
        <w:t> </w:t>
      </w:r>
      <w:r>
        <w:rPr/>
        <w:t>and</w:t>
      </w:r>
      <w:r>
        <w:rPr>
          <w:spacing w:val="-13"/>
        </w:rPr>
        <w:t> </w:t>
      </w:r>
      <w:r>
        <w:rPr/>
        <w:t>groups</w:t>
      </w:r>
      <w:r>
        <w:rPr>
          <w:spacing w:val="-12"/>
        </w:rPr>
        <w:t> </w:t>
      </w:r>
      <w:r>
        <w:rPr/>
        <w:t>like</w:t>
      </w:r>
      <w:r>
        <w:rPr>
          <w:spacing w:val="-13"/>
        </w:rPr>
        <w:t> </w:t>
      </w:r>
      <w:r>
        <w:rPr/>
        <w:t>Lord</w:t>
      </w:r>
      <w:r>
        <w:rPr>
          <w:spacing w:val="-12"/>
        </w:rPr>
        <w:t> </w:t>
      </w:r>
      <w:r>
        <w:rPr/>
        <w:t>Chamberlain’s</w:t>
      </w:r>
      <w:r>
        <w:rPr>
          <w:spacing w:val="-13"/>
        </w:rPr>
        <w:t> </w:t>
      </w:r>
      <w:r>
        <w:rPr/>
        <w:t>Men,</w:t>
      </w:r>
      <w:r>
        <w:rPr>
          <w:spacing w:val="-12"/>
        </w:rPr>
        <w:t> </w:t>
      </w:r>
      <w:r>
        <w:rPr/>
        <w:t>his</w:t>
      </w:r>
      <w:r>
        <w:rPr>
          <w:spacing w:val="-13"/>
        </w:rPr>
        <w:t> </w:t>
      </w:r>
      <w:r>
        <w:rPr/>
        <w:t>plays entertained while revealing hidden emotions and moral conflicts. It </w:t>
      </w:r>
      <w:r>
        <w:rPr>
          <w:spacing w:val="-2"/>
        </w:rPr>
        <w:t>highlights</w:t>
      </w:r>
      <w:r>
        <w:rPr>
          <w:spacing w:val="-3"/>
        </w:rPr>
        <w:t> </w:t>
      </w:r>
      <w:r>
        <w:rPr>
          <w:spacing w:val="-2"/>
        </w:rPr>
        <w:t>themes</w:t>
      </w:r>
      <w:r>
        <w:rPr>
          <w:spacing w:val="-5"/>
        </w:rPr>
        <w:t> </w:t>
      </w:r>
      <w:r>
        <w:rPr>
          <w:spacing w:val="-2"/>
        </w:rPr>
        <w:t>like</w:t>
      </w:r>
      <w:r>
        <w:rPr>
          <w:spacing w:val="-5"/>
        </w:rPr>
        <w:t> </w:t>
      </w:r>
      <w:r>
        <w:rPr>
          <w:spacing w:val="-2"/>
        </w:rPr>
        <w:t>power,</w:t>
      </w:r>
      <w:r>
        <w:rPr>
          <w:spacing w:val="-3"/>
        </w:rPr>
        <w:t> </w:t>
      </w:r>
      <w:r>
        <w:rPr>
          <w:spacing w:val="-2"/>
        </w:rPr>
        <w:t>gender, revenge,</w:t>
      </w:r>
      <w:r>
        <w:rPr>
          <w:spacing w:val="-3"/>
        </w:rPr>
        <w:t> </w:t>
      </w:r>
      <w:r>
        <w:rPr>
          <w:spacing w:val="-2"/>
        </w:rPr>
        <w:t>and</w:t>
      </w:r>
      <w:r>
        <w:rPr>
          <w:spacing w:val="-3"/>
        </w:rPr>
        <w:t> </w:t>
      </w:r>
      <w:r>
        <w:rPr>
          <w:spacing w:val="-2"/>
        </w:rPr>
        <w:t>royalty, showing</w:t>
      </w:r>
      <w:r>
        <w:rPr>
          <w:spacing w:val="-3"/>
        </w:rPr>
        <w:t> </w:t>
      </w:r>
      <w:r>
        <w:rPr>
          <w:spacing w:val="-2"/>
        </w:rPr>
        <w:t>how </w:t>
      </w:r>
      <w:r>
        <w:rPr/>
        <w:t>they can lead to dark and destructive behavior. The use of supernatural elements</w:t>
      </w:r>
      <w:r>
        <w:rPr>
          <w:spacing w:val="30"/>
        </w:rPr>
        <w:t> </w:t>
      </w:r>
      <w:r>
        <w:rPr/>
        <w:t>further</w:t>
      </w:r>
      <w:r>
        <w:rPr>
          <w:spacing w:val="35"/>
        </w:rPr>
        <w:t> </w:t>
      </w:r>
      <w:r>
        <w:rPr/>
        <w:t>deepens</w:t>
      </w:r>
      <w:r>
        <w:rPr>
          <w:spacing w:val="33"/>
        </w:rPr>
        <w:t> </w:t>
      </w:r>
      <w:r>
        <w:rPr/>
        <w:t>this</w:t>
      </w:r>
      <w:r>
        <w:rPr>
          <w:spacing w:val="33"/>
        </w:rPr>
        <w:t> </w:t>
      </w:r>
      <w:r>
        <w:rPr/>
        <w:t>exploration</w:t>
      </w:r>
      <w:r>
        <w:rPr>
          <w:spacing w:val="30"/>
        </w:rPr>
        <w:t> </w:t>
      </w:r>
      <w:r>
        <w:rPr/>
        <w:t>of the</w:t>
      </w:r>
      <w:r>
        <w:rPr>
          <w:spacing w:val="33"/>
        </w:rPr>
        <w:t> </w:t>
      </w:r>
      <w:r>
        <w:rPr/>
        <w:t>human</w:t>
      </w:r>
      <w:r>
        <w:rPr>
          <w:spacing w:val="33"/>
        </w:rPr>
        <w:t> </w:t>
      </w:r>
      <w:r>
        <w:rPr/>
        <w:t>psyche.</w:t>
      </w:r>
    </w:p>
    <w:p>
      <w:pPr>
        <w:pStyle w:val="Heading3"/>
        <w:spacing w:before="159"/>
      </w:pPr>
      <w:r>
        <w:rPr>
          <w:w w:val="80"/>
        </w:rPr>
        <w:t>LITERATURE</w:t>
      </w:r>
      <w:r>
        <w:rPr>
          <w:spacing w:val="9"/>
        </w:rPr>
        <w:t> </w:t>
      </w:r>
      <w:r>
        <w:rPr>
          <w:spacing w:val="-2"/>
          <w:w w:val="90"/>
        </w:rPr>
        <w:t>REVIEW</w:t>
      </w:r>
    </w:p>
    <w:p>
      <w:pPr>
        <w:pStyle w:val="BodyText"/>
        <w:spacing w:line="249" w:lineRule="auto" w:before="76"/>
        <w:ind w:right="1439" w:firstLine="432"/>
        <w:jc w:val="both"/>
      </w:pPr>
      <w:r>
        <w:rPr/>
        <w:t>Not</w:t>
      </w:r>
      <w:r>
        <w:rPr>
          <w:spacing w:val="-4"/>
        </w:rPr>
        <w:t> </w:t>
      </w:r>
      <w:r>
        <w:rPr/>
        <w:t>just by sexual violence or abuse but by the apparition of the patriarchal Dominance of</w:t>
      </w:r>
      <w:r>
        <w:rPr>
          <w:spacing w:val="-8"/>
        </w:rPr>
        <w:t> </w:t>
      </w:r>
      <w:r>
        <w:rPr/>
        <w:t>societal hierarchal dogmas. Lady Macbeth’s vicious delight</w:t>
      </w:r>
      <w:r>
        <w:rPr>
          <w:spacing w:val="40"/>
        </w:rPr>
        <w:t> </w:t>
      </w:r>
      <w:r>
        <w:rPr/>
        <w:t>unsexed as abiding wife realities.</w:t>
      </w:r>
    </w:p>
    <w:p>
      <w:pPr>
        <w:pStyle w:val="BodyText"/>
        <w:spacing w:line="249" w:lineRule="auto" w:before="62"/>
        <w:ind w:right="1440" w:firstLine="432"/>
        <w:jc w:val="both"/>
      </w:pPr>
      <w:r>
        <w:rPr/>
        <w:t>#Me Too Movement founded by Tarana Burke in 2006 supports women</w:t>
      </w:r>
      <w:r>
        <w:rPr>
          <w:spacing w:val="-3"/>
        </w:rPr>
        <w:t> </w:t>
      </w:r>
      <w:r>
        <w:rPr/>
        <w:t>of</w:t>
      </w:r>
      <w:r>
        <w:rPr>
          <w:spacing w:val="-5"/>
        </w:rPr>
        <w:t> </w:t>
      </w:r>
      <w:r>
        <w:rPr/>
        <w:t>colour from</w:t>
      </w:r>
      <w:r>
        <w:rPr>
          <w:spacing w:val="-4"/>
        </w:rPr>
        <w:t> </w:t>
      </w:r>
      <w:r>
        <w:rPr/>
        <w:t>un</w:t>
      </w:r>
      <w:r>
        <w:rPr>
          <w:spacing w:val="-3"/>
        </w:rPr>
        <w:t> </w:t>
      </w:r>
      <w:r>
        <w:rPr/>
        <w:t>-</w:t>
      </w:r>
      <w:r>
        <w:rPr>
          <w:spacing w:val="-5"/>
        </w:rPr>
        <w:t> </w:t>
      </w:r>
      <w:r>
        <w:rPr/>
        <w:t>voiced</w:t>
      </w:r>
      <w:r>
        <w:rPr>
          <w:spacing w:val="-1"/>
        </w:rPr>
        <w:t> </w:t>
      </w:r>
      <w:r>
        <w:rPr/>
        <w:t>to voice</w:t>
      </w:r>
      <w:r>
        <w:rPr>
          <w:spacing w:val="-2"/>
        </w:rPr>
        <w:t> </w:t>
      </w:r>
      <w:r>
        <w:rPr/>
        <w:t>in</w:t>
      </w:r>
      <w:r>
        <w:rPr>
          <w:spacing w:val="-5"/>
        </w:rPr>
        <w:t> </w:t>
      </w:r>
      <w:r>
        <w:rPr/>
        <w:t>integration</w:t>
      </w:r>
      <w:r>
        <w:rPr>
          <w:spacing w:val="-3"/>
        </w:rPr>
        <w:t> </w:t>
      </w:r>
      <w:r>
        <w:rPr/>
        <w:t>against</w:t>
      </w:r>
      <w:r>
        <w:rPr>
          <w:spacing w:val="-1"/>
        </w:rPr>
        <w:t> </w:t>
      </w:r>
      <w:r>
        <w:rPr/>
        <w:t>sexual violence,</w:t>
      </w:r>
      <w:r>
        <w:rPr>
          <w:spacing w:val="40"/>
        </w:rPr>
        <w:t> </w:t>
      </w:r>
      <w:r>
        <w:rPr/>
        <w:t>abuse</w:t>
      </w:r>
      <w:r>
        <w:rPr>
          <w:spacing w:val="40"/>
        </w:rPr>
        <w:t> </w:t>
      </w:r>
      <w:r>
        <w:rPr/>
        <w:t>and</w:t>
      </w:r>
      <w:r>
        <w:rPr>
          <w:spacing w:val="40"/>
        </w:rPr>
        <w:t> </w:t>
      </w:r>
      <w:r>
        <w:rPr/>
        <w:t>harassment.</w:t>
      </w:r>
    </w:p>
    <w:p>
      <w:pPr>
        <w:pStyle w:val="BodyText"/>
        <w:spacing w:line="249" w:lineRule="auto" w:before="60"/>
        <w:ind w:right="1436" w:firstLine="432"/>
        <w:jc w:val="both"/>
      </w:pPr>
      <w:r>
        <w:rPr>
          <w:spacing w:val="-2"/>
        </w:rPr>
        <w:t>‘The</w:t>
      </w:r>
      <w:r>
        <w:rPr>
          <w:spacing w:val="-11"/>
        </w:rPr>
        <w:t> </w:t>
      </w:r>
      <w:r>
        <w:rPr>
          <w:spacing w:val="-2"/>
        </w:rPr>
        <w:t>Hours’</w:t>
      </w:r>
      <w:r>
        <w:rPr>
          <w:spacing w:val="-10"/>
        </w:rPr>
        <w:t> </w:t>
      </w:r>
      <w:r>
        <w:rPr>
          <w:spacing w:val="-2"/>
        </w:rPr>
        <w:t>a</w:t>
      </w:r>
      <w:r>
        <w:rPr>
          <w:spacing w:val="-11"/>
        </w:rPr>
        <w:t> </w:t>
      </w:r>
      <w:r>
        <w:rPr>
          <w:spacing w:val="-2"/>
        </w:rPr>
        <w:t>1998</w:t>
      </w:r>
      <w:r>
        <w:rPr>
          <w:spacing w:val="-10"/>
        </w:rPr>
        <w:t> </w:t>
      </w:r>
      <w:r>
        <w:rPr>
          <w:spacing w:val="-2"/>
        </w:rPr>
        <w:t>novel</w:t>
      </w:r>
      <w:r>
        <w:rPr>
          <w:spacing w:val="-8"/>
        </w:rPr>
        <w:t> </w:t>
      </w:r>
      <w:r>
        <w:rPr>
          <w:spacing w:val="-2"/>
        </w:rPr>
        <w:t>by</w:t>
      </w:r>
      <w:r>
        <w:rPr>
          <w:spacing w:val="-11"/>
        </w:rPr>
        <w:t> </w:t>
      </w:r>
      <w:r>
        <w:rPr>
          <w:spacing w:val="-2"/>
        </w:rPr>
        <w:t>American</w:t>
      </w:r>
      <w:r>
        <w:rPr>
          <w:spacing w:val="-4"/>
        </w:rPr>
        <w:t> </w:t>
      </w:r>
      <w:r>
        <w:rPr>
          <w:spacing w:val="-2"/>
        </w:rPr>
        <w:t>writer</w:t>
      </w:r>
      <w:r>
        <w:rPr>
          <w:spacing w:val="-4"/>
        </w:rPr>
        <w:t> </w:t>
      </w:r>
      <w:r>
        <w:rPr>
          <w:spacing w:val="-2"/>
        </w:rPr>
        <w:t>Michael</w:t>
      </w:r>
      <w:r>
        <w:rPr>
          <w:spacing w:val="-6"/>
        </w:rPr>
        <w:t> </w:t>
      </w:r>
      <w:r>
        <w:rPr>
          <w:spacing w:val="-2"/>
        </w:rPr>
        <w:t>Cunningham </w:t>
      </w:r>
      <w:r>
        <w:rPr/>
        <w:t>is a Pulitzer Prize winning novel. Arrayed in time spanned eras of, (Virginia Wolf -1923), (Laura Brown - 1949) and Clarissa Vaughan - </w:t>
      </w:r>
      <w:r>
        <w:rPr>
          <w:spacing w:val="-2"/>
        </w:rPr>
        <w:t>1990’s),</w:t>
      </w:r>
      <w:r>
        <w:rPr>
          <w:spacing w:val="-6"/>
        </w:rPr>
        <w:t> </w:t>
      </w:r>
      <w:r>
        <w:rPr>
          <w:spacing w:val="-2"/>
        </w:rPr>
        <w:t>reflecting</w:t>
      </w:r>
      <w:r>
        <w:rPr>
          <w:spacing w:val="-11"/>
        </w:rPr>
        <w:t> </w:t>
      </w:r>
      <w:r>
        <w:rPr>
          <w:spacing w:val="-2"/>
        </w:rPr>
        <w:t>intriguing</w:t>
      </w:r>
      <w:r>
        <w:rPr>
          <w:spacing w:val="-4"/>
        </w:rPr>
        <w:t> </w:t>
      </w:r>
      <w:r>
        <w:rPr>
          <w:spacing w:val="-2"/>
        </w:rPr>
        <w:t>interwoven</w:t>
      </w:r>
      <w:r>
        <w:rPr>
          <w:spacing w:val="-5"/>
        </w:rPr>
        <w:t> </w:t>
      </w:r>
      <w:r>
        <w:rPr>
          <w:spacing w:val="-2"/>
        </w:rPr>
        <w:t>characters</w:t>
      </w:r>
      <w:r>
        <w:rPr>
          <w:spacing w:val="-5"/>
        </w:rPr>
        <w:t> </w:t>
      </w:r>
      <w:r>
        <w:rPr>
          <w:spacing w:val="-2"/>
        </w:rPr>
        <w:t>against</w:t>
      </w:r>
      <w:r>
        <w:rPr>
          <w:spacing w:val="-7"/>
        </w:rPr>
        <w:t> </w:t>
      </w:r>
      <w:r>
        <w:rPr>
          <w:spacing w:val="-2"/>
        </w:rPr>
        <w:t>the</w:t>
      </w:r>
      <w:r>
        <w:rPr>
          <w:spacing w:val="-5"/>
        </w:rPr>
        <w:t> </w:t>
      </w:r>
      <w:r>
        <w:rPr>
          <w:spacing w:val="-2"/>
        </w:rPr>
        <w:t>prevailing </w:t>
      </w:r>
      <w:r>
        <w:rPr/>
        <w:t>patriarchal doctrine of social saga of feminine identity against the hypocritical fallacies of modernity.</w:t>
      </w:r>
    </w:p>
    <w:p>
      <w:pPr>
        <w:pStyle w:val="BodyText"/>
        <w:spacing w:line="249" w:lineRule="auto" w:before="63"/>
        <w:ind w:right="1441" w:firstLine="432"/>
        <w:jc w:val="both"/>
      </w:pPr>
      <w:r>
        <w:rPr/>
        <w:t>The first two characters contemplate suicide whereas the latter character in emancipation of multiple roles is in the self-interrogation and identity of her individuality of female sexuality.</w:t>
      </w:r>
    </w:p>
    <w:p>
      <w:pPr>
        <w:pStyle w:val="BodyText"/>
        <w:spacing w:line="249" w:lineRule="auto" w:before="60"/>
        <w:ind w:right="1439" w:firstLine="432"/>
        <w:jc w:val="both"/>
      </w:pPr>
      <w:r>
        <w:rPr/>
        <w:t>Virginia Wolf ‘s wading suicide into the river beyond a London suburb</w:t>
      </w:r>
      <w:r>
        <w:rPr>
          <w:spacing w:val="37"/>
        </w:rPr>
        <w:t> </w:t>
      </w:r>
      <w:r>
        <w:rPr/>
        <w:t>reality</w:t>
      </w:r>
      <w:r>
        <w:rPr>
          <w:spacing w:val="35"/>
        </w:rPr>
        <w:t> </w:t>
      </w:r>
      <w:r>
        <w:rPr/>
        <w:t>of</w:t>
      </w:r>
      <w:r>
        <w:rPr>
          <w:spacing w:val="35"/>
        </w:rPr>
        <w:t> </w:t>
      </w:r>
      <w:r>
        <w:rPr/>
        <w:t>a</w:t>
      </w:r>
      <w:r>
        <w:rPr>
          <w:spacing w:val="36"/>
        </w:rPr>
        <w:t> </w:t>
      </w:r>
      <w:r>
        <w:rPr/>
        <w:t>writer,</w:t>
      </w:r>
      <w:r>
        <w:rPr>
          <w:spacing w:val="40"/>
        </w:rPr>
        <w:t> </w:t>
      </w:r>
      <w:r>
        <w:rPr/>
        <w:t>wife</w:t>
      </w:r>
      <w:r>
        <w:rPr>
          <w:spacing w:val="35"/>
        </w:rPr>
        <w:t> </w:t>
      </w:r>
      <w:r>
        <w:rPr/>
        <w:t>and</w:t>
      </w:r>
      <w:r>
        <w:rPr>
          <w:spacing w:val="40"/>
        </w:rPr>
        <w:t> </w:t>
      </w:r>
      <w:r>
        <w:rPr/>
        <w:t>the</w:t>
      </w:r>
      <w:r>
        <w:rPr>
          <w:spacing w:val="39"/>
        </w:rPr>
        <w:t> </w:t>
      </w:r>
      <w:r>
        <w:rPr/>
        <w:t>lady</w:t>
      </w:r>
      <w:r>
        <w:rPr>
          <w:spacing w:val="33"/>
        </w:rPr>
        <w:t> </w:t>
      </w:r>
      <w:r>
        <w:rPr/>
        <w:t>of</w:t>
      </w:r>
      <w:r>
        <w:rPr>
          <w:spacing w:val="37"/>
        </w:rPr>
        <w:t> </w:t>
      </w:r>
      <w:r>
        <w:rPr/>
        <w:t>the</w:t>
      </w:r>
      <w:r>
        <w:rPr>
          <w:spacing w:val="35"/>
        </w:rPr>
        <w:t> </w:t>
      </w:r>
      <w:r>
        <w:rPr/>
        <w:t>house.</w:t>
      </w:r>
    </w:p>
    <w:p>
      <w:pPr>
        <w:pStyle w:val="BodyText"/>
        <w:spacing w:line="249" w:lineRule="auto" w:before="59"/>
        <w:ind w:right="1439" w:firstLine="432"/>
        <w:jc w:val="both"/>
      </w:pPr>
      <w:r>
        <w:rPr/>
        <w:t>Laura Brown in world war realities victimized and terrified under domesticity of household chores into the stillness of suicide in a hotel, conflicting a sans dutiful wife symptom. Parallelly mentioned in three-tiered plots of women in different time of epoch. Clarissa Vaughan a modern</w:t>
      </w:r>
      <w:r>
        <w:rPr>
          <w:spacing w:val="-5"/>
        </w:rPr>
        <w:t> </w:t>
      </w:r>
      <w:r>
        <w:rPr/>
        <w:t>New</w:t>
      </w:r>
      <w:r>
        <w:rPr>
          <w:spacing w:val="-13"/>
        </w:rPr>
        <w:t> </w:t>
      </w:r>
      <w:r>
        <w:rPr/>
        <w:t>Yorker</w:t>
      </w:r>
      <w:r>
        <w:rPr>
          <w:spacing w:val="-2"/>
        </w:rPr>
        <w:t> </w:t>
      </w:r>
      <w:r>
        <w:rPr/>
        <w:t>in</w:t>
      </w:r>
      <w:r>
        <w:rPr>
          <w:spacing w:val="-2"/>
        </w:rPr>
        <w:t> </w:t>
      </w:r>
      <w:r>
        <w:rPr/>
        <w:t>the</w:t>
      </w:r>
      <w:r>
        <w:rPr>
          <w:spacing w:val="-3"/>
        </w:rPr>
        <w:t> </w:t>
      </w:r>
      <w:r>
        <w:rPr/>
        <w:t>millennium</w:t>
      </w:r>
      <w:r>
        <w:rPr>
          <w:spacing w:val="-3"/>
        </w:rPr>
        <w:t> </w:t>
      </w:r>
      <w:r>
        <w:rPr/>
        <w:t>silver</w:t>
      </w:r>
      <w:r>
        <w:rPr>
          <w:spacing w:val="-9"/>
        </w:rPr>
        <w:t> </w:t>
      </w:r>
      <w:r>
        <w:rPr/>
        <w:t>screen</w:t>
      </w:r>
      <w:r>
        <w:rPr>
          <w:spacing w:val="-4"/>
        </w:rPr>
        <w:t> </w:t>
      </w:r>
      <w:r>
        <w:rPr/>
        <w:t>of</w:t>
      </w:r>
      <w:r>
        <w:rPr>
          <w:spacing w:val="-6"/>
        </w:rPr>
        <w:t> </w:t>
      </w:r>
      <w:r>
        <w:rPr/>
        <w:t>Virginia</w:t>
      </w:r>
      <w:r>
        <w:rPr>
          <w:spacing w:val="-6"/>
        </w:rPr>
        <w:t> </w:t>
      </w:r>
      <w:r>
        <w:rPr/>
        <w:t>Wolf</w:t>
      </w:r>
      <w:r>
        <w:rPr>
          <w:spacing w:val="-2"/>
        </w:rPr>
        <w:t> </w:t>
      </w:r>
      <w:r>
        <w:rPr/>
        <w:t>‘s replication</w:t>
      </w:r>
      <w:r>
        <w:rPr>
          <w:spacing w:val="-6"/>
        </w:rPr>
        <w:t> </w:t>
      </w:r>
      <w:r>
        <w:rPr/>
        <w:t>Mrs.</w:t>
      </w:r>
      <w:r>
        <w:rPr>
          <w:spacing w:val="-2"/>
        </w:rPr>
        <w:t> </w:t>
      </w:r>
      <w:r>
        <w:rPr/>
        <w:t>Dalloway.</w:t>
      </w:r>
      <w:r>
        <w:rPr>
          <w:spacing w:val="38"/>
        </w:rPr>
        <w:t> </w:t>
      </w:r>
      <w:r>
        <w:rPr/>
        <w:t>Enacting</w:t>
      </w:r>
      <w:r>
        <w:rPr>
          <w:spacing w:val="-4"/>
        </w:rPr>
        <w:t> </w:t>
      </w:r>
      <w:r>
        <w:rPr/>
        <w:t>into</w:t>
      </w:r>
      <w:r>
        <w:rPr>
          <w:spacing w:val="-2"/>
        </w:rPr>
        <w:t> </w:t>
      </w:r>
      <w:r>
        <w:rPr/>
        <w:t>balancing</w:t>
      </w:r>
      <w:r>
        <w:rPr>
          <w:spacing w:val="-2"/>
        </w:rPr>
        <w:t> </w:t>
      </w:r>
      <w:r>
        <w:rPr/>
        <w:t>multitude</w:t>
      </w:r>
      <w:r>
        <w:rPr>
          <w:spacing w:val="-8"/>
        </w:rPr>
        <w:t> </w:t>
      </w:r>
      <w:r>
        <w:rPr/>
        <w:t>chores</w:t>
      </w:r>
      <w:r>
        <w:rPr>
          <w:spacing w:val="-6"/>
        </w:rPr>
        <w:t> </w:t>
      </w:r>
      <w:r>
        <w:rPr/>
        <w:t>as an editor in New</w:t>
      </w:r>
      <w:r>
        <w:rPr>
          <w:spacing w:val="-6"/>
        </w:rPr>
        <w:t> </w:t>
      </w:r>
      <w:r>
        <w:rPr/>
        <w:t>York thwarts and twines into queer relationships with a childhood male partner (gay) and pertains relations with complex emotional connections with her female partner Sally.</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94528">
                <wp:simplePos x="0" y="0"/>
                <wp:positionH relativeFrom="page">
                  <wp:posOffset>2065020</wp:posOffset>
                </wp:positionH>
                <wp:positionV relativeFrom="paragraph">
                  <wp:posOffset>795020</wp:posOffset>
                </wp:positionV>
                <wp:extent cx="3657600" cy="12700"/>
                <wp:effectExtent l="0" t="0" r="0" b="0"/>
                <wp:wrapTopAndBottom/>
                <wp:docPr id="818" name="Graphic 818"/>
                <wp:cNvGraphicFramePr>
                  <a:graphicFrameLocks/>
                </wp:cNvGraphicFramePr>
                <a:graphic>
                  <a:graphicData uri="http://schemas.microsoft.com/office/word/2010/wordprocessingShape">
                    <wps:wsp>
                      <wps:cNvPr id="818" name="Graphic 81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21952;mso-wrap-distance-left:0;mso-wrap-distance-right:0" id="docshape810"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419</w:t>
      </w:r>
    </w:p>
    <w:p>
      <w:pPr>
        <w:pStyle w:val="BodyText"/>
        <w:spacing w:line="249" w:lineRule="auto" w:before="192"/>
        <w:ind w:right="1441" w:firstLine="432"/>
        <w:jc w:val="both"/>
      </w:pPr>
      <w:r>
        <w:rPr/>
        <w:t>The first two characters contemplate suicide whereas the latter character in emancipation of multiple roles is in the self-interrogation and identity of her</w:t>
      </w:r>
      <w:r>
        <w:rPr>
          <w:spacing w:val="80"/>
        </w:rPr>
        <w:t> </w:t>
      </w:r>
      <w:r>
        <w:rPr/>
        <w:t>female gender.</w:t>
      </w:r>
    </w:p>
    <w:p>
      <w:pPr>
        <w:pStyle w:val="BodyText"/>
        <w:spacing w:line="249" w:lineRule="auto" w:before="60"/>
        <w:ind w:right="1440" w:firstLine="432"/>
        <w:jc w:val="both"/>
      </w:pPr>
      <w:r>
        <w:rPr/>
        <w:t>The</w:t>
      </w:r>
      <w:r>
        <w:rPr>
          <w:spacing w:val="-13"/>
        </w:rPr>
        <w:t> </w:t>
      </w:r>
      <w:r>
        <w:rPr/>
        <w:t>novel</w:t>
      </w:r>
      <w:r>
        <w:rPr>
          <w:spacing w:val="-12"/>
        </w:rPr>
        <w:t> </w:t>
      </w:r>
      <w:r>
        <w:rPr/>
        <w:t>version</w:t>
      </w:r>
      <w:r>
        <w:rPr>
          <w:spacing w:val="-13"/>
        </w:rPr>
        <w:t> </w:t>
      </w:r>
      <w:r>
        <w:rPr/>
        <w:t>adapted</w:t>
      </w:r>
      <w:r>
        <w:rPr>
          <w:spacing w:val="-12"/>
        </w:rPr>
        <w:t> </w:t>
      </w:r>
      <w:r>
        <w:rPr/>
        <w:t>into</w:t>
      </w:r>
      <w:r>
        <w:rPr>
          <w:spacing w:val="-13"/>
        </w:rPr>
        <w:t> </w:t>
      </w:r>
      <w:r>
        <w:rPr/>
        <w:t>a</w:t>
      </w:r>
      <w:r>
        <w:rPr>
          <w:spacing w:val="-12"/>
        </w:rPr>
        <w:t> </w:t>
      </w:r>
      <w:r>
        <w:rPr/>
        <w:t>film,</w:t>
      </w:r>
      <w:r>
        <w:rPr>
          <w:spacing w:val="-13"/>
        </w:rPr>
        <w:t> </w:t>
      </w:r>
      <w:r>
        <w:rPr/>
        <w:t>‘The</w:t>
      </w:r>
      <w:r>
        <w:rPr>
          <w:spacing w:val="-12"/>
        </w:rPr>
        <w:t> </w:t>
      </w:r>
      <w:r>
        <w:rPr/>
        <w:t>Hours’</w:t>
      </w:r>
      <w:r>
        <w:rPr>
          <w:spacing w:val="-13"/>
        </w:rPr>
        <w:t> </w:t>
      </w:r>
      <w:r>
        <w:rPr/>
        <w:t>in</w:t>
      </w:r>
      <w:r>
        <w:rPr>
          <w:spacing w:val="-12"/>
        </w:rPr>
        <w:t> </w:t>
      </w:r>
      <w:r>
        <w:rPr/>
        <w:t>2002</w:t>
      </w:r>
      <w:r>
        <w:rPr>
          <w:spacing w:val="-13"/>
        </w:rPr>
        <w:t> </w:t>
      </w:r>
      <w:r>
        <w:rPr/>
        <w:t>directed by Stephen Daldry featuring in order eras, Nicole Kidman as Virginia Wolf, Julianne Moore as Laura Brown and Merly Streep as Clarissa Vaughan. In the intersection of quest of life, mental illness sexual identity</w:t>
      </w:r>
      <w:r>
        <w:rPr>
          <w:spacing w:val="-10"/>
        </w:rPr>
        <w:t> </w:t>
      </w:r>
      <w:r>
        <w:rPr/>
        <w:t>of</w:t>
      </w:r>
      <w:r>
        <w:rPr>
          <w:spacing w:val="-13"/>
        </w:rPr>
        <w:t> </w:t>
      </w:r>
      <w:r>
        <w:rPr/>
        <w:t>life’</w:t>
      </w:r>
      <w:r>
        <w:rPr>
          <w:spacing w:val="-12"/>
        </w:rPr>
        <w:t> </w:t>
      </w:r>
      <w:r>
        <w:rPr/>
        <w:t>s</w:t>
      </w:r>
      <w:r>
        <w:rPr>
          <w:spacing w:val="-11"/>
        </w:rPr>
        <w:t> </w:t>
      </w:r>
      <w:r>
        <w:rPr/>
        <w:t>daily</w:t>
      </w:r>
      <w:r>
        <w:rPr>
          <w:spacing w:val="-13"/>
        </w:rPr>
        <w:t> </w:t>
      </w:r>
      <w:r>
        <w:rPr/>
        <w:t>existence.</w:t>
      </w:r>
      <w:r>
        <w:rPr>
          <w:spacing w:val="-12"/>
        </w:rPr>
        <w:t> </w:t>
      </w:r>
      <w:r>
        <w:rPr/>
        <w:t>Exploring</w:t>
      </w:r>
      <w:r>
        <w:rPr>
          <w:spacing w:val="-13"/>
        </w:rPr>
        <w:t> </w:t>
      </w:r>
      <w:r>
        <w:rPr/>
        <w:t>themes</w:t>
      </w:r>
      <w:r>
        <w:rPr>
          <w:spacing w:val="-11"/>
        </w:rPr>
        <w:t> </w:t>
      </w:r>
      <w:r>
        <w:rPr/>
        <w:t>of</w:t>
      </w:r>
      <w:r>
        <w:rPr>
          <w:spacing w:val="-13"/>
        </w:rPr>
        <w:t> </w:t>
      </w:r>
      <w:r>
        <w:rPr/>
        <w:t>female</w:t>
      </w:r>
      <w:r>
        <w:rPr>
          <w:spacing w:val="-10"/>
        </w:rPr>
        <w:t> </w:t>
      </w:r>
      <w:r>
        <w:rPr/>
        <w:t>gender</w:t>
      </w:r>
      <w:r>
        <w:rPr>
          <w:spacing w:val="-8"/>
        </w:rPr>
        <w:t> </w:t>
      </w:r>
      <w:r>
        <w:rPr/>
        <w:t>and moral measures.</w:t>
      </w:r>
    </w:p>
    <w:p>
      <w:pPr>
        <w:pStyle w:val="BodyText"/>
        <w:spacing w:line="264" w:lineRule="auto" w:before="70"/>
        <w:ind w:right="1438" w:firstLine="432"/>
        <w:jc w:val="both"/>
      </w:pPr>
      <w:r>
        <w:rPr/>
        <w:t>Shakespearean women are sketched as</w:t>
      </w:r>
      <w:r>
        <w:rPr>
          <w:spacing w:val="-2"/>
        </w:rPr>
        <w:t> </w:t>
      </w:r>
      <w:r>
        <w:rPr/>
        <w:t>born free with a liberty to bury and un bound their femineity into a frail existence choked under timidity to please the patriarchy beyond their earthy</w:t>
      </w:r>
      <w:r>
        <w:rPr>
          <w:spacing w:val="40"/>
        </w:rPr>
        <w:t> </w:t>
      </w:r>
      <w:r>
        <w:rPr/>
        <w:t>human rights into</w:t>
      </w:r>
      <w:r>
        <w:rPr>
          <w:spacing w:val="40"/>
        </w:rPr>
        <w:t> </w:t>
      </w:r>
      <w:r>
        <w:rPr/>
        <w:t>a</w:t>
      </w:r>
      <w:r>
        <w:rPr>
          <w:spacing w:val="-5"/>
        </w:rPr>
        <w:t> </w:t>
      </w:r>
      <w:r>
        <w:rPr/>
        <w:t>distorted</w:t>
      </w:r>
      <w:r>
        <w:rPr>
          <w:spacing w:val="-2"/>
        </w:rPr>
        <w:t> </w:t>
      </w:r>
      <w:r>
        <w:rPr/>
        <w:t>existence</w:t>
      </w:r>
      <w:r>
        <w:rPr>
          <w:spacing w:val="-6"/>
        </w:rPr>
        <w:t> </w:t>
      </w:r>
      <w:r>
        <w:rPr/>
        <w:t>to</w:t>
      </w:r>
      <w:r>
        <w:rPr>
          <w:spacing w:val="-2"/>
        </w:rPr>
        <w:t> </w:t>
      </w:r>
      <w:r>
        <w:rPr/>
        <w:t>please</w:t>
      </w:r>
      <w:r>
        <w:rPr>
          <w:spacing w:val="-6"/>
        </w:rPr>
        <w:t> </w:t>
      </w:r>
      <w:r>
        <w:rPr/>
        <w:t>with</w:t>
      </w:r>
      <w:r>
        <w:rPr>
          <w:spacing w:val="-4"/>
        </w:rPr>
        <w:t> </w:t>
      </w:r>
      <w:r>
        <w:rPr/>
        <w:t>pleasure</w:t>
      </w:r>
      <w:r>
        <w:rPr>
          <w:spacing w:val="-4"/>
        </w:rPr>
        <w:t> </w:t>
      </w:r>
      <w:r>
        <w:rPr/>
        <w:t>and</w:t>
      </w:r>
      <w:r>
        <w:rPr>
          <w:spacing w:val="-2"/>
        </w:rPr>
        <w:t> </w:t>
      </w:r>
      <w:r>
        <w:rPr/>
        <w:t>submerge</w:t>
      </w:r>
      <w:r>
        <w:rPr>
          <w:spacing w:val="-1"/>
        </w:rPr>
        <w:t> </w:t>
      </w:r>
      <w:r>
        <w:rPr/>
        <w:t>their</w:t>
      </w:r>
      <w:r>
        <w:rPr>
          <w:spacing w:val="-4"/>
        </w:rPr>
        <w:t> </w:t>
      </w:r>
      <w:r>
        <w:rPr/>
        <w:t>identity and individuality beyond the respective ‘I’ into the pleasing psyche of #Me</w:t>
      </w:r>
      <w:r>
        <w:rPr>
          <w:spacing w:val="40"/>
        </w:rPr>
        <w:t> </w:t>
      </w:r>
      <w:r>
        <w:rPr/>
        <w:t>too</w:t>
      </w:r>
      <w:r>
        <w:rPr>
          <w:spacing w:val="40"/>
        </w:rPr>
        <w:t> </w:t>
      </w:r>
      <w:r>
        <w:rPr/>
        <w:t>realities</w:t>
      </w:r>
      <w:r>
        <w:rPr>
          <w:spacing w:val="40"/>
        </w:rPr>
        <w:t> </w:t>
      </w:r>
      <w:r>
        <w:rPr/>
        <w:t>of</w:t>
      </w:r>
      <w:r>
        <w:rPr>
          <w:spacing w:val="40"/>
        </w:rPr>
        <w:t> </w:t>
      </w:r>
      <w:r>
        <w:rPr/>
        <w:t>then</w:t>
      </w:r>
      <w:r>
        <w:rPr>
          <w:spacing w:val="40"/>
        </w:rPr>
        <w:t> </w:t>
      </w:r>
      <w:r>
        <w:rPr/>
        <w:t>and</w:t>
      </w:r>
      <w:r>
        <w:rPr>
          <w:spacing w:val="40"/>
        </w:rPr>
        <w:t> </w:t>
      </w:r>
      <w:r>
        <w:rPr/>
        <w:t>now</w:t>
      </w:r>
      <w:r>
        <w:rPr>
          <w:spacing w:val="40"/>
        </w:rPr>
        <w:t> </w:t>
      </w:r>
      <w:r>
        <w:rPr/>
        <w:t>eras.</w:t>
      </w:r>
    </w:p>
    <w:p>
      <w:pPr>
        <w:pStyle w:val="BodyText"/>
        <w:spacing w:line="264" w:lineRule="auto" w:before="52"/>
        <w:ind w:right="1441" w:firstLine="432"/>
        <w:jc w:val="both"/>
      </w:pPr>
      <w:r>
        <w:rPr/>
        <w:t>The</w:t>
      </w:r>
      <w:r>
        <w:rPr>
          <w:spacing w:val="-13"/>
        </w:rPr>
        <w:t> </w:t>
      </w:r>
      <w:r>
        <w:rPr/>
        <w:t>millennium</w:t>
      </w:r>
      <w:r>
        <w:rPr>
          <w:spacing w:val="-12"/>
        </w:rPr>
        <w:t> </w:t>
      </w:r>
      <w:r>
        <w:rPr/>
        <w:t>women</w:t>
      </w:r>
      <w:r>
        <w:rPr>
          <w:spacing w:val="-13"/>
        </w:rPr>
        <w:t> </w:t>
      </w:r>
      <w:r>
        <w:rPr/>
        <w:t>though</w:t>
      </w:r>
      <w:r>
        <w:rPr>
          <w:spacing w:val="-12"/>
        </w:rPr>
        <w:t> </w:t>
      </w:r>
      <w:r>
        <w:rPr/>
        <w:t>in</w:t>
      </w:r>
      <w:r>
        <w:rPr>
          <w:spacing w:val="-13"/>
        </w:rPr>
        <w:t> </w:t>
      </w:r>
      <w:r>
        <w:rPr/>
        <w:t>supremacy</w:t>
      </w:r>
      <w:r>
        <w:rPr>
          <w:spacing w:val="-12"/>
        </w:rPr>
        <w:t> </w:t>
      </w:r>
      <w:r>
        <w:rPr/>
        <w:t>of</w:t>
      </w:r>
      <w:r>
        <w:rPr>
          <w:spacing w:val="-13"/>
        </w:rPr>
        <w:t> </w:t>
      </w:r>
      <w:r>
        <w:rPr/>
        <w:t>fierce</w:t>
      </w:r>
      <w:r>
        <w:rPr>
          <w:spacing w:val="-12"/>
        </w:rPr>
        <w:t> </w:t>
      </w:r>
      <w:r>
        <w:rPr/>
        <w:t>independent identity still</w:t>
      </w:r>
      <w:r>
        <w:rPr>
          <w:spacing w:val="40"/>
        </w:rPr>
        <w:t> </w:t>
      </w:r>
      <w:r>
        <w:rPr/>
        <w:t>taints</w:t>
      </w:r>
      <w:r>
        <w:rPr>
          <w:spacing w:val="40"/>
        </w:rPr>
        <w:t> </w:t>
      </w:r>
      <w:r>
        <w:rPr/>
        <w:t>in trauma</w:t>
      </w:r>
      <w:r>
        <w:rPr>
          <w:spacing w:val="40"/>
        </w:rPr>
        <w:t> </w:t>
      </w:r>
      <w:r>
        <w:rPr/>
        <w:t>of #Me too</w:t>
      </w:r>
      <w:r>
        <w:rPr>
          <w:spacing w:val="40"/>
        </w:rPr>
        <w:t> </w:t>
      </w:r>
      <w:r>
        <w:rPr/>
        <w:t>existence.</w:t>
      </w:r>
    </w:p>
    <w:p>
      <w:pPr>
        <w:pStyle w:val="Heading3"/>
        <w:spacing w:before="154"/>
      </w:pPr>
      <w:r>
        <w:rPr>
          <w:spacing w:val="-2"/>
        </w:rPr>
        <w:t>OBJECTIVE:</w:t>
      </w:r>
    </w:p>
    <w:p>
      <w:pPr>
        <w:pStyle w:val="ListParagraph"/>
        <w:numPr>
          <w:ilvl w:val="0"/>
          <w:numId w:val="86"/>
        </w:numPr>
        <w:tabs>
          <w:tab w:pos="2160" w:val="left" w:leader="none"/>
        </w:tabs>
        <w:spacing w:line="264" w:lineRule="auto" w:before="89" w:after="0"/>
        <w:ind w:left="2160" w:right="1441" w:hanging="240"/>
        <w:jc w:val="both"/>
        <w:rPr>
          <w:sz w:val="20"/>
        </w:rPr>
      </w:pPr>
      <w:r>
        <w:rPr>
          <w:sz w:val="20"/>
        </w:rPr>
        <w:t>Mirroring and Critiquing the Vices and Psyche a comparative study of the unleashed essence of Shakespearean Women and Millennium Muse.</w:t>
      </w:r>
    </w:p>
    <w:p>
      <w:pPr>
        <w:pStyle w:val="ListParagraph"/>
        <w:numPr>
          <w:ilvl w:val="0"/>
          <w:numId w:val="86"/>
        </w:numPr>
        <w:tabs>
          <w:tab w:pos="2160" w:val="left" w:leader="none"/>
        </w:tabs>
        <w:spacing w:line="264" w:lineRule="auto" w:before="55" w:after="0"/>
        <w:ind w:left="2160" w:right="1439" w:hanging="240"/>
        <w:jc w:val="both"/>
        <w:rPr>
          <w:sz w:val="20"/>
        </w:rPr>
      </w:pPr>
      <w:r>
        <w:rPr>
          <w:sz w:val="20"/>
        </w:rPr>
        <w:t>To examine how</w:t>
      </w:r>
      <w:r>
        <w:rPr>
          <w:spacing w:val="-3"/>
          <w:sz w:val="20"/>
        </w:rPr>
        <w:t> </w:t>
      </w:r>
      <w:r>
        <w:rPr>
          <w:sz w:val="20"/>
        </w:rPr>
        <w:t>William Shakespeare used drama as a mirror to reveal the hidden aspects of human nature during the Elizabethan</w:t>
      </w:r>
      <w:r>
        <w:rPr>
          <w:spacing w:val="-13"/>
          <w:sz w:val="20"/>
        </w:rPr>
        <w:t> </w:t>
      </w:r>
      <w:r>
        <w:rPr>
          <w:sz w:val="20"/>
        </w:rPr>
        <w:t>era.</w:t>
      </w:r>
    </w:p>
    <w:p>
      <w:pPr>
        <w:pStyle w:val="ListParagraph"/>
        <w:numPr>
          <w:ilvl w:val="0"/>
          <w:numId w:val="86"/>
        </w:numPr>
        <w:tabs>
          <w:tab w:pos="2160" w:val="left" w:leader="none"/>
        </w:tabs>
        <w:spacing w:line="264" w:lineRule="auto" w:before="55" w:after="0"/>
        <w:ind w:left="2160" w:right="1440" w:hanging="240"/>
        <w:jc w:val="both"/>
        <w:rPr>
          <w:sz w:val="20"/>
        </w:rPr>
      </w:pPr>
      <w:r>
        <w:rPr>
          <w:sz w:val="20"/>
        </w:rPr>
        <w:t>To analyze the influence of royal patronage, especially Queen Elizabeth</w:t>
      </w:r>
      <w:r>
        <w:rPr>
          <w:spacing w:val="-6"/>
          <w:sz w:val="20"/>
        </w:rPr>
        <w:t> </w:t>
      </w:r>
      <w:r>
        <w:rPr>
          <w:sz w:val="20"/>
        </w:rPr>
        <w:t>I</w:t>
      </w:r>
      <w:r>
        <w:rPr>
          <w:spacing w:val="-1"/>
          <w:sz w:val="20"/>
        </w:rPr>
        <w:t> </w:t>
      </w:r>
      <w:r>
        <w:rPr>
          <w:sz w:val="20"/>
        </w:rPr>
        <w:t>and</w:t>
      </w:r>
      <w:r>
        <w:rPr>
          <w:spacing w:val="-3"/>
          <w:sz w:val="20"/>
        </w:rPr>
        <w:t> </w:t>
      </w:r>
      <w:r>
        <w:rPr>
          <w:sz w:val="20"/>
        </w:rPr>
        <w:t>Lord</w:t>
      </w:r>
      <w:r>
        <w:rPr>
          <w:spacing w:val="-4"/>
          <w:sz w:val="20"/>
        </w:rPr>
        <w:t> </w:t>
      </w:r>
      <w:r>
        <w:rPr>
          <w:sz w:val="20"/>
        </w:rPr>
        <w:t>Chamberlain’s</w:t>
      </w:r>
      <w:r>
        <w:rPr>
          <w:spacing w:val="-3"/>
          <w:sz w:val="20"/>
        </w:rPr>
        <w:t> </w:t>
      </w:r>
      <w:r>
        <w:rPr>
          <w:sz w:val="20"/>
        </w:rPr>
        <w:t>Men,</w:t>
      </w:r>
      <w:r>
        <w:rPr>
          <w:spacing w:val="-4"/>
          <w:sz w:val="20"/>
        </w:rPr>
        <w:t> </w:t>
      </w:r>
      <w:r>
        <w:rPr>
          <w:sz w:val="20"/>
        </w:rPr>
        <w:t>in</w:t>
      </w:r>
      <w:r>
        <w:rPr>
          <w:spacing w:val="-4"/>
          <w:sz w:val="20"/>
        </w:rPr>
        <w:t> </w:t>
      </w:r>
      <w:r>
        <w:rPr>
          <w:sz w:val="20"/>
        </w:rPr>
        <w:t>promoting</w:t>
      </w:r>
      <w:r>
        <w:rPr>
          <w:spacing w:val="-6"/>
          <w:sz w:val="20"/>
        </w:rPr>
        <w:t> </w:t>
      </w:r>
      <w:r>
        <w:rPr>
          <w:sz w:val="20"/>
        </w:rPr>
        <w:t>theatre as a medium of cultural and social expression.</w:t>
      </w:r>
    </w:p>
    <w:p>
      <w:pPr>
        <w:pStyle w:val="ListParagraph"/>
        <w:numPr>
          <w:ilvl w:val="0"/>
          <w:numId w:val="86"/>
        </w:numPr>
        <w:tabs>
          <w:tab w:pos="2160" w:val="left" w:leader="none"/>
        </w:tabs>
        <w:spacing w:line="264" w:lineRule="auto" w:before="54" w:after="0"/>
        <w:ind w:left="2160" w:right="1439" w:hanging="240"/>
        <w:jc w:val="both"/>
        <w:rPr>
          <w:sz w:val="20"/>
        </w:rPr>
      </w:pPr>
      <w:r>
        <w:rPr>
          <w:sz w:val="20"/>
        </w:rPr>
        <w:t>To explore how themes like power, gender, revenge, and supernatural</w:t>
      </w:r>
      <w:r>
        <w:rPr>
          <w:spacing w:val="-10"/>
          <w:sz w:val="20"/>
        </w:rPr>
        <w:t> </w:t>
      </w:r>
      <w:r>
        <w:rPr>
          <w:sz w:val="20"/>
        </w:rPr>
        <w:t>elements</w:t>
      </w:r>
      <w:r>
        <w:rPr>
          <w:spacing w:val="-10"/>
          <w:sz w:val="20"/>
        </w:rPr>
        <w:t> </w:t>
      </w:r>
      <w:r>
        <w:rPr>
          <w:sz w:val="20"/>
        </w:rPr>
        <w:t>depict</w:t>
      </w:r>
      <w:r>
        <w:rPr>
          <w:spacing w:val="-8"/>
          <w:sz w:val="20"/>
        </w:rPr>
        <w:t> </w:t>
      </w:r>
      <w:r>
        <w:rPr>
          <w:sz w:val="20"/>
        </w:rPr>
        <w:t>the</w:t>
      </w:r>
      <w:r>
        <w:rPr>
          <w:spacing w:val="-10"/>
          <w:sz w:val="20"/>
        </w:rPr>
        <w:t> </w:t>
      </w:r>
      <w:r>
        <w:rPr>
          <w:sz w:val="20"/>
        </w:rPr>
        <w:t>darker</w:t>
      </w:r>
      <w:r>
        <w:rPr>
          <w:spacing w:val="-10"/>
          <w:sz w:val="20"/>
        </w:rPr>
        <w:t> </w:t>
      </w:r>
      <w:r>
        <w:rPr>
          <w:sz w:val="20"/>
        </w:rPr>
        <w:t>side</w:t>
      </w:r>
      <w:r>
        <w:rPr>
          <w:spacing w:val="-10"/>
          <w:sz w:val="20"/>
        </w:rPr>
        <w:t> </w:t>
      </w:r>
      <w:r>
        <w:rPr>
          <w:sz w:val="20"/>
        </w:rPr>
        <w:t>of</w:t>
      </w:r>
      <w:r>
        <w:rPr>
          <w:spacing w:val="-10"/>
          <w:sz w:val="20"/>
        </w:rPr>
        <w:t> </w:t>
      </w:r>
      <w:r>
        <w:rPr>
          <w:sz w:val="20"/>
        </w:rPr>
        <w:t>human</w:t>
      </w:r>
      <w:r>
        <w:rPr>
          <w:spacing w:val="-10"/>
          <w:sz w:val="20"/>
        </w:rPr>
        <w:t> </w:t>
      </w:r>
      <w:r>
        <w:rPr>
          <w:sz w:val="20"/>
        </w:rPr>
        <w:t>behavior and moral transformation.</w:t>
      </w:r>
    </w:p>
    <w:p>
      <w:pPr>
        <w:pStyle w:val="Heading3"/>
        <w:spacing w:before="151"/>
      </w:pPr>
      <w:r>
        <w:rPr>
          <w:w w:val="90"/>
        </w:rPr>
        <w:t>ANALYSIS</w:t>
      </w:r>
      <w:r>
        <w:rPr>
          <w:spacing w:val="16"/>
        </w:rPr>
        <w:t> </w:t>
      </w:r>
      <w:r>
        <w:rPr>
          <w:w w:val="90"/>
        </w:rPr>
        <w:t>AND</w:t>
      </w:r>
      <w:r>
        <w:rPr>
          <w:spacing w:val="16"/>
        </w:rPr>
        <w:t> </w:t>
      </w:r>
      <w:r>
        <w:rPr>
          <w:spacing w:val="-2"/>
          <w:w w:val="90"/>
        </w:rPr>
        <w:t>STUDY:</w:t>
      </w:r>
    </w:p>
    <w:p>
      <w:pPr>
        <w:pStyle w:val="BodyText"/>
        <w:spacing w:line="264" w:lineRule="auto" w:before="90"/>
        <w:ind w:right="1441" w:firstLine="432"/>
        <w:jc w:val="both"/>
      </w:pPr>
      <w:r>
        <w:rPr/>
        <w:t>Entranced</w:t>
      </w:r>
      <w:r>
        <w:rPr>
          <w:spacing w:val="-1"/>
        </w:rPr>
        <w:t> </w:t>
      </w:r>
      <w:r>
        <w:rPr/>
        <w:t>in</w:t>
      </w:r>
      <w:r>
        <w:rPr>
          <w:spacing w:val="-1"/>
        </w:rPr>
        <w:t> </w:t>
      </w:r>
      <w:r>
        <w:rPr/>
        <w:t>the valour</w:t>
      </w:r>
      <w:r>
        <w:rPr>
          <w:spacing w:val="-1"/>
        </w:rPr>
        <w:t> </w:t>
      </w:r>
      <w:r>
        <w:rPr/>
        <w:t>and</w:t>
      </w:r>
      <w:r>
        <w:rPr>
          <w:spacing w:val="-1"/>
        </w:rPr>
        <w:t> </w:t>
      </w:r>
      <w:r>
        <w:rPr/>
        <w:t>unleashing</w:t>
      </w:r>
      <w:r>
        <w:rPr>
          <w:spacing w:val="-1"/>
        </w:rPr>
        <w:t> </w:t>
      </w:r>
      <w:r>
        <w:rPr/>
        <w:t>the vendetta</w:t>
      </w:r>
      <w:r>
        <w:rPr>
          <w:spacing w:val="-1"/>
        </w:rPr>
        <w:t> </w:t>
      </w:r>
      <w:r>
        <w:rPr/>
        <w:t>of</w:t>
      </w:r>
      <w:r>
        <w:rPr>
          <w:spacing w:val="-3"/>
        </w:rPr>
        <w:t> </w:t>
      </w:r>
      <w:r>
        <w:rPr/>
        <w:t>unmasking the earthly mortal desires, William Shakespeare in the Elizabethan Era, Elizabethan</w:t>
      </w:r>
      <w:r>
        <w:rPr>
          <w:spacing w:val="-6"/>
        </w:rPr>
        <w:t> </w:t>
      </w:r>
      <w:r>
        <w:rPr/>
        <w:t>Mirror</w:t>
      </w:r>
      <w:r>
        <w:rPr>
          <w:spacing w:val="-4"/>
        </w:rPr>
        <w:t> </w:t>
      </w:r>
      <w:r>
        <w:rPr/>
        <w:t>stages</w:t>
      </w:r>
      <w:r>
        <w:rPr>
          <w:spacing w:val="-2"/>
        </w:rPr>
        <w:t> </w:t>
      </w:r>
      <w:r>
        <w:rPr/>
        <w:t>not</w:t>
      </w:r>
      <w:r>
        <w:rPr>
          <w:spacing w:val="-4"/>
        </w:rPr>
        <w:t> </w:t>
      </w:r>
      <w:r>
        <w:rPr/>
        <w:t>merely</w:t>
      </w:r>
      <w:r>
        <w:rPr>
          <w:spacing w:val="-7"/>
        </w:rPr>
        <w:t> </w:t>
      </w:r>
      <w:r>
        <w:rPr/>
        <w:t>melodramatic</w:t>
      </w:r>
      <w:r>
        <w:rPr>
          <w:spacing w:val="-4"/>
        </w:rPr>
        <w:t> </w:t>
      </w:r>
      <w:r>
        <w:rPr/>
        <w:t>mirth</w:t>
      </w:r>
      <w:r>
        <w:rPr>
          <w:spacing w:val="-2"/>
        </w:rPr>
        <w:t> </w:t>
      </w:r>
      <w:r>
        <w:rPr/>
        <w:t>mire,</w:t>
      </w:r>
      <w:r>
        <w:rPr>
          <w:spacing w:val="-4"/>
        </w:rPr>
        <w:t> </w:t>
      </w:r>
      <w:r>
        <w:rPr/>
        <w:t>devious nature</w:t>
      </w:r>
      <w:r>
        <w:rPr>
          <w:spacing w:val="40"/>
        </w:rPr>
        <w:t> </w:t>
      </w:r>
      <w:r>
        <w:rPr/>
        <w:t>unfolding</w:t>
      </w:r>
      <w:r>
        <w:rPr>
          <w:spacing w:val="40"/>
        </w:rPr>
        <w:t> </w:t>
      </w:r>
      <w:r>
        <w:rPr/>
        <w:t>in</w:t>
      </w:r>
      <w:r>
        <w:rPr>
          <w:spacing w:val="40"/>
        </w:rPr>
        <w:t> </w:t>
      </w:r>
      <w:r>
        <w:rPr/>
        <w:t>a</w:t>
      </w:r>
      <w:r>
        <w:rPr>
          <w:spacing w:val="40"/>
        </w:rPr>
        <w:t> </w:t>
      </w:r>
      <w:r>
        <w:rPr/>
        <w:t>natural</w:t>
      </w:r>
      <w:r>
        <w:rPr>
          <w:spacing w:val="40"/>
        </w:rPr>
        <w:t> </w:t>
      </w:r>
      <w:r>
        <w:rPr/>
        <w:t>trance</w:t>
      </w:r>
      <w:r>
        <w:rPr>
          <w:spacing w:val="40"/>
        </w:rPr>
        <w:t> </w:t>
      </w:r>
      <w:r>
        <w:rPr/>
        <w:t>and</w:t>
      </w:r>
      <w:r>
        <w:rPr>
          <w:spacing w:val="40"/>
        </w:rPr>
        <w:t> </w:t>
      </w:r>
      <w:r>
        <w:rPr/>
        <w:t>entrapment</w:t>
      </w:r>
      <w:r>
        <w:rPr>
          <w:spacing w:val="40"/>
        </w:rPr>
        <w:t> </w:t>
      </w:r>
      <w:r>
        <w:rPr/>
        <w:t>of</w:t>
      </w:r>
      <w:r>
        <w:rPr>
          <w:spacing w:val="39"/>
        </w:rPr>
        <w:t> </w:t>
      </w:r>
      <w:r>
        <w:rPr/>
        <w:t>paranoia.</w:t>
      </w:r>
    </w:p>
    <w:p>
      <w:pPr>
        <w:pStyle w:val="BodyText"/>
        <w:spacing w:after="0" w:line="264"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0" w:right="746" w:firstLine="0"/>
        <w:jc w:val="center"/>
        <w:rPr>
          <w:rFonts w:ascii="Verdana"/>
          <w:sz w:val="18"/>
        </w:rPr>
      </w:pPr>
      <w:r>
        <w:rPr>
          <w:rFonts w:ascii="Verdana"/>
          <w:sz w:val="18"/>
        </w:rPr>
        <mc:AlternateContent>
          <mc:Choice Requires="wps">
            <w:drawing>
              <wp:anchor distT="0" distB="0" distL="0" distR="0" allowOverlap="1" layoutInCell="1" locked="0" behindDoc="0" simplePos="0" relativeHeight="16035840">
                <wp:simplePos x="0" y="0"/>
                <wp:positionH relativeFrom="page">
                  <wp:posOffset>2057400</wp:posOffset>
                </wp:positionH>
                <wp:positionV relativeFrom="paragraph">
                  <wp:posOffset>226097</wp:posOffset>
                </wp:positionV>
                <wp:extent cx="3657600" cy="12700"/>
                <wp:effectExtent l="0" t="0" r="0" b="0"/>
                <wp:wrapNone/>
                <wp:docPr id="819" name="Graphic 819"/>
                <wp:cNvGraphicFramePr>
                  <a:graphicFrameLocks/>
                </wp:cNvGraphicFramePr>
                <a:graphic>
                  <a:graphicData uri="http://schemas.microsoft.com/office/word/2010/wordprocessingShape">
                    <wps:wsp>
                      <wps:cNvPr id="819" name="Graphic 81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6035840" id="docshape811" filled="true" fillcolor="#000000" stroked="false">
                <v:fill type="solid"/>
                <w10:wrap type="none"/>
              </v:rect>
            </w:pict>
          </mc:Fallback>
        </mc:AlternateContent>
      </w:r>
      <w:r>
        <w:rPr>
          <w:rFonts w:ascii="Verdana"/>
          <w:spacing w:val="-5"/>
          <w:w w:val="95"/>
          <w:sz w:val="18"/>
        </w:rPr>
        <w:t>420</w:t>
      </w:r>
    </w:p>
    <w:p>
      <w:pPr>
        <w:pStyle w:val="BodyText"/>
        <w:spacing w:before="10"/>
        <w:ind w:left="0"/>
        <w:rPr>
          <w:rFonts w:ascii="Verdana"/>
          <w:sz w:val="18"/>
        </w:rPr>
      </w:pPr>
    </w:p>
    <w:p>
      <w:pPr>
        <w:pStyle w:val="Heading3"/>
        <w:numPr>
          <w:ilvl w:val="0"/>
          <w:numId w:val="87"/>
        </w:numPr>
        <w:tabs>
          <w:tab w:pos="1628" w:val="left" w:leader="none"/>
        </w:tabs>
        <w:spacing w:line="240" w:lineRule="auto" w:before="1" w:after="0"/>
        <w:ind w:left="1628" w:right="0" w:hanging="188"/>
        <w:jc w:val="left"/>
      </w:pPr>
      <w:r>
        <w:rPr>
          <w:w w:val="85"/>
        </w:rPr>
        <w:t>CRITICAL</w:t>
      </w:r>
      <w:r>
        <w:rPr>
          <w:spacing w:val="17"/>
        </w:rPr>
        <w:t> </w:t>
      </w:r>
      <w:r>
        <w:rPr>
          <w:spacing w:val="-5"/>
        </w:rPr>
        <w:t>APPROACH</w:t>
      </w:r>
    </w:p>
    <w:p>
      <w:pPr>
        <w:spacing w:before="100"/>
        <w:ind w:left="338"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3942" w:space="40"/>
            <w:col w:w="4658"/>
          </w:cols>
        </w:sectPr>
      </w:pPr>
    </w:p>
    <w:p>
      <w:pPr>
        <w:pStyle w:val="BodyText"/>
        <w:spacing w:line="249" w:lineRule="auto" w:before="75"/>
        <w:ind w:right="1436" w:firstLine="432"/>
        <w:jc w:val="both"/>
      </w:pPr>
      <w:r>
        <w:rPr/>
        <w:t>A critical approach to Lady Macbeth in Macbeth by William Shakespeare extends beyond surface-level interpretation and situates</w:t>
      </w:r>
      <w:r>
        <w:rPr>
          <w:spacing w:val="40"/>
        </w:rPr>
        <w:t> </w:t>
      </w:r>
      <w:r>
        <w:rPr/>
        <w:t>her within a broader framework of power, ideology, gender politics, psychological</w:t>
      </w:r>
      <w:r>
        <w:rPr>
          <w:spacing w:val="-13"/>
        </w:rPr>
        <w:t> </w:t>
      </w:r>
      <w:r>
        <w:rPr/>
        <w:t>liberation,</w:t>
      </w:r>
      <w:r>
        <w:rPr>
          <w:spacing w:val="-12"/>
        </w:rPr>
        <w:t> </w:t>
      </w:r>
      <w:r>
        <w:rPr/>
        <w:t>and</w:t>
      </w:r>
      <w:r>
        <w:rPr>
          <w:spacing w:val="-13"/>
        </w:rPr>
        <w:t> </w:t>
      </w:r>
      <w:r>
        <w:rPr/>
        <w:t>moral</w:t>
      </w:r>
      <w:r>
        <w:rPr>
          <w:spacing w:val="-12"/>
        </w:rPr>
        <w:t> </w:t>
      </w:r>
      <w:r>
        <w:rPr/>
        <w:t>contradiction.</w:t>
      </w:r>
      <w:r>
        <w:rPr>
          <w:spacing w:val="-13"/>
        </w:rPr>
        <w:t> </w:t>
      </w:r>
      <w:r>
        <w:rPr/>
        <w:t>Drawing</w:t>
      </w:r>
      <w:r>
        <w:rPr>
          <w:spacing w:val="-12"/>
        </w:rPr>
        <w:t> </w:t>
      </w:r>
      <w:r>
        <w:rPr/>
        <w:t>from</w:t>
      </w:r>
      <w:r>
        <w:rPr>
          <w:spacing w:val="-13"/>
        </w:rPr>
        <w:t> </w:t>
      </w:r>
      <w:r>
        <w:rPr/>
        <w:t>Critical Theory, Lady Macbeth becomes not merely a character, but a symbolic site where structures of domination, resistance, and internal conflict </w:t>
      </w:r>
      <w:r>
        <w:rPr>
          <w:spacing w:val="-2"/>
        </w:rPr>
        <w:t>intersect.</w:t>
      </w:r>
    </w:p>
    <w:p>
      <w:pPr>
        <w:pStyle w:val="Heading5"/>
        <w:numPr>
          <w:ilvl w:val="1"/>
          <w:numId w:val="87"/>
        </w:numPr>
        <w:tabs>
          <w:tab w:pos="1752" w:val="left" w:leader="none"/>
        </w:tabs>
        <w:spacing w:line="240" w:lineRule="auto" w:before="113" w:after="0"/>
        <w:ind w:left="1752" w:right="0" w:hanging="312"/>
        <w:jc w:val="left"/>
      </w:pPr>
      <w:r>
        <w:rPr>
          <w:w w:val="105"/>
        </w:rPr>
        <w:t>Prelude</w:t>
      </w:r>
      <w:r>
        <w:rPr>
          <w:spacing w:val="69"/>
          <w:w w:val="150"/>
        </w:rPr>
        <w:t> </w:t>
      </w:r>
      <w:r>
        <w:rPr>
          <w:w w:val="105"/>
        </w:rPr>
        <w:t>as</w:t>
      </w:r>
      <w:r>
        <w:rPr>
          <w:spacing w:val="75"/>
          <w:w w:val="150"/>
        </w:rPr>
        <w:t> </w:t>
      </w:r>
      <w:r>
        <w:rPr>
          <w:w w:val="105"/>
        </w:rPr>
        <w:t>Ideological</w:t>
      </w:r>
      <w:r>
        <w:rPr>
          <w:spacing w:val="76"/>
          <w:w w:val="150"/>
        </w:rPr>
        <w:t> </w:t>
      </w:r>
      <w:r>
        <w:rPr>
          <w:spacing w:val="-2"/>
          <w:w w:val="105"/>
        </w:rPr>
        <w:t>Inversion</w:t>
      </w:r>
    </w:p>
    <w:p>
      <w:pPr>
        <w:pStyle w:val="BodyText"/>
        <w:spacing w:line="266" w:lineRule="auto" w:before="79"/>
        <w:ind w:right="1436" w:firstLine="432"/>
        <w:jc w:val="both"/>
      </w:pPr>
      <w:r>
        <w:rPr/>
        <w:t>Your prelude—</w:t>
      </w:r>
      <w:r>
        <w:rPr>
          <w:i/>
        </w:rPr>
        <w:t>”Thy Will of Hell Be Done!”</w:t>
      </w:r>
      <w:r>
        <w:rPr/>
        <w:t>—can be critically interpreted as a deliberate inversion of divine order. It replaces sacred will</w:t>
      </w:r>
      <w:r>
        <w:rPr>
          <w:spacing w:val="-2"/>
        </w:rPr>
        <w:t> </w:t>
      </w:r>
      <w:r>
        <w:rPr/>
        <w:t>with</w:t>
      </w:r>
      <w:r>
        <w:rPr>
          <w:spacing w:val="-4"/>
        </w:rPr>
        <w:t> </w:t>
      </w:r>
      <w:r>
        <w:rPr/>
        <w:t>infernal</w:t>
      </w:r>
      <w:r>
        <w:rPr>
          <w:spacing w:val="-2"/>
        </w:rPr>
        <w:t> </w:t>
      </w:r>
      <w:r>
        <w:rPr/>
        <w:t>agency,</w:t>
      </w:r>
      <w:r>
        <w:rPr>
          <w:spacing w:val="-2"/>
        </w:rPr>
        <w:t> </w:t>
      </w:r>
      <w:r>
        <w:rPr/>
        <w:t>suggesting</w:t>
      </w:r>
      <w:r>
        <w:rPr>
          <w:spacing w:val="-6"/>
        </w:rPr>
        <w:t> </w:t>
      </w:r>
      <w:r>
        <w:rPr/>
        <w:t>that</w:t>
      </w:r>
      <w:r>
        <w:rPr>
          <w:spacing w:val="-2"/>
        </w:rPr>
        <w:t> </w:t>
      </w:r>
      <w:r>
        <w:rPr/>
        <w:t>the</w:t>
      </w:r>
      <w:r>
        <w:rPr>
          <w:spacing w:val="-3"/>
        </w:rPr>
        <w:t> </w:t>
      </w:r>
      <w:r>
        <w:rPr/>
        <w:t>moral</w:t>
      </w:r>
      <w:r>
        <w:rPr>
          <w:spacing w:val="-3"/>
        </w:rPr>
        <w:t> </w:t>
      </w:r>
      <w:r>
        <w:rPr/>
        <w:t>universe</w:t>
      </w:r>
      <w:r>
        <w:rPr>
          <w:spacing w:val="-2"/>
        </w:rPr>
        <w:t> </w:t>
      </w:r>
      <w:r>
        <w:rPr/>
        <w:t>of</w:t>
      </w:r>
      <w:r>
        <w:rPr>
          <w:spacing w:val="-6"/>
        </w:rPr>
        <w:t> </w:t>
      </w:r>
      <w:r>
        <w:rPr/>
        <w:t>the</w:t>
      </w:r>
      <w:r>
        <w:rPr>
          <w:spacing w:val="-2"/>
        </w:rPr>
        <w:t> </w:t>
      </w:r>
      <w:r>
        <w:rPr/>
        <w:t>play is destabilized. This inversion reflects a critique of ideological systems that claim divine legitimacy, particularly monarchy.</w:t>
      </w:r>
    </w:p>
    <w:p>
      <w:pPr>
        <w:pStyle w:val="ListParagraph"/>
        <w:numPr>
          <w:ilvl w:val="2"/>
          <w:numId w:val="87"/>
        </w:numPr>
        <w:tabs>
          <w:tab w:pos="2160" w:val="left" w:leader="none"/>
        </w:tabs>
        <w:spacing w:line="264" w:lineRule="auto" w:before="53" w:after="0"/>
        <w:ind w:left="2160" w:right="1443" w:hanging="240"/>
        <w:jc w:val="left"/>
        <w:rPr>
          <w:sz w:val="20"/>
        </w:rPr>
      </w:pPr>
      <w:r>
        <w:rPr>
          <w:sz w:val="20"/>
        </w:rPr>
        <w:t>The invocation</w:t>
      </w:r>
      <w:r>
        <w:rPr>
          <w:spacing w:val="-3"/>
          <w:sz w:val="20"/>
        </w:rPr>
        <w:t> </w:t>
      </w:r>
      <w:r>
        <w:rPr>
          <w:sz w:val="20"/>
        </w:rPr>
        <w:t>of</w:t>
      </w:r>
      <w:r>
        <w:rPr>
          <w:spacing w:val="-1"/>
          <w:sz w:val="20"/>
        </w:rPr>
        <w:t> </w:t>
      </w:r>
      <w:r>
        <w:rPr>
          <w:sz w:val="20"/>
        </w:rPr>
        <w:t>“hell”</w:t>
      </w:r>
      <w:r>
        <w:rPr>
          <w:spacing w:val="-2"/>
          <w:sz w:val="20"/>
        </w:rPr>
        <w:t> </w:t>
      </w:r>
      <w:r>
        <w:rPr>
          <w:sz w:val="20"/>
        </w:rPr>
        <w:t>symbolizes</w:t>
      </w:r>
      <w:r>
        <w:rPr>
          <w:spacing w:val="-3"/>
          <w:sz w:val="20"/>
        </w:rPr>
        <w:t> </w:t>
      </w:r>
      <w:r>
        <w:rPr>
          <w:sz w:val="20"/>
        </w:rPr>
        <w:t>rebellion</w:t>
      </w:r>
      <w:r>
        <w:rPr>
          <w:spacing w:val="-4"/>
          <w:sz w:val="20"/>
        </w:rPr>
        <w:t> </w:t>
      </w:r>
      <w:r>
        <w:rPr>
          <w:sz w:val="20"/>
        </w:rPr>
        <w:t>against imposed moral authority</w:t>
      </w:r>
    </w:p>
    <w:p>
      <w:pPr>
        <w:pStyle w:val="ListParagraph"/>
        <w:numPr>
          <w:ilvl w:val="2"/>
          <w:numId w:val="87"/>
        </w:numPr>
        <w:tabs>
          <w:tab w:pos="2160" w:val="left" w:leader="none"/>
        </w:tabs>
        <w:spacing w:line="266" w:lineRule="auto" w:before="58" w:after="0"/>
        <w:ind w:left="2160" w:right="1444" w:hanging="240"/>
        <w:jc w:val="left"/>
        <w:rPr>
          <w:sz w:val="20"/>
        </w:rPr>
      </w:pPr>
      <w:r>
        <w:rPr>
          <w:sz w:val="20"/>
        </w:rPr>
        <w:t>It</w:t>
      </w:r>
      <w:r>
        <w:rPr>
          <w:spacing w:val="-7"/>
          <w:sz w:val="20"/>
        </w:rPr>
        <w:t> </w:t>
      </w:r>
      <w:r>
        <w:rPr>
          <w:sz w:val="20"/>
        </w:rPr>
        <w:t>suggests</w:t>
      </w:r>
      <w:r>
        <w:rPr>
          <w:spacing w:val="-8"/>
          <w:sz w:val="20"/>
        </w:rPr>
        <w:t> </w:t>
      </w:r>
      <w:r>
        <w:rPr>
          <w:sz w:val="20"/>
        </w:rPr>
        <w:t>that</w:t>
      </w:r>
      <w:r>
        <w:rPr>
          <w:spacing w:val="-8"/>
          <w:sz w:val="20"/>
        </w:rPr>
        <w:t> </w:t>
      </w:r>
      <w:r>
        <w:rPr>
          <w:sz w:val="20"/>
        </w:rPr>
        <w:t>power</w:t>
      </w:r>
      <w:r>
        <w:rPr>
          <w:spacing w:val="-7"/>
          <w:sz w:val="20"/>
        </w:rPr>
        <w:t> </w:t>
      </w:r>
      <w:r>
        <w:rPr>
          <w:sz w:val="20"/>
        </w:rPr>
        <w:t>structures</w:t>
      </w:r>
      <w:r>
        <w:rPr>
          <w:spacing w:val="-7"/>
          <w:sz w:val="20"/>
        </w:rPr>
        <w:t> </w:t>
      </w:r>
      <w:r>
        <w:rPr>
          <w:sz w:val="20"/>
        </w:rPr>
        <w:t>are</w:t>
      </w:r>
      <w:r>
        <w:rPr>
          <w:spacing w:val="-7"/>
          <w:sz w:val="20"/>
        </w:rPr>
        <w:t> </w:t>
      </w:r>
      <w:r>
        <w:rPr>
          <w:sz w:val="20"/>
        </w:rPr>
        <w:t>not</w:t>
      </w:r>
      <w:r>
        <w:rPr>
          <w:spacing w:val="-8"/>
          <w:sz w:val="20"/>
        </w:rPr>
        <w:t> </w:t>
      </w:r>
      <w:r>
        <w:rPr>
          <w:sz w:val="20"/>
        </w:rPr>
        <w:t>natural</w:t>
      </w:r>
      <w:r>
        <w:rPr>
          <w:spacing w:val="-8"/>
          <w:sz w:val="20"/>
        </w:rPr>
        <w:t> </w:t>
      </w:r>
      <w:r>
        <w:rPr>
          <w:sz w:val="20"/>
        </w:rPr>
        <w:t>but</w:t>
      </w:r>
      <w:r>
        <w:rPr>
          <w:spacing w:val="-7"/>
          <w:sz w:val="20"/>
        </w:rPr>
        <w:t> </w:t>
      </w:r>
      <w:r>
        <w:rPr>
          <w:sz w:val="20"/>
        </w:rPr>
        <w:t>constructed and</w:t>
      </w:r>
      <w:r>
        <w:rPr>
          <w:spacing w:val="40"/>
          <w:sz w:val="20"/>
        </w:rPr>
        <w:t> </w:t>
      </w:r>
      <w:r>
        <w:rPr>
          <w:sz w:val="20"/>
        </w:rPr>
        <w:t>reversible</w:t>
      </w:r>
    </w:p>
    <w:p>
      <w:pPr>
        <w:pStyle w:val="ListParagraph"/>
        <w:numPr>
          <w:ilvl w:val="2"/>
          <w:numId w:val="87"/>
        </w:numPr>
        <w:tabs>
          <w:tab w:pos="2159" w:val="left" w:leader="none"/>
        </w:tabs>
        <w:spacing w:line="240" w:lineRule="auto" w:before="56" w:after="0"/>
        <w:ind w:left="2159" w:right="0" w:hanging="239"/>
        <w:jc w:val="left"/>
        <w:rPr>
          <w:sz w:val="20"/>
        </w:rPr>
      </w:pPr>
      <w:r>
        <w:rPr>
          <w:sz w:val="20"/>
        </w:rPr>
        <w:t>It</w:t>
      </w:r>
      <w:r>
        <w:rPr>
          <w:spacing w:val="20"/>
          <w:sz w:val="20"/>
        </w:rPr>
        <w:t> </w:t>
      </w:r>
      <w:r>
        <w:rPr>
          <w:sz w:val="20"/>
        </w:rPr>
        <w:t>exposes</w:t>
      </w:r>
      <w:r>
        <w:rPr>
          <w:spacing w:val="22"/>
          <w:sz w:val="20"/>
        </w:rPr>
        <w:t> </w:t>
      </w:r>
      <w:r>
        <w:rPr>
          <w:sz w:val="20"/>
        </w:rPr>
        <w:t>how</w:t>
      </w:r>
      <w:r>
        <w:rPr>
          <w:spacing w:val="19"/>
          <w:sz w:val="20"/>
        </w:rPr>
        <w:t> </w:t>
      </w:r>
      <w:r>
        <w:rPr>
          <w:sz w:val="20"/>
        </w:rPr>
        <w:t>ambition</w:t>
      </w:r>
      <w:r>
        <w:rPr>
          <w:spacing w:val="20"/>
          <w:sz w:val="20"/>
        </w:rPr>
        <w:t> </w:t>
      </w:r>
      <w:r>
        <w:rPr>
          <w:sz w:val="20"/>
        </w:rPr>
        <w:t>can</w:t>
      </w:r>
      <w:r>
        <w:rPr>
          <w:spacing w:val="23"/>
          <w:sz w:val="20"/>
        </w:rPr>
        <w:t> </w:t>
      </w:r>
      <w:r>
        <w:rPr>
          <w:sz w:val="20"/>
        </w:rPr>
        <w:t>reframe</w:t>
      </w:r>
      <w:r>
        <w:rPr>
          <w:spacing w:val="22"/>
          <w:sz w:val="20"/>
        </w:rPr>
        <w:t> </w:t>
      </w:r>
      <w:r>
        <w:rPr>
          <w:sz w:val="20"/>
        </w:rPr>
        <w:t>evil</w:t>
      </w:r>
      <w:r>
        <w:rPr>
          <w:spacing w:val="24"/>
          <w:sz w:val="20"/>
        </w:rPr>
        <w:t> </w:t>
      </w:r>
      <w:r>
        <w:rPr>
          <w:sz w:val="20"/>
        </w:rPr>
        <w:t>as</w:t>
      </w:r>
      <w:r>
        <w:rPr>
          <w:spacing w:val="21"/>
          <w:sz w:val="20"/>
        </w:rPr>
        <w:t> </w:t>
      </w:r>
      <w:r>
        <w:rPr>
          <w:spacing w:val="-2"/>
          <w:sz w:val="20"/>
        </w:rPr>
        <w:t>necessity</w:t>
      </w:r>
    </w:p>
    <w:p>
      <w:pPr>
        <w:pStyle w:val="BodyText"/>
        <w:spacing w:line="266" w:lineRule="auto" w:before="82"/>
        <w:ind w:right="1437" w:firstLine="432"/>
      </w:pPr>
      <w:r>
        <w:rPr/>
        <w:t>Thus, the prelude sets the tone for a world where ideology masks violence,</w:t>
      </w:r>
      <w:r>
        <w:rPr>
          <w:spacing w:val="-2"/>
        </w:rPr>
        <w:t> </w:t>
      </w:r>
      <w:r>
        <w:rPr/>
        <w:t>and</w:t>
      </w:r>
      <w:r>
        <w:rPr>
          <w:spacing w:val="-2"/>
        </w:rPr>
        <w:t> </w:t>
      </w:r>
      <w:r>
        <w:rPr/>
        <w:t>where</w:t>
      </w:r>
      <w:r>
        <w:rPr>
          <w:spacing w:val="-1"/>
        </w:rPr>
        <w:t> </w:t>
      </w:r>
      <w:r>
        <w:rPr/>
        <w:t>moral</w:t>
      </w:r>
      <w:r>
        <w:rPr>
          <w:spacing w:val="-4"/>
        </w:rPr>
        <w:t> </w:t>
      </w:r>
      <w:r>
        <w:rPr/>
        <w:t>categories</w:t>
      </w:r>
      <w:r>
        <w:rPr>
          <w:spacing w:val="-3"/>
        </w:rPr>
        <w:t> </w:t>
      </w:r>
      <w:r>
        <w:rPr/>
        <w:t>are</w:t>
      </w:r>
      <w:r>
        <w:rPr>
          <w:spacing w:val="-5"/>
        </w:rPr>
        <w:t> </w:t>
      </w:r>
      <w:r>
        <w:rPr/>
        <w:t>manipulated</w:t>
      </w:r>
      <w:r>
        <w:rPr>
          <w:spacing w:val="-1"/>
        </w:rPr>
        <w:t> </w:t>
      </w:r>
      <w:r>
        <w:rPr/>
        <w:t>for</w:t>
      </w:r>
      <w:r>
        <w:rPr>
          <w:spacing w:val="-2"/>
        </w:rPr>
        <w:t> </w:t>
      </w:r>
      <w:r>
        <w:rPr/>
        <w:t>political</w:t>
      </w:r>
      <w:r>
        <w:rPr>
          <w:spacing w:val="-3"/>
        </w:rPr>
        <w:t> </w:t>
      </w:r>
      <w:r>
        <w:rPr>
          <w:spacing w:val="-2"/>
        </w:rPr>
        <w:t>gain.</w:t>
      </w:r>
    </w:p>
    <w:p>
      <w:pPr>
        <w:pStyle w:val="Heading5"/>
        <w:numPr>
          <w:ilvl w:val="1"/>
          <w:numId w:val="87"/>
        </w:numPr>
        <w:tabs>
          <w:tab w:pos="1754" w:val="left" w:leader="none"/>
        </w:tabs>
        <w:spacing w:line="240" w:lineRule="auto" w:before="110" w:after="0"/>
        <w:ind w:left="1754" w:right="0" w:hanging="314"/>
        <w:jc w:val="left"/>
      </w:pPr>
      <w:r>
        <w:rPr>
          <w:w w:val="105"/>
        </w:rPr>
        <w:t>Political</w:t>
      </w:r>
      <w:r>
        <w:rPr>
          <w:spacing w:val="69"/>
          <w:w w:val="150"/>
        </w:rPr>
        <w:t> </w:t>
      </w:r>
      <w:r>
        <w:rPr>
          <w:w w:val="105"/>
        </w:rPr>
        <w:t>Power</w:t>
      </w:r>
      <w:r>
        <w:rPr>
          <w:spacing w:val="67"/>
          <w:w w:val="150"/>
        </w:rPr>
        <w:t> </w:t>
      </w:r>
      <w:r>
        <w:rPr>
          <w:w w:val="105"/>
        </w:rPr>
        <w:t>and</w:t>
      </w:r>
      <w:r>
        <w:rPr>
          <w:spacing w:val="69"/>
          <w:w w:val="150"/>
        </w:rPr>
        <w:t> </w:t>
      </w:r>
      <w:r>
        <w:rPr>
          <w:w w:val="105"/>
        </w:rPr>
        <w:t>Ideological</w:t>
      </w:r>
      <w:r>
        <w:rPr>
          <w:spacing w:val="69"/>
          <w:w w:val="150"/>
        </w:rPr>
        <w:t> </w:t>
      </w:r>
      <w:r>
        <w:rPr>
          <w:spacing w:val="-2"/>
          <w:w w:val="105"/>
        </w:rPr>
        <w:t>Control</w:t>
      </w:r>
    </w:p>
    <w:p>
      <w:pPr>
        <w:pStyle w:val="BodyText"/>
        <w:spacing w:line="264" w:lineRule="auto" w:before="84"/>
        <w:ind w:right="1436" w:firstLine="432"/>
        <w:jc w:val="both"/>
      </w:pPr>
      <w:r>
        <w:rPr/>
        <w:t>Lady Macbeth’s ambition operates within a system defined by monarchy—an</w:t>
      </w:r>
      <w:r>
        <w:rPr>
          <w:spacing w:val="-11"/>
        </w:rPr>
        <w:t> </w:t>
      </w:r>
      <w:r>
        <w:rPr/>
        <w:t>institution</w:t>
      </w:r>
      <w:r>
        <w:rPr>
          <w:spacing w:val="-11"/>
        </w:rPr>
        <w:t> </w:t>
      </w:r>
      <w:r>
        <w:rPr/>
        <w:t>rooted</w:t>
      </w:r>
      <w:r>
        <w:rPr>
          <w:spacing w:val="-8"/>
        </w:rPr>
        <w:t> </w:t>
      </w:r>
      <w:r>
        <w:rPr/>
        <w:t>in</w:t>
      </w:r>
      <w:r>
        <w:rPr>
          <w:spacing w:val="-11"/>
        </w:rPr>
        <w:t> </w:t>
      </w:r>
      <w:r>
        <w:rPr/>
        <w:t>hierarchy,</w:t>
      </w:r>
      <w:r>
        <w:rPr>
          <w:spacing w:val="-11"/>
        </w:rPr>
        <w:t> </w:t>
      </w:r>
      <w:r>
        <w:rPr/>
        <w:t>divine</w:t>
      </w:r>
      <w:r>
        <w:rPr>
          <w:spacing w:val="-11"/>
        </w:rPr>
        <w:t> </w:t>
      </w:r>
      <w:r>
        <w:rPr/>
        <w:t>right,</w:t>
      </w:r>
      <w:r>
        <w:rPr>
          <w:spacing w:val="-8"/>
        </w:rPr>
        <w:t> </w:t>
      </w:r>
      <w:r>
        <w:rPr/>
        <w:t>and</w:t>
      </w:r>
      <w:r>
        <w:rPr>
          <w:spacing w:val="-9"/>
        </w:rPr>
        <w:t> </w:t>
      </w:r>
      <w:r>
        <w:rPr/>
        <w:t>inherited </w:t>
      </w:r>
      <w:r>
        <w:rPr>
          <w:spacing w:val="-2"/>
        </w:rPr>
        <w:t>authority.</w:t>
      </w:r>
    </w:p>
    <w:p>
      <w:pPr>
        <w:pStyle w:val="Heading6"/>
        <w:spacing w:before="59"/>
      </w:pPr>
      <w:r>
        <w:rPr>
          <w:spacing w:val="-2"/>
        </w:rPr>
        <w:t>Critically:</w:t>
      </w:r>
    </w:p>
    <w:p>
      <w:pPr>
        <w:pStyle w:val="ListParagraph"/>
        <w:numPr>
          <w:ilvl w:val="2"/>
          <w:numId w:val="87"/>
        </w:numPr>
        <w:tabs>
          <w:tab w:pos="2159" w:val="left" w:leader="none"/>
        </w:tabs>
        <w:spacing w:line="240" w:lineRule="auto" w:before="82" w:after="0"/>
        <w:ind w:left="2159" w:right="0" w:hanging="239"/>
        <w:jc w:val="left"/>
        <w:rPr>
          <w:sz w:val="20"/>
        </w:rPr>
      </w:pPr>
      <w:r>
        <w:rPr>
          <w:sz w:val="20"/>
        </w:rPr>
        <w:t>Monarchy</w:t>
      </w:r>
      <w:r>
        <w:rPr>
          <w:spacing w:val="16"/>
          <w:sz w:val="20"/>
        </w:rPr>
        <w:t> </w:t>
      </w:r>
      <w:r>
        <w:rPr>
          <w:sz w:val="20"/>
        </w:rPr>
        <w:t>represents</w:t>
      </w:r>
      <w:r>
        <w:rPr>
          <w:spacing w:val="19"/>
          <w:sz w:val="20"/>
        </w:rPr>
        <w:t> </w:t>
      </w:r>
      <w:r>
        <w:rPr>
          <w:sz w:val="20"/>
        </w:rPr>
        <w:t>centralized</w:t>
      </w:r>
      <w:r>
        <w:rPr>
          <w:spacing w:val="21"/>
          <w:sz w:val="20"/>
        </w:rPr>
        <w:t> </w:t>
      </w:r>
      <w:r>
        <w:rPr>
          <w:sz w:val="20"/>
        </w:rPr>
        <w:t>ideological</w:t>
      </w:r>
      <w:r>
        <w:rPr>
          <w:spacing w:val="19"/>
          <w:sz w:val="20"/>
        </w:rPr>
        <w:t> </w:t>
      </w:r>
      <w:r>
        <w:rPr>
          <w:spacing w:val="-4"/>
          <w:sz w:val="20"/>
        </w:rPr>
        <w:t>power</w:t>
      </w:r>
    </w:p>
    <w:p>
      <w:pPr>
        <w:pStyle w:val="ListParagraph"/>
        <w:numPr>
          <w:ilvl w:val="2"/>
          <w:numId w:val="87"/>
        </w:numPr>
        <w:tabs>
          <w:tab w:pos="2159" w:val="left" w:leader="none"/>
        </w:tabs>
        <w:spacing w:line="240" w:lineRule="auto" w:before="82" w:after="0"/>
        <w:ind w:left="2159" w:right="0" w:hanging="239"/>
        <w:jc w:val="left"/>
        <w:rPr>
          <w:sz w:val="20"/>
        </w:rPr>
      </w:pPr>
      <w:r>
        <w:rPr>
          <w:sz w:val="20"/>
        </w:rPr>
        <w:t>It</w:t>
      </w:r>
      <w:r>
        <w:rPr>
          <w:spacing w:val="29"/>
          <w:sz w:val="20"/>
        </w:rPr>
        <w:t> </w:t>
      </w:r>
      <w:r>
        <w:rPr>
          <w:sz w:val="20"/>
        </w:rPr>
        <w:t>is</w:t>
      </w:r>
      <w:r>
        <w:rPr>
          <w:spacing w:val="30"/>
          <w:sz w:val="20"/>
        </w:rPr>
        <w:t> </w:t>
      </w:r>
      <w:r>
        <w:rPr>
          <w:sz w:val="20"/>
        </w:rPr>
        <w:t>sustained</w:t>
      </w:r>
      <w:r>
        <w:rPr>
          <w:spacing w:val="33"/>
          <w:sz w:val="20"/>
        </w:rPr>
        <w:t> </w:t>
      </w:r>
      <w:r>
        <w:rPr>
          <w:sz w:val="20"/>
        </w:rPr>
        <w:t>not</w:t>
      </w:r>
      <w:r>
        <w:rPr>
          <w:spacing w:val="30"/>
          <w:sz w:val="20"/>
        </w:rPr>
        <w:t> </w:t>
      </w:r>
      <w:r>
        <w:rPr>
          <w:sz w:val="20"/>
        </w:rPr>
        <w:t>only</w:t>
      </w:r>
      <w:r>
        <w:rPr>
          <w:spacing w:val="28"/>
          <w:sz w:val="20"/>
        </w:rPr>
        <w:t> </w:t>
      </w:r>
      <w:r>
        <w:rPr>
          <w:sz w:val="20"/>
        </w:rPr>
        <w:t>by</w:t>
      </w:r>
      <w:r>
        <w:rPr>
          <w:spacing w:val="26"/>
          <w:sz w:val="20"/>
        </w:rPr>
        <w:t> </w:t>
      </w:r>
      <w:r>
        <w:rPr>
          <w:sz w:val="20"/>
        </w:rPr>
        <w:t>force</w:t>
      </w:r>
      <w:r>
        <w:rPr>
          <w:spacing w:val="32"/>
          <w:sz w:val="20"/>
        </w:rPr>
        <w:t> </w:t>
      </w:r>
      <w:r>
        <w:rPr>
          <w:sz w:val="20"/>
        </w:rPr>
        <w:t>but</w:t>
      </w:r>
      <w:r>
        <w:rPr>
          <w:spacing w:val="30"/>
          <w:sz w:val="20"/>
        </w:rPr>
        <w:t> </w:t>
      </w:r>
      <w:r>
        <w:rPr>
          <w:sz w:val="20"/>
        </w:rPr>
        <w:t>by</w:t>
      </w:r>
      <w:r>
        <w:rPr>
          <w:spacing w:val="28"/>
          <w:sz w:val="20"/>
        </w:rPr>
        <w:t> </w:t>
      </w:r>
      <w:r>
        <w:rPr>
          <w:spacing w:val="-2"/>
          <w:sz w:val="20"/>
        </w:rPr>
        <w:t>belief</w:t>
      </w:r>
    </w:p>
    <w:p>
      <w:pPr>
        <w:pStyle w:val="ListParagraph"/>
        <w:numPr>
          <w:ilvl w:val="2"/>
          <w:numId w:val="87"/>
        </w:numPr>
        <w:tabs>
          <w:tab w:pos="2160" w:val="left" w:leader="none"/>
        </w:tabs>
        <w:spacing w:line="266" w:lineRule="auto" w:before="82" w:after="0"/>
        <w:ind w:left="2160" w:right="1443" w:hanging="240"/>
        <w:jc w:val="left"/>
        <w:rPr>
          <w:sz w:val="20"/>
        </w:rPr>
      </w:pPr>
      <w:r>
        <w:rPr>
          <w:sz w:val="20"/>
        </w:rPr>
        <w:t>Lady</w:t>
      </w:r>
      <w:r>
        <w:rPr>
          <w:spacing w:val="33"/>
          <w:sz w:val="20"/>
        </w:rPr>
        <w:t> </w:t>
      </w:r>
      <w:r>
        <w:rPr>
          <w:sz w:val="20"/>
        </w:rPr>
        <w:t>Macbeth</w:t>
      </w:r>
      <w:r>
        <w:rPr>
          <w:spacing w:val="35"/>
          <w:sz w:val="20"/>
        </w:rPr>
        <w:t> </w:t>
      </w:r>
      <w:r>
        <w:rPr>
          <w:sz w:val="20"/>
        </w:rPr>
        <w:t>disrupts</w:t>
      </w:r>
      <w:r>
        <w:rPr>
          <w:spacing w:val="35"/>
          <w:sz w:val="20"/>
        </w:rPr>
        <w:t> </w:t>
      </w:r>
      <w:r>
        <w:rPr>
          <w:sz w:val="20"/>
        </w:rPr>
        <w:t>this</w:t>
      </w:r>
      <w:r>
        <w:rPr>
          <w:spacing w:val="35"/>
          <w:sz w:val="20"/>
        </w:rPr>
        <w:t> </w:t>
      </w:r>
      <w:r>
        <w:rPr>
          <w:sz w:val="20"/>
        </w:rPr>
        <w:t>by</w:t>
      </w:r>
      <w:r>
        <w:rPr>
          <w:spacing w:val="31"/>
          <w:sz w:val="20"/>
        </w:rPr>
        <w:t> </w:t>
      </w:r>
      <w:r>
        <w:rPr>
          <w:sz w:val="20"/>
        </w:rPr>
        <w:t>exposing</w:t>
      </w:r>
      <w:r>
        <w:rPr>
          <w:spacing w:val="33"/>
          <w:sz w:val="20"/>
        </w:rPr>
        <w:t> </w:t>
      </w:r>
      <w:r>
        <w:rPr>
          <w:sz w:val="20"/>
        </w:rPr>
        <w:t>its</w:t>
      </w:r>
      <w:r>
        <w:rPr>
          <w:spacing w:val="35"/>
          <w:sz w:val="20"/>
        </w:rPr>
        <w:t> </w:t>
      </w:r>
      <w:r>
        <w:rPr>
          <w:sz w:val="20"/>
        </w:rPr>
        <w:t>vulnerability</w:t>
      </w:r>
      <w:r>
        <w:rPr>
          <w:spacing w:val="33"/>
          <w:sz w:val="20"/>
        </w:rPr>
        <w:t> </w:t>
      </w:r>
      <w:r>
        <w:rPr>
          <w:sz w:val="20"/>
        </w:rPr>
        <w:t>to </w:t>
      </w:r>
      <w:r>
        <w:rPr>
          <w:spacing w:val="-2"/>
          <w:sz w:val="20"/>
        </w:rPr>
        <w:t>manipulation</w:t>
      </w:r>
    </w:p>
    <w:p>
      <w:pPr>
        <w:pStyle w:val="Heading6"/>
        <w:spacing w:before="56"/>
      </w:pPr>
      <w:r>
        <w:rPr/>
        <w:t>Her</w:t>
      </w:r>
      <w:r>
        <w:rPr>
          <w:spacing w:val="-4"/>
        </w:rPr>
        <w:t> </w:t>
      </w:r>
      <w:r>
        <w:rPr/>
        <w:t>role</w:t>
      </w:r>
      <w:r>
        <w:rPr>
          <w:spacing w:val="-3"/>
        </w:rPr>
        <w:t> </w:t>
      </w:r>
      <w:r>
        <w:rPr/>
        <w:t>reveals</w:t>
      </w:r>
      <w:r>
        <w:rPr>
          <w:spacing w:val="-4"/>
        </w:rPr>
        <w:t> that:</w:t>
      </w:r>
    </w:p>
    <w:p>
      <w:pPr>
        <w:pStyle w:val="ListParagraph"/>
        <w:numPr>
          <w:ilvl w:val="2"/>
          <w:numId w:val="87"/>
        </w:numPr>
        <w:tabs>
          <w:tab w:pos="2159" w:val="left" w:leader="none"/>
        </w:tabs>
        <w:spacing w:line="240" w:lineRule="auto" w:before="82" w:after="0"/>
        <w:ind w:left="2159" w:right="0" w:hanging="239"/>
        <w:jc w:val="left"/>
        <w:rPr>
          <w:sz w:val="20"/>
        </w:rPr>
      </w:pPr>
      <w:r>
        <w:rPr>
          <w:sz w:val="20"/>
        </w:rPr>
        <w:t>Power</w:t>
      </w:r>
      <w:r>
        <w:rPr>
          <w:spacing w:val="28"/>
          <w:sz w:val="20"/>
        </w:rPr>
        <w:t> </w:t>
      </w:r>
      <w:r>
        <w:rPr>
          <w:sz w:val="20"/>
        </w:rPr>
        <w:t>is</w:t>
      </w:r>
      <w:r>
        <w:rPr>
          <w:spacing w:val="28"/>
          <w:sz w:val="20"/>
        </w:rPr>
        <w:t> </w:t>
      </w:r>
      <w:r>
        <w:rPr>
          <w:sz w:val="20"/>
        </w:rPr>
        <w:t>not</w:t>
      </w:r>
      <w:r>
        <w:rPr>
          <w:spacing w:val="28"/>
          <w:sz w:val="20"/>
        </w:rPr>
        <w:t> </w:t>
      </w:r>
      <w:r>
        <w:rPr>
          <w:sz w:val="20"/>
        </w:rPr>
        <w:t>sacred</w:t>
      </w:r>
      <w:r>
        <w:rPr>
          <w:spacing w:val="31"/>
          <w:sz w:val="20"/>
        </w:rPr>
        <w:t> </w:t>
      </w:r>
      <w:r>
        <w:rPr>
          <w:sz w:val="20"/>
        </w:rPr>
        <w:t>but</w:t>
      </w:r>
      <w:r>
        <w:rPr>
          <w:spacing w:val="28"/>
          <w:sz w:val="20"/>
        </w:rPr>
        <w:t> </w:t>
      </w:r>
      <w:r>
        <w:rPr>
          <w:sz w:val="20"/>
        </w:rPr>
        <w:t>performative</w:t>
      </w:r>
      <w:r>
        <w:rPr>
          <w:spacing w:val="29"/>
          <w:sz w:val="20"/>
        </w:rPr>
        <w:t> </w:t>
      </w:r>
      <w:r>
        <w:rPr>
          <w:sz w:val="20"/>
        </w:rPr>
        <w:t>and</w:t>
      </w:r>
      <w:r>
        <w:rPr>
          <w:spacing w:val="30"/>
          <w:sz w:val="20"/>
        </w:rPr>
        <w:t> </w:t>
      </w:r>
      <w:r>
        <w:rPr>
          <w:spacing w:val="-2"/>
          <w:sz w:val="20"/>
        </w:rPr>
        <w:t>constructed</w:t>
      </w:r>
    </w:p>
    <w:p>
      <w:pPr>
        <w:pStyle w:val="ListParagraph"/>
        <w:numPr>
          <w:ilvl w:val="2"/>
          <w:numId w:val="87"/>
        </w:numPr>
        <w:tabs>
          <w:tab w:pos="2160" w:val="left" w:leader="none"/>
        </w:tabs>
        <w:spacing w:line="266" w:lineRule="auto" w:before="82" w:after="0"/>
        <w:ind w:left="2160" w:right="1441" w:hanging="240"/>
        <w:jc w:val="left"/>
        <w:rPr>
          <w:sz w:val="20"/>
        </w:rPr>
      </w:pPr>
      <w:r>
        <w:rPr>
          <w:sz w:val="20"/>
        </w:rPr>
        <w:t>Political</w:t>
      </w:r>
      <w:r>
        <w:rPr>
          <w:spacing w:val="22"/>
          <w:sz w:val="20"/>
        </w:rPr>
        <w:t> </w:t>
      </w:r>
      <w:r>
        <w:rPr>
          <w:sz w:val="20"/>
        </w:rPr>
        <w:t>authority</w:t>
      </w:r>
      <w:r>
        <w:rPr>
          <w:spacing w:val="20"/>
          <w:sz w:val="20"/>
        </w:rPr>
        <w:t> </w:t>
      </w:r>
      <w:r>
        <w:rPr>
          <w:sz w:val="20"/>
        </w:rPr>
        <w:t>can</w:t>
      </w:r>
      <w:r>
        <w:rPr>
          <w:spacing w:val="20"/>
          <w:sz w:val="20"/>
        </w:rPr>
        <w:t> </w:t>
      </w:r>
      <w:r>
        <w:rPr>
          <w:sz w:val="20"/>
        </w:rPr>
        <w:t>be</w:t>
      </w:r>
      <w:r>
        <w:rPr>
          <w:spacing w:val="24"/>
          <w:sz w:val="20"/>
        </w:rPr>
        <w:t> </w:t>
      </w:r>
      <w:r>
        <w:rPr>
          <w:sz w:val="20"/>
        </w:rPr>
        <w:t>seized</w:t>
      </w:r>
      <w:r>
        <w:rPr>
          <w:spacing w:val="22"/>
          <w:sz w:val="20"/>
        </w:rPr>
        <w:t> </w:t>
      </w:r>
      <w:r>
        <w:rPr>
          <w:sz w:val="20"/>
        </w:rPr>
        <w:t>through</w:t>
      </w:r>
      <w:r>
        <w:rPr>
          <w:spacing w:val="22"/>
          <w:sz w:val="20"/>
        </w:rPr>
        <w:t> </w:t>
      </w:r>
      <w:r>
        <w:rPr>
          <w:sz w:val="20"/>
        </w:rPr>
        <w:t>strategy</w:t>
      </w:r>
      <w:r>
        <w:rPr>
          <w:spacing w:val="20"/>
          <w:sz w:val="20"/>
        </w:rPr>
        <w:t> </w:t>
      </w:r>
      <w:r>
        <w:rPr>
          <w:sz w:val="20"/>
        </w:rPr>
        <w:t>rather</w:t>
      </w:r>
      <w:r>
        <w:rPr>
          <w:spacing w:val="24"/>
          <w:sz w:val="20"/>
        </w:rPr>
        <w:t> </w:t>
      </w:r>
      <w:r>
        <w:rPr>
          <w:sz w:val="20"/>
        </w:rPr>
        <w:t>than </w:t>
      </w:r>
      <w:r>
        <w:rPr>
          <w:spacing w:val="-2"/>
          <w:sz w:val="20"/>
        </w:rPr>
        <w:t>legitimacy</w:t>
      </w:r>
    </w:p>
    <w:p>
      <w:pPr>
        <w:pStyle w:val="ListParagraph"/>
        <w:spacing w:after="0" w:line="266" w:lineRule="auto"/>
        <w:jc w:val="left"/>
        <w:rPr>
          <w:sz w:val="20"/>
        </w:rPr>
        <w:sectPr>
          <w:type w:val="continuous"/>
          <w:pgSz w:w="12240" w:h="15840"/>
          <w:pgMar w:top="138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95552">
                <wp:simplePos x="0" y="0"/>
                <wp:positionH relativeFrom="page">
                  <wp:posOffset>2065020</wp:posOffset>
                </wp:positionH>
                <wp:positionV relativeFrom="paragraph">
                  <wp:posOffset>795020</wp:posOffset>
                </wp:positionV>
                <wp:extent cx="3657600" cy="12700"/>
                <wp:effectExtent l="0" t="0" r="0" b="0"/>
                <wp:wrapTopAndBottom/>
                <wp:docPr id="820" name="Graphic 820"/>
                <wp:cNvGraphicFramePr>
                  <a:graphicFrameLocks/>
                </wp:cNvGraphicFramePr>
                <a:graphic>
                  <a:graphicData uri="http://schemas.microsoft.com/office/word/2010/wordprocessingShape">
                    <wps:wsp>
                      <wps:cNvPr id="820" name="Graphic 82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20928;mso-wrap-distance-left:0;mso-wrap-distance-right:0" id="docshape812"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421</w:t>
      </w:r>
    </w:p>
    <w:p>
      <w:pPr>
        <w:pStyle w:val="BodyText"/>
        <w:spacing w:line="249" w:lineRule="auto" w:before="192"/>
        <w:ind w:right="1440" w:firstLine="432"/>
        <w:jc w:val="both"/>
      </w:pPr>
      <w:r>
        <w:rPr/>
        <w:t>However, she does not dismantle the system. Instead, she seeks entry into it. This reflects a critical theory insight: Individuals often reproduce</w:t>
      </w:r>
      <w:r>
        <w:rPr>
          <w:spacing w:val="40"/>
        </w:rPr>
        <w:t> </w:t>
      </w:r>
      <w:r>
        <w:rPr/>
        <w:t>the</w:t>
      </w:r>
      <w:r>
        <w:rPr>
          <w:spacing w:val="40"/>
        </w:rPr>
        <w:t> </w:t>
      </w:r>
      <w:r>
        <w:rPr/>
        <w:t>systems</w:t>
      </w:r>
      <w:r>
        <w:rPr>
          <w:spacing w:val="40"/>
        </w:rPr>
        <w:t> </w:t>
      </w:r>
      <w:r>
        <w:rPr/>
        <w:t>they</w:t>
      </w:r>
      <w:r>
        <w:rPr>
          <w:spacing w:val="40"/>
        </w:rPr>
        <w:t> </w:t>
      </w:r>
      <w:r>
        <w:rPr/>
        <w:t>attempt</w:t>
      </w:r>
      <w:r>
        <w:rPr>
          <w:spacing w:val="40"/>
        </w:rPr>
        <w:t> </w:t>
      </w:r>
      <w:r>
        <w:rPr/>
        <w:t>to</w:t>
      </w:r>
      <w:r>
        <w:rPr>
          <w:spacing w:val="40"/>
        </w:rPr>
        <w:t> </w:t>
      </w:r>
      <w:r>
        <w:rPr/>
        <w:t>challenge.</w:t>
      </w:r>
    </w:p>
    <w:p>
      <w:pPr>
        <w:pStyle w:val="Heading5"/>
        <w:numPr>
          <w:ilvl w:val="1"/>
          <w:numId w:val="87"/>
        </w:numPr>
        <w:tabs>
          <w:tab w:pos="1771" w:val="left" w:leader="none"/>
        </w:tabs>
        <w:spacing w:line="244" w:lineRule="auto" w:before="110" w:after="0"/>
        <w:ind w:left="1440" w:right="1439" w:firstLine="0"/>
        <w:jc w:val="left"/>
      </w:pPr>
      <w:r>
        <w:rPr>
          <w:w w:val="105"/>
        </w:rPr>
        <w:t>Gender,</w:t>
      </w:r>
      <w:r>
        <w:rPr>
          <w:spacing w:val="80"/>
          <w:w w:val="150"/>
        </w:rPr>
        <w:t> </w:t>
      </w:r>
      <w:r>
        <w:rPr>
          <w:w w:val="105"/>
        </w:rPr>
        <w:t>the</w:t>
      </w:r>
      <w:r>
        <w:rPr>
          <w:spacing w:val="80"/>
          <w:w w:val="150"/>
        </w:rPr>
        <w:t> </w:t>
      </w:r>
      <w:r>
        <w:rPr>
          <w:w w:val="105"/>
        </w:rPr>
        <w:t>“Unsexed”</w:t>
      </w:r>
      <w:r>
        <w:rPr>
          <w:spacing w:val="80"/>
          <w:w w:val="150"/>
        </w:rPr>
        <w:t> </w:t>
      </w:r>
      <w:r>
        <w:rPr>
          <w:w w:val="105"/>
        </w:rPr>
        <w:t>Identity,</w:t>
      </w:r>
      <w:r>
        <w:rPr>
          <w:spacing w:val="80"/>
          <w:w w:val="150"/>
        </w:rPr>
        <w:t> </w:t>
      </w:r>
      <w:r>
        <w:rPr>
          <w:w w:val="105"/>
        </w:rPr>
        <w:t>and</w:t>
      </w:r>
      <w:r>
        <w:rPr>
          <w:spacing w:val="80"/>
          <w:w w:val="150"/>
        </w:rPr>
        <w:t> </w:t>
      </w:r>
      <w:r>
        <w:rPr>
          <w:w w:val="105"/>
        </w:rPr>
        <w:t>Feminist</w:t>
      </w:r>
      <w:r>
        <w:rPr>
          <w:spacing w:val="80"/>
          <w:w w:val="150"/>
        </w:rPr>
        <w:t> </w:t>
      </w:r>
      <w:r>
        <w:rPr>
          <w:spacing w:val="-2"/>
          <w:w w:val="105"/>
        </w:rPr>
        <w:t>Resistance</w:t>
      </w:r>
    </w:p>
    <w:p>
      <w:pPr>
        <w:pStyle w:val="BodyText"/>
        <w:spacing w:line="249" w:lineRule="auto" w:before="67"/>
        <w:ind w:right="1440" w:firstLine="432"/>
        <w:jc w:val="both"/>
      </w:pPr>
      <w:r>
        <w:rPr/>
        <w:t>Lady</w:t>
      </w:r>
      <w:r>
        <w:rPr>
          <w:spacing w:val="-6"/>
        </w:rPr>
        <w:t> </w:t>
      </w:r>
      <w:r>
        <w:rPr/>
        <w:t>Macbeth’s</w:t>
      </w:r>
      <w:r>
        <w:rPr>
          <w:spacing w:val="-4"/>
        </w:rPr>
        <w:t> </w:t>
      </w:r>
      <w:r>
        <w:rPr/>
        <w:t>call</w:t>
      </w:r>
      <w:r>
        <w:rPr>
          <w:spacing w:val="-6"/>
        </w:rPr>
        <w:t> </w:t>
      </w:r>
      <w:r>
        <w:rPr/>
        <w:t>to</w:t>
      </w:r>
      <w:r>
        <w:rPr>
          <w:spacing w:val="-1"/>
        </w:rPr>
        <w:t> </w:t>
      </w:r>
      <w:r>
        <w:rPr/>
        <w:t>be</w:t>
      </w:r>
      <w:r>
        <w:rPr>
          <w:spacing w:val="-1"/>
        </w:rPr>
        <w:t> </w:t>
      </w:r>
      <w:r>
        <w:rPr/>
        <w:t>“unsexed”</w:t>
      </w:r>
      <w:r>
        <w:rPr>
          <w:spacing w:val="-2"/>
        </w:rPr>
        <w:t> </w:t>
      </w:r>
      <w:r>
        <w:rPr/>
        <w:t>represents</w:t>
      </w:r>
      <w:r>
        <w:rPr>
          <w:spacing w:val="-6"/>
        </w:rPr>
        <w:t> </w:t>
      </w:r>
      <w:r>
        <w:rPr/>
        <w:t>a</w:t>
      </w:r>
      <w:r>
        <w:rPr>
          <w:spacing w:val="-1"/>
        </w:rPr>
        <w:t> </w:t>
      </w:r>
      <w:r>
        <w:rPr/>
        <w:t>radical</w:t>
      </w:r>
      <w:r>
        <w:rPr>
          <w:spacing w:val="-3"/>
        </w:rPr>
        <w:t> </w:t>
      </w:r>
      <w:r>
        <w:rPr/>
        <w:t>rejection </w:t>
      </w:r>
      <w:r>
        <w:rPr>
          <w:spacing w:val="-2"/>
        </w:rPr>
        <w:t>of</w:t>
      </w:r>
      <w:r>
        <w:rPr>
          <w:spacing w:val="-11"/>
        </w:rPr>
        <w:t> </w:t>
      </w:r>
      <w:r>
        <w:rPr>
          <w:spacing w:val="-2"/>
        </w:rPr>
        <w:t>gender</w:t>
      </w:r>
      <w:r>
        <w:rPr>
          <w:spacing w:val="-10"/>
        </w:rPr>
        <w:t> </w:t>
      </w:r>
      <w:r>
        <w:rPr>
          <w:spacing w:val="-2"/>
        </w:rPr>
        <w:t>norms.</w:t>
      </w:r>
      <w:r>
        <w:rPr>
          <w:spacing w:val="-11"/>
        </w:rPr>
        <w:t> </w:t>
      </w:r>
      <w:r>
        <w:rPr>
          <w:spacing w:val="-2"/>
        </w:rPr>
        <w:t>Within</w:t>
      </w:r>
      <w:r>
        <w:rPr>
          <w:spacing w:val="-9"/>
        </w:rPr>
        <w:t> </w:t>
      </w:r>
      <w:r>
        <w:rPr>
          <w:spacing w:val="-2"/>
        </w:rPr>
        <w:t>a</w:t>
      </w:r>
      <w:r>
        <w:rPr>
          <w:spacing w:val="-6"/>
        </w:rPr>
        <w:t> </w:t>
      </w:r>
      <w:r>
        <w:rPr>
          <w:spacing w:val="-2"/>
        </w:rPr>
        <w:t>patriarchal</w:t>
      </w:r>
      <w:r>
        <w:rPr>
          <w:spacing w:val="-7"/>
        </w:rPr>
        <w:t> </w:t>
      </w:r>
      <w:r>
        <w:rPr>
          <w:spacing w:val="-2"/>
        </w:rPr>
        <w:t>framework,</w:t>
      </w:r>
      <w:r>
        <w:rPr>
          <w:spacing w:val="-8"/>
        </w:rPr>
        <w:t> </w:t>
      </w:r>
      <w:r>
        <w:rPr>
          <w:spacing w:val="-2"/>
        </w:rPr>
        <w:t>femininity</w:t>
      </w:r>
      <w:r>
        <w:rPr>
          <w:spacing w:val="-11"/>
        </w:rPr>
        <w:t> </w:t>
      </w:r>
      <w:r>
        <w:rPr>
          <w:spacing w:val="-2"/>
        </w:rPr>
        <w:t>is</w:t>
      </w:r>
      <w:r>
        <w:rPr>
          <w:spacing w:val="-8"/>
        </w:rPr>
        <w:t> </w:t>
      </w:r>
      <w:r>
        <w:rPr>
          <w:spacing w:val="-2"/>
        </w:rPr>
        <w:t>associated </w:t>
      </w:r>
      <w:r>
        <w:rPr/>
        <w:t>with weakness, passivity, and nurturing. By rejecting these traits, she attempts</w:t>
      </w:r>
      <w:r>
        <w:rPr>
          <w:spacing w:val="40"/>
        </w:rPr>
        <w:t> </w:t>
      </w:r>
      <w:r>
        <w:rPr/>
        <w:t>to</w:t>
      </w:r>
      <w:r>
        <w:rPr>
          <w:spacing w:val="40"/>
        </w:rPr>
        <w:t> </w:t>
      </w:r>
      <w:r>
        <w:rPr/>
        <w:t>access</w:t>
      </w:r>
      <w:r>
        <w:rPr>
          <w:spacing w:val="40"/>
        </w:rPr>
        <w:t> </w:t>
      </w:r>
      <w:r>
        <w:rPr/>
        <w:t>power</w:t>
      </w:r>
      <w:r>
        <w:rPr>
          <w:spacing w:val="40"/>
        </w:rPr>
        <w:t> </w:t>
      </w:r>
      <w:r>
        <w:rPr/>
        <w:t>traditionally reserved</w:t>
      </w:r>
      <w:r>
        <w:rPr>
          <w:spacing w:val="40"/>
        </w:rPr>
        <w:t> </w:t>
      </w:r>
      <w:r>
        <w:rPr/>
        <w:t>for</w:t>
      </w:r>
      <w:r>
        <w:rPr>
          <w:spacing w:val="40"/>
        </w:rPr>
        <w:t> </w:t>
      </w:r>
      <w:r>
        <w:rPr/>
        <w:t>men.</w:t>
      </w:r>
    </w:p>
    <w:p>
      <w:pPr>
        <w:pStyle w:val="Heading6"/>
        <w:spacing w:before="61"/>
        <w:jc w:val="both"/>
      </w:pPr>
      <w:r>
        <w:rPr/>
        <w:t>From</w:t>
      </w:r>
      <w:r>
        <w:rPr>
          <w:spacing w:val="-13"/>
        </w:rPr>
        <w:t> </w:t>
      </w:r>
      <w:r>
        <w:rPr/>
        <w:t>a</w:t>
      </w:r>
      <w:r>
        <w:rPr>
          <w:spacing w:val="-8"/>
        </w:rPr>
        <w:t> </w:t>
      </w:r>
      <w:r>
        <w:rPr/>
        <w:t>feminist</w:t>
      </w:r>
      <w:r>
        <w:rPr>
          <w:spacing w:val="-9"/>
        </w:rPr>
        <w:t> </w:t>
      </w:r>
      <w:r>
        <w:rPr/>
        <w:t>critical</w:t>
      </w:r>
      <w:r>
        <w:rPr>
          <w:spacing w:val="-9"/>
        </w:rPr>
        <w:t> </w:t>
      </w:r>
      <w:r>
        <w:rPr>
          <w:spacing w:val="-2"/>
        </w:rPr>
        <w:t>perspective:</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She</w:t>
      </w:r>
      <w:r>
        <w:rPr>
          <w:spacing w:val="27"/>
          <w:sz w:val="20"/>
        </w:rPr>
        <w:t> </w:t>
      </w:r>
      <w:r>
        <w:rPr>
          <w:sz w:val="20"/>
        </w:rPr>
        <w:t>challenges</w:t>
      </w:r>
      <w:r>
        <w:rPr>
          <w:spacing w:val="27"/>
          <w:sz w:val="20"/>
        </w:rPr>
        <w:t> </w:t>
      </w:r>
      <w:r>
        <w:rPr>
          <w:sz w:val="20"/>
        </w:rPr>
        <w:t>gender</w:t>
      </w:r>
      <w:r>
        <w:rPr>
          <w:spacing w:val="28"/>
          <w:sz w:val="20"/>
        </w:rPr>
        <w:t> </w:t>
      </w:r>
      <w:r>
        <w:rPr>
          <w:spacing w:val="-2"/>
          <w:sz w:val="20"/>
        </w:rPr>
        <w:t>binaries</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She</w:t>
      </w:r>
      <w:r>
        <w:rPr>
          <w:spacing w:val="20"/>
          <w:sz w:val="20"/>
        </w:rPr>
        <w:t> </w:t>
      </w:r>
      <w:r>
        <w:rPr>
          <w:sz w:val="20"/>
        </w:rPr>
        <w:t>exposes</w:t>
      </w:r>
      <w:r>
        <w:rPr>
          <w:spacing w:val="20"/>
          <w:sz w:val="20"/>
        </w:rPr>
        <w:t> </w:t>
      </w:r>
      <w:r>
        <w:rPr>
          <w:sz w:val="20"/>
        </w:rPr>
        <w:t>the</w:t>
      </w:r>
      <w:r>
        <w:rPr>
          <w:spacing w:val="22"/>
          <w:sz w:val="20"/>
        </w:rPr>
        <w:t> </w:t>
      </w:r>
      <w:r>
        <w:rPr>
          <w:sz w:val="20"/>
        </w:rPr>
        <w:t>artificial</w:t>
      </w:r>
      <w:r>
        <w:rPr>
          <w:spacing w:val="18"/>
          <w:sz w:val="20"/>
        </w:rPr>
        <w:t> </w:t>
      </w:r>
      <w:r>
        <w:rPr>
          <w:sz w:val="20"/>
        </w:rPr>
        <w:t>nature</w:t>
      </w:r>
      <w:r>
        <w:rPr>
          <w:spacing w:val="21"/>
          <w:sz w:val="20"/>
        </w:rPr>
        <w:t> </w:t>
      </w:r>
      <w:r>
        <w:rPr>
          <w:sz w:val="20"/>
        </w:rPr>
        <w:t>of</w:t>
      </w:r>
      <w:r>
        <w:rPr>
          <w:spacing w:val="21"/>
          <w:sz w:val="20"/>
        </w:rPr>
        <w:t> </w:t>
      </w:r>
      <w:r>
        <w:rPr>
          <w:sz w:val="20"/>
        </w:rPr>
        <w:t>gender</w:t>
      </w:r>
      <w:r>
        <w:rPr>
          <w:spacing w:val="21"/>
          <w:sz w:val="20"/>
        </w:rPr>
        <w:t> </w:t>
      </w:r>
      <w:r>
        <w:rPr>
          <w:spacing w:val="-4"/>
          <w:sz w:val="20"/>
        </w:rPr>
        <w:t>roles</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She</w:t>
      </w:r>
      <w:r>
        <w:rPr>
          <w:spacing w:val="23"/>
          <w:sz w:val="20"/>
        </w:rPr>
        <w:t> </w:t>
      </w:r>
      <w:r>
        <w:rPr>
          <w:sz w:val="20"/>
        </w:rPr>
        <w:t>reclaims</w:t>
      </w:r>
      <w:r>
        <w:rPr>
          <w:spacing w:val="21"/>
          <w:sz w:val="20"/>
        </w:rPr>
        <w:t> </w:t>
      </w:r>
      <w:r>
        <w:rPr>
          <w:sz w:val="20"/>
        </w:rPr>
        <w:t>agency</w:t>
      </w:r>
      <w:r>
        <w:rPr>
          <w:spacing w:val="19"/>
          <w:sz w:val="20"/>
        </w:rPr>
        <w:t> </w:t>
      </w:r>
      <w:r>
        <w:rPr>
          <w:sz w:val="20"/>
        </w:rPr>
        <w:t>in</w:t>
      </w:r>
      <w:r>
        <w:rPr>
          <w:spacing w:val="20"/>
          <w:sz w:val="20"/>
        </w:rPr>
        <w:t> </w:t>
      </w:r>
      <w:r>
        <w:rPr>
          <w:sz w:val="20"/>
        </w:rPr>
        <w:t>a</w:t>
      </w:r>
      <w:r>
        <w:rPr>
          <w:spacing w:val="24"/>
          <w:sz w:val="20"/>
        </w:rPr>
        <w:t> </w:t>
      </w:r>
      <w:r>
        <w:rPr>
          <w:sz w:val="20"/>
        </w:rPr>
        <w:t>restrictive</w:t>
      </w:r>
      <w:r>
        <w:rPr>
          <w:spacing w:val="21"/>
          <w:sz w:val="20"/>
        </w:rPr>
        <w:t> </w:t>
      </w:r>
      <w:r>
        <w:rPr>
          <w:sz w:val="20"/>
        </w:rPr>
        <w:t>social</w:t>
      </w:r>
      <w:r>
        <w:rPr>
          <w:spacing w:val="23"/>
          <w:sz w:val="20"/>
        </w:rPr>
        <w:t> </w:t>
      </w:r>
      <w:r>
        <w:rPr>
          <w:spacing w:val="-2"/>
          <w:sz w:val="20"/>
        </w:rPr>
        <w:t>system</w:t>
      </w:r>
    </w:p>
    <w:p>
      <w:pPr>
        <w:pStyle w:val="Heading6"/>
      </w:pPr>
      <w:r>
        <w:rPr/>
        <w:t>Yet,</w:t>
      </w:r>
      <w:r>
        <w:rPr>
          <w:spacing w:val="-1"/>
        </w:rPr>
        <w:t> </w:t>
      </w:r>
      <w:r>
        <w:rPr/>
        <w:t>her</w:t>
      </w:r>
      <w:r>
        <w:rPr>
          <w:spacing w:val="-3"/>
        </w:rPr>
        <w:t> </w:t>
      </w:r>
      <w:r>
        <w:rPr/>
        <w:t>transformation</w:t>
      </w:r>
      <w:r>
        <w:rPr>
          <w:spacing w:val="-2"/>
        </w:rPr>
        <w:t> </w:t>
      </w:r>
      <w:r>
        <w:rPr/>
        <w:t>is not</w:t>
      </w:r>
      <w:r>
        <w:rPr>
          <w:spacing w:val="-1"/>
        </w:rPr>
        <w:t> </w:t>
      </w:r>
      <w:r>
        <w:rPr/>
        <w:t>liberating</w:t>
      </w:r>
      <w:r>
        <w:rPr>
          <w:spacing w:val="-1"/>
        </w:rPr>
        <w:t> </w:t>
      </w:r>
      <w:r>
        <w:rPr/>
        <w:t>in a</w:t>
      </w:r>
      <w:r>
        <w:rPr>
          <w:spacing w:val="1"/>
        </w:rPr>
        <w:t> </w:t>
      </w:r>
      <w:r>
        <w:rPr/>
        <w:t>complete</w:t>
      </w:r>
      <w:r>
        <w:rPr>
          <w:spacing w:val="-1"/>
        </w:rPr>
        <w:t> </w:t>
      </w:r>
      <w:r>
        <w:rPr>
          <w:spacing w:val="-2"/>
        </w:rPr>
        <w:t>sense:</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She</w:t>
      </w:r>
      <w:r>
        <w:rPr>
          <w:spacing w:val="30"/>
          <w:sz w:val="20"/>
        </w:rPr>
        <w:t> </w:t>
      </w:r>
      <w:r>
        <w:rPr>
          <w:sz w:val="20"/>
        </w:rPr>
        <w:t>adopts</w:t>
      </w:r>
      <w:r>
        <w:rPr>
          <w:spacing w:val="30"/>
          <w:sz w:val="20"/>
        </w:rPr>
        <w:t> </w:t>
      </w:r>
      <w:r>
        <w:rPr>
          <w:sz w:val="20"/>
        </w:rPr>
        <w:t>violence</w:t>
      </w:r>
      <w:r>
        <w:rPr>
          <w:spacing w:val="30"/>
          <w:sz w:val="20"/>
        </w:rPr>
        <w:t> </w:t>
      </w:r>
      <w:r>
        <w:rPr>
          <w:sz w:val="20"/>
        </w:rPr>
        <w:t>and</w:t>
      </w:r>
      <w:r>
        <w:rPr>
          <w:spacing w:val="28"/>
          <w:sz w:val="20"/>
        </w:rPr>
        <w:t> </w:t>
      </w:r>
      <w:r>
        <w:rPr>
          <w:sz w:val="20"/>
        </w:rPr>
        <w:t>cruelty—traits</w:t>
      </w:r>
      <w:r>
        <w:rPr>
          <w:spacing w:val="30"/>
          <w:sz w:val="20"/>
        </w:rPr>
        <w:t> </w:t>
      </w:r>
      <w:r>
        <w:rPr>
          <w:sz w:val="20"/>
        </w:rPr>
        <w:t>coded</w:t>
      </w:r>
      <w:r>
        <w:rPr>
          <w:spacing w:val="32"/>
          <w:sz w:val="20"/>
        </w:rPr>
        <w:t> </w:t>
      </w:r>
      <w:r>
        <w:rPr>
          <w:sz w:val="20"/>
        </w:rPr>
        <w:t>as</w:t>
      </w:r>
      <w:r>
        <w:rPr>
          <w:spacing w:val="31"/>
          <w:sz w:val="20"/>
        </w:rPr>
        <w:t> </w:t>
      </w:r>
      <w:r>
        <w:rPr>
          <w:spacing w:val="-2"/>
          <w:sz w:val="20"/>
        </w:rPr>
        <w:t>masculine</w:t>
      </w:r>
    </w:p>
    <w:p>
      <w:pPr>
        <w:pStyle w:val="ListParagraph"/>
        <w:numPr>
          <w:ilvl w:val="2"/>
          <w:numId w:val="87"/>
        </w:numPr>
        <w:tabs>
          <w:tab w:pos="2160" w:val="left" w:leader="none"/>
        </w:tabs>
        <w:spacing w:line="261" w:lineRule="auto" w:before="77" w:after="0"/>
        <w:ind w:left="2160" w:right="1437" w:hanging="240"/>
        <w:jc w:val="left"/>
        <w:rPr>
          <w:sz w:val="20"/>
        </w:rPr>
      </w:pPr>
      <w:r>
        <w:rPr>
          <w:sz w:val="20"/>
        </w:rPr>
        <w:t>Her</w:t>
      </w:r>
      <w:r>
        <w:rPr>
          <w:spacing w:val="80"/>
          <w:sz w:val="20"/>
        </w:rPr>
        <w:t> </w:t>
      </w:r>
      <w:r>
        <w:rPr>
          <w:sz w:val="20"/>
        </w:rPr>
        <w:t>downfall</w:t>
      </w:r>
      <w:r>
        <w:rPr>
          <w:spacing w:val="40"/>
          <w:sz w:val="20"/>
        </w:rPr>
        <w:t> </w:t>
      </w:r>
      <w:r>
        <w:rPr>
          <w:sz w:val="20"/>
        </w:rPr>
        <w:t>suggests</w:t>
      </w:r>
      <w:r>
        <w:rPr>
          <w:spacing w:val="40"/>
          <w:sz w:val="20"/>
        </w:rPr>
        <w:t> </w:t>
      </w:r>
      <w:r>
        <w:rPr>
          <w:sz w:val="20"/>
        </w:rPr>
        <w:t>the</w:t>
      </w:r>
      <w:r>
        <w:rPr>
          <w:spacing w:val="80"/>
          <w:sz w:val="20"/>
        </w:rPr>
        <w:t> </w:t>
      </w:r>
      <w:r>
        <w:rPr>
          <w:sz w:val="20"/>
        </w:rPr>
        <w:t>cost</w:t>
      </w:r>
      <w:r>
        <w:rPr>
          <w:spacing w:val="80"/>
          <w:sz w:val="20"/>
        </w:rPr>
        <w:t> </w:t>
      </w:r>
      <w:r>
        <w:rPr>
          <w:sz w:val="20"/>
        </w:rPr>
        <w:t>of</w:t>
      </w:r>
      <w:r>
        <w:rPr>
          <w:spacing w:val="40"/>
          <w:sz w:val="20"/>
        </w:rPr>
        <w:t> </w:t>
      </w:r>
      <w:r>
        <w:rPr>
          <w:sz w:val="20"/>
        </w:rPr>
        <w:t>transgressing</w:t>
      </w:r>
      <w:r>
        <w:rPr>
          <w:spacing w:val="40"/>
          <w:sz w:val="20"/>
        </w:rPr>
        <w:t> </w:t>
      </w:r>
      <w:r>
        <w:rPr>
          <w:sz w:val="20"/>
        </w:rPr>
        <w:t>societal </w:t>
      </w:r>
      <w:r>
        <w:rPr>
          <w:spacing w:val="-2"/>
          <w:sz w:val="20"/>
        </w:rPr>
        <w:t>boundaries</w:t>
      </w:r>
    </w:p>
    <w:p>
      <w:pPr>
        <w:pStyle w:val="Heading6"/>
        <w:spacing w:before="49"/>
      </w:pPr>
      <w:r>
        <w:rPr/>
        <w:t>This</w:t>
      </w:r>
      <w:r>
        <w:rPr>
          <w:spacing w:val="13"/>
        </w:rPr>
        <w:t> </w:t>
      </w:r>
      <w:r>
        <w:rPr/>
        <w:t>creates</w:t>
      </w:r>
      <w:r>
        <w:rPr>
          <w:spacing w:val="10"/>
        </w:rPr>
        <w:t> </w:t>
      </w:r>
      <w:r>
        <w:rPr/>
        <w:t>a</w:t>
      </w:r>
      <w:r>
        <w:rPr>
          <w:spacing w:val="14"/>
        </w:rPr>
        <w:t> </w:t>
      </w:r>
      <w:r>
        <w:rPr>
          <w:spacing w:val="-2"/>
        </w:rPr>
        <w:t>tension:</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Is</w:t>
      </w:r>
      <w:r>
        <w:rPr>
          <w:spacing w:val="24"/>
          <w:sz w:val="20"/>
        </w:rPr>
        <w:t> </w:t>
      </w:r>
      <w:r>
        <w:rPr>
          <w:sz w:val="20"/>
        </w:rPr>
        <w:t>she</w:t>
      </w:r>
      <w:r>
        <w:rPr>
          <w:spacing w:val="27"/>
          <w:sz w:val="20"/>
        </w:rPr>
        <w:t> </w:t>
      </w:r>
      <w:r>
        <w:rPr>
          <w:sz w:val="20"/>
        </w:rPr>
        <w:t>punished</w:t>
      </w:r>
      <w:r>
        <w:rPr>
          <w:spacing w:val="29"/>
          <w:sz w:val="20"/>
        </w:rPr>
        <w:t> </w:t>
      </w:r>
      <w:r>
        <w:rPr>
          <w:sz w:val="20"/>
        </w:rPr>
        <w:t>for</w:t>
      </w:r>
      <w:r>
        <w:rPr>
          <w:spacing w:val="27"/>
          <w:sz w:val="20"/>
        </w:rPr>
        <w:t> </w:t>
      </w:r>
      <w:r>
        <w:rPr>
          <w:sz w:val="20"/>
        </w:rPr>
        <w:t>her</w:t>
      </w:r>
      <w:r>
        <w:rPr>
          <w:spacing w:val="26"/>
          <w:sz w:val="20"/>
        </w:rPr>
        <w:t> </w:t>
      </w:r>
      <w:r>
        <w:rPr>
          <w:spacing w:val="-2"/>
          <w:sz w:val="20"/>
        </w:rPr>
        <w:t>crimes?</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Or</w:t>
      </w:r>
      <w:r>
        <w:rPr>
          <w:spacing w:val="3"/>
          <w:sz w:val="20"/>
        </w:rPr>
        <w:t> </w:t>
      </w:r>
      <w:r>
        <w:rPr>
          <w:sz w:val="20"/>
        </w:rPr>
        <w:t>for</w:t>
      </w:r>
      <w:r>
        <w:rPr>
          <w:spacing w:val="-1"/>
          <w:sz w:val="20"/>
        </w:rPr>
        <w:t> </w:t>
      </w:r>
      <w:r>
        <w:rPr>
          <w:sz w:val="20"/>
        </w:rPr>
        <w:t>redefining </w:t>
      </w:r>
      <w:r>
        <w:rPr>
          <w:spacing w:val="-2"/>
          <w:sz w:val="20"/>
        </w:rPr>
        <w:t>femininity?</w:t>
      </w:r>
    </w:p>
    <w:p>
      <w:pPr>
        <w:pStyle w:val="Heading5"/>
        <w:numPr>
          <w:ilvl w:val="1"/>
          <w:numId w:val="87"/>
        </w:numPr>
        <w:tabs>
          <w:tab w:pos="1738" w:val="left" w:leader="none"/>
        </w:tabs>
        <w:spacing w:line="240" w:lineRule="auto" w:before="120" w:after="0"/>
        <w:ind w:left="1738" w:right="0" w:hanging="298"/>
        <w:jc w:val="left"/>
      </w:pPr>
      <w:r>
        <w:rPr>
          <w:w w:val="105"/>
        </w:rPr>
        <w:t>Lust,</w:t>
      </w:r>
      <w:r>
        <w:rPr>
          <w:spacing w:val="50"/>
          <w:w w:val="105"/>
        </w:rPr>
        <w:t> </w:t>
      </w:r>
      <w:r>
        <w:rPr>
          <w:w w:val="105"/>
        </w:rPr>
        <w:t>Instinct,</w:t>
      </w:r>
      <w:r>
        <w:rPr>
          <w:spacing w:val="50"/>
          <w:w w:val="105"/>
        </w:rPr>
        <w:t> </w:t>
      </w:r>
      <w:r>
        <w:rPr>
          <w:w w:val="105"/>
        </w:rPr>
        <w:t>and</w:t>
      </w:r>
      <w:r>
        <w:rPr>
          <w:spacing w:val="49"/>
          <w:w w:val="105"/>
        </w:rPr>
        <w:t> </w:t>
      </w:r>
      <w:r>
        <w:rPr>
          <w:w w:val="105"/>
        </w:rPr>
        <w:t>the</w:t>
      </w:r>
      <w:r>
        <w:rPr>
          <w:spacing w:val="49"/>
          <w:w w:val="105"/>
        </w:rPr>
        <w:t> </w:t>
      </w:r>
      <w:r>
        <w:rPr>
          <w:w w:val="105"/>
        </w:rPr>
        <w:t>Human</w:t>
      </w:r>
      <w:r>
        <w:rPr>
          <w:spacing w:val="49"/>
          <w:w w:val="105"/>
        </w:rPr>
        <w:t> </w:t>
      </w:r>
      <w:r>
        <w:rPr>
          <w:spacing w:val="-2"/>
          <w:w w:val="105"/>
        </w:rPr>
        <w:t>Psyche</w:t>
      </w:r>
    </w:p>
    <w:p>
      <w:pPr>
        <w:pStyle w:val="BodyText"/>
        <w:spacing w:line="249" w:lineRule="auto" w:before="71"/>
        <w:ind w:right="1437" w:firstLine="432"/>
      </w:pPr>
      <w:r>
        <w:rPr/>
        <w:t>Your</w:t>
      </w:r>
      <w:r>
        <w:rPr>
          <w:spacing w:val="27"/>
        </w:rPr>
        <w:t> </w:t>
      </w:r>
      <w:r>
        <w:rPr/>
        <w:t>emphasis</w:t>
      </w:r>
      <w:r>
        <w:rPr>
          <w:spacing w:val="26"/>
        </w:rPr>
        <w:t> </w:t>
      </w:r>
      <w:r>
        <w:rPr/>
        <w:t>on</w:t>
      </w:r>
      <w:r>
        <w:rPr>
          <w:spacing w:val="28"/>
        </w:rPr>
        <w:t> </w:t>
      </w:r>
      <w:r>
        <w:rPr/>
        <w:t>“lust,”</w:t>
      </w:r>
      <w:r>
        <w:rPr>
          <w:spacing w:val="27"/>
        </w:rPr>
        <w:t> </w:t>
      </w:r>
      <w:r>
        <w:rPr/>
        <w:t>“basic</w:t>
      </w:r>
      <w:r>
        <w:rPr>
          <w:spacing w:val="28"/>
        </w:rPr>
        <w:t> </w:t>
      </w:r>
      <w:r>
        <w:rPr/>
        <w:t>human</w:t>
      </w:r>
      <w:r>
        <w:rPr>
          <w:spacing w:val="26"/>
        </w:rPr>
        <w:t> </w:t>
      </w:r>
      <w:r>
        <w:rPr/>
        <w:t>instinct,”</w:t>
      </w:r>
      <w:r>
        <w:rPr>
          <w:spacing w:val="27"/>
        </w:rPr>
        <w:t> </w:t>
      </w:r>
      <w:r>
        <w:rPr/>
        <w:t>and</w:t>
      </w:r>
      <w:r>
        <w:rPr>
          <w:spacing w:val="29"/>
        </w:rPr>
        <w:t> </w:t>
      </w:r>
      <w:r>
        <w:rPr/>
        <w:t>“psyche” aligns with a critical exploration of human drives.</w:t>
      </w:r>
    </w:p>
    <w:p>
      <w:pPr>
        <w:pStyle w:val="Heading6"/>
        <w:spacing w:before="60"/>
      </w:pPr>
      <w:r>
        <w:rPr>
          <w:spacing w:val="-6"/>
        </w:rPr>
        <w:t>Lady</w:t>
      </w:r>
      <w:r>
        <w:rPr>
          <w:spacing w:val="-11"/>
        </w:rPr>
        <w:t> </w:t>
      </w:r>
      <w:r>
        <w:rPr>
          <w:spacing w:val="-6"/>
        </w:rPr>
        <w:t>Macbeth</w:t>
      </w:r>
      <w:r>
        <w:rPr>
          <w:spacing w:val="-14"/>
        </w:rPr>
        <w:t> </w:t>
      </w:r>
      <w:r>
        <w:rPr>
          <w:spacing w:val="-6"/>
        </w:rPr>
        <w:t>embodies:</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Desire</w:t>
      </w:r>
      <w:r>
        <w:rPr>
          <w:spacing w:val="18"/>
          <w:sz w:val="20"/>
        </w:rPr>
        <w:t> </w:t>
      </w:r>
      <w:r>
        <w:rPr>
          <w:sz w:val="20"/>
        </w:rPr>
        <w:t>as</w:t>
      </w:r>
      <w:r>
        <w:rPr>
          <w:spacing w:val="17"/>
          <w:sz w:val="20"/>
        </w:rPr>
        <w:t> </w:t>
      </w:r>
      <w:r>
        <w:rPr>
          <w:sz w:val="20"/>
        </w:rPr>
        <w:t>a</w:t>
      </w:r>
      <w:r>
        <w:rPr>
          <w:spacing w:val="19"/>
          <w:sz w:val="20"/>
        </w:rPr>
        <w:t> </w:t>
      </w:r>
      <w:r>
        <w:rPr>
          <w:sz w:val="20"/>
        </w:rPr>
        <w:t>motivating</w:t>
      </w:r>
      <w:r>
        <w:rPr>
          <w:spacing w:val="17"/>
          <w:sz w:val="20"/>
        </w:rPr>
        <w:t> </w:t>
      </w:r>
      <w:r>
        <w:rPr>
          <w:spacing w:val="-4"/>
          <w:sz w:val="20"/>
        </w:rPr>
        <w:t>force</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Instinct</w:t>
      </w:r>
      <w:r>
        <w:rPr>
          <w:spacing w:val="10"/>
          <w:sz w:val="20"/>
        </w:rPr>
        <w:t> </w:t>
      </w:r>
      <w:r>
        <w:rPr>
          <w:sz w:val="20"/>
        </w:rPr>
        <w:t>overriding</w:t>
      </w:r>
      <w:r>
        <w:rPr>
          <w:spacing w:val="8"/>
          <w:sz w:val="20"/>
        </w:rPr>
        <w:t> </w:t>
      </w:r>
      <w:r>
        <w:rPr>
          <w:spacing w:val="-2"/>
          <w:sz w:val="20"/>
        </w:rPr>
        <w:t>morality</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Psychological</w:t>
      </w:r>
      <w:r>
        <w:rPr>
          <w:spacing w:val="18"/>
          <w:sz w:val="20"/>
        </w:rPr>
        <w:t> </w:t>
      </w:r>
      <w:r>
        <w:rPr>
          <w:spacing w:val="-2"/>
          <w:sz w:val="20"/>
        </w:rPr>
        <w:t>fragmentation</w:t>
      </w:r>
    </w:p>
    <w:p>
      <w:pPr>
        <w:pStyle w:val="Heading6"/>
        <w:spacing w:before="73"/>
      </w:pPr>
      <w:r>
        <w:rPr/>
        <w:t>Critically, her</w:t>
      </w:r>
      <w:r>
        <w:rPr>
          <w:spacing w:val="-4"/>
        </w:rPr>
        <w:t> </w:t>
      </w:r>
      <w:r>
        <w:rPr/>
        <w:t>ambition</w:t>
      </w:r>
      <w:r>
        <w:rPr>
          <w:spacing w:val="-1"/>
        </w:rPr>
        <w:t> </w:t>
      </w:r>
      <w:r>
        <w:rPr/>
        <w:t>can</w:t>
      </w:r>
      <w:r>
        <w:rPr>
          <w:spacing w:val="1"/>
        </w:rPr>
        <w:t> </w:t>
      </w:r>
      <w:r>
        <w:rPr/>
        <w:t>be</w:t>
      </w:r>
      <w:r>
        <w:rPr>
          <w:spacing w:val="-3"/>
        </w:rPr>
        <w:t> </w:t>
      </w:r>
      <w:r>
        <w:rPr/>
        <w:t>seen </w:t>
      </w:r>
      <w:r>
        <w:rPr>
          <w:spacing w:val="-5"/>
        </w:rPr>
        <w:t>as:</w:t>
      </w:r>
    </w:p>
    <w:p>
      <w:pPr>
        <w:pStyle w:val="ListParagraph"/>
        <w:numPr>
          <w:ilvl w:val="2"/>
          <w:numId w:val="87"/>
        </w:numPr>
        <w:tabs>
          <w:tab w:pos="2159" w:val="left" w:leader="none"/>
        </w:tabs>
        <w:spacing w:line="240" w:lineRule="auto" w:before="74" w:after="0"/>
        <w:ind w:left="2159" w:right="0" w:hanging="239"/>
        <w:jc w:val="left"/>
        <w:rPr>
          <w:sz w:val="20"/>
        </w:rPr>
      </w:pPr>
      <w:r>
        <w:rPr>
          <w:spacing w:val="-2"/>
          <w:sz w:val="20"/>
        </w:rPr>
        <w:t>A</w:t>
      </w:r>
      <w:r>
        <w:rPr>
          <w:spacing w:val="-15"/>
          <w:sz w:val="20"/>
        </w:rPr>
        <w:t> </w:t>
      </w:r>
      <w:r>
        <w:rPr>
          <w:spacing w:val="-2"/>
          <w:sz w:val="20"/>
        </w:rPr>
        <w:t>manifestation</w:t>
      </w:r>
      <w:r>
        <w:rPr>
          <w:spacing w:val="-13"/>
          <w:sz w:val="20"/>
        </w:rPr>
        <w:t> </w:t>
      </w:r>
      <w:r>
        <w:rPr>
          <w:spacing w:val="-2"/>
          <w:sz w:val="20"/>
        </w:rPr>
        <w:t>of</w:t>
      </w:r>
      <w:r>
        <w:rPr>
          <w:spacing w:val="-10"/>
          <w:sz w:val="20"/>
        </w:rPr>
        <w:t> </w:t>
      </w:r>
      <w:r>
        <w:rPr>
          <w:spacing w:val="-2"/>
          <w:sz w:val="20"/>
        </w:rPr>
        <w:t>suppressed</w:t>
      </w:r>
      <w:r>
        <w:rPr>
          <w:spacing w:val="-11"/>
          <w:sz w:val="20"/>
        </w:rPr>
        <w:t> </w:t>
      </w:r>
      <w:r>
        <w:rPr>
          <w:spacing w:val="-2"/>
          <w:sz w:val="20"/>
        </w:rPr>
        <w:t>desires</w:t>
      </w:r>
      <w:r>
        <w:rPr>
          <w:spacing w:val="-12"/>
          <w:sz w:val="20"/>
        </w:rPr>
        <w:t> </w:t>
      </w:r>
      <w:r>
        <w:rPr>
          <w:spacing w:val="-2"/>
          <w:sz w:val="20"/>
        </w:rPr>
        <w:t>within</w:t>
      </w:r>
      <w:r>
        <w:rPr>
          <w:spacing w:val="-17"/>
          <w:sz w:val="20"/>
        </w:rPr>
        <w:t> </w:t>
      </w:r>
      <w:r>
        <w:rPr>
          <w:spacing w:val="-2"/>
          <w:sz w:val="20"/>
        </w:rPr>
        <w:t>a</w:t>
      </w:r>
      <w:r>
        <w:rPr>
          <w:spacing w:val="-9"/>
          <w:sz w:val="20"/>
        </w:rPr>
        <w:t> </w:t>
      </w:r>
      <w:r>
        <w:rPr>
          <w:spacing w:val="-2"/>
          <w:sz w:val="20"/>
        </w:rPr>
        <w:t>controlled</w:t>
      </w:r>
      <w:r>
        <w:rPr>
          <w:spacing w:val="-8"/>
          <w:sz w:val="20"/>
        </w:rPr>
        <w:t> </w:t>
      </w:r>
      <w:r>
        <w:rPr>
          <w:spacing w:val="-2"/>
          <w:sz w:val="20"/>
        </w:rPr>
        <w:t>society</w:t>
      </w:r>
    </w:p>
    <w:p>
      <w:pPr>
        <w:pStyle w:val="ListParagraph"/>
        <w:numPr>
          <w:ilvl w:val="2"/>
          <w:numId w:val="87"/>
        </w:numPr>
        <w:tabs>
          <w:tab w:pos="2159" w:val="left" w:leader="none"/>
        </w:tabs>
        <w:spacing w:line="240" w:lineRule="auto" w:before="78" w:after="0"/>
        <w:ind w:left="2159" w:right="0" w:hanging="239"/>
        <w:jc w:val="left"/>
        <w:rPr>
          <w:sz w:val="20"/>
        </w:rPr>
      </w:pPr>
      <w:r>
        <w:rPr>
          <w:sz w:val="20"/>
        </w:rPr>
        <w:t>A</w:t>
      </w:r>
      <w:r>
        <w:rPr>
          <w:spacing w:val="9"/>
          <w:sz w:val="20"/>
        </w:rPr>
        <w:t> </w:t>
      </w:r>
      <w:r>
        <w:rPr>
          <w:sz w:val="20"/>
        </w:rPr>
        <w:t>rebellion</w:t>
      </w:r>
      <w:r>
        <w:rPr>
          <w:spacing w:val="10"/>
          <w:sz w:val="20"/>
        </w:rPr>
        <w:t> </w:t>
      </w:r>
      <w:r>
        <w:rPr>
          <w:sz w:val="20"/>
        </w:rPr>
        <w:t>against</w:t>
      </w:r>
      <w:r>
        <w:rPr>
          <w:spacing w:val="13"/>
          <w:sz w:val="20"/>
        </w:rPr>
        <w:t> </w:t>
      </w:r>
      <w:r>
        <w:rPr>
          <w:sz w:val="20"/>
        </w:rPr>
        <w:t>internalized</w:t>
      </w:r>
      <w:r>
        <w:rPr>
          <w:spacing w:val="11"/>
          <w:sz w:val="20"/>
        </w:rPr>
        <w:t> </w:t>
      </w:r>
      <w:r>
        <w:rPr>
          <w:spacing w:val="-2"/>
          <w:sz w:val="20"/>
        </w:rPr>
        <w:t>norms</w:t>
      </w:r>
    </w:p>
    <w:p>
      <w:pPr>
        <w:pStyle w:val="BodyText"/>
        <w:spacing w:line="249" w:lineRule="auto" w:before="70"/>
        <w:ind w:right="1440" w:firstLine="432"/>
      </w:pPr>
      <w:r>
        <w:rPr/>
        <w:t>However, this liberation is incomplete. Instead of achieving self-awareness,</w:t>
      </w:r>
      <w:r>
        <w:rPr>
          <w:spacing w:val="40"/>
        </w:rPr>
        <w:t> </w:t>
      </w:r>
      <w:r>
        <w:rPr/>
        <w:t>she</w:t>
      </w:r>
      <w:r>
        <w:rPr>
          <w:spacing w:val="40"/>
        </w:rPr>
        <w:t> </w:t>
      </w:r>
      <w:r>
        <w:rPr/>
        <w:t>becomes</w:t>
      </w:r>
      <w:r>
        <w:rPr>
          <w:spacing w:val="40"/>
        </w:rPr>
        <w:t> </w:t>
      </w:r>
      <w:r>
        <w:rPr/>
        <w:t>consumed</w:t>
      </w:r>
      <w:r>
        <w:rPr>
          <w:spacing w:val="40"/>
        </w:rPr>
        <w:t> </w:t>
      </w:r>
      <w:r>
        <w:rPr/>
        <w:t>by</w:t>
      </w:r>
      <w:r>
        <w:rPr>
          <w:spacing w:val="40"/>
        </w:rPr>
        <w:t> </w:t>
      </w:r>
      <w:r>
        <w:rPr/>
        <w:t>guilt,</w:t>
      </w:r>
      <w:r>
        <w:rPr>
          <w:spacing w:val="40"/>
        </w:rPr>
        <w:t> </w:t>
      </w:r>
      <w:r>
        <w:rPr/>
        <w:t>suggesting</w:t>
      </w:r>
      <w:r>
        <w:rPr>
          <w:spacing w:val="40"/>
        </w:rPr>
        <w:t> </w:t>
      </w:r>
      <w:r>
        <w:rPr/>
        <w:t>that:</w:t>
      </w:r>
    </w:p>
    <w:p>
      <w:pPr>
        <w:pStyle w:val="BodyText"/>
        <w:spacing w:before="61"/>
        <w:ind w:left="1872"/>
      </w:pPr>
      <w:r>
        <w:rPr/>
        <w:t>Liberation</w:t>
      </w:r>
      <w:r>
        <w:rPr>
          <w:spacing w:val="24"/>
        </w:rPr>
        <w:t> </w:t>
      </w:r>
      <w:r>
        <w:rPr/>
        <w:t>without</w:t>
      </w:r>
      <w:r>
        <w:rPr>
          <w:spacing w:val="23"/>
        </w:rPr>
        <w:t> </w:t>
      </w:r>
      <w:r>
        <w:rPr/>
        <w:t>ethical</w:t>
      </w:r>
      <w:r>
        <w:rPr>
          <w:spacing w:val="24"/>
        </w:rPr>
        <w:t> </w:t>
      </w:r>
      <w:r>
        <w:rPr/>
        <w:t>grounding</w:t>
      </w:r>
      <w:r>
        <w:rPr>
          <w:spacing w:val="23"/>
        </w:rPr>
        <w:t> </w:t>
      </w:r>
      <w:r>
        <w:rPr/>
        <w:t>leads</w:t>
      </w:r>
      <w:r>
        <w:rPr>
          <w:spacing w:val="21"/>
        </w:rPr>
        <w:t> </w:t>
      </w:r>
      <w:r>
        <w:rPr/>
        <w:t>to</w:t>
      </w:r>
      <w:r>
        <w:rPr>
          <w:spacing w:val="26"/>
        </w:rPr>
        <w:t> </w:t>
      </w:r>
      <w:r>
        <w:rPr/>
        <w:t>self-</w:t>
      </w:r>
      <w:r>
        <w:rPr>
          <w:spacing w:val="-2"/>
        </w:rPr>
        <w:t>destruction.</w:t>
      </w:r>
    </w:p>
    <w:p>
      <w:pPr>
        <w:pStyle w:val="BodyText"/>
        <w:spacing w:after="0"/>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96064">
                <wp:simplePos x="0" y="0"/>
                <wp:positionH relativeFrom="page">
                  <wp:posOffset>2057400</wp:posOffset>
                </wp:positionH>
                <wp:positionV relativeFrom="paragraph">
                  <wp:posOffset>162604</wp:posOffset>
                </wp:positionV>
                <wp:extent cx="3657600" cy="12700"/>
                <wp:effectExtent l="0" t="0" r="0" b="0"/>
                <wp:wrapTopAndBottom/>
                <wp:docPr id="821" name="Graphic 821"/>
                <wp:cNvGraphicFramePr>
                  <a:graphicFrameLocks/>
                </wp:cNvGraphicFramePr>
                <a:graphic>
                  <a:graphicData uri="http://schemas.microsoft.com/office/word/2010/wordprocessingShape">
                    <wps:wsp>
                      <wps:cNvPr id="821" name="Graphic 82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20416;mso-wrap-distance-left:0;mso-wrap-distance-right:0" id="docshape813" filled="true" fillcolor="#000000" stroked="false">
                <v:fill type="solid"/>
                <w10:wrap type="topAndBottom"/>
              </v:rect>
            </w:pict>
          </mc:Fallback>
        </mc:AlternateContent>
      </w:r>
      <w:r>
        <w:rPr>
          <w:rFonts w:ascii="Verdana"/>
          <w:spacing w:val="-5"/>
          <w:sz w:val="18"/>
        </w:rPr>
        <w:t>422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5"/>
        <w:numPr>
          <w:ilvl w:val="1"/>
          <w:numId w:val="87"/>
        </w:numPr>
        <w:tabs>
          <w:tab w:pos="1738" w:val="left" w:leader="none"/>
        </w:tabs>
        <w:spacing w:line="240" w:lineRule="auto" w:before="184" w:after="0"/>
        <w:ind w:left="1738" w:right="0" w:hanging="298"/>
        <w:jc w:val="left"/>
      </w:pPr>
      <w:r>
        <w:rPr>
          <w:w w:val="105"/>
        </w:rPr>
        <w:t>The</w:t>
      </w:r>
      <w:r>
        <w:rPr>
          <w:spacing w:val="75"/>
          <w:w w:val="105"/>
        </w:rPr>
        <w:t> </w:t>
      </w:r>
      <w:r>
        <w:rPr>
          <w:w w:val="105"/>
        </w:rPr>
        <w:t>“Iron</w:t>
      </w:r>
      <w:r>
        <w:rPr>
          <w:spacing w:val="74"/>
          <w:w w:val="105"/>
        </w:rPr>
        <w:t> </w:t>
      </w:r>
      <w:r>
        <w:rPr>
          <w:w w:val="105"/>
        </w:rPr>
        <w:t>Cage”</w:t>
      </w:r>
      <w:r>
        <w:rPr>
          <w:spacing w:val="73"/>
          <w:w w:val="105"/>
        </w:rPr>
        <w:t> </w:t>
      </w:r>
      <w:r>
        <w:rPr>
          <w:w w:val="105"/>
        </w:rPr>
        <w:t>of</w:t>
      </w:r>
      <w:r>
        <w:rPr>
          <w:spacing w:val="73"/>
          <w:w w:val="105"/>
        </w:rPr>
        <w:t> </w:t>
      </w:r>
      <w:r>
        <w:rPr>
          <w:w w:val="105"/>
        </w:rPr>
        <w:t>Power</w:t>
      </w:r>
      <w:r>
        <w:rPr>
          <w:spacing w:val="74"/>
          <w:w w:val="105"/>
        </w:rPr>
        <w:t> </w:t>
      </w:r>
      <w:r>
        <w:rPr>
          <w:w w:val="105"/>
        </w:rPr>
        <w:t>and</w:t>
      </w:r>
      <w:r>
        <w:rPr>
          <w:spacing w:val="73"/>
          <w:w w:val="105"/>
        </w:rPr>
        <w:t> </w:t>
      </w:r>
      <w:r>
        <w:rPr>
          <w:spacing w:val="-2"/>
          <w:w w:val="105"/>
        </w:rPr>
        <w:t>Rationality</w:t>
      </w:r>
    </w:p>
    <w:p>
      <w:pPr>
        <w:pStyle w:val="BodyText"/>
        <w:spacing w:line="249" w:lineRule="auto" w:before="72"/>
        <w:ind w:right="1437" w:firstLine="432"/>
      </w:pPr>
      <w:r>
        <w:rPr/>
        <w:t>Using</w:t>
      </w:r>
      <w:r>
        <w:rPr>
          <w:spacing w:val="21"/>
        </w:rPr>
        <w:t> </w:t>
      </w:r>
      <w:r>
        <w:rPr/>
        <w:t>the</w:t>
      </w:r>
      <w:r>
        <w:rPr>
          <w:spacing w:val="19"/>
        </w:rPr>
        <w:t> </w:t>
      </w:r>
      <w:r>
        <w:rPr/>
        <w:t>concept</w:t>
      </w:r>
      <w:r>
        <w:rPr>
          <w:spacing w:val="21"/>
        </w:rPr>
        <w:t> </w:t>
      </w:r>
      <w:r>
        <w:rPr/>
        <w:t>associated</w:t>
      </w:r>
      <w:r>
        <w:rPr>
          <w:spacing w:val="19"/>
        </w:rPr>
        <w:t> </w:t>
      </w:r>
      <w:r>
        <w:rPr/>
        <w:t>with</w:t>
      </w:r>
      <w:r>
        <w:rPr>
          <w:spacing w:val="21"/>
        </w:rPr>
        <w:t> </w:t>
      </w:r>
      <w:r>
        <w:rPr/>
        <w:t>Max</w:t>
      </w:r>
      <w:r>
        <w:rPr>
          <w:spacing w:val="17"/>
        </w:rPr>
        <w:t> </w:t>
      </w:r>
      <w:r>
        <w:rPr/>
        <w:t>Weber,</w:t>
      </w:r>
      <w:r>
        <w:rPr>
          <w:spacing w:val="21"/>
        </w:rPr>
        <w:t> </w:t>
      </w:r>
      <w:r>
        <w:rPr/>
        <w:t>Lady</w:t>
      </w:r>
      <w:r>
        <w:rPr>
          <w:spacing w:val="19"/>
        </w:rPr>
        <w:t> </w:t>
      </w:r>
      <w:r>
        <w:rPr/>
        <w:t>Macbeth’s ambition</w:t>
      </w:r>
      <w:r>
        <w:rPr>
          <w:spacing w:val="40"/>
        </w:rPr>
        <w:t> </w:t>
      </w:r>
      <w:r>
        <w:rPr/>
        <w:t>creates</w:t>
      </w:r>
      <w:r>
        <w:rPr>
          <w:spacing w:val="40"/>
        </w:rPr>
        <w:t> </w:t>
      </w:r>
      <w:r>
        <w:rPr/>
        <w:t>an</w:t>
      </w:r>
      <w:r>
        <w:rPr>
          <w:spacing w:val="40"/>
        </w:rPr>
        <w:t> </w:t>
      </w:r>
      <w:r>
        <w:rPr/>
        <w:t>“iron</w:t>
      </w:r>
      <w:r>
        <w:rPr>
          <w:spacing w:val="40"/>
        </w:rPr>
        <w:t> </w:t>
      </w:r>
      <w:r>
        <w:rPr/>
        <w:t>cage”</w:t>
      </w:r>
      <w:r>
        <w:rPr>
          <w:spacing w:val="40"/>
        </w:rPr>
        <w:t> </w:t>
      </w:r>
      <w:r>
        <w:rPr/>
        <w:t>of</w:t>
      </w:r>
      <w:r>
        <w:rPr>
          <w:spacing w:val="40"/>
        </w:rPr>
        <w:t> </w:t>
      </w:r>
      <w:r>
        <w:rPr/>
        <w:t>psychological</w:t>
      </w:r>
      <w:r>
        <w:rPr>
          <w:spacing w:val="40"/>
        </w:rPr>
        <w:t> </w:t>
      </w:r>
      <w:r>
        <w:rPr/>
        <w:t>entrapment.</w:t>
      </w:r>
    </w:p>
    <w:p>
      <w:pPr>
        <w:pStyle w:val="ListParagraph"/>
        <w:numPr>
          <w:ilvl w:val="2"/>
          <w:numId w:val="87"/>
        </w:numPr>
        <w:tabs>
          <w:tab w:pos="2159" w:val="left" w:leader="none"/>
        </w:tabs>
        <w:spacing w:line="240" w:lineRule="auto" w:before="66" w:after="0"/>
        <w:ind w:left="2159" w:right="0" w:hanging="239"/>
        <w:jc w:val="left"/>
        <w:rPr>
          <w:sz w:val="20"/>
        </w:rPr>
      </w:pPr>
      <w:r>
        <w:rPr>
          <w:sz w:val="20"/>
        </w:rPr>
        <w:t>She</w:t>
      </w:r>
      <w:r>
        <w:rPr>
          <w:spacing w:val="21"/>
          <w:sz w:val="20"/>
        </w:rPr>
        <w:t> </w:t>
      </w:r>
      <w:r>
        <w:rPr>
          <w:sz w:val="20"/>
        </w:rPr>
        <w:t>begins</w:t>
      </w:r>
      <w:r>
        <w:rPr>
          <w:spacing w:val="21"/>
          <w:sz w:val="20"/>
        </w:rPr>
        <w:t> </w:t>
      </w:r>
      <w:r>
        <w:rPr>
          <w:sz w:val="20"/>
        </w:rPr>
        <w:t>with</w:t>
      </w:r>
      <w:r>
        <w:rPr>
          <w:spacing w:val="20"/>
          <w:sz w:val="20"/>
        </w:rPr>
        <w:t> </w:t>
      </w:r>
      <w:r>
        <w:rPr>
          <w:sz w:val="20"/>
        </w:rPr>
        <w:t>calculated</w:t>
      </w:r>
      <w:r>
        <w:rPr>
          <w:spacing w:val="24"/>
          <w:sz w:val="20"/>
        </w:rPr>
        <w:t> </w:t>
      </w:r>
      <w:r>
        <w:rPr>
          <w:spacing w:val="-2"/>
          <w:sz w:val="20"/>
        </w:rPr>
        <w:t>rationality</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She</w:t>
      </w:r>
      <w:r>
        <w:rPr>
          <w:spacing w:val="28"/>
          <w:sz w:val="20"/>
        </w:rPr>
        <w:t> </w:t>
      </w:r>
      <w:r>
        <w:rPr>
          <w:sz w:val="20"/>
        </w:rPr>
        <w:t>suppresses</w:t>
      </w:r>
      <w:r>
        <w:rPr>
          <w:spacing w:val="29"/>
          <w:sz w:val="20"/>
        </w:rPr>
        <w:t> </w:t>
      </w:r>
      <w:r>
        <w:rPr>
          <w:sz w:val="20"/>
        </w:rPr>
        <w:t>emotion</w:t>
      </w:r>
      <w:r>
        <w:rPr>
          <w:spacing w:val="27"/>
          <w:sz w:val="20"/>
        </w:rPr>
        <w:t> </w:t>
      </w:r>
      <w:r>
        <w:rPr>
          <w:sz w:val="20"/>
        </w:rPr>
        <w:t>to</w:t>
      </w:r>
      <w:r>
        <w:rPr>
          <w:spacing w:val="30"/>
          <w:sz w:val="20"/>
        </w:rPr>
        <w:t> </w:t>
      </w:r>
      <w:r>
        <w:rPr>
          <w:sz w:val="20"/>
        </w:rPr>
        <w:t>achieve</w:t>
      </w:r>
      <w:r>
        <w:rPr>
          <w:spacing w:val="30"/>
          <w:sz w:val="20"/>
        </w:rPr>
        <w:t> </w:t>
      </w:r>
      <w:r>
        <w:rPr>
          <w:sz w:val="20"/>
        </w:rPr>
        <w:t>political</w:t>
      </w:r>
      <w:r>
        <w:rPr>
          <w:spacing w:val="28"/>
          <w:sz w:val="20"/>
        </w:rPr>
        <w:t> </w:t>
      </w:r>
      <w:r>
        <w:rPr>
          <w:spacing w:val="-4"/>
          <w:sz w:val="20"/>
        </w:rPr>
        <w:t>goals</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She</w:t>
      </w:r>
      <w:r>
        <w:rPr>
          <w:spacing w:val="-4"/>
          <w:sz w:val="20"/>
        </w:rPr>
        <w:t> </w:t>
      </w:r>
      <w:r>
        <w:rPr>
          <w:sz w:val="20"/>
        </w:rPr>
        <w:t>constructs</w:t>
      </w:r>
      <w:r>
        <w:rPr>
          <w:spacing w:val="-3"/>
          <w:sz w:val="20"/>
        </w:rPr>
        <w:t> </w:t>
      </w:r>
      <w:r>
        <w:rPr>
          <w:sz w:val="20"/>
        </w:rPr>
        <w:t>a</w:t>
      </w:r>
      <w:r>
        <w:rPr>
          <w:spacing w:val="-4"/>
          <w:sz w:val="20"/>
        </w:rPr>
        <w:t> </w:t>
      </w:r>
      <w:r>
        <w:rPr>
          <w:sz w:val="20"/>
        </w:rPr>
        <w:t>mental</w:t>
      </w:r>
      <w:r>
        <w:rPr>
          <w:spacing w:val="-6"/>
          <w:sz w:val="20"/>
        </w:rPr>
        <w:t> </w:t>
      </w:r>
      <w:r>
        <w:rPr>
          <w:sz w:val="20"/>
        </w:rPr>
        <w:t>framework</w:t>
      </w:r>
      <w:r>
        <w:rPr>
          <w:spacing w:val="-5"/>
          <w:sz w:val="20"/>
        </w:rPr>
        <w:t> </w:t>
      </w:r>
      <w:r>
        <w:rPr>
          <w:sz w:val="20"/>
        </w:rPr>
        <w:t>where</w:t>
      </w:r>
      <w:r>
        <w:rPr>
          <w:spacing w:val="-3"/>
          <w:sz w:val="20"/>
        </w:rPr>
        <w:t> </w:t>
      </w:r>
      <w:r>
        <w:rPr>
          <w:sz w:val="20"/>
        </w:rPr>
        <w:t>morality</w:t>
      </w:r>
      <w:r>
        <w:rPr>
          <w:spacing w:val="-7"/>
          <w:sz w:val="20"/>
        </w:rPr>
        <w:t> </w:t>
      </w:r>
      <w:r>
        <w:rPr>
          <w:sz w:val="20"/>
        </w:rPr>
        <w:t>is</w:t>
      </w:r>
      <w:r>
        <w:rPr>
          <w:spacing w:val="-3"/>
          <w:sz w:val="20"/>
        </w:rPr>
        <w:t> </w:t>
      </w:r>
      <w:r>
        <w:rPr>
          <w:spacing w:val="-2"/>
          <w:sz w:val="20"/>
        </w:rPr>
        <w:t>excluded</w:t>
      </w:r>
    </w:p>
    <w:p>
      <w:pPr>
        <w:pStyle w:val="Heading6"/>
      </w:pPr>
      <w:r>
        <w:rPr/>
        <w:t>Yet</w:t>
      </w:r>
      <w:r>
        <w:rPr>
          <w:spacing w:val="-2"/>
        </w:rPr>
        <w:t> </w:t>
      </w:r>
      <w:r>
        <w:rPr/>
        <w:t>this</w:t>
      </w:r>
      <w:r>
        <w:rPr>
          <w:spacing w:val="-4"/>
        </w:rPr>
        <w:t> </w:t>
      </w:r>
      <w:r>
        <w:rPr/>
        <w:t>rational</w:t>
      </w:r>
      <w:r>
        <w:rPr>
          <w:spacing w:val="-2"/>
        </w:rPr>
        <w:t> </w:t>
      </w:r>
      <w:r>
        <w:rPr/>
        <w:t>structure</w:t>
      </w:r>
      <w:r>
        <w:rPr>
          <w:spacing w:val="-5"/>
        </w:rPr>
        <w:t> </w:t>
      </w:r>
      <w:r>
        <w:rPr>
          <w:spacing w:val="-2"/>
        </w:rPr>
        <w:t>collapses:</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Guilt</w:t>
      </w:r>
      <w:r>
        <w:rPr>
          <w:spacing w:val="13"/>
          <w:sz w:val="20"/>
        </w:rPr>
        <w:t> </w:t>
      </w:r>
      <w:r>
        <w:rPr>
          <w:sz w:val="20"/>
        </w:rPr>
        <w:t>manifests</w:t>
      </w:r>
      <w:r>
        <w:rPr>
          <w:spacing w:val="12"/>
          <w:sz w:val="20"/>
        </w:rPr>
        <w:t> </w:t>
      </w:r>
      <w:r>
        <w:rPr>
          <w:sz w:val="20"/>
        </w:rPr>
        <w:t>as</w:t>
      </w:r>
      <w:r>
        <w:rPr>
          <w:spacing w:val="14"/>
          <w:sz w:val="20"/>
        </w:rPr>
        <w:t> </w:t>
      </w:r>
      <w:r>
        <w:rPr>
          <w:spacing w:val="-2"/>
          <w:sz w:val="20"/>
        </w:rPr>
        <w:t>hallucination</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Control</w:t>
      </w:r>
      <w:r>
        <w:rPr>
          <w:spacing w:val="24"/>
          <w:sz w:val="20"/>
        </w:rPr>
        <w:t> </w:t>
      </w:r>
      <w:r>
        <w:rPr>
          <w:sz w:val="20"/>
        </w:rPr>
        <w:t>transforms</w:t>
      </w:r>
      <w:r>
        <w:rPr>
          <w:spacing w:val="26"/>
          <w:sz w:val="20"/>
        </w:rPr>
        <w:t> </w:t>
      </w:r>
      <w:r>
        <w:rPr>
          <w:sz w:val="20"/>
        </w:rPr>
        <w:t>into</w:t>
      </w:r>
      <w:r>
        <w:rPr>
          <w:spacing w:val="27"/>
          <w:sz w:val="20"/>
        </w:rPr>
        <w:t> </w:t>
      </w:r>
      <w:r>
        <w:rPr>
          <w:spacing w:val="-2"/>
          <w:sz w:val="20"/>
        </w:rPr>
        <w:t>chaos</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The</w:t>
      </w:r>
      <w:r>
        <w:rPr>
          <w:spacing w:val="21"/>
          <w:sz w:val="20"/>
        </w:rPr>
        <w:t> </w:t>
      </w:r>
      <w:r>
        <w:rPr>
          <w:sz w:val="20"/>
        </w:rPr>
        <w:t>mind</w:t>
      </w:r>
      <w:r>
        <w:rPr>
          <w:spacing w:val="22"/>
          <w:sz w:val="20"/>
        </w:rPr>
        <w:t> </w:t>
      </w:r>
      <w:r>
        <w:rPr>
          <w:sz w:val="20"/>
        </w:rPr>
        <w:t>becomes</w:t>
      </w:r>
      <w:r>
        <w:rPr>
          <w:spacing w:val="22"/>
          <w:sz w:val="20"/>
        </w:rPr>
        <w:t> </w:t>
      </w:r>
      <w:r>
        <w:rPr>
          <w:sz w:val="20"/>
        </w:rPr>
        <w:t>a</w:t>
      </w:r>
      <w:r>
        <w:rPr>
          <w:spacing w:val="23"/>
          <w:sz w:val="20"/>
        </w:rPr>
        <w:t> </w:t>
      </w:r>
      <w:r>
        <w:rPr>
          <w:spacing w:val="-2"/>
          <w:sz w:val="20"/>
        </w:rPr>
        <w:t>prison</w:t>
      </w:r>
    </w:p>
    <w:p>
      <w:pPr>
        <w:pStyle w:val="BodyText"/>
        <w:spacing w:line="249" w:lineRule="auto" w:before="70"/>
        <w:ind w:right="1437" w:firstLine="432"/>
      </w:pPr>
      <w:r>
        <w:rPr/>
        <w:t>Critically,</w:t>
      </w:r>
      <w:r>
        <w:rPr>
          <w:spacing w:val="-11"/>
        </w:rPr>
        <w:t> </w:t>
      </w:r>
      <w:r>
        <w:rPr/>
        <w:t>this</w:t>
      </w:r>
      <w:r>
        <w:rPr>
          <w:spacing w:val="-12"/>
        </w:rPr>
        <w:t> </w:t>
      </w:r>
      <w:r>
        <w:rPr/>
        <w:t>reflects</w:t>
      </w:r>
      <w:r>
        <w:rPr>
          <w:spacing w:val="-10"/>
        </w:rPr>
        <w:t> </w:t>
      </w:r>
      <w:r>
        <w:rPr/>
        <w:t>the</w:t>
      </w:r>
      <w:r>
        <w:rPr>
          <w:spacing w:val="-12"/>
        </w:rPr>
        <w:t> </w:t>
      </w:r>
      <w:r>
        <w:rPr/>
        <w:t>paradox</w:t>
      </w:r>
      <w:r>
        <w:rPr>
          <w:spacing w:val="-10"/>
        </w:rPr>
        <w:t> </w:t>
      </w:r>
      <w:r>
        <w:rPr/>
        <w:t>of</w:t>
      </w:r>
      <w:r>
        <w:rPr>
          <w:spacing w:val="-10"/>
        </w:rPr>
        <w:t> </w:t>
      </w:r>
      <w:r>
        <w:rPr/>
        <w:t>power:</w:t>
      </w:r>
      <w:r>
        <w:rPr>
          <w:spacing w:val="-13"/>
        </w:rPr>
        <w:t> </w:t>
      </w:r>
      <w:r>
        <w:rPr/>
        <w:t>The</w:t>
      </w:r>
      <w:r>
        <w:rPr>
          <w:spacing w:val="-10"/>
        </w:rPr>
        <w:t> </w:t>
      </w:r>
      <w:r>
        <w:rPr/>
        <w:t>pursuit</w:t>
      </w:r>
      <w:r>
        <w:rPr>
          <w:spacing w:val="-12"/>
        </w:rPr>
        <w:t> </w:t>
      </w:r>
      <w:r>
        <w:rPr/>
        <w:t>of</w:t>
      </w:r>
      <w:r>
        <w:rPr>
          <w:spacing w:val="-12"/>
        </w:rPr>
        <w:t> </w:t>
      </w:r>
      <w:r>
        <w:rPr/>
        <w:t>control ultimately results in</w:t>
      </w:r>
      <w:r>
        <w:rPr>
          <w:spacing w:val="40"/>
        </w:rPr>
        <w:t> </w:t>
      </w:r>
      <w:r>
        <w:rPr/>
        <w:t>loss of control.</w:t>
      </w:r>
    </w:p>
    <w:p>
      <w:pPr>
        <w:pStyle w:val="Heading5"/>
        <w:numPr>
          <w:ilvl w:val="1"/>
          <w:numId w:val="87"/>
        </w:numPr>
        <w:tabs>
          <w:tab w:pos="1988" w:val="left" w:leader="none"/>
          <w:tab w:pos="3185" w:val="left" w:leader="none"/>
          <w:tab w:pos="5250" w:val="left" w:leader="none"/>
          <w:tab w:pos="6314" w:val="left" w:leader="none"/>
        </w:tabs>
        <w:spacing w:line="244" w:lineRule="auto" w:before="109" w:after="0"/>
        <w:ind w:left="1440" w:right="1439" w:firstLine="0"/>
        <w:jc w:val="left"/>
      </w:pPr>
      <w:r>
        <w:rPr>
          <w:spacing w:val="11"/>
        </w:rPr>
        <w:t>Marxist</w:t>
      </w:r>
      <w:r>
        <w:rPr/>
        <w:tab/>
      </w:r>
      <w:r>
        <w:rPr>
          <w:spacing w:val="12"/>
        </w:rPr>
        <w:t>Interpretation:</w:t>
      </w:r>
      <w:r>
        <w:rPr/>
        <w:tab/>
      </w:r>
      <w:r>
        <w:rPr>
          <w:spacing w:val="8"/>
        </w:rPr>
        <w:t>Power</w:t>
      </w:r>
      <w:r>
        <w:rPr/>
        <w:tab/>
      </w:r>
      <w:r>
        <w:rPr>
          <w:spacing w:val="9"/>
        </w:rPr>
        <w:t>Without </w:t>
      </w:r>
      <w:r>
        <w:rPr>
          <w:spacing w:val="-2"/>
        </w:rPr>
        <w:t>Transformation</w:t>
      </w:r>
    </w:p>
    <w:p>
      <w:pPr>
        <w:pStyle w:val="Heading6"/>
      </w:pPr>
      <w:r>
        <w:rPr>
          <w:spacing w:val="-2"/>
        </w:rPr>
        <w:t>From</w:t>
      </w:r>
      <w:r>
        <w:rPr>
          <w:spacing w:val="-20"/>
        </w:rPr>
        <w:t> </w:t>
      </w:r>
      <w:r>
        <w:rPr>
          <w:spacing w:val="-2"/>
        </w:rPr>
        <w:t>a</w:t>
      </w:r>
      <w:r>
        <w:rPr>
          <w:spacing w:val="-13"/>
        </w:rPr>
        <w:t> </w:t>
      </w:r>
      <w:r>
        <w:rPr>
          <w:spacing w:val="-2"/>
        </w:rPr>
        <w:t>Marxism</w:t>
      </w:r>
      <w:r>
        <w:rPr>
          <w:spacing w:val="-18"/>
        </w:rPr>
        <w:t> </w:t>
      </w:r>
      <w:r>
        <w:rPr>
          <w:spacing w:val="-2"/>
        </w:rPr>
        <w:t>perspective:</w:t>
      </w:r>
    </w:p>
    <w:p>
      <w:pPr>
        <w:pStyle w:val="ListParagraph"/>
        <w:numPr>
          <w:ilvl w:val="2"/>
          <w:numId w:val="87"/>
        </w:numPr>
        <w:tabs>
          <w:tab w:pos="2159" w:val="left" w:leader="none"/>
        </w:tabs>
        <w:spacing w:line="240" w:lineRule="auto" w:before="74" w:after="0"/>
        <w:ind w:left="2159" w:right="0" w:hanging="239"/>
        <w:jc w:val="left"/>
        <w:rPr>
          <w:sz w:val="20"/>
        </w:rPr>
      </w:pPr>
      <w:r>
        <w:rPr>
          <w:sz w:val="20"/>
        </w:rPr>
        <w:t>Lady</w:t>
      </w:r>
      <w:r>
        <w:rPr>
          <w:spacing w:val="23"/>
          <w:sz w:val="20"/>
        </w:rPr>
        <w:t> </w:t>
      </w:r>
      <w:r>
        <w:rPr>
          <w:sz w:val="20"/>
        </w:rPr>
        <w:t>Macbeth</w:t>
      </w:r>
      <w:r>
        <w:rPr>
          <w:spacing w:val="22"/>
          <w:sz w:val="20"/>
        </w:rPr>
        <w:t> </w:t>
      </w:r>
      <w:r>
        <w:rPr>
          <w:sz w:val="20"/>
        </w:rPr>
        <w:t>challenges</w:t>
      </w:r>
      <w:r>
        <w:rPr>
          <w:spacing w:val="26"/>
          <w:sz w:val="20"/>
        </w:rPr>
        <w:t> </w:t>
      </w:r>
      <w:r>
        <w:rPr>
          <w:sz w:val="20"/>
        </w:rPr>
        <w:t>hierarchical</w:t>
      </w:r>
      <w:r>
        <w:rPr>
          <w:spacing w:val="26"/>
          <w:sz w:val="20"/>
        </w:rPr>
        <w:t> </w:t>
      </w:r>
      <w:r>
        <w:rPr>
          <w:spacing w:val="-2"/>
          <w:sz w:val="20"/>
        </w:rPr>
        <w:t>authority</w:t>
      </w:r>
    </w:p>
    <w:p>
      <w:pPr>
        <w:pStyle w:val="ListParagraph"/>
        <w:numPr>
          <w:ilvl w:val="2"/>
          <w:numId w:val="87"/>
        </w:numPr>
        <w:tabs>
          <w:tab w:pos="2159" w:val="left" w:leader="none"/>
        </w:tabs>
        <w:spacing w:line="240" w:lineRule="auto" w:before="78" w:after="0"/>
        <w:ind w:left="2159" w:right="0" w:hanging="239"/>
        <w:jc w:val="left"/>
        <w:rPr>
          <w:sz w:val="20"/>
        </w:rPr>
      </w:pPr>
      <w:r>
        <w:rPr>
          <w:sz w:val="20"/>
        </w:rPr>
        <w:t>She</w:t>
      </w:r>
      <w:r>
        <w:rPr>
          <w:spacing w:val="29"/>
          <w:sz w:val="20"/>
        </w:rPr>
        <w:t> </w:t>
      </w:r>
      <w:r>
        <w:rPr>
          <w:sz w:val="20"/>
        </w:rPr>
        <w:t>disrupts</w:t>
      </w:r>
      <w:r>
        <w:rPr>
          <w:spacing w:val="31"/>
          <w:sz w:val="20"/>
        </w:rPr>
        <w:t> </w:t>
      </w:r>
      <w:r>
        <w:rPr>
          <w:sz w:val="20"/>
        </w:rPr>
        <w:t>the</w:t>
      </w:r>
      <w:r>
        <w:rPr>
          <w:spacing w:val="29"/>
          <w:sz w:val="20"/>
        </w:rPr>
        <w:t> </w:t>
      </w:r>
      <w:r>
        <w:rPr>
          <w:sz w:val="20"/>
        </w:rPr>
        <w:t>ruling</w:t>
      </w:r>
      <w:r>
        <w:rPr>
          <w:spacing w:val="31"/>
          <w:sz w:val="20"/>
        </w:rPr>
        <w:t> </w:t>
      </w:r>
      <w:r>
        <w:rPr>
          <w:sz w:val="20"/>
        </w:rPr>
        <w:t>structure</w:t>
      </w:r>
      <w:r>
        <w:rPr>
          <w:spacing w:val="30"/>
          <w:sz w:val="20"/>
        </w:rPr>
        <w:t> </w:t>
      </w:r>
      <w:r>
        <w:rPr>
          <w:sz w:val="20"/>
        </w:rPr>
        <w:t>through</w:t>
      </w:r>
      <w:r>
        <w:rPr>
          <w:spacing w:val="31"/>
          <w:sz w:val="20"/>
        </w:rPr>
        <w:t> </w:t>
      </w:r>
      <w:r>
        <w:rPr>
          <w:spacing w:val="-2"/>
          <w:sz w:val="20"/>
        </w:rPr>
        <w:t>regicide</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However,</w:t>
      </w:r>
      <w:r>
        <w:rPr>
          <w:spacing w:val="26"/>
          <w:sz w:val="20"/>
        </w:rPr>
        <w:t> </w:t>
      </w:r>
      <w:r>
        <w:rPr>
          <w:sz w:val="20"/>
        </w:rPr>
        <w:t>she</w:t>
      </w:r>
      <w:r>
        <w:rPr>
          <w:spacing w:val="27"/>
          <w:sz w:val="20"/>
        </w:rPr>
        <w:t> </w:t>
      </w:r>
      <w:r>
        <w:rPr>
          <w:sz w:val="20"/>
        </w:rPr>
        <w:t>does</w:t>
      </w:r>
      <w:r>
        <w:rPr>
          <w:spacing w:val="26"/>
          <w:sz w:val="20"/>
        </w:rPr>
        <w:t> </w:t>
      </w:r>
      <w:r>
        <w:rPr>
          <w:sz w:val="20"/>
        </w:rPr>
        <w:t>not</w:t>
      </w:r>
      <w:r>
        <w:rPr>
          <w:spacing w:val="25"/>
          <w:sz w:val="20"/>
        </w:rPr>
        <w:t> </w:t>
      </w:r>
      <w:r>
        <w:rPr>
          <w:sz w:val="20"/>
        </w:rPr>
        <w:t>alter</w:t>
      </w:r>
      <w:r>
        <w:rPr>
          <w:spacing w:val="28"/>
          <w:sz w:val="20"/>
        </w:rPr>
        <w:t> </w:t>
      </w:r>
      <w:r>
        <w:rPr>
          <w:sz w:val="20"/>
        </w:rPr>
        <w:t>the</w:t>
      </w:r>
      <w:r>
        <w:rPr>
          <w:spacing w:val="27"/>
          <w:sz w:val="20"/>
        </w:rPr>
        <w:t> </w:t>
      </w:r>
      <w:r>
        <w:rPr>
          <w:sz w:val="20"/>
        </w:rPr>
        <w:t>system</w:t>
      </w:r>
      <w:r>
        <w:rPr>
          <w:spacing w:val="23"/>
          <w:sz w:val="20"/>
        </w:rPr>
        <w:t> </w:t>
      </w:r>
      <w:r>
        <w:rPr>
          <w:spacing w:val="-2"/>
          <w:sz w:val="20"/>
        </w:rPr>
        <w:t>itself</w:t>
      </w:r>
    </w:p>
    <w:p>
      <w:pPr>
        <w:pStyle w:val="Heading6"/>
        <w:spacing w:before="72"/>
      </w:pPr>
      <w:r>
        <w:rPr/>
        <w:t>This</w:t>
      </w:r>
      <w:r>
        <w:rPr>
          <w:spacing w:val="-5"/>
        </w:rPr>
        <w:t> </w:t>
      </w:r>
      <w:r>
        <w:rPr>
          <w:spacing w:val="-2"/>
        </w:rPr>
        <w:t>reveals:</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Power</w:t>
      </w:r>
      <w:r>
        <w:rPr>
          <w:spacing w:val="21"/>
          <w:sz w:val="20"/>
        </w:rPr>
        <w:t> </w:t>
      </w:r>
      <w:r>
        <w:rPr>
          <w:sz w:val="20"/>
        </w:rPr>
        <w:t>is</w:t>
      </w:r>
      <w:r>
        <w:rPr>
          <w:spacing w:val="17"/>
          <w:sz w:val="20"/>
        </w:rPr>
        <w:t> </w:t>
      </w:r>
      <w:r>
        <w:rPr>
          <w:sz w:val="20"/>
        </w:rPr>
        <w:t>redistributed,</w:t>
      </w:r>
      <w:r>
        <w:rPr>
          <w:spacing w:val="21"/>
          <w:sz w:val="20"/>
        </w:rPr>
        <w:t> </w:t>
      </w:r>
      <w:r>
        <w:rPr>
          <w:sz w:val="20"/>
        </w:rPr>
        <w:t>not</w:t>
      </w:r>
      <w:r>
        <w:rPr>
          <w:spacing w:val="19"/>
          <w:sz w:val="20"/>
        </w:rPr>
        <w:t> </w:t>
      </w:r>
      <w:r>
        <w:rPr>
          <w:spacing w:val="-2"/>
          <w:sz w:val="20"/>
        </w:rPr>
        <w:t>redefined</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Structural</w:t>
      </w:r>
      <w:r>
        <w:rPr>
          <w:spacing w:val="13"/>
          <w:sz w:val="20"/>
        </w:rPr>
        <w:t> </w:t>
      </w:r>
      <w:r>
        <w:rPr>
          <w:sz w:val="20"/>
        </w:rPr>
        <w:t>inequality</w:t>
      </w:r>
      <w:r>
        <w:rPr>
          <w:spacing w:val="10"/>
          <w:sz w:val="20"/>
        </w:rPr>
        <w:t> </w:t>
      </w:r>
      <w:r>
        <w:rPr>
          <w:sz w:val="20"/>
        </w:rPr>
        <w:t>remains</w:t>
      </w:r>
      <w:r>
        <w:rPr>
          <w:spacing w:val="12"/>
          <w:sz w:val="20"/>
        </w:rPr>
        <w:t> </w:t>
      </w:r>
      <w:r>
        <w:rPr>
          <w:spacing w:val="-2"/>
          <w:sz w:val="20"/>
        </w:rPr>
        <w:t>intact</w:t>
      </w:r>
    </w:p>
    <w:p>
      <w:pPr>
        <w:pStyle w:val="BodyText"/>
        <w:spacing w:line="249" w:lineRule="auto" w:before="73"/>
        <w:ind w:right="1437" w:firstLine="432"/>
      </w:pPr>
      <w:r>
        <w:rPr/>
        <w:t>Thus,</w:t>
      </w:r>
      <w:r>
        <w:rPr>
          <w:spacing w:val="40"/>
        </w:rPr>
        <w:t> </w:t>
      </w:r>
      <w:r>
        <w:rPr/>
        <w:t>her</w:t>
      </w:r>
      <w:r>
        <w:rPr>
          <w:spacing w:val="40"/>
        </w:rPr>
        <w:t> </w:t>
      </w:r>
      <w:r>
        <w:rPr/>
        <w:t>ambition</w:t>
      </w:r>
      <w:r>
        <w:rPr>
          <w:spacing w:val="40"/>
        </w:rPr>
        <w:t> </w:t>
      </w:r>
      <w:r>
        <w:rPr/>
        <w:t>is</w:t>
      </w:r>
      <w:r>
        <w:rPr>
          <w:spacing w:val="40"/>
        </w:rPr>
        <w:t> </w:t>
      </w:r>
      <w:r>
        <w:rPr/>
        <w:t>individualistic</w:t>
      </w:r>
      <w:r>
        <w:rPr>
          <w:spacing w:val="40"/>
        </w:rPr>
        <w:t> </w:t>
      </w:r>
      <w:r>
        <w:rPr/>
        <w:t>rather</w:t>
      </w:r>
      <w:r>
        <w:rPr>
          <w:spacing w:val="40"/>
        </w:rPr>
        <w:t> </w:t>
      </w:r>
      <w:r>
        <w:rPr/>
        <w:t>than</w:t>
      </w:r>
      <w:r>
        <w:rPr>
          <w:spacing w:val="40"/>
        </w:rPr>
        <w:t> </w:t>
      </w:r>
      <w:r>
        <w:rPr/>
        <w:t>revolutionary, </w:t>
      </w:r>
      <w:r>
        <w:rPr>
          <w:spacing w:val="-2"/>
        </w:rPr>
        <w:t>highlighting</w:t>
      </w:r>
      <w:r>
        <w:rPr>
          <w:spacing w:val="-16"/>
        </w:rPr>
        <w:t> </w:t>
      </w:r>
      <w:r>
        <w:rPr>
          <w:spacing w:val="-2"/>
        </w:rPr>
        <w:t>the</w:t>
      </w:r>
      <w:r>
        <w:rPr>
          <w:spacing w:val="-15"/>
        </w:rPr>
        <w:t> </w:t>
      </w:r>
      <w:r>
        <w:rPr>
          <w:spacing w:val="-2"/>
        </w:rPr>
        <w:t>limitations</w:t>
      </w:r>
      <w:r>
        <w:rPr>
          <w:spacing w:val="-11"/>
        </w:rPr>
        <w:t> </w:t>
      </w:r>
      <w:r>
        <w:rPr>
          <w:spacing w:val="-2"/>
        </w:rPr>
        <w:t>of</w:t>
      </w:r>
      <w:r>
        <w:rPr>
          <w:spacing w:val="-13"/>
        </w:rPr>
        <w:t> </w:t>
      </w:r>
      <w:r>
        <w:rPr>
          <w:spacing w:val="-2"/>
        </w:rPr>
        <w:t>personal</w:t>
      </w:r>
      <w:r>
        <w:rPr>
          <w:spacing w:val="-12"/>
        </w:rPr>
        <w:t> </w:t>
      </w:r>
      <w:r>
        <w:rPr>
          <w:spacing w:val="-2"/>
        </w:rPr>
        <w:t>power</w:t>
      </w:r>
      <w:r>
        <w:rPr>
          <w:spacing w:val="-11"/>
        </w:rPr>
        <w:t> </w:t>
      </w:r>
      <w:r>
        <w:rPr>
          <w:spacing w:val="-2"/>
        </w:rPr>
        <w:t>within</w:t>
      </w:r>
      <w:r>
        <w:rPr>
          <w:spacing w:val="-16"/>
        </w:rPr>
        <w:t> </w:t>
      </w:r>
      <w:r>
        <w:rPr>
          <w:spacing w:val="-2"/>
        </w:rPr>
        <w:t>systemic</w:t>
      </w:r>
      <w:r>
        <w:rPr>
          <w:spacing w:val="-11"/>
        </w:rPr>
        <w:t> </w:t>
      </w:r>
      <w:r>
        <w:rPr>
          <w:spacing w:val="-2"/>
        </w:rPr>
        <w:t>constraints.</w:t>
      </w:r>
    </w:p>
    <w:p>
      <w:pPr>
        <w:pStyle w:val="Heading5"/>
        <w:numPr>
          <w:ilvl w:val="1"/>
          <w:numId w:val="87"/>
        </w:numPr>
        <w:tabs>
          <w:tab w:pos="1754" w:val="left" w:leader="none"/>
        </w:tabs>
        <w:spacing w:line="240" w:lineRule="auto" w:before="109" w:after="0"/>
        <w:ind w:left="1754" w:right="0" w:hanging="314"/>
        <w:jc w:val="left"/>
      </w:pPr>
      <w:r>
        <w:rPr>
          <w:w w:val="110"/>
        </w:rPr>
        <w:t>Ideology</w:t>
      </w:r>
      <w:r>
        <w:rPr>
          <w:spacing w:val="67"/>
          <w:w w:val="150"/>
        </w:rPr>
        <w:t> </w:t>
      </w:r>
      <w:r>
        <w:rPr>
          <w:w w:val="110"/>
        </w:rPr>
        <w:t>as</w:t>
      </w:r>
      <w:r>
        <w:rPr>
          <w:spacing w:val="68"/>
          <w:w w:val="150"/>
        </w:rPr>
        <w:t> </w:t>
      </w:r>
      <w:r>
        <w:rPr>
          <w:w w:val="110"/>
        </w:rPr>
        <w:t>Masked</w:t>
      </w:r>
      <w:r>
        <w:rPr>
          <w:spacing w:val="67"/>
          <w:w w:val="150"/>
        </w:rPr>
        <w:t> </w:t>
      </w:r>
      <w:r>
        <w:rPr>
          <w:spacing w:val="-2"/>
          <w:w w:val="110"/>
        </w:rPr>
        <w:t>Oppression</w:t>
      </w:r>
    </w:p>
    <w:p>
      <w:pPr>
        <w:pStyle w:val="BodyText"/>
        <w:spacing w:line="249" w:lineRule="auto" w:before="71"/>
        <w:ind w:right="1437" w:firstLine="432"/>
      </w:pPr>
      <w:r>
        <w:rPr/>
        <w:t>Ideology</w:t>
      </w:r>
      <w:r>
        <w:rPr>
          <w:spacing w:val="40"/>
        </w:rPr>
        <w:t> </w:t>
      </w:r>
      <w:r>
        <w:rPr/>
        <w:t>in</w:t>
      </w:r>
      <w:r>
        <w:rPr>
          <w:spacing w:val="40"/>
        </w:rPr>
        <w:t> </w:t>
      </w:r>
      <w:r>
        <w:rPr/>
        <w:t>Macbeth</w:t>
      </w:r>
      <w:r>
        <w:rPr>
          <w:spacing w:val="40"/>
        </w:rPr>
        <w:t> </w:t>
      </w:r>
      <w:r>
        <w:rPr/>
        <w:t>operates</w:t>
      </w:r>
      <w:r>
        <w:rPr>
          <w:spacing w:val="40"/>
        </w:rPr>
        <w:t> </w:t>
      </w:r>
      <w:r>
        <w:rPr/>
        <w:t>as</w:t>
      </w:r>
      <w:r>
        <w:rPr>
          <w:spacing w:val="40"/>
        </w:rPr>
        <w:t> </w:t>
      </w:r>
      <w:r>
        <w:rPr/>
        <w:t>a</w:t>
      </w:r>
      <w:r>
        <w:rPr>
          <w:spacing w:val="40"/>
        </w:rPr>
        <w:t> </w:t>
      </w:r>
      <w:r>
        <w:rPr/>
        <w:t>hidden</w:t>
      </w:r>
      <w:r>
        <w:rPr>
          <w:spacing w:val="40"/>
        </w:rPr>
        <w:t> </w:t>
      </w:r>
      <w:r>
        <w:rPr/>
        <w:t>force</w:t>
      </w:r>
      <w:r>
        <w:rPr>
          <w:spacing w:val="40"/>
        </w:rPr>
        <w:t> </w:t>
      </w:r>
      <w:r>
        <w:rPr/>
        <w:t>that</w:t>
      </w:r>
      <w:r>
        <w:rPr>
          <w:spacing w:val="40"/>
        </w:rPr>
        <w:t> </w:t>
      </w:r>
      <w:r>
        <w:rPr/>
        <w:t>sustains </w:t>
      </w:r>
      <w:r>
        <w:rPr>
          <w:spacing w:val="-2"/>
        </w:rPr>
        <w:t>power.</w:t>
      </w:r>
    </w:p>
    <w:p>
      <w:pPr>
        <w:pStyle w:val="ListParagraph"/>
        <w:numPr>
          <w:ilvl w:val="2"/>
          <w:numId w:val="87"/>
        </w:numPr>
        <w:tabs>
          <w:tab w:pos="2159" w:val="left" w:leader="none"/>
        </w:tabs>
        <w:spacing w:line="240" w:lineRule="auto" w:before="67" w:after="0"/>
        <w:ind w:left="2159" w:right="0" w:hanging="239"/>
        <w:jc w:val="left"/>
        <w:rPr>
          <w:sz w:val="20"/>
        </w:rPr>
      </w:pPr>
      <w:r>
        <w:rPr>
          <w:sz w:val="20"/>
        </w:rPr>
        <w:t>Divine</w:t>
      </w:r>
      <w:r>
        <w:rPr>
          <w:spacing w:val="29"/>
          <w:sz w:val="20"/>
        </w:rPr>
        <w:t> </w:t>
      </w:r>
      <w:r>
        <w:rPr>
          <w:sz w:val="20"/>
        </w:rPr>
        <w:t>kingship</w:t>
      </w:r>
      <w:r>
        <w:rPr>
          <w:spacing w:val="35"/>
          <w:sz w:val="20"/>
        </w:rPr>
        <w:t> </w:t>
      </w:r>
      <w:r>
        <w:rPr>
          <w:sz w:val="20"/>
        </w:rPr>
        <w:t>appears</w:t>
      </w:r>
      <w:r>
        <w:rPr>
          <w:spacing w:val="29"/>
          <w:sz w:val="20"/>
        </w:rPr>
        <w:t> </w:t>
      </w:r>
      <w:r>
        <w:rPr>
          <w:sz w:val="20"/>
        </w:rPr>
        <w:t>natural</w:t>
      </w:r>
      <w:r>
        <w:rPr>
          <w:spacing w:val="29"/>
          <w:sz w:val="20"/>
        </w:rPr>
        <w:t> </w:t>
      </w:r>
      <w:r>
        <w:rPr>
          <w:sz w:val="20"/>
        </w:rPr>
        <w:t>but</w:t>
      </w:r>
      <w:r>
        <w:rPr>
          <w:spacing w:val="33"/>
          <w:sz w:val="20"/>
        </w:rPr>
        <w:t> </w:t>
      </w:r>
      <w:r>
        <w:rPr>
          <w:sz w:val="20"/>
        </w:rPr>
        <w:t>is</w:t>
      </w:r>
      <w:r>
        <w:rPr>
          <w:spacing w:val="30"/>
          <w:sz w:val="20"/>
        </w:rPr>
        <w:t> </w:t>
      </w:r>
      <w:r>
        <w:rPr>
          <w:spacing w:val="-2"/>
          <w:sz w:val="20"/>
        </w:rPr>
        <w:t>constructed</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Loyalty</w:t>
      </w:r>
      <w:r>
        <w:rPr>
          <w:spacing w:val="22"/>
          <w:sz w:val="20"/>
        </w:rPr>
        <w:t> </w:t>
      </w:r>
      <w:r>
        <w:rPr>
          <w:sz w:val="20"/>
        </w:rPr>
        <w:t>and</w:t>
      </w:r>
      <w:r>
        <w:rPr>
          <w:spacing w:val="24"/>
          <w:sz w:val="20"/>
        </w:rPr>
        <w:t> </w:t>
      </w:r>
      <w:r>
        <w:rPr>
          <w:sz w:val="20"/>
        </w:rPr>
        <w:t>morality</w:t>
      </w:r>
      <w:r>
        <w:rPr>
          <w:spacing w:val="22"/>
          <w:sz w:val="20"/>
        </w:rPr>
        <w:t> </w:t>
      </w:r>
      <w:r>
        <w:rPr>
          <w:sz w:val="20"/>
        </w:rPr>
        <w:t>are</w:t>
      </w:r>
      <w:r>
        <w:rPr>
          <w:spacing w:val="24"/>
          <w:sz w:val="20"/>
        </w:rPr>
        <w:t> </w:t>
      </w:r>
      <w:r>
        <w:rPr>
          <w:sz w:val="20"/>
        </w:rPr>
        <w:t>enforced</w:t>
      </w:r>
      <w:r>
        <w:rPr>
          <w:spacing w:val="25"/>
          <w:sz w:val="20"/>
        </w:rPr>
        <w:t> </w:t>
      </w:r>
      <w:r>
        <w:rPr>
          <w:sz w:val="20"/>
        </w:rPr>
        <w:t>through</w:t>
      </w:r>
      <w:r>
        <w:rPr>
          <w:spacing w:val="20"/>
          <w:sz w:val="20"/>
        </w:rPr>
        <w:t> </w:t>
      </w:r>
      <w:r>
        <w:rPr>
          <w:sz w:val="20"/>
        </w:rPr>
        <w:t>belief</w:t>
      </w:r>
      <w:r>
        <w:rPr>
          <w:spacing w:val="21"/>
          <w:sz w:val="20"/>
        </w:rPr>
        <w:t> </w:t>
      </w:r>
      <w:r>
        <w:rPr>
          <w:spacing w:val="-2"/>
          <w:sz w:val="20"/>
        </w:rPr>
        <w:t>systems</w:t>
      </w:r>
    </w:p>
    <w:p>
      <w:pPr>
        <w:pStyle w:val="ListParagraph"/>
        <w:numPr>
          <w:ilvl w:val="2"/>
          <w:numId w:val="87"/>
        </w:numPr>
        <w:tabs>
          <w:tab w:pos="2159" w:val="left" w:leader="none"/>
        </w:tabs>
        <w:spacing w:line="240" w:lineRule="auto" w:before="79" w:after="0"/>
        <w:ind w:left="2159" w:right="0" w:hanging="239"/>
        <w:jc w:val="left"/>
        <w:rPr>
          <w:sz w:val="20"/>
        </w:rPr>
      </w:pPr>
      <w:r>
        <w:rPr>
          <w:sz w:val="20"/>
        </w:rPr>
        <w:t>Lady</w:t>
      </w:r>
      <w:r>
        <w:rPr>
          <w:spacing w:val="28"/>
          <w:sz w:val="20"/>
        </w:rPr>
        <w:t> </w:t>
      </w:r>
      <w:r>
        <w:rPr>
          <w:sz w:val="20"/>
        </w:rPr>
        <w:t>Macbeth</w:t>
      </w:r>
      <w:r>
        <w:rPr>
          <w:spacing w:val="28"/>
          <w:sz w:val="20"/>
        </w:rPr>
        <w:t> </w:t>
      </w:r>
      <w:r>
        <w:rPr>
          <w:sz w:val="20"/>
        </w:rPr>
        <w:t>exposes</w:t>
      </w:r>
      <w:r>
        <w:rPr>
          <w:spacing w:val="31"/>
          <w:sz w:val="20"/>
        </w:rPr>
        <w:t> </w:t>
      </w:r>
      <w:r>
        <w:rPr>
          <w:sz w:val="20"/>
        </w:rPr>
        <w:t>these</w:t>
      </w:r>
      <w:r>
        <w:rPr>
          <w:spacing w:val="28"/>
          <w:sz w:val="20"/>
        </w:rPr>
        <w:t> </w:t>
      </w:r>
      <w:r>
        <w:rPr>
          <w:sz w:val="20"/>
        </w:rPr>
        <w:t>as</w:t>
      </w:r>
      <w:r>
        <w:rPr>
          <w:spacing w:val="30"/>
          <w:sz w:val="20"/>
        </w:rPr>
        <w:t> </w:t>
      </w:r>
      <w:r>
        <w:rPr>
          <w:spacing w:val="-2"/>
          <w:sz w:val="20"/>
        </w:rPr>
        <w:t>fragile</w:t>
      </w:r>
    </w:p>
    <w:p>
      <w:pPr>
        <w:pStyle w:val="Heading6"/>
      </w:pPr>
      <w:r>
        <w:rPr>
          <w:spacing w:val="-2"/>
        </w:rPr>
        <w:t>However:</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She</w:t>
      </w:r>
      <w:r>
        <w:rPr>
          <w:spacing w:val="22"/>
          <w:sz w:val="20"/>
        </w:rPr>
        <w:t> </w:t>
      </w:r>
      <w:r>
        <w:rPr>
          <w:sz w:val="20"/>
        </w:rPr>
        <w:t>remains</w:t>
      </w:r>
      <w:r>
        <w:rPr>
          <w:spacing w:val="22"/>
          <w:sz w:val="20"/>
        </w:rPr>
        <w:t> </w:t>
      </w:r>
      <w:r>
        <w:rPr>
          <w:sz w:val="20"/>
        </w:rPr>
        <w:t>influenced</w:t>
      </w:r>
      <w:r>
        <w:rPr>
          <w:spacing w:val="23"/>
          <w:sz w:val="20"/>
        </w:rPr>
        <w:t> </w:t>
      </w:r>
      <w:r>
        <w:rPr>
          <w:sz w:val="20"/>
        </w:rPr>
        <w:t>by</w:t>
      </w:r>
      <w:r>
        <w:rPr>
          <w:spacing w:val="18"/>
          <w:sz w:val="20"/>
        </w:rPr>
        <w:t> </w:t>
      </w:r>
      <w:r>
        <w:rPr>
          <w:sz w:val="20"/>
        </w:rPr>
        <w:t>the</w:t>
      </w:r>
      <w:r>
        <w:rPr>
          <w:spacing w:val="25"/>
          <w:sz w:val="20"/>
        </w:rPr>
        <w:t> </w:t>
      </w:r>
      <w:r>
        <w:rPr>
          <w:sz w:val="20"/>
        </w:rPr>
        <w:t>same</w:t>
      </w:r>
      <w:r>
        <w:rPr>
          <w:spacing w:val="22"/>
          <w:sz w:val="20"/>
        </w:rPr>
        <w:t> </w:t>
      </w:r>
      <w:r>
        <w:rPr>
          <w:sz w:val="20"/>
        </w:rPr>
        <w:t>ideology</w:t>
      </w:r>
      <w:r>
        <w:rPr>
          <w:spacing w:val="20"/>
          <w:sz w:val="20"/>
        </w:rPr>
        <w:t> </w:t>
      </w:r>
      <w:r>
        <w:rPr>
          <w:sz w:val="20"/>
        </w:rPr>
        <w:t>she</w:t>
      </w:r>
      <w:r>
        <w:rPr>
          <w:spacing w:val="23"/>
          <w:sz w:val="20"/>
        </w:rPr>
        <w:t> </w:t>
      </w:r>
      <w:r>
        <w:rPr>
          <w:spacing w:val="-2"/>
          <w:sz w:val="20"/>
        </w:rPr>
        <w:t>challenges</w:t>
      </w:r>
    </w:p>
    <w:p>
      <w:pPr>
        <w:pStyle w:val="ListParagraph"/>
        <w:numPr>
          <w:ilvl w:val="2"/>
          <w:numId w:val="87"/>
        </w:numPr>
        <w:tabs>
          <w:tab w:pos="2159" w:val="left" w:leader="none"/>
        </w:tabs>
        <w:spacing w:line="240" w:lineRule="auto" w:before="78" w:after="0"/>
        <w:ind w:left="2159" w:right="0" w:hanging="239"/>
        <w:jc w:val="left"/>
        <w:rPr>
          <w:sz w:val="20"/>
        </w:rPr>
      </w:pPr>
      <w:r>
        <w:rPr>
          <w:sz w:val="20"/>
        </w:rPr>
        <w:t>Her</w:t>
      </w:r>
      <w:r>
        <w:rPr>
          <w:spacing w:val="8"/>
          <w:sz w:val="20"/>
        </w:rPr>
        <w:t> </w:t>
      </w:r>
      <w:r>
        <w:rPr>
          <w:sz w:val="20"/>
        </w:rPr>
        <w:t>guilt</w:t>
      </w:r>
      <w:r>
        <w:rPr>
          <w:spacing w:val="8"/>
          <w:sz w:val="20"/>
        </w:rPr>
        <w:t> </w:t>
      </w:r>
      <w:r>
        <w:rPr>
          <w:sz w:val="20"/>
        </w:rPr>
        <w:t>reflects</w:t>
      </w:r>
      <w:r>
        <w:rPr>
          <w:spacing w:val="10"/>
          <w:sz w:val="20"/>
        </w:rPr>
        <w:t> </w:t>
      </w:r>
      <w:r>
        <w:rPr>
          <w:sz w:val="20"/>
        </w:rPr>
        <w:t>internalized</w:t>
      </w:r>
      <w:r>
        <w:rPr>
          <w:spacing w:val="8"/>
          <w:sz w:val="20"/>
        </w:rPr>
        <w:t> </w:t>
      </w:r>
      <w:r>
        <w:rPr>
          <w:sz w:val="20"/>
        </w:rPr>
        <w:t>moral</w:t>
      </w:r>
      <w:r>
        <w:rPr>
          <w:spacing w:val="7"/>
          <w:sz w:val="20"/>
        </w:rPr>
        <w:t> </w:t>
      </w:r>
      <w:r>
        <w:rPr>
          <w:spacing w:val="-4"/>
          <w:sz w:val="20"/>
        </w:rPr>
        <w:t>codes</w:t>
      </w:r>
    </w:p>
    <w:p>
      <w:pPr>
        <w:pStyle w:val="ListParagraph"/>
        <w:spacing w:after="0" w:line="240" w:lineRule="auto"/>
        <w:jc w:val="left"/>
        <w:rPr>
          <w:sz w:val="20"/>
        </w:rPr>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96576">
                <wp:simplePos x="0" y="0"/>
                <wp:positionH relativeFrom="page">
                  <wp:posOffset>2065020</wp:posOffset>
                </wp:positionH>
                <wp:positionV relativeFrom="paragraph">
                  <wp:posOffset>795020</wp:posOffset>
                </wp:positionV>
                <wp:extent cx="3657600" cy="12700"/>
                <wp:effectExtent l="0" t="0" r="0" b="0"/>
                <wp:wrapTopAndBottom/>
                <wp:docPr id="822" name="Graphic 822"/>
                <wp:cNvGraphicFramePr>
                  <a:graphicFrameLocks/>
                </wp:cNvGraphicFramePr>
                <a:graphic>
                  <a:graphicData uri="http://schemas.microsoft.com/office/word/2010/wordprocessingShape">
                    <wps:wsp>
                      <wps:cNvPr id="822" name="Graphic 82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19904;mso-wrap-distance-left:0;mso-wrap-distance-right:0" id="docshape814"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423</w:t>
      </w:r>
    </w:p>
    <w:p>
      <w:pPr>
        <w:pStyle w:val="BodyText"/>
        <w:spacing w:line="249" w:lineRule="auto" w:before="192"/>
        <w:ind w:right="1437" w:firstLine="432"/>
      </w:pPr>
      <w:r>
        <w:rPr/>
        <w:t>This</w:t>
      </w:r>
      <w:r>
        <w:rPr>
          <w:spacing w:val="22"/>
        </w:rPr>
        <w:t> </w:t>
      </w:r>
      <w:r>
        <w:rPr/>
        <w:t>duality</w:t>
      </w:r>
      <w:r>
        <w:rPr>
          <w:spacing w:val="22"/>
        </w:rPr>
        <w:t> </w:t>
      </w:r>
      <w:r>
        <w:rPr/>
        <w:t>illustrates</w:t>
      </w:r>
      <w:r>
        <w:rPr>
          <w:spacing w:val="20"/>
        </w:rPr>
        <w:t> </w:t>
      </w:r>
      <w:r>
        <w:rPr/>
        <w:t>how:</w:t>
      </w:r>
      <w:r>
        <w:rPr>
          <w:spacing w:val="22"/>
        </w:rPr>
        <w:t> </w:t>
      </w:r>
      <w:r>
        <w:rPr/>
        <w:t>Individuals</w:t>
      </w:r>
      <w:r>
        <w:rPr>
          <w:spacing w:val="20"/>
        </w:rPr>
        <w:t> </w:t>
      </w:r>
      <w:r>
        <w:rPr/>
        <w:t>are</w:t>
      </w:r>
      <w:r>
        <w:rPr>
          <w:spacing w:val="25"/>
        </w:rPr>
        <w:t> </w:t>
      </w:r>
      <w:r>
        <w:rPr/>
        <w:t>both</w:t>
      </w:r>
      <w:r>
        <w:rPr>
          <w:spacing w:val="20"/>
        </w:rPr>
        <w:t> </w:t>
      </w:r>
      <w:r>
        <w:rPr/>
        <w:t>shaped</w:t>
      </w:r>
      <w:r>
        <w:rPr>
          <w:spacing w:val="26"/>
        </w:rPr>
        <w:t> </w:t>
      </w:r>
      <w:r>
        <w:rPr/>
        <w:t>by and resistant</w:t>
      </w:r>
      <w:r>
        <w:rPr>
          <w:spacing w:val="40"/>
        </w:rPr>
        <w:t> </w:t>
      </w:r>
      <w:r>
        <w:rPr/>
        <w:t>to</w:t>
      </w:r>
      <w:r>
        <w:rPr>
          <w:spacing w:val="40"/>
        </w:rPr>
        <w:t> </w:t>
      </w:r>
      <w:r>
        <w:rPr/>
        <w:t>ideology.</w:t>
      </w:r>
    </w:p>
    <w:p>
      <w:pPr>
        <w:pStyle w:val="Heading5"/>
        <w:numPr>
          <w:ilvl w:val="1"/>
          <w:numId w:val="87"/>
        </w:numPr>
        <w:tabs>
          <w:tab w:pos="1754" w:val="left" w:leader="none"/>
        </w:tabs>
        <w:spacing w:line="240" w:lineRule="auto" w:before="109" w:after="0"/>
        <w:ind w:left="1754" w:right="0" w:hanging="314"/>
        <w:jc w:val="left"/>
      </w:pPr>
      <w:r>
        <w:rPr>
          <w:w w:val="105"/>
        </w:rPr>
        <w:t>Revenge</w:t>
      </w:r>
      <w:r>
        <w:rPr>
          <w:spacing w:val="63"/>
          <w:w w:val="150"/>
        </w:rPr>
        <w:t> </w:t>
      </w:r>
      <w:r>
        <w:rPr>
          <w:w w:val="105"/>
        </w:rPr>
        <w:t>Tragedy</w:t>
      </w:r>
      <w:r>
        <w:rPr>
          <w:spacing w:val="67"/>
          <w:w w:val="150"/>
        </w:rPr>
        <w:t> </w:t>
      </w:r>
      <w:r>
        <w:rPr>
          <w:w w:val="105"/>
        </w:rPr>
        <w:t>and</w:t>
      </w:r>
      <w:r>
        <w:rPr>
          <w:spacing w:val="68"/>
          <w:w w:val="150"/>
        </w:rPr>
        <w:t> </w:t>
      </w:r>
      <w:r>
        <w:rPr>
          <w:w w:val="105"/>
        </w:rPr>
        <w:t>Supernatural</w:t>
      </w:r>
      <w:r>
        <w:rPr>
          <w:spacing w:val="64"/>
          <w:w w:val="150"/>
        </w:rPr>
        <w:t> </w:t>
      </w:r>
      <w:r>
        <w:rPr>
          <w:spacing w:val="-2"/>
          <w:w w:val="105"/>
        </w:rPr>
        <w:t>Dimensions</w:t>
      </w:r>
    </w:p>
    <w:p>
      <w:pPr>
        <w:pStyle w:val="BodyText"/>
        <w:spacing w:line="249" w:lineRule="auto" w:before="72"/>
        <w:ind w:right="1437" w:firstLine="432"/>
      </w:pPr>
      <w:r>
        <w:rPr/>
        <w:t>Your</w:t>
      </w:r>
      <w:r>
        <w:rPr>
          <w:spacing w:val="-13"/>
        </w:rPr>
        <w:t> </w:t>
      </w:r>
      <w:r>
        <w:rPr/>
        <w:t>reference</w:t>
      </w:r>
      <w:r>
        <w:rPr>
          <w:spacing w:val="-12"/>
        </w:rPr>
        <w:t> </w:t>
      </w:r>
      <w:r>
        <w:rPr/>
        <w:t>to</w:t>
      </w:r>
      <w:r>
        <w:rPr>
          <w:spacing w:val="-13"/>
        </w:rPr>
        <w:t> </w:t>
      </w:r>
      <w:r>
        <w:rPr/>
        <w:t>revenge</w:t>
      </w:r>
      <w:r>
        <w:rPr>
          <w:spacing w:val="-12"/>
        </w:rPr>
        <w:t> </w:t>
      </w:r>
      <w:r>
        <w:rPr/>
        <w:t>tragedy</w:t>
      </w:r>
      <w:r>
        <w:rPr>
          <w:spacing w:val="-13"/>
        </w:rPr>
        <w:t> </w:t>
      </w:r>
      <w:r>
        <w:rPr/>
        <w:t>and</w:t>
      </w:r>
      <w:r>
        <w:rPr>
          <w:spacing w:val="-12"/>
        </w:rPr>
        <w:t> </w:t>
      </w:r>
      <w:r>
        <w:rPr/>
        <w:t>supernatural</w:t>
      </w:r>
      <w:r>
        <w:rPr>
          <w:spacing w:val="-13"/>
        </w:rPr>
        <w:t> </w:t>
      </w:r>
      <w:r>
        <w:rPr/>
        <w:t>forces</w:t>
      </w:r>
      <w:r>
        <w:rPr>
          <w:spacing w:val="-12"/>
        </w:rPr>
        <w:t> </w:t>
      </w:r>
      <w:r>
        <w:rPr/>
        <w:t>connects to</w:t>
      </w:r>
      <w:r>
        <w:rPr>
          <w:spacing w:val="40"/>
        </w:rPr>
        <w:t> </w:t>
      </w:r>
      <w:r>
        <w:rPr/>
        <w:t>the</w:t>
      </w:r>
      <w:r>
        <w:rPr>
          <w:spacing w:val="40"/>
        </w:rPr>
        <w:t> </w:t>
      </w:r>
      <w:r>
        <w:rPr/>
        <w:t>darker elements of</w:t>
      </w:r>
      <w:r>
        <w:rPr>
          <w:spacing w:val="40"/>
        </w:rPr>
        <w:t> </w:t>
      </w:r>
      <w:r>
        <w:rPr/>
        <w:t>the play.</w:t>
      </w:r>
    </w:p>
    <w:p>
      <w:pPr>
        <w:pStyle w:val="Heading6"/>
        <w:spacing w:before="59"/>
      </w:pPr>
      <w:r>
        <w:rPr>
          <w:spacing w:val="-2"/>
        </w:rPr>
        <w:t>Lady</w:t>
      </w:r>
      <w:r>
        <w:rPr>
          <w:spacing w:val="-5"/>
        </w:rPr>
        <w:t> </w:t>
      </w:r>
      <w:r>
        <w:rPr>
          <w:spacing w:val="-2"/>
        </w:rPr>
        <w:t>Macbeth’s</w:t>
      </w:r>
      <w:r>
        <w:rPr>
          <w:spacing w:val="-10"/>
        </w:rPr>
        <w:t> </w:t>
      </w:r>
      <w:r>
        <w:rPr>
          <w:spacing w:val="-2"/>
        </w:rPr>
        <w:t>invocation</w:t>
      </w:r>
      <w:r>
        <w:rPr>
          <w:spacing w:val="-11"/>
        </w:rPr>
        <w:t> </w:t>
      </w:r>
      <w:r>
        <w:rPr>
          <w:spacing w:val="-2"/>
        </w:rPr>
        <w:t>of</w:t>
      </w:r>
      <w:r>
        <w:rPr>
          <w:spacing w:val="-7"/>
        </w:rPr>
        <w:t> </w:t>
      </w:r>
      <w:r>
        <w:rPr>
          <w:spacing w:val="-2"/>
        </w:rPr>
        <w:t>spirits</w:t>
      </w:r>
      <w:r>
        <w:rPr>
          <w:spacing w:val="-10"/>
        </w:rPr>
        <w:t> </w:t>
      </w:r>
      <w:r>
        <w:rPr>
          <w:spacing w:val="-2"/>
        </w:rPr>
        <w:t>symbolizes:</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A</w:t>
      </w:r>
      <w:r>
        <w:rPr>
          <w:spacing w:val="8"/>
          <w:sz w:val="20"/>
        </w:rPr>
        <w:t> </w:t>
      </w:r>
      <w:r>
        <w:rPr>
          <w:sz w:val="20"/>
        </w:rPr>
        <w:t>rejection</w:t>
      </w:r>
      <w:r>
        <w:rPr>
          <w:spacing w:val="11"/>
          <w:sz w:val="20"/>
        </w:rPr>
        <w:t> </w:t>
      </w:r>
      <w:r>
        <w:rPr>
          <w:sz w:val="20"/>
        </w:rPr>
        <w:t>of</w:t>
      </w:r>
      <w:r>
        <w:rPr>
          <w:spacing w:val="9"/>
          <w:sz w:val="20"/>
        </w:rPr>
        <w:t> </w:t>
      </w:r>
      <w:r>
        <w:rPr>
          <w:sz w:val="20"/>
        </w:rPr>
        <w:t>human</w:t>
      </w:r>
      <w:r>
        <w:rPr>
          <w:spacing w:val="11"/>
          <w:sz w:val="20"/>
        </w:rPr>
        <w:t> </w:t>
      </w:r>
      <w:r>
        <w:rPr>
          <w:spacing w:val="-2"/>
          <w:sz w:val="20"/>
        </w:rPr>
        <w:t>limitations</w:t>
      </w:r>
    </w:p>
    <w:p>
      <w:pPr>
        <w:pStyle w:val="ListParagraph"/>
        <w:numPr>
          <w:ilvl w:val="2"/>
          <w:numId w:val="87"/>
        </w:numPr>
        <w:tabs>
          <w:tab w:pos="2159" w:val="left" w:leader="none"/>
        </w:tabs>
        <w:spacing w:line="240" w:lineRule="auto" w:before="79" w:after="0"/>
        <w:ind w:left="2159" w:right="0" w:hanging="239"/>
        <w:jc w:val="left"/>
        <w:rPr>
          <w:sz w:val="20"/>
        </w:rPr>
      </w:pPr>
      <w:r>
        <w:rPr>
          <w:sz w:val="20"/>
        </w:rPr>
        <w:t>A</w:t>
      </w:r>
      <w:r>
        <w:rPr>
          <w:spacing w:val="21"/>
          <w:sz w:val="20"/>
        </w:rPr>
        <w:t> </w:t>
      </w:r>
      <w:r>
        <w:rPr>
          <w:sz w:val="20"/>
        </w:rPr>
        <w:t>willingness</w:t>
      </w:r>
      <w:r>
        <w:rPr>
          <w:spacing w:val="21"/>
          <w:sz w:val="20"/>
        </w:rPr>
        <w:t> </w:t>
      </w:r>
      <w:r>
        <w:rPr>
          <w:sz w:val="20"/>
        </w:rPr>
        <w:t>to</w:t>
      </w:r>
      <w:r>
        <w:rPr>
          <w:spacing w:val="23"/>
          <w:sz w:val="20"/>
        </w:rPr>
        <w:t> </w:t>
      </w:r>
      <w:r>
        <w:rPr>
          <w:sz w:val="20"/>
        </w:rPr>
        <w:t>engage</w:t>
      </w:r>
      <w:r>
        <w:rPr>
          <w:spacing w:val="23"/>
          <w:sz w:val="20"/>
        </w:rPr>
        <w:t> </w:t>
      </w:r>
      <w:r>
        <w:rPr>
          <w:sz w:val="20"/>
        </w:rPr>
        <w:t>with</w:t>
      </w:r>
      <w:r>
        <w:rPr>
          <w:spacing w:val="23"/>
          <w:sz w:val="20"/>
        </w:rPr>
        <w:t> </w:t>
      </w:r>
      <w:r>
        <w:rPr>
          <w:sz w:val="20"/>
        </w:rPr>
        <w:t>forces</w:t>
      </w:r>
      <w:r>
        <w:rPr>
          <w:spacing w:val="19"/>
          <w:sz w:val="20"/>
        </w:rPr>
        <w:t> </w:t>
      </w:r>
      <w:r>
        <w:rPr>
          <w:sz w:val="20"/>
        </w:rPr>
        <w:t>beyond</w:t>
      </w:r>
      <w:r>
        <w:rPr>
          <w:spacing w:val="25"/>
          <w:sz w:val="20"/>
        </w:rPr>
        <w:t> </w:t>
      </w:r>
      <w:r>
        <w:rPr>
          <w:spacing w:val="-2"/>
          <w:sz w:val="20"/>
        </w:rPr>
        <w:t>morality</w:t>
      </w:r>
    </w:p>
    <w:p>
      <w:pPr>
        <w:pStyle w:val="ListParagraph"/>
        <w:numPr>
          <w:ilvl w:val="2"/>
          <w:numId w:val="87"/>
        </w:numPr>
        <w:tabs>
          <w:tab w:pos="2159" w:val="left" w:leader="none"/>
        </w:tabs>
        <w:spacing w:line="240" w:lineRule="auto" w:before="78" w:after="0"/>
        <w:ind w:left="2159" w:right="0" w:hanging="239"/>
        <w:jc w:val="left"/>
        <w:rPr>
          <w:sz w:val="20"/>
        </w:rPr>
      </w:pPr>
      <w:r>
        <w:rPr>
          <w:sz w:val="20"/>
        </w:rPr>
        <w:t>A</w:t>
      </w:r>
      <w:r>
        <w:rPr>
          <w:spacing w:val="15"/>
          <w:sz w:val="20"/>
        </w:rPr>
        <w:t> </w:t>
      </w:r>
      <w:r>
        <w:rPr>
          <w:sz w:val="20"/>
        </w:rPr>
        <w:t>metaphor</w:t>
      </w:r>
      <w:r>
        <w:rPr>
          <w:spacing w:val="22"/>
          <w:sz w:val="20"/>
        </w:rPr>
        <w:t> </w:t>
      </w:r>
      <w:r>
        <w:rPr>
          <w:sz w:val="20"/>
        </w:rPr>
        <w:t>for</w:t>
      </w:r>
      <w:r>
        <w:rPr>
          <w:spacing w:val="19"/>
          <w:sz w:val="20"/>
        </w:rPr>
        <w:t> </w:t>
      </w:r>
      <w:r>
        <w:rPr>
          <w:sz w:val="20"/>
        </w:rPr>
        <w:t>internal</w:t>
      </w:r>
      <w:r>
        <w:rPr>
          <w:spacing w:val="19"/>
          <w:sz w:val="20"/>
        </w:rPr>
        <w:t> </w:t>
      </w:r>
      <w:r>
        <w:rPr>
          <w:spacing w:val="-2"/>
          <w:sz w:val="20"/>
        </w:rPr>
        <w:t>darkness</w:t>
      </w:r>
    </w:p>
    <w:p>
      <w:pPr>
        <w:pStyle w:val="Heading6"/>
      </w:pPr>
      <w:r>
        <w:rPr/>
        <w:t>Critically,</w:t>
      </w:r>
      <w:r>
        <w:rPr>
          <w:spacing w:val="-7"/>
        </w:rPr>
        <w:t> </w:t>
      </w:r>
      <w:r>
        <w:rPr/>
        <w:t>the</w:t>
      </w:r>
      <w:r>
        <w:rPr>
          <w:spacing w:val="-7"/>
        </w:rPr>
        <w:t> </w:t>
      </w:r>
      <w:r>
        <w:rPr/>
        <w:t>supernatural</w:t>
      </w:r>
      <w:r>
        <w:rPr>
          <w:spacing w:val="-7"/>
        </w:rPr>
        <w:t> </w:t>
      </w:r>
      <w:r>
        <w:rPr/>
        <w:t>can</w:t>
      </w:r>
      <w:r>
        <w:rPr>
          <w:spacing w:val="-6"/>
        </w:rPr>
        <w:t> </w:t>
      </w:r>
      <w:r>
        <w:rPr/>
        <w:t>be</w:t>
      </w:r>
      <w:r>
        <w:rPr>
          <w:spacing w:val="-7"/>
        </w:rPr>
        <w:t> </w:t>
      </w:r>
      <w:r>
        <w:rPr/>
        <w:t>read</w:t>
      </w:r>
      <w:r>
        <w:rPr>
          <w:spacing w:val="-7"/>
        </w:rPr>
        <w:t> </w:t>
      </w:r>
      <w:r>
        <w:rPr>
          <w:spacing w:val="-5"/>
        </w:rPr>
        <w:t>as:</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A</w:t>
      </w:r>
      <w:r>
        <w:rPr>
          <w:spacing w:val="20"/>
          <w:sz w:val="20"/>
        </w:rPr>
        <w:t> </w:t>
      </w:r>
      <w:r>
        <w:rPr>
          <w:sz w:val="20"/>
        </w:rPr>
        <w:t>projection</w:t>
      </w:r>
      <w:r>
        <w:rPr>
          <w:spacing w:val="21"/>
          <w:sz w:val="20"/>
        </w:rPr>
        <w:t> </w:t>
      </w:r>
      <w:r>
        <w:rPr>
          <w:sz w:val="20"/>
        </w:rPr>
        <w:t>of</w:t>
      </w:r>
      <w:r>
        <w:rPr>
          <w:spacing w:val="19"/>
          <w:sz w:val="20"/>
        </w:rPr>
        <w:t> </w:t>
      </w:r>
      <w:r>
        <w:rPr>
          <w:sz w:val="20"/>
        </w:rPr>
        <w:t>psychological</w:t>
      </w:r>
      <w:r>
        <w:rPr>
          <w:spacing w:val="24"/>
          <w:sz w:val="20"/>
        </w:rPr>
        <w:t> </w:t>
      </w:r>
      <w:r>
        <w:rPr>
          <w:spacing w:val="-2"/>
          <w:sz w:val="20"/>
        </w:rPr>
        <w:t>desire</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A</w:t>
      </w:r>
      <w:r>
        <w:rPr>
          <w:spacing w:val="8"/>
          <w:sz w:val="20"/>
        </w:rPr>
        <w:t> </w:t>
      </w:r>
      <w:r>
        <w:rPr>
          <w:sz w:val="20"/>
        </w:rPr>
        <w:t>narrative</w:t>
      </w:r>
      <w:r>
        <w:rPr>
          <w:spacing w:val="11"/>
          <w:sz w:val="20"/>
        </w:rPr>
        <w:t> </w:t>
      </w:r>
      <w:r>
        <w:rPr>
          <w:sz w:val="20"/>
        </w:rPr>
        <w:t>device</w:t>
      </w:r>
      <w:r>
        <w:rPr>
          <w:spacing w:val="9"/>
          <w:sz w:val="20"/>
        </w:rPr>
        <w:t> </w:t>
      </w:r>
      <w:r>
        <w:rPr>
          <w:sz w:val="20"/>
        </w:rPr>
        <w:t>to</w:t>
      </w:r>
      <w:r>
        <w:rPr>
          <w:spacing w:val="14"/>
          <w:sz w:val="20"/>
        </w:rPr>
        <w:t> </w:t>
      </w:r>
      <w:r>
        <w:rPr>
          <w:sz w:val="20"/>
        </w:rPr>
        <w:t>externalize</w:t>
      </w:r>
      <w:r>
        <w:rPr>
          <w:spacing w:val="9"/>
          <w:sz w:val="20"/>
        </w:rPr>
        <w:t> </w:t>
      </w:r>
      <w:r>
        <w:rPr>
          <w:sz w:val="20"/>
        </w:rPr>
        <w:t>inner</w:t>
      </w:r>
      <w:r>
        <w:rPr>
          <w:spacing w:val="11"/>
          <w:sz w:val="20"/>
        </w:rPr>
        <w:t> </w:t>
      </w:r>
      <w:r>
        <w:rPr>
          <w:spacing w:val="-2"/>
          <w:sz w:val="20"/>
        </w:rPr>
        <w:t>conflict</w:t>
      </w:r>
    </w:p>
    <w:p>
      <w:pPr>
        <w:pStyle w:val="Heading5"/>
        <w:numPr>
          <w:ilvl w:val="1"/>
          <w:numId w:val="87"/>
        </w:numPr>
        <w:tabs>
          <w:tab w:pos="1745" w:val="left" w:leader="none"/>
        </w:tabs>
        <w:spacing w:line="240" w:lineRule="auto" w:before="120" w:after="0"/>
        <w:ind w:left="1745" w:right="0" w:hanging="305"/>
        <w:jc w:val="left"/>
      </w:pPr>
      <w:r>
        <w:rPr/>
        <w:t>Emancipation</w:t>
      </w:r>
      <w:r>
        <w:rPr>
          <w:spacing w:val="29"/>
        </w:rPr>
        <w:t>  </w:t>
      </w:r>
      <w:r>
        <w:rPr/>
        <w:t>and</w:t>
      </w:r>
      <w:r>
        <w:rPr>
          <w:spacing w:val="29"/>
        </w:rPr>
        <w:t>  </w:t>
      </w:r>
      <w:r>
        <w:rPr/>
        <w:t>Its</w:t>
      </w:r>
      <w:r>
        <w:rPr>
          <w:spacing w:val="29"/>
        </w:rPr>
        <w:t>  </w:t>
      </w:r>
      <w:r>
        <w:rPr>
          <w:spacing w:val="-2"/>
        </w:rPr>
        <w:t>Limits</w:t>
      </w:r>
    </w:p>
    <w:p>
      <w:pPr>
        <w:pStyle w:val="BodyText"/>
        <w:spacing w:before="71"/>
        <w:ind w:left="1872"/>
      </w:pPr>
      <w:r>
        <w:rPr/>
        <w:t>The</w:t>
      </w:r>
      <w:r>
        <w:rPr>
          <w:spacing w:val="18"/>
        </w:rPr>
        <w:t> </w:t>
      </w:r>
      <w:r>
        <w:rPr/>
        <w:t>idea</w:t>
      </w:r>
      <w:r>
        <w:rPr>
          <w:spacing w:val="20"/>
        </w:rPr>
        <w:t> </w:t>
      </w:r>
      <w:r>
        <w:rPr/>
        <w:t>of</w:t>
      </w:r>
      <w:r>
        <w:rPr>
          <w:spacing w:val="16"/>
        </w:rPr>
        <w:t> </w:t>
      </w:r>
      <w:r>
        <w:rPr/>
        <w:t>emancipation</w:t>
      </w:r>
      <w:r>
        <w:rPr>
          <w:spacing w:val="16"/>
        </w:rPr>
        <w:t> </w:t>
      </w:r>
      <w:r>
        <w:rPr/>
        <w:t>is</w:t>
      </w:r>
      <w:r>
        <w:rPr>
          <w:spacing w:val="19"/>
        </w:rPr>
        <w:t> </w:t>
      </w:r>
      <w:r>
        <w:rPr/>
        <w:t>central</w:t>
      </w:r>
      <w:r>
        <w:rPr>
          <w:spacing w:val="17"/>
        </w:rPr>
        <w:t> </w:t>
      </w:r>
      <w:r>
        <w:rPr/>
        <w:t>to</w:t>
      </w:r>
      <w:r>
        <w:rPr>
          <w:spacing w:val="21"/>
        </w:rPr>
        <w:t> </w:t>
      </w:r>
      <w:r>
        <w:rPr/>
        <w:t>critical</w:t>
      </w:r>
      <w:r>
        <w:rPr>
          <w:spacing w:val="19"/>
        </w:rPr>
        <w:t> </w:t>
      </w:r>
      <w:r>
        <w:rPr>
          <w:spacing w:val="-2"/>
        </w:rPr>
        <w:t>theory.</w:t>
      </w:r>
    </w:p>
    <w:p>
      <w:pPr>
        <w:pStyle w:val="Heading6"/>
        <w:spacing w:before="68"/>
      </w:pPr>
      <w:r>
        <w:rPr>
          <w:spacing w:val="-2"/>
        </w:rPr>
        <w:t>Lady</w:t>
      </w:r>
      <w:r>
        <w:rPr>
          <w:spacing w:val="-9"/>
        </w:rPr>
        <w:t> </w:t>
      </w:r>
      <w:r>
        <w:rPr>
          <w:spacing w:val="-2"/>
        </w:rPr>
        <w:t>Macbeth</w:t>
      </w:r>
      <w:r>
        <w:rPr>
          <w:spacing w:val="-9"/>
        </w:rPr>
        <w:t> </w:t>
      </w:r>
      <w:r>
        <w:rPr>
          <w:spacing w:val="-2"/>
        </w:rPr>
        <w:t>seeks:</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Freedom</w:t>
      </w:r>
      <w:r>
        <w:rPr>
          <w:spacing w:val="19"/>
          <w:sz w:val="20"/>
        </w:rPr>
        <w:t> </w:t>
      </w:r>
      <w:r>
        <w:rPr>
          <w:sz w:val="20"/>
        </w:rPr>
        <w:t>from</w:t>
      </w:r>
      <w:r>
        <w:rPr>
          <w:spacing w:val="19"/>
          <w:sz w:val="20"/>
        </w:rPr>
        <w:t> </w:t>
      </w:r>
      <w:r>
        <w:rPr>
          <w:sz w:val="20"/>
        </w:rPr>
        <w:t>gender</w:t>
      </w:r>
      <w:r>
        <w:rPr>
          <w:spacing w:val="24"/>
          <w:sz w:val="20"/>
        </w:rPr>
        <w:t> </w:t>
      </w:r>
      <w:r>
        <w:rPr>
          <w:spacing w:val="-2"/>
          <w:sz w:val="20"/>
        </w:rPr>
        <w:t>constraints</w:t>
      </w:r>
    </w:p>
    <w:p>
      <w:pPr>
        <w:pStyle w:val="ListParagraph"/>
        <w:numPr>
          <w:ilvl w:val="2"/>
          <w:numId w:val="87"/>
        </w:numPr>
        <w:tabs>
          <w:tab w:pos="2159" w:val="left" w:leader="none"/>
        </w:tabs>
        <w:spacing w:line="240" w:lineRule="auto" w:before="79" w:after="0"/>
        <w:ind w:left="2159" w:right="0" w:hanging="239"/>
        <w:jc w:val="left"/>
        <w:rPr>
          <w:sz w:val="20"/>
        </w:rPr>
      </w:pPr>
      <w:r>
        <w:rPr>
          <w:sz w:val="20"/>
        </w:rPr>
        <w:t>Access</w:t>
      </w:r>
      <w:r>
        <w:rPr>
          <w:spacing w:val="24"/>
          <w:sz w:val="20"/>
        </w:rPr>
        <w:t> </w:t>
      </w:r>
      <w:r>
        <w:rPr>
          <w:sz w:val="20"/>
        </w:rPr>
        <w:t>to</w:t>
      </w:r>
      <w:r>
        <w:rPr>
          <w:spacing w:val="28"/>
          <w:sz w:val="20"/>
        </w:rPr>
        <w:t> </w:t>
      </w:r>
      <w:r>
        <w:rPr>
          <w:sz w:val="20"/>
        </w:rPr>
        <w:t>political</w:t>
      </w:r>
      <w:r>
        <w:rPr>
          <w:spacing w:val="27"/>
          <w:sz w:val="20"/>
        </w:rPr>
        <w:t> </w:t>
      </w:r>
      <w:r>
        <w:rPr>
          <w:spacing w:val="-4"/>
          <w:sz w:val="20"/>
        </w:rPr>
        <w:t>power</w:t>
      </w:r>
    </w:p>
    <w:p>
      <w:pPr>
        <w:pStyle w:val="ListParagraph"/>
        <w:numPr>
          <w:ilvl w:val="2"/>
          <w:numId w:val="87"/>
        </w:numPr>
        <w:tabs>
          <w:tab w:pos="2159" w:val="left" w:leader="none"/>
        </w:tabs>
        <w:spacing w:line="240" w:lineRule="auto" w:before="78" w:after="0"/>
        <w:ind w:left="2159" w:right="0" w:hanging="239"/>
        <w:jc w:val="left"/>
        <w:rPr>
          <w:sz w:val="20"/>
        </w:rPr>
      </w:pPr>
      <w:r>
        <w:rPr>
          <w:sz w:val="20"/>
        </w:rPr>
        <w:t>Control</w:t>
      </w:r>
      <w:r>
        <w:rPr>
          <w:spacing w:val="28"/>
          <w:sz w:val="20"/>
        </w:rPr>
        <w:t> </w:t>
      </w:r>
      <w:r>
        <w:rPr>
          <w:sz w:val="20"/>
        </w:rPr>
        <w:t>over</w:t>
      </w:r>
      <w:r>
        <w:rPr>
          <w:spacing w:val="27"/>
          <w:sz w:val="20"/>
        </w:rPr>
        <w:t> </w:t>
      </w:r>
      <w:r>
        <w:rPr>
          <w:sz w:val="20"/>
        </w:rPr>
        <w:t>her</w:t>
      </w:r>
      <w:r>
        <w:rPr>
          <w:spacing w:val="29"/>
          <w:sz w:val="20"/>
        </w:rPr>
        <w:t> </w:t>
      </w:r>
      <w:r>
        <w:rPr>
          <w:spacing w:val="-2"/>
          <w:sz w:val="20"/>
        </w:rPr>
        <w:t>destiny</w:t>
      </w:r>
    </w:p>
    <w:p>
      <w:pPr>
        <w:pStyle w:val="Heading6"/>
        <w:spacing w:before="72"/>
      </w:pPr>
      <w:r>
        <w:rPr/>
        <w:t>Yet</w:t>
      </w:r>
      <w:r>
        <w:rPr>
          <w:spacing w:val="-11"/>
        </w:rPr>
        <w:t> </w:t>
      </w:r>
      <w:r>
        <w:rPr/>
        <w:t>she</w:t>
      </w:r>
      <w:r>
        <w:rPr>
          <w:spacing w:val="-9"/>
        </w:rPr>
        <w:t> </w:t>
      </w:r>
      <w:r>
        <w:rPr>
          <w:spacing w:val="-2"/>
        </w:rPr>
        <w:t>achieves:</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Psychological</w:t>
      </w:r>
      <w:r>
        <w:rPr>
          <w:spacing w:val="20"/>
          <w:sz w:val="20"/>
        </w:rPr>
        <w:t> </w:t>
      </w:r>
      <w:r>
        <w:rPr>
          <w:spacing w:val="-2"/>
          <w:sz w:val="20"/>
        </w:rPr>
        <w:t>breakdown</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Moral</w:t>
      </w:r>
      <w:r>
        <w:rPr>
          <w:spacing w:val="10"/>
          <w:sz w:val="20"/>
        </w:rPr>
        <w:t> </w:t>
      </w:r>
      <w:r>
        <w:rPr>
          <w:spacing w:val="-2"/>
          <w:sz w:val="20"/>
        </w:rPr>
        <w:t>fragmentation</w:t>
      </w:r>
    </w:p>
    <w:p>
      <w:pPr>
        <w:pStyle w:val="ListParagraph"/>
        <w:numPr>
          <w:ilvl w:val="2"/>
          <w:numId w:val="87"/>
        </w:numPr>
        <w:tabs>
          <w:tab w:pos="2159" w:val="left" w:leader="none"/>
        </w:tabs>
        <w:spacing w:line="240" w:lineRule="auto" w:before="77" w:after="0"/>
        <w:ind w:left="2159" w:right="0" w:hanging="239"/>
        <w:jc w:val="left"/>
        <w:rPr>
          <w:sz w:val="20"/>
        </w:rPr>
      </w:pPr>
      <w:r>
        <w:rPr>
          <w:spacing w:val="-2"/>
          <w:sz w:val="20"/>
        </w:rPr>
        <w:t>Isolation</w:t>
      </w:r>
    </w:p>
    <w:p>
      <w:pPr>
        <w:pStyle w:val="BodyText"/>
        <w:spacing w:line="249" w:lineRule="auto" w:before="73"/>
        <w:ind w:right="1437" w:firstLine="432"/>
      </w:pPr>
      <w:r>
        <w:rPr>
          <w:spacing w:val="9"/>
        </w:rPr>
        <w:t>This</w:t>
      </w:r>
      <w:r>
        <w:rPr>
          <w:spacing w:val="80"/>
        </w:rPr>
        <w:t> </w:t>
      </w:r>
      <w:r>
        <w:rPr>
          <w:spacing w:val="10"/>
        </w:rPr>
        <w:t>suggests:</w:t>
      </w:r>
      <w:r>
        <w:rPr>
          <w:spacing w:val="80"/>
        </w:rPr>
        <w:t> </w:t>
      </w:r>
      <w:r>
        <w:rPr>
          <w:spacing w:val="9"/>
        </w:rPr>
        <w:t>True</w:t>
      </w:r>
      <w:r>
        <w:rPr>
          <w:spacing w:val="80"/>
        </w:rPr>
        <w:t> </w:t>
      </w:r>
      <w:r>
        <w:rPr>
          <w:spacing w:val="11"/>
        </w:rPr>
        <w:t>emancipation</w:t>
      </w:r>
      <w:r>
        <w:rPr>
          <w:spacing w:val="40"/>
        </w:rPr>
        <w:t> </w:t>
      </w:r>
      <w:r>
        <w:rPr>
          <w:spacing w:val="11"/>
        </w:rPr>
        <w:t>requires</w:t>
      </w:r>
      <w:r>
        <w:rPr>
          <w:spacing w:val="80"/>
        </w:rPr>
        <w:t> </w:t>
      </w:r>
      <w:r>
        <w:rPr>
          <w:spacing w:val="10"/>
        </w:rPr>
        <w:t>ethical</w:t>
      </w:r>
      <w:r>
        <w:rPr>
          <w:spacing w:val="80"/>
        </w:rPr>
        <w:t> </w:t>
      </w:r>
      <w:r>
        <w:rPr/>
        <w:t>and psychological balance, not merely power.</w:t>
      </w:r>
    </w:p>
    <w:p>
      <w:pPr>
        <w:pStyle w:val="Heading3"/>
        <w:numPr>
          <w:ilvl w:val="0"/>
          <w:numId w:val="87"/>
        </w:numPr>
        <w:tabs>
          <w:tab w:pos="1680" w:val="left" w:leader="none"/>
        </w:tabs>
        <w:spacing w:line="240" w:lineRule="auto" w:before="155" w:after="0"/>
        <w:ind w:left="1680" w:right="0" w:hanging="240"/>
        <w:jc w:val="left"/>
      </w:pPr>
      <w:r>
        <w:rPr>
          <w:w w:val="90"/>
        </w:rPr>
        <w:t>ANALYTICAL</w:t>
      </w:r>
      <w:r>
        <w:rPr>
          <w:spacing w:val="15"/>
        </w:rPr>
        <w:t> </w:t>
      </w:r>
      <w:r>
        <w:rPr>
          <w:spacing w:val="-2"/>
        </w:rPr>
        <w:t>APPROACH</w:t>
      </w:r>
    </w:p>
    <w:p>
      <w:pPr>
        <w:pStyle w:val="BodyText"/>
        <w:spacing w:line="249" w:lineRule="auto" w:before="75"/>
        <w:ind w:right="1437" w:firstLine="432"/>
      </w:pPr>
      <w:r>
        <w:rPr/>
        <w:t>An</w:t>
      </w:r>
      <w:r>
        <w:rPr>
          <w:spacing w:val="29"/>
        </w:rPr>
        <w:t> </w:t>
      </w:r>
      <w:r>
        <w:rPr/>
        <w:t>analytical</w:t>
      </w:r>
      <w:r>
        <w:rPr>
          <w:spacing w:val="33"/>
        </w:rPr>
        <w:t> </w:t>
      </w:r>
      <w:r>
        <w:rPr/>
        <w:t>approach</w:t>
      </w:r>
      <w:r>
        <w:rPr>
          <w:spacing w:val="29"/>
        </w:rPr>
        <w:t> </w:t>
      </w:r>
      <w:r>
        <w:rPr/>
        <w:t>focuses</w:t>
      </w:r>
      <w:r>
        <w:rPr>
          <w:spacing w:val="31"/>
        </w:rPr>
        <w:t> </w:t>
      </w:r>
      <w:r>
        <w:rPr/>
        <w:t>on</w:t>
      </w:r>
      <w:r>
        <w:rPr>
          <w:spacing w:val="29"/>
        </w:rPr>
        <w:t> </w:t>
      </w:r>
      <w:r>
        <w:rPr/>
        <w:t>how</w:t>
      </w:r>
      <w:r>
        <w:rPr>
          <w:spacing w:val="29"/>
        </w:rPr>
        <w:t> </w:t>
      </w:r>
      <w:r>
        <w:rPr/>
        <w:t>meaning</w:t>
      </w:r>
      <w:r>
        <w:rPr>
          <w:spacing w:val="29"/>
        </w:rPr>
        <w:t> </w:t>
      </w:r>
      <w:r>
        <w:rPr/>
        <w:t>is</w:t>
      </w:r>
      <w:r>
        <w:rPr>
          <w:spacing w:val="31"/>
        </w:rPr>
        <w:t> </w:t>
      </w:r>
      <w:r>
        <w:rPr/>
        <w:t>constructed through</w:t>
      </w:r>
      <w:r>
        <w:rPr>
          <w:spacing w:val="40"/>
        </w:rPr>
        <w:t> </w:t>
      </w:r>
      <w:r>
        <w:rPr/>
        <w:t>structure,</w:t>
      </w:r>
      <w:r>
        <w:rPr>
          <w:spacing w:val="40"/>
        </w:rPr>
        <w:t> </w:t>
      </w:r>
      <w:r>
        <w:rPr/>
        <w:t>language,</w:t>
      </w:r>
      <w:r>
        <w:rPr>
          <w:spacing w:val="40"/>
        </w:rPr>
        <w:t> </w:t>
      </w:r>
      <w:r>
        <w:rPr/>
        <w:t>imagery,</w:t>
      </w:r>
      <w:r>
        <w:rPr>
          <w:spacing w:val="40"/>
        </w:rPr>
        <w:t> </w:t>
      </w:r>
      <w:r>
        <w:rPr/>
        <w:t>and</w:t>
      </w:r>
      <w:r>
        <w:rPr>
          <w:spacing w:val="40"/>
        </w:rPr>
        <w:t> </w:t>
      </w:r>
      <w:r>
        <w:rPr/>
        <w:t>character</w:t>
      </w:r>
      <w:r>
        <w:rPr>
          <w:spacing w:val="40"/>
        </w:rPr>
        <w:t> </w:t>
      </w:r>
      <w:r>
        <w:rPr/>
        <w:t>development.</w:t>
      </w:r>
    </w:p>
    <w:p>
      <w:pPr>
        <w:pStyle w:val="Heading5"/>
        <w:numPr>
          <w:ilvl w:val="1"/>
          <w:numId w:val="87"/>
        </w:numPr>
        <w:tabs>
          <w:tab w:pos="1754" w:val="left" w:leader="none"/>
        </w:tabs>
        <w:spacing w:line="240" w:lineRule="auto" w:before="109" w:after="0"/>
        <w:ind w:left="1754" w:right="0" w:hanging="314"/>
        <w:jc w:val="left"/>
      </w:pPr>
      <w:r>
        <w:rPr/>
        <w:t>Structural</w:t>
      </w:r>
      <w:r>
        <w:rPr>
          <w:spacing w:val="77"/>
        </w:rPr>
        <w:t> </w:t>
      </w:r>
      <w:r>
        <w:rPr/>
        <w:t>Progression</w:t>
      </w:r>
      <w:r>
        <w:rPr>
          <w:spacing w:val="55"/>
          <w:w w:val="150"/>
        </w:rPr>
        <w:t> </w:t>
      </w:r>
      <w:r>
        <w:rPr/>
        <w:t>of</w:t>
      </w:r>
      <w:r>
        <w:rPr>
          <w:spacing w:val="56"/>
          <w:w w:val="150"/>
        </w:rPr>
        <w:t> </w:t>
      </w:r>
      <w:r>
        <w:rPr>
          <w:spacing w:val="-2"/>
        </w:rPr>
        <w:t>Character</w:t>
      </w:r>
    </w:p>
    <w:p>
      <w:pPr>
        <w:pStyle w:val="BodyText"/>
        <w:spacing w:before="72"/>
        <w:ind w:left="1872"/>
      </w:pPr>
      <w:r>
        <w:rPr/>
        <w:t>Lady</w:t>
      </w:r>
      <w:r>
        <w:rPr>
          <w:spacing w:val="11"/>
        </w:rPr>
        <w:t> </w:t>
      </w:r>
      <w:r>
        <w:rPr/>
        <w:t>Macbeth’s</w:t>
      </w:r>
      <w:r>
        <w:rPr>
          <w:spacing w:val="16"/>
        </w:rPr>
        <w:t> </w:t>
      </w:r>
      <w:r>
        <w:rPr/>
        <w:t>character</w:t>
      </w:r>
      <w:r>
        <w:rPr>
          <w:spacing w:val="17"/>
        </w:rPr>
        <w:t> </w:t>
      </w:r>
      <w:r>
        <w:rPr/>
        <w:t>follows</w:t>
      </w:r>
      <w:r>
        <w:rPr>
          <w:spacing w:val="17"/>
        </w:rPr>
        <w:t> </w:t>
      </w:r>
      <w:r>
        <w:rPr/>
        <w:t>a</w:t>
      </w:r>
      <w:r>
        <w:rPr>
          <w:spacing w:val="16"/>
        </w:rPr>
        <w:t> </w:t>
      </w:r>
      <w:r>
        <w:rPr/>
        <w:t>clear</w:t>
      </w:r>
      <w:r>
        <w:rPr>
          <w:spacing w:val="17"/>
        </w:rPr>
        <w:t> </w:t>
      </w:r>
      <w:r>
        <w:rPr>
          <w:spacing w:val="-2"/>
        </w:rPr>
        <w:t>trajectory:</w:t>
      </w:r>
    </w:p>
    <w:p>
      <w:pPr>
        <w:pStyle w:val="ListParagraph"/>
        <w:numPr>
          <w:ilvl w:val="2"/>
          <w:numId w:val="87"/>
        </w:numPr>
        <w:tabs>
          <w:tab w:pos="2159" w:val="left" w:leader="none"/>
        </w:tabs>
        <w:spacing w:line="240" w:lineRule="auto" w:before="74" w:after="0"/>
        <w:ind w:left="2159" w:right="0" w:hanging="239"/>
        <w:jc w:val="left"/>
        <w:rPr>
          <w:sz w:val="20"/>
        </w:rPr>
      </w:pPr>
      <w:r>
        <w:rPr>
          <w:sz w:val="20"/>
        </w:rPr>
        <w:t>Initial</w:t>
      </w:r>
      <w:r>
        <w:rPr>
          <w:spacing w:val="17"/>
          <w:sz w:val="20"/>
        </w:rPr>
        <w:t> </w:t>
      </w:r>
      <w:r>
        <w:rPr>
          <w:sz w:val="20"/>
        </w:rPr>
        <w:t>Phase:</w:t>
      </w:r>
      <w:r>
        <w:rPr>
          <w:spacing w:val="9"/>
          <w:sz w:val="20"/>
        </w:rPr>
        <w:t> </w:t>
      </w:r>
      <w:r>
        <w:rPr>
          <w:sz w:val="20"/>
        </w:rPr>
        <w:t>Assertive,</w:t>
      </w:r>
      <w:r>
        <w:rPr>
          <w:spacing w:val="17"/>
          <w:sz w:val="20"/>
        </w:rPr>
        <w:t> </w:t>
      </w:r>
      <w:r>
        <w:rPr>
          <w:sz w:val="20"/>
        </w:rPr>
        <w:t>dominant,</w:t>
      </w:r>
      <w:r>
        <w:rPr>
          <w:spacing w:val="19"/>
          <w:sz w:val="20"/>
        </w:rPr>
        <w:t> </w:t>
      </w:r>
      <w:r>
        <w:rPr>
          <w:spacing w:val="-2"/>
          <w:sz w:val="20"/>
        </w:rPr>
        <w:t>visionary</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Middle</w:t>
      </w:r>
      <w:r>
        <w:rPr>
          <w:spacing w:val="25"/>
          <w:sz w:val="20"/>
        </w:rPr>
        <w:t> </w:t>
      </w:r>
      <w:r>
        <w:rPr>
          <w:sz w:val="20"/>
        </w:rPr>
        <w:t>Phase:</w:t>
      </w:r>
      <w:r>
        <w:rPr>
          <w:spacing w:val="24"/>
          <w:sz w:val="20"/>
        </w:rPr>
        <w:t> </w:t>
      </w:r>
      <w:r>
        <w:rPr>
          <w:sz w:val="20"/>
        </w:rPr>
        <w:t>Controlled</w:t>
      </w:r>
      <w:r>
        <w:rPr>
          <w:spacing w:val="26"/>
          <w:sz w:val="20"/>
        </w:rPr>
        <w:t> </w:t>
      </w:r>
      <w:r>
        <w:rPr>
          <w:sz w:val="20"/>
        </w:rPr>
        <w:t>but</w:t>
      </w:r>
      <w:r>
        <w:rPr>
          <w:spacing w:val="25"/>
          <w:sz w:val="20"/>
        </w:rPr>
        <w:t> </w:t>
      </w:r>
      <w:r>
        <w:rPr>
          <w:spacing w:val="-2"/>
          <w:sz w:val="20"/>
        </w:rPr>
        <w:t>unstable</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Final</w:t>
      </w:r>
      <w:r>
        <w:rPr>
          <w:spacing w:val="2"/>
          <w:sz w:val="20"/>
        </w:rPr>
        <w:t> </w:t>
      </w:r>
      <w:r>
        <w:rPr>
          <w:sz w:val="20"/>
        </w:rPr>
        <w:t>Phase:</w:t>
      </w:r>
      <w:r>
        <w:rPr>
          <w:spacing w:val="4"/>
          <w:sz w:val="20"/>
        </w:rPr>
        <w:t> </w:t>
      </w:r>
      <w:r>
        <w:rPr>
          <w:sz w:val="20"/>
        </w:rPr>
        <w:t>Fragmented,</w:t>
      </w:r>
      <w:r>
        <w:rPr>
          <w:spacing w:val="4"/>
          <w:sz w:val="20"/>
        </w:rPr>
        <w:t> </w:t>
      </w:r>
      <w:r>
        <w:rPr>
          <w:sz w:val="20"/>
        </w:rPr>
        <w:t>guilt-</w:t>
      </w:r>
      <w:r>
        <w:rPr>
          <w:spacing w:val="-2"/>
          <w:sz w:val="20"/>
        </w:rPr>
        <w:t>ridden</w:t>
      </w:r>
    </w:p>
    <w:p>
      <w:pPr>
        <w:pStyle w:val="ListParagraph"/>
        <w:spacing w:after="0" w:line="240" w:lineRule="auto"/>
        <w:jc w:val="left"/>
        <w:rPr>
          <w:sz w:val="20"/>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97088">
                <wp:simplePos x="0" y="0"/>
                <wp:positionH relativeFrom="page">
                  <wp:posOffset>2057400</wp:posOffset>
                </wp:positionH>
                <wp:positionV relativeFrom="paragraph">
                  <wp:posOffset>162604</wp:posOffset>
                </wp:positionV>
                <wp:extent cx="3657600" cy="12700"/>
                <wp:effectExtent l="0" t="0" r="0" b="0"/>
                <wp:wrapTopAndBottom/>
                <wp:docPr id="823" name="Graphic 823"/>
                <wp:cNvGraphicFramePr>
                  <a:graphicFrameLocks/>
                </wp:cNvGraphicFramePr>
                <a:graphic>
                  <a:graphicData uri="http://schemas.microsoft.com/office/word/2010/wordprocessingShape">
                    <wps:wsp>
                      <wps:cNvPr id="823" name="Graphic 82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19392;mso-wrap-distance-left:0;mso-wrap-distance-right:0" id="docshape815" filled="true" fillcolor="#000000" stroked="false">
                <v:fill type="solid"/>
                <w10:wrap type="topAndBottom"/>
              </v:rect>
            </w:pict>
          </mc:Fallback>
        </mc:AlternateContent>
      </w:r>
      <w:r>
        <w:rPr>
          <w:rFonts w:ascii="Verdana"/>
          <w:spacing w:val="-5"/>
          <w:sz w:val="18"/>
        </w:rPr>
        <w:t>424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6"/>
        <w:spacing w:before="192"/>
      </w:pPr>
      <w:r>
        <w:rPr/>
        <w:t>This</w:t>
      </w:r>
      <w:r>
        <w:rPr>
          <w:spacing w:val="-13"/>
        </w:rPr>
        <w:t> </w:t>
      </w:r>
      <w:r>
        <w:rPr/>
        <w:t>progression</w:t>
      </w:r>
      <w:r>
        <w:rPr>
          <w:spacing w:val="-11"/>
        </w:rPr>
        <w:t> </w:t>
      </w:r>
      <w:r>
        <w:rPr>
          <w:spacing w:val="-2"/>
        </w:rPr>
        <w:t>demonstrates:</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The</w:t>
      </w:r>
      <w:r>
        <w:rPr>
          <w:spacing w:val="26"/>
          <w:sz w:val="20"/>
        </w:rPr>
        <w:t> </w:t>
      </w:r>
      <w:r>
        <w:rPr>
          <w:sz w:val="20"/>
        </w:rPr>
        <w:t>transformation</w:t>
      </w:r>
      <w:r>
        <w:rPr>
          <w:spacing w:val="23"/>
          <w:sz w:val="20"/>
        </w:rPr>
        <w:t> </w:t>
      </w:r>
      <w:r>
        <w:rPr>
          <w:sz w:val="20"/>
        </w:rPr>
        <w:t>of</w:t>
      </w:r>
      <w:r>
        <w:rPr>
          <w:spacing w:val="26"/>
          <w:sz w:val="20"/>
        </w:rPr>
        <w:t> </w:t>
      </w:r>
      <w:r>
        <w:rPr>
          <w:sz w:val="20"/>
        </w:rPr>
        <w:t>ambition</w:t>
      </w:r>
      <w:r>
        <w:rPr>
          <w:spacing w:val="22"/>
          <w:sz w:val="20"/>
        </w:rPr>
        <w:t> </w:t>
      </w:r>
      <w:r>
        <w:rPr>
          <w:sz w:val="20"/>
        </w:rPr>
        <w:t>into</w:t>
      </w:r>
      <w:r>
        <w:rPr>
          <w:spacing w:val="28"/>
          <w:sz w:val="20"/>
        </w:rPr>
        <w:t> </w:t>
      </w:r>
      <w:r>
        <w:rPr>
          <w:spacing w:val="-2"/>
          <w:sz w:val="20"/>
        </w:rPr>
        <w:t>consequence</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The</w:t>
      </w:r>
      <w:r>
        <w:rPr>
          <w:spacing w:val="28"/>
          <w:sz w:val="20"/>
        </w:rPr>
        <w:t> </w:t>
      </w:r>
      <w:r>
        <w:rPr>
          <w:sz w:val="20"/>
        </w:rPr>
        <w:t>gradual</w:t>
      </w:r>
      <w:r>
        <w:rPr>
          <w:spacing w:val="27"/>
          <w:sz w:val="20"/>
        </w:rPr>
        <w:t> </w:t>
      </w:r>
      <w:r>
        <w:rPr>
          <w:sz w:val="20"/>
        </w:rPr>
        <w:t>erosion</w:t>
      </w:r>
      <w:r>
        <w:rPr>
          <w:spacing w:val="28"/>
          <w:sz w:val="20"/>
        </w:rPr>
        <w:t> </w:t>
      </w:r>
      <w:r>
        <w:rPr>
          <w:sz w:val="20"/>
        </w:rPr>
        <w:t>of</w:t>
      </w:r>
      <w:r>
        <w:rPr>
          <w:spacing w:val="26"/>
          <w:sz w:val="20"/>
        </w:rPr>
        <w:t> </w:t>
      </w:r>
      <w:r>
        <w:rPr>
          <w:sz w:val="20"/>
        </w:rPr>
        <w:t>psychological</w:t>
      </w:r>
      <w:r>
        <w:rPr>
          <w:spacing w:val="28"/>
          <w:sz w:val="20"/>
        </w:rPr>
        <w:t> </w:t>
      </w:r>
      <w:r>
        <w:rPr>
          <w:spacing w:val="-2"/>
          <w:sz w:val="20"/>
        </w:rPr>
        <w:t>stability</w:t>
      </w:r>
    </w:p>
    <w:p>
      <w:pPr>
        <w:pStyle w:val="Heading5"/>
        <w:numPr>
          <w:ilvl w:val="1"/>
          <w:numId w:val="87"/>
        </w:numPr>
        <w:tabs>
          <w:tab w:pos="1747" w:val="left" w:leader="none"/>
        </w:tabs>
        <w:spacing w:line="240" w:lineRule="auto" w:before="122" w:after="0"/>
        <w:ind w:left="1747" w:right="0" w:hanging="307"/>
        <w:jc w:val="left"/>
      </w:pPr>
      <w:r>
        <w:rPr>
          <w:w w:val="110"/>
        </w:rPr>
        <w:t>Language</w:t>
      </w:r>
      <w:r>
        <w:rPr>
          <w:spacing w:val="69"/>
          <w:w w:val="110"/>
        </w:rPr>
        <w:t> </w:t>
      </w:r>
      <w:r>
        <w:rPr>
          <w:w w:val="110"/>
        </w:rPr>
        <w:t>and</w:t>
      </w:r>
      <w:r>
        <w:rPr>
          <w:spacing w:val="70"/>
          <w:w w:val="110"/>
        </w:rPr>
        <w:t> </w:t>
      </w:r>
      <w:r>
        <w:rPr>
          <w:spacing w:val="-2"/>
          <w:w w:val="110"/>
        </w:rPr>
        <w:t>Symbolism</w:t>
      </w:r>
    </w:p>
    <w:p>
      <w:pPr>
        <w:pStyle w:val="BodyText"/>
        <w:spacing w:before="72"/>
        <w:ind w:left="1872"/>
      </w:pPr>
      <w:r>
        <w:rPr/>
        <w:t>Her</w:t>
      </w:r>
      <w:r>
        <w:rPr>
          <w:spacing w:val="15"/>
        </w:rPr>
        <w:t> </w:t>
      </w:r>
      <w:r>
        <w:rPr/>
        <w:t>language</w:t>
      </w:r>
      <w:r>
        <w:rPr>
          <w:spacing w:val="16"/>
        </w:rPr>
        <w:t> </w:t>
      </w:r>
      <w:r>
        <w:rPr/>
        <w:t>is</w:t>
      </w:r>
      <w:r>
        <w:rPr>
          <w:spacing w:val="15"/>
        </w:rPr>
        <w:t> </w:t>
      </w:r>
      <w:r>
        <w:rPr/>
        <w:t>rich</w:t>
      </w:r>
      <w:r>
        <w:rPr>
          <w:spacing w:val="14"/>
        </w:rPr>
        <w:t> </w:t>
      </w:r>
      <w:r>
        <w:rPr/>
        <w:t>in</w:t>
      </w:r>
      <w:r>
        <w:rPr>
          <w:spacing w:val="15"/>
        </w:rPr>
        <w:t> </w:t>
      </w:r>
      <w:r>
        <w:rPr/>
        <w:t>imagery</w:t>
      </w:r>
      <w:r>
        <w:rPr>
          <w:spacing w:val="11"/>
        </w:rPr>
        <w:t> </w:t>
      </w:r>
      <w:r>
        <w:rPr/>
        <w:t>and</w:t>
      </w:r>
      <w:r>
        <w:rPr>
          <w:spacing w:val="17"/>
        </w:rPr>
        <w:t> </w:t>
      </w:r>
      <w:r>
        <w:rPr/>
        <w:t>symbolic</w:t>
      </w:r>
      <w:r>
        <w:rPr>
          <w:spacing w:val="16"/>
        </w:rPr>
        <w:t> </w:t>
      </w:r>
      <w:r>
        <w:rPr>
          <w:spacing w:val="-2"/>
        </w:rPr>
        <w:t>meaning.</w:t>
      </w:r>
    </w:p>
    <w:p>
      <w:pPr>
        <w:pStyle w:val="ListParagraph"/>
        <w:numPr>
          <w:ilvl w:val="0"/>
          <w:numId w:val="88"/>
        </w:numPr>
        <w:tabs>
          <w:tab w:pos="2157" w:val="left" w:leader="none"/>
        </w:tabs>
        <w:spacing w:line="240" w:lineRule="auto" w:before="75" w:after="0"/>
        <w:ind w:left="2157" w:right="0" w:hanging="312"/>
        <w:jc w:val="left"/>
        <w:rPr>
          <w:sz w:val="20"/>
        </w:rPr>
      </w:pPr>
      <w:r>
        <w:rPr>
          <w:sz w:val="20"/>
        </w:rPr>
        <w:t>Darkness</w:t>
      </w:r>
      <w:r>
        <w:rPr>
          <w:spacing w:val="12"/>
          <w:sz w:val="20"/>
        </w:rPr>
        <w:t> </w:t>
      </w:r>
      <w:r>
        <w:rPr>
          <w:sz w:val="20"/>
        </w:rPr>
        <w:t>and</w:t>
      </w:r>
      <w:r>
        <w:rPr>
          <w:spacing w:val="16"/>
          <w:sz w:val="20"/>
        </w:rPr>
        <w:t> </w:t>
      </w:r>
      <w:r>
        <w:rPr>
          <w:spacing w:val="-4"/>
          <w:sz w:val="20"/>
        </w:rPr>
        <w:t>Evil</w:t>
      </w:r>
    </w:p>
    <w:p>
      <w:pPr>
        <w:pStyle w:val="ListParagraph"/>
        <w:numPr>
          <w:ilvl w:val="1"/>
          <w:numId w:val="88"/>
        </w:numPr>
        <w:tabs>
          <w:tab w:pos="2519" w:val="left" w:leader="none"/>
        </w:tabs>
        <w:spacing w:line="240" w:lineRule="auto" w:before="77" w:after="0"/>
        <w:ind w:left="2519" w:right="0" w:hanging="239"/>
        <w:jc w:val="left"/>
        <w:rPr>
          <w:sz w:val="20"/>
        </w:rPr>
      </w:pPr>
      <w:r>
        <w:rPr>
          <w:sz w:val="20"/>
        </w:rPr>
        <w:t>Night</w:t>
      </w:r>
      <w:r>
        <w:rPr>
          <w:spacing w:val="11"/>
          <w:sz w:val="20"/>
        </w:rPr>
        <w:t> </w:t>
      </w:r>
      <w:r>
        <w:rPr>
          <w:sz w:val="20"/>
        </w:rPr>
        <w:t>symbolizes</w:t>
      </w:r>
      <w:r>
        <w:rPr>
          <w:spacing w:val="12"/>
          <w:sz w:val="20"/>
        </w:rPr>
        <w:t> </w:t>
      </w:r>
      <w:r>
        <w:rPr>
          <w:spacing w:val="-2"/>
          <w:sz w:val="20"/>
        </w:rPr>
        <w:t>concealment</w:t>
      </w:r>
    </w:p>
    <w:p>
      <w:pPr>
        <w:pStyle w:val="ListParagraph"/>
        <w:numPr>
          <w:ilvl w:val="1"/>
          <w:numId w:val="88"/>
        </w:numPr>
        <w:tabs>
          <w:tab w:pos="2519" w:val="left" w:leader="none"/>
        </w:tabs>
        <w:spacing w:line="240" w:lineRule="auto" w:before="80" w:after="0"/>
        <w:ind w:left="2519" w:right="0" w:hanging="239"/>
        <w:jc w:val="left"/>
        <w:rPr>
          <w:sz w:val="20"/>
        </w:rPr>
      </w:pPr>
      <w:r>
        <w:rPr>
          <w:sz w:val="20"/>
        </w:rPr>
        <w:t>Darkness</w:t>
      </w:r>
      <w:r>
        <w:rPr>
          <w:spacing w:val="9"/>
          <w:sz w:val="20"/>
        </w:rPr>
        <w:t> </w:t>
      </w:r>
      <w:r>
        <w:rPr>
          <w:sz w:val="20"/>
        </w:rPr>
        <w:t>reflects</w:t>
      </w:r>
      <w:r>
        <w:rPr>
          <w:spacing w:val="10"/>
          <w:sz w:val="20"/>
        </w:rPr>
        <w:t> </w:t>
      </w:r>
      <w:r>
        <w:rPr>
          <w:sz w:val="20"/>
        </w:rPr>
        <w:t>moral</w:t>
      </w:r>
      <w:r>
        <w:rPr>
          <w:spacing w:val="9"/>
          <w:sz w:val="20"/>
        </w:rPr>
        <w:t> </w:t>
      </w:r>
      <w:r>
        <w:rPr>
          <w:spacing w:val="-2"/>
          <w:sz w:val="20"/>
        </w:rPr>
        <w:t>ambiguity</w:t>
      </w:r>
    </w:p>
    <w:p>
      <w:pPr>
        <w:pStyle w:val="ListParagraph"/>
        <w:numPr>
          <w:ilvl w:val="0"/>
          <w:numId w:val="88"/>
        </w:numPr>
        <w:tabs>
          <w:tab w:pos="2158" w:val="left" w:leader="none"/>
        </w:tabs>
        <w:spacing w:line="240" w:lineRule="auto" w:before="77" w:after="0"/>
        <w:ind w:left="2158" w:right="0" w:hanging="330"/>
        <w:jc w:val="left"/>
        <w:rPr>
          <w:sz w:val="20"/>
        </w:rPr>
      </w:pPr>
      <w:r>
        <w:rPr>
          <w:sz w:val="20"/>
        </w:rPr>
        <w:t>Blood</w:t>
      </w:r>
      <w:r>
        <w:rPr>
          <w:spacing w:val="-2"/>
          <w:sz w:val="20"/>
        </w:rPr>
        <w:t> Imagery</w:t>
      </w:r>
    </w:p>
    <w:p>
      <w:pPr>
        <w:pStyle w:val="ListParagraph"/>
        <w:numPr>
          <w:ilvl w:val="1"/>
          <w:numId w:val="88"/>
        </w:numPr>
        <w:tabs>
          <w:tab w:pos="2519" w:val="left" w:leader="none"/>
        </w:tabs>
        <w:spacing w:line="240" w:lineRule="auto" w:before="77" w:after="0"/>
        <w:ind w:left="2519" w:right="0" w:hanging="239"/>
        <w:jc w:val="left"/>
        <w:rPr>
          <w:sz w:val="20"/>
        </w:rPr>
      </w:pPr>
      <w:r>
        <w:rPr>
          <w:sz w:val="20"/>
        </w:rPr>
        <w:t>Represents</w:t>
      </w:r>
      <w:r>
        <w:rPr>
          <w:spacing w:val="28"/>
          <w:sz w:val="20"/>
        </w:rPr>
        <w:t> </w:t>
      </w:r>
      <w:r>
        <w:rPr>
          <w:sz w:val="20"/>
        </w:rPr>
        <w:t>guilt</w:t>
      </w:r>
      <w:r>
        <w:rPr>
          <w:spacing w:val="31"/>
          <w:sz w:val="20"/>
        </w:rPr>
        <w:t> </w:t>
      </w:r>
      <w:r>
        <w:rPr>
          <w:sz w:val="20"/>
        </w:rPr>
        <w:t>and</w:t>
      </w:r>
      <w:r>
        <w:rPr>
          <w:spacing w:val="32"/>
          <w:sz w:val="20"/>
        </w:rPr>
        <w:t> </w:t>
      </w:r>
      <w:r>
        <w:rPr>
          <w:spacing w:val="-2"/>
          <w:sz w:val="20"/>
        </w:rPr>
        <w:t>permanence</w:t>
      </w:r>
    </w:p>
    <w:p>
      <w:pPr>
        <w:pStyle w:val="ListParagraph"/>
        <w:numPr>
          <w:ilvl w:val="1"/>
          <w:numId w:val="88"/>
        </w:numPr>
        <w:tabs>
          <w:tab w:pos="2519" w:val="left" w:leader="none"/>
        </w:tabs>
        <w:spacing w:line="240" w:lineRule="auto" w:before="80" w:after="0"/>
        <w:ind w:left="2519" w:right="0" w:hanging="239"/>
        <w:jc w:val="left"/>
        <w:rPr>
          <w:sz w:val="20"/>
        </w:rPr>
      </w:pPr>
      <w:r>
        <w:rPr>
          <w:sz w:val="20"/>
        </w:rPr>
        <w:t>Evolves</w:t>
      </w:r>
      <w:r>
        <w:rPr>
          <w:spacing w:val="24"/>
          <w:sz w:val="20"/>
        </w:rPr>
        <w:t> </w:t>
      </w:r>
      <w:r>
        <w:rPr>
          <w:sz w:val="20"/>
        </w:rPr>
        <w:t>from</w:t>
      </w:r>
      <w:r>
        <w:rPr>
          <w:spacing w:val="21"/>
          <w:sz w:val="20"/>
        </w:rPr>
        <w:t> </w:t>
      </w:r>
      <w:r>
        <w:rPr>
          <w:sz w:val="20"/>
        </w:rPr>
        <w:t>physical</w:t>
      </w:r>
      <w:r>
        <w:rPr>
          <w:spacing w:val="25"/>
          <w:sz w:val="20"/>
        </w:rPr>
        <w:t> </w:t>
      </w:r>
      <w:r>
        <w:rPr>
          <w:sz w:val="20"/>
        </w:rPr>
        <w:t>to</w:t>
      </w:r>
      <w:r>
        <w:rPr>
          <w:spacing w:val="27"/>
          <w:sz w:val="20"/>
        </w:rPr>
        <w:t> </w:t>
      </w:r>
      <w:r>
        <w:rPr>
          <w:spacing w:val="-2"/>
          <w:sz w:val="20"/>
        </w:rPr>
        <w:t>psychological</w:t>
      </w:r>
    </w:p>
    <w:p>
      <w:pPr>
        <w:pStyle w:val="ListParagraph"/>
        <w:numPr>
          <w:ilvl w:val="0"/>
          <w:numId w:val="88"/>
        </w:numPr>
        <w:tabs>
          <w:tab w:pos="2157" w:val="left" w:leader="none"/>
        </w:tabs>
        <w:spacing w:line="240" w:lineRule="auto" w:before="77" w:after="0"/>
        <w:ind w:left="2157" w:right="0" w:hanging="312"/>
        <w:jc w:val="left"/>
        <w:rPr>
          <w:sz w:val="20"/>
        </w:rPr>
      </w:pPr>
      <w:r>
        <w:rPr>
          <w:sz w:val="20"/>
        </w:rPr>
        <w:t>Body</w:t>
      </w:r>
      <w:r>
        <w:rPr>
          <w:spacing w:val="9"/>
          <w:sz w:val="20"/>
        </w:rPr>
        <w:t> </w:t>
      </w:r>
      <w:r>
        <w:rPr>
          <w:spacing w:val="-2"/>
          <w:sz w:val="20"/>
        </w:rPr>
        <w:t>Imagery</w:t>
      </w:r>
    </w:p>
    <w:p>
      <w:pPr>
        <w:pStyle w:val="ListParagraph"/>
        <w:numPr>
          <w:ilvl w:val="1"/>
          <w:numId w:val="88"/>
        </w:numPr>
        <w:tabs>
          <w:tab w:pos="2519" w:val="left" w:leader="none"/>
        </w:tabs>
        <w:spacing w:line="240" w:lineRule="auto" w:before="77" w:after="0"/>
        <w:ind w:left="2519" w:right="0" w:hanging="239"/>
        <w:jc w:val="left"/>
        <w:rPr>
          <w:sz w:val="20"/>
        </w:rPr>
      </w:pPr>
      <w:r>
        <w:rPr>
          <w:sz w:val="20"/>
        </w:rPr>
        <w:t>“Unsexed”</w:t>
      </w:r>
      <w:r>
        <w:rPr>
          <w:spacing w:val="16"/>
          <w:sz w:val="20"/>
        </w:rPr>
        <w:t> </w:t>
      </w:r>
      <w:r>
        <w:rPr>
          <w:sz w:val="20"/>
        </w:rPr>
        <w:t>’‡</w:t>
      </w:r>
      <w:r>
        <w:rPr>
          <w:spacing w:val="14"/>
          <w:sz w:val="20"/>
        </w:rPr>
        <w:t> </w:t>
      </w:r>
      <w:r>
        <w:rPr>
          <w:sz w:val="20"/>
        </w:rPr>
        <w:t>identity</w:t>
      </w:r>
      <w:r>
        <w:rPr>
          <w:spacing w:val="14"/>
          <w:sz w:val="20"/>
        </w:rPr>
        <w:t> </w:t>
      </w:r>
      <w:r>
        <w:rPr>
          <w:spacing w:val="-2"/>
          <w:sz w:val="20"/>
        </w:rPr>
        <w:t>transformation</w:t>
      </w:r>
    </w:p>
    <w:p>
      <w:pPr>
        <w:pStyle w:val="ListParagraph"/>
        <w:numPr>
          <w:ilvl w:val="1"/>
          <w:numId w:val="88"/>
        </w:numPr>
        <w:tabs>
          <w:tab w:pos="2519" w:val="left" w:leader="none"/>
        </w:tabs>
        <w:spacing w:line="312" w:lineRule="auto" w:before="80" w:after="0"/>
        <w:ind w:left="1872" w:right="1564" w:firstLine="408"/>
        <w:jc w:val="left"/>
        <w:rPr>
          <w:sz w:val="20"/>
        </w:rPr>
      </w:pPr>
      <w:r>
        <w:rPr>
          <w:sz w:val="20"/>
        </w:rPr>
        <w:t>“Milk to gall” ’‡ nurturing replaced with cruelty Analytically,</w:t>
      </w:r>
      <w:r>
        <w:rPr>
          <w:spacing w:val="15"/>
          <w:sz w:val="20"/>
        </w:rPr>
        <w:t> </w:t>
      </w:r>
      <w:r>
        <w:rPr>
          <w:sz w:val="20"/>
        </w:rPr>
        <w:t>these images</w:t>
      </w:r>
      <w:r>
        <w:rPr>
          <w:spacing w:val="15"/>
          <w:sz w:val="20"/>
        </w:rPr>
        <w:t> </w:t>
      </w:r>
      <w:r>
        <w:rPr>
          <w:sz w:val="20"/>
        </w:rPr>
        <w:t>create</w:t>
      </w:r>
      <w:r>
        <w:rPr>
          <w:spacing w:val="14"/>
          <w:sz w:val="20"/>
        </w:rPr>
        <w:t> </w:t>
      </w:r>
      <w:r>
        <w:rPr>
          <w:sz w:val="20"/>
        </w:rPr>
        <w:t>a</w:t>
      </w:r>
      <w:r>
        <w:rPr>
          <w:spacing w:val="16"/>
          <w:sz w:val="20"/>
        </w:rPr>
        <w:t> </w:t>
      </w:r>
      <w:r>
        <w:rPr>
          <w:sz w:val="20"/>
        </w:rPr>
        <w:t>coherent</w:t>
      </w:r>
      <w:r>
        <w:rPr>
          <w:spacing w:val="14"/>
          <w:sz w:val="20"/>
        </w:rPr>
        <w:t> </w:t>
      </w:r>
      <w:r>
        <w:rPr>
          <w:sz w:val="20"/>
        </w:rPr>
        <w:t>symbolic</w:t>
      </w:r>
      <w:r>
        <w:rPr>
          <w:spacing w:val="14"/>
          <w:sz w:val="20"/>
        </w:rPr>
        <w:t> </w:t>
      </w:r>
      <w:r>
        <w:rPr>
          <w:sz w:val="20"/>
        </w:rPr>
        <w:t>network.</w:t>
      </w:r>
    </w:p>
    <w:p>
      <w:pPr>
        <w:pStyle w:val="Heading5"/>
        <w:numPr>
          <w:ilvl w:val="1"/>
          <w:numId w:val="87"/>
        </w:numPr>
        <w:tabs>
          <w:tab w:pos="1736" w:val="left" w:leader="none"/>
        </w:tabs>
        <w:spacing w:line="240" w:lineRule="auto" w:before="49" w:after="0"/>
        <w:ind w:left="1736" w:right="0" w:hanging="296"/>
        <w:jc w:val="left"/>
      </w:pPr>
      <w:r>
        <w:rPr>
          <w:w w:val="110"/>
        </w:rPr>
        <w:t>The</w:t>
      </w:r>
      <w:r>
        <w:rPr>
          <w:spacing w:val="47"/>
          <w:w w:val="110"/>
        </w:rPr>
        <w:t> </w:t>
      </w:r>
      <w:r>
        <w:rPr>
          <w:w w:val="110"/>
        </w:rPr>
        <w:t>“Unsex</w:t>
      </w:r>
      <w:r>
        <w:rPr>
          <w:spacing w:val="45"/>
          <w:w w:val="110"/>
        </w:rPr>
        <w:t> </w:t>
      </w:r>
      <w:r>
        <w:rPr>
          <w:w w:val="110"/>
        </w:rPr>
        <w:t>Me</w:t>
      </w:r>
      <w:r>
        <w:rPr>
          <w:spacing w:val="47"/>
          <w:w w:val="110"/>
        </w:rPr>
        <w:t> </w:t>
      </w:r>
      <w:r>
        <w:rPr>
          <w:w w:val="110"/>
        </w:rPr>
        <w:t>Here”</w:t>
      </w:r>
      <w:r>
        <w:rPr>
          <w:spacing w:val="47"/>
          <w:w w:val="110"/>
        </w:rPr>
        <w:t> </w:t>
      </w:r>
      <w:r>
        <w:rPr>
          <w:spacing w:val="-2"/>
          <w:w w:val="110"/>
        </w:rPr>
        <w:t>Speech</w:t>
      </w:r>
    </w:p>
    <w:p>
      <w:pPr>
        <w:pStyle w:val="BodyText"/>
        <w:spacing w:before="72"/>
        <w:ind w:left="1872"/>
      </w:pPr>
      <w:r>
        <w:rPr/>
        <w:t>This</w:t>
      </w:r>
      <w:r>
        <w:rPr>
          <w:spacing w:val="25"/>
        </w:rPr>
        <w:t> </w:t>
      </w:r>
      <w:r>
        <w:rPr/>
        <w:t>speech</w:t>
      </w:r>
      <w:r>
        <w:rPr>
          <w:spacing w:val="24"/>
        </w:rPr>
        <w:t> </w:t>
      </w:r>
      <w:r>
        <w:rPr/>
        <w:t>is</w:t>
      </w:r>
      <w:r>
        <w:rPr>
          <w:spacing w:val="22"/>
        </w:rPr>
        <w:t> </w:t>
      </w:r>
      <w:r>
        <w:rPr/>
        <w:t>central</w:t>
      </w:r>
      <w:r>
        <w:rPr>
          <w:spacing w:val="25"/>
        </w:rPr>
        <w:t> </w:t>
      </w:r>
      <w:r>
        <w:rPr/>
        <w:t>to</w:t>
      </w:r>
      <w:r>
        <w:rPr>
          <w:spacing w:val="28"/>
        </w:rPr>
        <w:t> </w:t>
      </w:r>
      <w:r>
        <w:rPr/>
        <w:t>her</w:t>
      </w:r>
      <w:r>
        <w:rPr>
          <w:spacing w:val="27"/>
        </w:rPr>
        <w:t> </w:t>
      </w:r>
      <w:r>
        <w:rPr>
          <w:spacing w:val="-2"/>
        </w:rPr>
        <w:t>characterization.</w:t>
      </w:r>
    </w:p>
    <w:p>
      <w:pPr>
        <w:pStyle w:val="ListParagraph"/>
        <w:numPr>
          <w:ilvl w:val="2"/>
          <w:numId w:val="87"/>
        </w:numPr>
        <w:tabs>
          <w:tab w:pos="2159" w:val="left" w:leader="none"/>
        </w:tabs>
        <w:spacing w:line="240" w:lineRule="auto" w:before="74" w:after="0"/>
        <w:ind w:left="2159" w:right="0" w:hanging="239"/>
        <w:jc w:val="left"/>
        <w:rPr>
          <w:sz w:val="20"/>
        </w:rPr>
      </w:pPr>
      <w:r>
        <w:rPr>
          <w:sz w:val="20"/>
        </w:rPr>
        <w:t>Imperatives</w:t>
      </w:r>
      <w:r>
        <w:rPr>
          <w:spacing w:val="21"/>
          <w:sz w:val="20"/>
        </w:rPr>
        <w:t> </w:t>
      </w:r>
      <w:r>
        <w:rPr>
          <w:sz w:val="20"/>
        </w:rPr>
        <w:t>show</w:t>
      </w:r>
      <w:r>
        <w:rPr>
          <w:spacing w:val="21"/>
          <w:sz w:val="20"/>
        </w:rPr>
        <w:t> </w:t>
      </w:r>
      <w:r>
        <w:rPr>
          <w:spacing w:val="-2"/>
          <w:sz w:val="20"/>
        </w:rPr>
        <w:t>control</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Repetition</w:t>
      </w:r>
      <w:r>
        <w:rPr>
          <w:spacing w:val="22"/>
          <w:sz w:val="20"/>
        </w:rPr>
        <w:t> </w:t>
      </w:r>
      <w:r>
        <w:rPr>
          <w:sz w:val="20"/>
        </w:rPr>
        <w:t>emphasizes</w:t>
      </w:r>
      <w:r>
        <w:rPr>
          <w:spacing w:val="25"/>
          <w:sz w:val="20"/>
        </w:rPr>
        <w:t> </w:t>
      </w:r>
      <w:r>
        <w:rPr>
          <w:spacing w:val="-2"/>
          <w:sz w:val="20"/>
        </w:rPr>
        <w:t>urgency</w:t>
      </w:r>
    </w:p>
    <w:p>
      <w:pPr>
        <w:pStyle w:val="ListParagraph"/>
        <w:numPr>
          <w:ilvl w:val="2"/>
          <w:numId w:val="87"/>
        </w:numPr>
        <w:tabs>
          <w:tab w:pos="2159" w:val="left" w:leader="none"/>
        </w:tabs>
        <w:spacing w:line="312" w:lineRule="auto" w:before="77" w:after="0"/>
        <w:ind w:left="1872" w:right="3296" w:firstLine="48"/>
        <w:jc w:val="left"/>
        <w:rPr>
          <w:sz w:val="20"/>
        </w:rPr>
      </w:pPr>
      <w:r>
        <w:rPr>
          <w:sz w:val="20"/>
        </w:rPr>
        <w:t>Violent imagery</w:t>
      </w:r>
      <w:r>
        <w:rPr>
          <w:spacing w:val="-3"/>
          <w:sz w:val="20"/>
        </w:rPr>
        <w:t> </w:t>
      </w:r>
      <w:r>
        <w:rPr>
          <w:sz w:val="20"/>
        </w:rPr>
        <w:t>reflects inner intensity It</w:t>
      </w:r>
      <w:r>
        <w:rPr>
          <w:spacing w:val="-1"/>
          <w:sz w:val="20"/>
        </w:rPr>
        <w:t> </w:t>
      </w:r>
      <w:r>
        <w:rPr>
          <w:sz w:val="20"/>
        </w:rPr>
        <w:t>marks:</w:t>
      </w:r>
    </w:p>
    <w:p>
      <w:pPr>
        <w:pStyle w:val="ListParagraph"/>
        <w:numPr>
          <w:ilvl w:val="2"/>
          <w:numId w:val="87"/>
        </w:numPr>
        <w:tabs>
          <w:tab w:pos="2159" w:val="left" w:leader="none"/>
        </w:tabs>
        <w:spacing w:line="240" w:lineRule="auto" w:before="7" w:after="0"/>
        <w:ind w:left="2159" w:right="0" w:hanging="239"/>
        <w:jc w:val="left"/>
        <w:rPr>
          <w:sz w:val="20"/>
        </w:rPr>
      </w:pPr>
      <w:r>
        <w:rPr>
          <w:sz w:val="20"/>
        </w:rPr>
        <w:t>The</w:t>
      </w:r>
      <w:r>
        <w:rPr>
          <w:spacing w:val="28"/>
          <w:sz w:val="20"/>
        </w:rPr>
        <w:t> </w:t>
      </w:r>
      <w:r>
        <w:rPr>
          <w:sz w:val="20"/>
        </w:rPr>
        <w:t>transition</w:t>
      </w:r>
      <w:r>
        <w:rPr>
          <w:spacing w:val="30"/>
          <w:sz w:val="20"/>
        </w:rPr>
        <w:t> </w:t>
      </w:r>
      <w:r>
        <w:rPr>
          <w:sz w:val="20"/>
        </w:rPr>
        <w:t>from</w:t>
      </w:r>
      <w:r>
        <w:rPr>
          <w:spacing w:val="25"/>
          <w:sz w:val="20"/>
        </w:rPr>
        <w:t> </w:t>
      </w:r>
      <w:r>
        <w:rPr>
          <w:sz w:val="20"/>
        </w:rPr>
        <w:t>thought</w:t>
      </w:r>
      <w:r>
        <w:rPr>
          <w:spacing w:val="30"/>
          <w:sz w:val="20"/>
        </w:rPr>
        <w:t> </w:t>
      </w:r>
      <w:r>
        <w:rPr>
          <w:sz w:val="20"/>
        </w:rPr>
        <w:t>to</w:t>
      </w:r>
      <w:r>
        <w:rPr>
          <w:spacing w:val="29"/>
          <w:sz w:val="20"/>
        </w:rPr>
        <w:t> </w:t>
      </w:r>
      <w:r>
        <w:rPr>
          <w:spacing w:val="-2"/>
          <w:sz w:val="20"/>
        </w:rPr>
        <w:t>action</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The</w:t>
      </w:r>
      <w:r>
        <w:rPr>
          <w:spacing w:val="17"/>
          <w:sz w:val="20"/>
        </w:rPr>
        <w:t> </w:t>
      </w:r>
      <w:r>
        <w:rPr>
          <w:sz w:val="20"/>
        </w:rPr>
        <w:t>rejection</w:t>
      </w:r>
      <w:r>
        <w:rPr>
          <w:spacing w:val="18"/>
          <w:sz w:val="20"/>
        </w:rPr>
        <w:t> </w:t>
      </w:r>
      <w:r>
        <w:rPr>
          <w:sz w:val="20"/>
        </w:rPr>
        <w:t>of</w:t>
      </w:r>
      <w:r>
        <w:rPr>
          <w:spacing w:val="18"/>
          <w:sz w:val="20"/>
        </w:rPr>
        <w:t> </w:t>
      </w:r>
      <w:r>
        <w:rPr>
          <w:sz w:val="20"/>
        </w:rPr>
        <w:t>traditional</w:t>
      </w:r>
      <w:r>
        <w:rPr>
          <w:spacing w:val="18"/>
          <w:sz w:val="20"/>
        </w:rPr>
        <w:t> </w:t>
      </w:r>
      <w:r>
        <w:rPr>
          <w:spacing w:val="-2"/>
          <w:sz w:val="20"/>
        </w:rPr>
        <w:t>identity</w:t>
      </w:r>
    </w:p>
    <w:p>
      <w:pPr>
        <w:pStyle w:val="Heading5"/>
        <w:numPr>
          <w:ilvl w:val="1"/>
          <w:numId w:val="87"/>
        </w:numPr>
        <w:tabs>
          <w:tab w:pos="1745" w:val="left" w:leader="none"/>
        </w:tabs>
        <w:spacing w:line="240" w:lineRule="auto" w:before="119" w:after="0"/>
        <w:ind w:left="1745" w:right="0" w:hanging="305"/>
        <w:jc w:val="left"/>
      </w:pPr>
      <w:r>
        <w:rPr>
          <w:w w:val="105"/>
        </w:rPr>
        <w:t>Role</w:t>
      </w:r>
      <w:r>
        <w:rPr>
          <w:spacing w:val="78"/>
          <w:w w:val="105"/>
        </w:rPr>
        <w:t> </w:t>
      </w:r>
      <w:r>
        <w:rPr>
          <w:w w:val="105"/>
        </w:rPr>
        <w:t>as</w:t>
      </w:r>
      <w:r>
        <w:rPr>
          <w:spacing w:val="73"/>
          <w:w w:val="105"/>
        </w:rPr>
        <w:t> </w:t>
      </w:r>
      <w:r>
        <w:rPr>
          <w:spacing w:val="-2"/>
          <w:w w:val="105"/>
        </w:rPr>
        <w:t>Catalyst</w:t>
      </w:r>
    </w:p>
    <w:p>
      <w:pPr>
        <w:pStyle w:val="Heading6"/>
        <w:spacing w:before="72"/>
      </w:pPr>
      <w:r>
        <w:rPr>
          <w:spacing w:val="-4"/>
        </w:rPr>
        <w:t>Lady</w:t>
      </w:r>
      <w:r>
        <w:rPr>
          <w:spacing w:val="-6"/>
        </w:rPr>
        <w:t> </w:t>
      </w:r>
      <w:r>
        <w:rPr>
          <w:spacing w:val="-4"/>
        </w:rPr>
        <w:t>Macbeth</w:t>
      </w:r>
      <w:r>
        <w:rPr>
          <w:spacing w:val="-11"/>
        </w:rPr>
        <w:t> </w:t>
      </w:r>
      <w:r>
        <w:rPr>
          <w:spacing w:val="-4"/>
        </w:rPr>
        <w:t>drives</w:t>
      </w:r>
      <w:r>
        <w:rPr>
          <w:spacing w:val="-8"/>
        </w:rPr>
        <w:t> </w:t>
      </w:r>
      <w:r>
        <w:rPr>
          <w:spacing w:val="-4"/>
        </w:rPr>
        <w:t>the</w:t>
      </w:r>
      <w:r>
        <w:rPr>
          <w:spacing w:val="-5"/>
        </w:rPr>
        <w:t> </w:t>
      </w:r>
      <w:r>
        <w:rPr>
          <w:spacing w:val="-4"/>
        </w:rPr>
        <w:t>plot:</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Interprets</w:t>
      </w:r>
      <w:r>
        <w:rPr>
          <w:spacing w:val="49"/>
          <w:sz w:val="20"/>
        </w:rPr>
        <w:t> </w:t>
      </w:r>
      <w:r>
        <w:rPr>
          <w:spacing w:val="-2"/>
          <w:sz w:val="20"/>
        </w:rPr>
        <w:t>prophecy</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Initiates </w:t>
      </w:r>
      <w:r>
        <w:rPr>
          <w:spacing w:val="-2"/>
          <w:sz w:val="20"/>
        </w:rPr>
        <w:t>murder</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Controls</w:t>
      </w:r>
      <w:r>
        <w:rPr>
          <w:spacing w:val="33"/>
          <w:sz w:val="20"/>
        </w:rPr>
        <w:t> </w:t>
      </w:r>
      <w:r>
        <w:rPr>
          <w:sz w:val="20"/>
        </w:rPr>
        <w:t>early</w:t>
      </w:r>
      <w:r>
        <w:rPr>
          <w:spacing w:val="33"/>
          <w:sz w:val="20"/>
        </w:rPr>
        <w:t> </w:t>
      </w:r>
      <w:r>
        <w:rPr>
          <w:spacing w:val="-2"/>
          <w:sz w:val="20"/>
        </w:rPr>
        <w:t>events</w:t>
      </w:r>
    </w:p>
    <w:p>
      <w:pPr>
        <w:pStyle w:val="Heading6"/>
      </w:pPr>
      <w:r>
        <w:rPr>
          <w:spacing w:val="-2"/>
        </w:rPr>
        <w:t>However:</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Her</w:t>
      </w:r>
      <w:r>
        <w:rPr>
          <w:spacing w:val="12"/>
          <w:sz w:val="20"/>
        </w:rPr>
        <w:t> </w:t>
      </w:r>
      <w:r>
        <w:rPr>
          <w:sz w:val="20"/>
        </w:rPr>
        <w:t>influence</w:t>
      </w:r>
      <w:r>
        <w:rPr>
          <w:spacing w:val="14"/>
          <w:sz w:val="20"/>
        </w:rPr>
        <w:t> </w:t>
      </w:r>
      <w:r>
        <w:rPr>
          <w:spacing w:val="-2"/>
          <w:sz w:val="20"/>
        </w:rPr>
        <w:t>declines</w:t>
      </w:r>
    </w:p>
    <w:p>
      <w:pPr>
        <w:pStyle w:val="ListParagraph"/>
        <w:numPr>
          <w:ilvl w:val="2"/>
          <w:numId w:val="87"/>
        </w:numPr>
        <w:tabs>
          <w:tab w:pos="2159" w:val="left" w:leader="none"/>
        </w:tabs>
        <w:spacing w:line="240" w:lineRule="auto" w:before="79" w:after="0"/>
        <w:ind w:left="2159" w:right="0" w:hanging="239"/>
        <w:jc w:val="left"/>
        <w:rPr>
          <w:sz w:val="20"/>
        </w:rPr>
      </w:pPr>
      <w:r>
        <w:rPr>
          <w:sz w:val="20"/>
        </w:rPr>
        <w:t>Macbeth</w:t>
      </w:r>
      <w:r>
        <w:rPr>
          <w:spacing w:val="46"/>
          <w:sz w:val="20"/>
        </w:rPr>
        <w:t> </w:t>
      </w:r>
      <w:r>
        <w:rPr>
          <w:sz w:val="20"/>
        </w:rPr>
        <w:t>becomes</w:t>
      </w:r>
      <w:r>
        <w:rPr>
          <w:spacing w:val="47"/>
          <w:sz w:val="20"/>
        </w:rPr>
        <w:t> </w:t>
      </w:r>
      <w:r>
        <w:rPr>
          <w:spacing w:val="-2"/>
          <w:sz w:val="20"/>
        </w:rPr>
        <w:t>autonomous</w:t>
      </w:r>
    </w:p>
    <w:p>
      <w:pPr>
        <w:pStyle w:val="ListParagraph"/>
        <w:spacing w:after="0" w:line="240" w:lineRule="auto"/>
        <w:jc w:val="left"/>
        <w:rPr>
          <w:sz w:val="20"/>
        </w:rPr>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97600">
                <wp:simplePos x="0" y="0"/>
                <wp:positionH relativeFrom="page">
                  <wp:posOffset>2065020</wp:posOffset>
                </wp:positionH>
                <wp:positionV relativeFrom="paragraph">
                  <wp:posOffset>795020</wp:posOffset>
                </wp:positionV>
                <wp:extent cx="3657600" cy="12700"/>
                <wp:effectExtent l="0" t="0" r="0" b="0"/>
                <wp:wrapTopAndBottom/>
                <wp:docPr id="824" name="Graphic 824"/>
                <wp:cNvGraphicFramePr>
                  <a:graphicFrameLocks/>
                </wp:cNvGraphicFramePr>
                <a:graphic>
                  <a:graphicData uri="http://schemas.microsoft.com/office/word/2010/wordprocessingShape">
                    <wps:wsp>
                      <wps:cNvPr id="824" name="Graphic 82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18880;mso-wrap-distance-left:0;mso-wrap-distance-right:0" id="docshape816"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425</w:t>
      </w:r>
    </w:p>
    <w:p>
      <w:pPr>
        <w:pStyle w:val="Heading6"/>
        <w:spacing w:before="192"/>
      </w:pPr>
      <w:r>
        <w:rPr/>
        <w:t>This</w:t>
      </w:r>
      <w:r>
        <w:rPr>
          <w:spacing w:val="17"/>
        </w:rPr>
        <w:t> </w:t>
      </w:r>
      <w:r>
        <w:rPr/>
        <w:t>shift</w:t>
      </w:r>
      <w:r>
        <w:rPr>
          <w:spacing w:val="21"/>
        </w:rPr>
        <w:t> </w:t>
      </w:r>
      <w:r>
        <w:rPr>
          <w:spacing w:val="-2"/>
        </w:rPr>
        <w:t>reflects:</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Changing</w:t>
      </w:r>
      <w:r>
        <w:rPr>
          <w:spacing w:val="20"/>
          <w:sz w:val="20"/>
        </w:rPr>
        <w:t> </w:t>
      </w:r>
      <w:r>
        <w:rPr>
          <w:sz w:val="20"/>
        </w:rPr>
        <w:t>power</w:t>
      </w:r>
      <w:r>
        <w:rPr>
          <w:spacing w:val="25"/>
          <w:sz w:val="20"/>
        </w:rPr>
        <w:t> </w:t>
      </w:r>
      <w:r>
        <w:rPr>
          <w:spacing w:val="-2"/>
          <w:sz w:val="20"/>
        </w:rPr>
        <w:t>dynamics</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The</w:t>
      </w:r>
      <w:r>
        <w:rPr>
          <w:spacing w:val="23"/>
          <w:sz w:val="20"/>
        </w:rPr>
        <w:t> </w:t>
      </w:r>
      <w:r>
        <w:rPr>
          <w:sz w:val="20"/>
        </w:rPr>
        <w:t>instability</w:t>
      </w:r>
      <w:r>
        <w:rPr>
          <w:spacing w:val="19"/>
          <w:sz w:val="20"/>
        </w:rPr>
        <w:t> </w:t>
      </w:r>
      <w:r>
        <w:rPr>
          <w:sz w:val="20"/>
        </w:rPr>
        <w:t>of</w:t>
      </w:r>
      <w:r>
        <w:rPr>
          <w:spacing w:val="22"/>
          <w:sz w:val="20"/>
        </w:rPr>
        <w:t> </w:t>
      </w:r>
      <w:r>
        <w:rPr>
          <w:spacing w:val="-2"/>
          <w:sz w:val="20"/>
        </w:rPr>
        <w:t>control</w:t>
      </w:r>
    </w:p>
    <w:p>
      <w:pPr>
        <w:pStyle w:val="Heading5"/>
        <w:numPr>
          <w:ilvl w:val="1"/>
          <w:numId w:val="87"/>
        </w:numPr>
        <w:tabs>
          <w:tab w:pos="1742" w:val="left" w:leader="none"/>
        </w:tabs>
        <w:spacing w:line="240" w:lineRule="auto" w:before="122" w:after="0"/>
        <w:ind w:left="1742" w:right="0" w:hanging="302"/>
        <w:jc w:val="left"/>
      </w:pPr>
      <w:r>
        <w:rPr>
          <w:w w:val="110"/>
        </w:rPr>
        <w:t>Monarchy</w:t>
      </w:r>
      <w:r>
        <w:rPr>
          <w:spacing w:val="53"/>
          <w:w w:val="110"/>
        </w:rPr>
        <w:t> </w:t>
      </w:r>
      <w:r>
        <w:rPr>
          <w:w w:val="110"/>
        </w:rPr>
        <w:t>vs</w:t>
      </w:r>
      <w:r>
        <w:rPr>
          <w:spacing w:val="56"/>
          <w:w w:val="110"/>
        </w:rPr>
        <w:t> </w:t>
      </w:r>
      <w:r>
        <w:rPr>
          <w:spacing w:val="-2"/>
          <w:w w:val="110"/>
        </w:rPr>
        <w:t>Anarchy</w:t>
      </w:r>
    </w:p>
    <w:p>
      <w:pPr>
        <w:pStyle w:val="BodyText"/>
        <w:spacing w:before="72"/>
        <w:ind w:left="1872"/>
      </w:pPr>
      <w:r>
        <w:rPr/>
        <w:t>Your</w:t>
      </w:r>
      <w:r>
        <w:rPr>
          <w:spacing w:val="14"/>
        </w:rPr>
        <w:t> </w:t>
      </w:r>
      <w:r>
        <w:rPr/>
        <w:t>contrast</w:t>
      </w:r>
      <w:r>
        <w:rPr>
          <w:spacing w:val="14"/>
        </w:rPr>
        <w:t> </w:t>
      </w:r>
      <w:r>
        <w:rPr/>
        <w:t>is</w:t>
      </w:r>
      <w:r>
        <w:rPr>
          <w:spacing w:val="16"/>
        </w:rPr>
        <w:t> </w:t>
      </w:r>
      <w:r>
        <w:rPr/>
        <w:t>analytically</w:t>
      </w:r>
      <w:r>
        <w:rPr>
          <w:spacing w:val="12"/>
        </w:rPr>
        <w:t> </w:t>
      </w:r>
      <w:r>
        <w:rPr>
          <w:spacing w:val="-2"/>
        </w:rPr>
        <w:t>significant.</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Monarchy</w:t>
      </w:r>
      <w:r>
        <w:rPr>
          <w:spacing w:val="14"/>
          <w:sz w:val="20"/>
        </w:rPr>
        <w:t> </w:t>
      </w:r>
      <w:r>
        <w:rPr>
          <w:sz w:val="20"/>
        </w:rPr>
        <w:t>=</w:t>
      </w:r>
      <w:r>
        <w:rPr>
          <w:spacing w:val="20"/>
          <w:sz w:val="20"/>
        </w:rPr>
        <w:t> </w:t>
      </w:r>
      <w:r>
        <w:rPr>
          <w:sz w:val="20"/>
        </w:rPr>
        <w:t>order,</w:t>
      </w:r>
      <w:r>
        <w:rPr>
          <w:spacing w:val="18"/>
          <w:sz w:val="20"/>
        </w:rPr>
        <w:t> </w:t>
      </w:r>
      <w:r>
        <w:rPr>
          <w:spacing w:val="-2"/>
          <w:sz w:val="20"/>
        </w:rPr>
        <w:t>hierarchy</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Anarchy</w:t>
      </w:r>
      <w:r>
        <w:rPr>
          <w:spacing w:val="33"/>
          <w:sz w:val="20"/>
        </w:rPr>
        <w:t> </w:t>
      </w:r>
      <w:r>
        <w:rPr>
          <w:sz w:val="20"/>
        </w:rPr>
        <w:t>=</w:t>
      </w:r>
      <w:r>
        <w:rPr>
          <w:spacing w:val="40"/>
          <w:sz w:val="20"/>
        </w:rPr>
        <w:t> </w:t>
      </w:r>
      <w:r>
        <w:rPr>
          <w:sz w:val="20"/>
        </w:rPr>
        <w:t>chaos,</w:t>
      </w:r>
      <w:r>
        <w:rPr>
          <w:spacing w:val="37"/>
          <w:sz w:val="20"/>
        </w:rPr>
        <w:t> </w:t>
      </w:r>
      <w:r>
        <w:rPr>
          <w:sz w:val="20"/>
        </w:rPr>
        <w:t>absence</w:t>
      </w:r>
      <w:r>
        <w:rPr>
          <w:spacing w:val="39"/>
          <w:sz w:val="20"/>
        </w:rPr>
        <w:t> </w:t>
      </w:r>
      <w:r>
        <w:rPr>
          <w:sz w:val="20"/>
        </w:rPr>
        <w:t>of</w:t>
      </w:r>
      <w:r>
        <w:rPr>
          <w:spacing w:val="35"/>
          <w:sz w:val="20"/>
        </w:rPr>
        <w:t> </w:t>
      </w:r>
      <w:r>
        <w:rPr>
          <w:spacing w:val="-2"/>
          <w:sz w:val="20"/>
        </w:rPr>
        <w:t>structure</w:t>
      </w:r>
    </w:p>
    <w:p>
      <w:pPr>
        <w:pStyle w:val="Heading6"/>
        <w:spacing w:before="72"/>
      </w:pPr>
      <w:r>
        <w:rPr>
          <w:spacing w:val="-9"/>
        </w:rPr>
        <w:t>Lady</w:t>
      </w:r>
      <w:r>
        <w:rPr>
          <w:spacing w:val="-20"/>
        </w:rPr>
        <w:t> </w:t>
      </w:r>
      <w:r>
        <w:rPr>
          <w:spacing w:val="-2"/>
        </w:rPr>
        <w:t>Macbeth:</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Disrupts</w:t>
      </w:r>
      <w:r>
        <w:rPr>
          <w:spacing w:val="27"/>
          <w:sz w:val="20"/>
        </w:rPr>
        <w:t> </w:t>
      </w:r>
      <w:r>
        <w:rPr>
          <w:spacing w:val="-2"/>
          <w:sz w:val="20"/>
        </w:rPr>
        <w:t>order</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Creates</w:t>
      </w:r>
      <w:r>
        <w:rPr>
          <w:spacing w:val="31"/>
          <w:sz w:val="20"/>
        </w:rPr>
        <w:t> </w:t>
      </w:r>
      <w:r>
        <w:rPr>
          <w:sz w:val="20"/>
        </w:rPr>
        <w:t>controlled</w:t>
      </w:r>
      <w:r>
        <w:rPr>
          <w:spacing w:val="32"/>
          <w:sz w:val="20"/>
        </w:rPr>
        <w:t> </w:t>
      </w:r>
      <w:r>
        <w:rPr>
          <w:spacing w:val="-4"/>
          <w:sz w:val="20"/>
        </w:rPr>
        <w:t>chaos</w:t>
      </w:r>
    </w:p>
    <w:p>
      <w:pPr>
        <w:pStyle w:val="ListParagraph"/>
        <w:numPr>
          <w:ilvl w:val="2"/>
          <w:numId w:val="87"/>
        </w:numPr>
        <w:tabs>
          <w:tab w:pos="2159" w:val="left" w:leader="none"/>
        </w:tabs>
        <w:spacing w:line="240" w:lineRule="auto" w:before="78" w:after="0"/>
        <w:ind w:left="2159" w:right="0" w:hanging="239"/>
        <w:jc w:val="left"/>
        <w:rPr>
          <w:sz w:val="20"/>
        </w:rPr>
      </w:pPr>
      <w:r>
        <w:rPr>
          <w:sz w:val="20"/>
        </w:rPr>
        <w:t>Seeks</w:t>
      </w:r>
      <w:r>
        <w:rPr>
          <w:spacing w:val="29"/>
          <w:sz w:val="20"/>
        </w:rPr>
        <w:t> </w:t>
      </w:r>
      <w:r>
        <w:rPr>
          <w:sz w:val="20"/>
        </w:rPr>
        <w:t>to</w:t>
      </w:r>
      <w:r>
        <w:rPr>
          <w:spacing w:val="30"/>
          <w:sz w:val="20"/>
        </w:rPr>
        <w:t> </w:t>
      </w:r>
      <w:r>
        <w:rPr>
          <w:sz w:val="20"/>
        </w:rPr>
        <w:t>restore</w:t>
      </w:r>
      <w:r>
        <w:rPr>
          <w:spacing w:val="29"/>
          <w:sz w:val="20"/>
        </w:rPr>
        <w:t> </w:t>
      </w:r>
      <w:r>
        <w:rPr>
          <w:sz w:val="20"/>
        </w:rPr>
        <w:t>order</w:t>
      </w:r>
      <w:r>
        <w:rPr>
          <w:spacing w:val="30"/>
          <w:sz w:val="20"/>
        </w:rPr>
        <w:t> </w:t>
      </w:r>
      <w:r>
        <w:rPr>
          <w:sz w:val="20"/>
        </w:rPr>
        <w:t>under</w:t>
      </w:r>
      <w:r>
        <w:rPr>
          <w:spacing w:val="30"/>
          <w:sz w:val="20"/>
        </w:rPr>
        <w:t> </w:t>
      </w:r>
      <w:r>
        <w:rPr>
          <w:sz w:val="20"/>
        </w:rPr>
        <w:t>new</w:t>
      </w:r>
      <w:r>
        <w:rPr>
          <w:spacing w:val="25"/>
          <w:sz w:val="20"/>
        </w:rPr>
        <w:t> </w:t>
      </w:r>
      <w:r>
        <w:rPr>
          <w:spacing w:val="-2"/>
          <w:sz w:val="20"/>
        </w:rPr>
        <w:t>authority</w:t>
      </w:r>
    </w:p>
    <w:p>
      <w:pPr>
        <w:pStyle w:val="Heading5"/>
        <w:numPr>
          <w:ilvl w:val="1"/>
          <w:numId w:val="87"/>
        </w:numPr>
        <w:tabs>
          <w:tab w:pos="1740" w:val="left" w:leader="none"/>
        </w:tabs>
        <w:spacing w:line="240" w:lineRule="auto" w:before="119" w:after="0"/>
        <w:ind w:left="1740" w:right="0" w:hanging="300"/>
        <w:jc w:val="left"/>
      </w:pPr>
      <w:r>
        <w:rPr>
          <w:w w:val="105"/>
        </w:rPr>
        <w:t>Time</w:t>
      </w:r>
      <w:r>
        <w:rPr>
          <w:spacing w:val="61"/>
          <w:w w:val="105"/>
        </w:rPr>
        <w:t> </w:t>
      </w:r>
      <w:r>
        <w:rPr>
          <w:w w:val="105"/>
        </w:rPr>
        <w:t>and</w:t>
      </w:r>
      <w:r>
        <w:rPr>
          <w:spacing w:val="57"/>
          <w:w w:val="105"/>
        </w:rPr>
        <w:t> </w:t>
      </w:r>
      <w:r>
        <w:rPr>
          <w:spacing w:val="-2"/>
          <w:w w:val="105"/>
        </w:rPr>
        <w:t>Atmosphere</w:t>
      </w:r>
    </w:p>
    <w:p>
      <w:pPr>
        <w:pStyle w:val="ListParagraph"/>
        <w:numPr>
          <w:ilvl w:val="2"/>
          <w:numId w:val="87"/>
        </w:numPr>
        <w:tabs>
          <w:tab w:pos="2159" w:val="left" w:leader="none"/>
        </w:tabs>
        <w:spacing w:line="240" w:lineRule="auto" w:before="82" w:after="0"/>
        <w:ind w:left="2159" w:right="0" w:hanging="239"/>
        <w:jc w:val="left"/>
        <w:rPr>
          <w:sz w:val="20"/>
        </w:rPr>
      </w:pPr>
      <w:r>
        <w:rPr>
          <w:sz w:val="20"/>
        </w:rPr>
        <w:t>Stillness</w:t>
      </w:r>
      <w:r>
        <w:rPr>
          <w:spacing w:val="17"/>
          <w:sz w:val="20"/>
        </w:rPr>
        <w:t> </w:t>
      </w:r>
      <w:r>
        <w:rPr>
          <w:sz w:val="20"/>
        </w:rPr>
        <w:t>of</w:t>
      </w:r>
      <w:r>
        <w:rPr>
          <w:spacing w:val="19"/>
          <w:sz w:val="20"/>
        </w:rPr>
        <w:t> </w:t>
      </w:r>
      <w:r>
        <w:rPr>
          <w:sz w:val="20"/>
        </w:rPr>
        <w:t>time</w:t>
      </w:r>
      <w:r>
        <w:rPr>
          <w:spacing w:val="18"/>
          <w:sz w:val="20"/>
        </w:rPr>
        <w:t> </w:t>
      </w:r>
      <w:r>
        <w:rPr>
          <w:sz w:val="20"/>
        </w:rPr>
        <w:t>’™</w:t>
      </w:r>
      <w:r>
        <w:rPr>
          <w:spacing w:val="19"/>
          <w:sz w:val="20"/>
        </w:rPr>
        <w:t> </w:t>
      </w:r>
      <w:r>
        <w:rPr>
          <w:sz w:val="20"/>
        </w:rPr>
        <w:t>suspension</w:t>
      </w:r>
      <w:r>
        <w:rPr>
          <w:spacing w:val="19"/>
          <w:sz w:val="20"/>
        </w:rPr>
        <w:t> </w:t>
      </w:r>
      <w:r>
        <w:rPr>
          <w:sz w:val="20"/>
        </w:rPr>
        <w:t>of</w:t>
      </w:r>
      <w:r>
        <w:rPr>
          <w:spacing w:val="17"/>
          <w:sz w:val="20"/>
        </w:rPr>
        <w:t> </w:t>
      </w:r>
      <w:r>
        <w:rPr>
          <w:spacing w:val="-2"/>
          <w:sz w:val="20"/>
        </w:rPr>
        <w:t>normality</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Eclipse</w:t>
      </w:r>
      <w:r>
        <w:rPr>
          <w:spacing w:val="14"/>
          <w:sz w:val="20"/>
        </w:rPr>
        <w:t> </w:t>
      </w:r>
      <w:r>
        <w:rPr>
          <w:sz w:val="20"/>
        </w:rPr>
        <w:t>imagery</w:t>
      </w:r>
      <w:r>
        <w:rPr>
          <w:spacing w:val="11"/>
          <w:sz w:val="20"/>
        </w:rPr>
        <w:t> </w:t>
      </w:r>
      <w:r>
        <w:rPr>
          <w:sz w:val="20"/>
        </w:rPr>
        <w:t>’™</w:t>
      </w:r>
      <w:r>
        <w:rPr>
          <w:spacing w:val="18"/>
          <w:sz w:val="20"/>
        </w:rPr>
        <w:t> </w:t>
      </w:r>
      <w:r>
        <w:rPr>
          <w:sz w:val="20"/>
        </w:rPr>
        <w:t>transition</w:t>
      </w:r>
      <w:r>
        <w:rPr>
          <w:spacing w:val="13"/>
          <w:sz w:val="20"/>
        </w:rPr>
        <w:t> </w:t>
      </w:r>
      <w:r>
        <w:rPr>
          <w:sz w:val="20"/>
        </w:rPr>
        <w:t>into</w:t>
      </w:r>
      <w:r>
        <w:rPr>
          <w:spacing w:val="17"/>
          <w:sz w:val="20"/>
        </w:rPr>
        <w:t> </w:t>
      </w:r>
      <w:r>
        <w:rPr>
          <w:spacing w:val="-2"/>
          <w:sz w:val="20"/>
        </w:rPr>
        <w:t>darkness</w:t>
      </w:r>
    </w:p>
    <w:p>
      <w:pPr>
        <w:pStyle w:val="Heading6"/>
      </w:pPr>
      <w:r>
        <w:rPr/>
        <w:t>These</w:t>
      </w:r>
      <w:r>
        <w:rPr>
          <w:spacing w:val="6"/>
        </w:rPr>
        <w:t> </w:t>
      </w:r>
      <w:r>
        <w:rPr>
          <w:spacing w:val="-2"/>
        </w:rPr>
        <w:t>elements:</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Intensify</w:t>
      </w:r>
      <w:r>
        <w:rPr>
          <w:spacing w:val="21"/>
          <w:sz w:val="20"/>
        </w:rPr>
        <w:t> </w:t>
      </w:r>
      <w:r>
        <w:rPr>
          <w:sz w:val="20"/>
        </w:rPr>
        <w:t>dramatic</w:t>
      </w:r>
      <w:r>
        <w:rPr>
          <w:spacing w:val="29"/>
          <w:sz w:val="20"/>
        </w:rPr>
        <w:t> </w:t>
      </w:r>
      <w:r>
        <w:rPr>
          <w:spacing w:val="-2"/>
          <w:sz w:val="20"/>
        </w:rPr>
        <w:t>tension</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Reflect</w:t>
      </w:r>
      <w:r>
        <w:rPr>
          <w:spacing w:val="-1"/>
          <w:sz w:val="20"/>
        </w:rPr>
        <w:t> </w:t>
      </w:r>
      <w:r>
        <w:rPr>
          <w:sz w:val="20"/>
        </w:rPr>
        <w:t>moral</w:t>
      </w:r>
      <w:r>
        <w:rPr>
          <w:spacing w:val="1"/>
          <w:sz w:val="20"/>
        </w:rPr>
        <w:t> </w:t>
      </w:r>
      <w:r>
        <w:rPr>
          <w:spacing w:val="-2"/>
          <w:sz w:val="20"/>
        </w:rPr>
        <w:t>disorientation</w:t>
      </w:r>
    </w:p>
    <w:p>
      <w:pPr>
        <w:pStyle w:val="Heading5"/>
        <w:numPr>
          <w:ilvl w:val="1"/>
          <w:numId w:val="87"/>
        </w:numPr>
        <w:tabs>
          <w:tab w:pos="1758" w:val="left" w:leader="none"/>
        </w:tabs>
        <w:spacing w:line="240" w:lineRule="auto" w:before="120" w:after="0"/>
        <w:ind w:left="1758" w:right="0" w:hanging="318"/>
        <w:jc w:val="left"/>
      </w:pPr>
      <w:r>
        <w:rPr>
          <w:w w:val="105"/>
        </w:rPr>
        <w:t>Psychological</w:t>
      </w:r>
      <w:r>
        <w:rPr>
          <w:spacing w:val="64"/>
          <w:w w:val="105"/>
        </w:rPr>
        <w:t>  </w:t>
      </w:r>
      <w:r>
        <w:rPr>
          <w:spacing w:val="-2"/>
          <w:w w:val="105"/>
        </w:rPr>
        <w:t>Breakdown</w:t>
      </w:r>
    </w:p>
    <w:p>
      <w:pPr>
        <w:pStyle w:val="Heading6"/>
        <w:spacing w:before="72"/>
      </w:pPr>
      <w:r>
        <w:rPr/>
        <w:t>Her</w:t>
      </w:r>
      <w:r>
        <w:rPr>
          <w:spacing w:val="-5"/>
        </w:rPr>
        <w:t> </w:t>
      </w:r>
      <w:r>
        <w:rPr/>
        <w:t>descent</w:t>
      </w:r>
      <w:r>
        <w:rPr>
          <w:spacing w:val="-1"/>
        </w:rPr>
        <w:t> </w:t>
      </w:r>
      <w:r>
        <w:rPr/>
        <w:t>into</w:t>
      </w:r>
      <w:r>
        <w:rPr>
          <w:spacing w:val="-5"/>
        </w:rPr>
        <w:t> </w:t>
      </w:r>
      <w:r>
        <w:rPr/>
        <w:t>madness</w:t>
      </w:r>
      <w:r>
        <w:rPr>
          <w:spacing w:val="-5"/>
        </w:rPr>
        <w:t> </w:t>
      </w:r>
      <w:r>
        <w:rPr/>
        <w:t>is</w:t>
      </w:r>
      <w:r>
        <w:rPr>
          <w:spacing w:val="-4"/>
        </w:rPr>
        <w:t> </w:t>
      </w:r>
      <w:r>
        <w:rPr/>
        <w:t>analytically</w:t>
      </w:r>
      <w:r>
        <w:rPr>
          <w:spacing w:val="-3"/>
        </w:rPr>
        <w:t> </w:t>
      </w:r>
      <w:r>
        <w:rPr>
          <w:spacing w:val="-2"/>
        </w:rPr>
        <w:t>structured:</w:t>
      </w:r>
    </w:p>
    <w:p>
      <w:pPr>
        <w:pStyle w:val="ListParagraph"/>
        <w:numPr>
          <w:ilvl w:val="2"/>
          <w:numId w:val="87"/>
        </w:numPr>
        <w:tabs>
          <w:tab w:pos="2159" w:val="left" w:leader="none"/>
        </w:tabs>
        <w:spacing w:line="240" w:lineRule="auto" w:before="74" w:after="0"/>
        <w:ind w:left="2159" w:right="0" w:hanging="239"/>
        <w:jc w:val="left"/>
        <w:rPr>
          <w:sz w:val="20"/>
        </w:rPr>
      </w:pPr>
      <w:r>
        <w:rPr>
          <w:sz w:val="20"/>
        </w:rPr>
        <w:t>Suppression</w:t>
      </w:r>
      <w:r>
        <w:rPr>
          <w:spacing w:val="31"/>
          <w:sz w:val="20"/>
        </w:rPr>
        <w:t> </w:t>
      </w:r>
      <w:r>
        <w:rPr>
          <w:sz w:val="20"/>
        </w:rPr>
        <w:t>of</w:t>
      </w:r>
      <w:r>
        <w:rPr>
          <w:spacing w:val="30"/>
          <w:sz w:val="20"/>
        </w:rPr>
        <w:t> </w:t>
      </w:r>
      <w:r>
        <w:rPr>
          <w:spacing w:val="-2"/>
          <w:sz w:val="20"/>
        </w:rPr>
        <w:t>guilt</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Emergence</w:t>
      </w:r>
      <w:r>
        <w:rPr>
          <w:spacing w:val="26"/>
          <w:sz w:val="20"/>
        </w:rPr>
        <w:t> </w:t>
      </w:r>
      <w:r>
        <w:rPr>
          <w:sz w:val="20"/>
        </w:rPr>
        <w:t>of</w:t>
      </w:r>
      <w:r>
        <w:rPr>
          <w:spacing w:val="25"/>
          <w:sz w:val="20"/>
        </w:rPr>
        <w:t> </w:t>
      </w:r>
      <w:r>
        <w:rPr>
          <w:sz w:val="20"/>
        </w:rPr>
        <w:t>subconscious</w:t>
      </w:r>
      <w:r>
        <w:rPr>
          <w:spacing w:val="27"/>
          <w:sz w:val="20"/>
        </w:rPr>
        <w:t> </w:t>
      </w:r>
      <w:r>
        <w:rPr>
          <w:spacing w:val="-2"/>
          <w:sz w:val="20"/>
        </w:rPr>
        <w:t>conflict</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Manifestation</w:t>
      </w:r>
      <w:r>
        <w:rPr>
          <w:spacing w:val="19"/>
          <w:sz w:val="20"/>
        </w:rPr>
        <w:t> </w:t>
      </w:r>
      <w:r>
        <w:rPr>
          <w:sz w:val="20"/>
        </w:rPr>
        <w:t>in</w:t>
      </w:r>
      <w:r>
        <w:rPr>
          <w:spacing w:val="19"/>
          <w:sz w:val="20"/>
        </w:rPr>
        <w:t> </w:t>
      </w:r>
      <w:r>
        <w:rPr>
          <w:spacing w:val="-2"/>
          <w:sz w:val="20"/>
        </w:rPr>
        <w:t>sleepwalking</w:t>
      </w:r>
    </w:p>
    <w:p>
      <w:pPr>
        <w:pStyle w:val="Heading6"/>
      </w:pPr>
      <w:r>
        <w:rPr/>
        <w:t>This</w:t>
      </w:r>
      <w:r>
        <w:rPr>
          <w:spacing w:val="19"/>
        </w:rPr>
        <w:t> </w:t>
      </w:r>
      <w:r>
        <w:rPr>
          <w:spacing w:val="-2"/>
        </w:rPr>
        <w:t>reflects:</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The</w:t>
      </w:r>
      <w:r>
        <w:rPr>
          <w:spacing w:val="11"/>
          <w:sz w:val="20"/>
        </w:rPr>
        <w:t> </w:t>
      </w:r>
      <w:r>
        <w:rPr>
          <w:sz w:val="20"/>
        </w:rPr>
        <w:t>limits</w:t>
      </w:r>
      <w:r>
        <w:rPr>
          <w:spacing w:val="13"/>
          <w:sz w:val="20"/>
        </w:rPr>
        <w:t> </w:t>
      </w:r>
      <w:r>
        <w:rPr>
          <w:sz w:val="20"/>
        </w:rPr>
        <w:t>of</w:t>
      </w:r>
      <w:r>
        <w:rPr>
          <w:spacing w:val="10"/>
          <w:sz w:val="20"/>
        </w:rPr>
        <w:t> </w:t>
      </w:r>
      <w:r>
        <w:rPr>
          <w:sz w:val="20"/>
        </w:rPr>
        <w:t>rational</w:t>
      </w:r>
      <w:r>
        <w:rPr>
          <w:spacing w:val="12"/>
          <w:sz w:val="20"/>
        </w:rPr>
        <w:t> </w:t>
      </w:r>
      <w:r>
        <w:rPr>
          <w:spacing w:val="-2"/>
          <w:sz w:val="20"/>
        </w:rPr>
        <w:t>control</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The</w:t>
      </w:r>
      <w:r>
        <w:rPr>
          <w:spacing w:val="20"/>
          <w:sz w:val="20"/>
        </w:rPr>
        <w:t> </w:t>
      </w:r>
      <w:r>
        <w:rPr>
          <w:sz w:val="20"/>
        </w:rPr>
        <w:t>inevitability</w:t>
      </w:r>
      <w:r>
        <w:rPr>
          <w:spacing w:val="19"/>
          <w:sz w:val="20"/>
        </w:rPr>
        <w:t> </w:t>
      </w:r>
      <w:r>
        <w:rPr>
          <w:sz w:val="20"/>
        </w:rPr>
        <w:t>of</w:t>
      </w:r>
      <w:r>
        <w:rPr>
          <w:spacing w:val="20"/>
          <w:sz w:val="20"/>
        </w:rPr>
        <w:t> </w:t>
      </w:r>
      <w:r>
        <w:rPr>
          <w:sz w:val="20"/>
        </w:rPr>
        <w:t>moral</w:t>
      </w:r>
      <w:r>
        <w:rPr>
          <w:spacing w:val="20"/>
          <w:sz w:val="20"/>
        </w:rPr>
        <w:t> </w:t>
      </w:r>
      <w:r>
        <w:rPr>
          <w:spacing w:val="-2"/>
          <w:sz w:val="20"/>
        </w:rPr>
        <w:t>consequence</w:t>
      </w:r>
    </w:p>
    <w:p>
      <w:pPr>
        <w:pStyle w:val="Heading5"/>
        <w:numPr>
          <w:ilvl w:val="1"/>
          <w:numId w:val="87"/>
        </w:numPr>
        <w:tabs>
          <w:tab w:pos="1758" w:val="left" w:leader="none"/>
        </w:tabs>
        <w:spacing w:line="240" w:lineRule="auto" w:before="119" w:after="0"/>
        <w:ind w:left="1758" w:right="0" w:hanging="318"/>
        <w:jc w:val="left"/>
      </w:pPr>
      <w:r>
        <w:rPr>
          <w:w w:val="105"/>
        </w:rPr>
        <w:t>Relationship</w:t>
      </w:r>
      <w:r>
        <w:rPr>
          <w:spacing w:val="64"/>
          <w:w w:val="105"/>
        </w:rPr>
        <w:t> </w:t>
      </w:r>
      <w:r>
        <w:rPr>
          <w:spacing w:val="-2"/>
          <w:w w:val="105"/>
        </w:rPr>
        <w:t>Dynamics</w:t>
      </w:r>
    </w:p>
    <w:p>
      <w:pPr>
        <w:pStyle w:val="Heading6"/>
        <w:spacing w:before="72"/>
      </w:pPr>
      <w:r>
        <w:rPr>
          <w:spacing w:val="-5"/>
        </w:rPr>
        <w:t>With</w:t>
      </w:r>
      <w:r>
        <w:rPr>
          <w:spacing w:val="-19"/>
        </w:rPr>
        <w:t> </w:t>
      </w:r>
      <w:r>
        <w:rPr>
          <w:spacing w:val="-2"/>
        </w:rPr>
        <w:t>Macbeth:</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Initially</w:t>
      </w:r>
      <w:r>
        <w:rPr>
          <w:spacing w:val="-13"/>
          <w:sz w:val="20"/>
        </w:rPr>
        <w:t> </w:t>
      </w:r>
      <w:r>
        <w:rPr>
          <w:spacing w:val="-2"/>
          <w:sz w:val="20"/>
        </w:rPr>
        <w:t>dominant</w:t>
      </w:r>
    </w:p>
    <w:p>
      <w:pPr>
        <w:pStyle w:val="ListParagraph"/>
        <w:numPr>
          <w:ilvl w:val="2"/>
          <w:numId w:val="87"/>
        </w:numPr>
        <w:tabs>
          <w:tab w:pos="2159" w:val="left" w:leader="none"/>
        </w:tabs>
        <w:spacing w:line="240" w:lineRule="auto" w:before="79" w:after="0"/>
        <w:ind w:left="2159" w:right="0" w:hanging="239"/>
        <w:jc w:val="left"/>
        <w:rPr>
          <w:sz w:val="20"/>
        </w:rPr>
      </w:pPr>
      <w:r>
        <w:rPr>
          <w:sz w:val="20"/>
        </w:rPr>
        <w:t>Later</w:t>
      </w:r>
      <w:r>
        <w:rPr>
          <w:spacing w:val="5"/>
          <w:sz w:val="20"/>
        </w:rPr>
        <w:t> </w:t>
      </w:r>
      <w:r>
        <w:rPr>
          <w:spacing w:val="-2"/>
          <w:sz w:val="20"/>
        </w:rPr>
        <w:t>equal</w:t>
      </w:r>
    </w:p>
    <w:p>
      <w:pPr>
        <w:pStyle w:val="ListParagraph"/>
        <w:numPr>
          <w:ilvl w:val="2"/>
          <w:numId w:val="87"/>
        </w:numPr>
        <w:tabs>
          <w:tab w:pos="2159" w:val="left" w:leader="none"/>
        </w:tabs>
        <w:spacing w:line="240" w:lineRule="auto" w:before="78" w:after="0"/>
        <w:ind w:left="2159" w:right="0" w:hanging="239"/>
        <w:jc w:val="left"/>
        <w:rPr>
          <w:sz w:val="20"/>
        </w:rPr>
      </w:pPr>
      <w:r>
        <w:rPr>
          <w:sz w:val="20"/>
        </w:rPr>
        <w:t>Finally</w:t>
      </w:r>
      <w:r>
        <w:rPr>
          <w:spacing w:val="1"/>
          <w:sz w:val="20"/>
        </w:rPr>
        <w:t> </w:t>
      </w:r>
      <w:r>
        <w:rPr>
          <w:spacing w:val="-2"/>
          <w:sz w:val="20"/>
        </w:rPr>
        <w:t>isolated</w:t>
      </w:r>
    </w:p>
    <w:p>
      <w:pPr>
        <w:pStyle w:val="ListParagraph"/>
        <w:spacing w:after="0" w:line="240" w:lineRule="auto"/>
        <w:jc w:val="left"/>
        <w:rPr>
          <w:sz w:val="20"/>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98112">
                <wp:simplePos x="0" y="0"/>
                <wp:positionH relativeFrom="page">
                  <wp:posOffset>2057400</wp:posOffset>
                </wp:positionH>
                <wp:positionV relativeFrom="paragraph">
                  <wp:posOffset>162604</wp:posOffset>
                </wp:positionV>
                <wp:extent cx="3657600" cy="12700"/>
                <wp:effectExtent l="0" t="0" r="0" b="0"/>
                <wp:wrapTopAndBottom/>
                <wp:docPr id="825" name="Graphic 825"/>
                <wp:cNvGraphicFramePr>
                  <a:graphicFrameLocks/>
                </wp:cNvGraphicFramePr>
                <a:graphic>
                  <a:graphicData uri="http://schemas.microsoft.com/office/word/2010/wordprocessingShape">
                    <wps:wsp>
                      <wps:cNvPr id="825" name="Graphic 82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18368;mso-wrap-distance-left:0;mso-wrap-distance-right:0" id="docshape817" filled="true" fillcolor="#000000" stroked="false">
                <v:fill type="solid"/>
                <w10:wrap type="topAndBottom"/>
              </v:rect>
            </w:pict>
          </mc:Fallback>
        </mc:AlternateContent>
      </w:r>
      <w:r>
        <w:rPr>
          <w:rFonts w:ascii="Verdana"/>
          <w:spacing w:val="-5"/>
          <w:sz w:val="18"/>
        </w:rPr>
        <w:t>426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6"/>
        <w:spacing w:before="192"/>
      </w:pPr>
      <w:r>
        <w:rPr/>
        <w:t>This</w:t>
      </w:r>
      <w:r>
        <w:rPr>
          <w:spacing w:val="1"/>
        </w:rPr>
        <w:t> </w:t>
      </w:r>
      <w:r>
        <w:rPr/>
        <w:t>progression</w:t>
      </w:r>
      <w:r>
        <w:rPr>
          <w:spacing w:val="2"/>
        </w:rPr>
        <w:t> </w:t>
      </w:r>
      <w:r>
        <w:rPr>
          <w:spacing w:val="-2"/>
        </w:rPr>
        <w:t>shows:</w:t>
      </w:r>
    </w:p>
    <w:p>
      <w:pPr>
        <w:pStyle w:val="ListParagraph"/>
        <w:numPr>
          <w:ilvl w:val="2"/>
          <w:numId w:val="87"/>
        </w:numPr>
        <w:tabs>
          <w:tab w:pos="2159" w:val="left" w:leader="none"/>
        </w:tabs>
        <w:spacing w:line="240" w:lineRule="auto" w:before="75" w:after="0"/>
        <w:ind w:left="2159" w:right="0" w:hanging="239"/>
        <w:jc w:val="left"/>
        <w:rPr>
          <w:sz w:val="20"/>
        </w:rPr>
      </w:pPr>
      <w:r>
        <w:rPr>
          <w:sz w:val="20"/>
        </w:rPr>
        <w:t>The</w:t>
      </w:r>
      <w:r>
        <w:rPr>
          <w:spacing w:val="24"/>
          <w:sz w:val="20"/>
        </w:rPr>
        <w:t> </w:t>
      </w:r>
      <w:r>
        <w:rPr>
          <w:sz w:val="20"/>
        </w:rPr>
        <w:t>fragmentation</w:t>
      </w:r>
      <w:r>
        <w:rPr>
          <w:spacing w:val="24"/>
          <w:sz w:val="20"/>
        </w:rPr>
        <w:t> </w:t>
      </w:r>
      <w:r>
        <w:rPr>
          <w:sz w:val="20"/>
        </w:rPr>
        <w:t>of</w:t>
      </w:r>
      <w:r>
        <w:rPr>
          <w:spacing w:val="22"/>
          <w:sz w:val="20"/>
        </w:rPr>
        <w:t> </w:t>
      </w:r>
      <w:r>
        <w:rPr>
          <w:spacing w:val="-2"/>
          <w:sz w:val="20"/>
        </w:rPr>
        <w:t>partnership</w:t>
      </w:r>
    </w:p>
    <w:p>
      <w:pPr>
        <w:pStyle w:val="ListParagraph"/>
        <w:numPr>
          <w:ilvl w:val="2"/>
          <w:numId w:val="87"/>
        </w:numPr>
        <w:tabs>
          <w:tab w:pos="2159" w:val="left" w:leader="none"/>
        </w:tabs>
        <w:spacing w:line="240" w:lineRule="auto" w:before="77" w:after="0"/>
        <w:ind w:left="2159" w:right="0" w:hanging="239"/>
        <w:jc w:val="left"/>
        <w:rPr>
          <w:sz w:val="20"/>
        </w:rPr>
      </w:pPr>
      <w:r>
        <w:rPr>
          <w:sz w:val="20"/>
        </w:rPr>
        <w:t>The</w:t>
      </w:r>
      <w:r>
        <w:rPr>
          <w:spacing w:val="21"/>
          <w:sz w:val="20"/>
        </w:rPr>
        <w:t> </w:t>
      </w:r>
      <w:r>
        <w:rPr>
          <w:sz w:val="20"/>
        </w:rPr>
        <w:t>isolating</w:t>
      </w:r>
      <w:r>
        <w:rPr>
          <w:spacing w:val="21"/>
          <w:sz w:val="20"/>
        </w:rPr>
        <w:t> </w:t>
      </w:r>
      <w:r>
        <w:rPr>
          <w:sz w:val="20"/>
        </w:rPr>
        <w:t>nature</w:t>
      </w:r>
      <w:r>
        <w:rPr>
          <w:spacing w:val="22"/>
          <w:sz w:val="20"/>
        </w:rPr>
        <w:t> </w:t>
      </w:r>
      <w:r>
        <w:rPr>
          <w:sz w:val="20"/>
        </w:rPr>
        <w:t>of</w:t>
      </w:r>
      <w:r>
        <w:rPr>
          <w:spacing w:val="21"/>
          <w:sz w:val="20"/>
        </w:rPr>
        <w:t> </w:t>
      </w:r>
      <w:r>
        <w:rPr>
          <w:spacing w:val="-2"/>
          <w:sz w:val="20"/>
        </w:rPr>
        <w:t>ambition</w:t>
      </w:r>
    </w:p>
    <w:p>
      <w:pPr>
        <w:pStyle w:val="Heading5"/>
        <w:numPr>
          <w:ilvl w:val="1"/>
          <w:numId w:val="87"/>
        </w:numPr>
        <w:tabs>
          <w:tab w:pos="1754" w:val="left" w:leader="none"/>
        </w:tabs>
        <w:spacing w:line="240" w:lineRule="auto" w:before="132" w:after="0"/>
        <w:ind w:left="1754" w:right="0" w:hanging="314"/>
        <w:jc w:val="left"/>
      </w:pPr>
      <w:r>
        <w:rPr>
          <w:w w:val="110"/>
        </w:rPr>
        <w:t>Audience</w:t>
      </w:r>
      <w:r>
        <w:rPr>
          <w:spacing w:val="37"/>
          <w:w w:val="110"/>
        </w:rPr>
        <w:t>  </w:t>
      </w:r>
      <w:r>
        <w:rPr>
          <w:spacing w:val="-2"/>
          <w:w w:val="110"/>
        </w:rPr>
        <w:t>Engagement</w:t>
      </w:r>
    </w:p>
    <w:p>
      <w:pPr>
        <w:pStyle w:val="BodyText"/>
        <w:spacing w:before="84"/>
        <w:ind w:left="1872"/>
      </w:pPr>
      <w:r>
        <w:rPr/>
        <w:t>The</w:t>
      </w:r>
      <w:r>
        <w:rPr>
          <w:spacing w:val="16"/>
        </w:rPr>
        <w:t> </w:t>
      </w:r>
      <w:r>
        <w:rPr/>
        <w:t>audience</w:t>
      </w:r>
      <w:r>
        <w:rPr>
          <w:spacing w:val="18"/>
        </w:rPr>
        <w:t> </w:t>
      </w:r>
      <w:r>
        <w:rPr/>
        <w:t>functions</w:t>
      </w:r>
      <w:r>
        <w:rPr>
          <w:spacing w:val="14"/>
        </w:rPr>
        <w:t> </w:t>
      </w:r>
      <w:r>
        <w:rPr/>
        <w:t>as</w:t>
      </w:r>
      <w:r>
        <w:rPr>
          <w:spacing w:val="18"/>
        </w:rPr>
        <w:t> </w:t>
      </w:r>
      <w:r>
        <w:rPr/>
        <w:t>a</w:t>
      </w:r>
      <w:r>
        <w:rPr>
          <w:spacing w:val="17"/>
        </w:rPr>
        <w:t> </w:t>
      </w:r>
      <w:r>
        <w:rPr/>
        <w:t>reflective</w:t>
      </w:r>
      <w:r>
        <w:rPr>
          <w:spacing w:val="18"/>
        </w:rPr>
        <w:t> </w:t>
      </w:r>
      <w:r>
        <w:rPr>
          <w:spacing w:val="-2"/>
        </w:rPr>
        <w:t>mirror:</w:t>
      </w:r>
    </w:p>
    <w:p>
      <w:pPr>
        <w:pStyle w:val="ListParagraph"/>
        <w:numPr>
          <w:ilvl w:val="2"/>
          <w:numId w:val="87"/>
        </w:numPr>
        <w:tabs>
          <w:tab w:pos="2159" w:val="left" w:leader="none"/>
        </w:tabs>
        <w:spacing w:line="240" w:lineRule="auto" w:before="79" w:after="0"/>
        <w:ind w:left="2159" w:right="0" w:hanging="239"/>
        <w:jc w:val="left"/>
        <w:rPr>
          <w:sz w:val="20"/>
        </w:rPr>
      </w:pPr>
      <w:r>
        <w:rPr>
          <w:sz w:val="20"/>
        </w:rPr>
        <w:t>Observes</w:t>
      </w:r>
      <w:r>
        <w:rPr>
          <w:spacing w:val="11"/>
          <w:sz w:val="20"/>
        </w:rPr>
        <w:t> </w:t>
      </w:r>
      <w:r>
        <w:rPr>
          <w:sz w:val="20"/>
        </w:rPr>
        <w:t>moral</w:t>
      </w:r>
      <w:r>
        <w:rPr>
          <w:spacing w:val="11"/>
          <w:sz w:val="20"/>
        </w:rPr>
        <w:t> </w:t>
      </w:r>
      <w:r>
        <w:rPr>
          <w:spacing w:val="-2"/>
          <w:sz w:val="20"/>
        </w:rPr>
        <w:t>decline</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Recognizes</w:t>
      </w:r>
      <w:r>
        <w:rPr>
          <w:spacing w:val="7"/>
          <w:sz w:val="20"/>
        </w:rPr>
        <w:t> </w:t>
      </w:r>
      <w:r>
        <w:rPr>
          <w:sz w:val="20"/>
        </w:rPr>
        <w:t>societal</w:t>
      </w:r>
      <w:r>
        <w:rPr>
          <w:spacing w:val="10"/>
          <w:sz w:val="20"/>
        </w:rPr>
        <w:t> </w:t>
      </w:r>
      <w:r>
        <w:rPr>
          <w:spacing w:val="-2"/>
          <w:sz w:val="20"/>
        </w:rPr>
        <w:t>parallels</w:t>
      </w:r>
    </w:p>
    <w:p>
      <w:pPr>
        <w:pStyle w:val="ListParagraph"/>
        <w:numPr>
          <w:ilvl w:val="2"/>
          <w:numId w:val="87"/>
        </w:numPr>
        <w:tabs>
          <w:tab w:pos="2159" w:val="left" w:leader="none"/>
        </w:tabs>
        <w:spacing w:line="240" w:lineRule="auto" w:before="79" w:after="0"/>
        <w:ind w:left="2159" w:right="0" w:hanging="239"/>
        <w:jc w:val="left"/>
        <w:rPr>
          <w:sz w:val="20"/>
        </w:rPr>
      </w:pPr>
      <w:r>
        <w:rPr>
          <w:sz w:val="20"/>
        </w:rPr>
        <w:t>Experiences</w:t>
      </w:r>
      <w:r>
        <w:rPr>
          <w:spacing w:val="25"/>
          <w:sz w:val="20"/>
        </w:rPr>
        <w:t> </w:t>
      </w:r>
      <w:r>
        <w:rPr>
          <w:sz w:val="20"/>
        </w:rPr>
        <w:t>tension</w:t>
      </w:r>
      <w:r>
        <w:rPr>
          <w:spacing w:val="24"/>
          <w:sz w:val="20"/>
        </w:rPr>
        <w:t> </w:t>
      </w:r>
      <w:r>
        <w:rPr>
          <w:sz w:val="20"/>
        </w:rPr>
        <w:t>between</w:t>
      </w:r>
      <w:r>
        <w:rPr>
          <w:spacing w:val="24"/>
          <w:sz w:val="20"/>
        </w:rPr>
        <w:t> </w:t>
      </w:r>
      <w:r>
        <w:rPr>
          <w:sz w:val="20"/>
        </w:rPr>
        <w:t>attraction</w:t>
      </w:r>
      <w:r>
        <w:rPr>
          <w:spacing w:val="26"/>
          <w:sz w:val="20"/>
        </w:rPr>
        <w:t> </w:t>
      </w:r>
      <w:r>
        <w:rPr>
          <w:sz w:val="20"/>
        </w:rPr>
        <w:t>and</w:t>
      </w:r>
      <w:r>
        <w:rPr>
          <w:spacing w:val="28"/>
          <w:sz w:val="20"/>
        </w:rPr>
        <w:t> </w:t>
      </w:r>
      <w:r>
        <w:rPr>
          <w:spacing w:val="-2"/>
          <w:sz w:val="20"/>
        </w:rPr>
        <w:t>repulsion</w:t>
      </w:r>
    </w:p>
    <w:p>
      <w:pPr>
        <w:pStyle w:val="Heading3"/>
        <w:spacing w:before="176"/>
      </w:pPr>
      <w:r>
        <w:rPr>
          <w:spacing w:val="-2"/>
        </w:rPr>
        <w:t>CONCLUSION</w:t>
      </w:r>
    </w:p>
    <w:p>
      <w:pPr>
        <w:pStyle w:val="BodyText"/>
        <w:spacing w:line="264" w:lineRule="auto" w:before="90"/>
        <w:ind w:right="1439" w:firstLine="432"/>
        <w:jc w:val="both"/>
      </w:pPr>
      <w:r>
        <w:rPr/>
        <w:t>Both the critical and analytical approaches reveal Lady Macbeth as a deeply complex figure operating at the intersection of power, psychology,</w:t>
      </w:r>
      <w:r>
        <w:rPr>
          <w:spacing w:val="40"/>
        </w:rPr>
        <w:t> </w:t>
      </w:r>
      <w:r>
        <w:rPr/>
        <w:t>and</w:t>
      </w:r>
      <w:r>
        <w:rPr>
          <w:spacing w:val="40"/>
        </w:rPr>
        <w:t> </w:t>
      </w:r>
      <w:r>
        <w:rPr/>
        <w:t>ideology.</w:t>
      </w:r>
    </w:p>
    <w:p>
      <w:pPr>
        <w:pStyle w:val="Heading6"/>
        <w:spacing w:before="54"/>
        <w:jc w:val="both"/>
      </w:pPr>
      <w:r>
        <w:rPr/>
        <w:t>Critically,</w:t>
      </w:r>
      <w:r>
        <w:rPr>
          <w:spacing w:val="3"/>
        </w:rPr>
        <w:t> </w:t>
      </w:r>
      <w:r>
        <w:rPr/>
        <w:t>she</w:t>
      </w:r>
      <w:r>
        <w:rPr>
          <w:spacing w:val="6"/>
        </w:rPr>
        <w:t> </w:t>
      </w:r>
      <w:r>
        <w:rPr>
          <w:spacing w:val="-2"/>
        </w:rPr>
        <w:t>represents:</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Resistance</w:t>
      </w:r>
      <w:r>
        <w:rPr>
          <w:spacing w:val="45"/>
          <w:sz w:val="20"/>
        </w:rPr>
        <w:t> </w:t>
      </w:r>
      <w:r>
        <w:rPr>
          <w:sz w:val="20"/>
        </w:rPr>
        <w:t>to</w:t>
      </w:r>
      <w:r>
        <w:rPr>
          <w:spacing w:val="45"/>
          <w:sz w:val="20"/>
        </w:rPr>
        <w:t> </w:t>
      </w:r>
      <w:r>
        <w:rPr>
          <w:spacing w:val="-2"/>
          <w:sz w:val="20"/>
        </w:rPr>
        <w:t>structure</w:t>
      </w:r>
    </w:p>
    <w:p>
      <w:pPr>
        <w:pStyle w:val="ListParagraph"/>
        <w:numPr>
          <w:ilvl w:val="2"/>
          <w:numId w:val="87"/>
        </w:numPr>
        <w:tabs>
          <w:tab w:pos="2159" w:val="left" w:leader="none"/>
        </w:tabs>
        <w:spacing w:line="240" w:lineRule="auto" w:before="82" w:after="0"/>
        <w:ind w:left="2159" w:right="0" w:hanging="239"/>
        <w:jc w:val="left"/>
        <w:rPr>
          <w:sz w:val="20"/>
        </w:rPr>
      </w:pPr>
      <w:r>
        <w:rPr>
          <w:sz w:val="20"/>
        </w:rPr>
        <w:t>Exposure</w:t>
      </w:r>
      <w:r>
        <w:rPr>
          <w:spacing w:val="17"/>
          <w:sz w:val="20"/>
        </w:rPr>
        <w:t> </w:t>
      </w:r>
      <w:r>
        <w:rPr>
          <w:sz w:val="20"/>
        </w:rPr>
        <w:t>of</w:t>
      </w:r>
      <w:r>
        <w:rPr>
          <w:spacing w:val="19"/>
          <w:sz w:val="20"/>
        </w:rPr>
        <w:t> </w:t>
      </w:r>
      <w:r>
        <w:rPr>
          <w:sz w:val="20"/>
        </w:rPr>
        <w:t>ideological</w:t>
      </w:r>
      <w:r>
        <w:rPr>
          <w:spacing w:val="18"/>
          <w:sz w:val="20"/>
        </w:rPr>
        <w:t> </w:t>
      </w:r>
      <w:r>
        <w:rPr>
          <w:spacing w:val="-2"/>
          <w:sz w:val="20"/>
        </w:rPr>
        <w:t>systems</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The</w:t>
      </w:r>
      <w:r>
        <w:rPr>
          <w:spacing w:val="17"/>
          <w:sz w:val="20"/>
        </w:rPr>
        <w:t> </w:t>
      </w:r>
      <w:r>
        <w:rPr>
          <w:sz w:val="20"/>
        </w:rPr>
        <w:t>paradox</w:t>
      </w:r>
      <w:r>
        <w:rPr>
          <w:spacing w:val="13"/>
          <w:sz w:val="20"/>
        </w:rPr>
        <w:t> </w:t>
      </w:r>
      <w:r>
        <w:rPr>
          <w:sz w:val="20"/>
        </w:rPr>
        <w:t>of</w:t>
      </w:r>
      <w:r>
        <w:rPr>
          <w:spacing w:val="15"/>
          <w:sz w:val="20"/>
        </w:rPr>
        <w:t> </w:t>
      </w:r>
      <w:r>
        <w:rPr>
          <w:spacing w:val="-2"/>
          <w:sz w:val="20"/>
        </w:rPr>
        <w:t>emancipation</w:t>
      </w:r>
    </w:p>
    <w:p>
      <w:pPr>
        <w:pStyle w:val="Heading6"/>
        <w:spacing w:before="79"/>
      </w:pPr>
      <w:r>
        <w:rPr>
          <w:spacing w:val="-4"/>
        </w:rPr>
        <w:t>Analytically,</w:t>
      </w:r>
      <w:r>
        <w:rPr/>
        <w:t> </w:t>
      </w:r>
      <w:r>
        <w:rPr>
          <w:spacing w:val="-4"/>
        </w:rPr>
        <w:t>she</w:t>
      </w:r>
      <w:r>
        <w:rPr>
          <w:spacing w:val="3"/>
        </w:rPr>
        <w:t> </w:t>
      </w:r>
      <w:r>
        <w:rPr>
          <w:spacing w:val="-4"/>
        </w:rPr>
        <w:t>demonstrates:</w:t>
      </w:r>
    </w:p>
    <w:p>
      <w:pPr>
        <w:pStyle w:val="ListParagraph"/>
        <w:numPr>
          <w:ilvl w:val="2"/>
          <w:numId w:val="87"/>
        </w:numPr>
        <w:tabs>
          <w:tab w:pos="2159" w:val="left" w:leader="none"/>
        </w:tabs>
        <w:spacing w:line="240" w:lineRule="auto" w:before="80" w:after="0"/>
        <w:ind w:left="2159" w:right="0" w:hanging="239"/>
        <w:jc w:val="left"/>
        <w:rPr>
          <w:sz w:val="20"/>
        </w:rPr>
      </w:pPr>
      <w:r>
        <w:rPr>
          <w:sz w:val="20"/>
        </w:rPr>
        <w:t>Structured</w:t>
      </w:r>
      <w:r>
        <w:rPr>
          <w:spacing w:val="23"/>
          <w:sz w:val="20"/>
        </w:rPr>
        <w:t> </w:t>
      </w:r>
      <w:r>
        <w:rPr>
          <w:sz w:val="20"/>
        </w:rPr>
        <w:t>character</w:t>
      </w:r>
      <w:r>
        <w:rPr>
          <w:spacing w:val="24"/>
          <w:sz w:val="20"/>
        </w:rPr>
        <w:t> </w:t>
      </w:r>
      <w:r>
        <w:rPr>
          <w:spacing w:val="-2"/>
          <w:sz w:val="20"/>
        </w:rPr>
        <w:t>transformation</w:t>
      </w:r>
    </w:p>
    <w:p>
      <w:pPr>
        <w:pStyle w:val="ListParagraph"/>
        <w:numPr>
          <w:ilvl w:val="2"/>
          <w:numId w:val="87"/>
        </w:numPr>
        <w:tabs>
          <w:tab w:pos="2159" w:val="left" w:leader="none"/>
        </w:tabs>
        <w:spacing w:line="240" w:lineRule="auto" w:before="79" w:after="0"/>
        <w:ind w:left="2159" w:right="0" w:hanging="239"/>
        <w:jc w:val="left"/>
        <w:rPr>
          <w:sz w:val="20"/>
        </w:rPr>
      </w:pPr>
      <w:r>
        <w:rPr>
          <w:sz w:val="20"/>
        </w:rPr>
        <w:t>Symbolic</w:t>
      </w:r>
      <w:r>
        <w:rPr>
          <w:spacing w:val="12"/>
          <w:sz w:val="20"/>
        </w:rPr>
        <w:t> </w:t>
      </w:r>
      <w:r>
        <w:rPr>
          <w:spacing w:val="-2"/>
          <w:sz w:val="20"/>
        </w:rPr>
        <w:t>richness</w:t>
      </w:r>
    </w:p>
    <w:p>
      <w:pPr>
        <w:pStyle w:val="ListParagraph"/>
        <w:numPr>
          <w:ilvl w:val="2"/>
          <w:numId w:val="87"/>
        </w:numPr>
        <w:tabs>
          <w:tab w:pos="2159" w:val="left" w:leader="none"/>
        </w:tabs>
        <w:spacing w:line="240" w:lineRule="auto" w:before="82" w:after="0"/>
        <w:ind w:left="2159" w:right="0" w:hanging="239"/>
        <w:jc w:val="left"/>
        <w:rPr>
          <w:sz w:val="20"/>
        </w:rPr>
      </w:pPr>
      <w:r>
        <w:rPr>
          <w:sz w:val="20"/>
        </w:rPr>
        <w:t>Narrative</w:t>
      </w:r>
      <w:r>
        <w:rPr>
          <w:spacing w:val="-2"/>
          <w:sz w:val="20"/>
        </w:rPr>
        <w:t> centrality</w:t>
      </w:r>
    </w:p>
    <w:p>
      <w:pPr>
        <w:pStyle w:val="BodyText"/>
        <w:spacing w:line="264" w:lineRule="auto" w:before="80"/>
        <w:ind w:right="1440" w:firstLine="432"/>
        <w:jc w:val="both"/>
      </w:pPr>
      <w:r>
        <w:rPr/>
        <w:t>Ultimately, Lady Macbeth embodies the convergence of human instinct,</w:t>
      </w:r>
      <w:r>
        <w:rPr>
          <w:spacing w:val="-3"/>
        </w:rPr>
        <w:t> </w:t>
      </w:r>
      <w:r>
        <w:rPr/>
        <w:t>political</w:t>
      </w:r>
      <w:r>
        <w:rPr>
          <w:spacing w:val="-2"/>
        </w:rPr>
        <w:t> </w:t>
      </w:r>
      <w:r>
        <w:rPr/>
        <w:t>ambition,</w:t>
      </w:r>
      <w:r>
        <w:rPr>
          <w:spacing w:val="-3"/>
        </w:rPr>
        <w:t> </w:t>
      </w:r>
      <w:r>
        <w:rPr/>
        <w:t>and psychological</w:t>
      </w:r>
      <w:r>
        <w:rPr>
          <w:spacing w:val="-3"/>
        </w:rPr>
        <w:t> </w:t>
      </w:r>
      <w:r>
        <w:rPr/>
        <w:t>consequence,</w:t>
      </w:r>
      <w:r>
        <w:rPr>
          <w:spacing w:val="-1"/>
        </w:rPr>
        <w:t> </w:t>
      </w:r>
      <w:r>
        <w:rPr/>
        <w:t>making</w:t>
      </w:r>
      <w:r>
        <w:rPr>
          <w:spacing w:val="-4"/>
        </w:rPr>
        <w:t> </w:t>
      </w:r>
      <w:r>
        <w:rPr/>
        <w:t>her one of the</w:t>
      </w:r>
      <w:r>
        <w:rPr>
          <w:spacing w:val="40"/>
        </w:rPr>
        <w:t> </w:t>
      </w:r>
      <w:r>
        <w:rPr/>
        <w:t>most</w:t>
      </w:r>
      <w:r>
        <w:rPr>
          <w:spacing w:val="39"/>
        </w:rPr>
        <w:t> </w:t>
      </w:r>
      <w:r>
        <w:rPr/>
        <w:t>enduring and</w:t>
      </w:r>
      <w:r>
        <w:rPr>
          <w:spacing w:val="39"/>
        </w:rPr>
        <w:t> </w:t>
      </w:r>
      <w:r>
        <w:rPr/>
        <w:t>multifaceted</w:t>
      </w:r>
      <w:r>
        <w:rPr>
          <w:spacing w:val="40"/>
        </w:rPr>
        <w:t> </w:t>
      </w:r>
      <w:r>
        <w:rPr/>
        <w:t>figures in literature.</w:t>
      </w:r>
    </w:p>
    <w:p>
      <w:pPr>
        <w:pStyle w:val="Heading3"/>
        <w:numPr>
          <w:ilvl w:val="0"/>
          <w:numId w:val="87"/>
        </w:numPr>
        <w:tabs>
          <w:tab w:pos="1774" w:val="left" w:leader="none"/>
        </w:tabs>
        <w:spacing w:line="240" w:lineRule="auto" w:before="150" w:after="0"/>
        <w:ind w:left="1774" w:right="0" w:hanging="334"/>
        <w:jc w:val="left"/>
      </w:pPr>
      <w:r>
        <w:rPr>
          <w:w w:val="90"/>
        </w:rPr>
        <w:t>THE</w:t>
      </w:r>
      <w:r>
        <w:rPr>
          <w:spacing w:val="12"/>
        </w:rPr>
        <w:t> </w:t>
      </w:r>
      <w:r>
        <w:rPr>
          <w:w w:val="90"/>
        </w:rPr>
        <w:t>BIBLICAL</w:t>
      </w:r>
      <w:r>
        <w:rPr>
          <w:spacing w:val="12"/>
        </w:rPr>
        <w:t> </w:t>
      </w:r>
      <w:r>
        <w:rPr>
          <w:w w:val="90"/>
        </w:rPr>
        <w:t>APPROACH</w:t>
      </w:r>
      <w:r>
        <w:rPr>
          <w:spacing w:val="15"/>
        </w:rPr>
        <w:t> </w:t>
      </w:r>
      <w:r>
        <w:rPr>
          <w:w w:val="90"/>
        </w:rPr>
        <w:t>OF</w:t>
      </w:r>
      <w:r>
        <w:rPr>
          <w:spacing w:val="14"/>
        </w:rPr>
        <w:t> </w:t>
      </w:r>
      <w:r>
        <w:rPr>
          <w:w w:val="90"/>
        </w:rPr>
        <w:t>SIN</w:t>
      </w:r>
      <w:r>
        <w:rPr>
          <w:spacing w:val="13"/>
        </w:rPr>
        <w:t> </w:t>
      </w:r>
      <w:r>
        <w:rPr>
          <w:w w:val="90"/>
        </w:rPr>
        <w:t>AND</w:t>
      </w:r>
      <w:r>
        <w:rPr>
          <w:spacing w:val="12"/>
        </w:rPr>
        <w:t> </w:t>
      </w:r>
      <w:r>
        <w:rPr>
          <w:spacing w:val="-4"/>
          <w:w w:val="90"/>
        </w:rPr>
        <w:t>LUST</w:t>
      </w:r>
    </w:p>
    <w:p>
      <w:pPr>
        <w:pStyle w:val="BodyText"/>
        <w:spacing w:line="264" w:lineRule="auto" w:before="90"/>
        <w:ind w:right="1435" w:firstLine="432"/>
        <w:jc w:val="both"/>
      </w:pPr>
      <w:r>
        <w:rPr/>
        <w:t>A biblical approach to Lady Macbeth in Macbeth by William Shakespeare reveals a deep connection between the themes of sin, temptation, guilt, and inevitable punishment. Shakespeare constructs Lady Macbeth as a figure whose moral journey closely parallels the biblical narrative of the Fall in the Book of Genesis. Through this lens, her ambition and desire for power resemble the original act of disobedience in the Garden of Eden, where temptation leads humanity from innocence into suffering and mortality.</w:t>
      </w:r>
    </w:p>
    <w:p>
      <w:pPr>
        <w:pStyle w:val="BodyText"/>
        <w:spacing w:after="0" w:line="264"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98624">
                <wp:simplePos x="0" y="0"/>
                <wp:positionH relativeFrom="page">
                  <wp:posOffset>2065020</wp:posOffset>
                </wp:positionH>
                <wp:positionV relativeFrom="paragraph">
                  <wp:posOffset>795020</wp:posOffset>
                </wp:positionV>
                <wp:extent cx="3657600" cy="12700"/>
                <wp:effectExtent l="0" t="0" r="0" b="0"/>
                <wp:wrapTopAndBottom/>
                <wp:docPr id="826" name="Graphic 826"/>
                <wp:cNvGraphicFramePr>
                  <a:graphicFrameLocks/>
                </wp:cNvGraphicFramePr>
                <a:graphic>
                  <a:graphicData uri="http://schemas.microsoft.com/office/word/2010/wordprocessingShape">
                    <wps:wsp>
                      <wps:cNvPr id="826" name="Graphic 82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17856;mso-wrap-distance-left:0;mso-wrap-distance-right:0" id="docshape818"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427</w:t>
      </w:r>
    </w:p>
    <w:p>
      <w:pPr>
        <w:pStyle w:val="BodyText"/>
        <w:spacing w:line="264" w:lineRule="auto" w:before="199"/>
        <w:ind w:right="1438" w:firstLine="432"/>
        <w:jc w:val="both"/>
      </w:pPr>
      <w:r>
        <w:rPr/>
        <w:t>The biblical passage you reference—</w:t>
      </w:r>
      <w:r>
        <w:rPr>
          <w:i/>
        </w:rPr>
        <w:t>”Because you have done</w:t>
      </w:r>
      <w:r>
        <w:rPr>
          <w:i/>
          <w:spacing w:val="40"/>
        </w:rPr>
        <w:t> </w:t>
      </w:r>
      <w:r>
        <w:rPr>
          <w:i/>
        </w:rPr>
        <w:t>this, you</w:t>
      </w:r>
      <w:r>
        <w:rPr>
          <w:i/>
          <w:spacing w:val="40"/>
        </w:rPr>
        <w:t> </w:t>
      </w:r>
      <w:r>
        <w:rPr>
          <w:i/>
        </w:rPr>
        <w:t>are cursed…”</w:t>
      </w:r>
      <w:r>
        <w:rPr/>
        <w:t>—spoken to</w:t>
      </w:r>
      <w:r>
        <w:rPr>
          <w:spacing w:val="40"/>
        </w:rPr>
        <w:t> </w:t>
      </w:r>
      <w:r>
        <w:rPr/>
        <w:t>the serpent, introduces the idea</w:t>
      </w:r>
      <w:r>
        <w:rPr>
          <w:spacing w:val="40"/>
        </w:rPr>
        <w:t> </w:t>
      </w:r>
      <w:r>
        <w:rPr/>
        <w:t>that</w:t>
      </w:r>
      <w:r>
        <w:rPr>
          <w:spacing w:val="22"/>
        </w:rPr>
        <w:t> </w:t>
      </w:r>
      <w:r>
        <w:rPr/>
        <w:t>sin</w:t>
      </w:r>
      <w:r>
        <w:rPr>
          <w:spacing w:val="22"/>
        </w:rPr>
        <w:t> </w:t>
      </w:r>
      <w:r>
        <w:rPr/>
        <w:t>brings</w:t>
      </w:r>
      <w:r>
        <w:rPr>
          <w:spacing w:val="20"/>
        </w:rPr>
        <w:t> </w:t>
      </w:r>
      <w:r>
        <w:rPr/>
        <w:t>not</w:t>
      </w:r>
      <w:r>
        <w:rPr>
          <w:spacing w:val="22"/>
        </w:rPr>
        <w:t> </w:t>
      </w:r>
      <w:r>
        <w:rPr/>
        <w:t>only</w:t>
      </w:r>
      <w:r>
        <w:rPr>
          <w:spacing w:val="18"/>
        </w:rPr>
        <w:t> </w:t>
      </w:r>
      <w:r>
        <w:rPr/>
        <w:t>immediate</w:t>
      </w:r>
      <w:r>
        <w:rPr>
          <w:spacing w:val="23"/>
        </w:rPr>
        <w:t> </w:t>
      </w:r>
      <w:r>
        <w:rPr/>
        <w:t>action</w:t>
      </w:r>
      <w:r>
        <w:rPr>
          <w:spacing w:val="22"/>
        </w:rPr>
        <w:t> </w:t>
      </w:r>
      <w:r>
        <w:rPr/>
        <w:t>but</w:t>
      </w:r>
      <w:r>
        <w:rPr>
          <w:spacing w:val="20"/>
        </w:rPr>
        <w:t> </w:t>
      </w:r>
      <w:r>
        <w:rPr/>
        <w:t>lasting</w:t>
      </w:r>
      <w:r>
        <w:rPr>
          <w:spacing w:val="20"/>
        </w:rPr>
        <w:t> </w:t>
      </w:r>
      <w:r>
        <w:rPr/>
        <w:t>consequence.</w:t>
      </w:r>
      <w:r>
        <w:rPr>
          <w:spacing w:val="22"/>
        </w:rPr>
        <w:t> </w:t>
      </w:r>
      <w:r>
        <w:rPr/>
        <w:t>In a similar way, Lady Macbeth’s encouragement of murder reflects the serpent’s role in persuading Eve. Just as Eve is tempted to eat the forbidden fruit, Lady Macbeth persuades Macbeth to seize power </w:t>
      </w:r>
      <w:r>
        <w:rPr>
          <w:spacing w:val="-2"/>
        </w:rPr>
        <w:t>through</w:t>
      </w:r>
      <w:r>
        <w:rPr>
          <w:spacing w:val="-11"/>
        </w:rPr>
        <w:t> </w:t>
      </w:r>
      <w:r>
        <w:rPr>
          <w:spacing w:val="-2"/>
        </w:rPr>
        <w:t>immoral</w:t>
      </w:r>
      <w:r>
        <w:rPr>
          <w:spacing w:val="-10"/>
        </w:rPr>
        <w:t> </w:t>
      </w:r>
      <w:r>
        <w:rPr>
          <w:spacing w:val="-2"/>
        </w:rPr>
        <w:t>means.</w:t>
      </w:r>
      <w:r>
        <w:rPr>
          <w:spacing w:val="-11"/>
        </w:rPr>
        <w:t> </w:t>
      </w:r>
      <w:r>
        <w:rPr>
          <w:spacing w:val="-2"/>
        </w:rPr>
        <w:t>The</w:t>
      </w:r>
      <w:r>
        <w:rPr>
          <w:spacing w:val="-10"/>
        </w:rPr>
        <w:t> </w:t>
      </w:r>
      <w:r>
        <w:rPr>
          <w:spacing w:val="-2"/>
        </w:rPr>
        <w:t>act</w:t>
      </w:r>
      <w:r>
        <w:rPr>
          <w:spacing w:val="-11"/>
        </w:rPr>
        <w:t> </w:t>
      </w:r>
      <w:r>
        <w:rPr>
          <w:spacing w:val="-2"/>
        </w:rPr>
        <w:t>itself—regicide—functions</w:t>
      </w:r>
      <w:r>
        <w:rPr>
          <w:spacing w:val="-10"/>
        </w:rPr>
        <w:t> </w:t>
      </w:r>
      <w:r>
        <w:rPr>
          <w:spacing w:val="-2"/>
        </w:rPr>
        <w:t>symbolically </w:t>
      </w:r>
      <w:r>
        <w:rPr/>
        <w:t>as the “forbidden fruit,” an action that promises power but ultimately leads</w:t>
      </w:r>
      <w:r>
        <w:rPr>
          <w:spacing w:val="40"/>
        </w:rPr>
        <w:t> </w:t>
      </w:r>
      <w:r>
        <w:rPr/>
        <w:t>to</w:t>
      </w:r>
      <w:r>
        <w:rPr>
          <w:spacing w:val="40"/>
        </w:rPr>
        <w:t> </w:t>
      </w:r>
      <w:r>
        <w:rPr/>
        <w:t>destruction.</w:t>
      </w:r>
    </w:p>
    <w:p>
      <w:pPr>
        <w:pStyle w:val="BodyText"/>
        <w:spacing w:line="264" w:lineRule="auto" w:before="49"/>
        <w:ind w:right="1439" w:firstLine="432"/>
        <w:jc w:val="both"/>
      </w:pPr>
      <w:r>
        <w:rPr/>
        <w:t>This comparison is particularly significant when we consider the transformation from innocence to corruption. In the Eden narrative, the consumption</w:t>
      </w:r>
      <w:r>
        <w:rPr>
          <w:spacing w:val="-9"/>
        </w:rPr>
        <w:t> </w:t>
      </w:r>
      <w:r>
        <w:rPr/>
        <w:t>of</w:t>
      </w:r>
      <w:r>
        <w:rPr>
          <w:spacing w:val="-9"/>
        </w:rPr>
        <w:t> </w:t>
      </w:r>
      <w:r>
        <w:rPr/>
        <w:t>the</w:t>
      </w:r>
      <w:r>
        <w:rPr>
          <w:spacing w:val="-8"/>
        </w:rPr>
        <w:t> </w:t>
      </w:r>
      <w:r>
        <w:rPr/>
        <w:t>fruit</w:t>
      </w:r>
      <w:r>
        <w:rPr>
          <w:spacing w:val="-7"/>
        </w:rPr>
        <w:t> </w:t>
      </w:r>
      <w:r>
        <w:rPr/>
        <w:t>leads</w:t>
      </w:r>
      <w:r>
        <w:rPr>
          <w:spacing w:val="-9"/>
        </w:rPr>
        <w:t> </w:t>
      </w:r>
      <w:r>
        <w:rPr/>
        <w:t>to</w:t>
      </w:r>
      <w:r>
        <w:rPr>
          <w:spacing w:val="-7"/>
        </w:rPr>
        <w:t> </w:t>
      </w:r>
      <w:r>
        <w:rPr/>
        <w:t>awareness,</w:t>
      </w:r>
      <w:r>
        <w:rPr>
          <w:spacing w:val="-7"/>
        </w:rPr>
        <w:t> </w:t>
      </w:r>
      <w:r>
        <w:rPr/>
        <w:t>shame,</w:t>
      </w:r>
      <w:r>
        <w:rPr>
          <w:spacing w:val="-9"/>
        </w:rPr>
        <w:t> </w:t>
      </w:r>
      <w:r>
        <w:rPr/>
        <w:t>and</w:t>
      </w:r>
      <w:r>
        <w:rPr>
          <w:spacing w:val="-7"/>
        </w:rPr>
        <w:t> </w:t>
      </w:r>
      <w:r>
        <w:rPr/>
        <w:t>exile.</w:t>
      </w:r>
      <w:r>
        <w:rPr>
          <w:spacing w:val="-9"/>
        </w:rPr>
        <w:t> </w:t>
      </w:r>
      <w:r>
        <w:rPr/>
        <w:t>Likewise, Lady Macbeth’s initial boldness gives way to overwhelming guilt and psychological torment. Her famous line— </w:t>
      </w:r>
      <w:r>
        <w:rPr>
          <w:i/>
        </w:rPr>
        <w:t>“All the perfumes of Arabia will not sweeten this little hand”</w:t>
      </w:r>
      <w:r>
        <w:rPr/>
        <w:t>—echoes a deeply biblical idea: that</w:t>
      </w:r>
      <w:r>
        <w:rPr>
          <w:spacing w:val="40"/>
        </w:rPr>
        <w:t> </w:t>
      </w:r>
      <w:r>
        <w:rPr/>
        <w:t>sin</w:t>
      </w:r>
      <w:r>
        <w:rPr>
          <w:spacing w:val="-4"/>
        </w:rPr>
        <w:t> </w:t>
      </w:r>
      <w:r>
        <w:rPr/>
        <w:t>leaves</w:t>
      </w:r>
      <w:r>
        <w:rPr>
          <w:spacing w:val="-3"/>
        </w:rPr>
        <w:t> </w:t>
      </w:r>
      <w:r>
        <w:rPr/>
        <w:t>a</w:t>
      </w:r>
      <w:r>
        <w:rPr>
          <w:spacing w:val="-4"/>
        </w:rPr>
        <w:t> </w:t>
      </w:r>
      <w:r>
        <w:rPr/>
        <w:t>stain</w:t>
      </w:r>
      <w:r>
        <w:rPr>
          <w:spacing w:val="-1"/>
        </w:rPr>
        <w:t> </w:t>
      </w:r>
      <w:r>
        <w:rPr/>
        <w:t>which</w:t>
      </w:r>
      <w:r>
        <w:rPr>
          <w:spacing w:val="-4"/>
        </w:rPr>
        <w:t> </w:t>
      </w:r>
      <w:r>
        <w:rPr/>
        <w:t>cannot</w:t>
      </w:r>
      <w:r>
        <w:rPr>
          <w:spacing w:val="-1"/>
        </w:rPr>
        <w:t> </w:t>
      </w:r>
      <w:r>
        <w:rPr/>
        <w:t>be</w:t>
      </w:r>
      <w:r>
        <w:rPr>
          <w:spacing w:val="-2"/>
        </w:rPr>
        <w:t> </w:t>
      </w:r>
      <w:r>
        <w:rPr/>
        <w:t>erased</w:t>
      </w:r>
      <w:r>
        <w:rPr>
          <w:spacing w:val="-1"/>
        </w:rPr>
        <w:t> </w:t>
      </w:r>
      <w:r>
        <w:rPr/>
        <w:t>by</w:t>
      </w:r>
      <w:r>
        <w:rPr>
          <w:spacing w:val="-6"/>
        </w:rPr>
        <w:t> </w:t>
      </w:r>
      <w:r>
        <w:rPr/>
        <w:t>material</w:t>
      </w:r>
      <w:r>
        <w:rPr>
          <w:spacing w:val="-2"/>
        </w:rPr>
        <w:t> </w:t>
      </w:r>
      <w:r>
        <w:rPr/>
        <w:t>or</w:t>
      </w:r>
      <w:r>
        <w:rPr>
          <w:spacing w:val="-3"/>
        </w:rPr>
        <w:t> </w:t>
      </w:r>
      <w:r>
        <w:rPr/>
        <w:t>external</w:t>
      </w:r>
      <w:r>
        <w:rPr>
          <w:spacing w:val="-3"/>
        </w:rPr>
        <w:t> </w:t>
      </w:r>
      <w:r>
        <w:rPr/>
        <w:t>means. The</w:t>
      </w:r>
      <w:r>
        <w:rPr>
          <w:spacing w:val="-4"/>
        </w:rPr>
        <w:t> </w:t>
      </w:r>
      <w:r>
        <w:rPr/>
        <w:t>“blood”</w:t>
      </w:r>
      <w:r>
        <w:rPr>
          <w:spacing w:val="-4"/>
        </w:rPr>
        <w:t> </w:t>
      </w:r>
      <w:r>
        <w:rPr/>
        <w:t>on</w:t>
      </w:r>
      <w:r>
        <w:rPr>
          <w:spacing w:val="-4"/>
        </w:rPr>
        <w:t> </w:t>
      </w:r>
      <w:r>
        <w:rPr/>
        <w:t>her</w:t>
      </w:r>
      <w:r>
        <w:rPr>
          <w:spacing w:val="-3"/>
        </w:rPr>
        <w:t> </w:t>
      </w:r>
      <w:r>
        <w:rPr/>
        <w:t>hands</w:t>
      </w:r>
      <w:r>
        <w:rPr>
          <w:spacing w:val="-4"/>
        </w:rPr>
        <w:t> </w:t>
      </w:r>
      <w:r>
        <w:rPr/>
        <w:t>becomes</w:t>
      </w:r>
      <w:r>
        <w:rPr>
          <w:spacing w:val="-3"/>
        </w:rPr>
        <w:t> </w:t>
      </w:r>
      <w:r>
        <w:rPr/>
        <w:t>a</w:t>
      </w:r>
      <w:r>
        <w:rPr>
          <w:spacing w:val="-2"/>
        </w:rPr>
        <w:t> </w:t>
      </w:r>
      <w:r>
        <w:rPr/>
        <w:t>symbol</w:t>
      </w:r>
      <w:r>
        <w:rPr>
          <w:spacing w:val="-4"/>
        </w:rPr>
        <w:t> </w:t>
      </w:r>
      <w:r>
        <w:rPr/>
        <w:t>of</w:t>
      </w:r>
      <w:r>
        <w:rPr>
          <w:spacing w:val="-4"/>
        </w:rPr>
        <w:t> </w:t>
      </w:r>
      <w:r>
        <w:rPr/>
        <w:t>moral</w:t>
      </w:r>
      <w:r>
        <w:rPr>
          <w:spacing w:val="-4"/>
        </w:rPr>
        <w:t> </w:t>
      </w:r>
      <w:r>
        <w:rPr/>
        <w:t>corruption,</w:t>
      </w:r>
      <w:r>
        <w:rPr>
          <w:spacing w:val="-3"/>
        </w:rPr>
        <w:t> </w:t>
      </w:r>
      <w:r>
        <w:rPr/>
        <w:t>much like the loss of purity after the Fall.</w:t>
      </w:r>
    </w:p>
    <w:p>
      <w:pPr>
        <w:pStyle w:val="BodyText"/>
        <w:spacing w:line="264" w:lineRule="auto" w:before="49"/>
        <w:ind w:right="1438" w:firstLine="432"/>
        <w:jc w:val="both"/>
      </w:pPr>
      <w:r>
        <w:rPr/>
        <w:t>The</w:t>
      </w:r>
      <w:r>
        <w:rPr>
          <w:spacing w:val="-4"/>
        </w:rPr>
        <w:t> </w:t>
      </w:r>
      <w:r>
        <w:rPr/>
        <w:t>concept</w:t>
      </w:r>
      <w:r>
        <w:rPr>
          <w:spacing w:val="-3"/>
        </w:rPr>
        <w:t> </w:t>
      </w:r>
      <w:r>
        <w:rPr/>
        <w:t>of</w:t>
      </w:r>
      <w:r>
        <w:rPr>
          <w:spacing w:val="-3"/>
        </w:rPr>
        <w:t> </w:t>
      </w:r>
      <w:r>
        <w:rPr/>
        <w:t>lust</w:t>
      </w:r>
      <w:r>
        <w:rPr>
          <w:spacing w:val="-3"/>
        </w:rPr>
        <w:t> </w:t>
      </w:r>
      <w:r>
        <w:rPr/>
        <w:t>in</w:t>
      </w:r>
      <w:r>
        <w:rPr>
          <w:spacing w:val="-5"/>
        </w:rPr>
        <w:t> </w:t>
      </w:r>
      <w:r>
        <w:rPr/>
        <w:t>this</w:t>
      </w:r>
      <w:r>
        <w:rPr>
          <w:spacing w:val="-5"/>
        </w:rPr>
        <w:t> </w:t>
      </w:r>
      <w:r>
        <w:rPr/>
        <w:t>context</w:t>
      </w:r>
      <w:r>
        <w:rPr>
          <w:spacing w:val="-3"/>
        </w:rPr>
        <w:t> </w:t>
      </w:r>
      <w:r>
        <w:rPr/>
        <w:t>extends</w:t>
      </w:r>
      <w:r>
        <w:rPr>
          <w:spacing w:val="-2"/>
        </w:rPr>
        <w:t> </w:t>
      </w:r>
      <w:r>
        <w:rPr/>
        <w:t>beyond</w:t>
      </w:r>
      <w:r>
        <w:rPr>
          <w:spacing w:val="-2"/>
        </w:rPr>
        <w:t> </w:t>
      </w:r>
      <w:r>
        <w:rPr/>
        <w:t>physical</w:t>
      </w:r>
      <w:r>
        <w:rPr>
          <w:spacing w:val="-4"/>
        </w:rPr>
        <w:t> </w:t>
      </w:r>
      <w:r>
        <w:rPr/>
        <w:t>desire; it represents an intense craving for power and control. Lady Macbeth’s ambition can be interpreted as a form of spiritual lust—a desire to transcend natural limits and assume authority that does not rightfully belong to her. This parallels Eve’s desire for knowledge and God-like status, suggesting that both figures are driven by a longing that </w:t>
      </w:r>
      <w:r>
        <w:rPr>
          <w:spacing w:val="-2"/>
        </w:rPr>
        <w:t>ultimately</w:t>
      </w:r>
      <w:r>
        <w:rPr>
          <w:spacing w:val="-9"/>
        </w:rPr>
        <w:t> </w:t>
      </w:r>
      <w:r>
        <w:rPr>
          <w:spacing w:val="-2"/>
        </w:rPr>
        <w:t>leads</w:t>
      </w:r>
      <w:r>
        <w:rPr>
          <w:spacing w:val="-7"/>
        </w:rPr>
        <w:t> </w:t>
      </w:r>
      <w:r>
        <w:rPr>
          <w:spacing w:val="-2"/>
        </w:rPr>
        <w:t>to</w:t>
      </w:r>
      <w:r>
        <w:rPr>
          <w:spacing w:val="-4"/>
        </w:rPr>
        <w:t> </w:t>
      </w:r>
      <w:r>
        <w:rPr>
          <w:spacing w:val="-2"/>
        </w:rPr>
        <w:t>their downfall.</w:t>
      </w:r>
      <w:r>
        <w:rPr>
          <w:spacing w:val="-7"/>
        </w:rPr>
        <w:t> </w:t>
      </w:r>
      <w:r>
        <w:rPr>
          <w:spacing w:val="-2"/>
        </w:rPr>
        <w:t>In</w:t>
      </w:r>
      <w:r>
        <w:rPr>
          <w:spacing w:val="-7"/>
        </w:rPr>
        <w:t> </w:t>
      </w:r>
      <w:r>
        <w:rPr>
          <w:spacing w:val="-2"/>
        </w:rPr>
        <w:t>biblical</w:t>
      </w:r>
      <w:r>
        <w:rPr>
          <w:spacing w:val="-6"/>
        </w:rPr>
        <w:t> </w:t>
      </w:r>
      <w:r>
        <w:rPr>
          <w:spacing w:val="-2"/>
        </w:rPr>
        <w:t>thought,</w:t>
      </w:r>
      <w:r>
        <w:rPr>
          <w:spacing w:val="-4"/>
        </w:rPr>
        <w:t> </w:t>
      </w:r>
      <w:r>
        <w:rPr>
          <w:spacing w:val="-2"/>
        </w:rPr>
        <w:t>such</w:t>
      </w:r>
      <w:r>
        <w:rPr>
          <w:spacing w:val="-9"/>
        </w:rPr>
        <w:t> </w:t>
      </w:r>
      <w:r>
        <w:rPr>
          <w:spacing w:val="-2"/>
        </w:rPr>
        <w:t>desire</w:t>
      </w:r>
      <w:r>
        <w:rPr>
          <w:spacing w:val="-4"/>
        </w:rPr>
        <w:t> </w:t>
      </w:r>
      <w:r>
        <w:rPr>
          <w:spacing w:val="-2"/>
        </w:rPr>
        <w:t>disrupts </w:t>
      </w:r>
      <w:r>
        <w:rPr/>
        <w:t>divine order, replacing obedience with self-will.</w:t>
      </w:r>
    </w:p>
    <w:p>
      <w:pPr>
        <w:pStyle w:val="BodyText"/>
        <w:spacing w:line="264" w:lineRule="auto" w:before="52"/>
        <w:ind w:right="1439" w:firstLine="432"/>
        <w:jc w:val="both"/>
      </w:pPr>
      <w:r>
        <w:rPr/>
        <w:t>Furthermore, the idea that “the wage of sin is death” (from the Epistle to the Romans) is strongly reflected in Lady Macbeth’s fate. Although her death occurs offstage, her mental collapse and eventual demise signify the inevitable consequence of her actions. Her sleepwalking scene represents a state of inner judgment, where her conscience continuously replays the crime, she tried to suppress. This aligns with the biblical understanding that punishment for sin is not only</w:t>
      </w:r>
      <w:r>
        <w:rPr>
          <w:spacing w:val="40"/>
        </w:rPr>
        <w:t> </w:t>
      </w:r>
      <w:r>
        <w:rPr/>
        <w:t>physical</w:t>
      </w:r>
      <w:r>
        <w:rPr>
          <w:spacing w:val="40"/>
        </w:rPr>
        <w:t> </w:t>
      </w:r>
      <w:r>
        <w:rPr/>
        <w:t>but</w:t>
      </w:r>
      <w:r>
        <w:rPr>
          <w:spacing w:val="40"/>
        </w:rPr>
        <w:t> </w:t>
      </w:r>
      <w:r>
        <w:rPr/>
        <w:t>also</w:t>
      </w:r>
      <w:r>
        <w:rPr>
          <w:spacing w:val="40"/>
        </w:rPr>
        <w:t> </w:t>
      </w:r>
      <w:r>
        <w:rPr/>
        <w:t>psychological</w:t>
      </w:r>
      <w:r>
        <w:rPr>
          <w:spacing w:val="40"/>
        </w:rPr>
        <w:t> </w:t>
      </w:r>
      <w:r>
        <w:rPr/>
        <w:t>and</w:t>
      </w:r>
      <w:r>
        <w:rPr>
          <w:spacing w:val="40"/>
        </w:rPr>
        <w:t> </w:t>
      </w:r>
      <w:r>
        <w:rPr/>
        <w:t>spiritual.</w:t>
      </w:r>
    </w:p>
    <w:p>
      <w:pPr>
        <w:pStyle w:val="BodyText"/>
        <w:spacing w:line="249" w:lineRule="auto" w:before="43"/>
        <w:ind w:right="1439" w:firstLine="432"/>
        <w:jc w:val="both"/>
      </w:pPr>
      <w:r>
        <w:rPr>
          <w:spacing w:val="-2"/>
        </w:rPr>
        <w:t>Shakespeare’s</w:t>
      </w:r>
      <w:r>
        <w:rPr>
          <w:spacing w:val="-10"/>
        </w:rPr>
        <w:t> </w:t>
      </w:r>
      <w:r>
        <w:rPr>
          <w:spacing w:val="-2"/>
        </w:rPr>
        <w:t>portrayal</w:t>
      </w:r>
      <w:r>
        <w:rPr>
          <w:spacing w:val="-10"/>
        </w:rPr>
        <w:t> </w:t>
      </w:r>
      <w:r>
        <w:rPr>
          <w:spacing w:val="-2"/>
        </w:rPr>
        <w:t>of</w:t>
      </w:r>
      <w:r>
        <w:rPr>
          <w:spacing w:val="-8"/>
        </w:rPr>
        <w:t> </w:t>
      </w:r>
      <w:r>
        <w:rPr>
          <w:spacing w:val="-2"/>
        </w:rPr>
        <w:t>Lady</w:t>
      </w:r>
      <w:r>
        <w:rPr>
          <w:spacing w:val="-11"/>
        </w:rPr>
        <w:t> </w:t>
      </w:r>
      <w:r>
        <w:rPr>
          <w:spacing w:val="-2"/>
        </w:rPr>
        <w:t>Macbeth</w:t>
      </w:r>
      <w:r>
        <w:rPr>
          <w:spacing w:val="-7"/>
        </w:rPr>
        <w:t> </w:t>
      </w:r>
      <w:r>
        <w:rPr>
          <w:spacing w:val="-2"/>
        </w:rPr>
        <w:t>thus</w:t>
      </w:r>
      <w:r>
        <w:rPr>
          <w:spacing w:val="-10"/>
        </w:rPr>
        <w:t> </w:t>
      </w:r>
      <w:r>
        <w:rPr>
          <w:spacing w:val="-2"/>
        </w:rPr>
        <w:t>transforms</w:t>
      </w:r>
      <w:r>
        <w:rPr>
          <w:spacing w:val="-8"/>
        </w:rPr>
        <w:t> </w:t>
      </w:r>
      <w:r>
        <w:rPr>
          <w:spacing w:val="-2"/>
        </w:rPr>
        <w:t>a</w:t>
      </w:r>
      <w:r>
        <w:rPr>
          <w:spacing w:val="-8"/>
        </w:rPr>
        <w:t> </w:t>
      </w:r>
      <w:r>
        <w:rPr>
          <w:spacing w:val="-2"/>
        </w:rPr>
        <w:t>political </w:t>
      </w:r>
      <w:r>
        <w:rPr/>
        <w:t>crime into a moral and theological tragedy. The shedding of “divine innocence”</w:t>
      </w:r>
      <w:r>
        <w:rPr>
          <w:spacing w:val="-13"/>
        </w:rPr>
        <w:t> </w:t>
      </w:r>
      <w:r>
        <w:rPr/>
        <w:t>and</w:t>
      </w:r>
      <w:r>
        <w:rPr>
          <w:spacing w:val="-12"/>
        </w:rPr>
        <w:t> </w:t>
      </w:r>
      <w:r>
        <w:rPr/>
        <w:t>the</w:t>
      </w:r>
      <w:r>
        <w:rPr>
          <w:spacing w:val="-13"/>
        </w:rPr>
        <w:t> </w:t>
      </w:r>
      <w:r>
        <w:rPr/>
        <w:t>embrace</w:t>
      </w:r>
      <w:r>
        <w:rPr>
          <w:spacing w:val="-12"/>
        </w:rPr>
        <w:t> </w:t>
      </w:r>
      <w:r>
        <w:rPr/>
        <w:t>of</w:t>
      </w:r>
      <w:r>
        <w:rPr>
          <w:spacing w:val="-13"/>
        </w:rPr>
        <w:t> </w:t>
      </w:r>
      <w:r>
        <w:rPr/>
        <w:t>sinful</w:t>
      </w:r>
      <w:r>
        <w:rPr>
          <w:spacing w:val="-12"/>
        </w:rPr>
        <w:t> </w:t>
      </w:r>
      <w:r>
        <w:rPr/>
        <w:t>ambition</w:t>
      </w:r>
      <w:r>
        <w:rPr>
          <w:spacing w:val="-12"/>
        </w:rPr>
        <w:t> </w:t>
      </w:r>
      <w:r>
        <w:rPr/>
        <w:t>mirror</w:t>
      </w:r>
      <w:r>
        <w:rPr>
          <w:spacing w:val="-12"/>
        </w:rPr>
        <w:t> </w:t>
      </w:r>
      <w:r>
        <w:rPr/>
        <w:t>the</w:t>
      </w:r>
      <w:r>
        <w:rPr>
          <w:spacing w:val="-11"/>
        </w:rPr>
        <w:t> </w:t>
      </w:r>
      <w:r>
        <w:rPr/>
        <w:t>transition</w:t>
      </w:r>
      <w:r>
        <w:rPr>
          <w:spacing w:val="-13"/>
        </w:rPr>
        <w:t> </w:t>
      </w:r>
      <w:r>
        <w:rPr/>
        <w:t>from Edenic purity</w:t>
      </w:r>
      <w:r>
        <w:rPr>
          <w:spacing w:val="-2"/>
        </w:rPr>
        <w:t> </w:t>
      </w:r>
      <w:r>
        <w:rPr/>
        <w:t>to</w:t>
      </w:r>
      <w:r>
        <w:rPr>
          <w:spacing w:val="1"/>
        </w:rPr>
        <w:t> </w:t>
      </w:r>
      <w:r>
        <w:rPr/>
        <w:t>human</w:t>
      </w:r>
      <w:r>
        <w:rPr>
          <w:spacing w:val="-2"/>
        </w:rPr>
        <w:t> </w:t>
      </w:r>
      <w:r>
        <w:rPr/>
        <w:t>fallibility. Her</w:t>
      </w:r>
      <w:r>
        <w:rPr>
          <w:spacing w:val="3"/>
        </w:rPr>
        <w:t> </w:t>
      </w:r>
      <w:r>
        <w:rPr/>
        <w:t>journey</w:t>
      </w:r>
      <w:r>
        <w:rPr>
          <w:spacing w:val="-4"/>
        </w:rPr>
        <w:t> </w:t>
      </w:r>
      <w:r>
        <w:rPr/>
        <w:t>reflects a</w:t>
      </w:r>
      <w:r>
        <w:rPr>
          <w:spacing w:val="2"/>
        </w:rPr>
        <w:t> </w:t>
      </w:r>
      <w:r>
        <w:rPr/>
        <w:t>universal </w:t>
      </w:r>
      <w:r>
        <w:rPr>
          <w:spacing w:val="-2"/>
        </w:rPr>
        <w:t>truth</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899136">
                <wp:simplePos x="0" y="0"/>
                <wp:positionH relativeFrom="page">
                  <wp:posOffset>2057400</wp:posOffset>
                </wp:positionH>
                <wp:positionV relativeFrom="paragraph">
                  <wp:posOffset>162604</wp:posOffset>
                </wp:positionV>
                <wp:extent cx="3657600" cy="12700"/>
                <wp:effectExtent l="0" t="0" r="0" b="0"/>
                <wp:wrapTopAndBottom/>
                <wp:docPr id="827" name="Graphic 827"/>
                <wp:cNvGraphicFramePr>
                  <a:graphicFrameLocks/>
                </wp:cNvGraphicFramePr>
                <a:graphic>
                  <a:graphicData uri="http://schemas.microsoft.com/office/word/2010/wordprocessingShape">
                    <wps:wsp>
                      <wps:cNvPr id="827" name="Graphic 82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17344;mso-wrap-distance-left:0;mso-wrap-distance-right:0" id="docshape819" filled="true" fillcolor="#000000" stroked="false">
                <v:fill type="solid"/>
                <w10:wrap type="topAndBottom"/>
              </v:rect>
            </w:pict>
          </mc:Fallback>
        </mc:AlternateContent>
      </w:r>
      <w:r>
        <w:rPr>
          <w:rFonts w:ascii="Verdana"/>
          <w:spacing w:val="-5"/>
          <w:sz w:val="18"/>
        </w:rPr>
        <w:t>428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3"/>
        <w:jc w:val="both"/>
      </w:pPr>
      <w:r>
        <w:rPr/>
        <w:t>emphasized in biblical teachings: that temptation may offer immediate gain,</w:t>
      </w:r>
      <w:r>
        <w:rPr>
          <w:spacing w:val="40"/>
        </w:rPr>
        <w:t> </w:t>
      </w:r>
      <w:r>
        <w:rPr/>
        <w:t>but it</w:t>
      </w:r>
      <w:r>
        <w:rPr>
          <w:spacing w:val="40"/>
        </w:rPr>
        <w:t> </w:t>
      </w:r>
      <w:r>
        <w:rPr/>
        <w:t>ultimately leads to</w:t>
      </w:r>
      <w:r>
        <w:rPr>
          <w:spacing w:val="40"/>
        </w:rPr>
        <w:t> </w:t>
      </w:r>
      <w:r>
        <w:rPr/>
        <w:t>suffering,</w:t>
      </w:r>
      <w:r>
        <w:rPr>
          <w:spacing w:val="40"/>
        </w:rPr>
        <w:t> </w:t>
      </w:r>
      <w:r>
        <w:rPr/>
        <w:t>guilt,</w:t>
      </w:r>
      <w:r>
        <w:rPr>
          <w:spacing w:val="40"/>
        </w:rPr>
        <w:t> </w:t>
      </w:r>
      <w:r>
        <w:rPr/>
        <w:t>and</w:t>
      </w:r>
      <w:r>
        <w:rPr>
          <w:spacing w:val="40"/>
        </w:rPr>
        <w:t> </w:t>
      </w:r>
      <w:r>
        <w:rPr/>
        <w:t>loss.</w:t>
      </w:r>
    </w:p>
    <w:p>
      <w:pPr>
        <w:pStyle w:val="BodyText"/>
        <w:spacing w:line="242" w:lineRule="auto" w:before="55"/>
        <w:ind w:right="1438" w:firstLine="432"/>
        <w:jc w:val="both"/>
      </w:pPr>
      <w:r>
        <w:rPr/>
        <w:t>In</w:t>
      </w:r>
      <w:r>
        <w:rPr>
          <w:spacing w:val="18"/>
        </w:rPr>
        <w:t> </w:t>
      </w:r>
      <w:r>
        <w:rPr/>
        <w:t>conclusion,</w:t>
      </w:r>
      <w:r>
        <w:rPr>
          <w:spacing w:val="20"/>
        </w:rPr>
        <w:t> </w:t>
      </w:r>
      <w:r>
        <w:rPr/>
        <w:t>the</w:t>
      </w:r>
      <w:r>
        <w:rPr>
          <w:spacing w:val="19"/>
        </w:rPr>
        <w:t> </w:t>
      </w:r>
      <w:r>
        <w:rPr/>
        <w:t>biblical</w:t>
      </w:r>
      <w:r>
        <w:rPr>
          <w:spacing w:val="18"/>
        </w:rPr>
        <w:t> </w:t>
      </w:r>
      <w:r>
        <w:rPr/>
        <w:t>approach</w:t>
      </w:r>
      <w:r>
        <w:rPr>
          <w:spacing w:val="18"/>
        </w:rPr>
        <w:t> </w:t>
      </w:r>
      <w:r>
        <w:rPr/>
        <w:t>highlights</w:t>
      </w:r>
      <w:r>
        <w:rPr>
          <w:spacing w:val="18"/>
        </w:rPr>
        <w:t> </w:t>
      </w:r>
      <w:r>
        <w:rPr/>
        <w:t>Lady Macbeth</w:t>
      </w:r>
      <w:r>
        <w:rPr>
          <w:spacing w:val="18"/>
        </w:rPr>
        <w:t> </w:t>
      </w:r>
      <w:r>
        <w:rPr/>
        <w:t>as a tragic embodiment of sin and lust, whose actions parallel the fall of humanity itself. Through her, Shakespeare illustrates that moral transgression carries unavoidable consequences, and that no amount of power can cleanse the stain of wrongdoing once it has taken root in the human</w:t>
      </w:r>
      <w:r>
        <w:rPr>
          <w:spacing w:val="40"/>
        </w:rPr>
        <w:t> </w:t>
      </w:r>
      <w:r>
        <w:rPr/>
        <w:t>soul.</w:t>
      </w:r>
    </w:p>
    <w:p>
      <w:pPr>
        <w:pStyle w:val="Heading3"/>
        <w:spacing w:before="149"/>
        <w:jc w:val="both"/>
      </w:pPr>
      <w:r>
        <w:rPr>
          <w:w w:val="90"/>
        </w:rPr>
        <w:t>IV</w:t>
      </w:r>
      <w:r>
        <w:rPr>
          <w:spacing w:val="-3"/>
          <w:w w:val="90"/>
        </w:rPr>
        <w:t> </w:t>
      </w:r>
      <w:r>
        <w:rPr>
          <w:w w:val="90"/>
        </w:rPr>
        <w:t>THE</w:t>
      </w:r>
      <w:r>
        <w:rPr>
          <w:spacing w:val="-1"/>
          <w:w w:val="90"/>
        </w:rPr>
        <w:t> </w:t>
      </w:r>
      <w:r>
        <w:rPr>
          <w:w w:val="90"/>
        </w:rPr>
        <w:t>UNTAMED</w:t>
      </w:r>
      <w:r>
        <w:rPr>
          <w:spacing w:val="-2"/>
          <w:w w:val="90"/>
        </w:rPr>
        <w:t> </w:t>
      </w:r>
      <w:r>
        <w:rPr>
          <w:w w:val="90"/>
        </w:rPr>
        <w:t>SHREW</w:t>
      </w:r>
      <w:r>
        <w:rPr>
          <w:spacing w:val="-1"/>
          <w:w w:val="90"/>
        </w:rPr>
        <w:t> </w:t>
      </w:r>
      <w:r>
        <w:rPr>
          <w:spacing w:val="-2"/>
          <w:w w:val="90"/>
        </w:rPr>
        <w:t>SYNDROME!</w:t>
      </w:r>
    </w:p>
    <w:p>
      <w:pPr>
        <w:pStyle w:val="BodyText"/>
        <w:spacing w:line="242" w:lineRule="auto" w:before="68"/>
        <w:ind w:right="1440" w:firstLine="432"/>
        <w:jc w:val="both"/>
      </w:pPr>
      <w:r>
        <w:rPr/>
        <w:t>A</w:t>
      </w:r>
      <w:r>
        <w:rPr>
          <w:spacing w:val="-13"/>
        </w:rPr>
        <w:t> </w:t>
      </w:r>
      <w:r>
        <w:rPr/>
        <w:t>reading</w:t>
      </w:r>
      <w:r>
        <w:rPr>
          <w:spacing w:val="-12"/>
        </w:rPr>
        <w:t> </w:t>
      </w:r>
      <w:r>
        <w:rPr/>
        <w:t>of</w:t>
      </w:r>
      <w:r>
        <w:rPr>
          <w:spacing w:val="-13"/>
        </w:rPr>
        <w:t> </w:t>
      </w:r>
      <w:r>
        <w:rPr/>
        <w:t>the</w:t>
      </w:r>
      <w:r>
        <w:rPr>
          <w:spacing w:val="-12"/>
        </w:rPr>
        <w:t> </w:t>
      </w:r>
      <w:r>
        <w:rPr/>
        <w:t>“Untamed</w:t>
      </w:r>
      <w:r>
        <w:rPr>
          <w:spacing w:val="-13"/>
        </w:rPr>
        <w:t> </w:t>
      </w:r>
      <w:r>
        <w:rPr/>
        <w:t>Shrew</w:t>
      </w:r>
      <w:r>
        <w:rPr>
          <w:spacing w:val="-12"/>
        </w:rPr>
        <w:t> </w:t>
      </w:r>
      <w:r>
        <w:rPr/>
        <w:t>Syndrome”</w:t>
      </w:r>
      <w:r>
        <w:rPr>
          <w:spacing w:val="-13"/>
        </w:rPr>
        <w:t> </w:t>
      </w:r>
      <w:r>
        <w:rPr/>
        <w:t>centres</w:t>
      </w:r>
      <w:r>
        <w:rPr>
          <w:spacing w:val="-12"/>
        </w:rPr>
        <w:t> </w:t>
      </w:r>
      <w:r>
        <w:rPr/>
        <w:t>on</w:t>
      </w:r>
      <w:r>
        <w:rPr>
          <w:spacing w:val="-13"/>
        </w:rPr>
        <w:t> </w:t>
      </w:r>
      <w:r>
        <w:rPr/>
        <w:t>Katherine </w:t>
      </w:r>
      <w:r>
        <w:rPr>
          <w:spacing w:val="-4"/>
        </w:rPr>
        <w:t>from</w:t>
      </w:r>
      <w:r>
        <w:rPr>
          <w:spacing w:val="-7"/>
        </w:rPr>
        <w:t> </w:t>
      </w:r>
      <w:r>
        <w:rPr>
          <w:spacing w:val="-4"/>
        </w:rPr>
        <w:t>The Taming of the Shrew by</w:t>
      </w:r>
      <w:r>
        <w:rPr>
          <w:spacing w:val="-9"/>
        </w:rPr>
        <w:t> </w:t>
      </w:r>
      <w:r>
        <w:rPr>
          <w:spacing w:val="-4"/>
        </w:rPr>
        <w:t>William</w:t>
      </w:r>
      <w:r>
        <w:rPr>
          <w:spacing w:val="-5"/>
        </w:rPr>
        <w:t> </w:t>
      </w:r>
      <w:r>
        <w:rPr>
          <w:spacing w:val="-4"/>
        </w:rPr>
        <w:t>Shakespeare,</w:t>
      </w:r>
      <w:r>
        <w:rPr/>
        <w:t> </w:t>
      </w:r>
      <w:r>
        <w:rPr>
          <w:spacing w:val="-4"/>
        </w:rPr>
        <w:t>where</w:t>
      </w:r>
      <w:r>
        <w:rPr/>
        <w:t> </w:t>
      </w:r>
      <w:r>
        <w:rPr>
          <w:spacing w:val="-4"/>
        </w:rPr>
        <w:t>arrogance, </w:t>
      </w:r>
      <w:r>
        <w:rPr/>
        <w:t>defiance, and verbal aggression are not merely personality traits but signs of a deeper resistance to social conditioning. Katherine is often labelled</w:t>
      </w:r>
      <w:r>
        <w:rPr>
          <w:spacing w:val="-11"/>
        </w:rPr>
        <w:t> </w:t>
      </w:r>
      <w:r>
        <w:rPr/>
        <w:t>a</w:t>
      </w:r>
      <w:r>
        <w:rPr>
          <w:spacing w:val="-12"/>
        </w:rPr>
        <w:t> </w:t>
      </w:r>
      <w:r>
        <w:rPr/>
        <w:t>“shrew,”</w:t>
      </w:r>
      <w:r>
        <w:rPr>
          <w:spacing w:val="-10"/>
        </w:rPr>
        <w:t> </w:t>
      </w:r>
      <w:r>
        <w:rPr/>
        <w:t>yet</w:t>
      </w:r>
      <w:r>
        <w:rPr>
          <w:spacing w:val="-11"/>
        </w:rPr>
        <w:t> </w:t>
      </w:r>
      <w:r>
        <w:rPr/>
        <w:t>this</w:t>
      </w:r>
      <w:r>
        <w:rPr>
          <w:spacing w:val="-13"/>
        </w:rPr>
        <w:t> </w:t>
      </w:r>
      <w:r>
        <w:rPr/>
        <w:t>label</w:t>
      </w:r>
      <w:r>
        <w:rPr>
          <w:spacing w:val="-10"/>
        </w:rPr>
        <w:t> </w:t>
      </w:r>
      <w:r>
        <w:rPr/>
        <w:t>itself</w:t>
      </w:r>
      <w:r>
        <w:rPr>
          <w:spacing w:val="-13"/>
        </w:rPr>
        <w:t> </w:t>
      </w:r>
      <w:r>
        <w:rPr/>
        <w:t>becomes</w:t>
      </w:r>
      <w:r>
        <w:rPr>
          <w:spacing w:val="-10"/>
        </w:rPr>
        <w:t> </w:t>
      </w:r>
      <w:r>
        <w:rPr/>
        <w:t>an</w:t>
      </w:r>
      <w:r>
        <w:rPr>
          <w:spacing w:val="-11"/>
        </w:rPr>
        <w:t> </w:t>
      </w:r>
      <w:r>
        <w:rPr/>
        <w:t>analytical</w:t>
      </w:r>
      <w:r>
        <w:rPr>
          <w:spacing w:val="-13"/>
        </w:rPr>
        <w:t> </w:t>
      </w:r>
      <w:r>
        <w:rPr/>
        <w:t>entry</w:t>
      </w:r>
      <w:r>
        <w:rPr>
          <w:spacing w:val="-12"/>
        </w:rPr>
        <w:t> </w:t>
      </w:r>
      <w:r>
        <w:rPr/>
        <w:t>point: </w:t>
      </w:r>
      <w:r>
        <w:rPr>
          <w:spacing w:val="-2"/>
        </w:rPr>
        <w:t>it</w:t>
      </w:r>
      <w:r>
        <w:rPr>
          <w:spacing w:val="-11"/>
        </w:rPr>
        <w:t> </w:t>
      </w:r>
      <w:r>
        <w:rPr>
          <w:spacing w:val="-2"/>
        </w:rPr>
        <w:t>reflects</w:t>
      </w:r>
      <w:r>
        <w:rPr>
          <w:spacing w:val="-10"/>
        </w:rPr>
        <w:t> </w:t>
      </w:r>
      <w:r>
        <w:rPr>
          <w:spacing w:val="-2"/>
        </w:rPr>
        <w:t>how</w:t>
      </w:r>
      <w:r>
        <w:rPr>
          <w:spacing w:val="-11"/>
        </w:rPr>
        <w:t> </w:t>
      </w:r>
      <w:r>
        <w:rPr>
          <w:spacing w:val="-2"/>
        </w:rPr>
        <w:t>society</w:t>
      </w:r>
      <w:r>
        <w:rPr>
          <w:spacing w:val="-10"/>
        </w:rPr>
        <w:t> </w:t>
      </w:r>
      <w:r>
        <w:rPr>
          <w:spacing w:val="-2"/>
        </w:rPr>
        <w:t>names</w:t>
      </w:r>
      <w:r>
        <w:rPr>
          <w:spacing w:val="-11"/>
        </w:rPr>
        <w:t> </w:t>
      </w:r>
      <w:r>
        <w:rPr>
          <w:spacing w:val="-2"/>
        </w:rPr>
        <w:t>and</w:t>
      </w:r>
      <w:r>
        <w:rPr>
          <w:spacing w:val="-10"/>
        </w:rPr>
        <w:t> </w:t>
      </w:r>
      <w:r>
        <w:rPr>
          <w:spacing w:val="-2"/>
        </w:rPr>
        <w:t>controls</w:t>
      </w:r>
      <w:r>
        <w:rPr>
          <w:spacing w:val="-11"/>
        </w:rPr>
        <w:t> </w:t>
      </w:r>
      <w:r>
        <w:rPr>
          <w:spacing w:val="-2"/>
        </w:rPr>
        <w:t>women</w:t>
      </w:r>
      <w:r>
        <w:rPr>
          <w:spacing w:val="-10"/>
        </w:rPr>
        <w:t> </w:t>
      </w:r>
      <w:r>
        <w:rPr>
          <w:spacing w:val="-2"/>
        </w:rPr>
        <w:t>who</w:t>
      </w:r>
      <w:r>
        <w:rPr>
          <w:spacing w:val="-11"/>
        </w:rPr>
        <w:t> </w:t>
      </w:r>
      <w:r>
        <w:rPr>
          <w:spacing w:val="-2"/>
        </w:rPr>
        <w:t>refuse</w:t>
      </w:r>
      <w:r>
        <w:rPr>
          <w:spacing w:val="-10"/>
        </w:rPr>
        <w:t> </w:t>
      </w:r>
      <w:r>
        <w:rPr>
          <w:spacing w:val="-2"/>
        </w:rPr>
        <w:t>compliance. </w:t>
      </w:r>
      <w:r>
        <w:rPr/>
        <w:t>Her “untamed” nature is therefore less about disorder and more about nonconformity to</w:t>
      </w:r>
      <w:r>
        <w:rPr>
          <w:spacing w:val="40"/>
        </w:rPr>
        <w:t> </w:t>
      </w:r>
      <w:r>
        <w:rPr/>
        <w:t>patriarchal expectations.</w:t>
      </w:r>
    </w:p>
    <w:p>
      <w:pPr>
        <w:pStyle w:val="Heading5"/>
        <w:numPr>
          <w:ilvl w:val="0"/>
          <w:numId w:val="89"/>
        </w:numPr>
        <w:tabs>
          <w:tab w:pos="1742" w:val="left" w:leader="none"/>
        </w:tabs>
        <w:spacing w:line="240" w:lineRule="auto" w:before="104" w:after="0"/>
        <w:ind w:left="1742" w:right="0" w:hanging="302"/>
        <w:jc w:val="left"/>
      </w:pPr>
      <w:r>
        <w:rPr>
          <w:w w:val="105"/>
        </w:rPr>
        <w:t>Arrogance</w:t>
      </w:r>
      <w:r>
        <w:rPr>
          <w:spacing w:val="72"/>
          <w:w w:val="150"/>
        </w:rPr>
        <w:t> </w:t>
      </w:r>
      <w:r>
        <w:rPr>
          <w:w w:val="105"/>
        </w:rPr>
        <w:t>as</w:t>
      </w:r>
      <w:r>
        <w:rPr>
          <w:spacing w:val="67"/>
          <w:w w:val="150"/>
        </w:rPr>
        <w:t> </w:t>
      </w:r>
      <w:r>
        <w:rPr>
          <w:w w:val="105"/>
        </w:rPr>
        <w:t>Performance</w:t>
      </w:r>
      <w:r>
        <w:rPr>
          <w:spacing w:val="72"/>
          <w:w w:val="150"/>
        </w:rPr>
        <w:t> </w:t>
      </w:r>
      <w:r>
        <w:rPr>
          <w:w w:val="105"/>
        </w:rPr>
        <w:t>and</w:t>
      </w:r>
      <w:r>
        <w:rPr>
          <w:spacing w:val="68"/>
          <w:w w:val="150"/>
        </w:rPr>
        <w:t> </w:t>
      </w:r>
      <w:r>
        <w:rPr>
          <w:spacing w:val="-2"/>
          <w:w w:val="105"/>
        </w:rPr>
        <w:t>Power:</w:t>
      </w:r>
    </w:p>
    <w:p>
      <w:pPr>
        <w:pStyle w:val="BodyText"/>
        <w:spacing w:line="242" w:lineRule="auto" w:before="65"/>
        <w:ind w:right="1440" w:firstLine="432"/>
        <w:jc w:val="both"/>
      </w:pPr>
      <w:r>
        <w:rPr/>
        <w:t>Katherine’s arrogance can be understood not simply as pride, but as</w:t>
      </w:r>
      <w:r>
        <w:rPr>
          <w:spacing w:val="-7"/>
        </w:rPr>
        <w:t> </w:t>
      </w:r>
      <w:r>
        <w:rPr/>
        <w:t>a</w:t>
      </w:r>
      <w:r>
        <w:rPr>
          <w:spacing w:val="-5"/>
        </w:rPr>
        <w:t> </w:t>
      </w:r>
      <w:r>
        <w:rPr/>
        <w:t>deliberate</w:t>
      </w:r>
      <w:r>
        <w:rPr>
          <w:spacing w:val="-7"/>
        </w:rPr>
        <w:t> </w:t>
      </w:r>
      <w:r>
        <w:rPr/>
        <w:t>performance</w:t>
      </w:r>
      <w:r>
        <w:rPr>
          <w:spacing w:val="-4"/>
        </w:rPr>
        <w:t> </w:t>
      </w:r>
      <w:r>
        <w:rPr/>
        <w:t>of</w:t>
      </w:r>
      <w:r>
        <w:rPr>
          <w:spacing w:val="-7"/>
        </w:rPr>
        <w:t> </w:t>
      </w:r>
      <w:r>
        <w:rPr/>
        <w:t>strength.</w:t>
      </w:r>
      <w:r>
        <w:rPr>
          <w:spacing w:val="-3"/>
        </w:rPr>
        <w:t> </w:t>
      </w:r>
      <w:r>
        <w:rPr/>
        <w:t>In</w:t>
      </w:r>
      <w:r>
        <w:rPr>
          <w:spacing w:val="-7"/>
        </w:rPr>
        <w:t> </w:t>
      </w:r>
      <w:r>
        <w:rPr/>
        <w:t>a</w:t>
      </w:r>
      <w:r>
        <w:rPr>
          <w:spacing w:val="-3"/>
        </w:rPr>
        <w:t> </w:t>
      </w:r>
      <w:r>
        <w:rPr/>
        <w:t>society</w:t>
      </w:r>
      <w:r>
        <w:rPr>
          <w:spacing w:val="-8"/>
        </w:rPr>
        <w:t> </w:t>
      </w:r>
      <w:r>
        <w:rPr/>
        <w:t>that</w:t>
      </w:r>
      <w:r>
        <w:rPr>
          <w:spacing w:val="-5"/>
        </w:rPr>
        <w:t> </w:t>
      </w:r>
      <w:r>
        <w:rPr/>
        <w:t>expects</w:t>
      </w:r>
      <w:r>
        <w:rPr>
          <w:spacing w:val="-7"/>
        </w:rPr>
        <w:t> </w:t>
      </w:r>
      <w:r>
        <w:rPr/>
        <w:t>women to be silent, obedient, and gentle, her loudness and sharp wit function</w:t>
      </w:r>
      <w:r>
        <w:rPr>
          <w:spacing w:val="80"/>
        </w:rPr>
        <w:t> </w:t>
      </w:r>
      <w:r>
        <w:rPr/>
        <w:t>as</w:t>
      </w:r>
      <w:r>
        <w:rPr>
          <w:spacing w:val="40"/>
        </w:rPr>
        <w:t> </w:t>
      </w:r>
      <w:r>
        <w:rPr/>
        <w:t>tools</w:t>
      </w:r>
      <w:r>
        <w:rPr>
          <w:spacing w:val="40"/>
        </w:rPr>
        <w:t> </w:t>
      </w:r>
      <w:r>
        <w:rPr/>
        <w:t>of</w:t>
      </w:r>
      <w:r>
        <w:rPr>
          <w:spacing w:val="40"/>
        </w:rPr>
        <w:t> </w:t>
      </w:r>
      <w:r>
        <w:rPr/>
        <w:t>self-assertion.</w:t>
      </w:r>
    </w:p>
    <w:p>
      <w:pPr>
        <w:pStyle w:val="Heading6"/>
        <w:spacing w:before="57"/>
      </w:pPr>
      <w:r>
        <w:rPr>
          <w:spacing w:val="-2"/>
        </w:rPr>
        <w:t>Analytically:</w:t>
      </w:r>
    </w:p>
    <w:p>
      <w:pPr>
        <w:pStyle w:val="ListParagraph"/>
        <w:numPr>
          <w:ilvl w:val="1"/>
          <w:numId w:val="89"/>
        </w:numPr>
        <w:tabs>
          <w:tab w:pos="2159" w:val="left" w:leader="none"/>
        </w:tabs>
        <w:spacing w:line="240" w:lineRule="auto" w:before="60" w:after="0"/>
        <w:ind w:left="2159" w:right="0" w:hanging="239"/>
        <w:jc w:val="left"/>
        <w:rPr>
          <w:sz w:val="20"/>
        </w:rPr>
      </w:pPr>
      <w:r>
        <w:rPr>
          <w:sz w:val="20"/>
        </w:rPr>
        <w:t>Her</w:t>
      </w:r>
      <w:r>
        <w:rPr>
          <w:spacing w:val="20"/>
          <w:sz w:val="20"/>
        </w:rPr>
        <w:t> </w:t>
      </w:r>
      <w:r>
        <w:rPr>
          <w:sz w:val="20"/>
        </w:rPr>
        <w:t>speech</w:t>
      </w:r>
      <w:r>
        <w:rPr>
          <w:spacing w:val="22"/>
          <w:sz w:val="20"/>
        </w:rPr>
        <w:t> </w:t>
      </w:r>
      <w:r>
        <w:rPr>
          <w:sz w:val="20"/>
        </w:rPr>
        <w:t>is</w:t>
      </w:r>
      <w:r>
        <w:rPr>
          <w:spacing w:val="20"/>
          <w:sz w:val="20"/>
        </w:rPr>
        <w:t> </w:t>
      </w:r>
      <w:r>
        <w:rPr>
          <w:sz w:val="20"/>
        </w:rPr>
        <w:t>direct,</w:t>
      </w:r>
      <w:r>
        <w:rPr>
          <w:spacing w:val="21"/>
          <w:sz w:val="20"/>
        </w:rPr>
        <w:t> </w:t>
      </w:r>
      <w:r>
        <w:rPr>
          <w:sz w:val="20"/>
        </w:rPr>
        <w:t>confrontational,</w:t>
      </w:r>
      <w:r>
        <w:rPr>
          <w:spacing w:val="26"/>
          <w:sz w:val="20"/>
        </w:rPr>
        <w:t> </w:t>
      </w:r>
      <w:r>
        <w:rPr>
          <w:sz w:val="20"/>
        </w:rPr>
        <w:t>and</w:t>
      </w:r>
      <w:r>
        <w:rPr>
          <w:spacing w:val="23"/>
          <w:sz w:val="20"/>
        </w:rPr>
        <w:t> </w:t>
      </w:r>
      <w:r>
        <w:rPr>
          <w:spacing w:val="-2"/>
          <w:sz w:val="20"/>
        </w:rPr>
        <w:t>unfiltered</w:t>
      </w:r>
    </w:p>
    <w:p>
      <w:pPr>
        <w:pStyle w:val="ListParagraph"/>
        <w:numPr>
          <w:ilvl w:val="1"/>
          <w:numId w:val="89"/>
        </w:numPr>
        <w:tabs>
          <w:tab w:pos="2159" w:val="left" w:leader="none"/>
        </w:tabs>
        <w:spacing w:line="240" w:lineRule="auto" w:before="61" w:after="0"/>
        <w:ind w:left="2159" w:right="0" w:hanging="239"/>
        <w:jc w:val="left"/>
        <w:rPr>
          <w:sz w:val="20"/>
        </w:rPr>
      </w:pPr>
      <w:r>
        <w:rPr>
          <w:sz w:val="20"/>
        </w:rPr>
        <w:t>She</w:t>
      </w:r>
      <w:r>
        <w:rPr>
          <w:spacing w:val="22"/>
          <w:sz w:val="20"/>
        </w:rPr>
        <w:t> </w:t>
      </w:r>
      <w:r>
        <w:rPr>
          <w:sz w:val="20"/>
        </w:rPr>
        <w:t>resists</w:t>
      </w:r>
      <w:r>
        <w:rPr>
          <w:spacing w:val="18"/>
          <w:sz w:val="20"/>
        </w:rPr>
        <w:t> </w:t>
      </w:r>
      <w:r>
        <w:rPr>
          <w:sz w:val="20"/>
        </w:rPr>
        <w:t>objectification</w:t>
      </w:r>
      <w:r>
        <w:rPr>
          <w:spacing w:val="21"/>
          <w:sz w:val="20"/>
        </w:rPr>
        <w:t> </w:t>
      </w:r>
      <w:r>
        <w:rPr>
          <w:sz w:val="20"/>
        </w:rPr>
        <w:t>in</w:t>
      </w:r>
      <w:r>
        <w:rPr>
          <w:spacing w:val="18"/>
          <w:sz w:val="20"/>
        </w:rPr>
        <w:t> </w:t>
      </w:r>
      <w:r>
        <w:rPr>
          <w:sz w:val="20"/>
        </w:rPr>
        <w:t>marriage</w:t>
      </w:r>
      <w:r>
        <w:rPr>
          <w:spacing w:val="23"/>
          <w:sz w:val="20"/>
        </w:rPr>
        <w:t> </w:t>
      </w:r>
      <w:r>
        <w:rPr>
          <w:spacing w:val="-2"/>
          <w:sz w:val="20"/>
        </w:rPr>
        <w:t>negotiations</w:t>
      </w:r>
    </w:p>
    <w:p>
      <w:pPr>
        <w:pStyle w:val="ListParagraph"/>
        <w:numPr>
          <w:ilvl w:val="1"/>
          <w:numId w:val="89"/>
        </w:numPr>
        <w:tabs>
          <w:tab w:pos="2159" w:val="left" w:leader="none"/>
        </w:tabs>
        <w:spacing w:line="240" w:lineRule="auto" w:before="60" w:after="0"/>
        <w:ind w:left="2159" w:right="0" w:hanging="239"/>
        <w:jc w:val="left"/>
        <w:rPr>
          <w:sz w:val="20"/>
        </w:rPr>
      </w:pPr>
      <w:r>
        <w:rPr>
          <w:sz w:val="20"/>
        </w:rPr>
        <w:t>She</w:t>
      </w:r>
      <w:r>
        <w:rPr>
          <w:spacing w:val="19"/>
          <w:sz w:val="20"/>
        </w:rPr>
        <w:t> </w:t>
      </w:r>
      <w:r>
        <w:rPr>
          <w:sz w:val="20"/>
        </w:rPr>
        <w:t>rejects</w:t>
      </w:r>
      <w:r>
        <w:rPr>
          <w:spacing w:val="24"/>
          <w:sz w:val="20"/>
        </w:rPr>
        <w:t> </w:t>
      </w:r>
      <w:r>
        <w:rPr>
          <w:sz w:val="20"/>
        </w:rPr>
        <w:t>the</w:t>
      </w:r>
      <w:r>
        <w:rPr>
          <w:spacing w:val="19"/>
          <w:sz w:val="20"/>
        </w:rPr>
        <w:t> </w:t>
      </w:r>
      <w:r>
        <w:rPr>
          <w:sz w:val="20"/>
        </w:rPr>
        <w:t>role</w:t>
      </w:r>
      <w:r>
        <w:rPr>
          <w:spacing w:val="20"/>
          <w:sz w:val="20"/>
        </w:rPr>
        <w:t> </w:t>
      </w:r>
      <w:r>
        <w:rPr>
          <w:sz w:val="20"/>
        </w:rPr>
        <w:t>of</w:t>
      </w:r>
      <w:r>
        <w:rPr>
          <w:spacing w:val="20"/>
          <w:sz w:val="20"/>
        </w:rPr>
        <w:t> </w:t>
      </w:r>
      <w:r>
        <w:rPr>
          <w:sz w:val="20"/>
        </w:rPr>
        <w:t>the</w:t>
      </w:r>
      <w:r>
        <w:rPr>
          <w:spacing w:val="22"/>
          <w:sz w:val="20"/>
        </w:rPr>
        <w:t> </w:t>
      </w:r>
      <w:r>
        <w:rPr>
          <w:sz w:val="20"/>
        </w:rPr>
        <w:t>“ideal</w:t>
      </w:r>
      <w:r>
        <w:rPr>
          <w:spacing w:val="20"/>
          <w:sz w:val="20"/>
        </w:rPr>
        <w:t> </w:t>
      </w:r>
      <w:r>
        <w:rPr>
          <w:spacing w:val="-2"/>
          <w:sz w:val="20"/>
        </w:rPr>
        <w:t>woman”</w:t>
      </w:r>
    </w:p>
    <w:p>
      <w:pPr>
        <w:pStyle w:val="BodyText"/>
        <w:spacing w:line="242" w:lineRule="auto" w:before="61"/>
        <w:ind w:right="1440" w:firstLine="432"/>
        <w:jc w:val="both"/>
      </w:pPr>
      <w:r>
        <w:rPr/>
        <w:t>Thus, arrogance becomes an art of survival, a way to maintain identity</w:t>
      </w:r>
      <w:r>
        <w:rPr>
          <w:spacing w:val="-3"/>
        </w:rPr>
        <w:t> </w:t>
      </w:r>
      <w:r>
        <w:rPr/>
        <w:t>within</w:t>
      </w:r>
      <w:r>
        <w:rPr>
          <w:spacing w:val="-1"/>
        </w:rPr>
        <w:t> </w:t>
      </w:r>
      <w:r>
        <w:rPr/>
        <w:t>a restrictive</w:t>
      </w:r>
      <w:r>
        <w:rPr>
          <w:spacing w:val="-1"/>
        </w:rPr>
        <w:t> </w:t>
      </w:r>
      <w:r>
        <w:rPr/>
        <w:t>structure. What appears</w:t>
      </w:r>
      <w:r>
        <w:rPr>
          <w:spacing w:val="-1"/>
        </w:rPr>
        <w:t> </w:t>
      </w:r>
      <w:r>
        <w:rPr/>
        <w:t>as</w:t>
      </w:r>
      <w:r>
        <w:rPr>
          <w:spacing w:val="-1"/>
        </w:rPr>
        <w:t> </w:t>
      </w:r>
      <w:r>
        <w:rPr/>
        <w:t>hostility</w:t>
      </w:r>
      <w:r>
        <w:rPr>
          <w:spacing w:val="-5"/>
        </w:rPr>
        <w:t> </w:t>
      </w:r>
      <w:r>
        <w:rPr/>
        <w:t>can</w:t>
      </w:r>
      <w:r>
        <w:rPr>
          <w:spacing w:val="-1"/>
        </w:rPr>
        <w:t> </w:t>
      </w:r>
      <w:r>
        <w:rPr/>
        <w:t>also be</w:t>
      </w:r>
      <w:r>
        <w:rPr>
          <w:spacing w:val="40"/>
        </w:rPr>
        <w:t> </w:t>
      </w:r>
      <w:r>
        <w:rPr/>
        <w:t>read</w:t>
      </w:r>
      <w:r>
        <w:rPr>
          <w:spacing w:val="40"/>
        </w:rPr>
        <w:t> </w:t>
      </w:r>
      <w:r>
        <w:rPr/>
        <w:t>as</w:t>
      </w:r>
      <w:r>
        <w:rPr>
          <w:spacing w:val="40"/>
        </w:rPr>
        <w:t> </w:t>
      </w:r>
      <w:r>
        <w:rPr/>
        <w:t>a</w:t>
      </w:r>
      <w:r>
        <w:rPr>
          <w:spacing w:val="40"/>
        </w:rPr>
        <w:t> </w:t>
      </w:r>
      <w:r>
        <w:rPr/>
        <w:t>defense</w:t>
      </w:r>
      <w:r>
        <w:rPr>
          <w:spacing w:val="40"/>
        </w:rPr>
        <w:t> </w:t>
      </w:r>
      <w:r>
        <w:rPr/>
        <w:t>against</w:t>
      </w:r>
      <w:r>
        <w:rPr>
          <w:spacing w:val="40"/>
        </w:rPr>
        <w:t> </w:t>
      </w:r>
      <w:r>
        <w:rPr/>
        <w:t>commodification</w:t>
      </w:r>
      <w:r>
        <w:rPr>
          <w:spacing w:val="40"/>
        </w:rPr>
        <w:t> </w:t>
      </w:r>
      <w:r>
        <w:rPr/>
        <w:t>and</w:t>
      </w:r>
      <w:r>
        <w:rPr>
          <w:spacing w:val="40"/>
        </w:rPr>
        <w:t> </w:t>
      </w:r>
      <w:r>
        <w:rPr/>
        <w:t>control.</w:t>
      </w:r>
    </w:p>
    <w:p>
      <w:pPr>
        <w:pStyle w:val="Heading5"/>
        <w:numPr>
          <w:ilvl w:val="0"/>
          <w:numId w:val="89"/>
        </w:numPr>
        <w:tabs>
          <w:tab w:pos="1754" w:val="left" w:leader="none"/>
        </w:tabs>
        <w:spacing w:line="240" w:lineRule="auto" w:before="104" w:after="0"/>
        <w:ind w:left="1754" w:right="0" w:hanging="314"/>
        <w:jc w:val="left"/>
      </w:pPr>
      <w:r>
        <w:rPr>
          <w:w w:val="105"/>
        </w:rPr>
        <w:t>Breaking</w:t>
      </w:r>
      <w:r>
        <w:rPr>
          <w:spacing w:val="43"/>
          <w:w w:val="105"/>
        </w:rPr>
        <w:t> </w:t>
      </w:r>
      <w:r>
        <w:rPr>
          <w:w w:val="105"/>
        </w:rPr>
        <w:t>the</w:t>
      </w:r>
      <w:r>
        <w:rPr>
          <w:spacing w:val="40"/>
          <w:w w:val="105"/>
        </w:rPr>
        <w:t> </w:t>
      </w:r>
      <w:r>
        <w:rPr>
          <w:w w:val="105"/>
        </w:rPr>
        <w:t>Traditional</w:t>
      </w:r>
      <w:r>
        <w:rPr>
          <w:spacing w:val="41"/>
          <w:w w:val="105"/>
        </w:rPr>
        <w:t> </w:t>
      </w:r>
      <w:r>
        <w:rPr>
          <w:spacing w:val="-2"/>
          <w:w w:val="105"/>
        </w:rPr>
        <w:t>Archetype</w:t>
      </w:r>
    </w:p>
    <w:p>
      <w:pPr>
        <w:pStyle w:val="BodyText"/>
        <w:spacing w:line="242" w:lineRule="auto" w:before="64"/>
        <w:ind w:right="1438" w:firstLine="432"/>
        <w:jc w:val="both"/>
      </w:pPr>
      <w:r>
        <w:rPr/>
        <w:t>Katherine stands in contrast to the conventional Elizabethan feminine ideal—represented by characters like Bianca—who embody obedience</w:t>
      </w:r>
      <w:r>
        <w:rPr>
          <w:spacing w:val="40"/>
        </w:rPr>
        <w:t> </w:t>
      </w:r>
      <w:r>
        <w:rPr/>
        <w:t>and</w:t>
      </w:r>
      <w:r>
        <w:rPr>
          <w:spacing w:val="40"/>
        </w:rPr>
        <w:t> </w:t>
      </w:r>
      <w:r>
        <w:rPr/>
        <w:t>grace.</w:t>
      </w:r>
      <w:r>
        <w:rPr>
          <w:spacing w:val="40"/>
        </w:rPr>
        <w:t> </w:t>
      </w:r>
      <w:r>
        <w:rPr/>
        <w:t>Katherine</w:t>
      </w:r>
      <w:r>
        <w:rPr>
          <w:spacing w:val="40"/>
        </w:rPr>
        <w:t> </w:t>
      </w:r>
      <w:r>
        <w:rPr/>
        <w:t>disrupts</w:t>
      </w:r>
      <w:r>
        <w:rPr>
          <w:spacing w:val="40"/>
        </w:rPr>
        <w:t> </w:t>
      </w:r>
      <w:r>
        <w:rPr/>
        <w:t>this</w:t>
      </w:r>
      <w:r>
        <w:rPr>
          <w:spacing w:val="40"/>
        </w:rPr>
        <w:t> </w:t>
      </w:r>
      <w:r>
        <w:rPr/>
        <w:t>binary.</w:t>
      </w:r>
    </w:p>
    <w:p>
      <w:pPr>
        <w:pStyle w:val="ListParagraph"/>
        <w:numPr>
          <w:ilvl w:val="1"/>
          <w:numId w:val="89"/>
        </w:numPr>
        <w:tabs>
          <w:tab w:pos="2159" w:val="left" w:leader="none"/>
        </w:tabs>
        <w:spacing w:line="240" w:lineRule="auto" w:before="57" w:after="0"/>
        <w:ind w:left="2159" w:right="0" w:hanging="239"/>
        <w:jc w:val="left"/>
        <w:rPr>
          <w:sz w:val="20"/>
        </w:rPr>
      </w:pPr>
      <w:r>
        <w:rPr>
          <w:sz w:val="20"/>
        </w:rPr>
        <w:t>She</w:t>
      </w:r>
      <w:r>
        <w:rPr>
          <w:spacing w:val="31"/>
          <w:sz w:val="20"/>
        </w:rPr>
        <w:t> </w:t>
      </w:r>
      <w:r>
        <w:rPr>
          <w:sz w:val="20"/>
        </w:rPr>
        <w:t>is</w:t>
      </w:r>
      <w:r>
        <w:rPr>
          <w:spacing w:val="31"/>
          <w:sz w:val="20"/>
        </w:rPr>
        <w:t> </w:t>
      </w:r>
      <w:r>
        <w:rPr>
          <w:sz w:val="20"/>
        </w:rPr>
        <w:t>active</w:t>
      </w:r>
      <w:r>
        <w:rPr>
          <w:spacing w:val="34"/>
          <w:sz w:val="20"/>
        </w:rPr>
        <w:t> </w:t>
      </w:r>
      <w:r>
        <w:rPr>
          <w:sz w:val="20"/>
        </w:rPr>
        <w:t>rather</w:t>
      </w:r>
      <w:r>
        <w:rPr>
          <w:spacing w:val="32"/>
          <w:sz w:val="20"/>
        </w:rPr>
        <w:t> </w:t>
      </w:r>
      <w:r>
        <w:rPr>
          <w:sz w:val="20"/>
        </w:rPr>
        <w:t>than</w:t>
      </w:r>
      <w:r>
        <w:rPr>
          <w:spacing w:val="31"/>
          <w:sz w:val="20"/>
        </w:rPr>
        <w:t> </w:t>
      </w:r>
      <w:r>
        <w:rPr>
          <w:spacing w:val="-2"/>
          <w:sz w:val="20"/>
        </w:rPr>
        <w:t>passive</w:t>
      </w:r>
    </w:p>
    <w:p>
      <w:pPr>
        <w:pStyle w:val="ListParagraph"/>
        <w:numPr>
          <w:ilvl w:val="1"/>
          <w:numId w:val="89"/>
        </w:numPr>
        <w:tabs>
          <w:tab w:pos="2159" w:val="left" w:leader="none"/>
        </w:tabs>
        <w:spacing w:line="240" w:lineRule="auto" w:before="72" w:after="0"/>
        <w:ind w:left="2159" w:right="0" w:hanging="239"/>
        <w:jc w:val="left"/>
        <w:rPr>
          <w:sz w:val="20"/>
        </w:rPr>
      </w:pPr>
      <w:r>
        <w:rPr>
          <w:sz w:val="20"/>
        </w:rPr>
        <w:t>She</w:t>
      </w:r>
      <w:r>
        <w:rPr>
          <w:spacing w:val="29"/>
          <w:sz w:val="20"/>
        </w:rPr>
        <w:t> </w:t>
      </w:r>
      <w:r>
        <w:rPr>
          <w:sz w:val="20"/>
        </w:rPr>
        <w:t>speaks</w:t>
      </w:r>
      <w:r>
        <w:rPr>
          <w:spacing w:val="32"/>
          <w:sz w:val="20"/>
        </w:rPr>
        <w:t> </w:t>
      </w:r>
      <w:r>
        <w:rPr>
          <w:sz w:val="20"/>
        </w:rPr>
        <w:t>instead</w:t>
      </w:r>
      <w:r>
        <w:rPr>
          <w:spacing w:val="32"/>
          <w:sz w:val="20"/>
        </w:rPr>
        <w:t> </w:t>
      </w:r>
      <w:r>
        <w:rPr>
          <w:sz w:val="20"/>
        </w:rPr>
        <w:t>of</w:t>
      </w:r>
      <w:r>
        <w:rPr>
          <w:spacing w:val="30"/>
          <w:sz w:val="20"/>
        </w:rPr>
        <w:t> </w:t>
      </w:r>
      <w:r>
        <w:rPr>
          <w:sz w:val="20"/>
        </w:rPr>
        <w:t>being</w:t>
      </w:r>
      <w:r>
        <w:rPr>
          <w:spacing w:val="30"/>
          <w:sz w:val="20"/>
        </w:rPr>
        <w:t> </w:t>
      </w:r>
      <w:r>
        <w:rPr>
          <w:sz w:val="20"/>
        </w:rPr>
        <w:t>spoken</w:t>
      </w:r>
      <w:r>
        <w:rPr>
          <w:spacing w:val="30"/>
          <w:sz w:val="20"/>
        </w:rPr>
        <w:t> </w:t>
      </w:r>
      <w:r>
        <w:rPr>
          <w:spacing w:val="-5"/>
          <w:sz w:val="20"/>
        </w:rPr>
        <w:t>for</w:t>
      </w:r>
    </w:p>
    <w:p>
      <w:pPr>
        <w:pStyle w:val="ListParagraph"/>
        <w:numPr>
          <w:ilvl w:val="1"/>
          <w:numId w:val="89"/>
        </w:numPr>
        <w:tabs>
          <w:tab w:pos="2159" w:val="left" w:leader="none"/>
        </w:tabs>
        <w:spacing w:line="240" w:lineRule="auto" w:before="80" w:after="0"/>
        <w:ind w:left="2159" w:right="0" w:hanging="239"/>
        <w:jc w:val="left"/>
        <w:rPr>
          <w:sz w:val="20"/>
        </w:rPr>
      </w:pPr>
      <w:r>
        <w:rPr>
          <w:sz w:val="20"/>
        </w:rPr>
        <w:t>She</w:t>
      </w:r>
      <w:r>
        <w:rPr>
          <w:spacing w:val="28"/>
          <w:sz w:val="20"/>
        </w:rPr>
        <w:t> </w:t>
      </w:r>
      <w:r>
        <w:rPr>
          <w:sz w:val="20"/>
        </w:rPr>
        <w:t>challenges</w:t>
      </w:r>
      <w:r>
        <w:rPr>
          <w:spacing w:val="26"/>
          <w:sz w:val="20"/>
        </w:rPr>
        <w:t> </w:t>
      </w:r>
      <w:r>
        <w:rPr>
          <w:sz w:val="20"/>
        </w:rPr>
        <w:t>authority</w:t>
      </w:r>
      <w:r>
        <w:rPr>
          <w:spacing w:val="26"/>
          <w:sz w:val="20"/>
        </w:rPr>
        <w:t> </w:t>
      </w:r>
      <w:r>
        <w:rPr>
          <w:sz w:val="20"/>
        </w:rPr>
        <w:t>rather</w:t>
      </w:r>
      <w:r>
        <w:rPr>
          <w:spacing w:val="27"/>
          <w:sz w:val="20"/>
        </w:rPr>
        <w:t> </w:t>
      </w:r>
      <w:r>
        <w:rPr>
          <w:sz w:val="20"/>
        </w:rPr>
        <w:t>than</w:t>
      </w:r>
      <w:r>
        <w:rPr>
          <w:spacing w:val="28"/>
          <w:sz w:val="20"/>
        </w:rPr>
        <w:t> </w:t>
      </w:r>
      <w:r>
        <w:rPr>
          <w:sz w:val="20"/>
        </w:rPr>
        <w:t>submitting</w:t>
      </w:r>
      <w:r>
        <w:rPr>
          <w:spacing w:val="25"/>
          <w:sz w:val="20"/>
        </w:rPr>
        <w:t> </w:t>
      </w:r>
      <w:r>
        <w:rPr>
          <w:sz w:val="20"/>
        </w:rPr>
        <w:t>to</w:t>
      </w:r>
      <w:r>
        <w:rPr>
          <w:spacing w:val="30"/>
          <w:sz w:val="20"/>
        </w:rPr>
        <w:t> </w:t>
      </w:r>
      <w:r>
        <w:rPr>
          <w:spacing w:val="-5"/>
          <w:sz w:val="20"/>
        </w:rPr>
        <w:t>it</w:t>
      </w:r>
    </w:p>
    <w:p>
      <w:pPr>
        <w:pStyle w:val="ListParagraph"/>
        <w:spacing w:after="0" w:line="240" w:lineRule="auto"/>
        <w:jc w:val="left"/>
        <w:rPr>
          <w:sz w:val="20"/>
        </w:rPr>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899648">
                <wp:simplePos x="0" y="0"/>
                <wp:positionH relativeFrom="page">
                  <wp:posOffset>2065020</wp:posOffset>
                </wp:positionH>
                <wp:positionV relativeFrom="paragraph">
                  <wp:posOffset>795020</wp:posOffset>
                </wp:positionV>
                <wp:extent cx="3657600" cy="12700"/>
                <wp:effectExtent l="0" t="0" r="0" b="0"/>
                <wp:wrapTopAndBottom/>
                <wp:docPr id="828" name="Graphic 828"/>
                <wp:cNvGraphicFramePr>
                  <a:graphicFrameLocks/>
                </wp:cNvGraphicFramePr>
                <a:graphic>
                  <a:graphicData uri="http://schemas.microsoft.com/office/word/2010/wordprocessingShape">
                    <wps:wsp>
                      <wps:cNvPr id="828" name="Graphic 82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16832;mso-wrap-distance-left:0;mso-wrap-distance-right:0" id="docshape820"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429</w:t>
      </w:r>
    </w:p>
    <w:p>
      <w:pPr>
        <w:pStyle w:val="BodyText"/>
        <w:spacing w:line="249" w:lineRule="auto" w:before="192"/>
        <w:ind w:right="1440" w:firstLine="432"/>
        <w:jc w:val="both"/>
      </w:pPr>
      <w:r>
        <w:rPr/>
        <w:t>This makes her a figure of early proto-feminist resistance, even </w:t>
      </w:r>
      <w:r>
        <w:rPr>
          <w:spacing w:val="-2"/>
        </w:rPr>
        <w:t>though</w:t>
      </w:r>
      <w:r>
        <w:rPr>
          <w:spacing w:val="-6"/>
        </w:rPr>
        <w:t> </w:t>
      </w:r>
      <w:r>
        <w:rPr>
          <w:spacing w:val="-2"/>
        </w:rPr>
        <w:t>the</w:t>
      </w:r>
      <w:r>
        <w:rPr>
          <w:spacing w:val="-3"/>
        </w:rPr>
        <w:t> </w:t>
      </w:r>
      <w:r>
        <w:rPr>
          <w:spacing w:val="-2"/>
        </w:rPr>
        <w:t>play</w:t>
      </w:r>
      <w:r>
        <w:rPr>
          <w:spacing w:val="-6"/>
        </w:rPr>
        <w:t> </w:t>
      </w:r>
      <w:r>
        <w:rPr>
          <w:spacing w:val="-2"/>
        </w:rPr>
        <w:t>ultimately</w:t>
      </w:r>
      <w:r>
        <w:rPr>
          <w:spacing w:val="-8"/>
        </w:rPr>
        <w:t> </w:t>
      </w:r>
      <w:r>
        <w:rPr>
          <w:spacing w:val="-2"/>
        </w:rPr>
        <w:t>attempts</w:t>
      </w:r>
      <w:r>
        <w:rPr>
          <w:spacing w:val="-4"/>
        </w:rPr>
        <w:t> </w:t>
      </w:r>
      <w:r>
        <w:rPr>
          <w:spacing w:val="-2"/>
        </w:rPr>
        <w:t>to “contain”</w:t>
      </w:r>
      <w:r>
        <w:rPr>
          <w:spacing w:val="-4"/>
        </w:rPr>
        <w:t> </w:t>
      </w:r>
      <w:r>
        <w:rPr>
          <w:spacing w:val="-2"/>
        </w:rPr>
        <w:t>her.</w:t>
      </w:r>
      <w:r>
        <w:rPr>
          <w:spacing w:val="-4"/>
        </w:rPr>
        <w:t> </w:t>
      </w:r>
      <w:r>
        <w:rPr>
          <w:spacing w:val="-2"/>
        </w:rPr>
        <w:t>Her</w:t>
      </w:r>
      <w:r>
        <w:rPr>
          <w:spacing w:val="-4"/>
        </w:rPr>
        <w:t> </w:t>
      </w:r>
      <w:r>
        <w:rPr>
          <w:spacing w:val="-2"/>
        </w:rPr>
        <w:t>characterization </w:t>
      </w:r>
      <w:r>
        <w:rPr/>
        <w:t>exposes</w:t>
      </w:r>
      <w:r>
        <w:rPr>
          <w:spacing w:val="40"/>
        </w:rPr>
        <w:t> </w:t>
      </w:r>
      <w:r>
        <w:rPr/>
        <w:t>how</w:t>
      </w:r>
      <w:r>
        <w:rPr>
          <w:spacing w:val="40"/>
        </w:rPr>
        <w:t> </w:t>
      </w:r>
      <w:r>
        <w:rPr/>
        <w:t>archetypes</w:t>
      </w:r>
      <w:r>
        <w:rPr>
          <w:spacing w:val="40"/>
        </w:rPr>
        <w:t> </w:t>
      </w:r>
      <w:r>
        <w:rPr/>
        <w:t>are</w:t>
      </w:r>
      <w:r>
        <w:rPr>
          <w:spacing w:val="40"/>
        </w:rPr>
        <w:t> </w:t>
      </w:r>
      <w:r>
        <w:rPr/>
        <w:t>constructed</w:t>
      </w:r>
      <w:r>
        <w:rPr>
          <w:spacing w:val="40"/>
        </w:rPr>
        <w:t> </w:t>
      </w:r>
      <w:r>
        <w:rPr/>
        <w:t>and</w:t>
      </w:r>
      <w:r>
        <w:rPr>
          <w:spacing w:val="40"/>
        </w:rPr>
        <w:t> </w:t>
      </w:r>
      <w:r>
        <w:rPr/>
        <w:t>enforced.</w:t>
      </w:r>
    </w:p>
    <w:p>
      <w:pPr>
        <w:pStyle w:val="Heading5"/>
        <w:numPr>
          <w:ilvl w:val="0"/>
          <w:numId w:val="89"/>
        </w:numPr>
        <w:tabs>
          <w:tab w:pos="1971" w:val="left" w:leader="none"/>
          <w:tab w:pos="3681" w:val="left" w:leader="none"/>
          <w:tab w:pos="5677" w:val="left" w:leader="none"/>
          <w:tab w:pos="6464" w:val="left" w:leader="none"/>
        </w:tabs>
        <w:spacing w:line="244" w:lineRule="auto" w:before="110" w:after="0"/>
        <w:ind w:left="1440" w:right="1439" w:firstLine="0"/>
        <w:jc w:val="left"/>
      </w:pPr>
      <w:r>
        <w:rPr>
          <w:spacing w:val="12"/>
        </w:rPr>
        <w:t>Matriarchal</w:t>
      </w:r>
      <w:r>
        <w:rPr/>
        <w:tab/>
      </w:r>
      <w:r>
        <w:rPr>
          <w:spacing w:val="12"/>
        </w:rPr>
        <w:t>Undercurrents</w:t>
      </w:r>
      <w:r>
        <w:rPr/>
        <w:tab/>
      </w:r>
      <w:r>
        <w:rPr>
          <w:spacing w:val="6"/>
        </w:rPr>
        <w:t>and</w:t>
      </w:r>
      <w:r>
        <w:rPr/>
        <w:tab/>
      </w:r>
      <w:r>
        <w:rPr>
          <w:spacing w:val="8"/>
        </w:rPr>
        <w:t>Subtle </w:t>
      </w:r>
      <w:r>
        <w:rPr>
          <w:spacing w:val="-2"/>
        </w:rPr>
        <w:t>Empowerment</w:t>
      </w:r>
    </w:p>
    <w:p>
      <w:pPr>
        <w:pStyle w:val="BodyText"/>
        <w:spacing w:line="249" w:lineRule="auto" w:before="67"/>
        <w:ind w:right="1437" w:firstLine="432"/>
        <w:jc w:val="both"/>
      </w:pPr>
      <w:r>
        <w:rPr/>
        <w:t>While Shakespeare’s world is overtly patriarchal, Katherine’s presence introduces a subtle countercurrent of matriarchal assertion.</w:t>
      </w:r>
      <w:r>
        <w:rPr>
          <w:spacing w:val="40"/>
        </w:rPr>
        <w:t> </w:t>
      </w:r>
      <w:r>
        <w:rPr>
          <w:spacing w:val="-2"/>
        </w:rPr>
        <w:t>Her</w:t>
      </w:r>
      <w:r>
        <w:rPr>
          <w:spacing w:val="-5"/>
        </w:rPr>
        <w:t> </w:t>
      </w:r>
      <w:r>
        <w:rPr>
          <w:spacing w:val="-2"/>
        </w:rPr>
        <w:t>refusal</w:t>
      </w:r>
      <w:r>
        <w:rPr>
          <w:spacing w:val="-7"/>
        </w:rPr>
        <w:t> </w:t>
      </w:r>
      <w:r>
        <w:rPr>
          <w:spacing w:val="-2"/>
        </w:rPr>
        <w:t>to</w:t>
      </w:r>
      <w:r>
        <w:rPr>
          <w:spacing w:val="-5"/>
        </w:rPr>
        <w:t> </w:t>
      </w:r>
      <w:r>
        <w:rPr>
          <w:spacing w:val="-2"/>
        </w:rPr>
        <w:t>conform</w:t>
      </w:r>
      <w:r>
        <w:rPr>
          <w:spacing w:val="-11"/>
        </w:rPr>
        <w:t> </w:t>
      </w:r>
      <w:r>
        <w:rPr>
          <w:spacing w:val="-2"/>
        </w:rPr>
        <w:t>suggests</w:t>
      </w:r>
      <w:r>
        <w:rPr>
          <w:spacing w:val="-7"/>
        </w:rPr>
        <w:t> </w:t>
      </w:r>
      <w:r>
        <w:rPr>
          <w:spacing w:val="-2"/>
        </w:rPr>
        <w:t>an</w:t>
      </w:r>
      <w:r>
        <w:rPr>
          <w:spacing w:val="-7"/>
        </w:rPr>
        <w:t> </w:t>
      </w:r>
      <w:r>
        <w:rPr>
          <w:spacing w:val="-2"/>
        </w:rPr>
        <w:t>alternative</w:t>
      </w:r>
      <w:r>
        <w:rPr>
          <w:spacing w:val="-5"/>
        </w:rPr>
        <w:t> </w:t>
      </w:r>
      <w:r>
        <w:rPr>
          <w:spacing w:val="-2"/>
        </w:rPr>
        <w:t>possibility—where</w:t>
      </w:r>
      <w:r>
        <w:rPr>
          <w:spacing w:val="-7"/>
        </w:rPr>
        <w:t> </w:t>
      </w:r>
      <w:r>
        <w:rPr>
          <w:spacing w:val="-2"/>
        </w:rPr>
        <w:t>women </w:t>
      </w:r>
      <w:r>
        <w:rPr/>
        <w:t>possess</w:t>
      </w:r>
      <w:r>
        <w:rPr>
          <w:spacing w:val="40"/>
        </w:rPr>
        <w:t> </w:t>
      </w:r>
      <w:r>
        <w:rPr/>
        <w:t>autonomy</w:t>
      </w:r>
      <w:r>
        <w:rPr>
          <w:spacing w:val="40"/>
        </w:rPr>
        <w:t> </w:t>
      </w:r>
      <w:r>
        <w:rPr/>
        <w:t>and</w:t>
      </w:r>
      <w:r>
        <w:rPr>
          <w:spacing w:val="40"/>
        </w:rPr>
        <w:t> </w:t>
      </w:r>
      <w:r>
        <w:rPr/>
        <w:t>agency.</w:t>
      </w:r>
    </w:p>
    <w:p>
      <w:pPr>
        <w:pStyle w:val="BodyText"/>
        <w:spacing w:before="61"/>
        <w:ind w:left="1872"/>
        <w:jc w:val="both"/>
      </w:pPr>
      <w:r>
        <w:rPr/>
        <w:t>However,</w:t>
      </w:r>
      <w:r>
        <w:rPr>
          <w:spacing w:val="-4"/>
        </w:rPr>
        <w:t> </w:t>
      </w:r>
      <w:r>
        <w:rPr/>
        <w:t>this</w:t>
      </w:r>
      <w:r>
        <w:rPr>
          <w:spacing w:val="-9"/>
        </w:rPr>
        <w:t> </w:t>
      </w:r>
      <w:r>
        <w:rPr/>
        <w:t>empowerment</w:t>
      </w:r>
      <w:r>
        <w:rPr>
          <w:spacing w:val="-5"/>
        </w:rPr>
        <w:t> </w:t>
      </w:r>
      <w:r>
        <w:rPr/>
        <w:t>is</w:t>
      </w:r>
      <w:r>
        <w:rPr>
          <w:spacing w:val="-5"/>
        </w:rPr>
        <w:t> </w:t>
      </w:r>
      <w:r>
        <w:rPr>
          <w:spacing w:val="-2"/>
        </w:rPr>
        <w:t>complex:</w:t>
      </w:r>
    </w:p>
    <w:p>
      <w:pPr>
        <w:pStyle w:val="ListParagraph"/>
        <w:numPr>
          <w:ilvl w:val="1"/>
          <w:numId w:val="89"/>
        </w:numPr>
        <w:tabs>
          <w:tab w:pos="2159" w:val="left" w:leader="none"/>
        </w:tabs>
        <w:spacing w:line="240" w:lineRule="auto" w:before="75" w:after="0"/>
        <w:ind w:left="2159" w:right="0" w:hanging="239"/>
        <w:jc w:val="left"/>
        <w:rPr>
          <w:sz w:val="20"/>
        </w:rPr>
      </w:pPr>
      <w:r>
        <w:rPr>
          <w:sz w:val="20"/>
        </w:rPr>
        <w:t>It</w:t>
      </w:r>
      <w:r>
        <w:rPr>
          <w:spacing w:val="11"/>
          <w:sz w:val="20"/>
        </w:rPr>
        <w:t> </w:t>
      </w:r>
      <w:r>
        <w:rPr>
          <w:sz w:val="20"/>
        </w:rPr>
        <w:t>is</w:t>
      </w:r>
      <w:r>
        <w:rPr>
          <w:spacing w:val="12"/>
          <w:sz w:val="20"/>
        </w:rPr>
        <w:t> </w:t>
      </w:r>
      <w:r>
        <w:rPr>
          <w:sz w:val="20"/>
        </w:rPr>
        <w:t>not</w:t>
      </w:r>
      <w:r>
        <w:rPr>
          <w:spacing w:val="9"/>
          <w:sz w:val="20"/>
        </w:rPr>
        <w:t> </w:t>
      </w:r>
      <w:r>
        <w:rPr>
          <w:sz w:val="20"/>
        </w:rPr>
        <w:t>idealized</w:t>
      </w:r>
      <w:r>
        <w:rPr>
          <w:spacing w:val="13"/>
          <w:sz w:val="20"/>
        </w:rPr>
        <w:t> </w:t>
      </w:r>
      <w:r>
        <w:rPr>
          <w:sz w:val="20"/>
        </w:rPr>
        <w:t>or</w:t>
      </w:r>
      <w:r>
        <w:rPr>
          <w:spacing w:val="13"/>
          <w:sz w:val="20"/>
        </w:rPr>
        <w:t> </w:t>
      </w:r>
      <w:r>
        <w:rPr>
          <w:spacing w:val="-2"/>
          <w:sz w:val="20"/>
        </w:rPr>
        <w:t>romanticized</w:t>
      </w:r>
    </w:p>
    <w:p>
      <w:pPr>
        <w:pStyle w:val="ListParagraph"/>
        <w:numPr>
          <w:ilvl w:val="1"/>
          <w:numId w:val="89"/>
        </w:numPr>
        <w:tabs>
          <w:tab w:pos="2159" w:val="left" w:leader="none"/>
        </w:tabs>
        <w:spacing w:line="240" w:lineRule="auto" w:before="80" w:after="0"/>
        <w:ind w:left="2159" w:right="0" w:hanging="239"/>
        <w:jc w:val="left"/>
        <w:rPr>
          <w:sz w:val="20"/>
        </w:rPr>
      </w:pPr>
      <w:r>
        <w:rPr>
          <w:sz w:val="20"/>
        </w:rPr>
        <w:t>It</w:t>
      </w:r>
      <w:r>
        <w:rPr>
          <w:spacing w:val="16"/>
          <w:sz w:val="20"/>
        </w:rPr>
        <w:t> </w:t>
      </w:r>
      <w:r>
        <w:rPr>
          <w:sz w:val="20"/>
        </w:rPr>
        <w:t>appears</w:t>
      </w:r>
      <w:r>
        <w:rPr>
          <w:spacing w:val="18"/>
          <w:sz w:val="20"/>
        </w:rPr>
        <w:t> </w:t>
      </w:r>
      <w:r>
        <w:rPr>
          <w:sz w:val="20"/>
        </w:rPr>
        <w:t>raw,</w:t>
      </w:r>
      <w:r>
        <w:rPr>
          <w:spacing w:val="16"/>
          <w:sz w:val="20"/>
        </w:rPr>
        <w:t> </w:t>
      </w:r>
      <w:r>
        <w:rPr>
          <w:sz w:val="20"/>
        </w:rPr>
        <w:t>emotional,</w:t>
      </w:r>
      <w:r>
        <w:rPr>
          <w:spacing w:val="16"/>
          <w:sz w:val="20"/>
        </w:rPr>
        <w:t> </w:t>
      </w:r>
      <w:r>
        <w:rPr>
          <w:sz w:val="20"/>
        </w:rPr>
        <w:t>and</w:t>
      </w:r>
      <w:r>
        <w:rPr>
          <w:spacing w:val="20"/>
          <w:sz w:val="20"/>
        </w:rPr>
        <w:t> </w:t>
      </w:r>
      <w:r>
        <w:rPr>
          <w:sz w:val="20"/>
        </w:rPr>
        <w:t>socially</w:t>
      </w:r>
      <w:r>
        <w:rPr>
          <w:spacing w:val="14"/>
          <w:sz w:val="20"/>
        </w:rPr>
        <w:t> </w:t>
      </w:r>
      <w:r>
        <w:rPr>
          <w:spacing w:val="-2"/>
          <w:sz w:val="20"/>
        </w:rPr>
        <w:t>disruptive</w:t>
      </w:r>
    </w:p>
    <w:p>
      <w:pPr>
        <w:pStyle w:val="ListParagraph"/>
        <w:numPr>
          <w:ilvl w:val="1"/>
          <w:numId w:val="89"/>
        </w:numPr>
        <w:tabs>
          <w:tab w:pos="2159" w:val="left" w:leader="none"/>
        </w:tabs>
        <w:spacing w:line="240" w:lineRule="auto" w:before="77" w:after="0"/>
        <w:ind w:left="2159" w:right="0" w:hanging="239"/>
        <w:jc w:val="left"/>
        <w:rPr>
          <w:sz w:val="20"/>
        </w:rPr>
      </w:pPr>
      <w:r>
        <w:rPr>
          <w:sz w:val="20"/>
        </w:rPr>
        <w:t>It</w:t>
      </w:r>
      <w:r>
        <w:rPr>
          <w:spacing w:val="22"/>
          <w:sz w:val="20"/>
        </w:rPr>
        <w:t> </w:t>
      </w:r>
      <w:r>
        <w:rPr>
          <w:sz w:val="20"/>
        </w:rPr>
        <w:t>exposes</w:t>
      </w:r>
      <w:r>
        <w:rPr>
          <w:spacing w:val="26"/>
          <w:sz w:val="20"/>
        </w:rPr>
        <w:t> </w:t>
      </w:r>
      <w:r>
        <w:rPr>
          <w:sz w:val="20"/>
        </w:rPr>
        <w:t>vulnerability</w:t>
      </w:r>
      <w:r>
        <w:rPr>
          <w:spacing w:val="22"/>
          <w:sz w:val="20"/>
        </w:rPr>
        <w:t> </w:t>
      </w:r>
      <w:r>
        <w:rPr>
          <w:sz w:val="20"/>
        </w:rPr>
        <w:t>beneath</w:t>
      </w:r>
      <w:r>
        <w:rPr>
          <w:spacing w:val="27"/>
          <w:sz w:val="20"/>
        </w:rPr>
        <w:t> </w:t>
      </w:r>
      <w:r>
        <w:rPr>
          <w:spacing w:val="-2"/>
          <w:sz w:val="20"/>
        </w:rPr>
        <w:t>defiance</w:t>
      </w:r>
    </w:p>
    <w:p>
      <w:pPr>
        <w:pStyle w:val="BodyText"/>
        <w:spacing w:line="249" w:lineRule="auto" w:before="70"/>
        <w:ind w:right="1441" w:firstLine="432"/>
        <w:jc w:val="both"/>
      </w:pPr>
      <w:r>
        <w:rPr/>
        <w:t>Your idea of “innocent idealistic woman empowerment” can be interpreted as this tension: Katherine’s strength is genuine, but it exists within</w:t>
      </w:r>
      <w:r>
        <w:rPr>
          <w:spacing w:val="39"/>
        </w:rPr>
        <w:t> </w:t>
      </w:r>
      <w:r>
        <w:rPr/>
        <w:t>a</w:t>
      </w:r>
      <w:r>
        <w:rPr>
          <w:spacing w:val="39"/>
        </w:rPr>
        <w:t> </w:t>
      </w:r>
      <w:r>
        <w:rPr/>
        <w:t>system</w:t>
      </w:r>
      <w:r>
        <w:rPr>
          <w:spacing w:val="35"/>
        </w:rPr>
        <w:t> </w:t>
      </w:r>
      <w:r>
        <w:rPr/>
        <w:t>that</w:t>
      </w:r>
      <w:r>
        <w:rPr>
          <w:spacing w:val="39"/>
        </w:rPr>
        <w:t> </w:t>
      </w:r>
      <w:r>
        <w:rPr/>
        <w:t>does</w:t>
      </w:r>
      <w:r>
        <w:rPr>
          <w:spacing w:val="35"/>
        </w:rPr>
        <w:t> </w:t>
      </w:r>
      <w:r>
        <w:rPr/>
        <w:t>not</w:t>
      </w:r>
      <w:r>
        <w:rPr>
          <w:spacing w:val="39"/>
        </w:rPr>
        <w:t> </w:t>
      </w:r>
      <w:r>
        <w:rPr/>
        <w:t>allow</w:t>
      </w:r>
      <w:r>
        <w:rPr>
          <w:spacing w:val="35"/>
        </w:rPr>
        <w:t> </w:t>
      </w:r>
      <w:r>
        <w:rPr/>
        <w:t>it</w:t>
      </w:r>
      <w:r>
        <w:rPr>
          <w:spacing w:val="37"/>
        </w:rPr>
        <w:t> </w:t>
      </w:r>
      <w:r>
        <w:rPr/>
        <w:t>to</w:t>
      </w:r>
      <w:r>
        <w:rPr>
          <w:spacing w:val="40"/>
        </w:rPr>
        <w:t> </w:t>
      </w:r>
      <w:r>
        <w:rPr/>
        <w:t>flourish</w:t>
      </w:r>
      <w:r>
        <w:rPr>
          <w:spacing w:val="37"/>
        </w:rPr>
        <w:t> </w:t>
      </w:r>
      <w:r>
        <w:rPr/>
        <w:t>freely.</w:t>
      </w:r>
    </w:p>
    <w:p>
      <w:pPr>
        <w:pStyle w:val="Heading5"/>
        <w:numPr>
          <w:ilvl w:val="0"/>
          <w:numId w:val="89"/>
        </w:numPr>
        <w:tabs>
          <w:tab w:pos="1747" w:val="left" w:leader="none"/>
        </w:tabs>
        <w:spacing w:line="240" w:lineRule="auto" w:before="110" w:after="0"/>
        <w:ind w:left="1747" w:right="0" w:hanging="307"/>
        <w:jc w:val="left"/>
      </w:pPr>
      <w:r>
        <w:rPr>
          <w:w w:val="105"/>
        </w:rPr>
        <w:t>The</w:t>
      </w:r>
      <w:r>
        <w:rPr>
          <w:spacing w:val="69"/>
          <w:w w:val="150"/>
        </w:rPr>
        <w:t> </w:t>
      </w:r>
      <w:r>
        <w:rPr>
          <w:w w:val="105"/>
        </w:rPr>
        <w:t>“Untamed”</w:t>
      </w:r>
      <w:r>
        <w:rPr>
          <w:spacing w:val="68"/>
          <w:w w:val="150"/>
        </w:rPr>
        <w:t> </w:t>
      </w:r>
      <w:r>
        <w:rPr>
          <w:w w:val="105"/>
        </w:rPr>
        <w:t>Condition</w:t>
      </w:r>
      <w:r>
        <w:rPr>
          <w:spacing w:val="72"/>
          <w:w w:val="150"/>
        </w:rPr>
        <w:t> </w:t>
      </w:r>
      <w:r>
        <w:rPr>
          <w:w w:val="105"/>
        </w:rPr>
        <w:t>and</w:t>
      </w:r>
      <w:r>
        <w:rPr>
          <w:spacing w:val="73"/>
          <w:w w:val="150"/>
        </w:rPr>
        <w:t> </w:t>
      </w:r>
      <w:r>
        <w:rPr>
          <w:w w:val="105"/>
        </w:rPr>
        <w:t>Social</w:t>
      </w:r>
      <w:r>
        <w:rPr>
          <w:spacing w:val="72"/>
          <w:w w:val="150"/>
        </w:rPr>
        <w:t> </w:t>
      </w:r>
      <w:r>
        <w:rPr>
          <w:spacing w:val="-2"/>
          <w:w w:val="105"/>
        </w:rPr>
        <w:t>Control</w:t>
      </w:r>
    </w:p>
    <w:p>
      <w:pPr>
        <w:pStyle w:val="BodyText"/>
        <w:spacing w:line="249" w:lineRule="auto" w:before="74"/>
        <w:ind w:right="1442" w:firstLine="432"/>
        <w:jc w:val="both"/>
      </w:pPr>
      <w:r>
        <w:rPr/>
        <w:t>The concept of the “untamed shrew” is itself a social construct. Katherine is not inherently untamed; rather, she is labeled so because she</w:t>
      </w:r>
      <w:r>
        <w:rPr>
          <w:spacing w:val="40"/>
        </w:rPr>
        <w:t> </w:t>
      </w:r>
      <w:r>
        <w:rPr/>
        <w:t>does</w:t>
      </w:r>
      <w:r>
        <w:rPr>
          <w:spacing w:val="40"/>
        </w:rPr>
        <w:t> </w:t>
      </w:r>
      <w:r>
        <w:rPr/>
        <w:t>not</w:t>
      </w:r>
      <w:r>
        <w:rPr>
          <w:spacing w:val="40"/>
        </w:rPr>
        <w:t> </w:t>
      </w:r>
      <w:r>
        <w:rPr/>
        <w:t>align</w:t>
      </w:r>
      <w:r>
        <w:rPr>
          <w:spacing w:val="40"/>
        </w:rPr>
        <w:t> </w:t>
      </w:r>
      <w:r>
        <w:rPr/>
        <w:t>with</w:t>
      </w:r>
      <w:r>
        <w:rPr>
          <w:spacing w:val="40"/>
        </w:rPr>
        <w:t> </w:t>
      </w:r>
      <w:r>
        <w:rPr/>
        <w:t>expected</w:t>
      </w:r>
      <w:r>
        <w:rPr>
          <w:spacing w:val="40"/>
        </w:rPr>
        <w:t> </w:t>
      </w:r>
      <w:r>
        <w:rPr/>
        <w:t>behavior.</w:t>
      </w:r>
    </w:p>
    <w:p>
      <w:pPr>
        <w:pStyle w:val="ListParagraph"/>
        <w:numPr>
          <w:ilvl w:val="1"/>
          <w:numId w:val="89"/>
        </w:numPr>
        <w:tabs>
          <w:tab w:pos="2159" w:val="left" w:leader="none"/>
        </w:tabs>
        <w:spacing w:line="240" w:lineRule="auto" w:before="67" w:after="0"/>
        <w:ind w:left="2159" w:right="0" w:hanging="239"/>
        <w:jc w:val="left"/>
        <w:rPr>
          <w:sz w:val="20"/>
        </w:rPr>
      </w:pPr>
      <w:r>
        <w:rPr>
          <w:sz w:val="20"/>
        </w:rPr>
        <w:t>“Taming”</w:t>
      </w:r>
      <w:r>
        <w:rPr>
          <w:spacing w:val="14"/>
          <w:sz w:val="20"/>
        </w:rPr>
        <w:t> </w:t>
      </w:r>
      <w:r>
        <w:rPr>
          <w:sz w:val="20"/>
        </w:rPr>
        <w:t>becomes</w:t>
      </w:r>
      <w:r>
        <w:rPr>
          <w:spacing w:val="16"/>
          <w:sz w:val="20"/>
        </w:rPr>
        <w:t> </w:t>
      </w:r>
      <w:r>
        <w:rPr>
          <w:sz w:val="20"/>
        </w:rPr>
        <w:t>a</w:t>
      </w:r>
      <w:r>
        <w:rPr>
          <w:spacing w:val="15"/>
          <w:sz w:val="20"/>
        </w:rPr>
        <w:t> </w:t>
      </w:r>
      <w:r>
        <w:rPr>
          <w:sz w:val="20"/>
        </w:rPr>
        <w:t>metaphor</w:t>
      </w:r>
      <w:r>
        <w:rPr>
          <w:spacing w:val="18"/>
          <w:sz w:val="20"/>
        </w:rPr>
        <w:t> </w:t>
      </w:r>
      <w:r>
        <w:rPr>
          <w:sz w:val="20"/>
        </w:rPr>
        <w:t>for</w:t>
      </w:r>
      <w:r>
        <w:rPr>
          <w:spacing w:val="15"/>
          <w:sz w:val="20"/>
        </w:rPr>
        <w:t> </w:t>
      </w:r>
      <w:r>
        <w:rPr>
          <w:sz w:val="20"/>
        </w:rPr>
        <w:t>social</w:t>
      </w:r>
      <w:r>
        <w:rPr>
          <w:spacing w:val="16"/>
          <w:sz w:val="20"/>
        </w:rPr>
        <w:t> </w:t>
      </w:r>
      <w:r>
        <w:rPr>
          <w:spacing w:val="-2"/>
          <w:sz w:val="20"/>
        </w:rPr>
        <w:t>conditioning</w:t>
      </w:r>
    </w:p>
    <w:p>
      <w:pPr>
        <w:pStyle w:val="ListParagraph"/>
        <w:numPr>
          <w:ilvl w:val="1"/>
          <w:numId w:val="89"/>
        </w:numPr>
        <w:tabs>
          <w:tab w:pos="2159" w:val="left" w:leader="none"/>
        </w:tabs>
        <w:spacing w:line="240" w:lineRule="auto" w:before="77" w:after="0"/>
        <w:ind w:left="2159" w:right="0" w:hanging="239"/>
        <w:jc w:val="left"/>
        <w:rPr>
          <w:sz w:val="20"/>
        </w:rPr>
      </w:pPr>
      <w:r>
        <w:rPr>
          <w:sz w:val="20"/>
        </w:rPr>
        <w:t>Marriage</w:t>
      </w:r>
      <w:r>
        <w:rPr>
          <w:spacing w:val="15"/>
          <w:sz w:val="20"/>
        </w:rPr>
        <w:t> </w:t>
      </w:r>
      <w:r>
        <w:rPr>
          <w:sz w:val="20"/>
        </w:rPr>
        <w:t>becomes</w:t>
      </w:r>
      <w:r>
        <w:rPr>
          <w:spacing w:val="14"/>
          <w:sz w:val="20"/>
        </w:rPr>
        <w:t> </w:t>
      </w:r>
      <w:r>
        <w:rPr>
          <w:sz w:val="20"/>
        </w:rPr>
        <w:t>a</w:t>
      </w:r>
      <w:r>
        <w:rPr>
          <w:spacing w:val="15"/>
          <w:sz w:val="20"/>
        </w:rPr>
        <w:t> </w:t>
      </w:r>
      <w:r>
        <w:rPr>
          <w:sz w:val="20"/>
        </w:rPr>
        <w:t>tool</w:t>
      </w:r>
      <w:r>
        <w:rPr>
          <w:spacing w:val="16"/>
          <w:sz w:val="20"/>
        </w:rPr>
        <w:t> </w:t>
      </w:r>
      <w:r>
        <w:rPr>
          <w:sz w:val="20"/>
        </w:rPr>
        <w:t>of</w:t>
      </w:r>
      <w:r>
        <w:rPr>
          <w:spacing w:val="13"/>
          <w:sz w:val="20"/>
        </w:rPr>
        <w:t> </w:t>
      </w:r>
      <w:r>
        <w:rPr>
          <w:sz w:val="20"/>
        </w:rPr>
        <w:t>discipline</w:t>
      </w:r>
      <w:r>
        <w:rPr>
          <w:spacing w:val="14"/>
          <w:sz w:val="20"/>
        </w:rPr>
        <w:t> </w:t>
      </w:r>
      <w:r>
        <w:rPr>
          <w:sz w:val="20"/>
        </w:rPr>
        <w:t>and</w:t>
      </w:r>
      <w:r>
        <w:rPr>
          <w:spacing w:val="17"/>
          <w:sz w:val="20"/>
        </w:rPr>
        <w:t> </w:t>
      </w:r>
      <w:r>
        <w:rPr>
          <w:spacing w:val="-2"/>
          <w:sz w:val="20"/>
        </w:rPr>
        <w:t>normalization</w:t>
      </w:r>
    </w:p>
    <w:p>
      <w:pPr>
        <w:pStyle w:val="ListParagraph"/>
        <w:numPr>
          <w:ilvl w:val="1"/>
          <w:numId w:val="89"/>
        </w:numPr>
        <w:tabs>
          <w:tab w:pos="2159" w:val="left" w:leader="none"/>
        </w:tabs>
        <w:spacing w:line="240" w:lineRule="auto" w:before="77" w:after="0"/>
        <w:ind w:left="2159" w:right="0" w:hanging="239"/>
        <w:jc w:val="left"/>
        <w:rPr>
          <w:sz w:val="20"/>
        </w:rPr>
      </w:pPr>
      <w:r>
        <w:rPr>
          <w:sz w:val="20"/>
        </w:rPr>
        <w:t>Language</w:t>
      </w:r>
      <w:r>
        <w:rPr>
          <w:spacing w:val="28"/>
          <w:sz w:val="20"/>
        </w:rPr>
        <w:t> </w:t>
      </w:r>
      <w:r>
        <w:rPr>
          <w:sz w:val="20"/>
        </w:rPr>
        <w:t>is</w:t>
      </w:r>
      <w:r>
        <w:rPr>
          <w:spacing w:val="27"/>
          <w:sz w:val="20"/>
        </w:rPr>
        <w:t> </w:t>
      </w:r>
      <w:r>
        <w:rPr>
          <w:sz w:val="20"/>
        </w:rPr>
        <w:t>used</w:t>
      </w:r>
      <w:r>
        <w:rPr>
          <w:spacing w:val="29"/>
          <w:sz w:val="20"/>
        </w:rPr>
        <w:t> </w:t>
      </w:r>
      <w:r>
        <w:rPr>
          <w:sz w:val="20"/>
        </w:rPr>
        <w:t>to</w:t>
      </w:r>
      <w:r>
        <w:rPr>
          <w:spacing w:val="33"/>
          <w:sz w:val="20"/>
        </w:rPr>
        <w:t> </w:t>
      </w:r>
      <w:r>
        <w:rPr>
          <w:sz w:val="20"/>
        </w:rPr>
        <w:t>redefine</w:t>
      </w:r>
      <w:r>
        <w:rPr>
          <w:spacing w:val="28"/>
          <w:sz w:val="20"/>
        </w:rPr>
        <w:t> </w:t>
      </w:r>
      <w:r>
        <w:rPr>
          <w:sz w:val="20"/>
        </w:rPr>
        <w:t>her</w:t>
      </w:r>
      <w:r>
        <w:rPr>
          <w:spacing w:val="28"/>
          <w:sz w:val="20"/>
        </w:rPr>
        <w:t> </w:t>
      </w:r>
      <w:r>
        <w:rPr>
          <w:spacing w:val="-2"/>
          <w:sz w:val="20"/>
        </w:rPr>
        <w:t>identity</w:t>
      </w:r>
    </w:p>
    <w:p>
      <w:pPr>
        <w:pStyle w:val="BodyText"/>
        <w:spacing w:line="249" w:lineRule="auto" w:before="73"/>
        <w:ind w:right="1437" w:firstLine="432"/>
      </w:pPr>
      <w:r>
        <w:rPr/>
        <w:t>Analytically,</w:t>
      </w:r>
      <w:r>
        <w:rPr>
          <w:spacing w:val="-4"/>
        </w:rPr>
        <w:t> </w:t>
      </w:r>
      <w:r>
        <w:rPr/>
        <w:t>this</w:t>
      </w:r>
      <w:r>
        <w:rPr>
          <w:spacing w:val="-6"/>
        </w:rPr>
        <w:t> </w:t>
      </w:r>
      <w:r>
        <w:rPr/>
        <w:t>reflects</w:t>
      </w:r>
      <w:r>
        <w:rPr>
          <w:spacing w:val="-4"/>
        </w:rPr>
        <w:t> </w:t>
      </w:r>
      <w:r>
        <w:rPr/>
        <w:t>how</w:t>
      </w:r>
      <w:r>
        <w:rPr>
          <w:spacing w:val="-9"/>
        </w:rPr>
        <w:t> </w:t>
      </w:r>
      <w:r>
        <w:rPr/>
        <w:t>societies</w:t>
      </w:r>
      <w:r>
        <w:rPr>
          <w:spacing w:val="-4"/>
        </w:rPr>
        <w:t> </w:t>
      </w:r>
      <w:r>
        <w:rPr/>
        <w:t>manage</w:t>
      </w:r>
      <w:r>
        <w:rPr>
          <w:spacing w:val="-6"/>
        </w:rPr>
        <w:t> </w:t>
      </w:r>
      <w:r>
        <w:rPr/>
        <w:t>deviation—not</w:t>
      </w:r>
      <w:r>
        <w:rPr>
          <w:spacing w:val="-4"/>
        </w:rPr>
        <w:t> </w:t>
      </w:r>
      <w:r>
        <w:rPr/>
        <w:t>by eliminating it,</w:t>
      </w:r>
      <w:r>
        <w:rPr>
          <w:spacing w:val="40"/>
        </w:rPr>
        <w:t> </w:t>
      </w:r>
      <w:r>
        <w:rPr/>
        <w:t>but by reshaping it</w:t>
      </w:r>
      <w:r>
        <w:rPr>
          <w:spacing w:val="40"/>
        </w:rPr>
        <w:t> </w:t>
      </w:r>
      <w:r>
        <w:rPr/>
        <w:t>into acceptable</w:t>
      </w:r>
      <w:r>
        <w:rPr>
          <w:spacing w:val="40"/>
        </w:rPr>
        <w:t> </w:t>
      </w:r>
      <w:r>
        <w:rPr/>
        <w:t>forms.</w:t>
      </w:r>
    </w:p>
    <w:p>
      <w:pPr>
        <w:pStyle w:val="Heading5"/>
        <w:numPr>
          <w:ilvl w:val="0"/>
          <w:numId w:val="89"/>
        </w:numPr>
        <w:tabs>
          <w:tab w:pos="1756" w:val="left" w:leader="none"/>
        </w:tabs>
        <w:spacing w:line="240" w:lineRule="auto" w:before="109" w:after="0"/>
        <w:ind w:left="1756" w:right="0" w:hanging="316"/>
        <w:jc w:val="left"/>
      </w:pPr>
      <w:r>
        <w:rPr>
          <w:w w:val="105"/>
        </w:rPr>
        <w:t>Boisterousness,</w:t>
      </w:r>
      <w:r>
        <w:rPr>
          <w:spacing w:val="60"/>
          <w:w w:val="150"/>
        </w:rPr>
        <w:t> </w:t>
      </w:r>
      <w:r>
        <w:rPr>
          <w:w w:val="105"/>
        </w:rPr>
        <w:t>Excess,</w:t>
      </w:r>
      <w:r>
        <w:rPr>
          <w:spacing w:val="61"/>
          <w:w w:val="150"/>
        </w:rPr>
        <w:t> </w:t>
      </w:r>
      <w:r>
        <w:rPr>
          <w:w w:val="105"/>
        </w:rPr>
        <w:t>and</w:t>
      </w:r>
      <w:r>
        <w:rPr>
          <w:spacing w:val="62"/>
          <w:w w:val="150"/>
        </w:rPr>
        <w:t> </w:t>
      </w:r>
      <w:r>
        <w:rPr>
          <w:w w:val="105"/>
        </w:rPr>
        <w:t>Historical</w:t>
      </w:r>
      <w:r>
        <w:rPr>
          <w:spacing w:val="61"/>
          <w:w w:val="150"/>
        </w:rPr>
        <w:t> </w:t>
      </w:r>
      <w:r>
        <w:rPr>
          <w:spacing w:val="-2"/>
          <w:w w:val="105"/>
        </w:rPr>
        <w:t>Parallels</w:t>
      </w:r>
    </w:p>
    <w:p>
      <w:pPr>
        <w:pStyle w:val="BodyText"/>
        <w:spacing w:line="249" w:lineRule="auto" w:before="71"/>
        <w:ind w:right="1437" w:firstLine="432"/>
      </w:pPr>
      <w:r>
        <w:rPr/>
        <w:t>Your</w:t>
      </w:r>
      <w:r>
        <w:rPr>
          <w:spacing w:val="40"/>
        </w:rPr>
        <w:t> </w:t>
      </w:r>
      <w:r>
        <w:rPr/>
        <w:t>comparison</w:t>
      </w:r>
      <w:r>
        <w:rPr>
          <w:spacing w:val="40"/>
        </w:rPr>
        <w:t> </w:t>
      </w:r>
      <w:r>
        <w:rPr/>
        <w:t>to</w:t>
      </w:r>
      <w:r>
        <w:rPr>
          <w:spacing w:val="40"/>
        </w:rPr>
        <w:t> </w:t>
      </w:r>
      <w:r>
        <w:rPr/>
        <w:t>Marie</w:t>
      </w:r>
      <w:r>
        <w:rPr>
          <w:spacing w:val="33"/>
        </w:rPr>
        <w:t> </w:t>
      </w:r>
      <w:r>
        <w:rPr/>
        <w:t>Antoinette</w:t>
      </w:r>
      <w:r>
        <w:rPr>
          <w:spacing w:val="40"/>
        </w:rPr>
        <w:t> </w:t>
      </w:r>
      <w:r>
        <w:rPr/>
        <w:t>introduces</w:t>
      </w:r>
      <w:r>
        <w:rPr>
          <w:spacing w:val="40"/>
        </w:rPr>
        <w:t> </w:t>
      </w:r>
      <w:r>
        <w:rPr/>
        <w:t>an</w:t>
      </w:r>
      <w:r>
        <w:rPr>
          <w:spacing w:val="40"/>
        </w:rPr>
        <w:t> </w:t>
      </w:r>
      <w:r>
        <w:rPr/>
        <w:t>important dimension of excess and visibility. Both figures:</w:t>
      </w:r>
    </w:p>
    <w:p>
      <w:pPr>
        <w:pStyle w:val="ListParagraph"/>
        <w:numPr>
          <w:ilvl w:val="1"/>
          <w:numId w:val="89"/>
        </w:numPr>
        <w:tabs>
          <w:tab w:pos="2160" w:val="left" w:leader="none"/>
        </w:tabs>
        <w:spacing w:line="261" w:lineRule="auto" w:before="67" w:after="0"/>
        <w:ind w:left="2160" w:right="1439" w:hanging="240"/>
        <w:jc w:val="left"/>
        <w:rPr>
          <w:sz w:val="20"/>
        </w:rPr>
      </w:pPr>
      <w:r>
        <w:rPr>
          <w:sz w:val="20"/>
        </w:rPr>
        <w:t>Are</w:t>
      </w:r>
      <w:r>
        <w:rPr>
          <w:spacing w:val="80"/>
          <w:sz w:val="20"/>
        </w:rPr>
        <w:t> </w:t>
      </w:r>
      <w:r>
        <w:rPr>
          <w:spacing w:val="11"/>
          <w:sz w:val="20"/>
        </w:rPr>
        <w:t>associated</w:t>
      </w:r>
      <w:r>
        <w:rPr>
          <w:spacing w:val="80"/>
          <w:sz w:val="20"/>
        </w:rPr>
        <w:t> </w:t>
      </w:r>
      <w:r>
        <w:rPr>
          <w:sz w:val="20"/>
        </w:rPr>
        <w:t>with</w:t>
      </w:r>
      <w:r>
        <w:rPr>
          <w:spacing w:val="80"/>
          <w:sz w:val="20"/>
        </w:rPr>
        <w:t> </w:t>
      </w:r>
      <w:r>
        <w:rPr>
          <w:spacing w:val="10"/>
          <w:sz w:val="20"/>
        </w:rPr>
        <w:t>strong</w:t>
      </w:r>
      <w:r>
        <w:rPr>
          <w:spacing w:val="80"/>
          <w:sz w:val="20"/>
        </w:rPr>
        <w:t> </w:t>
      </w:r>
      <w:r>
        <w:rPr>
          <w:spacing w:val="10"/>
          <w:sz w:val="20"/>
        </w:rPr>
        <w:t>presence</w:t>
      </w:r>
      <w:r>
        <w:rPr>
          <w:spacing w:val="80"/>
          <w:sz w:val="20"/>
        </w:rPr>
        <w:t> </w:t>
      </w:r>
      <w:r>
        <w:rPr>
          <w:sz w:val="20"/>
        </w:rPr>
        <w:t>and</w:t>
      </w:r>
      <w:r>
        <w:rPr>
          <w:spacing w:val="80"/>
          <w:sz w:val="20"/>
        </w:rPr>
        <w:t> </w:t>
      </w:r>
      <w:r>
        <w:rPr>
          <w:spacing w:val="11"/>
          <w:sz w:val="20"/>
        </w:rPr>
        <w:t>perceived </w:t>
      </w:r>
      <w:r>
        <w:rPr>
          <w:spacing w:val="-2"/>
          <w:sz w:val="20"/>
        </w:rPr>
        <w:t>extravagance</w:t>
      </w:r>
    </w:p>
    <w:p>
      <w:pPr>
        <w:pStyle w:val="ListParagraph"/>
        <w:numPr>
          <w:ilvl w:val="1"/>
          <w:numId w:val="89"/>
        </w:numPr>
        <w:tabs>
          <w:tab w:pos="2159" w:val="left" w:leader="none"/>
        </w:tabs>
        <w:spacing w:line="240" w:lineRule="auto" w:before="55" w:after="0"/>
        <w:ind w:left="2159" w:right="0" w:hanging="239"/>
        <w:jc w:val="left"/>
        <w:rPr>
          <w:sz w:val="20"/>
        </w:rPr>
      </w:pPr>
      <w:r>
        <w:rPr>
          <w:sz w:val="20"/>
        </w:rPr>
        <w:t>Become</w:t>
      </w:r>
      <w:r>
        <w:rPr>
          <w:spacing w:val="3"/>
          <w:sz w:val="20"/>
        </w:rPr>
        <w:t> </w:t>
      </w:r>
      <w:r>
        <w:rPr>
          <w:sz w:val="20"/>
        </w:rPr>
        <w:t>symbolic</w:t>
      </w:r>
      <w:r>
        <w:rPr>
          <w:spacing w:val="8"/>
          <w:sz w:val="20"/>
        </w:rPr>
        <w:t> </w:t>
      </w:r>
      <w:r>
        <w:rPr>
          <w:sz w:val="20"/>
        </w:rPr>
        <w:t>of</w:t>
      </w:r>
      <w:r>
        <w:rPr>
          <w:spacing w:val="4"/>
          <w:sz w:val="20"/>
        </w:rPr>
        <w:t> </w:t>
      </w:r>
      <w:r>
        <w:rPr>
          <w:sz w:val="20"/>
        </w:rPr>
        <w:t>societal</w:t>
      </w:r>
      <w:r>
        <w:rPr>
          <w:spacing w:val="6"/>
          <w:sz w:val="20"/>
        </w:rPr>
        <w:t> </w:t>
      </w:r>
      <w:r>
        <w:rPr>
          <w:sz w:val="20"/>
        </w:rPr>
        <w:t>anxieties</w:t>
      </w:r>
      <w:r>
        <w:rPr>
          <w:spacing w:val="3"/>
          <w:sz w:val="20"/>
        </w:rPr>
        <w:t> </w:t>
      </w:r>
      <w:r>
        <w:rPr>
          <w:sz w:val="20"/>
        </w:rPr>
        <w:t>about</w:t>
      </w:r>
      <w:r>
        <w:rPr>
          <w:spacing w:val="7"/>
          <w:sz w:val="20"/>
        </w:rPr>
        <w:t> </w:t>
      </w:r>
      <w:r>
        <w:rPr>
          <w:sz w:val="20"/>
        </w:rPr>
        <w:t>powerful</w:t>
      </w:r>
      <w:r>
        <w:rPr>
          <w:spacing w:val="4"/>
          <w:sz w:val="20"/>
        </w:rPr>
        <w:t> </w:t>
      </w:r>
      <w:r>
        <w:rPr>
          <w:spacing w:val="-4"/>
          <w:sz w:val="20"/>
        </w:rPr>
        <w:t>women</w:t>
      </w:r>
    </w:p>
    <w:p>
      <w:pPr>
        <w:pStyle w:val="ListParagraph"/>
        <w:numPr>
          <w:ilvl w:val="1"/>
          <w:numId w:val="89"/>
        </w:numPr>
        <w:tabs>
          <w:tab w:pos="2159" w:val="left" w:leader="none"/>
        </w:tabs>
        <w:spacing w:line="312" w:lineRule="auto" w:before="80" w:after="0"/>
        <w:ind w:left="1872" w:right="1444" w:firstLine="48"/>
        <w:jc w:val="left"/>
        <w:rPr>
          <w:sz w:val="20"/>
        </w:rPr>
      </w:pPr>
      <w:r>
        <w:rPr>
          <w:sz w:val="20"/>
        </w:rPr>
        <w:t>Are</w:t>
      </w:r>
      <w:r>
        <w:rPr>
          <w:spacing w:val="40"/>
          <w:sz w:val="20"/>
        </w:rPr>
        <w:t> </w:t>
      </w:r>
      <w:r>
        <w:rPr>
          <w:sz w:val="20"/>
        </w:rPr>
        <w:t>judged</w:t>
      </w:r>
      <w:r>
        <w:rPr>
          <w:spacing w:val="40"/>
          <w:sz w:val="20"/>
        </w:rPr>
        <w:t> </w:t>
      </w:r>
      <w:r>
        <w:rPr>
          <w:sz w:val="20"/>
        </w:rPr>
        <w:t>more</w:t>
      </w:r>
      <w:r>
        <w:rPr>
          <w:spacing w:val="40"/>
          <w:sz w:val="20"/>
        </w:rPr>
        <w:t> </w:t>
      </w:r>
      <w:r>
        <w:rPr>
          <w:sz w:val="20"/>
        </w:rPr>
        <w:t>harshly because</w:t>
      </w:r>
      <w:r>
        <w:rPr>
          <w:spacing w:val="40"/>
          <w:sz w:val="20"/>
        </w:rPr>
        <w:t> </w:t>
      </w:r>
      <w:r>
        <w:rPr>
          <w:sz w:val="20"/>
        </w:rPr>
        <w:t>of their</w:t>
      </w:r>
      <w:r>
        <w:rPr>
          <w:spacing w:val="40"/>
          <w:sz w:val="20"/>
        </w:rPr>
        <w:t> </w:t>
      </w:r>
      <w:r>
        <w:rPr>
          <w:sz w:val="20"/>
        </w:rPr>
        <w:t>visibility Katherine’s “boisterousness” mirrors this</w:t>
      </w:r>
      <w:r>
        <w:rPr>
          <w:spacing w:val="15"/>
          <w:sz w:val="20"/>
        </w:rPr>
        <w:t> </w:t>
      </w:r>
      <w:r>
        <w:rPr>
          <w:sz w:val="20"/>
        </w:rPr>
        <w:t>idea.</w:t>
      </w:r>
      <w:r>
        <w:rPr>
          <w:spacing w:val="15"/>
          <w:sz w:val="20"/>
        </w:rPr>
        <w:t> </w:t>
      </w:r>
      <w:r>
        <w:rPr>
          <w:sz w:val="20"/>
        </w:rPr>
        <w:t>Her</w:t>
      </w:r>
      <w:r>
        <w:rPr>
          <w:spacing w:val="15"/>
          <w:sz w:val="20"/>
        </w:rPr>
        <w:t> </w:t>
      </w:r>
      <w:r>
        <w:rPr>
          <w:sz w:val="20"/>
        </w:rPr>
        <w:t>loudness</w:t>
      </w:r>
      <w:r>
        <w:rPr>
          <w:spacing w:val="15"/>
          <w:sz w:val="20"/>
        </w:rPr>
        <w:t> </w:t>
      </w:r>
      <w:r>
        <w:rPr>
          <w:sz w:val="20"/>
        </w:rPr>
        <w:t>and</w:t>
      </w:r>
    </w:p>
    <w:p>
      <w:pPr>
        <w:pStyle w:val="BodyText"/>
        <w:spacing w:line="172" w:lineRule="exact"/>
      </w:pPr>
      <w:r>
        <w:rPr/>
        <w:t>intensity</w:t>
      </w:r>
      <w:r>
        <w:rPr>
          <w:spacing w:val="-9"/>
        </w:rPr>
        <w:t> </w:t>
      </w:r>
      <w:r>
        <w:rPr/>
        <w:t>make</w:t>
      </w:r>
      <w:r>
        <w:rPr>
          <w:spacing w:val="-6"/>
        </w:rPr>
        <w:t> </w:t>
      </w:r>
      <w:r>
        <w:rPr/>
        <w:t>her</w:t>
      </w:r>
      <w:r>
        <w:rPr>
          <w:spacing w:val="-7"/>
        </w:rPr>
        <w:t> </w:t>
      </w:r>
      <w:r>
        <w:rPr/>
        <w:t>impossible</w:t>
      </w:r>
      <w:r>
        <w:rPr>
          <w:spacing w:val="-7"/>
        </w:rPr>
        <w:t> </w:t>
      </w:r>
      <w:r>
        <w:rPr/>
        <w:t>to</w:t>
      </w:r>
      <w:r>
        <w:rPr>
          <w:spacing w:val="-5"/>
        </w:rPr>
        <w:t> </w:t>
      </w:r>
      <w:r>
        <w:rPr/>
        <w:t>ignore,</w:t>
      </w:r>
      <w:r>
        <w:rPr>
          <w:spacing w:val="-7"/>
        </w:rPr>
        <w:t> </w:t>
      </w:r>
      <w:r>
        <w:rPr/>
        <w:t>and</w:t>
      </w:r>
      <w:r>
        <w:rPr>
          <w:spacing w:val="-5"/>
        </w:rPr>
        <w:t> </w:t>
      </w:r>
      <w:r>
        <w:rPr/>
        <w:t>therefore</w:t>
      </w:r>
      <w:r>
        <w:rPr>
          <w:spacing w:val="-8"/>
        </w:rPr>
        <w:t> </w:t>
      </w:r>
      <w:r>
        <w:rPr/>
        <w:t>easier</w:t>
      </w:r>
      <w:r>
        <w:rPr>
          <w:spacing w:val="-5"/>
        </w:rPr>
        <w:t> </w:t>
      </w:r>
      <w:r>
        <w:rPr/>
        <w:t>to</w:t>
      </w:r>
      <w:r>
        <w:rPr>
          <w:spacing w:val="-5"/>
        </w:rPr>
        <w:t> </w:t>
      </w:r>
      <w:r>
        <w:rPr>
          <w:spacing w:val="-2"/>
        </w:rPr>
        <w:t>criticize.</w:t>
      </w:r>
    </w:p>
    <w:p>
      <w:pPr>
        <w:pStyle w:val="BodyText"/>
        <w:spacing w:after="0" w:line="172" w:lineRule="exact"/>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00160">
                <wp:simplePos x="0" y="0"/>
                <wp:positionH relativeFrom="page">
                  <wp:posOffset>2057400</wp:posOffset>
                </wp:positionH>
                <wp:positionV relativeFrom="paragraph">
                  <wp:posOffset>162604</wp:posOffset>
                </wp:positionV>
                <wp:extent cx="3657600" cy="12700"/>
                <wp:effectExtent l="0" t="0" r="0" b="0"/>
                <wp:wrapTopAndBottom/>
                <wp:docPr id="829" name="Graphic 829"/>
                <wp:cNvGraphicFramePr>
                  <a:graphicFrameLocks/>
                </wp:cNvGraphicFramePr>
                <a:graphic>
                  <a:graphicData uri="http://schemas.microsoft.com/office/word/2010/wordprocessingShape">
                    <wps:wsp>
                      <wps:cNvPr id="829" name="Graphic 82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16320;mso-wrap-distance-left:0;mso-wrap-distance-right:0" id="docshape821" filled="true" fillcolor="#000000" stroked="false">
                <v:fill type="solid"/>
                <w10:wrap type="topAndBottom"/>
              </v:rect>
            </w:pict>
          </mc:Fallback>
        </mc:AlternateContent>
      </w:r>
      <w:r>
        <w:rPr>
          <w:rFonts w:ascii="Verdana"/>
          <w:spacing w:val="-5"/>
          <w:sz w:val="18"/>
        </w:rPr>
        <w:t>430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Like</w:t>
      </w:r>
      <w:r>
        <w:rPr>
          <w:spacing w:val="40"/>
        </w:rPr>
        <w:t> </w:t>
      </w:r>
      <w:r>
        <w:rPr/>
        <w:t>historical</w:t>
      </w:r>
      <w:r>
        <w:rPr>
          <w:spacing w:val="40"/>
        </w:rPr>
        <w:t> </w:t>
      </w:r>
      <w:r>
        <w:rPr/>
        <w:t>female</w:t>
      </w:r>
      <w:r>
        <w:rPr>
          <w:spacing w:val="40"/>
        </w:rPr>
        <w:t> </w:t>
      </w:r>
      <w:r>
        <w:rPr/>
        <w:t>figures,</w:t>
      </w:r>
      <w:r>
        <w:rPr>
          <w:spacing w:val="40"/>
        </w:rPr>
        <w:t> </w:t>
      </w:r>
      <w:r>
        <w:rPr/>
        <w:t>she</w:t>
      </w:r>
      <w:r>
        <w:rPr>
          <w:spacing w:val="40"/>
        </w:rPr>
        <w:t> </w:t>
      </w:r>
      <w:r>
        <w:rPr/>
        <w:t>becomes</w:t>
      </w:r>
      <w:r>
        <w:rPr>
          <w:spacing w:val="40"/>
        </w:rPr>
        <w:t> </w:t>
      </w:r>
      <w:r>
        <w:rPr/>
        <w:t>a</w:t>
      </w:r>
      <w:r>
        <w:rPr>
          <w:spacing w:val="40"/>
        </w:rPr>
        <w:t> </w:t>
      </w:r>
      <w:r>
        <w:rPr/>
        <w:t>site</w:t>
      </w:r>
      <w:r>
        <w:rPr>
          <w:spacing w:val="40"/>
        </w:rPr>
        <w:t> </w:t>
      </w:r>
      <w:r>
        <w:rPr/>
        <w:t>of</w:t>
      </w:r>
      <w:r>
        <w:rPr>
          <w:spacing w:val="40"/>
        </w:rPr>
        <w:t> </w:t>
      </w:r>
      <w:r>
        <w:rPr/>
        <w:t>projection</w:t>
      </w:r>
      <w:r>
        <w:rPr>
          <w:spacing w:val="40"/>
        </w:rPr>
        <w:t> </w:t>
      </w:r>
      <w:r>
        <w:rPr/>
        <w:t>for cultural discomfort.</w:t>
      </w:r>
    </w:p>
    <w:p>
      <w:pPr>
        <w:pStyle w:val="Heading5"/>
        <w:numPr>
          <w:ilvl w:val="0"/>
          <w:numId w:val="89"/>
        </w:numPr>
        <w:tabs>
          <w:tab w:pos="1754" w:val="left" w:leader="none"/>
        </w:tabs>
        <w:spacing w:line="240" w:lineRule="auto" w:before="109" w:after="0"/>
        <w:ind w:left="1754" w:right="0" w:hanging="314"/>
        <w:jc w:val="left"/>
      </w:pPr>
      <w:r>
        <w:rPr>
          <w:w w:val="105"/>
        </w:rPr>
        <w:t>Elizabethan</w:t>
      </w:r>
      <w:r>
        <w:rPr>
          <w:spacing w:val="30"/>
          <w:w w:val="105"/>
        </w:rPr>
        <w:t>  </w:t>
      </w:r>
      <w:r>
        <w:rPr>
          <w:w w:val="105"/>
        </w:rPr>
        <w:t>Context</w:t>
      </w:r>
      <w:r>
        <w:rPr>
          <w:spacing w:val="31"/>
          <w:w w:val="105"/>
        </w:rPr>
        <w:t>  </w:t>
      </w:r>
      <w:r>
        <w:rPr>
          <w:w w:val="105"/>
        </w:rPr>
        <w:t>and</w:t>
      </w:r>
      <w:r>
        <w:rPr>
          <w:spacing w:val="30"/>
          <w:w w:val="105"/>
        </w:rPr>
        <w:t>  </w:t>
      </w:r>
      <w:r>
        <w:rPr>
          <w:w w:val="105"/>
        </w:rPr>
        <w:t>Gender</w:t>
      </w:r>
      <w:r>
        <w:rPr>
          <w:spacing w:val="28"/>
          <w:w w:val="105"/>
        </w:rPr>
        <w:t>  </w:t>
      </w:r>
      <w:r>
        <w:rPr>
          <w:spacing w:val="-2"/>
          <w:w w:val="105"/>
        </w:rPr>
        <w:t>Expectations</w:t>
      </w:r>
    </w:p>
    <w:p>
      <w:pPr>
        <w:pStyle w:val="BodyText"/>
        <w:spacing w:before="72"/>
        <w:ind w:left="1872"/>
      </w:pPr>
      <w:r>
        <w:rPr/>
        <w:t>In</w:t>
      </w:r>
      <w:r>
        <w:rPr>
          <w:spacing w:val="8"/>
        </w:rPr>
        <w:t> </w:t>
      </w:r>
      <w:r>
        <w:rPr/>
        <w:t>the</w:t>
      </w:r>
      <w:r>
        <w:rPr>
          <w:spacing w:val="13"/>
        </w:rPr>
        <w:t> </w:t>
      </w:r>
      <w:r>
        <w:rPr/>
        <w:t>Elizabethan</w:t>
      </w:r>
      <w:r>
        <w:rPr>
          <w:spacing w:val="9"/>
        </w:rPr>
        <w:t> </w:t>
      </w:r>
      <w:r>
        <w:rPr>
          <w:spacing w:val="-4"/>
        </w:rPr>
        <w:t>era:</w:t>
      </w:r>
    </w:p>
    <w:p>
      <w:pPr>
        <w:pStyle w:val="ListParagraph"/>
        <w:numPr>
          <w:ilvl w:val="1"/>
          <w:numId w:val="89"/>
        </w:numPr>
        <w:tabs>
          <w:tab w:pos="2159" w:val="left" w:leader="none"/>
        </w:tabs>
        <w:spacing w:line="240" w:lineRule="auto" w:before="75" w:after="0"/>
        <w:ind w:left="2159" w:right="0" w:hanging="239"/>
        <w:jc w:val="left"/>
        <w:rPr>
          <w:sz w:val="20"/>
        </w:rPr>
      </w:pPr>
      <w:r>
        <w:rPr>
          <w:sz w:val="20"/>
        </w:rPr>
        <w:t>Women</w:t>
      </w:r>
      <w:r>
        <w:rPr>
          <w:spacing w:val="25"/>
          <w:sz w:val="20"/>
        </w:rPr>
        <w:t> </w:t>
      </w:r>
      <w:r>
        <w:rPr>
          <w:sz w:val="20"/>
        </w:rPr>
        <w:t>were</w:t>
      </w:r>
      <w:r>
        <w:rPr>
          <w:spacing w:val="26"/>
          <w:sz w:val="20"/>
        </w:rPr>
        <w:t> </w:t>
      </w:r>
      <w:r>
        <w:rPr>
          <w:sz w:val="20"/>
        </w:rPr>
        <w:t>expected</w:t>
      </w:r>
      <w:r>
        <w:rPr>
          <w:spacing w:val="28"/>
          <w:sz w:val="20"/>
        </w:rPr>
        <w:t> </w:t>
      </w:r>
      <w:r>
        <w:rPr>
          <w:sz w:val="20"/>
        </w:rPr>
        <w:t>to</w:t>
      </w:r>
      <w:r>
        <w:rPr>
          <w:spacing w:val="29"/>
          <w:sz w:val="20"/>
        </w:rPr>
        <w:t> </w:t>
      </w:r>
      <w:r>
        <w:rPr>
          <w:sz w:val="20"/>
        </w:rPr>
        <w:t>be</w:t>
      </w:r>
      <w:r>
        <w:rPr>
          <w:spacing w:val="26"/>
          <w:sz w:val="20"/>
        </w:rPr>
        <w:t> </w:t>
      </w:r>
      <w:r>
        <w:rPr>
          <w:sz w:val="20"/>
        </w:rPr>
        <w:t>obedient</w:t>
      </w:r>
      <w:r>
        <w:rPr>
          <w:spacing w:val="27"/>
          <w:sz w:val="20"/>
        </w:rPr>
        <w:t> </w:t>
      </w:r>
      <w:r>
        <w:rPr>
          <w:sz w:val="20"/>
        </w:rPr>
        <w:t>and</w:t>
      </w:r>
      <w:r>
        <w:rPr>
          <w:spacing w:val="28"/>
          <w:sz w:val="20"/>
        </w:rPr>
        <w:t> </w:t>
      </w:r>
      <w:r>
        <w:rPr>
          <w:spacing w:val="-2"/>
          <w:sz w:val="20"/>
        </w:rPr>
        <w:t>dependent</w:t>
      </w:r>
    </w:p>
    <w:p>
      <w:pPr>
        <w:pStyle w:val="ListParagraph"/>
        <w:numPr>
          <w:ilvl w:val="1"/>
          <w:numId w:val="89"/>
        </w:numPr>
        <w:tabs>
          <w:tab w:pos="2159" w:val="left" w:leader="none"/>
        </w:tabs>
        <w:spacing w:line="240" w:lineRule="auto" w:before="79" w:after="0"/>
        <w:ind w:left="2159" w:right="0" w:hanging="239"/>
        <w:jc w:val="left"/>
        <w:rPr>
          <w:sz w:val="20"/>
        </w:rPr>
      </w:pPr>
      <w:r>
        <w:rPr>
          <w:sz w:val="20"/>
        </w:rPr>
        <w:t>Marriage</w:t>
      </w:r>
      <w:r>
        <w:rPr>
          <w:spacing w:val="27"/>
          <w:sz w:val="20"/>
        </w:rPr>
        <w:t> </w:t>
      </w:r>
      <w:r>
        <w:rPr>
          <w:sz w:val="20"/>
        </w:rPr>
        <w:t>was</w:t>
      </w:r>
      <w:r>
        <w:rPr>
          <w:spacing w:val="26"/>
          <w:sz w:val="20"/>
        </w:rPr>
        <w:t> </w:t>
      </w:r>
      <w:r>
        <w:rPr>
          <w:sz w:val="20"/>
        </w:rPr>
        <w:t>often</w:t>
      </w:r>
      <w:r>
        <w:rPr>
          <w:spacing w:val="27"/>
          <w:sz w:val="20"/>
        </w:rPr>
        <w:t> </w:t>
      </w:r>
      <w:r>
        <w:rPr>
          <w:spacing w:val="-2"/>
          <w:sz w:val="20"/>
        </w:rPr>
        <w:t>transactional</w:t>
      </w:r>
    </w:p>
    <w:p>
      <w:pPr>
        <w:pStyle w:val="ListParagraph"/>
        <w:numPr>
          <w:ilvl w:val="1"/>
          <w:numId w:val="89"/>
        </w:numPr>
        <w:tabs>
          <w:tab w:pos="2159" w:val="left" w:leader="none"/>
        </w:tabs>
        <w:spacing w:line="240" w:lineRule="auto" w:before="77" w:after="0"/>
        <w:ind w:left="2159" w:right="0" w:hanging="239"/>
        <w:jc w:val="left"/>
        <w:rPr>
          <w:sz w:val="20"/>
        </w:rPr>
      </w:pPr>
      <w:r>
        <w:rPr>
          <w:sz w:val="20"/>
        </w:rPr>
        <w:t>Public</w:t>
      </w:r>
      <w:r>
        <w:rPr>
          <w:spacing w:val="6"/>
          <w:sz w:val="20"/>
        </w:rPr>
        <w:t> </w:t>
      </w:r>
      <w:r>
        <w:rPr>
          <w:sz w:val="20"/>
        </w:rPr>
        <w:t>voice</w:t>
      </w:r>
      <w:r>
        <w:rPr>
          <w:spacing w:val="6"/>
          <w:sz w:val="20"/>
        </w:rPr>
        <w:t> </w:t>
      </w:r>
      <w:r>
        <w:rPr>
          <w:sz w:val="20"/>
        </w:rPr>
        <w:t>for</w:t>
      </w:r>
      <w:r>
        <w:rPr>
          <w:spacing w:val="8"/>
          <w:sz w:val="20"/>
        </w:rPr>
        <w:t> </w:t>
      </w:r>
      <w:r>
        <w:rPr>
          <w:sz w:val="20"/>
        </w:rPr>
        <w:t>women</w:t>
      </w:r>
      <w:r>
        <w:rPr>
          <w:spacing w:val="5"/>
          <w:sz w:val="20"/>
        </w:rPr>
        <w:t> </w:t>
      </w:r>
      <w:r>
        <w:rPr>
          <w:sz w:val="20"/>
        </w:rPr>
        <w:t>was</w:t>
      </w:r>
      <w:r>
        <w:rPr>
          <w:spacing w:val="7"/>
          <w:sz w:val="20"/>
        </w:rPr>
        <w:t> </w:t>
      </w:r>
      <w:r>
        <w:rPr>
          <w:spacing w:val="-2"/>
          <w:sz w:val="20"/>
        </w:rPr>
        <w:t>limited</w:t>
      </w:r>
    </w:p>
    <w:p>
      <w:pPr>
        <w:pStyle w:val="BodyText"/>
        <w:spacing w:line="249" w:lineRule="auto" w:before="70"/>
        <w:ind w:right="1440" w:firstLine="432"/>
        <w:jc w:val="both"/>
      </w:pPr>
      <w:r>
        <w:rPr/>
        <w:t>Katherine disrupts all three. Her behavior is not “new” in the</w:t>
      </w:r>
      <w:r>
        <w:rPr>
          <w:spacing w:val="40"/>
        </w:rPr>
        <w:t> </w:t>
      </w:r>
      <w:r>
        <w:rPr>
          <w:spacing w:val="-2"/>
        </w:rPr>
        <w:t>sense of</w:t>
      </w:r>
      <w:r>
        <w:rPr>
          <w:spacing w:val="-6"/>
        </w:rPr>
        <w:t> </w:t>
      </w:r>
      <w:r>
        <w:rPr>
          <w:spacing w:val="-2"/>
        </w:rPr>
        <w:t>existence,</w:t>
      </w:r>
      <w:r>
        <w:rPr>
          <w:spacing w:val="-4"/>
        </w:rPr>
        <w:t> </w:t>
      </w:r>
      <w:r>
        <w:rPr>
          <w:spacing w:val="-2"/>
        </w:rPr>
        <w:t>but it</w:t>
      </w:r>
      <w:r>
        <w:rPr>
          <w:spacing w:val="-5"/>
        </w:rPr>
        <w:t> </w:t>
      </w:r>
      <w:r>
        <w:rPr>
          <w:spacing w:val="-2"/>
        </w:rPr>
        <w:t>is rarely</w:t>
      </w:r>
      <w:r>
        <w:rPr>
          <w:spacing w:val="-6"/>
        </w:rPr>
        <w:t> </w:t>
      </w:r>
      <w:r>
        <w:rPr>
          <w:spacing w:val="-2"/>
        </w:rPr>
        <w:t>represented openly.</w:t>
      </w:r>
      <w:r>
        <w:rPr>
          <w:spacing w:val="-4"/>
        </w:rPr>
        <w:t> </w:t>
      </w:r>
      <w:r>
        <w:rPr>
          <w:spacing w:val="-2"/>
        </w:rPr>
        <w:t>Shakespeare</w:t>
      </w:r>
      <w:r>
        <w:rPr>
          <w:spacing w:val="-3"/>
        </w:rPr>
        <w:t> </w:t>
      </w:r>
      <w:r>
        <w:rPr>
          <w:spacing w:val="-2"/>
        </w:rPr>
        <w:t>brings </w:t>
      </w:r>
      <w:r>
        <w:rPr/>
        <w:t>this</w:t>
      </w:r>
      <w:r>
        <w:rPr>
          <w:spacing w:val="19"/>
        </w:rPr>
        <w:t> </w:t>
      </w:r>
      <w:r>
        <w:rPr/>
        <w:t>suppressed</w:t>
      </w:r>
      <w:r>
        <w:rPr>
          <w:spacing w:val="20"/>
        </w:rPr>
        <w:t> </w:t>
      </w:r>
      <w:r>
        <w:rPr/>
        <w:t>reality</w:t>
      </w:r>
      <w:r>
        <w:rPr>
          <w:spacing w:val="17"/>
        </w:rPr>
        <w:t> </w:t>
      </w:r>
      <w:r>
        <w:rPr/>
        <w:t>to</w:t>
      </w:r>
      <w:r>
        <w:rPr>
          <w:spacing w:val="22"/>
        </w:rPr>
        <w:t> </w:t>
      </w:r>
      <w:r>
        <w:rPr/>
        <w:t>the</w:t>
      </w:r>
      <w:r>
        <w:rPr>
          <w:spacing w:val="16"/>
        </w:rPr>
        <w:t> </w:t>
      </w:r>
      <w:r>
        <w:rPr/>
        <w:t>stage,</w:t>
      </w:r>
      <w:r>
        <w:rPr>
          <w:spacing w:val="20"/>
        </w:rPr>
        <w:t> </w:t>
      </w:r>
      <w:r>
        <w:rPr/>
        <w:t>allowing</w:t>
      </w:r>
      <w:r>
        <w:rPr>
          <w:spacing w:val="19"/>
        </w:rPr>
        <w:t> </w:t>
      </w:r>
      <w:r>
        <w:rPr/>
        <w:t>audiences</w:t>
      </w:r>
      <w:r>
        <w:rPr>
          <w:spacing w:val="19"/>
        </w:rPr>
        <w:t> </w:t>
      </w:r>
      <w:r>
        <w:rPr/>
        <w:t>to</w:t>
      </w:r>
      <w:r>
        <w:rPr>
          <w:spacing w:val="19"/>
        </w:rPr>
        <w:t> </w:t>
      </w:r>
      <w:r>
        <w:rPr/>
        <w:t>confront</w:t>
      </w:r>
      <w:r>
        <w:rPr>
          <w:spacing w:val="22"/>
        </w:rPr>
        <w:t> </w:t>
      </w:r>
      <w:r>
        <w:rPr/>
        <w:t>it.</w:t>
      </w:r>
    </w:p>
    <w:p>
      <w:pPr>
        <w:pStyle w:val="BodyText"/>
        <w:spacing w:before="60"/>
        <w:ind w:left="1872"/>
        <w:jc w:val="both"/>
      </w:pPr>
      <w:r>
        <w:rPr/>
        <w:t>Her</w:t>
      </w:r>
      <w:r>
        <w:rPr>
          <w:spacing w:val="24"/>
        </w:rPr>
        <w:t> </w:t>
      </w:r>
      <w:r>
        <w:rPr/>
        <w:t>character</w:t>
      </w:r>
      <w:r>
        <w:rPr>
          <w:spacing w:val="25"/>
        </w:rPr>
        <w:t> </w:t>
      </w:r>
      <w:r>
        <w:rPr/>
        <w:t>thus</w:t>
      </w:r>
      <w:r>
        <w:rPr>
          <w:spacing w:val="21"/>
        </w:rPr>
        <w:t> </w:t>
      </w:r>
      <w:r>
        <w:rPr/>
        <w:t>acts</w:t>
      </w:r>
      <w:r>
        <w:rPr>
          <w:spacing w:val="26"/>
        </w:rPr>
        <w:t> </w:t>
      </w:r>
      <w:r>
        <w:rPr/>
        <w:t>as</w:t>
      </w:r>
      <w:r>
        <w:rPr>
          <w:spacing w:val="23"/>
        </w:rPr>
        <w:t> </w:t>
      </w:r>
      <w:r>
        <w:rPr/>
        <w:t>a</w:t>
      </w:r>
      <w:r>
        <w:rPr>
          <w:spacing w:val="26"/>
        </w:rPr>
        <w:t> </w:t>
      </w:r>
      <w:r>
        <w:rPr/>
        <w:t>mirror</w:t>
      </w:r>
      <w:r>
        <w:rPr>
          <w:spacing w:val="23"/>
        </w:rPr>
        <w:t> </w:t>
      </w:r>
      <w:r>
        <w:rPr/>
        <w:t>of</w:t>
      </w:r>
      <w:r>
        <w:rPr>
          <w:spacing w:val="24"/>
        </w:rPr>
        <w:t> </w:t>
      </w:r>
      <w:r>
        <w:rPr/>
        <w:t>historical</w:t>
      </w:r>
      <w:r>
        <w:rPr>
          <w:spacing w:val="23"/>
        </w:rPr>
        <w:t> </w:t>
      </w:r>
      <w:r>
        <w:rPr>
          <w:spacing w:val="-2"/>
        </w:rPr>
        <w:t>tensions:</w:t>
      </w:r>
    </w:p>
    <w:p>
      <w:pPr>
        <w:pStyle w:val="ListParagraph"/>
        <w:numPr>
          <w:ilvl w:val="1"/>
          <w:numId w:val="89"/>
        </w:numPr>
        <w:tabs>
          <w:tab w:pos="2159" w:val="left" w:leader="none"/>
        </w:tabs>
        <w:spacing w:line="240" w:lineRule="auto" w:before="78" w:after="0"/>
        <w:ind w:left="2159" w:right="0" w:hanging="239"/>
        <w:jc w:val="left"/>
        <w:rPr>
          <w:sz w:val="20"/>
        </w:rPr>
      </w:pPr>
      <w:r>
        <w:rPr>
          <w:sz w:val="20"/>
        </w:rPr>
        <w:t>Between</w:t>
      </w:r>
      <w:r>
        <w:rPr>
          <w:spacing w:val="11"/>
          <w:sz w:val="20"/>
        </w:rPr>
        <w:t> </w:t>
      </w:r>
      <w:r>
        <w:rPr>
          <w:sz w:val="20"/>
        </w:rPr>
        <w:t>individuality</w:t>
      </w:r>
      <w:r>
        <w:rPr>
          <w:spacing w:val="11"/>
          <w:sz w:val="20"/>
        </w:rPr>
        <w:t> </w:t>
      </w:r>
      <w:r>
        <w:rPr>
          <w:sz w:val="20"/>
        </w:rPr>
        <w:t>and</w:t>
      </w:r>
      <w:r>
        <w:rPr>
          <w:spacing w:val="12"/>
          <w:sz w:val="20"/>
        </w:rPr>
        <w:t> </w:t>
      </w:r>
      <w:r>
        <w:rPr>
          <w:spacing w:val="-2"/>
          <w:sz w:val="20"/>
        </w:rPr>
        <w:t>conformity</w:t>
      </w:r>
    </w:p>
    <w:p>
      <w:pPr>
        <w:pStyle w:val="ListParagraph"/>
        <w:numPr>
          <w:ilvl w:val="1"/>
          <w:numId w:val="89"/>
        </w:numPr>
        <w:tabs>
          <w:tab w:pos="2159" w:val="left" w:leader="none"/>
        </w:tabs>
        <w:spacing w:line="240" w:lineRule="auto" w:before="77" w:after="0"/>
        <w:ind w:left="2159" w:right="0" w:hanging="239"/>
        <w:jc w:val="left"/>
        <w:rPr>
          <w:sz w:val="20"/>
        </w:rPr>
      </w:pPr>
      <w:r>
        <w:rPr>
          <w:sz w:val="20"/>
        </w:rPr>
        <w:t>Between</w:t>
      </w:r>
      <w:r>
        <w:rPr>
          <w:spacing w:val="21"/>
          <w:sz w:val="20"/>
        </w:rPr>
        <w:t> </w:t>
      </w:r>
      <w:r>
        <w:rPr>
          <w:sz w:val="20"/>
        </w:rPr>
        <w:t>voice</w:t>
      </w:r>
      <w:r>
        <w:rPr>
          <w:spacing w:val="25"/>
          <w:sz w:val="20"/>
        </w:rPr>
        <w:t> </w:t>
      </w:r>
      <w:r>
        <w:rPr>
          <w:sz w:val="20"/>
        </w:rPr>
        <w:t>and</w:t>
      </w:r>
      <w:r>
        <w:rPr>
          <w:spacing w:val="25"/>
          <w:sz w:val="20"/>
        </w:rPr>
        <w:t> </w:t>
      </w:r>
      <w:r>
        <w:rPr>
          <w:spacing w:val="-2"/>
          <w:sz w:val="20"/>
        </w:rPr>
        <w:t>silence</w:t>
      </w:r>
    </w:p>
    <w:p>
      <w:pPr>
        <w:pStyle w:val="ListParagraph"/>
        <w:numPr>
          <w:ilvl w:val="1"/>
          <w:numId w:val="89"/>
        </w:numPr>
        <w:tabs>
          <w:tab w:pos="2159" w:val="left" w:leader="none"/>
        </w:tabs>
        <w:spacing w:line="240" w:lineRule="auto" w:before="77" w:after="0"/>
        <w:ind w:left="2159" w:right="0" w:hanging="239"/>
        <w:jc w:val="left"/>
        <w:rPr>
          <w:sz w:val="20"/>
        </w:rPr>
      </w:pPr>
      <w:r>
        <w:rPr>
          <w:sz w:val="20"/>
        </w:rPr>
        <w:t>Between</w:t>
      </w:r>
      <w:r>
        <w:rPr>
          <w:spacing w:val="35"/>
          <w:sz w:val="20"/>
        </w:rPr>
        <w:t> </w:t>
      </w:r>
      <w:r>
        <w:rPr>
          <w:sz w:val="20"/>
        </w:rPr>
        <w:t>resistance</w:t>
      </w:r>
      <w:r>
        <w:rPr>
          <w:spacing w:val="38"/>
          <w:sz w:val="20"/>
        </w:rPr>
        <w:t> </w:t>
      </w:r>
      <w:r>
        <w:rPr>
          <w:sz w:val="20"/>
        </w:rPr>
        <w:t>and</w:t>
      </w:r>
      <w:r>
        <w:rPr>
          <w:spacing w:val="37"/>
          <w:sz w:val="20"/>
        </w:rPr>
        <w:t> </w:t>
      </w:r>
      <w:r>
        <w:rPr>
          <w:spacing w:val="-2"/>
          <w:sz w:val="20"/>
        </w:rPr>
        <w:t>acceptance</w:t>
      </w:r>
    </w:p>
    <w:p>
      <w:pPr>
        <w:pStyle w:val="Heading5"/>
        <w:numPr>
          <w:ilvl w:val="0"/>
          <w:numId w:val="89"/>
        </w:numPr>
        <w:tabs>
          <w:tab w:pos="1752" w:val="left" w:leader="none"/>
        </w:tabs>
        <w:spacing w:line="240" w:lineRule="auto" w:before="120" w:after="0"/>
        <w:ind w:left="1752" w:right="0" w:hanging="312"/>
        <w:jc w:val="left"/>
      </w:pPr>
      <w:r>
        <w:rPr/>
        <w:t>Transformation</w:t>
      </w:r>
      <w:r>
        <w:rPr>
          <w:spacing w:val="54"/>
        </w:rPr>
        <w:t> </w:t>
      </w:r>
      <w:r>
        <w:rPr/>
        <w:t>or</w:t>
      </w:r>
      <w:r>
        <w:rPr>
          <w:spacing w:val="52"/>
        </w:rPr>
        <w:t> </w:t>
      </w:r>
      <w:r>
        <w:rPr>
          <w:spacing w:val="-2"/>
        </w:rPr>
        <w:t>Performance?</w:t>
      </w:r>
    </w:p>
    <w:p>
      <w:pPr>
        <w:pStyle w:val="BodyText"/>
        <w:spacing w:line="252" w:lineRule="auto" w:before="71"/>
        <w:ind w:right="1437" w:firstLine="432"/>
      </w:pPr>
      <w:r>
        <w:rPr/>
        <w:t>A</w:t>
      </w:r>
      <w:r>
        <w:rPr>
          <w:spacing w:val="-5"/>
        </w:rPr>
        <w:t> </w:t>
      </w:r>
      <w:r>
        <w:rPr/>
        <w:t>key</w:t>
      </w:r>
      <w:r>
        <w:rPr>
          <w:spacing w:val="-8"/>
        </w:rPr>
        <w:t> </w:t>
      </w:r>
      <w:r>
        <w:rPr/>
        <w:t>analytical</w:t>
      </w:r>
      <w:r>
        <w:rPr>
          <w:spacing w:val="-4"/>
        </w:rPr>
        <w:t> </w:t>
      </w:r>
      <w:r>
        <w:rPr/>
        <w:t>question</w:t>
      </w:r>
      <w:r>
        <w:rPr>
          <w:spacing w:val="-5"/>
        </w:rPr>
        <w:t> </w:t>
      </w:r>
      <w:r>
        <w:rPr/>
        <w:t>is</w:t>
      </w:r>
      <w:r>
        <w:rPr>
          <w:spacing w:val="-7"/>
        </w:rPr>
        <w:t> </w:t>
      </w:r>
      <w:r>
        <w:rPr/>
        <w:t>whether</w:t>
      </w:r>
      <w:r>
        <w:rPr>
          <w:spacing w:val="-1"/>
        </w:rPr>
        <w:t> </w:t>
      </w:r>
      <w:r>
        <w:rPr/>
        <w:t>Katherine</w:t>
      </w:r>
      <w:r>
        <w:rPr>
          <w:spacing w:val="-2"/>
        </w:rPr>
        <w:t> </w:t>
      </w:r>
      <w:r>
        <w:rPr/>
        <w:t>is</w:t>
      </w:r>
      <w:r>
        <w:rPr>
          <w:spacing w:val="-3"/>
        </w:rPr>
        <w:t> </w:t>
      </w:r>
      <w:r>
        <w:rPr/>
        <w:t>truly</w:t>
      </w:r>
      <w:r>
        <w:rPr>
          <w:spacing w:val="-8"/>
        </w:rPr>
        <w:t> </w:t>
      </w:r>
      <w:r>
        <w:rPr/>
        <w:t>“tamed”</w:t>
      </w:r>
      <w:r>
        <w:rPr>
          <w:spacing w:val="-2"/>
        </w:rPr>
        <w:t> </w:t>
      </w:r>
      <w:r>
        <w:rPr/>
        <w:t>by the</w:t>
      </w:r>
      <w:r>
        <w:rPr>
          <w:spacing w:val="40"/>
        </w:rPr>
        <w:t> </w:t>
      </w:r>
      <w:r>
        <w:rPr/>
        <w:t>end</w:t>
      </w:r>
      <w:r>
        <w:rPr>
          <w:spacing w:val="40"/>
        </w:rPr>
        <w:t> </w:t>
      </w:r>
      <w:r>
        <w:rPr/>
        <w:t>of</w:t>
      </w:r>
      <w:r>
        <w:rPr>
          <w:spacing w:val="40"/>
        </w:rPr>
        <w:t> </w:t>
      </w:r>
      <w:r>
        <w:rPr/>
        <w:t>the</w:t>
      </w:r>
      <w:r>
        <w:rPr>
          <w:spacing w:val="40"/>
        </w:rPr>
        <w:t> </w:t>
      </w:r>
      <w:r>
        <w:rPr/>
        <w:t>play.</w:t>
      </w:r>
    </w:p>
    <w:p>
      <w:pPr>
        <w:pStyle w:val="BodyText"/>
        <w:spacing w:before="57"/>
        <w:ind w:left="1872"/>
      </w:pPr>
      <w:r>
        <w:rPr/>
        <w:t>Two</w:t>
      </w:r>
      <w:r>
        <w:rPr>
          <w:spacing w:val="4"/>
        </w:rPr>
        <w:t> </w:t>
      </w:r>
      <w:r>
        <w:rPr/>
        <w:t>interpretations</w:t>
      </w:r>
      <w:r>
        <w:rPr>
          <w:spacing w:val="6"/>
        </w:rPr>
        <w:t> </w:t>
      </w:r>
      <w:r>
        <w:rPr>
          <w:spacing w:val="-2"/>
        </w:rPr>
        <w:t>emerge:</w:t>
      </w:r>
    </w:p>
    <w:p>
      <w:pPr>
        <w:pStyle w:val="ListParagraph"/>
        <w:numPr>
          <w:ilvl w:val="1"/>
          <w:numId w:val="89"/>
        </w:numPr>
        <w:tabs>
          <w:tab w:pos="2160" w:val="left" w:leader="none"/>
        </w:tabs>
        <w:spacing w:line="261" w:lineRule="auto" w:before="75" w:after="0"/>
        <w:ind w:left="2160" w:right="1440" w:hanging="240"/>
        <w:jc w:val="left"/>
        <w:rPr>
          <w:sz w:val="20"/>
        </w:rPr>
      </w:pPr>
      <w:r>
        <w:rPr>
          <w:sz w:val="20"/>
        </w:rPr>
        <w:t>Transformation:</w:t>
      </w:r>
      <w:r>
        <w:rPr>
          <w:spacing w:val="40"/>
          <w:sz w:val="20"/>
        </w:rPr>
        <w:t> </w:t>
      </w:r>
      <w:r>
        <w:rPr>
          <w:sz w:val="20"/>
        </w:rPr>
        <w:t>She</w:t>
      </w:r>
      <w:r>
        <w:rPr>
          <w:spacing w:val="40"/>
          <w:sz w:val="20"/>
        </w:rPr>
        <w:t> </w:t>
      </w:r>
      <w:r>
        <w:rPr>
          <w:sz w:val="20"/>
        </w:rPr>
        <w:t>becomes</w:t>
      </w:r>
      <w:r>
        <w:rPr>
          <w:spacing w:val="40"/>
          <w:sz w:val="20"/>
        </w:rPr>
        <w:t> </w:t>
      </w:r>
      <w:r>
        <w:rPr>
          <w:sz w:val="20"/>
        </w:rPr>
        <w:t>compliant,</w:t>
      </w:r>
      <w:r>
        <w:rPr>
          <w:spacing w:val="40"/>
          <w:sz w:val="20"/>
        </w:rPr>
        <w:t> </w:t>
      </w:r>
      <w:r>
        <w:rPr>
          <w:sz w:val="20"/>
        </w:rPr>
        <w:t>accepting</w:t>
      </w:r>
      <w:r>
        <w:rPr>
          <w:spacing w:val="40"/>
          <w:sz w:val="20"/>
        </w:rPr>
        <w:t> </w:t>
      </w:r>
      <w:r>
        <w:rPr>
          <w:sz w:val="20"/>
        </w:rPr>
        <w:t>societal </w:t>
      </w:r>
      <w:r>
        <w:rPr>
          <w:spacing w:val="-2"/>
          <w:sz w:val="20"/>
        </w:rPr>
        <w:t>norms</w:t>
      </w:r>
    </w:p>
    <w:p>
      <w:pPr>
        <w:pStyle w:val="ListParagraph"/>
        <w:numPr>
          <w:ilvl w:val="1"/>
          <w:numId w:val="89"/>
        </w:numPr>
        <w:tabs>
          <w:tab w:pos="2160" w:val="left" w:leader="none"/>
        </w:tabs>
        <w:spacing w:line="264" w:lineRule="auto" w:before="56" w:after="0"/>
        <w:ind w:left="2160" w:right="1439" w:hanging="240"/>
        <w:jc w:val="left"/>
        <w:rPr>
          <w:sz w:val="20"/>
        </w:rPr>
      </w:pPr>
      <w:r>
        <w:rPr>
          <w:sz w:val="20"/>
        </w:rPr>
        <w:t>Performance:</w:t>
      </w:r>
      <w:r>
        <w:rPr>
          <w:spacing w:val="40"/>
          <w:sz w:val="20"/>
        </w:rPr>
        <w:t> </w:t>
      </w:r>
      <w:r>
        <w:rPr>
          <w:sz w:val="20"/>
        </w:rPr>
        <w:t>She</w:t>
      </w:r>
      <w:r>
        <w:rPr>
          <w:spacing w:val="40"/>
          <w:sz w:val="20"/>
        </w:rPr>
        <w:t> </w:t>
      </w:r>
      <w:r>
        <w:rPr>
          <w:sz w:val="20"/>
        </w:rPr>
        <w:t>adopts</w:t>
      </w:r>
      <w:r>
        <w:rPr>
          <w:spacing w:val="40"/>
          <w:sz w:val="20"/>
        </w:rPr>
        <w:t> </w:t>
      </w:r>
      <w:r>
        <w:rPr>
          <w:sz w:val="20"/>
        </w:rPr>
        <w:t>expected</w:t>
      </w:r>
      <w:r>
        <w:rPr>
          <w:spacing w:val="40"/>
          <w:sz w:val="20"/>
        </w:rPr>
        <w:t> </w:t>
      </w:r>
      <w:r>
        <w:rPr>
          <w:sz w:val="20"/>
        </w:rPr>
        <w:t>behavior</w:t>
      </w:r>
      <w:r>
        <w:rPr>
          <w:spacing w:val="40"/>
          <w:sz w:val="20"/>
        </w:rPr>
        <w:t> </w:t>
      </w:r>
      <w:r>
        <w:rPr>
          <w:sz w:val="20"/>
        </w:rPr>
        <w:t>strategically,</w:t>
      </w:r>
      <w:r>
        <w:rPr>
          <w:spacing w:val="40"/>
          <w:sz w:val="20"/>
        </w:rPr>
        <w:t> </w:t>
      </w:r>
      <w:r>
        <w:rPr>
          <w:sz w:val="20"/>
        </w:rPr>
        <w:t>without</w:t>
      </w:r>
      <w:r>
        <w:rPr>
          <w:spacing w:val="40"/>
          <w:sz w:val="20"/>
        </w:rPr>
        <w:t> </w:t>
      </w:r>
      <w:r>
        <w:rPr>
          <w:sz w:val="20"/>
        </w:rPr>
        <w:t>internal</w:t>
      </w:r>
      <w:r>
        <w:rPr>
          <w:spacing w:val="40"/>
          <w:sz w:val="20"/>
        </w:rPr>
        <w:t> </w:t>
      </w:r>
      <w:r>
        <w:rPr>
          <w:sz w:val="20"/>
        </w:rPr>
        <w:t>change</w:t>
      </w:r>
    </w:p>
    <w:p>
      <w:pPr>
        <w:pStyle w:val="BodyText"/>
        <w:spacing w:before="46"/>
        <w:ind w:left="1872"/>
      </w:pPr>
      <w:r>
        <w:rPr/>
        <w:t>If</w:t>
      </w:r>
      <w:r>
        <w:rPr>
          <w:spacing w:val="22"/>
        </w:rPr>
        <w:t> </w:t>
      </w:r>
      <w:r>
        <w:rPr/>
        <w:t>read</w:t>
      </w:r>
      <w:r>
        <w:rPr>
          <w:spacing w:val="24"/>
        </w:rPr>
        <w:t> </w:t>
      </w:r>
      <w:r>
        <w:rPr/>
        <w:t>as</w:t>
      </w:r>
      <w:r>
        <w:rPr>
          <w:spacing w:val="24"/>
        </w:rPr>
        <w:t> </w:t>
      </w:r>
      <w:r>
        <w:rPr/>
        <w:t>performance,</w:t>
      </w:r>
      <w:r>
        <w:rPr>
          <w:spacing w:val="23"/>
        </w:rPr>
        <w:t> </w:t>
      </w:r>
      <w:r>
        <w:rPr/>
        <w:t>her</w:t>
      </w:r>
      <w:r>
        <w:rPr>
          <w:spacing w:val="27"/>
        </w:rPr>
        <w:t> </w:t>
      </w:r>
      <w:r>
        <w:rPr/>
        <w:t>final</w:t>
      </w:r>
      <w:r>
        <w:rPr>
          <w:spacing w:val="24"/>
        </w:rPr>
        <w:t> </w:t>
      </w:r>
      <w:r>
        <w:rPr/>
        <w:t>speech</w:t>
      </w:r>
      <w:r>
        <w:rPr>
          <w:spacing w:val="21"/>
        </w:rPr>
        <w:t> </w:t>
      </w:r>
      <w:r>
        <w:rPr/>
        <w:t>can</w:t>
      </w:r>
      <w:r>
        <w:rPr>
          <w:spacing w:val="24"/>
        </w:rPr>
        <w:t> </w:t>
      </w:r>
      <w:r>
        <w:rPr/>
        <w:t>be</w:t>
      </w:r>
      <w:r>
        <w:rPr>
          <w:spacing w:val="22"/>
        </w:rPr>
        <w:t> </w:t>
      </w:r>
      <w:r>
        <w:rPr/>
        <w:t>seen</w:t>
      </w:r>
      <w:r>
        <w:rPr>
          <w:spacing w:val="24"/>
        </w:rPr>
        <w:t> </w:t>
      </w:r>
      <w:r>
        <w:rPr>
          <w:spacing w:val="-5"/>
        </w:rPr>
        <w:t>as:</w:t>
      </w:r>
    </w:p>
    <w:p>
      <w:pPr>
        <w:pStyle w:val="ListParagraph"/>
        <w:numPr>
          <w:ilvl w:val="1"/>
          <w:numId w:val="89"/>
        </w:numPr>
        <w:tabs>
          <w:tab w:pos="2159" w:val="left" w:leader="none"/>
        </w:tabs>
        <w:spacing w:line="240" w:lineRule="auto" w:before="75" w:after="0"/>
        <w:ind w:left="2159" w:right="0" w:hanging="239"/>
        <w:jc w:val="left"/>
        <w:rPr>
          <w:sz w:val="20"/>
        </w:rPr>
      </w:pPr>
      <w:r>
        <w:rPr>
          <w:sz w:val="20"/>
        </w:rPr>
        <w:t>A</w:t>
      </w:r>
      <w:r>
        <w:rPr>
          <w:spacing w:val="26"/>
          <w:sz w:val="20"/>
        </w:rPr>
        <w:t> </w:t>
      </w:r>
      <w:r>
        <w:rPr>
          <w:sz w:val="20"/>
        </w:rPr>
        <w:t>calculated</w:t>
      </w:r>
      <w:r>
        <w:rPr>
          <w:spacing w:val="29"/>
          <w:sz w:val="20"/>
        </w:rPr>
        <w:t> </w:t>
      </w:r>
      <w:r>
        <w:rPr>
          <w:spacing w:val="-2"/>
          <w:sz w:val="20"/>
        </w:rPr>
        <w:t>adaptation</w:t>
      </w:r>
    </w:p>
    <w:p>
      <w:pPr>
        <w:pStyle w:val="ListParagraph"/>
        <w:numPr>
          <w:ilvl w:val="1"/>
          <w:numId w:val="89"/>
        </w:numPr>
        <w:tabs>
          <w:tab w:pos="2159" w:val="left" w:leader="none"/>
        </w:tabs>
        <w:spacing w:line="240" w:lineRule="auto" w:before="77" w:after="0"/>
        <w:ind w:left="2159" w:right="0" w:hanging="239"/>
        <w:jc w:val="left"/>
        <w:rPr>
          <w:sz w:val="20"/>
        </w:rPr>
      </w:pPr>
      <w:r>
        <w:rPr>
          <w:sz w:val="20"/>
        </w:rPr>
        <w:t>A</w:t>
      </w:r>
      <w:r>
        <w:rPr>
          <w:spacing w:val="9"/>
          <w:sz w:val="20"/>
        </w:rPr>
        <w:t> </w:t>
      </w:r>
      <w:r>
        <w:rPr>
          <w:sz w:val="20"/>
        </w:rPr>
        <w:t>survival</w:t>
      </w:r>
      <w:r>
        <w:rPr>
          <w:spacing w:val="13"/>
          <w:sz w:val="20"/>
        </w:rPr>
        <w:t> </w:t>
      </w:r>
      <w:r>
        <w:rPr>
          <w:spacing w:val="-2"/>
          <w:sz w:val="20"/>
        </w:rPr>
        <w:t>mechanism</w:t>
      </w:r>
    </w:p>
    <w:p>
      <w:pPr>
        <w:pStyle w:val="ListParagraph"/>
        <w:numPr>
          <w:ilvl w:val="1"/>
          <w:numId w:val="89"/>
        </w:numPr>
        <w:tabs>
          <w:tab w:pos="2159" w:val="left" w:leader="none"/>
        </w:tabs>
        <w:spacing w:line="240" w:lineRule="auto" w:before="79" w:after="0"/>
        <w:ind w:left="2159" w:right="0" w:hanging="239"/>
        <w:jc w:val="left"/>
        <w:rPr>
          <w:sz w:val="20"/>
        </w:rPr>
      </w:pPr>
      <w:r>
        <w:rPr>
          <w:sz w:val="20"/>
        </w:rPr>
        <w:t>A</w:t>
      </w:r>
      <w:r>
        <w:rPr>
          <w:spacing w:val="23"/>
          <w:sz w:val="20"/>
        </w:rPr>
        <w:t> </w:t>
      </w:r>
      <w:r>
        <w:rPr>
          <w:sz w:val="20"/>
        </w:rPr>
        <w:t>subtle</w:t>
      </w:r>
      <w:r>
        <w:rPr>
          <w:spacing w:val="25"/>
          <w:sz w:val="20"/>
        </w:rPr>
        <w:t> </w:t>
      </w:r>
      <w:r>
        <w:rPr>
          <w:sz w:val="20"/>
        </w:rPr>
        <w:t>critique</w:t>
      </w:r>
      <w:r>
        <w:rPr>
          <w:spacing w:val="26"/>
          <w:sz w:val="20"/>
        </w:rPr>
        <w:t> </w:t>
      </w:r>
      <w:r>
        <w:rPr>
          <w:sz w:val="20"/>
        </w:rPr>
        <w:t>of</w:t>
      </w:r>
      <w:r>
        <w:rPr>
          <w:spacing w:val="26"/>
          <w:sz w:val="20"/>
        </w:rPr>
        <w:t> </w:t>
      </w:r>
      <w:r>
        <w:rPr>
          <w:sz w:val="20"/>
        </w:rPr>
        <w:t>the</w:t>
      </w:r>
      <w:r>
        <w:rPr>
          <w:spacing w:val="24"/>
          <w:sz w:val="20"/>
        </w:rPr>
        <w:t> </w:t>
      </w:r>
      <w:r>
        <w:rPr>
          <w:sz w:val="20"/>
        </w:rPr>
        <w:t>system</w:t>
      </w:r>
      <w:r>
        <w:rPr>
          <w:spacing w:val="22"/>
          <w:sz w:val="20"/>
        </w:rPr>
        <w:t> </w:t>
      </w:r>
      <w:r>
        <w:rPr>
          <w:spacing w:val="-2"/>
          <w:sz w:val="20"/>
        </w:rPr>
        <w:t>itself</w:t>
      </w:r>
    </w:p>
    <w:p>
      <w:pPr>
        <w:pStyle w:val="BodyText"/>
        <w:spacing w:before="70"/>
        <w:ind w:left="1872"/>
      </w:pPr>
      <w:r>
        <w:rPr/>
        <w:t>This</w:t>
      </w:r>
      <w:r>
        <w:rPr>
          <w:spacing w:val="26"/>
        </w:rPr>
        <w:t> </w:t>
      </w:r>
      <w:r>
        <w:rPr/>
        <w:t>ambiguity</w:t>
      </w:r>
      <w:r>
        <w:rPr>
          <w:spacing w:val="20"/>
        </w:rPr>
        <w:t> </w:t>
      </w:r>
      <w:r>
        <w:rPr/>
        <w:t>keeps</w:t>
      </w:r>
      <w:r>
        <w:rPr>
          <w:spacing w:val="27"/>
        </w:rPr>
        <w:t> </w:t>
      </w:r>
      <w:r>
        <w:rPr/>
        <w:t>her</w:t>
      </w:r>
      <w:r>
        <w:rPr>
          <w:spacing w:val="26"/>
        </w:rPr>
        <w:t> </w:t>
      </w:r>
      <w:r>
        <w:rPr/>
        <w:t>character</w:t>
      </w:r>
      <w:r>
        <w:rPr>
          <w:spacing w:val="27"/>
        </w:rPr>
        <w:t> </w:t>
      </w:r>
      <w:r>
        <w:rPr/>
        <w:t>open</w:t>
      </w:r>
      <w:r>
        <w:rPr>
          <w:spacing w:val="23"/>
        </w:rPr>
        <w:t> </w:t>
      </w:r>
      <w:r>
        <w:rPr/>
        <w:t>to</w:t>
      </w:r>
      <w:r>
        <w:rPr>
          <w:spacing w:val="28"/>
        </w:rPr>
        <w:t> </w:t>
      </w:r>
      <w:r>
        <w:rPr>
          <w:spacing w:val="-2"/>
        </w:rPr>
        <w:t>interpretation.</w:t>
      </w:r>
    </w:p>
    <w:p>
      <w:pPr>
        <w:pStyle w:val="Heading5"/>
        <w:numPr>
          <w:ilvl w:val="0"/>
          <w:numId w:val="89"/>
        </w:numPr>
        <w:tabs>
          <w:tab w:pos="1736" w:val="left" w:leader="none"/>
        </w:tabs>
        <w:spacing w:line="240" w:lineRule="auto" w:before="118" w:after="0"/>
        <w:ind w:left="1736" w:right="0" w:hanging="296"/>
        <w:jc w:val="left"/>
      </w:pPr>
      <w:r>
        <w:rPr>
          <w:w w:val="110"/>
        </w:rPr>
        <w:t>The</w:t>
      </w:r>
      <w:r>
        <w:rPr>
          <w:spacing w:val="47"/>
          <w:w w:val="110"/>
        </w:rPr>
        <w:t> </w:t>
      </w:r>
      <w:r>
        <w:rPr>
          <w:w w:val="110"/>
        </w:rPr>
        <w:t>“Syndrome”</w:t>
      </w:r>
      <w:r>
        <w:rPr>
          <w:spacing w:val="46"/>
          <w:w w:val="110"/>
        </w:rPr>
        <w:t> </w:t>
      </w:r>
      <w:r>
        <w:rPr>
          <w:w w:val="110"/>
        </w:rPr>
        <w:t>as</w:t>
      </w:r>
      <w:r>
        <w:rPr>
          <w:spacing w:val="47"/>
          <w:w w:val="110"/>
        </w:rPr>
        <w:t> </w:t>
      </w:r>
      <w:r>
        <w:rPr>
          <w:w w:val="110"/>
        </w:rPr>
        <w:t>a</w:t>
      </w:r>
      <w:r>
        <w:rPr>
          <w:spacing w:val="46"/>
          <w:w w:val="110"/>
        </w:rPr>
        <w:t> </w:t>
      </w:r>
      <w:r>
        <w:rPr>
          <w:spacing w:val="-2"/>
          <w:w w:val="110"/>
        </w:rPr>
        <w:t>Concept</w:t>
      </w:r>
    </w:p>
    <w:p>
      <w:pPr>
        <w:pStyle w:val="BodyText"/>
        <w:spacing w:line="249" w:lineRule="auto" w:before="71"/>
        <w:ind w:right="1437" w:firstLine="432"/>
      </w:pPr>
      <w:r>
        <w:rPr/>
        <w:t>The phrase “Untamed Shrew Syndrome” can be understood as a broader</w:t>
      </w:r>
      <w:r>
        <w:rPr>
          <w:spacing w:val="40"/>
        </w:rPr>
        <w:t> </w:t>
      </w:r>
      <w:r>
        <w:rPr/>
        <w:t>pattern:</w:t>
      </w:r>
    </w:p>
    <w:p>
      <w:pPr>
        <w:pStyle w:val="ListParagraph"/>
        <w:numPr>
          <w:ilvl w:val="1"/>
          <w:numId w:val="89"/>
        </w:numPr>
        <w:tabs>
          <w:tab w:pos="2159" w:val="left" w:leader="none"/>
        </w:tabs>
        <w:spacing w:line="240" w:lineRule="auto" w:before="67" w:after="0"/>
        <w:ind w:left="2159" w:right="0" w:hanging="239"/>
        <w:jc w:val="left"/>
        <w:rPr>
          <w:sz w:val="20"/>
        </w:rPr>
      </w:pPr>
      <w:r>
        <w:rPr>
          <w:sz w:val="20"/>
        </w:rPr>
        <w:t>Women</w:t>
      </w:r>
      <w:r>
        <w:rPr>
          <w:spacing w:val="23"/>
          <w:sz w:val="20"/>
        </w:rPr>
        <w:t> </w:t>
      </w:r>
      <w:r>
        <w:rPr>
          <w:sz w:val="20"/>
        </w:rPr>
        <w:t>who</w:t>
      </w:r>
      <w:r>
        <w:rPr>
          <w:spacing w:val="27"/>
          <w:sz w:val="20"/>
        </w:rPr>
        <w:t> </w:t>
      </w:r>
      <w:r>
        <w:rPr>
          <w:sz w:val="20"/>
        </w:rPr>
        <w:t>assert</w:t>
      </w:r>
      <w:r>
        <w:rPr>
          <w:spacing w:val="23"/>
          <w:sz w:val="20"/>
        </w:rPr>
        <w:t> </w:t>
      </w:r>
      <w:r>
        <w:rPr>
          <w:sz w:val="20"/>
        </w:rPr>
        <w:t>themselves</w:t>
      </w:r>
      <w:r>
        <w:rPr>
          <w:spacing w:val="26"/>
          <w:sz w:val="20"/>
        </w:rPr>
        <w:t> </w:t>
      </w:r>
      <w:r>
        <w:rPr>
          <w:sz w:val="20"/>
        </w:rPr>
        <w:t>are</w:t>
      </w:r>
      <w:r>
        <w:rPr>
          <w:spacing w:val="23"/>
          <w:sz w:val="20"/>
        </w:rPr>
        <w:t> </w:t>
      </w:r>
      <w:r>
        <w:rPr>
          <w:sz w:val="20"/>
        </w:rPr>
        <w:t>labeled</w:t>
      </w:r>
      <w:r>
        <w:rPr>
          <w:spacing w:val="27"/>
          <w:sz w:val="20"/>
        </w:rPr>
        <w:t> </w:t>
      </w:r>
      <w:r>
        <w:rPr>
          <w:spacing w:val="-2"/>
          <w:sz w:val="20"/>
        </w:rPr>
        <w:t>negatively</w:t>
      </w:r>
    </w:p>
    <w:p>
      <w:pPr>
        <w:pStyle w:val="ListParagraph"/>
        <w:numPr>
          <w:ilvl w:val="1"/>
          <w:numId w:val="89"/>
        </w:numPr>
        <w:tabs>
          <w:tab w:pos="2159" w:val="left" w:leader="none"/>
        </w:tabs>
        <w:spacing w:line="240" w:lineRule="auto" w:before="79" w:after="0"/>
        <w:ind w:left="2159" w:right="0" w:hanging="239"/>
        <w:jc w:val="left"/>
        <w:rPr>
          <w:sz w:val="20"/>
        </w:rPr>
      </w:pPr>
      <w:r>
        <w:rPr>
          <w:sz w:val="20"/>
        </w:rPr>
        <w:t>Their</w:t>
      </w:r>
      <w:r>
        <w:rPr>
          <w:spacing w:val="23"/>
          <w:sz w:val="20"/>
        </w:rPr>
        <w:t> </w:t>
      </w:r>
      <w:r>
        <w:rPr>
          <w:sz w:val="20"/>
        </w:rPr>
        <w:t>strength</w:t>
      </w:r>
      <w:r>
        <w:rPr>
          <w:spacing w:val="23"/>
          <w:sz w:val="20"/>
        </w:rPr>
        <w:t> </w:t>
      </w:r>
      <w:r>
        <w:rPr>
          <w:sz w:val="20"/>
        </w:rPr>
        <w:t>is</w:t>
      </w:r>
      <w:r>
        <w:rPr>
          <w:spacing w:val="23"/>
          <w:sz w:val="20"/>
        </w:rPr>
        <w:t> </w:t>
      </w:r>
      <w:r>
        <w:rPr>
          <w:sz w:val="20"/>
        </w:rPr>
        <w:t>reframed</w:t>
      </w:r>
      <w:r>
        <w:rPr>
          <w:spacing w:val="25"/>
          <w:sz w:val="20"/>
        </w:rPr>
        <w:t> </w:t>
      </w:r>
      <w:r>
        <w:rPr>
          <w:sz w:val="20"/>
        </w:rPr>
        <w:t>as</w:t>
      </w:r>
      <w:r>
        <w:rPr>
          <w:spacing w:val="22"/>
          <w:sz w:val="20"/>
        </w:rPr>
        <w:t> </w:t>
      </w:r>
      <w:r>
        <w:rPr>
          <w:spacing w:val="-2"/>
          <w:sz w:val="20"/>
        </w:rPr>
        <w:t>arrogance</w:t>
      </w:r>
    </w:p>
    <w:p>
      <w:pPr>
        <w:pStyle w:val="ListParagraph"/>
        <w:numPr>
          <w:ilvl w:val="1"/>
          <w:numId w:val="89"/>
        </w:numPr>
        <w:tabs>
          <w:tab w:pos="2159" w:val="left" w:leader="none"/>
        </w:tabs>
        <w:spacing w:line="240" w:lineRule="auto" w:before="78" w:after="0"/>
        <w:ind w:left="2159" w:right="0" w:hanging="239"/>
        <w:jc w:val="left"/>
        <w:rPr>
          <w:sz w:val="20"/>
        </w:rPr>
      </w:pPr>
      <w:r>
        <w:rPr>
          <w:sz w:val="20"/>
        </w:rPr>
        <w:t>Their</w:t>
      </w:r>
      <w:r>
        <w:rPr>
          <w:spacing w:val="29"/>
          <w:sz w:val="20"/>
        </w:rPr>
        <w:t> </w:t>
      </w:r>
      <w:r>
        <w:rPr>
          <w:sz w:val="20"/>
        </w:rPr>
        <w:t>independence</w:t>
      </w:r>
      <w:r>
        <w:rPr>
          <w:spacing w:val="30"/>
          <w:sz w:val="20"/>
        </w:rPr>
        <w:t> </w:t>
      </w:r>
      <w:r>
        <w:rPr>
          <w:sz w:val="20"/>
        </w:rPr>
        <w:t>is</w:t>
      </w:r>
      <w:r>
        <w:rPr>
          <w:spacing w:val="29"/>
          <w:sz w:val="20"/>
        </w:rPr>
        <w:t> </w:t>
      </w:r>
      <w:r>
        <w:rPr>
          <w:sz w:val="20"/>
        </w:rPr>
        <w:t>treated</w:t>
      </w:r>
      <w:r>
        <w:rPr>
          <w:spacing w:val="29"/>
          <w:sz w:val="20"/>
        </w:rPr>
        <w:t> </w:t>
      </w:r>
      <w:r>
        <w:rPr>
          <w:sz w:val="20"/>
        </w:rPr>
        <w:t>as</w:t>
      </w:r>
      <w:r>
        <w:rPr>
          <w:spacing w:val="29"/>
          <w:sz w:val="20"/>
        </w:rPr>
        <w:t> </w:t>
      </w:r>
      <w:r>
        <w:rPr>
          <w:spacing w:val="-2"/>
          <w:sz w:val="20"/>
        </w:rPr>
        <w:t>disorder</w:t>
      </w:r>
    </w:p>
    <w:p>
      <w:pPr>
        <w:pStyle w:val="ListParagraph"/>
        <w:spacing w:after="0" w:line="240" w:lineRule="auto"/>
        <w:jc w:val="left"/>
        <w:rPr>
          <w:sz w:val="20"/>
        </w:rPr>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900672">
                <wp:simplePos x="0" y="0"/>
                <wp:positionH relativeFrom="page">
                  <wp:posOffset>2065020</wp:posOffset>
                </wp:positionH>
                <wp:positionV relativeFrom="paragraph">
                  <wp:posOffset>795020</wp:posOffset>
                </wp:positionV>
                <wp:extent cx="3657600" cy="12700"/>
                <wp:effectExtent l="0" t="0" r="0" b="0"/>
                <wp:wrapTopAndBottom/>
                <wp:docPr id="830" name="Graphic 830"/>
                <wp:cNvGraphicFramePr>
                  <a:graphicFrameLocks/>
                </wp:cNvGraphicFramePr>
                <a:graphic>
                  <a:graphicData uri="http://schemas.microsoft.com/office/word/2010/wordprocessingShape">
                    <wps:wsp>
                      <wps:cNvPr id="830" name="Graphic 83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15808;mso-wrap-distance-left:0;mso-wrap-distance-right:0" id="docshape822"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431</w:t>
      </w:r>
    </w:p>
    <w:p>
      <w:pPr>
        <w:pStyle w:val="BodyText"/>
        <w:spacing w:line="249" w:lineRule="auto" w:before="192"/>
        <w:ind w:right="1437" w:firstLine="432"/>
        <w:jc w:val="both"/>
      </w:pPr>
      <w:r>
        <w:rPr/>
        <w:t>Katherine becomes a representative of this condition. Her story illustrates how</w:t>
      </w:r>
      <w:r>
        <w:rPr>
          <w:spacing w:val="-1"/>
        </w:rPr>
        <w:t> </w:t>
      </w:r>
      <w:r>
        <w:rPr/>
        <w:t>society reacts to those who challenge its norms—not by celebrating</w:t>
      </w:r>
      <w:r>
        <w:rPr>
          <w:spacing w:val="39"/>
        </w:rPr>
        <w:t> </w:t>
      </w:r>
      <w:r>
        <w:rPr/>
        <w:t>them,</w:t>
      </w:r>
      <w:r>
        <w:rPr>
          <w:spacing w:val="40"/>
        </w:rPr>
        <w:t> </w:t>
      </w:r>
      <w:r>
        <w:rPr/>
        <w:t>but</w:t>
      </w:r>
      <w:r>
        <w:rPr>
          <w:spacing w:val="40"/>
        </w:rPr>
        <w:t> </w:t>
      </w:r>
      <w:r>
        <w:rPr/>
        <w:t>by attempting to</w:t>
      </w:r>
      <w:r>
        <w:rPr>
          <w:spacing w:val="40"/>
        </w:rPr>
        <w:t> </w:t>
      </w:r>
      <w:r>
        <w:rPr/>
        <w:t>redefine</w:t>
      </w:r>
      <w:r>
        <w:rPr>
          <w:spacing w:val="40"/>
        </w:rPr>
        <w:t> </w:t>
      </w:r>
      <w:r>
        <w:rPr/>
        <w:t>and</w:t>
      </w:r>
      <w:r>
        <w:rPr>
          <w:spacing w:val="40"/>
        </w:rPr>
        <w:t> </w:t>
      </w:r>
      <w:r>
        <w:rPr/>
        <w:t>control</w:t>
      </w:r>
      <w:r>
        <w:rPr>
          <w:spacing w:val="40"/>
        </w:rPr>
        <w:t> </w:t>
      </w:r>
      <w:r>
        <w:rPr/>
        <w:t>them.</w:t>
      </w:r>
    </w:p>
    <w:p>
      <w:pPr>
        <w:pStyle w:val="Heading3"/>
        <w:spacing w:before="156"/>
      </w:pPr>
      <w:r>
        <w:rPr>
          <w:spacing w:val="-2"/>
        </w:rPr>
        <w:t>CONCLUSION</w:t>
      </w:r>
    </w:p>
    <w:p>
      <w:pPr>
        <w:pStyle w:val="BodyText"/>
        <w:spacing w:line="261" w:lineRule="auto" w:before="83"/>
        <w:ind w:right="1439" w:firstLine="432"/>
        <w:jc w:val="both"/>
      </w:pPr>
      <w:r>
        <w:rPr/>
        <w:t>Katherine is not simply a difficult or unruly character; she is a complex</w:t>
      </w:r>
      <w:r>
        <w:rPr>
          <w:spacing w:val="-10"/>
        </w:rPr>
        <w:t> </w:t>
      </w:r>
      <w:r>
        <w:rPr/>
        <w:t>figure</w:t>
      </w:r>
      <w:r>
        <w:rPr>
          <w:spacing w:val="-11"/>
        </w:rPr>
        <w:t> </w:t>
      </w:r>
      <w:r>
        <w:rPr/>
        <w:t>navigating</w:t>
      </w:r>
      <w:r>
        <w:rPr>
          <w:spacing w:val="-10"/>
        </w:rPr>
        <w:t> </w:t>
      </w:r>
      <w:r>
        <w:rPr/>
        <w:t>identity,</w:t>
      </w:r>
      <w:r>
        <w:rPr>
          <w:spacing w:val="-9"/>
        </w:rPr>
        <w:t> </w:t>
      </w:r>
      <w:r>
        <w:rPr/>
        <w:t>power,</w:t>
      </w:r>
      <w:r>
        <w:rPr>
          <w:spacing w:val="-9"/>
        </w:rPr>
        <w:t> </w:t>
      </w:r>
      <w:r>
        <w:rPr/>
        <w:t>and</w:t>
      </w:r>
      <w:r>
        <w:rPr>
          <w:spacing w:val="-10"/>
        </w:rPr>
        <w:t> </w:t>
      </w:r>
      <w:r>
        <w:rPr/>
        <w:t>societal</w:t>
      </w:r>
      <w:r>
        <w:rPr>
          <w:spacing w:val="-9"/>
        </w:rPr>
        <w:t> </w:t>
      </w:r>
      <w:r>
        <w:rPr/>
        <w:t>expectation.</w:t>
      </w:r>
      <w:r>
        <w:rPr>
          <w:spacing w:val="-9"/>
        </w:rPr>
        <w:t> </w:t>
      </w:r>
      <w:r>
        <w:rPr/>
        <w:t>Her arrogance functions as resistance, her voice as agency, and her “untamed”</w:t>
      </w:r>
      <w:r>
        <w:rPr>
          <w:spacing w:val="40"/>
        </w:rPr>
        <w:t> </w:t>
      </w:r>
      <w:r>
        <w:rPr/>
        <w:t>nature</w:t>
      </w:r>
      <w:r>
        <w:rPr>
          <w:spacing w:val="40"/>
        </w:rPr>
        <w:t> </w:t>
      </w:r>
      <w:r>
        <w:rPr/>
        <w:t>as</w:t>
      </w:r>
      <w:r>
        <w:rPr>
          <w:spacing w:val="40"/>
        </w:rPr>
        <w:t> </w:t>
      </w:r>
      <w:r>
        <w:rPr/>
        <w:t>a</w:t>
      </w:r>
      <w:r>
        <w:rPr>
          <w:spacing w:val="40"/>
        </w:rPr>
        <w:t> </w:t>
      </w:r>
      <w:r>
        <w:rPr/>
        <w:t>critique</w:t>
      </w:r>
      <w:r>
        <w:rPr>
          <w:spacing w:val="40"/>
        </w:rPr>
        <w:t> </w:t>
      </w:r>
      <w:r>
        <w:rPr/>
        <w:t>of imposed</w:t>
      </w:r>
      <w:r>
        <w:rPr>
          <w:spacing w:val="40"/>
        </w:rPr>
        <w:t> </w:t>
      </w:r>
      <w:r>
        <w:rPr/>
        <w:t>norms.</w:t>
      </w:r>
    </w:p>
    <w:p>
      <w:pPr>
        <w:pStyle w:val="BodyText"/>
        <w:spacing w:line="261" w:lineRule="auto" w:before="55"/>
        <w:ind w:right="1440" w:firstLine="432"/>
        <w:jc w:val="both"/>
      </w:pPr>
      <w:r>
        <w:rPr/>
        <w:t>Through her, William Shakespeare presents a layered exploration of gender and control in The Taming of the Shrew. Whether she is </w:t>
      </w:r>
      <w:r>
        <w:rPr>
          <w:spacing w:val="-4"/>
        </w:rPr>
        <w:t>ultimately</w:t>
      </w:r>
      <w:r>
        <w:rPr>
          <w:spacing w:val="-9"/>
        </w:rPr>
        <w:t> </w:t>
      </w:r>
      <w:r>
        <w:rPr>
          <w:spacing w:val="-4"/>
        </w:rPr>
        <w:t>transformed</w:t>
      </w:r>
      <w:r>
        <w:rPr>
          <w:spacing w:val="-8"/>
        </w:rPr>
        <w:t> </w:t>
      </w:r>
      <w:r>
        <w:rPr>
          <w:spacing w:val="-4"/>
        </w:rPr>
        <w:t>or</w:t>
      </w:r>
      <w:r>
        <w:rPr/>
        <w:t> </w:t>
      </w:r>
      <w:r>
        <w:rPr>
          <w:spacing w:val="-4"/>
        </w:rPr>
        <w:t>merely</w:t>
      </w:r>
      <w:r>
        <w:rPr>
          <w:spacing w:val="-7"/>
        </w:rPr>
        <w:t> </w:t>
      </w:r>
      <w:r>
        <w:rPr>
          <w:spacing w:val="-4"/>
        </w:rPr>
        <w:t>performs conformity</w:t>
      </w:r>
      <w:r>
        <w:rPr>
          <w:spacing w:val="-9"/>
        </w:rPr>
        <w:t> </w:t>
      </w:r>
      <w:r>
        <w:rPr>
          <w:spacing w:val="-4"/>
        </w:rPr>
        <w:t>remains</w:t>
      </w:r>
      <w:r>
        <w:rPr>
          <w:spacing w:val="-7"/>
        </w:rPr>
        <w:t> </w:t>
      </w:r>
      <w:r>
        <w:rPr>
          <w:spacing w:val="-4"/>
        </w:rPr>
        <w:t>unresolved, </w:t>
      </w:r>
      <w:r>
        <w:rPr/>
        <w:t>making her one of the most debated and analytically rich characters in </w:t>
      </w:r>
      <w:r>
        <w:rPr>
          <w:spacing w:val="-2"/>
        </w:rPr>
        <w:t>literature.</w:t>
      </w:r>
    </w:p>
    <w:p>
      <w:pPr>
        <w:pStyle w:val="BodyText"/>
        <w:spacing w:line="261" w:lineRule="auto" w:before="55"/>
        <w:ind w:right="1441" w:firstLine="432"/>
        <w:jc w:val="both"/>
      </w:pPr>
      <w:r>
        <w:rPr/>
        <w:t>In this sense, the “Untamed Shrew Syndrome” is not just about Katherine—it is about the enduring tension between individuality and societal expectation, a theme that continues to resonate far beyond the Elizabethan stage.</w:t>
      </w:r>
    </w:p>
    <w:p>
      <w:pPr>
        <w:pStyle w:val="Heading3"/>
        <w:spacing w:before="151"/>
      </w:pPr>
      <w:r>
        <w:rPr>
          <w:w w:val="90"/>
        </w:rPr>
        <w:t>V.</w:t>
      </w:r>
      <w:r>
        <w:rPr>
          <w:spacing w:val="-6"/>
          <w:w w:val="90"/>
        </w:rPr>
        <w:t> </w:t>
      </w:r>
      <w:r>
        <w:rPr>
          <w:w w:val="90"/>
        </w:rPr>
        <w:t>FAIR</w:t>
      </w:r>
      <w:r>
        <w:rPr>
          <w:spacing w:val="-3"/>
          <w:w w:val="90"/>
        </w:rPr>
        <w:t> </w:t>
      </w:r>
      <w:r>
        <w:rPr>
          <w:w w:val="90"/>
        </w:rPr>
        <w:t>IS</w:t>
      </w:r>
      <w:r>
        <w:rPr>
          <w:spacing w:val="-3"/>
          <w:w w:val="90"/>
        </w:rPr>
        <w:t> </w:t>
      </w:r>
      <w:r>
        <w:rPr>
          <w:w w:val="90"/>
        </w:rPr>
        <w:t>FOUL,</w:t>
      </w:r>
      <w:r>
        <w:rPr>
          <w:spacing w:val="-2"/>
          <w:w w:val="90"/>
        </w:rPr>
        <w:t> </w:t>
      </w:r>
      <w:r>
        <w:rPr>
          <w:w w:val="90"/>
        </w:rPr>
        <w:t>FOUL</w:t>
      </w:r>
      <w:r>
        <w:rPr>
          <w:spacing w:val="-5"/>
          <w:w w:val="90"/>
        </w:rPr>
        <w:t> </w:t>
      </w:r>
      <w:r>
        <w:rPr>
          <w:w w:val="90"/>
        </w:rPr>
        <w:t>IS</w:t>
      </w:r>
      <w:r>
        <w:rPr>
          <w:spacing w:val="-5"/>
          <w:w w:val="90"/>
        </w:rPr>
        <w:t> </w:t>
      </w:r>
      <w:r>
        <w:rPr>
          <w:w w:val="90"/>
        </w:rPr>
        <w:t>FAIR</w:t>
      </w:r>
      <w:r>
        <w:rPr>
          <w:spacing w:val="-4"/>
          <w:w w:val="90"/>
        </w:rPr>
        <w:t> </w:t>
      </w:r>
      <w:r>
        <w:rPr>
          <w:spacing w:val="-2"/>
          <w:w w:val="90"/>
        </w:rPr>
        <w:t>APPROACH</w:t>
      </w:r>
    </w:p>
    <w:p>
      <w:pPr>
        <w:pStyle w:val="BodyText"/>
        <w:spacing w:line="261" w:lineRule="auto" w:before="88"/>
        <w:ind w:right="1436" w:firstLine="432"/>
        <w:jc w:val="both"/>
      </w:pPr>
      <w:r>
        <w:rPr/>
        <w:t>The</w:t>
      </w:r>
      <w:r>
        <w:rPr>
          <w:spacing w:val="-6"/>
        </w:rPr>
        <w:t> </w:t>
      </w:r>
      <w:r>
        <w:rPr/>
        <w:t>paradox</w:t>
      </w:r>
      <w:r>
        <w:rPr>
          <w:spacing w:val="-6"/>
        </w:rPr>
        <w:t> </w:t>
      </w:r>
      <w:r>
        <w:rPr>
          <w:i/>
        </w:rPr>
        <w:t>“Fair</w:t>
      </w:r>
      <w:r>
        <w:rPr>
          <w:i/>
          <w:spacing w:val="-7"/>
        </w:rPr>
        <w:t> </w:t>
      </w:r>
      <w:r>
        <w:rPr>
          <w:i/>
        </w:rPr>
        <w:t>is</w:t>
      </w:r>
      <w:r>
        <w:rPr>
          <w:i/>
          <w:spacing w:val="-7"/>
        </w:rPr>
        <w:t> </w:t>
      </w:r>
      <w:r>
        <w:rPr>
          <w:i/>
        </w:rPr>
        <w:t>foul,</w:t>
      </w:r>
      <w:r>
        <w:rPr>
          <w:i/>
          <w:spacing w:val="-6"/>
        </w:rPr>
        <w:t> </w:t>
      </w:r>
      <w:r>
        <w:rPr>
          <w:i/>
        </w:rPr>
        <w:t>and</w:t>
      </w:r>
      <w:r>
        <w:rPr>
          <w:i/>
          <w:spacing w:val="-6"/>
        </w:rPr>
        <w:t> </w:t>
      </w:r>
      <w:r>
        <w:rPr>
          <w:i/>
        </w:rPr>
        <w:t>foul</w:t>
      </w:r>
      <w:r>
        <w:rPr>
          <w:i/>
          <w:spacing w:val="-7"/>
        </w:rPr>
        <w:t> </w:t>
      </w:r>
      <w:r>
        <w:rPr>
          <w:i/>
        </w:rPr>
        <w:t>is</w:t>
      </w:r>
      <w:r>
        <w:rPr>
          <w:i/>
          <w:spacing w:val="-7"/>
        </w:rPr>
        <w:t> </w:t>
      </w:r>
      <w:r>
        <w:rPr>
          <w:i/>
        </w:rPr>
        <w:t>fair”</w:t>
      </w:r>
      <w:r>
        <w:rPr>
          <w:i/>
          <w:spacing w:val="-5"/>
        </w:rPr>
        <w:t> </w:t>
      </w:r>
      <w:r>
        <w:rPr/>
        <w:t>in</w:t>
      </w:r>
      <w:r>
        <w:rPr>
          <w:spacing w:val="-7"/>
        </w:rPr>
        <w:t> </w:t>
      </w:r>
      <w:r>
        <w:rPr/>
        <w:t>Macbeth</w:t>
      </w:r>
      <w:r>
        <w:rPr>
          <w:spacing w:val="-7"/>
        </w:rPr>
        <w:t> </w:t>
      </w:r>
      <w:r>
        <w:rPr/>
        <w:t>by</w:t>
      </w:r>
      <w:r>
        <w:rPr>
          <w:spacing w:val="-13"/>
        </w:rPr>
        <w:t> </w:t>
      </w:r>
      <w:r>
        <w:rPr/>
        <w:t>William Shakespeare establishes a world where moral boundaries are blurred and appearances cannot be trusted. When applied to Lady Macbeth,</w:t>
      </w:r>
      <w:r>
        <w:rPr>
          <w:spacing w:val="80"/>
        </w:rPr>
        <w:t> </w:t>
      </w:r>
      <w:r>
        <w:rPr/>
        <w:t>this idea becomes central to understanding her character as a figure of contradiction, illusion, and internal conflict. She embodies the very essence of this paradox, where what appears admirable or “fair” is deeply corrupted, and what is morally “foul” is strategically disguised as</w:t>
      </w:r>
      <w:r>
        <w:rPr>
          <w:spacing w:val="40"/>
        </w:rPr>
        <w:t> </w:t>
      </w:r>
      <w:r>
        <w:rPr/>
        <w:t>virtue.</w:t>
      </w:r>
    </w:p>
    <w:p>
      <w:pPr>
        <w:pStyle w:val="BodyText"/>
        <w:spacing w:line="261" w:lineRule="auto" w:before="54"/>
        <w:ind w:right="1438" w:firstLine="432"/>
        <w:jc w:val="both"/>
      </w:pPr>
      <w:r>
        <w:rPr/>
        <w:t>At the surface level, Lady Macbeth presents herself as composed, intelligent, and devoted to her husband’s success. These qualities may seem admirable, even noble. However, beneath this exterior lies a calculated ambition that drives her to orchestrate one of the most heinous acts in the play—the murder of King Duncan. Her famous advice</w:t>
      </w:r>
      <w:r>
        <w:rPr>
          <w:spacing w:val="40"/>
        </w:rPr>
        <w:t> </w:t>
      </w:r>
      <w:r>
        <w:rPr/>
        <w:t>to</w:t>
      </w:r>
      <w:r>
        <w:rPr>
          <w:spacing w:val="40"/>
        </w:rPr>
        <w:t> </w:t>
      </w:r>
      <w:r>
        <w:rPr/>
        <w:t>Macbeth,</w:t>
      </w:r>
      <w:r>
        <w:rPr>
          <w:spacing w:val="40"/>
        </w:rPr>
        <w:t> </w:t>
      </w:r>
      <w:r>
        <w:rPr/>
        <w:t>to</w:t>
      </w:r>
      <w:r>
        <w:rPr>
          <w:spacing w:val="40"/>
        </w:rPr>
        <w:t> </w:t>
      </w:r>
      <w:r>
        <w:rPr>
          <w:i/>
        </w:rPr>
        <w:t>“look</w:t>
      </w:r>
      <w:r>
        <w:rPr>
          <w:i/>
          <w:spacing w:val="40"/>
        </w:rPr>
        <w:t> </w:t>
      </w:r>
      <w:r>
        <w:rPr>
          <w:i/>
        </w:rPr>
        <w:t>like</w:t>
      </w:r>
      <w:r>
        <w:rPr>
          <w:i/>
          <w:spacing w:val="40"/>
        </w:rPr>
        <w:t> </w:t>
      </w:r>
      <w:r>
        <w:rPr>
          <w:i/>
        </w:rPr>
        <w:t>the</w:t>
      </w:r>
      <w:r>
        <w:rPr>
          <w:i/>
          <w:spacing w:val="40"/>
        </w:rPr>
        <w:t> </w:t>
      </w:r>
      <w:r>
        <w:rPr>
          <w:i/>
        </w:rPr>
        <w:t>innocent</w:t>
      </w:r>
      <w:r>
        <w:rPr>
          <w:i/>
          <w:spacing w:val="40"/>
        </w:rPr>
        <w:t> </w:t>
      </w:r>
      <w:r>
        <w:rPr>
          <w:i/>
        </w:rPr>
        <w:t>flower,</w:t>
      </w:r>
      <w:r>
        <w:rPr>
          <w:i/>
          <w:spacing w:val="40"/>
        </w:rPr>
        <w:t> </w:t>
      </w:r>
      <w:r>
        <w:rPr>
          <w:i/>
        </w:rPr>
        <w:t>but</w:t>
      </w:r>
      <w:r>
        <w:rPr>
          <w:i/>
          <w:spacing w:val="40"/>
        </w:rPr>
        <w:t> </w:t>
      </w:r>
      <w:r>
        <w:rPr>
          <w:i/>
        </w:rPr>
        <w:t>be</w:t>
      </w:r>
      <w:r>
        <w:rPr>
          <w:i/>
          <w:spacing w:val="40"/>
        </w:rPr>
        <w:t> </w:t>
      </w:r>
      <w:r>
        <w:rPr>
          <w:i/>
        </w:rPr>
        <w:t>the serpent under’t,” </w:t>
      </w:r>
      <w:r>
        <w:rPr/>
        <w:t>perfectly reflects the paradox. Here, the “fair” appearance of innocence masks the “foul” intention of murder. This duality reveals her ability to manipulate both perception and reality, making deception a powerful tool in her pursuit of power.</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01184">
                <wp:simplePos x="0" y="0"/>
                <wp:positionH relativeFrom="page">
                  <wp:posOffset>2057400</wp:posOffset>
                </wp:positionH>
                <wp:positionV relativeFrom="paragraph">
                  <wp:posOffset>162604</wp:posOffset>
                </wp:positionV>
                <wp:extent cx="3657600" cy="12700"/>
                <wp:effectExtent l="0" t="0" r="0" b="0"/>
                <wp:wrapTopAndBottom/>
                <wp:docPr id="831" name="Graphic 831"/>
                <wp:cNvGraphicFramePr>
                  <a:graphicFrameLocks/>
                </wp:cNvGraphicFramePr>
                <a:graphic>
                  <a:graphicData uri="http://schemas.microsoft.com/office/word/2010/wordprocessingShape">
                    <wps:wsp>
                      <wps:cNvPr id="831" name="Graphic 83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15296;mso-wrap-distance-left:0;mso-wrap-distance-right:0" id="docshape823" filled="true" fillcolor="#000000" stroked="false">
                <v:fill type="solid"/>
                <w10:wrap type="topAndBottom"/>
              </v:rect>
            </w:pict>
          </mc:Fallback>
        </mc:AlternateContent>
      </w:r>
      <w:r>
        <w:rPr>
          <w:rFonts w:ascii="Verdana"/>
          <w:spacing w:val="-5"/>
          <w:sz w:val="18"/>
        </w:rPr>
        <w:t>432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71" w:lineRule="auto" w:before="204"/>
        <w:ind w:right="1439" w:firstLine="432"/>
        <w:jc w:val="both"/>
      </w:pPr>
      <w:r>
        <w:rPr/>
        <w:t>Analytically,</w:t>
      </w:r>
      <w:r>
        <w:rPr>
          <w:spacing w:val="-3"/>
        </w:rPr>
        <w:t> </w:t>
      </w:r>
      <w:r>
        <w:rPr/>
        <w:t>Lady</w:t>
      </w:r>
      <w:r>
        <w:rPr>
          <w:spacing w:val="-6"/>
        </w:rPr>
        <w:t> </w:t>
      </w:r>
      <w:r>
        <w:rPr/>
        <w:t>Macbeth’s</w:t>
      </w:r>
      <w:r>
        <w:rPr>
          <w:spacing w:val="-3"/>
        </w:rPr>
        <w:t> </w:t>
      </w:r>
      <w:r>
        <w:rPr/>
        <w:t>character</w:t>
      </w:r>
      <w:r>
        <w:rPr>
          <w:spacing w:val="-3"/>
        </w:rPr>
        <w:t> </w:t>
      </w:r>
      <w:r>
        <w:rPr/>
        <w:t>operates</w:t>
      </w:r>
      <w:r>
        <w:rPr>
          <w:spacing w:val="-3"/>
        </w:rPr>
        <w:t> </w:t>
      </w:r>
      <w:r>
        <w:rPr/>
        <w:t>within</w:t>
      </w:r>
      <w:r>
        <w:rPr>
          <w:spacing w:val="-4"/>
        </w:rPr>
        <w:t> </w:t>
      </w:r>
      <w:r>
        <w:rPr/>
        <w:t>a</w:t>
      </w:r>
      <w:r>
        <w:rPr>
          <w:spacing w:val="-3"/>
        </w:rPr>
        <w:t> </w:t>
      </w:r>
      <w:r>
        <w:rPr/>
        <w:t>constant tension</w:t>
      </w:r>
      <w:r>
        <w:rPr>
          <w:spacing w:val="-12"/>
        </w:rPr>
        <w:t> </w:t>
      </w:r>
      <w:r>
        <w:rPr/>
        <w:t>between</w:t>
      </w:r>
      <w:r>
        <w:rPr>
          <w:spacing w:val="-10"/>
        </w:rPr>
        <w:t> </w:t>
      </w:r>
      <w:r>
        <w:rPr/>
        <w:t>outward</w:t>
      </w:r>
      <w:r>
        <w:rPr>
          <w:spacing w:val="-10"/>
        </w:rPr>
        <w:t> </w:t>
      </w:r>
      <w:r>
        <w:rPr/>
        <w:t>control</w:t>
      </w:r>
      <w:r>
        <w:rPr>
          <w:spacing w:val="-13"/>
        </w:rPr>
        <w:t> </w:t>
      </w:r>
      <w:r>
        <w:rPr/>
        <w:t>and</w:t>
      </w:r>
      <w:r>
        <w:rPr>
          <w:spacing w:val="-10"/>
        </w:rPr>
        <w:t> </w:t>
      </w:r>
      <w:r>
        <w:rPr/>
        <w:t>inner</w:t>
      </w:r>
      <w:r>
        <w:rPr>
          <w:spacing w:val="-10"/>
        </w:rPr>
        <w:t> </w:t>
      </w:r>
      <w:r>
        <w:rPr/>
        <w:t>turmoil.</w:t>
      </w:r>
      <w:r>
        <w:rPr>
          <w:spacing w:val="-10"/>
        </w:rPr>
        <w:t> </w:t>
      </w:r>
      <w:r>
        <w:rPr/>
        <w:t>Initially,</w:t>
      </w:r>
      <w:r>
        <w:rPr>
          <w:spacing w:val="-10"/>
        </w:rPr>
        <w:t> </w:t>
      </w:r>
      <w:r>
        <w:rPr/>
        <w:t>she</w:t>
      </w:r>
      <w:r>
        <w:rPr>
          <w:spacing w:val="-11"/>
        </w:rPr>
        <w:t> </w:t>
      </w:r>
      <w:r>
        <w:rPr/>
        <w:t>appears fearless</w:t>
      </w:r>
      <w:r>
        <w:rPr>
          <w:spacing w:val="-8"/>
        </w:rPr>
        <w:t> </w:t>
      </w:r>
      <w:r>
        <w:rPr/>
        <w:t>and</w:t>
      </w:r>
      <w:r>
        <w:rPr>
          <w:spacing w:val="-6"/>
        </w:rPr>
        <w:t> </w:t>
      </w:r>
      <w:r>
        <w:rPr/>
        <w:t>resolute,</w:t>
      </w:r>
      <w:r>
        <w:rPr>
          <w:spacing w:val="-6"/>
        </w:rPr>
        <w:t> </w:t>
      </w:r>
      <w:r>
        <w:rPr/>
        <w:t>calling</w:t>
      </w:r>
      <w:r>
        <w:rPr>
          <w:spacing w:val="-10"/>
        </w:rPr>
        <w:t> </w:t>
      </w:r>
      <w:r>
        <w:rPr/>
        <w:t>upon</w:t>
      </w:r>
      <w:r>
        <w:rPr>
          <w:spacing w:val="-8"/>
        </w:rPr>
        <w:t> </w:t>
      </w:r>
      <w:r>
        <w:rPr/>
        <w:t>dark</w:t>
      </w:r>
      <w:r>
        <w:rPr>
          <w:spacing w:val="-10"/>
        </w:rPr>
        <w:t> </w:t>
      </w:r>
      <w:r>
        <w:rPr/>
        <w:t>forces</w:t>
      </w:r>
      <w:r>
        <w:rPr>
          <w:spacing w:val="-8"/>
        </w:rPr>
        <w:t> </w:t>
      </w:r>
      <w:r>
        <w:rPr/>
        <w:t>to</w:t>
      </w:r>
      <w:r>
        <w:rPr>
          <w:spacing w:val="-6"/>
        </w:rPr>
        <w:t> </w:t>
      </w:r>
      <w:r>
        <w:rPr/>
        <w:t>strip</w:t>
      </w:r>
      <w:r>
        <w:rPr>
          <w:spacing w:val="-4"/>
        </w:rPr>
        <w:t> </w:t>
      </w:r>
      <w:r>
        <w:rPr/>
        <w:t>her</w:t>
      </w:r>
      <w:r>
        <w:rPr>
          <w:spacing w:val="-6"/>
        </w:rPr>
        <w:t> </w:t>
      </w:r>
      <w:r>
        <w:rPr/>
        <w:t>of</w:t>
      </w:r>
      <w:r>
        <w:rPr>
          <w:spacing w:val="-10"/>
        </w:rPr>
        <w:t> </w:t>
      </w:r>
      <w:r>
        <w:rPr/>
        <w:t>compassion and fill</w:t>
      </w:r>
      <w:r>
        <w:rPr>
          <w:spacing w:val="-3"/>
        </w:rPr>
        <w:t> </w:t>
      </w:r>
      <w:r>
        <w:rPr/>
        <w:t>her with</w:t>
      </w:r>
      <w:r>
        <w:rPr>
          <w:spacing w:val="-5"/>
        </w:rPr>
        <w:t> </w:t>
      </w:r>
      <w:r>
        <w:rPr/>
        <w:t>cruelty.</w:t>
      </w:r>
      <w:r>
        <w:rPr>
          <w:spacing w:val="-3"/>
        </w:rPr>
        <w:t> </w:t>
      </w:r>
      <w:r>
        <w:rPr/>
        <w:t>This</w:t>
      </w:r>
      <w:r>
        <w:rPr>
          <w:spacing w:val="-1"/>
        </w:rPr>
        <w:t> </w:t>
      </w:r>
      <w:r>
        <w:rPr/>
        <w:t>transformation</w:t>
      </w:r>
      <w:r>
        <w:rPr>
          <w:spacing w:val="-5"/>
        </w:rPr>
        <w:t> </w:t>
      </w:r>
      <w:r>
        <w:rPr/>
        <w:t>suggests</w:t>
      </w:r>
      <w:r>
        <w:rPr>
          <w:spacing w:val="-1"/>
        </w:rPr>
        <w:t> </w:t>
      </w:r>
      <w:r>
        <w:rPr/>
        <w:t>that</w:t>
      </w:r>
      <w:r>
        <w:rPr>
          <w:spacing w:val="-3"/>
        </w:rPr>
        <w:t> </w:t>
      </w:r>
      <w:r>
        <w:rPr/>
        <w:t>she</w:t>
      </w:r>
      <w:r>
        <w:rPr>
          <w:spacing w:val="-1"/>
        </w:rPr>
        <w:t> </w:t>
      </w:r>
      <w:r>
        <w:rPr/>
        <w:t>willingly embraces what is “foul” in order to achieve what she perceives as “fair”—the</w:t>
      </w:r>
      <w:r>
        <w:rPr>
          <w:spacing w:val="-2"/>
        </w:rPr>
        <w:t> </w:t>
      </w:r>
      <w:r>
        <w:rPr/>
        <w:t>attainment</w:t>
      </w:r>
      <w:r>
        <w:rPr>
          <w:spacing w:val="-3"/>
        </w:rPr>
        <w:t> </w:t>
      </w:r>
      <w:r>
        <w:rPr/>
        <w:t>of</w:t>
      </w:r>
      <w:r>
        <w:rPr>
          <w:spacing w:val="-6"/>
        </w:rPr>
        <w:t> </w:t>
      </w:r>
      <w:r>
        <w:rPr/>
        <w:t>power</w:t>
      </w:r>
      <w:r>
        <w:rPr>
          <w:spacing w:val="-1"/>
        </w:rPr>
        <w:t> </w:t>
      </w:r>
      <w:r>
        <w:rPr/>
        <w:t>and</w:t>
      </w:r>
      <w:r>
        <w:rPr>
          <w:spacing w:val="-3"/>
        </w:rPr>
        <w:t> </w:t>
      </w:r>
      <w:r>
        <w:rPr/>
        <w:t>status.</w:t>
      </w:r>
      <w:r>
        <w:rPr>
          <w:spacing w:val="-8"/>
        </w:rPr>
        <w:t> </w:t>
      </w:r>
      <w:r>
        <w:rPr/>
        <w:t>Yet,</w:t>
      </w:r>
      <w:r>
        <w:rPr>
          <w:spacing w:val="-1"/>
        </w:rPr>
        <w:t> </w:t>
      </w:r>
      <w:r>
        <w:rPr/>
        <w:t>this</w:t>
      </w:r>
      <w:r>
        <w:rPr>
          <w:spacing w:val="-5"/>
        </w:rPr>
        <w:t> </w:t>
      </w:r>
      <w:r>
        <w:rPr/>
        <w:t>inversion</w:t>
      </w:r>
      <w:r>
        <w:rPr>
          <w:spacing w:val="-5"/>
        </w:rPr>
        <w:t> </w:t>
      </w:r>
      <w:r>
        <w:rPr/>
        <w:t>of</w:t>
      </w:r>
      <w:r>
        <w:rPr>
          <w:spacing w:val="-5"/>
        </w:rPr>
        <w:t> </w:t>
      </w:r>
      <w:r>
        <w:rPr/>
        <w:t>values destabilizes her sense of self. The more she suppresses morality, the more it resurfaces in distorted forms, particularly through guilt and psychological</w:t>
      </w:r>
      <w:r>
        <w:rPr>
          <w:spacing w:val="40"/>
        </w:rPr>
        <w:t> </w:t>
      </w:r>
      <w:r>
        <w:rPr/>
        <w:t>breakdown.</w:t>
      </w:r>
    </w:p>
    <w:p>
      <w:pPr>
        <w:pStyle w:val="BodyText"/>
        <w:spacing w:line="271" w:lineRule="auto" w:before="59"/>
        <w:ind w:right="1440" w:firstLine="432"/>
        <w:jc w:val="both"/>
      </w:pPr>
      <w:r>
        <w:rPr/>
        <w:t>The paradox</w:t>
      </w:r>
      <w:r>
        <w:rPr>
          <w:spacing w:val="-3"/>
        </w:rPr>
        <w:t> </w:t>
      </w:r>
      <w:r>
        <w:rPr/>
        <w:t>also extends</w:t>
      </w:r>
      <w:r>
        <w:rPr>
          <w:spacing w:val="-1"/>
        </w:rPr>
        <w:t> </w:t>
      </w:r>
      <w:r>
        <w:rPr/>
        <w:t>to</w:t>
      </w:r>
      <w:r>
        <w:rPr>
          <w:spacing w:val="-1"/>
        </w:rPr>
        <w:t> </w:t>
      </w:r>
      <w:r>
        <w:rPr/>
        <w:t>the</w:t>
      </w:r>
      <w:r>
        <w:rPr>
          <w:spacing w:val="-1"/>
        </w:rPr>
        <w:t> </w:t>
      </w:r>
      <w:r>
        <w:rPr/>
        <w:t>theme</w:t>
      </w:r>
      <w:r>
        <w:rPr>
          <w:spacing w:val="-1"/>
        </w:rPr>
        <w:t> </w:t>
      </w:r>
      <w:r>
        <w:rPr/>
        <w:t>of gender.</w:t>
      </w:r>
      <w:r>
        <w:rPr>
          <w:spacing w:val="-1"/>
        </w:rPr>
        <w:t> </w:t>
      </w:r>
      <w:r>
        <w:rPr/>
        <w:t>Lady</w:t>
      </w:r>
      <w:r>
        <w:rPr>
          <w:spacing w:val="-4"/>
        </w:rPr>
        <w:t> </w:t>
      </w:r>
      <w:r>
        <w:rPr/>
        <w:t>Macbeth’s </w:t>
      </w:r>
      <w:r>
        <w:rPr>
          <w:spacing w:val="-2"/>
        </w:rPr>
        <w:t>rejection</w:t>
      </w:r>
      <w:r>
        <w:rPr>
          <w:spacing w:val="-10"/>
        </w:rPr>
        <w:t> </w:t>
      </w:r>
      <w:r>
        <w:rPr>
          <w:spacing w:val="-2"/>
        </w:rPr>
        <w:t>of</w:t>
      </w:r>
      <w:r>
        <w:rPr>
          <w:spacing w:val="-10"/>
        </w:rPr>
        <w:t> </w:t>
      </w:r>
      <w:r>
        <w:rPr>
          <w:spacing w:val="-2"/>
        </w:rPr>
        <w:t>traditional</w:t>
      </w:r>
      <w:r>
        <w:rPr>
          <w:spacing w:val="-10"/>
        </w:rPr>
        <w:t> </w:t>
      </w:r>
      <w:r>
        <w:rPr>
          <w:spacing w:val="-2"/>
        </w:rPr>
        <w:t>femininity—her</w:t>
      </w:r>
      <w:r>
        <w:rPr>
          <w:spacing w:val="-5"/>
        </w:rPr>
        <w:t> </w:t>
      </w:r>
      <w:r>
        <w:rPr>
          <w:spacing w:val="-2"/>
        </w:rPr>
        <w:t>desire</w:t>
      </w:r>
      <w:r>
        <w:rPr>
          <w:spacing w:val="-8"/>
        </w:rPr>
        <w:t> </w:t>
      </w:r>
      <w:r>
        <w:rPr>
          <w:spacing w:val="-2"/>
        </w:rPr>
        <w:t>to</w:t>
      </w:r>
      <w:r>
        <w:rPr>
          <w:spacing w:val="-8"/>
        </w:rPr>
        <w:t> </w:t>
      </w:r>
      <w:r>
        <w:rPr>
          <w:spacing w:val="-2"/>
        </w:rPr>
        <w:t>be</w:t>
      </w:r>
      <w:r>
        <w:rPr>
          <w:spacing w:val="-8"/>
        </w:rPr>
        <w:t> </w:t>
      </w:r>
      <w:r>
        <w:rPr>
          <w:spacing w:val="-2"/>
        </w:rPr>
        <w:t>“unsexed”—positions </w:t>
      </w:r>
      <w:r>
        <w:rPr/>
        <w:t>strength as “foul” within societal norms, while passivity is considered “fair.” By reversing these expectations, she challenges the cultural </w:t>
      </w:r>
      <w:r>
        <w:rPr>
          <w:spacing w:val="-2"/>
        </w:rPr>
        <w:t>definition</w:t>
      </w:r>
      <w:r>
        <w:rPr>
          <w:spacing w:val="-5"/>
        </w:rPr>
        <w:t> </w:t>
      </w:r>
      <w:r>
        <w:rPr>
          <w:spacing w:val="-2"/>
        </w:rPr>
        <w:t>of</w:t>
      </w:r>
      <w:r>
        <w:rPr>
          <w:spacing w:val="-5"/>
        </w:rPr>
        <w:t> </w:t>
      </w:r>
      <w:r>
        <w:rPr>
          <w:spacing w:val="-2"/>
        </w:rPr>
        <w:t>what</w:t>
      </w:r>
      <w:r>
        <w:rPr>
          <w:spacing w:val="-5"/>
        </w:rPr>
        <w:t> </w:t>
      </w:r>
      <w:r>
        <w:rPr>
          <w:spacing w:val="-2"/>
        </w:rPr>
        <w:t>is</w:t>
      </w:r>
      <w:r>
        <w:rPr>
          <w:spacing w:val="-3"/>
        </w:rPr>
        <w:t> </w:t>
      </w:r>
      <w:r>
        <w:rPr>
          <w:spacing w:val="-2"/>
        </w:rPr>
        <w:t>acceptable.</w:t>
      </w:r>
      <w:r>
        <w:rPr>
          <w:spacing w:val="-5"/>
        </w:rPr>
        <w:t> </w:t>
      </w:r>
      <w:r>
        <w:rPr>
          <w:spacing w:val="-2"/>
        </w:rPr>
        <w:t>However,</w:t>
      </w:r>
      <w:r>
        <w:rPr>
          <w:spacing w:val="-3"/>
        </w:rPr>
        <w:t> </w:t>
      </w:r>
      <w:r>
        <w:rPr>
          <w:spacing w:val="-2"/>
        </w:rPr>
        <w:t>this</w:t>
      </w:r>
      <w:r>
        <w:rPr>
          <w:spacing w:val="-5"/>
        </w:rPr>
        <w:t> </w:t>
      </w:r>
      <w:r>
        <w:rPr>
          <w:spacing w:val="-2"/>
        </w:rPr>
        <w:t>reversal</w:t>
      </w:r>
      <w:r>
        <w:rPr>
          <w:spacing w:val="-3"/>
        </w:rPr>
        <w:t> </w:t>
      </w:r>
      <w:r>
        <w:rPr>
          <w:spacing w:val="-2"/>
        </w:rPr>
        <w:t>is</w:t>
      </w:r>
      <w:r>
        <w:rPr>
          <w:spacing w:val="-5"/>
        </w:rPr>
        <w:t> </w:t>
      </w:r>
      <w:r>
        <w:rPr>
          <w:spacing w:val="-2"/>
        </w:rPr>
        <w:t>not</w:t>
      </w:r>
      <w:r>
        <w:rPr>
          <w:spacing w:val="-4"/>
        </w:rPr>
        <w:t> </w:t>
      </w:r>
      <w:r>
        <w:rPr>
          <w:spacing w:val="-2"/>
        </w:rPr>
        <w:t>sustainable. </w:t>
      </w:r>
      <w:r>
        <w:rPr/>
        <w:t>Her eventual descent into madness suggests that such inversion carries consequences, reinforcing the fragile balance between identity and societal</w:t>
      </w:r>
      <w:r>
        <w:rPr>
          <w:spacing w:val="40"/>
        </w:rPr>
        <w:t> </w:t>
      </w:r>
      <w:r>
        <w:rPr/>
        <w:t>structure.</w:t>
      </w:r>
    </w:p>
    <w:p>
      <w:pPr>
        <w:pStyle w:val="BodyText"/>
        <w:spacing w:line="271" w:lineRule="auto" w:before="59"/>
        <w:ind w:right="1440" w:firstLine="432"/>
        <w:jc w:val="both"/>
      </w:pPr>
      <w:r>
        <w:rPr/>
        <w:t>Furthermore, the imagery of blood and darkness reinforces the paradox. Blood, initially</w:t>
      </w:r>
      <w:r>
        <w:rPr>
          <w:spacing w:val="-1"/>
        </w:rPr>
        <w:t> </w:t>
      </w:r>
      <w:r>
        <w:rPr/>
        <w:t>a symbol of power and action, becomes a sign of guilt that cannot be erased. Darkness, which conceals her crimes, eventually consumes her mind. Her sleepwalking scene, where she attempts to wash imagined blood from her hands, reveals the collapse</w:t>
      </w:r>
      <w:r>
        <w:rPr>
          <w:spacing w:val="40"/>
        </w:rPr>
        <w:t> </w:t>
      </w:r>
      <w:r>
        <w:rPr/>
        <w:t>of</w:t>
      </w:r>
      <w:r>
        <w:rPr>
          <w:spacing w:val="-2"/>
        </w:rPr>
        <w:t> </w:t>
      </w:r>
      <w:r>
        <w:rPr/>
        <w:t>the illusion she once maintained. What was hidden</w:t>
      </w:r>
      <w:r>
        <w:rPr>
          <w:spacing w:val="-2"/>
        </w:rPr>
        <w:t> </w:t>
      </w:r>
      <w:r>
        <w:rPr/>
        <w:t>(“foul”) becomes visible,</w:t>
      </w:r>
      <w:r>
        <w:rPr>
          <w:spacing w:val="28"/>
        </w:rPr>
        <w:t> </w:t>
      </w:r>
      <w:r>
        <w:rPr/>
        <w:t>and</w:t>
      </w:r>
      <w:r>
        <w:rPr>
          <w:spacing w:val="30"/>
        </w:rPr>
        <w:t> </w:t>
      </w:r>
      <w:r>
        <w:rPr/>
        <w:t>what</w:t>
      </w:r>
      <w:r>
        <w:rPr>
          <w:spacing w:val="30"/>
        </w:rPr>
        <w:t> </w:t>
      </w:r>
      <w:r>
        <w:rPr/>
        <w:t>seemed</w:t>
      </w:r>
      <w:r>
        <w:rPr>
          <w:spacing w:val="28"/>
        </w:rPr>
        <w:t> </w:t>
      </w:r>
      <w:r>
        <w:rPr/>
        <w:t>controlled</w:t>
      </w:r>
      <w:r>
        <w:rPr>
          <w:spacing w:val="30"/>
        </w:rPr>
        <w:t> </w:t>
      </w:r>
      <w:r>
        <w:rPr/>
        <w:t>(“fair”)</w:t>
      </w:r>
      <w:r>
        <w:rPr>
          <w:spacing w:val="27"/>
        </w:rPr>
        <w:t> </w:t>
      </w:r>
      <w:r>
        <w:rPr/>
        <w:t>disintegrates</w:t>
      </w:r>
      <w:r>
        <w:rPr>
          <w:spacing w:val="30"/>
        </w:rPr>
        <w:t> </w:t>
      </w:r>
      <w:r>
        <w:rPr/>
        <w:t>into</w:t>
      </w:r>
      <w:r>
        <w:rPr>
          <w:spacing w:val="28"/>
        </w:rPr>
        <w:t> </w:t>
      </w:r>
      <w:r>
        <w:rPr/>
        <w:t>chaos.</w:t>
      </w:r>
    </w:p>
    <w:p>
      <w:pPr>
        <w:pStyle w:val="BodyText"/>
        <w:spacing w:line="271" w:lineRule="auto" w:before="60"/>
        <w:ind w:right="1440" w:firstLine="432"/>
        <w:jc w:val="both"/>
      </w:pPr>
      <w:r>
        <w:rPr/>
        <w:t>In a broader sense, Lady Macbeth reflects the moral atmosphere</w:t>
      </w:r>
      <w:r>
        <w:rPr>
          <w:spacing w:val="40"/>
        </w:rPr>
        <w:t> </w:t>
      </w:r>
      <w:r>
        <w:rPr/>
        <w:t>of</w:t>
      </w:r>
      <w:r>
        <w:rPr>
          <w:spacing w:val="-1"/>
        </w:rPr>
        <w:t> </w:t>
      </w:r>
      <w:r>
        <w:rPr/>
        <w:t>the</w:t>
      </w:r>
      <w:r>
        <w:rPr>
          <w:spacing w:val="-1"/>
        </w:rPr>
        <w:t> </w:t>
      </w:r>
      <w:r>
        <w:rPr/>
        <w:t>play, where ambition distorts</w:t>
      </w:r>
      <w:r>
        <w:rPr>
          <w:spacing w:val="-1"/>
        </w:rPr>
        <w:t> </w:t>
      </w:r>
      <w:r>
        <w:rPr/>
        <w:t>judgment and ethical clarity</w:t>
      </w:r>
      <w:r>
        <w:rPr>
          <w:spacing w:val="-2"/>
        </w:rPr>
        <w:t> </w:t>
      </w:r>
      <w:r>
        <w:rPr/>
        <w:t>is lost. The witches introduce the paradox, but Lady Macbeth internalizes and enacts it. She transforms abstract disorder into concrete action, making the</w:t>
      </w:r>
      <w:r>
        <w:rPr>
          <w:spacing w:val="7"/>
        </w:rPr>
        <w:t> </w:t>
      </w:r>
      <w:r>
        <w:rPr/>
        <w:t>inversion</w:t>
      </w:r>
      <w:r>
        <w:rPr>
          <w:spacing w:val="6"/>
        </w:rPr>
        <w:t> </w:t>
      </w:r>
      <w:r>
        <w:rPr/>
        <w:t>of</w:t>
      </w:r>
      <w:r>
        <w:rPr>
          <w:spacing w:val="7"/>
        </w:rPr>
        <w:t> </w:t>
      </w:r>
      <w:r>
        <w:rPr/>
        <w:t>values</w:t>
      </w:r>
      <w:r>
        <w:rPr>
          <w:spacing w:val="6"/>
        </w:rPr>
        <w:t> </w:t>
      </w:r>
      <w:r>
        <w:rPr/>
        <w:t>a</w:t>
      </w:r>
      <w:r>
        <w:rPr>
          <w:spacing w:val="7"/>
        </w:rPr>
        <w:t> </w:t>
      </w:r>
      <w:r>
        <w:rPr/>
        <w:t>lived</w:t>
      </w:r>
      <w:r>
        <w:rPr>
          <w:spacing w:val="6"/>
        </w:rPr>
        <w:t> </w:t>
      </w:r>
      <w:r>
        <w:rPr/>
        <w:t>experience</w:t>
      </w:r>
      <w:r>
        <w:rPr>
          <w:spacing w:val="7"/>
        </w:rPr>
        <w:t> </w:t>
      </w:r>
      <w:r>
        <w:rPr/>
        <w:t>rather</w:t>
      </w:r>
      <w:r>
        <w:rPr>
          <w:spacing w:val="8"/>
        </w:rPr>
        <w:t> </w:t>
      </w:r>
      <w:r>
        <w:rPr/>
        <w:t>than</w:t>
      </w:r>
      <w:r>
        <w:rPr>
          <w:spacing w:val="7"/>
        </w:rPr>
        <w:t> </w:t>
      </w:r>
      <w:r>
        <w:rPr/>
        <w:t>a</w:t>
      </w:r>
      <w:r>
        <w:rPr>
          <w:spacing w:val="7"/>
        </w:rPr>
        <w:t> </w:t>
      </w:r>
      <w:r>
        <w:rPr/>
        <w:t>mere</w:t>
      </w:r>
      <w:r>
        <w:rPr>
          <w:spacing w:val="7"/>
        </w:rPr>
        <w:t> </w:t>
      </w:r>
      <w:r>
        <w:rPr>
          <w:spacing w:val="-2"/>
        </w:rPr>
        <w:t>prophecy.</w:t>
      </w:r>
    </w:p>
    <w:p>
      <w:pPr>
        <w:pStyle w:val="BodyText"/>
        <w:spacing w:line="271" w:lineRule="auto" w:before="57"/>
        <w:ind w:right="1437" w:firstLine="432"/>
        <w:jc w:val="both"/>
      </w:pPr>
      <w:r>
        <w:rPr/>
        <w:t>In conclusion, the “Fair is foul, and foul is fair” approach reveals Lady Macbeth as a character built on contradiction. She navigates a world where appearances deceive, morality is unstable, and ambition overrides conscience. Through her rise and fall, Shakespeare demonstrates that the inversion of moral order may offer temporary power, but it ultimately leads to psychological fragmentation and inevitable collapse.</w:t>
      </w:r>
    </w:p>
    <w:p>
      <w:pPr>
        <w:pStyle w:val="BodyText"/>
        <w:spacing w:after="0" w:line="271"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901696">
                <wp:simplePos x="0" y="0"/>
                <wp:positionH relativeFrom="page">
                  <wp:posOffset>2065020</wp:posOffset>
                </wp:positionH>
                <wp:positionV relativeFrom="paragraph">
                  <wp:posOffset>795020</wp:posOffset>
                </wp:positionV>
                <wp:extent cx="3657600" cy="12700"/>
                <wp:effectExtent l="0" t="0" r="0" b="0"/>
                <wp:wrapTopAndBottom/>
                <wp:docPr id="832" name="Graphic 832"/>
                <wp:cNvGraphicFramePr>
                  <a:graphicFrameLocks/>
                </wp:cNvGraphicFramePr>
                <a:graphic>
                  <a:graphicData uri="http://schemas.microsoft.com/office/word/2010/wordprocessingShape">
                    <wps:wsp>
                      <wps:cNvPr id="832" name="Graphic 83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14784;mso-wrap-distance-left:0;mso-wrap-distance-right:0" id="docshape824"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433</w:t>
      </w:r>
    </w:p>
    <w:p>
      <w:pPr>
        <w:pStyle w:val="Heading3"/>
      </w:pPr>
      <w:r>
        <w:rPr>
          <w:w w:val="85"/>
        </w:rPr>
        <w:t>VI</w:t>
      </w:r>
      <w:r>
        <w:rPr>
          <w:spacing w:val="-4"/>
        </w:rPr>
        <w:t> </w:t>
      </w:r>
      <w:r>
        <w:rPr>
          <w:w w:val="85"/>
        </w:rPr>
        <w:t>PRINCIPLES</w:t>
      </w:r>
      <w:r>
        <w:rPr/>
        <w:t> </w:t>
      </w:r>
      <w:r>
        <w:rPr>
          <w:w w:val="85"/>
        </w:rPr>
        <w:t>OF</w:t>
      </w:r>
      <w:r>
        <w:rPr/>
        <w:t> </w:t>
      </w:r>
      <w:r>
        <w:rPr>
          <w:w w:val="85"/>
        </w:rPr>
        <w:t>LUST</w:t>
      </w:r>
      <w:r>
        <w:rPr/>
        <w:t> </w:t>
      </w:r>
      <w:r>
        <w:rPr>
          <w:spacing w:val="-2"/>
          <w:w w:val="85"/>
        </w:rPr>
        <w:t>APPROACH</w:t>
      </w:r>
    </w:p>
    <w:p>
      <w:pPr>
        <w:pStyle w:val="BodyText"/>
        <w:spacing w:before="66"/>
        <w:ind w:right="1437" w:firstLine="432"/>
        <w:jc w:val="both"/>
      </w:pPr>
      <w:r>
        <w:rPr/>
        <w:t>A focused reading of the “principles of lust” in Lady Macbeth from</w:t>
      </w:r>
      <w:r>
        <w:rPr>
          <w:spacing w:val="-3"/>
        </w:rPr>
        <w:t> </w:t>
      </w:r>
      <w:r>
        <w:rPr/>
        <w:t>Macbeth by</w:t>
      </w:r>
      <w:r>
        <w:rPr>
          <w:spacing w:val="-4"/>
        </w:rPr>
        <w:t> </w:t>
      </w:r>
      <w:r>
        <w:rPr/>
        <w:t>William</w:t>
      </w:r>
      <w:r>
        <w:rPr>
          <w:spacing w:val="-3"/>
        </w:rPr>
        <w:t> </w:t>
      </w:r>
      <w:r>
        <w:rPr/>
        <w:t>Shakespeare moves beyond a narrow, purely physical sense of lust and treats it as an intense, driving force of desire—a fusion of emotional, psychological, and even quasi-spiritual longing. In Lady Macbeth, lust manifests not as sensual indulgence but as a consuming hunger for power, transformation, and control, shaping both</w:t>
      </w:r>
      <w:r>
        <w:rPr>
          <w:spacing w:val="40"/>
        </w:rPr>
        <w:t> </w:t>
      </w:r>
      <w:r>
        <w:rPr/>
        <w:t>her</w:t>
      </w:r>
      <w:r>
        <w:rPr>
          <w:spacing w:val="40"/>
        </w:rPr>
        <w:t> </w:t>
      </w:r>
      <w:r>
        <w:rPr/>
        <w:t>inner</w:t>
      </w:r>
      <w:r>
        <w:rPr>
          <w:spacing w:val="40"/>
        </w:rPr>
        <w:t> </w:t>
      </w:r>
      <w:r>
        <w:rPr/>
        <w:t>world</w:t>
      </w:r>
      <w:r>
        <w:rPr>
          <w:spacing w:val="40"/>
        </w:rPr>
        <w:t> </w:t>
      </w:r>
      <w:r>
        <w:rPr/>
        <w:t>and</w:t>
      </w:r>
      <w:r>
        <w:rPr>
          <w:spacing w:val="40"/>
        </w:rPr>
        <w:t> </w:t>
      </w:r>
      <w:r>
        <w:rPr/>
        <w:t>outward</w:t>
      </w:r>
      <w:r>
        <w:rPr>
          <w:spacing w:val="40"/>
        </w:rPr>
        <w:t> </w:t>
      </w:r>
      <w:r>
        <w:rPr/>
        <w:t>actions.</w:t>
      </w:r>
    </w:p>
    <w:p>
      <w:pPr>
        <w:pStyle w:val="Heading5"/>
        <w:numPr>
          <w:ilvl w:val="0"/>
          <w:numId w:val="90"/>
        </w:numPr>
        <w:tabs>
          <w:tab w:pos="1745" w:val="left" w:leader="none"/>
        </w:tabs>
        <w:spacing w:line="240" w:lineRule="auto" w:before="95" w:after="0"/>
        <w:ind w:left="1745" w:right="0" w:hanging="305"/>
        <w:jc w:val="left"/>
      </w:pPr>
      <w:r>
        <w:rPr>
          <w:w w:val="105"/>
        </w:rPr>
        <w:t>Desire</w:t>
      </w:r>
      <w:r>
        <w:rPr>
          <w:spacing w:val="70"/>
          <w:w w:val="105"/>
        </w:rPr>
        <w:t> </w:t>
      </w:r>
      <w:r>
        <w:rPr>
          <w:w w:val="105"/>
        </w:rPr>
        <w:t>and</w:t>
      </w:r>
      <w:r>
        <w:rPr>
          <w:spacing w:val="70"/>
          <w:w w:val="105"/>
        </w:rPr>
        <w:t> </w:t>
      </w:r>
      <w:r>
        <w:rPr>
          <w:w w:val="105"/>
        </w:rPr>
        <w:t>Passion</w:t>
      </w:r>
      <w:r>
        <w:rPr>
          <w:spacing w:val="71"/>
          <w:w w:val="105"/>
        </w:rPr>
        <w:t> </w:t>
      </w:r>
      <w:r>
        <w:rPr>
          <w:w w:val="105"/>
        </w:rPr>
        <w:t>as</w:t>
      </w:r>
      <w:r>
        <w:rPr>
          <w:spacing w:val="70"/>
          <w:w w:val="105"/>
        </w:rPr>
        <w:t> </w:t>
      </w:r>
      <w:r>
        <w:rPr>
          <w:w w:val="105"/>
        </w:rPr>
        <w:t>Central</w:t>
      </w:r>
      <w:r>
        <w:rPr>
          <w:spacing w:val="70"/>
          <w:w w:val="105"/>
        </w:rPr>
        <w:t> </w:t>
      </w:r>
      <w:r>
        <w:rPr>
          <w:spacing w:val="-2"/>
          <w:w w:val="105"/>
        </w:rPr>
        <w:t>Forces</w:t>
      </w:r>
    </w:p>
    <w:p>
      <w:pPr>
        <w:pStyle w:val="BodyText"/>
        <w:spacing w:before="55"/>
        <w:ind w:right="1438" w:firstLine="432"/>
        <w:jc w:val="both"/>
      </w:pPr>
      <w:r>
        <w:rPr/>
        <w:t>At its core, lust in Lady Macbeth operates as heightened desire</w:t>
      </w:r>
      <w:r>
        <w:rPr>
          <w:spacing w:val="40"/>
        </w:rPr>
        <w:t> </w:t>
      </w:r>
      <w:r>
        <w:rPr/>
        <w:t>and passion. Her immediate reaction</w:t>
      </w:r>
      <w:r>
        <w:rPr>
          <w:spacing w:val="-1"/>
        </w:rPr>
        <w:t> </w:t>
      </w:r>
      <w:r>
        <w:rPr/>
        <w:t>to Macbeth’s letter reveals</w:t>
      </w:r>
      <w:r>
        <w:rPr>
          <w:spacing w:val="-2"/>
        </w:rPr>
        <w:t> </w:t>
      </w:r>
      <w:r>
        <w:rPr/>
        <w:t>a mind already inclined toward ambition. She does not hesitate, reflect, or morally weigh the consequences; instead, she moves swiftly toward action. This intensity suggests that her desire is not casual—it is</w:t>
      </w:r>
      <w:r>
        <w:rPr>
          <w:spacing w:val="80"/>
        </w:rPr>
        <w:t> </w:t>
      </w:r>
      <w:r>
        <w:rPr/>
        <w:t>urgent,</w:t>
      </w:r>
      <w:r>
        <w:rPr>
          <w:spacing w:val="40"/>
        </w:rPr>
        <w:t> </w:t>
      </w:r>
      <w:r>
        <w:rPr/>
        <w:t>concentrated,</w:t>
      </w:r>
      <w:r>
        <w:rPr>
          <w:spacing w:val="40"/>
        </w:rPr>
        <w:t> </w:t>
      </w:r>
      <w:r>
        <w:rPr/>
        <w:t>and</w:t>
      </w:r>
      <w:r>
        <w:rPr>
          <w:spacing w:val="40"/>
        </w:rPr>
        <w:t> </w:t>
      </w:r>
      <w:r>
        <w:rPr/>
        <w:t>all-consuming.</w:t>
      </w:r>
    </w:p>
    <w:p>
      <w:pPr>
        <w:pStyle w:val="Heading6"/>
        <w:spacing w:before="48"/>
      </w:pPr>
      <w:r>
        <w:rPr>
          <w:spacing w:val="-2"/>
        </w:rPr>
        <w:t>Analytically:</w:t>
      </w:r>
    </w:p>
    <w:p>
      <w:pPr>
        <w:pStyle w:val="ListParagraph"/>
        <w:numPr>
          <w:ilvl w:val="1"/>
          <w:numId w:val="90"/>
        </w:numPr>
        <w:tabs>
          <w:tab w:pos="2159" w:val="left" w:leader="none"/>
        </w:tabs>
        <w:spacing w:line="240" w:lineRule="auto" w:before="56" w:after="0"/>
        <w:ind w:left="2159" w:right="0" w:hanging="239"/>
        <w:jc w:val="left"/>
        <w:rPr>
          <w:sz w:val="20"/>
        </w:rPr>
      </w:pPr>
      <w:r>
        <w:rPr>
          <w:sz w:val="20"/>
        </w:rPr>
        <w:t>Desire</w:t>
      </w:r>
      <w:r>
        <w:rPr>
          <w:spacing w:val="19"/>
          <w:sz w:val="20"/>
        </w:rPr>
        <w:t> </w:t>
      </w:r>
      <w:r>
        <w:rPr>
          <w:sz w:val="20"/>
        </w:rPr>
        <w:t>becomes</w:t>
      </w:r>
      <w:r>
        <w:rPr>
          <w:spacing w:val="21"/>
          <w:sz w:val="20"/>
        </w:rPr>
        <w:t> </w:t>
      </w:r>
      <w:r>
        <w:rPr>
          <w:sz w:val="20"/>
        </w:rPr>
        <w:t>a</w:t>
      </w:r>
      <w:r>
        <w:rPr>
          <w:spacing w:val="21"/>
          <w:sz w:val="20"/>
        </w:rPr>
        <w:t> </w:t>
      </w:r>
      <w:r>
        <w:rPr>
          <w:sz w:val="20"/>
        </w:rPr>
        <w:t>motivating</w:t>
      </w:r>
      <w:r>
        <w:rPr>
          <w:spacing w:val="19"/>
          <w:sz w:val="20"/>
        </w:rPr>
        <w:t> </w:t>
      </w:r>
      <w:r>
        <w:rPr>
          <w:sz w:val="20"/>
        </w:rPr>
        <w:t>engine</w:t>
      </w:r>
      <w:r>
        <w:rPr>
          <w:spacing w:val="20"/>
          <w:sz w:val="20"/>
        </w:rPr>
        <w:t> </w:t>
      </w:r>
      <w:r>
        <w:rPr>
          <w:sz w:val="20"/>
        </w:rPr>
        <w:t>for</w:t>
      </w:r>
      <w:r>
        <w:rPr>
          <w:spacing w:val="23"/>
          <w:sz w:val="20"/>
        </w:rPr>
        <w:t> </w:t>
      </w:r>
      <w:r>
        <w:rPr>
          <w:sz w:val="20"/>
        </w:rPr>
        <w:t>the</w:t>
      </w:r>
      <w:r>
        <w:rPr>
          <w:spacing w:val="22"/>
          <w:sz w:val="20"/>
        </w:rPr>
        <w:t> </w:t>
      </w:r>
      <w:r>
        <w:rPr>
          <w:spacing w:val="-4"/>
          <w:sz w:val="20"/>
        </w:rPr>
        <w:t>plot</w:t>
      </w:r>
    </w:p>
    <w:p>
      <w:pPr>
        <w:pStyle w:val="ListParagraph"/>
        <w:numPr>
          <w:ilvl w:val="1"/>
          <w:numId w:val="90"/>
        </w:numPr>
        <w:tabs>
          <w:tab w:pos="2159" w:val="left" w:leader="none"/>
        </w:tabs>
        <w:spacing w:line="240" w:lineRule="auto" w:before="56" w:after="0"/>
        <w:ind w:left="2159" w:right="0" w:hanging="239"/>
        <w:jc w:val="left"/>
        <w:rPr>
          <w:sz w:val="20"/>
        </w:rPr>
      </w:pPr>
      <w:r>
        <w:rPr>
          <w:sz w:val="20"/>
        </w:rPr>
        <w:t>Passion</w:t>
      </w:r>
      <w:r>
        <w:rPr>
          <w:spacing w:val="27"/>
          <w:sz w:val="20"/>
        </w:rPr>
        <w:t> </w:t>
      </w:r>
      <w:r>
        <w:rPr>
          <w:sz w:val="20"/>
        </w:rPr>
        <w:t>overrides</w:t>
      </w:r>
      <w:r>
        <w:rPr>
          <w:spacing w:val="29"/>
          <w:sz w:val="20"/>
        </w:rPr>
        <w:t> </w:t>
      </w:r>
      <w:r>
        <w:rPr>
          <w:sz w:val="20"/>
        </w:rPr>
        <w:t>ethical</w:t>
      </w:r>
      <w:r>
        <w:rPr>
          <w:spacing w:val="28"/>
          <w:sz w:val="20"/>
        </w:rPr>
        <w:t> </w:t>
      </w:r>
      <w:r>
        <w:rPr>
          <w:spacing w:val="-2"/>
          <w:sz w:val="20"/>
        </w:rPr>
        <w:t>restraint</w:t>
      </w:r>
    </w:p>
    <w:p>
      <w:pPr>
        <w:pStyle w:val="ListParagraph"/>
        <w:numPr>
          <w:ilvl w:val="1"/>
          <w:numId w:val="90"/>
        </w:numPr>
        <w:tabs>
          <w:tab w:pos="2159" w:val="left" w:leader="none"/>
        </w:tabs>
        <w:spacing w:line="240" w:lineRule="auto" w:before="55" w:after="0"/>
        <w:ind w:left="2159" w:right="0" w:hanging="239"/>
        <w:jc w:val="left"/>
        <w:rPr>
          <w:sz w:val="20"/>
        </w:rPr>
      </w:pPr>
      <w:r>
        <w:rPr>
          <w:sz w:val="20"/>
        </w:rPr>
        <w:t>Ambition</w:t>
      </w:r>
      <w:r>
        <w:rPr>
          <w:spacing w:val="5"/>
          <w:sz w:val="20"/>
        </w:rPr>
        <w:t> </w:t>
      </w:r>
      <w:r>
        <w:rPr>
          <w:sz w:val="20"/>
        </w:rPr>
        <w:t>transforms</w:t>
      </w:r>
      <w:r>
        <w:rPr>
          <w:spacing w:val="5"/>
          <w:sz w:val="20"/>
        </w:rPr>
        <w:t> </w:t>
      </w:r>
      <w:r>
        <w:rPr>
          <w:sz w:val="20"/>
        </w:rPr>
        <w:t>into</w:t>
      </w:r>
      <w:r>
        <w:rPr>
          <w:spacing w:val="9"/>
          <w:sz w:val="20"/>
        </w:rPr>
        <w:t> </w:t>
      </w:r>
      <w:r>
        <w:rPr>
          <w:sz w:val="20"/>
        </w:rPr>
        <w:t>a</w:t>
      </w:r>
      <w:r>
        <w:rPr>
          <w:spacing w:val="9"/>
          <w:sz w:val="20"/>
        </w:rPr>
        <w:t> </w:t>
      </w:r>
      <w:r>
        <w:rPr>
          <w:sz w:val="20"/>
        </w:rPr>
        <w:t>form</w:t>
      </w:r>
      <w:r>
        <w:rPr>
          <w:spacing w:val="3"/>
          <w:sz w:val="20"/>
        </w:rPr>
        <w:t> </w:t>
      </w:r>
      <w:r>
        <w:rPr>
          <w:sz w:val="20"/>
        </w:rPr>
        <w:t>of</w:t>
      </w:r>
      <w:r>
        <w:rPr>
          <w:spacing w:val="5"/>
          <w:sz w:val="20"/>
        </w:rPr>
        <w:t> </w:t>
      </w:r>
      <w:r>
        <w:rPr>
          <w:sz w:val="20"/>
        </w:rPr>
        <w:t>psychological</w:t>
      </w:r>
      <w:r>
        <w:rPr>
          <w:spacing w:val="6"/>
          <w:sz w:val="20"/>
        </w:rPr>
        <w:t> </w:t>
      </w:r>
      <w:r>
        <w:rPr>
          <w:spacing w:val="-2"/>
          <w:sz w:val="20"/>
        </w:rPr>
        <w:t>compulsion</w:t>
      </w:r>
    </w:p>
    <w:p>
      <w:pPr>
        <w:pStyle w:val="BodyText"/>
        <w:spacing w:before="56"/>
        <w:ind w:right="1440" w:firstLine="432"/>
        <w:jc w:val="both"/>
      </w:pPr>
      <w:r>
        <w:rPr/>
        <w:t>Her longing for power is not passive; it is active, forceful, and deeply internalized, aligning with the idea that lust is an overwhelming drive that seeks immediate fulfilment.</w:t>
      </w:r>
    </w:p>
    <w:p>
      <w:pPr>
        <w:pStyle w:val="Heading5"/>
        <w:numPr>
          <w:ilvl w:val="0"/>
          <w:numId w:val="90"/>
        </w:numPr>
        <w:tabs>
          <w:tab w:pos="1742" w:val="left" w:leader="none"/>
          <w:tab w:pos="1872" w:val="left" w:leader="none"/>
        </w:tabs>
        <w:spacing w:line="240" w:lineRule="auto" w:before="104" w:after="0"/>
        <w:ind w:left="1742" w:right="0" w:hanging="302"/>
        <w:jc w:val="left"/>
      </w:pPr>
      <w:r>
        <w:rPr/>
        <w:t>Intersection</w:t>
      </w:r>
      <w:r>
        <w:rPr>
          <w:spacing w:val="30"/>
        </w:rPr>
        <w:t>  </w:t>
      </w:r>
      <w:r>
        <w:rPr/>
        <w:t>of</w:t>
      </w:r>
      <w:r>
        <w:rPr>
          <w:spacing w:val="29"/>
        </w:rPr>
        <w:t>  </w:t>
      </w:r>
      <w:r>
        <w:rPr/>
        <w:t>Spiritual</w:t>
      </w:r>
      <w:r>
        <w:rPr>
          <w:spacing w:val="29"/>
        </w:rPr>
        <w:t>  </w:t>
      </w:r>
      <w:r>
        <w:rPr/>
        <w:t>and</w:t>
      </w:r>
      <w:r>
        <w:rPr>
          <w:spacing w:val="31"/>
        </w:rPr>
        <w:t>  </w:t>
      </w:r>
      <w:r>
        <w:rPr/>
        <w:t>Psychological</w:t>
      </w:r>
      <w:r>
        <w:rPr>
          <w:spacing w:val="29"/>
        </w:rPr>
        <w:t>  </w:t>
      </w:r>
      <w:r>
        <w:rPr>
          <w:spacing w:val="-2"/>
        </w:rPr>
        <w:t>Desire</w:t>
      </w:r>
    </w:p>
    <w:p>
      <w:pPr>
        <w:pStyle w:val="BodyText"/>
        <w:spacing w:before="57"/>
        <w:ind w:right="1441" w:firstLine="432"/>
        <w:jc w:val="both"/>
      </w:pPr>
      <w:r>
        <w:rPr/>
        <w:t>Lady</w:t>
      </w:r>
      <w:r>
        <w:rPr>
          <w:spacing w:val="-7"/>
        </w:rPr>
        <w:t> </w:t>
      </w:r>
      <w:r>
        <w:rPr/>
        <w:t>Macbeth’s</w:t>
      </w:r>
      <w:r>
        <w:rPr>
          <w:spacing w:val="-6"/>
        </w:rPr>
        <w:t> </w:t>
      </w:r>
      <w:r>
        <w:rPr/>
        <w:t>invocation</w:t>
      </w:r>
      <w:r>
        <w:rPr>
          <w:spacing w:val="-6"/>
        </w:rPr>
        <w:t> </w:t>
      </w:r>
      <w:r>
        <w:rPr/>
        <w:t>of</w:t>
      </w:r>
      <w:r>
        <w:rPr>
          <w:spacing w:val="-6"/>
        </w:rPr>
        <w:t> </w:t>
      </w:r>
      <w:r>
        <w:rPr/>
        <w:t>spirits—her</w:t>
      </w:r>
      <w:r>
        <w:rPr>
          <w:spacing w:val="-2"/>
        </w:rPr>
        <w:t> </w:t>
      </w:r>
      <w:r>
        <w:rPr/>
        <w:t>plea</w:t>
      </w:r>
      <w:r>
        <w:rPr>
          <w:spacing w:val="-5"/>
        </w:rPr>
        <w:t> </w:t>
      </w:r>
      <w:r>
        <w:rPr/>
        <w:t>to</w:t>
      </w:r>
      <w:r>
        <w:rPr>
          <w:spacing w:val="-2"/>
        </w:rPr>
        <w:t> </w:t>
      </w:r>
      <w:r>
        <w:rPr/>
        <w:t>be</w:t>
      </w:r>
      <w:r>
        <w:rPr>
          <w:spacing w:val="-3"/>
        </w:rPr>
        <w:t> </w:t>
      </w:r>
      <w:r>
        <w:rPr/>
        <w:t>“unsexed”—reveals an important intersection between spiritual and internal desire. This moment can be interpreted as a symbolic merging of:</w:t>
      </w:r>
    </w:p>
    <w:p>
      <w:pPr>
        <w:pStyle w:val="ListParagraph"/>
        <w:numPr>
          <w:ilvl w:val="1"/>
          <w:numId w:val="90"/>
        </w:numPr>
        <w:tabs>
          <w:tab w:pos="2159" w:val="left" w:leader="none"/>
        </w:tabs>
        <w:spacing w:line="240" w:lineRule="auto" w:before="51" w:after="0"/>
        <w:ind w:left="2159" w:right="0" w:hanging="239"/>
        <w:jc w:val="both"/>
        <w:rPr>
          <w:sz w:val="20"/>
        </w:rPr>
      </w:pPr>
      <w:r>
        <w:rPr>
          <w:sz w:val="20"/>
        </w:rPr>
        <w:t>Human</w:t>
      </w:r>
      <w:r>
        <w:rPr>
          <w:spacing w:val="4"/>
          <w:sz w:val="20"/>
        </w:rPr>
        <w:t> </w:t>
      </w:r>
      <w:r>
        <w:rPr>
          <w:sz w:val="20"/>
        </w:rPr>
        <w:t>ambition</w:t>
      </w:r>
      <w:r>
        <w:rPr>
          <w:spacing w:val="2"/>
          <w:sz w:val="20"/>
        </w:rPr>
        <w:t> </w:t>
      </w:r>
      <w:r>
        <w:rPr>
          <w:sz w:val="20"/>
        </w:rPr>
        <w:t>(earthly</w:t>
      </w:r>
      <w:r>
        <w:rPr>
          <w:spacing w:val="2"/>
          <w:sz w:val="20"/>
        </w:rPr>
        <w:t> </w:t>
      </w:r>
      <w:r>
        <w:rPr>
          <w:spacing w:val="-2"/>
          <w:sz w:val="20"/>
        </w:rPr>
        <w:t>desire)</w:t>
      </w:r>
    </w:p>
    <w:p>
      <w:pPr>
        <w:pStyle w:val="ListParagraph"/>
        <w:numPr>
          <w:ilvl w:val="1"/>
          <w:numId w:val="90"/>
        </w:numPr>
        <w:tabs>
          <w:tab w:pos="2159" w:val="left" w:leader="none"/>
        </w:tabs>
        <w:spacing w:line="240" w:lineRule="auto" w:before="56" w:after="0"/>
        <w:ind w:left="2159" w:right="0" w:hanging="239"/>
        <w:jc w:val="both"/>
        <w:rPr>
          <w:sz w:val="20"/>
        </w:rPr>
      </w:pPr>
      <w:r>
        <w:rPr>
          <w:sz w:val="20"/>
        </w:rPr>
        <w:t>Supernatural</w:t>
      </w:r>
      <w:r>
        <w:rPr>
          <w:spacing w:val="18"/>
          <w:sz w:val="20"/>
        </w:rPr>
        <w:t> </w:t>
      </w:r>
      <w:r>
        <w:rPr>
          <w:sz w:val="20"/>
        </w:rPr>
        <w:t>invocation</w:t>
      </w:r>
      <w:r>
        <w:rPr>
          <w:spacing w:val="19"/>
          <w:sz w:val="20"/>
        </w:rPr>
        <w:t> </w:t>
      </w:r>
      <w:r>
        <w:rPr>
          <w:sz w:val="20"/>
        </w:rPr>
        <w:t>(transcendence</w:t>
      </w:r>
      <w:r>
        <w:rPr>
          <w:spacing w:val="20"/>
          <w:sz w:val="20"/>
        </w:rPr>
        <w:t> </w:t>
      </w:r>
      <w:r>
        <w:rPr>
          <w:sz w:val="20"/>
        </w:rPr>
        <w:t>of</w:t>
      </w:r>
      <w:r>
        <w:rPr>
          <w:spacing w:val="19"/>
          <w:sz w:val="20"/>
        </w:rPr>
        <w:t> </w:t>
      </w:r>
      <w:r>
        <w:rPr>
          <w:spacing w:val="-2"/>
          <w:sz w:val="20"/>
        </w:rPr>
        <w:t>limits)</w:t>
      </w:r>
    </w:p>
    <w:p>
      <w:pPr>
        <w:pStyle w:val="BodyText"/>
        <w:spacing w:before="56"/>
        <w:ind w:right="1439" w:firstLine="432"/>
        <w:jc w:val="both"/>
      </w:pPr>
      <w:r>
        <w:rPr/>
        <w:t>Rather than separating the spiritual and the psychological, Shakespeare blends them. Her call to unseen forces reflects a desire to reshape her own nature, suggesting that lust here is not only about gaining</w:t>
      </w:r>
      <w:r>
        <w:rPr>
          <w:spacing w:val="-2"/>
        </w:rPr>
        <w:t> </w:t>
      </w:r>
      <w:r>
        <w:rPr/>
        <w:t>something</w:t>
      </w:r>
      <w:r>
        <w:rPr>
          <w:spacing w:val="-2"/>
        </w:rPr>
        <w:t> </w:t>
      </w:r>
      <w:r>
        <w:rPr/>
        <w:t>external</w:t>
      </w:r>
      <w:r>
        <w:rPr>
          <w:spacing w:val="-1"/>
        </w:rPr>
        <w:t> </w:t>
      </w:r>
      <w:r>
        <w:rPr/>
        <w:t>(the</w:t>
      </w:r>
      <w:r>
        <w:rPr>
          <w:spacing w:val="-1"/>
        </w:rPr>
        <w:t> </w:t>
      </w:r>
      <w:r>
        <w:rPr/>
        <w:t>crown), but</w:t>
      </w:r>
      <w:r>
        <w:rPr>
          <w:spacing w:val="-1"/>
        </w:rPr>
        <w:t> </w:t>
      </w:r>
      <w:r>
        <w:rPr/>
        <w:t>about</w:t>
      </w:r>
      <w:r>
        <w:rPr>
          <w:spacing w:val="-1"/>
        </w:rPr>
        <w:t> </w:t>
      </w:r>
      <w:r>
        <w:rPr/>
        <w:t>becoming</w:t>
      </w:r>
      <w:r>
        <w:rPr>
          <w:spacing w:val="-2"/>
        </w:rPr>
        <w:t> </w:t>
      </w:r>
      <w:r>
        <w:rPr/>
        <w:t>something different internally.</w:t>
      </w:r>
    </w:p>
    <w:p>
      <w:pPr>
        <w:pStyle w:val="Heading6"/>
        <w:spacing w:before="57"/>
        <w:jc w:val="both"/>
      </w:pPr>
      <w:r>
        <w:rPr/>
        <w:t>This</w:t>
      </w:r>
      <w:r>
        <w:rPr>
          <w:spacing w:val="3"/>
        </w:rPr>
        <w:t> </w:t>
      </w:r>
      <w:r>
        <w:rPr/>
        <w:t>creates</w:t>
      </w:r>
      <w:r>
        <w:rPr>
          <w:spacing w:val="2"/>
        </w:rPr>
        <w:t> </w:t>
      </w:r>
      <w:r>
        <w:rPr/>
        <w:t>a</w:t>
      </w:r>
      <w:r>
        <w:rPr>
          <w:spacing w:val="6"/>
        </w:rPr>
        <w:t> </w:t>
      </w:r>
      <w:r>
        <w:rPr/>
        <w:t>layered</w:t>
      </w:r>
      <w:r>
        <w:rPr>
          <w:spacing w:val="2"/>
        </w:rPr>
        <w:t> </w:t>
      </w:r>
      <w:r>
        <w:rPr>
          <w:spacing w:val="-2"/>
        </w:rPr>
        <w:t>effect:</w:t>
      </w:r>
    </w:p>
    <w:p>
      <w:pPr>
        <w:pStyle w:val="ListParagraph"/>
        <w:numPr>
          <w:ilvl w:val="1"/>
          <w:numId w:val="90"/>
        </w:numPr>
        <w:tabs>
          <w:tab w:pos="2159" w:val="left" w:leader="none"/>
        </w:tabs>
        <w:spacing w:line="240" w:lineRule="auto" w:before="75" w:after="0"/>
        <w:ind w:left="2159" w:right="0" w:hanging="239"/>
        <w:jc w:val="both"/>
        <w:rPr>
          <w:sz w:val="20"/>
        </w:rPr>
      </w:pPr>
      <w:r>
        <w:rPr>
          <w:sz w:val="20"/>
        </w:rPr>
        <w:t>The</w:t>
      </w:r>
      <w:r>
        <w:rPr>
          <w:spacing w:val="18"/>
          <w:sz w:val="20"/>
        </w:rPr>
        <w:t> </w:t>
      </w:r>
      <w:r>
        <w:rPr>
          <w:sz w:val="20"/>
        </w:rPr>
        <w:t>spiritual</w:t>
      </w:r>
      <w:r>
        <w:rPr>
          <w:spacing w:val="18"/>
          <w:sz w:val="20"/>
        </w:rPr>
        <w:t> </w:t>
      </w:r>
      <w:r>
        <w:rPr>
          <w:sz w:val="20"/>
        </w:rPr>
        <w:t>becomes</w:t>
      </w:r>
      <w:r>
        <w:rPr>
          <w:spacing w:val="18"/>
          <w:sz w:val="20"/>
        </w:rPr>
        <w:t> </w:t>
      </w:r>
      <w:r>
        <w:rPr>
          <w:sz w:val="20"/>
        </w:rPr>
        <w:t>a</w:t>
      </w:r>
      <w:r>
        <w:rPr>
          <w:spacing w:val="18"/>
          <w:sz w:val="20"/>
        </w:rPr>
        <w:t> </w:t>
      </w:r>
      <w:r>
        <w:rPr>
          <w:sz w:val="20"/>
        </w:rPr>
        <w:t>metaphor</w:t>
      </w:r>
      <w:r>
        <w:rPr>
          <w:spacing w:val="20"/>
          <w:sz w:val="20"/>
        </w:rPr>
        <w:t> </w:t>
      </w:r>
      <w:r>
        <w:rPr>
          <w:sz w:val="20"/>
        </w:rPr>
        <w:t>for</w:t>
      </w:r>
      <w:r>
        <w:rPr>
          <w:spacing w:val="19"/>
          <w:sz w:val="20"/>
        </w:rPr>
        <w:t> </w:t>
      </w:r>
      <w:r>
        <w:rPr>
          <w:sz w:val="20"/>
        </w:rPr>
        <w:t>inner</w:t>
      </w:r>
      <w:r>
        <w:rPr>
          <w:spacing w:val="18"/>
          <w:sz w:val="20"/>
        </w:rPr>
        <w:t> </w:t>
      </w:r>
      <w:r>
        <w:rPr>
          <w:spacing w:val="-2"/>
          <w:sz w:val="20"/>
        </w:rPr>
        <w:t>transformation</w:t>
      </w:r>
    </w:p>
    <w:p>
      <w:pPr>
        <w:pStyle w:val="ListParagraph"/>
        <w:numPr>
          <w:ilvl w:val="1"/>
          <w:numId w:val="90"/>
        </w:numPr>
        <w:tabs>
          <w:tab w:pos="2160" w:val="left" w:leader="none"/>
        </w:tabs>
        <w:spacing w:line="261" w:lineRule="auto" w:before="79" w:after="0"/>
        <w:ind w:left="2160" w:right="1437" w:hanging="240"/>
        <w:jc w:val="both"/>
        <w:rPr>
          <w:sz w:val="20"/>
        </w:rPr>
      </w:pPr>
      <w:r>
        <w:rPr>
          <w:spacing w:val="10"/>
          <w:sz w:val="20"/>
        </w:rPr>
        <w:t>Desire</w:t>
      </w:r>
      <w:r>
        <w:rPr>
          <w:spacing w:val="10"/>
          <w:sz w:val="20"/>
        </w:rPr>
        <w:t> becomes</w:t>
      </w:r>
      <w:r>
        <w:rPr>
          <w:spacing w:val="10"/>
          <w:sz w:val="20"/>
        </w:rPr>
        <w:t> </w:t>
      </w:r>
      <w:r>
        <w:rPr>
          <w:spacing w:val="9"/>
          <w:sz w:val="20"/>
        </w:rPr>
        <w:t>both</w:t>
      </w:r>
      <w:r>
        <w:rPr>
          <w:spacing w:val="9"/>
          <w:sz w:val="20"/>
        </w:rPr>
        <w:t> </w:t>
      </w:r>
      <w:r>
        <w:rPr>
          <w:spacing w:val="11"/>
          <w:sz w:val="20"/>
        </w:rPr>
        <w:t>external</w:t>
      </w:r>
      <w:r>
        <w:rPr>
          <w:spacing w:val="11"/>
          <w:sz w:val="20"/>
        </w:rPr>
        <w:t> </w:t>
      </w:r>
      <w:r>
        <w:rPr>
          <w:spacing w:val="10"/>
          <w:sz w:val="20"/>
        </w:rPr>
        <w:t>ambition</w:t>
      </w:r>
      <w:r>
        <w:rPr>
          <w:spacing w:val="10"/>
          <w:sz w:val="20"/>
        </w:rPr>
        <w:t> </w:t>
      </w:r>
      <w:r>
        <w:rPr>
          <w:sz w:val="20"/>
        </w:rPr>
        <w:t>and </w:t>
      </w:r>
      <w:r>
        <w:rPr>
          <w:spacing w:val="10"/>
          <w:sz w:val="20"/>
        </w:rPr>
        <w:t>internal </w:t>
      </w:r>
      <w:r>
        <w:rPr>
          <w:spacing w:val="-2"/>
          <w:sz w:val="20"/>
        </w:rPr>
        <w:t>reconstruction</w:t>
      </w:r>
    </w:p>
    <w:p>
      <w:pPr>
        <w:pStyle w:val="ListParagraph"/>
        <w:spacing w:after="0" w:line="261" w:lineRule="auto"/>
        <w:jc w:val="both"/>
        <w:rPr>
          <w:sz w:val="20"/>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02208">
                <wp:simplePos x="0" y="0"/>
                <wp:positionH relativeFrom="page">
                  <wp:posOffset>2057400</wp:posOffset>
                </wp:positionH>
                <wp:positionV relativeFrom="paragraph">
                  <wp:posOffset>162604</wp:posOffset>
                </wp:positionV>
                <wp:extent cx="3657600" cy="12700"/>
                <wp:effectExtent l="0" t="0" r="0" b="0"/>
                <wp:wrapTopAndBottom/>
                <wp:docPr id="833" name="Graphic 833"/>
                <wp:cNvGraphicFramePr>
                  <a:graphicFrameLocks/>
                </wp:cNvGraphicFramePr>
                <a:graphic>
                  <a:graphicData uri="http://schemas.microsoft.com/office/word/2010/wordprocessingShape">
                    <wps:wsp>
                      <wps:cNvPr id="833" name="Graphic 83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14272;mso-wrap-distance-left:0;mso-wrap-distance-right:0" id="docshape825" filled="true" fillcolor="#000000" stroked="false">
                <v:fill type="solid"/>
                <w10:wrap type="topAndBottom"/>
              </v:rect>
            </w:pict>
          </mc:Fallback>
        </mc:AlternateContent>
      </w:r>
      <w:r>
        <w:rPr>
          <w:rFonts w:ascii="Verdana"/>
          <w:spacing w:val="-5"/>
          <w:sz w:val="18"/>
        </w:rPr>
        <w:t>434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5"/>
        <w:numPr>
          <w:ilvl w:val="0"/>
          <w:numId w:val="90"/>
        </w:numPr>
        <w:tabs>
          <w:tab w:pos="1754" w:val="left" w:leader="none"/>
        </w:tabs>
        <w:spacing w:line="240" w:lineRule="auto" w:before="184" w:after="0"/>
        <w:ind w:left="1754" w:right="0" w:hanging="314"/>
        <w:jc w:val="left"/>
      </w:pPr>
      <w:r>
        <w:rPr>
          <w:w w:val="110"/>
        </w:rPr>
        <w:t>Emotional</w:t>
      </w:r>
      <w:r>
        <w:rPr>
          <w:spacing w:val="63"/>
          <w:w w:val="110"/>
        </w:rPr>
        <w:t> </w:t>
      </w:r>
      <w:r>
        <w:rPr>
          <w:w w:val="110"/>
        </w:rPr>
        <w:t>Connection</w:t>
      </w:r>
      <w:r>
        <w:rPr>
          <w:spacing w:val="63"/>
          <w:w w:val="110"/>
        </w:rPr>
        <w:t> </w:t>
      </w:r>
      <w:r>
        <w:rPr>
          <w:w w:val="110"/>
        </w:rPr>
        <w:t>and</w:t>
      </w:r>
      <w:r>
        <w:rPr>
          <w:spacing w:val="66"/>
          <w:w w:val="110"/>
        </w:rPr>
        <w:t> </w:t>
      </w:r>
      <w:r>
        <w:rPr>
          <w:spacing w:val="-2"/>
          <w:w w:val="110"/>
        </w:rPr>
        <w:t>Intimacy</w:t>
      </w:r>
    </w:p>
    <w:p>
      <w:pPr>
        <w:pStyle w:val="BodyText"/>
        <w:spacing w:line="249" w:lineRule="auto" w:before="72"/>
        <w:ind w:right="1437" w:firstLine="432"/>
        <w:jc w:val="both"/>
      </w:pPr>
      <w:r>
        <w:rPr/>
        <w:t>Lust in Lady Macbeth is also expressed through her relationship with Macbeth. Their bond is not merely political—it is emotionally charged</w:t>
      </w:r>
      <w:r>
        <w:rPr>
          <w:spacing w:val="40"/>
        </w:rPr>
        <w:t> </w:t>
      </w:r>
      <w:r>
        <w:rPr/>
        <w:t>and</w:t>
      </w:r>
      <w:r>
        <w:rPr>
          <w:spacing w:val="40"/>
        </w:rPr>
        <w:t> </w:t>
      </w:r>
      <w:r>
        <w:rPr/>
        <w:t>psychologically</w:t>
      </w:r>
      <w:r>
        <w:rPr>
          <w:spacing w:val="40"/>
        </w:rPr>
        <w:t> </w:t>
      </w:r>
      <w:r>
        <w:rPr/>
        <w:t>intertwined.</w:t>
      </w:r>
    </w:p>
    <w:p>
      <w:pPr>
        <w:pStyle w:val="ListParagraph"/>
        <w:numPr>
          <w:ilvl w:val="1"/>
          <w:numId w:val="90"/>
        </w:numPr>
        <w:tabs>
          <w:tab w:pos="2159" w:val="left" w:leader="none"/>
        </w:tabs>
        <w:spacing w:line="240" w:lineRule="auto" w:before="67" w:after="0"/>
        <w:ind w:left="2159" w:right="0" w:hanging="239"/>
        <w:jc w:val="left"/>
        <w:rPr>
          <w:sz w:val="20"/>
        </w:rPr>
      </w:pPr>
      <w:r>
        <w:rPr>
          <w:sz w:val="20"/>
        </w:rPr>
        <w:t>She</w:t>
      </w:r>
      <w:r>
        <w:rPr>
          <w:spacing w:val="42"/>
          <w:sz w:val="20"/>
        </w:rPr>
        <w:t> </w:t>
      </w:r>
      <w:r>
        <w:rPr>
          <w:sz w:val="20"/>
        </w:rPr>
        <w:t>understands</w:t>
      </w:r>
      <w:r>
        <w:rPr>
          <w:spacing w:val="43"/>
          <w:sz w:val="20"/>
        </w:rPr>
        <w:t> </w:t>
      </w:r>
      <w:r>
        <w:rPr>
          <w:sz w:val="20"/>
        </w:rPr>
        <w:t>Macbeth’s</w:t>
      </w:r>
      <w:r>
        <w:rPr>
          <w:spacing w:val="41"/>
          <w:sz w:val="20"/>
        </w:rPr>
        <w:t> </w:t>
      </w:r>
      <w:r>
        <w:rPr>
          <w:sz w:val="20"/>
        </w:rPr>
        <w:t>fears</w:t>
      </w:r>
      <w:r>
        <w:rPr>
          <w:spacing w:val="42"/>
          <w:sz w:val="20"/>
        </w:rPr>
        <w:t> </w:t>
      </w:r>
      <w:r>
        <w:rPr>
          <w:sz w:val="20"/>
        </w:rPr>
        <w:t>and</w:t>
      </w:r>
      <w:r>
        <w:rPr>
          <w:spacing w:val="45"/>
          <w:sz w:val="20"/>
        </w:rPr>
        <w:t> </w:t>
      </w:r>
      <w:r>
        <w:rPr>
          <w:spacing w:val="-2"/>
          <w:sz w:val="20"/>
        </w:rPr>
        <w:t>weaknesses</w:t>
      </w:r>
    </w:p>
    <w:p>
      <w:pPr>
        <w:pStyle w:val="ListParagraph"/>
        <w:numPr>
          <w:ilvl w:val="1"/>
          <w:numId w:val="90"/>
        </w:numPr>
        <w:tabs>
          <w:tab w:pos="2159" w:val="left" w:leader="none"/>
        </w:tabs>
        <w:spacing w:line="240" w:lineRule="auto" w:before="80" w:after="0"/>
        <w:ind w:left="2159" w:right="0" w:hanging="239"/>
        <w:jc w:val="left"/>
        <w:rPr>
          <w:sz w:val="20"/>
        </w:rPr>
      </w:pPr>
      <w:r>
        <w:rPr>
          <w:sz w:val="20"/>
        </w:rPr>
        <w:t>She</w:t>
      </w:r>
      <w:r>
        <w:rPr>
          <w:spacing w:val="22"/>
          <w:sz w:val="20"/>
        </w:rPr>
        <w:t> </w:t>
      </w:r>
      <w:r>
        <w:rPr>
          <w:sz w:val="20"/>
        </w:rPr>
        <w:t>manipulates</w:t>
      </w:r>
      <w:r>
        <w:rPr>
          <w:spacing w:val="22"/>
          <w:sz w:val="20"/>
        </w:rPr>
        <w:t> </w:t>
      </w:r>
      <w:r>
        <w:rPr>
          <w:sz w:val="20"/>
        </w:rPr>
        <w:t>him</w:t>
      </w:r>
      <w:r>
        <w:rPr>
          <w:spacing w:val="19"/>
          <w:sz w:val="20"/>
        </w:rPr>
        <w:t> </w:t>
      </w:r>
      <w:r>
        <w:rPr>
          <w:sz w:val="20"/>
        </w:rPr>
        <w:t>through</w:t>
      </w:r>
      <w:r>
        <w:rPr>
          <w:spacing w:val="20"/>
          <w:sz w:val="20"/>
        </w:rPr>
        <w:t> </w:t>
      </w:r>
      <w:r>
        <w:rPr>
          <w:sz w:val="20"/>
        </w:rPr>
        <w:t>emotional</w:t>
      </w:r>
      <w:r>
        <w:rPr>
          <w:spacing w:val="23"/>
          <w:sz w:val="20"/>
        </w:rPr>
        <w:t> </w:t>
      </w:r>
      <w:r>
        <w:rPr>
          <w:spacing w:val="-2"/>
          <w:sz w:val="20"/>
        </w:rPr>
        <w:t>persuasion</w:t>
      </w:r>
    </w:p>
    <w:p>
      <w:pPr>
        <w:pStyle w:val="ListParagraph"/>
        <w:numPr>
          <w:ilvl w:val="1"/>
          <w:numId w:val="90"/>
        </w:numPr>
        <w:tabs>
          <w:tab w:pos="2159" w:val="left" w:leader="none"/>
        </w:tabs>
        <w:spacing w:line="240" w:lineRule="auto" w:before="77" w:after="0"/>
        <w:ind w:left="2159" w:right="0" w:hanging="239"/>
        <w:jc w:val="left"/>
        <w:rPr>
          <w:sz w:val="20"/>
        </w:rPr>
      </w:pPr>
      <w:r>
        <w:rPr>
          <w:sz w:val="20"/>
        </w:rPr>
        <w:t>Their</w:t>
      </w:r>
      <w:r>
        <w:rPr>
          <w:spacing w:val="2"/>
          <w:sz w:val="20"/>
        </w:rPr>
        <w:t> </w:t>
      </w:r>
      <w:r>
        <w:rPr>
          <w:sz w:val="20"/>
        </w:rPr>
        <w:t>shared ambition</w:t>
      </w:r>
      <w:r>
        <w:rPr>
          <w:spacing w:val="-1"/>
          <w:sz w:val="20"/>
        </w:rPr>
        <w:t> </w:t>
      </w:r>
      <w:r>
        <w:rPr>
          <w:sz w:val="20"/>
        </w:rPr>
        <w:t>creates</w:t>
      </w:r>
      <w:r>
        <w:rPr>
          <w:spacing w:val="-1"/>
          <w:sz w:val="20"/>
        </w:rPr>
        <w:t> </w:t>
      </w:r>
      <w:r>
        <w:rPr>
          <w:sz w:val="20"/>
        </w:rPr>
        <w:t>a</w:t>
      </w:r>
      <w:r>
        <w:rPr>
          <w:spacing w:val="3"/>
          <w:sz w:val="20"/>
        </w:rPr>
        <w:t> </w:t>
      </w:r>
      <w:r>
        <w:rPr>
          <w:sz w:val="20"/>
        </w:rPr>
        <w:t>deep,</w:t>
      </w:r>
      <w:r>
        <w:rPr>
          <w:spacing w:val="1"/>
          <w:sz w:val="20"/>
        </w:rPr>
        <w:t> </w:t>
      </w:r>
      <w:r>
        <w:rPr>
          <w:sz w:val="20"/>
        </w:rPr>
        <w:t>if</w:t>
      </w:r>
      <w:r>
        <w:rPr>
          <w:spacing w:val="-1"/>
          <w:sz w:val="20"/>
        </w:rPr>
        <w:t> </w:t>
      </w:r>
      <w:r>
        <w:rPr>
          <w:sz w:val="20"/>
        </w:rPr>
        <w:t>dangerous, </w:t>
      </w:r>
      <w:r>
        <w:rPr>
          <w:spacing w:val="-2"/>
          <w:sz w:val="20"/>
        </w:rPr>
        <w:t>connection</w:t>
      </w:r>
    </w:p>
    <w:p>
      <w:pPr>
        <w:pStyle w:val="BodyText"/>
        <w:spacing w:line="261" w:lineRule="auto" w:before="77"/>
        <w:ind w:right="1439" w:firstLine="432"/>
        <w:jc w:val="both"/>
      </w:pPr>
      <w:r>
        <w:rPr/>
        <w:t>In this sense, “sexuality” can be interpreted more broadly as intimacy and emotional alignment. Their partnership is driven by a shared vision, making</w:t>
      </w:r>
      <w:r>
        <w:rPr>
          <w:spacing w:val="-2"/>
        </w:rPr>
        <w:t> </w:t>
      </w:r>
      <w:r>
        <w:rPr/>
        <w:t>their relationship a site where desire is</w:t>
      </w:r>
      <w:r>
        <w:rPr>
          <w:spacing w:val="-2"/>
        </w:rPr>
        <w:t> </w:t>
      </w:r>
      <w:r>
        <w:rPr/>
        <w:t>collective rather than individual.</w:t>
      </w:r>
    </w:p>
    <w:p>
      <w:pPr>
        <w:pStyle w:val="Heading6"/>
        <w:spacing w:before="56"/>
        <w:jc w:val="both"/>
      </w:pPr>
      <w:r>
        <w:rPr>
          <w:spacing w:val="-4"/>
        </w:rPr>
        <w:t>However,</w:t>
      </w:r>
      <w:r>
        <w:rPr>
          <w:spacing w:val="-2"/>
        </w:rPr>
        <w:t> </w:t>
      </w:r>
      <w:r>
        <w:rPr>
          <w:spacing w:val="-4"/>
        </w:rPr>
        <w:t>this</w:t>
      </w:r>
      <w:r>
        <w:rPr>
          <w:spacing w:val="-6"/>
        </w:rPr>
        <w:t> </w:t>
      </w:r>
      <w:r>
        <w:rPr>
          <w:spacing w:val="-4"/>
        </w:rPr>
        <w:t>connection</w:t>
      </w:r>
      <w:r>
        <w:rPr>
          <w:spacing w:val="-3"/>
        </w:rPr>
        <w:t> </w:t>
      </w:r>
      <w:r>
        <w:rPr>
          <w:spacing w:val="-4"/>
        </w:rPr>
        <w:t>deteriorates:</w:t>
      </w:r>
    </w:p>
    <w:p>
      <w:pPr>
        <w:pStyle w:val="ListParagraph"/>
        <w:numPr>
          <w:ilvl w:val="1"/>
          <w:numId w:val="90"/>
        </w:numPr>
        <w:tabs>
          <w:tab w:pos="2159" w:val="left" w:leader="none"/>
        </w:tabs>
        <w:spacing w:line="240" w:lineRule="auto" w:before="77" w:after="0"/>
        <w:ind w:left="2159" w:right="0" w:hanging="239"/>
        <w:jc w:val="left"/>
        <w:rPr>
          <w:sz w:val="20"/>
        </w:rPr>
      </w:pPr>
      <w:r>
        <w:rPr>
          <w:sz w:val="20"/>
        </w:rPr>
        <w:t>After</w:t>
      </w:r>
      <w:r>
        <w:rPr>
          <w:spacing w:val="11"/>
          <w:sz w:val="20"/>
        </w:rPr>
        <w:t> </w:t>
      </w:r>
      <w:r>
        <w:rPr>
          <w:sz w:val="20"/>
        </w:rPr>
        <w:t>the</w:t>
      </w:r>
      <w:r>
        <w:rPr>
          <w:spacing w:val="10"/>
          <w:sz w:val="20"/>
        </w:rPr>
        <w:t> </w:t>
      </w:r>
      <w:r>
        <w:rPr>
          <w:sz w:val="20"/>
        </w:rPr>
        <w:t>murder,</w:t>
      </w:r>
      <w:r>
        <w:rPr>
          <w:spacing w:val="13"/>
          <w:sz w:val="20"/>
        </w:rPr>
        <w:t> </w:t>
      </w:r>
      <w:r>
        <w:rPr>
          <w:sz w:val="20"/>
        </w:rPr>
        <w:t>Macbeth</w:t>
      </w:r>
      <w:r>
        <w:rPr>
          <w:spacing w:val="11"/>
          <w:sz w:val="20"/>
        </w:rPr>
        <w:t> </w:t>
      </w:r>
      <w:r>
        <w:rPr>
          <w:sz w:val="20"/>
        </w:rPr>
        <w:t>becomes</w:t>
      </w:r>
      <w:r>
        <w:rPr>
          <w:spacing w:val="10"/>
          <w:sz w:val="20"/>
        </w:rPr>
        <w:t> </w:t>
      </w:r>
      <w:r>
        <w:rPr>
          <w:sz w:val="20"/>
        </w:rPr>
        <w:t>increasingly</w:t>
      </w:r>
      <w:r>
        <w:rPr>
          <w:spacing w:val="8"/>
          <w:sz w:val="20"/>
        </w:rPr>
        <w:t> </w:t>
      </w:r>
      <w:r>
        <w:rPr>
          <w:spacing w:val="-2"/>
          <w:sz w:val="20"/>
        </w:rPr>
        <w:t>independent</w:t>
      </w:r>
    </w:p>
    <w:p>
      <w:pPr>
        <w:pStyle w:val="ListParagraph"/>
        <w:numPr>
          <w:ilvl w:val="1"/>
          <w:numId w:val="90"/>
        </w:numPr>
        <w:tabs>
          <w:tab w:pos="2159" w:val="left" w:leader="none"/>
        </w:tabs>
        <w:spacing w:line="240" w:lineRule="auto" w:before="80" w:after="0"/>
        <w:ind w:left="2159" w:right="0" w:hanging="239"/>
        <w:jc w:val="left"/>
        <w:rPr>
          <w:sz w:val="20"/>
        </w:rPr>
      </w:pPr>
      <w:r>
        <w:rPr>
          <w:sz w:val="20"/>
        </w:rPr>
        <w:t>Lady</w:t>
      </w:r>
      <w:r>
        <w:rPr>
          <w:spacing w:val="29"/>
          <w:sz w:val="20"/>
        </w:rPr>
        <w:t> </w:t>
      </w:r>
      <w:r>
        <w:rPr>
          <w:sz w:val="20"/>
        </w:rPr>
        <w:t>Macbeth</w:t>
      </w:r>
      <w:r>
        <w:rPr>
          <w:spacing w:val="29"/>
          <w:sz w:val="20"/>
        </w:rPr>
        <w:t> </w:t>
      </w:r>
      <w:r>
        <w:rPr>
          <w:sz w:val="20"/>
        </w:rPr>
        <w:t>becomes</w:t>
      </w:r>
      <w:r>
        <w:rPr>
          <w:spacing w:val="30"/>
          <w:sz w:val="20"/>
        </w:rPr>
        <w:t> </w:t>
      </w:r>
      <w:r>
        <w:rPr>
          <w:spacing w:val="-2"/>
          <w:sz w:val="20"/>
        </w:rPr>
        <w:t>isolated</w:t>
      </w:r>
    </w:p>
    <w:p>
      <w:pPr>
        <w:pStyle w:val="ListParagraph"/>
        <w:numPr>
          <w:ilvl w:val="1"/>
          <w:numId w:val="90"/>
        </w:numPr>
        <w:tabs>
          <w:tab w:pos="2159" w:val="left" w:leader="none"/>
        </w:tabs>
        <w:spacing w:line="321" w:lineRule="auto" w:before="77" w:after="0"/>
        <w:ind w:left="1872" w:right="1441" w:firstLine="48"/>
        <w:jc w:val="left"/>
        <w:rPr>
          <w:sz w:val="20"/>
        </w:rPr>
      </w:pPr>
      <w:r>
        <w:rPr>
          <w:sz w:val="20"/>
        </w:rPr>
        <w:t>The emotional bond that once fueled their ambition collapses Thus,</w:t>
      </w:r>
      <w:r>
        <w:rPr>
          <w:spacing w:val="23"/>
          <w:sz w:val="20"/>
        </w:rPr>
        <w:t> </w:t>
      </w:r>
      <w:r>
        <w:rPr>
          <w:sz w:val="20"/>
        </w:rPr>
        <w:t>lust</w:t>
      </w:r>
      <w:r>
        <w:rPr>
          <w:spacing w:val="25"/>
          <w:sz w:val="20"/>
        </w:rPr>
        <w:t> </w:t>
      </w:r>
      <w:r>
        <w:rPr>
          <w:sz w:val="20"/>
        </w:rPr>
        <w:t>initially unites</w:t>
      </w:r>
      <w:r>
        <w:rPr>
          <w:spacing w:val="25"/>
          <w:sz w:val="20"/>
        </w:rPr>
        <w:t> </w:t>
      </w:r>
      <w:r>
        <w:rPr>
          <w:sz w:val="20"/>
        </w:rPr>
        <w:t>but</w:t>
      </w:r>
      <w:r>
        <w:rPr>
          <w:spacing w:val="21"/>
          <w:sz w:val="20"/>
        </w:rPr>
        <w:t> </w:t>
      </w:r>
      <w:r>
        <w:rPr>
          <w:sz w:val="20"/>
        </w:rPr>
        <w:t>ultimately</w:t>
      </w:r>
      <w:r>
        <w:rPr>
          <w:spacing w:val="21"/>
          <w:sz w:val="20"/>
        </w:rPr>
        <w:t> </w:t>
      </w:r>
      <w:r>
        <w:rPr>
          <w:sz w:val="20"/>
        </w:rPr>
        <w:t>fragments</w:t>
      </w:r>
      <w:r>
        <w:rPr>
          <w:spacing w:val="23"/>
          <w:sz w:val="20"/>
        </w:rPr>
        <w:t> </w:t>
      </w:r>
      <w:r>
        <w:rPr>
          <w:sz w:val="20"/>
        </w:rPr>
        <w:t>relationships.</w:t>
      </w:r>
    </w:p>
    <w:p>
      <w:pPr>
        <w:pStyle w:val="Heading5"/>
        <w:numPr>
          <w:ilvl w:val="0"/>
          <w:numId w:val="90"/>
        </w:numPr>
        <w:tabs>
          <w:tab w:pos="1756" w:val="left" w:leader="none"/>
        </w:tabs>
        <w:spacing w:line="240" w:lineRule="auto" w:before="52" w:after="0"/>
        <w:ind w:left="1756" w:right="0" w:hanging="316"/>
        <w:jc w:val="left"/>
      </w:pPr>
      <w:r>
        <w:rPr>
          <w:w w:val="105"/>
        </w:rPr>
        <w:t>Biological</w:t>
      </w:r>
      <w:r>
        <w:rPr>
          <w:spacing w:val="35"/>
          <w:w w:val="105"/>
        </w:rPr>
        <w:t>  </w:t>
      </w:r>
      <w:r>
        <w:rPr>
          <w:w w:val="105"/>
        </w:rPr>
        <w:t>and</w:t>
      </w:r>
      <w:r>
        <w:rPr>
          <w:spacing w:val="37"/>
          <w:w w:val="105"/>
        </w:rPr>
        <w:t>  </w:t>
      </w:r>
      <w:r>
        <w:rPr>
          <w:w w:val="105"/>
        </w:rPr>
        <w:t>Psychological</w:t>
      </w:r>
      <w:r>
        <w:rPr>
          <w:spacing w:val="35"/>
          <w:w w:val="105"/>
        </w:rPr>
        <w:t>  </w:t>
      </w:r>
      <w:r>
        <w:rPr>
          <w:spacing w:val="-2"/>
          <w:w w:val="105"/>
        </w:rPr>
        <w:t>Perspective</w:t>
      </w:r>
    </w:p>
    <w:p>
      <w:pPr>
        <w:pStyle w:val="BodyText"/>
        <w:spacing w:line="261" w:lineRule="auto" w:before="82"/>
        <w:ind w:right="1439" w:firstLine="432"/>
        <w:jc w:val="both"/>
      </w:pPr>
      <w:r>
        <w:rPr>
          <w:spacing w:val="-4"/>
        </w:rPr>
        <w:t>From</w:t>
      </w:r>
      <w:r>
        <w:rPr>
          <w:spacing w:val="-9"/>
        </w:rPr>
        <w:t> </w:t>
      </w:r>
      <w:r>
        <w:rPr>
          <w:spacing w:val="-4"/>
        </w:rPr>
        <w:t>a</w:t>
      </w:r>
      <w:r>
        <w:rPr>
          <w:spacing w:val="-2"/>
        </w:rPr>
        <w:t> </w:t>
      </w:r>
      <w:r>
        <w:rPr>
          <w:spacing w:val="-4"/>
        </w:rPr>
        <w:t>modern</w:t>
      </w:r>
      <w:r>
        <w:rPr>
          <w:spacing w:val="-6"/>
        </w:rPr>
        <w:t> </w:t>
      </w:r>
      <w:r>
        <w:rPr>
          <w:spacing w:val="-4"/>
        </w:rPr>
        <w:t>analytical</w:t>
      </w:r>
      <w:r>
        <w:rPr>
          <w:spacing w:val="-5"/>
        </w:rPr>
        <w:t> </w:t>
      </w:r>
      <w:r>
        <w:rPr>
          <w:spacing w:val="-4"/>
        </w:rPr>
        <w:t>viewpoint, the intensity</w:t>
      </w:r>
      <w:r>
        <w:rPr>
          <w:spacing w:val="-9"/>
        </w:rPr>
        <w:t> </w:t>
      </w:r>
      <w:r>
        <w:rPr>
          <w:spacing w:val="-4"/>
        </w:rPr>
        <w:t>of</w:t>
      </w:r>
      <w:r>
        <w:rPr>
          <w:spacing w:val="-6"/>
        </w:rPr>
        <w:t> </w:t>
      </w:r>
      <w:r>
        <w:rPr>
          <w:spacing w:val="-4"/>
        </w:rPr>
        <w:t>Lady</w:t>
      </w:r>
      <w:r>
        <w:rPr>
          <w:spacing w:val="-6"/>
        </w:rPr>
        <w:t> </w:t>
      </w:r>
      <w:r>
        <w:rPr>
          <w:spacing w:val="-4"/>
        </w:rPr>
        <w:t>Macbeth’s </w:t>
      </w:r>
      <w:r>
        <w:rPr/>
        <w:t>desire</w:t>
      </w:r>
      <w:r>
        <w:rPr>
          <w:spacing w:val="-13"/>
        </w:rPr>
        <w:t> </w:t>
      </w:r>
      <w:r>
        <w:rPr/>
        <w:t>can</w:t>
      </w:r>
      <w:r>
        <w:rPr>
          <w:spacing w:val="-12"/>
        </w:rPr>
        <w:t> </w:t>
      </w:r>
      <w:r>
        <w:rPr/>
        <w:t>be</w:t>
      </w:r>
      <w:r>
        <w:rPr>
          <w:spacing w:val="-13"/>
        </w:rPr>
        <w:t> </w:t>
      </w:r>
      <w:r>
        <w:rPr/>
        <w:t>linked</w:t>
      </w:r>
      <w:r>
        <w:rPr>
          <w:spacing w:val="-12"/>
        </w:rPr>
        <w:t> </w:t>
      </w:r>
      <w:r>
        <w:rPr/>
        <w:t>to</w:t>
      </w:r>
      <w:r>
        <w:rPr>
          <w:spacing w:val="-13"/>
        </w:rPr>
        <w:t> </w:t>
      </w:r>
      <w:r>
        <w:rPr/>
        <w:t>neuropsychological</w:t>
      </w:r>
      <w:r>
        <w:rPr>
          <w:spacing w:val="-12"/>
        </w:rPr>
        <w:t> </w:t>
      </w:r>
      <w:r>
        <w:rPr/>
        <w:t>processes,</w:t>
      </w:r>
      <w:r>
        <w:rPr>
          <w:spacing w:val="-13"/>
        </w:rPr>
        <w:t> </w:t>
      </w:r>
      <w:r>
        <w:rPr/>
        <w:t>such</w:t>
      </w:r>
      <w:r>
        <w:rPr>
          <w:spacing w:val="-12"/>
        </w:rPr>
        <w:t> </w:t>
      </w:r>
      <w:r>
        <w:rPr/>
        <w:t>as</w:t>
      </w:r>
      <w:r>
        <w:rPr>
          <w:spacing w:val="-13"/>
        </w:rPr>
        <w:t> </w:t>
      </w:r>
      <w:r>
        <w:rPr/>
        <w:t>heightened emotional arousal and reward anticipation.</w:t>
      </w:r>
    </w:p>
    <w:p>
      <w:pPr>
        <w:pStyle w:val="ListParagraph"/>
        <w:numPr>
          <w:ilvl w:val="1"/>
          <w:numId w:val="90"/>
        </w:numPr>
        <w:tabs>
          <w:tab w:pos="2159" w:val="left" w:leader="none"/>
        </w:tabs>
        <w:spacing w:line="240" w:lineRule="auto" w:before="54" w:after="0"/>
        <w:ind w:left="2159" w:right="0" w:hanging="239"/>
        <w:jc w:val="both"/>
        <w:rPr>
          <w:sz w:val="20"/>
        </w:rPr>
      </w:pPr>
      <w:r>
        <w:rPr>
          <w:sz w:val="20"/>
        </w:rPr>
        <w:t>Ambition</w:t>
      </w:r>
      <w:r>
        <w:rPr>
          <w:spacing w:val="28"/>
          <w:sz w:val="20"/>
        </w:rPr>
        <w:t> </w:t>
      </w:r>
      <w:r>
        <w:rPr>
          <w:sz w:val="20"/>
        </w:rPr>
        <w:t>triggers</w:t>
      </w:r>
      <w:r>
        <w:rPr>
          <w:spacing w:val="28"/>
          <w:sz w:val="20"/>
        </w:rPr>
        <w:t> </w:t>
      </w:r>
      <w:r>
        <w:rPr>
          <w:sz w:val="20"/>
        </w:rPr>
        <w:t>a</w:t>
      </w:r>
      <w:r>
        <w:rPr>
          <w:spacing w:val="29"/>
          <w:sz w:val="20"/>
        </w:rPr>
        <w:t> </w:t>
      </w:r>
      <w:r>
        <w:rPr>
          <w:sz w:val="20"/>
        </w:rPr>
        <w:t>sense</w:t>
      </w:r>
      <w:r>
        <w:rPr>
          <w:spacing w:val="28"/>
          <w:sz w:val="20"/>
        </w:rPr>
        <w:t> </w:t>
      </w:r>
      <w:r>
        <w:rPr>
          <w:sz w:val="20"/>
        </w:rPr>
        <w:t>of</w:t>
      </w:r>
      <w:r>
        <w:rPr>
          <w:spacing w:val="29"/>
          <w:sz w:val="20"/>
        </w:rPr>
        <w:t> </w:t>
      </w:r>
      <w:r>
        <w:rPr>
          <w:sz w:val="20"/>
        </w:rPr>
        <w:t>anticipation</w:t>
      </w:r>
      <w:r>
        <w:rPr>
          <w:spacing w:val="28"/>
          <w:sz w:val="20"/>
        </w:rPr>
        <w:t> </w:t>
      </w:r>
      <w:r>
        <w:rPr>
          <w:sz w:val="20"/>
        </w:rPr>
        <w:t>and</w:t>
      </w:r>
      <w:r>
        <w:rPr>
          <w:spacing w:val="29"/>
          <w:sz w:val="20"/>
        </w:rPr>
        <w:t> </w:t>
      </w:r>
      <w:r>
        <w:rPr>
          <w:spacing w:val="-2"/>
          <w:sz w:val="20"/>
        </w:rPr>
        <w:t>urgency</w:t>
      </w:r>
    </w:p>
    <w:p>
      <w:pPr>
        <w:pStyle w:val="ListParagraph"/>
        <w:numPr>
          <w:ilvl w:val="1"/>
          <w:numId w:val="90"/>
        </w:numPr>
        <w:tabs>
          <w:tab w:pos="2159" w:val="left" w:leader="none"/>
        </w:tabs>
        <w:spacing w:line="240" w:lineRule="auto" w:before="80" w:after="0"/>
        <w:ind w:left="2159" w:right="0" w:hanging="239"/>
        <w:jc w:val="both"/>
        <w:rPr>
          <w:sz w:val="20"/>
        </w:rPr>
      </w:pPr>
      <w:r>
        <w:rPr>
          <w:sz w:val="20"/>
        </w:rPr>
        <w:t>The</w:t>
      </w:r>
      <w:r>
        <w:rPr>
          <w:spacing w:val="19"/>
          <w:sz w:val="20"/>
        </w:rPr>
        <w:t> </w:t>
      </w:r>
      <w:r>
        <w:rPr>
          <w:sz w:val="20"/>
        </w:rPr>
        <w:t>pursuit</w:t>
      </w:r>
      <w:r>
        <w:rPr>
          <w:spacing w:val="21"/>
          <w:sz w:val="20"/>
        </w:rPr>
        <w:t> </w:t>
      </w:r>
      <w:r>
        <w:rPr>
          <w:sz w:val="20"/>
        </w:rPr>
        <w:t>of</w:t>
      </w:r>
      <w:r>
        <w:rPr>
          <w:spacing w:val="17"/>
          <w:sz w:val="20"/>
        </w:rPr>
        <w:t> </w:t>
      </w:r>
      <w:r>
        <w:rPr>
          <w:sz w:val="20"/>
        </w:rPr>
        <w:t>power</w:t>
      </w:r>
      <w:r>
        <w:rPr>
          <w:spacing w:val="23"/>
          <w:sz w:val="20"/>
        </w:rPr>
        <w:t> </w:t>
      </w:r>
      <w:r>
        <w:rPr>
          <w:sz w:val="20"/>
        </w:rPr>
        <w:t>resembles</w:t>
      </w:r>
      <w:r>
        <w:rPr>
          <w:spacing w:val="18"/>
          <w:sz w:val="20"/>
        </w:rPr>
        <w:t> </w:t>
      </w:r>
      <w:r>
        <w:rPr>
          <w:sz w:val="20"/>
        </w:rPr>
        <w:t>a</w:t>
      </w:r>
      <w:r>
        <w:rPr>
          <w:spacing w:val="23"/>
          <w:sz w:val="20"/>
        </w:rPr>
        <w:t> </w:t>
      </w:r>
      <w:r>
        <w:rPr>
          <w:sz w:val="20"/>
        </w:rPr>
        <w:t>reward-seeking</w:t>
      </w:r>
      <w:r>
        <w:rPr>
          <w:spacing w:val="18"/>
          <w:sz w:val="20"/>
        </w:rPr>
        <w:t> </w:t>
      </w:r>
      <w:r>
        <w:rPr>
          <w:spacing w:val="-2"/>
          <w:sz w:val="20"/>
        </w:rPr>
        <w:t>behavior</w:t>
      </w:r>
    </w:p>
    <w:p>
      <w:pPr>
        <w:pStyle w:val="ListParagraph"/>
        <w:numPr>
          <w:ilvl w:val="1"/>
          <w:numId w:val="90"/>
        </w:numPr>
        <w:tabs>
          <w:tab w:pos="2160" w:val="left" w:leader="none"/>
        </w:tabs>
        <w:spacing w:line="261" w:lineRule="auto" w:before="77" w:after="0"/>
        <w:ind w:left="2160" w:right="1441" w:hanging="240"/>
        <w:jc w:val="left"/>
        <w:rPr>
          <w:sz w:val="20"/>
        </w:rPr>
      </w:pPr>
      <w:r>
        <w:rPr>
          <w:sz w:val="20"/>
        </w:rPr>
        <w:t>Once</w:t>
      </w:r>
      <w:r>
        <w:rPr>
          <w:spacing w:val="40"/>
          <w:sz w:val="20"/>
        </w:rPr>
        <w:t> </w:t>
      </w:r>
      <w:r>
        <w:rPr>
          <w:sz w:val="20"/>
        </w:rPr>
        <w:t>the</w:t>
      </w:r>
      <w:r>
        <w:rPr>
          <w:spacing w:val="40"/>
          <w:sz w:val="20"/>
        </w:rPr>
        <w:t> </w:t>
      </w:r>
      <w:r>
        <w:rPr>
          <w:sz w:val="20"/>
        </w:rPr>
        <w:t>act</w:t>
      </w:r>
      <w:r>
        <w:rPr>
          <w:spacing w:val="40"/>
          <w:sz w:val="20"/>
        </w:rPr>
        <w:t> </w:t>
      </w:r>
      <w:r>
        <w:rPr>
          <w:sz w:val="20"/>
        </w:rPr>
        <w:t>is</w:t>
      </w:r>
      <w:r>
        <w:rPr>
          <w:spacing w:val="40"/>
          <w:sz w:val="20"/>
        </w:rPr>
        <w:t> </w:t>
      </w:r>
      <w:r>
        <w:rPr>
          <w:sz w:val="20"/>
        </w:rPr>
        <w:t>committed,</w:t>
      </w:r>
      <w:r>
        <w:rPr>
          <w:spacing w:val="40"/>
          <w:sz w:val="20"/>
        </w:rPr>
        <w:t> </w:t>
      </w:r>
      <w:r>
        <w:rPr>
          <w:sz w:val="20"/>
        </w:rPr>
        <w:t>this</w:t>
      </w:r>
      <w:r>
        <w:rPr>
          <w:spacing w:val="40"/>
          <w:sz w:val="20"/>
        </w:rPr>
        <w:t> </w:t>
      </w:r>
      <w:r>
        <w:rPr>
          <w:sz w:val="20"/>
        </w:rPr>
        <w:t>shifts</w:t>
      </w:r>
      <w:r>
        <w:rPr>
          <w:spacing w:val="40"/>
          <w:sz w:val="20"/>
        </w:rPr>
        <w:t> </w:t>
      </w:r>
      <w:r>
        <w:rPr>
          <w:sz w:val="20"/>
        </w:rPr>
        <w:t>to</w:t>
      </w:r>
      <w:r>
        <w:rPr>
          <w:spacing w:val="40"/>
          <w:sz w:val="20"/>
        </w:rPr>
        <w:t> </w:t>
      </w:r>
      <w:r>
        <w:rPr>
          <w:sz w:val="20"/>
        </w:rPr>
        <w:t>stress,</w:t>
      </w:r>
      <w:r>
        <w:rPr>
          <w:spacing w:val="40"/>
          <w:sz w:val="20"/>
        </w:rPr>
        <w:t> </w:t>
      </w:r>
      <w:r>
        <w:rPr>
          <w:sz w:val="20"/>
        </w:rPr>
        <w:t>guilt,</w:t>
      </w:r>
      <w:r>
        <w:rPr>
          <w:spacing w:val="40"/>
          <w:sz w:val="20"/>
        </w:rPr>
        <w:t> </w:t>
      </w:r>
      <w:r>
        <w:rPr>
          <w:sz w:val="20"/>
        </w:rPr>
        <w:t>and </w:t>
      </w:r>
      <w:r>
        <w:rPr>
          <w:spacing w:val="-2"/>
          <w:sz w:val="20"/>
        </w:rPr>
        <w:t>anxiety</w:t>
      </w:r>
    </w:p>
    <w:p>
      <w:pPr>
        <w:pStyle w:val="Heading6"/>
        <w:spacing w:before="58"/>
      </w:pPr>
      <w:r>
        <w:rPr>
          <w:spacing w:val="-2"/>
        </w:rPr>
        <w:t>Her</w:t>
      </w:r>
      <w:r>
        <w:rPr>
          <w:spacing w:val="-8"/>
        </w:rPr>
        <w:t> </w:t>
      </w:r>
      <w:r>
        <w:rPr>
          <w:spacing w:val="-2"/>
        </w:rPr>
        <w:t>transformation</w:t>
      </w:r>
      <w:r>
        <w:rPr>
          <w:spacing w:val="-9"/>
        </w:rPr>
        <w:t> </w:t>
      </w:r>
      <w:r>
        <w:rPr>
          <w:spacing w:val="-2"/>
        </w:rPr>
        <w:t>reflects</w:t>
      </w:r>
      <w:r>
        <w:rPr>
          <w:spacing w:val="-8"/>
        </w:rPr>
        <w:t> </w:t>
      </w:r>
      <w:r>
        <w:rPr>
          <w:spacing w:val="-2"/>
        </w:rPr>
        <w:t>a</w:t>
      </w:r>
      <w:r>
        <w:rPr>
          <w:spacing w:val="-7"/>
        </w:rPr>
        <w:t> </w:t>
      </w:r>
      <w:r>
        <w:rPr>
          <w:spacing w:val="-2"/>
        </w:rPr>
        <w:t>movement:</w:t>
      </w:r>
    </w:p>
    <w:p>
      <w:pPr>
        <w:pStyle w:val="ListParagraph"/>
        <w:numPr>
          <w:ilvl w:val="1"/>
          <w:numId w:val="90"/>
        </w:numPr>
        <w:tabs>
          <w:tab w:pos="2159" w:val="left" w:leader="none"/>
        </w:tabs>
        <w:spacing w:line="240" w:lineRule="auto" w:before="77" w:after="0"/>
        <w:ind w:left="2159" w:right="0" w:hanging="239"/>
        <w:jc w:val="left"/>
        <w:rPr>
          <w:sz w:val="20"/>
        </w:rPr>
      </w:pPr>
      <w:r>
        <w:rPr>
          <w:sz w:val="20"/>
        </w:rPr>
        <w:t>From</w:t>
      </w:r>
      <w:r>
        <w:rPr>
          <w:spacing w:val="9"/>
          <w:sz w:val="20"/>
        </w:rPr>
        <w:t> </w:t>
      </w:r>
      <w:r>
        <w:rPr>
          <w:sz w:val="20"/>
        </w:rPr>
        <w:t>drive</w:t>
      </w:r>
      <w:r>
        <w:rPr>
          <w:spacing w:val="14"/>
          <w:sz w:val="20"/>
        </w:rPr>
        <w:t> </w:t>
      </w:r>
      <w:r>
        <w:rPr>
          <w:sz w:val="20"/>
        </w:rPr>
        <w:t>and</w:t>
      </w:r>
      <w:r>
        <w:rPr>
          <w:spacing w:val="14"/>
          <w:sz w:val="20"/>
        </w:rPr>
        <w:t> </w:t>
      </w:r>
      <w:r>
        <w:rPr>
          <w:spacing w:val="-2"/>
          <w:sz w:val="20"/>
        </w:rPr>
        <w:t>stimulation</w:t>
      </w:r>
    </w:p>
    <w:p>
      <w:pPr>
        <w:pStyle w:val="ListParagraph"/>
        <w:numPr>
          <w:ilvl w:val="1"/>
          <w:numId w:val="90"/>
        </w:numPr>
        <w:tabs>
          <w:tab w:pos="2159" w:val="left" w:leader="none"/>
        </w:tabs>
        <w:spacing w:line="240" w:lineRule="auto" w:before="77" w:after="0"/>
        <w:ind w:left="2159" w:right="0" w:hanging="239"/>
        <w:jc w:val="left"/>
        <w:rPr>
          <w:sz w:val="20"/>
        </w:rPr>
      </w:pPr>
      <w:r>
        <w:rPr>
          <w:sz w:val="20"/>
        </w:rPr>
        <w:t>To</w:t>
      </w:r>
      <w:r>
        <w:rPr>
          <w:spacing w:val="25"/>
          <w:sz w:val="20"/>
        </w:rPr>
        <w:t> </w:t>
      </w:r>
      <w:r>
        <w:rPr>
          <w:sz w:val="20"/>
        </w:rPr>
        <w:t>overload</w:t>
      </w:r>
      <w:r>
        <w:rPr>
          <w:spacing w:val="25"/>
          <w:sz w:val="20"/>
        </w:rPr>
        <w:t> </w:t>
      </w:r>
      <w:r>
        <w:rPr>
          <w:sz w:val="20"/>
        </w:rPr>
        <w:t>and</w:t>
      </w:r>
      <w:r>
        <w:rPr>
          <w:spacing w:val="28"/>
          <w:sz w:val="20"/>
        </w:rPr>
        <w:t> </w:t>
      </w:r>
      <w:r>
        <w:rPr>
          <w:sz w:val="20"/>
        </w:rPr>
        <w:t>psychological</w:t>
      </w:r>
      <w:r>
        <w:rPr>
          <w:spacing w:val="23"/>
          <w:sz w:val="20"/>
        </w:rPr>
        <w:t> </w:t>
      </w:r>
      <w:r>
        <w:rPr>
          <w:spacing w:val="-2"/>
          <w:sz w:val="20"/>
        </w:rPr>
        <w:t>breakdown</w:t>
      </w:r>
    </w:p>
    <w:p>
      <w:pPr>
        <w:pStyle w:val="BodyText"/>
        <w:spacing w:line="261" w:lineRule="auto" w:before="80"/>
        <w:ind w:right="1441" w:firstLine="432"/>
        <w:jc w:val="both"/>
      </w:pPr>
      <w:r>
        <w:rPr/>
        <w:t>The sleepwalking scene illustrates</w:t>
      </w:r>
      <w:r>
        <w:rPr>
          <w:spacing w:val="-1"/>
        </w:rPr>
        <w:t> </w:t>
      </w:r>
      <w:r>
        <w:rPr/>
        <w:t>this shift. What once energized her</w:t>
      </w:r>
      <w:r>
        <w:rPr>
          <w:spacing w:val="-10"/>
        </w:rPr>
        <w:t> </w:t>
      </w:r>
      <w:r>
        <w:rPr/>
        <w:t>now</w:t>
      </w:r>
      <w:r>
        <w:rPr>
          <w:spacing w:val="-13"/>
        </w:rPr>
        <w:t> </w:t>
      </w:r>
      <w:r>
        <w:rPr/>
        <w:t>haunts</w:t>
      </w:r>
      <w:r>
        <w:rPr>
          <w:spacing w:val="-11"/>
        </w:rPr>
        <w:t> </w:t>
      </w:r>
      <w:r>
        <w:rPr/>
        <w:t>her,</w:t>
      </w:r>
      <w:r>
        <w:rPr>
          <w:spacing w:val="-8"/>
        </w:rPr>
        <w:t> </w:t>
      </w:r>
      <w:r>
        <w:rPr/>
        <w:t>indicating</w:t>
      </w:r>
      <w:r>
        <w:rPr>
          <w:spacing w:val="-13"/>
        </w:rPr>
        <w:t> </w:t>
      </w:r>
      <w:r>
        <w:rPr/>
        <w:t>that</w:t>
      </w:r>
      <w:r>
        <w:rPr>
          <w:spacing w:val="-9"/>
        </w:rPr>
        <w:t> </w:t>
      </w:r>
      <w:r>
        <w:rPr/>
        <w:t>intense</w:t>
      </w:r>
      <w:r>
        <w:rPr>
          <w:spacing w:val="-11"/>
        </w:rPr>
        <w:t> </w:t>
      </w:r>
      <w:r>
        <w:rPr/>
        <w:t>desire,</w:t>
      </w:r>
      <w:r>
        <w:rPr>
          <w:spacing w:val="-10"/>
        </w:rPr>
        <w:t> </w:t>
      </w:r>
      <w:r>
        <w:rPr/>
        <w:t>when</w:t>
      </w:r>
      <w:r>
        <w:rPr>
          <w:spacing w:val="-12"/>
        </w:rPr>
        <w:t> </w:t>
      </w:r>
      <w:r>
        <w:rPr/>
        <w:t>fulfilled</w:t>
      </w:r>
      <w:r>
        <w:rPr>
          <w:spacing w:val="-8"/>
        </w:rPr>
        <w:t> </w:t>
      </w:r>
      <w:r>
        <w:rPr/>
        <w:t>through immoral</w:t>
      </w:r>
      <w:r>
        <w:rPr>
          <w:spacing w:val="-8"/>
        </w:rPr>
        <w:t> </w:t>
      </w:r>
      <w:r>
        <w:rPr/>
        <w:t>means,</w:t>
      </w:r>
      <w:r>
        <w:rPr>
          <w:spacing w:val="-7"/>
        </w:rPr>
        <w:t> </w:t>
      </w:r>
      <w:r>
        <w:rPr/>
        <w:t>can</w:t>
      </w:r>
      <w:r>
        <w:rPr>
          <w:spacing w:val="-11"/>
        </w:rPr>
        <w:t> </w:t>
      </w:r>
      <w:r>
        <w:rPr/>
        <w:t>lead</w:t>
      </w:r>
      <w:r>
        <w:rPr>
          <w:spacing w:val="-7"/>
        </w:rPr>
        <w:t> </w:t>
      </w:r>
      <w:r>
        <w:rPr/>
        <w:t>to</w:t>
      </w:r>
      <w:r>
        <w:rPr>
          <w:spacing w:val="-7"/>
        </w:rPr>
        <w:t> </w:t>
      </w:r>
      <w:r>
        <w:rPr/>
        <w:t>mental</w:t>
      </w:r>
      <w:r>
        <w:rPr>
          <w:spacing w:val="-8"/>
        </w:rPr>
        <w:t> </w:t>
      </w:r>
      <w:r>
        <w:rPr/>
        <w:t>instability</w:t>
      </w:r>
      <w:r>
        <w:rPr>
          <w:spacing w:val="-12"/>
        </w:rPr>
        <w:t> </w:t>
      </w:r>
      <w:r>
        <w:rPr/>
        <w:t>and</w:t>
      </w:r>
      <w:r>
        <w:rPr>
          <w:spacing w:val="-7"/>
        </w:rPr>
        <w:t> </w:t>
      </w:r>
      <w:r>
        <w:rPr/>
        <w:t>emotional</w:t>
      </w:r>
      <w:r>
        <w:rPr>
          <w:spacing w:val="-9"/>
        </w:rPr>
        <w:t> </w:t>
      </w:r>
      <w:r>
        <w:rPr>
          <w:spacing w:val="-2"/>
        </w:rPr>
        <w:t>exhaustion.</w:t>
      </w:r>
    </w:p>
    <w:p>
      <w:pPr>
        <w:pStyle w:val="Heading5"/>
        <w:numPr>
          <w:ilvl w:val="0"/>
          <w:numId w:val="90"/>
        </w:numPr>
        <w:tabs>
          <w:tab w:pos="1758" w:val="left" w:leader="none"/>
        </w:tabs>
        <w:spacing w:line="240" w:lineRule="auto" w:before="106" w:after="0"/>
        <w:ind w:left="1758" w:right="0" w:hanging="318"/>
        <w:jc w:val="left"/>
      </w:pPr>
      <w:r>
        <w:rPr/>
        <w:t>Emotional–Sensory</w:t>
      </w:r>
      <w:r>
        <w:rPr>
          <w:spacing w:val="71"/>
        </w:rPr>
        <w:t>  </w:t>
      </w:r>
      <w:r>
        <w:rPr>
          <w:spacing w:val="-2"/>
        </w:rPr>
        <w:t>Impulse</w:t>
      </w:r>
    </w:p>
    <w:p>
      <w:pPr>
        <w:pStyle w:val="BodyText"/>
        <w:spacing w:line="249" w:lineRule="auto" w:before="74"/>
        <w:ind w:right="1440" w:firstLine="432"/>
        <w:jc w:val="both"/>
      </w:pPr>
      <w:r>
        <w:rPr/>
        <w:t>The principle of lust as an emotional and sensory impulse is evident</w:t>
      </w:r>
      <w:r>
        <w:rPr>
          <w:spacing w:val="40"/>
        </w:rPr>
        <w:t> </w:t>
      </w:r>
      <w:r>
        <w:rPr/>
        <w:t>in</w:t>
      </w:r>
      <w:r>
        <w:rPr>
          <w:spacing w:val="40"/>
        </w:rPr>
        <w:t> </w:t>
      </w:r>
      <w:r>
        <w:rPr/>
        <w:t>Lady</w:t>
      </w:r>
      <w:r>
        <w:rPr>
          <w:spacing w:val="40"/>
        </w:rPr>
        <w:t> </w:t>
      </w:r>
      <w:r>
        <w:rPr/>
        <w:t>Macbeth’s</w:t>
      </w:r>
      <w:r>
        <w:rPr>
          <w:spacing w:val="40"/>
        </w:rPr>
        <w:t> </w:t>
      </w:r>
      <w:r>
        <w:rPr/>
        <w:t>vivid</w:t>
      </w:r>
      <w:r>
        <w:rPr>
          <w:spacing w:val="40"/>
        </w:rPr>
        <w:t> </w:t>
      </w:r>
      <w:r>
        <w:rPr/>
        <w:t>language</w:t>
      </w:r>
      <w:r>
        <w:rPr>
          <w:spacing w:val="40"/>
        </w:rPr>
        <w:t> </w:t>
      </w:r>
      <w:r>
        <w:rPr/>
        <w:t>and</w:t>
      </w:r>
      <w:r>
        <w:rPr>
          <w:spacing w:val="40"/>
        </w:rPr>
        <w:t> </w:t>
      </w:r>
      <w:r>
        <w:rPr/>
        <w:t>imagery.</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902720">
                <wp:simplePos x="0" y="0"/>
                <wp:positionH relativeFrom="page">
                  <wp:posOffset>2065020</wp:posOffset>
                </wp:positionH>
                <wp:positionV relativeFrom="paragraph">
                  <wp:posOffset>795020</wp:posOffset>
                </wp:positionV>
                <wp:extent cx="3657600" cy="12700"/>
                <wp:effectExtent l="0" t="0" r="0" b="0"/>
                <wp:wrapTopAndBottom/>
                <wp:docPr id="834" name="Graphic 834"/>
                <wp:cNvGraphicFramePr>
                  <a:graphicFrameLocks/>
                </wp:cNvGraphicFramePr>
                <a:graphic>
                  <a:graphicData uri="http://schemas.microsoft.com/office/word/2010/wordprocessingShape">
                    <wps:wsp>
                      <wps:cNvPr id="834" name="Graphic 83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13760;mso-wrap-distance-left:0;mso-wrap-distance-right:0" id="docshape826"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435</w:t>
      </w:r>
    </w:p>
    <w:p>
      <w:pPr>
        <w:pStyle w:val="ListParagraph"/>
        <w:numPr>
          <w:ilvl w:val="1"/>
          <w:numId w:val="90"/>
        </w:numPr>
        <w:tabs>
          <w:tab w:pos="2159" w:val="left" w:leader="none"/>
        </w:tabs>
        <w:spacing w:line="240" w:lineRule="auto" w:before="199" w:after="0"/>
        <w:ind w:left="2159" w:right="0" w:hanging="239"/>
        <w:jc w:val="left"/>
        <w:rPr>
          <w:sz w:val="20"/>
        </w:rPr>
      </w:pPr>
      <w:r>
        <w:rPr>
          <w:sz w:val="20"/>
        </w:rPr>
        <w:t>References</w:t>
      </w:r>
      <w:r>
        <w:rPr>
          <w:spacing w:val="30"/>
          <w:sz w:val="20"/>
        </w:rPr>
        <w:t> </w:t>
      </w:r>
      <w:r>
        <w:rPr>
          <w:sz w:val="20"/>
        </w:rPr>
        <w:t>to</w:t>
      </w:r>
      <w:r>
        <w:rPr>
          <w:spacing w:val="30"/>
          <w:sz w:val="20"/>
        </w:rPr>
        <w:t> </w:t>
      </w:r>
      <w:r>
        <w:rPr>
          <w:sz w:val="20"/>
        </w:rPr>
        <w:t>blood</w:t>
      </w:r>
      <w:r>
        <w:rPr>
          <w:spacing w:val="31"/>
          <w:sz w:val="20"/>
        </w:rPr>
        <w:t> </w:t>
      </w:r>
      <w:r>
        <w:rPr>
          <w:sz w:val="20"/>
        </w:rPr>
        <w:t>create</w:t>
      </w:r>
      <w:r>
        <w:rPr>
          <w:spacing w:val="31"/>
          <w:sz w:val="20"/>
        </w:rPr>
        <w:t> </w:t>
      </w:r>
      <w:r>
        <w:rPr>
          <w:sz w:val="20"/>
        </w:rPr>
        <w:t>a</w:t>
      </w:r>
      <w:r>
        <w:rPr>
          <w:spacing w:val="33"/>
          <w:sz w:val="20"/>
        </w:rPr>
        <w:t> </w:t>
      </w:r>
      <w:r>
        <w:rPr>
          <w:sz w:val="20"/>
        </w:rPr>
        <w:t>strong</w:t>
      </w:r>
      <w:r>
        <w:rPr>
          <w:spacing w:val="28"/>
          <w:sz w:val="20"/>
        </w:rPr>
        <w:t> </w:t>
      </w:r>
      <w:r>
        <w:rPr>
          <w:sz w:val="20"/>
        </w:rPr>
        <w:t>sensory</w:t>
      </w:r>
      <w:r>
        <w:rPr>
          <w:spacing w:val="27"/>
          <w:sz w:val="20"/>
        </w:rPr>
        <w:t> </w:t>
      </w:r>
      <w:r>
        <w:rPr>
          <w:spacing w:val="-2"/>
          <w:sz w:val="20"/>
        </w:rPr>
        <w:t>impact</w:t>
      </w:r>
    </w:p>
    <w:p>
      <w:pPr>
        <w:pStyle w:val="ListParagraph"/>
        <w:numPr>
          <w:ilvl w:val="1"/>
          <w:numId w:val="90"/>
        </w:numPr>
        <w:tabs>
          <w:tab w:pos="2159" w:val="left" w:leader="none"/>
        </w:tabs>
        <w:spacing w:line="240" w:lineRule="auto" w:before="78" w:after="0"/>
        <w:ind w:left="2159" w:right="0" w:hanging="239"/>
        <w:jc w:val="left"/>
        <w:rPr>
          <w:sz w:val="20"/>
        </w:rPr>
      </w:pPr>
      <w:r>
        <w:rPr>
          <w:sz w:val="20"/>
        </w:rPr>
        <w:t>Darkness</w:t>
      </w:r>
      <w:r>
        <w:rPr>
          <w:spacing w:val="29"/>
          <w:sz w:val="20"/>
        </w:rPr>
        <w:t> </w:t>
      </w:r>
      <w:r>
        <w:rPr>
          <w:sz w:val="20"/>
        </w:rPr>
        <w:t>and</w:t>
      </w:r>
      <w:r>
        <w:rPr>
          <w:spacing w:val="29"/>
          <w:sz w:val="20"/>
        </w:rPr>
        <w:t> </w:t>
      </w:r>
      <w:r>
        <w:rPr>
          <w:sz w:val="20"/>
        </w:rPr>
        <w:t>night</w:t>
      </w:r>
      <w:r>
        <w:rPr>
          <w:spacing w:val="26"/>
          <w:sz w:val="20"/>
        </w:rPr>
        <w:t> </w:t>
      </w:r>
      <w:r>
        <w:rPr>
          <w:sz w:val="20"/>
        </w:rPr>
        <w:t>evoke</w:t>
      </w:r>
      <w:r>
        <w:rPr>
          <w:spacing w:val="27"/>
          <w:sz w:val="20"/>
        </w:rPr>
        <w:t> </w:t>
      </w:r>
      <w:r>
        <w:rPr>
          <w:sz w:val="20"/>
        </w:rPr>
        <w:t>emotional</w:t>
      </w:r>
      <w:r>
        <w:rPr>
          <w:spacing w:val="27"/>
          <w:sz w:val="20"/>
        </w:rPr>
        <w:t> </w:t>
      </w:r>
      <w:r>
        <w:rPr>
          <w:spacing w:val="-2"/>
          <w:sz w:val="20"/>
        </w:rPr>
        <w:t>tension</w:t>
      </w:r>
    </w:p>
    <w:p>
      <w:pPr>
        <w:pStyle w:val="ListParagraph"/>
        <w:numPr>
          <w:ilvl w:val="1"/>
          <w:numId w:val="90"/>
        </w:numPr>
        <w:tabs>
          <w:tab w:pos="2159" w:val="left" w:leader="none"/>
        </w:tabs>
        <w:spacing w:line="240" w:lineRule="auto" w:before="79" w:after="0"/>
        <w:ind w:left="2159" w:right="0" w:hanging="239"/>
        <w:jc w:val="left"/>
        <w:rPr>
          <w:sz w:val="20"/>
        </w:rPr>
      </w:pPr>
      <w:r>
        <w:rPr>
          <w:sz w:val="20"/>
        </w:rPr>
        <w:t>Her</w:t>
      </w:r>
      <w:r>
        <w:rPr>
          <w:spacing w:val="33"/>
          <w:sz w:val="20"/>
        </w:rPr>
        <w:t> </w:t>
      </w:r>
      <w:r>
        <w:rPr>
          <w:sz w:val="20"/>
        </w:rPr>
        <w:t>speech</w:t>
      </w:r>
      <w:r>
        <w:rPr>
          <w:spacing w:val="33"/>
          <w:sz w:val="20"/>
        </w:rPr>
        <w:t> </w:t>
      </w:r>
      <w:r>
        <w:rPr>
          <w:sz w:val="20"/>
        </w:rPr>
        <w:t>patterns</w:t>
      </w:r>
      <w:r>
        <w:rPr>
          <w:spacing w:val="33"/>
          <w:sz w:val="20"/>
        </w:rPr>
        <w:t> </w:t>
      </w:r>
      <w:r>
        <w:rPr>
          <w:sz w:val="20"/>
        </w:rPr>
        <w:t>reflect</w:t>
      </w:r>
      <w:r>
        <w:rPr>
          <w:spacing w:val="35"/>
          <w:sz w:val="20"/>
        </w:rPr>
        <w:t> </w:t>
      </w:r>
      <w:r>
        <w:rPr>
          <w:sz w:val="20"/>
        </w:rPr>
        <w:t>urgency</w:t>
      </w:r>
      <w:r>
        <w:rPr>
          <w:spacing w:val="31"/>
          <w:sz w:val="20"/>
        </w:rPr>
        <w:t> </w:t>
      </w:r>
      <w:r>
        <w:rPr>
          <w:sz w:val="20"/>
        </w:rPr>
        <w:t>and</w:t>
      </w:r>
      <w:r>
        <w:rPr>
          <w:spacing w:val="37"/>
          <w:sz w:val="20"/>
        </w:rPr>
        <w:t> </w:t>
      </w:r>
      <w:r>
        <w:rPr>
          <w:spacing w:val="-2"/>
          <w:sz w:val="20"/>
        </w:rPr>
        <w:t>intensity</w:t>
      </w:r>
    </w:p>
    <w:p>
      <w:pPr>
        <w:pStyle w:val="BodyText"/>
        <w:spacing w:line="264" w:lineRule="auto" w:before="77"/>
        <w:ind w:right="1435" w:firstLine="432"/>
        <w:jc w:val="both"/>
      </w:pPr>
      <w:r>
        <w:rPr/>
        <w:t>These sensory elements show that her actions are not purely rational—they</w:t>
      </w:r>
      <w:r>
        <w:rPr>
          <w:spacing w:val="-3"/>
        </w:rPr>
        <w:t> </w:t>
      </w:r>
      <w:r>
        <w:rPr/>
        <w:t>are deeply</w:t>
      </w:r>
      <w:r>
        <w:rPr>
          <w:spacing w:val="-2"/>
        </w:rPr>
        <w:t> </w:t>
      </w:r>
      <w:r>
        <w:rPr/>
        <w:t>tied to feeling, perception, and impulse. Lust, in</w:t>
      </w:r>
      <w:r>
        <w:rPr>
          <w:spacing w:val="40"/>
        </w:rPr>
        <w:t> </w:t>
      </w:r>
      <w:r>
        <w:rPr/>
        <w:t>this</w:t>
      </w:r>
      <w:r>
        <w:rPr>
          <w:spacing w:val="40"/>
        </w:rPr>
        <w:t> </w:t>
      </w:r>
      <w:r>
        <w:rPr/>
        <w:t>sense,</w:t>
      </w:r>
      <w:r>
        <w:rPr>
          <w:spacing w:val="40"/>
        </w:rPr>
        <w:t> </w:t>
      </w:r>
      <w:r>
        <w:rPr/>
        <w:t>operates</w:t>
      </w:r>
      <w:r>
        <w:rPr>
          <w:spacing w:val="40"/>
        </w:rPr>
        <w:t> </w:t>
      </w:r>
      <w:r>
        <w:rPr/>
        <w:t>at</w:t>
      </w:r>
      <w:r>
        <w:rPr>
          <w:spacing w:val="40"/>
        </w:rPr>
        <w:t> </w:t>
      </w:r>
      <w:r>
        <w:rPr/>
        <w:t>the</w:t>
      </w:r>
      <w:r>
        <w:rPr>
          <w:spacing w:val="40"/>
        </w:rPr>
        <w:t> </w:t>
      </w:r>
      <w:r>
        <w:rPr/>
        <w:t>level</w:t>
      </w:r>
      <w:r>
        <w:rPr>
          <w:spacing w:val="40"/>
        </w:rPr>
        <w:t> </w:t>
      </w:r>
      <w:r>
        <w:rPr/>
        <w:t>of:</w:t>
      </w:r>
    </w:p>
    <w:p>
      <w:pPr>
        <w:pStyle w:val="ListParagraph"/>
        <w:numPr>
          <w:ilvl w:val="1"/>
          <w:numId w:val="90"/>
        </w:numPr>
        <w:tabs>
          <w:tab w:pos="2159" w:val="left" w:leader="none"/>
        </w:tabs>
        <w:spacing w:line="240" w:lineRule="auto" w:before="55" w:after="0"/>
        <w:ind w:left="2159" w:right="0" w:hanging="239"/>
        <w:jc w:val="left"/>
        <w:rPr>
          <w:sz w:val="20"/>
        </w:rPr>
      </w:pPr>
      <w:r>
        <w:rPr>
          <w:sz w:val="20"/>
        </w:rPr>
        <w:t>Immediate</w:t>
      </w:r>
      <w:r>
        <w:rPr>
          <w:spacing w:val="3"/>
          <w:sz w:val="20"/>
        </w:rPr>
        <w:t> </w:t>
      </w:r>
      <w:r>
        <w:rPr>
          <w:sz w:val="20"/>
        </w:rPr>
        <w:t>emotional</w:t>
      </w:r>
      <w:r>
        <w:rPr>
          <w:spacing w:val="2"/>
          <w:sz w:val="20"/>
        </w:rPr>
        <w:t> </w:t>
      </w:r>
      <w:r>
        <w:rPr>
          <w:spacing w:val="-2"/>
          <w:sz w:val="20"/>
        </w:rPr>
        <w:t>response</w:t>
      </w:r>
    </w:p>
    <w:p>
      <w:pPr>
        <w:pStyle w:val="ListParagraph"/>
        <w:numPr>
          <w:ilvl w:val="1"/>
          <w:numId w:val="90"/>
        </w:numPr>
        <w:tabs>
          <w:tab w:pos="2159" w:val="left" w:leader="none"/>
        </w:tabs>
        <w:spacing w:line="240" w:lineRule="auto" w:before="80" w:after="0"/>
        <w:ind w:left="2159" w:right="0" w:hanging="239"/>
        <w:jc w:val="left"/>
        <w:rPr>
          <w:sz w:val="20"/>
        </w:rPr>
      </w:pPr>
      <w:r>
        <w:rPr>
          <w:sz w:val="20"/>
        </w:rPr>
        <w:t>Heightened</w:t>
      </w:r>
      <w:r>
        <w:rPr>
          <w:spacing w:val="51"/>
          <w:sz w:val="20"/>
        </w:rPr>
        <w:t> </w:t>
      </w:r>
      <w:r>
        <w:rPr>
          <w:sz w:val="20"/>
        </w:rPr>
        <w:t>sensory</w:t>
      </w:r>
      <w:r>
        <w:rPr>
          <w:spacing w:val="45"/>
          <w:sz w:val="20"/>
        </w:rPr>
        <w:t> </w:t>
      </w:r>
      <w:r>
        <w:rPr>
          <w:spacing w:val="-2"/>
          <w:sz w:val="20"/>
        </w:rPr>
        <w:t>awareness</w:t>
      </w:r>
    </w:p>
    <w:p>
      <w:pPr>
        <w:pStyle w:val="ListParagraph"/>
        <w:numPr>
          <w:ilvl w:val="1"/>
          <w:numId w:val="90"/>
        </w:numPr>
        <w:tabs>
          <w:tab w:pos="2159" w:val="left" w:leader="none"/>
        </w:tabs>
        <w:spacing w:line="240" w:lineRule="auto" w:before="79" w:after="0"/>
        <w:ind w:left="2159" w:right="0" w:hanging="239"/>
        <w:jc w:val="left"/>
        <w:rPr>
          <w:sz w:val="20"/>
        </w:rPr>
      </w:pPr>
      <w:r>
        <w:rPr>
          <w:sz w:val="20"/>
        </w:rPr>
        <w:t>Reduced moral </w:t>
      </w:r>
      <w:r>
        <w:rPr>
          <w:spacing w:val="-2"/>
          <w:sz w:val="20"/>
        </w:rPr>
        <w:t>reflection</w:t>
      </w:r>
    </w:p>
    <w:p>
      <w:pPr>
        <w:pStyle w:val="BodyText"/>
        <w:spacing w:line="264" w:lineRule="auto" w:before="82"/>
        <w:ind w:right="1437" w:firstLine="432"/>
      </w:pPr>
      <w:r>
        <w:rPr/>
        <w:t>This impulsive dimension explains why her ambition escalates so rapidly</w:t>
      </w:r>
      <w:r>
        <w:rPr>
          <w:spacing w:val="40"/>
        </w:rPr>
        <w:t> </w:t>
      </w:r>
      <w:r>
        <w:rPr/>
        <w:t>and</w:t>
      </w:r>
      <w:r>
        <w:rPr>
          <w:spacing w:val="40"/>
        </w:rPr>
        <w:t> </w:t>
      </w:r>
      <w:r>
        <w:rPr/>
        <w:t>why</w:t>
      </w:r>
      <w:r>
        <w:rPr>
          <w:spacing w:val="40"/>
        </w:rPr>
        <w:t> </w:t>
      </w:r>
      <w:r>
        <w:rPr/>
        <w:t>she</w:t>
      </w:r>
      <w:r>
        <w:rPr>
          <w:spacing w:val="40"/>
        </w:rPr>
        <w:t> </w:t>
      </w:r>
      <w:r>
        <w:rPr/>
        <w:t>underestimates</w:t>
      </w:r>
      <w:r>
        <w:rPr>
          <w:spacing w:val="40"/>
        </w:rPr>
        <w:t> </w:t>
      </w:r>
      <w:r>
        <w:rPr/>
        <w:t>the</w:t>
      </w:r>
      <w:r>
        <w:rPr>
          <w:spacing w:val="40"/>
        </w:rPr>
        <w:t> </w:t>
      </w:r>
      <w:r>
        <w:rPr/>
        <w:t>consequences.</w:t>
      </w:r>
    </w:p>
    <w:p>
      <w:pPr>
        <w:pStyle w:val="Heading3"/>
        <w:spacing w:before="152"/>
      </w:pPr>
      <w:r>
        <w:rPr>
          <w:spacing w:val="-2"/>
        </w:rPr>
        <w:t>CONCLUSION</w:t>
      </w:r>
    </w:p>
    <w:p>
      <w:pPr>
        <w:pStyle w:val="BodyText"/>
        <w:spacing w:line="264" w:lineRule="auto" w:before="90"/>
        <w:ind w:right="1435" w:firstLine="432"/>
        <w:jc w:val="both"/>
      </w:pPr>
      <w:r>
        <w:rPr>
          <w:spacing w:val="-2"/>
        </w:rPr>
        <w:t>The</w:t>
      </w:r>
      <w:r>
        <w:rPr>
          <w:spacing w:val="-5"/>
        </w:rPr>
        <w:t> </w:t>
      </w:r>
      <w:r>
        <w:rPr>
          <w:spacing w:val="-2"/>
        </w:rPr>
        <w:t>“principles</w:t>
      </w:r>
      <w:r>
        <w:rPr>
          <w:spacing w:val="-7"/>
        </w:rPr>
        <w:t> </w:t>
      </w:r>
      <w:r>
        <w:rPr>
          <w:spacing w:val="-2"/>
        </w:rPr>
        <w:t>of</w:t>
      </w:r>
      <w:r>
        <w:rPr>
          <w:spacing w:val="-11"/>
        </w:rPr>
        <w:t> </w:t>
      </w:r>
      <w:r>
        <w:rPr>
          <w:spacing w:val="-2"/>
        </w:rPr>
        <w:t>lust”</w:t>
      </w:r>
      <w:r>
        <w:rPr>
          <w:spacing w:val="-4"/>
        </w:rPr>
        <w:t> </w:t>
      </w:r>
      <w:r>
        <w:rPr>
          <w:spacing w:val="-2"/>
        </w:rPr>
        <w:t>in</w:t>
      </w:r>
      <w:r>
        <w:rPr>
          <w:spacing w:val="-7"/>
        </w:rPr>
        <w:t> </w:t>
      </w:r>
      <w:r>
        <w:rPr>
          <w:spacing w:val="-2"/>
        </w:rPr>
        <w:t>Lady</w:t>
      </w:r>
      <w:r>
        <w:rPr>
          <w:spacing w:val="-11"/>
        </w:rPr>
        <w:t> </w:t>
      </w:r>
      <w:r>
        <w:rPr>
          <w:spacing w:val="-2"/>
        </w:rPr>
        <w:t>Macbeth</w:t>
      </w:r>
      <w:r>
        <w:rPr>
          <w:spacing w:val="-6"/>
        </w:rPr>
        <w:t> </w:t>
      </w:r>
      <w:r>
        <w:rPr>
          <w:spacing w:val="-2"/>
        </w:rPr>
        <w:t>reveal</w:t>
      </w:r>
      <w:r>
        <w:rPr>
          <w:spacing w:val="-9"/>
        </w:rPr>
        <w:t> </w:t>
      </w:r>
      <w:r>
        <w:rPr>
          <w:spacing w:val="-2"/>
        </w:rPr>
        <w:t>a</w:t>
      </w:r>
      <w:r>
        <w:rPr>
          <w:spacing w:val="-4"/>
        </w:rPr>
        <w:t> </w:t>
      </w:r>
      <w:r>
        <w:rPr>
          <w:spacing w:val="-2"/>
        </w:rPr>
        <w:t>complex</w:t>
      </w:r>
      <w:r>
        <w:rPr>
          <w:spacing w:val="-9"/>
        </w:rPr>
        <w:t> </w:t>
      </w:r>
      <w:r>
        <w:rPr>
          <w:spacing w:val="-2"/>
        </w:rPr>
        <w:t>interplay </w:t>
      </w:r>
      <w:r>
        <w:rPr/>
        <w:t>of</w:t>
      </w:r>
      <w:r>
        <w:rPr>
          <w:spacing w:val="-4"/>
        </w:rPr>
        <w:t> </w:t>
      </w:r>
      <w:r>
        <w:rPr/>
        <w:t>desire,</w:t>
      </w:r>
      <w:r>
        <w:rPr>
          <w:spacing w:val="-2"/>
        </w:rPr>
        <w:t> </w:t>
      </w:r>
      <w:r>
        <w:rPr/>
        <w:t>emotion, psychology, and</w:t>
      </w:r>
      <w:r>
        <w:rPr>
          <w:spacing w:val="-2"/>
        </w:rPr>
        <w:t> </w:t>
      </w:r>
      <w:r>
        <w:rPr/>
        <w:t>transformation.</w:t>
      </w:r>
      <w:r>
        <w:rPr>
          <w:spacing w:val="-2"/>
        </w:rPr>
        <w:t> </w:t>
      </w:r>
      <w:r>
        <w:rPr/>
        <w:t>Her ambition</w:t>
      </w:r>
      <w:r>
        <w:rPr>
          <w:spacing w:val="-4"/>
        </w:rPr>
        <w:t> </w:t>
      </w:r>
      <w:r>
        <w:rPr/>
        <w:t>is</w:t>
      </w:r>
      <w:r>
        <w:rPr>
          <w:spacing w:val="-2"/>
        </w:rPr>
        <w:t> </w:t>
      </w:r>
      <w:r>
        <w:rPr/>
        <w:t>not simply a goal-oriented pursuit but a multi-layered force that combines passion, emotional connection, internal reconstruction, and sensory </w:t>
      </w:r>
      <w:r>
        <w:rPr>
          <w:spacing w:val="-2"/>
        </w:rPr>
        <w:t>intensity.</w:t>
      </w:r>
    </w:p>
    <w:p>
      <w:pPr>
        <w:pStyle w:val="BodyText"/>
        <w:spacing w:line="264" w:lineRule="auto" w:before="52"/>
        <w:ind w:right="1440" w:firstLine="432"/>
        <w:jc w:val="both"/>
      </w:pPr>
      <w:r>
        <w:rPr/>
        <w:t>Initially, this force empowers her, enabling decisive action and </w:t>
      </w:r>
      <w:r>
        <w:rPr>
          <w:spacing w:val="-2"/>
        </w:rPr>
        <w:t>control.</w:t>
      </w:r>
      <w:r>
        <w:rPr>
          <w:spacing w:val="-9"/>
        </w:rPr>
        <w:t> </w:t>
      </w:r>
      <w:r>
        <w:rPr>
          <w:spacing w:val="-2"/>
        </w:rPr>
        <w:t>However,</w:t>
      </w:r>
      <w:r>
        <w:rPr>
          <w:spacing w:val="-6"/>
        </w:rPr>
        <w:t> </w:t>
      </w:r>
      <w:r>
        <w:rPr>
          <w:spacing w:val="-2"/>
        </w:rPr>
        <w:t>as</w:t>
      </w:r>
      <w:r>
        <w:rPr>
          <w:spacing w:val="-10"/>
        </w:rPr>
        <w:t> </w:t>
      </w:r>
      <w:r>
        <w:rPr>
          <w:spacing w:val="-2"/>
        </w:rPr>
        <w:t>the</w:t>
      </w:r>
      <w:r>
        <w:rPr>
          <w:spacing w:val="-6"/>
        </w:rPr>
        <w:t> </w:t>
      </w:r>
      <w:r>
        <w:rPr>
          <w:spacing w:val="-2"/>
        </w:rPr>
        <w:t>narrative</w:t>
      </w:r>
      <w:r>
        <w:rPr>
          <w:spacing w:val="-6"/>
        </w:rPr>
        <w:t> </w:t>
      </w:r>
      <w:r>
        <w:rPr>
          <w:spacing w:val="-2"/>
        </w:rPr>
        <w:t>progresses,</w:t>
      </w:r>
      <w:r>
        <w:rPr>
          <w:spacing w:val="-6"/>
        </w:rPr>
        <w:t> </w:t>
      </w:r>
      <w:r>
        <w:rPr>
          <w:spacing w:val="-2"/>
        </w:rPr>
        <w:t>the</w:t>
      </w:r>
      <w:r>
        <w:rPr>
          <w:spacing w:val="-8"/>
        </w:rPr>
        <w:t> </w:t>
      </w:r>
      <w:r>
        <w:rPr>
          <w:spacing w:val="-2"/>
        </w:rPr>
        <w:t>same</w:t>
      </w:r>
      <w:r>
        <w:rPr>
          <w:spacing w:val="-6"/>
        </w:rPr>
        <w:t> </w:t>
      </w:r>
      <w:r>
        <w:rPr>
          <w:spacing w:val="-2"/>
        </w:rPr>
        <w:t>intensity</w:t>
      </w:r>
      <w:r>
        <w:rPr>
          <w:spacing w:val="-11"/>
        </w:rPr>
        <w:t> </w:t>
      </w:r>
      <w:r>
        <w:rPr>
          <w:spacing w:val="-2"/>
        </w:rPr>
        <w:t>becomes </w:t>
      </w:r>
      <w:r>
        <w:rPr/>
        <w:t>destabilizing. Desire turns into obsession, connection into isolation,</w:t>
      </w:r>
      <w:r>
        <w:rPr>
          <w:spacing w:val="80"/>
        </w:rPr>
        <w:t> </w:t>
      </w:r>
      <w:r>
        <w:rPr/>
        <w:t>and</w:t>
      </w:r>
      <w:r>
        <w:rPr>
          <w:spacing w:val="40"/>
        </w:rPr>
        <w:t> </w:t>
      </w:r>
      <w:r>
        <w:rPr/>
        <w:t>control</w:t>
      </w:r>
      <w:r>
        <w:rPr>
          <w:spacing w:val="40"/>
        </w:rPr>
        <w:t> </w:t>
      </w:r>
      <w:r>
        <w:rPr/>
        <w:t>into</w:t>
      </w:r>
      <w:r>
        <w:rPr>
          <w:spacing w:val="40"/>
        </w:rPr>
        <w:t> </w:t>
      </w:r>
      <w:r>
        <w:rPr/>
        <w:t>psychological</w:t>
      </w:r>
      <w:r>
        <w:rPr>
          <w:spacing w:val="40"/>
        </w:rPr>
        <w:t> </w:t>
      </w:r>
      <w:r>
        <w:rPr/>
        <w:t>collapse.</w:t>
      </w:r>
    </w:p>
    <w:p>
      <w:pPr>
        <w:pStyle w:val="BodyText"/>
        <w:spacing w:line="264" w:lineRule="auto" w:before="54"/>
        <w:ind w:right="1437" w:firstLine="432"/>
        <w:jc w:val="both"/>
      </w:pPr>
      <w:r>
        <w:rPr/>
        <w:t>Ultimately, Lady Macbeth demonstrates that when desire exceeds ethical boundaries and self-awareness, it ceases to be a source of strength and instead becomes a destructive force that consumes both</w:t>
      </w:r>
      <w:r>
        <w:rPr>
          <w:spacing w:val="40"/>
        </w:rPr>
        <w:t> </w:t>
      </w:r>
      <w:r>
        <w:rPr/>
        <w:t>the individual and their reality.</w:t>
      </w:r>
    </w:p>
    <w:p>
      <w:pPr>
        <w:pStyle w:val="Heading3"/>
        <w:spacing w:before="149"/>
      </w:pPr>
      <w:r>
        <w:rPr>
          <w:w w:val="85"/>
        </w:rPr>
        <w:t>VII.</w:t>
      </w:r>
      <w:r>
        <w:rPr>
          <w:spacing w:val="-10"/>
          <w:w w:val="85"/>
        </w:rPr>
        <w:t> </w:t>
      </w:r>
      <w:r>
        <w:rPr>
          <w:w w:val="85"/>
        </w:rPr>
        <w:t>APPARITION</w:t>
      </w:r>
      <w:r>
        <w:rPr>
          <w:spacing w:val="-9"/>
          <w:w w:val="85"/>
        </w:rPr>
        <w:t> </w:t>
      </w:r>
      <w:r>
        <w:rPr>
          <w:spacing w:val="-2"/>
          <w:w w:val="85"/>
        </w:rPr>
        <w:t>APPROACH</w:t>
      </w:r>
    </w:p>
    <w:p>
      <w:pPr>
        <w:pStyle w:val="BodyText"/>
        <w:spacing w:line="264" w:lineRule="auto" w:before="90"/>
        <w:ind w:right="1434" w:firstLine="432"/>
        <w:jc w:val="both"/>
      </w:pPr>
      <w:r>
        <w:rPr/>
        <w:t>The “Apparition Approach” to Lady Macbeth in Macbeth by William Shakespeare interprets her character through the lens of supernatural presence, psychological haunting, and illusionary experience. Rather than viewing apparitions as merely external ghostly figures, this approach expands the concept to include inner visions, guilt-induced</w:t>
      </w:r>
      <w:r>
        <w:rPr>
          <w:spacing w:val="-8"/>
        </w:rPr>
        <w:t> </w:t>
      </w:r>
      <w:r>
        <w:rPr/>
        <w:t>hallucinations,</w:t>
      </w:r>
      <w:r>
        <w:rPr>
          <w:spacing w:val="-6"/>
        </w:rPr>
        <w:t> </w:t>
      </w:r>
      <w:r>
        <w:rPr/>
        <w:t>and</w:t>
      </w:r>
      <w:r>
        <w:rPr>
          <w:spacing w:val="-8"/>
        </w:rPr>
        <w:t> </w:t>
      </w:r>
      <w:r>
        <w:rPr/>
        <w:t>the</w:t>
      </w:r>
      <w:r>
        <w:rPr>
          <w:spacing w:val="-9"/>
        </w:rPr>
        <w:t> </w:t>
      </w:r>
      <w:r>
        <w:rPr/>
        <w:t>blurring</w:t>
      </w:r>
      <w:r>
        <w:rPr>
          <w:spacing w:val="-8"/>
        </w:rPr>
        <w:t> </w:t>
      </w:r>
      <w:r>
        <w:rPr/>
        <w:t>of</w:t>
      </w:r>
      <w:r>
        <w:rPr>
          <w:spacing w:val="-9"/>
        </w:rPr>
        <w:t> </w:t>
      </w:r>
      <w:r>
        <w:rPr/>
        <w:t>reality</w:t>
      </w:r>
      <w:r>
        <w:rPr>
          <w:spacing w:val="-9"/>
        </w:rPr>
        <w:t> </w:t>
      </w:r>
      <w:r>
        <w:rPr/>
        <w:t>and</w:t>
      </w:r>
      <w:r>
        <w:rPr>
          <w:spacing w:val="-8"/>
        </w:rPr>
        <w:t> </w:t>
      </w:r>
      <w:r>
        <w:rPr/>
        <w:t>imagination. In this sense, Lady Macbeth herself becomes both a creator of dark forces</w:t>
      </w:r>
      <w:r>
        <w:rPr>
          <w:spacing w:val="-13"/>
        </w:rPr>
        <w:t> </w:t>
      </w:r>
      <w:r>
        <w:rPr/>
        <w:t>and</w:t>
      </w:r>
      <w:r>
        <w:rPr>
          <w:spacing w:val="-12"/>
        </w:rPr>
        <w:t> </w:t>
      </w:r>
      <w:r>
        <w:rPr/>
        <w:t>a</w:t>
      </w:r>
      <w:r>
        <w:rPr>
          <w:spacing w:val="-13"/>
        </w:rPr>
        <w:t> </w:t>
      </w:r>
      <w:r>
        <w:rPr/>
        <w:t>victim</w:t>
      </w:r>
      <w:r>
        <w:rPr>
          <w:spacing w:val="-12"/>
        </w:rPr>
        <w:t> </w:t>
      </w:r>
      <w:r>
        <w:rPr/>
        <w:t>of</w:t>
      </w:r>
      <w:r>
        <w:rPr>
          <w:spacing w:val="-13"/>
        </w:rPr>
        <w:t> </w:t>
      </w:r>
      <w:r>
        <w:rPr/>
        <w:t>the</w:t>
      </w:r>
      <w:r>
        <w:rPr>
          <w:spacing w:val="-12"/>
        </w:rPr>
        <w:t> </w:t>
      </w:r>
      <w:r>
        <w:rPr/>
        <w:t>apparitions</w:t>
      </w:r>
      <w:r>
        <w:rPr>
          <w:spacing w:val="-12"/>
        </w:rPr>
        <w:t> </w:t>
      </w:r>
      <w:r>
        <w:rPr/>
        <w:t>that</w:t>
      </w:r>
      <w:r>
        <w:rPr>
          <w:spacing w:val="-12"/>
        </w:rPr>
        <w:t> </w:t>
      </w:r>
      <w:r>
        <w:rPr/>
        <w:t>arise</w:t>
      </w:r>
      <w:r>
        <w:rPr>
          <w:spacing w:val="-10"/>
        </w:rPr>
        <w:t> </w:t>
      </w:r>
      <w:r>
        <w:rPr/>
        <w:t>from</w:t>
      </w:r>
      <w:r>
        <w:rPr>
          <w:spacing w:val="-13"/>
        </w:rPr>
        <w:t> </w:t>
      </w:r>
      <w:r>
        <w:rPr/>
        <w:t>her</w:t>
      </w:r>
      <w:r>
        <w:rPr>
          <w:spacing w:val="-11"/>
        </w:rPr>
        <w:t> </w:t>
      </w:r>
      <w:r>
        <w:rPr/>
        <w:t>own</w:t>
      </w:r>
      <w:r>
        <w:rPr>
          <w:spacing w:val="-13"/>
        </w:rPr>
        <w:t> </w:t>
      </w:r>
      <w:r>
        <w:rPr>
          <w:spacing w:val="-2"/>
        </w:rPr>
        <w:t>conscience.</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03232">
                <wp:simplePos x="0" y="0"/>
                <wp:positionH relativeFrom="page">
                  <wp:posOffset>2057400</wp:posOffset>
                </wp:positionH>
                <wp:positionV relativeFrom="paragraph">
                  <wp:posOffset>162604</wp:posOffset>
                </wp:positionV>
                <wp:extent cx="3657600" cy="12700"/>
                <wp:effectExtent l="0" t="0" r="0" b="0"/>
                <wp:wrapTopAndBottom/>
                <wp:docPr id="835" name="Graphic 835"/>
                <wp:cNvGraphicFramePr>
                  <a:graphicFrameLocks/>
                </wp:cNvGraphicFramePr>
                <a:graphic>
                  <a:graphicData uri="http://schemas.microsoft.com/office/word/2010/wordprocessingShape">
                    <wps:wsp>
                      <wps:cNvPr id="835" name="Graphic 83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13248;mso-wrap-distance-left:0;mso-wrap-distance-right:0" id="docshape827" filled="true" fillcolor="#000000" stroked="false">
                <v:fill type="solid"/>
                <w10:wrap type="topAndBottom"/>
              </v:rect>
            </w:pict>
          </mc:Fallback>
        </mc:AlternateContent>
      </w:r>
      <w:r>
        <w:rPr>
          <w:rFonts w:ascii="Verdana"/>
          <w:spacing w:val="-5"/>
          <w:sz w:val="18"/>
        </w:rPr>
        <w:t>436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5"/>
        <w:numPr>
          <w:ilvl w:val="0"/>
          <w:numId w:val="91"/>
        </w:numPr>
        <w:tabs>
          <w:tab w:pos="1756" w:val="left" w:leader="none"/>
        </w:tabs>
        <w:spacing w:line="240" w:lineRule="auto" w:before="184" w:after="0"/>
        <w:ind w:left="1756" w:right="0" w:hanging="316"/>
        <w:jc w:val="left"/>
      </w:pPr>
      <w:r>
        <w:rPr>
          <w:w w:val="105"/>
        </w:rPr>
        <w:t>Apparition</w:t>
      </w:r>
      <w:r>
        <w:rPr>
          <w:spacing w:val="26"/>
          <w:w w:val="105"/>
        </w:rPr>
        <w:t>  </w:t>
      </w:r>
      <w:r>
        <w:rPr>
          <w:w w:val="105"/>
        </w:rPr>
        <w:t>as</w:t>
      </w:r>
      <w:r>
        <w:rPr>
          <w:spacing w:val="27"/>
          <w:w w:val="105"/>
        </w:rPr>
        <w:t>  </w:t>
      </w:r>
      <w:r>
        <w:rPr>
          <w:w w:val="105"/>
        </w:rPr>
        <w:t>Psychological</w:t>
      </w:r>
      <w:r>
        <w:rPr>
          <w:spacing w:val="27"/>
          <w:w w:val="105"/>
        </w:rPr>
        <w:t>  </w:t>
      </w:r>
      <w:r>
        <w:rPr>
          <w:spacing w:val="-2"/>
          <w:w w:val="105"/>
        </w:rPr>
        <w:t>Projection</w:t>
      </w:r>
    </w:p>
    <w:p>
      <w:pPr>
        <w:pStyle w:val="BodyText"/>
        <w:spacing w:line="232" w:lineRule="auto" w:before="65"/>
        <w:ind w:right="1440" w:firstLine="432"/>
        <w:jc w:val="both"/>
      </w:pPr>
      <w:r>
        <w:rPr/>
        <w:t>Unlike the witches who present visible supernatural elements, Lady Macbeth’s connection to apparitions is largely internal and psychological. Her invocation of spirits—calling upon unseen forces to “unsex” her—can be interpreted as the moment she opens herself to intangible</w:t>
      </w:r>
      <w:r>
        <w:rPr>
          <w:spacing w:val="40"/>
        </w:rPr>
        <w:t> </w:t>
      </w:r>
      <w:r>
        <w:rPr/>
        <w:t>influences.</w:t>
      </w:r>
    </w:p>
    <w:p>
      <w:pPr>
        <w:pStyle w:val="Heading6"/>
        <w:spacing w:before="58"/>
      </w:pPr>
      <w:r>
        <w:rPr>
          <w:spacing w:val="-2"/>
        </w:rPr>
        <w:t>Analytically:</w:t>
      </w:r>
    </w:p>
    <w:p>
      <w:pPr>
        <w:pStyle w:val="ListParagraph"/>
        <w:numPr>
          <w:ilvl w:val="1"/>
          <w:numId w:val="91"/>
        </w:numPr>
        <w:tabs>
          <w:tab w:pos="2159" w:val="left" w:leader="none"/>
        </w:tabs>
        <w:spacing w:line="240" w:lineRule="auto" w:before="51" w:after="0"/>
        <w:ind w:left="2159" w:right="0" w:hanging="239"/>
        <w:jc w:val="left"/>
        <w:rPr>
          <w:sz w:val="20"/>
        </w:rPr>
      </w:pPr>
      <w:r>
        <w:rPr>
          <w:sz w:val="20"/>
        </w:rPr>
        <w:t>Apparitions</w:t>
      </w:r>
      <w:r>
        <w:rPr>
          <w:spacing w:val="4"/>
          <w:sz w:val="20"/>
        </w:rPr>
        <w:t> </w:t>
      </w:r>
      <w:r>
        <w:rPr>
          <w:sz w:val="20"/>
        </w:rPr>
        <w:t>function</w:t>
      </w:r>
      <w:r>
        <w:rPr>
          <w:spacing w:val="7"/>
          <w:sz w:val="20"/>
        </w:rPr>
        <w:t> </w:t>
      </w:r>
      <w:r>
        <w:rPr>
          <w:sz w:val="20"/>
        </w:rPr>
        <w:t>as</w:t>
      </w:r>
      <w:r>
        <w:rPr>
          <w:spacing w:val="4"/>
          <w:sz w:val="20"/>
        </w:rPr>
        <w:t> </w:t>
      </w:r>
      <w:r>
        <w:rPr>
          <w:sz w:val="20"/>
        </w:rPr>
        <w:t>manifestations</w:t>
      </w:r>
      <w:r>
        <w:rPr>
          <w:spacing w:val="7"/>
          <w:sz w:val="20"/>
        </w:rPr>
        <w:t> </w:t>
      </w:r>
      <w:r>
        <w:rPr>
          <w:sz w:val="20"/>
        </w:rPr>
        <w:t>of</w:t>
      </w:r>
      <w:r>
        <w:rPr>
          <w:spacing w:val="4"/>
          <w:sz w:val="20"/>
        </w:rPr>
        <w:t> </w:t>
      </w:r>
      <w:r>
        <w:rPr>
          <w:sz w:val="20"/>
        </w:rPr>
        <w:t>suppressed</w:t>
      </w:r>
      <w:r>
        <w:rPr>
          <w:spacing w:val="9"/>
          <w:sz w:val="20"/>
        </w:rPr>
        <w:t> </w:t>
      </w:r>
      <w:r>
        <w:rPr>
          <w:spacing w:val="-2"/>
          <w:sz w:val="20"/>
        </w:rPr>
        <w:t>thoughts</w:t>
      </w:r>
    </w:p>
    <w:p>
      <w:pPr>
        <w:pStyle w:val="ListParagraph"/>
        <w:numPr>
          <w:ilvl w:val="1"/>
          <w:numId w:val="91"/>
        </w:numPr>
        <w:tabs>
          <w:tab w:pos="2159" w:val="left" w:leader="none"/>
        </w:tabs>
        <w:spacing w:line="240" w:lineRule="auto" w:before="53" w:after="0"/>
        <w:ind w:left="2159" w:right="0" w:hanging="239"/>
        <w:jc w:val="left"/>
        <w:rPr>
          <w:sz w:val="20"/>
        </w:rPr>
      </w:pPr>
      <w:r>
        <w:rPr>
          <w:sz w:val="20"/>
        </w:rPr>
        <w:t>They</w:t>
      </w:r>
      <w:r>
        <w:rPr>
          <w:spacing w:val="13"/>
          <w:sz w:val="20"/>
        </w:rPr>
        <w:t> </w:t>
      </w:r>
      <w:r>
        <w:rPr>
          <w:sz w:val="20"/>
        </w:rPr>
        <w:t>emerge</w:t>
      </w:r>
      <w:r>
        <w:rPr>
          <w:spacing w:val="19"/>
          <w:sz w:val="20"/>
        </w:rPr>
        <w:t> </w:t>
      </w:r>
      <w:r>
        <w:rPr>
          <w:sz w:val="20"/>
        </w:rPr>
        <w:t>when</w:t>
      </w:r>
      <w:r>
        <w:rPr>
          <w:spacing w:val="17"/>
          <w:sz w:val="20"/>
        </w:rPr>
        <w:t> </w:t>
      </w:r>
      <w:r>
        <w:rPr>
          <w:sz w:val="20"/>
        </w:rPr>
        <w:t>moral</w:t>
      </w:r>
      <w:r>
        <w:rPr>
          <w:spacing w:val="18"/>
          <w:sz w:val="20"/>
        </w:rPr>
        <w:t> </w:t>
      </w:r>
      <w:r>
        <w:rPr>
          <w:sz w:val="20"/>
        </w:rPr>
        <w:t>boundaries</w:t>
      </w:r>
      <w:r>
        <w:rPr>
          <w:spacing w:val="19"/>
          <w:sz w:val="20"/>
        </w:rPr>
        <w:t> </w:t>
      </w:r>
      <w:r>
        <w:rPr>
          <w:sz w:val="20"/>
        </w:rPr>
        <w:t>are</w:t>
      </w:r>
      <w:r>
        <w:rPr>
          <w:spacing w:val="18"/>
          <w:sz w:val="20"/>
        </w:rPr>
        <w:t> </w:t>
      </w:r>
      <w:r>
        <w:rPr>
          <w:spacing w:val="-2"/>
          <w:sz w:val="20"/>
        </w:rPr>
        <w:t>violated</w:t>
      </w:r>
    </w:p>
    <w:p>
      <w:pPr>
        <w:pStyle w:val="ListParagraph"/>
        <w:numPr>
          <w:ilvl w:val="1"/>
          <w:numId w:val="91"/>
        </w:numPr>
        <w:tabs>
          <w:tab w:pos="2159" w:val="left" w:leader="none"/>
        </w:tabs>
        <w:spacing w:line="284" w:lineRule="exact" w:before="10" w:after="0"/>
        <w:ind w:left="1872" w:right="1442" w:firstLine="48"/>
        <w:jc w:val="left"/>
        <w:rPr>
          <w:sz w:val="20"/>
        </w:rPr>
      </w:pPr>
      <w:r>
        <w:rPr>
          <w:sz w:val="20"/>
        </w:rPr>
        <w:t>They</w:t>
      </w:r>
      <w:r>
        <w:rPr>
          <w:spacing w:val="27"/>
          <w:sz w:val="20"/>
        </w:rPr>
        <w:t> </w:t>
      </w:r>
      <w:r>
        <w:rPr>
          <w:sz w:val="20"/>
        </w:rPr>
        <w:t>represent</w:t>
      </w:r>
      <w:r>
        <w:rPr>
          <w:spacing w:val="33"/>
          <w:sz w:val="20"/>
        </w:rPr>
        <w:t> </w:t>
      </w:r>
      <w:r>
        <w:rPr>
          <w:sz w:val="20"/>
        </w:rPr>
        <w:t>the</w:t>
      </w:r>
      <w:r>
        <w:rPr>
          <w:spacing w:val="29"/>
          <w:sz w:val="20"/>
        </w:rPr>
        <w:t> </w:t>
      </w:r>
      <w:r>
        <w:rPr>
          <w:sz w:val="20"/>
        </w:rPr>
        <w:t>mind’s</w:t>
      </w:r>
      <w:r>
        <w:rPr>
          <w:spacing w:val="31"/>
          <w:sz w:val="20"/>
        </w:rPr>
        <w:t> </w:t>
      </w:r>
      <w:r>
        <w:rPr>
          <w:sz w:val="20"/>
        </w:rPr>
        <w:t>attempt</w:t>
      </w:r>
      <w:r>
        <w:rPr>
          <w:spacing w:val="31"/>
          <w:sz w:val="20"/>
        </w:rPr>
        <w:t> </w:t>
      </w:r>
      <w:r>
        <w:rPr>
          <w:sz w:val="20"/>
        </w:rPr>
        <w:t>to</w:t>
      </w:r>
      <w:r>
        <w:rPr>
          <w:spacing w:val="33"/>
          <w:sz w:val="20"/>
        </w:rPr>
        <w:t> </w:t>
      </w:r>
      <w:r>
        <w:rPr>
          <w:sz w:val="20"/>
        </w:rPr>
        <w:t>process</w:t>
      </w:r>
      <w:r>
        <w:rPr>
          <w:spacing w:val="29"/>
          <w:sz w:val="20"/>
        </w:rPr>
        <w:t> </w:t>
      </w:r>
      <w:r>
        <w:rPr>
          <w:sz w:val="20"/>
        </w:rPr>
        <w:t>guilt</w:t>
      </w:r>
      <w:r>
        <w:rPr>
          <w:spacing w:val="33"/>
          <w:sz w:val="20"/>
        </w:rPr>
        <w:t> </w:t>
      </w:r>
      <w:r>
        <w:rPr>
          <w:sz w:val="20"/>
        </w:rPr>
        <w:t>and</w:t>
      </w:r>
      <w:r>
        <w:rPr>
          <w:spacing w:val="33"/>
          <w:sz w:val="20"/>
        </w:rPr>
        <w:t> </w:t>
      </w:r>
      <w:r>
        <w:rPr>
          <w:sz w:val="20"/>
        </w:rPr>
        <w:t>fear Lady</w:t>
      </w:r>
      <w:r>
        <w:rPr>
          <w:spacing w:val="-13"/>
          <w:sz w:val="20"/>
        </w:rPr>
        <w:t> </w:t>
      </w:r>
      <w:r>
        <w:rPr>
          <w:sz w:val="20"/>
        </w:rPr>
        <w:t>Macbeth</w:t>
      </w:r>
      <w:r>
        <w:rPr>
          <w:spacing w:val="-7"/>
          <w:sz w:val="20"/>
        </w:rPr>
        <w:t> </w:t>
      </w:r>
      <w:r>
        <w:rPr>
          <w:sz w:val="20"/>
        </w:rPr>
        <w:t>does</w:t>
      </w:r>
      <w:r>
        <w:rPr>
          <w:spacing w:val="-9"/>
          <w:sz w:val="20"/>
        </w:rPr>
        <w:t> </w:t>
      </w:r>
      <w:r>
        <w:rPr>
          <w:sz w:val="20"/>
        </w:rPr>
        <w:t>not</w:t>
      </w:r>
      <w:r>
        <w:rPr>
          <w:spacing w:val="-9"/>
          <w:sz w:val="20"/>
        </w:rPr>
        <w:t> </w:t>
      </w:r>
      <w:r>
        <w:rPr>
          <w:sz w:val="20"/>
        </w:rPr>
        <w:t>initially</w:t>
      </w:r>
      <w:r>
        <w:rPr>
          <w:spacing w:val="-9"/>
          <w:sz w:val="20"/>
        </w:rPr>
        <w:t> </w:t>
      </w:r>
      <w:r>
        <w:rPr>
          <w:sz w:val="20"/>
        </w:rPr>
        <w:t>see</w:t>
      </w:r>
      <w:r>
        <w:rPr>
          <w:spacing w:val="-9"/>
          <w:sz w:val="20"/>
        </w:rPr>
        <w:t> </w:t>
      </w:r>
      <w:r>
        <w:rPr>
          <w:sz w:val="20"/>
        </w:rPr>
        <w:t>visions</w:t>
      </w:r>
      <w:r>
        <w:rPr>
          <w:spacing w:val="-9"/>
          <w:sz w:val="20"/>
        </w:rPr>
        <w:t> </w:t>
      </w:r>
      <w:r>
        <w:rPr>
          <w:sz w:val="20"/>
        </w:rPr>
        <w:t>like</w:t>
      </w:r>
      <w:r>
        <w:rPr>
          <w:spacing w:val="-8"/>
          <w:sz w:val="20"/>
        </w:rPr>
        <w:t> </w:t>
      </w:r>
      <w:r>
        <w:rPr>
          <w:sz w:val="20"/>
        </w:rPr>
        <w:t>Macbeth’s</w:t>
      </w:r>
      <w:r>
        <w:rPr>
          <w:spacing w:val="-9"/>
          <w:sz w:val="20"/>
        </w:rPr>
        <w:t> </w:t>
      </w:r>
      <w:r>
        <w:rPr>
          <w:sz w:val="20"/>
        </w:rPr>
        <w:t>dagger,</w:t>
      </w:r>
    </w:p>
    <w:p>
      <w:pPr>
        <w:pStyle w:val="BodyText"/>
        <w:spacing w:line="207" w:lineRule="exact"/>
      </w:pPr>
      <w:r>
        <w:rPr/>
        <w:t>but</w:t>
      </w:r>
      <w:r>
        <w:rPr>
          <w:spacing w:val="38"/>
        </w:rPr>
        <w:t> </w:t>
      </w:r>
      <w:r>
        <w:rPr/>
        <w:t>she</w:t>
      </w:r>
      <w:r>
        <w:rPr>
          <w:spacing w:val="37"/>
        </w:rPr>
        <w:t> </w:t>
      </w:r>
      <w:r>
        <w:rPr/>
        <w:t>creates</w:t>
      </w:r>
      <w:r>
        <w:rPr>
          <w:spacing w:val="38"/>
        </w:rPr>
        <w:t> </w:t>
      </w:r>
      <w:r>
        <w:rPr/>
        <w:t>the</w:t>
      </w:r>
      <w:r>
        <w:rPr>
          <w:spacing w:val="39"/>
        </w:rPr>
        <w:t> </w:t>
      </w:r>
      <w:r>
        <w:rPr/>
        <w:t>conditions</w:t>
      </w:r>
      <w:r>
        <w:rPr>
          <w:spacing w:val="36"/>
        </w:rPr>
        <w:t> </w:t>
      </w:r>
      <w:r>
        <w:rPr/>
        <w:t>for</w:t>
      </w:r>
      <w:r>
        <w:rPr>
          <w:spacing w:val="39"/>
        </w:rPr>
        <w:t> </w:t>
      </w:r>
      <w:r>
        <w:rPr/>
        <w:t>such</w:t>
      </w:r>
      <w:r>
        <w:rPr>
          <w:spacing w:val="35"/>
        </w:rPr>
        <w:t> </w:t>
      </w:r>
      <w:r>
        <w:rPr/>
        <w:t>visions</w:t>
      </w:r>
      <w:r>
        <w:rPr>
          <w:spacing w:val="38"/>
        </w:rPr>
        <w:t> </w:t>
      </w:r>
      <w:r>
        <w:rPr/>
        <w:t>to</w:t>
      </w:r>
      <w:r>
        <w:rPr>
          <w:spacing w:val="38"/>
        </w:rPr>
        <w:t> </w:t>
      </w:r>
      <w:r>
        <w:rPr/>
        <w:t>exist,</w:t>
      </w:r>
      <w:r>
        <w:rPr>
          <w:spacing w:val="37"/>
        </w:rPr>
        <w:t> </w:t>
      </w:r>
      <w:r>
        <w:rPr/>
        <w:t>both</w:t>
      </w:r>
      <w:r>
        <w:rPr>
          <w:spacing w:val="38"/>
        </w:rPr>
        <w:t> </w:t>
      </w:r>
      <w:r>
        <w:rPr>
          <w:spacing w:val="-2"/>
        </w:rPr>
        <w:t>within</w:t>
      </w:r>
    </w:p>
    <w:p>
      <w:pPr>
        <w:pStyle w:val="BodyText"/>
        <w:spacing w:line="228" w:lineRule="exact"/>
      </w:pPr>
      <w:r>
        <w:rPr/>
        <w:t>herself</w:t>
      </w:r>
      <w:r>
        <w:rPr>
          <w:spacing w:val="21"/>
        </w:rPr>
        <w:t> </w:t>
      </w:r>
      <w:r>
        <w:rPr/>
        <w:t>and</w:t>
      </w:r>
      <w:r>
        <w:rPr>
          <w:spacing w:val="27"/>
        </w:rPr>
        <w:t> </w:t>
      </w:r>
      <w:r>
        <w:rPr/>
        <w:t>within</w:t>
      </w:r>
      <w:r>
        <w:rPr>
          <w:spacing w:val="24"/>
        </w:rPr>
        <w:t> </w:t>
      </w:r>
      <w:r>
        <w:rPr>
          <w:spacing w:val="-2"/>
        </w:rPr>
        <w:t>Macbeth.</w:t>
      </w:r>
    </w:p>
    <w:p>
      <w:pPr>
        <w:pStyle w:val="Heading5"/>
        <w:numPr>
          <w:ilvl w:val="0"/>
          <w:numId w:val="91"/>
        </w:numPr>
        <w:tabs>
          <w:tab w:pos="1736" w:val="left" w:leader="none"/>
        </w:tabs>
        <w:spacing w:line="240" w:lineRule="auto" w:before="101" w:after="0"/>
        <w:ind w:left="1736" w:right="0" w:hanging="296"/>
        <w:jc w:val="left"/>
      </w:pPr>
      <w:r>
        <w:rPr/>
        <w:t>The</w:t>
      </w:r>
      <w:r>
        <w:rPr>
          <w:spacing w:val="64"/>
        </w:rPr>
        <w:t> </w:t>
      </w:r>
      <w:r>
        <w:rPr/>
        <w:t>Shift</w:t>
      </w:r>
      <w:r>
        <w:rPr>
          <w:spacing w:val="62"/>
        </w:rPr>
        <w:t> </w:t>
      </w:r>
      <w:r>
        <w:rPr/>
        <w:t>from</w:t>
      </w:r>
      <w:r>
        <w:rPr>
          <w:spacing w:val="64"/>
        </w:rPr>
        <w:t> </w:t>
      </w:r>
      <w:r>
        <w:rPr/>
        <w:t>Control</w:t>
      </w:r>
      <w:r>
        <w:rPr>
          <w:spacing w:val="62"/>
        </w:rPr>
        <w:t> </w:t>
      </w:r>
      <w:r>
        <w:rPr/>
        <w:t>to</w:t>
      </w:r>
      <w:r>
        <w:rPr>
          <w:spacing w:val="64"/>
        </w:rPr>
        <w:t> </w:t>
      </w:r>
      <w:r>
        <w:rPr>
          <w:spacing w:val="-2"/>
        </w:rPr>
        <w:t>Haunting</w:t>
      </w:r>
    </w:p>
    <w:p>
      <w:pPr>
        <w:pStyle w:val="BodyText"/>
        <w:spacing w:line="232" w:lineRule="auto" w:before="60"/>
        <w:ind w:right="1437" w:firstLine="432"/>
        <w:jc w:val="both"/>
      </w:pPr>
      <w:r>
        <w:rPr/>
        <w:t>At the beginning, Lady Macbeth appears immune to fear. She dismisses guilt as weakness and believes that determination alone can suppress conscience. However, as the narrative progresses, this confidence</w:t>
      </w:r>
      <w:r>
        <w:rPr>
          <w:spacing w:val="40"/>
        </w:rPr>
        <w:t> </w:t>
      </w:r>
      <w:r>
        <w:rPr/>
        <w:t>collapses.</w:t>
      </w:r>
    </w:p>
    <w:p>
      <w:pPr>
        <w:pStyle w:val="ListParagraph"/>
        <w:numPr>
          <w:ilvl w:val="1"/>
          <w:numId w:val="91"/>
        </w:numPr>
        <w:tabs>
          <w:tab w:pos="2159" w:val="left" w:leader="none"/>
        </w:tabs>
        <w:spacing w:line="240" w:lineRule="auto" w:before="55" w:after="0"/>
        <w:ind w:left="2159" w:right="0" w:hanging="239"/>
        <w:jc w:val="left"/>
        <w:rPr>
          <w:sz w:val="20"/>
        </w:rPr>
      </w:pPr>
      <w:r>
        <w:rPr>
          <w:sz w:val="20"/>
        </w:rPr>
        <w:t>What</w:t>
      </w:r>
      <w:r>
        <w:rPr>
          <w:spacing w:val="28"/>
          <w:sz w:val="20"/>
        </w:rPr>
        <w:t> </w:t>
      </w:r>
      <w:r>
        <w:rPr>
          <w:sz w:val="20"/>
        </w:rPr>
        <w:t>was</w:t>
      </w:r>
      <w:r>
        <w:rPr>
          <w:spacing w:val="27"/>
          <w:sz w:val="20"/>
        </w:rPr>
        <w:t> </w:t>
      </w:r>
      <w:r>
        <w:rPr>
          <w:sz w:val="20"/>
        </w:rPr>
        <w:t>once</w:t>
      </w:r>
      <w:r>
        <w:rPr>
          <w:spacing w:val="29"/>
          <w:sz w:val="20"/>
        </w:rPr>
        <w:t> </w:t>
      </w:r>
      <w:r>
        <w:rPr>
          <w:sz w:val="20"/>
        </w:rPr>
        <w:t>controlled</w:t>
      </w:r>
      <w:r>
        <w:rPr>
          <w:spacing w:val="29"/>
          <w:sz w:val="20"/>
        </w:rPr>
        <w:t> </w:t>
      </w:r>
      <w:r>
        <w:rPr>
          <w:sz w:val="20"/>
        </w:rPr>
        <w:t>becomes</w:t>
      </w:r>
      <w:r>
        <w:rPr>
          <w:spacing w:val="29"/>
          <w:sz w:val="20"/>
        </w:rPr>
        <w:t> </w:t>
      </w:r>
      <w:r>
        <w:rPr>
          <w:spacing w:val="-2"/>
          <w:sz w:val="20"/>
        </w:rPr>
        <w:t>uncontrollable</w:t>
      </w:r>
    </w:p>
    <w:p>
      <w:pPr>
        <w:pStyle w:val="ListParagraph"/>
        <w:numPr>
          <w:ilvl w:val="1"/>
          <w:numId w:val="91"/>
        </w:numPr>
        <w:tabs>
          <w:tab w:pos="2159" w:val="left" w:leader="none"/>
        </w:tabs>
        <w:spacing w:line="240" w:lineRule="auto" w:before="53" w:after="0"/>
        <w:ind w:left="2159" w:right="0" w:hanging="239"/>
        <w:jc w:val="left"/>
        <w:rPr>
          <w:sz w:val="20"/>
        </w:rPr>
      </w:pPr>
      <w:r>
        <w:rPr>
          <w:sz w:val="20"/>
        </w:rPr>
        <w:t>What</w:t>
      </w:r>
      <w:r>
        <w:rPr>
          <w:spacing w:val="28"/>
          <w:sz w:val="20"/>
        </w:rPr>
        <w:t> </w:t>
      </w:r>
      <w:r>
        <w:rPr>
          <w:sz w:val="20"/>
        </w:rPr>
        <w:t>was</w:t>
      </w:r>
      <w:r>
        <w:rPr>
          <w:spacing w:val="29"/>
          <w:sz w:val="20"/>
        </w:rPr>
        <w:t> </w:t>
      </w:r>
      <w:r>
        <w:rPr>
          <w:sz w:val="20"/>
        </w:rPr>
        <w:t>hidden</w:t>
      </w:r>
      <w:r>
        <w:rPr>
          <w:spacing w:val="29"/>
          <w:sz w:val="20"/>
        </w:rPr>
        <w:t> </w:t>
      </w:r>
      <w:r>
        <w:rPr>
          <w:sz w:val="20"/>
        </w:rPr>
        <w:t>becomes</w:t>
      </w:r>
      <w:r>
        <w:rPr>
          <w:spacing w:val="29"/>
          <w:sz w:val="20"/>
        </w:rPr>
        <w:t> </w:t>
      </w:r>
      <w:r>
        <w:rPr>
          <w:spacing w:val="-2"/>
          <w:sz w:val="20"/>
        </w:rPr>
        <w:t>visible</w:t>
      </w:r>
    </w:p>
    <w:p>
      <w:pPr>
        <w:pStyle w:val="ListParagraph"/>
        <w:numPr>
          <w:ilvl w:val="1"/>
          <w:numId w:val="91"/>
        </w:numPr>
        <w:tabs>
          <w:tab w:pos="2159" w:val="left" w:leader="none"/>
        </w:tabs>
        <w:spacing w:line="240" w:lineRule="auto" w:before="51" w:after="0"/>
        <w:ind w:left="2159" w:right="0" w:hanging="239"/>
        <w:jc w:val="left"/>
        <w:rPr>
          <w:sz w:val="20"/>
        </w:rPr>
      </w:pPr>
      <w:r>
        <w:rPr>
          <w:sz w:val="20"/>
        </w:rPr>
        <w:t>The</w:t>
      </w:r>
      <w:r>
        <w:rPr>
          <w:spacing w:val="26"/>
          <w:sz w:val="20"/>
        </w:rPr>
        <w:t> </w:t>
      </w:r>
      <w:r>
        <w:rPr>
          <w:sz w:val="20"/>
        </w:rPr>
        <w:t>mind</w:t>
      </w:r>
      <w:r>
        <w:rPr>
          <w:spacing w:val="30"/>
          <w:sz w:val="20"/>
        </w:rPr>
        <w:t> </w:t>
      </w:r>
      <w:r>
        <w:rPr>
          <w:sz w:val="20"/>
        </w:rPr>
        <w:t>transforms</w:t>
      </w:r>
      <w:r>
        <w:rPr>
          <w:spacing w:val="24"/>
          <w:sz w:val="20"/>
        </w:rPr>
        <w:t> </w:t>
      </w:r>
      <w:r>
        <w:rPr>
          <w:sz w:val="20"/>
        </w:rPr>
        <w:t>into</w:t>
      </w:r>
      <w:r>
        <w:rPr>
          <w:spacing w:val="28"/>
          <w:sz w:val="20"/>
        </w:rPr>
        <w:t> </w:t>
      </w:r>
      <w:r>
        <w:rPr>
          <w:sz w:val="20"/>
        </w:rPr>
        <w:t>a</w:t>
      </w:r>
      <w:r>
        <w:rPr>
          <w:spacing w:val="27"/>
          <w:sz w:val="20"/>
        </w:rPr>
        <w:t> </w:t>
      </w:r>
      <w:r>
        <w:rPr>
          <w:sz w:val="20"/>
        </w:rPr>
        <w:t>space</w:t>
      </w:r>
      <w:r>
        <w:rPr>
          <w:spacing w:val="29"/>
          <w:sz w:val="20"/>
        </w:rPr>
        <w:t> </w:t>
      </w:r>
      <w:r>
        <w:rPr>
          <w:sz w:val="20"/>
        </w:rPr>
        <w:t>of</w:t>
      </w:r>
      <w:r>
        <w:rPr>
          <w:spacing w:val="23"/>
          <w:sz w:val="20"/>
        </w:rPr>
        <w:t> </w:t>
      </w:r>
      <w:r>
        <w:rPr>
          <w:spacing w:val="-2"/>
          <w:sz w:val="20"/>
        </w:rPr>
        <w:t>haunting</w:t>
      </w:r>
    </w:p>
    <w:p>
      <w:pPr>
        <w:pStyle w:val="BodyText"/>
        <w:spacing w:line="232" w:lineRule="auto" w:before="59"/>
        <w:ind w:right="1440" w:firstLine="432"/>
        <w:jc w:val="both"/>
      </w:pPr>
      <w:r>
        <w:rPr>
          <w:spacing w:val="-2"/>
        </w:rPr>
        <w:t>Her</w:t>
      </w:r>
      <w:r>
        <w:rPr>
          <w:spacing w:val="-4"/>
        </w:rPr>
        <w:t> </w:t>
      </w:r>
      <w:r>
        <w:rPr>
          <w:spacing w:val="-2"/>
        </w:rPr>
        <w:t>sleepwalking</w:t>
      </w:r>
      <w:r>
        <w:rPr>
          <w:spacing w:val="-9"/>
        </w:rPr>
        <w:t> </w:t>
      </w:r>
      <w:r>
        <w:rPr>
          <w:spacing w:val="-2"/>
        </w:rPr>
        <w:t>scene</w:t>
      </w:r>
      <w:r>
        <w:rPr>
          <w:spacing w:val="-5"/>
        </w:rPr>
        <w:t> </w:t>
      </w:r>
      <w:r>
        <w:rPr>
          <w:spacing w:val="-2"/>
        </w:rPr>
        <w:t>is</w:t>
      </w:r>
      <w:r>
        <w:rPr>
          <w:spacing w:val="-9"/>
        </w:rPr>
        <w:t> </w:t>
      </w:r>
      <w:r>
        <w:rPr>
          <w:spacing w:val="-2"/>
        </w:rPr>
        <w:t>the</w:t>
      </w:r>
      <w:r>
        <w:rPr>
          <w:spacing w:val="-6"/>
        </w:rPr>
        <w:t> </w:t>
      </w:r>
      <w:r>
        <w:rPr>
          <w:spacing w:val="-2"/>
        </w:rPr>
        <w:t>clearest</w:t>
      </w:r>
      <w:r>
        <w:rPr>
          <w:spacing w:val="-6"/>
        </w:rPr>
        <w:t> </w:t>
      </w:r>
      <w:r>
        <w:rPr>
          <w:spacing w:val="-2"/>
        </w:rPr>
        <w:t>example.</w:t>
      </w:r>
      <w:r>
        <w:rPr>
          <w:spacing w:val="-4"/>
        </w:rPr>
        <w:t> </w:t>
      </w:r>
      <w:r>
        <w:rPr>
          <w:spacing w:val="-2"/>
        </w:rPr>
        <w:t>Though</w:t>
      </w:r>
      <w:r>
        <w:rPr>
          <w:spacing w:val="-9"/>
        </w:rPr>
        <w:t> </w:t>
      </w:r>
      <w:r>
        <w:rPr>
          <w:spacing w:val="-2"/>
        </w:rPr>
        <w:t>no</w:t>
      </w:r>
      <w:r>
        <w:rPr>
          <w:spacing w:val="-4"/>
        </w:rPr>
        <w:t> </w:t>
      </w:r>
      <w:r>
        <w:rPr>
          <w:spacing w:val="-2"/>
        </w:rPr>
        <w:t>physical </w:t>
      </w:r>
      <w:r>
        <w:rPr/>
        <w:t>apparition</w:t>
      </w:r>
      <w:r>
        <w:rPr>
          <w:spacing w:val="-13"/>
        </w:rPr>
        <w:t> </w:t>
      </w:r>
      <w:r>
        <w:rPr/>
        <w:t>appears,</w:t>
      </w:r>
      <w:r>
        <w:rPr>
          <w:spacing w:val="-12"/>
        </w:rPr>
        <w:t> </w:t>
      </w:r>
      <w:r>
        <w:rPr/>
        <w:t>her</w:t>
      </w:r>
      <w:r>
        <w:rPr>
          <w:spacing w:val="-13"/>
        </w:rPr>
        <w:t> </w:t>
      </w:r>
      <w:r>
        <w:rPr/>
        <w:t>behavior</w:t>
      </w:r>
      <w:r>
        <w:rPr>
          <w:spacing w:val="-12"/>
        </w:rPr>
        <w:t> </w:t>
      </w:r>
      <w:r>
        <w:rPr/>
        <w:t>suggests</w:t>
      </w:r>
      <w:r>
        <w:rPr>
          <w:spacing w:val="-13"/>
        </w:rPr>
        <w:t> </w:t>
      </w:r>
      <w:r>
        <w:rPr/>
        <w:t>she</w:t>
      </w:r>
      <w:r>
        <w:rPr>
          <w:spacing w:val="-12"/>
        </w:rPr>
        <w:t> </w:t>
      </w:r>
      <w:r>
        <w:rPr/>
        <w:t>is</w:t>
      </w:r>
      <w:r>
        <w:rPr>
          <w:spacing w:val="-13"/>
        </w:rPr>
        <w:t> </w:t>
      </w:r>
      <w:r>
        <w:rPr/>
        <w:t>interacting</w:t>
      </w:r>
      <w:r>
        <w:rPr>
          <w:spacing w:val="-12"/>
        </w:rPr>
        <w:t> </w:t>
      </w:r>
      <w:r>
        <w:rPr/>
        <w:t>with</w:t>
      </w:r>
      <w:r>
        <w:rPr>
          <w:spacing w:val="-13"/>
        </w:rPr>
        <w:t> </w:t>
      </w:r>
      <w:r>
        <w:rPr/>
        <w:t>invisible </w:t>
      </w:r>
      <w:r>
        <w:rPr>
          <w:spacing w:val="-2"/>
        </w:rPr>
        <w:t>presences—reliving</w:t>
      </w:r>
      <w:r>
        <w:rPr>
          <w:spacing w:val="-11"/>
        </w:rPr>
        <w:t> </w:t>
      </w:r>
      <w:r>
        <w:rPr>
          <w:spacing w:val="-2"/>
        </w:rPr>
        <w:t>the</w:t>
      </w:r>
      <w:r>
        <w:rPr>
          <w:spacing w:val="-6"/>
        </w:rPr>
        <w:t> </w:t>
      </w:r>
      <w:r>
        <w:rPr>
          <w:spacing w:val="-2"/>
        </w:rPr>
        <w:t>murder,</w:t>
      </w:r>
      <w:r>
        <w:rPr>
          <w:spacing w:val="-7"/>
        </w:rPr>
        <w:t> </w:t>
      </w:r>
      <w:r>
        <w:rPr>
          <w:spacing w:val="-2"/>
        </w:rPr>
        <w:t>attempting</w:t>
      </w:r>
      <w:r>
        <w:rPr>
          <w:spacing w:val="-8"/>
        </w:rPr>
        <w:t> </w:t>
      </w:r>
      <w:r>
        <w:rPr>
          <w:spacing w:val="-2"/>
        </w:rPr>
        <w:t>to</w:t>
      </w:r>
      <w:r>
        <w:rPr>
          <w:spacing w:val="-3"/>
        </w:rPr>
        <w:t> </w:t>
      </w:r>
      <w:r>
        <w:rPr>
          <w:spacing w:val="-2"/>
        </w:rPr>
        <w:t>wash</w:t>
      </w:r>
      <w:r>
        <w:rPr>
          <w:spacing w:val="-7"/>
        </w:rPr>
        <w:t> </w:t>
      </w:r>
      <w:r>
        <w:rPr>
          <w:spacing w:val="-2"/>
        </w:rPr>
        <w:t>imaginary</w:t>
      </w:r>
      <w:r>
        <w:rPr>
          <w:spacing w:val="-11"/>
        </w:rPr>
        <w:t> </w:t>
      </w:r>
      <w:r>
        <w:rPr>
          <w:spacing w:val="-2"/>
        </w:rPr>
        <w:t>blood,</w:t>
      </w:r>
      <w:r>
        <w:rPr>
          <w:spacing w:val="-4"/>
        </w:rPr>
        <w:t> </w:t>
      </w:r>
      <w:r>
        <w:rPr>
          <w:spacing w:val="-2"/>
        </w:rPr>
        <w:t>and </w:t>
      </w:r>
      <w:r>
        <w:rPr/>
        <w:t>speaking fragmented thoughts. This indicates that apparitions need not be external; they can exist as internal hauntings that feel equally real.</w:t>
      </w:r>
    </w:p>
    <w:p>
      <w:pPr>
        <w:pStyle w:val="Heading5"/>
        <w:numPr>
          <w:ilvl w:val="0"/>
          <w:numId w:val="91"/>
        </w:numPr>
        <w:tabs>
          <w:tab w:pos="1745" w:val="left" w:leader="none"/>
        </w:tabs>
        <w:spacing w:line="240" w:lineRule="auto" w:before="105" w:after="0"/>
        <w:ind w:left="1745" w:right="0" w:hanging="305"/>
        <w:jc w:val="left"/>
      </w:pPr>
      <w:r>
        <w:rPr>
          <w:w w:val="105"/>
        </w:rPr>
        <w:t>Blood</w:t>
      </w:r>
      <w:r>
        <w:rPr>
          <w:spacing w:val="70"/>
          <w:w w:val="105"/>
        </w:rPr>
        <w:t> </w:t>
      </w:r>
      <w:r>
        <w:rPr>
          <w:w w:val="105"/>
        </w:rPr>
        <w:t>as</w:t>
      </w:r>
      <w:r>
        <w:rPr>
          <w:spacing w:val="70"/>
          <w:w w:val="105"/>
        </w:rPr>
        <w:t> </w:t>
      </w:r>
      <w:r>
        <w:rPr>
          <w:w w:val="105"/>
        </w:rPr>
        <w:t>an</w:t>
      </w:r>
      <w:r>
        <w:rPr>
          <w:spacing w:val="68"/>
          <w:w w:val="105"/>
        </w:rPr>
        <w:t> </w:t>
      </w:r>
      <w:r>
        <w:rPr>
          <w:w w:val="105"/>
        </w:rPr>
        <w:t>Apparitional</w:t>
      </w:r>
      <w:r>
        <w:rPr>
          <w:spacing w:val="70"/>
          <w:w w:val="105"/>
        </w:rPr>
        <w:t> </w:t>
      </w:r>
      <w:r>
        <w:rPr>
          <w:spacing w:val="-2"/>
          <w:w w:val="105"/>
        </w:rPr>
        <w:t>Symbol</w:t>
      </w:r>
    </w:p>
    <w:p>
      <w:pPr>
        <w:pStyle w:val="BodyText"/>
        <w:spacing w:line="232" w:lineRule="auto" w:before="60"/>
        <w:ind w:right="1437" w:firstLine="432"/>
      </w:pPr>
      <w:r>
        <w:rPr>
          <w:spacing w:val="-2"/>
        </w:rPr>
        <w:t>Blood</w:t>
      </w:r>
      <w:r>
        <w:rPr>
          <w:spacing w:val="-10"/>
        </w:rPr>
        <w:t> </w:t>
      </w:r>
      <w:r>
        <w:rPr>
          <w:spacing w:val="-2"/>
        </w:rPr>
        <w:t>in</w:t>
      </w:r>
      <w:r>
        <w:rPr>
          <w:spacing w:val="-14"/>
        </w:rPr>
        <w:t> </w:t>
      </w:r>
      <w:r>
        <w:rPr>
          <w:spacing w:val="-2"/>
        </w:rPr>
        <w:t>Lady</w:t>
      </w:r>
      <w:r>
        <w:rPr>
          <w:spacing w:val="-20"/>
        </w:rPr>
        <w:t> </w:t>
      </w:r>
      <w:r>
        <w:rPr>
          <w:spacing w:val="-2"/>
        </w:rPr>
        <w:t>Macbeth’s</w:t>
      </w:r>
      <w:r>
        <w:rPr>
          <w:spacing w:val="-12"/>
        </w:rPr>
        <w:t> </w:t>
      </w:r>
      <w:r>
        <w:rPr>
          <w:spacing w:val="-2"/>
        </w:rPr>
        <w:t>imagination</w:t>
      </w:r>
      <w:r>
        <w:rPr>
          <w:spacing w:val="-12"/>
        </w:rPr>
        <w:t> </w:t>
      </w:r>
      <w:r>
        <w:rPr>
          <w:spacing w:val="-2"/>
        </w:rPr>
        <w:t>becomes</w:t>
      </w:r>
      <w:r>
        <w:rPr>
          <w:spacing w:val="-14"/>
        </w:rPr>
        <w:t> </w:t>
      </w:r>
      <w:r>
        <w:rPr>
          <w:spacing w:val="-2"/>
        </w:rPr>
        <w:t>more</w:t>
      </w:r>
      <w:r>
        <w:rPr>
          <w:spacing w:val="-16"/>
        </w:rPr>
        <w:t> </w:t>
      </w:r>
      <w:r>
        <w:rPr>
          <w:spacing w:val="-2"/>
        </w:rPr>
        <w:t>than</w:t>
      </w:r>
      <w:r>
        <w:rPr>
          <w:spacing w:val="-12"/>
        </w:rPr>
        <w:t> </w:t>
      </w:r>
      <w:r>
        <w:rPr>
          <w:spacing w:val="-2"/>
        </w:rPr>
        <w:t>a</w:t>
      </w:r>
      <w:r>
        <w:rPr>
          <w:spacing w:val="-14"/>
        </w:rPr>
        <w:t> </w:t>
      </w:r>
      <w:r>
        <w:rPr>
          <w:spacing w:val="-2"/>
        </w:rPr>
        <w:t>physical </w:t>
      </w:r>
      <w:r>
        <w:rPr/>
        <w:t>stain—it</w:t>
      </w:r>
      <w:r>
        <w:rPr>
          <w:spacing w:val="40"/>
        </w:rPr>
        <w:t> </w:t>
      </w:r>
      <w:r>
        <w:rPr/>
        <w:t>evolves</w:t>
      </w:r>
      <w:r>
        <w:rPr>
          <w:spacing w:val="40"/>
        </w:rPr>
        <w:t> </w:t>
      </w:r>
      <w:r>
        <w:rPr/>
        <w:t>into</w:t>
      </w:r>
      <w:r>
        <w:rPr>
          <w:spacing w:val="40"/>
        </w:rPr>
        <w:t> </w:t>
      </w:r>
      <w:r>
        <w:rPr/>
        <w:t>an apparitional</w:t>
      </w:r>
      <w:r>
        <w:rPr>
          <w:spacing w:val="40"/>
        </w:rPr>
        <w:t> </w:t>
      </w:r>
      <w:r>
        <w:rPr/>
        <w:t>symbol</w:t>
      </w:r>
      <w:r>
        <w:rPr>
          <w:spacing w:val="40"/>
        </w:rPr>
        <w:t> </w:t>
      </w:r>
      <w:r>
        <w:rPr/>
        <w:t>of</w:t>
      </w:r>
      <w:r>
        <w:rPr>
          <w:spacing w:val="40"/>
        </w:rPr>
        <w:t> </w:t>
      </w:r>
      <w:r>
        <w:rPr/>
        <w:t>guilt.</w:t>
      </w:r>
    </w:p>
    <w:p>
      <w:pPr>
        <w:pStyle w:val="ListParagraph"/>
        <w:numPr>
          <w:ilvl w:val="1"/>
          <w:numId w:val="91"/>
        </w:numPr>
        <w:tabs>
          <w:tab w:pos="2160" w:val="left" w:leader="none"/>
        </w:tabs>
        <w:spacing w:line="232" w:lineRule="auto" w:before="60" w:after="0"/>
        <w:ind w:left="2160" w:right="1440" w:hanging="240"/>
        <w:jc w:val="left"/>
        <w:rPr>
          <w:sz w:val="20"/>
        </w:rPr>
      </w:pPr>
      <w:r>
        <w:rPr>
          <w:sz w:val="20"/>
        </w:rPr>
        <w:t>Initially,</w:t>
      </w:r>
      <w:r>
        <w:rPr>
          <w:spacing w:val="-3"/>
          <w:sz w:val="20"/>
        </w:rPr>
        <w:t> </w:t>
      </w:r>
      <w:r>
        <w:rPr>
          <w:sz w:val="20"/>
        </w:rPr>
        <w:t>she</w:t>
      </w:r>
      <w:r>
        <w:rPr>
          <w:spacing w:val="-2"/>
          <w:sz w:val="20"/>
        </w:rPr>
        <w:t> </w:t>
      </w:r>
      <w:r>
        <w:rPr>
          <w:sz w:val="20"/>
        </w:rPr>
        <w:t>minimizes</w:t>
      </w:r>
      <w:r>
        <w:rPr>
          <w:spacing w:val="-5"/>
          <w:sz w:val="20"/>
        </w:rPr>
        <w:t> </w:t>
      </w:r>
      <w:r>
        <w:rPr>
          <w:sz w:val="20"/>
        </w:rPr>
        <w:t>its</w:t>
      </w:r>
      <w:r>
        <w:rPr>
          <w:spacing w:val="-3"/>
          <w:sz w:val="20"/>
        </w:rPr>
        <w:t> </w:t>
      </w:r>
      <w:r>
        <w:rPr>
          <w:sz w:val="20"/>
        </w:rPr>
        <w:t>importance</w:t>
      </w:r>
      <w:r>
        <w:rPr>
          <w:spacing w:val="-2"/>
          <w:sz w:val="20"/>
        </w:rPr>
        <w:t> </w:t>
      </w:r>
      <w:r>
        <w:rPr>
          <w:sz w:val="20"/>
        </w:rPr>
        <w:t>(“a</w:t>
      </w:r>
      <w:r>
        <w:rPr>
          <w:spacing w:val="-2"/>
          <w:sz w:val="20"/>
        </w:rPr>
        <w:t> </w:t>
      </w:r>
      <w:r>
        <w:rPr>
          <w:sz w:val="20"/>
        </w:rPr>
        <w:t>little</w:t>
      </w:r>
      <w:r>
        <w:rPr>
          <w:spacing w:val="-2"/>
          <w:sz w:val="20"/>
        </w:rPr>
        <w:t> </w:t>
      </w:r>
      <w:r>
        <w:rPr>
          <w:sz w:val="20"/>
        </w:rPr>
        <w:t>water</w:t>
      </w:r>
      <w:r>
        <w:rPr>
          <w:spacing w:val="-2"/>
          <w:sz w:val="20"/>
        </w:rPr>
        <w:t> </w:t>
      </w:r>
      <w:r>
        <w:rPr>
          <w:sz w:val="20"/>
        </w:rPr>
        <w:t>clears</w:t>
      </w:r>
      <w:r>
        <w:rPr>
          <w:spacing w:val="-3"/>
          <w:sz w:val="20"/>
        </w:rPr>
        <w:t> </w:t>
      </w:r>
      <w:r>
        <w:rPr>
          <w:sz w:val="20"/>
        </w:rPr>
        <w:t>us of</w:t>
      </w:r>
      <w:r>
        <w:rPr>
          <w:spacing w:val="40"/>
          <w:sz w:val="20"/>
        </w:rPr>
        <w:t> </w:t>
      </w:r>
      <w:r>
        <w:rPr>
          <w:sz w:val="20"/>
        </w:rPr>
        <w:t>this</w:t>
      </w:r>
      <w:r>
        <w:rPr>
          <w:spacing w:val="40"/>
          <w:sz w:val="20"/>
        </w:rPr>
        <w:t> </w:t>
      </w:r>
      <w:r>
        <w:rPr>
          <w:sz w:val="20"/>
        </w:rPr>
        <w:t>deed”)</w:t>
      </w:r>
    </w:p>
    <w:p>
      <w:pPr>
        <w:pStyle w:val="ListParagraph"/>
        <w:numPr>
          <w:ilvl w:val="1"/>
          <w:numId w:val="91"/>
        </w:numPr>
        <w:tabs>
          <w:tab w:pos="2160" w:val="left" w:leader="none"/>
        </w:tabs>
        <w:spacing w:line="232" w:lineRule="auto" w:before="60" w:after="0"/>
        <w:ind w:left="2160" w:right="1442" w:hanging="240"/>
        <w:jc w:val="left"/>
        <w:rPr>
          <w:sz w:val="20"/>
        </w:rPr>
      </w:pPr>
      <w:r>
        <w:rPr>
          <w:sz w:val="20"/>
        </w:rPr>
        <w:t>Later,</w:t>
      </w:r>
      <w:r>
        <w:rPr>
          <w:spacing w:val="-13"/>
          <w:sz w:val="20"/>
        </w:rPr>
        <w:t> </w:t>
      </w:r>
      <w:r>
        <w:rPr>
          <w:sz w:val="20"/>
        </w:rPr>
        <w:t>it</w:t>
      </w:r>
      <w:r>
        <w:rPr>
          <w:spacing w:val="-10"/>
          <w:sz w:val="20"/>
        </w:rPr>
        <w:t> </w:t>
      </w:r>
      <w:r>
        <w:rPr>
          <w:sz w:val="20"/>
        </w:rPr>
        <w:t>becomes</w:t>
      </w:r>
      <w:r>
        <w:rPr>
          <w:spacing w:val="-10"/>
          <w:sz w:val="20"/>
        </w:rPr>
        <w:t> </w:t>
      </w:r>
      <w:r>
        <w:rPr>
          <w:sz w:val="20"/>
        </w:rPr>
        <w:t>inescapable</w:t>
      </w:r>
      <w:r>
        <w:rPr>
          <w:spacing w:val="-9"/>
          <w:sz w:val="20"/>
        </w:rPr>
        <w:t> </w:t>
      </w:r>
      <w:r>
        <w:rPr>
          <w:sz w:val="20"/>
        </w:rPr>
        <w:t>(“All</w:t>
      </w:r>
      <w:r>
        <w:rPr>
          <w:spacing w:val="-10"/>
          <w:sz w:val="20"/>
        </w:rPr>
        <w:t> </w:t>
      </w:r>
      <w:r>
        <w:rPr>
          <w:sz w:val="20"/>
        </w:rPr>
        <w:t>the</w:t>
      </w:r>
      <w:r>
        <w:rPr>
          <w:spacing w:val="-10"/>
          <w:sz w:val="20"/>
        </w:rPr>
        <w:t> </w:t>
      </w:r>
      <w:r>
        <w:rPr>
          <w:sz w:val="20"/>
        </w:rPr>
        <w:t>perfumes</w:t>
      </w:r>
      <w:r>
        <w:rPr>
          <w:spacing w:val="-10"/>
          <w:sz w:val="20"/>
        </w:rPr>
        <w:t> </w:t>
      </w:r>
      <w:r>
        <w:rPr>
          <w:sz w:val="20"/>
        </w:rPr>
        <w:t>of</w:t>
      </w:r>
      <w:r>
        <w:rPr>
          <w:spacing w:val="-13"/>
          <w:sz w:val="20"/>
        </w:rPr>
        <w:t> </w:t>
      </w:r>
      <w:r>
        <w:rPr>
          <w:sz w:val="20"/>
        </w:rPr>
        <w:t>Arabia</w:t>
      </w:r>
      <w:r>
        <w:rPr>
          <w:spacing w:val="-9"/>
          <w:sz w:val="20"/>
        </w:rPr>
        <w:t> </w:t>
      </w:r>
      <w:r>
        <w:rPr>
          <w:sz w:val="20"/>
        </w:rPr>
        <w:t>will not</w:t>
      </w:r>
      <w:r>
        <w:rPr>
          <w:spacing w:val="40"/>
          <w:sz w:val="20"/>
        </w:rPr>
        <w:t> </w:t>
      </w:r>
      <w:r>
        <w:rPr>
          <w:sz w:val="20"/>
        </w:rPr>
        <w:t>sweeten</w:t>
      </w:r>
      <w:r>
        <w:rPr>
          <w:spacing w:val="40"/>
          <w:sz w:val="20"/>
        </w:rPr>
        <w:t> </w:t>
      </w:r>
      <w:r>
        <w:rPr>
          <w:sz w:val="20"/>
        </w:rPr>
        <w:t>this</w:t>
      </w:r>
      <w:r>
        <w:rPr>
          <w:spacing w:val="40"/>
          <w:sz w:val="20"/>
        </w:rPr>
        <w:t> </w:t>
      </w:r>
      <w:r>
        <w:rPr>
          <w:sz w:val="20"/>
        </w:rPr>
        <w:t>little</w:t>
      </w:r>
      <w:r>
        <w:rPr>
          <w:spacing w:val="40"/>
          <w:sz w:val="20"/>
        </w:rPr>
        <w:t> </w:t>
      </w:r>
      <w:r>
        <w:rPr>
          <w:sz w:val="20"/>
        </w:rPr>
        <w:t>hand”)</w:t>
      </w:r>
    </w:p>
    <w:p>
      <w:pPr>
        <w:pStyle w:val="Heading6"/>
        <w:spacing w:before="53"/>
      </w:pPr>
      <w:r>
        <w:rPr>
          <w:spacing w:val="-4"/>
        </w:rPr>
        <w:t>Analytically,</w:t>
      </w:r>
      <w:r>
        <w:rPr>
          <w:spacing w:val="7"/>
        </w:rPr>
        <w:t> </w:t>
      </w:r>
      <w:r>
        <w:rPr>
          <w:spacing w:val="-4"/>
        </w:rPr>
        <w:t>blood</w:t>
      </w:r>
      <w:r>
        <w:rPr>
          <w:spacing w:val="2"/>
        </w:rPr>
        <w:t> </w:t>
      </w:r>
      <w:r>
        <w:rPr>
          <w:spacing w:val="-4"/>
        </w:rPr>
        <w:t>functions</w:t>
      </w:r>
      <w:r>
        <w:rPr>
          <w:spacing w:val="5"/>
        </w:rPr>
        <w:t> </w:t>
      </w:r>
      <w:r>
        <w:rPr>
          <w:spacing w:val="-5"/>
        </w:rPr>
        <w:t>as:</w:t>
      </w:r>
    </w:p>
    <w:p>
      <w:pPr>
        <w:pStyle w:val="ListParagraph"/>
        <w:numPr>
          <w:ilvl w:val="1"/>
          <w:numId w:val="91"/>
        </w:numPr>
        <w:tabs>
          <w:tab w:pos="2159" w:val="left" w:leader="none"/>
        </w:tabs>
        <w:spacing w:line="240" w:lineRule="auto" w:before="53" w:after="0"/>
        <w:ind w:left="2159" w:right="0" w:hanging="239"/>
        <w:jc w:val="left"/>
        <w:rPr>
          <w:sz w:val="20"/>
        </w:rPr>
      </w:pPr>
      <w:r>
        <w:rPr>
          <w:sz w:val="20"/>
        </w:rPr>
        <w:t>A</w:t>
      </w:r>
      <w:r>
        <w:rPr>
          <w:spacing w:val="16"/>
          <w:sz w:val="20"/>
        </w:rPr>
        <w:t> </w:t>
      </w:r>
      <w:r>
        <w:rPr>
          <w:sz w:val="20"/>
        </w:rPr>
        <w:t>visual</w:t>
      </w:r>
      <w:r>
        <w:rPr>
          <w:spacing w:val="19"/>
          <w:sz w:val="20"/>
        </w:rPr>
        <w:t> </w:t>
      </w:r>
      <w:r>
        <w:rPr>
          <w:spacing w:val="-2"/>
          <w:sz w:val="20"/>
        </w:rPr>
        <w:t>hallucination</w:t>
      </w:r>
    </w:p>
    <w:p>
      <w:pPr>
        <w:pStyle w:val="ListParagraph"/>
        <w:numPr>
          <w:ilvl w:val="1"/>
          <w:numId w:val="91"/>
        </w:numPr>
        <w:tabs>
          <w:tab w:pos="2159" w:val="left" w:leader="none"/>
        </w:tabs>
        <w:spacing w:line="240" w:lineRule="auto" w:before="51" w:after="0"/>
        <w:ind w:left="2159" w:right="0" w:hanging="239"/>
        <w:jc w:val="left"/>
        <w:rPr>
          <w:sz w:val="20"/>
        </w:rPr>
      </w:pPr>
      <w:r>
        <w:rPr>
          <w:sz w:val="20"/>
        </w:rPr>
        <w:t>A</w:t>
      </w:r>
      <w:r>
        <w:rPr>
          <w:spacing w:val="8"/>
          <w:sz w:val="20"/>
        </w:rPr>
        <w:t> </w:t>
      </w:r>
      <w:r>
        <w:rPr>
          <w:sz w:val="20"/>
        </w:rPr>
        <w:t>symbolic</w:t>
      </w:r>
      <w:r>
        <w:rPr>
          <w:spacing w:val="10"/>
          <w:sz w:val="20"/>
        </w:rPr>
        <w:t> </w:t>
      </w:r>
      <w:r>
        <w:rPr>
          <w:sz w:val="20"/>
        </w:rPr>
        <w:t>reminder</w:t>
      </w:r>
      <w:r>
        <w:rPr>
          <w:spacing w:val="12"/>
          <w:sz w:val="20"/>
        </w:rPr>
        <w:t> </w:t>
      </w:r>
      <w:r>
        <w:rPr>
          <w:sz w:val="20"/>
        </w:rPr>
        <w:t>of</w:t>
      </w:r>
      <w:r>
        <w:rPr>
          <w:spacing w:val="9"/>
          <w:sz w:val="20"/>
        </w:rPr>
        <w:t> </w:t>
      </w:r>
      <w:r>
        <w:rPr>
          <w:spacing w:val="-5"/>
          <w:sz w:val="20"/>
        </w:rPr>
        <w:t>sin</w:t>
      </w:r>
    </w:p>
    <w:p>
      <w:pPr>
        <w:pStyle w:val="ListParagraph"/>
        <w:numPr>
          <w:ilvl w:val="1"/>
          <w:numId w:val="91"/>
        </w:numPr>
        <w:tabs>
          <w:tab w:pos="2159" w:val="left" w:leader="none"/>
        </w:tabs>
        <w:spacing w:line="240" w:lineRule="auto" w:before="72" w:after="0"/>
        <w:ind w:left="2159" w:right="0" w:hanging="239"/>
        <w:jc w:val="left"/>
        <w:rPr>
          <w:sz w:val="20"/>
        </w:rPr>
      </w:pPr>
      <w:r>
        <w:rPr>
          <w:sz w:val="20"/>
        </w:rPr>
        <w:t>A</w:t>
      </w:r>
      <w:r>
        <w:rPr>
          <w:spacing w:val="36"/>
          <w:sz w:val="20"/>
        </w:rPr>
        <w:t> </w:t>
      </w:r>
      <w:r>
        <w:rPr>
          <w:sz w:val="20"/>
        </w:rPr>
        <w:t>persistent</w:t>
      </w:r>
      <w:r>
        <w:rPr>
          <w:spacing w:val="39"/>
          <w:sz w:val="20"/>
        </w:rPr>
        <w:t> </w:t>
      </w:r>
      <w:r>
        <w:rPr>
          <w:sz w:val="20"/>
        </w:rPr>
        <w:t>psychological</w:t>
      </w:r>
      <w:r>
        <w:rPr>
          <w:spacing w:val="38"/>
          <w:sz w:val="20"/>
        </w:rPr>
        <w:t> </w:t>
      </w:r>
      <w:r>
        <w:rPr>
          <w:spacing w:val="-2"/>
          <w:sz w:val="20"/>
        </w:rPr>
        <w:t>presence</w:t>
      </w:r>
    </w:p>
    <w:p>
      <w:pPr>
        <w:pStyle w:val="ListParagraph"/>
        <w:spacing w:after="0" w:line="240" w:lineRule="auto"/>
        <w:jc w:val="left"/>
        <w:rPr>
          <w:sz w:val="20"/>
        </w:rPr>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903744">
                <wp:simplePos x="0" y="0"/>
                <wp:positionH relativeFrom="page">
                  <wp:posOffset>2065020</wp:posOffset>
                </wp:positionH>
                <wp:positionV relativeFrom="paragraph">
                  <wp:posOffset>795020</wp:posOffset>
                </wp:positionV>
                <wp:extent cx="3657600" cy="12700"/>
                <wp:effectExtent l="0" t="0" r="0" b="0"/>
                <wp:wrapTopAndBottom/>
                <wp:docPr id="836" name="Graphic 836"/>
                <wp:cNvGraphicFramePr>
                  <a:graphicFrameLocks/>
                </wp:cNvGraphicFramePr>
                <a:graphic>
                  <a:graphicData uri="http://schemas.microsoft.com/office/word/2010/wordprocessingShape">
                    <wps:wsp>
                      <wps:cNvPr id="836" name="Graphic 83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12736;mso-wrap-distance-left:0;mso-wrap-distance-right:0" id="docshape828"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437</w:t>
      </w:r>
    </w:p>
    <w:p>
      <w:pPr>
        <w:pStyle w:val="BodyText"/>
        <w:spacing w:line="249" w:lineRule="auto" w:before="192"/>
        <w:ind w:right="1438" w:firstLine="432"/>
        <w:jc w:val="both"/>
      </w:pPr>
      <w:r>
        <w:rPr/>
        <w:t>It </w:t>
      </w:r>
      <w:r>
        <w:rPr>
          <w:spacing w:val="10"/>
        </w:rPr>
        <w:t>behaves</w:t>
      </w:r>
      <w:r>
        <w:rPr>
          <w:spacing w:val="10"/>
        </w:rPr>
        <w:t> </w:t>
      </w:r>
      <w:r>
        <w:rPr>
          <w:spacing w:val="9"/>
        </w:rPr>
        <w:t>like</w:t>
      </w:r>
      <w:r>
        <w:rPr>
          <w:spacing w:val="9"/>
        </w:rPr>
        <w:t> </w:t>
      </w:r>
      <w:r>
        <w:rPr/>
        <w:t>an </w:t>
      </w:r>
      <w:r>
        <w:rPr>
          <w:spacing w:val="12"/>
        </w:rPr>
        <w:t>apparition—</w:t>
      </w:r>
      <w:r>
        <w:rPr>
          <w:spacing w:val="9"/>
        </w:rPr>
        <w:t>unseen</w:t>
      </w:r>
      <w:r>
        <w:rPr>
          <w:spacing w:val="9"/>
        </w:rPr>
        <w:t> </w:t>
      </w:r>
      <w:r>
        <w:rPr/>
        <w:t>by </w:t>
      </w:r>
      <w:r>
        <w:rPr>
          <w:spacing w:val="10"/>
        </w:rPr>
        <w:t>others,</w:t>
      </w:r>
      <w:r>
        <w:rPr>
          <w:spacing w:val="10"/>
        </w:rPr>
        <w:t> </w:t>
      </w:r>
      <w:r>
        <w:rPr/>
        <w:t>yet overwhelmingly real to her.</w:t>
      </w:r>
    </w:p>
    <w:p>
      <w:pPr>
        <w:pStyle w:val="Heading5"/>
        <w:numPr>
          <w:ilvl w:val="0"/>
          <w:numId w:val="91"/>
        </w:numPr>
        <w:tabs>
          <w:tab w:pos="1754" w:val="left" w:leader="none"/>
        </w:tabs>
        <w:spacing w:line="240" w:lineRule="auto" w:before="121" w:after="0"/>
        <w:ind w:left="1754" w:right="0" w:hanging="314"/>
        <w:jc w:val="left"/>
      </w:pPr>
      <w:r>
        <w:rPr>
          <w:w w:val="105"/>
        </w:rPr>
        <w:t>Intersection</w:t>
      </w:r>
      <w:r>
        <w:rPr>
          <w:spacing w:val="69"/>
          <w:w w:val="105"/>
        </w:rPr>
        <w:t> </w:t>
      </w:r>
      <w:r>
        <w:rPr>
          <w:w w:val="105"/>
        </w:rPr>
        <w:t>of</w:t>
      </w:r>
      <w:r>
        <w:rPr>
          <w:spacing w:val="71"/>
          <w:w w:val="105"/>
        </w:rPr>
        <w:t> </w:t>
      </w:r>
      <w:r>
        <w:rPr>
          <w:w w:val="105"/>
        </w:rPr>
        <w:t>Supernatural</w:t>
      </w:r>
      <w:r>
        <w:rPr>
          <w:spacing w:val="69"/>
          <w:w w:val="105"/>
        </w:rPr>
        <w:t> </w:t>
      </w:r>
      <w:r>
        <w:rPr>
          <w:w w:val="105"/>
        </w:rPr>
        <w:t>and</w:t>
      </w:r>
      <w:r>
        <w:rPr>
          <w:spacing w:val="71"/>
          <w:w w:val="105"/>
        </w:rPr>
        <w:t> </w:t>
      </w:r>
      <w:r>
        <w:rPr>
          <w:spacing w:val="-2"/>
          <w:w w:val="105"/>
        </w:rPr>
        <w:t>Conscience</w:t>
      </w:r>
    </w:p>
    <w:p>
      <w:pPr>
        <w:pStyle w:val="BodyText"/>
        <w:spacing w:before="89"/>
        <w:ind w:left="1872"/>
      </w:pPr>
      <w:r>
        <w:rPr/>
        <w:t>The</w:t>
      </w:r>
      <w:r>
        <w:rPr>
          <w:spacing w:val="29"/>
        </w:rPr>
        <w:t> </w:t>
      </w:r>
      <w:r>
        <w:rPr/>
        <w:t>apparition</w:t>
      </w:r>
      <w:r>
        <w:rPr>
          <w:spacing w:val="28"/>
        </w:rPr>
        <w:t> </w:t>
      </w:r>
      <w:r>
        <w:rPr/>
        <w:t>approach</w:t>
      </w:r>
      <w:r>
        <w:rPr>
          <w:spacing w:val="29"/>
        </w:rPr>
        <w:t> </w:t>
      </w:r>
      <w:r>
        <w:rPr/>
        <w:t>highlights</w:t>
      </w:r>
      <w:r>
        <w:rPr>
          <w:spacing w:val="32"/>
        </w:rPr>
        <w:t> </w:t>
      </w:r>
      <w:r>
        <w:rPr/>
        <w:t>the</w:t>
      </w:r>
      <w:r>
        <w:rPr>
          <w:spacing w:val="29"/>
        </w:rPr>
        <w:t> </w:t>
      </w:r>
      <w:r>
        <w:rPr/>
        <w:t>intersection</w:t>
      </w:r>
      <w:r>
        <w:rPr>
          <w:spacing w:val="28"/>
        </w:rPr>
        <w:t> </w:t>
      </w:r>
      <w:r>
        <w:rPr>
          <w:spacing w:val="-2"/>
        </w:rPr>
        <w:t>between:</w:t>
      </w:r>
    </w:p>
    <w:p>
      <w:pPr>
        <w:pStyle w:val="ListParagraph"/>
        <w:numPr>
          <w:ilvl w:val="1"/>
          <w:numId w:val="91"/>
        </w:numPr>
        <w:tabs>
          <w:tab w:pos="2159" w:val="left" w:leader="none"/>
        </w:tabs>
        <w:spacing w:line="240" w:lineRule="auto" w:before="82" w:after="0"/>
        <w:ind w:left="2159" w:right="0" w:hanging="239"/>
        <w:jc w:val="left"/>
        <w:rPr>
          <w:sz w:val="20"/>
        </w:rPr>
      </w:pPr>
      <w:r>
        <w:rPr>
          <w:sz w:val="20"/>
        </w:rPr>
        <w:t>Supernatural</w:t>
      </w:r>
      <w:r>
        <w:rPr>
          <w:spacing w:val="30"/>
          <w:sz w:val="20"/>
        </w:rPr>
        <w:t> </w:t>
      </w:r>
      <w:r>
        <w:rPr>
          <w:sz w:val="20"/>
        </w:rPr>
        <w:t>suggestion</w:t>
      </w:r>
      <w:r>
        <w:rPr>
          <w:spacing w:val="30"/>
          <w:sz w:val="20"/>
        </w:rPr>
        <w:t> </w:t>
      </w:r>
      <w:r>
        <w:rPr>
          <w:sz w:val="20"/>
        </w:rPr>
        <w:t>(witches,</w:t>
      </w:r>
      <w:r>
        <w:rPr>
          <w:spacing w:val="30"/>
          <w:sz w:val="20"/>
        </w:rPr>
        <w:t> </w:t>
      </w:r>
      <w:r>
        <w:rPr>
          <w:spacing w:val="-2"/>
          <w:sz w:val="20"/>
        </w:rPr>
        <w:t>spirits)</w:t>
      </w:r>
    </w:p>
    <w:p>
      <w:pPr>
        <w:pStyle w:val="ListParagraph"/>
        <w:numPr>
          <w:ilvl w:val="1"/>
          <w:numId w:val="91"/>
        </w:numPr>
        <w:tabs>
          <w:tab w:pos="2159" w:val="left" w:leader="none"/>
        </w:tabs>
        <w:spacing w:line="240" w:lineRule="auto" w:before="84" w:after="0"/>
        <w:ind w:left="2159" w:right="0" w:hanging="239"/>
        <w:jc w:val="left"/>
        <w:rPr>
          <w:sz w:val="20"/>
        </w:rPr>
      </w:pPr>
      <w:r>
        <w:rPr>
          <w:sz w:val="20"/>
        </w:rPr>
        <w:t>Human</w:t>
      </w:r>
      <w:r>
        <w:rPr>
          <w:spacing w:val="6"/>
          <w:sz w:val="20"/>
        </w:rPr>
        <w:t> </w:t>
      </w:r>
      <w:r>
        <w:rPr>
          <w:sz w:val="20"/>
        </w:rPr>
        <w:t>conscience</w:t>
      </w:r>
      <w:r>
        <w:rPr>
          <w:spacing w:val="8"/>
          <w:sz w:val="20"/>
        </w:rPr>
        <w:t> </w:t>
      </w:r>
      <w:r>
        <w:rPr>
          <w:sz w:val="20"/>
        </w:rPr>
        <w:t>(guilt,</w:t>
      </w:r>
      <w:r>
        <w:rPr>
          <w:spacing w:val="8"/>
          <w:sz w:val="20"/>
        </w:rPr>
        <w:t> </w:t>
      </w:r>
      <w:r>
        <w:rPr>
          <w:sz w:val="20"/>
        </w:rPr>
        <w:t>remorse,</w:t>
      </w:r>
      <w:r>
        <w:rPr>
          <w:spacing w:val="8"/>
          <w:sz w:val="20"/>
        </w:rPr>
        <w:t> </w:t>
      </w:r>
      <w:r>
        <w:rPr>
          <w:spacing w:val="-2"/>
          <w:sz w:val="20"/>
        </w:rPr>
        <w:t>fear)</w:t>
      </w:r>
    </w:p>
    <w:p>
      <w:pPr>
        <w:pStyle w:val="BodyText"/>
        <w:spacing w:line="266" w:lineRule="auto" w:before="84"/>
        <w:ind w:right="1439" w:firstLine="432"/>
        <w:jc w:val="both"/>
      </w:pPr>
      <w:r>
        <w:rPr/>
        <w:t>Lady Macbeth initially aligns herself with supernatural forces, seeking to transcend human limitations. However, she cannot fully escape</w:t>
      </w:r>
      <w:r>
        <w:rPr>
          <w:spacing w:val="-3"/>
        </w:rPr>
        <w:t> </w:t>
      </w:r>
      <w:r>
        <w:rPr/>
        <w:t>her</w:t>
      </w:r>
      <w:r>
        <w:rPr>
          <w:spacing w:val="-2"/>
        </w:rPr>
        <w:t> </w:t>
      </w:r>
      <w:r>
        <w:rPr/>
        <w:t>conscience.</w:t>
      </w:r>
      <w:r>
        <w:rPr>
          <w:spacing w:val="-6"/>
        </w:rPr>
        <w:t> </w:t>
      </w:r>
      <w:r>
        <w:rPr/>
        <w:t>The</w:t>
      </w:r>
      <w:r>
        <w:rPr>
          <w:spacing w:val="-4"/>
        </w:rPr>
        <w:t> </w:t>
      </w:r>
      <w:r>
        <w:rPr/>
        <w:t>apparitions</w:t>
      </w:r>
      <w:r>
        <w:rPr>
          <w:spacing w:val="-4"/>
        </w:rPr>
        <w:t> </w:t>
      </w:r>
      <w:r>
        <w:rPr/>
        <w:t>she</w:t>
      </w:r>
      <w:r>
        <w:rPr>
          <w:spacing w:val="-4"/>
        </w:rPr>
        <w:t> </w:t>
      </w:r>
      <w:r>
        <w:rPr/>
        <w:t>experiences</w:t>
      </w:r>
      <w:r>
        <w:rPr>
          <w:spacing w:val="-6"/>
        </w:rPr>
        <w:t> </w:t>
      </w:r>
      <w:r>
        <w:rPr/>
        <w:t>are</w:t>
      </w:r>
      <w:r>
        <w:rPr>
          <w:spacing w:val="-4"/>
        </w:rPr>
        <w:t> </w:t>
      </w:r>
      <w:r>
        <w:rPr/>
        <w:t>not</w:t>
      </w:r>
      <w:r>
        <w:rPr>
          <w:spacing w:val="-3"/>
        </w:rPr>
        <w:t> </w:t>
      </w:r>
      <w:r>
        <w:rPr/>
        <w:t>imposed from</w:t>
      </w:r>
      <w:r>
        <w:rPr>
          <w:spacing w:val="40"/>
        </w:rPr>
        <w:t> </w:t>
      </w:r>
      <w:r>
        <w:rPr/>
        <w:t>outside</w:t>
      </w:r>
      <w:r>
        <w:rPr>
          <w:spacing w:val="40"/>
        </w:rPr>
        <w:t> </w:t>
      </w:r>
      <w:r>
        <w:rPr/>
        <w:t>but</w:t>
      </w:r>
      <w:r>
        <w:rPr>
          <w:spacing w:val="40"/>
        </w:rPr>
        <w:t> </w:t>
      </w:r>
      <w:r>
        <w:rPr/>
        <w:t>arise</w:t>
      </w:r>
      <w:r>
        <w:rPr>
          <w:spacing w:val="40"/>
        </w:rPr>
        <w:t> </w:t>
      </w:r>
      <w:r>
        <w:rPr/>
        <w:t>from</w:t>
      </w:r>
      <w:r>
        <w:rPr>
          <w:spacing w:val="40"/>
        </w:rPr>
        <w:t> </w:t>
      </w:r>
      <w:r>
        <w:rPr/>
        <w:t>within,</w:t>
      </w:r>
      <w:r>
        <w:rPr>
          <w:spacing w:val="40"/>
        </w:rPr>
        <w:t> </w:t>
      </w:r>
      <w:r>
        <w:rPr/>
        <w:t>suggesting</w:t>
      </w:r>
      <w:r>
        <w:rPr>
          <w:spacing w:val="40"/>
        </w:rPr>
        <w:t> </w:t>
      </w:r>
      <w:r>
        <w:rPr/>
        <w:t>that:</w:t>
      </w:r>
    </w:p>
    <w:p>
      <w:pPr>
        <w:pStyle w:val="BodyText"/>
        <w:spacing w:before="62"/>
        <w:ind w:left="1872"/>
        <w:jc w:val="both"/>
      </w:pPr>
      <w:r>
        <w:rPr/>
        <w:t>The</w:t>
      </w:r>
      <w:r>
        <w:rPr>
          <w:spacing w:val="21"/>
        </w:rPr>
        <w:t> </w:t>
      </w:r>
      <w:r>
        <w:rPr/>
        <w:t>most</w:t>
      </w:r>
      <w:r>
        <w:rPr>
          <w:spacing w:val="16"/>
        </w:rPr>
        <w:t> </w:t>
      </w:r>
      <w:r>
        <w:rPr/>
        <w:t>powerful</w:t>
      </w:r>
      <w:r>
        <w:rPr>
          <w:spacing w:val="18"/>
        </w:rPr>
        <w:t> </w:t>
      </w:r>
      <w:r>
        <w:rPr/>
        <w:t>supernatural</w:t>
      </w:r>
      <w:r>
        <w:rPr>
          <w:spacing w:val="19"/>
        </w:rPr>
        <w:t> </w:t>
      </w:r>
      <w:r>
        <w:rPr/>
        <w:t>force</w:t>
      </w:r>
      <w:r>
        <w:rPr>
          <w:spacing w:val="16"/>
        </w:rPr>
        <w:t> </w:t>
      </w:r>
      <w:r>
        <w:rPr/>
        <w:t>is</w:t>
      </w:r>
      <w:r>
        <w:rPr>
          <w:spacing w:val="18"/>
        </w:rPr>
        <w:t> </w:t>
      </w:r>
      <w:r>
        <w:rPr/>
        <w:t>the</w:t>
      </w:r>
      <w:r>
        <w:rPr>
          <w:spacing w:val="20"/>
        </w:rPr>
        <w:t> </w:t>
      </w:r>
      <w:r>
        <w:rPr/>
        <w:t>human</w:t>
      </w:r>
      <w:r>
        <w:rPr>
          <w:spacing w:val="17"/>
        </w:rPr>
        <w:t> </w:t>
      </w:r>
      <w:r>
        <w:rPr/>
        <w:t>mind</w:t>
      </w:r>
      <w:r>
        <w:rPr>
          <w:spacing w:val="20"/>
        </w:rPr>
        <w:t> </w:t>
      </w:r>
      <w:r>
        <w:rPr>
          <w:spacing w:val="-2"/>
        </w:rPr>
        <w:t>itself.</w:t>
      </w:r>
    </w:p>
    <w:p>
      <w:pPr>
        <w:pStyle w:val="Heading5"/>
        <w:numPr>
          <w:ilvl w:val="0"/>
          <w:numId w:val="91"/>
        </w:numPr>
        <w:tabs>
          <w:tab w:pos="1745" w:val="left" w:leader="none"/>
        </w:tabs>
        <w:spacing w:line="240" w:lineRule="auto" w:before="134" w:after="0"/>
        <w:ind w:left="1745" w:right="0" w:hanging="305"/>
        <w:jc w:val="left"/>
      </w:pPr>
      <w:r>
        <w:rPr/>
        <w:t>Illusion</w:t>
      </w:r>
      <w:r>
        <w:rPr>
          <w:spacing w:val="62"/>
        </w:rPr>
        <w:t> </w:t>
      </w:r>
      <w:r>
        <w:rPr/>
        <w:t>vs</w:t>
      </w:r>
      <w:r>
        <w:rPr>
          <w:spacing w:val="63"/>
        </w:rPr>
        <w:t> </w:t>
      </w:r>
      <w:r>
        <w:rPr>
          <w:spacing w:val="-2"/>
        </w:rPr>
        <w:t>Reality</w:t>
      </w:r>
    </w:p>
    <w:p>
      <w:pPr>
        <w:pStyle w:val="BodyText"/>
        <w:spacing w:line="268" w:lineRule="auto" w:before="88"/>
        <w:ind w:right="1437" w:firstLine="432"/>
      </w:pPr>
      <w:r>
        <w:rPr/>
        <w:t>A key analytical dimension of this approach is the breakdown of boundaries</w:t>
      </w:r>
      <w:r>
        <w:rPr>
          <w:spacing w:val="40"/>
        </w:rPr>
        <w:t> </w:t>
      </w:r>
      <w:r>
        <w:rPr/>
        <w:t>between</w:t>
      </w:r>
      <w:r>
        <w:rPr>
          <w:spacing w:val="40"/>
        </w:rPr>
        <w:t> </w:t>
      </w:r>
      <w:r>
        <w:rPr/>
        <w:t>illusion</w:t>
      </w:r>
      <w:r>
        <w:rPr>
          <w:spacing w:val="40"/>
        </w:rPr>
        <w:t> </w:t>
      </w:r>
      <w:r>
        <w:rPr/>
        <w:t>and</w:t>
      </w:r>
      <w:r>
        <w:rPr>
          <w:spacing w:val="40"/>
        </w:rPr>
        <w:t> </w:t>
      </w:r>
      <w:r>
        <w:rPr/>
        <w:t>reality.</w:t>
      </w:r>
    </w:p>
    <w:p>
      <w:pPr>
        <w:pStyle w:val="ListParagraph"/>
        <w:numPr>
          <w:ilvl w:val="1"/>
          <w:numId w:val="91"/>
        </w:numPr>
        <w:tabs>
          <w:tab w:pos="2160" w:val="left" w:leader="none"/>
        </w:tabs>
        <w:spacing w:line="266" w:lineRule="auto" w:before="56" w:after="0"/>
        <w:ind w:left="2160" w:right="1437" w:hanging="240"/>
        <w:jc w:val="left"/>
        <w:rPr>
          <w:sz w:val="20"/>
        </w:rPr>
      </w:pPr>
      <w:r>
        <w:rPr>
          <w:sz w:val="20"/>
        </w:rPr>
        <w:t>Lady</w:t>
      </w:r>
      <w:r>
        <w:rPr>
          <w:spacing w:val="80"/>
          <w:sz w:val="20"/>
        </w:rPr>
        <w:t> </w:t>
      </w:r>
      <w:r>
        <w:rPr>
          <w:sz w:val="20"/>
        </w:rPr>
        <w:t>Macbeth</w:t>
      </w:r>
      <w:r>
        <w:rPr>
          <w:spacing w:val="80"/>
          <w:sz w:val="20"/>
        </w:rPr>
        <w:t> </w:t>
      </w:r>
      <w:r>
        <w:rPr>
          <w:sz w:val="20"/>
        </w:rPr>
        <w:t>believes</w:t>
      </w:r>
      <w:r>
        <w:rPr>
          <w:spacing w:val="80"/>
          <w:sz w:val="20"/>
        </w:rPr>
        <w:t> </w:t>
      </w:r>
      <w:r>
        <w:rPr>
          <w:sz w:val="20"/>
        </w:rPr>
        <w:t>she</w:t>
      </w:r>
      <w:r>
        <w:rPr>
          <w:spacing w:val="80"/>
          <w:sz w:val="20"/>
        </w:rPr>
        <w:t> </w:t>
      </w:r>
      <w:r>
        <w:rPr>
          <w:sz w:val="20"/>
        </w:rPr>
        <w:t>can</w:t>
      </w:r>
      <w:r>
        <w:rPr>
          <w:spacing w:val="80"/>
          <w:sz w:val="20"/>
        </w:rPr>
        <w:t> </w:t>
      </w:r>
      <w:r>
        <w:rPr>
          <w:sz w:val="20"/>
        </w:rPr>
        <w:t>control</w:t>
      </w:r>
      <w:r>
        <w:rPr>
          <w:spacing w:val="80"/>
          <w:sz w:val="20"/>
        </w:rPr>
        <w:t> </w:t>
      </w:r>
      <w:r>
        <w:rPr>
          <w:sz w:val="20"/>
        </w:rPr>
        <w:t>events</w:t>
      </w:r>
      <w:r>
        <w:rPr>
          <w:spacing w:val="80"/>
          <w:sz w:val="20"/>
        </w:rPr>
        <w:t> </w:t>
      </w:r>
      <w:r>
        <w:rPr>
          <w:sz w:val="20"/>
        </w:rPr>
        <w:t>through </w:t>
      </w:r>
      <w:r>
        <w:rPr>
          <w:spacing w:val="-2"/>
          <w:sz w:val="20"/>
        </w:rPr>
        <w:t>willpower</w:t>
      </w:r>
    </w:p>
    <w:p>
      <w:pPr>
        <w:pStyle w:val="ListParagraph"/>
        <w:numPr>
          <w:ilvl w:val="1"/>
          <w:numId w:val="91"/>
        </w:numPr>
        <w:tabs>
          <w:tab w:pos="2159" w:val="left" w:leader="none"/>
        </w:tabs>
        <w:spacing w:line="240" w:lineRule="auto" w:before="58" w:after="0"/>
        <w:ind w:left="2159" w:right="0" w:hanging="239"/>
        <w:jc w:val="left"/>
        <w:rPr>
          <w:sz w:val="20"/>
        </w:rPr>
      </w:pPr>
      <w:r>
        <w:rPr>
          <w:sz w:val="20"/>
        </w:rPr>
        <w:t>She</w:t>
      </w:r>
      <w:r>
        <w:rPr>
          <w:spacing w:val="30"/>
          <w:sz w:val="20"/>
        </w:rPr>
        <w:t> </w:t>
      </w:r>
      <w:r>
        <w:rPr>
          <w:sz w:val="20"/>
        </w:rPr>
        <w:t>assumes</w:t>
      </w:r>
      <w:r>
        <w:rPr>
          <w:spacing w:val="31"/>
          <w:sz w:val="20"/>
        </w:rPr>
        <w:t> </w:t>
      </w:r>
      <w:r>
        <w:rPr>
          <w:sz w:val="20"/>
        </w:rPr>
        <w:t>that</w:t>
      </w:r>
      <w:r>
        <w:rPr>
          <w:spacing w:val="31"/>
          <w:sz w:val="20"/>
        </w:rPr>
        <w:t> </w:t>
      </w:r>
      <w:r>
        <w:rPr>
          <w:sz w:val="20"/>
        </w:rPr>
        <w:t>reality</w:t>
      </w:r>
      <w:r>
        <w:rPr>
          <w:spacing w:val="29"/>
          <w:sz w:val="20"/>
        </w:rPr>
        <w:t> </w:t>
      </w:r>
      <w:r>
        <w:rPr>
          <w:sz w:val="20"/>
        </w:rPr>
        <w:t>can</w:t>
      </w:r>
      <w:r>
        <w:rPr>
          <w:spacing w:val="30"/>
          <w:sz w:val="20"/>
        </w:rPr>
        <w:t> </w:t>
      </w:r>
      <w:r>
        <w:rPr>
          <w:sz w:val="20"/>
        </w:rPr>
        <w:t>be</w:t>
      </w:r>
      <w:r>
        <w:rPr>
          <w:spacing w:val="32"/>
          <w:sz w:val="20"/>
        </w:rPr>
        <w:t> </w:t>
      </w:r>
      <w:r>
        <w:rPr>
          <w:sz w:val="20"/>
        </w:rPr>
        <w:t>shaped</w:t>
      </w:r>
      <w:r>
        <w:rPr>
          <w:spacing w:val="33"/>
          <w:sz w:val="20"/>
        </w:rPr>
        <w:t> </w:t>
      </w:r>
      <w:r>
        <w:rPr>
          <w:sz w:val="20"/>
        </w:rPr>
        <w:t>by</w:t>
      </w:r>
      <w:r>
        <w:rPr>
          <w:spacing w:val="27"/>
          <w:sz w:val="20"/>
        </w:rPr>
        <w:t> </w:t>
      </w:r>
      <w:r>
        <w:rPr>
          <w:spacing w:val="-2"/>
          <w:sz w:val="20"/>
        </w:rPr>
        <w:t>determination</w:t>
      </w:r>
    </w:p>
    <w:p>
      <w:pPr>
        <w:pStyle w:val="ListParagraph"/>
        <w:numPr>
          <w:ilvl w:val="1"/>
          <w:numId w:val="91"/>
        </w:numPr>
        <w:tabs>
          <w:tab w:pos="2159" w:val="left" w:leader="none"/>
        </w:tabs>
        <w:spacing w:line="328" w:lineRule="auto" w:before="85" w:after="0"/>
        <w:ind w:left="1872" w:right="2547" w:firstLine="48"/>
        <w:jc w:val="left"/>
        <w:rPr>
          <w:sz w:val="20"/>
        </w:rPr>
      </w:pPr>
      <w:r>
        <w:rPr>
          <w:sz w:val="20"/>
        </w:rPr>
        <w:t>However,</w:t>
      </w:r>
      <w:r>
        <w:rPr>
          <w:spacing w:val="19"/>
          <w:sz w:val="20"/>
        </w:rPr>
        <w:t> </w:t>
      </w:r>
      <w:r>
        <w:rPr>
          <w:sz w:val="20"/>
        </w:rPr>
        <w:t>her</w:t>
      </w:r>
      <w:r>
        <w:rPr>
          <w:spacing w:val="18"/>
          <w:sz w:val="20"/>
        </w:rPr>
        <w:t> </w:t>
      </w:r>
      <w:r>
        <w:rPr>
          <w:sz w:val="20"/>
        </w:rPr>
        <w:t>mind</w:t>
      </w:r>
      <w:r>
        <w:rPr>
          <w:spacing w:val="19"/>
          <w:sz w:val="20"/>
        </w:rPr>
        <w:t> </w:t>
      </w:r>
      <w:r>
        <w:rPr>
          <w:sz w:val="20"/>
        </w:rPr>
        <w:t>begins</w:t>
      </w:r>
      <w:r>
        <w:rPr>
          <w:spacing w:val="19"/>
          <w:sz w:val="20"/>
        </w:rPr>
        <w:t> </w:t>
      </w:r>
      <w:r>
        <w:rPr>
          <w:sz w:val="20"/>
        </w:rPr>
        <w:t>to</w:t>
      </w:r>
      <w:r>
        <w:rPr>
          <w:spacing w:val="17"/>
          <w:sz w:val="20"/>
        </w:rPr>
        <w:t> </w:t>
      </w:r>
      <w:r>
        <w:rPr>
          <w:sz w:val="20"/>
        </w:rPr>
        <w:t>distort</w:t>
      </w:r>
      <w:r>
        <w:rPr>
          <w:spacing w:val="19"/>
          <w:sz w:val="20"/>
        </w:rPr>
        <w:t> </w:t>
      </w:r>
      <w:r>
        <w:rPr>
          <w:sz w:val="20"/>
        </w:rPr>
        <w:t>perception Her</w:t>
      </w:r>
      <w:r>
        <w:rPr>
          <w:spacing w:val="40"/>
          <w:sz w:val="20"/>
        </w:rPr>
        <w:t> </w:t>
      </w:r>
      <w:r>
        <w:rPr>
          <w:sz w:val="20"/>
        </w:rPr>
        <w:t>sleepwalking</w:t>
      </w:r>
      <w:r>
        <w:rPr>
          <w:spacing w:val="40"/>
          <w:sz w:val="20"/>
        </w:rPr>
        <w:t> </w:t>
      </w:r>
      <w:r>
        <w:rPr>
          <w:sz w:val="20"/>
        </w:rPr>
        <w:t>scene</w:t>
      </w:r>
      <w:r>
        <w:rPr>
          <w:spacing w:val="40"/>
          <w:sz w:val="20"/>
        </w:rPr>
        <w:t> </w:t>
      </w:r>
      <w:r>
        <w:rPr>
          <w:sz w:val="20"/>
        </w:rPr>
        <w:t>demonstrates:</w:t>
      </w:r>
    </w:p>
    <w:p>
      <w:pPr>
        <w:pStyle w:val="ListParagraph"/>
        <w:numPr>
          <w:ilvl w:val="1"/>
          <w:numId w:val="91"/>
        </w:numPr>
        <w:tabs>
          <w:tab w:pos="2159" w:val="left" w:leader="none"/>
        </w:tabs>
        <w:spacing w:line="229" w:lineRule="exact" w:before="0" w:after="0"/>
        <w:ind w:left="2159" w:right="0" w:hanging="239"/>
        <w:jc w:val="left"/>
        <w:rPr>
          <w:sz w:val="20"/>
        </w:rPr>
      </w:pPr>
      <w:r>
        <w:rPr>
          <w:sz w:val="20"/>
        </w:rPr>
        <w:t>A</w:t>
      </w:r>
      <w:r>
        <w:rPr>
          <w:spacing w:val="23"/>
          <w:sz w:val="20"/>
        </w:rPr>
        <w:t> </w:t>
      </w:r>
      <w:r>
        <w:rPr>
          <w:sz w:val="20"/>
        </w:rPr>
        <w:t>collapse</w:t>
      </w:r>
      <w:r>
        <w:rPr>
          <w:spacing w:val="24"/>
          <w:sz w:val="20"/>
        </w:rPr>
        <w:t> </w:t>
      </w:r>
      <w:r>
        <w:rPr>
          <w:sz w:val="20"/>
        </w:rPr>
        <w:t>of</w:t>
      </w:r>
      <w:r>
        <w:rPr>
          <w:spacing w:val="23"/>
          <w:sz w:val="20"/>
        </w:rPr>
        <w:t> </w:t>
      </w:r>
      <w:r>
        <w:rPr>
          <w:sz w:val="20"/>
        </w:rPr>
        <w:t>rational</w:t>
      </w:r>
      <w:r>
        <w:rPr>
          <w:spacing w:val="23"/>
          <w:sz w:val="20"/>
        </w:rPr>
        <w:t> </w:t>
      </w:r>
      <w:r>
        <w:rPr>
          <w:spacing w:val="-2"/>
          <w:sz w:val="20"/>
        </w:rPr>
        <w:t>awareness</w:t>
      </w:r>
    </w:p>
    <w:p>
      <w:pPr>
        <w:pStyle w:val="ListParagraph"/>
        <w:numPr>
          <w:ilvl w:val="1"/>
          <w:numId w:val="91"/>
        </w:numPr>
        <w:tabs>
          <w:tab w:pos="2159" w:val="left" w:leader="none"/>
        </w:tabs>
        <w:spacing w:line="240" w:lineRule="auto" w:before="84" w:after="0"/>
        <w:ind w:left="2159" w:right="0" w:hanging="239"/>
        <w:jc w:val="left"/>
        <w:rPr>
          <w:sz w:val="20"/>
        </w:rPr>
      </w:pPr>
      <w:r>
        <w:rPr>
          <w:sz w:val="20"/>
        </w:rPr>
        <w:t>A</w:t>
      </w:r>
      <w:r>
        <w:rPr>
          <w:spacing w:val="27"/>
          <w:sz w:val="20"/>
        </w:rPr>
        <w:t> </w:t>
      </w:r>
      <w:r>
        <w:rPr>
          <w:sz w:val="20"/>
        </w:rPr>
        <w:t>merging</w:t>
      </w:r>
      <w:r>
        <w:rPr>
          <w:spacing w:val="25"/>
          <w:sz w:val="20"/>
        </w:rPr>
        <w:t> </w:t>
      </w:r>
      <w:r>
        <w:rPr>
          <w:sz w:val="20"/>
        </w:rPr>
        <w:t>of</w:t>
      </w:r>
      <w:r>
        <w:rPr>
          <w:spacing w:val="28"/>
          <w:sz w:val="20"/>
        </w:rPr>
        <w:t> </w:t>
      </w:r>
      <w:r>
        <w:rPr>
          <w:sz w:val="20"/>
        </w:rPr>
        <w:t>past</w:t>
      </w:r>
      <w:r>
        <w:rPr>
          <w:spacing w:val="27"/>
          <w:sz w:val="20"/>
        </w:rPr>
        <w:t> </w:t>
      </w:r>
      <w:r>
        <w:rPr>
          <w:sz w:val="20"/>
        </w:rPr>
        <w:t>and</w:t>
      </w:r>
      <w:r>
        <w:rPr>
          <w:spacing w:val="30"/>
          <w:sz w:val="20"/>
        </w:rPr>
        <w:t> </w:t>
      </w:r>
      <w:r>
        <w:rPr>
          <w:spacing w:val="-2"/>
          <w:sz w:val="20"/>
        </w:rPr>
        <w:t>present</w:t>
      </w:r>
    </w:p>
    <w:p>
      <w:pPr>
        <w:pStyle w:val="ListParagraph"/>
        <w:numPr>
          <w:ilvl w:val="1"/>
          <w:numId w:val="91"/>
        </w:numPr>
        <w:tabs>
          <w:tab w:pos="2159" w:val="left" w:leader="none"/>
        </w:tabs>
        <w:spacing w:line="240" w:lineRule="auto" w:before="82" w:after="0"/>
        <w:ind w:left="2159" w:right="0" w:hanging="239"/>
        <w:jc w:val="left"/>
        <w:rPr>
          <w:sz w:val="20"/>
        </w:rPr>
      </w:pPr>
      <w:r>
        <w:rPr>
          <w:sz w:val="20"/>
        </w:rPr>
        <w:t>A</w:t>
      </w:r>
      <w:r>
        <w:rPr>
          <w:spacing w:val="17"/>
          <w:sz w:val="20"/>
        </w:rPr>
        <w:t> </w:t>
      </w:r>
      <w:r>
        <w:rPr>
          <w:sz w:val="20"/>
        </w:rPr>
        <w:t>state</w:t>
      </w:r>
      <w:r>
        <w:rPr>
          <w:spacing w:val="17"/>
          <w:sz w:val="20"/>
        </w:rPr>
        <w:t> </w:t>
      </w:r>
      <w:r>
        <w:rPr>
          <w:sz w:val="20"/>
        </w:rPr>
        <w:t>where</w:t>
      </w:r>
      <w:r>
        <w:rPr>
          <w:spacing w:val="19"/>
          <w:sz w:val="20"/>
        </w:rPr>
        <w:t> </w:t>
      </w:r>
      <w:r>
        <w:rPr>
          <w:sz w:val="20"/>
        </w:rPr>
        <w:t>illusion</w:t>
      </w:r>
      <w:r>
        <w:rPr>
          <w:spacing w:val="16"/>
          <w:sz w:val="20"/>
        </w:rPr>
        <w:t> </w:t>
      </w:r>
      <w:r>
        <w:rPr>
          <w:sz w:val="20"/>
        </w:rPr>
        <w:t>dominates</w:t>
      </w:r>
      <w:r>
        <w:rPr>
          <w:spacing w:val="18"/>
          <w:sz w:val="20"/>
        </w:rPr>
        <w:t> </w:t>
      </w:r>
      <w:r>
        <w:rPr>
          <w:spacing w:val="-2"/>
          <w:sz w:val="20"/>
        </w:rPr>
        <w:t>reality</w:t>
      </w:r>
    </w:p>
    <w:p>
      <w:pPr>
        <w:pStyle w:val="BodyText"/>
        <w:spacing w:line="268" w:lineRule="auto" w:before="85"/>
        <w:ind w:right="1437" w:firstLine="432"/>
      </w:pPr>
      <w:r>
        <w:rPr/>
        <w:t>This</w:t>
      </w:r>
      <w:r>
        <w:rPr>
          <w:spacing w:val="29"/>
        </w:rPr>
        <w:t> </w:t>
      </w:r>
      <w:r>
        <w:rPr/>
        <w:t>reflects</w:t>
      </w:r>
      <w:r>
        <w:rPr>
          <w:spacing w:val="29"/>
        </w:rPr>
        <w:t> </w:t>
      </w:r>
      <w:r>
        <w:rPr/>
        <w:t>the</w:t>
      </w:r>
      <w:r>
        <w:rPr>
          <w:spacing w:val="32"/>
        </w:rPr>
        <w:t> </w:t>
      </w:r>
      <w:r>
        <w:rPr/>
        <w:t>broader</w:t>
      </w:r>
      <w:r>
        <w:rPr>
          <w:spacing w:val="30"/>
        </w:rPr>
        <w:t> </w:t>
      </w:r>
      <w:r>
        <w:rPr/>
        <w:t>theme</w:t>
      </w:r>
      <w:r>
        <w:rPr>
          <w:spacing w:val="33"/>
        </w:rPr>
        <w:t> </w:t>
      </w:r>
      <w:r>
        <w:rPr/>
        <w:t>of</w:t>
      </w:r>
      <w:r>
        <w:rPr>
          <w:spacing w:val="28"/>
        </w:rPr>
        <w:t> </w:t>
      </w:r>
      <w:r>
        <w:rPr/>
        <w:t>the</w:t>
      </w:r>
      <w:r>
        <w:rPr>
          <w:spacing w:val="32"/>
        </w:rPr>
        <w:t> </w:t>
      </w:r>
      <w:r>
        <w:rPr/>
        <w:t>play,</w:t>
      </w:r>
      <w:r>
        <w:rPr>
          <w:spacing w:val="31"/>
        </w:rPr>
        <w:t> </w:t>
      </w:r>
      <w:r>
        <w:rPr/>
        <w:t>where</w:t>
      </w:r>
      <w:r>
        <w:rPr>
          <w:spacing w:val="30"/>
        </w:rPr>
        <w:t> </w:t>
      </w:r>
      <w:r>
        <w:rPr/>
        <w:t>appearances deceive</w:t>
      </w:r>
      <w:r>
        <w:rPr>
          <w:spacing w:val="40"/>
        </w:rPr>
        <w:t> </w:t>
      </w:r>
      <w:r>
        <w:rPr/>
        <w:t>and</w:t>
      </w:r>
      <w:r>
        <w:rPr>
          <w:spacing w:val="40"/>
        </w:rPr>
        <w:t> </w:t>
      </w:r>
      <w:r>
        <w:rPr/>
        <w:t>certainty is</w:t>
      </w:r>
      <w:r>
        <w:rPr>
          <w:spacing w:val="40"/>
        </w:rPr>
        <w:t> </w:t>
      </w:r>
      <w:r>
        <w:rPr/>
        <w:t>replaced</w:t>
      </w:r>
      <w:r>
        <w:rPr>
          <w:spacing w:val="40"/>
        </w:rPr>
        <w:t> </w:t>
      </w:r>
      <w:r>
        <w:rPr/>
        <w:t>by ambiguity.</w:t>
      </w:r>
    </w:p>
    <w:p>
      <w:pPr>
        <w:pStyle w:val="Heading5"/>
        <w:numPr>
          <w:ilvl w:val="0"/>
          <w:numId w:val="91"/>
        </w:numPr>
        <w:tabs>
          <w:tab w:pos="1736" w:val="left" w:leader="none"/>
        </w:tabs>
        <w:spacing w:line="240" w:lineRule="auto" w:before="105" w:after="0"/>
        <w:ind w:left="1736" w:right="0" w:hanging="296"/>
        <w:jc w:val="left"/>
      </w:pPr>
      <w:r>
        <w:rPr/>
        <w:t>The</w:t>
      </w:r>
      <w:r>
        <w:rPr>
          <w:spacing w:val="62"/>
          <w:w w:val="150"/>
        </w:rPr>
        <w:t> </w:t>
      </w:r>
      <w:r>
        <w:rPr/>
        <w:t>Body</w:t>
      </w:r>
      <w:r>
        <w:rPr>
          <w:spacing w:val="66"/>
          <w:w w:val="150"/>
        </w:rPr>
        <w:t> </w:t>
      </w:r>
      <w:r>
        <w:rPr/>
        <w:t>as</w:t>
      </w:r>
      <w:r>
        <w:rPr>
          <w:spacing w:val="65"/>
          <w:w w:val="150"/>
        </w:rPr>
        <w:t> </w:t>
      </w:r>
      <w:r>
        <w:rPr/>
        <w:t>a</w:t>
      </w:r>
      <w:r>
        <w:rPr>
          <w:spacing w:val="65"/>
          <w:w w:val="150"/>
        </w:rPr>
        <w:t> </w:t>
      </w:r>
      <w:r>
        <w:rPr/>
        <w:t>Medium</w:t>
      </w:r>
      <w:r>
        <w:rPr>
          <w:spacing w:val="59"/>
          <w:w w:val="150"/>
        </w:rPr>
        <w:t> </w:t>
      </w:r>
      <w:r>
        <w:rPr/>
        <w:t>of</w:t>
      </w:r>
      <w:r>
        <w:rPr>
          <w:spacing w:val="66"/>
          <w:w w:val="150"/>
        </w:rPr>
        <w:t> </w:t>
      </w:r>
      <w:r>
        <w:rPr>
          <w:spacing w:val="-2"/>
        </w:rPr>
        <w:t>Apparition</w:t>
      </w:r>
    </w:p>
    <w:p>
      <w:pPr>
        <w:pStyle w:val="BodyText"/>
        <w:spacing w:line="268" w:lineRule="auto" w:before="89"/>
        <w:ind w:right="1437" w:firstLine="432"/>
      </w:pPr>
      <w:r>
        <w:rPr/>
        <w:t>Lady</w:t>
      </w:r>
      <w:r>
        <w:rPr>
          <w:spacing w:val="18"/>
        </w:rPr>
        <w:t> </w:t>
      </w:r>
      <w:r>
        <w:rPr/>
        <w:t>Macbeth’s</w:t>
      </w:r>
      <w:r>
        <w:rPr>
          <w:spacing w:val="22"/>
        </w:rPr>
        <w:t> </w:t>
      </w:r>
      <w:r>
        <w:rPr/>
        <w:t>body</w:t>
      </w:r>
      <w:r>
        <w:rPr>
          <w:spacing w:val="18"/>
        </w:rPr>
        <w:t> </w:t>
      </w:r>
      <w:r>
        <w:rPr/>
        <w:t>becomes</w:t>
      </w:r>
      <w:r>
        <w:rPr>
          <w:spacing w:val="18"/>
        </w:rPr>
        <w:t> </w:t>
      </w:r>
      <w:r>
        <w:rPr/>
        <w:t>a</w:t>
      </w:r>
      <w:r>
        <w:rPr>
          <w:spacing w:val="23"/>
        </w:rPr>
        <w:t> </w:t>
      </w:r>
      <w:r>
        <w:rPr/>
        <w:t>site</w:t>
      </w:r>
      <w:r>
        <w:rPr>
          <w:spacing w:val="23"/>
        </w:rPr>
        <w:t> </w:t>
      </w:r>
      <w:r>
        <w:rPr/>
        <w:t>through</w:t>
      </w:r>
      <w:r>
        <w:rPr>
          <w:spacing w:val="20"/>
        </w:rPr>
        <w:t> </w:t>
      </w:r>
      <w:r>
        <w:rPr/>
        <w:t>which</w:t>
      </w:r>
      <w:r>
        <w:rPr>
          <w:spacing w:val="20"/>
        </w:rPr>
        <w:t> </w:t>
      </w:r>
      <w:r>
        <w:rPr/>
        <w:t>apparitions are expressed.</w:t>
      </w:r>
    </w:p>
    <w:p>
      <w:pPr>
        <w:pStyle w:val="ListParagraph"/>
        <w:numPr>
          <w:ilvl w:val="1"/>
          <w:numId w:val="91"/>
        </w:numPr>
        <w:tabs>
          <w:tab w:pos="2159" w:val="left" w:leader="none"/>
        </w:tabs>
        <w:spacing w:line="240" w:lineRule="auto" w:before="56" w:after="0"/>
        <w:ind w:left="2159" w:right="0" w:hanging="239"/>
        <w:jc w:val="left"/>
        <w:rPr>
          <w:sz w:val="20"/>
        </w:rPr>
      </w:pPr>
      <w:r>
        <w:rPr>
          <w:sz w:val="20"/>
        </w:rPr>
        <w:t>Sleepwalking</w:t>
      </w:r>
      <w:r>
        <w:rPr>
          <w:spacing w:val="28"/>
          <w:sz w:val="20"/>
        </w:rPr>
        <w:t> </w:t>
      </w:r>
      <w:r>
        <w:rPr>
          <w:sz w:val="20"/>
        </w:rPr>
        <w:t>represents</w:t>
      </w:r>
      <w:r>
        <w:rPr>
          <w:spacing w:val="31"/>
          <w:sz w:val="20"/>
        </w:rPr>
        <w:t> </w:t>
      </w:r>
      <w:r>
        <w:rPr>
          <w:sz w:val="20"/>
        </w:rPr>
        <w:t>loss</w:t>
      </w:r>
      <w:r>
        <w:rPr>
          <w:spacing w:val="27"/>
          <w:sz w:val="20"/>
        </w:rPr>
        <w:t> </w:t>
      </w:r>
      <w:r>
        <w:rPr>
          <w:sz w:val="20"/>
        </w:rPr>
        <w:t>of</w:t>
      </w:r>
      <w:r>
        <w:rPr>
          <w:spacing w:val="28"/>
          <w:sz w:val="20"/>
        </w:rPr>
        <w:t> </w:t>
      </w:r>
      <w:r>
        <w:rPr>
          <w:sz w:val="20"/>
        </w:rPr>
        <w:t>conscious</w:t>
      </w:r>
      <w:r>
        <w:rPr>
          <w:spacing w:val="29"/>
          <w:sz w:val="20"/>
        </w:rPr>
        <w:t> </w:t>
      </w:r>
      <w:r>
        <w:rPr>
          <w:spacing w:val="-2"/>
          <w:sz w:val="20"/>
        </w:rPr>
        <w:t>control</w:t>
      </w:r>
    </w:p>
    <w:p>
      <w:pPr>
        <w:pStyle w:val="ListParagraph"/>
        <w:numPr>
          <w:ilvl w:val="1"/>
          <w:numId w:val="91"/>
        </w:numPr>
        <w:tabs>
          <w:tab w:pos="2159" w:val="left" w:leader="none"/>
        </w:tabs>
        <w:spacing w:line="240" w:lineRule="auto" w:before="82" w:after="0"/>
        <w:ind w:left="2159" w:right="0" w:hanging="239"/>
        <w:jc w:val="left"/>
        <w:rPr>
          <w:sz w:val="20"/>
        </w:rPr>
      </w:pPr>
      <w:r>
        <w:rPr>
          <w:sz w:val="20"/>
        </w:rPr>
        <w:t>Repetitive</w:t>
      </w:r>
      <w:r>
        <w:rPr>
          <w:spacing w:val="12"/>
          <w:sz w:val="20"/>
        </w:rPr>
        <w:t> </w:t>
      </w:r>
      <w:r>
        <w:rPr>
          <w:sz w:val="20"/>
        </w:rPr>
        <w:t>gestures</w:t>
      </w:r>
      <w:r>
        <w:rPr>
          <w:spacing w:val="11"/>
          <w:sz w:val="20"/>
        </w:rPr>
        <w:t> </w:t>
      </w:r>
      <w:r>
        <w:rPr>
          <w:sz w:val="20"/>
        </w:rPr>
        <w:t>(hand-washing)</w:t>
      </w:r>
      <w:r>
        <w:rPr>
          <w:spacing w:val="12"/>
          <w:sz w:val="20"/>
        </w:rPr>
        <w:t> </w:t>
      </w:r>
      <w:r>
        <w:rPr>
          <w:sz w:val="20"/>
        </w:rPr>
        <w:t>reflect</w:t>
      </w:r>
      <w:r>
        <w:rPr>
          <w:spacing w:val="10"/>
          <w:sz w:val="20"/>
        </w:rPr>
        <w:t> </w:t>
      </w:r>
      <w:r>
        <w:rPr>
          <w:sz w:val="20"/>
        </w:rPr>
        <w:t>obsessive</w:t>
      </w:r>
      <w:r>
        <w:rPr>
          <w:spacing w:val="12"/>
          <w:sz w:val="20"/>
        </w:rPr>
        <w:t> </w:t>
      </w:r>
      <w:r>
        <w:rPr>
          <w:spacing w:val="-2"/>
          <w:sz w:val="20"/>
        </w:rPr>
        <w:t>haunting</w:t>
      </w:r>
    </w:p>
    <w:p>
      <w:pPr>
        <w:pStyle w:val="ListParagraph"/>
        <w:numPr>
          <w:ilvl w:val="1"/>
          <w:numId w:val="91"/>
        </w:numPr>
        <w:tabs>
          <w:tab w:pos="2159" w:val="left" w:leader="none"/>
        </w:tabs>
        <w:spacing w:line="310" w:lineRule="atLeast" w:before="4" w:after="0"/>
        <w:ind w:left="1872" w:right="1441" w:firstLine="48"/>
        <w:jc w:val="left"/>
        <w:rPr>
          <w:sz w:val="20"/>
        </w:rPr>
      </w:pPr>
      <w:r>
        <w:rPr>
          <w:sz w:val="20"/>
        </w:rPr>
        <w:t>Speech</w:t>
      </w:r>
      <w:r>
        <w:rPr>
          <w:spacing w:val="40"/>
          <w:sz w:val="20"/>
        </w:rPr>
        <w:t> </w:t>
      </w:r>
      <w:r>
        <w:rPr>
          <w:sz w:val="20"/>
        </w:rPr>
        <w:t>becomes</w:t>
      </w:r>
      <w:r>
        <w:rPr>
          <w:spacing w:val="40"/>
          <w:sz w:val="20"/>
        </w:rPr>
        <w:t> </w:t>
      </w:r>
      <w:r>
        <w:rPr>
          <w:sz w:val="20"/>
        </w:rPr>
        <w:t>fragmented,</w:t>
      </w:r>
      <w:r>
        <w:rPr>
          <w:spacing w:val="40"/>
          <w:sz w:val="20"/>
        </w:rPr>
        <w:t> </w:t>
      </w:r>
      <w:r>
        <w:rPr>
          <w:sz w:val="20"/>
        </w:rPr>
        <w:t>revealing</w:t>
      </w:r>
      <w:r>
        <w:rPr>
          <w:spacing w:val="40"/>
          <w:sz w:val="20"/>
        </w:rPr>
        <w:t> </w:t>
      </w:r>
      <w:r>
        <w:rPr>
          <w:sz w:val="20"/>
        </w:rPr>
        <w:t>inner</w:t>
      </w:r>
      <w:r>
        <w:rPr>
          <w:spacing w:val="40"/>
          <w:sz w:val="20"/>
        </w:rPr>
        <w:t> </w:t>
      </w:r>
      <w:r>
        <w:rPr>
          <w:sz w:val="20"/>
        </w:rPr>
        <w:t>disturbance</w:t>
      </w:r>
      <w:r>
        <w:rPr>
          <w:sz w:val="20"/>
        </w:rPr>
        <w:t> Her</w:t>
      </w:r>
      <w:r>
        <w:rPr>
          <w:spacing w:val="24"/>
          <w:sz w:val="20"/>
        </w:rPr>
        <w:t> </w:t>
      </w:r>
      <w:r>
        <w:rPr>
          <w:sz w:val="20"/>
        </w:rPr>
        <w:t>physical</w:t>
      </w:r>
      <w:r>
        <w:rPr>
          <w:spacing w:val="23"/>
          <w:sz w:val="20"/>
        </w:rPr>
        <w:t> </w:t>
      </w:r>
      <w:r>
        <w:rPr>
          <w:sz w:val="20"/>
        </w:rPr>
        <w:t>state</w:t>
      </w:r>
      <w:r>
        <w:rPr>
          <w:spacing w:val="24"/>
          <w:sz w:val="20"/>
        </w:rPr>
        <w:t> </w:t>
      </w:r>
      <w:r>
        <w:rPr>
          <w:sz w:val="20"/>
        </w:rPr>
        <w:t>mirrors</w:t>
      </w:r>
      <w:r>
        <w:rPr>
          <w:spacing w:val="21"/>
          <w:sz w:val="20"/>
        </w:rPr>
        <w:t> </w:t>
      </w:r>
      <w:r>
        <w:rPr>
          <w:sz w:val="20"/>
        </w:rPr>
        <w:t>her</w:t>
      </w:r>
      <w:r>
        <w:rPr>
          <w:spacing w:val="23"/>
          <w:sz w:val="20"/>
        </w:rPr>
        <w:t> </w:t>
      </w:r>
      <w:r>
        <w:rPr>
          <w:sz w:val="20"/>
        </w:rPr>
        <w:t>psychological</w:t>
      </w:r>
      <w:r>
        <w:rPr>
          <w:spacing w:val="23"/>
          <w:sz w:val="20"/>
        </w:rPr>
        <w:t> </w:t>
      </w:r>
      <w:r>
        <w:rPr>
          <w:sz w:val="20"/>
        </w:rPr>
        <w:t>condition,</w:t>
      </w:r>
      <w:r>
        <w:rPr>
          <w:spacing w:val="25"/>
          <w:sz w:val="20"/>
        </w:rPr>
        <w:t> </w:t>
      </w:r>
      <w:r>
        <w:rPr>
          <w:sz w:val="20"/>
        </w:rPr>
        <w:t>showing</w:t>
      </w:r>
    </w:p>
    <w:p>
      <w:pPr>
        <w:pStyle w:val="BodyText"/>
        <w:spacing w:before="32"/>
      </w:pPr>
      <w:r>
        <w:rPr/>
        <w:t>that</w:t>
      </w:r>
      <w:r>
        <w:rPr>
          <w:spacing w:val="23"/>
        </w:rPr>
        <w:t> </w:t>
      </w:r>
      <w:r>
        <w:rPr/>
        <w:t>apparitions</w:t>
      </w:r>
      <w:r>
        <w:rPr>
          <w:spacing w:val="22"/>
        </w:rPr>
        <w:t> </w:t>
      </w:r>
      <w:r>
        <w:rPr/>
        <w:t>are</w:t>
      </w:r>
      <w:r>
        <w:rPr>
          <w:spacing w:val="25"/>
        </w:rPr>
        <w:t> </w:t>
      </w:r>
      <w:r>
        <w:rPr/>
        <w:t>not</w:t>
      </w:r>
      <w:r>
        <w:rPr>
          <w:spacing w:val="24"/>
        </w:rPr>
        <w:t> </w:t>
      </w:r>
      <w:r>
        <w:rPr/>
        <w:t>only</w:t>
      </w:r>
      <w:r>
        <w:rPr>
          <w:spacing w:val="20"/>
        </w:rPr>
        <w:t> </w:t>
      </w:r>
      <w:r>
        <w:rPr/>
        <w:t>mental</w:t>
      </w:r>
      <w:r>
        <w:rPr>
          <w:spacing w:val="24"/>
        </w:rPr>
        <w:t> </w:t>
      </w:r>
      <w:r>
        <w:rPr/>
        <w:t>but</w:t>
      </w:r>
      <w:r>
        <w:rPr>
          <w:spacing w:val="22"/>
        </w:rPr>
        <w:t> </w:t>
      </w:r>
      <w:r>
        <w:rPr/>
        <w:t>also</w:t>
      </w:r>
      <w:r>
        <w:rPr>
          <w:spacing w:val="24"/>
        </w:rPr>
        <w:t> </w:t>
      </w:r>
      <w:r>
        <w:rPr/>
        <w:t>embodied</w:t>
      </w:r>
      <w:r>
        <w:rPr>
          <w:spacing w:val="26"/>
        </w:rPr>
        <w:t> </w:t>
      </w:r>
      <w:r>
        <w:rPr>
          <w:spacing w:val="-2"/>
        </w:rPr>
        <w:t>experiences.</w:t>
      </w:r>
    </w:p>
    <w:p>
      <w:pPr>
        <w:pStyle w:val="BodyText"/>
        <w:spacing w:after="0"/>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04256">
                <wp:simplePos x="0" y="0"/>
                <wp:positionH relativeFrom="page">
                  <wp:posOffset>2057400</wp:posOffset>
                </wp:positionH>
                <wp:positionV relativeFrom="paragraph">
                  <wp:posOffset>162604</wp:posOffset>
                </wp:positionV>
                <wp:extent cx="3657600" cy="12700"/>
                <wp:effectExtent l="0" t="0" r="0" b="0"/>
                <wp:wrapTopAndBottom/>
                <wp:docPr id="837" name="Graphic 837"/>
                <wp:cNvGraphicFramePr>
                  <a:graphicFrameLocks/>
                </wp:cNvGraphicFramePr>
                <a:graphic>
                  <a:graphicData uri="http://schemas.microsoft.com/office/word/2010/wordprocessingShape">
                    <wps:wsp>
                      <wps:cNvPr id="837" name="Graphic 83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12224;mso-wrap-distance-left:0;mso-wrap-distance-right:0" id="docshape829" filled="true" fillcolor="#000000" stroked="false">
                <v:fill type="solid"/>
                <w10:wrap type="topAndBottom"/>
              </v:rect>
            </w:pict>
          </mc:Fallback>
        </mc:AlternateContent>
      </w:r>
      <w:r>
        <w:rPr>
          <w:rFonts w:ascii="Verdana"/>
          <w:spacing w:val="-5"/>
          <w:sz w:val="18"/>
        </w:rPr>
        <w:t>438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5"/>
        <w:numPr>
          <w:ilvl w:val="0"/>
          <w:numId w:val="91"/>
        </w:numPr>
        <w:tabs>
          <w:tab w:pos="1740" w:val="left" w:leader="none"/>
        </w:tabs>
        <w:spacing w:line="240" w:lineRule="auto" w:before="184" w:after="0"/>
        <w:ind w:left="1740" w:right="0" w:hanging="300"/>
        <w:jc w:val="left"/>
      </w:pPr>
      <w:r>
        <w:rPr/>
        <w:t>Isolation</w:t>
      </w:r>
      <w:r>
        <w:rPr>
          <w:spacing w:val="56"/>
          <w:w w:val="150"/>
        </w:rPr>
        <w:t> </w:t>
      </w:r>
      <w:r>
        <w:rPr/>
        <w:t>and</w:t>
      </w:r>
      <w:r>
        <w:rPr>
          <w:spacing w:val="61"/>
          <w:w w:val="150"/>
        </w:rPr>
        <w:t> </w:t>
      </w:r>
      <w:r>
        <w:rPr/>
        <w:t>Inner</w:t>
      </w:r>
      <w:r>
        <w:rPr>
          <w:spacing w:val="78"/>
        </w:rPr>
        <w:t> </w:t>
      </w:r>
      <w:r>
        <w:rPr>
          <w:spacing w:val="-2"/>
        </w:rPr>
        <w:t>Haunting</w:t>
      </w:r>
    </w:p>
    <w:p>
      <w:pPr>
        <w:pStyle w:val="BodyText"/>
        <w:spacing w:line="249" w:lineRule="auto" w:before="72"/>
        <w:ind w:right="1437" w:firstLine="432"/>
      </w:pPr>
      <w:r>
        <w:rPr/>
        <w:t>As</w:t>
      </w:r>
      <w:r>
        <w:rPr>
          <w:spacing w:val="40"/>
        </w:rPr>
        <w:t> </w:t>
      </w:r>
      <w:r>
        <w:rPr/>
        <w:t>the</w:t>
      </w:r>
      <w:r>
        <w:rPr>
          <w:spacing w:val="40"/>
        </w:rPr>
        <w:t> </w:t>
      </w:r>
      <w:r>
        <w:rPr/>
        <w:t>play</w:t>
      </w:r>
      <w:r>
        <w:rPr>
          <w:spacing w:val="40"/>
        </w:rPr>
        <w:t> </w:t>
      </w:r>
      <w:r>
        <w:rPr/>
        <w:t>progresses,</w:t>
      </w:r>
      <w:r>
        <w:rPr>
          <w:spacing w:val="40"/>
        </w:rPr>
        <w:t> </w:t>
      </w:r>
      <w:r>
        <w:rPr/>
        <w:t>Lady</w:t>
      </w:r>
      <w:r>
        <w:rPr>
          <w:spacing w:val="40"/>
        </w:rPr>
        <w:t> </w:t>
      </w:r>
      <w:r>
        <w:rPr/>
        <w:t>Macbeth</w:t>
      </w:r>
      <w:r>
        <w:rPr>
          <w:spacing w:val="40"/>
        </w:rPr>
        <w:t> </w:t>
      </w:r>
      <w:r>
        <w:rPr/>
        <w:t>becomes</w:t>
      </w:r>
      <w:r>
        <w:rPr>
          <w:spacing w:val="40"/>
        </w:rPr>
        <w:t> </w:t>
      </w:r>
      <w:r>
        <w:rPr/>
        <w:t>increasingly </w:t>
      </w:r>
      <w:r>
        <w:rPr>
          <w:spacing w:val="-2"/>
        </w:rPr>
        <w:t>isolated.</w:t>
      </w:r>
    </w:p>
    <w:p>
      <w:pPr>
        <w:pStyle w:val="ListParagraph"/>
        <w:numPr>
          <w:ilvl w:val="1"/>
          <w:numId w:val="91"/>
        </w:numPr>
        <w:tabs>
          <w:tab w:pos="2159" w:val="left" w:leader="none"/>
        </w:tabs>
        <w:spacing w:line="240" w:lineRule="auto" w:before="66" w:after="0"/>
        <w:ind w:left="2159" w:right="0" w:hanging="239"/>
        <w:jc w:val="left"/>
        <w:rPr>
          <w:sz w:val="20"/>
        </w:rPr>
      </w:pPr>
      <w:r>
        <w:rPr>
          <w:sz w:val="20"/>
        </w:rPr>
        <w:t>She</w:t>
      </w:r>
      <w:r>
        <w:rPr>
          <w:spacing w:val="25"/>
          <w:sz w:val="20"/>
        </w:rPr>
        <w:t> </w:t>
      </w:r>
      <w:r>
        <w:rPr>
          <w:sz w:val="20"/>
        </w:rPr>
        <w:t>no</w:t>
      </w:r>
      <w:r>
        <w:rPr>
          <w:spacing w:val="26"/>
          <w:sz w:val="20"/>
        </w:rPr>
        <w:t> </w:t>
      </w:r>
      <w:r>
        <w:rPr>
          <w:sz w:val="20"/>
        </w:rPr>
        <w:t>longer</w:t>
      </w:r>
      <w:r>
        <w:rPr>
          <w:spacing w:val="26"/>
          <w:sz w:val="20"/>
        </w:rPr>
        <w:t> </w:t>
      </w:r>
      <w:r>
        <w:rPr>
          <w:sz w:val="20"/>
        </w:rPr>
        <w:t>shares</w:t>
      </w:r>
      <w:r>
        <w:rPr>
          <w:spacing w:val="25"/>
          <w:sz w:val="20"/>
        </w:rPr>
        <w:t> </w:t>
      </w:r>
      <w:r>
        <w:rPr>
          <w:sz w:val="20"/>
        </w:rPr>
        <w:t>Macbeth’s</w:t>
      </w:r>
      <w:r>
        <w:rPr>
          <w:spacing w:val="26"/>
          <w:sz w:val="20"/>
        </w:rPr>
        <w:t> </w:t>
      </w:r>
      <w:r>
        <w:rPr>
          <w:sz w:val="20"/>
        </w:rPr>
        <w:t>confidence</w:t>
      </w:r>
      <w:r>
        <w:rPr>
          <w:spacing w:val="27"/>
          <w:sz w:val="20"/>
        </w:rPr>
        <w:t> </w:t>
      </w:r>
      <w:r>
        <w:rPr>
          <w:sz w:val="20"/>
        </w:rPr>
        <w:t>or</w:t>
      </w:r>
      <w:r>
        <w:rPr>
          <w:spacing w:val="27"/>
          <w:sz w:val="20"/>
        </w:rPr>
        <w:t> </w:t>
      </w:r>
      <w:r>
        <w:rPr>
          <w:spacing w:val="-2"/>
          <w:sz w:val="20"/>
        </w:rPr>
        <w:t>ambition</w:t>
      </w:r>
    </w:p>
    <w:p>
      <w:pPr>
        <w:pStyle w:val="ListParagraph"/>
        <w:numPr>
          <w:ilvl w:val="1"/>
          <w:numId w:val="91"/>
        </w:numPr>
        <w:tabs>
          <w:tab w:pos="2159" w:val="left" w:leader="none"/>
        </w:tabs>
        <w:spacing w:line="240" w:lineRule="auto" w:before="80" w:after="0"/>
        <w:ind w:left="2159" w:right="0" w:hanging="239"/>
        <w:jc w:val="left"/>
        <w:rPr>
          <w:sz w:val="20"/>
        </w:rPr>
      </w:pPr>
      <w:r>
        <w:rPr>
          <w:sz w:val="20"/>
        </w:rPr>
        <w:t>She</w:t>
      </w:r>
      <w:r>
        <w:rPr>
          <w:spacing w:val="28"/>
          <w:sz w:val="20"/>
        </w:rPr>
        <w:t> </w:t>
      </w:r>
      <w:r>
        <w:rPr>
          <w:sz w:val="20"/>
        </w:rPr>
        <w:t>is</w:t>
      </w:r>
      <w:r>
        <w:rPr>
          <w:spacing w:val="29"/>
          <w:sz w:val="20"/>
        </w:rPr>
        <w:t> </w:t>
      </w:r>
      <w:r>
        <w:rPr>
          <w:sz w:val="20"/>
        </w:rPr>
        <w:t>left</w:t>
      </w:r>
      <w:r>
        <w:rPr>
          <w:spacing w:val="25"/>
          <w:sz w:val="20"/>
        </w:rPr>
        <w:t> </w:t>
      </w:r>
      <w:r>
        <w:rPr>
          <w:sz w:val="20"/>
        </w:rPr>
        <w:t>alone</w:t>
      </w:r>
      <w:r>
        <w:rPr>
          <w:spacing w:val="29"/>
          <w:sz w:val="20"/>
        </w:rPr>
        <w:t> </w:t>
      </w:r>
      <w:r>
        <w:rPr>
          <w:sz w:val="20"/>
        </w:rPr>
        <w:t>with</w:t>
      </w:r>
      <w:r>
        <w:rPr>
          <w:spacing w:val="28"/>
          <w:sz w:val="20"/>
        </w:rPr>
        <w:t> </w:t>
      </w:r>
      <w:r>
        <w:rPr>
          <w:sz w:val="20"/>
        </w:rPr>
        <w:t>her</w:t>
      </w:r>
      <w:r>
        <w:rPr>
          <w:spacing w:val="30"/>
          <w:sz w:val="20"/>
        </w:rPr>
        <w:t> </w:t>
      </w:r>
      <w:r>
        <w:rPr>
          <w:spacing w:val="-2"/>
          <w:sz w:val="20"/>
        </w:rPr>
        <w:t>thoughts</w:t>
      </w:r>
    </w:p>
    <w:p>
      <w:pPr>
        <w:pStyle w:val="ListParagraph"/>
        <w:numPr>
          <w:ilvl w:val="1"/>
          <w:numId w:val="91"/>
        </w:numPr>
        <w:tabs>
          <w:tab w:pos="2159" w:val="left" w:leader="none"/>
        </w:tabs>
        <w:spacing w:line="312" w:lineRule="auto" w:before="77" w:after="0"/>
        <w:ind w:left="1872" w:right="1439" w:firstLine="48"/>
        <w:jc w:val="left"/>
        <w:rPr>
          <w:sz w:val="20"/>
        </w:rPr>
      </w:pPr>
      <w:r>
        <w:rPr>
          <w:sz w:val="20"/>
        </w:rPr>
        <w:t>The absence of external interaction intensifies internal visions </w:t>
      </w:r>
      <w:r>
        <w:rPr>
          <w:spacing w:val="-2"/>
          <w:sz w:val="20"/>
        </w:rPr>
        <w:t>This</w:t>
      </w:r>
      <w:r>
        <w:rPr>
          <w:spacing w:val="-15"/>
          <w:sz w:val="20"/>
        </w:rPr>
        <w:t> </w:t>
      </w:r>
      <w:r>
        <w:rPr>
          <w:spacing w:val="-2"/>
          <w:sz w:val="20"/>
        </w:rPr>
        <w:t>isolation</w:t>
      </w:r>
      <w:r>
        <w:rPr>
          <w:spacing w:val="-17"/>
          <w:sz w:val="20"/>
        </w:rPr>
        <w:t> </w:t>
      </w:r>
      <w:r>
        <w:rPr>
          <w:spacing w:val="-2"/>
          <w:sz w:val="20"/>
        </w:rPr>
        <w:t>amplifies</w:t>
      </w:r>
      <w:r>
        <w:rPr>
          <w:spacing w:val="-17"/>
          <w:sz w:val="20"/>
        </w:rPr>
        <w:t> </w:t>
      </w:r>
      <w:r>
        <w:rPr>
          <w:spacing w:val="-2"/>
          <w:sz w:val="20"/>
        </w:rPr>
        <w:t>the</w:t>
      </w:r>
      <w:r>
        <w:rPr>
          <w:spacing w:val="-13"/>
          <w:sz w:val="20"/>
        </w:rPr>
        <w:t> </w:t>
      </w:r>
      <w:r>
        <w:rPr>
          <w:spacing w:val="-2"/>
          <w:sz w:val="20"/>
        </w:rPr>
        <w:t>power</w:t>
      </w:r>
      <w:r>
        <w:rPr>
          <w:spacing w:val="-15"/>
          <w:sz w:val="20"/>
        </w:rPr>
        <w:t> </w:t>
      </w:r>
      <w:r>
        <w:rPr>
          <w:spacing w:val="-2"/>
          <w:sz w:val="20"/>
        </w:rPr>
        <w:t>of</w:t>
      </w:r>
      <w:r>
        <w:rPr>
          <w:spacing w:val="-19"/>
          <w:sz w:val="20"/>
        </w:rPr>
        <w:t> </w:t>
      </w:r>
      <w:r>
        <w:rPr>
          <w:spacing w:val="-2"/>
          <w:sz w:val="20"/>
        </w:rPr>
        <w:t>apparitions.</w:t>
      </w:r>
      <w:r>
        <w:rPr>
          <w:spacing w:val="-17"/>
          <w:sz w:val="20"/>
        </w:rPr>
        <w:t> </w:t>
      </w:r>
      <w:r>
        <w:rPr>
          <w:spacing w:val="-2"/>
          <w:sz w:val="20"/>
        </w:rPr>
        <w:t>Without</w:t>
      </w:r>
      <w:r>
        <w:rPr>
          <w:spacing w:val="-14"/>
          <w:sz w:val="20"/>
        </w:rPr>
        <w:t> </w:t>
      </w:r>
      <w:r>
        <w:rPr>
          <w:spacing w:val="-2"/>
          <w:sz w:val="20"/>
        </w:rPr>
        <w:t>distraction</w:t>
      </w:r>
    </w:p>
    <w:p>
      <w:pPr>
        <w:pStyle w:val="BodyText"/>
        <w:spacing w:line="172" w:lineRule="exact"/>
      </w:pPr>
      <w:r>
        <w:rPr/>
        <w:t>or</w:t>
      </w:r>
      <w:r>
        <w:rPr>
          <w:spacing w:val="-13"/>
        </w:rPr>
        <w:t> </w:t>
      </w:r>
      <w:r>
        <w:rPr/>
        <w:t>support,</w:t>
      </w:r>
      <w:r>
        <w:rPr>
          <w:spacing w:val="-12"/>
        </w:rPr>
        <w:t> </w:t>
      </w:r>
      <w:r>
        <w:rPr/>
        <w:t>her</w:t>
      </w:r>
      <w:r>
        <w:rPr>
          <w:spacing w:val="-13"/>
        </w:rPr>
        <w:t> </w:t>
      </w:r>
      <w:r>
        <w:rPr/>
        <w:t>mind</w:t>
      </w:r>
      <w:r>
        <w:rPr>
          <w:spacing w:val="-12"/>
        </w:rPr>
        <w:t> </w:t>
      </w:r>
      <w:r>
        <w:rPr/>
        <w:t>turns</w:t>
      </w:r>
      <w:r>
        <w:rPr>
          <w:spacing w:val="-12"/>
        </w:rPr>
        <w:t> </w:t>
      </w:r>
      <w:r>
        <w:rPr/>
        <w:t>inward,</w:t>
      </w:r>
      <w:r>
        <w:rPr>
          <w:spacing w:val="-10"/>
        </w:rPr>
        <w:t> </w:t>
      </w:r>
      <w:r>
        <w:rPr/>
        <w:t>and</w:t>
      </w:r>
      <w:r>
        <w:rPr>
          <w:spacing w:val="-12"/>
        </w:rPr>
        <w:t> </w:t>
      </w:r>
      <w:r>
        <w:rPr/>
        <w:t>the</w:t>
      </w:r>
      <w:r>
        <w:rPr>
          <w:spacing w:val="-11"/>
        </w:rPr>
        <w:t> </w:t>
      </w:r>
      <w:r>
        <w:rPr/>
        <w:t>haunting</w:t>
      </w:r>
      <w:r>
        <w:rPr>
          <w:spacing w:val="-13"/>
        </w:rPr>
        <w:t> </w:t>
      </w:r>
      <w:r>
        <w:rPr/>
        <w:t>becomes</w:t>
      </w:r>
      <w:r>
        <w:rPr>
          <w:spacing w:val="-12"/>
        </w:rPr>
        <w:t> </w:t>
      </w:r>
      <w:r>
        <w:rPr>
          <w:spacing w:val="-2"/>
        </w:rPr>
        <w:t>continuous.</w:t>
      </w:r>
    </w:p>
    <w:p>
      <w:pPr>
        <w:pStyle w:val="Heading3"/>
        <w:spacing w:before="164"/>
      </w:pPr>
      <w:r>
        <w:rPr>
          <w:spacing w:val="-2"/>
        </w:rPr>
        <w:t>CONCLUSION</w:t>
      </w:r>
    </w:p>
    <w:p>
      <w:pPr>
        <w:pStyle w:val="BodyText"/>
        <w:spacing w:line="249" w:lineRule="auto" w:before="77"/>
        <w:ind w:right="1441" w:firstLine="432"/>
        <w:jc w:val="both"/>
      </w:pPr>
      <w:r>
        <w:rPr/>
        <w:t>The Apparition Approach presents Lady Macbeth as a character deeply entangled in the relationship between the supernatural and the psychological. While she initially seeks to harness unseen forces for </w:t>
      </w:r>
      <w:r>
        <w:rPr>
          <w:spacing w:val="-2"/>
        </w:rPr>
        <w:t>power,</w:t>
      </w:r>
      <w:r>
        <w:rPr>
          <w:spacing w:val="-11"/>
        </w:rPr>
        <w:t> </w:t>
      </w:r>
      <w:r>
        <w:rPr>
          <w:spacing w:val="-2"/>
        </w:rPr>
        <w:t>she</w:t>
      </w:r>
      <w:r>
        <w:rPr>
          <w:spacing w:val="-10"/>
        </w:rPr>
        <w:t> </w:t>
      </w:r>
      <w:r>
        <w:rPr>
          <w:spacing w:val="-2"/>
        </w:rPr>
        <w:t>ultimately</w:t>
      </w:r>
      <w:r>
        <w:rPr>
          <w:spacing w:val="-11"/>
        </w:rPr>
        <w:t> </w:t>
      </w:r>
      <w:r>
        <w:rPr>
          <w:spacing w:val="-2"/>
        </w:rPr>
        <w:t>becomes</w:t>
      </w:r>
      <w:r>
        <w:rPr>
          <w:spacing w:val="-10"/>
        </w:rPr>
        <w:t> </w:t>
      </w:r>
      <w:r>
        <w:rPr>
          <w:spacing w:val="-2"/>
        </w:rPr>
        <w:t>overwhelmed</w:t>
      </w:r>
      <w:r>
        <w:rPr>
          <w:spacing w:val="-11"/>
        </w:rPr>
        <w:t> </w:t>
      </w:r>
      <w:r>
        <w:rPr>
          <w:spacing w:val="-2"/>
        </w:rPr>
        <w:t>by</w:t>
      </w:r>
      <w:r>
        <w:rPr>
          <w:spacing w:val="-10"/>
        </w:rPr>
        <w:t> </w:t>
      </w:r>
      <w:r>
        <w:rPr>
          <w:spacing w:val="-2"/>
        </w:rPr>
        <w:t>the</w:t>
      </w:r>
      <w:r>
        <w:rPr>
          <w:spacing w:val="-10"/>
        </w:rPr>
        <w:t> </w:t>
      </w:r>
      <w:r>
        <w:rPr>
          <w:spacing w:val="-2"/>
        </w:rPr>
        <w:t>apparitions</w:t>
      </w:r>
      <w:r>
        <w:rPr>
          <w:spacing w:val="-10"/>
        </w:rPr>
        <w:t> </w:t>
      </w:r>
      <w:r>
        <w:rPr>
          <w:spacing w:val="-2"/>
        </w:rPr>
        <w:t>generated </w:t>
      </w:r>
      <w:r>
        <w:rPr/>
        <w:t>within her own mind.</w:t>
      </w:r>
    </w:p>
    <w:p>
      <w:pPr>
        <w:pStyle w:val="BodyText"/>
        <w:spacing w:line="249" w:lineRule="auto" w:before="62"/>
        <w:ind w:right="1441" w:firstLine="432"/>
        <w:jc w:val="both"/>
      </w:pPr>
      <w:r>
        <w:rPr/>
        <w:t>Her journey</w:t>
      </w:r>
      <w:r>
        <w:rPr>
          <w:spacing w:val="-3"/>
        </w:rPr>
        <w:t> </w:t>
      </w:r>
      <w:r>
        <w:rPr/>
        <w:t>illustrates</w:t>
      </w:r>
      <w:r>
        <w:rPr>
          <w:spacing w:val="-3"/>
        </w:rPr>
        <w:t> </w:t>
      </w:r>
      <w:r>
        <w:rPr/>
        <w:t>that apparitions are not limited</w:t>
      </w:r>
      <w:r>
        <w:rPr>
          <w:spacing w:val="-1"/>
        </w:rPr>
        <w:t> </w:t>
      </w:r>
      <w:r>
        <w:rPr/>
        <w:t>to ghosts or spirits—they</w:t>
      </w:r>
      <w:r>
        <w:rPr>
          <w:spacing w:val="-13"/>
        </w:rPr>
        <w:t> </w:t>
      </w:r>
      <w:r>
        <w:rPr/>
        <w:t>can</w:t>
      </w:r>
      <w:r>
        <w:rPr>
          <w:spacing w:val="-12"/>
        </w:rPr>
        <w:t> </w:t>
      </w:r>
      <w:r>
        <w:rPr/>
        <w:t>exist</w:t>
      </w:r>
      <w:r>
        <w:rPr>
          <w:spacing w:val="-13"/>
        </w:rPr>
        <w:t> </w:t>
      </w:r>
      <w:r>
        <w:rPr/>
        <w:t>as</w:t>
      </w:r>
      <w:r>
        <w:rPr>
          <w:spacing w:val="-12"/>
        </w:rPr>
        <w:t> </w:t>
      </w:r>
      <w:r>
        <w:rPr/>
        <w:t>manifestations</w:t>
      </w:r>
      <w:r>
        <w:rPr>
          <w:spacing w:val="-13"/>
        </w:rPr>
        <w:t> </w:t>
      </w:r>
      <w:r>
        <w:rPr/>
        <w:t>of</w:t>
      </w:r>
      <w:r>
        <w:rPr>
          <w:spacing w:val="-12"/>
        </w:rPr>
        <w:t> </w:t>
      </w:r>
      <w:r>
        <w:rPr/>
        <w:t>guilt,</w:t>
      </w:r>
      <w:r>
        <w:rPr>
          <w:spacing w:val="-13"/>
        </w:rPr>
        <w:t> </w:t>
      </w:r>
      <w:r>
        <w:rPr/>
        <w:t>memory,</w:t>
      </w:r>
      <w:r>
        <w:rPr>
          <w:spacing w:val="-12"/>
        </w:rPr>
        <w:t> </w:t>
      </w:r>
      <w:r>
        <w:rPr/>
        <w:t>and</w:t>
      </w:r>
      <w:r>
        <w:rPr>
          <w:spacing w:val="-13"/>
        </w:rPr>
        <w:t> </w:t>
      </w:r>
      <w:r>
        <w:rPr/>
        <w:t>emotional disturbance. Through Lady Macbeth, Shakespeare demonstrates that</w:t>
      </w:r>
      <w:r>
        <w:rPr>
          <w:spacing w:val="40"/>
        </w:rPr>
        <w:t> </w:t>
      </w:r>
      <w:r>
        <w:rPr/>
        <w:t>the human psyche, when burdened by moral transgression, can become a</w:t>
      </w:r>
      <w:r>
        <w:rPr>
          <w:spacing w:val="-7"/>
        </w:rPr>
        <w:t> </w:t>
      </w:r>
      <w:r>
        <w:rPr/>
        <w:t>haunting</w:t>
      </w:r>
      <w:r>
        <w:rPr>
          <w:spacing w:val="-8"/>
        </w:rPr>
        <w:t> </w:t>
      </w:r>
      <w:r>
        <w:rPr/>
        <w:t>force</w:t>
      </w:r>
      <w:r>
        <w:rPr>
          <w:spacing w:val="-8"/>
        </w:rPr>
        <w:t> </w:t>
      </w:r>
      <w:r>
        <w:rPr/>
        <w:t>more</w:t>
      </w:r>
      <w:r>
        <w:rPr>
          <w:spacing w:val="-7"/>
        </w:rPr>
        <w:t> </w:t>
      </w:r>
      <w:r>
        <w:rPr/>
        <w:t>powerful</w:t>
      </w:r>
      <w:r>
        <w:rPr>
          <w:spacing w:val="-8"/>
        </w:rPr>
        <w:t> </w:t>
      </w:r>
      <w:r>
        <w:rPr/>
        <w:t>than</w:t>
      </w:r>
      <w:r>
        <w:rPr>
          <w:spacing w:val="-9"/>
        </w:rPr>
        <w:t> </w:t>
      </w:r>
      <w:r>
        <w:rPr/>
        <w:t>any</w:t>
      </w:r>
      <w:r>
        <w:rPr>
          <w:spacing w:val="-12"/>
        </w:rPr>
        <w:t> </w:t>
      </w:r>
      <w:r>
        <w:rPr/>
        <w:t>external</w:t>
      </w:r>
      <w:r>
        <w:rPr>
          <w:spacing w:val="-7"/>
        </w:rPr>
        <w:t> </w:t>
      </w:r>
      <w:r>
        <w:rPr/>
        <w:t>supernatural</w:t>
      </w:r>
      <w:r>
        <w:rPr>
          <w:spacing w:val="-7"/>
        </w:rPr>
        <w:t> </w:t>
      </w:r>
      <w:r>
        <w:rPr>
          <w:spacing w:val="-2"/>
        </w:rPr>
        <w:t>presence.</w:t>
      </w:r>
    </w:p>
    <w:p>
      <w:pPr>
        <w:pStyle w:val="Heading3"/>
        <w:spacing w:before="158"/>
      </w:pPr>
      <w:r>
        <w:rPr>
          <w:w w:val="85"/>
        </w:rPr>
        <w:t>VIII.</w:t>
      </w:r>
      <w:r>
        <w:rPr>
          <w:spacing w:val="5"/>
        </w:rPr>
        <w:t> </w:t>
      </w:r>
      <w:r>
        <w:rPr>
          <w:w w:val="85"/>
        </w:rPr>
        <w:t>SIGMUND</w:t>
      </w:r>
      <w:r>
        <w:rPr>
          <w:spacing w:val="8"/>
        </w:rPr>
        <w:t> </w:t>
      </w:r>
      <w:r>
        <w:rPr>
          <w:w w:val="85"/>
        </w:rPr>
        <w:t>FREUD’S</w:t>
      </w:r>
      <w:r>
        <w:rPr>
          <w:spacing w:val="6"/>
        </w:rPr>
        <w:t> </w:t>
      </w:r>
      <w:r>
        <w:rPr>
          <w:w w:val="85"/>
        </w:rPr>
        <w:t>THEORY</w:t>
      </w:r>
      <w:r>
        <w:rPr>
          <w:spacing w:val="12"/>
        </w:rPr>
        <w:t> </w:t>
      </w:r>
      <w:r>
        <w:rPr>
          <w:w w:val="85"/>
        </w:rPr>
        <w:t>OF</w:t>
      </w:r>
      <w:r>
        <w:rPr>
          <w:spacing w:val="6"/>
        </w:rPr>
        <w:t> </w:t>
      </w:r>
      <w:r>
        <w:rPr>
          <w:w w:val="85"/>
        </w:rPr>
        <w:t>FEMALE</w:t>
      </w:r>
      <w:r>
        <w:rPr>
          <w:spacing w:val="8"/>
        </w:rPr>
        <w:t> </w:t>
      </w:r>
      <w:r>
        <w:rPr>
          <w:spacing w:val="-2"/>
          <w:w w:val="85"/>
        </w:rPr>
        <w:t>SEXUALITY</w:t>
      </w:r>
    </w:p>
    <w:p>
      <w:pPr>
        <w:pStyle w:val="BodyText"/>
        <w:spacing w:line="249" w:lineRule="auto" w:before="75"/>
        <w:ind w:right="1437" w:firstLine="432"/>
        <w:jc w:val="both"/>
      </w:pPr>
      <w:r>
        <w:rPr/>
        <w:t>A psychoanalytic reading of Lady Macbeth in Macbeth through the</w:t>
      </w:r>
      <w:r>
        <w:rPr>
          <w:spacing w:val="-2"/>
        </w:rPr>
        <w:t> </w:t>
      </w:r>
      <w:r>
        <w:rPr/>
        <w:t>theories</w:t>
      </w:r>
      <w:r>
        <w:rPr>
          <w:spacing w:val="-3"/>
        </w:rPr>
        <w:t> </w:t>
      </w:r>
      <w:r>
        <w:rPr/>
        <w:t>of</w:t>
      </w:r>
      <w:r>
        <w:rPr>
          <w:spacing w:val="-5"/>
        </w:rPr>
        <w:t> </w:t>
      </w:r>
      <w:r>
        <w:rPr/>
        <w:t>Sigmund</w:t>
      </w:r>
      <w:r>
        <w:rPr>
          <w:spacing w:val="-1"/>
        </w:rPr>
        <w:t> </w:t>
      </w:r>
      <w:r>
        <w:rPr/>
        <w:t>Freud</w:t>
      </w:r>
      <w:r>
        <w:rPr>
          <w:spacing w:val="-1"/>
        </w:rPr>
        <w:t> </w:t>
      </w:r>
      <w:r>
        <w:rPr/>
        <w:t>reveals</w:t>
      </w:r>
      <w:r>
        <w:rPr>
          <w:spacing w:val="-1"/>
        </w:rPr>
        <w:t> </w:t>
      </w:r>
      <w:r>
        <w:rPr/>
        <w:t>a</w:t>
      </w:r>
      <w:r>
        <w:rPr>
          <w:spacing w:val="-5"/>
        </w:rPr>
        <w:t> </w:t>
      </w:r>
      <w:r>
        <w:rPr/>
        <w:t>profound</w:t>
      </w:r>
      <w:r>
        <w:rPr>
          <w:spacing w:val="-1"/>
        </w:rPr>
        <w:t> </w:t>
      </w:r>
      <w:r>
        <w:rPr/>
        <w:t>exploration</w:t>
      </w:r>
      <w:r>
        <w:rPr>
          <w:spacing w:val="-5"/>
        </w:rPr>
        <w:t> </w:t>
      </w:r>
      <w:r>
        <w:rPr/>
        <w:t>of</w:t>
      </w:r>
      <w:r>
        <w:rPr>
          <w:spacing w:val="-3"/>
        </w:rPr>
        <w:t> </w:t>
      </w:r>
      <w:r>
        <w:rPr/>
        <w:t>hidden human drives, inner conflict, and the tension between creation and destruction. Although Shakespeare predates Freud, his portrayal of Lady</w:t>
      </w:r>
      <w:r>
        <w:rPr>
          <w:spacing w:val="-12"/>
        </w:rPr>
        <w:t> </w:t>
      </w:r>
      <w:r>
        <w:rPr/>
        <w:t>Macbeth</w:t>
      </w:r>
      <w:r>
        <w:rPr>
          <w:spacing w:val="-6"/>
        </w:rPr>
        <w:t> </w:t>
      </w:r>
      <w:r>
        <w:rPr/>
        <w:t>closely</w:t>
      </w:r>
      <w:r>
        <w:rPr>
          <w:spacing w:val="-12"/>
        </w:rPr>
        <w:t> </w:t>
      </w:r>
      <w:r>
        <w:rPr/>
        <w:t>aligns</w:t>
      </w:r>
      <w:r>
        <w:rPr>
          <w:spacing w:val="-6"/>
        </w:rPr>
        <w:t> </w:t>
      </w:r>
      <w:r>
        <w:rPr/>
        <w:t>with</w:t>
      </w:r>
      <w:r>
        <w:rPr>
          <w:spacing w:val="-8"/>
        </w:rPr>
        <w:t> </w:t>
      </w:r>
      <w:r>
        <w:rPr/>
        <w:t>the</w:t>
      </w:r>
      <w:r>
        <w:rPr>
          <w:spacing w:val="-8"/>
        </w:rPr>
        <w:t> </w:t>
      </w:r>
      <w:r>
        <w:rPr/>
        <w:t>Freudian</w:t>
      </w:r>
      <w:r>
        <w:rPr>
          <w:spacing w:val="-6"/>
        </w:rPr>
        <w:t> </w:t>
      </w:r>
      <w:r>
        <w:rPr/>
        <w:t>framework</w:t>
      </w:r>
      <w:r>
        <w:rPr>
          <w:spacing w:val="-8"/>
        </w:rPr>
        <w:t> </w:t>
      </w:r>
      <w:r>
        <w:rPr/>
        <w:t>of</w:t>
      </w:r>
      <w:r>
        <w:rPr>
          <w:spacing w:val="-6"/>
        </w:rPr>
        <w:t> </w:t>
      </w:r>
      <w:r>
        <w:rPr/>
        <w:t>the</w:t>
      </w:r>
      <w:r>
        <w:rPr>
          <w:spacing w:val="-8"/>
        </w:rPr>
        <w:t> </w:t>
      </w:r>
      <w:r>
        <w:rPr/>
        <w:t>human psyche, particularly the interaction between Eros (the life drive) and Thanatos</w:t>
      </w:r>
      <w:r>
        <w:rPr>
          <w:spacing w:val="40"/>
        </w:rPr>
        <w:t> </w:t>
      </w:r>
      <w:r>
        <w:rPr/>
        <w:t>(the</w:t>
      </w:r>
      <w:r>
        <w:rPr>
          <w:spacing w:val="40"/>
        </w:rPr>
        <w:t> </w:t>
      </w:r>
      <w:r>
        <w:rPr/>
        <w:t>death</w:t>
      </w:r>
      <w:r>
        <w:rPr>
          <w:spacing w:val="40"/>
        </w:rPr>
        <w:t> </w:t>
      </w:r>
      <w:r>
        <w:rPr/>
        <w:t>drive).</w:t>
      </w:r>
    </w:p>
    <w:p>
      <w:pPr>
        <w:pStyle w:val="Heading5"/>
        <w:numPr>
          <w:ilvl w:val="0"/>
          <w:numId w:val="92"/>
        </w:numPr>
        <w:tabs>
          <w:tab w:pos="1734" w:val="left" w:leader="none"/>
        </w:tabs>
        <w:spacing w:line="240" w:lineRule="auto" w:before="113" w:after="0"/>
        <w:ind w:left="1734" w:right="0" w:hanging="294"/>
        <w:jc w:val="left"/>
      </w:pPr>
      <w:r>
        <w:rPr>
          <w:w w:val="105"/>
        </w:rPr>
        <w:t>The</w:t>
      </w:r>
      <w:r>
        <w:rPr>
          <w:spacing w:val="72"/>
          <w:w w:val="105"/>
        </w:rPr>
        <w:t> </w:t>
      </w:r>
      <w:r>
        <w:rPr>
          <w:w w:val="105"/>
        </w:rPr>
        <w:t>Human</w:t>
      </w:r>
      <w:r>
        <w:rPr>
          <w:spacing w:val="71"/>
          <w:w w:val="105"/>
        </w:rPr>
        <w:t> </w:t>
      </w:r>
      <w:r>
        <w:rPr>
          <w:w w:val="105"/>
        </w:rPr>
        <w:t>Psyche</w:t>
      </w:r>
      <w:r>
        <w:rPr>
          <w:spacing w:val="74"/>
          <w:w w:val="105"/>
        </w:rPr>
        <w:t> </w:t>
      </w:r>
      <w:r>
        <w:rPr>
          <w:w w:val="105"/>
        </w:rPr>
        <w:t>and</w:t>
      </w:r>
      <w:r>
        <w:rPr>
          <w:spacing w:val="71"/>
          <w:w w:val="105"/>
        </w:rPr>
        <w:t> </w:t>
      </w:r>
      <w:r>
        <w:rPr>
          <w:w w:val="105"/>
        </w:rPr>
        <w:t>Hidden</w:t>
      </w:r>
      <w:r>
        <w:rPr>
          <w:spacing w:val="73"/>
          <w:w w:val="105"/>
        </w:rPr>
        <w:t> </w:t>
      </w:r>
      <w:r>
        <w:rPr>
          <w:spacing w:val="-2"/>
          <w:w w:val="105"/>
        </w:rPr>
        <w:t>Drives</w:t>
      </w:r>
    </w:p>
    <w:p>
      <w:pPr>
        <w:pStyle w:val="BodyText"/>
        <w:spacing w:line="249" w:lineRule="auto" w:before="72"/>
        <w:ind w:right="1440" w:firstLine="432"/>
        <w:jc w:val="both"/>
      </w:pPr>
      <w:r>
        <w:rPr/>
        <w:t>Freud’s psychoanalytic theory suggests that human behavior is shaped by unconscious desires and instincts. Lady Macbeth embodies these latent drives, which surface in extreme forms of ambition, aggression,</w:t>
      </w:r>
      <w:r>
        <w:rPr>
          <w:spacing w:val="40"/>
        </w:rPr>
        <w:t> </w:t>
      </w:r>
      <w:r>
        <w:rPr/>
        <w:t>and</w:t>
      </w:r>
      <w:r>
        <w:rPr>
          <w:spacing w:val="40"/>
        </w:rPr>
        <w:t> </w:t>
      </w:r>
      <w:r>
        <w:rPr/>
        <w:t>psychological</w:t>
      </w:r>
      <w:r>
        <w:rPr>
          <w:spacing w:val="40"/>
        </w:rPr>
        <w:t> </w:t>
      </w:r>
      <w:r>
        <w:rPr/>
        <w:t>intensity.</w:t>
      </w:r>
    </w:p>
    <w:p>
      <w:pPr>
        <w:pStyle w:val="ListParagraph"/>
        <w:numPr>
          <w:ilvl w:val="1"/>
          <w:numId w:val="92"/>
        </w:numPr>
        <w:tabs>
          <w:tab w:pos="2159" w:val="left" w:leader="none"/>
        </w:tabs>
        <w:spacing w:line="240" w:lineRule="auto" w:before="68" w:after="0"/>
        <w:ind w:left="2159" w:right="0" w:hanging="239"/>
        <w:jc w:val="left"/>
        <w:rPr>
          <w:sz w:val="20"/>
        </w:rPr>
      </w:pPr>
      <w:r>
        <w:rPr>
          <w:sz w:val="20"/>
        </w:rPr>
        <w:t>She</w:t>
      </w:r>
      <w:r>
        <w:rPr>
          <w:spacing w:val="45"/>
          <w:sz w:val="20"/>
        </w:rPr>
        <w:t> </w:t>
      </w:r>
      <w:r>
        <w:rPr>
          <w:sz w:val="20"/>
        </w:rPr>
        <w:t>suppresses</w:t>
      </w:r>
      <w:r>
        <w:rPr>
          <w:spacing w:val="43"/>
          <w:sz w:val="20"/>
        </w:rPr>
        <w:t> </w:t>
      </w:r>
      <w:r>
        <w:rPr>
          <w:sz w:val="20"/>
        </w:rPr>
        <w:t>empathy</w:t>
      </w:r>
      <w:r>
        <w:rPr>
          <w:spacing w:val="41"/>
          <w:sz w:val="20"/>
        </w:rPr>
        <w:t> </w:t>
      </w:r>
      <w:r>
        <w:rPr>
          <w:sz w:val="20"/>
        </w:rPr>
        <w:t>and</w:t>
      </w:r>
      <w:r>
        <w:rPr>
          <w:spacing w:val="45"/>
          <w:sz w:val="20"/>
        </w:rPr>
        <w:t> </w:t>
      </w:r>
      <w:r>
        <w:rPr>
          <w:spacing w:val="-2"/>
          <w:sz w:val="20"/>
        </w:rPr>
        <w:t>compassion</w:t>
      </w:r>
    </w:p>
    <w:p>
      <w:pPr>
        <w:pStyle w:val="ListParagraph"/>
        <w:numPr>
          <w:ilvl w:val="1"/>
          <w:numId w:val="92"/>
        </w:numPr>
        <w:tabs>
          <w:tab w:pos="2159" w:val="left" w:leader="none"/>
        </w:tabs>
        <w:spacing w:line="240" w:lineRule="auto" w:before="79" w:after="0"/>
        <w:ind w:left="2159" w:right="0" w:hanging="239"/>
        <w:jc w:val="left"/>
        <w:rPr>
          <w:sz w:val="20"/>
        </w:rPr>
      </w:pPr>
      <w:r>
        <w:rPr>
          <w:sz w:val="20"/>
        </w:rPr>
        <w:t>She</w:t>
      </w:r>
      <w:r>
        <w:rPr>
          <w:spacing w:val="22"/>
          <w:sz w:val="20"/>
        </w:rPr>
        <w:t> </w:t>
      </w:r>
      <w:r>
        <w:rPr>
          <w:sz w:val="20"/>
        </w:rPr>
        <w:t>actively</w:t>
      </w:r>
      <w:r>
        <w:rPr>
          <w:spacing w:val="21"/>
          <w:sz w:val="20"/>
        </w:rPr>
        <w:t> </w:t>
      </w:r>
      <w:r>
        <w:rPr>
          <w:sz w:val="20"/>
        </w:rPr>
        <w:t>embraces</w:t>
      </w:r>
      <w:r>
        <w:rPr>
          <w:spacing w:val="21"/>
          <w:sz w:val="20"/>
        </w:rPr>
        <w:t> </w:t>
      </w:r>
      <w:r>
        <w:rPr>
          <w:sz w:val="20"/>
        </w:rPr>
        <w:t>cruelty</w:t>
      </w:r>
      <w:r>
        <w:rPr>
          <w:spacing w:val="23"/>
          <w:sz w:val="20"/>
        </w:rPr>
        <w:t> </w:t>
      </w:r>
      <w:r>
        <w:rPr>
          <w:sz w:val="20"/>
        </w:rPr>
        <w:t>and</w:t>
      </w:r>
      <w:r>
        <w:rPr>
          <w:spacing w:val="24"/>
          <w:sz w:val="20"/>
        </w:rPr>
        <w:t> </w:t>
      </w:r>
      <w:r>
        <w:rPr>
          <w:spacing w:val="-2"/>
          <w:sz w:val="20"/>
        </w:rPr>
        <w:t>control</w:t>
      </w:r>
    </w:p>
    <w:p>
      <w:pPr>
        <w:pStyle w:val="ListParagraph"/>
        <w:numPr>
          <w:ilvl w:val="1"/>
          <w:numId w:val="92"/>
        </w:numPr>
        <w:tabs>
          <w:tab w:pos="2159" w:val="left" w:leader="none"/>
        </w:tabs>
        <w:spacing w:line="240" w:lineRule="auto" w:before="77" w:after="0"/>
        <w:ind w:left="2159" w:right="0" w:hanging="239"/>
        <w:jc w:val="left"/>
        <w:rPr>
          <w:sz w:val="20"/>
        </w:rPr>
      </w:pPr>
      <w:r>
        <w:rPr>
          <w:spacing w:val="-2"/>
          <w:sz w:val="20"/>
        </w:rPr>
        <w:t>Her</w:t>
      </w:r>
      <w:r>
        <w:rPr>
          <w:spacing w:val="-10"/>
          <w:sz w:val="20"/>
        </w:rPr>
        <w:t> </w:t>
      </w:r>
      <w:r>
        <w:rPr>
          <w:spacing w:val="-2"/>
          <w:sz w:val="20"/>
        </w:rPr>
        <w:t>desires</w:t>
      </w:r>
      <w:r>
        <w:rPr>
          <w:spacing w:val="-15"/>
          <w:sz w:val="20"/>
        </w:rPr>
        <w:t> </w:t>
      </w:r>
      <w:r>
        <w:rPr>
          <w:spacing w:val="-2"/>
          <w:sz w:val="20"/>
        </w:rPr>
        <w:t>move</w:t>
      </w:r>
      <w:r>
        <w:rPr>
          <w:spacing w:val="-9"/>
          <w:sz w:val="20"/>
        </w:rPr>
        <w:t> </w:t>
      </w:r>
      <w:r>
        <w:rPr>
          <w:spacing w:val="-2"/>
          <w:sz w:val="20"/>
        </w:rPr>
        <w:t>beyond</w:t>
      </w:r>
      <w:r>
        <w:rPr>
          <w:spacing w:val="-7"/>
          <w:sz w:val="20"/>
        </w:rPr>
        <w:t> </w:t>
      </w:r>
      <w:r>
        <w:rPr>
          <w:spacing w:val="-2"/>
          <w:sz w:val="20"/>
        </w:rPr>
        <w:t>moral</w:t>
      </w:r>
      <w:r>
        <w:rPr>
          <w:spacing w:val="-9"/>
          <w:sz w:val="20"/>
        </w:rPr>
        <w:t> </w:t>
      </w:r>
      <w:r>
        <w:rPr>
          <w:spacing w:val="-2"/>
          <w:sz w:val="20"/>
        </w:rPr>
        <w:t>restraint</w:t>
      </w:r>
      <w:r>
        <w:rPr>
          <w:spacing w:val="-11"/>
          <w:sz w:val="20"/>
        </w:rPr>
        <w:t> </w:t>
      </w:r>
      <w:r>
        <w:rPr>
          <w:spacing w:val="-2"/>
          <w:sz w:val="20"/>
        </w:rPr>
        <w:t>into</w:t>
      </w:r>
      <w:r>
        <w:rPr>
          <w:spacing w:val="-9"/>
          <w:sz w:val="20"/>
        </w:rPr>
        <w:t> </w:t>
      </w:r>
      <w:r>
        <w:rPr>
          <w:spacing w:val="-2"/>
          <w:sz w:val="20"/>
        </w:rPr>
        <w:t>instinctive</w:t>
      </w:r>
      <w:r>
        <w:rPr>
          <w:spacing w:val="-7"/>
          <w:sz w:val="20"/>
        </w:rPr>
        <w:t> </w:t>
      </w:r>
      <w:r>
        <w:rPr>
          <w:spacing w:val="-2"/>
          <w:sz w:val="20"/>
        </w:rPr>
        <w:t>impulse</w:t>
      </w:r>
    </w:p>
    <w:p>
      <w:pPr>
        <w:pStyle w:val="ListParagraph"/>
        <w:spacing w:after="0" w:line="240" w:lineRule="auto"/>
        <w:jc w:val="left"/>
        <w:rPr>
          <w:sz w:val="20"/>
        </w:rPr>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904768">
                <wp:simplePos x="0" y="0"/>
                <wp:positionH relativeFrom="page">
                  <wp:posOffset>2065020</wp:posOffset>
                </wp:positionH>
                <wp:positionV relativeFrom="paragraph">
                  <wp:posOffset>795020</wp:posOffset>
                </wp:positionV>
                <wp:extent cx="3657600" cy="12700"/>
                <wp:effectExtent l="0" t="0" r="0" b="0"/>
                <wp:wrapTopAndBottom/>
                <wp:docPr id="838" name="Graphic 838"/>
                <wp:cNvGraphicFramePr>
                  <a:graphicFrameLocks/>
                </wp:cNvGraphicFramePr>
                <a:graphic>
                  <a:graphicData uri="http://schemas.microsoft.com/office/word/2010/wordprocessingShape">
                    <wps:wsp>
                      <wps:cNvPr id="838" name="Graphic 83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11712;mso-wrap-distance-left:0;mso-wrap-distance-right:0" id="docshape830"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439</w:t>
      </w:r>
    </w:p>
    <w:p>
      <w:pPr>
        <w:pStyle w:val="BodyText"/>
        <w:spacing w:line="249" w:lineRule="auto" w:before="192"/>
        <w:ind w:right="1443" w:firstLine="432"/>
        <w:jc w:val="both"/>
      </w:pPr>
      <w:r>
        <w:rPr/>
        <w:t>Her famous invocation—asking to be “unsexed” and to have her “milk turned to gall”—reflects a desire to eliminate nurturing instincts and replace them with destructive energy. This moment symbolizes a shift from life-affirming tendencies to death-oriented impulses.</w:t>
      </w:r>
    </w:p>
    <w:p>
      <w:pPr>
        <w:pStyle w:val="Heading5"/>
        <w:numPr>
          <w:ilvl w:val="0"/>
          <w:numId w:val="92"/>
        </w:numPr>
        <w:tabs>
          <w:tab w:pos="1734" w:val="left" w:leader="none"/>
        </w:tabs>
        <w:spacing w:line="240" w:lineRule="auto" w:before="111" w:after="0"/>
        <w:ind w:left="1734" w:right="0" w:hanging="294"/>
        <w:jc w:val="left"/>
      </w:pPr>
      <w:r>
        <w:rPr/>
        <w:t>Eros:</w:t>
      </w:r>
      <w:r>
        <w:rPr>
          <w:spacing w:val="48"/>
        </w:rPr>
        <w:t> </w:t>
      </w:r>
      <w:r>
        <w:rPr/>
        <w:t>The</w:t>
      </w:r>
      <w:r>
        <w:rPr>
          <w:spacing w:val="46"/>
        </w:rPr>
        <w:t> </w:t>
      </w:r>
      <w:r>
        <w:rPr/>
        <w:t>Life</w:t>
      </w:r>
      <w:r>
        <w:rPr>
          <w:spacing w:val="47"/>
        </w:rPr>
        <w:t> </w:t>
      </w:r>
      <w:r>
        <w:rPr>
          <w:spacing w:val="-4"/>
        </w:rPr>
        <w:t>Drive</w:t>
      </w:r>
    </w:p>
    <w:p>
      <w:pPr>
        <w:pStyle w:val="BodyText"/>
        <w:spacing w:before="71"/>
        <w:ind w:left="1872"/>
      </w:pPr>
      <w:r>
        <w:rPr/>
        <w:t>In</w:t>
      </w:r>
      <w:r>
        <w:rPr>
          <w:spacing w:val="19"/>
        </w:rPr>
        <w:t> </w:t>
      </w:r>
      <w:r>
        <w:rPr/>
        <w:t>Freudian</w:t>
      </w:r>
      <w:r>
        <w:rPr>
          <w:spacing w:val="22"/>
        </w:rPr>
        <w:t> </w:t>
      </w:r>
      <w:r>
        <w:rPr/>
        <w:t>theory,</w:t>
      </w:r>
      <w:r>
        <w:rPr>
          <w:spacing w:val="23"/>
        </w:rPr>
        <w:t> </w:t>
      </w:r>
      <w:r>
        <w:rPr/>
        <w:t>Eros</w:t>
      </w:r>
      <w:r>
        <w:rPr>
          <w:spacing w:val="23"/>
        </w:rPr>
        <w:t> </w:t>
      </w:r>
      <w:r>
        <w:rPr>
          <w:spacing w:val="-2"/>
        </w:rPr>
        <w:t>represents:</w:t>
      </w:r>
    </w:p>
    <w:p>
      <w:pPr>
        <w:pStyle w:val="ListParagraph"/>
        <w:numPr>
          <w:ilvl w:val="1"/>
          <w:numId w:val="92"/>
        </w:numPr>
        <w:tabs>
          <w:tab w:pos="2159" w:val="left" w:leader="none"/>
        </w:tabs>
        <w:spacing w:line="240" w:lineRule="auto" w:before="75" w:after="0"/>
        <w:ind w:left="2159" w:right="0" w:hanging="239"/>
        <w:jc w:val="left"/>
        <w:rPr>
          <w:sz w:val="20"/>
        </w:rPr>
      </w:pPr>
      <w:r>
        <w:rPr>
          <w:sz w:val="20"/>
        </w:rPr>
        <w:t>The</w:t>
      </w:r>
      <w:r>
        <w:rPr>
          <w:spacing w:val="26"/>
          <w:sz w:val="20"/>
        </w:rPr>
        <w:t> </w:t>
      </w:r>
      <w:r>
        <w:rPr>
          <w:sz w:val="20"/>
        </w:rPr>
        <w:t>instinct</w:t>
      </w:r>
      <w:r>
        <w:rPr>
          <w:spacing w:val="26"/>
          <w:sz w:val="20"/>
        </w:rPr>
        <w:t> </w:t>
      </w:r>
      <w:r>
        <w:rPr>
          <w:sz w:val="20"/>
        </w:rPr>
        <w:t>for</w:t>
      </w:r>
      <w:r>
        <w:rPr>
          <w:spacing w:val="26"/>
          <w:sz w:val="20"/>
        </w:rPr>
        <w:t> </w:t>
      </w:r>
      <w:r>
        <w:rPr>
          <w:spacing w:val="-2"/>
          <w:sz w:val="20"/>
        </w:rPr>
        <w:t>survival</w:t>
      </w:r>
    </w:p>
    <w:p>
      <w:pPr>
        <w:pStyle w:val="ListParagraph"/>
        <w:numPr>
          <w:ilvl w:val="1"/>
          <w:numId w:val="92"/>
        </w:numPr>
        <w:tabs>
          <w:tab w:pos="2159" w:val="left" w:leader="none"/>
        </w:tabs>
        <w:spacing w:line="240" w:lineRule="auto" w:before="80" w:after="0"/>
        <w:ind w:left="2159" w:right="0" w:hanging="239"/>
        <w:jc w:val="left"/>
        <w:rPr>
          <w:sz w:val="20"/>
        </w:rPr>
      </w:pPr>
      <w:r>
        <w:rPr>
          <w:sz w:val="20"/>
        </w:rPr>
        <w:t>The</w:t>
      </w:r>
      <w:r>
        <w:rPr>
          <w:spacing w:val="28"/>
          <w:sz w:val="20"/>
        </w:rPr>
        <w:t> </w:t>
      </w:r>
      <w:r>
        <w:rPr>
          <w:sz w:val="20"/>
        </w:rPr>
        <w:t>drive</w:t>
      </w:r>
      <w:r>
        <w:rPr>
          <w:spacing w:val="26"/>
          <w:sz w:val="20"/>
        </w:rPr>
        <w:t> </w:t>
      </w:r>
      <w:r>
        <w:rPr>
          <w:sz w:val="20"/>
        </w:rPr>
        <w:t>for</w:t>
      </w:r>
      <w:r>
        <w:rPr>
          <w:spacing w:val="28"/>
          <w:sz w:val="20"/>
        </w:rPr>
        <w:t> </w:t>
      </w:r>
      <w:r>
        <w:rPr>
          <w:sz w:val="20"/>
        </w:rPr>
        <w:t>creation</w:t>
      </w:r>
      <w:r>
        <w:rPr>
          <w:spacing w:val="24"/>
          <w:sz w:val="20"/>
        </w:rPr>
        <w:t> </w:t>
      </w:r>
      <w:r>
        <w:rPr>
          <w:sz w:val="20"/>
        </w:rPr>
        <w:t>and</w:t>
      </w:r>
      <w:r>
        <w:rPr>
          <w:spacing w:val="29"/>
          <w:sz w:val="20"/>
        </w:rPr>
        <w:t> </w:t>
      </w:r>
      <w:r>
        <w:rPr>
          <w:spacing w:val="-2"/>
          <w:sz w:val="20"/>
        </w:rPr>
        <w:t>continuity</w:t>
      </w:r>
    </w:p>
    <w:p>
      <w:pPr>
        <w:pStyle w:val="ListParagraph"/>
        <w:numPr>
          <w:ilvl w:val="1"/>
          <w:numId w:val="92"/>
        </w:numPr>
        <w:tabs>
          <w:tab w:pos="2159" w:val="left" w:leader="none"/>
        </w:tabs>
        <w:spacing w:line="240" w:lineRule="auto" w:before="77" w:after="0"/>
        <w:ind w:left="2159" w:right="0" w:hanging="239"/>
        <w:jc w:val="left"/>
        <w:rPr>
          <w:sz w:val="20"/>
        </w:rPr>
      </w:pPr>
      <w:r>
        <w:rPr>
          <w:sz w:val="20"/>
        </w:rPr>
        <w:t>Emotional</w:t>
      </w:r>
      <w:r>
        <w:rPr>
          <w:spacing w:val="11"/>
          <w:sz w:val="20"/>
        </w:rPr>
        <w:t> </w:t>
      </w:r>
      <w:r>
        <w:rPr>
          <w:sz w:val="20"/>
        </w:rPr>
        <w:t>and</w:t>
      </w:r>
      <w:r>
        <w:rPr>
          <w:spacing w:val="16"/>
          <w:sz w:val="20"/>
        </w:rPr>
        <w:t> </w:t>
      </w:r>
      <w:r>
        <w:rPr>
          <w:sz w:val="20"/>
        </w:rPr>
        <w:t>relational</w:t>
      </w:r>
      <w:r>
        <w:rPr>
          <w:spacing w:val="11"/>
          <w:sz w:val="20"/>
        </w:rPr>
        <w:t> </w:t>
      </w:r>
      <w:r>
        <w:rPr>
          <w:spacing w:val="-2"/>
          <w:sz w:val="20"/>
        </w:rPr>
        <w:t>connection</w:t>
      </w:r>
    </w:p>
    <w:p>
      <w:pPr>
        <w:pStyle w:val="BodyText"/>
        <w:spacing w:before="70"/>
        <w:ind w:left="1872"/>
      </w:pPr>
      <w:r>
        <w:rPr/>
        <w:t>In</w:t>
      </w:r>
      <w:r>
        <w:rPr>
          <w:spacing w:val="25"/>
        </w:rPr>
        <w:t> </w:t>
      </w:r>
      <w:r>
        <w:rPr/>
        <w:t>Lady</w:t>
      </w:r>
      <w:r>
        <w:rPr>
          <w:spacing w:val="23"/>
        </w:rPr>
        <w:t> </w:t>
      </w:r>
      <w:r>
        <w:rPr/>
        <w:t>Macbeth,</w:t>
      </w:r>
      <w:r>
        <w:rPr>
          <w:spacing w:val="29"/>
        </w:rPr>
        <w:t> </w:t>
      </w:r>
      <w:r>
        <w:rPr/>
        <w:t>Eros</w:t>
      </w:r>
      <w:r>
        <w:rPr>
          <w:spacing w:val="26"/>
        </w:rPr>
        <w:t> </w:t>
      </w:r>
      <w:r>
        <w:rPr/>
        <w:t>is</w:t>
      </w:r>
      <w:r>
        <w:rPr>
          <w:spacing w:val="28"/>
        </w:rPr>
        <w:t> </w:t>
      </w:r>
      <w:r>
        <w:rPr/>
        <w:t>present</w:t>
      </w:r>
      <w:r>
        <w:rPr>
          <w:spacing w:val="24"/>
        </w:rPr>
        <w:t> </w:t>
      </w:r>
      <w:r>
        <w:rPr/>
        <w:t>but</w:t>
      </w:r>
      <w:r>
        <w:rPr>
          <w:spacing w:val="28"/>
        </w:rPr>
        <w:t> </w:t>
      </w:r>
      <w:r>
        <w:rPr>
          <w:spacing w:val="-2"/>
        </w:rPr>
        <w:t>transformed:</w:t>
      </w:r>
    </w:p>
    <w:p>
      <w:pPr>
        <w:pStyle w:val="ListParagraph"/>
        <w:numPr>
          <w:ilvl w:val="1"/>
          <w:numId w:val="92"/>
        </w:numPr>
        <w:tabs>
          <w:tab w:pos="2159" w:val="left" w:leader="none"/>
        </w:tabs>
        <w:spacing w:line="240" w:lineRule="auto" w:before="75" w:after="0"/>
        <w:ind w:left="2159" w:right="0" w:hanging="239"/>
        <w:jc w:val="left"/>
        <w:rPr>
          <w:sz w:val="20"/>
        </w:rPr>
      </w:pPr>
      <w:r>
        <w:rPr>
          <w:sz w:val="20"/>
        </w:rPr>
        <w:t>Her</w:t>
      </w:r>
      <w:r>
        <w:rPr>
          <w:spacing w:val="21"/>
          <w:sz w:val="20"/>
        </w:rPr>
        <w:t> </w:t>
      </w:r>
      <w:r>
        <w:rPr>
          <w:sz w:val="20"/>
        </w:rPr>
        <w:t>ambition</w:t>
      </w:r>
      <w:r>
        <w:rPr>
          <w:spacing w:val="21"/>
          <w:sz w:val="20"/>
        </w:rPr>
        <w:t> </w:t>
      </w:r>
      <w:r>
        <w:rPr>
          <w:sz w:val="20"/>
        </w:rPr>
        <w:t>is</w:t>
      </w:r>
      <w:r>
        <w:rPr>
          <w:spacing w:val="24"/>
          <w:sz w:val="20"/>
        </w:rPr>
        <w:t> </w:t>
      </w:r>
      <w:r>
        <w:rPr>
          <w:sz w:val="20"/>
        </w:rPr>
        <w:t>linked</w:t>
      </w:r>
      <w:r>
        <w:rPr>
          <w:spacing w:val="22"/>
          <w:sz w:val="20"/>
        </w:rPr>
        <w:t> </w:t>
      </w:r>
      <w:r>
        <w:rPr>
          <w:sz w:val="20"/>
        </w:rPr>
        <w:t>to</w:t>
      </w:r>
      <w:r>
        <w:rPr>
          <w:spacing w:val="23"/>
          <w:sz w:val="20"/>
        </w:rPr>
        <w:t> </w:t>
      </w:r>
      <w:r>
        <w:rPr>
          <w:sz w:val="20"/>
        </w:rPr>
        <w:t>creation</w:t>
      </w:r>
      <w:r>
        <w:rPr>
          <w:spacing w:val="20"/>
          <w:sz w:val="20"/>
        </w:rPr>
        <w:t> </w:t>
      </w:r>
      <w:r>
        <w:rPr>
          <w:sz w:val="20"/>
        </w:rPr>
        <w:t>of</w:t>
      </w:r>
      <w:r>
        <w:rPr>
          <w:spacing w:val="22"/>
          <w:sz w:val="20"/>
        </w:rPr>
        <w:t> </w:t>
      </w:r>
      <w:r>
        <w:rPr>
          <w:sz w:val="20"/>
        </w:rPr>
        <w:t>power</w:t>
      </w:r>
      <w:r>
        <w:rPr>
          <w:spacing w:val="21"/>
          <w:sz w:val="20"/>
        </w:rPr>
        <w:t> </w:t>
      </w:r>
      <w:r>
        <w:rPr>
          <w:sz w:val="20"/>
        </w:rPr>
        <w:t>and</w:t>
      </w:r>
      <w:r>
        <w:rPr>
          <w:spacing w:val="25"/>
          <w:sz w:val="20"/>
        </w:rPr>
        <w:t> </w:t>
      </w:r>
      <w:r>
        <w:rPr>
          <w:spacing w:val="-2"/>
          <w:sz w:val="20"/>
        </w:rPr>
        <w:t>status</w:t>
      </w:r>
    </w:p>
    <w:p>
      <w:pPr>
        <w:pStyle w:val="ListParagraph"/>
        <w:numPr>
          <w:ilvl w:val="1"/>
          <w:numId w:val="92"/>
        </w:numPr>
        <w:tabs>
          <w:tab w:pos="2160" w:val="left" w:leader="none"/>
        </w:tabs>
        <w:spacing w:line="261" w:lineRule="auto" w:before="79" w:after="0"/>
        <w:ind w:left="2160" w:right="1438" w:hanging="240"/>
        <w:jc w:val="left"/>
        <w:rPr>
          <w:sz w:val="20"/>
        </w:rPr>
      </w:pPr>
      <w:r>
        <w:rPr>
          <w:sz w:val="20"/>
        </w:rPr>
        <w:t>Her</w:t>
      </w:r>
      <w:r>
        <w:rPr>
          <w:spacing w:val="-9"/>
          <w:sz w:val="20"/>
        </w:rPr>
        <w:t> </w:t>
      </w:r>
      <w:r>
        <w:rPr>
          <w:sz w:val="20"/>
        </w:rPr>
        <w:t>relationship</w:t>
      </w:r>
      <w:r>
        <w:rPr>
          <w:spacing w:val="-9"/>
          <w:sz w:val="20"/>
        </w:rPr>
        <w:t> </w:t>
      </w:r>
      <w:r>
        <w:rPr>
          <w:sz w:val="20"/>
        </w:rPr>
        <w:t>with</w:t>
      </w:r>
      <w:r>
        <w:rPr>
          <w:spacing w:val="-11"/>
          <w:sz w:val="20"/>
        </w:rPr>
        <w:t> </w:t>
      </w:r>
      <w:r>
        <w:rPr>
          <w:sz w:val="20"/>
        </w:rPr>
        <w:t>Macbeth</w:t>
      </w:r>
      <w:r>
        <w:rPr>
          <w:spacing w:val="-9"/>
          <w:sz w:val="20"/>
        </w:rPr>
        <w:t> </w:t>
      </w:r>
      <w:r>
        <w:rPr>
          <w:sz w:val="20"/>
        </w:rPr>
        <w:t>initially</w:t>
      </w:r>
      <w:r>
        <w:rPr>
          <w:spacing w:val="-12"/>
          <w:sz w:val="20"/>
        </w:rPr>
        <w:t> </w:t>
      </w:r>
      <w:r>
        <w:rPr>
          <w:sz w:val="20"/>
        </w:rPr>
        <w:t>reflects</w:t>
      </w:r>
      <w:r>
        <w:rPr>
          <w:spacing w:val="-11"/>
          <w:sz w:val="20"/>
        </w:rPr>
        <w:t> </w:t>
      </w:r>
      <w:r>
        <w:rPr>
          <w:sz w:val="20"/>
        </w:rPr>
        <w:t>emotional</w:t>
      </w:r>
      <w:r>
        <w:rPr>
          <w:spacing w:val="-11"/>
          <w:sz w:val="20"/>
        </w:rPr>
        <w:t> </w:t>
      </w:r>
      <w:r>
        <w:rPr>
          <w:sz w:val="20"/>
        </w:rPr>
        <w:t>unity and</w:t>
      </w:r>
      <w:r>
        <w:rPr>
          <w:spacing w:val="40"/>
          <w:sz w:val="20"/>
        </w:rPr>
        <w:t> </w:t>
      </w:r>
      <w:r>
        <w:rPr>
          <w:sz w:val="20"/>
        </w:rPr>
        <w:t>shared</w:t>
      </w:r>
      <w:r>
        <w:rPr>
          <w:spacing w:val="40"/>
          <w:sz w:val="20"/>
        </w:rPr>
        <w:t> </w:t>
      </w:r>
      <w:r>
        <w:rPr>
          <w:sz w:val="20"/>
        </w:rPr>
        <w:t>purpose</w:t>
      </w:r>
    </w:p>
    <w:p>
      <w:pPr>
        <w:pStyle w:val="ListParagraph"/>
        <w:numPr>
          <w:ilvl w:val="1"/>
          <w:numId w:val="92"/>
        </w:numPr>
        <w:tabs>
          <w:tab w:pos="2159" w:val="left" w:leader="none"/>
        </w:tabs>
        <w:spacing w:line="240" w:lineRule="auto" w:before="56" w:after="0"/>
        <w:ind w:left="2159" w:right="0" w:hanging="239"/>
        <w:jc w:val="left"/>
        <w:rPr>
          <w:sz w:val="20"/>
        </w:rPr>
      </w:pPr>
      <w:r>
        <w:rPr>
          <w:sz w:val="20"/>
        </w:rPr>
        <w:t>Her</w:t>
      </w:r>
      <w:r>
        <w:rPr>
          <w:spacing w:val="-9"/>
          <w:sz w:val="20"/>
        </w:rPr>
        <w:t> </w:t>
      </w:r>
      <w:r>
        <w:rPr>
          <w:sz w:val="20"/>
        </w:rPr>
        <w:t>desire</w:t>
      </w:r>
      <w:r>
        <w:rPr>
          <w:spacing w:val="-10"/>
          <w:sz w:val="20"/>
        </w:rPr>
        <w:t> </w:t>
      </w:r>
      <w:r>
        <w:rPr>
          <w:sz w:val="20"/>
        </w:rPr>
        <w:t>is</w:t>
      </w:r>
      <w:r>
        <w:rPr>
          <w:spacing w:val="-12"/>
          <w:sz w:val="20"/>
        </w:rPr>
        <w:t> </w:t>
      </w:r>
      <w:r>
        <w:rPr>
          <w:sz w:val="20"/>
        </w:rPr>
        <w:t>directed</w:t>
      </w:r>
      <w:r>
        <w:rPr>
          <w:spacing w:val="-9"/>
          <w:sz w:val="20"/>
        </w:rPr>
        <w:t> </w:t>
      </w:r>
      <w:r>
        <w:rPr>
          <w:sz w:val="20"/>
        </w:rPr>
        <w:t>toward</w:t>
      </w:r>
      <w:r>
        <w:rPr>
          <w:spacing w:val="-10"/>
          <w:sz w:val="20"/>
        </w:rPr>
        <w:t> </w:t>
      </w:r>
      <w:r>
        <w:rPr>
          <w:sz w:val="20"/>
        </w:rPr>
        <w:t>building</w:t>
      </w:r>
      <w:r>
        <w:rPr>
          <w:spacing w:val="-11"/>
          <w:sz w:val="20"/>
        </w:rPr>
        <w:t> </w:t>
      </w:r>
      <w:r>
        <w:rPr>
          <w:sz w:val="20"/>
        </w:rPr>
        <w:t>a</w:t>
      </w:r>
      <w:r>
        <w:rPr>
          <w:spacing w:val="-10"/>
          <w:sz w:val="20"/>
        </w:rPr>
        <w:t> </w:t>
      </w:r>
      <w:r>
        <w:rPr>
          <w:sz w:val="20"/>
        </w:rPr>
        <w:t>future</w:t>
      </w:r>
      <w:r>
        <w:rPr>
          <w:spacing w:val="-11"/>
          <w:sz w:val="20"/>
        </w:rPr>
        <w:t> </w:t>
      </w:r>
      <w:r>
        <w:rPr>
          <w:sz w:val="20"/>
        </w:rPr>
        <w:t>through</w:t>
      </w:r>
      <w:r>
        <w:rPr>
          <w:spacing w:val="-12"/>
          <w:sz w:val="20"/>
        </w:rPr>
        <w:t> </w:t>
      </w:r>
      <w:r>
        <w:rPr>
          <w:spacing w:val="-2"/>
          <w:sz w:val="20"/>
        </w:rPr>
        <w:t>kingship</w:t>
      </w:r>
    </w:p>
    <w:p>
      <w:pPr>
        <w:pStyle w:val="BodyText"/>
        <w:spacing w:line="249" w:lineRule="auto" w:before="72"/>
        <w:ind w:right="1440" w:firstLine="432"/>
        <w:jc w:val="both"/>
      </w:pPr>
      <w:r>
        <w:rPr/>
        <w:t>However, this life drive is not stable. It becomes intertwined with darker impulses, showing that creation and destruction are not always separate</w:t>
      </w:r>
      <w:r>
        <w:rPr>
          <w:spacing w:val="40"/>
        </w:rPr>
        <w:t> </w:t>
      </w:r>
      <w:r>
        <w:rPr/>
        <w:t>forces.</w:t>
      </w:r>
    </w:p>
    <w:p>
      <w:pPr>
        <w:pStyle w:val="Heading5"/>
        <w:numPr>
          <w:ilvl w:val="0"/>
          <w:numId w:val="92"/>
        </w:numPr>
        <w:tabs>
          <w:tab w:pos="1738" w:val="left" w:leader="none"/>
        </w:tabs>
        <w:spacing w:line="240" w:lineRule="auto" w:before="110" w:after="0"/>
        <w:ind w:left="1738" w:right="0" w:hanging="298"/>
        <w:jc w:val="left"/>
      </w:pPr>
      <w:r>
        <w:rPr/>
        <w:t>Thanatos:</w:t>
      </w:r>
      <w:r>
        <w:rPr>
          <w:spacing w:val="60"/>
          <w:w w:val="150"/>
        </w:rPr>
        <w:t> </w:t>
      </w:r>
      <w:r>
        <w:rPr/>
        <w:t>The</w:t>
      </w:r>
      <w:r>
        <w:rPr>
          <w:spacing w:val="57"/>
          <w:w w:val="150"/>
        </w:rPr>
        <w:t> </w:t>
      </w:r>
      <w:r>
        <w:rPr/>
        <w:t>Death</w:t>
      </w:r>
      <w:r>
        <w:rPr>
          <w:spacing w:val="58"/>
          <w:w w:val="150"/>
        </w:rPr>
        <w:t> </w:t>
      </w:r>
      <w:r>
        <w:rPr>
          <w:spacing w:val="-4"/>
        </w:rPr>
        <w:t>Drive</w:t>
      </w:r>
    </w:p>
    <w:p>
      <w:pPr>
        <w:pStyle w:val="Heading6"/>
        <w:spacing w:before="72"/>
      </w:pPr>
      <w:r>
        <w:rPr>
          <w:spacing w:val="-8"/>
        </w:rPr>
        <w:t>Freud’s</w:t>
      </w:r>
      <w:r>
        <w:rPr>
          <w:spacing w:val="-17"/>
        </w:rPr>
        <w:t> </w:t>
      </w:r>
      <w:r>
        <w:rPr>
          <w:spacing w:val="-8"/>
        </w:rPr>
        <w:t>concept</w:t>
      </w:r>
      <w:r>
        <w:rPr>
          <w:spacing w:val="-15"/>
        </w:rPr>
        <w:t> </w:t>
      </w:r>
      <w:r>
        <w:rPr>
          <w:spacing w:val="-8"/>
        </w:rPr>
        <w:t>of</w:t>
      </w:r>
      <w:r>
        <w:rPr>
          <w:spacing w:val="-22"/>
        </w:rPr>
        <w:t> </w:t>
      </w:r>
      <w:r>
        <w:rPr>
          <w:spacing w:val="-8"/>
        </w:rPr>
        <w:t>Thanatos</w:t>
      </w:r>
      <w:r>
        <w:rPr>
          <w:spacing w:val="-19"/>
        </w:rPr>
        <w:t> </w:t>
      </w:r>
      <w:r>
        <w:rPr>
          <w:spacing w:val="-8"/>
        </w:rPr>
        <w:t>(or</w:t>
      </w:r>
      <w:r>
        <w:rPr>
          <w:spacing w:val="-20"/>
        </w:rPr>
        <w:t> </w:t>
      </w:r>
      <w:r>
        <w:rPr>
          <w:i/>
          <w:spacing w:val="-8"/>
        </w:rPr>
        <w:t>Todestrieb</w:t>
      </w:r>
      <w:r>
        <w:rPr>
          <w:spacing w:val="-8"/>
        </w:rPr>
        <w:t>,</w:t>
      </w:r>
      <w:r>
        <w:rPr>
          <w:spacing w:val="-20"/>
        </w:rPr>
        <w:t> </w:t>
      </w:r>
      <w:r>
        <w:rPr>
          <w:spacing w:val="-8"/>
        </w:rPr>
        <w:t>the</w:t>
      </w:r>
      <w:r>
        <w:rPr>
          <w:spacing w:val="-20"/>
        </w:rPr>
        <w:t> </w:t>
      </w:r>
      <w:r>
        <w:rPr>
          <w:spacing w:val="-8"/>
        </w:rPr>
        <w:t>death</w:t>
      </w:r>
      <w:r>
        <w:rPr>
          <w:spacing w:val="-22"/>
        </w:rPr>
        <w:t> </w:t>
      </w:r>
      <w:r>
        <w:rPr>
          <w:spacing w:val="-8"/>
        </w:rPr>
        <w:t>drive)</w:t>
      </w:r>
      <w:r>
        <w:rPr>
          <w:spacing w:val="-17"/>
        </w:rPr>
        <w:t> </w:t>
      </w:r>
      <w:r>
        <w:rPr>
          <w:spacing w:val="-8"/>
        </w:rPr>
        <w:t>refers</w:t>
      </w:r>
      <w:r>
        <w:rPr>
          <w:spacing w:val="-17"/>
        </w:rPr>
        <w:t> </w:t>
      </w:r>
      <w:r>
        <w:rPr>
          <w:spacing w:val="-8"/>
        </w:rPr>
        <w:t>to:</w:t>
      </w:r>
    </w:p>
    <w:p>
      <w:pPr>
        <w:pStyle w:val="ListParagraph"/>
        <w:numPr>
          <w:ilvl w:val="1"/>
          <w:numId w:val="92"/>
        </w:numPr>
        <w:tabs>
          <w:tab w:pos="2159" w:val="left" w:leader="none"/>
        </w:tabs>
        <w:spacing w:line="240" w:lineRule="auto" w:before="74" w:after="0"/>
        <w:ind w:left="2159" w:right="0" w:hanging="239"/>
        <w:jc w:val="left"/>
        <w:rPr>
          <w:sz w:val="20"/>
        </w:rPr>
      </w:pPr>
      <w:r>
        <w:rPr>
          <w:sz w:val="20"/>
        </w:rPr>
        <w:t>Aggression</w:t>
      </w:r>
      <w:r>
        <w:rPr>
          <w:spacing w:val="49"/>
          <w:sz w:val="20"/>
        </w:rPr>
        <w:t> </w:t>
      </w:r>
      <w:r>
        <w:rPr>
          <w:sz w:val="20"/>
        </w:rPr>
        <w:t>and</w:t>
      </w:r>
      <w:r>
        <w:rPr>
          <w:spacing w:val="52"/>
          <w:sz w:val="20"/>
        </w:rPr>
        <w:t> </w:t>
      </w:r>
      <w:r>
        <w:rPr>
          <w:spacing w:val="-2"/>
          <w:sz w:val="20"/>
        </w:rPr>
        <w:t>destruction</w:t>
      </w:r>
    </w:p>
    <w:p>
      <w:pPr>
        <w:pStyle w:val="ListParagraph"/>
        <w:numPr>
          <w:ilvl w:val="1"/>
          <w:numId w:val="92"/>
        </w:numPr>
        <w:tabs>
          <w:tab w:pos="2159" w:val="left" w:leader="none"/>
        </w:tabs>
        <w:spacing w:line="240" w:lineRule="auto" w:before="78" w:after="0"/>
        <w:ind w:left="2159" w:right="0" w:hanging="239"/>
        <w:jc w:val="left"/>
        <w:rPr>
          <w:sz w:val="20"/>
        </w:rPr>
      </w:pPr>
      <w:r>
        <w:rPr>
          <w:sz w:val="20"/>
        </w:rPr>
        <w:t>A</w:t>
      </w:r>
      <w:r>
        <w:rPr>
          <w:spacing w:val="32"/>
          <w:sz w:val="20"/>
        </w:rPr>
        <w:t> </w:t>
      </w:r>
      <w:r>
        <w:rPr>
          <w:sz w:val="20"/>
        </w:rPr>
        <w:t>tendency</w:t>
      </w:r>
      <w:r>
        <w:rPr>
          <w:spacing w:val="31"/>
          <w:sz w:val="20"/>
        </w:rPr>
        <w:t> </w:t>
      </w:r>
      <w:r>
        <w:rPr>
          <w:sz w:val="20"/>
        </w:rPr>
        <w:t>toward</w:t>
      </w:r>
      <w:r>
        <w:rPr>
          <w:spacing w:val="35"/>
          <w:sz w:val="20"/>
        </w:rPr>
        <w:t> </w:t>
      </w:r>
      <w:r>
        <w:rPr>
          <w:sz w:val="20"/>
        </w:rPr>
        <w:t>self-</w:t>
      </w:r>
      <w:r>
        <w:rPr>
          <w:spacing w:val="-2"/>
          <w:sz w:val="20"/>
        </w:rPr>
        <w:t>destruction</w:t>
      </w:r>
    </w:p>
    <w:p>
      <w:pPr>
        <w:pStyle w:val="ListParagraph"/>
        <w:numPr>
          <w:ilvl w:val="1"/>
          <w:numId w:val="92"/>
        </w:numPr>
        <w:tabs>
          <w:tab w:pos="2159" w:val="left" w:leader="none"/>
        </w:tabs>
        <w:spacing w:line="240" w:lineRule="auto" w:before="79" w:after="0"/>
        <w:ind w:left="2159" w:right="0" w:hanging="239"/>
        <w:jc w:val="left"/>
        <w:rPr>
          <w:sz w:val="20"/>
        </w:rPr>
      </w:pPr>
      <w:r>
        <w:rPr>
          <w:sz w:val="20"/>
        </w:rPr>
        <w:t>A</w:t>
      </w:r>
      <w:r>
        <w:rPr>
          <w:spacing w:val="23"/>
          <w:sz w:val="20"/>
        </w:rPr>
        <w:t> </w:t>
      </w:r>
      <w:r>
        <w:rPr>
          <w:sz w:val="20"/>
        </w:rPr>
        <w:t>return</w:t>
      </w:r>
      <w:r>
        <w:rPr>
          <w:spacing w:val="23"/>
          <w:sz w:val="20"/>
        </w:rPr>
        <w:t> </w:t>
      </w:r>
      <w:r>
        <w:rPr>
          <w:sz w:val="20"/>
        </w:rPr>
        <w:t>to</w:t>
      </w:r>
      <w:r>
        <w:rPr>
          <w:spacing w:val="27"/>
          <w:sz w:val="20"/>
        </w:rPr>
        <w:t> </w:t>
      </w:r>
      <w:r>
        <w:rPr>
          <w:sz w:val="20"/>
        </w:rPr>
        <w:t>an</w:t>
      </w:r>
      <w:r>
        <w:rPr>
          <w:spacing w:val="23"/>
          <w:sz w:val="20"/>
        </w:rPr>
        <w:t> </w:t>
      </w:r>
      <w:r>
        <w:rPr>
          <w:sz w:val="20"/>
        </w:rPr>
        <w:t>inorganic</w:t>
      </w:r>
      <w:r>
        <w:rPr>
          <w:spacing w:val="26"/>
          <w:sz w:val="20"/>
        </w:rPr>
        <w:t> </w:t>
      </w:r>
      <w:r>
        <w:rPr>
          <w:sz w:val="20"/>
        </w:rPr>
        <w:t>or</w:t>
      </w:r>
      <w:r>
        <w:rPr>
          <w:spacing w:val="25"/>
          <w:sz w:val="20"/>
        </w:rPr>
        <w:t> </w:t>
      </w:r>
      <w:r>
        <w:rPr>
          <w:sz w:val="20"/>
        </w:rPr>
        <w:t>lifeless</w:t>
      </w:r>
      <w:r>
        <w:rPr>
          <w:spacing w:val="23"/>
          <w:sz w:val="20"/>
        </w:rPr>
        <w:t> </w:t>
      </w:r>
      <w:r>
        <w:rPr>
          <w:spacing w:val="-2"/>
          <w:sz w:val="20"/>
        </w:rPr>
        <w:t>state</w:t>
      </w:r>
    </w:p>
    <w:p>
      <w:pPr>
        <w:pStyle w:val="Heading6"/>
      </w:pPr>
      <w:r>
        <w:rPr>
          <w:spacing w:val="-4"/>
        </w:rPr>
        <w:t>Lady</w:t>
      </w:r>
      <w:r>
        <w:rPr>
          <w:spacing w:val="-5"/>
        </w:rPr>
        <w:t> </w:t>
      </w:r>
      <w:r>
        <w:rPr>
          <w:spacing w:val="-4"/>
        </w:rPr>
        <w:t>Macbeth</w:t>
      </w:r>
      <w:r>
        <w:rPr>
          <w:spacing w:val="-11"/>
        </w:rPr>
        <w:t> </w:t>
      </w:r>
      <w:r>
        <w:rPr>
          <w:spacing w:val="-4"/>
        </w:rPr>
        <w:t>strongly</w:t>
      </w:r>
      <w:r>
        <w:rPr>
          <w:spacing w:val="-7"/>
        </w:rPr>
        <w:t> </w:t>
      </w:r>
      <w:r>
        <w:rPr>
          <w:spacing w:val="-4"/>
        </w:rPr>
        <w:t>embodies</w:t>
      </w:r>
      <w:r>
        <w:rPr>
          <w:spacing w:val="-9"/>
        </w:rPr>
        <w:t> </w:t>
      </w:r>
      <w:r>
        <w:rPr>
          <w:spacing w:val="-4"/>
        </w:rPr>
        <w:t>Thanatos:</w:t>
      </w:r>
    </w:p>
    <w:p>
      <w:pPr>
        <w:pStyle w:val="ListParagraph"/>
        <w:numPr>
          <w:ilvl w:val="1"/>
          <w:numId w:val="92"/>
        </w:numPr>
        <w:tabs>
          <w:tab w:pos="2159" w:val="left" w:leader="none"/>
        </w:tabs>
        <w:spacing w:line="240" w:lineRule="auto" w:before="75" w:after="0"/>
        <w:ind w:left="2159" w:right="0" w:hanging="239"/>
        <w:jc w:val="left"/>
        <w:rPr>
          <w:sz w:val="20"/>
        </w:rPr>
      </w:pPr>
      <w:r>
        <w:rPr>
          <w:sz w:val="20"/>
        </w:rPr>
        <w:t>She</w:t>
      </w:r>
      <w:r>
        <w:rPr>
          <w:spacing w:val="21"/>
          <w:sz w:val="20"/>
        </w:rPr>
        <w:t> </w:t>
      </w:r>
      <w:r>
        <w:rPr>
          <w:sz w:val="20"/>
        </w:rPr>
        <w:t>initiates</w:t>
      </w:r>
      <w:r>
        <w:rPr>
          <w:spacing w:val="19"/>
          <w:sz w:val="20"/>
        </w:rPr>
        <w:t> </w:t>
      </w:r>
      <w:r>
        <w:rPr>
          <w:sz w:val="20"/>
        </w:rPr>
        <w:t>the</w:t>
      </w:r>
      <w:r>
        <w:rPr>
          <w:spacing w:val="23"/>
          <w:sz w:val="20"/>
        </w:rPr>
        <w:t> </w:t>
      </w:r>
      <w:r>
        <w:rPr>
          <w:sz w:val="20"/>
        </w:rPr>
        <w:t>act</w:t>
      </w:r>
      <w:r>
        <w:rPr>
          <w:spacing w:val="19"/>
          <w:sz w:val="20"/>
        </w:rPr>
        <w:t> </w:t>
      </w:r>
      <w:r>
        <w:rPr>
          <w:sz w:val="20"/>
        </w:rPr>
        <w:t>of</w:t>
      </w:r>
      <w:r>
        <w:rPr>
          <w:spacing w:val="22"/>
          <w:sz w:val="20"/>
        </w:rPr>
        <w:t> </w:t>
      </w:r>
      <w:r>
        <w:rPr>
          <w:spacing w:val="-2"/>
          <w:sz w:val="20"/>
        </w:rPr>
        <w:t>murder</w:t>
      </w:r>
    </w:p>
    <w:p>
      <w:pPr>
        <w:pStyle w:val="ListParagraph"/>
        <w:numPr>
          <w:ilvl w:val="1"/>
          <w:numId w:val="92"/>
        </w:numPr>
        <w:tabs>
          <w:tab w:pos="2159" w:val="left" w:leader="none"/>
        </w:tabs>
        <w:spacing w:line="240" w:lineRule="auto" w:before="77" w:after="0"/>
        <w:ind w:left="2159" w:right="0" w:hanging="239"/>
        <w:jc w:val="left"/>
        <w:rPr>
          <w:sz w:val="20"/>
        </w:rPr>
      </w:pPr>
      <w:r>
        <w:rPr>
          <w:sz w:val="20"/>
        </w:rPr>
        <w:t>She</w:t>
      </w:r>
      <w:r>
        <w:rPr>
          <w:spacing w:val="38"/>
          <w:sz w:val="20"/>
        </w:rPr>
        <w:t> </w:t>
      </w:r>
      <w:r>
        <w:rPr>
          <w:sz w:val="20"/>
        </w:rPr>
        <w:t>suppresses</w:t>
      </w:r>
      <w:r>
        <w:rPr>
          <w:spacing w:val="38"/>
          <w:sz w:val="20"/>
        </w:rPr>
        <w:t> </w:t>
      </w:r>
      <w:r>
        <w:rPr>
          <w:sz w:val="20"/>
        </w:rPr>
        <w:t>moral</w:t>
      </w:r>
      <w:r>
        <w:rPr>
          <w:spacing w:val="38"/>
          <w:sz w:val="20"/>
        </w:rPr>
        <w:t> </w:t>
      </w:r>
      <w:r>
        <w:rPr>
          <w:spacing w:val="-2"/>
          <w:sz w:val="20"/>
        </w:rPr>
        <w:t>resistance</w:t>
      </w:r>
    </w:p>
    <w:p>
      <w:pPr>
        <w:pStyle w:val="ListParagraph"/>
        <w:numPr>
          <w:ilvl w:val="1"/>
          <w:numId w:val="92"/>
        </w:numPr>
        <w:tabs>
          <w:tab w:pos="2159" w:val="left" w:leader="none"/>
        </w:tabs>
        <w:spacing w:line="240" w:lineRule="auto" w:before="80" w:after="0"/>
        <w:ind w:left="2159" w:right="0" w:hanging="239"/>
        <w:jc w:val="left"/>
        <w:rPr>
          <w:sz w:val="20"/>
        </w:rPr>
      </w:pPr>
      <w:r>
        <w:rPr>
          <w:sz w:val="20"/>
        </w:rPr>
        <w:t>She</w:t>
      </w:r>
      <w:r>
        <w:rPr>
          <w:spacing w:val="28"/>
          <w:sz w:val="20"/>
        </w:rPr>
        <w:t> </w:t>
      </w:r>
      <w:r>
        <w:rPr>
          <w:sz w:val="20"/>
        </w:rPr>
        <w:t>encourages</w:t>
      </w:r>
      <w:r>
        <w:rPr>
          <w:spacing w:val="27"/>
          <w:sz w:val="20"/>
        </w:rPr>
        <w:t> </w:t>
      </w:r>
      <w:r>
        <w:rPr>
          <w:sz w:val="20"/>
        </w:rPr>
        <w:t>violence</w:t>
      </w:r>
      <w:r>
        <w:rPr>
          <w:spacing w:val="29"/>
          <w:sz w:val="20"/>
        </w:rPr>
        <w:t> </w:t>
      </w:r>
      <w:r>
        <w:rPr>
          <w:sz w:val="20"/>
        </w:rPr>
        <w:t>to</w:t>
      </w:r>
      <w:r>
        <w:rPr>
          <w:spacing w:val="29"/>
          <w:sz w:val="20"/>
        </w:rPr>
        <w:t> </w:t>
      </w:r>
      <w:r>
        <w:rPr>
          <w:sz w:val="20"/>
        </w:rPr>
        <w:t>achieve</w:t>
      </w:r>
      <w:r>
        <w:rPr>
          <w:spacing w:val="30"/>
          <w:sz w:val="20"/>
        </w:rPr>
        <w:t> </w:t>
      </w:r>
      <w:r>
        <w:rPr>
          <w:spacing w:val="-4"/>
          <w:sz w:val="20"/>
        </w:rPr>
        <w:t>power</w:t>
      </w:r>
    </w:p>
    <w:p>
      <w:pPr>
        <w:pStyle w:val="BodyText"/>
        <w:spacing w:line="249" w:lineRule="auto" w:before="70"/>
        <w:ind w:right="1441" w:firstLine="432"/>
        <w:jc w:val="both"/>
      </w:pPr>
      <w:r>
        <w:rPr/>
        <w:t>Her psychological journey reflects the dominance of this drive. The murder of Duncan is not only a political act but also an expression of</w:t>
      </w:r>
      <w:r>
        <w:rPr>
          <w:spacing w:val="-5"/>
        </w:rPr>
        <w:t> </w:t>
      </w:r>
      <w:r>
        <w:rPr/>
        <w:t>destructive</w:t>
      </w:r>
      <w:r>
        <w:rPr>
          <w:spacing w:val="-2"/>
        </w:rPr>
        <w:t> </w:t>
      </w:r>
      <w:r>
        <w:rPr/>
        <w:t>instinct.</w:t>
      </w:r>
      <w:r>
        <w:rPr>
          <w:spacing w:val="-4"/>
        </w:rPr>
        <w:t> </w:t>
      </w:r>
      <w:r>
        <w:rPr/>
        <w:t>Over</w:t>
      </w:r>
      <w:r>
        <w:rPr>
          <w:spacing w:val="-2"/>
        </w:rPr>
        <w:t> </w:t>
      </w:r>
      <w:r>
        <w:rPr/>
        <w:t>time,</w:t>
      </w:r>
      <w:r>
        <w:rPr>
          <w:spacing w:val="-4"/>
        </w:rPr>
        <w:t> </w:t>
      </w:r>
      <w:r>
        <w:rPr/>
        <w:t>this</w:t>
      </w:r>
      <w:r>
        <w:rPr>
          <w:spacing w:val="-2"/>
        </w:rPr>
        <w:t> </w:t>
      </w:r>
      <w:r>
        <w:rPr/>
        <w:t>outward</w:t>
      </w:r>
      <w:r>
        <w:rPr>
          <w:spacing w:val="-4"/>
        </w:rPr>
        <w:t> </w:t>
      </w:r>
      <w:r>
        <w:rPr/>
        <w:t>aggression</w:t>
      </w:r>
      <w:r>
        <w:rPr>
          <w:spacing w:val="-2"/>
        </w:rPr>
        <w:t> </w:t>
      </w:r>
      <w:r>
        <w:rPr/>
        <w:t>turns</w:t>
      </w:r>
      <w:r>
        <w:rPr>
          <w:spacing w:val="-4"/>
        </w:rPr>
        <w:t> </w:t>
      </w:r>
      <w:r>
        <w:rPr/>
        <w:t>inward, leading to her mental collapse.</w:t>
      </w:r>
    </w:p>
    <w:p>
      <w:pPr>
        <w:pStyle w:val="Heading5"/>
        <w:numPr>
          <w:ilvl w:val="0"/>
          <w:numId w:val="92"/>
        </w:numPr>
        <w:tabs>
          <w:tab w:pos="1752" w:val="left" w:leader="none"/>
        </w:tabs>
        <w:spacing w:line="240" w:lineRule="auto" w:before="111" w:after="0"/>
        <w:ind w:left="1752" w:right="0" w:hanging="312"/>
        <w:jc w:val="left"/>
      </w:pPr>
      <w:r>
        <w:rPr>
          <w:w w:val="105"/>
        </w:rPr>
        <w:t>Conflict</w:t>
      </w:r>
      <w:r>
        <w:rPr>
          <w:spacing w:val="62"/>
          <w:w w:val="150"/>
        </w:rPr>
        <w:t> </w:t>
      </w:r>
      <w:r>
        <w:rPr>
          <w:w w:val="105"/>
        </w:rPr>
        <w:t>Between</w:t>
      </w:r>
      <w:r>
        <w:rPr>
          <w:spacing w:val="61"/>
          <w:w w:val="150"/>
        </w:rPr>
        <w:t> </w:t>
      </w:r>
      <w:r>
        <w:rPr>
          <w:w w:val="105"/>
        </w:rPr>
        <w:t>Eros</w:t>
      </w:r>
      <w:r>
        <w:rPr>
          <w:spacing w:val="60"/>
          <w:w w:val="150"/>
        </w:rPr>
        <w:t> </w:t>
      </w:r>
      <w:r>
        <w:rPr>
          <w:w w:val="105"/>
        </w:rPr>
        <w:t>and</w:t>
      </w:r>
      <w:r>
        <w:rPr>
          <w:spacing w:val="63"/>
          <w:w w:val="150"/>
        </w:rPr>
        <w:t> </w:t>
      </w:r>
      <w:r>
        <w:rPr>
          <w:spacing w:val="-2"/>
          <w:w w:val="105"/>
        </w:rPr>
        <w:t>Thanatos</w:t>
      </w:r>
    </w:p>
    <w:p>
      <w:pPr>
        <w:pStyle w:val="BodyText"/>
        <w:spacing w:line="249" w:lineRule="auto" w:before="71"/>
        <w:ind w:right="1440" w:firstLine="432"/>
        <w:jc w:val="both"/>
      </w:pPr>
      <w:r>
        <w:rPr/>
        <w:t>A central idea in Freud’s theory is the constant tension between Eros and</w:t>
      </w:r>
      <w:r>
        <w:rPr>
          <w:spacing w:val="40"/>
        </w:rPr>
        <w:t> </w:t>
      </w:r>
      <w:r>
        <w:rPr/>
        <w:t>Thanatos. Human life</w:t>
      </w:r>
      <w:r>
        <w:rPr>
          <w:spacing w:val="40"/>
        </w:rPr>
        <w:t> </w:t>
      </w:r>
      <w:r>
        <w:rPr/>
        <w:t>exists between: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05280">
                <wp:simplePos x="0" y="0"/>
                <wp:positionH relativeFrom="page">
                  <wp:posOffset>2057400</wp:posOffset>
                </wp:positionH>
                <wp:positionV relativeFrom="paragraph">
                  <wp:posOffset>162604</wp:posOffset>
                </wp:positionV>
                <wp:extent cx="3657600" cy="12700"/>
                <wp:effectExtent l="0" t="0" r="0" b="0"/>
                <wp:wrapTopAndBottom/>
                <wp:docPr id="839" name="Graphic 839"/>
                <wp:cNvGraphicFramePr>
                  <a:graphicFrameLocks/>
                </wp:cNvGraphicFramePr>
                <a:graphic>
                  <a:graphicData uri="http://schemas.microsoft.com/office/word/2010/wordprocessingShape">
                    <wps:wsp>
                      <wps:cNvPr id="839" name="Graphic 83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11200;mso-wrap-distance-left:0;mso-wrap-distance-right:0" id="docshape831" filled="true" fillcolor="#000000" stroked="false">
                <v:fill type="solid"/>
                <w10:wrap type="topAndBottom"/>
              </v:rect>
            </w:pict>
          </mc:Fallback>
        </mc:AlternateContent>
      </w:r>
      <w:r>
        <w:rPr>
          <w:rFonts w:ascii="Verdana"/>
          <w:spacing w:val="-5"/>
          <w:sz w:val="18"/>
        </w:rPr>
        <w:t>440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93"/>
        </w:numPr>
        <w:tabs>
          <w:tab w:pos="2159" w:val="left" w:leader="none"/>
        </w:tabs>
        <w:spacing w:line="240" w:lineRule="auto" w:before="199" w:after="0"/>
        <w:ind w:left="2159" w:right="0" w:hanging="239"/>
        <w:jc w:val="left"/>
        <w:rPr>
          <w:sz w:val="20"/>
        </w:rPr>
      </w:pPr>
      <w:r>
        <w:rPr>
          <w:sz w:val="20"/>
        </w:rPr>
        <w:t>The</w:t>
      </w:r>
      <w:r>
        <w:rPr>
          <w:spacing w:val="30"/>
          <w:sz w:val="20"/>
        </w:rPr>
        <w:t> </w:t>
      </w:r>
      <w:r>
        <w:rPr>
          <w:sz w:val="20"/>
        </w:rPr>
        <w:t>desire</w:t>
      </w:r>
      <w:r>
        <w:rPr>
          <w:spacing w:val="30"/>
          <w:sz w:val="20"/>
        </w:rPr>
        <w:t> </w:t>
      </w:r>
      <w:r>
        <w:rPr>
          <w:sz w:val="20"/>
        </w:rPr>
        <w:t>to</w:t>
      </w:r>
      <w:r>
        <w:rPr>
          <w:spacing w:val="32"/>
          <w:sz w:val="20"/>
        </w:rPr>
        <w:t> </w:t>
      </w:r>
      <w:r>
        <w:rPr>
          <w:sz w:val="20"/>
        </w:rPr>
        <w:t>create,</w:t>
      </w:r>
      <w:r>
        <w:rPr>
          <w:spacing w:val="33"/>
          <w:sz w:val="20"/>
        </w:rPr>
        <w:t> </w:t>
      </w:r>
      <w:r>
        <w:rPr>
          <w:sz w:val="20"/>
        </w:rPr>
        <w:t>connect,</w:t>
      </w:r>
      <w:r>
        <w:rPr>
          <w:spacing w:val="30"/>
          <w:sz w:val="20"/>
        </w:rPr>
        <w:t> </w:t>
      </w:r>
      <w:r>
        <w:rPr>
          <w:sz w:val="20"/>
        </w:rPr>
        <w:t>and</w:t>
      </w:r>
      <w:r>
        <w:rPr>
          <w:spacing w:val="29"/>
          <w:sz w:val="20"/>
        </w:rPr>
        <w:t> </w:t>
      </w:r>
      <w:r>
        <w:rPr>
          <w:spacing w:val="-2"/>
          <w:sz w:val="20"/>
        </w:rPr>
        <w:t>preserve</w:t>
      </w:r>
    </w:p>
    <w:p>
      <w:pPr>
        <w:pStyle w:val="ListParagraph"/>
        <w:numPr>
          <w:ilvl w:val="0"/>
          <w:numId w:val="93"/>
        </w:numPr>
        <w:tabs>
          <w:tab w:pos="2159" w:val="left" w:leader="none"/>
        </w:tabs>
        <w:spacing w:line="240" w:lineRule="auto" w:before="78" w:after="0"/>
        <w:ind w:left="2159" w:right="0" w:hanging="239"/>
        <w:jc w:val="left"/>
        <w:rPr>
          <w:sz w:val="20"/>
        </w:rPr>
      </w:pPr>
      <w:r>
        <w:rPr>
          <w:sz w:val="20"/>
        </w:rPr>
        <w:t>The</w:t>
      </w:r>
      <w:r>
        <w:rPr>
          <w:spacing w:val="23"/>
          <w:sz w:val="20"/>
        </w:rPr>
        <w:t> </w:t>
      </w:r>
      <w:r>
        <w:rPr>
          <w:sz w:val="20"/>
        </w:rPr>
        <w:t>impulse</w:t>
      </w:r>
      <w:r>
        <w:rPr>
          <w:spacing w:val="25"/>
          <w:sz w:val="20"/>
        </w:rPr>
        <w:t> </w:t>
      </w:r>
      <w:r>
        <w:rPr>
          <w:sz w:val="20"/>
        </w:rPr>
        <w:t>to</w:t>
      </w:r>
      <w:r>
        <w:rPr>
          <w:spacing w:val="23"/>
          <w:sz w:val="20"/>
        </w:rPr>
        <w:t> </w:t>
      </w:r>
      <w:r>
        <w:rPr>
          <w:sz w:val="20"/>
        </w:rPr>
        <w:t>destroy,</w:t>
      </w:r>
      <w:r>
        <w:rPr>
          <w:spacing w:val="26"/>
          <w:sz w:val="20"/>
        </w:rPr>
        <w:t> </w:t>
      </w:r>
      <w:r>
        <w:rPr>
          <w:sz w:val="20"/>
        </w:rPr>
        <w:t>dominate,</w:t>
      </w:r>
      <w:r>
        <w:rPr>
          <w:spacing w:val="22"/>
          <w:sz w:val="20"/>
        </w:rPr>
        <w:t> </w:t>
      </w:r>
      <w:r>
        <w:rPr>
          <w:sz w:val="20"/>
        </w:rPr>
        <w:t>and</w:t>
      </w:r>
      <w:r>
        <w:rPr>
          <w:spacing w:val="26"/>
          <w:sz w:val="20"/>
        </w:rPr>
        <w:t> </w:t>
      </w:r>
      <w:r>
        <w:rPr>
          <w:spacing w:val="-2"/>
          <w:sz w:val="20"/>
        </w:rPr>
        <w:t>dissolve</w:t>
      </w:r>
    </w:p>
    <w:p>
      <w:pPr>
        <w:pStyle w:val="Heading6"/>
        <w:spacing w:line="249" w:lineRule="auto" w:before="72"/>
        <w:ind w:left="1440" w:right="1437" w:firstLine="432"/>
      </w:pPr>
      <w:r>
        <w:rPr/>
        <w:t>Lady Macbeth becomes a site where this conflict is intensely </w:t>
      </w:r>
      <w:r>
        <w:rPr>
          <w:spacing w:val="-2"/>
        </w:rPr>
        <w:t>visible:</w:t>
      </w:r>
    </w:p>
    <w:p>
      <w:pPr>
        <w:pStyle w:val="ListParagraph"/>
        <w:numPr>
          <w:ilvl w:val="0"/>
          <w:numId w:val="93"/>
        </w:numPr>
        <w:tabs>
          <w:tab w:pos="2159" w:val="left" w:leader="none"/>
        </w:tabs>
        <w:spacing w:line="240" w:lineRule="auto" w:before="66" w:after="0"/>
        <w:ind w:left="2159" w:right="0" w:hanging="239"/>
        <w:jc w:val="left"/>
        <w:rPr>
          <w:sz w:val="20"/>
        </w:rPr>
      </w:pPr>
      <w:r>
        <w:rPr>
          <w:sz w:val="20"/>
        </w:rPr>
        <w:t>Her</w:t>
      </w:r>
      <w:r>
        <w:rPr>
          <w:spacing w:val="9"/>
          <w:sz w:val="20"/>
        </w:rPr>
        <w:t> </w:t>
      </w:r>
      <w:r>
        <w:rPr>
          <w:sz w:val="20"/>
        </w:rPr>
        <w:t>ambition</w:t>
      </w:r>
      <w:r>
        <w:rPr>
          <w:spacing w:val="7"/>
          <w:sz w:val="20"/>
        </w:rPr>
        <w:t> </w:t>
      </w:r>
      <w:r>
        <w:rPr>
          <w:sz w:val="20"/>
        </w:rPr>
        <w:t>(Eros)</w:t>
      </w:r>
      <w:r>
        <w:rPr>
          <w:spacing w:val="11"/>
          <w:sz w:val="20"/>
        </w:rPr>
        <w:t> </w:t>
      </w:r>
      <w:r>
        <w:rPr>
          <w:sz w:val="20"/>
        </w:rPr>
        <w:t>seeks</w:t>
      </w:r>
      <w:r>
        <w:rPr>
          <w:spacing w:val="10"/>
          <w:sz w:val="20"/>
        </w:rPr>
        <w:t> </w:t>
      </w:r>
      <w:r>
        <w:rPr>
          <w:sz w:val="20"/>
        </w:rPr>
        <w:t>power</w:t>
      </w:r>
      <w:r>
        <w:rPr>
          <w:spacing w:val="9"/>
          <w:sz w:val="20"/>
        </w:rPr>
        <w:t> </w:t>
      </w:r>
      <w:r>
        <w:rPr>
          <w:sz w:val="20"/>
        </w:rPr>
        <w:t>and</w:t>
      </w:r>
      <w:r>
        <w:rPr>
          <w:spacing w:val="11"/>
          <w:sz w:val="20"/>
        </w:rPr>
        <w:t> </w:t>
      </w:r>
      <w:r>
        <w:rPr>
          <w:spacing w:val="-2"/>
          <w:sz w:val="20"/>
        </w:rPr>
        <w:t>fulfilment</w:t>
      </w:r>
    </w:p>
    <w:p>
      <w:pPr>
        <w:pStyle w:val="ListParagraph"/>
        <w:numPr>
          <w:ilvl w:val="0"/>
          <w:numId w:val="93"/>
        </w:numPr>
        <w:tabs>
          <w:tab w:pos="2159" w:val="left" w:leader="none"/>
        </w:tabs>
        <w:spacing w:line="312" w:lineRule="auto" w:before="78" w:after="0"/>
        <w:ind w:left="1872" w:right="1442" w:firstLine="48"/>
        <w:jc w:val="left"/>
        <w:rPr>
          <w:sz w:val="20"/>
        </w:rPr>
      </w:pPr>
      <w:r>
        <w:rPr>
          <w:sz w:val="20"/>
        </w:rPr>
        <w:t>Her</w:t>
      </w:r>
      <w:r>
        <w:rPr>
          <w:spacing w:val="40"/>
          <w:sz w:val="20"/>
        </w:rPr>
        <w:t> </w:t>
      </w:r>
      <w:r>
        <w:rPr>
          <w:sz w:val="20"/>
        </w:rPr>
        <w:t>actions</w:t>
      </w:r>
      <w:r>
        <w:rPr>
          <w:spacing w:val="40"/>
          <w:sz w:val="20"/>
        </w:rPr>
        <w:t> </w:t>
      </w:r>
      <w:r>
        <w:rPr>
          <w:sz w:val="20"/>
        </w:rPr>
        <w:t>(Thanatos)</w:t>
      </w:r>
      <w:r>
        <w:rPr>
          <w:spacing w:val="40"/>
          <w:sz w:val="20"/>
        </w:rPr>
        <w:t> </w:t>
      </w:r>
      <w:r>
        <w:rPr>
          <w:sz w:val="20"/>
        </w:rPr>
        <w:t>rely</w:t>
      </w:r>
      <w:r>
        <w:rPr>
          <w:spacing w:val="40"/>
          <w:sz w:val="20"/>
        </w:rPr>
        <w:t> </w:t>
      </w:r>
      <w:r>
        <w:rPr>
          <w:sz w:val="20"/>
        </w:rPr>
        <w:t>on</w:t>
      </w:r>
      <w:r>
        <w:rPr>
          <w:spacing w:val="40"/>
          <w:sz w:val="20"/>
        </w:rPr>
        <w:t> </w:t>
      </w:r>
      <w:r>
        <w:rPr>
          <w:sz w:val="20"/>
        </w:rPr>
        <w:t>violence</w:t>
      </w:r>
      <w:r>
        <w:rPr>
          <w:spacing w:val="40"/>
          <w:sz w:val="20"/>
        </w:rPr>
        <w:t> </w:t>
      </w:r>
      <w:r>
        <w:rPr>
          <w:sz w:val="20"/>
        </w:rPr>
        <w:t>and</w:t>
      </w:r>
      <w:r>
        <w:rPr>
          <w:spacing w:val="40"/>
          <w:sz w:val="20"/>
        </w:rPr>
        <w:t> </w:t>
      </w:r>
      <w:r>
        <w:rPr>
          <w:sz w:val="20"/>
        </w:rPr>
        <w:t>destruction This</w:t>
      </w:r>
      <w:r>
        <w:rPr>
          <w:spacing w:val="22"/>
          <w:sz w:val="20"/>
        </w:rPr>
        <w:t> </w:t>
      </w:r>
      <w:r>
        <w:rPr>
          <w:sz w:val="20"/>
        </w:rPr>
        <w:t>duality creates</w:t>
      </w:r>
      <w:r>
        <w:rPr>
          <w:spacing w:val="22"/>
          <w:sz w:val="20"/>
        </w:rPr>
        <w:t> </w:t>
      </w:r>
      <w:r>
        <w:rPr>
          <w:sz w:val="20"/>
        </w:rPr>
        <w:t>instability.</w:t>
      </w:r>
      <w:r>
        <w:rPr>
          <w:spacing w:val="19"/>
          <w:sz w:val="20"/>
        </w:rPr>
        <w:t> </w:t>
      </w:r>
      <w:r>
        <w:rPr>
          <w:sz w:val="20"/>
        </w:rPr>
        <w:t>The</w:t>
      </w:r>
      <w:r>
        <w:rPr>
          <w:spacing w:val="22"/>
          <w:sz w:val="20"/>
        </w:rPr>
        <w:t> </w:t>
      </w:r>
      <w:r>
        <w:rPr>
          <w:sz w:val="20"/>
        </w:rPr>
        <w:t>more</w:t>
      </w:r>
      <w:r>
        <w:rPr>
          <w:spacing w:val="21"/>
          <w:sz w:val="20"/>
        </w:rPr>
        <w:t> </w:t>
      </w:r>
      <w:r>
        <w:rPr>
          <w:sz w:val="20"/>
        </w:rPr>
        <w:t>she</w:t>
      </w:r>
      <w:r>
        <w:rPr>
          <w:spacing w:val="22"/>
          <w:sz w:val="20"/>
        </w:rPr>
        <w:t> </w:t>
      </w:r>
      <w:r>
        <w:rPr>
          <w:sz w:val="20"/>
        </w:rPr>
        <w:t>pursues</w:t>
      </w:r>
      <w:r>
        <w:rPr>
          <w:spacing w:val="19"/>
          <w:sz w:val="20"/>
        </w:rPr>
        <w:t> </w:t>
      </w:r>
      <w:r>
        <w:rPr>
          <w:sz w:val="20"/>
        </w:rPr>
        <w:t>her</w:t>
      </w:r>
      <w:r>
        <w:rPr>
          <w:spacing w:val="23"/>
          <w:sz w:val="20"/>
        </w:rPr>
        <w:t> </w:t>
      </w:r>
      <w:r>
        <w:rPr>
          <w:sz w:val="20"/>
        </w:rPr>
        <w:t>goals,</w:t>
      </w:r>
    </w:p>
    <w:p>
      <w:pPr>
        <w:pStyle w:val="BodyText"/>
        <w:spacing w:line="172" w:lineRule="exact"/>
      </w:pPr>
      <w:r>
        <w:rPr/>
        <w:t>the</w:t>
      </w:r>
      <w:r>
        <w:rPr>
          <w:spacing w:val="51"/>
        </w:rPr>
        <w:t> </w:t>
      </w:r>
      <w:r>
        <w:rPr/>
        <w:t>more</w:t>
      </w:r>
      <w:r>
        <w:rPr>
          <w:spacing w:val="52"/>
        </w:rPr>
        <w:t> </w:t>
      </w:r>
      <w:r>
        <w:rPr/>
        <w:t>she</w:t>
      </w:r>
      <w:r>
        <w:rPr>
          <w:spacing w:val="52"/>
        </w:rPr>
        <w:t> </w:t>
      </w:r>
      <w:r>
        <w:rPr/>
        <w:t>is</w:t>
      </w:r>
      <w:r>
        <w:rPr>
          <w:spacing w:val="49"/>
        </w:rPr>
        <w:t> </w:t>
      </w:r>
      <w:r>
        <w:rPr/>
        <w:t>consumed</w:t>
      </w:r>
      <w:r>
        <w:rPr>
          <w:spacing w:val="53"/>
        </w:rPr>
        <w:t> </w:t>
      </w:r>
      <w:r>
        <w:rPr/>
        <w:t>by</w:t>
      </w:r>
      <w:r>
        <w:rPr>
          <w:spacing w:val="49"/>
        </w:rPr>
        <w:t> </w:t>
      </w:r>
      <w:r>
        <w:rPr/>
        <w:t>the</w:t>
      </w:r>
      <w:r>
        <w:rPr>
          <w:spacing w:val="53"/>
        </w:rPr>
        <w:t> </w:t>
      </w:r>
      <w:r>
        <w:rPr/>
        <w:t>destructive</w:t>
      </w:r>
      <w:r>
        <w:rPr>
          <w:spacing w:val="52"/>
        </w:rPr>
        <w:t> </w:t>
      </w:r>
      <w:r>
        <w:rPr/>
        <w:t>consequences</w:t>
      </w:r>
      <w:r>
        <w:rPr>
          <w:spacing w:val="51"/>
        </w:rPr>
        <w:t> </w:t>
      </w:r>
      <w:r>
        <w:rPr/>
        <w:t>of</w:t>
      </w:r>
      <w:r>
        <w:rPr>
          <w:spacing w:val="48"/>
        </w:rPr>
        <w:t> </w:t>
      </w:r>
      <w:r>
        <w:rPr>
          <w:spacing w:val="-5"/>
        </w:rPr>
        <w:t>her</w:t>
      </w:r>
    </w:p>
    <w:p>
      <w:pPr>
        <w:pStyle w:val="BodyText"/>
        <w:spacing w:before="10"/>
      </w:pPr>
      <w:r>
        <w:rPr>
          <w:spacing w:val="-2"/>
        </w:rPr>
        <w:t>actions.</w:t>
      </w:r>
    </w:p>
    <w:p>
      <w:pPr>
        <w:pStyle w:val="Heading5"/>
        <w:numPr>
          <w:ilvl w:val="0"/>
          <w:numId w:val="92"/>
        </w:numPr>
        <w:tabs>
          <w:tab w:pos="1720" w:val="left" w:leader="none"/>
        </w:tabs>
        <w:spacing w:line="240" w:lineRule="auto" w:before="112" w:after="0"/>
        <w:ind w:left="1720" w:right="0" w:hanging="280"/>
        <w:jc w:val="left"/>
      </w:pPr>
      <w:r>
        <w:rPr>
          <w:w w:val="105"/>
        </w:rPr>
        <w:t>The</w:t>
      </w:r>
      <w:r>
        <w:rPr>
          <w:spacing w:val="51"/>
          <w:w w:val="105"/>
        </w:rPr>
        <w:t> </w:t>
      </w:r>
      <w:r>
        <w:rPr>
          <w:w w:val="105"/>
        </w:rPr>
        <w:t>Nirvana</w:t>
      </w:r>
      <w:r>
        <w:rPr>
          <w:spacing w:val="52"/>
          <w:w w:val="105"/>
        </w:rPr>
        <w:t> </w:t>
      </w:r>
      <w:r>
        <w:rPr>
          <w:w w:val="105"/>
        </w:rPr>
        <w:t>Principle</w:t>
      </w:r>
      <w:r>
        <w:rPr>
          <w:spacing w:val="54"/>
          <w:w w:val="105"/>
        </w:rPr>
        <w:t> </w:t>
      </w:r>
      <w:r>
        <w:rPr>
          <w:w w:val="105"/>
        </w:rPr>
        <w:t>and</w:t>
      </w:r>
      <w:r>
        <w:rPr>
          <w:spacing w:val="52"/>
          <w:w w:val="105"/>
        </w:rPr>
        <w:t> </w:t>
      </w:r>
      <w:r>
        <w:rPr>
          <w:w w:val="105"/>
        </w:rPr>
        <w:t>Psychological</w:t>
      </w:r>
      <w:r>
        <w:rPr>
          <w:spacing w:val="52"/>
          <w:w w:val="105"/>
        </w:rPr>
        <w:t> </w:t>
      </w:r>
      <w:r>
        <w:rPr>
          <w:spacing w:val="-2"/>
          <w:w w:val="105"/>
        </w:rPr>
        <w:t>Collapse</w:t>
      </w:r>
    </w:p>
    <w:p>
      <w:pPr>
        <w:pStyle w:val="BodyText"/>
        <w:spacing w:line="242" w:lineRule="auto" w:before="65"/>
        <w:ind w:right="1439" w:firstLine="432"/>
        <w:jc w:val="both"/>
      </w:pPr>
      <w:r>
        <w:rPr/>
        <w:t>Freud’s Nirvana principle refers to the desire to reduce tension</w:t>
      </w:r>
      <w:r>
        <w:rPr>
          <w:spacing w:val="40"/>
        </w:rPr>
        <w:t> </w:t>
      </w:r>
      <w:r>
        <w:rPr/>
        <w:t>and return to a state of calm or nothingness. In Lady Macbeth’s case, this</w:t>
      </w:r>
      <w:r>
        <w:rPr>
          <w:spacing w:val="40"/>
        </w:rPr>
        <w:t> </w:t>
      </w:r>
      <w:r>
        <w:rPr/>
        <w:t>is reflected</w:t>
      </w:r>
      <w:r>
        <w:rPr>
          <w:spacing w:val="40"/>
        </w:rPr>
        <w:t> </w:t>
      </w:r>
      <w:r>
        <w:rPr/>
        <w:t>in</w:t>
      </w:r>
      <w:r>
        <w:rPr>
          <w:spacing w:val="40"/>
        </w:rPr>
        <w:t> </w:t>
      </w:r>
      <w:r>
        <w:rPr/>
        <w:t>her eventual</w:t>
      </w:r>
      <w:r>
        <w:rPr>
          <w:spacing w:val="40"/>
        </w:rPr>
        <w:t> </w:t>
      </w:r>
      <w:r>
        <w:rPr/>
        <w:t>breakdown.</w:t>
      </w:r>
    </w:p>
    <w:p>
      <w:pPr>
        <w:pStyle w:val="ListParagraph"/>
        <w:numPr>
          <w:ilvl w:val="1"/>
          <w:numId w:val="92"/>
        </w:numPr>
        <w:tabs>
          <w:tab w:pos="2159" w:val="left" w:leader="none"/>
        </w:tabs>
        <w:spacing w:line="240" w:lineRule="auto" w:before="56" w:after="0"/>
        <w:ind w:left="2159" w:right="0" w:hanging="239"/>
        <w:jc w:val="both"/>
        <w:rPr>
          <w:sz w:val="20"/>
        </w:rPr>
      </w:pPr>
      <w:r>
        <w:rPr>
          <w:sz w:val="20"/>
        </w:rPr>
        <w:t>Her</w:t>
      </w:r>
      <w:r>
        <w:rPr>
          <w:spacing w:val="11"/>
          <w:sz w:val="20"/>
        </w:rPr>
        <w:t> </w:t>
      </w:r>
      <w:r>
        <w:rPr>
          <w:sz w:val="20"/>
        </w:rPr>
        <w:t>mind</w:t>
      </w:r>
      <w:r>
        <w:rPr>
          <w:spacing w:val="14"/>
          <w:sz w:val="20"/>
        </w:rPr>
        <w:t> </w:t>
      </w:r>
      <w:r>
        <w:rPr>
          <w:sz w:val="20"/>
        </w:rPr>
        <w:t>becomes</w:t>
      </w:r>
      <w:r>
        <w:rPr>
          <w:spacing w:val="11"/>
          <w:sz w:val="20"/>
        </w:rPr>
        <w:t> </w:t>
      </w:r>
      <w:r>
        <w:rPr>
          <w:sz w:val="20"/>
        </w:rPr>
        <w:t>overwhelmed</w:t>
      </w:r>
      <w:r>
        <w:rPr>
          <w:spacing w:val="14"/>
          <w:sz w:val="20"/>
        </w:rPr>
        <w:t> </w:t>
      </w:r>
      <w:r>
        <w:rPr>
          <w:sz w:val="20"/>
        </w:rPr>
        <w:t>by</w:t>
      </w:r>
      <w:r>
        <w:rPr>
          <w:spacing w:val="8"/>
          <w:sz w:val="20"/>
        </w:rPr>
        <w:t> </w:t>
      </w:r>
      <w:r>
        <w:rPr>
          <w:spacing w:val="-4"/>
          <w:sz w:val="20"/>
        </w:rPr>
        <w:t>guilt</w:t>
      </w:r>
    </w:p>
    <w:p>
      <w:pPr>
        <w:pStyle w:val="ListParagraph"/>
        <w:numPr>
          <w:ilvl w:val="1"/>
          <w:numId w:val="92"/>
        </w:numPr>
        <w:tabs>
          <w:tab w:pos="2159" w:val="left" w:leader="none"/>
        </w:tabs>
        <w:spacing w:line="240" w:lineRule="auto" w:before="61" w:after="0"/>
        <w:ind w:left="2159" w:right="0" w:hanging="239"/>
        <w:jc w:val="both"/>
        <w:rPr>
          <w:sz w:val="20"/>
        </w:rPr>
      </w:pPr>
      <w:r>
        <w:rPr>
          <w:sz w:val="20"/>
        </w:rPr>
        <w:t>She</w:t>
      </w:r>
      <w:r>
        <w:rPr>
          <w:spacing w:val="22"/>
          <w:sz w:val="20"/>
        </w:rPr>
        <w:t> </w:t>
      </w:r>
      <w:r>
        <w:rPr>
          <w:sz w:val="20"/>
        </w:rPr>
        <w:t>seeks</w:t>
      </w:r>
      <w:r>
        <w:rPr>
          <w:spacing w:val="20"/>
          <w:sz w:val="20"/>
        </w:rPr>
        <w:t> </w:t>
      </w:r>
      <w:r>
        <w:rPr>
          <w:sz w:val="20"/>
        </w:rPr>
        <w:t>relief</w:t>
      </w:r>
      <w:r>
        <w:rPr>
          <w:spacing w:val="20"/>
          <w:sz w:val="20"/>
        </w:rPr>
        <w:t> </w:t>
      </w:r>
      <w:r>
        <w:rPr>
          <w:sz w:val="20"/>
        </w:rPr>
        <w:t>from</w:t>
      </w:r>
      <w:r>
        <w:rPr>
          <w:spacing w:val="16"/>
          <w:sz w:val="20"/>
        </w:rPr>
        <w:t> </w:t>
      </w:r>
      <w:r>
        <w:rPr>
          <w:sz w:val="20"/>
        </w:rPr>
        <w:t>psychological</w:t>
      </w:r>
      <w:r>
        <w:rPr>
          <w:spacing w:val="21"/>
          <w:sz w:val="20"/>
        </w:rPr>
        <w:t> </w:t>
      </w:r>
      <w:r>
        <w:rPr>
          <w:spacing w:val="-2"/>
          <w:sz w:val="20"/>
        </w:rPr>
        <w:t>tension</w:t>
      </w:r>
    </w:p>
    <w:p>
      <w:pPr>
        <w:pStyle w:val="ListParagraph"/>
        <w:numPr>
          <w:ilvl w:val="1"/>
          <w:numId w:val="92"/>
        </w:numPr>
        <w:tabs>
          <w:tab w:pos="2160" w:val="left" w:leader="none"/>
        </w:tabs>
        <w:spacing w:line="242" w:lineRule="auto" w:before="60" w:after="0"/>
        <w:ind w:left="2160" w:right="1437" w:hanging="240"/>
        <w:jc w:val="both"/>
        <w:rPr>
          <w:sz w:val="20"/>
        </w:rPr>
      </w:pPr>
      <w:r>
        <w:rPr>
          <w:sz w:val="20"/>
        </w:rPr>
        <w:t>Her</w:t>
      </w:r>
      <w:r>
        <w:rPr>
          <w:spacing w:val="40"/>
          <w:sz w:val="20"/>
        </w:rPr>
        <w:t> </w:t>
      </w:r>
      <w:r>
        <w:rPr>
          <w:sz w:val="20"/>
        </w:rPr>
        <w:t>sleepwalking</w:t>
      </w:r>
      <w:r>
        <w:rPr>
          <w:spacing w:val="40"/>
          <w:sz w:val="20"/>
        </w:rPr>
        <w:t> </w:t>
      </w:r>
      <w:r>
        <w:rPr>
          <w:sz w:val="20"/>
        </w:rPr>
        <w:t>suggests</w:t>
      </w:r>
      <w:r>
        <w:rPr>
          <w:spacing w:val="40"/>
          <w:sz w:val="20"/>
        </w:rPr>
        <w:t> </w:t>
      </w:r>
      <w:r>
        <w:rPr>
          <w:sz w:val="20"/>
        </w:rPr>
        <w:t>a</w:t>
      </w:r>
      <w:r>
        <w:rPr>
          <w:spacing w:val="40"/>
          <w:sz w:val="20"/>
        </w:rPr>
        <w:t> </w:t>
      </w:r>
      <w:r>
        <w:rPr>
          <w:sz w:val="20"/>
        </w:rPr>
        <w:t>state</w:t>
      </w:r>
      <w:r>
        <w:rPr>
          <w:spacing w:val="40"/>
          <w:sz w:val="20"/>
        </w:rPr>
        <w:t> </w:t>
      </w:r>
      <w:r>
        <w:rPr>
          <w:sz w:val="20"/>
        </w:rPr>
        <w:t>between</w:t>
      </w:r>
      <w:r>
        <w:rPr>
          <w:spacing w:val="40"/>
          <w:sz w:val="20"/>
        </w:rPr>
        <w:t> </w:t>
      </w:r>
      <w:r>
        <w:rPr>
          <w:sz w:val="20"/>
        </w:rPr>
        <w:t>consciousness and</w:t>
      </w:r>
      <w:r>
        <w:rPr>
          <w:spacing w:val="40"/>
          <w:sz w:val="20"/>
        </w:rPr>
        <w:t> </w:t>
      </w:r>
      <w:r>
        <w:rPr>
          <w:sz w:val="20"/>
        </w:rPr>
        <w:t>escape</w:t>
      </w:r>
    </w:p>
    <w:p>
      <w:pPr>
        <w:pStyle w:val="BodyText"/>
        <w:spacing w:line="242" w:lineRule="auto" w:before="59"/>
        <w:ind w:right="1444" w:firstLine="432"/>
        <w:jc w:val="both"/>
      </w:pPr>
      <w:r>
        <w:rPr/>
        <w:t>Ironically, the calm</w:t>
      </w:r>
      <w:r>
        <w:rPr>
          <w:spacing w:val="-1"/>
        </w:rPr>
        <w:t> </w:t>
      </w:r>
      <w:r>
        <w:rPr/>
        <w:t>she unconsciously</w:t>
      </w:r>
      <w:r>
        <w:rPr>
          <w:spacing w:val="-2"/>
        </w:rPr>
        <w:t> </w:t>
      </w:r>
      <w:r>
        <w:rPr/>
        <w:t>seeks can only</w:t>
      </w:r>
      <w:r>
        <w:rPr>
          <w:spacing w:val="-2"/>
        </w:rPr>
        <w:t> </w:t>
      </w:r>
      <w:r>
        <w:rPr/>
        <w:t>be achieved through</w:t>
      </w:r>
      <w:r>
        <w:rPr>
          <w:spacing w:val="-4"/>
        </w:rPr>
        <w:t> </w:t>
      </w:r>
      <w:r>
        <w:rPr/>
        <w:t>withdrawal</w:t>
      </w:r>
      <w:r>
        <w:rPr>
          <w:spacing w:val="-2"/>
        </w:rPr>
        <w:t> </w:t>
      </w:r>
      <w:r>
        <w:rPr/>
        <w:t>from</w:t>
      </w:r>
      <w:r>
        <w:rPr>
          <w:spacing w:val="-5"/>
        </w:rPr>
        <w:t> </w:t>
      </w:r>
      <w:r>
        <w:rPr/>
        <w:t>life</w:t>
      </w:r>
      <w:r>
        <w:rPr>
          <w:spacing w:val="-2"/>
        </w:rPr>
        <w:t> </w:t>
      </w:r>
      <w:r>
        <w:rPr/>
        <w:t>itself,</w:t>
      </w:r>
      <w:r>
        <w:rPr>
          <w:spacing w:val="-5"/>
        </w:rPr>
        <w:t> </w:t>
      </w:r>
      <w:r>
        <w:rPr/>
        <w:t>aligning</w:t>
      </w:r>
      <w:r>
        <w:rPr>
          <w:spacing w:val="-4"/>
        </w:rPr>
        <w:t> </w:t>
      </w:r>
      <w:r>
        <w:rPr/>
        <w:t>with</w:t>
      </w:r>
      <w:r>
        <w:rPr>
          <w:spacing w:val="-2"/>
        </w:rPr>
        <w:t> </w:t>
      </w:r>
      <w:r>
        <w:rPr/>
        <w:t>the</w:t>
      </w:r>
      <w:r>
        <w:rPr>
          <w:spacing w:val="-2"/>
        </w:rPr>
        <w:t> </w:t>
      </w:r>
      <w:r>
        <w:rPr/>
        <w:t>tragic</w:t>
      </w:r>
      <w:r>
        <w:rPr>
          <w:spacing w:val="-1"/>
        </w:rPr>
        <w:t> </w:t>
      </w:r>
      <w:r>
        <w:rPr/>
        <w:t>end implied in her character arc.</w:t>
      </w:r>
    </w:p>
    <w:p>
      <w:pPr>
        <w:pStyle w:val="Heading5"/>
        <w:numPr>
          <w:ilvl w:val="0"/>
          <w:numId w:val="92"/>
        </w:numPr>
        <w:tabs>
          <w:tab w:pos="1754" w:val="left" w:leader="none"/>
        </w:tabs>
        <w:spacing w:line="240" w:lineRule="auto" w:before="106" w:after="0"/>
        <w:ind w:left="1754" w:right="0" w:hanging="314"/>
        <w:jc w:val="left"/>
      </w:pPr>
      <w:r>
        <w:rPr>
          <w:w w:val="105"/>
        </w:rPr>
        <w:t>Repetition</w:t>
      </w:r>
      <w:r>
        <w:rPr>
          <w:spacing w:val="65"/>
          <w:w w:val="150"/>
        </w:rPr>
        <w:t> </w:t>
      </w:r>
      <w:r>
        <w:rPr>
          <w:w w:val="105"/>
        </w:rPr>
        <w:t>Compulsion</w:t>
      </w:r>
      <w:r>
        <w:rPr>
          <w:spacing w:val="63"/>
          <w:w w:val="150"/>
        </w:rPr>
        <w:t> </w:t>
      </w:r>
      <w:r>
        <w:rPr>
          <w:w w:val="105"/>
        </w:rPr>
        <w:t>and</w:t>
      </w:r>
      <w:r>
        <w:rPr>
          <w:spacing w:val="63"/>
          <w:w w:val="150"/>
        </w:rPr>
        <w:t> </w:t>
      </w:r>
      <w:r>
        <w:rPr>
          <w:w w:val="105"/>
        </w:rPr>
        <w:t>Haunting</w:t>
      </w:r>
      <w:r>
        <w:rPr>
          <w:spacing w:val="64"/>
          <w:w w:val="150"/>
        </w:rPr>
        <w:t> </w:t>
      </w:r>
      <w:r>
        <w:rPr>
          <w:spacing w:val="-2"/>
          <w:w w:val="105"/>
        </w:rPr>
        <w:t>Memory</w:t>
      </w:r>
    </w:p>
    <w:p>
      <w:pPr>
        <w:pStyle w:val="BodyText"/>
        <w:spacing w:line="242" w:lineRule="auto" w:before="62"/>
        <w:ind w:right="1437" w:firstLine="432"/>
      </w:pPr>
      <w:r>
        <w:rPr/>
        <w:t>Freud</w:t>
      </w:r>
      <w:r>
        <w:rPr>
          <w:spacing w:val="37"/>
        </w:rPr>
        <w:t> </w:t>
      </w:r>
      <w:r>
        <w:rPr/>
        <w:t>also</w:t>
      </w:r>
      <w:r>
        <w:rPr>
          <w:spacing w:val="35"/>
        </w:rPr>
        <w:t> </w:t>
      </w:r>
      <w:r>
        <w:rPr/>
        <w:t>introduces</w:t>
      </w:r>
      <w:r>
        <w:rPr>
          <w:spacing w:val="33"/>
        </w:rPr>
        <w:t> </w:t>
      </w:r>
      <w:r>
        <w:rPr/>
        <w:t>the</w:t>
      </w:r>
      <w:r>
        <w:rPr>
          <w:spacing w:val="35"/>
        </w:rPr>
        <w:t> </w:t>
      </w:r>
      <w:r>
        <w:rPr/>
        <w:t>idea</w:t>
      </w:r>
      <w:r>
        <w:rPr>
          <w:spacing w:val="35"/>
        </w:rPr>
        <w:t> </w:t>
      </w:r>
      <w:r>
        <w:rPr/>
        <w:t>of</w:t>
      </w:r>
      <w:r>
        <w:rPr>
          <w:spacing w:val="31"/>
        </w:rPr>
        <w:t> </w:t>
      </w:r>
      <w:r>
        <w:rPr/>
        <w:t>repetition</w:t>
      </w:r>
      <w:r>
        <w:rPr>
          <w:spacing w:val="35"/>
        </w:rPr>
        <w:t> </w:t>
      </w:r>
      <w:r>
        <w:rPr/>
        <w:t>compulsion,</w:t>
      </w:r>
      <w:r>
        <w:rPr>
          <w:spacing w:val="37"/>
        </w:rPr>
        <w:t> </w:t>
      </w:r>
      <w:r>
        <w:rPr/>
        <w:t>where individuals repeatedly relive</w:t>
      </w:r>
      <w:r>
        <w:rPr>
          <w:spacing w:val="40"/>
        </w:rPr>
        <w:t> </w:t>
      </w:r>
      <w:r>
        <w:rPr/>
        <w:t>traumatic events.</w:t>
      </w:r>
    </w:p>
    <w:p>
      <w:pPr>
        <w:pStyle w:val="BodyText"/>
        <w:spacing w:before="59"/>
        <w:ind w:left="1872"/>
      </w:pPr>
      <w:r>
        <w:rPr/>
        <w:t>Lady</w:t>
      </w:r>
      <w:r>
        <w:rPr>
          <w:spacing w:val="24"/>
        </w:rPr>
        <w:t> </w:t>
      </w:r>
      <w:r>
        <w:rPr/>
        <w:t>Macbeth’s</w:t>
      </w:r>
      <w:r>
        <w:rPr>
          <w:spacing w:val="25"/>
        </w:rPr>
        <w:t> </w:t>
      </w:r>
      <w:r>
        <w:rPr/>
        <w:t>sleepwalking</w:t>
      </w:r>
      <w:r>
        <w:rPr>
          <w:spacing w:val="27"/>
        </w:rPr>
        <w:t> </w:t>
      </w:r>
      <w:r>
        <w:rPr/>
        <w:t>scene</w:t>
      </w:r>
      <w:r>
        <w:rPr>
          <w:spacing w:val="27"/>
        </w:rPr>
        <w:t> </w:t>
      </w:r>
      <w:r>
        <w:rPr/>
        <w:t>demonstrates</w:t>
      </w:r>
      <w:r>
        <w:rPr>
          <w:spacing w:val="26"/>
        </w:rPr>
        <w:t> </w:t>
      </w:r>
      <w:r>
        <w:rPr>
          <w:spacing w:val="-2"/>
        </w:rPr>
        <w:t>this:</w:t>
      </w:r>
    </w:p>
    <w:p>
      <w:pPr>
        <w:pStyle w:val="ListParagraph"/>
        <w:numPr>
          <w:ilvl w:val="1"/>
          <w:numId w:val="92"/>
        </w:numPr>
        <w:tabs>
          <w:tab w:pos="2159" w:val="left" w:leader="none"/>
        </w:tabs>
        <w:spacing w:line="240" w:lineRule="auto" w:before="60" w:after="0"/>
        <w:ind w:left="2159" w:right="0" w:hanging="239"/>
        <w:jc w:val="left"/>
        <w:rPr>
          <w:sz w:val="20"/>
        </w:rPr>
      </w:pPr>
      <w:r>
        <w:rPr>
          <w:sz w:val="20"/>
        </w:rPr>
        <w:t>She</w:t>
      </w:r>
      <w:r>
        <w:rPr>
          <w:spacing w:val="18"/>
          <w:sz w:val="20"/>
        </w:rPr>
        <w:t> </w:t>
      </w:r>
      <w:r>
        <w:rPr>
          <w:sz w:val="20"/>
        </w:rPr>
        <w:t>re-enacts</w:t>
      </w:r>
      <w:r>
        <w:rPr>
          <w:spacing w:val="23"/>
          <w:sz w:val="20"/>
        </w:rPr>
        <w:t> </w:t>
      </w:r>
      <w:r>
        <w:rPr>
          <w:sz w:val="20"/>
        </w:rPr>
        <w:t>the</w:t>
      </w:r>
      <w:r>
        <w:rPr>
          <w:spacing w:val="22"/>
          <w:sz w:val="20"/>
        </w:rPr>
        <w:t> </w:t>
      </w:r>
      <w:r>
        <w:rPr>
          <w:sz w:val="20"/>
        </w:rPr>
        <w:t>aftermath</w:t>
      </w:r>
      <w:r>
        <w:rPr>
          <w:spacing w:val="23"/>
          <w:sz w:val="20"/>
        </w:rPr>
        <w:t> </w:t>
      </w:r>
      <w:r>
        <w:rPr>
          <w:sz w:val="20"/>
        </w:rPr>
        <w:t>of</w:t>
      </w:r>
      <w:r>
        <w:rPr>
          <w:spacing w:val="19"/>
          <w:sz w:val="20"/>
        </w:rPr>
        <w:t> </w:t>
      </w:r>
      <w:r>
        <w:rPr>
          <w:sz w:val="20"/>
        </w:rPr>
        <w:t>the</w:t>
      </w:r>
      <w:r>
        <w:rPr>
          <w:spacing w:val="23"/>
          <w:sz w:val="20"/>
        </w:rPr>
        <w:t> </w:t>
      </w:r>
      <w:r>
        <w:rPr>
          <w:spacing w:val="-2"/>
          <w:sz w:val="20"/>
        </w:rPr>
        <w:t>murder</w:t>
      </w:r>
    </w:p>
    <w:p>
      <w:pPr>
        <w:pStyle w:val="ListParagraph"/>
        <w:numPr>
          <w:ilvl w:val="1"/>
          <w:numId w:val="92"/>
        </w:numPr>
        <w:tabs>
          <w:tab w:pos="2159" w:val="left" w:leader="none"/>
        </w:tabs>
        <w:spacing w:line="240" w:lineRule="auto" w:before="61" w:after="0"/>
        <w:ind w:left="2159" w:right="0" w:hanging="239"/>
        <w:jc w:val="left"/>
        <w:rPr>
          <w:sz w:val="20"/>
        </w:rPr>
      </w:pPr>
      <w:r>
        <w:rPr>
          <w:sz w:val="20"/>
        </w:rPr>
        <w:t>She</w:t>
      </w:r>
      <w:r>
        <w:rPr>
          <w:spacing w:val="23"/>
          <w:sz w:val="20"/>
        </w:rPr>
        <w:t> </w:t>
      </w:r>
      <w:r>
        <w:rPr>
          <w:sz w:val="20"/>
        </w:rPr>
        <w:t>repeatedly</w:t>
      </w:r>
      <w:r>
        <w:rPr>
          <w:spacing w:val="24"/>
          <w:sz w:val="20"/>
        </w:rPr>
        <w:t> </w:t>
      </w:r>
      <w:r>
        <w:rPr>
          <w:sz w:val="20"/>
        </w:rPr>
        <w:t>attempts</w:t>
      </w:r>
      <w:r>
        <w:rPr>
          <w:spacing w:val="22"/>
          <w:sz w:val="20"/>
        </w:rPr>
        <w:t> </w:t>
      </w:r>
      <w:r>
        <w:rPr>
          <w:sz w:val="20"/>
        </w:rPr>
        <w:t>to</w:t>
      </w:r>
      <w:r>
        <w:rPr>
          <w:spacing w:val="27"/>
          <w:sz w:val="20"/>
        </w:rPr>
        <w:t> </w:t>
      </w:r>
      <w:r>
        <w:rPr>
          <w:sz w:val="20"/>
        </w:rPr>
        <w:t>wash</w:t>
      </w:r>
      <w:r>
        <w:rPr>
          <w:spacing w:val="22"/>
          <w:sz w:val="20"/>
        </w:rPr>
        <w:t> </w:t>
      </w:r>
      <w:r>
        <w:rPr>
          <w:sz w:val="20"/>
        </w:rPr>
        <w:t>away</w:t>
      </w:r>
      <w:r>
        <w:rPr>
          <w:spacing w:val="22"/>
          <w:sz w:val="20"/>
        </w:rPr>
        <w:t> </w:t>
      </w:r>
      <w:r>
        <w:rPr>
          <w:sz w:val="20"/>
        </w:rPr>
        <w:t>imagined</w:t>
      </w:r>
      <w:r>
        <w:rPr>
          <w:spacing w:val="24"/>
          <w:sz w:val="20"/>
        </w:rPr>
        <w:t> </w:t>
      </w:r>
      <w:r>
        <w:rPr>
          <w:spacing w:val="-4"/>
          <w:sz w:val="20"/>
        </w:rPr>
        <w:t>blood</w:t>
      </w:r>
    </w:p>
    <w:p>
      <w:pPr>
        <w:pStyle w:val="ListParagraph"/>
        <w:numPr>
          <w:ilvl w:val="1"/>
          <w:numId w:val="92"/>
        </w:numPr>
        <w:tabs>
          <w:tab w:pos="2159" w:val="left" w:leader="none"/>
        </w:tabs>
        <w:spacing w:line="240" w:lineRule="auto" w:before="58" w:after="0"/>
        <w:ind w:left="2159" w:right="0" w:hanging="239"/>
        <w:jc w:val="left"/>
        <w:rPr>
          <w:sz w:val="20"/>
        </w:rPr>
      </w:pPr>
      <w:r>
        <w:rPr>
          <w:sz w:val="20"/>
        </w:rPr>
        <w:t>Her</w:t>
      </w:r>
      <w:r>
        <w:rPr>
          <w:spacing w:val="12"/>
          <w:sz w:val="20"/>
        </w:rPr>
        <w:t> </w:t>
      </w:r>
      <w:r>
        <w:rPr>
          <w:sz w:val="20"/>
        </w:rPr>
        <w:t>speech</w:t>
      </w:r>
      <w:r>
        <w:rPr>
          <w:spacing w:val="10"/>
          <w:sz w:val="20"/>
        </w:rPr>
        <w:t> </w:t>
      </w:r>
      <w:r>
        <w:rPr>
          <w:sz w:val="20"/>
        </w:rPr>
        <w:t>reflects</w:t>
      </w:r>
      <w:r>
        <w:rPr>
          <w:spacing w:val="14"/>
          <w:sz w:val="20"/>
        </w:rPr>
        <w:t> </w:t>
      </w:r>
      <w:r>
        <w:rPr>
          <w:sz w:val="20"/>
        </w:rPr>
        <w:t>fragmented</w:t>
      </w:r>
      <w:r>
        <w:rPr>
          <w:spacing w:val="13"/>
          <w:sz w:val="20"/>
        </w:rPr>
        <w:t> </w:t>
      </w:r>
      <w:r>
        <w:rPr>
          <w:spacing w:val="-2"/>
          <w:sz w:val="20"/>
        </w:rPr>
        <w:t>memories</w:t>
      </w:r>
    </w:p>
    <w:p>
      <w:pPr>
        <w:pStyle w:val="BodyText"/>
        <w:spacing w:line="242" w:lineRule="auto" w:before="60"/>
        <w:ind w:right="1442" w:firstLine="432"/>
      </w:pPr>
      <w:r>
        <w:rPr/>
        <w:t>This</w:t>
      </w:r>
      <w:r>
        <w:rPr>
          <w:spacing w:val="25"/>
        </w:rPr>
        <w:t> </w:t>
      </w:r>
      <w:r>
        <w:rPr/>
        <w:t>shows</w:t>
      </w:r>
      <w:r>
        <w:rPr>
          <w:spacing w:val="22"/>
        </w:rPr>
        <w:t> </w:t>
      </w:r>
      <w:r>
        <w:rPr/>
        <w:t>that</w:t>
      </w:r>
      <w:r>
        <w:rPr>
          <w:spacing w:val="25"/>
        </w:rPr>
        <w:t> </w:t>
      </w:r>
      <w:r>
        <w:rPr/>
        <w:t>the</w:t>
      </w:r>
      <w:r>
        <w:rPr>
          <w:spacing w:val="22"/>
        </w:rPr>
        <w:t> </w:t>
      </w:r>
      <w:r>
        <w:rPr/>
        <w:t>act</w:t>
      </w:r>
      <w:r>
        <w:rPr>
          <w:spacing w:val="25"/>
        </w:rPr>
        <w:t> </w:t>
      </w:r>
      <w:r>
        <w:rPr/>
        <w:t>of</w:t>
      </w:r>
      <w:r>
        <w:rPr>
          <w:spacing w:val="22"/>
        </w:rPr>
        <w:t> </w:t>
      </w:r>
      <w:r>
        <w:rPr/>
        <w:t>murder</w:t>
      </w:r>
      <w:r>
        <w:rPr>
          <w:spacing w:val="26"/>
        </w:rPr>
        <w:t> </w:t>
      </w:r>
      <w:r>
        <w:rPr/>
        <w:t>is</w:t>
      </w:r>
      <w:r>
        <w:rPr>
          <w:spacing w:val="23"/>
        </w:rPr>
        <w:t> </w:t>
      </w:r>
      <w:r>
        <w:rPr/>
        <w:t>not</w:t>
      </w:r>
      <w:r>
        <w:rPr>
          <w:spacing w:val="23"/>
        </w:rPr>
        <w:t> </w:t>
      </w:r>
      <w:r>
        <w:rPr/>
        <w:t>confined</w:t>
      </w:r>
      <w:r>
        <w:rPr>
          <w:spacing w:val="27"/>
        </w:rPr>
        <w:t> </w:t>
      </w:r>
      <w:r>
        <w:rPr/>
        <w:t>to</w:t>
      </w:r>
      <w:r>
        <w:rPr>
          <w:spacing w:val="25"/>
        </w:rPr>
        <w:t> </w:t>
      </w:r>
      <w:r>
        <w:rPr/>
        <w:t>the</w:t>
      </w:r>
      <w:r>
        <w:rPr>
          <w:spacing w:val="26"/>
        </w:rPr>
        <w:t> </w:t>
      </w:r>
      <w:r>
        <w:rPr/>
        <w:t>past—it</w:t>
      </w:r>
      <w:r>
        <w:rPr>
          <w:spacing w:val="11"/>
        </w:rPr>
        <w:t> </w:t>
      </w:r>
      <w:r>
        <w:rPr/>
        <w:t>continues</w:t>
      </w:r>
      <w:r>
        <w:rPr>
          <w:spacing w:val="8"/>
        </w:rPr>
        <w:t> </w:t>
      </w:r>
      <w:r>
        <w:rPr/>
        <w:t>to</w:t>
      </w:r>
      <w:r>
        <w:rPr>
          <w:spacing w:val="14"/>
        </w:rPr>
        <w:t> </w:t>
      </w:r>
      <w:r>
        <w:rPr/>
        <w:t>exist</w:t>
      </w:r>
      <w:r>
        <w:rPr>
          <w:spacing w:val="8"/>
        </w:rPr>
        <w:t> </w:t>
      </w:r>
      <w:r>
        <w:rPr/>
        <w:t>in</w:t>
      </w:r>
      <w:r>
        <w:rPr>
          <w:spacing w:val="11"/>
        </w:rPr>
        <w:t> </w:t>
      </w:r>
      <w:r>
        <w:rPr/>
        <w:t>her</w:t>
      </w:r>
      <w:r>
        <w:rPr>
          <w:spacing w:val="10"/>
        </w:rPr>
        <w:t> </w:t>
      </w:r>
      <w:r>
        <w:rPr/>
        <w:t>psyche</w:t>
      </w:r>
      <w:r>
        <w:rPr>
          <w:spacing w:val="13"/>
        </w:rPr>
        <w:t> </w:t>
      </w:r>
      <w:r>
        <w:rPr/>
        <w:t>as</w:t>
      </w:r>
      <w:r>
        <w:rPr>
          <w:spacing w:val="8"/>
        </w:rPr>
        <w:t> </w:t>
      </w:r>
      <w:r>
        <w:rPr/>
        <w:t>a</w:t>
      </w:r>
      <w:r>
        <w:rPr>
          <w:spacing w:val="11"/>
        </w:rPr>
        <w:t> </w:t>
      </w:r>
      <w:r>
        <w:rPr/>
        <w:t>persistent,</w:t>
      </w:r>
      <w:r>
        <w:rPr>
          <w:spacing w:val="10"/>
        </w:rPr>
        <w:t> </w:t>
      </w:r>
      <w:r>
        <w:rPr/>
        <w:t>haunting</w:t>
      </w:r>
      <w:r>
        <w:rPr>
          <w:spacing w:val="10"/>
        </w:rPr>
        <w:t> </w:t>
      </w:r>
      <w:r>
        <w:rPr>
          <w:spacing w:val="-2"/>
        </w:rPr>
        <w:t>experience.</w:t>
      </w:r>
    </w:p>
    <w:p>
      <w:pPr>
        <w:pStyle w:val="Heading5"/>
        <w:numPr>
          <w:ilvl w:val="0"/>
          <w:numId w:val="92"/>
        </w:numPr>
        <w:tabs>
          <w:tab w:pos="1754" w:val="left" w:leader="none"/>
        </w:tabs>
        <w:spacing w:line="240" w:lineRule="auto" w:before="106" w:after="0"/>
        <w:ind w:left="1754" w:right="0" w:hanging="314"/>
        <w:jc w:val="left"/>
      </w:pPr>
      <w:r>
        <w:rPr>
          <w:w w:val="105"/>
        </w:rPr>
        <w:t>External</w:t>
      </w:r>
      <w:r>
        <w:rPr>
          <w:spacing w:val="65"/>
          <w:w w:val="105"/>
        </w:rPr>
        <w:t> </w:t>
      </w:r>
      <w:r>
        <w:rPr>
          <w:w w:val="105"/>
        </w:rPr>
        <w:t>Aggression</w:t>
      </w:r>
      <w:r>
        <w:rPr>
          <w:spacing w:val="70"/>
          <w:w w:val="105"/>
        </w:rPr>
        <w:t> </w:t>
      </w:r>
      <w:r>
        <w:rPr>
          <w:w w:val="105"/>
        </w:rPr>
        <w:t>and</w:t>
      </w:r>
      <w:r>
        <w:rPr>
          <w:spacing w:val="67"/>
          <w:w w:val="105"/>
        </w:rPr>
        <w:t> </w:t>
      </w:r>
      <w:r>
        <w:rPr>
          <w:w w:val="105"/>
        </w:rPr>
        <w:t>Internal</w:t>
      </w:r>
      <w:r>
        <w:rPr>
          <w:spacing w:val="68"/>
          <w:w w:val="105"/>
        </w:rPr>
        <w:t> </w:t>
      </w:r>
      <w:r>
        <w:rPr>
          <w:w w:val="105"/>
        </w:rPr>
        <w:t>Self-</w:t>
      </w:r>
      <w:r>
        <w:rPr>
          <w:spacing w:val="-2"/>
          <w:w w:val="105"/>
        </w:rPr>
        <w:t>Destruction</w:t>
      </w:r>
    </w:p>
    <w:p>
      <w:pPr>
        <w:pStyle w:val="BodyText"/>
        <w:spacing w:before="65"/>
        <w:ind w:left="1872"/>
      </w:pPr>
      <w:r>
        <w:rPr/>
        <w:t>Initially,</w:t>
      </w:r>
      <w:r>
        <w:rPr>
          <w:spacing w:val="21"/>
        </w:rPr>
        <w:t> </w:t>
      </w:r>
      <w:r>
        <w:rPr/>
        <w:t>Lady</w:t>
      </w:r>
      <w:r>
        <w:rPr>
          <w:spacing w:val="16"/>
        </w:rPr>
        <w:t> </w:t>
      </w:r>
      <w:r>
        <w:rPr/>
        <w:t>Macbeth</w:t>
      </w:r>
      <w:r>
        <w:rPr>
          <w:spacing w:val="19"/>
        </w:rPr>
        <w:t> </w:t>
      </w:r>
      <w:r>
        <w:rPr/>
        <w:t>directs</w:t>
      </w:r>
      <w:r>
        <w:rPr>
          <w:spacing w:val="19"/>
        </w:rPr>
        <w:t> </w:t>
      </w:r>
      <w:r>
        <w:rPr/>
        <w:t>aggression</w:t>
      </w:r>
      <w:r>
        <w:rPr>
          <w:spacing w:val="20"/>
        </w:rPr>
        <w:t> </w:t>
      </w:r>
      <w:r>
        <w:rPr>
          <w:spacing w:val="-2"/>
        </w:rPr>
        <w:t>outward:</w:t>
      </w:r>
    </w:p>
    <w:p>
      <w:pPr>
        <w:pStyle w:val="ListParagraph"/>
        <w:numPr>
          <w:ilvl w:val="1"/>
          <w:numId w:val="92"/>
        </w:numPr>
        <w:tabs>
          <w:tab w:pos="2159" w:val="left" w:leader="none"/>
        </w:tabs>
        <w:spacing w:line="240" w:lineRule="auto" w:before="72" w:after="0"/>
        <w:ind w:left="2159" w:right="0" w:hanging="239"/>
        <w:jc w:val="left"/>
        <w:rPr>
          <w:sz w:val="20"/>
        </w:rPr>
      </w:pPr>
      <w:r>
        <w:rPr>
          <w:sz w:val="20"/>
        </w:rPr>
        <w:t>She</w:t>
      </w:r>
      <w:r>
        <w:rPr>
          <w:spacing w:val="28"/>
          <w:sz w:val="20"/>
        </w:rPr>
        <w:t> </w:t>
      </w:r>
      <w:r>
        <w:rPr>
          <w:sz w:val="20"/>
        </w:rPr>
        <w:t>manipulates</w:t>
      </w:r>
      <w:r>
        <w:rPr>
          <w:spacing w:val="28"/>
          <w:sz w:val="20"/>
        </w:rPr>
        <w:t> </w:t>
      </w:r>
      <w:r>
        <w:rPr>
          <w:spacing w:val="-2"/>
          <w:sz w:val="20"/>
        </w:rPr>
        <w:t>Macbeth</w:t>
      </w:r>
    </w:p>
    <w:p>
      <w:pPr>
        <w:pStyle w:val="ListParagraph"/>
        <w:numPr>
          <w:ilvl w:val="1"/>
          <w:numId w:val="92"/>
        </w:numPr>
        <w:tabs>
          <w:tab w:pos="2159" w:val="left" w:leader="none"/>
        </w:tabs>
        <w:spacing w:line="240" w:lineRule="auto" w:before="77" w:after="0"/>
        <w:ind w:left="2159" w:right="0" w:hanging="239"/>
        <w:jc w:val="left"/>
        <w:rPr>
          <w:sz w:val="20"/>
        </w:rPr>
      </w:pPr>
      <w:r>
        <w:rPr>
          <w:sz w:val="20"/>
        </w:rPr>
        <w:t>She</w:t>
      </w:r>
      <w:r>
        <w:rPr>
          <w:spacing w:val="36"/>
          <w:sz w:val="20"/>
        </w:rPr>
        <w:t> </w:t>
      </w:r>
      <w:r>
        <w:rPr>
          <w:sz w:val="20"/>
        </w:rPr>
        <w:t>orchestrates</w:t>
      </w:r>
      <w:r>
        <w:rPr>
          <w:spacing w:val="38"/>
          <w:sz w:val="20"/>
        </w:rPr>
        <w:t> </w:t>
      </w:r>
      <w:r>
        <w:rPr>
          <w:spacing w:val="-2"/>
          <w:sz w:val="20"/>
        </w:rPr>
        <w:t>violence</w:t>
      </w:r>
    </w:p>
    <w:p>
      <w:pPr>
        <w:pStyle w:val="ListParagraph"/>
        <w:numPr>
          <w:ilvl w:val="1"/>
          <w:numId w:val="92"/>
        </w:numPr>
        <w:tabs>
          <w:tab w:pos="2159" w:val="left" w:leader="none"/>
        </w:tabs>
        <w:spacing w:line="240" w:lineRule="auto" w:before="80" w:after="0"/>
        <w:ind w:left="2159" w:right="0" w:hanging="239"/>
        <w:jc w:val="left"/>
        <w:rPr>
          <w:sz w:val="20"/>
        </w:rPr>
      </w:pPr>
      <w:r>
        <w:rPr>
          <w:sz w:val="20"/>
        </w:rPr>
        <w:t>She</w:t>
      </w:r>
      <w:r>
        <w:rPr>
          <w:spacing w:val="3"/>
          <w:sz w:val="20"/>
        </w:rPr>
        <w:t> </w:t>
      </w:r>
      <w:r>
        <w:rPr>
          <w:sz w:val="20"/>
        </w:rPr>
        <w:t>challenges</w:t>
      </w:r>
      <w:r>
        <w:rPr>
          <w:spacing w:val="4"/>
          <w:sz w:val="20"/>
        </w:rPr>
        <w:t> </w:t>
      </w:r>
      <w:r>
        <w:rPr>
          <w:sz w:val="20"/>
        </w:rPr>
        <w:t>moral</w:t>
      </w:r>
      <w:r>
        <w:rPr>
          <w:spacing w:val="4"/>
          <w:sz w:val="20"/>
        </w:rPr>
        <w:t> </w:t>
      </w:r>
      <w:r>
        <w:rPr>
          <w:spacing w:val="-2"/>
          <w:sz w:val="20"/>
        </w:rPr>
        <w:t>limits</w:t>
      </w:r>
    </w:p>
    <w:p>
      <w:pPr>
        <w:pStyle w:val="ListParagraph"/>
        <w:spacing w:after="0" w:line="240" w:lineRule="auto"/>
        <w:jc w:val="left"/>
        <w:rPr>
          <w:sz w:val="20"/>
        </w:rPr>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905792">
                <wp:simplePos x="0" y="0"/>
                <wp:positionH relativeFrom="page">
                  <wp:posOffset>2065020</wp:posOffset>
                </wp:positionH>
                <wp:positionV relativeFrom="paragraph">
                  <wp:posOffset>795020</wp:posOffset>
                </wp:positionV>
                <wp:extent cx="3657600" cy="12700"/>
                <wp:effectExtent l="0" t="0" r="0" b="0"/>
                <wp:wrapTopAndBottom/>
                <wp:docPr id="840" name="Graphic 840"/>
                <wp:cNvGraphicFramePr>
                  <a:graphicFrameLocks/>
                </wp:cNvGraphicFramePr>
                <a:graphic>
                  <a:graphicData uri="http://schemas.microsoft.com/office/word/2010/wordprocessingShape">
                    <wps:wsp>
                      <wps:cNvPr id="840" name="Graphic 84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10688;mso-wrap-distance-left:0;mso-wrap-distance-right:0" id="docshape832" filled="true" fillcolor="#000000" stroked="false">
                <v:fill type="solid"/>
                <w10:wrap type="topAndBottom"/>
              </v:rect>
            </w:pict>
          </mc:Fallback>
        </mc:AlternateContent>
      </w:r>
      <w:r>
        <w:rPr>
          <w:rFonts w:ascii="Verdana" w:hAnsi="Verdana"/>
          <w:sz w:val="18"/>
        </w:rPr>
        <w:t>‘Examining</w:t>
      </w:r>
      <w:r>
        <w:rPr>
          <w:rFonts w:ascii="Verdana" w:hAnsi="Verdana"/>
          <w:spacing w:val="-7"/>
          <w:sz w:val="18"/>
        </w:rPr>
        <w:t> </w:t>
      </w:r>
      <w:r>
        <w:rPr>
          <w:rFonts w:ascii="Verdana" w:hAnsi="Verdana"/>
          <w:sz w:val="18"/>
        </w:rPr>
        <w:t>Gender</w:t>
      </w:r>
      <w:r>
        <w:rPr>
          <w:rFonts w:ascii="Verdana" w:hAnsi="Verdana"/>
          <w:spacing w:val="-5"/>
          <w:sz w:val="18"/>
        </w:rPr>
        <w:t> </w:t>
      </w:r>
      <w:r>
        <w:rPr>
          <w:rFonts w:ascii="Verdana" w:hAnsi="Verdana"/>
          <w:sz w:val="18"/>
        </w:rPr>
        <w:t>Vices</w:t>
      </w:r>
      <w:r>
        <w:rPr>
          <w:rFonts w:ascii="Verdana" w:hAnsi="Verdana"/>
          <w:spacing w:val="-7"/>
          <w:sz w:val="18"/>
        </w:rPr>
        <w:t> </w:t>
      </w:r>
      <w:r>
        <w:rPr>
          <w:rFonts w:ascii="Verdana" w:hAnsi="Verdana"/>
          <w:sz w:val="18"/>
        </w:rPr>
        <w:t>in</w:t>
      </w:r>
      <w:r>
        <w:rPr>
          <w:rFonts w:ascii="Verdana" w:hAnsi="Verdana"/>
          <w:spacing w:val="-3"/>
          <w:sz w:val="18"/>
        </w:rPr>
        <w:t> </w:t>
      </w:r>
      <w:r>
        <w:rPr>
          <w:rFonts w:ascii="Verdana" w:hAnsi="Verdana"/>
          <w:sz w:val="18"/>
        </w:rPr>
        <w:t>Elizabethan</w:t>
      </w:r>
      <w:r>
        <w:rPr>
          <w:rFonts w:ascii="Verdana" w:hAnsi="Verdana"/>
          <w:spacing w:val="-5"/>
          <w:sz w:val="18"/>
        </w:rPr>
        <w:t> </w:t>
      </w:r>
      <w:r>
        <w:rPr>
          <w:rFonts w:ascii="Verdana" w:hAnsi="Verdana"/>
          <w:sz w:val="18"/>
        </w:rPr>
        <w:t>Drama</w:t>
      </w:r>
      <w:r>
        <w:rPr>
          <w:rFonts w:ascii="Verdana" w:hAnsi="Verdana"/>
          <w:spacing w:val="-5"/>
          <w:sz w:val="18"/>
        </w:rPr>
        <w:t> </w:t>
      </w:r>
      <w:r>
        <w:rPr>
          <w:rFonts w:ascii="Verdana" w:hAnsi="Verdana"/>
          <w:spacing w:val="-2"/>
          <w:sz w:val="18"/>
        </w:rPr>
        <w:t>and...</w:t>
      </w:r>
      <w:r>
        <w:rPr>
          <w:sz w:val="18"/>
        </w:rPr>
        <w:tab/>
      </w:r>
      <w:r>
        <w:rPr>
          <w:rFonts w:ascii="Verdana" w:hAnsi="Verdana"/>
          <w:spacing w:val="-5"/>
          <w:sz w:val="18"/>
        </w:rPr>
        <w:t>441</w:t>
      </w:r>
    </w:p>
    <w:p>
      <w:pPr>
        <w:pStyle w:val="BodyText"/>
        <w:spacing w:before="192"/>
        <w:ind w:left="1872"/>
      </w:pPr>
      <w:r>
        <w:rPr/>
        <w:t>However,</w:t>
      </w:r>
      <w:r>
        <w:rPr>
          <w:spacing w:val="22"/>
        </w:rPr>
        <w:t> </w:t>
      </w:r>
      <w:r>
        <w:rPr/>
        <w:t>this</w:t>
      </w:r>
      <w:r>
        <w:rPr>
          <w:spacing w:val="20"/>
        </w:rPr>
        <w:t> </w:t>
      </w:r>
      <w:r>
        <w:rPr/>
        <w:t>aggression</w:t>
      </w:r>
      <w:r>
        <w:rPr>
          <w:spacing w:val="23"/>
        </w:rPr>
        <w:t> </w:t>
      </w:r>
      <w:r>
        <w:rPr/>
        <w:t>gradually</w:t>
      </w:r>
      <w:r>
        <w:rPr>
          <w:spacing w:val="19"/>
        </w:rPr>
        <w:t> </w:t>
      </w:r>
      <w:r>
        <w:rPr/>
        <w:t>turns</w:t>
      </w:r>
      <w:r>
        <w:rPr>
          <w:spacing w:val="20"/>
        </w:rPr>
        <w:t> </w:t>
      </w:r>
      <w:r>
        <w:rPr>
          <w:spacing w:val="-2"/>
        </w:rPr>
        <w:t>inward:</w:t>
      </w:r>
    </w:p>
    <w:p>
      <w:pPr>
        <w:pStyle w:val="ListParagraph"/>
        <w:numPr>
          <w:ilvl w:val="1"/>
          <w:numId w:val="92"/>
        </w:numPr>
        <w:tabs>
          <w:tab w:pos="2159" w:val="left" w:leader="none"/>
        </w:tabs>
        <w:spacing w:line="240" w:lineRule="auto" w:before="75" w:after="0"/>
        <w:ind w:left="2159" w:right="0" w:hanging="239"/>
        <w:jc w:val="left"/>
        <w:rPr>
          <w:sz w:val="20"/>
        </w:rPr>
      </w:pPr>
      <w:r>
        <w:rPr>
          <w:sz w:val="20"/>
        </w:rPr>
        <w:t>Guilt</w:t>
      </w:r>
      <w:r>
        <w:rPr>
          <w:spacing w:val="11"/>
          <w:sz w:val="20"/>
        </w:rPr>
        <w:t> </w:t>
      </w:r>
      <w:r>
        <w:rPr>
          <w:sz w:val="20"/>
        </w:rPr>
        <w:t>replaces</w:t>
      </w:r>
      <w:r>
        <w:rPr>
          <w:spacing w:val="10"/>
          <w:sz w:val="20"/>
        </w:rPr>
        <w:t> </w:t>
      </w:r>
      <w:r>
        <w:rPr>
          <w:spacing w:val="-2"/>
          <w:sz w:val="20"/>
        </w:rPr>
        <w:t>confidence</w:t>
      </w:r>
    </w:p>
    <w:p>
      <w:pPr>
        <w:pStyle w:val="ListParagraph"/>
        <w:numPr>
          <w:ilvl w:val="1"/>
          <w:numId w:val="92"/>
        </w:numPr>
        <w:tabs>
          <w:tab w:pos="2159" w:val="left" w:leader="none"/>
        </w:tabs>
        <w:spacing w:line="240" w:lineRule="auto" w:before="77" w:after="0"/>
        <w:ind w:left="2159" w:right="0" w:hanging="239"/>
        <w:jc w:val="left"/>
        <w:rPr>
          <w:sz w:val="20"/>
        </w:rPr>
      </w:pPr>
      <w:r>
        <w:rPr>
          <w:sz w:val="20"/>
        </w:rPr>
        <w:t>Control</w:t>
      </w:r>
      <w:r>
        <w:rPr>
          <w:spacing w:val="21"/>
          <w:sz w:val="20"/>
        </w:rPr>
        <w:t> </w:t>
      </w:r>
      <w:r>
        <w:rPr>
          <w:sz w:val="20"/>
        </w:rPr>
        <w:t>gives</w:t>
      </w:r>
      <w:r>
        <w:rPr>
          <w:spacing w:val="24"/>
          <w:sz w:val="20"/>
        </w:rPr>
        <w:t> </w:t>
      </w:r>
      <w:r>
        <w:rPr>
          <w:sz w:val="20"/>
        </w:rPr>
        <w:t>way</w:t>
      </w:r>
      <w:r>
        <w:rPr>
          <w:spacing w:val="20"/>
          <w:sz w:val="20"/>
        </w:rPr>
        <w:t> </w:t>
      </w:r>
      <w:r>
        <w:rPr>
          <w:sz w:val="20"/>
        </w:rPr>
        <w:t>to</w:t>
      </w:r>
      <w:r>
        <w:rPr>
          <w:spacing w:val="27"/>
          <w:sz w:val="20"/>
        </w:rPr>
        <w:t> </w:t>
      </w:r>
      <w:r>
        <w:rPr>
          <w:spacing w:val="-2"/>
          <w:sz w:val="20"/>
        </w:rPr>
        <w:t>fragmentation</w:t>
      </w:r>
    </w:p>
    <w:p>
      <w:pPr>
        <w:pStyle w:val="ListParagraph"/>
        <w:numPr>
          <w:ilvl w:val="1"/>
          <w:numId w:val="92"/>
        </w:numPr>
        <w:tabs>
          <w:tab w:pos="2159" w:val="left" w:leader="none"/>
        </w:tabs>
        <w:spacing w:line="240" w:lineRule="auto" w:before="80" w:after="0"/>
        <w:ind w:left="2159" w:right="0" w:hanging="239"/>
        <w:jc w:val="left"/>
        <w:rPr>
          <w:sz w:val="20"/>
        </w:rPr>
      </w:pPr>
      <w:r>
        <w:rPr>
          <w:sz w:val="20"/>
        </w:rPr>
        <w:t>Her</w:t>
      </w:r>
      <w:r>
        <w:rPr>
          <w:spacing w:val="31"/>
          <w:sz w:val="20"/>
        </w:rPr>
        <w:t> </w:t>
      </w:r>
      <w:r>
        <w:rPr>
          <w:sz w:val="20"/>
        </w:rPr>
        <w:t>identity</w:t>
      </w:r>
      <w:r>
        <w:rPr>
          <w:spacing w:val="29"/>
          <w:sz w:val="20"/>
        </w:rPr>
        <w:t> </w:t>
      </w:r>
      <w:r>
        <w:rPr>
          <w:sz w:val="20"/>
        </w:rPr>
        <w:t>begins</w:t>
      </w:r>
      <w:r>
        <w:rPr>
          <w:spacing w:val="33"/>
          <w:sz w:val="20"/>
        </w:rPr>
        <w:t> </w:t>
      </w:r>
      <w:r>
        <w:rPr>
          <w:sz w:val="20"/>
        </w:rPr>
        <w:t>to</w:t>
      </w:r>
      <w:r>
        <w:rPr>
          <w:spacing w:val="33"/>
          <w:sz w:val="20"/>
        </w:rPr>
        <w:t> </w:t>
      </w:r>
      <w:r>
        <w:rPr>
          <w:spacing w:val="-2"/>
          <w:sz w:val="20"/>
        </w:rPr>
        <w:t>dissolve</w:t>
      </w:r>
    </w:p>
    <w:p>
      <w:pPr>
        <w:pStyle w:val="BodyText"/>
        <w:spacing w:before="70"/>
        <w:ind w:left="1872"/>
      </w:pPr>
      <w:r>
        <w:rPr/>
        <w:t>This</w:t>
      </w:r>
      <w:r>
        <w:rPr>
          <w:spacing w:val="24"/>
        </w:rPr>
        <w:t> </w:t>
      </w:r>
      <w:r>
        <w:rPr/>
        <w:t>shift</w:t>
      </w:r>
      <w:r>
        <w:rPr>
          <w:spacing w:val="24"/>
        </w:rPr>
        <w:t> </w:t>
      </w:r>
      <w:r>
        <w:rPr/>
        <w:t>illustrates</w:t>
      </w:r>
      <w:r>
        <w:rPr>
          <w:spacing w:val="23"/>
        </w:rPr>
        <w:t> </w:t>
      </w:r>
      <w:r>
        <w:rPr/>
        <w:t>a</w:t>
      </w:r>
      <w:r>
        <w:rPr>
          <w:spacing w:val="24"/>
        </w:rPr>
        <w:t> </w:t>
      </w:r>
      <w:r>
        <w:rPr/>
        <w:t>key</w:t>
      </w:r>
      <w:r>
        <w:rPr>
          <w:spacing w:val="23"/>
        </w:rPr>
        <w:t> </w:t>
      </w:r>
      <w:r>
        <w:rPr/>
        <w:t>Freudian</w:t>
      </w:r>
      <w:r>
        <w:rPr>
          <w:spacing w:val="22"/>
        </w:rPr>
        <w:t> </w:t>
      </w:r>
      <w:r>
        <w:rPr>
          <w:spacing w:val="-2"/>
        </w:rPr>
        <w:t>insight:</w:t>
      </w:r>
    </w:p>
    <w:p>
      <w:pPr>
        <w:pStyle w:val="BodyText"/>
        <w:spacing w:line="249" w:lineRule="auto" w:before="67"/>
        <w:ind w:right="1437" w:firstLine="432"/>
      </w:pPr>
      <w:r>
        <w:rPr>
          <w:spacing w:val="-2"/>
        </w:rPr>
        <w:t>Destructive</w:t>
      </w:r>
      <w:r>
        <w:rPr>
          <w:spacing w:val="-5"/>
        </w:rPr>
        <w:t> </w:t>
      </w:r>
      <w:r>
        <w:rPr>
          <w:spacing w:val="-2"/>
        </w:rPr>
        <w:t>impulses</w:t>
      </w:r>
      <w:r>
        <w:rPr>
          <w:spacing w:val="-5"/>
        </w:rPr>
        <w:t> </w:t>
      </w:r>
      <w:r>
        <w:rPr>
          <w:spacing w:val="-2"/>
        </w:rPr>
        <w:t>directed</w:t>
      </w:r>
      <w:r>
        <w:rPr>
          <w:spacing w:val="-3"/>
        </w:rPr>
        <w:t> </w:t>
      </w:r>
      <w:r>
        <w:rPr>
          <w:spacing w:val="-2"/>
        </w:rPr>
        <w:t>outward can</w:t>
      </w:r>
      <w:r>
        <w:rPr>
          <w:spacing w:val="-8"/>
        </w:rPr>
        <w:t> </w:t>
      </w:r>
      <w:r>
        <w:rPr>
          <w:spacing w:val="-2"/>
        </w:rPr>
        <w:t>return</w:t>
      </w:r>
      <w:r>
        <w:rPr>
          <w:spacing w:val="-5"/>
        </w:rPr>
        <w:t> </w:t>
      </w:r>
      <w:r>
        <w:rPr>
          <w:spacing w:val="-2"/>
        </w:rPr>
        <w:t>as</w:t>
      </w:r>
      <w:r>
        <w:rPr>
          <w:spacing w:val="-5"/>
        </w:rPr>
        <w:t> </w:t>
      </w:r>
      <w:r>
        <w:rPr>
          <w:spacing w:val="-2"/>
        </w:rPr>
        <w:t>self-destructive forces.</w:t>
      </w:r>
    </w:p>
    <w:p>
      <w:pPr>
        <w:pStyle w:val="Heading5"/>
        <w:numPr>
          <w:ilvl w:val="0"/>
          <w:numId w:val="92"/>
        </w:numPr>
        <w:tabs>
          <w:tab w:pos="1754" w:val="left" w:leader="none"/>
        </w:tabs>
        <w:spacing w:line="240" w:lineRule="auto" w:before="109" w:after="0"/>
        <w:ind w:left="1754" w:right="0" w:hanging="314"/>
        <w:jc w:val="left"/>
      </w:pPr>
      <w:r>
        <w:rPr>
          <w:w w:val="105"/>
        </w:rPr>
        <w:t>Diabolic</w:t>
      </w:r>
      <w:r>
        <w:rPr>
          <w:spacing w:val="26"/>
          <w:w w:val="105"/>
        </w:rPr>
        <w:t>  </w:t>
      </w:r>
      <w:r>
        <w:rPr>
          <w:w w:val="105"/>
        </w:rPr>
        <w:t>Duality</w:t>
      </w:r>
      <w:r>
        <w:rPr>
          <w:spacing w:val="26"/>
          <w:w w:val="105"/>
        </w:rPr>
        <w:t>  </w:t>
      </w:r>
      <w:r>
        <w:rPr>
          <w:w w:val="105"/>
        </w:rPr>
        <w:t>and</w:t>
      </w:r>
      <w:r>
        <w:rPr>
          <w:spacing w:val="27"/>
          <w:w w:val="105"/>
        </w:rPr>
        <w:t>  </w:t>
      </w:r>
      <w:r>
        <w:rPr>
          <w:w w:val="105"/>
        </w:rPr>
        <w:t>Psychological</w:t>
      </w:r>
      <w:r>
        <w:rPr>
          <w:spacing w:val="27"/>
          <w:w w:val="105"/>
        </w:rPr>
        <w:t>  </w:t>
      </w:r>
      <w:r>
        <w:rPr>
          <w:spacing w:val="-4"/>
          <w:w w:val="105"/>
        </w:rPr>
        <w:t>Depth</w:t>
      </w:r>
    </w:p>
    <w:p>
      <w:pPr>
        <w:pStyle w:val="BodyText"/>
        <w:spacing w:line="249" w:lineRule="auto" w:before="72"/>
        <w:ind w:right="1437" w:firstLine="432"/>
      </w:pPr>
      <w:r>
        <w:rPr/>
        <w:t>Shakespeare’s</w:t>
      </w:r>
      <w:r>
        <w:rPr>
          <w:spacing w:val="40"/>
        </w:rPr>
        <w:t> </w:t>
      </w:r>
      <w:r>
        <w:rPr/>
        <w:t>portrayal</w:t>
      </w:r>
      <w:r>
        <w:rPr>
          <w:spacing w:val="40"/>
        </w:rPr>
        <w:t> </w:t>
      </w:r>
      <w:r>
        <w:rPr/>
        <w:t>of</w:t>
      </w:r>
      <w:r>
        <w:rPr>
          <w:spacing w:val="40"/>
        </w:rPr>
        <w:t> </w:t>
      </w:r>
      <w:r>
        <w:rPr/>
        <w:t>Lady</w:t>
      </w:r>
      <w:r>
        <w:rPr>
          <w:spacing w:val="40"/>
        </w:rPr>
        <w:t> </w:t>
      </w:r>
      <w:r>
        <w:rPr/>
        <w:t>Macbeth</w:t>
      </w:r>
      <w:r>
        <w:rPr>
          <w:spacing w:val="40"/>
        </w:rPr>
        <w:t> </w:t>
      </w:r>
      <w:r>
        <w:rPr/>
        <w:t>captures</w:t>
      </w:r>
      <w:r>
        <w:rPr>
          <w:spacing w:val="40"/>
        </w:rPr>
        <w:t> </w:t>
      </w:r>
      <w:r>
        <w:rPr/>
        <w:t>a</w:t>
      </w:r>
      <w:r>
        <w:rPr>
          <w:spacing w:val="40"/>
        </w:rPr>
        <w:t> </w:t>
      </w:r>
      <w:r>
        <w:rPr/>
        <w:t>diabolic duality—the</w:t>
      </w:r>
      <w:r>
        <w:rPr>
          <w:spacing w:val="18"/>
        </w:rPr>
        <w:t> </w:t>
      </w:r>
      <w:r>
        <w:rPr/>
        <w:t>coexistence</w:t>
      </w:r>
      <w:r>
        <w:rPr>
          <w:spacing w:val="22"/>
        </w:rPr>
        <w:t> </w:t>
      </w:r>
      <w:r>
        <w:rPr/>
        <w:t>of</w:t>
      </w:r>
      <w:r>
        <w:rPr>
          <w:spacing w:val="18"/>
        </w:rPr>
        <w:t> </w:t>
      </w:r>
      <w:r>
        <w:rPr/>
        <w:t>opposing</w:t>
      </w:r>
      <w:r>
        <w:rPr>
          <w:spacing w:val="17"/>
        </w:rPr>
        <w:t> </w:t>
      </w:r>
      <w:r>
        <w:rPr/>
        <w:t>forces</w:t>
      </w:r>
      <w:r>
        <w:rPr>
          <w:spacing w:val="19"/>
        </w:rPr>
        <w:t> </w:t>
      </w:r>
      <w:r>
        <w:rPr/>
        <w:t>within</w:t>
      </w:r>
      <w:r>
        <w:rPr>
          <w:spacing w:val="18"/>
        </w:rPr>
        <w:t> </w:t>
      </w:r>
      <w:r>
        <w:rPr/>
        <w:t>a</w:t>
      </w:r>
      <w:r>
        <w:rPr>
          <w:spacing w:val="22"/>
        </w:rPr>
        <w:t> </w:t>
      </w:r>
      <w:r>
        <w:rPr/>
        <w:t>single</w:t>
      </w:r>
      <w:r>
        <w:rPr>
          <w:spacing w:val="19"/>
        </w:rPr>
        <w:t> </w:t>
      </w:r>
      <w:r>
        <w:rPr>
          <w:spacing w:val="-2"/>
        </w:rPr>
        <w:t>character.</w:t>
      </w:r>
    </w:p>
    <w:p>
      <w:pPr>
        <w:pStyle w:val="ListParagraph"/>
        <w:numPr>
          <w:ilvl w:val="1"/>
          <w:numId w:val="92"/>
        </w:numPr>
        <w:tabs>
          <w:tab w:pos="2159" w:val="left" w:leader="none"/>
        </w:tabs>
        <w:spacing w:line="240" w:lineRule="auto" w:before="69" w:after="0"/>
        <w:ind w:left="2159" w:right="0" w:hanging="239"/>
        <w:jc w:val="left"/>
        <w:rPr>
          <w:sz w:val="20"/>
        </w:rPr>
      </w:pPr>
      <w:r>
        <w:rPr>
          <w:sz w:val="20"/>
        </w:rPr>
        <w:t>Strength</w:t>
      </w:r>
      <w:r>
        <w:rPr>
          <w:spacing w:val="27"/>
          <w:sz w:val="20"/>
        </w:rPr>
        <w:t> </w:t>
      </w:r>
      <w:r>
        <w:rPr>
          <w:sz w:val="20"/>
        </w:rPr>
        <w:t>and</w:t>
      </w:r>
      <w:r>
        <w:rPr>
          <w:spacing w:val="30"/>
          <w:sz w:val="20"/>
        </w:rPr>
        <w:t> </w:t>
      </w:r>
      <w:r>
        <w:rPr>
          <w:spacing w:val="-2"/>
          <w:sz w:val="20"/>
        </w:rPr>
        <w:t>vulnerability</w:t>
      </w:r>
    </w:p>
    <w:p>
      <w:pPr>
        <w:pStyle w:val="ListParagraph"/>
        <w:numPr>
          <w:ilvl w:val="1"/>
          <w:numId w:val="92"/>
        </w:numPr>
        <w:tabs>
          <w:tab w:pos="2159" w:val="left" w:leader="none"/>
        </w:tabs>
        <w:spacing w:line="240" w:lineRule="auto" w:before="77" w:after="0"/>
        <w:ind w:left="2159" w:right="0" w:hanging="239"/>
        <w:jc w:val="left"/>
        <w:rPr>
          <w:sz w:val="20"/>
        </w:rPr>
      </w:pPr>
      <w:r>
        <w:rPr>
          <w:sz w:val="20"/>
        </w:rPr>
        <w:t>Desire</w:t>
      </w:r>
      <w:r>
        <w:rPr>
          <w:spacing w:val="19"/>
          <w:sz w:val="20"/>
        </w:rPr>
        <w:t> </w:t>
      </w:r>
      <w:r>
        <w:rPr>
          <w:sz w:val="20"/>
        </w:rPr>
        <w:t>and</w:t>
      </w:r>
      <w:r>
        <w:rPr>
          <w:spacing w:val="21"/>
          <w:sz w:val="20"/>
        </w:rPr>
        <w:t> </w:t>
      </w:r>
      <w:r>
        <w:rPr>
          <w:spacing w:val="-2"/>
          <w:sz w:val="20"/>
        </w:rPr>
        <w:t>guilt</w:t>
      </w:r>
    </w:p>
    <w:p>
      <w:pPr>
        <w:pStyle w:val="ListParagraph"/>
        <w:numPr>
          <w:ilvl w:val="1"/>
          <w:numId w:val="92"/>
        </w:numPr>
        <w:tabs>
          <w:tab w:pos="2159" w:val="left" w:leader="none"/>
        </w:tabs>
        <w:spacing w:line="240" w:lineRule="auto" w:before="77" w:after="0"/>
        <w:ind w:left="2159" w:right="0" w:hanging="239"/>
        <w:jc w:val="left"/>
        <w:rPr>
          <w:sz w:val="20"/>
        </w:rPr>
      </w:pPr>
      <w:r>
        <w:rPr>
          <w:sz w:val="20"/>
        </w:rPr>
        <w:t>Creation</w:t>
      </w:r>
      <w:r>
        <w:rPr>
          <w:spacing w:val="31"/>
          <w:sz w:val="20"/>
        </w:rPr>
        <w:t> </w:t>
      </w:r>
      <w:r>
        <w:rPr>
          <w:sz w:val="20"/>
        </w:rPr>
        <w:t>and</w:t>
      </w:r>
      <w:r>
        <w:rPr>
          <w:spacing w:val="37"/>
          <w:sz w:val="20"/>
        </w:rPr>
        <w:t> </w:t>
      </w:r>
      <w:r>
        <w:rPr>
          <w:spacing w:val="-2"/>
          <w:sz w:val="20"/>
        </w:rPr>
        <w:t>destruction</w:t>
      </w:r>
    </w:p>
    <w:p>
      <w:pPr>
        <w:pStyle w:val="BodyText"/>
        <w:spacing w:line="249" w:lineRule="auto" w:before="73"/>
        <w:ind w:right="1438" w:firstLine="432"/>
        <w:jc w:val="both"/>
      </w:pPr>
      <w:r>
        <w:rPr/>
        <w:t>Her “unsexed” state symbolizes not just gender rejection but a deeper psychological transformation, where natural human balance is disrupted. This imbalance leads to an overwhelming dominance of destructive</w:t>
      </w:r>
      <w:r>
        <w:rPr>
          <w:spacing w:val="40"/>
        </w:rPr>
        <w:t> </w:t>
      </w:r>
      <w:r>
        <w:rPr/>
        <w:t>energy.</w:t>
      </w:r>
    </w:p>
    <w:p>
      <w:pPr>
        <w:pStyle w:val="Heading3"/>
        <w:spacing w:before="156"/>
      </w:pPr>
      <w:r>
        <w:rPr>
          <w:spacing w:val="-2"/>
        </w:rPr>
        <w:t>CONCLUSION</w:t>
      </w:r>
    </w:p>
    <w:p>
      <w:pPr>
        <w:pStyle w:val="BodyText"/>
        <w:spacing w:line="249" w:lineRule="auto" w:before="76"/>
        <w:ind w:right="1440" w:firstLine="432"/>
        <w:jc w:val="both"/>
      </w:pPr>
      <w:r>
        <w:rPr/>
        <w:t>Through a Freudian lens, Lady Macbeth emerges as a powerful representation of the human psyche in conflict. The interplay between Eros and Thanatos defines her journey—from ambition and unity to destruction</w:t>
      </w:r>
      <w:r>
        <w:rPr>
          <w:spacing w:val="40"/>
        </w:rPr>
        <w:t> </w:t>
      </w:r>
      <w:r>
        <w:rPr/>
        <w:t>and</w:t>
      </w:r>
      <w:r>
        <w:rPr>
          <w:spacing w:val="40"/>
        </w:rPr>
        <w:t> </w:t>
      </w:r>
      <w:r>
        <w:rPr/>
        <w:t>isolation.</w:t>
      </w:r>
    </w:p>
    <w:p>
      <w:pPr>
        <w:pStyle w:val="BodyText"/>
        <w:spacing w:before="61"/>
        <w:ind w:left="1872"/>
        <w:jc w:val="both"/>
      </w:pPr>
      <w:r>
        <w:rPr/>
        <w:t>Her</w:t>
      </w:r>
      <w:r>
        <w:rPr>
          <w:spacing w:val="26"/>
        </w:rPr>
        <w:t> </w:t>
      </w:r>
      <w:r>
        <w:rPr/>
        <w:t>character</w:t>
      </w:r>
      <w:r>
        <w:rPr>
          <w:spacing w:val="27"/>
        </w:rPr>
        <w:t> </w:t>
      </w:r>
      <w:r>
        <w:rPr/>
        <w:t>demonstrates</w:t>
      </w:r>
      <w:r>
        <w:rPr>
          <w:spacing w:val="24"/>
        </w:rPr>
        <w:t> </w:t>
      </w:r>
      <w:r>
        <w:rPr>
          <w:spacing w:val="-2"/>
        </w:rPr>
        <w:t>that:</w:t>
      </w:r>
    </w:p>
    <w:p>
      <w:pPr>
        <w:pStyle w:val="ListParagraph"/>
        <w:numPr>
          <w:ilvl w:val="1"/>
          <w:numId w:val="92"/>
        </w:numPr>
        <w:tabs>
          <w:tab w:pos="2159" w:val="left" w:leader="none"/>
        </w:tabs>
        <w:spacing w:line="240" w:lineRule="auto" w:before="74" w:after="0"/>
        <w:ind w:left="2159" w:right="0" w:hanging="239"/>
        <w:jc w:val="left"/>
        <w:rPr>
          <w:sz w:val="20"/>
        </w:rPr>
      </w:pPr>
      <w:r>
        <w:rPr>
          <w:sz w:val="20"/>
        </w:rPr>
        <w:t>Human</w:t>
      </w:r>
      <w:r>
        <w:rPr>
          <w:spacing w:val="17"/>
          <w:sz w:val="20"/>
        </w:rPr>
        <w:t> </w:t>
      </w:r>
      <w:r>
        <w:rPr>
          <w:sz w:val="20"/>
        </w:rPr>
        <w:t>desires</w:t>
      </w:r>
      <w:r>
        <w:rPr>
          <w:spacing w:val="19"/>
          <w:sz w:val="20"/>
        </w:rPr>
        <w:t> </w:t>
      </w:r>
      <w:r>
        <w:rPr>
          <w:sz w:val="20"/>
        </w:rPr>
        <w:t>are</w:t>
      </w:r>
      <w:r>
        <w:rPr>
          <w:spacing w:val="18"/>
          <w:sz w:val="20"/>
        </w:rPr>
        <w:t> </w:t>
      </w:r>
      <w:r>
        <w:rPr>
          <w:sz w:val="20"/>
        </w:rPr>
        <w:t>complex</w:t>
      </w:r>
      <w:r>
        <w:rPr>
          <w:spacing w:val="17"/>
          <w:sz w:val="20"/>
        </w:rPr>
        <w:t> </w:t>
      </w:r>
      <w:r>
        <w:rPr>
          <w:sz w:val="20"/>
        </w:rPr>
        <w:t>and</w:t>
      </w:r>
      <w:r>
        <w:rPr>
          <w:spacing w:val="23"/>
          <w:sz w:val="20"/>
        </w:rPr>
        <w:t> </w:t>
      </w:r>
      <w:r>
        <w:rPr>
          <w:sz w:val="20"/>
        </w:rPr>
        <w:t>often</w:t>
      </w:r>
      <w:r>
        <w:rPr>
          <w:spacing w:val="18"/>
          <w:sz w:val="20"/>
        </w:rPr>
        <w:t> </w:t>
      </w:r>
      <w:r>
        <w:rPr>
          <w:spacing w:val="-2"/>
          <w:sz w:val="20"/>
        </w:rPr>
        <w:t>contradictory</w:t>
      </w:r>
    </w:p>
    <w:p>
      <w:pPr>
        <w:pStyle w:val="ListParagraph"/>
        <w:numPr>
          <w:ilvl w:val="1"/>
          <w:numId w:val="92"/>
        </w:numPr>
        <w:tabs>
          <w:tab w:pos="2159" w:val="left" w:leader="none"/>
        </w:tabs>
        <w:spacing w:line="240" w:lineRule="auto" w:before="80" w:after="0"/>
        <w:ind w:left="2159" w:right="0" w:hanging="239"/>
        <w:jc w:val="left"/>
        <w:rPr>
          <w:sz w:val="20"/>
        </w:rPr>
      </w:pPr>
      <w:r>
        <w:rPr>
          <w:sz w:val="20"/>
        </w:rPr>
        <w:t>The</w:t>
      </w:r>
      <w:r>
        <w:rPr>
          <w:spacing w:val="32"/>
          <w:sz w:val="20"/>
        </w:rPr>
        <w:t> </w:t>
      </w:r>
      <w:r>
        <w:rPr>
          <w:sz w:val="20"/>
        </w:rPr>
        <w:t>pursuit</w:t>
      </w:r>
      <w:r>
        <w:rPr>
          <w:spacing w:val="34"/>
          <w:sz w:val="20"/>
        </w:rPr>
        <w:t> </w:t>
      </w:r>
      <w:r>
        <w:rPr>
          <w:sz w:val="20"/>
        </w:rPr>
        <w:t>of</w:t>
      </w:r>
      <w:r>
        <w:rPr>
          <w:spacing w:val="31"/>
          <w:sz w:val="20"/>
        </w:rPr>
        <w:t> </w:t>
      </w:r>
      <w:r>
        <w:rPr>
          <w:sz w:val="20"/>
        </w:rPr>
        <w:t>power</w:t>
      </w:r>
      <w:r>
        <w:rPr>
          <w:spacing w:val="30"/>
          <w:sz w:val="20"/>
        </w:rPr>
        <w:t> </w:t>
      </w:r>
      <w:r>
        <w:rPr>
          <w:sz w:val="20"/>
        </w:rPr>
        <w:t>can</w:t>
      </w:r>
      <w:r>
        <w:rPr>
          <w:spacing w:val="32"/>
          <w:sz w:val="20"/>
        </w:rPr>
        <w:t> </w:t>
      </w:r>
      <w:r>
        <w:rPr>
          <w:sz w:val="20"/>
        </w:rPr>
        <w:t>activate</w:t>
      </w:r>
      <w:r>
        <w:rPr>
          <w:spacing w:val="34"/>
          <w:sz w:val="20"/>
        </w:rPr>
        <w:t> </w:t>
      </w:r>
      <w:r>
        <w:rPr>
          <w:sz w:val="20"/>
        </w:rPr>
        <w:t>destructive</w:t>
      </w:r>
      <w:r>
        <w:rPr>
          <w:spacing w:val="33"/>
          <w:sz w:val="20"/>
        </w:rPr>
        <w:t> </w:t>
      </w:r>
      <w:r>
        <w:rPr>
          <w:spacing w:val="-2"/>
          <w:sz w:val="20"/>
        </w:rPr>
        <w:t>instincts</w:t>
      </w:r>
    </w:p>
    <w:p>
      <w:pPr>
        <w:pStyle w:val="ListParagraph"/>
        <w:numPr>
          <w:ilvl w:val="1"/>
          <w:numId w:val="92"/>
        </w:numPr>
        <w:tabs>
          <w:tab w:pos="2159" w:val="left" w:leader="none"/>
        </w:tabs>
        <w:spacing w:line="312" w:lineRule="auto" w:before="77" w:after="0"/>
        <w:ind w:left="1872" w:right="1439" w:firstLine="48"/>
        <w:jc w:val="left"/>
        <w:rPr>
          <w:sz w:val="20"/>
        </w:rPr>
      </w:pPr>
      <w:r>
        <w:rPr>
          <w:sz w:val="20"/>
        </w:rPr>
        <w:t>Psychological</w:t>
      </w:r>
      <w:r>
        <w:rPr>
          <w:spacing w:val="40"/>
          <w:sz w:val="20"/>
        </w:rPr>
        <w:t> </w:t>
      </w:r>
      <w:r>
        <w:rPr>
          <w:sz w:val="20"/>
        </w:rPr>
        <w:t>tension,</w:t>
      </w:r>
      <w:r>
        <w:rPr>
          <w:spacing w:val="40"/>
          <w:sz w:val="20"/>
        </w:rPr>
        <w:t> </w:t>
      </w:r>
      <w:r>
        <w:rPr>
          <w:sz w:val="20"/>
        </w:rPr>
        <w:t>if</w:t>
      </w:r>
      <w:r>
        <w:rPr>
          <w:spacing w:val="40"/>
          <w:sz w:val="20"/>
        </w:rPr>
        <w:t> </w:t>
      </w:r>
      <w:r>
        <w:rPr>
          <w:sz w:val="20"/>
        </w:rPr>
        <w:t>unresolved,</w:t>
      </w:r>
      <w:r>
        <w:rPr>
          <w:spacing w:val="40"/>
          <w:sz w:val="20"/>
        </w:rPr>
        <w:t> </w:t>
      </w:r>
      <w:r>
        <w:rPr>
          <w:sz w:val="20"/>
        </w:rPr>
        <w:t>leads</w:t>
      </w:r>
      <w:r>
        <w:rPr>
          <w:spacing w:val="40"/>
          <w:sz w:val="20"/>
        </w:rPr>
        <w:t> </w:t>
      </w:r>
      <w:r>
        <w:rPr>
          <w:sz w:val="20"/>
        </w:rPr>
        <w:t>to</w:t>
      </w:r>
      <w:r>
        <w:rPr>
          <w:spacing w:val="40"/>
          <w:sz w:val="20"/>
        </w:rPr>
        <w:t> </w:t>
      </w:r>
      <w:r>
        <w:rPr>
          <w:sz w:val="20"/>
        </w:rPr>
        <w:t>collapse Ultimately,</w:t>
      </w:r>
      <w:r>
        <w:rPr>
          <w:spacing w:val="28"/>
          <w:sz w:val="20"/>
        </w:rPr>
        <w:t> </w:t>
      </w:r>
      <w:r>
        <w:rPr>
          <w:sz w:val="20"/>
        </w:rPr>
        <w:t>Lady</w:t>
      </w:r>
      <w:r>
        <w:rPr>
          <w:spacing w:val="24"/>
          <w:sz w:val="20"/>
        </w:rPr>
        <w:t> </w:t>
      </w:r>
      <w:r>
        <w:rPr>
          <w:sz w:val="20"/>
        </w:rPr>
        <w:t>Macbeth</w:t>
      </w:r>
      <w:r>
        <w:rPr>
          <w:spacing w:val="26"/>
          <w:sz w:val="20"/>
        </w:rPr>
        <w:t> </w:t>
      </w:r>
      <w:r>
        <w:rPr>
          <w:sz w:val="20"/>
        </w:rPr>
        <w:t>embodies</w:t>
      </w:r>
      <w:r>
        <w:rPr>
          <w:spacing w:val="26"/>
          <w:sz w:val="20"/>
        </w:rPr>
        <w:t> </w:t>
      </w:r>
      <w:r>
        <w:rPr>
          <w:sz w:val="20"/>
        </w:rPr>
        <w:t>the</w:t>
      </w:r>
      <w:r>
        <w:rPr>
          <w:spacing w:val="28"/>
          <w:sz w:val="20"/>
        </w:rPr>
        <w:t> </w:t>
      </w:r>
      <w:r>
        <w:rPr>
          <w:sz w:val="20"/>
        </w:rPr>
        <w:t>tragic</w:t>
      </w:r>
      <w:r>
        <w:rPr>
          <w:spacing w:val="29"/>
          <w:sz w:val="20"/>
        </w:rPr>
        <w:t> </w:t>
      </w:r>
      <w:r>
        <w:rPr>
          <w:sz w:val="20"/>
        </w:rPr>
        <w:t>consequences</w:t>
      </w:r>
      <w:r>
        <w:rPr>
          <w:spacing w:val="26"/>
          <w:sz w:val="20"/>
        </w:rPr>
        <w:t> </w:t>
      </w:r>
      <w:r>
        <w:rPr>
          <w:sz w:val="20"/>
        </w:rPr>
        <w:t>of</w:t>
      </w:r>
    </w:p>
    <w:p>
      <w:pPr>
        <w:pStyle w:val="BodyText"/>
        <w:spacing w:line="172" w:lineRule="exact"/>
      </w:pPr>
      <w:r>
        <w:rPr/>
        <w:t>allowing</w:t>
      </w:r>
      <w:r>
        <w:rPr>
          <w:spacing w:val="-11"/>
        </w:rPr>
        <w:t> </w:t>
      </w:r>
      <w:r>
        <w:rPr/>
        <w:t>the</w:t>
      </w:r>
      <w:r>
        <w:rPr>
          <w:spacing w:val="-8"/>
        </w:rPr>
        <w:t> </w:t>
      </w:r>
      <w:r>
        <w:rPr/>
        <w:t>death</w:t>
      </w:r>
      <w:r>
        <w:rPr>
          <w:spacing w:val="-10"/>
        </w:rPr>
        <w:t> </w:t>
      </w:r>
      <w:r>
        <w:rPr/>
        <w:t>drive</w:t>
      </w:r>
      <w:r>
        <w:rPr>
          <w:spacing w:val="-11"/>
        </w:rPr>
        <w:t> </w:t>
      </w:r>
      <w:r>
        <w:rPr/>
        <w:t>to</w:t>
      </w:r>
      <w:r>
        <w:rPr>
          <w:spacing w:val="-9"/>
        </w:rPr>
        <w:t> </w:t>
      </w:r>
      <w:r>
        <w:rPr/>
        <w:t>overpower</w:t>
      </w:r>
      <w:r>
        <w:rPr>
          <w:spacing w:val="-8"/>
        </w:rPr>
        <w:t> </w:t>
      </w:r>
      <w:r>
        <w:rPr/>
        <w:t>the</w:t>
      </w:r>
      <w:r>
        <w:rPr>
          <w:spacing w:val="-11"/>
        </w:rPr>
        <w:t> </w:t>
      </w:r>
      <w:r>
        <w:rPr/>
        <w:t>life</w:t>
      </w:r>
      <w:r>
        <w:rPr>
          <w:spacing w:val="-11"/>
        </w:rPr>
        <w:t> </w:t>
      </w:r>
      <w:r>
        <w:rPr/>
        <w:t>drive,</w:t>
      </w:r>
      <w:r>
        <w:rPr>
          <w:spacing w:val="-10"/>
        </w:rPr>
        <w:t> </w:t>
      </w:r>
      <w:r>
        <w:rPr/>
        <w:t>revealing</w:t>
      </w:r>
      <w:r>
        <w:rPr>
          <w:spacing w:val="-11"/>
        </w:rPr>
        <w:t> </w:t>
      </w:r>
      <w:r>
        <w:rPr/>
        <w:t>the</w:t>
      </w:r>
      <w:r>
        <w:rPr>
          <w:spacing w:val="-10"/>
        </w:rPr>
        <w:t> </w:t>
      </w:r>
      <w:r>
        <w:rPr>
          <w:spacing w:val="-2"/>
        </w:rPr>
        <w:t>fragile</w:t>
      </w:r>
    </w:p>
    <w:p>
      <w:pPr>
        <w:pStyle w:val="BodyText"/>
        <w:spacing w:before="10"/>
      </w:pPr>
      <w:r>
        <w:rPr/>
        <w:t>balance</w:t>
      </w:r>
      <w:r>
        <w:rPr>
          <w:spacing w:val="28"/>
        </w:rPr>
        <w:t> </w:t>
      </w:r>
      <w:r>
        <w:rPr/>
        <w:t>that</w:t>
      </w:r>
      <w:r>
        <w:rPr>
          <w:spacing w:val="31"/>
        </w:rPr>
        <w:t> </w:t>
      </w:r>
      <w:r>
        <w:rPr/>
        <w:t>governs</w:t>
      </w:r>
      <w:r>
        <w:rPr>
          <w:spacing w:val="28"/>
        </w:rPr>
        <w:t> </w:t>
      </w:r>
      <w:r>
        <w:rPr/>
        <w:t>human</w:t>
      </w:r>
      <w:r>
        <w:rPr>
          <w:spacing w:val="31"/>
        </w:rPr>
        <w:t> </w:t>
      </w:r>
      <w:r>
        <w:rPr>
          <w:spacing w:val="-2"/>
        </w:rPr>
        <w:t>existence.</w:t>
      </w:r>
    </w:p>
    <w:p>
      <w:pPr>
        <w:pStyle w:val="Heading3"/>
        <w:spacing w:before="164"/>
      </w:pPr>
      <w:r>
        <w:rPr>
          <w:spacing w:val="-2"/>
          <w:w w:val="95"/>
        </w:rPr>
        <w:t>REFERENCES:</w:t>
      </w:r>
    </w:p>
    <w:p>
      <w:pPr>
        <w:spacing w:line="261" w:lineRule="auto" w:before="82"/>
        <w:ind w:left="2160" w:right="1440" w:hanging="315"/>
        <w:jc w:val="both"/>
        <w:rPr>
          <w:sz w:val="19"/>
        </w:rPr>
      </w:pPr>
      <w:r>
        <w:rPr>
          <w:sz w:val="19"/>
        </w:rPr>
        <w:t>1.</w:t>
      </w:r>
      <w:r>
        <w:rPr>
          <w:spacing w:val="40"/>
          <w:sz w:val="19"/>
        </w:rPr>
        <w:t> </w:t>
      </w:r>
      <w:r>
        <w:rPr>
          <w:sz w:val="19"/>
        </w:rPr>
        <w:t>Lady Macbeth by William Shakespeare, Beyond Principles of Pleasure by Sigmund Freud, Courtesy - Film Critiques - ‘The </w:t>
      </w:r>
      <w:r>
        <w:rPr>
          <w:spacing w:val="-2"/>
          <w:sz w:val="19"/>
        </w:rPr>
        <w:t>Hours’</w:t>
      </w:r>
    </w:p>
    <w:p>
      <w:pPr>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70976">
                <wp:simplePos x="0" y="0"/>
                <wp:positionH relativeFrom="page">
                  <wp:posOffset>2057400</wp:posOffset>
                </wp:positionH>
                <wp:positionV relativeFrom="page">
                  <wp:posOffset>1788723</wp:posOffset>
                </wp:positionV>
                <wp:extent cx="3656965" cy="140335"/>
                <wp:effectExtent l="0" t="0" r="0" b="0"/>
                <wp:wrapNone/>
                <wp:docPr id="841" name="Textbox 841"/>
                <wp:cNvGraphicFramePr>
                  <a:graphicFrameLocks/>
                </wp:cNvGraphicFramePr>
                <a:graphic>
                  <a:graphicData uri="http://schemas.microsoft.com/office/word/2010/wordprocessingShape">
                    <wps:wsp>
                      <wps:cNvPr id="841" name="Textbox 841"/>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442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245504" type="#_x0000_t202" id="docshape833"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442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2"/>
        <w:ind w:left="0"/>
      </w:pPr>
    </w:p>
    <w:p>
      <w:pPr>
        <w:spacing w:line="240" w:lineRule="auto"/>
        <w:ind w:left="1065" w:right="0" w:firstLine="0"/>
        <w:rPr>
          <w:sz w:val="20"/>
        </w:rPr>
      </w:pPr>
      <w:r>
        <w:rPr>
          <w:sz w:val="20"/>
        </w:rPr>
        <mc:AlternateContent>
          <mc:Choice Requires="wps">
            <w:drawing>
              <wp:inline distT="0" distB="0" distL="0" distR="0">
                <wp:extent cx="4044950" cy="699770"/>
                <wp:effectExtent l="0" t="0" r="0" b="0"/>
                <wp:docPr id="842" name="Group 842"/>
                <wp:cNvGraphicFramePr>
                  <a:graphicFrameLocks/>
                </wp:cNvGraphicFramePr>
                <a:graphic>
                  <a:graphicData uri="http://schemas.microsoft.com/office/word/2010/wordprocessingGroup">
                    <wpg:wgp>
                      <wpg:cNvPr id="842" name="Group 842"/>
                      <wpg:cNvGrpSpPr/>
                      <wpg:grpSpPr>
                        <a:xfrm>
                          <a:off x="0" y="0"/>
                          <a:ext cx="4044950" cy="699770"/>
                          <a:chExt cx="4044950" cy="699770"/>
                        </a:xfrm>
                      </wpg:grpSpPr>
                      <wps:wsp>
                        <wps:cNvPr id="843" name="Graphic 843"/>
                        <wps:cNvSpPr/>
                        <wps:spPr>
                          <a:xfrm>
                            <a:off x="0" y="0"/>
                            <a:ext cx="4044950" cy="699770"/>
                          </a:xfrm>
                          <a:custGeom>
                            <a:avLst/>
                            <a:gdLst/>
                            <a:ahLst/>
                            <a:cxnLst/>
                            <a:rect l="l" t="t" r="r" b="b"/>
                            <a:pathLst>
                              <a:path w="4044950" h="699770">
                                <a:moveTo>
                                  <a:pt x="4044695" y="699516"/>
                                </a:moveTo>
                                <a:lnTo>
                                  <a:pt x="0" y="699516"/>
                                </a:lnTo>
                                <a:lnTo>
                                  <a:pt x="0" y="0"/>
                                </a:lnTo>
                                <a:lnTo>
                                  <a:pt x="4044695" y="0"/>
                                </a:lnTo>
                                <a:lnTo>
                                  <a:pt x="4044695"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1pt;mso-position-horizontal-relative:char;mso-position-vertical-relative:line" id="docshapegroup834" coordorigin="0,0" coordsize="6370,1102">
                <v:rect style="position:absolute;left:0;top:0;width:6370;height:1102" id="docshape835"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906816">
                <wp:simplePos x="0" y="0"/>
                <wp:positionH relativeFrom="page">
                  <wp:posOffset>3488435</wp:posOffset>
                </wp:positionH>
                <wp:positionV relativeFrom="paragraph">
                  <wp:posOffset>272922</wp:posOffset>
                </wp:positionV>
                <wp:extent cx="728980" cy="655320"/>
                <wp:effectExtent l="0" t="0" r="0" b="0"/>
                <wp:wrapTopAndBottom/>
                <wp:docPr id="844" name="Group 844"/>
                <wp:cNvGraphicFramePr>
                  <a:graphicFrameLocks/>
                </wp:cNvGraphicFramePr>
                <a:graphic>
                  <a:graphicData uri="http://schemas.microsoft.com/office/word/2010/wordprocessingGroup">
                    <wpg:wgp>
                      <wpg:cNvPr id="844" name="Group 844"/>
                      <wpg:cNvGrpSpPr/>
                      <wpg:grpSpPr>
                        <a:xfrm>
                          <a:off x="0" y="0"/>
                          <a:ext cx="728980" cy="655320"/>
                          <a:chExt cx="728980" cy="655320"/>
                        </a:xfrm>
                      </wpg:grpSpPr>
                      <pic:pic>
                        <pic:nvPicPr>
                          <pic:cNvPr id="845" name="Image 845"/>
                          <pic:cNvPicPr/>
                        </pic:nvPicPr>
                        <pic:blipFill>
                          <a:blip r:embed="rId99" cstate="print"/>
                          <a:stretch>
                            <a:fillRect/>
                          </a:stretch>
                        </pic:blipFill>
                        <pic:spPr>
                          <a:xfrm>
                            <a:off x="0" y="0"/>
                            <a:ext cx="728471" cy="655320"/>
                          </a:xfrm>
                          <a:prstGeom prst="rect">
                            <a:avLst/>
                          </a:prstGeom>
                        </pic:spPr>
                      </pic:pic>
                      <wps:wsp>
                        <wps:cNvPr id="846" name="Textbox 846"/>
                        <wps:cNvSpPr txBox="1"/>
                        <wps:spPr>
                          <a:xfrm>
                            <a:off x="0" y="0"/>
                            <a:ext cx="728980" cy="655320"/>
                          </a:xfrm>
                          <a:prstGeom prst="rect">
                            <a:avLst/>
                          </a:prstGeom>
                        </wps:spPr>
                        <wps:txbx>
                          <w:txbxContent>
                            <w:p>
                              <w:pPr>
                                <w:spacing w:before="350"/>
                                <w:ind w:left="432" w:right="0" w:firstLine="0"/>
                                <w:jc w:val="left"/>
                                <w:rPr>
                                  <w:rFonts w:ascii="Tahoma"/>
                                  <w:b/>
                                  <w:sz w:val="36"/>
                                </w:rPr>
                              </w:pPr>
                              <w:r>
                                <w:rPr>
                                  <w:rFonts w:ascii="Tahoma"/>
                                  <w:b/>
                                  <w:spacing w:val="-5"/>
                                  <w:w w:val="95"/>
                                  <w:sz w:val="36"/>
                                </w:rPr>
                                <w:t>43</w:t>
                              </w:r>
                            </w:p>
                          </w:txbxContent>
                        </wps:txbx>
                        <wps:bodyPr wrap="square" lIns="0" tIns="0" rIns="0" bIns="0" rtlCol="0">
                          <a:noAutofit/>
                        </wps:bodyPr>
                      </wps:wsp>
                    </wpg:wgp>
                  </a:graphicData>
                </a:graphic>
              </wp:anchor>
            </w:drawing>
          </mc:Choice>
          <mc:Fallback>
            <w:pict>
              <v:group style="position:absolute;margin-left:274.679993pt;margin-top:21.489992pt;width:57.4pt;height:51.6pt;mso-position-horizontal-relative:page;mso-position-vertical-relative:paragraph;z-index:-15409664;mso-wrap-distance-left:0;mso-wrap-distance-right:0" id="docshapegroup836" coordorigin="5494,430" coordsize="1148,1032">
                <v:shape style="position:absolute;left:5493;top:429;width:1148;height:1032" type="#_x0000_t75" id="docshape837" stroked="false">
                  <v:imagedata r:id="rId99" o:title=""/>
                </v:shape>
                <v:shape style="position:absolute;left:5493;top:429;width:1148;height:1032" type="#_x0000_t202" id="docshape838" filled="false" stroked="false">
                  <v:textbox inset="0,0,0,0">
                    <w:txbxContent>
                      <w:p>
                        <w:pPr>
                          <w:spacing w:before="350"/>
                          <w:ind w:left="432" w:right="0" w:firstLine="0"/>
                          <w:jc w:val="left"/>
                          <w:rPr>
                            <w:rFonts w:ascii="Tahoma"/>
                            <w:b/>
                            <w:sz w:val="36"/>
                          </w:rPr>
                        </w:pPr>
                        <w:r>
                          <w:rPr>
                            <w:rFonts w:ascii="Tahoma"/>
                            <w:b/>
                            <w:spacing w:val="-5"/>
                            <w:w w:val="95"/>
                            <w:sz w:val="36"/>
                          </w:rPr>
                          <w:t>43</w:t>
                        </w:r>
                      </w:p>
                    </w:txbxContent>
                  </v:textbox>
                  <w10:wrap type="none"/>
                </v:shape>
                <w10:wrap type="topAndBottom"/>
              </v:group>
            </w:pict>
          </mc:Fallback>
        </mc:AlternateContent>
      </w:r>
    </w:p>
    <w:p>
      <w:pPr>
        <w:pStyle w:val="Heading1"/>
        <w:spacing w:line="211" w:lineRule="auto" w:before="4"/>
        <w:ind w:left="1665" w:right="1542" w:firstLine="223"/>
        <w:jc w:val="left"/>
      </w:pPr>
      <w:r>
        <w:rPr/>
        <w:t>Shakespeare</w:t>
      </w:r>
      <w:r>
        <w:rPr>
          <w:spacing w:val="-15"/>
        </w:rPr>
        <w:t> </w:t>
      </w:r>
      <w:r>
        <w:rPr/>
        <w:t>in</w:t>
      </w:r>
      <w:r>
        <w:rPr>
          <w:spacing w:val="-15"/>
        </w:rPr>
        <w:t> </w:t>
      </w:r>
      <w:r>
        <w:rPr/>
        <w:t>Indian</w:t>
      </w:r>
      <w:r>
        <w:rPr>
          <w:spacing w:val="-15"/>
        </w:rPr>
        <w:t> </w:t>
      </w:r>
      <w:r>
        <w:rPr/>
        <w:t>Theatre: A Rich Legacy of Adaptation </w:t>
      </w:r>
      <w:r>
        <w:rPr/>
        <w:t>and</w:t>
      </w:r>
    </w:p>
    <w:p>
      <w:pPr>
        <w:tabs>
          <w:tab w:pos="3239" w:val="left" w:leader="none"/>
          <w:tab w:pos="7199" w:val="left" w:leader="none"/>
        </w:tabs>
        <w:spacing w:line="350" w:lineRule="exact" w:before="0"/>
        <w:ind w:left="1440" w:right="0" w:firstLine="0"/>
        <w:jc w:val="left"/>
        <w:rPr>
          <w:rFonts w:ascii="Tahoma"/>
          <w:b/>
          <w:sz w:val="32"/>
        </w:rPr>
      </w:pPr>
      <w:r>
        <w:rPr>
          <w:sz w:val="32"/>
          <w:u w:val="single"/>
        </w:rPr>
        <w:tab/>
      </w:r>
      <w:r>
        <w:rPr>
          <w:rFonts w:ascii="Tahoma"/>
          <w:b/>
          <w:spacing w:val="-2"/>
          <w:sz w:val="32"/>
          <w:u w:val="single"/>
        </w:rPr>
        <w:t>Indigenization</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907328">
                <wp:simplePos x="0" y="0"/>
                <wp:positionH relativeFrom="page">
                  <wp:posOffset>2057400</wp:posOffset>
                </wp:positionH>
                <wp:positionV relativeFrom="paragraph">
                  <wp:posOffset>60051</wp:posOffset>
                </wp:positionV>
                <wp:extent cx="3657600" cy="7620"/>
                <wp:effectExtent l="0" t="0" r="0" b="0"/>
                <wp:wrapTopAndBottom/>
                <wp:docPr id="847" name="Graphic 847"/>
                <wp:cNvGraphicFramePr>
                  <a:graphicFrameLocks/>
                </wp:cNvGraphicFramePr>
                <a:graphic>
                  <a:graphicData uri="http://schemas.microsoft.com/office/word/2010/wordprocessingShape">
                    <wps:wsp>
                      <wps:cNvPr id="847" name="Graphic 847"/>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8435pt;width:288.000009pt;height:.599991pt;mso-position-horizontal-relative:page;mso-position-vertical-relative:paragraph;z-index:-15409152;mso-wrap-distance-left:0;mso-wrap-distance-right:0" id="docshape839" filled="true" fillcolor="#000000" stroked="false">
                <v:fill type="solid"/>
                <w10:wrap type="topAndBottom"/>
              </v:rect>
            </w:pict>
          </mc:Fallback>
        </mc:AlternateContent>
      </w:r>
    </w:p>
    <w:p>
      <w:pPr>
        <w:pStyle w:val="BodyText"/>
        <w:spacing w:before="13"/>
        <w:ind w:left="0"/>
        <w:rPr>
          <w:rFonts w:ascii="Tahoma"/>
          <w:b/>
          <w:sz w:val="32"/>
        </w:rPr>
      </w:pPr>
    </w:p>
    <w:p>
      <w:pPr>
        <w:spacing w:line="252" w:lineRule="auto" w:before="0"/>
        <w:ind w:left="2745" w:right="1439" w:firstLine="674"/>
        <w:jc w:val="right"/>
        <w:rPr>
          <w:i/>
          <w:sz w:val="19"/>
        </w:rPr>
      </w:pPr>
      <w:r>
        <w:rPr>
          <w:b/>
          <w:i/>
          <w:sz w:val="22"/>
        </w:rPr>
        <w:t>Dr.</w:t>
      </w:r>
      <w:r>
        <w:rPr>
          <w:b/>
          <w:i/>
          <w:spacing w:val="40"/>
          <w:sz w:val="22"/>
        </w:rPr>
        <w:t> </w:t>
      </w:r>
      <w:r>
        <w:rPr>
          <w:b/>
          <w:i/>
          <w:sz w:val="22"/>
        </w:rPr>
        <w:t>Ramesh</w:t>
      </w:r>
      <w:r>
        <w:rPr>
          <w:b/>
          <w:i/>
          <w:spacing w:val="40"/>
          <w:sz w:val="22"/>
        </w:rPr>
        <w:t> </w:t>
      </w:r>
      <w:r>
        <w:rPr>
          <w:b/>
          <w:i/>
          <w:sz w:val="22"/>
        </w:rPr>
        <w:t>Chandra</w:t>
      </w:r>
      <w:r>
        <w:rPr>
          <w:b/>
          <w:i/>
          <w:spacing w:val="40"/>
          <w:sz w:val="22"/>
        </w:rPr>
        <w:t> </w:t>
      </w:r>
      <w:r>
        <w:rPr>
          <w:b/>
          <w:i/>
          <w:sz w:val="22"/>
        </w:rPr>
        <w:t>Srikanth</w:t>
      </w:r>
      <w:r>
        <w:rPr>
          <w:b/>
          <w:i/>
          <w:spacing w:val="40"/>
          <w:sz w:val="22"/>
        </w:rPr>
        <w:t> </w:t>
      </w:r>
      <w:r>
        <w:rPr>
          <w:b/>
          <w:i/>
          <w:sz w:val="22"/>
        </w:rPr>
        <w:t>Nerella </w:t>
      </w:r>
      <w:r>
        <w:rPr>
          <w:i/>
          <w:sz w:val="19"/>
        </w:rPr>
        <w:t>Assistant</w:t>
      </w:r>
      <w:r>
        <w:rPr>
          <w:i/>
          <w:spacing w:val="40"/>
          <w:sz w:val="19"/>
        </w:rPr>
        <w:t> </w:t>
      </w:r>
      <w:r>
        <w:rPr>
          <w:i/>
          <w:sz w:val="19"/>
        </w:rPr>
        <w:t>Professor,</w:t>
      </w:r>
      <w:r>
        <w:rPr>
          <w:i/>
          <w:spacing w:val="40"/>
          <w:sz w:val="19"/>
        </w:rPr>
        <w:t> </w:t>
      </w:r>
      <w:r>
        <w:rPr>
          <w:i/>
          <w:sz w:val="19"/>
        </w:rPr>
        <w:t>Department</w:t>
      </w:r>
      <w:r>
        <w:rPr>
          <w:i/>
          <w:spacing w:val="40"/>
          <w:sz w:val="19"/>
        </w:rPr>
        <w:t> </w:t>
      </w:r>
      <w:r>
        <w:rPr>
          <w:i/>
          <w:sz w:val="19"/>
        </w:rPr>
        <w:t>of</w:t>
      </w:r>
      <w:r>
        <w:rPr>
          <w:i/>
          <w:spacing w:val="40"/>
          <w:sz w:val="19"/>
        </w:rPr>
        <w:t> </w:t>
      </w:r>
      <w:r>
        <w:rPr>
          <w:i/>
          <w:sz w:val="19"/>
        </w:rPr>
        <w:t>English,</w:t>
      </w:r>
      <w:r>
        <w:rPr>
          <w:i/>
          <w:spacing w:val="40"/>
          <w:sz w:val="19"/>
        </w:rPr>
        <w:t> </w:t>
      </w:r>
      <w:r>
        <w:rPr>
          <w:i/>
          <w:sz w:val="19"/>
        </w:rPr>
        <w:t>Kakatiya Government</w:t>
      </w:r>
      <w:r>
        <w:rPr>
          <w:i/>
          <w:spacing w:val="40"/>
          <w:sz w:val="19"/>
        </w:rPr>
        <w:t> </w:t>
      </w:r>
      <w:r>
        <w:rPr>
          <w:i/>
          <w:sz w:val="19"/>
        </w:rPr>
        <w:t>College</w:t>
      </w:r>
      <w:r>
        <w:rPr>
          <w:i/>
          <w:spacing w:val="40"/>
          <w:sz w:val="19"/>
        </w:rPr>
        <w:t> </w:t>
      </w:r>
      <w:r>
        <w:rPr>
          <w:i/>
          <w:sz w:val="19"/>
        </w:rPr>
        <w:t>(A),</w:t>
      </w:r>
      <w:r>
        <w:rPr>
          <w:i/>
          <w:spacing w:val="40"/>
          <w:sz w:val="19"/>
        </w:rPr>
        <w:t> </w:t>
      </w:r>
      <w:r>
        <w:rPr>
          <w:i/>
          <w:sz w:val="19"/>
        </w:rPr>
        <w:t>Hanumakonda</w:t>
      </w:r>
    </w:p>
    <w:p>
      <w:pPr>
        <w:pStyle w:val="BodyText"/>
        <w:spacing w:before="150"/>
        <w:ind w:left="0"/>
        <w:rPr>
          <w:i/>
          <w:sz w:val="19"/>
        </w:rPr>
      </w:pPr>
    </w:p>
    <w:p>
      <w:pPr>
        <w:pStyle w:val="Heading3"/>
        <w:spacing w:before="1"/>
      </w:pPr>
      <w:r>
        <w:rPr>
          <w:spacing w:val="-2"/>
        </w:rPr>
        <w:t>ABSTRACT</w:t>
      </w:r>
    </w:p>
    <w:p>
      <w:pPr>
        <w:pStyle w:val="BodyText"/>
        <w:spacing w:line="249" w:lineRule="auto" w:before="77"/>
        <w:ind w:right="1436" w:firstLine="432"/>
        <w:jc w:val="both"/>
      </w:pPr>
      <w:r>
        <w:rPr/>
        <w:t>This article examines the deep, multifaceted relationship between Shakespearean</w:t>
      </w:r>
      <w:r>
        <w:rPr>
          <w:spacing w:val="-4"/>
        </w:rPr>
        <w:t> </w:t>
      </w:r>
      <w:r>
        <w:rPr/>
        <w:t>drama</w:t>
      </w:r>
      <w:r>
        <w:rPr>
          <w:spacing w:val="-5"/>
        </w:rPr>
        <w:t> </w:t>
      </w:r>
      <w:r>
        <w:rPr/>
        <w:t>and Indian</w:t>
      </w:r>
      <w:r>
        <w:rPr>
          <w:spacing w:val="-4"/>
        </w:rPr>
        <w:t> </w:t>
      </w:r>
      <w:r>
        <w:rPr/>
        <w:t>theatrical</w:t>
      </w:r>
      <w:r>
        <w:rPr>
          <w:spacing w:val="-3"/>
        </w:rPr>
        <w:t> </w:t>
      </w:r>
      <w:r>
        <w:rPr/>
        <w:t>traditions,</w:t>
      </w:r>
      <w:r>
        <w:rPr>
          <w:spacing w:val="-4"/>
        </w:rPr>
        <w:t> </w:t>
      </w:r>
      <w:r>
        <w:rPr/>
        <w:t>tracing</w:t>
      </w:r>
      <w:r>
        <w:rPr>
          <w:spacing w:val="-4"/>
        </w:rPr>
        <w:t> </w:t>
      </w:r>
      <w:r>
        <w:rPr/>
        <w:t>more</w:t>
      </w:r>
      <w:r>
        <w:rPr>
          <w:spacing w:val="-4"/>
        </w:rPr>
        <w:t> </w:t>
      </w:r>
      <w:r>
        <w:rPr/>
        <w:t>than four centuries of creative dialogue between a canonical Western playwright and the diverse performance cultures of the Indian subcontinent. From the colonial era’s pedagogical deployments of </w:t>
      </w:r>
      <w:r>
        <w:rPr>
          <w:spacing w:val="-4"/>
        </w:rPr>
        <w:t>Shakespeare</w:t>
      </w:r>
      <w:r>
        <w:rPr>
          <w:spacing w:val="-6"/>
        </w:rPr>
        <w:t> </w:t>
      </w:r>
      <w:r>
        <w:rPr>
          <w:spacing w:val="-4"/>
        </w:rPr>
        <w:t>in</w:t>
      </w:r>
      <w:r>
        <w:rPr>
          <w:spacing w:val="-9"/>
        </w:rPr>
        <w:t> </w:t>
      </w:r>
      <w:r>
        <w:rPr>
          <w:spacing w:val="-4"/>
        </w:rPr>
        <w:t>Bombay’s</w:t>
      </w:r>
      <w:r>
        <w:rPr>
          <w:spacing w:val="-8"/>
        </w:rPr>
        <w:t> </w:t>
      </w:r>
      <w:r>
        <w:rPr>
          <w:spacing w:val="-4"/>
        </w:rPr>
        <w:t>Grant</w:t>
      </w:r>
      <w:r>
        <w:rPr>
          <w:spacing w:val="-5"/>
        </w:rPr>
        <w:t> </w:t>
      </w:r>
      <w:r>
        <w:rPr>
          <w:spacing w:val="-4"/>
        </w:rPr>
        <w:t>Medical</w:t>
      </w:r>
      <w:r>
        <w:rPr>
          <w:spacing w:val="-8"/>
        </w:rPr>
        <w:t> </w:t>
      </w:r>
      <w:r>
        <w:rPr>
          <w:spacing w:val="-4"/>
        </w:rPr>
        <w:t>College</w:t>
      </w:r>
      <w:r>
        <w:rPr>
          <w:spacing w:val="-6"/>
        </w:rPr>
        <w:t> </w:t>
      </w:r>
      <w:r>
        <w:rPr>
          <w:spacing w:val="-4"/>
        </w:rPr>
        <w:t>theatricals</w:t>
      </w:r>
      <w:r>
        <w:rPr>
          <w:spacing w:val="-6"/>
        </w:rPr>
        <w:t> </w:t>
      </w:r>
      <w:r>
        <w:rPr>
          <w:spacing w:val="-4"/>
        </w:rPr>
        <w:t>and</w:t>
      </w:r>
      <w:r>
        <w:rPr>
          <w:spacing w:val="-6"/>
        </w:rPr>
        <w:t> </w:t>
      </w:r>
      <w:r>
        <w:rPr>
          <w:spacing w:val="-4"/>
        </w:rPr>
        <w:t>Calcutta’s </w:t>
      </w:r>
      <w:r>
        <w:rPr/>
        <w:t>Parsi</w:t>
      </w:r>
      <w:r>
        <w:rPr>
          <w:spacing w:val="-9"/>
        </w:rPr>
        <w:t> </w:t>
      </w:r>
      <w:r>
        <w:rPr/>
        <w:t>theatre</w:t>
      </w:r>
      <w:r>
        <w:rPr>
          <w:spacing w:val="-7"/>
        </w:rPr>
        <w:t> </w:t>
      </w:r>
      <w:r>
        <w:rPr/>
        <w:t>companies</w:t>
      </w:r>
      <w:r>
        <w:rPr>
          <w:spacing w:val="-9"/>
        </w:rPr>
        <w:t> </w:t>
      </w:r>
      <w:r>
        <w:rPr/>
        <w:t>to</w:t>
      </w:r>
      <w:r>
        <w:rPr>
          <w:spacing w:val="-6"/>
        </w:rPr>
        <w:t> </w:t>
      </w:r>
      <w:r>
        <w:rPr/>
        <w:t>the</w:t>
      </w:r>
      <w:r>
        <w:rPr>
          <w:spacing w:val="-9"/>
        </w:rPr>
        <w:t> </w:t>
      </w:r>
      <w:r>
        <w:rPr/>
        <w:t>post-Independence</w:t>
      </w:r>
      <w:r>
        <w:rPr>
          <w:spacing w:val="-7"/>
        </w:rPr>
        <w:t> </w:t>
      </w:r>
      <w:r>
        <w:rPr/>
        <w:t>reinventions</w:t>
      </w:r>
      <w:r>
        <w:rPr>
          <w:spacing w:val="-9"/>
        </w:rPr>
        <w:t> </w:t>
      </w:r>
      <w:r>
        <w:rPr/>
        <w:t>by</w:t>
      </w:r>
      <w:r>
        <w:rPr>
          <w:spacing w:val="-9"/>
        </w:rPr>
        <w:t> </w:t>
      </w:r>
      <w:r>
        <w:rPr/>
        <w:t>Habib Tanvir, Girish Karnad, Utpal Dutt, and B. V. Karanth, Indian theatre practitioners have consistently refused mere imitation. Instead, they have forged an interpretive tradition that transplants Shakespearean plots into indigenous soil, fusing them with folk genres, regional languages,</w:t>
      </w:r>
      <w:r>
        <w:rPr>
          <w:spacing w:val="-13"/>
        </w:rPr>
        <w:t> </w:t>
      </w:r>
      <w:r>
        <w:rPr/>
        <w:t>performance</w:t>
      </w:r>
      <w:r>
        <w:rPr>
          <w:spacing w:val="-12"/>
        </w:rPr>
        <w:t> </w:t>
      </w:r>
      <w:r>
        <w:rPr/>
        <w:t>aesthetics,</w:t>
      </w:r>
      <w:r>
        <w:rPr>
          <w:spacing w:val="-13"/>
        </w:rPr>
        <w:t> </w:t>
      </w:r>
      <w:r>
        <w:rPr/>
        <w:t>and</w:t>
      </w:r>
      <w:r>
        <w:rPr>
          <w:spacing w:val="-12"/>
        </w:rPr>
        <w:t> </w:t>
      </w:r>
      <w:r>
        <w:rPr/>
        <w:t>socio-political</w:t>
      </w:r>
      <w:r>
        <w:rPr>
          <w:spacing w:val="-13"/>
        </w:rPr>
        <w:t> </w:t>
      </w:r>
      <w:r>
        <w:rPr/>
        <w:t>urgencies</w:t>
      </w:r>
      <w:r>
        <w:rPr>
          <w:spacing w:val="-12"/>
        </w:rPr>
        <w:t> </w:t>
      </w:r>
      <w:r>
        <w:rPr/>
        <w:t>specific to</w:t>
      </w:r>
      <w:r>
        <w:rPr>
          <w:spacing w:val="-13"/>
        </w:rPr>
        <w:t> </w:t>
      </w:r>
      <w:r>
        <w:rPr/>
        <w:t>Indian</w:t>
      </w:r>
      <w:r>
        <w:rPr>
          <w:spacing w:val="-12"/>
        </w:rPr>
        <w:t> </w:t>
      </w:r>
      <w:r>
        <w:rPr/>
        <w:t>contexts.</w:t>
      </w:r>
      <w:r>
        <w:rPr>
          <w:spacing w:val="-13"/>
        </w:rPr>
        <w:t> </w:t>
      </w:r>
      <w:r>
        <w:rPr/>
        <w:t>Drawing</w:t>
      </w:r>
      <w:r>
        <w:rPr>
          <w:spacing w:val="-12"/>
        </w:rPr>
        <w:t> </w:t>
      </w:r>
      <w:r>
        <w:rPr/>
        <w:t>on</w:t>
      </w:r>
      <w:r>
        <w:rPr>
          <w:spacing w:val="-13"/>
        </w:rPr>
        <w:t> </w:t>
      </w:r>
      <w:r>
        <w:rPr/>
        <w:t>postcolonial</w:t>
      </w:r>
      <w:r>
        <w:rPr>
          <w:spacing w:val="-12"/>
        </w:rPr>
        <w:t> </w:t>
      </w:r>
      <w:r>
        <w:rPr/>
        <w:t>theory,</w:t>
      </w:r>
      <w:r>
        <w:rPr>
          <w:spacing w:val="-13"/>
        </w:rPr>
        <w:t> </w:t>
      </w:r>
      <w:r>
        <w:rPr/>
        <w:t>performance</w:t>
      </w:r>
      <w:r>
        <w:rPr>
          <w:spacing w:val="-12"/>
        </w:rPr>
        <w:t> </w:t>
      </w:r>
      <w:r>
        <w:rPr/>
        <w:t>studies, and close readings of landmark adaptations, this article argues that the indigenization of Shakespeare in India constitutes neither uncritical reverence</w:t>
      </w:r>
      <w:r>
        <w:rPr>
          <w:spacing w:val="-13"/>
        </w:rPr>
        <w:t> </w:t>
      </w:r>
      <w:r>
        <w:rPr/>
        <w:t>nor</w:t>
      </w:r>
      <w:r>
        <w:rPr>
          <w:spacing w:val="-12"/>
        </w:rPr>
        <w:t> </w:t>
      </w:r>
      <w:r>
        <w:rPr/>
        <w:t>wholesale</w:t>
      </w:r>
      <w:r>
        <w:rPr>
          <w:spacing w:val="-13"/>
        </w:rPr>
        <w:t> </w:t>
      </w:r>
      <w:r>
        <w:rPr/>
        <w:t>rejection,</w:t>
      </w:r>
      <w:r>
        <w:rPr>
          <w:spacing w:val="-12"/>
        </w:rPr>
        <w:t> </w:t>
      </w:r>
      <w:r>
        <w:rPr/>
        <w:t>but</w:t>
      </w:r>
      <w:r>
        <w:rPr>
          <w:spacing w:val="-13"/>
        </w:rPr>
        <w:t> </w:t>
      </w:r>
      <w:r>
        <w:rPr/>
        <w:t>rather</w:t>
      </w:r>
      <w:r>
        <w:rPr>
          <w:spacing w:val="-12"/>
        </w:rPr>
        <w:t> </w:t>
      </w:r>
      <w:r>
        <w:rPr/>
        <w:t>a</w:t>
      </w:r>
      <w:r>
        <w:rPr>
          <w:spacing w:val="-13"/>
        </w:rPr>
        <w:t> </w:t>
      </w:r>
      <w:r>
        <w:rPr/>
        <w:t>dynamic,</w:t>
      </w:r>
      <w:r>
        <w:rPr>
          <w:spacing w:val="-12"/>
        </w:rPr>
        <w:t> </w:t>
      </w:r>
      <w:r>
        <w:rPr/>
        <w:t>dialogic</w:t>
      </w:r>
      <w:r>
        <w:rPr>
          <w:spacing w:val="-13"/>
        </w:rPr>
        <w:t> </w:t>
      </w:r>
      <w:r>
        <w:rPr/>
        <w:t>process through which Indian artists have simultaneously engaged, challenged, and creolized a dominant literary heritage. The article further considers </w:t>
      </w:r>
      <w:r>
        <w:rPr>
          <w:spacing w:val="-4"/>
        </w:rPr>
        <w:t>how</w:t>
      </w:r>
      <w:r>
        <w:rPr>
          <w:spacing w:val="-5"/>
        </w:rPr>
        <w:t> </w:t>
      </w:r>
      <w:r>
        <w:rPr>
          <w:spacing w:val="-4"/>
        </w:rPr>
        <w:t>Shakespeare’s universal</w:t>
      </w:r>
      <w:r>
        <w:rPr>
          <w:spacing w:val="-5"/>
        </w:rPr>
        <w:t> </w:t>
      </w:r>
      <w:r>
        <w:rPr>
          <w:spacing w:val="-4"/>
        </w:rPr>
        <w:t>themes of power, jealousy,</w:t>
      </w:r>
      <w:r>
        <w:rPr>
          <w:spacing w:val="-5"/>
        </w:rPr>
        <w:t> </w:t>
      </w:r>
      <w:r>
        <w:rPr>
          <w:spacing w:val="-4"/>
        </w:rPr>
        <w:t>love, and betrayal </w:t>
      </w:r>
      <w:r>
        <w:rPr/>
        <w:t>resonate</w:t>
      </w:r>
      <w:r>
        <w:rPr>
          <w:spacing w:val="65"/>
          <w:w w:val="150"/>
        </w:rPr>
        <w:t> </w:t>
      </w:r>
      <w:r>
        <w:rPr/>
        <w:t>with</w:t>
      </w:r>
      <w:r>
        <w:rPr>
          <w:spacing w:val="69"/>
          <w:w w:val="150"/>
        </w:rPr>
        <w:t> </w:t>
      </w:r>
      <w:r>
        <w:rPr/>
        <w:t>pre-existing</w:t>
      </w:r>
      <w:r>
        <w:rPr>
          <w:spacing w:val="64"/>
          <w:w w:val="150"/>
        </w:rPr>
        <w:t> </w:t>
      </w:r>
      <w:r>
        <w:rPr/>
        <w:t>motifs</w:t>
      </w:r>
      <w:r>
        <w:rPr>
          <w:spacing w:val="67"/>
          <w:w w:val="150"/>
        </w:rPr>
        <w:t> </w:t>
      </w:r>
      <w:r>
        <w:rPr/>
        <w:t>in</w:t>
      </w:r>
      <w:r>
        <w:rPr>
          <w:spacing w:val="64"/>
          <w:w w:val="150"/>
        </w:rPr>
        <w:t> </w:t>
      </w:r>
      <w:r>
        <w:rPr/>
        <w:t>Sanskrit</w:t>
      </w:r>
      <w:r>
        <w:rPr>
          <w:spacing w:val="67"/>
          <w:w w:val="150"/>
        </w:rPr>
        <w:t> </w:t>
      </w:r>
      <w:r>
        <w:rPr/>
        <w:t>drama,</w:t>
      </w:r>
      <w:r>
        <w:rPr>
          <w:spacing w:val="69"/>
          <w:w w:val="150"/>
        </w:rPr>
        <w:t> </w:t>
      </w:r>
      <w:r>
        <w:rPr>
          <w:spacing w:val="-2"/>
        </w:rPr>
        <w:t>Kathakali,</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08352">
                <wp:simplePos x="0" y="0"/>
                <wp:positionH relativeFrom="page">
                  <wp:posOffset>2065020</wp:posOffset>
                </wp:positionH>
                <wp:positionV relativeFrom="paragraph">
                  <wp:posOffset>795020</wp:posOffset>
                </wp:positionV>
                <wp:extent cx="3657600" cy="12700"/>
                <wp:effectExtent l="0" t="0" r="0" b="0"/>
                <wp:wrapTopAndBottom/>
                <wp:docPr id="848" name="Graphic 848"/>
                <wp:cNvGraphicFramePr>
                  <a:graphicFrameLocks/>
                </wp:cNvGraphicFramePr>
                <a:graphic>
                  <a:graphicData uri="http://schemas.microsoft.com/office/word/2010/wordprocessingShape">
                    <wps:wsp>
                      <wps:cNvPr id="848" name="Graphic 84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08128;mso-wrap-distance-left:0;mso-wrap-distance-right:0" id="docshape840" filled="true" fillcolor="#000000" stroked="false">
                <v:fill type="solid"/>
                <w10:wrap type="topAndBottom"/>
              </v:rect>
            </w:pict>
          </mc:Fallback>
        </mc:AlternateContent>
      </w:r>
      <w:r>
        <w:rPr>
          <w:rFonts w:ascii="Verdana"/>
          <w:sz w:val="18"/>
        </w:rPr>
        <w:t>Shakespeare</w:t>
      </w:r>
      <w:r>
        <w:rPr>
          <w:rFonts w:ascii="Verdana"/>
          <w:spacing w:val="-3"/>
          <w:sz w:val="18"/>
        </w:rPr>
        <w:t> </w:t>
      </w:r>
      <w:r>
        <w:rPr>
          <w:rFonts w:ascii="Verdana"/>
          <w:sz w:val="18"/>
        </w:rPr>
        <w:t>in</w:t>
      </w:r>
      <w:r>
        <w:rPr>
          <w:rFonts w:ascii="Verdana"/>
          <w:spacing w:val="-2"/>
          <w:sz w:val="18"/>
        </w:rPr>
        <w:t> </w:t>
      </w:r>
      <w:r>
        <w:rPr>
          <w:rFonts w:ascii="Verdana"/>
          <w:sz w:val="18"/>
        </w:rPr>
        <w:t>Indian</w:t>
      </w:r>
      <w:r>
        <w:rPr>
          <w:rFonts w:ascii="Verdana"/>
          <w:spacing w:val="-2"/>
          <w:sz w:val="18"/>
        </w:rPr>
        <w:t> </w:t>
      </w:r>
      <w:r>
        <w:rPr>
          <w:rFonts w:ascii="Verdana"/>
          <w:sz w:val="18"/>
        </w:rPr>
        <w:t>Theatre:</w:t>
      </w:r>
      <w:r>
        <w:rPr>
          <w:rFonts w:ascii="Verdana"/>
          <w:spacing w:val="-4"/>
          <w:sz w:val="18"/>
        </w:rPr>
        <w:t> </w:t>
      </w:r>
      <w:r>
        <w:rPr>
          <w:rFonts w:ascii="Verdana"/>
          <w:sz w:val="18"/>
        </w:rPr>
        <w:t>A</w:t>
      </w:r>
      <w:r>
        <w:rPr>
          <w:rFonts w:ascii="Verdana"/>
          <w:spacing w:val="-9"/>
          <w:sz w:val="18"/>
        </w:rPr>
        <w:t> </w:t>
      </w:r>
      <w:r>
        <w:rPr>
          <w:rFonts w:ascii="Verdana"/>
          <w:sz w:val="18"/>
        </w:rPr>
        <w:t>Rich</w:t>
      </w:r>
      <w:r>
        <w:rPr>
          <w:rFonts w:ascii="Verdana"/>
          <w:spacing w:val="-1"/>
          <w:sz w:val="18"/>
        </w:rPr>
        <w:t> </w:t>
      </w:r>
      <w:r>
        <w:rPr>
          <w:rFonts w:ascii="Verdana"/>
          <w:sz w:val="18"/>
        </w:rPr>
        <w:t>Legacy</w:t>
      </w:r>
      <w:r>
        <w:rPr>
          <w:rFonts w:ascii="Verdana"/>
          <w:spacing w:val="-3"/>
          <w:sz w:val="18"/>
        </w:rPr>
        <w:t> </w:t>
      </w:r>
      <w:r>
        <w:rPr>
          <w:rFonts w:ascii="Verdana"/>
          <w:sz w:val="18"/>
        </w:rPr>
        <w:t>of</w:t>
      </w:r>
      <w:r>
        <w:rPr>
          <w:rFonts w:ascii="Verdana"/>
          <w:spacing w:val="-1"/>
          <w:sz w:val="18"/>
        </w:rPr>
        <w:t> </w:t>
      </w:r>
      <w:r>
        <w:rPr>
          <w:rFonts w:ascii="Verdana"/>
          <w:spacing w:val="-5"/>
          <w:sz w:val="18"/>
        </w:rPr>
        <w:t>...</w:t>
      </w:r>
      <w:r>
        <w:rPr>
          <w:sz w:val="18"/>
        </w:rPr>
        <w:tab/>
      </w:r>
      <w:r>
        <w:rPr>
          <w:rFonts w:ascii="Verdana"/>
          <w:spacing w:val="-5"/>
          <w:sz w:val="18"/>
        </w:rPr>
        <w:t>443</w:t>
      </w:r>
    </w:p>
    <w:p>
      <w:pPr>
        <w:pStyle w:val="BodyText"/>
        <w:spacing w:line="249" w:lineRule="auto" w:before="192"/>
        <w:ind w:right="1442"/>
        <w:jc w:val="both"/>
      </w:pPr>
      <w:r>
        <w:rPr/>
        <w:t>Yakshagana,</w:t>
      </w:r>
      <w:r>
        <w:rPr>
          <w:spacing w:val="-8"/>
        </w:rPr>
        <w:t> </w:t>
      </w:r>
      <w:r>
        <w:rPr/>
        <w:t>and</w:t>
      </w:r>
      <w:r>
        <w:rPr>
          <w:spacing w:val="-6"/>
        </w:rPr>
        <w:t> </w:t>
      </w:r>
      <w:r>
        <w:rPr/>
        <w:t>other</w:t>
      </w:r>
      <w:r>
        <w:rPr>
          <w:spacing w:val="-8"/>
        </w:rPr>
        <w:t> </w:t>
      </w:r>
      <w:r>
        <w:rPr/>
        <w:t>classical</w:t>
      </w:r>
      <w:r>
        <w:rPr>
          <w:spacing w:val="-7"/>
        </w:rPr>
        <w:t> </w:t>
      </w:r>
      <w:r>
        <w:rPr/>
        <w:t>forms,</w:t>
      </w:r>
      <w:r>
        <w:rPr>
          <w:spacing w:val="-8"/>
        </w:rPr>
        <w:t> </w:t>
      </w:r>
      <w:r>
        <w:rPr/>
        <w:t>enabling</w:t>
      </w:r>
      <w:r>
        <w:rPr>
          <w:spacing w:val="-8"/>
        </w:rPr>
        <w:t> </w:t>
      </w:r>
      <w:r>
        <w:rPr/>
        <w:t>hybrid</w:t>
      </w:r>
      <w:r>
        <w:rPr>
          <w:spacing w:val="-8"/>
        </w:rPr>
        <w:t> </w:t>
      </w:r>
      <w:r>
        <w:rPr/>
        <w:t>productions</w:t>
      </w:r>
      <w:r>
        <w:rPr>
          <w:spacing w:val="-8"/>
        </w:rPr>
        <w:t> </w:t>
      </w:r>
      <w:r>
        <w:rPr/>
        <w:t>that speak</w:t>
      </w:r>
      <w:r>
        <w:rPr>
          <w:spacing w:val="27"/>
        </w:rPr>
        <w:t> </w:t>
      </w:r>
      <w:r>
        <w:rPr/>
        <w:t>to</w:t>
      </w:r>
      <w:r>
        <w:rPr>
          <w:spacing w:val="29"/>
        </w:rPr>
        <w:t> </w:t>
      </w:r>
      <w:r>
        <w:rPr/>
        <w:t>contemporary Indian</w:t>
      </w:r>
      <w:r>
        <w:rPr>
          <w:spacing w:val="27"/>
        </w:rPr>
        <w:t> </w:t>
      </w:r>
      <w:r>
        <w:rPr/>
        <w:t>audiences</w:t>
      </w:r>
      <w:r>
        <w:rPr>
          <w:spacing w:val="31"/>
        </w:rPr>
        <w:t> </w:t>
      </w:r>
      <w:r>
        <w:rPr/>
        <w:t>in</w:t>
      </w:r>
      <w:r>
        <w:rPr>
          <w:spacing w:val="29"/>
        </w:rPr>
        <w:t> </w:t>
      </w:r>
      <w:r>
        <w:rPr/>
        <w:t>locally meaningful</w:t>
      </w:r>
      <w:r>
        <w:rPr>
          <w:spacing w:val="29"/>
        </w:rPr>
        <w:t> </w:t>
      </w:r>
      <w:r>
        <w:rPr/>
        <w:t>ways.</w:t>
      </w:r>
    </w:p>
    <w:p>
      <w:pPr>
        <w:pStyle w:val="BodyText"/>
        <w:spacing w:line="276" w:lineRule="auto" w:before="74"/>
        <w:ind w:right="1438" w:firstLine="432"/>
        <w:jc w:val="both"/>
      </w:pPr>
      <w:r>
        <w:rPr>
          <w:b/>
        </w:rPr>
        <w:t>Keywords: </w:t>
      </w:r>
      <w:r>
        <w:rPr/>
        <w:t>Shakespeare, Indian theatre, postcolonial adaptation, indigenization, Habib Tanvir,</w:t>
      </w:r>
      <w:r>
        <w:rPr>
          <w:spacing w:val="40"/>
        </w:rPr>
        <w:t> </w:t>
      </w:r>
      <w:r>
        <w:rPr/>
        <w:t>Girish Karnad, Parsi theatre, folk performance, intercultural theatre</w:t>
      </w:r>
    </w:p>
    <w:p>
      <w:pPr>
        <w:pStyle w:val="Heading3"/>
        <w:spacing w:before="157"/>
      </w:pPr>
      <w:r>
        <w:rPr>
          <w:spacing w:val="-2"/>
          <w:w w:val="95"/>
        </w:rPr>
        <w:t>INTRODUCTION</w:t>
      </w:r>
    </w:p>
    <w:p>
      <w:pPr>
        <w:pStyle w:val="BodyText"/>
        <w:spacing w:line="276" w:lineRule="auto" w:before="99"/>
        <w:ind w:right="1437" w:firstLine="432"/>
        <w:jc w:val="both"/>
      </w:pPr>
      <w:r>
        <w:rPr/>
        <w:t>When the British East India Company first brought English theatrical traditions to the shores of the Indian subcontinent in the eighteenth</w:t>
      </w:r>
      <w:r>
        <w:rPr>
          <w:spacing w:val="-13"/>
        </w:rPr>
        <w:t> </w:t>
      </w:r>
      <w:r>
        <w:rPr/>
        <w:t>century,</w:t>
      </w:r>
      <w:r>
        <w:rPr>
          <w:spacing w:val="-12"/>
        </w:rPr>
        <w:t> </w:t>
      </w:r>
      <w:r>
        <w:rPr/>
        <w:t>few</w:t>
      </w:r>
      <w:r>
        <w:rPr>
          <w:spacing w:val="-13"/>
        </w:rPr>
        <w:t> </w:t>
      </w:r>
      <w:r>
        <w:rPr/>
        <w:t>could</w:t>
      </w:r>
      <w:r>
        <w:rPr>
          <w:spacing w:val="-12"/>
        </w:rPr>
        <w:t> </w:t>
      </w:r>
      <w:r>
        <w:rPr/>
        <w:t>have</w:t>
      </w:r>
      <w:r>
        <w:rPr>
          <w:spacing w:val="-11"/>
        </w:rPr>
        <w:t> </w:t>
      </w:r>
      <w:r>
        <w:rPr/>
        <w:t>anticipated</w:t>
      </w:r>
      <w:r>
        <w:rPr>
          <w:spacing w:val="-9"/>
        </w:rPr>
        <w:t> </w:t>
      </w:r>
      <w:r>
        <w:rPr/>
        <w:t>that</w:t>
      </w:r>
      <w:r>
        <w:rPr>
          <w:spacing w:val="-12"/>
        </w:rPr>
        <w:t> </w:t>
      </w:r>
      <w:r>
        <w:rPr/>
        <w:t>the</w:t>
      </w:r>
      <w:r>
        <w:rPr>
          <w:spacing w:val="-11"/>
        </w:rPr>
        <w:t> </w:t>
      </w:r>
      <w:r>
        <w:rPr/>
        <w:t>works</w:t>
      </w:r>
      <w:r>
        <w:rPr>
          <w:spacing w:val="-11"/>
        </w:rPr>
        <w:t> </w:t>
      </w:r>
      <w:r>
        <w:rPr/>
        <w:t>of</w:t>
      </w:r>
      <w:r>
        <w:rPr>
          <w:spacing w:val="-13"/>
        </w:rPr>
        <w:t> </w:t>
      </w:r>
      <w:r>
        <w:rPr/>
        <w:t>William Shakespeare would one day be performed in Chhattisgarhi folk idiom, adapted into Malayalam Kathakali, restaged as Bengali Jatra, or transformed into Kannada Yakshagana. Yet this is precisely what happened. The history of Shakespeare in India is a story not of passive cultural absorption but of active, creative, and frequently subversive appropriation.</w:t>
      </w:r>
      <w:r>
        <w:rPr>
          <w:spacing w:val="-3"/>
        </w:rPr>
        <w:t> </w:t>
      </w:r>
      <w:r>
        <w:rPr/>
        <w:t>Indian</w:t>
      </w:r>
      <w:r>
        <w:rPr>
          <w:spacing w:val="-7"/>
        </w:rPr>
        <w:t> </w:t>
      </w:r>
      <w:r>
        <w:rPr/>
        <w:t>theatre</w:t>
      </w:r>
      <w:r>
        <w:rPr>
          <w:spacing w:val="-4"/>
        </w:rPr>
        <w:t> </w:t>
      </w:r>
      <w:r>
        <w:rPr/>
        <w:t>artists</w:t>
      </w:r>
      <w:r>
        <w:rPr>
          <w:spacing w:val="-5"/>
        </w:rPr>
        <w:t> </w:t>
      </w:r>
      <w:r>
        <w:rPr/>
        <w:t>did</w:t>
      </w:r>
      <w:r>
        <w:rPr>
          <w:spacing w:val="-3"/>
        </w:rPr>
        <w:t> </w:t>
      </w:r>
      <w:r>
        <w:rPr/>
        <w:t>not</w:t>
      </w:r>
      <w:r>
        <w:rPr>
          <w:spacing w:val="-5"/>
        </w:rPr>
        <w:t> </w:t>
      </w:r>
      <w:r>
        <w:rPr/>
        <w:t>merely</w:t>
      </w:r>
      <w:r>
        <w:rPr>
          <w:spacing w:val="-7"/>
        </w:rPr>
        <w:t> </w:t>
      </w:r>
      <w:r>
        <w:rPr/>
        <w:t>receive</w:t>
      </w:r>
      <w:r>
        <w:rPr>
          <w:spacing w:val="-5"/>
        </w:rPr>
        <w:t> </w:t>
      </w:r>
      <w:r>
        <w:rPr/>
        <w:t>Shakespeare; they remade him, arguing with him, questioning him, and ultimately claiming him as raw material for their own aesthetic and ideological </w:t>
      </w:r>
      <w:r>
        <w:rPr>
          <w:spacing w:val="-2"/>
        </w:rPr>
        <w:t>projects.</w:t>
      </w:r>
    </w:p>
    <w:p>
      <w:pPr>
        <w:pStyle w:val="BodyText"/>
        <w:spacing w:line="276" w:lineRule="auto" w:before="52"/>
        <w:ind w:right="1437" w:firstLine="432"/>
        <w:jc w:val="both"/>
      </w:pPr>
      <w:r>
        <w:rPr/>
        <w:t>The scale of this engagement is remarkable. Ania Loomba and Martin</w:t>
      </w:r>
      <w:r>
        <w:rPr>
          <w:spacing w:val="-13"/>
        </w:rPr>
        <w:t> </w:t>
      </w:r>
      <w:r>
        <w:rPr/>
        <w:t>Orkin,</w:t>
      </w:r>
      <w:r>
        <w:rPr>
          <w:spacing w:val="-12"/>
        </w:rPr>
        <w:t> </w:t>
      </w:r>
      <w:r>
        <w:rPr/>
        <w:t>in</w:t>
      </w:r>
      <w:r>
        <w:rPr>
          <w:spacing w:val="-13"/>
        </w:rPr>
        <w:t> </w:t>
      </w:r>
      <w:r>
        <w:rPr/>
        <w:t>their</w:t>
      </w:r>
      <w:r>
        <w:rPr>
          <w:spacing w:val="-12"/>
        </w:rPr>
        <w:t> </w:t>
      </w:r>
      <w:r>
        <w:rPr/>
        <w:t>landmark</w:t>
      </w:r>
      <w:r>
        <w:rPr>
          <w:spacing w:val="-12"/>
        </w:rPr>
        <w:t> </w:t>
      </w:r>
      <w:r>
        <w:rPr/>
        <w:t>collection</w:t>
      </w:r>
      <w:r>
        <w:rPr>
          <w:spacing w:val="-13"/>
        </w:rPr>
        <w:t> </w:t>
      </w:r>
      <w:r>
        <w:rPr/>
        <w:t>Global</w:t>
      </w:r>
      <w:r>
        <w:rPr>
          <w:spacing w:val="-12"/>
        </w:rPr>
        <w:t> </w:t>
      </w:r>
      <w:r>
        <w:rPr/>
        <w:t>Shakespeares,</w:t>
      </w:r>
      <w:r>
        <w:rPr>
          <w:spacing w:val="-11"/>
        </w:rPr>
        <w:t> </w:t>
      </w:r>
      <w:r>
        <w:rPr/>
        <w:t>observe that Shakespeare has become “truly global not because he transcends history and politics but because he has been used in many different histories and politics” (3). Nowhere is this observation more forcefully illustrated than in India, where Shakespeare occupies a contradictory position: simultaneously the product of a colonizing culture and the source of theatrical materials that have been repurposed to critique that very culture, to explore indigenous histories, and to address distinctly Indian social tensions. This article maps the terrain of that engagement across four broad historical periods: the colonial encounter (roughly </w:t>
      </w:r>
      <w:r>
        <w:rPr>
          <w:spacing w:val="-2"/>
        </w:rPr>
        <w:t>1757–1947), the</w:t>
      </w:r>
      <w:r>
        <w:rPr>
          <w:spacing w:val="-5"/>
        </w:rPr>
        <w:t> </w:t>
      </w:r>
      <w:r>
        <w:rPr>
          <w:spacing w:val="-2"/>
        </w:rPr>
        <w:t>early</w:t>
      </w:r>
      <w:r>
        <w:rPr>
          <w:spacing w:val="-5"/>
        </w:rPr>
        <w:t> </w:t>
      </w:r>
      <w:r>
        <w:rPr>
          <w:spacing w:val="-2"/>
        </w:rPr>
        <w:t>post-Independence years</w:t>
      </w:r>
      <w:r>
        <w:rPr>
          <w:spacing w:val="-5"/>
        </w:rPr>
        <w:t> </w:t>
      </w:r>
      <w:r>
        <w:rPr>
          <w:spacing w:val="-2"/>
        </w:rPr>
        <w:t>(1947–1970s), the period </w:t>
      </w:r>
      <w:r>
        <w:rPr/>
        <w:t>of</w:t>
      </w:r>
      <w:r>
        <w:rPr>
          <w:spacing w:val="-4"/>
        </w:rPr>
        <w:t> </w:t>
      </w:r>
      <w:r>
        <w:rPr/>
        <w:t>major</w:t>
      </w:r>
      <w:r>
        <w:rPr>
          <w:spacing w:val="-2"/>
        </w:rPr>
        <w:t> </w:t>
      </w:r>
      <w:r>
        <w:rPr/>
        <w:t>experimental</w:t>
      </w:r>
      <w:r>
        <w:rPr>
          <w:spacing w:val="-2"/>
        </w:rPr>
        <w:t> </w:t>
      </w:r>
      <w:r>
        <w:rPr/>
        <w:t>adaptations</w:t>
      </w:r>
      <w:r>
        <w:rPr>
          <w:spacing w:val="-6"/>
        </w:rPr>
        <w:t> </w:t>
      </w:r>
      <w:r>
        <w:rPr/>
        <w:t>(1970s–2000),</w:t>
      </w:r>
      <w:r>
        <w:rPr>
          <w:spacing w:val="-2"/>
        </w:rPr>
        <w:t> </w:t>
      </w:r>
      <w:r>
        <w:rPr/>
        <w:t>and</w:t>
      </w:r>
      <w:r>
        <w:rPr>
          <w:spacing w:val="-2"/>
        </w:rPr>
        <w:t> </w:t>
      </w:r>
      <w:r>
        <w:rPr/>
        <w:t>the</w:t>
      </w:r>
      <w:r>
        <w:rPr>
          <w:spacing w:val="-3"/>
        </w:rPr>
        <w:t> </w:t>
      </w:r>
      <w:r>
        <w:rPr/>
        <w:t>contemporary global era (2000–present).</w:t>
      </w:r>
      <w:r>
        <w:rPr>
          <w:spacing w:val="-3"/>
        </w:rPr>
        <w:t> </w:t>
      </w:r>
      <w:r>
        <w:rPr/>
        <w:t>Across each period, the article identifies the particular</w:t>
      </w:r>
      <w:r>
        <w:rPr>
          <w:spacing w:val="-7"/>
        </w:rPr>
        <w:t> </w:t>
      </w:r>
      <w:r>
        <w:rPr/>
        <w:t>theatrical,</w:t>
      </w:r>
      <w:r>
        <w:rPr>
          <w:spacing w:val="-9"/>
        </w:rPr>
        <w:t> </w:t>
      </w:r>
      <w:r>
        <w:rPr/>
        <w:t>political,</w:t>
      </w:r>
      <w:r>
        <w:rPr>
          <w:spacing w:val="-7"/>
        </w:rPr>
        <w:t> </w:t>
      </w:r>
      <w:r>
        <w:rPr/>
        <w:t>and</w:t>
      </w:r>
      <w:r>
        <w:rPr>
          <w:spacing w:val="-9"/>
        </w:rPr>
        <w:t> </w:t>
      </w:r>
      <w:r>
        <w:rPr/>
        <w:t>aesthetic</w:t>
      </w:r>
      <w:r>
        <w:rPr>
          <w:spacing w:val="-9"/>
        </w:rPr>
        <w:t> </w:t>
      </w:r>
      <w:r>
        <w:rPr/>
        <w:t>imperatives</w:t>
      </w:r>
      <w:r>
        <w:rPr>
          <w:spacing w:val="-9"/>
        </w:rPr>
        <w:t> </w:t>
      </w:r>
      <w:r>
        <w:rPr/>
        <w:t>that</w:t>
      </w:r>
      <w:r>
        <w:rPr>
          <w:spacing w:val="-11"/>
        </w:rPr>
        <w:t> </w:t>
      </w:r>
      <w:r>
        <w:rPr/>
        <w:t>shaped</w:t>
      </w:r>
      <w:r>
        <w:rPr>
          <w:spacing w:val="-7"/>
        </w:rPr>
        <w:t> </w:t>
      </w:r>
      <w:r>
        <w:rPr/>
        <w:t>how Shakespeare was taken up, transformed, and put to work within Indian performance cultures.</w:t>
      </w:r>
    </w:p>
    <w:p>
      <w:pPr>
        <w:pStyle w:val="BodyText"/>
        <w:spacing w:after="0" w:line="27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08864">
                <wp:simplePos x="0" y="0"/>
                <wp:positionH relativeFrom="page">
                  <wp:posOffset>2057400</wp:posOffset>
                </wp:positionH>
                <wp:positionV relativeFrom="paragraph">
                  <wp:posOffset>162604</wp:posOffset>
                </wp:positionV>
                <wp:extent cx="3657600" cy="12700"/>
                <wp:effectExtent l="0" t="0" r="0" b="0"/>
                <wp:wrapTopAndBottom/>
                <wp:docPr id="849" name="Graphic 849"/>
                <wp:cNvGraphicFramePr>
                  <a:graphicFrameLocks/>
                </wp:cNvGraphicFramePr>
                <a:graphic>
                  <a:graphicData uri="http://schemas.microsoft.com/office/word/2010/wordprocessingShape">
                    <wps:wsp>
                      <wps:cNvPr id="849" name="Graphic 84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07616;mso-wrap-distance-left:0;mso-wrap-distance-right:0" id="docshape841" filled="true" fillcolor="#000000" stroked="false">
                <v:fill type="solid"/>
                <w10:wrap type="topAndBottom"/>
              </v:rect>
            </w:pict>
          </mc:Fallback>
        </mc:AlternateContent>
      </w:r>
      <w:r>
        <w:rPr>
          <w:rFonts w:ascii="Verdana"/>
          <w:spacing w:val="-5"/>
          <w:sz w:val="18"/>
        </w:rPr>
        <w:t>444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ind w:right="1437"/>
      </w:pPr>
      <w:r>
        <w:rPr>
          <w:w w:val="90"/>
        </w:rPr>
        <w:t>COLONIAL</w:t>
      </w:r>
      <w:r>
        <w:rPr>
          <w:spacing w:val="-22"/>
          <w:w w:val="90"/>
        </w:rPr>
        <w:t> </w:t>
      </w:r>
      <w:r>
        <w:rPr>
          <w:w w:val="90"/>
        </w:rPr>
        <w:t>ENCOUNTERS:</w:t>
      </w:r>
      <w:r>
        <w:rPr>
          <w:spacing w:val="-22"/>
          <w:w w:val="90"/>
        </w:rPr>
        <w:t> </w:t>
      </w:r>
      <w:r>
        <w:rPr>
          <w:w w:val="90"/>
        </w:rPr>
        <w:t>SHAKESPEARE</w:t>
      </w:r>
      <w:r>
        <w:rPr>
          <w:spacing w:val="-20"/>
          <w:w w:val="90"/>
        </w:rPr>
        <w:t> </w:t>
      </w:r>
      <w:r>
        <w:rPr>
          <w:w w:val="90"/>
        </w:rPr>
        <w:t>AS</w:t>
      </w:r>
      <w:r>
        <w:rPr>
          <w:spacing w:val="-20"/>
          <w:w w:val="90"/>
        </w:rPr>
        <w:t> </w:t>
      </w:r>
      <w:r>
        <w:rPr>
          <w:w w:val="90"/>
        </w:rPr>
        <w:t>PEDAGOGY </w:t>
      </w:r>
      <w:r>
        <w:rPr>
          <w:spacing w:val="-8"/>
        </w:rPr>
        <w:t>AND</w:t>
      </w:r>
      <w:r>
        <w:rPr>
          <w:spacing w:val="-22"/>
        </w:rPr>
        <w:t> </w:t>
      </w:r>
      <w:r>
        <w:rPr>
          <w:spacing w:val="-8"/>
        </w:rPr>
        <w:t>ENTERTAINMENT</w:t>
      </w:r>
    </w:p>
    <w:p>
      <w:pPr>
        <w:pStyle w:val="BodyText"/>
        <w:spacing w:line="249" w:lineRule="auto" w:before="74"/>
        <w:ind w:right="1438" w:firstLine="432"/>
        <w:jc w:val="both"/>
      </w:pPr>
      <w:r>
        <w:rPr/>
        <w:t>The earliest performances</w:t>
      </w:r>
      <w:r>
        <w:rPr>
          <w:spacing w:val="-1"/>
        </w:rPr>
        <w:t> </w:t>
      </w:r>
      <w:r>
        <w:rPr/>
        <w:t>of</w:t>
      </w:r>
      <w:r>
        <w:rPr>
          <w:spacing w:val="-1"/>
        </w:rPr>
        <w:t> </w:t>
      </w:r>
      <w:r>
        <w:rPr/>
        <w:t>Shakespeare in</w:t>
      </w:r>
      <w:r>
        <w:rPr>
          <w:spacing w:val="-1"/>
        </w:rPr>
        <w:t> </w:t>
      </w:r>
      <w:r>
        <w:rPr/>
        <w:t>India were organized by the British colonial community for their own entertainment. The Calcutta</w:t>
      </w:r>
      <w:r>
        <w:rPr>
          <w:spacing w:val="-8"/>
        </w:rPr>
        <w:t> </w:t>
      </w:r>
      <w:r>
        <w:rPr/>
        <w:t>Theatre,</w:t>
      </w:r>
      <w:r>
        <w:rPr>
          <w:spacing w:val="-9"/>
        </w:rPr>
        <w:t> </w:t>
      </w:r>
      <w:r>
        <w:rPr/>
        <w:t>established</w:t>
      </w:r>
      <w:r>
        <w:rPr>
          <w:spacing w:val="-7"/>
        </w:rPr>
        <w:t> </w:t>
      </w:r>
      <w:r>
        <w:rPr/>
        <w:t>in</w:t>
      </w:r>
      <w:r>
        <w:rPr>
          <w:spacing w:val="-11"/>
        </w:rPr>
        <w:t> </w:t>
      </w:r>
      <w:r>
        <w:rPr/>
        <w:t>1775,</w:t>
      </w:r>
      <w:r>
        <w:rPr>
          <w:spacing w:val="-9"/>
        </w:rPr>
        <w:t> </w:t>
      </w:r>
      <w:r>
        <w:rPr/>
        <w:t>regularly</w:t>
      </w:r>
      <w:r>
        <w:rPr>
          <w:spacing w:val="-12"/>
        </w:rPr>
        <w:t> </w:t>
      </w:r>
      <w:r>
        <w:rPr/>
        <w:t>mounted</w:t>
      </w:r>
      <w:r>
        <w:rPr>
          <w:spacing w:val="-7"/>
        </w:rPr>
        <w:t> </w:t>
      </w:r>
      <w:r>
        <w:rPr/>
        <w:t>Shakespearean productions for European audiences, with little interest in reaching Indian spectators. However, the cultural dynamics shifted dramatically after Macaulay’s infamous Minute on Indian Education in 1835, which placed English literature and Shakespeare in particular at the center of the colonial educational apparatus. Macaulay’s vision sought to create what he called “a class of persons Indian in blood and colour, but English in tastes, in opinions, in morals, and in intellect” (430), and Shakespeare became a primary instrument of this civilizing mission.</w:t>
      </w:r>
    </w:p>
    <w:p>
      <w:pPr>
        <w:pStyle w:val="BodyText"/>
        <w:spacing w:line="249" w:lineRule="auto" w:before="66"/>
        <w:ind w:right="1436" w:firstLine="432"/>
        <w:jc w:val="both"/>
      </w:pPr>
      <w:r>
        <w:rPr/>
        <w:t>Indian intellectuals of the nineteenth century responded to Shakespeare in complex ways. The Bengali bhadralok elite of Calcutta developed a sophisticated appreciation for Shakespearean drama, </w:t>
      </w:r>
      <w:r>
        <w:rPr>
          <w:spacing w:val="-4"/>
        </w:rPr>
        <w:t>producing translations and adaptations that were far from simple imitation. </w:t>
      </w:r>
      <w:r>
        <w:rPr/>
        <w:t>Michael</w:t>
      </w:r>
      <w:r>
        <w:rPr>
          <w:spacing w:val="-9"/>
        </w:rPr>
        <w:t> </w:t>
      </w:r>
      <w:r>
        <w:rPr/>
        <w:t>Madhusudan</w:t>
      </w:r>
      <w:r>
        <w:rPr>
          <w:spacing w:val="-8"/>
        </w:rPr>
        <w:t> </w:t>
      </w:r>
      <w:r>
        <w:rPr/>
        <w:t>Dutt,</w:t>
      </w:r>
      <w:r>
        <w:rPr>
          <w:spacing w:val="-8"/>
        </w:rPr>
        <w:t> </w:t>
      </w:r>
      <w:r>
        <w:rPr/>
        <w:t>one</w:t>
      </w:r>
      <w:r>
        <w:rPr>
          <w:spacing w:val="-8"/>
        </w:rPr>
        <w:t> </w:t>
      </w:r>
      <w:r>
        <w:rPr/>
        <w:t>of</w:t>
      </w:r>
      <w:r>
        <w:rPr>
          <w:spacing w:val="-12"/>
        </w:rPr>
        <w:t> </w:t>
      </w:r>
      <w:r>
        <w:rPr/>
        <w:t>the</w:t>
      </w:r>
      <w:r>
        <w:rPr>
          <w:spacing w:val="-8"/>
        </w:rPr>
        <w:t> </w:t>
      </w:r>
      <w:r>
        <w:rPr/>
        <w:t>most</w:t>
      </w:r>
      <w:r>
        <w:rPr>
          <w:spacing w:val="-9"/>
        </w:rPr>
        <w:t> </w:t>
      </w:r>
      <w:r>
        <w:rPr/>
        <w:t>gifted</w:t>
      </w:r>
      <w:r>
        <w:rPr>
          <w:spacing w:val="-6"/>
        </w:rPr>
        <w:t> </w:t>
      </w:r>
      <w:r>
        <w:rPr/>
        <w:t>poets</w:t>
      </w:r>
      <w:r>
        <w:rPr>
          <w:spacing w:val="-10"/>
        </w:rPr>
        <w:t> </w:t>
      </w:r>
      <w:r>
        <w:rPr/>
        <w:t>and</w:t>
      </w:r>
      <w:r>
        <w:rPr>
          <w:spacing w:val="-6"/>
        </w:rPr>
        <w:t> </w:t>
      </w:r>
      <w:r>
        <w:rPr/>
        <w:t>playwrights of the Bengal Renaissance, was deeply influenced by Shakespeare and by</w:t>
      </w:r>
      <w:r>
        <w:rPr>
          <w:spacing w:val="-5"/>
        </w:rPr>
        <w:t> </w:t>
      </w:r>
      <w:r>
        <w:rPr/>
        <w:t>Western</w:t>
      </w:r>
      <w:r>
        <w:rPr>
          <w:spacing w:val="-2"/>
        </w:rPr>
        <w:t> </w:t>
      </w:r>
      <w:r>
        <w:rPr/>
        <w:t>dramatic conventions.</w:t>
      </w:r>
      <w:r>
        <w:rPr>
          <w:spacing w:val="-5"/>
        </w:rPr>
        <w:t> </w:t>
      </w:r>
      <w:r>
        <w:rPr/>
        <w:t>Yet his 1859 play</w:t>
      </w:r>
      <w:r>
        <w:rPr>
          <w:spacing w:val="-1"/>
        </w:rPr>
        <w:t> </w:t>
      </w:r>
      <w:r>
        <w:rPr>
          <w:i/>
        </w:rPr>
        <w:t>Sermista </w:t>
      </w:r>
      <w:r>
        <w:rPr/>
        <w:t>draws on Indian mythological sources even while deploying techniques learned from</w:t>
      </w:r>
      <w:r>
        <w:rPr>
          <w:spacing w:val="-6"/>
        </w:rPr>
        <w:t> </w:t>
      </w:r>
      <w:r>
        <w:rPr/>
        <w:t>his</w:t>
      </w:r>
      <w:r>
        <w:rPr>
          <w:spacing w:val="-5"/>
        </w:rPr>
        <w:t> </w:t>
      </w:r>
      <w:r>
        <w:rPr/>
        <w:t>Shakespearean</w:t>
      </w:r>
      <w:r>
        <w:rPr>
          <w:spacing w:val="-5"/>
        </w:rPr>
        <w:t> </w:t>
      </w:r>
      <w:r>
        <w:rPr/>
        <w:t>reading,</w:t>
      </w:r>
      <w:r>
        <w:rPr>
          <w:spacing w:val="-5"/>
        </w:rPr>
        <w:t> </w:t>
      </w:r>
      <w:r>
        <w:rPr/>
        <w:t>demonstrating</w:t>
      </w:r>
      <w:r>
        <w:rPr>
          <w:spacing w:val="-5"/>
        </w:rPr>
        <w:t> </w:t>
      </w:r>
      <w:r>
        <w:rPr/>
        <w:t>the</w:t>
      </w:r>
      <w:r>
        <w:rPr>
          <w:spacing w:val="-5"/>
        </w:rPr>
        <w:t> </w:t>
      </w:r>
      <w:r>
        <w:rPr/>
        <w:t>hybridizing</w:t>
      </w:r>
      <w:r>
        <w:rPr>
          <w:spacing w:val="-3"/>
        </w:rPr>
        <w:t> </w:t>
      </w:r>
      <w:r>
        <w:rPr/>
        <w:t>impulse from the very earliest phase of Indian engagement. The Parsi theatre companies of Bombay, which flourished from the 1850s through the early twentieth century, offered a particularly vivid instance of early Shakespearean</w:t>
      </w:r>
      <w:r>
        <w:rPr>
          <w:spacing w:val="-12"/>
        </w:rPr>
        <w:t> </w:t>
      </w:r>
      <w:r>
        <w:rPr/>
        <w:t>adaptation.</w:t>
      </w:r>
      <w:r>
        <w:rPr>
          <w:spacing w:val="-8"/>
        </w:rPr>
        <w:t> </w:t>
      </w:r>
      <w:r>
        <w:rPr/>
        <w:t>Companies</w:t>
      </w:r>
      <w:r>
        <w:rPr>
          <w:spacing w:val="-12"/>
        </w:rPr>
        <w:t> </w:t>
      </w:r>
      <w:r>
        <w:rPr/>
        <w:t>such</w:t>
      </w:r>
      <w:r>
        <w:rPr>
          <w:spacing w:val="-12"/>
        </w:rPr>
        <w:t> </w:t>
      </w:r>
      <w:r>
        <w:rPr/>
        <w:t>as</w:t>
      </w:r>
      <w:r>
        <w:rPr>
          <w:spacing w:val="-13"/>
        </w:rPr>
        <w:t> </w:t>
      </w:r>
      <w:r>
        <w:rPr/>
        <w:t>the</w:t>
      </w:r>
      <w:r>
        <w:rPr>
          <w:spacing w:val="-10"/>
        </w:rPr>
        <w:t> </w:t>
      </w:r>
      <w:r>
        <w:rPr/>
        <w:t>Elphinstone</w:t>
      </w:r>
      <w:r>
        <w:rPr>
          <w:spacing w:val="-11"/>
        </w:rPr>
        <w:t> </w:t>
      </w:r>
      <w:r>
        <w:rPr/>
        <w:t>Dramatic Club and the Victoria Theatrical Company mounted Urdu and Hindi adaptations of </w:t>
      </w:r>
      <w:r>
        <w:rPr>
          <w:i/>
        </w:rPr>
        <w:t>Hamlet, Othello, </w:t>
      </w:r>
      <w:r>
        <w:rPr/>
        <w:t>and </w:t>
      </w:r>
      <w:r>
        <w:rPr>
          <w:i/>
        </w:rPr>
        <w:t>Merchant of Venice </w:t>
      </w:r>
      <w:r>
        <w:rPr/>
        <w:t>that were radically domesticated for popular consumption. These productions incorporated musical numbers, elaborate spectacle, comic interludes, and melodramatic emotional registers drawn from indigenous popular performance traditions.</w:t>
      </w:r>
    </w:p>
    <w:p>
      <w:pPr>
        <w:pStyle w:val="BodyText"/>
        <w:spacing w:line="249" w:lineRule="auto" w:before="76"/>
        <w:ind w:right="1435" w:firstLine="432"/>
        <w:jc w:val="both"/>
      </w:pPr>
      <w:r>
        <w:rPr/>
        <w:t>As Kathryn Hansen notes in her study of Parsi theatre, “the </w:t>
      </w:r>
      <w:r>
        <w:rPr>
          <w:spacing w:val="-2"/>
        </w:rPr>
        <w:t>Shakespearean</w:t>
      </w:r>
      <w:r>
        <w:rPr>
          <w:spacing w:val="-11"/>
        </w:rPr>
        <w:t> </w:t>
      </w:r>
      <w:r>
        <w:rPr>
          <w:spacing w:val="-2"/>
        </w:rPr>
        <w:t>plot-skeleton</w:t>
      </w:r>
      <w:r>
        <w:rPr>
          <w:spacing w:val="-10"/>
        </w:rPr>
        <w:t> </w:t>
      </w:r>
      <w:r>
        <w:rPr>
          <w:spacing w:val="-2"/>
        </w:rPr>
        <w:t>was</w:t>
      </w:r>
      <w:r>
        <w:rPr>
          <w:spacing w:val="-11"/>
        </w:rPr>
        <w:t> </w:t>
      </w:r>
      <w:r>
        <w:rPr>
          <w:spacing w:val="-2"/>
        </w:rPr>
        <w:t>retained</w:t>
      </w:r>
      <w:r>
        <w:rPr>
          <w:spacing w:val="-10"/>
        </w:rPr>
        <w:t> </w:t>
      </w:r>
      <w:r>
        <w:rPr>
          <w:spacing w:val="-2"/>
        </w:rPr>
        <w:t>but</w:t>
      </w:r>
      <w:r>
        <w:rPr>
          <w:spacing w:val="-11"/>
        </w:rPr>
        <w:t> </w:t>
      </w:r>
      <w:r>
        <w:rPr>
          <w:spacing w:val="-2"/>
        </w:rPr>
        <w:t>the</w:t>
      </w:r>
      <w:r>
        <w:rPr>
          <w:spacing w:val="-10"/>
        </w:rPr>
        <w:t> </w:t>
      </w:r>
      <w:r>
        <w:rPr>
          <w:spacing w:val="-2"/>
        </w:rPr>
        <w:t>flesh</w:t>
      </w:r>
      <w:r>
        <w:rPr>
          <w:spacing w:val="-11"/>
        </w:rPr>
        <w:t> </w:t>
      </w:r>
      <w:r>
        <w:rPr>
          <w:spacing w:val="-2"/>
        </w:rPr>
        <w:t>of</w:t>
      </w:r>
      <w:r>
        <w:rPr>
          <w:spacing w:val="-10"/>
        </w:rPr>
        <w:t> </w:t>
      </w:r>
      <w:r>
        <w:rPr>
          <w:spacing w:val="-2"/>
        </w:rPr>
        <w:t>the</w:t>
      </w:r>
      <w:r>
        <w:rPr>
          <w:spacing w:val="-11"/>
        </w:rPr>
        <w:t> </w:t>
      </w:r>
      <w:r>
        <w:rPr>
          <w:spacing w:val="-2"/>
        </w:rPr>
        <w:t>performance </w:t>
      </w:r>
      <w:r>
        <w:rPr/>
        <w:t>was unmistakably local” (62). These adaptations were frequently criticized by the colonial educational establishment for their perceived vulgarity and their departures from the Shakespearean text, but their immense popularity with Indian audiences demonstrated precisely the kind</w:t>
      </w:r>
      <w:r>
        <w:rPr>
          <w:spacing w:val="27"/>
        </w:rPr>
        <w:t> </w:t>
      </w:r>
      <w:r>
        <w:rPr/>
        <w:t>of</w:t>
      </w:r>
      <w:r>
        <w:rPr>
          <w:spacing w:val="22"/>
        </w:rPr>
        <w:t> </w:t>
      </w:r>
      <w:r>
        <w:rPr/>
        <w:t>cultural</w:t>
      </w:r>
      <w:r>
        <w:rPr>
          <w:spacing w:val="25"/>
        </w:rPr>
        <w:t> </w:t>
      </w:r>
      <w:r>
        <w:rPr/>
        <w:t>agency</w:t>
      </w:r>
      <w:r>
        <w:rPr>
          <w:spacing w:val="22"/>
        </w:rPr>
        <w:t> </w:t>
      </w:r>
      <w:r>
        <w:rPr/>
        <w:t>that</w:t>
      </w:r>
      <w:r>
        <w:rPr>
          <w:spacing w:val="25"/>
        </w:rPr>
        <w:t> </w:t>
      </w:r>
      <w:r>
        <w:rPr/>
        <w:t>the</w:t>
      </w:r>
      <w:r>
        <w:rPr>
          <w:spacing w:val="25"/>
        </w:rPr>
        <w:t> </w:t>
      </w:r>
      <w:r>
        <w:rPr/>
        <w:t>colonial</w:t>
      </w:r>
      <w:r>
        <w:rPr>
          <w:spacing w:val="25"/>
        </w:rPr>
        <w:t> </w:t>
      </w:r>
      <w:r>
        <w:rPr/>
        <w:t>project</w:t>
      </w:r>
      <w:r>
        <w:rPr>
          <w:spacing w:val="24"/>
        </w:rPr>
        <w:t> </w:t>
      </w:r>
      <w:r>
        <w:rPr/>
        <w:t>sought</w:t>
      </w:r>
      <w:r>
        <w:rPr>
          <w:spacing w:val="25"/>
        </w:rPr>
        <w:t> </w:t>
      </w:r>
      <w:r>
        <w:rPr/>
        <w:t>to</w:t>
      </w:r>
      <w:r>
        <w:rPr>
          <w:spacing w:val="26"/>
        </w:rPr>
        <w:t> </w:t>
      </w:r>
      <w:r>
        <w:rPr/>
        <w:t>deny.</w:t>
      </w:r>
      <w:r>
        <w:rPr>
          <w:spacing w:val="25"/>
        </w:rPr>
        <w:t> </w:t>
      </w:r>
      <w:r>
        <w:rPr/>
        <w:t>It</w:t>
      </w:r>
      <w:r>
        <w:rPr>
          <w:spacing w:val="24"/>
        </w:rPr>
        <w:t> </w:t>
      </w:r>
      <w:r>
        <w:rPr>
          <w:spacing w:val="-5"/>
        </w:rPr>
        <w:t>is</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09376">
                <wp:simplePos x="0" y="0"/>
                <wp:positionH relativeFrom="page">
                  <wp:posOffset>2065020</wp:posOffset>
                </wp:positionH>
                <wp:positionV relativeFrom="paragraph">
                  <wp:posOffset>795020</wp:posOffset>
                </wp:positionV>
                <wp:extent cx="3657600" cy="12700"/>
                <wp:effectExtent l="0" t="0" r="0" b="0"/>
                <wp:wrapTopAndBottom/>
                <wp:docPr id="850" name="Graphic 850"/>
                <wp:cNvGraphicFramePr>
                  <a:graphicFrameLocks/>
                </wp:cNvGraphicFramePr>
                <a:graphic>
                  <a:graphicData uri="http://schemas.microsoft.com/office/word/2010/wordprocessingShape">
                    <wps:wsp>
                      <wps:cNvPr id="850" name="Graphic 85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07104;mso-wrap-distance-left:0;mso-wrap-distance-right:0" id="docshape842" filled="true" fillcolor="#000000" stroked="false">
                <v:fill type="solid"/>
                <w10:wrap type="topAndBottom"/>
              </v:rect>
            </w:pict>
          </mc:Fallback>
        </mc:AlternateContent>
      </w:r>
      <w:r>
        <w:rPr>
          <w:rFonts w:ascii="Verdana"/>
          <w:sz w:val="18"/>
        </w:rPr>
        <w:t>Shakespeare</w:t>
      </w:r>
      <w:r>
        <w:rPr>
          <w:rFonts w:ascii="Verdana"/>
          <w:spacing w:val="-3"/>
          <w:sz w:val="18"/>
        </w:rPr>
        <w:t> </w:t>
      </w:r>
      <w:r>
        <w:rPr>
          <w:rFonts w:ascii="Verdana"/>
          <w:sz w:val="18"/>
        </w:rPr>
        <w:t>in</w:t>
      </w:r>
      <w:r>
        <w:rPr>
          <w:rFonts w:ascii="Verdana"/>
          <w:spacing w:val="-2"/>
          <w:sz w:val="18"/>
        </w:rPr>
        <w:t> </w:t>
      </w:r>
      <w:r>
        <w:rPr>
          <w:rFonts w:ascii="Verdana"/>
          <w:sz w:val="18"/>
        </w:rPr>
        <w:t>Indian</w:t>
      </w:r>
      <w:r>
        <w:rPr>
          <w:rFonts w:ascii="Verdana"/>
          <w:spacing w:val="-2"/>
          <w:sz w:val="18"/>
        </w:rPr>
        <w:t> </w:t>
      </w:r>
      <w:r>
        <w:rPr>
          <w:rFonts w:ascii="Verdana"/>
          <w:sz w:val="18"/>
        </w:rPr>
        <w:t>Theatre:</w:t>
      </w:r>
      <w:r>
        <w:rPr>
          <w:rFonts w:ascii="Verdana"/>
          <w:spacing w:val="-4"/>
          <w:sz w:val="18"/>
        </w:rPr>
        <w:t> </w:t>
      </w:r>
      <w:r>
        <w:rPr>
          <w:rFonts w:ascii="Verdana"/>
          <w:sz w:val="18"/>
        </w:rPr>
        <w:t>A</w:t>
      </w:r>
      <w:r>
        <w:rPr>
          <w:rFonts w:ascii="Verdana"/>
          <w:spacing w:val="-9"/>
          <w:sz w:val="18"/>
        </w:rPr>
        <w:t> </w:t>
      </w:r>
      <w:r>
        <w:rPr>
          <w:rFonts w:ascii="Verdana"/>
          <w:sz w:val="18"/>
        </w:rPr>
        <w:t>Rich</w:t>
      </w:r>
      <w:r>
        <w:rPr>
          <w:rFonts w:ascii="Verdana"/>
          <w:spacing w:val="-1"/>
          <w:sz w:val="18"/>
        </w:rPr>
        <w:t> </w:t>
      </w:r>
      <w:r>
        <w:rPr>
          <w:rFonts w:ascii="Verdana"/>
          <w:sz w:val="18"/>
        </w:rPr>
        <w:t>Legacy</w:t>
      </w:r>
      <w:r>
        <w:rPr>
          <w:rFonts w:ascii="Verdana"/>
          <w:spacing w:val="-3"/>
          <w:sz w:val="18"/>
        </w:rPr>
        <w:t> </w:t>
      </w:r>
      <w:r>
        <w:rPr>
          <w:rFonts w:ascii="Verdana"/>
          <w:sz w:val="18"/>
        </w:rPr>
        <w:t>of</w:t>
      </w:r>
      <w:r>
        <w:rPr>
          <w:rFonts w:ascii="Verdana"/>
          <w:spacing w:val="-1"/>
          <w:sz w:val="18"/>
        </w:rPr>
        <w:t> </w:t>
      </w:r>
      <w:r>
        <w:rPr>
          <w:rFonts w:ascii="Verdana"/>
          <w:spacing w:val="-5"/>
          <w:sz w:val="18"/>
        </w:rPr>
        <w:t>...</w:t>
      </w:r>
      <w:r>
        <w:rPr>
          <w:sz w:val="18"/>
        </w:rPr>
        <w:tab/>
      </w:r>
      <w:r>
        <w:rPr>
          <w:rFonts w:ascii="Verdana"/>
          <w:spacing w:val="-5"/>
          <w:sz w:val="18"/>
        </w:rPr>
        <w:t>445</w:t>
      </w:r>
    </w:p>
    <w:p>
      <w:pPr>
        <w:pStyle w:val="BodyText"/>
        <w:spacing w:line="249" w:lineRule="auto" w:before="192"/>
        <w:ind w:right="1439"/>
        <w:jc w:val="both"/>
      </w:pPr>
      <w:r>
        <w:rPr/>
        <w:t>worth noting that even in this early colonial period, the relationship between Indian practitioners and Shakespeare was never simply one of reverence. The Bengali playwright and actor Girish Chandra Ghosh staged</w:t>
      </w:r>
      <w:r>
        <w:rPr>
          <w:spacing w:val="24"/>
        </w:rPr>
        <w:t> </w:t>
      </w:r>
      <w:r>
        <w:rPr/>
        <w:t>numerous Shakespearean plays</w:t>
      </w:r>
      <w:r>
        <w:rPr>
          <w:spacing w:val="24"/>
        </w:rPr>
        <w:t> </w:t>
      </w:r>
      <w:r>
        <w:rPr/>
        <w:t>at the</w:t>
      </w:r>
      <w:r>
        <w:rPr>
          <w:spacing w:val="24"/>
        </w:rPr>
        <w:t> </w:t>
      </w:r>
      <w:r>
        <w:rPr/>
        <w:t>Star</w:t>
      </w:r>
      <w:r>
        <w:rPr>
          <w:spacing w:val="25"/>
        </w:rPr>
        <w:t> </w:t>
      </w:r>
      <w:r>
        <w:rPr/>
        <w:t>Theatre</w:t>
      </w:r>
      <w:r>
        <w:rPr>
          <w:spacing w:val="24"/>
        </w:rPr>
        <w:t> </w:t>
      </w:r>
      <w:r>
        <w:rPr/>
        <w:t>in Calcutta in</w:t>
      </w:r>
      <w:r>
        <w:rPr>
          <w:spacing w:val="-6"/>
        </w:rPr>
        <w:t> </w:t>
      </w:r>
      <w:r>
        <w:rPr/>
        <w:t>the</w:t>
      </w:r>
      <w:r>
        <w:rPr>
          <w:spacing w:val="-5"/>
        </w:rPr>
        <w:t> </w:t>
      </w:r>
      <w:r>
        <w:rPr/>
        <w:t>1880s</w:t>
      </w:r>
      <w:r>
        <w:rPr>
          <w:spacing w:val="-4"/>
        </w:rPr>
        <w:t> </w:t>
      </w:r>
      <w:r>
        <w:rPr/>
        <w:t>and</w:t>
      </w:r>
      <w:r>
        <w:rPr>
          <w:spacing w:val="-4"/>
        </w:rPr>
        <w:t> </w:t>
      </w:r>
      <w:r>
        <w:rPr/>
        <w:t>1890s,</w:t>
      </w:r>
      <w:r>
        <w:rPr>
          <w:spacing w:val="-6"/>
        </w:rPr>
        <w:t> </w:t>
      </w:r>
      <w:r>
        <w:rPr/>
        <w:t>adapting</w:t>
      </w:r>
      <w:r>
        <w:rPr>
          <w:spacing w:val="-6"/>
        </w:rPr>
        <w:t> </w:t>
      </w:r>
      <w:r>
        <w:rPr/>
        <w:t>them</w:t>
      </w:r>
      <w:r>
        <w:rPr>
          <w:spacing w:val="-9"/>
        </w:rPr>
        <w:t> </w:t>
      </w:r>
      <w:r>
        <w:rPr/>
        <w:t>to</w:t>
      </w:r>
      <w:r>
        <w:rPr>
          <w:spacing w:val="-3"/>
        </w:rPr>
        <w:t> </w:t>
      </w:r>
      <w:r>
        <w:rPr/>
        <w:t>Bengali</w:t>
      </w:r>
      <w:r>
        <w:rPr>
          <w:spacing w:val="-6"/>
        </w:rPr>
        <w:t> </w:t>
      </w:r>
      <w:r>
        <w:rPr/>
        <w:t>theatrical</w:t>
      </w:r>
      <w:r>
        <w:rPr>
          <w:spacing w:val="-5"/>
        </w:rPr>
        <w:t> </w:t>
      </w:r>
      <w:r>
        <w:rPr/>
        <w:t>conventions and</w:t>
      </w:r>
      <w:r>
        <w:rPr>
          <w:spacing w:val="-6"/>
        </w:rPr>
        <w:t> </w:t>
      </w:r>
      <w:r>
        <w:rPr/>
        <w:t>infusing</w:t>
      </w:r>
      <w:r>
        <w:rPr>
          <w:spacing w:val="-9"/>
        </w:rPr>
        <w:t> </w:t>
      </w:r>
      <w:r>
        <w:rPr/>
        <w:t>them</w:t>
      </w:r>
      <w:r>
        <w:rPr>
          <w:spacing w:val="-10"/>
        </w:rPr>
        <w:t> </w:t>
      </w:r>
      <w:r>
        <w:rPr/>
        <w:t>with</w:t>
      </w:r>
      <w:r>
        <w:rPr>
          <w:spacing w:val="-7"/>
        </w:rPr>
        <w:t> </w:t>
      </w:r>
      <w:r>
        <w:rPr/>
        <w:t>distinctly</w:t>
      </w:r>
      <w:r>
        <w:rPr>
          <w:spacing w:val="-12"/>
        </w:rPr>
        <w:t> </w:t>
      </w:r>
      <w:r>
        <w:rPr/>
        <w:t>Indian</w:t>
      </w:r>
      <w:r>
        <w:rPr>
          <w:spacing w:val="-7"/>
        </w:rPr>
        <w:t> </w:t>
      </w:r>
      <w:r>
        <w:rPr/>
        <w:t>emotional</w:t>
      </w:r>
      <w:r>
        <w:rPr>
          <w:spacing w:val="-7"/>
        </w:rPr>
        <w:t> </w:t>
      </w:r>
      <w:r>
        <w:rPr/>
        <w:t>and</w:t>
      </w:r>
      <w:r>
        <w:rPr>
          <w:spacing w:val="-7"/>
        </w:rPr>
        <w:t> </w:t>
      </w:r>
      <w:r>
        <w:rPr/>
        <w:t>spiritual</w:t>
      </w:r>
      <w:r>
        <w:rPr>
          <w:spacing w:val="-6"/>
        </w:rPr>
        <w:t> </w:t>
      </w:r>
      <w:r>
        <w:rPr/>
        <w:t>content. His productions of </w:t>
      </w:r>
      <w:r>
        <w:rPr>
          <w:i/>
        </w:rPr>
        <w:t>Macbeth </w:t>
      </w:r>
      <w:r>
        <w:rPr/>
        <w:t>and </w:t>
      </w:r>
      <w:r>
        <w:rPr>
          <w:i/>
        </w:rPr>
        <w:t>Othello </w:t>
      </w:r>
      <w:r>
        <w:rPr/>
        <w:t>were celebrated for their psychological intensity, for Ghosh’s own extraordinary acting, which </w:t>
      </w:r>
      <w:r>
        <w:rPr>
          <w:spacing w:val="-2"/>
        </w:rPr>
        <w:t>implicitly</w:t>
      </w:r>
      <w:r>
        <w:rPr>
          <w:spacing w:val="-9"/>
        </w:rPr>
        <w:t> </w:t>
      </w:r>
      <w:r>
        <w:rPr>
          <w:spacing w:val="-2"/>
        </w:rPr>
        <w:t>challenged</w:t>
      </w:r>
      <w:r>
        <w:rPr>
          <w:spacing w:val="-4"/>
        </w:rPr>
        <w:t> </w:t>
      </w:r>
      <w:r>
        <w:rPr>
          <w:spacing w:val="-2"/>
        </w:rPr>
        <w:t>the</w:t>
      </w:r>
      <w:r>
        <w:rPr>
          <w:spacing w:val="-4"/>
        </w:rPr>
        <w:t> </w:t>
      </w:r>
      <w:r>
        <w:rPr>
          <w:spacing w:val="-2"/>
        </w:rPr>
        <w:t>the</w:t>
      </w:r>
      <w:r>
        <w:rPr>
          <w:spacing w:val="-7"/>
        </w:rPr>
        <w:t> </w:t>
      </w:r>
      <w:r>
        <w:rPr>
          <w:spacing w:val="-2"/>
        </w:rPr>
        <w:t>hierarchy</w:t>
      </w:r>
      <w:r>
        <w:rPr>
          <w:spacing w:val="-7"/>
        </w:rPr>
        <w:t> </w:t>
      </w:r>
      <w:r>
        <w:rPr>
          <w:spacing w:val="-2"/>
        </w:rPr>
        <w:t>that</w:t>
      </w:r>
      <w:r>
        <w:rPr>
          <w:spacing w:val="-3"/>
        </w:rPr>
        <w:t> </w:t>
      </w:r>
      <w:r>
        <w:rPr>
          <w:spacing w:val="-2"/>
        </w:rPr>
        <w:t>placed European</w:t>
      </w:r>
      <w:r>
        <w:rPr>
          <w:spacing w:val="-4"/>
        </w:rPr>
        <w:t> </w:t>
      </w:r>
      <w:r>
        <w:rPr>
          <w:spacing w:val="-2"/>
        </w:rPr>
        <w:t>performance </w:t>
      </w:r>
      <w:r>
        <w:rPr/>
        <w:t>above</w:t>
      </w:r>
      <w:r>
        <w:rPr>
          <w:spacing w:val="40"/>
        </w:rPr>
        <w:t> </w:t>
      </w:r>
      <w:r>
        <w:rPr/>
        <w:t>Indian.</w:t>
      </w:r>
    </w:p>
    <w:p>
      <w:pPr>
        <w:pStyle w:val="Heading3"/>
        <w:spacing w:before="162"/>
        <w:ind w:right="1447"/>
        <w:jc w:val="both"/>
      </w:pPr>
      <w:r>
        <w:rPr>
          <w:w w:val="90"/>
        </w:rPr>
        <w:t>POST-INDEPENDENCE RECONFIGURATIONS: </w:t>
      </w:r>
      <w:r>
        <w:rPr>
          <w:w w:val="90"/>
        </w:rPr>
        <w:t>NATION, </w:t>
      </w:r>
      <w:r>
        <w:rPr>
          <w:spacing w:val="-2"/>
        </w:rPr>
        <w:t>MODERNITY</w:t>
      </w:r>
    </w:p>
    <w:p>
      <w:pPr>
        <w:pStyle w:val="BodyText"/>
        <w:spacing w:line="249" w:lineRule="auto" w:before="74"/>
        <w:ind w:right="1440" w:firstLine="432"/>
        <w:jc w:val="both"/>
      </w:pPr>
      <w:r>
        <w:rPr/>
        <w:t>The</w:t>
      </w:r>
      <w:r>
        <w:rPr>
          <w:spacing w:val="-7"/>
        </w:rPr>
        <w:t> </w:t>
      </w:r>
      <w:r>
        <w:rPr/>
        <w:t>achievement</w:t>
      </w:r>
      <w:r>
        <w:rPr>
          <w:spacing w:val="-10"/>
        </w:rPr>
        <w:t> </w:t>
      </w:r>
      <w:r>
        <w:rPr/>
        <w:t>of</w:t>
      </w:r>
      <w:r>
        <w:rPr>
          <w:spacing w:val="-10"/>
        </w:rPr>
        <w:t> </w:t>
      </w:r>
      <w:r>
        <w:rPr/>
        <w:t>Indian</w:t>
      </w:r>
      <w:r>
        <w:rPr>
          <w:spacing w:val="-10"/>
        </w:rPr>
        <w:t> </w:t>
      </w:r>
      <w:r>
        <w:rPr/>
        <w:t>independence</w:t>
      </w:r>
      <w:r>
        <w:rPr>
          <w:spacing w:val="-10"/>
        </w:rPr>
        <w:t> </w:t>
      </w:r>
      <w:r>
        <w:rPr/>
        <w:t>in</w:t>
      </w:r>
      <w:r>
        <w:rPr>
          <w:spacing w:val="-10"/>
        </w:rPr>
        <w:t> </w:t>
      </w:r>
      <w:r>
        <w:rPr/>
        <w:t>1947</w:t>
      </w:r>
      <w:r>
        <w:rPr>
          <w:spacing w:val="-8"/>
        </w:rPr>
        <w:t> </w:t>
      </w:r>
      <w:r>
        <w:rPr/>
        <w:t>created</w:t>
      </w:r>
      <w:r>
        <w:rPr>
          <w:spacing w:val="-6"/>
        </w:rPr>
        <w:t> </w:t>
      </w:r>
      <w:r>
        <w:rPr/>
        <w:t>a</w:t>
      </w:r>
      <w:r>
        <w:rPr>
          <w:spacing w:val="-9"/>
        </w:rPr>
        <w:t> </w:t>
      </w:r>
      <w:r>
        <w:rPr/>
        <w:t>new</w:t>
      </w:r>
      <w:r>
        <w:rPr>
          <w:spacing w:val="-12"/>
        </w:rPr>
        <w:t> </w:t>
      </w:r>
      <w:r>
        <w:rPr/>
        <w:t>set of cultural imperatives. The new Indian nation needed to define itself</w:t>
      </w:r>
      <w:r>
        <w:rPr>
          <w:spacing w:val="80"/>
        </w:rPr>
        <w:t> </w:t>
      </w:r>
      <w:r>
        <w:rPr/>
        <w:t>in relation to its colonial past, and Shakespeare occupied an awkward position</w:t>
      </w:r>
      <w:r>
        <w:rPr>
          <w:spacing w:val="-6"/>
        </w:rPr>
        <w:t> </w:t>
      </w:r>
      <w:r>
        <w:rPr/>
        <w:t>in</w:t>
      </w:r>
      <w:r>
        <w:rPr>
          <w:spacing w:val="-6"/>
        </w:rPr>
        <w:t> </w:t>
      </w:r>
      <w:r>
        <w:rPr/>
        <w:t>that</w:t>
      </w:r>
      <w:r>
        <w:rPr>
          <w:spacing w:val="-6"/>
        </w:rPr>
        <w:t> </w:t>
      </w:r>
      <w:r>
        <w:rPr/>
        <w:t>process.</w:t>
      </w:r>
      <w:r>
        <w:rPr>
          <w:spacing w:val="-6"/>
        </w:rPr>
        <w:t> </w:t>
      </w:r>
      <w:r>
        <w:rPr/>
        <w:t>On</w:t>
      </w:r>
      <w:r>
        <w:rPr>
          <w:spacing w:val="-6"/>
        </w:rPr>
        <w:t> </w:t>
      </w:r>
      <w:r>
        <w:rPr/>
        <w:t>the</w:t>
      </w:r>
      <w:r>
        <w:rPr>
          <w:spacing w:val="-6"/>
        </w:rPr>
        <w:t> </w:t>
      </w:r>
      <w:r>
        <w:rPr/>
        <w:t>one</w:t>
      </w:r>
      <w:r>
        <w:rPr>
          <w:spacing w:val="-6"/>
        </w:rPr>
        <w:t> </w:t>
      </w:r>
      <w:r>
        <w:rPr/>
        <w:t>hand,</w:t>
      </w:r>
      <w:r>
        <w:rPr>
          <w:spacing w:val="-4"/>
        </w:rPr>
        <w:t> </w:t>
      </w:r>
      <w:r>
        <w:rPr/>
        <w:t>he</w:t>
      </w:r>
      <w:r>
        <w:rPr>
          <w:spacing w:val="-5"/>
        </w:rPr>
        <w:t> </w:t>
      </w:r>
      <w:r>
        <w:rPr/>
        <w:t>was</w:t>
      </w:r>
      <w:r>
        <w:rPr>
          <w:spacing w:val="-6"/>
        </w:rPr>
        <w:t> </w:t>
      </w:r>
      <w:r>
        <w:rPr/>
        <w:t>inescapably</w:t>
      </w:r>
      <w:r>
        <w:rPr>
          <w:spacing w:val="-8"/>
        </w:rPr>
        <w:t> </w:t>
      </w:r>
      <w:r>
        <w:rPr/>
        <w:t>associated with colonial education and the cultural dominance of England. On the other hand, decades of Indian theatrical and literary engagement had made Shakespeare a familiar figure, and many of his plays had been so thoroughly domesticated that they felt like part of the Indian theatrical </w:t>
      </w:r>
      <w:r>
        <w:rPr>
          <w:spacing w:val="-2"/>
        </w:rPr>
        <w:t>repertoire.</w:t>
      </w:r>
    </w:p>
    <w:p>
      <w:pPr>
        <w:pStyle w:val="BodyText"/>
        <w:spacing w:line="249" w:lineRule="auto" w:before="65"/>
        <w:ind w:right="1437" w:firstLine="432"/>
        <w:jc w:val="both"/>
      </w:pPr>
      <w:r>
        <w:rPr/>
        <w:t>The National School</w:t>
      </w:r>
      <w:r>
        <w:rPr>
          <w:spacing w:val="-2"/>
        </w:rPr>
        <w:t> </w:t>
      </w:r>
      <w:r>
        <w:rPr/>
        <w:t>of</w:t>
      </w:r>
      <w:r>
        <w:rPr>
          <w:spacing w:val="-2"/>
        </w:rPr>
        <w:t> </w:t>
      </w:r>
      <w:r>
        <w:rPr/>
        <w:t>Drama, established in New</w:t>
      </w:r>
      <w:r>
        <w:rPr>
          <w:spacing w:val="-4"/>
        </w:rPr>
        <w:t> </w:t>
      </w:r>
      <w:r>
        <w:rPr/>
        <w:t>Delhi in</w:t>
      </w:r>
      <w:r>
        <w:rPr>
          <w:spacing w:val="-2"/>
        </w:rPr>
        <w:t> </w:t>
      </w:r>
      <w:r>
        <w:rPr/>
        <w:t>1959, became a crucible for new approaches to Shakespeare in the post-Independence era. Under the leadership of</w:t>
      </w:r>
      <w:r>
        <w:rPr>
          <w:spacing w:val="-2"/>
        </w:rPr>
        <w:t> </w:t>
      </w:r>
      <w:r>
        <w:rPr/>
        <w:t>Ebrahim</w:t>
      </w:r>
      <w:r>
        <w:rPr>
          <w:spacing w:val="-13"/>
        </w:rPr>
        <w:t> </w:t>
      </w:r>
      <w:r>
        <w:rPr/>
        <w:t>Alkazi, who served as director from 1962 to 1977, the institution simultaneously trained actors in modern Western theatrical techniques and encouraged</w:t>
      </w:r>
      <w:r>
        <w:rPr>
          <w:spacing w:val="27"/>
        </w:rPr>
        <w:t> </w:t>
      </w:r>
      <w:r>
        <w:rPr/>
        <w:t>them</w:t>
      </w:r>
      <w:r>
        <w:rPr>
          <w:spacing w:val="80"/>
        </w:rPr>
        <w:t> </w:t>
      </w:r>
      <w:r>
        <w:rPr/>
        <w:t>to</w:t>
      </w:r>
      <w:r>
        <w:rPr>
          <w:spacing w:val="-4"/>
        </w:rPr>
        <w:t> </w:t>
      </w:r>
      <w:r>
        <w:rPr/>
        <w:t>explore</w:t>
      </w:r>
      <w:r>
        <w:rPr>
          <w:spacing w:val="-7"/>
        </w:rPr>
        <w:t> </w:t>
      </w:r>
      <w:r>
        <w:rPr/>
        <w:t>indigenous</w:t>
      </w:r>
      <w:r>
        <w:rPr>
          <w:spacing w:val="-6"/>
        </w:rPr>
        <w:t> </w:t>
      </w:r>
      <w:r>
        <w:rPr/>
        <w:t>performance</w:t>
      </w:r>
      <w:r>
        <w:rPr>
          <w:spacing w:val="-6"/>
        </w:rPr>
        <w:t> </w:t>
      </w:r>
      <w:r>
        <w:rPr/>
        <w:t>traditions.</w:t>
      </w:r>
      <w:r>
        <w:rPr>
          <w:spacing w:val="-13"/>
        </w:rPr>
        <w:t> </w:t>
      </w:r>
      <w:r>
        <w:rPr/>
        <w:t>Alkazi’s</w:t>
      </w:r>
      <w:r>
        <w:rPr>
          <w:spacing w:val="-5"/>
        </w:rPr>
        <w:t> </w:t>
      </w:r>
      <w:r>
        <w:rPr/>
        <w:t>own</w:t>
      </w:r>
      <w:r>
        <w:rPr>
          <w:spacing w:val="-4"/>
        </w:rPr>
        <w:t> </w:t>
      </w:r>
      <w:r>
        <w:rPr/>
        <w:t>productions of Shakespeare including celebrated staging’s of </w:t>
      </w:r>
      <w:r>
        <w:rPr>
          <w:i/>
        </w:rPr>
        <w:t>Othello </w:t>
      </w:r>
      <w:r>
        <w:rPr/>
        <w:t>and </w:t>
      </w:r>
      <w:r>
        <w:rPr>
          <w:i/>
        </w:rPr>
        <w:t>Antony and Cleopatra </w:t>
      </w:r>
      <w:r>
        <w:rPr/>
        <w:t>were distinguished by their visual sophistication and their fusion of</w:t>
      </w:r>
      <w:r>
        <w:rPr>
          <w:spacing w:val="-2"/>
        </w:rPr>
        <w:t> </w:t>
      </w:r>
      <w:r>
        <w:rPr/>
        <w:t>modern theatrical concepts with</w:t>
      </w:r>
      <w:r>
        <w:rPr>
          <w:spacing w:val="-2"/>
        </w:rPr>
        <w:t> </w:t>
      </w:r>
      <w:r>
        <w:rPr/>
        <w:t>Indian visual aesthetics. As Suresh Awasthi observes in his seminal essay “Theatre of Roots,” the</w:t>
      </w:r>
      <w:r>
        <w:rPr>
          <w:spacing w:val="-10"/>
        </w:rPr>
        <w:t> </w:t>
      </w:r>
      <w:r>
        <w:rPr/>
        <w:t>NSD</w:t>
      </w:r>
      <w:r>
        <w:rPr>
          <w:spacing w:val="-9"/>
        </w:rPr>
        <w:t> </w:t>
      </w:r>
      <w:r>
        <w:rPr/>
        <w:t>productions</w:t>
      </w:r>
      <w:r>
        <w:rPr>
          <w:spacing w:val="-10"/>
        </w:rPr>
        <w:t> </w:t>
      </w:r>
      <w:r>
        <w:rPr/>
        <w:t>of</w:t>
      </w:r>
      <w:r>
        <w:rPr>
          <w:spacing w:val="-9"/>
        </w:rPr>
        <w:t> </w:t>
      </w:r>
      <w:r>
        <w:rPr/>
        <w:t>this</w:t>
      </w:r>
      <w:r>
        <w:rPr>
          <w:spacing w:val="-12"/>
        </w:rPr>
        <w:t> </w:t>
      </w:r>
      <w:r>
        <w:rPr/>
        <w:t>period</w:t>
      </w:r>
      <w:r>
        <w:rPr>
          <w:spacing w:val="-9"/>
        </w:rPr>
        <w:t> </w:t>
      </w:r>
      <w:r>
        <w:rPr/>
        <w:t>were</w:t>
      </w:r>
      <w:r>
        <w:rPr>
          <w:spacing w:val="-9"/>
        </w:rPr>
        <w:t> </w:t>
      </w:r>
      <w:r>
        <w:rPr/>
        <w:t>marked</w:t>
      </w:r>
      <w:r>
        <w:rPr>
          <w:spacing w:val="-9"/>
        </w:rPr>
        <w:t> </w:t>
      </w:r>
      <w:r>
        <w:rPr/>
        <w:t>by</w:t>
      </w:r>
      <w:r>
        <w:rPr>
          <w:spacing w:val="-13"/>
        </w:rPr>
        <w:t> </w:t>
      </w:r>
      <w:r>
        <w:rPr/>
        <w:t>“a</w:t>
      </w:r>
      <w:r>
        <w:rPr>
          <w:spacing w:val="-8"/>
        </w:rPr>
        <w:t> </w:t>
      </w:r>
      <w:r>
        <w:rPr/>
        <w:t>restless</w:t>
      </w:r>
      <w:r>
        <w:rPr>
          <w:spacing w:val="-10"/>
        </w:rPr>
        <w:t> </w:t>
      </w:r>
      <w:r>
        <w:rPr/>
        <w:t>searching for a theatrical language that would be authentically Indian yet capable of addressing the modern world” (48).</w:t>
      </w:r>
    </w:p>
    <w:p>
      <w:pPr>
        <w:pStyle w:val="BodyText"/>
        <w:spacing w:line="249" w:lineRule="auto" w:before="70"/>
        <w:ind w:right="1440" w:firstLine="432"/>
        <w:jc w:val="both"/>
      </w:pPr>
      <w:r>
        <w:rPr/>
        <w:t>It was, however, Habib Tanvir who mounted perhaps the most radical and influential experiment in Shakespearean adaptation during this period. Tanvir’s 1958 production of </w:t>
      </w:r>
      <w:r>
        <w:rPr>
          <w:i/>
        </w:rPr>
        <w:t>A Midsummer Night’s Dream, </w:t>
      </w:r>
      <w:r>
        <w:rPr/>
        <w:t>performed with a company of Chhattisgarhi folk performers under the title</w:t>
      </w:r>
      <w:r>
        <w:rPr>
          <w:spacing w:val="26"/>
        </w:rPr>
        <w:t> </w:t>
      </w:r>
      <w:r>
        <w:rPr>
          <w:i/>
        </w:rPr>
        <w:t>Charandas</w:t>
      </w:r>
      <w:r>
        <w:rPr>
          <w:i/>
          <w:spacing w:val="25"/>
        </w:rPr>
        <w:t> </w:t>
      </w:r>
      <w:r>
        <w:rPr>
          <w:i/>
        </w:rPr>
        <w:t>Chor</w:t>
      </w:r>
      <w:r>
        <w:rPr/>
        <w:t>,</w:t>
      </w:r>
      <w:r>
        <w:rPr>
          <w:spacing w:val="29"/>
        </w:rPr>
        <w:t> </w:t>
      </w:r>
      <w:r>
        <w:rPr/>
        <w:t>and</w:t>
      </w:r>
      <w:r>
        <w:rPr>
          <w:spacing w:val="27"/>
        </w:rPr>
        <w:t> </w:t>
      </w:r>
      <w:r>
        <w:rPr/>
        <w:t>his</w:t>
      </w:r>
      <w:r>
        <w:rPr>
          <w:spacing w:val="28"/>
        </w:rPr>
        <w:t> </w:t>
      </w:r>
      <w:r>
        <w:rPr/>
        <w:t>subsequent</w:t>
      </w:r>
      <w:r>
        <w:rPr>
          <w:spacing w:val="25"/>
        </w:rPr>
        <w:t> </w:t>
      </w:r>
      <w:r>
        <w:rPr/>
        <w:t>adaptations</w:t>
      </w:r>
      <w:r>
        <w:rPr>
          <w:spacing w:val="27"/>
        </w:rPr>
        <w:t> </w:t>
      </w:r>
      <w:r>
        <w:rPr/>
        <w:t>of</w:t>
      </w:r>
      <w:r>
        <w:rPr>
          <w:spacing w:val="26"/>
        </w:rPr>
        <w:t> </w:t>
      </w:r>
      <w:r>
        <w:rPr/>
        <w:t>other</w:t>
      </w:r>
      <w:r>
        <w:rPr>
          <w:spacing w:val="27"/>
        </w:rPr>
        <w:t> </w:t>
      </w:r>
      <w:r>
        <w:rPr>
          <w:spacing w:val="-2"/>
        </w:rPr>
        <w:t>plays,</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09888">
                <wp:simplePos x="0" y="0"/>
                <wp:positionH relativeFrom="page">
                  <wp:posOffset>2057400</wp:posOffset>
                </wp:positionH>
                <wp:positionV relativeFrom="paragraph">
                  <wp:posOffset>162604</wp:posOffset>
                </wp:positionV>
                <wp:extent cx="3657600" cy="12700"/>
                <wp:effectExtent l="0" t="0" r="0" b="0"/>
                <wp:wrapTopAndBottom/>
                <wp:docPr id="851" name="Graphic 851"/>
                <wp:cNvGraphicFramePr>
                  <a:graphicFrameLocks/>
                </wp:cNvGraphicFramePr>
                <a:graphic>
                  <a:graphicData uri="http://schemas.microsoft.com/office/word/2010/wordprocessingShape">
                    <wps:wsp>
                      <wps:cNvPr id="851" name="Graphic 85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06592;mso-wrap-distance-left:0;mso-wrap-distance-right:0" id="docshape843" filled="true" fillcolor="#000000" stroked="false">
                <v:fill type="solid"/>
                <w10:wrap type="topAndBottom"/>
              </v:rect>
            </w:pict>
          </mc:Fallback>
        </mc:AlternateContent>
      </w:r>
      <w:r>
        <w:rPr>
          <w:rFonts w:ascii="Verdana"/>
          <w:spacing w:val="-5"/>
          <w:sz w:val="18"/>
        </w:rPr>
        <w:t>446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established what would become his signature approach: transplanting Western dramatic texts into the soil of Indian folk performance, using the earthy vitality of Nacha folk theatre to create productions of extraordinary energy and political resonance. Tanvir argued that folk performance traditions embodied a democratic, participatory theatrical energy that was fundamentally at odds with the elitism of the colonial Shakespearean tradition, and his adaptations were deliberate acts of cultural</w:t>
      </w:r>
      <w:r>
        <w:rPr>
          <w:spacing w:val="-13"/>
        </w:rPr>
        <w:t> </w:t>
      </w:r>
      <w:r>
        <w:rPr/>
        <w:t>reclamation.</w:t>
      </w:r>
    </w:p>
    <w:p>
      <w:pPr>
        <w:spacing w:line="249" w:lineRule="auto" w:before="64"/>
        <w:ind w:left="2160" w:right="2159" w:firstLine="0"/>
        <w:jc w:val="both"/>
        <w:rPr>
          <w:i/>
          <w:sz w:val="20"/>
        </w:rPr>
      </w:pPr>
      <w:r>
        <w:rPr>
          <w:i/>
          <w:sz w:val="20"/>
        </w:rPr>
        <w:t>“I wanted to show that our folk traditions are not backward or primitive—they are rich, complex, and fully capable of engaging with the most sophisticated dramatic material in the world. Shakespeare became my</w:t>
      </w:r>
      <w:r>
        <w:rPr>
          <w:i/>
          <w:spacing w:val="40"/>
          <w:sz w:val="20"/>
        </w:rPr>
        <w:t> </w:t>
      </w:r>
      <w:r>
        <w:rPr>
          <w:i/>
          <w:sz w:val="20"/>
        </w:rPr>
        <w:t>proof.”</w:t>
      </w:r>
      <w:r>
        <w:rPr>
          <w:i/>
          <w:spacing w:val="40"/>
          <w:sz w:val="20"/>
        </w:rPr>
        <w:t> </w:t>
      </w:r>
      <w:r>
        <w:rPr>
          <w:i/>
          <w:sz w:val="20"/>
        </w:rPr>
        <w:t>(Tanvir,</w:t>
      </w:r>
      <w:r>
        <w:rPr>
          <w:i/>
          <w:spacing w:val="40"/>
          <w:sz w:val="20"/>
        </w:rPr>
        <w:t> </w:t>
      </w:r>
      <w:r>
        <w:rPr>
          <w:i/>
          <w:sz w:val="20"/>
        </w:rPr>
        <w:t>qtd.</w:t>
      </w:r>
      <w:r>
        <w:rPr>
          <w:i/>
          <w:spacing w:val="40"/>
          <w:sz w:val="20"/>
        </w:rPr>
        <w:t> </w:t>
      </w:r>
      <w:r>
        <w:rPr>
          <w:i/>
          <w:sz w:val="20"/>
        </w:rPr>
        <w:t>in</w:t>
      </w:r>
      <w:r>
        <w:rPr>
          <w:i/>
          <w:spacing w:val="40"/>
          <w:sz w:val="20"/>
        </w:rPr>
        <w:t> </w:t>
      </w:r>
      <w:r>
        <w:rPr>
          <w:i/>
          <w:sz w:val="20"/>
        </w:rPr>
        <w:t>Dharwadker</w:t>
      </w:r>
      <w:r>
        <w:rPr>
          <w:i/>
          <w:spacing w:val="40"/>
          <w:sz w:val="20"/>
        </w:rPr>
        <w:t> </w:t>
      </w:r>
      <w:r>
        <w:rPr>
          <w:i/>
          <w:sz w:val="20"/>
        </w:rPr>
        <w:t>112)</w:t>
      </w:r>
    </w:p>
    <w:p>
      <w:pPr>
        <w:pStyle w:val="BodyText"/>
        <w:spacing w:line="249" w:lineRule="auto" w:before="62"/>
        <w:ind w:right="1436" w:firstLine="432"/>
        <w:jc w:val="both"/>
      </w:pPr>
      <w:r>
        <w:rPr/>
        <w:t>Tanvir’s most celebrated Shakespearean adaptation, his 1993 production of </w:t>
      </w:r>
      <w:r>
        <w:rPr>
          <w:i/>
        </w:rPr>
        <w:t>A Midsummer Night’s Dream </w:t>
      </w:r>
      <w:r>
        <w:rPr/>
        <w:t>rendered through Chhattisgarhi Nacha traditions, was a revelation. The Chhattisgarhi performers brought to the production a quality of physical theatre directness, an earthiness, a celebratory exuberance that transformed the </w:t>
      </w:r>
      <w:r>
        <w:rPr>
          <w:spacing w:val="-2"/>
        </w:rPr>
        <w:t>play’s</w:t>
      </w:r>
      <w:r>
        <w:rPr>
          <w:spacing w:val="-4"/>
        </w:rPr>
        <w:t> </w:t>
      </w:r>
      <w:r>
        <w:rPr>
          <w:spacing w:val="-2"/>
        </w:rPr>
        <w:t>exploration</w:t>
      </w:r>
      <w:r>
        <w:rPr>
          <w:spacing w:val="-6"/>
        </w:rPr>
        <w:t> </w:t>
      </w:r>
      <w:r>
        <w:rPr>
          <w:spacing w:val="-2"/>
        </w:rPr>
        <w:t>of</w:t>
      </w:r>
      <w:r>
        <w:rPr>
          <w:spacing w:val="-4"/>
        </w:rPr>
        <w:t> </w:t>
      </w:r>
      <w:r>
        <w:rPr>
          <w:spacing w:val="-2"/>
        </w:rPr>
        <w:t>desire</w:t>
      </w:r>
      <w:r>
        <w:rPr>
          <w:spacing w:val="-5"/>
        </w:rPr>
        <w:t> </w:t>
      </w:r>
      <w:r>
        <w:rPr>
          <w:spacing w:val="-2"/>
        </w:rPr>
        <w:t>and confusion</w:t>
      </w:r>
      <w:r>
        <w:rPr>
          <w:spacing w:val="-4"/>
        </w:rPr>
        <w:t> </w:t>
      </w:r>
      <w:r>
        <w:rPr>
          <w:spacing w:val="-2"/>
        </w:rPr>
        <w:t>into something</w:t>
      </w:r>
      <w:r>
        <w:rPr>
          <w:spacing w:val="-4"/>
        </w:rPr>
        <w:t> </w:t>
      </w:r>
      <w:r>
        <w:rPr>
          <w:spacing w:val="-2"/>
        </w:rPr>
        <w:t>simultaneously </w:t>
      </w:r>
      <w:r>
        <w:rPr>
          <w:spacing w:val="-4"/>
        </w:rPr>
        <w:t>ancient and contemporary.</w:t>
      </w:r>
      <w:r>
        <w:rPr>
          <w:spacing w:val="-8"/>
        </w:rPr>
        <w:t> </w:t>
      </w:r>
      <w:r>
        <w:rPr>
          <w:spacing w:val="-4"/>
        </w:rPr>
        <w:t>Critics recognized the production</w:t>
      </w:r>
      <w:r>
        <w:rPr>
          <w:spacing w:val="-6"/>
        </w:rPr>
        <w:t> </w:t>
      </w:r>
      <w:r>
        <w:rPr>
          <w:spacing w:val="-4"/>
        </w:rPr>
        <w:t>as</w:t>
      </w:r>
      <w:r>
        <w:rPr>
          <w:spacing w:val="-8"/>
        </w:rPr>
        <w:t> </w:t>
      </w:r>
      <w:r>
        <w:rPr>
          <w:spacing w:val="-4"/>
        </w:rPr>
        <w:t>a landmark </w:t>
      </w:r>
      <w:r>
        <w:rPr/>
        <w:t>event in world theatre, demonstrating that the most productive encounters between Shakespeare and Indian theatre occurred not when Indian artists tried to replicate English productions, but when they allowed Shakespeare’s plots and characters to be genuinely inhabited</w:t>
      </w:r>
      <w:r>
        <w:rPr>
          <w:spacing w:val="40"/>
        </w:rPr>
        <w:t> </w:t>
      </w:r>
      <w:r>
        <w:rPr/>
        <w:t>by</w:t>
      </w:r>
      <w:r>
        <w:rPr>
          <w:spacing w:val="40"/>
        </w:rPr>
        <w:t> </w:t>
      </w:r>
      <w:r>
        <w:rPr/>
        <w:t>other</w:t>
      </w:r>
      <w:r>
        <w:rPr>
          <w:spacing w:val="40"/>
        </w:rPr>
        <w:t> </w:t>
      </w:r>
      <w:r>
        <w:rPr/>
        <w:t>theatrical</w:t>
      </w:r>
      <w:r>
        <w:rPr>
          <w:spacing w:val="40"/>
        </w:rPr>
        <w:t> </w:t>
      </w:r>
      <w:r>
        <w:rPr/>
        <w:t>bodies</w:t>
      </w:r>
      <w:r>
        <w:rPr>
          <w:spacing w:val="40"/>
        </w:rPr>
        <w:t> </w:t>
      </w:r>
      <w:r>
        <w:rPr/>
        <w:t>and</w:t>
      </w:r>
      <w:r>
        <w:rPr>
          <w:spacing w:val="40"/>
        </w:rPr>
        <w:t> </w:t>
      </w:r>
      <w:r>
        <w:rPr/>
        <w:t>traditions.</w:t>
      </w:r>
    </w:p>
    <w:p>
      <w:pPr>
        <w:pStyle w:val="Heading3"/>
        <w:spacing w:before="163"/>
        <w:jc w:val="both"/>
      </w:pPr>
      <w:r>
        <w:rPr>
          <w:w w:val="85"/>
        </w:rPr>
        <w:t>POLITICS</w:t>
      </w:r>
      <w:r>
        <w:rPr>
          <w:spacing w:val="36"/>
        </w:rPr>
        <w:t> </w:t>
      </w:r>
      <w:r>
        <w:rPr>
          <w:w w:val="85"/>
        </w:rPr>
        <w:t>OF</w:t>
      </w:r>
      <w:r>
        <w:rPr>
          <w:spacing w:val="34"/>
        </w:rPr>
        <w:t> </w:t>
      </w:r>
      <w:r>
        <w:rPr>
          <w:w w:val="85"/>
        </w:rPr>
        <w:t>ADAPTATION:</w:t>
      </w:r>
      <w:r>
        <w:rPr>
          <w:spacing w:val="36"/>
        </w:rPr>
        <w:t> </w:t>
      </w:r>
      <w:r>
        <w:rPr>
          <w:w w:val="85"/>
        </w:rPr>
        <w:t>INDIAN</w:t>
      </w:r>
      <w:r>
        <w:rPr>
          <w:spacing w:val="37"/>
        </w:rPr>
        <w:t> </w:t>
      </w:r>
      <w:r>
        <w:rPr>
          <w:spacing w:val="-2"/>
          <w:w w:val="85"/>
        </w:rPr>
        <w:t>CONNECTEDNESS</w:t>
      </w:r>
    </w:p>
    <w:p>
      <w:pPr>
        <w:pStyle w:val="BodyText"/>
        <w:spacing w:line="249" w:lineRule="auto" w:before="78"/>
        <w:ind w:right="1436" w:firstLine="432"/>
        <w:jc w:val="both"/>
      </w:pPr>
      <w:r>
        <w:rPr/>
        <w:t>While Tanvir’s adaptations were primarily concerned with the </w:t>
      </w:r>
      <w:r>
        <w:rPr>
          <w:spacing w:val="-2"/>
        </w:rPr>
        <w:t>democratization</w:t>
      </w:r>
      <w:r>
        <w:rPr>
          <w:spacing w:val="-11"/>
        </w:rPr>
        <w:t> </w:t>
      </w:r>
      <w:r>
        <w:rPr>
          <w:spacing w:val="-2"/>
        </w:rPr>
        <w:t>of</w:t>
      </w:r>
      <w:r>
        <w:rPr>
          <w:spacing w:val="-10"/>
        </w:rPr>
        <w:t> </w:t>
      </w:r>
      <w:r>
        <w:rPr>
          <w:spacing w:val="-2"/>
        </w:rPr>
        <w:t>theatrical</w:t>
      </w:r>
      <w:r>
        <w:rPr>
          <w:spacing w:val="-11"/>
        </w:rPr>
        <w:t> </w:t>
      </w:r>
      <w:r>
        <w:rPr>
          <w:spacing w:val="-2"/>
        </w:rPr>
        <w:t>culture</w:t>
      </w:r>
      <w:r>
        <w:rPr>
          <w:spacing w:val="-6"/>
        </w:rPr>
        <w:t> </w:t>
      </w:r>
      <w:r>
        <w:rPr>
          <w:spacing w:val="-2"/>
        </w:rPr>
        <w:t>and</w:t>
      </w:r>
      <w:r>
        <w:rPr>
          <w:spacing w:val="-7"/>
        </w:rPr>
        <w:t> </w:t>
      </w:r>
      <w:r>
        <w:rPr>
          <w:spacing w:val="-2"/>
        </w:rPr>
        <w:t>the</w:t>
      </w:r>
      <w:r>
        <w:rPr>
          <w:spacing w:val="-9"/>
        </w:rPr>
        <w:t> </w:t>
      </w:r>
      <w:r>
        <w:rPr>
          <w:spacing w:val="-2"/>
        </w:rPr>
        <w:t>recovery</w:t>
      </w:r>
      <w:r>
        <w:rPr>
          <w:spacing w:val="-11"/>
        </w:rPr>
        <w:t> </w:t>
      </w:r>
      <w:r>
        <w:rPr>
          <w:spacing w:val="-2"/>
        </w:rPr>
        <w:t>of</w:t>
      </w:r>
      <w:r>
        <w:rPr>
          <w:spacing w:val="-10"/>
        </w:rPr>
        <w:t> </w:t>
      </w:r>
      <w:r>
        <w:rPr>
          <w:spacing w:val="-2"/>
        </w:rPr>
        <w:t>folk</w:t>
      </w:r>
      <w:r>
        <w:rPr>
          <w:spacing w:val="-9"/>
        </w:rPr>
        <w:t> </w:t>
      </w:r>
      <w:r>
        <w:rPr>
          <w:spacing w:val="-2"/>
        </w:rPr>
        <w:t>performance </w:t>
      </w:r>
      <w:r>
        <w:rPr/>
        <w:t>traditions, other major theatre practitioners of the 1960s and 1970s brought explicitly political agendas to their engagement with Shakespeare.</w:t>
      </w:r>
      <w:r>
        <w:rPr>
          <w:spacing w:val="-11"/>
        </w:rPr>
        <w:t> </w:t>
      </w:r>
      <w:r>
        <w:rPr/>
        <w:t>Utpal</w:t>
      </w:r>
      <w:r>
        <w:rPr>
          <w:spacing w:val="-11"/>
        </w:rPr>
        <w:t> </w:t>
      </w:r>
      <w:r>
        <w:rPr/>
        <w:t>Dutt,</w:t>
      </w:r>
      <w:r>
        <w:rPr>
          <w:spacing w:val="-8"/>
        </w:rPr>
        <w:t> </w:t>
      </w:r>
      <w:r>
        <w:rPr/>
        <w:t>the</w:t>
      </w:r>
      <w:r>
        <w:rPr>
          <w:spacing w:val="-12"/>
        </w:rPr>
        <w:t> </w:t>
      </w:r>
      <w:r>
        <w:rPr/>
        <w:t>towering</w:t>
      </w:r>
      <w:r>
        <w:rPr>
          <w:spacing w:val="-13"/>
        </w:rPr>
        <w:t> </w:t>
      </w:r>
      <w:r>
        <w:rPr/>
        <w:t>figure</w:t>
      </w:r>
      <w:r>
        <w:rPr>
          <w:spacing w:val="-11"/>
        </w:rPr>
        <w:t> </w:t>
      </w:r>
      <w:r>
        <w:rPr/>
        <w:t>of</w:t>
      </w:r>
      <w:r>
        <w:rPr>
          <w:spacing w:val="-11"/>
        </w:rPr>
        <w:t> </w:t>
      </w:r>
      <w:r>
        <w:rPr/>
        <w:t>Bengali</w:t>
      </w:r>
      <w:r>
        <w:rPr>
          <w:spacing w:val="-11"/>
        </w:rPr>
        <w:t> </w:t>
      </w:r>
      <w:r>
        <w:rPr/>
        <w:t>political</w:t>
      </w:r>
      <w:r>
        <w:rPr>
          <w:spacing w:val="-12"/>
        </w:rPr>
        <w:t> </w:t>
      </w:r>
      <w:r>
        <w:rPr/>
        <w:t>theatre, found in Shakespeare—and particularly in the history plays—a rich resource for his Marxist theatrical project. Dutt’s 1965 production of Macbeth</w:t>
      </w:r>
      <w:r>
        <w:rPr>
          <w:spacing w:val="-1"/>
        </w:rPr>
        <w:t> </w:t>
      </w:r>
      <w:r>
        <w:rPr/>
        <w:t>at</w:t>
      </w:r>
      <w:r>
        <w:rPr>
          <w:spacing w:val="-2"/>
        </w:rPr>
        <w:t> </w:t>
      </w:r>
      <w:r>
        <w:rPr/>
        <w:t>the Little Theatre</w:t>
      </w:r>
      <w:r>
        <w:rPr>
          <w:spacing w:val="-3"/>
        </w:rPr>
        <w:t> </w:t>
      </w:r>
      <w:r>
        <w:rPr/>
        <w:t>Group in</w:t>
      </w:r>
      <w:r>
        <w:rPr>
          <w:spacing w:val="-1"/>
        </w:rPr>
        <w:t> </w:t>
      </w:r>
      <w:r>
        <w:rPr/>
        <w:t>Calcutta</w:t>
      </w:r>
      <w:r>
        <w:rPr>
          <w:spacing w:val="-2"/>
        </w:rPr>
        <w:t> </w:t>
      </w:r>
      <w:r>
        <w:rPr/>
        <w:t>reframed the play</w:t>
      </w:r>
      <w:r>
        <w:rPr>
          <w:spacing w:val="-5"/>
        </w:rPr>
        <w:t> </w:t>
      </w:r>
      <w:r>
        <w:rPr/>
        <w:t>as</w:t>
      </w:r>
      <w:r>
        <w:rPr>
          <w:spacing w:val="-1"/>
        </w:rPr>
        <w:t> </w:t>
      </w:r>
      <w:r>
        <w:rPr/>
        <w:t>an exploration of the psychology of authoritarian power, drawing explicit parallels with contemporary Indian political life.</w:t>
      </w:r>
    </w:p>
    <w:p>
      <w:pPr>
        <w:pStyle w:val="BodyText"/>
        <w:spacing w:line="249" w:lineRule="auto" w:before="66"/>
        <w:ind w:right="1437" w:firstLine="432"/>
        <w:jc w:val="both"/>
      </w:pPr>
      <w:r>
        <w:rPr/>
        <w:t>Dutt was unambiguous about his political intentions. In his theoretical</w:t>
      </w:r>
      <w:r>
        <w:rPr>
          <w:spacing w:val="23"/>
        </w:rPr>
        <w:t> </w:t>
      </w:r>
      <w:r>
        <w:rPr/>
        <w:t>writings,</w:t>
      </w:r>
      <w:r>
        <w:rPr>
          <w:spacing w:val="24"/>
        </w:rPr>
        <w:t> </w:t>
      </w:r>
      <w:r>
        <w:rPr/>
        <w:t>he</w:t>
      </w:r>
      <w:r>
        <w:rPr>
          <w:spacing w:val="24"/>
        </w:rPr>
        <w:t> </w:t>
      </w:r>
      <w:r>
        <w:rPr/>
        <w:t>argued</w:t>
      </w:r>
      <w:r>
        <w:rPr>
          <w:spacing w:val="25"/>
        </w:rPr>
        <w:t> </w:t>
      </w:r>
      <w:r>
        <w:rPr/>
        <w:t>that</w:t>
      </w:r>
      <w:r>
        <w:rPr>
          <w:spacing w:val="24"/>
        </w:rPr>
        <w:t> </w:t>
      </w:r>
      <w:r>
        <w:rPr/>
        <w:t>Shakespeare’s</w:t>
      </w:r>
      <w:r>
        <w:rPr>
          <w:spacing w:val="23"/>
        </w:rPr>
        <w:t> </w:t>
      </w:r>
      <w:r>
        <w:rPr/>
        <w:t>plays,</w:t>
      </w:r>
      <w:r>
        <w:rPr>
          <w:spacing w:val="25"/>
        </w:rPr>
        <w:t> </w:t>
      </w:r>
      <w:r>
        <w:rPr/>
        <w:t>despite</w:t>
      </w:r>
      <w:r>
        <w:rPr>
          <w:spacing w:val="25"/>
        </w:rPr>
        <w:t> </w:t>
      </w:r>
      <w:r>
        <w:rPr>
          <w:spacing w:val="-2"/>
        </w:rPr>
        <w:t>their</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0400">
                <wp:simplePos x="0" y="0"/>
                <wp:positionH relativeFrom="page">
                  <wp:posOffset>2065020</wp:posOffset>
                </wp:positionH>
                <wp:positionV relativeFrom="paragraph">
                  <wp:posOffset>795020</wp:posOffset>
                </wp:positionV>
                <wp:extent cx="3657600" cy="12700"/>
                <wp:effectExtent l="0" t="0" r="0" b="0"/>
                <wp:wrapTopAndBottom/>
                <wp:docPr id="852" name="Graphic 852"/>
                <wp:cNvGraphicFramePr>
                  <a:graphicFrameLocks/>
                </wp:cNvGraphicFramePr>
                <a:graphic>
                  <a:graphicData uri="http://schemas.microsoft.com/office/word/2010/wordprocessingShape">
                    <wps:wsp>
                      <wps:cNvPr id="852" name="Graphic 85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06080;mso-wrap-distance-left:0;mso-wrap-distance-right:0" id="docshape844" filled="true" fillcolor="#000000" stroked="false">
                <v:fill type="solid"/>
                <w10:wrap type="topAndBottom"/>
              </v:rect>
            </w:pict>
          </mc:Fallback>
        </mc:AlternateContent>
      </w:r>
      <w:r>
        <w:rPr>
          <w:rFonts w:ascii="Verdana"/>
          <w:sz w:val="18"/>
        </w:rPr>
        <w:t>Shakespeare</w:t>
      </w:r>
      <w:r>
        <w:rPr>
          <w:rFonts w:ascii="Verdana"/>
          <w:spacing w:val="-3"/>
          <w:sz w:val="18"/>
        </w:rPr>
        <w:t> </w:t>
      </w:r>
      <w:r>
        <w:rPr>
          <w:rFonts w:ascii="Verdana"/>
          <w:sz w:val="18"/>
        </w:rPr>
        <w:t>in</w:t>
      </w:r>
      <w:r>
        <w:rPr>
          <w:rFonts w:ascii="Verdana"/>
          <w:spacing w:val="-2"/>
          <w:sz w:val="18"/>
        </w:rPr>
        <w:t> </w:t>
      </w:r>
      <w:r>
        <w:rPr>
          <w:rFonts w:ascii="Verdana"/>
          <w:sz w:val="18"/>
        </w:rPr>
        <w:t>Indian</w:t>
      </w:r>
      <w:r>
        <w:rPr>
          <w:rFonts w:ascii="Verdana"/>
          <w:spacing w:val="-2"/>
          <w:sz w:val="18"/>
        </w:rPr>
        <w:t> </w:t>
      </w:r>
      <w:r>
        <w:rPr>
          <w:rFonts w:ascii="Verdana"/>
          <w:sz w:val="18"/>
        </w:rPr>
        <w:t>Theatre:</w:t>
      </w:r>
      <w:r>
        <w:rPr>
          <w:rFonts w:ascii="Verdana"/>
          <w:spacing w:val="-4"/>
          <w:sz w:val="18"/>
        </w:rPr>
        <w:t> </w:t>
      </w:r>
      <w:r>
        <w:rPr>
          <w:rFonts w:ascii="Verdana"/>
          <w:sz w:val="18"/>
        </w:rPr>
        <w:t>A</w:t>
      </w:r>
      <w:r>
        <w:rPr>
          <w:rFonts w:ascii="Verdana"/>
          <w:spacing w:val="-9"/>
          <w:sz w:val="18"/>
        </w:rPr>
        <w:t> </w:t>
      </w:r>
      <w:r>
        <w:rPr>
          <w:rFonts w:ascii="Verdana"/>
          <w:sz w:val="18"/>
        </w:rPr>
        <w:t>Rich</w:t>
      </w:r>
      <w:r>
        <w:rPr>
          <w:rFonts w:ascii="Verdana"/>
          <w:spacing w:val="-1"/>
          <w:sz w:val="18"/>
        </w:rPr>
        <w:t> </w:t>
      </w:r>
      <w:r>
        <w:rPr>
          <w:rFonts w:ascii="Verdana"/>
          <w:sz w:val="18"/>
        </w:rPr>
        <w:t>Legacy</w:t>
      </w:r>
      <w:r>
        <w:rPr>
          <w:rFonts w:ascii="Verdana"/>
          <w:spacing w:val="-3"/>
          <w:sz w:val="18"/>
        </w:rPr>
        <w:t> </w:t>
      </w:r>
      <w:r>
        <w:rPr>
          <w:rFonts w:ascii="Verdana"/>
          <w:sz w:val="18"/>
        </w:rPr>
        <w:t>of</w:t>
      </w:r>
      <w:r>
        <w:rPr>
          <w:rFonts w:ascii="Verdana"/>
          <w:spacing w:val="-1"/>
          <w:sz w:val="18"/>
        </w:rPr>
        <w:t> </w:t>
      </w:r>
      <w:r>
        <w:rPr>
          <w:rFonts w:ascii="Verdana"/>
          <w:spacing w:val="-5"/>
          <w:sz w:val="18"/>
        </w:rPr>
        <w:t>...</w:t>
      </w:r>
      <w:r>
        <w:rPr>
          <w:sz w:val="18"/>
        </w:rPr>
        <w:tab/>
      </w:r>
      <w:r>
        <w:rPr>
          <w:rFonts w:ascii="Verdana"/>
          <w:spacing w:val="-5"/>
          <w:sz w:val="18"/>
        </w:rPr>
        <w:t>447</w:t>
      </w:r>
    </w:p>
    <w:p>
      <w:pPr>
        <w:pStyle w:val="BodyText"/>
        <w:spacing w:line="249" w:lineRule="auto" w:before="192"/>
        <w:ind w:right="1437"/>
        <w:jc w:val="both"/>
      </w:pPr>
      <w:r>
        <w:rPr/>
        <w:t>bourgeois critical reputation, contained a radical social vision: “Shakespeare’s genius was to see through the facades of power, to</w:t>
      </w:r>
      <w:r>
        <w:rPr>
          <w:spacing w:val="40"/>
        </w:rPr>
        <w:t> </w:t>
      </w:r>
      <w:r>
        <w:rPr/>
        <w:t>show how kings and generals were driven by the same appetites, the same fears, the same capacity for self-deception as ordinary people” (Dutt 78). By staging </w:t>
      </w:r>
      <w:r>
        <w:rPr>
          <w:i/>
        </w:rPr>
        <w:t>Macbeth </w:t>
      </w:r>
      <w:r>
        <w:rPr/>
        <w:t>in a Bengali political context, Dutt was not merely appropriating a Western classic; he was arguing that Shakespeare’s insights into power were universal and urgently relevant to</w:t>
      </w:r>
      <w:r>
        <w:rPr>
          <w:spacing w:val="-4"/>
        </w:rPr>
        <w:t> </w:t>
      </w:r>
      <w:r>
        <w:rPr/>
        <w:t>the</w:t>
      </w:r>
      <w:r>
        <w:rPr>
          <w:spacing w:val="-5"/>
        </w:rPr>
        <w:t> </w:t>
      </w:r>
      <w:r>
        <w:rPr/>
        <w:t>Indian</w:t>
      </w:r>
      <w:r>
        <w:rPr>
          <w:spacing w:val="-5"/>
        </w:rPr>
        <w:t> </w:t>
      </w:r>
      <w:r>
        <w:rPr/>
        <w:t>postcolonial</w:t>
      </w:r>
      <w:r>
        <w:rPr>
          <w:spacing w:val="-4"/>
        </w:rPr>
        <w:t> </w:t>
      </w:r>
      <w:r>
        <w:rPr/>
        <w:t>condition.</w:t>
      </w:r>
      <w:r>
        <w:rPr>
          <w:spacing w:val="-2"/>
        </w:rPr>
        <w:t> </w:t>
      </w:r>
      <w:r>
        <w:rPr/>
        <w:t>Girish</w:t>
      </w:r>
      <w:r>
        <w:rPr>
          <w:spacing w:val="-5"/>
        </w:rPr>
        <w:t> </w:t>
      </w:r>
      <w:r>
        <w:rPr/>
        <w:t>Karnad,</w:t>
      </w:r>
      <w:r>
        <w:rPr>
          <w:spacing w:val="-4"/>
        </w:rPr>
        <w:t> </w:t>
      </w:r>
      <w:r>
        <w:rPr/>
        <w:t>writing</w:t>
      </w:r>
      <w:r>
        <w:rPr>
          <w:spacing w:val="-5"/>
        </w:rPr>
        <w:t> </w:t>
      </w:r>
      <w:r>
        <w:rPr/>
        <w:t>primarily</w:t>
      </w:r>
      <w:r>
        <w:rPr>
          <w:spacing w:val="-7"/>
        </w:rPr>
        <w:t> </w:t>
      </w:r>
      <w:r>
        <w:rPr/>
        <w:t>in </w:t>
      </w:r>
      <w:r>
        <w:rPr>
          <w:spacing w:val="-2"/>
        </w:rPr>
        <w:t>Kannada</w:t>
      </w:r>
      <w:r>
        <w:rPr>
          <w:spacing w:val="-11"/>
        </w:rPr>
        <w:t> </w:t>
      </w:r>
      <w:r>
        <w:rPr>
          <w:spacing w:val="-2"/>
        </w:rPr>
        <w:t>but</w:t>
      </w:r>
      <w:r>
        <w:rPr>
          <w:spacing w:val="-10"/>
        </w:rPr>
        <w:t> </w:t>
      </w:r>
      <w:r>
        <w:rPr>
          <w:spacing w:val="-2"/>
        </w:rPr>
        <w:t>reaching</w:t>
      </w:r>
      <w:r>
        <w:rPr>
          <w:spacing w:val="-11"/>
        </w:rPr>
        <w:t> </w:t>
      </w:r>
      <w:r>
        <w:rPr>
          <w:spacing w:val="-2"/>
        </w:rPr>
        <w:t>audiences</w:t>
      </w:r>
      <w:r>
        <w:rPr>
          <w:spacing w:val="-9"/>
        </w:rPr>
        <w:t> </w:t>
      </w:r>
      <w:r>
        <w:rPr>
          <w:spacing w:val="-2"/>
        </w:rPr>
        <w:t>across</w:t>
      </w:r>
      <w:r>
        <w:rPr>
          <w:spacing w:val="-9"/>
        </w:rPr>
        <w:t> </w:t>
      </w:r>
      <w:r>
        <w:rPr>
          <w:spacing w:val="-2"/>
        </w:rPr>
        <w:t>India</w:t>
      </w:r>
      <w:r>
        <w:rPr>
          <w:spacing w:val="-11"/>
        </w:rPr>
        <w:t> </w:t>
      </w:r>
      <w:r>
        <w:rPr>
          <w:spacing w:val="-2"/>
        </w:rPr>
        <w:t>and</w:t>
      </w:r>
      <w:r>
        <w:rPr>
          <w:spacing w:val="-7"/>
        </w:rPr>
        <w:t> </w:t>
      </w:r>
      <w:r>
        <w:rPr>
          <w:spacing w:val="-2"/>
        </w:rPr>
        <w:t>internationally,</w:t>
      </w:r>
      <w:r>
        <w:rPr>
          <w:spacing w:val="-9"/>
        </w:rPr>
        <w:t> </w:t>
      </w:r>
      <w:r>
        <w:rPr>
          <w:spacing w:val="-2"/>
        </w:rPr>
        <w:t>engaged </w:t>
      </w:r>
      <w:r>
        <w:rPr/>
        <w:t>with Shakespeare through a different but equally sophisticated lens. Although Karnad’s own plays: </w:t>
      </w:r>
      <w:r>
        <w:rPr>
          <w:i/>
        </w:rPr>
        <w:t>Tughlaq, Hayavadana, Nagamandala </w:t>
      </w:r>
      <w:r>
        <w:rPr/>
        <w:t>are not adaptations of Shakespeare but draw on Indian mythological</w:t>
      </w:r>
      <w:r>
        <w:rPr>
          <w:spacing w:val="40"/>
        </w:rPr>
        <w:t> </w:t>
      </w:r>
      <w:r>
        <w:rPr/>
        <w:t>and</w:t>
      </w:r>
      <w:r>
        <w:rPr>
          <w:spacing w:val="-13"/>
        </w:rPr>
        <w:t> </w:t>
      </w:r>
      <w:r>
        <w:rPr/>
        <w:t>historical</w:t>
      </w:r>
      <w:r>
        <w:rPr>
          <w:spacing w:val="-12"/>
        </w:rPr>
        <w:t> </w:t>
      </w:r>
      <w:r>
        <w:rPr/>
        <w:t>materials,</w:t>
      </w:r>
      <w:r>
        <w:rPr>
          <w:spacing w:val="-13"/>
        </w:rPr>
        <w:t> </w:t>
      </w:r>
      <w:r>
        <w:rPr/>
        <w:t>his</w:t>
      </w:r>
      <w:r>
        <w:rPr>
          <w:spacing w:val="-12"/>
        </w:rPr>
        <w:t> </w:t>
      </w:r>
      <w:r>
        <w:rPr/>
        <w:t>engagement</w:t>
      </w:r>
      <w:r>
        <w:rPr>
          <w:spacing w:val="-13"/>
        </w:rPr>
        <w:t> </w:t>
      </w:r>
      <w:r>
        <w:rPr/>
        <w:t>with</w:t>
      </w:r>
      <w:r>
        <w:rPr>
          <w:spacing w:val="-12"/>
        </w:rPr>
        <w:t> </w:t>
      </w:r>
      <w:r>
        <w:rPr/>
        <w:t>Shakespearean</w:t>
      </w:r>
      <w:r>
        <w:rPr>
          <w:spacing w:val="-13"/>
        </w:rPr>
        <w:t> </w:t>
      </w:r>
      <w:r>
        <w:rPr/>
        <w:t>dramaturgy is evident throughout his work. In </w:t>
      </w:r>
      <w:r>
        <w:rPr>
          <w:i/>
        </w:rPr>
        <w:t>Hayavadana </w:t>
      </w:r>
      <w:r>
        <w:rPr/>
        <w:t>(1972), for instance, Karnad</w:t>
      </w:r>
      <w:r>
        <w:rPr>
          <w:spacing w:val="-7"/>
        </w:rPr>
        <w:t> </w:t>
      </w:r>
      <w:r>
        <w:rPr/>
        <w:t>explicitly</w:t>
      </w:r>
      <w:r>
        <w:rPr>
          <w:spacing w:val="-10"/>
        </w:rPr>
        <w:t> </w:t>
      </w:r>
      <w:r>
        <w:rPr/>
        <w:t>acknowledges</w:t>
      </w:r>
      <w:r>
        <w:rPr>
          <w:spacing w:val="-9"/>
        </w:rPr>
        <w:t> </w:t>
      </w:r>
      <w:r>
        <w:rPr/>
        <w:t>his</w:t>
      </w:r>
      <w:r>
        <w:rPr>
          <w:spacing w:val="-7"/>
        </w:rPr>
        <w:t> </w:t>
      </w:r>
      <w:r>
        <w:rPr/>
        <w:t>debt</w:t>
      </w:r>
      <w:r>
        <w:rPr>
          <w:spacing w:val="-8"/>
        </w:rPr>
        <w:t> </w:t>
      </w:r>
      <w:r>
        <w:rPr/>
        <w:t>to</w:t>
      </w:r>
      <w:r>
        <w:rPr>
          <w:spacing w:val="-9"/>
        </w:rPr>
        <w:t> </w:t>
      </w:r>
      <w:r>
        <w:rPr/>
        <w:t>Thomas</w:t>
      </w:r>
      <w:r>
        <w:rPr>
          <w:spacing w:val="-9"/>
        </w:rPr>
        <w:t> </w:t>
      </w:r>
      <w:r>
        <w:rPr/>
        <w:t>Mann’s</w:t>
      </w:r>
      <w:r>
        <w:rPr>
          <w:spacing w:val="-10"/>
        </w:rPr>
        <w:t> </w:t>
      </w:r>
      <w:r>
        <w:rPr/>
        <w:t>Transposed Heads,</w:t>
      </w:r>
      <w:r>
        <w:rPr>
          <w:spacing w:val="-2"/>
        </w:rPr>
        <w:t> </w:t>
      </w:r>
      <w:r>
        <w:rPr/>
        <w:t>but</w:t>
      </w:r>
      <w:r>
        <w:rPr>
          <w:spacing w:val="-3"/>
        </w:rPr>
        <w:t> </w:t>
      </w:r>
      <w:r>
        <w:rPr/>
        <w:t>the</w:t>
      </w:r>
      <w:r>
        <w:rPr>
          <w:spacing w:val="-1"/>
        </w:rPr>
        <w:t> </w:t>
      </w:r>
      <w:r>
        <w:rPr/>
        <w:t>play’s</w:t>
      </w:r>
      <w:r>
        <w:rPr>
          <w:spacing w:val="-4"/>
        </w:rPr>
        <w:t> </w:t>
      </w:r>
      <w:r>
        <w:rPr/>
        <w:t>exploration</w:t>
      </w:r>
      <w:r>
        <w:rPr>
          <w:spacing w:val="-6"/>
        </w:rPr>
        <w:t> </w:t>
      </w:r>
      <w:r>
        <w:rPr/>
        <w:t>of</w:t>
      </w:r>
      <w:r>
        <w:rPr>
          <w:spacing w:val="-4"/>
        </w:rPr>
        <w:t> </w:t>
      </w:r>
      <w:r>
        <w:rPr/>
        <w:t>divided</w:t>
      </w:r>
      <w:r>
        <w:rPr>
          <w:spacing w:val="-2"/>
        </w:rPr>
        <w:t> </w:t>
      </w:r>
      <w:r>
        <w:rPr/>
        <w:t>identity</w:t>
      </w:r>
      <w:r>
        <w:rPr>
          <w:spacing w:val="-6"/>
        </w:rPr>
        <w:t> </w:t>
      </w:r>
      <w:r>
        <w:rPr/>
        <w:t>and the</w:t>
      </w:r>
      <w:r>
        <w:rPr>
          <w:spacing w:val="-3"/>
        </w:rPr>
        <w:t> </w:t>
      </w:r>
      <w:r>
        <w:rPr/>
        <w:t>incomplete </w:t>
      </w:r>
      <w:r>
        <w:rPr>
          <w:spacing w:val="-2"/>
        </w:rPr>
        <w:t>nature</w:t>
      </w:r>
      <w:r>
        <w:rPr>
          <w:spacing w:val="-4"/>
        </w:rPr>
        <w:t> </w:t>
      </w:r>
      <w:r>
        <w:rPr>
          <w:spacing w:val="-2"/>
        </w:rPr>
        <w:t>of</w:t>
      </w:r>
      <w:r>
        <w:rPr>
          <w:spacing w:val="-4"/>
        </w:rPr>
        <w:t> </w:t>
      </w:r>
      <w:r>
        <w:rPr>
          <w:spacing w:val="-2"/>
        </w:rPr>
        <w:t>human</w:t>
      </w:r>
      <w:r>
        <w:rPr>
          <w:spacing w:val="-6"/>
        </w:rPr>
        <w:t> </w:t>
      </w:r>
      <w:r>
        <w:rPr>
          <w:spacing w:val="-2"/>
        </w:rPr>
        <w:t>personality</w:t>
      </w:r>
      <w:r>
        <w:rPr>
          <w:spacing w:val="-6"/>
        </w:rPr>
        <w:t> </w:t>
      </w:r>
      <w:r>
        <w:rPr>
          <w:spacing w:val="-2"/>
        </w:rPr>
        <w:t>resonates</w:t>
      </w:r>
      <w:r>
        <w:rPr>
          <w:spacing w:val="-6"/>
        </w:rPr>
        <w:t> </w:t>
      </w:r>
      <w:r>
        <w:rPr>
          <w:spacing w:val="-2"/>
        </w:rPr>
        <w:t>deeply</w:t>
      </w:r>
      <w:r>
        <w:rPr>
          <w:spacing w:val="-6"/>
        </w:rPr>
        <w:t> </w:t>
      </w:r>
      <w:r>
        <w:rPr>
          <w:spacing w:val="-2"/>
        </w:rPr>
        <w:t>with</w:t>
      </w:r>
      <w:r>
        <w:rPr>
          <w:spacing w:val="-6"/>
        </w:rPr>
        <w:t> </w:t>
      </w:r>
      <w:r>
        <w:rPr>
          <w:spacing w:val="-2"/>
        </w:rPr>
        <w:t>Shakespearean</w:t>
      </w:r>
      <w:r>
        <w:rPr>
          <w:spacing w:val="-4"/>
        </w:rPr>
        <w:t> </w:t>
      </w:r>
      <w:r>
        <w:rPr>
          <w:spacing w:val="-2"/>
        </w:rPr>
        <w:t>themes </w:t>
      </w:r>
      <w:r>
        <w:rPr/>
        <w:t>of</w:t>
      </w:r>
      <w:r>
        <w:rPr>
          <w:spacing w:val="40"/>
        </w:rPr>
        <w:t> </w:t>
      </w:r>
      <w:r>
        <w:rPr/>
        <w:t>selfhood</w:t>
      </w:r>
      <w:r>
        <w:rPr>
          <w:spacing w:val="40"/>
        </w:rPr>
        <w:t> </w:t>
      </w:r>
      <w:r>
        <w:rPr/>
        <w:t>and</w:t>
      </w:r>
      <w:r>
        <w:rPr>
          <w:spacing w:val="40"/>
        </w:rPr>
        <w:t> </w:t>
      </w:r>
      <w:r>
        <w:rPr/>
        <w:t>transformation.</w:t>
      </w:r>
    </w:p>
    <w:p>
      <w:pPr>
        <w:pStyle w:val="BodyText"/>
        <w:spacing w:line="249" w:lineRule="auto" w:before="73"/>
        <w:ind w:right="1438" w:firstLine="432"/>
        <w:jc w:val="both"/>
      </w:pPr>
      <w:r>
        <w:rPr/>
        <w:t>More directly Shakespearean in his approach was B. V. Karanth, Karnad’s collaborator and one of India’s most innovative theatre directors. Karanth’s adaptations of Shakespeare in Kannada, drawing</w:t>
      </w:r>
      <w:r>
        <w:rPr>
          <w:spacing w:val="40"/>
        </w:rPr>
        <w:t> </w:t>
      </w:r>
      <w:r>
        <w:rPr/>
        <w:t>on Yakshagana performance conventions, produced some of the most visually stunning and theatrically inventive productions of the late twentieth century. His use of Yakshagana’s elaborate costume conventions, its stylized movement vocabulary, and its tradition of all-night performance created a theatrical frame that could contain and transform Shakespearean narratives in ways that illuminated both traditions</w:t>
      </w:r>
      <w:r>
        <w:rPr>
          <w:spacing w:val="40"/>
        </w:rPr>
        <w:t> </w:t>
      </w:r>
      <w:r>
        <w:rPr/>
        <w:t>simultaneously.</w:t>
      </w:r>
    </w:p>
    <w:p>
      <w:pPr>
        <w:pStyle w:val="Heading3"/>
        <w:spacing w:before="161"/>
        <w:ind w:right="1447"/>
        <w:jc w:val="both"/>
      </w:pPr>
      <w:r>
        <w:rPr>
          <w:w w:val="90"/>
        </w:rPr>
        <w:t>CLASSICAL RESONANCES: SANSKRIT DRAMA AND </w:t>
      </w:r>
      <w:r>
        <w:rPr>
          <w:w w:val="90"/>
        </w:rPr>
        <w:t>THE </w:t>
      </w:r>
      <w:r>
        <w:rPr>
          <w:spacing w:val="-8"/>
        </w:rPr>
        <w:t>SHAKESPEAREAN</w:t>
      </w:r>
      <w:r>
        <w:rPr>
          <w:spacing w:val="-22"/>
        </w:rPr>
        <w:t> </w:t>
      </w:r>
      <w:r>
        <w:rPr>
          <w:spacing w:val="-8"/>
        </w:rPr>
        <w:t>TEXT</w:t>
      </w:r>
    </w:p>
    <w:p>
      <w:pPr>
        <w:pStyle w:val="BodyText"/>
        <w:spacing w:line="249" w:lineRule="auto" w:before="74"/>
        <w:ind w:right="1436" w:firstLine="432"/>
        <w:jc w:val="both"/>
      </w:pPr>
      <w:r>
        <w:rPr/>
        <w:t>One of the most intellectually stimulating dimensions of Shakespeare’s reception in India is the persistent argument that his plays find their deepest resonances not with modern Western theatrical traditions but with classical Indian performance forms. This argument rests on several observations. First, the structural features of Shakespearean</w:t>
      </w:r>
      <w:r>
        <w:rPr>
          <w:spacing w:val="-8"/>
        </w:rPr>
        <w:t> </w:t>
      </w:r>
      <w:r>
        <w:rPr/>
        <w:t>drama—its</w:t>
      </w:r>
      <w:r>
        <w:rPr>
          <w:spacing w:val="-8"/>
        </w:rPr>
        <w:t> </w:t>
      </w:r>
      <w:r>
        <w:rPr/>
        <w:t>mixture</w:t>
      </w:r>
      <w:r>
        <w:rPr>
          <w:spacing w:val="-7"/>
        </w:rPr>
        <w:t> </w:t>
      </w:r>
      <w:r>
        <w:rPr/>
        <w:t>of</w:t>
      </w:r>
      <w:r>
        <w:rPr>
          <w:spacing w:val="-8"/>
        </w:rPr>
        <w:t> </w:t>
      </w:r>
      <w:r>
        <w:rPr/>
        <w:t>comic</w:t>
      </w:r>
      <w:r>
        <w:rPr>
          <w:spacing w:val="-9"/>
        </w:rPr>
        <w:t> </w:t>
      </w:r>
      <w:r>
        <w:rPr/>
        <w:t>and</w:t>
      </w:r>
      <w:r>
        <w:rPr>
          <w:spacing w:val="-6"/>
        </w:rPr>
        <w:t> </w:t>
      </w:r>
      <w:r>
        <w:rPr/>
        <w:t>tragic</w:t>
      </w:r>
      <w:r>
        <w:rPr>
          <w:spacing w:val="-7"/>
        </w:rPr>
        <w:t> </w:t>
      </w:r>
      <w:r>
        <w:rPr/>
        <w:t>modes,</w:t>
      </w:r>
      <w:r>
        <w:rPr>
          <w:spacing w:val="-6"/>
        </w:rPr>
        <w:t> </w:t>
      </w:r>
      <w:r>
        <w:rPr/>
        <w:t>its</w:t>
      </w:r>
      <w:r>
        <w:rPr>
          <w:spacing w:val="-8"/>
        </w:rPr>
        <w:t> </w:t>
      </w:r>
      <w:r>
        <w:rPr/>
        <w:t>use</w:t>
      </w:r>
      <w:r>
        <w:rPr>
          <w:spacing w:val="-7"/>
        </w:rPr>
        <w:t> </w:t>
      </w:r>
      <w:r>
        <w:rPr/>
        <w:t>of subplot,</w:t>
      </w:r>
      <w:r>
        <w:rPr>
          <w:spacing w:val="-6"/>
        </w:rPr>
        <w:t> </w:t>
      </w:r>
      <w:r>
        <w:rPr/>
        <w:t>its</w:t>
      </w:r>
      <w:r>
        <w:rPr>
          <w:spacing w:val="-10"/>
        </w:rPr>
        <w:t> </w:t>
      </w:r>
      <w:r>
        <w:rPr/>
        <w:t>episodic</w:t>
      </w:r>
      <w:r>
        <w:rPr>
          <w:spacing w:val="-7"/>
        </w:rPr>
        <w:t> </w:t>
      </w:r>
      <w:r>
        <w:rPr/>
        <w:t>plotting,</w:t>
      </w:r>
      <w:r>
        <w:rPr>
          <w:spacing w:val="-6"/>
        </w:rPr>
        <w:t> </w:t>
      </w:r>
      <w:r>
        <w:rPr/>
        <w:t>its</w:t>
      </w:r>
      <w:r>
        <w:rPr>
          <w:spacing w:val="-8"/>
        </w:rPr>
        <w:t> </w:t>
      </w:r>
      <w:r>
        <w:rPr/>
        <w:t>verse/prose</w:t>
      </w:r>
      <w:r>
        <w:rPr>
          <w:spacing w:val="-9"/>
        </w:rPr>
        <w:t> </w:t>
      </w:r>
      <w:r>
        <w:rPr/>
        <w:t>alternations,</w:t>
      </w:r>
      <w:r>
        <w:rPr>
          <w:spacing w:val="-8"/>
        </w:rPr>
        <w:t> </w:t>
      </w:r>
      <w:r>
        <w:rPr/>
        <w:t>its</w:t>
      </w:r>
      <w:r>
        <w:rPr>
          <w:spacing w:val="-8"/>
        </w:rPr>
        <w:t> </w:t>
      </w:r>
      <w:r>
        <w:rPr/>
        <w:t>deployment </w:t>
      </w:r>
      <w:r>
        <w:rPr>
          <w:spacing w:val="-2"/>
        </w:rPr>
        <w:t>of</w:t>
      </w:r>
      <w:r>
        <w:rPr>
          <w:spacing w:val="-5"/>
        </w:rPr>
        <w:t> </w:t>
      </w:r>
      <w:r>
        <w:rPr>
          <w:spacing w:val="-2"/>
        </w:rPr>
        <w:t>disguise and mistaken</w:t>
      </w:r>
      <w:r>
        <w:rPr>
          <w:spacing w:val="-5"/>
        </w:rPr>
        <w:t> </w:t>
      </w:r>
      <w:r>
        <w:rPr>
          <w:spacing w:val="-2"/>
        </w:rPr>
        <w:t>identity</w:t>
      </w:r>
      <w:r>
        <w:rPr>
          <w:spacing w:val="-5"/>
        </w:rPr>
        <w:t> </w:t>
      </w:r>
      <w:r>
        <w:rPr>
          <w:spacing w:val="-2"/>
        </w:rPr>
        <w:t>have</w:t>
      </w:r>
      <w:r>
        <w:rPr>
          <w:spacing w:val="-4"/>
        </w:rPr>
        <w:t> </w:t>
      </w:r>
      <w:r>
        <w:rPr>
          <w:spacing w:val="-2"/>
        </w:rPr>
        <w:t>striking</w:t>
      </w:r>
      <w:r>
        <w:rPr>
          <w:spacing w:val="-5"/>
        </w:rPr>
        <w:t> </w:t>
      </w:r>
      <w:r>
        <w:rPr>
          <w:spacing w:val="-2"/>
        </w:rPr>
        <w:t>parallels</w:t>
      </w:r>
      <w:r>
        <w:rPr>
          <w:spacing w:val="-3"/>
        </w:rPr>
        <w:t> </w:t>
      </w:r>
      <w:r>
        <w:rPr>
          <w:spacing w:val="-2"/>
        </w:rPr>
        <w:t>with</w:t>
      </w:r>
      <w:r>
        <w:rPr>
          <w:spacing w:val="-5"/>
        </w:rPr>
        <w:t> </w:t>
      </w:r>
      <w:r>
        <w:rPr>
          <w:spacing w:val="-2"/>
        </w:rPr>
        <w:t>conventions </w:t>
      </w:r>
      <w:r>
        <w:rPr/>
        <w:t>of Sanskrit</w:t>
      </w:r>
      <w:r>
        <w:rPr>
          <w:spacing w:val="2"/>
        </w:rPr>
        <w:t> </w:t>
      </w:r>
      <w:r>
        <w:rPr/>
        <w:t>drama</w:t>
      </w:r>
      <w:r>
        <w:rPr>
          <w:spacing w:val="3"/>
        </w:rPr>
        <w:t> </w:t>
      </w:r>
      <w:r>
        <w:rPr/>
        <w:t>as</w:t>
      </w:r>
      <w:r>
        <w:rPr>
          <w:spacing w:val="4"/>
        </w:rPr>
        <w:t> </w:t>
      </w:r>
      <w:r>
        <w:rPr/>
        <w:t>theorized</w:t>
      </w:r>
      <w:r>
        <w:rPr>
          <w:spacing w:val="4"/>
        </w:rPr>
        <w:t> </w:t>
      </w:r>
      <w:r>
        <w:rPr/>
        <w:t>in</w:t>
      </w:r>
      <w:r>
        <w:rPr>
          <w:spacing w:val="2"/>
        </w:rPr>
        <w:t> </w:t>
      </w:r>
      <w:r>
        <w:rPr/>
        <w:t>Bharata’s</w:t>
      </w:r>
      <w:r>
        <w:rPr>
          <w:spacing w:val="5"/>
        </w:rPr>
        <w:t> </w:t>
      </w:r>
      <w:r>
        <w:rPr>
          <w:i/>
        </w:rPr>
        <w:t>Natyashastra</w:t>
      </w:r>
      <w:r>
        <w:rPr>
          <w:i/>
          <w:spacing w:val="6"/>
        </w:rPr>
        <w:t> </w:t>
      </w:r>
      <w:r>
        <w:rPr/>
        <w:t>and</w:t>
      </w:r>
      <w:r>
        <w:rPr>
          <w:spacing w:val="5"/>
        </w:rPr>
        <w:t> </w:t>
      </w:r>
      <w:r>
        <w:rPr>
          <w:spacing w:val="-2"/>
        </w:rPr>
        <w:t>practiced</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0912">
                <wp:simplePos x="0" y="0"/>
                <wp:positionH relativeFrom="page">
                  <wp:posOffset>2057400</wp:posOffset>
                </wp:positionH>
                <wp:positionV relativeFrom="paragraph">
                  <wp:posOffset>162604</wp:posOffset>
                </wp:positionV>
                <wp:extent cx="3657600" cy="12700"/>
                <wp:effectExtent l="0" t="0" r="0" b="0"/>
                <wp:wrapTopAndBottom/>
                <wp:docPr id="853" name="Graphic 853"/>
                <wp:cNvGraphicFramePr>
                  <a:graphicFrameLocks/>
                </wp:cNvGraphicFramePr>
                <a:graphic>
                  <a:graphicData uri="http://schemas.microsoft.com/office/word/2010/wordprocessingShape">
                    <wps:wsp>
                      <wps:cNvPr id="853" name="Graphic 85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05568;mso-wrap-distance-left:0;mso-wrap-distance-right:0" id="docshape845" filled="true" fillcolor="#000000" stroked="false">
                <v:fill type="solid"/>
                <w10:wrap type="topAndBottom"/>
              </v:rect>
            </w:pict>
          </mc:Fallback>
        </mc:AlternateContent>
      </w:r>
      <w:r>
        <w:rPr>
          <w:rFonts w:ascii="Verdana"/>
          <w:spacing w:val="-5"/>
          <w:sz w:val="18"/>
        </w:rPr>
        <w:t>448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in classical plays from the </w:t>
      </w:r>
      <w:r>
        <w:rPr>
          <w:i/>
        </w:rPr>
        <w:t>Abhijnanashakuntalam </w:t>
      </w:r>
      <w:r>
        <w:rPr/>
        <w:t>of Kalidasa to the </w:t>
      </w:r>
      <w:r>
        <w:rPr>
          <w:i/>
        </w:rPr>
        <w:t>Mricchakatika </w:t>
      </w:r>
      <w:r>
        <w:rPr/>
        <w:t>of Shudraka. The </w:t>
      </w:r>
      <w:r>
        <w:rPr>
          <w:i/>
        </w:rPr>
        <w:t>Natyashastra’s </w:t>
      </w:r>
      <w:r>
        <w:rPr/>
        <w:t>theory of rasa, the aesthetic emotions that theatrical performance evokes in audiences provide</w:t>
      </w:r>
      <w:r>
        <w:rPr>
          <w:spacing w:val="31"/>
        </w:rPr>
        <w:t> </w:t>
      </w:r>
      <w:r>
        <w:rPr/>
        <w:t>a</w:t>
      </w:r>
      <w:r>
        <w:rPr>
          <w:spacing w:val="-11"/>
        </w:rPr>
        <w:t> </w:t>
      </w:r>
      <w:r>
        <w:rPr/>
        <w:t>framework</w:t>
      </w:r>
      <w:r>
        <w:rPr>
          <w:spacing w:val="-13"/>
        </w:rPr>
        <w:t> </w:t>
      </w:r>
      <w:r>
        <w:rPr/>
        <w:t>that</w:t>
      </w:r>
      <w:r>
        <w:rPr>
          <w:spacing w:val="-11"/>
        </w:rPr>
        <w:t> </w:t>
      </w:r>
      <w:r>
        <w:rPr/>
        <w:t>many</w:t>
      </w:r>
      <w:r>
        <w:rPr>
          <w:spacing w:val="-13"/>
        </w:rPr>
        <w:t> </w:t>
      </w:r>
      <w:r>
        <w:rPr/>
        <w:t>Indian</w:t>
      </w:r>
      <w:r>
        <w:rPr>
          <w:spacing w:val="-12"/>
        </w:rPr>
        <w:t> </w:t>
      </w:r>
      <w:r>
        <w:rPr/>
        <w:t>critics</w:t>
      </w:r>
      <w:r>
        <w:rPr>
          <w:spacing w:val="-11"/>
        </w:rPr>
        <w:t> </w:t>
      </w:r>
      <w:r>
        <w:rPr/>
        <w:t>have</w:t>
      </w:r>
      <w:r>
        <w:rPr>
          <w:spacing w:val="-10"/>
        </w:rPr>
        <w:t> </w:t>
      </w:r>
      <w:r>
        <w:rPr/>
        <w:t>found</w:t>
      </w:r>
      <w:r>
        <w:rPr>
          <w:spacing w:val="-8"/>
        </w:rPr>
        <w:t> </w:t>
      </w:r>
      <w:r>
        <w:rPr/>
        <w:t>more</w:t>
      </w:r>
      <w:r>
        <w:rPr>
          <w:spacing w:val="-10"/>
        </w:rPr>
        <w:t> </w:t>
      </w:r>
      <w:r>
        <w:rPr/>
        <w:t>adequate for understanding the emotional dynamics of Shakespearean theatre than Western Aristotelian categories. As Rustom Bharucha argues in </w:t>
      </w:r>
      <w:r>
        <w:rPr>
          <w:spacing w:val="9"/>
        </w:rPr>
        <w:t>Theatre</w:t>
      </w:r>
      <w:r>
        <w:rPr>
          <w:spacing w:val="9"/>
        </w:rPr>
        <w:t> </w:t>
      </w:r>
      <w:r>
        <w:rPr/>
        <w:t>and the World, “the </w:t>
      </w:r>
      <w:r>
        <w:rPr>
          <w:spacing w:val="11"/>
        </w:rPr>
        <w:t>rasas—</w:t>
      </w:r>
      <w:r>
        <w:rPr>
          <w:spacing w:val="9"/>
        </w:rPr>
        <w:t>shringara</w:t>
      </w:r>
      <w:r>
        <w:rPr>
          <w:spacing w:val="9"/>
        </w:rPr>
        <w:t> (love),</w:t>
      </w:r>
      <w:r>
        <w:rPr>
          <w:spacing w:val="9"/>
        </w:rPr>
        <w:t> </w:t>
      </w:r>
      <w:r>
        <w:rPr/>
        <w:t>karuna (compassion),</w:t>
      </w:r>
      <w:r>
        <w:rPr>
          <w:spacing w:val="-10"/>
        </w:rPr>
        <w:t> </w:t>
      </w:r>
      <w:r>
        <w:rPr/>
        <w:t>vira</w:t>
      </w:r>
      <w:r>
        <w:rPr>
          <w:spacing w:val="-11"/>
        </w:rPr>
        <w:t> </w:t>
      </w:r>
      <w:r>
        <w:rPr/>
        <w:t>(heroism),</w:t>
      </w:r>
      <w:r>
        <w:rPr>
          <w:spacing w:val="-11"/>
        </w:rPr>
        <w:t> </w:t>
      </w:r>
      <w:r>
        <w:rPr/>
        <w:t>raudra</w:t>
      </w:r>
      <w:r>
        <w:rPr>
          <w:spacing w:val="-9"/>
        </w:rPr>
        <w:t> </w:t>
      </w:r>
      <w:r>
        <w:rPr/>
        <w:t>(fury),</w:t>
      </w:r>
      <w:r>
        <w:rPr>
          <w:spacing w:val="-11"/>
        </w:rPr>
        <w:t> </w:t>
      </w:r>
      <w:r>
        <w:rPr/>
        <w:t>bhayanaka</w:t>
      </w:r>
      <w:r>
        <w:rPr>
          <w:spacing w:val="-11"/>
        </w:rPr>
        <w:t> </w:t>
      </w:r>
      <w:r>
        <w:rPr/>
        <w:t>(terror),</w:t>
      </w:r>
      <w:r>
        <w:rPr>
          <w:spacing w:val="-11"/>
        </w:rPr>
        <w:t> </w:t>
      </w:r>
      <w:r>
        <w:rPr/>
        <w:t>bibhatsa (disgust), adbhuta (wonder), hasya (comedy) map onto the emotional terrain</w:t>
      </w:r>
      <w:r>
        <w:rPr>
          <w:spacing w:val="-4"/>
        </w:rPr>
        <w:t> </w:t>
      </w:r>
      <w:r>
        <w:rPr/>
        <w:t>of</w:t>
      </w:r>
      <w:r>
        <w:rPr>
          <w:spacing w:val="-4"/>
        </w:rPr>
        <w:t> </w:t>
      </w:r>
      <w:r>
        <w:rPr/>
        <w:t>Shakespearean</w:t>
      </w:r>
      <w:r>
        <w:rPr>
          <w:spacing w:val="-5"/>
        </w:rPr>
        <w:t> </w:t>
      </w:r>
      <w:r>
        <w:rPr/>
        <w:t>drama</w:t>
      </w:r>
      <w:r>
        <w:rPr>
          <w:spacing w:val="-2"/>
        </w:rPr>
        <w:t> </w:t>
      </w:r>
      <w:r>
        <w:rPr/>
        <w:t>with</w:t>
      </w:r>
      <w:r>
        <w:rPr>
          <w:spacing w:val="-2"/>
        </w:rPr>
        <w:t> </w:t>
      </w:r>
      <w:r>
        <w:rPr/>
        <w:t>remarkable</w:t>
      </w:r>
      <w:r>
        <w:rPr>
          <w:spacing w:val="-1"/>
        </w:rPr>
        <w:t> </w:t>
      </w:r>
      <w:r>
        <w:rPr/>
        <w:t>precision”</w:t>
      </w:r>
      <w:r>
        <w:rPr>
          <w:spacing w:val="-3"/>
        </w:rPr>
        <w:t> </w:t>
      </w:r>
      <w:r>
        <w:rPr/>
        <w:t>(93).</w:t>
      </w:r>
      <w:r>
        <w:rPr>
          <w:spacing w:val="-2"/>
        </w:rPr>
        <w:t> </w:t>
      </w:r>
      <w:r>
        <w:rPr/>
        <w:t>In</w:t>
      </w:r>
      <w:r>
        <w:rPr>
          <w:spacing w:val="-4"/>
        </w:rPr>
        <w:t> </w:t>
      </w:r>
      <w:r>
        <w:rPr/>
        <w:t>this view, the tragedy of </w:t>
      </w:r>
      <w:r>
        <w:rPr>
          <w:i/>
        </w:rPr>
        <w:t>Othello </w:t>
      </w:r>
      <w:r>
        <w:rPr/>
        <w:t>is not simply a matter of a flawed hero meeting his doom, but an orchestration of competing rasas, shringara giving way to raudra, raudra to karuna that produces the distinctive emotional experience of the play.</w:t>
      </w:r>
    </w:p>
    <w:p>
      <w:pPr>
        <w:pStyle w:val="BodyText"/>
        <w:spacing w:line="261" w:lineRule="auto" w:before="76"/>
        <w:ind w:right="1437" w:firstLine="432"/>
        <w:jc w:val="both"/>
      </w:pPr>
      <w:r>
        <w:rPr>
          <w:spacing w:val="-2"/>
        </w:rPr>
        <w:t>The Kerala Kalamandalam’s </w:t>
      </w:r>
      <w:r>
        <w:rPr>
          <w:i/>
          <w:spacing w:val="-2"/>
        </w:rPr>
        <w:t>Kathakali </w:t>
      </w:r>
      <w:r>
        <w:rPr>
          <w:spacing w:val="-2"/>
        </w:rPr>
        <w:t>adaptations</w:t>
      </w:r>
      <w:r>
        <w:rPr>
          <w:spacing w:val="-6"/>
        </w:rPr>
        <w:t> </w:t>
      </w:r>
      <w:r>
        <w:rPr>
          <w:spacing w:val="-2"/>
        </w:rPr>
        <w:t>of</w:t>
      </w:r>
      <w:r>
        <w:rPr>
          <w:spacing w:val="-3"/>
        </w:rPr>
        <w:t> </w:t>
      </w:r>
      <w:r>
        <w:rPr>
          <w:spacing w:val="-2"/>
        </w:rPr>
        <w:t>Shakespeare, </w:t>
      </w:r>
      <w:r>
        <w:rPr/>
        <w:t>initiated</w:t>
      </w:r>
      <w:r>
        <w:rPr>
          <w:spacing w:val="-2"/>
        </w:rPr>
        <w:t> </w:t>
      </w:r>
      <w:r>
        <w:rPr/>
        <w:t>in</w:t>
      </w:r>
      <w:r>
        <w:rPr>
          <w:spacing w:val="-4"/>
        </w:rPr>
        <w:t> </w:t>
      </w:r>
      <w:r>
        <w:rPr/>
        <w:t>the</w:t>
      </w:r>
      <w:r>
        <w:rPr>
          <w:spacing w:val="-6"/>
        </w:rPr>
        <w:t> </w:t>
      </w:r>
      <w:r>
        <w:rPr/>
        <w:t>late</w:t>
      </w:r>
      <w:r>
        <w:rPr>
          <w:spacing w:val="-1"/>
        </w:rPr>
        <w:t> </w:t>
      </w:r>
      <w:r>
        <w:rPr/>
        <w:t>1980s</w:t>
      </w:r>
      <w:r>
        <w:rPr>
          <w:spacing w:val="-4"/>
        </w:rPr>
        <w:t> </w:t>
      </w:r>
      <w:r>
        <w:rPr/>
        <w:t>and developed</w:t>
      </w:r>
      <w:r>
        <w:rPr>
          <w:spacing w:val="-2"/>
        </w:rPr>
        <w:t> </w:t>
      </w:r>
      <w:r>
        <w:rPr/>
        <w:t>through</w:t>
      </w:r>
      <w:r>
        <w:rPr>
          <w:spacing w:val="-4"/>
        </w:rPr>
        <w:t> </w:t>
      </w:r>
      <w:r>
        <w:rPr/>
        <w:t>the</w:t>
      </w:r>
      <w:r>
        <w:rPr>
          <w:spacing w:val="-5"/>
        </w:rPr>
        <w:t> </w:t>
      </w:r>
      <w:r>
        <w:rPr/>
        <w:t>work</w:t>
      </w:r>
      <w:r>
        <w:rPr>
          <w:spacing w:val="-4"/>
        </w:rPr>
        <w:t> </w:t>
      </w:r>
      <w:r>
        <w:rPr/>
        <w:t>of</w:t>
      </w:r>
      <w:r>
        <w:rPr>
          <w:spacing w:val="-4"/>
        </w:rPr>
        <w:t> </w:t>
      </w:r>
      <w:r>
        <w:rPr/>
        <w:t>artists</w:t>
      </w:r>
      <w:r>
        <w:rPr>
          <w:spacing w:val="-2"/>
        </w:rPr>
        <w:t> </w:t>
      </w:r>
      <w:r>
        <w:rPr/>
        <w:t>like Sadanam Krishnankutty, represent perhaps the most sustained and theoretically</w:t>
      </w:r>
      <w:r>
        <w:rPr>
          <w:spacing w:val="-12"/>
        </w:rPr>
        <w:t> </w:t>
      </w:r>
      <w:r>
        <w:rPr/>
        <w:t>sophisticated</w:t>
      </w:r>
      <w:r>
        <w:rPr>
          <w:spacing w:val="-10"/>
        </w:rPr>
        <w:t> </w:t>
      </w:r>
      <w:r>
        <w:rPr/>
        <w:t>exploration</w:t>
      </w:r>
      <w:r>
        <w:rPr>
          <w:spacing w:val="-10"/>
        </w:rPr>
        <w:t> </w:t>
      </w:r>
      <w:r>
        <w:rPr/>
        <w:t>of</w:t>
      </w:r>
      <w:r>
        <w:rPr>
          <w:spacing w:val="-13"/>
        </w:rPr>
        <w:t> </w:t>
      </w:r>
      <w:r>
        <w:rPr/>
        <w:t>this</w:t>
      </w:r>
      <w:r>
        <w:rPr>
          <w:spacing w:val="-9"/>
        </w:rPr>
        <w:t> </w:t>
      </w:r>
      <w:r>
        <w:rPr/>
        <w:t>resonance.</w:t>
      </w:r>
      <w:r>
        <w:rPr>
          <w:spacing w:val="-11"/>
        </w:rPr>
        <w:t> </w:t>
      </w:r>
      <w:r>
        <w:rPr/>
        <w:t>Kathakali,</w:t>
      </w:r>
      <w:r>
        <w:rPr>
          <w:spacing w:val="-8"/>
        </w:rPr>
        <w:t> </w:t>
      </w:r>
      <w:r>
        <w:rPr/>
        <w:t>with its highly codified gestural language (mudras), its elaborate facial expressions (navarasas), its spectacular costuming, and its tradition of performing narratives from Hindu epics over all-night performances, might seem an unlikely vehicle for Shakespearean drama. Yet the productions of </w:t>
      </w:r>
      <w:r>
        <w:rPr>
          <w:i/>
        </w:rPr>
        <w:t>Kathakali King Lear </w:t>
      </w:r>
      <w:r>
        <w:rPr/>
        <w:t>(1989) and </w:t>
      </w:r>
      <w:r>
        <w:rPr>
          <w:i/>
        </w:rPr>
        <w:t>Kathakali Othello </w:t>
      </w:r>
      <w:r>
        <w:rPr/>
        <w:t>demonstrated that the formal resources of Kathakali could do extraordinary things with Shakespearean psychological complexity. In the play’s central movement from pride to madness to suffering was rendered</w:t>
      </w:r>
      <w:r>
        <w:rPr>
          <w:spacing w:val="-7"/>
        </w:rPr>
        <w:t> </w:t>
      </w:r>
      <w:r>
        <w:rPr/>
        <w:t>through</w:t>
      </w:r>
      <w:r>
        <w:rPr>
          <w:spacing w:val="-11"/>
        </w:rPr>
        <w:t> </w:t>
      </w:r>
      <w:r>
        <w:rPr/>
        <w:t>a</w:t>
      </w:r>
      <w:r>
        <w:rPr>
          <w:spacing w:val="-5"/>
        </w:rPr>
        <w:t> </w:t>
      </w:r>
      <w:r>
        <w:rPr/>
        <w:t>performance</w:t>
      </w:r>
      <w:r>
        <w:rPr>
          <w:spacing w:val="-9"/>
        </w:rPr>
        <w:t> </w:t>
      </w:r>
      <w:r>
        <w:rPr/>
        <w:t>vocabulary</w:t>
      </w:r>
      <w:r>
        <w:rPr>
          <w:spacing w:val="-12"/>
        </w:rPr>
        <w:t> </w:t>
      </w:r>
      <w:r>
        <w:rPr/>
        <w:t>that</w:t>
      </w:r>
      <w:r>
        <w:rPr>
          <w:spacing w:val="-8"/>
        </w:rPr>
        <w:t> </w:t>
      </w:r>
      <w:r>
        <w:rPr/>
        <w:t>audiences</w:t>
      </w:r>
      <w:r>
        <w:rPr>
          <w:spacing w:val="-7"/>
        </w:rPr>
        <w:t> </w:t>
      </w:r>
      <w:r>
        <w:rPr/>
        <w:t>familiar</w:t>
      </w:r>
      <w:r>
        <w:rPr>
          <w:spacing w:val="-7"/>
        </w:rPr>
        <w:t> </w:t>
      </w:r>
      <w:r>
        <w:rPr/>
        <w:t>with Kathakali</w:t>
      </w:r>
      <w:r>
        <w:rPr>
          <w:spacing w:val="-8"/>
        </w:rPr>
        <w:t> </w:t>
      </w:r>
      <w:r>
        <w:rPr/>
        <w:t>immediately</w:t>
      </w:r>
      <w:r>
        <w:rPr>
          <w:spacing w:val="-11"/>
        </w:rPr>
        <w:t> </w:t>
      </w:r>
      <w:r>
        <w:rPr/>
        <w:t>understood</w:t>
      </w:r>
      <w:r>
        <w:rPr>
          <w:spacing w:val="-8"/>
        </w:rPr>
        <w:t> </w:t>
      </w:r>
      <w:r>
        <w:rPr/>
        <w:t>as</w:t>
      </w:r>
      <w:r>
        <w:rPr>
          <w:spacing w:val="-10"/>
        </w:rPr>
        <w:t> </w:t>
      </w:r>
      <w:r>
        <w:rPr/>
        <w:t>the</w:t>
      </w:r>
      <w:r>
        <w:rPr>
          <w:spacing w:val="-9"/>
        </w:rPr>
        <w:t> </w:t>
      </w:r>
      <w:r>
        <w:rPr/>
        <w:t>representation</w:t>
      </w:r>
      <w:r>
        <w:rPr>
          <w:spacing w:val="-11"/>
        </w:rPr>
        <w:t> </w:t>
      </w:r>
      <w:r>
        <w:rPr/>
        <w:t>of</w:t>
      </w:r>
      <w:r>
        <w:rPr>
          <w:spacing w:val="-10"/>
        </w:rPr>
        <w:t> </w:t>
      </w:r>
      <w:r>
        <w:rPr/>
        <w:t>a</w:t>
      </w:r>
      <w:r>
        <w:rPr>
          <w:spacing w:val="-10"/>
        </w:rPr>
        <w:t> </w:t>
      </w:r>
      <w:r>
        <w:rPr/>
        <w:t>great</w:t>
      </w:r>
      <w:r>
        <w:rPr>
          <w:spacing w:val="-9"/>
        </w:rPr>
        <w:t> </w:t>
      </w:r>
      <w:r>
        <w:rPr/>
        <w:t>man’s fall from nobility (sattvika character) to a state of dissolution and breakdown. The storm on the heath, a scene that presents enormous challenges to naturalistic theatre became in the Kathakali version and</w:t>
      </w:r>
      <w:r>
        <w:rPr>
          <w:spacing w:val="40"/>
        </w:rPr>
        <w:t> </w:t>
      </w:r>
      <w:r>
        <w:rPr>
          <w:spacing w:val="-2"/>
        </w:rPr>
        <w:t>an</w:t>
      </w:r>
      <w:r>
        <w:rPr>
          <w:spacing w:val="-11"/>
        </w:rPr>
        <w:t> </w:t>
      </w:r>
      <w:r>
        <w:rPr>
          <w:spacing w:val="-2"/>
        </w:rPr>
        <w:t>opportunity</w:t>
      </w:r>
      <w:r>
        <w:rPr>
          <w:spacing w:val="-10"/>
        </w:rPr>
        <w:t> </w:t>
      </w:r>
      <w:r>
        <w:rPr>
          <w:spacing w:val="-2"/>
        </w:rPr>
        <w:t>for</w:t>
      </w:r>
      <w:r>
        <w:rPr>
          <w:spacing w:val="-11"/>
        </w:rPr>
        <w:t> </w:t>
      </w:r>
      <w:r>
        <w:rPr>
          <w:spacing w:val="-2"/>
        </w:rPr>
        <w:t>the</w:t>
      </w:r>
      <w:r>
        <w:rPr>
          <w:spacing w:val="-10"/>
        </w:rPr>
        <w:t> </w:t>
      </w:r>
      <w:r>
        <w:rPr>
          <w:spacing w:val="-2"/>
        </w:rPr>
        <w:t>display</w:t>
      </w:r>
      <w:r>
        <w:rPr>
          <w:spacing w:val="-11"/>
        </w:rPr>
        <w:t> </w:t>
      </w:r>
      <w:r>
        <w:rPr>
          <w:spacing w:val="-2"/>
        </w:rPr>
        <w:t>of</w:t>
      </w:r>
      <w:r>
        <w:rPr>
          <w:spacing w:val="-10"/>
        </w:rPr>
        <w:t> </w:t>
      </w:r>
      <w:r>
        <w:rPr>
          <w:spacing w:val="-2"/>
        </w:rPr>
        <w:t>stylized</w:t>
      </w:r>
      <w:r>
        <w:rPr>
          <w:spacing w:val="-11"/>
        </w:rPr>
        <w:t> </w:t>
      </w:r>
      <w:r>
        <w:rPr>
          <w:spacing w:val="-2"/>
        </w:rPr>
        <w:t>performance</w:t>
      </w:r>
      <w:r>
        <w:rPr>
          <w:spacing w:val="-10"/>
        </w:rPr>
        <w:t> </w:t>
      </w:r>
      <w:r>
        <w:rPr>
          <w:spacing w:val="-2"/>
        </w:rPr>
        <w:t>skills</w:t>
      </w:r>
      <w:r>
        <w:rPr>
          <w:spacing w:val="-11"/>
        </w:rPr>
        <w:t> </w:t>
      </w:r>
      <w:r>
        <w:rPr>
          <w:spacing w:val="-2"/>
        </w:rPr>
        <w:t>that</w:t>
      </w:r>
      <w:r>
        <w:rPr>
          <w:spacing w:val="-10"/>
        </w:rPr>
        <w:t> </w:t>
      </w:r>
      <w:r>
        <w:rPr>
          <w:spacing w:val="-2"/>
        </w:rPr>
        <w:t>Kathakali </w:t>
      </w:r>
      <w:r>
        <w:rPr/>
        <w:t>has</w:t>
      </w:r>
      <w:r>
        <w:rPr>
          <w:spacing w:val="-3"/>
        </w:rPr>
        <w:t> </w:t>
      </w:r>
      <w:r>
        <w:rPr/>
        <w:t>refined</w:t>
      </w:r>
      <w:r>
        <w:rPr>
          <w:spacing w:val="-3"/>
        </w:rPr>
        <w:t> </w:t>
      </w:r>
      <w:r>
        <w:rPr/>
        <w:t>over centuries:</w:t>
      </w:r>
      <w:r>
        <w:rPr>
          <w:spacing w:val="-3"/>
        </w:rPr>
        <w:t> </w:t>
      </w:r>
      <w:r>
        <w:rPr/>
        <w:t>the</w:t>
      </w:r>
      <w:r>
        <w:rPr>
          <w:spacing w:val="-4"/>
        </w:rPr>
        <w:t> </w:t>
      </w:r>
      <w:r>
        <w:rPr/>
        <w:t>vigorous</w:t>
      </w:r>
      <w:r>
        <w:rPr>
          <w:spacing w:val="-4"/>
        </w:rPr>
        <w:t> </w:t>
      </w:r>
      <w:r>
        <w:rPr/>
        <w:t>footwork</w:t>
      </w:r>
      <w:r>
        <w:rPr>
          <w:spacing w:val="-3"/>
        </w:rPr>
        <w:t> </w:t>
      </w:r>
      <w:r>
        <w:rPr/>
        <w:t>(kalasam),</w:t>
      </w:r>
      <w:r>
        <w:rPr>
          <w:spacing w:val="-3"/>
        </w:rPr>
        <w:t> </w:t>
      </w:r>
      <w:r>
        <w:rPr/>
        <w:t>the</w:t>
      </w:r>
      <w:r>
        <w:rPr>
          <w:spacing w:val="-3"/>
        </w:rPr>
        <w:t> </w:t>
      </w:r>
      <w:r>
        <w:rPr/>
        <w:t>furious facial expressions of raudra rasa, the total physicalization of emotional </w:t>
      </w:r>
      <w:r>
        <w:rPr>
          <w:spacing w:val="-2"/>
        </w:rPr>
        <w:t>extremity.</w:t>
      </w:r>
      <w:r>
        <w:rPr>
          <w:spacing w:val="-11"/>
        </w:rPr>
        <w:t> </w:t>
      </w:r>
      <w:r>
        <w:rPr>
          <w:spacing w:val="-2"/>
        </w:rPr>
        <w:t>As</w:t>
      </w:r>
      <w:r>
        <w:rPr>
          <w:spacing w:val="-10"/>
        </w:rPr>
        <w:t> </w:t>
      </w:r>
      <w:r>
        <w:rPr>
          <w:spacing w:val="-2"/>
        </w:rPr>
        <w:t>Farley</w:t>
      </w:r>
      <w:r>
        <w:rPr>
          <w:spacing w:val="-11"/>
        </w:rPr>
        <w:t> </w:t>
      </w:r>
      <w:r>
        <w:rPr>
          <w:spacing w:val="-2"/>
        </w:rPr>
        <w:t>Richmond</w:t>
      </w:r>
      <w:r>
        <w:rPr>
          <w:spacing w:val="-10"/>
        </w:rPr>
        <w:t> </w:t>
      </w:r>
      <w:r>
        <w:rPr>
          <w:spacing w:val="-2"/>
        </w:rPr>
        <w:t>observes,</w:t>
      </w:r>
      <w:r>
        <w:rPr>
          <w:spacing w:val="-11"/>
        </w:rPr>
        <w:t> </w:t>
      </w:r>
      <w:r>
        <w:rPr>
          <w:spacing w:val="-2"/>
        </w:rPr>
        <w:t>“the</w:t>
      </w:r>
      <w:r>
        <w:rPr>
          <w:spacing w:val="-10"/>
        </w:rPr>
        <w:t> </w:t>
      </w:r>
      <w:r>
        <w:rPr>
          <w:spacing w:val="-2"/>
        </w:rPr>
        <w:t>stylization</w:t>
      </w:r>
      <w:r>
        <w:rPr>
          <w:spacing w:val="-11"/>
        </w:rPr>
        <w:t> </w:t>
      </w:r>
      <w:r>
        <w:rPr>
          <w:spacing w:val="-2"/>
        </w:rPr>
        <w:t>that</w:t>
      </w:r>
      <w:r>
        <w:rPr>
          <w:spacing w:val="-10"/>
        </w:rPr>
        <w:t> </w:t>
      </w:r>
      <w:r>
        <w:rPr>
          <w:spacing w:val="-2"/>
        </w:rPr>
        <w:t>in</w:t>
      </w:r>
      <w:r>
        <w:rPr>
          <w:spacing w:val="-11"/>
        </w:rPr>
        <w:t> </w:t>
      </w:r>
      <w:r>
        <w:rPr>
          <w:spacing w:val="-2"/>
        </w:rPr>
        <w:t>European </w:t>
      </w:r>
      <w:r>
        <w:rPr/>
        <w:t>theatrical contexts can seem like an obstacle to emotional engagement becomes</w:t>
      </w:r>
      <w:r>
        <w:rPr>
          <w:spacing w:val="-2"/>
        </w:rPr>
        <w:t> </w:t>
      </w:r>
      <w:r>
        <w:rPr/>
        <w:t>in Kathakali</w:t>
      </w:r>
      <w:r>
        <w:rPr>
          <w:spacing w:val="-2"/>
        </w:rPr>
        <w:t> </w:t>
      </w:r>
      <w:r>
        <w:rPr/>
        <w:t>an</w:t>
      </w:r>
      <w:r>
        <w:rPr>
          <w:spacing w:val="-2"/>
        </w:rPr>
        <w:t> </w:t>
      </w:r>
      <w:r>
        <w:rPr/>
        <w:t>amplifier of</w:t>
      </w:r>
      <w:r>
        <w:rPr>
          <w:spacing w:val="-2"/>
        </w:rPr>
        <w:t> </w:t>
      </w:r>
      <w:r>
        <w:rPr/>
        <w:t>feeling, allowing</w:t>
      </w:r>
      <w:r>
        <w:rPr>
          <w:spacing w:val="-4"/>
        </w:rPr>
        <w:t> </w:t>
      </w:r>
      <w:r>
        <w:rPr/>
        <w:t>the performer to inhabit emotional states at an intensity that naturalistic acting cannot match”</w:t>
      </w:r>
      <w:r>
        <w:rPr>
          <w:spacing w:val="-13"/>
        </w:rPr>
        <w:t> </w:t>
      </w:r>
      <w:r>
        <w:rPr/>
        <w:t>(214).</w:t>
      </w:r>
    </w:p>
    <w:p>
      <w:pPr>
        <w:pStyle w:val="BodyText"/>
        <w:spacing w:after="0" w:line="261"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81"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1424">
                <wp:simplePos x="0" y="0"/>
                <wp:positionH relativeFrom="page">
                  <wp:posOffset>2065020</wp:posOffset>
                </wp:positionH>
                <wp:positionV relativeFrom="paragraph">
                  <wp:posOffset>162604</wp:posOffset>
                </wp:positionV>
                <wp:extent cx="3657600" cy="12700"/>
                <wp:effectExtent l="0" t="0" r="0" b="0"/>
                <wp:wrapTopAndBottom/>
                <wp:docPr id="854" name="Graphic 854"/>
                <wp:cNvGraphicFramePr>
                  <a:graphicFrameLocks/>
                </wp:cNvGraphicFramePr>
                <a:graphic>
                  <a:graphicData uri="http://schemas.microsoft.com/office/word/2010/wordprocessingShape">
                    <wps:wsp>
                      <wps:cNvPr id="854" name="Graphic 85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405056;mso-wrap-distance-left:0;mso-wrap-distance-right:0" id="docshape846" filled="true" fillcolor="#000000" stroked="false">
                <v:fill type="solid"/>
                <w10:wrap type="topAndBottom"/>
              </v:rect>
            </w:pict>
          </mc:Fallback>
        </mc:AlternateContent>
      </w:r>
      <w:r>
        <w:rPr>
          <w:rFonts w:ascii="Verdana"/>
          <w:sz w:val="18"/>
        </w:rPr>
        <w:t>Shakespeare</w:t>
      </w:r>
      <w:r>
        <w:rPr>
          <w:rFonts w:ascii="Verdana"/>
          <w:spacing w:val="-3"/>
          <w:sz w:val="18"/>
        </w:rPr>
        <w:t> </w:t>
      </w:r>
      <w:r>
        <w:rPr>
          <w:rFonts w:ascii="Verdana"/>
          <w:sz w:val="18"/>
        </w:rPr>
        <w:t>in</w:t>
      </w:r>
      <w:r>
        <w:rPr>
          <w:rFonts w:ascii="Verdana"/>
          <w:spacing w:val="-2"/>
          <w:sz w:val="18"/>
        </w:rPr>
        <w:t> </w:t>
      </w:r>
      <w:r>
        <w:rPr>
          <w:rFonts w:ascii="Verdana"/>
          <w:sz w:val="18"/>
        </w:rPr>
        <w:t>Indian</w:t>
      </w:r>
      <w:r>
        <w:rPr>
          <w:rFonts w:ascii="Verdana"/>
          <w:spacing w:val="-2"/>
          <w:sz w:val="18"/>
        </w:rPr>
        <w:t> </w:t>
      </w:r>
      <w:r>
        <w:rPr>
          <w:rFonts w:ascii="Verdana"/>
          <w:sz w:val="18"/>
        </w:rPr>
        <w:t>Theatre:</w:t>
      </w:r>
      <w:r>
        <w:rPr>
          <w:rFonts w:ascii="Verdana"/>
          <w:spacing w:val="-4"/>
          <w:sz w:val="18"/>
        </w:rPr>
        <w:t> </w:t>
      </w:r>
      <w:r>
        <w:rPr>
          <w:rFonts w:ascii="Verdana"/>
          <w:sz w:val="18"/>
        </w:rPr>
        <w:t>A</w:t>
      </w:r>
      <w:r>
        <w:rPr>
          <w:rFonts w:ascii="Verdana"/>
          <w:spacing w:val="-9"/>
          <w:sz w:val="18"/>
        </w:rPr>
        <w:t> </w:t>
      </w:r>
      <w:r>
        <w:rPr>
          <w:rFonts w:ascii="Verdana"/>
          <w:sz w:val="18"/>
        </w:rPr>
        <w:t>Rich</w:t>
      </w:r>
      <w:r>
        <w:rPr>
          <w:rFonts w:ascii="Verdana"/>
          <w:spacing w:val="-1"/>
          <w:sz w:val="18"/>
        </w:rPr>
        <w:t> </w:t>
      </w:r>
      <w:r>
        <w:rPr>
          <w:rFonts w:ascii="Verdana"/>
          <w:sz w:val="18"/>
        </w:rPr>
        <w:t>Legacy</w:t>
      </w:r>
      <w:r>
        <w:rPr>
          <w:rFonts w:ascii="Verdana"/>
          <w:spacing w:val="-3"/>
          <w:sz w:val="18"/>
        </w:rPr>
        <w:t> </w:t>
      </w:r>
      <w:r>
        <w:rPr>
          <w:rFonts w:ascii="Verdana"/>
          <w:sz w:val="18"/>
        </w:rPr>
        <w:t>of</w:t>
      </w:r>
      <w:r>
        <w:rPr>
          <w:rFonts w:ascii="Verdana"/>
          <w:spacing w:val="-1"/>
          <w:sz w:val="18"/>
        </w:rPr>
        <w:t> </w:t>
      </w:r>
      <w:r>
        <w:rPr>
          <w:rFonts w:ascii="Verdana"/>
          <w:spacing w:val="-5"/>
          <w:sz w:val="18"/>
        </w:rPr>
        <w:t>...</w:t>
      </w:r>
      <w:r>
        <w:rPr>
          <w:sz w:val="18"/>
        </w:rPr>
        <w:tab/>
      </w:r>
      <w:r>
        <w:rPr>
          <w:rFonts w:ascii="Verdana"/>
          <w:spacing w:val="-5"/>
          <w:sz w:val="18"/>
        </w:rPr>
        <w:t>449</w:t>
      </w:r>
    </w:p>
    <w:p>
      <w:pPr>
        <w:pStyle w:val="Heading3"/>
      </w:pPr>
      <w:r>
        <w:rPr>
          <w:w w:val="90"/>
        </w:rPr>
        <w:t>LANGUAGE,</w:t>
      </w:r>
      <w:r>
        <w:rPr>
          <w:spacing w:val="25"/>
        </w:rPr>
        <w:t> </w:t>
      </w:r>
      <w:r>
        <w:rPr>
          <w:w w:val="90"/>
        </w:rPr>
        <w:t>TRANSLATION,</w:t>
      </w:r>
      <w:r>
        <w:rPr>
          <w:spacing w:val="22"/>
        </w:rPr>
        <w:t> </w:t>
      </w:r>
      <w:r>
        <w:rPr>
          <w:w w:val="90"/>
        </w:rPr>
        <w:t>AND</w:t>
      </w:r>
      <w:r>
        <w:rPr>
          <w:spacing w:val="26"/>
        </w:rPr>
        <w:t> </w:t>
      </w:r>
      <w:r>
        <w:rPr>
          <w:spacing w:val="-2"/>
          <w:w w:val="90"/>
        </w:rPr>
        <w:t>AUTHENTICITY</w:t>
      </w:r>
    </w:p>
    <w:p>
      <w:pPr>
        <w:pStyle w:val="BodyText"/>
        <w:spacing w:line="264" w:lineRule="auto" w:before="82"/>
        <w:ind w:right="1437" w:firstLine="432"/>
        <w:jc w:val="both"/>
      </w:pPr>
      <w:r>
        <w:rPr/>
        <w:t>Any</w:t>
      </w:r>
      <w:r>
        <w:rPr>
          <w:spacing w:val="-13"/>
        </w:rPr>
        <w:t> </w:t>
      </w:r>
      <w:r>
        <w:rPr/>
        <w:t>account</w:t>
      </w:r>
      <w:r>
        <w:rPr>
          <w:spacing w:val="-12"/>
        </w:rPr>
        <w:t> </w:t>
      </w:r>
      <w:r>
        <w:rPr/>
        <w:t>of</w:t>
      </w:r>
      <w:r>
        <w:rPr>
          <w:spacing w:val="-10"/>
        </w:rPr>
        <w:t> </w:t>
      </w:r>
      <w:r>
        <w:rPr/>
        <w:t>Shakespeare’s</w:t>
      </w:r>
      <w:r>
        <w:rPr>
          <w:spacing w:val="-12"/>
        </w:rPr>
        <w:t> </w:t>
      </w:r>
      <w:r>
        <w:rPr/>
        <w:t>indigenization</w:t>
      </w:r>
      <w:r>
        <w:rPr>
          <w:spacing w:val="-10"/>
        </w:rPr>
        <w:t> </w:t>
      </w:r>
      <w:r>
        <w:rPr/>
        <w:t>in</w:t>
      </w:r>
      <w:r>
        <w:rPr>
          <w:spacing w:val="-12"/>
        </w:rPr>
        <w:t> </w:t>
      </w:r>
      <w:r>
        <w:rPr/>
        <w:t>India</w:t>
      </w:r>
      <w:r>
        <w:rPr>
          <w:spacing w:val="-9"/>
        </w:rPr>
        <w:t> </w:t>
      </w:r>
      <w:r>
        <w:rPr/>
        <w:t>must</w:t>
      </w:r>
      <w:r>
        <w:rPr>
          <w:spacing w:val="-10"/>
        </w:rPr>
        <w:t> </w:t>
      </w:r>
      <w:r>
        <w:rPr/>
        <w:t>grapple seriously with the question of language. Shakespeare’s plays were written in Elizabethan English, moreover, with its particular rhetorical flourishes, its</w:t>
      </w:r>
      <w:r>
        <w:rPr>
          <w:spacing w:val="-1"/>
        </w:rPr>
        <w:t> </w:t>
      </w:r>
      <w:r>
        <w:rPr/>
        <w:t>puns, its</w:t>
      </w:r>
      <w:r>
        <w:rPr>
          <w:spacing w:val="-1"/>
        </w:rPr>
        <w:t> </w:t>
      </w:r>
      <w:r>
        <w:rPr/>
        <w:t>verse rhythms</w:t>
      </w:r>
      <w:r>
        <w:rPr>
          <w:spacing w:val="-1"/>
        </w:rPr>
        <w:t> </w:t>
      </w:r>
      <w:r>
        <w:rPr/>
        <w:t>and any</w:t>
      </w:r>
      <w:r>
        <w:rPr>
          <w:spacing w:val="-1"/>
        </w:rPr>
        <w:t> </w:t>
      </w:r>
      <w:r>
        <w:rPr/>
        <w:t>translation into an Indian language involves not merely the transposition of meaning but the creation</w:t>
      </w:r>
      <w:r>
        <w:rPr>
          <w:spacing w:val="-7"/>
        </w:rPr>
        <w:t> </w:t>
      </w:r>
      <w:r>
        <w:rPr/>
        <w:t>of</w:t>
      </w:r>
      <w:r>
        <w:rPr>
          <w:spacing w:val="-5"/>
        </w:rPr>
        <w:t> </w:t>
      </w:r>
      <w:r>
        <w:rPr/>
        <w:t>an</w:t>
      </w:r>
      <w:r>
        <w:rPr>
          <w:spacing w:val="-4"/>
        </w:rPr>
        <w:t> </w:t>
      </w:r>
      <w:r>
        <w:rPr/>
        <w:t>entirely</w:t>
      </w:r>
      <w:r>
        <w:rPr>
          <w:spacing w:val="-9"/>
        </w:rPr>
        <w:t> </w:t>
      </w:r>
      <w:r>
        <w:rPr/>
        <w:t>new</w:t>
      </w:r>
      <w:r>
        <w:rPr>
          <w:spacing w:val="-9"/>
        </w:rPr>
        <w:t> </w:t>
      </w:r>
      <w:r>
        <w:rPr/>
        <w:t>verbal</w:t>
      </w:r>
      <w:r>
        <w:rPr>
          <w:spacing w:val="-5"/>
        </w:rPr>
        <w:t> </w:t>
      </w:r>
      <w:r>
        <w:rPr/>
        <w:t>artifact.</w:t>
      </w:r>
      <w:r>
        <w:rPr>
          <w:spacing w:val="-5"/>
        </w:rPr>
        <w:t> </w:t>
      </w:r>
      <w:r>
        <w:rPr/>
        <w:t>The</w:t>
      </w:r>
      <w:r>
        <w:rPr>
          <w:spacing w:val="-4"/>
        </w:rPr>
        <w:t> </w:t>
      </w:r>
      <w:r>
        <w:rPr/>
        <w:t>history</w:t>
      </w:r>
      <w:r>
        <w:rPr>
          <w:spacing w:val="-9"/>
        </w:rPr>
        <w:t> </w:t>
      </w:r>
      <w:r>
        <w:rPr/>
        <w:t>of</w:t>
      </w:r>
      <w:r>
        <w:rPr>
          <w:spacing w:val="-5"/>
        </w:rPr>
        <w:t> </w:t>
      </w:r>
      <w:r>
        <w:rPr/>
        <w:t>Shakespearean translation in India is, accordingly, a history of creative reinvention rather than faithful reproduction. The challenges of translation are formidable. English blank verse, with its iambic pentameter and its tradition</w:t>
      </w:r>
      <w:r>
        <w:rPr>
          <w:spacing w:val="-13"/>
        </w:rPr>
        <w:t> </w:t>
      </w:r>
      <w:r>
        <w:rPr/>
        <w:t>of</w:t>
      </w:r>
      <w:r>
        <w:rPr>
          <w:spacing w:val="-12"/>
        </w:rPr>
        <w:t> </w:t>
      </w:r>
      <w:r>
        <w:rPr/>
        <w:t>individualizing</w:t>
      </w:r>
      <w:r>
        <w:rPr>
          <w:spacing w:val="-13"/>
        </w:rPr>
        <w:t> </w:t>
      </w:r>
      <w:r>
        <w:rPr/>
        <w:t>character</w:t>
      </w:r>
      <w:r>
        <w:rPr>
          <w:spacing w:val="-12"/>
        </w:rPr>
        <w:t> </w:t>
      </w:r>
      <w:r>
        <w:rPr/>
        <w:t>through</w:t>
      </w:r>
      <w:r>
        <w:rPr>
          <w:spacing w:val="-13"/>
        </w:rPr>
        <w:t> </w:t>
      </w:r>
      <w:r>
        <w:rPr/>
        <w:t>distinctive</w:t>
      </w:r>
      <w:r>
        <w:rPr>
          <w:spacing w:val="-12"/>
        </w:rPr>
        <w:t> </w:t>
      </w:r>
      <w:r>
        <w:rPr/>
        <w:t>speech</w:t>
      </w:r>
      <w:r>
        <w:rPr>
          <w:spacing w:val="-13"/>
        </w:rPr>
        <w:t> </w:t>
      </w:r>
      <w:r>
        <w:rPr/>
        <w:t>patterns, has no obvious equivalent in any of</w:t>
      </w:r>
      <w:r>
        <w:rPr>
          <w:spacing w:val="-2"/>
        </w:rPr>
        <w:t> </w:t>
      </w:r>
      <w:r>
        <w:rPr/>
        <w:t>India’s major languages. Hindi and Urdu translators of the nineteenth and early twentieth century’s frequently rendered Shakespearean verse in traditional prosodic forms, dohas, ghazals, classical meters that carried their own rich associations and transformed</w:t>
      </w:r>
      <w:r>
        <w:rPr>
          <w:spacing w:val="-2"/>
        </w:rPr>
        <w:t> </w:t>
      </w:r>
      <w:r>
        <w:rPr/>
        <w:t>the</w:t>
      </w:r>
      <w:r>
        <w:rPr>
          <w:spacing w:val="-2"/>
        </w:rPr>
        <w:t> </w:t>
      </w:r>
      <w:r>
        <w:rPr/>
        <w:t>feel</w:t>
      </w:r>
      <w:r>
        <w:rPr>
          <w:spacing w:val="-1"/>
        </w:rPr>
        <w:t> </w:t>
      </w:r>
      <w:r>
        <w:rPr/>
        <w:t>of</w:t>
      </w:r>
      <w:r>
        <w:rPr>
          <w:spacing w:val="-2"/>
        </w:rPr>
        <w:t> </w:t>
      </w:r>
      <w:r>
        <w:rPr/>
        <w:t>the</w:t>
      </w:r>
      <w:r>
        <w:rPr>
          <w:spacing w:val="-4"/>
        </w:rPr>
        <w:t> </w:t>
      </w:r>
      <w:r>
        <w:rPr/>
        <w:t>plays</w:t>
      </w:r>
      <w:r>
        <w:rPr>
          <w:spacing w:val="-2"/>
        </w:rPr>
        <w:t> </w:t>
      </w:r>
      <w:r>
        <w:rPr/>
        <w:t>in</w:t>
      </w:r>
      <w:r>
        <w:rPr>
          <w:spacing w:val="-2"/>
        </w:rPr>
        <w:t> </w:t>
      </w:r>
      <w:r>
        <w:rPr/>
        <w:t>the</w:t>
      </w:r>
      <w:r>
        <w:rPr>
          <w:spacing w:val="-1"/>
        </w:rPr>
        <w:t> </w:t>
      </w:r>
      <w:r>
        <w:rPr/>
        <w:t>process.</w:t>
      </w:r>
      <w:r>
        <w:rPr>
          <w:spacing w:val="-2"/>
        </w:rPr>
        <w:t> </w:t>
      </w:r>
      <w:r>
        <w:rPr/>
        <w:t>Bengali</w:t>
      </w:r>
      <w:r>
        <w:rPr>
          <w:spacing w:val="-1"/>
        </w:rPr>
        <w:t> </w:t>
      </w:r>
      <w:r>
        <w:rPr/>
        <w:t>translators, working</w:t>
      </w:r>
      <w:r>
        <w:rPr>
          <w:spacing w:val="-13"/>
        </w:rPr>
        <w:t> </w:t>
      </w:r>
      <w:r>
        <w:rPr/>
        <w:t>in</w:t>
      </w:r>
      <w:r>
        <w:rPr>
          <w:spacing w:val="-12"/>
        </w:rPr>
        <w:t> </w:t>
      </w:r>
      <w:r>
        <w:rPr/>
        <w:t>a</w:t>
      </w:r>
      <w:r>
        <w:rPr>
          <w:spacing w:val="-13"/>
        </w:rPr>
        <w:t> </w:t>
      </w:r>
      <w:r>
        <w:rPr/>
        <w:t>tradition</w:t>
      </w:r>
      <w:r>
        <w:rPr>
          <w:spacing w:val="-12"/>
        </w:rPr>
        <w:t> </w:t>
      </w:r>
      <w:r>
        <w:rPr/>
        <w:t>of</w:t>
      </w:r>
      <w:r>
        <w:rPr>
          <w:spacing w:val="-13"/>
        </w:rPr>
        <w:t> </w:t>
      </w:r>
      <w:r>
        <w:rPr/>
        <w:t>sophisticated</w:t>
      </w:r>
      <w:r>
        <w:rPr>
          <w:spacing w:val="-12"/>
        </w:rPr>
        <w:t> </w:t>
      </w:r>
      <w:r>
        <w:rPr/>
        <w:t>poetic</w:t>
      </w:r>
      <w:r>
        <w:rPr>
          <w:spacing w:val="-13"/>
        </w:rPr>
        <w:t> </w:t>
      </w:r>
      <w:r>
        <w:rPr/>
        <w:t>verse,</w:t>
      </w:r>
      <w:r>
        <w:rPr>
          <w:spacing w:val="-12"/>
        </w:rPr>
        <w:t> </w:t>
      </w:r>
      <w:r>
        <w:rPr/>
        <w:t>developed</w:t>
      </w:r>
      <w:r>
        <w:rPr>
          <w:spacing w:val="-13"/>
        </w:rPr>
        <w:t> </w:t>
      </w:r>
      <w:r>
        <w:rPr/>
        <w:t>distinctive approaches that drew on the rich resources of Rabindranath Tagore’s literary renovation of the</w:t>
      </w:r>
      <w:r>
        <w:rPr>
          <w:spacing w:val="40"/>
        </w:rPr>
        <w:t> </w:t>
      </w:r>
      <w:r>
        <w:rPr/>
        <w:t>Bengali language.</w:t>
      </w:r>
    </w:p>
    <w:p>
      <w:pPr>
        <w:pStyle w:val="BodyText"/>
        <w:spacing w:line="264" w:lineRule="auto" w:before="40"/>
        <w:ind w:right="1434" w:firstLine="432"/>
        <w:jc w:val="both"/>
      </w:pPr>
      <w:r>
        <w:rPr/>
        <w:t>The question</w:t>
      </w:r>
      <w:r>
        <w:rPr>
          <w:spacing w:val="-5"/>
        </w:rPr>
        <w:t> </w:t>
      </w:r>
      <w:r>
        <w:rPr/>
        <w:t>of</w:t>
      </w:r>
      <w:r>
        <w:rPr>
          <w:spacing w:val="-3"/>
        </w:rPr>
        <w:t> </w:t>
      </w:r>
      <w:r>
        <w:rPr/>
        <w:t>which</w:t>
      </w:r>
      <w:r>
        <w:rPr>
          <w:spacing w:val="-3"/>
        </w:rPr>
        <w:t> </w:t>
      </w:r>
      <w:r>
        <w:rPr/>
        <w:t>language</w:t>
      </w:r>
      <w:r>
        <w:rPr>
          <w:spacing w:val="-4"/>
        </w:rPr>
        <w:t> </w:t>
      </w:r>
      <w:r>
        <w:rPr/>
        <w:t>to use</w:t>
      </w:r>
      <w:r>
        <w:rPr>
          <w:spacing w:val="-2"/>
        </w:rPr>
        <w:t> </w:t>
      </w:r>
      <w:r>
        <w:rPr/>
        <w:t>is</w:t>
      </w:r>
      <w:r>
        <w:rPr>
          <w:spacing w:val="-1"/>
        </w:rPr>
        <w:t> </w:t>
      </w:r>
      <w:r>
        <w:rPr/>
        <w:t>itself</w:t>
      </w:r>
      <w:r>
        <w:rPr>
          <w:spacing w:val="-5"/>
        </w:rPr>
        <w:t> </w:t>
      </w:r>
      <w:r>
        <w:rPr/>
        <w:t>politically</w:t>
      </w:r>
      <w:r>
        <w:rPr>
          <w:spacing w:val="-5"/>
        </w:rPr>
        <w:t> </w:t>
      </w:r>
      <w:r>
        <w:rPr/>
        <w:t>charged. A translation of Shakespeare into Sanskrit would situate the plays in relation to classical learning and high culture; a translation into a regional vernacular might claim Shakespeare for a particular linguistic community; a translation into Hindustani might appeal to the broad popular culture of North India but risk alienating speakers of other languages.</w:t>
      </w:r>
      <w:r>
        <w:rPr>
          <w:spacing w:val="-13"/>
        </w:rPr>
        <w:t> </w:t>
      </w:r>
      <w:r>
        <w:rPr/>
        <w:t>Tanvir’s</w:t>
      </w:r>
      <w:r>
        <w:rPr>
          <w:spacing w:val="-12"/>
        </w:rPr>
        <w:t> </w:t>
      </w:r>
      <w:r>
        <w:rPr/>
        <w:t>decision</w:t>
      </w:r>
      <w:r>
        <w:rPr>
          <w:spacing w:val="-13"/>
        </w:rPr>
        <w:t> </w:t>
      </w:r>
      <w:r>
        <w:rPr/>
        <w:t>to</w:t>
      </w:r>
      <w:r>
        <w:rPr>
          <w:spacing w:val="-12"/>
        </w:rPr>
        <w:t> </w:t>
      </w:r>
      <w:r>
        <w:rPr/>
        <w:t>use</w:t>
      </w:r>
      <w:r>
        <w:rPr>
          <w:spacing w:val="-13"/>
        </w:rPr>
        <w:t> </w:t>
      </w:r>
      <w:r>
        <w:rPr/>
        <w:t>Chhattisgarhi</w:t>
      </w:r>
      <w:r>
        <w:rPr>
          <w:spacing w:val="-12"/>
        </w:rPr>
        <w:t> </w:t>
      </w:r>
      <w:r>
        <w:rPr/>
        <w:t>dialect</w:t>
      </w:r>
      <w:r>
        <w:rPr>
          <w:spacing w:val="-13"/>
        </w:rPr>
        <w:t> </w:t>
      </w:r>
      <w:r>
        <w:rPr/>
        <w:t>was</w:t>
      </w:r>
      <w:r>
        <w:rPr>
          <w:spacing w:val="-12"/>
        </w:rPr>
        <w:t> </w:t>
      </w:r>
      <w:r>
        <w:rPr/>
        <w:t>a</w:t>
      </w:r>
      <w:r>
        <w:rPr>
          <w:spacing w:val="-13"/>
        </w:rPr>
        <w:t> </w:t>
      </w:r>
      <w:r>
        <w:rPr/>
        <w:t>deliberate assertion</w:t>
      </w:r>
      <w:r>
        <w:rPr>
          <w:spacing w:val="-3"/>
        </w:rPr>
        <w:t> </w:t>
      </w:r>
      <w:r>
        <w:rPr/>
        <w:t>that the folk</w:t>
      </w:r>
      <w:r>
        <w:rPr>
          <w:spacing w:val="-3"/>
        </w:rPr>
        <w:t> </w:t>
      </w:r>
      <w:r>
        <w:rPr/>
        <w:t>traditions</w:t>
      </w:r>
      <w:r>
        <w:rPr>
          <w:spacing w:val="-3"/>
        </w:rPr>
        <w:t> </w:t>
      </w:r>
      <w:r>
        <w:rPr/>
        <w:t>of</w:t>
      </w:r>
      <w:r>
        <w:rPr>
          <w:spacing w:val="-1"/>
        </w:rPr>
        <w:t> </w:t>
      </w:r>
      <w:r>
        <w:rPr/>
        <w:t>a marginalized</w:t>
      </w:r>
      <w:r>
        <w:rPr>
          <w:spacing w:val="-1"/>
        </w:rPr>
        <w:t> </w:t>
      </w:r>
      <w:r>
        <w:rPr/>
        <w:t>regional culture</w:t>
      </w:r>
      <w:r>
        <w:rPr>
          <w:spacing w:val="-2"/>
        </w:rPr>
        <w:t> </w:t>
      </w:r>
      <w:r>
        <w:rPr/>
        <w:t>were adequate indeed, especially well-suited to engage with the greatest writer of the Western tradition. Contemporary translators have approached these challenges with increasing theoretical sophistication. Rajiv</w:t>
      </w:r>
      <w:r>
        <w:rPr>
          <w:spacing w:val="-5"/>
        </w:rPr>
        <w:t> </w:t>
      </w:r>
      <w:r>
        <w:rPr/>
        <w:t>Verma’s</w:t>
      </w:r>
      <w:r>
        <w:rPr>
          <w:spacing w:val="-1"/>
        </w:rPr>
        <w:t> </w:t>
      </w:r>
      <w:r>
        <w:rPr/>
        <w:t>Hindi</w:t>
      </w:r>
      <w:r>
        <w:rPr>
          <w:spacing w:val="-1"/>
        </w:rPr>
        <w:t> </w:t>
      </w:r>
      <w:r>
        <w:rPr/>
        <w:t>translations</w:t>
      </w:r>
      <w:r>
        <w:rPr>
          <w:spacing w:val="-1"/>
        </w:rPr>
        <w:t> </w:t>
      </w:r>
      <w:r>
        <w:rPr/>
        <w:t>of</w:t>
      </w:r>
      <w:r>
        <w:rPr>
          <w:spacing w:val="-5"/>
        </w:rPr>
        <w:t> </w:t>
      </w:r>
      <w:r>
        <w:rPr/>
        <w:t>Shakespeare,</w:t>
      </w:r>
      <w:r>
        <w:rPr>
          <w:spacing w:val="-1"/>
        </w:rPr>
        <w:t> </w:t>
      </w:r>
      <w:r>
        <w:rPr/>
        <w:t>widely</w:t>
      </w:r>
      <w:r>
        <w:rPr>
          <w:spacing w:val="-3"/>
        </w:rPr>
        <w:t> </w:t>
      </w:r>
      <w:r>
        <w:rPr/>
        <w:t>used</w:t>
      </w:r>
      <w:r>
        <w:rPr>
          <w:spacing w:val="-1"/>
        </w:rPr>
        <w:t> </w:t>
      </w:r>
      <w:r>
        <w:rPr/>
        <w:t>in</w:t>
      </w:r>
      <w:r>
        <w:rPr>
          <w:spacing w:val="-1"/>
        </w:rPr>
        <w:t> </w:t>
      </w:r>
      <w:r>
        <w:rPr/>
        <w:t>Indian universities,</w:t>
      </w:r>
      <w:r>
        <w:rPr>
          <w:spacing w:val="-6"/>
        </w:rPr>
        <w:t> </w:t>
      </w:r>
      <w:r>
        <w:rPr/>
        <w:t>are</w:t>
      </w:r>
      <w:r>
        <w:rPr>
          <w:spacing w:val="-7"/>
        </w:rPr>
        <w:t> </w:t>
      </w:r>
      <w:r>
        <w:rPr/>
        <w:t>distinguished</w:t>
      </w:r>
      <w:r>
        <w:rPr>
          <w:spacing w:val="-6"/>
        </w:rPr>
        <w:t> </w:t>
      </w:r>
      <w:r>
        <w:rPr/>
        <w:t>by</w:t>
      </w:r>
      <w:r>
        <w:rPr>
          <w:spacing w:val="-11"/>
        </w:rPr>
        <w:t> </w:t>
      </w:r>
      <w:r>
        <w:rPr/>
        <w:t>their</w:t>
      </w:r>
      <w:r>
        <w:rPr>
          <w:spacing w:val="-6"/>
        </w:rPr>
        <w:t> </w:t>
      </w:r>
      <w:r>
        <w:rPr/>
        <w:t>fidelity</w:t>
      </w:r>
      <w:r>
        <w:rPr>
          <w:spacing w:val="-9"/>
        </w:rPr>
        <w:t> </w:t>
      </w:r>
      <w:r>
        <w:rPr/>
        <w:t>not</w:t>
      </w:r>
      <w:r>
        <w:rPr>
          <w:spacing w:val="-7"/>
        </w:rPr>
        <w:t> </w:t>
      </w:r>
      <w:r>
        <w:rPr/>
        <w:t>to</w:t>
      </w:r>
      <w:r>
        <w:rPr>
          <w:spacing w:val="-6"/>
        </w:rPr>
        <w:t> </w:t>
      </w:r>
      <w:r>
        <w:rPr/>
        <w:t>the</w:t>
      </w:r>
      <w:r>
        <w:rPr>
          <w:spacing w:val="-7"/>
        </w:rPr>
        <w:t> </w:t>
      </w:r>
      <w:r>
        <w:rPr/>
        <w:t>surface</w:t>
      </w:r>
      <w:r>
        <w:rPr>
          <w:spacing w:val="-7"/>
        </w:rPr>
        <w:t> </w:t>
      </w:r>
      <w:r>
        <w:rPr/>
        <w:t>features of the original text but to its dramatic effectiveness, its rhythms of speech, its emotional transitions, its rhetorical strategies. Vikram Chandra’s</w:t>
      </w:r>
      <w:r>
        <w:rPr>
          <w:spacing w:val="-3"/>
        </w:rPr>
        <w:t> </w:t>
      </w:r>
      <w:r>
        <w:rPr/>
        <w:t>essay</w:t>
      </w:r>
      <w:r>
        <w:rPr>
          <w:spacing w:val="-4"/>
        </w:rPr>
        <w:t> </w:t>
      </w:r>
      <w:r>
        <w:rPr>
          <w:i/>
        </w:rPr>
        <w:t>Shakespeare</w:t>
      </w:r>
      <w:r>
        <w:rPr>
          <w:i/>
          <w:spacing w:val="-1"/>
        </w:rPr>
        <w:t> </w:t>
      </w:r>
      <w:r>
        <w:rPr>
          <w:i/>
        </w:rPr>
        <w:t>in India </w:t>
      </w:r>
      <w:r>
        <w:rPr/>
        <w:t>makes</w:t>
      </w:r>
      <w:r>
        <w:rPr>
          <w:spacing w:val="-3"/>
        </w:rPr>
        <w:t> </w:t>
      </w:r>
      <w:r>
        <w:rPr/>
        <w:t>a compelling</w:t>
      </w:r>
      <w:r>
        <w:rPr>
          <w:spacing w:val="-3"/>
        </w:rPr>
        <w:t> </w:t>
      </w:r>
      <w:r>
        <w:rPr/>
        <w:t>case that</w:t>
      </w:r>
      <w:r>
        <w:rPr>
          <w:spacing w:val="-1"/>
        </w:rPr>
        <w:t> </w:t>
      </w:r>
      <w:r>
        <w:rPr/>
        <w:t>the most successful translations are those that treat the plays as theatrical scripts rather than literary texts, prioritizing speakability and dramatic impact over lexical equivalence (156).</w:t>
      </w:r>
    </w:p>
    <w:p>
      <w:pPr>
        <w:pStyle w:val="BodyText"/>
        <w:spacing w:after="0" w:line="264"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1936">
                <wp:simplePos x="0" y="0"/>
                <wp:positionH relativeFrom="page">
                  <wp:posOffset>2057400</wp:posOffset>
                </wp:positionH>
                <wp:positionV relativeFrom="paragraph">
                  <wp:posOffset>162604</wp:posOffset>
                </wp:positionV>
                <wp:extent cx="3657600" cy="12700"/>
                <wp:effectExtent l="0" t="0" r="0" b="0"/>
                <wp:wrapTopAndBottom/>
                <wp:docPr id="855" name="Graphic 855"/>
                <wp:cNvGraphicFramePr>
                  <a:graphicFrameLocks/>
                </wp:cNvGraphicFramePr>
                <a:graphic>
                  <a:graphicData uri="http://schemas.microsoft.com/office/word/2010/wordprocessingShape">
                    <wps:wsp>
                      <wps:cNvPr id="855" name="Graphic 85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04544;mso-wrap-distance-left:0;mso-wrap-distance-right:0" id="docshape847" filled="true" fillcolor="#000000" stroked="false">
                <v:fill type="solid"/>
                <w10:wrap type="topAndBottom"/>
              </v:rect>
            </w:pict>
          </mc:Fallback>
        </mc:AlternateContent>
      </w:r>
      <w:r>
        <w:rPr>
          <w:rFonts w:ascii="Verdana"/>
          <w:spacing w:val="-5"/>
          <w:sz w:val="18"/>
        </w:rPr>
        <w:t>450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pPr>
      <w:r>
        <w:rPr>
          <w:spacing w:val="-6"/>
        </w:rPr>
        <w:t>GLOBAL</w:t>
      </w:r>
      <w:r>
        <w:rPr>
          <w:spacing w:val="-11"/>
        </w:rPr>
        <w:t> </w:t>
      </w:r>
      <w:r>
        <w:rPr>
          <w:spacing w:val="-6"/>
        </w:rPr>
        <w:t>SHAKESPEARE</w:t>
      </w:r>
      <w:r>
        <w:rPr>
          <w:spacing w:val="-11"/>
        </w:rPr>
        <w:t> </w:t>
      </w:r>
      <w:r>
        <w:rPr>
          <w:spacing w:val="-6"/>
        </w:rPr>
        <w:t>AND</w:t>
      </w:r>
      <w:r>
        <w:rPr>
          <w:spacing w:val="-11"/>
        </w:rPr>
        <w:t> </w:t>
      </w:r>
      <w:r>
        <w:rPr>
          <w:spacing w:val="-6"/>
        </w:rPr>
        <w:t>LOCAL</w:t>
      </w:r>
      <w:r>
        <w:rPr>
          <w:spacing w:val="-10"/>
        </w:rPr>
        <w:t> </w:t>
      </w:r>
      <w:r>
        <w:rPr>
          <w:spacing w:val="-6"/>
        </w:rPr>
        <w:t>CLAIMS</w:t>
      </w:r>
    </w:p>
    <w:p>
      <w:pPr>
        <w:pStyle w:val="BodyText"/>
        <w:spacing w:line="249" w:lineRule="auto" w:before="75"/>
        <w:ind w:right="1436" w:firstLine="432"/>
        <w:jc w:val="both"/>
      </w:pPr>
      <w:r>
        <w:rPr/>
        <w:t>The twenty-first century has seen an intensification of both Shakespearean adaptation in India and international interest in those adaptations. The World Shakespeare Festival of 2012, organized to coincide</w:t>
      </w:r>
      <w:r>
        <w:rPr>
          <w:spacing w:val="-13"/>
        </w:rPr>
        <w:t> </w:t>
      </w:r>
      <w:r>
        <w:rPr/>
        <w:t>with</w:t>
      </w:r>
      <w:r>
        <w:rPr>
          <w:spacing w:val="-12"/>
        </w:rPr>
        <w:t> </w:t>
      </w:r>
      <w:r>
        <w:rPr/>
        <w:t>the</w:t>
      </w:r>
      <w:r>
        <w:rPr>
          <w:spacing w:val="-13"/>
        </w:rPr>
        <w:t> </w:t>
      </w:r>
      <w:r>
        <w:rPr/>
        <w:t>London</w:t>
      </w:r>
      <w:r>
        <w:rPr>
          <w:spacing w:val="-12"/>
        </w:rPr>
        <w:t> </w:t>
      </w:r>
      <w:r>
        <w:rPr/>
        <w:t>Olympics,</w:t>
      </w:r>
      <w:r>
        <w:rPr>
          <w:spacing w:val="-13"/>
        </w:rPr>
        <w:t> </w:t>
      </w:r>
      <w:r>
        <w:rPr/>
        <w:t>showcased</w:t>
      </w:r>
      <w:r>
        <w:rPr>
          <w:spacing w:val="-12"/>
        </w:rPr>
        <w:t> </w:t>
      </w:r>
      <w:r>
        <w:rPr/>
        <w:t>productions</w:t>
      </w:r>
      <w:r>
        <w:rPr>
          <w:spacing w:val="-13"/>
        </w:rPr>
        <w:t> </w:t>
      </w:r>
      <w:r>
        <w:rPr/>
        <w:t>from</w:t>
      </w:r>
      <w:r>
        <w:rPr>
          <w:spacing w:val="-12"/>
        </w:rPr>
        <w:t> </w:t>
      </w:r>
      <w:r>
        <w:rPr/>
        <w:t>across the globe and included several Indian productions that attracted widespread critical acclaim. The Ranga Shankara theatre in Bangalore has become a hub for innovative Shakespearean production, presenting work in multiple Indian languages that draws on diverse regional </w:t>
      </w:r>
      <w:r>
        <w:rPr>
          <w:spacing w:val="-2"/>
        </w:rPr>
        <w:t>performance</w:t>
      </w:r>
      <w:r>
        <w:rPr>
          <w:spacing w:val="-4"/>
        </w:rPr>
        <w:t> </w:t>
      </w:r>
      <w:r>
        <w:rPr>
          <w:spacing w:val="-2"/>
        </w:rPr>
        <w:t>traditions.</w:t>
      </w:r>
      <w:r>
        <w:rPr>
          <w:spacing w:val="-9"/>
        </w:rPr>
        <w:t> </w:t>
      </w:r>
      <w:r>
        <w:rPr>
          <w:spacing w:val="-2"/>
        </w:rPr>
        <w:t>The</w:t>
      </w:r>
      <w:r>
        <w:rPr>
          <w:spacing w:val="-6"/>
        </w:rPr>
        <w:t> </w:t>
      </w:r>
      <w:r>
        <w:rPr>
          <w:spacing w:val="-2"/>
        </w:rPr>
        <w:t>Royal</w:t>
      </w:r>
      <w:r>
        <w:rPr>
          <w:spacing w:val="-6"/>
        </w:rPr>
        <w:t> </w:t>
      </w:r>
      <w:r>
        <w:rPr>
          <w:spacing w:val="-2"/>
        </w:rPr>
        <w:t>Shakespeare</w:t>
      </w:r>
      <w:r>
        <w:rPr>
          <w:spacing w:val="-4"/>
        </w:rPr>
        <w:t> </w:t>
      </w:r>
      <w:r>
        <w:rPr>
          <w:spacing w:val="-2"/>
        </w:rPr>
        <w:t>Company’s</w:t>
      </w:r>
      <w:r>
        <w:rPr>
          <w:spacing w:val="-6"/>
        </w:rPr>
        <w:t> </w:t>
      </w:r>
      <w:r>
        <w:rPr>
          <w:spacing w:val="-2"/>
        </w:rPr>
        <w:t>collaboration with</w:t>
      </w:r>
      <w:r>
        <w:rPr>
          <w:spacing w:val="-11"/>
        </w:rPr>
        <w:t> </w:t>
      </w:r>
      <w:r>
        <w:rPr>
          <w:spacing w:val="-2"/>
        </w:rPr>
        <w:t>Indian</w:t>
      </w:r>
      <w:r>
        <w:rPr>
          <w:spacing w:val="-10"/>
        </w:rPr>
        <w:t> </w:t>
      </w:r>
      <w:r>
        <w:rPr>
          <w:spacing w:val="-2"/>
        </w:rPr>
        <w:t>theatre</w:t>
      </w:r>
      <w:r>
        <w:rPr>
          <w:spacing w:val="-11"/>
        </w:rPr>
        <w:t> </w:t>
      </w:r>
      <w:r>
        <w:rPr>
          <w:spacing w:val="-2"/>
        </w:rPr>
        <w:t>practitioners,</w:t>
      </w:r>
      <w:r>
        <w:rPr>
          <w:spacing w:val="-10"/>
        </w:rPr>
        <w:t> </w:t>
      </w:r>
      <w:r>
        <w:rPr>
          <w:spacing w:val="-2"/>
        </w:rPr>
        <w:t>including</w:t>
      </w:r>
      <w:r>
        <w:rPr>
          <w:spacing w:val="-11"/>
        </w:rPr>
        <w:t> </w:t>
      </w:r>
      <w:r>
        <w:rPr>
          <w:spacing w:val="-2"/>
        </w:rPr>
        <w:t>joint</w:t>
      </w:r>
      <w:r>
        <w:rPr>
          <w:spacing w:val="-10"/>
        </w:rPr>
        <w:t> </w:t>
      </w:r>
      <w:r>
        <w:rPr>
          <w:spacing w:val="-2"/>
        </w:rPr>
        <w:t>productions</w:t>
      </w:r>
      <w:r>
        <w:rPr>
          <w:spacing w:val="-11"/>
        </w:rPr>
        <w:t> </w:t>
      </w:r>
      <w:r>
        <w:rPr>
          <w:spacing w:val="-2"/>
        </w:rPr>
        <w:t>and</w:t>
      </w:r>
      <w:r>
        <w:rPr>
          <w:spacing w:val="-10"/>
        </w:rPr>
        <w:t> </w:t>
      </w:r>
      <w:r>
        <w:rPr>
          <w:spacing w:val="-2"/>
        </w:rPr>
        <w:t>exchange </w:t>
      </w:r>
      <w:r>
        <w:rPr/>
        <w:t>programs, has created new opportunities for cross-cultural dialogue, though such collaborations also raise questions about cultural tourism and the risk of exoticizing Indian performance traditions for Western </w:t>
      </w:r>
      <w:r>
        <w:rPr>
          <w:spacing w:val="-2"/>
        </w:rPr>
        <w:t>consumption.</w:t>
      </w:r>
    </w:p>
    <w:p>
      <w:pPr>
        <w:pStyle w:val="BodyText"/>
        <w:spacing w:line="249" w:lineRule="auto" w:before="69"/>
        <w:ind w:right="1436" w:firstLine="432"/>
        <w:jc w:val="both"/>
      </w:pPr>
      <w:r>
        <w:rPr/>
        <w:t>Atul Kumar’s 2012 production of </w:t>
      </w:r>
      <w:r>
        <w:rPr>
          <w:i/>
        </w:rPr>
        <w:t>A Midsummer Night’s Dream</w:t>
      </w:r>
      <w:r>
        <w:rPr/>
        <w:t>, performed by The Company Theatre in Mumbai, exemplified the </w:t>
      </w:r>
      <w:r>
        <w:rPr>
          <w:spacing w:val="-2"/>
        </w:rPr>
        <w:t>contemporary</w:t>
      </w:r>
      <w:r>
        <w:rPr>
          <w:spacing w:val="-11"/>
        </w:rPr>
        <w:t> </w:t>
      </w:r>
      <w:r>
        <w:rPr>
          <w:spacing w:val="-2"/>
        </w:rPr>
        <w:t>approach</w:t>
      </w:r>
      <w:r>
        <w:rPr>
          <w:spacing w:val="-10"/>
        </w:rPr>
        <w:t> </w:t>
      </w:r>
      <w:r>
        <w:rPr>
          <w:spacing w:val="-2"/>
        </w:rPr>
        <w:t>at</w:t>
      </w:r>
      <w:r>
        <w:rPr>
          <w:spacing w:val="-11"/>
        </w:rPr>
        <w:t> </w:t>
      </w:r>
      <w:r>
        <w:rPr>
          <w:spacing w:val="-2"/>
        </w:rPr>
        <w:t>its</w:t>
      </w:r>
      <w:r>
        <w:rPr>
          <w:spacing w:val="-10"/>
        </w:rPr>
        <w:t> </w:t>
      </w:r>
      <w:r>
        <w:rPr>
          <w:spacing w:val="-2"/>
        </w:rPr>
        <w:t>most</w:t>
      </w:r>
      <w:r>
        <w:rPr>
          <w:spacing w:val="-11"/>
        </w:rPr>
        <w:t> </w:t>
      </w:r>
      <w:r>
        <w:rPr>
          <w:spacing w:val="-2"/>
        </w:rPr>
        <w:t>playful</w:t>
      </w:r>
      <w:r>
        <w:rPr>
          <w:spacing w:val="-10"/>
        </w:rPr>
        <w:t> </w:t>
      </w:r>
      <w:r>
        <w:rPr>
          <w:spacing w:val="-2"/>
        </w:rPr>
        <w:t>and</w:t>
      </w:r>
      <w:r>
        <w:rPr>
          <w:spacing w:val="-11"/>
        </w:rPr>
        <w:t> </w:t>
      </w:r>
      <w:r>
        <w:rPr>
          <w:spacing w:val="-2"/>
        </w:rPr>
        <w:t>inventive.</w:t>
      </w:r>
      <w:r>
        <w:rPr>
          <w:spacing w:val="-10"/>
        </w:rPr>
        <w:t> </w:t>
      </w:r>
      <w:r>
        <w:rPr>
          <w:spacing w:val="-2"/>
        </w:rPr>
        <w:t>Kumar</w:t>
      </w:r>
      <w:r>
        <w:rPr>
          <w:spacing w:val="-11"/>
        </w:rPr>
        <w:t> </w:t>
      </w:r>
      <w:r>
        <w:rPr>
          <w:spacing w:val="-2"/>
        </w:rPr>
        <w:t>relocated </w:t>
      </w:r>
      <w:r>
        <w:rPr/>
        <w:t>the play to contemporary India, drawing on Bollywood conventions, street performance traditions, and contemporary urban culture to create a production that was simultaneously recognizable as Shakespeare and entirely rooted in the Indian </w:t>
      </w:r>
      <w:r>
        <w:rPr>
          <w:spacing w:val="9"/>
        </w:rPr>
        <w:t>present.</w:t>
      </w:r>
      <w:r>
        <w:rPr>
          <w:spacing w:val="9"/>
        </w:rPr>
        <w:t> </w:t>
      </w:r>
      <w:r>
        <w:rPr/>
        <w:t>The </w:t>
      </w:r>
      <w:r>
        <w:rPr>
          <w:spacing w:val="9"/>
        </w:rPr>
        <w:t>production</w:t>
      </w:r>
      <w:r>
        <w:rPr>
          <w:spacing w:val="9"/>
        </w:rPr>
        <w:t> </w:t>
      </w:r>
      <w:r>
        <w:rPr/>
        <w:t>toured internationally to considerable acclaim, demonstrating that Indian Shakespearean adaptation had moved beyond the need to prove its legitimacy and was operating with a confident creative freedom. The digital era has added new dimensions to this engagement. Streaming platforms have made Indian Shakespearean productions accessible to global</w:t>
      </w:r>
      <w:r>
        <w:rPr>
          <w:spacing w:val="-1"/>
        </w:rPr>
        <w:t> </w:t>
      </w:r>
      <w:r>
        <w:rPr/>
        <w:t>audiences</w:t>
      </w:r>
      <w:r>
        <w:rPr>
          <w:spacing w:val="-3"/>
        </w:rPr>
        <w:t> </w:t>
      </w:r>
      <w:r>
        <w:rPr/>
        <w:t>in ways</w:t>
      </w:r>
      <w:r>
        <w:rPr>
          <w:spacing w:val="-1"/>
        </w:rPr>
        <w:t> </w:t>
      </w:r>
      <w:r>
        <w:rPr/>
        <w:t>that</w:t>
      </w:r>
      <w:r>
        <w:rPr>
          <w:spacing w:val="-1"/>
        </w:rPr>
        <w:t> </w:t>
      </w:r>
      <w:r>
        <w:rPr/>
        <w:t>were previously</w:t>
      </w:r>
      <w:r>
        <w:rPr>
          <w:spacing w:val="-3"/>
        </w:rPr>
        <w:t> </w:t>
      </w:r>
      <w:r>
        <w:rPr/>
        <w:t>impossible,</w:t>
      </w:r>
      <w:r>
        <w:rPr>
          <w:spacing w:val="-1"/>
        </w:rPr>
        <w:t> </w:t>
      </w:r>
      <w:r>
        <w:rPr/>
        <w:t>creating</w:t>
      </w:r>
      <w:r>
        <w:rPr>
          <w:spacing w:val="-3"/>
        </w:rPr>
        <w:t> </w:t>
      </w:r>
      <w:r>
        <w:rPr/>
        <w:t>new circuits of cultural exchange and new opportunities for comparison. Social media has enabled Indian theatre practitioners to participate in global conversations about Shakespeare’s meaning and relevance in ways</w:t>
      </w:r>
      <w:r>
        <w:rPr>
          <w:spacing w:val="-1"/>
        </w:rPr>
        <w:t> </w:t>
      </w:r>
      <w:r>
        <w:rPr/>
        <w:t>that</w:t>
      </w:r>
      <w:r>
        <w:rPr>
          <w:spacing w:val="-1"/>
        </w:rPr>
        <w:t> </w:t>
      </w:r>
      <w:r>
        <w:rPr/>
        <w:t>challenge the institutional</w:t>
      </w:r>
      <w:r>
        <w:rPr>
          <w:spacing w:val="-1"/>
        </w:rPr>
        <w:t> </w:t>
      </w:r>
      <w:r>
        <w:rPr/>
        <w:t>authority</w:t>
      </w:r>
      <w:r>
        <w:rPr>
          <w:spacing w:val="-4"/>
        </w:rPr>
        <w:t> </w:t>
      </w:r>
      <w:r>
        <w:rPr/>
        <w:t>of</w:t>
      </w:r>
      <w:r>
        <w:rPr>
          <w:spacing w:val="-2"/>
        </w:rPr>
        <w:t> </w:t>
      </w:r>
      <w:r>
        <w:rPr/>
        <w:t>Western</w:t>
      </w:r>
      <w:r>
        <w:rPr>
          <w:spacing w:val="-1"/>
        </w:rPr>
        <w:t> </w:t>
      </w:r>
      <w:r>
        <w:rPr/>
        <w:t>academic</w:t>
      </w:r>
      <w:r>
        <w:rPr>
          <w:spacing w:val="-1"/>
        </w:rPr>
        <w:t> </w:t>
      </w:r>
      <w:r>
        <w:rPr/>
        <w:t>and theatrical establishments. As Dennis Kennedy observes in Foreign Shakespeare, the very concept of a “foreign” Shakespeare is becoming increasingly unstable as the global circulation of theatrical productions creates audiences who encounter Shakespeare simultaneously through multiple cultural frames (12).</w:t>
      </w:r>
    </w:p>
    <w:p>
      <w:pPr>
        <w:pStyle w:val="BodyText"/>
        <w:spacing w:line="249" w:lineRule="auto" w:before="78"/>
        <w:ind w:right="1441" w:firstLine="432"/>
        <w:jc w:val="both"/>
      </w:pPr>
      <w:r>
        <w:rPr/>
        <w:t>Particularly significant in the contemporary period has been the increasing</w:t>
      </w:r>
      <w:r>
        <w:rPr>
          <w:spacing w:val="11"/>
        </w:rPr>
        <w:t> </w:t>
      </w:r>
      <w:r>
        <w:rPr/>
        <w:t>attention</w:t>
      </w:r>
      <w:r>
        <w:rPr>
          <w:spacing w:val="15"/>
        </w:rPr>
        <w:t> </w:t>
      </w:r>
      <w:r>
        <w:rPr/>
        <w:t>to</w:t>
      </w:r>
      <w:r>
        <w:rPr>
          <w:spacing w:val="14"/>
        </w:rPr>
        <w:t> </w:t>
      </w:r>
      <w:r>
        <w:rPr/>
        <w:t>gender</w:t>
      </w:r>
      <w:r>
        <w:rPr>
          <w:spacing w:val="15"/>
        </w:rPr>
        <w:t> </w:t>
      </w:r>
      <w:r>
        <w:rPr/>
        <w:t>and</w:t>
      </w:r>
      <w:r>
        <w:rPr>
          <w:spacing w:val="15"/>
        </w:rPr>
        <w:t> </w:t>
      </w:r>
      <w:r>
        <w:rPr/>
        <w:t>caste</w:t>
      </w:r>
      <w:r>
        <w:rPr>
          <w:spacing w:val="16"/>
        </w:rPr>
        <w:t> </w:t>
      </w:r>
      <w:r>
        <w:rPr/>
        <w:t>in</w:t>
      </w:r>
      <w:r>
        <w:rPr>
          <w:spacing w:val="13"/>
        </w:rPr>
        <w:t> </w:t>
      </w:r>
      <w:r>
        <w:rPr/>
        <w:t>Shakespearean</w:t>
      </w:r>
      <w:r>
        <w:rPr>
          <w:spacing w:val="13"/>
        </w:rPr>
        <w:t> </w:t>
      </w:r>
      <w:r>
        <w:rPr>
          <w:spacing w:val="-2"/>
        </w:rPr>
        <w:t>adaptations.</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2448">
                <wp:simplePos x="0" y="0"/>
                <wp:positionH relativeFrom="page">
                  <wp:posOffset>2065020</wp:posOffset>
                </wp:positionH>
                <wp:positionV relativeFrom="paragraph">
                  <wp:posOffset>795020</wp:posOffset>
                </wp:positionV>
                <wp:extent cx="3657600" cy="12700"/>
                <wp:effectExtent l="0" t="0" r="0" b="0"/>
                <wp:wrapTopAndBottom/>
                <wp:docPr id="856" name="Graphic 856"/>
                <wp:cNvGraphicFramePr>
                  <a:graphicFrameLocks/>
                </wp:cNvGraphicFramePr>
                <a:graphic>
                  <a:graphicData uri="http://schemas.microsoft.com/office/word/2010/wordprocessingShape">
                    <wps:wsp>
                      <wps:cNvPr id="856" name="Graphic 856"/>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04032;mso-wrap-distance-left:0;mso-wrap-distance-right:0" id="docshape848" filled="true" fillcolor="#000000" stroked="false">
                <v:fill type="solid"/>
                <w10:wrap type="topAndBottom"/>
              </v:rect>
            </w:pict>
          </mc:Fallback>
        </mc:AlternateContent>
      </w:r>
      <w:r>
        <w:rPr>
          <w:rFonts w:ascii="Verdana"/>
          <w:sz w:val="18"/>
        </w:rPr>
        <w:t>Shakespeare</w:t>
      </w:r>
      <w:r>
        <w:rPr>
          <w:rFonts w:ascii="Verdana"/>
          <w:spacing w:val="-3"/>
          <w:sz w:val="18"/>
        </w:rPr>
        <w:t> </w:t>
      </w:r>
      <w:r>
        <w:rPr>
          <w:rFonts w:ascii="Verdana"/>
          <w:sz w:val="18"/>
        </w:rPr>
        <w:t>in</w:t>
      </w:r>
      <w:r>
        <w:rPr>
          <w:rFonts w:ascii="Verdana"/>
          <w:spacing w:val="-2"/>
          <w:sz w:val="18"/>
        </w:rPr>
        <w:t> </w:t>
      </w:r>
      <w:r>
        <w:rPr>
          <w:rFonts w:ascii="Verdana"/>
          <w:sz w:val="18"/>
        </w:rPr>
        <w:t>Indian</w:t>
      </w:r>
      <w:r>
        <w:rPr>
          <w:rFonts w:ascii="Verdana"/>
          <w:spacing w:val="-2"/>
          <w:sz w:val="18"/>
        </w:rPr>
        <w:t> </w:t>
      </w:r>
      <w:r>
        <w:rPr>
          <w:rFonts w:ascii="Verdana"/>
          <w:sz w:val="18"/>
        </w:rPr>
        <w:t>Theatre:</w:t>
      </w:r>
      <w:r>
        <w:rPr>
          <w:rFonts w:ascii="Verdana"/>
          <w:spacing w:val="-4"/>
          <w:sz w:val="18"/>
        </w:rPr>
        <w:t> </w:t>
      </w:r>
      <w:r>
        <w:rPr>
          <w:rFonts w:ascii="Verdana"/>
          <w:sz w:val="18"/>
        </w:rPr>
        <w:t>A</w:t>
      </w:r>
      <w:r>
        <w:rPr>
          <w:rFonts w:ascii="Verdana"/>
          <w:spacing w:val="-9"/>
          <w:sz w:val="18"/>
        </w:rPr>
        <w:t> </w:t>
      </w:r>
      <w:r>
        <w:rPr>
          <w:rFonts w:ascii="Verdana"/>
          <w:sz w:val="18"/>
        </w:rPr>
        <w:t>Rich</w:t>
      </w:r>
      <w:r>
        <w:rPr>
          <w:rFonts w:ascii="Verdana"/>
          <w:spacing w:val="-1"/>
          <w:sz w:val="18"/>
        </w:rPr>
        <w:t> </w:t>
      </w:r>
      <w:r>
        <w:rPr>
          <w:rFonts w:ascii="Verdana"/>
          <w:sz w:val="18"/>
        </w:rPr>
        <w:t>Legacy</w:t>
      </w:r>
      <w:r>
        <w:rPr>
          <w:rFonts w:ascii="Verdana"/>
          <w:spacing w:val="-3"/>
          <w:sz w:val="18"/>
        </w:rPr>
        <w:t> </w:t>
      </w:r>
      <w:r>
        <w:rPr>
          <w:rFonts w:ascii="Verdana"/>
          <w:sz w:val="18"/>
        </w:rPr>
        <w:t>of</w:t>
      </w:r>
      <w:r>
        <w:rPr>
          <w:rFonts w:ascii="Verdana"/>
          <w:spacing w:val="-1"/>
          <w:sz w:val="18"/>
        </w:rPr>
        <w:t> </w:t>
      </w:r>
      <w:r>
        <w:rPr>
          <w:rFonts w:ascii="Verdana"/>
          <w:spacing w:val="-5"/>
          <w:sz w:val="18"/>
        </w:rPr>
        <w:t>...</w:t>
      </w:r>
      <w:r>
        <w:rPr>
          <w:sz w:val="18"/>
        </w:rPr>
        <w:tab/>
      </w:r>
      <w:r>
        <w:rPr>
          <w:rFonts w:ascii="Verdana"/>
          <w:spacing w:val="-5"/>
          <w:sz w:val="18"/>
        </w:rPr>
        <w:t>451</w:t>
      </w:r>
    </w:p>
    <w:p>
      <w:pPr>
        <w:pStyle w:val="BodyText"/>
        <w:spacing w:line="249" w:lineRule="auto" w:before="192"/>
        <w:ind w:right="1439"/>
        <w:jc w:val="both"/>
      </w:pPr>
      <w:r>
        <w:rPr/>
        <w:t>Several recent productions have reframed Shakespearean</w:t>
      </w:r>
      <w:r>
        <w:rPr>
          <w:spacing w:val="-2"/>
        </w:rPr>
        <w:t> </w:t>
      </w:r>
      <w:r>
        <w:rPr/>
        <w:t>plays through the lens of Dalit experience, reading the social hierarchies and power dynamics</w:t>
      </w:r>
      <w:r>
        <w:rPr>
          <w:spacing w:val="-3"/>
        </w:rPr>
        <w:t> </w:t>
      </w:r>
      <w:r>
        <w:rPr/>
        <w:t>of</w:t>
      </w:r>
      <w:r>
        <w:rPr>
          <w:spacing w:val="-3"/>
        </w:rPr>
        <w:t> </w:t>
      </w:r>
      <w:r>
        <w:rPr/>
        <w:t>the plays</w:t>
      </w:r>
      <w:r>
        <w:rPr>
          <w:spacing w:val="-1"/>
        </w:rPr>
        <w:t> </w:t>
      </w:r>
      <w:r>
        <w:rPr/>
        <w:t>in</w:t>
      </w:r>
      <w:r>
        <w:rPr>
          <w:spacing w:val="-1"/>
        </w:rPr>
        <w:t> </w:t>
      </w:r>
      <w:r>
        <w:rPr/>
        <w:t>relation</w:t>
      </w:r>
      <w:r>
        <w:rPr>
          <w:spacing w:val="-3"/>
        </w:rPr>
        <w:t> </w:t>
      </w:r>
      <w:r>
        <w:rPr/>
        <w:t>to the</w:t>
      </w:r>
      <w:r>
        <w:rPr>
          <w:spacing w:val="-1"/>
        </w:rPr>
        <w:t> </w:t>
      </w:r>
      <w:r>
        <w:rPr/>
        <w:t>caste system.</w:t>
      </w:r>
      <w:r>
        <w:rPr>
          <w:spacing w:val="-12"/>
        </w:rPr>
        <w:t> </w:t>
      </w:r>
      <w:r>
        <w:rPr/>
        <w:t>A</w:t>
      </w:r>
      <w:r>
        <w:rPr>
          <w:spacing w:val="-12"/>
        </w:rPr>
        <w:t> </w:t>
      </w:r>
      <w:r>
        <w:rPr/>
        <w:t>2018 adaptation of King Lear by the Budhan Theatre, a company based in Gujarat that works</w:t>
      </w:r>
      <w:r>
        <w:rPr>
          <w:spacing w:val="-6"/>
        </w:rPr>
        <w:t> </w:t>
      </w:r>
      <w:r>
        <w:rPr/>
        <w:t>with</w:t>
      </w:r>
      <w:r>
        <w:rPr>
          <w:spacing w:val="-3"/>
        </w:rPr>
        <w:t> </w:t>
      </w:r>
      <w:r>
        <w:rPr/>
        <w:t>the</w:t>
      </w:r>
      <w:r>
        <w:rPr>
          <w:spacing w:val="-5"/>
        </w:rPr>
        <w:t> </w:t>
      </w:r>
      <w:r>
        <w:rPr/>
        <w:t>Chhara</w:t>
      </w:r>
      <w:r>
        <w:rPr>
          <w:spacing w:val="-2"/>
        </w:rPr>
        <w:t> </w:t>
      </w:r>
      <w:r>
        <w:rPr/>
        <w:t>community</w:t>
      </w:r>
      <w:r>
        <w:rPr>
          <w:spacing w:val="-8"/>
        </w:rPr>
        <w:t> </w:t>
      </w:r>
      <w:r>
        <w:rPr/>
        <w:t>(historically</w:t>
      </w:r>
      <w:r>
        <w:rPr>
          <w:spacing w:val="-6"/>
        </w:rPr>
        <w:t> </w:t>
      </w:r>
      <w:r>
        <w:rPr/>
        <w:t>classified</w:t>
      </w:r>
      <w:r>
        <w:rPr>
          <w:spacing w:val="-5"/>
        </w:rPr>
        <w:t> </w:t>
      </w:r>
      <w:r>
        <w:rPr/>
        <w:t>as</w:t>
      </w:r>
      <w:r>
        <w:rPr>
          <w:spacing w:val="-3"/>
        </w:rPr>
        <w:t> </w:t>
      </w:r>
      <w:r>
        <w:rPr/>
        <w:t>a</w:t>
      </w:r>
      <w:r>
        <w:rPr>
          <w:spacing w:val="-5"/>
        </w:rPr>
        <w:t> </w:t>
      </w:r>
      <w:r>
        <w:rPr/>
        <w:t>“criminal tribe”</w:t>
      </w:r>
      <w:r>
        <w:rPr>
          <w:spacing w:val="-13"/>
        </w:rPr>
        <w:t> </w:t>
      </w:r>
      <w:r>
        <w:rPr/>
        <w:t>by</w:t>
      </w:r>
      <w:r>
        <w:rPr>
          <w:spacing w:val="-12"/>
        </w:rPr>
        <w:t> </w:t>
      </w:r>
      <w:r>
        <w:rPr/>
        <w:t>colonial</w:t>
      </w:r>
      <w:r>
        <w:rPr>
          <w:spacing w:val="-12"/>
        </w:rPr>
        <w:t> </w:t>
      </w:r>
      <w:r>
        <w:rPr/>
        <w:t>law),</w:t>
      </w:r>
      <w:r>
        <w:rPr>
          <w:spacing w:val="-11"/>
        </w:rPr>
        <w:t> </w:t>
      </w:r>
      <w:r>
        <w:rPr/>
        <w:t>situated</w:t>
      </w:r>
      <w:r>
        <w:rPr>
          <w:spacing w:val="-12"/>
        </w:rPr>
        <w:t> </w:t>
      </w:r>
      <w:r>
        <w:rPr/>
        <w:t>the</w:t>
      </w:r>
      <w:r>
        <w:rPr>
          <w:spacing w:val="-11"/>
        </w:rPr>
        <w:t> </w:t>
      </w:r>
      <w:r>
        <w:rPr/>
        <w:t>play’s</w:t>
      </w:r>
      <w:r>
        <w:rPr>
          <w:spacing w:val="-13"/>
        </w:rPr>
        <w:t> </w:t>
      </w:r>
      <w:r>
        <w:rPr/>
        <w:t>exploration</w:t>
      </w:r>
      <w:r>
        <w:rPr>
          <w:spacing w:val="-9"/>
        </w:rPr>
        <w:t> </w:t>
      </w:r>
      <w:r>
        <w:rPr/>
        <w:t>of</w:t>
      </w:r>
      <w:r>
        <w:rPr>
          <w:spacing w:val="-13"/>
        </w:rPr>
        <w:t> </w:t>
      </w:r>
      <w:r>
        <w:rPr/>
        <w:t>recognition</w:t>
      </w:r>
      <w:r>
        <w:rPr>
          <w:spacing w:val="-12"/>
        </w:rPr>
        <w:t> </w:t>
      </w:r>
      <w:r>
        <w:rPr/>
        <w:t>and </w:t>
      </w:r>
      <w:r>
        <w:rPr>
          <w:spacing w:val="-2"/>
        </w:rPr>
        <w:t>justice</w:t>
      </w:r>
      <w:r>
        <w:rPr>
          <w:spacing w:val="-7"/>
        </w:rPr>
        <w:t> </w:t>
      </w:r>
      <w:r>
        <w:rPr>
          <w:spacing w:val="-2"/>
        </w:rPr>
        <w:t>within</w:t>
      </w:r>
      <w:r>
        <w:rPr>
          <w:spacing w:val="-7"/>
        </w:rPr>
        <w:t> </w:t>
      </w:r>
      <w:r>
        <w:rPr>
          <w:spacing w:val="-2"/>
        </w:rPr>
        <w:t>the</w:t>
      </w:r>
      <w:r>
        <w:rPr>
          <w:spacing w:val="-10"/>
        </w:rPr>
        <w:t> </w:t>
      </w:r>
      <w:r>
        <w:rPr>
          <w:spacing w:val="-2"/>
        </w:rPr>
        <w:t>specific</w:t>
      </w:r>
      <w:r>
        <w:rPr>
          <w:spacing w:val="-7"/>
        </w:rPr>
        <w:t> </w:t>
      </w:r>
      <w:r>
        <w:rPr>
          <w:spacing w:val="-2"/>
        </w:rPr>
        <w:t>historical</w:t>
      </w:r>
      <w:r>
        <w:rPr>
          <w:spacing w:val="-7"/>
        </w:rPr>
        <w:t> </w:t>
      </w:r>
      <w:r>
        <w:rPr>
          <w:spacing w:val="-2"/>
        </w:rPr>
        <w:t>and</w:t>
      </w:r>
      <w:r>
        <w:rPr>
          <w:spacing w:val="-5"/>
        </w:rPr>
        <w:t> </w:t>
      </w:r>
      <w:r>
        <w:rPr>
          <w:spacing w:val="-2"/>
        </w:rPr>
        <w:t>social</w:t>
      </w:r>
      <w:r>
        <w:rPr>
          <w:spacing w:val="-10"/>
        </w:rPr>
        <w:t> </w:t>
      </w:r>
      <w:r>
        <w:rPr>
          <w:spacing w:val="-2"/>
        </w:rPr>
        <w:t>experience</w:t>
      </w:r>
      <w:r>
        <w:rPr>
          <w:spacing w:val="-5"/>
        </w:rPr>
        <w:t> </w:t>
      </w:r>
      <w:r>
        <w:rPr>
          <w:spacing w:val="-2"/>
        </w:rPr>
        <w:t>of</w:t>
      </w:r>
      <w:r>
        <w:rPr>
          <w:spacing w:val="-7"/>
        </w:rPr>
        <w:t> </w:t>
      </w:r>
      <w:r>
        <w:rPr>
          <w:spacing w:val="-2"/>
        </w:rPr>
        <w:t>communities </w:t>
      </w:r>
      <w:r>
        <w:rPr/>
        <w:t>that have been systematically</w:t>
      </w:r>
      <w:r>
        <w:rPr>
          <w:spacing w:val="-2"/>
        </w:rPr>
        <w:t> </w:t>
      </w:r>
      <w:r>
        <w:rPr/>
        <w:t>marginalized. Such productions move far beyond the idea of Shakespeare as universal—they insist on the particularity of location, history, and social position as the ground of meaningful theatrical engagement.</w:t>
      </w:r>
    </w:p>
    <w:p>
      <w:pPr>
        <w:pStyle w:val="Heading3"/>
        <w:spacing w:before="163"/>
        <w:jc w:val="both"/>
      </w:pPr>
      <w:r>
        <w:rPr>
          <w:w w:val="90"/>
        </w:rPr>
        <w:t>POSTCOLONIAL</w:t>
      </w:r>
      <w:r>
        <w:rPr>
          <w:spacing w:val="-5"/>
        </w:rPr>
        <w:t> </w:t>
      </w:r>
      <w:r>
        <w:rPr>
          <w:w w:val="90"/>
        </w:rPr>
        <w:t>PERSPECTIVE</w:t>
      </w:r>
      <w:r>
        <w:rPr>
          <w:spacing w:val="-6"/>
        </w:rPr>
        <w:t> </w:t>
      </w:r>
      <w:r>
        <w:rPr>
          <w:w w:val="90"/>
        </w:rPr>
        <w:t>OF</w:t>
      </w:r>
      <w:r>
        <w:rPr>
          <w:spacing w:val="-4"/>
        </w:rPr>
        <w:t> </w:t>
      </w:r>
      <w:r>
        <w:rPr>
          <w:spacing w:val="-2"/>
          <w:w w:val="90"/>
        </w:rPr>
        <w:t>SHAKESPEARE</w:t>
      </w:r>
    </w:p>
    <w:p>
      <w:pPr>
        <w:pStyle w:val="BodyText"/>
        <w:spacing w:line="249" w:lineRule="auto" w:before="75"/>
        <w:ind w:right="1436" w:firstLine="432"/>
        <w:jc w:val="both"/>
      </w:pPr>
      <w:r>
        <w:rPr/>
        <w:t>The theoretical frameworks of postcolonial studies have provided scholars with important tools for understanding the dynamics of </w:t>
      </w:r>
      <w:r>
        <w:rPr>
          <w:spacing w:val="-4"/>
        </w:rPr>
        <w:t>Shakespearean adaptation in India. Homi Bhabha’s</w:t>
      </w:r>
      <w:r>
        <w:rPr>
          <w:spacing w:val="-5"/>
        </w:rPr>
        <w:t> </w:t>
      </w:r>
      <w:r>
        <w:rPr>
          <w:spacing w:val="-4"/>
        </w:rPr>
        <w:t>concept of hybridity—</w:t>
      </w:r>
      <w:r>
        <w:rPr/>
        <w:t>the</w:t>
      </w:r>
      <w:r>
        <w:rPr>
          <w:spacing w:val="-5"/>
        </w:rPr>
        <w:t> </w:t>
      </w:r>
      <w:r>
        <w:rPr/>
        <w:t>productive,</w:t>
      </w:r>
      <w:r>
        <w:rPr>
          <w:spacing w:val="-6"/>
        </w:rPr>
        <w:t> </w:t>
      </w:r>
      <w:r>
        <w:rPr/>
        <w:t>destabilizing</w:t>
      </w:r>
      <w:r>
        <w:rPr>
          <w:spacing w:val="-8"/>
        </w:rPr>
        <w:t> </w:t>
      </w:r>
      <w:r>
        <w:rPr/>
        <w:t>space</w:t>
      </w:r>
      <w:r>
        <w:rPr>
          <w:spacing w:val="-6"/>
        </w:rPr>
        <w:t> </w:t>
      </w:r>
      <w:r>
        <w:rPr/>
        <w:t>created</w:t>
      </w:r>
      <w:r>
        <w:rPr>
          <w:spacing w:val="-6"/>
        </w:rPr>
        <w:t> </w:t>
      </w:r>
      <w:r>
        <w:rPr/>
        <w:t>at</w:t>
      </w:r>
      <w:r>
        <w:rPr>
          <w:spacing w:val="-6"/>
        </w:rPr>
        <w:t> </w:t>
      </w:r>
      <w:r>
        <w:rPr/>
        <w:t>the</w:t>
      </w:r>
      <w:r>
        <w:rPr>
          <w:spacing w:val="-8"/>
        </w:rPr>
        <w:t> </w:t>
      </w:r>
      <w:r>
        <w:rPr/>
        <w:t>intersection</w:t>
      </w:r>
      <w:r>
        <w:rPr>
          <w:spacing w:val="-6"/>
        </w:rPr>
        <w:t> </w:t>
      </w:r>
      <w:r>
        <w:rPr/>
        <w:t>of</w:t>
      </w:r>
      <w:r>
        <w:rPr>
          <w:spacing w:val="-8"/>
        </w:rPr>
        <w:t> </w:t>
      </w:r>
      <w:r>
        <w:rPr/>
        <w:t>colonial and indigenous cultures is particularly relevant. Indian Shakespearean productions occupy precisely this hybrid space: they are neither straightforwardly</w:t>
      </w:r>
      <w:r>
        <w:rPr>
          <w:spacing w:val="-2"/>
        </w:rPr>
        <w:t> </w:t>
      </w:r>
      <w:r>
        <w:rPr/>
        <w:t>“Indian” nor simply</w:t>
      </w:r>
      <w:r>
        <w:rPr>
          <w:spacing w:val="-2"/>
        </w:rPr>
        <w:t> </w:t>
      </w:r>
      <w:r>
        <w:rPr/>
        <w:t>imitative of</w:t>
      </w:r>
      <w:r>
        <w:rPr>
          <w:spacing w:val="-2"/>
        </w:rPr>
        <w:t> </w:t>
      </w:r>
      <w:r>
        <w:rPr/>
        <w:t>Western models, but rather emerge from the generative tension between multiple theatrical, linguistic, and cultural traditions. Bhabha’s</w:t>
      </w:r>
      <w:r>
        <w:rPr>
          <w:spacing w:val="-1"/>
        </w:rPr>
        <w:t> </w:t>
      </w:r>
      <w:r>
        <w:rPr/>
        <w:t>related concept of</w:t>
      </w:r>
      <w:r>
        <w:rPr>
          <w:spacing w:val="-1"/>
        </w:rPr>
        <w:t> </w:t>
      </w:r>
      <w:r>
        <w:rPr/>
        <w:t>mimicry, the colonial subject’s imperfect reproduction of the colonizer’s culture, which simultaneously resembles and differs from its model illuminates </w:t>
      </w:r>
      <w:r>
        <w:rPr>
          <w:spacing w:val="-2"/>
        </w:rPr>
        <w:t>the</w:t>
      </w:r>
      <w:r>
        <w:rPr>
          <w:spacing w:val="-11"/>
        </w:rPr>
        <w:t> </w:t>
      </w:r>
      <w:r>
        <w:rPr>
          <w:spacing w:val="-2"/>
        </w:rPr>
        <w:t>early</w:t>
      </w:r>
      <w:r>
        <w:rPr>
          <w:spacing w:val="-10"/>
        </w:rPr>
        <w:t> </w:t>
      </w:r>
      <w:r>
        <w:rPr>
          <w:spacing w:val="-2"/>
        </w:rPr>
        <w:t>history</w:t>
      </w:r>
      <w:r>
        <w:rPr>
          <w:spacing w:val="-11"/>
        </w:rPr>
        <w:t> </w:t>
      </w:r>
      <w:r>
        <w:rPr>
          <w:spacing w:val="-2"/>
        </w:rPr>
        <w:t>of</w:t>
      </w:r>
      <w:r>
        <w:rPr>
          <w:spacing w:val="-8"/>
        </w:rPr>
        <w:t> </w:t>
      </w:r>
      <w:r>
        <w:rPr>
          <w:spacing w:val="-2"/>
        </w:rPr>
        <w:t>Shakespearean</w:t>
      </w:r>
      <w:r>
        <w:rPr>
          <w:spacing w:val="-8"/>
        </w:rPr>
        <w:t> </w:t>
      </w:r>
      <w:r>
        <w:rPr>
          <w:spacing w:val="-2"/>
        </w:rPr>
        <w:t>production</w:t>
      </w:r>
      <w:r>
        <w:rPr>
          <w:spacing w:val="-8"/>
        </w:rPr>
        <w:t> </w:t>
      </w:r>
      <w:r>
        <w:rPr>
          <w:spacing w:val="-2"/>
        </w:rPr>
        <w:t>in</w:t>
      </w:r>
      <w:r>
        <w:rPr>
          <w:spacing w:val="-8"/>
        </w:rPr>
        <w:t> </w:t>
      </w:r>
      <w:r>
        <w:rPr>
          <w:spacing w:val="-2"/>
        </w:rPr>
        <w:t>India.</w:t>
      </w:r>
      <w:r>
        <w:rPr>
          <w:spacing w:val="-11"/>
        </w:rPr>
        <w:t> </w:t>
      </w:r>
      <w:r>
        <w:rPr>
          <w:spacing w:val="-2"/>
        </w:rPr>
        <w:t>The</w:t>
      </w:r>
      <w:r>
        <w:rPr>
          <w:spacing w:val="-5"/>
        </w:rPr>
        <w:t> </w:t>
      </w:r>
      <w:r>
        <w:rPr>
          <w:spacing w:val="-2"/>
        </w:rPr>
        <w:t>Parsi</w:t>
      </w:r>
      <w:r>
        <w:rPr>
          <w:spacing w:val="-6"/>
        </w:rPr>
        <w:t> </w:t>
      </w:r>
      <w:r>
        <w:rPr>
          <w:spacing w:val="-2"/>
        </w:rPr>
        <w:t>theatre’s </w:t>
      </w:r>
      <w:r>
        <w:rPr/>
        <w:t>adaptations, the Calcutta bhadralok’s English-language Shakespeare clubs, the colonial school performances: all of these might be read as instances of mimicry in Bhabha’s sense, performances of cultural competence that are always also performances of cultural difference. But</w:t>
      </w:r>
      <w:r>
        <w:rPr>
          <w:spacing w:val="-1"/>
        </w:rPr>
        <w:t> </w:t>
      </w:r>
      <w:r>
        <w:rPr/>
        <w:t>by</w:t>
      </w:r>
      <w:r>
        <w:rPr>
          <w:spacing w:val="-1"/>
        </w:rPr>
        <w:t> </w:t>
      </w:r>
      <w:r>
        <w:rPr/>
        <w:t>the</w:t>
      </w:r>
      <w:r>
        <w:rPr>
          <w:spacing w:val="-1"/>
        </w:rPr>
        <w:t> </w:t>
      </w:r>
      <w:r>
        <w:rPr/>
        <w:t>post-Independence</w:t>
      </w:r>
      <w:r>
        <w:rPr>
          <w:spacing w:val="-1"/>
        </w:rPr>
        <w:t> </w:t>
      </w:r>
      <w:r>
        <w:rPr/>
        <w:t>period,</w:t>
      </w:r>
      <w:r>
        <w:rPr>
          <w:spacing w:val="-1"/>
        </w:rPr>
        <w:t> </w:t>
      </w:r>
      <w:r>
        <w:rPr/>
        <w:t>the concept</w:t>
      </w:r>
      <w:r>
        <w:rPr>
          <w:spacing w:val="-1"/>
        </w:rPr>
        <w:t> </w:t>
      </w:r>
      <w:r>
        <w:rPr/>
        <w:t>of</w:t>
      </w:r>
      <w:r>
        <w:rPr>
          <w:spacing w:val="-2"/>
        </w:rPr>
        <w:t> </w:t>
      </w:r>
      <w:r>
        <w:rPr/>
        <w:t>mimicry</w:t>
      </w:r>
      <w:r>
        <w:rPr>
          <w:spacing w:val="-2"/>
        </w:rPr>
        <w:t> </w:t>
      </w:r>
      <w:r>
        <w:rPr/>
        <w:t>no longer adequately captures the dynamics of Indian Shakespearean adaptation, which had moved beyond the colonial matrix into a genuinely creative and</w:t>
      </w:r>
      <w:r>
        <w:rPr>
          <w:spacing w:val="40"/>
        </w:rPr>
        <w:t> </w:t>
      </w:r>
      <w:r>
        <w:rPr/>
        <w:t>autonomous</w:t>
      </w:r>
      <w:r>
        <w:rPr>
          <w:spacing w:val="40"/>
        </w:rPr>
        <w:t> </w:t>
      </w:r>
      <w:r>
        <w:rPr/>
        <w:t>mode</w:t>
      </w:r>
      <w:r>
        <w:rPr>
          <w:spacing w:val="40"/>
        </w:rPr>
        <w:t> </w:t>
      </w:r>
      <w:r>
        <w:rPr/>
        <w:t>of</w:t>
      </w:r>
      <w:r>
        <w:rPr>
          <w:spacing w:val="40"/>
        </w:rPr>
        <w:t> </w:t>
      </w:r>
      <w:r>
        <w:rPr/>
        <w:t>engagement.</w:t>
      </w:r>
    </w:p>
    <w:p>
      <w:pPr>
        <w:pStyle w:val="BodyText"/>
        <w:spacing w:line="249" w:lineRule="auto" w:before="74"/>
        <w:ind w:right="1437" w:firstLine="432"/>
        <w:jc w:val="both"/>
      </w:pPr>
      <w:r>
        <w:rPr/>
        <w:t>Rustom Bharucha, in his wide-ranging critique of intercultural theatre, raises important cautions about the celebration of Indian </w:t>
      </w:r>
      <w:r>
        <w:rPr>
          <w:spacing w:val="-2"/>
        </w:rPr>
        <w:t>Shakespearean</w:t>
      </w:r>
      <w:r>
        <w:rPr>
          <w:spacing w:val="-7"/>
        </w:rPr>
        <w:t> </w:t>
      </w:r>
      <w:r>
        <w:rPr>
          <w:spacing w:val="-2"/>
        </w:rPr>
        <w:t>adaptation</w:t>
      </w:r>
      <w:r>
        <w:rPr>
          <w:spacing w:val="-10"/>
        </w:rPr>
        <w:t> </w:t>
      </w:r>
      <w:r>
        <w:rPr>
          <w:spacing w:val="-2"/>
        </w:rPr>
        <w:t>as</w:t>
      </w:r>
      <w:r>
        <w:rPr>
          <w:spacing w:val="-10"/>
        </w:rPr>
        <w:t> </w:t>
      </w:r>
      <w:r>
        <w:rPr>
          <w:spacing w:val="-2"/>
        </w:rPr>
        <w:t>straightforward</w:t>
      </w:r>
      <w:r>
        <w:rPr>
          <w:spacing w:val="-5"/>
        </w:rPr>
        <w:t> </w:t>
      </w:r>
      <w:r>
        <w:rPr>
          <w:spacing w:val="-2"/>
        </w:rPr>
        <w:t>cultural</w:t>
      </w:r>
      <w:r>
        <w:rPr>
          <w:spacing w:val="-9"/>
        </w:rPr>
        <w:t> </w:t>
      </w:r>
      <w:r>
        <w:rPr>
          <w:spacing w:val="-2"/>
        </w:rPr>
        <w:t>liberation.</w:t>
      </w:r>
      <w:r>
        <w:rPr>
          <w:spacing w:val="-10"/>
        </w:rPr>
        <w:t> </w:t>
      </w:r>
      <w:r>
        <w:rPr>
          <w:spacing w:val="-2"/>
        </w:rPr>
        <w:t>He</w:t>
      </w:r>
      <w:r>
        <w:rPr>
          <w:spacing w:val="-7"/>
        </w:rPr>
        <w:t> </w:t>
      </w:r>
      <w:r>
        <w:rPr>
          <w:spacing w:val="-2"/>
        </w:rPr>
        <w:t>warns </w:t>
      </w:r>
      <w:r>
        <w:rPr/>
        <w:t>against what he calls “the romance of the global” the tendency to read all instances</w:t>
      </w:r>
      <w:r>
        <w:rPr>
          <w:spacing w:val="-4"/>
        </w:rPr>
        <w:t> </w:t>
      </w:r>
      <w:r>
        <w:rPr/>
        <w:t>of</w:t>
      </w:r>
      <w:r>
        <w:rPr>
          <w:spacing w:val="-2"/>
        </w:rPr>
        <w:t> </w:t>
      </w:r>
      <w:r>
        <w:rPr/>
        <w:t>cross-cultural</w:t>
      </w:r>
      <w:r>
        <w:rPr>
          <w:spacing w:val="-4"/>
        </w:rPr>
        <w:t> </w:t>
      </w:r>
      <w:r>
        <w:rPr/>
        <w:t>theatrical exchange</w:t>
      </w:r>
      <w:r>
        <w:rPr>
          <w:spacing w:val="-2"/>
        </w:rPr>
        <w:t> </w:t>
      </w:r>
      <w:r>
        <w:rPr/>
        <w:t>as evidence</w:t>
      </w:r>
      <w:r>
        <w:rPr>
          <w:spacing w:val="-2"/>
        </w:rPr>
        <w:t> </w:t>
      </w:r>
      <w:r>
        <w:rPr/>
        <w:t>of</w:t>
      </w:r>
      <w:r>
        <w:rPr>
          <w:spacing w:val="-2"/>
        </w:rPr>
        <w:t> </w:t>
      </w:r>
      <w:r>
        <w:rPr/>
        <w:t>mutual enrichment, without attending to the unequal power relations that structure</w:t>
      </w:r>
      <w:r>
        <w:rPr>
          <w:spacing w:val="56"/>
        </w:rPr>
        <w:t> </w:t>
      </w:r>
      <w:r>
        <w:rPr/>
        <w:t>those</w:t>
      </w:r>
      <w:r>
        <w:rPr>
          <w:spacing w:val="59"/>
        </w:rPr>
        <w:t> </w:t>
      </w:r>
      <w:r>
        <w:rPr/>
        <w:t>exchanges.</w:t>
      </w:r>
      <w:r>
        <w:rPr>
          <w:spacing w:val="57"/>
        </w:rPr>
        <w:t> </w:t>
      </w:r>
      <w:r>
        <w:rPr/>
        <w:t>When</w:t>
      </w:r>
      <w:r>
        <w:rPr>
          <w:spacing w:val="54"/>
        </w:rPr>
        <w:t> </w:t>
      </w:r>
      <w:r>
        <w:rPr/>
        <w:t>Indian</w:t>
      </w:r>
      <w:r>
        <w:rPr>
          <w:spacing w:val="55"/>
        </w:rPr>
        <w:t> </w:t>
      </w:r>
      <w:r>
        <w:rPr/>
        <w:t>theatre</w:t>
      </w:r>
      <w:r>
        <w:rPr>
          <w:spacing w:val="56"/>
        </w:rPr>
        <w:t> </w:t>
      </w:r>
      <w:r>
        <w:rPr/>
        <w:t>practitioners</w:t>
      </w:r>
      <w:r>
        <w:rPr>
          <w:spacing w:val="53"/>
        </w:rPr>
        <w:t> </w:t>
      </w:r>
      <w:r>
        <w:rPr>
          <w:spacing w:val="-2"/>
        </w:rPr>
        <w:t>adapt</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2960">
                <wp:simplePos x="0" y="0"/>
                <wp:positionH relativeFrom="page">
                  <wp:posOffset>2057400</wp:posOffset>
                </wp:positionH>
                <wp:positionV relativeFrom="paragraph">
                  <wp:posOffset>162604</wp:posOffset>
                </wp:positionV>
                <wp:extent cx="3657600" cy="12700"/>
                <wp:effectExtent l="0" t="0" r="0" b="0"/>
                <wp:wrapTopAndBottom/>
                <wp:docPr id="857" name="Graphic 857"/>
                <wp:cNvGraphicFramePr>
                  <a:graphicFrameLocks/>
                </wp:cNvGraphicFramePr>
                <a:graphic>
                  <a:graphicData uri="http://schemas.microsoft.com/office/word/2010/wordprocessingShape">
                    <wps:wsp>
                      <wps:cNvPr id="857" name="Graphic 85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03520;mso-wrap-distance-left:0;mso-wrap-distance-right:0" id="docshape849" filled="true" fillcolor="#000000" stroked="false">
                <v:fill type="solid"/>
                <w10:wrap type="topAndBottom"/>
              </v:rect>
            </w:pict>
          </mc:Fallback>
        </mc:AlternateContent>
      </w:r>
      <w:r>
        <w:rPr>
          <w:rFonts w:ascii="Verdana"/>
          <w:spacing w:val="-5"/>
          <w:sz w:val="18"/>
        </w:rPr>
        <w:t>452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Shakespeare for international festival circuits, they do so within an economy</w:t>
      </w:r>
      <w:r>
        <w:rPr>
          <w:spacing w:val="-6"/>
        </w:rPr>
        <w:t> </w:t>
      </w:r>
      <w:r>
        <w:rPr/>
        <w:t>of</w:t>
      </w:r>
      <w:r>
        <w:rPr>
          <w:spacing w:val="-2"/>
        </w:rPr>
        <w:t> </w:t>
      </w:r>
      <w:r>
        <w:rPr/>
        <w:t>cultural</w:t>
      </w:r>
      <w:r>
        <w:rPr>
          <w:spacing w:val="-3"/>
        </w:rPr>
        <w:t> </w:t>
      </w:r>
      <w:r>
        <w:rPr/>
        <w:t>prestige</w:t>
      </w:r>
      <w:r>
        <w:rPr>
          <w:spacing w:val="-2"/>
        </w:rPr>
        <w:t> </w:t>
      </w:r>
      <w:r>
        <w:rPr/>
        <w:t>in</w:t>
      </w:r>
      <w:r>
        <w:rPr>
          <w:spacing w:val="-2"/>
        </w:rPr>
        <w:t> </w:t>
      </w:r>
      <w:r>
        <w:rPr/>
        <w:t>which</w:t>
      </w:r>
      <w:r>
        <w:rPr>
          <w:spacing w:val="-2"/>
        </w:rPr>
        <w:t> </w:t>
      </w:r>
      <w:r>
        <w:rPr/>
        <w:t>Shakespeare</w:t>
      </w:r>
      <w:r>
        <w:rPr>
          <w:spacing w:val="-2"/>
        </w:rPr>
        <w:t> </w:t>
      </w:r>
      <w:r>
        <w:rPr/>
        <w:t>remains</w:t>
      </w:r>
      <w:r>
        <w:rPr>
          <w:spacing w:val="-2"/>
        </w:rPr>
        <w:t> </w:t>
      </w:r>
      <w:r>
        <w:rPr/>
        <w:t>a</w:t>
      </w:r>
      <w:r>
        <w:rPr>
          <w:spacing w:val="-1"/>
        </w:rPr>
        <w:t> </w:t>
      </w:r>
      <w:r>
        <w:rPr/>
        <w:t>marker</w:t>
      </w:r>
      <w:r>
        <w:rPr>
          <w:spacing w:val="-2"/>
        </w:rPr>
        <w:t> </w:t>
      </w:r>
      <w:r>
        <w:rPr/>
        <w:t>of cosmopolitan</w:t>
      </w:r>
      <w:r>
        <w:rPr>
          <w:spacing w:val="-9"/>
        </w:rPr>
        <w:t> </w:t>
      </w:r>
      <w:r>
        <w:rPr/>
        <w:t>legitimacy;</w:t>
      </w:r>
      <w:r>
        <w:rPr>
          <w:spacing w:val="-5"/>
        </w:rPr>
        <w:t> </w:t>
      </w:r>
      <w:r>
        <w:rPr/>
        <w:t>the</w:t>
      </w:r>
      <w:r>
        <w:rPr>
          <w:spacing w:val="-8"/>
        </w:rPr>
        <w:t> </w:t>
      </w:r>
      <w:r>
        <w:rPr/>
        <w:t>Indian</w:t>
      </w:r>
      <w:r>
        <w:rPr>
          <w:spacing w:val="-7"/>
        </w:rPr>
        <w:t> </w:t>
      </w:r>
      <w:r>
        <w:rPr/>
        <w:t>adaptation</w:t>
      </w:r>
      <w:r>
        <w:rPr>
          <w:spacing w:val="-9"/>
        </w:rPr>
        <w:t> </w:t>
      </w:r>
      <w:r>
        <w:rPr/>
        <w:t>gains</w:t>
      </w:r>
      <w:r>
        <w:rPr>
          <w:spacing w:val="-5"/>
        </w:rPr>
        <w:t> </w:t>
      </w:r>
      <w:r>
        <w:rPr/>
        <w:t>visibility</w:t>
      </w:r>
      <w:r>
        <w:rPr>
          <w:spacing w:val="-10"/>
        </w:rPr>
        <w:t> </w:t>
      </w:r>
      <w:r>
        <w:rPr/>
        <w:t>precisely by</w:t>
      </w:r>
      <w:r>
        <w:rPr>
          <w:spacing w:val="40"/>
        </w:rPr>
        <w:t> </w:t>
      </w:r>
      <w:r>
        <w:rPr/>
        <w:t>its</w:t>
      </w:r>
      <w:r>
        <w:rPr>
          <w:spacing w:val="40"/>
        </w:rPr>
        <w:t> </w:t>
      </w:r>
      <w:r>
        <w:rPr/>
        <w:t>association</w:t>
      </w:r>
      <w:r>
        <w:rPr>
          <w:spacing w:val="40"/>
        </w:rPr>
        <w:t> </w:t>
      </w:r>
      <w:r>
        <w:rPr/>
        <w:t>with</w:t>
      </w:r>
      <w:r>
        <w:rPr>
          <w:spacing w:val="40"/>
        </w:rPr>
        <w:t> </w:t>
      </w:r>
      <w:r>
        <w:rPr/>
        <w:t>the</w:t>
      </w:r>
      <w:r>
        <w:rPr>
          <w:spacing w:val="40"/>
        </w:rPr>
        <w:t> </w:t>
      </w:r>
      <w:r>
        <w:rPr/>
        <w:t>Shakespearean</w:t>
      </w:r>
      <w:r>
        <w:rPr>
          <w:spacing w:val="40"/>
        </w:rPr>
        <w:t> </w:t>
      </w:r>
      <w:r>
        <w:rPr/>
        <w:t>brand.</w:t>
      </w:r>
    </w:p>
    <w:p>
      <w:pPr>
        <w:pStyle w:val="BodyText"/>
        <w:spacing w:line="249" w:lineRule="auto" w:before="61"/>
        <w:ind w:right="1436" w:firstLine="432"/>
        <w:jc w:val="both"/>
      </w:pPr>
      <w:r>
        <w:rPr/>
        <w:t>As Bharucha writes, “the question is not whether we can adapt Shakespeare, but whose purposes those adaptations serve, and in</w:t>
      </w:r>
      <w:r>
        <w:rPr>
          <w:spacing w:val="80"/>
        </w:rPr>
        <w:t> </w:t>
      </w:r>
      <w:r>
        <w:rPr/>
        <w:t>whose cultural economy they circulate”</w:t>
      </w:r>
      <w:r>
        <w:rPr>
          <w:spacing w:val="40"/>
        </w:rPr>
        <w:t> </w:t>
      </w:r>
      <w:r>
        <w:rPr/>
        <w:t>(Theatre and the World 108). This is a salutary caution, but it should not be taken to the point of denying the genuine creative achievement of the best Indian Shakespearean adaptations. When Tanvir’s Chhattisgarhi Company performed A Midsummer Night’s Dream, or when the Kerala Kalamandalam presented Kathakali King Lear, these were not merely spectacles</w:t>
      </w:r>
      <w:r>
        <w:rPr>
          <w:spacing w:val="-7"/>
        </w:rPr>
        <w:t> </w:t>
      </w:r>
      <w:r>
        <w:rPr/>
        <w:t>of</w:t>
      </w:r>
      <w:r>
        <w:rPr>
          <w:spacing w:val="-7"/>
        </w:rPr>
        <w:t> </w:t>
      </w:r>
      <w:r>
        <w:rPr/>
        <w:t>cultural</w:t>
      </w:r>
      <w:r>
        <w:rPr>
          <w:spacing w:val="-6"/>
        </w:rPr>
        <w:t> </w:t>
      </w:r>
      <w:r>
        <w:rPr/>
        <w:t>difference</w:t>
      </w:r>
      <w:r>
        <w:rPr>
          <w:spacing w:val="-6"/>
        </w:rPr>
        <w:t> </w:t>
      </w:r>
      <w:r>
        <w:rPr/>
        <w:t>offered</w:t>
      </w:r>
      <w:r>
        <w:rPr>
          <w:spacing w:val="-5"/>
        </w:rPr>
        <w:t> </w:t>
      </w:r>
      <w:r>
        <w:rPr/>
        <w:t>for</w:t>
      </w:r>
      <w:r>
        <w:rPr>
          <w:spacing w:val="-7"/>
        </w:rPr>
        <w:t> </w:t>
      </w:r>
      <w:r>
        <w:rPr/>
        <w:t>Western</w:t>
      </w:r>
      <w:r>
        <w:rPr>
          <w:spacing w:val="-7"/>
        </w:rPr>
        <w:t> </w:t>
      </w:r>
      <w:r>
        <w:rPr/>
        <w:t>consumption.</w:t>
      </w:r>
      <w:r>
        <w:rPr>
          <w:spacing w:val="-7"/>
        </w:rPr>
        <w:t> </w:t>
      </w:r>
      <w:r>
        <w:rPr/>
        <w:t>They were, first and foremost, theatrical events for Indian audiences, events in</w:t>
      </w:r>
      <w:r>
        <w:rPr>
          <w:spacing w:val="-2"/>
        </w:rPr>
        <w:t> </w:t>
      </w:r>
      <w:r>
        <w:rPr/>
        <w:t>which</w:t>
      </w:r>
      <w:r>
        <w:rPr>
          <w:spacing w:val="-2"/>
        </w:rPr>
        <w:t> </w:t>
      </w:r>
      <w:r>
        <w:rPr/>
        <w:t>the creative energies</w:t>
      </w:r>
      <w:r>
        <w:rPr>
          <w:spacing w:val="-3"/>
        </w:rPr>
        <w:t> </w:t>
      </w:r>
      <w:r>
        <w:rPr/>
        <w:t>of</w:t>
      </w:r>
      <w:r>
        <w:rPr>
          <w:spacing w:val="-2"/>
        </w:rPr>
        <w:t> </w:t>
      </w:r>
      <w:r>
        <w:rPr/>
        <w:t>particular performance traditions were brought to bear on dramatic material in ways that produced genuine illumination—of Shakespeare, of those traditions, and of the cultural moment</w:t>
      </w:r>
      <w:r>
        <w:rPr>
          <w:spacing w:val="40"/>
        </w:rPr>
        <w:t> </w:t>
      </w:r>
      <w:r>
        <w:rPr/>
        <w:t>in</w:t>
      </w:r>
      <w:r>
        <w:rPr>
          <w:spacing w:val="40"/>
        </w:rPr>
        <w:t> </w:t>
      </w:r>
      <w:r>
        <w:rPr/>
        <w:t>which</w:t>
      </w:r>
      <w:r>
        <w:rPr>
          <w:spacing w:val="40"/>
        </w:rPr>
        <w:t> </w:t>
      </w:r>
      <w:r>
        <w:rPr/>
        <w:t>the</w:t>
      </w:r>
      <w:r>
        <w:rPr>
          <w:spacing w:val="40"/>
        </w:rPr>
        <w:t> </w:t>
      </w:r>
      <w:r>
        <w:rPr/>
        <w:t>productions</w:t>
      </w:r>
      <w:r>
        <w:rPr>
          <w:spacing w:val="40"/>
        </w:rPr>
        <w:t> </w:t>
      </w:r>
      <w:r>
        <w:rPr/>
        <w:t>occurred.</w:t>
      </w:r>
    </w:p>
    <w:p>
      <w:pPr>
        <w:pStyle w:val="Heading3"/>
        <w:spacing w:before="165"/>
        <w:jc w:val="both"/>
      </w:pPr>
      <w:r>
        <w:rPr>
          <w:w w:val="90"/>
        </w:rPr>
        <w:t>CONCLUSION:</w:t>
      </w:r>
      <w:r>
        <w:rPr>
          <w:spacing w:val="30"/>
        </w:rPr>
        <w:t> </w:t>
      </w:r>
      <w:r>
        <w:rPr>
          <w:w w:val="90"/>
        </w:rPr>
        <w:t>A</w:t>
      </w:r>
      <w:r>
        <w:rPr>
          <w:spacing w:val="30"/>
        </w:rPr>
        <w:t> </w:t>
      </w:r>
      <w:r>
        <w:rPr>
          <w:w w:val="90"/>
        </w:rPr>
        <w:t>DIALOGUE</w:t>
      </w:r>
      <w:r>
        <w:rPr>
          <w:spacing w:val="30"/>
        </w:rPr>
        <w:t> </w:t>
      </w:r>
      <w:r>
        <w:rPr>
          <w:w w:val="90"/>
        </w:rPr>
        <w:t>WITHOUT</w:t>
      </w:r>
      <w:r>
        <w:rPr>
          <w:spacing w:val="32"/>
        </w:rPr>
        <w:t> </w:t>
      </w:r>
      <w:r>
        <w:rPr>
          <w:spacing w:val="-5"/>
          <w:w w:val="90"/>
        </w:rPr>
        <w:t>END</w:t>
      </w:r>
    </w:p>
    <w:p>
      <w:pPr>
        <w:pStyle w:val="BodyText"/>
        <w:spacing w:line="249" w:lineRule="auto" w:before="75"/>
        <w:ind w:right="1437" w:firstLine="432"/>
        <w:jc w:val="both"/>
      </w:pPr>
      <w:r>
        <w:rPr/>
        <w:t>The history of Shakespeare in Indian theatre is a history of extraordinary</w:t>
      </w:r>
      <w:r>
        <w:rPr>
          <w:spacing w:val="-13"/>
        </w:rPr>
        <w:t> </w:t>
      </w:r>
      <w:r>
        <w:rPr/>
        <w:t>creative</w:t>
      </w:r>
      <w:r>
        <w:rPr>
          <w:spacing w:val="-9"/>
        </w:rPr>
        <w:t> </w:t>
      </w:r>
      <w:r>
        <w:rPr/>
        <w:t>vitality</w:t>
      </w:r>
      <w:r>
        <w:rPr>
          <w:spacing w:val="-11"/>
        </w:rPr>
        <w:t> </w:t>
      </w:r>
      <w:r>
        <w:rPr/>
        <w:t>of</w:t>
      </w:r>
      <w:r>
        <w:rPr>
          <w:spacing w:val="-11"/>
        </w:rPr>
        <w:t> </w:t>
      </w:r>
      <w:r>
        <w:rPr/>
        <w:t>artists</w:t>
      </w:r>
      <w:r>
        <w:rPr>
          <w:spacing w:val="-9"/>
        </w:rPr>
        <w:t> </w:t>
      </w:r>
      <w:r>
        <w:rPr/>
        <w:t>who</w:t>
      </w:r>
      <w:r>
        <w:rPr>
          <w:spacing w:val="-9"/>
        </w:rPr>
        <w:t> </w:t>
      </w:r>
      <w:r>
        <w:rPr/>
        <w:t>refused</w:t>
      </w:r>
      <w:r>
        <w:rPr>
          <w:spacing w:val="-7"/>
        </w:rPr>
        <w:t> </w:t>
      </w:r>
      <w:r>
        <w:rPr/>
        <w:t>to</w:t>
      </w:r>
      <w:r>
        <w:rPr>
          <w:spacing w:val="-6"/>
        </w:rPr>
        <w:t> </w:t>
      </w:r>
      <w:r>
        <w:rPr/>
        <w:t>be</w:t>
      </w:r>
      <w:r>
        <w:rPr>
          <w:spacing w:val="-8"/>
        </w:rPr>
        <w:t> </w:t>
      </w:r>
      <w:r>
        <w:rPr/>
        <w:t>intimidated</w:t>
      </w:r>
      <w:r>
        <w:rPr>
          <w:spacing w:val="-9"/>
        </w:rPr>
        <w:t> </w:t>
      </w:r>
      <w:r>
        <w:rPr/>
        <w:t>by the canonical status of the plays they engaged with, who brought to</w:t>
      </w:r>
      <w:r>
        <w:rPr>
          <w:spacing w:val="80"/>
        </w:rPr>
        <w:t> </w:t>
      </w:r>
      <w:r>
        <w:rPr/>
        <w:t>that</w:t>
      </w:r>
      <w:r>
        <w:rPr>
          <w:spacing w:val="-4"/>
        </w:rPr>
        <w:t> </w:t>
      </w:r>
      <w:r>
        <w:rPr/>
        <w:t>engagement</w:t>
      </w:r>
      <w:r>
        <w:rPr>
          <w:spacing w:val="-2"/>
        </w:rPr>
        <w:t> </w:t>
      </w:r>
      <w:r>
        <w:rPr/>
        <w:t>the</w:t>
      </w:r>
      <w:r>
        <w:rPr>
          <w:spacing w:val="-3"/>
        </w:rPr>
        <w:t> </w:t>
      </w:r>
      <w:r>
        <w:rPr/>
        <w:t>full</w:t>
      </w:r>
      <w:r>
        <w:rPr>
          <w:spacing w:val="-4"/>
        </w:rPr>
        <w:t> </w:t>
      </w:r>
      <w:r>
        <w:rPr/>
        <w:t>resources</w:t>
      </w:r>
      <w:r>
        <w:rPr>
          <w:spacing w:val="-6"/>
        </w:rPr>
        <w:t> </w:t>
      </w:r>
      <w:r>
        <w:rPr/>
        <w:t>of</w:t>
      </w:r>
      <w:r>
        <w:rPr>
          <w:spacing w:val="-4"/>
        </w:rPr>
        <w:t> </w:t>
      </w:r>
      <w:r>
        <w:rPr/>
        <w:t>their</w:t>
      </w:r>
      <w:r>
        <w:rPr>
          <w:spacing w:val="-4"/>
        </w:rPr>
        <w:t> </w:t>
      </w:r>
      <w:r>
        <w:rPr/>
        <w:t>own</w:t>
      </w:r>
      <w:r>
        <w:rPr>
          <w:spacing w:val="-6"/>
        </w:rPr>
        <w:t> </w:t>
      </w:r>
      <w:r>
        <w:rPr/>
        <w:t>theatrical</w:t>
      </w:r>
      <w:r>
        <w:rPr>
          <w:spacing w:val="-3"/>
        </w:rPr>
        <w:t> </w:t>
      </w:r>
      <w:r>
        <w:rPr/>
        <w:t>traditions,</w:t>
      </w:r>
      <w:r>
        <w:rPr>
          <w:spacing w:val="-4"/>
        </w:rPr>
        <w:t> </w:t>
      </w:r>
      <w:r>
        <w:rPr/>
        <w:t>and who produced, in the process, some of the most innovative and theatrically compelling work in the global history of Shakespearean performance. From the Parsi companies of nineteenth-century Bombay to Tanvir’s folk theatre experiments, from the </w:t>
      </w:r>
      <w:r>
        <w:rPr>
          <w:i/>
        </w:rPr>
        <w:t>Kathakali King Lear </w:t>
      </w:r>
      <w:r>
        <w:rPr/>
        <w:t>to Atul</w:t>
      </w:r>
      <w:r>
        <w:rPr>
          <w:spacing w:val="-10"/>
        </w:rPr>
        <w:t> </w:t>
      </w:r>
      <w:r>
        <w:rPr/>
        <w:t>Kumar’s</w:t>
      </w:r>
      <w:r>
        <w:rPr>
          <w:spacing w:val="-10"/>
        </w:rPr>
        <w:t> </w:t>
      </w:r>
      <w:r>
        <w:rPr>
          <w:i/>
        </w:rPr>
        <w:t>Bollywood</w:t>
      </w:r>
      <w:r>
        <w:rPr>
          <w:i/>
          <w:spacing w:val="-9"/>
        </w:rPr>
        <w:t> </w:t>
      </w:r>
      <w:r>
        <w:rPr>
          <w:i/>
        </w:rPr>
        <w:t>Dream</w:t>
      </w:r>
      <w:r>
        <w:rPr/>
        <w:t>,</w:t>
      </w:r>
      <w:r>
        <w:rPr>
          <w:spacing w:val="-9"/>
        </w:rPr>
        <w:t> </w:t>
      </w:r>
      <w:r>
        <w:rPr/>
        <w:t>Indian</w:t>
      </w:r>
      <w:r>
        <w:rPr>
          <w:spacing w:val="-9"/>
        </w:rPr>
        <w:t> </w:t>
      </w:r>
      <w:r>
        <w:rPr/>
        <w:t>artists</w:t>
      </w:r>
      <w:r>
        <w:rPr>
          <w:spacing w:val="-10"/>
        </w:rPr>
        <w:t> </w:t>
      </w:r>
      <w:r>
        <w:rPr/>
        <w:t>have</w:t>
      </w:r>
      <w:r>
        <w:rPr>
          <w:spacing w:val="-9"/>
        </w:rPr>
        <w:t> </w:t>
      </w:r>
      <w:r>
        <w:rPr/>
        <w:t>demonstrated</w:t>
      </w:r>
      <w:r>
        <w:rPr>
          <w:spacing w:val="-9"/>
        </w:rPr>
        <w:t> </w:t>
      </w:r>
      <w:r>
        <w:rPr/>
        <w:t>again and again that Shakespeare is most alive not in reverent reproduction but</w:t>
      </w:r>
      <w:r>
        <w:rPr>
          <w:spacing w:val="40"/>
        </w:rPr>
        <w:t> </w:t>
      </w:r>
      <w:r>
        <w:rPr/>
        <w:t>in</w:t>
      </w:r>
      <w:r>
        <w:rPr>
          <w:spacing w:val="40"/>
        </w:rPr>
        <w:t> </w:t>
      </w:r>
      <w:r>
        <w:rPr/>
        <w:t>creative</w:t>
      </w:r>
      <w:r>
        <w:rPr>
          <w:spacing w:val="40"/>
        </w:rPr>
        <w:t> </w:t>
      </w:r>
      <w:r>
        <w:rPr/>
        <w:t>transformation.</w:t>
      </w:r>
    </w:p>
    <w:p>
      <w:pPr>
        <w:pStyle w:val="BodyText"/>
        <w:spacing w:line="249" w:lineRule="auto" w:before="69"/>
        <w:ind w:right="1438" w:firstLine="432"/>
        <w:jc w:val="both"/>
      </w:pPr>
      <w:r>
        <w:rPr/>
        <w:t>What emerges from a survey of this tradition is not a single, unified “Indian Shakespeare” but a multiplicity of local Shakespeares, each rooted in a specific performance tradition, linguistic context, and historical moment. There is the Sanskrit-inflected Shakespeare of the classical aestheticians, the folk Shakespeare of Tanvir and his Chhattisgarhi performers, the political Shakespeare of Dutt and the Bengali</w:t>
      </w:r>
      <w:r>
        <w:rPr>
          <w:spacing w:val="-13"/>
        </w:rPr>
        <w:t> </w:t>
      </w:r>
      <w:r>
        <w:rPr/>
        <w:t>left,</w:t>
      </w:r>
      <w:r>
        <w:rPr>
          <w:spacing w:val="-12"/>
        </w:rPr>
        <w:t> </w:t>
      </w:r>
      <w:r>
        <w:rPr/>
        <w:t>the</w:t>
      </w:r>
      <w:r>
        <w:rPr>
          <w:spacing w:val="-13"/>
        </w:rPr>
        <w:t> </w:t>
      </w:r>
      <w:r>
        <w:rPr/>
        <w:t>Kathakali</w:t>
      </w:r>
      <w:r>
        <w:rPr>
          <w:spacing w:val="-12"/>
        </w:rPr>
        <w:t> </w:t>
      </w:r>
      <w:r>
        <w:rPr/>
        <w:t>Shakespeare</w:t>
      </w:r>
      <w:r>
        <w:rPr>
          <w:spacing w:val="-13"/>
        </w:rPr>
        <w:t> </w:t>
      </w:r>
      <w:r>
        <w:rPr/>
        <w:t>of</w:t>
      </w:r>
      <w:r>
        <w:rPr>
          <w:spacing w:val="-12"/>
        </w:rPr>
        <w:t> </w:t>
      </w:r>
      <w:r>
        <w:rPr/>
        <w:t>the</w:t>
      </w:r>
      <w:r>
        <w:rPr>
          <w:spacing w:val="-13"/>
        </w:rPr>
        <w:t> </w:t>
      </w:r>
      <w:r>
        <w:rPr/>
        <w:t>Kerala</w:t>
      </w:r>
      <w:r>
        <w:rPr>
          <w:spacing w:val="-12"/>
        </w:rPr>
        <w:t> </w:t>
      </w:r>
      <w:r>
        <w:rPr/>
        <w:t>Kalamandalam,</w:t>
      </w:r>
      <w:r>
        <w:rPr>
          <w:spacing w:val="-13"/>
        </w:rPr>
        <w:t> </w:t>
      </w:r>
      <w:r>
        <w:rPr/>
        <w:t>the </w:t>
      </w:r>
      <w:r>
        <w:rPr>
          <w:spacing w:val="-4"/>
        </w:rPr>
        <w:t>Yakshagana Shakespeare of Karanth, and the contemporary, cosmopolitan </w:t>
      </w:r>
      <w:r>
        <w:rPr/>
        <w:t>Shakespeare</w:t>
      </w:r>
      <w:r>
        <w:rPr>
          <w:spacing w:val="-1"/>
        </w:rPr>
        <w:t> </w:t>
      </w:r>
      <w:r>
        <w:rPr/>
        <w:t>of</w:t>
      </w:r>
      <w:r>
        <w:rPr>
          <w:spacing w:val="-12"/>
        </w:rPr>
        <w:t> </w:t>
      </w:r>
      <w:r>
        <w:rPr/>
        <w:t>Atul</w:t>
      </w:r>
      <w:r>
        <w:rPr>
          <w:spacing w:val="-2"/>
        </w:rPr>
        <w:t> </w:t>
      </w:r>
      <w:r>
        <w:rPr/>
        <w:t>Kumar</w:t>
      </w:r>
      <w:r>
        <w:rPr>
          <w:spacing w:val="2"/>
        </w:rPr>
        <w:t> </w:t>
      </w:r>
      <w:r>
        <w:rPr/>
        <w:t>and the urban</w:t>
      </w:r>
      <w:r>
        <w:rPr>
          <w:spacing w:val="-3"/>
        </w:rPr>
        <w:t> </w:t>
      </w:r>
      <w:r>
        <w:rPr/>
        <w:t>theatre</w:t>
      </w:r>
      <w:r>
        <w:rPr>
          <w:spacing w:val="1"/>
        </w:rPr>
        <w:t> </w:t>
      </w:r>
      <w:r>
        <w:rPr/>
        <w:t>companies.</w:t>
      </w:r>
      <w:r>
        <w:rPr>
          <w:spacing w:val="-3"/>
        </w:rPr>
        <w:t> </w:t>
      </w:r>
      <w:r>
        <w:rPr/>
        <w:t>These</w:t>
      </w:r>
      <w:r>
        <w:rPr>
          <w:spacing w:val="1"/>
        </w:rPr>
        <w:t> </w:t>
      </w:r>
      <w:r>
        <w:rPr>
          <w:spacing w:val="-5"/>
        </w:rPr>
        <w:t>are</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3472">
                <wp:simplePos x="0" y="0"/>
                <wp:positionH relativeFrom="page">
                  <wp:posOffset>2065020</wp:posOffset>
                </wp:positionH>
                <wp:positionV relativeFrom="paragraph">
                  <wp:posOffset>795020</wp:posOffset>
                </wp:positionV>
                <wp:extent cx="3657600" cy="12700"/>
                <wp:effectExtent l="0" t="0" r="0" b="0"/>
                <wp:wrapTopAndBottom/>
                <wp:docPr id="858" name="Graphic 858"/>
                <wp:cNvGraphicFramePr>
                  <a:graphicFrameLocks/>
                </wp:cNvGraphicFramePr>
                <a:graphic>
                  <a:graphicData uri="http://schemas.microsoft.com/office/word/2010/wordprocessingShape">
                    <wps:wsp>
                      <wps:cNvPr id="858" name="Graphic 85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403008;mso-wrap-distance-left:0;mso-wrap-distance-right:0" id="docshape850" filled="true" fillcolor="#000000" stroked="false">
                <v:fill type="solid"/>
                <w10:wrap type="topAndBottom"/>
              </v:rect>
            </w:pict>
          </mc:Fallback>
        </mc:AlternateContent>
      </w:r>
      <w:r>
        <w:rPr>
          <w:rFonts w:ascii="Verdana"/>
          <w:sz w:val="18"/>
        </w:rPr>
        <w:t>Shakespeare</w:t>
      </w:r>
      <w:r>
        <w:rPr>
          <w:rFonts w:ascii="Verdana"/>
          <w:spacing w:val="-3"/>
          <w:sz w:val="18"/>
        </w:rPr>
        <w:t> </w:t>
      </w:r>
      <w:r>
        <w:rPr>
          <w:rFonts w:ascii="Verdana"/>
          <w:sz w:val="18"/>
        </w:rPr>
        <w:t>in</w:t>
      </w:r>
      <w:r>
        <w:rPr>
          <w:rFonts w:ascii="Verdana"/>
          <w:spacing w:val="-2"/>
          <w:sz w:val="18"/>
        </w:rPr>
        <w:t> </w:t>
      </w:r>
      <w:r>
        <w:rPr>
          <w:rFonts w:ascii="Verdana"/>
          <w:sz w:val="18"/>
        </w:rPr>
        <w:t>Indian</w:t>
      </w:r>
      <w:r>
        <w:rPr>
          <w:rFonts w:ascii="Verdana"/>
          <w:spacing w:val="-2"/>
          <w:sz w:val="18"/>
        </w:rPr>
        <w:t> </w:t>
      </w:r>
      <w:r>
        <w:rPr>
          <w:rFonts w:ascii="Verdana"/>
          <w:sz w:val="18"/>
        </w:rPr>
        <w:t>Theatre:</w:t>
      </w:r>
      <w:r>
        <w:rPr>
          <w:rFonts w:ascii="Verdana"/>
          <w:spacing w:val="-4"/>
          <w:sz w:val="18"/>
        </w:rPr>
        <w:t> </w:t>
      </w:r>
      <w:r>
        <w:rPr>
          <w:rFonts w:ascii="Verdana"/>
          <w:sz w:val="18"/>
        </w:rPr>
        <w:t>A</w:t>
      </w:r>
      <w:r>
        <w:rPr>
          <w:rFonts w:ascii="Verdana"/>
          <w:spacing w:val="-9"/>
          <w:sz w:val="18"/>
        </w:rPr>
        <w:t> </w:t>
      </w:r>
      <w:r>
        <w:rPr>
          <w:rFonts w:ascii="Verdana"/>
          <w:sz w:val="18"/>
        </w:rPr>
        <w:t>Rich</w:t>
      </w:r>
      <w:r>
        <w:rPr>
          <w:rFonts w:ascii="Verdana"/>
          <w:spacing w:val="-1"/>
          <w:sz w:val="18"/>
        </w:rPr>
        <w:t> </w:t>
      </w:r>
      <w:r>
        <w:rPr>
          <w:rFonts w:ascii="Verdana"/>
          <w:sz w:val="18"/>
        </w:rPr>
        <w:t>Legacy</w:t>
      </w:r>
      <w:r>
        <w:rPr>
          <w:rFonts w:ascii="Verdana"/>
          <w:spacing w:val="-3"/>
          <w:sz w:val="18"/>
        </w:rPr>
        <w:t> </w:t>
      </w:r>
      <w:r>
        <w:rPr>
          <w:rFonts w:ascii="Verdana"/>
          <w:sz w:val="18"/>
        </w:rPr>
        <w:t>of</w:t>
      </w:r>
      <w:r>
        <w:rPr>
          <w:rFonts w:ascii="Verdana"/>
          <w:spacing w:val="-1"/>
          <w:sz w:val="18"/>
        </w:rPr>
        <w:t> </w:t>
      </w:r>
      <w:r>
        <w:rPr>
          <w:rFonts w:ascii="Verdana"/>
          <w:spacing w:val="-5"/>
          <w:sz w:val="18"/>
        </w:rPr>
        <w:t>...</w:t>
      </w:r>
      <w:r>
        <w:rPr>
          <w:sz w:val="18"/>
        </w:rPr>
        <w:tab/>
      </w:r>
      <w:r>
        <w:rPr>
          <w:rFonts w:ascii="Verdana"/>
          <w:spacing w:val="-5"/>
          <w:sz w:val="18"/>
        </w:rPr>
        <w:t>453</w:t>
      </w:r>
    </w:p>
    <w:p>
      <w:pPr>
        <w:pStyle w:val="BodyText"/>
        <w:spacing w:line="249" w:lineRule="auto" w:before="192"/>
        <w:ind w:right="1439"/>
        <w:jc w:val="both"/>
      </w:pPr>
      <w:r>
        <w:rPr/>
        <w:t>not competing versions of the same thing; they are genuinely different theatrical practices, united only by their common point of departure in the plays of a sixteenth-century English playwright. The dialogue between Shakespeare and Indian theatre is not finished. If anything, it</w:t>
      </w:r>
      <w:r>
        <w:rPr>
          <w:spacing w:val="40"/>
        </w:rPr>
        <w:t> </w:t>
      </w:r>
      <w:r>
        <w:rPr/>
        <w:t>is</w:t>
      </w:r>
      <w:r>
        <w:rPr>
          <w:spacing w:val="-13"/>
        </w:rPr>
        <w:t> </w:t>
      </w:r>
      <w:r>
        <w:rPr/>
        <w:t>becoming</w:t>
      </w:r>
      <w:r>
        <w:rPr>
          <w:spacing w:val="-12"/>
        </w:rPr>
        <w:t> </w:t>
      </w:r>
      <w:r>
        <w:rPr/>
        <w:t>richer</w:t>
      </w:r>
      <w:r>
        <w:rPr>
          <w:spacing w:val="-13"/>
        </w:rPr>
        <w:t> </w:t>
      </w:r>
      <w:r>
        <w:rPr/>
        <w:t>and</w:t>
      </w:r>
      <w:r>
        <w:rPr>
          <w:spacing w:val="-12"/>
        </w:rPr>
        <w:t> </w:t>
      </w:r>
      <w:r>
        <w:rPr/>
        <w:t>more</w:t>
      </w:r>
      <w:r>
        <w:rPr>
          <w:spacing w:val="-12"/>
        </w:rPr>
        <w:t> </w:t>
      </w:r>
      <w:r>
        <w:rPr/>
        <w:t>complex</w:t>
      </w:r>
      <w:r>
        <w:rPr>
          <w:spacing w:val="-13"/>
        </w:rPr>
        <w:t> </w:t>
      </w:r>
      <w:r>
        <w:rPr/>
        <w:t>as</w:t>
      </w:r>
      <w:r>
        <w:rPr>
          <w:spacing w:val="-12"/>
        </w:rPr>
        <w:t> </w:t>
      </w:r>
      <w:r>
        <w:rPr/>
        <w:t>Indian</w:t>
      </w:r>
      <w:r>
        <w:rPr>
          <w:spacing w:val="-13"/>
        </w:rPr>
        <w:t> </w:t>
      </w:r>
      <w:r>
        <w:rPr/>
        <w:t>theatre</w:t>
      </w:r>
      <w:r>
        <w:rPr>
          <w:spacing w:val="-12"/>
        </w:rPr>
        <w:t> </w:t>
      </w:r>
      <w:r>
        <w:rPr/>
        <w:t>practitioners</w:t>
      </w:r>
      <w:r>
        <w:rPr>
          <w:spacing w:val="-11"/>
        </w:rPr>
        <w:t> </w:t>
      </w:r>
      <w:r>
        <w:rPr/>
        <w:t>gain increasing international visibility, as postcolonial scholarship develops </w:t>
      </w:r>
      <w:r>
        <w:rPr>
          <w:spacing w:val="-2"/>
        </w:rPr>
        <w:t>more</w:t>
      </w:r>
      <w:r>
        <w:rPr>
          <w:spacing w:val="-8"/>
        </w:rPr>
        <w:t> </w:t>
      </w:r>
      <w:r>
        <w:rPr>
          <w:spacing w:val="-2"/>
        </w:rPr>
        <w:t>sophisticated</w:t>
      </w:r>
      <w:r>
        <w:rPr>
          <w:spacing w:val="-9"/>
        </w:rPr>
        <w:t> </w:t>
      </w:r>
      <w:r>
        <w:rPr>
          <w:spacing w:val="-2"/>
        </w:rPr>
        <w:t>frameworks</w:t>
      </w:r>
      <w:r>
        <w:rPr>
          <w:spacing w:val="-11"/>
        </w:rPr>
        <w:t> </w:t>
      </w:r>
      <w:r>
        <w:rPr>
          <w:spacing w:val="-2"/>
        </w:rPr>
        <w:t>for</w:t>
      </w:r>
      <w:r>
        <w:rPr>
          <w:spacing w:val="-8"/>
        </w:rPr>
        <w:t> </w:t>
      </w:r>
      <w:r>
        <w:rPr>
          <w:spacing w:val="-2"/>
        </w:rPr>
        <w:t>understanding</w:t>
      </w:r>
      <w:r>
        <w:rPr>
          <w:spacing w:val="-11"/>
        </w:rPr>
        <w:t> </w:t>
      </w:r>
      <w:r>
        <w:rPr>
          <w:spacing w:val="-2"/>
        </w:rPr>
        <w:t>cross-cultural</w:t>
      </w:r>
      <w:r>
        <w:rPr>
          <w:spacing w:val="-9"/>
        </w:rPr>
        <w:t> </w:t>
      </w:r>
      <w:r>
        <w:rPr>
          <w:spacing w:val="-2"/>
        </w:rPr>
        <w:t>theatrical exchange,</w:t>
      </w:r>
      <w:r>
        <w:rPr>
          <w:spacing w:val="-8"/>
        </w:rPr>
        <w:t> </w:t>
      </w:r>
      <w:r>
        <w:rPr>
          <w:spacing w:val="-2"/>
        </w:rPr>
        <w:t>and</w:t>
      </w:r>
      <w:r>
        <w:rPr>
          <w:spacing w:val="-5"/>
        </w:rPr>
        <w:t> </w:t>
      </w:r>
      <w:r>
        <w:rPr>
          <w:spacing w:val="-2"/>
        </w:rPr>
        <w:t>as</w:t>
      </w:r>
      <w:r>
        <w:rPr>
          <w:spacing w:val="-9"/>
        </w:rPr>
        <w:t> </w:t>
      </w:r>
      <w:r>
        <w:rPr>
          <w:spacing w:val="-2"/>
        </w:rPr>
        <w:t>digital</w:t>
      </w:r>
      <w:r>
        <w:rPr>
          <w:spacing w:val="-7"/>
        </w:rPr>
        <w:t> </w:t>
      </w:r>
      <w:r>
        <w:rPr>
          <w:spacing w:val="-2"/>
        </w:rPr>
        <w:t>technologies</w:t>
      </w:r>
      <w:r>
        <w:rPr>
          <w:spacing w:val="-9"/>
        </w:rPr>
        <w:t> </w:t>
      </w:r>
      <w:r>
        <w:rPr>
          <w:spacing w:val="-2"/>
        </w:rPr>
        <w:t>create</w:t>
      </w:r>
      <w:r>
        <w:rPr>
          <w:spacing w:val="-5"/>
        </w:rPr>
        <w:t> </w:t>
      </w:r>
      <w:r>
        <w:rPr>
          <w:spacing w:val="-2"/>
        </w:rPr>
        <w:t>new</w:t>
      </w:r>
      <w:r>
        <w:rPr>
          <w:spacing w:val="-11"/>
        </w:rPr>
        <w:t> </w:t>
      </w:r>
      <w:r>
        <w:rPr>
          <w:spacing w:val="-2"/>
        </w:rPr>
        <w:t>platforms</w:t>
      </w:r>
      <w:r>
        <w:rPr>
          <w:spacing w:val="-6"/>
        </w:rPr>
        <w:t> </w:t>
      </w:r>
      <w:r>
        <w:rPr>
          <w:spacing w:val="-2"/>
        </w:rPr>
        <w:t>for</w:t>
      </w:r>
      <w:r>
        <w:rPr>
          <w:spacing w:val="-5"/>
        </w:rPr>
        <w:t> </w:t>
      </w:r>
      <w:r>
        <w:rPr>
          <w:spacing w:val="-2"/>
        </w:rPr>
        <w:t>production </w:t>
      </w:r>
      <w:r>
        <w:rPr/>
        <w:t>and distribution. Shakespeare, as the Indian theatrical tradition has shown us, does not belong to England. He belongs to anyone with the creative</w:t>
      </w:r>
      <w:r>
        <w:rPr>
          <w:spacing w:val="38"/>
        </w:rPr>
        <w:t> </w:t>
      </w:r>
      <w:r>
        <w:rPr/>
        <w:t>courage</w:t>
      </w:r>
      <w:r>
        <w:rPr>
          <w:spacing w:val="38"/>
        </w:rPr>
        <w:t> </w:t>
      </w:r>
      <w:r>
        <w:rPr/>
        <w:t>to</w:t>
      </w:r>
      <w:r>
        <w:rPr>
          <w:spacing w:val="39"/>
        </w:rPr>
        <w:t> </w:t>
      </w:r>
      <w:r>
        <w:rPr/>
        <w:t>take him up</w:t>
      </w:r>
      <w:r>
        <w:rPr>
          <w:spacing w:val="39"/>
        </w:rPr>
        <w:t> </w:t>
      </w:r>
      <w:r>
        <w:rPr/>
        <w:t>and</w:t>
      </w:r>
      <w:r>
        <w:rPr>
          <w:spacing w:val="39"/>
        </w:rPr>
        <w:t> </w:t>
      </w:r>
      <w:r>
        <w:rPr/>
        <w:t>make</w:t>
      </w:r>
      <w:r>
        <w:rPr>
          <w:spacing w:val="38"/>
        </w:rPr>
        <w:t> </w:t>
      </w:r>
      <w:r>
        <w:rPr/>
        <w:t>something new.</w:t>
      </w:r>
    </w:p>
    <w:p>
      <w:pPr>
        <w:pStyle w:val="Heading3"/>
        <w:spacing w:before="163"/>
        <w:jc w:val="both"/>
      </w:pPr>
      <w:r>
        <w:rPr>
          <w:w w:val="90"/>
        </w:rPr>
        <w:t>WORKS</w:t>
      </w:r>
      <w:r>
        <w:rPr>
          <w:spacing w:val="6"/>
        </w:rPr>
        <w:t> </w:t>
      </w:r>
      <w:r>
        <w:rPr>
          <w:spacing w:val="-2"/>
          <w:w w:val="95"/>
        </w:rPr>
        <w:t>CITED</w:t>
      </w:r>
    </w:p>
    <w:p>
      <w:pPr>
        <w:pStyle w:val="ListParagraph"/>
        <w:numPr>
          <w:ilvl w:val="0"/>
          <w:numId w:val="94"/>
        </w:numPr>
        <w:tabs>
          <w:tab w:pos="2157" w:val="left" w:leader="none"/>
          <w:tab w:pos="2160" w:val="left" w:leader="none"/>
        </w:tabs>
        <w:spacing w:line="273" w:lineRule="auto" w:before="92" w:after="0"/>
        <w:ind w:left="2160" w:right="1443" w:hanging="315"/>
        <w:jc w:val="left"/>
        <w:rPr>
          <w:sz w:val="19"/>
        </w:rPr>
      </w:pPr>
      <w:r>
        <w:rPr>
          <w:sz w:val="19"/>
        </w:rPr>
        <w:t>Awasthi,</w:t>
      </w:r>
      <w:r>
        <w:rPr>
          <w:spacing w:val="21"/>
          <w:sz w:val="19"/>
        </w:rPr>
        <w:t> </w:t>
      </w:r>
      <w:r>
        <w:rPr>
          <w:sz w:val="19"/>
        </w:rPr>
        <w:t>Suresh.</w:t>
      </w:r>
      <w:r>
        <w:rPr>
          <w:spacing w:val="21"/>
          <w:sz w:val="19"/>
        </w:rPr>
        <w:t> </w:t>
      </w:r>
      <w:r>
        <w:rPr>
          <w:sz w:val="19"/>
        </w:rPr>
        <w:t>“Theatre</w:t>
      </w:r>
      <w:r>
        <w:rPr>
          <w:spacing w:val="19"/>
          <w:sz w:val="19"/>
        </w:rPr>
        <w:t> </w:t>
      </w:r>
      <w:r>
        <w:rPr>
          <w:sz w:val="19"/>
        </w:rPr>
        <w:t>of</w:t>
      </w:r>
      <w:r>
        <w:rPr>
          <w:spacing w:val="23"/>
          <w:sz w:val="19"/>
        </w:rPr>
        <w:t> </w:t>
      </w:r>
      <w:r>
        <w:rPr>
          <w:sz w:val="19"/>
        </w:rPr>
        <w:t>Roots:</w:t>
      </w:r>
      <w:r>
        <w:rPr>
          <w:spacing w:val="21"/>
          <w:sz w:val="19"/>
        </w:rPr>
        <w:t> </w:t>
      </w:r>
      <w:r>
        <w:rPr>
          <w:sz w:val="19"/>
        </w:rPr>
        <w:t>Encounter</w:t>
      </w:r>
      <w:r>
        <w:rPr>
          <w:spacing w:val="19"/>
          <w:sz w:val="19"/>
        </w:rPr>
        <w:t> </w:t>
      </w:r>
      <w:r>
        <w:rPr>
          <w:sz w:val="19"/>
        </w:rPr>
        <w:t>with</w:t>
      </w:r>
      <w:r>
        <w:rPr>
          <w:spacing w:val="19"/>
          <w:sz w:val="19"/>
        </w:rPr>
        <w:t> </w:t>
      </w:r>
      <w:r>
        <w:rPr>
          <w:sz w:val="19"/>
        </w:rPr>
        <w:t>Tradition.” </w:t>
      </w:r>
      <w:r>
        <w:rPr>
          <w:i/>
          <w:sz w:val="19"/>
        </w:rPr>
        <w:t>TDR/The</w:t>
      </w:r>
      <w:r>
        <w:rPr>
          <w:i/>
          <w:spacing w:val="40"/>
          <w:sz w:val="19"/>
        </w:rPr>
        <w:t> </w:t>
      </w:r>
      <w:r>
        <w:rPr>
          <w:i/>
          <w:sz w:val="19"/>
        </w:rPr>
        <w:t>Drama</w:t>
      </w:r>
      <w:r>
        <w:rPr>
          <w:i/>
          <w:spacing w:val="40"/>
          <w:sz w:val="19"/>
        </w:rPr>
        <w:t> </w:t>
      </w:r>
      <w:r>
        <w:rPr>
          <w:i/>
          <w:sz w:val="19"/>
        </w:rPr>
        <w:t>Review,</w:t>
      </w:r>
      <w:r>
        <w:rPr>
          <w:i/>
          <w:spacing w:val="40"/>
          <w:sz w:val="19"/>
        </w:rPr>
        <w:t> </w:t>
      </w:r>
      <w:r>
        <w:rPr>
          <w:sz w:val="19"/>
        </w:rPr>
        <w:t>vol.</w:t>
      </w:r>
      <w:r>
        <w:rPr>
          <w:spacing w:val="40"/>
          <w:sz w:val="19"/>
        </w:rPr>
        <w:t> </w:t>
      </w:r>
      <w:r>
        <w:rPr>
          <w:sz w:val="19"/>
        </w:rPr>
        <w:t>33,</w:t>
      </w:r>
      <w:r>
        <w:rPr>
          <w:spacing w:val="40"/>
          <w:sz w:val="19"/>
        </w:rPr>
        <w:t> </w:t>
      </w:r>
      <w:r>
        <w:rPr>
          <w:sz w:val="19"/>
        </w:rPr>
        <w:t>no.</w:t>
      </w:r>
      <w:r>
        <w:rPr>
          <w:spacing w:val="40"/>
          <w:sz w:val="19"/>
        </w:rPr>
        <w:t> </w:t>
      </w:r>
      <w:r>
        <w:rPr>
          <w:sz w:val="19"/>
        </w:rPr>
        <w:t>4,</w:t>
      </w:r>
      <w:r>
        <w:rPr>
          <w:spacing w:val="40"/>
          <w:sz w:val="19"/>
        </w:rPr>
        <w:t> </w:t>
      </w:r>
      <w:r>
        <w:rPr>
          <w:sz w:val="19"/>
        </w:rPr>
        <w:t>1989,</w:t>
      </w:r>
      <w:r>
        <w:rPr>
          <w:spacing w:val="40"/>
          <w:sz w:val="19"/>
        </w:rPr>
        <w:t> </w:t>
      </w:r>
      <w:r>
        <w:rPr>
          <w:sz w:val="19"/>
        </w:rPr>
        <w:t>pp.</w:t>
      </w:r>
      <w:r>
        <w:rPr>
          <w:spacing w:val="40"/>
          <w:sz w:val="19"/>
        </w:rPr>
        <w:t> </w:t>
      </w:r>
      <w:r>
        <w:rPr>
          <w:sz w:val="19"/>
        </w:rPr>
        <w:t>48–69.</w:t>
      </w:r>
    </w:p>
    <w:p>
      <w:pPr>
        <w:pStyle w:val="ListParagraph"/>
        <w:numPr>
          <w:ilvl w:val="0"/>
          <w:numId w:val="94"/>
        </w:numPr>
        <w:tabs>
          <w:tab w:pos="2157" w:val="left" w:leader="none"/>
          <w:tab w:pos="2160" w:val="left" w:leader="none"/>
        </w:tabs>
        <w:spacing w:line="273" w:lineRule="auto" w:before="61" w:after="0"/>
        <w:ind w:left="2160" w:right="1442" w:hanging="315"/>
        <w:jc w:val="left"/>
        <w:rPr>
          <w:sz w:val="19"/>
        </w:rPr>
      </w:pPr>
      <w:r>
        <w:rPr>
          <w:sz w:val="19"/>
        </w:rPr>
        <w:t>Bharucha,</w:t>
      </w:r>
      <w:r>
        <w:rPr>
          <w:spacing w:val="40"/>
          <w:sz w:val="19"/>
        </w:rPr>
        <w:t> </w:t>
      </w:r>
      <w:r>
        <w:rPr>
          <w:sz w:val="19"/>
        </w:rPr>
        <w:t>Rustom.</w:t>
      </w:r>
      <w:r>
        <w:rPr>
          <w:spacing w:val="40"/>
          <w:sz w:val="19"/>
        </w:rPr>
        <w:t> </w:t>
      </w:r>
      <w:r>
        <w:rPr>
          <w:i/>
          <w:sz w:val="19"/>
        </w:rPr>
        <w:t>Theatre</w:t>
      </w:r>
      <w:r>
        <w:rPr>
          <w:i/>
          <w:spacing w:val="40"/>
          <w:sz w:val="19"/>
        </w:rPr>
        <w:t> </w:t>
      </w:r>
      <w:r>
        <w:rPr>
          <w:i/>
          <w:sz w:val="19"/>
        </w:rPr>
        <w:t>and</w:t>
      </w:r>
      <w:r>
        <w:rPr>
          <w:i/>
          <w:spacing w:val="40"/>
          <w:sz w:val="19"/>
        </w:rPr>
        <w:t> </w:t>
      </w:r>
      <w:r>
        <w:rPr>
          <w:i/>
          <w:sz w:val="19"/>
        </w:rPr>
        <w:t>the</w:t>
      </w:r>
      <w:r>
        <w:rPr>
          <w:i/>
          <w:spacing w:val="40"/>
          <w:sz w:val="19"/>
        </w:rPr>
        <w:t> </w:t>
      </w:r>
      <w:r>
        <w:rPr>
          <w:i/>
          <w:sz w:val="19"/>
        </w:rPr>
        <w:t>World:</w:t>
      </w:r>
      <w:r>
        <w:rPr>
          <w:i/>
          <w:spacing w:val="40"/>
          <w:sz w:val="19"/>
        </w:rPr>
        <w:t> </w:t>
      </w:r>
      <w:r>
        <w:rPr>
          <w:i/>
          <w:sz w:val="19"/>
        </w:rPr>
        <w:t>Performance</w:t>
      </w:r>
      <w:r>
        <w:rPr>
          <w:i/>
          <w:spacing w:val="40"/>
          <w:sz w:val="19"/>
        </w:rPr>
        <w:t> </w:t>
      </w:r>
      <w:r>
        <w:rPr>
          <w:i/>
          <w:sz w:val="19"/>
        </w:rPr>
        <w:t>and the</w:t>
      </w:r>
      <w:r>
        <w:rPr>
          <w:i/>
          <w:spacing w:val="40"/>
          <w:sz w:val="19"/>
        </w:rPr>
        <w:t> </w:t>
      </w:r>
      <w:r>
        <w:rPr>
          <w:i/>
          <w:sz w:val="19"/>
        </w:rPr>
        <w:t>Politics</w:t>
      </w:r>
      <w:r>
        <w:rPr>
          <w:i/>
          <w:spacing w:val="40"/>
          <w:sz w:val="19"/>
        </w:rPr>
        <w:t> </w:t>
      </w:r>
      <w:r>
        <w:rPr>
          <w:i/>
          <w:sz w:val="19"/>
        </w:rPr>
        <w:t>of</w:t>
      </w:r>
      <w:r>
        <w:rPr>
          <w:i/>
          <w:spacing w:val="40"/>
          <w:sz w:val="19"/>
        </w:rPr>
        <w:t> </w:t>
      </w:r>
      <w:r>
        <w:rPr>
          <w:i/>
          <w:sz w:val="19"/>
        </w:rPr>
        <w:t>Culture.</w:t>
      </w:r>
      <w:r>
        <w:rPr>
          <w:i/>
          <w:spacing w:val="40"/>
          <w:sz w:val="19"/>
        </w:rPr>
        <w:t> </w:t>
      </w:r>
      <w:r>
        <w:rPr>
          <w:sz w:val="19"/>
        </w:rPr>
        <w:t>Routledge,</w:t>
      </w:r>
      <w:r>
        <w:rPr>
          <w:spacing w:val="40"/>
          <w:sz w:val="19"/>
        </w:rPr>
        <w:t> </w:t>
      </w:r>
      <w:r>
        <w:rPr>
          <w:sz w:val="19"/>
        </w:rPr>
        <w:t>1993.</w:t>
      </w:r>
    </w:p>
    <w:p>
      <w:pPr>
        <w:pStyle w:val="ListParagraph"/>
        <w:numPr>
          <w:ilvl w:val="0"/>
          <w:numId w:val="94"/>
        </w:numPr>
        <w:tabs>
          <w:tab w:pos="2157" w:val="left" w:leader="none"/>
        </w:tabs>
        <w:spacing w:line="240" w:lineRule="auto" w:before="58" w:after="0"/>
        <w:ind w:left="2157" w:right="0" w:hanging="312"/>
        <w:jc w:val="left"/>
        <w:rPr>
          <w:sz w:val="19"/>
        </w:rPr>
      </w:pPr>
      <w:r>
        <w:rPr>
          <w:sz w:val="19"/>
        </w:rPr>
        <w:t>Bhabha,</w:t>
      </w:r>
      <w:r>
        <w:rPr>
          <w:spacing w:val="38"/>
          <w:sz w:val="19"/>
        </w:rPr>
        <w:t> </w:t>
      </w:r>
      <w:r>
        <w:rPr>
          <w:sz w:val="19"/>
        </w:rPr>
        <w:t>Homi</w:t>
      </w:r>
      <w:r>
        <w:rPr>
          <w:spacing w:val="41"/>
          <w:sz w:val="19"/>
        </w:rPr>
        <w:t> </w:t>
      </w:r>
      <w:r>
        <w:rPr>
          <w:sz w:val="19"/>
        </w:rPr>
        <w:t>K.</w:t>
      </w:r>
      <w:r>
        <w:rPr>
          <w:spacing w:val="42"/>
          <w:sz w:val="19"/>
        </w:rPr>
        <w:t> </w:t>
      </w:r>
      <w:r>
        <w:rPr>
          <w:i/>
          <w:sz w:val="19"/>
        </w:rPr>
        <w:t>The</w:t>
      </w:r>
      <w:r>
        <w:rPr>
          <w:i/>
          <w:spacing w:val="41"/>
          <w:sz w:val="19"/>
        </w:rPr>
        <w:t> </w:t>
      </w:r>
      <w:r>
        <w:rPr>
          <w:i/>
          <w:sz w:val="19"/>
        </w:rPr>
        <w:t>Location</w:t>
      </w:r>
      <w:r>
        <w:rPr>
          <w:i/>
          <w:spacing w:val="38"/>
          <w:sz w:val="19"/>
        </w:rPr>
        <w:t> </w:t>
      </w:r>
      <w:r>
        <w:rPr>
          <w:i/>
          <w:sz w:val="19"/>
        </w:rPr>
        <w:t>of</w:t>
      </w:r>
      <w:r>
        <w:rPr>
          <w:i/>
          <w:spacing w:val="43"/>
          <w:sz w:val="19"/>
        </w:rPr>
        <w:t> </w:t>
      </w:r>
      <w:r>
        <w:rPr>
          <w:i/>
          <w:sz w:val="19"/>
        </w:rPr>
        <w:t>Culture.</w:t>
      </w:r>
      <w:r>
        <w:rPr>
          <w:i/>
          <w:spacing w:val="43"/>
          <w:sz w:val="19"/>
        </w:rPr>
        <w:t> </w:t>
      </w:r>
      <w:r>
        <w:rPr>
          <w:sz w:val="19"/>
        </w:rPr>
        <w:t>Routledge,</w:t>
      </w:r>
      <w:r>
        <w:rPr>
          <w:spacing w:val="40"/>
          <w:sz w:val="19"/>
        </w:rPr>
        <w:t> </w:t>
      </w:r>
      <w:r>
        <w:rPr>
          <w:spacing w:val="-4"/>
          <w:sz w:val="19"/>
        </w:rPr>
        <w:t>1994.</w:t>
      </w:r>
    </w:p>
    <w:p>
      <w:pPr>
        <w:pStyle w:val="ListParagraph"/>
        <w:numPr>
          <w:ilvl w:val="0"/>
          <w:numId w:val="94"/>
        </w:numPr>
        <w:tabs>
          <w:tab w:pos="2157" w:val="left" w:leader="none"/>
          <w:tab w:pos="2160" w:val="left" w:leader="none"/>
        </w:tabs>
        <w:spacing w:line="273" w:lineRule="auto" w:before="91" w:after="0"/>
        <w:ind w:left="2160" w:right="1441" w:hanging="315"/>
        <w:jc w:val="both"/>
        <w:rPr>
          <w:sz w:val="19"/>
        </w:rPr>
      </w:pPr>
      <w:r>
        <w:rPr>
          <w:sz w:val="19"/>
        </w:rPr>
        <w:t>Chandra, Vikram. “Shakespeare in India.” </w:t>
      </w:r>
      <w:r>
        <w:rPr>
          <w:i/>
          <w:sz w:val="19"/>
        </w:rPr>
        <w:t>Journal of South</w:t>
      </w:r>
      <w:r>
        <w:rPr>
          <w:i/>
          <w:spacing w:val="80"/>
          <w:sz w:val="19"/>
        </w:rPr>
        <w:t> </w:t>
      </w:r>
      <w:r>
        <w:rPr>
          <w:i/>
          <w:sz w:val="19"/>
        </w:rPr>
        <w:t>Asian</w:t>
      </w:r>
      <w:r>
        <w:rPr>
          <w:i/>
          <w:spacing w:val="40"/>
          <w:sz w:val="19"/>
        </w:rPr>
        <w:t> </w:t>
      </w:r>
      <w:r>
        <w:rPr>
          <w:i/>
          <w:sz w:val="19"/>
        </w:rPr>
        <w:t>Literature,</w:t>
      </w:r>
      <w:r>
        <w:rPr>
          <w:i/>
          <w:spacing w:val="40"/>
          <w:sz w:val="19"/>
        </w:rPr>
        <w:t> </w:t>
      </w:r>
      <w:r>
        <w:rPr>
          <w:sz w:val="19"/>
        </w:rPr>
        <w:t>vol.</w:t>
      </w:r>
      <w:r>
        <w:rPr>
          <w:spacing w:val="40"/>
          <w:sz w:val="19"/>
        </w:rPr>
        <w:t> </w:t>
      </w:r>
      <w:r>
        <w:rPr>
          <w:sz w:val="19"/>
        </w:rPr>
        <w:t>18,</w:t>
      </w:r>
      <w:r>
        <w:rPr>
          <w:spacing w:val="40"/>
          <w:sz w:val="19"/>
        </w:rPr>
        <w:t> </w:t>
      </w:r>
      <w:r>
        <w:rPr>
          <w:sz w:val="19"/>
        </w:rPr>
        <w:t>no.</w:t>
      </w:r>
      <w:r>
        <w:rPr>
          <w:spacing w:val="40"/>
          <w:sz w:val="19"/>
        </w:rPr>
        <w:t> </w:t>
      </w:r>
      <w:r>
        <w:rPr>
          <w:sz w:val="19"/>
        </w:rPr>
        <w:t>2,</w:t>
      </w:r>
      <w:r>
        <w:rPr>
          <w:spacing w:val="40"/>
          <w:sz w:val="19"/>
        </w:rPr>
        <w:t> </w:t>
      </w:r>
      <w:r>
        <w:rPr>
          <w:sz w:val="19"/>
        </w:rPr>
        <w:t>2015,</w:t>
      </w:r>
      <w:r>
        <w:rPr>
          <w:spacing w:val="40"/>
          <w:sz w:val="19"/>
        </w:rPr>
        <w:t> </w:t>
      </w:r>
      <w:r>
        <w:rPr>
          <w:sz w:val="19"/>
        </w:rPr>
        <w:t>pp.</w:t>
      </w:r>
      <w:r>
        <w:rPr>
          <w:spacing w:val="40"/>
          <w:sz w:val="19"/>
        </w:rPr>
        <w:t> </w:t>
      </w:r>
      <w:r>
        <w:rPr>
          <w:sz w:val="19"/>
        </w:rPr>
        <w:t>150–170.</w:t>
      </w:r>
    </w:p>
    <w:p>
      <w:pPr>
        <w:pStyle w:val="ListParagraph"/>
        <w:numPr>
          <w:ilvl w:val="0"/>
          <w:numId w:val="94"/>
        </w:numPr>
        <w:tabs>
          <w:tab w:pos="2157" w:val="left" w:leader="none"/>
          <w:tab w:pos="2160" w:val="left" w:leader="none"/>
        </w:tabs>
        <w:spacing w:line="273" w:lineRule="auto" w:before="59" w:after="0"/>
        <w:ind w:left="2160" w:right="1437" w:hanging="315"/>
        <w:jc w:val="both"/>
        <w:rPr>
          <w:sz w:val="19"/>
        </w:rPr>
      </w:pPr>
      <w:r>
        <w:rPr>
          <w:sz w:val="19"/>
        </w:rPr>
        <w:t>Dharwadker, Aparna Bhargava. </w:t>
      </w:r>
      <w:r>
        <w:rPr>
          <w:i/>
          <w:sz w:val="19"/>
        </w:rPr>
        <w:t>Theatres of Independence: Drama,</w:t>
      </w:r>
      <w:r>
        <w:rPr>
          <w:i/>
          <w:spacing w:val="37"/>
          <w:sz w:val="19"/>
        </w:rPr>
        <w:t> </w:t>
      </w:r>
      <w:r>
        <w:rPr>
          <w:i/>
          <w:sz w:val="19"/>
        </w:rPr>
        <w:t>Theory,</w:t>
      </w:r>
      <w:r>
        <w:rPr>
          <w:i/>
          <w:spacing w:val="39"/>
          <w:sz w:val="19"/>
        </w:rPr>
        <w:t> </w:t>
      </w:r>
      <w:r>
        <w:rPr>
          <w:i/>
          <w:sz w:val="19"/>
        </w:rPr>
        <w:t>and</w:t>
      </w:r>
      <w:r>
        <w:rPr>
          <w:i/>
          <w:spacing w:val="39"/>
          <w:sz w:val="19"/>
        </w:rPr>
        <w:t> </w:t>
      </w:r>
      <w:r>
        <w:rPr>
          <w:i/>
          <w:sz w:val="19"/>
        </w:rPr>
        <w:t>Urban</w:t>
      </w:r>
      <w:r>
        <w:rPr>
          <w:i/>
          <w:spacing w:val="39"/>
          <w:sz w:val="19"/>
        </w:rPr>
        <w:t> </w:t>
      </w:r>
      <w:r>
        <w:rPr>
          <w:i/>
          <w:sz w:val="19"/>
        </w:rPr>
        <w:t>Performance</w:t>
      </w:r>
      <w:r>
        <w:rPr>
          <w:i/>
          <w:spacing w:val="39"/>
          <w:sz w:val="19"/>
        </w:rPr>
        <w:t> </w:t>
      </w:r>
      <w:r>
        <w:rPr>
          <w:i/>
          <w:sz w:val="19"/>
        </w:rPr>
        <w:t>in</w:t>
      </w:r>
      <w:r>
        <w:rPr>
          <w:i/>
          <w:spacing w:val="39"/>
          <w:sz w:val="19"/>
        </w:rPr>
        <w:t> </w:t>
      </w:r>
      <w:r>
        <w:rPr>
          <w:i/>
          <w:sz w:val="19"/>
        </w:rPr>
        <w:t>India</w:t>
      </w:r>
      <w:r>
        <w:rPr>
          <w:i/>
          <w:spacing w:val="40"/>
          <w:sz w:val="19"/>
        </w:rPr>
        <w:t> </w:t>
      </w:r>
      <w:r>
        <w:rPr>
          <w:i/>
          <w:sz w:val="19"/>
        </w:rPr>
        <w:t>since</w:t>
      </w:r>
      <w:r>
        <w:rPr>
          <w:i/>
          <w:spacing w:val="37"/>
          <w:sz w:val="19"/>
        </w:rPr>
        <w:t> </w:t>
      </w:r>
      <w:r>
        <w:rPr>
          <w:i/>
          <w:sz w:val="19"/>
        </w:rPr>
        <w:t>1947. </w:t>
      </w:r>
      <w:r>
        <w:rPr>
          <w:sz w:val="19"/>
        </w:rPr>
        <w:t>U of</w:t>
      </w:r>
      <w:r>
        <w:rPr>
          <w:spacing w:val="40"/>
          <w:sz w:val="19"/>
        </w:rPr>
        <w:t> </w:t>
      </w:r>
      <w:r>
        <w:rPr>
          <w:sz w:val="19"/>
        </w:rPr>
        <w:t>Iowa P,</w:t>
      </w:r>
      <w:r>
        <w:rPr>
          <w:spacing w:val="40"/>
          <w:sz w:val="19"/>
        </w:rPr>
        <w:t> </w:t>
      </w:r>
      <w:r>
        <w:rPr>
          <w:sz w:val="19"/>
        </w:rPr>
        <w:t>2005.</w:t>
      </w:r>
    </w:p>
    <w:p>
      <w:pPr>
        <w:pStyle w:val="ListParagraph"/>
        <w:numPr>
          <w:ilvl w:val="0"/>
          <w:numId w:val="94"/>
        </w:numPr>
        <w:tabs>
          <w:tab w:pos="2157" w:val="left" w:leader="none"/>
          <w:tab w:pos="2160" w:val="left" w:leader="none"/>
        </w:tabs>
        <w:spacing w:line="273" w:lineRule="auto" w:before="62" w:after="0"/>
        <w:ind w:left="2160" w:right="1439" w:hanging="315"/>
        <w:jc w:val="both"/>
        <w:rPr>
          <w:sz w:val="19"/>
        </w:rPr>
      </w:pPr>
      <w:r>
        <w:rPr>
          <w:sz w:val="19"/>
        </w:rPr>
        <w:t>Dutt, Utpal. </w:t>
      </w:r>
      <w:r>
        <w:rPr>
          <w:i/>
          <w:sz w:val="19"/>
        </w:rPr>
        <w:t>Towards a Revolutionary Theatre. </w:t>
      </w:r>
      <w:r>
        <w:rPr>
          <w:sz w:val="19"/>
        </w:rPr>
        <w:t>M. C. Sarkar, </w:t>
      </w:r>
      <w:r>
        <w:rPr>
          <w:spacing w:val="-2"/>
          <w:sz w:val="19"/>
        </w:rPr>
        <w:t>1982.</w:t>
      </w:r>
    </w:p>
    <w:p>
      <w:pPr>
        <w:pStyle w:val="ListParagraph"/>
        <w:numPr>
          <w:ilvl w:val="0"/>
          <w:numId w:val="94"/>
        </w:numPr>
        <w:tabs>
          <w:tab w:pos="2157" w:val="left" w:leader="none"/>
          <w:tab w:pos="2160" w:val="left" w:leader="none"/>
        </w:tabs>
        <w:spacing w:line="273" w:lineRule="auto" w:before="58" w:after="0"/>
        <w:ind w:left="2160" w:right="1440" w:hanging="315"/>
        <w:jc w:val="both"/>
        <w:rPr>
          <w:sz w:val="19"/>
        </w:rPr>
      </w:pPr>
      <w:r>
        <w:rPr>
          <w:sz w:val="19"/>
        </w:rPr>
        <w:t>Hansen, Kathryn. </w:t>
      </w:r>
      <w:r>
        <w:rPr>
          <w:i/>
          <w:sz w:val="19"/>
        </w:rPr>
        <w:t>Grounds for Play: The Nautanki Theatre of North</w:t>
      </w:r>
      <w:r>
        <w:rPr>
          <w:i/>
          <w:spacing w:val="40"/>
          <w:sz w:val="19"/>
        </w:rPr>
        <w:t> </w:t>
      </w:r>
      <w:r>
        <w:rPr>
          <w:i/>
          <w:sz w:val="19"/>
        </w:rPr>
        <w:t>India.</w:t>
      </w:r>
      <w:r>
        <w:rPr>
          <w:i/>
          <w:spacing w:val="40"/>
          <w:sz w:val="19"/>
        </w:rPr>
        <w:t> </w:t>
      </w:r>
      <w:r>
        <w:rPr>
          <w:sz w:val="19"/>
        </w:rPr>
        <w:t>U</w:t>
      </w:r>
      <w:r>
        <w:rPr>
          <w:spacing w:val="40"/>
          <w:sz w:val="19"/>
        </w:rPr>
        <w:t> </w:t>
      </w:r>
      <w:r>
        <w:rPr>
          <w:sz w:val="19"/>
        </w:rPr>
        <w:t>of</w:t>
      </w:r>
      <w:r>
        <w:rPr>
          <w:spacing w:val="40"/>
          <w:sz w:val="19"/>
        </w:rPr>
        <w:t> </w:t>
      </w:r>
      <w:r>
        <w:rPr>
          <w:sz w:val="19"/>
        </w:rPr>
        <w:t>California</w:t>
      </w:r>
      <w:r>
        <w:rPr>
          <w:spacing w:val="40"/>
          <w:sz w:val="19"/>
        </w:rPr>
        <w:t> </w:t>
      </w:r>
      <w:r>
        <w:rPr>
          <w:sz w:val="19"/>
        </w:rPr>
        <w:t>P,</w:t>
      </w:r>
      <w:r>
        <w:rPr>
          <w:spacing w:val="40"/>
          <w:sz w:val="19"/>
        </w:rPr>
        <w:t> </w:t>
      </w:r>
      <w:r>
        <w:rPr>
          <w:sz w:val="19"/>
        </w:rPr>
        <w:t>1992.</w:t>
      </w:r>
    </w:p>
    <w:p>
      <w:pPr>
        <w:pStyle w:val="ListParagraph"/>
        <w:numPr>
          <w:ilvl w:val="0"/>
          <w:numId w:val="94"/>
        </w:numPr>
        <w:tabs>
          <w:tab w:pos="2157" w:val="left" w:leader="none"/>
          <w:tab w:pos="2160" w:val="left" w:leader="none"/>
        </w:tabs>
        <w:spacing w:line="273" w:lineRule="auto" w:before="61" w:after="0"/>
        <w:ind w:left="2160" w:right="1441" w:hanging="315"/>
        <w:jc w:val="both"/>
        <w:rPr>
          <w:sz w:val="19"/>
        </w:rPr>
      </w:pPr>
      <w:r>
        <w:rPr>
          <w:sz w:val="19"/>
        </w:rPr>
        <w:t>Kennedy, Dennis, editor. </w:t>
      </w:r>
      <w:r>
        <w:rPr>
          <w:i/>
          <w:sz w:val="19"/>
        </w:rPr>
        <w:t>Foreign Shakespeare: Contemporary Performance.</w:t>
      </w:r>
      <w:r>
        <w:rPr>
          <w:i/>
          <w:spacing w:val="40"/>
          <w:sz w:val="19"/>
        </w:rPr>
        <w:t> </w:t>
      </w:r>
      <w:r>
        <w:rPr>
          <w:sz w:val="19"/>
        </w:rPr>
        <w:t>Cambridge</w:t>
      </w:r>
      <w:r>
        <w:rPr>
          <w:spacing w:val="40"/>
          <w:sz w:val="19"/>
        </w:rPr>
        <w:t> </w:t>
      </w:r>
      <w:r>
        <w:rPr>
          <w:sz w:val="19"/>
        </w:rPr>
        <w:t>UP,</w:t>
      </w:r>
      <w:r>
        <w:rPr>
          <w:spacing w:val="40"/>
          <w:sz w:val="19"/>
        </w:rPr>
        <w:t> </w:t>
      </w:r>
      <w:r>
        <w:rPr>
          <w:sz w:val="19"/>
        </w:rPr>
        <w:t>1993.</w:t>
      </w:r>
    </w:p>
    <w:p>
      <w:pPr>
        <w:pStyle w:val="ListParagraph"/>
        <w:numPr>
          <w:ilvl w:val="0"/>
          <w:numId w:val="94"/>
        </w:numPr>
        <w:tabs>
          <w:tab w:pos="2157" w:val="left" w:leader="none"/>
          <w:tab w:pos="2160" w:val="left" w:leader="none"/>
        </w:tabs>
        <w:spacing w:line="273" w:lineRule="auto" w:before="59" w:after="0"/>
        <w:ind w:left="2160" w:right="1437" w:hanging="315"/>
        <w:jc w:val="both"/>
        <w:rPr>
          <w:sz w:val="19"/>
        </w:rPr>
      </w:pPr>
      <w:r>
        <w:rPr>
          <w:sz w:val="19"/>
        </w:rPr>
        <w:t>Loomba, Ania, and Martin Orkin, editors. </w:t>
      </w:r>
      <w:r>
        <w:rPr>
          <w:i/>
          <w:sz w:val="19"/>
        </w:rPr>
        <w:t>Post-Colonial Shakespeares.</w:t>
      </w:r>
      <w:r>
        <w:rPr>
          <w:i/>
          <w:spacing w:val="40"/>
          <w:sz w:val="19"/>
        </w:rPr>
        <w:t> </w:t>
      </w:r>
      <w:r>
        <w:rPr>
          <w:sz w:val="19"/>
        </w:rPr>
        <w:t>Routledge,</w:t>
      </w:r>
      <w:r>
        <w:rPr>
          <w:spacing w:val="40"/>
          <w:sz w:val="19"/>
        </w:rPr>
        <w:t> </w:t>
      </w:r>
      <w:r>
        <w:rPr>
          <w:sz w:val="19"/>
        </w:rPr>
        <w:t>1998.</w:t>
      </w:r>
    </w:p>
    <w:p>
      <w:pPr>
        <w:pStyle w:val="ListParagraph"/>
        <w:numPr>
          <w:ilvl w:val="0"/>
          <w:numId w:val="94"/>
        </w:numPr>
        <w:tabs>
          <w:tab w:pos="2157" w:val="left" w:leader="none"/>
          <w:tab w:pos="2160" w:val="left" w:leader="none"/>
        </w:tabs>
        <w:spacing w:line="273" w:lineRule="auto" w:before="61" w:after="0"/>
        <w:ind w:left="2160" w:right="1441" w:hanging="406"/>
        <w:jc w:val="both"/>
        <w:rPr>
          <w:sz w:val="19"/>
        </w:rPr>
      </w:pPr>
      <w:r>
        <w:rPr>
          <w:sz w:val="19"/>
        </w:rPr>
        <w:t>Macaulay, Thomas Babington. “Minute on Indian Education.” </w:t>
      </w:r>
      <w:r>
        <w:rPr>
          <w:i/>
          <w:sz w:val="19"/>
        </w:rPr>
        <w:t>Selected Writings,</w:t>
      </w:r>
      <w:r>
        <w:rPr>
          <w:i/>
          <w:spacing w:val="25"/>
          <w:sz w:val="19"/>
        </w:rPr>
        <w:t> </w:t>
      </w:r>
      <w:r>
        <w:rPr>
          <w:sz w:val="19"/>
        </w:rPr>
        <w:t>edited</w:t>
      </w:r>
      <w:r>
        <w:rPr>
          <w:spacing w:val="25"/>
          <w:sz w:val="19"/>
        </w:rPr>
        <w:t> </w:t>
      </w:r>
      <w:r>
        <w:rPr>
          <w:sz w:val="19"/>
        </w:rPr>
        <w:t>by John</w:t>
      </w:r>
      <w:r>
        <w:rPr>
          <w:spacing w:val="24"/>
          <w:sz w:val="19"/>
        </w:rPr>
        <w:t> </w:t>
      </w:r>
      <w:r>
        <w:rPr>
          <w:sz w:val="19"/>
        </w:rPr>
        <w:t>Clive</w:t>
      </w:r>
      <w:r>
        <w:rPr>
          <w:spacing w:val="24"/>
          <w:sz w:val="19"/>
        </w:rPr>
        <w:t> </w:t>
      </w:r>
      <w:r>
        <w:rPr>
          <w:sz w:val="19"/>
        </w:rPr>
        <w:t>and</w:t>
      </w:r>
      <w:r>
        <w:rPr>
          <w:spacing w:val="24"/>
          <w:sz w:val="19"/>
        </w:rPr>
        <w:t> </w:t>
      </w:r>
      <w:r>
        <w:rPr>
          <w:sz w:val="19"/>
        </w:rPr>
        <w:t>Thomas</w:t>
      </w:r>
      <w:r>
        <w:rPr>
          <w:spacing w:val="24"/>
          <w:sz w:val="19"/>
        </w:rPr>
        <w:t> </w:t>
      </w:r>
      <w:r>
        <w:rPr>
          <w:sz w:val="19"/>
        </w:rPr>
        <w:t>Pinney,</w:t>
      </w:r>
      <w:r>
        <w:rPr>
          <w:spacing w:val="24"/>
          <w:sz w:val="19"/>
        </w:rPr>
        <w:t> </w:t>
      </w:r>
      <w:r>
        <w:rPr>
          <w:sz w:val="19"/>
        </w:rPr>
        <w:t>U of</w:t>
      </w:r>
      <w:r>
        <w:rPr>
          <w:spacing w:val="40"/>
          <w:sz w:val="19"/>
        </w:rPr>
        <w:t> </w:t>
      </w:r>
      <w:r>
        <w:rPr>
          <w:sz w:val="19"/>
        </w:rPr>
        <w:t>Chicago P,</w:t>
      </w:r>
      <w:r>
        <w:rPr>
          <w:spacing w:val="40"/>
          <w:sz w:val="19"/>
        </w:rPr>
        <w:t> </w:t>
      </w:r>
      <w:r>
        <w:rPr>
          <w:sz w:val="19"/>
        </w:rPr>
        <w:t>1972, pp.</w:t>
      </w:r>
      <w:r>
        <w:rPr>
          <w:spacing w:val="40"/>
          <w:sz w:val="19"/>
        </w:rPr>
        <w:t> </w:t>
      </w:r>
      <w:r>
        <w:rPr>
          <w:sz w:val="19"/>
        </w:rPr>
        <w:t>237–251.</w:t>
      </w:r>
    </w:p>
    <w:p>
      <w:pPr>
        <w:pStyle w:val="ListParagraph"/>
        <w:numPr>
          <w:ilvl w:val="0"/>
          <w:numId w:val="94"/>
        </w:numPr>
        <w:tabs>
          <w:tab w:pos="2157" w:val="left" w:leader="none"/>
        </w:tabs>
        <w:spacing w:line="240" w:lineRule="auto" w:before="59" w:after="0"/>
        <w:ind w:left="2157" w:right="0" w:hanging="403"/>
        <w:jc w:val="both"/>
        <w:rPr>
          <w:i/>
          <w:sz w:val="19"/>
        </w:rPr>
      </w:pPr>
      <w:r>
        <w:rPr>
          <w:sz w:val="19"/>
        </w:rPr>
        <w:t>Richmond,</w:t>
      </w:r>
      <w:r>
        <w:rPr>
          <w:spacing w:val="9"/>
          <w:sz w:val="19"/>
        </w:rPr>
        <w:t> </w:t>
      </w:r>
      <w:r>
        <w:rPr>
          <w:sz w:val="19"/>
        </w:rPr>
        <w:t>Farley</w:t>
      </w:r>
      <w:r>
        <w:rPr>
          <w:spacing w:val="3"/>
          <w:sz w:val="19"/>
        </w:rPr>
        <w:t> </w:t>
      </w:r>
      <w:r>
        <w:rPr>
          <w:sz w:val="19"/>
        </w:rPr>
        <w:t>P.</w:t>
      </w:r>
      <w:r>
        <w:rPr>
          <w:spacing w:val="11"/>
          <w:sz w:val="19"/>
        </w:rPr>
        <w:t> </w:t>
      </w:r>
      <w:r>
        <w:rPr>
          <w:i/>
          <w:sz w:val="19"/>
        </w:rPr>
        <w:t>Indian</w:t>
      </w:r>
      <w:r>
        <w:rPr>
          <w:i/>
          <w:spacing w:val="10"/>
          <w:sz w:val="19"/>
        </w:rPr>
        <w:t> </w:t>
      </w:r>
      <w:r>
        <w:rPr>
          <w:i/>
          <w:sz w:val="19"/>
        </w:rPr>
        <w:t>Theatre:</w:t>
      </w:r>
      <w:r>
        <w:rPr>
          <w:i/>
          <w:spacing w:val="8"/>
          <w:sz w:val="19"/>
        </w:rPr>
        <w:t> </w:t>
      </w:r>
      <w:r>
        <w:rPr>
          <w:i/>
          <w:sz w:val="19"/>
        </w:rPr>
        <w:t>Traditions</w:t>
      </w:r>
      <w:r>
        <w:rPr>
          <w:i/>
          <w:spacing w:val="10"/>
          <w:sz w:val="19"/>
        </w:rPr>
        <w:t> </w:t>
      </w:r>
      <w:r>
        <w:rPr>
          <w:i/>
          <w:sz w:val="19"/>
        </w:rPr>
        <w:t>of</w:t>
      </w:r>
      <w:r>
        <w:rPr>
          <w:i/>
          <w:spacing w:val="9"/>
          <w:sz w:val="19"/>
        </w:rPr>
        <w:t> </w:t>
      </w:r>
      <w:r>
        <w:rPr>
          <w:i/>
          <w:spacing w:val="-2"/>
          <w:sz w:val="19"/>
        </w:rPr>
        <w:t>Performance.</w:t>
      </w:r>
    </w:p>
    <w:p>
      <w:pPr>
        <w:spacing w:before="34"/>
        <w:ind w:left="2160" w:right="0" w:firstLine="0"/>
        <w:jc w:val="both"/>
        <w:rPr>
          <w:sz w:val="19"/>
        </w:rPr>
      </w:pPr>
      <w:r>
        <w:rPr>
          <w:sz w:val="19"/>
        </w:rPr>
        <w:t>U</w:t>
      </w:r>
      <w:r>
        <w:rPr>
          <w:spacing w:val="10"/>
          <w:sz w:val="19"/>
        </w:rPr>
        <w:t> </w:t>
      </w:r>
      <w:r>
        <w:rPr>
          <w:sz w:val="19"/>
        </w:rPr>
        <w:t>of</w:t>
      </w:r>
      <w:r>
        <w:rPr>
          <w:spacing w:val="13"/>
          <w:sz w:val="19"/>
        </w:rPr>
        <w:t> </w:t>
      </w:r>
      <w:r>
        <w:rPr>
          <w:sz w:val="19"/>
        </w:rPr>
        <w:t>Hawaii</w:t>
      </w:r>
      <w:r>
        <w:rPr>
          <w:spacing w:val="14"/>
          <w:sz w:val="19"/>
        </w:rPr>
        <w:t> </w:t>
      </w:r>
      <w:r>
        <w:rPr>
          <w:sz w:val="19"/>
        </w:rPr>
        <w:t>P,</w:t>
      </w:r>
      <w:r>
        <w:rPr>
          <w:spacing w:val="13"/>
          <w:sz w:val="19"/>
        </w:rPr>
        <w:t> </w:t>
      </w:r>
      <w:r>
        <w:rPr>
          <w:spacing w:val="-2"/>
          <w:sz w:val="19"/>
        </w:rPr>
        <w:t>1990.</w:t>
      </w:r>
    </w:p>
    <w:p>
      <w:pPr>
        <w:spacing w:after="0"/>
        <w:jc w:val="both"/>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3984">
                <wp:simplePos x="0" y="0"/>
                <wp:positionH relativeFrom="page">
                  <wp:posOffset>2057400</wp:posOffset>
                </wp:positionH>
                <wp:positionV relativeFrom="paragraph">
                  <wp:posOffset>162604</wp:posOffset>
                </wp:positionV>
                <wp:extent cx="3657600" cy="12700"/>
                <wp:effectExtent l="0" t="0" r="0" b="0"/>
                <wp:wrapTopAndBottom/>
                <wp:docPr id="859" name="Graphic 859"/>
                <wp:cNvGraphicFramePr>
                  <a:graphicFrameLocks/>
                </wp:cNvGraphicFramePr>
                <a:graphic>
                  <a:graphicData uri="http://schemas.microsoft.com/office/word/2010/wordprocessingShape">
                    <wps:wsp>
                      <wps:cNvPr id="859" name="Graphic 85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402496;mso-wrap-distance-left:0;mso-wrap-distance-right:0" id="docshape851" filled="true" fillcolor="#000000" stroked="false">
                <v:fill type="solid"/>
                <w10:wrap type="topAndBottom"/>
              </v:rect>
            </w:pict>
          </mc:Fallback>
        </mc:AlternateContent>
      </w:r>
      <w:r>
        <w:rPr>
          <w:rFonts w:ascii="Verdana"/>
          <w:spacing w:val="-5"/>
          <w:sz w:val="18"/>
        </w:rPr>
        <w:t>454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94"/>
        </w:numPr>
        <w:tabs>
          <w:tab w:pos="2157" w:val="left" w:leader="none"/>
          <w:tab w:pos="2160" w:val="left" w:leader="none"/>
        </w:tabs>
        <w:spacing w:line="261" w:lineRule="auto" w:before="199" w:after="0"/>
        <w:ind w:left="2160" w:right="1438" w:hanging="406"/>
        <w:jc w:val="both"/>
        <w:rPr>
          <w:sz w:val="19"/>
        </w:rPr>
      </w:pPr>
      <w:r>
        <w:rPr>
          <w:sz w:val="19"/>
        </w:rPr>
        <w:t>Trivedi, Poonam, and Dennis Bartholomeusz, editors. </w:t>
      </w:r>
      <w:r>
        <w:rPr>
          <w:i/>
          <w:sz w:val="19"/>
        </w:rPr>
        <w:t>India’s Shakespeare:</w:t>
      </w:r>
      <w:r>
        <w:rPr>
          <w:i/>
          <w:spacing w:val="80"/>
          <w:sz w:val="19"/>
        </w:rPr>
        <w:t> </w:t>
      </w:r>
      <w:r>
        <w:rPr>
          <w:i/>
          <w:sz w:val="19"/>
        </w:rPr>
        <w:t>Translation,</w:t>
      </w:r>
      <w:r>
        <w:rPr>
          <w:i/>
          <w:spacing w:val="80"/>
          <w:sz w:val="19"/>
        </w:rPr>
        <w:t> </w:t>
      </w:r>
      <w:r>
        <w:rPr>
          <w:i/>
          <w:sz w:val="19"/>
        </w:rPr>
        <w:t>Interpretation,</w:t>
      </w:r>
      <w:r>
        <w:rPr>
          <w:i/>
          <w:spacing w:val="80"/>
          <w:sz w:val="19"/>
        </w:rPr>
        <w:t> </w:t>
      </w:r>
      <w:r>
        <w:rPr>
          <w:i/>
          <w:sz w:val="19"/>
        </w:rPr>
        <w:t>and</w:t>
      </w:r>
      <w:r>
        <w:rPr>
          <w:i/>
          <w:spacing w:val="80"/>
          <w:sz w:val="19"/>
        </w:rPr>
        <w:t> </w:t>
      </w:r>
      <w:r>
        <w:rPr>
          <w:i/>
          <w:sz w:val="19"/>
        </w:rPr>
        <w:t>Performance. </w:t>
      </w:r>
      <w:r>
        <w:rPr>
          <w:sz w:val="19"/>
        </w:rPr>
        <w:t>U of Delaware P, 2005.</w:t>
      </w:r>
    </w:p>
    <w:p>
      <w:pPr>
        <w:pStyle w:val="ListParagraph"/>
        <w:numPr>
          <w:ilvl w:val="0"/>
          <w:numId w:val="94"/>
        </w:numPr>
        <w:tabs>
          <w:tab w:pos="2157" w:val="left" w:leader="none"/>
          <w:tab w:pos="2160" w:val="left" w:leader="none"/>
        </w:tabs>
        <w:spacing w:line="261" w:lineRule="auto" w:before="58" w:after="0"/>
        <w:ind w:left="2160" w:right="1439" w:hanging="406"/>
        <w:jc w:val="both"/>
        <w:rPr>
          <w:sz w:val="19"/>
        </w:rPr>
      </w:pPr>
      <w:r>
        <w:rPr>
          <w:sz w:val="19"/>
        </w:rPr>
        <w:t>Verma, Rajiv. “Shakespeare in Hindi.” </w:t>
      </w:r>
      <w:r>
        <w:rPr>
          <w:i/>
          <w:sz w:val="19"/>
        </w:rPr>
        <w:t>Shakespeare Translation, </w:t>
      </w:r>
      <w:r>
        <w:rPr>
          <w:sz w:val="19"/>
        </w:rPr>
        <w:t>vol. 9, 1982, pp. 1–28.</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79168">
                <wp:simplePos x="0" y="0"/>
                <wp:positionH relativeFrom="page">
                  <wp:posOffset>2057400</wp:posOffset>
                </wp:positionH>
                <wp:positionV relativeFrom="page">
                  <wp:posOffset>1788723</wp:posOffset>
                </wp:positionV>
                <wp:extent cx="3655060" cy="140335"/>
                <wp:effectExtent l="0" t="0" r="0" b="0"/>
                <wp:wrapNone/>
                <wp:docPr id="860" name="Textbox 860"/>
                <wp:cNvGraphicFramePr>
                  <a:graphicFrameLocks/>
                </wp:cNvGraphicFramePr>
                <a:graphic>
                  <a:graphicData uri="http://schemas.microsoft.com/office/word/2010/wordprocessingShape">
                    <wps:wsp>
                      <wps:cNvPr id="860" name="Textbox 860"/>
                      <wps:cNvSpPr txBox="1"/>
                      <wps:spPr>
                        <a:xfrm>
                          <a:off x="0" y="0"/>
                          <a:ext cx="3655060" cy="140335"/>
                        </a:xfrm>
                        <a:prstGeom prst="rect">
                          <a:avLst/>
                        </a:prstGeom>
                      </wps:spPr>
                      <wps:txbx>
                        <w:txbxContent>
                          <w:p>
                            <w:pPr>
                              <w:tabs>
                                <w:tab w:pos="5755" w:val="right" w:leader="none"/>
                              </w:tabs>
                              <w:spacing w:line="219" w:lineRule="exact" w:before="0"/>
                              <w:ind w:left="0" w:right="0" w:firstLine="0"/>
                              <w:jc w:val="left"/>
                              <w:rPr>
                                <w:rFonts w:ascii="Verdana"/>
                                <w:sz w:val="18"/>
                              </w:rPr>
                            </w:pPr>
                            <w:r>
                              <w:rPr>
                                <w:rFonts w:ascii="Verdana"/>
                                <w:sz w:val="18"/>
                              </w:rPr>
                              <w:t>The</w:t>
                            </w:r>
                            <w:r>
                              <w:rPr>
                                <w:rFonts w:ascii="Verdana"/>
                                <w:spacing w:val="-2"/>
                                <w:sz w:val="18"/>
                              </w:rPr>
                              <w:t> </w:t>
                            </w:r>
                            <w:r>
                              <w:rPr>
                                <w:rFonts w:ascii="Verdana"/>
                                <w:sz w:val="18"/>
                              </w:rPr>
                              <w:t>Waste</w:t>
                            </w:r>
                            <w:r>
                              <w:rPr>
                                <w:rFonts w:ascii="Verdana"/>
                                <w:spacing w:val="-1"/>
                                <w:sz w:val="18"/>
                              </w:rPr>
                              <w:t> </w:t>
                            </w:r>
                            <w:r>
                              <w:rPr>
                                <w:rFonts w:ascii="Verdana"/>
                                <w:sz w:val="18"/>
                              </w:rPr>
                              <w:t>of</w:t>
                            </w:r>
                            <w:r>
                              <w:rPr>
                                <w:rFonts w:ascii="Verdana"/>
                                <w:spacing w:val="-1"/>
                                <w:sz w:val="18"/>
                              </w:rPr>
                              <w:t> </w:t>
                            </w:r>
                            <w:r>
                              <w:rPr>
                                <w:rFonts w:ascii="Verdana"/>
                                <w:sz w:val="18"/>
                              </w:rPr>
                              <w:t>Shame:</w:t>
                            </w:r>
                            <w:r>
                              <w:rPr>
                                <w:rFonts w:ascii="Verdana"/>
                                <w:spacing w:val="-3"/>
                                <w:sz w:val="18"/>
                              </w:rPr>
                              <w:t> </w:t>
                            </w:r>
                            <w:r>
                              <w:rPr>
                                <w:rFonts w:ascii="Verdana"/>
                                <w:sz w:val="18"/>
                              </w:rPr>
                              <w:t>From</w:t>
                            </w:r>
                            <w:r>
                              <w:rPr>
                                <w:rFonts w:ascii="Verdana"/>
                                <w:spacing w:val="-2"/>
                                <w:sz w:val="18"/>
                              </w:rPr>
                              <w:t> </w:t>
                            </w:r>
                            <w:r>
                              <w:rPr>
                                <w:rFonts w:ascii="Verdana"/>
                                <w:sz w:val="18"/>
                              </w:rPr>
                              <w:t>Archetypal</w:t>
                            </w:r>
                            <w:r>
                              <w:rPr>
                                <w:rFonts w:ascii="Verdana"/>
                                <w:spacing w:val="-2"/>
                                <w:sz w:val="18"/>
                              </w:rPr>
                              <w:t> </w:t>
                            </w:r>
                            <w:r>
                              <w:rPr>
                                <w:rFonts w:ascii="Verdana"/>
                                <w:sz w:val="18"/>
                              </w:rPr>
                              <w:t>Desire</w:t>
                            </w:r>
                            <w:r>
                              <w:rPr>
                                <w:rFonts w:ascii="Verdana"/>
                                <w:spacing w:val="-1"/>
                                <w:sz w:val="18"/>
                              </w:rPr>
                              <w:t> </w:t>
                            </w:r>
                            <w:r>
                              <w:rPr>
                                <w:rFonts w:ascii="Verdana"/>
                                <w:spacing w:val="-4"/>
                                <w:sz w:val="18"/>
                              </w:rPr>
                              <w:t>to...</w:t>
                            </w:r>
                            <w:r>
                              <w:rPr>
                                <w:sz w:val="18"/>
                              </w:rPr>
                              <w:tab/>
                            </w:r>
                            <w:r>
                              <w:rPr>
                                <w:rFonts w:ascii="Verdana"/>
                                <w:spacing w:val="-5"/>
                                <w:sz w:val="18"/>
                              </w:rPr>
                              <w:t>455</w:t>
                            </w:r>
                          </w:p>
                        </w:txbxContent>
                      </wps:txbx>
                      <wps:bodyPr wrap="square" lIns="0" tIns="0" rIns="0" bIns="0" rtlCol="0">
                        <a:noAutofit/>
                      </wps:bodyPr>
                    </wps:wsp>
                  </a:graphicData>
                </a:graphic>
              </wp:anchor>
            </w:drawing>
          </mc:Choice>
          <mc:Fallback>
            <w:pict>
              <v:shape style="position:absolute;margin-left:162pt;margin-top:140.844391pt;width:287.8pt;height:11.05pt;mso-position-horizontal-relative:page;mso-position-vertical-relative:page;z-index:-20237312" type="#_x0000_t202" id="docshape852" filled="false" stroked="false">
                <v:textbox inset="0,0,0,0">
                  <w:txbxContent>
                    <w:p>
                      <w:pPr>
                        <w:tabs>
                          <w:tab w:pos="5755" w:val="right" w:leader="none"/>
                        </w:tabs>
                        <w:spacing w:line="219" w:lineRule="exact" w:before="0"/>
                        <w:ind w:left="0" w:right="0" w:firstLine="0"/>
                        <w:jc w:val="left"/>
                        <w:rPr>
                          <w:rFonts w:ascii="Verdana"/>
                          <w:sz w:val="18"/>
                        </w:rPr>
                      </w:pPr>
                      <w:r>
                        <w:rPr>
                          <w:rFonts w:ascii="Verdana"/>
                          <w:sz w:val="18"/>
                        </w:rPr>
                        <w:t>The</w:t>
                      </w:r>
                      <w:r>
                        <w:rPr>
                          <w:rFonts w:ascii="Verdana"/>
                          <w:spacing w:val="-2"/>
                          <w:sz w:val="18"/>
                        </w:rPr>
                        <w:t> </w:t>
                      </w:r>
                      <w:r>
                        <w:rPr>
                          <w:rFonts w:ascii="Verdana"/>
                          <w:sz w:val="18"/>
                        </w:rPr>
                        <w:t>Waste</w:t>
                      </w:r>
                      <w:r>
                        <w:rPr>
                          <w:rFonts w:ascii="Verdana"/>
                          <w:spacing w:val="-1"/>
                          <w:sz w:val="18"/>
                        </w:rPr>
                        <w:t> </w:t>
                      </w:r>
                      <w:r>
                        <w:rPr>
                          <w:rFonts w:ascii="Verdana"/>
                          <w:sz w:val="18"/>
                        </w:rPr>
                        <w:t>of</w:t>
                      </w:r>
                      <w:r>
                        <w:rPr>
                          <w:rFonts w:ascii="Verdana"/>
                          <w:spacing w:val="-1"/>
                          <w:sz w:val="18"/>
                        </w:rPr>
                        <w:t> </w:t>
                      </w:r>
                      <w:r>
                        <w:rPr>
                          <w:rFonts w:ascii="Verdana"/>
                          <w:sz w:val="18"/>
                        </w:rPr>
                        <w:t>Shame:</w:t>
                      </w:r>
                      <w:r>
                        <w:rPr>
                          <w:rFonts w:ascii="Verdana"/>
                          <w:spacing w:val="-3"/>
                          <w:sz w:val="18"/>
                        </w:rPr>
                        <w:t> </w:t>
                      </w:r>
                      <w:r>
                        <w:rPr>
                          <w:rFonts w:ascii="Verdana"/>
                          <w:sz w:val="18"/>
                        </w:rPr>
                        <w:t>From</w:t>
                      </w:r>
                      <w:r>
                        <w:rPr>
                          <w:rFonts w:ascii="Verdana"/>
                          <w:spacing w:val="-2"/>
                          <w:sz w:val="18"/>
                        </w:rPr>
                        <w:t> </w:t>
                      </w:r>
                      <w:r>
                        <w:rPr>
                          <w:rFonts w:ascii="Verdana"/>
                          <w:sz w:val="18"/>
                        </w:rPr>
                        <w:t>Archetypal</w:t>
                      </w:r>
                      <w:r>
                        <w:rPr>
                          <w:rFonts w:ascii="Verdana"/>
                          <w:spacing w:val="-2"/>
                          <w:sz w:val="18"/>
                        </w:rPr>
                        <w:t> </w:t>
                      </w:r>
                      <w:r>
                        <w:rPr>
                          <w:rFonts w:ascii="Verdana"/>
                          <w:sz w:val="18"/>
                        </w:rPr>
                        <w:t>Desire</w:t>
                      </w:r>
                      <w:r>
                        <w:rPr>
                          <w:rFonts w:ascii="Verdana"/>
                          <w:spacing w:val="-1"/>
                          <w:sz w:val="18"/>
                        </w:rPr>
                        <w:t> </w:t>
                      </w:r>
                      <w:r>
                        <w:rPr>
                          <w:rFonts w:ascii="Verdana"/>
                          <w:spacing w:val="-4"/>
                          <w:sz w:val="18"/>
                        </w:rPr>
                        <w:t>to...</w:t>
                      </w:r>
                      <w:r>
                        <w:rPr>
                          <w:sz w:val="18"/>
                        </w:rPr>
                        <w:tab/>
                      </w:r>
                      <w:r>
                        <w:rPr>
                          <w:rFonts w:ascii="Verdana"/>
                          <w:spacing w:val="-5"/>
                          <w:sz w:val="18"/>
                        </w:rPr>
                        <w:t>455</w:t>
                      </w:r>
                    </w:p>
                  </w:txbxContent>
                </v:textbox>
                <w10:wrap type="none"/>
              </v:shape>
            </w:pict>
          </mc:Fallback>
        </mc:AlternateContent>
      </w:r>
    </w:p>
    <w:p>
      <w:pPr>
        <w:pStyle w:val="BodyText"/>
        <w:spacing w:before="228"/>
        <w:ind w:left="0"/>
      </w:pPr>
    </w:p>
    <w:p>
      <w:pPr>
        <w:spacing w:line="240" w:lineRule="auto"/>
        <w:ind w:left="1056" w:right="0" w:firstLine="0"/>
        <w:rPr>
          <w:sz w:val="20"/>
        </w:rPr>
      </w:pPr>
      <w:r>
        <w:rPr>
          <w:sz w:val="20"/>
        </w:rPr>
        <mc:AlternateContent>
          <mc:Choice Requires="wps">
            <w:drawing>
              <wp:inline distT="0" distB="0" distL="0" distR="0">
                <wp:extent cx="4044950" cy="701040"/>
                <wp:effectExtent l="0" t="0" r="0" b="0"/>
                <wp:docPr id="861" name="Group 861"/>
                <wp:cNvGraphicFramePr>
                  <a:graphicFrameLocks/>
                </wp:cNvGraphicFramePr>
                <a:graphic>
                  <a:graphicData uri="http://schemas.microsoft.com/office/word/2010/wordprocessingGroup">
                    <wpg:wgp>
                      <wpg:cNvPr id="861" name="Group 861"/>
                      <wpg:cNvGrpSpPr/>
                      <wpg:grpSpPr>
                        <a:xfrm>
                          <a:off x="0" y="0"/>
                          <a:ext cx="4044950" cy="701040"/>
                          <a:chExt cx="4044950" cy="701040"/>
                        </a:xfrm>
                      </wpg:grpSpPr>
                      <wps:wsp>
                        <wps:cNvPr id="862" name="Graphic 862"/>
                        <wps:cNvSpPr/>
                        <wps:spPr>
                          <a:xfrm>
                            <a:off x="0" y="0"/>
                            <a:ext cx="4044950" cy="701040"/>
                          </a:xfrm>
                          <a:custGeom>
                            <a:avLst/>
                            <a:gdLst/>
                            <a:ahLst/>
                            <a:cxnLst/>
                            <a:rect l="l" t="t" r="r" b="b"/>
                            <a:pathLst>
                              <a:path w="4044950" h="701040">
                                <a:moveTo>
                                  <a:pt x="4044695" y="701040"/>
                                </a:moveTo>
                                <a:lnTo>
                                  <a:pt x="0" y="701040"/>
                                </a:lnTo>
                                <a:lnTo>
                                  <a:pt x="0" y="0"/>
                                </a:lnTo>
                                <a:lnTo>
                                  <a:pt x="4044695" y="0"/>
                                </a:lnTo>
                                <a:lnTo>
                                  <a:pt x="4044695" y="70104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2pt;mso-position-horizontal-relative:char;mso-position-vertical-relative:line" id="docshapegroup853" coordorigin="0,0" coordsize="6370,1104">
                <v:rect style="position:absolute;left:0;top:0;width:6370;height:1104" id="docshape854" filled="true" fillcolor="#ffffff" stroked="false">
                  <v:fill type="solid"/>
                </v:rect>
              </v:group>
            </w:pict>
          </mc:Fallback>
        </mc:AlternateContent>
      </w:r>
      <w:r>
        <w:rPr>
          <w:sz w:val="20"/>
        </w:rPr>
      </w:r>
    </w:p>
    <w:p>
      <w:pPr>
        <w:pStyle w:val="BodyText"/>
        <w:spacing w:before="178"/>
        <w:ind w:left="0"/>
      </w:pPr>
      <w:r>
        <w:rPr/>
        <mc:AlternateContent>
          <mc:Choice Requires="wps">
            <w:drawing>
              <wp:anchor distT="0" distB="0" distL="0" distR="0" allowOverlap="1" layoutInCell="1" locked="0" behindDoc="1" simplePos="0" relativeHeight="487915008">
                <wp:simplePos x="0" y="0"/>
                <wp:positionH relativeFrom="page">
                  <wp:posOffset>3482339</wp:posOffset>
                </wp:positionH>
                <wp:positionV relativeFrom="paragraph">
                  <wp:posOffset>274447</wp:posOffset>
                </wp:positionV>
                <wp:extent cx="728980" cy="654050"/>
                <wp:effectExtent l="0" t="0" r="0" b="0"/>
                <wp:wrapTopAndBottom/>
                <wp:docPr id="863" name="Group 863"/>
                <wp:cNvGraphicFramePr>
                  <a:graphicFrameLocks/>
                </wp:cNvGraphicFramePr>
                <a:graphic>
                  <a:graphicData uri="http://schemas.microsoft.com/office/word/2010/wordprocessingGroup">
                    <wpg:wgp>
                      <wpg:cNvPr id="863" name="Group 863"/>
                      <wpg:cNvGrpSpPr/>
                      <wpg:grpSpPr>
                        <a:xfrm>
                          <a:off x="0" y="0"/>
                          <a:ext cx="728980" cy="654050"/>
                          <a:chExt cx="728980" cy="654050"/>
                        </a:xfrm>
                      </wpg:grpSpPr>
                      <pic:pic>
                        <pic:nvPicPr>
                          <pic:cNvPr id="864" name="Image 864"/>
                          <pic:cNvPicPr/>
                        </pic:nvPicPr>
                        <pic:blipFill>
                          <a:blip r:embed="rId132" cstate="print"/>
                          <a:stretch>
                            <a:fillRect/>
                          </a:stretch>
                        </pic:blipFill>
                        <pic:spPr>
                          <a:xfrm>
                            <a:off x="0" y="0"/>
                            <a:ext cx="728472" cy="653795"/>
                          </a:xfrm>
                          <a:prstGeom prst="rect">
                            <a:avLst/>
                          </a:prstGeom>
                        </pic:spPr>
                      </pic:pic>
                      <wps:wsp>
                        <wps:cNvPr id="865" name="Textbox 865"/>
                        <wps:cNvSpPr txBox="1"/>
                        <wps:spPr>
                          <a:xfrm>
                            <a:off x="0" y="0"/>
                            <a:ext cx="728980" cy="654050"/>
                          </a:xfrm>
                          <a:prstGeom prst="rect">
                            <a:avLst/>
                          </a:prstGeom>
                        </wps:spPr>
                        <wps:txbx>
                          <w:txbxContent>
                            <w:p>
                              <w:pPr>
                                <w:spacing w:before="340"/>
                                <w:ind w:left="441" w:right="0" w:firstLine="0"/>
                                <w:jc w:val="left"/>
                                <w:rPr>
                                  <w:rFonts w:ascii="Tahoma"/>
                                  <w:b/>
                                  <w:sz w:val="36"/>
                                </w:rPr>
                              </w:pPr>
                              <w:r>
                                <w:rPr>
                                  <w:rFonts w:ascii="Tahoma"/>
                                  <w:b/>
                                  <w:spacing w:val="-5"/>
                                  <w:w w:val="95"/>
                                  <w:sz w:val="36"/>
                                </w:rPr>
                                <w:t>44</w:t>
                              </w:r>
                            </w:p>
                          </w:txbxContent>
                        </wps:txbx>
                        <wps:bodyPr wrap="square" lIns="0" tIns="0" rIns="0" bIns="0" rtlCol="0">
                          <a:noAutofit/>
                        </wps:bodyPr>
                      </wps:wsp>
                    </wpg:wgp>
                  </a:graphicData>
                </a:graphic>
              </wp:anchor>
            </w:drawing>
          </mc:Choice>
          <mc:Fallback>
            <w:pict>
              <v:group style="position:absolute;margin-left:274.199982pt;margin-top:21.610006pt;width:57.4pt;height:51.5pt;mso-position-horizontal-relative:page;mso-position-vertical-relative:paragraph;z-index:-15401472;mso-wrap-distance-left:0;mso-wrap-distance-right:0" id="docshapegroup855" coordorigin="5484,432" coordsize="1148,1030">
                <v:shape style="position:absolute;left:5484;top:432;width:1148;height:1030" type="#_x0000_t75" id="docshape856" stroked="false">
                  <v:imagedata r:id="rId132" o:title=""/>
                </v:shape>
                <v:shape style="position:absolute;left:5484;top:432;width:1148;height:1030" type="#_x0000_t202" id="docshape857" filled="false" stroked="false">
                  <v:textbox inset="0,0,0,0">
                    <w:txbxContent>
                      <w:p>
                        <w:pPr>
                          <w:spacing w:before="340"/>
                          <w:ind w:left="441" w:right="0" w:firstLine="0"/>
                          <w:jc w:val="left"/>
                          <w:rPr>
                            <w:rFonts w:ascii="Tahoma"/>
                            <w:b/>
                            <w:sz w:val="36"/>
                          </w:rPr>
                        </w:pPr>
                        <w:r>
                          <w:rPr>
                            <w:rFonts w:ascii="Tahoma"/>
                            <w:b/>
                            <w:spacing w:val="-5"/>
                            <w:w w:val="95"/>
                            <w:sz w:val="36"/>
                          </w:rPr>
                          <w:t>44</w:t>
                        </w:r>
                      </w:p>
                    </w:txbxContent>
                  </v:textbox>
                  <w10:wrap type="none"/>
                </v:shape>
                <w10:wrap type="topAndBottom"/>
              </v:group>
            </w:pict>
          </mc:Fallback>
        </mc:AlternateContent>
      </w:r>
    </w:p>
    <w:p>
      <w:pPr>
        <w:pStyle w:val="Heading1"/>
        <w:spacing w:line="211" w:lineRule="auto"/>
        <w:ind w:left="2054" w:right="2059"/>
      </w:pPr>
      <w:r>
        <w:rPr/>
        <w:t>The</w:t>
      </w:r>
      <w:r>
        <w:rPr>
          <w:spacing w:val="-2"/>
        </w:rPr>
        <w:t> </w:t>
      </w:r>
      <w:r>
        <w:rPr/>
        <w:t>Waste</w:t>
      </w:r>
      <w:r>
        <w:rPr>
          <w:spacing w:val="-2"/>
        </w:rPr>
        <w:t> </w:t>
      </w:r>
      <w:r>
        <w:rPr/>
        <w:t>of</w:t>
      </w:r>
      <w:r>
        <w:rPr>
          <w:spacing w:val="-4"/>
        </w:rPr>
        <w:t> </w:t>
      </w:r>
      <w:r>
        <w:rPr/>
        <w:t>Shame:</w:t>
      </w:r>
      <w:r>
        <w:rPr>
          <w:spacing w:val="-2"/>
        </w:rPr>
        <w:t> </w:t>
      </w:r>
      <w:r>
        <w:rPr/>
        <w:t>From </w:t>
      </w:r>
      <w:r>
        <w:rPr>
          <w:spacing w:val="-8"/>
        </w:rPr>
        <w:t>Archetypal</w:t>
      </w:r>
      <w:r>
        <w:rPr>
          <w:spacing w:val="-15"/>
        </w:rPr>
        <w:t> </w:t>
      </w:r>
      <w:r>
        <w:rPr>
          <w:spacing w:val="-8"/>
        </w:rPr>
        <w:t>Desire</w:t>
      </w:r>
      <w:r>
        <w:rPr>
          <w:spacing w:val="-14"/>
        </w:rPr>
        <w:t> </w:t>
      </w:r>
      <w:r>
        <w:rPr>
          <w:spacing w:val="-8"/>
        </w:rPr>
        <w:t>to</w:t>
      </w:r>
      <w:r>
        <w:rPr>
          <w:spacing w:val="-16"/>
        </w:rPr>
        <w:t> </w:t>
      </w:r>
      <w:r>
        <w:rPr>
          <w:spacing w:val="-8"/>
        </w:rPr>
        <w:t>Feminist</w:t>
      </w:r>
    </w:p>
    <w:p>
      <w:pPr>
        <w:tabs>
          <w:tab w:pos="1771" w:val="left" w:leader="none"/>
          <w:tab w:pos="5759" w:val="left" w:leader="none"/>
        </w:tabs>
        <w:spacing w:line="347" w:lineRule="exact" w:before="0"/>
        <w:ind w:left="0" w:right="0" w:firstLine="0"/>
        <w:jc w:val="center"/>
        <w:rPr>
          <w:rFonts w:ascii="Tahoma"/>
          <w:b/>
          <w:sz w:val="32"/>
        </w:rPr>
      </w:pPr>
      <w:r>
        <w:rPr>
          <w:sz w:val="32"/>
          <w:u w:val="single"/>
        </w:rPr>
        <w:tab/>
      </w:r>
      <w:r>
        <w:rPr>
          <w:rFonts w:ascii="Tahoma"/>
          <w:b/>
          <w:spacing w:val="-2"/>
          <w:sz w:val="32"/>
          <w:u w:val="single"/>
        </w:rPr>
        <w:t>Accountability</w:t>
      </w:r>
      <w:r>
        <w:rPr>
          <w:rFonts w:ascii="Tahoma"/>
          <w:b/>
          <w:sz w:val="32"/>
          <w:u w:val="single"/>
        </w:rPr>
        <w:tab/>
      </w:r>
    </w:p>
    <w:p>
      <w:pPr>
        <w:pStyle w:val="BodyText"/>
        <w:spacing w:before="7"/>
        <w:ind w:left="0"/>
        <w:rPr>
          <w:rFonts w:ascii="Tahoma"/>
          <w:b/>
          <w:sz w:val="5"/>
        </w:rPr>
      </w:pPr>
      <w:r>
        <w:rPr>
          <w:rFonts w:ascii="Tahoma"/>
          <w:b/>
          <w:sz w:val="5"/>
        </w:rPr>
        <mc:AlternateContent>
          <mc:Choice Requires="wps">
            <w:drawing>
              <wp:anchor distT="0" distB="0" distL="0" distR="0" allowOverlap="1" layoutInCell="1" locked="0" behindDoc="1" simplePos="0" relativeHeight="487915520">
                <wp:simplePos x="0" y="0"/>
                <wp:positionH relativeFrom="page">
                  <wp:posOffset>2057400</wp:posOffset>
                </wp:positionH>
                <wp:positionV relativeFrom="paragraph">
                  <wp:posOffset>58019</wp:posOffset>
                </wp:positionV>
                <wp:extent cx="3657600" cy="7620"/>
                <wp:effectExtent l="0" t="0" r="0" b="0"/>
                <wp:wrapTopAndBottom/>
                <wp:docPr id="866" name="Graphic 866"/>
                <wp:cNvGraphicFramePr>
                  <a:graphicFrameLocks/>
                </wp:cNvGraphicFramePr>
                <a:graphic>
                  <a:graphicData uri="http://schemas.microsoft.com/office/word/2010/wordprocessingShape">
                    <wps:wsp>
                      <wps:cNvPr id="866" name="Graphic 866"/>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568493pt;width:288.000009pt;height:.599991pt;mso-position-horizontal-relative:page;mso-position-vertical-relative:paragraph;z-index:-15400960;mso-wrap-distance-left:0;mso-wrap-distance-right:0" id="docshape858"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9"/>
        <w:jc w:val="right"/>
        <w:rPr>
          <w:rFonts w:ascii="Times New Roman"/>
        </w:rPr>
      </w:pPr>
      <w:r>
        <w:rPr>
          <w:rFonts w:ascii="Times New Roman"/>
        </w:rPr>
        <w:t>G.</w:t>
      </w:r>
      <w:r>
        <w:rPr>
          <w:rFonts w:ascii="Times New Roman"/>
          <w:spacing w:val="27"/>
        </w:rPr>
        <w:t> </w:t>
      </w:r>
      <w:r>
        <w:rPr>
          <w:rFonts w:ascii="Times New Roman"/>
          <w:spacing w:val="-2"/>
        </w:rPr>
        <w:t>Hannah</w:t>
      </w:r>
    </w:p>
    <w:p>
      <w:pPr>
        <w:spacing w:before="15"/>
        <w:ind w:left="0" w:right="1440" w:firstLine="0"/>
        <w:jc w:val="right"/>
        <w:rPr>
          <w:i/>
          <w:sz w:val="19"/>
        </w:rPr>
      </w:pPr>
      <w:r>
        <w:rPr>
          <w:i/>
          <w:sz w:val="19"/>
        </w:rPr>
        <w:t>Lecturer</w:t>
      </w:r>
      <w:r>
        <w:rPr>
          <w:i/>
          <w:spacing w:val="55"/>
          <w:sz w:val="19"/>
        </w:rPr>
        <w:t> </w:t>
      </w:r>
      <w:r>
        <w:rPr>
          <w:i/>
          <w:sz w:val="19"/>
        </w:rPr>
        <w:t>in</w:t>
      </w:r>
      <w:r>
        <w:rPr>
          <w:i/>
          <w:spacing w:val="59"/>
          <w:sz w:val="19"/>
        </w:rPr>
        <w:t> </w:t>
      </w:r>
      <w:r>
        <w:rPr>
          <w:i/>
          <w:sz w:val="19"/>
        </w:rPr>
        <w:t>English,</w:t>
      </w:r>
      <w:r>
        <w:rPr>
          <w:i/>
          <w:spacing w:val="60"/>
          <w:sz w:val="19"/>
        </w:rPr>
        <w:t> </w:t>
      </w:r>
      <w:r>
        <w:rPr>
          <w:i/>
          <w:sz w:val="19"/>
        </w:rPr>
        <w:t>Govt.</w:t>
      </w:r>
      <w:r>
        <w:rPr>
          <w:i/>
          <w:spacing w:val="57"/>
          <w:sz w:val="19"/>
        </w:rPr>
        <w:t> </w:t>
      </w:r>
      <w:r>
        <w:rPr>
          <w:i/>
          <w:sz w:val="19"/>
        </w:rPr>
        <w:t>Degree</w:t>
      </w:r>
      <w:r>
        <w:rPr>
          <w:i/>
          <w:spacing w:val="56"/>
          <w:sz w:val="19"/>
        </w:rPr>
        <w:t> </w:t>
      </w:r>
      <w:r>
        <w:rPr>
          <w:i/>
          <w:spacing w:val="-2"/>
          <w:sz w:val="19"/>
        </w:rPr>
        <w:t>College,</w:t>
      </w:r>
    </w:p>
    <w:p>
      <w:pPr>
        <w:spacing w:before="10"/>
        <w:ind w:left="0" w:right="1438" w:firstLine="0"/>
        <w:jc w:val="right"/>
        <w:rPr>
          <w:i/>
          <w:sz w:val="19"/>
        </w:rPr>
      </w:pPr>
      <w:r>
        <w:rPr>
          <w:i/>
          <w:sz w:val="19"/>
        </w:rPr>
        <w:t>Satyavedu,</w:t>
      </w:r>
      <w:r>
        <w:rPr>
          <w:i/>
          <w:spacing w:val="74"/>
          <w:sz w:val="19"/>
        </w:rPr>
        <w:t> </w:t>
      </w:r>
      <w:r>
        <w:rPr>
          <w:i/>
          <w:sz w:val="19"/>
        </w:rPr>
        <w:t>Tirupati</w:t>
      </w:r>
      <w:r>
        <w:rPr>
          <w:i/>
          <w:spacing w:val="74"/>
          <w:sz w:val="19"/>
        </w:rPr>
        <w:t> </w:t>
      </w:r>
      <w:r>
        <w:rPr>
          <w:i/>
          <w:spacing w:val="-5"/>
          <w:sz w:val="19"/>
        </w:rPr>
        <w:t>Dt</w:t>
      </w:r>
    </w:p>
    <w:p>
      <w:pPr>
        <w:pStyle w:val="BodyText"/>
        <w:spacing w:before="160"/>
        <w:ind w:left="0"/>
        <w:rPr>
          <w:i/>
          <w:sz w:val="19"/>
        </w:rPr>
      </w:pPr>
    </w:p>
    <w:p>
      <w:pPr>
        <w:pStyle w:val="Heading3"/>
        <w:spacing w:before="1"/>
      </w:pPr>
      <w:r>
        <w:rPr>
          <w:spacing w:val="-2"/>
        </w:rPr>
        <w:t>ABSTRACT</w:t>
      </w:r>
    </w:p>
    <w:p>
      <w:pPr>
        <w:pStyle w:val="BodyText"/>
        <w:spacing w:line="249" w:lineRule="auto" w:before="75"/>
        <w:ind w:right="1438" w:firstLine="432"/>
        <w:jc w:val="both"/>
      </w:pPr>
      <w:r>
        <w:rPr/>
        <w:t>In the #MeToo movement era, texts that have stood the test of times</w:t>
      </w:r>
      <w:r>
        <w:rPr>
          <w:spacing w:val="-2"/>
        </w:rPr>
        <w:t> </w:t>
      </w:r>
      <w:r>
        <w:rPr/>
        <w:t>are being</w:t>
      </w:r>
      <w:r>
        <w:rPr>
          <w:spacing w:val="-1"/>
        </w:rPr>
        <w:t> </w:t>
      </w:r>
      <w:r>
        <w:rPr/>
        <w:t>revisited.</w:t>
      </w:r>
      <w:r>
        <w:rPr>
          <w:spacing w:val="-1"/>
        </w:rPr>
        <w:t> </w:t>
      </w:r>
      <w:r>
        <w:rPr/>
        <w:t>The</w:t>
      </w:r>
      <w:r>
        <w:rPr>
          <w:spacing w:val="-2"/>
        </w:rPr>
        <w:t> </w:t>
      </w:r>
      <w:r>
        <w:rPr/>
        <w:t>re-reading</w:t>
      </w:r>
      <w:r>
        <w:rPr>
          <w:spacing w:val="-1"/>
        </w:rPr>
        <w:t> </w:t>
      </w:r>
      <w:r>
        <w:rPr/>
        <w:t>and re-interpreting</w:t>
      </w:r>
      <w:r>
        <w:rPr>
          <w:spacing w:val="-2"/>
        </w:rPr>
        <w:t> </w:t>
      </w:r>
      <w:r>
        <w:rPr/>
        <w:t>of</w:t>
      </w:r>
      <w:r>
        <w:rPr>
          <w:spacing w:val="-1"/>
        </w:rPr>
        <w:t> </w:t>
      </w:r>
      <w:r>
        <w:rPr/>
        <w:t>the</w:t>
      </w:r>
      <w:r>
        <w:rPr>
          <w:spacing w:val="-2"/>
        </w:rPr>
        <w:t> </w:t>
      </w:r>
      <w:r>
        <w:rPr/>
        <w:t>texts in the context of feminist theories and power dynamics reaffirm their literary</w:t>
      </w:r>
      <w:r>
        <w:rPr>
          <w:spacing w:val="-13"/>
        </w:rPr>
        <w:t> </w:t>
      </w:r>
      <w:r>
        <w:rPr/>
        <w:t>stature.</w:t>
      </w:r>
      <w:r>
        <w:rPr>
          <w:spacing w:val="-12"/>
        </w:rPr>
        <w:t> </w:t>
      </w:r>
      <w:r>
        <w:rPr/>
        <w:t>This</w:t>
      </w:r>
      <w:r>
        <w:rPr>
          <w:spacing w:val="-13"/>
        </w:rPr>
        <w:t> </w:t>
      </w:r>
      <w:r>
        <w:rPr/>
        <w:t>paper</w:t>
      </w:r>
      <w:r>
        <w:rPr>
          <w:spacing w:val="-12"/>
        </w:rPr>
        <w:t> </w:t>
      </w:r>
      <w:r>
        <w:rPr/>
        <w:t>attempts</w:t>
      </w:r>
      <w:r>
        <w:rPr>
          <w:spacing w:val="-13"/>
        </w:rPr>
        <w:t> </w:t>
      </w:r>
      <w:r>
        <w:rPr/>
        <w:t>re-reading</w:t>
      </w:r>
      <w:r>
        <w:rPr>
          <w:spacing w:val="-12"/>
        </w:rPr>
        <w:t> </w:t>
      </w:r>
      <w:r>
        <w:rPr/>
        <w:t>of</w:t>
      </w:r>
      <w:r>
        <w:rPr>
          <w:spacing w:val="-13"/>
        </w:rPr>
        <w:t> </w:t>
      </w:r>
      <w:r>
        <w:rPr/>
        <w:t>William</w:t>
      </w:r>
      <w:r>
        <w:rPr>
          <w:spacing w:val="-12"/>
        </w:rPr>
        <w:t> </w:t>
      </w:r>
      <w:r>
        <w:rPr/>
        <w:t>Shakespeare’s Sonnet</w:t>
      </w:r>
      <w:r>
        <w:rPr>
          <w:spacing w:val="-13"/>
        </w:rPr>
        <w:t> </w:t>
      </w:r>
      <w:r>
        <w:rPr/>
        <w:t>129,</w:t>
      </w:r>
      <w:r>
        <w:rPr>
          <w:spacing w:val="-12"/>
        </w:rPr>
        <w:t> </w:t>
      </w:r>
      <w:r>
        <w:rPr/>
        <w:t>within</w:t>
      </w:r>
      <w:r>
        <w:rPr>
          <w:spacing w:val="-13"/>
        </w:rPr>
        <w:t> </w:t>
      </w:r>
      <w:r>
        <w:rPr/>
        <w:t>an</w:t>
      </w:r>
      <w:r>
        <w:rPr>
          <w:spacing w:val="-12"/>
        </w:rPr>
        <w:t> </w:t>
      </w:r>
      <w:r>
        <w:rPr/>
        <w:t>integrated</w:t>
      </w:r>
      <w:r>
        <w:rPr>
          <w:spacing w:val="-10"/>
        </w:rPr>
        <w:t> </w:t>
      </w:r>
      <w:r>
        <w:rPr/>
        <w:t>framework</w:t>
      </w:r>
      <w:r>
        <w:rPr>
          <w:spacing w:val="-13"/>
        </w:rPr>
        <w:t> </w:t>
      </w:r>
      <w:r>
        <w:rPr/>
        <w:t>of</w:t>
      </w:r>
      <w:r>
        <w:rPr>
          <w:spacing w:val="-12"/>
        </w:rPr>
        <w:t> </w:t>
      </w:r>
      <w:r>
        <w:rPr/>
        <w:t>Archetypal</w:t>
      </w:r>
      <w:r>
        <w:rPr>
          <w:spacing w:val="-11"/>
        </w:rPr>
        <w:t> </w:t>
      </w:r>
      <w:r>
        <w:rPr/>
        <w:t>criticism,</w:t>
      </w:r>
      <w:r>
        <w:rPr>
          <w:spacing w:val="-10"/>
        </w:rPr>
        <w:t> </w:t>
      </w:r>
      <w:r>
        <w:rPr/>
        <w:t>and Feminist</w:t>
      </w:r>
      <w:r>
        <w:rPr>
          <w:spacing w:val="40"/>
        </w:rPr>
        <w:t> </w:t>
      </w:r>
      <w:r>
        <w:rPr/>
        <w:t>Discourse</w:t>
      </w:r>
      <w:r>
        <w:rPr>
          <w:spacing w:val="40"/>
        </w:rPr>
        <w:t> </w:t>
      </w:r>
      <w:r>
        <w:rPr/>
        <w:t>analysis.</w:t>
      </w:r>
    </w:p>
    <w:p>
      <w:pPr>
        <w:pStyle w:val="BodyText"/>
        <w:spacing w:line="249" w:lineRule="auto" w:before="65"/>
        <w:ind w:right="1440" w:firstLine="432"/>
        <w:jc w:val="both"/>
      </w:pPr>
      <w:r>
        <w:rPr/>
        <w:t>The objective of the study is to contextualise the relevance of archetypal themes of desire and shame into present day notions of accountability - consent and agency.</w:t>
      </w:r>
      <w:r>
        <w:rPr>
          <w:spacing w:val="40"/>
        </w:rPr>
        <w:t> </w:t>
      </w:r>
      <w:r>
        <w:rPr/>
        <w:t>To meet this objective, the methodology employed is interpretive, and a close reading both within Elizabethan milieu and a contemporary feminist terrain.</w:t>
      </w:r>
      <w:r>
        <w:rPr>
          <w:spacing w:val="-5"/>
        </w:rPr>
        <w:t> </w:t>
      </w:r>
      <w:r>
        <w:rPr/>
        <w:t>A</w:t>
      </w:r>
      <w:r>
        <w:rPr>
          <w:spacing w:val="-6"/>
        </w:rPr>
        <w:t> </w:t>
      </w:r>
      <w:r>
        <w:rPr/>
        <w:t>comparative analysis between readings of Sonnet 129 in its original Elizabethan milieu</w:t>
      </w:r>
      <w:r>
        <w:rPr>
          <w:spacing w:val="-2"/>
        </w:rPr>
        <w:t> </w:t>
      </w:r>
      <w:r>
        <w:rPr/>
        <w:t>and</w:t>
      </w:r>
      <w:r>
        <w:rPr>
          <w:spacing w:val="-1"/>
        </w:rPr>
        <w:t> </w:t>
      </w:r>
      <w:r>
        <w:rPr/>
        <w:t>its</w:t>
      </w:r>
      <w:r>
        <w:rPr>
          <w:spacing w:val="-2"/>
        </w:rPr>
        <w:t> </w:t>
      </w:r>
      <w:r>
        <w:rPr/>
        <w:t>re-reading</w:t>
      </w:r>
      <w:r>
        <w:rPr>
          <w:spacing w:val="-2"/>
        </w:rPr>
        <w:t> </w:t>
      </w:r>
      <w:r>
        <w:rPr/>
        <w:t>in</w:t>
      </w:r>
      <w:r>
        <w:rPr>
          <w:spacing w:val="-4"/>
        </w:rPr>
        <w:t> </w:t>
      </w:r>
      <w:r>
        <w:rPr/>
        <w:t>the</w:t>
      </w:r>
      <w:r>
        <w:rPr>
          <w:spacing w:val="-1"/>
        </w:rPr>
        <w:t> </w:t>
      </w:r>
      <w:r>
        <w:rPr/>
        <w:t>contemporary</w:t>
      </w:r>
      <w:r>
        <w:rPr>
          <w:spacing w:val="-4"/>
        </w:rPr>
        <w:t> </w:t>
      </w:r>
      <w:r>
        <w:rPr/>
        <w:t>#MeToo movement</w:t>
      </w:r>
      <w:r>
        <w:rPr>
          <w:spacing w:val="-1"/>
        </w:rPr>
        <w:t> </w:t>
      </w:r>
      <w:r>
        <w:rPr/>
        <w:t>era</w:t>
      </w:r>
      <w:r>
        <w:rPr>
          <w:spacing w:val="-1"/>
        </w:rPr>
        <w:t> </w:t>
      </w:r>
      <w:r>
        <w:rPr/>
        <w:t>is </w:t>
      </w:r>
      <w:r>
        <w:rPr>
          <w:spacing w:val="-2"/>
        </w:rPr>
        <w:t>undertaken</w:t>
      </w:r>
    </w:p>
    <w:p>
      <w:pPr>
        <w:pStyle w:val="BodyText"/>
        <w:spacing w:line="249" w:lineRule="auto" w:before="64"/>
        <w:ind w:right="1440" w:firstLine="432"/>
        <w:jc w:val="both"/>
      </w:pPr>
      <w:r>
        <w:rPr/>
        <w:t>Through this study, the researcher highlights that literary works </w:t>
      </w:r>
      <w:r>
        <w:rPr>
          <w:spacing w:val="-2"/>
        </w:rPr>
        <w:t>never shed off</w:t>
      </w:r>
      <w:r>
        <w:rPr>
          <w:spacing w:val="-5"/>
        </w:rPr>
        <w:t> </w:t>
      </w:r>
      <w:r>
        <w:rPr>
          <w:spacing w:val="-2"/>
        </w:rPr>
        <w:t>their relevance</w:t>
      </w:r>
      <w:r>
        <w:rPr>
          <w:spacing w:val="-4"/>
        </w:rPr>
        <w:t> </w:t>
      </w:r>
      <w:r>
        <w:rPr>
          <w:spacing w:val="-2"/>
        </w:rPr>
        <w:t>irrespective</w:t>
      </w:r>
      <w:r>
        <w:rPr>
          <w:spacing w:val="-4"/>
        </w:rPr>
        <w:t> </w:t>
      </w:r>
      <w:r>
        <w:rPr>
          <w:spacing w:val="-2"/>
        </w:rPr>
        <w:t>of</w:t>
      </w:r>
      <w:r>
        <w:rPr>
          <w:spacing w:val="-5"/>
        </w:rPr>
        <w:t> </w:t>
      </w:r>
      <w:r>
        <w:rPr>
          <w:spacing w:val="-2"/>
        </w:rPr>
        <w:t>cultural</w:t>
      </w:r>
      <w:r>
        <w:rPr>
          <w:spacing w:val="-5"/>
        </w:rPr>
        <w:t> </w:t>
      </w:r>
      <w:r>
        <w:rPr>
          <w:spacing w:val="-2"/>
        </w:rPr>
        <w:t>shifts, or challenges </w:t>
      </w:r>
      <w:r>
        <w:rPr/>
        <w:t>to</w:t>
      </w:r>
      <w:r>
        <w:rPr>
          <w:spacing w:val="-8"/>
        </w:rPr>
        <w:t> </w:t>
      </w:r>
      <w:r>
        <w:rPr/>
        <w:t>their</w:t>
      </w:r>
      <w:r>
        <w:rPr>
          <w:spacing w:val="-8"/>
        </w:rPr>
        <w:t> </w:t>
      </w:r>
      <w:r>
        <w:rPr/>
        <w:t>artistic</w:t>
      </w:r>
      <w:r>
        <w:rPr>
          <w:spacing w:val="-7"/>
        </w:rPr>
        <w:t> </w:t>
      </w:r>
      <w:r>
        <w:rPr/>
        <w:t>value.</w:t>
      </w:r>
      <w:r>
        <w:rPr>
          <w:spacing w:val="-8"/>
        </w:rPr>
        <w:t> </w:t>
      </w:r>
      <w:r>
        <w:rPr/>
        <w:t>Canonical</w:t>
      </w:r>
      <w:r>
        <w:rPr>
          <w:spacing w:val="-10"/>
        </w:rPr>
        <w:t> </w:t>
      </w:r>
      <w:r>
        <w:rPr/>
        <w:t>literature</w:t>
      </w:r>
      <w:r>
        <w:rPr>
          <w:spacing w:val="-10"/>
        </w:rPr>
        <w:t> </w:t>
      </w:r>
      <w:r>
        <w:rPr/>
        <w:t>is</w:t>
      </w:r>
      <w:r>
        <w:rPr>
          <w:spacing w:val="-10"/>
        </w:rPr>
        <w:t> </w:t>
      </w:r>
      <w:r>
        <w:rPr/>
        <w:t>dynamic</w:t>
      </w:r>
      <w:r>
        <w:rPr>
          <w:spacing w:val="-7"/>
        </w:rPr>
        <w:t> </w:t>
      </w:r>
      <w:r>
        <w:rPr/>
        <w:t>and</w:t>
      </w:r>
      <w:r>
        <w:rPr>
          <w:spacing w:val="-8"/>
        </w:rPr>
        <w:t> </w:t>
      </w:r>
      <w:r>
        <w:rPr/>
        <w:t>re-reading</w:t>
      </w:r>
      <w:r>
        <w:rPr>
          <w:spacing w:val="-12"/>
        </w:rPr>
        <w:t> </w:t>
      </w:r>
      <w:r>
        <w:rPr/>
        <w:t>and re-interpreting is always both possible and necessarily relevant across time</w:t>
      </w:r>
      <w:r>
        <w:rPr>
          <w:spacing w:val="-12"/>
        </w:rPr>
        <w:t> </w:t>
      </w:r>
      <w:r>
        <w:rPr/>
        <w:t>and</w:t>
      </w:r>
      <w:r>
        <w:rPr>
          <w:spacing w:val="-11"/>
        </w:rPr>
        <w:t> </w:t>
      </w:r>
      <w:r>
        <w:rPr/>
        <w:t>space.</w:t>
      </w:r>
      <w:r>
        <w:rPr>
          <w:spacing w:val="-12"/>
        </w:rPr>
        <w:t> </w:t>
      </w:r>
      <w:r>
        <w:rPr/>
        <w:t>This</w:t>
      </w:r>
      <w:r>
        <w:rPr>
          <w:spacing w:val="-12"/>
        </w:rPr>
        <w:t> </w:t>
      </w:r>
      <w:r>
        <w:rPr/>
        <w:t>article</w:t>
      </w:r>
      <w:r>
        <w:rPr>
          <w:spacing w:val="-11"/>
        </w:rPr>
        <w:t> </w:t>
      </w:r>
      <w:r>
        <w:rPr/>
        <w:t>contributes</w:t>
      </w:r>
      <w:r>
        <w:rPr>
          <w:spacing w:val="-12"/>
        </w:rPr>
        <w:t> </w:t>
      </w:r>
      <w:r>
        <w:rPr/>
        <w:t>to</w:t>
      </w:r>
      <w:r>
        <w:rPr>
          <w:spacing w:val="-11"/>
        </w:rPr>
        <w:t> </w:t>
      </w:r>
      <w:r>
        <w:rPr/>
        <w:t>ever</w:t>
      </w:r>
      <w:r>
        <w:rPr>
          <w:spacing w:val="-11"/>
        </w:rPr>
        <w:t> </w:t>
      </w:r>
      <w:r>
        <w:rPr/>
        <w:t>expansive</w:t>
      </w:r>
      <w:r>
        <w:rPr>
          <w:spacing w:val="-13"/>
        </w:rPr>
        <w:t> </w:t>
      </w:r>
      <w:r>
        <w:rPr/>
        <w:t>Shakespearean scholarship</w:t>
      </w:r>
      <w:r>
        <w:rPr>
          <w:spacing w:val="40"/>
        </w:rPr>
        <w:t> </w:t>
      </w:r>
      <w:r>
        <w:rPr/>
        <w:t>and</w:t>
      </w:r>
      <w:r>
        <w:rPr>
          <w:spacing w:val="40"/>
        </w:rPr>
        <w:t> </w:t>
      </w:r>
      <w:r>
        <w:rPr/>
        <w:t>establishes</w:t>
      </w:r>
      <w:r>
        <w:rPr>
          <w:spacing w:val="40"/>
        </w:rPr>
        <w:t> </w:t>
      </w:r>
      <w:r>
        <w:rPr/>
        <w:t>the</w:t>
      </w:r>
      <w:r>
        <w:rPr>
          <w:spacing w:val="40"/>
        </w:rPr>
        <w:t> </w:t>
      </w:r>
      <w:r>
        <w:rPr/>
        <w:t>dynamism</w:t>
      </w:r>
      <w:r>
        <w:rPr>
          <w:spacing w:val="40"/>
        </w:rPr>
        <w:t> </w:t>
      </w:r>
      <w:r>
        <w:rPr/>
        <w:t>of</w:t>
      </w:r>
      <w:r>
        <w:rPr>
          <w:spacing w:val="40"/>
        </w:rPr>
        <w:t> </w:t>
      </w:r>
      <w:r>
        <w:rPr/>
        <w:t>literature.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6544">
                <wp:simplePos x="0" y="0"/>
                <wp:positionH relativeFrom="page">
                  <wp:posOffset>2057400</wp:posOffset>
                </wp:positionH>
                <wp:positionV relativeFrom="paragraph">
                  <wp:posOffset>162604</wp:posOffset>
                </wp:positionV>
                <wp:extent cx="3657600" cy="12700"/>
                <wp:effectExtent l="0" t="0" r="0" b="0"/>
                <wp:wrapTopAndBottom/>
                <wp:docPr id="867" name="Graphic 867"/>
                <wp:cNvGraphicFramePr>
                  <a:graphicFrameLocks/>
                </wp:cNvGraphicFramePr>
                <a:graphic>
                  <a:graphicData uri="http://schemas.microsoft.com/office/word/2010/wordprocessingShape">
                    <wps:wsp>
                      <wps:cNvPr id="867" name="Graphic 867"/>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99936;mso-wrap-distance-left:0;mso-wrap-distance-right:0" id="docshape859" filled="true" fillcolor="#000000" stroked="false">
                <v:fill type="solid"/>
                <w10:wrap type="topAndBottom"/>
              </v:rect>
            </w:pict>
          </mc:Fallback>
        </mc:AlternateContent>
      </w:r>
      <w:r>
        <w:rPr>
          <w:rFonts w:ascii="Verdana"/>
          <w:spacing w:val="-5"/>
          <w:sz w:val="18"/>
        </w:rPr>
        <w:t>456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firstLine="432"/>
        <w:jc w:val="both"/>
      </w:pPr>
      <w:r>
        <w:rPr>
          <w:b/>
        </w:rPr>
        <w:t>Keywords: </w:t>
      </w:r>
      <w:r>
        <w:rPr/>
        <w:t>#MeToo movement, Feminist Theories, Archetypal Criticism, Discourse Analysis, Accountability, Consent, Canonical </w:t>
      </w:r>
      <w:r>
        <w:rPr>
          <w:spacing w:val="-2"/>
        </w:rPr>
        <w:t>Literature.</w:t>
      </w:r>
    </w:p>
    <w:p>
      <w:pPr>
        <w:pStyle w:val="BodyText"/>
        <w:spacing w:line="249" w:lineRule="auto" w:before="60"/>
        <w:ind w:right="1437" w:firstLine="432"/>
        <w:jc w:val="both"/>
      </w:pPr>
      <w:r>
        <w:rPr/>
        <w:t>William Shakespeare (1564-1616) is a literary figure who has acclaimed</w:t>
      </w:r>
      <w:r>
        <w:rPr>
          <w:spacing w:val="-2"/>
        </w:rPr>
        <w:t> </w:t>
      </w:r>
      <w:r>
        <w:rPr/>
        <w:t>position</w:t>
      </w:r>
      <w:r>
        <w:rPr>
          <w:spacing w:val="-6"/>
        </w:rPr>
        <w:t> </w:t>
      </w:r>
      <w:r>
        <w:rPr/>
        <w:t>as</w:t>
      </w:r>
      <w:r>
        <w:rPr>
          <w:spacing w:val="-4"/>
        </w:rPr>
        <w:t> </w:t>
      </w:r>
      <w:r>
        <w:rPr/>
        <w:t>a</w:t>
      </w:r>
      <w:r>
        <w:rPr>
          <w:spacing w:val="-1"/>
        </w:rPr>
        <w:t> </w:t>
      </w:r>
      <w:r>
        <w:rPr/>
        <w:t>stalwart</w:t>
      </w:r>
      <w:r>
        <w:rPr>
          <w:spacing w:val="-6"/>
        </w:rPr>
        <w:t> </w:t>
      </w:r>
      <w:r>
        <w:rPr/>
        <w:t>dramatist.</w:t>
      </w:r>
      <w:r>
        <w:rPr>
          <w:spacing w:val="-2"/>
        </w:rPr>
        <w:t> </w:t>
      </w:r>
      <w:r>
        <w:rPr/>
        <w:t>However,</w:t>
      </w:r>
      <w:r>
        <w:rPr>
          <w:spacing w:val="-2"/>
        </w:rPr>
        <w:t> </w:t>
      </w:r>
      <w:r>
        <w:rPr/>
        <w:t>his</w:t>
      </w:r>
      <w:r>
        <w:rPr>
          <w:spacing w:val="-2"/>
        </w:rPr>
        <w:t> </w:t>
      </w:r>
      <w:r>
        <w:rPr/>
        <w:t>presence</w:t>
      </w:r>
      <w:r>
        <w:rPr>
          <w:spacing w:val="-6"/>
        </w:rPr>
        <w:t> </w:t>
      </w:r>
      <w:r>
        <w:rPr/>
        <w:t>in</w:t>
      </w:r>
      <w:r>
        <w:rPr>
          <w:spacing w:val="-4"/>
        </w:rPr>
        <w:t> </w:t>
      </w:r>
      <w:r>
        <w:rPr/>
        <w:t>the literary world as a poet, and a renowned actor of his times is also noteworthy. Through his works, be it plays, allegorical poems, lyrical poems or sonnets, he has expressed his prowess of language, imagery, diction and expression. His</w:t>
      </w:r>
      <w:r>
        <w:rPr>
          <w:spacing w:val="-1"/>
        </w:rPr>
        <w:t> </w:t>
      </w:r>
      <w:r>
        <w:rPr/>
        <w:t>works pervade a gamut of</w:t>
      </w:r>
      <w:r>
        <w:rPr>
          <w:spacing w:val="-1"/>
        </w:rPr>
        <w:t> </w:t>
      </w:r>
      <w:r>
        <w:rPr/>
        <w:t>universal themes and</w:t>
      </w:r>
      <w:r>
        <w:rPr>
          <w:spacing w:val="-2"/>
        </w:rPr>
        <w:t> </w:t>
      </w:r>
      <w:r>
        <w:rPr/>
        <w:t>human</w:t>
      </w:r>
      <w:r>
        <w:rPr>
          <w:spacing w:val="-6"/>
        </w:rPr>
        <w:t> </w:t>
      </w:r>
      <w:r>
        <w:rPr/>
        <w:t>emotions.</w:t>
      </w:r>
      <w:r>
        <w:rPr>
          <w:spacing w:val="-6"/>
        </w:rPr>
        <w:t> </w:t>
      </w:r>
      <w:r>
        <w:rPr/>
        <w:t>Love,</w:t>
      </w:r>
      <w:r>
        <w:rPr>
          <w:spacing w:val="-4"/>
        </w:rPr>
        <w:t> </w:t>
      </w:r>
      <w:r>
        <w:rPr/>
        <w:t>jealousy,</w:t>
      </w:r>
      <w:r>
        <w:rPr>
          <w:spacing w:val="-4"/>
        </w:rPr>
        <w:t> </w:t>
      </w:r>
      <w:r>
        <w:rPr/>
        <w:t>time,</w:t>
      </w:r>
      <w:r>
        <w:rPr>
          <w:spacing w:val="-4"/>
        </w:rPr>
        <w:t> </w:t>
      </w:r>
      <w:r>
        <w:rPr/>
        <w:t>death</w:t>
      </w:r>
      <w:r>
        <w:rPr>
          <w:spacing w:val="-4"/>
        </w:rPr>
        <w:t> </w:t>
      </w:r>
      <w:r>
        <w:rPr/>
        <w:t>and</w:t>
      </w:r>
      <w:r>
        <w:rPr>
          <w:spacing w:val="-6"/>
        </w:rPr>
        <w:t> </w:t>
      </w:r>
      <w:r>
        <w:rPr/>
        <w:t>ambition</w:t>
      </w:r>
      <w:r>
        <w:rPr>
          <w:spacing w:val="-6"/>
        </w:rPr>
        <w:t> </w:t>
      </w:r>
      <w:r>
        <w:rPr/>
        <w:t>form</w:t>
      </w:r>
      <w:r>
        <w:rPr>
          <w:spacing w:val="-7"/>
        </w:rPr>
        <w:t> </w:t>
      </w:r>
      <w:r>
        <w:rPr/>
        <w:t>the core of</w:t>
      </w:r>
      <w:r>
        <w:rPr>
          <w:spacing w:val="-1"/>
        </w:rPr>
        <w:t> </w:t>
      </w:r>
      <w:r>
        <w:rPr/>
        <w:t>his works. S</w:t>
      </w:r>
      <w:r>
        <w:rPr>
          <w:i/>
        </w:rPr>
        <w:t>hakespeare’s Sonnets </w:t>
      </w:r>
      <w:r>
        <w:rPr/>
        <w:t>published in 1609 consists of 154 sonnets which express prolific dimensions of these themes. The </w:t>
      </w:r>
      <w:r>
        <w:rPr>
          <w:spacing w:val="-4"/>
        </w:rPr>
        <w:t>versatility of themes and expression exalted ‘myriad-minded Shakespeare’ </w:t>
      </w:r>
      <w:r>
        <w:rPr/>
        <w:t>(Coleridge 167), to be ‘England’s National Poet’</w:t>
      </w:r>
      <w:r>
        <w:rPr>
          <w:spacing w:val="-7"/>
        </w:rPr>
        <w:t> </w:t>
      </w:r>
      <w:r>
        <w:rPr/>
        <w:t>during his time. With passing</w:t>
      </w:r>
      <w:r>
        <w:rPr>
          <w:spacing w:val="-7"/>
        </w:rPr>
        <w:t> </w:t>
      </w:r>
      <w:r>
        <w:rPr/>
        <w:t>of</w:t>
      </w:r>
      <w:r>
        <w:rPr>
          <w:spacing w:val="-8"/>
        </w:rPr>
        <w:t> </w:t>
      </w:r>
      <w:r>
        <w:rPr/>
        <w:t>time,</w:t>
      </w:r>
      <w:r>
        <w:rPr>
          <w:spacing w:val="-5"/>
        </w:rPr>
        <w:t> </w:t>
      </w:r>
      <w:r>
        <w:rPr/>
        <w:t>critical</w:t>
      </w:r>
      <w:r>
        <w:rPr>
          <w:spacing w:val="-7"/>
        </w:rPr>
        <w:t> </w:t>
      </w:r>
      <w:r>
        <w:rPr/>
        <w:t>appreciation</w:t>
      </w:r>
      <w:r>
        <w:rPr>
          <w:spacing w:val="-7"/>
        </w:rPr>
        <w:t> </w:t>
      </w:r>
      <w:r>
        <w:rPr/>
        <w:t>further</w:t>
      </w:r>
      <w:r>
        <w:rPr>
          <w:spacing w:val="-5"/>
        </w:rPr>
        <w:t> </w:t>
      </w:r>
      <w:r>
        <w:rPr/>
        <w:t>triumphed</w:t>
      </w:r>
      <w:r>
        <w:rPr>
          <w:spacing w:val="-7"/>
        </w:rPr>
        <w:t> </w:t>
      </w:r>
      <w:r>
        <w:rPr/>
        <w:t>Shakespeare</w:t>
      </w:r>
      <w:r>
        <w:rPr>
          <w:spacing w:val="-6"/>
        </w:rPr>
        <w:t> </w:t>
      </w:r>
      <w:r>
        <w:rPr/>
        <w:t>and his works to be recognised as ‘not of an age, but for all time’ as Ben Jonson</w:t>
      </w:r>
      <w:r>
        <w:rPr>
          <w:spacing w:val="-9"/>
        </w:rPr>
        <w:t> </w:t>
      </w:r>
      <w:r>
        <w:rPr/>
        <w:t>proclaimed</w:t>
      </w:r>
      <w:r>
        <w:rPr>
          <w:spacing w:val="-11"/>
        </w:rPr>
        <w:t> </w:t>
      </w:r>
      <w:r>
        <w:rPr/>
        <w:t>in</w:t>
      </w:r>
      <w:r>
        <w:rPr>
          <w:spacing w:val="-9"/>
        </w:rPr>
        <w:t> </w:t>
      </w:r>
      <w:r>
        <w:rPr/>
        <w:t>his</w:t>
      </w:r>
      <w:r>
        <w:rPr>
          <w:spacing w:val="-8"/>
        </w:rPr>
        <w:t> </w:t>
      </w:r>
      <w:r>
        <w:rPr>
          <w:i/>
        </w:rPr>
        <w:t>First</w:t>
      </w:r>
      <w:r>
        <w:rPr>
          <w:i/>
          <w:spacing w:val="-8"/>
        </w:rPr>
        <w:t> </w:t>
      </w:r>
      <w:r>
        <w:rPr>
          <w:i/>
        </w:rPr>
        <w:t>Folio.</w:t>
      </w:r>
      <w:r>
        <w:rPr>
          <w:i/>
          <w:spacing w:val="-8"/>
        </w:rPr>
        <w:t> </w:t>
      </w:r>
      <w:r>
        <w:rPr/>
        <w:t>Although</w:t>
      </w:r>
      <w:r>
        <w:rPr>
          <w:spacing w:val="-13"/>
        </w:rPr>
        <w:t> </w:t>
      </w:r>
      <w:r>
        <w:rPr/>
        <w:t>his</w:t>
      </w:r>
      <w:r>
        <w:rPr>
          <w:spacing w:val="-11"/>
        </w:rPr>
        <w:t> </w:t>
      </w:r>
      <w:r>
        <w:rPr/>
        <w:t>sonnets</w:t>
      </w:r>
      <w:r>
        <w:rPr>
          <w:spacing w:val="-13"/>
        </w:rPr>
        <w:t> </w:t>
      </w:r>
      <w:r>
        <w:rPr/>
        <w:t>are</w:t>
      </w:r>
      <w:r>
        <w:rPr>
          <w:spacing w:val="-8"/>
        </w:rPr>
        <w:t> </w:t>
      </w:r>
      <w:r>
        <w:rPr/>
        <w:t>popularly known as Shakespearean Sonnets, Shakespeare is not the pioneer of sonnet form.</w:t>
      </w:r>
      <w:r>
        <w:rPr>
          <w:spacing w:val="40"/>
        </w:rPr>
        <w:t> </w:t>
      </w:r>
      <w:r>
        <w:rPr/>
        <w:t>The saga of sonnets began almost three centuries before Shakespeare’s</w:t>
      </w:r>
      <w:r>
        <w:rPr>
          <w:spacing w:val="39"/>
        </w:rPr>
        <w:t> </w:t>
      </w:r>
      <w:r>
        <w:rPr/>
        <w:t>time</w:t>
      </w:r>
      <w:r>
        <w:rPr>
          <w:spacing w:val="40"/>
        </w:rPr>
        <w:t> </w:t>
      </w:r>
      <w:r>
        <w:rPr/>
        <w:t>and</w:t>
      </w:r>
      <w:r>
        <w:rPr>
          <w:spacing w:val="40"/>
        </w:rPr>
        <w:t> </w:t>
      </w:r>
      <w:r>
        <w:rPr/>
        <w:t>had</w:t>
      </w:r>
      <w:r>
        <w:rPr>
          <w:spacing w:val="40"/>
        </w:rPr>
        <w:t> </w:t>
      </w:r>
      <w:r>
        <w:rPr/>
        <w:t>seen</w:t>
      </w:r>
      <w:r>
        <w:rPr>
          <w:spacing w:val="40"/>
        </w:rPr>
        <w:t> </w:t>
      </w:r>
      <w:r>
        <w:rPr/>
        <w:t>many</w:t>
      </w:r>
      <w:r>
        <w:rPr>
          <w:spacing w:val="37"/>
        </w:rPr>
        <w:t> </w:t>
      </w:r>
      <w:r>
        <w:rPr/>
        <w:t>‘volta’ across</w:t>
      </w:r>
      <w:r>
        <w:rPr>
          <w:spacing w:val="40"/>
        </w:rPr>
        <w:t> </w:t>
      </w:r>
      <w:r>
        <w:rPr/>
        <w:t>the</w:t>
      </w:r>
      <w:r>
        <w:rPr>
          <w:spacing w:val="39"/>
        </w:rPr>
        <w:t> </w:t>
      </w:r>
      <w:r>
        <w:rPr/>
        <w:t>centuries.</w:t>
      </w:r>
    </w:p>
    <w:p>
      <w:pPr>
        <w:pStyle w:val="BodyText"/>
        <w:spacing w:line="249" w:lineRule="auto" w:before="72"/>
        <w:ind w:right="1436" w:firstLine="432"/>
        <w:jc w:val="both"/>
      </w:pPr>
      <w:r>
        <w:rPr/>
        <w:t>Sonnets took birth in Sicily and Italy in 13</w:t>
      </w:r>
      <w:r>
        <w:rPr>
          <w:vertAlign w:val="superscript"/>
        </w:rPr>
        <w:t>th</w:t>
      </w:r>
      <w:r>
        <w:rPr>
          <w:vertAlign w:val="baseline"/>
        </w:rPr>
        <w:t> Century but became popular</w:t>
      </w:r>
      <w:r>
        <w:rPr>
          <w:spacing w:val="-13"/>
          <w:vertAlign w:val="baseline"/>
        </w:rPr>
        <w:t> </w:t>
      </w:r>
      <w:r>
        <w:rPr>
          <w:vertAlign w:val="baseline"/>
        </w:rPr>
        <w:t>in</w:t>
      </w:r>
      <w:r>
        <w:rPr>
          <w:spacing w:val="-12"/>
          <w:vertAlign w:val="baseline"/>
        </w:rPr>
        <w:t> </w:t>
      </w:r>
      <w:r>
        <w:rPr>
          <w:vertAlign w:val="baseline"/>
        </w:rPr>
        <w:t>14</w:t>
      </w:r>
      <w:r>
        <w:rPr>
          <w:vertAlign w:val="superscript"/>
        </w:rPr>
        <w:t>th</w:t>
      </w:r>
      <w:r>
        <w:rPr>
          <w:spacing w:val="-13"/>
          <w:vertAlign w:val="baseline"/>
        </w:rPr>
        <w:t> </w:t>
      </w:r>
      <w:r>
        <w:rPr>
          <w:vertAlign w:val="baseline"/>
        </w:rPr>
        <w:t>Century</w:t>
      </w:r>
      <w:r>
        <w:rPr>
          <w:spacing w:val="-12"/>
          <w:vertAlign w:val="baseline"/>
        </w:rPr>
        <w:t> </w:t>
      </w:r>
      <w:r>
        <w:rPr>
          <w:vertAlign w:val="baseline"/>
        </w:rPr>
        <w:t>through</w:t>
      </w:r>
      <w:r>
        <w:rPr>
          <w:spacing w:val="-13"/>
          <w:vertAlign w:val="baseline"/>
        </w:rPr>
        <w:t> </w:t>
      </w:r>
      <w:r>
        <w:rPr>
          <w:vertAlign w:val="baseline"/>
        </w:rPr>
        <w:t>Francesco</w:t>
      </w:r>
      <w:r>
        <w:rPr>
          <w:spacing w:val="-10"/>
          <w:vertAlign w:val="baseline"/>
        </w:rPr>
        <w:t> </w:t>
      </w:r>
      <w:r>
        <w:rPr>
          <w:vertAlign w:val="baseline"/>
        </w:rPr>
        <w:t>Petrarch’s</w:t>
      </w:r>
      <w:r>
        <w:rPr>
          <w:spacing w:val="-11"/>
          <w:vertAlign w:val="baseline"/>
        </w:rPr>
        <w:t> </w:t>
      </w:r>
      <w:r>
        <w:rPr>
          <w:i/>
          <w:vertAlign w:val="baseline"/>
        </w:rPr>
        <w:t>Canzoniere,</w:t>
      </w:r>
      <w:r>
        <w:rPr>
          <w:i/>
          <w:spacing w:val="-11"/>
          <w:vertAlign w:val="baseline"/>
        </w:rPr>
        <w:t> </w:t>
      </w:r>
      <w:r>
        <w:rPr>
          <w:vertAlign w:val="baseline"/>
        </w:rPr>
        <w:t>which was composed over decades across 14</w:t>
      </w:r>
      <w:r>
        <w:rPr>
          <w:vertAlign w:val="superscript"/>
        </w:rPr>
        <w:t>th</w:t>
      </w:r>
      <w:r>
        <w:rPr>
          <w:vertAlign w:val="baseline"/>
        </w:rPr>
        <w:t> century and was published in print almost a decade later in 1470. Italian sonnets were syllabic timed and rich in rhyme owing to Italian’s highly inflected nature. Petrarch organised the sonnets in an octave of problem followed by a sestet of resolution, with a ‘volta’ usually at the ninth line or hidden in between the</w:t>
      </w:r>
      <w:r>
        <w:rPr>
          <w:spacing w:val="40"/>
          <w:vertAlign w:val="baseline"/>
        </w:rPr>
        <w:t> </w:t>
      </w:r>
      <w:r>
        <w:rPr>
          <w:vertAlign w:val="baseline"/>
        </w:rPr>
        <w:t>octave</w:t>
      </w:r>
      <w:r>
        <w:rPr>
          <w:spacing w:val="40"/>
          <w:vertAlign w:val="baseline"/>
        </w:rPr>
        <w:t> </w:t>
      </w:r>
      <w:r>
        <w:rPr>
          <w:vertAlign w:val="baseline"/>
        </w:rPr>
        <w:t>and</w:t>
      </w:r>
      <w:r>
        <w:rPr>
          <w:spacing w:val="40"/>
          <w:vertAlign w:val="baseline"/>
        </w:rPr>
        <w:t> </w:t>
      </w:r>
      <w:r>
        <w:rPr>
          <w:vertAlign w:val="baseline"/>
        </w:rPr>
        <w:t>the</w:t>
      </w:r>
      <w:r>
        <w:rPr>
          <w:spacing w:val="40"/>
          <w:vertAlign w:val="baseline"/>
        </w:rPr>
        <w:t> </w:t>
      </w:r>
      <w:r>
        <w:rPr>
          <w:vertAlign w:val="baseline"/>
        </w:rPr>
        <w:t>sestet.</w:t>
      </w:r>
    </w:p>
    <w:p>
      <w:pPr>
        <w:pStyle w:val="BodyText"/>
        <w:spacing w:line="249" w:lineRule="auto" w:before="66"/>
        <w:ind w:right="1440" w:firstLine="432"/>
        <w:jc w:val="both"/>
      </w:pPr>
      <w:r>
        <w:rPr/>
        <w:t>Italian language has abundance of words which are easy and prominently end with vowel sounds, so following tight rhyme scheme with just five different sounds was possible in Italian sonnets. When </w:t>
      </w:r>
      <w:r>
        <w:rPr>
          <w:spacing w:val="-2"/>
        </w:rPr>
        <w:t>sonnets</w:t>
      </w:r>
      <w:r>
        <w:rPr>
          <w:spacing w:val="-11"/>
        </w:rPr>
        <w:t> </w:t>
      </w:r>
      <w:r>
        <w:rPr>
          <w:spacing w:val="-2"/>
        </w:rPr>
        <w:t>reached</w:t>
      </w:r>
      <w:r>
        <w:rPr>
          <w:spacing w:val="-8"/>
        </w:rPr>
        <w:t> </w:t>
      </w:r>
      <w:r>
        <w:rPr>
          <w:spacing w:val="-2"/>
        </w:rPr>
        <w:t>England</w:t>
      </w:r>
      <w:r>
        <w:rPr>
          <w:spacing w:val="-6"/>
        </w:rPr>
        <w:t> </w:t>
      </w:r>
      <w:r>
        <w:rPr>
          <w:spacing w:val="-2"/>
        </w:rPr>
        <w:t>in</w:t>
      </w:r>
      <w:r>
        <w:rPr>
          <w:spacing w:val="-9"/>
        </w:rPr>
        <w:t> </w:t>
      </w:r>
      <w:r>
        <w:rPr>
          <w:spacing w:val="-2"/>
        </w:rPr>
        <w:t>1530s,</w:t>
      </w:r>
      <w:r>
        <w:rPr>
          <w:spacing w:val="-11"/>
        </w:rPr>
        <w:t> </w:t>
      </w:r>
      <w:r>
        <w:rPr>
          <w:spacing w:val="-2"/>
        </w:rPr>
        <w:t>Sir</w:t>
      </w:r>
      <w:r>
        <w:rPr>
          <w:spacing w:val="-8"/>
        </w:rPr>
        <w:t> </w:t>
      </w:r>
      <w:r>
        <w:rPr>
          <w:spacing w:val="-2"/>
        </w:rPr>
        <w:t>Thomas</w:t>
      </w:r>
      <w:r>
        <w:rPr>
          <w:spacing w:val="-11"/>
        </w:rPr>
        <w:t> </w:t>
      </w:r>
      <w:r>
        <w:rPr>
          <w:spacing w:val="-2"/>
        </w:rPr>
        <w:t>Wyatt</w:t>
      </w:r>
      <w:r>
        <w:rPr>
          <w:spacing w:val="-6"/>
        </w:rPr>
        <w:t> </w:t>
      </w:r>
      <w:r>
        <w:rPr>
          <w:spacing w:val="-2"/>
        </w:rPr>
        <w:t>and</w:t>
      </w:r>
      <w:r>
        <w:rPr>
          <w:spacing w:val="-7"/>
        </w:rPr>
        <w:t> </w:t>
      </w:r>
      <w:r>
        <w:rPr>
          <w:spacing w:val="-2"/>
        </w:rPr>
        <w:t>Henry</w:t>
      </w:r>
      <w:r>
        <w:rPr>
          <w:spacing w:val="-11"/>
        </w:rPr>
        <w:t> </w:t>
      </w:r>
      <w:r>
        <w:rPr>
          <w:spacing w:val="-2"/>
        </w:rPr>
        <w:t>Howard, </w:t>
      </w:r>
      <w:r>
        <w:rPr/>
        <w:t>Earl</w:t>
      </w:r>
      <w:r>
        <w:rPr>
          <w:spacing w:val="-9"/>
        </w:rPr>
        <w:t> </w:t>
      </w:r>
      <w:r>
        <w:rPr/>
        <w:t>of</w:t>
      </w:r>
      <w:r>
        <w:rPr>
          <w:spacing w:val="-6"/>
        </w:rPr>
        <w:t> </w:t>
      </w:r>
      <w:r>
        <w:rPr/>
        <w:t>Surrey</w:t>
      </w:r>
      <w:r>
        <w:rPr>
          <w:spacing w:val="-12"/>
        </w:rPr>
        <w:t> </w:t>
      </w:r>
      <w:r>
        <w:rPr/>
        <w:t>tried</w:t>
      </w:r>
      <w:r>
        <w:rPr>
          <w:spacing w:val="-4"/>
        </w:rPr>
        <w:t> </w:t>
      </w:r>
      <w:r>
        <w:rPr/>
        <w:t>their</w:t>
      </w:r>
      <w:r>
        <w:rPr>
          <w:spacing w:val="-6"/>
        </w:rPr>
        <w:t> </w:t>
      </w:r>
      <w:r>
        <w:rPr/>
        <w:t>hand</w:t>
      </w:r>
      <w:r>
        <w:rPr>
          <w:spacing w:val="-4"/>
        </w:rPr>
        <w:t> </w:t>
      </w:r>
      <w:r>
        <w:rPr/>
        <w:t>in</w:t>
      </w:r>
      <w:r>
        <w:rPr>
          <w:spacing w:val="-8"/>
        </w:rPr>
        <w:t> </w:t>
      </w:r>
      <w:r>
        <w:rPr/>
        <w:t>translating</w:t>
      </w:r>
      <w:r>
        <w:rPr>
          <w:spacing w:val="-6"/>
        </w:rPr>
        <w:t> </w:t>
      </w:r>
      <w:r>
        <w:rPr/>
        <w:t>the</w:t>
      </w:r>
      <w:r>
        <w:rPr>
          <w:spacing w:val="-7"/>
        </w:rPr>
        <w:t> </w:t>
      </w:r>
      <w:r>
        <w:rPr/>
        <w:t>Italian</w:t>
      </w:r>
      <w:r>
        <w:rPr>
          <w:spacing w:val="-6"/>
        </w:rPr>
        <w:t> </w:t>
      </w:r>
      <w:r>
        <w:rPr/>
        <w:t>sonnets</w:t>
      </w:r>
      <w:r>
        <w:rPr>
          <w:spacing w:val="-8"/>
        </w:rPr>
        <w:t> </w:t>
      </w:r>
      <w:r>
        <w:rPr/>
        <w:t>of</w:t>
      </w:r>
      <w:r>
        <w:rPr>
          <w:spacing w:val="-6"/>
        </w:rPr>
        <w:t> </w:t>
      </w:r>
      <w:r>
        <w:rPr/>
        <w:t>octave and sestet structure. They even tried to adapt the same structure into </w:t>
      </w:r>
      <w:r>
        <w:rPr>
          <w:spacing w:val="-4"/>
        </w:rPr>
        <w:t>English</w:t>
      </w:r>
      <w:r>
        <w:rPr>
          <w:spacing w:val="-9"/>
        </w:rPr>
        <w:t> </w:t>
      </w:r>
      <w:r>
        <w:rPr>
          <w:spacing w:val="-4"/>
        </w:rPr>
        <w:t>sonnet</w:t>
      </w:r>
      <w:r>
        <w:rPr>
          <w:spacing w:val="-8"/>
        </w:rPr>
        <w:t> </w:t>
      </w:r>
      <w:r>
        <w:rPr>
          <w:spacing w:val="-4"/>
        </w:rPr>
        <w:t>writing.</w:t>
      </w:r>
      <w:r>
        <w:rPr>
          <w:spacing w:val="-9"/>
        </w:rPr>
        <w:t> </w:t>
      </w:r>
      <w:r>
        <w:rPr>
          <w:spacing w:val="-4"/>
        </w:rPr>
        <w:t>However,</w:t>
      </w:r>
      <w:r>
        <w:rPr>
          <w:spacing w:val="-8"/>
        </w:rPr>
        <w:t> </w:t>
      </w:r>
      <w:r>
        <w:rPr>
          <w:spacing w:val="-4"/>
        </w:rPr>
        <w:t>Germanic</w:t>
      </w:r>
      <w:r>
        <w:rPr>
          <w:spacing w:val="-9"/>
        </w:rPr>
        <w:t> </w:t>
      </w:r>
      <w:r>
        <w:rPr>
          <w:spacing w:val="-4"/>
        </w:rPr>
        <w:t>and</w:t>
      </w:r>
      <w:r>
        <w:rPr>
          <w:spacing w:val="-8"/>
        </w:rPr>
        <w:t> </w:t>
      </w:r>
      <w:r>
        <w:rPr>
          <w:spacing w:val="-4"/>
        </w:rPr>
        <w:t>Latin</w:t>
      </w:r>
      <w:r>
        <w:rPr>
          <w:spacing w:val="-9"/>
        </w:rPr>
        <w:t> </w:t>
      </w:r>
      <w:r>
        <w:rPr>
          <w:spacing w:val="-4"/>
        </w:rPr>
        <w:t>endings</w:t>
      </w:r>
      <w:r>
        <w:rPr>
          <w:spacing w:val="-8"/>
        </w:rPr>
        <w:t> </w:t>
      </w:r>
      <w:r>
        <w:rPr>
          <w:spacing w:val="-4"/>
        </w:rPr>
        <w:t>that</w:t>
      </w:r>
      <w:r>
        <w:rPr>
          <w:spacing w:val="-9"/>
        </w:rPr>
        <w:t> </w:t>
      </w:r>
      <w:r>
        <w:rPr>
          <w:spacing w:val="-4"/>
        </w:rPr>
        <w:t>inflexed </w:t>
      </w:r>
      <w:r>
        <w:rPr/>
        <w:t>into English language became an impediment to remain true to Italian sonnet structure, form and style. This led Earl of Surrey to introduce novel structure of sonnet to suit the stress-timed and fewer natural rhyme potentiality of English language. The fourteen lines of English sonnet</w:t>
      </w:r>
      <w:r>
        <w:rPr>
          <w:spacing w:val="10"/>
        </w:rPr>
        <w:t> </w:t>
      </w:r>
      <w:r>
        <w:rPr/>
        <w:t>were</w:t>
      </w:r>
      <w:r>
        <w:rPr>
          <w:spacing w:val="13"/>
        </w:rPr>
        <w:t> </w:t>
      </w:r>
      <w:r>
        <w:rPr/>
        <w:t>structured</w:t>
      </w:r>
      <w:r>
        <w:rPr>
          <w:spacing w:val="11"/>
        </w:rPr>
        <w:t> </w:t>
      </w:r>
      <w:r>
        <w:rPr/>
        <w:t>into</w:t>
      </w:r>
      <w:r>
        <w:rPr>
          <w:spacing w:val="15"/>
        </w:rPr>
        <w:t> </w:t>
      </w:r>
      <w:r>
        <w:rPr/>
        <w:t>three</w:t>
      </w:r>
      <w:r>
        <w:rPr>
          <w:spacing w:val="10"/>
        </w:rPr>
        <w:t> </w:t>
      </w:r>
      <w:r>
        <w:rPr/>
        <w:t>quatrains</w:t>
      </w:r>
      <w:r>
        <w:rPr>
          <w:spacing w:val="11"/>
        </w:rPr>
        <w:t> </w:t>
      </w:r>
      <w:r>
        <w:rPr/>
        <w:t>followed</w:t>
      </w:r>
      <w:r>
        <w:rPr>
          <w:spacing w:val="15"/>
        </w:rPr>
        <w:t> </w:t>
      </w:r>
      <w:r>
        <w:rPr/>
        <w:t>by</w:t>
      </w:r>
      <w:r>
        <w:rPr>
          <w:spacing w:val="7"/>
        </w:rPr>
        <w:t> </w:t>
      </w:r>
      <w:r>
        <w:rPr/>
        <w:t>a</w:t>
      </w:r>
      <w:r>
        <w:rPr>
          <w:spacing w:val="14"/>
        </w:rPr>
        <w:t> </w:t>
      </w:r>
      <w:r>
        <w:rPr/>
        <w:t>couplet.</w:t>
      </w:r>
      <w:r>
        <w:rPr>
          <w:spacing w:val="11"/>
        </w:rPr>
        <w:t> </w:t>
      </w:r>
      <w:r>
        <w:rPr>
          <w:spacing w:val="-5"/>
        </w:rPr>
        <w:t>The</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6057856">
                <wp:simplePos x="0" y="0"/>
                <wp:positionH relativeFrom="page">
                  <wp:posOffset>2065020</wp:posOffset>
                </wp:positionH>
                <wp:positionV relativeFrom="paragraph">
                  <wp:posOffset>795020</wp:posOffset>
                </wp:positionV>
                <wp:extent cx="3657600" cy="12700"/>
                <wp:effectExtent l="0" t="0" r="0" b="0"/>
                <wp:wrapNone/>
                <wp:docPr id="868" name="Graphic 868"/>
                <wp:cNvGraphicFramePr>
                  <a:graphicFrameLocks/>
                </wp:cNvGraphicFramePr>
                <a:graphic>
                  <a:graphicData uri="http://schemas.microsoft.com/office/word/2010/wordprocessingShape">
                    <wps:wsp>
                      <wps:cNvPr id="868" name="Graphic 868"/>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6057856" id="docshape860" filled="true" fillcolor="#000000" stroked="false">
                <v:fill type="solid"/>
                <w10:wrap type="none"/>
              </v:rect>
            </w:pict>
          </mc:Fallback>
        </mc:AlternateContent>
      </w:r>
      <w:r>
        <w:rPr>
          <w:rFonts w:ascii="Verdana"/>
          <w:sz w:val="18"/>
        </w:rPr>
        <w:t>The</w:t>
      </w:r>
      <w:r>
        <w:rPr>
          <w:rFonts w:ascii="Verdana"/>
          <w:spacing w:val="-2"/>
          <w:sz w:val="18"/>
        </w:rPr>
        <w:t> </w:t>
      </w:r>
      <w:r>
        <w:rPr>
          <w:rFonts w:ascii="Verdana"/>
          <w:sz w:val="18"/>
        </w:rPr>
        <w:t>Waste</w:t>
      </w:r>
      <w:r>
        <w:rPr>
          <w:rFonts w:ascii="Verdana"/>
          <w:spacing w:val="-1"/>
          <w:sz w:val="18"/>
        </w:rPr>
        <w:t> </w:t>
      </w:r>
      <w:r>
        <w:rPr>
          <w:rFonts w:ascii="Verdana"/>
          <w:sz w:val="18"/>
        </w:rPr>
        <w:t>of</w:t>
      </w:r>
      <w:r>
        <w:rPr>
          <w:rFonts w:ascii="Verdana"/>
          <w:spacing w:val="-1"/>
          <w:sz w:val="18"/>
        </w:rPr>
        <w:t> </w:t>
      </w:r>
      <w:r>
        <w:rPr>
          <w:rFonts w:ascii="Verdana"/>
          <w:sz w:val="18"/>
        </w:rPr>
        <w:t>Shame:</w:t>
      </w:r>
      <w:r>
        <w:rPr>
          <w:rFonts w:ascii="Verdana"/>
          <w:spacing w:val="-3"/>
          <w:sz w:val="18"/>
        </w:rPr>
        <w:t> </w:t>
      </w:r>
      <w:r>
        <w:rPr>
          <w:rFonts w:ascii="Verdana"/>
          <w:sz w:val="18"/>
        </w:rPr>
        <w:t>From</w:t>
      </w:r>
      <w:r>
        <w:rPr>
          <w:rFonts w:ascii="Verdana"/>
          <w:spacing w:val="-2"/>
          <w:sz w:val="18"/>
        </w:rPr>
        <w:t> </w:t>
      </w:r>
      <w:r>
        <w:rPr>
          <w:rFonts w:ascii="Verdana"/>
          <w:sz w:val="18"/>
        </w:rPr>
        <w:t>Archetypal</w:t>
      </w:r>
      <w:r>
        <w:rPr>
          <w:rFonts w:ascii="Verdana"/>
          <w:spacing w:val="-2"/>
          <w:sz w:val="18"/>
        </w:rPr>
        <w:t> </w:t>
      </w:r>
      <w:r>
        <w:rPr>
          <w:rFonts w:ascii="Verdana"/>
          <w:sz w:val="18"/>
        </w:rPr>
        <w:t>Desire</w:t>
      </w:r>
      <w:r>
        <w:rPr>
          <w:rFonts w:ascii="Verdana"/>
          <w:spacing w:val="-1"/>
          <w:sz w:val="18"/>
        </w:rPr>
        <w:t> </w:t>
      </w:r>
      <w:r>
        <w:rPr>
          <w:rFonts w:ascii="Verdana"/>
          <w:spacing w:val="-4"/>
          <w:sz w:val="18"/>
        </w:rPr>
        <w:t>to...</w:t>
      </w:r>
      <w:r>
        <w:rPr>
          <w:sz w:val="18"/>
        </w:rPr>
        <w:tab/>
      </w:r>
      <w:r>
        <w:rPr>
          <w:rFonts w:ascii="Verdana"/>
          <w:spacing w:val="-5"/>
          <w:sz w:val="18"/>
        </w:rPr>
        <w:t>457</w:t>
      </w:r>
    </w:p>
    <w:p>
      <w:pPr>
        <w:pStyle w:val="BodyText"/>
        <w:spacing w:line="249" w:lineRule="auto" w:before="249"/>
        <w:ind w:right="1436"/>
        <w:jc w:val="both"/>
      </w:pPr>
      <w:r>
        <w:rPr/>
        <w:t>spirit of the Italian sonnet was maintained in the English sonnet in that the problem built up in three quatrains as in octave of Petrarchan</w:t>
      </w:r>
      <w:r>
        <w:rPr>
          <w:spacing w:val="40"/>
        </w:rPr>
        <w:t> </w:t>
      </w:r>
      <w:r>
        <w:rPr/>
        <w:t>sonnet, it was resolved in the final rhyming couplet. What Surrey introduced</w:t>
      </w:r>
      <w:r>
        <w:rPr>
          <w:spacing w:val="28"/>
        </w:rPr>
        <w:t> </w:t>
      </w:r>
      <w:r>
        <w:rPr/>
        <w:t>as</w:t>
      </w:r>
      <w:r>
        <w:rPr>
          <w:spacing w:val="24"/>
        </w:rPr>
        <w:t> </w:t>
      </w:r>
      <w:r>
        <w:rPr/>
        <w:t>English</w:t>
      </w:r>
      <w:r>
        <w:rPr>
          <w:spacing w:val="26"/>
        </w:rPr>
        <w:t> </w:t>
      </w:r>
      <w:r>
        <w:rPr/>
        <w:t>sonnet,</w:t>
      </w:r>
      <w:r>
        <w:rPr>
          <w:spacing w:val="26"/>
        </w:rPr>
        <w:t> </w:t>
      </w:r>
      <w:r>
        <w:rPr/>
        <w:t>incubated</w:t>
      </w:r>
      <w:r>
        <w:rPr>
          <w:spacing w:val="30"/>
        </w:rPr>
        <w:t> </w:t>
      </w:r>
      <w:r>
        <w:rPr/>
        <w:t>and</w:t>
      </w:r>
      <w:r>
        <w:rPr>
          <w:spacing w:val="28"/>
        </w:rPr>
        <w:t> </w:t>
      </w:r>
      <w:r>
        <w:rPr/>
        <w:t>established</w:t>
      </w:r>
      <w:r>
        <w:rPr>
          <w:spacing w:val="26"/>
        </w:rPr>
        <w:t> </w:t>
      </w:r>
      <w:r>
        <w:rPr/>
        <w:t>in</w:t>
      </w:r>
      <w:r>
        <w:rPr>
          <w:spacing w:val="26"/>
        </w:rPr>
        <w:t> </w:t>
      </w:r>
      <w:r>
        <w:rPr/>
        <w:t>the</w:t>
      </w:r>
      <w:r>
        <w:rPr>
          <w:spacing w:val="27"/>
        </w:rPr>
        <w:t> </w:t>
      </w:r>
      <w:r>
        <w:rPr/>
        <w:t>hands of</w:t>
      </w:r>
      <w:r>
        <w:rPr>
          <w:spacing w:val="-1"/>
        </w:rPr>
        <w:t> </w:t>
      </w:r>
      <w:r>
        <w:rPr/>
        <w:t>Shakespeare by</w:t>
      </w:r>
      <w:r>
        <w:rPr>
          <w:spacing w:val="-2"/>
        </w:rPr>
        <w:t> </w:t>
      </w:r>
      <w:r>
        <w:rPr/>
        <w:t>the reason</w:t>
      </w:r>
      <w:r>
        <w:rPr>
          <w:spacing w:val="-1"/>
        </w:rPr>
        <w:t> </w:t>
      </w:r>
      <w:r>
        <w:rPr/>
        <w:t>of which</w:t>
      </w:r>
      <w:r>
        <w:rPr>
          <w:spacing w:val="-1"/>
        </w:rPr>
        <w:t> </w:t>
      </w:r>
      <w:r>
        <w:rPr/>
        <w:t>the English</w:t>
      </w:r>
      <w:r>
        <w:rPr>
          <w:spacing w:val="-1"/>
        </w:rPr>
        <w:t> </w:t>
      </w:r>
      <w:r>
        <w:rPr/>
        <w:t>sonnet form</w:t>
      </w:r>
      <w:r>
        <w:rPr>
          <w:spacing w:val="-1"/>
        </w:rPr>
        <w:t> </w:t>
      </w:r>
      <w:r>
        <w:rPr/>
        <w:t>became better known as Shakespearean sonnet from 16</w:t>
      </w:r>
      <w:r>
        <w:rPr>
          <w:vertAlign w:val="superscript"/>
        </w:rPr>
        <w:t>th</w:t>
      </w:r>
      <w:r>
        <w:rPr>
          <w:vertAlign w:val="baseline"/>
        </w:rPr>
        <w:t> century onwards. Shakespeare’s significant contribution to the English sonnet was not</w:t>
      </w:r>
      <w:r>
        <w:rPr>
          <w:spacing w:val="80"/>
          <w:vertAlign w:val="baseline"/>
        </w:rPr>
        <w:t> </w:t>
      </w:r>
      <w:r>
        <w:rPr>
          <w:vertAlign w:val="baseline"/>
        </w:rPr>
        <w:t>the</w:t>
      </w:r>
      <w:r>
        <w:rPr>
          <w:spacing w:val="-7"/>
          <w:vertAlign w:val="baseline"/>
        </w:rPr>
        <w:t> </w:t>
      </w:r>
      <w:r>
        <w:rPr>
          <w:vertAlign w:val="baseline"/>
        </w:rPr>
        <w:t>form</w:t>
      </w:r>
      <w:r>
        <w:rPr>
          <w:spacing w:val="-9"/>
          <w:vertAlign w:val="baseline"/>
        </w:rPr>
        <w:t> </w:t>
      </w:r>
      <w:r>
        <w:rPr>
          <w:vertAlign w:val="baseline"/>
        </w:rPr>
        <w:t>or</w:t>
      </w:r>
      <w:r>
        <w:rPr>
          <w:spacing w:val="-6"/>
          <w:vertAlign w:val="baseline"/>
        </w:rPr>
        <w:t> </w:t>
      </w:r>
      <w:r>
        <w:rPr>
          <w:vertAlign w:val="baseline"/>
        </w:rPr>
        <w:t>structure</w:t>
      </w:r>
      <w:r>
        <w:rPr>
          <w:spacing w:val="-7"/>
          <w:vertAlign w:val="baseline"/>
        </w:rPr>
        <w:t> </w:t>
      </w:r>
      <w:r>
        <w:rPr>
          <w:vertAlign w:val="baseline"/>
        </w:rPr>
        <w:t>but</w:t>
      </w:r>
      <w:r>
        <w:rPr>
          <w:spacing w:val="-6"/>
          <w:vertAlign w:val="baseline"/>
        </w:rPr>
        <w:t> </w:t>
      </w:r>
      <w:r>
        <w:rPr>
          <w:vertAlign w:val="baseline"/>
        </w:rPr>
        <w:t>the</w:t>
      </w:r>
      <w:r>
        <w:rPr>
          <w:spacing w:val="-8"/>
          <w:vertAlign w:val="baseline"/>
        </w:rPr>
        <w:t> </w:t>
      </w:r>
      <w:r>
        <w:rPr>
          <w:vertAlign w:val="baseline"/>
        </w:rPr>
        <w:t>style,</w:t>
      </w:r>
      <w:r>
        <w:rPr>
          <w:spacing w:val="-8"/>
          <w:vertAlign w:val="baseline"/>
        </w:rPr>
        <w:t> </w:t>
      </w:r>
      <w:r>
        <w:rPr>
          <w:vertAlign w:val="baseline"/>
        </w:rPr>
        <w:t>he</w:t>
      </w:r>
      <w:r>
        <w:rPr>
          <w:spacing w:val="-5"/>
          <w:vertAlign w:val="baseline"/>
        </w:rPr>
        <w:t> </w:t>
      </w:r>
      <w:r>
        <w:rPr>
          <w:vertAlign w:val="baseline"/>
        </w:rPr>
        <w:t>included</w:t>
      </w:r>
      <w:r>
        <w:rPr>
          <w:spacing w:val="-8"/>
          <w:vertAlign w:val="baseline"/>
        </w:rPr>
        <w:t> </w:t>
      </w:r>
      <w:r>
        <w:rPr>
          <w:vertAlign w:val="baseline"/>
        </w:rPr>
        <w:t>a</w:t>
      </w:r>
      <w:r>
        <w:rPr>
          <w:spacing w:val="-7"/>
          <w:vertAlign w:val="baseline"/>
        </w:rPr>
        <w:t> </w:t>
      </w:r>
      <w:r>
        <w:rPr>
          <w:vertAlign w:val="baseline"/>
        </w:rPr>
        <w:t>degree</w:t>
      </w:r>
      <w:r>
        <w:rPr>
          <w:spacing w:val="-6"/>
          <w:vertAlign w:val="baseline"/>
        </w:rPr>
        <w:t> </w:t>
      </w:r>
      <w:r>
        <w:rPr>
          <w:vertAlign w:val="baseline"/>
        </w:rPr>
        <w:t>of</w:t>
      </w:r>
      <w:r>
        <w:rPr>
          <w:spacing w:val="-10"/>
          <w:vertAlign w:val="baseline"/>
        </w:rPr>
        <w:t> </w:t>
      </w:r>
      <w:r>
        <w:rPr>
          <w:vertAlign w:val="baseline"/>
        </w:rPr>
        <w:t>psychological complexity and narrative tension which was absent in the genre before Shakespeare’s</w:t>
      </w:r>
      <w:r>
        <w:rPr>
          <w:spacing w:val="40"/>
          <w:vertAlign w:val="baseline"/>
        </w:rPr>
        <w:t> </w:t>
      </w:r>
      <w:r>
        <w:rPr>
          <w:vertAlign w:val="baseline"/>
        </w:rPr>
        <w:t>times</w:t>
      </w:r>
    </w:p>
    <w:p>
      <w:pPr>
        <w:pStyle w:val="BodyText"/>
        <w:spacing w:line="249" w:lineRule="auto" w:before="65"/>
        <w:ind w:right="1438" w:firstLine="432"/>
        <w:jc w:val="both"/>
      </w:pPr>
      <w:r>
        <w:rPr/>
        <w:t>All of the Sonnets published by Shakespeare were written in English sonnet</w:t>
      </w:r>
      <w:r>
        <w:rPr>
          <w:spacing w:val="-1"/>
        </w:rPr>
        <w:t> </w:t>
      </w:r>
      <w:r>
        <w:rPr/>
        <w:t>form</w:t>
      </w:r>
      <w:r>
        <w:rPr>
          <w:spacing w:val="-1"/>
        </w:rPr>
        <w:t> </w:t>
      </w:r>
      <w:r>
        <w:rPr/>
        <w:t>of 14 lines each</w:t>
      </w:r>
      <w:r>
        <w:rPr>
          <w:spacing w:val="-2"/>
        </w:rPr>
        <w:t> </w:t>
      </w:r>
      <w:r>
        <w:rPr/>
        <w:t>structured into three</w:t>
      </w:r>
      <w:r>
        <w:rPr>
          <w:spacing w:val="-1"/>
        </w:rPr>
        <w:t> </w:t>
      </w:r>
      <w:r>
        <w:rPr/>
        <w:t>quatrains and one</w:t>
      </w:r>
      <w:r>
        <w:rPr>
          <w:spacing w:val="-13"/>
        </w:rPr>
        <w:t> </w:t>
      </w:r>
      <w:r>
        <w:rPr/>
        <w:t>final</w:t>
      </w:r>
      <w:r>
        <w:rPr>
          <w:spacing w:val="-12"/>
        </w:rPr>
        <w:t> </w:t>
      </w:r>
      <w:r>
        <w:rPr/>
        <w:t>rhyming</w:t>
      </w:r>
      <w:r>
        <w:rPr>
          <w:spacing w:val="-13"/>
        </w:rPr>
        <w:t> </w:t>
      </w:r>
      <w:r>
        <w:rPr/>
        <w:t>couplet.</w:t>
      </w:r>
      <w:r>
        <w:rPr>
          <w:spacing w:val="-12"/>
        </w:rPr>
        <w:t> </w:t>
      </w:r>
      <w:r>
        <w:rPr/>
        <w:t>A</w:t>
      </w:r>
      <w:r>
        <w:rPr>
          <w:spacing w:val="-13"/>
        </w:rPr>
        <w:t> </w:t>
      </w:r>
      <w:r>
        <w:rPr/>
        <w:t>rhythmic</w:t>
      </w:r>
      <w:r>
        <w:rPr>
          <w:spacing w:val="-12"/>
        </w:rPr>
        <w:t> </w:t>
      </w:r>
      <w:r>
        <w:rPr/>
        <w:t>pattern</w:t>
      </w:r>
      <w:r>
        <w:rPr>
          <w:spacing w:val="-13"/>
        </w:rPr>
        <w:t> </w:t>
      </w:r>
      <w:r>
        <w:rPr/>
        <w:t>of</w:t>
      </w:r>
      <w:r>
        <w:rPr>
          <w:spacing w:val="-12"/>
        </w:rPr>
        <w:t> </w:t>
      </w:r>
      <w:r>
        <w:rPr/>
        <w:t>iambic</w:t>
      </w:r>
      <w:r>
        <w:rPr>
          <w:spacing w:val="-13"/>
        </w:rPr>
        <w:t> </w:t>
      </w:r>
      <w:r>
        <w:rPr/>
        <w:t>pentameter</w:t>
      </w:r>
      <w:r>
        <w:rPr>
          <w:spacing w:val="-12"/>
        </w:rPr>
        <w:t> </w:t>
      </w:r>
      <w:r>
        <w:rPr/>
        <w:t>gave each</w:t>
      </w:r>
      <w:r>
        <w:rPr>
          <w:spacing w:val="-10"/>
        </w:rPr>
        <w:t> </w:t>
      </w:r>
      <w:r>
        <w:rPr/>
        <w:t>sonnet</w:t>
      </w:r>
      <w:r>
        <w:rPr>
          <w:spacing w:val="-7"/>
        </w:rPr>
        <w:t> </w:t>
      </w:r>
      <w:r>
        <w:rPr/>
        <w:t>the</w:t>
      </w:r>
      <w:r>
        <w:rPr>
          <w:spacing w:val="-9"/>
        </w:rPr>
        <w:t> </w:t>
      </w:r>
      <w:r>
        <w:rPr/>
        <w:t>basic</w:t>
      </w:r>
      <w:r>
        <w:rPr>
          <w:spacing w:val="-6"/>
        </w:rPr>
        <w:t> </w:t>
      </w:r>
      <w:r>
        <w:rPr/>
        <w:t>rhythm</w:t>
      </w:r>
      <w:r>
        <w:rPr>
          <w:spacing w:val="-11"/>
        </w:rPr>
        <w:t> </w:t>
      </w:r>
      <w:r>
        <w:rPr/>
        <w:t>of</w:t>
      </w:r>
      <w:r>
        <w:rPr>
          <w:spacing w:val="-7"/>
        </w:rPr>
        <w:t> </w:t>
      </w:r>
      <w:r>
        <w:rPr/>
        <w:t>da-DUH</w:t>
      </w:r>
      <w:r>
        <w:rPr>
          <w:spacing w:val="-9"/>
        </w:rPr>
        <w:t> </w:t>
      </w:r>
      <w:r>
        <w:rPr/>
        <w:t>da-DUH</w:t>
      </w:r>
      <w:r>
        <w:rPr>
          <w:spacing w:val="-7"/>
        </w:rPr>
        <w:t> </w:t>
      </w:r>
      <w:r>
        <w:rPr/>
        <w:t>da-DUH</w:t>
      </w:r>
      <w:r>
        <w:rPr>
          <w:spacing w:val="-9"/>
        </w:rPr>
        <w:t> </w:t>
      </w:r>
      <w:r>
        <w:rPr/>
        <w:t>da-DUH</w:t>
      </w:r>
      <w:r>
        <w:rPr>
          <w:spacing w:val="-7"/>
        </w:rPr>
        <w:t> </w:t>
      </w:r>
      <w:r>
        <w:rPr/>
        <w:t>da-DUH. The rhyme scheme of the sonnets was</w:t>
      </w:r>
      <w:r>
        <w:rPr>
          <w:spacing w:val="-8"/>
        </w:rPr>
        <w:t> </w:t>
      </w:r>
      <w:r>
        <w:rPr/>
        <w:t>ABAB CDCD EFEF GG. Shakespeare’s sonnets demonstrate linguistic mastery and emotional depth. The distinguishing feature of his Sonnets is that they have the potential of building psychological depth and dramatic tension within tightly</w:t>
      </w:r>
      <w:r>
        <w:rPr>
          <w:spacing w:val="-3"/>
        </w:rPr>
        <w:t> </w:t>
      </w:r>
      <w:r>
        <w:rPr/>
        <w:t>controlled 14</w:t>
      </w:r>
      <w:r>
        <w:rPr>
          <w:spacing w:val="-1"/>
        </w:rPr>
        <w:t> </w:t>
      </w:r>
      <w:r>
        <w:rPr/>
        <w:t>lines.</w:t>
      </w:r>
      <w:r>
        <w:rPr>
          <w:spacing w:val="-1"/>
        </w:rPr>
        <w:t> </w:t>
      </w:r>
      <w:r>
        <w:rPr/>
        <w:t>Shakespeare’s</w:t>
      </w:r>
      <w:r>
        <w:rPr>
          <w:spacing w:val="-1"/>
        </w:rPr>
        <w:t> </w:t>
      </w:r>
      <w:r>
        <w:rPr/>
        <w:t>sonnets</w:t>
      </w:r>
      <w:r>
        <w:rPr>
          <w:spacing w:val="-3"/>
        </w:rPr>
        <w:t> </w:t>
      </w:r>
      <w:r>
        <w:rPr/>
        <w:t>addressed</w:t>
      </w:r>
      <w:r>
        <w:rPr>
          <w:spacing w:val="-3"/>
        </w:rPr>
        <w:t> </w:t>
      </w:r>
      <w:r>
        <w:rPr/>
        <w:t>to the</w:t>
      </w:r>
      <w:r>
        <w:rPr>
          <w:spacing w:val="-1"/>
        </w:rPr>
        <w:t> </w:t>
      </w:r>
      <w:r>
        <w:rPr/>
        <w:t>‘Fair Youth’, are sonnets of admiration of his beauty and need to preserve and</w:t>
      </w:r>
      <w:r>
        <w:rPr>
          <w:spacing w:val="-13"/>
        </w:rPr>
        <w:t> </w:t>
      </w:r>
      <w:r>
        <w:rPr/>
        <w:t>procreate</w:t>
      </w:r>
      <w:r>
        <w:rPr>
          <w:spacing w:val="-11"/>
        </w:rPr>
        <w:t> </w:t>
      </w:r>
      <w:r>
        <w:rPr/>
        <w:t>the</w:t>
      </w:r>
      <w:r>
        <w:rPr>
          <w:spacing w:val="-11"/>
        </w:rPr>
        <w:t> </w:t>
      </w:r>
      <w:r>
        <w:rPr/>
        <w:t>beauty.</w:t>
      </w:r>
      <w:r>
        <w:rPr>
          <w:spacing w:val="-11"/>
        </w:rPr>
        <w:t> </w:t>
      </w:r>
      <w:r>
        <w:rPr/>
        <w:t>He</w:t>
      </w:r>
      <w:r>
        <w:rPr>
          <w:spacing w:val="-11"/>
        </w:rPr>
        <w:t> </w:t>
      </w:r>
      <w:r>
        <w:rPr/>
        <w:t>emphasizes</w:t>
      </w:r>
      <w:r>
        <w:rPr>
          <w:spacing w:val="-13"/>
        </w:rPr>
        <w:t> </w:t>
      </w:r>
      <w:r>
        <w:rPr/>
        <w:t>immortality</w:t>
      </w:r>
      <w:r>
        <w:rPr>
          <w:spacing w:val="-12"/>
        </w:rPr>
        <w:t> </w:t>
      </w:r>
      <w:r>
        <w:rPr/>
        <w:t>through</w:t>
      </w:r>
      <w:r>
        <w:rPr>
          <w:spacing w:val="-13"/>
        </w:rPr>
        <w:t> </w:t>
      </w:r>
      <w:r>
        <w:rPr/>
        <w:t>his</w:t>
      </w:r>
      <w:r>
        <w:rPr>
          <w:spacing w:val="-11"/>
        </w:rPr>
        <w:t> </w:t>
      </w:r>
      <w:r>
        <w:rPr/>
        <w:t>poetry. As</w:t>
      </w:r>
      <w:r>
        <w:rPr>
          <w:spacing w:val="-10"/>
        </w:rPr>
        <w:t> </w:t>
      </w:r>
      <w:r>
        <w:rPr/>
        <w:t>these</w:t>
      </w:r>
      <w:r>
        <w:rPr>
          <w:spacing w:val="-9"/>
        </w:rPr>
        <w:t> </w:t>
      </w:r>
      <w:r>
        <w:rPr/>
        <w:t>sonnets</w:t>
      </w:r>
      <w:r>
        <w:rPr>
          <w:spacing w:val="-10"/>
        </w:rPr>
        <w:t> </w:t>
      </w:r>
      <w:r>
        <w:rPr/>
        <w:t>deal</w:t>
      </w:r>
      <w:r>
        <w:rPr>
          <w:spacing w:val="-10"/>
        </w:rPr>
        <w:t> </w:t>
      </w:r>
      <w:r>
        <w:rPr/>
        <w:t>with</w:t>
      </w:r>
      <w:r>
        <w:rPr>
          <w:spacing w:val="-10"/>
        </w:rPr>
        <w:t> </w:t>
      </w:r>
      <w:r>
        <w:rPr/>
        <w:t>time,</w:t>
      </w:r>
      <w:r>
        <w:rPr>
          <w:spacing w:val="-8"/>
        </w:rPr>
        <w:t> </w:t>
      </w:r>
      <w:r>
        <w:rPr/>
        <w:t>decay,</w:t>
      </w:r>
      <w:r>
        <w:rPr>
          <w:spacing w:val="-8"/>
        </w:rPr>
        <w:t> </w:t>
      </w:r>
      <w:r>
        <w:rPr/>
        <w:t>admiration</w:t>
      </w:r>
      <w:r>
        <w:rPr>
          <w:spacing w:val="-10"/>
        </w:rPr>
        <w:t> </w:t>
      </w:r>
      <w:r>
        <w:rPr/>
        <w:t>and</w:t>
      </w:r>
      <w:r>
        <w:rPr>
          <w:spacing w:val="-8"/>
        </w:rPr>
        <w:t> </w:t>
      </w:r>
      <w:r>
        <w:rPr/>
        <w:t>rivalry,</w:t>
      </w:r>
      <w:r>
        <w:rPr>
          <w:spacing w:val="-8"/>
        </w:rPr>
        <w:t> </w:t>
      </w:r>
      <w:r>
        <w:rPr/>
        <w:t>they</w:t>
      </w:r>
      <w:r>
        <w:rPr>
          <w:spacing w:val="-12"/>
        </w:rPr>
        <w:t> </w:t>
      </w:r>
      <w:r>
        <w:rPr/>
        <w:t>read as idealistic and philosophical in tone. Sonnets 127 to 152 addressed to the</w:t>
      </w:r>
      <w:r>
        <w:rPr>
          <w:spacing w:val="-1"/>
        </w:rPr>
        <w:t> </w:t>
      </w:r>
      <w:r>
        <w:rPr/>
        <w:t>mysterious</w:t>
      </w:r>
      <w:r>
        <w:rPr>
          <w:spacing w:val="-2"/>
        </w:rPr>
        <w:t> </w:t>
      </w:r>
      <w:r>
        <w:rPr/>
        <w:t>‘Dark</w:t>
      </w:r>
      <w:r>
        <w:rPr>
          <w:spacing w:val="-4"/>
        </w:rPr>
        <w:t> </w:t>
      </w:r>
      <w:r>
        <w:rPr/>
        <w:t>Lady’</w:t>
      </w:r>
      <w:r>
        <w:rPr>
          <w:spacing w:val="-4"/>
        </w:rPr>
        <w:t> </w:t>
      </w:r>
      <w:r>
        <w:rPr/>
        <w:t>are</w:t>
      </w:r>
      <w:r>
        <w:rPr>
          <w:spacing w:val="-3"/>
        </w:rPr>
        <w:t> </w:t>
      </w:r>
      <w:r>
        <w:rPr/>
        <w:t>centred around themes</w:t>
      </w:r>
      <w:r>
        <w:rPr>
          <w:spacing w:val="-4"/>
        </w:rPr>
        <w:t> </w:t>
      </w:r>
      <w:r>
        <w:rPr/>
        <w:t>like, desire,</w:t>
      </w:r>
      <w:r>
        <w:rPr>
          <w:spacing w:val="-2"/>
        </w:rPr>
        <w:t> </w:t>
      </w:r>
      <w:r>
        <w:rPr/>
        <w:t>lust, jealousy,</w:t>
      </w:r>
      <w:r>
        <w:rPr>
          <w:spacing w:val="-4"/>
        </w:rPr>
        <w:t> </w:t>
      </w:r>
      <w:r>
        <w:rPr/>
        <w:t>betrayal,</w:t>
      </w:r>
      <w:r>
        <w:rPr>
          <w:spacing w:val="-4"/>
        </w:rPr>
        <w:t> </w:t>
      </w:r>
      <w:r>
        <w:rPr/>
        <w:t>moral</w:t>
      </w:r>
      <w:r>
        <w:rPr>
          <w:spacing w:val="-7"/>
        </w:rPr>
        <w:t> </w:t>
      </w:r>
      <w:r>
        <w:rPr/>
        <w:t>conflict</w:t>
      </w:r>
      <w:r>
        <w:rPr>
          <w:spacing w:val="-6"/>
        </w:rPr>
        <w:t> </w:t>
      </w:r>
      <w:r>
        <w:rPr/>
        <w:t>and</w:t>
      </w:r>
      <w:r>
        <w:rPr>
          <w:spacing w:val="-4"/>
        </w:rPr>
        <w:t> </w:t>
      </w:r>
      <w:r>
        <w:rPr/>
        <w:t>imperfection</w:t>
      </w:r>
      <w:r>
        <w:rPr>
          <w:spacing w:val="-6"/>
        </w:rPr>
        <w:t> </w:t>
      </w:r>
      <w:r>
        <w:rPr/>
        <w:t>in</w:t>
      </w:r>
      <w:r>
        <w:rPr>
          <w:spacing w:val="-7"/>
        </w:rPr>
        <w:t> </w:t>
      </w:r>
      <w:r>
        <w:rPr/>
        <w:t>love.</w:t>
      </w:r>
      <w:r>
        <w:rPr>
          <w:spacing w:val="-4"/>
        </w:rPr>
        <w:t> </w:t>
      </w:r>
      <w:r>
        <w:rPr/>
        <w:t>Such</w:t>
      </w:r>
      <w:r>
        <w:rPr>
          <w:spacing w:val="-6"/>
        </w:rPr>
        <w:t> </w:t>
      </w:r>
      <w:r>
        <w:rPr/>
        <w:t>themes make</w:t>
      </w:r>
      <w:r>
        <w:rPr>
          <w:spacing w:val="-2"/>
        </w:rPr>
        <w:t> </w:t>
      </w:r>
      <w:r>
        <w:rPr/>
        <w:t>the</w:t>
      </w:r>
      <w:r>
        <w:rPr>
          <w:spacing w:val="-4"/>
        </w:rPr>
        <w:t> </w:t>
      </w:r>
      <w:r>
        <w:rPr/>
        <w:t>Sonnets</w:t>
      </w:r>
      <w:r>
        <w:rPr>
          <w:spacing w:val="-4"/>
        </w:rPr>
        <w:t> </w:t>
      </w:r>
      <w:r>
        <w:rPr/>
        <w:t>more</w:t>
      </w:r>
      <w:r>
        <w:rPr>
          <w:spacing w:val="-6"/>
        </w:rPr>
        <w:t> </w:t>
      </w:r>
      <w:r>
        <w:rPr/>
        <w:t>realistic,</w:t>
      </w:r>
      <w:r>
        <w:rPr>
          <w:spacing w:val="-2"/>
        </w:rPr>
        <w:t> </w:t>
      </w:r>
      <w:r>
        <w:rPr/>
        <w:t>ironic</w:t>
      </w:r>
      <w:r>
        <w:rPr>
          <w:spacing w:val="-6"/>
        </w:rPr>
        <w:t> </w:t>
      </w:r>
      <w:r>
        <w:rPr/>
        <w:t>and</w:t>
      </w:r>
      <w:r>
        <w:rPr>
          <w:spacing w:val="-2"/>
        </w:rPr>
        <w:t> </w:t>
      </w:r>
      <w:r>
        <w:rPr/>
        <w:t>bitter.</w:t>
      </w:r>
      <w:r>
        <w:rPr>
          <w:spacing w:val="-8"/>
        </w:rPr>
        <w:t> </w:t>
      </w:r>
      <w:r>
        <w:rPr/>
        <w:t>The</w:t>
      </w:r>
      <w:r>
        <w:rPr>
          <w:spacing w:val="-2"/>
        </w:rPr>
        <w:t> </w:t>
      </w:r>
      <w:r>
        <w:rPr/>
        <w:t>final</w:t>
      </w:r>
      <w:r>
        <w:rPr>
          <w:spacing w:val="-6"/>
        </w:rPr>
        <w:t> </w:t>
      </w:r>
      <w:r>
        <w:rPr/>
        <w:t>two</w:t>
      </w:r>
      <w:r>
        <w:rPr>
          <w:spacing w:val="-1"/>
        </w:rPr>
        <w:t> </w:t>
      </w:r>
      <w:r>
        <w:rPr/>
        <w:t>sonnets are based on classical mythology and not addressed to anyone in particular. They express love as a destructive force, express the futility of curing love. These two Sonnets are allegorical and symbolical in nature and tone. The existing scholarship on Shakespeare’s Sonnets</w:t>
      </w:r>
      <w:r>
        <w:rPr>
          <w:spacing w:val="80"/>
        </w:rPr>
        <w:t> </w:t>
      </w:r>
      <w:r>
        <w:rPr/>
        <w:t>has studied them exhaustively on the classification and explored their themes. The critical</w:t>
      </w:r>
      <w:r>
        <w:rPr>
          <w:spacing w:val="-1"/>
        </w:rPr>
        <w:t> </w:t>
      </w:r>
      <w:r>
        <w:rPr/>
        <w:t>attention however has largely</w:t>
      </w:r>
      <w:r>
        <w:rPr>
          <w:spacing w:val="-4"/>
        </w:rPr>
        <w:t> </w:t>
      </w:r>
      <w:r>
        <w:rPr/>
        <w:t>remained focused on moral reflection and universality of their dimensions which are evident in the periphery. But these studies have overlooked the question of accountability,</w:t>
      </w:r>
      <w:r>
        <w:rPr>
          <w:spacing w:val="-7"/>
        </w:rPr>
        <w:t> </w:t>
      </w:r>
      <w:r>
        <w:rPr/>
        <w:t>gender</w:t>
      </w:r>
      <w:r>
        <w:rPr>
          <w:spacing w:val="-5"/>
        </w:rPr>
        <w:t> </w:t>
      </w:r>
      <w:r>
        <w:rPr/>
        <w:t>and</w:t>
      </w:r>
      <w:r>
        <w:rPr>
          <w:spacing w:val="-7"/>
        </w:rPr>
        <w:t> </w:t>
      </w:r>
      <w:r>
        <w:rPr/>
        <w:t>power</w:t>
      </w:r>
      <w:r>
        <w:rPr>
          <w:spacing w:val="-7"/>
        </w:rPr>
        <w:t> </w:t>
      </w:r>
      <w:r>
        <w:rPr/>
        <w:t>dynamics.</w:t>
      </w:r>
      <w:r>
        <w:rPr>
          <w:spacing w:val="-8"/>
        </w:rPr>
        <w:t> </w:t>
      </w:r>
      <w:r>
        <w:rPr/>
        <w:t>It</w:t>
      </w:r>
      <w:r>
        <w:rPr>
          <w:spacing w:val="-5"/>
        </w:rPr>
        <w:t> </w:t>
      </w:r>
      <w:r>
        <w:rPr/>
        <w:t>is</w:t>
      </w:r>
      <w:r>
        <w:rPr>
          <w:spacing w:val="-8"/>
        </w:rPr>
        <w:t> </w:t>
      </w:r>
      <w:r>
        <w:rPr/>
        <w:t>this</w:t>
      </w:r>
      <w:r>
        <w:rPr>
          <w:spacing w:val="-8"/>
        </w:rPr>
        <w:t> </w:t>
      </w:r>
      <w:r>
        <w:rPr/>
        <w:t>lapse</w:t>
      </w:r>
      <w:r>
        <w:rPr>
          <w:spacing w:val="-7"/>
        </w:rPr>
        <w:t> </w:t>
      </w:r>
      <w:r>
        <w:rPr/>
        <w:t>in</w:t>
      </w:r>
      <w:r>
        <w:rPr>
          <w:spacing w:val="-7"/>
        </w:rPr>
        <w:t> </w:t>
      </w:r>
      <w:r>
        <w:rPr/>
        <w:t>the</w:t>
      </w:r>
      <w:r>
        <w:rPr>
          <w:spacing w:val="-8"/>
        </w:rPr>
        <w:t> </w:t>
      </w:r>
      <w:r>
        <w:rPr/>
        <w:t>critical appreciation of the sonnets that this paper intervenes and argues that sonnets</w:t>
      </w:r>
      <w:r>
        <w:rPr>
          <w:spacing w:val="-5"/>
        </w:rPr>
        <w:t> </w:t>
      </w:r>
      <w:r>
        <w:rPr/>
        <w:t>require</w:t>
      </w:r>
      <w:r>
        <w:rPr>
          <w:spacing w:val="-2"/>
        </w:rPr>
        <w:t> </w:t>
      </w:r>
      <w:r>
        <w:rPr/>
        <w:t>renewed</w:t>
      </w:r>
      <w:r>
        <w:rPr>
          <w:spacing w:val="-3"/>
        </w:rPr>
        <w:t> </w:t>
      </w:r>
      <w:r>
        <w:rPr/>
        <w:t>examination</w:t>
      </w:r>
      <w:r>
        <w:rPr>
          <w:spacing w:val="-2"/>
        </w:rPr>
        <w:t> </w:t>
      </w:r>
      <w:r>
        <w:rPr/>
        <w:t>under</w:t>
      </w:r>
      <w:r>
        <w:rPr>
          <w:spacing w:val="-2"/>
        </w:rPr>
        <w:t> </w:t>
      </w:r>
      <w:r>
        <w:rPr/>
        <w:t>layered critical</w:t>
      </w:r>
      <w:r>
        <w:rPr>
          <w:spacing w:val="-4"/>
        </w:rPr>
        <w:t> </w:t>
      </w:r>
      <w:r>
        <w:rPr/>
        <w:t>frameworks to address the issues of accountability, gender and power. Sonnet 129</w:t>
      </w:r>
      <w:r>
        <w:rPr>
          <w:spacing w:val="80"/>
        </w:rPr>
        <w:t> </w:t>
      </w:r>
      <w:r>
        <w:rPr/>
        <w:t>is taken as a focal text for study</w:t>
      </w:r>
      <w:r>
        <w:rPr>
          <w:spacing w:val="-1"/>
        </w:rPr>
        <w:t> </w:t>
      </w:r>
      <w:r>
        <w:rPr/>
        <w:t>in this paper, but the integrated critical framework</w:t>
      </w:r>
      <w:r>
        <w:rPr>
          <w:spacing w:val="19"/>
        </w:rPr>
        <w:t> </w:t>
      </w:r>
      <w:r>
        <w:rPr/>
        <w:t>developed</w:t>
      </w:r>
      <w:r>
        <w:rPr>
          <w:spacing w:val="26"/>
        </w:rPr>
        <w:t> </w:t>
      </w:r>
      <w:r>
        <w:rPr/>
        <w:t>in</w:t>
      </w:r>
      <w:r>
        <w:rPr>
          <w:spacing w:val="20"/>
        </w:rPr>
        <w:t> </w:t>
      </w:r>
      <w:r>
        <w:rPr/>
        <w:t>this</w:t>
      </w:r>
      <w:r>
        <w:rPr>
          <w:spacing w:val="21"/>
        </w:rPr>
        <w:t> </w:t>
      </w:r>
      <w:r>
        <w:rPr/>
        <w:t>study</w:t>
      </w:r>
      <w:r>
        <w:rPr>
          <w:spacing w:val="18"/>
        </w:rPr>
        <w:t> </w:t>
      </w:r>
      <w:r>
        <w:rPr/>
        <w:t>is</w:t>
      </w:r>
      <w:r>
        <w:rPr>
          <w:spacing w:val="24"/>
        </w:rPr>
        <w:t> </w:t>
      </w:r>
      <w:r>
        <w:rPr/>
        <w:t>applicable</w:t>
      </w:r>
      <w:r>
        <w:rPr>
          <w:spacing w:val="23"/>
        </w:rPr>
        <w:t> </w:t>
      </w:r>
      <w:r>
        <w:rPr/>
        <w:t>and</w:t>
      </w:r>
      <w:r>
        <w:rPr>
          <w:spacing w:val="23"/>
        </w:rPr>
        <w:t> </w:t>
      </w:r>
      <w:r>
        <w:rPr/>
        <w:t>can</w:t>
      </w:r>
      <w:r>
        <w:rPr>
          <w:spacing w:val="22"/>
        </w:rPr>
        <w:t> </w:t>
      </w:r>
      <w:r>
        <w:rPr/>
        <w:t>be</w:t>
      </w:r>
      <w:r>
        <w:rPr>
          <w:spacing w:val="21"/>
        </w:rPr>
        <w:t> </w:t>
      </w:r>
      <w:r>
        <w:rPr>
          <w:spacing w:val="-2"/>
        </w:rPr>
        <w:t>extended</w:t>
      </w:r>
    </w:p>
    <w:p>
      <w:pPr>
        <w:pStyle w:val="BodyText"/>
        <w:spacing w:after="0" w:line="249" w:lineRule="auto"/>
        <w:jc w:val="both"/>
        <w:sectPr>
          <w:pgSz w:w="12240" w:h="15840"/>
          <w:pgMar w:top="1820" w:bottom="280" w:left="1800" w:right="1800"/>
        </w:sectPr>
      </w:pPr>
    </w:p>
    <w:p>
      <w:pPr>
        <w:tabs>
          <w:tab w:pos="4319" w:val="lef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7568">
                <wp:simplePos x="0" y="0"/>
                <wp:positionH relativeFrom="page">
                  <wp:posOffset>2057400</wp:posOffset>
                </wp:positionH>
                <wp:positionV relativeFrom="paragraph">
                  <wp:posOffset>795020</wp:posOffset>
                </wp:positionV>
                <wp:extent cx="3657600" cy="12700"/>
                <wp:effectExtent l="0" t="0" r="0" b="0"/>
                <wp:wrapTopAndBottom/>
                <wp:docPr id="869" name="Graphic 869"/>
                <wp:cNvGraphicFramePr>
                  <a:graphicFrameLocks/>
                </wp:cNvGraphicFramePr>
                <a:graphic>
                  <a:graphicData uri="http://schemas.microsoft.com/office/word/2010/wordprocessingShape">
                    <wps:wsp>
                      <wps:cNvPr id="869" name="Graphic 869"/>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62.600006pt;width:288.000009pt;height:.959999pt;mso-position-horizontal-relative:page;mso-position-vertical-relative:paragraph;z-index:-15398912;mso-wrap-distance-left:0;mso-wrap-distance-right:0" id="docshape861" filled="true" fillcolor="#000000" stroked="false">
                <v:fill type="solid"/>
                <w10:wrap type="topAndBottom"/>
              </v:rect>
            </w:pict>
          </mc:Fallback>
        </mc:AlternateContent>
      </w:r>
      <w:r>
        <w:rPr>
          <w:rFonts w:ascii="Verdana"/>
          <w:spacing w:val="-5"/>
          <w:sz w:val="18"/>
        </w:rPr>
        <w:t>458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jc w:val="both"/>
      </w:pPr>
      <w:r>
        <w:rPr/>
        <w:t>to other Sonnets as well. This paper thereby</w:t>
      </w:r>
      <w:r>
        <w:rPr>
          <w:spacing w:val="-2"/>
        </w:rPr>
        <w:t> </w:t>
      </w:r>
      <w:r>
        <w:rPr/>
        <w:t>paves way for wider scope for re-evaluation of Shakesperean Sonnets in the treatment of accountability, gender and power.</w:t>
      </w:r>
      <w:r>
        <w:rPr>
          <w:spacing w:val="40"/>
        </w:rPr>
        <w:t> </w:t>
      </w:r>
      <w:r>
        <w:rPr/>
        <w:t>Under the critical framework of archetypal</w:t>
      </w:r>
      <w:r>
        <w:rPr>
          <w:spacing w:val="-2"/>
        </w:rPr>
        <w:t> </w:t>
      </w:r>
      <w:r>
        <w:rPr/>
        <w:t>cycle</w:t>
      </w:r>
      <w:r>
        <w:rPr>
          <w:spacing w:val="-2"/>
        </w:rPr>
        <w:t> </w:t>
      </w:r>
      <w:r>
        <w:rPr/>
        <w:t>of</w:t>
      </w:r>
      <w:r>
        <w:rPr>
          <w:spacing w:val="-3"/>
        </w:rPr>
        <w:t> </w:t>
      </w:r>
      <w:r>
        <w:rPr/>
        <w:t>desire</w:t>
      </w:r>
      <w:r>
        <w:rPr>
          <w:spacing w:val="-3"/>
        </w:rPr>
        <w:t> </w:t>
      </w:r>
      <w:r>
        <w:rPr/>
        <w:t>and</w:t>
      </w:r>
      <w:r>
        <w:rPr>
          <w:spacing w:val="-2"/>
        </w:rPr>
        <w:t> </w:t>
      </w:r>
      <w:r>
        <w:rPr/>
        <w:t>shame, a</w:t>
      </w:r>
      <w:r>
        <w:rPr>
          <w:spacing w:val="-1"/>
        </w:rPr>
        <w:t> </w:t>
      </w:r>
      <w:r>
        <w:rPr/>
        <w:t>discourse</w:t>
      </w:r>
      <w:r>
        <w:rPr>
          <w:spacing w:val="-2"/>
        </w:rPr>
        <w:t> </w:t>
      </w:r>
      <w:r>
        <w:rPr/>
        <w:t>analysis</w:t>
      </w:r>
      <w:r>
        <w:rPr>
          <w:spacing w:val="-3"/>
        </w:rPr>
        <w:t> </w:t>
      </w:r>
      <w:r>
        <w:rPr/>
        <w:t>that</w:t>
      </w:r>
      <w:r>
        <w:rPr>
          <w:spacing w:val="-3"/>
        </w:rPr>
        <w:t> </w:t>
      </w:r>
      <w:r>
        <w:rPr/>
        <w:t>obscures the agency and ethical framework of contemporary #MeToo standards, Sonnet 129 is re-evaluated.</w:t>
      </w:r>
    </w:p>
    <w:p>
      <w:pPr>
        <w:pStyle w:val="BodyText"/>
        <w:spacing w:line="249" w:lineRule="auto" w:before="63"/>
        <w:ind w:right="1438" w:firstLine="432"/>
        <w:jc w:val="both"/>
      </w:pPr>
      <w:r>
        <w:rPr/>
        <w:t>The critical attention gained by the Sonnets identify archetypal approaches in the sonnets and see patterns closely related to classical narratives</w:t>
      </w:r>
      <w:r>
        <w:rPr>
          <w:spacing w:val="-3"/>
        </w:rPr>
        <w:t> </w:t>
      </w:r>
      <w:r>
        <w:rPr/>
        <w:t>like</w:t>
      </w:r>
      <w:r>
        <w:rPr>
          <w:spacing w:val="-3"/>
        </w:rPr>
        <w:t> </w:t>
      </w:r>
      <w:r>
        <w:rPr/>
        <w:t>Daphne-Apollo</w:t>
      </w:r>
      <w:r>
        <w:rPr>
          <w:spacing w:val="-1"/>
        </w:rPr>
        <w:t> </w:t>
      </w:r>
      <w:r>
        <w:rPr/>
        <w:t>myth.</w:t>
      </w:r>
      <w:r>
        <w:rPr>
          <w:spacing w:val="-5"/>
        </w:rPr>
        <w:t> </w:t>
      </w:r>
      <w:r>
        <w:rPr/>
        <w:t>Critics</w:t>
      </w:r>
      <w:r>
        <w:rPr>
          <w:spacing w:val="-3"/>
        </w:rPr>
        <w:t> </w:t>
      </w:r>
      <w:r>
        <w:rPr/>
        <w:t>have</w:t>
      </w:r>
      <w:r>
        <w:rPr>
          <w:spacing w:val="-2"/>
        </w:rPr>
        <w:t> </w:t>
      </w:r>
      <w:r>
        <w:rPr/>
        <w:t>aligned</w:t>
      </w:r>
      <w:r>
        <w:rPr>
          <w:spacing w:val="-1"/>
        </w:rPr>
        <w:t> </w:t>
      </w:r>
      <w:r>
        <w:rPr/>
        <w:t>their</w:t>
      </w:r>
      <w:r>
        <w:rPr>
          <w:spacing w:val="-1"/>
        </w:rPr>
        <w:t> </w:t>
      </w:r>
      <w:r>
        <w:rPr/>
        <w:t>readings with</w:t>
      </w:r>
      <w:r>
        <w:rPr>
          <w:spacing w:val="18"/>
        </w:rPr>
        <w:t> </w:t>
      </w:r>
      <w:r>
        <w:rPr/>
        <w:t>broader</w:t>
      </w:r>
      <w:r>
        <w:rPr>
          <w:spacing w:val="19"/>
        </w:rPr>
        <w:t> </w:t>
      </w:r>
      <w:r>
        <w:rPr/>
        <w:t>archetypal</w:t>
      </w:r>
      <w:r>
        <w:rPr>
          <w:spacing w:val="17"/>
        </w:rPr>
        <w:t> </w:t>
      </w:r>
      <w:r>
        <w:rPr/>
        <w:t>notions</w:t>
      </w:r>
      <w:r>
        <w:rPr>
          <w:spacing w:val="18"/>
        </w:rPr>
        <w:t> </w:t>
      </w:r>
      <w:r>
        <w:rPr/>
        <w:t>of</w:t>
      </w:r>
      <w:r>
        <w:rPr>
          <w:spacing w:val="18"/>
        </w:rPr>
        <w:t> </w:t>
      </w:r>
      <w:r>
        <w:rPr/>
        <w:t>pattern</w:t>
      </w:r>
      <w:r>
        <w:rPr>
          <w:spacing w:val="18"/>
        </w:rPr>
        <w:t> </w:t>
      </w:r>
      <w:r>
        <w:rPr/>
        <w:t>of Desire-Lust</w:t>
      </w:r>
      <w:r>
        <w:rPr>
          <w:spacing w:val="18"/>
        </w:rPr>
        <w:t> </w:t>
      </w:r>
      <w:r>
        <w:rPr/>
        <w:t>and</w:t>
      </w:r>
      <w:r>
        <w:rPr>
          <w:spacing w:val="22"/>
        </w:rPr>
        <w:t> </w:t>
      </w:r>
      <w:r>
        <w:rPr/>
        <w:t>Shame, a</w:t>
      </w:r>
      <w:r>
        <w:rPr>
          <w:spacing w:val="-6"/>
        </w:rPr>
        <w:t> </w:t>
      </w:r>
      <w:r>
        <w:rPr/>
        <w:t>vicious</w:t>
      </w:r>
      <w:r>
        <w:rPr>
          <w:spacing w:val="-5"/>
        </w:rPr>
        <w:t> </w:t>
      </w:r>
      <w:r>
        <w:rPr/>
        <w:t>cycle</w:t>
      </w:r>
      <w:r>
        <w:rPr>
          <w:spacing w:val="-6"/>
        </w:rPr>
        <w:t> </w:t>
      </w:r>
      <w:r>
        <w:rPr/>
        <w:t>that</w:t>
      </w:r>
      <w:r>
        <w:rPr>
          <w:spacing w:val="-5"/>
        </w:rPr>
        <w:t> </w:t>
      </w:r>
      <w:r>
        <w:rPr/>
        <w:t>is</w:t>
      </w:r>
      <w:r>
        <w:rPr>
          <w:spacing w:val="-7"/>
        </w:rPr>
        <w:t> </w:t>
      </w:r>
      <w:r>
        <w:rPr/>
        <w:t>repetitive</w:t>
      </w:r>
      <w:r>
        <w:rPr>
          <w:spacing w:val="-6"/>
        </w:rPr>
        <w:t> </w:t>
      </w:r>
      <w:r>
        <w:rPr/>
        <w:t>and</w:t>
      </w:r>
      <w:r>
        <w:rPr>
          <w:spacing w:val="-2"/>
        </w:rPr>
        <w:t> </w:t>
      </w:r>
      <w:r>
        <w:rPr/>
        <w:t>universal.</w:t>
      </w:r>
      <w:r>
        <w:rPr>
          <w:spacing w:val="-5"/>
        </w:rPr>
        <w:t> </w:t>
      </w:r>
      <w:r>
        <w:rPr/>
        <w:t>Lust</w:t>
      </w:r>
      <w:r>
        <w:rPr>
          <w:spacing w:val="-5"/>
        </w:rPr>
        <w:t> </w:t>
      </w:r>
      <w:r>
        <w:rPr/>
        <w:t>is</w:t>
      </w:r>
      <w:r>
        <w:rPr>
          <w:spacing w:val="-7"/>
        </w:rPr>
        <w:t> </w:t>
      </w:r>
      <w:r>
        <w:rPr/>
        <w:t>framed</w:t>
      </w:r>
      <w:r>
        <w:rPr>
          <w:spacing w:val="-3"/>
        </w:rPr>
        <w:t> </w:t>
      </w:r>
      <w:r>
        <w:rPr/>
        <w:t>as</w:t>
      </w:r>
      <w:r>
        <w:rPr>
          <w:spacing w:val="-7"/>
        </w:rPr>
        <w:t> </w:t>
      </w:r>
      <w:r>
        <w:rPr/>
        <w:t>‘Divine inclination’ that culminates into ‘shameful’ act after the deed. It is </w:t>
      </w:r>
      <w:r>
        <w:rPr>
          <w:spacing w:val="-4"/>
        </w:rPr>
        <w:t>reflective</w:t>
      </w:r>
      <w:r>
        <w:rPr>
          <w:spacing w:val="-9"/>
        </w:rPr>
        <w:t> </w:t>
      </w:r>
      <w:r>
        <w:rPr>
          <w:spacing w:val="-4"/>
        </w:rPr>
        <w:t>of</w:t>
      </w:r>
      <w:r>
        <w:rPr>
          <w:spacing w:val="-8"/>
        </w:rPr>
        <w:t> </w:t>
      </w:r>
      <w:r>
        <w:rPr>
          <w:spacing w:val="-4"/>
        </w:rPr>
        <w:t>Adam</w:t>
      </w:r>
      <w:r>
        <w:rPr>
          <w:spacing w:val="-9"/>
        </w:rPr>
        <w:t> </w:t>
      </w:r>
      <w:r>
        <w:rPr>
          <w:spacing w:val="-4"/>
        </w:rPr>
        <w:t>and</w:t>
      </w:r>
      <w:r>
        <w:rPr>
          <w:spacing w:val="-5"/>
        </w:rPr>
        <w:t> </w:t>
      </w:r>
      <w:r>
        <w:rPr>
          <w:spacing w:val="-4"/>
        </w:rPr>
        <w:t>Eve, and</w:t>
      </w:r>
      <w:r>
        <w:rPr>
          <w:spacing w:val="-6"/>
        </w:rPr>
        <w:t> </w:t>
      </w:r>
      <w:r>
        <w:rPr>
          <w:spacing w:val="-4"/>
        </w:rPr>
        <w:t>The Fall archetype of</w:t>
      </w:r>
      <w:r>
        <w:rPr>
          <w:spacing w:val="-9"/>
        </w:rPr>
        <w:t> </w:t>
      </w:r>
      <w:r>
        <w:rPr>
          <w:spacing w:val="-4"/>
        </w:rPr>
        <w:t>The Bible (Salameh </w:t>
      </w:r>
      <w:r>
        <w:rPr/>
        <w:t>et al. 212). The Feminist reading of the sonnet by the critics described the</w:t>
      </w:r>
      <w:r>
        <w:rPr>
          <w:spacing w:val="-3"/>
        </w:rPr>
        <w:t> </w:t>
      </w:r>
      <w:r>
        <w:rPr/>
        <w:t>form</w:t>
      </w:r>
      <w:r>
        <w:rPr>
          <w:spacing w:val="-5"/>
        </w:rPr>
        <w:t> </w:t>
      </w:r>
      <w:r>
        <w:rPr/>
        <w:t>as</w:t>
      </w:r>
      <w:r>
        <w:rPr>
          <w:spacing w:val="-6"/>
        </w:rPr>
        <w:t> </w:t>
      </w:r>
      <w:r>
        <w:rPr/>
        <w:t>a</w:t>
      </w:r>
      <w:r>
        <w:rPr>
          <w:spacing w:val="-5"/>
        </w:rPr>
        <w:t> </w:t>
      </w:r>
      <w:r>
        <w:rPr/>
        <w:t>male-dominated</w:t>
      </w:r>
      <w:r>
        <w:rPr>
          <w:spacing w:val="-4"/>
        </w:rPr>
        <w:t> </w:t>
      </w:r>
      <w:r>
        <w:rPr/>
        <w:t>discourse,</w:t>
      </w:r>
      <w:r>
        <w:rPr>
          <w:spacing w:val="-2"/>
        </w:rPr>
        <w:t> </w:t>
      </w:r>
      <w:r>
        <w:rPr/>
        <w:t>where</w:t>
      </w:r>
      <w:r>
        <w:rPr>
          <w:spacing w:val="-5"/>
        </w:rPr>
        <w:t> </w:t>
      </w:r>
      <w:r>
        <w:rPr/>
        <w:t>the</w:t>
      </w:r>
      <w:r>
        <w:rPr>
          <w:spacing w:val="-3"/>
        </w:rPr>
        <w:t> </w:t>
      </w:r>
      <w:r>
        <w:rPr/>
        <w:t>female</w:t>
      </w:r>
      <w:r>
        <w:rPr>
          <w:spacing w:val="-2"/>
        </w:rPr>
        <w:t> </w:t>
      </w:r>
      <w:r>
        <w:rPr/>
        <w:t>is</w:t>
      </w:r>
      <w:r>
        <w:rPr>
          <w:spacing w:val="-6"/>
        </w:rPr>
        <w:t> </w:t>
      </w:r>
      <w:r>
        <w:rPr/>
        <w:t>objectified and her voice is silenced. The legacy of one-sex theory is traced in the sonnet’s depiction of women and everything concerning her, even her anatomy</w:t>
      </w:r>
      <w:r>
        <w:rPr>
          <w:spacing w:val="-13"/>
        </w:rPr>
        <w:t> </w:t>
      </w:r>
      <w:r>
        <w:rPr/>
        <w:t>as</w:t>
      </w:r>
      <w:r>
        <w:rPr>
          <w:spacing w:val="-12"/>
        </w:rPr>
        <w:t> </w:t>
      </w:r>
      <w:r>
        <w:rPr/>
        <w:t>“hell”</w:t>
      </w:r>
      <w:r>
        <w:rPr>
          <w:spacing w:val="-11"/>
        </w:rPr>
        <w:t> </w:t>
      </w:r>
      <w:r>
        <w:rPr/>
        <w:t>–</w:t>
      </w:r>
      <w:r>
        <w:rPr>
          <w:spacing w:val="-10"/>
        </w:rPr>
        <w:t> </w:t>
      </w:r>
      <w:r>
        <w:rPr/>
        <w:t>a</w:t>
      </w:r>
      <w:r>
        <w:rPr>
          <w:spacing w:val="-10"/>
        </w:rPr>
        <w:t> </w:t>
      </w:r>
      <w:r>
        <w:rPr/>
        <w:t>divine</w:t>
      </w:r>
      <w:r>
        <w:rPr>
          <w:spacing w:val="-13"/>
        </w:rPr>
        <w:t> </w:t>
      </w:r>
      <w:r>
        <w:rPr/>
        <w:t>punishment</w:t>
      </w:r>
      <w:r>
        <w:rPr>
          <w:spacing w:val="-12"/>
        </w:rPr>
        <w:t> </w:t>
      </w:r>
      <w:r>
        <w:rPr/>
        <w:t>for</w:t>
      </w:r>
      <w:r>
        <w:rPr>
          <w:spacing w:val="-10"/>
        </w:rPr>
        <w:t> </w:t>
      </w:r>
      <w:r>
        <w:rPr/>
        <w:t>men’s</w:t>
      </w:r>
      <w:r>
        <w:rPr>
          <w:spacing w:val="-11"/>
        </w:rPr>
        <w:t> </w:t>
      </w:r>
      <w:r>
        <w:rPr/>
        <w:t>fall</w:t>
      </w:r>
      <w:r>
        <w:rPr>
          <w:spacing w:val="-11"/>
        </w:rPr>
        <w:t> </w:t>
      </w:r>
      <w:r>
        <w:rPr/>
        <w:t>(Kohn-Foley</w:t>
      </w:r>
      <w:r>
        <w:rPr>
          <w:spacing w:val="-13"/>
        </w:rPr>
        <w:t> </w:t>
      </w:r>
      <w:r>
        <w:rPr/>
        <w:t>29). The sonnet is viewed as a discursive structure that uses grammatical subversion</w:t>
      </w:r>
      <w:r>
        <w:rPr>
          <w:spacing w:val="-4"/>
        </w:rPr>
        <w:t> </w:t>
      </w:r>
      <w:r>
        <w:rPr/>
        <w:t>from</w:t>
      </w:r>
      <w:r>
        <w:rPr>
          <w:spacing w:val="-5"/>
        </w:rPr>
        <w:t> </w:t>
      </w:r>
      <w:r>
        <w:rPr/>
        <w:t>active</w:t>
      </w:r>
      <w:r>
        <w:rPr>
          <w:spacing w:val="-6"/>
        </w:rPr>
        <w:t> </w:t>
      </w:r>
      <w:r>
        <w:rPr/>
        <w:t>voice</w:t>
      </w:r>
      <w:r>
        <w:rPr>
          <w:spacing w:val="-3"/>
        </w:rPr>
        <w:t> </w:t>
      </w:r>
      <w:r>
        <w:rPr/>
        <w:t>of</w:t>
      </w:r>
      <w:r>
        <w:rPr>
          <w:spacing w:val="-4"/>
        </w:rPr>
        <w:t> </w:t>
      </w:r>
      <w:r>
        <w:rPr/>
        <w:t>first</w:t>
      </w:r>
      <w:r>
        <w:rPr>
          <w:spacing w:val="-2"/>
        </w:rPr>
        <w:t> </w:t>
      </w:r>
      <w:r>
        <w:rPr/>
        <w:t>quatrain</w:t>
      </w:r>
      <w:r>
        <w:rPr>
          <w:spacing w:val="-4"/>
        </w:rPr>
        <w:t> </w:t>
      </w:r>
      <w:r>
        <w:rPr/>
        <w:t>to</w:t>
      </w:r>
      <w:r>
        <w:rPr>
          <w:spacing w:val="-2"/>
        </w:rPr>
        <w:t> </w:t>
      </w:r>
      <w:r>
        <w:rPr/>
        <w:t>passive</w:t>
      </w:r>
      <w:r>
        <w:rPr>
          <w:spacing w:val="-6"/>
        </w:rPr>
        <w:t> </w:t>
      </w:r>
      <w:r>
        <w:rPr/>
        <w:t>voice</w:t>
      </w:r>
      <w:r>
        <w:rPr>
          <w:spacing w:val="-4"/>
        </w:rPr>
        <w:t> </w:t>
      </w:r>
      <w:r>
        <w:rPr/>
        <w:t>of</w:t>
      </w:r>
      <w:r>
        <w:rPr>
          <w:spacing w:val="-4"/>
        </w:rPr>
        <w:t> </w:t>
      </w:r>
      <w:r>
        <w:rPr/>
        <w:t>second quatrain.</w:t>
      </w:r>
      <w:r>
        <w:rPr>
          <w:spacing w:val="28"/>
        </w:rPr>
        <w:t> </w:t>
      </w:r>
      <w:r>
        <w:rPr/>
        <w:t>The absence of persona - the addresser and</w:t>
      </w:r>
      <w:r>
        <w:rPr>
          <w:spacing w:val="28"/>
        </w:rPr>
        <w:t> </w:t>
      </w:r>
      <w:r>
        <w:rPr/>
        <w:t>the addressee -</w:t>
      </w:r>
      <w:r>
        <w:rPr>
          <w:spacing w:val="40"/>
        </w:rPr>
        <w:t> </w:t>
      </w:r>
      <w:r>
        <w:rPr/>
        <w:t>are domains discussed in discourse analysis of the Sonnet (Caporicci 133). Most of other appreciation available on the Sonnets deal with Elizabethan moral readings and affirm the conflict between desire and virtue. However,</w:t>
      </w:r>
      <w:r>
        <w:rPr>
          <w:spacing w:val="-2"/>
        </w:rPr>
        <w:t> </w:t>
      </w:r>
      <w:r>
        <w:rPr/>
        <w:t>any</w:t>
      </w:r>
      <w:r>
        <w:rPr>
          <w:spacing w:val="-3"/>
        </w:rPr>
        <w:t> </w:t>
      </w:r>
      <w:r>
        <w:rPr/>
        <w:t>of available</w:t>
      </w:r>
      <w:r>
        <w:rPr>
          <w:spacing w:val="-1"/>
        </w:rPr>
        <w:t> </w:t>
      </w:r>
      <w:r>
        <w:rPr/>
        <w:t>critical appreciation are singular or at the most dual perspectives in approach. In the evolving and complex contemporary era, the re-reading of canonical texts demands a synthesised and holistic approach. So, this paper has taken up the task of re-reading Sonnet 129 in the integrated theoretical framework comprising of Archetypal, Feminist, Discourse and Modern Ethical theories</w:t>
      </w:r>
      <w:r>
        <w:rPr>
          <w:spacing w:val="40"/>
        </w:rPr>
        <w:t> </w:t>
      </w:r>
      <w:r>
        <w:rPr/>
        <w:t>of #MeToo</w:t>
      </w:r>
      <w:r>
        <w:rPr>
          <w:spacing w:val="40"/>
        </w:rPr>
        <w:t> </w:t>
      </w:r>
      <w:r>
        <w:rPr/>
        <w:t>movement.</w:t>
      </w:r>
    </w:p>
    <w:p>
      <w:pPr>
        <w:pStyle w:val="BodyText"/>
        <w:spacing w:line="249" w:lineRule="auto" w:before="78"/>
        <w:ind w:right="1437" w:firstLine="432"/>
        <w:jc w:val="both"/>
      </w:pPr>
      <w:r>
        <w:rPr/>
        <w:t>Shakespearean Sonnets are contextualized in the Elizabethan framework which is marked as a successor of courtly</w:t>
      </w:r>
      <w:r>
        <w:rPr>
          <w:spacing w:val="-1"/>
        </w:rPr>
        <w:t> </w:t>
      </w:r>
      <w:r>
        <w:rPr/>
        <w:t>tradition. The era is</w:t>
      </w:r>
      <w:r>
        <w:rPr>
          <w:spacing w:val="-4"/>
        </w:rPr>
        <w:t> </w:t>
      </w:r>
      <w:r>
        <w:rPr/>
        <w:t>distinguished</w:t>
      </w:r>
      <w:r>
        <w:rPr>
          <w:spacing w:val="-4"/>
        </w:rPr>
        <w:t> </w:t>
      </w:r>
      <w:r>
        <w:rPr/>
        <w:t>by</w:t>
      </w:r>
      <w:r>
        <w:rPr>
          <w:spacing w:val="-6"/>
        </w:rPr>
        <w:t> </w:t>
      </w:r>
      <w:r>
        <w:rPr/>
        <w:t>Renaissance</w:t>
      </w:r>
      <w:r>
        <w:rPr>
          <w:spacing w:val="-6"/>
        </w:rPr>
        <w:t> </w:t>
      </w:r>
      <w:r>
        <w:rPr/>
        <w:t>Christian</w:t>
      </w:r>
      <w:r>
        <w:rPr>
          <w:spacing w:val="-4"/>
        </w:rPr>
        <w:t> </w:t>
      </w:r>
      <w:r>
        <w:rPr/>
        <w:t>morality,</w:t>
      </w:r>
      <w:r>
        <w:rPr>
          <w:spacing w:val="-6"/>
        </w:rPr>
        <w:t> </w:t>
      </w:r>
      <w:r>
        <w:rPr/>
        <w:t>wherein</w:t>
      </w:r>
      <w:r>
        <w:rPr>
          <w:spacing w:val="-4"/>
        </w:rPr>
        <w:t> </w:t>
      </w:r>
      <w:r>
        <w:rPr/>
        <w:t>redemption was a priority. The impact of morality on psychology dictated the conflict between passion and reason. Owing to such high standards of morality,</w:t>
      </w:r>
      <w:r>
        <w:rPr>
          <w:spacing w:val="-13"/>
        </w:rPr>
        <w:t> </w:t>
      </w:r>
      <w:r>
        <w:rPr/>
        <w:t>Elizabethan</w:t>
      </w:r>
      <w:r>
        <w:rPr>
          <w:spacing w:val="-12"/>
        </w:rPr>
        <w:t> </w:t>
      </w:r>
      <w:r>
        <w:rPr/>
        <w:t>poets</w:t>
      </w:r>
      <w:r>
        <w:rPr>
          <w:spacing w:val="-13"/>
        </w:rPr>
        <w:t> </w:t>
      </w:r>
      <w:r>
        <w:rPr/>
        <w:t>shifted</w:t>
      </w:r>
      <w:r>
        <w:rPr>
          <w:spacing w:val="-12"/>
        </w:rPr>
        <w:t> </w:t>
      </w:r>
      <w:r>
        <w:rPr/>
        <w:t>the</w:t>
      </w:r>
      <w:r>
        <w:rPr>
          <w:spacing w:val="-13"/>
        </w:rPr>
        <w:t> </w:t>
      </w:r>
      <w:r>
        <w:rPr/>
        <w:t>focus</w:t>
      </w:r>
      <w:r>
        <w:rPr>
          <w:spacing w:val="-12"/>
        </w:rPr>
        <w:t> </w:t>
      </w:r>
      <w:r>
        <w:rPr/>
        <w:t>of</w:t>
      </w:r>
      <w:r>
        <w:rPr>
          <w:spacing w:val="-13"/>
        </w:rPr>
        <w:t> </w:t>
      </w:r>
      <w:r>
        <w:rPr/>
        <w:t>their</w:t>
      </w:r>
      <w:r>
        <w:rPr>
          <w:spacing w:val="-12"/>
        </w:rPr>
        <w:t> </w:t>
      </w:r>
      <w:r>
        <w:rPr/>
        <w:t>writings</w:t>
      </w:r>
      <w:r>
        <w:rPr>
          <w:spacing w:val="-13"/>
        </w:rPr>
        <w:t> </w:t>
      </w:r>
      <w:r>
        <w:rPr/>
        <w:t>to</w:t>
      </w:r>
      <w:r>
        <w:rPr>
          <w:spacing w:val="-12"/>
        </w:rPr>
        <w:t> </w:t>
      </w:r>
      <w:r>
        <w:rPr/>
        <w:t>religious verse rather than carnal passions. Shakespeare’s Sonnet 129 is also one such</w:t>
      </w:r>
      <w:r>
        <w:rPr>
          <w:spacing w:val="-6"/>
        </w:rPr>
        <w:t> </w:t>
      </w:r>
      <w:r>
        <w:rPr/>
        <w:t>which</w:t>
      </w:r>
      <w:r>
        <w:rPr>
          <w:spacing w:val="-6"/>
        </w:rPr>
        <w:t> </w:t>
      </w:r>
      <w:r>
        <w:rPr/>
        <w:t>deals</w:t>
      </w:r>
      <w:r>
        <w:rPr>
          <w:spacing w:val="-6"/>
        </w:rPr>
        <w:t> </w:t>
      </w:r>
      <w:r>
        <w:rPr/>
        <w:t>with</w:t>
      </w:r>
      <w:r>
        <w:rPr>
          <w:spacing w:val="-6"/>
        </w:rPr>
        <w:t> </w:t>
      </w:r>
      <w:r>
        <w:rPr/>
        <w:t>moral</w:t>
      </w:r>
      <w:r>
        <w:rPr>
          <w:spacing w:val="-6"/>
        </w:rPr>
        <w:t> </w:t>
      </w:r>
      <w:r>
        <w:rPr/>
        <w:t>dilemma</w:t>
      </w:r>
      <w:r>
        <w:rPr>
          <w:spacing w:val="-2"/>
        </w:rPr>
        <w:t> </w:t>
      </w:r>
      <w:r>
        <w:rPr/>
        <w:t>–</w:t>
      </w:r>
      <w:r>
        <w:rPr>
          <w:spacing w:val="-4"/>
        </w:rPr>
        <w:t> </w:t>
      </w:r>
      <w:r>
        <w:rPr/>
        <w:t>a</w:t>
      </w:r>
      <w:r>
        <w:rPr>
          <w:spacing w:val="-4"/>
        </w:rPr>
        <w:t> </w:t>
      </w:r>
      <w:r>
        <w:rPr/>
        <w:t>conflict</w:t>
      </w:r>
      <w:r>
        <w:rPr>
          <w:spacing w:val="-6"/>
        </w:rPr>
        <w:t> </w:t>
      </w:r>
      <w:r>
        <w:rPr/>
        <w:t>between</w:t>
      </w:r>
      <w:r>
        <w:rPr>
          <w:spacing w:val="-6"/>
        </w:rPr>
        <w:t> </w:t>
      </w:r>
      <w:r>
        <w:rPr/>
        <w:t>carnal</w:t>
      </w:r>
      <w:r>
        <w:rPr>
          <w:spacing w:val="-5"/>
        </w:rPr>
        <w:t> </w:t>
      </w:r>
      <w:r>
        <w:rPr/>
        <w:t>desire and</w:t>
      </w:r>
      <w:r>
        <w:rPr>
          <w:spacing w:val="-6"/>
        </w:rPr>
        <w:t> </w:t>
      </w:r>
      <w:r>
        <w:rPr/>
        <w:t>religious</w:t>
      </w:r>
      <w:r>
        <w:rPr>
          <w:spacing w:val="-6"/>
        </w:rPr>
        <w:t> </w:t>
      </w:r>
      <w:r>
        <w:rPr/>
        <w:t>redemption</w:t>
      </w:r>
      <w:r>
        <w:rPr>
          <w:spacing w:val="-7"/>
        </w:rPr>
        <w:t> </w:t>
      </w:r>
      <w:r>
        <w:rPr/>
        <w:t>of</w:t>
      </w:r>
      <w:r>
        <w:rPr>
          <w:spacing w:val="-7"/>
        </w:rPr>
        <w:t> </w:t>
      </w:r>
      <w:r>
        <w:rPr/>
        <w:t>the</w:t>
      </w:r>
      <w:r>
        <w:rPr>
          <w:spacing w:val="-6"/>
        </w:rPr>
        <w:t> </w:t>
      </w:r>
      <w:r>
        <w:rPr/>
        <w:t>soul.</w:t>
      </w:r>
      <w:r>
        <w:rPr>
          <w:spacing w:val="-3"/>
        </w:rPr>
        <w:t> </w:t>
      </w:r>
      <w:r>
        <w:rPr/>
        <w:t>Humanism</w:t>
      </w:r>
      <w:r>
        <w:rPr>
          <w:spacing w:val="-10"/>
        </w:rPr>
        <w:t> </w:t>
      </w:r>
      <w:r>
        <w:rPr/>
        <w:t>of</w:t>
      </w:r>
      <w:r>
        <w:rPr>
          <w:spacing w:val="-7"/>
        </w:rPr>
        <w:t> </w:t>
      </w:r>
      <w:r>
        <w:rPr/>
        <w:t>the</w:t>
      </w:r>
      <w:r>
        <w:rPr>
          <w:spacing w:val="-7"/>
        </w:rPr>
        <w:t> </w:t>
      </w:r>
      <w:r>
        <w:rPr/>
        <w:t>age</w:t>
      </w:r>
      <w:r>
        <w:rPr>
          <w:spacing w:val="-6"/>
        </w:rPr>
        <w:t> </w:t>
      </w:r>
      <w:r>
        <w:rPr/>
        <w:t>inquired</w:t>
      </w:r>
      <w:r>
        <w:rPr>
          <w:spacing w:val="-5"/>
        </w:rPr>
        <w:t> </w:t>
      </w:r>
      <w:r>
        <w:rPr>
          <w:spacing w:val="-4"/>
        </w:rPr>
        <w:t>into</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8080">
                <wp:simplePos x="0" y="0"/>
                <wp:positionH relativeFrom="page">
                  <wp:posOffset>2065020</wp:posOffset>
                </wp:positionH>
                <wp:positionV relativeFrom="paragraph">
                  <wp:posOffset>795020</wp:posOffset>
                </wp:positionV>
                <wp:extent cx="3657600" cy="12700"/>
                <wp:effectExtent l="0" t="0" r="0" b="0"/>
                <wp:wrapTopAndBottom/>
                <wp:docPr id="870" name="Graphic 870"/>
                <wp:cNvGraphicFramePr>
                  <a:graphicFrameLocks/>
                </wp:cNvGraphicFramePr>
                <a:graphic>
                  <a:graphicData uri="http://schemas.microsoft.com/office/word/2010/wordprocessingShape">
                    <wps:wsp>
                      <wps:cNvPr id="870" name="Graphic 870"/>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98400;mso-wrap-distance-left:0;mso-wrap-distance-right:0" id="docshape862" filled="true" fillcolor="#000000" stroked="false">
                <v:fill type="solid"/>
                <w10:wrap type="topAndBottom"/>
              </v:rect>
            </w:pict>
          </mc:Fallback>
        </mc:AlternateContent>
      </w:r>
      <w:r>
        <w:rPr>
          <w:rFonts w:ascii="Verdana"/>
          <w:sz w:val="18"/>
        </w:rPr>
        <w:t>The</w:t>
      </w:r>
      <w:r>
        <w:rPr>
          <w:rFonts w:ascii="Verdana"/>
          <w:spacing w:val="-2"/>
          <w:sz w:val="18"/>
        </w:rPr>
        <w:t> </w:t>
      </w:r>
      <w:r>
        <w:rPr>
          <w:rFonts w:ascii="Verdana"/>
          <w:sz w:val="18"/>
        </w:rPr>
        <w:t>Waste</w:t>
      </w:r>
      <w:r>
        <w:rPr>
          <w:rFonts w:ascii="Verdana"/>
          <w:spacing w:val="-1"/>
          <w:sz w:val="18"/>
        </w:rPr>
        <w:t> </w:t>
      </w:r>
      <w:r>
        <w:rPr>
          <w:rFonts w:ascii="Verdana"/>
          <w:sz w:val="18"/>
        </w:rPr>
        <w:t>of</w:t>
      </w:r>
      <w:r>
        <w:rPr>
          <w:rFonts w:ascii="Verdana"/>
          <w:spacing w:val="-1"/>
          <w:sz w:val="18"/>
        </w:rPr>
        <w:t> </w:t>
      </w:r>
      <w:r>
        <w:rPr>
          <w:rFonts w:ascii="Verdana"/>
          <w:sz w:val="18"/>
        </w:rPr>
        <w:t>Shame:</w:t>
      </w:r>
      <w:r>
        <w:rPr>
          <w:rFonts w:ascii="Verdana"/>
          <w:spacing w:val="-3"/>
          <w:sz w:val="18"/>
        </w:rPr>
        <w:t> </w:t>
      </w:r>
      <w:r>
        <w:rPr>
          <w:rFonts w:ascii="Verdana"/>
          <w:sz w:val="18"/>
        </w:rPr>
        <w:t>From</w:t>
      </w:r>
      <w:r>
        <w:rPr>
          <w:rFonts w:ascii="Verdana"/>
          <w:spacing w:val="-2"/>
          <w:sz w:val="18"/>
        </w:rPr>
        <w:t> </w:t>
      </w:r>
      <w:r>
        <w:rPr>
          <w:rFonts w:ascii="Verdana"/>
          <w:sz w:val="18"/>
        </w:rPr>
        <w:t>Archetypal</w:t>
      </w:r>
      <w:r>
        <w:rPr>
          <w:rFonts w:ascii="Verdana"/>
          <w:spacing w:val="-2"/>
          <w:sz w:val="18"/>
        </w:rPr>
        <w:t> </w:t>
      </w:r>
      <w:r>
        <w:rPr>
          <w:rFonts w:ascii="Verdana"/>
          <w:sz w:val="18"/>
        </w:rPr>
        <w:t>Desire</w:t>
      </w:r>
      <w:r>
        <w:rPr>
          <w:rFonts w:ascii="Verdana"/>
          <w:spacing w:val="-1"/>
          <w:sz w:val="18"/>
        </w:rPr>
        <w:t> </w:t>
      </w:r>
      <w:r>
        <w:rPr>
          <w:rFonts w:ascii="Verdana"/>
          <w:spacing w:val="-4"/>
          <w:sz w:val="18"/>
        </w:rPr>
        <w:t>to...</w:t>
      </w:r>
      <w:r>
        <w:rPr>
          <w:sz w:val="18"/>
        </w:rPr>
        <w:tab/>
      </w:r>
      <w:r>
        <w:rPr>
          <w:rFonts w:ascii="Verdana"/>
          <w:spacing w:val="-5"/>
          <w:sz w:val="18"/>
        </w:rPr>
        <w:t>459</w:t>
      </w:r>
    </w:p>
    <w:p>
      <w:pPr>
        <w:pStyle w:val="BodyText"/>
        <w:spacing w:line="249" w:lineRule="auto" w:before="192"/>
        <w:ind w:right="1437"/>
        <w:jc w:val="both"/>
      </w:pPr>
      <w:r>
        <w:rPr/>
        <w:t>the quest of spirit and its aspirations. In Elizabethan context, physical “passions” of the body surpassing the “reason of the mind” was metaphorically</w:t>
      </w:r>
      <w:r>
        <w:rPr>
          <w:spacing w:val="-6"/>
        </w:rPr>
        <w:t> </w:t>
      </w:r>
      <w:r>
        <w:rPr/>
        <w:t>dealt.</w:t>
      </w:r>
      <w:r>
        <w:rPr>
          <w:spacing w:val="-1"/>
        </w:rPr>
        <w:t> </w:t>
      </w:r>
      <w:r>
        <w:rPr/>
        <w:t>The</w:t>
      </w:r>
      <w:r>
        <w:rPr>
          <w:spacing w:val="-4"/>
        </w:rPr>
        <w:t> </w:t>
      </w:r>
      <w:r>
        <w:rPr/>
        <w:t>writings</w:t>
      </w:r>
      <w:r>
        <w:rPr>
          <w:spacing w:val="-3"/>
        </w:rPr>
        <w:t> </w:t>
      </w:r>
      <w:r>
        <w:rPr/>
        <w:t>of</w:t>
      </w:r>
      <w:r>
        <w:rPr>
          <w:spacing w:val="-4"/>
        </w:rPr>
        <w:t> </w:t>
      </w:r>
      <w:r>
        <w:rPr/>
        <w:t>the era</w:t>
      </w:r>
      <w:r>
        <w:rPr>
          <w:spacing w:val="-4"/>
        </w:rPr>
        <w:t> </w:t>
      </w:r>
      <w:r>
        <w:rPr/>
        <w:t>were</w:t>
      </w:r>
      <w:r>
        <w:rPr>
          <w:spacing w:val="-2"/>
        </w:rPr>
        <w:t> </w:t>
      </w:r>
      <w:r>
        <w:rPr/>
        <w:t>thus</w:t>
      </w:r>
      <w:r>
        <w:rPr>
          <w:spacing w:val="-4"/>
        </w:rPr>
        <w:t> </w:t>
      </w:r>
      <w:r>
        <w:rPr/>
        <w:t>closely</w:t>
      </w:r>
      <w:r>
        <w:rPr>
          <w:spacing w:val="-4"/>
        </w:rPr>
        <w:t> </w:t>
      </w:r>
      <w:r>
        <w:rPr/>
        <w:t>linked</w:t>
      </w:r>
      <w:r>
        <w:rPr>
          <w:spacing w:val="-3"/>
        </w:rPr>
        <w:t> </w:t>
      </w:r>
      <w:r>
        <w:rPr/>
        <w:t>to the Humoral theory. This contextual setting of the era sets the Sonnet</w:t>
      </w:r>
      <w:r>
        <w:rPr>
          <w:spacing w:val="80"/>
        </w:rPr>
        <w:t> </w:t>
      </w:r>
      <w:r>
        <w:rPr/>
        <w:t>in a non-anachronistic interpretation preview for the re-reading and re-interpretation of the Sonnet 129.</w:t>
      </w:r>
    </w:p>
    <w:p>
      <w:pPr>
        <w:pStyle w:val="BodyText"/>
        <w:spacing w:before="63"/>
        <w:ind w:left="1872"/>
        <w:jc w:val="both"/>
      </w:pPr>
      <w:r>
        <w:rPr/>
        <w:t>Sonnet</w:t>
      </w:r>
      <w:r>
        <w:rPr>
          <w:spacing w:val="1"/>
        </w:rPr>
        <w:t> </w:t>
      </w:r>
      <w:r>
        <w:rPr>
          <w:spacing w:val="-5"/>
        </w:rPr>
        <w:t>129</w:t>
      </w:r>
    </w:p>
    <w:p>
      <w:pPr>
        <w:spacing w:line="309" w:lineRule="auto" w:before="67"/>
        <w:ind w:left="2160" w:right="3000" w:firstLine="0"/>
        <w:jc w:val="left"/>
        <w:rPr>
          <w:i/>
          <w:sz w:val="20"/>
        </w:rPr>
      </w:pPr>
      <w:r>
        <w:rPr>
          <w:i/>
          <w:sz w:val="20"/>
        </w:rPr>
        <w:t>Th’</w:t>
      </w:r>
      <w:r>
        <w:rPr>
          <w:i/>
          <w:spacing w:val="21"/>
          <w:sz w:val="20"/>
        </w:rPr>
        <w:t> </w:t>
      </w:r>
      <w:r>
        <w:rPr>
          <w:i/>
          <w:sz w:val="20"/>
        </w:rPr>
        <w:t>expense of</w:t>
      </w:r>
      <w:r>
        <w:rPr>
          <w:i/>
          <w:spacing w:val="21"/>
          <w:sz w:val="20"/>
        </w:rPr>
        <w:t> </w:t>
      </w:r>
      <w:r>
        <w:rPr>
          <w:i/>
          <w:sz w:val="20"/>
        </w:rPr>
        <w:t>spirit</w:t>
      </w:r>
      <w:r>
        <w:rPr>
          <w:i/>
          <w:spacing w:val="21"/>
          <w:sz w:val="20"/>
        </w:rPr>
        <w:t> </w:t>
      </w:r>
      <w:r>
        <w:rPr>
          <w:i/>
          <w:sz w:val="20"/>
        </w:rPr>
        <w:t>in</w:t>
      </w:r>
      <w:r>
        <w:rPr>
          <w:i/>
          <w:spacing w:val="21"/>
          <w:sz w:val="20"/>
        </w:rPr>
        <w:t> </w:t>
      </w:r>
      <w:r>
        <w:rPr>
          <w:i/>
          <w:sz w:val="20"/>
        </w:rPr>
        <w:t>a</w:t>
      </w:r>
      <w:r>
        <w:rPr>
          <w:i/>
          <w:spacing w:val="23"/>
          <w:sz w:val="20"/>
        </w:rPr>
        <w:t> </w:t>
      </w:r>
      <w:r>
        <w:rPr>
          <w:i/>
          <w:sz w:val="20"/>
        </w:rPr>
        <w:t>waste of</w:t>
      </w:r>
      <w:r>
        <w:rPr>
          <w:i/>
          <w:spacing w:val="21"/>
          <w:sz w:val="20"/>
        </w:rPr>
        <w:t> </w:t>
      </w:r>
      <w:r>
        <w:rPr>
          <w:i/>
          <w:sz w:val="20"/>
        </w:rPr>
        <w:t>shame Is</w:t>
      </w:r>
      <w:r>
        <w:rPr>
          <w:i/>
          <w:spacing w:val="40"/>
          <w:sz w:val="20"/>
        </w:rPr>
        <w:t> </w:t>
      </w:r>
      <w:r>
        <w:rPr>
          <w:i/>
          <w:sz w:val="20"/>
        </w:rPr>
        <w:t>lust</w:t>
      </w:r>
      <w:r>
        <w:rPr>
          <w:i/>
          <w:spacing w:val="40"/>
          <w:sz w:val="20"/>
        </w:rPr>
        <w:t> </w:t>
      </w:r>
      <w:r>
        <w:rPr>
          <w:i/>
          <w:sz w:val="20"/>
        </w:rPr>
        <w:t>in</w:t>
      </w:r>
      <w:r>
        <w:rPr>
          <w:i/>
          <w:spacing w:val="40"/>
          <w:sz w:val="20"/>
        </w:rPr>
        <w:t> </w:t>
      </w:r>
      <w:r>
        <w:rPr>
          <w:i/>
          <w:sz w:val="20"/>
        </w:rPr>
        <w:t>action;</w:t>
      </w:r>
      <w:r>
        <w:rPr>
          <w:i/>
          <w:spacing w:val="40"/>
          <w:sz w:val="20"/>
        </w:rPr>
        <w:t> </w:t>
      </w:r>
      <w:r>
        <w:rPr>
          <w:i/>
          <w:sz w:val="20"/>
        </w:rPr>
        <w:t>and</w:t>
      </w:r>
      <w:r>
        <w:rPr>
          <w:i/>
          <w:spacing w:val="40"/>
          <w:sz w:val="20"/>
        </w:rPr>
        <w:t> </w:t>
      </w:r>
      <w:r>
        <w:rPr>
          <w:i/>
          <w:sz w:val="20"/>
        </w:rPr>
        <w:t>till</w:t>
      </w:r>
      <w:r>
        <w:rPr>
          <w:i/>
          <w:spacing w:val="40"/>
          <w:sz w:val="20"/>
        </w:rPr>
        <w:t> </w:t>
      </w:r>
      <w:r>
        <w:rPr>
          <w:i/>
          <w:sz w:val="20"/>
        </w:rPr>
        <w:t>action,</w:t>
      </w:r>
      <w:r>
        <w:rPr>
          <w:i/>
          <w:spacing w:val="40"/>
          <w:sz w:val="20"/>
        </w:rPr>
        <w:t> </w:t>
      </w:r>
      <w:r>
        <w:rPr>
          <w:i/>
          <w:sz w:val="20"/>
        </w:rPr>
        <w:t>lust</w:t>
      </w:r>
    </w:p>
    <w:p>
      <w:pPr>
        <w:spacing w:line="309" w:lineRule="auto" w:before="5"/>
        <w:ind w:left="2160" w:right="2743" w:firstLine="0"/>
        <w:jc w:val="left"/>
        <w:rPr>
          <w:i/>
          <w:sz w:val="20"/>
        </w:rPr>
      </w:pPr>
      <w:r>
        <w:rPr>
          <w:i/>
          <w:sz w:val="20"/>
        </w:rPr>
        <w:t>Is perjured,</w:t>
      </w:r>
      <w:r>
        <w:rPr>
          <w:i/>
          <w:spacing w:val="15"/>
          <w:sz w:val="20"/>
        </w:rPr>
        <w:t> </w:t>
      </w:r>
      <w:r>
        <w:rPr>
          <w:i/>
          <w:sz w:val="20"/>
        </w:rPr>
        <w:t>murd’rous,</w:t>
      </w:r>
      <w:r>
        <w:rPr>
          <w:i/>
          <w:spacing w:val="15"/>
          <w:sz w:val="20"/>
        </w:rPr>
        <w:t> </w:t>
      </w:r>
      <w:r>
        <w:rPr>
          <w:i/>
          <w:sz w:val="20"/>
        </w:rPr>
        <w:t>bloody,</w:t>
      </w:r>
      <w:r>
        <w:rPr>
          <w:i/>
          <w:spacing w:val="15"/>
          <w:sz w:val="20"/>
        </w:rPr>
        <w:t> </w:t>
      </w:r>
      <w:r>
        <w:rPr>
          <w:i/>
          <w:sz w:val="20"/>
        </w:rPr>
        <w:t>full</w:t>
      </w:r>
      <w:r>
        <w:rPr>
          <w:i/>
          <w:spacing w:val="15"/>
          <w:sz w:val="20"/>
        </w:rPr>
        <w:t> </w:t>
      </w:r>
      <w:r>
        <w:rPr>
          <w:i/>
          <w:sz w:val="20"/>
        </w:rPr>
        <w:t>of blame, Savage,</w:t>
      </w:r>
      <w:r>
        <w:rPr>
          <w:i/>
          <w:spacing w:val="40"/>
          <w:sz w:val="20"/>
        </w:rPr>
        <w:t> </w:t>
      </w:r>
      <w:r>
        <w:rPr>
          <w:i/>
          <w:sz w:val="20"/>
        </w:rPr>
        <w:t>extreme,</w:t>
      </w:r>
      <w:r>
        <w:rPr>
          <w:i/>
          <w:spacing w:val="40"/>
          <w:sz w:val="20"/>
        </w:rPr>
        <w:t> </w:t>
      </w:r>
      <w:r>
        <w:rPr>
          <w:i/>
          <w:sz w:val="20"/>
        </w:rPr>
        <w:t>rude,</w:t>
      </w:r>
      <w:r>
        <w:rPr>
          <w:i/>
          <w:spacing w:val="40"/>
          <w:sz w:val="20"/>
        </w:rPr>
        <w:t> </w:t>
      </w:r>
      <w:r>
        <w:rPr>
          <w:i/>
          <w:sz w:val="20"/>
        </w:rPr>
        <w:t>cruel,</w:t>
      </w:r>
      <w:r>
        <w:rPr>
          <w:i/>
          <w:spacing w:val="40"/>
          <w:sz w:val="20"/>
        </w:rPr>
        <w:t> </w:t>
      </w:r>
      <w:r>
        <w:rPr>
          <w:i/>
          <w:sz w:val="20"/>
        </w:rPr>
        <w:t>not</w:t>
      </w:r>
      <w:r>
        <w:rPr>
          <w:i/>
          <w:spacing w:val="40"/>
          <w:sz w:val="20"/>
        </w:rPr>
        <w:t> </w:t>
      </w:r>
      <w:r>
        <w:rPr>
          <w:i/>
          <w:sz w:val="20"/>
        </w:rPr>
        <w:t>to</w:t>
      </w:r>
      <w:r>
        <w:rPr>
          <w:i/>
          <w:spacing w:val="40"/>
          <w:sz w:val="20"/>
        </w:rPr>
        <w:t> </w:t>
      </w:r>
      <w:r>
        <w:rPr>
          <w:i/>
          <w:sz w:val="20"/>
        </w:rPr>
        <w:t>trust, Enjoyed</w:t>
      </w:r>
      <w:r>
        <w:rPr>
          <w:i/>
          <w:spacing w:val="40"/>
          <w:sz w:val="20"/>
        </w:rPr>
        <w:t> </w:t>
      </w:r>
      <w:r>
        <w:rPr>
          <w:i/>
          <w:sz w:val="20"/>
        </w:rPr>
        <w:t>no</w:t>
      </w:r>
      <w:r>
        <w:rPr>
          <w:i/>
          <w:spacing w:val="40"/>
          <w:sz w:val="20"/>
        </w:rPr>
        <w:t> </w:t>
      </w:r>
      <w:r>
        <w:rPr>
          <w:i/>
          <w:sz w:val="20"/>
        </w:rPr>
        <w:t>sooner</w:t>
      </w:r>
      <w:r>
        <w:rPr>
          <w:i/>
          <w:spacing w:val="40"/>
          <w:sz w:val="20"/>
        </w:rPr>
        <w:t> </w:t>
      </w:r>
      <w:r>
        <w:rPr>
          <w:i/>
          <w:sz w:val="20"/>
        </w:rPr>
        <w:t>but</w:t>
      </w:r>
      <w:r>
        <w:rPr>
          <w:i/>
          <w:spacing w:val="40"/>
          <w:sz w:val="20"/>
        </w:rPr>
        <w:t> </w:t>
      </w:r>
      <w:r>
        <w:rPr>
          <w:i/>
          <w:sz w:val="20"/>
        </w:rPr>
        <w:t>despisèd</w:t>
      </w:r>
      <w:r>
        <w:rPr>
          <w:i/>
          <w:spacing w:val="40"/>
          <w:sz w:val="20"/>
        </w:rPr>
        <w:t> </w:t>
      </w:r>
      <w:r>
        <w:rPr>
          <w:i/>
          <w:sz w:val="20"/>
        </w:rPr>
        <w:t>straight, Past</w:t>
      </w:r>
      <w:r>
        <w:rPr>
          <w:i/>
          <w:spacing w:val="40"/>
          <w:sz w:val="20"/>
        </w:rPr>
        <w:t> </w:t>
      </w:r>
      <w:r>
        <w:rPr>
          <w:i/>
          <w:sz w:val="20"/>
        </w:rPr>
        <w:t>reason</w:t>
      </w:r>
      <w:r>
        <w:rPr>
          <w:i/>
          <w:spacing w:val="40"/>
          <w:sz w:val="20"/>
        </w:rPr>
        <w:t> </w:t>
      </w:r>
      <w:r>
        <w:rPr>
          <w:i/>
          <w:sz w:val="20"/>
        </w:rPr>
        <w:t>hunted;</w:t>
      </w:r>
      <w:r>
        <w:rPr>
          <w:i/>
          <w:spacing w:val="40"/>
          <w:sz w:val="20"/>
        </w:rPr>
        <w:t> </w:t>
      </w:r>
      <w:r>
        <w:rPr>
          <w:i/>
          <w:sz w:val="20"/>
        </w:rPr>
        <w:t>and,</w:t>
      </w:r>
      <w:r>
        <w:rPr>
          <w:i/>
          <w:spacing w:val="40"/>
          <w:sz w:val="20"/>
        </w:rPr>
        <w:t> </w:t>
      </w:r>
      <w:r>
        <w:rPr>
          <w:i/>
          <w:sz w:val="20"/>
        </w:rPr>
        <w:t>no</w:t>
      </w:r>
      <w:r>
        <w:rPr>
          <w:i/>
          <w:spacing w:val="40"/>
          <w:sz w:val="20"/>
        </w:rPr>
        <w:t> </w:t>
      </w:r>
      <w:r>
        <w:rPr>
          <w:i/>
          <w:sz w:val="20"/>
        </w:rPr>
        <w:t>sooner</w:t>
      </w:r>
      <w:r>
        <w:rPr>
          <w:i/>
          <w:spacing w:val="40"/>
          <w:sz w:val="20"/>
        </w:rPr>
        <w:t> </w:t>
      </w:r>
      <w:r>
        <w:rPr>
          <w:i/>
          <w:sz w:val="20"/>
        </w:rPr>
        <w:t>had Past</w:t>
      </w:r>
      <w:r>
        <w:rPr>
          <w:i/>
          <w:spacing w:val="40"/>
          <w:sz w:val="20"/>
        </w:rPr>
        <w:t> </w:t>
      </w:r>
      <w:r>
        <w:rPr>
          <w:i/>
          <w:sz w:val="20"/>
        </w:rPr>
        <w:t>reason</w:t>
      </w:r>
      <w:r>
        <w:rPr>
          <w:i/>
          <w:spacing w:val="40"/>
          <w:sz w:val="20"/>
        </w:rPr>
        <w:t> </w:t>
      </w:r>
      <w:r>
        <w:rPr>
          <w:i/>
          <w:sz w:val="20"/>
        </w:rPr>
        <w:t>hated</w:t>
      </w:r>
      <w:r>
        <w:rPr>
          <w:i/>
          <w:spacing w:val="40"/>
          <w:sz w:val="20"/>
        </w:rPr>
        <w:t> </w:t>
      </w:r>
      <w:r>
        <w:rPr>
          <w:i/>
          <w:sz w:val="20"/>
        </w:rPr>
        <w:t>as</w:t>
      </w:r>
      <w:r>
        <w:rPr>
          <w:i/>
          <w:spacing w:val="40"/>
          <w:sz w:val="20"/>
        </w:rPr>
        <w:t> </w:t>
      </w:r>
      <w:r>
        <w:rPr>
          <w:i/>
          <w:sz w:val="20"/>
        </w:rPr>
        <w:t>a</w:t>
      </w:r>
      <w:r>
        <w:rPr>
          <w:i/>
          <w:spacing w:val="40"/>
          <w:sz w:val="20"/>
        </w:rPr>
        <w:t> </w:t>
      </w:r>
      <w:r>
        <w:rPr>
          <w:i/>
          <w:sz w:val="20"/>
        </w:rPr>
        <w:t>swallowed</w:t>
      </w:r>
      <w:r>
        <w:rPr>
          <w:i/>
          <w:spacing w:val="40"/>
          <w:sz w:val="20"/>
        </w:rPr>
        <w:t> </w:t>
      </w:r>
      <w:r>
        <w:rPr>
          <w:i/>
          <w:sz w:val="20"/>
        </w:rPr>
        <w:t>bait</w:t>
      </w:r>
    </w:p>
    <w:p>
      <w:pPr>
        <w:spacing w:line="312" w:lineRule="auto" w:before="4"/>
        <w:ind w:left="2160" w:right="2764" w:firstLine="0"/>
        <w:jc w:val="left"/>
        <w:rPr>
          <w:i/>
          <w:sz w:val="20"/>
        </w:rPr>
      </w:pPr>
      <w:r>
        <w:rPr>
          <w:i/>
          <w:sz w:val="20"/>
        </w:rPr>
        <w:t>On</w:t>
      </w:r>
      <w:r>
        <w:rPr>
          <w:i/>
          <w:spacing w:val="31"/>
          <w:sz w:val="20"/>
        </w:rPr>
        <w:t> </w:t>
      </w:r>
      <w:r>
        <w:rPr>
          <w:i/>
          <w:sz w:val="20"/>
        </w:rPr>
        <w:t>purpose</w:t>
      </w:r>
      <w:r>
        <w:rPr>
          <w:i/>
          <w:spacing w:val="30"/>
          <w:sz w:val="20"/>
        </w:rPr>
        <w:t> </w:t>
      </w:r>
      <w:r>
        <w:rPr>
          <w:i/>
          <w:sz w:val="20"/>
        </w:rPr>
        <w:t>laid</w:t>
      </w:r>
      <w:r>
        <w:rPr>
          <w:i/>
          <w:spacing w:val="31"/>
          <w:sz w:val="20"/>
        </w:rPr>
        <w:t> </w:t>
      </w:r>
      <w:r>
        <w:rPr>
          <w:i/>
          <w:sz w:val="20"/>
        </w:rPr>
        <w:t>to</w:t>
      </w:r>
      <w:r>
        <w:rPr>
          <w:i/>
          <w:spacing w:val="30"/>
          <w:sz w:val="20"/>
        </w:rPr>
        <w:t> </w:t>
      </w:r>
      <w:r>
        <w:rPr>
          <w:i/>
          <w:sz w:val="20"/>
        </w:rPr>
        <w:t>make</w:t>
      </w:r>
      <w:r>
        <w:rPr>
          <w:i/>
          <w:spacing w:val="30"/>
          <w:sz w:val="20"/>
        </w:rPr>
        <w:t> </w:t>
      </w:r>
      <w:r>
        <w:rPr>
          <w:i/>
          <w:sz w:val="20"/>
        </w:rPr>
        <w:t>the</w:t>
      </w:r>
      <w:r>
        <w:rPr>
          <w:i/>
          <w:spacing w:val="30"/>
          <w:sz w:val="20"/>
        </w:rPr>
        <w:t> </w:t>
      </w:r>
      <w:r>
        <w:rPr>
          <w:i/>
          <w:sz w:val="20"/>
        </w:rPr>
        <w:t>taker</w:t>
      </w:r>
      <w:r>
        <w:rPr>
          <w:i/>
          <w:spacing w:val="30"/>
          <w:sz w:val="20"/>
        </w:rPr>
        <w:t> </w:t>
      </w:r>
      <w:r>
        <w:rPr>
          <w:i/>
          <w:sz w:val="20"/>
        </w:rPr>
        <w:t>mad; Mad</w:t>
      </w:r>
      <w:r>
        <w:rPr>
          <w:i/>
          <w:spacing w:val="40"/>
          <w:sz w:val="20"/>
        </w:rPr>
        <w:t> </w:t>
      </w:r>
      <w:r>
        <w:rPr>
          <w:i/>
          <w:sz w:val="20"/>
        </w:rPr>
        <w:t>in</w:t>
      </w:r>
      <w:r>
        <w:rPr>
          <w:i/>
          <w:spacing w:val="40"/>
          <w:sz w:val="20"/>
        </w:rPr>
        <w:t> </w:t>
      </w:r>
      <w:r>
        <w:rPr>
          <w:i/>
          <w:sz w:val="20"/>
        </w:rPr>
        <w:t>pursuit</w:t>
      </w:r>
      <w:r>
        <w:rPr>
          <w:i/>
          <w:spacing w:val="40"/>
          <w:sz w:val="20"/>
        </w:rPr>
        <w:t> </w:t>
      </w:r>
      <w:r>
        <w:rPr>
          <w:i/>
          <w:sz w:val="20"/>
        </w:rPr>
        <w:t>and</w:t>
      </w:r>
      <w:r>
        <w:rPr>
          <w:i/>
          <w:spacing w:val="40"/>
          <w:sz w:val="20"/>
        </w:rPr>
        <w:t> </w:t>
      </w:r>
      <w:r>
        <w:rPr>
          <w:i/>
          <w:sz w:val="20"/>
        </w:rPr>
        <w:t>in</w:t>
      </w:r>
      <w:r>
        <w:rPr>
          <w:i/>
          <w:spacing w:val="40"/>
          <w:sz w:val="20"/>
        </w:rPr>
        <w:t> </w:t>
      </w:r>
      <w:r>
        <w:rPr>
          <w:i/>
          <w:sz w:val="20"/>
        </w:rPr>
        <w:t>possession</w:t>
      </w:r>
      <w:r>
        <w:rPr>
          <w:i/>
          <w:spacing w:val="40"/>
          <w:sz w:val="20"/>
        </w:rPr>
        <w:t> </w:t>
      </w:r>
      <w:r>
        <w:rPr>
          <w:i/>
          <w:sz w:val="20"/>
        </w:rPr>
        <w:t>so,</w:t>
      </w:r>
    </w:p>
    <w:p>
      <w:pPr>
        <w:spacing w:line="309" w:lineRule="auto" w:before="0"/>
        <w:ind w:left="2160" w:right="2743" w:firstLine="0"/>
        <w:jc w:val="left"/>
        <w:rPr>
          <w:i/>
          <w:sz w:val="20"/>
        </w:rPr>
      </w:pPr>
      <w:r>
        <w:rPr>
          <w:i/>
          <w:sz w:val="20"/>
        </w:rPr>
        <w:t>Had,</w:t>
      </w:r>
      <w:r>
        <w:rPr>
          <w:i/>
          <w:spacing w:val="28"/>
          <w:sz w:val="20"/>
        </w:rPr>
        <w:t> </w:t>
      </w:r>
      <w:r>
        <w:rPr>
          <w:i/>
          <w:sz w:val="20"/>
        </w:rPr>
        <w:t>having,</w:t>
      </w:r>
      <w:r>
        <w:rPr>
          <w:i/>
          <w:spacing w:val="28"/>
          <w:sz w:val="20"/>
        </w:rPr>
        <w:t> </w:t>
      </w:r>
      <w:r>
        <w:rPr>
          <w:i/>
          <w:sz w:val="20"/>
        </w:rPr>
        <w:t>and</w:t>
      </w:r>
      <w:r>
        <w:rPr>
          <w:i/>
          <w:spacing w:val="28"/>
          <w:sz w:val="20"/>
        </w:rPr>
        <w:t> </w:t>
      </w:r>
      <w:r>
        <w:rPr>
          <w:i/>
          <w:sz w:val="20"/>
        </w:rPr>
        <w:t>in</w:t>
      </w:r>
      <w:r>
        <w:rPr>
          <w:i/>
          <w:spacing w:val="28"/>
          <w:sz w:val="20"/>
        </w:rPr>
        <w:t> </w:t>
      </w:r>
      <w:r>
        <w:rPr>
          <w:i/>
          <w:sz w:val="20"/>
        </w:rPr>
        <w:t>quest</w:t>
      </w:r>
      <w:r>
        <w:rPr>
          <w:i/>
          <w:spacing w:val="24"/>
          <w:sz w:val="20"/>
        </w:rPr>
        <w:t> </w:t>
      </w:r>
      <w:r>
        <w:rPr>
          <w:i/>
          <w:sz w:val="20"/>
        </w:rPr>
        <w:t>to</w:t>
      </w:r>
      <w:r>
        <w:rPr>
          <w:i/>
          <w:spacing w:val="30"/>
          <w:sz w:val="20"/>
        </w:rPr>
        <w:t> </w:t>
      </w:r>
      <w:r>
        <w:rPr>
          <w:i/>
          <w:sz w:val="20"/>
        </w:rPr>
        <w:t>have,</w:t>
      </w:r>
      <w:r>
        <w:rPr>
          <w:i/>
          <w:spacing w:val="26"/>
          <w:sz w:val="20"/>
        </w:rPr>
        <w:t> </w:t>
      </w:r>
      <w:r>
        <w:rPr>
          <w:i/>
          <w:sz w:val="20"/>
        </w:rPr>
        <w:t>extreme; A</w:t>
      </w:r>
      <w:r>
        <w:rPr>
          <w:i/>
          <w:spacing w:val="40"/>
          <w:sz w:val="20"/>
        </w:rPr>
        <w:t> </w:t>
      </w:r>
      <w:r>
        <w:rPr>
          <w:i/>
          <w:sz w:val="20"/>
        </w:rPr>
        <w:t>bliss</w:t>
      </w:r>
      <w:r>
        <w:rPr>
          <w:i/>
          <w:spacing w:val="40"/>
          <w:sz w:val="20"/>
        </w:rPr>
        <w:t> </w:t>
      </w:r>
      <w:r>
        <w:rPr>
          <w:i/>
          <w:sz w:val="20"/>
        </w:rPr>
        <w:t>in</w:t>
      </w:r>
      <w:r>
        <w:rPr>
          <w:i/>
          <w:spacing w:val="40"/>
          <w:sz w:val="20"/>
        </w:rPr>
        <w:t> </w:t>
      </w:r>
      <w:r>
        <w:rPr>
          <w:i/>
          <w:sz w:val="20"/>
        </w:rPr>
        <w:t>proof</w:t>
      </w:r>
      <w:r>
        <w:rPr>
          <w:i/>
          <w:spacing w:val="40"/>
          <w:sz w:val="20"/>
        </w:rPr>
        <w:t> </w:t>
      </w:r>
      <w:r>
        <w:rPr>
          <w:i/>
          <w:sz w:val="20"/>
        </w:rPr>
        <w:t>and</w:t>
      </w:r>
      <w:r>
        <w:rPr>
          <w:i/>
          <w:spacing w:val="40"/>
          <w:sz w:val="20"/>
        </w:rPr>
        <w:t> </w:t>
      </w:r>
      <w:r>
        <w:rPr>
          <w:i/>
          <w:sz w:val="20"/>
        </w:rPr>
        <w:t>proved,</w:t>
      </w:r>
      <w:r>
        <w:rPr>
          <w:i/>
          <w:spacing w:val="40"/>
          <w:sz w:val="20"/>
        </w:rPr>
        <w:t> </w:t>
      </w:r>
      <w:r>
        <w:rPr>
          <w:i/>
          <w:sz w:val="20"/>
        </w:rPr>
        <w:t>a</w:t>
      </w:r>
      <w:r>
        <w:rPr>
          <w:i/>
          <w:spacing w:val="40"/>
          <w:sz w:val="20"/>
        </w:rPr>
        <w:t> </w:t>
      </w:r>
      <w:r>
        <w:rPr>
          <w:i/>
          <w:sz w:val="20"/>
        </w:rPr>
        <w:t>very</w:t>
      </w:r>
      <w:r>
        <w:rPr>
          <w:i/>
          <w:spacing w:val="40"/>
          <w:sz w:val="20"/>
        </w:rPr>
        <w:t> </w:t>
      </w:r>
      <w:r>
        <w:rPr>
          <w:i/>
          <w:sz w:val="20"/>
        </w:rPr>
        <w:t>woe; Before,</w:t>
      </w:r>
      <w:r>
        <w:rPr>
          <w:i/>
          <w:spacing w:val="40"/>
          <w:sz w:val="20"/>
        </w:rPr>
        <w:t> </w:t>
      </w:r>
      <w:r>
        <w:rPr>
          <w:i/>
          <w:sz w:val="20"/>
        </w:rPr>
        <w:t>a</w:t>
      </w:r>
      <w:r>
        <w:rPr>
          <w:i/>
          <w:spacing w:val="40"/>
          <w:sz w:val="20"/>
        </w:rPr>
        <w:t> </w:t>
      </w:r>
      <w:r>
        <w:rPr>
          <w:i/>
          <w:sz w:val="20"/>
        </w:rPr>
        <w:t>joy</w:t>
      </w:r>
      <w:r>
        <w:rPr>
          <w:i/>
          <w:spacing w:val="40"/>
          <w:sz w:val="20"/>
        </w:rPr>
        <w:t> </w:t>
      </w:r>
      <w:r>
        <w:rPr>
          <w:i/>
          <w:sz w:val="20"/>
        </w:rPr>
        <w:t>proposed;</w:t>
      </w:r>
      <w:r>
        <w:rPr>
          <w:i/>
          <w:spacing w:val="40"/>
          <w:sz w:val="20"/>
        </w:rPr>
        <w:t> </w:t>
      </w:r>
      <w:r>
        <w:rPr>
          <w:i/>
          <w:sz w:val="20"/>
        </w:rPr>
        <w:t>behind,</w:t>
      </w:r>
      <w:r>
        <w:rPr>
          <w:i/>
          <w:spacing w:val="40"/>
          <w:sz w:val="20"/>
        </w:rPr>
        <w:t> </w:t>
      </w:r>
      <w:r>
        <w:rPr>
          <w:i/>
          <w:sz w:val="20"/>
        </w:rPr>
        <w:t>a</w:t>
      </w:r>
      <w:r>
        <w:rPr>
          <w:i/>
          <w:spacing w:val="40"/>
          <w:sz w:val="20"/>
        </w:rPr>
        <w:t> </w:t>
      </w:r>
      <w:r>
        <w:rPr>
          <w:i/>
          <w:sz w:val="20"/>
        </w:rPr>
        <w:t>dream.</w:t>
      </w:r>
    </w:p>
    <w:p>
      <w:pPr>
        <w:spacing w:line="312" w:lineRule="auto" w:before="3"/>
        <w:ind w:left="2160" w:right="2159" w:firstLine="0"/>
        <w:jc w:val="left"/>
        <w:rPr>
          <w:i/>
          <w:sz w:val="20"/>
        </w:rPr>
      </w:pPr>
      <w:r>
        <w:rPr>
          <w:i/>
          <w:sz w:val="20"/>
        </w:rPr>
        <w:t>All</w:t>
      </w:r>
      <w:r>
        <w:rPr>
          <w:i/>
          <w:spacing w:val="26"/>
          <w:sz w:val="20"/>
        </w:rPr>
        <w:t> </w:t>
      </w:r>
      <w:r>
        <w:rPr>
          <w:i/>
          <w:sz w:val="20"/>
        </w:rPr>
        <w:t>this</w:t>
      </w:r>
      <w:r>
        <w:rPr>
          <w:i/>
          <w:spacing w:val="26"/>
          <w:sz w:val="20"/>
        </w:rPr>
        <w:t> </w:t>
      </w:r>
      <w:r>
        <w:rPr>
          <w:i/>
          <w:sz w:val="20"/>
        </w:rPr>
        <w:t>the</w:t>
      </w:r>
      <w:r>
        <w:rPr>
          <w:i/>
          <w:spacing w:val="27"/>
          <w:sz w:val="20"/>
        </w:rPr>
        <w:t> </w:t>
      </w:r>
      <w:r>
        <w:rPr>
          <w:i/>
          <w:sz w:val="20"/>
        </w:rPr>
        <w:t>world</w:t>
      </w:r>
      <w:r>
        <w:rPr>
          <w:i/>
          <w:spacing w:val="28"/>
          <w:sz w:val="20"/>
        </w:rPr>
        <w:t> </w:t>
      </w:r>
      <w:r>
        <w:rPr>
          <w:i/>
          <w:sz w:val="20"/>
        </w:rPr>
        <w:t>well</w:t>
      </w:r>
      <w:r>
        <w:rPr>
          <w:i/>
          <w:spacing w:val="28"/>
          <w:sz w:val="20"/>
        </w:rPr>
        <w:t> </w:t>
      </w:r>
      <w:r>
        <w:rPr>
          <w:i/>
          <w:sz w:val="20"/>
        </w:rPr>
        <w:t>knows;</w:t>
      </w:r>
      <w:r>
        <w:rPr>
          <w:i/>
          <w:spacing w:val="27"/>
          <w:sz w:val="20"/>
        </w:rPr>
        <w:t> </w:t>
      </w:r>
      <w:r>
        <w:rPr>
          <w:i/>
          <w:sz w:val="20"/>
        </w:rPr>
        <w:t>yet</w:t>
      </w:r>
      <w:r>
        <w:rPr>
          <w:i/>
          <w:spacing w:val="24"/>
          <w:sz w:val="20"/>
        </w:rPr>
        <w:t> </w:t>
      </w:r>
      <w:r>
        <w:rPr>
          <w:i/>
          <w:sz w:val="20"/>
        </w:rPr>
        <w:t>none</w:t>
      </w:r>
      <w:r>
        <w:rPr>
          <w:i/>
          <w:spacing w:val="27"/>
          <w:sz w:val="20"/>
        </w:rPr>
        <w:t> </w:t>
      </w:r>
      <w:r>
        <w:rPr>
          <w:i/>
          <w:sz w:val="20"/>
        </w:rPr>
        <w:t>knows</w:t>
      </w:r>
      <w:r>
        <w:rPr>
          <w:i/>
          <w:spacing w:val="26"/>
          <w:sz w:val="20"/>
        </w:rPr>
        <w:t> </w:t>
      </w:r>
      <w:r>
        <w:rPr>
          <w:i/>
          <w:sz w:val="20"/>
        </w:rPr>
        <w:t>well To</w:t>
      </w:r>
      <w:r>
        <w:rPr>
          <w:i/>
          <w:spacing w:val="40"/>
          <w:sz w:val="20"/>
        </w:rPr>
        <w:t> </w:t>
      </w:r>
      <w:r>
        <w:rPr>
          <w:i/>
          <w:sz w:val="20"/>
        </w:rPr>
        <w:t>shun</w:t>
      </w:r>
      <w:r>
        <w:rPr>
          <w:i/>
          <w:spacing w:val="40"/>
          <w:sz w:val="20"/>
        </w:rPr>
        <w:t> </w:t>
      </w:r>
      <w:r>
        <w:rPr>
          <w:i/>
          <w:sz w:val="20"/>
        </w:rPr>
        <w:t>the</w:t>
      </w:r>
      <w:r>
        <w:rPr>
          <w:i/>
          <w:spacing w:val="40"/>
          <w:sz w:val="20"/>
        </w:rPr>
        <w:t> </w:t>
      </w:r>
      <w:r>
        <w:rPr>
          <w:i/>
          <w:sz w:val="20"/>
        </w:rPr>
        <w:t>heaven</w:t>
      </w:r>
      <w:r>
        <w:rPr>
          <w:i/>
          <w:spacing w:val="40"/>
          <w:sz w:val="20"/>
        </w:rPr>
        <w:t> </w:t>
      </w:r>
      <w:r>
        <w:rPr>
          <w:i/>
          <w:sz w:val="20"/>
        </w:rPr>
        <w:t>that</w:t>
      </w:r>
      <w:r>
        <w:rPr>
          <w:i/>
          <w:spacing w:val="40"/>
          <w:sz w:val="20"/>
        </w:rPr>
        <w:t> </w:t>
      </w:r>
      <w:r>
        <w:rPr>
          <w:i/>
          <w:sz w:val="20"/>
        </w:rPr>
        <w:t>leads</w:t>
      </w:r>
      <w:r>
        <w:rPr>
          <w:i/>
          <w:spacing w:val="40"/>
          <w:sz w:val="20"/>
        </w:rPr>
        <w:t> </w:t>
      </w:r>
      <w:r>
        <w:rPr>
          <w:i/>
          <w:sz w:val="20"/>
        </w:rPr>
        <w:t>men</w:t>
      </w:r>
      <w:r>
        <w:rPr>
          <w:i/>
          <w:spacing w:val="40"/>
          <w:sz w:val="20"/>
        </w:rPr>
        <w:t> </w:t>
      </w:r>
      <w:r>
        <w:rPr>
          <w:i/>
          <w:sz w:val="20"/>
        </w:rPr>
        <w:t>to</w:t>
      </w:r>
      <w:r>
        <w:rPr>
          <w:i/>
          <w:spacing w:val="40"/>
          <w:sz w:val="20"/>
        </w:rPr>
        <w:t> </w:t>
      </w:r>
      <w:r>
        <w:rPr>
          <w:i/>
          <w:sz w:val="20"/>
        </w:rPr>
        <w:t>this</w:t>
      </w:r>
      <w:r>
        <w:rPr>
          <w:i/>
          <w:spacing w:val="40"/>
          <w:sz w:val="20"/>
        </w:rPr>
        <w:t> </w:t>
      </w:r>
      <w:r>
        <w:rPr>
          <w:i/>
          <w:sz w:val="20"/>
        </w:rPr>
        <w:t>hell.</w:t>
      </w:r>
    </w:p>
    <w:p>
      <w:pPr>
        <w:pStyle w:val="BodyText"/>
        <w:spacing w:line="249" w:lineRule="auto"/>
        <w:ind w:right="1437" w:firstLine="432"/>
        <w:jc w:val="both"/>
      </w:pPr>
      <w:r>
        <w:rPr/>
        <w:t>This sonnet can be interpreted within archetypal reading as one reflecting a universal psychological pattern of desire or temptation, Indulgence</w:t>
      </w:r>
      <w:r>
        <w:rPr>
          <w:spacing w:val="-5"/>
        </w:rPr>
        <w:t> </w:t>
      </w:r>
      <w:r>
        <w:rPr/>
        <w:t>or</w:t>
      </w:r>
      <w:r>
        <w:rPr>
          <w:spacing w:val="-4"/>
        </w:rPr>
        <w:t> </w:t>
      </w:r>
      <w:r>
        <w:rPr/>
        <w:t>action</w:t>
      </w:r>
      <w:r>
        <w:rPr>
          <w:spacing w:val="-6"/>
        </w:rPr>
        <w:t> </w:t>
      </w:r>
      <w:r>
        <w:rPr/>
        <w:t>eventually</w:t>
      </w:r>
      <w:r>
        <w:rPr>
          <w:spacing w:val="-7"/>
        </w:rPr>
        <w:t> </w:t>
      </w:r>
      <w:r>
        <w:rPr/>
        <w:t>leading</w:t>
      </w:r>
      <w:r>
        <w:rPr>
          <w:spacing w:val="-9"/>
        </w:rPr>
        <w:t> </w:t>
      </w:r>
      <w:r>
        <w:rPr/>
        <w:t>to</w:t>
      </w:r>
      <w:r>
        <w:rPr>
          <w:spacing w:val="-2"/>
        </w:rPr>
        <w:t> </w:t>
      </w:r>
      <w:r>
        <w:rPr/>
        <w:t>guilt</w:t>
      </w:r>
      <w:r>
        <w:rPr>
          <w:spacing w:val="-4"/>
        </w:rPr>
        <w:t> </w:t>
      </w:r>
      <w:r>
        <w:rPr/>
        <w:t>or</w:t>
      </w:r>
      <w:r>
        <w:rPr>
          <w:spacing w:val="-2"/>
        </w:rPr>
        <w:t> </w:t>
      </w:r>
      <w:r>
        <w:rPr/>
        <w:t>shame.</w:t>
      </w:r>
      <w:r>
        <w:rPr>
          <w:spacing w:val="-6"/>
        </w:rPr>
        <w:t> </w:t>
      </w:r>
      <w:r>
        <w:rPr/>
        <w:t>From</w:t>
      </w:r>
      <w:r>
        <w:rPr>
          <w:spacing w:val="-8"/>
        </w:rPr>
        <w:t> </w:t>
      </w:r>
      <w:r>
        <w:rPr/>
        <w:t>Jungian perspective, ‘Shadow’ – the repressed, instinctual part of the psyche is erupted. The ‘Persona’ is no longer courtly but “perjured” and “full of blame”.</w:t>
      </w:r>
      <w:r>
        <w:rPr>
          <w:spacing w:val="-13"/>
        </w:rPr>
        <w:t> </w:t>
      </w:r>
      <w:r>
        <w:rPr/>
        <w:t>Sonnet</w:t>
      </w:r>
      <w:r>
        <w:rPr>
          <w:spacing w:val="-12"/>
        </w:rPr>
        <w:t> </w:t>
      </w:r>
      <w:r>
        <w:rPr/>
        <w:t>129</w:t>
      </w:r>
      <w:r>
        <w:rPr>
          <w:spacing w:val="-13"/>
        </w:rPr>
        <w:t> </w:t>
      </w:r>
      <w:r>
        <w:rPr/>
        <w:t>also</w:t>
      </w:r>
      <w:r>
        <w:rPr>
          <w:spacing w:val="-12"/>
        </w:rPr>
        <w:t> </w:t>
      </w:r>
      <w:r>
        <w:rPr/>
        <w:t>occupies</w:t>
      </w:r>
      <w:r>
        <w:rPr>
          <w:spacing w:val="-13"/>
        </w:rPr>
        <w:t> </w:t>
      </w:r>
      <w:r>
        <w:rPr/>
        <w:t>the</w:t>
      </w:r>
      <w:r>
        <w:rPr>
          <w:spacing w:val="-12"/>
        </w:rPr>
        <w:t> </w:t>
      </w:r>
      <w:r>
        <w:rPr/>
        <w:t>‘Mythos</w:t>
      </w:r>
      <w:r>
        <w:rPr>
          <w:spacing w:val="-13"/>
        </w:rPr>
        <w:t> </w:t>
      </w:r>
      <w:r>
        <w:rPr/>
        <w:t>of</w:t>
      </w:r>
      <w:r>
        <w:rPr>
          <w:spacing w:val="-12"/>
        </w:rPr>
        <w:t> </w:t>
      </w:r>
      <w:r>
        <w:rPr/>
        <w:t>Winter’</w:t>
      </w:r>
      <w:r>
        <w:rPr>
          <w:spacing w:val="-13"/>
        </w:rPr>
        <w:t> </w:t>
      </w:r>
      <w:r>
        <w:rPr/>
        <w:t>and</w:t>
      </w:r>
      <w:r>
        <w:rPr>
          <w:spacing w:val="-12"/>
        </w:rPr>
        <w:t> </w:t>
      </w:r>
      <w:r>
        <w:rPr/>
        <w:t>is</w:t>
      </w:r>
      <w:r>
        <w:rPr>
          <w:spacing w:val="-13"/>
        </w:rPr>
        <w:t> </w:t>
      </w:r>
      <w:r>
        <w:rPr/>
        <w:t>depicted through the use of binary in the sonnet. The shift from “summer” of youthful</w:t>
      </w:r>
      <w:r>
        <w:rPr>
          <w:spacing w:val="-2"/>
        </w:rPr>
        <w:t> </w:t>
      </w:r>
      <w:r>
        <w:rPr/>
        <w:t>passion</w:t>
      </w:r>
      <w:r>
        <w:rPr>
          <w:spacing w:val="-1"/>
        </w:rPr>
        <w:t> </w:t>
      </w:r>
      <w:r>
        <w:rPr/>
        <w:t>to</w:t>
      </w:r>
      <w:r>
        <w:rPr>
          <w:spacing w:val="-1"/>
        </w:rPr>
        <w:t> </w:t>
      </w:r>
      <w:r>
        <w:rPr/>
        <w:t>“winter”</w:t>
      </w:r>
      <w:r>
        <w:rPr>
          <w:spacing w:val="-2"/>
        </w:rPr>
        <w:t> </w:t>
      </w:r>
      <w:r>
        <w:rPr/>
        <w:t>is</w:t>
      </w:r>
      <w:r>
        <w:rPr>
          <w:spacing w:val="-2"/>
        </w:rPr>
        <w:t> </w:t>
      </w:r>
      <w:r>
        <w:rPr/>
        <w:t>made clear</w:t>
      </w:r>
      <w:r>
        <w:rPr>
          <w:spacing w:val="-2"/>
        </w:rPr>
        <w:t> </w:t>
      </w:r>
      <w:r>
        <w:rPr/>
        <w:t>with</w:t>
      </w:r>
      <w:r>
        <w:rPr>
          <w:spacing w:val="-4"/>
        </w:rPr>
        <w:t> </w:t>
      </w:r>
      <w:r>
        <w:rPr/>
        <w:t>heaven-hell</w:t>
      </w:r>
      <w:r>
        <w:rPr>
          <w:spacing w:val="-1"/>
        </w:rPr>
        <w:t> </w:t>
      </w:r>
      <w:r>
        <w:rPr/>
        <w:t>binary.</w:t>
      </w:r>
      <w:r>
        <w:rPr>
          <w:spacing w:val="-4"/>
        </w:rPr>
        <w:t> </w:t>
      </w:r>
      <w:r>
        <w:rPr/>
        <w:t>The cyclical pattern, and the ’shadow’</w:t>
      </w:r>
      <w:r>
        <w:rPr>
          <w:spacing w:val="-1"/>
        </w:rPr>
        <w:t> </w:t>
      </w:r>
      <w:r>
        <w:rPr/>
        <w:t>are structurally embedded in human psychology and</w:t>
      </w:r>
      <w:r>
        <w:rPr>
          <w:spacing w:val="24"/>
        </w:rPr>
        <w:t> </w:t>
      </w:r>
      <w:r>
        <w:rPr/>
        <w:t>are</w:t>
      </w:r>
      <w:r>
        <w:rPr>
          <w:spacing w:val="24"/>
        </w:rPr>
        <w:t> </w:t>
      </w:r>
      <w:r>
        <w:rPr/>
        <w:t>universal</w:t>
      </w:r>
      <w:r>
        <w:rPr>
          <w:spacing w:val="24"/>
        </w:rPr>
        <w:t> </w:t>
      </w:r>
      <w:r>
        <w:rPr/>
        <w:t>patterns</w:t>
      </w:r>
      <w:r>
        <w:rPr>
          <w:spacing w:val="24"/>
        </w:rPr>
        <w:t> </w:t>
      </w:r>
      <w:r>
        <w:rPr/>
        <w:t>that the</w:t>
      </w:r>
      <w:r>
        <w:rPr>
          <w:spacing w:val="24"/>
        </w:rPr>
        <w:t> </w:t>
      </w:r>
      <w:r>
        <w:rPr/>
        <w:t>sonnet</w:t>
      </w:r>
      <w:r>
        <w:rPr>
          <w:spacing w:val="24"/>
        </w:rPr>
        <w:t> </w:t>
      </w:r>
      <w:r>
        <w:rPr/>
        <w:t>represents</w:t>
      </w:r>
      <w:r>
        <w:rPr>
          <w:spacing w:val="24"/>
        </w:rPr>
        <w:t> </w:t>
      </w:r>
      <w:r>
        <w:rPr/>
        <w:t>both in the ethically moral Elizabethan era and in contemporary morally complex</w:t>
      </w:r>
      <w:r>
        <w:rPr>
          <w:spacing w:val="-17"/>
        </w:rPr>
        <w:t> </w:t>
      </w:r>
      <w:r>
        <w:rPr/>
        <w:t>era.</w:t>
      </w:r>
    </w:p>
    <w:p>
      <w:pPr>
        <w:pStyle w:val="BodyText"/>
        <w:spacing w:line="249" w:lineRule="auto" w:before="67"/>
        <w:ind w:right="1438" w:firstLine="432"/>
        <w:jc w:val="both"/>
      </w:pPr>
      <w:r>
        <w:rPr/>
        <w:t>Feminist Reading of the sonnet, sees it as a male-dominant perspective.</w:t>
      </w:r>
      <w:r>
        <w:rPr>
          <w:spacing w:val="-3"/>
        </w:rPr>
        <w:t> </w:t>
      </w:r>
      <w:r>
        <w:rPr/>
        <w:t>Where</w:t>
      </w:r>
      <w:r>
        <w:rPr>
          <w:spacing w:val="-4"/>
        </w:rPr>
        <w:t> </w:t>
      </w:r>
      <w:r>
        <w:rPr/>
        <w:t>he</w:t>
      </w:r>
      <w:r>
        <w:rPr>
          <w:spacing w:val="-5"/>
        </w:rPr>
        <w:t> </w:t>
      </w:r>
      <w:r>
        <w:rPr/>
        <w:t>is</w:t>
      </w:r>
      <w:r>
        <w:rPr>
          <w:spacing w:val="-3"/>
        </w:rPr>
        <w:t> </w:t>
      </w:r>
      <w:r>
        <w:rPr/>
        <w:t>in</w:t>
      </w:r>
      <w:r>
        <w:rPr>
          <w:spacing w:val="-5"/>
        </w:rPr>
        <w:t> </w:t>
      </w:r>
      <w:r>
        <w:rPr/>
        <w:t>command</w:t>
      </w:r>
      <w:r>
        <w:rPr>
          <w:spacing w:val="-5"/>
        </w:rPr>
        <w:t> </w:t>
      </w:r>
      <w:r>
        <w:rPr/>
        <w:t>and</w:t>
      </w:r>
      <w:r>
        <w:rPr>
          <w:spacing w:val="-3"/>
        </w:rPr>
        <w:t> </w:t>
      </w:r>
      <w:r>
        <w:rPr/>
        <w:t>the</w:t>
      </w:r>
      <w:r>
        <w:rPr>
          <w:spacing w:val="-3"/>
        </w:rPr>
        <w:t> </w:t>
      </w:r>
      <w:r>
        <w:rPr/>
        <w:t>women</w:t>
      </w:r>
      <w:r>
        <w:rPr>
          <w:spacing w:val="-5"/>
        </w:rPr>
        <w:t> </w:t>
      </w:r>
      <w:r>
        <w:rPr/>
        <w:t>is</w:t>
      </w:r>
      <w:r>
        <w:rPr>
          <w:spacing w:val="-5"/>
        </w:rPr>
        <w:t> </w:t>
      </w:r>
      <w:r>
        <w:rPr/>
        <w:t>silenced</w:t>
      </w:r>
      <w:r>
        <w:rPr>
          <w:spacing w:val="-3"/>
        </w:rPr>
        <w:t> </w:t>
      </w:r>
      <w:r>
        <w:rPr/>
        <w:t>object. As</w:t>
      </w:r>
      <w:r>
        <w:rPr>
          <w:spacing w:val="-5"/>
        </w:rPr>
        <w:t> </w:t>
      </w:r>
      <w:r>
        <w:rPr/>
        <w:t>an</w:t>
      </w:r>
      <w:r>
        <w:rPr>
          <w:spacing w:val="-5"/>
        </w:rPr>
        <w:t> </w:t>
      </w:r>
      <w:r>
        <w:rPr/>
        <w:t>object</w:t>
      </w:r>
      <w:r>
        <w:rPr>
          <w:spacing w:val="-5"/>
        </w:rPr>
        <w:t> </w:t>
      </w:r>
      <w:r>
        <w:rPr/>
        <w:t>of</w:t>
      </w:r>
      <w:r>
        <w:rPr>
          <w:spacing w:val="-3"/>
        </w:rPr>
        <w:t> </w:t>
      </w:r>
      <w:r>
        <w:rPr/>
        <w:t>male</w:t>
      </w:r>
      <w:r>
        <w:rPr>
          <w:spacing w:val="-4"/>
        </w:rPr>
        <w:t> </w:t>
      </w:r>
      <w:r>
        <w:rPr/>
        <w:t>desire,</w:t>
      </w:r>
      <w:r>
        <w:rPr>
          <w:spacing w:val="-4"/>
        </w:rPr>
        <w:t> </w:t>
      </w:r>
      <w:r>
        <w:rPr/>
        <w:t>she</w:t>
      </w:r>
      <w:r>
        <w:rPr>
          <w:spacing w:val="-4"/>
        </w:rPr>
        <w:t> </w:t>
      </w:r>
      <w:r>
        <w:rPr/>
        <w:t>is</w:t>
      </w:r>
      <w:r>
        <w:rPr>
          <w:spacing w:val="-5"/>
        </w:rPr>
        <w:t> </w:t>
      </w:r>
      <w:r>
        <w:rPr/>
        <w:t>devalued</w:t>
      </w:r>
      <w:r>
        <w:rPr>
          <w:spacing w:val="-3"/>
        </w:rPr>
        <w:t> </w:t>
      </w:r>
      <w:r>
        <w:rPr/>
        <w:t>soon</w:t>
      </w:r>
      <w:r>
        <w:rPr>
          <w:spacing w:val="-3"/>
        </w:rPr>
        <w:t> </w:t>
      </w:r>
      <w:r>
        <w:rPr/>
        <w:t>after</w:t>
      </w:r>
      <w:r>
        <w:rPr>
          <w:spacing w:val="-3"/>
        </w:rPr>
        <w:t> </w:t>
      </w:r>
      <w:r>
        <w:rPr/>
        <w:t>the</w:t>
      </w:r>
      <w:r>
        <w:rPr>
          <w:spacing w:val="-3"/>
        </w:rPr>
        <w:t> </w:t>
      </w:r>
      <w:r>
        <w:rPr>
          <w:spacing w:val="-2"/>
        </w:rPr>
        <w:t>consumption.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8592">
                <wp:simplePos x="0" y="0"/>
                <wp:positionH relativeFrom="page">
                  <wp:posOffset>2057400</wp:posOffset>
                </wp:positionH>
                <wp:positionV relativeFrom="paragraph">
                  <wp:posOffset>162604</wp:posOffset>
                </wp:positionV>
                <wp:extent cx="3657600" cy="12700"/>
                <wp:effectExtent l="0" t="0" r="0" b="0"/>
                <wp:wrapTopAndBottom/>
                <wp:docPr id="871" name="Graphic 871"/>
                <wp:cNvGraphicFramePr>
                  <a:graphicFrameLocks/>
                </wp:cNvGraphicFramePr>
                <a:graphic>
                  <a:graphicData uri="http://schemas.microsoft.com/office/word/2010/wordprocessingShape">
                    <wps:wsp>
                      <wps:cNvPr id="871" name="Graphic 87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97888;mso-wrap-distance-left:0;mso-wrap-distance-right:0" id="docshape863" filled="true" fillcolor="#000000" stroked="false">
                <v:fill type="solid"/>
                <w10:wrap type="topAndBottom"/>
              </v:rect>
            </w:pict>
          </mc:Fallback>
        </mc:AlternateContent>
      </w:r>
      <w:r>
        <w:rPr>
          <w:rFonts w:ascii="Verdana"/>
          <w:spacing w:val="-5"/>
          <w:sz w:val="18"/>
        </w:rPr>
        <w:t>460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8"/>
        <w:jc w:val="both"/>
      </w:pPr>
      <w:r>
        <w:rPr/>
        <w:t>The power balance between the gender is biased which is true representation</w:t>
      </w:r>
      <w:r>
        <w:rPr>
          <w:spacing w:val="-4"/>
        </w:rPr>
        <w:t> </w:t>
      </w:r>
      <w:r>
        <w:rPr/>
        <w:t>of</w:t>
      </w:r>
      <w:r>
        <w:rPr>
          <w:spacing w:val="-3"/>
        </w:rPr>
        <w:t> </w:t>
      </w:r>
      <w:r>
        <w:rPr/>
        <w:t>the</w:t>
      </w:r>
      <w:r>
        <w:rPr>
          <w:spacing w:val="-2"/>
        </w:rPr>
        <w:t> </w:t>
      </w:r>
      <w:r>
        <w:rPr/>
        <w:t>Elizabethan</w:t>
      </w:r>
      <w:r>
        <w:rPr>
          <w:spacing w:val="-3"/>
        </w:rPr>
        <w:t> </w:t>
      </w:r>
      <w:r>
        <w:rPr/>
        <w:t>era</w:t>
      </w:r>
      <w:r>
        <w:rPr>
          <w:spacing w:val="-4"/>
        </w:rPr>
        <w:t> </w:t>
      </w:r>
      <w:r>
        <w:rPr/>
        <w:t>and</w:t>
      </w:r>
      <w:r>
        <w:rPr>
          <w:spacing w:val="-3"/>
        </w:rPr>
        <w:t> </w:t>
      </w:r>
      <w:r>
        <w:rPr/>
        <w:t>is</w:t>
      </w:r>
      <w:r>
        <w:rPr>
          <w:spacing w:val="-1"/>
        </w:rPr>
        <w:t> </w:t>
      </w:r>
      <w:r>
        <w:rPr/>
        <w:t>blurred</w:t>
      </w:r>
      <w:r>
        <w:rPr>
          <w:spacing w:val="-3"/>
        </w:rPr>
        <w:t> </w:t>
      </w:r>
      <w:r>
        <w:rPr/>
        <w:t>in</w:t>
      </w:r>
      <w:r>
        <w:rPr>
          <w:spacing w:val="-1"/>
        </w:rPr>
        <w:t> </w:t>
      </w:r>
      <w:r>
        <w:rPr/>
        <w:t>the</w:t>
      </w:r>
      <w:r>
        <w:rPr>
          <w:spacing w:val="-3"/>
        </w:rPr>
        <w:t> </w:t>
      </w:r>
      <w:r>
        <w:rPr/>
        <w:t>contemporary era. The “mad pursuit” was heavenly but after possession, she is degraded and devalued. The feminist reading includes the discourse analysis</w:t>
      </w:r>
      <w:r>
        <w:rPr>
          <w:spacing w:val="40"/>
        </w:rPr>
        <w:t> </w:t>
      </w:r>
      <w:r>
        <w:rPr/>
        <w:t>of</w:t>
      </w:r>
      <w:r>
        <w:rPr>
          <w:spacing w:val="40"/>
        </w:rPr>
        <w:t> </w:t>
      </w:r>
      <w:r>
        <w:rPr/>
        <w:t>the</w:t>
      </w:r>
      <w:r>
        <w:rPr>
          <w:spacing w:val="40"/>
        </w:rPr>
        <w:t> </w:t>
      </w:r>
      <w:r>
        <w:rPr/>
        <w:t>sonnet.</w:t>
      </w:r>
    </w:p>
    <w:p>
      <w:pPr>
        <w:pStyle w:val="BodyText"/>
        <w:spacing w:line="249" w:lineRule="auto" w:before="62"/>
        <w:ind w:right="1440" w:firstLine="432"/>
        <w:jc w:val="both"/>
      </w:pPr>
      <w:r>
        <w:rPr/>
        <w:t>Based on the ideas of Michel Foucault, the concept of lust is constructed with intensifiers and hyperboles. Vocabulary of excess, “mad”, “extreme”, “savage” and “cruel”, are not just descriptive but constructive framing lust as a natural, and uncontrollable. The subject uses</w:t>
      </w:r>
      <w:r>
        <w:rPr>
          <w:spacing w:val="-1"/>
        </w:rPr>
        <w:t> </w:t>
      </w:r>
      <w:r>
        <w:rPr/>
        <w:t>such discourse factors to shift the blame smoothly</w:t>
      </w:r>
      <w:r>
        <w:rPr>
          <w:spacing w:val="-3"/>
        </w:rPr>
        <w:t> </w:t>
      </w:r>
      <w:r>
        <w:rPr/>
        <w:t>from him</w:t>
      </w:r>
      <w:r>
        <w:rPr>
          <w:spacing w:val="-2"/>
        </w:rPr>
        <w:t> </w:t>
      </w:r>
      <w:r>
        <w:rPr/>
        <w:t>to the agency, desire itself. Indulgence is seen not as a yielding to temptation but</w:t>
      </w:r>
      <w:r>
        <w:rPr>
          <w:spacing w:val="-13"/>
        </w:rPr>
        <w:t> </w:t>
      </w:r>
      <w:r>
        <w:rPr/>
        <w:t>a</w:t>
      </w:r>
      <w:r>
        <w:rPr>
          <w:spacing w:val="-12"/>
        </w:rPr>
        <w:t> </w:t>
      </w:r>
      <w:r>
        <w:rPr/>
        <w:t>force</w:t>
      </w:r>
      <w:r>
        <w:rPr>
          <w:spacing w:val="-13"/>
        </w:rPr>
        <w:t> </w:t>
      </w:r>
      <w:r>
        <w:rPr/>
        <w:t>of</w:t>
      </w:r>
      <w:r>
        <w:rPr>
          <w:spacing w:val="-12"/>
        </w:rPr>
        <w:t> </w:t>
      </w:r>
      <w:r>
        <w:rPr/>
        <w:t>nature</w:t>
      </w:r>
      <w:r>
        <w:rPr>
          <w:spacing w:val="-13"/>
        </w:rPr>
        <w:t> </w:t>
      </w:r>
      <w:r>
        <w:rPr/>
        <w:t>than</w:t>
      </w:r>
      <w:r>
        <w:rPr>
          <w:spacing w:val="-12"/>
        </w:rPr>
        <w:t> </w:t>
      </w:r>
      <w:r>
        <w:rPr/>
        <w:t>leaves</w:t>
      </w:r>
      <w:r>
        <w:rPr>
          <w:spacing w:val="-13"/>
        </w:rPr>
        <w:t> </w:t>
      </w:r>
      <w:r>
        <w:rPr/>
        <w:t>no</w:t>
      </w:r>
      <w:r>
        <w:rPr>
          <w:spacing w:val="-12"/>
        </w:rPr>
        <w:t> </w:t>
      </w:r>
      <w:r>
        <w:rPr/>
        <w:t>room</w:t>
      </w:r>
      <w:r>
        <w:rPr>
          <w:spacing w:val="-13"/>
        </w:rPr>
        <w:t> </w:t>
      </w:r>
      <w:r>
        <w:rPr/>
        <w:t>for</w:t>
      </w:r>
      <w:r>
        <w:rPr>
          <w:spacing w:val="-12"/>
        </w:rPr>
        <w:t> </w:t>
      </w:r>
      <w:r>
        <w:rPr/>
        <w:t>choice.</w:t>
      </w:r>
      <w:r>
        <w:rPr>
          <w:spacing w:val="-13"/>
        </w:rPr>
        <w:t> </w:t>
      </w:r>
      <w:r>
        <w:rPr/>
        <w:t>Thereby,</w:t>
      </w:r>
      <w:r>
        <w:rPr>
          <w:spacing w:val="-12"/>
        </w:rPr>
        <w:t> </w:t>
      </w:r>
      <w:r>
        <w:rPr/>
        <w:t>indulgence </w:t>
      </w:r>
      <w:r>
        <w:rPr>
          <w:spacing w:val="-2"/>
        </w:rPr>
        <w:t>is</w:t>
      </w:r>
      <w:r>
        <w:rPr>
          <w:spacing w:val="-5"/>
        </w:rPr>
        <w:t> </w:t>
      </w:r>
      <w:r>
        <w:rPr>
          <w:spacing w:val="-2"/>
        </w:rPr>
        <w:t>normalised</w:t>
      </w:r>
      <w:r>
        <w:rPr>
          <w:spacing w:val="-5"/>
        </w:rPr>
        <w:t> </w:t>
      </w:r>
      <w:r>
        <w:rPr>
          <w:spacing w:val="-2"/>
        </w:rPr>
        <w:t>and</w:t>
      </w:r>
      <w:r>
        <w:rPr>
          <w:spacing w:val="-3"/>
        </w:rPr>
        <w:t> </w:t>
      </w:r>
      <w:r>
        <w:rPr>
          <w:spacing w:val="-2"/>
        </w:rPr>
        <w:t>not</w:t>
      </w:r>
      <w:r>
        <w:rPr>
          <w:spacing w:val="-6"/>
        </w:rPr>
        <w:t> </w:t>
      </w:r>
      <w:r>
        <w:rPr>
          <w:spacing w:val="-2"/>
        </w:rPr>
        <w:t>seen</w:t>
      </w:r>
      <w:r>
        <w:rPr>
          <w:spacing w:val="-5"/>
        </w:rPr>
        <w:t> </w:t>
      </w:r>
      <w:r>
        <w:rPr>
          <w:spacing w:val="-2"/>
        </w:rPr>
        <w:t>as</w:t>
      </w:r>
      <w:r>
        <w:rPr>
          <w:spacing w:val="-7"/>
        </w:rPr>
        <w:t> </w:t>
      </w:r>
      <w:r>
        <w:rPr>
          <w:spacing w:val="-2"/>
        </w:rPr>
        <w:t>a</w:t>
      </w:r>
      <w:r>
        <w:rPr>
          <w:spacing w:val="-5"/>
        </w:rPr>
        <w:t> </w:t>
      </w:r>
      <w:r>
        <w:rPr>
          <w:spacing w:val="-2"/>
        </w:rPr>
        <w:t>transgression.</w:t>
      </w:r>
      <w:r>
        <w:rPr>
          <w:spacing w:val="-5"/>
        </w:rPr>
        <w:t> </w:t>
      </w:r>
      <w:r>
        <w:rPr>
          <w:spacing w:val="-2"/>
        </w:rPr>
        <w:t>The</w:t>
      </w:r>
      <w:r>
        <w:rPr>
          <w:spacing w:val="-4"/>
        </w:rPr>
        <w:t> </w:t>
      </w:r>
      <w:r>
        <w:rPr>
          <w:spacing w:val="-2"/>
        </w:rPr>
        <w:t>final</w:t>
      </w:r>
      <w:r>
        <w:rPr>
          <w:spacing w:val="-7"/>
        </w:rPr>
        <w:t> </w:t>
      </w:r>
      <w:r>
        <w:rPr>
          <w:spacing w:val="-2"/>
        </w:rPr>
        <w:t>couplet</w:t>
      </w:r>
      <w:r>
        <w:rPr>
          <w:spacing w:val="-3"/>
        </w:rPr>
        <w:t> </w:t>
      </w:r>
      <w:r>
        <w:rPr>
          <w:spacing w:val="-2"/>
        </w:rPr>
        <w:t>reinforces </w:t>
      </w:r>
      <w:r>
        <w:rPr/>
        <w:t>that the pattern and the act is universally known, repeatedly enacted</w:t>
      </w:r>
      <w:r>
        <w:rPr>
          <w:spacing w:val="40"/>
        </w:rPr>
        <w:t> </w:t>
      </w:r>
      <w:r>
        <w:rPr/>
        <w:t>and inescapable. Making desire universal and recurring pattern reflects how</w:t>
      </w:r>
      <w:r>
        <w:rPr>
          <w:spacing w:val="40"/>
        </w:rPr>
        <w:t> </w:t>
      </w:r>
      <w:r>
        <w:rPr/>
        <w:t>the</w:t>
      </w:r>
      <w:r>
        <w:rPr>
          <w:spacing w:val="40"/>
        </w:rPr>
        <w:t> </w:t>
      </w:r>
      <w:r>
        <w:rPr/>
        <w:t>discourse</w:t>
      </w:r>
      <w:r>
        <w:rPr>
          <w:spacing w:val="40"/>
        </w:rPr>
        <w:t> </w:t>
      </w:r>
      <w:r>
        <w:rPr/>
        <w:t>produces</w:t>
      </w:r>
      <w:r>
        <w:rPr>
          <w:spacing w:val="40"/>
        </w:rPr>
        <w:t> </w:t>
      </w:r>
      <w:r>
        <w:rPr/>
        <w:t>patterns</w:t>
      </w:r>
      <w:r>
        <w:rPr>
          <w:spacing w:val="40"/>
        </w:rPr>
        <w:t> </w:t>
      </w:r>
      <w:r>
        <w:rPr/>
        <w:t>of</w:t>
      </w:r>
      <w:r>
        <w:rPr>
          <w:spacing w:val="40"/>
        </w:rPr>
        <w:t> </w:t>
      </w:r>
      <w:r>
        <w:rPr/>
        <w:t>behaviour.</w:t>
      </w:r>
    </w:p>
    <w:p>
      <w:pPr>
        <w:pStyle w:val="BodyText"/>
        <w:spacing w:line="249" w:lineRule="auto" w:before="67"/>
        <w:ind w:right="1439" w:firstLine="432"/>
        <w:jc w:val="both"/>
      </w:pPr>
      <w:r>
        <w:rPr/>
        <w:t>By the re-reading of the Sonnet 129, through archetypal, feminist and discourse theories, desire is seen as an archetype that is patterned</w:t>
      </w:r>
      <w:r>
        <w:rPr>
          <w:spacing w:val="40"/>
        </w:rPr>
        <w:t> </w:t>
      </w:r>
      <w:r>
        <w:rPr/>
        <w:t>as one that moves from temptation to indulgence and finally to shame. The</w:t>
      </w:r>
      <w:r>
        <w:rPr>
          <w:spacing w:val="28"/>
        </w:rPr>
        <w:t> </w:t>
      </w:r>
      <w:r>
        <w:rPr/>
        <w:t>universality of</w:t>
      </w:r>
      <w:r>
        <w:rPr>
          <w:spacing w:val="27"/>
        </w:rPr>
        <w:t> </w:t>
      </w:r>
      <w:r>
        <w:rPr/>
        <w:t>the</w:t>
      </w:r>
      <w:r>
        <w:rPr>
          <w:spacing w:val="28"/>
        </w:rPr>
        <w:t> </w:t>
      </w:r>
      <w:r>
        <w:rPr/>
        <w:t>desire</w:t>
      </w:r>
      <w:r>
        <w:rPr>
          <w:spacing w:val="26"/>
        </w:rPr>
        <w:t> </w:t>
      </w:r>
      <w:r>
        <w:rPr/>
        <w:t>archetype</w:t>
      </w:r>
      <w:r>
        <w:rPr>
          <w:spacing w:val="27"/>
        </w:rPr>
        <w:t> </w:t>
      </w:r>
      <w:r>
        <w:rPr/>
        <w:t>and</w:t>
      </w:r>
      <w:r>
        <w:rPr>
          <w:spacing w:val="29"/>
        </w:rPr>
        <w:t> </w:t>
      </w:r>
      <w:r>
        <w:rPr/>
        <w:t>its</w:t>
      </w:r>
      <w:r>
        <w:rPr>
          <w:spacing w:val="27"/>
        </w:rPr>
        <w:t> </w:t>
      </w:r>
      <w:r>
        <w:rPr/>
        <w:t>pattern is</w:t>
      </w:r>
      <w:r>
        <w:rPr>
          <w:spacing w:val="27"/>
        </w:rPr>
        <w:t> </w:t>
      </w:r>
      <w:r>
        <w:rPr/>
        <w:t>challenged by</w:t>
      </w:r>
      <w:r>
        <w:rPr>
          <w:spacing w:val="-4"/>
        </w:rPr>
        <w:t> </w:t>
      </w:r>
      <w:r>
        <w:rPr/>
        <w:t>feminist</w:t>
      </w:r>
      <w:r>
        <w:rPr>
          <w:spacing w:val="-1"/>
        </w:rPr>
        <w:t> </w:t>
      </w:r>
      <w:r>
        <w:rPr/>
        <w:t>theory</w:t>
      </w:r>
      <w:r>
        <w:rPr>
          <w:spacing w:val="-3"/>
        </w:rPr>
        <w:t> </w:t>
      </w:r>
      <w:r>
        <w:rPr/>
        <w:t>of</w:t>
      </w:r>
      <w:r>
        <w:rPr>
          <w:spacing w:val="-3"/>
        </w:rPr>
        <w:t> </w:t>
      </w:r>
      <w:r>
        <w:rPr/>
        <w:t>power</w:t>
      </w:r>
      <w:r>
        <w:rPr>
          <w:spacing w:val="-1"/>
        </w:rPr>
        <w:t> </w:t>
      </w:r>
      <w:r>
        <w:rPr/>
        <w:t>and</w:t>
      </w:r>
      <w:r>
        <w:rPr>
          <w:spacing w:val="-1"/>
        </w:rPr>
        <w:t> </w:t>
      </w:r>
      <w:r>
        <w:rPr/>
        <w:t>gender</w:t>
      </w:r>
      <w:r>
        <w:rPr>
          <w:spacing w:val="-1"/>
        </w:rPr>
        <w:t> </w:t>
      </w:r>
      <w:r>
        <w:rPr/>
        <w:t>dynamics.</w:t>
      </w:r>
      <w:r>
        <w:rPr>
          <w:spacing w:val="-1"/>
        </w:rPr>
        <w:t> </w:t>
      </w:r>
      <w:r>
        <w:rPr/>
        <w:t>The subject</w:t>
      </w:r>
      <w:r>
        <w:rPr>
          <w:spacing w:val="-2"/>
        </w:rPr>
        <w:t> </w:t>
      </w:r>
      <w:r>
        <w:rPr/>
        <w:t>does</w:t>
      </w:r>
      <w:r>
        <w:rPr>
          <w:spacing w:val="-3"/>
        </w:rPr>
        <w:t> </w:t>
      </w:r>
      <w:r>
        <w:rPr/>
        <w:t>not take</w:t>
      </w:r>
      <w:r>
        <w:rPr>
          <w:spacing w:val="-1"/>
        </w:rPr>
        <w:t> </w:t>
      </w:r>
      <w:r>
        <w:rPr/>
        <w:t>responsibility</w:t>
      </w:r>
      <w:r>
        <w:rPr>
          <w:spacing w:val="-5"/>
        </w:rPr>
        <w:t> </w:t>
      </w:r>
      <w:r>
        <w:rPr/>
        <w:t>of</w:t>
      </w:r>
      <w:r>
        <w:rPr>
          <w:spacing w:val="-4"/>
        </w:rPr>
        <w:t> </w:t>
      </w:r>
      <w:r>
        <w:rPr/>
        <w:t>his</w:t>
      </w:r>
      <w:r>
        <w:rPr>
          <w:spacing w:val="-2"/>
        </w:rPr>
        <w:t> </w:t>
      </w:r>
      <w:r>
        <w:rPr/>
        <w:t>action</w:t>
      </w:r>
      <w:r>
        <w:rPr>
          <w:spacing w:val="-4"/>
        </w:rPr>
        <w:t> </w:t>
      </w:r>
      <w:r>
        <w:rPr/>
        <w:t>but</w:t>
      </w:r>
      <w:r>
        <w:rPr>
          <w:spacing w:val="-4"/>
        </w:rPr>
        <w:t> </w:t>
      </w:r>
      <w:r>
        <w:rPr/>
        <w:t>comfortably</w:t>
      </w:r>
      <w:r>
        <w:rPr>
          <w:spacing w:val="-5"/>
        </w:rPr>
        <w:t> </w:t>
      </w:r>
      <w:r>
        <w:rPr/>
        <w:t>shifts</w:t>
      </w:r>
      <w:r>
        <w:rPr>
          <w:spacing w:val="-2"/>
        </w:rPr>
        <w:t> </w:t>
      </w:r>
      <w:r>
        <w:rPr/>
        <w:t>the</w:t>
      </w:r>
      <w:r>
        <w:rPr>
          <w:spacing w:val="-3"/>
        </w:rPr>
        <w:t> </w:t>
      </w:r>
      <w:r>
        <w:rPr/>
        <w:t>focus</w:t>
      </w:r>
      <w:r>
        <w:rPr>
          <w:spacing w:val="-2"/>
        </w:rPr>
        <w:t> </w:t>
      </w:r>
      <w:r>
        <w:rPr/>
        <w:t>off</w:t>
      </w:r>
      <w:r>
        <w:rPr>
          <w:spacing w:val="-4"/>
        </w:rPr>
        <w:t> </w:t>
      </w:r>
      <w:r>
        <w:rPr/>
        <w:t>him to the agency, the desire itself as a source of all action. The subject is expressive</w:t>
      </w:r>
      <w:r>
        <w:rPr>
          <w:spacing w:val="-3"/>
        </w:rPr>
        <w:t> </w:t>
      </w:r>
      <w:r>
        <w:rPr/>
        <w:t>and</w:t>
      </w:r>
      <w:r>
        <w:rPr>
          <w:spacing w:val="-3"/>
        </w:rPr>
        <w:t> </w:t>
      </w:r>
      <w:r>
        <w:rPr/>
        <w:t>the</w:t>
      </w:r>
      <w:r>
        <w:rPr>
          <w:spacing w:val="-1"/>
        </w:rPr>
        <w:t> </w:t>
      </w:r>
      <w:r>
        <w:rPr/>
        <w:t>women</w:t>
      </w:r>
      <w:r>
        <w:rPr>
          <w:spacing w:val="-5"/>
        </w:rPr>
        <w:t> </w:t>
      </w:r>
      <w:r>
        <w:rPr/>
        <w:t>is</w:t>
      </w:r>
      <w:r>
        <w:rPr>
          <w:spacing w:val="-3"/>
        </w:rPr>
        <w:t> </w:t>
      </w:r>
      <w:r>
        <w:rPr/>
        <w:t>silenced</w:t>
      </w:r>
      <w:r>
        <w:rPr>
          <w:spacing w:val="-3"/>
        </w:rPr>
        <w:t> </w:t>
      </w:r>
      <w:r>
        <w:rPr/>
        <w:t>and so the</w:t>
      </w:r>
      <w:r>
        <w:rPr>
          <w:spacing w:val="-4"/>
        </w:rPr>
        <w:t> </w:t>
      </w:r>
      <w:r>
        <w:rPr/>
        <w:t>male</w:t>
      </w:r>
      <w:r>
        <w:rPr>
          <w:spacing w:val="-2"/>
        </w:rPr>
        <w:t> </w:t>
      </w:r>
      <w:r>
        <w:rPr/>
        <w:t>perspective</w:t>
      </w:r>
      <w:r>
        <w:rPr>
          <w:spacing w:val="-4"/>
        </w:rPr>
        <w:t> </w:t>
      </w:r>
      <w:r>
        <w:rPr/>
        <w:t>is</w:t>
      </w:r>
      <w:r>
        <w:rPr>
          <w:spacing w:val="-1"/>
        </w:rPr>
        <w:t> </w:t>
      </w:r>
      <w:r>
        <w:rPr/>
        <w:t>the privileged. The expression of subject when subjected to discourse analysis helps us to see it through a better light and provide a extended interpretation.</w:t>
      </w:r>
      <w:r>
        <w:rPr>
          <w:spacing w:val="40"/>
        </w:rPr>
        <w:t> </w:t>
      </w:r>
      <w:r>
        <w:rPr/>
        <w:t>Adding to these perspectives, in the need of re-reading and re-interpreting from #MeToo ethics because it is then that the true critical</w:t>
      </w:r>
      <w:r>
        <w:rPr>
          <w:spacing w:val="-6"/>
        </w:rPr>
        <w:t> </w:t>
      </w:r>
      <w:r>
        <w:rPr/>
        <w:t>applicability</w:t>
      </w:r>
      <w:r>
        <w:rPr>
          <w:spacing w:val="-5"/>
        </w:rPr>
        <w:t> </w:t>
      </w:r>
      <w:r>
        <w:rPr/>
        <w:t>of</w:t>
      </w:r>
      <w:r>
        <w:rPr>
          <w:spacing w:val="-5"/>
        </w:rPr>
        <w:t> </w:t>
      </w:r>
      <w:r>
        <w:rPr/>
        <w:t>the</w:t>
      </w:r>
      <w:r>
        <w:rPr>
          <w:spacing w:val="-4"/>
        </w:rPr>
        <w:t> </w:t>
      </w:r>
      <w:r>
        <w:rPr/>
        <w:t>canonical</w:t>
      </w:r>
      <w:r>
        <w:rPr>
          <w:spacing w:val="-5"/>
        </w:rPr>
        <w:t> </w:t>
      </w:r>
      <w:r>
        <w:rPr/>
        <w:t>texts</w:t>
      </w:r>
      <w:r>
        <w:rPr>
          <w:spacing w:val="-3"/>
        </w:rPr>
        <w:t> </w:t>
      </w:r>
      <w:r>
        <w:rPr/>
        <w:t>and</w:t>
      </w:r>
      <w:r>
        <w:rPr>
          <w:spacing w:val="-5"/>
        </w:rPr>
        <w:t> </w:t>
      </w:r>
      <w:r>
        <w:rPr/>
        <w:t>its</w:t>
      </w:r>
      <w:r>
        <w:rPr>
          <w:spacing w:val="-5"/>
        </w:rPr>
        <w:t> </w:t>
      </w:r>
      <w:r>
        <w:rPr/>
        <w:t>essence</w:t>
      </w:r>
      <w:r>
        <w:rPr>
          <w:spacing w:val="-3"/>
        </w:rPr>
        <w:t> </w:t>
      </w:r>
      <w:r>
        <w:rPr/>
        <w:t>is</w:t>
      </w:r>
      <w:r>
        <w:rPr>
          <w:spacing w:val="-5"/>
        </w:rPr>
        <w:t> </w:t>
      </w:r>
      <w:r>
        <w:rPr>
          <w:spacing w:val="-2"/>
        </w:rPr>
        <w:t>understood.</w:t>
      </w:r>
    </w:p>
    <w:p>
      <w:pPr>
        <w:pStyle w:val="BodyText"/>
        <w:spacing w:line="249" w:lineRule="auto" w:before="70"/>
        <w:ind w:right="1439" w:firstLine="432"/>
        <w:jc w:val="both"/>
      </w:pPr>
      <w:r>
        <w:rPr/>
        <w:t>The question of universality that is constructed through language, is shaped by gender and becomes ethically questionable by modern standards. In the first quatrain is the realisation of the subject that ‘lust in action’ is a ‘waste</w:t>
      </w:r>
      <w:r>
        <w:rPr>
          <w:spacing w:val="16"/>
        </w:rPr>
        <w:t> </w:t>
      </w:r>
      <w:r>
        <w:rPr/>
        <w:t>of shame’. The subject</w:t>
      </w:r>
      <w:r>
        <w:rPr>
          <w:spacing w:val="16"/>
        </w:rPr>
        <w:t> </w:t>
      </w:r>
      <w:r>
        <w:rPr/>
        <w:t>is filled with guilt which</w:t>
      </w:r>
      <w:r>
        <w:rPr>
          <w:spacing w:val="80"/>
        </w:rPr>
        <w:t> </w:t>
      </w:r>
      <w:r>
        <w:rPr/>
        <w:t>is understood through the excess use of vocabulary – ‘perjured’, </w:t>
      </w:r>
      <w:r>
        <w:rPr>
          <w:spacing w:val="-4"/>
        </w:rPr>
        <w:t>‘murd’rous’, ‘bloody’, ‘full of blame’,</w:t>
      </w:r>
      <w:r>
        <w:rPr/>
        <w:t> </w:t>
      </w:r>
      <w:r>
        <w:rPr>
          <w:spacing w:val="-4"/>
        </w:rPr>
        <w:t>‘savage’, ‘extreme’, ‘rude’, ‘crude’. </w:t>
      </w:r>
      <w:r>
        <w:rPr/>
        <w:t>The active voice discourse in the first quatrain shifts to passive</w:t>
      </w:r>
      <w:r>
        <w:rPr>
          <w:spacing w:val="20"/>
        </w:rPr>
        <w:t> </w:t>
      </w:r>
      <w:r>
        <w:rPr/>
        <w:t>voice</w:t>
      </w:r>
      <w:r>
        <w:rPr>
          <w:spacing w:val="80"/>
        </w:rPr>
        <w:t> </w:t>
      </w:r>
      <w:r>
        <w:rPr/>
        <w:t>in the second quatrain. This serves two purposes, one to shed himself</w:t>
      </w:r>
      <w:r>
        <w:rPr>
          <w:spacing w:val="80"/>
        </w:rPr>
        <w:t> </w:t>
      </w:r>
      <w:r>
        <w:rPr/>
        <w:t>of the accountability by shifting it to Desire and to make himself the victim in the process. The subject becomes the victim and portrays that by</w:t>
      </w:r>
      <w:r>
        <w:rPr>
          <w:spacing w:val="6"/>
        </w:rPr>
        <w:t> </w:t>
      </w:r>
      <w:r>
        <w:rPr/>
        <w:t>constructive</w:t>
      </w:r>
      <w:r>
        <w:rPr>
          <w:spacing w:val="11"/>
        </w:rPr>
        <w:t> </w:t>
      </w:r>
      <w:r>
        <w:rPr/>
        <w:t>patterned</w:t>
      </w:r>
      <w:r>
        <w:rPr>
          <w:spacing w:val="12"/>
        </w:rPr>
        <w:t> </w:t>
      </w:r>
      <w:r>
        <w:rPr/>
        <w:t>vocabulary</w:t>
      </w:r>
      <w:r>
        <w:rPr>
          <w:spacing w:val="5"/>
        </w:rPr>
        <w:t> </w:t>
      </w:r>
      <w:r>
        <w:rPr/>
        <w:t>–</w:t>
      </w:r>
      <w:r>
        <w:rPr>
          <w:spacing w:val="12"/>
        </w:rPr>
        <w:t> </w:t>
      </w:r>
      <w:r>
        <w:rPr/>
        <w:t>‘hunted’,</w:t>
      </w:r>
      <w:r>
        <w:rPr>
          <w:spacing w:val="12"/>
        </w:rPr>
        <w:t> </w:t>
      </w:r>
      <w:r>
        <w:rPr/>
        <w:t>‘swallowed</w:t>
      </w:r>
      <w:r>
        <w:rPr>
          <w:spacing w:val="10"/>
        </w:rPr>
        <w:t> </w:t>
      </w:r>
      <w:r>
        <w:rPr/>
        <w:t>bait’,</w:t>
      </w:r>
      <w:r>
        <w:rPr>
          <w:spacing w:val="11"/>
        </w:rPr>
        <w:t> </w:t>
      </w:r>
      <w:r>
        <w:rPr>
          <w:spacing w:val="-5"/>
        </w:rPr>
        <w:t>‘on</w:t>
      </w:r>
    </w:p>
    <w:p>
      <w:pPr>
        <w:pStyle w:val="BodyText"/>
        <w:spacing w:after="0" w:line="249" w:lineRule="auto"/>
        <w:jc w:val="both"/>
        <w:sectPr>
          <w:pgSz w:w="12240" w:h="15840"/>
          <w:pgMar w:top="1820" w:bottom="280" w:left="1800" w:right="1800"/>
        </w:sectPr>
      </w:pPr>
    </w:p>
    <w:p>
      <w:pPr>
        <w:tabs>
          <w:tab w:pos="7195"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9104">
                <wp:simplePos x="0" y="0"/>
                <wp:positionH relativeFrom="page">
                  <wp:posOffset>2065020</wp:posOffset>
                </wp:positionH>
                <wp:positionV relativeFrom="paragraph">
                  <wp:posOffset>795020</wp:posOffset>
                </wp:positionV>
                <wp:extent cx="3657600" cy="12700"/>
                <wp:effectExtent l="0" t="0" r="0" b="0"/>
                <wp:wrapTopAndBottom/>
                <wp:docPr id="872" name="Graphic 872"/>
                <wp:cNvGraphicFramePr>
                  <a:graphicFrameLocks/>
                </wp:cNvGraphicFramePr>
                <a:graphic>
                  <a:graphicData uri="http://schemas.microsoft.com/office/word/2010/wordprocessingShape">
                    <wps:wsp>
                      <wps:cNvPr id="872" name="Graphic 87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97376;mso-wrap-distance-left:0;mso-wrap-distance-right:0" id="docshape864" filled="true" fillcolor="#000000" stroked="false">
                <v:fill type="solid"/>
                <w10:wrap type="topAndBottom"/>
              </v:rect>
            </w:pict>
          </mc:Fallback>
        </mc:AlternateContent>
      </w:r>
      <w:r>
        <w:rPr>
          <w:rFonts w:ascii="Verdana"/>
          <w:sz w:val="18"/>
        </w:rPr>
        <w:t>The</w:t>
      </w:r>
      <w:r>
        <w:rPr>
          <w:rFonts w:ascii="Verdana"/>
          <w:spacing w:val="-2"/>
          <w:sz w:val="18"/>
        </w:rPr>
        <w:t> </w:t>
      </w:r>
      <w:r>
        <w:rPr>
          <w:rFonts w:ascii="Verdana"/>
          <w:sz w:val="18"/>
        </w:rPr>
        <w:t>Waste</w:t>
      </w:r>
      <w:r>
        <w:rPr>
          <w:rFonts w:ascii="Verdana"/>
          <w:spacing w:val="-1"/>
          <w:sz w:val="18"/>
        </w:rPr>
        <w:t> </w:t>
      </w:r>
      <w:r>
        <w:rPr>
          <w:rFonts w:ascii="Verdana"/>
          <w:sz w:val="18"/>
        </w:rPr>
        <w:t>of</w:t>
      </w:r>
      <w:r>
        <w:rPr>
          <w:rFonts w:ascii="Verdana"/>
          <w:spacing w:val="-1"/>
          <w:sz w:val="18"/>
        </w:rPr>
        <w:t> </w:t>
      </w:r>
      <w:r>
        <w:rPr>
          <w:rFonts w:ascii="Verdana"/>
          <w:sz w:val="18"/>
        </w:rPr>
        <w:t>Shame:</w:t>
      </w:r>
      <w:r>
        <w:rPr>
          <w:rFonts w:ascii="Verdana"/>
          <w:spacing w:val="-3"/>
          <w:sz w:val="18"/>
        </w:rPr>
        <w:t> </w:t>
      </w:r>
      <w:r>
        <w:rPr>
          <w:rFonts w:ascii="Verdana"/>
          <w:sz w:val="18"/>
        </w:rPr>
        <w:t>From</w:t>
      </w:r>
      <w:r>
        <w:rPr>
          <w:rFonts w:ascii="Verdana"/>
          <w:spacing w:val="-2"/>
          <w:sz w:val="18"/>
        </w:rPr>
        <w:t> </w:t>
      </w:r>
      <w:r>
        <w:rPr>
          <w:rFonts w:ascii="Verdana"/>
          <w:sz w:val="18"/>
        </w:rPr>
        <w:t>Archetypal</w:t>
      </w:r>
      <w:r>
        <w:rPr>
          <w:rFonts w:ascii="Verdana"/>
          <w:spacing w:val="-2"/>
          <w:sz w:val="18"/>
        </w:rPr>
        <w:t> </w:t>
      </w:r>
      <w:r>
        <w:rPr>
          <w:rFonts w:ascii="Verdana"/>
          <w:sz w:val="18"/>
        </w:rPr>
        <w:t>Desire</w:t>
      </w:r>
      <w:r>
        <w:rPr>
          <w:rFonts w:ascii="Verdana"/>
          <w:spacing w:val="-1"/>
          <w:sz w:val="18"/>
        </w:rPr>
        <w:t> </w:t>
      </w:r>
      <w:r>
        <w:rPr>
          <w:rFonts w:ascii="Verdana"/>
          <w:spacing w:val="-4"/>
          <w:sz w:val="18"/>
        </w:rPr>
        <w:t>to...</w:t>
      </w:r>
      <w:r>
        <w:rPr>
          <w:sz w:val="18"/>
        </w:rPr>
        <w:tab/>
      </w:r>
      <w:r>
        <w:rPr>
          <w:rFonts w:ascii="Verdana"/>
          <w:spacing w:val="-5"/>
          <w:sz w:val="18"/>
        </w:rPr>
        <w:t>461</w:t>
      </w:r>
    </w:p>
    <w:p>
      <w:pPr>
        <w:pStyle w:val="BodyText"/>
        <w:spacing w:line="249" w:lineRule="auto" w:before="192"/>
        <w:ind w:right="1441"/>
        <w:jc w:val="both"/>
      </w:pPr>
      <w:r>
        <w:rPr/>
        <w:t>purpose laid’, and ‘make the taker mad’. It is in the third quatrain the psychological depth and dramatic tension is further built with a further shift of blame-game. The silenced objectified female of the sonnet is now seen as the censure and sole reason for the ‘mad (in).pursuit’ and</w:t>
      </w:r>
      <w:r>
        <w:rPr>
          <w:spacing w:val="40"/>
        </w:rPr>
        <w:t> </w:t>
      </w:r>
      <w:r>
        <w:rPr/>
        <w:t>‘a bliss in proof’ and yet the same time ‘a very woe’ . She is seen the root cause of all the action in the sonnet. The question of gender imbalance is evident because be it as an object or as a cause of the action,</w:t>
      </w:r>
      <w:r>
        <w:rPr>
          <w:spacing w:val="14"/>
        </w:rPr>
        <w:t> </w:t>
      </w:r>
      <w:r>
        <w:rPr/>
        <w:t>it</w:t>
      </w:r>
      <w:r>
        <w:rPr>
          <w:spacing w:val="14"/>
        </w:rPr>
        <w:t> </w:t>
      </w:r>
      <w:r>
        <w:rPr/>
        <w:t>is never</w:t>
      </w:r>
      <w:r>
        <w:rPr>
          <w:spacing w:val="14"/>
        </w:rPr>
        <w:t> </w:t>
      </w:r>
      <w:r>
        <w:rPr/>
        <w:t>from the</w:t>
      </w:r>
      <w:r>
        <w:rPr>
          <w:spacing w:val="15"/>
        </w:rPr>
        <w:t> </w:t>
      </w:r>
      <w:r>
        <w:rPr/>
        <w:t>women’s perspective. The man says</w:t>
      </w:r>
      <w:r>
        <w:rPr>
          <w:spacing w:val="14"/>
        </w:rPr>
        <w:t> </w:t>
      </w:r>
      <w:r>
        <w:rPr/>
        <w:t>it</w:t>
      </w:r>
      <w:r>
        <w:rPr>
          <w:spacing w:val="14"/>
        </w:rPr>
        <w:t> </w:t>
      </w:r>
      <w:r>
        <w:rPr/>
        <w:t>and it is his perspective. The discourse is in his control and so to make a hero</w:t>
      </w:r>
      <w:r>
        <w:rPr>
          <w:spacing w:val="39"/>
        </w:rPr>
        <w:t> </w:t>
      </w:r>
      <w:r>
        <w:rPr/>
        <w:t>of</w:t>
      </w:r>
      <w:r>
        <w:rPr>
          <w:spacing w:val="37"/>
        </w:rPr>
        <w:t> </w:t>
      </w:r>
      <w:r>
        <w:rPr/>
        <w:t>the</w:t>
      </w:r>
      <w:r>
        <w:rPr>
          <w:spacing w:val="40"/>
        </w:rPr>
        <w:t> </w:t>
      </w:r>
      <w:r>
        <w:rPr/>
        <w:t>women</w:t>
      </w:r>
      <w:r>
        <w:rPr>
          <w:spacing w:val="37"/>
        </w:rPr>
        <w:t> </w:t>
      </w:r>
      <w:r>
        <w:rPr/>
        <w:t>or</w:t>
      </w:r>
      <w:r>
        <w:rPr>
          <w:spacing w:val="38"/>
        </w:rPr>
        <w:t> </w:t>
      </w:r>
      <w:r>
        <w:rPr/>
        <w:t>blame</w:t>
      </w:r>
      <w:r>
        <w:rPr>
          <w:spacing w:val="37"/>
        </w:rPr>
        <w:t> </w:t>
      </w:r>
      <w:r>
        <w:rPr/>
        <w:t>her</w:t>
      </w:r>
      <w:r>
        <w:rPr>
          <w:spacing w:val="38"/>
        </w:rPr>
        <w:t> </w:t>
      </w:r>
      <w:r>
        <w:rPr/>
        <w:t>is</w:t>
      </w:r>
      <w:r>
        <w:rPr>
          <w:spacing w:val="40"/>
        </w:rPr>
        <w:t> </w:t>
      </w:r>
      <w:r>
        <w:rPr/>
        <w:t>in</w:t>
      </w:r>
      <w:r>
        <w:rPr>
          <w:spacing w:val="37"/>
        </w:rPr>
        <w:t> </w:t>
      </w:r>
      <w:r>
        <w:rPr/>
        <w:t>his</w:t>
      </w:r>
      <w:r>
        <w:rPr>
          <w:spacing w:val="39"/>
        </w:rPr>
        <w:t> </w:t>
      </w:r>
      <w:r>
        <w:rPr/>
        <w:t>hands.</w:t>
      </w:r>
    </w:p>
    <w:p>
      <w:pPr>
        <w:pStyle w:val="BodyText"/>
        <w:spacing w:line="249" w:lineRule="auto" w:before="66"/>
        <w:ind w:right="1438" w:firstLine="432"/>
        <w:jc w:val="both"/>
      </w:pPr>
      <w:r>
        <w:rPr>
          <w:spacing w:val="-2"/>
        </w:rPr>
        <w:t>Such</w:t>
      </w:r>
      <w:r>
        <w:rPr>
          <w:spacing w:val="-4"/>
        </w:rPr>
        <w:t> </w:t>
      </w:r>
      <w:r>
        <w:rPr>
          <w:spacing w:val="-2"/>
        </w:rPr>
        <w:t>a</w:t>
      </w:r>
      <w:r>
        <w:rPr>
          <w:spacing w:val="-4"/>
        </w:rPr>
        <w:t> </w:t>
      </w:r>
      <w:r>
        <w:rPr>
          <w:spacing w:val="-2"/>
        </w:rPr>
        <w:t>reading</w:t>
      </w:r>
      <w:r>
        <w:rPr>
          <w:spacing w:val="-4"/>
        </w:rPr>
        <w:t> </w:t>
      </w:r>
      <w:r>
        <w:rPr>
          <w:spacing w:val="-2"/>
        </w:rPr>
        <w:t>of</w:t>
      </w:r>
      <w:r>
        <w:rPr>
          <w:spacing w:val="-7"/>
        </w:rPr>
        <w:t> </w:t>
      </w:r>
      <w:r>
        <w:rPr>
          <w:spacing w:val="-2"/>
        </w:rPr>
        <w:t>canonical</w:t>
      </w:r>
      <w:r>
        <w:rPr>
          <w:spacing w:val="-4"/>
        </w:rPr>
        <w:t> </w:t>
      </w:r>
      <w:r>
        <w:rPr>
          <w:spacing w:val="-2"/>
        </w:rPr>
        <w:t>texts</w:t>
      </w:r>
      <w:r>
        <w:rPr>
          <w:spacing w:val="-7"/>
        </w:rPr>
        <w:t> </w:t>
      </w:r>
      <w:r>
        <w:rPr>
          <w:spacing w:val="-2"/>
        </w:rPr>
        <w:t>reconsiders</w:t>
      </w:r>
      <w:r>
        <w:rPr>
          <w:spacing w:val="-4"/>
        </w:rPr>
        <w:t> </w:t>
      </w:r>
      <w:r>
        <w:rPr>
          <w:spacing w:val="-2"/>
        </w:rPr>
        <w:t>the</w:t>
      </w:r>
      <w:r>
        <w:rPr>
          <w:spacing w:val="-4"/>
        </w:rPr>
        <w:t> </w:t>
      </w:r>
      <w:r>
        <w:rPr>
          <w:spacing w:val="-2"/>
        </w:rPr>
        <w:t>ethical</w:t>
      </w:r>
      <w:r>
        <w:rPr>
          <w:spacing w:val="-4"/>
        </w:rPr>
        <w:t> </w:t>
      </w:r>
      <w:r>
        <w:rPr>
          <w:spacing w:val="-2"/>
        </w:rPr>
        <w:t>dimensions </w:t>
      </w:r>
      <w:r>
        <w:rPr/>
        <w:t>of the text in the lightof #MeToo era. Desire though maybe considered natural and uncontrollable force by earlier interpretations it cannot be normalized and generalised without answering the more significant questions. These questions of accountability, gender imbalance and </w:t>
      </w:r>
      <w:r>
        <w:rPr>
          <w:spacing w:val="-2"/>
        </w:rPr>
        <w:t>power</w:t>
      </w:r>
      <w:r>
        <w:rPr>
          <w:spacing w:val="-3"/>
        </w:rPr>
        <w:t> </w:t>
      </w:r>
      <w:r>
        <w:rPr>
          <w:spacing w:val="-2"/>
        </w:rPr>
        <w:t>dynamics</w:t>
      </w:r>
      <w:r>
        <w:rPr>
          <w:spacing w:val="-5"/>
        </w:rPr>
        <w:t> </w:t>
      </w:r>
      <w:r>
        <w:rPr>
          <w:spacing w:val="-2"/>
        </w:rPr>
        <w:t>become particularly</w:t>
      </w:r>
      <w:r>
        <w:rPr>
          <w:spacing w:val="-8"/>
        </w:rPr>
        <w:t> </w:t>
      </w:r>
      <w:r>
        <w:rPr>
          <w:spacing w:val="-2"/>
        </w:rPr>
        <w:t>significant</w:t>
      </w:r>
      <w:r>
        <w:rPr>
          <w:spacing w:val="-3"/>
        </w:rPr>
        <w:t> </w:t>
      </w:r>
      <w:r>
        <w:rPr>
          <w:spacing w:val="-2"/>
        </w:rPr>
        <w:t>in</w:t>
      </w:r>
      <w:r>
        <w:rPr>
          <w:spacing w:val="-5"/>
        </w:rPr>
        <w:t> </w:t>
      </w:r>
      <w:r>
        <w:rPr>
          <w:spacing w:val="-2"/>
        </w:rPr>
        <w:t>view</w:t>
      </w:r>
      <w:r>
        <w:rPr>
          <w:spacing w:val="-5"/>
        </w:rPr>
        <w:t> </w:t>
      </w:r>
      <w:r>
        <w:rPr>
          <w:spacing w:val="-2"/>
        </w:rPr>
        <w:t>of</w:t>
      </w:r>
      <w:r>
        <w:rPr>
          <w:spacing w:val="-5"/>
        </w:rPr>
        <w:t> </w:t>
      </w:r>
      <w:r>
        <w:rPr>
          <w:spacing w:val="-2"/>
        </w:rPr>
        <w:t>contemporary </w:t>
      </w:r>
      <w:r>
        <w:rPr/>
        <w:t>concerns around consent, and representation. Ultimately, through this paper, the sonnet demonstrates how literary texts do not merely reflect human experience but shape the ways in which desire, responsibility, and</w:t>
      </w:r>
      <w:r>
        <w:rPr>
          <w:spacing w:val="26"/>
        </w:rPr>
        <w:t> </w:t>
      </w:r>
      <w:r>
        <w:rPr/>
        <w:t>power</w:t>
      </w:r>
      <w:r>
        <w:rPr>
          <w:spacing w:val="26"/>
        </w:rPr>
        <w:t> </w:t>
      </w:r>
      <w:r>
        <w:rPr/>
        <w:t>are</w:t>
      </w:r>
      <w:r>
        <w:rPr>
          <w:spacing w:val="24"/>
        </w:rPr>
        <w:t> </w:t>
      </w:r>
      <w:r>
        <w:rPr/>
        <w:t>understood.</w:t>
      </w:r>
      <w:r>
        <w:rPr>
          <w:spacing w:val="24"/>
        </w:rPr>
        <w:t> </w:t>
      </w:r>
      <w:r>
        <w:rPr/>
        <w:t>This</w:t>
      </w:r>
      <w:r>
        <w:rPr>
          <w:spacing w:val="26"/>
        </w:rPr>
        <w:t> </w:t>
      </w:r>
      <w:r>
        <w:rPr/>
        <w:t>study</w:t>
      </w:r>
      <w:r>
        <w:rPr>
          <w:spacing w:val="21"/>
        </w:rPr>
        <w:t> </w:t>
      </w:r>
      <w:r>
        <w:rPr/>
        <w:t>can</w:t>
      </w:r>
      <w:r>
        <w:rPr>
          <w:spacing w:val="24"/>
        </w:rPr>
        <w:t> </w:t>
      </w:r>
      <w:r>
        <w:rPr/>
        <w:t>be</w:t>
      </w:r>
      <w:r>
        <w:rPr>
          <w:spacing w:val="24"/>
        </w:rPr>
        <w:t> </w:t>
      </w:r>
      <w:r>
        <w:rPr/>
        <w:t>further</w:t>
      </w:r>
      <w:r>
        <w:rPr>
          <w:spacing w:val="25"/>
        </w:rPr>
        <w:t> </w:t>
      </w:r>
      <w:r>
        <w:rPr/>
        <w:t>be</w:t>
      </w:r>
      <w:r>
        <w:rPr>
          <w:spacing w:val="27"/>
        </w:rPr>
        <w:t> </w:t>
      </w:r>
      <w:r>
        <w:rPr/>
        <w:t>explored</w:t>
      </w:r>
      <w:r>
        <w:rPr>
          <w:spacing w:val="24"/>
        </w:rPr>
        <w:t> </w:t>
      </w:r>
      <w:r>
        <w:rPr/>
        <w:t>for a more critical and ethically aware study of Shakespeare’s sonnets and their</w:t>
      </w:r>
      <w:r>
        <w:rPr>
          <w:spacing w:val="40"/>
        </w:rPr>
        <w:t> </w:t>
      </w:r>
      <w:r>
        <w:rPr/>
        <w:t>continuing</w:t>
      </w:r>
      <w:r>
        <w:rPr>
          <w:spacing w:val="40"/>
        </w:rPr>
        <w:t> </w:t>
      </w:r>
      <w:r>
        <w:rPr/>
        <w:t>relevance</w:t>
      </w:r>
      <w:r>
        <w:rPr>
          <w:spacing w:val="40"/>
        </w:rPr>
        <w:t> </w:t>
      </w:r>
      <w:r>
        <w:rPr/>
        <w:t>in</w:t>
      </w:r>
      <w:r>
        <w:rPr>
          <w:spacing w:val="40"/>
        </w:rPr>
        <w:t> </w:t>
      </w:r>
      <w:r>
        <w:rPr/>
        <w:t>the</w:t>
      </w:r>
      <w:r>
        <w:rPr>
          <w:spacing w:val="40"/>
        </w:rPr>
        <w:t> </w:t>
      </w:r>
      <w:r>
        <w:rPr/>
        <w:t>present</w:t>
      </w:r>
      <w:r>
        <w:rPr>
          <w:spacing w:val="40"/>
        </w:rPr>
        <w:t> </w:t>
      </w:r>
      <w:r>
        <w:rPr/>
        <w:t>era.</w:t>
      </w:r>
    </w:p>
    <w:p>
      <w:pPr>
        <w:pStyle w:val="Heading3"/>
        <w:spacing w:before="163"/>
        <w:jc w:val="both"/>
      </w:pPr>
      <w:r>
        <w:rPr>
          <w:w w:val="90"/>
        </w:rPr>
        <w:t>WORKS</w:t>
      </w:r>
      <w:r>
        <w:rPr>
          <w:spacing w:val="6"/>
        </w:rPr>
        <w:t> </w:t>
      </w:r>
      <w:r>
        <w:rPr>
          <w:spacing w:val="-2"/>
          <w:w w:val="95"/>
        </w:rPr>
        <w:t>CITED</w:t>
      </w:r>
    </w:p>
    <w:p>
      <w:pPr>
        <w:pStyle w:val="ListParagraph"/>
        <w:numPr>
          <w:ilvl w:val="0"/>
          <w:numId w:val="95"/>
        </w:numPr>
        <w:tabs>
          <w:tab w:pos="2157" w:val="left" w:leader="none"/>
          <w:tab w:pos="2160" w:val="left" w:leader="none"/>
        </w:tabs>
        <w:spacing w:line="264" w:lineRule="auto" w:before="83" w:after="0"/>
        <w:ind w:left="2160" w:right="1441" w:hanging="315"/>
        <w:jc w:val="both"/>
        <w:rPr>
          <w:sz w:val="19"/>
        </w:rPr>
      </w:pPr>
      <w:r>
        <w:rPr>
          <w:sz w:val="19"/>
        </w:rPr>
        <w:t>Attridge, Derek. “Refashioning the Sonnet.” </w:t>
      </w:r>
      <w:r>
        <w:rPr>
          <w:i/>
          <w:sz w:val="19"/>
        </w:rPr>
        <w:t>Poetry: How to</w:t>
      </w:r>
      <w:r>
        <w:rPr>
          <w:i/>
          <w:spacing w:val="80"/>
          <w:sz w:val="19"/>
        </w:rPr>
        <w:t> </w:t>
      </w:r>
      <w:r>
        <w:rPr>
          <w:i/>
          <w:sz w:val="19"/>
        </w:rPr>
        <w:t>Read</w:t>
      </w:r>
      <w:r>
        <w:rPr>
          <w:i/>
          <w:spacing w:val="40"/>
          <w:sz w:val="19"/>
        </w:rPr>
        <w:t> </w:t>
      </w:r>
      <w:r>
        <w:rPr>
          <w:i/>
          <w:sz w:val="19"/>
        </w:rPr>
        <w:t>a</w:t>
      </w:r>
      <w:r>
        <w:rPr>
          <w:i/>
          <w:spacing w:val="40"/>
          <w:sz w:val="19"/>
        </w:rPr>
        <w:t> </w:t>
      </w:r>
      <w:r>
        <w:rPr>
          <w:i/>
          <w:sz w:val="19"/>
        </w:rPr>
        <w:t>Poem</w:t>
      </w:r>
      <w:r>
        <w:rPr>
          <w:sz w:val="19"/>
        </w:rPr>
        <w:t>.</w:t>
      </w:r>
      <w:r>
        <w:rPr>
          <w:spacing w:val="40"/>
          <w:sz w:val="19"/>
        </w:rPr>
        <w:t> </w:t>
      </w:r>
      <w:r>
        <w:rPr>
          <w:sz w:val="19"/>
        </w:rPr>
        <w:t>University</w:t>
      </w:r>
      <w:r>
        <w:rPr>
          <w:spacing w:val="40"/>
          <w:sz w:val="19"/>
        </w:rPr>
        <w:t> </w:t>
      </w:r>
      <w:r>
        <w:rPr>
          <w:sz w:val="19"/>
        </w:rPr>
        <w:t>of</w:t>
      </w:r>
      <w:r>
        <w:rPr>
          <w:spacing w:val="40"/>
          <w:sz w:val="19"/>
        </w:rPr>
        <w:t> </w:t>
      </w:r>
      <w:r>
        <w:rPr>
          <w:sz w:val="19"/>
        </w:rPr>
        <w:t>York,</w:t>
      </w:r>
      <w:r>
        <w:rPr>
          <w:spacing w:val="40"/>
          <w:sz w:val="19"/>
        </w:rPr>
        <w:t> </w:t>
      </w:r>
      <w:r>
        <w:rPr>
          <w:sz w:val="19"/>
        </w:rPr>
        <w:t>2010.</w:t>
      </w:r>
      <w:r>
        <w:rPr>
          <w:spacing w:val="40"/>
          <w:sz w:val="19"/>
        </w:rPr>
        <w:t> </w:t>
      </w:r>
      <w:r>
        <w:rPr>
          <w:sz w:val="19"/>
        </w:rPr>
        <w:t>Web.</w:t>
      </w:r>
    </w:p>
    <w:p>
      <w:pPr>
        <w:pStyle w:val="ListParagraph"/>
        <w:numPr>
          <w:ilvl w:val="0"/>
          <w:numId w:val="95"/>
        </w:numPr>
        <w:tabs>
          <w:tab w:pos="2157" w:val="left" w:leader="none"/>
          <w:tab w:pos="2160" w:val="left" w:leader="none"/>
        </w:tabs>
        <w:spacing w:line="261" w:lineRule="auto" w:before="54" w:after="0"/>
        <w:ind w:left="2160" w:right="1440" w:hanging="315"/>
        <w:jc w:val="both"/>
        <w:rPr>
          <w:sz w:val="19"/>
        </w:rPr>
      </w:pPr>
      <w:r>
        <w:rPr>
          <w:sz w:val="19"/>
        </w:rPr>
        <w:t>Bhar, Anasuya. “The Sonnet.” </w:t>
      </w:r>
      <w:r>
        <w:rPr>
          <w:i/>
          <w:sz w:val="19"/>
        </w:rPr>
        <w:t>St. Paul’s Cathedral Mission College,</w:t>
      </w:r>
      <w:r>
        <w:rPr>
          <w:i/>
          <w:spacing w:val="40"/>
          <w:sz w:val="19"/>
        </w:rPr>
        <w:t> </w:t>
      </w:r>
      <w:r>
        <w:rPr>
          <w:i/>
          <w:sz w:val="19"/>
        </w:rPr>
        <w:t>Kolkata</w:t>
      </w:r>
      <w:r>
        <w:rPr>
          <w:sz w:val="19"/>
        </w:rPr>
        <w:t>,</w:t>
      </w:r>
      <w:r>
        <w:rPr>
          <w:spacing w:val="40"/>
          <w:sz w:val="19"/>
        </w:rPr>
        <w:t> </w:t>
      </w:r>
      <w:r>
        <w:rPr>
          <w:sz w:val="19"/>
        </w:rPr>
        <w:t>2013.</w:t>
      </w:r>
      <w:r>
        <w:rPr>
          <w:spacing w:val="40"/>
          <w:sz w:val="19"/>
        </w:rPr>
        <w:t> </w:t>
      </w:r>
      <w:r>
        <w:rPr>
          <w:sz w:val="19"/>
        </w:rPr>
        <w:t>Web.</w:t>
      </w:r>
    </w:p>
    <w:p>
      <w:pPr>
        <w:pStyle w:val="ListParagraph"/>
        <w:numPr>
          <w:ilvl w:val="0"/>
          <w:numId w:val="95"/>
        </w:numPr>
        <w:tabs>
          <w:tab w:pos="2157" w:val="left" w:leader="none"/>
          <w:tab w:pos="2160" w:val="left" w:leader="none"/>
        </w:tabs>
        <w:spacing w:line="261" w:lineRule="auto" w:before="57" w:after="0"/>
        <w:ind w:left="2160" w:right="1438" w:hanging="315"/>
        <w:jc w:val="both"/>
        <w:rPr>
          <w:sz w:val="19"/>
        </w:rPr>
      </w:pPr>
      <w:r>
        <w:rPr>
          <w:sz w:val="19"/>
        </w:rPr>
        <w:t>Caporicci, Camilla. “My Female Evil” The Subversive Nature of the Dark Lady Sonnets: a Reading of Sonnets 129 and 144.” </w:t>
      </w:r>
      <w:r>
        <w:rPr>
          <w:i/>
          <w:sz w:val="19"/>
        </w:rPr>
        <w:t>Annali</w:t>
      </w:r>
      <w:r>
        <w:rPr>
          <w:i/>
          <w:spacing w:val="40"/>
          <w:sz w:val="19"/>
        </w:rPr>
        <w:t> </w:t>
      </w:r>
      <w:r>
        <w:rPr>
          <w:i/>
          <w:sz w:val="19"/>
        </w:rPr>
        <w:t>di</w:t>
      </w:r>
      <w:r>
        <w:rPr>
          <w:i/>
          <w:spacing w:val="40"/>
          <w:sz w:val="19"/>
        </w:rPr>
        <w:t> </w:t>
      </w:r>
      <w:r>
        <w:rPr>
          <w:i/>
          <w:sz w:val="19"/>
        </w:rPr>
        <w:t>Ca’</w:t>
      </w:r>
      <w:r>
        <w:rPr>
          <w:i/>
          <w:spacing w:val="40"/>
          <w:sz w:val="19"/>
        </w:rPr>
        <w:t> </w:t>
      </w:r>
      <w:r>
        <w:rPr>
          <w:i/>
          <w:sz w:val="19"/>
        </w:rPr>
        <w:t>Foscari.</w:t>
      </w:r>
      <w:r>
        <w:rPr>
          <w:i/>
          <w:spacing w:val="40"/>
          <w:sz w:val="19"/>
        </w:rPr>
        <w:t> </w:t>
      </w:r>
      <w:r>
        <w:rPr>
          <w:i/>
          <w:sz w:val="19"/>
        </w:rPr>
        <w:t>Serie</w:t>
      </w:r>
      <w:r>
        <w:rPr>
          <w:i/>
          <w:spacing w:val="40"/>
          <w:sz w:val="19"/>
        </w:rPr>
        <w:t> </w:t>
      </w:r>
      <w:r>
        <w:rPr>
          <w:i/>
          <w:sz w:val="19"/>
        </w:rPr>
        <w:t>occidentale</w:t>
      </w:r>
      <w:r>
        <w:rPr>
          <w:i/>
          <w:spacing w:val="40"/>
          <w:sz w:val="19"/>
        </w:rPr>
        <w:t> </w:t>
      </w:r>
      <w:r>
        <w:rPr>
          <w:sz w:val="19"/>
        </w:rPr>
        <w:t>49</w:t>
      </w:r>
      <w:r>
        <w:rPr>
          <w:spacing w:val="40"/>
          <w:sz w:val="19"/>
        </w:rPr>
        <w:t> </w:t>
      </w:r>
      <w:r>
        <w:rPr>
          <w:sz w:val="19"/>
        </w:rPr>
        <w:t>(2015):</w:t>
      </w:r>
      <w:r>
        <w:rPr>
          <w:spacing w:val="40"/>
          <w:sz w:val="19"/>
        </w:rPr>
        <w:t> </w:t>
      </w:r>
      <w:r>
        <w:rPr>
          <w:sz w:val="19"/>
        </w:rPr>
        <w:t>127-44. </w:t>
      </w:r>
      <w:r>
        <w:rPr>
          <w:spacing w:val="-4"/>
          <w:sz w:val="19"/>
        </w:rPr>
        <w:t>Print</w:t>
      </w:r>
    </w:p>
    <w:p>
      <w:pPr>
        <w:pStyle w:val="ListParagraph"/>
        <w:numPr>
          <w:ilvl w:val="0"/>
          <w:numId w:val="95"/>
        </w:numPr>
        <w:tabs>
          <w:tab w:pos="2157" w:val="left" w:leader="none"/>
          <w:tab w:pos="2160" w:val="left" w:leader="none"/>
        </w:tabs>
        <w:spacing w:line="261" w:lineRule="auto" w:before="57" w:after="0"/>
        <w:ind w:left="2160" w:right="1441" w:hanging="315"/>
        <w:jc w:val="both"/>
        <w:rPr>
          <w:sz w:val="19"/>
        </w:rPr>
      </w:pPr>
      <w:r>
        <w:rPr>
          <w:sz w:val="19"/>
        </w:rPr>
        <w:t>Chapman, Rebecca. “The Sonnet Now: Inverting Forms &amp; Other Modern</w:t>
      </w:r>
      <w:r>
        <w:rPr>
          <w:spacing w:val="40"/>
          <w:sz w:val="19"/>
        </w:rPr>
        <w:t> </w:t>
      </w:r>
      <w:r>
        <w:rPr>
          <w:sz w:val="19"/>
        </w:rPr>
        <w:t>Twists.”</w:t>
      </w:r>
      <w:r>
        <w:rPr>
          <w:spacing w:val="40"/>
          <w:sz w:val="19"/>
        </w:rPr>
        <w:t> </w:t>
      </w:r>
      <w:r>
        <w:rPr>
          <w:i/>
          <w:sz w:val="19"/>
        </w:rPr>
        <w:t>The</w:t>
      </w:r>
      <w:r>
        <w:rPr>
          <w:i/>
          <w:spacing w:val="40"/>
          <w:sz w:val="19"/>
        </w:rPr>
        <w:t> </w:t>
      </w:r>
      <w:r>
        <w:rPr>
          <w:i/>
          <w:sz w:val="19"/>
        </w:rPr>
        <w:t>Poetry</w:t>
      </w:r>
      <w:r>
        <w:rPr>
          <w:i/>
          <w:spacing w:val="40"/>
          <w:sz w:val="19"/>
        </w:rPr>
        <w:t> </w:t>
      </w:r>
      <w:r>
        <w:rPr>
          <w:i/>
          <w:sz w:val="19"/>
        </w:rPr>
        <w:t>Lab</w:t>
      </w:r>
      <w:r>
        <w:rPr>
          <w:sz w:val="19"/>
        </w:rPr>
        <w:t>,</w:t>
      </w:r>
      <w:r>
        <w:rPr>
          <w:spacing w:val="40"/>
          <w:sz w:val="19"/>
        </w:rPr>
        <w:t> </w:t>
      </w:r>
      <w:r>
        <w:rPr>
          <w:sz w:val="19"/>
        </w:rPr>
        <w:t>1</w:t>
      </w:r>
      <w:r>
        <w:rPr>
          <w:spacing w:val="40"/>
          <w:sz w:val="19"/>
        </w:rPr>
        <w:t> </w:t>
      </w:r>
      <w:r>
        <w:rPr>
          <w:sz w:val="19"/>
        </w:rPr>
        <w:t>May</w:t>
      </w:r>
      <w:r>
        <w:rPr>
          <w:spacing w:val="40"/>
          <w:sz w:val="19"/>
        </w:rPr>
        <w:t> </w:t>
      </w:r>
      <w:r>
        <w:rPr>
          <w:sz w:val="19"/>
        </w:rPr>
        <w:t>2023.</w:t>
      </w:r>
      <w:r>
        <w:rPr>
          <w:spacing w:val="40"/>
          <w:sz w:val="19"/>
        </w:rPr>
        <w:t> </w:t>
      </w:r>
      <w:r>
        <w:rPr>
          <w:sz w:val="19"/>
        </w:rPr>
        <w:t>Web.</w:t>
      </w:r>
    </w:p>
    <w:p>
      <w:pPr>
        <w:pStyle w:val="ListParagraph"/>
        <w:numPr>
          <w:ilvl w:val="0"/>
          <w:numId w:val="95"/>
        </w:numPr>
        <w:tabs>
          <w:tab w:pos="2157" w:val="left" w:leader="none"/>
          <w:tab w:pos="2160" w:val="left" w:leader="none"/>
        </w:tabs>
        <w:spacing w:line="261" w:lineRule="auto" w:before="59" w:after="0"/>
        <w:ind w:left="2160" w:right="1439" w:hanging="315"/>
        <w:jc w:val="both"/>
        <w:rPr>
          <w:sz w:val="19"/>
        </w:rPr>
      </w:pPr>
      <w:r>
        <w:rPr>
          <w:sz w:val="19"/>
        </w:rPr>
        <w:t>Coleridge, Samuel</w:t>
      </w:r>
      <w:r>
        <w:rPr>
          <w:spacing w:val="-2"/>
          <w:sz w:val="19"/>
        </w:rPr>
        <w:t> </w:t>
      </w:r>
      <w:r>
        <w:rPr>
          <w:sz w:val="19"/>
        </w:rPr>
        <w:t>Taylor. </w:t>
      </w:r>
      <w:r>
        <w:rPr>
          <w:i/>
          <w:sz w:val="19"/>
        </w:rPr>
        <w:t>Biographia Literaria</w:t>
      </w:r>
      <w:r>
        <w:rPr>
          <w:sz w:val="19"/>
        </w:rPr>
        <w:t>. Edited by</w:t>
      </w:r>
      <w:r>
        <w:rPr>
          <w:spacing w:val="-4"/>
          <w:sz w:val="19"/>
        </w:rPr>
        <w:t> </w:t>
      </w:r>
      <w:r>
        <w:rPr>
          <w:sz w:val="19"/>
        </w:rPr>
        <w:t>James Engell</w:t>
      </w:r>
      <w:r>
        <w:rPr>
          <w:spacing w:val="28"/>
          <w:sz w:val="19"/>
        </w:rPr>
        <w:t> </w:t>
      </w:r>
      <w:r>
        <w:rPr>
          <w:sz w:val="19"/>
        </w:rPr>
        <w:t>and</w:t>
      </w:r>
      <w:r>
        <w:rPr>
          <w:spacing w:val="28"/>
          <w:sz w:val="19"/>
        </w:rPr>
        <w:t> </w:t>
      </w:r>
      <w:r>
        <w:rPr>
          <w:sz w:val="19"/>
        </w:rPr>
        <w:t>W.</w:t>
      </w:r>
      <w:r>
        <w:rPr>
          <w:spacing w:val="26"/>
          <w:sz w:val="19"/>
        </w:rPr>
        <w:t> </w:t>
      </w:r>
      <w:r>
        <w:rPr>
          <w:sz w:val="19"/>
        </w:rPr>
        <w:t>Jackson</w:t>
      </w:r>
      <w:r>
        <w:rPr>
          <w:spacing w:val="28"/>
          <w:sz w:val="19"/>
        </w:rPr>
        <w:t> </w:t>
      </w:r>
      <w:r>
        <w:rPr>
          <w:sz w:val="19"/>
        </w:rPr>
        <w:t>Bate,</w:t>
      </w:r>
      <w:r>
        <w:rPr>
          <w:spacing w:val="28"/>
          <w:sz w:val="19"/>
        </w:rPr>
        <w:t> </w:t>
      </w:r>
      <w:r>
        <w:rPr>
          <w:sz w:val="19"/>
        </w:rPr>
        <w:t>Princeton</w:t>
      </w:r>
      <w:r>
        <w:rPr>
          <w:spacing w:val="28"/>
          <w:sz w:val="19"/>
        </w:rPr>
        <w:t> </w:t>
      </w:r>
      <w:r>
        <w:rPr>
          <w:sz w:val="19"/>
        </w:rPr>
        <w:t>University</w:t>
      </w:r>
      <w:r>
        <w:rPr>
          <w:spacing w:val="23"/>
          <w:sz w:val="19"/>
        </w:rPr>
        <w:t> </w:t>
      </w:r>
      <w:r>
        <w:rPr>
          <w:sz w:val="19"/>
        </w:rPr>
        <w:t>Press,</w:t>
      </w:r>
      <w:r>
        <w:rPr>
          <w:spacing w:val="26"/>
          <w:sz w:val="19"/>
        </w:rPr>
        <w:t> </w:t>
      </w:r>
      <w:r>
        <w:rPr>
          <w:sz w:val="19"/>
        </w:rPr>
        <w:t>1983.</w:t>
      </w:r>
    </w:p>
    <w:p>
      <w:pPr>
        <w:pStyle w:val="ListParagraph"/>
        <w:numPr>
          <w:ilvl w:val="0"/>
          <w:numId w:val="95"/>
        </w:numPr>
        <w:tabs>
          <w:tab w:pos="2157" w:val="left" w:leader="none"/>
          <w:tab w:pos="2160" w:val="left" w:leader="none"/>
        </w:tabs>
        <w:spacing w:line="261" w:lineRule="auto" w:before="57" w:after="0"/>
        <w:ind w:left="2160" w:right="1437" w:hanging="315"/>
        <w:jc w:val="both"/>
        <w:rPr>
          <w:sz w:val="19"/>
        </w:rPr>
      </w:pPr>
      <w:r>
        <w:rPr>
          <w:sz w:val="19"/>
        </w:rPr>
        <w:t>Davidson, Heather, Elizabeth Peel, Mary Leishman, and Keil Nicholas. “Shakespeare and the English Sonnet: A History.”</w:t>
      </w:r>
      <w:r>
        <w:rPr>
          <w:spacing w:val="80"/>
          <w:sz w:val="19"/>
        </w:rPr>
        <w:t> </w:t>
      </w:r>
      <w:r>
        <w:rPr>
          <w:i/>
          <w:sz w:val="19"/>
        </w:rPr>
        <w:t>Utah</w:t>
      </w:r>
      <w:r>
        <w:rPr>
          <w:i/>
          <w:spacing w:val="40"/>
          <w:sz w:val="19"/>
        </w:rPr>
        <w:t> </w:t>
      </w:r>
      <w:r>
        <w:rPr>
          <w:i/>
          <w:sz w:val="19"/>
        </w:rPr>
        <w:t>State</w:t>
      </w:r>
      <w:r>
        <w:rPr>
          <w:i/>
          <w:spacing w:val="40"/>
          <w:sz w:val="19"/>
        </w:rPr>
        <w:t> </w:t>
      </w:r>
      <w:r>
        <w:rPr>
          <w:i/>
          <w:sz w:val="19"/>
        </w:rPr>
        <w:t>University</w:t>
      </w:r>
      <w:r>
        <w:rPr>
          <w:sz w:val="19"/>
        </w:rPr>
        <w:t>,</w:t>
      </w:r>
      <w:r>
        <w:rPr>
          <w:spacing w:val="40"/>
          <w:sz w:val="19"/>
        </w:rPr>
        <w:t> </w:t>
      </w:r>
      <w:r>
        <w:rPr>
          <w:sz w:val="19"/>
        </w:rPr>
        <w:t>Nov.</w:t>
      </w:r>
      <w:r>
        <w:rPr>
          <w:spacing w:val="40"/>
          <w:sz w:val="19"/>
        </w:rPr>
        <w:t> </w:t>
      </w:r>
      <w:r>
        <w:rPr>
          <w:sz w:val="19"/>
        </w:rPr>
        <w:t>2018.</w:t>
      </w:r>
      <w:r>
        <w:rPr>
          <w:spacing w:val="40"/>
          <w:sz w:val="19"/>
        </w:rPr>
        <w:t> </w:t>
      </w:r>
      <w:r>
        <w:rPr>
          <w:sz w:val="19"/>
        </w:rPr>
        <w:t>Web.</w:t>
      </w:r>
    </w:p>
    <w:p>
      <w:pPr>
        <w:pStyle w:val="ListParagraph"/>
        <w:spacing w:after="0" w:line="261" w:lineRule="auto"/>
        <w:jc w:val="both"/>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19616">
                <wp:simplePos x="0" y="0"/>
                <wp:positionH relativeFrom="page">
                  <wp:posOffset>2057400</wp:posOffset>
                </wp:positionH>
                <wp:positionV relativeFrom="paragraph">
                  <wp:posOffset>162604</wp:posOffset>
                </wp:positionV>
                <wp:extent cx="3657600" cy="12700"/>
                <wp:effectExtent l="0" t="0" r="0" b="0"/>
                <wp:wrapTopAndBottom/>
                <wp:docPr id="873" name="Graphic 873"/>
                <wp:cNvGraphicFramePr>
                  <a:graphicFrameLocks/>
                </wp:cNvGraphicFramePr>
                <a:graphic>
                  <a:graphicData uri="http://schemas.microsoft.com/office/word/2010/wordprocessingShape">
                    <wps:wsp>
                      <wps:cNvPr id="873" name="Graphic 87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96864;mso-wrap-distance-left:0;mso-wrap-distance-right:0" id="docshape865" filled="true" fillcolor="#000000" stroked="false">
                <v:fill type="solid"/>
                <w10:wrap type="topAndBottom"/>
              </v:rect>
            </w:pict>
          </mc:Fallback>
        </mc:AlternateContent>
      </w:r>
      <w:r>
        <w:rPr>
          <w:rFonts w:ascii="Verdana"/>
          <w:spacing w:val="-5"/>
          <w:sz w:val="18"/>
        </w:rPr>
        <w:t>462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0"/>
          <w:numId w:val="95"/>
        </w:numPr>
        <w:tabs>
          <w:tab w:pos="2157" w:val="left" w:leader="none"/>
          <w:tab w:pos="2160" w:val="left" w:leader="none"/>
        </w:tabs>
        <w:spacing w:line="261" w:lineRule="auto" w:before="199" w:after="0"/>
        <w:ind w:left="2160" w:right="1438" w:hanging="315"/>
        <w:jc w:val="both"/>
        <w:rPr>
          <w:sz w:val="19"/>
        </w:rPr>
      </w:pPr>
      <w:r>
        <w:rPr>
          <w:sz w:val="19"/>
        </w:rPr>
        <w:t>Jonson, Ben. “To the Memory of My Beloved, the Author, Mr. William Shakespeare.” </w:t>
      </w:r>
      <w:r>
        <w:rPr>
          <w:i/>
          <w:sz w:val="19"/>
        </w:rPr>
        <w:t>Mr. William Shakespeare’s Comedies, Histories,</w:t>
      </w:r>
      <w:r>
        <w:rPr>
          <w:i/>
          <w:spacing w:val="40"/>
          <w:sz w:val="19"/>
        </w:rPr>
        <w:t> </w:t>
      </w:r>
      <w:r>
        <w:rPr>
          <w:i/>
          <w:sz w:val="19"/>
        </w:rPr>
        <w:t>&amp;</w:t>
      </w:r>
      <w:r>
        <w:rPr>
          <w:i/>
          <w:spacing w:val="40"/>
          <w:sz w:val="19"/>
        </w:rPr>
        <w:t> </w:t>
      </w:r>
      <w:r>
        <w:rPr>
          <w:i/>
          <w:sz w:val="19"/>
        </w:rPr>
        <w:t>Tragedies</w:t>
      </w:r>
      <w:r>
        <w:rPr>
          <w:i/>
          <w:spacing w:val="40"/>
          <w:sz w:val="19"/>
        </w:rPr>
        <w:t> </w:t>
      </w:r>
      <w:r>
        <w:rPr>
          <w:sz w:val="19"/>
        </w:rPr>
        <w:t>(First</w:t>
      </w:r>
      <w:r>
        <w:rPr>
          <w:spacing w:val="40"/>
          <w:sz w:val="19"/>
        </w:rPr>
        <w:t> </w:t>
      </w:r>
      <w:r>
        <w:rPr>
          <w:sz w:val="19"/>
        </w:rPr>
        <w:t>Folio),</w:t>
      </w:r>
      <w:r>
        <w:rPr>
          <w:spacing w:val="40"/>
          <w:sz w:val="19"/>
        </w:rPr>
        <w:t> </w:t>
      </w:r>
      <w:r>
        <w:rPr>
          <w:sz w:val="19"/>
        </w:rPr>
        <w:t>1623.</w:t>
      </w:r>
    </w:p>
    <w:p>
      <w:pPr>
        <w:pStyle w:val="ListParagraph"/>
        <w:numPr>
          <w:ilvl w:val="0"/>
          <w:numId w:val="95"/>
        </w:numPr>
        <w:tabs>
          <w:tab w:pos="2157" w:val="left" w:leader="none"/>
          <w:tab w:pos="2160" w:val="left" w:leader="none"/>
        </w:tabs>
        <w:spacing w:line="261" w:lineRule="auto" w:before="58" w:after="0"/>
        <w:ind w:left="2160" w:right="1431" w:hanging="315"/>
        <w:jc w:val="both"/>
        <w:rPr>
          <w:sz w:val="19"/>
        </w:rPr>
      </w:pPr>
      <w:r>
        <w:rPr>
          <w:sz w:val="19"/>
        </w:rPr>
        <w:t>Jonson, Ben. “To the Memory of My Beloved, the Author, Mr. William Shakespeare.” </w:t>
      </w:r>
      <w:r>
        <w:rPr>
          <w:i/>
          <w:sz w:val="19"/>
        </w:rPr>
        <w:t>The Norton Shakespeare</w:t>
      </w:r>
      <w:r>
        <w:rPr>
          <w:sz w:val="19"/>
        </w:rPr>
        <w:t>, edited by Stephen</w:t>
      </w:r>
      <w:r>
        <w:rPr>
          <w:spacing w:val="40"/>
          <w:sz w:val="19"/>
        </w:rPr>
        <w:t> </w:t>
      </w:r>
      <w:r>
        <w:rPr>
          <w:sz w:val="19"/>
        </w:rPr>
        <w:t>Greenblatt,</w:t>
      </w:r>
      <w:r>
        <w:rPr>
          <w:spacing w:val="40"/>
          <w:sz w:val="19"/>
        </w:rPr>
        <w:t> </w:t>
      </w:r>
      <w:r>
        <w:rPr>
          <w:sz w:val="19"/>
        </w:rPr>
        <w:t>W.W.</w:t>
      </w:r>
      <w:r>
        <w:rPr>
          <w:spacing w:val="40"/>
          <w:sz w:val="19"/>
        </w:rPr>
        <w:t> </w:t>
      </w:r>
      <w:r>
        <w:rPr>
          <w:sz w:val="19"/>
        </w:rPr>
        <w:t>Norton,</w:t>
      </w:r>
      <w:r>
        <w:rPr>
          <w:spacing w:val="40"/>
          <w:sz w:val="19"/>
        </w:rPr>
        <w:t> </w:t>
      </w:r>
      <w:r>
        <w:rPr>
          <w:sz w:val="19"/>
        </w:rPr>
        <w:t>2016.</w:t>
      </w:r>
    </w:p>
    <w:p>
      <w:pPr>
        <w:pStyle w:val="ListParagraph"/>
        <w:numPr>
          <w:ilvl w:val="0"/>
          <w:numId w:val="95"/>
        </w:numPr>
        <w:tabs>
          <w:tab w:pos="2157" w:val="left" w:leader="none"/>
          <w:tab w:pos="2160" w:val="left" w:leader="none"/>
        </w:tabs>
        <w:spacing w:line="261" w:lineRule="auto" w:before="56" w:after="0"/>
        <w:ind w:left="2160" w:right="1438" w:hanging="315"/>
        <w:jc w:val="both"/>
        <w:rPr>
          <w:sz w:val="19"/>
        </w:rPr>
      </w:pPr>
      <w:r>
        <w:rPr>
          <w:sz w:val="19"/>
        </w:rPr>
        <w:t>Kohn-Foley,</w:t>
      </w:r>
      <w:r>
        <w:rPr>
          <w:spacing w:val="40"/>
          <w:sz w:val="19"/>
        </w:rPr>
        <w:t> </w:t>
      </w:r>
      <w:r>
        <w:rPr>
          <w:sz w:val="19"/>
        </w:rPr>
        <w:t>Jordan.</w:t>
      </w:r>
      <w:r>
        <w:rPr>
          <w:spacing w:val="40"/>
          <w:sz w:val="19"/>
        </w:rPr>
        <w:t> </w:t>
      </w:r>
      <w:r>
        <w:rPr>
          <w:i/>
          <w:sz w:val="19"/>
        </w:rPr>
        <w:t>Connections</w:t>
      </w:r>
      <w:r>
        <w:rPr>
          <w:i/>
          <w:spacing w:val="40"/>
          <w:sz w:val="19"/>
        </w:rPr>
        <w:t> </w:t>
      </w:r>
      <w:r>
        <w:rPr>
          <w:i/>
          <w:sz w:val="19"/>
        </w:rPr>
        <w:t>Between</w:t>
      </w:r>
      <w:r>
        <w:rPr>
          <w:i/>
          <w:spacing w:val="40"/>
          <w:sz w:val="19"/>
        </w:rPr>
        <w:t> </w:t>
      </w:r>
      <w:r>
        <w:rPr>
          <w:i/>
          <w:sz w:val="19"/>
        </w:rPr>
        <w:t>Female</w:t>
      </w:r>
      <w:r>
        <w:rPr>
          <w:i/>
          <w:spacing w:val="40"/>
          <w:sz w:val="19"/>
        </w:rPr>
        <w:t> </w:t>
      </w:r>
      <w:r>
        <w:rPr>
          <w:i/>
          <w:sz w:val="19"/>
        </w:rPr>
        <w:t>Sexuality and Hell: Misogyny in Shakespeare’s Sonnets</w:t>
      </w:r>
      <w:r>
        <w:rPr>
          <w:sz w:val="19"/>
        </w:rPr>
        <w:t>. Thesis. U of</w:t>
      </w:r>
      <w:r>
        <w:rPr>
          <w:spacing w:val="80"/>
          <w:sz w:val="19"/>
        </w:rPr>
        <w:t> </w:t>
      </w:r>
      <w:r>
        <w:rPr>
          <w:sz w:val="19"/>
        </w:rPr>
        <w:t>South</w:t>
      </w:r>
      <w:r>
        <w:rPr>
          <w:spacing w:val="40"/>
          <w:sz w:val="19"/>
        </w:rPr>
        <w:t> </w:t>
      </w:r>
      <w:r>
        <w:rPr>
          <w:sz w:val="19"/>
        </w:rPr>
        <w:t>Florida</w:t>
      </w:r>
      <w:r>
        <w:rPr>
          <w:spacing w:val="40"/>
          <w:sz w:val="19"/>
        </w:rPr>
        <w:t> </w:t>
      </w:r>
      <w:r>
        <w:rPr>
          <w:sz w:val="19"/>
        </w:rPr>
        <w:t>St.</w:t>
      </w:r>
      <w:r>
        <w:rPr>
          <w:spacing w:val="40"/>
          <w:sz w:val="19"/>
        </w:rPr>
        <w:t> </w:t>
      </w:r>
      <w:r>
        <w:rPr>
          <w:sz w:val="19"/>
        </w:rPr>
        <w:t>Petersburg,</w:t>
      </w:r>
      <w:r>
        <w:rPr>
          <w:spacing w:val="40"/>
          <w:sz w:val="19"/>
        </w:rPr>
        <w:t> </w:t>
      </w:r>
      <w:r>
        <w:rPr>
          <w:sz w:val="19"/>
        </w:rPr>
        <w:t>2019.</w:t>
      </w:r>
      <w:r>
        <w:rPr>
          <w:spacing w:val="40"/>
          <w:sz w:val="19"/>
        </w:rPr>
        <w:t> </w:t>
      </w:r>
      <w:r>
        <w:rPr>
          <w:sz w:val="19"/>
        </w:rPr>
        <w:t>Print.</w:t>
      </w:r>
    </w:p>
    <w:p>
      <w:pPr>
        <w:pStyle w:val="ListParagraph"/>
        <w:numPr>
          <w:ilvl w:val="0"/>
          <w:numId w:val="95"/>
        </w:numPr>
        <w:tabs>
          <w:tab w:pos="2157" w:val="left" w:leader="none"/>
          <w:tab w:pos="2160" w:val="left" w:leader="none"/>
        </w:tabs>
        <w:spacing w:line="261" w:lineRule="auto" w:before="59" w:after="0"/>
        <w:ind w:left="2160" w:right="1438" w:hanging="406"/>
        <w:jc w:val="both"/>
        <w:rPr>
          <w:sz w:val="19"/>
        </w:rPr>
      </w:pPr>
      <w:r>
        <w:rPr>
          <w:sz w:val="19"/>
        </w:rPr>
        <w:t>Korbut Salman, Volha. “Three</w:t>
      </w:r>
      <w:r>
        <w:rPr>
          <w:spacing w:val="-2"/>
          <w:sz w:val="19"/>
        </w:rPr>
        <w:t> </w:t>
      </w:r>
      <w:r>
        <w:rPr>
          <w:sz w:val="19"/>
        </w:rPr>
        <w:t>Traditions of the English Sonnet.” </w:t>
      </w:r>
      <w:r>
        <w:rPr>
          <w:i/>
          <w:sz w:val="19"/>
        </w:rPr>
        <w:t>International Studies and Evaluations in the Field of Philology</w:t>
      </w:r>
      <w:r>
        <w:rPr>
          <w:sz w:val="19"/>
        </w:rPr>
        <w:t>. Ed. Gülnaz Kurt. Ankara: Serüven Yayýnevi, 2024. 17-34. Print.</w:t>
      </w:r>
    </w:p>
    <w:p>
      <w:pPr>
        <w:pStyle w:val="ListParagraph"/>
        <w:numPr>
          <w:ilvl w:val="0"/>
          <w:numId w:val="95"/>
        </w:numPr>
        <w:tabs>
          <w:tab w:pos="2157" w:val="left" w:leader="none"/>
          <w:tab w:pos="2160" w:val="left" w:leader="none"/>
        </w:tabs>
        <w:spacing w:line="261" w:lineRule="auto" w:before="58" w:after="0"/>
        <w:ind w:left="2160" w:right="1434" w:hanging="406"/>
        <w:jc w:val="both"/>
        <w:rPr>
          <w:sz w:val="19"/>
        </w:rPr>
      </w:pPr>
      <w:r>
        <w:rPr>
          <w:sz w:val="19"/>
        </w:rPr>
        <w:t>Lindsay, Alan, and Candace Bergstrom. “The Sonnet, History</w:t>
      </w:r>
      <w:r>
        <w:rPr>
          <w:spacing w:val="80"/>
          <w:sz w:val="19"/>
        </w:rPr>
        <w:t> </w:t>
      </w:r>
      <w:r>
        <w:rPr>
          <w:sz w:val="19"/>
        </w:rPr>
        <w:t>and Forms.” </w:t>
      </w:r>
      <w:r>
        <w:rPr>
          <w:i/>
          <w:sz w:val="19"/>
        </w:rPr>
        <w:t>Intro to Poetry: A Complete Online Course</w:t>
      </w:r>
      <w:r>
        <w:rPr>
          <w:sz w:val="19"/>
        </w:rPr>
        <w:t>. Open Oregon</w:t>
      </w:r>
      <w:r>
        <w:rPr>
          <w:spacing w:val="40"/>
          <w:sz w:val="19"/>
        </w:rPr>
        <w:t> </w:t>
      </w:r>
      <w:r>
        <w:rPr>
          <w:sz w:val="19"/>
        </w:rPr>
        <w:t>Educational</w:t>
      </w:r>
      <w:r>
        <w:rPr>
          <w:spacing w:val="40"/>
          <w:sz w:val="19"/>
        </w:rPr>
        <w:t> </w:t>
      </w:r>
      <w:r>
        <w:rPr>
          <w:sz w:val="19"/>
        </w:rPr>
        <w:t>Resources,</w:t>
      </w:r>
      <w:r>
        <w:rPr>
          <w:spacing w:val="40"/>
          <w:sz w:val="19"/>
        </w:rPr>
        <w:t> </w:t>
      </w:r>
      <w:r>
        <w:rPr>
          <w:sz w:val="19"/>
        </w:rPr>
        <w:t>2020.</w:t>
      </w:r>
      <w:r>
        <w:rPr>
          <w:spacing w:val="40"/>
          <w:sz w:val="19"/>
        </w:rPr>
        <w:t> </w:t>
      </w:r>
      <w:r>
        <w:rPr>
          <w:sz w:val="19"/>
        </w:rPr>
        <w:t>Web.</w:t>
      </w:r>
    </w:p>
    <w:p>
      <w:pPr>
        <w:pStyle w:val="ListParagraph"/>
        <w:numPr>
          <w:ilvl w:val="0"/>
          <w:numId w:val="95"/>
        </w:numPr>
        <w:tabs>
          <w:tab w:pos="2157" w:val="left" w:leader="none"/>
          <w:tab w:pos="2160" w:val="left" w:leader="none"/>
        </w:tabs>
        <w:spacing w:line="261" w:lineRule="auto" w:before="56" w:after="0"/>
        <w:ind w:left="2160" w:right="1440" w:hanging="406"/>
        <w:jc w:val="both"/>
        <w:rPr>
          <w:sz w:val="19"/>
        </w:rPr>
      </w:pPr>
      <w:r>
        <w:rPr>
          <w:sz w:val="19"/>
        </w:rPr>
        <w:t>Linker, Laura. “Crowning the Sonnet Tradition: Mary Wroth’s Pamphilia to Amphilanthus.” </w:t>
      </w:r>
      <w:r>
        <w:rPr>
          <w:i/>
          <w:sz w:val="19"/>
        </w:rPr>
        <w:t>Journal of South Texas English Studies</w:t>
      </w:r>
      <w:r>
        <w:rPr>
          <w:i/>
          <w:spacing w:val="40"/>
          <w:sz w:val="19"/>
        </w:rPr>
        <w:t> </w:t>
      </w:r>
      <w:r>
        <w:rPr>
          <w:sz w:val="19"/>
        </w:rPr>
        <w:t>4.2</w:t>
      </w:r>
      <w:r>
        <w:rPr>
          <w:spacing w:val="40"/>
          <w:sz w:val="19"/>
        </w:rPr>
        <w:t> </w:t>
      </w:r>
      <w:r>
        <w:rPr>
          <w:sz w:val="19"/>
        </w:rPr>
        <w:t>(2013):</w:t>
      </w:r>
      <w:r>
        <w:rPr>
          <w:spacing w:val="40"/>
          <w:sz w:val="19"/>
        </w:rPr>
        <w:t> </w:t>
      </w:r>
      <w:r>
        <w:rPr>
          <w:sz w:val="19"/>
        </w:rPr>
        <w:t>1-8.</w:t>
      </w:r>
      <w:r>
        <w:rPr>
          <w:spacing w:val="40"/>
          <w:sz w:val="19"/>
        </w:rPr>
        <w:t> </w:t>
      </w:r>
      <w:r>
        <w:rPr>
          <w:sz w:val="19"/>
        </w:rPr>
        <w:t>Web.</w:t>
      </w:r>
    </w:p>
    <w:p>
      <w:pPr>
        <w:pStyle w:val="ListParagraph"/>
        <w:numPr>
          <w:ilvl w:val="0"/>
          <w:numId w:val="95"/>
        </w:numPr>
        <w:tabs>
          <w:tab w:pos="2157" w:val="left" w:leader="none"/>
          <w:tab w:pos="2160" w:val="left" w:leader="none"/>
        </w:tabs>
        <w:spacing w:line="261" w:lineRule="auto" w:before="59" w:after="0"/>
        <w:ind w:left="2160" w:right="1438" w:hanging="406"/>
        <w:jc w:val="both"/>
        <w:rPr>
          <w:sz w:val="19"/>
        </w:rPr>
      </w:pPr>
      <w:r>
        <w:rPr>
          <w:sz w:val="19"/>
        </w:rPr>
        <w:t>Mulvey, Laura. “Visual Pleasure and Narrative Cinema.” </w:t>
      </w:r>
      <w:r>
        <w:rPr>
          <w:i/>
          <w:sz w:val="19"/>
        </w:rPr>
        <w:t>Screen</w:t>
      </w:r>
      <w:r>
        <w:rPr>
          <w:sz w:val="19"/>
        </w:rPr>
        <w:t>, vol. 16, no. 3, 1975, pp. 6–18.</w:t>
      </w:r>
    </w:p>
    <w:p>
      <w:pPr>
        <w:pStyle w:val="ListParagraph"/>
        <w:numPr>
          <w:ilvl w:val="0"/>
          <w:numId w:val="95"/>
        </w:numPr>
        <w:tabs>
          <w:tab w:pos="2157" w:val="left" w:leader="none"/>
          <w:tab w:pos="2160" w:val="left" w:leader="none"/>
        </w:tabs>
        <w:spacing w:line="261" w:lineRule="auto" w:before="58" w:after="0"/>
        <w:ind w:left="2160" w:right="1437" w:hanging="406"/>
        <w:jc w:val="both"/>
        <w:rPr>
          <w:sz w:val="19"/>
        </w:rPr>
      </w:pPr>
      <w:r>
        <w:rPr>
          <w:sz w:val="19"/>
        </w:rPr>
        <w:t>Rackin, Ethel. “Rules Are Made to Be Broken: Teaching Traditional and Contemporary Sonnets.” </w:t>
      </w:r>
      <w:r>
        <w:rPr>
          <w:i/>
          <w:sz w:val="19"/>
        </w:rPr>
        <w:t>Broadview Press</w:t>
      </w:r>
      <w:r>
        <w:rPr>
          <w:sz w:val="19"/>
        </w:rPr>
        <w:t>, 15 Aug.</w:t>
      </w:r>
      <w:r>
        <w:rPr>
          <w:spacing w:val="40"/>
          <w:sz w:val="19"/>
        </w:rPr>
        <w:t> </w:t>
      </w:r>
      <w:r>
        <w:rPr>
          <w:sz w:val="19"/>
        </w:rPr>
        <w:t>2022.</w:t>
      </w:r>
      <w:r>
        <w:rPr>
          <w:spacing w:val="40"/>
          <w:sz w:val="19"/>
        </w:rPr>
        <w:t> </w:t>
      </w:r>
      <w:r>
        <w:rPr>
          <w:sz w:val="19"/>
        </w:rPr>
        <w:t>Web.</w:t>
      </w:r>
    </w:p>
    <w:p>
      <w:pPr>
        <w:pStyle w:val="ListParagraph"/>
        <w:numPr>
          <w:ilvl w:val="0"/>
          <w:numId w:val="95"/>
        </w:numPr>
        <w:tabs>
          <w:tab w:pos="2157" w:val="left" w:leader="none"/>
          <w:tab w:pos="2160" w:val="left" w:leader="none"/>
        </w:tabs>
        <w:spacing w:line="261" w:lineRule="auto" w:before="56" w:after="0"/>
        <w:ind w:left="2160" w:right="1437" w:hanging="406"/>
        <w:jc w:val="both"/>
        <w:rPr>
          <w:sz w:val="19"/>
        </w:rPr>
      </w:pPr>
      <w:r>
        <w:rPr>
          <w:sz w:val="19"/>
        </w:rPr>
        <w:t>Regan, Stephen. “The Sonnet and its Travels.” Durham University.</w:t>
      </w:r>
      <w:r>
        <w:rPr>
          <w:spacing w:val="40"/>
          <w:sz w:val="19"/>
        </w:rPr>
        <w:t> </w:t>
      </w:r>
      <w:r>
        <w:rPr>
          <w:sz w:val="19"/>
        </w:rPr>
        <w:t>Web.</w:t>
      </w:r>
    </w:p>
    <w:p>
      <w:pPr>
        <w:pStyle w:val="ListParagraph"/>
        <w:numPr>
          <w:ilvl w:val="0"/>
          <w:numId w:val="95"/>
        </w:numPr>
        <w:tabs>
          <w:tab w:pos="2157" w:val="left" w:leader="none"/>
          <w:tab w:pos="2160" w:val="left" w:leader="none"/>
        </w:tabs>
        <w:spacing w:line="261" w:lineRule="auto" w:before="59" w:after="0"/>
        <w:ind w:left="2160" w:right="1440" w:hanging="406"/>
        <w:jc w:val="both"/>
        <w:rPr>
          <w:sz w:val="19"/>
        </w:rPr>
      </w:pPr>
      <w:r>
        <w:rPr>
          <w:sz w:val="19"/>
        </w:rPr>
        <w:t>Rukhshona, Rahmonova. “The Sonnet Tradition: Contributions</w:t>
      </w:r>
      <w:r>
        <w:rPr>
          <w:spacing w:val="80"/>
          <w:sz w:val="19"/>
        </w:rPr>
        <w:t> </w:t>
      </w:r>
      <w:r>
        <w:rPr>
          <w:sz w:val="19"/>
        </w:rPr>
        <w:t>of Wyatt, Sidney, and Spenser.” </w:t>
      </w:r>
      <w:r>
        <w:rPr>
          <w:i/>
          <w:sz w:val="19"/>
        </w:rPr>
        <w:t>Student of ChSPU Department English</w:t>
      </w:r>
      <w:r>
        <w:rPr>
          <w:i/>
          <w:spacing w:val="40"/>
          <w:sz w:val="19"/>
        </w:rPr>
        <w:t> </w:t>
      </w:r>
      <w:r>
        <w:rPr>
          <w:i/>
          <w:sz w:val="19"/>
        </w:rPr>
        <w:t>Language</w:t>
      </w:r>
      <w:r>
        <w:rPr>
          <w:i/>
          <w:spacing w:val="40"/>
          <w:sz w:val="19"/>
        </w:rPr>
        <w:t> </w:t>
      </w:r>
      <w:r>
        <w:rPr>
          <w:i/>
          <w:sz w:val="19"/>
        </w:rPr>
        <w:t>and</w:t>
      </w:r>
      <w:r>
        <w:rPr>
          <w:i/>
          <w:spacing w:val="40"/>
          <w:sz w:val="19"/>
        </w:rPr>
        <w:t> </w:t>
      </w:r>
      <w:r>
        <w:rPr>
          <w:i/>
          <w:sz w:val="19"/>
        </w:rPr>
        <w:t>Theory</w:t>
      </w:r>
      <w:r>
        <w:rPr>
          <w:sz w:val="19"/>
        </w:rPr>
        <w:t>.</w:t>
      </w:r>
      <w:r>
        <w:rPr>
          <w:spacing w:val="40"/>
          <w:sz w:val="19"/>
        </w:rPr>
        <w:t> </w:t>
      </w:r>
      <w:r>
        <w:rPr>
          <w:sz w:val="19"/>
        </w:rPr>
        <w:t>Web.</w:t>
      </w:r>
    </w:p>
    <w:p>
      <w:pPr>
        <w:pStyle w:val="ListParagraph"/>
        <w:numPr>
          <w:ilvl w:val="0"/>
          <w:numId w:val="95"/>
        </w:numPr>
        <w:tabs>
          <w:tab w:pos="2157" w:val="left" w:leader="none"/>
          <w:tab w:pos="2160" w:val="left" w:leader="none"/>
        </w:tabs>
        <w:spacing w:line="264" w:lineRule="auto" w:before="56" w:after="0"/>
        <w:ind w:left="2160" w:right="1441" w:hanging="406"/>
        <w:jc w:val="both"/>
        <w:rPr>
          <w:sz w:val="19"/>
        </w:rPr>
      </w:pPr>
      <w:r>
        <w:rPr>
          <w:sz w:val="19"/>
        </w:rPr>
        <w:t>Russell, Shaun. “History of the Sonnet.” </w:t>
      </w:r>
      <w:r>
        <w:rPr>
          <w:i/>
          <w:sz w:val="19"/>
        </w:rPr>
        <w:t>British Literature to 1800</w:t>
      </w:r>
      <w:r>
        <w:rPr>
          <w:sz w:val="19"/>
        </w:rPr>
        <w:t>.</w:t>
      </w:r>
      <w:r>
        <w:rPr>
          <w:spacing w:val="40"/>
          <w:sz w:val="19"/>
        </w:rPr>
        <w:t> </w:t>
      </w:r>
      <w:r>
        <w:rPr>
          <w:sz w:val="19"/>
        </w:rPr>
        <w:t>Ed.</w:t>
      </w:r>
      <w:r>
        <w:rPr>
          <w:spacing w:val="40"/>
          <w:sz w:val="19"/>
        </w:rPr>
        <w:t> </w:t>
      </w:r>
      <w:r>
        <w:rPr>
          <w:sz w:val="19"/>
        </w:rPr>
        <w:t>Karen</w:t>
      </w:r>
      <w:r>
        <w:rPr>
          <w:spacing w:val="40"/>
          <w:sz w:val="19"/>
        </w:rPr>
        <w:t> </w:t>
      </w:r>
      <w:r>
        <w:rPr>
          <w:sz w:val="19"/>
        </w:rPr>
        <w:t>Winstead.</w:t>
      </w:r>
      <w:r>
        <w:rPr>
          <w:spacing w:val="40"/>
          <w:sz w:val="19"/>
        </w:rPr>
        <w:t> </w:t>
      </w:r>
      <w:r>
        <w:rPr>
          <w:sz w:val="19"/>
        </w:rPr>
        <w:t>2020.</w:t>
      </w:r>
      <w:r>
        <w:rPr>
          <w:spacing w:val="40"/>
          <w:sz w:val="19"/>
        </w:rPr>
        <w:t> </w:t>
      </w:r>
      <w:r>
        <w:rPr>
          <w:sz w:val="19"/>
        </w:rPr>
        <w:t>Web.</w:t>
      </w:r>
    </w:p>
    <w:p>
      <w:pPr>
        <w:pStyle w:val="ListParagraph"/>
        <w:numPr>
          <w:ilvl w:val="0"/>
          <w:numId w:val="95"/>
        </w:numPr>
        <w:tabs>
          <w:tab w:pos="2157" w:val="left" w:leader="none"/>
          <w:tab w:pos="2160" w:val="left" w:leader="none"/>
        </w:tabs>
        <w:spacing w:line="261" w:lineRule="auto" w:before="55" w:after="0"/>
        <w:ind w:left="2160" w:right="1438" w:hanging="406"/>
        <w:jc w:val="both"/>
        <w:rPr>
          <w:sz w:val="19"/>
        </w:rPr>
      </w:pPr>
      <w:r>
        <w:rPr>
          <w:sz w:val="19"/>
        </w:rPr>
        <w:t>Salameh, Fahd, Qusai Al-Thebyan, Nazmi Al-Shalabi, and Kifah Al-Omari. “Pre-Lapsarian Man: An Ontological Reading of </w:t>
      </w:r>
      <w:r>
        <w:rPr>
          <w:spacing w:val="10"/>
          <w:sz w:val="19"/>
        </w:rPr>
        <w:t>Shakespeare’s</w:t>
      </w:r>
      <w:r>
        <w:rPr>
          <w:spacing w:val="10"/>
          <w:sz w:val="19"/>
        </w:rPr>
        <w:t> Sonnet</w:t>
      </w:r>
      <w:r>
        <w:rPr>
          <w:spacing w:val="10"/>
          <w:sz w:val="19"/>
        </w:rPr>
        <w:t> 129.”</w:t>
      </w:r>
      <w:r>
        <w:rPr>
          <w:spacing w:val="10"/>
          <w:sz w:val="19"/>
        </w:rPr>
        <w:t> </w:t>
      </w:r>
      <w:r>
        <w:rPr>
          <w:i/>
          <w:spacing w:val="11"/>
          <w:sz w:val="19"/>
        </w:rPr>
        <w:t>International</w:t>
      </w:r>
      <w:r>
        <w:rPr>
          <w:i/>
          <w:spacing w:val="11"/>
          <w:sz w:val="19"/>
        </w:rPr>
        <w:t> Journal</w:t>
      </w:r>
      <w:r>
        <w:rPr>
          <w:i/>
          <w:spacing w:val="11"/>
          <w:sz w:val="19"/>
        </w:rPr>
        <w:t> </w:t>
      </w:r>
      <w:r>
        <w:rPr>
          <w:i/>
          <w:sz w:val="19"/>
        </w:rPr>
        <w:t>of Humanities</w:t>
      </w:r>
      <w:r>
        <w:rPr>
          <w:i/>
          <w:spacing w:val="40"/>
          <w:sz w:val="19"/>
        </w:rPr>
        <w:t> </w:t>
      </w:r>
      <w:r>
        <w:rPr>
          <w:i/>
          <w:sz w:val="19"/>
        </w:rPr>
        <w:t>and</w:t>
      </w:r>
      <w:r>
        <w:rPr>
          <w:i/>
          <w:spacing w:val="40"/>
          <w:sz w:val="19"/>
        </w:rPr>
        <w:t> </w:t>
      </w:r>
      <w:r>
        <w:rPr>
          <w:i/>
          <w:sz w:val="19"/>
        </w:rPr>
        <w:t>Social</w:t>
      </w:r>
      <w:r>
        <w:rPr>
          <w:i/>
          <w:spacing w:val="40"/>
          <w:sz w:val="19"/>
        </w:rPr>
        <w:t> </w:t>
      </w:r>
      <w:r>
        <w:rPr>
          <w:i/>
          <w:sz w:val="19"/>
        </w:rPr>
        <w:t>Science</w:t>
      </w:r>
      <w:r>
        <w:rPr>
          <w:i/>
          <w:spacing w:val="40"/>
          <w:sz w:val="19"/>
        </w:rPr>
        <w:t> </w:t>
      </w:r>
      <w:r>
        <w:rPr>
          <w:sz w:val="19"/>
        </w:rPr>
        <w:t>1.12</w:t>
      </w:r>
      <w:r>
        <w:rPr>
          <w:spacing w:val="40"/>
          <w:sz w:val="19"/>
        </w:rPr>
        <w:t> </w:t>
      </w:r>
      <w:r>
        <w:rPr>
          <w:sz w:val="19"/>
        </w:rPr>
        <w:t>(2011):</w:t>
      </w:r>
      <w:r>
        <w:rPr>
          <w:spacing w:val="40"/>
          <w:sz w:val="19"/>
        </w:rPr>
        <w:t> </w:t>
      </w:r>
      <w:r>
        <w:rPr>
          <w:sz w:val="19"/>
        </w:rPr>
        <w:t>208-13.</w:t>
      </w:r>
      <w:r>
        <w:rPr>
          <w:spacing w:val="40"/>
          <w:sz w:val="19"/>
        </w:rPr>
        <w:t> </w:t>
      </w:r>
      <w:r>
        <w:rPr>
          <w:sz w:val="19"/>
        </w:rPr>
        <w:t>Print.</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84800">
                <wp:simplePos x="0" y="0"/>
                <wp:positionH relativeFrom="page">
                  <wp:posOffset>2057400</wp:posOffset>
                </wp:positionH>
                <wp:positionV relativeFrom="page">
                  <wp:posOffset>1788723</wp:posOffset>
                </wp:positionV>
                <wp:extent cx="3655695" cy="140335"/>
                <wp:effectExtent l="0" t="0" r="0" b="0"/>
                <wp:wrapNone/>
                <wp:docPr id="874" name="Textbox 874"/>
                <wp:cNvGraphicFramePr>
                  <a:graphicFrameLocks/>
                </wp:cNvGraphicFramePr>
                <a:graphic>
                  <a:graphicData uri="http://schemas.microsoft.com/office/word/2010/wordprocessingShape">
                    <wps:wsp>
                      <wps:cNvPr id="874" name="Textbox 874"/>
                      <wps:cNvSpPr txBox="1"/>
                      <wps:spPr>
                        <a:xfrm>
                          <a:off x="0" y="0"/>
                          <a:ext cx="3655695" cy="140335"/>
                        </a:xfrm>
                        <a:prstGeom prst="rect">
                          <a:avLst/>
                        </a:prstGeom>
                      </wps:spPr>
                      <wps:txbx>
                        <w:txbxContent>
                          <w:p>
                            <w:pPr>
                              <w:tabs>
                                <w:tab w:pos="5755" w:val="right" w:leader="none"/>
                              </w:tabs>
                              <w:spacing w:line="219" w:lineRule="exact" w:before="0"/>
                              <w:ind w:left="0" w:right="0" w:firstLine="0"/>
                              <w:jc w:val="left"/>
                              <w:rPr>
                                <w:rFonts w:ascii="Verdana" w:hAnsi="Verdana"/>
                                <w:sz w:val="18"/>
                              </w:rPr>
                            </w:pP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463</w:t>
                            </w:r>
                          </w:p>
                        </w:txbxContent>
                      </wps:txbx>
                      <wps:bodyPr wrap="square" lIns="0" tIns="0" rIns="0" bIns="0" rtlCol="0">
                        <a:noAutofit/>
                      </wps:bodyPr>
                    </wps:wsp>
                  </a:graphicData>
                </a:graphic>
              </wp:anchor>
            </w:drawing>
          </mc:Choice>
          <mc:Fallback>
            <w:pict>
              <v:shape style="position:absolute;margin-left:162pt;margin-top:140.844391pt;width:287.850pt;height:11.05pt;mso-position-horizontal-relative:page;mso-position-vertical-relative:page;z-index:-20231680" type="#_x0000_t202" id="docshape866" filled="false" stroked="false">
                <v:textbox inset="0,0,0,0">
                  <w:txbxContent>
                    <w:p>
                      <w:pPr>
                        <w:tabs>
                          <w:tab w:pos="5755" w:val="right" w:leader="none"/>
                        </w:tabs>
                        <w:spacing w:line="219" w:lineRule="exact" w:before="0"/>
                        <w:ind w:left="0" w:right="0" w:firstLine="0"/>
                        <w:jc w:val="left"/>
                        <w:rPr>
                          <w:rFonts w:ascii="Verdana" w:hAnsi="Verdana"/>
                          <w:sz w:val="18"/>
                        </w:rPr>
                      </w:pP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463</w:t>
                      </w:r>
                    </w:p>
                  </w:txbxContent>
                </v:textbox>
                <w10:wrap type="none"/>
              </v:shape>
            </w:pict>
          </mc:Fallback>
        </mc:AlternateContent>
      </w:r>
    </w:p>
    <w:p>
      <w:pPr>
        <w:pStyle w:val="BodyText"/>
        <w:spacing w:before="228"/>
        <w:ind w:left="0"/>
      </w:pPr>
    </w:p>
    <w:p>
      <w:pPr>
        <w:spacing w:line="240" w:lineRule="auto"/>
        <w:ind w:left="1118" w:right="0" w:firstLine="0"/>
        <w:rPr>
          <w:sz w:val="20"/>
        </w:rPr>
      </w:pPr>
      <w:r>
        <w:rPr>
          <w:sz w:val="20"/>
        </w:rPr>
        <mc:AlternateContent>
          <mc:Choice Requires="wps">
            <w:drawing>
              <wp:inline distT="0" distB="0" distL="0" distR="0">
                <wp:extent cx="4044950" cy="701040"/>
                <wp:effectExtent l="0" t="0" r="0" b="0"/>
                <wp:docPr id="875" name="Group 875"/>
                <wp:cNvGraphicFramePr>
                  <a:graphicFrameLocks/>
                </wp:cNvGraphicFramePr>
                <a:graphic>
                  <a:graphicData uri="http://schemas.microsoft.com/office/word/2010/wordprocessingGroup">
                    <wpg:wgp>
                      <wpg:cNvPr id="875" name="Group 875"/>
                      <wpg:cNvGrpSpPr/>
                      <wpg:grpSpPr>
                        <a:xfrm>
                          <a:off x="0" y="0"/>
                          <a:ext cx="4044950" cy="701040"/>
                          <a:chExt cx="4044950" cy="701040"/>
                        </a:xfrm>
                      </wpg:grpSpPr>
                      <wps:wsp>
                        <wps:cNvPr id="876" name="Graphic 876"/>
                        <wps:cNvSpPr/>
                        <wps:spPr>
                          <a:xfrm>
                            <a:off x="0" y="0"/>
                            <a:ext cx="4044950" cy="701040"/>
                          </a:xfrm>
                          <a:custGeom>
                            <a:avLst/>
                            <a:gdLst/>
                            <a:ahLst/>
                            <a:cxnLst/>
                            <a:rect l="l" t="t" r="r" b="b"/>
                            <a:pathLst>
                              <a:path w="4044950" h="701040">
                                <a:moveTo>
                                  <a:pt x="4044696" y="701040"/>
                                </a:moveTo>
                                <a:lnTo>
                                  <a:pt x="0" y="701040"/>
                                </a:lnTo>
                                <a:lnTo>
                                  <a:pt x="0" y="0"/>
                                </a:lnTo>
                                <a:lnTo>
                                  <a:pt x="4044696" y="0"/>
                                </a:lnTo>
                                <a:lnTo>
                                  <a:pt x="4044696" y="70104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5pt;height:55.2pt;mso-position-horizontal-relative:char;mso-position-vertical-relative:line" id="docshapegroup867" coordorigin="0,0" coordsize="6370,1104">
                <v:rect style="position:absolute;left:0;top:0;width:6370;height:1104" id="docshape868" filled="true" fillcolor="#ffffff" stroked="false">
                  <v:fill type="solid"/>
                </v:rect>
              </v:group>
            </w:pict>
          </mc:Fallback>
        </mc:AlternateContent>
      </w:r>
      <w:r>
        <w:rPr>
          <w:sz w:val="20"/>
        </w:rPr>
      </w:r>
    </w:p>
    <w:p>
      <w:pPr>
        <w:pStyle w:val="BodyText"/>
        <w:spacing w:before="178"/>
        <w:ind w:left="0"/>
      </w:pPr>
      <w:r>
        <w:rPr/>
        <mc:AlternateContent>
          <mc:Choice Requires="wps">
            <w:drawing>
              <wp:anchor distT="0" distB="0" distL="0" distR="0" allowOverlap="1" layoutInCell="1" locked="0" behindDoc="1" simplePos="0" relativeHeight="487920640">
                <wp:simplePos x="0" y="0"/>
                <wp:positionH relativeFrom="page">
                  <wp:posOffset>3521963</wp:posOffset>
                </wp:positionH>
                <wp:positionV relativeFrom="paragraph">
                  <wp:posOffset>274447</wp:posOffset>
                </wp:positionV>
                <wp:extent cx="728980" cy="654050"/>
                <wp:effectExtent l="0" t="0" r="0" b="0"/>
                <wp:wrapTopAndBottom/>
                <wp:docPr id="877" name="Group 877"/>
                <wp:cNvGraphicFramePr>
                  <a:graphicFrameLocks/>
                </wp:cNvGraphicFramePr>
                <a:graphic>
                  <a:graphicData uri="http://schemas.microsoft.com/office/word/2010/wordprocessingGroup">
                    <wpg:wgp>
                      <wpg:cNvPr id="877" name="Group 877"/>
                      <wpg:cNvGrpSpPr/>
                      <wpg:grpSpPr>
                        <a:xfrm>
                          <a:off x="0" y="0"/>
                          <a:ext cx="728980" cy="654050"/>
                          <a:chExt cx="728980" cy="654050"/>
                        </a:xfrm>
                      </wpg:grpSpPr>
                      <pic:pic>
                        <pic:nvPicPr>
                          <pic:cNvPr id="878" name="Image 878"/>
                          <pic:cNvPicPr/>
                        </pic:nvPicPr>
                        <pic:blipFill>
                          <a:blip r:embed="rId133" cstate="print"/>
                          <a:stretch>
                            <a:fillRect/>
                          </a:stretch>
                        </pic:blipFill>
                        <pic:spPr>
                          <a:xfrm>
                            <a:off x="0" y="0"/>
                            <a:ext cx="728472" cy="653795"/>
                          </a:xfrm>
                          <a:prstGeom prst="rect">
                            <a:avLst/>
                          </a:prstGeom>
                        </pic:spPr>
                      </pic:pic>
                      <wps:wsp>
                        <wps:cNvPr id="879" name="Textbox 879"/>
                        <wps:cNvSpPr txBox="1"/>
                        <wps:spPr>
                          <a:xfrm>
                            <a:off x="0" y="0"/>
                            <a:ext cx="728980" cy="654050"/>
                          </a:xfrm>
                          <a:prstGeom prst="rect">
                            <a:avLst/>
                          </a:prstGeom>
                        </wps:spPr>
                        <wps:txbx>
                          <w:txbxContent>
                            <w:p>
                              <w:pPr>
                                <w:spacing w:before="386"/>
                                <w:ind w:left="379" w:right="0" w:firstLine="0"/>
                                <w:jc w:val="left"/>
                                <w:rPr>
                                  <w:rFonts w:ascii="Tahoma"/>
                                  <w:b/>
                                  <w:sz w:val="36"/>
                                </w:rPr>
                              </w:pPr>
                              <w:r>
                                <w:rPr>
                                  <w:rFonts w:ascii="Tahoma"/>
                                  <w:b/>
                                  <w:spacing w:val="-5"/>
                                  <w:w w:val="95"/>
                                  <w:sz w:val="36"/>
                                </w:rPr>
                                <w:t>45</w:t>
                              </w:r>
                            </w:p>
                          </w:txbxContent>
                        </wps:txbx>
                        <wps:bodyPr wrap="square" lIns="0" tIns="0" rIns="0" bIns="0" rtlCol="0">
                          <a:noAutofit/>
                        </wps:bodyPr>
                      </wps:wsp>
                    </wpg:wgp>
                  </a:graphicData>
                </a:graphic>
              </wp:anchor>
            </w:drawing>
          </mc:Choice>
          <mc:Fallback>
            <w:pict>
              <v:group style="position:absolute;margin-left:277.319977pt;margin-top:21.610006pt;width:57.4pt;height:51.5pt;mso-position-horizontal-relative:page;mso-position-vertical-relative:paragraph;z-index:-15395840;mso-wrap-distance-left:0;mso-wrap-distance-right:0" id="docshapegroup869" coordorigin="5546,432" coordsize="1148,1030">
                <v:shape style="position:absolute;left:5546;top:432;width:1148;height:1030" type="#_x0000_t75" id="docshape870" stroked="false">
                  <v:imagedata r:id="rId133" o:title=""/>
                </v:shape>
                <v:shape style="position:absolute;left:5546;top:432;width:1148;height:1030" type="#_x0000_t202" id="docshape871" filled="false" stroked="false">
                  <v:textbox inset="0,0,0,0">
                    <w:txbxContent>
                      <w:p>
                        <w:pPr>
                          <w:spacing w:before="386"/>
                          <w:ind w:left="379" w:right="0" w:firstLine="0"/>
                          <w:jc w:val="left"/>
                          <w:rPr>
                            <w:rFonts w:ascii="Tahoma"/>
                            <w:b/>
                            <w:sz w:val="36"/>
                          </w:rPr>
                        </w:pPr>
                        <w:r>
                          <w:rPr>
                            <w:rFonts w:ascii="Tahoma"/>
                            <w:b/>
                            <w:spacing w:val="-5"/>
                            <w:w w:val="95"/>
                            <w:sz w:val="36"/>
                          </w:rPr>
                          <w:t>45</w:t>
                        </w:r>
                      </w:p>
                    </w:txbxContent>
                  </v:textbox>
                  <w10:wrap type="none"/>
                </v:shape>
                <w10:wrap type="topAndBottom"/>
              </v:group>
            </w:pict>
          </mc:Fallback>
        </mc:AlternateContent>
      </w:r>
    </w:p>
    <w:p>
      <w:pPr>
        <w:pStyle w:val="Heading1"/>
        <w:spacing w:line="364" w:lineRule="exact" w:before="4"/>
        <w:ind w:right="7"/>
      </w:pPr>
      <w:r>
        <w:rPr>
          <w:spacing w:val="-10"/>
        </w:rPr>
        <w:t>Revisiting</w:t>
      </w:r>
      <w:r>
        <w:rPr>
          <w:spacing w:val="-3"/>
        </w:rPr>
        <w:t> </w:t>
      </w:r>
      <w:r>
        <w:rPr>
          <w:spacing w:val="-10"/>
        </w:rPr>
        <w:t>Shakespeare’s</w:t>
      </w:r>
      <w:r>
        <w:rPr>
          <w:spacing w:val="-2"/>
        </w:rPr>
        <w:t> </w:t>
      </w:r>
      <w:r>
        <w:rPr>
          <w:spacing w:val="-10"/>
        </w:rPr>
        <w:t>“Bad</w:t>
      </w:r>
    </w:p>
    <w:p>
      <w:pPr>
        <w:tabs>
          <w:tab w:pos="367" w:val="left" w:leader="none"/>
          <w:tab w:pos="5759" w:val="left" w:leader="none"/>
        </w:tabs>
        <w:spacing w:line="364" w:lineRule="exact" w:before="0"/>
        <w:ind w:left="0" w:right="0" w:firstLine="0"/>
        <w:jc w:val="center"/>
        <w:rPr>
          <w:rFonts w:ascii="Tahoma" w:hAnsi="Tahoma"/>
          <w:b/>
          <w:sz w:val="32"/>
        </w:rPr>
      </w:pPr>
      <w:r>
        <w:rPr>
          <w:rFonts w:ascii="Tahoma" w:hAnsi="Tahoma"/>
          <w:b/>
          <w:sz w:val="32"/>
          <w:u w:val="single"/>
        </w:rPr>
        <w:tab/>
      </w:r>
      <w:r>
        <w:rPr>
          <w:rFonts w:ascii="Tahoma" w:hAnsi="Tahoma"/>
          <w:b/>
          <w:spacing w:val="-8"/>
          <w:sz w:val="32"/>
          <w:u w:val="single"/>
        </w:rPr>
        <w:t>Women”:</w:t>
      </w:r>
      <w:r>
        <w:rPr>
          <w:rFonts w:ascii="Tahoma" w:hAnsi="Tahoma"/>
          <w:b/>
          <w:spacing w:val="-14"/>
          <w:sz w:val="32"/>
          <w:u w:val="single"/>
        </w:rPr>
        <w:t> </w:t>
      </w:r>
      <w:r>
        <w:rPr>
          <w:rFonts w:ascii="Tahoma" w:hAnsi="Tahoma"/>
          <w:b/>
          <w:spacing w:val="-8"/>
          <w:sz w:val="32"/>
          <w:u w:val="single"/>
        </w:rPr>
        <w:t>A</w:t>
      </w:r>
      <w:r>
        <w:rPr>
          <w:rFonts w:ascii="Tahoma" w:hAnsi="Tahoma"/>
          <w:b/>
          <w:spacing w:val="-12"/>
          <w:sz w:val="32"/>
          <w:u w:val="single"/>
        </w:rPr>
        <w:t> </w:t>
      </w:r>
      <w:r>
        <w:rPr>
          <w:rFonts w:ascii="Tahoma" w:hAnsi="Tahoma"/>
          <w:b/>
          <w:spacing w:val="-8"/>
          <w:sz w:val="32"/>
          <w:u w:val="single"/>
        </w:rPr>
        <w:t>Feminist</w:t>
      </w:r>
      <w:r>
        <w:rPr>
          <w:rFonts w:ascii="Tahoma" w:hAnsi="Tahoma"/>
          <w:b/>
          <w:spacing w:val="-13"/>
          <w:sz w:val="32"/>
          <w:u w:val="single"/>
        </w:rPr>
        <w:t> </w:t>
      </w:r>
      <w:r>
        <w:rPr>
          <w:rFonts w:ascii="Tahoma" w:hAnsi="Tahoma"/>
          <w:b/>
          <w:spacing w:val="-8"/>
          <w:sz w:val="32"/>
          <w:u w:val="single"/>
        </w:rPr>
        <w:t>Perspective</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921152">
                <wp:simplePos x="0" y="0"/>
                <wp:positionH relativeFrom="page">
                  <wp:posOffset>2057400</wp:posOffset>
                </wp:positionH>
                <wp:positionV relativeFrom="paragraph">
                  <wp:posOffset>60039</wp:posOffset>
                </wp:positionV>
                <wp:extent cx="3657600" cy="7620"/>
                <wp:effectExtent l="0" t="0" r="0" b="0"/>
                <wp:wrapTopAndBottom/>
                <wp:docPr id="880" name="Graphic 880"/>
                <wp:cNvGraphicFramePr>
                  <a:graphicFrameLocks/>
                </wp:cNvGraphicFramePr>
                <a:graphic>
                  <a:graphicData uri="http://schemas.microsoft.com/office/word/2010/wordprocessingShape">
                    <wps:wsp>
                      <wps:cNvPr id="880" name="Graphic 880"/>
                      <wps:cNvSpPr/>
                      <wps:spPr>
                        <a:xfrm>
                          <a:off x="0" y="0"/>
                          <a:ext cx="3657600" cy="7620"/>
                        </a:xfrm>
                        <a:custGeom>
                          <a:avLst/>
                          <a:gdLst/>
                          <a:ahLst/>
                          <a:cxnLst/>
                          <a:rect l="l" t="t" r="r" b="b"/>
                          <a:pathLst>
                            <a:path w="3657600" h="7620">
                              <a:moveTo>
                                <a:pt x="0" y="0"/>
                              </a:moveTo>
                              <a:lnTo>
                                <a:pt x="3657600" y="0"/>
                              </a:lnTo>
                              <a:lnTo>
                                <a:pt x="3657600" y="7620"/>
                              </a:lnTo>
                              <a:lnTo>
                                <a:pt x="0" y="762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27493pt;width:288.000009pt;height:.600014pt;mso-position-horizontal-relative:page;mso-position-vertical-relative:paragraph;z-index:-15395328;mso-wrap-distance-left:0;mso-wrap-distance-right:0" id="docshape872" filled="true" fillcolor="#000000" stroked="false">
                <v:fill type="solid"/>
                <w10:wrap type="topAndBottom"/>
              </v:rect>
            </w:pict>
          </mc:Fallback>
        </mc:AlternateContent>
      </w:r>
    </w:p>
    <w:p>
      <w:pPr>
        <w:pStyle w:val="BodyText"/>
        <w:spacing w:before="13"/>
        <w:ind w:left="0"/>
        <w:rPr>
          <w:rFonts w:ascii="Tahoma"/>
          <w:b/>
          <w:sz w:val="32"/>
        </w:rPr>
      </w:pPr>
    </w:p>
    <w:p>
      <w:pPr>
        <w:spacing w:line="249" w:lineRule="auto" w:before="0"/>
        <w:ind w:left="5311" w:right="1435" w:hanging="17"/>
        <w:jc w:val="right"/>
        <w:rPr>
          <w:b/>
          <w:i/>
          <w:sz w:val="22"/>
        </w:rPr>
      </w:pPr>
      <w:r>
        <w:rPr>
          <w:b/>
          <w:i/>
          <w:position w:val="7"/>
          <w:sz w:val="12"/>
        </w:rPr>
        <w:t>1</w:t>
      </w:r>
      <w:r>
        <w:rPr>
          <w:b/>
          <w:i/>
          <w:sz w:val="22"/>
        </w:rPr>
        <w:t>Chelikani</w:t>
      </w:r>
      <w:r>
        <w:rPr>
          <w:b/>
          <w:i/>
          <w:spacing w:val="40"/>
          <w:sz w:val="22"/>
        </w:rPr>
        <w:t> </w:t>
      </w:r>
      <w:r>
        <w:rPr>
          <w:b/>
          <w:i/>
          <w:sz w:val="22"/>
        </w:rPr>
        <w:t>Mrudula </w:t>
      </w:r>
      <w:r>
        <w:rPr>
          <w:i/>
          <w:sz w:val="19"/>
        </w:rPr>
        <w:t>Lecturer</w:t>
      </w:r>
      <w:r>
        <w:rPr>
          <w:i/>
          <w:spacing w:val="40"/>
          <w:sz w:val="19"/>
        </w:rPr>
        <w:t> </w:t>
      </w:r>
      <w:r>
        <w:rPr>
          <w:i/>
          <w:sz w:val="19"/>
        </w:rPr>
        <w:t>in</w:t>
      </w:r>
      <w:r>
        <w:rPr>
          <w:i/>
          <w:spacing w:val="40"/>
          <w:sz w:val="19"/>
        </w:rPr>
        <w:t> </w:t>
      </w:r>
      <w:r>
        <w:rPr>
          <w:i/>
          <w:sz w:val="19"/>
        </w:rPr>
        <w:t>English </w:t>
      </w:r>
      <w:r>
        <w:rPr>
          <w:b/>
          <w:i/>
          <w:position w:val="7"/>
          <w:sz w:val="12"/>
        </w:rPr>
        <w:t>2</w:t>
      </w:r>
      <w:r>
        <w:rPr>
          <w:b/>
          <w:i/>
          <w:sz w:val="22"/>
        </w:rPr>
        <w:t>Jonnada</w:t>
      </w:r>
      <w:r>
        <w:rPr>
          <w:b/>
          <w:i/>
          <w:spacing w:val="77"/>
          <w:sz w:val="22"/>
        </w:rPr>
        <w:t> </w:t>
      </w:r>
      <w:r>
        <w:rPr>
          <w:b/>
          <w:i/>
          <w:spacing w:val="-2"/>
          <w:sz w:val="22"/>
        </w:rPr>
        <w:t>Rambabu</w:t>
      </w:r>
    </w:p>
    <w:p>
      <w:pPr>
        <w:spacing w:before="6"/>
        <w:ind w:left="0" w:right="1436" w:firstLine="0"/>
        <w:jc w:val="right"/>
        <w:rPr>
          <w:i/>
          <w:sz w:val="19"/>
        </w:rPr>
      </w:pPr>
      <w:r>
        <w:rPr>
          <w:i/>
          <w:sz w:val="19"/>
        </w:rPr>
        <w:t>Lecturer</w:t>
      </w:r>
      <w:r>
        <w:rPr>
          <w:i/>
          <w:spacing w:val="55"/>
          <w:sz w:val="19"/>
        </w:rPr>
        <w:t> </w:t>
      </w:r>
      <w:r>
        <w:rPr>
          <w:i/>
          <w:sz w:val="19"/>
        </w:rPr>
        <w:t>in</w:t>
      </w:r>
      <w:r>
        <w:rPr>
          <w:i/>
          <w:spacing w:val="55"/>
          <w:sz w:val="19"/>
        </w:rPr>
        <w:t> </w:t>
      </w:r>
      <w:r>
        <w:rPr>
          <w:i/>
          <w:sz w:val="19"/>
        </w:rPr>
        <w:t>English,</w:t>
      </w:r>
      <w:r>
        <w:rPr>
          <w:i/>
          <w:spacing w:val="53"/>
          <w:sz w:val="19"/>
        </w:rPr>
        <w:t> </w:t>
      </w:r>
      <w:r>
        <w:rPr>
          <w:i/>
          <w:sz w:val="19"/>
        </w:rPr>
        <w:t>S.K.V.T.Government</w:t>
      </w:r>
      <w:r>
        <w:rPr>
          <w:i/>
          <w:spacing w:val="53"/>
          <w:sz w:val="19"/>
        </w:rPr>
        <w:t> </w:t>
      </w:r>
      <w:r>
        <w:rPr>
          <w:i/>
          <w:sz w:val="19"/>
        </w:rPr>
        <w:t>Degree</w:t>
      </w:r>
      <w:r>
        <w:rPr>
          <w:i/>
          <w:spacing w:val="54"/>
          <w:sz w:val="19"/>
        </w:rPr>
        <w:t> </w:t>
      </w:r>
      <w:r>
        <w:rPr>
          <w:i/>
          <w:spacing w:val="-2"/>
          <w:sz w:val="19"/>
        </w:rPr>
        <w:t>College,</w:t>
      </w:r>
    </w:p>
    <w:p>
      <w:pPr>
        <w:spacing w:before="10"/>
        <w:ind w:left="0" w:right="1435" w:firstLine="0"/>
        <w:jc w:val="right"/>
        <w:rPr>
          <w:i/>
          <w:sz w:val="19"/>
        </w:rPr>
      </w:pPr>
      <w:r>
        <w:rPr>
          <w:i/>
          <w:spacing w:val="-2"/>
          <w:sz w:val="19"/>
        </w:rPr>
        <w:t>Rajamahendravaram</w:t>
      </w:r>
    </w:p>
    <w:p>
      <w:pPr>
        <w:pStyle w:val="BodyText"/>
        <w:spacing w:before="160"/>
        <w:ind w:left="0"/>
        <w:rPr>
          <w:i/>
          <w:sz w:val="19"/>
        </w:rPr>
      </w:pPr>
    </w:p>
    <w:p>
      <w:pPr>
        <w:pStyle w:val="Heading3"/>
        <w:spacing w:before="1"/>
      </w:pPr>
      <w:r>
        <w:rPr>
          <w:spacing w:val="-2"/>
        </w:rPr>
        <w:t>ABSTRACT</w:t>
      </w:r>
    </w:p>
    <w:p>
      <w:pPr>
        <w:pStyle w:val="BodyText"/>
        <w:spacing w:line="280" w:lineRule="auto" w:before="97"/>
        <w:ind w:right="1436" w:firstLine="432"/>
        <w:jc w:val="both"/>
      </w:pPr>
      <w:r>
        <w:rPr/>
        <w:t>The categorization of women as “bad” in Shakespearean drama reflects deeply embedded patriarchal ideologies that associate female agency with moral transgression. This paper re-examines such representations through a feminist critical framework, arguing that characters traditionally condemned—such as Lady Macbeth, Goneril, Regan, and Cleopatra—are not inherently</w:t>
      </w:r>
      <w:r>
        <w:rPr>
          <w:spacing w:val="-4"/>
        </w:rPr>
        <w:t> </w:t>
      </w:r>
      <w:r>
        <w:rPr/>
        <w:t>immoral but rather figures of resistance</w:t>
      </w:r>
      <w:r>
        <w:rPr>
          <w:spacing w:val="-9"/>
        </w:rPr>
        <w:t> </w:t>
      </w:r>
      <w:r>
        <w:rPr/>
        <w:t>against</w:t>
      </w:r>
      <w:r>
        <w:rPr>
          <w:spacing w:val="-9"/>
        </w:rPr>
        <w:t> </w:t>
      </w:r>
      <w:r>
        <w:rPr/>
        <w:t>restrictive</w:t>
      </w:r>
      <w:r>
        <w:rPr>
          <w:spacing w:val="-9"/>
        </w:rPr>
        <w:t> </w:t>
      </w:r>
      <w:r>
        <w:rPr/>
        <w:t>gender</w:t>
      </w:r>
      <w:r>
        <w:rPr>
          <w:spacing w:val="-9"/>
        </w:rPr>
        <w:t> </w:t>
      </w:r>
      <w:r>
        <w:rPr/>
        <w:t>norms.</w:t>
      </w:r>
      <w:r>
        <w:rPr>
          <w:spacing w:val="-7"/>
        </w:rPr>
        <w:t> </w:t>
      </w:r>
      <w:r>
        <w:rPr/>
        <w:t>By</w:t>
      </w:r>
      <w:r>
        <w:rPr>
          <w:spacing w:val="-12"/>
        </w:rPr>
        <w:t> </w:t>
      </w:r>
      <w:r>
        <w:rPr/>
        <w:t>situating</w:t>
      </w:r>
      <w:r>
        <w:rPr>
          <w:spacing w:val="-10"/>
        </w:rPr>
        <w:t> </w:t>
      </w:r>
      <w:r>
        <w:rPr/>
        <w:t>these</w:t>
      </w:r>
      <w:r>
        <w:rPr>
          <w:spacing w:val="-9"/>
        </w:rPr>
        <w:t> </w:t>
      </w:r>
      <w:r>
        <w:rPr/>
        <w:t>characters within early</w:t>
      </w:r>
      <w:r>
        <w:rPr>
          <w:spacing w:val="-2"/>
        </w:rPr>
        <w:t> </w:t>
      </w:r>
      <w:r>
        <w:rPr/>
        <w:t>modern</w:t>
      </w:r>
      <w:r>
        <w:rPr>
          <w:spacing w:val="-2"/>
        </w:rPr>
        <w:t> </w:t>
      </w:r>
      <w:r>
        <w:rPr/>
        <w:t>socio-political contexts and engaging</w:t>
      </w:r>
      <w:r>
        <w:rPr>
          <w:spacing w:val="-2"/>
        </w:rPr>
        <w:t> </w:t>
      </w:r>
      <w:r>
        <w:rPr/>
        <w:t>with modern </w:t>
      </w:r>
      <w:r>
        <w:rPr>
          <w:spacing w:val="-4"/>
        </w:rPr>
        <w:t>feminist theory, this study interrogates how</w:t>
      </w:r>
      <w:r>
        <w:rPr>
          <w:spacing w:val="-5"/>
        </w:rPr>
        <w:t> </w:t>
      </w:r>
      <w:r>
        <w:rPr>
          <w:spacing w:val="-4"/>
        </w:rPr>
        <w:t>power,</w:t>
      </w:r>
      <w:r>
        <w:rPr>
          <w:spacing w:val="-5"/>
        </w:rPr>
        <w:t> </w:t>
      </w:r>
      <w:r>
        <w:rPr>
          <w:spacing w:val="-4"/>
        </w:rPr>
        <w:t>ambition, and</w:t>
      </w:r>
      <w:r>
        <w:rPr/>
        <w:t> </w:t>
      </w:r>
      <w:r>
        <w:rPr>
          <w:spacing w:val="-4"/>
        </w:rPr>
        <w:t>sexuality </w:t>
      </w:r>
      <w:r>
        <w:rPr/>
        <w:t>are gendered in Shakespeare’s works. It further contends that the label “bad” functions as a cultural mechanism designed to discipline women who</w:t>
      </w:r>
      <w:r>
        <w:rPr>
          <w:spacing w:val="-13"/>
        </w:rPr>
        <w:t> </w:t>
      </w:r>
      <w:r>
        <w:rPr/>
        <w:t>challenge</w:t>
      </w:r>
      <w:r>
        <w:rPr>
          <w:spacing w:val="-12"/>
        </w:rPr>
        <w:t> </w:t>
      </w:r>
      <w:r>
        <w:rPr/>
        <w:t>normative</w:t>
      </w:r>
      <w:r>
        <w:rPr>
          <w:spacing w:val="-13"/>
        </w:rPr>
        <w:t> </w:t>
      </w:r>
      <w:r>
        <w:rPr/>
        <w:t>expectations.</w:t>
      </w:r>
      <w:r>
        <w:rPr>
          <w:spacing w:val="-12"/>
        </w:rPr>
        <w:t> </w:t>
      </w:r>
      <w:r>
        <w:rPr/>
        <w:t>Through</w:t>
      </w:r>
      <w:r>
        <w:rPr>
          <w:spacing w:val="-13"/>
        </w:rPr>
        <w:t> </w:t>
      </w:r>
      <w:r>
        <w:rPr/>
        <w:t>detailed</w:t>
      </w:r>
      <w:r>
        <w:rPr>
          <w:spacing w:val="-12"/>
        </w:rPr>
        <w:t> </w:t>
      </w:r>
      <w:r>
        <w:rPr/>
        <w:t>textual</w:t>
      </w:r>
      <w:r>
        <w:rPr>
          <w:spacing w:val="-13"/>
        </w:rPr>
        <w:t> </w:t>
      </w:r>
      <w:r>
        <w:rPr/>
        <w:t>analysis and theoretical application, the paper demonstrates that Shakespeare’s female characters disrupt binary moral classifications and reveal a spectrum</w:t>
      </w:r>
      <w:r>
        <w:rPr>
          <w:spacing w:val="-5"/>
        </w:rPr>
        <w:t> </w:t>
      </w:r>
      <w:r>
        <w:rPr/>
        <w:t>of</w:t>
      </w:r>
      <w:r>
        <w:rPr>
          <w:spacing w:val="-1"/>
        </w:rPr>
        <w:t> </w:t>
      </w:r>
      <w:r>
        <w:rPr/>
        <w:t>female</w:t>
      </w:r>
      <w:r>
        <w:rPr>
          <w:spacing w:val="-1"/>
        </w:rPr>
        <w:t> </w:t>
      </w:r>
      <w:r>
        <w:rPr/>
        <w:t>subjectivity. Ultimately,</w:t>
      </w:r>
      <w:r>
        <w:rPr>
          <w:spacing w:val="-1"/>
        </w:rPr>
        <w:t> </w:t>
      </w:r>
      <w:r>
        <w:rPr/>
        <w:t>this</w:t>
      </w:r>
      <w:r>
        <w:rPr>
          <w:spacing w:val="-1"/>
        </w:rPr>
        <w:t> </w:t>
      </w:r>
      <w:r>
        <w:rPr/>
        <w:t>research</w:t>
      </w:r>
      <w:r>
        <w:rPr>
          <w:spacing w:val="-4"/>
        </w:rPr>
        <w:t> </w:t>
      </w:r>
      <w:r>
        <w:rPr/>
        <w:t>contributes</w:t>
      </w:r>
      <w:r>
        <w:rPr>
          <w:spacing w:val="-1"/>
        </w:rPr>
        <w:t> </w:t>
      </w:r>
      <w:r>
        <w:rPr/>
        <w:t>to feminist reinterpretations of canonical literature by foregrounding the </w:t>
      </w:r>
      <w:r>
        <w:rPr>
          <w:spacing w:val="-4"/>
        </w:rPr>
        <w:t>complexity,</w:t>
      </w:r>
      <w:r>
        <w:rPr>
          <w:spacing w:val="-5"/>
        </w:rPr>
        <w:t> </w:t>
      </w:r>
      <w:r>
        <w:rPr>
          <w:spacing w:val="-4"/>
        </w:rPr>
        <w:t>agency,</w:t>
      </w:r>
      <w:r>
        <w:rPr>
          <w:spacing w:val="-5"/>
        </w:rPr>
        <w:t> </w:t>
      </w:r>
      <w:r>
        <w:rPr>
          <w:spacing w:val="-4"/>
        </w:rPr>
        <w:t>and</w:t>
      </w:r>
      <w:r>
        <w:rPr>
          <w:spacing w:val="-3"/>
        </w:rPr>
        <w:t> </w:t>
      </w:r>
      <w:r>
        <w:rPr>
          <w:spacing w:val="-4"/>
        </w:rPr>
        <w:t>subversive</w:t>
      </w:r>
      <w:r>
        <w:rPr>
          <w:spacing w:val="1"/>
        </w:rPr>
        <w:t> </w:t>
      </w:r>
      <w:r>
        <w:rPr>
          <w:spacing w:val="-4"/>
        </w:rPr>
        <w:t>potential</w:t>
      </w:r>
      <w:r>
        <w:rPr/>
        <w:t> </w:t>
      </w:r>
      <w:r>
        <w:rPr>
          <w:spacing w:val="-4"/>
        </w:rPr>
        <w:t>of</w:t>
      </w:r>
      <w:r>
        <w:rPr>
          <w:spacing w:val="-10"/>
        </w:rPr>
        <w:t> </w:t>
      </w:r>
      <w:r>
        <w:rPr>
          <w:spacing w:val="-4"/>
        </w:rPr>
        <w:t>these</w:t>
      </w:r>
      <w:r>
        <w:rPr>
          <w:spacing w:val="-2"/>
        </w:rPr>
        <w:t> </w:t>
      </w:r>
      <w:r>
        <w:rPr>
          <w:spacing w:val="-4"/>
        </w:rPr>
        <w:t>marginalized</w:t>
      </w:r>
      <w:r>
        <w:rPr>
          <w:spacing w:val="-3"/>
        </w:rPr>
        <w:t> </w:t>
      </w:r>
      <w:r>
        <w:rPr>
          <w:spacing w:val="-4"/>
        </w:rPr>
        <w:t>voices.</w:t>
      </w:r>
    </w:p>
    <w:p>
      <w:pPr>
        <w:pStyle w:val="BodyText"/>
        <w:spacing w:after="0" w:line="280"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22176">
                <wp:simplePos x="0" y="0"/>
                <wp:positionH relativeFrom="page">
                  <wp:posOffset>2057400</wp:posOffset>
                </wp:positionH>
                <wp:positionV relativeFrom="paragraph">
                  <wp:posOffset>162604</wp:posOffset>
                </wp:positionV>
                <wp:extent cx="3657600" cy="12700"/>
                <wp:effectExtent l="0" t="0" r="0" b="0"/>
                <wp:wrapTopAndBottom/>
                <wp:docPr id="881" name="Graphic 881"/>
                <wp:cNvGraphicFramePr>
                  <a:graphicFrameLocks/>
                </wp:cNvGraphicFramePr>
                <a:graphic>
                  <a:graphicData uri="http://schemas.microsoft.com/office/word/2010/wordprocessingShape">
                    <wps:wsp>
                      <wps:cNvPr id="881" name="Graphic 881"/>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94304;mso-wrap-distance-left:0;mso-wrap-distance-right:0" id="docshape873" filled="true" fillcolor="#000000" stroked="false">
                <v:fill type="solid"/>
                <w10:wrap type="topAndBottom"/>
              </v:rect>
            </w:pict>
          </mc:Fallback>
        </mc:AlternateContent>
      </w:r>
      <w:r>
        <w:rPr>
          <w:rFonts w:ascii="Verdana"/>
          <w:spacing w:val="-5"/>
          <w:sz w:val="18"/>
        </w:rPr>
        <w:t>464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68" w:lineRule="auto" w:before="204"/>
        <w:ind w:right="1441" w:firstLine="432"/>
        <w:jc w:val="both"/>
      </w:pPr>
      <w:r>
        <w:rPr>
          <w:b/>
          <w:spacing w:val="-2"/>
        </w:rPr>
        <w:t>Keywords:</w:t>
      </w:r>
      <w:r>
        <w:rPr>
          <w:b/>
          <w:spacing w:val="-11"/>
        </w:rPr>
        <w:t> </w:t>
      </w:r>
      <w:r>
        <w:rPr>
          <w:spacing w:val="-2"/>
        </w:rPr>
        <w:t>Shakespeare,</w:t>
      </w:r>
      <w:r>
        <w:rPr>
          <w:spacing w:val="-10"/>
        </w:rPr>
        <w:t> </w:t>
      </w:r>
      <w:r>
        <w:rPr>
          <w:spacing w:val="-2"/>
        </w:rPr>
        <w:t>feminism,</w:t>
      </w:r>
      <w:r>
        <w:rPr>
          <w:spacing w:val="-11"/>
        </w:rPr>
        <w:t> </w:t>
      </w:r>
      <w:r>
        <w:rPr>
          <w:spacing w:val="-2"/>
        </w:rPr>
        <w:t>patriarchy,</w:t>
      </w:r>
      <w:r>
        <w:rPr>
          <w:spacing w:val="-10"/>
        </w:rPr>
        <w:t> </w:t>
      </w:r>
      <w:r>
        <w:rPr>
          <w:spacing w:val="-2"/>
        </w:rPr>
        <w:t>gender</w:t>
      </w:r>
      <w:r>
        <w:rPr>
          <w:spacing w:val="-11"/>
        </w:rPr>
        <w:t> </w:t>
      </w:r>
      <w:r>
        <w:rPr>
          <w:spacing w:val="-2"/>
        </w:rPr>
        <w:t>roles,</w:t>
      </w:r>
      <w:r>
        <w:rPr>
          <w:spacing w:val="-10"/>
        </w:rPr>
        <w:t> </w:t>
      </w:r>
      <w:r>
        <w:rPr>
          <w:spacing w:val="-2"/>
        </w:rPr>
        <w:t>female </w:t>
      </w:r>
      <w:r>
        <w:rPr/>
        <w:t>agency, early modern drama</w:t>
      </w:r>
    </w:p>
    <w:p>
      <w:pPr>
        <w:pStyle w:val="Heading3"/>
        <w:spacing w:before="142"/>
      </w:pPr>
      <w:r>
        <w:rPr>
          <w:spacing w:val="-2"/>
          <w:w w:val="95"/>
        </w:rPr>
        <w:t>INTRODUCTION</w:t>
      </w:r>
    </w:p>
    <w:p>
      <w:pPr>
        <w:pStyle w:val="BodyText"/>
        <w:spacing w:line="264" w:lineRule="auto" w:before="83"/>
        <w:ind w:right="1439" w:firstLine="432"/>
        <w:jc w:val="both"/>
      </w:pPr>
      <w:r>
        <w:rPr>
          <w:spacing w:val="-2"/>
        </w:rPr>
        <w:t>William</w:t>
      </w:r>
      <w:r>
        <w:rPr>
          <w:spacing w:val="-7"/>
        </w:rPr>
        <w:t> </w:t>
      </w:r>
      <w:r>
        <w:rPr>
          <w:spacing w:val="-2"/>
        </w:rPr>
        <w:t>Shakespeare’s</w:t>
      </w:r>
      <w:r>
        <w:rPr>
          <w:spacing w:val="-6"/>
        </w:rPr>
        <w:t> </w:t>
      </w:r>
      <w:r>
        <w:rPr>
          <w:spacing w:val="-2"/>
        </w:rPr>
        <w:t>plays have</w:t>
      </w:r>
      <w:r>
        <w:rPr>
          <w:spacing w:val="-5"/>
        </w:rPr>
        <w:t> </w:t>
      </w:r>
      <w:r>
        <w:rPr>
          <w:spacing w:val="-2"/>
        </w:rPr>
        <w:t>long</w:t>
      </w:r>
      <w:r>
        <w:rPr>
          <w:spacing w:val="-6"/>
        </w:rPr>
        <w:t> </w:t>
      </w:r>
      <w:r>
        <w:rPr>
          <w:spacing w:val="-2"/>
        </w:rPr>
        <w:t>been</w:t>
      </w:r>
      <w:r>
        <w:rPr>
          <w:spacing w:val="-6"/>
        </w:rPr>
        <w:t> </w:t>
      </w:r>
      <w:r>
        <w:rPr>
          <w:spacing w:val="-2"/>
        </w:rPr>
        <w:t>regarded as</w:t>
      </w:r>
      <w:r>
        <w:rPr>
          <w:spacing w:val="-6"/>
        </w:rPr>
        <w:t> </w:t>
      </w:r>
      <w:r>
        <w:rPr>
          <w:spacing w:val="-2"/>
        </w:rPr>
        <w:t>reflections </w:t>
      </w:r>
      <w:r>
        <w:rPr/>
        <w:t>of universal human experience, yet their portrayal of women often reveals the gendered assumptions of early modern society. Female characters in Shakespeare’s works are frequently categorized into polarized roles: the virtuous, obedient woman and the deviant, “bad” woman. Those who resist submission, assert authority, or express ambition are often labeled immoral, unnatural, or dangerous.</w:t>
      </w:r>
    </w:p>
    <w:p>
      <w:pPr>
        <w:pStyle w:val="BodyText"/>
        <w:spacing w:line="264" w:lineRule="auto" w:before="51"/>
        <w:ind w:right="1437" w:firstLine="432"/>
        <w:jc w:val="both"/>
      </w:pPr>
      <w:r>
        <w:rPr/>
        <w:t>This binary classification reflects broader patriarchal anxieties regarding women’s autonomy and power. Feminist literary criticism challenges these traditional readings by questioning the ideological foundations of such labels. Rather than accepting these women as </w:t>
      </w:r>
      <w:r>
        <w:rPr>
          <w:spacing w:val="-2"/>
        </w:rPr>
        <w:t>villains,</w:t>
      </w:r>
      <w:r>
        <w:rPr>
          <w:spacing w:val="-3"/>
        </w:rPr>
        <w:t> </w:t>
      </w:r>
      <w:r>
        <w:rPr>
          <w:spacing w:val="-2"/>
        </w:rPr>
        <w:t>feminist</w:t>
      </w:r>
      <w:r>
        <w:rPr>
          <w:spacing w:val="-5"/>
        </w:rPr>
        <w:t> </w:t>
      </w:r>
      <w:r>
        <w:rPr>
          <w:spacing w:val="-2"/>
        </w:rPr>
        <w:t>scholars</w:t>
      </w:r>
      <w:r>
        <w:rPr>
          <w:spacing w:val="-8"/>
        </w:rPr>
        <w:t> </w:t>
      </w:r>
      <w:r>
        <w:rPr>
          <w:spacing w:val="-2"/>
        </w:rPr>
        <w:t>reinterpret</w:t>
      </w:r>
      <w:r>
        <w:rPr>
          <w:spacing w:val="-5"/>
        </w:rPr>
        <w:t> </w:t>
      </w:r>
      <w:r>
        <w:rPr>
          <w:spacing w:val="-2"/>
        </w:rPr>
        <w:t>them</w:t>
      </w:r>
      <w:r>
        <w:rPr>
          <w:spacing w:val="-4"/>
        </w:rPr>
        <w:t> </w:t>
      </w:r>
      <w:r>
        <w:rPr>
          <w:spacing w:val="-2"/>
        </w:rPr>
        <w:t>as</w:t>
      </w:r>
      <w:r>
        <w:rPr>
          <w:spacing w:val="-5"/>
        </w:rPr>
        <w:t> </w:t>
      </w:r>
      <w:r>
        <w:rPr>
          <w:spacing w:val="-2"/>
        </w:rPr>
        <w:t>complex</w:t>
      </w:r>
      <w:r>
        <w:rPr>
          <w:spacing w:val="-5"/>
        </w:rPr>
        <w:t> </w:t>
      </w:r>
      <w:r>
        <w:rPr>
          <w:spacing w:val="-2"/>
        </w:rPr>
        <w:t>figures</w:t>
      </w:r>
      <w:r>
        <w:rPr>
          <w:spacing w:val="-5"/>
        </w:rPr>
        <w:t> </w:t>
      </w:r>
      <w:r>
        <w:rPr>
          <w:spacing w:val="-2"/>
        </w:rPr>
        <w:t>negotiating </w:t>
      </w:r>
      <w:r>
        <w:rPr/>
        <w:t>restrictive</w:t>
      </w:r>
      <w:r>
        <w:rPr>
          <w:spacing w:val="40"/>
        </w:rPr>
        <w:t> </w:t>
      </w:r>
      <w:r>
        <w:rPr/>
        <w:t>social</w:t>
      </w:r>
      <w:r>
        <w:rPr>
          <w:spacing w:val="40"/>
        </w:rPr>
        <w:t> </w:t>
      </w:r>
      <w:r>
        <w:rPr/>
        <w:t>structures.</w:t>
      </w:r>
    </w:p>
    <w:p>
      <w:pPr>
        <w:pStyle w:val="BodyText"/>
        <w:spacing w:line="264" w:lineRule="auto" w:before="54"/>
        <w:ind w:right="1438" w:firstLine="432"/>
        <w:jc w:val="both"/>
      </w:pPr>
      <w:r>
        <w:rPr/>
        <w:t>This</w:t>
      </w:r>
      <w:r>
        <w:rPr>
          <w:spacing w:val="-9"/>
        </w:rPr>
        <w:t> </w:t>
      </w:r>
      <w:r>
        <w:rPr/>
        <w:t>paper</w:t>
      </w:r>
      <w:r>
        <w:rPr>
          <w:spacing w:val="-4"/>
        </w:rPr>
        <w:t> </w:t>
      </w:r>
      <w:r>
        <w:rPr/>
        <w:t>revisits</w:t>
      </w:r>
      <w:r>
        <w:rPr>
          <w:spacing w:val="-8"/>
        </w:rPr>
        <w:t> </w:t>
      </w:r>
      <w:r>
        <w:rPr/>
        <w:t>Shakespeare’s</w:t>
      </w:r>
      <w:r>
        <w:rPr>
          <w:spacing w:val="-8"/>
        </w:rPr>
        <w:t> </w:t>
      </w:r>
      <w:r>
        <w:rPr/>
        <w:t>“bad</w:t>
      </w:r>
      <w:r>
        <w:rPr>
          <w:spacing w:val="-8"/>
        </w:rPr>
        <w:t> </w:t>
      </w:r>
      <w:r>
        <w:rPr/>
        <w:t>women”</w:t>
      </w:r>
      <w:r>
        <w:rPr>
          <w:spacing w:val="-5"/>
        </w:rPr>
        <w:t> </w:t>
      </w:r>
      <w:r>
        <w:rPr/>
        <w:t>through</w:t>
      </w:r>
      <w:r>
        <w:rPr>
          <w:spacing w:val="-9"/>
        </w:rPr>
        <w:t> </w:t>
      </w:r>
      <w:r>
        <w:rPr/>
        <w:t>a</w:t>
      </w:r>
      <w:r>
        <w:rPr>
          <w:spacing w:val="-6"/>
        </w:rPr>
        <w:t> </w:t>
      </w:r>
      <w:r>
        <w:rPr/>
        <w:t>feminist lens, arguing that their perceived transgressions represent forms of resistance.</w:t>
      </w:r>
      <w:r>
        <w:rPr>
          <w:spacing w:val="-13"/>
        </w:rPr>
        <w:t> </w:t>
      </w:r>
      <w:r>
        <w:rPr/>
        <w:t>By</w:t>
      </w:r>
      <w:r>
        <w:rPr>
          <w:spacing w:val="-12"/>
        </w:rPr>
        <w:t> </w:t>
      </w:r>
      <w:r>
        <w:rPr/>
        <w:t>examining</w:t>
      </w:r>
      <w:r>
        <w:rPr>
          <w:spacing w:val="-13"/>
        </w:rPr>
        <w:t> </w:t>
      </w:r>
      <w:r>
        <w:rPr/>
        <w:t>Lady</w:t>
      </w:r>
      <w:r>
        <w:rPr>
          <w:spacing w:val="-12"/>
        </w:rPr>
        <w:t> </w:t>
      </w:r>
      <w:r>
        <w:rPr/>
        <w:t>Macbeth,</w:t>
      </w:r>
      <w:r>
        <w:rPr>
          <w:spacing w:val="-13"/>
        </w:rPr>
        <w:t> </w:t>
      </w:r>
      <w:r>
        <w:rPr/>
        <w:t>Goneril,</w:t>
      </w:r>
      <w:r>
        <w:rPr>
          <w:spacing w:val="-10"/>
        </w:rPr>
        <w:t> </w:t>
      </w:r>
      <w:r>
        <w:rPr/>
        <w:t>Regan,</w:t>
      </w:r>
      <w:r>
        <w:rPr>
          <w:spacing w:val="-12"/>
        </w:rPr>
        <w:t> </w:t>
      </w:r>
      <w:r>
        <w:rPr/>
        <w:t>and</w:t>
      </w:r>
      <w:r>
        <w:rPr>
          <w:spacing w:val="-9"/>
        </w:rPr>
        <w:t> </w:t>
      </w:r>
      <w:r>
        <w:rPr/>
        <w:t>Cleopatra, the study seeks to demonstrate that these characters embody agency, challenge patriarchal authority, and destabilize conventional moral </w:t>
      </w:r>
      <w:r>
        <w:rPr>
          <w:spacing w:val="-2"/>
        </w:rPr>
        <w:t>frameworks.</w:t>
      </w:r>
    </w:p>
    <w:p>
      <w:pPr>
        <w:pStyle w:val="Heading3"/>
        <w:spacing w:before="147"/>
      </w:pPr>
      <w:r>
        <w:rPr>
          <w:w w:val="90"/>
        </w:rPr>
        <w:t>HISTORICAL</w:t>
      </w:r>
      <w:r>
        <w:rPr>
          <w:spacing w:val="-2"/>
          <w:w w:val="90"/>
        </w:rPr>
        <w:t> </w:t>
      </w:r>
      <w:r>
        <w:rPr>
          <w:w w:val="90"/>
        </w:rPr>
        <w:t>AND</w:t>
      </w:r>
      <w:r>
        <w:rPr>
          <w:spacing w:val="-2"/>
          <w:w w:val="90"/>
        </w:rPr>
        <w:t> </w:t>
      </w:r>
      <w:r>
        <w:rPr>
          <w:w w:val="90"/>
        </w:rPr>
        <w:t>CULTURAL</w:t>
      </w:r>
      <w:r>
        <w:rPr>
          <w:spacing w:val="-1"/>
          <w:w w:val="90"/>
        </w:rPr>
        <w:t> </w:t>
      </w:r>
      <w:r>
        <w:rPr>
          <w:spacing w:val="-2"/>
          <w:w w:val="90"/>
        </w:rPr>
        <w:t>CONTEXT</w:t>
      </w:r>
    </w:p>
    <w:p>
      <w:pPr>
        <w:pStyle w:val="BodyText"/>
        <w:spacing w:line="264" w:lineRule="auto" w:before="90"/>
        <w:ind w:right="1437" w:firstLine="432"/>
        <w:jc w:val="both"/>
      </w:pPr>
      <w:r>
        <w:rPr/>
        <w:t>To understand Shakespeare’s representation of women, it is essential</w:t>
      </w:r>
      <w:r>
        <w:rPr>
          <w:spacing w:val="-9"/>
        </w:rPr>
        <w:t> </w:t>
      </w:r>
      <w:r>
        <w:rPr/>
        <w:t>to</w:t>
      </w:r>
      <w:r>
        <w:rPr>
          <w:spacing w:val="-6"/>
        </w:rPr>
        <w:t> </w:t>
      </w:r>
      <w:r>
        <w:rPr/>
        <w:t>consider</w:t>
      </w:r>
      <w:r>
        <w:rPr>
          <w:spacing w:val="-8"/>
        </w:rPr>
        <w:t> </w:t>
      </w:r>
      <w:r>
        <w:rPr/>
        <w:t>the</w:t>
      </w:r>
      <w:r>
        <w:rPr>
          <w:spacing w:val="-9"/>
        </w:rPr>
        <w:t> </w:t>
      </w:r>
      <w:r>
        <w:rPr/>
        <w:t>socio-cultural</w:t>
      </w:r>
      <w:r>
        <w:rPr>
          <w:spacing w:val="-7"/>
        </w:rPr>
        <w:t> </w:t>
      </w:r>
      <w:r>
        <w:rPr/>
        <w:t>context</w:t>
      </w:r>
      <w:r>
        <w:rPr>
          <w:spacing w:val="-10"/>
        </w:rPr>
        <w:t> </w:t>
      </w:r>
      <w:r>
        <w:rPr/>
        <w:t>of</w:t>
      </w:r>
      <w:r>
        <w:rPr>
          <w:spacing w:val="-11"/>
        </w:rPr>
        <w:t> </w:t>
      </w:r>
      <w:r>
        <w:rPr/>
        <w:t>early</w:t>
      </w:r>
      <w:r>
        <w:rPr>
          <w:spacing w:val="-10"/>
        </w:rPr>
        <w:t> </w:t>
      </w:r>
      <w:r>
        <w:rPr/>
        <w:t>modern</w:t>
      </w:r>
      <w:r>
        <w:rPr>
          <w:spacing w:val="-10"/>
        </w:rPr>
        <w:t> </w:t>
      </w:r>
      <w:r>
        <w:rPr/>
        <w:t>England. </w:t>
      </w:r>
      <w:r>
        <w:rPr>
          <w:spacing w:val="-2"/>
        </w:rPr>
        <w:t>The</w:t>
      </w:r>
      <w:r>
        <w:rPr>
          <w:spacing w:val="-3"/>
        </w:rPr>
        <w:t> </w:t>
      </w:r>
      <w:r>
        <w:rPr>
          <w:spacing w:val="-2"/>
        </w:rPr>
        <w:t>Elizabethan</w:t>
      </w:r>
      <w:r>
        <w:rPr>
          <w:spacing w:val="-5"/>
        </w:rPr>
        <w:t> </w:t>
      </w:r>
      <w:r>
        <w:rPr>
          <w:spacing w:val="-2"/>
        </w:rPr>
        <w:t>and</w:t>
      </w:r>
      <w:r>
        <w:rPr>
          <w:spacing w:val="-5"/>
        </w:rPr>
        <w:t> </w:t>
      </w:r>
      <w:r>
        <w:rPr>
          <w:spacing w:val="-2"/>
        </w:rPr>
        <w:t>Jacobean</w:t>
      </w:r>
      <w:r>
        <w:rPr>
          <w:spacing w:val="-5"/>
        </w:rPr>
        <w:t> </w:t>
      </w:r>
      <w:r>
        <w:rPr>
          <w:spacing w:val="-2"/>
        </w:rPr>
        <w:t>periods</w:t>
      </w:r>
      <w:r>
        <w:rPr>
          <w:spacing w:val="-5"/>
        </w:rPr>
        <w:t> </w:t>
      </w:r>
      <w:r>
        <w:rPr>
          <w:spacing w:val="-2"/>
        </w:rPr>
        <w:t>were</w:t>
      </w:r>
      <w:r>
        <w:rPr>
          <w:spacing w:val="-5"/>
        </w:rPr>
        <w:t> </w:t>
      </w:r>
      <w:r>
        <w:rPr>
          <w:spacing w:val="-2"/>
        </w:rPr>
        <w:t>characterized</w:t>
      </w:r>
      <w:r>
        <w:rPr>
          <w:spacing w:val="-8"/>
        </w:rPr>
        <w:t> </w:t>
      </w:r>
      <w:r>
        <w:rPr>
          <w:spacing w:val="-2"/>
        </w:rPr>
        <w:t>by</w:t>
      </w:r>
      <w:r>
        <w:rPr>
          <w:spacing w:val="-8"/>
        </w:rPr>
        <w:t> </w:t>
      </w:r>
      <w:r>
        <w:rPr>
          <w:spacing w:val="-2"/>
        </w:rPr>
        <w:t>rigid</w:t>
      </w:r>
      <w:r>
        <w:rPr>
          <w:spacing w:val="-3"/>
        </w:rPr>
        <w:t> </w:t>
      </w:r>
      <w:r>
        <w:rPr>
          <w:spacing w:val="-2"/>
        </w:rPr>
        <w:t>gender </w:t>
      </w:r>
      <w:r>
        <w:rPr/>
        <w:t>hierarchies in which women were expected to be submissive, chaste, and obedient. Female authority was viewed with suspicion, despite the reign</w:t>
      </w:r>
      <w:r>
        <w:rPr>
          <w:spacing w:val="-11"/>
        </w:rPr>
        <w:t> </w:t>
      </w:r>
      <w:r>
        <w:rPr/>
        <w:t>of</w:t>
      </w:r>
      <w:r>
        <w:rPr>
          <w:spacing w:val="-11"/>
        </w:rPr>
        <w:t> </w:t>
      </w:r>
      <w:r>
        <w:rPr/>
        <w:t>powerful</w:t>
      </w:r>
      <w:r>
        <w:rPr>
          <w:spacing w:val="-10"/>
        </w:rPr>
        <w:t> </w:t>
      </w:r>
      <w:r>
        <w:rPr/>
        <w:t>monarchs</w:t>
      </w:r>
      <w:r>
        <w:rPr>
          <w:spacing w:val="-11"/>
        </w:rPr>
        <w:t> </w:t>
      </w:r>
      <w:r>
        <w:rPr/>
        <w:t>like</w:t>
      </w:r>
      <w:r>
        <w:rPr>
          <w:spacing w:val="-12"/>
        </w:rPr>
        <w:t> </w:t>
      </w:r>
      <w:r>
        <w:rPr/>
        <w:t>Queen</w:t>
      </w:r>
      <w:r>
        <w:rPr>
          <w:spacing w:val="-11"/>
        </w:rPr>
        <w:t> </w:t>
      </w:r>
      <w:r>
        <w:rPr/>
        <w:t>Elizabeth</w:t>
      </w:r>
      <w:r>
        <w:rPr>
          <w:spacing w:val="-11"/>
        </w:rPr>
        <w:t> </w:t>
      </w:r>
      <w:r>
        <w:rPr/>
        <w:t>I.</w:t>
      </w:r>
      <w:r>
        <w:rPr>
          <w:spacing w:val="-12"/>
        </w:rPr>
        <w:t> </w:t>
      </w:r>
      <w:r>
        <w:rPr/>
        <w:t>Women’s</w:t>
      </w:r>
      <w:r>
        <w:rPr>
          <w:spacing w:val="-11"/>
        </w:rPr>
        <w:t> </w:t>
      </w:r>
      <w:r>
        <w:rPr/>
        <w:t>roles</w:t>
      </w:r>
      <w:r>
        <w:rPr>
          <w:spacing w:val="-11"/>
        </w:rPr>
        <w:t> </w:t>
      </w:r>
      <w:r>
        <w:rPr/>
        <w:t>were largely confined to domestic spaces, and any deviation from prescribed norms was perceived as a threat to social order. Conduct literature of</w:t>
      </w:r>
      <w:r>
        <w:rPr>
          <w:spacing w:val="40"/>
        </w:rPr>
        <w:t> </w:t>
      </w:r>
      <w:r>
        <w:rPr>
          <w:spacing w:val="-2"/>
        </w:rPr>
        <w:t>the</w:t>
      </w:r>
      <w:r>
        <w:rPr>
          <w:spacing w:val="-11"/>
        </w:rPr>
        <w:t> </w:t>
      </w:r>
      <w:r>
        <w:rPr>
          <w:spacing w:val="-2"/>
        </w:rPr>
        <w:t>time</w:t>
      </w:r>
      <w:r>
        <w:rPr>
          <w:spacing w:val="-10"/>
        </w:rPr>
        <w:t> </w:t>
      </w:r>
      <w:r>
        <w:rPr>
          <w:spacing w:val="-2"/>
        </w:rPr>
        <w:t>emphasized</w:t>
      </w:r>
      <w:r>
        <w:rPr>
          <w:spacing w:val="-11"/>
        </w:rPr>
        <w:t> </w:t>
      </w:r>
      <w:r>
        <w:rPr>
          <w:spacing w:val="-2"/>
        </w:rPr>
        <w:t>female</w:t>
      </w:r>
      <w:r>
        <w:rPr>
          <w:spacing w:val="-10"/>
        </w:rPr>
        <w:t> </w:t>
      </w:r>
      <w:r>
        <w:rPr>
          <w:spacing w:val="-2"/>
        </w:rPr>
        <w:t>silence</w:t>
      </w:r>
      <w:r>
        <w:rPr>
          <w:spacing w:val="-11"/>
        </w:rPr>
        <w:t> </w:t>
      </w:r>
      <w:r>
        <w:rPr>
          <w:spacing w:val="-2"/>
        </w:rPr>
        <w:t>and</w:t>
      </w:r>
      <w:r>
        <w:rPr>
          <w:spacing w:val="-10"/>
        </w:rPr>
        <w:t> </w:t>
      </w:r>
      <w:r>
        <w:rPr>
          <w:spacing w:val="-2"/>
        </w:rPr>
        <w:t>obedience,</w:t>
      </w:r>
      <w:r>
        <w:rPr>
          <w:spacing w:val="-11"/>
        </w:rPr>
        <w:t> </w:t>
      </w:r>
      <w:r>
        <w:rPr>
          <w:spacing w:val="-2"/>
        </w:rPr>
        <w:t>reinforcing</w:t>
      </w:r>
      <w:r>
        <w:rPr>
          <w:spacing w:val="-10"/>
        </w:rPr>
        <w:t> </w:t>
      </w:r>
      <w:r>
        <w:rPr>
          <w:spacing w:val="-2"/>
        </w:rPr>
        <w:t>patriarchal </w:t>
      </w:r>
      <w:r>
        <w:rPr/>
        <w:t>control. Within this context, Shakespeare’s “bad women” can be seen</w:t>
      </w:r>
      <w:r>
        <w:rPr>
          <w:spacing w:val="40"/>
        </w:rPr>
        <w:t> </w:t>
      </w:r>
      <w:r>
        <w:rPr/>
        <w:t>as</w:t>
      </w:r>
      <w:r>
        <w:rPr>
          <w:spacing w:val="-5"/>
        </w:rPr>
        <w:t> </w:t>
      </w:r>
      <w:r>
        <w:rPr/>
        <w:t>figures</w:t>
      </w:r>
      <w:r>
        <w:rPr>
          <w:spacing w:val="-5"/>
        </w:rPr>
        <w:t> </w:t>
      </w:r>
      <w:r>
        <w:rPr/>
        <w:t>who</w:t>
      </w:r>
      <w:r>
        <w:rPr>
          <w:spacing w:val="-4"/>
        </w:rPr>
        <w:t> </w:t>
      </w:r>
      <w:r>
        <w:rPr/>
        <w:t>disrupt</w:t>
      </w:r>
      <w:r>
        <w:rPr>
          <w:spacing w:val="-4"/>
        </w:rPr>
        <w:t> </w:t>
      </w:r>
      <w:r>
        <w:rPr/>
        <w:t>established norms.</w:t>
      </w:r>
      <w:r>
        <w:rPr>
          <w:spacing w:val="-4"/>
        </w:rPr>
        <w:t> </w:t>
      </w:r>
      <w:r>
        <w:rPr/>
        <w:t>Their</w:t>
      </w:r>
      <w:r>
        <w:rPr>
          <w:spacing w:val="-4"/>
        </w:rPr>
        <w:t> </w:t>
      </w:r>
      <w:r>
        <w:rPr/>
        <w:t>assertiveness,</w:t>
      </w:r>
      <w:r>
        <w:rPr>
          <w:spacing w:val="-4"/>
        </w:rPr>
        <w:t> </w:t>
      </w:r>
      <w:r>
        <w:rPr/>
        <w:t>ambition, and independence</w:t>
      </w:r>
      <w:r>
        <w:rPr>
          <w:spacing w:val="-1"/>
        </w:rPr>
        <w:t> </w:t>
      </w:r>
      <w:r>
        <w:rPr/>
        <w:t>challenge</w:t>
      </w:r>
      <w:r>
        <w:rPr>
          <w:spacing w:val="-2"/>
        </w:rPr>
        <w:t> </w:t>
      </w:r>
      <w:r>
        <w:rPr/>
        <w:t>societal expectations, making</w:t>
      </w:r>
      <w:r>
        <w:rPr>
          <w:spacing w:val="-4"/>
        </w:rPr>
        <w:t> </w:t>
      </w:r>
      <w:r>
        <w:rPr/>
        <w:t>them</w:t>
      </w:r>
      <w:r>
        <w:rPr>
          <w:spacing w:val="-5"/>
        </w:rPr>
        <w:t> </w:t>
      </w:r>
      <w:r>
        <w:rPr/>
        <w:t>objects of</w:t>
      </w:r>
      <w:r>
        <w:rPr>
          <w:spacing w:val="40"/>
        </w:rPr>
        <w:t> </w:t>
      </w:r>
      <w:r>
        <w:rPr/>
        <w:t>both</w:t>
      </w:r>
      <w:r>
        <w:rPr>
          <w:spacing w:val="40"/>
        </w:rPr>
        <w:t> </w:t>
      </w:r>
      <w:r>
        <w:rPr/>
        <w:t>fascination</w:t>
      </w:r>
      <w:r>
        <w:rPr>
          <w:spacing w:val="40"/>
        </w:rPr>
        <w:t> </w:t>
      </w:r>
      <w:r>
        <w:rPr/>
        <w:t>and</w:t>
      </w:r>
      <w:r>
        <w:rPr>
          <w:spacing w:val="40"/>
        </w:rPr>
        <w:t> </w:t>
      </w:r>
      <w:r>
        <w:rPr/>
        <w:t>condemnation.</w:t>
      </w:r>
    </w:p>
    <w:p>
      <w:pPr>
        <w:pStyle w:val="BodyText"/>
        <w:spacing w:after="0" w:line="264"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922688">
                <wp:simplePos x="0" y="0"/>
                <wp:positionH relativeFrom="page">
                  <wp:posOffset>2065020</wp:posOffset>
                </wp:positionH>
                <wp:positionV relativeFrom="paragraph">
                  <wp:posOffset>795020</wp:posOffset>
                </wp:positionV>
                <wp:extent cx="3657600" cy="12700"/>
                <wp:effectExtent l="0" t="0" r="0" b="0"/>
                <wp:wrapTopAndBottom/>
                <wp:docPr id="882" name="Graphic 882"/>
                <wp:cNvGraphicFramePr>
                  <a:graphicFrameLocks/>
                </wp:cNvGraphicFramePr>
                <a:graphic>
                  <a:graphicData uri="http://schemas.microsoft.com/office/word/2010/wordprocessingShape">
                    <wps:wsp>
                      <wps:cNvPr id="882" name="Graphic 882"/>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93792;mso-wrap-distance-left:0;mso-wrap-distance-right:0" id="docshape874" filled="true" fillcolor="#000000" stroked="false">
                <v:fill type="solid"/>
                <w10:wrap type="topAndBottom"/>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465</w:t>
      </w:r>
    </w:p>
    <w:p>
      <w:pPr>
        <w:pStyle w:val="Heading3"/>
      </w:pPr>
      <w:r>
        <w:rPr>
          <w:w w:val="85"/>
        </w:rPr>
        <w:t>THEORETICAL</w:t>
      </w:r>
      <w:r>
        <w:rPr>
          <w:spacing w:val="19"/>
        </w:rPr>
        <w:t> </w:t>
      </w:r>
      <w:r>
        <w:rPr>
          <w:spacing w:val="-2"/>
        </w:rPr>
        <w:t>FRAMEWORK</w:t>
      </w:r>
    </w:p>
    <w:p>
      <w:pPr>
        <w:pStyle w:val="BodyText"/>
        <w:spacing w:line="249" w:lineRule="auto" w:before="75"/>
        <w:ind w:right="1438" w:firstLine="432"/>
        <w:jc w:val="both"/>
      </w:pPr>
      <w:r>
        <w:rPr/>
        <w:t>This study draws on key feminist theories to reinterpret Shakespeare’s female characters.</w:t>
      </w:r>
    </w:p>
    <w:p>
      <w:pPr>
        <w:pStyle w:val="BodyText"/>
        <w:spacing w:line="242" w:lineRule="auto" w:before="55"/>
        <w:ind w:right="1441" w:firstLine="432"/>
        <w:jc w:val="both"/>
      </w:pPr>
      <w:r>
        <w:rPr>
          <w:i/>
        </w:rPr>
        <w:t>Simone</w:t>
      </w:r>
      <w:r>
        <w:rPr>
          <w:i/>
          <w:spacing w:val="33"/>
        </w:rPr>
        <w:t> </w:t>
      </w:r>
      <w:r>
        <w:rPr>
          <w:i/>
        </w:rPr>
        <w:t>de</w:t>
      </w:r>
      <w:r>
        <w:rPr>
          <w:i/>
          <w:spacing w:val="35"/>
        </w:rPr>
        <w:t> </w:t>
      </w:r>
      <w:r>
        <w:rPr>
          <w:i/>
        </w:rPr>
        <w:t>Beauvoir</w:t>
      </w:r>
      <w:r>
        <w:rPr>
          <w:i/>
          <w:spacing w:val="30"/>
        </w:rPr>
        <w:t> </w:t>
      </w:r>
      <w:r>
        <w:rPr>
          <w:i/>
        </w:rPr>
        <w:t>(1949)</w:t>
      </w:r>
      <w:r>
        <w:rPr>
          <w:i/>
          <w:spacing w:val="35"/>
        </w:rPr>
        <w:t> </w:t>
      </w:r>
      <w:r>
        <w:rPr/>
        <w:t>argues</w:t>
      </w:r>
      <w:r>
        <w:rPr>
          <w:spacing w:val="32"/>
        </w:rPr>
        <w:t> </w:t>
      </w:r>
      <w:r>
        <w:rPr/>
        <w:t>that</w:t>
      </w:r>
      <w:r>
        <w:rPr>
          <w:spacing w:val="32"/>
        </w:rPr>
        <w:t> </w:t>
      </w:r>
      <w:r>
        <w:rPr/>
        <w:t>women</w:t>
      </w:r>
      <w:r>
        <w:rPr>
          <w:spacing w:val="32"/>
        </w:rPr>
        <w:t> </w:t>
      </w:r>
      <w:r>
        <w:rPr/>
        <w:t>are</w:t>
      </w:r>
      <w:r>
        <w:rPr>
          <w:spacing w:val="34"/>
        </w:rPr>
        <w:t> </w:t>
      </w:r>
      <w:r>
        <w:rPr/>
        <w:t>constructed as the “Other,” defined in relation to men rather than as autonomous beings.</w:t>
      </w:r>
      <w:r>
        <w:rPr>
          <w:spacing w:val="-13"/>
        </w:rPr>
        <w:t> </w:t>
      </w:r>
      <w:r>
        <w:rPr/>
        <w:t>This</w:t>
      </w:r>
      <w:r>
        <w:rPr>
          <w:spacing w:val="-12"/>
        </w:rPr>
        <w:t> </w:t>
      </w:r>
      <w:r>
        <w:rPr/>
        <w:t>concept</w:t>
      </w:r>
      <w:r>
        <w:rPr>
          <w:spacing w:val="-13"/>
        </w:rPr>
        <w:t> </w:t>
      </w:r>
      <w:r>
        <w:rPr/>
        <w:t>helps</w:t>
      </w:r>
      <w:r>
        <w:rPr>
          <w:spacing w:val="-12"/>
        </w:rPr>
        <w:t> </w:t>
      </w:r>
      <w:r>
        <w:rPr/>
        <w:t>explain</w:t>
      </w:r>
      <w:r>
        <w:rPr>
          <w:spacing w:val="-13"/>
        </w:rPr>
        <w:t> </w:t>
      </w:r>
      <w:r>
        <w:rPr/>
        <w:t>why</w:t>
      </w:r>
      <w:r>
        <w:rPr>
          <w:spacing w:val="-12"/>
        </w:rPr>
        <w:t> </w:t>
      </w:r>
      <w:r>
        <w:rPr/>
        <w:t>women</w:t>
      </w:r>
      <w:r>
        <w:rPr>
          <w:spacing w:val="-13"/>
        </w:rPr>
        <w:t> </w:t>
      </w:r>
      <w:r>
        <w:rPr/>
        <w:t>who</w:t>
      </w:r>
      <w:r>
        <w:rPr>
          <w:spacing w:val="-12"/>
        </w:rPr>
        <w:t> </w:t>
      </w:r>
      <w:r>
        <w:rPr/>
        <w:t>assert</w:t>
      </w:r>
      <w:r>
        <w:rPr>
          <w:spacing w:val="-13"/>
        </w:rPr>
        <w:t> </w:t>
      </w:r>
      <w:r>
        <w:rPr/>
        <w:t>independence are</w:t>
      </w:r>
      <w:r>
        <w:rPr>
          <w:spacing w:val="40"/>
        </w:rPr>
        <w:t> </w:t>
      </w:r>
      <w:r>
        <w:rPr/>
        <w:t>perceived</w:t>
      </w:r>
      <w:r>
        <w:rPr>
          <w:spacing w:val="40"/>
        </w:rPr>
        <w:t> </w:t>
      </w:r>
      <w:r>
        <w:rPr/>
        <w:t>as</w:t>
      </w:r>
      <w:r>
        <w:rPr>
          <w:spacing w:val="40"/>
        </w:rPr>
        <w:t> </w:t>
      </w:r>
      <w:r>
        <w:rPr/>
        <w:t>deviant.</w:t>
      </w:r>
    </w:p>
    <w:p>
      <w:pPr>
        <w:pStyle w:val="BodyText"/>
        <w:spacing w:line="242" w:lineRule="auto" w:before="57"/>
        <w:ind w:right="1438" w:firstLine="432"/>
        <w:jc w:val="both"/>
      </w:pPr>
      <w:r>
        <w:rPr>
          <w:i/>
        </w:rPr>
        <w:t>Judith Butler (1990) </w:t>
      </w:r>
      <w:r>
        <w:rPr/>
        <w:t>introduces the idea of gender performativity, suggesting that gender is not an inherent identity but a set of socially constructed behaviours. Shakespeare’s “bad women” disrupt these performances, exposing their artificiality.</w:t>
      </w:r>
    </w:p>
    <w:p>
      <w:pPr>
        <w:pStyle w:val="BodyText"/>
        <w:spacing w:line="242" w:lineRule="auto" w:before="57"/>
        <w:ind w:right="1440" w:firstLine="432"/>
        <w:jc w:val="both"/>
      </w:pPr>
      <w:r>
        <w:rPr/>
        <w:t>Elaine Showalter (1977) emphasizes the importance of analysing women’s representation in literature through a gynocritical approach, focusing</w:t>
      </w:r>
      <w:r>
        <w:rPr>
          <w:spacing w:val="-3"/>
        </w:rPr>
        <w:t> </w:t>
      </w:r>
      <w:r>
        <w:rPr/>
        <w:t>on</w:t>
      </w:r>
      <w:r>
        <w:rPr>
          <w:spacing w:val="-5"/>
        </w:rPr>
        <w:t> </w:t>
      </w:r>
      <w:r>
        <w:rPr/>
        <w:t>female</w:t>
      </w:r>
      <w:r>
        <w:rPr>
          <w:spacing w:val="-2"/>
        </w:rPr>
        <w:t> </w:t>
      </w:r>
      <w:r>
        <w:rPr/>
        <w:t>experience</w:t>
      </w:r>
      <w:r>
        <w:rPr>
          <w:spacing w:val="-4"/>
        </w:rPr>
        <w:t> </w:t>
      </w:r>
      <w:r>
        <w:rPr/>
        <w:t>and</w:t>
      </w:r>
      <w:r>
        <w:rPr>
          <w:spacing w:val="-2"/>
        </w:rPr>
        <w:t> </w:t>
      </w:r>
      <w:r>
        <w:rPr/>
        <w:t>agency.</w:t>
      </w:r>
      <w:r>
        <w:rPr>
          <w:spacing w:val="-3"/>
        </w:rPr>
        <w:t> </w:t>
      </w:r>
      <w:r>
        <w:rPr/>
        <w:t>Together,</w:t>
      </w:r>
      <w:r>
        <w:rPr>
          <w:spacing w:val="-5"/>
        </w:rPr>
        <w:t> </w:t>
      </w:r>
      <w:r>
        <w:rPr/>
        <w:t>these</w:t>
      </w:r>
      <w:r>
        <w:rPr>
          <w:spacing w:val="-3"/>
        </w:rPr>
        <w:t> </w:t>
      </w:r>
      <w:r>
        <w:rPr/>
        <w:t>frameworks allow</w:t>
      </w:r>
      <w:r>
        <w:rPr>
          <w:spacing w:val="-5"/>
        </w:rPr>
        <w:t> </w:t>
      </w:r>
      <w:r>
        <w:rPr/>
        <w:t>for a</w:t>
      </w:r>
      <w:r>
        <w:rPr>
          <w:spacing w:val="-3"/>
        </w:rPr>
        <w:t> </w:t>
      </w:r>
      <w:r>
        <w:rPr/>
        <w:t>nuanced</w:t>
      </w:r>
      <w:r>
        <w:rPr>
          <w:spacing w:val="-2"/>
        </w:rPr>
        <w:t> </w:t>
      </w:r>
      <w:r>
        <w:rPr/>
        <w:t>reinterpretation of</w:t>
      </w:r>
      <w:r>
        <w:rPr>
          <w:spacing w:val="-4"/>
        </w:rPr>
        <w:t> </w:t>
      </w:r>
      <w:r>
        <w:rPr/>
        <w:t>Shakespeare’s</w:t>
      </w:r>
      <w:r>
        <w:rPr>
          <w:spacing w:val="-2"/>
        </w:rPr>
        <w:t> </w:t>
      </w:r>
      <w:r>
        <w:rPr/>
        <w:t>female</w:t>
      </w:r>
      <w:r>
        <w:rPr>
          <w:spacing w:val="-1"/>
        </w:rPr>
        <w:t> </w:t>
      </w:r>
      <w:r>
        <w:rPr/>
        <w:t>characters as</w:t>
      </w:r>
      <w:r>
        <w:rPr>
          <w:spacing w:val="40"/>
        </w:rPr>
        <w:t> </w:t>
      </w:r>
      <w:r>
        <w:rPr/>
        <w:t>active</w:t>
      </w:r>
      <w:r>
        <w:rPr>
          <w:spacing w:val="40"/>
        </w:rPr>
        <w:t> </w:t>
      </w:r>
      <w:r>
        <w:rPr/>
        <w:t>agents</w:t>
      </w:r>
      <w:r>
        <w:rPr>
          <w:spacing w:val="40"/>
        </w:rPr>
        <w:t> </w:t>
      </w:r>
      <w:r>
        <w:rPr/>
        <w:t>rather</w:t>
      </w:r>
      <w:r>
        <w:rPr>
          <w:spacing w:val="40"/>
        </w:rPr>
        <w:t> </w:t>
      </w:r>
      <w:r>
        <w:rPr/>
        <w:t>than</w:t>
      </w:r>
      <w:r>
        <w:rPr>
          <w:spacing w:val="40"/>
        </w:rPr>
        <w:t> </w:t>
      </w:r>
      <w:r>
        <w:rPr/>
        <w:t>passive</w:t>
      </w:r>
      <w:r>
        <w:rPr>
          <w:spacing w:val="40"/>
        </w:rPr>
        <w:t> </w:t>
      </w:r>
      <w:r>
        <w:rPr/>
        <w:t>subjects.</w:t>
      </w:r>
    </w:p>
    <w:p>
      <w:pPr>
        <w:pStyle w:val="Heading3"/>
        <w:spacing w:line="230" w:lineRule="auto" w:before="158"/>
        <w:ind w:right="1437"/>
      </w:pPr>
      <w:r>
        <w:rPr>
          <w:spacing w:val="-8"/>
        </w:rPr>
        <w:t>LADY</w:t>
      </w:r>
      <w:r>
        <w:rPr>
          <w:spacing w:val="22"/>
        </w:rPr>
        <w:t> </w:t>
      </w:r>
      <w:r>
        <w:rPr>
          <w:spacing w:val="-8"/>
        </w:rPr>
        <w:t>MACBETH:</w:t>
      </w:r>
      <w:r>
        <w:rPr>
          <w:spacing w:val="21"/>
        </w:rPr>
        <w:t> </w:t>
      </w:r>
      <w:r>
        <w:rPr>
          <w:spacing w:val="-8"/>
        </w:rPr>
        <w:t>AMBITION</w:t>
      </w:r>
      <w:r>
        <w:rPr>
          <w:spacing w:val="22"/>
        </w:rPr>
        <w:t> </w:t>
      </w:r>
      <w:r>
        <w:rPr>
          <w:spacing w:val="-8"/>
        </w:rPr>
        <w:t>AND</w:t>
      </w:r>
      <w:r>
        <w:rPr>
          <w:spacing w:val="21"/>
        </w:rPr>
        <w:t> </w:t>
      </w:r>
      <w:r>
        <w:rPr>
          <w:spacing w:val="-8"/>
        </w:rPr>
        <w:t>THE</w:t>
      </w:r>
      <w:r>
        <w:rPr>
          <w:spacing w:val="21"/>
        </w:rPr>
        <w:t> </w:t>
      </w:r>
      <w:r>
        <w:rPr>
          <w:spacing w:val="-8"/>
        </w:rPr>
        <w:t>POLITICS</w:t>
      </w:r>
      <w:r>
        <w:rPr>
          <w:spacing w:val="22"/>
        </w:rPr>
        <w:t> </w:t>
      </w:r>
      <w:r>
        <w:rPr>
          <w:spacing w:val="-8"/>
        </w:rPr>
        <w:t>OF </w:t>
      </w:r>
      <w:r>
        <w:rPr>
          <w:spacing w:val="-2"/>
        </w:rPr>
        <w:t>GENDER</w:t>
      </w:r>
    </w:p>
    <w:p>
      <w:pPr>
        <w:pStyle w:val="BodyText"/>
        <w:spacing w:line="242" w:lineRule="auto" w:before="70"/>
        <w:ind w:right="1438" w:firstLine="432"/>
        <w:jc w:val="both"/>
      </w:pPr>
      <w:r>
        <w:rPr/>
        <w:t>In Macbeth, Lady Macbeth is one of Shakespeare’s most controversial female characters. Traditionally viewed as manipulative and ruthless, she is often blamed for Macbeth’s downfall. However, a feminist reading complicates this interpretation.</w:t>
      </w:r>
    </w:p>
    <w:p>
      <w:pPr>
        <w:pStyle w:val="BodyText"/>
        <w:spacing w:line="242" w:lineRule="auto" w:before="57"/>
        <w:ind w:right="1437" w:firstLine="432"/>
        <w:jc w:val="both"/>
      </w:pPr>
      <w:r>
        <w:rPr/>
        <w:t>Lady</w:t>
      </w:r>
      <w:r>
        <w:rPr>
          <w:spacing w:val="-4"/>
        </w:rPr>
        <w:t> </w:t>
      </w:r>
      <w:r>
        <w:rPr/>
        <w:t>Macbeth’s ambition challenges the association</w:t>
      </w:r>
      <w:r>
        <w:rPr>
          <w:spacing w:val="-2"/>
        </w:rPr>
        <w:t> </w:t>
      </w:r>
      <w:r>
        <w:rPr/>
        <w:t>of femininity with passivity. Her invocation to “unsex me here” reflects her desire to transcend gender limitations. Rather than rejecting femininity entirely, she</w:t>
      </w:r>
      <w:r>
        <w:rPr>
          <w:spacing w:val="40"/>
        </w:rPr>
        <w:t> </w:t>
      </w:r>
      <w:r>
        <w:rPr/>
        <w:t>exposes</w:t>
      </w:r>
      <w:r>
        <w:rPr>
          <w:spacing w:val="40"/>
        </w:rPr>
        <w:t> </w:t>
      </w:r>
      <w:r>
        <w:rPr/>
        <w:t>the</w:t>
      </w:r>
      <w:r>
        <w:rPr>
          <w:spacing w:val="40"/>
        </w:rPr>
        <w:t> </w:t>
      </w:r>
      <w:r>
        <w:rPr/>
        <w:t>constraints</w:t>
      </w:r>
      <w:r>
        <w:rPr>
          <w:spacing w:val="40"/>
        </w:rPr>
        <w:t> </w:t>
      </w:r>
      <w:r>
        <w:rPr/>
        <w:t>imposed</w:t>
      </w:r>
      <w:r>
        <w:rPr>
          <w:spacing w:val="40"/>
        </w:rPr>
        <w:t> </w:t>
      </w:r>
      <w:r>
        <w:rPr/>
        <w:t>upon</w:t>
      </w:r>
      <w:r>
        <w:rPr>
          <w:spacing w:val="40"/>
        </w:rPr>
        <w:t> </w:t>
      </w:r>
      <w:r>
        <w:rPr/>
        <w:t>it.</w:t>
      </w:r>
    </w:p>
    <w:p>
      <w:pPr>
        <w:pStyle w:val="Heading6"/>
        <w:spacing w:before="58"/>
        <w:jc w:val="both"/>
      </w:pPr>
      <w:r>
        <w:rPr/>
        <w:t>Her</w:t>
      </w:r>
      <w:r>
        <w:rPr>
          <w:spacing w:val="-10"/>
        </w:rPr>
        <w:t> </w:t>
      </w:r>
      <w:r>
        <w:rPr/>
        <w:t>character</w:t>
      </w:r>
      <w:r>
        <w:rPr>
          <w:spacing w:val="-10"/>
        </w:rPr>
        <w:t> </w:t>
      </w:r>
      <w:r>
        <w:rPr/>
        <w:t>raises</w:t>
      </w:r>
      <w:r>
        <w:rPr>
          <w:spacing w:val="-11"/>
        </w:rPr>
        <w:t> </w:t>
      </w:r>
      <w:r>
        <w:rPr/>
        <w:t>important</w:t>
      </w:r>
      <w:r>
        <w:rPr>
          <w:spacing w:val="-9"/>
        </w:rPr>
        <w:t> </w:t>
      </w:r>
      <w:r>
        <w:rPr>
          <w:spacing w:val="-2"/>
        </w:rPr>
        <w:t>questions:</w:t>
      </w:r>
    </w:p>
    <w:p>
      <w:pPr>
        <w:pStyle w:val="BodyText"/>
        <w:spacing w:line="302" w:lineRule="auto" w:before="60"/>
        <w:ind w:left="1872" w:right="1521"/>
        <w:jc w:val="both"/>
      </w:pPr>
      <w:r>
        <w:rPr/>
        <w:t>Why is ambition acceptable in men but condemned in women? Why</w:t>
      </w:r>
      <w:r>
        <w:rPr>
          <w:spacing w:val="40"/>
        </w:rPr>
        <w:t> </w:t>
      </w:r>
      <w:r>
        <w:rPr/>
        <w:t>is</w:t>
      </w:r>
      <w:r>
        <w:rPr>
          <w:spacing w:val="40"/>
        </w:rPr>
        <w:t> </w:t>
      </w:r>
      <w:r>
        <w:rPr/>
        <w:t>she</w:t>
      </w:r>
      <w:r>
        <w:rPr>
          <w:spacing w:val="40"/>
        </w:rPr>
        <w:t> </w:t>
      </w:r>
      <w:r>
        <w:rPr/>
        <w:t>judged</w:t>
      </w:r>
      <w:r>
        <w:rPr>
          <w:spacing w:val="40"/>
        </w:rPr>
        <w:t> </w:t>
      </w:r>
      <w:r>
        <w:rPr/>
        <w:t>more</w:t>
      </w:r>
      <w:r>
        <w:rPr>
          <w:spacing w:val="40"/>
        </w:rPr>
        <w:t> </w:t>
      </w:r>
      <w:r>
        <w:rPr/>
        <w:t>harshly</w:t>
      </w:r>
      <w:r>
        <w:rPr>
          <w:spacing w:val="40"/>
        </w:rPr>
        <w:t> </w:t>
      </w:r>
      <w:r>
        <w:rPr/>
        <w:t>than</w:t>
      </w:r>
      <w:r>
        <w:rPr>
          <w:spacing w:val="40"/>
        </w:rPr>
        <w:t> </w:t>
      </w:r>
      <w:r>
        <w:rPr/>
        <w:t>Macbeth</w:t>
      </w:r>
      <w:r>
        <w:rPr>
          <w:spacing w:val="40"/>
        </w:rPr>
        <w:t> </w:t>
      </w:r>
      <w:r>
        <w:rPr/>
        <w:t>himself?</w:t>
      </w:r>
    </w:p>
    <w:p>
      <w:pPr>
        <w:pStyle w:val="BodyText"/>
        <w:spacing w:line="242" w:lineRule="auto"/>
        <w:ind w:right="1438" w:firstLine="432"/>
        <w:jc w:val="both"/>
      </w:pPr>
      <w:r>
        <w:rPr/>
        <w:t>Her</w:t>
      </w:r>
      <w:r>
        <w:rPr>
          <w:spacing w:val="-1"/>
        </w:rPr>
        <w:t> </w:t>
      </w:r>
      <w:r>
        <w:rPr/>
        <w:t>eventual</w:t>
      </w:r>
      <w:r>
        <w:rPr>
          <w:spacing w:val="-1"/>
        </w:rPr>
        <w:t> </w:t>
      </w:r>
      <w:r>
        <w:rPr/>
        <w:t>descent</w:t>
      </w:r>
      <w:r>
        <w:rPr>
          <w:spacing w:val="-1"/>
        </w:rPr>
        <w:t> </w:t>
      </w:r>
      <w:r>
        <w:rPr/>
        <w:t>into madness</w:t>
      </w:r>
      <w:r>
        <w:rPr>
          <w:spacing w:val="-1"/>
        </w:rPr>
        <w:t> </w:t>
      </w:r>
      <w:r>
        <w:rPr/>
        <w:t>can</w:t>
      </w:r>
      <w:r>
        <w:rPr>
          <w:spacing w:val="-3"/>
        </w:rPr>
        <w:t> </w:t>
      </w:r>
      <w:r>
        <w:rPr/>
        <w:t>be</w:t>
      </w:r>
      <w:r>
        <w:rPr>
          <w:spacing w:val="-1"/>
        </w:rPr>
        <w:t> </w:t>
      </w:r>
      <w:r>
        <w:rPr/>
        <w:t>interpreted</w:t>
      </w:r>
      <w:r>
        <w:rPr>
          <w:spacing w:val="-1"/>
        </w:rPr>
        <w:t> </w:t>
      </w:r>
      <w:r>
        <w:rPr/>
        <w:t>not</w:t>
      </w:r>
      <w:r>
        <w:rPr>
          <w:spacing w:val="-1"/>
        </w:rPr>
        <w:t> </w:t>
      </w:r>
      <w:r>
        <w:rPr/>
        <w:t>as</w:t>
      </w:r>
      <w:r>
        <w:rPr>
          <w:spacing w:val="-3"/>
        </w:rPr>
        <w:t> </w:t>
      </w:r>
      <w:r>
        <w:rPr/>
        <w:t>moral punishment but as the psychological cost of resisting patriarchal expectations. She is a tragic figure caught between societal constraints and</w:t>
      </w:r>
      <w:r>
        <w:rPr>
          <w:spacing w:val="40"/>
        </w:rPr>
        <w:t> </w:t>
      </w:r>
      <w:r>
        <w:rPr/>
        <w:t>personal</w:t>
      </w:r>
      <w:r>
        <w:rPr>
          <w:spacing w:val="40"/>
        </w:rPr>
        <w:t> </w:t>
      </w:r>
      <w:r>
        <w:rPr/>
        <w:t>ambition.</w:t>
      </w:r>
    </w:p>
    <w:p>
      <w:pPr>
        <w:pStyle w:val="Heading5"/>
        <w:spacing w:before="111"/>
      </w:pPr>
      <w:r>
        <w:rPr>
          <w:w w:val="105"/>
        </w:rPr>
        <w:t>Goneril</w:t>
      </w:r>
      <w:r>
        <w:rPr>
          <w:spacing w:val="65"/>
          <w:w w:val="105"/>
        </w:rPr>
        <w:t> </w:t>
      </w:r>
      <w:r>
        <w:rPr>
          <w:w w:val="105"/>
        </w:rPr>
        <w:t>and</w:t>
      </w:r>
      <w:r>
        <w:rPr>
          <w:spacing w:val="64"/>
          <w:w w:val="105"/>
        </w:rPr>
        <w:t> </w:t>
      </w:r>
      <w:r>
        <w:rPr>
          <w:w w:val="105"/>
        </w:rPr>
        <w:t>Regan:</w:t>
      </w:r>
      <w:r>
        <w:rPr>
          <w:spacing w:val="65"/>
          <w:w w:val="105"/>
        </w:rPr>
        <w:t> </w:t>
      </w:r>
      <w:r>
        <w:rPr>
          <w:w w:val="105"/>
        </w:rPr>
        <w:t>Power,</w:t>
      </w:r>
      <w:r>
        <w:rPr>
          <w:spacing w:val="68"/>
          <w:w w:val="105"/>
        </w:rPr>
        <w:t> </w:t>
      </w:r>
      <w:r>
        <w:rPr>
          <w:w w:val="105"/>
        </w:rPr>
        <w:t>Authority,</w:t>
      </w:r>
      <w:r>
        <w:rPr>
          <w:spacing w:val="64"/>
          <w:w w:val="105"/>
        </w:rPr>
        <w:t> </w:t>
      </w:r>
      <w:r>
        <w:rPr>
          <w:w w:val="105"/>
        </w:rPr>
        <w:t>and</w:t>
      </w:r>
      <w:r>
        <w:rPr>
          <w:spacing w:val="65"/>
          <w:w w:val="105"/>
        </w:rPr>
        <w:t> </w:t>
      </w:r>
      <w:r>
        <w:rPr>
          <w:spacing w:val="-2"/>
          <w:w w:val="105"/>
        </w:rPr>
        <w:t>Rebellion</w:t>
      </w:r>
    </w:p>
    <w:p>
      <w:pPr>
        <w:pStyle w:val="BodyText"/>
        <w:spacing w:line="249" w:lineRule="auto" w:before="71"/>
        <w:ind w:right="1440" w:firstLine="432"/>
        <w:jc w:val="both"/>
      </w:pPr>
      <w:r>
        <w:rPr>
          <w:spacing w:val="-4"/>
        </w:rPr>
        <w:t>In</w:t>
      </w:r>
      <w:r>
        <w:rPr>
          <w:spacing w:val="-9"/>
        </w:rPr>
        <w:t> </w:t>
      </w:r>
      <w:r>
        <w:rPr>
          <w:spacing w:val="-4"/>
        </w:rPr>
        <w:t>King Lear,</w:t>
      </w:r>
      <w:r>
        <w:rPr>
          <w:spacing w:val="-5"/>
        </w:rPr>
        <w:t> </w:t>
      </w:r>
      <w:r>
        <w:rPr>
          <w:spacing w:val="-4"/>
        </w:rPr>
        <w:t>Goneril</w:t>
      </w:r>
      <w:r>
        <w:rPr>
          <w:spacing w:val="-5"/>
        </w:rPr>
        <w:t> </w:t>
      </w:r>
      <w:r>
        <w:rPr>
          <w:spacing w:val="-4"/>
        </w:rPr>
        <w:t>and Regan</w:t>
      </w:r>
      <w:r>
        <w:rPr>
          <w:spacing w:val="-5"/>
        </w:rPr>
        <w:t> </w:t>
      </w:r>
      <w:r>
        <w:rPr>
          <w:spacing w:val="-4"/>
        </w:rPr>
        <w:t>are often</w:t>
      </w:r>
      <w:r>
        <w:rPr>
          <w:spacing w:val="-9"/>
        </w:rPr>
        <w:t> </w:t>
      </w:r>
      <w:r>
        <w:rPr>
          <w:spacing w:val="-4"/>
        </w:rPr>
        <w:t>portrayed as</w:t>
      </w:r>
      <w:r>
        <w:rPr>
          <w:spacing w:val="-8"/>
        </w:rPr>
        <w:t> </w:t>
      </w:r>
      <w:r>
        <w:rPr>
          <w:spacing w:val="-4"/>
        </w:rPr>
        <w:t>embodiments </w:t>
      </w:r>
      <w:r>
        <w:rPr/>
        <w:t>of cruelty and ingratitude. Their betrayal of Lear has traditionally been interpreted</w:t>
      </w:r>
      <w:r>
        <w:rPr>
          <w:spacing w:val="40"/>
        </w:rPr>
        <w:t> </w:t>
      </w:r>
      <w:r>
        <w:rPr/>
        <w:t>as evidence of moral corruption.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23200">
                <wp:simplePos x="0" y="0"/>
                <wp:positionH relativeFrom="page">
                  <wp:posOffset>2057400</wp:posOffset>
                </wp:positionH>
                <wp:positionV relativeFrom="paragraph">
                  <wp:posOffset>162604</wp:posOffset>
                </wp:positionV>
                <wp:extent cx="3657600" cy="12700"/>
                <wp:effectExtent l="0" t="0" r="0" b="0"/>
                <wp:wrapTopAndBottom/>
                <wp:docPr id="883" name="Graphic 883"/>
                <wp:cNvGraphicFramePr>
                  <a:graphicFrameLocks/>
                </wp:cNvGraphicFramePr>
                <a:graphic>
                  <a:graphicData uri="http://schemas.microsoft.com/office/word/2010/wordprocessingShape">
                    <wps:wsp>
                      <wps:cNvPr id="883" name="Graphic 88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93280;mso-wrap-distance-left:0;mso-wrap-distance-right:0" id="docshape875" filled="true" fillcolor="#000000" stroked="false">
                <v:fill type="solid"/>
                <w10:wrap type="topAndBottom"/>
              </v:rect>
            </w:pict>
          </mc:Fallback>
        </mc:AlternateContent>
      </w:r>
      <w:r>
        <w:rPr>
          <w:rFonts w:ascii="Verdana"/>
          <w:spacing w:val="-5"/>
          <w:sz w:val="18"/>
        </w:rPr>
        <w:t>466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2" w:firstLine="432"/>
        <w:jc w:val="both"/>
      </w:pPr>
      <w:r>
        <w:rPr>
          <w:spacing w:val="-2"/>
        </w:rPr>
        <w:t>However, feminist</w:t>
      </w:r>
      <w:r>
        <w:rPr>
          <w:spacing w:val="-5"/>
        </w:rPr>
        <w:t> </w:t>
      </w:r>
      <w:r>
        <w:rPr>
          <w:spacing w:val="-2"/>
        </w:rPr>
        <w:t>criticism</w:t>
      </w:r>
      <w:r>
        <w:rPr>
          <w:spacing w:val="-6"/>
        </w:rPr>
        <w:t> </w:t>
      </w:r>
      <w:r>
        <w:rPr>
          <w:spacing w:val="-2"/>
        </w:rPr>
        <w:t>offers</w:t>
      </w:r>
      <w:r>
        <w:rPr>
          <w:spacing w:val="-5"/>
        </w:rPr>
        <w:t> </w:t>
      </w:r>
      <w:r>
        <w:rPr>
          <w:spacing w:val="-2"/>
        </w:rPr>
        <w:t>an alternative perspective. These characters operate</w:t>
      </w:r>
      <w:r>
        <w:rPr>
          <w:spacing w:val="-3"/>
        </w:rPr>
        <w:t> </w:t>
      </w:r>
      <w:r>
        <w:rPr>
          <w:spacing w:val="-2"/>
        </w:rPr>
        <w:t>within a patriarchal system</w:t>
      </w:r>
      <w:r>
        <w:rPr>
          <w:spacing w:val="-8"/>
        </w:rPr>
        <w:t> </w:t>
      </w:r>
      <w:r>
        <w:rPr>
          <w:spacing w:val="-2"/>
        </w:rPr>
        <w:t>that denies</w:t>
      </w:r>
      <w:r>
        <w:rPr>
          <w:spacing w:val="-4"/>
        </w:rPr>
        <w:t> </w:t>
      </w:r>
      <w:r>
        <w:rPr>
          <w:spacing w:val="-2"/>
        </w:rPr>
        <w:t>them</w:t>
      </w:r>
      <w:r>
        <w:rPr>
          <w:spacing w:val="-6"/>
        </w:rPr>
        <w:t> </w:t>
      </w:r>
      <w:r>
        <w:rPr>
          <w:spacing w:val="-2"/>
        </w:rPr>
        <w:t>legitimate </w:t>
      </w:r>
      <w:r>
        <w:rPr/>
        <w:t>authority. Their actions can be seen as attempts to assert power in a context that marginalizes women.</w:t>
      </w:r>
    </w:p>
    <w:p>
      <w:pPr>
        <w:pStyle w:val="BodyText"/>
        <w:spacing w:line="249" w:lineRule="auto" w:before="61"/>
        <w:ind w:right="1440" w:firstLine="432"/>
        <w:jc w:val="both"/>
      </w:pPr>
      <w:r>
        <w:rPr/>
        <w:t>Their refusal to conform to the ideal of the obedient daughter challenges familial and political hierarchies. Their vilification reflects societal discomfort with women who exercise authority.</w:t>
      </w:r>
    </w:p>
    <w:p>
      <w:pPr>
        <w:pStyle w:val="BodyText"/>
        <w:spacing w:line="249" w:lineRule="auto" w:before="60"/>
        <w:ind w:right="1438" w:firstLine="432"/>
        <w:jc w:val="both"/>
      </w:pPr>
      <w:r>
        <w:rPr/>
        <w:t>At the same time, it is important not to romanticize their actions. Their cruelty complicates feminist interpretations, suggesting that Shakespeare presents power as inherently destabilizing, regardless of </w:t>
      </w:r>
      <w:r>
        <w:rPr>
          <w:spacing w:val="-2"/>
        </w:rPr>
        <w:t>gender.</w:t>
      </w:r>
    </w:p>
    <w:p>
      <w:pPr>
        <w:pStyle w:val="Heading5"/>
        <w:spacing w:before="111"/>
        <w:ind w:left="1333" w:right="1482"/>
        <w:jc w:val="center"/>
      </w:pPr>
      <w:r>
        <w:rPr>
          <w:w w:val="105"/>
        </w:rPr>
        <w:t>Cleopatra:</w:t>
      </w:r>
      <w:r>
        <w:rPr>
          <w:spacing w:val="72"/>
          <w:w w:val="150"/>
        </w:rPr>
        <w:t> </w:t>
      </w:r>
      <w:r>
        <w:rPr>
          <w:w w:val="105"/>
        </w:rPr>
        <w:t>Sexuality,</w:t>
      </w:r>
      <w:r>
        <w:rPr>
          <w:spacing w:val="72"/>
          <w:w w:val="150"/>
        </w:rPr>
        <w:t> </w:t>
      </w:r>
      <w:r>
        <w:rPr>
          <w:w w:val="105"/>
        </w:rPr>
        <w:t>Power,</w:t>
      </w:r>
      <w:r>
        <w:rPr>
          <w:spacing w:val="72"/>
          <w:w w:val="150"/>
        </w:rPr>
        <w:t> </w:t>
      </w:r>
      <w:r>
        <w:rPr>
          <w:w w:val="105"/>
        </w:rPr>
        <w:t>and</w:t>
      </w:r>
      <w:r>
        <w:rPr>
          <w:spacing w:val="72"/>
          <w:w w:val="150"/>
        </w:rPr>
        <w:t> </w:t>
      </w:r>
      <w:r>
        <w:rPr>
          <w:w w:val="105"/>
        </w:rPr>
        <w:t>Cultural</w:t>
      </w:r>
      <w:r>
        <w:rPr>
          <w:spacing w:val="72"/>
          <w:w w:val="150"/>
        </w:rPr>
        <w:t> </w:t>
      </w:r>
      <w:r>
        <w:rPr>
          <w:spacing w:val="-2"/>
          <w:w w:val="105"/>
        </w:rPr>
        <w:t>Identity</w:t>
      </w:r>
    </w:p>
    <w:p>
      <w:pPr>
        <w:pStyle w:val="BodyText"/>
        <w:spacing w:line="249" w:lineRule="auto" w:before="71"/>
        <w:ind w:right="1441" w:firstLine="432"/>
        <w:jc w:val="both"/>
      </w:pPr>
      <w:r>
        <w:rPr/>
        <w:t>Cleopatra</w:t>
      </w:r>
      <w:r>
        <w:rPr>
          <w:spacing w:val="-13"/>
        </w:rPr>
        <w:t> </w:t>
      </w:r>
      <w:r>
        <w:rPr/>
        <w:t>in</w:t>
      </w:r>
      <w:r>
        <w:rPr>
          <w:spacing w:val="-12"/>
        </w:rPr>
        <w:t> </w:t>
      </w:r>
      <w:r>
        <w:rPr/>
        <w:t>Antony</w:t>
      </w:r>
      <w:r>
        <w:rPr>
          <w:spacing w:val="-13"/>
        </w:rPr>
        <w:t> </w:t>
      </w:r>
      <w:r>
        <w:rPr/>
        <w:t>and</w:t>
      </w:r>
      <w:r>
        <w:rPr>
          <w:spacing w:val="-12"/>
        </w:rPr>
        <w:t> </w:t>
      </w:r>
      <w:r>
        <w:rPr/>
        <w:t>Cleopatra</w:t>
      </w:r>
      <w:r>
        <w:rPr>
          <w:spacing w:val="-13"/>
        </w:rPr>
        <w:t> </w:t>
      </w:r>
      <w:r>
        <w:rPr/>
        <w:t>represents</w:t>
      </w:r>
      <w:r>
        <w:rPr>
          <w:spacing w:val="-12"/>
        </w:rPr>
        <w:t> </w:t>
      </w:r>
      <w:r>
        <w:rPr/>
        <w:t>one</w:t>
      </w:r>
      <w:r>
        <w:rPr>
          <w:spacing w:val="-13"/>
        </w:rPr>
        <w:t> </w:t>
      </w:r>
      <w:r>
        <w:rPr/>
        <w:t>of</w:t>
      </w:r>
      <w:r>
        <w:rPr>
          <w:spacing w:val="-12"/>
        </w:rPr>
        <w:t> </w:t>
      </w:r>
      <w:r>
        <w:rPr/>
        <w:t>Shakespeare’s most</w:t>
      </w:r>
      <w:r>
        <w:rPr>
          <w:spacing w:val="-5"/>
        </w:rPr>
        <w:t> </w:t>
      </w:r>
      <w:r>
        <w:rPr/>
        <w:t>complex</w:t>
      </w:r>
      <w:r>
        <w:rPr>
          <w:spacing w:val="-7"/>
        </w:rPr>
        <w:t> </w:t>
      </w:r>
      <w:r>
        <w:rPr/>
        <w:t>female</w:t>
      </w:r>
      <w:r>
        <w:rPr>
          <w:spacing w:val="-2"/>
        </w:rPr>
        <w:t> </w:t>
      </w:r>
      <w:r>
        <w:rPr/>
        <w:t>figures.</w:t>
      </w:r>
      <w:r>
        <w:rPr>
          <w:spacing w:val="-5"/>
        </w:rPr>
        <w:t> </w:t>
      </w:r>
      <w:r>
        <w:rPr/>
        <w:t>She</w:t>
      </w:r>
      <w:r>
        <w:rPr>
          <w:spacing w:val="-7"/>
        </w:rPr>
        <w:t> </w:t>
      </w:r>
      <w:r>
        <w:rPr/>
        <w:t>embodies</w:t>
      </w:r>
      <w:r>
        <w:rPr>
          <w:spacing w:val="-7"/>
        </w:rPr>
        <w:t> </w:t>
      </w:r>
      <w:r>
        <w:rPr/>
        <w:t>both</w:t>
      </w:r>
      <w:r>
        <w:rPr>
          <w:spacing w:val="-5"/>
        </w:rPr>
        <w:t> </w:t>
      </w:r>
      <w:r>
        <w:rPr/>
        <w:t>political</w:t>
      </w:r>
      <w:r>
        <w:rPr>
          <w:spacing w:val="-7"/>
        </w:rPr>
        <w:t> </w:t>
      </w:r>
      <w:r>
        <w:rPr/>
        <w:t>authority</w:t>
      </w:r>
      <w:r>
        <w:rPr>
          <w:spacing w:val="-8"/>
        </w:rPr>
        <w:t> </w:t>
      </w:r>
      <w:r>
        <w:rPr/>
        <w:t>and sexual autonomy,</w:t>
      </w:r>
      <w:r>
        <w:rPr>
          <w:spacing w:val="39"/>
        </w:rPr>
        <w:t> </w:t>
      </w:r>
      <w:r>
        <w:rPr/>
        <w:t>challenging Western ideals of femininity.</w:t>
      </w:r>
    </w:p>
    <w:p>
      <w:pPr>
        <w:pStyle w:val="BodyText"/>
        <w:spacing w:line="249" w:lineRule="auto" w:before="63"/>
        <w:ind w:right="1439" w:firstLine="432"/>
        <w:jc w:val="both"/>
      </w:pPr>
      <w:r>
        <w:rPr/>
        <w:t>Cleopatra’s characterization is deeply intertwined with issues of race,</w:t>
      </w:r>
      <w:r>
        <w:rPr>
          <w:spacing w:val="-2"/>
        </w:rPr>
        <w:t> </w:t>
      </w:r>
      <w:r>
        <w:rPr/>
        <w:t>culture, and imperialism.</w:t>
      </w:r>
      <w:r>
        <w:rPr>
          <w:spacing w:val="-9"/>
        </w:rPr>
        <w:t> </w:t>
      </w:r>
      <w:r>
        <w:rPr/>
        <w:t>As</w:t>
      </w:r>
      <w:r>
        <w:rPr>
          <w:spacing w:val="-4"/>
        </w:rPr>
        <w:t> </w:t>
      </w:r>
      <w:r>
        <w:rPr/>
        <w:t>an</w:t>
      </w:r>
      <w:r>
        <w:rPr>
          <w:spacing w:val="-2"/>
        </w:rPr>
        <w:t> </w:t>
      </w:r>
      <w:r>
        <w:rPr/>
        <w:t>Egyptian</w:t>
      </w:r>
      <w:r>
        <w:rPr>
          <w:spacing w:val="-4"/>
        </w:rPr>
        <w:t> </w:t>
      </w:r>
      <w:r>
        <w:rPr/>
        <w:t>queen, she</w:t>
      </w:r>
      <w:r>
        <w:rPr>
          <w:spacing w:val="-4"/>
        </w:rPr>
        <w:t> </w:t>
      </w:r>
      <w:r>
        <w:rPr/>
        <w:t>exists</w:t>
      </w:r>
      <w:r>
        <w:rPr>
          <w:spacing w:val="-2"/>
        </w:rPr>
        <w:t> </w:t>
      </w:r>
      <w:r>
        <w:rPr/>
        <w:t>outside </w:t>
      </w:r>
      <w:r>
        <w:rPr>
          <w:spacing w:val="-2"/>
        </w:rPr>
        <w:t>the</w:t>
      </w:r>
      <w:r>
        <w:rPr>
          <w:spacing w:val="-9"/>
        </w:rPr>
        <w:t> </w:t>
      </w:r>
      <w:r>
        <w:rPr>
          <w:spacing w:val="-2"/>
        </w:rPr>
        <w:t>norms</w:t>
      </w:r>
      <w:r>
        <w:rPr>
          <w:spacing w:val="-9"/>
        </w:rPr>
        <w:t> </w:t>
      </w:r>
      <w:r>
        <w:rPr>
          <w:spacing w:val="-2"/>
        </w:rPr>
        <w:t>of</w:t>
      </w:r>
      <w:r>
        <w:rPr>
          <w:spacing w:val="-11"/>
        </w:rPr>
        <w:t> </w:t>
      </w:r>
      <w:r>
        <w:rPr>
          <w:spacing w:val="-2"/>
        </w:rPr>
        <w:t>Roman</w:t>
      </w:r>
      <w:r>
        <w:rPr>
          <w:spacing w:val="-8"/>
        </w:rPr>
        <w:t> </w:t>
      </w:r>
      <w:r>
        <w:rPr>
          <w:spacing w:val="-2"/>
        </w:rPr>
        <w:t>patriarchy,</w:t>
      </w:r>
      <w:r>
        <w:rPr>
          <w:spacing w:val="-11"/>
        </w:rPr>
        <w:t> </w:t>
      </w:r>
      <w:r>
        <w:rPr>
          <w:spacing w:val="-2"/>
        </w:rPr>
        <w:t>making</w:t>
      </w:r>
      <w:r>
        <w:rPr>
          <w:spacing w:val="-11"/>
        </w:rPr>
        <w:t> </w:t>
      </w:r>
      <w:r>
        <w:rPr>
          <w:spacing w:val="-2"/>
        </w:rPr>
        <w:t>her</w:t>
      </w:r>
      <w:r>
        <w:rPr>
          <w:spacing w:val="-6"/>
        </w:rPr>
        <w:t> </w:t>
      </w:r>
      <w:r>
        <w:rPr>
          <w:spacing w:val="-2"/>
        </w:rPr>
        <w:t>both</w:t>
      </w:r>
      <w:r>
        <w:rPr>
          <w:spacing w:val="-11"/>
        </w:rPr>
        <w:t> </w:t>
      </w:r>
      <w:r>
        <w:rPr>
          <w:spacing w:val="-2"/>
        </w:rPr>
        <w:t>alluring</w:t>
      </w:r>
      <w:r>
        <w:rPr>
          <w:spacing w:val="-9"/>
        </w:rPr>
        <w:t> </w:t>
      </w:r>
      <w:r>
        <w:rPr>
          <w:spacing w:val="-2"/>
        </w:rPr>
        <w:t>and</w:t>
      </w:r>
      <w:r>
        <w:rPr>
          <w:spacing w:val="-8"/>
        </w:rPr>
        <w:t> </w:t>
      </w:r>
      <w:r>
        <w:rPr>
          <w:spacing w:val="-2"/>
        </w:rPr>
        <w:t>threatening.</w:t>
      </w:r>
    </w:p>
    <w:p>
      <w:pPr>
        <w:pStyle w:val="BodyText"/>
        <w:spacing w:before="60"/>
        <w:ind w:left="1872"/>
        <w:jc w:val="both"/>
      </w:pPr>
      <w:r>
        <w:rPr/>
        <w:t>Feminist</w:t>
      </w:r>
      <w:r>
        <w:rPr>
          <w:spacing w:val="10"/>
        </w:rPr>
        <w:t> </w:t>
      </w:r>
      <w:r>
        <w:rPr/>
        <w:t>interpretations</w:t>
      </w:r>
      <w:r>
        <w:rPr>
          <w:spacing w:val="11"/>
        </w:rPr>
        <w:t> </w:t>
      </w:r>
      <w:r>
        <w:rPr>
          <w:spacing w:val="-2"/>
        </w:rPr>
        <w:t>highlight:</w:t>
      </w:r>
    </w:p>
    <w:p>
      <w:pPr>
        <w:pStyle w:val="BodyText"/>
        <w:spacing w:line="309" w:lineRule="auto" w:before="67"/>
        <w:ind w:left="1872" w:right="2764"/>
      </w:pPr>
      <w:r>
        <w:rPr/>
        <w:t>Her control</w:t>
      </w:r>
      <w:r>
        <w:rPr>
          <w:spacing w:val="21"/>
        </w:rPr>
        <w:t> </w:t>
      </w:r>
      <w:r>
        <w:rPr/>
        <w:t>over her</w:t>
      </w:r>
      <w:r>
        <w:rPr>
          <w:spacing w:val="22"/>
        </w:rPr>
        <w:t> </w:t>
      </w:r>
      <w:r>
        <w:rPr/>
        <w:t>own narrative</w:t>
      </w:r>
      <w:r>
        <w:rPr>
          <w:spacing w:val="21"/>
        </w:rPr>
        <w:t> </w:t>
      </w:r>
      <w:r>
        <w:rPr/>
        <w:t>and</w:t>
      </w:r>
      <w:r>
        <w:rPr>
          <w:spacing w:val="19"/>
        </w:rPr>
        <w:t> </w:t>
      </w:r>
      <w:r>
        <w:rPr/>
        <w:t>identity Her use of performance as a form of power</w:t>
      </w:r>
    </w:p>
    <w:p>
      <w:pPr>
        <w:pStyle w:val="BodyText"/>
        <w:spacing w:before="2"/>
        <w:ind w:left="1872"/>
      </w:pPr>
      <w:r>
        <w:rPr/>
        <w:t>Her</w:t>
      </w:r>
      <w:r>
        <w:rPr>
          <w:spacing w:val="30"/>
        </w:rPr>
        <w:t> </w:t>
      </w:r>
      <w:r>
        <w:rPr/>
        <w:t>resistance</w:t>
      </w:r>
      <w:r>
        <w:rPr>
          <w:spacing w:val="31"/>
        </w:rPr>
        <w:t> </w:t>
      </w:r>
      <w:r>
        <w:rPr/>
        <w:t>to</w:t>
      </w:r>
      <w:r>
        <w:rPr>
          <w:spacing w:val="31"/>
        </w:rPr>
        <w:t> </w:t>
      </w:r>
      <w:r>
        <w:rPr/>
        <w:t>being</w:t>
      </w:r>
      <w:r>
        <w:rPr>
          <w:spacing w:val="31"/>
        </w:rPr>
        <w:t> </w:t>
      </w:r>
      <w:r>
        <w:rPr/>
        <w:t>reduced</w:t>
      </w:r>
      <w:r>
        <w:rPr>
          <w:spacing w:val="29"/>
        </w:rPr>
        <w:t> </w:t>
      </w:r>
      <w:r>
        <w:rPr/>
        <w:t>to</w:t>
      </w:r>
      <w:r>
        <w:rPr>
          <w:spacing w:val="33"/>
        </w:rPr>
        <w:t> </w:t>
      </w:r>
      <w:r>
        <w:rPr/>
        <w:t>a</w:t>
      </w:r>
      <w:r>
        <w:rPr>
          <w:spacing w:val="30"/>
        </w:rPr>
        <w:t> </w:t>
      </w:r>
      <w:r>
        <w:rPr/>
        <w:t>passive</w:t>
      </w:r>
      <w:r>
        <w:rPr>
          <w:spacing w:val="34"/>
        </w:rPr>
        <w:t> </w:t>
      </w:r>
      <w:r>
        <w:rPr>
          <w:spacing w:val="-2"/>
        </w:rPr>
        <w:t>object</w:t>
      </w:r>
    </w:p>
    <w:p>
      <w:pPr>
        <w:pStyle w:val="BodyText"/>
        <w:spacing w:line="249" w:lineRule="auto" w:before="68"/>
        <w:ind w:right="1437" w:firstLine="432"/>
      </w:pPr>
      <w:r>
        <w:rPr/>
        <w:t>Rather</w:t>
      </w:r>
      <w:r>
        <w:rPr>
          <w:spacing w:val="33"/>
        </w:rPr>
        <w:t> </w:t>
      </w:r>
      <w:r>
        <w:rPr/>
        <w:t>than</w:t>
      </w:r>
      <w:r>
        <w:rPr>
          <w:spacing w:val="31"/>
        </w:rPr>
        <w:t> </w:t>
      </w:r>
      <w:r>
        <w:rPr/>
        <w:t>viewing</w:t>
      </w:r>
      <w:r>
        <w:rPr>
          <w:spacing w:val="34"/>
        </w:rPr>
        <w:t> </w:t>
      </w:r>
      <w:r>
        <w:rPr/>
        <w:t>her</w:t>
      </w:r>
      <w:r>
        <w:rPr>
          <w:spacing w:val="31"/>
        </w:rPr>
        <w:t> </w:t>
      </w:r>
      <w:r>
        <w:rPr/>
        <w:t>as</w:t>
      </w:r>
      <w:r>
        <w:rPr>
          <w:spacing w:val="31"/>
        </w:rPr>
        <w:t> </w:t>
      </w:r>
      <w:r>
        <w:rPr/>
        <w:t>manipulative,</w:t>
      </w:r>
      <w:r>
        <w:rPr>
          <w:spacing w:val="32"/>
        </w:rPr>
        <w:t> </w:t>
      </w:r>
      <w:r>
        <w:rPr/>
        <w:t>she</w:t>
      </w:r>
      <w:r>
        <w:rPr>
          <w:spacing w:val="31"/>
        </w:rPr>
        <w:t> </w:t>
      </w:r>
      <w:r>
        <w:rPr/>
        <w:t>can</w:t>
      </w:r>
      <w:r>
        <w:rPr>
          <w:spacing w:val="31"/>
        </w:rPr>
        <w:t> </w:t>
      </w:r>
      <w:r>
        <w:rPr/>
        <w:t>be</w:t>
      </w:r>
      <w:r>
        <w:rPr>
          <w:spacing w:val="35"/>
        </w:rPr>
        <w:t> </w:t>
      </w:r>
      <w:r>
        <w:rPr/>
        <w:t>seen</w:t>
      </w:r>
      <w:r>
        <w:rPr>
          <w:spacing w:val="31"/>
        </w:rPr>
        <w:t> </w:t>
      </w:r>
      <w:r>
        <w:rPr/>
        <w:t>as</w:t>
      </w:r>
      <w:r>
        <w:rPr>
          <w:spacing w:val="31"/>
        </w:rPr>
        <w:t> </w:t>
      </w:r>
      <w:r>
        <w:rPr/>
        <w:t>a strategist navigating complex political and</w:t>
      </w:r>
      <w:r>
        <w:rPr>
          <w:spacing w:val="40"/>
        </w:rPr>
        <w:t> </w:t>
      </w:r>
      <w:r>
        <w:rPr/>
        <w:t>cultural dynamics.</w:t>
      </w:r>
    </w:p>
    <w:p>
      <w:pPr>
        <w:pStyle w:val="BodyText"/>
        <w:spacing w:before="62"/>
        <w:ind w:left="1872"/>
      </w:pPr>
      <w:r>
        <w:rPr/>
        <w:t>The</w:t>
      </w:r>
      <w:r>
        <w:rPr>
          <w:spacing w:val="14"/>
        </w:rPr>
        <w:t> </w:t>
      </w:r>
      <w:r>
        <w:rPr/>
        <w:t>Politics</w:t>
      </w:r>
      <w:r>
        <w:rPr>
          <w:spacing w:val="11"/>
        </w:rPr>
        <w:t> </w:t>
      </w:r>
      <w:r>
        <w:rPr/>
        <w:t>of</w:t>
      </w:r>
      <w:r>
        <w:rPr>
          <w:spacing w:val="13"/>
        </w:rPr>
        <w:t> </w:t>
      </w:r>
      <w:r>
        <w:rPr/>
        <w:t>Labelling</w:t>
      </w:r>
      <w:r>
        <w:rPr>
          <w:spacing w:val="12"/>
        </w:rPr>
        <w:t> </w:t>
      </w:r>
      <w:r>
        <w:rPr/>
        <w:t>“Bad</w:t>
      </w:r>
      <w:r>
        <w:rPr>
          <w:spacing w:val="11"/>
        </w:rPr>
        <w:t> </w:t>
      </w:r>
      <w:r>
        <w:rPr>
          <w:spacing w:val="-2"/>
        </w:rPr>
        <w:t>Women”</w:t>
      </w:r>
    </w:p>
    <w:p>
      <w:pPr>
        <w:pStyle w:val="BodyText"/>
        <w:spacing w:line="249" w:lineRule="auto" w:before="67"/>
        <w:ind w:right="1437" w:firstLine="432"/>
      </w:pPr>
      <w:r>
        <w:rPr/>
        <w:t>The</w:t>
      </w:r>
      <w:r>
        <w:rPr>
          <w:spacing w:val="70"/>
        </w:rPr>
        <w:t> </w:t>
      </w:r>
      <w:r>
        <w:rPr/>
        <w:t>term</w:t>
      </w:r>
      <w:r>
        <w:rPr>
          <w:spacing w:val="40"/>
        </w:rPr>
        <w:t> </w:t>
      </w:r>
      <w:r>
        <w:rPr/>
        <w:t>“bad”</w:t>
      </w:r>
      <w:r>
        <w:rPr>
          <w:spacing w:val="73"/>
        </w:rPr>
        <w:t> </w:t>
      </w:r>
      <w:r>
        <w:rPr/>
        <w:t>is</w:t>
      </w:r>
      <w:r>
        <w:rPr>
          <w:spacing w:val="69"/>
        </w:rPr>
        <w:t> </w:t>
      </w:r>
      <w:r>
        <w:rPr/>
        <w:t>not</w:t>
      </w:r>
      <w:r>
        <w:rPr>
          <w:spacing w:val="69"/>
        </w:rPr>
        <w:t> </w:t>
      </w:r>
      <w:r>
        <w:rPr/>
        <w:t>a</w:t>
      </w:r>
      <w:r>
        <w:rPr>
          <w:spacing w:val="73"/>
        </w:rPr>
        <w:t> </w:t>
      </w:r>
      <w:r>
        <w:rPr/>
        <w:t>neutral</w:t>
      </w:r>
      <w:r>
        <w:rPr>
          <w:spacing w:val="69"/>
        </w:rPr>
        <w:t> </w:t>
      </w:r>
      <w:r>
        <w:rPr/>
        <w:t>descriptor</w:t>
      </w:r>
      <w:r>
        <w:rPr>
          <w:spacing w:val="70"/>
        </w:rPr>
        <w:t> </w:t>
      </w:r>
      <w:r>
        <w:rPr/>
        <w:t>but</w:t>
      </w:r>
      <w:r>
        <w:rPr>
          <w:spacing w:val="69"/>
        </w:rPr>
        <w:t> </w:t>
      </w:r>
      <w:r>
        <w:rPr/>
        <w:t>a</w:t>
      </w:r>
      <w:r>
        <w:rPr>
          <w:spacing w:val="73"/>
        </w:rPr>
        <w:t> </w:t>
      </w:r>
      <w:r>
        <w:rPr/>
        <w:t>culturally constructed</w:t>
      </w:r>
      <w:r>
        <w:rPr>
          <w:spacing w:val="40"/>
        </w:rPr>
        <w:t> </w:t>
      </w:r>
      <w:r>
        <w:rPr/>
        <w:t>label</w:t>
      </w:r>
      <w:r>
        <w:rPr>
          <w:spacing w:val="40"/>
        </w:rPr>
        <w:t> </w:t>
      </w:r>
      <w:r>
        <w:rPr/>
        <w:t>that</w:t>
      </w:r>
      <w:r>
        <w:rPr>
          <w:spacing w:val="40"/>
        </w:rPr>
        <w:t> </w:t>
      </w:r>
      <w:r>
        <w:rPr/>
        <w:t>reflects</w:t>
      </w:r>
      <w:r>
        <w:rPr>
          <w:spacing w:val="40"/>
        </w:rPr>
        <w:t> </w:t>
      </w:r>
      <w:r>
        <w:rPr/>
        <w:t>patriarchal</w:t>
      </w:r>
      <w:r>
        <w:rPr>
          <w:spacing w:val="40"/>
        </w:rPr>
        <w:t> </w:t>
      </w:r>
      <w:r>
        <w:rPr/>
        <w:t>values.</w:t>
      </w:r>
      <w:r>
        <w:rPr>
          <w:spacing w:val="40"/>
        </w:rPr>
        <w:t> </w:t>
      </w:r>
      <w:r>
        <w:rPr/>
        <w:t>It</w:t>
      </w:r>
      <w:r>
        <w:rPr>
          <w:spacing w:val="40"/>
        </w:rPr>
        <w:t> </w:t>
      </w:r>
      <w:r>
        <w:rPr/>
        <w:t>serves</w:t>
      </w:r>
      <w:r>
        <w:rPr>
          <w:spacing w:val="40"/>
        </w:rPr>
        <w:t> </w:t>
      </w:r>
      <w:r>
        <w:rPr/>
        <w:t>to:</w:t>
      </w:r>
    </w:p>
    <w:p>
      <w:pPr>
        <w:pStyle w:val="BodyText"/>
        <w:spacing w:line="309" w:lineRule="auto" w:before="59"/>
        <w:ind w:left="1872" w:right="4251"/>
      </w:pPr>
      <w:r>
        <w:rPr/>
        <w:t>Regulate female behaviour Reinforce</w:t>
      </w:r>
      <w:r>
        <w:rPr>
          <w:spacing w:val="-5"/>
        </w:rPr>
        <w:t> </w:t>
      </w:r>
      <w:r>
        <w:rPr/>
        <w:t>gender</w:t>
      </w:r>
      <w:r>
        <w:rPr>
          <w:spacing w:val="-4"/>
        </w:rPr>
        <w:t> </w:t>
      </w:r>
      <w:r>
        <w:rPr/>
        <w:t>hierarchies</w:t>
      </w:r>
    </w:p>
    <w:p>
      <w:pPr>
        <w:pStyle w:val="BodyText"/>
        <w:spacing w:before="2"/>
        <w:ind w:left="1872"/>
      </w:pPr>
      <w:r>
        <w:rPr/>
        <w:t>Punish</w:t>
      </w:r>
      <w:r>
        <w:rPr>
          <w:spacing w:val="14"/>
        </w:rPr>
        <w:t> </w:t>
      </w:r>
      <w:r>
        <w:rPr/>
        <w:t>women</w:t>
      </w:r>
      <w:r>
        <w:rPr>
          <w:spacing w:val="15"/>
        </w:rPr>
        <w:t> </w:t>
      </w:r>
      <w:r>
        <w:rPr/>
        <w:t>who</w:t>
      </w:r>
      <w:r>
        <w:rPr>
          <w:spacing w:val="21"/>
        </w:rPr>
        <w:t> </w:t>
      </w:r>
      <w:r>
        <w:rPr/>
        <w:t>deviate</w:t>
      </w:r>
      <w:r>
        <w:rPr>
          <w:spacing w:val="15"/>
        </w:rPr>
        <w:t> </w:t>
      </w:r>
      <w:r>
        <w:rPr/>
        <w:t>from</w:t>
      </w:r>
      <w:r>
        <w:rPr>
          <w:spacing w:val="12"/>
        </w:rPr>
        <w:t> </w:t>
      </w:r>
      <w:r>
        <w:rPr>
          <w:spacing w:val="-4"/>
        </w:rPr>
        <w:t>norms</w:t>
      </w:r>
    </w:p>
    <w:p>
      <w:pPr>
        <w:pStyle w:val="BodyText"/>
        <w:spacing w:line="249" w:lineRule="auto" w:before="68"/>
        <w:ind w:right="1440" w:firstLine="432"/>
        <w:jc w:val="both"/>
      </w:pPr>
      <w:r>
        <w:rPr/>
        <w:t>By labelling women as “bad,” society delegitimizes their actions and reinforces male authority. Shakespeare’s plays reveal how such labels</w:t>
      </w:r>
      <w:r>
        <w:rPr>
          <w:spacing w:val="40"/>
        </w:rPr>
        <w:t> </w:t>
      </w:r>
      <w:r>
        <w:rPr/>
        <w:t>function</w:t>
      </w:r>
      <w:r>
        <w:rPr>
          <w:spacing w:val="40"/>
        </w:rPr>
        <w:t> </w:t>
      </w:r>
      <w:r>
        <w:rPr/>
        <w:t>as</w:t>
      </w:r>
      <w:r>
        <w:rPr>
          <w:spacing w:val="40"/>
        </w:rPr>
        <w:t> </w:t>
      </w:r>
      <w:r>
        <w:rPr/>
        <w:t>mechanisms</w:t>
      </w:r>
      <w:r>
        <w:rPr>
          <w:spacing w:val="40"/>
        </w:rPr>
        <w:t> </w:t>
      </w:r>
      <w:r>
        <w:rPr/>
        <w:t>of</w:t>
      </w:r>
      <w:r>
        <w:rPr>
          <w:spacing w:val="40"/>
        </w:rPr>
        <w:t> </w:t>
      </w:r>
      <w:r>
        <w:rPr/>
        <w:t>control.</w:t>
      </w:r>
    </w:p>
    <w:p>
      <w:pPr>
        <w:pStyle w:val="BodyText"/>
        <w:spacing w:line="264" w:lineRule="auto" w:before="70"/>
        <w:ind w:right="1440" w:firstLine="432"/>
        <w:jc w:val="both"/>
      </w:pPr>
      <w:r>
        <w:rPr/>
        <w:t>A feminist reinterpretation challenges these labels, recognizing them as tools of ideological oppression rather than objective moral </w:t>
      </w:r>
      <w:r>
        <w:rPr>
          <w:spacing w:val="-2"/>
        </w:rPr>
        <w:t>judgments.</w:t>
      </w:r>
    </w:p>
    <w:p>
      <w:pPr>
        <w:pStyle w:val="BodyText"/>
        <w:spacing w:after="0" w:line="264" w:lineRule="auto"/>
        <w:jc w:val="both"/>
        <w:sectPr>
          <w:pgSz w:w="12240" w:h="15840"/>
          <w:pgMar w:top="1820" w:bottom="280" w:left="1800" w:right="1800"/>
        </w:sectPr>
      </w:pPr>
    </w:p>
    <w:p>
      <w:pPr>
        <w:tabs>
          <w:tab w:pos="7195"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923712">
                <wp:simplePos x="0" y="0"/>
                <wp:positionH relativeFrom="page">
                  <wp:posOffset>2065020</wp:posOffset>
                </wp:positionH>
                <wp:positionV relativeFrom="paragraph">
                  <wp:posOffset>795020</wp:posOffset>
                </wp:positionV>
                <wp:extent cx="3657600" cy="12700"/>
                <wp:effectExtent l="0" t="0" r="0" b="0"/>
                <wp:wrapTopAndBottom/>
                <wp:docPr id="884" name="Graphic 884"/>
                <wp:cNvGraphicFramePr>
                  <a:graphicFrameLocks/>
                </wp:cNvGraphicFramePr>
                <a:graphic>
                  <a:graphicData uri="http://schemas.microsoft.com/office/word/2010/wordprocessingShape">
                    <wps:wsp>
                      <wps:cNvPr id="884" name="Graphic 88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92768;mso-wrap-distance-left:0;mso-wrap-distance-right:0" id="docshape876" filled="true" fillcolor="#000000" stroked="false">
                <v:fill type="solid"/>
                <w10:wrap type="topAndBottom"/>
              </v:rect>
            </w:pict>
          </mc:Fallback>
        </mc:AlternateContent>
      </w:r>
      <w:r>
        <w:rPr>
          <w:rFonts w:ascii="Verdana" w:hAnsi="Verdana"/>
          <w:spacing w:val="-2"/>
          <w:sz w:val="18"/>
        </w:rPr>
        <w:t>Revisiting</w:t>
      </w:r>
      <w:r>
        <w:rPr>
          <w:rFonts w:ascii="Verdana" w:hAnsi="Verdana"/>
          <w:spacing w:val="15"/>
          <w:sz w:val="18"/>
        </w:rPr>
        <w:t> </w:t>
      </w:r>
      <w:r>
        <w:rPr>
          <w:rFonts w:ascii="Verdana" w:hAnsi="Verdana"/>
          <w:spacing w:val="-2"/>
          <w:sz w:val="18"/>
        </w:rPr>
        <w:t>Shakespeare’s</w:t>
      </w:r>
      <w:r>
        <w:rPr>
          <w:rFonts w:ascii="Verdana" w:hAnsi="Verdana"/>
          <w:spacing w:val="19"/>
          <w:sz w:val="18"/>
        </w:rPr>
        <w:t> </w:t>
      </w:r>
      <w:r>
        <w:rPr>
          <w:rFonts w:ascii="Verdana" w:hAnsi="Verdana"/>
          <w:spacing w:val="-2"/>
          <w:sz w:val="18"/>
        </w:rPr>
        <w:t>“Bad</w:t>
      </w:r>
      <w:r>
        <w:rPr>
          <w:rFonts w:ascii="Verdana" w:hAnsi="Verdana"/>
          <w:spacing w:val="17"/>
          <w:sz w:val="18"/>
        </w:rPr>
        <w:t> </w:t>
      </w:r>
      <w:r>
        <w:rPr>
          <w:rFonts w:ascii="Verdana" w:hAnsi="Verdana"/>
          <w:spacing w:val="-2"/>
          <w:sz w:val="18"/>
        </w:rPr>
        <w:t>Women”...</w:t>
      </w:r>
      <w:r>
        <w:rPr>
          <w:sz w:val="18"/>
        </w:rPr>
        <w:tab/>
      </w:r>
      <w:r>
        <w:rPr>
          <w:rFonts w:ascii="Verdana" w:hAnsi="Verdana"/>
          <w:spacing w:val="-5"/>
          <w:sz w:val="18"/>
        </w:rPr>
        <w:t>467</w:t>
      </w:r>
    </w:p>
    <w:p>
      <w:pPr>
        <w:pStyle w:val="Heading5"/>
        <w:spacing w:before="184"/>
      </w:pPr>
      <w:r>
        <w:rPr>
          <w:w w:val="105"/>
        </w:rPr>
        <w:t>Intersection</w:t>
      </w:r>
      <w:r>
        <w:rPr>
          <w:spacing w:val="76"/>
          <w:w w:val="150"/>
        </w:rPr>
        <w:t> </w:t>
      </w:r>
      <w:r>
        <w:rPr>
          <w:w w:val="105"/>
        </w:rPr>
        <w:t>of</w:t>
      </w:r>
      <w:r>
        <w:rPr>
          <w:spacing w:val="76"/>
          <w:w w:val="150"/>
        </w:rPr>
        <w:t> </w:t>
      </w:r>
      <w:r>
        <w:rPr>
          <w:w w:val="105"/>
        </w:rPr>
        <w:t>Gender</w:t>
      </w:r>
      <w:r>
        <w:rPr>
          <w:spacing w:val="74"/>
          <w:w w:val="150"/>
        </w:rPr>
        <w:t> </w:t>
      </w:r>
      <w:r>
        <w:rPr>
          <w:w w:val="105"/>
        </w:rPr>
        <w:t>and</w:t>
      </w:r>
      <w:r>
        <w:rPr>
          <w:spacing w:val="76"/>
          <w:w w:val="150"/>
        </w:rPr>
        <w:t> </w:t>
      </w:r>
      <w:r>
        <w:rPr>
          <w:spacing w:val="-2"/>
          <w:w w:val="105"/>
        </w:rPr>
        <w:t>Power</w:t>
      </w:r>
    </w:p>
    <w:p>
      <w:pPr>
        <w:pStyle w:val="BodyText"/>
        <w:spacing w:line="249" w:lineRule="auto" w:before="72"/>
        <w:ind w:right="1437" w:firstLine="432"/>
        <w:jc w:val="both"/>
      </w:pPr>
      <w:r>
        <w:rPr/>
        <w:t>Power operates differently for male and female characters in Shakespeare’s works. Male ambition is often celebrated, while female ambition is condemned. This double standard reflects broader societal attitudes</w:t>
      </w:r>
      <w:r>
        <w:rPr>
          <w:spacing w:val="40"/>
        </w:rPr>
        <w:t> </w:t>
      </w:r>
      <w:r>
        <w:rPr/>
        <w:t>toward</w:t>
      </w:r>
      <w:r>
        <w:rPr>
          <w:spacing w:val="40"/>
        </w:rPr>
        <w:t> </w:t>
      </w:r>
      <w:r>
        <w:rPr/>
        <w:t>gender.</w:t>
      </w:r>
    </w:p>
    <w:p>
      <w:pPr>
        <w:pStyle w:val="BodyText"/>
        <w:spacing w:line="312" w:lineRule="auto" w:before="61"/>
        <w:ind w:left="1872" w:right="1805"/>
      </w:pPr>
      <w:r>
        <w:rPr/>
        <w:t>Shakespeare’s</w:t>
      </w:r>
      <w:r>
        <w:rPr>
          <w:spacing w:val="19"/>
        </w:rPr>
        <w:t> </w:t>
      </w:r>
      <w:r>
        <w:rPr/>
        <w:t>“bad</w:t>
      </w:r>
      <w:r>
        <w:rPr>
          <w:spacing w:val="19"/>
        </w:rPr>
        <w:t> </w:t>
      </w:r>
      <w:r>
        <w:rPr/>
        <w:t>women”</w:t>
      </w:r>
      <w:r>
        <w:rPr>
          <w:spacing w:val="19"/>
        </w:rPr>
        <w:t> </w:t>
      </w:r>
      <w:r>
        <w:rPr/>
        <w:t>expose</w:t>
      </w:r>
      <w:r>
        <w:rPr>
          <w:spacing w:val="20"/>
        </w:rPr>
        <w:t> </w:t>
      </w:r>
      <w:r>
        <w:rPr/>
        <w:t>these</w:t>
      </w:r>
      <w:r>
        <w:rPr>
          <w:spacing w:val="17"/>
        </w:rPr>
        <w:t> </w:t>
      </w:r>
      <w:r>
        <w:rPr/>
        <w:t>inequalities</w:t>
      </w:r>
      <w:r>
        <w:rPr>
          <w:spacing w:val="19"/>
        </w:rPr>
        <w:t> </w:t>
      </w:r>
      <w:r>
        <w:rPr/>
        <w:t>by: Demonstrating the limitations imposed on women Challenging</w:t>
      </w:r>
      <w:r>
        <w:rPr>
          <w:spacing w:val="40"/>
        </w:rPr>
        <w:t> </w:t>
      </w:r>
      <w:r>
        <w:rPr/>
        <w:t>traditional</w:t>
      </w:r>
      <w:r>
        <w:rPr>
          <w:spacing w:val="40"/>
        </w:rPr>
        <w:t> </w:t>
      </w:r>
      <w:r>
        <w:rPr/>
        <w:t>power</w:t>
      </w:r>
      <w:r>
        <w:rPr>
          <w:spacing w:val="40"/>
        </w:rPr>
        <w:t> </w:t>
      </w:r>
      <w:r>
        <w:rPr/>
        <w:t>structures</w:t>
      </w:r>
    </w:p>
    <w:p>
      <w:pPr>
        <w:pStyle w:val="BodyText"/>
        <w:spacing w:line="228" w:lineRule="exact"/>
        <w:ind w:left="1872"/>
      </w:pPr>
      <w:r>
        <w:rPr/>
        <w:t>Revealing</w:t>
      </w:r>
      <w:r>
        <w:rPr>
          <w:spacing w:val="18"/>
        </w:rPr>
        <w:t> </w:t>
      </w:r>
      <w:r>
        <w:rPr/>
        <w:t>the</w:t>
      </w:r>
      <w:r>
        <w:rPr>
          <w:spacing w:val="19"/>
        </w:rPr>
        <w:t> </w:t>
      </w:r>
      <w:r>
        <w:rPr/>
        <w:t>instability</w:t>
      </w:r>
      <w:r>
        <w:rPr>
          <w:spacing w:val="19"/>
        </w:rPr>
        <w:t> </w:t>
      </w:r>
      <w:r>
        <w:rPr/>
        <w:t>of</w:t>
      </w:r>
      <w:r>
        <w:rPr>
          <w:spacing w:val="18"/>
        </w:rPr>
        <w:t> </w:t>
      </w:r>
      <w:r>
        <w:rPr/>
        <w:t>patriarchal</w:t>
      </w:r>
      <w:r>
        <w:rPr>
          <w:spacing w:val="21"/>
        </w:rPr>
        <w:t> </w:t>
      </w:r>
      <w:r>
        <w:rPr>
          <w:spacing w:val="-2"/>
        </w:rPr>
        <w:t>authority</w:t>
      </w:r>
    </w:p>
    <w:p>
      <w:pPr>
        <w:pStyle w:val="BodyText"/>
        <w:spacing w:line="249" w:lineRule="auto" w:before="67"/>
        <w:ind w:right="1437" w:firstLine="432"/>
      </w:pPr>
      <w:r>
        <w:rPr/>
        <w:t>Their actions highlight the tension between individual desire and societal</w:t>
      </w:r>
      <w:r>
        <w:rPr>
          <w:spacing w:val="40"/>
        </w:rPr>
        <w:t> </w:t>
      </w:r>
      <w:r>
        <w:rPr/>
        <w:t>expectations.</w:t>
      </w:r>
    </w:p>
    <w:p>
      <w:pPr>
        <w:pStyle w:val="Heading5"/>
        <w:spacing w:before="109"/>
      </w:pPr>
      <w:r>
        <w:rPr>
          <w:w w:val="110"/>
        </w:rPr>
        <w:t>Contemporary</w:t>
      </w:r>
      <w:r>
        <w:rPr>
          <w:spacing w:val="25"/>
          <w:w w:val="110"/>
        </w:rPr>
        <w:t>  </w:t>
      </w:r>
      <w:r>
        <w:rPr>
          <w:spacing w:val="-2"/>
          <w:w w:val="110"/>
        </w:rPr>
        <w:t>Relevance</w:t>
      </w:r>
    </w:p>
    <w:p>
      <w:pPr>
        <w:pStyle w:val="BodyText"/>
        <w:spacing w:line="249" w:lineRule="auto" w:before="72"/>
        <w:ind w:right="1437" w:firstLine="432"/>
        <w:jc w:val="both"/>
      </w:pPr>
      <w:r>
        <w:rPr>
          <w:spacing w:val="-2"/>
        </w:rPr>
        <w:t>In</w:t>
      </w:r>
      <w:r>
        <w:rPr>
          <w:spacing w:val="-6"/>
        </w:rPr>
        <w:t> </w:t>
      </w:r>
      <w:r>
        <w:rPr>
          <w:spacing w:val="-2"/>
        </w:rPr>
        <w:t>the</w:t>
      </w:r>
      <w:r>
        <w:rPr>
          <w:spacing w:val="-6"/>
        </w:rPr>
        <w:t> </w:t>
      </w:r>
      <w:r>
        <w:rPr>
          <w:spacing w:val="-2"/>
        </w:rPr>
        <w:t>modern</w:t>
      </w:r>
      <w:r>
        <w:rPr>
          <w:spacing w:val="-6"/>
        </w:rPr>
        <w:t> </w:t>
      </w:r>
      <w:r>
        <w:rPr>
          <w:spacing w:val="-2"/>
        </w:rPr>
        <w:t>era,</w:t>
      </w:r>
      <w:r>
        <w:rPr>
          <w:spacing w:val="-8"/>
        </w:rPr>
        <w:t> </w:t>
      </w:r>
      <w:r>
        <w:rPr>
          <w:spacing w:val="-2"/>
        </w:rPr>
        <w:t>particularly</w:t>
      </w:r>
      <w:r>
        <w:rPr>
          <w:spacing w:val="-8"/>
        </w:rPr>
        <w:t> </w:t>
      </w:r>
      <w:r>
        <w:rPr>
          <w:spacing w:val="-2"/>
        </w:rPr>
        <w:t>in</w:t>
      </w:r>
      <w:r>
        <w:rPr>
          <w:spacing w:val="-6"/>
        </w:rPr>
        <w:t> </w:t>
      </w:r>
      <w:r>
        <w:rPr>
          <w:spacing w:val="-2"/>
        </w:rPr>
        <w:t>the</w:t>
      </w:r>
      <w:r>
        <w:rPr>
          <w:spacing w:val="-8"/>
        </w:rPr>
        <w:t> </w:t>
      </w:r>
      <w:r>
        <w:rPr>
          <w:spacing w:val="-2"/>
        </w:rPr>
        <w:t>context</w:t>
      </w:r>
      <w:r>
        <w:rPr>
          <w:spacing w:val="-4"/>
        </w:rPr>
        <w:t> </w:t>
      </w:r>
      <w:r>
        <w:rPr>
          <w:spacing w:val="-2"/>
        </w:rPr>
        <w:t>of</w:t>
      </w:r>
      <w:r>
        <w:rPr>
          <w:spacing w:val="-11"/>
        </w:rPr>
        <w:t> </w:t>
      </w:r>
      <w:r>
        <w:rPr>
          <w:spacing w:val="-2"/>
        </w:rPr>
        <w:t>feminist</w:t>
      </w:r>
      <w:r>
        <w:rPr>
          <w:spacing w:val="-5"/>
        </w:rPr>
        <w:t> </w:t>
      </w:r>
      <w:r>
        <w:rPr>
          <w:spacing w:val="-2"/>
        </w:rPr>
        <w:t>movements such</w:t>
      </w:r>
      <w:r>
        <w:rPr>
          <w:spacing w:val="-11"/>
        </w:rPr>
        <w:t> </w:t>
      </w:r>
      <w:r>
        <w:rPr>
          <w:spacing w:val="-2"/>
        </w:rPr>
        <w:t>as</w:t>
      </w:r>
      <w:r>
        <w:rPr>
          <w:spacing w:val="-10"/>
        </w:rPr>
        <w:t> </w:t>
      </w:r>
      <w:r>
        <w:rPr>
          <w:spacing w:val="-2"/>
        </w:rPr>
        <w:t>#Me</w:t>
      </w:r>
      <w:r>
        <w:rPr>
          <w:spacing w:val="-11"/>
        </w:rPr>
        <w:t> </w:t>
      </w:r>
      <w:r>
        <w:rPr>
          <w:spacing w:val="-2"/>
        </w:rPr>
        <w:t>Too,</w:t>
      </w:r>
      <w:r>
        <w:rPr>
          <w:spacing w:val="-10"/>
        </w:rPr>
        <w:t> </w:t>
      </w:r>
      <w:r>
        <w:rPr>
          <w:spacing w:val="-2"/>
        </w:rPr>
        <w:t>Shakespeare’s</w:t>
      </w:r>
      <w:r>
        <w:rPr>
          <w:spacing w:val="-11"/>
        </w:rPr>
        <w:t> </w:t>
      </w:r>
      <w:r>
        <w:rPr>
          <w:spacing w:val="-2"/>
        </w:rPr>
        <w:t>“bad</w:t>
      </w:r>
      <w:r>
        <w:rPr>
          <w:spacing w:val="-10"/>
        </w:rPr>
        <w:t> </w:t>
      </w:r>
      <w:r>
        <w:rPr>
          <w:spacing w:val="-2"/>
        </w:rPr>
        <w:t>women”</w:t>
      </w:r>
      <w:r>
        <w:rPr>
          <w:spacing w:val="-11"/>
        </w:rPr>
        <w:t> </w:t>
      </w:r>
      <w:r>
        <w:rPr>
          <w:spacing w:val="-2"/>
        </w:rPr>
        <w:t>gain</w:t>
      </w:r>
      <w:r>
        <w:rPr>
          <w:spacing w:val="-10"/>
        </w:rPr>
        <w:t> </w:t>
      </w:r>
      <w:r>
        <w:rPr>
          <w:spacing w:val="-2"/>
        </w:rPr>
        <w:t>renewed</w:t>
      </w:r>
      <w:r>
        <w:rPr>
          <w:spacing w:val="-11"/>
        </w:rPr>
        <w:t> </w:t>
      </w:r>
      <w:r>
        <w:rPr>
          <w:spacing w:val="-2"/>
        </w:rPr>
        <w:t>significance. Their</w:t>
      </w:r>
      <w:r>
        <w:rPr>
          <w:spacing w:val="-11"/>
        </w:rPr>
        <w:t> </w:t>
      </w:r>
      <w:r>
        <w:rPr>
          <w:spacing w:val="-2"/>
        </w:rPr>
        <w:t>struggles</w:t>
      </w:r>
      <w:r>
        <w:rPr>
          <w:spacing w:val="-10"/>
        </w:rPr>
        <w:t> </w:t>
      </w:r>
      <w:r>
        <w:rPr>
          <w:spacing w:val="-2"/>
        </w:rPr>
        <w:t>for</w:t>
      </w:r>
      <w:r>
        <w:rPr>
          <w:spacing w:val="-9"/>
        </w:rPr>
        <w:t> </w:t>
      </w:r>
      <w:r>
        <w:rPr>
          <w:spacing w:val="-2"/>
        </w:rPr>
        <w:t>autonomy</w:t>
      </w:r>
      <w:r>
        <w:rPr>
          <w:spacing w:val="-11"/>
        </w:rPr>
        <w:t> </w:t>
      </w:r>
      <w:r>
        <w:rPr>
          <w:spacing w:val="-2"/>
        </w:rPr>
        <w:t>and</w:t>
      </w:r>
      <w:r>
        <w:rPr>
          <w:spacing w:val="-6"/>
        </w:rPr>
        <w:t> </w:t>
      </w:r>
      <w:r>
        <w:rPr>
          <w:spacing w:val="-2"/>
        </w:rPr>
        <w:t>recognition</w:t>
      </w:r>
      <w:r>
        <w:rPr>
          <w:spacing w:val="-11"/>
        </w:rPr>
        <w:t> </w:t>
      </w:r>
      <w:r>
        <w:rPr>
          <w:spacing w:val="-2"/>
        </w:rPr>
        <w:t>resonate</w:t>
      </w:r>
      <w:r>
        <w:rPr>
          <w:spacing w:val="-6"/>
        </w:rPr>
        <w:t> </w:t>
      </w:r>
      <w:r>
        <w:rPr>
          <w:spacing w:val="-2"/>
        </w:rPr>
        <w:t>with</w:t>
      </w:r>
      <w:r>
        <w:rPr>
          <w:spacing w:val="-9"/>
        </w:rPr>
        <w:t> </w:t>
      </w:r>
      <w:r>
        <w:rPr>
          <w:spacing w:val="-2"/>
        </w:rPr>
        <w:t>contemporary </w:t>
      </w:r>
      <w:r>
        <w:rPr/>
        <w:t>debates</w:t>
      </w:r>
      <w:r>
        <w:rPr>
          <w:spacing w:val="40"/>
        </w:rPr>
        <w:t> </w:t>
      </w:r>
      <w:r>
        <w:rPr/>
        <w:t>about</w:t>
      </w:r>
      <w:r>
        <w:rPr>
          <w:spacing w:val="40"/>
        </w:rPr>
        <w:t> </w:t>
      </w:r>
      <w:r>
        <w:rPr/>
        <w:t>gender</w:t>
      </w:r>
      <w:r>
        <w:rPr>
          <w:spacing w:val="40"/>
        </w:rPr>
        <w:t> </w:t>
      </w:r>
      <w:r>
        <w:rPr/>
        <w:t>equality.</w:t>
      </w:r>
    </w:p>
    <w:p>
      <w:pPr>
        <w:pStyle w:val="Heading5"/>
        <w:spacing w:before="110"/>
      </w:pPr>
      <w:r>
        <w:rPr>
          <w:w w:val="105"/>
        </w:rPr>
        <w:t>These</w:t>
      </w:r>
      <w:r>
        <w:rPr>
          <w:spacing w:val="64"/>
          <w:w w:val="150"/>
        </w:rPr>
        <w:t> </w:t>
      </w:r>
      <w:r>
        <w:rPr>
          <w:spacing w:val="-2"/>
          <w:w w:val="105"/>
        </w:rPr>
        <w:t>characters:</w:t>
      </w:r>
    </w:p>
    <w:p>
      <w:pPr>
        <w:pStyle w:val="BodyText"/>
        <w:spacing w:line="309" w:lineRule="auto" w:before="72"/>
        <w:ind w:left="1872" w:right="1437"/>
      </w:pPr>
      <w:r>
        <w:rPr/>
        <w:t>Reflect</w:t>
      </w:r>
      <w:r>
        <w:rPr>
          <w:spacing w:val="-9"/>
        </w:rPr>
        <w:t> </w:t>
      </w:r>
      <w:r>
        <w:rPr/>
        <w:t>on-going</w:t>
      </w:r>
      <w:r>
        <w:rPr>
          <w:spacing w:val="-9"/>
        </w:rPr>
        <w:t> </w:t>
      </w:r>
      <w:r>
        <w:rPr/>
        <w:t>challenges</w:t>
      </w:r>
      <w:r>
        <w:rPr>
          <w:spacing w:val="-7"/>
        </w:rPr>
        <w:t> </w:t>
      </w:r>
      <w:r>
        <w:rPr/>
        <w:t>faced</w:t>
      </w:r>
      <w:r>
        <w:rPr>
          <w:spacing w:val="-7"/>
        </w:rPr>
        <w:t> </w:t>
      </w:r>
      <w:r>
        <w:rPr/>
        <w:t>by</w:t>
      </w:r>
      <w:r>
        <w:rPr>
          <w:spacing w:val="-12"/>
        </w:rPr>
        <w:t> </w:t>
      </w:r>
      <w:r>
        <w:rPr/>
        <w:t>women</w:t>
      </w:r>
      <w:r>
        <w:rPr>
          <w:spacing w:val="-10"/>
        </w:rPr>
        <w:t> </w:t>
      </w:r>
      <w:r>
        <w:rPr/>
        <w:t>in</w:t>
      </w:r>
      <w:r>
        <w:rPr>
          <w:spacing w:val="-7"/>
        </w:rPr>
        <w:t> </w:t>
      </w:r>
      <w:r>
        <w:rPr/>
        <w:t>positions</w:t>
      </w:r>
      <w:r>
        <w:rPr>
          <w:spacing w:val="-9"/>
        </w:rPr>
        <w:t> </w:t>
      </w:r>
      <w:r>
        <w:rPr/>
        <w:t>of</w:t>
      </w:r>
      <w:r>
        <w:rPr>
          <w:spacing w:val="-9"/>
        </w:rPr>
        <w:t> </w:t>
      </w:r>
      <w:r>
        <w:rPr/>
        <w:t>power Inspire reinterpretations of female</w:t>
      </w:r>
      <w:r>
        <w:rPr>
          <w:spacing w:val="40"/>
        </w:rPr>
        <w:t> </w:t>
      </w:r>
      <w:r>
        <w:rPr/>
        <w:t>agency</w:t>
      </w:r>
    </w:p>
    <w:p>
      <w:pPr>
        <w:pStyle w:val="BodyText"/>
        <w:spacing w:line="309" w:lineRule="auto" w:before="4"/>
        <w:ind w:left="1872" w:right="1437"/>
      </w:pPr>
      <w:r>
        <w:rPr/>
        <w:t>Encourage</w:t>
      </w:r>
      <w:r>
        <w:rPr>
          <w:spacing w:val="40"/>
        </w:rPr>
        <w:t> </w:t>
      </w:r>
      <w:r>
        <w:rPr/>
        <w:t>critical</w:t>
      </w:r>
      <w:r>
        <w:rPr>
          <w:spacing w:val="40"/>
        </w:rPr>
        <w:t> </w:t>
      </w:r>
      <w:r>
        <w:rPr/>
        <w:t>engagement</w:t>
      </w:r>
      <w:r>
        <w:rPr>
          <w:spacing w:val="40"/>
        </w:rPr>
        <w:t> </w:t>
      </w:r>
      <w:r>
        <w:rPr/>
        <w:t>with</w:t>
      </w:r>
      <w:r>
        <w:rPr>
          <w:spacing w:val="40"/>
        </w:rPr>
        <w:t> </w:t>
      </w:r>
      <w:r>
        <w:rPr/>
        <w:t>cultural</w:t>
      </w:r>
      <w:r>
        <w:rPr>
          <w:spacing w:val="40"/>
        </w:rPr>
        <w:t> </w:t>
      </w:r>
      <w:r>
        <w:rPr/>
        <w:t>narratives</w:t>
      </w:r>
      <w:r>
        <w:rPr/>
        <w:t> Revisiting these figures allows for a deeper understanding of how</w:t>
      </w:r>
    </w:p>
    <w:p>
      <w:pPr>
        <w:pStyle w:val="BodyText"/>
        <w:spacing w:line="174" w:lineRule="exact"/>
      </w:pPr>
      <w:r>
        <w:rPr/>
        <w:t>gendered</w:t>
      </w:r>
      <w:r>
        <w:rPr>
          <w:spacing w:val="37"/>
        </w:rPr>
        <w:t> </w:t>
      </w:r>
      <w:r>
        <w:rPr/>
        <w:t>assumptions</w:t>
      </w:r>
      <w:r>
        <w:rPr>
          <w:spacing w:val="34"/>
        </w:rPr>
        <w:t> </w:t>
      </w:r>
      <w:r>
        <w:rPr/>
        <w:t>continue</w:t>
      </w:r>
      <w:r>
        <w:rPr>
          <w:spacing w:val="37"/>
        </w:rPr>
        <w:t> </w:t>
      </w:r>
      <w:r>
        <w:rPr/>
        <w:t>to</w:t>
      </w:r>
      <w:r>
        <w:rPr>
          <w:spacing w:val="37"/>
        </w:rPr>
        <w:t> </w:t>
      </w:r>
      <w:r>
        <w:rPr/>
        <w:t>shape</w:t>
      </w:r>
      <w:r>
        <w:rPr>
          <w:spacing w:val="36"/>
        </w:rPr>
        <w:t> </w:t>
      </w:r>
      <w:r>
        <w:rPr/>
        <w:t>perceptions</w:t>
      </w:r>
      <w:r>
        <w:rPr>
          <w:spacing w:val="32"/>
        </w:rPr>
        <w:t> </w:t>
      </w:r>
      <w:r>
        <w:rPr/>
        <w:t>of</w:t>
      </w:r>
      <w:r>
        <w:rPr>
          <w:spacing w:val="33"/>
        </w:rPr>
        <w:t> </w:t>
      </w:r>
      <w:r>
        <w:rPr>
          <w:spacing w:val="-2"/>
        </w:rPr>
        <w:t>women.</w:t>
      </w:r>
    </w:p>
    <w:p>
      <w:pPr>
        <w:pStyle w:val="Heading3"/>
        <w:spacing w:before="164"/>
      </w:pPr>
      <w:r>
        <w:rPr>
          <w:spacing w:val="-2"/>
        </w:rPr>
        <w:t>CONCLUSION</w:t>
      </w:r>
    </w:p>
    <w:p>
      <w:pPr>
        <w:pStyle w:val="BodyText"/>
        <w:spacing w:line="249" w:lineRule="auto" w:before="75"/>
        <w:ind w:right="1441" w:firstLine="432"/>
        <w:jc w:val="both"/>
      </w:pPr>
      <w:r>
        <w:rPr/>
        <w:t>A feminist re-evaluation of Shakespeare’s “bad women” reveals that their perceived immorality is often a reflection of patriarchal bias rather than inherent vice. Characters such as Lady Macbeth, Goneril, Regan, and Cleopatra challenge traditional gender roles and assert their agency in complex ways.</w:t>
      </w:r>
    </w:p>
    <w:p>
      <w:pPr>
        <w:pStyle w:val="BodyText"/>
        <w:spacing w:line="249" w:lineRule="auto" w:before="62"/>
        <w:ind w:right="1440" w:firstLine="432"/>
        <w:jc w:val="both"/>
      </w:pPr>
      <w:r>
        <w:rPr>
          <w:spacing w:val="-2"/>
        </w:rPr>
        <w:t>By</w:t>
      </w:r>
      <w:r>
        <w:rPr>
          <w:spacing w:val="-11"/>
        </w:rPr>
        <w:t> </w:t>
      </w:r>
      <w:r>
        <w:rPr>
          <w:spacing w:val="-2"/>
        </w:rPr>
        <w:t>moving</w:t>
      </w:r>
      <w:r>
        <w:rPr>
          <w:spacing w:val="-10"/>
        </w:rPr>
        <w:t> </w:t>
      </w:r>
      <w:r>
        <w:rPr>
          <w:spacing w:val="-2"/>
        </w:rPr>
        <w:t>beyond</w:t>
      </w:r>
      <w:r>
        <w:rPr>
          <w:spacing w:val="-11"/>
        </w:rPr>
        <w:t> </w:t>
      </w:r>
      <w:r>
        <w:rPr>
          <w:spacing w:val="-2"/>
        </w:rPr>
        <w:t>simplistic</w:t>
      </w:r>
      <w:r>
        <w:rPr>
          <w:spacing w:val="-10"/>
        </w:rPr>
        <w:t> </w:t>
      </w:r>
      <w:r>
        <w:rPr>
          <w:spacing w:val="-2"/>
        </w:rPr>
        <w:t>moral</w:t>
      </w:r>
      <w:r>
        <w:rPr>
          <w:spacing w:val="-11"/>
        </w:rPr>
        <w:t> </w:t>
      </w:r>
      <w:r>
        <w:rPr>
          <w:spacing w:val="-2"/>
        </w:rPr>
        <w:t>judgments,</w:t>
      </w:r>
      <w:r>
        <w:rPr>
          <w:spacing w:val="-10"/>
        </w:rPr>
        <w:t> </w:t>
      </w:r>
      <w:r>
        <w:rPr>
          <w:spacing w:val="-2"/>
        </w:rPr>
        <w:t>this</w:t>
      </w:r>
      <w:r>
        <w:rPr>
          <w:spacing w:val="-11"/>
        </w:rPr>
        <w:t> </w:t>
      </w:r>
      <w:r>
        <w:rPr>
          <w:spacing w:val="-2"/>
        </w:rPr>
        <w:t>paper</w:t>
      </w:r>
      <w:r>
        <w:rPr>
          <w:spacing w:val="-10"/>
        </w:rPr>
        <w:t> </w:t>
      </w:r>
      <w:r>
        <w:rPr>
          <w:spacing w:val="-2"/>
        </w:rPr>
        <w:t>highlights </w:t>
      </w:r>
      <w:r>
        <w:rPr/>
        <w:t>the richness and complexity of Shakespeare’s female characters. These women are not merely villains but powerful figures who disrupt established</w:t>
      </w:r>
      <w:r>
        <w:rPr>
          <w:spacing w:val="40"/>
        </w:rPr>
        <w:t> </w:t>
      </w:r>
      <w:r>
        <w:rPr/>
        <w:t>norms</w:t>
      </w:r>
      <w:r>
        <w:rPr>
          <w:spacing w:val="40"/>
        </w:rPr>
        <w:t> </w:t>
      </w:r>
      <w:r>
        <w:rPr/>
        <w:t>and</w:t>
      </w:r>
      <w:r>
        <w:rPr>
          <w:spacing w:val="40"/>
        </w:rPr>
        <w:t> </w:t>
      </w:r>
      <w:r>
        <w:rPr/>
        <w:t>challenge</w:t>
      </w:r>
      <w:r>
        <w:rPr>
          <w:spacing w:val="40"/>
        </w:rPr>
        <w:t> </w:t>
      </w:r>
      <w:r>
        <w:rPr/>
        <w:t>patriarchal</w:t>
      </w:r>
      <w:r>
        <w:rPr>
          <w:spacing w:val="40"/>
        </w:rPr>
        <w:t> </w:t>
      </w:r>
      <w:r>
        <w:rPr/>
        <w:t>authority.</w:t>
      </w:r>
    </w:p>
    <w:p>
      <w:pPr>
        <w:pStyle w:val="BodyText"/>
        <w:spacing w:line="249" w:lineRule="auto" w:before="61"/>
        <w:ind w:right="1440" w:firstLine="432"/>
        <w:jc w:val="both"/>
      </w:pPr>
      <w:r>
        <w:rPr/>
        <w:t>Such reinterpretations not only enrich Shakespearean scholarship but also contribute to broader discussions on gender, power, and representation</w:t>
      </w:r>
      <w:r>
        <w:rPr>
          <w:spacing w:val="40"/>
        </w:rPr>
        <w:t> </w:t>
      </w:r>
      <w:r>
        <w:rPr/>
        <w:t>in</w:t>
      </w:r>
      <w:r>
        <w:rPr>
          <w:spacing w:val="40"/>
        </w:rPr>
        <w:t> </w:t>
      </w:r>
      <w:r>
        <w:rPr/>
        <w:t>literature</w:t>
      </w:r>
      <w:r>
        <w:rPr>
          <w:spacing w:val="40"/>
        </w:rPr>
        <w:t> </w:t>
      </w:r>
      <w:r>
        <w:rPr/>
        <w:t>and</w:t>
      </w:r>
      <w:r>
        <w:rPr>
          <w:spacing w:val="40"/>
        </w:rPr>
        <w:t> </w:t>
      </w:r>
      <w:r>
        <w:rPr/>
        <w:t>society.</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24224">
                <wp:simplePos x="0" y="0"/>
                <wp:positionH relativeFrom="page">
                  <wp:posOffset>2057400</wp:posOffset>
                </wp:positionH>
                <wp:positionV relativeFrom="paragraph">
                  <wp:posOffset>162604</wp:posOffset>
                </wp:positionV>
                <wp:extent cx="3657600" cy="12700"/>
                <wp:effectExtent l="0" t="0" r="0" b="0"/>
                <wp:wrapTopAndBottom/>
                <wp:docPr id="885" name="Graphic 885"/>
                <wp:cNvGraphicFramePr>
                  <a:graphicFrameLocks/>
                </wp:cNvGraphicFramePr>
                <a:graphic>
                  <a:graphicData uri="http://schemas.microsoft.com/office/word/2010/wordprocessingShape">
                    <wps:wsp>
                      <wps:cNvPr id="885" name="Graphic 88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92256;mso-wrap-distance-left:0;mso-wrap-distance-right:0" id="docshape877" filled="true" fillcolor="#000000" stroked="false">
                <v:fill type="solid"/>
                <w10:wrap type="topAndBottom"/>
              </v:rect>
            </w:pict>
          </mc:Fallback>
        </mc:AlternateContent>
      </w:r>
      <w:r>
        <w:rPr>
          <w:rFonts w:ascii="Verdana"/>
          <w:spacing w:val="-5"/>
          <w:sz w:val="18"/>
        </w:rPr>
        <w:t>468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Heading3"/>
      </w:pPr>
      <w:r>
        <w:rPr>
          <w:w w:val="90"/>
        </w:rPr>
        <w:t>REFERENCES</w:t>
      </w:r>
      <w:r>
        <w:rPr>
          <w:spacing w:val="-4"/>
          <w:w w:val="90"/>
        </w:rPr>
        <w:t> </w:t>
      </w:r>
      <w:r>
        <w:rPr>
          <w:w w:val="90"/>
        </w:rPr>
        <w:t>(APA</w:t>
      </w:r>
      <w:r>
        <w:rPr>
          <w:spacing w:val="-4"/>
          <w:w w:val="90"/>
        </w:rPr>
        <w:t> </w:t>
      </w:r>
      <w:r>
        <w:rPr>
          <w:w w:val="90"/>
        </w:rPr>
        <w:t>7TH</w:t>
      </w:r>
      <w:r>
        <w:rPr>
          <w:spacing w:val="-3"/>
          <w:w w:val="90"/>
        </w:rPr>
        <w:t> </w:t>
      </w:r>
      <w:r>
        <w:rPr>
          <w:spacing w:val="-2"/>
          <w:w w:val="90"/>
        </w:rPr>
        <w:t>EDITION)</w:t>
      </w:r>
    </w:p>
    <w:p>
      <w:pPr>
        <w:pStyle w:val="ListParagraph"/>
        <w:numPr>
          <w:ilvl w:val="0"/>
          <w:numId w:val="96"/>
        </w:numPr>
        <w:tabs>
          <w:tab w:pos="2157" w:val="left" w:leader="none"/>
          <w:tab w:pos="2160" w:val="left" w:leader="none"/>
        </w:tabs>
        <w:spacing w:line="261" w:lineRule="auto" w:before="82" w:after="0"/>
        <w:ind w:left="2160" w:right="1444" w:hanging="315"/>
        <w:jc w:val="left"/>
        <w:rPr>
          <w:sz w:val="19"/>
        </w:rPr>
      </w:pPr>
      <w:r>
        <w:rPr>
          <w:sz w:val="19"/>
        </w:rPr>
        <w:t>Butler,</w:t>
      </w:r>
      <w:r>
        <w:rPr>
          <w:spacing w:val="22"/>
          <w:sz w:val="19"/>
        </w:rPr>
        <w:t> </w:t>
      </w:r>
      <w:r>
        <w:rPr>
          <w:sz w:val="19"/>
        </w:rPr>
        <w:t>J.</w:t>
      </w:r>
      <w:r>
        <w:rPr>
          <w:spacing w:val="24"/>
          <w:sz w:val="19"/>
        </w:rPr>
        <w:t> </w:t>
      </w:r>
      <w:r>
        <w:rPr>
          <w:sz w:val="19"/>
        </w:rPr>
        <w:t>(1990). Gender</w:t>
      </w:r>
      <w:r>
        <w:rPr>
          <w:spacing w:val="22"/>
          <w:sz w:val="19"/>
        </w:rPr>
        <w:t> </w:t>
      </w:r>
      <w:r>
        <w:rPr>
          <w:sz w:val="19"/>
        </w:rPr>
        <w:t>trouble: Feminism</w:t>
      </w:r>
      <w:r>
        <w:rPr>
          <w:spacing w:val="22"/>
          <w:sz w:val="19"/>
        </w:rPr>
        <w:t> </w:t>
      </w:r>
      <w:r>
        <w:rPr>
          <w:sz w:val="19"/>
        </w:rPr>
        <w:t>and the</w:t>
      </w:r>
      <w:r>
        <w:rPr>
          <w:spacing w:val="23"/>
          <w:sz w:val="19"/>
        </w:rPr>
        <w:t> </w:t>
      </w:r>
      <w:r>
        <w:rPr>
          <w:sz w:val="19"/>
        </w:rPr>
        <w:t>subversion of</w:t>
      </w:r>
      <w:r>
        <w:rPr>
          <w:spacing w:val="40"/>
          <w:sz w:val="19"/>
        </w:rPr>
        <w:t> </w:t>
      </w:r>
      <w:r>
        <w:rPr>
          <w:sz w:val="19"/>
        </w:rPr>
        <w:t>identity.</w:t>
      </w:r>
      <w:r>
        <w:rPr>
          <w:spacing w:val="40"/>
          <w:sz w:val="19"/>
        </w:rPr>
        <w:t> </w:t>
      </w:r>
      <w:r>
        <w:rPr>
          <w:sz w:val="19"/>
        </w:rPr>
        <w:t>Routledge.</w:t>
      </w:r>
    </w:p>
    <w:p>
      <w:pPr>
        <w:pStyle w:val="ListParagraph"/>
        <w:numPr>
          <w:ilvl w:val="0"/>
          <w:numId w:val="96"/>
        </w:numPr>
        <w:tabs>
          <w:tab w:pos="2157" w:val="left" w:leader="none"/>
        </w:tabs>
        <w:spacing w:line="240" w:lineRule="auto" w:before="59" w:after="0"/>
        <w:ind w:left="2157" w:right="0" w:hanging="312"/>
        <w:jc w:val="left"/>
        <w:rPr>
          <w:sz w:val="19"/>
        </w:rPr>
      </w:pPr>
      <w:r>
        <w:rPr>
          <w:sz w:val="19"/>
        </w:rPr>
        <w:t>Beauvoir,</w:t>
      </w:r>
      <w:r>
        <w:rPr>
          <w:spacing w:val="34"/>
          <w:sz w:val="19"/>
        </w:rPr>
        <w:t> </w:t>
      </w:r>
      <w:r>
        <w:rPr>
          <w:sz w:val="19"/>
        </w:rPr>
        <w:t>S.</w:t>
      </w:r>
      <w:r>
        <w:rPr>
          <w:spacing w:val="34"/>
          <w:sz w:val="19"/>
        </w:rPr>
        <w:t> </w:t>
      </w:r>
      <w:r>
        <w:rPr>
          <w:sz w:val="19"/>
        </w:rPr>
        <w:t>de.</w:t>
      </w:r>
      <w:r>
        <w:rPr>
          <w:spacing w:val="35"/>
          <w:sz w:val="19"/>
        </w:rPr>
        <w:t> </w:t>
      </w:r>
      <w:r>
        <w:rPr>
          <w:sz w:val="19"/>
        </w:rPr>
        <w:t>(1949).</w:t>
      </w:r>
      <w:r>
        <w:rPr>
          <w:spacing w:val="30"/>
          <w:sz w:val="19"/>
        </w:rPr>
        <w:t> </w:t>
      </w:r>
      <w:r>
        <w:rPr>
          <w:sz w:val="19"/>
        </w:rPr>
        <w:t>the</w:t>
      </w:r>
      <w:r>
        <w:rPr>
          <w:spacing w:val="34"/>
          <w:sz w:val="19"/>
        </w:rPr>
        <w:t> </w:t>
      </w:r>
      <w:r>
        <w:rPr>
          <w:sz w:val="19"/>
        </w:rPr>
        <w:t>second</w:t>
      </w:r>
      <w:r>
        <w:rPr>
          <w:spacing w:val="36"/>
          <w:sz w:val="19"/>
        </w:rPr>
        <w:t> </w:t>
      </w:r>
      <w:r>
        <w:rPr>
          <w:sz w:val="19"/>
        </w:rPr>
        <w:t>sex.</w:t>
      </w:r>
      <w:r>
        <w:rPr>
          <w:spacing w:val="32"/>
          <w:sz w:val="19"/>
        </w:rPr>
        <w:t> </w:t>
      </w:r>
      <w:r>
        <w:rPr>
          <w:spacing w:val="-2"/>
          <w:sz w:val="19"/>
        </w:rPr>
        <w:t>Vintage.</w:t>
      </w:r>
    </w:p>
    <w:p>
      <w:pPr>
        <w:pStyle w:val="ListParagraph"/>
        <w:numPr>
          <w:ilvl w:val="0"/>
          <w:numId w:val="96"/>
        </w:numPr>
        <w:tabs>
          <w:tab w:pos="2157" w:val="left" w:leader="none"/>
          <w:tab w:pos="2160" w:val="left" w:leader="none"/>
        </w:tabs>
        <w:spacing w:line="261" w:lineRule="auto" w:before="77" w:after="0"/>
        <w:ind w:left="2160" w:right="1443" w:hanging="315"/>
        <w:jc w:val="left"/>
        <w:rPr>
          <w:sz w:val="19"/>
        </w:rPr>
      </w:pPr>
      <w:r>
        <w:rPr>
          <w:sz w:val="19"/>
        </w:rPr>
        <w:t>Greenblatt,</w:t>
      </w:r>
      <w:r>
        <w:rPr>
          <w:spacing w:val="34"/>
          <w:sz w:val="19"/>
        </w:rPr>
        <w:t> </w:t>
      </w:r>
      <w:r>
        <w:rPr>
          <w:sz w:val="19"/>
        </w:rPr>
        <w:t>S.</w:t>
      </w:r>
      <w:r>
        <w:rPr>
          <w:spacing w:val="35"/>
          <w:sz w:val="19"/>
        </w:rPr>
        <w:t> </w:t>
      </w:r>
      <w:r>
        <w:rPr>
          <w:sz w:val="19"/>
        </w:rPr>
        <w:t>(1980).</w:t>
      </w:r>
      <w:r>
        <w:rPr>
          <w:spacing w:val="32"/>
          <w:sz w:val="19"/>
        </w:rPr>
        <w:t> </w:t>
      </w:r>
      <w:r>
        <w:rPr>
          <w:sz w:val="19"/>
        </w:rPr>
        <w:t>Renaissance</w:t>
      </w:r>
      <w:r>
        <w:rPr>
          <w:spacing w:val="34"/>
          <w:sz w:val="19"/>
        </w:rPr>
        <w:t> </w:t>
      </w:r>
      <w:r>
        <w:rPr>
          <w:sz w:val="19"/>
        </w:rPr>
        <w:t>self-fashioning:</w:t>
      </w:r>
      <w:r>
        <w:rPr>
          <w:spacing w:val="32"/>
          <w:sz w:val="19"/>
        </w:rPr>
        <w:t> </w:t>
      </w:r>
      <w:r>
        <w:rPr>
          <w:sz w:val="19"/>
        </w:rPr>
        <w:t>From</w:t>
      </w:r>
      <w:r>
        <w:rPr>
          <w:spacing w:val="34"/>
          <w:sz w:val="19"/>
        </w:rPr>
        <w:t> </w:t>
      </w:r>
      <w:r>
        <w:rPr>
          <w:sz w:val="19"/>
        </w:rPr>
        <w:t>More to</w:t>
      </w:r>
      <w:r>
        <w:rPr>
          <w:spacing w:val="40"/>
          <w:sz w:val="19"/>
        </w:rPr>
        <w:t> </w:t>
      </w:r>
      <w:r>
        <w:rPr>
          <w:sz w:val="19"/>
        </w:rPr>
        <w:t>Shakespeare.</w:t>
      </w:r>
      <w:r>
        <w:rPr>
          <w:spacing w:val="40"/>
          <w:sz w:val="19"/>
        </w:rPr>
        <w:t> </w:t>
      </w:r>
      <w:r>
        <w:rPr>
          <w:sz w:val="19"/>
        </w:rPr>
        <w:t>University</w:t>
      </w:r>
      <w:r>
        <w:rPr>
          <w:spacing w:val="40"/>
          <w:sz w:val="19"/>
        </w:rPr>
        <w:t> </w:t>
      </w:r>
      <w:r>
        <w:rPr>
          <w:sz w:val="19"/>
        </w:rPr>
        <w:t>of</w:t>
      </w:r>
      <w:r>
        <w:rPr>
          <w:spacing w:val="40"/>
          <w:sz w:val="19"/>
        </w:rPr>
        <w:t> </w:t>
      </w:r>
      <w:r>
        <w:rPr>
          <w:sz w:val="19"/>
        </w:rPr>
        <w:t>Chicago</w:t>
      </w:r>
      <w:r>
        <w:rPr>
          <w:spacing w:val="40"/>
          <w:sz w:val="19"/>
        </w:rPr>
        <w:t> </w:t>
      </w:r>
      <w:r>
        <w:rPr>
          <w:sz w:val="19"/>
        </w:rPr>
        <w:t>Press.</w:t>
      </w:r>
    </w:p>
    <w:p>
      <w:pPr>
        <w:pStyle w:val="ListParagraph"/>
        <w:numPr>
          <w:ilvl w:val="0"/>
          <w:numId w:val="96"/>
        </w:numPr>
        <w:tabs>
          <w:tab w:pos="2157" w:val="left" w:leader="none"/>
          <w:tab w:pos="2160" w:val="left" w:leader="none"/>
        </w:tabs>
        <w:spacing w:line="264" w:lineRule="auto" w:before="56" w:after="0"/>
        <w:ind w:left="2160" w:right="1442" w:hanging="315"/>
        <w:jc w:val="left"/>
        <w:rPr>
          <w:sz w:val="19"/>
        </w:rPr>
      </w:pPr>
      <w:r>
        <w:rPr>
          <w:sz w:val="19"/>
        </w:rPr>
        <w:t>Moi,</w:t>
      </w:r>
      <w:r>
        <w:rPr>
          <w:spacing w:val="18"/>
          <w:sz w:val="19"/>
        </w:rPr>
        <w:t> </w:t>
      </w:r>
      <w:r>
        <w:rPr>
          <w:sz w:val="19"/>
        </w:rPr>
        <w:t>T.</w:t>
      </w:r>
      <w:r>
        <w:rPr>
          <w:spacing w:val="23"/>
          <w:sz w:val="19"/>
        </w:rPr>
        <w:t> </w:t>
      </w:r>
      <w:r>
        <w:rPr>
          <w:sz w:val="19"/>
        </w:rPr>
        <w:t>(1985).</w:t>
      </w:r>
      <w:r>
        <w:rPr>
          <w:spacing w:val="20"/>
          <w:sz w:val="19"/>
        </w:rPr>
        <w:t> </w:t>
      </w:r>
      <w:r>
        <w:rPr>
          <w:sz w:val="19"/>
        </w:rPr>
        <w:t>Sexual/textual</w:t>
      </w:r>
      <w:r>
        <w:rPr>
          <w:spacing w:val="20"/>
          <w:sz w:val="19"/>
        </w:rPr>
        <w:t> </w:t>
      </w:r>
      <w:r>
        <w:rPr>
          <w:sz w:val="19"/>
        </w:rPr>
        <w:t>politics:</w:t>
      </w:r>
      <w:r>
        <w:rPr>
          <w:spacing w:val="20"/>
          <w:sz w:val="19"/>
        </w:rPr>
        <w:t> </w:t>
      </w:r>
      <w:r>
        <w:rPr>
          <w:sz w:val="19"/>
        </w:rPr>
        <w:t>Feminist</w:t>
      </w:r>
      <w:r>
        <w:rPr>
          <w:spacing w:val="22"/>
          <w:sz w:val="19"/>
        </w:rPr>
        <w:t> </w:t>
      </w:r>
      <w:r>
        <w:rPr>
          <w:sz w:val="19"/>
        </w:rPr>
        <w:t>literary theory. </w:t>
      </w:r>
      <w:r>
        <w:rPr>
          <w:spacing w:val="-2"/>
          <w:sz w:val="19"/>
        </w:rPr>
        <w:t>Routledge.</w:t>
      </w:r>
    </w:p>
    <w:p>
      <w:pPr>
        <w:pStyle w:val="ListParagraph"/>
        <w:numPr>
          <w:ilvl w:val="0"/>
          <w:numId w:val="96"/>
        </w:numPr>
        <w:tabs>
          <w:tab w:pos="2157" w:val="left" w:leader="none"/>
          <w:tab w:pos="2160" w:val="left" w:leader="none"/>
        </w:tabs>
        <w:spacing w:line="261" w:lineRule="auto" w:before="55" w:after="0"/>
        <w:ind w:left="2160" w:right="1441" w:hanging="315"/>
        <w:jc w:val="left"/>
        <w:rPr>
          <w:sz w:val="19"/>
        </w:rPr>
      </w:pPr>
      <w:r>
        <w:rPr>
          <w:sz w:val="19"/>
        </w:rPr>
        <w:t>Showalter,</w:t>
      </w:r>
      <w:r>
        <w:rPr>
          <w:spacing w:val="29"/>
          <w:sz w:val="19"/>
        </w:rPr>
        <w:t> </w:t>
      </w:r>
      <w:r>
        <w:rPr>
          <w:sz w:val="19"/>
        </w:rPr>
        <w:t>E.</w:t>
      </w:r>
      <w:r>
        <w:rPr>
          <w:spacing w:val="30"/>
          <w:sz w:val="19"/>
        </w:rPr>
        <w:t> </w:t>
      </w:r>
      <w:r>
        <w:rPr>
          <w:sz w:val="19"/>
        </w:rPr>
        <w:t>(1977). A literature</w:t>
      </w:r>
      <w:r>
        <w:rPr>
          <w:spacing w:val="29"/>
          <w:sz w:val="19"/>
        </w:rPr>
        <w:t> </w:t>
      </w:r>
      <w:r>
        <w:rPr>
          <w:sz w:val="19"/>
        </w:rPr>
        <w:t>of</w:t>
      </w:r>
      <w:r>
        <w:rPr>
          <w:spacing w:val="30"/>
          <w:sz w:val="19"/>
        </w:rPr>
        <w:t> </w:t>
      </w:r>
      <w:r>
        <w:rPr>
          <w:sz w:val="19"/>
        </w:rPr>
        <w:t>their</w:t>
      </w:r>
      <w:r>
        <w:rPr>
          <w:spacing w:val="30"/>
          <w:sz w:val="19"/>
        </w:rPr>
        <w:t> </w:t>
      </w:r>
      <w:r>
        <w:rPr>
          <w:sz w:val="19"/>
        </w:rPr>
        <w:t>own:</w:t>
      </w:r>
      <w:r>
        <w:rPr>
          <w:spacing w:val="29"/>
          <w:sz w:val="19"/>
        </w:rPr>
        <w:t> </w:t>
      </w:r>
      <w:r>
        <w:rPr>
          <w:sz w:val="19"/>
        </w:rPr>
        <w:t>British</w:t>
      </w:r>
      <w:r>
        <w:rPr>
          <w:spacing w:val="30"/>
          <w:sz w:val="19"/>
        </w:rPr>
        <w:t> </w:t>
      </w:r>
      <w:r>
        <w:rPr>
          <w:sz w:val="19"/>
        </w:rPr>
        <w:t>women novelists</w:t>
      </w:r>
      <w:r>
        <w:rPr>
          <w:spacing w:val="40"/>
          <w:sz w:val="19"/>
        </w:rPr>
        <w:t> </w:t>
      </w:r>
      <w:r>
        <w:rPr>
          <w:sz w:val="19"/>
        </w:rPr>
        <w:t>from</w:t>
      </w:r>
      <w:r>
        <w:rPr>
          <w:spacing w:val="40"/>
          <w:sz w:val="19"/>
        </w:rPr>
        <w:t> </w:t>
      </w:r>
      <w:r>
        <w:rPr>
          <w:sz w:val="19"/>
        </w:rPr>
        <w:t>Bronte</w:t>
      </w:r>
      <w:r>
        <w:rPr>
          <w:spacing w:val="40"/>
          <w:sz w:val="19"/>
        </w:rPr>
        <w:t> </w:t>
      </w:r>
      <w:r>
        <w:rPr>
          <w:sz w:val="19"/>
        </w:rPr>
        <w:t>to</w:t>
      </w:r>
      <w:r>
        <w:rPr>
          <w:spacing w:val="40"/>
          <w:sz w:val="19"/>
        </w:rPr>
        <w:t> </w:t>
      </w:r>
      <w:r>
        <w:rPr>
          <w:sz w:val="19"/>
        </w:rPr>
        <w:t>Lessing.</w:t>
      </w:r>
      <w:r>
        <w:rPr>
          <w:spacing w:val="40"/>
          <w:sz w:val="19"/>
        </w:rPr>
        <w:t> </w:t>
      </w:r>
      <w:r>
        <w:rPr>
          <w:sz w:val="19"/>
        </w:rPr>
        <w:t>Princeton</w:t>
      </w:r>
      <w:r>
        <w:rPr>
          <w:spacing w:val="40"/>
          <w:sz w:val="19"/>
        </w:rPr>
        <w:t> </w:t>
      </w:r>
      <w:r>
        <w:rPr>
          <w:sz w:val="19"/>
        </w:rPr>
        <w:t>University</w:t>
      </w:r>
      <w:r>
        <w:rPr>
          <w:spacing w:val="40"/>
          <w:sz w:val="19"/>
        </w:rPr>
        <w:t> </w:t>
      </w:r>
      <w:r>
        <w:rPr>
          <w:sz w:val="19"/>
        </w:rPr>
        <w:t>Press.</w:t>
      </w:r>
    </w:p>
    <w:p>
      <w:pPr>
        <w:pStyle w:val="ListParagraph"/>
        <w:numPr>
          <w:ilvl w:val="0"/>
          <w:numId w:val="96"/>
        </w:numPr>
        <w:tabs>
          <w:tab w:pos="2157" w:val="left" w:leader="none"/>
          <w:tab w:pos="2160" w:val="left" w:leader="none"/>
        </w:tabs>
        <w:spacing w:line="264" w:lineRule="auto" w:before="56" w:after="0"/>
        <w:ind w:left="2160" w:right="1443" w:hanging="315"/>
        <w:jc w:val="left"/>
        <w:rPr>
          <w:sz w:val="19"/>
        </w:rPr>
      </w:pPr>
      <w:r>
        <w:rPr>
          <w:sz w:val="19"/>
        </w:rPr>
        <w:t>Shakespeare,</w:t>
      </w:r>
      <w:r>
        <w:rPr>
          <w:spacing w:val="18"/>
          <w:sz w:val="19"/>
        </w:rPr>
        <w:t> </w:t>
      </w:r>
      <w:r>
        <w:rPr>
          <w:sz w:val="19"/>
        </w:rPr>
        <w:t>W.</w:t>
      </w:r>
      <w:r>
        <w:rPr>
          <w:spacing w:val="24"/>
          <w:sz w:val="19"/>
        </w:rPr>
        <w:t> </w:t>
      </w:r>
      <w:r>
        <w:rPr>
          <w:sz w:val="19"/>
        </w:rPr>
        <w:t>(2003).</w:t>
      </w:r>
      <w:r>
        <w:rPr>
          <w:spacing w:val="22"/>
          <w:sz w:val="19"/>
        </w:rPr>
        <w:t> </w:t>
      </w:r>
      <w:r>
        <w:rPr>
          <w:sz w:val="19"/>
        </w:rPr>
        <w:t>Macbeth.</w:t>
      </w:r>
      <w:r>
        <w:rPr>
          <w:spacing w:val="24"/>
          <w:sz w:val="19"/>
        </w:rPr>
        <w:t> </w:t>
      </w:r>
      <w:r>
        <w:rPr>
          <w:sz w:val="19"/>
        </w:rPr>
        <w:t>Cambridge</w:t>
      </w:r>
      <w:r>
        <w:rPr>
          <w:spacing w:val="20"/>
          <w:sz w:val="19"/>
        </w:rPr>
        <w:t> </w:t>
      </w:r>
      <w:r>
        <w:rPr>
          <w:sz w:val="19"/>
        </w:rPr>
        <w:t>University</w:t>
      </w:r>
      <w:r>
        <w:rPr>
          <w:spacing w:val="18"/>
          <w:sz w:val="19"/>
        </w:rPr>
        <w:t> </w:t>
      </w:r>
      <w:r>
        <w:rPr>
          <w:sz w:val="19"/>
        </w:rPr>
        <w:t>Press. (Original</w:t>
      </w:r>
      <w:r>
        <w:rPr>
          <w:spacing w:val="40"/>
          <w:sz w:val="19"/>
        </w:rPr>
        <w:t> </w:t>
      </w:r>
      <w:r>
        <w:rPr>
          <w:sz w:val="19"/>
        </w:rPr>
        <w:t>work</w:t>
      </w:r>
      <w:r>
        <w:rPr>
          <w:spacing w:val="40"/>
          <w:sz w:val="19"/>
        </w:rPr>
        <w:t> </w:t>
      </w:r>
      <w:r>
        <w:rPr>
          <w:sz w:val="19"/>
        </w:rPr>
        <w:t>published</w:t>
      </w:r>
      <w:r>
        <w:rPr>
          <w:spacing w:val="40"/>
          <w:sz w:val="19"/>
        </w:rPr>
        <w:t> </w:t>
      </w:r>
      <w:r>
        <w:rPr>
          <w:sz w:val="19"/>
        </w:rPr>
        <w:t>1623)</w:t>
      </w:r>
    </w:p>
    <w:p>
      <w:pPr>
        <w:pStyle w:val="ListParagraph"/>
        <w:numPr>
          <w:ilvl w:val="0"/>
          <w:numId w:val="96"/>
        </w:numPr>
        <w:tabs>
          <w:tab w:pos="2157" w:val="left" w:leader="none"/>
          <w:tab w:pos="2160" w:val="left" w:leader="none"/>
        </w:tabs>
        <w:spacing w:line="261" w:lineRule="auto" w:before="55" w:after="0"/>
        <w:ind w:left="2160" w:right="1440" w:hanging="315"/>
        <w:jc w:val="left"/>
        <w:rPr>
          <w:sz w:val="19"/>
        </w:rPr>
      </w:pPr>
      <w:r>
        <w:rPr>
          <w:sz w:val="19"/>
        </w:rPr>
        <w:t>Shakespeare,</w:t>
      </w:r>
      <w:r>
        <w:rPr>
          <w:spacing w:val="40"/>
          <w:sz w:val="19"/>
        </w:rPr>
        <w:t> </w:t>
      </w:r>
      <w:r>
        <w:rPr>
          <w:sz w:val="19"/>
        </w:rPr>
        <w:t>W.</w:t>
      </w:r>
      <w:r>
        <w:rPr>
          <w:spacing w:val="40"/>
          <w:sz w:val="19"/>
        </w:rPr>
        <w:t> </w:t>
      </w:r>
      <w:r>
        <w:rPr>
          <w:sz w:val="19"/>
        </w:rPr>
        <w:t>(2005).</w:t>
      </w:r>
      <w:r>
        <w:rPr>
          <w:spacing w:val="40"/>
          <w:sz w:val="19"/>
        </w:rPr>
        <w:t> </w:t>
      </w:r>
      <w:r>
        <w:rPr>
          <w:sz w:val="19"/>
        </w:rPr>
        <w:t>King</w:t>
      </w:r>
      <w:r>
        <w:rPr>
          <w:spacing w:val="40"/>
          <w:sz w:val="19"/>
        </w:rPr>
        <w:t> </w:t>
      </w:r>
      <w:r>
        <w:rPr>
          <w:sz w:val="19"/>
        </w:rPr>
        <w:t>Lear.</w:t>
      </w:r>
      <w:r>
        <w:rPr>
          <w:spacing w:val="40"/>
          <w:sz w:val="19"/>
        </w:rPr>
        <w:t> </w:t>
      </w:r>
      <w:r>
        <w:rPr>
          <w:sz w:val="19"/>
        </w:rPr>
        <w:t>Oxford</w:t>
      </w:r>
      <w:r>
        <w:rPr>
          <w:spacing w:val="40"/>
          <w:sz w:val="19"/>
        </w:rPr>
        <w:t> </w:t>
      </w:r>
      <w:r>
        <w:rPr>
          <w:sz w:val="19"/>
        </w:rPr>
        <w:t>University</w:t>
      </w:r>
      <w:r>
        <w:rPr>
          <w:spacing w:val="40"/>
          <w:sz w:val="19"/>
        </w:rPr>
        <w:t> </w:t>
      </w:r>
      <w:r>
        <w:rPr>
          <w:sz w:val="19"/>
        </w:rPr>
        <w:t>Press. (Original</w:t>
      </w:r>
      <w:r>
        <w:rPr>
          <w:spacing w:val="40"/>
          <w:sz w:val="19"/>
        </w:rPr>
        <w:t> </w:t>
      </w:r>
      <w:r>
        <w:rPr>
          <w:sz w:val="19"/>
        </w:rPr>
        <w:t>work</w:t>
      </w:r>
      <w:r>
        <w:rPr>
          <w:spacing w:val="40"/>
          <w:sz w:val="19"/>
        </w:rPr>
        <w:t> </w:t>
      </w:r>
      <w:r>
        <w:rPr>
          <w:sz w:val="19"/>
        </w:rPr>
        <w:t>published</w:t>
      </w:r>
      <w:r>
        <w:rPr>
          <w:spacing w:val="40"/>
          <w:sz w:val="19"/>
        </w:rPr>
        <w:t> </w:t>
      </w:r>
      <w:r>
        <w:rPr>
          <w:sz w:val="19"/>
        </w:rPr>
        <w:t>1608)</w:t>
      </w:r>
    </w:p>
    <w:p>
      <w:pPr>
        <w:pStyle w:val="ListParagraph"/>
        <w:numPr>
          <w:ilvl w:val="0"/>
          <w:numId w:val="96"/>
        </w:numPr>
        <w:tabs>
          <w:tab w:pos="2157" w:val="left" w:leader="none"/>
          <w:tab w:pos="2160" w:val="left" w:leader="none"/>
        </w:tabs>
        <w:spacing w:line="264" w:lineRule="auto" w:before="56" w:after="0"/>
        <w:ind w:left="2160" w:right="1438" w:hanging="315"/>
        <w:jc w:val="left"/>
        <w:rPr>
          <w:sz w:val="19"/>
        </w:rPr>
      </w:pPr>
      <w:r>
        <w:rPr>
          <w:spacing w:val="10"/>
          <w:sz w:val="19"/>
        </w:rPr>
        <w:t>Shakespeare,</w:t>
      </w:r>
      <w:r>
        <w:rPr>
          <w:spacing w:val="40"/>
          <w:sz w:val="19"/>
        </w:rPr>
        <w:t> </w:t>
      </w:r>
      <w:r>
        <w:rPr>
          <w:sz w:val="19"/>
        </w:rPr>
        <w:t>W.</w:t>
      </w:r>
      <w:r>
        <w:rPr>
          <w:spacing w:val="40"/>
          <w:sz w:val="19"/>
        </w:rPr>
        <w:t> </w:t>
      </w:r>
      <w:r>
        <w:rPr>
          <w:spacing w:val="10"/>
          <w:sz w:val="19"/>
        </w:rPr>
        <w:t>(2006).</w:t>
      </w:r>
      <w:r>
        <w:rPr>
          <w:spacing w:val="40"/>
          <w:sz w:val="19"/>
        </w:rPr>
        <w:t> </w:t>
      </w:r>
      <w:r>
        <w:rPr>
          <w:spacing w:val="10"/>
          <w:sz w:val="19"/>
        </w:rPr>
        <w:t>Antony</w:t>
      </w:r>
      <w:r>
        <w:rPr>
          <w:spacing w:val="40"/>
          <w:sz w:val="19"/>
        </w:rPr>
        <w:t> </w:t>
      </w:r>
      <w:r>
        <w:rPr>
          <w:sz w:val="19"/>
        </w:rPr>
        <w:t>and</w:t>
      </w:r>
      <w:r>
        <w:rPr>
          <w:spacing w:val="40"/>
          <w:sz w:val="19"/>
        </w:rPr>
        <w:t> </w:t>
      </w:r>
      <w:r>
        <w:rPr>
          <w:spacing w:val="10"/>
          <w:sz w:val="19"/>
        </w:rPr>
        <w:t>Cleopatra.</w:t>
      </w:r>
      <w:r>
        <w:rPr>
          <w:spacing w:val="40"/>
          <w:sz w:val="19"/>
        </w:rPr>
        <w:t> </w:t>
      </w:r>
      <w:r>
        <w:rPr>
          <w:spacing w:val="9"/>
          <w:sz w:val="19"/>
        </w:rPr>
        <w:t>Arden </w:t>
      </w:r>
      <w:r>
        <w:rPr>
          <w:sz w:val="19"/>
        </w:rPr>
        <w:t>Shakespeare.</w:t>
      </w:r>
      <w:r>
        <w:rPr>
          <w:spacing w:val="40"/>
          <w:sz w:val="19"/>
        </w:rPr>
        <w:t> </w:t>
      </w:r>
      <w:r>
        <w:rPr>
          <w:sz w:val="19"/>
        </w:rPr>
        <w:t>(Original</w:t>
      </w:r>
      <w:r>
        <w:rPr>
          <w:spacing w:val="40"/>
          <w:sz w:val="19"/>
        </w:rPr>
        <w:t> </w:t>
      </w:r>
      <w:r>
        <w:rPr>
          <w:sz w:val="19"/>
        </w:rPr>
        <w:t>work</w:t>
      </w:r>
      <w:r>
        <w:rPr>
          <w:spacing w:val="40"/>
          <w:sz w:val="19"/>
        </w:rPr>
        <w:t> </w:t>
      </w:r>
      <w:r>
        <w:rPr>
          <w:sz w:val="19"/>
        </w:rPr>
        <w:t>published</w:t>
      </w:r>
      <w:r>
        <w:rPr>
          <w:spacing w:val="40"/>
          <w:sz w:val="19"/>
        </w:rPr>
        <w:t> </w:t>
      </w:r>
      <w:r>
        <w:rPr>
          <w:sz w:val="19"/>
        </w:rPr>
        <w:t>1623)</w:t>
      </w:r>
    </w:p>
    <w:p>
      <w:pPr>
        <w:pStyle w:val="ListParagraph"/>
        <w:spacing w:after="0" w:line="264" w:lineRule="auto"/>
        <w:jc w:val="left"/>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89408">
                <wp:simplePos x="0" y="0"/>
                <wp:positionH relativeFrom="page">
                  <wp:posOffset>2057400</wp:posOffset>
                </wp:positionH>
                <wp:positionV relativeFrom="page">
                  <wp:posOffset>1788723</wp:posOffset>
                </wp:positionV>
                <wp:extent cx="3654425" cy="140335"/>
                <wp:effectExtent l="0" t="0" r="0" b="0"/>
                <wp:wrapNone/>
                <wp:docPr id="886" name="Textbox 886"/>
                <wp:cNvGraphicFramePr>
                  <a:graphicFrameLocks/>
                </wp:cNvGraphicFramePr>
                <a:graphic>
                  <a:graphicData uri="http://schemas.microsoft.com/office/word/2010/wordprocessingShape">
                    <wps:wsp>
                      <wps:cNvPr id="886" name="Textbox 886"/>
                      <wps:cNvSpPr txBox="1"/>
                      <wps:spPr>
                        <a:xfrm>
                          <a:off x="0" y="0"/>
                          <a:ext cx="3654425" cy="140335"/>
                        </a:xfrm>
                        <a:prstGeom prst="rect">
                          <a:avLst/>
                        </a:prstGeom>
                      </wps:spPr>
                      <wps:txbx>
                        <w:txbxContent>
                          <w:p>
                            <w:pPr>
                              <w:tabs>
                                <w:tab w:pos="5754" w:val="right" w:leader="none"/>
                              </w:tabs>
                              <w:spacing w:line="219" w:lineRule="exact" w:before="0"/>
                              <w:ind w:left="0" w:right="0" w:firstLine="0"/>
                              <w:jc w:val="left"/>
                              <w:rPr>
                                <w:rFonts w:ascii="Verdana"/>
                                <w:sz w:val="18"/>
                              </w:rPr>
                            </w:pPr>
                            <w:r>
                              <w:rPr>
                                <w:rFonts w:ascii="Verdana"/>
                                <w:sz w:val="18"/>
                              </w:rPr>
                              <w:t>The</w:t>
                            </w:r>
                            <w:r>
                              <w:rPr>
                                <w:rFonts w:ascii="Verdana"/>
                                <w:spacing w:val="7"/>
                                <w:sz w:val="18"/>
                              </w:rPr>
                              <w:t> </w:t>
                            </w:r>
                            <w:r>
                              <w:rPr>
                                <w:rFonts w:ascii="Verdana"/>
                                <w:sz w:val="18"/>
                              </w:rPr>
                              <w:t>Relationship</w:t>
                            </w:r>
                            <w:r>
                              <w:rPr>
                                <w:rFonts w:ascii="Verdana"/>
                                <w:spacing w:val="8"/>
                                <w:sz w:val="18"/>
                              </w:rPr>
                              <w:t> </w:t>
                            </w:r>
                            <w:r>
                              <w:rPr>
                                <w:rFonts w:ascii="Verdana"/>
                                <w:sz w:val="18"/>
                              </w:rPr>
                              <w:t>between</w:t>
                            </w:r>
                            <w:r>
                              <w:rPr>
                                <w:rFonts w:ascii="Verdana"/>
                                <w:spacing w:val="8"/>
                                <w:sz w:val="18"/>
                              </w:rPr>
                              <w:t> </w:t>
                            </w:r>
                            <w:r>
                              <w:rPr>
                                <w:rFonts w:ascii="Verdana"/>
                                <w:sz w:val="18"/>
                              </w:rPr>
                              <w:t>Gender</w:t>
                            </w:r>
                            <w:r>
                              <w:rPr>
                                <w:rFonts w:ascii="Verdana"/>
                                <w:spacing w:val="11"/>
                                <w:sz w:val="18"/>
                              </w:rPr>
                              <w:t> </w:t>
                            </w:r>
                            <w:r>
                              <w:rPr>
                                <w:rFonts w:ascii="Verdana"/>
                                <w:sz w:val="18"/>
                              </w:rPr>
                              <w:t>and</w:t>
                            </w:r>
                            <w:r>
                              <w:rPr>
                                <w:rFonts w:ascii="Verdana"/>
                                <w:spacing w:val="7"/>
                                <w:sz w:val="18"/>
                              </w:rPr>
                              <w:t> </w:t>
                            </w:r>
                            <w:r>
                              <w:rPr>
                                <w:rFonts w:ascii="Verdana"/>
                                <w:sz w:val="18"/>
                              </w:rPr>
                              <w:t>Power</w:t>
                            </w:r>
                            <w:r>
                              <w:rPr>
                                <w:rFonts w:ascii="Verdana"/>
                                <w:spacing w:val="10"/>
                                <w:sz w:val="18"/>
                              </w:rPr>
                              <w:t> </w:t>
                            </w:r>
                            <w:r>
                              <w:rPr>
                                <w:rFonts w:ascii="Verdana"/>
                                <w:spacing w:val="-4"/>
                                <w:sz w:val="18"/>
                              </w:rPr>
                              <w:t>in...</w:t>
                            </w:r>
                            <w:r>
                              <w:rPr>
                                <w:sz w:val="18"/>
                              </w:rPr>
                              <w:tab/>
                            </w:r>
                            <w:r>
                              <w:rPr>
                                <w:rFonts w:ascii="Verdana"/>
                                <w:spacing w:val="-5"/>
                                <w:sz w:val="18"/>
                              </w:rPr>
                              <w:t>469</w:t>
                            </w:r>
                          </w:p>
                        </w:txbxContent>
                      </wps:txbx>
                      <wps:bodyPr wrap="square" lIns="0" tIns="0" rIns="0" bIns="0" rtlCol="0">
                        <a:noAutofit/>
                      </wps:bodyPr>
                    </wps:wsp>
                  </a:graphicData>
                </a:graphic>
              </wp:anchor>
            </w:drawing>
          </mc:Choice>
          <mc:Fallback>
            <w:pict>
              <v:shape style="position:absolute;margin-left:162pt;margin-top:140.844391pt;width:287.75pt;height:11.05pt;mso-position-horizontal-relative:page;mso-position-vertical-relative:page;z-index:-20227072" type="#_x0000_t202" id="docshape878" filled="false" stroked="false">
                <v:textbox inset="0,0,0,0">
                  <w:txbxContent>
                    <w:p>
                      <w:pPr>
                        <w:tabs>
                          <w:tab w:pos="5754" w:val="right" w:leader="none"/>
                        </w:tabs>
                        <w:spacing w:line="219" w:lineRule="exact" w:before="0"/>
                        <w:ind w:left="0" w:right="0" w:firstLine="0"/>
                        <w:jc w:val="left"/>
                        <w:rPr>
                          <w:rFonts w:ascii="Verdana"/>
                          <w:sz w:val="18"/>
                        </w:rPr>
                      </w:pPr>
                      <w:r>
                        <w:rPr>
                          <w:rFonts w:ascii="Verdana"/>
                          <w:sz w:val="18"/>
                        </w:rPr>
                        <w:t>The</w:t>
                      </w:r>
                      <w:r>
                        <w:rPr>
                          <w:rFonts w:ascii="Verdana"/>
                          <w:spacing w:val="7"/>
                          <w:sz w:val="18"/>
                        </w:rPr>
                        <w:t> </w:t>
                      </w:r>
                      <w:r>
                        <w:rPr>
                          <w:rFonts w:ascii="Verdana"/>
                          <w:sz w:val="18"/>
                        </w:rPr>
                        <w:t>Relationship</w:t>
                      </w:r>
                      <w:r>
                        <w:rPr>
                          <w:rFonts w:ascii="Verdana"/>
                          <w:spacing w:val="8"/>
                          <w:sz w:val="18"/>
                        </w:rPr>
                        <w:t> </w:t>
                      </w:r>
                      <w:r>
                        <w:rPr>
                          <w:rFonts w:ascii="Verdana"/>
                          <w:sz w:val="18"/>
                        </w:rPr>
                        <w:t>between</w:t>
                      </w:r>
                      <w:r>
                        <w:rPr>
                          <w:rFonts w:ascii="Verdana"/>
                          <w:spacing w:val="8"/>
                          <w:sz w:val="18"/>
                        </w:rPr>
                        <w:t> </w:t>
                      </w:r>
                      <w:r>
                        <w:rPr>
                          <w:rFonts w:ascii="Verdana"/>
                          <w:sz w:val="18"/>
                        </w:rPr>
                        <w:t>Gender</w:t>
                      </w:r>
                      <w:r>
                        <w:rPr>
                          <w:rFonts w:ascii="Verdana"/>
                          <w:spacing w:val="11"/>
                          <w:sz w:val="18"/>
                        </w:rPr>
                        <w:t> </w:t>
                      </w:r>
                      <w:r>
                        <w:rPr>
                          <w:rFonts w:ascii="Verdana"/>
                          <w:sz w:val="18"/>
                        </w:rPr>
                        <w:t>and</w:t>
                      </w:r>
                      <w:r>
                        <w:rPr>
                          <w:rFonts w:ascii="Verdana"/>
                          <w:spacing w:val="7"/>
                          <w:sz w:val="18"/>
                        </w:rPr>
                        <w:t> </w:t>
                      </w:r>
                      <w:r>
                        <w:rPr>
                          <w:rFonts w:ascii="Verdana"/>
                          <w:sz w:val="18"/>
                        </w:rPr>
                        <w:t>Power</w:t>
                      </w:r>
                      <w:r>
                        <w:rPr>
                          <w:rFonts w:ascii="Verdana"/>
                          <w:spacing w:val="10"/>
                          <w:sz w:val="18"/>
                        </w:rPr>
                        <w:t> </w:t>
                      </w:r>
                      <w:r>
                        <w:rPr>
                          <w:rFonts w:ascii="Verdana"/>
                          <w:spacing w:val="-4"/>
                          <w:sz w:val="18"/>
                        </w:rPr>
                        <w:t>in...</w:t>
                      </w:r>
                      <w:r>
                        <w:rPr>
                          <w:sz w:val="18"/>
                        </w:rPr>
                        <w:tab/>
                      </w:r>
                      <w:r>
                        <w:rPr>
                          <w:rFonts w:ascii="Verdana"/>
                          <w:spacing w:val="-5"/>
                          <w:sz w:val="18"/>
                        </w:rPr>
                        <w:t>469</w:t>
                      </w:r>
                    </w:p>
                  </w:txbxContent>
                </v:textbox>
                <w10:wrap type="none"/>
              </v:shape>
            </w:pict>
          </mc:Fallback>
        </mc:AlternateContent>
      </w:r>
    </w:p>
    <w:p>
      <w:pPr>
        <w:pStyle w:val="BodyText"/>
        <w:ind w:left="0"/>
      </w:pPr>
    </w:p>
    <w:p>
      <w:pPr>
        <w:pStyle w:val="BodyText"/>
        <w:spacing w:before="10"/>
        <w:ind w:left="0"/>
      </w:pPr>
    </w:p>
    <w:p>
      <w:pPr>
        <w:spacing w:line="240" w:lineRule="auto"/>
        <w:ind w:left="1104" w:right="0" w:firstLine="0"/>
        <w:rPr>
          <w:sz w:val="20"/>
        </w:rPr>
      </w:pPr>
      <w:r>
        <w:rPr>
          <w:sz w:val="20"/>
        </w:rPr>
        <mc:AlternateContent>
          <mc:Choice Requires="wps">
            <w:drawing>
              <wp:inline distT="0" distB="0" distL="0" distR="0">
                <wp:extent cx="4043679" cy="699770"/>
                <wp:effectExtent l="0" t="0" r="0" b="0"/>
                <wp:docPr id="887" name="Group 887"/>
                <wp:cNvGraphicFramePr>
                  <a:graphicFrameLocks/>
                </wp:cNvGraphicFramePr>
                <a:graphic>
                  <a:graphicData uri="http://schemas.microsoft.com/office/word/2010/wordprocessingGroup">
                    <wpg:wgp>
                      <wpg:cNvPr id="887" name="Group 887"/>
                      <wpg:cNvGrpSpPr/>
                      <wpg:grpSpPr>
                        <a:xfrm>
                          <a:off x="0" y="0"/>
                          <a:ext cx="4043679" cy="699770"/>
                          <a:chExt cx="4043679" cy="699770"/>
                        </a:xfrm>
                      </wpg:grpSpPr>
                      <wps:wsp>
                        <wps:cNvPr id="888" name="Graphic 888"/>
                        <wps:cNvSpPr/>
                        <wps:spPr>
                          <a:xfrm>
                            <a:off x="0" y="0"/>
                            <a:ext cx="4043679" cy="699770"/>
                          </a:xfrm>
                          <a:custGeom>
                            <a:avLst/>
                            <a:gdLst/>
                            <a:ahLst/>
                            <a:cxnLst/>
                            <a:rect l="l" t="t" r="r" b="b"/>
                            <a:pathLst>
                              <a:path w="4043679" h="699770">
                                <a:moveTo>
                                  <a:pt x="4043172" y="699516"/>
                                </a:moveTo>
                                <a:lnTo>
                                  <a:pt x="0" y="699516"/>
                                </a:lnTo>
                                <a:lnTo>
                                  <a:pt x="0" y="0"/>
                                </a:lnTo>
                                <a:lnTo>
                                  <a:pt x="4043172" y="0"/>
                                </a:lnTo>
                                <a:lnTo>
                                  <a:pt x="4043172" y="699516"/>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8.4pt;height:55.1pt;mso-position-horizontal-relative:char;mso-position-vertical-relative:line" id="docshapegroup879" coordorigin="0,0" coordsize="6368,1102">
                <v:rect style="position:absolute;left:0;top:0;width:6368;height:1102" id="docshape880" filled="true" fillcolor="#ffffff" stroked="false">
                  <v:fill type="solid"/>
                </v:rect>
              </v:group>
            </w:pict>
          </mc:Fallback>
        </mc:AlternateContent>
      </w:r>
      <w:r>
        <w:rPr>
          <w:sz w:val="20"/>
        </w:rPr>
      </w:r>
    </w:p>
    <w:p>
      <w:pPr>
        <w:pStyle w:val="BodyText"/>
        <w:spacing w:before="175"/>
        <w:ind w:left="0"/>
      </w:pPr>
      <w:r>
        <w:rPr/>
        <mc:AlternateContent>
          <mc:Choice Requires="wps">
            <w:drawing>
              <wp:anchor distT="0" distB="0" distL="0" distR="0" allowOverlap="1" layoutInCell="1" locked="0" behindDoc="1" simplePos="0" relativeHeight="487925248">
                <wp:simplePos x="0" y="0"/>
                <wp:positionH relativeFrom="page">
                  <wp:posOffset>3512820</wp:posOffset>
                </wp:positionH>
                <wp:positionV relativeFrom="paragraph">
                  <wp:posOffset>272922</wp:posOffset>
                </wp:positionV>
                <wp:extent cx="727075" cy="655320"/>
                <wp:effectExtent l="0" t="0" r="0" b="0"/>
                <wp:wrapTopAndBottom/>
                <wp:docPr id="889" name="Group 889"/>
                <wp:cNvGraphicFramePr>
                  <a:graphicFrameLocks/>
                </wp:cNvGraphicFramePr>
                <a:graphic>
                  <a:graphicData uri="http://schemas.microsoft.com/office/word/2010/wordprocessingGroup">
                    <wpg:wgp>
                      <wpg:cNvPr id="889" name="Group 889"/>
                      <wpg:cNvGrpSpPr/>
                      <wpg:grpSpPr>
                        <a:xfrm>
                          <a:off x="0" y="0"/>
                          <a:ext cx="727075" cy="655320"/>
                          <a:chExt cx="727075" cy="655320"/>
                        </a:xfrm>
                      </wpg:grpSpPr>
                      <pic:pic>
                        <pic:nvPicPr>
                          <pic:cNvPr id="890" name="Image 890"/>
                          <pic:cNvPicPr/>
                        </pic:nvPicPr>
                        <pic:blipFill>
                          <a:blip r:embed="rId134" cstate="print"/>
                          <a:stretch>
                            <a:fillRect/>
                          </a:stretch>
                        </pic:blipFill>
                        <pic:spPr>
                          <a:xfrm>
                            <a:off x="0" y="0"/>
                            <a:ext cx="726947" cy="655320"/>
                          </a:xfrm>
                          <a:prstGeom prst="rect">
                            <a:avLst/>
                          </a:prstGeom>
                        </pic:spPr>
                      </pic:pic>
                      <wps:wsp>
                        <wps:cNvPr id="891" name="Textbox 891"/>
                        <wps:cNvSpPr txBox="1"/>
                        <wps:spPr>
                          <a:xfrm>
                            <a:off x="0" y="0"/>
                            <a:ext cx="727075" cy="655320"/>
                          </a:xfrm>
                          <a:prstGeom prst="rect">
                            <a:avLst/>
                          </a:prstGeom>
                        </wps:spPr>
                        <wps:txbx>
                          <w:txbxContent>
                            <w:p>
                              <w:pPr>
                                <w:spacing w:before="352"/>
                                <w:ind w:left="393" w:right="0" w:firstLine="0"/>
                                <w:jc w:val="left"/>
                                <w:rPr>
                                  <w:rFonts w:ascii="Tahoma"/>
                                  <w:b/>
                                  <w:sz w:val="36"/>
                                </w:rPr>
                              </w:pPr>
                              <w:r>
                                <w:rPr>
                                  <w:rFonts w:ascii="Tahoma"/>
                                  <w:b/>
                                  <w:spacing w:val="-5"/>
                                  <w:w w:val="95"/>
                                  <w:sz w:val="36"/>
                                </w:rPr>
                                <w:t>46</w:t>
                              </w:r>
                            </w:p>
                          </w:txbxContent>
                        </wps:txbx>
                        <wps:bodyPr wrap="square" lIns="0" tIns="0" rIns="0" bIns="0" rtlCol="0">
                          <a:noAutofit/>
                        </wps:bodyPr>
                      </wps:wsp>
                    </wpg:wgp>
                  </a:graphicData>
                </a:graphic>
              </wp:anchor>
            </w:drawing>
          </mc:Choice>
          <mc:Fallback>
            <w:pict>
              <v:group style="position:absolute;margin-left:276.600006pt;margin-top:21.489992pt;width:57.25pt;height:51.6pt;mso-position-horizontal-relative:page;mso-position-vertical-relative:paragraph;z-index:-15391232;mso-wrap-distance-left:0;mso-wrap-distance-right:0" id="docshapegroup881" coordorigin="5532,430" coordsize="1145,1032">
                <v:shape style="position:absolute;left:5532;top:429;width:1145;height:1032" type="#_x0000_t75" id="docshape882" stroked="false">
                  <v:imagedata r:id="rId134" o:title=""/>
                </v:shape>
                <v:shape style="position:absolute;left:5532;top:429;width:1145;height:1032" type="#_x0000_t202" id="docshape883" filled="false" stroked="false">
                  <v:textbox inset="0,0,0,0">
                    <w:txbxContent>
                      <w:p>
                        <w:pPr>
                          <w:spacing w:before="352"/>
                          <w:ind w:left="393" w:right="0" w:firstLine="0"/>
                          <w:jc w:val="left"/>
                          <w:rPr>
                            <w:rFonts w:ascii="Tahoma"/>
                            <w:b/>
                            <w:sz w:val="36"/>
                          </w:rPr>
                        </w:pPr>
                        <w:r>
                          <w:rPr>
                            <w:rFonts w:ascii="Tahoma"/>
                            <w:b/>
                            <w:spacing w:val="-5"/>
                            <w:w w:val="95"/>
                            <w:sz w:val="36"/>
                          </w:rPr>
                          <w:t>46</w:t>
                        </w:r>
                      </w:p>
                    </w:txbxContent>
                  </v:textbox>
                  <w10:wrap type="none"/>
                </v:shape>
                <w10:wrap type="topAndBottom"/>
              </v:group>
            </w:pict>
          </mc:Fallback>
        </mc:AlternateContent>
      </w:r>
    </w:p>
    <w:p>
      <w:pPr>
        <w:pStyle w:val="Heading1"/>
        <w:spacing w:line="331" w:lineRule="exact"/>
        <w:ind w:right="6"/>
      </w:pPr>
      <w:r>
        <w:rPr>
          <w:spacing w:val="-8"/>
        </w:rPr>
        <w:t>The</w:t>
      </w:r>
      <w:r>
        <w:rPr>
          <w:spacing w:val="-15"/>
        </w:rPr>
        <w:t> </w:t>
      </w:r>
      <w:r>
        <w:rPr>
          <w:spacing w:val="-8"/>
        </w:rPr>
        <w:t>Relationship</w:t>
      </w:r>
      <w:r>
        <w:rPr>
          <w:spacing w:val="-13"/>
        </w:rPr>
        <w:t> </w:t>
      </w:r>
      <w:r>
        <w:rPr>
          <w:spacing w:val="-8"/>
        </w:rPr>
        <w:t>between</w:t>
      </w:r>
      <w:r>
        <w:rPr>
          <w:spacing w:val="-15"/>
        </w:rPr>
        <w:t> </w:t>
      </w:r>
      <w:r>
        <w:rPr>
          <w:spacing w:val="-8"/>
        </w:rPr>
        <w:t>Gender</w:t>
      </w:r>
    </w:p>
    <w:p>
      <w:pPr>
        <w:spacing w:line="364" w:lineRule="exact" w:before="0"/>
        <w:ind w:left="0" w:right="0" w:firstLine="0"/>
        <w:jc w:val="center"/>
        <w:rPr>
          <w:rFonts w:ascii="Tahoma" w:hAnsi="Tahoma"/>
          <w:b/>
          <w:sz w:val="32"/>
        </w:rPr>
      </w:pPr>
      <w:r>
        <w:rPr>
          <w:rFonts w:ascii="Tahoma" w:hAnsi="Tahoma"/>
          <w:b/>
          <w:spacing w:val="44"/>
          <w:w w:val="150"/>
          <w:sz w:val="32"/>
          <w:u w:val="single"/>
        </w:rPr>
        <w:t> </w:t>
      </w:r>
      <w:r>
        <w:rPr>
          <w:rFonts w:ascii="Tahoma" w:hAnsi="Tahoma"/>
          <w:b/>
          <w:spacing w:val="-2"/>
          <w:sz w:val="32"/>
          <w:u w:val="single"/>
        </w:rPr>
        <w:t>and</w:t>
      </w:r>
      <w:r>
        <w:rPr>
          <w:rFonts w:ascii="Tahoma" w:hAnsi="Tahoma"/>
          <w:b/>
          <w:spacing w:val="2"/>
          <w:sz w:val="32"/>
          <w:u w:val="single"/>
        </w:rPr>
        <w:t> </w:t>
      </w:r>
      <w:r>
        <w:rPr>
          <w:rFonts w:ascii="Tahoma" w:hAnsi="Tahoma"/>
          <w:b/>
          <w:spacing w:val="-2"/>
          <w:sz w:val="32"/>
          <w:u w:val="single"/>
        </w:rPr>
        <w:t>Power</w:t>
      </w:r>
      <w:r>
        <w:rPr>
          <w:rFonts w:ascii="Tahoma" w:hAnsi="Tahoma"/>
          <w:b/>
          <w:spacing w:val="3"/>
          <w:sz w:val="32"/>
          <w:u w:val="single"/>
        </w:rPr>
        <w:t> </w:t>
      </w:r>
      <w:r>
        <w:rPr>
          <w:rFonts w:ascii="Tahoma" w:hAnsi="Tahoma"/>
          <w:b/>
          <w:spacing w:val="-2"/>
          <w:sz w:val="32"/>
          <w:u w:val="single"/>
        </w:rPr>
        <w:t>in</w:t>
      </w:r>
      <w:r>
        <w:rPr>
          <w:rFonts w:ascii="Tahoma" w:hAnsi="Tahoma"/>
          <w:b/>
          <w:spacing w:val="5"/>
          <w:sz w:val="32"/>
          <w:u w:val="single"/>
        </w:rPr>
        <w:t> </w:t>
      </w:r>
      <w:r>
        <w:rPr>
          <w:rFonts w:ascii="Tahoma" w:hAnsi="Tahoma"/>
          <w:b/>
          <w:spacing w:val="-2"/>
          <w:sz w:val="32"/>
          <w:u w:val="single"/>
        </w:rPr>
        <w:t>Shakespeare’s</w:t>
      </w:r>
      <w:r>
        <w:rPr>
          <w:rFonts w:ascii="Tahoma" w:hAnsi="Tahoma"/>
          <w:b/>
          <w:spacing w:val="5"/>
          <w:sz w:val="32"/>
          <w:u w:val="single"/>
        </w:rPr>
        <w:t> </w:t>
      </w:r>
      <w:r>
        <w:rPr>
          <w:rFonts w:ascii="Tahoma" w:hAnsi="Tahoma"/>
          <w:b/>
          <w:spacing w:val="-2"/>
          <w:sz w:val="32"/>
          <w:u w:val="single"/>
        </w:rPr>
        <w:t>Plays</w:t>
      </w:r>
      <w:r>
        <w:rPr>
          <w:rFonts w:ascii="Tahoma" w:hAnsi="Tahoma"/>
          <w:b/>
          <w:spacing w:val="80"/>
          <w:w w:val="150"/>
          <w:sz w:val="32"/>
          <w:u w:val="single"/>
        </w:rPr>
        <w:t> </w:t>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925760">
                <wp:simplePos x="0" y="0"/>
                <wp:positionH relativeFrom="page">
                  <wp:posOffset>2057400</wp:posOffset>
                </wp:positionH>
                <wp:positionV relativeFrom="paragraph">
                  <wp:posOffset>60138</wp:posOffset>
                </wp:positionV>
                <wp:extent cx="3657600" cy="7620"/>
                <wp:effectExtent l="0" t="0" r="0" b="0"/>
                <wp:wrapTopAndBottom/>
                <wp:docPr id="892" name="Graphic 892"/>
                <wp:cNvGraphicFramePr>
                  <a:graphicFrameLocks/>
                </wp:cNvGraphicFramePr>
                <a:graphic>
                  <a:graphicData uri="http://schemas.microsoft.com/office/word/2010/wordprocessingShape">
                    <wps:wsp>
                      <wps:cNvPr id="892" name="Graphic 892"/>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3533pt;width:288.000009pt;height:.599991pt;mso-position-horizontal-relative:page;mso-position-vertical-relative:paragraph;z-index:-15390720;mso-wrap-distance-left:0;mso-wrap-distance-right:0" id="docshape884"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8"/>
        <w:jc w:val="right"/>
        <w:rPr>
          <w:rFonts w:ascii="Times New Roman"/>
        </w:rPr>
      </w:pPr>
      <w:r>
        <w:rPr>
          <w:rFonts w:ascii="Times New Roman"/>
        </w:rPr>
        <w:t>Anitha</w:t>
      </w:r>
      <w:r>
        <w:rPr>
          <w:rFonts w:ascii="Times New Roman"/>
          <w:spacing w:val="62"/>
        </w:rPr>
        <w:t> </w:t>
      </w:r>
      <w:r>
        <w:rPr>
          <w:rFonts w:ascii="Times New Roman"/>
          <w:spacing w:val="-2"/>
        </w:rPr>
        <w:t>Pawar</w:t>
      </w:r>
    </w:p>
    <w:p>
      <w:pPr>
        <w:spacing w:before="15"/>
        <w:ind w:left="0" w:right="1440" w:firstLine="0"/>
        <w:jc w:val="right"/>
        <w:rPr>
          <w:i/>
          <w:sz w:val="19"/>
        </w:rPr>
      </w:pPr>
      <w:r>
        <w:rPr>
          <w:i/>
          <w:sz w:val="19"/>
        </w:rPr>
        <w:t>Resarch</w:t>
      </w:r>
      <w:r>
        <w:rPr>
          <w:i/>
          <w:spacing w:val="41"/>
          <w:sz w:val="19"/>
        </w:rPr>
        <w:t> </w:t>
      </w:r>
      <w:r>
        <w:rPr>
          <w:i/>
          <w:sz w:val="19"/>
        </w:rPr>
        <w:t>Scholar,</w:t>
      </w:r>
      <w:r>
        <w:rPr>
          <w:i/>
          <w:spacing w:val="44"/>
          <w:sz w:val="19"/>
        </w:rPr>
        <w:t> </w:t>
      </w:r>
      <w:r>
        <w:rPr>
          <w:i/>
          <w:sz w:val="19"/>
        </w:rPr>
        <w:t>TU,</w:t>
      </w:r>
      <w:r>
        <w:rPr>
          <w:i/>
          <w:spacing w:val="40"/>
          <w:sz w:val="19"/>
        </w:rPr>
        <w:t> </w:t>
      </w:r>
      <w:r>
        <w:rPr>
          <w:i/>
          <w:sz w:val="19"/>
        </w:rPr>
        <w:t>NZB,GDC,</w:t>
      </w:r>
      <w:r>
        <w:rPr>
          <w:i/>
          <w:spacing w:val="40"/>
          <w:sz w:val="19"/>
        </w:rPr>
        <w:t> </w:t>
      </w:r>
      <w:r>
        <w:rPr>
          <w:i/>
          <w:sz w:val="19"/>
        </w:rPr>
        <w:t>Art’s</w:t>
      </w:r>
      <w:r>
        <w:rPr>
          <w:i/>
          <w:spacing w:val="41"/>
          <w:sz w:val="19"/>
        </w:rPr>
        <w:t> </w:t>
      </w:r>
      <w:r>
        <w:rPr>
          <w:i/>
          <w:sz w:val="19"/>
        </w:rPr>
        <w:t>and</w:t>
      </w:r>
      <w:r>
        <w:rPr>
          <w:i/>
          <w:spacing w:val="44"/>
          <w:sz w:val="19"/>
        </w:rPr>
        <w:t> </w:t>
      </w:r>
      <w:r>
        <w:rPr>
          <w:i/>
          <w:sz w:val="19"/>
        </w:rPr>
        <w:t>Commerce</w:t>
      </w:r>
      <w:r>
        <w:rPr>
          <w:i/>
          <w:spacing w:val="39"/>
          <w:sz w:val="19"/>
        </w:rPr>
        <w:t> </w:t>
      </w:r>
      <w:r>
        <w:rPr>
          <w:i/>
          <w:spacing w:val="-5"/>
          <w:sz w:val="19"/>
        </w:rPr>
        <w:t>Adb</w:t>
      </w:r>
    </w:p>
    <w:p>
      <w:pPr>
        <w:pStyle w:val="BodyText"/>
        <w:spacing w:before="3"/>
        <w:ind w:left="0"/>
        <w:rPr>
          <w:i/>
          <w:sz w:val="19"/>
        </w:rPr>
      </w:pPr>
    </w:p>
    <w:p>
      <w:pPr>
        <w:pStyle w:val="Heading5"/>
        <w:ind w:left="0" w:right="1438"/>
        <w:jc w:val="right"/>
        <w:rPr>
          <w:rFonts w:ascii="Times New Roman"/>
        </w:rPr>
      </w:pPr>
      <w:r>
        <w:rPr>
          <w:rFonts w:ascii="Times New Roman"/>
        </w:rPr>
        <w:t>Dr.</w:t>
      </w:r>
      <w:r>
        <w:rPr>
          <w:rFonts w:ascii="Times New Roman"/>
          <w:spacing w:val="36"/>
        </w:rPr>
        <w:t> </w:t>
      </w:r>
      <w:r>
        <w:rPr>
          <w:rFonts w:ascii="Times New Roman"/>
        </w:rPr>
        <w:t>P.</w:t>
      </w:r>
      <w:r>
        <w:rPr>
          <w:rFonts w:ascii="Times New Roman"/>
          <w:spacing w:val="36"/>
        </w:rPr>
        <w:t> </w:t>
      </w:r>
      <w:r>
        <w:rPr>
          <w:rFonts w:ascii="Times New Roman"/>
          <w:spacing w:val="-2"/>
        </w:rPr>
        <w:t>Samata</w:t>
      </w:r>
    </w:p>
    <w:p>
      <w:pPr>
        <w:spacing w:before="15"/>
        <w:ind w:left="0" w:right="1436" w:firstLine="0"/>
        <w:jc w:val="right"/>
        <w:rPr>
          <w:i/>
          <w:sz w:val="19"/>
        </w:rPr>
      </w:pPr>
      <w:r>
        <w:rPr>
          <w:i/>
          <w:sz w:val="19"/>
        </w:rPr>
        <w:t>Supervisor,</w:t>
      </w:r>
      <w:r>
        <w:rPr>
          <w:i/>
          <w:spacing w:val="47"/>
          <w:sz w:val="19"/>
        </w:rPr>
        <w:t> </w:t>
      </w:r>
      <w:r>
        <w:rPr>
          <w:i/>
          <w:sz w:val="19"/>
        </w:rPr>
        <w:t>Asst</w:t>
      </w:r>
      <w:r>
        <w:rPr>
          <w:i/>
          <w:spacing w:val="53"/>
          <w:sz w:val="19"/>
        </w:rPr>
        <w:t> </w:t>
      </w:r>
      <w:r>
        <w:rPr>
          <w:i/>
          <w:sz w:val="19"/>
        </w:rPr>
        <w:t>.Prof</w:t>
      </w:r>
      <w:r>
        <w:rPr>
          <w:i/>
          <w:spacing w:val="51"/>
          <w:sz w:val="19"/>
        </w:rPr>
        <w:t> </w:t>
      </w:r>
      <w:r>
        <w:rPr>
          <w:i/>
          <w:sz w:val="19"/>
        </w:rPr>
        <w:t>of</w:t>
      </w:r>
      <w:r>
        <w:rPr>
          <w:i/>
          <w:spacing w:val="51"/>
          <w:sz w:val="19"/>
        </w:rPr>
        <w:t> </w:t>
      </w:r>
      <w:r>
        <w:rPr>
          <w:i/>
          <w:sz w:val="19"/>
        </w:rPr>
        <w:t>English,</w:t>
      </w:r>
      <w:r>
        <w:rPr>
          <w:i/>
          <w:spacing w:val="54"/>
          <w:sz w:val="19"/>
        </w:rPr>
        <w:t> </w:t>
      </w:r>
      <w:r>
        <w:rPr>
          <w:i/>
          <w:sz w:val="19"/>
        </w:rPr>
        <w:t>Telangana</w:t>
      </w:r>
      <w:r>
        <w:rPr>
          <w:i/>
          <w:spacing w:val="51"/>
          <w:sz w:val="19"/>
        </w:rPr>
        <w:t> </w:t>
      </w:r>
      <w:r>
        <w:rPr>
          <w:i/>
          <w:spacing w:val="-2"/>
          <w:sz w:val="19"/>
        </w:rPr>
        <w:t>University,</w:t>
      </w:r>
    </w:p>
    <w:p>
      <w:pPr>
        <w:spacing w:before="10"/>
        <w:ind w:left="0" w:right="1437" w:firstLine="0"/>
        <w:jc w:val="right"/>
        <w:rPr>
          <w:i/>
          <w:sz w:val="19"/>
        </w:rPr>
      </w:pPr>
      <w:r>
        <w:rPr>
          <w:i/>
          <w:spacing w:val="-2"/>
          <w:sz w:val="19"/>
        </w:rPr>
        <w:t>Nizamabad</w:t>
      </w:r>
    </w:p>
    <w:p>
      <w:pPr>
        <w:pStyle w:val="BodyText"/>
        <w:spacing w:before="160"/>
        <w:ind w:left="0"/>
        <w:rPr>
          <w:i/>
          <w:sz w:val="19"/>
        </w:rPr>
      </w:pPr>
    </w:p>
    <w:p>
      <w:pPr>
        <w:pStyle w:val="Heading3"/>
        <w:spacing w:before="1"/>
      </w:pPr>
      <w:r>
        <w:rPr>
          <w:spacing w:val="-2"/>
        </w:rPr>
        <w:t>ABSTRACT</w:t>
      </w:r>
    </w:p>
    <w:p>
      <w:pPr>
        <w:pStyle w:val="BodyText"/>
        <w:spacing w:line="264" w:lineRule="auto" w:before="82"/>
        <w:ind w:right="1437" w:firstLine="432"/>
        <w:jc w:val="both"/>
      </w:pPr>
      <w:r>
        <w:rPr/>
        <w:t>Shakespeare’s plays reveal the significance of gender and sexual </w:t>
      </w:r>
      <w:r>
        <w:rPr>
          <w:spacing w:val="-2"/>
        </w:rPr>
        <w:t>identities</w:t>
      </w:r>
      <w:r>
        <w:rPr>
          <w:spacing w:val="-10"/>
        </w:rPr>
        <w:t> </w:t>
      </w:r>
      <w:r>
        <w:rPr>
          <w:spacing w:val="-2"/>
        </w:rPr>
        <w:t>in</w:t>
      </w:r>
      <w:r>
        <w:rPr>
          <w:spacing w:val="-8"/>
        </w:rPr>
        <w:t> </w:t>
      </w:r>
      <w:r>
        <w:rPr>
          <w:spacing w:val="-2"/>
        </w:rPr>
        <w:t>the</w:t>
      </w:r>
      <w:r>
        <w:rPr>
          <w:spacing w:val="-8"/>
        </w:rPr>
        <w:t> </w:t>
      </w:r>
      <w:r>
        <w:rPr>
          <w:spacing w:val="-2"/>
        </w:rPr>
        <w:t>structure</w:t>
      </w:r>
      <w:r>
        <w:rPr>
          <w:spacing w:val="-8"/>
        </w:rPr>
        <w:t> </w:t>
      </w:r>
      <w:r>
        <w:rPr>
          <w:spacing w:val="-2"/>
        </w:rPr>
        <w:t>of</w:t>
      </w:r>
      <w:r>
        <w:rPr>
          <w:spacing w:val="-8"/>
        </w:rPr>
        <w:t> </w:t>
      </w:r>
      <w:r>
        <w:rPr>
          <w:spacing w:val="-2"/>
        </w:rPr>
        <w:t>identity</w:t>
      </w:r>
      <w:r>
        <w:rPr>
          <w:spacing w:val="-11"/>
        </w:rPr>
        <w:t> </w:t>
      </w:r>
      <w:r>
        <w:rPr>
          <w:spacing w:val="-2"/>
        </w:rPr>
        <w:t>and</w:t>
      </w:r>
      <w:r>
        <w:rPr>
          <w:spacing w:val="-5"/>
        </w:rPr>
        <w:t> </w:t>
      </w:r>
      <w:r>
        <w:rPr>
          <w:spacing w:val="-2"/>
        </w:rPr>
        <w:t>power.</w:t>
      </w:r>
      <w:r>
        <w:rPr>
          <w:spacing w:val="-8"/>
        </w:rPr>
        <w:t> </w:t>
      </w:r>
      <w:r>
        <w:rPr>
          <w:spacing w:val="-2"/>
        </w:rPr>
        <w:t>In</w:t>
      </w:r>
      <w:r>
        <w:rPr>
          <w:spacing w:val="-8"/>
        </w:rPr>
        <w:t> </w:t>
      </w:r>
      <w:r>
        <w:rPr>
          <w:spacing w:val="-2"/>
        </w:rPr>
        <w:t>his</w:t>
      </w:r>
      <w:r>
        <w:rPr>
          <w:spacing w:val="-8"/>
        </w:rPr>
        <w:t> </w:t>
      </w:r>
      <w:r>
        <w:rPr>
          <w:spacing w:val="-2"/>
        </w:rPr>
        <w:t>works,</w:t>
      </w:r>
      <w:r>
        <w:rPr>
          <w:spacing w:val="-8"/>
        </w:rPr>
        <w:t> </w:t>
      </w:r>
      <w:r>
        <w:rPr>
          <w:spacing w:val="-2"/>
        </w:rPr>
        <w:t>Shakespeare </w:t>
      </w:r>
      <w:r>
        <w:rPr/>
        <w:t>looks</w:t>
      </w:r>
      <w:r>
        <w:rPr>
          <w:spacing w:val="-10"/>
        </w:rPr>
        <w:t> </w:t>
      </w:r>
      <w:r>
        <w:rPr/>
        <w:t>at</w:t>
      </w:r>
      <w:r>
        <w:rPr>
          <w:spacing w:val="-9"/>
        </w:rPr>
        <w:t> </w:t>
      </w:r>
      <w:r>
        <w:rPr/>
        <w:t>how</w:t>
      </w:r>
      <w:r>
        <w:rPr>
          <w:spacing w:val="-12"/>
        </w:rPr>
        <w:t> </w:t>
      </w:r>
      <w:r>
        <w:rPr/>
        <w:t>gender</w:t>
      </w:r>
      <w:r>
        <w:rPr>
          <w:spacing w:val="-5"/>
        </w:rPr>
        <w:t> </w:t>
      </w:r>
      <w:r>
        <w:rPr/>
        <w:t>can</w:t>
      </w:r>
      <w:r>
        <w:rPr>
          <w:spacing w:val="-10"/>
        </w:rPr>
        <w:t> </w:t>
      </w:r>
      <w:r>
        <w:rPr/>
        <w:t>persuade</w:t>
      </w:r>
      <w:r>
        <w:rPr>
          <w:spacing w:val="-9"/>
        </w:rPr>
        <w:t> </w:t>
      </w:r>
      <w:r>
        <w:rPr/>
        <w:t>one’s</w:t>
      </w:r>
      <w:r>
        <w:rPr>
          <w:spacing w:val="-9"/>
        </w:rPr>
        <w:t> </w:t>
      </w:r>
      <w:r>
        <w:rPr/>
        <w:t>sense</w:t>
      </w:r>
      <w:r>
        <w:rPr>
          <w:spacing w:val="-8"/>
        </w:rPr>
        <w:t> </w:t>
      </w:r>
      <w:r>
        <w:rPr/>
        <w:t>of</w:t>
      </w:r>
      <w:r>
        <w:rPr>
          <w:spacing w:val="-10"/>
        </w:rPr>
        <w:t> </w:t>
      </w:r>
      <w:r>
        <w:rPr/>
        <w:t>self</w:t>
      </w:r>
      <w:r>
        <w:rPr>
          <w:spacing w:val="-7"/>
        </w:rPr>
        <w:t> </w:t>
      </w:r>
      <w:r>
        <w:rPr/>
        <w:t>and</w:t>
      </w:r>
      <w:r>
        <w:rPr>
          <w:spacing w:val="-7"/>
        </w:rPr>
        <w:t> </w:t>
      </w:r>
      <w:r>
        <w:rPr/>
        <w:t>their</w:t>
      </w:r>
      <w:r>
        <w:rPr>
          <w:spacing w:val="-7"/>
        </w:rPr>
        <w:t> </w:t>
      </w:r>
      <w:r>
        <w:rPr/>
        <w:t>capability to put forth</w:t>
      </w:r>
      <w:r>
        <w:rPr>
          <w:spacing w:val="40"/>
        </w:rPr>
        <w:t> </w:t>
      </w:r>
      <w:r>
        <w:rPr/>
        <w:t>the power. One elucidation of Shakespeare’s study of gender and power is that it aligns him with the thoughts of postmodernism. This can be seen in how Shakespeare uses rudiments</w:t>
      </w:r>
      <w:r>
        <w:rPr>
          <w:spacing w:val="40"/>
        </w:rPr>
        <w:t> </w:t>
      </w:r>
      <w:r>
        <w:rPr/>
        <w:t>of sexuality in his plays and the interpretations he makes about the upshots of gender on identity. Prior research has examined the gender dynamics within Shakespeare’s plays, spotlight on factors such as the portrayals of male and female characters, the power dynamics between them, and the communal norms of the time. This paper aims to explore the relationship between gender and power in Shakespeare’s plays, probe into the linguistic distinctions created by the playwright and exploring how these dynamics replicate and confront the patriarchal structures</w:t>
      </w:r>
      <w:r>
        <w:rPr>
          <w:spacing w:val="40"/>
        </w:rPr>
        <w:t> </w:t>
      </w:r>
      <w:r>
        <w:rPr/>
        <w:t>of</w:t>
      </w:r>
      <w:r>
        <w:rPr>
          <w:spacing w:val="40"/>
        </w:rPr>
        <w:t> </w:t>
      </w:r>
      <w:r>
        <w:rPr/>
        <w:t>the</w:t>
      </w:r>
      <w:r>
        <w:rPr>
          <w:spacing w:val="40"/>
        </w:rPr>
        <w:t> </w:t>
      </w:r>
      <w:r>
        <w:rPr/>
        <w:t>time.</w:t>
      </w:r>
    </w:p>
    <w:p>
      <w:pPr>
        <w:pStyle w:val="BodyText"/>
        <w:spacing w:line="264" w:lineRule="auto" w:before="43"/>
        <w:ind w:right="1440" w:firstLine="432"/>
        <w:jc w:val="both"/>
      </w:pPr>
      <w:r>
        <w:rPr>
          <w:b/>
        </w:rPr>
        <w:t>Keywords: </w:t>
      </w:r>
      <w:r>
        <w:rPr/>
        <w:t>Shakespeare, postmodernism, gender and power, linguistic</w:t>
      </w:r>
      <w:r>
        <w:rPr>
          <w:spacing w:val="40"/>
        </w:rPr>
        <w:t> </w:t>
      </w:r>
      <w:r>
        <w:rPr/>
        <w:t>distinctions</w:t>
      </w:r>
      <w:r>
        <w:rPr>
          <w:spacing w:val="40"/>
        </w:rPr>
        <w:t> </w:t>
      </w:r>
      <w:r>
        <w:rPr/>
        <w:t>etc.</w:t>
      </w:r>
    </w:p>
    <w:p>
      <w:pPr>
        <w:pStyle w:val="BodyText"/>
        <w:spacing w:after="0" w:line="264"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6067584">
                <wp:simplePos x="0" y="0"/>
                <wp:positionH relativeFrom="page">
                  <wp:posOffset>2057400</wp:posOffset>
                </wp:positionH>
                <wp:positionV relativeFrom="paragraph">
                  <wp:posOffset>226097</wp:posOffset>
                </wp:positionV>
                <wp:extent cx="3657600" cy="12700"/>
                <wp:effectExtent l="0" t="0" r="0" b="0"/>
                <wp:wrapNone/>
                <wp:docPr id="893" name="Graphic 893"/>
                <wp:cNvGraphicFramePr>
                  <a:graphicFrameLocks/>
                </wp:cNvGraphicFramePr>
                <a:graphic>
                  <a:graphicData uri="http://schemas.microsoft.com/office/word/2010/wordprocessingShape">
                    <wps:wsp>
                      <wps:cNvPr id="893" name="Graphic 893"/>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6067584" id="docshape885" filled="true" fillcolor="#000000" stroked="false">
                <v:fill type="solid"/>
                <w10:wrap type="none"/>
              </v:rect>
            </w:pict>
          </mc:Fallback>
        </mc:AlternateContent>
      </w:r>
      <w:r>
        <w:rPr>
          <w:rFonts w:ascii="Verdana"/>
          <w:spacing w:val="-5"/>
          <w:w w:val="95"/>
          <w:sz w:val="18"/>
        </w:rPr>
        <w:t>470</w:t>
      </w:r>
    </w:p>
    <w:p>
      <w:pPr>
        <w:pStyle w:val="BodyText"/>
        <w:spacing w:before="10"/>
        <w:ind w:left="0"/>
        <w:rPr>
          <w:rFonts w:ascii="Verdana"/>
          <w:sz w:val="18"/>
        </w:rPr>
      </w:pPr>
    </w:p>
    <w:p>
      <w:pPr>
        <w:pStyle w:val="Heading3"/>
        <w:spacing w:before="1"/>
      </w:pPr>
      <w:r>
        <w:rPr>
          <w:spacing w:val="-2"/>
          <w:w w:val="85"/>
        </w:rPr>
        <w:t>INTRODUCTION</w:t>
      </w:r>
    </w:p>
    <w:p>
      <w:pPr>
        <w:spacing w:before="100"/>
        <w:ind w:left="1189"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3091" w:space="40"/>
            <w:col w:w="5509"/>
          </w:cols>
        </w:sectPr>
      </w:pPr>
    </w:p>
    <w:p>
      <w:pPr>
        <w:pStyle w:val="BodyText"/>
        <w:spacing w:line="249" w:lineRule="auto" w:before="75"/>
        <w:ind w:right="1438" w:firstLine="432"/>
        <w:jc w:val="both"/>
      </w:pPr>
      <w:r>
        <w:rPr/>
        <w:t>Shakespeare’s plays have long fascinated readers and scholars because of the way they explore complex themes such as gender and power. Over the past twenty-five years, discussions of gender in Shakespeare have largely been shaped by feminist critics, as noted by Elaine Freedman (2004). These critics have significantly re-evaluated women’s</w:t>
      </w:r>
      <w:r>
        <w:rPr>
          <w:spacing w:val="-9"/>
        </w:rPr>
        <w:t> </w:t>
      </w:r>
      <w:r>
        <w:rPr/>
        <w:t>roles</w:t>
      </w:r>
      <w:r>
        <w:rPr>
          <w:spacing w:val="-7"/>
        </w:rPr>
        <w:t> </w:t>
      </w:r>
      <w:r>
        <w:rPr/>
        <w:t>and</w:t>
      </w:r>
      <w:r>
        <w:rPr>
          <w:spacing w:val="-7"/>
        </w:rPr>
        <w:t> </w:t>
      </w:r>
      <w:r>
        <w:rPr/>
        <w:t>identities,</w:t>
      </w:r>
      <w:r>
        <w:rPr>
          <w:spacing w:val="-7"/>
        </w:rPr>
        <w:t> </w:t>
      </w:r>
      <w:r>
        <w:rPr/>
        <w:t>with</w:t>
      </w:r>
      <w:r>
        <w:rPr>
          <w:spacing w:val="-9"/>
        </w:rPr>
        <w:t> </w:t>
      </w:r>
      <w:r>
        <w:rPr/>
        <w:t>such</w:t>
      </w:r>
      <w:r>
        <w:rPr>
          <w:spacing w:val="-7"/>
        </w:rPr>
        <w:t> </w:t>
      </w:r>
      <w:r>
        <w:rPr/>
        <w:t>work</w:t>
      </w:r>
      <w:r>
        <w:rPr>
          <w:spacing w:val="-9"/>
        </w:rPr>
        <w:t> </w:t>
      </w:r>
      <w:r>
        <w:rPr/>
        <w:t>tracing</w:t>
      </w:r>
      <w:r>
        <w:rPr>
          <w:spacing w:val="-7"/>
        </w:rPr>
        <w:t> </w:t>
      </w:r>
      <w:r>
        <w:rPr/>
        <w:t>back</w:t>
      </w:r>
      <w:r>
        <w:rPr>
          <w:spacing w:val="-9"/>
        </w:rPr>
        <w:t> </w:t>
      </w:r>
      <w:r>
        <w:rPr/>
        <w:t>to</w:t>
      </w:r>
      <w:r>
        <w:rPr>
          <w:spacing w:val="-4"/>
        </w:rPr>
        <w:t> </w:t>
      </w:r>
      <w:r>
        <w:rPr/>
        <w:t>1975</w:t>
      </w:r>
      <w:r>
        <w:rPr>
          <w:spacing w:val="-7"/>
        </w:rPr>
        <w:t> </w:t>
      </w:r>
      <w:r>
        <w:rPr/>
        <w:t>when Juliet</w:t>
      </w:r>
      <w:r>
        <w:rPr>
          <w:spacing w:val="-6"/>
        </w:rPr>
        <w:t> </w:t>
      </w:r>
      <w:r>
        <w:rPr/>
        <w:t>Dusinberre</w:t>
      </w:r>
      <w:r>
        <w:rPr>
          <w:spacing w:val="-7"/>
        </w:rPr>
        <w:t> </w:t>
      </w:r>
      <w:r>
        <w:rPr/>
        <w:t>published</w:t>
      </w:r>
      <w:r>
        <w:rPr>
          <w:spacing w:val="-6"/>
        </w:rPr>
        <w:t> </w:t>
      </w:r>
      <w:r>
        <w:rPr/>
        <w:t>her</w:t>
      </w:r>
      <w:r>
        <w:rPr>
          <w:spacing w:val="-6"/>
        </w:rPr>
        <w:t> </w:t>
      </w:r>
      <w:r>
        <w:rPr/>
        <w:t>influential</w:t>
      </w:r>
      <w:r>
        <w:rPr>
          <w:spacing w:val="-8"/>
        </w:rPr>
        <w:t> </w:t>
      </w:r>
      <w:r>
        <w:rPr/>
        <w:t>study.</w:t>
      </w:r>
      <w:r>
        <w:rPr>
          <w:spacing w:val="-6"/>
        </w:rPr>
        <w:t> </w:t>
      </w:r>
      <w:r>
        <w:rPr/>
        <w:t>Dusinberre</w:t>
      </w:r>
      <w:r>
        <w:rPr>
          <w:spacing w:val="-7"/>
        </w:rPr>
        <w:t> </w:t>
      </w:r>
      <w:r>
        <w:rPr/>
        <w:t>challenged traditional male-dominated literary criticism and argued that women have an equal right to interpret texts, ask their own questions, and</w:t>
      </w:r>
      <w:r>
        <w:rPr>
          <w:spacing w:val="40"/>
        </w:rPr>
        <w:t> </w:t>
      </w:r>
      <w:r>
        <w:rPr/>
        <w:t>assert</w:t>
      </w:r>
      <w:r>
        <w:rPr>
          <w:spacing w:val="40"/>
        </w:rPr>
        <w:t> </w:t>
      </w:r>
      <w:r>
        <w:rPr/>
        <w:t>their critical</w:t>
      </w:r>
      <w:r>
        <w:rPr>
          <w:spacing w:val="40"/>
        </w:rPr>
        <w:t> </w:t>
      </w:r>
      <w:r>
        <w:rPr/>
        <w:t>authority.</w:t>
      </w:r>
    </w:p>
    <w:p>
      <w:pPr>
        <w:pStyle w:val="BodyText"/>
        <w:spacing w:line="249" w:lineRule="auto" w:before="66"/>
        <w:ind w:right="1439" w:firstLine="432"/>
        <w:jc w:val="both"/>
      </w:pPr>
      <w:r>
        <w:rPr/>
        <w:t>Another important aspect of power in Shakespeare’s plays is the idea of sovereign violence—where individuals use force to gain or </w:t>
      </w:r>
      <w:r>
        <w:rPr>
          <w:spacing w:val="-2"/>
        </w:rPr>
        <w:t>maintain</w:t>
      </w:r>
      <w:r>
        <w:rPr>
          <w:spacing w:val="-3"/>
        </w:rPr>
        <w:t> </w:t>
      </w:r>
      <w:r>
        <w:rPr>
          <w:spacing w:val="-2"/>
        </w:rPr>
        <w:t>control. Critics</w:t>
      </w:r>
      <w:r>
        <w:rPr>
          <w:spacing w:val="-3"/>
        </w:rPr>
        <w:t> </w:t>
      </w:r>
      <w:r>
        <w:rPr>
          <w:spacing w:val="-2"/>
        </w:rPr>
        <w:t>like</w:t>
      </w:r>
      <w:r>
        <w:rPr>
          <w:spacing w:val="-11"/>
        </w:rPr>
        <w:t> </w:t>
      </w:r>
      <w:r>
        <w:rPr>
          <w:spacing w:val="-2"/>
        </w:rPr>
        <w:t>Anthony</w:t>
      </w:r>
      <w:r>
        <w:rPr>
          <w:spacing w:val="-4"/>
        </w:rPr>
        <w:t> </w:t>
      </w:r>
      <w:r>
        <w:rPr>
          <w:spacing w:val="-2"/>
        </w:rPr>
        <w:t>DiMatteo have pointed out several </w:t>
      </w:r>
      <w:r>
        <w:rPr/>
        <w:t>examples of this in Shakespeare’s works, showing how power often depends</w:t>
      </w:r>
      <w:r>
        <w:rPr>
          <w:spacing w:val="-11"/>
        </w:rPr>
        <w:t> </w:t>
      </w:r>
      <w:r>
        <w:rPr/>
        <w:t>on</w:t>
      </w:r>
      <w:r>
        <w:rPr>
          <w:spacing w:val="-9"/>
        </w:rPr>
        <w:t> </w:t>
      </w:r>
      <w:r>
        <w:rPr/>
        <w:t>domination</w:t>
      </w:r>
      <w:r>
        <w:rPr>
          <w:spacing w:val="-8"/>
        </w:rPr>
        <w:t> </w:t>
      </w:r>
      <w:r>
        <w:rPr/>
        <w:t>and</w:t>
      </w:r>
      <w:r>
        <w:rPr>
          <w:spacing w:val="-6"/>
        </w:rPr>
        <w:t> </w:t>
      </w:r>
      <w:r>
        <w:rPr/>
        <w:t>conflict.</w:t>
      </w:r>
      <w:r>
        <w:rPr>
          <w:spacing w:val="-13"/>
        </w:rPr>
        <w:t> </w:t>
      </w:r>
      <w:r>
        <w:rPr/>
        <w:t>At</w:t>
      </w:r>
      <w:r>
        <w:rPr>
          <w:spacing w:val="-5"/>
        </w:rPr>
        <w:t> </w:t>
      </w:r>
      <w:r>
        <w:rPr/>
        <w:t>the</w:t>
      </w:r>
      <w:r>
        <w:rPr>
          <w:spacing w:val="-8"/>
        </w:rPr>
        <w:t> </w:t>
      </w:r>
      <w:r>
        <w:rPr/>
        <w:t>same</w:t>
      </w:r>
      <w:r>
        <w:rPr>
          <w:spacing w:val="-8"/>
        </w:rPr>
        <w:t> </w:t>
      </w:r>
      <w:r>
        <w:rPr/>
        <w:t>time,</w:t>
      </w:r>
      <w:r>
        <w:rPr>
          <w:spacing w:val="-8"/>
        </w:rPr>
        <w:t> </w:t>
      </w:r>
      <w:r>
        <w:rPr/>
        <w:t>Shakespeare</w:t>
      </w:r>
      <w:r>
        <w:rPr>
          <w:spacing w:val="-8"/>
        </w:rPr>
        <w:t> </w:t>
      </w:r>
      <w:r>
        <w:rPr/>
        <w:t>also </w:t>
      </w:r>
      <w:r>
        <w:rPr>
          <w:spacing w:val="-2"/>
        </w:rPr>
        <w:t>examines</w:t>
      </w:r>
      <w:r>
        <w:rPr>
          <w:spacing w:val="-11"/>
        </w:rPr>
        <w:t> </w:t>
      </w:r>
      <w:r>
        <w:rPr>
          <w:spacing w:val="-2"/>
        </w:rPr>
        <w:t>gender</w:t>
      </w:r>
      <w:r>
        <w:rPr>
          <w:spacing w:val="-10"/>
        </w:rPr>
        <w:t> </w:t>
      </w:r>
      <w:r>
        <w:rPr>
          <w:spacing w:val="-2"/>
        </w:rPr>
        <w:t>roles</w:t>
      </w:r>
      <w:r>
        <w:rPr>
          <w:spacing w:val="-11"/>
        </w:rPr>
        <w:t> </w:t>
      </w:r>
      <w:r>
        <w:rPr>
          <w:spacing w:val="-2"/>
        </w:rPr>
        <w:t>and</w:t>
      </w:r>
      <w:r>
        <w:rPr>
          <w:spacing w:val="-10"/>
        </w:rPr>
        <w:t> </w:t>
      </w:r>
      <w:r>
        <w:rPr>
          <w:spacing w:val="-2"/>
        </w:rPr>
        <w:t>ideas</w:t>
      </w:r>
      <w:r>
        <w:rPr>
          <w:spacing w:val="-11"/>
        </w:rPr>
        <w:t> </w:t>
      </w:r>
      <w:r>
        <w:rPr>
          <w:spacing w:val="-2"/>
        </w:rPr>
        <w:t>of</w:t>
      </w:r>
      <w:r>
        <w:rPr>
          <w:spacing w:val="-10"/>
        </w:rPr>
        <w:t> </w:t>
      </w:r>
      <w:r>
        <w:rPr>
          <w:spacing w:val="-2"/>
        </w:rPr>
        <w:t>masculinity.</w:t>
      </w:r>
      <w:r>
        <w:rPr>
          <w:spacing w:val="-11"/>
        </w:rPr>
        <w:t> </w:t>
      </w:r>
      <w:r>
        <w:rPr>
          <w:spacing w:val="-2"/>
        </w:rPr>
        <w:t>Dusinberre’s</w:t>
      </w:r>
      <w:r>
        <w:rPr>
          <w:spacing w:val="-10"/>
        </w:rPr>
        <w:t> </w:t>
      </w:r>
      <w:r>
        <w:rPr>
          <w:spacing w:val="-2"/>
        </w:rPr>
        <w:t>work</w:t>
      </w:r>
      <w:r>
        <w:rPr>
          <w:spacing w:val="-11"/>
        </w:rPr>
        <w:t> </w:t>
      </w:r>
      <w:r>
        <w:rPr>
          <w:spacing w:val="-2"/>
        </w:rPr>
        <w:t>helped </w:t>
      </w:r>
      <w:r>
        <w:rPr/>
        <w:t>shift attention from male protagonists to femal 23rd Three-Day 23rd e characters, highlighting how women in these plays often question and resist patriarchal norms. Through this, Shakespeare presents gender as something shaped by culture rather than fixed, revealing how societal expectations</w:t>
      </w:r>
      <w:r>
        <w:rPr>
          <w:spacing w:val="40"/>
        </w:rPr>
        <w:t> </w:t>
      </w:r>
      <w:r>
        <w:rPr/>
        <w:t>influence both</w:t>
      </w:r>
      <w:r>
        <w:rPr>
          <w:spacing w:val="40"/>
        </w:rPr>
        <w:t> </w:t>
      </w:r>
      <w:r>
        <w:rPr/>
        <w:t>men and</w:t>
      </w:r>
      <w:r>
        <w:rPr>
          <w:spacing w:val="40"/>
        </w:rPr>
        <w:t> </w:t>
      </w:r>
      <w:r>
        <w:rPr/>
        <w:t>women.</w:t>
      </w:r>
    </w:p>
    <w:p>
      <w:pPr>
        <w:pStyle w:val="Heading3"/>
        <w:spacing w:before="162"/>
      </w:pPr>
      <w:r>
        <w:rPr>
          <w:w w:val="90"/>
        </w:rPr>
        <w:t>GENDER</w:t>
      </w:r>
      <w:r>
        <w:rPr>
          <w:spacing w:val="16"/>
        </w:rPr>
        <w:t> </w:t>
      </w:r>
      <w:r>
        <w:rPr>
          <w:w w:val="90"/>
        </w:rPr>
        <w:t>AND</w:t>
      </w:r>
      <w:r>
        <w:rPr>
          <w:spacing w:val="16"/>
        </w:rPr>
        <w:t> </w:t>
      </w:r>
      <w:r>
        <w:rPr>
          <w:w w:val="90"/>
        </w:rPr>
        <w:t>POWER:</w:t>
      </w:r>
      <w:r>
        <w:rPr>
          <w:spacing w:val="22"/>
        </w:rPr>
        <w:t> </w:t>
      </w:r>
      <w:r>
        <w:rPr>
          <w:w w:val="90"/>
        </w:rPr>
        <w:t>A</w:t>
      </w:r>
      <w:r>
        <w:rPr>
          <w:spacing w:val="16"/>
        </w:rPr>
        <w:t> </w:t>
      </w:r>
      <w:r>
        <w:rPr>
          <w:w w:val="90"/>
        </w:rPr>
        <w:t>CRITICAL</w:t>
      </w:r>
      <w:r>
        <w:rPr>
          <w:spacing w:val="16"/>
        </w:rPr>
        <w:t> </w:t>
      </w:r>
      <w:r>
        <w:rPr>
          <w:spacing w:val="-2"/>
          <w:w w:val="90"/>
        </w:rPr>
        <w:t>PERSPECTIVE</w:t>
      </w:r>
    </w:p>
    <w:p>
      <w:pPr>
        <w:pStyle w:val="BodyText"/>
        <w:spacing w:line="249" w:lineRule="auto" w:before="78"/>
        <w:ind w:right="1441" w:firstLine="432"/>
        <w:jc w:val="both"/>
      </w:pPr>
      <w:r>
        <w:rPr/>
        <w:t>Theoretical approaches to gender and power offer an important lens for understanding how these dynamics operate in Shakespeare’s plays. One influential perspective is the theory of gender and power, which highlights the close connection between gender relations and </w:t>
      </w:r>
      <w:r>
        <w:rPr>
          <w:spacing w:val="-2"/>
        </w:rPr>
        <w:t>structures</w:t>
      </w:r>
      <w:r>
        <w:rPr>
          <w:spacing w:val="-11"/>
        </w:rPr>
        <w:t> </w:t>
      </w:r>
      <w:r>
        <w:rPr>
          <w:spacing w:val="-2"/>
        </w:rPr>
        <w:t>of</w:t>
      </w:r>
      <w:r>
        <w:rPr>
          <w:spacing w:val="-10"/>
        </w:rPr>
        <w:t> </w:t>
      </w:r>
      <w:r>
        <w:rPr>
          <w:spacing w:val="-2"/>
        </w:rPr>
        <w:t>power.</w:t>
      </w:r>
      <w:r>
        <w:rPr>
          <w:spacing w:val="-11"/>
        </w:rPr>
        <w:t> </w:t>
      </w:r>
      <w:r>
        <w:rPr>
          <w:spacing w:val="-2"/>
        </w:rPr>
        <w:t>According</w:t>
      </w:r>
      <w:r>
        <w:rPr>
          <w:spacing w:val="-10"/>
        </w:rPr>
        <w:t> </w:t>
      </w:r>
      <w:r>
        <w:rPr>
          <w:spacing w:val="-2"/>
        </w:rPr>
        <w:t>to</w:t>
      </w:r>
      <w:r>
        <w:rPr>
          <w:spacing w:val="-11"/>
        </w:rPr>
        <w:t> </w:t>
      </w:r>
      <w:r>
        <w:rPr>
          <w:spacing w:val="-2"/>
        </w:rPr>
        <w:t>this</w:t>
      </w:r>
      <w:r>
        <w:rPr>
          <w:spacing w:val="-10"/>
        </w:rPr>
        <w:t> </w:t>
      </w:r>
      <w:r>
        <w:rPr>
          <w:spacing w:val="-2"/>
        </w:rPr>
        <w:t>framework,</w:t>
      </w:r>
      <w:r>
        <w:rPr>
          <w:spacing w:val="-11"/>
        </w:rPr>
        <w:t> </w:t>
      </w:r>
      <w:r>
        <w:rPr>
          <w:spacing w:val="-2"/>
        </w:rPr>
        <w:t>power</w:t>
      </w:r>
      <w:r>
        <w:rPr>
          <w:spacing w:val="-10"/>
        </w:rPr>
        <w:t> </w:t>
      </w:r>
      <w:r>
        <w:rPr>
          <w:spacing w:val="-2"/>
        </w:rPr>
        <w:t>is</w:t>
      </w:r>
      <w:r>
        <w:rPr>
          <w:spacing w:val="-11"/>
        </w:rPr>
        <w:t> </w:t>
      </w:r>
      <w:r>
        <w:rPr>
          <w:spacing w:val="-2"/>
        </w:rPr>
        <w:t>not</w:t>
      </w:r>
      <w:r>
        <w:rPr>
          <w:spacing w:val="-10"/>
        </w:rPr>
        <w:t> </w:t>
      </w:r>
      <w:r>
        <w:rPr>
          <w:spacing w:val="-2"/>
        </w:rPr>
        <w:t>distributed </w:t>
      </w:r>
      <w:r>
        <w:rPr/>
        <w:t>neutrally but is shaped by wider social, economic, and cultural forces.</w:t>
      </w:r>
      <w:r>
        <w:rPr>
          <w:spacing w:val="40"/>
        </w:rPr>
        <w:t> </w:t>
      </w:r>
      <w:r>
        <w:rPr/>
        <w:t>It draws attention to issues such as the division of labour, economic inequality, patterns of authority within personal relationships, and the influence of social norms on behaviour (Freedman, 2004).</w:t>
      </w:r>
    </w:p>
    <w:p>
      <w:pPr>
        <w:pStyle w:val="BodyText"/>
        <w:spacing w:line="249" w:lineRule="auto" w:before="65"/>
        <w:ind w:right="1439" w:firstLine="432"/>
        <w:jc w:val="both"/>
      </w:pPr>
      <w:r>
        <w:rPr/>
        <w:t>Feminist scholarship further deepens this analysis by examining how power operates within institutions and social systems. It shows how hierarchies are often constructed and maintained through both </w:t>
      </w:r>
      <w:r>
        <w:rPr>
          <w:spacing w:val="-2"/>
        </w:rPr>
        <w:t>gender</w:t>
      </w:r>
      <w:r>
        <w:rPr>
          <w:spacing w:val="-5"/>
        </w:rPr>
        <w:t> </w:t>
      </w:r>
      <w:r>
        <w:rPr>
          <w:spacing w:val="-2"/>
        </w:rPr>
        <w:t>and</w:t>
      </w:r>
      <w:r>
        <w:rPr>
          <w:spacing w:val="-5"/>
        </w:rPr>
        <w:t> </w:t>
      </w:r>
      <w:r>
        <w:rPr>
          <w:spacing w:val="-2"/>
        </w:rPr>
        <w:t>race,</w:t>
      </w:r>
      <w:r>
        <w:rPr>
          <w:spacing w:val="-9"/>
        </w:rPr>
        <w:t> </w:t>
      </w:r>
      <w:r>
        <w:rPr>
          <w:spacing w:val="-2"/>
        </w:rPr>
        <w:t>reinforcing</w:t>
      </w:r>
      <w:r>
        <w:rPr>
          <w:spacing w:val="-7"/>
        </w:rPr>
        <w:t> </w:t>
      </w:r>
      <w:r>
        <w:rPr>
          <w:spacing w:val="-2"/>
        </w:rPr>
        <w:t>inequalities</w:t>
      </w:r>
      <w:r>
        <w:rPr>
          <w:spacing w:val="-7"/>
        </w:rPr>
        <w:t> </w:t>
      </w:r>
      <w:r>
        <w:rPr>
          <w:spacing w:val="-2"/>
        </w:rPr>
        <w:t>across</w:t>
      </w:r>
      <w:r>
        <w:rPr>
          <w:spacing w:val="-7"/>
        </w:rPr>
        <w:t> </w:t>
      </w:r>
      <w:r>
        <w:rPr>
          <w:spacing w:val="-2"/>
        </w:rPr>
        <w:t>different</w:t>
      </w:r>
      <w:r>
        <w:rPr>
          <w:spacing w:val="-9"/>
        </w:rPr>
        <w:t> </w:t>
      </w:r>
      <w:r>
        <w:rPr>
          <w:spacing w:val="-2"/>
        </w:rPr>
        <w:t>levels</w:t>
      </w:r>
      <w:r>
        <w:rPr>
          <w:spacing w:val="-7"/>
        </w:rPr>
        <w:t> </w:t>
      </w:r>
      <w:r>
        <w:rPr>
          <w:spacing w:val="-2"/>
        </w:rPr>
        <w:t>of</w:t>
      </w:r>
      <w:r>
        <w:rPr>
          <w:spacing w:val="-7"/>
        </w:rPr>
        <w:t> </w:t>
      </w:r>
      <w:r>
        <w:rPr>
          <w:spacing w:val="-2"/>
        </w:rPr>
        <w:t>society. </w:t>
      </w:r>
      <w:r>
        <w:rPr/>
        <w:t>When applied to Shakespeare’s works, these frameworks help reveal how</w:t>
      </w:r>
      <w:r>
        <w:rPr>
          <w:spacing w:val="65"/>
        </w:rPr>
        <w:t> </w:t>
      </w:r>
      <w:r>
        <w:rPr/>
        <w:t>characters</w:t>
      </w:r>
      <w:r>
        <w:rPr>
          <w:spacing w:val="73"/>
        </w:rPr>
        <w:t> </w:t>
      </w:r>
      <w:r>
        <w:rPr/>
        <w:t>negotiate</w:t>
      </w:r>
      <w:r>
        <w:rPr>
          <w:spacing w:val="74"/>
        </w:rPr>
        <w:t> </w:t>
      </w:r>
      <w:r>
        <w:rPr/>
        <w:t>power</w:t>
      </w:r>
      <w:r>
        <w:rPr>
          <w:spacing w:val="72"/>
        </w:rPr>
        <w:t> </w:t>
      </w:r>
      <w:r>
        <w:rPr/>
        <w:t>within</w:t>
      </w:r>
      <w:r>
        <w:rPr>
          <w:spacing w:val="73"/>
        </w:rPr>
        <w:t> </w:t>
      </w:r>
      <w:r>
        <w:rPr/>
        <w:t>the</w:t>
      </w:r>
      <w:r>
        <w:rPr>
          <w:spacing w:val="73"/>
        </w:rPr>
        <w:t> </w:t>
      </w:r>
      <w:r>
        <w:rPr/>
        <w:t>constraints</w:t>
      </w:r>
      <w:r>
        <w:rPr>
          <w:spacing w:val="73"/>
        </w:rPr>
        <w:t> </w:t>
      </w:r>
      <w:r>
        <w:rPr/>
        <w:t>of</w:t>
      </w:r>
      <w:r>
        <w:rPr>
          <w:spacing w:val="72"/>
        </w:rPr>
        <w:t> </w:t>
      </w:r>
      <w:r>
        <w:rPr>
          <w:spacing w:val="-2"/>
        </w:rPr>
        <w:t>gender</w:t>
      </w:r>
    </w:p>
    <w:p>
      <w:pPr>
        <w:pStyle w:val="BodyText"/>
        <w:spacing w:after="0" w:line="249" w:lineRule="auto"/>
        <w:jc w:val="both"/>
        <w:sectPr>
          <w:type w:val="continuous"/>
          <w:pgSz w:w="12240" w:h="15840"/>
          <w:pgMar w:top="138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27296">
                <wp:simplePos x="0" y="0"/>
                <wp:positionH relativeFrom="page">
                  <wp:posOffset>2065020</wp:posOffset>
                </wp:positionH>
                <wp:positionV relativeFrom="paragraph">
                  <wp:posOffset>795020</wp:posOffset>
                </wp:positionV>
                <wp:extent cx="3657600" cy="12700"/>
                <wp:effectExtent l="0" t="0" r="0" b="0"/>
                <wp:wrapTopAndBottom/>
                <wp:docPr id="894" name="Graphic 894"/>
                <wp:cNvGraphicFramePr>
                  <a:graphicFrameLocks/>
                </wp:cNvGraphicFramePr>
                <a:graphic>
                  <a:graphicData uri="http://schemas.microsoft.com/office/word/2010/wordprocessingShape">
                    <wps:wsp>
                      <wps:cNvPr id="894" name="Graphic 894"/>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89184;mso-wrap-distance-left:0;mso-wrap-distance-right:0" id="docshape886" filled="true" fillcolor="#000000" stroked="false">
                <v:fill type="solid"/>
                <w10:wrap type="topAndBottom"/>
              </v:rect>
            </w:pict>
          </mc:Fallback>
        </mc:AlternateContent>
      </w:r>
      <w:r>
        <w:rPr>
          <w:rFonts w:ascii="Verdana"/>
          <w:sz w:val="18"/>
        </w:rPr>
        <w:t>The</w:t>
      </w:r>
      <w:r>
        <w:rPr>
          <w:rFonts w:ascii="Verdana"/>
          <w:spacing w:val="7"/>
          <w:sz w:val="18"/>
        </w:rPr>
        <w:t> </w:t>
      </w:r>
      <w:r>
        <w:rPr>
          <w:rFonts w:ascii="Verdana"/>
          <w:sz w:val="18"/>
        </w:rPr>
        <w:t>Relationship</w:t>
      </w:r>
      <w:r>
        <w:rPr>
          <w:rFonts w:ascii="Verdana"/>
          <w:spacing w:val="8"/>
          <w:sz w:val="18"/>
        </w:rPr>
        <w:t> </w:t>
      </w:r>
      <w:r>
        <w:rPr>
          <w:rFonts w:ascii="Verdana"/>
          <w:sz w:val="18"/>
        </w:rPr>
        <w:t>between</w:t>
      </w:r>
      <w:r>
        <w:rPr>
          <w:rFonts w:ascii="Verdana"/>
          <w:spacing w:val="8"/>
          <w:sz w:val="18"/>
        </w:rPr>
        <w:t> </w:t>
      </w:r>
      <w:r>
        <w:rPr>
          <w:rFonts w:ascii="Verdana"/>
          <w:sz w:val="18"/>
        </w:rPr>
        <w:t>Gender</w:t>
      </w:r>
      <w:r>
        <w:rPr>
          <w:rFonts w:ascii="Verdana"/>
          <w:spacing w:val="11"/>
          <w:sz w:val="18"/>
        </w:rPr>
        <w:t> </w:t>
      </w:r>
      <w:r>
        <w:rPr>
          <w:rFonts w:ascii="Verdana"/>
          <w:sz w:val="18"/>
        </w:rPr>
        <w:t>and</w:t>
      </w:r>
      <w:r>
        <w:rPr>
          <w:rFonts w:ascii="Verdana"/>
          <w:spacing w:val="7"/>
          <w:sz w:val="18"/>
        </w:rPr>
        <w:t> </w:t>
      </w:r>
      <w:r>
        <w:rPr>
          <w:rFonts w:ascii="Verdana"/>
          <w:sz w:val="18"/>
        </w:rPr>
        <w:t>Power</w:t>
      </w:r>
      <w:r>
        <w:rPr>
          <w:rFonts w:ascii="Verdana"/>
          <w:spacing w:val="10"/>
          <w:sz w:val="18"/>
        </w:rPr>
        <w:t> </w:t>
      </w:r>
      <w:r>
        <w:rPr>
          <w:rFonts w:ascii="Verdana"/>
          <w:spacing w:val="-4"/>
          <w:sz w:val="18"/>
        </w:rPr>
        <w:t>in...</w:t>
      </w:r>
      <w:r>
        <w:rPr>
          <w:sz w:val="18"/>
        </w:rPr>
        <w:tab/>
      </w:r>
      <w:r>
        <w:rPr>
          <w:rFonts w:ascii="Verdana"/>
          <w:spacing w:val="-5"/>
          <w:sz w:val="18"/>
        </w:rPr>
        <w:t>471</w:t>
      </w:r>
    </w:p>
    <w:p>
      <w:pPr>
        <w:pStyle w:val="BodyText"/>
        <w:spacing w:line="249" w:lineRule="auto" w:before="192"/>
        <w:ind w:right="1437"/>
      </w:pPr>
      <w:r>
        <w:rPr/>
        <w:t>expectations,</w:t>
      </w:r>
      <w:r>
        <w:rPr>
          <w:spacing w:val="35"/>
        </w:rPr>
        <w:t> </w:t>
      </w:r>
      <w:r>
        <w:rPr/>
        <w:t>and</w:t>
      </w:r>
      <w:r>
        <w:rPr>
          <w:spacing w:val="39"/>
        </w:rPr>
        <w:t> </w:t>
      </w:r>
      <w:r>
        <w:rPr/>
        <w:t>how</w:t>
      </w:r>
      <w:r>
        <w:rPr>
          <w:spacing w:val="32"/>
        </w:rPr>
        <w:t> </w:t>
      </w:r>
      <w:r>
        <w:rPr/>
        <w:t>these</w:t>
      </w:r>
      <w:r>
        <w:rPr>
          <w:spacing w:val="35"/>
        </w:rPr>
        <w:t> </w:t>
      </w:r>
      <w:r>
        <w:rPr/>
        <w:t>expectations</w:t>
      </w:r>
      <w:r>
        <w:rPr>
          <w:spacing w:val="37"/>
        </w:rPr>
        <w:t> </w:t>
      </w:r>
      <w:r>
        <w:rPr/>
        <w:t>both</w:t>
      </w:r>
      <w:r>
        <w:rPr>
          <w:spacing w:val="35"/>
        </w:rPr>
        <w:t> </w:t>
      </w:r>
      <w:r>
        <w:rPr/>
        <w:t>limit</w:t>
      </w:r>
      <w:r>
        <w:rPr>
          <w:spacing w:val="35"/>
        </w:rPr>
        <w:t> </w:t>
      </w:r>
      <w:r>
        <w:rPr/>
        <w:t>and</w:t>
      </w:r>
      <w:r>
        <w:rPr>
          <w:spacing w:val="39"/>
        </w:rPr>
        <w:t> </w:t>
      </w:r>
      <w:r>
        <w:rPr/>
        <w:t>shape</w:t>
      </w:r>
      <w:r>
        <w:rPr>
          <w:spacing w:val="36"/>
        </w:rPr>
        <w:t> </w:t>
      </w:r>
      <w:r>
        <w:rPr/>
        <w:t>their </w:t>
      </w:r>
      <w:r>
        <w:rPr>
          <w:spacing w:val="-2"/>
        </w:rPr>
        <w:t>actions.</w:t>
      </w:r>
    </w:p>
    <w:p>
      <w:pPr>
        <w:pStyle w:val="Heading3"/>
        <w:spacing w:before="155"/>
      </w:pPr>
      <w:r>
        <w:rPr>
          <w:w w:val="90"/>
        </w:rPr>
        <w:t>LANGUAGE</w:t>
      </w:r>
      <w:r>
        <w:rPr>
          <w:spacing w:val="-4"/>
          <w:w w:val="90"/>
        </w:rPr>
        <w:t> </w:t>
      </w:r>
      <w:r>
        <w:rPr>
          <w:w w:val="90"/>
        </w:rPr>
        <w:t>AND</w:t>
      </w:r>
      <w:r>
        <w:rPr>
          <w:spacing w:val="-1"/>
          <w:w w:val="90"/>
        </w:rPr>
        <w:t> </w:t>
      </w:r>
      <w:r>
        <w:rPr>
          <w:w w:val="90"/>
        </w:rPr>
        <w:t>THE</w:t>
      </w:r>
      <w:r>
        <w:rPr>
          <w:spacing w:val="-1"/>
          <w:w w:val="90"/>
        </w:rPr>
        <w:t> </w:t>
      </w:r>
      <w:r>
        <w:rPr>
          <w:w w:val="90"/>
        </w:rPr>
        <w:t>REPRESENTATION</w:t>
      </w:r>
      <w:r>
        <w:rPr>
          <w:spacing w:val="-1"/>
          <w:w w:val="90"/>
        </w:rPr>
        <w:t> </w:t>
      </w:r>
      <w:r>
        <w:rPr>
          <w:w w:val="90"/>
        </w:rPr>
        <w:t>OF</w:t>
      </w:r>
      <w:r>
        <w:rPr>
          <w:spacing w:val="-6"/>
          <w:w w:val="90"/>
        </w:rPr>
        <w:t> </w:t>
      </w:r>
      <w:r>
        <w:rPr>
          <w:w w:val="90"/>
        </w:rPr>
        <w:t>GENDER</w:t>
      </w:r>
      <w:r>
        <w:rPr>
          <w:spacing w:val="-1"/>
          <w:w w:val="90"/>
        </w:rPr>
        <w:t> </w:t>
      </w:r>
      <w:r>
        <w:rPr>
          <w:w w:val="90"/>
        </w:rPr>
        <w:t>IN </w:t>
      </w:r>
      <w:r>
        <w:rPr>
          <w:spacing w:val="-8"/>
        </w:rPr>
        <w:t>SHAKESPEARE’S</w:t>
      </w:r>
      <w:r>
        <w:rPr>
          <w:spacing w:val="-20"/>
        </w:rPr>
        <w:t> </w:t>
      </w:r>
      <w:r>
        <w:rPr>
          <w:spacing w:val="-8"/>
        </w:rPr>
        <w:t>PLAYS</w:t>
      </w:r>
    </w:p>
    <w:p>
      <w:pPr>
        <w:pStyle w:val="BodyText"/>
        <w:spacing w:line="249" w:lineRule="auto" w:before="74"/>
        <w:ind w:right="1438" w:firstLine="432"/>
        <w:jc w:val="both"/>
      </w:pPr>
      <w:r>
        <w:rPr/>
        <w:t>Shakespeare’s plays bring together a wide range of characters, each shaped by distinct personalities and roles within the narrative. Scholars have often paid close attention to how language is used to reflect and construct gender in these works. In particular, some studies suggest that male and female characters may be distinguished through their patterns</w:t>
      </w:r>
      <w:r>
        <w:rPr>
          <w:spacing w:val="-1"/>
        </w:rPr>
        <w:t> </w:t>
      </w:r>
      <w:r>
        <w:rPr/>
        <w:t>of</w:t>
      </w:r>
      <w:r>
        <w:rPr>
          <w:spacing w:val="-1"/>
        </w:rPr>
        <w:t> </w:t>
      </w:r>
      <w:r>
        <w:rPr/>
        <w:t>speech, choice</w:t>
      </w:r>
      <w:r>
        <w:rPr>
          <w:spacing w:val="-1"/>
        </w:rPr>
        <w:t> </w:t>
      </w:r>
      <w:r>
        <w:rPr/>
        <w:t>of</w:t>
      </w:r>
      <w:r>
        <w:rPr>
          <w:spacing w:val="-1"/>
        </w:rPr>
        <w:t> </w:t>
      </w:r>
      <w:r>
        <w:rPr/>
        <w:t>words,</w:t>
      </w:r>
      <w:r>
        <w:rPr>
          <w:spacing w:val="-1"/>
        </w:rPr>
        <w:t> </w:t>
      </w:r>
      <w:r>
        <w:rPr/>
        <w:t>and styles of</w:t>
      </w:r>
      <w:r>
        <w:rPr>
          <w:spacing w:val="-2"/>
        </w:rPr>
        <w:t> </w:t>
      </w:r>
      <w:r>
        <w:rPr/>
        <w:t>expression. This line of inquiry builds on earlier research that attempted to identify an author’s gender through linguistic features, extending it to consider</w:t>
      </w:r>
      <w:r>
        <w:rPr>
          <w:spacing w:val="40"/>
        </w:rPr>
        <w:t> </w:t>
      </w:r>
      <w:r>
        <w:rPr/>
        <w:t>how a playwright like Shakespeare might deliberately craft different voices for male and female characters.</w:t>
      </w:r>
    </w:p>
    <w:p>
      <w:pPr>
        <w:pStyle w:val="BodyText"/>
        <w:spacing w:line="249" w:lineRule="auto" w:before="66"/>
        <w:ind w:right="1436" w:firstLine="432"/>
        <w:jc w:val="both"/>
      </w:pPr>
      <w:r>
        <w:rPr/>
        <w:t>A</w:t>
      </w:r>
      <w:r>
        <w:rPr>
          <w:spacing w:val="-3"/>
        </w:rPr>
        <w:t> </w:t>
      </w:r>
      <w:r>
        <w:rPr/>
        <w:t>closer reading</w:t>
      </w:r>
      <w:r>
        <w:rPr>
          <w:spacing w:val="-4"/>
        </w:rPr>
        <w:t> </w:t>
      </w:r>
      <w:r>
        <w:rPr/>
        <w:t>of</w:t>
      </w:r>
      <w:r>
        <w:rPr>
          <w:spacing w:val="-3"/>
        </w:rPr>
        <w:t> </w:t>
      </w:r>
      <w:r>
        <w:rPr/>
        <w:t>the</w:t>
      </w:r>
      <w:r>
        <w:rPr>
          <w:spacing w:val="-1"/>
        </w:rPr>
        <w:t> </w:t>
      </w:r>
      <w:r>
        <w:rPr/>
        <w:t>plays</w:t>
      </w:r>
      <w:r>
        <w:rPr>
          <w:spacing w:val="-1"/>
        </w:rPr>
        <w:t> </w:t>
      </w:r>
      <w:r>
        <w:rPr/>
        <w:t>shows</w:t>
      </w:r>
      <w:r>
        <w:rPr>
          <w:spacing w:val="-1"/>
        </w:rPr>
        <w:t> </w:t>
      </w:r>
      <w:r>
        <w:rPr/>
        <w:t>that</w:t>
      </w:r>
      <w:r>
        <w:rPr>
          <w:spacing w:val="-1"/>
        </w:rPr>
        <w:t> </w:t>
      </w:r>
      <w:r>
        <w:rPr/>
        <w:t>men</w:t>
      </w:r>
      <w:r>
        <w:rPr>
          <w:spacing w:val="-4"/>
        </w:rPr>
        <w:t> </w:t>
      </w:r>
      <w:r>
        <w:rPr/>
        <w:t>are</w:t>
      </w:r>
      <w:r>
        <w:rPr>
          <w:spacing w:val="-2"/>
        </w:rPr>
        <w:t> </w:t>
      </w:r>
      <w:r>
        <w:rPr/>
        <w:t>often</w:t>
      </w:r>
      <w:r>
        <w:rPr>
          <w:spacing w:val="-3"/>
        </w:rPr>
        <w:t> </w:t>
      </w:r>
      <w:r>
        <w:rPr/>
        <w:t>given</w:t>
      </w:r>
      <w:r>
        <w:rPr>
          <w:spacing w:val="-3"/>
        </w:rPr>
        <w:t> </w:t>
      </w:r>
      <w:r>
        <w:rPr/>
        <w:t>more formal,</w:t>
      </w:r>
      <w:r>
        <w:rPr>
          <w:spacing w:val="-13"/>
        </w:rPr>
        <w:t> </w:t>
      </w:r>
      <w:r>
        <w:rPr/>
        <w:t>assertive,</w:t>
      </w:r>
      <w:r>
        <w:rPr>
          <w:spacing w:val="-8"/>
        </w:rPr>
        <w:t> </w:t>
      </w:r>
      <w:r>
        <w:rPr/>
        <w:t>and</w:t>
      </w:r>
      <w:r>
        <w:rPr>
          <w:spacing w:val="-10"/>
        </w:rPr>
        <w:t> </w:t>
      </w:r>
      <w:r>
        <w:rPr/>
        <w:t>authoritative</w:t>
      </w:r>
      <w:r>
        <w:rPr>
          <w:spacing w:val="-12"/>
        </w:rPr>
        <w:t> </w:t>
      </w:r>
      <w:r>
        <w:rPr/>
        <w:t>modes</w:t>
      </w:r>
      <w:r>
        <w:rPr>
          <w:spacing w:val="-10"/>
        </w:rPr>
        <w:t> </w:t>
      </w:r>
      <w:r>
        <w:rPr/>
        <w:t>of</w:t>
      </w:r>
      <w:r>
        <w:rPr>
          <w:spacing w:val="-13"/>
        </w:rPr>
        <w:t> </w:t>
      </w:r>
      <w:r>
        <w:rPr/>
        <w:t>speech,</w:t>
      </w:r>
      <w:r>
        <w:rPr>
          <w:spacing w:val="-10"/>
        </w:rPr>
        <w:t> </w:t>
      </w:r>
      <w:r>
        <w:rPr/>
        <w:t>especially</w:t>
      </w:r>
      <w:r>
        <w:rPr>
          <w:spacing w:val="-12"/>
        </w:rPr>
        <w:t> </w:t>
      </w:r>
      <w:r>
        <w:rPr/>
        <w:t>in</w:t>
      </w:r>
      <w:r>
        <w:rPr>
          <w:spacing w:val="-13"/>
        </w:rPr>
        <w:t> </w:t>
      </w:r>
      <w:r>
        <w:rPr/>
        <w:t>public or</w:t>
      </w:r>
      <w:r>
        <w:rPr>
          <w:spacing w:val="-4"/>
        </w:rPr>
        <w:t> </w:t>
      </w:r>
      <w:r>
        <w:rPr/>
        <w:t>political</w:t>
      </w:r>
      <w:r>
        <w:rPr>
          <w:spacing w:val="-4"/>
        </w:rPr>
        <w:t> </w:t>
      </w:r>
      <w:r>
        <w:rPr/>
        <w:t>settings,</w:t>
      </w:r>
      <w:r>
        <w:rPr>
          <w:spacing w:val="-4"/>
        </w:rPr>
        <w:t> </w:t>
      </w:r>
      <w:r>
        <w:rPr/>
        <w:t>while</w:t>
      </w:r>
      <w:r>
        <w:rPr>
          <w:spacing w:val="-4"/>
        </w:rPr>
        <w:t> </w:t>
      </w:r>
      <w:r>
        <w:rPr/>
        <w:t>women’s</w:t>
      </w:r>
      <w:r>
        <w:rPr>
          <w:spacing w:val="-5"/>
        </w:rPr>
        <w:t> </w:t>
      </w:r>
      <w:r>
        <w:rPr/>
        <w:t>language</w:t>
      </w:r>
      <w:r>
        <w:rPr>
          <w:spacing w:val="-4"/>
        </w:rPr>
        <w:t> </w:t>
      </w:r>
      <w:r>
        <w:rPr/>
        <w:t>is</w:t>
      </w:r>
      <w:r>
        <w:rPr>
          <w:spacing w:val="-5"/>
        </w:rPr>
        <w:t> </w:t>
      </w:r>
      <w:r>
        <w:rPr/>
        <w:t>sometimes</w:t>
      </w:r>
      <w:r>
        <w:rPr>
          <w:spacing w:val="-4"/>
        </w:rPr>
        <w:t> </w:t>
      </w:r>
      <w:r>
        <w:rPr/>
        <w:t>portrayed</w:t>
      </w:r>
      <w:r>
        <w:rPr>
          <w:spacing w:val="-2"/>
        </w:rPr>
        <w:t> </w:t>
      </w:r>
      <w:r>
        <w:rPr/>
        <w:t>as </w:t>
      </w:r>
      <w:r>
        <w:rPr>
          <w:spacing w:val="-2"/>
        </w:rPr>
        <w:t>more</w:t>
      </w:r>
      <w:r>
        <w:rPr>
          <w:spacing w:val="-11"/>
        </w:rPr>
        <w:t> </w:t>
      </w:r>
      <w:r>
        <w:rPr>
          <w:spacing w:val="-2"/>
        </w:rPr>
        <w:t>emotional,</w:t>
      </w:r>
      <w:r>
        <w:rPr>
          <w:spacing w:val="-10"/>
        </w:rPr>
        <w:t> </w:t>
      </w:r>
      <w:r>
        <w:rPr>
          <w:spacing w:val="-2"/>
        </w:rPr>
        <w:t>indirect,</w:t>
      </w:r>
      <w:r>
        <w:rPr>
          <w:spacing w:val="-5"/>
        </w:rPr>
        <w:t> </w:t>
      </w:r>
      <w:r>
        <w:rPr>
          <w:spacing w:val="-2"/>
        </w:rPr>
        <w:t>or</w:t>
      </w:r>
      <w:r>
        <w:rPr>
          <w:spacing w:val="-7"/>
        </w:rPr>
        <w:t> </w:t>
      </w:r>
      <w:r>
        <w:rPr>
          <w:spacing w:val="-2"/>
        </w:rPr>
        <w:t>constrained</w:t>
      </w:r>
      <w:r>
        <w:rPr>
          <w:spacing w:val="-4"/>
        </w:rPr>
        <w:t> </w:t>
      </w:r>
      <w:r>
        <w:rPr>
          <w:spacing w:val="-2"/>
        </w:rPr>
        <w:t>by</w:t>
      </w:r>
      <w:r>
        <w:rPr>
          <w:spacing w:val="-11"/>
        </w:rPr>
        <w:t> </w:t>
      </w:r>
      <w:r>
        <w:rPr>
          <w:spacing w:val="-2"/>
        </w:rPr>
        <w:t>social</w:t>
      </w:r>
      <w:r>
        <w:rPr>
          <w:spacing w:val="-6"/>
        </w:rPr>
        <w:t> </w:t>
      </w:r>
      <w:r>
        <w:rPr>
          <w:spacing w:val="-2"/>
        </w:rPr>
        <w:t>expectations.</w:t>
      </w:r>
      <w:r>
        <w:rPr>
          <w:spacing w:val="-4"/>
        </w:rPr>
        <w:t> </w:t>
      </w:r>
      <w:r>
        <w:rPr>
          <w:spacing w:val="-2"/>
        </w:rPr>
        <w:t>However, </w:t>
      </w:r>
      <w:r>
        <w:rPr/>
        <w:t>Shakespeare does not treat these distinctions as fixed. In many cases,</w:t>
      </w:r>
      <w:r>
        <w:rPr>
          <w:spacing w:val="80"/>
        </w:rPr>
        <w:t> </w:t>
      </w:r>
      <w:r>
        <w:rPr/>
        <w:t>he</w:t>
      </w:r>
      <w:r>
        <w:rPr>
          <w:spacing w:val="-2"/>
        </w:rPr>
        <w:t> </w:t>
      </w:r>
      <w:r>
        <w:rPr/>
        <w:t>allows</w:t>
      </w:r>
      <w:r>
        <w:rPr>
          <w:spacing w:val="-5"/>
        </w:rPr>
        <w:t> </w:t>
      </w:r>
      <w:r>
        <w:rPr/>
        <w:t>his</w:t>
      </w:r>
      <w:r>
        <w:rPr>
          <w:spacing w:val="-6"/>
        </w:rPr>
        <w:t> </w:t>
      </w:r>
      <w:r>
        <w:rPr/>
        <w:t>female</w:t>
      </w:r>
      <w:r>
        <w:rPr>
          <w:spacing w:val="-3"/>
        </w:rPr>
        <w:t> </w:t>
      </w:r>
      <w:r>
        <w:rPr/>
        <w:t>characters</w:t>
      </w:r>
      <w:r>
        <w:rPr>
          <w:spacing w:val="-5"/>
        </w:rPr>
        <w:t> </w:t>
      </w:r>
      <w:r>
        <w:rPr/>
        <w:t>to</w:t>
      </w:r>
      <w:r>
        <w:rPr>
          <w:spacing w:val="-3"/>
        </w:rPr>
        <w:t> </w:t>
      </w:r>
      <w:r>
        <w:rPr/>
        <w:t>challenge</w:t>
      </w:r>
      <w:r>
        <w:rPr>
          <w:spacing w:val="-5"/>
        </w:rPr>
        <w:t> </w:t>
      </w:r>
      <w:r>
        <w:rPr/>
        <w:t>these</w:t>
      </w:r>
      <w:r>
        <w:rPr>
          <w:spacing w:val="-2"/>
        </w:rPr>
        <w:t> </w:t>
      </w:r>
      <w:r>
        <w:rPr/>
        <w:t>linguistic</w:t>
      </w:r>
      <w:r>
        <w:rPr>
          <w:spacing w:val="-4"/>
        </w:rPr>
        <w:t> </w:t>
      </w:r>
      <w:r>
        <w:rPr/>
        <w:t>boundaries, giving them powerful, witty, and persuasive voices. Characters such as Portia, Rosalind, and Lady Macbeth, for instance, demonstrate how language can</w:t>
      </w:r>
      <w:r>
        <w:rPr>
          <w:spacing w:val="-5"/>
        </w:rPr>
        <w:t> </w:t>
      </w:r>
      <w:r>
        <w:rPr/>
        <w:t>be</w:t>
      </w:r>
      <w:r>
        <w:rPr>
          <w:spacing w:val="-1"/>
        </w:rPr>
        <w:t> </w:t>
      </w:r>
      <w:r>
        <w:rPr/>
        <w:t>used</w:t>
      </w:r>
      <w:r>
        <w:rPr>
          <w:spacing w:val="-3"/>
        </w:rPr>
        <w:t> </w:t>
      </w:r>
      <w:r>
        <w:rPr/>
        <w:t>to negotiate</w:t>
      </w:r>
      <w:r>
        <w:rPr>
          <w:spacing w:val="-2"/>
        </w:rPr>
        <w:t> </w:t>
      </w:r>
      <w:r>
        <w:rPr/>
        <w:t>authority</w:t>
      </w:r>
      <w:r>
        <w:rPr>
          <w:spacing w:val="-7"/>
        </w:rPr>
        <w:t> </w:t>
      </w:r>
      <w:r>
        <w:rPr/>
        <w:t>and resist</w:t>
      </w:r>
      <w:r>
        <w:rPr>
          <w:spacing w:val="-5"/>
        </w:rPr>
        <w:t> </w:t>
      </w:r>
      <w:r>
        <w:rPr/>
        <w:t>traditional</w:t>
      </w:r>
      <w:r>
        <w:rPr>
          <w:spacing w:val="-1"/>
        </w:rPr>
        <w:t> </w:t>
      </w:r>
      <w:r>
        <w:rPr/>
        <w:t>gender </w:t>
      </w:r>
      <w:r>
        <w:rPr>
          <w:spacing w:val="-2"/>
        </w:rPr>
        <w:t>roles.</w:t>
      </w:r>
    </w:p>
    <w:p>
      <w:pPr>
        <w:pStyle w:val="BodyText"/>
        <w:spacing w:line="249" w:lineRule="auto" w:before="68"/>
        <w:ind w:right="1439" w:firstLine="432"/>
        <w:jc w:val="both"/>
      </w:pPr>
      <w:r>
        <w:rPr/>
        <w:t>At the same time, the plays also reveal how social structures influence the way characters speak and are heard. The expectations placed on gender often determine who has the right to speak openly, who must remain silent, and whose voice carries authority. Through these nuanced uses of language, Shakespeare not only reflects the gender norms of his time but also questions and complicates them, showing</w:t>
      </w:r>
      <w:r>
        <w:rPr>
          <w:spacing w:val="-4"/>
        </w:rPr>
        <w:t> </w:t>
      </w:r>
      <w:r>
        <w:rPr/>
        <w:t>that</w:t>
      </w:r>
      <w:r>
        <w:rPr>
          <w:spacing w:val="-1"/>
        </w:rPr>
        <w:t> </w:t>
      </w:r>
      <w:r>
        <w:rPr/>
        <w:t>identity</w:t>
      </w:r>
      <w:r>
        <w:rPr>
          <w:spacing w:val="-6"/>
        </w:rPr>
        <w:t> </w:t>
      </w:r>
      <w:r>
        <w:rPr/>
        <w:t>is</w:t>
      </w:r>
      <w:r>
        <w:rPr>
          <w:spacing w:val="-4"/>
        </w:rPr>
        <w:t> </w:t>
      </w:r>
      <w:r>
        <w:rPr/>
        <w:t>shaped</w:t>
      </w:r>
      <w:r>
        <w:rPr>
          <w:spacing w:val="-2"/>
        </w:rPr>
        <w:t> </w:t>
      </w:r>
      <w:r>
        <w:rPr/>
        <w:t>as</w:t>
      </w:r>
      <w:r>
        <w:rPr>
          <w:spacing w:val="-1"/>
        </w:rPr>
        <w:t> </w:t>
      </w:r>
      <w:r>
        <w:rPr/>
        <w:t>much</w:t>
      </w:r>
      <w:r>
        <w:rPr>
          <w:spacing w:val="-4"/>
        </w:rPr>
        <w:t> </w:t>
      </w:r>
      <w:r>
        <w:rPr/>
        <w:t>by</w:t>
      </w:r>
      <w:r>
        <w:rPr>
          <w:spacing w:val="-6"/>
        </w:rPr>
        <w:t> </w:t>
      </w:r>
      <w:r>
        <w:rPr/>
        <w:t>performance and</w:t>
      </w:r>
      <w:r>
        <w:rPr>
          <w:spacing w:val="-1"/>
        </w:rPr>
        <w:t> </w:t>
      </w:r>
      <w:r>
        <w:rPr/>
        <w:t>expression as</w:t>
      </w:r>
      <w:r>
        <w:rPr>
          <w:spacing w:val="40"/>
        </w:rPr>
        <w:t> </w:t>
      </w:r>
      <w:r>
        <w:rPr/>
        <w:t>by</w:t>
      </w:r>
      <w:r>
        <w:rPr>
          <w:spacing w:val="40"/>
        </w:rPr>
        <w:t> </w:t>
      </w:r>
      <w:r>
        <w:rPr/>
        <w:t>social</w:t>
      </w:r>
      <w:r>
        <w:rPr>
          <w:spacing w:val="40"/>
        </w:rPr>
        <w:t> </w:t>
      </w:r>
      <w:r>
        <w:rPr/>
        <w:t>convention.</w:t>
      </w:r>
    </w:p>
    <w:p>
      <w:pPr>
        <w:pStyle w:val="Heading3"/>
        <w:spacing w:before="160"/>
      </w:pPr>
      <w:r>
        <w:rPr>
          <w:w w:val="85"/>
        </w:rPr>
        <w:t>SHAKESPEARE’S</w:t>
      </w:r>
      <w:r>
        <w:rPr>
          <w:spacing w:val="39"/>
        </w:rPr>
        <w:t> </w:t>
      </w:r>
      <w:r>
        <w:rPr>
          <w:w w:val="85"/>
        </w:rPr>
        <w:t>REPRESENTATION</w:t>
      </w:r>
      <w:r>
        <w:rPr>
          <w:spacing w:val="31"/>
        </w:rPr>
        <w:t> </w:t>
      </w:r>
      <w:r>
        <w:rPr>
          <w:w w:val="85"/>
        </w:rPr>
        <w:t>OF</w:t>
      </w:r>
      <w:r>
        <w:rPr>
          <w:spacing w:val="35"/>
        </w:rPr>
        <w:t> </w:t>
      </w:r>
      <w:r>
        <w:rPr>
          <w:spacing w:val="-2"/>
          <w:w w:val="85"/>
        </w:rPr>
        <w:t>GENDER</w:t>
      </w:r>
    </w:p>
    <w:p>
      <w:pPr>
        <w:pStyle w:val="BodyText"/>
        <w:spacing w:line="249" w:lineRule="auto" w:before="75"/>
        <w:ind w:right="1435" w:firstLine="432"/>
        <w:jc w:val="both"/>
      </w:pPr>
      <w:r>
        <w:rPr/>
        <w:t>Shakespeare presents gender in a way that is far from simple or one-dimensional.</w:t>
      </w:r>
      <w:r>
        <w:rPr>
          <w:spacing w:val="-12"/>
        </w:rPr>
        <w:t> </w:t>
      </w:r>
      <w:r>
        <w:rPr/>
        <w:t>His</w:t>
      </w:r>
      <w:r>
        <w:rPr>
          <w:spacing w:val="-10"/>
        </w:rPr>
        <w:t> </w:t>
      </w:r>
      <w:r>
        <w:rPr/>
        <w:t>plays</w:t>
      </w:r>
      <w:r>
        <w:rPr>
          <w:spacing w:val="-12"/>
        </w:rPr>
        <w:t> </w:t>
      </w:r>
      <w:r>
        <w:rPr/>
        <w:t>show</w:t>
      </w:r>
      <w:r>
        <w:rPr>
          <w:spacing w:val="-13"/>
        </w:rPr>
        <w:t> </w:t>
      </w:r>
      <w:r>
        <w:rPr/>
        <w:t>a</w:t>
      </w:r>
      <w:r>
        <w:rPr>
          <w:spacing w:val="-9"/>
        </w:rPr>
        <w:t> </w:t>
      </w:r>
      <w:r>
        <w:rPr/>
        <w:t>mix</w:t>
      </w:r>
      <w:r>
        <w:rPr>
          <w:spacing w:val="-12"/>
        </w:rPr>
        <w:t> </w:t>
      </w:r>
      <w:r>
        <w:rPr/>
        <w:t>of</w:t>
      </w:r>
      <w:r>
        <w:rPr>
          <w:spacing w:val="-12"/>
        </w:rPr>
        <w:t> </w:t>
      </w:r>
      <w:r>
        <w:rPr/>
        <w:t>characters—some</w:t>
      </w:r>
      <w:r>
        <w:rPr>
          <w:spacing w:val="-9"/>
        </w:rPr>
        <w:t> </w:t>
      </w:r>
      <w:r>
        <w:rPr/>
        <w:t>who</w:t>
      </w:r>
      <w:r>
        <w:rPr>
          <w:spacing w:val="-10"/>
        </w:rPr>
        <w:t> </w:t>
      </w:r>
      <w:r>
        <w:rPr/>
        <w:t>follow traditional gender</w:t>
      </w:r>
      <w:r>
        <w:rPr>
          <w:spacing w:val="-1"/>
        </w:rPr>
        <w:t> </w:t>
      </w:r>
      <w:r>
        <w:rPr/>
        <w:t>roles and others</w:t>
      </w:r>
      <w:r>
        <w:rPr>
          <w:spacing w:val="-3"/>
        </w:rPr>
        <w:t> </w:t>
      </w:r>
      <w:r>
        <w:rPr/>
        <w:t>who question</w:t>
      </w:r>
      <w:r>
        <w:rPr>
          <w:spacing w:val="-1"/>
        </w:rPr>
        <w:t> </w:t>
      </w:r>
      <w:r>
        <w:rPr/>
        <w:t>or challenge</w:t>
      </w:r>
      <w:r>
        <w:rPr>
          <w:spacing w:val="-2"/>
        </w:rPr>
        <w:t> </w:t>
      </w:r>
      <w:r>
        <w:rPr/>
        <w:t>them. For example,</w:t>
      </w:r>
      <w:r>
        <w:rPr>
          <w:spacing w:val="41"/>
        </w:rPr>
        <w:t> </w:t>
      </w:r>
      <w:r>
        <w:rPr/>
        <w:t>characters</w:t>
      </w:r>
      <w:r>
        <w:rPr>
          <w:spacing w:val="40"/>
        </w:rPr>
        <w:t> </w:t>
      </w:r>
      <w:r>
        <w:rPr/>
        <w:t>like</w:t>
      </w:r>
      <w:r>
        <w:rPr>
          <w:spacing w:val="40"/>
        </w:rPr>
        <w:t> </w:t>
      </w:r>
      <w:r>
        <w:rPr/>
        <w:t>Lady</w:t>
      </w:r>
      <w:r>
        <w:rPr>
          <w:spacing w:val="38"/>
        </w:rPr>
        <w:t> </w:t>
      </w:r>
      <w:r>
        <w:rPr/>
        <w:t>Macbeth</w:t>
      </w:r>
      <w:r>
        <w:rPr>
          <w:spacing w:val="38"/>
        </w:rPr>
        <w:t> </w:t>
      </w:r>
      <w:r>
        <w:rPr/>
        <w:t>in</w:t>
      </w:r>
      <w:r>
        <w:rPr>
          <w:spacing w:val="43"/>
        </w:rPr>
        <w:t> </w:t>
      </w:r>
      <w:r>
        <w:rPr>
          <w:i/>
        </w:rPr>
        <w:t>Macbeth</w:t>
      </w:r>
      <w:r>
        <w:rPr>
          <w:i/>
          <w:spacing w:val="41"/>
        </w:rPr>
        <w:t> </w:t>
      </w:r>
      <w:r>
        <w:rPr/>
        <w:t>and</w:t>
      </w:r>
      <w:r>
        <w:rPr>
          <w:spacing w:val="42"/>
        </w:rPr>
        <w:t> </w:t>
      </w:r>
      <w:r>
        <w:rPr/>
        <w:t>Beatrice</w:t>
      </w:r>
      <w:r>
        <w:rPr>
          <w:spacing w:val="41"/>
        </w:rPr>
        <w:t> </w:t>
      </w:r>
      <w:r>
        <w:rPr>
          <w:spacing w:val="-5"/>
        </w:rPr>
        <w:t>in</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27808">
                <wp:simplePos x="0" y="0"/>
                <wp:positionH relativeFrom="page">
                  <wp:posOffset>2057400</wp:posOffset>
                </wp:positionH>
                <wp:positionV relativeFrom="paragraph">
                  <wp:posOffset>162604</wp:posOffset>
                </wp:positionV>
                <wp:extent cx="3657600" cy="12700"/>
                <wp:effectExtent l="0" t="0" r="0" b="0"/>
                <wp:wrapTopAndBottom/>
                <wp:docPr id="895" name="Graphic 895"/>
                <wp:cNvGraphicFramePr>
                  <a:graphicFrameLocks/>
                </wp:cNvGraphicFramePr>
                <a:graphic>
                  <a:graphicData uri="http://schemas.microsoft.com/office/word/2010/wordprocessingShape">
                    <wps:wsp>
                      <wps:cNvPr id="895" name="Graphic 895"/>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88672;mso-wrap-distance-left:0;mso-wrap-distance-right:0" id="docshape887" filled="true" fillcolor="#000000" stroked="false">
                <v:fill type="solid"/>
                <w10:wrap type="topAndBottom"/>
              </v:rect>
            </w:pict>
          </mc:Fallback>
        </mc:AlternateContent>
      </w:r>
      <w:r>
        <w:rPr>
          <w:rFonts w:ascii="Verdana"/>
          <w:spacing w:val="-5"/>
          <w:sz w:val="18"/>
        </w:rPr>
        <w:t>472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0"/>
        <w:jc w:val="both"/>
      </w:pPr>
      <w:r>
        <w:rPr>
          <w:i/>
        </w:rPr>
        <w:t>Much Ado About </w:t>
      </w:r>
      <w:r>
        <w:rPr>
          <w:i/>
          <w:spacing w:val="9"/>
        </w:rPr>
        <w:t>Nothing</w:t>
      </w:r>
      <w:r>
        <w:rPr>
          <w:i/>
          <w:spacing w:val="9"/>
        </w:rPr>
        <w:t> </w:t>
      </w:r>
      <w:r>
        <w:rPr>
          <w:spacing w:val="9"/>
        </w:rPr>
        <w:t>display</w:t>
      </w:r>
      <w:r>
        <w:rPr>
          <w:spacing w:val="9"/>
        </w:rPr>
        <w:t> strength,</w:t>
      </w:r>
      <w:r>
        <w:rPr>
          <w:spacing w:val="9"/>
        </w:rPr>
        <w:t> intelligence,</w:t>
      </w:r>
      <w:r>
        <w:rPr>
          <w:spacing w:val="9"/>
        </w:rPr>
        <w:t> </w:t>
      </w:r>
      <w:r>
        <w:rPr/>
        <w:t>and independence, going beyond the limits usually placed on women in their time. On the other hand, male characters such as Hamlet and Macbeth often struggle with expectations of masculinity, revealing that these</w:t>
      </w:r>
      <w:r>
        <w:rPr>
          <w:spacing w:val="40"/>
        </w:rPr>
        <w:t> </w:t>
      </w:r>
      <w:r>
        <w:rPr/>
        <w:t>roles can be restrictive</w:t>
      </w:r>
      <w:r>
        <w:rPr>
          <w:spacing w:val="40"/>
        </w:rPr>
        <w:t> </w:t>
      </w:r>
      <w:r>
        <w:rPr/>
        <w:t>and</w:t>
      </w:r>
      <w:r>
        <w:rPr>
          <w:spacing w:val="40"/>
        </w:rPr>
        <w:t> </w:t>
      </w:r>
      <w:r>
        <w:rPr/>
        <w:t>difficult</w:t>
      </w:r>
      <w:r>
        <w:rPr>
          <w:spacing w:val="40"/>
        </w:rPr>
        <w:t> </w:t>
      </w:r>
      <w:r>
        <w:rPr/>
        <w:t>to</w:t>
      </w:r>
      <w:r>
        <w:rPr>
          <w:spacing w:val="40"/>
        </w:rPr>
        <w:t> </w:t>
      </w:r>
      <w:r>
        <w:rPr/>
        <w:t>maintain.</w:t>
      </w:r>
    </w:p>
    <w:p>
      <w:pPr>
        <w:pStyle w:val="BodyText"/>
        <w:spacing w:line="249" w:lineRule="auto" w:before="62"/>
        <w:ind w:right="1438" w:firstLine="432"/>
        <w:jc w:val="both"/>
      </w:pPr>
      <w:r>
        <w:rPr/>
        <w:t>Rather</w:t>
      </w:r>
      <w:r>
        <w:rPr>
          <w:spacing w:val="-13"/>
        </w:rPr>
        <w:t> </w:t>
      </w:r>
      <w:r>
        <w:rPr/>
        <w:t>than</w:t>
      </w:r>
      <w:r>
        <w:rPr>
          <w:spacing w:val="-12"/>
        </w:rPr>
        <w:t> </w:t>
      </w:r>
      <w:r>
        <w:rPr/>
        <w:t>treating</w:t>
      </w:r>
      <w:r>
        <w:rPr>
          <w:spacing w:val="-13"/>
        </w:rPr>
        <w:t> </w:t>
      </w:r>
      <w:r>
        <w:rPr/>
        <w:t>gender</w:t>
      </w:r>
      <w:r>
        <w:rPr>
          <w:spacing w:val="-12"/>
        </w:rPr>
        <w:t> </w:t>
      </w:r>
      <w:r>
        <w:rPr/>
        <w:t>as</w:t>
      </w:r>
      <w:r>
        <w:rPr>
          <w:spacing w:val="-13"/>
        </w:rPr>
        <w:t> </w:t>
      </w:r>
      <w:r>
        <w:rPr/>
        <w:t>something</w:t>
      </w:r>
      <w:r>
        <w:rPr>
          <w:spacing w:val="-12"/>
        </w:rPr>
        <w:t> </w:t>
      </w:r>
      <w:r>
        <w:rPr/>
        <w:t>fixed</w:t>
      </w:r>
      <w:r>
        <w:rPr>
          <w:spacing w:val="-13"/>
        </w:rPr>
        <w:t> </w:t>
      </w:r>
      <w:r>
        <w:rPr/>
        <w:t>or</w:t>
      </w:r>
      <w:r>
        <w:rPr>
          <w:spacing w:val="-12"/>
        </w:rPr>
        <w:t> </w:t>
      </w:r>
      <w:r>
        <w:rPr/>
        <w:t>purely</w:t>
      </w:r>
      <w:r>
        <w:rPr>
          <w:spacing w:val="-13"/>
        </w:rPr>
        <w:t> </w:t>
      </w:r>
      <w:r>
        <w:rPr/>
        <w:t>biological, Shakespeare often suggests that it works more like a set of social rules or codes. His characters perform gender through their actions, speech, and behaviour, showing that identity is shaped by society and can be questioned or reshaped. This idea becomes even more evident in moments</w:t>
      </w:r>
      <w:r>
        <w:rPr>
          <w:spacing w:val="-7"/>
        </w:rPr>
        <w:t> </w:t>
      </w:r>
      <w:r>
        <w:rPr/>
        <w:t>of</w:t>
      </w:r>
      <w:r>
        <w:rPr>
          <w:spacing w:val="-5"/>
        </w:rPr>
        <w:t> </w:t>
      </w:r>
      <w:r>
        <w:rPr/>
        <w:t>gender</w:t>
      </w:r>
      <w:r>
        <w:rPr>
          <w:spacing w:val="-5"/>
        </w:rPr>
        <w:t> </w:t>
      </w:r>
      <w:r>
        <w:rPr/>
        <w:t>crossing,</w:t>
      </w:r>
      <w:r>
        <w:rPr>
          <w:spacing w:val="-7"/>
        </w:rPr>
        <w:t> </w:t>
      </w:r>
      <w:r>
        <w:rPr/>
        <w:t>where</w:t>
      </w:r>
      <w:r>
        <w:rPr>
          <w:spacing w:val="-7"/>
        </w:rPr>
        <w:t> </w:t>
      </w:r>
      <w:r>
        <w:rPr/>
        <w:t>characters</w:t>
      </w:r>
      <w:r>
        <w:rPr>
          <w:spacing w:val="-5"/>
        </w:rPr>
        <w:t> </w:t>
      </w:r>
      <w:r>
        <w:rPr/>
        <w:t>take</w:t>
      </w:r>
      <w:r>
        <w:rPr>
          <w:spacing w:val="-7"/>
        </w:rPr>
        <w:t> </w:t>
      </w:r>
      <w:r>
        <w:rPr/>
        <w:t>on</w:t>
      </w:r>
      <w:r>
        <w:rPr>
          <w:spacing w:val="-9"/>
        </w:rPr>
        <w:t> </w:t>
      </w:r>
      <w:r>
        <w:rPr/>
        <w:t>roles</w:t>
      </w:r>
      <w:r>
        <w:rPr>
          <w:spacing w:val="-5"/>
        </w:rPr>
        <w:t> </w:t>
      </w:r>
      <w:r>
        <w:rPr/>
        <w:t>or</w:t>
      </w:r>
      <w:r>
        <w:rPr>
          <w:spacing w:val="-5"/>
        </w:rPr>
        <w:t> </w:t>
      </w:r>
      <w:r>
        <w:rPr/>
        <w:t>disguises that blur the boundaries between male and female identities. These situations can also be understood through a psychological perspective, as</w:t>
      </w:r>
      <w:r>
        <w:rPr>
          <w:spacing w:val="-13"/>
        </w:rPr>
        <w:t> </w:t>
      </w:r>
      <w:r>
        <w:rPr/>
        <w:t>they</w:t>
      </w:r>
      <w:r>
        <w:rPr>
          <w:spacing w:val="-12"/>
        </w:rPr>
        <w:t> </w:t>
      </w:r>
      <w:r>
        <w:rPr/>
        <w:t>sometimes</w:t>
      </w:r>
      <w:r>
        <w:rPr>
          <w:spacing w:val="-13"/>
        </w:rPr>
        <w:t> </w:t>
      </w:r>
      <w:r>
        <w:rPr/>
        <w:t>reveal</w:t>
      </w:r>
      <w:r>
        <w:rPr>
          <w:spacing w:val="-10"/>
        </w:rPr>
        <w:t> </w:t>
      </w:r>
      <w:r>
        <w:rPr/>
        <w:t>hidden</w:t>
      </w:r>
      <w:r>
        <w:rPr>
          <w:spacing w:val="-11"/>
        </w:rPr>
        <w:t> </w:t>
      </w:r>
      <w:r>
        <w:rPr/>
        <w:t>desires,</w:t>
      </w:r>
      <w:r>
        <w:rPr>
          <w:spacing w:val="-9"/>
        </w:rPr>
        <w:t> </w:t>
      </w:r>
      <w:r>
        <w:rPr/>
        <w:t>conflicts,</w:t>
      </w:r>
      <w:r>
        <w:rPr>
          <w:spacing w:val="-8"/>
        </w:rPr>
        <w:t> </w:t>
      </w:r>
      <w:r>
        <w:rPr/>
        <w:t>or</w:t>
      </w:r>
      <w:r>
        <w:rPr>
          <w:spacing w:val="-9"/>
        </w:rPr>
        <w:t> </w:t>
      </w:r>
      <w:r>
        <w:rPr/>
        <w:t>motivations</w:t>
      </w:r>
      <w:r>
        <w:rPr>
          <w:spacing w:val="-11"/>
        </w:rPr>
        <w:t> </w:t>
      </w:r>
      <w:r>
        <w:rPr/>
        <w:t>within the</w:t>
      </w:r>
      <w:r>
        <w:rPr>
          <w:spacing w:val="40"/>
        </w:rPr>
        <w:t> </w:t>
      </w:r>
      <w:r>
        <w:rPr/>
        <w:t>characters.</w:t>
      </w:r>
    </w:p>
    <w:p>
      <w:pPr>
        <w:pStyle w:val="BodyText"/>
        <w:spacing w:before="7"/>
        <w:ind w:left="0"/>
        <w:rPr>
          <w:sz w:val="19"/>
        </w:rPr>
      </w:pPr>
      <w:r>
        <w:rPr>
          <w:sz w:val="19"/>
        </w:rPr>
        <w:drawing>
          <wp:anchor distT="0" distB="0" distL="0" distR="0" allowOverlap="1" layoutInCell="1" locked="0" behindDoc="1" simplePos="0" relativeHeight="487928320">
            <wp:simplePos x="0" y="0"/>
            <wp:positionH relativeFrom="page">
              <wp:posOffset>2813482</wp:posOffset>
            </wp:positionH>
            <wp:positionV relativeFrom="paragraph">
              <wp:posOffset>158936</wp:posOffset>
            </wp:positionV>
            <wp:extent cx="2398399" cy="2804541"/>
            <wp:effectExtent l="0" t="0" r="0" b="0"/>
            <wp:wrapTopAndBottom/>
            <wp:docPr id="896" name="Image 896"/>
            <wp:cNvGraphicFramePr>
              <a:graphicFrameLocks/>
            </wp:cNvGraphicFramePr>
            <a:graphic>
              <a:graphicData uri="http://schemas.openxmlformats.org/drawingml/2006/picture">
                <pic:pic>
                  <pic:nvPicPr>
                    <pic:cNvPr id="896" name="Image 896"/>
                    <pic:cNvPicPr/>
                  </pic:nvPicPr>
                  <pic:blipFill>
                    <a:blip r:embed="rId135" cstate="print"/>
                    <a:stretch>
                      <a:fillRect/>
                    </a:stretch>
                  </pic:blipFill>
                  <pic:spPr>
                    <a:xfrm>
                      <a:off x="0" y="0"/>
                      <a:ext cx="2398399" cy="2804541"/>
                    </a:xfrm>
                    <a:prstGeom prst="rect">
                      <a:avLst/>
                    </a:prstGeom>
                  </pic:spPr>
                </pic:pic>
              </a:graphicData>
            </a:graphic>
          </wp:anchor>
        </w:drawing>
      </w:r>
    </w:p>
    <w:p>
      <w:pPr>
        <w:pStyle w:val="Heading3"/>
        <w:spacing w:before="28"/>
        <w:jc w:val="both"/>
      </w:pPr>
      <w:r>
        <w:rPr>
          <w:w w:val="90"/>
        </w:rPr>
        <w:t>POWER</w:t>
      </w:r>
      <w:r>
        <w:rPr>
          <w:spacing w:val="6"/>
        </w:rPr>
        <w:t> </w:t>
      </w:r>
      <w:r>
        <w:rPr>
          <w:w w:val="90"/>
        </w:rPr>
        <w:t>AND</w:t>
      </w:r>
      <w:r>
        <w:rPr>
          <w:spacing w:val="7"/>
        </w:rPr>
        <w:t> </w:t>
      </w:r>
      <w:r>
        <w:rPr>
          <w:w w:val="90"/>
        </w:rPr>
        <w:t>GENDER</w:t>
      </w:r>
      <w:r>
        <w:rPr>
          <w:spacing w:val="4"/>
        </w:rPr>
        <w:t> </w:t>
      </w:r>
      <w:r>
        <w:rPr>
          <w:w w:val="90"/>
        </w:rPr>
        <w:t>IN</w:t>
      </w:r>
      <w:r>
        <w:rPr>
          <w:spacing w:val="9"/>
        </w:rPr>
        <w:t> </w:t>
      </w:r>
      <w:r>
        <w:rPr>
          <w:w w:val="90"/>
        </w:rPr>
        <w:t>SHAKESPEARE’S</w:t>
      </w:r>
      <w:r>
        <w:rPr>
          <w:spacing w:val="9"/>
        </w:rPr>
        <w:t> </w:t>
      </w:r>
      <w:r>
        <w:rPr>
          <w:spacing w:val="-4"/>
          <w:w w:val="90"/>
        </w:rPr>
        <w:t>PLAYS</w:t>
      </w:r>
    </w:p>
    <w:p>
      <w:pPr>
        <w:pStyle w:val="BodyText"/>
        <w:spacing w:line="249" w:lineRule="auto" w:before="76"/>
        <w:ind w:right="1438" w:firstLine="432"/>
        <w:jc w:val="both"/>
      </w:pPr>
      <w:r>
        <w:rPr/>
        <w:t>Alongside his exploration of gender, Shakespeare also gives significant attention to the ways power operates within society. His plays often depict worlds in which power is unequally distributed, with authority</w:t>
      </w:r>
      <w:r>
        <w:rPr>
          <w:spacing w:val="55"/>
        </w:rPr>
        <w:t> </w:t>
      </w:r>
      <w:r>
        <w:rPr/>
        <w:t>largely</w:t>
      </w:r>
      <w:r>
        <w:rPr>
          <w:spacing w:val="53"/>
        </w:rPr>
        <w:t> </w:t>
      </w:r>
      <w:r>
        <w:rPr/>
        <w:t>concentrated</w:t>
      </w:r>
      <w:r>
        <w:rPr>
          <w:spacing w:val="62"/>
        </w:rPr>
        <w:t> </w:t>
      </w:r>
      <w:r>
        <w:rPr/>
        <w:t>in</w:t>
      </w:r>
      <w:r>
        <w:rPr>
          <w:spacing w:val="59"/>
        </w:rPr>
        <w:t> </w:t>
      </w:r>
      <w:r>
        <w:rPr/>
        <w:t>the</w:t>
      </w:r>
      <w:r>
        <w:rPr>
          <w:spacing w:val="59"/>
        </w:rPr>
        <w:t> </w:t>
      </w:r>
      <w:r>
        <w:rPr/>
        <w:t>hands</w:t>
      </w:r>
      <w:r>
        <w:rPr>
          <w:spacing w:val="59"/>
        </w:rPr>
        <w:t> </w:t>
      </w:r>
      <w:r>
        <w:rPr/>
        <w:t>of</w:t>
      </w:r>
      <w:r>
        <w:rPr>
          <w:spacing w:val="59"/>
        </w:rPr>
        <w:t> </w:t>
      </w:r>
      <w:r>
        <w:rPr/>
        <w:t>men,</w:t>
      </w:r>
      <w:r>
        <w:rPr>
          <w:spacing w:val="61"/>
        </w:rPr>
        <w:t> </w:t>
      </w:r>
      <w:r>
        <w:rPr/>
        <w:t>reflecting</w:t>
      </w:r>
      <w:r>
        <w:rPr>
          <w:spacing w:val="60"/>
        </w:rPr>
        <w:t> </w:t>
      </w:r>
      <w:r>
        <w:rPr>
          <w:spacing w:val="-5"/>
        </w:rPr>
        <w:t>the</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28832">
                <wp:simplePos x="0" y="0"/>
                <wp:positionH relativeFrom="page">
                  <wp:posOffset>2065020</wp:posOffset>
                </wp:positionH>
                <wp:positionV relativeFrom="paragraph">
                  <wp:posOffset>795020</wp:posOffset>
                </wp:positionV>
                <wp:extent cx="3657600" cy="12700"/>
                <wp:effectExtent l="0" t="0" r="0" b="0"/>
                <wp:wrapTopAndBottom/>
                <wp:docPr id="897" name="Graphic 897"/>
                <wp:cNvGraphicFramePr>
                  <a:graphicFrameLocks/>
                </wp:cNvGraphicFramePr>
                <a:graphic>
                  <a:graphicData uri="http://schemas.microsoft.com/office/word/2010/wordprocessingShape">
                    <wps:wsp>
                      <wps:cNvPr id="897" name="Graphic 89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87648;mso-wrap-distance-left:0;mso-wrap-distance-right:0" id="docshape888" filled="true" fillcolor="#000000" stroked="false">
                <v:fill type="solid"/>
                <w10:wrap type="topAndBottom"/>
              </v:rect>
            </w:pict>
          </mc:Fallback>
        </mc:AlternateContent>
      </w:r>
      <w:r>
        <w:rPr>
          <w:rFonts w:ascii="Verdana"/>
          <w:sz w:val="18"/>
        </w:rPr>
        <w:t>The</w:t>
      </w:r>
      <w:r>
        <w:rPr>
          <w:rFonts w:ascii="Verdana"/>
          <w:spacing w:val="7"/>
          <w:sz w:val="18"/>
        </w:rPr>
        <w:t> </w:t>
      </w:r>
      <w:r>
        <w:rPr>
          <w:rFonts w:ascii="Verdana"/>
          <w:sz w:val="18"/>
        </w:rPr>
        <w:t>Relationship</w:t>
      </w:r>
      <w:r>
        <w:rPr>
          <w:rFonts w:ascii="Verdana"/>
          <w:spacing w:val="8"/>
          <w:sz w:val="18"/>
        </w:rPr>
        <w:t> </w:t>
      </w:r>
      <w:r>
        <w:rPr>
          <w:rFonts w:ascii="Verdana"/>
          <w:sz w:val="18"/>
        </w:rPr>
        <w:t>between</w:t>
      </w:r>
      <w:r>
        <w:rPr>
          <w:rFonts w:ascii="Verdana"/>
          <w:spacing w:val="8"/>
          <w:sz w:val="18"/>
        </w:rPr>
        <w:t> </w:t>
      </w:r>
      <w:r>
        <w:rPr>
          <w:rFonts w:ascii="Verdana"/>
          <w:sz w:val="18"/>
        </w:rPr>
        <w:t>Gender</w:t>
      </w:r>
      <w:r>
        <w:rPr>
          <w:rFonts w:ascii="Verdana"/>
          <w:spacing w:val="11"/>
          <w:sz w:val="18"/>
        </w:rPr>
        <w:t> </w:t>
      </w:r>
      <w:r>
        <w:rPr>
          <w:rFonts w:ascii="Verdana"/>
          <w:sz w:val="18"/>
        </w:rPr>
        <w:t>and</w:t>
      </w:r>
      <w:r>
        <w:rPr>
          <w:rFonts w:ascii="Verdana"/>
          <w:spacing w:val="7"/>
          <w:sz w:val="18"/>
        </w:rPr>
        <w:t> </w:t>
      </w:r>
      <w:r>
        <w:rPr>
          <w:rFonts w:ascii="Verdana"/>
          <w:sz w:val="18"/>
        </w:rPr>
        <w:t>Power</w:t>
      </w:r>
      <w:r>
        <w:rPr>
          <w:rFonts w:ascii="Verdana"/>
          <w:spacing w:val="10"/>
          <w:sz w:val="18"/>
        </w:rPr>
        <w:t> </w:t>
      </w:r>
      <w:r>
        <w:rPr>
          <w:rFonts w:ascii="Verdana"/>
          <w:spacing w:val="-4"/>
          <w:sz w:val="18"/>
        </w:rPr>
        <w:t>in...</w:t>
      </w:r>
      <w:r>
        <w:rPr>
          <w:sz w:val="18"/>
        </w:rPr>
        <w:tab/>
      </w:r>
      <w:r>
        <w:rPr>
          <w:rFonts w:ascii="Verdana"/>
          <w:spacing w:val="-5"/>
          <w:sz w:val="18"/>
        </w:rPr>
        <w:t>473</w:t>
      </w:r>
    </w:p>
    <w:p>
      <w:pPr>
        <w:pStyle w:val="BodyText"/>
        <w:spacing w:line="249" w:lineRule="auto" w:before="192"/>
        <w:ind w:right="1441"/>
        <w:jc w:val="both"/>
      </w:pPr>
      <w:r>
        <w:rPr/>
        <w:t>patriarchal structure of</w:t>
      </w:r>
      <w:r>
        <w:rPr>
          <w:spacing w:val="-1"/>
        </w:rPr>
        <w:t> </w:t>
      </w:r>
      <w:r>
        <w:rPr/>
        <w:t>the time.</w:t>
      </w:r>
      <w:r>
        <w:rPr>
          <w:spacing w:val="-4"/>
        </w:rPr>
        <w:t> </w:t>
      </w:r>
      <w:r>
        <w:rPr/>
        <w:t>Yet, Shakespeare does not present this arrangement as simple or unquestioned. Instead, he reveals how power is</w:t>
      </w:r>
      <w:r>
        <w:rPr>
          <w:spacing w:val="-5"/>
        </w:rPr>
        <w:t> </w:t>
      </w:r>
      <w:r>
        <w:rPr/>
        <w:t>shaped and</w:t>
      </w:r>
      <w:r>
        <w:rPr>
          <w:spacing w:val="-1"/>
        </w:rPr>
        <w:t> </w:t>
      </w:r>
      <w:r>
        <w:rPr/>
        <w:t>influenced</w:t>
      </w:r>
      <w:r>
        <w:rPr>
          <w:spacing w:val="-1"/>
        </w:rPr>
        <w:t> </w:t>
      </w:r>
      <w:r>
        <w:rPr/>
        <w:t>by</w:t>
      </w:r>
      <w:r>
        <w:rPr>
          <w:spacing w:val="-6"/>
        </w:rPr>
        <w:t> </w:t>
      </w:r>
      <w:r>
        <w:rPr/>
        <w:t>gender,</w:t>
      </w:r>
      <w:r>
        <w:rPr>
          <w:spacing w:val="-3"/>
        </w:rPr>
        <w:t> </w:t>
      </w:r>
      <w:r>
        <w:rPr/>
        <w:t>and how</w:t>
      </w:r>
      <w:r>
        <w:rPr>
          <w:spacing w:val="-6"/>
        </w:rPr>
        <w:t> </w:t>
      </w:r>
      <w:r>
        <w:rPr/>
        <w:t>individuals</w:t>
      </w:r>
      <w:r>
        <w:rPr>
          <w:spacing w:val="-1"/>
        </w:rPr>
        <w:t> </w:t>
      </w:r>
      <w:r>
        <w:rPr/>
        <w:t>negotiate</w:t>
      </w:r>
      <w:r>
        <w:rPr>
          <w:spacing w:val="-2"/>
        </w:rPr>
        <w:t> </w:t>
      </w:r>
      <w:r>
        <w:rPr/>
        <w:t>their positions</w:t>
      </w:r>
      <w:r>
        <w:rPr>
          <w:spacing w:val="40"/>
        </w:rPr>
        <w:t> </w:t>
      </w:r>
      <w:r>
        <w:rPr/>
        <w:t>within</w:t>
      </w:r>
      <w:r>
        <w:rPr>
          <w:spacing w:val="40"/>
        </w:rPr>
        <w:t> </w:t>
      </w:r>
      <w:r>
        <w:rPr/>
        <w:t>these</w:t>
      </w:r>
      <w:r>
        <w:rPr>
          <w:spacing w:val="40"/>
        </w:rPr>
        <w:t> </w:t>
      </w:r>
      <w:r>
        <w:rPr/>
        <w:t>constraints.</w:t>
      </w:r>
    </w:p>
    <w:p>
      <w:pPr>
        <w:pStyle w:val="BodyText"/>
        <w:spacing w:line="249" w:lineRule="auto" w:before="61"/>
        <w:ind w:right="1437" w:firstLine="432"/>
        <w:jc w:val="both"/>
      </w:pPr>
      <w:r>
        <w:rPr/>
        <w:t>In many cases, female characters, despite being excluded from </w:t>
      </w:r>
      <w:r>
        <w:rPr>
          <w:spacing w:val="-2"/>
        </w:rPr>
        <w:t>formal</w:t>
      </w:r>
      <w:r>
        <w:rPr>
          <w:spacing w:val="-11"/>
        </w:rPr>
        <w:t> </w:t>
      </w:r>
      <w:r>
        <w:rPr>
          <w:spacing w:val="-2"/>
        </w:rPr>
        <w:t>authority,</w:t>
      </w:r>
      <w:r>
        <w:rPr>
          <w:spacing w:val="-10"/>
        </w:rPr>
        <w:t> </w:t>
      </w:r>
      <w:r>
        <w:rPr>
          <w:spacing w:val="-2"/>
        </w:rPr>
        <w:t>find</w:t>
      </w:r>
      <w:r>
        <w:rPr>
          <w:spacing w:val="-11"/>
        </w:rPr>
        <w:t> </w:t>
      </w:r>
      <w:r>
        <w:rPr>
          <w:spacing w:val="-2"/>
        </w:rPr>
        <w:t>indirect</w:t>
      </w:r>
      <w:r>
        <w:rPr>
          <w:spacing w:val="-10"/>
        </w:rPr>
        <w:t> </w:t>
      </w:r>
      <w:r>
        <w:rPr>
          <w:spacing w:val="-2"/>
        </w:rPr>
        <w:t>ways</w:t>
      </w:r>
      <w:r>
        <w:rPr>
          <w:spacing w:val="-11"/>
        </w:rPr>
        <w:t> </w:t>
      </w:r>
      <w:r>
        <w:rPr>
          <w:spacing w:val="-2"/>
        </w:rPr>
        <w:t>to</w:t>
      </w:r>
      <w:r>
        <w:rPr>
          <w:spacing w:val="-10"/>
        </w:rPr>
        <w:t> </w:t>
      </w:r>
      <w:r>
        <w:rPr>
          <w:spacing w:val="-2"/>
        </w:rPr>
        <w:t>exercise</w:t>
      </w:r>
      <w:r>
        <w:rPr>
          <w:spacing w:val="-11"/>
        </w:rPr>
        <w:t> </w:t>
      </w:r>
      <w:r>
        <w:rPr>
          <w:spacing w:val="-2"/>
        </w:rPr>
        <w:t>influence.</w:t>
      </w:r>
      <w:r>
        <w:rPr>
          <w:spacing w:val="-10"/>
        </w:rPr>
        <w:t> </w:t>
      </w:r>
      <w:r>
        <w:rPr>
          <w:spacing w:val="-2"/>
        </w:rPr>
        <w:t>A</w:t>
      </w:r>
      <w:r>
        <w:rPr>
          <w:spacing w:val="-11"/>
        </w:rPr>
        <w:t> </w:t>
      </w:r>
      <w:r>
        <w:rPr>
          <w:spacing w:val="-2"/>
        </w:rPr>
        <w:t>clear</w:t>
      </w:r>
      <w:r>
        <w:rPr>
          <w:spacing w:val="-10"/>
        </w:rPr>
        <w:t> </w:t>
      </w:r>
      <w:r>
        <w:rPr>
          <w:spacing w:val="-2"/>
        </w:rPr>
        <w:t>example </w:t>
      </w:r>
      <w:r>
        <w:rPr/>
        <w:t>can</w:t>
      </w:r>
      <w:r>
        <w:rPr>
          <w:spacing w:val="-13"/>
        </w:rPr>
        <w:t> </w:t>
      </w:r>
      <w:r>
        <w:rPr/>
        <w:t>be</w:t>
      </w:r>
      <w:r>
        <w:rPr>
          <w:spacing w:val="-12"/>
        </w:rPr>
        <w:t> </w:t>
      </w:r>
      <w:r>
        <w:rPr/>
        <w:t>seen</w:t>
      </w:r>
      <w:r>
        <w:rPr>
          <w:spacing w:val="-13"/>
        </w:rPr>
        <w:t> </w:t>
      </w:r>
      <w:r>
        <w:rPr/>
        <w:t>in</w:t>
      </w:r>
      <w:r>
        <w:rPr>
          <w:spacing w:val="-12"/>
        </w:rPr>
        <w:t> </w:t>
      </w:r>
      <w:r>
        <w:rPr>
          <w:i/>
        </w:rPr>
        <w:t>Macbeth</w:t>
      </w:r>
      <w:r>
        <w:rPr/>
        <w:t>,</w:t>
      </w:r>
      <w:r>
        <w:rPr>
          <w:spacing w:val="-13"/>
        </w:rPr>
        <w:t> </w:t>
      </w:r>
      <w:r>
        <w:rPr/>
        <w:t>where</w:t>
      </w:r>
      <w:r>
        <w:rPr>
          <w:spacing w:val="-12"/>
        </w:rPr>
        <w:t> </w:t>
      </w:r>
      <w:r>
        <w:rPr/>
        <w:t>Lady</w:t>
      </w:r>
      <w:r>
        <w:rPr>
          <w:spacing w:val="-13"/>
        </w:rPr>
        <w:t> </w:t>
      </w:r>
      <w:r>
        <w:rPr/>
        <w:t>Macbeth</w:t>
      </w:r>
      <w:r>
        <w:rPr>
          <w:spacing w:val="-12"/>
        </w:rPr>
        <w:t> </w:t>
      </w:r>
      <w:r>
        <w:rPr/>
        <w:t>uses</w:t>
      </w:r>
      <w:r>
        <w:rPr>
          <w:spacing w:val="-13"/>
        </w:rPr>
        <w:t> </w:t>
      </w:r>
      <w:r>
        <w:rPr/>
        <w:t>persuasion,</w:t>
      </w:r>
      <w:r>
        <w:rPr>
          <w:spacing w:val="-12"/>
        </w:rPr>
        <w:t> </w:t>
      </w:r>
      <w:r>
        <w:rPr/>
        <w:t>emotional pressure, and manipulation to drive Macbeth toward regicide. Her role demonstrates</w:t>
      </w:r>
      <w:r>
        <w:rPr>
          <w:spacing w:val="-6"/>
        </w:rPr>
        <w:t> </w:t>
      </w:r>
      <w:r>
        <w:rPr/>
        <w:t>that</w:t>
      </w:r>
      <w:r>
        <w:rPr>
          <w:spacing w:val="-6"/>
        </w:rPr>
        <w:t> </w:t>
      </w:r>
      <w:r>
        <w:rPr/>
        <w:t>power</w:t>
      </w:r>
      <w:r>
        <w:rPr>
          <w:spacing w:val="-5"/>
        </w:rPr>
        <w:t> </w:t>
      </w:r>
      <w:r>
        <w:rPr/>
        <w:t>is</w:t>
      </w:r>
      <w:r>
        <w:rPr>
          <w:spacing w:val="-6"/>
        </w:rPr>
        <w:t> </w:t>
      </w:r>
      <w:r>
        <w:rPr/>
        <w:t>not</w:t>
      </w:r>
      <w:r>
        <w:rPr>
          <w:spacing w:val="-6"/>
        </w:rPr>
        <w:t> </w:t>
      </w:r>
      <w:r>
        <w:rPr/>
        <w:t>limited</w:t>
      </w:r>
      <w:r>
        <w:rPr>
          <w:spacing w:val="-8"/>
        </w:rPr>
        <w:t> </w:t>
      </w:r>
      <w:r>
        <w:rPr/>
        <w:t>to</w:t>
      </w:r>
      <w:r>
        <w:rPr>
          <w:spacing w:val="-5"/>
        </w:rPr>
        <w:t> </w:t>
      </w:r>
      <w:r>
        <w:rPr/>
        <w:t>political</w:t>
      </w:r>
      <w:r>
        <w:rPr>
          <w:spacing w:val="-5"/>
        </w:rPr>
        <w:t> </w:t>
      </w:r>
      <w:r>
        <w:rPr/>
        <w:t>position</w:t>
      </w:r>
      <w:r>
        <w:rPr>
          <w:spacing w:val="-6"/>
        </w:rPr>
        <w:t> </w:t>
      </w:r>
      <w:r>
        <w:rPr/>
        <w:t>alone</w:t>
      </w:r>
      <w:r>
        <w:rPr>
          <w:spacing w:val="-5"/>
        </w:rPr>
        <w:t> </w:t>
      </w:r>
      <w:r>
        <w:rPr/>
        <w:t>but</w:t>
      </w:r>
      <w:r>
        <w:rPr>
          <w:spacing w:val="-5"/>
        </w:rPr>
        <w:t> </w:t>
      </w:r>
      <w:r>
        <w:rPr/>
        <w:t>can also exist in more subtle, psychological forms.</w:t>
      </w:r>
      <w:r>
        <w:rPr>
          <w:spacing w:val="-1"/>
        </w:rPr>
        <w:t> </w:t>
      </w:r>
      <w:r>
        <w:rPr/>
        <w:t>At the same time, male characters are often shown struggling to meet expectations of strength and dominance, suggesting that power is closely tied to ideals of </w:t>
      </w:r>
      <w:r>
        <w:rPr>
          <w:spacing w:val="-2"/>
        </w:rPr>
        <w:t>masculinity.</w:t>
      </w:r>
    </w:p>
    <w:p>
      <w:pPr>
        <w:pStyle w:val="BodyText"/>
        <w:spacing w:line="249" w:lineRule="auto" w:before="65"/>
        <w:ind w:right="1439" w:firstLine="432"/>
        <w:jc w:val="both"/>
      </w:pPr>
      <w:r>
        <w:rPr/>
        <w:t>Through these portrayals, Shakespeare highlights how ideas of </w:t>
      </w:r>
      <w:r>
        <w:rPr>
          <w:spacing w:val="-2"/>
        </w:rPr>
        <w:t>masculinity</w:t>
      </w:r>
      <w:r>
        <w:rPr>
          <w:spacing w:val="-7"/>
        </w:rPr>
        <w:t> </w:t>
      </w:r>
      <w:r>
        <w:rPr>
          <w:spacing w:val="-2"/>
        </w:rPr>
        <w:t>and femininity</w:t>
      </w:r>
      <w:r>
        <w:rPr>
          <w:spacing w:val="-7"/>
        </w:rPr>
        <w:t> </w:t>
      </w:r>
      <w:r>
        <w:rPr>
          <w:spacing w:val="-2"/>
        </w:rPr>
        <w:t>are</w:t>
      </w:r>
      <w:r>
        <w:rPr>
          <w:spacing w:val="-4"/>
        </w:rPr>
        <w:t> </w:t>
      </w:r>
      <w:r>
        <w:rPr>
          <w:spacing w:val="-2"/>
        </w:rPr>
        <w:t>socially</w:t>
      </w:r>
      <w:r>
        <w:rPr>
          <w:spacing w:val="-7"/>
        </w:rPr>
        <w:t> </w:t>
      </w:r>
      <w:r>
        <w:rPr>
          <w:spacing w:val="-2"/>
        </w:rPr>
        <w:t>constructed and deeply</w:t>
      </w:r>
      <w:r>
        <w:rPr>
          <w:spacing w:val="-7"/>
        </w:rPr>
        <w:t> </w:t>
      </w:r>
      <w:r>
        <w:rPr>
          <w:spacing w:val="-2"/>
        </w:rPr>
        <w:t>connected </w:t>
      </w:r>
      <w:r>
        <w:rPr/>
        <w:t>to authority and control. His plays suggest that power is not fixed but constantly negotiated, shaped by both societal expectations and individual</w:t>
      </w:r>
      <w:r>
        <w:rPr>
          <w:spacing w:val="40"/>
        </w:rPr>
        <w:t> </w:t>
      </w:r>
      <w:r>
        <w:rPr/>
        <w:t>actions.</w:t>
      </w:r>
    </w:p>
    <w:p>
      <w:pPr>
        <w:pStyle w:val="Heading3"/>
        <w:spacing w:before="158"/>
        <w:ind w:right="1439"/>
        <w:jc w:val="both"/>
      </w:pPr>
      <w:r>
        <w:rPr/>
        <w:t>EXPLORING GENDER AND POWER THROUGH KEY </w:t>
      </w:r>
      <w:r>
        <w:rPr>
          <w:spacing w:val="-6"/>
        </w:rPr>
        <w:t>SHAKESPEAREAN</w:t>
      </w:r>
      <w:r>
        <w:rPr>
          <w:spacing w:val="-22"/>
        </w:rPr>
        <w:t> </w:t>
      </w:r>
      <w:r>
        <w:rPr>
          <w:spacing w:val="-6"/>
        </w:rPr>
        <w:t>CHARACTERS</w:t>
      </w:r>
    </w:p>
    <w:p>
      <w:pPr>
        <w:pStyle w:val="BodyText"/>
        <w:spacing w:line="249" w:lineRule="auto" w:before="76"/>
        <w:ind w:right="1436" w:firstLine="432"/>
        <w:jc w:val="both"/>
      </w:pPr>
      <w:r>
        <w:rPr/>
        <w:t>Shakespeare’s plays offer a rich and nuanced portrayal of how gender</w:t>
      </w:r>
      <w:r>
        <w:rPr>
          <w:spacing w:val="-5"/>
        </w:rPr>
        <w:t> </w:t>
      </w:r>
      <w:r>
        <w:rPr/>
        <w:t>and</w:t>
      </w:r>
      <w:r>
        <w:rPr>
          <w:spacing w:val="-4"/>
        </w:rPr>
        <w:t> </w:t>
      </w:r>
      <w:r>
        <w:rPr/>
        <w:t>power</w:t>
      </w:r>
      <w:r>
        <w:rPr>
          <w:spacing w:val="-5"/>
        </w:rPr>
        <w:t> </w:t>
      </w:r>
      <w:r>
        <w:rPr/>
        <w:t>interact,</w:t>
      </w:r>
      <w:r>
        <w:rPr>
          <w:spacing w:val="-5"/>
        </w:rPr>
        <w:t> </w:t>
      </w:r>
      <w:r>
        <w:rPr/>
        <w:t>particularly</w:t>
      </w:r>
      <w:r>
        <w:rPr>
          <w:spacing w:val="-12"/>
        </w:rPr>
        <w:t> </w:t>
      </w:r>
      <w:r>
        <w:rPr/>
        <w:t>when</w:t>
      </w:r>
      <w:r>
        <w:rPr>
          <w:spacing w:val="-7"/>
        </w:rPr>
        <w:t> </w:t>
      </w:r>
      <w:r>
        <w:rPr/>
        <w:t>examined</w:t>
      </w:r>
      <w:r>
        <w:rPr>
          <w:spacing w:val="-5"/>
        </w:rPr>
        <w:t> </w:t>
      </w:r>
      <w:r>
        <w:rPr/>
        <w:t>through</w:t>
      </w:r>
      <w:r>
        <w:rPr>
          <w:spacing w:val="-7"/>
        </w:rPr>
        <w:t> </w:t>
      </w:r>
      <w:r>
        <w:rPr/>
        <w:t>some</w:t>
      </w:r>
      <w:r>
        <w:rPr>
          <w:spacing w:val="-6"/>
        </w:rPr>
        <w:t> </w:t>
      </w:r>
      <w:r>
        <w:rPr/>
        <w:t>of </w:t>
      </w:r>
      <w:r>
        <w:rPr>
          <w:spacing w:val="-2"/>
        </w:rPr>
        <w:t>his</w:t>
      </w:r>
      <w:r>
        <w:rPr>
          <w:spacing w:val="-8"/>
        </w:rPr>
        <w:t> </w:t>
      </w:r>
      <w:r>
        <w:rPr>
          <w:spacing w:val="-2"/>
        </w:rPr>
        <w:t>most</w:t>
      </w:r>
      <w:r>
        <w:rPr>
          <w:spacing w:val="-6"/>
        </w:rPr>
        <w:t> </w:t>
      </w:r>
      <w:r>
        <w:rPr>
          <w:spacing w:val="-2"/>
        </w:rPr>
        <w:t>memorable</w:t>
      </w:r>
      <w:r>
        <w:rPr>
          <w:spacing w:val="-8"/>
        </w:rPr>
        <w:t> </w:t>
      </w:r>
      <w:r>
        <w:rPr>
          <w:spacing w:val="-2"/>
        </w:rPr>
        <w:t>characters.</w:t>
      </w:r>
      <w:r>
        <w:rPr>
          <w:spacing w:val="-6"/>
        </w:rPr>
        <w:t> </w:t>
      </w:r>
      <w:r>
        <w:rPr>
          <w:spacing w:val="-2"/>
        </w:rPr>
        <w:t>In</w:t>
      </w:r>
      <w:r>
        <w:rPr>
          <w:spacing w:val="-7"/>
        </w:rPr>
        <w:t> </w:t>
      </w:r>
      <w:r>
        <w:rPr>
          <w:i/>
          <w:spacing w:val="-2"/>
        </w:rPr>
        <w:t>Macbeth</w:t>
      </w:r>
      <w:r>
        <w:rPr>
          <w:spacing w:val="-2"/>
        </w:rPr>
        <w:t>,</w:t>
      </w:r>
      <w:r>
        <w:rPr>
          <w:spacing w:val="-6"/>
        </w:rPr>
        <w:t> </w:t>
      </w:r>
      <w:r>
        <w:rPr>
          <w:spacing w:val="-2"/>
        </w:rPr>
        <w:t>this</w:t>
      </w:r>
      <w:r>
        <w:rPr>
          <w:spacing w:val="-10"/>
        </w:rPr>
        <w:t> </w:t>
      </w:r>
      <w:r>
        <w:rPr>
          <w:spacing w:val="-2"/>
        </w:rPr>
        <w:t>relationship</w:t>
      </w:r>
      <w:r>
        <w:rPr>
          <w:spacing w:val="-8"/>
        </w:rPr>
        <w:t> </w:t>
      </w:r>
      <w:r>
        <w:rPr>
          <w:spacing w:val="-2"/>
        </w:rPr>
        <w:t>is</w:t>
      </w:r>
      <w:r>
        <w:rPr>
          <w:spacing w:val="-8"/>
        </w:rPr>
        <w:t> </w:t>
      </w:r>
      <w:r>
        <w:rPr>
          <w:spacing w:val="-2"/>
        </w:rPr>
        <w:t>especially </w:t>
      </w:r>
      <w:r>
        <w:rPr/>
        <w:t>striking. Lady Macbeth stands out as a character who challenges traditional</w:t>
      </w:r>
      <w:r>
        <w:rPr>
          <w:spacing w:val="-13"/>
        </w:rPr>
        <w:t> </w:t>
      </w:r>
      <w:r>
        <w:rPr/>
        <w:t>expectations</w:t>
      </w:r>
      <w:r>
        <w:rPr>
          <w:spacing w:val="-12"/>
        </w:rPr>
        <w:t> </w:t>
      </w:r>
      <w:r>
        <w:rPr/>
        <w:t>of</w:t>
      </w:r>
      <w:r>
        <w:rPr>
          <w:spacing w:val="-13"/>
        </w:rPr>
        <w:t> </w:t>
      </w:r>
      <w:r>
        <w:rPr/>
        <w:t>femininity.</w:t>
      </w:r>
      <w:r>
        <w:rPr>
          <w:spacing w:val="-12"/>
        </w:rPr>
        <w:t> </w:t>
      </w:r>
      <w:r>
        <w:rPr/>
        <w:t>Her</w:t>
      </w:r>
      <w:r>
        <w:rPr>
          <w:spacing w:val="-13"/>
        </w:rPr>
        <w:t> </w:t>
      </w:r>
      <w:r>
        <w:rPr/>
        <w:t>ambition</w:t>
      </w:r>
      <w:r>
        <w:rPr>
          <w:spacing w:val="-12"/>
        </w:rPr>
        <w:t> </w:t>
      </w:r>
      <w:r>
        <w:rPr/>
        <w:t>and</w:t>
      </w:r>
      <w:r>
        <w:rPr>
          <w:spacing w:val="-13"/>
        </w:rPr>
        <w:t> </w:t>
      </w:r>
      <w:r>
        <w:rPr/>
        <w:t>strong</w:t>
      </w:r>
      <w:r>
        <w:rPr>
          <w:spacing w:val="-12"/>
        </w:rPr>
        <w:t> </w:t>
      </w:r>
      <w:r>
        <w:rPr/>
        <w:t>will</w:t>
      </w:r>
      <w:r>
        <w:rPr>
          <w:spacing w:val="-13"/>
        </w:rPr>
        <w:t> </w:t>
      </w:r>
      <w:r>
        <w:rPr/>
        <w:t>make her a central force behind Macbeth’s rise to power. By influencing and pressuring him to commit regicide, she demonstrates that power can be exercised not only through position but also through persuasion and emotional control.</w:t>
      </w:r>
    </w:p>
    <w:p>
      <w:pPr>
        <w:pStyle w:val="BodyText"/>
        <w:spacing w:line="249" w:lineRule="auto" w:before="65"/>
        <w:ind w:right="1438" w:firstLine="432"/>
        <w:jc w:val="both"/>
      </w:pPr>
      <w:r>
        <w:rPr/>
        <w:t>In </w:t>
      </w:r>
      <w:r>
        <w:rPr>
          <w:i/>
        </w:rPr>
        <w:t>Hamlet</w:t>
      </w:r>
      <w:r>
        <w:rPr/>
        <w:t>, the focus shifts to the struggles of male identity. Hamlet himself is caught between thought and action, reflecting the pressures placed on men to embody strength, decisiveness, and authority. His internal conflict reveals how expectations of masculinity can become burdensome, complicating one’s ability to act and assert </w:t>
      </w:r>
      <w:r>
        <w:rPr>
          <w:spacing w:val="-2"/>
        </w:rPr>
        <w:t>power.</w:t>
      </w:r>
    </w:p>
    <w:p>
      <w:pPr>
        <w:pStyle w:val="BodyText"/>
        <w:spacing w:line="249" w:lineRule="auto" w:before="62"/>
        <w:ind w:right="1439" w:firstLine="432"/>
        <w:jc w:val="both"/>
      </w:pPr>
      <w:r>
        <w:rPr/>
        <w:t>Shakespeare further expands this exploration in </w:t>
      </w:r>
      <w:r>
        <w:rPr>
          <w:i/>
        </w:rPr>
        <w:t>Antony and Cleopatra </w:t>
      </w:r>
      <w:r>
        <w:rPr/>
        <w:t>through the character of Cleopatra. She defies conventional </w:t>
      </w:r>
      <w:r>
        <w:rPr>
          <w:spacing w:val="-2"/>
        </w:rPr>
        <w:t>ideas</w:t>
      </w:r>
      <w:r>
        <w:rPr>
          <w:spacing w:val="-7"/>
        </w:rPr>
        <w:t> </w:t>
      </w:r>
      <w:r>
        <w:rPr>
          <w:spacing w:val="-2"/>
        </w:rPr>
        <w:t>of</w:t>
      </w:r>
      <w:r>
        <w:rPr>
          <w:spacing w:val="-8"/>
        </w:rPr>
        <w:t> </w:t>
      </w:r>
      <w:r>
        <w:rPr>
          <w:spacing w:val="-2"/>
        </w:rPr>
        <w:t>femininity</w:t>
      </w:r>
      <w:r>
        <w:rPr>
          <w:spacing w:val="-10"/>
        </w:rPr>
        <w:t> </w:t>
      </w:r>
      <w:r>
        <w:rPr>
          <w:spacing w:val="-2"/>
        </w:rPr>
        <w:t>by</w:t>
      </w:r>
      <w:r>
        <w:rPr>
          <w:spacing w:val="-11"/>
        </w:rPr>
        <w:t> </w:t>
      </w:r>
      <w:r>
        <w:rPr>
          <w:spacing w:val="-2"/>
        </w:rPr>
        <w:t>asserting</w:t>
      </w:r>
      <w:r>
        <w:rPr>
          <w:spacing w:val="-6"/>
        </w:rPr>
        <w:t> </w:t>
      </w:r>
      <w:r>
        <w:rPr>
          <w:spacing w:val="-2"/>
        </w:rPr>
        <w:t>her</w:t>
      </w:r>
      <w:r>
        <w:rPr>
          <w:spacing w:val="-4"/>
        </w:rPr>
        <w:t> </w:t>
      </w:r>
      <w:r>
        <w:rPr>
          <w:spacing w:val="-2"/>
        </w:rPr>
        <w:t>authority</w:t>
      </w:r>
      <w:r>
        <w:rPr>
          <w:spacing w:val="-10"/>
        </w:rPr>
        <w:t> </w:t>
      </w:r>
      <w:r>
        <w:rPr>
          <w:spacing w:val="-2"/>
        </w:rPr>
        <w:t>and influence</w:t>
      </w:r>
      <w:r>
        <w:rPr>
          <w:spacing w:val="-6"/>
        </w:rPr>
        <w:t> </w:t>
      </w:r>
      <w:r>
        <w:rPr>
          <w:spacing w:val="-2"/>
        </w:rPr>
        <w:t>over</w:t>
      </w:r>
      <w:r>
        <w:rPr>
          <w:spacing w:val="-3"/>
        </w:rPr>
        <w:t> </w:t>
      </w:r>
      <w:r>
        <w:rPr>
          <w:spacing w:val="-2"/>
        </w:rPr>
        <w:t>powerful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29344">
                <wp:simplePos x="0" y="0"/>
                <wp:positionH relativeFrom="page">
                  <wp:posOffset>2057400</wp:posOffset>
                </wp:positionH>
                <wp:positionV relativeFrom="paragraph">
                  <wp:posOffset>162604</wp:posOffset>
                </wp:positionV>
                <wp:extent cx="3657600" cy="12700"/>
                <wp:effectExtent l="0" t="0" r="0" b="0"/>
                <wp:wrapTopAndBottom/>
                <wp:docPr id="898" name="Graphic 898"/>
                <wp:cNvGraphicFramePr>
                  <a:graphicFrameLocks/>
                </wp:cNvGraphicFramePr>
                <a:graphic>
                  <a:graphicData uri="http://schemas.microsoft.com/office/word/2010/wordprocessingShape">
                    <wps:wsp>
                      <wps:cNvPr id="898" name="Graphic 89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87136;mso-wrap-distance-left:0;mso-wrap-distance-right:0" id="docshape889" filled="true" fillcolor="#000000" stroked="false">
                <v:fill type="solid"/>
                <w10:wrap type="topAndBottom"/>
              </v:rect>
            </w:pict>
          </mc:Fallback>
        </mc:AlternateContent>
      </w:r>
      <w:r>
        <w:rPr>
          <w:rFonts w:ascii="Verdana"/>
          <w:spacing w:val="-5"/>
          <w:sz w:val="18"/>
        </w:rPr>
        <w:t>474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9"/>
        <w:jc w:val="both"/>
      </w:pPr>
      <w:r>
        <w:rPr/>
        <w:t>figures like Julius Caesar and Mark Antony. Cleopatra’s character challenges the assumption that power is exclusively masculine, instead showing that women, too, can command respect and control through intelligence, charisma, and political skill.</w:t>
      </w:r>
    </w:p>
    <w:p>
      <w:pPr>
        <w:pStyle w:val="BodyText"/>
        <w:spacing w:line="249" w:lineRule="auto" w:before="61"/>
        <w:ind w:right="1441" w:firstLine="432"/>
        <w:jc w:val="both"/>
      </w:pPr>
      <w:r>
        <w:rPr/>
        <w:t>Similarly,</w:t>
      </w:r>
      <w:r>
        <w:rPr>
          <w:spacing w:val="-7"/>
        </w:rPr>
        <w:t> </w:t>
      </w:r>
      <w:r>
        <w:rPr/>
        <w:t>in</w:t>
      </w:r>
      <w:r>
        <w:rPr>
          <w:spacing w:val="-6"/>
        </w:rPr>
        <w:t> </w:t>
      </w:r>
      <w:r>
        <w:rPr>
          <w:i/>
        </w:rPr>
        <w:t>As</w:t>
      </w:r>
      <w:r>
        <w:rPr>
          <w:i/>
          <w:spacing w:val="-7"/>
        </w:rPr>
        <w:t> </w:t>
      </w:r>
      <w:r>
        <w:rPr>
          <w:i/>
        </w:rPr>
        <w:t>You</w:t>
      </w:r>
      <w:r>
        <w:rPr>
          <w:i/>
          <w:spacing w:val="-7"/>
        </w:rPr>
        <w:t> </w:t>
      </w:r>
      <w:r>
        <w:rPr>
          <w:i/>
        </w:rPr>
        <w:t>Like</w:t>
      </w:r>
      <w:r>
        <w:rPr>
          <w:i/>
          <w:spacing w:val="-5"/>
        </w:rPr>
        <w:t> </w:t>
      </w:r>
      <w:r>
        <w:rPr>
          <w:i/>
        </w:rPr>
        <w:t>It</w:t>
      </w:r>
      <w:r>
        <w:rPr/>
        <w:t>,</w:t>
      </w:r>
      <w:r>
        <w:rPr>
          <w:spacing w:val="-5"/>
        </w:rPr>
        <w:t> </w:t>
      </w:r>
      <w:r>
        <w:rPr/>
        <w:t>Rosalind</w:t>
      </w:r>
      <w:r>
        <w:rPr>
          <w:spacing w:val="-4"/>
        </w:rPr>
        <w:t> </w:t>
      </w:r>
      <w:r>
        <w:rPr/>
        <w:t>offers</w:t>
      </w:r>
      <w:r>
        <w:rPr>
          <w:spacing w:val="-9"/>
        </w:rPr>
        <w:t> </w:t>
      </w:r>
      <w:r>
        <w:rPr/>
        <w:t>a</w:t>
      </w:r>
      <w:r>
        <w:rPr>
          <w:spacing w:val="-6"/>
        </w:rPr>
        <w:t> </w:t>
      </w:r>
      <w:r>
        <w:rPr/>
        <w:t>different</w:t>
      </w:r>
      <w:r>
        <w:rPr>
          <w:spacing w:val="-5"/>
        </w:rPr>
        <w:t> </w:t>
      </w:r>
      <w:r>
        <w:rPr/>
        <w:t>perspective on gender and power. By disguising herself as Ganymede, she is able</w:t>
      </w:r>
      <w:r>
        <w:rPr>
          <w:spacing w:val="80"/>
        </w:rPr>
        <w:t> </w:t>
      </w:r>
      <w:r>
        <w:rPr/>
        <w:t>to move freely within a male-dominated society and take on roles that would otherwise be denied to her. This disguise allows her to guide events and influence other characters, highlighting how gender roles</w:t>
      </w:r>
      <w:r>
        <w:rPr>
          <w:spacing w:val="40"/>
        </w:rPr>
        <w:t> </w:t>
      </w:r>
      <w:r>
        <w:rPr/>
        <w:t>can be flexible and per formative.</w:t>
      </w:r>
    </w:p>
    <w:p>
      <w:pPr>
        <w:pStyle w:val="BodyText"/>
        <w:spacing w:line="249" w:lineRule="auto" w:before="63"/>
        <w:ind w:right="1436" w:firstLine="432"/>
        <w:jc w:val="both"/>
      </w:pPr>
      <w:r>
        <w:rPr/>
        <w:t>Through</w:t>
      </w:r>
      <w:r>
        <w:rPr>
          <w:spacing w:val="-3"/>
        </w:rPr>
        <w:t> </w:t>
      </w:r>
      <w:r>
        <w:rPr/>
        <w:t>these</w:t>
      </w:r>
      <w:r>
        <w:rPr>
          <w:spacing w:val="-2"/>
        </w:rPr>
        <w:t> </w:t>
      </w:r>
      <w:r>
        <w:rPr/>
        <w:t>characters,</w:t>
      </w:r>
      <w:r>
        <w:rPr>
          <w:spacing w:val="-1"/>
        </w:rPr>
        <w:t> </w:t>
      </w:r>
      <w:r>
        <w:rPr/>
        <w:t>Shakespeare presents</w:t>
      </w:r>
      <w:r>
        <w:rPr>
          <w:spacing w:val="-1"/>
        </w:rPr>
        <w:t> </w:t>
      </w:r>
      <w:r>
        <w:rPr/>
        <w:t>gender</w:t>
      </w:r>
      <w:r>
        <w:rPr>
          <w:spacing w:val="-3"/>
        </w:rPr>
        <w:t> </w:t>
      </w:r>
      <w:r>
        <w:rPr/>
        <w:t>and</w:t>
      </w:r>
      <w:r>
        <w:rPr>
          <w:spacing w:val="-1"/>
        </w:rPr>
        <w:t> </w:t>
      </w:r>
      <w:r>
        <w:rPr/>
        <w:t>power as</w:t>
      </w:r>
      <w:r>
        <w:rPr>
          <w:spacing w:val="40"/>
        </w:rPr>
        <w:t> </w:t>
      </w:r>
      <w:r>
        <w:rPr/>
        <w:t>deeply</w:t>
      </w:r>
      <w:r>
        <w:rPr>
          <w:spacing w:val="40"/>
        </w:rPr>
        <w:t> </w:t>
      </w:r>
      <w:r>
        <w:rPr/>
        <w:t>interconnected</w:t>
      </w:r>
      <w:r>
        <w:rPr>
          <w:spacing w:val="40"/>
        </w:rPr>
        <w:t> </w:t>
      </w:r>
      <w:r>
        <w:rPr/>
        <w:t>and</w:t>
      </w:r>
      <w:r>
        <w:rPr>
          <w:spacing w:val="40"/>
        </w:rPr>
        <w:t> </w:t>
      </w:r>
      <w:r>
        <w:rPr/>
        <w:t>constantly</w:t>
      </w:r>
      <w:r>
        <w:rPr>
          <w:spacing w:val="40"/>
        </w:rPr>
        <w:t> </w:t>
      </w:r>
      <w:r>
        <w:rPr/>
        <w:t>shifting.</w:t>
      </w:r>
      <w:r>
        <w:rPr>
          <w:spacing w:val="40"/>
        </w:rPr>
        <w:t> </w:t>
      </w:r>
      <w:r>
        <w:rPr/>
        <w:t>His</w:t>
      </w:r>
      <w:r>
        <w:rPr>
          <w:spacing w:val="40"/>
        </w:rPr>
        <w:t> </w:t>
      </w:r>
      <w:r>
        <w:rPr/>
        <w:t>plays</w:t>
      </w:r>
      <w:r>
        <w:rPr>
          <w:spacing w:val="40"/>
        </w:rPr>
        <w:t> </w:t>
      </w:r>
      <w:r>
        <w:rPr/>
        <w:t>suggest that power is not simply determined by gender, but is shaped by individual actions, social expectations, and the ability to navigate and sometimes</w:t>
      </w:r>
      <w:r>
        <w:rPr>
          <w:spacing w:val="40"/>
        </w:rPr>
        <w:t> </w:t>
      </w:r>
      <w:r>
        <w:rPr/>
        <w:t>challenge</w:t>
      </w:r>
      <w:r>
        <w:rPr>
          <w:spacing w:val="40"/>
        </w:rPr>
        <w:t> </w:t>
      </w:r>
      <w:r>
        <w:rPr/>
        <w:t>established</w:t>
      </w:r>
      <w:r>
        <w:rPr>
          <w:spacing w:val="40"/>
        </w:rPr>
        <w:t> </w:t>
      </w:r>
      <w:r>
        <w:rPr/>
        <w:t>norms.</w:t>
      </w:r>
    </w:p>
    <w:p>
      <w:pPr>
        <w:pStyle w:val="Heading3"/>
        <w:spacing w:before="157"/>
        <w:ind w:right="1439"/>
        <w:jc w:val="both"/>
      </w:pPr>
      <w:r>
        <w:rPr>
          <w:w w:val="85"/>
        </w:rPr>
        <w:t>KEY CHARACTERS AND</w:t>
      </w:r>
      <w:r>
        <w:rPr>
          <w:spacing w:val="-2"/>
          <w:w w:val="85"/>
        </w:rPr>
        <w:t> </w:t>
      </w:r>
      <w:r>
        <w:rPr>
          <w:w w:val="85"/>
        </w:rPr>
        <w:t>THEIR ROLES IN GENDER–POWER </w:t>
      </w:r>
      <w:r>
        <w:rPr>
          <w:spacing w:val="-2"/>
          <w:w w:val="95"/>
        </w:rPr>
        <w:t>RELATIONS</w:t>
      </w:r>
    </w:p>
    <w:p>
      <w:pPr>
        <w:pStyle w:val="BodyText"/>
        <w:spacing w:before="11"/>
        <w:ind w:left="0"/>
        <w:rPr>
          <w:rFonts w:ascii="Tahoma"/>
          <w:b/>
          <w:sz w:val="6"/>
        </w:rPr>
      </w:pPr>
    </w:p>
    <w:tbl>
      <w:tblPr>
        <w:tblW w:w="0" w:type="auto"/>
        <w:jc w:val="left"/>
        <w:tblInd w:w="16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55"/>
        <w:gridCol w:w="1046"/>
        <w:gridCol w:w="1703"/>
        <w:gridCol w:w="1594"/>
      </w:tblGrid>
      <w:tr>
        <w:trPr>
          <w:trHeight w:val="165" w:hRule="atLeast"/>
        </w:trPr>
        <w:tc>
          <w:tcPr>
            <w:tcW w:w="1055" w:type="dxa"/>
            <w:tcBorders>
              <w:left w:val="single" w:sz="4" w:space="0" w:color="000000"/>
              <w:right w:val="single" w:sz="4" w:space="0" w:color="000000"/>
            </w:tcBorders>
          </w:tcPr>
          <w:p>
            <w:pPr>
              <w:pStyle w:val="TableParagraph"/>
              <w:spacing w:line="145" w:lineRule="exact"/>
              <w:ind w:left="279"/>
              <w:rPr>
                <w:b/>
                <w:sz w:val="15"/>
              </w:rPr>
            </w:pPr>
            <w:r>
              <w:rPr>
                <w:b/>
                <w:spacing w:val="-2"/>
                <w:w w:val="85"/>
                <w:sz w:val="15"/>
              </w:rPr>
              <w:t>Character</w:t>
            </w:r>
          </w:p>
        </w:tc>
        <w:tc>
          <w:tcPr>
            <w:tcW w:w="1046" w:type="dxa"/>
            <w:tcBorders>
              <w:left w:val="single" w:sz="4" w:space="0" w:color="000000"/>
              <w:right w:val="single" w:sz="4" w:space="0" w:color="000000"/>
            </w:tcBorders>
          </w:tcPr>
          <w:p>
            <w:pPr>
              <w:pStyle w:val="TableParagraph"/>
              <w:spacing w:line="145" w:lineRule="exact"/>
              <w:ind w:left="13"/>
              <w:jc w:val="center"/>
              <w:rPr>
                <w:b/>
                <w:sz w:val="15"/>
              </w:rPr>
            </w:pPr>
            <w:r>
              <w:rPr>
                <w:b/>
                <w:spacing w:val="-4"/>
                <w:w w:val="85"/>
                <w:sz w:val="15"/>
              </w:rPr>
              <w:t>Play</w:t>
            </w:r>
          </w:p>
        </w:tc>
        <w:tc>
          <w:tcPr>
            <w:tcW w:w="1703" w:type="dxa"/>
            <w:tcBorders>
              <w:left w:val="single" w:sz="4" w:space="0" w:color="000000"/>
              <w:right w:val="single" w:sz="4" w:space="0" w:color="000000"/>
            </w:tcBorders>
          </w:tcPr>
          <w:p>
            <w:pPr>
              <w:pStyle w:val="TableParagraph"/>
              <w:spacing w:line="145" w:lineRule="exact"/>
              <w:ind w:left="300"/>
              <w:rPr>
                <w:b/>
                <w:sz w:val="15"/>
              </w:rPr>
            </w:pPr>
            <w:r>
              <w:rPr>
                <w:b/>
                <w:spacing w:val="-2"/>
                <w:w w:val="75"/>
                <w:sz w:val="15"/>
              </w:rPr>
              <w:t>Gender</w:t>
            </w:r>
            <w:r>
              <w:rPr>
                <w:b/>
                <w:spacing w:val="-3"/>
                <w:sz w:val="15"/>
              </w:rPr>
              <w:t> </w:t>
            </w:r>
            <w:r>
              <w:rPr>
                <w:b/>
                <w:spacing w:val="-2"/>
                <w:w w:val="75"/>
                <w:sz w:val="15"/>
              </w:rPr>
              <w:t>Role</w:t>
            </w:r>
            <w:r>
              <w:rPr>
                <w:b/>
                <w:sz w:val="15"/>
              </w:rPr>
              <w:t> </w:t>
            </w:r>
            <w:r>
              <w:rPr>
                <w:b/>
                <w:spacing w:val="-2"/>
                <w:w w:val="75"/>
                <w:sz w:val="15"/>
              </w:rPr>
              <w:t>Portrayal</w:t>
            </w:r>
          </w:p>
        </w:tc>
        <w:tc>
          <w:tcPr>
            <w:tcW w:w="1594" w:type="dxa"/>
            <w:tcBorders>
              <w:left w:val="single" w:sz="4" w:space="0" w:color="000000"/>
              <w:right w:val="single" w:sz="4" w:space="0" w:color="000000"/>
            </w:tcBorders>
          </w:tcPr>
          <w:p>
            <w:pPr>
              <w:pStyle w:val="TableParagraph"/>
              <w:spacing w:line="145" w:lineRule="exact"/>
              <w:ind w:left="301"/>
              <w:rPr>
                <w:b/>
                <w:sz w:val="15"/>
              </w:rPr>
            </w:pPr>
            <w:r>
              <w:rPr>
                <w:b/>
                <w:w w:val="75"/>
                <w:sz w:val="15"/>
              </w:rPr>
              <w:t>Expression</w:t>
            </w:r>
            <w:r>
              <w:rPr>
                <w:b/>
                <w:spacing w:val="-9"/>
                <w:sz w:val="15"/>
              </w:rPr>
              <w:t> </w:t>
            </w:r>
            <w:r>
              <w:rPr>
                <w:b/>
                <w:w w:val="75"/>
                <w:sz w:val="15"/>
              </w:rPr>
              <w:t>of</w:t>
            </w:r>
            <w:r>
              <w:rPr>
                <w:b/>
                <w:spacing w:val="-1"/>
                <w:w w:val="75"/>
                <w:sz w:val="15"/>
              </w:rPr>
              <w:t> </w:t>
            </w:r>
            <w:r>
              <w:rPr>
                <w:b/>
                <w:spacing w:val="-2"/>
                <w:w w:val="75"/>
                <w:sz w:val="15"/>
              </w:rPr>
              <w:t>Power</w:t>
            </w:r>
          </w:p>
        </w:tc>
      </w:tr>
      <w:tr>
        <w:trPr>
          <w:trHeight w:val="339" w:hRule="atLeast"/>
        </w:trPr>
        <w:tc>
          <w:tcPr>
            <w:tcW w:w="1055" w:type="dxa"/>
            <w:tcBorders>
              <w:left w:val="single" w:sz="4" w:space="0" w:color="000000"/>
              <w:right w:val="single" w:sz="4" w:space="0" w:color="000000"/>
            </w:tcBorders>
          </w:tcPr>
          <w:p>
            <w:pPr>
              <w:pStyle w:val="TableParagraph"/>
              <w:spacing w:line="167" w:lineRule="exact"/>
              <w:ind w:left="63"/>
              <w:rPr>
                <w:sz w:val="15"/>
              </w:rPr>
            </w:pPr>
            <w:r>
              <w:rPr>
                <w:spacing w:val="-2"/>
                <w:w w:val="75"/>
                <w:sz w:val="15"/>
              </w:rPr>
              <w:t>Lady</w:t>
            </w:r>
            <w:r>
              <w:rPr>
                <w:spacing w:val="-4"/>
                <w:sz w:val="15"/>
              </w:rPr>
              <w:t> </w:t>
            </w:r>
            <w:r>
              <w:rPr>
                <w:spacing w:val="-2"/>
                <w:w w:val="85"/>
                <w:sz w:val="15"/>
              </w:rPr>
              <w:t>Macbeth</w:t>
            </w:r>
          </w:p>
        </w:tc>
        <w:tc>
          <w:tcPr>
            <w:tcW w:w="1046" w:type="dxa"/>
            <w:tcBorders>
              <w:left w:val="single" w:sz="4" w:space="0" w:color="000000"/>
              <w:right w:val="single" w:sz="4" w:space="0" w:color="000000"/>
            </w:tcBorders>
          </w:tcPr>
          <w:p>
            <w:pPr>
              <w:pStyle w:val="TableParagraph"/>
              <w:spacing w:line="167" w:lineRule="exact"/>
              <w:ind w:left="61"/>
              <w:rPr>
                <w:i/>
                <w:sz w:val="15"/>
              </w:rPr>
            </w:pPr>
            <w:r>
              <w:rPr>
                <w:i/>
                <w:spacing w:val="-2"/>
                <w:w w:val="85"/>
                <w:sz w:val="15"/>
              </w:rPr>
              <w:t>Macbeth</w:t>
            </w:r>
          </w:p>
        </w:tc>
        <w:tc>
          <w:tcPr>
            <w:tcW w:w="1703" w:type="dxa"/>
            <w:tcBorders>
              <w:left w:val="single" w:sz="4" w:space="0" w:color="000000"/>
              <w:right w:val="single" w:sz="4" w:space="0" w:color="000000"/>
            </w:tcBorders>
          </w:tcPr>
          <w:p>
            <w:pPr>
              <w:pStyle w:val="TableParagraph"/>
              <w:spacing w:line="167" w:lineRule="exact"/>
              <w:ind w:left="61"/>
              <w:rPr>
                <w:sz w:val="15"/>
              </w:rPr>
            </w:pPr>
            <w:r>
              <w:rPr>
                <w:w w:val="75"/>
                <w:sz w:val="15"/>
              </w:rPr>
              <w:t>Challenges</w:t>
            </w:r>
            <w:r>
              <w:rPr>
                <w:spacing w:val="-1"/>
                <w:w w:val="75"/>
                <w:sz w:val="15"/>
              </w:rPr>
              <w:t> </w:t>
            </w:r>
            <w:r>
              <w:rPr>
                <w:w w:val="75"/>
                <w:sz w:val="15"/>
              </w:rPr>
              <w:t>traditional</w:t>
            </w:r>
            <w:r>
              <w:rPr>
                <w:spacing w:val="-3"/>
                <w:w w:val="75"/>
                <w:sz w:val="15"/>
              </w:rPr>
              <w:t> </w:t>
            </w:r>
            <w:r>
              <w:rPr>
                <w:spacing w:val="-2"/>
                <w:w w:val="75"/>
                <w:sz w:val="15"/>
              </w:rPr>
              <w:t>femininity</w:t>
            </w:r>
          </w:p>
        </w:tc>
        <w:tc>
          <w:tcPr>
            <w:tcW w:w="1594" w:type="dxa"/>
            <w:tcBorders>
              <w:left w:val="single" w:sz="4" w:space="0" w:color="000000"/>
              <w:right w:val="single" w:sz="4" w:space="0" w:color="000000"/>
            </w:tcBorders>
          </w:tcPr>
          <w:p>
            <w:pPr>
              <w:pStyle w:val="TableParagraph"/>
              <w:spacing w:line="167" w:lineRule="exact"/>
              <w:ind w:left="62"/>
              <w:rPr>
                <w:sz w:val="15"/>
              </w:rPr>
            </w:pPr>
            <w:r>
              <w:rPr>
                <w:spacing w:val="-2"/>
                <w:w w:val="75"/>
                <w:sz w:val="15"/>
              </w:rPr>
              <w:t>Influences</w:t>
            </w:r>
            <w:r>
              <w:rPr>
                <w:spacing w:val="3"/>
                <w:sz w:val="15"/>
              </w:rPr>
              <w:t> </w:t>
            </w:r>
            <w:r>
              <w:rPr>
                <w:spacing w:val="-2"/>
                <w:w w:val="75"/>
                <w:sz w:val="15"/>
              </w:rPr>
              <w:t>Macbeth</w:t>
            </w:r>
            <w:r>
              <w:rPr>
                <w:spacing w:val="5"/>
                <w:sz w:val="15"/>
              </w:rPr>
              <w:t> </w:t>
            </w:r>
            <w:r>
              <w:rPr>
                <w:spacing w:val="-2"/>
                <w:w w:val="75"/>
                <w:sz w:val="15"/>
              </w:rPr>
              <w:t>through</w:t>
            </w:r>
          </w:p>
          <w:p>
            <w:pPr>
              <w:pStyle w:val="TableParagraph"/>
              <w:spacing w:line="152" w:lineRule="exact"/>
              <w:ind w:left="63"/>
              <w:rPr>
                <w:sz w:val="15"/>
              </w:rPr>
            </w:pPr>
            <w:r>
              <w:rPr>
                <w:spacing w:val="-2"/>
                <w:w w:val="75"/>
                <w:sz w:val="15"/>
              </w:rPr>
              <w:t>persuasion</w:t>
            </w:r>
            <w:r>
              <w:rPr>
                <w:spacing w:val="-2"/>
                <w:sz w:val="15"/>
              </w:rPr>
              <w:t> </w:t>
            </w:r>
            <w:r>
              <w:rPr>
                <w:spacing w:val="-2"/>
                <w:w w:val="75"/>
                <w:sz w:val="15"/>
              </w:rPr>
              <w:t>and</w:t>
            </w:r>
            <w:r>
              <w:rPr>
                <w:spacing w:val="4"/>
                <w:sz w:val="15"/>
              </w:rPr>
              <w:t> </w:t>
            </w:r>
            <w:r>
              <w:rPr>
                <w:spacing w:val="-2"/>
                <w:w w:val="75"/>
                <w:sz w:val="15"/>
              </w:rPr>
              <w:t>control</w:t>
            </w:r>
          </w:p>
        </w:tc>
      </w:tr>
      <w:tr>
        <w:trPr>
          <w:trHeight w:val="338" w:hRule="atLeast"/>
        </w:trPr>
        <w:tc>
          <w:tcPr>
            <w:tcW w:w="1055" w:type="dxa"/>
            <w:tcBorders>
              <w:left w:val="single" w:sz="4" w:space="0" w:color="000000"/>
              <w:right w:val="single" w:sz="4" w:space="0" w:color="000000"/>
            </w:tcBorders>
          </w:tcPr>
          <w:p>
            <w:pPr>
              <w:pStyle w:val="TableParagraph"/>
              <w:spacing w:line="165" w:lineRule="exact"/>
              <w:ind w:left="63"/>
              <w:rPr>
                <w:sz w:val="15"/>
              </w:rPr>
            </w:pPr>
            <w:r>
              <w:rPr>
                <w:spacing w:val="-2"/>
                <w:w w:val="85"/>
                <w:sz w:val="15"/>
              </w:rPr>
              <w:t>Macbeth</w:t>
            </w:r>
          </w:p>
        </w:tc>
        <w:tc>
          <w:tcPr>
            <w:tcW w:w="1046" w:type="dxa"/>
            <w:tcBorders>
              <w:left w:val="single" w:sz="4" w:space="0" w:color="000000"/>
              <w:right w:val="single" w:sz="4" w:space="0" w:color="000000"/>
            </w:tcBorders>
          </w:tcPr>
          <w:p>
            <w:pPr>
              <w:pStyle w:val="TableParagraph"/>
              <w:spacing w:line="165" w:lineRule="exact"/>
              <w:ind w:left="61"/>
              <w:rPr>
                <w:i/>
                <w:sz w:val="15"/>
              </w:rPr>
            </w:pPr>
            <w:r>
              <w:rPr>
                <w:i/>
                <w:spacing w:val="-2"/>
                <w:w w:val="85"/>
                <w:sz w:val="15"/>
              </w:rPr>
              <w:t>Macbeth</w:t>
            </w:r>
          </w:p>
        </w:tc>
        <w:tc>
          <w:tcPr>
            <w:tcW w:w="1703" w:type="dxa"/>
            <w:tcBorders>
              <w:left w:val="single" w:sz="4" w:space="0" w:color="000000"/>
              <w:right w:val="single" w:sz="4" w:space="0" w:color="000000"/>
            </w:tcBorders>
          </w:tcPr>
          <w:p>
            <w:pPr>
              <w:pStyle w:val="TableParagraph"/>
              <w:spacing w:line="165" w:lineRule="exact"/>
              <w:ind w:left="61"/>
              <w:rPr>
                <w:sz w:val="15"/>
              </w:rPr>
            </w:pPr>
            <w:r>
              <w:rPr>
                <w:w w:val="75"/>
                <w:sz w:val="15"/>
              </w:rPr>
              <w:t>Struggles</w:t>
            </w:r>
            <w:r>
              <w:rPr>
                <w:spacing w:val="-9"/>
                <w:sz w:val="15"/>
              </w:rPr>
              <w:t> </w:t>
            </w:r>
            <w:r>
              <w:rPr>
                <w:w w:val="75"/>
                <w:sz w:val="15"/>
              </w:rPr>
              <w:t>with</w:t>
            </w:r>
            <w:r>
              <w:rPr>
                <w:spacing w:val="-1"/>
                <w:w w:val="75"/>
                <w:sz w:val="15"/>
              </w:rPr>
              <w:t> </w:t>
            </w:r>
            <w:r>
              <w:rPr>
                <w:spacing w:val="-2"/>
                <w:w w:val="75"/>
                <w:sz w:val="15"/>
              </w:rPr>
              <w:t>masculine</w:t>
            </w:r>
          </w:p>
          <w:p>
            <w:pPr>
              <w:pStyle w:val="TableParagraph"/>
              <w:spacing w:line="153" w:lineRule="exact"/>
              <w:ind w:left="62"/>
              <w:rPr>
                <w:sz w:val="15"/>
              </w:rPr>
            </w:pPr>
            <w:r>
              <w:rPr>
                <w:spacing w:val="-2"/>
                <w:w w:val="85"/>
                <w:sz w:val="15"/>
              </w:rPr>
              <w:t>expectations</w:t>
            </w:r>
          </w:p>
        </w:tc>
        <w:tc>
          <w:tcPr>
            <w:tcW w:w="1594" w:type="dxa"/>
            <w:tcBorders>
              <w:left w:val="single" w:sz="4" w:space="0" w:color="000000"/>
              <w:right w:val="single" w:sz="4" w:space="0" w:color="000000"/>
            </w:tcBorders>
          </w:tcPr>
          <w:p>
            <w:pPr>
              <w:pStyle w:val="TableParagraph"/>
              <w:spacing w:line="165" w:lineRule="exact"/>
              <w:ind w:left="63"/>
              <w:rPr>
                <w:sz w:val="15"/>
              </w:rPr>
            </w:pPr>
            <w:r>
              <w:rPr>
                <w:spacing w:val="-2"/>
                <w:w w:val="75"/>
                <w:sz w:val="15"/>
              </w:rPr>
              <w:t>Gains</w:t>
            </w:r>
            <w:r>
              <w:rPr>
                <w:spacing w:val="-1"/>
                <w:sz w:val="15"/>
              </w:rPr>
              <w:t> </w:t>
            </w:r>
            <w:r>
              <w:rPr>
                <w:spacing w:val="-2"/>
                <w:w w:val="75"/>
                <w:sz w:val="15"/>
              </w:rPr>
              <w:t>power</w:t>
            </w:r>
            <w:r>
              <w:rPr>
                <w:spacing w:val="3"/>
                <w:sz w:val="15"/>
              </w:rPr>
              <w:t> </w:t>
            </w:r>
            <w:r>
              <w:rPr>
                <w:spacing w:val="-2"/>
                <w:w w:val="75"/>
                <w:sz w:val="15"/>
              </w:rPr>
              <w:t>through</w:t>
            </w:r>
            <w:r>
              <w:rPr>
                <w:sz w:val="15"/>
              </w:rPr>
              <w:t> </w:t>
            </w:r>
            <w:r>
              <w:rPr>
                <w:spacing w:val="-2"/>
                <w:w w:val="75"/>
                <w:sz w:val="15"/>
              </w:rPr>
              <w:t>violence</w:t>
            </w:r>
          </w:p>
          <w:p>
            <w:pPr>
              <w:pStyle w:val="TableParagraph"/>
              <w:spacing w:line="153" w:lineRule="exact"/>
              <w:ind w:left="63"/>
              <w:rPr>
                <w:sz w:val="15"/>
              </w:rPr>
            </w:pPr>
            <w:r>
              <w:rPr>
                <w:spacing w:val="-2"/>
                <w:w w:val="75"/>
                <w:sz w:val="15"/>
              </w:rPr>
              <w:t>and</w:t>
            </w:r>
            <w:r>
              <w:rPr>
                <w:spacing w:val="-6"/>
                <w:sz w:val="15"/>
              </w:rPr>
              <w:t> </w:t>
            </w:r>
            <w:r>
              <w:rPr>
                <w:spacing w:val="-2"/>
                <w:w w:val="80"/>
                <w:sz w:val="15"/>
              </w:rPr>
              <w:t>ambition</w:t>
            </w:r>
          </w:p>
        </w:tc>
      </w:tr>
      <w:tr>
        <w:trPr>
          <w:trHeight w:val="338" w:hRule="atLeast"/>
        </w:trPr>
        <w:tc>
          <w:tcPr>
            <w:tcW w:w="1055" w:type="dxa"/>
            <w:tcBorders>
              <w:left w:val="single" w:sz="4" w:space="0" w:color="000000"/>
              <w:bottom w:val="single" w:sz="4" w:space="0" w:color="000000"/>
              <w:right w:val="single" w:sz="4" w:space="0" w:color="000000"/>
            </w:tcBorders>
          </w:tcPr>
          <w:p>
            <w:pPr>
              <w:pStyle w:val="TableParagraph"/>
              <w:spacing w:line="165" w:lineRule="exact"/>
              <w:ind w:left="63"/>
              <w:rPr>
                <w:sz w:val="15"/>
              </w:rPr>
            </w:pPr>
            <w:r>
              <w:rPr>
                <w:spacing w:val="-2"/>
                <w:w w:val="85"/>
                <w:sz w:val="15"/>
              </w:rPr>
              <w:t>Hamlet</w:t>
            </w:r>
          </w:p>
        </w:tc>
        <w:tc>
          <w:tcPr>
            <w:tcW w:w="1046" w:type="dxa"/>
            <w:tcBorders>
              <w:left w:val="single" w:sz="4" w:space="0" w:color="000000"/>
              <w:bottom w:val="single" w:sz="4" w:space="0" w:color="000000"/>
              <w:right w:val="single" w:sz="4" w:space="0" w:color="000000"/>
            </w:tcBorders>
          </w:tcPr>
          <w:p>
            <w:pPr>
              <w:pStyle w:val="TableParagraph"/>
              <w:spacing w:line="165" w:lineRule="exact"/>
              <w:ind w:left="61"/>
              <w:rPr>
                <w:i/>
                <w:sz w:val="15"/>
              </w:rPr>
            </w:pPr>
            <w:r>
              <w:rPr>
                <w:i/>
                <w:spacing w:val="-2"/>
                <w:w w:val="85"/>
                <w:sz w:val="15"/>
              </w:rPr>
              <w:t>Hamlet</w:t>
            </w:r>
          </w:p>
        </w:tc>
        <w:tc>
          <w:tcPr>
            <w:tcW w:w="1703" w:type="dxa"/>
            <w:tcBorders>
              <w:left w:val="single" w:sz="4" w:space="0" w:color="000000"/>
              <w:bottom w:val="single" w:sz="4" w:space="0" w:color="000000"/>
              <w:right w:val="single" w:sz="4" w:space="0" w:color="000000"/>
            </w:tcBorders>
          </w:tcPr>
          <w:p>
            <w:pPr>
              <w:pStyle w:val="TableParagraph"/>
              <w:spacing w:line="165" w:lineRule="exact"/>
              <w:ind w:left="62"/>
              <w:rPr>
                <w:sz w:val="15"/>
              </w:rPr>
            </w:pPr>
            <w:r>
              <w:rPr>
                <w:spacing w:val="-2"/>
                <w:w w:val="75"/>
                <w:sz w:val="15"/>
              </w:rPr>
              <w:t>Questions</w:t>
            </w:r>
            <w:r>
              <w:rPr>
                <w:sz w:val="15"/>
              </w:rPr>
              <w:t> </w:t>
            </w:r>
            <w:r>
              <w:rPr>
                <w:spacing w:val="-2"/>
                <w:w w:val="75"/>
                <w:sz w:val="15"/>
              </w:rPr>
              <w:t>ideals</w:t>
            </w:r>
            <w:r>
              <w:rPr>
                <w:sz w:val="15"/>
              </w:rPr>
              <w:t> </w:t>
            </w:r>
            <w:r>
              <w:rPr>
                <w:spacing w:val="-2"/>
                <w:w w:val="75"/>
                <w:sz w:val="15"/>
              </w:rPr>
              <w:t>of</w:t>
            </w:r>
            <w:r>
              <w:rPr>
                <w:spacing w:val="4"/>
                <w:sz w:val="15"/>
              </w:rPr>
              <w:t> </w:t>
            </w:r>
            <w:r>
              <w:rPr>
                <w:spacing w:val="-2"/>
                <w:w w:val="75"/>
                <w:sz w:val="15"/>
              </w:rPr>
              <w:t>masculinity</w:t>
            </w:r>
          </w:p>
        </w:tc>
        <w:tc>
          <w:tcPr>
            <w:tcW w:w="1594" w:type="dxa"/>
            <w:tcBorders>
              <w:left w:val="single" w:sz="4" w:space="0" w:color="000000"/>
              <w:bottom w:val="single" w:sz="4" w:space="0" w:color="000000"/>
              <w:right w:val="single" w:sz="4" w:space="0" w:color="000000"/>
            </w:tcBorders>
          </w:tcPr>
          <w:p>
            <w:pPr>
              <w:pStyle w:val="TableParagraph"/>
              <w:spacing w:line="165" w:lineRule="exact"/>
              <w:ind w:left="63"/>
              <w:rPr>
                <w:sz w:val="15"/>
              </w:rPr>
            </w:pPr>
            <w:r>
              <w:rPr>
                <w:spacing w:val="-2"/>
                <w:w w:val="75"/>
                <w:sz w:val="15"/>
              </w:rPr>
              <w:t>Power</w:t>
            </w:r>
            <w:r>
              <w:rPr>
                <w:spacing w:val="2"/>
                <w:sz w:val="15"/>
              </w:rPr>
              <w:t> </w:t>
            </w:r>
            <w:r>
              <w:rPr>
                <w:spacing w:val="-2"/>
                <w:w w:val="75"/>
                <w:sz w:val="15"/>
              </w:rPr>
              <w:t>limited</w:t>
            </w:r>
            <w:r>
              <w:rPr>
                <w:spacing w:val="3"/>
                <w:sz w:val="15"/>
              </w:rPr>
              <w:t> </w:t>
            </w:r>
            <w:r>
              <w:rPr>
                <w:spacing w:val="-2"/>
                <w:w w:val="75"/>
                <w:sz w:val="15"/>
              </w:rPr>
              <w:t>by</w:t>
            </w:r>
            <w:r>
              <w:rPr>
                <w:sz w:val="15"/>
              </w:rPr>
              <w:t> </w:t>
            </w:r>
            <w:r>
              <w:rPr>
                <w:spacing w:val="-2"/>
                <w:w w:val="75"/>
                <w:sz w:val="15"/>
              </w:rPr>
              <w:t>indecision</w:t>
            </w:r>
            <w:r>
              <w:rPr>
                <w:spacing w:val="2"/>
                <w:sz w:val="15"/>
              </w:rPr>
              <w:t> </w:t>
            </w:r>
            <w:r>
              <w:rPr>
                <w:spacing w:val="-5"/>
                <w:w w:val="75"/>
                <w:sz w:val="15"/>
              </w:rPr>
              <w:t>and</w:t>
            </w:r>
          </w:p>
          <w:p>
            <w:pPr>
              <w:pStyle w:val="TableParagraph"/>
              <w:spacing w:line="153" w:lineRule="exact"/>
              <w:ind w:left="63"/>
              <w:rPr>
                <w:sz w:val="15"/>
              </w:rPr>
            </w:pPr>
            <w:r>
              <w:rPr>
                <w:spacing w:val="-2"/>
                <w:w w:val="75"/>
                <w:sz w:val="15"/>
              </w:rPr>
              <w:t>inner</w:t>
            </w:r>
            <w:r>
              <w:rPr>
                <w:spacing w:val="-4"/>
                <w:sz w:val="15"/>
              </w:rPr>
              <w:t> </w:t>
            </w:r>
            <w:r>
              <w:rPr>
                <w:spacing w:val="-2"/>
                <w:w w:val="80"/>
                <w:sz w:val="15"/>
              </w:rPr>
              <w:t>conflict</w:t>
            </w:r>
          </w:p>
        </w:tc>
      </w:tr>
      <w:tr>
        <w:trPr>
          <w:trHeight w:val="341" w:hRule="atLeast"/>
        </w:trPr>
        <w:tc>
          <w:tcPr>
            <w:tcW w:w="1055" w:type="dxa"/>
            <w:tcBorders>
              <w:top w:val="single" w:sz="4" w:space="0" w:color="000000"/>
              <w:left w:val="single" w:sz="4" w:space="0" w:color="000000"/>
              <w:right w:val="single" w:sz="4" w:space="0" w:color="000000"/>
            </w:tcBorders>
          </w:tcPr>
          <w:p>
            <w:pPr>
              <w:pStyle w:val="TableParagraph"/>
              <w:spacing w:line="172" w:lineRule="exact"/>
              <w:ind w:left="63"/>
              <w:rPr>
                <w:sz w:val="15"/>
              </w:rPr>
            </w:pPr>
            <w:r>
              <w:rPr>
                <w:spacing w:val="-2"/>
                <w:w w:val="85"/>
                <w:sz w:val="15"/>
              </w:rPr>
              <w:t>Cleopatra</w:t>
            </w:r>
          </w:p>
        </w:tc>
        <w:tc>
          <w:tcPr>
            <w:tcW w:w="1046" w:type="dxa"/>
            <w:tcBorders>
              <w:top w:val="single" w:sz="4" w:space="0" w:color="000000"/>
              <w:left w:val="single" w:sz="4" w:space="0" w:color="000000"/>
              <w:right w:val="single" w:sz="4" w:space="0" w:color="000000"/>
            </w:tcBorders>
          </w:tcPr>
          <w:p>
            <w:pPr>
              <w:pStyle w:val="TableParagraph"/>
              <w:spacing w:line="170" w:lineRule="exact"/>
              <w:ind w:left="61" w:right="2"/>
              <w:rPr>
                <w:i/>
                <w:sz w:val="15"/>
              </w:rPr>
            </w:pPr>
            <w:r>
              <w:rPr>
                <w:i/>
                <w:spacing w:val="-2"/>
                <w:w w:val="75"/>
                <w:sz w:val="15"/>
              </w:rPr>
              <w:t>Antony</w:t>
            </w:r>
            <w:r>
              <w:rPr>
                <w:i/>
                <w:spacing w:val="-13"/>
                <w:sz w:val="15"/>
              </w:rPr>
              <w:t> </w:t>
            </w:r>
            <w:r>
              <w:rPr>
                <w:i/>
                <w:spacing w:val="-2"/>
                <w:w w:val="75"/>
                <w:sz w:val="15"/>
              </w:rPr>
              <w:t>and</w:t>
            </w:r>
            <w:r>
              <w:rPr>
                <w:i/>
                <w:spacing w:val="40"/>
                <w:sz w:val="15"/>
              </w:rPr>
              <w:t> </w:t>
            </w:r>
            <w:r>
              <w:rPr>
                <w:i/>
                <w:spacing w:val="-2"/>
                <w:w w:val="85"/>
                <w:sz w:val="15"/>
              </w:rPr>
              <w:t>Cleopatra</w:t>
            </w:r>
          </w:p>
        </w:tc>
        <w:tc>
          <w:tcPr>
            <w:tcW w:w="1703" w:type="dxa"/>
            <w:tcBorders>
              <w:top w:val="single" w:sz="4" w:space="0" w:color="000000"/>
              <w:left w:val="single" w:sz="4" w:space="0" w:color="000000"/>
              <w:right w:val="single" w:sz="4" w:space="0" w:color="000000"/>
            </w:tcBorders>
          </w:tcPr>
          <w:p>
            <w:pPr>
              <w:pStyle w:val="TableParagraph"/>
              <w:spacing w:line="172" w:lineRule="exact"/>
              <w:ind w:left="62"/>
              <w:rPr>
                <w:sz w:val="15"/>
              </w:rPr>
            </w:pPr>
            <w:r>
              <w:rPr>
                <w:w w:val="75"/>
                <w:sz w:val="15"/>
              </w:rPr>
              <w:t>Defies</w:t>
            </w:r>
            <w:r>
              <w:rPr>
                <w:spacing w:val="-1"/>
                <w:w w:val="75"/>
                <w:sz w:val="15"/>
              </w:rPr>
              <w:t> </w:t>
            </w:r>
            <w:r>
              <w:rPr>
                <w:w w:val="75"/>
                <w:sz w:val="15"/>
              </w:rPr>
              <w:t>norms</w:t>
            </w:r>
            <w:r>
              <w:rPr>
                <w:spacing w:val="-9"/>
                <w:sz w:val="15"/>
              </w:rPr>
              <w:t> </w:t>
            </w:r>
            <w:r>
              <w:rPr>
                <w:w w:val="75"/>
                <w:sz w:val="15"/>
              </w:rPr>
              <w:t>of</w:t>
            </w:r>
            <w:r>
              <w:rPr>
                <w:spacing w:val="-2"/>
                <w:w w:val="75"/>
                <w:sz w:val="15"/>
              </w:rPr>
              <w:t> femininity</w:t>
            </w:r>
          </w:p>
        </w:tc>
        <w:tc>
          <w:tcPr>
            <w:tcW w:w="1594" w:type="dxa"/>
            <w:tcBorders>
              <w:top w:val="single" w:sz="4" w:space="0" w:color="000000"/>
              <w:left w:val="single" w:sz="4" w:space="0" w:color="000000"/>
              <w:right w:val="single" w:sz="4" w:space="0" w:color="000000"/>
            </w:tcBorders>
          </w:tcPr>
          <w:p>
            <w:pPr>
              <w:pStyle w:val="TableParagraph"/>
              <w:spacing w:line="170" w:lineRule="exact"/>
              <w:ind w:left="63" w:right="485" w:hanging="1"/>
              <w:rPr>
                <w:sz w:val="15"/>
              </w:rPr>
            </w:pPr>
            <w:r>
              <w:rPr>
                <w:w w:val="75"/>
                <w:sz w:val="15"/>
              </w:rPr>
              <w:t>Exercises</w:t>
            </w:r>
            <w:r>
              <w:rPr>
                <w:spacing w:val="-1"/>
                <w:w w:val="75"/>
                <w:sz w:val="15"/>
              </w:rPr>
              <w:t> </w:t>
            </w:r>
            <w:r>
              <w:rPr>
                <w:w w:val="75"/>
                <w:sz w:val="15"/>
              </w:rPr>
              <w:t>political</w:t>
            </w:r>
            <w:r>
              <w:rPr>
                <w:spacing w:val="-1"/>
                <w:w w:val="75"/>
                <w:sz w:val="15"/>
              </w:rPr>
              <w:t> </w:t>
            </w:r>
            <w:r>
              <w:rPr>
                <w:w w:val="75"/>
                <w:sz w:val="15"/>
              </w:rPr>
              <w:t>and</w:t>
            </w:r>
            <w:r>
              <w:rPr>
                <w:spacing w:val="40"/>
                <w:sz w:val="15"/>
              </w:rPr>
              <w:t> </w:t>
            </w:r>
            <w:r>
              <w:rPr>
                <w:w w:val="85"/>
                <w:sz w:val="15"/>
              </w:rPr>
              <w:t>emotional</w:t>
            </w:r>
            <w:r>
              <w:rPr>
                <w:spacing w:val="-5"/>
                <w:w w:val="85"/>
                <w:sz w:val="15"/>
              </w:rPr>
              <w:t> </w:t>
            </w:r>
            <w:r>
              <w:rPr>
                <w:w w:val="85"/>
                <w:sz w:val="15"/>
              </w:rPr>
              <w:t>influence</w:t>
            </w:r>
          </w:p>
        </w:tc>
      </w:tr>
      <w:tr>
        <w:trPr>
          <w:trHeight w:val="338" w:hRule="atLeast"/>
        </w:trPr>
        <w:tc>
          <w:tcPr>
            <w:tcW w:w="1055" w:type="dxa"/>
            <w:tcBorders>
              <w:left w:val="single" w:sz="4" w:space="0" w:color="000000"/>
              <w:right w:val="single" w:sz="4" w:space="0" w:color="000000"/>
            </w:tcBorders>
          </w:tcPr>
          <w:p>
            <w:pPr>
              <w:pStyle w:val="TableParagraph"/>
              <w:spacing w:line="165" w:lineRule="exact"/>
              <w:ind w:left="63"/>
              <w:rPr>
                <w:sz w:val="15"/>
              </w:rPr>
            </w:pPr>
            <w:r>
              <w:rPr>
                <w:spacing w:val="-2"/>
                <w:w w:val="85"/>
                <w:sz w:val="15"/>
              </w:rPr>
              <w:t>Rosalind</w:t>
            </w:r>
          </w:p>
          <w:p>
            <w:pPr>
              <w:pStyle w:val="TableParagraph"/>
              <w:spacing w:line="153" w:lineRule="exact"/>
              <w:ind w:left="63"/>
              <w:rPr>
                <w:sz w:val="15"/>
              </w:rPr>
            </w:pPr>
            <w:r>
              <w:rPr>
                <w:spacing w:val="-2"/>
                <w:w w:val="85"/>
                <w:sz w:val="15"/>
              </w:rPr>
              <w:t>(Ganymede)</w:t>
            </w:r>
          </w:p>
        </w:tc>
        <w:tc>
          <w:tcPr>
            <w:tcW w:w="1046" w:type="dxa"/>
            <w:tcBorders>
              <w:left w:val="single" w:sz="4" w:space="0" w:color="000000"/>
              <w:right w:val="single" w:sz="4" w:space="0" w:color="000000"/>
            </w:tcBorders>
          </w:tcPr>
          <w:p>
            <w:pPr>
              <w:pStyle w:val="TableParagraph"/>
              <w:spacing w:line="165" w:lineRule="exact"/>
              <w:ind w:left="61"/>
              <w:rPr>
                <w:i/>
                <w:sz w:val="15"/>
              </w:rPr>
            </w:pPr>
            <w:r>
              <w:rPr>
                <w:i/>
                <w:w w:val="75"/>
                <w:sz w:val="15"/>
              </w:rPr>
              <w:t>As</w:t>
            </w:r>
            <w:r>
              <w:rPr>
                <w:i/>
                <w:spacing w:val="-1"/>
                <w:w w:val="75"/>
                <w:sz w:val="15"/>
              </w:rPr>
              <w:t> </w:t>
            </w:r>
            <w:r>
              <w:rPr>
                <w:i/>
                <w:w w:val="75"/>
                <w:sz w:val="15"/>
              </w:rPr>
              <w:t>You</w:t>
            </w:r>
            <w:r>
              <w:rPr>
                <w:i/>
                <w:spacing w:val="-8"/>
                <w:sz w:val="15"/>
              </w:rPr>
              <w:t> </w:t>
            </w:r>
            <w:r>
              <w:rPr>
                <w:i/>
                <w:w w:val="75"/>
                <w:sz w:val="15"/>
              </w:rPr>
              <w:t>Like</w:t>
            </w:r>
            <w:r>
              <w:rPr>
                <w:i/>
                <w:spacing w:val="-9"/>
                <w:sz w:val="15"/>
              </w:rPr>
              <w:t> </w:t>
            </w:r>
            <w:r>
              <w:rPr>
                <w:i/>
                <w:spacing w:val="-5"/>
                <w:w w:val="75"/>
                <w:sz w:val="15"/>
              </w:rPr>
              <w:t>It</w:t>
            </w:r>
          </w:p>
        </w:tc>
        <w:tc>
          <w:tcPr>
            <w:tcW w:w="1703" w:type="dxa"/>
            <w:tcBorders>
              <w:left w:val="single" w:sz="4" w:space="0" w:color="000000"/>
              <w:right w:val="single" w:sz="4" w:space="0" w:color="000000"/>
            </w:tcBorders>
          </w:tcPr>
          <w:p>
            <w:pPr>
              <w:pStyle w:val="TableParagraph"/>
              <w:spacing w:line="165" w:lineRule="exact"/>
              <w:ind w:left="62"/>
              <w:rPr>
                <w:sz w:val="15"/>
              </w:rPr>
            </w:pPr>
            <w:r>
              <w:rPr>
                <w:spacing w:val="-2"/>
                <w:w w:val="75"/>
                <w:sz w:val="15"/>
              </w:rPr>
              <w:t>Adopts</w:t>
            </w:r>
            <w:r>
              <w:rPr>
                <w:spacing w:val="3"/>
                <w:sz w:val="15"/>
              </w:rPr>
              <w:t> </w:t>
            </w:r>
            <w:r>
              <w:rPr>
                <w:spacing w:val="-2"/>
                <w:w w:val="75"/>
                <w:sz w:val="15"/>
              </w:rPr>
              <w:t>male</w:t>
            </w:r>
            <w:r>
              <w:rPr>
                <w:spacing w:val="1"/>
                <w:sz w:val="15"/>
              </w:rPr>
              <w:t> </w:t>
            </w:r>
            <w:r>
              <w:rPr>
                <w:spacing w:val="-2"/>
                <w:w w:val="75"/>
                <w:sz w:val="15"/>
              </w:rPr>
              <w:t>identity</w:t>
            </w:r>
            <w:r>
              <w:rPr>
                <w:spacing w:val="3"/>
                <w:sz w:val="15"/>
              </w:rPr>
              <w:t> </w:t>
            </w:r>
            <w:r>
              <w:rPr>
                <w:spacing w:val="-2"/>
                <w:w w:val="75"/>
                <w:sz w:val="15"/>
              </w:rPr>
              <w:t>(gender</w:t>
            </w:r>
          </w:p>
          <w:p>
            <w:pPr>
              <w:pStyle w:val="TableParagraph"/>
              <w:spacing w:line="153" w:lineRule="exact"/>
              <w:ind w:left="62"/>
              <w:rPr>
                <w:sz w:val="15"/>
              </w:rPr>
            </w:pPr>
            <w:r>
              <w:rPr>
                <w:spacing w:val="-2"/>
                <w:w w:val="85"/>
                <w:sz w:val="15"/>
              </w:rPr>
              <w:t>disguise)</w:t>
            </w:r>
          </w:p>
        </w:tc>
        <w:tc>
          <w:tcPr>
            <w:tcW w:w="1594" w:type="dxa"/>
            <w:tcBorders>
              <w:left w:val="single" w:sz="4" w:space="0" w:color="000000"/>
              <w:right w:val="single" w:sz="4" w:space="0" w:color="000000"/>
            </w:tcBorders>
          </w:tcPr>
          <w:p>
            <w:pPr>
              <w:pStyle w:val="TableParagraph"/>
              <w:spacing w:line="165" w:lineRule="exact"/>
              <w:ind w:left="63"/>
              <w:rPr>
                <w:sz w:val="15"/>
              </w:rPr>
            </w:pPr>
            <w:r>
              <w:rPr>
                <w:spacing w:val="-2"/>
                <w:w w:val="75"/>
                <w:sz w:val="15"/>
              </w:rPr>
              <w:t>Gains</w:t>
            </w:r>
            <w:r>
              <w:rPr>
                <w:spacing w:val="1"/>
                <w:sz w:val="15"/>
              </w:rPr>
              <w:t> </w:t>
            </w:r>
            <w:r>
              <w:rPr>
                <w:spacing w:val="-2"/>
                <w:w w:val="75"/>
                <w:sz w:val="15"/>
              </w:rPr>
              <w:t>freedom</w:t>
            </w:r>
            <w:r>
              <w:rPr>
                <w:spacing w:val="-3"/>
                <w:sz w:val="15"/>
              </w:rPr>
              <w:t> </w:t>
            </w:r>
            <w:r>
              <w:rPr>
                <w:spacing w:val="-2"/>
                <w:w w:val="75"/>
                <w:sz w:val="15"/>
              </w:rPr>
              <w:t>and</w:t>
            </w:r>
            <w:r>
              <w:rPr>
                <w:spacing w:val="1"/>
                <w:sz w:val="15"/>
              </w:rPr>
              <w:t> </w:t>
            </w:r>
            <w:r>
              <w:rPr>
                <w:spacing w:val="-2"/>
                <w:w w:val="75"/>
                <w:sz w:val="15"/>
              </w:rPr>
              <w:t>authority</w:t>
            </w:r>
          </w:p>
          <w:p>
            <w:pPr>
              <w:pStyle w:val="TableParagraph"/>
              <w:spacing w:line="153" w:lineRule="exact"/>
              <w:ind w:left="63"/>
              <w:rPr>
                <w:sz w:val="15"/>
              </w:rPr>
            </w:pPr>
            <w:r>
              <w:rPr>
                <w:spacing w:val="-2"/>
                <w:w w:val="75"/>
                <w:sz w:val="15"/>
              </w:rPr>
              <w:t>through</w:t>
            </w:r>
            <w:r>
              <w:rPr>
                <w:spacing w:val="8"/>
                <w:sz w:val="15"/>
              </w:rPr>
              <w:t> </w:t>
            </w:r>
            <w:r>
              <w:rPr>
                <w:spacing w:val="-2"/>
                <w:w w:val="75"/>
                <w:sz w:val="15"/>
              </w:rPr>
              <w:t>role-playing</w:t>
            </w:r>
          </w:p>
        </w:tc>
      </w:tr>
    </w:tbl>
    <w:p>
      <w:pPr>
        <w:pStyle w:val="Heading3"/>
        <w:spacing w:before="170"/>
        <w:ind w:right="1437"/>
        <w:jc w:val="both"/>
      </w:pPr>
      <w:r>
        <w:rPr>
          <w:spacing w:val="-4"/>
          <w:w w:val="90"/>
        </w:rPr>
        <w:t>THE PROGRESSION</w:t>
      </w:r>
      <w:r>
        <w:rPr>
          <w:spacing w:val="-4"/>
        </w:rPr>
        <w:t> </w:t>
      </w:r>
      <w:r>
        <w:rPr>
          <w:spacing w:val="-4"/>
          <w:w w:val="90"/>
        </w:rPr>
        <w:t>OF</w:t>
      </w:r>
      <w:r>
        <w:rPr>
          <w:spacing w:val="-5"/>
          <w:w w:val="90"/>
        </w:rPr>
        <w:t> </w:t>
      </w:r>
      <w:r>
        <w:rPr>
          <w:spacing w:val="-4"/>
          <w:w w:val="90"/>
        </w:rPr>
        <w:t>GENDER</w:t>
      </w:r>
      <w:r>
        <w:rPr>
          <w:spacing w:val="-5"/>
          <w:w w:val="90"/>
        </w:rPr>
        <w:t> </w:t>
      </w:r>
      <w:r>
        <w:rPr>
          <w:spacing w:val="-4"/>
          <w:w w:val="90"/>
        </w:rPr>
        <w:t>AND POWER</w:t>
      </w:r>
      <w:r>
        <w:rPr>
          <w:spacing w:val="-5"/>
          <w:w w:val="90"/>
        </w:rPr>
        <w:t> </w:t>
      </w:r>
      <w:r>
        <w:rPr>
          <w:spacing w:val="-4"/>
          <w:w w:val="90"/>
        </w:rPr>
        <w:t>DYNAMICS </w:t>
      </w:r>
      <w:r>
        <w:rPr>
          <w:spacing w:val="-8"/>
        </w:rPr>
        <w:t>IN</w:t>
      </w:r>
      <w:r>
        <w:rPr>
          <w:spacing w:val="-9"/>
        </w:rPr>
        <w:t> </w:t>
      </w:r>
      <w:r>
        <w:rPr>
          <w:spacing w:val="-8"/>
        </w:rPr>
        <w:t>SHAKESPEARE’S</w:t>
      </w:r>
      <w:r>
        <w:rPr>
          <w:spacing w:val="-9"/>
        </w:rPr>
        <w:t> </w:t>
      </w:r>
      <w:r>
        <w:rPr>
          <w:spacing w:val="-8"/>
        </w:rPr>
        <w:t>WORK</w:t>
      </w:r>
    </w:p>
    <w:p>
      <w:pPr>
        <w:pStyle w:val="BodyText"/>
        <w:spacing w:line="249" w:lineRule="auto" w:before="76"/>
        <w:ind w:right="1441" w:firstLine="432"/>
        <w:jc w:val="both"/>
      </w:pPr>
      <w:r>
        <w:rPr/>
        <w:t>Shakespeare’s treatment of gender and power is not static but shows a gradual development across his plays. In many of his earlier works, the influence of the patriarchal society in which he lived is clearly visible, with men occupying most positions of authority and control.</w:t>
      </w:r>
      <w:r>
        <w:rPr>
          <w:spacing w:val="-1"/>
        </w:rPr>
        <w:t> </w:t>
      </w:r>
      <w:r>
        <w:rPr/>
        <w:t>Women, in contrast, are often placed within more limited roles defined by obedience and dependence. However, even within these constraints,</w:t>
      </w:r>
      <w:r>
        <w:rPr>
          <w:spacing w:val="-13"/>
        </w:rPr>
        <w:t> </w:t>
      </w:r>
      <w:r>
        <w:rPr/>
        <w:t>Shakespeare</w:t>
      </w:r>
      <w:r>
        <w:rPr>
          <w:spacing w:val="-12"/>
        </w:rPr>
        <w:t> </w:t>
      </w:r>
      <w:r>
        <w:rPr/>
        <w:t>begins</w:t>
      </w:r>
      <w:r>
        <w:rPr>
          <w:spacing w:val="-13"/>
        </w:rPr>
        <w:t> </w:t>
      </w:r>
      <w:r>
        <w:rPr/>
        <w:t>to</w:t>
      </w:r>
      <w:r>
        <w:rPr>
          <w:spacing w:val="-12"/>
        </w:rPr>
        <w:t> </w:t>
      </w:r>
      <w:r>
        <w:rPr/>
        <w:t>introduce</w:t>
      </w:r>
      <w:r>
        <w:rPr>
          <w:spacing w:val="-13"/>
        </w:rPr>
        <w:t> </w:t>
      </w:r>
      <w:r>
        <w:rPr/>
        <w:t>moments</w:t>
      </w:r>
      <w:r>
        <w:rPr>
          <w:spacing w:val="-12"/>
        </w:rPr>
        <w:t> </w:t>
      </w:r>
      <w:r>
        <w:rPr/>
        <w:t>where</w:t>
      </w:r>
      <w:r>
        <w:rPr>
          <w:spacing w:val="-13"/>
        </w:rPr>
        <w:t> </w:t>
      </w:r>
      <w:r>
        <w:rPr/>
        <w:t>such</w:t>
      </w:r>
      <w:r>
        <w:rPr>
          <w:spacing w:val="-12"/>
        </w:rPr>
        <w:t> </w:t>
      </w:r>
      <w:r>
        <w:rPr/>
        <w:t>norms are</w:t>
      </w:r>
      <w:r>
        <w:rPr>
          <w:spacing w:val="40"/>
        </w:rPr>
        <w:t> </w:t>
      </w:r>
      <w:r>
        <w:rPr/>
        <w:t>questioned</w:t>
      </w:r>
      <w:r>
        <w:rPr>
          <w:spacing w:val="40"/>
        </w:rPr>
        <w:t> </w:t>
      </w:r>
      <w:r>
        <w:rPr/>
        <w:t>or</w:t>
      </w:r>
      <w:r>
        <w:rPr>
          <w:spacing w:val="40"/>
        </w:rPr>
        <w:t> </w:t>
      </w:r>
      <w:r>
        <w:rPr/>
        <w:t>subtly</w:t>
      </w:r>
      <w:r>
        <w:rPr>
          <w:spacing w:val="40"/>
        </w:rPr>
        <w:t> </w:t>
      </w:r>
      <w:r>
        <w:rPr/>
        <w:t>challenged.</w:t>
      </w:r>
    </w:p>
    <w:p>
      <w:pPr>
        <w:pStyle w:val="BodyText"/>
        <w:spacing w:line="249" w:lineRule="auto" w:before="64"/>
        <w:ind w:right="1441" w:firstLine="432"/>
        <w:jc w:val="both"/>
      </w:pPr>
      <w:r>
        <w:rPr>
          <w:spacing w:val="-2"/>
        </w:rPr>
        <w:t>Over</w:t>
      </w:r>
      <w:r>
        <w:rPr>
          <w:spacing w:val="-11"/>
        </w:rPr>
        <w:t> </w:t>
      </w:r>
      <w:r>
        <w:rPr>
          <w:spacing w:val="-2"/>
        </w:rPr>
        <w:t>time,</w:t>
      </w:r>
      <w:r>
        <w:rPr>
          <w:spacing w:val="-10"/>
        </w:rPr>
        <w:t> </w:t>
      </w:r>
      <w:r>
        <w:rPr>
          <w:spacing w:val="-2"/>
        </w:rPr>
        <w:t>and</w:t>
      </w:r>
      <w:r>
        <w:rPr>
          <w:spacing w:val="-11"/>
        </w:rPr>
        <w:t> </w:t>
      </w:r>
      <w:r>
        <w:rPr>
          <w:spacing w:val="-2"/>
        </w:rPr>
        <w:t>especially</w:t>
      </w:r>
      <w:r>
        <w:rPr>
          <w:spacing w:val="-10"/>
        </w:rPr>
        <w:t> </w:t>
      </w:r>
      <w:r>
        <w:rPr>
          <w:spacing w:val="-2"/>
        </w:rPr>
        <w:t>with</w:t>
      </w:r>
      <w:r>
        <w:rPr>
          <w:spacing w:val="-11"/>
        </w:rPr>
        <w:t> </w:t>
      </w:r>
      <w:r>
        <w:rPr>
          <w:spacing w:val="-2"/>
        </w:rPr>
        <w:t>the</w:t>
      </w:r>
      <w:r>
        <w:rPr>
          <w:spacing w:val="-10"/>
        </w:rPr>
        <w:t> </w:t>
      </w:r>
      <w:r>
        <w:rPr>
          <w:spacing w:val="-2"/>
        </w:rPr>
        <w:t>rise</w:t>
      </w:r>
      <w:r>
        <w:rPr>
          <w:spacing w:val="-11"/>
        </w:rPr>
        <w:t> </w:t>
      </w:r>
      <w:r>
        <w:rPr>
          <w:spacing w:val="-2"/>
        </w:rPr>
        <w:t>of</w:t>
      </w:r>
      <w:r>
        <w:rPr>
          <w:spacing w:val="-10"/>
        </w:rPr>
        <w:t> </w:t>
      </w:r>
      <w:r>
        <w:rPr>
          <w:spacing w:val="-2"/>
        </w:rPr>
        <w:t>feminist</w:t>
      </w:r>
      <w:r>
        <w:rPr>
          <w:spacing w:val="-11"/>
        </w:rPr>
        <w:t> </w:t>
      </w:r>
      <w:r>
        <w:rPr>
          <w:spacing w:val="-2"/>
        </w:rPr>
        <w:t>criticism,</w:t>
      </w:r>
      <w:r>
        <w:rPr>
          <w:spacing w:val="-6"/>
        </w:rPr>
        <w:t> </w:t>
      </w:r>
      <w:r>
        <w:rPr>
          <w:spacing w:val="-2"/>
        </w:rPr>
        <w:t>scholars </w:t>
      </w:r>
      <w:r>
        <w:rPr/>
        <w:t>have</w:t>
      </w:r>
      <w:r>
        <w:rPr>
          <w:spacing w:val="48"/>
        </w:rPr>
        <w:t> </w:t>
      </w:r>
      <w:r>
        <w:rPr/>
        <w:t>revisited</w:t>
      </w:r>
      <w:r>
        <w:rPr>
          <w:spacing w:val="49"/>
        </w:rPr>
        <w:t> </w:t>
      </w:r>
      <w:r>
        <w:rPr/>
        <w:t>Shakespeare’s</w:t>
      </w:r>
      <w:r>
        <w:rPr>
          <w:spacing w:val="44"/>
        </w:rPr>
        <w:t> </w:t>
      </w:r>
      <w:r>
        <w:rPr/>
        <w:t>plays</w:t>
      </w:r>
      <w:r>
        <w:rPr>
          <w:spacing w:val="49"/>
        </w:rPr>
        <w:t> </w:t>
      </w:r>
      <w:r>
        <w:rPr/>
        <w:t>with</w:t>
      </w:r>
      <w:r>
        <w:rPr>
          <w:spacing w:val="45"/>
        </w:rPr>
        <w:t> </w:t>
      </w:r>
      <w:r>
        <w:rPr/>
        <w:t>new</w:t>
      </w:r>
      <w:r>
        <w:rPr>
          <w:spacing w:val="43"/>
        </w:rPr>
        <w:t> </w:t>
      </w:r>
      <w:r>
        <w:rPr/>
        <w:t>perspectives.</w:t>
      </w:r>
      <w:r>
        <w:rPr>
          <w:spacing w:val="37"/>
        </w:rPr>
        <w:t> </w:t>
      </w:r>
      <w:r>
        <w:rPr/>
        <w:t>A</w:t>
      </w:r>
      <w:r>
        <w:rPr>
          <w:spacing w:val="37"/>
        </w:rPr>
        <w:t> </w:t>
      </w:r>
      <w:r>
        <w:rPr>
          <w:spacing w:val="-2"/>
        </w:rPr>
        <w:t>major</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29856">
                <wp:simplePos x="0" y="0"/>
                <wp:positionH relativeFrom="page">
                  <wp:posOffset>2065020</wp:posOffset>
                </wp:positionH>
                <wp:positionV relativeFrom="paragraph">
                  <wp:posOffset>795020</wp:posOffset>
                </wp:positionV>
                <wp:extent cx="3657600" cy="12700"/>
                <wp:effectExtent l="0" t="0" r="0" b="0"/>
                <wp:wrapTopAndBottom/>
                <wp:docPr id="899" name="Graphic 899"/>
                <wp:cNvGraphicFramePr>
                  <a:graphicFrameLocks/>
                </wp:cNvGraphicFramePr>
                <a:graphic>
                  <a:graphicData uri="http://schemas.microsoft.com/office/word/2010/wordprocessingShape">
                    <wps:wsp>
                      <wps:cNvPr id="899" name="Graphic 89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86624;mso-wrap-distance-left:0;mso-wrap-distance-right:0" id="docshape890" filled="true" fillcolor="#000000" stroked="false">
                <v:fill type="solid"/>
                <w10:wrap type="topAndBottom"/>
              </v:rect>
            </w:pict>
          </mc:Fallback>
        </mc:AlternateContent>
      </w:r>
      <w:r>
        <w:rPr>
          <w:rFonts w:ascii="Verdana"/>
          <w:sz w:val="18"/>
        </w:rPr>
        <w:t>The</w:t>
      </w:r>
      <w:r>
        <w:rPr>
          <w:rFonts w:ascii="Verdana"/>
          <w:spacing w:val="7"/>
          <w:sz w:val="18"/>
        </w:rPr>
        <w:t> </w:t>
      </w:r>
      <w:r>
        <w:rPr>
          <w:rFonts w:ascii="Verdana"/>
          <w:sz w:val="18"/>
        </w:rPr>
        <w:t>Relationship</w:t>
      </w:r>
      <w:r>
        <w:rPr>
          <w:rFonts w:ascii="Verdana"/>
          <w:spacing w:val="8"/>
          <w:sz w:val="18"/>
        </w:rPr>
        <w:t> </w:t>
      </w:r>
      <w:r>
        <w:rPr>
          <w:rFonts w:ascii="Verdana"/>
          <w:sz w:val="18"/>
        </w:rPr>
        <w:t>between</w:t>
      </w:r>
      <w:r>
        <w:rPr>
          <w:rFonts w:ascii="Verdana"/>
          <w:spacing w:val="8"/>
          <w:sz w:val="18"/>
        </w:rPr>
        <w:t> </w:t>
      </w:r>
      <w:r>
        <w:rPr>
          <w:rFonts w:ascii="Verdana"/>
          <w:sz w:val="18"/>
        </w:rPr>
        <w:t>Gender</w:t>
      </w:r>
      <w:r>
        <w:rPr>
          <w:rFonts w:ascii="Verdana"/>
          <w:spacing w:val="11"/>
          <w:sz w:val="18"/>
        </w:rPr>
        <w:t> </w:t>
      </w:r>
      <w:r>
        <w:rPr>
          <w:rFonts w:ascii="Verdana"/>
          <w:sz w:val="18"/>
        </w:rPr>
        <w:t>and</w:t>
      </w:r>
      <w:r>
        <w:rPr>
          <w:rFonts w:ascii="Verdana"/>
          <w:spacing w:val="7"/>
          <w:sz w:val="18"/>
        </w:rPr>
        <w:t> </w:t>
      </w:r>
      <w:r>
        <w:rPr>
          <w:rFonts w:ascii="Verdana"/>
          <w:sz w:val="18"/>
        </w:rPr>
        <w:t>Power</w:t>
      </w:r>
      <w:r>
        <w:rPr>
          <w:rFonts w:ascii="Verdana"/>
          <w:spacing w:val="10"/>
          <w:sz w:val="18"/>
        </w:rPr>
        <w:t> </w:t>
      </w:r>
      <w:r>
        <w:rPr>
          <w:rFonts w:ascii="Verdana"/>
          <w:spacing w:val="-4"/>
          <w:sz w:val="18"/>
        </w:rPr>
        <w:t>in...</w:t>
      </w:r>
      <w:r>
        <w:rPr>
          <w:sz w:val="18"/>
        </w:rPr>
        <w:tab/>
      </w:r>
      <w:r>
        <w:rPr>
          <w:rFonts w:ascii="Verdana"/>
          <w:spacing w:val="-5"/>
          <w:sz w:val="18"/>
        </w:rPr>
        <w:t>475</w:t>
      </w:r>
    </w:p>
    <w:p>
      <w:pPr>
        <w:pStyle w:val="BodyText"/>
        <w:spacing w:line="249" w:lineRule="auto" w:before="192"/>
        <w:ind w:right="1440"/>
        <w:jc w:val="both"/>
      </w:pPr>
      <w:r>
        <w:rPr/>
        <w:t>turning point in this shift was Shakespeare and the Nature of Woman</w:t>
      </w:r>
      <w:r>
        <w:rPr>
          <w:spacing w:val="40"/>
        </w:rPr>
        <w:t> </w:t>
      </w:r>
      <w:r>
        <w:rPr>
          <w:spacing w:val="-2"/>
        </w:rPr>
        <w:t>by</w:t>
      </w:r>
      <w:r>
        <w:rPr>
          <w:spacing w:val="-10"/>
        </w:rPr>
        <w:t> </w:t>
      </w:r>
      <w:r>
        <w:rPr>
          <w:spacing w:val="-2"/>
        </w:rPr>
        <w:t>Juliet</w:t>
      </w:r>
      <w:r>
        <w:rPr>
          <w:spacing w:val="-5"/>
        </w:rPr>
        <w:t> </w:t>
      </w:r>
      <w:r>
        <w:rPr>
          <w:spacing w:val="-2"/>
        </w:rPr>
        <w:t>Dusinberre,</w:t>
      </w:r>
      <w:r>
        <w:rPr>
          <w:spacing w:val="-5"/>
        </w:rPr>
        <w:t> </w:t>
      </w:r>
      <w:r>
        <w:rPr>
          <w:spacing w:val="-2"/>
        </w:rPr>
        <w:t>which</w:t>
      </w:r>
      <w:r>
        <w:rPr>
          <w:spacing w:val="-5"/>
        </w:rPr>
        <w:t> </w:t>
      </w:r>
      <w:r>
        <w:rPr>
          <w:spacing w:val="-2"/>
        </w:rPr>
        <w:t>reoriented attention</w:t>
      </w:r>
      <w:r>
        <w:rPr>
          <w:spacing w:val="-5"/>
        </w:rPr>
        <w:t> </w:t>
      </w:r>
      <w:r>
        <w:rPr>
          <w:spacing w:val="-2"/>
        </w:rPr>
        <w:t>toward</w:t>
      </w:r>
      <w:r>
        <w:rPr>
          <w:spacing w:val="-3"/>
        </w:rPr>
        <w:t> </w:t>
      </w:r>
      <w:r>
        <w:rPr>
          <w:spacing w:val="-2"/>
        </w:rPr>
        <w:t>female</w:t>
      </w:r>
      <w:r>
        <w:rPr>
          <w:spacing w:val="-3"/>
        </w:rPr>
        <w:t> </w:t>
      </w:r>
      <w:r>
        <w:rPr>
          <w:spacing w:val="-2"/>
        </w:rPr>
        <w:t>characters </w:t>
      </w:r>
      <w:r>
        <w:rPr/>
        <w:t>and their resistance to patriarchal structures. Her work encouraged readers to see women in Shakespeare not as passive figures, but as active participants who question and sometimes reshape the power structures</w:t>
      </w:r>
      <w:r>
        <w:rPr>
          <w:spacing w:val="40"/>
        </w:rPr>
        <w:t> </w:t>
      </w:r>
      <w:r>
        <w:rPr/>
        <w:t>around</w:t>
      </w:r>
      <w:r>
        <w:rPr>
          <w:spacing w:val="40"/>
        </w:rPr>
        <w:t> </w:t>
      </w:r>
      <w:r>
        <w:rPr/>
        <w:t>them.</w:t>
      </w:r>
    </w:p>
    <w:p>
      <w:pPr>
        <w:pStyle w:val="BodyText"/>
        <w:spacing w:line="249" w:lineRule="auto" w:before="63"/>
        <w:ind w:right="1435" w:firstLine="432"/>
        <w:jc w:val="both"/>
      </w:pPr>
      <w:r>
        <w:rPr/>
        <w:t>This re-evaluation has also brought greater attention to how masculinity is constructed in Shakespeare’s plays. Male characters are no longer viewed simply as figures of authority, but as individuals shaped by social expectations and pressures. As a result, both masculinity and femininity are now understood as cultural constructs rather than fixed identities.</w:t>
      </w:r>
    </w:p>
    <w:p>
      <w:pPr>
        <w:pStyle w:val="BodyText"/>
        <w:spacing w:line="249" w:lineRule="auto" w:before="62"/>
        <w:ind w:right="1440" w:firstLine="432"/>
        <w:jc w:val="both"/>
      </w:pPr>
      <w:r>
        <w:rPr/>
        <w:t>Through</w:t>
      </w:r>
      <w:r>
        <w:rPr>
          <w:spacing w:val="-5"/>
        </w:rPr>
        <w:t> </w:t>
      </w:r>
      <w:r>
        <w:rPr/>
        <w:t>these</w:t>
      </w:r>
      <w:r>
        <w:rPr>
          <w:spacing w:val="-5"/>
        </w:rPr>
        <w:t> </w:t>
      </w:r>
      <w:r>
        <w:rPr/>
        <w:t>evolving</w:t>
      </w:r>
      <w:r>
        <w:rPr>
          <w:spacing w:val="-5"/>
        </w:rPr>
        <w:t> </w:t>
      </w:r>
      <w:r>
        <w:rPr/>
        <w:t>interpretations,</w:t>
      </w:r>
      <w:r>
        <w:rPr>
          <w:spacing w:val="-4"/>
        </w:rPr>
        <w:t> </w:t>
      </w:r>
      <w:r>
        <w:rPr/>
        <w:t>Shakespeare’s</w:t>
      </w:r>
      <w:r>
        <w:rPr>
          <w:spacing w:val="-7"/>
        </w:rPr>
        <w:t> </w:t>
      </w:r>
      <w:r>
        <w:rPr/>
        <w:t>works</w:t>
      </w:r>
      <w:r>
        <w:rPr>
          <w:spacing w:val="-4"/>
        </w:rPr>
        <w:t> </w:t>
      </w:r>
      <w:r>
        <w:rPr/>
        <w:t>have come to be seen as more complex and layered than previously</w:t>
      </w:r>
      <w:r>
        <w:rPr>
          <w:spacing w:val="-1"/>
        </w:rPr>
        <w:t> </w:t>
      </w:r>
      <w:r>
        <w:rPr/>
        <w:t>thought. They</w:t>
      </w:r>
      <w:r>
        <w:rPr>
          <w:spacing w:val="-11"/>
        </w:rPr>
        <w:t> </w:t>
      </w:r>
      <w:r>
        <w:rPr/>
        <w:t>reflect</w:t>
      </w:r>
      <w:r>
        <w:rPr>
          <w:spacing w:val="-11"/>
        </w:rPr>
        <w:t> </w:t>
      </w:r>
      <w:r>
        <w:rPr/>
        <w:t>not</w:t>
      </w:r>
      <w:r>
        <w:rPr>
          <w:spacing w:val="-8"/>
        </w:rPr>
        <w:t> </w:t>
      </w:r>
      <w:r>
        <w:rPr/>
        <w:t>only</w:t>
      </w:r>
      <w:r>
        <w:rPr>
          <w:spacing w:val="-11"/>
        </w:rPr>
        <w:t> </w:t>
      </w:r>
      <w:r>
        <w:rPr/>
        <w:t>the</w:t>
      </w:r>
      <w:r>
        <w:rPr>
          <w:spacing w:val="-8"/>
        </w:rPr>
        <w:t> </w:t>
      </w:r>
      <w:r>
        <w:rPr/>
        <w:t>social</w:t>
      </w:r>
      <w:r>
        <w:rPr>
          <w:spacing w:val="-8"/>
        </w:rPr>
        <w:t> </w:t>
      </w:r>
      <w:r>
        <w:rPr/>
        <w:t>realities</w:t>
      </w:r>
      <w:r>
        <w:rPr>
          <w:spacing w:val="-10"/>
        </w:rPr>
        <w:t> </w:t>
      </w:r>
      <w:r>
        <w:rPr/>
        <w:t>of</w:t>
      </w:r>
      <w:r>
        <w:rPr>
          <w:spacing w:val="-8"/>
        </w:rPr>
        <w:t> </w:t>
      </w:r>
      <w:r>
        <w:rPr/>
        <w:t>their</w:t>
      </w:r>
      <w:r>
        <w:rPr>
          <w:spacing w:val="-6"/>
        </w:rPr>
        <w:t> </w:t>
      </w:r>
      <w:r>
        <w:rPr/>
        <w:t>time</w:t>
      </w:r>
      <w:r>
        <w:rPr>
          <w:spacing w:val="-9"/>
        </w:rPr>
        <w:t> </w:t>
      </w:r>
      <w:r>
        <w:rPr/>
        <w:t>but</w:t>
      </w:r>
      <w:r>
        <w:rPr>
          <w:spacing w:val="-8"/>
        </w:rPr>
        <w:t> </w:t>
      </w:r>
      <w:r>
        <w:rPr/>
        <w:t>also</w:t>
      </w:r>
      <w:r>
        <w:rPr>
          <w:spacing w:val="-10"/>
        </w:rPr>
        <w:t> </w:t>
      </w:r>
      <w:r>
        <w:rPr/>
        <w:t>offer</w:t>
      </w:r>
      <w:r>
        <w:rPr>
          <w:spacing w:val="-6"/>
        </w:rPr>
        <w:t> </w:t>
      </w:r>
      <w:r>
        <w:rPr/>
        <w:t>space for questioning and reimagining the roles and expectations associated with</w:t>
      </w:r>
      <w:r>
        <w:rPr>
          <w:spacing w:val="40"/>
        </w:rPr>
        <w:t> </w:t>
      </w:r>
      <w:r>
        <w:rPr/>
        <w:t>gender</w:t>
      </w:r>
      <w:r>
        <w:rPr>
          <w:spacing w:val="40"/>
        </w:rPr>
        <w:t> </w:t>
      </w:r>
      <w:r>
        <w:rPr/>
        <w:t>and</w:t>
      </w:r>
      <w:r>
        <w:rPr>
          <w:spacing w:val="40"/>
        </w:rPr>
        <w:t> </w:t>
      </w:r>
      <w:r>
        <w:rPr/>
        <w:t>power.</w:t>
      </w:r>
    </w:p>
    <w:p>
      <w:pPr>
        <w:pStyle w:val="BodyText"/>
        <w:spacing w:line="249" w:lineRule="auto" w:before="62"/>
        <w:ind w:right="1440" w:firstLine="432"/>
        <w:jc w:val="both"/>
      </w:pPr>
      <w:r>
        <w:rPr/>
        <w:t>Diverse Critical Views on Gender and Power in Shakespeare’s </w:t>
      </w:r>
      <w:r>
        <w:rPr>
          <w:spacing w:val="-2"/>
        </w:rPr>
        <w:t>Plays</w:t>
      </w:r>
    </w:p>
    <w:p>
      <w:pPr>
        <w:pStyle w:val="BodyText"/>
        <w:spacing w:line="249" w:lineRule="auto" w:before="62"/>
        <w:ind w:right="1439" w:firstLine="432"/>
        <w:jc w:val="both"/>
      </w:pPr>
      <w:r>
        <w:rPr/>
        <w:t>Critical</w:t>
      </w:r>
      <w:r>
        <w:rPr>
          <w:spacing w:val="-12"/>
        </w:rPr>
        <w:t> </w:t>
      </w:r>
      <w:r>
        <w:rPr/>
        <w:t>interpretations</w:t>
      </w:r>
      <w:r>
        <w:rPr>
          <w:spacing w:val="-12"/>
        </w:rPr>
        <w:t> </w:t>
      </w:r>
      <w:r>
        <w:rPr/>
        <w:t>of</w:t>
      </w:r>
      <w:r>
        <w:rPr>
          <w:spacing w:val="-11"/>
        </w:rPr>
        <w:t> </w:t>
      </w:r>
      <w:r>
        <w:rPr/>
        <w:t>gender</w:t>
      </w:r>
      <w:r>
        <w:rPr>
          <w:spacing w:val="-12"/>
        </w:rPr>
        <w:t> </w:t>
      </w:r>
      <w:r>
        <w:rPr/>
        <w:t>and</w:t>
      </w:r>
      <w:r>
        <w:rPr>
          <w:spacing w:val="-11"/>
        </w:rPr>
        <w:t> </w:t>
      </w:r>
      <w:r>
        <w:rPr/>
        <w:t>power</w:t>
      </w:r>
      <w:r>
        <w:rPr>
          <w:spacing w:val="-11"/>
        </w:rPr>
        <w:t> </w:t>
      </w:r>
      <w:r>
        <w:rPr/>
        <w:t>in</w:t>
      </w:r>
      <w:r>
        <w:rPr>
          <w:spacing w:val="-11"/>
        </w:rPr>
        <w:t> </w:t>
      </w:r>
      <w:r>
        <w:rPr/>
        <w:t>Shakespeare’s</w:t>
      </w:r>
      <w:r>
        <w:rPr>
          <w:spacing w:val="-12"/>
        </w:rPr>
        <w:t> </w:t>
      </w:r>
      <w:r>
        <w:rPr/>
        <w:t>plays offer a wide range of perspectives, each highlighting different aspects</w:t>
      </w:r>
      <w:r>
        <w:rPr>
          <w:spacing w:val="40"/>
        </w:rPr>
        <w:t> </w:t>
      </w:r>
      <w:r>
        <w:rPr/>
        <w:t>of his work. Some critics, like</w:t>
      </w:r>
      <w:r>
        <w:rPr>
          <w:spacing w:val="-5"/>
        </w:rPr>
        <w:t> </w:t>
      </w:r>
      <w:r>
        <w:rPr/>
        <w:t>Anthony DiMatteo, focus on the idea of sovereign violence, arguing that Shakespeare shows how power is</w:t>
      </w:r>
      <w:r>
        <w:rPr>
          <w:spacing w:val="80"/>
        </w:rPr>
        <w:t> </w:t>
      </w:r>
      <w:r>
        <w:rPr>
          <w:spacing w:val="-2"/>
        </w:rPr>
        <w:t>often</w:t>
      </w:r>
      <w:r>
        <w:rPr>
          <w:spacing w:val="-11"/>
        </w:rPr>
        <w:t> </w:t>
      </w:r>
      <w:r>
        <w:rPr>
          <w:spacing w:val="-2"/>
        </w:rPr>
        <w:t>gained</w:t>
      </w:r>
      <w:r>
        <w:rPr>
          <w:spacing w:val="-4"/>
        </w:rPr>
        <w:t> </w:t>
      </w:r>
      <w:r>
        <w:rPr>
          <w:spacing w:val="-2"/>
        </w:rPr>
        <w:t>or</w:t>
      </w:r>
      <w:r>
        <w:rPr>
          <w:spacing w:val="-3"/>
        </w:rPr>
        <w:t> </w:t>
      </w:r>
      <w:r>
        <w:rPr>
          <w:spacing w:val="-2"/>
        </w:rPr>
        <w:t>maintained</w:t>
      </w:r>
      <w:r>
        <w:rPr>
          <w:spacing w:val="-3"/>
        </w:rPr>
        <w:t> </w:t>
      </w:r>
      <w:r>
        <w:rPr>
          <w:spacing w:val="-2"/>
        </w:rPr>
        <w:t>by</w:t>
      </w:r>
      <w:r>
        <w:rPr>
          <w:spacing w:val="-10"/>
        </w:rPr>
        <w:t> </w:t>
      </w:r>
      <w:r>
        <w:rPr>
          <w:spacing w:val="-2"/>
        </w:rPr>
        <w:t>a</w:t>
      </w:r>
      <w:r>
        <w:rPr>
          <w:spacing w:val="-4"/>
        </w:rPr>
        <w:t> </w:t>
      </w:r>
      <w:r>
        <w:rPr>
          <w:spacing w:val="-2"/>
        </w:rPr>
        <w:t>few</w:t>
      </w:r>
      <w:r>
        <w:rPr>
          <w:spacing w:val="-10"/>
        </w:rPr>
        <w:t> </w:t>
      </w:r>
      <w:r>
        <w:rPr>
          <w:spacing w:val="-2"/>
        </w:rPr>
        <w:t>individuals</w:t>
      </w:r>
      <w:r>
        <w:rPr>
          <w:spacing w:val="-5"/>
        </w:rPr>
        <w:t> </w:t>
      </w:r>
      <w:r>
        <w:rPr>
          <w:spacing w:val="-2"/>
        </w:rPr>
        <w:t>through</w:t>
      </w:r>
      <w:r>
        <w:rPr>
          <w:spacing w:val="-5"/>
        </w:rPr>
        <w:t> </w:t>
      </w:r>
      <w:r>
        <w:rPr>
          <w:spacing w:val="-2"/>
        </w:rPr>
        <w:t>force.</w:t>
      </w:r>
      <w:r>
        <w:rPr>
          <w:spacing w:val="-11"/>
        </w:rPr>
        <w:t> </w:t>
      </w:r>
      <w:r>
        <w:rPr>
          <w:spacing w:val="-2"/>
        </w:rPr>
        <w:t>According </w:t>
      </w:r>
      <w:r>
        <w:rPr/>
        <w:t>to this</w:t>
      </w:r>
      <w:r>
        <w:rPr>
          <w:spacing w:val="-1"/>
        </w:rPr>
        <w:t> </w:t>
      </w:r>
      <w:r>
        <w:rPr/>
        <w:t>view, Shakespeare does not</w:t>
      </w:r>
      <w:r>
        <w:rPr>
          <w:spacing w:val="-2"/>
        </w:rPr>
        <w:t> </w:t>
      </w:r>
      <w:r>
        <w:rPr/>
        <w:t>present a single, fixed idea of power but</w:t>
      </w:r>
      <w:r>
        <w:rPr>
          <w:spacing w:val="40"/>
        </w:rPr>
        <w:t> </w:t>
      </w:r>
      <w:r>
        <w:rPr/>
        <w:t>rather a</w:t>
      </w:r>
      <w:r>
        <w:rPr>
          <w:spacing w:val="40"/>
        </w:rPr>
        <w:t> </w:t>
      </w:r>
      <w:r>
        <w:rPr/>
        <w:t>balanced</w:t>
      </w:r>
      <w:r>
        <w:rPr>
          <w:spacing w:val="40"/>
        </w:rPr>
        <w:t> </w:t>
      </w:r>
      <w:r>
        <w:rPr/>
        <w:t>perspective</w:t>
      </w:r>
      <w:r>
        <w:rPr>
          <w:spacing w:val="40"/>
        </w:rPr>
        <w:t> </w:t>
      </w:r>
      <w:r>
        <w:rPr/>
        <w:t>that</w:t>
      </w:r>
      <w:r>
        <w:rPr>
          <w:spacing w:val="40"/>
        </w:rPr>
        <w:t> </w:t>
      </w:r>
      <w:r>
        <w:rPr/>
        <w:t>reflects its</w:t>
      </w:r>
      <w:r>
        <w:rPr>
          <w:spacing w:val="40"/>
        </w:rPr>
        <w:t> </w:t>
      </w:r>
      <w:r>
        <w:rPr/>
        <w:t>complexity.</w:t>
      </w:r>
    </w:p>
    <w:p>
      <w:pPr>
        <w:pStyle w:val="BodyText"/>
        <w:spacing w:line="249" w:lineRule="auto" w:before="63"/>
        <w:ind w:right="1437" w:firstLine="432"/>
        <w:jc w:val="both"/>
      </w:pPr>
      <w:r>
        <w:rPr/>
        <w:t>Other scholars take a more critical stance toward patriarchal structures. For instance, Jean E. Howard examines </w:t>
      </w:r>
      <w:r>
        <w:rPr>
          <w:i/>
        </w:rPr>
        <w:t>As You Like It </w:t>
      </w:r>
      <w:r>
        <w:rPr/>
        <w:t>and argues that the character of Rosalind exposes how ideas of femininity are socially constructed. By disguising herself as Ganymede, Rosalind is able to question and challenge traditional gender roles, showing independence and influence in a male-dominated setting. In a similar vein, Madelaine Gohlke interprets Shakespeare’s tragedies as critiques of male-dominated power systems, suggesting that such structures</w:t>
      </w:r>
      <w:r>
        <w:rPr>
          <w:spacing w:val="80"/>
        </w:rPr>
        <w:t> </w:t>
      </w:r>
      <w:r>
        <w:rPr/>
        <w:t>often lead</w:t>
      </w:r>
      <w:r>
        <w:rPr>
          <w:spacing w:val="40"/>
        </w:rPr>
        <w:t> </w:t>
      </w:r>
      <w:r>
        <w:rPr/>
        <w:t>to</w:t>
      </w:r>
      <w:r>
        <w:rPr>
          <w:spacing w:val="40"/>
        </w:rPr>
        <w:t> </w:t>
      </w:r>
      <w:r>
        <w:rPr/>
        <w:t>conflict,</w:t>
      </w:r>
      <w:r>
        <w:rPr>
          <w:spacing w:val="40"/>
        </w:rPr>
        <w:t> </w:t>
      </w:r>
      <w:r>
        <w:rPr/>
        <w:t>suffering,</w:t>
      </w:r>
      <w:r>
        <w:rPr>
          <w:spacing w:val="40"/>
        </w:rPr>
        <w:t> </w:t>
      </w:r>
      <w:r>
        <w:rPr/>
        <w:t>and</w:t>
      </w:r>
      <w:r>
        <w:rPr>
          <w:spacing w:val="40"/>
        </w:rPr>
        <w:t> </w:t>
      </w:r>
      <w:r>
        <w:rPr/>
        <w:t>ultimately tragedy.</w:t>
      </w:r>
    </w:p>
    <w:p>
      <w:pPr>
        <w:pStyle w:val="BodyText"/>
        <w:spacing w:line="249" w:lineRule="auto" w:before="65"/>
        <w:ind w:right="1438" w:firstLine="432"/>
        <w:jc w:val="both"/>
      </w:pPr>
      <w:r>
        <w:rPr/>
        <w:t>Adding another dimension, Penny Gay argues that </w:t>
      </w:r>
      <w:r>
        <w:rPr>
          <w:i/>
        </w:rPr>
        <w:t>As You Like It </w:t>
      </w:r>
      <w:r>
        <w:rPr/>
        <w:t>actively challenges and deconstructs patriarchal norms. She highlights how the play presents characters who move beyond rigid gender roles and</w:t>
      </w:r>
      <w:r>
        <w:rPr>
          <w:spacing w:val="52"/>
        </w:rPr>
        <w:t> </w:t>
      </w:r>
      <w:r>
        <w:rPr/>
        <w:t>explore</w:t>
      </w:r>
      <w:r>
        <w:rPr>
          <w:spacing w:val="51"/>
        </w:rPr>
        <w:t> </w:t>
      </w:r>
      <w:r>
        <w:rPr/>
        <w:t>their</w:t>
      </w:r>
      <w:r>
        <w:rPr>
          <w:spacing w:val="47"/>
        </w:rPr>
        <w:t> </w:t>
      </w:r>
      <w:r>
        <w:rPr/>
        <w:t>identities</w:t>
      </w:r>
      <w:r>
        <w:rPr>
          <w:spacing w:val="49"/>
        </w:rPr>
        <w:t> </w:t>
      </w:r>
      <w:r>
        <w:rPr/>
        <w:t>more</w:t>
      </w:r>
      <w:r>
        <w:rPr>
          <w:spacing w:val="51"/>
        </w:rPr>
        <w:t> </w:t>
      </w:r>
      <w:r>
        <w:rPr/>
        <w:t>freely.</w:t>
      </w:r>
      <w:r>
        <w:rPr>
          <w:spacing w:val="53"/>
        </w:rPr>
        <w:t> </w:t>
      </w:r>
      <w:r>
        <w:rPr/>
        <w:t>On</w:t>
      </w:r>
      <w:r>
        <w:rPr>
          <w:spacing w:val="48"/>
        </w:rPr>
        <w:t> </w:t>
      </w:r>
      <w:r>
        <w:rPr/>
        <w:t>the</w:t>
      </w:r>
      <w:r>
        <w:rPr>
          <w:spacing w:val="52"/>
        </w:rPr>
        <w:t> </w:t>
      </w:r>
      <w:r>
        <w:rPr/>
        <w:t>other</w:t>
      </w:r>
      <w:r>
        <w:rPr>
          <w:spacing w:val="51"/>
        </w:rPr>
        <w:t> </w:t>
      </w:r>
      <w:r>
        <w:rPr/>
        <w:t>hand,</w:t>
      </w:r>
      <w:r>
        <w:rPr>
          <w:spacing w:val="53"/>
        </w:rPr>
        <w:t> </w:t>
      </w:r>
      <w:r>
        <w:rPr>
          <w:spacing w:val="-2"/>
        </w:rPr>
        <w:t>Jaleel</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0368">
                <wp:simplePos x="0" y="0"/>
                <wp:positionH relativeFrom="page">
                  <wp:posOffset>2057400</wp:posOffset>
                </wp:positionH>
                <wp:positionV relativeFrom="paragraph">
                  <wp:posOffset>162604</wp:posOffset>
                </wp:positionV>
                <wp:extent cx="3657600" cy="12700"/>
                <wp:effectExtent l="0" t="0" r="0" b="0"/>
                <wp:wrapTopAndBottom/>
                <wp:docPr id="900" name="Graphic 900"/>
                <wp:cNvGraphicFramePr>
                  <a:graphicFrameLocks/>
                </wp:cNvGraphicFramePr>
                <a:graphic>
                  <a:graphicData uri="http://schemas.microsoft.com/office/word/2010/wordprocessingShape">
                    <wps:wsp>
                      <wps:cNvPr id="900" name="Graphic 90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86112;mso-wrap-distance-left:0;mso-wrap-distance-right:0" id="docshape891" filled="true" fillcolor="#000000" stroked="false">
                <v:fill type="solid"/>
                <w10:wrap type="topAndBottom"/>
              </v:rect>
            </w:pict>
          </mc:Fallback>
        </mc:AlternateContent>
      </w:r>
      <w:r>
        <w:rPr>
          <w:rFonts w:ascii="Verdana"/>
          <w:spacing w:val="-5"/>
          <w:sz w:val="18"/>
        </w:rPr>
        <w:t>476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42"/>
        <w:jc w:val="both"/>
      </w:pPr>
      <w:r>
        <w:rPr/>
        <w:t>Mahmood</w:t>
      </w:r>
      <w:r>
        <w:rPr>
          <w:spacing w:val="-7"/>
        </w:rPr>
        <w:t> </w:t>
      </w:r>
      <w:r>
        <w:rPr/>
        <w:t>points</w:t>
      </w:r>
      <w:r>
        <w:rPr>
          <w:spacing w:val="-9"/>
        </w:rPr>
        <w:t> </w:t>
      </w:r>
      <w:r>
        <w:rPr/>
        <w:t>out</w:t>
      </w:r>
      <w:r>
        <w:rPr>
          <w:spacing w:val="-7"/>
        </w:rPr>
        <w:t> </w:t>
      </w:r>
      <w:r>
        <w:rPr/>
        <w:t>that</w:t>
      </w:r>
      <w:r>
        <w:rPr>
          <w:spacing w:val="-9"/>
        </w:rPr>
        <w:t> </w:t>
      </w:r>
      <w:r>
        <w:rPr/>
        <w:t>male</w:t>
      </w:r>
      <w:r>
        <w:rPr>
          <w:spacing w:val="-6"/>
        </w:rPr>
        <w:t> </w:t>
      </w:r>
      <w:r>
        <w:rPr/>
        <w:t>voices</w:t>
      </w:r>
      <w:r>
        <w:rPr>
          <w:spacing w:val="-9"/>
        </w:rPr>
        <w:t> </w:t>
      </w:r>
      <w:r>
        <w:rPr/>
        <w:t>frequently</w:t>
      </w:r>
      <w:r>
        <w:rPr>
          <w:spacing w:val="-11"/>
        </w:rPr>
        <w:t> </w:t>
      </w:r>
      <w:r>
        <w:rPr/>
        <w:t>dominate</w:t>
      </w:r>
      <w:r>
        <w:rPr>
          <w:spacing w:val="-8"/>
        </w:rPr>
        <w:t> </w:t>
      </w:r>
      <w:r>
        <w:rPr/>
        <w:t>the</w:t>
      </w:r>
      <w:r>
        <w:rPr>
          <w:spacing w:val="-8"/>
        </w:rPr>
        <w:t> </w:t>
      </w:r>
      <w:r>
        <w:rPr/>
        <w:t>narrative, often limiting the agency and</w:t>
      </w:r>
      <w:r>
        <w:rPr>
          <w:spacing w:val="40"/>
        </w:rPr>
        <w:t> </w:t>
      </w:r>
      <w:r>
        <w:rPr/>
        <w:t>self-expression of female</w:t>
      </w:r>
      <w:r>
        <w:rPr>
          <w:spacing w:val="40"/>
        </w:rPr>
        <w:t> </w:t>
      </w:r>
      <w:r>
        <w:rPr/>
        <w:t>characters.</w:t>
      </w:r>
    </w:p>
    <w:p>
      <w:pPr>
        <w:pStyle w:val="BodyText"/>
        <w:spacing w:line="249" w:lineRule="auto" w:before="59"/>
        <w:ind w:right="1439" w:firstLine="432"/>
        <w:jc w:val="both"/>
      </w:pPr>
      <w:r>
        <w:rPr/>
        <w:t>Together,</w:t>
      </w:r>
      <w:r>
        <w:rPr>
          <w:spacing w:val="-13"/>
        </w:rPr>
        <w:t> </w:t>
      </w:r>
      <w:r>
        <w:rPr/>
        <w:t>these</w:t>
      </w:r>
      <w:r>
        <w:rPr>
          <w:spacing w:val="-12"/>
        </w:rPr>
        <w:t> </w:t>
      </w:r>
      <w:r>
        <w:rPr/>
        <w:t>critical</w:t>
      </w:r>
      <w:r>
        <w:rPr>
          <w:spacing w:val="-12"/>
        </w:rPr>
        <w:t> </w:t>
      </w:r>
      <w:r>
        <w:rPr/>
        <w:t>viewpoints</w:t>
      </w:r>
      <w:r>
        <w:rPr>
          <w:spacing w:val="-12"/>
        </w:rPr>
        <w:t> </w:t>
      </w:r>
      <w:r>
        <w:rPr/>
        <w:t>reveal</w:t>
      </w:r>
      <w:r>
        <w:rPr>
          <w:spacing w:val="-13"/>
        </w:rPr>
        <w:t> </w:t>
      </w:r>
      <w:r>
        <w:rPr/>
        <w:t>the</w:t>
      </w:r>
      <w:r>
        <w:rPr>
          <w:spacing w:val="-11"/>
        </w:rPr>
        <w:t> </w:t>
      </w:r>
      <w:r>
        <w:rPr/>
        <w:t>depth</w:t>
      </w:r>
      <w:r>
        <w:rPr>
          <w:spacing w:val="-13"/>
        </w:rPr>
        <w:t> </w:t>
      </w:r>
      <w:r>
        <w:rPr/>
        <w:t>and</w:t>
      </w:r>
      <w:r>
        <w:rPr>
          <w:spacing w:val="-8"/>
        </w:rPr>
        <w:t> </w:t>
      </w:r>
      <w:r>
        <w:rPr/>
        <w:t>complexity of</w:t>
      </w:r>
      <w:r>
        <w:rPr>
          <w:spacing w:val="-7"/>
        </w:rPr>
        <w:t> </w:t>
      </w:r>
      <w:r>
        <w:rPr/>
        <w:t>Shakespeare’s</w:t>
      </w:r>
      <w:r>
        <w:rPr>
          <w:spacing w:val="-7"/>
        </w:rPr>
        <w:t> </w:t>
      </w:r>
      <w:r>
        <w:rPr/>
        <w:t>treatment</w:t>
      </w:r>
      <w:r>
        <w:rPr>
          <w:spacing w:val="-6"/>
        </w:rPr>
        <w:t> </w:t>
      </w:r>
      <w:r>
        <w:rPr/>
        <w:t>of</w:t>
      </w:r>
      <w:r>
        <w:rPr>
          <w:spacing w:val="-7"/>
        </w:rPr>
        <w:t> </w:t>
      </w:r>
      <w:r>
        <w:rPr/>
        <w:t>gender</w:t>
      </w:r>
      <w:r>
        <w:rPr>
          <w:spacing w:val="-7"/>
        </w:rPr>
        <w:t> </w:t>
      </w:r>
      <w:r>
        <w:rPr/>
        <w:t>and</w:t>
      </w:r>
      <w:r>
        <w:rPr>
          <w:spacing w:val="-4"/>
        </w:rPr>
        <w:t> </w:t>
      </w:r>
      <w:r>
        <w:rPr/>
        <w:t>power.</w:t>
      </w:r>
      <w:r>
        <w:rPr>
          <w:spacing w:val="-6"/>
        </w:rPr>
        <w:t> </w:t>
      </w:r>
      <w:r>
        <w:rPr/>
        <w:t>Rather</w:t>
      </w:r>
      <w:r>
        <w:rPr>
          <w:spacing w:val="-7"/>
        </w:rPr>
        <w:t> </w:t>
      </w:r>
      <w:r>
        <w:rPr/>
        <w:t>than</w:t>
      </w:r>
      <w:r>
        <w:rPr>
          <w:spacing w:val="-7"/>
        </w:rPr>
        <w:t> </w:t>
      </w:r>
      <w:r>
        <w:rPr/>
        <w:t>presenting simple</w:t>
      </w:r>
      <w:r>
        <w:rPr>
          <w:spacing w:val="-13"/>
        </w:rPr>
        <w:t> </w:t>
      </w:r>
      <w:r>
        <w:rPr/>
        <w:t>oppositions—such</w:t>
      </w:r>
      <w:r>
        <w:rPr>
          <w:spacing w:val="-12"/>
        </w:rPr>
        <w:t> </w:t>
      </w:r>
      <w:r>
        <w:rPr/>
        <w:t>as</w:t>
      </w:r>
      <w:r>
        <w:rPr>
          <w:spacing w:val="-13"/>
        </w:rPr>
        <w:t> </w:t>
      </w:r>
      <w:r>
        <w:rPr/>
        <w:t>women</w:t>
      </w:r>
      <w:r>
        <w:rPr>
          <w:spacing w:val="-12"/>
        </w:rPr>
        <w:t> </w:t>
      </w:r>
      <w:r>
        <w:rPr/>
        <w:t>as</w:t>
      </w:r>
      <w:r>
        <w:rPr>
          <w:spacing w:val="-13"/>
        </w:rPr>
        <w:t> </w:t>
      </w:r>
      <w:r>
        <w:rPr/>
        <w:t>victims</w:t>
      </w:r>
      <w:r>
        <w:rPr>
          <w:spacing w:val="-12"/>
        </w:rPr>
        <w:t> </w:t>
      </w:r>
      <w:r>
        <w:rPr/>
        <w:t>and</w:t>
      </w:r>
      <w:r>
        <w:rPr>
          <w:spacing w:val="-13"/>
        </w:rPr>
        <w:t> </w:t>
      </w:r>
      <w:r>
        <w:rPr/>
        <w:t>men</w:t>
      </w:r>
      <w:r>
        <w:rPr>
          <w:spacing w:val="-12"/>
        </w:rPr>
        <w:t> </w:t>
      </w:r>
      <w:r>
        <w:rPr/>
        <w:t>as</w:t>
      </w:r>
      <w:r>
        <w:rPr>
          <w:spacing w:val="-13"/>
        </w:rPr>
        <w:t> </w:t>
      </w:r>
      <w:r>
        <w:rPr/>
        <w:t>oppressors—Shakespeare explores how gender roles are formed, maintained, and sometimes resisted. His plays invite readers to reflect on the social structures that shape identity, offering layered and thought-provoking portrayals</w:t>
      </w:r>
      <w:r>
        <w:rPr>
          <w:spacing w:val="40"/>
        </w:rPr>
        <w:t> </w:t>
      </w:r>
      <w:r>
        <w:rPr/>
        <w:t>of</w:t>
      </w:r>
      <w:r>
        <w:rPr>
          <w:spacing w:val="40"/>
        </w:rPr>
        <w:t> </w:t>
      </w:r>
      <w:r>
        <w:rPr/>
        <w:t>both</w:t>
      </w:r>
      <w:r>
        <w:rPr>
          <w:spacing w:val="40"/>
        </w:rPr>
        <w:t> </w:t>
      </w:r>
      <w:r>
        <w:rPr/>
        <w:t>men</w:t>
      </w:r>
      <w:r>
        <w:rPr>
          <w:spacing w:val="40"/>
        </w:rPr>
        <w:t> </w:t>
      </w:r>
      <w:r>
        <w:rPr/>
        <w:t>and</w:t>
      </w:r>
      <w:r>
        <w:rPr>
          <w:spacing w:val="40"/>
        </w:rPr>
        <w:t> </w:t>
      </w:r>
      <w:r>
        <w:rPr/>
        <w:t>women.</w:t>
      </w:r>
    </w:p>
    <w:p>
      <w:pPr>
        <w:pStyle w:val="Heading3"/>
        <w:spacing w:before="160"/>
        <w:ind w:right="1437"/>
      </w:pPr>
      <w:r>
        <w:rPr>
          <w:w w:val="90"/>
        </w:rPr>
        <w:t>CONCLUSION:</w:t>
      </w:r>
      <w:r>
        <w:rPr>
          <w:spacing w:val="80"/>
        </w:rPr>
        <w:t> </w:t>
      </w:r>
      <w:r>
        <w:rPr>
          <w:w w:val="90"/>
        </w:rPr>
        <w:t>INSIGHTS</w:t>
      </w:r>
      <w:r>
        <w:rPr>
          <w:spacing w:val="80"/>
        </w:rPr>
        <w:t> </w:t>
      </w:r>
      <w:r>
        <w:rPr>
          <w:w w:val="90"/>
        </w:rPr>
        <w:t>AND</w:t>
      </w:r>
      <w:r>
        <w:rPr>
          <w:spacing w:val="80"/>
        </w:rPr>
        <w:t> </w:t>
      </w:r>
      <w:r>
        <w:rPr>
          <w:w w:val="90"/>
        </w:rPr>
        <w:t>IMPLICATIONS</w:t>
      </w:r>
      <w:r>
        <w:rPr>
          <w:spacing w:val="80"/>
        </w:rPr>
        <w:t> </w:t>
      </w:r>
      <w:r>
        <w:rPr>
          <w:w w:val="90"/>
        </w:rPr>
        <w:t>OF</w:t>
      </w:r>
      <w:r>
        <w:rPr>
          <w:spacing w:val="40"/>
        </w:rPr>
        <w:t> </w:t>
      </w:r>
      <w:r>
        <w:rPr>
          <w:spacing w:val="-6"/>
        </w:rPr>
        <w:t>GENDER</w:t>
      </w:r>
      <w:r>
        <w:rPr>
          <w:spacing w:val="-10"/>
        </w:rPr>
        <w:t> </w:t>
      </w:r>
      <w:r>
        <w:rPr>
          <w:spacing w:val="-6"/>
        </w:rPr>
        <w:t>AND</w:t>
      </w:r>
      <w:r>
        <w:rPr>
          <w:spacing w:val="-10"/>
        </w:rPr>
        <w:t> </w:t>
      </w:r>
      <w:r>
        <w:rPr>
          <w:spacing w:val="-6"/>
        </w:rPr>
        <w:t>POWER</w:t>
      </w:r>
      <w:r>
        <w:rPr>
          <w:spacing w:val="-11"/>
        </w:rPr>
        <w:t> </w:t>
      </w:r>
      <w:r>
        <w:rPr>
          <w:spacing w:val="-6"/>
        </w:rPr>
        <w:t>IN</w:t>
      </w:r>
      <w:r>
        <w:rPr>
          <w:spacing w:val="-10"/>
        </w:rPr>
        <w:t> </w:t>
      </w:r>
      <w:r>
        <w:rPr>
          <w:spacing w:val="-6"/>
        </w:rPr>
        <w:t>SHAKESPEARE’S</w:t>
      </w:r>
      <w:r>
        <w:rPr>
          <w:spacing w:val="-9"/>
        </w:rPr>
        <w:t> </w:t>
      </w:r>
      <w:r>
        <w:rPr>
          <w:spacing w:val="-6"/>
        </w:rPr>
        <w:t>DRAMA.</w:t>
      </w:r>
    </w:p>
    <w:p>
      <w:pPr>
        <w:pStyle w:val="BodyText"/>
        <w:spacing w:line="249" w:lineRule="auto" w:before="73"/>
        <w:ind w:right="1437" w:firstLine="432"/>
        <w:jc w:val="both"/>
      </w:pPr>
      <w:r>
        <w:rPr/>
        <w:t>The rapport between gender and power in Shakespeare’s plays is</w:t>
      </w:r>
      <w:r>
        <w:rPr>
          <w:spacing w:val="40"/>
        </w:rPr>
        <w:t> </w:t>
      </w:r>
      <w:r>
        <w:rPr/>
        <w:t>a multifaceted and nuanced topic that has been explored by scholars from feminist, psychoanalytic, and social perspectives. These perspectives divulge that Shakespeare’s works not only illustrate the consequences of patriarchal power, but also confront and deconstruct conventional</w:t>
      </w:r>
      <w:r>
        <w:rPr>
          <w:spacing w:val="-9"/>
        </w:rPr>
        <w:t> </w:t>
      </w:r>
      <w:r>
        <w:rPr/>
        <w:t>gender</w:t>
      </w:r>
      <w:r>
        <w:rPr>
          <w:spacing w:val="-9"/>
        </w:rPr>
        <w:t> </w:t>
      </w:r>
      <w:r>
        <w:rPr/>
        <w:t>roles.</w:t>
      </w:r>
      <w:r>
        <w:rPr>
          <w:spacing w:val="-7"/>
        </w:rPr>
        <w:t> </w:t>
      </w:r>
      <w:r>
        <w:rPr/>
        <w:t>By</w:t>
      </w:r>
      <w:r>
        <w:rPr>
          <w:spacing w:val="-10"/>
        </w:rPr>
        <w:t> </w:t>
      </w:r>
      <w:r>
        <w:rPr/>
        <w:t>portraying</w:t>
      </w:r>
      <w:r>
        <w:rPr>
          <w:spacing w:val="-10"/>
        </w:rPr>
        <w:t> </w:t>
      </w:r>
      <w:r>
        <w:rPr/>
        <w:t>characters</w:t>
      </w:r>
      <w:r>
        <w:rPr>
          <w:spacing w:val="-9"/>
        </w:rPr>
        <w:t> </w:t>
      </w:r>
      <w:r>
        <w:rPr/>
        <w:t>that</w:t>
      </w:r>
      <w:r>
        <w:rPr>
          <w:spacing w:val="-9"/>
        </w:rPr>
        <w:t> </w:t>
      </w:r>
      <w:r>
        <w:rPr/>
        <w:t>defy</w:t>
      </w:r>
      <w:r>
        <w:rPr>
          <w:spacing w:val="-10"/>
        </w:rPr>
        <w:t> </w:t>
      </w:r>
      <w:r>
        <w:rPr/>
        <w:t>communal expectations</w:t>
      </w:r>
      <w:r>
        <w:rPr>
          <w:spacing w:val="-10"/>
        </w:rPr>
        <w:t> </w:t>
      </w:r>
      <w:r>
        <w:rPr/>
        <w:t>and</w:t>
      </w:r>
      <w:r>
        <w:rPr>
          <w:spacing w:val="-8"/>
        </w:rPr>
        <w:t> </w:t>
      </w:r>
      <w:r>
        <w:rPr/>
        <w:t>liberally</w:t>
      </w:r>
      <w:r>
        <w:rPr>
          <w:spacing w:val="-11"/>
        </w:rPr>
        <w:t> </w:t>
      </w:r>
      <w:r>
        <w:rPr/>
        <w:t>explore</w:t>
      </w:r>
      <w:r>
        <w:rPr>
          <w:spacing w:val="-11"/>
        </w:rPr>
        <w:t> </w:t>
      </w:r>
      <w:r>
        <w:rPr/>
        <w:t>their</w:t>
      </w:r>
      <w:r>
        <w:rPr>
          <w:spacing w:val="-8"/>
        </w:rPr>
        <w:t> </w:t>
      </w:r>
      <w:r>
        <w:rPr/>
        <w:t>identities</w:t>
      </w:r>
      <w:r>
        <w:rPr>
          <w:spacing w:val="-11"/>
        </w:rPr>
        <w:t> </w:t>
      </w:r>
      <w:r>
        <w:rPr/>
        <w:t>and</w:t>
      </w:r>
      <w:r>
        <w:rPr>
          <w:spacing w:val="-10"/>
        </w:rPr>
        <w:t> </w:t>
      </w:r>
      <w:r>
        <w:rPr/>
        <w:t>needs</w:t>
      </w:r>
      <w:r>
        <w:rPr>
          <w:spacing w:val="-10"/>
        </w:rPr>
        <w:t> </w:t>
      </w:r>
      <w:r>
        <w:rPr/>
        <w:t>Shakespeare offers</w:t>
      </w:r>
      <w:r>
        <w:rPr>
          <w:spacing w:val="-13"/>
        </w:rPr>
        <w:t> </w:t>
      </w:r>
      <w:r>
        <w:rPr/>
        <w:t>a</w:t>
      </w:r>
      <w:r>
        <w:rPr>
          <w:spacing w:val="-12"/>
        </w:rPr>
        <w:t> </w:t>
      </w:r>
      <w:r>
        <w:rPr/>
        <w:t>complex</w:t>
      </w:r>
      <w:r>
        <w:rPr>
          <w:spacing w:val="-13"/>
        </w:rPr>
        <w:t> </w:t>
      </w:r>
      <w:r>
        <w:rPr/>
        <w:t>portrayal</w:t>
      </w:r>
      <w:r>
        <w:rPr>
          <w:spacing w:val="-12"/>
        </w:rPr>
        <w:t> </w:t>
      </w:r>
      <w:r>
        <w:rPr/>
        <w:t>of</w:t>
      </w:r>
      <w:r>
        <w:rPr>
          <w:spacing w:val="-13"/>
        </w:rPr>
        <w:t> </w:t>
      </w:r>
      <w:r>
        <w:rPr/>
        <w:t>gender</w:t>
      </w:r>
      <w:r>
        <w:rPr>
          <w:spacing w:val="-12"/>
        </w:rPr>
        <w:t> </w:t>
      </w:r>
      <w:r>
        <w:rPr/>
        <w:t>dynamics.</w:t>
      </w:r>
      <w:r>
        <w:rPr>
          <w:spacing w:val="-13"/>
        </w:rPr>
        <w:t> </w:t>
      </w:r>
      <w:r>
        <w:rPr/>
        <w:t>This</w:t>
      </w:r>
      <w:r>
        <w:rPr>
          <w:spacing w:val="-12"/>
        </w:rPr>
        <w:t> </w:t>
      </w:r>
      <w:r>
        <w:rPr/>
        <w:t>portrayal</w:t>
      </w:r>
      <w:r>
        <w:rPr>
          <w:spacing w:val="-13"/>
        </w:rPr>
        <w:t> </w:t>
      </w:r>
      <w:r>
        <w:rPr/>
        <w:t>challenges the conception that power and agency are intrinsically tied to gender, highlighting the latent for individuals to go beyond societal norms and exercise their own agency. Moreover, the examination of gender and power</w:t>
      </w:r>
      <w:r>
        <w:rPr>
          <w:spacing w:val="-13"/>
        </w:rPr>
        <w:t> </w:t>
      </w:r>
      <w:r>
        <w:rPr/>
        <w:t>in</w:t>
      </w:r>
      <w:r>
        <w:rPr>
          <w:spacing w:val="-12"/>
        </w:rPr>
        <w:t> </w:t>
      </w:r>
      <w:r>
        <w:rPr/>
        <w:t>Shakespeare’s</w:t>
      </w:r>
      <w:r>
        <w:rPr>
          <w:spacing w:val="-13"/>
        </w:rPr>
        <w:t> </w:t>
      </w:r>
      <w:r>
        <w:rPr/>
        <w:t>plays</w:t>
      </w:r>
      <w:r>
        <w:rPr>
          <w:spacing w:val="-12"/>
        </w:rPr>
        <w:t> </w:t>
      </w:r>
      <w:r>
        <w:rPr/>
        <w:t>has</w:t>
      </w:r>
      <w:r>
        <w:rPr>
          <w:spacing w:val="-13"/>
        </w:rPr>
        <w:t> </w:t>
      </w:r>
      <w:r>
        <w:rPr/>
        <w:t>broader</w:t>
      </w:r>
      <w:r>
        <w:rPr>
          <w:spacing w:val="-12"/>
        </w:rPr>
        <w:t> </w:t>
      </w:r>
      <w:r>
        <w:rPr/>
        <w:t>implications</w:t>
      </w:r>
      <w:r>
        <w:rPr>
          <w:spacing w:val="-13"/>
        </w:rPr>
        <w:t> </w:t>
      </w:r>
      <w:r>
        <w:rPr/>
        <w:t>for</w:t>
      </w:r>
      <w:r>
        <w:rPr>
          <w:spacing w:val="-12"/>
        </w:rPr>
        <w:t> </w:t>
      </w:r>
      <w:r>
        <w:rPr/>
        <w:t>contemporary society.</w:t>
      </w:r>
      <w:r>
        <w:rPr>
          <w:spacing w:val="-1"/>
        </w:rPr>
        <w:t> </w:t>
      </w:r>
      <w:r>
        <w:rPr/>
        <w:t>It serves</w:t>
      </w:r>
      <w:r>
        <w:rPr>
          <w:spacing w:val="-3"/>
        </w:rPr>
        <w:t> </w:t>
      </w:r>
      <w:r>
        <w:rPr/>
        <w:t>as</w:t>
      </w:r>
      <w:r>
        <w:rPr>
          <w:spacing w:val="-3"/>
        </w:rPr>
        <w:t> </w:t>
      </w:r>
      <w:r>
        <w:rPr/>
        <w:t>a reminder</w:t>
      </w:r>
      <w:r>
        <w:rPr>
          <w:spacing w:val="-1"/>
        </w:rPr>
        <w:t> </w:t>
      </w:r>
      <w:r>
        <w:rPr/>
        <w:t>that</w:t>
      </w:r>
      <w:r>
        <w:rPr>
          <w:spacing w:val="-1"/>
        </w:rPr>
        <w:t> </w:t>
      </w:r>
      <w:r>
        <w:rPr/>
        <w:t>gender</w:t>
      </w:r>
      <w:r>
        <w:rPr>
          <w:spacing w:val="-1"/>
        </w:rPr>
        <w:t> </w:t>
      </w:r>
      <w:r>
        <w:rPr/>
        <w:t>is</w:t>
      </w:r>
      <w:r>
        <w:rPr>
          <w:spacing w:val="-1"/>
        </w:rPr>
        <w:t> </w:t>
      </w:r>
      <w:r>
        <w:rPr/>
        <w:t>a social</w:t>
      </w:r>
      <w:r>
        <w:rPr>
          <w:spacing w:val="-1"/>
        </w:rPr>
        <w:t> </w:t>
      </w:r>
      <w:r>
        <w:rPr/>
        <w:t>construct and that power dynamics are deeply intertwined with societal expectations and norms. Understanding</w:t>
      </w:r>
      <w:r>
        <w:rPr>
          <w:spacing w:val="-1"/>
        </w:rPr>
        <w:t> </w:t>
      </w:r>
      <w:r>
        <w:rPr/>
        <w:t>and critically analyzing the relationship between gender and power in Shakespeare’s plays not only enhances our understanding of his works, but also prompts us to reflect on our own contemporary notions of gender and power. Through examining the relationship</w:t>
      </w:r>
      <w:r>
        <w:rPr>
          <w:spacing w:val="-1"/>
        </w:rPr>
        <w:t> </w:t>
      </w:r>
      <w:r>
        <w:rPr/>
        <w:t>between</w:t>
      </w:r>
      <w:r>
        <w:rPr>
          <w:spacing w:val="-4"/>
        </w:rPr>
        <w:t> </w:t>
      </w:r>
      <w:r>
        <w:rPr/>
        <w:t>gender</w:t>
      </w:r>
      <w:r>
        <w:rPr>
          <w:spacing w:val="-3"/>
        </w:rPr>
        <w:t> </w:t>
      </w:r>
      <w:r>
        <w:rPr/>
        <w:t>and</w:t>
      </w:r>
      <w:r>
        <w:rPr>
          <w:spacing w:val="-1"/>
        </w:rPr>
        <w:t> </w:t>
      </w:r>
      <w:r>
        <w:rPr/>
        <w:t>power</w:t>
      </w:r>
      <w:r>
        <w:rPr>
          <w:spacing w:val="-4"/>
        </w:rPr>
        <w:t> </w:t>
      </w:r>
      <w:r>
        <w:rPr/>
        <w:t>in</w:t>
      </w:r>
      <w:r>
        <w:rPr>
          <w:spacing w:val="-3"/>
        </w:rPr>
        <w:t> </w:t>
      </w:r>
      <w:r>
        <w:rPr/>
        <w:t>Shakespeare’s</w:t>
      </w:r>
      <w:r>
        <w:rPr>
          <w:spacing w:val="-3"/>
        </w:rPr>
        <w:t> </w:t>
      </w:r>
      <w:r>
        <w:rPr/>
        <w:t>plays,</w:t>
      </w:r>
      <w:r>
        <w:rPr>
          <w:spacing w:val="-3"/>
        </w:rPr>
        <w:t> </w:t>
      </w:r>
      <w:r>
        <w:rPr/>
        <w:t>we</w:t>
      </w:r>
      <w:r>
        <w:rPr>
          <w:spacing w:val="-2"/>
        </w:rPr>
        <w:t> </w:t>
      </w:r>
      <w:r>
        <w:rPr/>
        <w:t>gain insights into the ways in which gender roles and expectations influence power</w:t>
      </w:r>
      <w:r>
        <w:rPr>
          <w:spacing w:val="-7"/>
        </w:rPr>
        <w:t> </w:t>
      </w:r>
      <w:r>
        <w:rPr/>
        <w:t>dynamics</w:t>
      </w:r>
      <w:r>
        <w:rPr>
          <w:spacing w:val="-9"/>
        </w:rPr>
        <w:t> </w:t>
      </w:r>
      <w:r>
        <w:rPr/>
        <w:t>both</w:t>
      </w:r>
      <w:r>
        <w:rPr>
          <w:spacing w:val="-9"/>
        </w:rPr>
        <w:t> </w:t>
      </w:r>
      <w:r>
        <w:rPr/>
        <w:t>within</w:t>
      </w:r>
      <w:r>
        <w:rPr>
          <w:spacing w:val="-9"/>
        </w:rPr>
        <w:t> </w:t>
      </w:r>
      <w:r>
        <w:rPr/>
        <w:t>society</w:t>
      </w:r>
      <w:r>
        <w:rPr>
          <w:spacing w:val="-9"/>
        </w:rPr>
        <w:t> </w:t>
      </w:r>
      <w:r>
        <w:rPr/>
        <w:t>and</w:t>
      </w:r>
      <w:r>
        <w:rPr>
          <w:spacing w:val="-7"/>
        </w:rPr>
        <w:t> </w:t>
      </w:r>
      <w:r>
        <w:rPr/>
        <w:t>within</w:t>
      </w:r>
      <w:r>
        <w:rPr>
          <w:spacing w:val="-9"/>
        </w:rPr>
        <w:t> </w:t>
      </w:r>
      <w:r>
        <w:rPr/>
        <w:t>individual</w:t>
      </w:r>
      <w:r>
        <w:rPr>
          <w:spacing w:val="-7"/>
        </w:rPr>
        <w:t> </w:t>
      </w:r>
      <w:r>
        <w:rPr/>
        <w:t>relationships. Furthermore, the exploration of gender and power in Shakespeare’s plays allows for a reimagining of traditional narratives and provides a platform for marginalized voices to be heard and recognized.</w:t>
      </w:r>
    </w:p>
    <w:p>
      <w:pPr>
        <w:pStyle w:val="Heading3"/>
        <w:spacing w:before="176"/>
      </w:pPr>
      <w:r>
        <w:rPr>
          <w:spacing w:val="-2"/>
          <w:w w:val="95"/>
        </w:rPr>
        <w:t>REFERENCES</w:t>
      </w:r>
    </w:p>
    <w:p>
      <w:pPr>
        <w:spacing w:before="82"/>
        <w:ind w:left="281" w:right="0" w:firstLine="0"/>
        <w:jc w:val="center"/>
        <w:rPr>
          <w:sz w:val="19"/>
        </w:rPr>
      </w:pPr>
      <w:r>
        <w:rPr>
          <w:sz w:val="19"/>
        </w:rPr>
        <w:t>[1].</w:t>
      </w:r>
      <w:r>
        <w:rPr>
          <w:spacing w:val="34"/>
          <w:sz w:val="19"/>
        </w:rPr>
        <w:t>  </w:t>
      </w:r>
      <w:r>
        <w:rPr>
          <w:sz w:val="19"/>
        </w:rPr>
        <w:t>Freedman,P.(2004,</w:t>
      </w:r>
      <w:r>
        <w:rPr>
          <w:spacing w:val="39"/>
          <w:sz w:val="19"/>
        </w:rPr>
        <w:t> </w:t>
      </w:r>
      <w:r>
        <w:rPr>
          <w:sz w:val="19"/>
        </w:rPr>
        <w:t>January</w:t>
      </w:r>
      <w:r>
        <w:rPr>
          <w:spacing w:val="32"/>
          <w:sz w:val="19"/>
        </w:rPr>
        <w:t> </w:t>
      </w:r>
      <w:r>
        <w:rPr>
          <w:sz w:val="19"/>
        </w:rPr>
        <w:t>1).Shakespeare</w:t>
      </w:r>
      <w:r>
        <w:rPr>
          <w:spacing w:val="40"/>
          <w:sz w:val="19"/>
        </w:rPr>
        <w:t> </w:t>
      </w:r>
      <w:r>
        <w:rPr>
          <w:sz w:val="19"/>
        </w:rPr>
        <w:t>and</w:t>
      </w:r>
      <w:r>
        <w:rPr>
          <w:spacing w:val="41"/>
          <w:sz w:val="19"/>
        </w:rPr>
        <w:t> </w:t>
      </w:r>
      <w:r>
        <w:rPr>
          <w:sz w:val="19"/>
        </w:rPr>
        <w:t>Gender.</w:t>
      </w:r>
      <w:r>
        <w:rPr>
          <w:spacing w:val="40"/>
          <w:sz w:val="19"/>
        </w:rPr>
        <w:t> </w:t>
      </w:r>
      <w:r>
        <w:rPr>
          <w:spacing w:val="-2"/>
          <w:sz w:val="19"/>
        </w:rPr>
        <w:t>https:/</w:t>
      </w:r>
    </w:p>
    <w:p>
      <w:pPr>
        <w:spacing w:before="19"/>
        <w:ind w:left="0" w:right="480" w:firstLine="0"/>
        <w:jc w:val="center"/>
        <w:rPr>
          <w:sz w:val="19"/>
        </w:rPr>
      </w:pPr>
      <w:r>
        <w:rPr>
          <w:spacing w:val="-4"/>
          <w:sz w:val="19"/>
        </w:rPr>
        <w:t>/scite.ai/reports/10.1111/j.1741-</w:t>
      </w:r>
      <w:r>
        <w:rPr>
          <w:spacing w:val="-2"/>
          <w:sz w:val="19"/>
        </w:rPr>
        <w:t>4113.2004.00017.x</w:t>
      </w:r>
    </w:p>
    <w:p>
      <w:pPr>
        <w:spacing w:after="0"/>
        <w:jc w:val="center"/>
        <w:rPr>
          <w:sz w:val="19"/>
        </w:rPr>
        <w:sectPr>
          <w:pgSz w:w="12240" w:h="15840"/>
          <w:pgMar w:top="1820" w:bottom="280" w:left="1800" w:right="1800"/>
        </w:sectPr>
      </w:pPr>
    </w:p>
    <w:p>
      <w:pPr>
        <w:tabs>
          <w:tab w:pos="7194"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0880">
                <wp:simplePos x="0" y="0"/>
                <wp:positionH relativeFrom="page">
                  <wp:posOffset>2065020</wp:posOffset>
                </wp:positionH>
                <wp:positionV relativeFrom="paragraph">
                  <wp:posOffset>795020</wp:posOffset>
                </wp:positionV>
                <wp:extent cx="3657600" cy="12700"/>
                <wp:effectExtent l="0" t="0" r="0" b="0"/>
                <wp:wrapTopAndBottom/>
                <wp:docPr id="901" name="Graphic 901"/>
                <wp:cNvGraphicFramePr>
                  <a:graphicFrameLocks/>
                </wp:cNvGraphicFramePr>
                <a:graphic>
                  <a:graphicData uri="http://schemas.microsoft.com/office/word/2010/wordprocessingShape">
                    <wps:wsp>
                      <wps:cNvPr id="901" name="Graphic 90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85600;mso-wrap-distance-left:0;mso-wrap-distance-right:0" id="docshape892" filled="true" fillcolor="#000000" stroked="false">
                <v:fill type="solid"/>
                <w10:wrap type="topAndBottom"/>
              </v:rect>
            </w:pict>
          </mc:Fallback>
        </mc:AlternateContent>
      </w:r>
      <w:r>
        <w:rPr>
          <w:rFonts w:ascii="Verdana"/>
          <w:sz w:val="18"/>
        </w:rPr>
        <w:t>The</w:t>
      </w:r>
      <w:r>
        <w:rPr>
          <w:rFonts w:ascii="Verdana"/>
          <w:spacing w:val="7"/>
          <w:sz w:val="18"/>
        </w:rPr>
        <w:t> </w:t>
      </w:r>
      <w:r>
        <w:rPr>
          <w:rFonts w:ascii="Verdana"/>
          <w:sz w:val="18"/>
        </w:rPr>
        <w:t>Relationship</w:t>
      </w:r>
      <w:r>
        <w:rPr>
          <w:rFonts w:ascii="Verdana"/>
          <w:spacing w:val="8"/>
          <w:sz w:val="18"/>
        </w:rPr>
        <w:t> </w:t>
      </w:r>
      <w:r>
        <w:rPr>
          <w:rFonts w:ascii="Verdana"/>
          <w:sz w:val="18"/>
        </w:rPr>
        <w:t>between</w:t>
      </w:r>
      <w:r>
        <w:rPr>
          <w:rFonts w:ascii="Verdana"/>
          <w:spacing w:val="8"/>
          <w:sz w:val="18"/>
        </w:rPr>
        <w:t> </w:t>
      </w:r>
      <w:r>
        <w:rPr>
          <w:rFonts w:ascii="Verdana"/>
          <w:sz w:val="18"/>
        </w:rPr>
        <w:t>Gender</w:t>
      </w:r>
      <w:r>
        <w:rPr>
          <w:rFonts w:ascii="Verdana"/>
          <w:spacing w:val="11"/>
          <w:sz w:val="18"/>
        </w:rPr>
        <w:t> </w:t>
      </w:r>
      <w:r>
        <w:rPr>
          <w:rFonts w:ascii="Verdana"/>
          <w:sz w:val="18"/>
        </w:rPr>
        <w:t>and</w:t>
      </w:r>
      <w:r>
        <w:rPr>
          <w:rFonts w:ascii="Verdana"/>
          <w:spacing w:val="7"/>
          <w:sz w:val="18"/>
        </w:rPr>
        <w:t> </w:t>
      </w:r>
      <w:r>
        <w:rPr>
          <w:rFonts w:ascii="Verdana"/>
          <w:sz w:val="18"/>
        </w:rPr>
        <w:t>Power</w:t>
      </w:r>
      <w:r>
        <w:rPr>
          <w:rFonts w:ascii="Verdana"/>
          <w:spacing w:val="10"/>
          <w:sz w:val="18"/>
        </w:rPr>
        <w:t> </w:t>
      </w:r>
      <w:r>
        <w:rPr>
          <w:rFonts w:ascii="Verdana"/>
          <w:spacing w:val="-4"/>
          <w:sz w:val="18"/>
        </w:rPr>
        <w:t>in...</w:t>
      </w:r>
      <w:r>
        <w:rPr>
          <w:sz w:val="18"/>
        </w:rPr>
        <w:tab/>
      </w:r>
      <w:r>
        <w:rPr>
          <w:rFonts w:ascii="Verdana"/>
          <w:spacing w:val="-5"/>
          <w:sz w:val="18"/>
        </w:rPr>
        <w:t>477</w:t>
      </w:r>
    </w:p>
    <w:p>
      <w:pPr>
        <w:spacing w:line="261" w:lineRule="auto" w:before="199"/>
        <w:ind w:left="2160" w:right="1438" w:hanging="435"/>
        <w:jc w:val="both"/>
        <w:rPr>
          <w:sz w:val="19"/>
        </w:rPr>
      </w:pPr>
      <w:r>
        <w:rPr>
          <w:sz w:val="19"/>
        </w:rPr>
        <w:t>[2].</w:t>
      </w:r>
      <w:r>
        <w:rPr>
          <w:spacing w:val="40"/>
          <w:sz w:val="19"/>
        </w:rPr>
        <w:t> </w:t>
      </w:r>
      <w:r>
        <w:rPr>
          <w:sz w:val="19"/>
        </w:rPr>
        <w:t>Jaleel, E M. (2021, November 30).Resistance/Complicity in Women’s</w:t>
      </w:r>
      <w:r>
        <w:rPr>
          <w:spacing w:val="40"/>
          <w:sz w:val="19"/>
        </w:rPr>
        <w:t> </w:t>
      </w:r>
      <w:r>
        <w:rPr>
          <w:sz w:val="19"/>
        </w:rPr>
        <w:t>Subordination</w:t>
      </w:r>
      <w:r>
        <w:rPr>
          <w:spacing w:val="40"/>
          <w:sz w:val="19"/>
        </w:rPr>
        <w:t> </w:t>
      </w:r>
      <w:r>
        <w:rPr>
          <w:sz w:val="19"/>
        </w:rPr>
        <w:t>to</w:t>
      </w:r>
      <w:r>
        <w:rPr>
          <w:spacing w:val="40"/>
          <w:sz w:val="19"/>
        </w:rPr>
        <w:t> </w:t>
      </w:r>
      <w:r>
        <w:rPr>
          <w:sz w:val="19"/>
        </w:rPr>
        <w:t>Patriarchal</w:t>
      </w:r>
      <w:r>
        <w:rPr>
          <w:spacing w:val="40"/>
          <w:sz w:val="19"/>
        </w:rPr>
        <w:t> </w:t>
      </w:r>
      <w:r>
        <w:rPr>
          <w:sz w:val="19"/>
        </w:rPr>
        <w:t>Powers</w:t>
      </w:r>
      <w:r>
        <w:rPr>
          <w:spacing w:val="40"/>
          <w:sz w:val="19"/>
        </w:rPr>
        <w:t> </w:t>
      </w:r>
      <w:r>
        <w:rPr>
          <w:sz w:val="19"/>
        </w:rPr>
        <w:t>in</w:t>
      </w:r>
      <w:r>
        <w:rPr>
          <w:spacing w:val="40"/>
          <w:sz w:val="19"/>
        </w:rPr>
        <w:t> </w:t>
      </w:r>
      <w:r>
        <w:rPr>
          <w:sz w:val="19"/>
        </w:rPr>
        <w:t>The</w:t>
      </w:r>
      <w:r>
        <w:rPr>
          <w:spacing w:val="40"/>
          <w:sz w:val="19"/>
        </w:rPr>
        <w:t> </w:t>
      </w:r>
      <w:r>
        <w:rPr>
          <w:sz w:val="19"/>
        </w:rPr>
        <w:t>Sand Fish.</w:t>
      </w:r>
      <w:r>
        <w:rPr>
          <w:spacing w:val="40"/>
          <w:sz w:val="19"/>
        </w:rPr>
        <w:t> </w:t>
      </w:r>
      <w:hyperlink r:id="rId136">
        <w:r>
          <w:rPr>
            <w:sz w:val="19"/>
          </w:rPr>
          <w:t>https://scite.ai/reports/10.25130/jtuh.28.11.2021.23</w:t>
        </w:r>
      </w:hyperlink>
    </w:p>
    <w:p>
      <w:pPr>
        <w:spacing w:line="261" w:lineRule="auto" w:before="58"/>
        <w:ind w:left="2160" w:right="1440" w:hanging="435"/>
        <w:jc w:val="both"/>
        <w:rPr>
          <w:sz w:val="19"/>
        </w:rPr>
      </w:pPr>
      <w:r>
        <w:rPr>
          <w:sz w:val="19"/>
        </w:rPr>
        <w:t>[3].</w:t>
      </w:r>
      <w:r>
        <w:rPr>
          <w:spacing w:val="80"/>
          <w:sz w:val="19"/>
        </w:rPr>
        <w:t> </w:t>
      </w:r>
      <w:r>
        <w:rPr>
          <w:sz w:val="19"/>
        </w:rPr>
        <w:t>Amiri, Mehdi and Khoshkam, Sara. “Gender Identity</w:t>
      </w:r>
      <w:r>
        <w:rPr>
          <w:spacing w:val="-2"/>
          <w:sz w:val="19"/>
        </w:rPr>
        <w:t> </w:t>
      </w:r>
      <w:r>
        <w:rPr>
          <w:sz w:val="19"/>
        </w:rPr>
        <w:t>and Gender Performativity</w:t>
      </w:r>
      <w:r>
        <w:rPr>
          <w:spacing w:val="-7"/>
          <w:sz w:val="19"/>
        </w:rPr>
        <w:t> </w:t>
      </w:r>
      <w:r>
        <w:rPr>
          <w:sz w:val="19"/>
        </w:rPr>
        <w:t>in Shakespeare’s</w:t>
      </w:r>
      <w:r>
        <w:rPr>
          <w:spacing w:val="-2"/>
          <w:sz w:val="19"/>
        </w:rPr>
        <w:t> </w:t>
      </w:r>
      <w:r>
        <w:rPr>
          <w:sz w:val="19"/>
        </w:rPr>
        <w:t>Selected Plays: Macbeth,</w:t>
      </w:r>
      <w:r>
        <w:rPr>
          <w:spacing w:val="-2"/>
          <w:sz w:val="19"/>
        </w:rPr>
        <w:t> </w:t>
      </w:r>
      <w:r>
        <w:rPr>
          <w:sz w:val="19"/>
        </w:rPr>
        <w:t>Hamlet and Merry Wives of Windsor.” Advances in Language and Literary</w:t>
      </w:r>
      <w:r>
        <w:rPr>
          <w:spacing w:val="12"/>
          <w:sz w:val="19"/>
        </w:rPr>
        <w:t> </w:t>
      </w:r>
      <w:r>
        <w:rPr>
          <w:sz w:val="19"/>
        </w:rPr>
        <w:t>Studies,</w:t>
      </w:r>
      <w:r>
        <w:rPr>
          <w:spacing w:val="18"/>
          <w:sz w:val="19"/>
        </w:rPr>
        <w:t> </w:t>
      </w:r>
      <w:r>
        <w:rPr>
          <w:sz w:val="19"/>
        </w:rPr>
        <w:t>vol.</w:t>
      </w:r>
      <w:r>
        <w:rPr>
          <w:spacing w:val="19"/>
          <w:sz w:val="19"/>
        </w:rPr>
        <w:t> </w:t>
      </w:r>
      <w:r>
        <w:rPr>
          <w:sz w:val="19"/>
        </w:rPr>
        <w:t>8,</w:t>
      </w:r>
      <w:r>
        <w:rPr>
          <w:spacing w:val="18"/>
          <w:sz w:val="19"/>
        </w:rPr>
        <w:t> </w:t>
      </w:r>
      <w:r>
        <w:rPr>
          <w:sz w:val="19"/>
        </w:rPr>
        <w:t>no.</w:t>
      </w:r>
      <w:r>
        <w:rPr>
          <w:spacing w:val="18"/>
          <w:sz w:val="19"/>
        </w:rPr>
        <w:t> </w:t>
      </w:r>
      <w:r>
        <w:rPr>
          <w:sz w:val="19"/>
        </w:rPr>
        <w:t>4,</w:t>
      </w:r>
      <w:r>
        <w:rPr>
          <w:spacing w:val="11"/>
          <w:sz w:val="19"/>
        </w:rPr>
        <w:t> </w:t>
      </w:r>
      <w:r>
        <w:rPr>
          <w:sz w:val="19"/>
        </w:rPr>
        <w:t>Aug.</w:t>
      </w:r>
      <w:r>
        <w:rPr>
          <w:spacing w:val="18"/>
          <w:sz w:val="19"/>
        </w:rPr>
        <w:t> </w:t>
      </w:r>
      <w:r>
        <w:rPr>
          <w:sz w:val="19"/>
        </w:rPr>
        <w:t>2017,</w:t>
      </w:r>
      <w:r>
        <w:rPr>
          <w:spacing w:val="18"/>
          <w:sz w:val="19"/>
        </w:rPr>
        <w:t> </w:t>
      </w:r>
      <w:r>
        <w:rPr>
          <w:sz w:val="19"/>
        </w:rPr>
        <w:t>pp.</w:t>
      </w:r>
      <w:r>
        <w:rPr>
          <w:spacing w:val="18"/>
          <w:sz w:val="19"/>
        </w:rPr>
        <w:t> </w:t>
      </w:r>
      <w:r>
        <w:rPr>
          <w:sz w:val="19"/>
        </w:rPr>
        <w:t>1-7.</w:t>
      </w:r>
      <w:r>
        <w:rPr>
          <w:spacing w:val="18"/>
          <w:sz w:val="19"/>
        </w:rPr>
        <w:t> </w:t>
      </w:r>
      <w:r>
        <w:rPr>
          <w:sz w:val="19"/>
        </w:rPr>
        <w:t>ISSN:</w:t>
      </w:r>
      <w:r>
        <w:rPr>
          <w:spacing w:val="18"/>
          <w:sz w:val="19"/>
        </w:rPr>
        <w:t> </w:t>
      </w:r>
      <w:r>
        <w:rPr>
          <w:spacing w:val="-2"/>
          <w:sz w:val="19"/>
        </w:rPr>
        <w:t>2203-</w:t>
      </w:r>
    </w:p>
    <w:p>
      <w:pPr>
        <w:spacing w:line="216" w:lineRule="exact" w:before="0"/>
        <w:ind w:left="2160" w:right="0" w:firstLine="0"/>
        <w:jc w:val="left"/>
        <w:rPr>
          <w:sz w:val="19"/>
        </w:rPr>
      </w:pPr>
      <w:r>
        <w:rPr>
          <w:spacing w:val="-2"/>
          <w:sz w:val="19"/>
        </w:rPr>
        <w:t>4714.</w:t>
      </w:r>
    </w:p>
    <w:p>
      <w:pPr>
        <w:spacing w:line="261" w:lineRule="auto" w:before="80"/>
        <w:ind w:left="2160" w:right="1437" w:hanging="435"/>
        <w:jc w:val="both"/>
        <w:rPr>
          <w:sz w:val="19"/>
        </w:rPr>
      </w:pPr>
      <w:r>
        <w:rPr>
          <w:sz w:val="19"/>
        </w:rPr>
        <w:t>[4].</w:t>
      </w:r>
      <w:r>
        <w:rPr>
          <w:spacing w:val="40"/>
          <w:sz w:val="19"/>
        </w:rPr>
        <w:t> </w:t>
      </w:r>
      <w:r>
        <w:rPr>
          <w:sz w:val="19"/>
        </w:rPr>
        <w:t>Barry, Peter.Beginning Theory: An Introduction to Literary and Cultural</w:t>
      </w:r>
      <w:r>
        <w:rPr>
          <w:spacing w:val="40"/>
          <w:sz w:val="19"/>
        </w:rPr>
        <w:t> </w:t>
      </w:r>
      <w:r>
        <w:rPr>
          <w:sz w:val="19"/>
        </w:rPr>
        <w:t>Theory.</w:t>
      </w:r>
      <w:r>
        <w:rPr>
          <w:spacing w:val="40"/>
          <w:sz w:val="19"/>
        </w:rPr>
        <w:t> </w:t>
      </w:r>
      <w:r>
        <w:rPr>
          <w:sz w:val="19"/>
        </w:rPr>
        <w:t>Manchester,</w:t>
      </w:r>
      <w:r>
        <w:rPr>
          <w:spacing w:val="40"/>
          <w:sz w:val="19"/>
        </w:rPr>
        <w:t> </w:t>
      </w:r>
      <w:r>
        <w:rPr>
          <w:sz w:val="19"/>
        </w:rPr>
        <w:t>Manchester University Press, </w:t>
      </w:r>
      <w:r>
        <w:rPr>
          <w:spacing w:val="-2"/>
          <w:sz w:val="19"/>
        </w:rPr>
        <w:t>2017.</w:t>
      </w:r>
    </w:p>
    <w:p>
      <w:pPr>
        <w:spacing w:line="261" w:lineRule="auto" w:before="56"/>
        <w:ind w:left="2160" w:right="1439" w:hanging="435"/>
        <w:jc w:val="both"/>
        <w:rPr>
          <w:sz w:val="19"/>
        </w:rPr>
      </w:pPr>
      <w:r>
        <w:rPr>
          <w:sz w:val="19"/>
        </w:rPr>
        <w:t>[5].</w:t>
      </w:r>
      <w:r>
        <w:rPr>
          <w:spacing w:val="40"/>
          <w:sz w:val="19"/>
        </w:rPr>
        <w:t> </w:t>
      </w:r>
      <w:r>
        <w:rPr>
          <w:sz w:val="19"/>
        </w:rPr>
        <w:t>Bennett, Andrew and Royle, Nicholas.An Introduction to Literature, Criticism and Theory. Routledge, Abingdon, Oxon, </w:t>
      </w:r>
      <w:r>
        <w:rPr>
          <w:spacing w:val="-2"/>
          <w:sz w:val="19"/>
        </w:rPr>
        <w:t>2016.</w:t>
      </w:r>
    </w:p>
    <w:p>
      <w:pPr>
        <w:spacing w:line="261" w:lineRule="auto" w:before="58"/>
        <w:ind w:left="2160" w:right="1441" w:hanging="435"/>
        <w:jc w:val="both"/>
        <w:rPr>
          <w:sz w:val="19"/>
        </w:rPr>
      </w:pPr>
      <w:r>
        <w:rPr>
          <w:sz w:val="19"/>
        </w:rPr>
        <w:t>[6].</w:t>
      </w:r>
      <w:r>
        <w:rPr>
          <w:spacing w:val="40"/>
          <w:sz w:val="19"/>
        </w:rPr>
        <w:t> </w:t>
      </w:r>
      <w:r>
        <w:rPr>
          <w:sz w:val="19"/>
        </w:rPr>
        <w:t>Bloom, Harold. Shakespeare: The Invention of the Human. New </w:t>
      </w:r>
      <w:r>
        <w:rPr>
          <w:spacing w:val="-2"/>
          <w:sz w:val="19"/>
        </w:rPr>
        <w:t>York, Riverhead, 1998. Camden, Carroll.”On Ophelia’s Madness.” </w:t>
      </w:r>
      <w:r>
        <w:rPr>
          <w:sz w:val="19"/>
        </w:rPr>
        <w:t>Shakespeare</w:t>
      </w:r>
      <w:r>
        <w:rPr>
          <w:spacing w:val="-5"/>
          <w:sz w:val="19"/>
        </w:rPr>
        <w:t> </w:t>
      </w:r>
      <w:r>
        <w:rPr>
          <w:sz w:val="19"/>
        </w:rPr>
        <w:t>Quarterly,</w:t>
      </w:r>
      <w:r>
        <w:rPr>
          <w:spacing w:val="-6"/>
          <w:sz w:val="19"/>
        </w:rPr>
        <w:t> </w:t>
      </w:r>
      <w:r>
        <w:rPr>
          <w:sz w:val="19"/>
        </w:rPr>
        <w:t>vol.</w:t>
      </w:r>
      <w:r>
        <w:rPr>
          <w:spacing w:val="-6"/>
          <w:sz w:val="19"/>
        </w:rPr>
        <w:t> </w:t>
      </w:r>
      <w:r>
        <w:rPr>
          <w:sz w:val="19"/>
        </w:rPr>
        <w:t>15,</w:t>
      </w:r>
      <w:r>
        <w:rPr>
          <w:spacing w:val="-5"/>
          <w:sz w:val="19"/>
        </w:rPr>
        <w:t> </w:t>
      </w:r>
      <w:r>
        <w:rPr>
          <w:sz w:val="19"/>
        </w:rPr>
        <w:t>no.</w:t>
      </w:r>
      <w:r>
        <w:rPr>
          <w:spacing w:val="-5"/>
          <w:sz w:val="19"/>
        </w:rPr>
        <w:t> </w:t>
      </w:r>
      <w:r>
        <w:rPr>
          <w:sz w:val="19"/>
        </w:rPr>
        <w:t>2,</w:t>
      </w:r>
      <w:r>
        <w:rPr>
          <w:spacing w:val="-6"/>
          <w:sz w:val="19"/>
        </w:rPr>
        <w:t> </w:t>
      </w:r>
      <w:r>
        <w:rPr>
          <w:sz w:val="19"/>
        </w:rPr>
        <w:t>1964,</w:t>
      </w:r>
      <w:r>
        <w:rPr>
          <w:spacing w:val="-6"/>
          <w:sz w:val="19"/>
        </w:rPr>
        <w:t> </w:t>
      </w:r>
      <w:r>
        <w:rPr>
          <w:sz w:val="19"/>
        </w:rPr>
        <w:t>pp.</w:t>
      </w:r>
      <w:r>
        <w:rPr>
          <w:spacing w:val="-5"/>
          <w:sz w:val="19"/>
        </w:rPr>
        <w:t> </w:t>
      </w:r>
      <w:r>
        <w:rPr>
          <w:sz w:val="19"/>
        </w:rPr>
        <w:t>247–255.</w:t>
      </w:r>
      <w:r>
        <w:rPr>
          <w:spacing w:val="-6"/>
          <w:sz w:val="19"/>
        </w:rPr>
        <w:t> </w:t>
      </w:r>
      <w:r>
        <w:rPr>
          <w:sz w:val="19"/>
        </w:rPr>
        <w:t>JSTOR, </w:t>
      </w:r>
      <w:hyperlink r:id="rId137">
        <w:r>
          <w:rPr>
            <w:spacing w:val="-2"/>
            <w:sz w:val="19"/>
          </w:rPr>
          <w:t>www.jstor.org/stable/2867895</w:t>
        </w:r>
      </w:hyperlink>
      <w:r>
        <w:rPr>
          <w:spacing w:val="-2"/>
          <w:sz w:val="19"/>
        </w:rPr>
        <w:t>.</w:t>
      </w:r>
    </w:p>
    <w:p>
      <w:pPr>
        <w:spacing w:before="58"/>
        <w:ind w:left="1725" w:right="0" w:firstLine="0"/>
        <w:jc w:val="both"/>
        <w:rPr>
          <w:sz w:val="19"/>
        </w:rPr>
      </w:pPr>
      <w:r>
        <w:rPr>
          <w:sz w:val="19"/>
        </w:rPr>
        <w:t>[7].</w:t>
      </w:r>
      <w:r>
        <w:rPr>
          <w:spacing w:val="49"/>
          <w:sz w:val="19"/>
        </w:rPr>
        <w:t>  </w:t>
      </w:r>
      <w:r>
        <w:rPr>
          <w:sz w:val="19"/>
        </w:rPr>
        <w:t>Findlay.</w:t>
      </w:r>
      <w:r>
        <w:rPr>
          <w:spacing w:val="72"/>
          <w:sz w:val="19"/>
        </w:rPr>
        <w:t> </w:t>
      </w:r>
      <w:r>
        <w:rPr>
          <w:spacing w:val="10"/>
          <w:sz w:val="19"/>
        </w:rPr>
        <w:t>Alison.</w:t>
      </w:r>
      <w:r>
        <w:rPr>
          <w:spacing w:val="58"/>
          <w:w w:val="150"/>
          <w:sz w:val="19"/>
        </w:rPr>
        <w:t> </w:t>
      </w:r>
      <w:r>
        <w:rPr>
          <w:sz w:val="19"/>
        </w:rPr>
        <w:t>Women</w:t>
      </w:r>
      <w:r>
        <w:rPr>
          <w:spacing w:val="58"/>
          <w:w w:val="150"/>
          <w:sz w:val="19"/>
        </w:rPr>
        <w:t> </w:t>
      </w:r>
      <w:r>
        <w:rPr>
          <w:sz w:val="19"/>
        </w:rPr>
        <w:t>in</w:t>
      </w:r>
      <w:r>
        <w:rPr>
          <w:spacing w:val="58"/>
          <w:w w:val="150"/>
          <w:sz w:val="19"/>
        </w:rPr>
        <w:t> </w:t>
      </w:r>
      <w:r>
        <w:rPr>
          <w:spacing w:val="10"/>
          <w:sz w:val="19"/>
        </w:rPr>
        <w:t>Shakespeare:</w:t>
      </w:r>
      <w:r>
        <w:rPr>
          <w:spacing w:val="73"/>
          <w:sz w:val="19"/>
        </w:rPr>
        <w:t> </w:t>
      </w:r>
      <w:r>
        <w:rPr>
          <w:sz w:val="19"/>
        </w:rPr>
        <w:t>A</w:t>
      </w:r>
      <w:r>
        <w:rPr>
          <w:spacing w:val="69"/>
          <w:sz w:val="19"/>
        </w:rPr>
        <w:t> </w:t>
      </w:r>
      <w:r>
        <w:rPr>
          <w:spacing w:val="-2"/>
          <w:sz w:val="19"/>
        </w:rPr>
        <w:t>Dictionary.</w:t>
      </w:r>
    </w:p>
    <w:p>
      <w:pPr>
        <w:spacing w:before="19"/>
        <w:ind w:left="2160" w:right="0" w:firstLine="0"/>
        <w:jc w:val="both"/>
        <w:rPr>
          <w:sz w:val="19"/>
        </w:rPr>
      </w:pPr>
      <w:r>
        <w:rPr>
          <w:sz w:val="19"/>
        </w:rPr>
        <w:t>Continuum,</w:t>
      </w:r>
      <w:r>
        <w:rPr>
          <w:spacing w:val="35"/>
          <w:sz w:val="19"/>
        </w:rPr>
        <w:t> </w:t>
      </w:r>
      <w:r>
        <w:rPr>
          <w:sz w:val="19"/>
        </w:rPr>
        <w:t>London,</w:t>
      </w:r>
      <w:r>
        <w:rPr>
          <w:spacing w:val="35"/>
          <w:sz w:val="19"/>
        </w:rPr>
        <w:t> </w:t>
      </w:r>
      <w:r>
        <w:rPr>
          <w:spacing w:val="-2"/>
          <w:sz w:val="19"/>
        </w:rPr>
        <w:t>2010.</w:t>
      </w:r>
    </w:p>
    <w:p>
      <w:pPr>
        <w:spacing w:line="261" w:lineRule="auto" w:before="77"/>
        <w:ind w:left="2160" w:right="1438" w:hanging="435"/>
        <w:jc w:val="both"/>
        <w:rPr>
          <w:sz w:val="19"/>
        </w:rPr>
      </w:pPr>
      <w:r>
        <w:rPr>
          <w:sz w:val="19"/>
        </w:rPr>
        <w:t>[8].</w:t>
      </w:r>
      <w:r>
        <w:rPr>
          <w:spacing w:val="40"/>
          <w:sz w:val="19"/>
        </w:rPr>
        <w:t> </w:t>
      </w:r>
      <w:r>
        <w:rPr>
          <w:sz w:val="19"/>
        </w:rPr>
        <w:t>Fischer, Sandra K. “Hearing Ophelia: Gender and Tragic</w:t>
      </w:r>
      <w:r>
        <w:rPr>
          <w:spacing w:val="40"/>
          <w:sz w:val="19"/>
        </w:rPr>
        <w:t> </w:t>
      </w:r>
      <w:r>
        <w:rPr>
          <w:sz w:val="19"/>
        </w:rPr>
        <w:t>Discourse in ‘Hamlet.’” Renaissance and Reformation / Renaissance EtRéforme, vol. 14, no. 1, 1990, pp. 1–10. JSTOR, </w:t>
      </w:r>
      <w:hyperlink r:id="rId138">
        <w:r>
          <w:rPr>
            <w:spacing w:val="-2"/>
            <w:sz w:val="19"/>
          </w:rPr>
          <w:t>www.jstor.org/stable/43444750</w:t>
        </w:r>
      </w:hyperlink>
      <w:r>
        <w:rPr>
          <w:spacing w:val="-2"/>
          <w:sz w:val="19"/>
        </w:rPr>
        <w:t>.</w:t>
      </w:r>
    </w:p>
    <w:p>
      <w:pPr>
        <w:spacing w:line="261" w:lineRule="auto" w:before="57"/>
        <w:ind w:left="2160" w:right="1440" w:hanging="435"/>
        <w:jc w:val="both"/>
        <w:rPr>
          <w:sz w:val="19"/>
        </w:rPr>
      </w:pPr>
      <w:r>
        <w:rPr>
          <w:sz w:val="19"/>
        </w:rPr>
        <w:t>[9].</w:t>
      </w:r>
      <w:r>
        <w:rPr>
          <w:spacing w:val="40"/>
          <w:sz w:val="19"/>
        </w:rPr>
        <w:t> </w:t>
      </w:r>
      <w:r>
        <w:rPr>
          <w:sz w:val="19"/>
        </w:rPr>
        <w:t>Hull, Suzanne W. “Female Roles.” Women According to Men:</w:t>
      </w:r>
      <w:r>
        <w:rPr>
          <w:spacing w:val="40"/>
          <w:sz w:val="19"/>
        </w:rPr>
        <w:t> </w:t>
      </w:r>
      <w:r>
        <w:rPr>
          <w:sz w:val="19"/>
        </w:rPr>
        <w:t>The</w:t>
      </w:r>
      <w:r>
        <w:rPr>
          <w:spacing w:val="16"/>
          <w:sz w:val="19"/>
        </w:rPr>
        <w:t> </w:t>
      </w:r>
      <w:r>
        <w:rPr>
          <w:sz w:val="19"/>
        </w:rPr>
        <w:t>World</w:t>
      </w:r>
      <w:r>
        <w:rPr>
          <w:spacing w:val="18"/>
          <w:sz w:val="19"/>
        </w:rPr>
        <w:t> </w:t>
      </w:r>
      <w:r>
        <w:rPr>
          <w:sz w:val="19"/>
        </w:rPr>
        <w:t>of</w:t>
      </w:r>
      <w:r>
        <w:rPr>
          <w:spacing w:val="19"/>
          <w:sz w:val="19"/>
        </w:rPr>
        <w:t> </w:t>
      </w:r>
      <w:r>
        <w:rPr>
          <w:sz w:val="19"/>
        </w:rPr>
        <w:t>Tudor-Stuart</w:t>
      </w:r>
      <w:r>
        <w:rPr>
          <w:spacing w:val="17"/>
          <w:sz w:val="19"/>
        </w:rPr>
        <w:t> </w:t>
      </w:r>
      <w:r>
        <w:rPr>
          <w:sz w:val="19"/>
        </w:rPr>
        <w:t>Women.</w:t>
      </w:r>
      <w:r>
        <w:rPr>
          <w:spacing w:val="21"/>
          <w:sz w:val="19"/>
        </w:rPr>
        <w:t> </w:t>
      </w:r>
      <w:r>
        <w:rPr>
          <w:sz w:val="19"/>
        </w:rPr>
        <w:t>N.p.:</w:t>
      </w:r>
      <w:r>
        <w:rPr>
          <w:spacing w:val="8"/>
          <w:sz w:val="19"/>
        </w:rPr>
        <w:t> </w:t>
      </w:r>
      <w:r>
        <w:rPr>
          <w:sz w:val="19"/>
        </w:rPr>
        <w:t>AltaMira,</w:t>
      </w:r>
      <w:r>
        <w:rPr>
          <w:spacing w:val="20"/>
          <w:sz w:val="19"/>
        </w:rPr>
        <w:t> </w:t>
      </w:r>
      <w:r>
        <w:rPr>
          <w:sz w:val="19"/>
        </w:rPr>
        <w:t>1996.</w:t>
      </w:r>
      <w:r>
        <w:rPr>
          <w:spacing w:val="19"/>
          <w:sz w:val="19"/>
        </w:rPr>
        <w:t> </w:t>
      </w:r>
      <w:r>
        <w:rPr>
          <w:spacing w:val="-4"/>
          <w:sz w:val="19"/>
        </w:rPr>
        <w:t>207-</w:t>
      </w:r>
    </w:p>
    <w:p>
      <w:pPr>
        <w:spacing w:before="2"/>
        <w:ind w:left="2160" w:right="0" w:firstLine="0"/>
        <w:jc w:val="both"/>
        <w:rPr>
          <w:sz w:val="19"/>
        </w:rPr>
      </w:pPr>
      <w:r>
        <w:rPr>
          <w:sz w:val="19"/>
        </w:rPr>
        <w:t>54.</w:t>
      </w:r>
      <w:r>
        <w:rPr>
          <w:spacing w:val="14"/>
          <w:sz w:val="19"/>
        </w:rPr>
        <w:t> </w:t>
      </w:r>
      <w:r>
        <w:rPr>
          <w:spacing w:val="-2"/>
          <w:sz w:val="19"/>
        </w:rPr>
        <w:t>Print.</w:t>
      </w:r>
    </w:p>
    <w:p>
      <w:pPr>
        <w:spacing w:line="261" w:lineRule="auto" w:before="76"/>
        <w:ind w:left="2160" w:right="1440" w:hanging="526"/>
        <w:jc w:val="both"/>
        <w:rPr>
          <w:sz w:val="19"/>
        </w:rPr>
      </w:pPr>
      <w:r>
        <w:rPr>
          <w:sz w:val="19"/>
        </w:rPr>
        <w:t>[10].</w:t>
      </w:r>
      <w:r>
        <w:rPr>
          <w:spacing w:val="40"/>
          <w:sz w:val="19"/>
        </w:rPr>
        <w:t> </w:t>
      </w:r>
      <w:r>
        <w:rPr>
          <w:sz w:val="19"/>
        </w:rPr>
        <w:t>Kemp, Theresa D. Women in the Age of Shakespeare. Santa Barbara,</w:t>
      </w:r>
      <w:r>
        <w:rPr>
          <w:spacing w:val="40"/>
          <w:sz w:val="19"/>
        </w:rPr>
        <w:t> </w:t>
      </w:r>
      <w:r>
        <w:rPr>
          <w:sz w:val="19"/>
        </w:rPr>
        <w:t>CA:</w:t>
      </w:r>
      <w:r>
        <w:rPr>
          <w:spacing w:val="40"/>
          <w:sz w:val="19"/>
        </w:rPr>
        <w:t> </w:t>
      </w:r>
      <w:r>
        <w:rPr>
          <w:sz w:val="19"/>
        </w:rPr>
        <w:t>Greenwood,</w:t>
      </w:r>
      <w:r>
        <w:rPr>
          <w:spacing w:val="40"/>
          <w:sz w:val="19"/>
        </w:rPr>
        <w:t> </w:t>
      </w:r>
      <w:r>
        <w:rPr>
          <w:sz w:val="19"/>
        </w:rPr>
        <w:t>2010.</w:t>
      </w:r>
    </w:p>
    <w:p>
      <w:pPr>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096064">
                <wp:simplePos x="0" y="0"/>
                <wp:positionH relativeFrom="page">
                  <wp:posOffset>2057400</wp:posOffset>
                </wp:positionH>
                <wp:positionV relativeFrom="page">
                  <wp:posOffset>1788723</wp:posOffset>
                </wp:positionV>
                <wp:extent cx="3656965" cy="140335"/>
                <wp:effectExtent l="0" t="0" r="0" b="0"/>
                <wp:wrapNone/>
                <wp:docPr id="902" name="Textbox 902"/>
                <wp:cNvGraphicFramePr>
                  <a:graphicFrameLocks/>
                </wp:cNvGraphicFramePr>
                <a:graphic>
                  <a:graphicData uri="http://schemas.microsoft.com/office/word/2010/wordprocessingShape">
                    <wps:wsp>
                      <wps:cNvPr id="902" name="Textbox 902"/>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478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220416" type="#_x0000_t202" id="docshape893"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478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75"/>
        <w:ind w:left="0"/>
      </w:pPr>
    </w:p>
    <w:p>
      <w:pPr>
        <w:spacing w:line="240" w:lineRule="auto"/>
        <w:ind w:left="1092" w:right="0" w:firstLine="0"/>
        <w:rPr>
          <w:sz w:val="20"/>
        </w:rPr>
      </w:pPr>
      <w:r>
        <w:rPr>
          <w:sz w:val="20"/>
        </w:rPr>
        <mc:AlternateContent>
          <mc:Choice Requires="wps">
            <w:drawing>
              <wp:inline distT="0" distB="0" distL="0" distR="0">
                <wp:extent cx="4006850" cy="436245"/>
                <wp:effectExtent l="0" t="0" r="0" b="0"/>
                <wp:docPr id="903" name="Group 903"/>
                <wp:cNvGraphicFramePr>
                  <a:graphicFrameLocks/>
                </wp:cNvGraphicFramePr>
                <a:graphic>
                  <a:graphicData uri="http://schemas.microsoft.com/office/word/2010/wordprocessingGroup">
                    <wpg:wgp>
                      <wpg:cNvPr id="903" name="Group 903"/>
                      <wpg:cNvGrpSpPr/>
                      <wpg:grpSpPr>
                        <a:xfrm>
                          <a:off x="0" y="0"/>
                          <a:ext cx="4006850" cy="436245"/>
                          <a:chExt cx="4006850" cy="436245"/>
                        </a:xfrm>
                      </wpg:grpSpPr>
                      <wps:wsp>
                        <wps:cNvPr id="904" name="Graphic 904"/>
                        <wps:cNvSpPr/>
                        <wps:spPr>
                          <a:xfrm>
                            <a:off x="0" y="0"/>
                            <a:ext cx="4006850" cy="436245"/>
                          </a:xfrm>
                          <a:custGeom>
                            <a:avLst/>
                            <a:gdLst/>
                            <a:ahLst/>
                            <a:cxnLst/>
                            <a:rect l="l" t="t" r="r" b="b"/>
                            <a:pathLst>
                              <a:path w="4006850" h="436245">
                                <a:moveTo>
                                  <a:pt x="4006595" y="435864"/>
                                </a:moveTo>
                                <a:lnTo>
                                  <a:pt x="0" y="435864"/>
                                </a:lnTo>
                                <a:lnTo>
                                  <a:pt x="0" y="0"/>
                                </a:lnTo>
                                <a:lnTo>
                                  <a:pt x="4006595" y="0"/>
                                </a:lnTo>
                                <a:lnTo>
                                  <a:pt x="4006595" y="435864"/>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15.5pt;height:34.35pt;mso-position-horizontal-relative:char;mso-position-vertical-relative:line" id="docshapegroup894" coordorigin="0,0" coordsize="6310,687">
                <v:rect style="position:absolute;left:0;top:0;width:6310;height:687" id="docshape895" filled="true" fillcolor="#ffffff" stroked="false">
                  <v:fill type="solid"/>
                </v:rect>
              </v:group>
            </w:pict>
          </mc:Fallback>
        </mc:AlternateContent>
      </w:r>
      <w:r>
        <w:rPr>
          <w:sz w:val="20"/>
        </w:rPr>
      </w:r>
    </w:p>
    <w:p>
      <w:pPr>
        <w:pStyle w:val="BodyText"/>
        <w:ind w:left="0"/>
      </w:pPr>
    </w:p>
    <w:p>
      <w:pPr>
        <w:pStyle w:val="BodyText"/>
        <w:spacing w:before="200"/>
        <w:ind w:left="0"/>
      </w:pPr>
      <w:r>
        <w:rPr/>
        <mc:AlternateContent>
          <mc:Choice Requires="wps">
            <w:drawing>
              <wp:anchor distT="0" distB="0" distL="0" distR="0" allowOverlap="1" layoutInCell="1" locked="0" behindDoc="1" simplePos="0" relativeHeight="487931904">
                <wp:simplePos x="0" y="0"/>
                <wp:positionH relativeFrom="page">
                  <wp:posOffset>3512820</wp:posOffset>
                </wp:positionH>
                <wp:positionV relativeFrom="paragraph">
                  <wp:posOffset>288429</wp:posOffset>
                </wp:positionV>
                <wp:extent cx="728980" cy="655320"/>
                <wp:effectExtent l="0" t="0" r="0" b="0"/>
                <wp:wrapTopAndBottom/>
                <wp:docPr id="905" name="Group 905"/>
                <wp:cNvGraphicFramePr>
                  <a:graphicFrameLocks/>
                </wp:cNvGraphicFramePr>
                <a:graphic>
                  <a:graphicData uri="http://schemas.microsoft.com/office/word/2010/wordprocessingGroup">
                    <wpg:wgp>
                      <wpg:cNvPr id="905" name="Group 905"/>
                      <wpg:cNvGrpSpPr/>
                      <wpg:grpSpPr>
                        <a:xfrm>
                          <a:off x="0" y="0"/>
                          <a:ext cx="728980" cy="655320"/>
                          <a:chExt cx="728980" cy="655320"/>
                        </a:xfrm>
                      </wpg:grpSpPr>
                      <pic:pic>
                        <pic:nvPicPr>
                          <pic:cNvPr id="906" name="Image 906"/>
                          <pic:cNvPicPr/>
                        </pic:nvPicPr>
                        <pic:blipFill>
                          <a:blip r:embed="rId139" cstate="print"/>
                          <a:stretch>
                            <a:fillRect/>
                          </a:stretch>
                        </pic:blipFill>
                        <pic:spPr>
                          <a:xfrm>
                            <a:off x="0" y="0"/>
                            <a:ext cx="728471" cy="655320"/>
                          </a:xfrm>
                          <a:prstGeom prst="rect">
                            <a:avLst/>
                          </a:prstGeom>
                        </pic:spPr>
                      </pic:pic>
                      <wps:wsp>
                        <wps:cNvPr id="907" name="Textbox 907"/>
                        <wps:cNvSpPr txBox="1"/>
                        <wps:spPr>
                          <a:xfrm>
                            <a:off x="0" y="0"/>
                            <a:ext cx="728980" cy="655320"/>
                          </a:xfrm>
                          <a:prstGeom prst="rect">
                            <a:avLst/>
                          </a:prstGeom>
                        </wps:spPr>
                        <wps:txbx>
                          <w:txbxContent>
                            <w:p>
                              <w:pPr>
                                <w:spacing w:before="352"/>
                                <w:ind w:left="417" w:right="0" w:firstLine="0"/>
                                <w:jc w:val="left"/>
                                <w:rPr>
                                  <w:rFonts w:ascii="Tahoma"/>
                                  <w:b/>
                                  <w:sz w:val="36"/>
                                </w:rPr>
                              </w:pPr>
                              <w:r>
                                <w:rPr>
                                  <w:rFonts w:ascii="Tahoma"/>
                                  <w:b/>
                                  <w:spacing w:val="-5"/>
                                  <w:w w:val="95"/>
                                  <w:sz w:val="36"/>
                                </w:rPr>
                                <w:t>47</w:t>
                              </w:r>
                            </w:p>
                          </w:txbxContent>
                        </wps:txbx>
                        <wps:bodyPr wrap="square" lIns="0" tIns="0" rIns="0" bIns="0" rtlCol="0">
                          <a:noAutofit/>
                        </wps:bodyPr>
                      </wps:wsp>
                    </wpg:wgp>
                  </a:graphicData>
                </a:graphic>
              </wp:anchor>
            </w:drawing>
          </mc:Choice>
          <mc:Fallback>
            <w:pict>
              <v:group style="position:absolute;margin-left:276.600006pt;margin-top:22.710974pt;width:57.4pt;height:51.6pt;mso-position-horizontal-relative:page;mso-position-vertical-relative:paragraph;z-index:-15384576;mso-wrap-distance-left:0;mso-wrap-distance-right:0" id="docshapegroup896" coordorigin="5532,454" coordsize="1148,1032">
                <v:shape style="position:absolute;left:5532;top:454;width:1148;height:1032" type="#_x0000_t75" id="docshape897" stroked="false">
                  <v:imagedata r:id="rId139" o:title=""/>
                </v:shape>
                <v:shape style="position:absolute;left:5532;top:454;width:1148;height:1032" type="#_x0000_t202" id="docshape898" filled="false" stroked="false">
                  <v:textbox inset="0,0,0,0">
                    <w:txbxContent>
                      <w:p>
                        <w:pPr>
                          <w:spacing w:before="352"/>
                          <w:ind w:left="417" w:right="0" w:firstLine="0"/>
                          <w:jc w:val="left"/>
                          <w:rPr>
                            <w:rFonts w:ascii="Tahoma"/>
                            <w:b/>
                            <w:sz w:val="36"/>
                          </w:rPr>
                        </w:pPr>
                        <w:r>
                          <w:rPr>
                            <w:rFonts w:ascii="Tahoma"/>
                            <w:b/>
                            <w:spacing w:val="-5"/>
                            <w:w w:val="95"/>
                            <w:sz w:val="36"/>
                          </w:rPr>
                          <w:t>47</w:t>
                        </w:r>
                      </w:p>
                    </w:txbxContent>
                  </v:textbox>
                  <w10:wrap type="none"/>
                </v:shape>
                <w10:wrap type="topAndBottom"/>
              </v:group>
            </w:pict>
          </mc:Fallback>
        </mc:AlternateContent>
      </w:r>
    </w:p>
    <w:p>
      <w:pPr>
        <w:pStyle w:val="Heading1"/>
        <w:spacing w:line="211" w:lineRule="auto" w:before="6"/>
        <w:ind w:left="1362" w:right="1320"/>
      </w:pPr>
      <w:r>
        <w:rPr>
          <w:spacing w:val="-4"/>
        </w:rPr>
        <w:t>Re-reading</w:t>
      </w:r>
      <w:r>
        <w:rPr>
          <w:spacing w:val="-16"/>
        </w:rPr>
        <w:t> </w:t>
      </w:r>
      <w:r>
        <w:rPr>
          <w:spacing w:val="-4"/>
        </w:rPr>
        <w:t>Shakespearean</w:t>
      </w:r>
      <w:r>
        <w:rPr>
          <w:spacing w:val="-16"/>
        </w:rPr>
        <w:t> </w:t>
      </w:r>
      <w:r>
        <w:rPr>
          <w:spacing w:val="-4"/>
        </w:rPr>
        <w:t>Tragedy through</w:t>
      </w:r>
      <w:r>
        <w:rPr>
          <w:spacing w:val="-20"/>
        </w:rPr>
        <w:t> </w:t>
      </w:r>
      <w:r>
        <w:rPr>
          <w:spacing w:val="-4"/>
        </w:rPr>
        <w:t>Buddhist</w:t>
      </w:r>
      <w:r>
        <w:rPr>
          <w:spacing w:val="-19"/>
        </w:rPr>
        <w:t> </w:t>
      </w:r>
      <w:r>
        <w:rPr>
          <w:spacing w:val="-4"/>
        </w:rPr>
        <w:t>Philosophy: </w:t>
      </w:r>
      <w:r>
        <w:rPr/>
        <w:t>Suffering, Impermanence,</w:t>
      </w:r>
      <w:r>
        <w:rPr>
          <w:spacing w:val="-1"/>
        </w:rPr>
        <w:t> </w:t>
      </w:r>
      <w:r>
        <w:rPr/>
        <w:t>and</w:t>
      </w:r>
      <w:r>
        <w:rPr>
          <w:spacing w:val="-1"/>
        </w:rPr>
        <w:t> </w:t>
      </w:r>
      <w:r>
        <w:rPr/>
        <w:t>the</w:t>
      </w:r>
    </w:p>
    <w:p>
      <w:pPr>
        <w:tabs>
          <w:tab w:pos="1756" w:val="left" w:leader="none"/>
          <w:tab w:pos="5807" w:val="left" w:leader="none"/>
        </w:tabs>
        <w:spacing w:line="348" w:lineRule="exact" w:before="0"/>
        <w:ind w:left="48" w:right="0" w:firstLine="0"/>
        <w:jc w:val="center"/>
        <w:rPr>
          <w:rFonts w:ascii="Tahoma"/>
          <w:b/>
          <w:sz w:val="32"/>
        </w:rPr>
      </w:pPr>
      <w:r>
        <w:rPr>
          <w:sz w:val="32"/>
          <w:u w:val="single"/>
        </w:rPr>
        <w:tab/>
      </w:r>
      <w:r>
        <w:rPr>
          <w:rFonts w:ascii="Tahoma"/>
          <w:b/>
          <w:spacing w:val="-8"/>
          <w:sz w:val="32"/>
          <w:u w:val="single"/>
        </w:rPr>
        <w:t>Ethics</w:t>
      </w:r>
      <w:r>
        <w:rPr>
          <w:rFonts w:ascii="Tahoma"/>
          <w:b/>
          <w:spacing w:val="-16"/>
          <w:sz w:val="32"/>
          <w:u w:val="single"/>
        </w:rPr>
        <w:t> </w:t>
      </w:r>
      <w:r>
        <w:rPr>
          <w:rFonts w:ascii="Tahoma"/>
          <w:b/>
          <w:spacing w:val="-8"/>
          <w:sz w:val="32"/>
          <w:u w:val="single"/>
        </w:rPr>
        <w:t>of</w:t>
      </w:r>
      <w:r>
        <w:rPr>
          <w:rFonts w:ascii="Tahoma"/>
          <w:b/>
          <w:spacing w:val="-13"/>
          <w:sz w:val="32"/>
          <w:u w:val="single"/>
        </w:rPr>
        <w:t> </w:t>
      </w:r>
      <w:r>
        <w:rPr>
          <w:rFonts w:ascii="Tahoma"/>
          <w:b/>
          <w:spacing w:val="-8"/>
          <w:sz w:val="32"/>
          <w:u w:val="single"/>
        </w:rPr>
        <w:t>Desire</w:t>
      </w:r>
      <w:r>
        <w:rPr>
          <w:rFonts w:asci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932416">
                <wp:simplePos x="0" y="0"/>
                <wp:positionH relativeFrom="page">
                  <wp:posOffset>2072640</wp:posOffset>
                </wp:positionH>
                <wp:positionV relativeFrom="paragraph">
                  <wp:posOffset>60305</wp:posOffset>
                </wp:positionV>
                <wp:extent cx="3657600" cy="7620"/>
                <wp:effectExtent l="0" t="0" r="0" b="0"/>
                <wp:wrapTopAndBottom/>
                <wp:docPr id="908" name="Graphic 908"/>
                <wp:cNvGraphicFramePr>
                  <a:graphicFrameLocks/>
                </wp:cNvGraphicFramePr>
                <a:graphic>
                  <a:graphicData uri="http://schemas.microsoft.com/office/word/2010/wordprocessingShape">
                    <wps:wsp>
                      <wps:cNvPr id="908" name="Graphic 908"/>
                      <wps:cNvSpPr/>
                      <wps:spPr>
                        <a:xfrm>
                          <a:off x="0" y="0"/>
                          <a:ext cx="3657600" cy="7620"/>
                        </a:xfrm>
                        <a:custGeom>
                          <a:avLst/>
                          <a:gdLst/>
                          <a:ahLst/>
                          <a:cxnLst/>
                          <a:rect l="l" t="t" r="r" b="b"/>
                          <a:pathLst>
                            <a:path w="3657600" h="7620">
                              <a:moveTo>
                                <a:pt x="0" y="0"/>
                              </a:moveTo>
                              <a:lnTo>
                                <a:pt x="3657599" y="0"/>
                              </a:lnTo>
                              <a:lnTo>
                                <a:pt x="3657599"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3.200012pt;margin-top:4.748444pt;width:287.999986pt;height:.59999pt;mso-position-horizontal-relative:page;mso-position-vertical-relative:paragraph;z-index:-15384064;mso-wrap-distance-left:0;mso-wrap-distance-right:0" id="docshape899"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15"/>
        <w:jc w:val="right"/>
        <w:rPr>
          <w:rFonts w:ascii="Times New Roman"/>
        </w:rPr>
      </w:pPr>
      <w:r>
        <w:rPr>
          <w:rFonts w:ascii="Times New Roman"/>
        </w:rPr>
        <w:t>Le</w:t>
      </w:r>
      <w:r>
        <w:rPr>
          <w:rFonts w:ascii="Times New Roman"/>
          <w:spacing w:val="37"/>
        </w:rPr>
        <w:t> </w:t>
      </w:r>
      <w:r>
        <w:rPr>
          <w:rFonts w:ascii="Times New Roman"/>
        </w:rPr>
        <w:t>Hong</w:t>
      </w:r>
      <w:r>
        <w:rPr>
          <w:rFonts w:ascii="Times New Roman"/>
          <w:spacing w:val="41"/>
        </w:rPr>
        <w:t> </w:t>
      </w:r>
      <w:r>
        <w:rPr>
          <w:rFonts w:ascii="Times New Roman"/>
          <w:spacing w:val="-4"/>
        </w:rPr>
        <w:t>Linh</w:t>
      </w:r>
    </w:p>
    <w:p>
      <w:pPr>
        <w:spacing w:before="15"/>
        <w:ind w:left="0" w:right="1415" w:firstLine="0"/>
        <w:jc w:val="right"/>
        <w:rPr>
          <w:i/>
          <w:sz w:val="19"/>
        </w:rPr>
      </w:pPr>
      <w:r>
        <w:rPr>
          <w:i/>
          <w:sz w:val="19"/>
        </w:rPr>
        <w:t>Research</w:t>
      </w:r>
      <w:r>
        <w:rPr>
          <w:i/>
          <w:spacing w:val="62"/>
          <w:sz w:val="19"/>
        </w:rPr>
        <w:t> </w:t>
      </w:r>
      <w:r>
        <w:rPr>
          <w:i/>
          <w:sz w:val="19"/>
        </w:rPr>
        <w:t>Scholar,</w:t>
      </w:r>
      <w:r>
        <w:rPr>
          <w:i/>
          <w:spacing w:val="62"/>
          <w:sz w:val="19"/>
        </w:rPr>
        <w:t> </w:t>
      </w:r>
      <w:r>
        <w:rPr>
          <w:i/>
          <w:sz w:val="19"/>
        </w:rPr>
        <w:t>Department</w:t>
      </w:r>
      <w:r>
        <w:rPr>
          <w:i/>
          <w:spacing w:val="65"/>
          <w:sz w:val="19"/>
        </w:rPr>
        <w:t> </w:t>
      </w:r>
      <w:r>
        <w:rPr>
          <w:i/>
          <w:sz w:val="19"/>
        </w:rPr>
        <w:t>of</w:t>
      </w:r>
      <w:r>
        <w:rPr>
          <w:i/>
          <w:spacing w:val="60"/>
          <w:sz w:val="19"/>
        </w:rPr>
        <w:t> </w:t>
      </w:r>
      <w:r>
        <w:rPr>
          <w:i/>
          <w:sz w:val="19"/>
        </w:rPr>
        <w:t>English,</w:t>
      </w:r>
      <w:r>
        <w:rPr>
          <w:i/>
          <w:spacing w:val="62"/>
          <w:sz w:val="19"/>
        </w:rPr>
        <w:t> </w:t>
      </w:r>
      <w:r>
        <w:rPr>
          <w:i/>
          <w:sz w:val="19"/>
        </w:rPr>
        <w:t>Acharya</w:t>
      </w:r>
      <w:r>
        <w:rPr>
          <w:i/>
          <w:spacing w:val="66"/>
          <w:sz w:val="19"/>
        </w:rPr>
        <w:t> </w:t>
      </w:r>
      <w:r>
        <w:rPr>
          <w:i/>
          <w:spacing w:val="-2"/>
          <w:sz w:val="19"/>
        </w:rPr>
        <w:t>Nagarjuna</w:t>
      </w:r>
    </w:p>
    <w:p>
      <w:pPr>
        <w:spacing w:before="10"/>
        <w:ind w:left="0" w:right="1416" w:firstLine="0"/>
        <w:jc w:val="right"/>
        <w:rPr>
          <w:i/>
          <w:sz w:val="19"/>
        </w:rPr>
      </w:pPr>
      <w:r>
        <w:rPr>
          <w:i/>
          <w:sz w:val="19"/>
        </w:rPr>
        <w:t>University,</w:t>
      </w:r>
      <w:r>
        <w:rPr>
          <w:i/>
          <w:spacing w:val="29"/>
          <w:sz w:val="19"/>
        </w:rPr>
        <w:t>  </w:t>
      </w:r>
      <w:r>
        <w:rPr>
          <w:i/>
          <w:sz w:val="19"/>
        </w:rPr>
        <w:t>Guntur-</w:t>
      </w:r>
      <w:r>
        <w:rPr>
          <w:i/>
          <w:spacing w:val="-2"/>
          <w:sz w:val="19"/>
        </w:rPr>
        <w:t>522510</w:t>
      </w:r>
    </w:p>
    <w:p>
      <w:pPr>
        <w:pStyle w:val="BodyText"/>
        <w:spacing w:before="160"/>
        <w:ind w:left="0"/>
        <w:rPr>
          <w:i/>
          <w:sz w:val="19"/>
        </w:rPr>
      </w:pPr>
    </w:p>
    <w:p>
      <w:pPr>
        <w:pStyle w:val="Heading3"/>
        <w:spacing w:before="1"/>
        <w:ind w:left="1464"/>
      </w:pPr>
      <w:r>
        <w:rPr>
          <w:spacing w:val="-2"/>
        </w:rPr>
        <w:t>ABSTRACT</w:t>
      </w:r>
    </w:p>
    <w:p>
      <w:pPr>
        <w:pStyle w:val="BodyText"/>
        <w:spacing w:line="249" w:lineRule="auto" w:before="75"/>
        <w:ind w:left="1464" w:right="1414" w:firstLine="432"/>
        <w:jc w:val="both"/>
      </w:pPr>
      <w:r>
        <w:rPr/>
        <w:t>This paper reconsiders Macbeth in the light of a comparative Buddhist philosophical framework and it singles out tanha (craving) as the main reason for the tragic sufferings of human beings. After a thorough textual study, the article goes on to say that the earliest suggestion of desire can be seen in the first scene of the play, even as the witches prepare to greet Macbeth. Later on, the element of desire continues to grow in Macbeth’s mind causing his thinking to become distorted.</w:t>
      </w:r>
      <w:r>
        <w:rPr>
          <w:spacing w:val="-1"/>
        </w:rPr>
        <w:t> </w:t>
      </w:r>
      <w:r>
        <w:rPr/>
        <w:t>A</w:t>
      </w:r>
      <w:r>
        <w:rPr>
          <w:spacing w:val="-3"/>
        </w:rPr>
        <w:t> </w:t>
      </w:r>
      <w:r>
        <w:rPr/>
        <w:t>strong desire that eventually becomes uncontrollable leads to a series of violent actions. The dagger speech and Macbeth’s acknowledgement of having carried out a deed which can’t be undone are read as</w:t>
      </w:r>
      <w:r>
        <w:rPr>
          <w:spacing w:val="-1"/>
        </w:rPr>
        <w:t> </w:t>
      </w:r>
      <w:r>
        <w:rPr/>
        <w:t>evidence</w:t>
      </w:r>
      <w:r>
        <w:rPr>
          <w:spacing w:val="-1"/>
        </w:rPr>
        <w:t> </w:t>
      </w:r>
      <w:r>
        <w:rPr/>
        <w:t>of</w:t>
      </w:r>
      <w:r>
        <w:rPr>
          <w:spacing w:val="-1"/>
        </w:rPr>
        <w:t> </w:t>
      </w:r>
      <w:r>
        <w:rPr/>
        <w:t>the law</w:t>
      </w:r>
      <w:r>
        <w:rPr>
          <w:spacing w:val="-2"/>
        </w:rPr>
        <w:t> </w:t>
      </w:r>
      <w:r>
        <w:rPr/>
        <w:t>of</w:t>
      </w:r>
      <w:r>
        <w:rPr>
          <w:spacing w:val="-1"/>
        </w:rPr>
        <w:t> </w:t>
      </w:r>
      <w:r>
        <w:rPr/>
        <w:t>cause and effect.</w:t>
      </w:r>
      <w:r>
        <w:rPr>
          <w:spacing w:val="-1"/>
        </w:rPr>
        <w:t> </w:t>
      </w:r>
      <w:r>
        <w:rPr/>
        <w:t>In</w:t>
      </w:r>
      <w:r>
        <w:rPr>
          <w:spacing w:val="-1"/>
        </w:rPr>
        <w:t> </w:t>
      </w:r>
      <w:r>
        <w:rPr/>
        <w:t>this way, tragedy isn’t seen as a singular failure but rather as an ongoing evolution resulting from desire, perception, and consequences. Such a reading offers a fresh insight on cross cultural literary analysis by merging Buddhist literature and Shakespearean criticism.</w:t>
      </w:r>
    </w:p>
    <w:p>
      <w:pPr>
        <w:pStyle w:val="BodyText"/>
        <w:spacing w:line="249" w:lineRule="auto" w:before="70"/>
        <w:ind w:left="1464" w:right="1417" w:firstLine="432"/>
        <w:jc w:val="both"/>
      </w:pPr>
      <w:r>
        <w:rPr>
          <w:b/>
          <w:i/>
        </w:rPr>
        <w:t>Keywork: </w:t>
      </w:r>
      <w:r>
        <w:rPr/>
        <w:t>Shakespeare; Macbeth; Buddhist philosophy; dukkha; anicca; taGhâ; avijja; dependent origination; tragedy; desire; suffering; comparative literature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687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3440">
                <wp:simplePos x="0" y="0"/>
                <wp:positionH relativeFrom="page">
                  <wp:posOffset>2065020</wp:posOffset>
                </wp:positionH>
                <wp:positionV relativeFrom="paragraph">
                  <wp:posOffset>162604</wp:posOffset>
                </wp:positionV>
                <wp:extent cx="3657600" cy="12700"/>
                <wp:effectExtent l="0" t="0" r="0" b="0"/>
                <wp:wrapTopAndBottom/>
                <wp:docPr id="909" name="Graphic 909"/>
                <wp:cNvGraphicFramePr>
                  <a:graphicFrameLocks/>
                </wp:cNvGraphicFramePr>
                <a:graphic>
                  <a:graphicData uri="http://schemas.microsoft.com/office/word/2010/wordprocessingShape">
                    <wps:wsp>
                      <wps:cNvPr id="909" name="Graphic 909"/>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12.803522pt;width:287.999997pt;height:.959999pt;mso-position-horizontal-relative:page;mso-position-vertical-relative:paragraph;z-index:-15383040;mso-wrap-distance-left:0;mso-wrap-distance-right:0" id="docshape900" filled="true" fillcolor="#000000" stroked="false">
                <v:fill type="solid"/>
                <w10:wrap type="topAndBottom"/>
              </v:rect>
            </w:pict>
          </mc:Fallback>
        </mc:AlternateContent>
      </w:r>
      <w:r>
        <w:rPr>
          <w:rFonts w:ascii="Verdana"/>
          <w:spacing w:val="-2"/>
          <w:sz w:val="18"/>
        </w:rPr>
        <w:t>Re-reading</w:t>
      </w:r>
      <w:r>
        <w:rPr>
          <w:rFonts w:ascii="Verdana"/>
          <w:spacing w:val="1"/>
          <w:sz w:val="18"/>
        </w:rPr>
        <w:t> </w:t>
      </w:r>
      <w:r>
        <w:rPr>
          <w:rFonts w:ascii="Verdana"/>
          <w:spacing w:val="-2"/>
          <w:sz w:val="18"/>
        </w:rPr>
        <w:t>Shakespearean</w:t>
      </w:r>
      <w:r>
        <w:rPr>
          <w:rFonts w:ascii="Verdana"/>
          <w:spacing w:val="4"/>
          <w:sz w:val="18"/>
        </w:rPr>
        <w:t> </w:t>
      </w:r>
      <w:r>
        <w:rPr>
          <w:rFonts w:ascii="Verdana"/>
          <w:spacing w:val="-2"/>
          <w:sz w:val="18"/>
        </w:rPr>
        <w:t>Tragedy</w:t>
      </w:r>
      <w:r>
        <w:rPr>
          <w:rFonts w:ascii="Verdana"/>
          <w:spacing w:val="5"/>
          <w:sz w:val="18"/>
        </w:rPr>
        <w:t> </w:t>
      </w:r>
      <w:r>
        <w:rPr>
          <w:rFonts w:ascii="Verdana"/>
          <w:spacing w:val="-2"/>
          <w:sz w:val="18"/>
        </w:rPr>
        <w:t>through</w:t>
      </w:r>
      <w:r>
        <w:rPr>
          <w:rFonts w:ascii="Verdana"/>
          <w:spacing w:val="3"/>
          <w:sz w:val="18"/>
        </w:rPr>
        <w:t> </w:t>
      </w:r>
      <w:r>
        <w:rPr>
          <w:rFonts w:ascii="Verdana"/>
          <w:spacing w:val="-2"/>
          <w:sz w:val="18"/>
        </w:rPr>
        <w:t>Buddhist...</w:t>
      </w:r>
      <w:r>
        <w:rPr>
          <w:sz w:val="18"/>
        </w:rPr>
        <w:tab/>
      </w:r>
      <w:r>
        <w:rPr>
          <w:rFonts w:ascii="Verdana"/>
          <w:spacing w:val="-5"/>
          <w:sz w:val="18"/>
        </w:rPr>
        <w:t>479</w:t>
      </w:r>
    </w:p>
    <w:p>
      <w:pPr>
        <w:pStyle w:val="Heading3"/>
        <w:spacing w:before="190"/>
      </w:pPr>
      <w:r>
        <w:rPr>
          <w:spacing w:val="-2"/>
          <w:w w:val="95"/>
        </w:rPr>
        <w:t>INTRODUCTION</w:t>
      </w:r>
    </w:p>
    <w:p>
      <w:pPr>
        <w:pStyle w:val="BodyText"/>
        <w:spacing w:line="259" w:lineRule="auto" w:before="82"/>
        <w:ind w:right="1437" w:firstLine="432"/>
        <w:jc w:val="both"/>
      </w:pPr>
      <w:r>
        <w:rPr/>
        <w:t>The tragedies of William Shakespeare have since long been acknowledged as deeply probing different facets of human condition pain, moral dilemmas, loss of sense of being, etc. Typically, these writings have been understood by employing different aspects of Aristotle’s poetics, Christian morality, and the Renaissance humanism, stressing</w:t>
      </w:r>
      <w:r>
        <w:rPr>
          <w:spacing w:val="-13"/>
        </w:rPr>
        <w:t> </w:t>
      </w:r>
      <w:r>
        <w:rPr/>
        <w:t>tragic</w:t>
      </w:r>
      <w:r>
        <w:rPr>
          <w:spacing w:val="-12"/>
        </w:rPr>
        <w:t> </w:t>
      </w:r>
      <w:r>
        <w:rPr/>
        <w:t>flaw,</w:t>
      </w:r>
      <w:r>
        <w:rPr>
          <w:spacing w:val="-13"/>
        </w:rPr>
        <w:t> </w:t>
      </w:r>
      <w:r>
        <w:rPr/>
        <w:t>divine</w:t>
      </w:r>
      <w:r>
        <w:rPr>
          <w:spacing w:val="-12"/>
        </w:rPr>
        <w:t> </w:t>
      </w:r>
      <w:r>
        <w:rPr/>
        <w:t>will,</w:t>
      </w:r>
      <w:r>
        <w:rPr>
          <w:spacing w:val="-13"/>
        </w:rPr>
        <w:t> </w:t>
      </w:r>
      <w:r>
        <w:rPr/>
        <w:t>and</w:t>
      </w:r>
      <w:r>
        <w:rPr>
          <w:spacing w:val="-12"/>
        </w:rPr>
        <w:t> </w:t>
      </w:r>
      <w:r>
        <w:rPr/>
        <w:t>man</w:t>
      </w:r>
      <w:r>
        <w:rPr>
          <w:spacing w:val="-13"/>
        </w:rPr>
        <w:t> </w:t>
      </w:r>
      <w:r>
        <w:rPr/>
        <w:t>as</w:t>
      </w:r>
      <w:r>
        <w:rPr>
          <w:spacing w:val="-12"/>
        </w:rPr>
        <w:t> </w:t>
      </w:r>
      <w:r>
        <w:rPr/>
        <w:t>a</w:t>
      </w:r>
      <w:r>
        <w:rPr>
          <w:spacing w:val="-13"/>
        </w:rPr>
        <w:t> </w:t>
      </w:r>
      <w:r>
        <w:rPr/>
        <w:t>free</w:t>
      </w:r>
      <w:r>
        <w:rPr>
          <w:spacing w:val="-12"/>
        </w:rPr>
        <w:t> </w:t>
      </w:r>
      <w:r>
        <w:rPr/>
        <w:t>moral</w:t>
      </w:r>
      <w:r>
        <w:rPr>
          <w:spacing w:val="-10"/>
        </w:rPr>
        <w:t> </w:t>
      </w:r>
      <w:r>
        <w:rPr/>
        <w:t>agent</w:t>
      </w:r>
      <w:r>
        <w:rPr>
          <w:spacing w:val="-13"/>
        </w:rPr>
        <w:t> </w:t>
      </w:r>
      <w:r>
        <w:rPr/>
        <w:t>(Bradley, 1904; Bloom, 1998; Greenblatt, 2004).</w:t>
      </w:r>
      <w:r>
        <w:rPr>
          <w:spacing w:val="-4"/>
        </w:rPr>
        <w:t> </w:t>
      </w:r>
      <w:r>
        <w:rPr/>
        <w:t>Although these approaches still lay</w:t>
      </w:r>
      <w:r>
        <w:rPr>
          <w:spacing w:val="-13"/>
        </w:rPr>
        <w:t> </w:t>
      </w:r>
      <w:r>
        <w:rPr/>
        <w:t>the</w:t>
      </w:r>
      <w:r>
        <w:rPr>
          <w:spacing w:val="-12"/>
        </w:rPr>
        <w:t> </w:t>
      </w:r>
      <w:r>
        <w:rPr/>
        <w:t>groundwork,</w:t>
      </w:r>
      <w:r>
        <w:rPr>
          <w:spacing w:val="-13"/>
        </w:rPr>
        <w:t> </w:t>
      </w:r>
      <w:r>
        <w:rPr/>
        <w:t>they’re</w:t>
      </w:r>
      <w:r>
        <w:rPr>
          <w:spacing w:val="-12"/>
        </w:rPr>
        <w:t> </w:t>
      </w:r>
      <w:r>
        <w:rPr/>
        <w:t>mostly</w:t>
      </w:r>
      <w:r>
        <w:rPr>
          <w:spacing w:val="-13"/>
        </w:rPr>
        <w:t> </w:t>
      </w:r>
      <w:r>
        <w:rPr/>
        <w:t>embedded</w:t>
      </w:r>
      <w:r>
        <w:rPr>
          <w:spacing w:val="-12"/>
        </w:rPr>
        <w:t> </w:t>
      </w:r>
      <w:r>
        <w:rPr/>
        <w:t>in</w:t>
      </w:r>
      <w:r>
        <w:rPr>
          <w:spacing w:val="-13"/>
        </w:rPr>
        <w:t> </w:t>
      </w:r>
      <w:r>
        <w:rPr/>
        <w:t>the</w:t>
      </w:r>
      <w:r>
        <w:rPr>
          <w:spacing w:val="-12"/>
        </w:rPr>
        <w:t> </w:t>
      </w:r>
      <w:r>
        <w:rPr/>
        <w:t>Western</w:t>
      </w:r>
      <w:r>
        <w:rPr>
          <w:spacing w:val="-13"/>
        </w:rPr>
        <w:t> </w:t>
      </w:r>
      <w:r>
        <w:rPr/>
        <w:t>intellectual heritage and therefore narrow down the interpretative range of Shakespearean</w:t>
      </w:r>
      <w:r>
        <w:rPr>
          <w:spacing w:val="40"/>
        </w:rPr>
        <w:t> </w:t>
      </w:r>
      <w:r>
        <w:rPr/>
        <w:t>tragedy</w:t>
      </w:r>
      <w:r>
        <w:rPr>
          <w:spacing w:val="40"/>
        </w:rPr>
        <w:t> </w:t>
      </w:r>
      <w:r>
        <w:rPr/>
        <w:t>in</w:t>
      </w:r>
      <w:r>
        <w:rPr>
          <w:spacing w:val="40"/>
        </w:rPr>
        <w:t> </w:t>
      </w:r>
      <w:r>
        <w:rPr/>
        <w:t>the</w:t>
      </w:r>
      <w:r>
        <w:rPr>
          <w:spacing w:val="40"/>
        </w:rPr>
        <w:t> </w:t>
      </w:r>
      <w:r>
        <w:rPr/>
        <w:t>global</w:t>
      </w:r>
      <w:r>
        <w:rPr>
          <w:spacing w:val="40"/>
        </w:rPr>
        <w:t> </w:t>
      </w:r>
      <w:r>
        <w:rPr/>
        <w:t>setting.</w:t>
      </w:r>
    </w:p>
    <w:p>
      <w:pPr>
        <w:pStyle w:val="BodyText"/>
        <w:spacing w:line="259" w:lineRule="auto" w:before="53"/>
        <w:ind w:right="1436" w:firstLine="432"/>
        <w:jc w:val="both"/>
      </w:pPr>
      <w:r>
        <w:rPr/>
        <w:t>The </w:t>
      </w:r>
      <w:r>
        <w:rPr>
          <w:spacing w:val="10"/>
        </w:rPr>
        <w:t>piece</w:t>
      </w:r>
      <w:r>
        <w:rPr>
          <w:spacing w:val="10"/>
        </w:rPr>
        <w:t> </w:t>
      </w:r>
      <w:r>
        <w:rPr>
          <w:spacing w:val="11"/>
        </w:rPr>
        <w:t>introduces</w:t>
      </w:r>
      <w:r>
        <w:rPr>
          <w:spacing w:val="11"/>
        </w:rPr>
        <w:t> </w:t>
      </w:r>
      <w:r>
        <w:rPr/>
        <w:t>a </w:t>
      </w:r>
      <w:r>
        <w:rPr>
          <w:spacing w:val="11"/>
        </w:rPr>
        <w:t>comparative</w:t>
      </w:r>
      <w:r>
        <w:rPr>
          <w:spacing w:val="11"/>
        </w:rPr>
        <w:t> reinterpretation</w:t>
      </w:r>
      <w:r>
        <w:rPr>
          <w:spacing w:val="11"/>
        </w:rPr>
        <w:t> </w:t>
      </w:r>
      <w:r>
        <w:rPr/>
        <w:t>of Shakespearean tragedy based on the incorporation of selected concepts from Buddhist philosophy dukkha (suffering), anicca (impermanence), </w:t>
      </w:r>
      <w:r>
        <w:rPr>
          <w:spacing w:val="-2"/>
        </w:rPr>
        <w:t>and</w:t>
      </w:r>
      <w:r>
        <w:rPr>
          <w:spacing w:val="-11"/>
        </w:rPr>
        <w:t> </w:t>
      </w:r>
      <w:r>
        <w:rPr>
          <w:spacing w:val="-2"/>
        </w:rPr>
        <w:t>tanha</w:t>
      </w:r>
      <w:r>
        <w:rPr>
          <w:spacing w:val="-10"/>
        </w:rPr>
        <w:t> </w:t>
      </w:r>
      <w:r>
        <w:rPr>
          <w:spacing w:val="-2"/>
        </w:rPr>
        <w:t>(craving)</w:t>
      </w:r>
      <w:r>
        <w:rPr>
          <w:spacing w:val="-11"/>
        </w:rPr>
        <w:t> </w:t>
      </w:r>
      <w:r>
        <w:rPr>
          <w:spacing w:val="-2"/>
        </w:rPr>
        <w:t>(Rahula,</w:t>
      </w:r>
      <w:r>
        <w:rPr>
          <w:spacing w:val="-10"/>
        </w:rPr>
        <w:t> </w:t>
      </w:r>
      <w:r>
        <w:rPr>
          <w:spacing w:val="-2"/>
        </w:rPr>
        <w:t>1974;</w:t>
      </w:r>
      <w:r>
        <w:rPr>
          <w:spacing w:val="-11"/>
        </w:rPr>
        <w:t> </w:t>
      </w:r>
      <w:r>
        <w:rPr>
          <w:spacing w:val="-2"/>
        </w:rPr>
        <w:t>Harvey,</w:t>
      </w:r>
      <w:r>
        <w:rPr>
          <w:spacing w:val="-10"/>
        </w:rPr>
        <w:t> </w:t>
      </w:r>
      <w:r>
        <w:rPr>
          <w:spacing w:val="-2"/>
        </w:rPr>
        <w:t>2013;</w:t>
      </w:r>
      <w:r>
        <w:rPr>
          <w:spacing w:val="-11"/>
        </w:rPr>
        <w:t> </w:t>
      </w:r>
      <w:r>
        <w:rPr>
          <w:spacing w:val="-2"/>
        </w:rPr>
        <w:t>Loy,</w:t>
      </w:r>
      <w:r>
        <w:rPr>
          <w:spacing w:val="-9"/>
        </w:rPr>
        <w:t> </w:t>
      </w:r>
      <w:r>
        <w:rPr>
          <w:spacing w:val="-2"/>
        </w:rPr>
        <w:t>2003).</w:t>
      </w:r>
      <w:r>
        <w:rPr>
          <w:spacing w:val="-10"/>
        </w:rPr>
        <w:t> </w:t>
      </w:r>
      <w:r>
        <w:rPr>
          <w:spacing w:val="-2"/>
        </w:rPr>
        <w:t>It</w:t>
      </w:r>
      <w:r>
        <w:rPr>
          <w:spacing w:val="-11"/>
        </w:rPr>
        <w:t> </w:t>
      </w:r>
      <w:r>
        <w:rPr>
          <w:spacing w:val="-2"/>
        </w:rPr>
        <w:t>makes</w:t>
      </w:r>
      <w:r>
        <w:rPr>
          <w:spacing w:val="-10"/>
        </w:rPr>
        <w:t> </w:t>
      </w:r>
      <w:r>
        <w:rPr>
          <w:spacing w:val="-2"/>
        </w:rPr>
        <w:t>no </w:t>
      </w:r>
      <w:r>
        <w:rPr/>
        <w:t>assertions that Buddhist thought was historically transmitted to Shakespeare. On the contrary, it uses a comparative hermeneutic methodology in which philosophical notions serve as a means of interpretation</w:t>
      </w:r>
      <w:r>
        <w:rPr>
          <w:spacing w:val="-3"/>
        </w:rPr>
        <w:t> </w:t>
      </w:r>
      <w:r>
        <w:rPr/>
        <w:t>rather</w:t>
      </w:r>
      <w:r>
        <w:rPr>
          <w:spacing w:val="-3"/>
        </w:rPr>
        <w:t> </w:t>
      </w:r>
      <w:r>
        <w:rPr/>
        <w:t>than</w:t>
      </w:r>
      <w:r>
        <w:rPr>
          <w:spacing w:val="-1"/>
        </w:rPr>
        <w:t> </w:t>
      </w:r>
      <w:r>
        <w:rPr/>
        <w:t>historical</w:t>
      </w:r>
      <w:r>
        <w:rPr>
          <w:spacing w:val="-3"/>
        </w:rPr>
        <w:t> </w:t>
      </w:r>
      <w:r>
        <w:rPr/>
        <w:t>influences</w:t>
      </w:r>
      <w:r>
        <w:rPr>
          <w:spacing w:val="-3"/>
        </w:rPr>
        <w:t> </w:t>
      </w:r>
      <w:r>
        <w:rPr/>
        <w:t>(Ricoeur,</w:t>
      </w:r>
      <w:r>
        <w:rPr>
          <w:spacing w:val="-3"/>
        </w:rPr>
        <w:t> </w:t>
      </w:r>
      <w:r>
        <w:rPr/>
        <w:t>1976;</w:t>
      </w:r>
      <w:r>
        <w:rPr>
          <w:spacing w:val="-2"/>
        </w:rPr>
        <w:t> </w:t>
      </w:r>
      <w:r>
        <w:rPr/>
        <w:t>Kearney, 2002). The chief point is quite intentionally moderated: Shakespearean tragedy may be likened in a fruitful way to the staging of human suffering</w:t>
      </w:r>
      <w:r>
        <w:rPr>
          <w:spacing w:val="-2"/>
        </w:rPr>
        <w:t> </w:t>
      </w:r>
      <w:r>
        <w:rPr/>
        <w:t>which</w:t>
      </w:r>
      <w:r>
        <w:rPr>
          <w:spacing w:val="-3"/>
        </w:rPr>
        <w:t> </w:t>
      </w:r>
      <w:r>
        <w:rPr/>
        <w:t>have,</w:t>
      </w:r>
      <w:r>
        <w:rPr>
          <w:spacing w:val="-2"/>
        </w:rPr>
        <w:t> </w:t>
      </w:r>
      <w:r>
        <w:rPr/>
        <w:t>at</w:t>
      </w:r>
      <w:r>
        <w:rPr>
          <w:spacing w:val="-2"/>
        </w:rPr>
        <w:t> </w:t>
      </w:r>
      <w:r>
        <w:rPr/>
        <w:t>a</w:t>
      </w:r>
      <w:r>
        <w:rPr>
          <w:spacing w:val="-2"/>
        </w:rPr>
        <w:t> </w:t>
      </w:r>
      <w:r>
        <w:rPr/>
        <w:t>structural</w:t>
      </w:r>
      <w:r>
        <w:rPr>
          <w:spacing w:val="-2"/>
        </w:rPr>
        <w:t> </w:t>
      </w:r>
      <w:r>
        <w:rPr/>
        <w:t>level,</w:t>
      </w:r>
      <w:r>
        <w:rPr>
          <w:spacing w:val="-2"/>
        </w:rPr>
        <w:t> </w:t>
      </w:r>
      <w:r>
        <w:rPr/>
        <w:t>been</w:t>
      </w:r>
      <w:r>
        <w:rPr>
          <w:spacing w:val="-3"/>
        </w:rPr>
        <w:t> </w:t>
      </w:r>
      <w:r>
        <w:rPr/>
        <w:t>recognized</w:t>
      </w:r>
      <w:r>
        <w:rPr>
          <w:spacing w:val="-2"/>
        </w:rPr>
        <w:t> </w:t>
      </w:r>
      <w:r>
        <w:rPr/>
        <w:t>by</w:t>
      </w:r>
      <w:r>
        <w:rPr>
          <w:spacing w:val="-5"/>
        </w:rPr>
        <w:t> </w:t>
      </w:r>
      <w:r>
        <w:rPr/>
        <w:t>Buddhist thought especially, with regard to desire, ignorance, and the changing nature</w:t>
      </w:r>
      <w:r>
        <w:rPr>
          <w:spacing w:val="-6"/>
        </w:rPr>
        <w:t> </w:t>
      </w:r>
      <w:r>
        <w:rPr/>
        <w:t>of</w:t>
      </w:r>
      <w:r>
        <w:rPr>
          <w:spacing w:val="-7"/>
        </w:rPr>
        <w:t> </w:t>
      </w:r>
      <w:r>
        <w:rPr/>
        <w:t>human</w:t>
      </w:r>
      <w:r>
        <w:rPr>
          <w:spacing w:val="-7"/>
        </w:rPr>
        <w:t> </w:t>
      </w:r>
      <w:r>
        <w:rPr/>
        <w:t>experience</w:t>
      </w:r>
      <w:r>
        <w:rPr>
          <w:spacing w:val="-7"/>
        </w:rPr>
        <w:t> </w:t>
      </w:r>
      <w:r>
        <w:rPr/>
        <w:t>(Garfield,</w:t>
      </w:r>
      <w:r>
        <w:rPr>
          <w:spacing w:val="-5"/>
        </w:rPr>
        <w:t> </w:t>
      </w:r>
      <w:r>
        <w:rPr/>
        <w:t>1995;</w:t>
      </w:r>
      <w:r>
        <w:rPr>
          <w:spacing w:val="-5"/>
        </w:rPr>
        <w:t> </w:t>
      </w:r>
      <w:r>
        <w:rPr/>
        <w:t>Keown,</w:t>
      </w:r>
      <w:r>
        <w:rPr>
          <w:spacing w:val="-5"/>
        </w:rPr>
        <w:t> </w:t>
      </w:r>
      <w:r>
        <w:rPr/>
        <w:t>2005).</w:t>
      </w:r>
      <w:r>
        <w:rPr>
          <w:spacing w:val="-5"/>
        </w:rPr>
        <w:t> </w:t>
      </w:r>
      <w:r>
        <w:rPr/>
        <w:t>The</w:t>
      </w:r>
      <w:r>
        <w:rPr>
          <w:spacing w:val="-6"/>
        </w:rPr>
        <w:t> </w:t>
      </w:r>
      <w:r>
        <w:rPr/>
        <w:t>article, by performing detailed analysis of Macbeth, King Lear, and Hamlet, portrays how the tragic fatalism may be seen in a light different from the</w:t>
      </w:r>
      <w:r>
        <w:rPr>
          <w:spacing w:val="-7"/>
        </w:rPr>
        <w:t> </w:t>
      </w:r>
      <w:r>
        <w:rPr/>
        <w:t>one</w:t>
      </w:r>
      <w:r>
        <w:rPr>
          <w:spacing w:val="-6"/>
        </w:rPr>
        <w:t> </w:t>
      </w:r>
      <w:r>
        <w:rPr/>
        <w:t>where</w:t>
      </w:r>
      <w:r>
        <w:rPr>
          <w:spacing w:val="-8"/>
        </w:rPr>
        <w:t> </w:t>
      </w:r>
      <w:r>
        <w:rPr/>
        <w:t>it’s</w:t>
      </w:r>
      <w:r>
        <w:rPr>
          <w:spacing w:val="-6"/>
        </w:rPr>
        <w:t> </w:t>
      </w:r>
      <w:r>
        <w:rPr/>
        <w:t>considered</w:t>
      </w:r>
      <w:r>
        <w:rPr>
          <w:spacing w:val="-6"/>
        </w:rPr>
        <w:t> </w:t>
      </w:r>
      <w:r>
        <w:rPr/>
        <w:t>to</w:t>
      </w:r>
      <w:r>
        <w:rPr>
          <w:spacing w:val="-4"/>
        </w:rPr>
        <w:t> </w:t>
      </w:r>
      <w:r>
        <w:rPr/>
        <w:t>hinge</w:t>
      </w:r>
      <w:r>
        <w:rPr>
          <w:spacing w:val="-7"/>
        </w:rPr>
        <w:t> </w:t>
      </w:r>
      <w:r>
        <w:rPr/>
        <w:t>solely</w:t>
      </w:r>
      <w:r>
        <w:rPr>
          <w:spacing w:val="-8"/>
        </w:rPr>
        <w:t> </w:t>
      </w:r>
      <w:r>
        <w:rPr/>
        <w:t>upon</w:t>
      </w:r>
      <w:r>
        <w:rPr>
          <w:spacing w:val="-10"/>
        </w:rPr>
        <w:t> </w:t>
      </w:r>
      <w:r>
        <w:rPr/>
        <w:t>a</w:t>
      </w:r>
      <w:r>
        <w:rPr>
          <w:spacing w:val="-4"/>
        </w:rPr>
        <w:t> </w:t>
      </w:r>
      <w:r>
        <w:rPr/>
        <w:t>character’s</w:t>
      </w:r>
      <w:r>
        <w:rPr>
          <w:spacing w:val="-8"/>
        </w:rPr>
        <w:t> </w:t>
      </w:r>
      <w:r>
        <w:rPr/>
        <w:t>inherent </w:t>
      </w:r>
      <w:r>
        <w:rPr>
          <w:spacing w:val="-2"/>
        </w:rPr>
        <w:t>defects.</w:t>
      </w:r>
    </w:p>
    <w:p>
      <w:pPr>
        <w:pStyle w:val="Heading3"/>
        <w:spacing w:before="143"/>
      </w:pPr>
      <w:r>
        <w:rPr>
          <w:w w:val="80"/>
        </w:rPr>
        <w:t>LITERATURE</w:t>
      </w:r>
      <w:r>
        <w:rPr>
          <w:spacing w:val="9"/>
        </w:rPr>
        <w:t> </w:t>
      </w:r>
      <w:r>
        <w:rPr>
          <w:spacing w:val="-2"/>
          <w:w w:val="90"/>
        </w:rPr>
        <w:t>REVIEW</w:t>
      </w:r>
    </w:p>
    <w:p>
      <w:pPr>
        <w:pStyle w:val="Heading5"/>
        <w:numPr>
          <w:ilvl w:val="1"/>
          <w:numId w:val="97"/>
        </w:numPr>
        <w:tabs>
          <w:tab w:pos="1877" w:val="left" w:leader="none"/>
        </w:tabs>
        <w:spacing w:line="240" w:lineRule="auto" w:before="125" w:after="0"/>
        <w:ind w:left="1877" w:right="0" w:hanging="437"/>
        <w:jc w:val="left"/>
      </w:pPr>
      <w:r>
        <w:rPr>
          <w:w w:val="105"/>
        </w:rPr>
        <w:t>Shakespearean</w:t>
      </w:r>
      <w:r>
        <w:rPr>
          <w:spacing w:val="58"/>
          <w:w w:val="105"/>
        </w:rPr>
        <w:t>  </w:t>
      </w:r>
      <w:r>
        <w:rPr>
          <w:spacing w:val="-2"/>
          <w:w w:val="105"/>
        </w:rPr>
        <w:t>Tragedy</w:t>
      </w:r>
    </w:p>
    <w:p>
      <w:pPr>
        <w:pStyle w:val="BodyText"/>
        <w:spacing w:line="249" w:lineRule="auto" w:before="72"/>
        <w:ind w:right="1438" w:firstLine="432"/>
        <w:jc w:val="both"/>
      </w:pPr>
      <w:r>
        <w:rPr/>
        <w:t>Early</w:t>
      </w:r>
      <w:r>
        <w:rPr>
          <w:spacing w:val="-8"/>
        </w:rPr>
        <w:t> </w:t>
      </w:r>
      <w:r>
        <w:rPr/>
        <w:t>critics</w:t>
      </w:r>
      <w:r>
        <w:rPr>
          <w:spacing w:val="-8"/>
        </w:rPr>
        <w:t> </w:t>
      </w:r>
      <w:r>
        <w:rPr/>
        <w:t>of</w:t>
      </w:r>
      <w:r>
        <w:rPr>
          <w:spacing w:val="-6"/>
        </w:rPr>
        <w:t> </w:t>
      </w:r>
      <w:r>
        <w:rPr/>
        <w:t>Shakespearean</w:t>
      </w:r>
      <w:r>
        <w:rPr>
          <w:spacing w:val="-6"/>
        </w:rPr>
        <w:t> </w:t>
      </w:r>
      <w:r>
        <w:rPr/>
        <w:t>tragedy</w:t>
      </w:r>
      <w:r>
        <w:rPr>
          <w:spacing w:val="-11"/>
        </w:rPr>
        <w:t> </w:t>
      </w:r>
      <w:r>
        <w:rPr/>
        <w:t>mainly</w:t>
      </w:r>
      <w:r>
        <w:rPr>
          <w:spacing w:val="-8"/>
        </w:rPr>
        <w:t> </w:t>
      </w:r>
      <w:r>
        <w:rPr/>
        <w:t>focused</w:t>
      </w:r>
      <w:r>
        <w:rPr>
          <w:spacing w:val="-4"/>
        </w:rPr>
        <w:t> </w:t>
      </w:r>
      <w:r>
        <w:rPr/>
        <w:t>on</w:t>
      </w:r>
      <w:r>
        <w:rPr>
          <w:spacing w:val="-8"/>
        </w:rPr>
        <w:t> </w:t>
      </w:r>
      <w:r>
        <w:rPr/>
        <w:t>the</w:t>
      </w:r>
      <w:r>
        <w:rPr>
          <w:spacing w:val="-5"/>
        </w:rPr>
        <w:t> </w:t>
      </w:r>
      <w:r>
        <w:rPr/>
        <w:t>main </w:t>
      </w:r>
      <w:r>
        <w:rPr>
          <w:spacing w:val="-2"/>
        </w:rPr>
        <w:t>character’s</w:t>
      </w:r>
      <w:r>
        <w:rPr>
          <w:spacing w:val="-7"/>
        </w:rPr>
        <w:t> </w:t>
      </w:r>
      <w:r>
        <w:rPr>
          <w:spacing w:val="-2"/>
        </w:rPr>
        <w:t>tragic</w:t>
      </w:r>
      <w:r>
        <w:rPr>
          <w:spacing w:val="-5"/>
        </w:rPr>
        <w:t> </w:t>
      </w:r>
      <w:r>
        <w:rPr>
          <w:spacing w:val="-2"/>
        </w:rPr>
        <w:t>defect</w:t>
      </w:r>
      <w:r>
        <w:rPr>
          <w:spacing w:val="-8"/>
        </w:rPr>
        <w:t> </w:t>
      </w:r>
      <w:r>
        <w:rPr>
          <w:spacing w:val="-2"/>
        </w:rPr>
        <w:t>and</w:t>
      </w:r>
      <w:r>
        <w:rPr>
          <w:spacing w:val="-5"/>
        </w:rPr>
        <w:t> </w:t>
      </w:r>
      <w:r>
        <w:rPr>
          <w:spacing w:val="-2"/>
        </w:rPr>
        <w:t>the</w:t>
      </w:r>
      <w:r>
        <w:rPr>
          <w:spacing w:val="-7"/>
        </w:rPr>
        <w:t> </w:t>
      </w:r>
      <w:r>
        <w:rPr>
          <w:spacing w:val="-2"/>
        </w:rPr>
        <w:t>exploration</w:t>
      </w:r>
      <w:r>
        <w:rPr>
          <w:spacing w:val="-7"/>
        </w:rPr>
        <w:t> </w:t>
      </w:r>
      <w:r>
        <w:rPr>
          <w:spacing w:val="-2"/>
        </w:rPr>
        <w:t>of</w:t>
      </w:r>
      <w:r>
        <w:rPr>
          <w:spacing w:val="-10"/>
        </w:rPr>
        <w:t> </w:t>
      </w:r>
      <w:r>
        <w:rPr>
          <w:spacing w:val="-2"/>
        </w:rPr>
        <w:t>their</w:t>
      </w:r>
      <w:r>
        <w:rPr>
          <w:spacing w:val="-7"/>
        </w:rPr>
        <w:t> </w:t>
      </w:r>
      <w:r>
        <w:rPr>
          <w:spacing w:val="-2"/>
        </w:rPr>
        <w:t>mind</w:t>
      </w:r>
      <w:r>
        <w:rPr>
          <w:spacing w:val="-5"/>
        </w:rPr>
        <w:t> </w:t>
      </w:r>
      <w:r>
        <w:rPr>
          <w:spacing w:val="-2"/>
        </w:rPr>
        <w:t>(Bradley,</w:t>
      </w:r>
      <w:r>
        <w:rPr>
          <w:spacing w:val="-5"/>
        </w:rPr>
        <w:t> </w:t>
      </w:r>
      <w:r>
        <w:rPr>
          <w:spacing w:val="-2"/>
        </w:rPr>
        <w:t>1904; </w:t>
      </w:r>
      <w:r>
        <w:rPr/>
        <w:t>Bloom,</w:t>
      </w:r>
      <w:r>
        <w:rPr>
          <w:spacing w:val="-1"/>
        </w:rPr>
        <w:t> </w:t>
      </w:r>
      <w:r>
        <w:rPr/>
        <w:t>1998).</w:t>
      </w:r>
      <w:r>
        <w:rPr>
          <w:spacing w:val="-3"/>
        </w:rPr>
        <w:t> </w:t>
      </w:r>
      <w:r>
        <w:rPr/>
        <w:t>Later on,</w:t>
      </w:r>
      <w:r>
        <w:rPr>
          <w:spacing w:val="-1"/>
        </w:rPr>
        <w:t> </w:t>
      </w:r>
      <w:r>
        <w:rPr/>
        <w:t>the</w:t>
      </w:r>
      <w:r>
        <w:rPr>
          <w:spacing w:val="-1"/>
        </w:rPr>
        <w:t> </w:t>
      </w:r>
      <w:r>
        <w:rPr/>
        <w:t>perspective</w:t>
      </w:r>
      <w:r>
        <w:rPr>
          <w:spacing w:val="-2"/>
        </w:rPr>
        <w:t> </w:t>
      </w:r>
      <w:r>
        <w:rPr/>
        <w:t>was</w:t>
      </w:r>
      <w:r>
        <w:rPr>
          <w:spacing w:val="-3"/>
        </w:rPr>
        <w:t> </w:t>
      </w:r>
      <w:r>
        <w:rPr/>
        <w:t>shifted</w:t>
      </w:r>
      <w:r>
        <w:rPr>
          <w:spacing w:val="-1"/>
        </w:rPr>
        <w:t> </w:t>
      </w:r>
      <w:r>
        <w:rPr/>
        <w:t>to the</w:t>
      </w:r>
      <w:r>
        <w:rPr>
          <w:spacing w:val="-4"/>
        </w:rPr>
        <w:t> </w:t>
      </w:r>
      <w:r>
        <w:rPr/>
        <w:t>placement</w:t>
      </w:r>
      <w:r>
        <w:rPr>
          <w:spacing w:val="-2"/>
        </w:rPr>
        <w:t> </w:t>
      </w:r>
      <w:r>
        <w:rPr/>
        <w:t>of tragedy in the context of wider ideological and socio historical environments, the primary focus being how power and culture are </w:t>
      </w:r>
      <w:r>
        <w:rPr>
          <w:spacing w:val="-2"/>
        </w:rPr>
        <w:t>related</w:t>
      </w:r>
      <w:r>
        <w:rPr>
          <w:spacing w:val="-7"/>
        </w:rPr>
        <w:t> </w:t>
      </w:r>
      <w:r>
        <w:rPr>
          <w:spacing w:val="-2"/>
        </w:rPr>
        <w:t>(Greenblatt,</w:t>
      </w:r>
      <w:r>
        <w:rPr>
          <w:spacing w:val="-11"/>
        </w:rPr>
        <w:t> </w:t>
      </w:r>
      <w:r>
        <w:rPr>
          <w:spacing w:val="-2"/>
        </w:rPr>
        <w:t>2004;</w:t>
      </w:r>
      <w:r>
        <w:rPr>
          <w:spacing w:val="-9"/>
        </w:rPr>
        <w:t> </w:t>
      </w:r>
      <w:r>
        <w:rPr>
          <w:spacing w:val="-2"/>
        </w:rPr>
        <w:t>Eagleton,</w:t>
      </w:r>
      <w:r>
        <w:rPr>
          <w:spacing w:val="-8"/>
        </w:rPr>
        <w:t> </w:t>
      </w:r>
      <w:r>
        <w:rPr>
          <w:spacing w:val="-2"/>
        </w:rPr>
        <w:t>2003;</w:t>
      </w:r>
      <w:r>
        <w:rPr>
          <w:spacing w:val="-5"/>
        </w:rPr>
        <w:t> </w:t>
      </w:r>
      <w:r>
        <w:rPr>
          <w:spacing w:val="-2"/>
        </w:rPr>
        <w:t>Dollimore,</w:t>
      </w:r>
      <w:r>
        <w:rPr>
          <w:spacing w:val="-8"/>
        </w:rPr>
        <w:t> </w:t>
      </w:r>
      <w:r>
        <w:rPr>
          <w:spacing w:val="-2"/>
        </w:rPr>
        <w:t>2004).</w:t>
      </w:r>
      <w:r>
        <w:rPr>
          <w:spacing w:val="-5"/>
        </w:rPr>
        <w:t> </w:t>
      </w:r>
      <w:r>
        <w:rPr>
          <w:spacing w:val="-2"/>
        </w:rPr>
        <w:t>These</w:t>
      </w:r>
      <w:r>
        <w:rPr>
          <w:spacing w:val="-10"/>
        </w:rPr>
        <w:t> </w:t>
      </w:r>
      <w:r>
        <w:rPr>
          <w:spacing w:val="-2"/>
        </w:rPr>
        <w:t>views </w:t>
      </w:r>
      <w:r>
        <w:rPr/>
        <w:t>give</w:t>
      </w:r>
      <w:r>
        <w:rPr>
          <w:spacing w:val="4"/>
        </w:rPr>
        <w:t> </w:t>
      </w:r>
      <w:r>
        <w:rPr/>
        <w:t>us</w:t>
      </w:r>
      <w:r>
        <w:rPr>
          <w:spacing w:val="4"/>
        </w:rPr>
        <w:t> </w:t>
      </w:r>
      <w:r>
        <w:rPr/>
        <w:t>some</w:t>
      </w:r>
      <w:r>
        <w:rPr>
          <w:spacing w:val="6"/>
        </w:rPr>
        <w:t> </w:t>
      </w:r>
      <w:r>
        <w:rPr/>
        <w:t>important</w:t>
      </w:r>
      <w:r>
        <w:rPr>
          <w:spacing w:val="4"/>
        </w:rPr>
        <w:t> </w:t>
      </w:r>
      <w:r>
        <w:rPr/>
        <w:t>perspectives,</w:t>
      </w:r>
      <w:r>
        <w:rPr>
          <w:spacing w:val="8"/>
        </w:rPr>
        <w:t> </w:t>
      </w:r>
      <w:r>
        <w:rPr/>
        <w:t>but</w:t>
      </w:r>
      <w:r>
        <w:rPr>
          <w:spacing w:val="6"/>
        </w:rPr>
        <w:t> </w:t>
      </w:r>
      <w:r>
        <w:rPr/>
        <w:t>they</w:t>
      </w:r>
      <w:r>
        <w:rPr>
          <w:spacing w:val="3"/>
        </w:rPr>
        <w:t> </w:t>
      </w:r>
      <w:r>
        <w:rPr/>
        <w:t>usually either</w:t>
      </w:r>
      <w:r>
        <w:rPr>
          <w:spacing w:val="7"/>
        </w:rPr>
        <w:t> </w:t>
      </w:r>
      <w:r>
        <w:rPr>
          <w:spacing w:val="-2"/>
        </w:rPr>
        <w:t>emphasize</w:t>
      </w:r>
    </w:p>
    <w:p>
      <w:pPr>
        <w:pStyle w:val="BodyText"/>
        <w:spacing w:after="0" w:line="249"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3952">
                <wp:simplePos x="0" y="0"/>
                <wp:positionH relativeFrom="page">
                  <wp:posOffset>2057400</wp:posOffset>
                </wp:positionH>
                <wp:positionV relativeFrom="paragraph">
                  <wp:posOffset>162604</wp:posOffset>
                </wp:positionV>
                <wp:extent cx="3657600" cy="12700"/>
                <wp:effectExtent l="0" t="0" r="0" b="0"/>
                <wp:wrapTopAndBottom/>
                <wp:docPr id="910" name="Graphic 910"/>
                <wp:cNvGraphicFramePr>
                  <a:graphicFrameLocks/>
                </wp:cNvGraphicFramePr>
                <a:graphic>
                  <a:graphicData uri="http://schemas.microsoft.com/office/word/2010/wordprocessingShape">
                    <wps:wsp>
                      <wps:cNvPr id="910" name="Graphic 910"/>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82528;mso-wrap-distance-left:0;mso-wrap-distance-right:0" id="docshape901" filled="true" fillcolor="#000000" stroked="false">
                <v:fill type="solid"/>
                <w10:wrap type="topAndBottom"/>
              </v:rect>
            </w:pict>
          </mc:Fallback>
        </mc:AlternateContent>
      </w:r>
      <w:r>
        <w:rPr>
          <w:rFonts w:ascii="Verdana"/>
          <w:spacing w:val="-5"/>
          <w:sz w:val="18"/>
        </w:rPr>
        <w:t>480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49" w:lineRule="auto" w:before="192"/>
        <w:ind w:right="1437"/>
      </w:pPr>
      <w:r>
        <w:rPr/>
        <w:t>individual</w:t>
      </w:r>
      <w:r>
        <w:rPr>
          <w:spacing w:val="19"/>
        </w:rPr>
        <w:t> </w:t>
      </w:r>
      <w:r>
        <w:rPr/>
        <w:t>psychology or</w:t>
      </w:r>
      <w:r>
        <w:rPr>
          <w:spacing w:val="20"/>
        </w:rPr>
        <w:t> </w:t>
      </w:r>
      <w:r>
        <w:rPr/>
        <w:t>historical</w:t>
      </w:r>
      <w:r>
        <w:rPr>
          <w:spacing w:val="17"/>
        </w:rPr>
        <w:t> </w:t>
      </w:r>
      <w:r>
        <w:rPr/>
        <w:t>determinism,</w:t>
      </w:r>
      <w:r>
        <w:rPr>
          <w:spacing w:val="19"/>
        </w:rPr>
        <w:t> </w:t>
      </w:r>
      <w:r>
        <w:rPr/>
        <w:t>thus</w:t>
      </w:r>
      <w:r>
        <w:rPr>
          <w:spacing w:val="17"/>
        </w:rPr>
        <w:t> </w:t>
      </w:r>
      <w:r>
        <w:rPr/>
        <w:t>ignoring</w:t>
      </w:r>
      <w:r>
        <w:rPr>
          <w:spacing w:val="19"/>
        </w:rPr>
        <w:t> </w:t>
      </w:r>
      <w:r>
        <w:rPr/>
        <w:t>almost completely</w:t>
      </w:r>
      <w:r>
        <w:rPr>
          <w:spacing w:val="40"/>
        </w:rPr>
        <w:t> </w:t>
      </w:r>
      <w:r>
        <w:rPr/>
        <w:t>the</w:t>
      </w:r>
      <w:r>
        <w:rPr>
          <w:spacing w:val="40"/>
        </w:rPr>
        <w:t> </w:t>
      </w:r>
      <w:r>
        <w:rPr/>
        <w:t>question</w:t>
      </w:r>
      <w:r>
        <w:rPr>
          <w:spacing w:val="40"/>
        </w:rPr>
        <w:t> </w:t>
      </w:r>
      <w:r>
        <w:rPr/>
        <w:t>of</w:t>
      </w:r>
      <w:r>
        <w:rPr>
          <w:spacing w:val="40"/>
        </w:rPr>
        <w:t> </w:t>
      </w:r>
      <w:r>
        <w:rPr/>
        <w:t>causal</w:t>
      </w:r>
      <w:r>
        <w:rPr>
          <w:spacing w:val="40"/>
        </w:rPr>
        <w:t> </w:t>
      </w:r>
      <w:r>
        <w:rPr/>
        <w:t>mechanisms</w:t>
      </w:r>
      <w:r>
        <w:rPr>
          <w:spacing w:val="40"/>
        </w:rPr>
        <w:t> </w:t>
      </w:r>
      <w:r>
        <w:rPr/>
        <w:t>of</w:t>
      </w:r>
      <w:r>
        <w:rPr>
          <w:spacing w:val="40"/>
        </w:rPr>
        <w:t> </w:t>
      </w:r>
      <w:r>
        <w:rPr/>
        <w:t>suffering.</w:t>
      </w:r>
    </w:p>
    <w:p>
      <w:pPr>
        <w:pStyle w:val="Heading5"/>
        <w:numPr>
          <w:ilvl w:val="1"/>
          <w:numId w:val="97"/>
        </w:numPr>
        <w:tabs>
          <w:tab w:pos="1877" w:val="left" w:leader="none"/>
        </w:tabs>
        <w:spacing w:line="240" w:lineRule="auto" w:before="109" w:after="0"/>
        <w:ind w:left="1877" w:right="0" w:hanging="437"/>
        <w:jc w:val="left"/>
      </w:pPr>
      <w:r>
        <w:rPr/>
        <w:t>Buddhist</w:t>
      </w:r>
      <w:r>
        <w:rPr>
          <w:spacing w:val="62"/>
          <w:w w:val="150"/>
        </w:rPr>
        <w:t> </w:t>
      </w:r>
      <w:r>
        <w:rPr>
          <w:spacing w:val="-2"/>
        </w:rPr>
        <w:t>Philosophy</w:t>
      </w:r>
    </w:p>
    <w:p>
      <w:pPr>
        <w:pStyle w:val="BodyText"/>
        <w:spacing w:line="259" w:lineRule="auto" w:before="77"/>
        <w:ind w:right="1437" w:firstLine="432"/>
        <w:jc w:val="both"/>
      </w:pPr>
      <w:r>
        <w:rPr/>
        <w:t>Buddhist philosophy sees suffering as a deep condition that continuously happens as a result of desire and misunderstanding (Rahula,</w:t>
      </w:r>
      <w:r>
        <w:rPr>
          <w:spacing w:val="-5"/>
        </w:rPr>
        <w:t> </w:t>
      </w:r>
      <w:r>
        <w:rPr/>
        <w:t>1974;</w:t>
      </w:r>
      <w:r>
        <w:rPr>
          <w:spacing w:val="-4"/>
        </w:rPr>
        <w:t> </w:t>
      </w:r>
      <w:r>
        <w:rPr/>
        <w:t>Harvey,</w:t>
      </w:r>
      <w:r>
        <w:rPr>
          <w:spacing w:val="-5"/>
        </w:rPr>
        <w:t> </w:t>
      </w:r>
      <w:r>
        <w:rPr/>
        <w:t>2013).</w:t>
      </w:r>
      <w:r>
        <w:rPr>
          <w:spacing w:val="-5"/>
        </w:rPr>
        <w:t> </w:t>
      </w:r>
      <w:r>
        <w:rPr/>
        <w:t>The</w:t>
      </w:r>
      <w:r>
        <w:rPr>
          <w:spacing w:val="-6"/>
        </w:rPr>
        <w:t> </w:t>
      </w:r>
      <w:r>
        <w:rPr/>
        <w:t>Four</w:t>
      </w:r>
      <w:r>
        <w:rPr>
          <w:spacing w:val="-2"/>
        </w:rPr>
        <w:t> </w:t>
      </w:r>
      <w:r>
        <w:rPr/>
        <w:t>Noble</w:t>
      </w:r>
      <w:r>
        <w:rPr>
          <w:spacing w:val="-8"/>
        </w:rPr>
        <w:t> </w:t>
      </w:r>
      <w:r>
        <w:rPr/>
        <w:t>Truths</w:t>
      </w:r>
      <w:r>
        <w:rPr>
          <w:spacing w:val="-5"/>
        </w:rPr>
        <w:t> </w:t>
      </w:r>
      <w:r>
        <w:rPr/>
        <w:t>express</w:t>
      </w:r>
      <w:r>
        <w:rPr>
          <w:spacing w:val="-5"/>
        </w:rPr>
        <w:t> </w:t>
      </w:r>
      <w:r>
        <w:rPr/>
        <w:t>suffering (dukkha) as a characteristic of all things that come into being and pass away, with its root being in tanha (desire) and its end being possible through moral and mental changes (Keown, 2005; Gombrich, 2006).</w:t>
      </w:r>
    </w:p>
    <w:p>
      <w:pPr>
        <w:pStyle w:val="BodyText"/>
        <w:spacing w:line="259" w:lineRule="auto" w:before="55"/>
        <w:ind w:right="1438" w:firstLine="432"/>
        <w:jc w:val="both"/>
      </w:pPr>
      <w:r>
        <w:rPr/>
        <w:t>The principle of dependent origination (paicca samuppada) </w:t>
      </w:r>
      <w:r>
        <w:rPr>
          <w:spacing w:val="-2"/>
        </w:rPr>
        <w:t>elaborates</w:t>
      </w:r>
      <w:r>
        <w:rPr>
          <w:spacing w:val="-5"/>
        </w:rPr>
        <w:t> </w:t>
      </w:r>
      <w:r>
        <w:rPr>
          <w:spacing w:val="-2"/>
        </w:rPr>
        <w:t>on</w:t>
      </w:r>
      <w:r>
        <w:rPr>
          <w:spacing w:val="-5"/>
        </w:rPr>
        <w:t> </w:t>
      </w:r>
      <w:r>
        <w:rPr>
          <w:spacing w:val="-2"/>
        </w:rPr>
        <w:t>suffering</w:t>
      </w:r>
      <w:r>
        <w:rPr>
          <w:spacing w:val="-5"/>
        </w:rPr>
        <w:t> </w:t>
      </w:r>
      <w:r>
        <w:rPr>
          <w:spacing w:val="-2"/>
        </w:rPr>
        <w:t>as</w:t>
      </w:r>
      <w:r>
        <w:rPr>
          <w:spacing w:val="-5"/>
        </w:rPr>
        <w:t> </w:t>
      </w:r>
      <w:r>
        <w:rPr>
          <w:spacing w:val="-2"/>
        </w:rPr>
        <w:t>a</w:t>
      </w:r>
      <w:r>
        <w:rPr>
          <w:spacing w:val="-5"/>
        </w:rPr>
        <w:t> </w:t>
      </w:r>
      <w:r>
        <w:rPr>
          <w:spacing w:val="-2"/>
        </w:rPr>
        <w:t>chain of</w:t>
      </w:r>
      <w:r>
        <w:rPr>
          <w:spacing w:val="-5"/>
        </w:rPr>
        <w:t> </w:t>
      </w:r>
      <w:r>
        <w:rPr>
          <w:spacing w:val="-2"/>
        </w:rPr>
        <w:t>events</w:t>
      </w:r>
      <w:r>
        <w:rPr>
          <w:spacing w:val="-5"/>
        </w:rPr>
        <w:t> </w:t>
      </w:r>
      <w:r>
        <w:rPr>
          <w:spacing w:val="-2"/>
        </w:rPr>
        <w:t>caused</w:t>
      </w:r>
      <w:r>
        <w:rPr>
          <w:spacing w:val="-3"/>
        </w:rPr>
        <w:t> </w:t>
      </w:r>
      <w:r>
        <w:rPr>
          <w:spacing w:val="-2"/>
        </w:rPr>
        <w:t>by</w:t>
      </w:r>
      <w:r>
        <w:rPr>
          <w:spacing w:val="-8"/>
        </w:rPr>
        <w:t> </w:t>
      </w:r>
      <w:r>
        <w:rPr>
          <w:spacing w:val="-2"/>
        </w:rPr>
        <w:t>mutual</w:t>
      </w:r>
      <w:r>
        <w:rPr>
          <w:spacing w:val="-4"/>
        </w:rPr>
        <w:t> </w:t>
      </w:r>
      <w:r>
        <w:rPr>
          <w:spacing w:val="-2"/>
        </w:rPr>
        <w:t>dependence </w:t>
      </w:r>
      <w:r>
        <w:rPr/>
        <w:t>rather than single independent incidents (Garfield, 1995; Garfield &amp; </w:t>
      </w:r>
      <w:r>
        <w:rPr>
          <w:spacing w:val="-2"/>
        </w:rPr>
        <w:t>Priest,</w:t>
      </w:r>
      <w:r>
        <w:rPr>
          <w:spacing w:val="-9"/>
        </w:rPr>
        <w:t> </w:t>
      </w:r>
      <w:r>
        <w:rPr>
          <w:spacing w:val="-2"/>
        </w:rPr>
        <w:t>2003).</w:t>
      </w:r>
      <w:r>
        <w:rPr>
          <w:spacing w:val="-8"/>
        </w:rPr>
        <w:t> </w:t>
      </w:r>
      <w:r>
        <w:rPr>
          <w:spacing w:val="-2"/>
        </w:rPr>
        <w:t>Besides</w:t>
      </w:r>
      <w:r>
        <w:rPr>
          <w:spacing w:val="-11"/>
        </w:rPr>
        <w:t> </w:t>
      </w:r>
      <w:r>
        <w:rPr>
          <w:spacing w:val="-2"/>
        </w:rPr>
        <w:t>that,</w:t>
      </w:r>
      <w:r>
        <w:rPr>
          <w:spacing w:val="-10"/>
        </w:rPr>
        <w:t> </w:t>
      </w:r>
      <w:r>
        <w:rPr>
          <w:spacing w:val="-2"/>
        </w:rPr>
        <w:t>notions</w:t>
      </w:r>
      <w:r>
        <w:rPr>
          <w:spacing w:val="-8"/>
        </w:rPr>
        <w:t> </w:t>
      </w:r>
      <w:r>
        <w:rPr>
          <w:spacing w:val="-2"/>
        </w:rPr>
        <w:t>like</w:t>
      </w:r>
      <w:r>
        <w:rPr>
          <w:spacing w:val="-6"/>
        </w:rPr>
        <w:t> </w:t>
      </w:r>
      <w:r>
        <w:rPr>
          <w:spacing w:val="-2"/>
        </w:rPr>
        <w:t>anicca</w:t>
      </w:r>
      <w:r>
        <w:rPr>
          <w:spacing w:val="-10"/>
        </w:rPr>
        <w:t> </w:t>
      </w:r>
      <w:r>
        <w:rPr>
          <w:spacing w:val="-2"/>
        </w:rPr>
        <w:t>(impermanence)</w:t>
      </w:r>
      <w:r>
        <w:rPr>
          <w:spacing w:val="-6"/>
        </w:rPr>
        <w:t> </w:t>
      </w:r>
      <w:r>
        <w:rPr>
          <w:spacing w:val="-2"/>
        </w:rPr>
        <w:t>and</w:t>
      </w:r>
      <w:r>
        <w:rPr>
          <w:spacing w:val="-6"/>
        </w:rPr>
        <w:t> </w:t>
      </w:r>
      <w:r>
        <w:rPr>
          <w:spacing w:val="-2"/>
        </w:rPr>
        <w:t>anatta </w:t>
      </w:r>
      <w:r>
        <w:rPr/>
        <w:t>(non</w:t>
      </w:r>
      <w:r>
        <w:rPr>
          <w:spacing w:val="-5"/>
        </w:rPr>
        <w:t> </w:t>
      </w:r>
      <w:r>
        <w:rPr/>
        <w:t>self)</w:t>
      </w:r>
      <w:r>
        <w:rPr>
          <w:spacing w:val="-1"/>
        </w:rPr>
        <w:t> </w:t>
      </w:r>
      <w:r>
        <w:rPr/>
        <w:t>oppose</w:t>
      </w:r>
      <w:r>
        <w:rPr>
          <w:spacing w:val="-4"/>
        </w:rPr>
        <w:t> </w:t>
      </w:r>
      <w:r>
        <w:rPr/>
        <w:t>the</w:t>
      </w:r>
      <w:r>
        <w:rPr>
          <w:spacing w:val="-5"/>
        </w:rPr>
        <w:t> </w:t>
      </w:r>
      <w:r>
        <w:rPr/>
        <w:t>idea</w:t>
      </w:r>
      <w:r>
        <w:rPr>
          <w:spacing w:val="-7"/>
        </w:rPr>
        <w:t> </w:t>
      </w:r>
      <w:r>
        <w:rPr/>
        <w:t>of</w:t>
      </w:r>
      <w:r>
        <w:rPr>
          <w:spacing w:val="-5"/>
        </w:rPr>
        <w:t> </w:t>
      </w:r>
      <w:r>
        <w:rPr/>
        <w:t>permanence</w:t>
      </w:r>
      <w:r>
        <w:rPr>
          <w:spacing w:val="-4"/>
        </w:rPr>
        <w:t> </w:t>
      </w:r>
      <w:r>
        <w:rPr/>
        <w:t>and</w:t>
      </w:r>
      <w:r>
        <w:rPr>
          <w:spacing w:val="-3"/>
        </w:rPr>
        <w:t> </w:t>
      </w:r>
      <w:r>
        <w:rPr/>
        <w:t>selfhood,</w:t>
      </w:r>
      <w:r>
        <w:rPr>
          <w:spacing w:val="-3"/>
        </w:rPr>
        <w:t> </w:t>
      </w:r>
      <w:r>
        <w:rPr/>
        <w:t>thus</w:t>
      </w:r>
      <w:r>
        <w:rPr>
          <w:spacing w:val="-5"/>
        </w:rPr>
        <w:t> </w:t>
      </w:r>
      <w:r>
        <w:rPr/>
        <w:t>uncovering </w:t>
      </w:r>
      <w:r>
        <w:rPr>
          <w:spacing w:val="-2"/>
        </w:rPr>
        <w:t>the momentary</w:t>
      </w:r>
      <w:r>
        <w:rPr>
          <w:spacing w:val="-7"/>
        </w:rPr>
        <w:t> </w:t>
      </w:r>
      <w:r>
        <w:rPr>
          <w:spacing w:val="-2"/>
        </w:rPr>
        <w:t>and fabricated</w:t>
      </w:r>
      <w:r>
        <w:rPr>
          <w:spacing w:val="-3"/>
        </w:rPr>
        <w:t> </w:t>
      </w:r>
      <w:r>
        <w:rPr>
          <w:spacing w:val="-2"/>
        </w:rPr>
        <w:t>aspect</w:t>
      </w:r>
      <w:r>
        <w:rPr>
          <w:spacing w:val="-6"/>
        </w:rPr>
        <w:t> </w:t>
      </w:r>
      <w:r>
        <w:rPr>
          <w:spacing w:val="-2"/>
        </w:rPr>
        <w:t>of</w:t>
      </w:r>
      <w:r>
        <w:rPr>
          <w:spacing w:val="-5"/>
        </w:rPr>
        <w:t> </w:t>
      </w:r>
      <w:r>
        <w:rPr>
          <w:spacing w:val="-2"/>
        </w:rPr>
        <w:t>our experiences</w:t>
      </w:r>
      <w:r>
        <w:rPr>
          <w:spacing w:val="-5"/>
        </w:rPr>
        <w:t> </w:t>
      </w:r>
      <w:r>
        <w:rPr>
          <w:spacing w:val="-2"/>
        </w:rPr>
        <w:t>(Williams,</w:t>
      </w:r>
      <w:r>
        <w:rPr>
          <w:spacing w:val="-5"/>
        </w:rPr>
        <w:t> </w:t>
      </w:r>
      <w:r>
        <w:rPr>
          <w:spacing w:val="-2"/>
        </w:rPr>
        <w:t>2009; </w:t>
      </w:r>
      <w:r>
        <w:rPr/>
        <w:t>Kalupahana,</w:t>
      </w:r>
      <w:r>
        <w:rPr>
          <w:spacing w:val="-13"/>
        </w:rPr>
        <w:t> </w:t>
      </w:r>
      <w:r>
        <w:rPr/>
        <w:t>1987).</w:t>
      </w:r>
    </w:p>
    <w:p>
      <w:pPr>
        <w:pStyle w:val="Heading5"/>
        <w:numPr>
          <w:ilvl w:val="1"/>
          <w:numId w:val="97"/>
        </w:numPr>
        <w:tabs>
          <w:tab w:pos="1877" w:val="left" w:leader="none"/>
        </w:tabs>
        <w:spacing w:line="240" w:lineRule="auto" w:before="104" w:after="0"/>
        <w:ind w:left="1877" w:right="0" w:hanging="437"/>
        <w:jc w:val="left"/>
      </w:pPr>
      <w:r>
        <w:rPr>
          <w:w w:val="110"/>
        </w:rPr>
        <w:t>Comparative</w:t>
      </w:r>
      <w:r>
        <w:rPr>
          <w:spacing w:val="70"/>
          <w:w w:val="110"/>
        </w:rPr>
        <w:t> </w:t>
      </w:r>
      <w:r>
        <w:rPr>
          <w:w w:val="110"/>
        </w:rPr>
        <w:t>and</w:t>
      </w:r>
      <w:r>
        <w:rPr>
          <w:spacing w:val="69"/>
          <w:w w:val="110"/>
        </w:rPr>
        <w:t> </w:t>
      </w:r>
      <w:r>
        <w:rPr>
          <w:w w:val="110"/>
        </w:rPr>
        <w:t>Hermeneutic</w:t>
      </w:r>
      <w:r>
        <w:rPr>
          <w:spacing w:val="69"/>
          <w:w w:val="110"/>
        </w:rPr>
        <w:t> </w:t>
      </w:r>
      <w:r>
        <w:rPr>
          <w:spacing w:val="-2"/>
          <w:w w:val="110"/>
        </w:rPr>
        <w:t>Approaches</w:t>
      </w:r>
    </w:p>
    <w:p>
      <w:pPr>
        <w:pStyle w:val="BodyText"/>
        <w:spacing w:line="259" w:lineRule="auto" w:before="81"/>
        <w:ind w:right="1440" w:firstLine="432"/>
        <w:jc w:val="both"/>
      </w:pPr>
      <w:r>
        <w:rPr/>
        <w:t>Comparative</w:t>
      </w:r>
      <w:r>
        <w:rPr>
          <w:spacing w:val="-13"/>
        </w:rPr>
        <w:t> </w:t>
      </w:r>
      <w:r>
        <w:rPr/>
        <w:t>hermeneutics</w:t>
      </w:r>
      <w:r>
        <w:rPr>
          <w:spacing w:val="-12"/>
        </w:rPr>
        <w:t> </w:t>
      </w:r>
      <w:r>
        <w:rPr/>
        <w:t>is</w:t>
      </w:r>
      <w:r>
        <w:rPr>
          <w:spacing w:val="-13"/>
        </w:rPr>
        <w:t> </w:t>
      </w:r>
      <w:r>
        <w:rPr/>
        <w:t>continually</w:t>
      </w:r>
      <w:r>
        <w:rPr>
          <w:spacing w:val="-12"/>
        </w:rPr>
        <w:t> </w:t>
      </w:r>
      <w:r>
        <w:rPr/>
        <w:t>highlighting</w:t>
      </w:r>
      <w:r>
        <w:rPr>
          <w:spacing w:val="-13"/>
        </w:rPr>
        <w:t> </w:t>
      </w:r>
      <w:r>
        <w:rPr/>
        <w:t>the</w:t>
      </w:r>
      <w:r>
        <w:rPr>
          <w:spacing w:val="-12"/>
        </w:rPr>
        <w:t> </w:t>
      </w:r>
      <w:r>
        <w:rPr/>
        <w:t>ability</w:t>
      </w:r>
      <w:r>
        <w:rPr>
          <w:spacing w:val="-13"/>
        </w:rPr>
        <w:t> </w:t>
      </w:r>
      <w:r>
        <w:rPr/>
        <w:t>of cross</w:t>
      </w:r>
      <w:r>
        <w:rPr>
          <w:spacing w:val="-5"/>
        </w:rPr>
        <w:t> </w:t>
      </w:r>
      <w:r>
        <w:rPr/>
        <w:t>cultural</w:t>
      </w:r>
      <w:r>
        <w:rPr>
          <w:spacing w:val="-4"/>
        </w:rPr>
        <w:t> </w:t>
      </w:r>
      <w:r>
        <w:rPr/>
        <w:t>interpretation</w:t>
      </w:r>
      <w:r>
        <w:rPr>
          <w:spacing w:val="-6"/>
        </w:rPr>
        <w:t> </w:t>
      </w:r>
      <w:r>
        <w:rPr/>
        <w:t>to</w:t>
      </w:r>
      <w:r>
        <w:rPr>
          <w:spacing w:val="-5"/>
        </w:rPr>
        <w:t> </w:t>
      </w:r>
      <w:r>
        <w:rPr/>
        <w:t>generate</w:t>
      </w:r>
      <w:r>
        <w:rPr>
          <w:spacing w:val="-2"/>
        </w:rPr>
        <w:t> </w:t>
      </w:r>
      <w:r>
        <w:rPr/>
        <w:t>new</w:t>
      </w:r>
      <w:r>
        <w:rPr>
          <w:spacing w:val="-8"/>
        </w:rPr>
        <w:t> </w:t>
      </w:r>
      <w:r>
        <w:rPr/>
        <w:t>insights</w:t>
      </w:r>
      <w:r>
        <w:rPr>
          <w:spacing w:val="-3"/>
        </w:rPr>
        <w:t> </w:t>
      </w:r>
      <w:r>
        <w:rPr/>
        <w:t>without</w:t>
      </w:r>
      <w:r>
        <w:rPr>
          <w:spacing w:val="-6"/>
        </w:rPr>
        <w:t> </w:t>
      </w:r>
      <w:r>
        <w:rPr/>
        <w:t>dismissing different ways of knowing altogether (Ricoeur, 1976; Ganeri, 2007). Methods of this kind allow major works to be reread in the light of different philosophical systems, thus offering new possibilities for the interpretation of literature (Kearney, 2002; Faure, 2009). On the other hand, the use of Buddhist philosophy to shed light on Shakespearean tragedy is, in fact, a less explored area. Therefore, this article aims at filling that gap.</w:t>
      </w:r>
    </w:p>
    <w:p>
      <w:pPr>
        <w:pStyle w:val="Heading3"/>
        <w:spacing w:before="152"/>
      </w:pPr>
      <w:r>
        <w:rPr>
          <w:spacing w:val="-2"/>
        </w:rPr>
        <w:t>METHODOLOGY</w:t>
      </w:r>
    </w:p>
    <w:p>
      <w:pPr>
        <w:pStyle w:val="BodyText"/>
        <w:spacing w:line="259" w:lineRule="auto" w:before="83"/>
        <w:ind w:right="1440" w:firstLine="432"/>
        <w:jc w:val="both"/>
      </w:pPr>
      <w:r>
        <w:rPr/>
        <w:t>Based on comparative hermeneutics and very detailed textual analysis (Ricoeur, 1976; Ganeri, 2007), this paper uses a qualitative, interpretive method. The main idea of this study isn’t to say that these two are conceptually equivalent, but on the other hand to find their structural</w:t>
      </w:r>
      <w:r>
        <w:rPr>
          <w:spacing w:val="-8"/>
        </w:rPr>
        <w:t> </w:t>
      </w:r>
      <w:r>
        <w:rPr/>
        <w:t>parallels</w:t>
      </w:r>
      <w:r>
        <w:rPr>
          <w:spacing w:val="-8"/>
        </w:rPr>
        <w:t> </w:t>
      </w:r>
      <w:r>
        <w:rPr/>
        <w:t>in</w:t>
      </w:r>
      <w:r>
        <w:rPr>
          <w:spacing w:val="-8"/>
        </w:rPr>
        <w:t> </w:t>
      </w:r>
      <w:r>
        <w:rPr/>
        <w:t>literary</w:t>
      </w:r>
      <w:r>
        <w:rPr>
          <w:spacing w:val="-13"/>
        </w:rPr>
        <w:t> </w:t>
      </w:r>
      <w:r>
        <w:rPr/>
        <w:t>portrayal</w:t>
      </w:r>
      <w:r>
        <w:rPr>
          <w:spacing w:val="-9"/>
        </w:rPr>
        <w:t> </w:t>
      </w:r>
      <w:r>
        <w:rPr/>
        <w:t>and</w:t>
      </w:r>
      <w:r>
        <w:rPr>
          <w:spacing w:val="-5"/>
        </w:rPr>
        <w:t> </w:t>
      </w:r>
      <w:r>
        <w:rPr/>
        <w:t>philosophical</w:t>
      </w:r>
      <w:r>
        <w:rPr>
          <w:spacing w:val="-8"/>
        </w:rPr>
        <w:t> </w:t>
      </w:r>
      <w:r>
        <w:rPr>
          <w:spacing w:val="-2"/>
        </w:rPr>
        <w:t>categorization.</w:t>
      </w:r>
    </w:p>
    <w:p>
      <w:pPr>
        <w:pStyle w:val="BodyText"/>
        <w:spacing w:line="249" w:lineRule="auto" w:before="52"/>
        <w:ind w:right="1440" w:firstLine="432"/>
        <w:jc w:val="both"/>
      </w:pPr>
      <w:r>
        <w:rPr/>
        <w:t>The first step of the textual analysis is to find and note the most significant episodes in the text of the plays their soliloquies, moral choices, and the use</w:t>
      </w:r>
      <w:r>
        <w:rPr>
          <w:spacing w:val="18"/>
        </w:rPr>
        <w:t> </w:t>
      </w:r>
      <w:r>
        <w:rPr/>
        <w:t>of symbols in particular. Then the second step</w:t>
      </w:r>
      <w:r>
        <w:rPr>
          <w:spacing w:val="19"/>
        </w:rPr>
        <w:t> </w:t>
      </w:r>
      <w:r>
        <w:rPr/>
        <w:t>is</w:t>
      </w:r>
      <w:r>
        <w:rPr>
          <w:spacing w:val="40"/>
        </w:rPr>
        <w:t> </w:t>
      </w:r>
      <w:r>
        <w:rPr/>
        <w:t>to</w:t>
      </w:r>
      <w:r>
        <w:rPr>
          <w:spacing w:val="38"/>
        </w:rPr>
        <w:t> </w:t>
      </w:r>
      <w:r>
        <w:rPr/>
        <w:t>understand</w:t>
      </w:r>
      <w:r>
        <w:rPr>
          <w:spacing w:val="36"/>
        </w:rPr>
        <w:t> </w:t>
      </w:r>
      <w:r>
        <w:rPr/>
        <w:t>those</w:t>
      </w:r>
      <w:r>
        <w:rPr>
          <w:spacing w:val="36"/>
        </w:rPr>
        <w:t> </w:t>
      </w:r>
      <w:r>
        <w:rPr/>
        <w:t>moments</w:t>
      </w:r>
      <w:r>
        <w:rPr>
          <w:spacing w:val="34"/>
        </w:rPr>
        <w:t> </w:t>
      </w:r>
      <w:r>
        <w:rPr/>
        <w:t>through</w:t>
      </w:r>
      <w:r>
        <w:rPr>
          <w:spacing w:val="35"/>
        </w:rPr>
        <w:t> </w:t>
      </w:r>
      <w:r>
        <w:rPr/>
        <w:t>Buddhist</w:t>
      </w:r>
      <w:r>
        <w:rPr>
          <w:spacing w:val="34"/>
        </w:rPr>
        <w:t> </w:t>
      </w:r>
      <w:r>
        <w:rPr/>
        <w:t>ideas</w:t>
      </w:r>
      <w:r>
        <w:rPr>
          <w:spacing w:val="36"/>
        </w:rPr>
        <w:t> </w:t>
      </w:r>
      <w:r>
        <w:rPr/>
        <w:t>such</w:t>
      </w:r>
      <w:r>
        <w:rPr>
          <w:spacing w:val="33"/>
        </w:rPr>
        <w:t> </w:t>
      </w:r>
      <w:r>
        <w:rPr/>
        <w:t>as</w:t>
      </w:r>
      <w:r>
        <w:rPr>
          <w:spacing w:val="36"/>
        </w:rPr>
        <w:t> </w:t>
      </w:r>
      <w:r>
        <w:rPr>
          <w:spacing w:val="-2"/>
        </w:rPr>
        <w:t>tanha,</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4464">
                <wp:simplePos x="0" y="0"/>
                <wp:positionH relativeFrom="page">
                  <wp:posOffset>2065020</wp:posOffset>
                </wp:positionH>
                <wp:positionV relativeFrom="paragraph">
                  <wp:posOffset>795020</wp:posOffset>
                </wp:positionV>
                <wp:extent cx="3657600" cy="12700"/>
                <wp:effectExtent l="0" t="0" r="0" b="0"/>
                <wp:wrapTopAndBottom/>
                <wp:docPr id="911" name="Graphic 911"/>
                <wp:cNvGraphicFramePr>
                  <a:graphicFrameLocks/>
                </wp:cNvGraphicFramePr>
                <a:graphic>
                  <a:graphicData uri="http://schemas.microsoft.com/office/word/2010/wordprocessingShape">
                    <wps:wsp>
                      <wps:cNvPr id="911" name="Graphic 911"/>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82016;mso-wrap-distance-left:0;mso-wrap-distance-right:0" id="docshape902" filled="true" fillcolor="#000000" stroked="false">
                <v:fill type="solid"/>
                <w10:wrap type="topAndBottom"/>
              </v:rect>
            </w:pict>
          </mc:Fallback>
        </mc:AlternateContent>
      </w:r>
      <w:r>
        <w:rPr>
          <w:rFonts w:ascii="Verdana"/>
          <w:spacing w:val="-2"/>
          <w:sz w:val="18"/>
        </w:rPr>
        <w:t>Re-reading</w:t>
      </w:r>
      <w:r>
        <w:rPr>
          <w:rFonts w:ascii="Verdana"/>
          <w:spacing w:val="1"/>
          <w:sz w:val="18"/>
        </w:rPr>
        <w:t> </w:t>
      </w:r>
      <w:r>
        <w:rPr>
          <w:rFonts w:ascii="Verdana"/>
          <w:spacing w:val="-2"/>
          <w:sz w:val="18"/>
        </w:rPr>
        <w:t>Shakespearean</w:t>
      </w:r>
      <w:r>
        <w:rPr>
          <w:rFonts w:ascii="Verdana"/>
          <w:spacing w:val="4"/>
          <w:sz w:val="18"/>
        </w:rPr>
        <w:t> </w:t>
      </w:r>
      <w:r>
        <w:rPr>
          <w:rFonts w:ascii="Verdana"/>
          <w:spacing w:val="-2"/>
          <w:sz w:val="18"/>
        </w:rPr>
        <w:t>Tragedy</w:t>
      </w:r>
      <w:r>
        <w:rPr>
          <w:rFonts w:ascii="Verdana"/>
          <w:spacing w:val="5"/>
          <w:sz w:val="18"/>
        </w:rPr>
        <w:t> </w:t>
      </w:r>
      <w:r>
        <w:rPr>
          <w:rFonts w:ascii="Verdana"/>
          <w:spacing w:val="-2"/>
          <w:sz w:val="18"/>
        </w:rPr>
        <w:t>through</w:t>
      </w:r>
      <w:r>
        <w:rPr>
          <w:rFonts w:ascii="Verdana"/>
          <w:spacing w:val="3"/>
          <w:sz w:val="18"/>
        </w:rPr>
        <w:t> </w:t>
      </w:r>
      <w:r>
        <w:rPr>
          <w:rFonts w:ascii="Verdana"/>
          <w:spacing w:val="-2"/>
          <w:sz w:val="18"/>
        </w:rPr>
        <w:t>Buddhist...</w:t>
      </w:r>
      <w:r>
        <w:rPr>
          <w:sz w:val="18"/>
        </w:rPr>
        <w:tab/>
      </w:r>
      <w:r>
        <w:rPr>
          <w:rFonts w:ascii="Verdana"/>
          <w:spacing w:val="-5"/>
          <w:sz w:val="18"/>
        </w:rPr>
        <w:t>481</w:t>
      </w:r>
    </w:p>
    <w:p>
      <w:pPr>
        <w:pStyle w:val="BodyText"/>
        <w:spacing w:line="249" w:lineRule="auto" w:before="192"/>
        <w:ind w:right="1441"/>
        <w:jc w:val="both"/>
      </w:pPr>
      <w:r>
        <w:rPr/>
        <w:t>anicca, and avijja however these ideas are seen as very useful tools to help us understand rather than religious doctrine (Harvey, 2013; Loy, </w:t>
      </w:r>
      <w:r>
        <w:rPr>
          <w:spacing w:val="-2"/>
        </w:rPr>
        <w:t>2003).</w:t>
      </w:r>
      <w:r>
        <w:rPr>
          <w:spacing w:val="-12"/>
        </w:rPr>
        <w:t> </w:t>
      </w:r>
      <w:r>
        <w:rPr>
          <w:spacing w:val="-2"/>
        </w:rPr>
        <w:t>The</w:t>
      </w:r>
      <w:r>
        <w:rPr>
          <w:spacing w:val="-12"/>
        </w:rPr>
        <w:t> </w:t>
      </w:r>
      <w:r>
        <w:rPr>
          <w:spacing w:val="-2"/>
        </w:rPr>
        <w:t>third</w:t>
      </w:r>
      <w:r>
        <w:rPr>
          <w:spacing w:val="-12"/>
        </w:rPr>
        <w:t> </w:t>
      </w:r>
      <w:r>
        <w:rPr>
          <w:spacing w:val="-2"/>
        </w:rPr>
        <w:t>step</w:t>
      </w:r>
      <w:r>
        <w:rPr>
          <w:spacing w:val="-9"/>
        </w:rPr>
        <w:t> </w:t>
      </w:r>
      <w:r>
        <w:rPr>
          <w:spacing w:val="-2"/>
        </w:rPr>
        <w:t>is</w:t>
      </w:r>
      <w:r>
        <w:rPr>
          <w:spacing w:val="-12"/>
        </w:rPr>
        <w:t> </w:t>
      </w:r>
      <w:r>
        <w:rPr>
          <w:spacing w:val="-2"/>
        </w:rPr>
        <w:t>to</w:t>
      </w:r>
      <w:r>
        <w:rPr>
          <w:spacing w:val="-10"/>
        </w:rPr>
        <w:t> </w:t>
      </w:r>
      <w:r>
        <w:rPr>
          <w:spacing w:val="-2"/>
        </w:rPr>
        <w:t>point</w:t>
      </w:r>
      <w:r>
        <w:rPr>
          <w:spacing w:val="-12"/>
        </w:rPr>
        <w:t> </w:t>
      </w:r>
      <w:r>
        <w:rPr>
          <w:spacing w:val="-2"/>
        </w:rPr>
        <w:t>out</w:t>
      </w:r>
      <w:r>
        <w:rPr>
          <w:spacing w:val="-11"/>
        </w:rPr>
        <w:t> </w:t>
      </w:r>
      <w:r>
        <w:rPr>
          <w:spacing w:val="-2"/>
        </w:rPr>
        <w:t>the</w:t>
      </w:r>
      <w:r>
        <w:rPr>
          <w:spacing w:val="-10"/>
        </w:rPr>
        <w:t> </w:t>
      </w:r>
      <w:r>
        <w:rPr>
          <w:spacing w:val="-2"/>
        </w:rPr>
        <w:t>main</w:t>
      </w:r>
      <w:r>
        <w:rPr>
          <w:spacing w:val="-14"/>
        </w:rPr>
        <w:t> </w:t>
      </w:r>
      <w:r>
        <w:rPr>
          <w:spacing w:val="-2"/>
        </w:rPr>
        <w:t>problem</w:t>
      </w:r>
      <w:r>
        <w:rPr>
          <w:spacing w:val="-17"/>
        </w:rPr>
        <w:t> </w:t>
      </w:r>
      <w:r>
        <w:rPr>
          <w:spacing w:val="-2"/>
        </w:rPr>
        <w:t>of</w:t>
      </w:r>
      <w:r>
        <w:rPr>
          <w:spacing w:val="-12"/>
        </w:rPr>
        <w:t> </w:t>
      </w:r>
      <w:r>
        <w:rPr>
          <w:spacing w:val="-2"/>
        </w:rPr>
        <w:t>the</w:t>
      </w:r>
      <w:r>
        <w:rPr>
          <w:spacing w:val="-8"/>
        </w:rPr>
        <w:t> </w:t>
      </w:r>
      <w:r>
        <w:rPr>
          <w:spacing w:val="-2"/>
        </w:rPr>
        <w:t>interpretation,</w:t>
      </w:r>
    </w:p>
    <w:p>
      <w:pPr>
        <w:pStyle w:val="BodyText"/>
        <w:spacing w:line="249" w:lineRule="auto" w:before="3"/>
        <w:ind w:right="1441"/>
        <w:jc w:val="both"/>
      </w:pPr>
      <w:r>
        <w:rPr/>
        <w:t>i.e. How it can be wrongly understood if it isn’t properly handled or it can be conceptually too much simplified that’s why it’s very important to go</w:t>
      </w:r>
      <w:r>
        <w:rPr>
          <w:spacing w:val="2"/>
        </w:rPr>
        <w:t> </w:t>
      </w:r>
      <w:r>
        <w:rPr/>
        <w:t>back</w:t>
      </w:r>
      <w:r>
        <w:rPr>
          <w:spacing w:val="-2"/>
        </w:rPr>
        <w:t> </w:t>
      </w:r>
      <w:r>
        <w:rPr/>
        <w:t>and</w:t>
      </w:r>
      <w:r>
        <w:rPr>
          <w:spacing w:val="4"/>
        </w:rPr>
        <w:t> </w:t>
      </w:r>
      <w:r>
        <w:rPr/>
        <w:t>forth in</w:t>
      </w:r>
      <w:r>
        <w:rPr>
          <w:spacing w:val="-2"/>
        </w:rPr>
        <w:t> </w:t>
      </w:r>
      <w:r>
        <w:rPr/>
        <w:t>time</w:t>
      </w:r>
      <w:r>
        <w:rPr>
          <w:spacing w:val="3"/>
        </w:rPr>
        <w:t> </w:t>
      </w:r>
      <w:r>
        <w:rPr/>
        <w:t>to</w:t>
      </w:r>
      <w:r>
        <w:rPr>
          <w:spacing w:val="1"/>
        </w:rPr>
        <w:t> </w:t>
      </w:r>
      <w:r>
        <w:rPr/>
        <w:t>avoid these</w:t>
      </w:r>
      <w:r>
        <w:rPr>
          <w:spacing w:val="2"/>
        </w:rPr>
        <w:t> </w:t>
      </w:r>
      <w:r>
        <w:rPr/>
        <w:t>two most</w:t>
      </w:r>
      <w:r>
        <w:rPr>
          <w:spacing w:val="2"/>
        </w:rPr>
        <w:t> </w:t>
      </w:r>
      <w:r>
        <w:rPr/>
        <w:t>common</w:t>
      </w:r>
      <w:r>
        <w:rPr>
          <w:spacing w:val="-2"/>
        </w:rPr>
        <w:t> mistakes.</w:t>
      </w:r>
    </w:p>
    <w:p>
      <w:pPr>
        <w:pStyle w:val="Heading3"/>
        <w:spacing w:before="156"/>
      </w:pPr>
      <w:r>
        <w:rPr>
          <w:spacing w:val="-2"/>
        </w:rPr>
        <w:t>ANALYSIS</w:t>
      </w:r>
    </w:p>
    <w:p>
      <w:pPr>
        <w:pStyle w:val="Heading5"/>
        <w:numPr>
          <w:ilvl w:val="1"/>
          <w:numId w:val="98"/>
        </w:numPr>
        <w:tabs>
          <w:tab w:pos="1862" w:val="left" w:leader="none"/>
        </w:tabs>
        <w:spacing w:line="240" w:lineRule="auto" w:before="125" w:after="0"/>
        <w:ind w:left="1862" w:right="0" w:hanging="422"/>
        <w:jc w:val="both"/>
      </w:pPr>
      <w:r>
        <w:rPr>
          <w:w w:val="105"/>
        </w:rPr>
        <w:t>Macbeth:</w:t>
      </w:r>
      <w:r>
        <w:rPr>
          <w:spacing w:val="78"/>
          <w:w w:val="105"/>
        </w:rPr>
        <w:t> </w:t>
      </w:r>
      <w:r>
        <w:rPr>
          <w:w w:val="105"/>
        </w:rPr>
        <w:t>Desire</w:t>
      </w:r>
      <w:r>
        <w:rPr>
          <w:spacing w:val="77"/>
          <w:w w:val="105"/>
        </w:rPr>
        <w:t> </w:t>
      </w:r>
      <w:r>
        <w:rPr>
          <w:w w:val="105"/>
        </w:rPr>
        <w:t>and</w:t>
      </w:r>
      <w:r>
        <w:rPr>
          <w:spacing w:val="76"/>
          <w:w w:val="105"/>
        </w:rPr>
        <w:t> </w:t>
      </w:r>
      <w:r>
        <w:rPr>
          <w:w w:val="105"/>
        </w:rPr>
        <w:t>the</w:t>
      </w:r>
      <w:r>
        <w:rPr>
          <w:spacing w:val="75"/>
          <w:w w:val="105"/>
        </w:rPr>
        <w:t> </w:t>
      </w:r>
      <w:r>
        <w:rPr>
          <w:w w:val="105"/>
        </w:rPr>
        <w:t>Escalation</w:t>
      </w:r>
      <w:r>
        <w:rPr>
          <w:spacing w:val="76"/>
          <w:w w:val="105"/>
        </w:rPr>
        <w:t> </w:t>
      </w:r>
      <w:r>
        <w:rPr>
          <w:w w:val="105"/>
        </w:rPr>
        <w:t>of</w:t>
      </w:r>
      <w:r>
        <w:rPr>
          <w:spacing w:val="74"/>
          <w:w w:val="105"/>
        </w:rPr>
        <w:t> </w:t>
      </w:r>
      <w:r>
        <w:rPr>
          <w:spacing w:val="-2"/>
          <w:w w:val="105"/>
        </w:rPr>
        <w:t>Suffering</w:t>
      </w:r>
    </w:p>
    <w:p>
      <w:pPr>
        <w:pStyle w:val="BodyText"/>
        <w:spacing w:line="256" w:lineRule="auto" w:before="74"/>
        <w:ind w:right="1439" w:firstLine="432"/>
        <w:jc w:val="both"/>
      </w:pPr>
      <w:r>
        <w:rPr/>
        <w:t>Macbeth’s tragedy in the play is largely driven by a gradual build up</w:t>
      </w:r>
      <w:r>
        <w:rPr>
          <w:spacing w:val="28"/>
        </w:rPr>
        <w:t> </w:t>
      </w:r>
      <w:r>
        <w:rPr/>
        <w:t>of</w:t>
      </w:r>
      <w:r>
        <w:rPr>
          <w:spacing w:val="26"/>
        </w:rPr>
        <w:t> </w:t>
      </w:r>
      <w:r>
        <w:rPr/>
        <w:t>his</w:t>
      </w:r>
      <w:r>
        <w:rPr>
          <w:spacing w:val="24"/>
        </w:rPr>
        <w:t> </w:t>
      </w:r>
      <w:r>
        <w:rPr/>
        <w:t>desires</w:t>
      </w:r>
      <w:r>
        <w:rPr>
          <w:spacing w:val="28"/>
        </w:rPr>
        <w:t> </w:t>
      </w:r>
      <w:r>
        <w:rPr/>
        <w:t>that</w:t>
      </w:r>
      <w:r>
        <w:rPr>
          <w:spacing w:val="26"/>
        </w:rPr>
        <w:t> </w:t>
      </w:r>
      <w:r>
        <w:rPr/>
        <w:t>goes</w:t>
      </w:r>
      <w:r>
        <w:rPr>
          <w:spacing w:val="28"/>
        </w:rPr>
        <w:t> </w:t>
      </w:r>
      <w:r>
        <w:rPr/>
        <w:t>on</w:t>
      </w:r>
      <w:r>
        <w:rPr>
          <w:spacing w:val="26"/>
        </w:rPr>
        <w:t> </w:t>
      </w:r>
      <w:r>
        <w:rPr/>
        <w:t>to</w:t>
      </w:r>
      <w:r>
        <w:rPr>
          <w:spacing w:val="30"/>
        </w:rPr>
        <w:t> </w:t>
      </w:r>
      <w:r>
        <w:rPr/>
        <w:t>unsettle</w:t>
      </w:r>
      <w:r>
        <w:rPr>
          <w:spacing w:val="27"/>
        </w:rPr>
        <w:t> </w:t>
      </w:r>
      <w:r>
        <w:rPr/>
        <w:t>not</w:t>
      </w:r>
      <w:r>
        <w:rPr>
          <w:spacing w:val="28"/>
        </w:rPr>
        <w:t> </w:t>
      </w:r>
      <w:r>
        <w:rPr/>
        <w:t>only</w:t>
      </w:r>
      <w:r>
        <w:rPr>
          <w:spacing w:val="24"/>
        </w:rPr>
        <w:t> </w:t>
      </w:r>
      <w:r>
        <w:rPr/>
        <w:t>his</w:t>
      </w:r>
      <w:r>
        <w:rPr>
          <w:spacing w:val="28"/>
        </w:rPr>
        <w:t> </w:t>
      </w:r>
      <w:r>
        <w:rPr/>
        <w:t>mind</w:t>
      </w:r>
      <w:r>
        <w:rPr>
          <w:spacing w:val="28"/>
        </w:rPr>
        <w:t> </w:t>
      </w:r>
      <w:r>
        <w:rPr/>
        <w:t>but</w:t>
      </w:r>
      <w:r>
        <w:rPr>
          <w:spacing w:val="30"/>
        </w:rPr>
        <w:t> </w:t>
      </w:r>
      <w:r>
        <w:rPr/>
        <w:t>also his</w:t>
      </w:r>
      <w:r>
        <w:rPr>
          <w:spacing w:val="-4"/>
        </w:rPr>
        <w:t> </w:t>
      </w:r>
      <w:r>
        <w:rPr/>
        <w:t>moral</w:t>
      </w:r>
      <w:r>
        <w:rPr>
          <w:spacing w:val="-5"/>
        </w:rPr>
        <w:t> </w:t>
      </w:r>
      <w:r>
        <w:rPr/>
        <w:t>judgment.</w:t>
      </w:r>
      <w:r>
        <w:rPr>
          <w:spacing w:val="-7"/>
        </w:rPr>
        <w:t> </w:t>
      </w:r>
      <w:r>
        <w:rPr/>
        <w:t>When</w:t>
      </w:r>
      <w:r>
        <w:rPr>
          <w:spacing w:val="-6"/>
        </w:rPr>
        <w:t> </w:t>
      </w:r>
      <w:r>
        <w:rPr/>
        <w:t>the</w:t>
      </w:r>
      <w:r>
        <w:rPr>
          <w:spacing w:val="-3"/>
        </w:rPr>
        <w:t> </w:t>
      </w:r>
      <w:r>
        <w:rPr/>
        <w:t>witches</w:t>
      </w:r>
      <w:r>
        <w:rPr>
          <w:spacing w:val="-6"/>
        </w:rPr>
        <w:t> </w:t>
      </w:r>
      <w:r>
        <w:rPr/>
        <w:t>reveal</w:t>
      </w:r>
      <w:r>
        <w:rPr>
          <w:spacing w:val="-5"/>
        </w:rPr>
        <w:t> </w:t>
      </w:r>
      <w:r>
        <w:rPr/>
        <w:t>their</w:t>
      </w:r>
      <w:r>
        <w:rPr>
          <w:spacing w:val="-6"/>
        </w:rPr>
        <w:t> </w:t>
      </w:r>
      <w:r>
        <w:rPr/>
        <w:t>prophecy,</w:t>
      </w:r>
      <w:r>
        <w:rPr>
          <w:spacing w:val="-4"/>
        </w:rPr>
        <w:t> </w:t>
      </w:r>
      <w:r>
        <w:rPr/>
        <w:t>he</w:t>
      </w:r>
      <w:r>
        <w:rPr>
          <w:spacing w:val="-3"/>
        </w:rPr>
        <w:t> </w:t>
      </w:r>
      <w:r>
        <w:rPr/>
        <w:t>admits: “</w:t>
      </w:r>
      <w:r>
        <w:rPr>
          <w:i/>
        </w:rPr>
        <w:t>My thought,</w:t>
      </w:r>
      <w:r>
        <w:rPr>
          <w:i/>
          <w:spacing w:val="40"/>
        </w:rPr>
        <w:t> </w:t>
      </w:r>
      <w:r>
        <w:rPr>
          <w:i/>
        </w:rPr>
        <w:t>whose murder yet is but</w:t>
      </w:r>
      <w:r>
        <w:rPr>
          <w:i/>
          <w:spacing w:val="40"/>
        </w:rPr>
        <w:t> </w:t>
      </w:r>
      <w:r>
        <w:rPr>
          <w:i/>
        </w:rPr>
        <w:t>fantastical,</w:t>
      </w:r>
      <w:r>
        <w:rPr>
          <w:i/>
          <w:spacing w:val="40"/>
        </w:rPr>
        <w:t> </w:t>
      </w:r>
      <w:r>
        <w:rPr>
          <w:i/>
        </w:rPr>
        <w:t>/ Shakes so my single state of man</w:t>
      </w:r>
      <w:r>
        <w:rPr/>
        <w:t>” (1.3.139 140 Shakespeare 2007). At this point, Macbeth doesn’t simply feel ambition; rather, a kind of disturbance arises inside him, where a thought of an act actually starts to</w:t>
      </w:r>
      <w:r>
        <w:rPr>
          <w:spacing w:val="25"/>
        </w:rPr>
        <w:t> </w:t>
      </w:r>
      <w:r>
        <w:rPr/>
        <w:t>change</w:t>
      </w:r>
      <w:r>
        <w:rPr>
          <w:spacing w:val="80"/>
        </w:rPr>
        <w:t> </w:t>
      </w:r>
      <w:r>
        <w:rPr/>
        <w:t>his mind and feelings. The “fantastical” thought of murder already throws Macbeth off balance, which means that desire comes before action</w:t>
      </w:r>
      <w:r>
        <w:rPr>
          <w:spacing w:val="-3"/>
        </w:rPr>
        <w:t> </w:t>
      </w:r>
      <w:r>
        <w:rPr/>
        <w:t>as a</w:t>
      </w:r>
      <w:r>
        <w:rPr>
          <w:spacing w:val="-1"/>
        </w:rPr>
        <w:t> </w:t>
      </w:r>
      <w:r>
        <w:rPr/>
        <w:t>shaking</w:t>
      </w:r>
      <w:r>
        <w:rPr>
          <w:spacing w:val="-1"/>
        </w:rPr>
        <w:t> </w:t>
      </w:r>
      <w:r>
        <w:rPr/>
        <w:t>up</w:t>
      </w:r>
      <w:r>
        <w:rPr>
          <w:spacing w:val="-1"/>
        </w:rPr>
        <w:t> </w:t>
      </w:r>
      <w:r>
        <w:rPr/>
        <w:t>event</w:t>
      </w:r>
      <w:r>
        <w:rPr>
          <w:spacing w:val="-1"/>
        </w:rPr>
        <w:t> </w:t>
      </w:r>
      <w:r>
        <w:rPr/>
        <w:t>in</w:t>
      </w:r>
      <w:r>
        <w:rPr>
          <w:spacing w:val="-1"/>
        </w:rPr>
        <w:t> </w:t>
      </w:r>
      <w:r>
        <w:rPr/>
        <w:t>the</w:t>
      </w:r>
      <w:r>
        <w:rPr>
          <w:spacing w:val="-1"/>
        </w:rPr>
        <w:t> </w:t>
      </w:r>
      <w:r>
        <w:rPr/>
        <w:t>mind.</w:t>
      </w:r>
      <w:r>
        <w:rPr>
          <w:spacing w:val="-1"/>
        </w:rPr>
        <w:t> </w:t>
      </w:r>
      <w:r>
        <w:rPr/>
        <w:t>In</w:t>
      </w:r>
      <w:r>
        <w:rPr>
          <w:spacing w:val="-1"/>
        </w:rPr>
        <w:t> </w:t>
      </w:r>
      <w:r>
        <w:rPr/>
        <w:t>Buddhist</w:t>
      </w:r>
      <w:r>
        <w:rPr>
          <w:spacing w:val="-1"/>
        </w:rPr>
        <w:t> </w:t>
      </w:r>
      <w:r>
        <w:rPr/>
        <w:t>philosophy, it</w:t>
      </w:r>
      <w:r>
        <w:rPr>
          <w:spacing w:val="-1"/>
        </w:rPr>
        <w:t> </w:t>
      </w:r>
      <w:r>
        <w:rPr/>
        <w:t>can be equated to tanha or craving which confuses one’s vision and is the start of suffering (Rahula, 1974; Keown, 2005).</w:t>
      </w:r>
    </w:p>
    <w:p>
      <w:pPr>
        <w:pStyle w:val="BodyText"/>
        <w:spacing w:line="256" w:lineRule="auto" w:before="56"/>
        <w:ind w:right="1439" w:firstLine="432"/>
        <w:jc w:val="both"/>
      </w:pPr>
      <w:r>
        <w:rPr/>
        <w:t>This</w:t>
      </w:r>
      <w:r>
        <w:rPr>
          <w:spacing w:val="-6"/>
        </w:rPr>
        <w:t> </w:t>
      </w:r>
      <w:r>
        <w:rPr/>
        <w:t>unraveling</w:t>
      </w:r>
      <w:r>
        <w:rPr>
          <w:spacing w:val="-6"/>
        </w:rPr>
        <w:t> </w:t>
      </w:r>
      <w:r>
        <w:rPr/>
        <w:t>is</w:t>
      </w:r>
      <w:r>
        <w:rPr>
          <w:spacing w:val="-8"/>
        </w:rPr>
        <w:t> </w:t>
      </w:r>
      <w:r>
        <w:rPr/>
        <w:t>crystalized</w:t>
      </w:r>
      <w:r>
        <w:rPr>
          <w:spacing w:val="-4"/>
        </w:rPr>
        <w:t> </w:t>
      </w:r>
      <w:r>
        <w:rPr/>
        <w:t>in</w:t>
      </w:r>
      <w:r>
        <w:rPr>
          <w:spacing w:val="-6"/>
        </w:rPr>
        <w:t> </w:t>
      </w:r>
      <w:r>
        <w:rPr/>
        <w:t>the</w:t>
      </w:r>
      <w:r>
        <w:rPr>
          <w:spacing w:val="-4"/>
        </w:rPr>
        <w:t> </w:t>
      </w:r>
      <w:r>
        <w:rPr/>
        <w:t>dagger</w:t>
      </w:r>
      <w:r>
        <w:rPr>
          <w:spacing w:val="-6"/>
        </w:rPr>
        <w:t> </w:t>
      </w:r>
      <w:r>
        <w:rPr/>
        <w:t>speech</w:t>
      </w:r>
      <w:r>
        <w:rPr>
          <w:spacing w:val="-6"/>
        </w:rPr>
        <w:t> </w:t>
      </w:r>
      <w:r>
        <w:rPr/>
        <w:t>where</w:t>
      </w:r>
      <w:r>
        <w:rPr>
          <w:spacing w:val="-6"/>
        </w:rPr>
        <w:t> </w:t>
      </w:r>
      <w:r>
        <w:rPr/>
        <w:t>Macbeth wonders: “</w:t>
      </w:r>
      <w:r>
        <w:rPr>
          <w:i/>
        </w:rPr>
        <w:t>Is this a dagger which I see before me, / The handle toward my hand?</w:t>
      </w:r>
      <w:r>
        <w:rPr/>
        <w:t>” (2.1.33 34 Shakespeare 2007). The ghost/dagger is situated in the in between space of reality and imagination, at a point where a person’s wants/needs take the form of a physical like object which can be seen as leading a person.</w:t>
      </w:r>
      <w:r>
        <w:rPr>
          <w:spacing w:val="-2"/>
        </w:rPr>
        <w:t> </w:t>
      </w:r>
      <w:r>
        <w:rPr/>
        <w:t>As he acknowledges”Thou marshall’st me the way that I was going” (2.1.42 Shakespeare 2007)the desire that has arisen is what determines a person’s will. A</w:t>
      </w:r>
      <w:r>
        <w:rPr>
          <w:spacing w:val="-2"/>
        </w:rPr>
        <w:t> </w:t>
      </w:r>
      <w:r>
        <w:rPr/>
        <w:t>Buddhist interpretation of this time would show how the desire causes a confused mind, giving inclination/caprice (a) the characteristics of the outside world to the degree that the two become indistinguishable. The mind’s “dagger” is here not only a great source of dramatic tension but also the externalization of the mind’s attachments, with it projecting them onto the world (Garfield, 1995; Loy, 2003).</w:t>
      </w:r>
    </w:p>
    <w:p>
      <w:pPr>
        <w:spacing w:line="256" w:lineRule="auto" w:before="59"/>
        <w:ind w:left="1440" w:right="1436" w:firstLine="432"/>
        <w:jc w:val="both"/>
        <w:rPr>
          <w:i/>
          <w:sz w:val="20"/>
        </w:rPr>
      </w:pPr>
      <w:r>
        <w:rPr>
          <w:sz w:val="20"/>
        </w:rPr>
        <w:t>Facing the consequences of his act, Macbeth is progressively cornered in a web of his own making. When he says, “</w:t>
      </w:r>
      <w:r>
        <w:rPr>
          <w:i/>
          <w:sz w:val="20"/>
        </w:rPr>
        <w:t>I’m in blood / Stepp’d</w:t>
      </w:r>
      <w:r>
        <w:rPr>
          <w:i/>
          <w:spacing w:val="33"/>
          <w:sz w:val="20"/>
        </w:rPr>
        <w:t> </w:t>
      </w:r>
      <w:r>
        <w:rPr>
          <w:i/>
          <w:sz w:val="20"/>
        </w:rPr>
        <w:t>in</w:t>
      </w:r>
      <w:r>
        <w:rPr>
          <w:i/>
          <w:spacing w:val="32"/>
          <w:sz w:val="20"/>
        </w:rPr>
        <w:t> </w:t>
      </w:r>
      <w:r>
        <w:rPr>
          <w:i/>
          <w:sz w:val="20"/>
        </w:rPr>
        <w:t>so</w:t>
      </w:r>
      <w:r>
        <w:rPr>
          <w:i/>
          <w:spacing w:val="34"/>
          <w:sz w:val="20"/>
        </w:rPr>
        <w:t> </w:t>
      </w:r>
      <w:r>
        <w:rPr>
          <w:i/>
          <w:sz w:val="20"/>
        </w:rPr>
        <w:t>far</w:t>
      </w:r>
      <w:r>
        <w:rPr>
          <w:i/>
          <w:spacing w:val="29"/>
          <w:sz w:val="20"/>
        </w:rPr>
        <w:t> </w:t>
      </w:r>
      <w:r>
        <w:rPr>
          <w:i/>
          <w:sz w:val="20"/>
        </w:rPr>
        <w:t>that,</w:t>
      </w:r>
      <w:r>
        <w:rPr>
          <w:i/>
          <w:spacing w:val="34"/>
          <w:sz w:val="20"/>
        </w:rPr>
        <w:t> </w:t>
      </w:r>
      <w:r>
        <w:rPr>
          <w:i/>
          <w:sz w:val="20"/>
        </w:rPr>
        <w:t>should</w:t>
      </w:r>
      <w:r>
        <w:rPr>
          <w:i/>
          <w:spacing w:val="32"/>
          <w:sz w:val="20"/>
        </w:rPr>
        <w:t> </w:t>
      </w:r>
      <w:r>
        <w:rPr>
          <w:i/>
          <w:sz w:val="20"/>
        </w:rPr>
        <w:t>I</w:t>
      </w:r>
      <w:r>
        <w:rPr>
          <w:i/>
          <w:spacing w:val="34"/>
          <w:sz w:val="20"/>
        </w:rPr>
        <w:t> </w:t>
      </w:r>
      <w:r>
        <w:rPr>
          <w:i/>
          <w:sz w:val="20"/>
        </w:rPr>
        <w:t>wade</w:t>
      </w:r>
      <w:r>
        <w:rPr>
          <w:i/>
          <w:spacing w:val="31"/>
          <w:sz w:val="20"/>
        </w:rPr>
        <w:t> </w:t>
      </w:r>
      <w:r>
        <w:rPr>
          <w:i/>
          <w:sz w:val="20"/>
        </w:rPr>
        <w:t>no</w:t>
      </w:r>
      <w:r>
        <w:rPr>
          <w:i/>
          <w:spacing w:val="34"/>
          <w:sz w:val="20"/>
        </w:rPr>
        <w:t> </w:t>
      </w:r>
      <w:r>
        <w:rPr>
          <w:i/>
          <w:sz w:val="20"/>
        </w:rPr>
        <w:t>more,</w:t>
      </w:r>
      <w:r>
        <w:rPr>
          <w:i/>
          <w:spacing w:val="32"/>
          <w:sz w:val="20"/>
        </w:rPr>
        <w:t> </w:t>
      </w:r>
      <w:r>
        <w:rPr>
          <w:i/>
          <w:sz w:val="20"/>
        </w:rPr>
        <w:t>/</w:t>
      </w:r>
      <w:r>
        <w:rPr>
          <w:i/>
          <w:spacing w:val="31"/>
          <w:sz w:val="20"/>
        </w:rPr>
        <w:t> </w:t>
      </w:r>
      <w:r>
        <w:rPr>
          <w:i/>
          <w:sz w:val="20"/>
        </w:rPr>
        <w:t>Returning</w:t>
      </w:r>
      <w:r>
        <w:rPr>
          <w:i/>
          <w:spacing w:val="32"/>
          <w:sz w:val="20"/>
        </w:rPr>
        <w:t> </w:t>
      </w:r>
      <w:r>
        <w:rPr>
          <w:i/>
          <w:sz w:val="20"/>
        </w:rPr>
        <w:t>were</w:t>
      </w:r>
      <w:r>
        <w:rPr>
          <w:i/>
          <w:spacing w:val="33"/>
          <w:sz w:val="20"/>
        </w:rPr>
        <w:t> </w:t>
      </w:r>
      <w:r>
        <w:rPr>
          <w:i/>
          <w:spacing w:val="-5"/>
          <w:sz w:val="20"/>
        </w:rPr>
        <w:t>as</w:t>
      </w:r>
    </w:p>
    <w:p>
      <w:pPr>
        <w:spacing w:after="0" w:line="256" w:lineRule="auto"/>
        <w:jc w:val="both"/>
        <w:rPr>
          <w:i/>
          <w:sz w:val="20"/>
        </w:rPr>
        <w:sectPr>
          <w:pgSz w:w="12240" w:h="15840"/>
          <w:pgMar w:top="1820" w:bottom="280" w:left="1800" w:right="1800"/>
        </w:sectPr>
      </w:pPr>
    </w:p>
    <w:p>
      <w:pPr>
        <w:pStyle w:val="BodyText"/>
        <w:ind w:left="0"/>
        <w:rPr>
          <w:i/>
          <w:sz w:val="18"/>
        </w:rPr>
      </w:pPr>
    </w:p>
    <w:p>
      <w:pPr>
        <w:pStyle w:val="BodyText"/>
        <w:ind w:left="0"/>
        <w:rPr>
          <w:i/>
          <w:sz w:val="18"/>
        </w:rPr>
      </w:pPr>
    </w:p>
    <w:p>
      <w:pPr>
        <w:pStyle w:val="BodyText"/>
        <w:ind w:left="0"/>
        <w:rPr>
          <w:i/>
          <w:sz w:val="18"/>
        </w:rPr>
      </w:pPr>
    </w:p>
    <w:p>
      <w:pPr>
        <w:pStyle w:val="BodyText"/>
        <w:spacing w:before="168"/>
        <w:ind w:left="0"/>
        <w:rPr>
          <w:i/>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4976">
                <wp:simplePos x="0" y="0"/>
                <wp:positionH relativeFrom="page">
                  <wp:posOffset>2057400</wp:posOffset>
                </wp:positionH>
                <wp:positionV relativeFrom="paragraph">
                  <wp:posOffset>162604</wp:posOffset>
                </wp:positionV>
                <wp:extent cx="3657600" cy="12700"/>
                <wp:effectExtent l="0" t="0" r="0" b="0"/>
                <wp:wrapTopAndBottom/>
                <wp:docPr id="912" name="Graphic 912"/>
                <wp:cNvGraphicFramePr>
                  <a:graphicFrameLocks/>
                </wp:cNvGraphicFramePr>
                <a:graphic>
                  <a:graphicData uri="http://schemas.microsoft.com/office/word/2010/wordprocessingShape">
                    <wps:wsp>
                      <wps:cNvPr id="912" name="Graphic 912"/>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81504;mso-wrap-distance-left:0;mso-wrap-distance-right:0" id="docshape903" filled="true" fillcolor="#000000" stroked="false">
                <v:fill type="solid"/>
                <w10:wrap type="topAndBottom"/>
              </v:rect>
            </w:pict>
          </mc:Fallback>
        </mc:AlternateContent>
      </w:r>
      <w:r>
        <w:rPr>
          <w:rFonts w:ascii="Verdana"/>
          <w:spacing w:val="-5"/>
          <w:sz w:val="18"/>
        </w:rPr>
        <w:t>482</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56" w:lineRule="auto" w:before="195"/>
        <w:ind w:right="1437"/>
        <w:jc w:val="both"/>
      </w:pPr>
      <w:r>
        <w:rPr>
          <w:i/>
        </w:rPr>
        <w:t>tedious as go o’er</w:t>
      </w:r>
      <w:r>
        <w:rPr/>
        <w:t>” (3.4.136 138 Shakespeare 2007)he is talking of a committed loop of violence and misery which feeds itself. The first desire that went into the action hardly serves as a motor any more but the person is moving carried by the weight of past deeds only, which reveals</w:t>
      </w:r>
      <w:r>
        <w:rPr>
          <w:spacing w:val="-8"/>
        </w:rPr>
        <w:t> </w:t>
      </w:r>
      <w:r>
        <w:rPr/>
        <w:t>to</w:t>
      </w:r>
      <w:r>
        <w:rPr>
          <w:spacing w:val="-6"/>
        </w:rPr>
        <w:t> </w:t>
      </w:r>
      <w:r>
        <w:rPr/>
        <w:t>be</w:t>
      </w:r>
      <w:r>
        <w:rPr>
          <w:spacing w:val="-8"/>
        </w:rPr>
        <w:t> </w:t>
      </w:r>
      <w:r>
        <w:rPr/>
        <w:t>quite</w:t>
      </w:r>
      <w:r>
        <w:rPr>
          <w:spacing w:val="-6"/>
        </w:rPr>
        <w:t> </w:t>
      </w:r>
      <w:r>
        <w:rPr/>
        <w:t>similar</w:t>
      </w:r>
      <w:r>
        <w:rPr>
          <w:spacing w:val="-6"/>
        </w:rPr>
        <w:t> </w:t>
      </w:r>
      <w:r>
        <w:rPr/>
        <w:t>to</w:t>
      </w:r>
      <w:r>
        <w:rPr>
          <w:spacing w:val="-6"/>
        </w:rPr>
        <w:t> </w:t>
      </w:r>
      <w:r>
        <w:rPr/>
        <w:t>dependent</w:t>
      </w:r>
      <w:r>
        <w:rPr>
          <w:spacing w:val="-8"/>
        </w:rPr>
        <w:t> </w:t>
      </w:r>
      <w:r>
        <w:rPr/>
        <w:t>origination.</w:t>
      </w:r>
      <w:r>
        <w:rPr>
          <w:spacing w:val="-8"/>
        </w:rPr>
        <w:t> </w:t>
      </w:r>
      <w:r>
        <w:rPr/>
        <w:t>This</w:t>
      </w:r>
      <w:r>
        <w:rPr>
          <w:spacing w:val="-8"/>
        </w:rPr>
        <w:t> </w:t>
      </w:r>
      <w:r>
        <w:rPr/>
        <w:t>is,</w:t>
      </w:r>
      <w:r>
        <w:rPr>
          <w:spacing w:val="-6"/>
        </w:rPr>
        <w:t> </w:t>
      </w:r>
      <w:r>
        <w:rPr/>
        <w:t>in</w:t>
      </w:r>
      <w:r>
        <w:rPr>
          <w:spacing w:val="-8"/>
        </w:rPr>
        <w:t> </w:t>
      </w:r>
      <w:r>
        <w:rPr/>
        <w:t>fact,</w:t>
      </w:r>
      <w:r>
        <w:rPr>
          <w:spacing w:val="-6"/>
        </w:rPr>
        <w:t> </w:t>
      </w:r>
      <w:r>
        <w:rPr/>
        <w:t>what the Buddhist doctrine points at, craving giving rise to the formation of attachment which, in turn, leads to action and finally to the production of suffering. Hence, tragedy isn’t a lone instance for a wrong done but</w:t>
      </w:r>
      <w:r>
        <w:rPr>
          <w:spacing w:val="80"/>
        </w:rPr>
        <w:t> </w:t>
      </w:r>
      <w:r>
        <w:rPr/>
        <w:t>a development of a changing process where desire creates the very situation</w:t>
      </w:r>
      <w:r>
        <w:rPr>
          <w:spacing w:val="40"/>
        </w:rPr>
        <w:t> </w:t>
      </w:r>
      <w:r>
        <w:rPr/>
        <w:t>for</w:t>
      </w:r>
      <w:r>
        <w:rPr>
          <w:spacing w:val="40"/>
        </w:rPr>
        <w:t> </w:t>
      </w:r>
      <w:r>
        <w:rPr/>
        <w:t>its</w:t>
      </w:r>
      <w:r>
        <w:rPr>
          <w:spacing w:val="40"/>
        </w:rPr>
        <w:t> </w:t>
      </w:r>
      <w:r>
        <w:rPr/>
        <w:t>continuing</w:t>
      </w:r>
      <w:r>
        <w:rPr>
          <w:spacing w:val="40"/>
        </w:rPr>
        <w:t> </w:t>
      </w:r>
      <w:r>
        <w:rPr/>
        <w:t>existence.</w:t>
      </w:r>
    </w:p>
    <w:p>
      <w:pPr>
        <w:pStyle w:val="Heading5"/>
        <w:numPr>
          <w:ilvl w:val="1"/>
          <w:numId w:val="98"/>
        </w:numPr>
        <w:tabs>
          <w:tab w:pos="1875" w:val="left" w:leader="none"/>
        </w:tabs>
        <w:spacing w:line="244" w:lineRule="auto" w:before="104" w:after="0"/>
        <w:ind w:left="1440" w:right="1445" w:firstLine="0"/>
        <w:jc w:val="left"/>
      </w:pPr>
      <w:r>
        <w:rPr>
          <w:w w:val="110"/>
        </w:rPr>
        <w:t>King</w:t>
      </w:r>
      <w:r>
        <w:rPr>
          <w:spacing w:val="40"/>
          <w:w w:val="110"/>
        </w:rPr>
        <w:t> </w:t>
      </w:r>
      <w:r>
        <w:rPr>
          <w:w w:val="110"/>
        </w:rPr>
        <w:t>Lear:</w:t>
      </w:r>
      <w:r>
        <w:rPr>
          <w:spacing w:val="40"/>
          <w:w w:val="110"/>
        </w:rPr>
        <w:t> </w:t>
      </w:r>
      <w:r>
        <w:rPr>
          <w:w w:val="110"/>
        </w:rPr>
        <w:t>Impermanence</w:t>
      </w:r>
      <w:r>
        <w:rPr>
          <w:spacing w:val="40"/>
          <w:w w:val="110"/>
        </w:rPr>
        <w:t> </w:t>
      </w:r>
      <w:r>
        <w:rPr>
          <w:w w:val="110"/>
        </w:rPr>
        <w:t>and</w:t>
      </w:r>
      <w:r>
        <w:rPr>
          <w:spacing w:val="40"/>
          <w:w w:val="110"/>
        </w:rPr>
        <w:t> </w:t>
      </w:r>
      <w:r>
        <w:rPr>
          <w:w w:val="110"/>
        </w:rPr>
        <w:t>the</w:t>
      </w:r>
      <w:r>
        <w:rPr>
          <w:spacing w:val="40"/>
          <w:w w:val="110"/>
        </w:rPr>
        <w:t> </w:t>
      </w:r>
      <w:r>
        <w:rPr>
          <w:w w:val="110"/>
        </w:rPr>
        <w:t>Collapse</w:t>
      </w:r>
      <w:r>
        <w:rPr>
          <w:spacing w:val="40"/>
          <w:w w:val="110"/>
        </w:rPr>
        <w:t> </w:t>
      </w:r>
      <w:r>
        <w:rPr>
          <w:w w:val="110"/>
        </w:rPr>
        <w:t>of </w:t>
      </w:r>
      <w:r>
        <w:rPr>
          <w:spacing w:val="-2"/>
          <w:w w:val="110"/>
        </w:rPr>
        <w:t>Identity</w:t>
      </w:r>
    </w:p>
    <w:p>
      <w:pPr>
        <w:pStyle w:val="BodyText"/>
        <w:spacing w:line="256" w:lineRule="auto" w:before="69"/>
        <w:ind w:right="1438" w:firstLine="432"/>
        <w:jc w:val="both"/>
      </w:pPr>
      <w:r>
        <w:rPr/>
        <w:t>With King Lear, external disaster alone isn’t the only cause of suffering.</w:t>
      </w:r>
      <w:r>
        <w:rPr>
          <w:spacing w:val="-6"/>
        </w:rPr>
        <w:t> </w:t>
      </w:r>
      <w:r>
        <w:rPr/>
        <w:t>First</w:t>
      </w:r>
      <w:r>
        <w:rPr>
          <w:spacing w:val="-8"/>
        </w:rPr>
        <w:t> </w:t>
      </w:r>
      <w:r>
        <w:rPr/>
        <w:t>of</w:t>
      </w:r>
      <w:r>
        <w:rPr>
          <w:spacing w:val="-8"/>
        </w:rPr>
        <w:t> </w:t>
      </w:r>
      <w:r>
        <w:rPr/>
        <w:t>all,</w:t>
      </w:r>
      <w:r>
        <w:rPr>
          <w:spacing w:val="-8"/>
        </w:rPr>
        <w:t> </w:t>
      </w:r>
      <w:r>
        <w:rPr/>
        <w:t>the</w:t>
      </w:r>
      <w:r>
        <w:rPr>
          <w:spacing w:val="-6"/>
        </w:rPr>
        <w:t> </w:t>
      </w:r>
      <w:r>
        <w:rPr/>
        <w:t>attachment</w:t>
      </w:r>
      <w:r>
        <w:rPr>
          <w:spacing w:val="-6"/>
        </w:rPr>
        <w:t> </w:t>
      </w:r>
      <w:r>
        <w:rPr/>
        <w:t>to</w:t>
      </w:r>
      <w:r>
        <w:rPr>
          <w:spacing w:val="-8"/>
        </w:rPr>
        <w:t> </w:t>
      </w:r>
      <w:r>
        <w:rPr/>
        <w:t>authority,</w:t>
      </w:r>
      <w:r>
        <w:rPr>
          <w:spacing w:val="-6"/>
        </w:rPr>
        <w:t> </w:t>
      </w:r>
      <w:r>
        <w:rPr/>
        <w:t>identity,</w:t>
      </w:r>
      <w:r>
        <w:rPr>
          <w:spacing w:val="-8"/>
        </w:rPr>
        <w:t> </w:t>
      </w:r>
      <w:r>
        <w:rPr/>
        <w:t>and</w:t>
      </w:r>
      <w:r>
        <w:rPr>
          <w:spacing w:val="-6"/>
        </w:rPr>
        <w:t> </w:t>
      </w:r>
      <w:r>
        <w:rPr/>
        <w:t>symbolic recognition</w:t>
      </w:r>
      <w:r>
        <w:rPr>
          <w:spacing w:val="-3"/>
        </w:rPr>
        <w:t> </w:t>
      </w:r>
      <w:r>
        <w:rPr/>
        <w:t>lead</w:t>
      </w:r>
      <w:r>
        <w:rPr>
          <w:spacing w:val="-3"/>
        </w:rPr>
        <w:t> </w:t>
      </w:r>
      <w:r>
        <w:rPr/>
        <w:t>to destruction</w:t>
      </w:r>
      <w:r>
        <w:rPr>
          <w:spacing w:val="-3"/>
        </w:rPr>
        <w:t> </w:t>
      </w:r>
      <w:r>
        <w:rPr/>
        <w:t>unknowingly. Lear’s</w:t>
      </w:r>
      <w:r>
        <w:rPr>
          <w:spacing w:val="-1"/>
        </w:rPr>
        <w:t> </w:t>
      </w:r>
      <w:r>
        <w:rPr/>
        <w:t>first</w:t>
      </w:r>
      <w:r>
        <w:rPr>
          <w:spacing w:val="-4"/>
        </w:rPr>
        <w:t> </w:t>
      </w:r>
      <w:r>
        <w:rPr/>
        <w:t>line</w:t>
      </w:r>
      <w:r>
        <w:rPr>
          <w:spacing w:val="-1"/>
        </w:rPr>
        <w:t> </w:t>
      </w:r>
      <w:r>
        <w:rPr/>
        <w:t>“</w:t>
      </w:r>
      <w:r>
        <w:rPr>
          <w:i/>
        </w:rPr>
        <w:t>Which of you shall we say doth love us most</w:t>
      </w:r>
      <w:r>
        <w:rPr/>
        <w:t>?” (1.1.49 Shakespeare 1997) is literally shaped by a dependence on performative affirmation to </w:t>
      </w:r>
      <w:r>
        <w:rPr>
          <w:spacing w:val="-4"/>
        </w:rPr>
        <w:t>constitute</w:t>
      </w:r>
      <w:r>
        <w:rPr>
          <w:spacing w:val="-6"/>
        </w:rPr>
        <w:t> </w:t>
      </w:r>
      <w:r>
        <w:rPr>
          <w:spacing w:val="-4"/>
        </w:rPr>
        <w:t>the</w:t>
      </w:r>
      <w:r>
        <w:rPr>
          <w:spacing w:val="-9"/>
        </w:rPr>
        <w:t> </w:t>
      </w:r>
      <w:r>
        <w:rPr>
          <w:spacing w:val="-4"/>
        </w:rPr>
        <w:t>self</w:t>
      </w:r>
      <w:r>
        <w:rPr>
          <w:spacing w:val="-8"/>
        </w:rPr>
        <w:t> </w:t>
      </w:r>
      <w:r>
        <w:rPr>
          <w:spacing w:val="-4"/>
        </w:rPr>
        <w:t>(see Keown, 2005;</w:t>
      </w:r>
      <w:r>
        <w:rPr>
          <w:spacing w:val="-5"/>
        </w:rPr>
        <w:t> </w:t>
      </w:r>
      <w:r>
        <w:rPr>
          <w:spacing w:val="-4"/>
        </w:rPr>
        <w:t>Harvey,</w:t>
      </w:r>
      <w:r>
        <w:rPr>
          <w:spacing w:val="-6"/>
        </w:rPr>
        <w:t> </w:t>
      </w:r>
      <w:r>
        <w:rPr>
          <w:spacing w:val="-4"/>
        </w:rPr>
        <w:t>2013).He</w:t>
      </w:r>
      <w:r>
        <w:rPr>
          <w:spacing w:val="-6"/>
        </w:rPr>
        <w:t> </w:t>
      </w:r>
      <w:r>
        <w:rPr>
          <w:spacing w:val="-4"/>
        </w:rPr>
        <w:t>bases</w:t>
      </w:r>
      <w:r>
        <w:rPr>
          <w:spacing w:val="-9"/>
        </w:rPr>
        <w:t> </w:t>
      </w:r>
      <w:r>
        <w:rPr>
          <w:spacing w:val="-4"/>
        </w:rPr>
        <w:t>his</w:t>
      </w:r>
      <w:r>
        <w:rPr>
          <w:spacing w:val="-8"/>
        </w:rPr>
        <w:t> </w:t>
      </w:r>
      <w:r>
        <w:rPr>
          <w:spacing w:val="-4"/>
        </w:rPr>
        <w:t>authority, </w:t>
      </w:r>
      <w:r>
        <w:rPr/>
        <w:t>not on ethical or political persuasions which are constant, but rather he is a man who want to be recognized through language and display. At this point, Lear’s kingship is therefore structurally a very unstable one, a</w:t>
      </w:r>
      <w:r>
        <w:rPr>
          <w:spacing w:val="-10"/>
        </w:rPr>
        <w:t> </w:t>
      </w:r>
      <w:r>
        <w:rPr/>
        <w:t>mere</w:t>
      </w:r>
      <w:r>
        <w:rPr>
          <w:spacing w:val="-12"/>
        </w:rPr>
        <w:t> </w:t>
      </w:r>
      <w:r>
        <w:rPr/>
        <w:t>attachment</w:t>
      </w:r>
      <w:r>
        <w:rPr>
          <w:spacing w:val="-11"/>
        </w:rPr>
        <w:t> </w:t>
      </w:r>
      <w:r>
        <w:rPr/>
        <w:t>being</w:t>
      </w:r>
      <w:r>
        <w:rPr>
          <w:spacing w:val="-12"/>
        </w:rPr>
        <w:t> </w:t>
      </w:r>
      <w:r>
        <w:rPr/>
        <w:t>the</w:t>
      </w:r>
      <w:r>
        <w:rPr>
          <w:spacing w:val="-12"/>
        </w:rPr>
        <w:t> </w:t>
      </w:r>
      <w:r>
        <w:rPr/>
        <w:t>foundation</w:t>
      </w:r>
      <w:r>
        <w:rPr>
          <w:spacing w:val="-12"/>
        </w:rPr>
        <w:t> </w:t>
      </w:r>
      <w:r>
        <w:rPr/>
        <w:t>of</w:t>
      </w:r>
      <w:r>
        <w:rPr>
          <w:spacing w:val="-12"/>
        </w:rPr>
        <w:t> </w:t>
      </w:r>
      <w:r>
        <w:rPr/>
        <w:t>it</w:t>
      </w:r>
      <w:r>
        <w:rPr>
          <w:spacing w:val="-12"/>
        </w:rPr>
        <w:t> </w:t>
      </w:r>
      <w:r>
        <w:rPr/>
        <w:t>rather</w:t>
      </w:r>
      <w:r>
        <w:rPr>
          <w:spacing w:val="-9"/>
        </w:rPr>
        <w:t> </w:t>
      </w:r>
      <w:r>
        <w:rPr/>
        <w:t>than</w:t>
      </w:r>
      <w:r>
        <w:rPr>
          <w:spacing w:val="-12"/>
        </w:rPr>
        <w:t> </w:t>
      </w:r>
      <w:r>
        <w:rPr/>
        <w:t>a</w:t>
      </w:r>
      <w:r>
        <w:rPr>
          <w:spacing w:val="-11"/>
        </w:rPr>
        <w:t> </w:t>
      </w:r>
      <w:r>
        <w:rPr/>
        <w:t>true</w:t>
      </w:r>
      <w:r>
        <w:rPr>
          <w:spacing w:val="-11"/>
        </w:rPr>
        <w:t> </w:t>
      </w:r>
      <w:r>
        <w:rPr/>
        <w:t>realization or</w:t>
      </w:r>
      <w:r>
        <w:rPr>
          <w:spacing w:val="40"/>
        </w:rPr>
        <w:t> </w:t>
      </w:r>
      <w:r>
        <w:rPr/>
        <w:t>insight.</w:t>
      </w:r>
    </w:p>
    <w:p>
      <w:pPr>
        <w:pStyle w:val="BodyText"/>
        <w:spacing w:line="256" w:lineRule="auto" w:before="58"/>
        <w:ind w:right="1440" w:firstLine="432"/>
        <w:jc w:val="both"/>
      </w:pPr>
      <w:r>
        <w:rPr/>
        <w:t>The loss of power and status that unfold during the play, among other</w:t>
      </w:r>
      <w:r>
        <w:rPr>
          <w:spacing w:val="-12"/>
        </w:rPr>
        <w:t> </w:t>
      </w:r>
      <w:r>
        <w:rPr/>
        <w:t>things,</w:t>
      </w:r>
      <w:r>
        <w:rPr>
          <w:spacing w:val="-11"/>
        </w:rPr>
        <w:t> </w:t>
      </w:r>
      <w:r>
        <w:rPr/>
        <w:t>will</w:t>
      </w:r>
      <w:r>
        <w:rPr>
          <w:spacing w:val="-11"/>
        </w:rPr>
        <w:t> </w:t>
      </w:r>
      <w:r>
        <w:rPr/>
        <w:t>have</w:t>
      </w:r>
      <w:r>
        <w:rPr>
          <w:spacing w:val="-10"/>
        </w:rPr>
        <w:t> </w:t>
      </w:r>
      <w:r>
        <w:rPr/>
        <w:t>no</w:t>
      </w:r>
      <w:r>
        <w:rPr>
          <w:spacing w:val="-9"/>
        </w:rPr>
        <w:t> </w:t>
      </w:r>
      <w:r>
        <w:rPr/>
        <w:t>other</w:t>
      </w:r>
      <w:r>
        <w:rPr>
          <w:spacing w:val="-9"/>
        </w:rPr>
        <w:t> </w:t>
      </w:r>
      <w:r>
        <w:rPr/>
        <w:t>result</w:t>
      </w:r>
      <w:r>
        <w:rPr>
          <w:spacing w:val="-11"/>
        </w:rPr>
        <w:t> </w:t>
      </w:r>
      <w:r>
        <w:rPr/>
        <w:t>for</w:t>
      </w:r>
      <w:r>
        <w:rPr>
          <w:spacing w:val="-9"/>
        </w:rPr>
        <w:t> </w:t>
      </w:r>
      <w:r>
        <w:rPr/>
        <w:t>Lear’s</w:t>
      </w:r>
      <w:r>
        <w:rPr>
          <w:spacing w:val="-13"/>
        </w:rPr>
        <w:t> </w:t>
      </w:r>
      <w:r>
        <w:rPr/>
        <w:t>authority</w:t>
      </w:r>
      <w:r>
        <w:rPr>
          <w:spacing w:val="-12"/>
        </w:rPr>
        <w:t> </w:t>
      </w:r>
      <w:r>
        <w:rPr/>
        <w:t>but</w:t>
      </w:r>
      <w:r>
        <w:rPr>
          <w:spacing w:val="-9"/>
        </w:rPr>
        <w:t> </w:t>
      </w:r>
      <w:r>
        <w:rPr/>
        <w:t>weakening along with Lear’s self-trust. In a state bereft of power and recognition, Lear’s</w:t>
      </w:r>
      <w:r>
        <w:rPr>
          <w:spacing w:val="-4"/>
        </w:rPr>
        <w:t> </w:t>
      </w:r>
      <w:r>
        <w:rPr/>
        <w:t>encounter</w:t>
      </w:r>
      <w:r>
        <w:rPr>
          <w:spacing w:val="-2"/>
        </w:rPr>
        <w:t> </w:t>
      </w:r>
      <w:r>
        <w:rPr/>
        <w:t>with</w:t>
      </w:r>
      <w:r>
        <w:rPr>
          <w:spacing w:val="-6"/>
        </w:rPr>
        <w:t> </w:t>
      </w:r>
      <w:r>
        <w:rPr/>
        <w:t>the</w:t>
      </w:r>
      <w:r>
        <w:rPr>
          <w:spacing w:val="-2"/>
        </w:rPr>
        <w:t> </w:t>
      </w:r>
      <w:r>
        <w:rPr/>
        <w:t>very</w:t>
      </w:r>
      <w:r>
        <w:rPr>
          <w:spacing w:val="-6"/>
        </w:rPr>
        <w:t> </w:t>
      </w:r>
      <w:r>
        <w:rPr/>
        <w:t>instability</w:t>
      </w:r>
      <w:r>
        <w:rPr>
          <w:spacing w:val="-6"/>
        </w:rPr>
        <w:t> </w:t>
      </w:r>
      <w:r>
        <w:rPr/>
        <w:t>of</w:t>
      </w:r>
      <w:r>
        <w:rPr>
          <w:spacing w:val="-4"/>
        </w:rPr>
        <w:t> </w:t>
      </w:r>
      <w:r>
        <w:rPr/>
        <w:t>the</w:t>
      </w:r>
      <w:r>
        <w:rPr>
          <w:spacing w:val="-4"/>
        </w:rPr>
        <w:t> </w:t>
      </w:r>
      <w:r>
        <w:rPr/>
        <w:t>self</w:t>
      </w:r>
      <w:r>
        <w:rPr>
          <w:spacing w:val="-6"/>
        </w:rPr>
        <w:t> </w:t>
      </w:r>
      <w:r>
        <w:rPr/>
        <w:t>he</w:t>
      </w:r>
      <w:r>
        <w:rPr>
          <w:spacing w:val="-2"/>
        </w:rPr>
        <w:t> </w:t>
      </w:r>
      <w:r>
        <w:rPr/>
        <w:t>confidently</w:t>
      </w:r>
      <w:r>
        <w:rPr>
          <w:spacing w:val="-6"/>
        </w:rPr>
        <w:t> </w:t>
      </w:r>
      <w:r>
        <w:rPr/>
        <w:t>took for</w:t>
      </w:r>
      <w:r>
        <w:rPr>
          <w:spacing w:val="-5"/>
        </w:rPr>
        <w:t> </w:t>
      </w:r>
      <w:r>
        <w:rPr/>
        <w:t>granted</w:t>
      </w:r>
      <w:r>
        <w:rPr>
          <w:spacing w:val="-3"/>
        </w:rPr>
        <w:t> </w:t>
      </w:r>
      <w:r>
        <w:rPr/>
        <w:t>becomes</w:t>
      </w:r>
      <w:r>
        <w:rPr>
          <w:spacing w:val="-7"/>
        </w:rPr>
        <w:t> </w:t>
      </w:r>
      <w:r>
        <w:rPr/>
        <w:t>an</w:t>
      </w:r>
      <w:r>
        <w:rPr>
          <w:spacing w:val="-7"/>
        </w:rPr>
        <w:t> </w:t>
      </w:r>
      <w:r>
        <w:rPr/>
        <w:t>issue</w:t>
      </w:r>
      <w:r>
        <w:rPr>
          <w:spacing w:val="-4"/>
        </w:rPr>
        <w:t> </w:t>
      </w:r>
      <w:r>
        <w:rPr/>
        <w:t>for</w:t>
      </w:r>
      <w:r>
        <w:rPr>
          <w:spacing w:val="-5"/>
        </w:rPr>
        <w:t> </w:t>
      </w:r>
      <w:r>
        <w:rPr/>
        <w:t>which</w:t>
      </w:r>
      <w:r>
        <w:rPr>
          <w:spacing w:val="-7"/>
        </w:rPr>
        <w:t> </w:t>
      </w:r>
      <w:r>
        <w:rPr/>
        <w:t>he</w:t>
      </w:r>
      <w:r>
        <w:rPr>
          <w:spacing w:val="-4"/>
        </w:rPr>
        <w:t> </w:t>
      </w:r>
      <w:r>
        <w:rPr/>
        <w:t>quite</w:t>
      </w:r>
      <w:r>
        <w:rPr>
          <w:spacing w:val="-6"/>
        </w:rPr>
        <w:t> </w:t>
      </w:r>
      <w:r>
        <w:rPr/>
        <w:t>literally</w:t>
      </w:r>
      <w:r>
        <w:rPr>
          <w:spacing w:val="-9"/>
        </w:rPr>
        <w:t> </w:t>
      </w:r>
      <w:r>
        <w:rPr/>
        <w:t>has</w:t>
      </w:r>
      <w:r>
        <w:rPr>
          <w:spacing w:val="-5"/>
        </w:rPr>
        <w:t> </w:t>
      </w:r>
      <w:r>
        <w:rPr/>
        <w:t>no</w:t>
      </w:r>
      <w:r>
        <w:rPr>
          <w:spacing w:val="-5"/>
        </w:rPr>
        <w:t> </w:t>
      </w:r>
      <w:r>
        <w:rPr/>
        <w:t>defense. This devastating humiliation &amp; expression of his remaining despair in an equally physical context is demonstrated directly by the nakedness</w:t>
      </w:r>
      <w:r>
        <w:rPr>
          <w:spacing w:val="40"/>
        </w:rPr>
        <w:t> </w:t>
      </w:r>
      <w:r>
        <w:rPr/>
        <w:t>of his speech on the heath: “</w:t>
      </w:r>
      <w:r>
        <w:rPr>
          <w:i/>
        </w:rPr>
        <w:t>A poor infirm weak, and despised old</w:t>
      </w:r>
      <w:r>
        <w:rPr>
          <w:i/>
          <w:spacing w:val="80"/>
        </w:rPr>
        <w:t> </w:t>
      </w:r>
      <w:r>
        <w:rPr>
          <w:i/>
        </w:rPr>
        <w:t>man</w:t>
      </w:r>
      <w:r>
        <w:rPr/>
        <w:t>” (3.2.20 Shakespeare 1997), no one would argue with that, the whole world had become the time before coronation for him. Aspects</w:t>
      </w:r>
      <w:r>
        <w:rPr>
          <w:spacing w:val="40"/>
        </w:rPr>
        <w:t> </w:t>
      </w:r>
      <w:r>
        <w:rPr/>
        <w:t>of the speech refer to more than detriment; social rank, political power, private personality become open to be shown in a state of flux; in keeping with anicca, their impermanence is illustrated here, together with their being without an independent self (Williams, 2009; Harvey, </w:t>
      </w:r>
      <w:r>
        <w:rPr>
          <w:spacing w:val="-2"/>
        </w:rPr>
        <w:t>2013).</w:t>
      </w:r>
    </w:p>
    <w:p>
      <w:pPr>
        <w:pStyle w:val="BodyText"/>
        <w:spacing w:after="0" w:line="256" w:lineRule="auto"/>
        <w:jc w:val="both"/>
        <w:sectPr>
          <w:pgSz w:w="12240" w:h="15840"/>
          <w:pgMar w:top="1820" w:bottom="280" w:left="1800" w:right="1800"/>
        </w:sectPr>
      </w:pPr>
    </w:p>
    <w:p>
      <w:pPr>
        <w:tabs>
          <w:tab w:pos="7193"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5488">
                <wp:simplePos x="0" y="0"/>
                <wp:positionH relativeFrom="page">
                  <wp:posOffset>2065020</wp:posOffset>
                </wp:positionH>
                <wp:positionV relativeFrom="paragraph">
                  <wp:posOffset>795020</wp:posOffset>
                </wp:positionV>
                <wp:extent cx="3657600" cy="12700"/>
                <wp:effectExtent l="0" t="0" r="0" b="0"/>
                <wp:wrapTopAndBottom/>
                <wp:docPr id="913" name="Graphic 913"/>
                <wp:cNvGraphicFramePr>
                  <a:graphicFrameLocks/>
                </wp:cNvGraphicFramePr>
                <a:graphic>
                  <a:graphicData uri="http://schemas.microsoft.com/office/word/2010/wordprocessingShape">
                    <wps:wsp>
                      <wps:cNvPr id="913" name="Graphic 913"/>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80992;mso-wrap-distance-left:0;mso-wrap-distance-right:0" id="docshape904" filled="true" fillcolor="#000000" stroked="false">
                <v:fill type="solid"/>
                <w10:wrap type="topAndBottom"/>
              </v:rect>
            </w:pict>
          </mc:Fallback>
        </mc:AlternateContent>
      </w:r>
      <w:r>
        <w:rPr>
          <w:rFonts w:ascii="Verdana"/>
          <w:spacing w:val="-2"/>
          <w:sz w:val="18"/>
        </w:rPr>
        <w:t>Re-reading</w:t>
      </w:r>
      <w:r>
        <w:rPr>
          <w:rFonts w:ascii="Verdana"/>
          <w:spacing w:val="1"/>
          <w:sz w:val="18"/>
        </w:rPr>
        <w:t> </w:t>
      </w:r>
      <w:r>
        <w:rPr>
          <w:rFonts w:ascii="Verdana"/>
          <w:spacing w:val="-2"/>
          <w:sz w:val="18"/>
        </w:rPr>
        <w:t>Shakespearean</w:t>
      </w:r>
      <w:r>
        <w:rPr>
          <w:rFonts w:ascii="Verdana"/>
          <w:spacing w:val="4"/>
          <w:sz w:val="18"/>
        </w:rPr>
        <w:t> </w:t>
      </w:r>
      <w:r>
        <w:rPr>
          <w:rFonts w:ascii="Verdana"/>
          <w:spacing w:val="-2"/>
          <w:sz w:val="18"/>
        </w:rPr>
        <w:t>Tragedy</w:t>
      </w:r>
      <w:r>
        <w:rPr>
          <w:rFonts w:ascii="Verdana"/>
          <w:spacing w:val="5"/>
          <w:sz w:val="18"/>
        </w:rPr>
        <w:t> </w:t>
      </w:r>
      <w:r>
        <w:rPr>
          <w:rFonts w:ascii="Verdana"/>
          <w:spacing w:val="-2"/>
          <w:sz w:val="18"/>
        </w:rPr>
        <w:t>through</w:t>
      </w:r>
      <w:r>
        <w:rPr>
          <w:rFonts w:ascii="Verdana"/>
          <w:spacing w:val="3"/>
          <w:sz w:val="18"/>
        </w:rPr>
        <w:t> </w:t>
      </w:r>
      <w:r>
        <w:rPr>
          <w:rFonts w:ascii="Verdana"/>
          <w:spacing w:val="-2"/>
          <w:sz w:val="18"/>
        </w:rPr>
        <w:t>Buddhist...</w:t>
      </w:r>
      <w:r>
        <w:rPr>
          <w:sz w:val="18"/>
        </w:rPr>
        <w:tab/>
      </w:r>
      <w:r>
        <w:rPr>
          <w:rFonts w:ascii="Verdana"/>
          <w:spacing w:val="-5"/>
          <w:sz w:val="18"/>
        </w:rPr>
        <w:t>483</w:t>
      </w:r>
    </w:p>
    <w:p>
      <w:pPr>
        <w:pStyle w:val="BodyText"/>
        <w:spacing w:line="256" w:lineRule="auto" w:before="195"/>
        <w:ind w:right="1438" w:firstLine="432"/>
        <w:jc w:val="both"/>
      </w:pPr>
      <w:r>
        <w:rPr/>
        <w:t>It’s worth noting that this shouldn’t be mistaken for anatta (non self) at the doctrinal level. Lear’s understanding isn’t capped by a manifestation of the “non self” insight or in inferring the possibility of liberation,</w:t>
      </w:r>
      <w:r>
        <w:rPr>
          <w:spacing w:val="-1"/>
        </w:rPr>
        <w:t> </w:t>
      </w:r>
      <w:r>
        <w:rPr/>
        <w:t>but it’s</w:t>
      </w:r>
      <w:r>
        <w:rPr>
          <w:spacing w:val="-3"/>
        </w:rPr>
        <w:t> </w:t>
      </w:r>
      <w:r>
        <w:rPr/>
        <w:t>in</w:t>
      </w:r>
      <w:r>
        <w:rPr>
          <w:spacing w:val="-1"/>
        </w:rPr>
        <w:t> </w:t>
      </w:r>
      <w:r>
        <w:rPr/>
        <w:t>the</w:t>
      </w:r>
      <w:r>
        <w:rPr>
          <w:spacing w:val="-1"/>
        </w:rPr>
        <w:t> </w:t>
      </w:r>
      <w:r>
        <w:rPr/>
        <w:t>shock</w:t>
      </w:r>
      <w:r>
        <w:rPr>
          <w:spacing w:val="-3"/>
        </w:rPr>
        <w:t> </w:t>
      </w:r>
      <w:r>
        <w:rPr/>
        <w:t>and lose of identity</w:t>
      </w:r>
      <w:r>
        <w:rPr>
          <w:spacing w:val="-4"/>
        </w:rPr>
        <w:t> </w:t>
      </w:r>
      <w:r>
        <w:rPr/>
        <w:t>upon</w:t>
      </w:r>
      <w:r>
        <w:rPr>
          <w:spacing w:val="-1"/>
        </w:rPr>
        <w:t> </w:t>
      </w:r>
      <w:r>
        <w:rPr/>
        <w:t>his</w:t>
      </w:r>
      <w:r>
        <w:rPr>
          <w:spacing w:val="-3"/>
        </w:rPr>
        <w:t> </w:t>
      </w:r>
      <w:r>
        <w:rPr/>
        <w:t>recognition of non self, if the last is a perfect term. In short, his is a consciousness of the “no self”, which comes in the form of a revelation of the self to be merely a conventional reality, not meant to be grasped, or confused with one’s essence, and with a rebelled self that naturally assimilates back to the “no self” (anatta) truth, as a learner does, but Lear doesn’t. His</w:t>
      </w:r>
      <w:r>
        <w:rPr>
          <w:spacing w:val="-9"/>
        </w:rPr>
        <w:t> </w:t>
      </w:r>
      <w:r>
        <w:rPr/>
        <w:t>predicament</w:t>
      </w:r>
      <w:r>
        <w:rPr>
          <w:spacing w:val="-9"/>
        </w:rPr>
        <w:t> </w:t>
      </w:r>
      <w:r>
        <w:rPr/>
        <w:t>will</w:t>
      </w:r>
      <w:r>
        <w:rPr>
          <w:spacing w:val="-11"/>
        </w:rPr>
        <w:t> </w:t>
      </w:r>
      <w:r>
        <w:rPr/>
        <w:t>be</w:t>
      </w:r>
      <w:r>
        <w:rPr>
          <w:spacing w:val="-8"/>
        </w:rPr>
        <w:t> </w:t>
      </w:r>
      <w:r>
        <w:rPr/>
        <w:t>marked</w:t>
      </w:r>
      <w:r>
        <w:rPr>
          <w:spacing w:val="-8"/>
        </w:rPr>
        <w:t> </w:t>
      </w:r>
      <w:r>
        <w:rPr/>
        <w:t>by</w:t>
      </w:r>
      <w:r>
        <w:rPr>
          <w:spacing w:val="-11"/>
        </w:rPr>
        <w:t> </w:t>
      </w:r>
      <w:r>
        <w:rPr/>
        <w:t>an</w:t>
      </w:r>
      <w:r>
        <w:rPr>
          <w:spacing w:val="-9"/>
        </w:rPr>
        <w:t> </w:t>
      </w:r>
      <w:r>
        <w:rPr/>
        <w:t>opening</w:t>
      </w:r>
      <w:r>
        <w:rPr>
          <w:spacing w:val="-11"/>
        </w:rPr>
        <w:t> </w:t>
      </w:r>
      <w:r>
        <w:rPr/>
        <w:t>up</w:t>
      </w:r>
      <w:r>
        <w:rPr>
          <w:spacing w:val="-11"/>
        </w:rPr>
        <w:t> </w:t>
      </w:r>
      <w:r>
        <w:rPr/>
        <w:t>of</w:t>
      </w:r>
      <w:r>
        <w:rPr>
          <w:spacing w:val="-9"/>
        </w:rPr>
        <w:t> </w:t>
      </w:r>
      <w:r>
        <w:rPr/>
        <w:t>the</w:t>
      </w:r>
      <w:r>
        <w:rPr>
          <w:spacing w:val="-9"/>
        </w:rPr>
        <w:t> </w:t>
      </w:r>
      <w:r>
        <w:rPr/>
        <w:t>self’s</w:t>
      </w:r>
      <w:r>
        <w:rPr>
          <w:spacing w:val="-9"/>
        </w:rPr>
        <w:t> </w:t>
      </w:r>
      <w:r>
        <w:rPr/>
        <w:t>insecurity without healing. So, by remaining a tragedy instead of a transcendent drama, the play would be a large difference between Shakespearean tragedy and Buddha’s teaching. In one line one may say that although Buddhism holds that by seeing the impermanent nature one can have the</w:t>
      </w:r>
      <w:r>
        <w:rPr>
          <w:spacing w:val="-4"/>
        </w:rPr>
        <w:t> </w:t>
      </w:r>
      <w:r>
        <w:rPr/>
        <w:t>idea</w:t>
      </w:r>
      <w:r>
        <w:rPr>
          <w:spacing w:val="-3"/>
        </w:rPr>
        <w:t> </w:t>
      </w:r>
      <w:r>
        <w:rPr/>
        <w:t>of</w:t>
      </w:r>
      <w:r>
        <w:rPr>
          <w:spacing w:val="-5"/>
        </w:rPr>
        <w:t> </w:t>
      </w:r>
      <w:r>
        <w:rPr/>
        <w:t>the</w:t>
      </w:r>
      <w:r>
        <w:rPr>
          <w:spacing w:val="-1"/>
        </w:rPr>
        <w:t> </w:t>
      </w:r>
      <w:r>
        <w:rPr/>
        <w:t>no</w:t>
      </w:r>
      <w:r>
        <w:rPr>
          <w:spacing w:val="-3"/>
        </w:rPr>
        <w:t> </w:t>
      </w:r>
      <w:r>
        <w:rPr/>
        <w:t>self,</w:t>
      </w:r>
      <w:r>
        <w:rPr>
          <w:spacing w:val="-3"/>
        </w:rPr>
        <w:t> </w:t>
      </w:r>
      <w:r>
        <w:rPr/>
        <w:t>but</w:t>
      </w:r>
      <w:r>
        <w:rPr>
          <w:spacing w:val="-1"/>
        </w:rPr>
        <w:t> </w:t>
      </w:r>
      <w:r>
        <w:rPr/>
        <w:t>in</w:t>
      </w:r>
      <w:r>
        <w:rPr>
          <w:spacing w:val="-5"/>
        </w:rPr>
        <w:t> </w:t>
      </w:r>
      <w:r>
        <w:rPr/>
        <w:t>the</w:t>
      </w:r>
      <w:r>
        <w:rPr>
          <w:spacing w:val="-3"/>
        </w:rPr>
        <w:t> </w:t>
      </w:r>
      <w:r>
        <w:rPr/>
        <w:t>case</w:t>
      </w:r>
      <w:r>
        <w:rPr>
          <w:spacing w:val="-4"/>
        </w:rPr>
        <w:t> </w:t>
      </w:r>
      <w:r>
        <w:rPr/>
        <w:t>of</w:t>
      </w:r>
      <w:r>
        <w:rPr>
          <w:spacing w:val="-3"/>
        </w:rPr>
        <w:t> </w:t>
      </w:r>
      <w:r>
        <w:rPr/>
        <w:t>Lear</w:t>
      </w:r>
      <w:r>
        <w:rPr>
          <w:spacing w:val="-3"/>
        </w:rPr>
        <w:t> </w:t>
      </w:r>
      <w:r>
        <w:rPr/>
        <w:t>it’s</w:t>
      </w:r>
      <w:r>
        <w:rPr>
          <w:spacing w:val="-5"/>
        </w:rPr>
        <w:t> </w:t>
      </w:r>
      <w:r>
        <w:rPr/>
        <w:t>a</w:t>
      </w:r>
      <w:r>
        <w:rPr>
          <w:spacing w:val="-2"/>
        </w:rPr>
        <w:t> </w:t>
      </w:r>
      <w:r>
        <w:rPr/>
        <w:t>fact</w:t>
      </w:r>
      <w:r>
        <w:rPr>
          <w:spacing w:val="-5"/>
        </w:rPr>
        <w:t> </w:t>
      </w:r>
      <w:r>
        <w:rPr/>
        <w:t>that</w:t>
      </w:r>
      <w:r>
        <w:rPr>
          <w:spacing w:val="-3"/>
        </w:rPr>
        <w:t> </w:t>
      </w:r>
      <w:r>
        <w:rPr/>
        <w:t>the</w:t>
      </w:r>
      <w:r>
        <w:rPr>
          <w:spacing w:val="-5"/>
        </w:rPr>
        <w:t> </w:t>
      </w:r>
      <w:r>
        <w:rPr/>
        <w:t>personal anicca and the no self-realization have led to his dissolution and not to his</w:t>
      </w:r>
      <w:r>
        <w:rPr>
          <w:spacing w:val="40"/>
        </w:rPr>
        <w:t> </w:t>
      </w:r>
      <w:r>
        <w:rPr/>
        <w:t>salvation.</w:t>
      </w:r>
    </w:p>
    <w:p>
      <w:pPr>
        <w:pStyle w:val="Heading5"/>
        <w:numPr>
          <w:ilvl w:val="1"/>
          <w:numId w:val="98"/>
        </w:numPr>
        <w:tabs>
          <w:tab w:pos="1894" w:val="left" w:leader="none"/>
        </w:tabs>
        <w:spacing w:line="252" w:lineRule="auto" w:before="107" w:after="0"/>
        <w:ind w:left="1440" w:right="1437" w:firstLine="0"/>
        <w:jc w:val="left"/>
      </w:pPr>
      <w:r>
        <w:rPr>
          <w:w w:val="105"/>
        </w:rPr>
        <w:t>Hamlet:</w:t>
      </w:r>
      <w:r>
        <w:rPr>
          <w:spacing w:val="80"/>
          <w:w w:val="105"/>
        </w:rPr>
        <w:t> </w:t>
      </w:r>
      <w:r>
        <w:rPr>
          <w:w w:val="105"/>
        </w:rPr>
        <w:t>Cognitive</w:t>
      </w:r>
      <w:r>
        <w:rPr>
          <w:spacing w:val="80"/>
          <w:w w:val="105"/>
        </w:rPr>
        <w:t> </w:t>
      </w:r>
      <w:r>
        <w:rPr>
          <w:w w:val="105"/>
        </w:rPr>
        <w:t>Attachment</w:t>
      </w:r>
      <w:r>
        <w:rPr>
          <w:spacing w:val="80"/>
          <w:w w:val="105"/>
        </w:rPr>
        <w:t> </w:t>
      </w:r>
      <w:r>
        <w:rPr>
          <w:w w:val="105"/>
        </w:rPr>
        <w:t>and</w:t>
      </w:r>
      <w:r>
        <w:rPr>
          <w:spacing w:val="80"/>
          <w:w w:val="105"/>
        </w:rPr>
        <w:t> </w:t>
      </w:r>
      <w:r>
        <w:rPr>
          <w:w w:val="105"/>
        </w:rPr>
        <w:t>Existential</w:t>
      </w:r>
      <w:r>
        <w:rPr>
          <w:spacing w:val="80"/>
          <w:w w:val="105"/>
        </w:rPr>
        <w:t> </w:t>
      </w:r>
      <w:r>
        <w:rPr>
          <w:spacing w:val="-2"/>
          <w:w w:val="105"/>
        </w:rPr>
        <w:t>Paralysis</w:t>
      </w:r>
    </w:p>
    <w:p>
      <w:pPr>
        <w:pStyle w:val="BodyText"/>
        <w:spacing w:line="256" w:lineRule="auto" w:before="64"/>
        <w:ind w:right="1439" w:firstLine="432"/>
        <w:jc w:val="both"/>
      </w:pPr>
      <w:r>
        <w:rPr/>
        <w:t>Hamlet’s downfall is less due to his desires running wild than it’s to his deep capacity for reflection, a state of mind in which lots of thoughts occur but no decision can be made. His most famous speech starts</w:t>
      </w:r>
      <w:r>
        <w:rPr>
          <w:spacing w:val="-2"/>
        </w:rPr>
        <w:t> </w:t>
      </w:r>
      <w:r>
        <w:rPr/>
        <w:t>with the words: “</w:t>
      </w:r>
      <w:r>
        <w:rPr>
          <w:i/>
        </w:rPr>
        <w:t>To be, or not to be: that’s</w:t>
      </w:r>
      <w:r>
        <w:rPr>
          <w:i/>
          <w:spacing w:val="-2"/>
        </w:rPr>
        <w:t> </w:t>
      </w:r>
      <w:r>
        <w:rPr>
          <w:i/>
        </w:rPr>
        <w:t>the question</w:t>
      </w:r>
      <w:r>
        <w:rPr/>
        <w:t>” (3.1.56) He</w:t>
      </w:r>
      <w:r>
        <w:rPr>
          <w:spacing w:val="-8"/>
        </w:rPr>
        <w:t> </w:t>
      </w:r>
      <w:r>
        <w:rPr/>
        <w:t>immediately</w:t>
      </w:r>
      <w:r>
        <w:rPr>
          <w:spacing w:val="-13"/>
        </w:rPr>
        <w:t> </w:t>
      </w:r>
      <w:r>
        <w:rPr/>
        <w:t>puts</w:t>
      </w:r>
      <w:r>
        <w:rPr>
          <w:spacing w:val="-9"/>
        </w:rPr>
        <w:t> </w:t>
      </w:r>
      <w:r>
        <w:rPr/>
        <w:t>the</w:t>
      </w:r>
      <w:r>
        <w:rPr>
          <w:spacing w:val="-7"/>
        </w:rPr>
        <w:t> </w:t>
      </w:r>
      <w:r>
        <w:rPr/>
        <w:t>thing</w:t>
      </w:r>
      <w:r>
        <w:rPr>
          <w:spacing w:val="-11"/>
        </w:rPr>
        <w:t> </w:t>
      </w:r>
      <w:r>
        <w:rPr/>
        <w:t>figuratively</w:t>
      </w:r>
      <w:r>
        <w:rPr>
          <w:spacing w:val="-13"/>
        </w:rPr>
        <w:t> </w:t>
      </w:r>
      <w:r>
        <w:rPr/>
        <w:t>“to</w:t>
      </w:r>
      <w:r>
        <w:rPr>
          <w:spacing w:val="-7"/>
        </w:rPr>
        <w:t> </w:t>
      </w:r>
      <w:r>
        <w:rPr/>
        <w:t>exist</w:t>
      </w:r>
      <w:r>
        <w:rPr>
          <w:spacing w:val="-8"/>
        </w:rPr>
        <w:t> </w:t>
      </w:r>
      <w:r>
        <w:rPr/>
        <w:t>or</w:t>
      </w:r>
      <w:r>
        <w:rPr>
          <w:spacing w:val="-7"/>
        </w:rPr>
        <w:t> </w:t>
      </w:r>
      <w:r>
        <w:rPr/>
        <w:t>not</w:t>
      </w:r>
      <w:r>
        <w:rPr>
          <w:spacing w:val="-7"/>
        </w:rPr>
        <w:t> </w:t>
      </w:r>
      <w:r>
        <w:rPr/>
        <w:t>to</w:t>
      </w:r>
      <w:r>
        <w:rPr>
          <w:spacing w:val="-7"/>
        </w:rPr>
        <w:t> </w:t>
      </w:r>
      <w:r>
        <w:rPr/>
        <w:t>exist?”</w:t>
      </w:r>
      <w:r>
        <w:rPr>
          <w:spacing w:val="-8"/>
        </w:rPr>
        <w:t> </w:t>
      </w:r>
      <w:r>
        <w:rPr/>
        <w:t>into the</w:t>
      </w:r>
      <w:r>
        <w:rPr>
          <w:spacing w:val="40"/>
        </w:rPr>
        <w:t> </w:t>
      </w:r>
      <w:r>
        <w:rPr/>
        <w:t>focus</w:t>
      </w:r>
      <w:r>
        <w:rPr>
          <w:spacing w:val="40"/>
        </w:rPr>
        <w:t> </w:t>
      </w:r>
      <w:r>
        <w:rPr/>
        <w:t>of</w:t>
      </w:r>
      <w:r>
        <w:rPr>
          <w:spacing w:val="40"/>
        </w:rPr>
        <w:t> </w:t>
      </w:r>
      <w:r>
        <w:rPr/>
        <w:t>a</w:t>
      </w:r>
      <w:r>
        <w:rPr>
          <w:spacing w:val="40"/>
        </w:rPr>
        <w:t> </w:t>
      </w:r>
      <w:r>
        <w:rPr/>
        <w:t>purely</w:t>
      </w:r>
      <w:r>
        <w:rPr>
          <w:spacing w:val="40"/>
        </w:rPr>
        <w:t> </w:t>
      </w:r>
      <w:r>
        <w:rPr/>
        <w:t>philosophical</w:t>
      </w:r>
      <w:r>
        <w:rPr>
          <w:spacing w:val="40"/>
        </w:rPr>
        <w:t> </w:t>
      </w:r>
      <w:r>
        <w:rPr/>
        <w:t>debate.</w:t>
      </w:r>
    </w:p>
    <w:p>
      <w:pPr>
        <w:pStyle w:val="BodyText"/>
        <w:spacing w:line="256" w:lineRule="auto" w:before="57"/>
        <w:ind w:right="1437" w:firstLine="432"/>
        <w:jc w:val="both"/>
      </w:pPr>
      <w:r>
        <w:rPr/>
        <w:t>In</w:t>
      </w:r>
      <w:r>
        <w:rPr>
          <w:spacing w:val="-13"/>
        </w:rPr>
        <w:t> </w:t>
      </w:r>
      <w:r>
        <w:rPr/>
        <w:t>fact,</w:t>
      </w:r>
      <w:r>
        <w:rPr>
          <w:spacing w:val="-12"/>
        </w:rPr>
        <w:t> </w:t>
      </w:r>
      <w:r>
        <w:rPr/>
        <w:t>Hamlet</w:t>
      </w:r>
      <w:r>
        <w:rPr>
          <w:spacing w:val="-13"/>
        </w:rPr>
        <w:t> </w:t>
      </w:r>
      <w:r>
        <w:rPr/>
        <w:t>thinks</w:t>
      </w:r>
      <w:r>
        <w:rPr>
          <w:spacing w:val="-12"/>
        </w:rPr>
        <w:t> </w:t>
      </w:r>
      <w:r>
        <w:rPr/>
        <w:t>he</w:t>
      </w:r>
      <w:r>
        <w:rPr>
          <w:spacing w:val="-13"/>
        </w:rPr>
        <w:t> </w:t>
      </w:r>
      <w:r>
        <w:rPr/>
        <w:t>refuses</w:t>
      </w:r>
      <w:r>
        <w:rPr>
          <w:spacing w:val="-12"/>
        </w:rPr>
        <w:t> </w:t>
      </w:r>
      <w:r>
        <w:rPr/>
        <w:t>a</w:t>
      </w:r>
      <w:r>
        <w:rPr>
          <w:spacing w:val="-13"/>
        </w:rPr>
        <w:t> </w:t>
      </w:r>
      <w:r>
        <w:rPr/>
        <w:t>direct</w:t>
      </w:r>
      <w:r>
        <w:rPr>
          <w:spacing w:val="-12"/>
        </w:rPr>
        <w:t> </w:t>
      </w:r>
      <w:r>
        <w:rPr/>
        <w:t>answer</w:t>
      </w:r>
      <w:r>
        <w:rPr>
          <w:spacing w:val="-13"/>
        </w:rPr>
        <w:t> </w:t>
      </w:r>
      <w:r>
        <w:rPr/>
        <w:t>to</w:t>
      </w:r>
      <w:r>
        <w:rPr>
          <w:spacing w:val="-12"/>
        </w:rPr>
        <w:t> </w:t>
      </w:r>
      <w:r>
        <w:rPr/>
        <w:t>ethical</w:t>
      </w:r>
      <w:r>
        <w:rPr>
          <w:spacing w:val="-13"/>
        </w:rPr>
        <w:t> </w:t>
      </w:r>
      <w:r>
        <w:rPr/>
        <w:t>questions by</w:t>
      </w:r>
      <w:r>
        <w:rPr>
          <w:spacing w:val="-5"/>
        </w:rPr>
        <w:t> </w:t>
      </w:r>
      <w:r>
        <w:rPr/>
        <w:t>postponing</w:t>
      </w:r>
      <w:r>
        <w:rPr>
          <w:spacing w:val="-3"/>
        </w:rPr>
        <w:t> </w:t>
      </w:r>
      <w:r>
        <w:rPr/>
        <w:t>actions</w:t>
      </w:r>
      <w:r>
        <w:rPr>
          <w:spacing w:val="-1"/>
        </w:rPr>
        <w:t> </w:t>
      </w:r>
      <w:r>
        <w:rPr/>
        <w:t>while</w:t>
      </w:r>
      <w:r>
        <w:rPr>
          <w:spacing w:val="-1"/>
        </w:rPr>
        <w:t> </w:t>
      </w:r>
      <w:r>
        <w:rPr/>
        <w:t>speculating,</w:t>
      </w:r>
      <w:r>
        <w:rPr>
          <w:spacing w:val="-1"/>
        </w:rPr>
        <w:t> </w:t>
      </w:r>
      <w:r>
        <w:rPr/>
        <w:t>in</w:t>
      </w:r>
      <w:r>
        <w:rPr>
          <w:spacing w:val="-3"/>
        </w:rPr>
        <w:t> </w:t>
      </w:r>
      <w:r>
        <w:rPr/>
        <w:t>fact,</w:t>
      </w:r>
      <w:r>
        <w:rPr>
          <w:spacing w:val="-1"/>
        </w:rPr>
        <w:t> </w:t>
      </w:r>
      <w:r>
        <w:rPr/>
        <w:t>making</w:t>
      </w:r>
      <w:r>
        <w:rPr>
          <w:spacing w:val="-1"/>
        </w:rPr>
        <w:t> </w:t>
      </w:r>
      <w:r>
        <w:rPr/>
        <w:t>the</w:t>
      </w:r>
      <w:r>
        <w:rPr>
          <w:spacing w:val="-3"/>
        </w:rPr>
        <w:t> </w:t>
      </w:r>
      <w:r>
        <w:rPr/>
        <w:t>problem</w:t>
      </w:r>
      <w:r>
        <w:rPr>
          <w:spacing w:val="-4"/>
        </w:rPr>
        <w:t> </w:t>
      </w:r>
      <w:r>
        <w:rPr/>
        <w:t>of existence a sort of puzzle. His manifestation of this line of thought is very much in accordance with what Buddhist thought defines as avijja, which means not just ignorance but a root misunderstanding of reality that goes hand in hand with the endless creation of concepts (Kalupahana, 1987; Loy, 2003). Hamlet describes this state of being unable to think clearly and move forward with one’s life when he talks about the reasons that make life so hard: “</w:t>
      </w:r>
      <w:r>
        <w:rPr>
          <w:i/>
        </w:rPr>
        <w:t>Thus conscience does make cowards</w:t>
      </w:r>
      <w:r>
        <w:rPr>
          <w:i/>
          <w:spacing w:val="-6"/>
        </w:rPr>
        <w:t> </w:t>
      </w:r>
      <w:r>
        <w:rPr>
          <w:i/>
        </w:rPr>
        <w:t>of</w:t>
      </w:r>
      <w:r>
        <w:rPr>
          <w:i/>
          <w:spacing w:val="-8"/>
        </w:rPr>
        <w:t> </w:t>
      </w:r>
      <w:r>
        <w:rPr>
          <w:i/>
        </w:rPr>
        <w:t>us</w:t>
      </w:r>
      <w:r>
        <w:rPr>
          <w:i/>
          <w:spacing w:val="-6"/>
        </w:rPr>
        <w:t> </w:t>
      </w:r>
      <w:r>
        <w:rPr>
          <w:i/>
        </w:rPr>
        <w:t>all</w:t>
      </w:r>
      <w:r>
        <w:rPr/>
        <w:t>”</w:t>
      </w:r>
      <w:r>
        <w:rPr>
          <w:spacing w:val="-7"/>
        </w:rPr>
        <w:t> </w:t>
      </w:r>
      <w:r>
        <w:rPr/>
        <w:t>(3.1.83).</w:t>
      </w:r>
      <w:r>
        <w:rPr>
          <w:spacing w:val="-6"/>
        </w:rPr>
        <w:t> </w:t>
      </w:r>
      <w:r>
        <w:rPr/>
        <w:t>The</w:t>
      </w:r>
      <w:r>
        <w:rPr>
          <w:spacing w:val="-7"/>
        </w:rPr>
        <w:t> </w:t>
      </w:r>
      <w:r>
        <w:rPr/>
        <w:t>word</w:t>
      </w:r>
      <w:r>
        <w:rPr>
          <w:spacing w:val="-6"/>
        </w:rPr>
        <w:t> </w:t>
      </w:r>
      <w:r>
        <w:rPr/>
        <w:t>“conscience”</w:t>
      </w:r>
      <w:r>
        <w:rPr>
          <w:spacing w:val="-7"/>
        </w:rPr>
        <w:t> </w:t>
      </w:r>
      <w:r>
        <w:rPr/>
        <w:t>here</w:t>
      </w:r>
      <w:r>
        <w:rPr>
          <w:spacing w:val="-6"/>
        </w:rPr>
        <w:t> </w:t>
      </w:r>
      <w:r>
        <w:rPr/>
        <w:t>stands</w:t>
      </w:r>
      <w:r>
        <w:rPr>
          <w:spacing w:val="-7"/>
        </w:rPr>
        <w:t> </w:t>
      </w:r>
      <w:r>
        <w:rPr/>
        <w:t>possibly for an overcharging function of self-reflection that stops one from making a clear decision. The knowledge Hamlet has does not free him but</w:t>
      </w:r>
      <w:r>
        <w:rPr>
          <w:spacing w:val="66"/>
        </w:rPr>
        <w:t> </w:t>
      </w:r>
      <w:r>
        <w:rPr/>
        <w:t>makes</w:t>
      </w:r>
      <w:r>
        <w:rPr>
          <w:spacing w:val="67"/>
        </w:rPr>
        <w:t> </w:t>
      </w:r>
      <w:r>
        <w:rPr/>
        <w:t>him</w:t>
      </w:r>
      <w:r>
        <w:rPr>
          <w:spacing w:val="67"/>
        </w:rPr>
        <w:t> </w:t>
      </w:r>
      <w:r>
        <w:rPr/>
        <w:t>hesitate</w:t>
      </w:r>
      <w:r>
        <w:rPr>
          <w:spacing w:val="68"/>
        </w:rPr>
        <w:t> </w:t>
      </w:r>
      <w:r>
        <w:rPr/>
        <w:t>and</w:t>
      </w:r>
      <w:r>
        <w:rPr>
          <w:spacing w:val="71"/>
        </w:rPr>
        <w:t> </w:t>
      </w:r>
      <w:r>
        <w:rPr/>
        <w:t>disintegrate</w:t>
      </w:r>
      <w:r>
        <w:rPr>
          <w:spacing w:val="68"/>
        </w:rPr>
        <w:t> </w:t>
      </w:r>
      <w:r>
        <w:rPr/>
        <w:t>into</w:t>
      </w:r>
      <w:r>
        <w:rPr>
          <w:spacing w:val="70"/>
        </w:rPr>
        <w:t> </w:t>
      </w:r>
      <w:r>
        <w:rPr/>
        <w:t>parts.</w:t>
      </w:r>
      <w:r>
        <w:rPr>
          <w:spacing w:val="56"/>
        </w:rPr>
        <w:t> </w:t>
      </w:r>
      <w:r>
        <w:rPr/>
        <w:t>According</w:t>
      </w:r>
      <w:r>
        <w:rPr>
          <w:spacing w:val="66"/>
        </w:rPr>
        <w:t> </w:t>
      </w:r>
      <w:r>
        <w:rPr>
          <w:spacing w:val="-5"/>
        </w:rPr>
        <w:t>to</w:t>
      </w:r>
    </w:p>
    <w:p>
      <w:pPr>
        <w:pStyle w:val="BodyText"/>
        <w:spacing w:after="0" w:line="25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6000">
                <wp:simplePos x="0" y="0"/>
                <wp:positionH relativeFrom="page">
                  <wp:posOffset>2057400</wp:posOffset>
                </wp:positionH>
                <wp:positionV relativeFrom="paragraph">
                  <wp:posOffset>162604</wp:posOffset>
                </wp:positionV>
                <wp:extent cx="3657600" cy="12700"/>
                <wp:effectExtent l="0" t="0" r="0" b="0"/>
                <wp:wrapTopAndBottom/>
                <wp:docPr id="914" name="Graphic 914"/>
                <wp:cNvGraphicFramePr>
                  <a:graphicFrameLocks/>
                </wp:cNvGraphicFramePr>
                <a:graphic>
                  <a:graphicData uri="http://schemas.microsoft.com/office/word/2010/wordprocessingShape">
                    <wps:wsp>
                      <wps:cNvPr id="914" name="Graphic 914"/>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80480;mso-wrap-distance-left:0;mso-wrap-distance-right:0" id="docshape905" filled="true" fillcolor="#000000" stroked="false">
                <v:fill type="solid"/>
                <w10:wrap type="topAndBottom"/>
              </v:rect>
            </w:pict>
          </mc:Fallback>
        </mc:AlternateContent>
      </w:r>
      <w:r>
        <w:rPr>
          <w:rFonts w:ascii="Verdana"/>
          <w:spacing w:val="-5"/>
          <w:sz w:val="18"/>
        </w:rPr>
        <w:t>484</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56" w:lineRule="auto" w:before="195"/>
        <w:ind w:right="1441"/>
        <w:jc w:val="both"/>
      </w:pPr>
      <w:r>
        <w:rPr/>
        <w:t>Buddhism, this is a kind of staying fixated on one’s thoughts, in which the mind is so drawn into the representations that it makes of</w:t>
      </w:r>
      <w:r>
        <w:rPr>
          <w:spacing w:val="-1"/>
        </w:rPr>
        <w:t> </w:t>
      </w:r>
      <w:r>
        <w:rPr/>
        <w:t>the world that it identifies them with the actual comprehension of the truth. The end product isn’t light but immobility.</w:t>
      </w:r>
    </w:p>
    <w:p>
      <w:pPr>
        <w:pStyle w:val="BodyText"/>
        <w:spacing w:line="249" w:lineRule="auto" w:before="54"/>
        <w:ind w:right="1438" w:firstLine="432"/>
        <w:jc w:val="both"/>
      </w:pPr>
      <w:r>
        <w:rPr/>
        <w:t>Hamlet changes his mind up to the point of moving one step further realizing that’s the case: “</w:t>
      </w:r>
      <w:r>
        <w:rPr>
          <w:i/>
        </w:rPr>
        <w:t>the native hue of resolution / Is sicklied o’er with the pale cast of thought</w:t>
      </w:r>
      <w:r>
        <w:rPr/>
        <w:t>” (3.1.8485). This line shows quite clearly</w:t>
      </w:r>
      <w:r>
        <w:rPr>
          <w:spacing w:val="-4"/>
        </w:rPr>
        <w:t> </w:t>
      </w:r>
      <w:r>
        <w:rPr/>
        <w:t>how</w:t>
      </w:r>
      <w:r>
        <w:rPr>
          <w:spacing w:val="-2"/>
        </w:rPr>
        <w:t> </w:t>
      </w:r>
      <w:r>
        <w:rPr/>
        <w:t>a wish</w:t>
      </w:r>
      <w:r>
        <w:rPr>
          <w:spacing w:val="-2"/>
        </w:rPr>
        <w:t> </w:t>
      </w:r>
      <w:r>
        <w:rPr/>
        <w:t>or aim</w:t>
      </w:r>
      <w:r>
        <w:rPr>
          <w:spacing w:val="-1"/>
        </w:rPr>
        <w:t> </w:t>
      </w:r>
      <w:r>
        <w:rPr/>
        <w:t>can turn</w:t>
      </w:r>
      <w:r>
        <w:rPr>
          <w:spacing w:val="-2"/>
        </w:rPr>
        <w:t> </w:t>
      </w:r>
      <w:r>
        <w:rPr/>
        <w:t>into doing nothing</w:t>
      </w:r>
      <w:r>
        <w:rPr>
          <w:spacing w:val="-2"/>
        </w:rPr>
        <w:t> </w:t>
      </w:r>
      <w:r>
        <w:rPr/>
        <w:t>through the intervention</w:t>
      </w:r>
      <w:r>
        <w:rPr>
          <w:spacing w:val="-12"/>
        </w:rPr>
        <w:t> </w:t>
      </w:r>
      <w:r>
        <w:rPr/>
        <w:t>of</w:t>
      </w:r>
      <w:r>
        <w:rPr>
          <w:spacing w:val="-11"/>
        </w:rPr>
        <w:t> </w:t>
      </w:r>
      <w:r>
        <w:rPr/>
        <w:t>thinking.</w:t>
      </w:r>
      <w:r>
        <w:rPr>
          <w:spacing w:val="-10"/>
        </w:rPr>
        <w:t> </w:t>
      </w:r>
      <w:r>
        <w:rPr/>
        <w:t>Hamlet</w:t>
      </w:r>
      <w:r>
        <w:rPr>
          <w:spacing w:val="-12"/>
        </w:rPr>
        <w:t> </w:t>
      </w:r>
      <w:r>
        <w:rPr/>
        <w:t>differs</w:t>
      </w:r>
      <w:r>
        <w:rPr>
          <w:spacing w:val="-13"/>
        </w:rPr>
        <w:t> </w:t>
      </w:r>
      <w:r>
        <w:rPr/>
        <w:t>from</w:t>
      </w:r>
      <w:r>
        <w:rPr>
          <w:spacing w:val="-12"/>
        </w:rPr>
        <w:t> </w:t>
      </w:r>
      <w:r>
        <w:rPr/>
        <w:t>Macbeth,</w:t>
      </w:r>
      <w:r>
        <w:rPr>
          <w:spacing w:val="-10"/>
        </w:rPr>
        <w:t> </w:t>
      </w:r>
      <w:r>
        <w:rPr/>
        <w:t>who</w:t>
      </w:r>
      <w:r>
        <w:rPr>
          <w:spacing w:val="-10"/>
        </w:rPr>
        <w:t> </w:t>
      </w:r>
      <w:r>
        <w:rPr/>
        <w:t>shows</w:t>
      </w:r>
      <w:r>
        <w:rPr>
          <w:spacing w:val="-11"/>
        </w:rPr>
        <w:t> </w:t>
      </w:r>
      <w:r>
        <w:rPr/>
        <w:t>in</w:t>
      </w:r>
      <w:r>
        <w:rPr>
          <w:spacing w:val="-13"/>
        </w:rPr>
        <w:t> </w:t>
      </w:r>
      <w:r>
        <w:rPr/>
        <w:t>his plight</w:t>
      </w:r>
      <w:r>
        <w:rPr>
          <w:spacing w:val="-3"/>
        </w:rPr>
        <w:t> </w:t>
      </w:r>
      <w:r>
        <w:rPr/>
        <w:t>the</w:t>
      </w:r>
      <w:r>
        <w:rPr>
          <w:spacing w:val="-3"/>
        </w:rPr>
        <w:t> </w:t>
      </w:r>
      <w:r>
        <w:rPr/>
        <w:t>results</w:t>
      </w:r>
      <w:r>
        <w:rPr>
          <w:spacing w:val="-3"/>
        </w:rPr>
        <w:t> </w:t>
      </w:r>
      <w:r>
        <w:rPr/>
        <w:t>of</w:t>
      </w:r>
      <w:r>
        <w:rPr>
          <w:spacing w:val="-4"/>
        </w:rPr>
        <w:t> </w:t>
      </w:r>
      <w:r>
        <w:rPr/>
        <w:t>too</w:t>
      </w:r>
      <w:r>
        <w:rPr>
          <w:spacing w:val="-3"/>
        </w:rPr>
        <w:t> </w:t>
      </w:r>
      <w:r>
        <w:rPr/>
        <w:t>much</w:t>
      </w:r>
      <w:r>
        <w:rPr>
          <w:spacing w:val="-4"/>
        </w:rPr>
        <w:t> </w:t>
      </w:r>
      <w:r>
        <w:rPr/>
        <w:t>tanha</w:t>
      </w:r>
      <w:r>
        <w:rPr>
          <w:spacing w:val="-3"/>
        </w:rPr>
        <w:t> </w:t>
      </w:r>
      <w:r>
        <w:rPr/>
        <w:t>or</w:t>
      </w:r>
      <w:r>
        <w:rPr>
          <w:spacing w:val="-1"/>
        </w:rPr>
        <w:t> </w:t>
      </w:r>
      <w:r>
        <w:rPr/>
        <w:t>desire.</w:t>
      </w:r>
      <w:r>
        <w:rPr>
          <w:spacing w:val="-3"/>
        </w:rPr>
        <w:t> </w:t>
      </w:r>
      <w:r>
        <w:rPr/>
        <w:t>Hamlet</w:t>
      </w:r>
      <w:r>
        <w:rPr>
          <w:spacing w:val="-3"/>
        </w:rPr>
        <w:t> </w:t>
      </w:r>
      <w:r>
        <w:rPr/>
        <w:t>stands</w:t>
      </w:r>
      <w:r>
        <w:rPr>
          <w:spacing w:val="-3"/>
        </w:rPr>
        <w:t> </w:t>
      </w:r>
      <w:r>
        <w:rPr/>
        <w:t>for</w:t>
      </w:r>
      <w:r>
        <w:rPr>
          <w:spacing w:val="-1"/>
        </w:rPr>
        <w:t> </w:t>
      </w:r>
      <w:r>
        <w:rPr/>
        <w:t>another mode</w:t>
      </w:r>
      <w:r>
        <w:rPr>
          <w:spacing w:val="-10"/>
        </w:rPr>
        <w:t> </w:t>
      </w:r>
      <w:r>
        <w:rPr/>
        <w:t>of</w:t>
      </w:r>
      <w:r>
        <w:rPr>
          <w:spacing w:val="-9"/>
        </w:rPr>
        <w:t> </w:t>
      </w:r>
      <w:r>
        <w:rPr/>
        <w:t>getting</w:t>
      </w:r>
      <w:r>
        <w:rPr>
          <w:spacing w:val="-11"/>
        </w:rPr>
        <w:t> </w:t>
      </w:r>
      <w:r>
        <w:rPr/>
        <w:t>attached</w:t>
      </w:r>
      <w:r>
        <w:rPr>
          <w:spacing w:val="-8"/>
        </w:rPr>
        <w:t> </w:t>
      </w:r>
      <w:r>
        <w:rPr/>
        <w:t>which</w:t>
      </w:r>
      <w:r>
        <w:rPr>
          <w:spacing w:val="-11"/>
        </w:rPr>
        <w:t> </w:t>
      </w:r>
      <w:r>
        <w:rPr/>
        <w:t>is</w:t>
      </w:r>
      <w:r>
        <w:rPr>
          <w:spacing w:val="-9"/>
        </w:rPr>
        <w:t> </w:t>
      </w:r>
      <w:r>
        <w:rPr/>
        <w:t>through</w:t>
      </w:r>
      <w:r>
        <w:rPr>
          <w:spacing w:val="-13"/>
        </w:rPr>
        <w:t> </w:t>
      </w:r>
      <w:r>
        <w:rPr/>
        <w:t>intellectualization.</w:t>
      </w:r>
      <w:r>
        <w:rPr>
          <w:spacing w:val="-9"/>
        </w:rPr>
        <w:t> </w:t>
      </w:r>
      <w:r>
        <w:rPr/>
        <w:t>Therefore, his tragedy is a reminder that suffering can come from one’s desires as well as from one’s by nature very distracting and analytical way of thinking that always leads to one more postponement. Therefore, Hamlet’s tragedy shows a range of ways that suffering can be caused, and thus tragedy isn’t only explained by the ‘moral’ actions of the characters, but rather it’s extended to the ‘thinking’ of the character </w:t>
      </w:r>
      <w:r>
        <w:rPr>
          <w:spacing w:val="-2"/>
        </w:rPr>
        <w:t>itself.</w:t>
      </w:r>
    </w:p>
    <w:p>
      <w:pPr>
        <w:pStyle w:val="Heading3"/>
        <w:spacing w:before="165"/>
      </w:pPr>
      <w:r>
        <w:rPr>
          <w:spacing w:val="-2"/>
          <w:w w:val="95"/>
        </w:rPr>
        <w:t>DISCUSSION</w:t>
      </w:r>
    </w:p>
    <w:p>
      <w:pPr>
        <w:pStyle w:val="Heading5"/>
        <w:numPr>
          <w:ilvl w:val="1"/>
          <w:numId w:val="99"/>
        </w:numPr>
        <w:tabs>
          <w:tab w:pos="1879" w:val="left" w:leader="none"/>
        </w:tabs>
        <w:spacing w:line="240" w:lineRule="auto" w:before="125" w:after="0"/>
        <w:ind w:left="1879" w:right="0" w:hanging="439"/>
        <w:jc w:val="left"/>
      </w:pPr>
      <w:r>
        <w:rPr/>
        <w:t>Ethical</w:t>
      </w:r>
      <w:r>
        <w:rPr>
          <w:spacing w:val="75"/>
          <w:w w:val="150"/>
        </w:rPr>
        <w:t> </w:t>
      </w:r>
      <w:r>
        <w:rPr>
          <w:spacing w:val="-2"/>
        </w:rPr>
        <w:t>Implications</w:t>
      </w:r>
    </w:p>
    <w:p>
      <w:pPr>
        <w:pStyle w:val="BodyText"/>
        <w:spacing w:line="249" w:lineRule="auto" w:before="72"/>
        <w:ind w:right="1437" w:firstLine="432"/>
        <w:jc w:val="both"/>
      </w:pPr>
      <w:r>
        <w:rPr/>
        <w:t>The analysis implies that Shakespearean tragedy in a way very similar to karma can be structured by forms of ethical causality and therefore can be turned the other way round. Actions can only be seen as arising from intention, and consequences have to be understood as conditioned</w:t>
      </w:r>
      <w:r>
        <w:rPr>
          <w:spacing w:val="-6"/>
        </w:rPr>
        <w:t> </w:t>
      </w:r>
      <w:r>
        <w:rPr/>
        <w:t>results,</w:t>
      </w:r>
      <w:r>
        <w:rPr>
          <w:spacing w:val="-10"/>
        </w:rPr>
        <w:t> </w:t>
      </w:r>
      <w:r>
        <w:rPr/>
        <w:t>not</w:t>
      </w:r>
      <w:r>
        <w:rPr>
          <w:spacing w:val="-8"/>
        </w:rPr>
        <w:t> </w:t>
      </w:r>
      <w:r>
        <w:rPr/>
        <w:t>as</w:t>
      </w:r>
      <w:r>
        <w:rPr>
          <w:spacing w:val="-10"/>
        </w:rPr>
        <w:t> </w:t>
      </w:r>
      <w:r>
        <w:rPr/>
        <w:t>divine</w:t>
      </w:r>
      <w:r>
        <w:rPr>
          <w:spacing w:val="-7"/>
        </w:rPr>
        <w:t> </w:t>
      </w:r>
      <w:r>
        <w:rPr/>
        <w:t>punishment</w:t>
      </w:r>
      <w:r>
        <w:rPr>
          <w:spacing w:val="-11"/>
        </w:rPr>
        <w:t> </w:t>
      </w:r>
      <w:r>
        <w:rPr/>
        <w:t>(Keown,</w:t>
      </w:r>
      <w:r>
        <w:rPr>
          <w:spacing w:val="-6"/>
        </w:rPr>
        <w:t> </w:t>
      </w:r>
      <w:r>
        <w:rPr/>
        <w:t>2005;</w:t>
      </w:r>
      <w:r>
        <w:rPr>
          <w:spacing w:val="-10"/>
        </w:rPr>
        <w:t> </w:t>
      </w:r>
      <w:r>
        <w:rPr/>
        <w:t>Garfield</w:t>
      </w:r>
      <w:r>
        <w:rPr>
          <w:spacing w:val="-6"/>
        </w:rPr>
        <w:t> </w:t>
      </w:r>
      <w:r>
        <w:rPr/>
        <w:t>&amp; Priest, 2003). This opens up for a new understanding of tragedy as a system</w:t>
      </w:r>
      <w:r>
        <w:rPr>
          <w:spacing w:val="40"/>
        </w:rPr>
        <w:t> </w:t>
      </w:r>
      <w:r>
        <w:rPr/>
        <w:t>of</w:t>
      </w:r>
      <w:r>
        <w:rPr>
          <w:spacing w:val="40"/>
        </w:rPr>
        <w:t> </w:t>
      </w:r>
      <w:r>
        <w:rPr/>
        <w:t>ethical</w:t>
      </w:r>
      <w:r>
        <w:rPr>
          <w:spacing w:val="40"/>
        </w:rPr>
        <w:t> </w:t>
      </w:r>
      <w:r>
        <w:rPr/>
        <w:t>processes</w:t>
      </w:r>
      <w:r>
        <w:rPr>
          <w:spacing w:val="40"/>
        </w:rPr>
        <w:t> </w:t>
      </w:r>
      <w:r>
        <w:rPr/>
        <w:t>instead</w:t>
      </w:r>
      <w:r>
        <w:rPr>
          <w:spacing w:val="40"/>
        </w:rPr>
        <w:t> </w:t>
      </w:r>
      <w:r>
        <w:rPr/>
        <w:t>of</w:t>
      </w:r>
      <w:r>
        <w:rPr>
          <w:spacing w:val="40"/>
        </w:rPr>
        <w:t> </w:t>
      </w:r>
      <w:r>
        <w:rPr/>
        <w:t>fatalistic</w:t>
      </w:r>
      <w:r>
        <w:rPr>
          <w:spacing w:val="40"/>
        </w:rPr>
        <w:t> </w:t>
      </w:r>
      <w:r>
        <w:rPr/>
        <w:t>inevitability.</w:t>
      </w:r>
    </w:p>
    <w:p>
      <w:pPr>
        <w:pStyle w:val="Heading5"/>
        <w:numPr>
          <w:ilvl w:val="1"/>
          <w:numId w:val="99"/>
        </w:numPr>
        <w:tabs>
          <w:tab w:pos="1879" w:val="left" w:leader="none"/>
        </w:tabs>
        <w:spacing w:line="240" w:lineRule="auto" w:before="113" w:after="0"/>
        <w:ind w:left="1879" w:right="0" w:hanging="439"/>
        <w:jc w:val="left"/>
      </w:pPr>
      <w:r>
        <w:rPr>
          <w:w w:val="105"/>
        </w:rPr>
        <w:t>Hermeneutic</w:t>
      </w:r>
      <w:r>
        <w:rPr>
          <w:spacing w:val="79"/>
          <w:w w:val="150"/>
        </w:rPr>
        <w:t> </w:t>
      </w:r>
      <w:r>
        <w:rPr>
          <w:w w:val="105"/>
        </w:rPr>
        <w:t>and</w:t>
      </w:r>
      <w:r>
        <w:rPr>
          <w:spacing w:val="26"/>
          <w:w w:val="105"/>
        </w:rPr>
        <w:t>  </w:t>
      </w:r>
      <w:r>
        <w:rPr>
          <w:w w:val="105"/>
        </w:rPr>
        <w:t>Cross-Cultural</w:t>
      </w:r>
      <w:r>
        <w:rPr>
          <w:spacing w:val="27"/>
          <w:w w:val="105"/>
        </w:rPr>
        <w:t>  </w:t>
      </w:r>
      <w:r>
        <w:rPr>
          <w:spacing w:val="-2"/>
          <w:w w:val="105"/>
        </w:rPr>
        <w:t>Implications</w:t>
      </w:r>
    </w:p>
    <w:p>
      <w:pPr>
        <w:pStyle w:val="BodyText"/>
        <w:spacing w:line="249" w:lineRule="auto" w:before="72"/>
        <w:ind w:right="1439" w:firstLine="432"/>
        <w:jc w:val="both"/>
      </w:pPr>
      <w:r>
        <w:rPr/>
        <w:t>This method broadens the scope of Shakespearean criticism to include</w:t>
      </w:r>
      <w:r>
        <w:rPr>
          <w:spacing w:val="-10"/>
        </w:rPr>
        <w:t> </w:t>
      </w:r>
      <w:r>
        <w:rPr/>
        <w:t>non-Western</w:t>
      </w:r>
      <w:r>
        <w:rPr>
          <w:spacing w:val="-12"/>
        </w:rPr>
        <w:t> </w:t>
      </w:r>
      <w:r>
        <w:rPr/>
        <w:t>philosophical</w:t>
      </w:r>
      <w:r>
        <w:rPr>
          <w:spacing w:val="-10"/>
        </w:rPr>
        <w:t> </w:t>
      </w:r>
      <w:r>
        <w:rPr/>
        <w:t>perspectives.</w:t>
      </w:r>
      <w:r>
        <w:rPr>
          <w:spacing w:val="-10"/>
        </w:rPr>
        <w:t> </w:t>
      </w:r>
      <w:r>
        <w:rPr/>
        <w:t>Highlighting</w:t>
      </w:r>
      <w:r>
        <w:rPr>
          <w:spacing w:val="-12"/>
        </w:rPr>
        <w:t> </w:t>
      </w:r>
      <w:r>
        <w:rPr/>
        <w:t>causality, impermanence, and attachment, it changes the focus from character defect to the systemic mechanisms of</w:t>
      </w:r>
      <w:r>
        <w:rPr>
          <w:spacing w:val="-2"/>
        </w:rPr>
        <w:t> </w:t>
      </w:r>
      <w:r>
        <w:rPr/>
        <w:t>suffering (Ricoeur, 1976; Ganeri, 2007). This kind of reinterpretation allows more interpretive diversity while maintaining the textual complexity.</w:t>
      </w:r>
    </w:p>
    <w:p>
      <w:pPr>
        <w:pStyle w:val="Heading5"/>
        <w:numPr>
          <w:ilvl w:val="1"/>
          <w:numId w:val="99"/>
        </w:numPr>
        <w:tabs>
          <w:tab w:pos="1875" w:val="left" w:leader="none"/>
        </w:tabs>
        <w:spacing w:line="240" w:lineRule="auto" w:before="112" w:after="0"/>
        <w:ind w:left="1875" w:right="0" w:hanging="435"/>
        <w:jc w:val="left"/>
      </w:pPr>
      <w:r>
        <w:rPr/>
        <w:t>Toward</w:t>
      </w:r>
      <w:r>
        <w:rPr>
          <w:spacing w:val="68"/>
          <w:w w:val="150"/>
        </w:rPr>
        <w:t> </w:t>
      </w:r>
      <w:r>
        <w:rPr/>
        <w:t>a</w:t>
      </w:r>
      <w:r>
        <w:rPr>
          <w:spacing w:val="64"/>
          <w:w w:val="150"/>
        </w:rPr>
        <w:t> </w:t>
      </w:r>
      <w:r>
        <w:rPr/>
        <w:t>Global</w:t>
      </w:r>
      <w:r>
        <w:rPr>
          <w:spacing w:val="68"/>
          <w:w w:val="150"/>
        </w:rPr>
        <w:t> </w:t>
      </w:r>
      <w:r>
        <w:rPr/>
        <w:t>Literary</w:t>
      </w:r>
      <w:r>
        <w:rPr>
          <w:spacing w:val="66"/>
          <w:w w:val="150"/>
        </w:rPr>
        <w:t> </w:t>
      </w:r>
      <w:r>
        <w:rPr>
          <w:spacing w:val="-2"/>
        </w:rPr>
        <w:t>Framework</w:t>
      </w:r>
    </w:p>
    <w:p>
      <w:pPr>
        <w:pStyle w:val="BodyText"/>
        <w:spacing w:line="249" w:lineRule="auto" w:before="74"/>
        <w:ind w:right="1438" w:firstLine="432"/>
        <w:jc w:val="both"/>
      </w:pPr>
      <w:r>
        <w:rPr/>
        <w:t>The study adds to a worldwide model of literary critique where great</w:t>
      </w:r>
      <w:r>
        <w:rPr>
          <w:spacing w:val="71"/>
          <w:w w:val="150"/>
        </w:rPr>
        <w:t> </w:t>
      </w:r>
      <w:r>
        <w:rPr/>
        <w:t>literature</w:t>
      </w:r>
      <w:r>
        <w:rPr>
          <w:spacing w:val="74"/>
          <w:w w:val="150"/>
        </w:rPr>
        <w:t> </w:t>
      </w:r>
      <w:r>
        <w:rPr/>
        <w:t>is</w:t>
      </w:r>
      <w:r>
        <w:rPr>
          <w:spacing w:val="74"/>
          <w:w w:val="150"/>
        </w:rPr>
        <w:t> </w:t>
      </w:r>
      <w:r>
        <w:rPr/>
        <w:t>reexamined</w:t>
      </w:r>
      <w:r>
        <w:rPr>
          <w:spacing w:val="74"/>
          <w:w w:val="150"/>
        </w:rPr>
        <w:t> </w:t>
      </w:r>
      <w:r>
        <w:rPr/>
        <w:t>in</w:t>
      </w:r>
      <w:r>
        <w:rPr>
          <w:spacing w:val="68"/>
          <w:w w:val="150"/>
        </w:rPr>
        <w:t> </w:t>
      </w:r>
      <w:r>
        <w:rPr/>
        <w:t>various</w:t>
      </w:r>
      <w:r>
        <w:rPr>
          <w:spacing w:val="69"/>
          <w:w w:val="150"/>
        </w:rPr>
        <w:t> </w:t>
      </w:r>
      <w:r>
        <w:rPr/>
        <w:t>intellectual</w:t>
      </w:r>
      <w:r>
        <w:rPr>
          <w:spacing w:val="73"/>
          <w:w w:val="150"/>
        </w:rPr>
        <w:t> </w:t>
      </w:r>
      <w:r>
        <w:rPr>
          <w:spacing w:val="-2"/>
        </w:rPr>
        <w:t>traditions.</w:t>
      </w:r>
    </w:p>
    <w:p>
      <w:pPr>
        <w:pStyle w:val="BodyText"/>
        <w:spacing w:after="0" w:line="249" w:lineRule="auto"/>
        <w:jc w:val="both"/>
        <w:sectPr>
          <w:pgSz w:w="12240" w:h="15840"/>
          <w:pgMar w:top="1820" w:bottom="280" w:left="1800" w:right="1800"/>
        </w:sectPr>
      </w:pPr>
    </w:p>
    <w:p>
      <w:pPr>
        <w:tabs>
          <w:tab w:pos="7193"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6512">
                <wp:simplePos x="0" y="0"/>
                <wp:positionH relativeFrom="page">
                  <wp:posOffset>2065020</wp:posOffset>
                </wp:positionH>
                <wp:positionV relativeFrom="paragraph">
                  <wp:posOffset>795020</wp:posOffset>
                </wp:positionV>
                <wp:extent cx="3657600" cy="12700"/>
                <wp:effectExtent l="0" t="0" r="0" b="0"/>
                <wp:wrapTopAndBottom/>
                <wp:docPr id="915" name="Graphic 915"/>
                <wp:cNvGraphicFramePr>
                  <a:graphicFrameLocks/>
                </wp:cNvGraphicFramePr>
                <a:graphic>
                  <a:graphicData uri="http://schemas.microsoft.com/office/word/2010/wordprocessingShape">
                    <wps:wsp>
                      <wps:cNvPr id="915" name="Graphic 91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79968;mso-wrap-distance-left:0;mso-wrap-distance-right:0" id="docshape906" filled="true" fillcolor="#000000" stroked="false">
                <v:fill type="solid"/>
                <w10:wrap type="topAndBottom"/>
              </v:rect>
            </w:pict>
          </mc:Fallback>
        </mc:AlternateContent>
      </w:r>
      <w:r>
        <w:rPr>
          <w:rFonts w:ascii="Verdana"/>
          <w:spacing w:val="-2"/>
          <w:sz w:val="18"/>
        </w:rPr>
        <w:t>Re-reading</w:t>
      </w:r>
      <w:r>
        <w:rPr>
          <w:rFonts w:ascii="Verdana"/>
          <w:spacing w:val="1"/>
          <w:sz w:val="18"/>
        </w:rPr>
        <w:t> </w:t>
      </w:r>
      <w:r>
        <w:rPr>
          <w:rFonts w:ascii="Verdana"/>
          <w:spacing w:val="-2"/>
          <w:sz w:val="18"/>
        </w:rPr>
        <w:t>Shakespearean</w:t>
      </w:r>
      <w:r>
        <w:rPr>
          <w:rFonts w:ascii="Verdana"/>
          <w:spacing w:val="4"/>
          <w:sz w:val="18"/>
        </w:rPr>
        <w:t> </w:t>
      </w:r>
      <w:r>
        <w:rPr>
          <w:rFonts w:ascii="Verdana"/>
          <w:spacing w:val="-2"/>
          <w:sz w:val="18"/>
        </w:rPr>
        <w:t>Tragedy</w:t>
      </w:r>
      <w:r>
        <w:rPr>
          <w:rFonts w:ascii="Verdana"/>
          <w:spacing w:val="5"/>
          <w:sz w:val="18"/>
        </w:rPr>
        <w:t> </w:t>
      </w:r>
      <w:r>
        <w:rPr>
          <w:rFonts w:ascii="Verdana"/>
          <w:spacing w:val="-2"/>
          <w:sz w:val="18"/>
        </w:rPr>
        <w:t>through</w:t>
      </w:r>
      <w:r>
        <w:rPr>
          <w:rFonts w:ascii="Verdana"/>
          <w:spacing w:val="3"/>
          <w:sz w:val="18"/>
        </w:rPr>
        <w:t> </w:t>
      </w:r>
      <w:r>
        <w:rPr>
          <w:rFonts w:ascii="Verdana"/>
          <w:spacing w:val="-2"/>
          <w:sz w:val="18"/>
        </w:rPr>
        <w:t>Buddhist...</w:t>
      </w:r>
      <w:r>
        <w:rPr>
          <w:sz w:val="18"/>
        </w:rPr>
        <w:tab/>
      </w:r>
      <w:r>
        <w:rPr>
          <w:rFonts w:ascii="Verdana"/>
          <w:spacing w:val="-5"/>
          <w:sz w:val="18"/>
        </w:rPr>
        <w:t>485</w:t>
      </w:r>
    </w:p>
    <w:p>
      <w:pPr>
        <w:pStyle w:val="BodyText"/>
        <w:spacing w:line="249" w:lineRule="auto" w:before="192"/>
        <w:ind w:right="1438"/>
        <w:jc w:val="both"/>
      </w:pPr>
      <w:r>
        <w:rPr/>
        <w:t>Shakespeare’s tragedies therefore become places of intercultural conversation where they express timeless issues but also reveal their specific historical contexts (Kearney, 2002; Faure, 2009).</w:t>
      </w:r>
    </w:p>
    <w:p>
      <w:pPr>
        <w:pStyle w:val="Heading3"/>
        <w:spacing w:before="168"/>
      </w:pPr>
      <w:r>
        <w:rPr>
          <w:spacing w:val="-2"/>
        </w:rPr>
        <w:t>CONCLUSION</w:t>
      </w:r>
    </w:p>
    <w:p>
      <w:pPr>
        <w:pStyle w:val="BodyText"/>
        <w:spacing w:line="266" w:lineRule="auto" w:before="92"/>
        <w:ind w:right="1436" w:firstLine="432"/>
        <w:jc w:val="both"/>
      </w:pPr>
      <w:r>
        <w:rPr/>
        <w:t>In sum, this paper has illustrated that Shakespearean tragedy is capable of being effectively reinterpreted from the perspective of Buddhist philosophy especially in terms of concepts like suffering, impermanence, and desire. Along with a detailed examination of the interplays between text and philosophy, resulting comparative study points</w:t>
      </w:r>
      <w:r>
        <w:rPr>
          <w:spacing w:val="-1"/>
        </w:rPr>
        <w:t> </w:t>
      </w:r>
      <w:r>
        <w:rPr/>
        <w:t>out how</w:t>
      </w:r>
      <w:r>
        <w:rPr>
          <w:spacing w:val="-4"/>
        </w:rPr>
        <w:t> </w:t>
      </w:r>
      <w:r>
        <w:rPr/>
        <w:t>fundamental components</w:t>
      </w:r>
      <w:r>
        <w:rPr>
          <w:spacing w:val="-1"/>
        </w:rPr>
        <w:t> </w:t>
      </w:r>
      <w:r>
        <w:rPr/>
        <w:t>of</w:t>
      </w:r>
      <w:r>
        <w:rPr>
          <w:spacing w:val="-1"/>
        </w:rPr>
        <w:t> </w:t>
      </w:r>
      <w:r>
        <w:rPr/>
        <w:t>tragic causation correspond to each other. Not only has it been shown through the discussion that it’s possible for the readers of other cultures to be involved in </w:t>
      </w:r>
      <w:r>
        <w:rPr>
          <w:spacing w:val="-2"/>
        </w:rPr>
        <w:t>interpretative</w:t>
      </w:r>
      <w:r>
        <w:rPr>
          <w:spacing w:val="-7"/>
        </w:rPr>
        <w:t> </w:t>
      </w:r>
      <w:r>
        <w:rPr>
          <w:spacing w:val="-2"/>
        </w:rPr>
        <w:t>efforts</w:t>
      </w:r>
      <w:r>
        <w:rPr>
          <w:spacing w:val="-7"/>
        </w:rPr>
        <w:t> </w:t>
      </w:r>
      <w:r>
        <w:rPr>
          <w:spacing w:val="-2"/>
        </w:rPr>
        <w:t>of</w:t>
      </w:r>
      <w:r>
        <w:rPr>
          <w:spacing w:val="-11"/>
        </w:rPr>
        <w:t> </w:t>
      </w:r>
      <w:r>
        <w:rPr>
          <w:spacing w:val="-2"/>
        </w:rPr>
        <w:t>the</w:t>
      </w:r>
      <w:r>
        <w:rPr>
          <w:spacing w:val="-6"/>
        </w:rPr>
        <w:t> </w:t>
      </w:r>
      <w:r>
        <w:rPr>
          <w:spacing w:val="-2"/>
        </w:rPr>
        <w:t>literary</w:t>
      </w:r>
      <w:r>
        <w:rPr>
          <w:spacing w:val="-11"/>
        </w:rPr>
        <w:t> </w:t>
      </w:r>
      <w:r>
        <w:rPr>
          <w:spacing w:val="-2"/>
        </w:rPr>
        <w:t>works</w:t>
      </w:r>
      <w:r>
        <w:rPr>
          <w:spacing w:val="-6"/>
        </w:rPr>
        <w:t> </w:t>
      </w:r>
      <w:r>
        <w:rPr>
          <w:spacing w:val="-2"/>
        </w:rPr>
        <w:t>that</w:t>
      </w:r>
      <w:r>
        <w:rPr>
          <w:spacing w:val="-5"/>
        </w:rPr>
        <w:t> </w:t>
      </w:r>
      <w:r>
        <w:rPr>
          <w:spacing w:val="-2"/>
        </w:rPr>
        <w:t>are</w:t>
      </w:r>
      <w:r>
        <w:rPr>
          <w:spacing w:val="-9"/>
        </w:rPr>
        <w:t> </w:t>
      </w:r>
      <w:r>
        <w:rPr>
          <w:spacing w:val="-2"/>
        </w:rPr>
        <w:t>situated</w:t>
      </w:r>
      <w:r>
        <w:rPr>
          <w:spacing w:val="-4"/>
        </w:rPr>
        <w:t> </w:t>
      </w:r>
      <w:r>
        <w:rPr>
          <w:spacing w:val="-2"/>
        </w:rPr>
        <w:t>within</w:t>
      </w:r>
      <w:r>
        <w:rPr>
          <w:spacing w:val="-7"/>
        </w:rPr>
        <w:t> </w:t>
      </w:r>
      <w:r>
        <w:rPr>
          <w:spacing w:val="-2"/>
        </w:rPr>
        <w:t>different </w:t>
      </w:r>
      <w:r>
        <w:rPr/>
        <w:t>cultural traditions. This will definitely help in the further development of literary criticism and also help in broadening the horizon of its </w:t>
      </w:r>
      <w:r>
        <w:rPr>
          <w:spacing w:val="-2"/>
        </w:rPr>
        <w:t>concepts.</w:t>
      </w:r>
    </w:p>
    <w:p>
      <w:pPr>
        <w:pStyle w:val="BodyText"/>
        <w:spacing w:line="266" w:lineRule="auto" w:before="66"/>
        <w:ind w:right="1441" w:firstLine="432"/>
        <w:jc w:val="both"/>
      </w:pPr>
      <w:r>
        <w:rPr/>
        <w:t>In addition, forthcoming investigations are free to employ this methodology on other kinds of literature and different philosophical systems</w:t>
      </w:r>
      <w:r>
        <w:rPr>
          <w:spacing w:val="-8"/>
        </w:rPr>
        <w:t> </w:t>
      </w:r>
      <w:r>
        <w:rPr/>
        <w:t>which</w:t>
      </w:r>
      <w:r>
        <w:rPr>
          <w:spacing w:val="-8"/>
        </w:rPr>
        <w:t> </w:t>
      </w:r>
      <w:r>
        <w:rPr/>
        <w:t>would</w:t>
      </w:r>
      <w:r>
        <w:rPr>
          <w:spacing w:val="-4"/>
        </w:rPr>
        <w:t> </w:t>
      </w:r>
      <w:r>
        <w:rPr/>
        <w:t>be</w:t>
      </w:r>
      <w:r>
        <w:rPr>
          <w:spacing w:val="-8"/>
        </w:rPr>
        <w:t> </w:t>
      </w:r>
      <w:r>
        <w:rPr/>
        <w:t>a</w:t>
      </w:r>
      <w:r>
        <w:rPr>
          <w:spacing w:val="-7"/>
        </w:rPr>
        <w:t> </w:t>
      </w:r>
      <w:r>
        <w:rPr/>
        <w:t>great</w:t>
      </w:r>
      <w:r>
        <w:rPr>
          <w:spacing w:val="-7"/>
        </w:rPr>
        <w:t> </w:t>
      </w:r>
      <w:r>
        <w:rPr/>
        <w:t>contribution</w:t>
      </w:r>
      <w:r>
        <w:rPr>
          <w:spacing w:val="-10"/>
        </w:rPr>
        <w:t> </w:t>
      </w:r>
      <w:r>
        <w:rPr/>
        <w:t>to</w:t>
      </w:r>
      <w:r>
        <w:rPr>
          <w:spacing w:val="-6"/>
        </w:rPr>
        <w:t> </w:t>
      </w:r>
      <w:r>
        <w:rPr/>
        <w:t>the</w:t>
      </w:r>
      <w:r>
        <w:rPr>
          <w:spacing w:val="-6"/>
        </w:rPr>
        <w:t> </w:t>
      </w:r>
      <w:r>
        <w:rPr/>
        <w:t>work</w:t>
      </w:r>
      <w:r>
        <w:rPr>
          <w:spacing w:val="-8"/>
        </w:rPr>
        <w:t> </w:t>
      </w:r>
      <w:r>
        <w:rPr/>
        <w:t>of</w:t>
      </w:r>
      <w:r>
        <w:rPr>
          <w:spacing w:val="-8"/>
        </w:rPr>
        <w:t> </w:t>
      </w:r>
      <w:r>
        <w:rPr/>
        <w:t>comparative literary</w:t>
      </w:r>
      <w:r>
        <w:rPr>
          <w:spacing w:val="40"/>
        </w:rPr>
        <w:t> </w:t>
      </w:r>
      <w:r>
        <w:rPr/>
        <w:t>studies.</w:t>
      </w:r>
    </w:p>
    <w:p>
      <w:pPr>
        <w:pStyle w:val="Heading3"/>
        <w:spacing w:before="160"/>
      </w:pPr>
      <w:r>
        <w:rPr>
          <w:spacing w:val="-2"/>
          <w:w w:val="95"/>
        </w:rPr>
        <w:t>REFERENCES</w:t>
      </w:r>
    </w:p>
    <w:p>
      <w:pPr>
        <w:pStyle w:val="ListParagraph"/>
        <w:numPr>
          <w:ilvl w:val="2"/>
          <w:numId w:val="99"/>
        </w:numPr>
        <w:tabs>
          <w:tab w:pos="2157" w:val="left" w:leader="none"/>
          <w:tab w:pos="2160" w:val="left" w:leader="none"/>
        </w:tabs>
        <w:spacing w:line="268" w:lineRule="auto" w:before="92" w:after="0"/>
        <w:ind w:left="2160" w:right="1439" w:hanging="315"/>
        <w:jc w:val="both"/>
        <w:rPr>
          <w:sz w:val="19"/>
        </w:rPr>
      </w:pPr>
      <w:r>
        <w:rPr>
          <w:sz w:val="19"/>
        </w:rPr>
        <w:t>Bradley, A. C. (1904). </w:t>
      </w:r>
      <w:r>
        <w:rPr>
          <w:i/>
          <w:sz w:val="19"/>
        </w:rPr>
        <w:t>Shakespearean tragedy: Lectures on Hamlet,</w:t>
      </w:r>
      <w:r>
        <w:rPr>
          <w:i/>
          <w:spacing w:val="40"/>
          <w:sz w:val="19"/>
        </w:rPr>
        <w:t> </w:t>
      </w:r>
      <w:r>
        <w:rPr>
          <w:i/>
          <w:sz w:val="19"/>
        </w:rPr>
        <w:t>Othello,</w:t>
      </w:r>
      <w:r>
        <w:rPr>
          <w:i/>
          <w:spacing w:val="40"/>
          <w:sz w:val="19"/>
        </w:rPr>
        <w:t> </w:t>
      </w:r>
      <w:r>
        <w:rPr>
          <w:i/>
          <w:sz w:val="19"/>
        </w:rPr>
        <w:t>King</w:t>
      </w:r>
      <w:r>
        <w:rPr>
          <w:i/>
          <w:spacing w:val="40"/>
          <w:sz w:val="19"/>
        </w:rPr>
        <w:t> </w:t>
      </w:r>
      <w:r>
        <w:rPr>
          <w:i/>
          <w:sz w:val="19"/>
        </w:rPr>
        <w:t>Lear,</w:t>
      </w:r>
      <w:r>
        <w:rPr>
          <w:i/>
          <w:spacing w:val="40"/>
          <w:sz w:val="19"/>
        </w:rPr>
        <w:t> </w:t>
      </w:r>
      <w:r>
        <w:rPr>
          <w:i/>
          <w:sz w:val="19"/>
        </w:rPr>
        <w:t>Macbeth</w:t>
      </w:r>
      <w:r>
        <w:rPr>
          <w:sz w:val="19"/>
        </w:rPr>
        <w:t>.</w:t>
      </w:r>
      <w:r>
        <w:rPr>
          <w:spacing w:val="40"/>
          <w:sz w:val="19"/>
        </w:rPr>
        <w:t> </w:t>
      </w:r>
      <w:r>
        <w:rPr>
          <w:sz w:val="19"/>
        </w:rPr>
        <w:t>Macmillan.</w:t>
      </w:r>
    </w:p>
    <w:p>
      <w:pPr>
        <w:pStyle w:val="ListParagraph"/>
        <w:numPr>
          <w:ilvl w:val="2"/>
          <w:numId w:val="99"/>
        </w:numPr>
        <w:tabs>
          <w:tab w:pos="2157" w:val="left" w:leader="none"/>
          <w:tab w:pos="2160" w:val="left" w:leader="none"/>
        </w:tabs>
        <w:spacing w:line="268" w:lineRule="auto" w:before="58" w:after="0"/>
        <w:ind w:left="2160" w:right="1442" w:hanging="315"/>
        <w:jc w:val="both"/>
        <w:rPr>
          <w:sz w:val="19"/>
        </w:rPr>
      </w:pPr>
      <w:r>
        <w:rPr>
          <w:sz w:val="19"/>
        </w:rPr>
        <w:t>Batchelor, S. (1997). </w:t>
      </w:r>
      <w:r>
        <w:rPr>
          <w:i/>
          <w:sz w:val="19"/>
        </w:rPr>
        <w:t>Buddhism without beliefs: A contemporary guide</w:t>
      </w:r>
      <w:r>
        <w:rPr>
          <w:i/>
          <w:spacing w:val="40"/>
          <w:sz w:val="19"/>
        </w:rPr>
        <w:t> </w:t>
      </w:r>
      <w:r>
        <w:rPr>
          <w:i/>
          <w:sz w:val="19"/>
        </w:rPr>
        <w:t>to</w:t>
      </w:r>
      <w:r>
        <w:rPr>
          <w:i/>
          <w:spacing w:val="40"/>
          <w:sz w:val="19"/>
        </w:rPr>
        <w:t> </w:t>
      </w:r>
      <w:r>
        <w:rPr>
          <w:i/>
          <w:sz w:val="19"/>
        </w:rPr>
        <w:t>awakening</w:t>
      </w:r>
      <w:r>
        <w:rPr>
          <w:sz w:val="19"/>
        </w:rPr>
        <w:t>.</w:t>
      </w:r>
      <w:r>
        <w:rPr>
          <w:spacing w:val="40"/>
          <w:sz w:val="19"/>
        </w:rPr>
        <w:t> </w:t>
      </w:r>
      <w:r>
        <w:rPr>
          <w:sz w:val="19"/>
        </w:rPr>
        <w:t>Riverhead</w:t>
      </w:r>
      <w:r>
        <w:rPr>
          <w:spacing w:val="40"/>
          <w:sz w:val="19"/>
        </w:rPr>
        <w:t> </w:t>
      </w:r>
      <w:r>
        <w:rPr>
          <w:sz w:val="19"/>
        </w:rPr>
        <w:t>Books.</w:t>
      </w:r>
    </w:p>
    <w:p>
      <w:pPr>
        <w:pStyle w:val="ListParagraph"/>
        <w:numPr>
          <w:ilvl w:val="2"/>
          <w:numId w:val="99"/>
        </w:numPr>
        <w:tabs>
          <w:tab w:pos="2157" w:val="left" w:leader="none"/>
          <w:tab w:pos="2160" w:val="left" w:leader="none"/>
        </w:tabs>
        <w:spacing w:line="268" w:lineRule="auto" w:before="55" w:after="0"/>
        <w:ind w:left="2160" w:right="1438" w:hanging="315"/>
        <w:jc w:val="both"/>
        <w:rPr>
          <w:sz w:val="19"/>
        </w:rPr>
      </w:pPr>
      <w:r>
        <w:rPr>
          <w:sz w:val="19"/>
        </w:rPr>
        <w:t>Bloom, H. (1998). </w:t>
      </w:r>
      <w:r>
        <w:rPr>
          <w:i/>
          <w:sz w:val="19"/>
        </w:rPr>
        <w:t>Shakespeare: The invention of the human</w:t>
      </w:r>
      <w:r>
        <w:rPr>
          <w:sz w:val="19"/>
        </w:rPr>
        <w:t>. Riverhead</w:t>
      </w:r>
      <w:r>
        <w:rPr>
          <w:spacing w:val="40"/>
          <w:sz w:val="19"/>
        </w:rPr>
        <w:t> </w:t>
      </w:r>
      <w:r>
        <w:rPr>
          <w:sz w:val="19"/>
        </w:rPr>
        <w:t>Books.</w:t>
      </w:r>
    </w:p>
    <w:p>
      <w:pPr>
        <w:pStyle w:val="ListParagraph"/>
        <w:numPr>
          <w:ilvl w:val="2"/>
          <w:numId w:val="99"/>
        </w:numPr>
        <w:tabs>
          <w:tab w:pos="2157" w:val="left" w:leader="none"/>
          <w:tab w:pos="2160" w:val="left" w:leader="none"/>
        </w:tabs>
        <w:spacing w:line="266" w:lineRule="auto" w:before="58" w:after="0"/>
        <w:ind w:left="2160" w:right="1439" w:hanging="315"/>
        <w:jc w:val="both"/>
        <w:rPr>
          <w:sz w:val="19"/>
        </w:rPr>
      </w:pPr>
      <w:r>
        <w:rPr>
          <w:sz w:val="19"/>
        </w:rPr>
        <w:t>Dollimore, J. (2004). </w:t>
      </w:r>
      <w:r>
        <w:rPr>
          <w:i/>
          <w:sz w:val="19"/>
        </w:rPr>
        <w:t>Radical tragedy: Religion, ideology and power</w:t>
      </w:r>
      <w:r>
        <w:rPr>
          <w:i/>
          <w:spacing w:val="40"/>
          <w:sz w:val="19"/>
        </w:rPr>
        <w:t> </w:t>
      </w:r>
      <w:r>
        <w:rPr>
          <w:i/>
          <w:sz w:val="19"/>
        </w:rPr>
        <w:t>in</w:t>
      </w:r>
      <w:r>
        <w:rPr>
          <w:i/>
          <w:spacing w:val="40"/>
          <w:sz w:val="19"/>
        </w:rPr>
        <w:t> </w:t>
      </w:r>
      <w:r>
        <w:rPr>
          <w:i/>
          <w:sz w:val="19"/>
        </w:rPr>
        <w:t>the</w:t>
      </w:r>
      <w:r>
        <w:rPr>
          <w:i/>
          <w:spacing w:val="40"/>
          <w:sz w:val="19"/>
        </w:rPr>
        <w:t> </w:t>
      </w:r>
      <w:r>
        <w:rPr>
          <w:i/>
          <w:sz w:val="19"/>
        </w:rPr>
        <w:t>drama</w:t>
      </w:r>
      <w:r>
        <w:rPr>
          <w:i/>
          <w:spacing w:val="40"/>
          <w:sz w:val="19"/>
        </w:rPr>
        <w:t> </w:t>
      </w:r>
      <w:r>
        <w:rPr>
          <w:i/>
          <w:sz w:val="19"/>
        </w:rPr>
        <w:t>of</w:t>
      </w:r>
      <w:r>
        <w:rPr>
          <w:i/>
          <w:spacing w:val="40"/>
          <w:sz w:val="19"/>
        </w:rPr>
        <w:t> </w:t>
      </w:r>
      <w:r>
        <w:rPr>
          <w:i/>
          <w:sz w:val="19"/>
        </w:rPr>
        <w:t>Shakespeare</w:t>
      </w:r>
      <w:r>
        <w:rPr>
          <w:i/>
          <w:spacing w:val="40"/>
          <w:sz w:val="19"/>
        </w:rPr>
        <w:t> </w:t>
      </w:r>
      <w:r>
        <w:rPr>
          <w:i/>
          <w:sz w:val="19"/>
        </w:rPr>
        <w:t>and</w:t>
      </w:r>
      <w:r>
        <w:rPr>
          <w:i/>
          <w:spacing w:val="40"/>
          <w:sz w:val="19"/>
        </w:rPr>
        <w:t> </w:t>
      </w:r>
      <w:r>
        <w:rPr>
          <w:i/>
          <w:sz w:val="19"/>
        </w:rPr>
        <w:t>his</w:t>
      </w:r>
      <w:r>
        <w:rPr>
          <w:i/>
          <w:spacing w:val="40"/>
          <w:sz w:val="19"/>
        </w:rPr>
        <w:t> </w:t>
      </w:r>
      <w:r>
        <w:rPr>
          <w:i/>
          <w:sz w:val="19"/>
        </w:rPr>
        <w:t>contemporaries </w:t>
      </w:r>
      <w:r>
        <w:rPr>
          <w:sz w:val="19"/>
        </w:rPr>
        <w:t>(3rd</w:t>
      </w:r>
      <w:r>
        <w:rPr>
          <w:spacing w:val="40"/>
          <w:sz w:val="19"/>
        </w:rPr>
        <w:t> </w:t>
      </w:r>
      <w:r>
        <w:rPr>
          <w:sz w:val="19"/>
        </w:rPr>
        <w:t>ed.).</w:t>
      </w:r>
      <w:r>
        <w:rPr>
          <w:spacing w:val="40"/>
          <w:sz w:val="19"/>
        </w:rPr>
        <w:t> </w:t>
      </w:r>
      <w:r>
        <w:rPr>
          <w:sz w:val="19"/>
        </w:rPr>
        <w:t>Palgrave</w:t>
      </w:r>
      <w:r>
        <w:rPr>
          <w:spacing w:val="40"/>
          <w:sz w:val="19"/>
        </w:rPr>
        <w:t> </w:t>
      </w:r>
      <w:r>
        <w:rPr>
          <w:sz w:val="19"/>
        </w:rPr>
        <w:t>Macmillan.</w:t>
      </w:r>
    </w:p>
    <w:p>
      <w:pPr>
        <w:pStyle w:val="ListParagraph"/>
        <w:numPr>
          <w:ilvl w:val="2"/>
          <w:numId w:val="99"/>
        </w:numPr>
        <w:tabs>
          <w:tab w:pos="2157" w:val="left" w:leader="none"/>
          <w:tab w:pos="2160" w:val="left" w:leader="none"/>
        </w:tabs>
        <w:spacing w:line="268" w:lineRule="auto" w:before="62" w:after="0"/>
        <w:ind w:left="2160" w:right="1438" w:hanging="315"/>
        <w:jc w:val="both"/>
        <w:rPr>
          <w:sz w:val="19"/>
        </w:rPr>
      </w:pPr>
      <w:r>
        <w:rPr>
          <w:sz w:val="19"/>
        </w:rPr>
        <w:t>Eagleton, T. (2003). </w:t>
      </w:r>
      <w:r>
        <w:rPr>
          <w:i/>
          <w:sz w:val="19"/>
        </w:rPr>
        <w:t>Sweet violence: The idea of the tragic</w:t>
      </w:r>
      <w:r>
        <w:rPr>
          <w:sz w:val="19"/>
        </w:rPr>
        <w:t>. Blackwell</w:t>
      </w:r>
      <w:r>
        <w:rPr>
          <w:spacing w:val="40"/>
          <w:sz w:val="19"/>
        </w:rPr>
        <w:t> </w:t>
      </w:r>
      <w:r>
        <w:rPr>
          <w:sz w:val="19"/>
        </w:rPr>
        <w:t>Publishing.</w:t>
      </w:r>
    </w:p>
    <w:p>
      <w:pPr>
        <w:pStyle w:val="ListParagraph"/>
        <w:numPr>
          <w:ilvl w:val="2"/>
          <w:numId w:val="99"/>
        </w:numPr>
        <w:tabs>
          <w:tab w:pos="2157" w:val="left" w:leader="none"/>
          <w:tab w:pos="2160" w:val="left" w:leader="none"/>
        </w:tabs>
        <w:spacing w:line="266" w:lineRule="auto" w:before="58" w:after="0"/>
        <w:ind w:left="2160" w:right="1432" w:hanging="315"/>
        <w:jc w:val="both"/>
        <w:rPr>
          <w:sz w:val="19"/>
        </w:rPr>
      </w:pPr>
      <w:r>
        <w:rPr>
          <w:sz w:val="19"/>
        </w:rPr>
        <w:t>Garfield, J. L. (1995). </w:t>
      </w:r>
      <w:r>
        <w:rPr>
          <w:i/>
          <w:sz w:val="19"/>
        </w:rPr>
        <w:t>The fundamental wisdom of the Middle Way: Nagarjuna’s Mûlamadhyamakakarika</w:t>
      </w:r>
      <w:r>
        <w:rPr>
          <w:sz w:val="19"/>
        </w:rPr>
        <w:t>. Oxford University </w:t>
      </w:r>
      <w:r>
        <w:rPr>
          <w:spacing w:val="-2"/>
          <w:sz w:val="19"/>
        </w:rPr>
        <w:t>Press.</w:t>
      </w:r>
    </w:p>
    <w:p>
      <w:pPr>
        <w:pStyle w:val="ListParagraph"/>
        <w:spacing w:after="0" w:line="266" w:lineRule="auto"/>
        <w:jc w:val="both"/>
        <w:rPr>
          <w:sz w:val="19"/>
        </w:rPr>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7024">
                <wp:simplePos x="0" y="0"/>
                <wp:positionH relativeFrom="page">
                  <wp:posOffset>2057400</wp:posOffset>
                </wp:positionH>
                <wp:positionV relativeFrom="paragraph">
                  <wp:posOffset>162604</wp:posOffset>
                </wp:positionV>
                <wp:extent cx="3657600" cy="12700"/>
                <wp:effectExtent l="0" t="0" r="0" b="0"/>
                <wp:wrapTopAndBottom/>
                <wp:docPr id="916" name="Graphic 916"/>
                <wp:cNvGraphicFramePr>
                  <a:graphicFrameLocks/>
                </wp:cNvGraphicFramePr>
                <a:graphic>
                  <a:graphicData uri="http://schemas.microsoft.com/office/word/2010/wordprocessingShape">
                    <wps:wsp>
                      <wps:cNvPr id="916" name="Graphic 91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79456;mso-wrap-distance-left:0;mso-wrap-distance-right:0" id="docshape907" filled="true" fillcolor="#000000" stroked="false">
                <v:fill type="solid"/>
                <w10:wrap type="topAndBottom"/>
              </v:rect>
            </w:pict>
          </mc:Fallback>
        </mc:AlternateContent>
      </w:r>
      <w:r>
        <w:rPr>
          <w:rFonts w:ascii="Verdana"/>
          <w:spacing w:val="-5"/>
          <w:sz w:val="18"/>
        </w:rPr>
        <w:t>486</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ListParagraph"/>
        <w:numPr>
          <w:ilvl w:val="2"/>
          <w:numId w:val="99"/>
        </w:numPr>
        <w:tabs>
          <w:tab w:pos="2157" w:val="left" w:leader="none"/>
          <w:tab w:pos="2160" w:val="left" w:leader="none"/>
        </w:tabs>
        <w:spacing w:line="249" w:lineRule="auto" w:before="192" w:after="0"/>
        <w:ind w:left="2160" w:right="1438" w:hanging="315"/>
        <w:jc w:val="both"/>
        <w:rPr>
          <w:sz w:val="19"/>
        </w:rPr>
      </w:pPr>
      <w:r>
        <w:rPr>
          <w:sz w:val="19"/>
        </w:rPr>
        <w:t>Gombrich, R. (2006). </w:t>
      </w:r>
      <w:r>
        <w:rPr>
          <w:i/>
          <w:sz w:val="19"/>
        </w:rPr>
        <w:t>Theravada Buddhism: A social history</w:t>
      </w:r>
      <w:r>
        <w:rPr>
          <w:i/>
          <w:spacing w:val="80"/>
          <w:sz w:val="19"/>
        </w:rPr>
        <w:t> </w:t>
      </w:r>
      <w:r>
        <w:rPr>
          <w:i/>
          <w:sz w:val="19"/>
        </w:rPr>
        <w:t>from ancient Benares to modern Colombo </w:t>
      </w:r>
      <w:r>
        <w:rPr>
          <w:sz w:val="19"/>
        </w:rPr>
        <w:t>(2nd ed.). Routledge.</w:t>
      </w:r>
    </w:p>
    <w:p>
      <w:pPr>
        <w:pStyle w:val="ListParagraph"/>
        <w:numPr>
          <w:ilvl w:val="2"/>
          <w:numId w:val="99"/>
        </w:numPr>
        <w:tabs>
          <w:tab w:pos="2157" w:val="left" w:leader="none"/>
          <w:tab w:pos="2160" w:val="left" w:leader="none"/>
        </w:tabs>
        <w:spacing w:line="249" w:lineRule="auto" w:before="59" w:after="0"/>
        <w:ind w:left="2160" w:right="1438" w:hanging="315"/>
        <w:jc w:val="both"/>
        <w:rPr>
          <w:sz w:val="19"/>
        </w:rPr>
      </w:pPr>
      <w:r>
        <w:rPr>
          <w:sz w:val="19"/>
        </w:rPr>
        <w:t>Greenblatt, S. (2004). </w:t>
      </w:r>
      <w:r>
        <w:rPr>
          <w:i/>
          <w:sz w:val="19"/>
        </w:rPr>
        <w:t>Will in the world: How Shakespeare became</w:t>
      </w:r>
      <w:r>
        <w:rPr>
          <w:i/>
          <w:spacing w:val="40"/>
          <w:sz w:val="19"/>
        </w:rPr>
        <w:t> </w:t>
      </w:r>
      <w:r>
        <w:rPr>
          <w:i/>
          <w:sz w:val="19"/>
        </w:rPr>
        <w:t>Shakespeare</w:t>
      </w:r>
      <w:r>
        <w:rPr>
          <w:sz w:val="19"/>
        </w:rPr>
        <w:t>.</w:t>
      </w:r>
      <w:r>
        <w:rPr>
          <w:spacing w:val="40"/>
          <w:sz w:val="19"/>
        </w:rPr>
        <w:t> </w:t>
      </w:r>
      <w:r>
        <w:rPr>
          <w:sz w:val="19"/>
        </w:rPr>
        <w:t>W.</w:t>
      </w:r>
      <w:r>
        <w:rPr>
          <w:spacing w:val="40"/>
          <w:sz w:val="19"/>
        </w:rPr>
        <w:t> </w:t>
      </w:r>
      <w:r>
        <w:rPr>
          <w:sz w:val="19"/>
        </w:rPr>
        <w:t>W.</w:t>
      </w:r>
      <w:r>
        <w:rPr>
          <w:spacing w:val="40"/>
          <w:sz w:val="19"/>
        </w:rPr>
        <w:t> </w:t>
      </w:r>
      <w:r>
        <w:rPr>
          <w:sz w:val="19"/>
        </w:rPr>
        <w:t>Norton</w:t>
      </w:r>
      <w:r>
        <w:rPr>
          <w:spacing w:val="40"/>
          <w:sz w:val="19"/>
        </w:rPr>
        <w:t> </w:t>
      </w:r>
      <w:r>
        <w:rPr>
          <w:sz w:val="19"/>
        </w:rPr>
        <w:t>&amp;</w:t>
      </w:r>
      <w:r>
        <w:rPr>
          <w:spacing w:val="40"/>
          <w:sz w:val="19"/>
        </w:rPr>
        <w:t> </w:t>
      </w:r>
      <w:r>
        <w:rPr>
          <w:sz w:val="19"/>
        </w:rPr>
        <w:t>Company.</w:t>
      </w:r>
    </w:p>
    <w:p>
      <w:pPr>
        <w:pStyle w:val="ListParagraph"/>
        <w:numPr>
          <w:ilvl w:val="2"/>
          <w:numId w:val="99"/>
        </w:numPr>
        <w:tabs>
          <w:tab w:pos="2157" w:val="left" w:leader="none"/>
          <w:tab w:pos="2160" w:val="left" w:leader="none"/>
        </w:tabs>
        <w:spacing w:line="249" w:lineRule="auto" w:before="59" w:after="0"/>
        <w:ind w:left="2160" w:right="1438" w:hanging="315"/>
        <w:jc w:val="both"/>
        <w:rPr>
          <w:sz w:val="19"/>
        </w:rPr>
      </w:pPr>
      <w:r>
        <w:rPr>
          <w:sz w:val="19"/>
        </w:rPr>
        <w:t>Harvey, P. (2013). </w:t>
      </w:r>
      <w:r>
        <w:rPr>
          <w:i/>
          <w:sz w:val="19"/>
        </w:rPr>
        <w:t>An introduction to Buddhism: Teachings, history</w:t>
      </w:r>
      <w:r>
        <w:rPr>
          <w:i/>
          <w:spacing w:val="40"/>
          <w:sz w:val="19"/>
        </w:rPr>
        <w:t> </w:t>
      </w:r>
      <w:r>
        <w:rPr>
          <w:i/>
          <w:sz w:val="19"/>
        </w:rPr>
        <w:t>and</w:t>
      </w:r>
      <w:r>
        <w:rPr>
          <w:i/>
          <w:spacing w:val="40"/>
          <w:sz w:val="19"/>
        </w:rPr>
        <w:t> </w:t>
      </w:r>
      <w:r>
        <w:rPr>
          <w:i/>
          <w:sz w:val="19"/>
        </w:rPr>
        <w:t>practices</w:t>
      </w:r>
      <w:r>
        <w:rPr>
          <w:i/>
          <w:spacing w:val="40"/>
          <w:sz w:val="19"/>
        </w:rPr>
        <w:t> </w:t>
      </w:r>
      <w:r>
        <w:rPr>
          <w:sz w:val="19"/>
        </w:rPr>
        <w:t>(2nd</w:t>
      </w:r>
      <w:r>
        <w:rPr>
          <w:spacing w:val="40"/>
          <w:sz w:val="19"/>
        </w:rPr>
        <w:t> </w:t>
      </w:r>
      <w:r>
        <w:rPr>
          <w:sz w:val="19"/>
        </w:rPr>
        <w:t>ed.).</w:t>
      </w:r>
      <w:r>
        <w:rPr>
          <w:spacing w:val="40"/>
          <w:sz w:val="19"/>
        </w:rPr>
        <w:t> </w:t>
      </w:r>
      <w:r>
        <w:rPr>
          <w:sz w:val="19"/>
        </w:rPr>
        <w:t>Cambridge</w:t>
      </w:r>
      <w:r>
        <w:rPr>
          <w:spacing w:val="40"/>
          <w:sz w:val="19"/>
        </w:rPr>
        <w:t> </w:t>
      </w:r>
      <w:r>
        <w:rPr>
          <w:sz w:val="19"/>
        </w:rPr>
        <w:t>University</w:t>
      </w:r>
      <w:r>
        <w:rPr>
          <w:spacing w:val="40"/>
          <w:sz w:val="19"/>
        </w:rPr>
        <w:t> </w:t>
      </w:r>
      <w:r>
        <w:rPr>
          <w:sz w:val="19"/>
        </w:rPr>
        <w:t>Press.</w:t>
      </w:r>
    </w:p>
    <w:p>
      <w:pPr>
        <w:pStyle w:val="ListParagraph"/>
        <w:numPr>
          <w:ilvl w:val="2"/>
          <w:numId w:val="99"/>
        </w:numPr>
        <w:tabs>
          <w:tab w:pos="2157" w:val="left" w:leader="none"/>
          <w:tab w:pos="2160" w:val="left" w:leader="none"/>
        </w:tabs>
        <w:spacing w:line="249" w:lineRule="auto" w:before="59" w:after="0"/>
        <w:ind w:left="2160" w:right="1439" w:hanging="406"/>
        <w:jc w:val="both"/>
        <w:rPr>
          <w:sz w:val="19"/>
        </w:rPr>
      </w:pPr>
      <w:r>
        <w:rPr>
          <w:sz w:val="19"/>
        </w:rPr>
        <w:t>Heidegger, M. (1962). </w:t>
      </w:r>
      <w:r>
        <w:rPr>
          <w:i/>
          <w:sz w:val="19"/>
        </w:rPr>
        <w:t>Being and time </w:t>
      </w:r>
      <w:r>
        <w:rPr>
          <w:sz w:val="19"/>
        </w:rPr>
        <w:t>(J. Macquarrie &amp; E. Robinson, Trans.). Harper &amp; Row. (Original work published </w:t>
      </w:r>
      <w:r>
        <w:rPr>
          <w:spacing w:val="-2"/>
          <w:sz w:val="19"/>
        </w:rPr>
        <w:t>1927)</w:t>
      </w:r>
    </w:p>
    <w:p>
      <w:pPr>
        <w:pStyle w:val="ListParagraph"/>
        <w:numPr>
          <w:ilvl w:val="2"/>
          <w:numId w:val="99"/>
        </w:numPr>
        <w:tabs>
          <w:tab w:pos="2157" w:val="left" w:leader="none"/>
          <w:tab w:pos="2160" w:val="left" w:leader="none"/>
        </w:tabs>
        <w:spacing w:line="249" w:lineRule="auto" w:before="63" w:after="0"/>
        <w:ind w:left="2160" w:right="1438" w:hanging="406"/>
        <w:jc w:val="both"/>
        <w:rPr>
          <w:sz w:val="19"/>
        </w:rPr>
      </w:pPr>
      <w:r>
        <w:rPr>
          <w:sz w:val="19"/>
        </w:rPr>
        <w:t>Kalupahana, D. J. (1987). </w:t>
      </w:r>
      <w:r>
        <w:rPr>
          <w:i/>
          <w:sz w:val="19"/>
        </w:rPr>
        <w:t>The principles of Buddhist psychology</w:t>
      </w:r>
      <w:r>
        <w:rPr>
          <w:sz w:val="19"/>
        </w:rPr>
        <w:t>. State</w:t>
      </w:r>
      <w:r>
        <w:rPr>
          <w:spacing w:val="40"/>
          <w:sz w:val="19"/>
        </w:rPr>
        <w:t> </w:t>
      </w:r>
      <w:r>
        <w:rPr>
          <w:sz w:val="19"/>
        </w:rPr>
        <w:t>University</w:t>
      </w:r>
      <w:r>
        <w:rPr>
          <w:spacing w:val="40"/>
          <w:sz w:val="19"/>
        </w:rPr>
        <w:t> </w:t>
      </w:r>
      <w:r>
        <w:rPr>
          <w:sz w:val="19"/>
        </w:rPr>
        <w:t>of</w:t>
      </w:r>
      <w:r>
        <w:rPr>
          <w:spacing w:val="40"/>
          <w:sz w:val="19"/>
        </w:rPr>
        <w:t> </w:t>
      </w:r>
      <w:r>
        <w:rPr>
          <w:sz w:val="19"/>
        </w:rPr>
        <w:t>New</w:t>
      </w:r>
      <w:r>
        <w:rPr>
          <w:spacing w:val="40"/>
          <w:sz w:val="19"/>
        </w:rPr>
        <w:t> </w:t>
      </w:r>
      <w:r>
        <w:rPr>
          <w:sz w:val="19"/>
        </w:rPr>
        <w:t>York</w:t>
      </w:r>
      <w:r>
        <w:rPr>
          <w:spacing w:val="40"/>
          <w:sz w:val="19"/>
        </w:rPr>
        <w:t> </w:t>
      </w:r>
      <w:r>
        <w:rPr>
          <w:sz w:val="19"/>
        </w:rPr>
        <w:t>Press.</w:t>
      </w:r>
    </w:p>
    <w:p>
      <w:pPr>
        <w:pStyle w:val="ListParagraph"/>
        <w:numPr>
          <w:ilvl w:val="2"/>
          <w:numId w:val="99"/>
        </w:numPr>
        <w:tabs>
          <w:tab w:pos="2157" w:val="left" w:leader="none"/>
        </w:tabs>
        <w:spacing w:line="240" w:lineRule="auto" w:before="59" w:after="0"/>
        <w:ind w:left="2157" w:right="0" w:hanging="403"/>
        <w:jc w:val="both"/>
        <w:rPr>
          <w:sz w:val="19"/>
        </w:rPr>
      </w:pPr>
      <w:r>
        <w:rPr>
          <w:sz w:val="19"/>
        </w:rPr>
        <w:t>Kearney,</w:t>
      </w:r>
      <w:r>
        <w:rPr>
          <w:spacing w:val="34"/>
          <w:sz w:val="19"/>
        </w:rPr>
        <w:t> </w:t>
      </w:r>
      <w:r>
        <w:rPr>
          <w:sz w:val="19"/>
        </w:rPr>
        <w:t>R.</w:t>
      </w:r>
      <w:r>
        <w:rPr>
          <w:spacing w:val="32"/>
          <w:sz w:val="19"/>
        </w:rPr>
        <w:t> </w:t>
      </w:r>
      <w:r>
        <w:rPr>
          <w:sz w:val="19"/>
        </w:rPr>
        <w:t>(2002).</w:t>
      </w:r>
      <w:r>
        <w:rPr>
          <w:spacing w:val="34"/>
          <w:sz w:val="19"/>
        </w:rPr>
        <w:t> </w:t>
      </w:r>
      <w:r>
        <w:rPr>
          <w:i/>
          <w:sz w:val="19"/>
        </w:rPr>
        <w:t>On</w:t>
      </w:r>
      <w:r>
        <w:rPr>
          <w:i/>
          <w:spacing w:val="34"/>
          <w:sz w:val="19"/>
        </w:rPr>
        <w:t> </w:t>
      </w:r>
      <w:r>
        <w:rPr>
          <w:i/>
          <w:sz w:val="19"/>
        </w:rPr>
        <w:t>stories</w:t>
      </w:r>
      <w:r>
        <w:rPr>
          <w:sz w:val="19"/>
        </w:rPr>
        <w:t>.</w:t>
      </w:r>
      <w:r>
        <w:rPr>
          <w:spacing w:val="32"/>
          <w:sz w:val="19"/>
        </w:rPr>
        <w:t> </w:t>
      </w:r>
      <w:r>
        <w:rPr>
          <w:spacing w:val="-2"/>
          <w:sz w:val="19"/>
        </w:rPr>
        <w:t>Routledge.</w:t>
      </w:r>
    </w:p>
    <w:p>
      <w:pPr>
        <w:pStyle w:val="ListParagraph"/>
        <w:numPr>
          <w:ilvl w:val="2"/>
          <w:numId w:val="99"/>
        </w:numPr>
        <w:tabs>
          <w:tab w:pos="2157" w:val="left" w:leader="none"/>
          <w:tab w:pos="2160" w:val="left" w:leader="none"/>
        </w:tabs>
        <w:spacing w:line="249" w:lineRule="auto" w:before="67" w:after="0"/>
        <w:ind w:left="2160" w:right="1438" w:hanging="406"/>
        <w:jc w:val="left"/>
        <w:rPr>
          <w:sz w:val="19"/>
        </w:rPr>
      </w:pPr>
      <w:r>
        <w:rPr>
          <w:sz w:val="19"/>
        </w:rPr>
        <w:t>Keown,</w:t>
      </w:r>
      <w:r>
        <w:rPr>
          <w:spacing w:val="37"/>
          <w:sz w:val="19"/>
        </w:rPr>
        <w:t> </w:t>
      </w:r>
      <w:r>
        <w:rPr>
          <w:sz w:val="19"/>
        </w:rPr>
        <w:t>D.</w:t>
      </w:r>
      <w:r>
        <w:rPr>
          <w:spacing w:val="33"/>
          <w:sz w:val="19"/>
        </w:rPr>
        <w:t> </w:t>
      </w:r>
      <w:r>
        <w:rPr>
          <w:sz w:val="19"/>
        </w:rPr>
        <w:t>(2005).</w:t>
      </w:r>
      <w:r>
        <w:rPr>
          <w:spacing w:val="36"/>
          <w:sz w:val="19"/>
        </w:rPr>
        <w:t> </w:t>
      </w:r>
      <w:r>
        <w:rPr>
          <w:i/>
          <w:sz w:val="19"/>
        </w:rPr>
        <w:t>Buddhist</w:t>
      </w:r>
      <w:r>
        <w:rPr>
          <w:i/>
          <w:spacing w:val="37"/>
          <w:sz w:val="19"/>
        </w:rPr>
        <w:t> </w:t>
      </w:r>
      <w:r>
        <w:rPr>
          <w:i/>
          <w:sz w:val="19"/>
        </w:rPr>
        <w:t>ethics:</w:t>
      </w:r>
      <w:r>
        <w:rPr>
          <w:i/>
          <w:spacing w:val="35"/>
          <w:sz w:val="19"/>
        </w:rPr>
        <w:t> </w:t>
      </w:r>
      <w:r>
        <w:rPr>
          <w:i/>
          <w:sz w:val="19"/>
        </w:rPr>
        <w:t>A</w:t>
      </w:r>
      <w:r>
        <w:rPr>
          <w:i/>
          <w:spacing w:val="35"/>
          <w:sz w:val="19"/>
        </w:rPr>
        <w:t> </w:t>
      </w:r>
      <w:r>
        <w:rPr>
          <w:i/>
          <w:sz w:val="19"/>
        </w:rPr>
        <w:t>very</w:t>
      </w:r>
      <w:r>
        <w:rPr>
          <w:i/>
          <w:spacing w:val="37"/>
          <w:sz w:val="19"/>
        </w:rPr>
        <w:t> </w:t>
      </w:r>
      <w:r>
        <w:rPr>
          <w:i/>
          <w:sz w:val="19"/>
        </w:rPr>
        <w:t>short</w:t>
      </w:r>
      <w:r>
        <w:rPr>
          <w:i/>
          <w:spacing w:val="35"/>
          <w:sz w:val="19"/>
        </w:rPr>
        <w:t> </w:t>
      </w:r>
      <w:r>
        <w:rPr>
          <w:i/>
          <w:sz w:val="19"/>
        </w:rPr>
        <w:t>introduction</w:t>
      </w:r>
      <w:r>
        <w:rPr>
          <w:sz w:val="19"/>
        </w:rPr>
        <w:t>. Oxford</w:t>
      </w:r>
      <w:r>
        <w:rPr>
          <w:spacing w:val="40"/>
          <w:sz w:val="19"/>
        </w:rPr>
        <w:t> </w:t>
      </w:r>
      <w:r>
        <w:rPr>
          <w:sz w:val="19"/>
        </w:rPr>
        <w:t>University</w:t>
      </w:r>
      <w:r>
        <w:rPr>
          <w:spacing w:val="40"/>
          <w:sz w:val="19"/>
        </w:rPr>
        <w:t> </w:t>
      </w:r>
      <w:r>
        <w:rPr>
          <w:sz w:val="19"/>
        </w:rPr>
        <w:t>Press.</w:t>
      </w:r>
    </w:p>
    <w:p>
      <w:pPr>
        <w:pStyle w:val="ListParagraph"/>
        <w:numPr>
          <w:ilvl w:val="2"/>
          <w:numId w:val="99"/>
        </w:numPr>
        <w:tabs>
          <w:tab w:pos="2157" w:val="left" w:leader="none"/>
          <w:tab w:pos="2160" w:val="left" w:leader="none"/>
        </w:tabs>
        <w:spacing w:line="249" w:lineRule="auto" w:before="59" w:after="0"/>
        <w:ind w:left="2160" w:right="1438" w:hanging="406"/>
        <w:jc w:val="left"/>
        <w:rPr>
          <w:sz w:val="19"/>
        </w:rPr>
      </w:pPr>
      <w:r>
        <w:rPr>
          <w:sz w:val="19"/>
        </w:rPr>
        <w:t>Loy, D. (2003). </w:t>
      </w:r>
      <w:r>
        <w:rPr>
          <w:i/>
          <w:sz w:val="19"/>
        </w:rPr>
        <w:t>The great awakening: A Buddhist social theory</w:t>
      </w:r>
      <w:r>
        <w:rPr>
          <w:sz w:val="19"/>
        </w:rPr>
        <w:t>. Wisdom</w:t>
      </w:r>
      <w:r>
        <w:rPr>
          <w:spacing w:val="40"/>
          <w:sz w:val="19"/>
        </w:rPr>
        <w:t> </w:t>
      </w:r>
      <w:r>
        <w:rPr>
          <w:sz w:val="19"/>
        </w:rPr>
        <w:t>Publications.</w:t>
      </w:r>
    </w:p>
    <w:p>
      <w:pPr>
        <w:pStyle w:val="ListParagraph"/>
        <w:numPr>
          <w:ilvl w:val="2"/>
          <w:numId w:val="99"/>
        </w:numPr>
        <w:tabs>
          <w:tab w:pos="2157" w:val="left" w:leader="none"/>
          <w:tab w:pos="2160" w:val="left" w:leader="none"/>
        </w:tabs>
        <w:spacing w:line="249" w:lineRule="auto" w:before="59" w:after="0"/>
        <w:ind w:left="2160" w:right="1438" w:hanging="406"/>
        <w:jc w:val="left"/>
        <w:rPr>
          <w:sz w:val="19"/>
        </w:rPr>
      </w:pPr>
      <w:r>
        <w:rPr>
          <w:sz w:val="19"/>
        </w:rPr>
        <w:t>Loy,</w:t>
      </w:r>
      <w:r>
        <w:rPr>
          <w:spacing w:val="80"/>
          <w:sz w:val="19"/>
        </w:rPr>
        <w:t> </w:t>
      </w:r>
      <w:r>
        <w:rPr>
          <w:sz w:val="19"/>
        </w:rPr>
        <w:t>D.</w:t>
      </w:r>
      <w:r>
        <w:rPr>
          <w:spacing w:val="80"/>
          <w:sz w:val="19"/>
        </w:rPr>
        <w:t> </w:t>
      </w:r>
      <w:r>
        <w:rPr>
          <w:sz w:val="19"/>
        </w:rPr>
        <w:t>(2010).</w:t>
      </w:r>
      <w:r>
        <w:rPr>
          <w:spacing w:val="80"/>
          <w:sz w:val="19"/>
        </w:rPr>
        <w:t> </w:t>
      </w:r>
      <w:r>
        <w:rPr>
          <w:i/>
          <w:sz w:val="19"/>
        </w:rPr>
        <w:t>The</w:t>
      </w:r>
      <w:r>
        <w:rPr>
          <w:i/>
          <w:spacing w:val="80"/>
          <w:sz w:val="19"/>
        </w:rPr>
        <w:t> </w:t>
      </w:r>
      <w:r>
        <w:rPr>
          <w:i/>
          <w:sz w:val="19"/>
        </w:rPr>
        <w:t>world</w:t>
      </w:r>
      <w:r>
        <w:rPr>
          <w:i/>
          <w:spacing w:val="80"/>
          <w:sz w:val="19"/>
        </w:rPr>
        <w:t> </w:t>
      </w:r>
      <w:r>
        <w:rPr>
          <w:i/>
          <w:sz w:val="19"/>
        </w:rPr>
        <w:t>is</w:t>
      </w:r>
      <w:r>
        <w:rPr>
          <w:i/>
          <w:spacing w:val="80"/>
          <w:sz w:val="19"/>
        </w:rPr>
        <w:t> </w:t>
      </w:r>
      <w:r>
        <w:rPr>
          <w:i/>
          <w:sz w:val="19"/>
        </w:rPr>
        <w:t>made</w:t>
      </w:r>
      <w:r>
        <w:rPr>
          <w:i/>
          <w:spacing w:val="80"/>
          <w:sz w:val="19"/>
        </w:rPr>
        <w:t> </w:t>
      </w:r>
      <w:r>
        <w:rPr>
          <w:i/>
          <w:sz w:val="19"/>
        </w:rPr>
        <w:t>of</w:t>
      </w:r>
      <w:r>
        <w:rPr>
          <w:i/>
          <w:spacing w:val="80"/>
          <w:sz w:val="19"/>
        </w:rPr>
        <w:t> </w:t>
      </w:r>
      <w:r>
        <w:rPr>
          <w:i/>
          <w:sz w:val="19"/>
        </w:rPr>
        <w:t>stories</w:t>
      </w:r>
      <w:r>
        <w:rPr>
          <w:sz w:val="19"/>
        </w:rPr>
        <w:t>.</w:t>
      </w:r>
      <w:r>
        <w:rPr>
          <w:spacing w:val="80"/>
          <w:sz w:val="19"/>
        </w:rPr>
        <w:t> </w:t>
      </w:r>
      <w:r>
        <w:rPr>
          <w:sz w:val="19"/>
        </w:rPr>
        <w:t>Wisdom </w:t>
      </w:r>
      <w:r>
        <w:rPr>
          <w:spacing w:val="-2"/>
          <w:sz w:val="19"/>
        </w:rPr>
        <w:t>Publications.</w:t>
      </w:r>
    </w:p>
    <w:p>
      <w:pPr>
        <w:pStyle w:val="ListParagraph"/>
        <w:numPr>
          <w:ilvl w:val="2"/>
          <w:numId w:val="99"/>
        </w:numPr>
        <w:tabs>
          <w:tab w:pos="2157" w:val="left" w:leader="none"/>
          <w:tab w:pos="2160" w:val="left" w:leader="none"/>
        </w:tabs>
        <w:spacing w:line="249" w:lineRule="auto" w:before="62" w:after="0"/>
        <w:ind w:left="2160" w:right="1437" w:hanging="406"/>
        <w:jc w:val="left"/>
        <w:rPr>
          <w:sz w:val="19"/>
        </w:rPr>
      </w:pPr>
      <w:r>
        <w:rPr>
          <w:spacing w:val="10"/>
          <w:sz w:val="19"/>
        </w:rPr>
        <w:t>Nussbaum,</w:t>
      </w:r>
      <w:r>
        <w:rPr>
          <w:spacing w:val="80"/>
          <w:sz w:val="19"/>
        </w:rPr>
        <w:t> </w:t>
      </w:r>
      <w:r>
        <w:rPr>
          <w:sz w:val="19"/>
        </w:rPr>
        <w:t>M.</w:t>
      </w:r>
      <w:r>
        <w:rPr>
          <w:spacing w:val="80"/>
          <w:sz w:val="19"/>
        </w:rPr>
        <w:t> </w:t>
      </w:r>
      <w:r>
        <w:rPr>
          <w:sz w:val="19"/>
        </w:rPr>
        <w:t>C.</w:t>
      </w:r>
      <w:r>
        <w:rPr>
          <w:spacing w:val="80"/>
          <w:sz w:val="19"/>
        </w:rPr>
        <w:t> </w:t>
      </w:r>
      <w:r>
        <w:rPr>
          <w:spacing w:val="10"/>
          <w:sz w:val="19"/>
        </w:rPr>
        <w:t>(2001).</w:t>
      </w:r>
      <w:r>
        <w:rPr>
          <w:spacing w:val="80"/>
          <w:sz w:val="19"/>
        </w:rPr>
        <w:t> </w:t>
      </w:r>
      <w:r>
        <w:rPr>
          <w:i/>
          <w:spacing w:val="11"/>
          <w:sz w:val="19"/>
        </w:rPr>
        <w:t>Upheavals</w:t>
      </w:r>
      <w:r>
        <w:rPr>
          <w:i/>
          <w:spacing w:val="80"/>
          <w:sz w:val="19"/>
        </w:rPr>
        <w:t> </w:t>
      </w:r>
      <w:r>
        <w:rPr>
          <w:i/>
          <w:sz w:val="19"/>
        </w:rPr>
        <w:t>of</w:t>
      </w:r>
      <w:r>
        <w:rPr>
          <w:i/>
          <w:spacing w:val="80"/>
          <w:sz w:val="19"/>
        </w:rPr>
        <w:t> </w:t>
      </w:r>
      <w:r>
        <w:rPr>
          <w:i/>
          <w:spacing w:val="11"/>
          <w:sz w:val="19"/>
        </w:rPr>
        <w:t>thought:</w:t>
      </w:r>
      <w:r>
        <w:rPr>
          <w:i/>
          <w:spacing w:val="80"/>
          <w:sz w:val="19"/>
        </w:rPr>
        <w:t> </w:t>
      </w:r>
      <w:r>
        <w:rPr>
          <w:i/>
          <w:sz w:val="19"/>
        </w:rPr>
        <w:t>The intelligence</w:t>
      </w:r>
      <w:r>
        <w:rPr>
          <w:i/>
          <w:spacing w:val="40"/>
          <w:sz w:val="19"/>
        </w:rPr>
        <w:t> </w:t>
      </w:r>
      <w:r>
        <w:rPr>
          <w:i/>
          <w:sz w:val="19"/>
        </w:rPr>
        <w:t>of</w:t>
      </w:r>
      <w:r>
        <w:rPr>
          <w:i/>
          <w:spacing w:val="40"/>
          <w:sz w:val="19"/>
        </w:rPr>
        <w:t> </w:t>
      </w:r>
      <w:r>
        <w:rPr>
          <w:i/>
          <w:sz w:val="19"/>
        </w:rPr>
        <w:t>emotions</w:t>
      </w:r>
      <w:r>
        <w:rPr>
          <w:sz w:val="19"/>
        </w:rPr>
        <w:t>.</w:t>
      </w:r>
      <w:r>
        <w:rPr>
          <w:spacing w:val="40"/>
          <w:sz w:val="19"/>
        </w:rPr>
        <w:t> </w:t>
      </w:r>
      <w:r>
        <w:rPr>
          <w:sz w:val="19"/>
        </w:rPr>
        <w:t>Cambridge</w:t>
      </w:r>
      <w:r>
        <w:rPr>
          <w:spacing w:val="40"/>
          <w:sz w:val="19"/>
        </w:rPr>
        <w:t> </w:t>
      </w:r>
      <w:r>
        <w:rPr>
          <w:sz w:val="19"/>
        </w:rPr>
        <w:t>University</w:t>
      </w:r>
      <w:r>
        <w:rPr>
          <w:spacing w:val="40"/>
          <w:sz w:val="19"/>
        </w:rPr>
        <w:t> </w:t>
      </w:r>
      <w:r>
        <w:rPr>
          <w:sz w:val="19"/>
        </w:rPr>
        <w:t>Press.</w:t>
      </w:r>
    </w:p>
    <w:p>
      <w:pPr>
        <w:pStyle w:val="ListParagraph"/>
        <w:numPr>
          <w:ilvl w:val="2"/>
          <w:numId w:val="99"/>
        </w:numPr>
        <w:tabs>
          <w:tab w:pos="2157" w:val="left" w:leader="none"/>
        </w:tabs>
        <w:spacing w:line="240" w:lineRule="auto" w:before="59" w:after="0"/>
        <w:ind w:left="2157" w:right="0" w:hanging="403"/>
        <w:jc w:val="left"/>
        <w:rPr>
          <w:sz w:val="19"/>
        </w:rPr>
      </w:pPr>
      <w:r>
        <w:rPr>
          <w:sz w:val="19"/>
        </w:rPr>
        <w:t>Rahula,</w:t>
      </w:r>
      <w:r>
        <w:rPr>
          <w:spacing w:val="40"/>
          <w:sz w:val="19"/>
        </w:rPr>
        <w:t> </w:t>
      </w:r>
      <w:r>
        <w:rPr>
          <w:sz w:val="19"/>
        </w:rPr>
        <w:t>W.</w:t>
      </w:r>
      <w:r>
        <w:rPr>
          <w:spacing w:val="45"/>
          <w:sz w:val="19"/>
        </w:rPr>
        <w:t> </w:t>
      </w:r>
      <w:r>
        <w:rPr>
          <w:sz w:val="19"/>
        </w:rPr>
        <w:t>(1974).</w:t>
      </w:r>
      <w:r>
        <w:rPr>
          <w:spacing w:val="43"/>
          <w:sz w:val="19"/>
        </w:rPr>
        <w:t> </w:t>
      </w:r>
      <w:r>
        <w:rPr>
          <w:i/>
          <w:sz w:val="19"/>
        </w:rPr>
        <w:t>What</w:t>
      </w:r>
      <w:r>
        <w:rPr>
          <w:i/>
          <w:spacing w:val="43"/>
          <w:sz w:val="19"/>
        </w:rPr>
        <w:t> </w:t>
      </w:r>
      <w:r>
        <w:rPr>
          <w:i/>
          <w:sz w:val="19"/>
        </w:rPr>
        <w:t>the</w:t>
      </w:r>
      <w:r>
        <w:rPr>
          <w:i/>
          <w:spacing w:val="43"/>
          <w:sz w:val="19"/>
        </w:rPr>
        <w:t> </w:t>
      </w:r>
      <w:r>
        <w:rPr>
          <w:i/>
          <w:sz w:val="19"/>
        </w:rPr>
        <w:t>Buddha</w:t>
      </w:r>
      <w:r>
        <w:rPr>
          <w:i/>
          <w:spacing w:val="43"/>
          <w:sz w:val="19"/>
        </w:rPr>
        <w:t> </w:t>
      </w:r>
      <w:r>
        <w:rPr>
          <w:i/>
          <w:sz w:val="19"/>
        </w:rPr>
        <w:t>taught</w:t>
      </w:r>
      <w:r>
        <w:rPr>
          <w:sz w:val="19"/>
        </w:rPr>
        <w:t>.</w:t>
      </w:r>
      <w:r>
        <w:rPr>
          <w:spacing w:val="42"/>
          <w:sz w:val="19"/>
        </w:rPr>
        <w:t> </w:t>
      </w:r>
      <w:r>
        <w:rPr>
          <w:sz w:val="19"/>
        </w:rPr>
        <w:t>Grove</w:t>
      </w:r>
      <w:r>
        <w:rPr>
          <w:spacing w:val="44"/>
          <w:sz w:val="19"/>
        </w:rPr>
        <w:t> </w:t>
      </w:r>
      <w:r>
        <w:rPr>
          <w:spacing w:val="-2"/>
          <w:sz w:val="19"/>
        </w:rPr>
        <w:t>Press.</w:t>
      </w:r>
    </w:p>
    <w:p>
      <w:pPr>
        <w:pStyle w:val="ListParagraph"/>
        <w:numPr>
          <w:ilvl w:val="2"/>
          <w:numId w:val="99"/>
        </w:numPr>
        <w:tabs>
          <w:tab w:pos="2157" w:val="left" w:leader="none"/>
          <w:tab w:pos="2160" w:val="left" w:leader="none"/>
        </w:tabs>
        <w:spacing w:line="249" w:lineRule="auto" w:before="67" w:after="0"/>
        <w:ind w:left="2160" w:right="1438" w:hanging="406"/>
        <w:jc w:val="left"/>
        <w:rPr>
          <w:sz w:val="19"/>
        </w:rPr>
      </w:pPr>
      <w:r>
        <w:rPr>
          <w:sz w:val="19"/>
        </w:rPr>
        <w:t>Ricoeur,</w:t>
      </w:r>
      <w:r>
        <w:rPr>
          <w:spacing w:val="40"/>
          <w:sz w:val="19"/>
        </w:rPr>
        <w:t> </w:t>
      </w:r>
      <w:r>
        <w:rPr>
          <w:sz w:val="19"/>
        </w:rPr>
        <w:t>P.</w:t>
      </w:r>
      <w:r>
        <w:rPr>
          <w:spacing w:val="40"/>
          <w:sz w:val="19"/>
        </w:rPr>
        <w:t> </w:t>
      </w:r>
      <w:r>
        <w:rPr>
          <w:sz w:val="19"/>
        </w:rPr>
        <w:t>(1976).</w:t>
      </w:r>
      <w:r>
        <w:rPr>
          <w:spacing w:val="40"/>
          <w:sz w:val="19"/>
        </w:rPr>
        <w:t> </w:t>
      </w:r>
      <w:r>
        <w:rPr>
          <w:i/>
          <w:sz w:val="19"/>
        </w:rPr>
        <w:t>Interpretation</w:t>
      </w:r>
      <w:r>
        <w:rPr>
          <w:i/>
          <w:spacing w:val="40"/>
          <w:sz w:val="19"/>
        </w:rPr>
        <w:t> </w:t>
      </w:r>
      <w:r>
        <w:rPr>
          <w:i/>
          <w:sz w:val="19"/>
        </w:rPr>
        <w:t>theory:</w:t>
      </w:r>
      <w:r>
        <w:rPr>
          <w:i/>
          <w:spacing w:val="40"/>
          <w:sz w:val="19"/>
        </w:rPr>
        <w:t> </w:t>
      </w:r>
      <w:r>
        <w:rPr>
          <w:i/>
          <w:sz w:val="19"/>
        </w:rPr>
        <w:t>Discourse</w:t>
      </w:r>
      <w:r>
        <w:rPr>
          <w:i/>
          <w:spacing w:val="40"/>
          <w:sz w:val="19"/>
        </w:rPr>
        <w:t> </w:t>
      </w:r>
      <w:r>
        <w:rPr>
          <w:i/>
          <w:sz w:val="19"/>
        </w:rPr>
        <w:t>and</w:t>
      </w:r>
      <w:r>
        <w:rPr>
          <w:i/>
          <w:spacing w:val="40"/>
          <w:sz w:val="19"/>
        </w:rPr>
        <w:t> </w:t>
      </w:r>
      <w:r>
        <w:rPr>
          <w:i/>
          <w:sz w:val="19"/>
        </w:rPr>
        <w:t>the surplus</w:t>
      </w:r>
      <w:r>
        <w:rPr>
          <w:i/>
          <w:spacing w:val="40"/>
          <w:sz w:val="19"/>
        </w:rPr>
        <w:t> </w:t>
      </w:r>
      <w:r>
        <w:rPr>
          <w:i/>
          <w:sz w:val="19"/>
        </w:rPr>
        <w:t>of</w:t>
      </w:r>
      <w:r>
        <w:rPr>
          <w:i/>
          <w:spacing w:val="40"/>
          <w:sz w:val="19"/>
        </w:rPr>
        <w:t> </w:t>
      </w:r>
      <w:r>
        <w:rPr>
          <w:i/>
          <w:sz w:val="19"/>
        </w:rPr>
        <w:t>meaning</w:t>
      </w:r>
      <w:r>
        <w:rPr>
          <w:sz w:val="19"/>
        </w:rPr>
        <w:t>.</w:t>
      </w:r>
      <w:r>
        <w:rPr>
          <w:spacing w:val="40"/>
          <w:sz w:val="19"/>
        </w:rPr>
        <w:t> </w:t>
      </w:r>
      <w:r>
        <w:rPr>
          <w:sz w:val="19"/>
        </w:rPr>
        <w:t>Texas</w:t>
      </w:r>
      <w:r>
        <w:rPr>
          <w:spacing w:val="40"/>
          <w:sz w:val="19"/>
        </w:rPr>
        <w:t> </w:t>
      </w:r>
      <w:r>
        <w:rPr>
          <w:sz w:val="19"/>
        </w:rPr>
        <w:t>Christian</w:t>
      </w:r>
      <w:r>
        <w:rPr>
          <w:spacing w:val="40"/>
          <w:sz w:val="19"/>
        </w:rPr>
        <w:t> </w:t>
      </w:r>
      <w:r>
        <w:rPr>
          <w:sz w:val="19"/>
        </w:rPr>
        <w:t>University</w:t>
      </w:r>
      <w:r>
        <w:rPr>
          <w:spacing w:val="40"/>
          <w:sz w:val="19"/>
        </w:rPr>
        <w:t> </w:t>
      </w:r>
      <w:r>
        <w:rPr>
          <w:sz w:val="19"/>
        </w:rPr>
        <w:t>Press.</w:t>
      </w:r>
    </w:p>
    <w:p>
      <w:pPr>
        <w:pStyle w:val="ListParagraph"/>
        <w:numPr>
          <w:ilvl w:val="2"/>
          <w:numId w:val="99"/>
        </w:numPr>
        <w:tabs>
          <w:tab w:pos="2157" w:val="left" w:leader="none"/>
        </w:tabs>
        <w:spacing w:line="240" w:lineRule="auto" w:before="59" w:after="0"/>
        <w:ind w:left="2157" w:right="0" w:hanging="403"/>
        <w:jc w:val="left"/>
        <w:rPr>
          <w:sz w:val="19"/>
        </w:rPr>
      </w:pPr>
      <w:r>
        <w:rPr>
          <w:sz w:val="19"/>
        </w:rPr>
        <w:t>Shakespeare,</w:t>
      </w:r>
      <w:r>
        <w:rPr>
          <w:spacing w:val="42"/>
          <w:sz w:val="19"/>
        </w:rPr>
        <w:t> </w:t>
      </w:r>
      <w:r>
        <w:rPr>
          <w:sz w:val="19"/>
        </w:rPr>
        <w:t>W.</w:t>
      </w:r>
      <w:r>
        <w:rPr>
          <w:spacing w:val="44"/>
          <w:sz w:val="19"/>
        </w:rPr>
        <w:t> </w:t>
      </w:r>
      <w:r>
        <w:rPr>
          <w:sz w:val="19"/>
        </w:rPr>
        <w:t>(2005).</w:t>
      </w:r>
      <w:r>
        <w:rPr>
          <w:spacing w:val="48"/>
          <w:sz w:val="19"/>
        </w:rPr>
        <w:t> </w:t>
      </w:r>
      <w:r>
        <w:rPr>
          <w:i/>
          <w:sz w:val="19"/>
        </w:rPr>
        <w:t>Hamlet</w:t>
      </w:r>
      <w:r>
        <w:rPr>
          <w:sz w:val="19"/>
        </w:rPr>
        <w:t>.</w:t>
      </w:r>
      <w:r>
        <w:rPr>
          <w:spacing w:val="37"/>
          <w:sz w:val="19"/>
        </w:rPr>
        <w:t> </w:t>
      </w:r>
      <w:r>
        <w:rPr>
          <w:sz w:val="19"/>
        </w:rPr>
        <w:t>Arden</w:t>
      </w:r>
      <w:r>
        <w:rPr>
          <w:spacing w:val="46"/>
          <w:sz w:val="19"/>
        </w:rPr>
        <w:t> </w:t>
      </w:r>
      <w:r>
        <w:rPr>
          <w:spacing w:val="-2"/>
          <w:sz w:val="19"/>
        </w:rPr>
        <w:t>Shakespeare.</w:t>
      </w:r>
    </w:p>
    <w:p>
      <w:pPr>
        <w:pStyle w:val="ListParagraph"/>
        <w:numPr>
          <w:ilvl w:val="2"/>
          <w:numId w:val="99"/>
        </w:numPr>
        <w:tabs>
          <w:tab w:pos="2157" w:val="left" w:leader="none"/>
        </w:tabs>
        <w:spacing w:line="240" w:lineRule="auto" w:before="67" w:after="0"/>
        <w:ind w:left="2157" w:right="0" w:hanging="403"/>
        <w:jc w:val="left"/>
        <w:rPr>
          <w:sz w:val="19"/>
        </w:rPr>
      </w:pPr>
      <w:r>
        <w:rPr>
          <w:sz w:val="19"/>
        </w:rPr>
        <w:t>Shakespeare,</w:t>
      </w:r>
      <w:r>
        <w:rPr>
          <w:spacing w:val="42"/>
          <w:sz w:val="19"/>
        </w:rPr>
        <w:t> </w:t>
      </w:r>
      <w:r>
        <w:rPr>
          <w:sz w:val="19"/>
        </w:rPr>
        <w:t>W.</w:t>
      </w:r>
      <w:r>
        <w:rPr>
          <w:spacing w:val="43"/>
          <w:sz w:val="19"/>
        </w:rPr>
        <w:t> </w:t>
      </w:r>
      <w:r>
        <w:rPr>
          <w:sz w:val="19"/>
        </w:rPr>
        <w:t>(2006).</w:t>
      </w:r>
      <w:r>
        <w:rPr>
          <w:spacing w:val="44"/>
          <w:sz w:val="19"/>
        </w:rPr>
        <w:t> </w:t>
      </w:r>
      <w:r>
        <w:rPr>
          <w:i/>
          <w:sz w:val="19"/>
        </w:rPr>
        <w:t>King</w:t>
      </w:r>
      <w:r>
        <w:rPr>
          <w:i/>
          <w:spacing w:val="46"/>
          <w:sz w:val="19"/>
        </w:rPr>
        <w:t> </w:t>
      </w:r>
      <w:r>
        <w:rPr>
          <w:i/>
          <w:sz w:val="19"/>
        </w:rPr>
        <w:t>Lear</w:t>
      </w:r>
      <w:r>
        <w:rPr>
          <w:sz w:val="19"/>
        </w:rPr>
        <w:t>.</w:t>
      </w:r>
      <w:r>
        <w:rPr>
          <w:spacing w:val="36"/>
          <w:sz w:val="19"/>
        </w:rPr>
        <w:t> </w:t>
      </w:r>
      <w:r>
        <w:rPr>
          <w:sz w:val="19"/>
        </w:rPr>
        <w:t>Arden</w:t>
      </w:r>
      <w:r>
        <w:rPr>
          <w:spacing w:val="46"/>
          <w:sz w:val="19"/>
        </w:rPr>
        <w:t> </w:t>
      </w:r>
      <w:r>
        <w:rPr>
          <w:spacing w:val="-2"/>
          <w:sz w:val="19"/>
        </w:rPr>
        <w:t>Shakespeare.</w:t>
      </w:r>
    </w:p>
    <w:p>
      <w:pPr>
        <w:pStyle w:val="ListParagraph"/>
        <w:numPr>
          <w:ilvl w:val="2"/>
          <w:numId w:val="99"/>
        </w:numPr>
        <w:tabs>
          <w:tab w:pos="2157" w:val="left" w:leader="none"/>
        </w:tabs>
        <w:spacing w:line="240" w:lineRule="auto" w:before="68" w:after="0"/>
        <w:ind w:left="2157" w:right="0" w:hanging="403"/>
        <w:jc w:val="left"/>
        <w:rPr>
          <w:sz w:val="19"/>
        </w:rPr>
      </w:pPr>
      <w:r>
        <w:rPr>
          <w:sz w:val="19"/>
        </w:rPr>
        <w:t>Shakespeare,</w:t>
      </w:r>
      <w:r>
        <w:rPr>
          <w:spacing w:val="47"/>
          <w:sz w:val="19"/>
        </w:rPr>
        <w:t> </w:t>
      </w:r>
      <w:r>
        <w:rPr>
          <w:sz w:val="19"/>
        </w:rPr>
        <w:t>W.</w:t>
      </w:r>
      <w:r>
        <w:rPr>
          <w:spacing w:val="49"/>
          <w:sz w:val="19"/>
        </w:rPr>
        <w:t> </w:t>
      </w:r>
      <w:r>
        <w:rPr>
          <w:sz w:val="19"/>
        </w:rPr>
        <w:t>(2007).</w:t>
      </w:r>
      <w:r>
        <w:rPr>
          <w:spacing w:val="51"/>
          <w:sz w:val="19"/>
        </w:rPr>
        <w:t> </w:t>
      </w:r>
      <w:r>
        <w:rPr>
          <w:i/>
          <w:sz w:val="19"/>
        </w:rPr>
        <w:t>Macbeth</w:t>
      </w:r>
      <w:r>
        <w:rPr>
          <w:sz w:val="19"/>
        </w:rPr>
        <w:t>.</w:t>
      </w:r>
      <w:r>
        <w:rPr>
          <w:spacing w:val="39"/>
          <w:sz w:val="19"/>
        </w:rPr>
        <w:t> </w:t>
      </w:r>
      <w:r>
        <w:rPr>
          <w:sz w:val="19"/>
        </w:rPr>
        <w:t>Arden</w:t>
      </w:r>
      <w:r>
        <w:rPr>
          <w:spacing w:val="51"/>
          <w:sz w:val="19"/>
        </w:rPr>
        <w:t> </w:t>
      </w:r>
      <w:r>
        <w:rPr>
          <w:spacing w:val="-2"/>
          <w:sz w:val="19"/>
        </w:rPr>
        <w:t>Shakespeare.</w:t>
      </w:r>
    </w:p>
    <w:p>
      <w:pPr>
        <w:pStyle w:val="ListParagraph"/>
        <w:numPr>
          <w:ilvl w:val="2"/>
          <w:numId w:val="99"/>
        </w:numPr>
        <w:tabs>
          <w:tab w:pos="2157" w:val="left" w:leader="none"/>
        </w:tabs>
        <w:spacing w:line="240" w:lineRule="auto" w:before="69" w:after="0"/>
        <w:ind w:left="2157" w:right="0" w:hanging="403"/>
        <w:jc w:val="left"/>
        <w:rPr>
          <w:sz w:val="19"/>
        </w:rPr>
      </w:pPr>
      <w:r>
        <w:rPr>
          <w:sz w:val="19"/>
        </w:rPr>
        <w:t>Williams,</w:t>
      </w:r>
      <w:r>
        <w:rPr>
          <w:spacing w:val="7"/>
          <w:sz w:val="19"/>
        </w:rPr>
        <w:t> </w:t>
      </w:r>
      <w:r>
        <w:rPr>
          <w:sz w:val="19"/>
        </w:rPr>
        <w:t>R.</w:t>
      </w:r>
      <w:r>
        <w:rPr>
          <w:spacing w:val="10"/>
          <w:sz w:val="19"/>
        </w:rPr>
        <w:t> </w:t>
      </w:r>
      <w:r>
        <w:rPr>
          <w:sz w:val="19"/>
        </w:rPr>
        <w:t>(1966).</w:t>
      </w:r>
      <w:r>
        <w:rPr>
          <w:spacing w:val="9"/>
          <w:sz w:val="19"/>
        </w:rPr>
        <w:t> </w:t>
      </w:r>
      <w:r>
        <w:rPr>
          <w:i/>
          <w:sz w:val="19"/>
        </w:rPr>
        <w:t>Modern</w:t>
      </w:r>
      <w:r>
        <w:rPr>
          <w:i/>
          <w:spacing w:val="10"/>
          <w:sz w:val="19"/>
        </w:rPr>
        <w:t> </w:t>
      </w:r>
      <w:r>
        <w:rPr>
          <w:i/>
          <w:sz w:val="19"/>
        </w:rPr>
        <w:t>tragedy</w:t>
      </w:r>
      <w:r>
        <w:rPr>
          <w:sz w:val="19"/>
        </w:rPr>
        <w:t>.</w:t>
      </w:r>
      <w:r>
        <w:rPr>
          <w:spacing w:val="7"/>
          <w:sz w:val="19"/>
        </w:rPr>
        <w:t> </w:t>
      </w:r>
      <w:r>
        <w:rPr>
          <w:sz w:val="19"/>
        </w:rPr>
        <w:t>Stanford</w:t>
      </w:r>
      <w:r>
        <w:rPr>
          <w:spacing w:val="12"/>
          <w:sz w:val="19"/>
        </w:rPr>
        <w:t> </w:t>
      </w:r>
      <w:r>
        <w:rPr>
          <w:sz w:val="19"/>
        </w:rPr>
        <w:t>University</w:t>
      </w:r>
      <w:r>
        <w:rPr>
          <w:spacing w:val="3"/>
          <w:sz w:val="19"/>
        </w:rPr>
        <w:t> </w:t>
      </w:r>
      <w:r>
        <w:rPr>
          <w:spacing w:val="-2"/>
          <w:sz w:val="19"/>
        </w:rPr>
        <w:t>Press.</w:t>
      </w:r>
    </w:p>
    <w:p>
      <w:pPr>
        <w:pStyle w:val="ListParagraph"/>
        <w:numPr>
          <w:ilvl w:val="2"/>
          <w:numId w:val="99"/>
        </w:numPr>
        <w:tabs>
          <w:tab w:pos="2157" w:val="left" w:leader="none"/>
          <w:tab w:pos="2160" w:val="left" w:leader="none"/>
        </w:tabs>
        <w:spacing w:line="249" w:lineRule="auto" w:before="67" w:after="0"/>
        <w:ind w:left="2160" w:right="1437" w:hanging="406"/>
        <w:jc w:val="both"/>
        <w:rPr>
          <w:sz w:val="19"/>
        </w:rPr>
      </w:pPr>
      <w:r>
        <w:rPr>
          <w:sz w:val="19"/>
        </w:rPr>
        <w:t>Williams, P. (2009). </w:t>
      </w:r>
      <w:r>
        <w:rPr>
          <w:i/>
          <w:sz w:val="19"/>
        </w:rPr>
        <w:t>Mahayana Buddhism: The doctrinal foundations</w:t>
      </w:r>
      <w:r>
        <w:rPr>
          <w:i/>
          <w:spacing w:val="40"/>
          <w:sz w:val="19"/>
        </w:rPr>
        <w:t> </w:t>
      </w:r>
      <w:r>
        <w:rPr>
          <w:sz w:val="19"/>
        </w:rPr>
        <w:t>(2nd</w:t>
      </w:r>
      <w:r>
        <w:rPr>
          <w:spacing w:val="40"/>
          <w:sz w:val="19"/>
        </w:rPr>
        <w:t> </w:t>
      </w:r>
      <w:r>
        <w:rPr>
          <w:sz w:val="19"/>
        </w:rPr>
        <w:t>ed.).</w:t>
      </w:r>
      <w:r>
        <w:rPr>
          <w:spacing w:val="40"/>
          <w:sz w:val="19"/>
        </w:rPr>
        <w:t> </w:t>
      </w:r>
      <w:r>
        <w:rPr>
          <w:sz w:val="19"/>
        </w:rPr>
        <w:t>Routledge.</w:t>
      </w:r>
    </w:p>
    <w:p>
      <w:pPr>
        <w:pStyle w:val="ListParagraph"/>
        <w:numPr>
          <w:ilvl w:val="2"/>
          <w:numId w:val="99"/>
        </w:numPr>
        <w:tabs>
          <w:tab w:pos="2157" w:val="left" w:leader="none"/>
          <w:tab w:pos="2160" w:val="left" w:leader="none"/>
        </w:tabs>
        <w:spacing w:line="249" w:lineRule="auto" w:before="59" w:after="0"/>
        <w:ind w:left="2160" w:right="1439" w:hanging="406"/>
        <w:jc w:val="both"/>
        <w:rPr>
          <w:sz w:val="19"/>
        </w:rPr>
      </w:pPr>
      <w:r>
        <w:rPr>
          <w:sz w:val="19"/>
        </w:rPr>
        <w:t>Zarrilli, P. B. (2009). </w:t>
      </w:r>
      <w:r>
        <w:rPr>
          <w:i/>
          <w:sz w:val="19"/>
        </w:rPr>
        <w:t>Psychophysical acting: An intercultural approach</w:t>
      </w:r>
      <w:r>
        <w:rPr>
          <w:i/>
          <w:spacing w:val="40"/>
          <w:sz w:val="19"/>
        </w:rPr>
        <w:t> </w:t>
      </w:r>
      <w:r>
        <w:rPr>
          <w:i/>
          <w:sz w:val="19"/>
        </w:rPr>
        <w:t>after</w:t>
      </w:r>
      <w:r>
        <w:rPr>
          <w:i/>
          <w:spacing w:val="40"/>
          <w:sz w:val="19"/>
        </w:rPr>
        <w:t> </w:t>
      </w:r>
      <w:r>
        <w:rPr>
          <w:i/>
          <w:sz w:val="19"/>
        </w:rPr>
        <w:t>Stanislavski</w:t>
      </w:r>
      <w:r>
        <w:rPr>
          <w:sz w:val="19"/>
        </w:rPr>
        <w:t>.</w:t>
      </w:r>
      <w:r>
        <w:rPr>
          <w:spacing w:val="40"/>
          <w:sz w:val="19"/>
        </w:rPr>
        <w:t> </w:t>
      </w:r>
      <w:r>
        <w:rPr>
          <w:sz w:val="19"/>
        </w:rPr>
        <w:t>Routledge.</w:t>
      </w:r>
    </w:p>
    <w:p>
      <w:pPr>
        <w:pStyle w:val="ListParagraph"/>
        <w:numPr>
          <w:ilvl w:val="2"/>
          <w:numId w:val="99"/>
        </w:numPr>
        <w:tabs>
          <w:tab w:pos="2157" w:val="left" w:leader="none"/>
          <w:tab w:pos="2160" w:val="left" w:leader="none"/>
        </w:tabs>
        <w:spacing w:line="249" w:lineRule="auto" w:before="60" w:after="0"/>
        <w:ind w:left="2160" w:right="1440" w:hanging="406"/>
        <w:jc w:val="both"/>
        <w:rPr>
          <w:sz w:val="19"/>
        </w:rPr>
      </w:pPr>
      <w:r>
        <w:rPr>
          <w:sz w:val="19"/>
        </w:rPr>
        <w:t>Garfield, J. L., &amp; Priest, G. (2003). Nagarjuna and the limits of thought. </w:t>
      </w:r>
      <w:r>
        <w:rPr>
          <w:i/>
          <w:sz w:val="19"/>
        </w:rPr>
        <w:t>Philosophy East and West, 53</w:t>
      </w:r>
      <w:r>
        <w:rPr>
          <w:sz w:val="19"/>
        </w:rPr>
        <w:t>(1), 1–21. </w:t>
      </w:r>
      <w:hyperlink r:id="rId140">
        <w:r>
          <w:rPr>
            <w:sz w:val="19"/>
          </w:rPr>
          <w:t>https://doi.org/ </w:t>
        </w:r>
        <w:r>
          <w:rPr>
            <w:spacing w:val="-2"/>
            <w:sz w:val="19"/>
          </w:rPr>
          <w:t>10.1353/pew.2003.0001</w:t>
        </w:r>
      </w:hyperlink>
    </w:p>
    <w:p>
      <w:pPr>
        <w:pStyle w:val="ListParagraph"/>
        <w:numPr>
          <w:ilvl w:val="2"/>
          <w:numId w:val="99"/>
        </w:numPr>
        <w:tabs>
          <w:tab w:pos="2157" w:val="left" w:leader="none"/>
          <w:tab w:pos="2160" w:val="left" w:leader="none"/>
        </w:tabs>
        <w:spacing w:line="261" w:lineRule="auto" w:before="67" w:after="0"/>
        <w:ind w:left="2160" w:right="1438" w:hanging="406"/>
        <w:jc w:val="both"/>
        <w:rPr>
          <w:sz w:val="19"/>
        </w:rPr>
      </w:pPr>
      <w:r>
        <w:rPr>
          <w:sz w:val="19"/>
        </w:rPr>
        <w:t>Loy, D. (1992). Avoiding the void: The lack of self in psychotherapy. </w:t>
      </w:r>
      <w:r>
        <w:rPr>
          <w:i/>
          <w:sz w:val="19"/>
        </w:rPr>
        <w:t>Journal of Transpersonal Psychology, 24</w:t>
      </w:r>
      <w:r>
        <w:rPr>
          <w:sz w:val="19"/>
        </w:rPr>
        <w:t>(2),</w:t>
      </w:r>
      <w:r>
        <w:rPr>
          <w:spacing w:val="40"/>
          <w:sz w:val="19"/>
        </w:rPr>
        <w:t> </w:t>
      </w:r>
      <w:r>
        <w:rPr>
          <w:spacing w:val="-2"/>
          <w:sz w:val="19"/>
        </w:rPr>
        <w:t>151–169.</w:t>
      </w:r>
    </w:p>
    <w:p>
      <w:pPr>
        <w:pStyle w:val="ListParagraph"/>
        <w:spacing w:after="0" w:line="261" w:lineRule="auto"/>
        <w:jc w:val="both"/>
        <w:rPr>
          <w:sz w:val="19"/>
        </w:rPr>
        <w:sectPr>
          <w:pgSz w:w="12240" w:h="15840"/>
          <w:pgMar w:top="1820" w:bottom="280" w:left="1800" w:right="1800"/>
        </w:sectPr>
      </w:pPr>
    </w:p>
    <w:p>
      <w:pPr>
        <w:tabs>
          <w:tab w:pos="7193" w:val="right" w:leader="none"/>
        </w:tabs>
        <w:spacing w:before="996"/>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37536">
                <wp:simplePos x="0" y="0"/>
                <wp:positionH relativeFrom="page">
                  <wp:posOffset>2065020</wp:posOffset>
                </wp:positionH>
                <wp:positionV relativeFrom="paragraph">
                  <wp:posOffset>795020</wp:posOffset>
                </wp:positionV>
                <wp:extent cx="3657600" cy="12700"/>
                <wp:effectExtent l="0" t="0" r="0" b="0"/>
                <wp:wrapTopAndBottom/>
                <wp:docPr id="917" name="Graphic 917"/>
                <wp:cNvGraphicFramePr>
                  <a:graphicFrameLocks/>
                </wp:cNvGraphicFramePr>
                <a:graphic>
                  <a:graphicData uri="http://schemas.microsoft.com/office/word/2010/wordprocessingShape">
                    <wps:wsp>
                      <wps:cNvPr id="917" name="Graphic 91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78944;mso-wrap-distance-left:0;mso-wrap-distance-right:0" id="docshape908" filled="true" fillcolor="#000000" stroked="false">
                <v:fill type="solid"/>
                <w10:wrap type="topAndBottom"/>
              </v:rect>
            </w:pict>
          </mc:Fallback>
        </mc:AlternateContent>
      </w:r>
      <w:r>
        <w:rPr>
          <w:rFonts w:ascii="Verdana"/>
          <w:spacing w:val="-2"/>
          <w:sz w:val="18"/>
        </w:rPr>
        <w:t>Re-reading</w:t>
      </w:r>
      <w:r>
        <w:rPr>
          <w:rFonts w:ascii="Verdana"/>
          <w:spacing w:val="1"/>
          <w:sz w:val="18"/>
        </w:rPr>
        <w:t> </w:t>
      </w:r>
      <w:r>
        <w:rPr>
          <w:rFonts w:ascii="Verdana"/>
          <w:spacing w:val="-2"/>
          <w:sz w:val="18"/>
        </w:rPr>
        <w:t>Shakespearean</w:t>
      </w:r>
      <w:r>
        <w:rPr>
          <w:rFonts w:ascii="Verdana"/>
          <w:spacing w:val="4"/>
          <w:sz w:val="18"/>
        </w:rPr>
        <w:t> </w:t>
      </w:r>
      <w:r>
        <w:rPr>
          <w:rFonts w:ascii="Verdana"/>
          <w:spacing w:val="-2"/>
          <w:sz w:val="18"/>
        </w:rPr>
        <w:t>Tragedy</w:t>
      </w:r>
      <w:r>
        <w:rPr>
          <w:rFonts w:ascii="Verdana"/>
          <w:spacing w:val="5"/>
          <w:sz w:val="18"/>
        </w:rPr>
        <w:t> </w:t>
      </w:r>
      <w:r>
        <w:rPr>
          <w:rFonts w:ascii="Verdana"/>
          <w:spacing w:val="-2"/>
          <w:sz w:val="18"/>
        </w:rPr>
        <w:t>through</w:t>
      </w:r>
      <w:r>
        <w:rPr>
          <w:rFonts w:ascii="Verdana"/>
          <w:spacing w:val="3"/>
          <w:sz w:val="18"/>
        </w:rPr>
        <w:t> </w:t>
      </w:r>
      <w:r>
        <w:rPr>
          <w:rFonts w:ascii="Verdana"/>
          <w:spacing w:val="-2"/>
          <w:sz w:val="18"/>
        </w:rPr>
        <w:t>Buddhist...</w:t>
      </w:r>
      <w:r>
        <w:rPr>
          <w:sz w:val="18"/>
        </w:rPr>
        <w:tab/>
      </w:r>
      <w:r>
        <w:rPr>
          <w:rFonts w:ascii="Verdana"/>
          <w:spacing w:val="-5"/>
          <w:sz w:val="18"/>
        </w:rPr>
        <w:t>487</w:t>
      </w:r>
    </w:p>
    <w:p>
      <w:pPr>
        <w:pStyle w:val="ListParagraph"/>
        <w:numPr>
          <w:ilvl w:val="2"/>
          <w:numId w:val="99"/>
        </w:numPr>
        <w:tabs>
          <w:tab w:pos="2157" w:val="left" w:leader="none"/>
          <w:tab w:pos="2160" w:val="left" w:leader="none"/>
        </w:tabs>
        <w:spacing w:line="261" w:lineRule="auto" w:before="199" w:after="0"/>
        <w:ind w:left="2160" w:right="1438" w:hanging="406"/>
        <w:jc w:val="both"/>
        <w:rPr>
          <w:sz w:val="19"/>
        </w:rPr>
      </w:pPr>
      <w:r>
        <w:rPr>
          <w:sz w:val="19"/>
        </w:rPr>
        <w:t>Simpson, D. (2012). Shakespeare and the question of theory. </w:t>
      </w:r>
      <w:r>
        <w:rPr>
          <w:i/>
          <w:sz w:val="19"/>
        </w:rPr>
        <w:t>Shakespeare Quarterly, 63</w:t>
      </w:r>
      <w:r>
        <w:rPr>
          <w:sz w:val="19"/>
        </w:rPr>
        <w:t>(1), 1–26. </w:t>
      </w:r>
      <w:hyperlink r:id="rId141">
        <w:r>
          <w:rPr>
            <w:sz w:val="19"/>
          </w:rPr>
          <w:t>https://doi.org/10.1353/</w:t>
        </w:r>
      </w:hyperlink>
      <w:r>
        <w:rPr>
          <w:sz w:val="19"/>
        </w:rPr>
        <w:t> </w:t>
      </w:r>
      <w:r>
        <w:rPr>
          <w:spacing w:val="-2"/>
          <w:sz w:val="19"/>
        </w:rPr>
        <w:t>shq.2012.0001</w:t>
      </w:r>
    </w:p>
    <w:p>
      <w:pPr>
        <w:pStyle w:val="ListParagraph"/>
        <w:numPr>
          <w:ilvl w:val="2"/>
          <w:numId w:val="99"/>
        </w:numPr>
        <w:tabs>
          <w:tab w:pos="2157" w:val="left" w:leader="none"/>
          <w:tab w:pos="2160" w:val="left" w:leader="none"/>
        </w:tabs>
        <w:spacing w:line="261" w:lineRule="auto" w:before="58" w:after="0"/>
        <w:ind w:left="2160" w:right="1437" w:hanging="406"/>
        <w:jc w:val="both"/>
        <w:rPr>
          <w:sz w:val="19"/>
        </w:rPr>
      </w:pPr>
      <w:r>
        <w:rPr>
          <w:sz w:val="19"/>
        </w:rPr>
        <w:t>Gross, R. M. (1993). Buddhism after patriarchy: A feminist history, analysis, and reconstruction of Buddhism. </w:t>
      </w:r>
      <w:r>
        <w:rPr>
          <w:i/>
          <w:sz w:val="19"/>
        </w:rPr>
        <w:t>State University</w:t>
      </w:r>
      <w:r>
        <w:rPr>
          <w:i/>
          <w:spacing w:val="40"/>
          <w:sz w:val="19"/>
        </w:rPr>
        <w:t> </w:t>
      </w:r>
      <w:r>
        <w:rPr>
          <w:i/>
          <w:sz w:val="19"/>
        </w:rPr>
        <w:t>of</w:t>
      </w:r>
      <w:r>
        <w:rPr>
          <w:i/>
          <w:spacing w:val="40"/>
          <w:sz w:val="19"/>
        </w:rPr>
        <w:t> </w:t>
      </w:r>
      <w:r>
        <w:rPr>
          <w:i/>
          <w:sz w:val="19"/>
        </w:rPr>
        <w:t>New</w:t>
      </w:r>
      <w:r>
        <w:rPr>
          <w:i/>
          <w:spacing w:val="40"/>
          <w:sz w:val="19"/>
        </w:rPr>
        <w:t> </w:t>
      </w:r>
      <w:r>
        <w:rPr>
          <w:i/>
          <w:sz w:val="19"/>
        </w:rPr>
        <w:t>York</w:t>
      </w:r>
      <w:r>
        <w:rPr>
          <w:i/>
          <w:spacing w:val="40"/>
          <w:sz w:val="19"/>
        </w:rPr>
        <w:t> </w:t>
      </w:r>
      <w:r>
        <w:rPr>
          <w:i/>
          <w:sz w:val="19"/>
        </w:rPr>
        <w:t>Press</w:t>
      </w:r>
      <w:r>
        <w:rPr>
          <w:sz w:val="19"/>
        </w:rPr>
        <w:t>.</w:t>
      </w:r>
    </w:p>
    <w:p>
      <w:pPr>
        <w:pStyle w:val="ListParagraph"/>
        <w:numPr>
          <w:ilvl w:val="2"/>
          <w:numId w:val="99"/>
        </w:numPr>
        <w:tabs>
          <w:tab w:pos="2157" w:val="left" w:leader="none"/>
        </w:tabs>
        <w:spacing w:line="240" w:lineRule="auto" w:before="56" w:after="0"/>
        <w:ind w:left="2157" w:right="0" w:hanging="403"/>
        <w:jc w:val="both"/>
        <w:rPr>
          <w:sz w:val="19"/>
        </w:rPr>
      </w:pPr>
      <w:r>
        <w:rPr>
          <w:sz w:val="19"/>
        </w:rPr>
        <w:t>Faure,</w:t>
      </w:r>
      <w:r>
        <w:rPr>
          <w:spacing w:val="33"/>
          <w:sz w:val="19"/>
        </w:rPr>
        <w:t> </w:t>
      </w:r>
      <w:r>
        <w:rPr>
          <w:sz w:val="19"/>
        </w:rPr>
        <w:t>B.</w:t>
      </w:r>
      <w:r>
        <w:rPr>
          <w:spacing w:val="33"/>
          <w:sz w:val="19"/>
        </w:rPr>
        <w:t> </w:t>
      </w:r>
      <w:r>
        <w:rPr>
          <w:sz w:val="19"/>
        </w:rPr>
        <w:t>(2009).</w:t>
      </w:r>
      <w:r>
        <w:rPr>
          <w:spacing w:val="35"/>
          <w:sz w:val="19"/>
        </w:rPr>
        <w:t> </w:t>
      </w:r>
      <w:r>
        <w:rPr>
          <w:i/>
          <w:sz w:val="19"/>
        </w:rPr>
        <w:t>Unmasking</w:t>
      </w:r>
      <w:r>
        <w:rPr>
          <w:i/>
          <w:spacing w:val="35"/>
          <w:sz w:val="19"/>
        </w:rPr>
        <w:t> </w:t>
      </w:r>
      <w:r>
        <w:rPr>
          <w:i/>
          <w:sz w:val="19"/>
        </w:rPr>
        <w:t>Buddhism</w:t>
      </w:r>
      <w:r>
        <w:rPr>
          <w:sz w:val="19"/>
        </w:rPr>
        <w:t>.</w:t>
      </w:r>
      <w:r>
        <w:rPr>
          <w:spacing w:val="31"/>
          <w:sz w:val="19"/>
        </w:rPr>
        <w:t> </w:t>
      </w:r>
      <w:r>
        <w:rPr>
          <w:sz w:val="19"/>
        </w:rPr>
        <w:t>Wiley-</w:t>
      </w:r>
      <w:r>
        <w:rPr>
          <w:spacing w:val="-2"/>
          <w:sz w:val="19"/>
        </w:rPr>
        <w:t>Blackwell.</w:t>
      </w:r>
    </w:p>
    <w:p>
      <w:pPr>
        <w:pStyle w:val="ListParagraph"/>
        <w:numPr>
          <w:ilvl w:val="2"/>
          <w:numId w:val="99"/>
        </w:numPr>
        <w:tabs>
          <w:tab w:pos="2157" w:val="left" w:leader="none"/>
          <w:tab w:pos="2160" w:val="left" w:leader="none"/>
        </w:tabs>
        <w:spacing w:line="261" w:lineRule="auto" w:before="80" w:after="0"/>
        <w:ind w:left="2160" w:right="1438" w:hanging="406"/>
        <w:jc w:val="both"/>
        <w:rPr>
          <w:sz w:val="19"/>
        </w:rPr>
      </w:pPr>
      <w:r>
        <w:rPr>
          <w:sz w:val="19"/>
        </w:rPr>
        <w:t>Ganeri, J. (2007). </w:t>
      </w:r>
      <w:r>
        <w:rPr>
          <w:i/>
          <w:sz w:val="19"/>
        </w:rPr>
        <w:t>The concealed art of the soul: Theories of self and</w:t>
      </w:r>
      <w:r>
        <w:rPr>
          <w:i/>
          <w:spacing w:val="40"/>
          <w:sz w:val="19"/>
        </w:rPr>
        <w:t> </w:t>
      </w:r>
      <w:r>
        <w:rPr>
          <w:i/>
          <w:sz w:val="19"/>
        </w:rPr>
        <w:t>practices</w:t>
      </w:r>
      <w:r>
        <w:rPr>
          <w:i/>
          <w:spacing w:val="40"/>
          <w:sz w:val="19"/>
        </w:rPr>
        <w:t> </w:t>
      </w:r>
      <w:r>
        <w:rPr>
          <w:i/>
          <w:sz w:val="19"/>
        </w:rPr>
        <w:t>of</w:t>
      </w:r>
      <w:r>
        <w:rPr>
          <w:i/>
          <w:spacing w:val="40"/>
          <w:sz w:val="19"/>
        </w:rPr>
        <w:t> </w:t>
      </w:r>
      <w:r>
        <w:rPr>
          <w:i/>
          <w:sz w:val="19"/>
        </w:rPr>
        <w:t>truth</w:t>
      </w:r>
      <w:r>
        <w:rPr>
          <w:i/>
          <w:spacing w:val="40"/>
          <w:sz w:val="19"/>
        </w:rPr>
        <w:t> </w:t>
      </w:r>
      <w:r>
        <w:rPr>
          <w:i/>
          <w:sz w:val="19"/>
        </w:rPr>
        <w:t>in</w:t>
      </w:r>
      <w:r>
        <w:rPr>
          <w:i/>
          <w:spacing w:val="40"/>
          <w:sz w:val="19"/>
        </w:rPr>
        <w:t> </w:t>
      </w:r>
      <w:r>
        <w:rPr>
          <w:i/>
          <w:sz w:val="19"/>
        </w:rPr>
        <w:t>Indian</w:t>
      </w:r>
      <w:r>
        <w:rPr>
          <w:i/>
          <w:spacing w:val="40"/>
          <w:sz w:val="19"/>
        </w:rPr>
        <w:t> </w:t>
      </w:r>
      <w:r>
        <w:rPr>
          <w:i/>
          <w:sz w:val="19"/>
        </w:rPr>
        <w:t>ethics</w:t>
      </w:r>
      <w:r>
        <w:rPr>
          <w:i/>
          <w:spacing w:val="40"/>
          <w:sz w:val="19"/>
        </w:rPr>
        <w:t> </w:t>
      </w:r>
      <w:r>
        <w:rPr>
          <w:i/>
          <w:sz w:val="19"/>
        </w:rPr>
        <w:t>and</w:t>
      </w:r>
      <w:r>
        <w:rPr>
          <w:i/>
          <w:spacing w:val="40"/>
          <w:sz w:val="19"/>
        </w:rPr>
        <w:t> </w:t>
      </w:r>
      <w:r>
        <w:rPr>
          <w:i/>
          <w:sz w:val="19"/>
        </w:rPr>
        <w:t>epistemology</w:t>
      </w:r>
      <w:r>
        <w:rPr>
          <w:sz w:val="19"/>
        </w:rPr>
        <w:t>. Oxford</w:t>
      </w:r>
      <w:r>
        <w:rPr>
          <w:spacing w:val="40"/>
          <w:sz w:val="19"/>
        </w:rPr>
        <w:t> </w:t>
      </w:r>
      <w:r>
        <w:rPr>
          <w:sz w:val="19"/>
        </w:rPr>
        <w:t>University</w:t>
      </w:r>
      <w:r>
        <w:rPr>
          <w:spacing w:val="40"/>
          <w:sz w:val="19"/>
        </w:rPr>
        <w:t> </w:t>
      </w:r>
      <w:r>
        <w:rPr>
          <w:sz w:val="19"/>
        </w:rPr>
        <w:t>Press.</w:t>
      </w:r>
    </w:p>
    <w:p>
      <w:pPr>
        <w:pStyle w:val="ListParagraph"/>
        <w:spacing w:after="0" w:line="261" w:lineRule="auto"/>
        <w:jc w:val="both"/>
        <w:rPr>
          <w:sz w:val="19"/>
        </w:rPr>
        <w:sectPr>
          <w:pgSz w:w="12240" w:h="15840"/>
          <w:pgMar w:top="1820" w:bottom="280" w:left="1800" w:right="1800"/>
        </w:sectPr>
      </w:pPr>
    </w:p>
    <w:p>
      <w:pPr>
        <w:pStyle w:val="BodyText"/>
        <w:ind w:left="0"/>
      </w:pPr>
      <w:r>
        <w:rPr/>
        <mc:AlternateContent>
          <mc:Choice Requires="wps">
            <w:drawing>
              <wp:anchor distT="0" distB="0" distL="0" distR="0" allowOverlap="1" layoutInCell="1" locked="0" behindDoc="1" simplePos="0" relativeHeight="483102720">
                <wp:simplePos x="0" y="0"/>
                <wp:positionH relativeFrom="page">
                  <wp:posOffset>2057400</wp:posOffset>
                </wp:positionH>
                <wp:positionV relativeFrom="page">
                  <wp:posOffset>1788723</wp:posOffset>
                </wp:positionV>
                <wp:extent cx="3656965" cy="140335"/>
                <wp:effectExtent l="0" t="0" r="0" b="0"/>
                <wp:wrapNone/>
                <wp:docPr id="918" name="Textbox 918"/>
                <wp:cNvGraphicFramePr>
                  <a:graphicFrameLocks/>
                </wp:cNvGraphicFramePr>
                <a:graphic>
                  <a:graphicData uri="http://schemas.microsoft.com/office/word/2010/wordprocessingShape">
                    <wps:wsp>
                      <wps:cNvPr id="918" name="Textbox 918"/>
                      <wps:cNvSpPr txBox="1"/>
                      <wps:spPr>
                        <a:xfrm>
                          <a:off x="0" y="0"/>
                          <a:ext cx="3656965" cy="140335"/>
                        </a:xfrm>
                        <a:prstGeom prst="rect">
                          <a:avLst/>
                        </a:prstGeom>
                      </wps:spPr>
                      <wps:txbx>
                        <w:txbxContent>
                          <w:p>
                            <w:pPr>
                              <w:tabs>
                                <w:tab w:pos="2879" w:val="left" w:leader="none"/>
                              </w:tabs>
                              <w:spacing w:line="219" w:lineRule="exact" w:before="0"/>
                              <w:ind w:left="0" w:right="0" w:firstLine="0"/>
                              <w:jc w:val="left"/>
                              <w:rPr>
                                <w:rFonts w:ascii="Verdana"/>
                                <w:sz w:val="18"/>
                              </w:rPr>
                            </w:pPr>
                            <w:r>
                              <w:rPr>
                                <w:rFonts w:ascii="Verdana"/>
                                <w:spacing w:val="-5"/>
                                <w:sz w:val="18"/>
                              </w:rPr>
                              <w:t>488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wps:txbx>
                      <wps:bodyPr wrap="square" lIns="0" tIns="0" rIns="0" bIns="0" rtlCol="0">
                        <a:noAutofit/>
                      </wps:bodyPr>
                    </wps:wsp>
                  </a:graphicData>
                </a:graphic>
              </wp:anchor>
            </w:drawing>
          </mc:Choice>
          <mc:Fallback>
            <w:pict>
              <v:shape style="position:absolute;margin-left:162pt;margin-top:140.844391pt;width:287.95pt;height:11.05pt;mso-position-horizontal-relative:page;mso-position-vertical-relative:page;z-index:-20213760" type="#_x0000_t202" id="docshape909" filled="false" stroked="false">
                <v:textbox inset="0,0,0,0">
                  <w:txbxContent>
                    <w:p>
                      <w:pPr>
                        <w:tabs>
                          <w:tab w:pos="2879" w:val="left" w:leader="none"/>
                        </w:tabs>
                        <w:spacing w:line="219" w:lineRule="exact" w:before="0"/>
                        <w:ind w:left="0" w:right="0" w:firstLine="0"/>
                        <w:jc w:val="left"/>
                        <w:rPr>
                          <w:rFonts w:ascii="Verdana"/>
                          <w:sz w:val="18"/>
                        </w:rPr>
                      </w:pPr>
                      <w:r>
                        <w:rPr>
                          <w:rFonts w:ascii="Verdana"/>
                          <w:spacing w:val="-5"/>
                          <w:sz w:val="18"/>
                        </w:rPr>
                        <w:t>488</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6"/>
                          <w:sz w:val="18"/>
                        </w:rPr>
                        <w:t>Patriarchy...</w:t>
                      </w:r>
                    </w:p>
                  </w:txbxContent>
                </v:textbox>
                <w10:wrap type="none"/>
              </v:shape>
            </w:pict>
          </mc:Fallback>
        </mc:AlternateContent>
      </w:r>
    </w:p>
    <w:p>
      <w:pPr>
        <w:pStyle w:val="BodyText"/>
        <w:ind w:left="0"/>
      </w:pPr>
    </w:p>
    <w:p>
      <w:pPr>
        <w:pStyle w:val="BodyText"/>
        <w:spacing w:before="142"/>
        <w:ind w:left="0"/>
      </w:pPr>
    </w:p>
    <w:p>
      <w:pPr>
        <w:spacing w:line="240" w:lineRule="auto"/>
        <w:ind w:left="1204" w:right="0" w:firstLine="0"/>
        <w:rPr>
          <w:sz w:val="20"/>
        </w:rPr>
      </w:pPr>
      <w:r>
        <w:rPr>
          <w:sz w:val="20"/>
        </w:rPr>
        <mc:AlternateContent>
          <mc:Choice Requires="wps">
            <w:drawing>
              <wp:inline distT="0" distB="0" distL="0" distR="0">
                <wp:extent cx="3935095" cy="515620"/>
                <wp:effectExtent l="0" t="0" r="0" b="0"/>
                <wp:docPr id="919" name="Group 919"/>
                <wp:cNvGraphicFramePr>
                  <a:graphicFrameLocks/>
                </wp:cNvGraphicFramePr>
                <a:graphic>
                  <a:graphicData uri="http://schemas.microsoft.com/office/word/2010/wordprocessingGroup">
                    <wpg:wgp>
                      <wpg:cNvPr id="919" name="Group 919"/>
                      <wpg:cNvGrpSpPr/>
                      <wpg:grpSpPr>
                        <a:xfrm>
                          <a:off x="0" y="0"/>
                          <a:ext cx="3935095" cy="515620"/>
                          <a:chExt cx="3935095" cy="515620"/>
                        </a:xfrm>
                      </wpg:grpSpPr>
                      <wps:wsp>
                        <wps:cNvPr id="920" name="Graphic 920"/>
                        <wps:cNvSpPr/>
                        <wps:spPr>
                          <a:xfrm>
                            <a:off x="0" y="0"/>
                            <a:ext cx="3935095" cy="515620"/>
                          </a:xfrm>
                          <a:custGeom>
                            <a:avLst/>
                            <a:gdLst/>
                            <a:ahLst/>
                            <a:cxnLst/>
                            <a:rect l="l" t="t" r="r" b="b"/>
                            <a:pathLst>
                              <a:path w="3935095" h="515620">
                                <a:moveTo>
                                  <a:pt x="3934967" y="515112"/>
                                </a:moveTo>
                                <a:lnTo>
                                  <a:pt x="0" y="515112"/>
                                </a:lnTo>
                                <a:lnTo>
                                  <a:pt x="0" y="0"/>
                                </a:lnTo>
                                <a:lnTo>
                                  <a:pt x="3934967" y="0"/>
                                </a:lnTo>
                                <a:lnTo>
                                  <a:pt x="3934967" y="515112"/>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09.850pt;height:40.6pt;mso-position-horizontal-relative:char;mso-position-vertical-relative:line" id="docshapegroup910" coordorigin="0,0" coordsize="6197,812">
                <v:rect style="position:absolute;left:0;top:0;width:6197;height:812" id="docshape911" filled="true" fillcolor="#ffffff" stroked="false">
                  <v:fill type="solid"/>
                </v:rect>
              </v:group>
            </w:pict>
          </mc:Fallback>
        </mc:AlternateContent>
      </w:r>
      <w:r>
        <w:rPr>
          <w:sz w:val="20"/>
        </w:rPr>
      </w:r>
    </w:p>
    <w:p>
      <w:pPr>
        <w:pStyle w:val="BodyText"/>
        <w:ind w:left="0"/>
      </w:pPr>
    </w:p>
    <w:p>
      <w:pPr>
        <w:pStyle w:val="BodyText"/>
        <w:spacing w:before="98"/>
        <w:ind w:left="0"/>
      </w:pPr>
      <w:r>
        <w:rPr/>
        <mc:AlternateContent>
          <mc:Choice Requires="wps">
            <w:drawing>
              <wp:anchor distT="0" distB="0" distL="0" distR="0" allowOverlap="1" layoutInCell="1" locked="0" behindDoc="1" simplePos="0" relativeHeight="487938560">
                <wp:simplePos x="0" y="0"/>
                <wp:positionH relativeFrom="page">
                  <wp:posOffset>3485388</wp:posOffset>
                </wp:positionH>
                <wp:positionV relativeFrom="paragraph">
                  <wp:posOffset>224040</wp:posOffset>
                </wp:positionV>
                <wp:extent cx="728980" cy="655320"/>
                <wp:effectExtent l="0" t="0" r="0" b="0"/>
                <wp:wrapTopAndBottom/>
                <wp:docPr id="921" name="Group 921"/>
                <wp:cNvGraphicFramePr>
                  <a:graphicFrameLocks/>
                </wp:cNvGraphicFramePr>
                <a:graphic>
                  <a:graphicData uri="http://schemas.microsoft.com/office/word/2010/wordprocessingGroup">
                    <wpg:wgp>
                      <wpg:cNvPr id="921" name="Group 921"/>
                      <wpg:cNvGrpSpPr/>
                      <wpg:grpSpPr>
                        <a:xfrm>
                          <a:off x="0" y="0"/>
                          <a:ext cx="728980" cy="655320"/>
                          <a:chExt cx="728980" cy="655320"/>
                        </a:xfrm>
                      </wpg:grpSpPr>
                      <pic:pic>
                        <pic:nvPicPr>
                          <pic:cNvPr id="922" name="Image 922"/>
                          <pic:cNvPicPr/>
                        </pic:nvPicPr>
                        <pic:blipFill>
                          <a:blip r:embed="rId142" cstate="print"/>
                          <a:stretch>
                            <a:fillRect/>
                          </a:stretch>
                        </pic:blipFill>
                        <pic:spPr>
                          <a:xfrm>
                            <a:off x="0" y="0"/>
                            <a:ext cx="728472" cy="655320"/>
                          </a:xfrm>
                          <a:prstGeom prst="rect">
                            <a:avLst/>
                          </a:prstGeom>
                        </pic:spPr>
                      </pic:pic>
                      <wps:wsp>
                        <wps:cNvPr id="923" name="Textbox 923"/>
                        <wps:cNvSpPr txBox="1"/>
                        <wps:spPr>
                          <a:xfrm>
                            <a:off x="0" y="0"/>
                            <a:ext cx="728980" cy="655320"/>
                          </a:xfrm>
                          <a:prstGeom prst="rect">
                            <a:avLst/>
                          </a:prstGeom>
                        </wps:spPr>
                        <wps:txbx>
                          <w:txbxContent>
                            <w:p>
                              <w:pPr>
                                <w:spacing w:before="386"/>
                                <w:ind w:left="436" w:right="0" w:firstLine="0"/>
                                <w:jc w:val="left"/>
                                <w:rPr>
                                  <w:rFonts w:ascii="Tahoma"/>
                                  <w:b/>
                                  <w:sz w:val="36"/>
                                </w:rPr>
                              </w:pPr>
                              <w:r>
                                <w:rPr>
                                  <w:rFonts w:ascii="Tahoma"/>
                                  <w:b/>
                                  <w:spacing w:val="-5"/>
                                  <w:w w:val="95"/>
                                  <w:sz w:val="36"/>
                                </w:rPr>
                                <w:t>48</w:t>
                              </w:r>
                            </w:p>
                          </w:txbxContent>
                        </wps:txbx>
                        <wps:bodyPr wrap="square" lIns="0" tIns="0" rIns="0" bIns="0" rtlCol="0">
                          <a:noAutofit/>
                        </wps:bodyPr>
                      </wps:wsp>
                    </wpg:wgp>
                  </a:graphicData>
                </a:graphic>
              </wp:anchor>
            </w:drawing>
          </mc:Choice>
          <mc:Fallback>
            <w:pict>
              <v:group style="position:absolute;margin-left:274.440002pt;margin-top:17.640966pt;width:57.4pt;height:51.6pt;mso-position-horizontal-relative:page;mso-position-vertical-relative:paragraph;z-index:-15377920;mso-wrap-distance-left:0;mso-wrap-distance-right:0" id="docshapegroup912" coordorigin="5489,353" coordsize="1148,1032">
                <v:shape style="position:absolute;left:5488;top:352;width:1148;height:1032" type="#_x0000_t75" id="docshape913" stroked="false">
                  <v:imagedata r:id="rId142" o:title=""/>
                </v:shape>
                <v:shape style="position:absolute;left:5488;top:352;width:1148;height:1032" type="#_x0000_t202" id="docshape914" filled="false" stroked="false">
                  <v:textbox inset="0,0,0,0">
                    <w:txbxContent>
                      <w:p>
                        <w:pPr>
                          <w:spacing w:before="386"/>
                          <w:ind w:left="436" w:right="0" w:firstLine="0"/>
                          <w:jc w:val="left"/>
                          <w:rPr>
                            <w:rFonts w:ascii="Tahoma"/>
                            <w:b/>
                            <w:sz w:val="36"/>
                          </w:rPr>
                        </w:pPr>
                        <w:r>
                          <w:rPr>
                            <w:rFonts w:ascii="Tahoma"/>
                            <w:b/>
                            <w:spacing w:val="-5"/>
                            <w:w w:val="95"/>
                            <w:sz w:val="36"/>
                          </w:rPr>
                          <w:t>48</w:t>
                        </w:r>
                      </w:p>
                    </w:txbxContent>
                  </v:textbox>
                  <w10:wrap type="none"/>
                </v:shape>
                <w10:wrap type="topAndBottom"/>
              </v:group>
            </w:pict>
          </mc:Fallback>
        </mc:AlternateContent>
      </w:r>
    </w:p>
    <w:p>
      <w:pPr>
        <w:pStyle w:val="Heading1"/>
        <w:spacing w:line="364" w:lineRule="exact" w:before="1"/>
        <w:ind w:right="10"/>
      </w:pPr>
      <w:r>
        <w:rPr/>
        <w:t>Women</w:t>
      </w:r>
      <w:r>
        <w:rPr>
          <w:spacing w:val="-10"/>
        </w:rPr>
        <w:t> </w:t>
      </w:r>
      <w:r>
        <w:rPr/>
        <w:t>and</w:t>
      </w:r>
      <w:r>
        <w:rPr>
          <w:spacing w:val="-8"/>
        </w:rPr>
        <w:t> </w:t>
      </w:r>
      <w:r>
        <w:rPr/>
        <w:t>Mental</w:t>
      </w:r>
      <w:r>
        <w:rPr>
          <w:spacing w:val="-9"/>
        </w:rPr>
        <w:t> </w:t>
      </w:r>
      <w:r>
        <w:rPr/>
        <w:t>Health</w:t>
      </w:r>
      <w:r>
        <w:rPr>
          <w:spacing w:val="-10"/>
        </w:rPr>
        <w:t> </w:t>
      </w:r>
      <w:r>
        <w:rPr>
          <w:spacing w:val="-5"/>
        </w:rPr>
        <w:t>in</w:t>
      </w:r>
    </w:p>
    <w:p>
      <w:pPr>
        <w:tabs>
          <w:tab w:pos="1312" w:val="left" w:leader="none"/>
          <w:tab w:pos="5759" w:val="left" w:leader="none"/>
        </w:tabs>
        <w:spacing w:line="364" w:lineRule="exact" w:before="0"/>
        <w:ind w:left="0" w:right="0" w:firstLine="0"/>
        <w:jc w:val="center"/>
        <w:rPr>
          <w:rFonts w:ascii="Tahoma" w:hAnsi="Tahoma"/>
          <w:b/>
          <w:sz w:val="32"/>
        </w:rPr>
      </w:pPr>
      <w:r>
        <w:rPr>
          <w:sz w:val="32"/>
          <w:u w:val="single"/>
        </w:rPr>
        <w:tab/>
      </w:r>
      <w:r>
        <w:rPr>
          <w:rFonts w:ascii="Tahoma" w:hAnsi="Tahoma"/>
          <w:b/>
          <w:spacing w:val="-6"/>
          <w:sz w:val="32"/>
          <w:u w:val="single"/>
        </w:rPr>
        <w:t>Shakespeare’s</w:t>
      </w:r>
      <w:r>
        <w:rPr>
          <w:rFonts w:ascii="Tahoma" w:hAnsi="Tahoma"/>
          <w:b/>
          <w:spacing w:val="-1"/>
          <w:sz w:val="32"/>
          <w:u w:val="single"/>
        </w:rPr>
        <w:t> </w:t>
      </w:r>
      <w:r>
        <w:rPr>
          <w:rFonts w:ascii="Tahoma" w:hAnsi="Tahoma"/>
          <w:b/>
          <w:spacing w:val="-4"/>
          <w:sz w:val="32"/>
          <w:u w:val="single"/>
        </w:rPr>
        <w:t>Plays</w:t>
      </w:r>
      <w:r>
        <w:rPr>
          <w:rFonts w:ascii="Tahoma" w:hAnsi="Tahoma"/>
          <w:b/>
          <w:sz w:val="32"/>
          <w:u w:val="single"/>
        </w:rPr>
        <w:tab/>
      </w:r>
    </w:p>
    <w:p>
      <w:pPr>
        <w:pStyle w:val="BodyText"/>
        <w:spacing w:before="10"/>
        <w:ind w:left="0"/>
        <w:rPr>
          <w:rFonts w:ascii="Tahoma"/>
          <w:b/>
          <w:sz w:val="5"/>
        </w:rPr>
      </w:pPr>
      <w:r>
        <w:rPr>
          <w:rFonts w:ascii="Tahoma"/>
          <w:b/>
          <w:sz w:val="5"/>
        </w:rPr>
        <mc:AlternateContent>
          <mc:Choice Requires="wps">
            <w:drawing>
              <wp:anchor distT="0" distB="0" distL="0" distR="0" allowOverlap="1" layoutInCell="1" locked="0" behindDoc="1" simplePos="0" relativeHeight="487939072">
                <wp:simplePos x="0" y="0"/>
                <wp:positionH relativeFrom="page">
                  <wp:posOffset>2057400</wp:posOffset>
                </wp:positionH>
                <wp:positionV relativeFrom="paragraph">
                  <wp:posOffset>60420</wp:posOffset>
                </wp:positionV>
                <wp:extent cx="3657600" cy="7620"/>
                <wp:effectExtent l="0" t="0" r="0" b="0"/>
                <wp:wrapTopAndBottom/>
                <wp:docPr id="924" name="Graphic 924"/>
                <wp:cNvGraphicFramePr>
                  <a:graphicFrameLocks/>
                </wp:cNvGraphicFramePr>
                <a:graphic>
                  <a:graphicData uri="http://schemas.microsoft.com/office/word/2010/wordprocessingShape">
                    <wps:wsp>
                      <wps:cNvPr id="924" name="Graphic 924"/>
                      <wps:cNvSpPr/>
                      <wps:spPr>
                        <a:xfrm>
                          <a:off x="0" y="0"/>
                          <a:ext cx="3657600" cy="7620"/>
                        </a:xfrm>
                        <a:custGeom>
                          <a:avLst/>
                          <a:gdLst/>
                          <a:ahLst/>
                          <a:cxnLst/>
                          <a:rect l="l" t="t" r="r" b="b"/>
                          <a:pathLst>
                            <a:path w="3657600" h="7620">
                              <a:moveTo>
                                <a:pt x="0" y="0"/>
                              </a:moveTo>
                              <a:lnTo>
                                <a:pt x="3657600" y="0"/>
                              </a:lnTo>
                              <a:lnTo>
                                <a:pt x="3657600" y="7619"/>
                              </a:lnTo>
                              <a:lnTo>
                                <a:pt x="0" y="76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4.75749pt;width:288.000009pt;height:.599991pt;mso-position-horizontal-relative:page;mso-position-vertical-relative:paragraph;z-index:-15377408;mso-wrap-distance-left:0;mso-wrap-distance-right:0" id="docshape915" filled="true" fillcolor="#000000" stroked="false">
                <v:fill type="solid"/>
                <w10:wrap type="topAndBottom"/>
              </v:rect>
            </w:pict>
          </mc:Fallback>
        </mc:AlternateContent>
      </w:r>
    </w:p>
    <w:p>
      <w:pPr>
        <w:pStyle w:val="BodyText"/>
        <w:spacing w:before="15"/>
        <w:ind w:left="0"/>
        <w:rPr>
          <w:rFonts w:ascii="Tahoma"/>
          <w:b/>
          <w:sz w:val="32"/>
        </w:rPr>
      </w:pPr>
    </w:p>
    <w:p>
      <w:pPr>
        <w:pStyle w:val="Heading5"/>
        <w:ind w:left="0" w:right="1439"/>
        <w:jc w:val="right"/>
        <w:rPr>
          <w:rFonts w:ascii="Times New Roman"/>
        </w:rPr>
      </w:pPr>
      <w:r>
        <w:rPr>
          <w:rFonts w:ascii="Times New Roman"/>
        </w:rPr>
        <w:t>M.</w:t>
      </w:r>
      <w:r>
        <w:rPr>
          <w:rFonts w:ascii="Times New Roman"/>
          <w:spacing w:val="59"/>
        </w:rPr>
        <w:t> </w:t>
      </w:r>
      <w:r>
        <w:rPr>
          <w:rFonts w:ascii="Times New Roman"/>
        </w:rPr>
        <w:t>Lalitha</w:t>
      </w:r>
      <w:r>
        <w:rPr>
          <w:rFonts w:ascii="Times New Roman"/>
          <w:spacing w:val="57"/>
        </w:rPr>
        <w:t> </w:t>
      </w:r>
      <w:r>
        <w:rPr>
          <w:rFonts w:ascii="Times New Roman"/>
          <w:spacing w:val="-2"/>
        </w:rPr>
        <w:t>Ramya</w:t>
      </w:r>
    </w:p>
    <w:p>
      <w:pPr>
        <w:spacing w:before="15"/>
        <w:ind w:left="0" w:right="1438" w:firstLine="0"/>
        <w:jc w:val="right"/>
        <w:rPr>
          <w:i/>
          <w:sz w:val="19"/>
        </w:rPr>
      </w:pPr>
      <w:r>
        <w:rPr>
          <w:i/>
          <w:sz w:val="19"/>
        </w:rPr>
        <w:t>Lecturer</w:t>
      </w:r>
      <w:r>
        <w:rPr>
          <w:i/>
          <w:spacing w:val="49"/>
          <w:sz w:val="19"/>
        </w:rPr>
        <w:t> </w:t>
      </w:r>
      <w:r>
        <w:rPr>
          <w:i/>
          <w:sz w:val="19"/>
        </w:rPr>
        <w:t>in</w:t>
      </w:r>
      <w:r>
        <w:rPr>
          <w:i/>
          <w:spacing w:val="54"/>
          <w:sz w:val="19"/>
        </w:rPr>
        <w:t> </w:t>
      </w:r>
      <w:r>
        <w:rPr>
          <w:i/>
          <w:sz w:val="19"/>
        </w:rPr>
        <w:t>English,</w:t>
      </w:r>
      <w:r>
        <w:rPr>
          <w:i/>
          <w:spacing w:val="51"/>
          <w:sz w:val="19"/>
        </w:rPr>
        <w:t> </w:t>
      </w:r>
      <w:r>
        <w:rPr>
          <w:i/>
          <w:sz w:val="19"/>
        </w:rPr>
        <w:t>S.K.V.T.</w:t>
      </w:r>
      <w:r>
        <w:rPr>
          <w:i/>
          <w:spacing w:val="50"/>
          <w:sz w:val="19"/>
        </w:rPr>
        <w:t> </w:t>
      </w:r>
      <w:r>
        <w:rPr>
          <w:i/>
          <w:sz w:val="19"/>
        </w:rPr>
        <w:t>Government</w:t>
      </w:r>
      <w:r>
        <w:rPr>
          <w:i/>
          <w:spacing w:val="47"/>
          <w:sz w:val="19"/>
        </w:rPr>
        <w:t> </w:t>
      </w:r>
      <w:r>
        <w:rPr>
          <w:i/>
          <w:sz w:val="19"/>
        </w:rPr>
        <w:t>Degree</w:t>
      </w:r>
      <w:r>
        <w:rPr>
          <w:i/>
          <w:spacing w:val="51"/>
          <w:sz w:val="19"/>
        </w:rPr>
        <w:t> </w:t>
      </w:r>
      <w:r>
        <w:rPr>
          <w:i/>
          <w:spacing w:val="-2"/>
          <w:sz w:val="19"/>
        </w:rPr>
        <w:t>College,</w:t>
      </w:r>
    </w:p>
    <w:p>
      <w:pPr>
        <w:spacing w:before="10"/>
        <w:ind w:left="0" w:right="1437" w:firstLine="0"/>
        <w:jc w:val="right"/>
        <w:rPr>
          <w:i/>
          <w:sz w:val="19"/>
        </w:rPr>
      </w:pPr>
      <w:r>
        <w:rPr>
          <w:i/>
          <w:spacing w:val="-2"/>
          <w:sz w:val="19"/>
        </w:rPr>
        <w:t>Rajahmundry</w:t>
      </w:r>
    </w:p>
    <w:p>
      <w:pPr>
        <w:pStyle w:val="BodyText"/>
        <w:spacing w:before="65"/>
        <w:ind w:left="0"/>
        <w:rPr>
          <w:i/>
          <w:sz w:val="19"/>
        </w:rPr>
      </w:pPr>
    </w:p>
    <w:p>
      <w:pPr>
        <w:pStyle w:val="BodyText"/>
        <w:spacing w:line="249" w:lineRule="auto"/>
        <w:ind w:right="1437" w:firstLine="432"/>
        <w:jc w:val="both"/>
      </w:pPr>
      <w:r>
        <w:rPr/>
        <w:t>Abstract:This research paper investigates the representation of female</w:t>
      </w:r>
      <w:r>
        <w:rPr>
          <w:spacing w:val="-13"/>
        </w:rPr>
        <w:t> </w:t>
      </w:r>
      <w:r>
        <w:rPr/>
        <w:t>psychological</w:t>
      </w:r>
      <w:r>
        <w:rPr>
          <w:spacing w:val="-12"/>
        </w:rPr>
        <w:t> </w:t>
      </w:r>
      <w:r>
        <w:rPr/>
        <w:t>distress</w:t>
      </w:r>
      <w:r>
        <w:rPr>
          <w:spacing w:val="-13"/>
        </w:rPr>
        <w:t> </w:t>
      </w:r>
      <w:r>
        <w:rPr/>
        <w:t>within</w:t>
      </w:r>
      <w:r>
        <w:rPr>
          <w:spacing w:val="-12"/>
        </w:rPr>
        <w:t> </w:t>
      </w:r>
      <w:r>
        <w:rPr/>
        <w:t>the</w:t>
      </w:r>
      <w:r>
        <w:rPr>
          <w:spacing w:val="-13"/>
        </w:rPr>
        <w:t> </w:t>
      </w:r>
      <w:r>
        <w:rPr/>
        <w:t>Shakespearean</w:t>
      </w:r>
      <w:r>
        <w:rPr>
          <w:spacing w:val="-12"/>
        </w:rPr>
        <w:t> </w:t>
      </w:r>
      <w:r>
        <w:rPr/>
        <w:t>canon,</w:t>
      </w:r>
      <w:r>
        <w:rPr>
          <w:spacing w:val="-13"/>
        </w:rPr>
        <w:t> </w:t>
      </w:r>
      <w:r>
        <w:rPr/>
        <w:t>primarily focusing on the tragedies of Hamlet and Macbeth. By examining the </w:t>
      </w:r>
      <w:r>
        <w:rPr>
          <w:spacing w:val="-2"/>
        </w:rPr>
        <w:t>characters</w:t>
      </w:r>
      <w:r>
        <w:rPr>
          <w:spacing w:val="-7"/>
        </w:rPr>
        <w:t> </w:t>
      </w:r>
      <w:r>
        <w:rPr>
          <w:spacing w:val="-2"/>
        </w:rPr>
        <w:t>of</w:t>
      </w:r>
      <w:r>
        <w:rPr>
          <w:spacing w:val="-7"/>
        </w:rPr>
        <w:t> </w:t>
      </w:r>
      <w:r>
        <w:rPr>
          <w:spacing w:val="-2"/>
        </w:rPr>
        <w:t>Ophelia</w:t>
      </w:r>
      <w:r>
        <w:rPr>
          <w:spacing w:val="-9"/>
        </w:rPr>
        <w:t> </w:t>
      </w:r>
      <w:r>
        <w:rPr>
          <w:spacing w:val="-2"/>
        </w:rPr>
        <w:t>and</w:t>
      </w:r>
      <w:r>
        <w:rPr>
          <w:spacing w:val="-4"/>
        </w:rPr>
        <w:t> </w:t>
      </w:r>
      <w:r>
        <w:rPr>
          <w:spacing w:val="-2"/>
        </w:rPr>
        <w:t>Lady</w:t>
      </w:r>
      <w:r>
        <w:rPr>
          <w:spacing w:val="-9"/>
        </w:rPr>
        <w:t> </w:t>
      </w:r>
      <w:r>
        <w:rPr>
          <w:spacing w:val="-2"/>
        </w:rPr>
        <w:t>Macbeth,</w:t>
      </w:r>
      <w:r>
        <w:rPr>
          <w:spacing w:val="-7"/>
        </w:rPr>
        <w:t> </w:t>
      </w:r>
      <w:r>
        <w:rPr>
          <w:spacing w:val="-2"/>
        </w:rPr>
        <w:t>this</w:t>
      </w:r>
      <w:r>
        <w:rPr>
          <w:spacing w:val="-7"/>
        </w:rPr>
        <w:t> </w:t>
      </w:r>
      <w:r>
        <w:rPr>
          <w:spacing w:val="-2"/>
        </w:rPr>
        <w:t>study</w:t>
      </w:r>
      <w:r>
        <w:rPr>
          <w:spacing w:val="-11"/>
        </w:rPr>
        <w:t> </w:t>
      </w:r>
      <w:r>
        <w:rPr>
          <w:spacing w:val="-2"/>
        </w:rPr>
        <w:t>posits</w:t>
      </w:r>
      <w:r>
        <w:rPr>
          <w:spacing w:val="-6"/>
        </w:rPr>
        <w:t> </w:t>
      </w:r>
      <w:r>
        <w:rPr>
          <w:spacing w:val="-2"/>
        </w:rPr>
        <w:t>that</w:t>
      </w:r>
      <w:r>
        <w:rPr>
          <w:spacing w:val="-6"/>
        </w:rPr>
        <w:t> </w:t>
      </w:r>
      <w:r>
        <w:rPr>
          <w:spacing w:val="-2"/>
        </w:rPr>
        <w:t>“madness” </w:t>
      </w:r>
      <w:r>
        <w:rPr/>
        <w:t>in Shakespeare’s women is rarely a purely biological or clinical phenomenon. Instead, it is a complex manifestation of socio-political confinement,</w:t>
      </w:r>
      <w:r>
        <w:rPr>
          <w:spacing w:val="-10"/>
        </w:rPr>
        <w:t> </w:t>
      </w:r>
      <w:r>
        <w:rPr/>
        <w:t>domestic</w:t>
      </w:r>
      <w:r>
        <w:rPr>
          <w:spacing w:val="-9"/>
        </w:rPr>
        <w:t> </w:t>
      </w:r>
      <w:r>
        <w:rPr/>
        <w:t>trauma,</w:t>
      </w:r>
      <w:r>
        <w:rPr>
          <w:spacing w:val="-11"/>
        </w:rPr>
        <w:t> </w:t>
      </w:r>
      <w:r>
        <w:rPr/>
        <w:t>and</w:t>
      </w:r>
      <w:r>
        <w:rPr>
          <w:spacing w:val="-10"/>
        </w:rPr>
        <w:t> </w:t>
      </w:r>
      <w:r>
        <w:rPr/>
        <w:t>a</w:t>
      </w:r>
      <w:r>
        <w:rPr>
          <w:spacing w:val="-11"/>
        </w:rPr>
        <w:t> </w:t>
      </w:r>
      <w:r>
        <w:rPr/>
        <w:t>systemic</w:t>
      </w:r>
      <w:r>
        <w:rPr>
          <w:spacing w:val="-9"/>
        </w:rPr>
        <w:t> </w:t>
      </w:r>
      <w:r>
        <w:rPr/>
        <w:t>lack</w:t>
      </w:r>
      <w:r>
        <w:rPr>
          <w:spacing w:val="-13"/>
        </w:rPr>
        <w:t> </w:t>
      </w:r>
      <w:r>
        <w:rPr/>
        <w:t>of</w:t>
      </w:r>
      <w:r>
        <w:rPr>
          <w:spacing w:val="-12"/>
        </w:rPr>
        <w:t> </w:t>
      </w:r>
      <w:r>
        <w:rPr/>
        <w:t>agency.</w:t>
      </w:r>
      <w:r>
        <w:rPr>
          <w:spacing w:val="-11"/>
        </w:rPr>
        <w:t> </w:t>
      </w:r>
      <w:r>
        <w:rPr/>
        <w:t>The</w:t>
      </w:r>
      <w:r>
        <w:rPr>
          <w:spacing w:val="-11"/>
        </w:rPr>
        <w:t> </w:t>
      </w:r>
      <w:r>
        <w:rPr/>
        <w:t>paper explores the gendered dichotomy of mental illness in early modern drama, where male madness is often portrayed as philosophical or existential, while female mental collapse is linked to the body, broken relationships,</w:t>
      </w:r>
      <w:r>
        <w:rPr>
          <w:spacing w:val="40"/>
        </w:rPr>
        <w:t> </w:t>
      </w:r>
      <w:r>
        <w:rPr/>
        <w:t>and</w:t>
      </w:r>
      <w:r>
        <w:rPr>
          <w:spacing w:val="40"/>
        </w:rPr>
        <w:t> </w:t>
      </w:r>
      <w:r>
        <w:rPr/>
        <w:t>the</w:t>
      </w:r>
      <w:r>
        <w:rPr>
          <w:spacing w:val="40"/>
        </w:rPr>
        <w:t> </w:t>
      </w:r>
      <w:r>
        <w:rPr/>
        <w:t>pressures</w:t>
      </w:r>
      <w:r>
        <w:rPr>
          <w:spacing w:val="40"/>
        </w:rPr>
        <w:t> </w:t>
      </w:r>
      <w:r>
        <w:rPr/>
        <w:t>of</w:t>
      </w:r>
      <w:r>
        <w:rPr>
          <w:spacing w:val="40"/>
        </w:rPr>
        <w:t> </w:t>
      </w:r>
      <w:r>
        <w:rPr/>
        <w:t>patriarchal</w:t>
      </w:r>
      <w:r>
        <w:rPr>
          <w:spacing w:val="40"/>
        </w:rPr>
        <w:t> </w:t>
      </w:r>
      <w:r>
        <w:rPr/>
        <w:t>expectations.</w:t>
      </w:r>
    </w:p>
    <w:p>
      <w:pPr>
        <w:pStyle w:val="Heading3"/>
        <w:numPr>
          <w:ilvl w:val="0"/>
          <w:numId w:val="100"/>
        </w:numPr>
        <w:tabs>
          <w:tab w:pos="1626" w:val="left" w:leader="none"/>
        </w:tabs>
        <w:spacing w:line="240" w:lineRule="auto" w:before="162" w:after="0"/>
        <w:ind w:left="1626" w:right="0" w:hanging="186"/>
        <w:jc w:val="left"/>
      </w:pPr>
      <w:r>
        <w:rPr>
          <w:spacing w:val="-2"/>
          <w:w w:val="95"/>
        </w:rPr>
        <w:t>INTRODUCTION</w:t>
      </w:r>
    </w:p>
    <w:p>
      <w:pPr>
        <w:pStyle w:val="BodyText"/>
        <w:spacing w:line="249" w:lineRule="auto" w:before="76"/>
        <w:ind w:right="1438" w:firstLine="432"/>
        <w:jc w:val="both"/>
      </w:pPr>
      <w:r>
        <w:rPr/>
        <w:t>In the early modern period, the understanding of the human mind was inextricably linked to the theory of the “Four Humors” and the </w:t>
      </w:r>
      <w:r>
        <w:rPr>
          <w:spacing w:val="-4"/>
        </w:rPr>
        <w:t>burgeoning field of melancholia studies.</w:t>
      </w:r>
      <w:r>
        <w:rPr/>
        <w:t> </w:t>
      </w:r>
      <w:r>
        <w:rPr>
          <w:spacing w:val="-4"/>
        </w:rPr>
        <w:t>However, William Shakespeare’s </w:t>
      </w:r>
      <w:r>
        <w:rPr/>
        <w:t>dramatization of mental health goes beyond the medical knowledge of the</w:t>
      </w:r>
      <w:r>
        <w:rPr>
          <w:spacing w:val="-1"/>
        </w:rPr>
        <w:t> </w:t>
      </w:r>
      <w:r>
        <w:rPr/>
        <w:t>16th</w:t>
      </w:r>
      <w:r>
        <w:rPr>
          <w:spacing w:val="-4"/>
        </w:rPr>
        <w:t> </w:t>
      </w:r>
      <w:r>
        <w:rPr/>
        <w:t>and</w:t>
      </w:r>
      <w:r>
        <w:rPr>
          <w:spacing w:val="-4"/>
        </w:rPr>
        <w:t> </w:t>
      </w:r>
      <w:r>
        <w:rPr/>
        <w:t>17th</w:t>
      </w:r>
      <w:r>
        <w:rPr>
          <w:spacing w:val="-4"/>
        </w:rPr>
        <w:t> </w:t>
      </w:r>
      <w:r>
        <w:rPr/>
        <w:t>centuries.</w:t>
      </w:r>
      <w:r>
        <w:rPr>
          <w:spacing w:val="-4"/>
        </w:rPr>
        <w:t> </w:t>
      </w:r>
      <w:r>
        <w:rPr/>
        <w:t>In</w:t>
      </w:r>
      <w:r>
        <w:rPr>
          <w:spacing w:val="-4"/>
        </w:rPr>
        <w:t> </w:t>
      </w:r>
      <w:r>
        <w:rPr/>
        <w:t>his</w:t>
      </w:r>
      <w:r>
        <w:rPr>
          <w:spacing w:val="-6"/>
        </w:rPr>
        <w:t> </w:t>
      </w:r>
      <w:r>
        <w:rPr/>
        <w:t>plays,</w:t>
      </w:r>
      <w:r>
        <w:rPr>
          <w:spacing w:val="-2"/>
        </w:rPr>
        <w:t> </w:t>
      </w:r>
      <w:r>
        <w:rPr/>
        <w:t>the</w:t>
      </w:r>
      <w:r>
        <w:rPr>
          <w:spacing w:val="-4"/>
        </w:rPr>
        <w:t> </w:t>
      </w:r>
      <w:r>
        <w:rPr/>
        <w:t>mind</w:t>
      </w:r>
      <w:r>
        <w:rPr>
          <w:spacing w:val="-2"/>
        </w:rPr>
        <w:t> </w:t>
      </w:r>
      <w:r>
        <w:rPr/>
        <w:t>serves</w:t>
      </w:r>
      <w:r>
        <w:rPr>
          <w:spacing w:val="-6"/>
        </w:rPr>
        <w:t> </w:t>
      </w:r>
      <w:r>
        <w:rPr/>
        <w:t>as</w:t>
      </w:r>
      <w:r>
        <w:rPr>
          <w:spacing w:val="-4"/>
        </w:rPr>
        <w:t> </w:t>
      </w:r>
      <w:r>
        <w:rPr/>
        <w:t>a</w:t>
      </w:r>
      <w:r>
        <w:rPr>
          <w:spacing w:val="-3"/>
        </w:rPr>
        <w:t> </w:t>
      </w:r>
      <w:r>
        <w:rPr/>
        <w:t>battlefield where</w:t>
      </w:r>
      <w:r>
        <w:rPr>
          <w:spacing w:val="-13"/>
        </w:rPr>
        <w:t> </w:t>
      </w:r>
      <w:r>
        <w:rPr/>
        <w:t>social</w:t>
      </w:r>
      <w:r>
        <w:rPr>
          <w:spacing w:val="-12"/>
        </w:rPr>
        <w:t> </w:t>
      </w:r>
      <w:r>
        <w:rPr/>
        <w:t>identity</w:t>
      </w:r>
      <w:r>
        <w:rPr>
          <w:spacing w:val="-13"/>
        </w:rPr>
        <w:t> </w:t>
      </w:r>
      <w:r>
        <w:rPr/>
        <w:t>and</w:t>
      </w:r>
      <w:r>
        <w:rPr>
          <w:spacing w:val="-12"/>
        </w:rPr>
        <w:t> </w:t>
      </w:r>
      <w:r>
        <w:rPr/>
        <w:t>personal</w:t>
      </w:r>
      <w:r>
        <w:rPr>
          <w:spacing w:val="-13"/>
        </w:rPr>
        <w:t> </w:t>
      </w:r>
      <w:r>
        <w:rPr/>
        <w:t>desire</w:t>
      </w:r>
      <w:r>
        <w:rPr>
          <w:spacing w:val="-12"/>
        </w:rPr>
        <w:t> </w:t>
      </w:r>
      <w:r>
        <w:rPr/>
        <w:t>clash.</w:t>
      </w:r>
      <w:r>
        <w:rPr>
          <w:spacing w:val="-13"/>
        </w:rPr>
        <w:t> </w:t>
      </w:r>
      <w:r>
        <w:rPr/>
        <w:t>For</w:t>
      </w:r>
      <w:r>
        <w:rPr>
          <w:spacing w:val="-12"/>
        </w:rPr>
        <w:t> </w:t>
      </w:r>
      <w:r>
        <w:rPr/>
        <w:t>the</w:t>
      </w:r>
      <w:r>
        <w:rPr>
          <w:spacing w:val="-13"/>
        </w:rPr>
        <w:t> </w:t>
      </w:r>
      <w:r>
        <w:rPr/>
        <w:t>female</w:t>
      </w:r>
      <w:r>
        <w:rPr>
          <w:spacing w:val="-12"/>
        </w:rPr>
        <w:t> </w:t>
      </w:r>
      <w:r>
        <w:rPr/>
        <w:t>characters in Shakespeare’s tragedies, mental health is the primary site of both victim-hood</w:t>
      </w:r>
      <w:r>
        <w:rPr>
          <w:spacing w:val="40"/>
        </w:rPr>
        <w:t> </w:t>
      </w:r>
      <w:r>
        <w:rPr/>
        <w:t>and</w:t>
      </w:r>
      <w:r>
        <w:rPr>
          <w:spacing w:val="40"/>
        </w:rPr>
        <w:t> </w:t>
      </w:r>
      <w:r>
        <w:rPr/>
        <w:t>subversion.</w:t>
      </w:r>
    </w:p>
    <w:p>
      <w:pPr>
        <w:pStyle w:val="BodyText"/>
        <w:spacing w:line="249" w:lineRule="auto" w:before="64"/>
        <w:ind w:right="1440" w:firstLine="432"/>
        <w:jc w:val="both"/>
      </w:pPr>
      <w:r>
        <w:rPr/>
        <w:t>While</w:t>
      </w:r>
      <w:r>
        <w:rPr>
          <w:spacing w:val="-2"/>
        </w:rPr>
        <w:t> </w:t>
      </w:r>
      <w:r>
        <w:rPr/>
        <w:t>figures</w:t>
      </w:r>
      <w:r>
        <w:rPr>
          <w:spacing w:val="-3"/>
        </w:rPr>
        <w:t> </w:t>
      </w:r>
      <w:r>
        <w:rPr/>
        <w:t>like</w:t>
      </w:r>
      <w:r>
        <w:rPr>
          <w:spacing w:val="-5"/>
        </w:rPr>
        <w:t> </w:t>
      </w:r>
      <w:r>
        <w:rPr/>
        <w:t>King</w:t>
      </w:r>
      <w:r>
        <w:rPr>
          <w:spacing w:val="-3"/>
        </w:rPr>
        <w:t> </w:t>
      </w:r>
      <w:r>
        <w:rPr/>
        <w:t>Lear</w:t>
      </w:r>
      <w:r>
        <w:rPr>
          <w:spacing w:val="-1"/>
        </w:rPr>
        <w:t> </w:t>
      </w:r>
      <w:r>
        <w:rPr/>
        <w:t>or Hamlet</w:t>
      </w:r>
      <w:r>
        <w:rPr>
          <w:spacing w:val="-1"/>
        </w:rPr>
        <w:t> </w:t>
      </w:r>
      <w:r>
        <w:rPr/>
        <w:t>are</w:t>
      </w:r>
      <w:r>
        <w:rPr>
          <w:spacing w:val="-1"/>
        </w:rPr>
        <w:t> </w:t>
      </w:r>
      <w:r>
        <w:rPr/>
        <w:t>permitted</w:t>
      </w:r>
      <w:r>
        <w:rPr>
          <w:spacing w:val="-3"/>
        </w:rPr>
        <w:t> </w:t>
      </w:r>
      <w:r>
        <w:rPr/>
        <w:t>to engage</w:t>
      </w:r>
      <w:r>
        <w:rPr>
          <w:spacing w:val="-1"/>
        </w:rPr>
        <w:t> </w:t>
      </w:r>
      <w:r>
        <w:rPr/>
        <w:t>in lengthy,</w:t>
      </w:r>
      <w:r>
        <w:rPr>
          <w:spacing w:val="27"/>
        </w:rPr>
        <w:t> </w:t>
      </w:r>
      <w:r>
        <w:rPr/>
        <w:t>rationalized</w:t>
      </w:r>
      <w:r>
        <w:rPr>
          <w:spacing w:val="25"/>
        </w:rPr>
        <w:t> </w:t>
      </w:r>
      <w:r>
        <w:rPr/>
        <w:t>soliloquies</w:t>
      </w:r>
      <w:r>
        <w:rPr>
          <w:spacing w:val="25"/>
        </w:rPr>
        <w:t> </w:t>
      </w:r>
      <w:r>
        <w:rPr/>
        <w:t>about</w:t>
      </w:r>
      <w:r>
        <w:rPr>
          <w:spacing w:val="25"/>
        </w:rPr>
        <w:t> </w:t>
      </w:r>
      <w:r>
        <w:rPr/>
        <w:t>their</w:t>
      </w:r>
      <w:r>
        <w:rPr>
          <w:spacing w:val="26"/>
        </w:rPr>
        <w:t> </w:t>
      </w:r>
      <w:r>
        <w:rPr/>
        <w:t>mental</w:t>
      </w:r>
      <w:r>
        <w:rPr>
          <w:spacing w:val="24"/>
        </w:rPr>
        <w:t> </w:t>
      </w:r>
      <w:r>
        <w:rPr/>
        <w:t>state,</w:t>
      </w:r>
      <w:r>
        <w:rPr>
          <w:spacing w:val="25"/>
        </w:rPr>
        <w:t> </w:t>
      </w:r>
      <w:r>
        <w:rPr/>
        <w:t>women</w:t>
      </w:r>
      <w:r>
        <w:rPr>
          <w:spacing w:val="25"/>
        </w:rPr>
        <w:t> </w:t>
      </w:r>
      <w:r>
        <w:rPr>
          <w:spacing w:val="-4"/>
        </w:rPr>
        <w:t>like</w:t>
      </w:r>
    </w:p>
    <w:p>
      <w:pPr>
        <w:pStyle w:val="BodyText"/>
        <w:spacing w:after="0" w:line="249"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940096">
                <wp:simplePos x="0" y="0"/>
                <wp:positionH relativeFrom="page">
                  <wp:posOffset>2065020</wp:posOffset>
                </wp:positionH>
                <wp:positionV relativeFrom="paragraph">
                  <wp:posOffset>795020</wp:posOffset>
                </wp:positionV>
                <wp:extent cx="3657600" cy="12700"/>
                <wp:effectExtent l="0" t="0" r="0" b="0"/>
                <wp:wrapTopAndBottom/>
                <wp:docPr id="925" name="Graphic 925"/>
                <wp:cNvGraphicFramePr>
                  <a:graphicFrameLocks/>
                </wp:cNvGraphicFramePr>
                <a:graphic>
                  <a:graphicData uri="http://schemas.microsoft.com/office/word/2010/wordprocessingShape">
                    <wps:wsp>
                      <wps:cNvPr id="925" name="Graphic 925"/>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76384;mso-wrap-distance-left:0;mso-wrap-distance-right:0" id="docshape916" filled="true" fillcolor="#000000" stroked="false">
                <v:fill type="solid"/>
                <w10:wrap type="topAndBottom"/>
              </v:rect>
            </w:pict>
          </mc:Fallback>
        </mc:AlternateContent>
      </w:r>
      <w:r>
        <w:rPr>
          <w:rFonts w:ascii="Verdana" w:hAnsi="Verdana"/>
          <w:sz w:val="18"/>
        </w:rPr>
        <w:t>Women</w:t>
      </w:r>
      <w:r>
        <w:rPr>
          <w:rFonts w:ascii="Verdana" w:hAnsi="Verdana"/>
          <w:spacing w:val="11"/>
          <w:sz w:val="18"/>
        </w:rPr>
        <w:t> </w:t>
      </w:r>
      <w:r>
        <w:rPr>
          <w:rFonts w:ascii="Verdana" w:hAnsi="Verdana"/>
          <w:sz w:val="18"/>
        </w:rPr>
        <w:t>and</w:t>
      </w:r>
      <w:r>
        <w:rPr>
          <w:rFonts w:ascii="Verdana" w:hAnsi="Verdana"/>
          <w:spacing w:val="11"/>
          <w:sz w:val="18"/>
        </w:rPr>
        <w:t> </w:t>
      </w:r>
      <w:r>
        <w:rPr>
          <w:rFonts w:ascii="Verdana" w:hAnsi="Verdana"/>
          <w:sz w:val="18"/>
        </w:rPr>
        <w:t>Mental</w:t>
      </w:r>
      <w:r>
        <w:rPr>
          <w:rFonts w:ascii="Verdana" w:hAnsi="Verdana"/>
          <w:spacing w:val="12"/>
          <w:sz w:val="18"/>
        </w:rPr>
        <w:t> </w:t>
      </w:r>
      <w:r>
        <w:rPr>
          <w:rFonts w:ascii="Verdana" w:hAnsi="Verdana"/>
          <w:sz w:val="18"/>
        </w:rPr>
        <w:t>Health</w:t>
      </w:r>
      <w:r>
        <w:rPr>
          <w:rFonts w:ascii="Verdana" w:hAnsi="Verdana"/>
          <w:spacing w:val="13"/>
          <w:sz w:val="18"/>
        </w:rPr>
        <w:t> </w:t>
      </w:r>
      <w:r>
        <w:rPr>
          <w:rFonts w:ascii="Verdana" w:hAnsi="Verdana"/>
          <w:sz w:val="18"/>
        </w:rPr>
        <w:t>in</w:t>
      </w:r>
      <w:r>
        <w:rPr>
          <w:rFonts w:ascii="Verdana" w:hAnsi="Verdana"/>
          <w:spacing w:val="13"/>
          <w:sz w:val="18"/>
        </w:rPr>
        <w:t> </w:t>
      </w:r>
      <w:r>
        <w:rPr>
          <w:rFonts w:ascii="Verdana" w:hAnsi="Verdana"/>
          <w:sz w:val="18"/>
        </w:rPr>
        <w:t>Shakespeare’s</w:t>
      </w:r>
      <w:r>
        <w:rPr>
          <w:rFonts w:ascii="Verdana" w:hAnsi="Verdana"/>
          <w:spacing w:val="13"/>
          <w:sz w:val="18"/>
        </w:rPr>
        <w:t> </w:t>
      </w:r>
      <w:r>
        <w:rPr>
          <w:rFonts w:ascii="Verdana" w:hAnsi="Verdana"/>
          <w:spacing w:val="-4"/>
          <w:sz w:val="18"/>
        </w:rPr>
        <w:t>Plays</w:t>
      </w:r>
      <w:r>
        <w:rPr>
          <w:sz w:val="18"/>
        </w:rPr>
        <w:tab/>
      </w:r>
      <w:r>
        <w:rPr>
          <w:rFonts w:ascii="Verdana" w:hAnsi="Verdana"/>
          <w:spacing w:val="-5"/>
          <w:sz w:val="18"/>
        </w:rPr>
        <w:t>489</w:t>
      </w:r>
    </w:p>
    <w:p>
      <w:pPr>
        <w:pStyle w:val="BodyText"/>
        <w:spacing w:line="249" w:lineRule="auto" w:before="192"/>
        <w:ind w:right="1441"/>
        <w:jc w:val="both"/>
      </w:pPr>
      <w:r>
        <w:rPr/>
        <w:t>Ophelia</w:t>
      </w:r>
      <w:r>
        <w:rPr>
          <w:spacing w:val="-13"/>
        </w:rPr>
        <w:t> </w:t>
      </w:r>
      <w:r>
        <w:rPr/>
        <w:t>and</w:t>
      </w:r>
      <w:r>
        <w:rPr>
          <w:spacing w:val="-12"/>
        </w:rPr>
        <w:t> </w:t>
      </w:r>
      <w:r>
        <w:rPr/>
        <w:t>Lady</w:t>
      </w:r>
      <w:r>
        <w:rPr>
          <w:spacing w:val="-13"/>
        </w:rPr>
        <w:t> </w:t>
      </w:r>
      <w:r>
        <w:rPr/>
        <w:t>Macbeth</w:t>
      </w:r>
      <w:r>
        <w:rPr>
          <w:spacing w:val="-12"/>
        </w:rPr>
        <w:t> </w:t>
      </w:r>
      <w:r>
        <w:rPr/>
        <w:t>are</w:t>
      </w:r>
      <w:r>
        <w:rPr>
          <w:spacing w:val="-13"/>
        </w:rPr>
        <w:t> </w:t>
      </w:r>
      <w:r>
        <w:rPr/>
        <w:t>often</w:t>
      </w:r>
      <w:r>
        <w:rPr>
          <w:spacing w:val="-12"/>
        </w:rPr>
        <w:t> </w:t>
      </w:r>
      <w:r>
        <w:rPr/>
        <w:t>silenced</w:t>
      </w:r>
      <w:r>
        <w:rPr>
          <w:spacing w:val="-13"/>
        </w:rPr>
        <w:t> </w:t>
      </w:r>
      <w:r>
        <w:rPr/>
        <w:t>or</w:t>
      </w:r>
      <w:r>
        <w:rPr>
          <w:spacing w:val="-12"/>
        </w:rPr>
        <w:t> </w:t>
      </w:r>
      <w:r>
        <w:rPr/>
        <w:t>relegated</w:t>
      </w:r>
      <w:r>
        <w:rPr>
          <w:spacing w:val="-13"/>
        </w:rPr>
        <w:t> </w:t>
      </w:r>
      <w:r>
        <w:rPr/>
        <w:t>to</w:t>
      </w:r>
      <w:r>
        <w:rPr>
          <w:spacing w:val="-12"/>
        </w:rPr>
        <w:t> </w:t>
      </w:r>
      <w:r>
        <w:rPr/>
        <w:t>“distracted” behaviors—singing, sleepwalking, and fragmented speech. This paper explores how these depictions of mental health provide a window into the suffocating social structures of the time and the unique ways in which</w:t>
      </w:r>
      <w:r>
        <w:rPr>
          <w:spacing w:val="40"/>
        </w:rPr>
        <w:t> </w:t>
      </w:r>
      <w:r>
        <w:rPr/>
        <w:t>women</w:t>
      </w:r>
      <w:r>
        <w:rPr>
          <w:spacing w:val="40"/>
        </w:rPr>
        <w:t> </w:t>
      </w:r>
      <w:r>
        <w:rPr/>
        <w:t>processed</w:t>
      </w:r>
      <w:r>
        <w:rPr>
          <w:spacing w:val="40"/>
        </w:rPr>
        <w:t> </w:t>
      </w:r>
      <w:r>
        <w:rPr/>
        <w:t>trauma</w:t>
      </w:r>
      <w:r>
        <w:rPr>
          <w:spacing w:val="40"/>
        </w:rPr>
        <w:t> </w:t>
      </w:r>
      <w:r>
        <w:rPr/>
        <w:t>within</w:t>
      </w:r>
      <w:r>
        <w:rPr>
          <w:spacing w:val="40"/>
        </w:rPr>
        <w:t> </w:t>
      </w:r>
      <w:r>
        <w:rPr/>
        <w:t>those</w:t>
      </w:r>
      <w:r>
        <w:rPr>
          <w:spacing w:val="40"/>
        </w:rPr>
        <w:t> </w:t>
      </w:r>
      <w:r>
        <w:rPr/>
        <w:t>bounds.</w:t>
      </w:r>
    </w:p>
    <w:p>
      <w:pPr>
        <w:pStyle w:val="BodyText"/>
        <w:spacing w:line="256" w:lineRule="auto" w:before="64"/>
        <w:ind w:right="1438" w:firstLine="432"/>
        <w:jc w:val="both"/>
      </w:pPr>
      <w:r>
        <w:rPr/>
        <w:t>He is expounding the notion that she must use willpower to remedy herself. It is important to note in this quote that the doctor is speaking directly to Lady Macbeth but uses the male pronoun to refer</w:t>
      </w:r>
      <w:r>
        <w:rPr>
          <w:spacing w:val="40"/>
        </w:rPr>
        <w:t> </w:t>
      </w:r>
      <w:r>
        <w:rPr/>
        <w:t>to a patient’s need to take control of their own health. Perhaps this pronoun alludes to a belief that only men could have the power to cure themselves. Unfortunately, Lady </w:t>
      </w:r>
      <w:r>
        <w:rPr>
          <w:spacing w:val="9"/>
        </w:rPr>
        <w:t>Macbeth</w:t>
      </w:r>
      <w:r>
        <w:rPr>
          <w:spacing w:val="9"/>
        </w:rPr>
        <w:t> </w:t>
      </w:r>
      <w:r>
        <w:rPr/>
        <w:t>dies following this </w:t>
      </w:r>
      <w:r>
        <w:rPr>
          <w:spacing w:val="-2"/>
        </w:rPr>
        <w:t>conversation,</w:t>
      </w:r>
      <w:r>
        <w:rPr>
          <w:spacing w:val="-9"/>
        </w:rPr>
        <w:t> </w:t>
      </w:r>
      <w:r>
        <w:rPr>
          <w:spacing w:val="-2"/>
        </w:rPr>
        <w:t>which</w:t>
      </w:r>
      <w:r>
        <w:rPr>
          <w:spacing w:val="-9"/>
        </w:rPr>
        <w:t> </w:t>
      </w:r>
      <w:r>
        <w:rPr>
          <w:spacing w:val="-2"/>
        </w:rPr>
        <w:t>further</w:t>
      </w:r>
      <w:r>
        <w:rPr>
          <w:spacing w:val="-9"/>
        </w:rPr>
        <w:t> </w:t>
      </w:r>
      <w:r>
        <w:rPr>
          <w:spacing w:val="-2"/>
        </w:rPr>
        <w:t>emphasizes</w:t>
      </w:r>
      <w:r>
        <w:rPr>
          <w:spacing w:val="-14"/>
        </w:rPr>
        <w:t> </w:t>
      </w:r>
      <w:r>
        <w:rPr>
          <w:spacing w:val="-2"/>
        </w:rPr>
        <w:t>her</w:t>
      </w:r>
      <w:r>
        <w:rPr>
          <w:spacing w:val="-6"/>
        </w:rPr>
        <w:t> </w:t>
      </w:r>
      <w:r>
        <w:rPr>
          <w:spacing w:val="-2"/>
        </w:rPr>
        <w:t>womanly</w:t>
      </w:r>
      <w:r>
        <w:rPr>
          <w:spacing w:val="-11"/>
        </w:rPr>
        <w:t> </w:t>
      </w:r>
      <w:r>
        <w:rPr>
          <w:spacing w:val="-2"/>
        </w:rPr>
        <w:t>weakness</w:t>
      </w:r>
      <w:r>
        <w:rPr>
          <w:spacing w:val="-9"/>
        </w:rPr>
        <w:t> </w:t>
      </w:r>
      <w:r>
        <w:rPr>
          <w:spacing w:val="-2"/>
        </w:rPr>
        <w:t>to</w:t>
      </w:r>
      <w:r>
        <w:rPr>
          <w:spacing w:val="-7"/>
        </w:rPr>
        <w:t> </w:t>
      </w:r>
      <w:r>
        <w:rPr>
          <w:spacing w:val="-2"/>
        </w:rPr>
        <w:t>illness.</w:t>
      </w:r>
    </w:p>
    <w:p>
      <w:pPr>
        <w:pStyle w:val="BodyText"/>
        <w:spacing w:line="256" w:lineRule="auto" w:before="59"/>
        <w:ind w:right="1437" w:firstLine="432"/>
        <w:jc w:val="both"/>
      </w:pPr>
      <w:r>
        <w:rPr/>
        <w:t>The insight from Shakespeare’s portrayal adhered to the medical understanding</w:t>
      </w:r>
      <w:r>
        <w:rPr>
          <w:spacing w:val="-3"/>
        </w:rPr>
        <w:t> </w:t>
      </w:r>
      <w:r>
        <w:rPr/>
        <w:t>of</w:t>
      </w:r>
      <w:r>
        <w:rPr>
          <w:spacing w:val="-5"/>
        </w:rPr>
        <w:t> </w:t>
      </w:r>
      <w:r>
        <w:rPr/>
        <w:t>illness.</w:t>
      </w:r>
      <w:r>
        <w:rPr>
          <w:spacing w:val="-2"/>
        </w:rPr>
        <w:t> </w:t>
      </w:r>
      <w:r>
        <w:rPr/>
        <w:t>Ophelia’s</w:t>
      </w:r>
      <w:r>
        <w:rPr>
          <w:spacing w:val="-2"/>
        </w:rPr>
        <w:t> </w:t>
      </w:r>
      <w:r>
        <w:rPr/>
        <w:t>and</w:t>
      </w:r>
      <w:r>
        <w:rPr>
          <w:spacing w:val="-3"/>
        </w:rPr>
        <w:t> </w:t>
      </w:r>
      <w:r>
        <w:rPr/>
        <w:t>Lady</w:t>
      </w:r>
      <w:r>
        <w:rPr>
          <w:spacing w:val="-5"/>
        </w:rPr>
        <w:t> </w:t>
      </w:r>
      <w:r>
        <w:rPr/>
        <w:t>Macbeth’s</w:t>
      </w:r>
      <w:r>
        <w:rPr>
          <w:spacing w:val="-3"/>
        </w:rPr>
        <w:t> </w:t>
      </w:r>
      <w:r>
        <w:rPr/>
        <w:t>representations of their illness illustrate a lack of understanding through the poor representations of the depths of a disease. There was a failure to communicate and portray differentiation between physical, verbal, and mental expressions of madness. These representations illustrated how there was a common societal perception that there was no separation between body and mind.</w:t>
      </w:r>
      <w:r>
        <w:rPr>
          <w:spacing w:val="-5"/>
        </w:rPr>
        <w:t> </w:t>
      </w:r>
      <w:r>
        <w:rPr/>
        <w:t>This notion is reinforced through Hodgkin’s description of mental illness as a “single system” and taken as merely women’s</w:t>
      </w:r>
      <w:r>
        <w:rPr>
          <w:spacing w:val="40"/>
        </w:rPr>
        <w:t> </w:t>
      </w:r>
      <w:r>
        <w:rPr/>
        <w:t>behavior</w:t>
      </w:r>
      <w:r>
        <w:rPr>
          <w:spacing w:val="40"/>
        </w:rPr>
        <w:t> </w:t>
      </w:r>
      <w:r>
        <w:rPr/>
        <w:t>and</w:t>
      </w:r>
      <w:r>
        <w:rPr>
          <w:spacing w:val="40"/>
        </w:rPr>
        <w:t> </w:t>
      </w:r>
      <w:r>
        <w:rPr/>
        <w:t>not</w:t>
      </w:r>
      <w:r>
        <w:rPr>
          <w:spacing w:val="40"/>
        </w:rPr>
        <w:t> </w:t>
      </w:r>
      <w:r>
        <w:rPr/>
        <w:t>acknowledged</w:t>
      </w:r>
      <w:r>
        <w:rPr>
          <w:spacing w:val="40"/>
        </w:rPr>
        <w:t> </w:t>
      </w:r>
      <w:r>
        <w:rPr/>
        <w:t>as</w:t>
      </w:r>
      <w:r>
        <w:rPr>
          <w:spacing w:val="40"/>
        </w:rPr>
        <w:t> </w:t>
      </w:r>
      <w:r>
        <w:rPr/>
        <w:t>a</w:t>
      </w:r>
      <w:r>
        <w:rPr>
          <w:spacing w:val="40"/>
        </w:rPr>
        <w:t> </w:t>
      </w:r>
      <w:r>
        <w:rPr/>
        <w:t>person’s</w:t>
      </w:r>
      <w:r>
        <w:rPr>
          <w:spacing w:val="40"/>
        </w:rPr>
        <w:t> </w:t>
      </w:r>
      <w:r>
        <w:rPr/>
        <w:t>struggles.</w:t>
      </w:r>
    </w:p>
    <w:p>
      <w:pPr>
        <w:pStyle w:val="Heading5"/>
        <w:spacing w:line="249" w:lineRule="auto" w:before="108"/>
        <w:ind w:right="1445"/>
        <w:jc w:val="both"/>
      </w:pPr>
      <w:r>
        <w:rPr>
          <w:w w:val="105"/>
        </w:rPr>
        <w:t>King</w:t>
      </w:r>
      <w:r>
        <w:rPr>
          <w:w w:val="105"/>
        </w:rPr>
        <w:t> Claudius</w:t>
      </w:r>
      <w:r>
        <w:rPr>
          <w:w w:val="105"/>
        </w:rPr>
        <w:t> stated</w:t>
      </w:r>
      <w:r>
        <w:rPr>
          <w:w w:val="105"/>
        </w:rPr>
        <w:t> “poor</w:t>
      </w:r>
      <w:r>
        <w:rPr>
          <w:w w:val="105"/>
        </w:rPr>
        <w:t> Ophelia”</w:t>
      </w:r>
      <w:r>
        <w:rPr>
          <w:w w:val="105"/>
        </w:rPr>
        <w:t> after</w:t>
      </w:r>
      <w:r>
        <w:rPr>
          <w:w w:val="105"/>
        </w:rPr>
        <w:t> her</w:t>
      </w:r>
      <w:r>
        <w:rPr>
          <w:w w:val="105"/>
        </w:rPr>
        <w:t> </w:t>
      </w:r>
      <w:r>
        <w:rPr>
          <w:w w:val="105"/>
        </w:rPr>
        <w:t>death, noting</w:t>
      </w:r>
      <w:r>
        <w:rPr>
          <w:spacing w:val="40"/>
          <w:w w:val="105"/>
        </w:rPr>
        <w:t> </w:t>
      </w:r>
      <w:r>
        <w:rPr>
          <w:w w:val="105"/>
        </w:rPr>
        <w:t>that</w:t>
      </w:r>
      <w:r>
        <w:rPr>
          <w:spacing w:val="40"/>
          <w:w w:val="105"/>
        </w:rPr>
        <w:t> </w:t>
      </w:r>
      <w:r>
        <w:rPr>
          <w:w w:val="105"/>
        </w:rPr>
        <w:t>Ophelia:</w:t>
      </w:r>
    </w:p>
    <w:p>
      <w:pPr>
        <w:pStyle w:val="BodyText"/>
        <w:spacing w:line="256" w:lineRule="auto" w:before="67"/>
        <w:ind w:right="1439" w:firstLine="432"/>
        <w:jc w:val="both"/>
      </w:pPr>
      <w:r>
        <w:rPr/>
        <w:t>Notably, King Claudius here separates Ophelia as a person from her gender. He has made her actions appear nonhuman and almost barbaric</w:t>
      </w:r>
      <w:r>
        <w:rPr>
          <w:spacing w:val="-3"/>
        </w:rPr>
        <w:t> </w:t>
      </w:r>
      <w:r>
        <w:rPr/>
        <w:t>as</w:t>
      </w:r>
      <w:r>
        <w:rPr>
          <w:spacing w:val="-3"/>
        </w:rPr>
        <w:t> </w:t>
      </w:r>
      <w:r>
        <w:rPr/>
        <w:t>her</w:t>
      </w:r>
      <w:r>
        <w:rPr>
          <w:spacing w:val="-2"/>
        </w:rPr>
        <w:t> </w:t>
      </w:r>
      <w:r>
        <w:rPr/>
        <w:t>soul</w:t>
      </w:r>
      <w:r>
        <w:rPr>
          <w:spacing w:val="-2"/>
        </w:rPr>
        <w:t> </w:t>
      </w:r>
      <w:r>
        <w:rPr/>
        <w:t>was</w:t>
      </w:r>
      <w:r>
        <w:rPr>
          <w:spacing w:val="-3"/>
        </w:rPr>
        <w:t> </w:t>
      </w:r>
      <w:r>
        <w:rPr/>
        <w:t>separated</w:t>
      </w:r>
      <w:r>
        <w:rPr>
          <w:spacing w:val="-3"/>
        </w:rPr>
        <w:t> </w:t>
      </w:r>
      <w:r>
        <w:rPr/>
        <w:t>from</w:t>
      </w:r>
      <w:r>
        <w:rPr>
          <w:spacing w:val="-6"/>
        </w:rPr>
        <w:t> </w:t>
      </w:r>
      <w:r>
        <w:rPr/>
        <w:t>her</w:t>
      </w:r>
      <w:r>
        <w:rPr>
          <w:spacing w:val="-2"/>
        </w:rPr>
        <w:t> </w:t>
      </w:r>
      <w:r>
        <w:rPr/>
        <w:t>body</w:t>
      </w:r>
      <w:r>
        <w:rPr>
          <w:spacing w:val="-5"/>
        </w:rPr>
        <w:t> </w:t>
      </w:r>
      <w:r>
        <w:rPr/>
        <w:t>with</w:t>
      </w:r>
      <w:r>
        <w:rPr>
          <w:spacing w:val="-3"/>
        </w:rPr>
        <w:t> </w:t>
      </w:r>
      <w:r>
        <w:rPr/>
        <w:t>her</w:t>
      </w:r>
      <w:r>
        <w:rPr>
          <w:spacing w:val="-2"/>
        </w:rPr>
        <w:t> </w:t>
      </w:r>
      <w:r>
        <w:rPr/>
        <w:t>actions</w:t>
      </w:r>
      <w:r>
        <w:rPr>
          <w:spacing w:val="-3"/>
        </w:rPr>
        <w:t> </w:t>
      </w:r>
      <w:r>
        <w:rPr/>
        <w:t>based </w:t>
      </w:r>
      <w:r>
        <w:rPr>
          <w:spacing w:val="-2"/>
        </w:rPr>
        <w:t>purely</w:t>
      </w:r>
      <w:r>
        <w:rPr>
          <w:spacing w:val="-11"/>
        </w:rPr>
        <w:t> </w:t>
      </w:r>
      <w:r>
        <w:rPr>
          <w:spacing w:val="-2"/>
        </w:rPr>
        <w:t>on</w:t>
      </w:r>
      <w:r>
        <w:rPr>
          <w:spacing w:val="-10"/>
        </w:rPr>
        <w:t> </w:t>
      </w:r>
      <w:r>
        <w:rPr>
          <w:spacing w:val="-2"/>
        </w:rPr>
        <w:t>raw</w:t>
      </w:r>
      <w:r>
        <w:rPr>
          <w:spacing w:val="-11"/>
        </w:rPr>
        <w:t> </w:t>
      </w:r>
      <w:r>
        <w:rPr>
          <w:spacing w:val="-2"/>
        </w:rPr>
        <w:t>emotion.</w:t>
      </w:r>
      <w:r>
        <w:rPr>
          <w:spacing w:val="-10"/>
        </w:rPr>
        <w:t> </w:t>
      </w:r>
      <w:r>
        <w:rPr>
          <w:spacing w:val="-2"/>
        </w:rPr>
        <w:t>Shakespeare</w:t>
      </w:r>
      <w:r>
        <w:rPr>
          <w:spacing w:val="-11"/>
        </w:rPr>
        <w:t> </w:t>
      </w:r>
      <w:r>
        <w:rPr>
          <w:spacing w:val="-2"/>
        </w:rPr>
        <w:t>enlightens</w:t>
      </w:r>
      <w:r>
        <w:rPr>
          <w:spacing w:val="-10"/>
        </w:rPr>
        <w:t> </w:t>
      </w:r>
      <w:r>
        <w:rPr>
          <w:spacing w:val="-2"/>
        </w:rPr>
        <w:t>an</w:t>
      </w:r>
      <w:r>
        <w:rPr>
          <w:spacing w:val="-11"/>
        </w:rPr>
        <w:t> </w:t>
      </w:r>
      <w:r>
        <w:rPr>
          <w:spacing w:val="-2"/>
        </w:rPr>
        <w:t>animal-esque</w:t>
      </w:r>
      <w:r>
        <w:rPr>
          <w:spacing w:val="-10"/>
        </w:rPr>
        <w:t> </w:t>
      </w:r>
      <w:r>
        <w:rPr>
          <w:spacing w:val="-2"/>
        </w:rPr>
        <w:t>treatment </w:t>
      </w:r>
      <w:r>
        <w:rPr/>
        <w:t>of Ophelia’s behavior which consequently has the audience not seeing her</w:t>
      </w:r>
      <w:r>
        <w:rPr>
          <w:spacing w:val="21"/>
        </w:rPr>
        <w:t> </w:t>
      </w:r>
      <w:r>
        <w:rPr/>
        <w:t>as a</w:t>
      </w:r>
      <w:r>
        <w:rPr>
          <w:spacing w:val="19"/>
        </w:rPr>
        <w:t> </w:t>
      </w:r>
      <w:r>
        <w:rPr/>
        <w:t>human being suffering</w:t>
      </w:r>
      <w:r>
        <w:rPr>
          <w:spacing w:val="22"/>
        </w:rPr>
        <w:t> </w:t>
      </w:r>
      <w:r>
        <w:rPr/>
        <w:t>from a</w:t>
      </w:r>
      <w:r>
        <w:rPr>
          <w:spacing w:val="21"/>
        </w:rPr>
        <w:t> </w:t>
      </w:r>
      <w:r>
        <w:rPr/>
        <w:t>debilitating disease and</w:t>
      </w:r>
      <w:r>
        <w:rPr>
          <w:spacing w:val="20"/>
        </w:rPr>
        <w:t> </w:t>
      </w:r>
      <w:r>
        <w:rPr/>
        <w:t>trying to escape from her pain. Instead, the spectators get a glimpse into the life of a silly girl “suffering physically and mentally the pangs of rejected love”.</w:t>
      </w:r>
      <w:r>
        <w:rPr>
          <w:spacing w:val="-3"/>
        </w:rPr>
        <w:t> </w:t>
      </w:r>
      <w:r>
        <w:rPr/>
        <w:t>Ophelia’s mental ill-health was visually reduced and dismissible as her behavior was lovable and pathetic. This notion was apparent through the Elizabethan Era as women were often thought to react more emotionally to their inner struggles than men. This could have been due to the social expectation that men should not show their </w:t>
      </w:r>
      <w:r>
        <w:rPr>
          <w:spacing w:val="10"/>
        </w:rPr>
        <w:t>feelings,</w:t>
      </w:r>
      <w:r>
        <w:rPr>
          <w:spacing w:val="30"/>
        </w:rPr>
        <w:t>  </w:t>
      </w:r>
      <w:r>
        <w:rPr/>
        <w:t>or</w:t>
      </w:r>
      <w:r>
        <w:rPr>
          <w:spacing w:val="30"/>
        </w:rPr>
        <w:t>  </w:t>
      </w:r>
      <w:r>
        <w:rPr/>
        <w:t>that</w:t>
      </w:r>
      <w:r>
        <w:rPr>
          <w:spacing w:val="29"/>
        </w:rPr>
        <w:t>  </w:t>
      </w:r>
      <w:r>
        <w:rPr>
          <w:spacing w:val="9"/>
        </w:rPr>
        <w:t>their</w:t>
      </w:r>
      <w:r>
        <w:rPr>
          <w:spacing w:val="31"/>
        </w:rPr>
        <w:t>  </w:t>
      </w:r>
      <w:r>
        <w:rPr>
          <w:spacing w:val="10"/>
        </w:rPr>
        <w:t>behavior</w:t>
      </w:r>
      <w:r>
        <w:rPr>
          <w:spacing w:val="31"/>
        </w:rPr>
        <w:t>  </w:t>
      </w:r>
      <w:r>
        <w:rPr/>
        <w:t>was</w:t>
      </w:r>
      <w:r>
        <w:rPr>
          <w:spacing w:val="30"/>
        </w:rPr>
        <w:t>  </w:t>
      </w:r>
      <w:r>
        <w:rPr/>
        <w:t>more</w:t>
      </w:r>
      <w:r>
        <w:rPr>
          <w:spacing w:val="29"/>
        </w:rPr>
        <w:t>  </w:t>
      </w:r>
      <w:r>
        <w:rPr>
          <w:spacing w:val="10"/>
        </w:rPr>
        <w:t>rational</w:t>
      </w:r>
      <w:r>
        <w:rPr>
          <w:spacing w:val="31"/>
        </w:rPr>
        <w:t>  </w:t>
      </w:r>
      <w:r>
        <w:rPr/>
        <w:t>than</w:t>
      </w:r>
      <w:r>
        <w:rPr>
          <w:spacing w:val="31"/>
        </w:rPr>
        <w:t>  </w:t>
      </w:r>
      <w:r>
        <w:rPr>
          <w:spacing w:val="-10"/>
        </w:rPr>
        <w:t>a</w:t>
      </w:r>
    </w:p>
    <w:p>
      <w:pPr>
        <w:pStyle w:val="BodyText"/>
        <w:spacing w:after="0" w:line="256" w:lineRule="auto"/>
        <w:jc w:val="both"/>
        <w:sectPr>
          <w:pgSz w:w="12240" w:h="15840"/>
          <w:pgMar w:top="1820" w:bottom="280" w:left="1800" w:right="1800"/>
        </w:sectPr>
      </w:pPr>
    </w:p>
    <w:p>
      <w:pPr>
        <w:pStyle w:val="BodyText"/>
        <w:ind w:left="0"/>
        <w:rPr>
          <w:sz w:val="18"/>
        </w:rPr>
      </w:pPr>
    </w:p>
    <w:p>
      <w:pPr>
        <w:pStyle w:val="BodyText"/>
        <w:ind w:left="0"/>
        <w:rPr>
          <w:sz w:val="18"/>
        </w:rPr>
      </w:pPr>
    </w:p>
    <w:p>
      <w:pPr>
        <w:pStyle w:val="BodyText"/>
        <w:ind w:left="0"/>
        <w:rPr>
          <w:sz w:val="18"/>
        </w:rPr>
      </w:pPr>
    </w:p>
    <w:p>
      <w:pPr>
        <w:pStyle w:val="BodyText"/>
        <w:spacing w:before="168"/>
        <w:ind w:left="0"/>
        <w:rPr>
          <w:sz w:val="18"/>
        </w:rPr>
      </w:pPr>
    </w:p>
    <w:p>
      <w:pPr>
        <w:tabs>
          <w:tab w:pos="4319" w:val="left" w:leader="none"/>
        </w:tabs>
        <w:spacing w:before="0"/>
        <w:ind w:left="1440" w:right="0" w:firstLine="0"/>
        <w:jc w:val="left"/>
        <w:rPr>
          <w:rFonts w:ascii="Verdana"/>
          <w:sz w:val="18"/>
        </w:rPr>
      </w:pPr>
      <w:r>
        <w:rPr>
          <w:rFonts w:ascii="Verdana"/>
          <w:sz w:val="18"/>
        </w:rPr>
        <mc:AlternateContent>
          <mc:Choice Requires="wps">
            <w:drawing>
              <wp:anchor distT="0" distB="0" distL="0" distR="0" allowOverlap="1" layoutInCell="1" locked="0" behindDoc="1" simplePos="0" relativeHeight="487940608">
                <wp:simplePos x="0" y="0"/>
                <wp:positionH relativeFrom="page">
                  <wp:posOffset>2057400</wp:posOffset>
                </wp:positionH>
                <wp:positionV relativeFrom="paragraph">
                  <wp:posOffset>162604</wp:posOffset>
                </wp:positionV>
                <wp:extent cx="3657600" cy="12700"/>
                <wp:effectExtent l="0" t="0" r="0" b="0"/>
                <wp:wrapTopAndBottom/>
                <wp:docPr id="926" name="Graphic 926"/>
                <wp:cNvGraphicFramePr>
                  <a:graphicFrameLocks/>
                </wp:cNvGraphicFramePr>
                <a:graphic>
                  <a:graphicData uri="http://schemas.microsoft.com/office/word/2010/wordprocessingShape">
                    <wps:wsp>
                      <wps:cNvPr id="926" name="Graphic 926"/>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2.803522pt;width:288.000009pt;height:.959999pt;mso-position-horizontal-relative:page;mso-position-vertical-relative:paragraph;z-index:-15375872;mso-wrap-distance-left:0;mso-wrap-distance-right:0" id="docshape917" filled="true" fillcolor="#000000" stroked="false">
                <v:fill type="solid"/>
                <w10:wrap type="topAndBottom"/>
              </v:rect>
            </w:pict>
          </mc:Fallback>
        </mc:AlternateContent>
      </w:r>
      <w:r>
        <w:rPr>
          <w:rFonts w:ascii="Verdana"/>
          <w:spacing w:val="-5"/>
          <w:sz w:val="18"/>
        </w:rPr>
        <w:t>490</w:t>
      </w:r>
      <w:r>
        <w:rPr>
          <w:rFonts w:ascii="Verdana"/>
          <w:sz w:val="18"/>
        </w:rPr>
        <w:tab/>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pStyle w:val="BodyText"/>
        <w:spacing w:line="254" w:lineRule="auto" w:before="195"/>
        <w:ind w:right="1437"/>
      </w:pPr>
      <w:r>
        <w:rPr/>
        <w:t>women’s.</w:t>
      </w:r>
      <w:r>
        <w:rPr>
          <w:spacing w:val="-10"/>
        </w:rPr>
        <w:t> </w:t>
      </w:r>
      <w:r>
        <w:rPr/>
        <w:t>Nevertheless,</w:t>
      </w:r>
      <w:r>
        <w:rPr>
          <w:spacing w:val="27"/>
        </w:rPr>
        <w:t> </w:t>
      </w:r>
      <w:r>
        <w:rPr/>
        <w:t>this</w:t>
      </w:r>
      <w:r>
        <w:rPr>
          <w:spacing w:val="25"/>
        </w:rPr>
        <w:t> </w:t>
      </w:r>
      <w:r>
        <w:rPr/>
        <w:t>treatment</w:t>
      </w:r>
      <w:r>
        <w:rPr>
          <w:spacing w:val="25"/>
        </w:rPr>
        <w:t> </w:t>
      </w:r>
      <w:r>
        <w:rPr/>
        <w:t>of</w:t>
      </w:r>
      <w:r>
        <w:rPr>
          <w:spacing w:val="23"/>
        </w:rPr>
        <w:t> </w:t>
      </w:r>
      <w:r>
        <w:rPr/>
        <w:t>women’s</w:t>
      </w:r>
      <w:r>
        <w:rPr>
          <w:spacing w:val="23"/>
        </w:rPr>
        <w:t> </w:t>
      </w:r>
      <w:r>
        <w:rPr/>
        <w:t>mental</w:t>
      </w:r>
      <w:r>
        <w:rPr>
          <w:spacing w:val="25"/>
        </w:rPr>
        <w:t> </w:t>
      </w:r>
      <w:r>
        <w:rPr/>
        <w:t>health</w:t>
      </w:r>
      <w:r>
        <w:rPr>
          <w:spacing w:val="23"/>
        </w:rPr>
        <w:t> </w:t>
      </w:r>
      <w:r>
        <w:rPr/>
        <w:t>was perpetuated</w:t>
      </w:r>
      <w:r>
        <w:rPr>
          <w:spacing w:val="40"/>
        </w:rPr>
        <w:t> </w:t>
      </w:r>
      <w:r>
        <w:rPr/>
        <w:t>throughout</w:t>
      </w:r>
      <w:r>
        <w:rPr>
          <w:spacing w:val="40"/>
        </w:rPr>
        <w:t> </w:t>
      </w:r>
      <w:r>
        <w:rPr/>
        <w:t>centuries.</w:t>
      </w:r>
    </w:p>
    <w:p>
      <w:pPr>
        <w:pStyle w:val="Heading3"/>
        <w:numPr>
          <w:ilvl w:val="0"/>
          <w:numId w:val="100"/>
        </w:numPr>
        <w:tabs>
          <w:tab w:pos="1670" w:val="left" w:leader="none"/>
        </w:tabs>
        <w:spacing w:line="240" w:lineRule="auto" w:before="155" w:after="0"/>
        <w:ind w:left="1440" w:right="1439" w:firstLine="0"/>
        <w:jc w:val="left"/>
      </w:pPr>
      <w:r>
        <w:rPr>
          <w:spacing w:val="-2"/>
          <w:w w:val="90"/>
        </w:rPr>
        <w:t>OPHELIA:</w:t>
      </w:r>
      <w:r>
        <w:rPr>
          <w:spacing w:val="-14"/>
          <w:w w:val="90"/>
        </w:rPr>
        <w:t> </w:t>
      </w:r>
      <w:r>
        <w:rPr>
          <w:spacing w:val="-2"/>
          <w:w w:val="90"/>
        </w:rPr>
        <w:t>THE</w:t>
      </w:r>
      <w:r>
        <w:rPr>
          <w:spacing w:val="-14"/>
          <w:w w:val="90"/>
        </w:rPr>
        <w:t> </w:t>
      </w:r>
      <w:r>
        <w:rPr>
          <w:spacing w:val="-2"/>
          <w:w w:val="90"/>
        </w:rPr>
        <w:t>PSYCHOPATHOLOGY</w:t>
      </w:r>
      <w:r>
        <w:rPr>
          <w:spacing w:val="-14"/>
          <w:w w:val="90"/>
        </w:rPr>
        <w:t> </w:t>
      </w:r>
      <w:r>
        <w:rPr>
          <w:spacing w:val="-2"/>
          <w:w w:val="90"/>
        </w:rPr>
        <w:t>OF</w:t>
      </w:r>
      <w:r>
        <w:rPr>
          <w:spacing w:val="-14"/>
          <w:w w:val="90"/>
        </w:rPr>
        <w:t> </w:t>
      </w:r>
      <w:r>
        <w:rPr>
          <w:spacing w:val="-2"/>
          <w:w w:val="90"/>
        </w:rPr>
        <w:t>THE</w:t>
      </w:r>
      <w:r>
        <w:rPr>
          <w:spacing w:val="-14"/>
          <w:w w:val="90"/>
        </w:rPr>
        <w:t> </w:t>
      </w:r>
      <w:r>
        <w:rPr>
          <w:spacing w:val="-2"/>
          <w:w w:val="90"/>
        </w:rPr>
        <w:t>SILENCED </w:t>
      </w:r>
      <w:r>
        <w:rPr>
          <w:spacing w:val="-2"/>
          <w:w w:val="95"/>
        </w:rPr>
        <w:t>DAUGHTER</w:t>
      </w:r>
    </w:p>
    <w:p>
      <w:pPr>
        <w:pStyle w:val="BodyText"/>
        <w:spacing w:line="261" w:lineRule="auto" w:before="81"/>
        <w:ind w:right="1438" w:firstLine="432"/>
        <w:jc w:val="both"/>
      </w:pPr>
      <w:r>
        <w:rPr/>
        <w:t>Ophelia represents the most iconic representation of the “madwoman”</w:t>
      </w:r>
      <w:r>
        <w:rPr>
          <w:spacing w:val="-7"/>
        </w:rPr>
        <w:t> </w:t>
      </w:r>
      <w:r>
        <w:rPr/>
        <w:t>in</w:t>
      </w:r>
      <w:r>
        <w:rPr>
          <w:spacing w:val="-10"/>
        </w:rPr>
        <w:t> </w:t>
      </w:r>
      <w:r>
        <w:rPr/>
        <w:t>English</w:t>
      </w:r>
      <w:r>
        <w:rPr>
          <w:spacing w:val="-8"/>
        </w:rPr>
        <w:t> </w:t>
      </w:r>
      <w:r>
        <w:rPr/>
        <w:t>literature.</w:t>
      </w:r>
      <w:r>
        <w:rPr>
          <w:spacing w:val="-6"/>
        </w:rPr>
        <w:t> </w:t>
      </w:r>
      <w:r>
        <w:rPr/>
        <w:t>Her</w:t>
      </w:r>
      <w:r>
        <w:rPr>
          <w:spacing w:val="-8"/>
        </w:rPr>
        <w:t> </w:t>
      </w:r>
      <w:r>
        <w:rPr/>
        <w:t>descent</w:t>
      </w:r>
      <w:r>
        <w:rPr>
          <w:spacing w:val="-6"/>
        </w:rPr>
        <w:t> </w:t>
      </w:r>
      <w:r>
        <w:rPr/>
        <w:t>into</w:t>
      </w:r>
      <w:r>
        <w:rPr>
          <w:spacing w:val="-6"/>
        </w:rPr>
        <w:t> </w:t>
      </w:r>
      <w:r>
        <w:rPr/>
        <w:t>mental</w:t>
      </w:r>
      <w:r>
        <w:rPr>
          <w:spacing w:val="-10"/>
        </w:rPr>
        <w:t> </w:t>
      </w:r>
      <w:r>
        <w:rPr/>
        <w:t>instability</w:t>
      </w:r>
      <w:r>
        <w:rPr>
          <w:spacing w:val="-10"/>
        </w:rPr>
        <w:t> </w:t>
      </w:r>
      <w:r>
        <w:rPr/>
        <w:t>is not an internal failure but a direct result of her status as a tool for the men in her life. Her mental state is tethered entirely to her obedience. Her father, Polonius, and brother, Laertes, dictate her behavior, her speech, and her romantic life.</w:t>
      </w:r>
    </w:p>
    <w:p>
      <w:pPr>
        <w:pStyle w:val="BodyText"/>
        <w:spacing w:line="261" w:lineRule="auto" w:before="54"/>
        <w:ind w:right="1435" w:firstLine="432"/>
        <w:jc w:val="both"/>
      </w:pPr>
      <w:r>
        <w:rPr/>
        <w:t>When Hamlet—the object of her affection—rejects her and her father is subsequently killed, Ophelia is left without a “social script.” Her madness is the result of an identity that has been entirely hollowed out</w:t>
      </w:r>
      <w:r>
        <w:rPr>
          <w:spacing w:val="-1"/>
        </w:rPr>
        <w:t> </w:t>
      </w:r>
      <w:r>
        <w:rPr/>
        <w:t>by</w:t>
      </w:r>
      <w:r>
        <w:rPr>
          <w:spacing w:val="-8"/>
        </w:rPr>
        <w:t> </w:t>
      </w:r>
      <w:r>
        <w:rPr/>
        <w:t>external</w:t>
      </w:r>
      <w:r>
        <w:rPr>
          <w:spacing w:val="-1"/>
        </w:rPr>
        <w:t> </w:t>
      </w:r>
      <w:r>
        <w:rPr/>
        <w:t>control.</w:t>
      </w:r>
      <w:r>
        <w:rPr>
          <w:spacing w:val="-3"/>
        </w:rPr>
        <w:t> </w:t>
      </w:r>
      <w:r>
        <w:rPr/>
        <w:t>Once</w:t>
      </w:r>
      <w:r>
        <w:rPr>
          <w:spacing w:val="-1"/>
        </w:rPr>
        <w:t> </w:t>
      </w:r>
      <w:r>
        <w:rPr/>
        <w:t>Ophelia loses</w:t>
      </w:r>
      <w:r>
        <w:rPr>
          <w:spacing w:val="-5"/>
        </w:rPr>
        <w:t> </w:t>
      </w:r>
      <w:r>
        <w:rPr/>
        <w:t>her mind,</w:t>
      </w:r>
      <w:r>
        <w:rPr>
          <w:spacing w:val="-3"/>
        </w:rPr>
        <w:t> </w:t>
      </w:r>
      <w:r>
        <w:rPr/>
        <w:t>she paradoxically gains a voice. Her use of bawdy</w:t>
      </w:r>
      <w:r>
        <w:rPr>
          <w:spacing w:val="-1"/>
        </w:rPr>
        <w:t> </w:t>
      </w:r>
      <w:r>
        <w:rPr/>
        <w:t>songs and floral symbolism</w:t>
      </w:r>
      <w:r>
        <w:rPr>
          <w:spacing w:val="-2"/>
        </w:rPr>
        <w:t> </w:t>
      </w:r>
      <w:r>
        <w:rPr/>
        <w:t>allows her to communicate truths she was forbidden to speak while sane. The distribution of</w:t>
      </w:r>
      <w:r>
        <w:rPr>
          <w:spacing w:val="21"/>
        </w:rPr>
        <w:t> </w:t>
      </w:r>
      <w:r>
        <w:rPr/>
        <w:t>rosemary,</w:t>
      </w:r>
      <w:r>
        <w:rPr>
          <w:spacing w:val="25"/>
        </w:rPr>
        <w:t> </w:t>
      </w:r>
      <w:r>
        <w:rPr/>
        <w:t>pansies,</w:t>
      </w:r>
      <w:r>
        <w:rPr>
          <w:spacing w:val="27"/>
        </w:rPr>
        <w:t> </w:t>
      </w:r>
      <w:r>
        <w:rPr/>
        <w:t>and</w:t>
      </w:r>
      <w:r>
        <w:rPr>
          <w:spacing w:val="27"/>
        </w:rPr>
        <w:t> </w:t>
      </w:r>
      <w:r>
        <w:rPr/>
        <w:t>rue</w:t>
      </w:r>
      <w:r>
        <w:rPr>
          <w:spacing w:val="26"/>
        </w:rPr>
        <w:t> </w:t>
      </w:r>
      <w:r>
        <w:rPr/>
        <w:t>acts</w:t>
      </w:r>
      <w:r>
        <w:rPr>
          <w:spacing w:val="27"/>
        </w:rPr>
        <w:t> </w:t>
      </w:r>
      <w:r>
        <w:rPr/>
        <w:t>as</w:t>
      </w:r>
      <w:r>
        <w:rPr>
          <w:spacing w:val="25"/>
        </w:rPr>
        <w:t> </w:t>
      </w:r>
      <w:r>
        <w:rPr/>
        <w:t>a</w:t>
      </w:r>
      <w:r>
        <w:rPr>
          <w:spacing w:val="28"/>
        </w:rPr>
        <w:t> </w:t>
      </w:r>
      <w:r>
        <w:rPr/>
        <w:t>coded</w:t>
      </w:r>
      <w:r>
        <w:rPr>
          <w:spacing w:val="29"/>
        </w:rPr>
        <w:t> </w:t>
      </w:r>
      <w:r>
        <w:rPr/>
        <w:t>indictment of the individuals around her. Her death by drowning, described by Gertrude in highly anesthetized terms, highlights how society seeks to romanticize female suffering even</w:t>
      </w:r>
      <w:r>
        <w:rPr>
          <w:spacing w:val="-3"/>
        </w:rPr>
        <w:t> </w:t>
      </w:r>
      <w:r>
        <w:rPr/>
        <w:t>as</w:t>
      </w:r>
      <w:r>
        <w:rPr>
          <w:spacing w:val="-7"/>
        </w:rPr>
        <w:t> </w:t>
      </w:r>
      <w:r>
        <w:rPr/>
        <w:t>it</w:t>
      </w:r>
      <w:r>
        <w:rPr>
          <w:spacing w:val="-5"/>
        </w:rPr>
        <w:t> </w:t>
      </w:r>
      <w:r>
        <w:rPr/>
        <w:t>ignores</w:t>
      </w:r>
      <w:r>
        <w:rPr>
          <w:spacing w:val="-3"/>
        </w:rPr>
        <w:t> </w:t>
      </w:r>
      <w:r>
        <w:rPr/>
        <w:t>the</w:t>
      </w:r>
      <w:r>
        <w:rPr>
          <w:spacing w:val="-4"/>
        </w:rPr>
        <w:t> </w:t>
      </w:r>
      <w:r>
        <w:rPr/>
        <w:t>psychological</w:t>
      </w:r>
      <w:r>
        <w:rPr>
          <w:spacing w:val="-6"/>
        </w:rPr>
        <w:t> </w:t>
      </w:r>
      <w:r>
        <w:rPr/>
        <w:t>agony that</w:t>
      </w:r>
      <w:r>
        <w:rPr>
          <w:spacing w:val="40"/>
        </w:rPr>
        <w:t> </w:t>
      </w:r>
      <w:r>
        <w:rPr/>
        <w:t>led</w:t>
      </w:r>
      <w:r>
        <w:rPr>
          <w:spacing w:val="40"/>
        </w:rPr>
        <w:t> </w:t>
      </w:r>
      <w:r>
        <w:rPr/>
        <w:t>to</w:t>
      </w:r>
      <w:r>
        <w:rPr>
          <w:spacing w:val="40"/>
        </w:rPr>
        <w:t> </w:t>
      </w:r>
      <w:r>
        <w:rPr/>
        <w:t>it.</w:t>
      </w:r>
    </w:p>
    <w:p>
      <w:pPr>
        <w:pStyle w:val="Heading3"/>
        <w:numPr>
          <w:ilvl w:val="0"/>
          <w:numId w:val="100"/>
        </w:numPr>
        <w:tabs>
          <w:tab w:pos="1756" w:val="left" w:leader="none"/>
        </w:tabs>
        <w:spacing w:line="240" w:lineRule="auto" w:before="146" w:after="0"/>
        <w:ind w:left="1756" w:right="0" w:hanging="316"/>
        <w:jc w:val="left"/>
      </w:pPr>
      <w:r>
        <w:rPr>
          <w:w w:val="90"/>
        </w:rPr>
        <w:t>LADY</w:t>
      </w:r>
      <w:r>
        <w:rPr>
          <w:spacing w:val="2"/>
        </w:rPr>
        <w:t> </w:t>
      </w:r>
      <w:r>
        <w:rPr>
          <w:w w:val="90"/>
        </w:rPr>
        <w:t>MACBETH:</w:t>
      </w:r>
      <w:r>
        <w:rPr>
          <w:spacing w:val="6"/>
        </w:rPr>
        <w:t> </w:t>
      </w:r>
      <w:r>
        <w:rPr>
          <w:w w:val="90"/>
        </w:rPr>
        <w:t>THE</w:t>
      </w:r>
      <w:r>
        <w:rPr>
          <w:spacing w:val="3"/>
        </w:rPr>
        <w:t> </w:t>
      </w:r>
      <w:r>
        <w:rPr>
          <w:w w:val="90"/>
        </w:rPr>
        <w:t>SOMATIC</w:t>
      </w:r>
      <w:r>
        <w:rPr>
          <w:spacing w:val="8"/>
        </w:rPr>
        <w:t> </w:t>
      </w:r>
      <w:r>
        <w:rPr>
          <w:w w:val="90"/>
        </w:rPr>
        <w:t>COST</w:t>
      </w:r>
      <w:r>
        <w:rPr>
          <w:spacing w:val="3"/>
        </w:rPr>
        <w:t> </w:t>
      </w:r>
      <w:r>
        <w:rPr>
          <w:w w:val="90"/>
        </w:rPr>
        <w:t>OF</w:t>
      </w:r>
      <w:r>
        <w:rPr>
          <w:spacing w:val="6"/>
        </w:rPr>
        <w:t> </w:t>
      </w:r>
      <w:r>
        <w:rPr>
          <w:spacing w:val="-2"/>
          <w:w w:val="90"/>
        </w:rPr>
        <w:t>AMBITION</w:t>
      </w:r>
    </w:p>
    <w:p>
      <w:pPr>
        <w:pStyle w:val="BodyText"/>
        <w:spacing w:line="261" w:lineRule="auto" w:before="90"/>
        <w:ind w:right="1439" w:firstLine="432"/>
        <w:jc w:val="both"/>
      </w:pPr>
      <w:r>
        <w:rPr/>
        <w:t>In contrast to Ophelia’s passive fragmentation, Lady Macbeth’s </w:t>
      </w:r>
      <w:r>
        <w:rPr>
          <w:spacing w:val="-2"/>
        </w:rPr>
        <w:t>mental</w:t>
      </w:r>
      <w:r>
        <w:rPr>
          <w:spacing w:val="-6"/>
        </w:rPr>
        <w:t> </w:t>
      </w:r>
      <w:r>
        <w:rPr>
          <w:spacing w:val="-2"/>
        </w:rPr>
        <w:t>health</w:t>
      </w:r>
      <w:r>
        <w:rPr>
          <w:spacing w:val="-6"/>
        </w:rPr>
        <w:t> </w:t>
      </w:r>
      <w:r>
        <w:rPr>
          <w:spacing w:val="-2"/>
        </w:rPr>
        <w:t>decline</w:t>
      </w:r>
      <w:r>
        <w:rPr>
          <w:spacing w:val="-8"/>
        </w:rPr>
        <w:t> </w:t>
      </w:r>
      <w:r>
        <w:rPr>
          <w:spacing w:val="-2"/>
        </w:rPr>
        <w:t>is</w:t>
      </w:r>
      <w:r>
        <w:rPr>
          <w:spacing w:val="-8"/>
        </w:rPr>
        <w:t> </w:t>
      </w:r>
      <w:r>
        <w:rPr>
          <w:spacing w:val="-2"/>
        </w:rPr>
        <w:t>active</w:t>
      </w:r>
      <w:r>
        <w:rPr>
          <w:spacing w:val="-4"/>
        </w:rPr>
        <w:t> </w:t>
      </w:r>
      <w:r>
        <w:rPr>
          <w:spacing w:val="-2"/>
        </w:rPr>
        <w:t>and</w:t>
      </w:r>
      <w:r>
        <w:rPr>
          <w:spacing w:val="-4"/>
        </w:rPr>
        <w:t> </w:t>
      </w:r>
      <w:r>
        <w:rPr>
          <w:spacing w:val="-2"/>
        </w:rPr>
        <w:t>self-inflicted.</w:t>
      </w:r>
      <w:r>
        <w:rPr>
          <w:spacing w:val="-8"/>
        </w:rPr>
        <w:t> </w:t>
      </w:r>
      <w:r>
        <w:rPr>
          <w:spacing w:val="-2"/>
        </w:rPr>
        <w:t>Her</w:t>
      </w:r>
      <w:r>
        <w:rPr>
          <w:spacing w:val="-4"/>
        </w:rPr>
        <w:t> </w:t>
      </w:r>
      <w:r>
        <w:rPr>
          <w:spacing w:val="-2"/>
        </w:rPr>
        <w:t>trajectory</w:t>
      </w:r>
      <w:r>
        <w:rPr>
          <w:spacing w:val="-8"/>
        </w:rPr>
        <w:t> </w:t>
      </w:r>
      <w:r>
        <w:rPr>
          <w:spacing w:val="-2"/>
        </w:rPr>
        <w:t>represents </w:t>
      </w:r>
      <w:r>
        <w:rPr/>
        <w:t>the psychological cost of</w:t>
      </w:r>
      <w:r>
        <w:rPr>
          <w:spacing w:val="-1"/>
        </w:rPr>
        <w:t> </w:t>
      </w:r>
      <w:r>
        <w:rPr/>
        <w:t>rejecting</w:t>
      </w:r>
      <w:r>
        <w:rPr>
          <w:spacing w:val="-1"/>
        </w:rPr>
        <w:t> </w:t>
      </w:r>
      <w:r>
        <w:rPr/>
        <w:t>the “feminine” traits</w:t>
      </w:r>
      <w:r>
        <w:rPr>
          <w:spacing w:val="-1"/>
        </w:rPr>
        <w:t> </w:t>
      </w:r>
      <w:r>
        <w:rPr/>
        <w:t>of</w:t>
      </w:r>
      <w:r>
        <w:rPr>
          <w:spacing w:val="-1"/>
        </w:rPr>
        <w:t> </w:t>
      </w:r>
      <w:r>
        <w:rPr/>
        <w:t>empathy</w:t>
      </w:r>
      <w:r>
        <w:rPr>
          <w:spacing w:val="-3"/>
        </w:rPr>
        <w:t> </w:t>
      </w:r>
      <w:r>
        <w:rPr/>
        <w:t>and nurturance.</w:t>
      </w:r>
      <w:r>
        <w:rPr>
          <w:spacing w:val="-6"/>
        </w:rPr>
        <w:t> </w:t>
      </w:r>
      <w:r>
        <w:rPr/>
        <w:t>By</w:t>
      </w:r>
      <w:r>
        <w:rPr>
          <w:spacing w:val="-10"/>
        </w:rPr>
        <w:t> </w:t>
      </w:r>
      <w:r>
        <w:rPr/>
        <w:t>calling</w:t>
      </w:r>
      <w:r>
        <w:rPr>
          <w:spacing w:val="-6"/>
        </w:rPr>
        <w:t> </w:t>
      </w:r>
      <w:r>
        <w:rPr/>
        <w:t>upon</w:t>
      </w:r>
      <w:r>
        <w:rPr>
          <w:spacing w:val="-8"/>
        </w:rPr>
        <w:t> </w:t>
      </w:r>
      <w:r>
        <w:rPr/>
        <w:t>spirits</w:t>
      </w:r>
      <w:r>
        <w:rPr>
          <w:spacing w:val="-6"/>
        </w:rPr>
        <w:t> </w:t>
      </w:r>
      <w:r>
        <w:rPr/>
        <w:t>to</w:t>
      </w:r>
      <w:r>
        <w:rPr>
          <w:spacing w:val="-5"/>
        </w:rPr>
        <w:t> </w:t>
      </w:r>
      <w:r>
        <w:rPr/>
        <w:t>“unsex”</w:t>
      </w:r>
      <w:r>
        <w:rPr>
          <w:spacing w:val="-6"/>
        </w:rPr>
        <w:t> </w:t>
      </w:r>
      <w:r>
        <w:rPr/>
        <w:t>her</w:t>
      </w:r>
      <w:r>
        <w:rPr>
          <w:spacing w:val="-6"/>
        </w:rPr>
        <w:t> </w:t>
      </w:r>
      <w:r>
        <w:rPr/>
        <w:t>and</w:t>
      </w:r>
      <w:r>
        <w:rPr>
          <w:spacing w:val="-6"/>
        </w:rPr>
        <w:t> </w:t>
      </w:r>
      <w:r>
        <w:rPr/>
        <w:t>take</w:t>
      </w:r>
      <w:r>
        <w:rPr>
          <w:spacing w:val="-6"/>
        </w:rPr>
        <w:t> </w:t>
      </w:r>
      <w:r>
        <w:rPr/>
        <w:t>her</w:t>
      </w:r>
      <w:r>
        <w:rPr>
          <w:spacing w:val="-5"/>
        </w:rPr>
        <w:t> </w:t>
      </w:r>
      <w:r>
        <w:rPr/>
        <w:t>“milk</w:t>
      </w:r>
      <w:r>
        <w:rPr>
          <w:spacing w:val="-6"/>
        </w:rPr>
        <w:t> </w:t>
      </w:r>
      <w:r>
        <w:rPr/>
        <w:t>for gall,” Lady Macbeth attempts to bypass the mental vulnerability she associates</w:t>
      </w:r>
      <w:r>
        <w:rPr>
          <w:spacing w:val="40"/>
        </w:rPr>
        <w:t> </w:t>
      </w:r>
      <w:r>
        <w:rPr/>
        <w:t>with</w:t>
      </w:r>
      <w:r>
        <w:rPr>
          <w:spacing w:val="40"/>
        </w:rPr>
        <w:t> </w:t>
      </w:r>
      <w:r>
        <w:rPr/>
        <w:t>her</w:t>
      </w:r>
      <w:r>
        <w:rPr>
          <w:spacing w:val="40"/>
        </w:rPr>
        <w:t> </w:t>
      </w:r>
      <w:r>
        <w:rPr/>
        <w:t>gender.</w:t>
      </w:r>
    </w:p>
    <w:p>
      <w:pPr>
        <w:pStyle w:val="BodyText"/>
        <w:spacing w:line="261" w:lineRule="auto" w:before="53"/>
        <w:ind w:right="1440" w:firstLine="432"/>
        <w:jc w:val="both"/>
      </w:pPr>
      <w:r>
        <w:rPr/>
        <w:t>However, the play suggests that the human psyche cannot be so easily rewired. Her eventual collapse proves that her ambition was at odds with her moral subconscious. Lady Macbeth’s mental health is </w:t>
      </w:r>
      <w:r>
        <w:rPr>
          <w:spacing w:val="-2"/>
        </w:rPr>
        <w:t>externalized through somnambulism and obsessive-compulsive gestures. </w:t>
      </w:r>
      <w:r>
        <w:rPr/>
        <w:t>The</w:t>
      </w:r>
      <w:r>
        <w:rPr>
          <w:spacing w:val="-5"/>
        </w:rPr>
        <w:t> </w:t>
      </w:r>
      <w:r>
        <w:rPr/>
        <w:t>famous</w:t>
      </w:r>
      <w:r>
        <w:rPr>
          <w:spacing w:val="-2"/>
        </w:rPr>
        <w:t> </w:t>
      </w:r>
      <w:r>
        <w:rPr/>
        <w:t>scene</w:t>
      </w:r>
      <w:r>
        <w:rPr>
          <w:spacing w:val="-6"/>
        </w:rPr>
        <w:t> </w:t>
      </w:r>
      <w:r>
        <w:rPr/>
        <w:t>in</w:t>
      </w:r>
      <w:r>
        <w:rPr>
          <w:spacing w:val="-4"/>
        </w:rPr>
        <w:t> </w:t>
      </w:r>
      <w:r>
        <w:rPr/>
        <w:t>which</w:t>
      </w:r>
      <w:r>
        <w:rPr>
          <w:spacing w:val="-6"/>
        </w:rPr>
        <w:t> </w:t>
      </w:r>
      <w:r>
        <w:rPr/>
        <w:t>she</w:t>
      </w:r>
      <w:r>
        <w:rPr>
          <w:spacing w:val="-1"/>
        </w:rPr>
        <w:t> </w:t>
      </w:r>
      <w:r>
        <w:rPr/>
        <w:t>attempts</w:t>
      </w:r>
      <w:r>
        <w:rPr>
          <w:spacing w:val="-6"/>
        </w:rPr>
        <w:t> </w:t>
      </w:r>
      <w:r>
        <w:rPr/>
        <w:t>to</w:t>
      </w:r>
      <w:r>
        <w:rPr>
          <w:spacing w:val="-2"/>
        </w:rPr>
        <w:t> </w:t>
      </w:r>
      <w:r>
        <w:rPr/>
        <w:t>wash</w:t>
      </w:r>
      <w:r>
        <w:rPr>
          <w:spacing w:val="-6"/>
        </w:rPr>
        <w:t> </w:t>
      </w:r>
      <w:r>
        <w:rPr/>
        <w:t>an</w:t>
      </w:r>
      <w:r>
        <w:rPr>
          <w:spacing w:val="-4"/>
        </w:rPr>
        <w:t> </w:t>
      </w:r>
      <w:r>
        <w:rPr/>
        <w:t>invisible</w:t>
      </w:r>
      <w:r>
        <w:rPr>
          <w:spacing w:val="-5"/>
        </w:rPr>
        <w:t> </w:t>
      </w:r>
      <w:r>
        <w:rPr/>
        <w:t>bloodstain from her hands is a classic study in psychosomatic trauma. Her mind, having suppressed the guilt of regicide during the day, finds its voice during</w:t>
      </w:r>
      <w:r>
        <w:rPr>
          <w:spacing w:val="23"/>
        </w:rPr>
        <w:t> </w:t>
      </w:r>
      <w:r>
        <w:rPr/>
        <w:t>the</w:t>
      </w:r>
      <w:r>
        <w:rPr>
          <w:spacing w:val="23"/>
        </w:rPr>
        <w:t> </w:t>
      </w:r>
      <w:r>
        <w:rPr/>
        <w:t>night.</w:t>
      </w:r>
      <w:r>
        <w:rPr>
          <w:spacing w:val="11"/>
        </w:rPr>
        <w:t> </w:t>
      </w:r>
      <w:r>
        <w:rPr/>
        <w:t>As</w:t>
      </w:r>
      <w:r>
        <w:rPr>
          <w:spacing w:val="23"/>
        </w:rPr>
        <w:t> </w:t>
      </w:r>
      <w:r>
        <w:rPr/>
        <w:t>Macbeth</w:t>
      </w:r>
      <w:r>
        <w:rPr>
          <w:spacing w:val="22"/>
        </w:rPr>
        <w:t> </w:t>
      </w:r>
      <w:r>
        <w:rPr/>
        <w:t>descends</w:t>
      </w:r>
      <w:r>
        <w:rPr>
          <w:spacing w:val="21"/>
        </w:rPr>
        <w:t> </w:t>
      </w:r>
      <w:r>
        <w:rPr/>
        <w:t>into</w:t>
      </w:r>
      <w:r>
        <w:rPr>
          <w:spacing w:val="26"/>
        </w:rPr>
        <w:t> </w:t>
      </w:r>
      <w:r>
        <w:rPr/>
        <w:t>his</w:t>
      </w:r>
      <w:r>
        <w:rPr>
          <w:spacing w:val="23"/>
        </w:rPr>
        <w:t> </w:t>
      </w:r>
      <w:r>
        <w:rPr/>
        <w:t>own</w:t>
      </w:r>
      <w:r>
        <w:rPr>
          <w:spacing w:val="20"/>
        </w:rPr>
        <w:t> </w:t>
      </w:r>
      <w:r>
        <w:rPr/>
        <w:t>brand</w:t>
      </w:r>
      <w:r>
        <w:rPr>
          <w:spacing w:val="25"/>
        </w:rPr>
        <w:t> </w:t>
      </w:r>
      <w:r>
        <w:rPr/>
        <w:t>of</w:t>
      </w:r>
      <w:r>
        <w:rPr>
          <w:spacing w:val="22"/>
        </w:rPr>
        <w:t> </w:t>
      </w:r>
      <w:r>
        <w:rPr>
          <w:spacing w:val="-2"/>
        </w:rPr>
        <w:t>violent</w:t>
      </w:r>
    </w:p>
    <w:p>
      <w:pPr>
        <w:pStyle w:val="BodyText"/>
        <w:spacing w:after="0" w:line="261" w:lineRule="auto"/>
        <w:jc w:val="both"/>
        <w:sectPr>
          <w:pgSz w:w="12240" w:h="15840"/>
          <w:pgMar w:top="1820" w:bottom="280" w:left="1800" w:right="1800"/>
        </w:sectPr>
      </w:pPr>
    </w:p>
    <w:p>
      <w:pPr>
        <w:tabs>
          <w:tab w:pos="7194" w:val="right" w:leader="none"/>
        </w:tabs>
        <w:spacing w:before="996"/>
        <w:ind w:left="1440" w:right="0" w:firstLine="0"/>
        <w:jc w:val="left"/>
        <w:rPr>
          <w:rFonts w:ascii="Verdana" w:hAnsi="Verdana"/>
          <w:sz w:val="18"/>
        </w:rPr>
      </w:pPr>
      <w:r>
        <w:rPr>
          <w:rFonts w:ascii="Verdana" w:hAnsi="Verdana"/>
          <w:sz w:val="18"/>
        </w:rPr>
        <mc:AlternateContent>
          <mc:Choice Requires="wps">
            <w:drawing>
              <wp:anchor distT="0" distB="0" distL="0" distR="0" allowOverlap="1" layoutInCell="1" locked="0" behindDoc="1" simplePos="0" relativeHeight="487941120">
                <wp:simplePos x="0" y="0"/>
                <wp:positionH relativeFrom="page">
                  <wp:posOffset>2065020</wp:posOffset>
                </wp:positionH>
                <wp:positionV relativeFrom="paragraph">
                  <wp:posOffset>795020</wp:posOffset>
                </wp:positionV>
                <wp:extent cx="3657600" cy="12700"/>
                <wp:effectExtent l="0" t="0" r="0" b="0"/>
                <wp:wrapTopAndBottom/>
                <wp:docPr id="927" name="Graphic 927"/>
                <wp:cNvGraphicFramePr>
                  <a:graphicFrameLocks/>
                </wp:cNvGraphicFramePr>
                <a:graphic>
                  <a:graphicData uri="http://schemas.microsoft.com/office/word/2010/wordprocessingShape">
                    <wps:wsp>
                      <wps:cNvPr id="927" name="Graphic 927"/>
                      <wps:cNvSpPr/>
                      <wps:spPr>
                        <a:xfrm>
                          <a:off x="0" y="0"/>
                          <a:ext cx="3657600" cy="12700"/>
                        </a:xfrm>
                        <a:custGeom>
                          <a:avLst/>
                          <a:gdLst/>
                          <a:ahLst/>
                          <a:cxnLst/>
                          <a:rect l="l" t="t" r="r" b="b"/>
                          <a:pathLst>
                            <a:path w="3657600" h="12700">
                              <a:moveTo>
                                <a:pt x="0" y="0"/>
                              </a:moveTo>
                              <a:lnTo>
                                <a:pt x="3657599" y="0"/>
                              </a:lnTo>
                              <a:lnTo>
                                <a:pt x="3657599"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600006pt;margin-top:62.600006pt;width:287.999997pt;height:.959999pt;mso-position-horizontal-relative:page;mso-position-vertical-relative:paragraph;z-index:-15375360;mso-wrap-distance-left:0;mso-wrap-distance-right:0" id="docshape918" filled="true" fillcolor="#000000" stroked="false">
                <v:fill type="solid"/>
                <w10:wrap type="topAndBottom"/>
              </v:rect>
            </w:pict>
          </mc:Fallback>
        </mc:AlternateContent>
      </w:r>
      <w:r>
        <w:rPr>
          <w:rFonts w:ascii="Verdana" w:hAnsi="Verdana"/>
          <w:sz w:val="18"/>
        </w:rPr>
        <w:t>Women</w:t>
      </w:r>
      <w:r>
        <w:rPr>
          <w:rFonts w:ascii="Verdana" w:hAnsi="Verdana"/>
          <w:spacing w:val="11"/>
          <w:sz w:val="18"/>
        </w:rPr>
        <w:t> </w:t>
      </w:r>
      <w:r>
        <w:rPr>
          <w:rFonts w:ascii="Verdana" w:hAnsi="Verdana"/>
          <w:sz w:val="18"/>
        </w:rPr>
        <w:t>and</w:t>
      </w:r>
      <w:r>
        <w:rPr>
          <w:rFonts w:ascii="Verdana" w:hAnsi="Verdana"/>
          <w:spacing w:val="11"/>
          <w:sz w:val="18"/>
        </w:rPr>
        <w:t> </w:t>
      </w:r>
      <w:r>
        <w:rPr>
          <w:rFonts w:ascii="Verdana" w:hAnsi="Verdana"/>
          <w:sz w:val="18"/>
        </w:rPr>
        <w:t>Mental</w:t>
      </w:r>
      <w:r>
        <w:rPr>
          <w:rFonts w:ascii="Verdana" w:hAnsi="Verdana"/>
          <w:spacing w:val="12"/>
          <w:sz w:val="18"/>
        </w:rPr>
        <w:t> </w:t>
      </w:r>
      <w:r>
        <w:rPr>
          <w:rFonts w:ascii="Verdana" w:hAnsi="Verdana"/>
          <w:sz w:val="18"/>
        </w:rPr>
        <w:t>Health</w:t>
      </w:r>
      <w:r>
        <w:rPr>
          <w:rFonts w:ascii="Verdana" w:hAnsi="Verdana"/>
          <w:spacing w:val="13"/>
          <w:sz w:val="18"/>
        </w:rPr>
        <w:t> </w:t>
      </w:r>
      <w:r>
        <w:rPr>
          <w:rFonts w:ascii="Verdana" w:hAnsi="Verdana"/>
          <w:sz w:val="18"/>
        </w:rPr>
        <w:t>in</w:t>
      </w:r>
      <w:r>
        <w:rPr>
          <w:rFonts w:ascii="Verdana" w:hAnsi="Verdana"/>
          <w:spacing w:val="13"/>
          <w:sz w:val="18"/>
        </w:rPr>
        <w:t> </w:t>
      </w:r>
      <w:r>
        <w:rPr>
          <w:rFonts w:ascii="Verdana" w:hAnsi="Verdana"/>
          <w:sz w:val="18"/>
        </w:rPr>
        <w:t>Shakespeare’s</w:t>
      </w:r>
      <w:r>
        <w:rPr>
          <w:rFonts w:ascii="Verdana" w:hAnsi="Verdana"/>
          <w:spacing w:val="13"/>
          <w:sz w:val="18"/>
        </w:rPr>
        <w:t> </w:t>
      </w:r>
      <w:r>
        <w:rPr>
          <w:rFonts w:ascii="Verdana" w:hAnsi="Verdana"/>
          <w:spacing w:val="-4"/>
          <w:sz w:val="18"/>
        </w:rPr>
        <w:t>Plays</w:t>
      </w:r>
      <w:r>
        <w:rPr>
          <w:sz w:val="18"/>
        </w:rPr>
        <w:tab/>
      </w:r>
      <w:r>
        <w:rPr>
          <w:rFonts w:ascii="Verdana" w:hAnsi="Verdana"/>
          <w:spacing w:val="-5"/>
          <w:sz w:val="18"/>
        </w:rPr>
        <w:t>491</w:t>
      </w:r>
    </w:p>
    <w:p>
      <w:pPr>
        <w:pStyle w:val="BodyText"/>
        <w:spacing w:line="261" w:lineRule="auto" w:before="199"/>
        <w:ind w:right="1437"/>
      </w:pPr>
      <w:r>
        <w:rPr/>
        <w:t>paranoia, he stops confiding in his wife, and this isolation accelerates her mental decline.</w:t>
      </w:r>
    </w:p>
    <w:p>
      <w:pPr>
        <w:pStyle w:val="Heading3"/>
        <w:numPr>
          <w:ilvl w:val="0"/>
          <w:numId w:val="100"/>
        </w:numPr>
        <w:tabs>
          <w:tab w:pos="1810" w:val="left" w:leader="none"/>
        </w:tabs>
        <w:spacing w:line="240" w:lineRule="auto" w:before="144" w:after="0"/>
        <w:ind w:left="1810" w:right="0" w:hanging="370"/>
        <w:jc w:val="left"/>
      </w:pPr>
      <w:r>
        <w:rPr>
          <w:w w:val="90"/>
        </w:rPr>
        <w:t>CONTEXTUALIZING</w:t>
      </w:r>
      <w:r>
        <w:rPr>
          <w:spacing w:val="10"/>
        </w:rPr>
        <w:t> </w:t>
      </w:r>
      <w:r>
        <w:rPr>
          <w:w w:val="90"/>
        </w:rPr>
        <w:t>GENDERED</w:t>
      </w:r>
      <w:r>
        <w:rPr>
          <w:spacing w:val="10"/>
        </w:rPr>
        <w:t> </w:t>
      </w:r>
      <w:r>
        <w:rPr>
          <w:spacing w:val="-2"/>
          <w:w w:val="90"/>
        </w:rPr>
        <w:t>MADNESS</w:t>
      </w:r>
    </w:p>
    <w:p>
      <w:pPr>
        <w:pStyle w:val="BodyText"/>
        <w:spacing w:line="276" w:lineRule="auto" w:before="93"/>
        <w:ind w:right="1439" w:firstLine="432"/>
        <w:jc w:val="both"/>
      </w:pPr>
      <w:r>
        <w:rPr/>
        <w:t>The portrayal of mental health in Shakespeare’s plays suggests a clear</w:t>
      </w:r>
      <w:r>
        <w:rPr>
          <w:spacing w:val="-13"/>
        </w:rPr>
        <w:t> </w:t>
      </w:r>
      <w:r>
        <w:rPr/>
        <w:t>gendered</w:t>
      </w:r>
      <w:r>
        <w:rPr>
          <w:spacing w:val="-12"/>
        </w:rPr>
        <w:t> </w:t>
      </w:r>
      <w:r>
        <w:rPr/>
        <w:t>divide</w:t>
      </w:r>
      <w:r>
        <w:rPr>
          <w:spacing w:val="-11"/>
        </w:rPr>
        <w:t> </w:t>
      </w:r>
      <w:r>
        <w:rPr/>
        <w:t>in</w:t>
      </w:r>
      <w:r>
        <w:rPr>
          <w:spacing w:val="-13"/>
        </w:rPr>
        <w:t> </w:t>
      </w:r>
      <w:r>
        <w:rPr/>
        <w:t>how</w:t>
      </w:r>
      <w:r>
        <w:rPr>
          <w:spacing w:val="-12"/>
        </w:rPr>
        <w:t> </w:t>
      </w:r>
      <w:r>
        <w:rPr/>
        <w:t>suffering</w:t>
      </w:r>
      <w:r>
        <w:rPr>
          <w:spacing w:val="-13"/>
        </w:rPr>
        <w:t> </w:t>
      </w:r>
      <w:r>
        <w:rPr/>
        <w:t>is</w:t>
      </w:r>
      <w:r>
        <w:rPr>
          <w:spacing w:val="-12"/>
        </w:rPr>
        <w:t> </w:t>
      </w:r>
      <w:r>
        <w:rPr/>
        <w:t>perceived</w:t>
      </w:r>
      <w:r>
        <w:rPr>
          <w:spacing w:val="-9"/>
        </w:rPr>
        <w:t> </w:t>
      </w:r>
      <w:r>
        <w:rPr/>
        <w:t>and</w:t>
      </w:r>
      <w:r>
        <w:rPr>
          <w:spacing w:val="-11"/>
        </w:rPr>
        <w:t> </w:t>
      </w:r>
      <w:r>
        <w:rPr/>
        <w:t>performed.</w:t>
      </w:r>
      <w:r>
        <w:rPr>
          <w:spacing w:val="-11"/>
        </w:rPr>
        <w:t> </w:t>
      </w:r>
      <w:r>
        <w:rPr/>
        <w:t>Male characters are often depicted as “melancholic”—a state associated with </w:t>
      </w:r>
      <w:r>
        <w:rPr>
          <w:spacing w:val="-2"/>
        </w:rPr>
        <w:t>scholars, philosophers, and deep thinkers. Female characters, conversely, </w:t>
      </w:r>
      <w:r>
        <w:rPr/>
        <w:t>are depicted as “distracted” or “hysteric,” focusing on domestic grief</w:t>
      </w:r>
      <w:r>
        <w:rPr>
          <w:spacing w:val="80"/>
        </w:rPr>
        <w:t> </w:t>
      </w:r>
      <w:r>
        <w:rPr/>
        <w:t>or romantic loss.</w:t>
      </w:r>
    </w:p>
    <w:p>
      <w:pPr>
        <w:pStyle w:val="BodyText"/>
        <w:spacing w:line="276" w:lineRule="auto" w:before="54"/>
        <w:ind w:right="1440" w:firstLine="432"/>
        <w:jc w:val="both"/>
      </w:pPr>
      <w:r>
        <w:rPr/>
        <w:t>Furthermore,</w:t>
      </w:r>
      <w:r>
        <w:rPr>
          <w:spacing w:val="-8"/>
        </w:rPr>
        <w:t> </w:t>
      </w:r>
      <w:r>
        <w:rPr/>
        <w:t>while</w:t>
      </w:r>
      <w:r>
        <w:rPr>
          <w:spacing w:val="-8"/>
        </w:rPr>
        <w:t> </w:t>
      </w:r>
      <w:r>
        <w:rPr/>
        <w:t>Hamlet’s</w:t>
      </w:r>
      <w:r>
        <w:rPr>
          <w:spacing w:val="-8"/>
        </w:rPr>
        <w:t> </w:t>
      </w:r>
      <w:r>
        <w:rPr/>
        <w:t>madness</w:t>
      </w:r>
      <w:r>
        <w:rPr>
          <w:spacing w:val="-8"/>
        </w:rPr>
        <w:t> </w:t>
      </w:r>
      <w:r>
        <w:rPr/>
        <w:t>is</w:t>
      </w:r>
      <w:r>
        <w:rPr>
          <w:spacing w:val="-7"/>
        </w:rPr>
        <w:t> </w:t>
      </w:r>
      <w:r>
        <w:rPr/>
        <w:t>a</w:t>
      </w:r>
      <w:r>
        <w:rPr>
          <w:spacing w:val="-8"/>
        </w:rPr>
        <w:t> </w:t>
      </w:r>
      <w:r>
        <w:rPr/>
        <w:t>public</w:t>
      </w:r>
      <w:r>
        <w:rPr>
          <w:spacing w:val="-8"/>
        </w:rPr>
        <w:t> </w:t>
      </w:r>
      <w:r>
        <w:rPr/>
        <w:t>performance</w:t>
      </w:r>
      <w:r>
        <w:rPr>
          <w:spacing w:val="-9"/>
        </w:rPr>
        <w:t> </w:t>
      </w:r>
      <w:r>
        <w:rPr/>
        <w:t>that affects</w:t>
      </w:r>
      <w:r>
        <w:rPr>
          <w:spacing w:val="-8"/>
        </w:rPr>
        <w:t> </w:t>
      </w:r>
      <w:r>
        <w:rPr/>
        <w:t>the</w:t>
      </w:r>
      <w:r>
        <w:rPr>
          <w:spacing w:val="-6"/>
        </w:rPr>
        <w:t> </w:t>
      </w:r>
      <w:r>
        <w:rPr/>
        <w:t>state</w:t>
      </w:r>
      <w:r>
        <w:rPr>
          <w:spacing w:val="-7"/>
        </w:rPr>
        <w:t> </w:t>
      </w:r>
      <w:r>
        <w:rPr/>
        <w:t>of</w:t>
      </w:r>
      <w:r>
        <w:rPr>
          <w:spacing w:val="-8"/>
        </w:rPr>
        <w:t> </w:t>
      </w:r>
      <w:r>
        <w:rPr/>
        <w:t>Denmark,</w:t>
      </w:r>
      <w:r>
        <w:rPr>
          <w:spacing w:val="-5"/>
        </w:rPr>
        <w:t> </w:t>
      </w:r>
      <w:r>
        <w:rPr/>
        <w:t>Ophelia’s</w:t>
      </w:r>
      <w:r>
        <w:rPr>
          <w:spacing w:val="-10"/>
        </w:rPr>
        <w:t> </w:t>
      </w:r>
      <w:r>
        <w:rPr/>
        <w:t>madness</w:t>
      </w:r>
      <w:r>
        <w:rPr>
          <w:spacing w:val="-6"/>
        </w:rPr>
        <w:t> </w:t>
      </w:r>
      <w:r>
        <w:rPr/>
        <w:t>is</w:t>
      </w:r>
      <w:r>
        <w:rPr>
          <w:spacing w:val="-8"/>
        </w:rPr>
        <w:t> </w:t>
      </w:r>
      <w:r>
        <w:rPr/>
        <w:t>a</w:t>
      </w:r>
      <w:r>
        <w:rPr>
          <w:spacing w:val="-8"/>
        </w:rPr>
        <w:t> </w:t>
      </w:r>
      <w:r>
        <w:rPr/>
        <w:t>private</w:t>
      </w:r>
      <w:r>
        <w:rPr>
          <w:spacing w:val="-4"/>
        </w:rPr>
        <w:t> </w:t>
      </w:r>
      <w:r>
        <w:rPr/>
        <w:t>tragedy</w:t>
      </w:r>
      <w:r>
        <w:rPr>
          <w:spacing w:val="-12"/>
        </w:rPr>
        <w:t> </w:t>
      </w:r>
      <w:r>
        <w:rPr/>
        <w:t>that is</w:t>
      </w:r>
      <w:r>
        <w:rPr>
          <w:spacing w:val="-5"/>
        </w:rPr>
        <w:t> </w:t>
      </w:r>
      <w:r>
        <w:rPr/>
        <w:t>ultimately</w:t>
      </w:r>
      <w:r>
        <w:rPr>
          <w:spacing w:val="-5"/>
        </w:rPr>
        <w:t> </w:t>
      </w:r>
      <w:r>
        <w:rPr/>
        <w:t>brushed</w:t>
      </w:r>
      <w:r>
        <w:rPr>
          <w:spacing w:val="-3"/>
        </w:rPr>
        <w:t> </w:t>
      </w:r>
      <w:r>
        <w:rPr/>
        <w:t>aside</w:t>
      </w:r>
      <w:r>
        <w:rPr>
          <w:spacing w:val="-3"/>
        </w:rPr>
        <w:t> </w:t>
      </w:r>
      <w:r>
        <w:rPr/>
        <w:t>as</w:t>
      </w:r>
      <w:r>
        <w:rPr>
          <w:spacing w:val="-5"/>
        </w:rPr>
        <w:t> </w:t>
      </w:r>
      <w:r>
        <w:rPr/>
        <w:t>a</w:t>
      </w:r>
      <w:r>
        <w:rPr>
          <w:spacing w:val="-2"/>
        </w:rPr>
        <w:t> </w:t>
      </w:r>
      <w:r>
        <w:rPr/>
        <w:t>“pretty”</w:t>
      </w:r>
      <w:r>
        <w:rPr>
          <w:spacing w:val="-4"/>
        </w:rPr>
        <w:t> </w:t>
      </w:r>
      <w:r>
        <w:rPr/>
        <w:t>spectacle.</w:t>
      </w:r>
      <w:r>
        <w:rPr>
          <w:spacing w:val="-3"/>
        </w:rPr>
        <w:t> </w:t>
      </w:r>
      <w:r>
        <w:rPr/>
        <w:t>While</w:t>
      </w:r>
      <w:r>
        <w:rPr>
          <w:spacing w:val="-3"/>
        </w:rPr>
        <w:t> </w:t>
      </w:r>
      <w:r>
        <w:rPr/>
        <w:t>men</w:t>
      </w:r>
      <w:r>
        <w:rPr>
          <w:spacing w:val="-3"/>
        </w:rPr>
        <w:t> </w:t>
      </w:r>
      <w:r>
        <w:rPr/>
        <w:t>use</w:t>
      </w:r>
      <w:r>
        <w:rPr>
          <w:spacing w:val="-4"/>
        </w:rPr>
        <w:t> </w:t>
      </w:r>
      <w:r>
        <w:rPr/>
        <w:t>prose and verse to explain their madness, women often lose the ability to speak coherently, relying on fragments of old ballads and folk songs. </w:t>
      </w:r>
      <w:r>
        <w:rPr>
          <w:spacing w:val="-2"/>
        </w:rPr>
        <w:t>This</w:t>
      </w:r>
      <w:r>
        <w:rPr>
          <w:spacing w:val="-11"/>
        </w:rPr>
        <w:t> </w:t>
      </w:r>
      <w:r>
        <w:rPr>
          <w:spacing w:val="-2"/>
        </w:rPr>
        <w:t>represents</w:t>
      </w:r>
      <w:r>
        <w:rPr>
          <w:spacing w:val="-9"/>
        </w:rPr>
        <w:t> </w:t>
      </w:r>
      <w:r>
        <w:rPr>
          <w:spacing w:val="-2"/>
        </w:rPr>
        <w:t>the</w:t>
      </w:r>
      <w:r>
        <w:rPr>
          <w:spacing w:val="-8"/>
        </w:rPr>
        <w:t> </w:t>
      </w:r>
      <w:r>
        <w:rPr>
          <w:spacing w:val="-2"/>
        </w:rPr>
        <w:t>total</w:t>
      </w:r>
      <w:r>
        <w:rPr>
          <w:spacing w:val="-9"/>
        </w:rPr>
        <w:t> </w:t>
      </w:r>
      <w:r>
        <w:rPr>
          <w:spacing w:val="-2"/>
        </w:rPr>
        <w:t>breakdown</w:t>
      </w:r>
      <w:r>
        <w:rPr>
          <w:spacing w:val="-10"/>
        </w:rPr>
        <w:t> </w:t>
      </w:r>
      <w:r>
        <w:rPr>
          <w:spacing w:val="-2"/>
        </w:rPr>
        <w:t>of</w:t>
      </w:r>
      <w:r>
        <w:rPr>
          <w:spacing w:val="-11"/>
        </w:rPr>
        <w:t> </w:t>
      </w:r>
      <w:r>
        <w:rPr>
          <w:spacing w:val="-2"/>
        </w:rPr>
        <w:t>the</w:t>
      </w:r>
      <w:r>
        <w:rPr>
          <w:spacing w:val="-10"/>
        </w:rPr>
        <w:t> </w:t>
      </w:r>
      <w:r>
        <w:rPr>
          <w:spacing w:val="-2"/>
        </w:rPr>
        <w:t>communicative</w:t>
      </w:r>
      <w:r>
        <w:rPr>
          <w:spacing w:val="-8"/>
        </w:rPr>
        <w:t> </w:t>
      </w:r>
      <w:r>
        <w:rPr>
          <w:spacing w:val="-2"/>
        </w:rPr>
        <w:t>bridge</w:t>
      </w:r>
      <w:r>
        <w:rPr>
          <w:spacing w:val="-8"/>
        </w:rPr>
        <w:t> </w:t>
      </w:r>
      <w:r>
        <w:rPr>
          <w:spacing w:val="-2"/>
        </w:rPr>
        <w:t>between </w:t>
      </w:r>
      <w:r>
        <w:rPr/>
        <w:t>the</w:t>
      </w:r>
      <w:r>
        <w:rPr>
          <w:spacing w:val="40"/>
        </w:rPr>
        <w:t> </w:t>
      </w:r>
      <w:r>
        <w:rPr/>
        <w:t>woman</w:t>
      </w:r>
      <w:r>
        <w:rPr>
          <w:spacing w:val="40"/>
        </w:rPr>
        <w:t> </w:t>
      </w:r>
      <w:r>
        <w:rPr/>
        <w:t>and</w:t>
      </w:r>
      <w:r>
        <w:rPr>
          <w:spacing w:val="40"/>
        </w:rPr>
        <w:t> </w:t>
      </w:r>
      <w:r>
        <w:rPr/>
        <w:t>her</w:t>
      </w:r>
      <w:r>
        <w:rPr>
          <w:spacing w:val="40"/>
        </w:rPr>
        <w:t> </w:t>
      </w:r>
      <w:r>
        <w:rPr/>
        <w:t>society.</w:t>
      </w:r>
    </w:p>
    <w:p>
      <w:pPr>
        <w:pStyle w:val="ListParagraph"/>
        <w:numPr>
          <w:ilvl w:val="0"/>
          <w:numId w:val="100"/>
        </w:numPr>
        <w:tabs>
          <w:tab w:pos="2139" w:val="left" w:leader="none"/>
        </w:tabs>
        <w:spacing w:line="276" w:lineRule="auto" w:before="55" w:after="0"/>
        <w:ind w:left="1440" w:right="1437" w:firstLine="432"/>
        <w:jc w:val="both"/>
        <w:rPr>
          <w:sz w:val="20"/>
        </w:rPr>
      </w:pPr>
      <w:r>
        <w:rPr>
          <w:sz w:val="20"/>
        </w:rPr>
        <w:t>ConclusionA close reading of women and mental health in Shakespeare reveals that the “madness” of characters like Ophelia and Lady Macbeth is not a defect of character, but a reaction to an environment that offers no healthy outlet for female trauma. Ophelia breaks because she is too compliant; Lady Macbeth breaks because she tries to be too ruthless. In both cases, the “loss of mind” is the only space left for these women to exist outside the rigid definitions of their social roles. Shakespeare’s plays suggest that until women are granted agency in their lives, their psychological health will remain a casualty of</w:t>
      </w:r>
      <w:r>
        <w:rPr>
          <w:spacing w:val="40"/>
          <w:sz w:val="20"/>
        </w:rPr>
        <w:t> </w:t>
      </w:r>
      <w:r>
        <w:rPr>
          <w:sz w:val="20"/>
        </w:rPr>
        <w:t>the</w:t>
      </w:r>
      <w:r>
        <w:rPr>
          <w:spacing w:val="40"/>
          <w:sz w:val="20"/>
        </w:rPr>
        <w:t> </w:t>
      </w:r>
      <w:r>
        <w:rPr>
          <w:sz w:val="20"/>
        </w:rPr>
        <w:t>structures</w:t>
      </w:r>
      <w:r>
        <w:rPr>
          <w:spacing w:val="40"/>
          <w:sz w:val="20"/>
        </w:rPr>
        <w:t> </w:t>
      </w:r>
      <w:r>
        <w:rPr>
          <w:sz w:val="20"/>
        </w:rPr>
        <w:t>that</w:t>
      </w:r>
      <w:r>
        <w:rPr>
          <w:spacing w:val="40"/>
          <w:sz w:val="20"/>
        </w:rPr>
        <w:t> </w:t>
      </w:r>
      <w:r>
        <w:rPr>
          <w:sz w:val="20"/>
        </w:rPr>
        <w:t>govern</w:t>
      </w:r>
      <w:r>
        <w:rPr>
          <w:spacing w:val="40"/>
          <w:sz w:val="20"/>
        </w:rPr>
        <w:t> </w:t>
      </w:r>
      <w:r>
        <w:rPr>
          <w:sz w:val="20"/>
        </w:rPr>
        <w:t>them.</w:t>
      </w:r>
    </w:p>
    <w:p>
      <w:pPr>
        <w:pStyle w:val="BodyText"/>
        <w:spacing w:line="276" w:lineRule="auto" w:before="52"/>
        <w:ind w:right="1438" w:firstLine="432"/>
        <w:jc w:val="both"/>
      </w:pPr>
      <w:r>
        <w:rPr/>
        <w:t>Footnotes1. Somatic Discourse: In early modern medical texts, “hysteria” was literally believed to be the “wandering of the womb,” a concept Shakespeare alludes to when characters mention Hysterica passio.2. The Floral Code: Ophelia’s flowers were not random; for example, “Rue” symbolized repentance and was also used as an abortifacient, suggesting her “madness” touched on deep-seated fears regarding</w:t>
      </w:r>
      <w:r>
        <w:rPr>
          <w:spacing w:val="-4"/>
        </w:rPr>
        <w:t> </w:t>
      </w:r>
      <w:r>
        <w:rPr/>
        <w:t>female sexuality.3.</w:t>
      </w:r>
      <w:r>
        <w:rPr>
          <w:spacing w:val="-4"/>
        </w:rPr>
        <w:t> </w:t>
      </w:r>
      <w:r>
        <w:rPr/>
        <w:t>The</w:t>
      </w:r>
      <w:r>
        <w:rPr>
          <w:spacing w:val="-1"/>
        </w:rPr>
        <w:t> </w:t>
      </w:r>
      <w:r>
        <w:rPr/>
        <w:t>Sleepwalking</w:t>
      </w:r>
      <w:r>
        <w:rPr>
          <w:spacing w:val="-4"/>
        </w:rPr>
        <w:t> </w:t>
      </w:r>
      <w:r>
        <w:rPr/>
        <w:t>Scene:</w:t>
      </w:r>
      <w:r>
        <w:rPr>
          <w:spacing w:val="-2"/>
        </w:rPr>
        <w:t> </w:t>
      </w:r>
      <w:r>
        <w:rPr/>
        <w:t>This</w:t>
      </w:r>
      <w:r>
        <w:rPr>
          <w:spacing w:val="-2"/>
        </w:rPr>
        <w:t> </w:t>
      </w:r>
      <w:r>
        <w:rPr/>
        <w:t>was</w:t>
      </w:r>
      <w:r>
        <w:rPr>
          <w:spacing w:val="-1"/>
        </w:rPr>
        <w:t> </w:t>
      </w:r>
      <w:r>
        <w:rPr/>
        <w:t>one</w:t>
      </w:r>
      <w:r>
        <w:rPr>
          <w:spacing w:val="-2"/>
        </w:rPr>
        <w:t> </w:t>
      </w:r>
      <w:r>
        <w:rPr/>
        <w:t>of the first dramatic portrayals of what we might now classify as Post-Traumatic Stress</w:t>
      </w:r>
      <w:r>
        <w:rPr>
          <w:spacing w:val="40"/>
        </w:rPr>
        <w:t> </w:t>
      </w:r>
      <w:r>
        <w:rPr/>
        <w:t>Disorder (PTSD) or a “dissociative</w:t>
      </w:r>
      <w:r>
        <w:rPr>
          <w:spacing w:val="40"/>
        </w:rPr>
        <w:t> </w:t>
      </w:r>
      <w:r>
        <w:rPr/>
        <w:t>fugue state.”</w:t>
      </w:r>
    </w:p>
    <w:p>
      <w:pPr>
        <w:pStyle w:val="BodyText"/>
        <w:spacing w:after="0" w:line="276" w:lineRule="auto"/>
        <w:jc w:val="both"/>
        <w:sectPr>
          <w:pgSz w:w="12240" w:h="15840"/>
          <w:pgMar w:top="1820" w:bottom="280" w:left="1800" w:right="1800"/>
        </w:sectPr>
      </w:pPr>
    </w:p>
    <w:p>
      <w:pPr>
        <w:pStyle w:val="BodyText"/>
        <w:ind w:left="0"/>
      </w:pPr>
    </w:p>
    <w:p>
      <w:pPr>
        <w:pStyle w:val="BodyText"/>
        <w:ind w:left="0"/>
      </w:pPr>
    </w:p>
    <w:p>
      <w:pPr>
        <w:pStyle w:val="BodyText"/>
        <w:spacing w:before="206"/>
        <w:ind w:left="0"/>
      </w:pPr>
    </w:p>
    <w:p>
      <w:pPr>
        <w:pStyle w:val="BodyText"/>
        <w:spacing w:after="0"/>
        <w:sectPr>
          <w:pgSz w:w="12240" w:h="15840"/>
          <w:pgMar w:top="1820" w:bottom="280" w:left="1800" w:right="1800"/>
        </w:sectPr>
      </w:pPr>
    </w:p>
    <w:p>
      <w:pPr>
        <w:spacing w:before="100"/>
        <w:ind w:left="1440" w:right="0" w:firstLine="0"/>
        <w:jc w:val="left"/>
        <w:rPr>
          <w:rFonts w:ascii="Verdana"/>
          <w:sz w:val="18"/>
        </w:rPr>
      </w:pPr>
      <w:r>
        <w:rPr>
          <w:rFonts w:ascii="Verdana"/>
          <w:sz w:val="18"/>
        </w:rPr>
        <mc:AlternateContent>
          <mc:Choice Requires="wps">
            <w:drawing>
              <wp:anchor distT="0" distB="0" distL="0" distR="0" allowOverlap="1" layoutInCell="1" locked="0" behindDoc="0" simplePos="0" relativeHeight="16082432">
                <wp:simplePos x="0" y="0"/>
                <wp:positionH relativeFrom="page">
                  <wp:posOffset>2057400</wp:posOffset>
                </wp:positionH>
                <wp:positionV relativeFrom="paragraph">
                  <wp:posOffset>226097</wp:posOffset>
                </wp:positionV>
                <wp:extent cx="3657600" cy="12700"/>
                <wp:effectExtent l="0" t="0" r="0" b="0"/>
                <wp:wrapNone/>
                <wp:docPr id="928" name="Graphic 928"/>
                <wp:cNvGraphicFramePr>
                  <a:graphicFrameLocks/>
                </wp:cNvGraphicFramePr>
                <a:graphic>
                  <a:graphicData uri="http://schemas.microsoft.com/office/word/2010/wordprocessingShape">
                    <wps:wsp>
                      <wps:cNvPr id="928" name="Graphic 928"/>
                      <wps:cNvSpPr/>
                      <wps:spPr>
                        <a:xfrm>
                          <a:off x="0" y="0"/>
                          <a:ext cx="3657600" cy="12700"/>
                        </a:xfrm>
                        <a:custGeom>
                          <a:avLst/>
                          <a:gdLst/>
                          <a:ahLst/>
                          <a:cxnLst/>
                          <a:rect l="l" t="t" r="r" b="b"/>
                          <a:pathLst>
                            <a:path w="3657600" h="12700">
                              <a:moveTo>
                                <a:pt x="0" y="0"/>
                              </a:moveTo>
                              <a:lnTo>
                                <a:pt x="3657600" y="0"/>
                              </a:lnTo>
                              <a:lnTo>
                                <a:pt x="3657600" y="12191"/>
                              </a:lnTo>
                              <a:lnTo>
                                <a:pt x="0" y="12191"/>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2pt;margin-top:17.802937pt;width:288.000009pt;height:.959999pt;mso-position-horizontal-relative:page;mso-position-vertical-relative:paragraph;z-index:16082432" id="docshape919" filled="true" fillcolor="#000000" stroked="false">
                <v:fill type="solid"/>
                <w10:wrap type="none"/>
              </v:rect>
            </w:pict>
          </mc:Fallback>
        </mc:AlternateContent>
      </w:r>
      <w:r>
        <w:rPr>
          <w:rFonts w:ascii="Verdana"/>
          <w:spacing w:val="-5"/>
          <w:w w:val="95"/>
          <w:sz w:val="18"/>
        </w:rPr>
        <w:t>492</w:t>
      </w:r>
    </w:p>
    <w:p>
      <w:pPr>
        <w:pStyle w:val="BodyText"/>
        <w:spacing w:before="10"/>
        <w:ind w:left="0"/>
        <w:rPr>
          <w:rFonts w:ascii="Verdana"/>
          <w:sz w:val="18"/>
        </w:rPr>
      </w:pPr>
    </w:p>
    <w:p>
      <w:pPr>
        <w:pStyle w:val="Heading3"/>
        <w:spacing w:before="1"/>
      </w:pPr>
      <w:r>
        <w:rPr>
          <w:spacing w:val="-2"/>
          <w:w w:val="90"/>
        </w:rPr>
        <w:t>REFERENCES</w:t>
      </w:r>
    </w:p>
    <w:p>
      <w:pPr>
        <w:spacing w:before="100"/>
        <w:ind w:left="1440" w:right="0" w:firstLine="0"/>
        <w:jc w:val="left"/>
        <w:rPr>
          <w:rFonts w:ascii="Verdana"/>
          <w:sz w:val="18"/>
        </w:rPr>
      </w:pPr>
      <w:r>
        <w:rPr/>
        <w:br w:type="column"/>
      </w:r>
      <w:r>
        <w:rPr>
          <w:rFonts w:ascii="Verdana"/>
          <w:sz w:val="18"/>
        </w:rPr>
        <w:t>Gender,</w:t>
      </w:r>
      <w:r>
        <w:rPr>
          <w:rFonts w:ascii="Verdana"/>
          <w:spacing w:val="12"/>
          <w:sz w:val="18"/>
        </w:rPr>
        <w:t> </w:t>
      </w:r>
      <w:r>
        <w:rPr>
          <w:rFonts w:ascii="Verdana"/>
          <w:sz w:val="18"/>
        </w:rPr>
        <w:t>Power</w:t>
      </w:r>
      <w:r>
        <w:rPr>
          <w:rFonts w:ascii="Verdana"/>
          <w:spacing w:val="18"/>
          <w:sz w:val="18"/>
        </w:rPr>
        <w:t> </w:t>
      </w:r>
      <w:r>
        <w:rPr>
          <w:rFonts w:ascii="Verdana"/>
          <w:sz w:val="18"/>
        </w:rPr>
        <w:t>and</w:t>
      </w:r>
      <w:r>
        <w:rPr>
          <w:rFonts w:ascii="Verdana"/>
          <w:spacing w:val="13"/>
          <w:sz w:val="18"/>
        </w:rPr>
        <w:t> </w:t>
      </w:r>
      <w:r>
        <w:rPr>
          <w:rFonts w:ascii="Verdana"/>
          <w:spacing w:val="-2"/>
          <w:sz w:val="18"/>
        </w:rPr>
        <w:t>Patriarchy...</w:t>
      </w:r>
    </w:p>
    <w:p>
      <w:pPr>
        <w:spacing w:after="0"/>
        <w:jc w:val="left"/>
        <w:rPr>
          <w:rFonts w:ascii="Verdana"/>
          <w:sz w:val="18"/>
        </w:rPr>
        <w:sectPr>
          <w:type w:val="continuous"/>
          <w:pgSz w:w="12240" w:h="15840"/>
          <w:pgMar w:top="1380" w:bottom="280" w:left="1800" w:right="1800"/>
          <w:cols w:num="2" w:equalWidth="0">
            <w:col w:w="2798" w:space="82"/>
            <w:col w:w="5760"/>
          </w:cols>
        </w:sectPr>
      </w:pPr>
    </w:p>
    <w:p>
      <w:pPr>
        <w:pStyle w:val="ListParagraph"/>
        <w:numPr>
          <w:ilvl w:val="1"/>
          <w:numId w:val="100"/>
        </w:numPr>
        <w:tabs>
          <w:tab w:pos="2160" w:val="left" w:leader="none"/>
          <w:tab w:pos="2256" w:val="left" w:leader="none"/>
        </w:tabs>
        <w:spacing w:line="261" w:lineRule="auto" w:before="82" w:after="0"/>
        <w:ind w:left="2160" w:right="1441" w:hanging="315"/>
        <w:jc w:val="both"/>
        <w:rPr>
          <w:sz w:val="19"/>
        </w:rPr>
      </w:pPr>
      <w:r>
        <w:rPr>
          <w:sz w:val="19"/>
        </w:rPr>
        <w:tab/>
        <w:t>Bradley, A. C. (1904). Shakespearean Tragedy: Lectures on Hamlet,</w:t>
      </w:r>
      <w:r>
        <w:rPr>
          <w:spacing w:val="40"/>
          <w:sz w:val="19"/>
        </w:rPr>
        <w:t> </w:t>
      </w:r>
      <w:r>
        <w:rPr>
          <w:sz w:val="19"/>
        </w:rPr>
        <w:t>Othello,</w:t>
      </w:r>
      <w:r>
        <w:rPr>
          <w:spacing w:val="40"/>
          <w:sz w:val="19"/>
        </w:rPr>
        <w:t> </w:t>
      </w:r>
      <w:r>
        <w:rPr>
          <w:sz w:val="19"/>
        </w:rPr>
        <w:t>King</w:t>
      </w:r>
      <w:r>
        <w:rPr>
          <w:spacing w:val="40"/>
          <w:sz w:val="19"/>
        </w:rPr>
        <w:t> </w:t>
      </w:r>
      <w:r>
        <w:rPr>
          <w:sz w:val="19"/>
        </w:rPr>
        <w:t>Lear,</w:t>
      </w:r>
      <w:r>
        <w:rPr>
          <w:spacing w:val="40"/>
          <w:sz w:val="19"/>
        </w:rPr>
        <w:t> </w:t>
      </w:r>
      <w:r>
        <w:rPr>
          <w:sz w:val="19"/>
        </w:rPr>
        <w:t>Macbeth.</w:t>
      </w:r>
      <w:r>
        <w:rPr>
          <w:spacing w:val="40"/>
          <w:sz w:val="19"/>
        </w:rPr>
        <w:t> </w:t>
      </w:r>
      <w:r>
        <w:rPr>
          <w:sz w:val="19"/>
        </w:rPr>
        <w:t>London:</w:t>
      </w:r>
      <w:r>
        <w:rPr>
          <w:spacing w:val="40"/>
          <w:sz w:val="19"/>
        </w:rPr>
        <w:t> </w:t>
      </w:r>
      <w:r>
        <w:rPr>
          <w:sz w:val="19"/>
        </w:rPr>
        <w:t>Macmillan.</w:t>
      </w:r>
    </w:p>
    <w:p>
      <w:pPr>
        <w:pStyle w:val="ListParagraph"/>
        <w:numPr>
          <w:ilvl w:val="1"/>
          <w:numId w:val="100"/>
        </w:numPr>
        <w:tabs>
          <w:tab w:pos="2157" w:val="left" w:leader="none"/>
          <w:tab w:pos="2160" w:val="left" w:leader="none"/>
        </w:tabs>
        <w:spacing w:line="261" w:lineRule="auto" w:before="59" w:after="0"/>
        <w:ind w:left="2160" w:right="1440" w:hanging="315"/>
        <w:jc w:val="both"/>
        <w:rPr>
          <w:sz w:val="19"/>
        </w:rPr>
      </w:pPr>
      <w:r>
        <w:rPr>
          <w:sz w:val="19"/>
        </w:rPr>
        <w:t>Charney, M., &amp; Charney, H. (1977). “The Language of Madwomen</w:t>
      </w:r>
      <w:r>
        <w:rPr>
          <w:spacing w:val="25"/>
          <w:sz w:val="19"/>
        </w:rPr>
        <w:t> </w:t>
      </w:r>
      <w:r>
        <w:rPr>
          <w:sz w:val="19"/>
        </w:rPr>
        <w:t>in</w:t>
      </w:r>
      <w:r>
        <w:rPr>
          <w:spacing w:val="23"/>
          <w:sz w:val="19"/>
        </w:rPr>
        <w:t> </w:t>
      </w:r>
      <w:r>
        <w:rPr>
          <w:sz w:val="19"/>
        </w:rPr>
        <w:t>Shakespeare</w:t>
      </w:r>
      <w:r>
        <w:rPr>
          <w:spacing w:val="23"/>
          <w:sz w:val="19"/>
        </w:rPr>
        <w:t> </w:t>
      </w:r>
      <w:r>
        <w:rPr>
          <w:sz w:val="19"/>
        </w:rPr>
        <w:t>and</w:t>
      </w:r>
      <w:r>
        <w:rPr>
          <w:spacing w:val="27"/>
          <w:sz w:val="19"/>
        </w:rPr>
        <w:t> </w:t>
      </w:r>
      <w:r>
        <w:rPr>
          <w:sz w:val="19"/>
        </w:rPr>
        <w:t>His</w:t>
      </w:r>
      <w:r>
        <w:rPr>
          <w:spacing w:val="25"/>
          <w:sz w:val="19"/>
        </w:rPr>
        <w:t> </w:t>
      </w:r>
      <w:r>
        <w:rPr>
          <w:sz w:val="19"/>
        </w:rPr>
        <w:t>Fellow</w:t>
      </w:r>
      <w:r>
        <w:rPr>
          <w:spacing w:val="21"/>
          <w:sz w:val="19"/>
        </w:rPr>
        <w:t> </w:t>
      </w:r>
      <w:r>
        <w:rPr>
          <w:sz w:val="19"/>
        </w:rPr>
        <w:t>Dramatists.”</w:t>
      </w:r>
      <w:r>
        <w:rPr>
          <w:spacing w:val="25"/>
          <w:sz w:val="19"/>
        </w:rPr>
        <w:t> </w:t>
      </w:r>
      <w:r>
        <w:rPr>
          <w:sz w:val="19"/>
        </w:rPr>
        <w:t>Signs.</w:t>
      </w:r>
    </w:p>
    <w:p>
      <w:pPr>
        <w:spacing w:line="261" w:lineRule="auto" w:before="56"/>
        <w:ind w:left="2160" w:right="1443" w:hanging="272"/>
        <w:jc w:val="both"/>
        <w:rPr>
          <w:sz w:val="19"/>
        </w:rPr>
      </w:pPr>
      <w:r>
        <w:rPr>
          <w:sz w:val="19"/>
        </w:rPr>
        <w:t>3</w:t>
      </w:r>
      <w:r>
        <w:rPr>
          <w:spacing w:val="62"/>
          <w:sz w:val="19"/>
        </w:rPr>
        <w:t> </w:t>
      </w:r>
      <w:r>
        <w:rPr>
          <w:sz w:val="19"/>
        </w:rPr>
        <w:t>Greenblatt,</w:t>
      </w:r>
      <w:r>
        <w:rPr>
          <w:spacing w:val="-12"/>
          <w:sz w:val="19"/>
        </w:rPr>
        <w:t> </w:t>
      </w:r>
      <w:r>
        <w:rPr>
          <w:sz w:val="19"/>
        </w:rPr>
        <w:t>S.</w:t>
      </w:r>
      <w:r>
        <w:rPr>
          <w:spacing w:val="-12"/>
          <w:sz w:val="19"/>
        </w:rPr>
        <w:t> </w:t>
      </w:r>
      <w:r>
        <w:rPr>
          <w:sz w:val="19"/>
        </w:rPr>
        <w:t>(2004).</w:t>
      </w:r>
      <w:r>
        <w:rPr>
          <w:spacing w:val="-12"/>
          <w:sz w:val="19"/>
        </w:rPr>
        <w:t> </w:t>
      </w:r>
      <w:r>
        <w:rPr>
          <w:sz w:val="19"/>
        </w:rPr>
        <w:t>Will</w:t>
      </w:r>
      <w:r>
        <w:rPr>
          <w:spacing w:val="-11"/>
          <w:sz w:val="19"/>
        </w:rPr>
        <w:t> </w:t>
      </w:r>
      <w:r>
        <w:rPr>
          <w:sz w:val="19"/>
        </w:rPr>
        <w:t>in</w:t>
      </w:r>
      <w:r>
        <w:rPr>
          <w:spacing w:val="-12"/>
          <w:sz w:val="19"/>
        </w:rPr>
        <w:t> </w:t>
      </w:r>
      <w:r>
        <w:rPr>
          <w:sz w:val="19"/>
        </w:rPr>
        <w:t>the</w:t>
      </w:r>
      <w:r>
        <w:rPr>
          <w:spacing w:val="-12"/>
          <w:sz w:val="19"/>
        </w:rPr>
        <w:t> </w:t>
      </w:r>
      <w:r>
        <w:rPr>
          <w:sz w:val="19"/>
        </w:rPr>
        <w:t>World:</w:t>
      </w:r>
      <w:r>
        <w:rPr>
          <w:spacing w:val="-12"/>
          <w:sz w:val="19"/>
        </w:rPr>
        <w:t> </w:t>
      </w:r>
      <w:r>
        <w:rPr>
          <w:sz w:val="19"/>
        </w:rPr>
        <w:t>How</w:t>
      </w:r>
      <w:r>
        <w:rPr>
          <w:spacing w:val="-12"/>
          <w:sz w:val="19"/>
        </w:rPr>
        <w:t> </w:t>
      </w:r>
      <w:r>
        <w:rPr>
          <w:sz w:val="19"/>
        </w:rPr>
        <w:t>Shakespeare</w:t>
      </w:r>
      <w:r>
        <w:rPr>
          <w:spacing w:val="-12"/>
          <w:sz w:val="19"/>
        </w:rPr>
        <w:t> </w:t>
      </w:r>
      <w:r>
        <w:rPr>
          <w:sz w:val="19"/>
        </w:rPr>
        <w:t>Became Shakespeare.</w:t>
      </w:r>
      <w:r>
        <w:rPr>
          <w:spacing w:val="40"/>
          <w:sz w:val="19"/>
        </w:rPr>
        <w:t> </w:t>
      </w:r>
      <w:r>
        <w:rPr>
          <w:sz w:val="19"/>
        </w:rPr>
        <w:t>W.</w:t>
      </w:r>
      <w:r>
        <w:rPr>
          <w:spacing w:val="40"/>
          <w:sz w:val="19"/>
        </w:rPr>
        <w:t> </w:t>
      </w:r>
      <w:r>
        <w:rPr>
          <w:sz w:val="19"/>
        </w:rPr>
        <w:t>W.</w:t>
      </w:r>
      <w:r>
        <w:rPr>
          <w:spacing w:val="40"/>
          <w:sz w:val="19"/>
        </w:rPr>
        <w:t> </w:t>
      </w:r>
      <w:r>
        <w:rPr>
          <w:sz w:val="19"/>
        </w:rPr>
        <w:t>Norton</w:t>
      </w:r>
      <w:r>
        <w:rPr>
          <w:spacing w:val="40"/>
          <w:sz w:val="19"/>
        </w:rPr>
        <w:t> </w:t>
      </w:r>
      <w:r>
        <w:rPr>
          <w:sz w:val="19"/>
        </w:rPr>
        <w:t>&amp;</w:t>
      </w:r>
      <w:r>
        <w:rPr>
          <w:spacing w:val="40"/>
          <w:sz w:val="19"/>
        </w:rPr>
        <w:t> </w:t>
      </w:r>
      <w:r>
        <w:rPr>
          <w:sz w:val="19"/>
        </w:rPr>
        <w:t>Company.</w:t>
      </w:r>
    </w:p>
    <w:p>
      <w:pPr>
        <w:pStyle w:val="ListParagraph"/>
        <w:numPr>
          <w:ilvl w:val="0"/>
          <w:numId w:val="101"/>
        </w:numPr>
        <w:tabs>
          <w:tab w:pos="2157" w:val="left" w:leader="none"/>
          <w:tab w:pos="2160" w:val="left" w:leader="none"/>
        </w:tabs>
        <w:spacing w:line="261" w:lineRule="auto" w:before="59" w:after="0"/>
        <w:ind w:left="2160" w:right="1436" w:hanging="315"/>
        <w:jc w:val="both"/>
        <w:rPr>
          <w:sz w:val="19"/>
        </w:rPr>
      </w:pPr>
      <w:r>
        <w:rPr>
          <w:sz w:val="19"/>
        </w:rPr>
        <w:t>Neely,</w:t>
      </w:r>
      <w:r>
        <w:rPr>
          <w:spacing w:val="31"/>
          <w:sz w:val="19"/>
        </w:rPr>
        <w:t> </w:t>
      </w:r>
      <w:r>
        <w:rPr>
          <w:sz w:val="19"/>
        </w:rPr>
        <w:t>C.</w:t>
      </w:r>
      <w:r>
        <w:rPr>
          <w:spacing w:val="29"/>
          <w:sz w:val="19"/>
        </w:rPr>
        <w:t> </w:t>
      </w:r>
      <w:r>
        <w:rPr>
          <w:sz w:val="19"/>
        </w:rPr>
        <w:t>T.</w:t>
      </w:r>
      <w:r>
        <w:rPr>
          <w:spacing w:val="31"/>
          <w:sz w:val="19"/>
        </w:rPr>
        <w:t> </w:t>
      </w:r>
      <w:r>
        <w:rPr>
          <w:sz w:val="19"/>
        </w:rPr>
        <w:t>(2004).</w:t>
      </w:r>
      <w:r>
        <w:rPr>
          <w:spacing w:val="27"/>
          <w:sz w:val="19"/>
        </w:rPr>
        <w:t> </w:t>
      </w:r>
      <w:r>
        <w:rPr>
          <w:sz w:val="19"/>
        </w:rPr>
        <w:t>Distracted</w:t>
      </w:r>
      <w:r>
        <w:rPr>
          <w:spacing w:val="31"/>
          <w:sz w:val="19"/>
        </w:rPr>
        <w:t> </w:t>
      </w:r>
      <w:r>
        <w:rPr>
          <w:sz w:val="19"/>
        </w:rPr>
        <w:t>Subjects:</w:t>
      </w:r>
      <w:r>
        <w:rPr>
          <w:spacing w:val="31"/>
          <w:sz w:val="19"/>
        </w:rPr>
        <w:t> </w:t>
      </w:r>
      <w:r>
        <w:rPr>
          <w:sz w:val="19"/>
        </w:rPr>
        <w:t>Madness</w:t>
      </w:r>
      <w:r>
        <w:rPr>
          <w:spacing w:val="31"/>
          <w:sz w:val="19"/>
        </w:rPr>
        <w:t> </w:t>
      </w:r>
      <w:r>
        <w:rPr>
          <w:sz w:val="19"/>
        </w:rPr>
        <w:t>and</w:t>
      </w:r>
      <w:r>
        <w:rPr>
          <w:spacing w:val="31"/>
          <w:sz w:val="19"/>
        </w:rPr>
        <w:t> </w:t>
      </w:r>
      <w:r>
        <w:rPr>
          <w:sz w:val="19"/>
        </w:rPr>
        <w:t>Gender in Shakespeare and Early Modern Culture. Cornell University </w:t>
      </w:r>
      <w:r>
        <w:rPr>
          <w:spacing w:val="-2"/>
          <w:sz w:val="19"/>
        </w:rPr>
        <w:t>Press.</w:t>
      </w:r>
    </w:p>
    <w:p>
      <w:pPr>
        <w:pStyle w:val="ListParagraph"/>
        <w:numPr>
          <w:ilvl w:val="0"/>
          <w:numId w:val="101"/>
        </w:numPr>
        <w:tabs>
          <w:tab w:pos="2157" w:val="left" w:leader="none"/>
          <w:tab w:pos="2160" w:val="left" w:leader="none"/>
        </w:tabs>
        <w:spacing w:line="261" w:lineRule="auto" w:before="56" w:after="0"/>
        <w:ind w:left="2160" w:right="1443" w:hanging="315"/>
        <w:jc w:val="both"/>
        <w:rPr>
          <w:sz w:val="19"/>
        </w:rPr>
      </w:pPr>
      <w:r>
        <w:rPr>
          <w:sz w:val="19"/>
        </w:rPr>
        <w:t>Showalter, E. (1985). The Female Malady: Women, Madness,</w:t>
      </w:r>
      <w:r>
        <w:rPr>
          <w:spacing w:val="40"/>
          <w:sz w:val="19"/>
        </w:rPr>
        <w:t> </w:t>
      </w:r>
      <w:r>
        <w:rPr>
          <w:sz w:val="19"/>
        </w:rPr>
        <w:t>and</w:t>
      </w:r>
      <w:r>
        <w:rPr>
          <w:spacing w:val="40"/>
          <w:sz w:val="19"/>
        </w:rPr>
        <w:t> </w:t>
      </w:r>
      <w:r>
        <w:rPr>
          <w:sz w:val="19"/>
        </w:rPr>
        <w:t>English</w:t>
      </w:r>
      <w:r>
        <w:rPr>
          <w:spacing w:val="40"/>
          <w:sz w:val="19"/>
        </w:rPr>
        <w:t> </w:t>
      </w:r>
      <w:r>
        <w:rPr>
          <w:sz w:val="19"/>
        </w:rPr>
        <w:t>Culture,</w:t>
      </w:r>
      <w:r>
        <w:rPr>
          <w:spacing w:val="40"/>
          <w:sz w:val="19"/>
        </w:rPr>
        <w:t> </w:t>
      </w:r>
      <w:r>
        <w:rPr>
          <w:sz w:val="19"/>
        </w:rPr>
        <w:t>1830–1980.</w:t>
      </w:r>
      <w:r>
        <w:rPr>
          <w:spacing w:val="40"/>
          <w:sz w:val="19"/>
        </w:rPr>
        <w:t> </w:t>
      </w:r>
      <w:r>
        <w:rPr>
          <w:sz w:val="19"/>
        </w:rPr>
        <w:t>Pantheon</w:t>
      </w:r>
      <w:r>
        <w:rPr>
          <w:spacing w:val="40"/>
          <w:sz w:val="19"/>
        </w:rPr>
        <w:t> </w:t>
      </w:r>
      <w:r>
        <w:rPr>
          <w:sz w:val="19"/>
        </w:rPr>
        <w:t>Books.</w:t>
      </w:r>
    </w:p>
    <w:p>
      <w:pPr>
        <w:pStyle w:val="ListParagraph"/>
        <w:numPr>
          <w:ilvl w:val="0"/>
          <w:numId w:val="101"/>
        </w:numPr>
        <w:tabs>
          <w:tab w:pos="2157" w:val="left" w:leader="none"/>
          <w:tab w:pos="2160" w:val="left" w:leader="none"/>
        </w:tabs>
        <w:spacing w:line="261" w:lineRule="auto" w:before="59" w:after="0"/>
        <w:ind w:left="2160" w:right="1441" w:hanging="315"/>
        <w:jc w:val="both"/>
        <w:rPr>
          <w:sz w:val="19"/>
        </w:rPr>
      </w:pPr>
      <w:r>
        <w:rPr>
          <w:sz w:val="19"/>
        </w:rPr>
        <w:t>Shakespeare, W. The Complete Works of William Shakespeare. (Oxford</w:t>
      </w:r>
      <w:r>
        <w:rPr>
          <w:spacing w:val="40"/>
          <w:sz w:val="19"/>
        </w:rPr>
        <w:t> </w:t>
      </w:r>
      <w:r>
        <w:rPr>
          <w:sz w:val="19"/>
        </w:rPr>
        <w:t>University</w:t>
      </w:r>
      <w:r>
        <w:rPr>
          <w:spacing w:val="40"/>
          <w:sz w:val="19"/>
        </w:rPr>
        <w:t> </w:t>
      </w:r>
      <w:r>
        <w:rPr>
          <w:sz w:val="19"/>
        </w:rPr>
        <w:t>Press</w:t>
      </w:r>
      <w:r>
        <w:rPr>
          <w:spacing w:val="40"/>
          <w:sz w:val="19"/>
        </w:rPr>
        <w:t> </w:t>
      </w:r>
      <w:r>
        <w:rPr>
          <w:sz w:val="19"/>
        </w:rPr>
        <w:t>Edition).</w:t>
      </w:r>
    </w:p>
    <w:sectPr>
      <w:type w:val="continuous"/>
      <w:pgSz w:w="12240" w:h="15840"/>
      <w:pgMar w:top="1380" w:bottom="28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Cambria">
    <w:altName w:val="Cambria"/>
    <w:charset w:val="1"/>
    <w:family w:val="roman"/>
    <w:pitch w:val="variable"/>
  </w:font>
  <w:font w:name="SimSun-ExtB">
    <w:altName w:val="SimSun-ExtB"/>
    <w:charset w:val="1"/>
    <w:family w:val="modern"/>
    <w:pitch w:val="default"/>
  </w:font>
  <w:font w:name="Tahoma">
    <w:altName w:val="Tahom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94">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93">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92">
    <w:multiLevelType w:val="hybridMultilevel"/>
    <w:lvl w:ilvl="0">
      <w:start w:val="0"/>
      <w:numFmt w:val="bullet"/>
      <w:lvlText w:val="•"/>
      <w:lvlJc w:val="left"/>
      <w:pPr>
        <w:ind w:left="1872"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556" w:hanging="241"/>
      </w:pPr>
      <w:rPr>
        <w:rFonts w:hint="default"/>
        <w:lang w:val="en-US" w:eastAsia="en-US" w:bidi="ar-SA"/>
      </w:rPr>
    </w:lvl>
    <w:lvl w:ilvl="2">
      <w:start w:val="0"/>
      <w:numFmt w:val="bullet"/>
      <w:lvlText w:val="•"/>
      <w:lvlJc w:val="left"/>
      <w:pPr>
        <w:ind w:left="3232" w:hanging="241"/>
      </w:pPr>
      <w:rPr>
        <w:rFonts w:hint="default"/>
        <w:lang w:val="en-US" w:eastAsia="en-US" w:bidi="ar-SA"/>
      </w:rPr>
    </w:lvl>
    <w:lvl w:ilvl="3">
      <w:start w:val="0"/>
      <w:numFmt w:val="bullet"/>
      <w:lvlText w:val="•"/>
      <w:lvlJc w:val="left"/>
      <w:pPr>
        <w:ind w:left="3908" w:hanging="241"/>
      </w:pPr>
      <w:rPr>
        <w:rFonts w:hint="default"/>
        <w:lang w:val="en-US" w:eastAsia="en-US" w:bidi="ar-SA"/>
      </w:rPr>
    </w:lvl>
    <w:lvl w:ilvl="4">
      <w:start w:val="0"/>
      <w:numFmt w:val="bullet"/>
      <w:lvlText w:val="•"/>
      <w:lvlJc w:val="left"/>
      <w:pPr>
        <w:ind w:left="4584" w:hanging="241"/>
      </w:pPr>
      <w:rPr>
        <w:rFonts w:hint="default"/>
        <w:lang w:val="en-US" w:eastAsia="en-US" w:bidi="ar-SA"/>
      </w:rPr>
    </w:lvl>
    <w:lvl w:ilvl="5">
      <w:start w:val="0"/>
      <w:numFmt w:val="bullet"/>
      <w:lvlText w:val="•"/>
      <w:lvlJc w:val="left"/>
      <w:pPr>
        <w:ind w:left="5260" w:hanging="241"/>
      </w:pPr>
      <w:rPr>
        <w:rFonts w:hint="default"/>
        <w:lang w:val="en-US" w:eastAsia="en-US" w:bidi="ar-SA"/>
      </w:rPr>
    </w:lvl>
    <w:lvl w:ilvl="6">
      <w:start w:val="0"/>
      <w:numFmt w:val="bullet"/>
      <w:lvlText w:val="•"/>
      <w:lvlJc w:val="left"/>
      <w:pPr>
        <w:ind w:left="5936" w:hanging="241"/>
      </w:pPr>
      <w:rPr>
        <w:rFonts w:hint="default"/>
        <w:lang w:val="en-US" w:eastAsia="en-US" w:bidi="ar-SA"/>
      </w:rPr>
    </w:lvl>
    <w:lvl w:ilvl="7">
      <w:start w:val="0"/>
      <w:numFmt w:val="bullet"/>
      <w:lvlText w:val="•"/>
      <w:lvlJc w:val="left"/>
      <w:pPr>
        <w:ind w:left="6612" w:hanging="241"/>
      </w:pPr>
      <w:rPr>
        <w:rFonts w:hint="default"/>
        <w:lang w:val="en-US" w:eastAsia="en-US" w:bidi="ar-SA"/>
      </w:rPr>
    </w:lvl>
    <w:lvl w:ilvl="8">
      <w:start w:val="0"/>
      <w:numFmt w:val="bullet"/>
      <w:lvlText w:val="•"/>
      <w:lvlJc w:val="left"/>
      <w:pPr>
        <w:ind w:left="7288" w:hanging="241"/>
      </w:pPr>
      <w:rPr>
        <w:rFonts w:hint="default"/>
        <w:lang w:val="en-US" w:eastAsia="en-US" w:bidi="ar-SA"/>
      </w:rPr>
    </w:lvl>
  </w:abstractNum>
  <w:abstractNum w:abstractNumId="91">
    <w:multiLevelType w:val="hybridMultilevel"/>
    <w:lvl w:ilvl="0">
      <w:start w:val="1"/>
      <w:numFmt w:val="decimal"/>
      <w:lvlText w:val="%1."/>
      <w:lvlJc w:val="left"/>
      <w:pPr>
        <w:ind w:left="1735" w:hanging="296"/>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160" w:hanging="241"/>
      </w:pPr>
      <w:rPr>
        <w:rFonts w:hint="default"/>
        <w:lang w:val="en-US" w:eastAsia="en-US" w:bidi="ar-SA"/>
      </w:rPr>
    </w:lvl>
    <w:lvl w:ilvl="3">
      <w:start w:val="0"/>
      <w:numFmt w:val="bullet"/>
      <w:lvlText w:val="•"/>
      <w:lvlJc w:val="left"/>
      <w:pPr>
        <w:ind w:left="2970" w:hanging="241"/>
      </w:pPr>
      <w:rPr>
        <w:rFonts w:hint="default"/>
        <w:lang w:val="en-US" w:eastAsia="en-US" w:bidi="ar-SA"/>
      </w:rPr>
    </w:lvl>
    <w:lvl w:ilvl="4">
      <w:start w:val="0"/>
      <w:numFmt w:val="bullet"/>
      <w:lvlText w:val="•"/>
      <w:lvlJc w:val="left"/>
      <w:pPr>
        <w:ind w:left="3780" w:hanging="241"/>
      </w:pPr>
      <w:rPr>
        <w:rFonts w:hint="default"/>
        <w:lang w:val="en-US" w:eastAsia="en-US" w:bidi="ar-SA"/>
      </w:rPr>
    </w:lvl>
    <w:lvl w:ilvl="5">
      <w:start w:val="0"/>
      <w:numFmt w:val="bullet"/>
      <w:lvlText w:val="•"/>
      <w:lvlJc w:val="left"/>
      <w:pPr>
        <w:ind w:left="4590" w:hanging="241"/>
      </w:pPr>
      <w:rPr>
        <w:rFonts w:hint="default"/>
        <w:lang w:val="en-US" w:eastAsia="en-US" w:bidi="ar-SA"/>
      </w:rPr>
    </w:lvl>
    <w:lvl w:ilvl="6">
      <w:start w:val="0"/>
      <w:numFmt w:val="bullet"/>
      <w:lvlText w:val="•"/>
      <w:lvlJc w:val="left"/>
      <w:pPr>
        <w:ind w:left="5400" w:hanging="241"/>
      </w:pPr>
      <w:rPr>
        <w:rFonts w:hint="default"/>
        <w:lang w:val="en-US" w:eastAsia="en-US" w:bidi="ar-SA"/>
      </w:rPr>
    </w:lvl>
    <w:lvl w:ilvl="7">
      <w:start w:val="0"/>
      <w:numFmt w:val="bullet"/>
      <w:lvlText w:val="•"/>
      <w:lvlJc w:val="left"/>
      <w:pPr>
        <w:ind w:left="6210" w:hanging="241"/>
      </w:pPr>
      <w:rPr>
        <w:rFonts w:hint="default"/>
        <w:lang w:val="en-US" w:eastAsia="en-US" w:bidi="ar-SA"/>
      </w:rPr>
    </w:lvl>
    <w:lvl w:ilvl="8">
      <w:start w:val="0"/>
      <w:numFmt w:val="bullet"/>
      <w:lvlText w:val="•"/>
      <w:lvlJc w:val="left"/>
      <w:pPr>
        <w:ind w:left="7020" w:hanging="241"/>
      </w:pPr>
      <w:rPr>
        <w:rFonts w:hint="default"/>
        <w:lang w:val="en-US" w:eastAsia="en-US" w:bidi="ar-SA"/>
      </w:rPr>
    </w:lvl>
  </w:abstractNum>
  <w:abstractNum w:abstractNumId="89">
    <w:multiLevelType w:val="hybridMultilevel"/>
    <w:lvl w:ilvl="0">
      <w:start w:val="1"/>
      <w:numFmt w:val="decimal"/>
      <w:lvlText w:val="%1."/>
      <w:lvlJc w:val="left"/>
      <w:pPr>
        <w:ind w:left="1746" w:hanging="307"/>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160" w:hanging="241"/>
      </w:pPr>
      <w:rPr>
        <w:rFonts w:hint="default"/>
        <w:lang w:val="en-US" w:eastAsia="en-US" w:bidi="ar-SA"/>
      </w:rPr>
    </w:lvl>
    <w:lvl w:ilvl="3">
      <w:start w:val="0"/>
      <w:numFmt w:val="bullet"/>
      <w:lvlText w:val="•"/>
      <w:lvlJc w:val="left"/>
      <w:pPr>
        <w:ind w:left="2970" w:hanging="241"/>
      </w:pPr>
      <w:rPr>
        <w:rFonts w:hint="default"/>
        <w:lang w:val="en-US" w:eastAsia="en-US" w:bidi="ar-SA"/>
      </w:rPr>
    </w:lvl>
    <w:lvl w:ilvl="4">
      <w:start w:val="0"/>
      <w:numFmt w:val="bullet"/>
      <w:lvlText w:val="•"/>
      <w:lvlJc w:val="left"/>
      <w:pPr>
        <w:ind w:left="3780" w:hanging="241"/>
      </w:pPr>
      <w:rPr>
        <w:rFonts w:hint="default"/>
        <w:lang w:val="en-US" w:eastAsia="en-US" w:bidi="ar-SA"/>
      </w:rPr>
    </w:lvl>
    <w:lvl w:ilvl="5">
      <w:start w:val="0"/>
      <w:numFmt w:val="bullet"/>
      <w:lvlText w:val="•"/>
      <w:lvlJc w:val="left"/>
      <w:pPr>
        <w:ind w:left="4590" w:hanging="241"/>
      </w:pPr>
      <w:rPr>
        <w:rFonts w:hint="default"/>
        <w:lang w:val="en-US" w:eastAsia="en-US" w:bidi="ar-SA"/>
      </w:rPr>
    </w:lvl>
    <w:lvl w:ilvl="6">
      <w:start w:val="0"/>
      <w:numFmt w:val="bullet"/>
      <w:lvlText w:val="•"/>
      <w:lvlJc w:val="left"/>
      <w:pPr>
        <w:ind w:left="5400" w:hanging="241"/>
      </w:pPr>
      <w:rPr>
        <w:rFonts w:hint="default"/>
        <w:lang w:val="en-US" w:eastAsia="en-US" w:bidi="ar-SA"/>
      </w:rPr>
    </w:lvl>
    <w:lvl w:ilvl="7">
      <w:start w:val="0"/>
      <w:numFmt w:val="bullet"/>
      <w:lvlText w:val="•"/>
      <w:lvlJc w:val="left"/>
      <w:pPr>
        <w:ind w:left="6210" w:hanging="241"/>
      </w:pPr>
      <w:rPr>
        <w:rFonts w:hint="default"/>
        <w:lang w:val="en-US" w:eastAsia="en-US" w:bidi="ar-SA"/>
      </w:rPr>
    </w:lvl>
    <w:lvl w:ilvl="8">
      <w:start w:val="0"/>
      <w:numFmt w:val="bullet"/>
      <w:lvlText w:val="•"/>
      <w:lvlJc w:val="left"/>
      <w:pPr>
        <w:ind w:left="7020" w:hanging="241"/>
      </w:pPr>
      <w:rPr>
        <w:rFonts w:hint="default"/>
        <w:lang w:val="en-US" w:eastAsia="en-US" w:bidi="ar-SA"/>
      </w:rPr>
    </w:lvl>
  </w:abstractNum>
  <w:abstractNum w:abstractNumId="88">
    <w:multiLevelType w:val="hybridMultilevel"/>
    <w:lvl w:ilvl="0">
      <w:start w:val="1"/>
      <w:numFmt w:val="decimal"/>
      <w:lvlText w:val="%1."/>
      <w:lvlJc w:val="left"/>
      <w:pPr>
        <w:ind w:left="1744" w:hanging="305"/>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880" w:hanging="241"/>
      </w:pPr>
      <w:rPr>
        <w:rFonts w:hint="default"/>
        <w:lang w:val="en-US" w:eastAsia="en-US" w:bidi="ar-SA"/>
      </w:rPr>
    </w:lvl>
    <w:lvl w:ilvl="3">
      <w:start w:val="0"/>
      <w:numFmt w:val="bullet"/>
      <w:lvlText w:val="•"/>
      <w:lvlJc w:val="left"/>
      <w:pPr>
        <w:ind w:left="3600" w:hanging="241"/>
      </w:pPr>
      <w:rPr>
        <w:rFonts w:hint="default"/>
        <w:lang w:val="en-US" w:eastAsia="en-US" w:bidi="ar-SA"/>
      </w:rPr>
    </w:lvl>
    <w:lvl w:ilvl="4">
      <w:start w:val="0"/>
      <w:numFmt w:val="bullet"/>
      <w:lvlText w:val="•"/>
      <w:lvlJc w:val="left"/>
      <w:pPr>
        <w:ind w:left="4320" w:hanging="241"/>
      </w:pPr>
      <w:rPr>
        <w:rFonts w:hint="default"/>
        <w:lang w:val="en-US" w:eastAsia="en-US" w:bidi="ar-SA"/>
      </w:rPr>
    </w:lvl>
    <w:lvl w:ilvl="5">
      <w:start w:val="0"/>
      <w:numFmt w:val="bullet"/>
      <w:lvlText w:val="•"/>
      <w:lvlJc w:val="left"/>
      <w:pPr>
        <w:ind w:left="5040" w:hanging="241"/>
      </w:pPr>
      <w:rPr>
        <w:rFonts w:hint="default"/>
        <w:lang w:val="en-US" w:eastAsia="en-US" w:bidi="ar-SA"/>
      </w:rPr>
    </w:lvl>
    <w:lvl w:ilvl="6">
      <w:start w:val="0"/>
      <w:numFmt w:val="bullet"/>
      <w:lvlText w:val="•"/>
      <w:lvlJc w:val="left"/>
      <w:pPr>
        <w:ind w:left="5760" w:hanging="241"/>
      </w:pPr>
      <w:rPr>
        <w:rFonts w:hint="default"/>
        <w:lang w:val="en-US" w:eastAsia="en-US" w:bidi="ar-SA"/>
      </w:rPr>
    </w:lvl>
    <w:lvl w:ilvl="7">
      <w:start w:val="0"/>
      <w:numFmt w:val="bullet"/>
      <w:lvlText w:val="•"/>
      <w:lvlJc w:val="left"/>
      <w:pPr>
        <w:ind w:left="6480" w:hanging="241"/>
      </w:pPr>
      <w:rPr>
        <w:rFonts w:hint="default"/>
        <w:lang w:val="en-US" w:eastAsia="en-US" w:bidi="ar-SA"/>
      </w:rPr>
    </w:lvl>
    <w:lvl w:ilvl="8">
      <w:start w:val="0"/>
      <w:numFmt w:val="bullet"/>
      <w:lvlText w:val="•"/>
      <w:lvlJc w:val="left"/>
      <w:pPr>
        <w:ind w:left="7200" w:hanging="241"/>
      </w:pPr>
      <w:rPr>
        <w:rFonts w:hint="default"/>
        <w:lang w:val="en-US" w:eastAsia="en-US" w:bidi="ar-SA"/>
      </w:rPr>
    </w:lvl>
  </w:abstractNum>
  <w:abstractNum w:abstractNumId="84">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1"/>
      <w:numFmt w:val="upperLetter"/>
      <w:lvlText w:val="%2."/>
      <w:lvlJc w:val="left"/>
      <w:pPr>
        <w:ind w:left="2440" w:hanging="281"/>
        <w:jc w:val="left"/>
      </w:pPr>
      <w:rPr>
        <w:rFonts w:hint="default" w:ascii="Times New Roman" w:hAnsi="Times New Roman" w:eastAsia="Times New Roman" w:cs="Times New Roman"/>
        <w:b w:val="0"/>
        <w:bCs w:val="0"/>
        <w:i w:val="0"/>
        <w:iCs w:val="0"/>
        <w:spacing w:val="0"/>
        <w:w w:val="99"/>
        <w:sz w:val="19"/>
        <w:szCs w:val="19"/>
        <w:lang w:val="en-US" w:eastAsia="en-US" w:bidi="ar-SA"/>
      </w:rPr>
    </w:lvl>
    <w:lvl w:ilvl="2">
      <w:start w:val="0"/>
      <w:numFmt w:val="bullet"/>
      <w:lvlText w:val="•"/>
      <w:lvlJc w:val="left"/>
      <w:pPr>
        <w:ind w:left="3128" w:hanging="281"/>
      </w:pPr>
      <w:rPr>
        <w:rFonts w:hint="default"/>
        <w:lang w:val="en-US" w:eastAsia="en-US" w:bidi="ar-SA"/>
      </w:rPr>
    </w:lvl>
    <w:lvl w:ilvl="3">
      <w:start w:val="0"/>
      <w:numFmt w:val="bullet"/>
      <w:lvlText w:val="•"/>
      <w:lvlJc w:val="left"/>
      <w:pPr>
        <w:ind w:left="3817" w:hanging="281"/>
      </w:pPr>
      <w:rPr>
        <w:rFonts w:hint="default"/>
        <w:lang w:val="en-US" w:eastAsia="en-US" w:bidi="ar-SA"/>
      </w:rPr>
    </w:lvl>
    <w:lvl w:ilvl="4">
      <w:start w:val="0"/>
      <w:numFmt w:val="bullet"/>
      <w:lvlText w:val="•"/>
      <w:lvlJc w:val="left"/>
      <w:pPr>
        <w:ind w:left="4506" w:hanging="281"/>
      </w:pPr>
      <w:rPr>
        <w:rFonts w:hint="default"/>
        <w:lang w:val="en-US" w:eastAsia="en-US" w:bidi="ar-SA"/>
      </w:rPr>
    </w:lvl>
    <w:lvl w:ilvl="5">
      <w:start w:val="0"/>
      <w:numFmt w:val="bullet"/>
      <w:lvlText w:val="•"/>
      <w:lvlJc w:val="left"/>
      <w:pPr>
        <w:ind w:left="5195" w:hanging="281"/>
      </w:pPr>
      <w:rPr>
        <w:rFonts w:hint="default"/>
        <w:lang w:val="en-US" w:eastAsia="en-US" w:bidi="ar-SA"/>
      </w:rPr>
    </w:lvl>
    <w:lvl w:ilvl="6">
      <w:start w:val="0"/>
      <w:numFmt w:val="bullet"/>
      <w:lvlText w:val="•"/>
      <w:lvlJc w:val="left"/>
      <w:pPr>
        <w:ind w:left="5884" w:hanging="281"/>
      </w:pPr>
      <w:rPr>
        <w:rFonts w:hint="default"/>
        <w:lang w:val="en-US" w:eastAsia="en-US" w:bidi="ar-SA"/>
      </w:rPr>
    </w:lvl>
    <w:lvl w:ilvl="7">
      <w:start w:val="0"/>
      <w:numFmt w:val="bullet"/>
      <w:lvlText w:val="•"/>
      <w:lvlJc w:val="left"/>
      <w:pPr>
        <w:ind w:left="6573" w:hanging="281"/>
      </w:pPr>
      <w:rPr>
        <w:rFonts w:hint="default"/>
        <w:lang w:val="en-US" w:eastAsia="en-US" w:bidi="ar-SA"/>
      </w:rPr>
    </w:lvl>
    <w:lvl w:ilvl="8">
      <w:start w:val="0"/>
      <w:numFmt w:val="bullet"/>
      <w:lvlText w:val="•"/>
      <w:lvlJc w:val="left"/>
      <w:pPr>
        <w:ind w:left="7262" w:hanging="281"/>
      </w:pPr>
      <w:rPr>
        <w:rFonts w:hint="default"/>
        <w:lang w:val="en-US" w:eastAsia="en-US" w:bidi="ar-SA"/>
      </w:rPr>
    </w:lvl>
  </w:abstractNum>
  <w:abstractNum w:abstractNumId="82">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79">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78">
    <w:multiLevelType w:val="hybridMultilevel"/>
    <w:lvl w:ilvl="0">
      <w:start w:val="1"/>
      <w:numFmt w:val="decimal"/>
      <w:lvlText w:val="%1."/>
      <w:lvlJc w:val="left"/>
      <w:pPr>
        <w:ind w:left="2160" w:hanging="368"/>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68"/>
      </w:pPr>
      <w:rPr>
        <w:rFonts w:hint="default"/>
        <w:lang w:val="en-US" w:eastAsia="en-US" w:bidi="ar-SA"/>
      </w:rPr>
    </w:lvl>
    <w:lvl w:ilvl="2">
      <w:start w:val="0"/>
      <w:numFmt w:val="bullet"/>
      <w:lvlText w:val="•"/>
      <w:lvlJc w:val="left"/>
      <w:pPr>
        <w:ind w:left="3456" w:hanging="368"/>
      </w:pPr>
      <w:rPr>
        <w:rFonts w:hint="default"/>
        <w:lang w:val="en-US" w:eastAsia="en-US" w:bidi="ar-SA"/>
      </w:rPr>
    </w:lvl>
    <w:lvl w:ilvl="3">
      <w:start w:val="0"/>
      <w:numFmt w:val="bullet"/>
      <w:lvlText w:val="•"/>
      <w:lvlJc w:val="left"/>
      <w:pPr>
        <w:ind w:left="4104" w:hanging="368"/>
      </w:pPr>
      <w:rPr>
        <w:rFonts w:hint="default"/>
        <w:lang w:val="en-US" w:eastAsia="en-US" w:bidi="ar-SA"/>
      </w:rPr>
    </w:lvl>
    <w:lvl w:ilvl="4">
      <w:start w:val="0"/>
      <w:numFmt w:val="bullet"/>
      <w:lvlText w:val="•"/>
      <w:lvlJc w:val="left"/>
      <w:pPr>
        <w:ind w:left="4752" w:hanging="368"/>
      </w:pPr>
      <w:rPr>
        <w:rFonts w:hint="default"/>
        <w:lang w:val="en-US" w:eastAsia="en-US" w:bidi="ar-SA"/>
      </w:rPr>
    </w:lvl>
    <w:lvl w:ilvl="5">
      <w:start w:val="0"/>
      <w:numFmt w:val="bullet"/>
      <w:lvlText w:val="•"/>
      <w:lvlJc w:val="left"/>
      <w:pPr>
        <w:ind w:left="5400" w:hanging="368"/>
      </w:pPr>
      <w:rPr>
        <w:rFonts w:hint="default"/>
        <w:lang w:val="en-US" w:eastAsia="en-US" w:bidi="ar-SA"/>
      </w:rPr>
    </w:lvl>
    <w:lvl w:ilvl="6">
      <w:start w:val="0"/>
      <w:numFmt w:val="bullet"/>
      <w:lvlText w:val="•"/>
      <w:lvlJc w:val="left"/>
      <w:pPr>
        <w:ind w:left="6048" w:hanging="368"/>
      </w:pPr>
      <w:rPr>
        <w:rFonts w:hint="default"/>
        <w:lang w:val="en-US" w:eastAsia="en-US" w:bidi="ar-SA"/>
      </w:rPr>
    </w:lvl>
    <w:lvl w:ilvl="7">
      <w:start w:val="0"/>
      <w:numFmt w:val="bullet"/>
      <w:lvlText w:val="•"/>
      <w:lvlJc w:val="left"/>
      <w:pPr>
        <w:ind w:left="6696" w:hanging="368"/>
      </w:pPr>
      <w:rPr>
        <w:rFonts w:hint="default"/>
        <w:lang w:val="en-US" w:eastAsia="en-US" w:bidi="ar-SA"/>
      </w:rPr>
    </w:lvl>
    <w:lvl w:ilvl="8">
      <w:start w:val="0"/>
      <w:numFmt w:val="bullet"/>
      <w:lvlText w:val="•"/>
      <w:lvlJc w:val="left"/>
      <w:pPr>
        <w:ind w:left="7344" w:hanging="368"/>
      </w:pPr>
      <w:rPr>
        <w:rFonts w:hint="default"/>
        <w:lang w:val="en-US" w:eastAsia="en-US" w:bidi="ar-SA"/>
      </w:rPr>
    </w:lvl>
  </w:abstractNum>
  <w:abstractNum w:abstractNumId="77">
    <w:multiLevelType w:val="hybridMultilevel"/>
    <w:lvl w:ilvl="0">
      <w:start w:val="1"/>
      <w:numFmt w:val="decimal"/>
      <w:lvlText w:val="%1."/>
      <w:lvlJc w:val="left"/>
      <w:pPr>
        <w:ind w:left="2160" w:hanging="315"/>
        <w:jc w:val="left"/>
      </w:pPr>
      <w:rPr>
        <w:rFonts w:hint="default"/>
        <w:spacing w:val="-8"/>
        <w:w w:val="9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75">
    <w:multiLevelType w:val="hybridMultilevel"/>
    <w:lvl w:ilvl="0">
      <w:start w:val="1"/>
      <w:numFmt w:val="decimal"/>
      <w:lvlText w:val="%1)"/>
      <w:lvlJc w:val="left"/>
      <w:pPr>
        <w:ind w:left="2160" w:hanging="332"/>
        <w:jc w:val="left"/>
      </w:pPr>
      <w:rPr>
        <w:rFonts w:hint="default" w:ascii="Times New Roman" w:hAnsi="Times New Roman" w:eastAsia="Times New Roman" w:cs="Times New Roman"/>
        <w:b w:val="0"/>
        <w:bCs w:val="0"/>
        <w:i w:val="0"/>
        <w:iCs w:val="0"/>
        <w:spacing w:val="-6"/>
        <w:w w:val="99"/>
        <w:sz w:val="19"/>
        <w:szCs w:val="19"/>
        <w:lang w:val="en-US" w:eastAsia="en-US" w:bidi="ar-SA"/>
      </w:rPr>
    </w:lvl>
    <w:lvl w:ilvl="1">
      <w:start w:val="0"/>
      <w:numFmt w:val="bullet"/>
      <w:lvlText w:val="•"/>
      <w:lvlJc w:val="left"/>
      <w:pPr>
        <w:ind w:left="2808" w:hanging="332"/>
      </w:pPr>
      <w:rPr>
        <w:rFonts w:hint="default"/>
        <w:lang w:val="en-US" w:eastAsia="en-US" w:bidi="ar-SA"/>
      </w:rPr>
    </w:lvl>
    <w:lvl w:ilvl="2">
      <w:start w:val="0"/>
      <w:numFmt w:val="bullet"/>
      <w:lvlText w:val="•"/>
      <w:lvlJc w:val="left"/>
      <w:pPr>
        <w:ind w:left="3456" w:hanging="332"/>
      </w:pPr>
      <w:rPr>
        <w:rFonts w:hint="default"/>
        <w:lang w:val="en-US" w:eastAsia="en-US" w:bidi="ar-SA"/>
      </w:rPr>
    </w:lvl>
    <w:lvl w:ilvl="3">
      <w:start w:val="0"/>
      <w:numFmt w:val="bullet"/>
      <w:lvlText w:val="•"/>
      <w:lvlJc w:val="left"/>
      <w:pPr>
        <w:ind w:left="4104" w:hanging="332"/>
      </w:pPr>
      <w:rPr>
        <w:rFonts w:hint="default"/>
        <w:lang w:val="en-US" w:eastAsia="en-US" w:bidi="ar-SA"/>
      </w:rPr>
    </w:lvl>
    <w:lvl w:ilvl="4">
      <w:start w:val="0"/>
      <w:numFmt w:val="bullet"/>
      <w:lvlText w:val="•"/>
      <w:lvlJc w:val="left"/>
      <w:pPr>
        <w:ind w:left="4752" w:hanging="332"/>
      </w:pPr>
      <w:rPr>
        <w:rFonts w:hint="default"/>
        <w:lang w:val="en-US" w:eastAsia="en-US" w:bidi="ar-SA"/>
      </w:rPr>
    </w:lvl>
    <w:lvl w:ilvl="5">
      <w:start w:val="0"/>
      <w:numFmt w:val="bullet"/>
      <w:lvlText w:val="•"/>
      <w:lvlJc w:val="left"/>
      <w:pPr>
        <w:ind w:left="5400" w:hanging="332"/>
      </w:pPr>
      <w:rPr>
        <w:rFonts w:hint="default"/>
        <w:lang w:val="en-US" w:eastAsia="en-US" w:bidi="ar-SA"/>
      </w:rPr>
    </w:lvl>
    <w:lvl w:ilvl="6">
      <w:start w:val="0"/>
      <w:numFmt w:val="bullet"/>
      <w:lvlText w:val="•"/>
      <w:lvlJc w:val="left"/>
      <w:pPr>
        <w:ind w:left="6048" w:hanging="332"/>
      </w:pPr>
      <w:rPr>
        <w:rFonts w:hint="default"/>
        <w:lang w:val="en-US" w:eastAsia="en-US" w:bidi="ar-SA"/>
      </w:rPr>
    </w:lvl>
    <w:lvl w:ilvl="7">
      <w:start w:val="0"/>
      <w:numFmt w:val="bullet"/>
      <w:lvlText w:val="•"/>
      <w:lvlJc w:val="left"/>
      <w:pPr>
        <w:ind w:left="6696" w:hanging="332"/>
      </w:pPr>
      <w:rPr>
        <w:rFonts w:hint="default"/>
        <w:lang w:val="en-US" w:eastAsia="en-US" w:bidi="ar-SA"/>
      </w:rPr>
    </w:lvl>
    <w:lvl w:ilvl="8">
      <w:start w:val="0"/>
      <w:numFmt w:val="bullet"/>
      <w:lvlText w:val="•"/>
      <w:lvlJc w:val="left"/>
      <w:pPr>
        <w:ind w:left="7344" w:hanging="332"/>
      </w:pPr>
      <w:rPr>
        <w:rFonts w:hint="default"/>
        <w:lang w:val="en-US" w:eastAsia="en-US" w:bidi="ar-SA"/>
      </w:rPr>
    </w:lvl>
  </w:abstractNum>
  <w:abstractNum w:abstractNumId="74">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73">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70">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65">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64">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63">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62">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55">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50">
    <w:multiLevelType w:val="hybridMultilevel"/>
    <w:lvl w:ilvl="0">
      <w:start w:val="1"/>
      <w:numFmt w:val="decimal"/>
      <w:lvlText w:val="%1."/>
      <w:lvlJc w:val="left"/>
      <w:pPr>
        <w:ind w:left="2159" w:hanging="315"/>
        <w:jc w:val="left"/>
      </w:pPr>
      <w:rPr>
        <w:rFonts w:hint="default" w:ascii="Times New Roman" w:hAnsi="Times New Roman" w:eastAsia="Times New Roman" w:cs="Times New Roman"/>
        <w:b w:val="0"/>
        <w:bCs w:val="0"/>
        <w:i w:val="0"/>
        <w:iCs w:val="0"/>
        <w:spacing w:val="-16"/>
        <w:w w:val="99"/>
        <w:sz w:val="20"/>
        <w:szCs w:val="20"/>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46">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16"/>
        <w:w w:val="99"/>
        <w:sz w:val="20"/>
        <w:szCs w:val="20"/>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41">
    <w:multiLevelType w:val="hybridMultilevel"/>
    <w:lvl w:ilvl="0">
      <w:start w:val="1"/>
      <w:numFmt w:val="decimal"/>
      <w:lvlText w:val="%1."/>
      <w:lvlJc w:val="left"/>
      <w:pPr>
        <w:ind w:left="2159"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39">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37">
    <w:multiLevelType w:val="hybridMultilevel"/>
    <w:lvl w:ilvl="0">
      <w:start w:val="1"/>
      <w:numFmt w:val="decimal"/>
      <w:lvlText w:val="%1)"/>
      <w:lvlJc w:val="left"/>
      <w:pPr>
        <w:ind w:left="2159" w:hanging="332"/>
        <w:jc w:val="right"/>
      </w:pPr>
      <w:rPr>
        <w:rFonts w:hint="default" w:ascii="Times New Roman" w:hAnsi="Times New Roman" w:eastAsia="Times New Roman" w:cs="Times New Roman"/>
        <w:b w:val="0"/>
        <w:bCs w:val="0"/>
        <w:i w:val="0"/>
        <w:iCs w:val="0"/>
        <w:spacing w:val="-6"/>
        <w:w w:val="99"/>
        <w:sz w:val="19"/>
        <w:szCs w:val="19"/>
        <w:lang w:val="en-US" w:eastAsia="en-US" w:bidi="ar-SA"/>
      </w:rPr>
    </w:lvl>
    <w:lvl w:ilvl="1">
      <w:start w:val="0"/>
      <w:numFmt w:val="bullet"/>
      <w:lvlText w:val="•"/>
      <w:lvlJc w:val="left"/>
      <w:pPr>
        <w:ind w:left="2808" w:hanging="332"/>
      </w:pPr>
      <w:rPr>
        <w:rFonts w:hint="default"/>
        <w:lang w:val="en-US" w:eastAsia="en-US" w:bidi="ar-SA"/>
      </w:rPr>
    </w:lvl>
    <w:lvl w:ilvl="2">
      <w:start w:val="0"/>
      <w:numFmt w:val="bullet"/>
      <w:lvlText w:val="•"/>
      <w:lvlJc w:val="left"/>
      <w:pPr>
        <w:ind w:left="3456" w:hanging="332"/>
      </w:pPr>
      <w:rPr>
        <w:rFonts w:hint="default"/>
        <w:lang w:val="en-US" w:eastAsia="en-US" w:bidi="ar-SA"/>
      </w:rPr>
    </w:lvl>
    <w:lvl w:ilvl="3">
      <w:start w:val="0"/>
      <w:numFmt w:val="bullet"/>
      <w:lvlText w:val="•"/>
      <w:lvlJc w:val="left"/>
      <w:pPr>
        <w:ind w:left="4104" w:hanging="332"/>
      </w:pPr>
      <w:rPr>
        <w:rFonts w:hint="default"/>
        <w:lang w:val="en-US" w:eastAsia="en-US" w:bidi="ar-SA"/>
      </w:rPr>
    </w:lvl>
    <w:lvl w:ilvl="4">
      <w:start w:val="0"/>
      <w:numFmt w:val="bullet"/>
      <w:lvlText w:val="•"/>
      <w:lvlJc w:val="left"/>
      <w:pPr>
        <w:ind w:left="4752" w:hanging="332"/>
      </w:pPr>
      <w:rPr>
        <w:rFonts w:hint="default"/>
        <w:lang w:val="en-US" w:eastAsia="en-US" w:bidi="ar-SA"/>
      </w:rPr>
    </w:lvl>
    <w:lvl w:ilvl="5">
      <w:start w:val="0"/>
      <w:numFmt w:val="bullet"/>
      <w:lvlText w:val="•"/>
      <w:lvlJc w:val="left"/>
      <w:pPr>
        <w:ind w:left="5400" w:hanging="332"/>
      </w:pPr>
      <w:rPr>
        <w:rFonts w:hint="default"/>
        <w:lang w:val="en-US" w:eastAsia="en-US" w:bidi="ar-SA"/>
      </w:rPr>
    </w:lvl>
    <w:lvl w:ilvl="6">
      <w:start w:val="0"/>
      <w:numFmt w:val="bullet"/>
      <w:lvlText w:val="•"/>
      <w:lvlJc w:val="left"/>
      <w:pPr>
        <w:ind w:left="6048" w:hanging="332"/>
      </w:pPr>
      <w:rPr>
        <w:rFonts w:hint="default"/>
        <w:lang w:val="en-US" w:eastAsia="en-US" w:bidi="ar-SA"/>
      </w:rPr>
    </w:lvl>
    <w:lvl w:ilvl="7">
      <w:start w:val="0"/>
      <w:numFmt w:val="bullet"/>
      <w:lvlText w:val="•"/>
      <w:lvlJc w:val="left"/>
      <w:pPr>
        <w:ind w:left="6696" w:hanging="332"/>
      </w:pPr>
      <w:rPr>
        <w:rFonts w:hint="default"/>
        <w:lang w:val="en-US" w:eastAsia="en-US" w:bidi="ar-SA"/>
      </w:rPr>
    </w:lvl>
    <w:lvl w:ilvl="8">
      <w:start w:val="0"/>
      <w:numFmt w:val="bullet"/>
      <w:lvlText w:val="•"/>
      <w:lvlJc w:val="left"/>
      <w:pPr>
        <w:ind w:left="7344" w:hanging="332"/>
      </w:pPr>
      <w:rPr>
        <w:rFonts w:hint="default"/>
        <w:lang w:val="en-US" w:eastAsia="en-US" w:bidi="ar-SA"/>
      </w:rPr>
    </w:lvl>
  </w:abstractNum>
  <w:abstractNum w:abstractNumId="35">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27">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25">
    <w:multiLevelType w:val="hybridMultilevel"/>
    <w:lvl w:ilvl="0">
      <w:start w:val="1"/>
      <w:numFmt w:val="decimal"/>
      <w:lvlText w:val="%1)"/>
      <w:lvlJc w:val="left"/>
      <w:pPr>
        <w:ind w:left="2160" w:hanging="332"/>
        <w:jc w:val="left"/>
      </w:pPr>
      <w:rPr>
        <w:rFonts w:hint="default" w:ascii="Times New Roman" w:hAnsi="Times New Roman" w:eastAsia="Times New Roman" w:cs="Times New Roman"/>
        <w:b w:val="0"/>
        <w:bCs w:val="0"/>
        <w:i w:val="0"/>
        <w:iCs w:val="0"/>
        <w:spacing w:val="-6"/>
        <w:w w:val="99"/>
        <w:sz w:val="19"/>
        <w:szCs w:val="19"/>
        <w:lang w:val="en-US" w:eastAsia="en-US" w:bidi="ar-SA"/>
      </w:rPr>
    </w:lvl>
    <w:lvl w:ilvl="1">
      <w:start w:val="0"/>
      <w:numFmt w:val="bullet"/>
      <w:lvlText w:val="•"/>
      <w:lvlJc w:val="left"/>
      <w:pPr>
        <w:ind w:left="2808" w:hanging="332"/>
      </w:pPr>
      <w:rPr>
        <w:rFonts w:hint="default"/>
        <w:lang w:val="en-US" w:eastAsia="en-US" w:bidi="ar-SA"/>
      </w:rPr>
    </w:lvl>
    <w:lvl w:ilvl="2">
      <w:start w:val="0"/>
      <w:numFmt w:val="bullet"/>
      <w:lvlText w:val="•"/>
      <w:lvlJc w:val="left"/>
      <w:pPr>
        <w:ind w:left="3456" w:hanging="332"/>
      </w:pPr>
      <w:rPr>
        <w:rFonts w:hint="default"/>
        <w:lang w:val="en-US" w:eastAsia="en-US" w:bidi="ar-SA"/>
      </w:rPr>
    </w:lvl>
    <w:lvl w:ilvl="3">
      <w:start w:val="0"/>
      <w:numFmt w:val="bullet"/>
      <w:lvlText w:val="•"/>
      <w:lvlJc w:val="left"/>
      <w:pPr>
        <w:ind w:left="4104" w:hanging="332"/>
      </w:pPr>
      <w:rPr>
        <w:rFonts w:hint="default"/>
        <w:lang w:val="en-US" w:eastAsia="en-US" w:bidi="ar-SA"/>
      </w:rPr>
    </w:lvl>
    <w:lvl w:ilvl="4">
      <w:start w:val="0"/>
      <w:numFmt w:val="bullet"/>
      <w:lvlText w:val="•"/>
      <w:lvlJc w:val="left"/>
      <w:pPr>
        <w:ind w:left="4752" w:hanging="332"/>
      </w:pPr>
      <w:rPr>
        <w:rFonts w:hint="default"/>
        <w:lang w:val="en-US" w:eastAsia="en-US" w:bidi="ar-SA"/>
      </w:rPr>
    </w:lvl>
    <w:lvl w:ilvl="5">
      <w:start w:val="0"/>
      <w:numFmt w:val="bullet"/>
      <w:lvlText w:val="•"/>
      <w:lvlJc w:val="left"/>
      <w:pPr>
        <w:ind w:left="5400" w:hanging="332"/>
      </w:pPr>
      <w:rPr>
        <w:rFonts w:hint="default"/>
        <w:lang w:val="en-US" w:eastAsia="en-US" w:bidi="ar-SA"/>
      </w:rPr>
    </w:lvl>
    <w:lvl w:ilvl="6">
      <w:start w:val="0"/>
      <w:numFmt w:val="bullet"/>
      <w:lvlText w:val="•"/>
      <w:lvlJc w:val="left"/>
      <w:pPr>
        <w:ind w:left="6048" w:hanging="332"/>
      </w:pPr>
      <w:rPr>
        <w:rFonts w:hint="default"/>
        <w:lang w:val="en-US" w:eastAsia="en-US" w:bidi="ar-SA"/>
      </w:rPr>
    </w:lvl>
    <w:lvl w:ilvl="7">
      <w:start w:val="0"/>
      <w:numFmt w:val="bullet"/>
      <w:lvlText w:val="•"/>
      <w:lvlJc w:val="left"/>
      <w:pPr>
        <w:ind w:left="6696" w:hanging="332"/>
      </w:pPr>
      <w:rPr>
        <w:rFonts w:hint="default"/>
        <w:lang w:val="en-US" w:eastAsia="en-US" w:bidi="ar-SA"/>
      </w:rPr>
    </w:lvl>
    <w:lvl w:ilvl="8">
      <w:start w:val="0"/>
      <w:numFmt w:val="bullet"/>
      <w:lvlText w:val="•"/>
      <w:lvlJc w:val="left"/>
      <w:pPr>
        <w:ind w:left="7344" w:hanging="332"/>
      </w:pPr>
      <w:rPr>
        <w:rFonts w:hint="default"/>
        <w:lang w:val="en-US" w:eastAsia="en-US" w:bidi="ar-SA"/>
      </w:rPr>
    </w:lvl>
  </w:abstractNum>
  <w:abstractNum w:abstractNumId="21">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20">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19">
    <w:multiLevelType w:val="hybridMultilevel"/>
    <w:lvl w:ilvl="0">
      <w:start w:val="1"/>
      <w:numFmt w:val="decimal"/>
      <w:lvlText w:val="%1."/>
      <w:lvlJc w:val="left"/>
      <w:pPr>
        <w:ind w:left="2159"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17">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15">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14">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13">
    <w:multiLevelType w:val="hybridMultilevel"/>
    <w:lvl w:ilvl="0">
      <w:start w:val="1"/>
      <w:numFmt w:val="decimal"/>
      <w:lvlText w:val="%1."/>
      <w:lvlJc w:val="left"/>
      <w:pPr>
        <w:ind w:left="2160" w:hanging="315"/>
        <w:jc w:val="right"/>
      </w:pPr>
      <w:rPr>
        <w:rFonts w:hint="default"/>
        <w:spacing w:val="-8"/>
        <w:w w:val="9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12">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10">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7">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5">
    <w:multiLevelType w:val="hybridMultilevel"/>
    <w:lvl w:ilvl="0">
      <w:start w:val="1"/>
      <w:numFmt w:val="lowerRoman"/>
      <w:lvlText w:val="%1."/>
      <w:lvlJc w:val="left"/>
      <w:pPr>
        <w:ind w:left="2160" w:hanging="269"/>
        <w:jc w:val="right"/>
      </w:pPr>
      <w:rPr>
        <w:rFonts w:hint="default" w:ascii="Times New Roman" w:hAnsi="Times New Roman" w:eastAsia="Times New Roman" w:cs="Times New Roman"/>
        <w:b w:val="0"/>
        <w:bCs w:val="0"/>
        <w:i w:val="0"/>
        <w:iCs w:val="0"/>
        <w:spacing w:val="-14"/>
        <w:w w:val="99"/>
        <w:sz w:val="20"/>
        <w:szCs w:val="20"/>
        <w:lang w:val="en-US" w:eastAsia="en-US" w:bidi="ar-SA"/>
      </w:rPr>
    </w:lvl>
    <w:lvl w:ilvl="1">
      <w:start w:val="0"/>
      <w:numFmt w:val="bullet"/>
      <w:lvlText w:val="•"/>
      <w:lvlJc w:val="left"/>
      <w:pPr>
        <w:ind w:left="2808" w:hanging="269"/>
      </w:pPr>
      <w:rPr>
        <w:rFonts w:hint="default"/>
        <w:lang w:val="en-US" w:eastAsia="en-US" w:bidi="ar-SA"/>
      </w:rPr>
    </w:lvl>
    <w:lvl w:ilvl="2">
      <w:start w:val="0"/>
      <w:numFmt w:val="bullet"/>
      <w:lvlText w:val="•"/>
      <w:lvlJc w:val="left"/>
      <w:pPr>
        <w:ind w:left="3456" w:hanging="269"/>
      </w:pPr>
      <w:rPr>
        <w:rFonts w:hint="default"/>
        <w:lang w:val="en-US" w:eastAsia="en-US" w:bidi="ar-SA"/>
      </w:rPr>
    </w:lvl>
    <w:lvl w:ilvl="3">
      <w:start w:val="0"/>
      <w:numFmt w:val="bullet"/>
      <w:lvlText w:val="•"/>
      <w:lvlJc w:val="left"/>
      <w:pPr>
        <w:ind w:left="4104" w:hanging="269"/>
      </w:pPr>
      <w:rPr>
        <w:rFonts w:hint="default"/>
        <w:lang w:val="en-US" w:eastAsia="en-US" w:bidi="ar-SA"/>
      </w:rPr>
    </w:lvl>
    <w:lvl w:ilvl="4">
      <w:start w:val="0"/>
      <w:numFmt w:val="bullet"/>
      <w:lvlText w:val="•"/>
      <w:lvlJc w:val="left"/>
      <w:pPr>
        <w:ind w:left="4752" w:hanging="269"/>
      </w:pPr>
      <w:rPr>
        <w:rFonts w:hint="default"/>
        <w:lang w:val="en-US" w:eastAsia="en-US" w:bidi="ar-SA"/>
      </w:rPr>
    </w:lvl>
    <w:lvl w:ilvl="5">
      <w:start w:val="0"/>
      <w:numFmt w:val="bullet"/>
      <w:lvlText w:val="•"/>
      <w:lvlJc w:val="left"/>
      <w:pPr>
        <w:ind w:left="5400" w:hanging="269"/>
      </w:pPr>
      <w:rPr>
        <w:rFonts w:hint="default"/>
        <w:lang w:val="en-US" w:eastAsia="en-US" w:bidi="ar-SA"/>
      </w:rPr>
    </w:lvl>
    <w:lvl w:ilvl="6">
      <w:start w:val="0"/>
      <w:numFmt w:val="bullet"/>
      <w:lvlText w:val="•"/>
      <w:lvlJc w:val="left"/>
      <w:pPr>
        <w:ind w:left="6048" w:hanging="269"/>
      </w:pPr>
      <w:rPr>
        <w:rFonts w:hint="default"/>
        <w:lang w:val="en-US" w:eastAsia="en-US" w:bidi="ar-SA"/>
      </w:rPr>
    </w:lvl>
    <w:lvl w:ilvl="7">
      <w:start w:val="0"/>
      <w:numFmt w:val="bullet"/>
      <w:lvlText w:val="•"/>
      <w:lvlJc w:val="left"/>
      <w:pPr>
        <w:ind w:left="6696" w:hanging="269"/>
      </w:pPr>
      <w:rPr>
        <w:rFonts w:hint="default"/>
        <w:lang w:val="en-US" w:eastAsia="en-US" w:bidi="ar-SA"/>
      </w:rPr>
    </w:lvl>
    <w:lvl w:ilvl="8">
      <w:start w:val="0"/>
      <w:numFmt w:val="bullet"/>
      <w:lvlText w:val="•"/>
      <w:lvlJc w:val="left"/>
      <w:pPr>
        <w:ind w:left="7344" w:hanging="269"/>
      </w:pPr>
      <w:rPr>
        <w:rFonts w:hint="default"/>
        <w:lang w:val="en-US" w:eastAsia="en-US" w:bidi="ar-SA"/>
      </w:rPr>
    </w:lvl>
  </w:abstractNum>
  <w:abstractNum w:abstractNumId="100">
    <w:multiLevelType w:val="hybridMultilevel"/>
    <w:lvl w:ilvl="0">
      <w:start w:val="4"/>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99">
    <w:multiLevelType w:val="hybridMultilevel"/>
    <w:lvl w:ilvl="0">
      <w:start w:val="1"/>
      <w:numFmt w:val="upperRoman"/>
      <w:lvlText w:val="%1."/>
      <w:lvlJc w:val="left"/>
      <w:pPr>
        <w:ind w:left="1626" w:hanging="187"/>
        <w:jc w:val="right"/>
      </w:pPr>
      <w:rPr>
        <w:rFonts w:hint="default"/>
        <w:spacing w:val="0"/>
        <w:w w:val="57"/>
        <w:lang w:val="en-US" w:eastAsia="en-US" w:bidi="ar-SA"/>
      </w:rPr>
    </w:lvl>
    <w:lvl w:ilvl="1">
      <w:start w:val="1"/>
      <w:numFmt w:val="decimal"/>
      <w:lvlText w:val="%2."/>
      <w:lvlJc w:val="left"/>
      <w:pPr>
        <w:ind w:left="2160" w:hanging="413"/>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2">
      <w:start w:val="0"/>
      <w:numFmt w:val="bullet"/>
      <w:lvlText w:val="•"/>
      <w:lvlJc w:val="left"/>
      <w:pPr>
        <w:ind w:left="2880" w:hanging="413"/>
      </w:pPr>
      <w:rPr>
        <w:rFonts w:hint="default"/>
        <w:lang w:val="en-US" w:eastAsia="en-US" w:bidi="ar-SA"/>
      </w:rPr>
    </w:lvl>
    <w:lvl w:ilvl="3">
      <w:start w:val="0"/>
      <w:numFmt w:val="bullet"/>
      <w:lvlText w:val="•"/>
      <w:lvlJc w:val="left"/>
      <w:pPr>
        <w:ind w:left="3600" w:hanging="413"/>
      </w:pPr>
      <w:rPr>
        <w:rFonts w:hint="default"/>
        <w:lang w:val="en-US" w:eastAsia="en-US" w:bidi="ar-SA"/>
      </w:rPr>
    </w:lvl>
    <w:lvl w:ilvl="4">
      <w:start w:val="0"/>
      <w:numFmt w:val="bullet"/>
      <w:lvlText w:val="•"/>
      <w:lvlJc w:val="left"/>
      <w:pPr>
        <w:ind w:left="4320" w:hanging="413"/>
      </w:pPr>
      <w:rPr>
        <w:rFonts w:hint="default"/>
        <w:lang w:val="en-US" w:eastAsia="en-US" w:bidi="ar-SA"/>
      </w:rPr>
    </w:lvl>
    <w:lvl w:ilvl="5">
      <w:start w:val="0"/>
      <w:numFmt w:val="bullet"/>
      <w:lvlText w:val="•"/>
      <w:lvlJc w:val="left"/>
      <w:pPr>
        <w:ind w:left="5040" w:hanging="413"/>
      </w:pPr>
      <w:rPr>
        <w:rFonts w:hint="default"/>
        <w:lang w:val="en-US" w:eastAsia="en-US" w:bidi="ar-SA"/>
      </w:rPr>
    </w:lvl>
    <w:lvl w:ilvl="6">
      <w:start w:val="0"/>
      <w:numFmt w:val="bullet"/>
      <w:lvlText w:val="•"/>
      <w:lvlJc w:val="left"/>
      <w:pPr>
        <w:ind w:left="5760" w:hanging="413"/>
      </w:pPr>
      <w:rPr>
        <w:rFonts w:hint="default"/>
        <w:lang w:val="en-US" w:eastAsia="en-US" w:bidi="ar-SA"/>
      </w:rPr>
    </w:lvl>
    <w:lvl w:ilvl="7">
      <w:start w:val="0"/>
      <w:numFmt w:val="bullet"/>
      <w:lvlText w:val="•"/>
      <w:lvlJc w:val="left"/>
      <w:pPr>
        <w:ind w:left="6480" w:hanging="413"/>
      </w:pPr>
      <w:rPr>
        <w:rFonts w:hint="default"/>
        <w:lang w:val="en-US" w:eastAsia="en-US" w:bidi="ar-SA"/>
      </w:rPr>
    </w:lvl>
    <w:lvl w:ilvl="8">
      <w:start w:val="0"/>
      <w:numFmt w:val="bullet"/>
      <w:lvlText w:val="•"/>
      <w:lvlJc w:val="left"/>
      <w:pPr>
        <w:ind w:left="7200" w:hanging="413"/>
      </w:pPr>
      <w:rPr>
        <w:rFonts w:hint="default"/>
        <w:lang w:val="en-US" w:eastAsia="en-US" w:bidi="ar-SA"/>
      </w:rPr>
    </w:lvl>
  </w:abstractNum>
  <w:abstractNum w:abstractNumId="98">
    <w:multiLevelType w:val="hybridMultilevel"/>
    <w:lvl w:ilvl="0">
      <w:start w:val="5"/>
      <w:numFmt w:val="decimal"/>
      <w:lvlText w:val="%1"/>
      <w:lvlJc w:val="left"/>
      <w:pPr>
        <w:ind w:left="1880" w:hanging="441"/>
        <w:jc w:val="left"/>
      </w:pPr>
      <w:rPr>
        <w:rFonts w:hint="default"/>
        <w:lang w:val="en-US" w:eastAsia="en-US" w:bidi="ar-SA"/>
      </w:rPr>
    </w:lvl>
    <w:lvl w:ilvl="1">
      <w:start w:val="1"/>
      <w:numFmt w:val="decimal"/>
      <w:lvlText w:val="%1.%2"/>
      <w:lvlJc w:val="left"/>
      <w:pPr>
        <w:ind w:left="1880" w:hanging="441"/>
        <w:jc w:val="left"/>
      </w:pPr>
      <w:rPr>
        <w:rFonts w:hint="default" w:ascii="Cambria" w:hAnsi="Cambria" w:eastAsia="Cambria" w:cs="Cambria"/>
        <w:b/>
        <w:bCs/>
        <w:i/>
        <w:iCs/>
        <w:spacing w:val="0"/>
        <w:w w:val="97"/>
        <w:sz w:val="22"/>
        <w:szCs w:val="22"/>
        <w:lang w:val="en-US" w:eastAsia="en-US" w:bidi="ar-SA"/>
      </w:rPr>
    </w:lvl>
    <w:lvl w:ilvl="2">
      <w:start w:val="1"/>
      <w:numFmt w:val="decimal"/>
      <w:lvlText w:val="%3."/>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3">
      <w:start w:val="0"/>
      <w:numFmt w:val="bullet"/>
      <w:lvlText w:val="•"/>
      <w:lvlJc w:val="left"/>
      <w:pPr>
        <w:ind w:left="3600" w:hanging="315"/>
      </w:pPr>
      <w:rPr>
        <w:rFonts w:hint="default"/>
        <w:lang w:val="en-US" w:eastAsia="en-US" w:bidi="ar-SA"/>
      </w:rPr>
    </w:lvl>
    <w:lvl w:ilvl="4">
      <w:start w:val="0"/>
      <w:numFmt w:val="bullet"/>
      <w:lvlText w:val="•"/>
      <w:lvlJc w:val="left"/>
      <w:pPr>
        <w:ind w:left="4320" w:hanging="315"/>
      </w:pPr>
      <w:rPr>
        <w:rFonts w:hint="default"/>
        <w:lang w:val="en-US" w:eastAsia="en-US" w:bidi="ar-SA"/>
      </w:rPr>
    </w:lvl>
    <w:lvl w:ilvl="5">
      <w:start w:val="0"/>
      <w:numFmt w:val="bullet"/>
      <w:lvlText w:val="•"/>
      <w:lvlJc w:val="left"/>
      <w:pPr>
        <w:ind w:left="5040" w:hanging="315"/>
      </w:pPr>
      <w:rPr>
        <w:rFonts w:hint="default"/>
        <w:lang w:val="en-US" w:eastAsia="en-US" w:bidi="ar-SA"/>
      </w:rPr>
    </w:lvl>
    <w:lvl w:ilvl="6">
      <w:start w:val="0"/>
      <w:numFmt w:val="bullet"/>
      <w:lvlText w:val="•"/>
      <w:lvlJc w:val="left"/>
      <w:pPr>
        <w:ind w:left="5760" w:hanging="315"/>
      </w:pPr>
      <w:rPr>
        <w:rFonts w:hint="default"/>
        <w:lang w:val="en-US" w:eastAsia="en-US" w:bidi="ar-SA"/>
      </w:rPr>
    </w:lvl>
    <w:lvl w:ilvl="7">
      <w:start w:val="0"/>
      <w:numFmt w:val="bullet"/>
      <w:lvlText w:val="•"/>
      <w:lvlJc w:val="left"/>
      <w:pPr>
        <w:ind w:left="6480" w:hanging="315"/>
      </w:pPr>
      <w:rPr>
        <w:rFonts w:hint="default"/>
        <w:lang w:val="en-US" w:eastAsia="en-US" w:bidi="ar-SA"/>
      </w:rPr>
    </w:lvl>
    <w:lvl w:ilvl="8">
      <w:start w:val="0"/>
      <w:numFmt w:val="bullet"/>
      <w:lvlText w:val="•"/>
      <w:lvlJc w:val="left"/>
      <w:pPr>
        <w:ind w:left="7200" w:hanging="315"/>
      </w:pPr>
      <w:rPr>
        <w:rFonts w:hint="default"/>
        <w:lang w:val="en-US" w:eastAsia="en-US" w:bidi="ar-SA"/>
      </w:rPr>
    </w:lvl>
  </w:abstractNum>
  <w:abstractNum w:abstractNumId="97">
    <w:multiLevelType w:val="hybridMultilevel"/>
    <w:lvl w:ilvl="0">
      <w:start w:val="4"/>
      <w:numFmt w:val="decimal"/>
      <w:lvlText w:val="%1"/>
      <w:lvlJc w:val="left"/>
      <w:pPr>
        <w:ind w:left="1863" w:hanging="424"/>
        <w:jc w:val="left"/>
      </w:pPr>
      <w:rPr>
        <w:rFonts w:hint="default"/>
        <w:lang w:val="en-US" w:eastAsia="en-US" w:bidi="ar-SA"/>
      </w:rPr>
    </w:lvl>
    <w:lvl w:ilvl="1">
      <w:start w:val="1"/>
      <w:numFmt w:val="decimal"/>
      <w:lvlText w:val="%1.%2"/>
      <w:lvlJc w:val="left"/>
      <w:pPr>
        <w:ind w:left="1863" w:hanging="424"/>
        <w:jc w:val="left"/>
      </w:pPr>
      <w:rPr>
        <w:rFonts w:hint="default" w:ascii="Cambria" w:hAnsi="Cambria" w:eastAsia="Cambria" w:cs="Cambria"/>
        <w:b/>
        <w:bCs/>
        <w:i/>
        <w:iCs/>
        <w:spacing w:val="0"/>
        <w:w w:val="97"/>
        <w:sz w:val="22"/>
        <w:szCs w:val="22"/>
        <w:lang w:val="en-US" w:eastAsia="en-US" w:bidi="ar-SA"/>
      </w:rPr>
    </w:lvl>
    <w:lvl w:ilvl="2">
      <w:start w:val="0"/>
      <w:numFmt w:val="bullet"/>
      <w:lvlText w:val="•"/>
      <w:lvlJc w:val="left"/>
      <w:pPr>
        <w:ind w:left="3216" w:hanging="424"/>
      </w:pPr>
      <w:rPr>
        <w:rFonts w:hint="default"/>
        <w:lang w:val="en-US" w:eastAsia="en-US" w:bidi="ar-SA"/>
      </w:rPr>
    </w:lvl>
    <w:lvl w:ilvl="3">
      <w:start w:val="0"/>
      <w:numFmt w:val="bullet"/>
      <w:lvlText w:val="•"/>
      <w:lvlJc w:val="left"/>
      <w:pPr>
        <w:ind w:left="3894" w:hanging="424"/>
      </w:pPr>
      <w:rPr>
        <w:rFonts w:hint="default"/>
        <w:lang w:val="en-US" w:eastAsia="en-US" w:bidi="ar-SA"/>
      </w:rPr>
    </w:lvl>
    <w:lvl w:ilvl="4">
      <w:start w:val="0"/>
      <w:numFmt w:val="bullet"/>
      <w:lvlText w:val="•"/>
      <w:lvlJc w:val="left"/>
      <w:pPr>
        <w:ind w:left="4572" w:hanging="424"/>
      </w:pPr>
      <w:rPr>
        <w:rFonts w:hint="default"/>
        <w:lang w:val="en-US" w:eastAsia="en-US" w:bidi="ar-SA"/>
      </w:rPr>
    </w:lvl>
    <w:lvl w:ilvl="5">
      <w:start w:val="0"/>
      <w:numFmt w:val="bullet"/>
      <w:lvlText w:val="•"/>
      <w:lvlJc w:val="left"/>
      <w:pPr>
        <w:ind w:left="5250" w:hanging="424"/>
      </w:pPr>
      <w:rPr>
        <w:rFonts w:hint="default"/>
        <w:lang w:val="en-US" w:eastAsia="en-US" w:bidi="ar-SA"/>
      </w:rPr>
    </w:lvl>
    <w:lvl w:ilvl="6">
      <w:start w:val="0"/>
      <w:numFmt w:val="bullet"/>
      <w:lvlText w:val="•"/>
      <w:lvlJc w:val="left"/>
      <w:pPr>
        <w:ind w:left="5928" w:hanging="424"/>
      </w:pPr>
      <w:rPr>
        <w:rFonts w:hint="default"/>
        <w:lang w:val="en-US" w:eastAsia="en-US" w:bidi="ar-SA"/>
      </w:rPr>
    </w:lvl>
    <w:lvl w:ilvl="7">
      <w:start w:val="0"/>
      <w:numFmt w:val="bullet"/>
      <w:lvlText w:val="•"/>
      <w:lvlJc w:val="left"/>
      <w:pPr>
        <w:ind w:left="6606" w:hanging="424"/>
      </w:pPr>
      <w:rPr>
        <w:rFonts w:hint="default"/>
        <w:lang w:val="en-US" w:eastAsia="en-US" w:bidi="ar-SA"/>
      </w:rPr>
    </w:lvl>
    <w:lvl w:ilvl="8">
      <w:start w:val="0"/>
      <w:numFmt w:val="bullet"/>
      <w:lvlText w:val="•"/>
      <w:lvlJc w:val="left"/>
      <w:pPr>
        <w:ind w:left="7284" w:hanging="424"/>
      </w:pPr>
      <w:rPr>
        <w:rFonts w:hint="default"/>
        <w:lang w:val="en-US" w:eastAsia="en-US" w:bidi="ar-SA"/>
      </w:rPr>
    </w:lvl>
  </w:abstractNum>
  <w:abstractNum w:abstractNumId="96">
    <w:multiLevelType w:val="hybridMultilevel"/>
    <w:lvl w:ilvl="0">
      <w:start w:val="2"/>
      <w:numFmt w:val="decimal"/>
      <w:lvlText w:val="%1"/>
      <w:lvlJc w:val="left"/>
      <w:pPr>
        <w:ind w:left="1878" w:hanging="439"/>
        <w:jc w:val="left"/>
      </w:pPr>
      <w:rPr>
        <w:rFonts w:hint="default"/>
        <w:lang w:val="en-US" w:eastAsia="en-US" w:bidi="ar-SA"/>
      </w:rPr>
    </w:lvl>
    <w:lvl w:ilvl="1">
      <w:start w:val="1"/>
      <w:numFmt w:val="decimal"/>
      <w:lvlText w:val="%1.%2"/>
      <w:lvlJc w:val="left"/>
      <w:pPr>
        <w:ind w:left="1878" w:hanging="439"/>
        <w:jc w:val="left"/>
      </w:pPr>
      <w:rPr>
        <w:rFonts w:hint="default" w:ascii="Cambria" w:hAnsi="Cambria" w:eastAsia="Cambria" w:cs="Cambria"/>
        <w:b/>
        <w:bCs/>
        <w:i/>
        <w:iCs/>
        <w:spacing w:val="0"/>
        <w:w w:val="97"/>
        <w:sz w:val="22"/>
        <w:szCs w:val="22"/>
        <w:lang w:val="en-US" w:eastAsia="en-US" w:bidi="ar-SA"/>
      </w:rPr>
    </w:lvl>
    <w:lvl w:ilvl="2">
      <w:start w:val="0"/>
      <w:numFmt w:val="bullet"/>
      <w:lvlText w:val="•"/>
      <w:lvlJc w:val="left"/>
      <w:pPr>
        <w:ind w:left="3232" w:hanging="439"/>
      </w:pPr>
      <w:rPr>
        <w:rFonts w:hint="default"/>
        <w:lang w:val="en-US" w:eastAsia="en-US" w:bidi="ar-SA"/>
      </w:rPr>
    </w:lvl>
    <w:lvl w:ilvl="3">
      <w:start w:val="0"/>
      <w:numFmt w:val="bullet"/>
      <w:lvlText w:val="•"/>
      <w:lvlJc w:val="left"/>
      <w:pPr>
        <w:ind w:left="3908" w:hanging="439"/>
      </w:pPr>
      <w:rPr>
        <w:rFonts w:hint="default"/>
        <w:lang w:val="en-US" w:eastAsia="en-US" w:bidi="ar-SA"/>
      </w:rPr>
    </w:lvl>
    <w:lvl w:ilvl="4">
      <w:start w:val="0"/>
      <w:numFmt w:val="bullet"/>
      <w:lvlText w:val="•"/>
      <w:lvlJc w:val="left"/>
      <w:pPr>
        <w:ind w:left="4584" w:hanging="439"/>
      </w:pPr>
      <w:rPr>
        <w:rFonts w:hint="default"/>
        <w:lang w:val="en-US" w:eastAsia="en-US" w:bidi="ar-SA"/>
      </w:rPr>
    </w:lvl>
    <w:lvl w:ilvl="5">
      <w:start w:val="0"/>
      <w:numFmt w:val="bullet"/>
      <w:lvlText w:val="•"/>
      <w:lvlJc w:val="left"/>
      <w:pPr>
        <w:ind w:left="5260" w:hanging="439"/>
      </w:pPr>
      <w:rPr>
        <w:rFonts w:hint="default"/>
        <w:lang w:val="en-US" w:eastAsia="en-US" w:bidi="ar-SA"/>
      </w:rPr>
    </w:lvl>
    <w:lvl w:ilvl="6">
      <w:start w:val="0"/>
      <w:numFmt w:val="bullet"/>
      <w:lvlText w:val="•"/>
      <w:lvlJc w:val="left"/>
      <w:pPr>
        <w:ind w:left="5936" w:hanging="439"/>
      </w:pPr>
      <w:rPr>
        <w:rFonts w:hint="default"/>
        <w:lang w:val="en-US" w:eastAsia="en-US" w:bidi="ar-SA"/>
      </w:rPr>
    </w:lvl>
    <w:lvl w:ilvl="7">
      <w:start w:val="0"/>
      <w:numFmt w:val="bullet"/>
      <w:lvlText w:val="•"/>
      <w:lvlJc w:val="left"/>
      <w:pPr>
        <w:ind w:left="6612" w:hanging="439"/>
      </w:pPr>
      <w:rPr>
        <w:rFonts w:hint="default"/>
        <w:lang w:val="en-US" w:eastAsia="en-US" w:bidi="ar-SA"/>
      </w:rPr>
    </w:lvl>
    <w:lvl w:ilvl="8">
      <w:start w:val="0"/>
      <w:numFmt w:val="bullet"/>
      <w:lvlText w:val="•"/>
      <w:lvlJc w:val="left"/>
      <w:pPr>
        <w:ind w:left="7288" w:hanging="439"/>
      </w:pPr>
      <w:rPr>
        <w:rFonts w:hint="default"/>
        <w:lang w:val="en-US" w:eastAsia="en-US" w:bidi="ar-SA"/>
      </w:rPr>
    </w:lvl>
  </w:abstractNum>
  <w:abstractNum w:abstractNumId="90">
    <w:multiLevelType w:val="hybridMultilevel"/>
    <w:lvl w:ilvl="0">
      <w:start w:val="1"/>
      <w:numFmt w:val="decimal"/>
      <w:lvlText w:val="%1."/>
      <w:lvlJc w:val="left"/>
      <w:pPr>
        <w:ind w:left="1757" w:hanging="318"/>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1872"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160" w:hanging="241"/>
      </w:pPr>
      <w:rPr>
        <w:rFonts w:hint="default"/>
        <w:lang w:val="en-US" w:eastAsia="en-US" w:bidi="ar-SA"/>
      </w:rPr>
    </w:lvl>
    <w:lvl w:ilvl="3">
      <w:start w:val="0"/>
      <w:numFmt w:val="bullet"/>
      <w:lvlText w:val="•"/>
      <w:lvlJc w:val="left"/>
      <w:pPr>
        <w:ind w:left="2970" w:hanging="241"/>
      </w:pPr>
      <w:rPr>
        <w:rFonts w:hint="default"/>
        <w:lang w:val="en-US" w:eastAsia="en-US" w:bidi="ar-SA"/>
      </w:rPr>
    </w:lvl>
    <w:lvl w:ilvl="4">
      <w:start w:val="0"/>
      <w:numFmt w:val="bullet"/>
      <w:lvlText w:val="•"/>
      <w:lvlJc w:val="left"/>
      <w:pPr>
        <w:ind w:left="3780" w:hanging="241"/>
      </w:pPr>
      <w:rPr>
        <w:rFonts w:hint="default"/>
        <w:lang w:val="en-US" w:eastAsia="en-US" w:bidi="ar-SA"/>
      </w:rPr>
    </w:lvl>
    <w:lvl w:ilvl="5">
      <w:start w:val="0"/>
      <w:numFmt w:val="bullet"/>
      <w:lvlText w:val="•"/>
      <w:lvlJc w:val="left"/>
      <w:pPr>
        <w:ind w:left="4590" w:hanging="241"/>
      </w:pPr>
      <w:rPr>
        <w:rFonts w:hint="default"/>
        <w:lang w:val="en-US" w:eastAsia="en-US" w:bidi="ar-SA"/>
      </w:rPr>
    </w:lvl>
    <w:lvl w:ilvl="6">
      <w:start w:val="0"/>
      <w:numFmt w:val="bullet"/>
      <w:lvlText w:val="•"/>
      <w:lvlJc w:val="left"/>
      <w:pPr>
        <w:ind w:left="5400" w:hanging="241"/>
      </w:pPr>
      <w:rPr>
        <w:rFonts w:hint="default"/>
        <w:lang w:val="en-US" w:eastAsia="en-US" w:bidi="ar-SA"/>
      </w:rPr>
    </w:lvl>
    <w:lvl w:ilvl="7">
      <w:start w:val="0"/>
      <w:numFmt w:val="bullet"/>
      <w:lvlText w:val="•"/>
      <w:lvlJc w:val="left"/>
      <w:pPr>
        <w:ind w:left="6210" w:hanging="241"/>
      </w:pPr>
      <w:rPr>
        <w:rFonts w:hint="default"/>
        <w:lang w:val="en-US" w:eastAsia="en-US" w:bidi="ar-SA"/>
      </w:rPr>
    </w:lvl>
    <w:lvl w:ilvl="8">
      <w:start w:val="0"/>
      <w:numFmt w:val="bullet"/>
      <w:lvlText w:val="•"/>
      <w:lvlJc w:val="left"/>
      <w:pPr>
        <w:ind w:left="7020" w:hanging="241"/>
      </w:pPr>
      <w:rPr>
        <w:rFonts w:hint="default"/>
        <w:lang w:val="en-US" w:eastAsia="en-US" w:bidi="ar-SA"/>
      </w:rPr>
    </w:lvl>
  </w:abstractNum>
  <w:abstractNum w:abstractNumId="87">
    <w:multiLevelType w:val="hybridMultilevel"/>
    <w:lvl w:ilvl="0">
      <w:start w:val="1"/>
      <w:numFmt w:val="lowerLetter"/>
      <w:lvlText w:val="%1."/>
      <w:lvlJc w:val="left"/>
      <w:pPr>
        <w:ind w:left="2159" w:hanging="315"/>
        <w:jc w:val="left"/>
      </w:pPr>
      <w:rPr>
        <w:rFonts w:hint="default" w:ascii="Times New Roman" w:hAnsi="Times New Roman" w:eastAsia="Times New Roman" w:cs="Times New Roman"/>
        <w:b w:val="0"/>
        <w:bCs w:val="0"/>
        <w:i w:val="0"/>
        <w:iCs w:val="0"/>
        <w:spacing w:val="-5"/>
        <w:w w:val="99"/>
        <w:sz w:val="20"/>
        <w:szCs w:val="20"/>
        <w:lang w:val="en-US" w:eastAsia="en-US" w:bidi="ar-SA"/>
      </w:rPr>
    </w:lvl>
    <w:lvl w:ilvl="1">
      <w:start w:val="0"/>
      <w:numFmt w:val="bullet"/>
      <w:lvlText w:val="•"/>
      <w:lvlJc w:val="left"/>
      <w:pPr>
        <w:ind w:left="252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520" w:hanging="241"/>
      </w:pPr>
      <w:rPr>
        <w:rFonts w:hint="default"/>
        <w:lang w:val="en-US" w:eastAsia="en-US" w:bidi="ar-SA"/>
      </w:rPr>
    </w:lvl>
    <w:lvl w:ilvl="3">
      <w:start w:val="0"/>
      <w:numFmt w:val="bullet"/>
      <w:lvlText w:val="•"/>
      <w:lvlJc w:val="left"/>
      <w:pPr>
        <w:ind w:left="3285" w:hanging="241"/>
      </w:pPr>
      <w:rPr>
        <w:rFonts w:hint="default"/>
        <w:lang w:val="en-US" w:eastAsia="en-US" w:bidi="ar-SA"/>
      </w:rPr>
    </w:lvl>
    <w:lvl w:ilvl="4">
      <w:start w:val="0"/>
      <w:numFmt w:val="bullet"/>
      <w:lvlText w:val="•"/>
      <w:lvlJc w:val="left"/>
      <w:pPr>
        <w:ind w:left="4050" w:hanging="241"/>
      </w:pPr>
      <w:rPr>
        <w:rFonts w:hint="default"/>
        <w:lang w:val="en-US" w:eastAsia="en-US" w:bidi="ar-SA"/>
      </w:rPr>
    </w:lvl>
    <w:lvl w:ilvl="5">
      <w:start w:val="0"/>
      <w:numFmt w:val="bullet"/>
      <w:lvlText w:val="•"/>
      <w:lvlJc w:val="left"/>
      <w:pPr>
        <w:ind w:left="4815" w:hanging="241"/>
      </w:pPr>
      <w:rPr>
        <w:rFonts w:hint="default"/>
        <w:lang w:val="en-US" w:eastAsia="en-US" w:bidi="ar-SA"/>
      </w:rPr>
    </w:lvl>
    <w:lvl w:ilvl="6">
      <w:start w:val="0"/>
      <w:numFmt w:val="bullet"/>
      <w:lvlText w:val="•"/>
      <w:lvlJc w:val="left"/>
      <w:pPr>
        <w:ind w:left="5580" w:hanging="241"/>
      </w:pPr>
      <w:rPr>
        <w:rFonts w:hint="default"/>
        <w:lang w:val="en-US" w:eastAsia="en-US" w:bidi="ar-SA"/>
      </w:rPr>
    </w:lvl>
    <w:lvl w:ilvl="7">
      <w:start w:val="0"/>
      <w:numFmt w:val="bullet"/>
      <w:lvlText w:val="•"/>
      <w:lvlJc w:val="left"/>
      <w:pPr>
        <w:ind w:left="6345" w:hanging="241"/>
      </w:pPr>
      <w:rPr>
        <w:rFonts w:hint="default"/>
        <w:lang w:val="en-US" w:eastAsia="en-US" w:bidi="ar-SA"/>
      </w:rPr>
    </w:lvl>
    <w:lvl w:ilvl="8">
      <w:start w:val="0"/>
      <w:numFmt w:val="bullet"/>
      <w:lvlText w:val="•"/>
      <w:lvlJc w:val="left"/>
      <w:pPr>
        <w:ind w:left="7110" w:hanging="241"/>
      </w:pPr>
      <w:rPr>
        <w:rFonts w:hint="default"/>
        <w:lang w:val="en-US" w:eastAsia="en-US" w:bidi="ar-SA"/>
      </w:rPr>
    </w:lvl>
  </w:abstractNum>
  <w:abstractNum w:abstractNumId="86">
    <w:multiLevelType w:val="hybridMultilevel"/>
    <w:lvl w:ilvl="0">
      <w:start w:val="1"/>
      <w:numFmt w:val="upperRoman"/>
      <w:lvlText w:val="%1."/>
      <w:lvlJc w:val="left"/>
      <w:pPr>
        <w:ind w:left="1628" w:hanging="189"/>
        <w:jc w:val="left"/>
      </w:pPr>
      <w:rPr>
        <w:rFonts w:hint="default" w:ascii="Tahoma" w:hAnsi="Tahoma" w:eastAsia="Tahoma" w:cs="Tahoma"/>
        <w:b/>
        <w:bCs/>
        <w:i w:val="0"/>
        <w:iCs w:val="0"/>
        <w:spacing w:val="0"/>
        <w:w w:val="57"/>
        <w:sz w:val="23"/>
        <w:szCs w:val="23"/>
        <w:lang w:val="en-US" w:eastAsia="en-US" w:bidi="ar-SA"/>
      </w:rPr>
    </w:lvl>
    <w:lvl w:ilvl="1">
      <w:start w:val="1"/>
      <w:numFmt w:val="decimal"/>
      <w:lvlText w:val="%2."/>
      <w:lvlJc w:val="left"/>
      <w:pPr>
        <w:ind w:left="1752" w:hanging="313"/>
        <w:jc w:val="left"/>
      </w:pPr>
      <w:rPr>
        <w:rFonts w:hint="default" w:ascii="Cambria" w:hAnsi="Cambria" w:eastAsia="Cambria" w:cs="Cambria"/>
        <w:b/>
        <w:bCs/>
        <w:i/>
        <w:iCs/>
        <w:spacing w:val="0"/>
        <w:w w:val="97"/>
        <w:sz w:val="22"/>
        <w:szCs w:val="22"/>
        <w:lang w:val="en-US" w:eastAsia="en-US" w:bidi="ar-SA"/>
      </w:rPr>
    </w:lvl>
    <w:lvl w:ilvl="2">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2160" w:hanging="241"/>
      </w:pPr>
      <w:rPr>
        <w:rFonts w:hint="default"/>
        <w:lang w:val="en-US" w:eastAsia="en-US" w:bidi="ar-SA"/>
      </w:rPr>
    </w:lvl>
    <w:lvl w:ilvl="4">
      <w:start w:val="0"/>
      <w:numFmt w:val="bullet"/>
      <w:lvlText w:val="•"/>
      <w:lvlJc w:val="left"/>
      <w:pPr>
        <w:ind w:left="2414" w:hanging="241"/>
      </w:pPr>
      <w:rPr>
        <w:rFonts w:hint="default"/>
        <w:lang w:val="en-US" w:eastAsia="en-US" w:bidi="ar-SA"/>
      </w:rPr>
    </w:lvl>
    <w:lvl w:ilvl="5">
      <w:start w:val="0"/>
      <w:numFmt w:val="bullet"/>
      <w:lvlText w:val="•"/>
      <w:lvlJc w:val="left"/>
      <w:pPr>
        <w:ind w:left="2669" w:hanging="241"/>
      </w:pPr>
      <w:rPr>
        <w:rFonts w:hint="default"/>
        <w:lang w:val="en-US" w:eastAsia="en-US" w:bidi="ar-SA"/>
      </w:rPr>
    </w:lvl>
    <w:lvl w:ilvl="6">
      <w:start w:val="0"/>
      <w:numFmt w:val="bullet"/>
      <w:lvlText w:val="•"/>
      <w:lvlJc w:val="left"/>
      <w:pPr>
        <w:ind w:left="2923" w:hanging="241"/>
      </w:pPr>
      <w:rPr>
        <w:rFonts w:hint="default"/>
        <w:lang w:val="en-US" w:eastAsia="en-US" w:bidi="ar-SA"/>
      </w:rPr>
    </w:lvl>
    <w:lvl w:ilvl="7">
      <w:start w:val="0"/>
      <w:numFmt w:val="bullet"/>
      <w:lvlText w:val="•"/>
      <w:lvlJc w:val="left"/>
      <w:pPr>
        <w:ind w:left="3178" w:hanging="241"/>
      </w:pPr>
      <w:rPr>
        <w:rFonts w:hint="default"/>
        <w:lang w:val="en-US" w:eastAsia="en-US" w:bidi="ar-SA"/>
      </w:rPr>
    </w:lvl>
    <w:lvl w:ilvl="8">
      <w:start w:val="0"/>
      <w:numFmt w:val="bullet"/>
      <w:lvlText w:val="•"/>
      <w:lvlJc w:val="left"/>
      <w:pPr>
        <w:ind w:left="3432" w:hanging="241"/>
      </w:pPr>
      <w:rPr>
        <w:rFonts w:hint="default"/>
        <w:lang w:val="en-US" w:eastAsia="en-US" w:bidi="ar-SA"/>
      </w:rPr>
    </w:lvl>
  </w:abstractNum>
  <w:abstractNum w:abstractNumId="85">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83">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81">
    <w:multiLevelType w:val="hybridMultilevel"/>
    <w:lvl w:ilvl="0">
      <w:start w:val="1"/>
      <w:numFmt w:val="decimal"/>
      <w:lvlText w:val="%1."/>
      <w:lvlJc w:val="left"/>
      <w:pPr>
        <w:ind w:left="1693" w:hanging="254"/>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394" w:hanging="254"/>
      </w:pPr>
      <w:rPr>
        <w:rFonts w:hint="default"/>
        <w:lang w:val="en-US" w:eastAsia="en-US" w:bidi="ar-SA"/>
      </w:rPr>
    </w:lvl>
    <w:lvl w:ilvl="2">
      <w:start w:val="0"/>
      <w:numFmt w:val="bullet"/>
      <w:lvlText w:val="•"/>
      <w:lvlJc w:val="left"/>
      <w:pPr>
        <w:ind w:left="3088" w:hanging="254"/>
      </w:pPr>
      <w:rPr>
        <w:rFonts w:hint="default"/>
        <w:lang w:val="en-US" w:eastAsia="en-US" w:bidi="ar-SA"/>
      </w:rPr>
    </w:lvl>
    <w:lvl w:ilvl="3">
      <w:start w:val="0"/>
      <w:numFmt w:val="bullet"/>
      <w:lvlText w:val="•"/>
      <w:lvlJc w:val="left"/>
      <w:pPr>
        <w:ind w:left="3782" w:hanging="254"/>
      </w:pPr>
      <w:rPr>
        <w:rFonts w:hint="default"/>
        <w:lang w:val="en-US" w:eastAsia="en-US" w:bidi="ar-SA"/>
      </w:rPr>
    </w:lvl>
    <w:lvl w:ilvl="4">
      <w:start w:val="0"/>
      <w:numFmt w:val="bullet"/>
      <w:lvlText w:val="•"/>
      <w:lvlJc w:val="left"/>
      <w:pPr>
        <w:ind w:left="4476" w:hanging="254"/>
      </w:pPr>
      <w:rPr>
        <w:rFonts w:hint="default"/>
        <w:lang w:val="en-US" w:eastAsia="en-US" w:bidi="ar-SA"/>
      </w:rPr>
    </w:lvl>
    <w:lvl w:ilvl="5">
      <w:start w:val="0"/>
      <w:numFmt w:val="bullet"/>
      <w:lvlText w:val="•"/>
      <w:lvlJc w:val="left"/>
      <w:pPr>
        <w:ind w:left="5170" w:hanging="254"/>
      </w:pPr>
      <w:rPr>
        <w:rFonts w:hint="default"/>
        <w:lang w:val="en-US" w:eastAsia="en-US" w:bidi="ar-SA"/>
      </w:rPr>
    </w:lvl>
    <w:lvl w:ilvl="6">
      <w:start w:val="0"/>
      <w:numFmt w:val="bullet"/>
      <w:lvlText w:val="•"/>
      <w:lvlJc w:val="left"/>
      <w:pPr>
        <w:ind w:left="5864" w:hanging="254"/>
      </w:pPr>
      <w:rPr>
        <w:rFonts w:hint="default"/>
        <w:lang w:val="en-US" w:eastAsia="en-US" w:bidi="ar-SA"/>
      </w:rPr>
    </w:lvl>
    <w:lvl w:ilvl="7">
      <w:start w:val="0"/>
      <w:numFmt w:val="bullet"/>
      <w:lvlText w:val="•"/>
      <w:lvlJc w:val="left"/>
      <w:pPr>
        <w:ind w:left="6558" w:hanging="254"/>
      </w:pPr>
      <w:rPr>
        <w:rFonts w:hint="default"/>
        <w:lang w:val="en-US" w:eastAsia="en-US" w:bidi="ar-SA"/>
      </w:rPr>
    </w:lvl>
    <w:lvl w:ilvl="8">
      <w:start w:val="0"/>
      <w:numFmt w:val="bullet"/>
      <w:lvlText w:val="•"/>
      <w:lvlJc w:val="left"/>
      <w:pPr>
        <w:ind w:left="7252" w:hanging="254"/>
      </w:pPr>
      <w:rPr>
        <w:rFonts w:hint="default"/>
        <w:lang w:val="en-US" w:eastAsia="en-US" w:bidi="ar-SA"/>
      </w:rPr>
    </w:lvl>
  </w:abstractNum>
  <w:abstractNum w:abstractNumId="80">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76">
    <w:multiLevelType w:val="hybridMultilevel"/>
    <w:lvl w:ilvl="0">
      <w:start w:val="1"/>
      <w:numFmt w:val="decimal"/>
      <w:lvlText w:val="%1."/>
      <w:lvlJc w:val="left"/>
      <w:pPr>
        <w:ind w:left="1686" w:hanging="247"/>
        <w:jc w:val="left"/>
      </w:pPr>
      <w:rPr>
        <w:rFonts w:hint="default" w:ascii="Tahoma" w:hAnsi="Tahoma" w:eastAsia="Tahoma" w:cs="Tahoma"/>
        <w:b/>
        <w:bCs/>
        <w:i w:val="0"/>
        <w:iCs w:val="0"/>
        <w:spacing w:val="0"/>
        <w:w w:val="87"/>
        <w:sz w:val="23"/>
        <w:szCs w:val="23"/>
        <w:lang w:val="en-US" w:eastAsia="en-US" w:bidi="ar-SA"/>
      </w:rPr>
    </w:lvl>
    <w:lvl w:ilvl="1">
      <w:start w:val="0"/>
      <w:numFmt w:val="bullet"/>
      <w:lvlText w:val="•"/>
      <w:lvlJc w:val="left"/>
      <w:pPr>
        <w:ind w:left="2376" w:hanging="247"/>
      </w:pPr>
      <w:rPr>
        <w:rFonts w:hint="default"/>
        <w:lang w:val="en-US" w:eastAsia="en-US" w:bidi="ar-SA"/>
      </w:rPr>
    </w:lvl>
    <w:lvl w:ilvl="2">
      <w:start w:val="0"/>
      <w:numFmt w:val="bullet"/>
      <w:lvlText w:val="•"/>
      <w:lvlJc w:val="left"/>
      <w:pPr>
        <w:ind w:left="3072" w:hanging="247"/>
      </w:pPr>
      <w:rPr>
        <w:rFonts w:hint="default"/>
        <w:lang w:val="en-US" w:eastAsia="en-US" w:bidi="ar-SA"/>
      </w:rPr>
    </w:lvl>
    <w:lvl w:ilvl="3">
      <w:start w:val="0"/>
      <w:numFmt w:val="bullet"/>
      <w:lvlText w:val="•"/>
      <w:lvlJc w:val="left"/>
      <w:pPr>
        <w:ind w:left="3768" w:hanging="247"/>
      </w:pPr>
      <w:rPr>
        <w:rFonts w:hint="default"/>
        <w:lang w:val="en-US" w:eastAsia="en-US" w:bidi="ar-SA"/>
      </w:rPr>
    </w:lvl>
    <w:lvl w:ilvl="4">
      <w:start w:val="0"/>
      <w:numFmt w:val="bullet"/>
      <w:lvlText w:val="•"/>
      <w:lvlJc w:val="left"/>
      <w:pPr>
        <w:ind w:left="4464" w:hanging="247"/>
      </w:pPr>
      <w:rPr>
        <w:rFonts w:hint="default"/>
        <w:lang w:val="en-US" w:eastAsia="en-US" w:bidi="ar-SA"/>
      </w:rPr>
    </w:lvl>
    <w:lvl w:ilvl="5">
      <w:start w:val="0"/>
      <w:numFmt w:val="bullet"/>
      <w:lvlText w:val="•"/>
      <w:lvlJc w:val="left"/>
      <w:pPr>
        <w:ind w:left="5160" w:hanging="247"/>
      </w:pPr>
      <w:rPr>
        <w:rFonts w:hint="default"/>
        <w:lang w:val="en-US" w:eastAsia="en-US" w:bidi="ar-SA"/>
      </w:rPr>
    </w:lvl>
    <w:lvl w:ilvl="6">
      <w:start w:val="0"/>
      <w:numFmt w:val="bullet"/>
      <w:lvlText w:val="•"/>
      <w:lvlJc w:val="left"/>
      <w:pPr>
        <w:ind w:left="5856" w:hanging="247"/>
      </w:pPr>
      <w:rPr>
        <w:rFonts w:hint="default"/>
        <w:lang w:val="en-US" w:eastAsia="en-US" w:bidi="ar-SA"/>
      </w:rPr>
    </w:lvl>
    <w:lvl w:ilvl="7">
      <w:start w:val="0"/>
      <w:numFmt w:val="bullet"/>
      <w:lvlText w:val="•"/>
      <w:lvlJc w:val="left"/>
      <w:pPr>
        <w:ind w:left="6552" w:hanging="247"/>
      </w:pPr>
      <w:rPr>
        <w:rFonts w:hint="default"/>
        <w:lang w:val="en-US" w:eastAsia="en-US" w:bidi="ar-SA"/>
      </w:rPr>
    </w:lvl>
    <w:lvl w:ilvl="8">
      <w:start w:val="0"/>
      <w:numFmt w:val="bullet"/>
      <w:lvlText w:val="•"/>
      <w:lvlJc w:val="left"/>
      <w:pPr>
        <w:ind w:left="7248" w:hanging="247"/>
      </w:pPr>
      <w:rPr>
        <w:rFonts w:hint="default"/>
        <w:lang w:val="en-US" w:eastAsia="en-US" w:bidi="ar-SA"/>
      </w:rPr>
    </w:lvl>
  </w:abstractNum>
  <w:abstractNum w:abstractNumId="72">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71">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69">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68">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67">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66">
    <w:multiLevelType w:val="hybridMultilevel"/>
    <w:lvl w:ilvl="0">
      <w:start w:val="1"/>
      <w:numFmt w:val="decimal"/>
      <w:lvlText w:val="%1."/>
      <w:lvlJc w:val="left"/>
      <w:pPr>
        <w:ind w:left="1631" w:hanging="192"/>
        <w:jc w:val="left"/>
      </w:pPr>
      <w:rPr>
        <w:rFonts w:hint="default" w:ascii="Tahoma" w:hAnsi="Tahoma" w:eastAsia="Tahoma" w:cs="Tahoma"/>
        <w:b/>
        <w:bCs/>
        <w:i w:val="0"/>
        <w:iCs w:val="0"/>
        <w:spacing w:val="-3"/>
        <w:w w:val="85"/>
        <w:sz w:val="21"/>
        <w:szCs w:val="21"/>
        <w:lang w:val="en-US" w:eastAsia="en-US" w:bidi="ar-SA"/>
      </w:rPr>
    </w:lvl>
    <w:lvl w:ilvl="1">
      <w:start w:val="1"/>
      <w:numFmt w:val="decimal"/>
      <w:lvlText w:val="%1.%2"/>
      <w:lvlJc w:val="left"/>
      <w:pPr>
        <w:ind w:left="1860" w:hanging="421"/>
        <w:jc w:val="left"/>
      </w:pPr>
      <w:rPr>
        <w:rFonts w:hint="default" w:ascii="Cambria" w:hAnsi="Cambria" w:eastAsia="Cambria" w:cs="Cambria"/>
        <w:b/>
        <w:bCs/>
        <w:i/>
        <w:iCs/>
        <w:spacing w:val="0"/>
        <w:w w:val="97"/>
        <w:sz w:val="22"/>
        <w:szCs w:val="22"/>
        <w:lang w:val="en-US" w:eastAsia="en-US" w:bidi="ar-SA"/>
      </w:rPr>
    </w:lvl>
    <w:lvl w:ilvl="2">
      <w:start w:val="1"/>
      <w:numFmt w:val="decimal"/>
      <w:lvlText w:val="%3."/>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3">
      <w:start w:val="0"/>
      <w:numFmt w:val="bullet"/>
      <w:lvlText w:val="•"/>
      <w:lvlJc w:val="left"/>
      <w:pPr>
        <w:ind w:left="2970" w:hanging="315"/>
      </w:pPr>
      <w:rPr>
        <w:rFonts w:hint="default"/>
        <w:lang w:val="en-US" w:eastAsia="en-US" w:bidi="ar-SA"/>
      </w:rPr>
    </w:lvl>
    <w:lvl w:ilvl="4">
      <w:start w:val="0"/>
      <w:numFmt w:val="bullet"/>
      <w:lvlText w:val="•"/>
      <w:lvlJc w:val="left"/>
      <w:pPr>
        <w:ind w:left="3780" w:hanging="315"/>
      </w:pPr>
      <w:rPr>
        <w:rFonts w:hint="default"/>
        <w:lang w:val="en-US" w:eastAsia="en-US" w:bidi="ar-SA"/>
      </w:rPr>
    </w:lvl>
    <w:lvl w:ilvl="5">
      <w:start w:val="0"/>
      <w:numFmt w:val="bullet"/>
      <w:lvlText w:val="•"/>
      <w:lvlJc w:val="left"/>
      <w:pPr>
        <w:ind w:left="4590" w:hanging="315"/>
      </w:pPr>
      <w:rPr>
        <w:rFonts w:hint="default"/>
        <w:lang w:val="en-US" w:eastAsia="en-US" w:bidi="ar-SA"/>
      </w:rPr>
    </w:lvl>
    <w:lvl w:ilvl="6">
      <w:start w:val="0"/>
      <w:numFmt w:val="bullet"/>
      <w:lvlText w:val="•"/>
      <w:lvlJc w:val="left"/>
      <w:pPr>
        <w:ind w:left="5400" w:hanging="315"/>
      </w:pPr>
      <w:rPr>
        <w:rFonts w:hint="default"/>
        <w:lang w:val="en-US" w:eastAsia="en-US" w:bidi="ar-SA"/>
      </w:rPr>
    </w:lvl>
    <w:lvl w:ilvl="7">
      <w:start w:val="0"/>
      <w:numFmt w:val="bullet"/>
      <w:lvlText w:val="•"/>
      <w:lvlJc w:val="left"/>
      <w:pPr>
        <w:ind w:left="6210" w:hanging="315"/>
      </w:pPr>
      <w:rPr>
        <w:rFonts w:hint="default"/>
        <w:lang w:val="en-US" w:eastAsia="en-US" w:bidi="ar-SA"/>
      </w:rPr>
    </w:lvl>
    <w:lvl w:ilvl="8">
      <w:start w:val="0"/>
      <w:numFmt w:val="bullet"/>
      <w:lvlText w:val="•"/>
      <w:lvlJc w:val="left"/>
      <w:pPr>
        <w:ind w:left="7020" w:hanging="315"/>
      </w:pPr>
      <w:rPr>
        <w:rFonts w:hint="default"/>
        <w:lang w:val="en-US" w:eastAsia="en-US" w:bidi="ar-SA"/>
      </w:rPr>
    </w:lvl>
  </w:abstractNum>
  <w:abstractNum w:abstractNumId="61">
    <w:multiLevelType w:val="hybridMultilevel"/>
    <w:lvl w:ilvl="0">
      <w:start w:val="1"/>
      <w:numFmt w:val="decimal"/>
      <w:lvlText w:val="%1."/>
      <w:lvlJc w:val="left"/>
      <w:pPr>
        <w:ind w:left="1681" w:hanging="242"/>
        <w:jc w:val="left"/>
      </w:pPr>
      <w:rPr>
        <w:rFonts w:hint="default" w:ascii="Tahoma" w:hAnsi="Tahoma" w:eastAsia="Tahoma" w:cs="Tahoma"/>
        <w:b/>
        <w:bCs/>
        <w:i w:val="0"/>
        <w:iCs w:val="0"/>
        <w:spacing w:val="0"/>
        <w:w w:val="87"/>
        <w:sz w:val="23"/>
        <w:szCs w:val="23"/>
        <w:lang w:val="en-US" w:eastAsia="en-US" w:bidi="ar-SA"/>
      </w:rPr>
    </w:lvl>
    <w:lvl w:ilvl="1">
      <w:start w:val="1"/>
      <w:numFmt w:val="decimal"/>
      <w:lvlText w:val="%1.%2"/>
      <w:lvlJc w:val="left"/>
      <w:pPr>
        <w:ind w:left="1440" w:hanging="426"/>
        <w:jc w:val="left"/>
      </w:pPr>
      <w:rPr>
        <w:rFonts w:hint="default" w:ascii="Cambria" w:hAnsi="Cambria" w:eastAsia="Cambria" w:cs="Cambria"/>
        <w:b/>
        <w:bCs/>
        <w:i/>
        <w:iCs/>
        <w:spacing w:val="0"/>
        <w:w w:val="97"/>
        <w:sz w:val="22"/>
        <w:szCs w:val="22"/>
        <w:lang w:val="en-US" w:eastAsia="en-US" w:bidi="ar-SA"/>
      </w:rPr>
    </w:lvl>
    <w:lvl w:ilvl="2">
      <w:start w:val="1"/>
      <w:numFmt w:val="decimal"/>
      <w:lvlText w:val="%3)"/>
      <w:lvlJc w:val="left"/>
      <w:pPr>
        <w:ind w:left="2160" w:hanging="330"/>
        <w:jc w:val="left"/>
      </w:pPr>
      <w:rPr>
        <w:rFonts w:hint="default" w:ascii="Times New Roman" w:hAnsi="Times New Roman" w:eastAsia="Times New Roman" w:cs="Times New Roman"/>
        <w:b w:val="0"/>
        <w:bCs w:val="0"/>
        <w:i w:val="0"/>
        <w:iCs w:val="0"/>
        <w:spacing w:val="-6"/>
        <w:w w:val="99"/>
        <w:sz w:val="19"/>
        <w:szCs w:val="19"/>
        <w:lang w:val="en-US" w:eastAsia="en-US" w:bidi="ar-SA"/>
      </w:rPr>
    </w:lvl>
    <w:lvl w:ilvl="3">
      <w:start w:val="0"/>
      <w:numFmt w:val="bullet"/>
      <w:lvlText w:val="•"/>
      <w:lvlJc w:val="left"/>
      <w:pPr>
        <w:ind w:left="2970" w:hanging="330"/>
      </w:pPr>
      <w:rPr>
        <w:rFonts w:hint="default"/>
        <w:lang w:val="en-US" w:eastAsia="en-US" w:bidi="ar-SA"/>
      </w:rPr>
    </w:lvl>
    <w:lvl w:ilvl="4">
      <w:start w:val="0"/>
      <w:numFmt w:val="bullet"/>
      <w:lvlText w:val="•"/>
      <w:lvlJc w:val="left"/>
      <w:pPr>
        <w:ind w:left="3780" w:hanging="330"/>
      </w:pPr>
      <w:rPr>
        <w:rFonts w:hint="default"/>
        <w:lang w:val="en-US" w:eastAsia="en-US" w:bidi="ar-SA"/>
      </w:rPr>
    </w:lvl>
    <w:lvl w:ilvl="5">
      <w:start w:val="0"/>
      <w:numFmt w:val="bullet"/>
      <w:lvlText w:val="•"/>
      <w:lvlJc w:val="left"/>
      <w:pPr>
        <w:ind w:left="4590" w:hanging="330"/>
      </w:pPr>
      <w:rPr>
        <w:rFonts w:hint="default"/>
        <w:lang w:val="en-US" w:eastAsia="en-US" w:bidi="ar-SA"/>
      </w:rPr>
    </w:lvl>
    <w:lvl w:ilvl="6">
      <w:start w:val="0"/>
      <w:numFmt w:val="bullet"/>
      <w:lvlText w:val="•"/>
      <w:lvlJc w:val="left"/>
      <w:pPr>
        <w:ind w:left="5400" w:hanging="330"/>
      </w:pPr>
      <w:rPr>
        <w:rFonts w:hint="default"/>
        <w:lang w:val="en-US" w:eastAsia="en-US" w:bidi="ar-SA"/>
      </w:rPr>
    </w:lvl>
    <w:lvl w:ilvl="7">
      <w:start w:val="0"/>
      <w:numFmt w:val="bullet"/>
      <w:lvlText w:val="•"/>
      <w:lvlJc w:val="left"/>
      <w:pPr>
        <w:ind w:left="6210" w:hanging="330"/>
      </w:pPr>
      <w:rPr>
        <w:rFonts w:hint="default"/>
        <w:lang w:val="en-US" w:eastAsia="en-US" w:bidi="ar-SA"/>
      </w:rPr>
    </w:lvl>
    <w:lvl w:ilvl="8">
      <w:start w:val="0"/>
      <w:numFmt w:val="bullet"/>
      <w:lvlText w:val="•"/>
      <w:lvlJc w:val="left"/>
      <w:pPr>
        <w:ind w:left="7020" w:hanging="330"/>
      </w:pPr>
      <w:rPr>
        <w:rFonts w:hint="default"/>
        <w:lang w:val="en-US" w:eastAsia="en-US" w:bidi="ar-SA"/>
      </w:rPr>
    </w:lvl>
  </w:abstractNum>
  <w:abstractNum w:abstractNumId="60">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58">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59">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57">
    <w:multiLevelType w:val="hybridMultilevel"/>
    <w:lvl w:ilvl="0">
      <w:start w:val="1"/>
      <w:numFmt w:val="decimal"/>
      <w:lvlText w:val="%1."/>
      <w:lvlJc w:val="left"/>
      <w:pPr>
        <w:ind w:left="1686" w:hanging="247"/>
        <w:jc w:val="left"/>
      </w:pPr>
      <w:rPr>
        <w:rFonts w:hint="default" w:ascii="Tahoma" w:hAnsi="Tahoma" w:eastAsia="Tahoma" w:cs="Tahoma"/>
        <w:b/>
        <w:bCs/>
        <w:i w:val="0"/>
        <w:iCs w:val="0"/>
        <w:spacing w:val="0"/>
        <w:w w:val="87"/>
        <w:sz w:val="23"/>
        <w:szCs w:val="23"/>
        <w:lang w:val="en-US" w:eastAsia="en-US" w:bidi="ar-SA"/>
      </w:rPr>
    </w:lvl>
    <w:lvl w:ilvl="1">
      <w:start w:val="1"/>
      <w:numFmt w:val="decimal"/>
      <w:lvlText w:val="%1.%2"/>
      <w:lvlJc w:val="left"/>
      <w:pPr>
        <w:ind w:left="1814" w:hanging="375"/>
        <w:jc w:val="left"/>
      </w:pPr>
      <w:rPr>
        <w:rFonts w:hint="default" w:ascii="Cambria" w:hAnsi="Cambria" w:eastAsia="Cambria" w:cs="Cambria"/>
        <w:b/>
        <w:bCs/>
        <w:i/>
        <w:iCs/>
        <w:spacing w:val="0"/>
        <w:w w:val="97"/>
        <w:sz w:val="22"/>
        <w:szCs w:val="22"/>
        <w:lang w:val="en-US" w:eastAsia="en-US" w:bidi="ar-SA"/>
      </w:rPr>
    </w:lvl>
    <w:lvl w:ilvl="2">
      <w:start w:val="0"/>
      <w:numFmt w:val="bullet"/>
      <w:lvlText w:val="•"/>
      <w:lvlJc w:val="left"/>
      <w:pPr>
        <w:ind w:left="2577" w:hanging="375"/>
      </w:pPr>
      <w:rPr>
        <w:rFonts w:hint="default"/>
        <w:lang w:val="en-US" w:eastAsia="en-US" w:bidi="ar-SA"/>
      </w:rPr>
    </w:lvl>
    <w:lvl w:ilvl="3">
      <w:start w:val="0"/>
      <w:numFmt w:val="bullet"/>
      <w:lvlText w:val="•"/>
      <w:lvlJc w:val="left"/>
      <w:pPr>
        <w:ind w:left="3335" w:hanging="375"/>
      </w:pPr>
      <w:rPr>
        <w:rFonts w:hint="default"/>
        <w:lang w:val="en-US" w:eastAsia="en-US" w:bidi="ar-SA"/>
      </w:rPr>
    </w:lvl>
    <w:lvl w:ilvl="4">
      <w:start w:val="0"/>
      <w:numFmt w:val="bullet"/>
      <w:lvlText w:val="•"/>
      <w:lvlJc w:val="left"/>
      <w:pPr>
        <w:ind w:left="4093" w:hanging="375"/>
      </w:pPr>
      <w:rPr>
        <w:rFonts w:hint="default"/>
        <w:lang w:val="en-US" w:eastAsia="en-US" w:bidi="ar-SA"/>
      </w:rPr>
    </w:lvl>
    <w:lvl w:ilvl="5">
      <w:start w:val="0"/>
      <w:numFmt w:val="bullet"/>
      <w:lvlText w:val="•"/>
      <w:lvlJc w:val="left"/>
      <w:pPr>
        <w:ind w:left="4851" w:hanging="375"/>
      </w:pPr>
      <w:rPr>
        <w:rFonts w:hint="default"/>
        <w:lang w:val="en-US" w:eastAsia="en-US" w:bidi="ar-SA"/>
      </w:rPr>
    </w:lvl>
    <w:lvl w:ilvl="6">
      <w:start w:val="0"/>
      <w:numFmt w:val="bullet"/>
      <w:lvlText w:val="•"/>
      <w:lvlJc w:val="left"/>
      <w:pPr>
        <w:ind w:left="5608" w:hanging="375"/>
      </w:pPr>
      <w:rPr>
        <w:rFonts w:hint="default"/>
        <w:lang w:val="en-US" w:eastAsia="en-US" w:bidi="ar-SA"/>
      </w:rPr>
    </w:lvl>
    <w:lvl w:ilvl="7">
      <w:start w:val="0"/>
      <w:numFmt w:val="bullet"/>
      <w:lvlText w:val="•"/>
      <w:lvlJc w:val="left"/>
      <w:pPr>
        <w:ind w:left="6366" w:hanging="375"/>
      </w:pPr>
      <w:rPr>
        <w:rFonts w:hint="default"/>
        <w:lang w:val="en-US" w:eastAsia="en-US" w:bidi="ar-SA"/>
      </w:rPr>
    </w:lvl>
    <w:lvl w:ilvl="8">
      <w:start w:val="0"/>
      <w:numFmt w:val="bullet"/>
      <w:lvlText w:val="•"/>
      <w:lvlJc w:val="left"/>
      <w:pPr>
        <w:ind w:left="7124" w:hanging="375"/>
      </w:pPr>
      <w:rPr>
        <w:rFonts w:hint="default"/>
        <w:lang w:val="en-US" w:eastAsia="en-US" w:bidi="ar-SA"/>
      </w:rPr>
    </w:lvl>
  </w:abstractNum>
  <w:abstractNum w:abstractNumId="56">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54">
    <w:multiLevelType w:val="hybridMultilevel"/>
    <w:lvl w:ilvl="0">
      <w:start w:val="1"/>
      <w:numFmt w:val="decimal"/>
      <w:lvlText w:val="%1."/>
      <w:lvlJc w:val="left"/>
      <w:pPr>
        <w:ind w:left="1752" w:hanging="313"/>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52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3285" w:hanging="241"/>
      </w:pPr>
      <w:rPr>
        <w:rFonts w:hint="default"/>
        <w:lang w:val="en-US" w:eastAsia="en-US" w:bidi="ar-SA"/>
      </w:rPr>
    </w:lvl>
    <w:lvl w:ilvl="4">
      <w:start w:val="0"/>
      <w:numFmt w:val="bullet"/>
      <w:lvlText w:val="•"/>
      <w:lvlJc w:val="left"/>
      <w:pPr>
        <w:ind w:left="4050" w:hanging="241"/>
      </w:pPr>
      <w:rPr>
        <w:rFonts w:hint="default"/>
        <w:lang w:val="en-US" w:eastAsia="en-US" w:bidi="ar-SA"/>
      </w:rPr>
    </w:lvl>
    <w:lvl w:ilvl="5">
      <w:start w:val="0"/>
      <w:numFmt w:val="bullet"/>
      <w:lvlText w:val="•"/>
      <w:lvlJc w:val="left"/>
      <w:pPr>
        <w:ind w:left="4815" w:hanging="241"/>
      </w:pPr>
      <w:rPr>
        <w:rFonts w:hint="default"/>
        <w:lang w:val="en-US" w:eastAsia="en-US" w:bidi="ar-SA"/>
      </w:rPr>
    </w:lvl>
    <w:lvl w:ilvl="6">
      <w:start w:val="0"/>
      <w:numFmt w:val="bullet"/>
      <w:lvlText w:val="•"/>
      <w:lvlJc w:val="left"/>
      <w:pPr>
        <w:ind w:left="5580" w:hanging="241"/>
      </w:pPr>
      <w:rPr>
        <w:rFonts w:hint="default"/>
        <w:lang w:val="en-US" w:eastAsia="en-US" w:bidi="ar-SA"/>
      </w:rPr>
    </w:lvl>
    <w:lvl w:ilvl="7">
      <w:start w:val="0"/>
      <w:numFmt w:val="bullet"/>
      <w:lvlText w:val="•"/>
      <w:lvlJc w:val="left"/>
      <w:pPr>
        <w:ind w:left="6345" w:hanging="241"/>
      </w:pPr>
      <w:rPr>
        <w:rFonts w:hint="default"/>
        <w:lang w:val="en-US" w:eastAsia="en-US" w:bidi="ar-SA"/>
      </w:rPr>
    </w:lvl>
    <w:lvl w:ilvl="8">
      <w:start w:val="0"/>
      <w:numFmt w:val="bullet"/>
      <w:lvlText w:val="•"/>
      <w:lvlJc w:val="left"/>
      <w:pPr>
        <w:ind w:left="7110" w:hanging="241"/>
      </w:pPr>
      <w:rPr>
        <w:rFonts w:hint="default"/>
        <w:lang w:val="en-US" w:eastAsia="en-US" w:bidi="ar-SA"/>
      </w:rPr>
    </w:lvl>
  </w:abstractNum>
  <w:abstractNum w:abstractNumId="53">
    <w:multiLevelType w:val="hybridMultilevel"/>
    <w:lvl w:ilvl="0">
      <w:start w:val="1"/>
      <w:numFmt w:val="decimal"/>
      <w:lvlText w:val="%1."/>
      <w:lvlJc w:val="left"/>
      <w:pPr>
        <w:ind w:left="1440" w:hanging="470"/>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880" w:hanging="241"/>
      </w:pPr>
      <w:rPr>
        <w:rFonts w:hint="default"/>
        <w:lang w:val="en-US" w:eastAsia="en-US" w:bidi="ar-SA"/>
      </w:rPr>
    </w:lvl>
    <w:lvl w:ilvl="3">
      <w:start w:val="0"/>
      <w:numFmt w:val="bullet"/>
      <w:lvlText w:val="•"/>
      <w:lvlJc w:val="left"/>
      <w:pPr>
        <w:ind w:left="3600" w:hanging="241"/>
      </w:pPr>
      <w:rPr>
        <w:rFonts w:hint="default"/>
        <w:lang w:val="en-US" w:eastAsia="en-US" w:bidi="ar-SA"/>
      </w:rPr>
    </w:lvl>
    <w:lvl w:ilvl="4">
      <w:start w:val="0"/>
      <w:numFmt w:val="bullet"/>
      <w:lvlText w:val="•"/>
      <w:lvlJc w:val="left"/>
      <w:pPr>
        <w:ind w:left="4320" w:hanging="241"/>
      </w:pPr>
      <w:rPr>
        <w:rFonts w:hint="default"/>
        <w:lang w:val="en-US" w:eastAsia="en-US" w:bidi="ar-SA"/>
      </w:rPr>
    </w:lvl>
    <w:lvl w:ilvl="5">
      <w:start w:val="0"/>
      <w:numFmt w:val="bullet"/>
      <w:lvlText w:val="•"/>
      <w:lvlJc w:val="left"/>
      <w:pPr>
        <w:ind w:left="5040" w:hanging="241"/>
      </w:pPr>
      <w:rPr>
        <w:rFonts w:hint="default"/>
        <w:lang w:val="en-US" w:eastAsia="en-US" w:bidi="ar-SA"/>
      </w:rPr>
    </w:lvl>
    <w:lvl w:ilvl="6">
      <w:start w:val="0"/>
      <w:numFmt w:val="bullet"/>
      <w:lvlText w:val="•"/>
      <w:lvlJc w:val="left"/>
      <w:pPr>
        <w:ind w:left="5760" w:hanging="241"/>
      </w:pPr>
      <w:rPr>
        <w:rFonts w:hint="default"/>
        <w:lang w:val="en-US" w:eastAsia="en-US" w:bidi="ar-SA"/>
      </w:rPr>
    </w:lvl>
    <w:lvl w:ilvl="7">
      <w:start w:val="0"/>
      <w:numFmt w:val="bullet"/>
      <w:lvlText w:val="•"/>
      <w:lvlJc w:val="left"/>
      <w:pPr>
        <w:ind w:left="6480" w:hanging="241"/>
      </w:pPr>
      <w:rPr>
        <w:rFonts w:hint="default"/>
        <w:lang w:val="en-US" w:eastAsia="en-US" w:bidi="ar-SA"/>
      </w:rPr>
    </w:lvl>
    <w:lvl w:ilvl="8">
      <w:start w:val="0"/>
      <w:numFmt w:val="bullet"/>
      <w:lvlText w:val="•"/>
      <w:lvlJc w:val="left"/>
      <w:pPr>
        <w:ind w:left="7200" w:hanging="241"/>
      </w:pPr>
      <w:rPr>
        <w:rFonts w:hint="default"/>
        <w:lang w:val="en-US" w:eastAsia="en-US" w:bidi="ar-SA"/>
      </w:rPr>
    </w:lvl>
  </w:abstractNum>
  <w:abstractNum w:abstractNumId="52">
    <w:multiLevelType w:val="hybridMultilevel"/>
    <w:lvl w:ilvl="0">
      <w:start w:val="1"/>
      <w:numFmt w:val="decimal"/>
      <w:lvlText w:val="%1."/>
      <w:lvlJc w:val="left"/>
      <w:pPr>
        <w:ind w:left="1739" w:hanging="300"/>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880" w:hanging="241"/>
      </w:pPr>
      <w:rPr>
        <w:rFonts w:hint="default"/>
        <w:lang w:val="en-US" w:eastAsia="en-US" w:bidi="ar-SA"/>
      </w:rPr>
    </w:lvl>
    <w:lvl w:ilvl="3">
      <w:start w:val="0"/>
      <w:numFmt w:val="bullet"/>
      <w:lvlText w:val="•"/>
      <w:lvlJc w:val="left"/>
      <w:pPr>
        <w:ind w:left="3600" w:hanging="241"/>
      </w:pPr>
      <w:rPr>
        <w:rFonts w:hint="default"/>
        <w:lang w:val="en-US" w:eastAsia="en-US" w:bidi="ar-SA"/>
      </w:rPr>
    </w:lvl>
    <w:lvl w:ilvl="4">
      <w:start w:val="0"/>
      <w:numFmt w:val="bullet"/>
      <w:lvlText w:val="•"/>
      <w:lvlJc w:val="left"/>
      <w:pPr>
        <w:ind w:left="4320" w:hanging="241"/>
      </w:pPr>
      <w:rPr>
        <w:rFonts w:hint="default"/>
        <w:lang w:val="en-US" w:eastAsia="en-US" w:bidi="ar-SA"/>
      </w:rPr>
    </w:lvl>
    <w:lvl w:ilvl="5">
      <w:start w:val="0"/>
      <w:numFmt w:val="bullet"/>
      <w:lvlText w:val="•"/>
      <w:lvlJc w:val="left"/>
      <w:pPr>
        <w:ind w:left="5040" w:hanging="241"/>
      </w:pPr>
      <w:rPr>
        <w:rFonts w:hint="default"/>
        <w:lang w:val="en-US" w:eastAsia="en-US" w:bidi="ar-SA"/>
      </w:rPr>
    </w:lvl>
    <w:lvl w:ilvl="6">
      <w:start w:val="0"/>
      <w:numFmt w:val="bullet"/>
      <w:lvlText w:val="•"/>
      <w:lvlJc w:val="left"/>
      <w:pPr>
        <w:ind w:left="5760" w:hanging="241"/>
      </w:pPr>
      <w:rPr>
        <w:rFonts w:hint="default"/>
        <w:lang w:val="en-US" w:eastAsia="en-US" w:bidi="ar-SA"/>
      </w:rPr>
    </w:lvl>
    <w:lvl w:ilvl="7">
      <w:start w:val="0"/>
      <w:numFmt w:val="bullet"/>
      <w:lvlText w:val="•"/>
      <w:lvlJc w:val="left"/>
      <w:pPr>
        <w:ind w:left="6480" w:hanging="241"/>
      </w:pPr>
      <w:rPr>
        <w:rFonts w:hint="default"/>
        <w:lang w:val="en-US" w:eastAsia="en-US" w:bidi="ar-SA"/>
      </w:rPr>
    </w:lvl>
    <w:lvl w:ilvl="8">
      <w:start w:val="0"/>
      <w:numFmt w:val="bullet"/>
      <w:lvlText w:val="•"/>
      <w:lvlJc w:val="left"/>
      <w:pPr>
        <w:ind w:left="7200" w:hanging="241"/>
      </w:pPr>
      <w:rPr>
        <w:rFonts w:hint="default"/>
        <w:lang w:val="en-US" w:eastAsia="en-US" w:bidi="ar-SA"/>
      </w:rPr>
    </w:lvl>
  </w:abstractNum>
  <w:abstractNum w:abstractNumId="51">
    <w:multiLevelType w:val="hybridMultilevel"/>
    <w:lvl w:ilvl="0">
      <w:start w:val="1"/>
      <w:numFmt w:val="decimal"/>
      <w:lvlText w:val="%1."/>
      <w:lvlJc w:val="left"/>
      <w:pPr>
        <w:ind w:left="1440" w:hanging="320"/>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o"/>
      <w:lvlJc w:val="left"/>
      <w:pPr>
        <w:ind w:left="2520" w:hanging="286"/>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3285" w:hanging="286"/>
      </w:pPr>
      <w:rPr>
        <w:rFonts w:hint="default"/>
        <w:lang w:val="en-US" w:eastAsia="en-US" w:bidi="ar-SA"/>
      </w:rPr>
    </w:lvl>
    <w:lvl w:ilvl="4">
      <w:start w:val="0"/>
      <w:numFmt w:val="bullet"/>
      <w:lvlText w:val="•"/>
      <w:lvlJc w:val="left"/>
      <w:pPr>
        <w:ind w:left="4050" w:hanging="286"/>
      </w:pPr>
      <w:rPr>
        <w:rFonts w:hint="default"/>
        <w:lang w:val="en-US" w:eastAsia="en-US" w:bidi="ar-SA"/>
      </w:rPr>
    </w:lvl>
    <w:lvl w:ilvl="5">
      <w:start w:val="0"/>
      <w:numFmt w:val="bullet"/>
      <w:lvlText w:val="•"/>
      <w:lvlJc w:val="left"/>
      <w:pPr>
        <w:ind w:left="4815" w:hanging="286"/>
      </w:pPr>
      <w:rPr>
        <w:rFonts w:hint="default"/>
        <w:lang w:val="en-US" w:eastAsia="en-US" w:bidi="ar-SA"/>
      </w:rPr>
    </w:lvl>
    <w:lvl w:ilvl="6">
      <w:start w:val="0"/>
      <w:numFmt w:val="bullet"/>
      <w:lvlText w:val="•"/>
      <w:lvlJc w:val="left"/>
      <w:pPr>
        <w:ind w:left="5580" w:hanging="286"/>
      </w:pPr>
      <w:rPr>
        <w:rFonts w:hint="default"/>
        <w:lang w:val="en-US" w:eastAsia="en-US" w:bidi="ar-SA"/>
      </w:rPr>
    </w:lvl>
    <w:lvl w:ilvl="7">
      <w:start w:val="0"/>
      <w:numFmt w:val="bullet"/>
      <w:lvlText w:val="•"/>
      <w:lvlJc w:val="left"/>
      <w:pPr>
        <w:ind w:left="6345" w:hanging="286"/>
      </w:pPr>
      <w:rPr>
        <w:rFonts w:hint="default"/>
        <w:lang w:val="en-US" w:eastAsia="en-US" w:bidi="ar-SA"/>
      </w:rPr>
    </w:lvl>
    <w:lvl w:ilvl="8">
      <w:start w:val="0"/>
      <w:numFmt w:val="bullet"/>
      <w:lvlText w:val="•"/>
      <w:lvlJc w:val="left"/>
      <w:pPr>
        <w:ind w:left="7110" w:hanging="286"/>
      </w:pPr>
      <w:rPr>
        <w:rFonts w:hint="default"/>
        <w:lang w:val="en-US" w:eastAsia="en-US" w:bidi="ar-SA"/>
      </w:rPr>
    </w:lvl>
  </w:abstractNum>
  <w:abstractNum w:abstractNumId="49">
    <w:multiLevelType w:val="hybridMultilevel"/>
    <w:lvl w:ilvl="0">
      <w:start w:val="1"/>
      <w:numFmt w:val="decimal"/>
      <w:lvlText w:val="%1."/>
      <w:lvlJc w:val="left"/>
      <w:pPr>
        <w:ind w:left="1752" w:hanging="313"/>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880" w:hanging="241"/>
      </w:pPr>
      <w:rPr>
        <w:rFonts w:hint="default"/>
        <w:lang w:val="en-US" w:eastAsia="en-US" w:bidi="ar-SA"/>
      </w:rPr>
    </w:lvl>
    <w:lvl w:ilvl="3">
      <w:start w:val="0"/>
      <w:numFmt w:val="bullet"/>
      <w:lvlText w:val="•"/>
      <w:lvlJc w:val="left"/>
      <w:pPr>
        <w:ind w:left="3600" w:hanging="241"/>
      </w:pPr>
      <w:rPr>
        <w:rFonts w:hint="default"/>
        <w:lang w:val="en-US" w:eastAsia="en-US" w:bidi="ar-SA"/>
      </w:rPr>
    </w:lvl>
    <w:lvl w:ilvl="4">
      <w:start w:val="0"/>
      <w:numFmt w:val="bullet"/>
      <w:lvlText w:val="•"/>
      <w:lvlJc w:val="left"/>
      <w:pPr>
        <w:ind w:left="4320" w:hanging="241"/>
      </w:pPr>
      <w:rPr>
        <w:rFonts w:hint="default"/>
        <w:lang w:val="en-US" w:eastAsia="en-US" w:bidi="ar-SA"/>
      </w:rPr>
    </w:lvl>
    <w:lvl w:ilvl="5">
      <w:start w:val="0"/>
      <w:numFmt w:val="bullet"/>
      <w:lvlText w:val="•"/>
      <w:lvlJc w:val="left"/>
      <w:pPr>
        <w:ind w:left="5040" w:hanging="241"/>
      </w:pPr>
      <w:rPr>
        <w:rFonts w:hint="default"/>
        <w:lang w:val="en-US" w:eastAsia="en-US" w:bidi="ar-SA"/>
      </w:rPr>
    </w:lvl>
    <w:lvl w:ilvl="6">
      <w:start w:val="0"/>
      <w:numFmt w:val="bullet"/>
      <w:lvlText w:val="•"/>
      <w:lvlJc w:val="left"/>
      <w:pPr>
        <w:ind w:left="5760" w:hanging="241"/>
      </w:pPr>
      <w:rPr>
        <w:rFonts w:hint="default"/>
        <w:lang w:val="en-US" w:eastAsia="en-US" w:bidi="ar-SA"/>
      </w:rPr>
    </w:lvl>
    <w:lvl w:ilvl="7">
      <w:start w:val="0"/>
      <w:numFmt w:val="bullet"/>
      <w:lvlText w:val="•"/>
      <w:lvlJc w:val="left"/>
      <w:pPr>
        <w:ind w:left="6480" w:hanging="241"/>
      </w:pPr>
      <w:rPr>
        <w:rFonts w:hint="default"/>
        <w:lang w:val="en-US" w:eastAsia="en-US" w:bidi="ar-SA"/>
      </w:rPr>
    </w:lvl>
    <w:lvl w:ilvl="8">
      <w:start w:val="0"/>
      <w:numFmt w:val="bullet"/>
      <w:lvlText w:val="•"/>
      <w:lvlJc w:val="left"/>
      <w:pPr>
        <w:ind w:left="7200" w:hanging="241"/>
      </w:pPr>
      <w:rPr>
        <w:rFonts w:hint="default"/>
        <w:lang w:val="en-US" w:eastAsia="en-US" w:bidi="ar-SA"/>
      </w:rPr>
    </w:lvl>
  </w:abstractNum>
  <w:abstractNum w:abstractNumId="48">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47">
    <w:multiLevelType w:val="hybridMultilevel"/>
    <w:lvl w:ilvl="0">
      <w:start w:val="1"/>
      <w:numFmt w:val="decimal"/>
      <w:lvlText w:val="[%1]"/>
      <w:lvlJc w:val="left"/>
      <w:pPr>
        <w:ind w:left="2160" w:hanging="392"/>
        <w:jc w:val="left"/>
      </w:pPr>
      <w:rPr>
        <w:rFonts w:hint="default" w:ascii="Times New Roman" w:hAnsi="Times New Roman" w:eastAsia="Times New Roman" w:cs="Times New Roman"/>
        <w:b w:val="0"/>
        <w:bCs w:val="0"/>
        <w:i w:val="0"/>
        <w:iCs w:val="0"/>
        <w:spacing w:val="-7"/>
        <w:w w:val="99"/>
        <w:sz w:val="19"/>
        <w:szCs w:val="19"/>
        <w:lang w:val="en-US" w:eastAsia="en-US" w:bidi="ar-SA"/>
      </w:rPr>
    </w:lvl>
    <w:lvl w:ilvl="1">
      <w:start w:val="0"/>
      <w:numFmt w:val="bullet"/>
      <w:lvlText w:val="•"/>
      <w:lvlJc w:val="left"/>
      <w:pPr>
        <w:ind w:left="2808" w:hanging="392"/>
      </w:pPr>
      <w:rPr>
        <w:rFonts w:hint="default"/>
        <w:lang w:val="en-US" w:eastAsia="en-US" w:bidi="ar-SA"/>
      </w:rPr>
    </w:lvl>
    <w:lvl w:ilvl="2">
      <w:start w:val="0"/>
      <w:numFmt w:val="bullet"/>
      <w:lvlText w:val="•"/>
      <w:lvlJc w:val="left"/>
      <w:pPr>
        <w:ind w:left="3456" w:hanging="392"/>
      </w:pPr>
      <w:rPr>
        <w:rFonts w:hint="default"/>
        <w:lang w:val="en-US" w:eastAsia="en-US" w:bidi="ar-SA"/>
      </w:rPr>
    </w:lvl>
    <w:lvl w:ilvl="3">
      <w:start w:val="0"/>
      <w:numFmt w:val="bullet"/>
      <w:lvlText w:val="•"/>
      <w:lvlJc w:val="left"/>
      <w:pPr>
        <w:ind w:left="4104" w:hanging="392"/>
      </w:pPr>
      <w:rPr>
        <w:rFonts w:hint="default"/>
        <w:lang w:val="en-US" w:eastAsia="en-US" w:bidi="ar-SA"/>
      </w:rPr>
    </w:lvl>
    <w:lvl w:ilvl="4">
      <w:start w:val="0"/>
      <w:numFmt w:val="bullet"/>
      <w:lvlText w:val="•"/>
      <w:lvlJc w:val="left"/>
      <w:pPr>
        <w:ind w:left="4752" w:hanging="392"/>
      </w:pPr>
      <w:rPr>
        <w:rFonts w:hint="default"/>
        <w:lang w:val="en-US" w:eastAsia="en-US" w:bidi="ar-SA"/>
      </w:rPr>
    </w:lvl>
    <w:lvl w:ilvl="5">
      <w:start w:val="0"/>
      <w:numFmt w:val="bullet"/>
      <w:lvlText w:val="•"/>
      <w:lvlJc w:val="left"/>
      <w:pPr>
        <w:ind w:left="5400" w:hanging="392"/>
      </w:pPr>
      <w:rPr>
        <w:rFonts w:hint="default"/>
        <w:lang w:val="en-US" w:eastAsia="en-US" w:bidi="ar-SA"/>
      </w:rPr>
    </w:lvl>
    <w:lvl w:ilvl="6">
      <w:start w:val="0"/>
      <w:numFmt w:val="bullet"/>
      <w:lvlText w:val="•"/>
      <w:lvlJc w:val="left"/>
      <w:pPr>
        <w:ind w:left="6048" w:hanging="392"/>
      </w:pPr>
      <w:rPr>
        <w:rFonts w:hint="default"/>
        <w:lang w:val="en-US" w:eastAsia="en-US" w:bidi="ar-SA"/>
      </w:rPr>
    </w:lvl>
    <w:lvl w:ilvl="7">
      <w:start w:val="0"/>
      <w:numFmt w:val="bullet"/>
      <w:lvlText w:val="•"/>
      <w:lvlJc w:val="left"/>
      <w:pPr>
        <w:ind w:left="6696" w:hanging="392"/>
      </w:pPr>
      <w:rPr>
        <w:rFonts w:hint="default"/>
        <w:lang w:val="en-US" w:eastAsia="en-US" w:bidi="ar-SA"/>
      </w:rPr>
    </w:lvl>
    <w:lvl w:ilvl="8">
      <w:start w:val="0"/>
      <w:numFmt w:val="bullet"/>
      <w:lvlText w:val="•"/>
      <w:lvlJc w:val="left"/>
      <w:pPr>
        <w:ind w:left="7344" w:hanging="392"/>
      </w:pPr>
      <w:rPr>
        <w:rFonts w:hint="default"/>
        <w:lang w:val="en-US" w:eastAsia="en-US" w:bidi="ar-SA"/>
      </w:rPr>
    </w:lvl>
  </w:abstractNum>
  <w:abstractNum w:abstractNumId="45">
    <w:multiLevelType w:val="hybridMultilevel"/>
    <w:lvl w:ilvl="0">
      <w:start w:val="1"/>
      <w:numFmt w:val="decimal"/>
      <w:lvlText w:val="[%1]"/>
      <w:lvlJc w:val="left"/>
      <w:pPr>
        <w:ind w:left="2160" w:hanging="392"/>
        <w:jc w:val="right"/>
      </w:pPr>
      <w:rPr>
        <w:rFonts w:hint="default" w:ascii="Times New Roman" w:hAnsi="Times New Roman" w:eastAsia="Times New Roman" w:cs="Times New Roman"/>
        <w:b w:val="0"/>
        <w:bCs w:val="0"/>
        <w:i w:val="0"/>
        <w:iCs w:val="0"/>
        <w:spacing w:val="-7"/>
        <w:w w:val="99"/>
        <w:sz w:val="19"/>
        <w:szCs w:val="19"/>
        <w:lang w:val="en-US" w:eastAsia="en-US" w:bidi="ar-SA"/>
      </w:rPr>
    </w:lvl>
    <w:lvl w:ilvl="1">
      <w:start w:val="0"/>
      <w:numFmt w:val="bullet"/>
      <w:lvlText w:val="•"/>
      <w:lvlJc w:val="left"/>
      <w:pPr>
        <w:ind w:left="2808" w:hanging="392"/>
      </w:pPr>
      <w:rPr>
        <w:rFonts w:hint="default"/>
        <w:lang w:val="en-US" w:eastAsia="en-US" w:bidi="ar-SA"/>
      </w:rPr>
    </w:lvl>
    <w:lvl w:ilvl="2">
      <w:start w:val="0"/>
      <w:numFmt w:val="bullet"/>
      <w:lvlText w:val="•"/>
      <w:lvlJc w:val="left"/>
      <w:pPr>
        <w:ind w:left="3456" w:hanging="392"/>
      </w:pPr>
      <w:rPr>
        <w:rFonts w:hint="default"/>
        <w:lang w:val="en-US" w:eastAsia="en-US" w:bidi="ar-SA"/>
      </w:rPr>
    </w:lvl>
    <w:lvl w:ilvl="3">
      <w:start w:val="0"/>
      <w:numFmt w:val="bullet"/>
      <w:lvlText w:val="•"/>
      <w:lvlJc w:val="left"/>
      <w:pPr>
        <w:ind w:left="4104" w:hanging="392"/>
      </w:pPr>
      <w:rPr>
        <w:rFonts w:hint="default"/>
        <w:lang w:val="en-US" w:eastAsia="en-US" w:bidi="ar-SA"/>
      </w:rPr>
    </w:lvl>
    <w:lvl w:ilvl="4">
      <w:start w:val="0"/>
      <w:numFmt w:val="bullet"/>
      <w:lvlText w:val="•"/>
      <w:lvlJc w:val="left"/>
      <w:pPr>
        <w:ind w:left="4752" w:hanging="392"/>
      </w:pPr>
      <w:rPr>
        <w:rFonts w:hint="default"/>
        <w:lang w:val="en-US" w:eastAsia="en-US" w:bidi="ar-SA"/>
      </w:rPr>
    </w:lvl>
    <w:lvl w:ilvl="5">
      <w:start w:val="0"/>
      <w:numFmt w:val="bullet"/>
      <w:lvlText w:val="•"/>
      <w:lvlJc w:val="left"/>
      <w:pPr>
        <w:ind w:left="5400" w:hanging="392"/>
      </w:pPr>
      <w:rPr>
        <w:rFonts w:hint="default"/>
        <w:lang w:val="en-US" w:eastAsia="en-US" w:bidi="ar-SA"/>
      </w:rPr>
    </w:lvl>
    <w:lvl w:ilvl="6">
      <w:start w:val="0"/>
      <w:numFmt w:val="bullet"/>
      <w:lvlText w:val="•"/>
      <w:lvlJc w:val="left"/>
      <w:pPr>
        <w:ind w:left="6048" w:hanging="392"/>
      </w:pPr>
      <w:rPr>
        <w:rFonts w:hint="default"/>
        <w:lang w:val="en-US" w:eastAsia="en-US" w:bidi="ar-SA"/>
      </w:rPr>
    </w:lvl>
    <w:lvl w:ilvl="7">
      <w:start w:val="0"/>
      <w:numFmt w:val="bullet"/>
      <w:lvlText w:val="•"/>
      <w:lvlJc w:val="left"/>
      <w:pPr>
        <w:ind w:left="6696" w:hanging="392"/>
      </w:pPr>
      <w:rPr>
        <w:rFonts w:hint="default"/>
        <w:lang w:val="en-US" w:eastAsia="en-US" w:bidi="ar-SA"/>
      </w:rPr>
    </w:lvl>
    <w:lvl w:ilvl="8">
      <w:start w:val="0"/>
      <w:numFmt w:val="bullet"/>
      <w:lvlText w:val="•"/>
      <w:lvlJc w:val="left"/>
      <w:pPr>
        <w:ind w:left="7344" w:hanging="392"/>
      </w:pPr>
      <w:rPr>
        <w:rFonts w:hint="default"/>
        <w:lang w:val="en-US" w:eastAsia="en-US" w:bidi="ar-SA"/>
      </w:rPr>
    </w:lvl>
  </w:abstractNum>
  <w:abstractNum w:abstractNumId="44">
    <w:multiLevelType w:val="hybridMultilevel"/>
    <w:lvl w:ilvl="0">
      <w:start w:val="1"/>
      <w:numFmt w:val="upperLetter"/>
      <w:lvlText w:val="%1."/>
      <w:lvlJc w:val="left"/>
      <w:pPr>
        <w:ind w:left="1785" w:hanging="346"/>
        <w:jc w:val="left"/>
      </w:pPr>
      <w:rPr>
        <w:rFonts w:hint="default" w:ascii="Cambria" w:hAnsi="Cambria" w:eastAsia="Cambria" w:cs="Cambria"/>
        <w:b/>
        <w:bCs/>
        <w:i/>
        <w:iCs/>
        <w:spacing w:val="0"/>
        <w:w w:val="120"/>
        <w:sz w:val="22"/>
        <w:szCs w:val="22"/>
        <w:lang w:val="en-US" w:eastAsia="en-US" w:bidi="ar-SA"/>
      </w:rPr>
    </w:lvl>
    <w:lvl w:ilvl="1">
      <w:start w:val="0"/>
      <w:numFmt w:val="bullet"/>
      <w:lvlText w:val="•"/>
      <w:lvlJc w:val="left"/>
      <w:pPr>
        <w:ind w:left="2466" w:hanging="346"/>
      </w:pPr>
      <w:rPr>
        <w:rFonts w:hint="default"/>
        <w:lang w:val="en-US" w:eastAsia="en-US" w:bidi="ar-SA"/>
      </w:rPr>
    </w:lvl>
    <w:lvl w:ilvl="2">
      <w:start w:val="0"/>
      <w:numFmt w:val="bullet"/>
      <w:lvlText w:val="•"/>
      <w:lvlJc w:val="left"/>
      <w:pPr>
        <w:ind w:left="3152" w:hanging="346"/>
      </w:pPr>
      <w:rPr>
        <w:rFonts w:hint="default"/>
        <w:lang w:val="en-US" w:eastAsia="en-US" w:bidi="ar-SA"/>
      </w:rPr>
    </w:lvl>
    <w:lvl w:ilvl="3">
      <w:start w:val="0"/>
      <w:numFmt w:val="bullet"/>
      <w:lvlText w:val="•"/>
      <w:lvlJc w:val="left"/>
      <w:pPr>
        <w:ind w:left="3838" w:hanging="346"/>
      </w:pPr>
      <w:rPr>
        <w:rFonts w:hint="default"/>
        <w:lang w:val="en-US" w:eastAsia="en-US" w:bidi="ar-SA"/>
      </w:rPr>
    </w:lvl>
    <w:lvl w:ilvl="4">
      <w:start w:val="0"/>
      <w:numFmt w:val="bullet"/>
      <w:lvlText w:val="•"/>
      <w:lvlJc w:val="left"/>
      <w:pPr>
        <w:ind w:left="4524" w:hanging="346"/>
      </w:pPr>
      <w:rPr>
        <w:rFonts w:hint="default"/>
        <w:lang w:val="en-US" w:eastAsia="en-US" w:bidi="ar-SA"/>
      </w:rPr>
    </w:lvl>
    <w:lvl w:ilvl="5">
      <w:start w:val="0"/>
      <w:numFmt w:val="bullet"/>
      <w:lvlText w:val="•"/>
      <w:lvlJc w:val="left"/>
      <w:pPr>
        <w:ind w:left="5210" w:hanging="346"/>
      </w:pPr>
      <w:rPr>
        <w:rFonts w:hint="default"/>
        <w:lang w:val="en-US" w:eastAsia="en-US" w:bidi="ar-SA"/>
      </w:rPr>
    </w:lvl>
    <w:lvl w:ilvl="6">
      <w:start w:val="0"/>
      <w:numFmt w:val="bullet"/>
      <w:lvlText w:val="•"/>
      <w:lvlJc w:val="left"/>
      <w:pPr>
        <w:ind w:left="5896" w:hanging="346"/>
      </w:pPr>
      <w:rPr>
        <w:rFonts w:hint="default"/>
        <w:lang w:val="en-US" w:eastAsia="en-US" w:bidi="ar-SA"/>
      </w:rPr>
    </w:lvl>
    <w:lvl w:ilvl="7">
      <w:start w:val="0"/>
      <w:numFmt w:val="bullet"/>
      <w:lvlText w:val="•"/>
      <w:lvlJc w:val="left"/>
      <w:pPr>
        <w:ind w:left="6582" w:hanging="346"/>
      </w:pPr>
      <w:rPr>
        <w:rFonts w:hint="default"/>
        <w:lang w:val="en-US" w:eastAsia="en-US" w:bidi="ar-SA"/>
      </w:rPr>
    </w:lvl>
    <w:lvl w:ilvl="8">
      <w:start w:val="0"/>
      <w:numFmt w:val="bullet"/>
      <w:lvlText w:val="•"/>
      <w:lvlJc w:val="left"/>
      <w:pPr>
        <w:ind w:left="7268" w:hanging="346"/>
      </w:pPr>
      <w:rPr>
        <w:rFonts w:hint="default"/>
        <w:lang w:val="en-US" w:eastAsia="en-US" w:bidi="ar-SA"/>
      </w:rPr>
    </w:lvl>
  </w:abstractNum>
  <w:abstractNum w:abstractNumId="43">
    <w:multiLevelType w:val="hybridMultilevel"/>
    <w:lvl w:ilvl="0">
      <w:start w:val="1"/>
      <w:numFmt w:val="upperLetter"/>
      <w:lvlText w:val="%1."/>
      <w:lvlJc w:val="left"/>
      <w:pPr>
        <w:ind w:left="1813" w:hanging="329"/>
        <w:jc w:val="left"/>
      </w:pPr>
      <w:rPr>
        <w:rFonts w:hint="default" w:ascii="Cambria" w:hAnsi="Cambria" w:eastAsia="Cambria" w:cs="Cambria"/>
        <w:b/>
        <w:bCs/>
        <w:i/>
        <w:iCs/>
        <w:spacing w:val="0"/>
        <w:w w:val="120"/>
        <w:sz w:val="22"/>
        <w:szCs w:val="22"/>
        <w:lang w:val="en-US" w:eastAsia="en-US" w:bidi="ar-SA"/>
      </w:rPr>
    </w:lvl>
    <w:lvl w:ilvl="1">
      <w:start w:val="0"/>
      <w:numFmt w:val="bullet"/>
      <w:lvlText w:val="•"/>
      <w:lvlJc w:val="left"/>
      <w:pPr>
        <w:ind w:left="2502" w:hanging="329"/>
      </w:pPr>
      <w:rPr>
        <w:rFonts w:hint="default"/>
        <w:lang w:val="en-US" w:eastAsia="en-US" w:bidi="ar-SA"/>
      </w:rPr>
    </w:lvl>
    <w:lvl w:ilvl="2">
      <w:start w:val="0"/>
      <w:numFmt w:val="bullet"/>
      <w:lvlText w:val="•"/>
      <w:lvlJc w:val="left"/>
      <w:pPr>
        <w:ind w:left="3184" w:hanging="329"/>
      </w:pPr>
      <w:rPr>
        <w:rFonts w:hint="default"/>
        <w:lang w:val="en-US" w:eastAsia="en-US" w:bidi="ar-SA"/>
      </w:rPr>
    </w:lvl>
    <w:lvl w:ilvl="3">
      <w:start w:val="0"/>
      <w:numFmt w:val="bullet"/>
      <w:lvlText w:val="•"/>
      <w:lvlJc w:val="left"/>
      <w:pPr>
        <w:ind w:left="3866" w:hanging="329"/>
      </w:pPr>
      <w:rPr>
        <w:rFonts w:hint="default"/>
        <w:lang w:val="en-US" w:eastAsia="en-US" w:bidi="ar-SA"/>
      </w:rPr>
    </w:lvl>
    <w:lvl w:ilvl="4">
      <w:start w:val="0"/>
      <w:numFmt w:val="bullet"/>
      <w:lvlText w:val="•"/>
      <w:lvlJc w:val="left"/>
      <w:pPr>
        <w:ind w:left="4548" w:hanging="329"/>
      </w:pPr>
      <w:rPr>
        <w:rFonts w:hint="default"/>
        <w:lang w:val="en-US" w:eastAsia="en-US" w:bidi="ar-SA"/>
      </w:rPr>
    </w:lvl>
    <w:lvl w:ilvl="5">
      <w:start w:val="0"/>
      <w:numFmt w:val="bullet"/>
      <w:lvlText w:val="•"/>
      <w:lvlJc w:val="left"/>
      <w:pPr>
        <w:ind w:left="5230" w:hanging="329"/>
      </w:pPr>
      <w:rPr>
        <w:rFonts w:hint="default"/>
        <w:lang w:val="en-US" w:eastAsia="en-US" w:bidi="ar-SA"/>
      </w:rPr>
    </w:lvl>
    <w:lvl w:ilvl="6">
      <w:start w:val="0"/>
      <w:numFmt w:val="bullet"/>
      <w:lvlText w:val="•"/>
      <w:lvlJc w:val="left"/>
      <w:pPr>
        <w:ind w:left="5912" w:hanging="329"/>
      </w:pPr>
      <w:rPr>
        <w:rFonts w:hint="default"/>
        <w:lang w:val="en-US" w:eastAsia="en-US" w:bidi="ar-SA"/>
      </w:rPr>
    </w:lvl>
    <w:lvl w:ilvl="7">
      <w:start w:val="0"/>
      <w:numFmt w:val="bullet"/>
      <w:lvlText w:val="•"/>
      <w:lvlJc w:val="left"/>
      <w:pPr>
        <w:ind w:left="6594" w:hanging="329"/>
      </w:pPr>
      <w:rPr>
        <w:rFonts w:hint="default"/>
        <w:lang w:val="en-US" w:eastAsia="en-US" w:bidi="ar-SA"/>
      </w:rPr>
    </w:lvl>
    <w:lvl w:ilvl="8">
      <w:start w:val="0"/>
      <w:numFmt w:val="bullet"/>
      <w:lvlText w:val="•"/>
      <w:lvlJc w:val="left"/>
      <w:pPr>
        <w:ind w:left="7276" w:hanging="329"/>
      </w:pPr>
      <w:rPr>
        <w:rFonts w:hint="default"/>
        <w:lang w:val="en-US" w:eastAsia="en-US" w:bidi="ar-SA"/>
      </w:rPr>
    </w:lvl>
  </w:abstractNum>
  <w:abstractNum w:abstractNumId="42">
    <w:multiLevelType w:val="hybridMultilevel"/>
    <w:lvl w:ilvl="0">
      <w:start w:val="1"/>
      <w:numFmt w:val="decimal"/>
      <w:lvlText w:val="%1."/>
      <w:lvlJc w:val="left"/>
      <w:pPr>
        <w:ind w:left="1686" w:hanging="247"/>
        <w:jc w:val="left"/>
      </w:pPr>
      <w:rPr>
        <w:rFonts w:hint="default" w:ascii="Tahoma" w:hAnsi="Tahoma" w:eastAsia="Tahoma" w:cs="Tahoma"/>
        <w:b/>
        <w:bCs/>
        <w:i w:val="0"/>
        <w:iCs w:val="0"/>
        <w:spacing w:val="0"/>
        <w:w w:val="87"/>
        <w:sz w:val="23"/>
        <w:szCs w:val="23"/>
        <w:lang w:val="en-US" w:eastAsia="en-US" w:bidi="ar-SA"/>
      </w:rPr>
    </w:lvl>
    <w:lvl w:ilvl="1">
      <w:start w:val="1"/>
      <w:numFmt w:val="upperLetter"/>
      <w:lvlText w:val="%2."/>
      <w:lvlJc w:val="left"/>
      <w:pPr>
        <w:ind w:left="1792" w:hanging="353"/>
        <w:jc w:val="left"/>
      </w:pPr>
      <w:rPr>
        <w:rFonts w:hint="default" w:ascii="Cambria" w:hAnsi="Cambria" w:eastAsia="Cambria" w:cs="Cambria"/>
        <w:b/>
        <w:bCs/>
        <w:i/>
        <w:iCs/>
        <w:spacing w:val="0"/>
        <w:w w:val="120"/>
        <w:sz w:val="22"/>
        <w:szCs w:val="22"/>
        <w:lang w:val="en-US" w:eastAsia="en-US" w:bidi="ar-SA"/>
      </w:rPr>
    </w:lvl>
    <w:lvl w:ilvl="2">
      <w:start w:val="0"/>
      <w:numFmt w:val="bullet"/>
      <w:lvlText w:val="•"/>
      <w:lvlJc w:val="left"/>
      <w:pPr>
        <w:ind w:left="2560" w:hanging="353"/>
      </w:pPr>
      <w:rPr>
        <w:rFonts w:hint="default"/>
        <w:lang w:val="en-US" w:eastAsia="en-US" w:bidi="ar-SA"/>
      </w:rPr>
    </w:lvl>
    <w:lvl w:ilvl="3">
      <w:start w:val="0"/>
      <w:numFmt w:val="bullet"/>
      <w:lvlText w:val="•"/>
      <w:lvlJc w:val="left"/>
      <w:pPr>
        <w:ind w:left="3320" w:hanging="353"/>
      </w:pPr>
      <w:rPr>
        <w:rFonts w:hint="default"/>
        <w:lang w:val="en-US" w:eastAsia="en-US" w:bidi="ar-SA"/>
      </w:rPr>
    </w:lvl>
    <w:lvl w:ilvl="4">
      <w:start w:val="0"/>
      <w:numFmt w:val="bullet"/>
      <w:lvlText w:val="•"/>
      <w:lvlJc w:val="left"/>
      <w:pPr>
        <w:ind w:left="4080" w:hanging="353"/>
      </w:pPr>
      <w:rPr>
        <w:rFonts w:hint="default"/>
        <w:lang w:val="en-US" w:eastAsia="en-US" w:bidi="ar-SA"/>
      </w:rPr>
    </w:lvl>
    <w:lvl w:ilvl="5">
      <w:start w:val="0"/>
      <w:numFmt w:val="bullet"/>
      <w:lvlText w:val="•"/>
      <w:lvlJc w:val="left"/>
      <w:pPr>
        <w:ind w:left="4840" w:hanging="353"/>
      </w:pPr>
      <w:rPr>
        <w:rFonts w:hint="default"/>
        <w:lang w:val="en-US" w:eastAsia="en-US" w:bidi="ar-SA"/>
      </w:rPr>
    </w:lvl>
    <w:lvl w:ilvl="6">
      <w:start w:val="0"/>
      <w:numFmt w:val="bullet"/>
      <w:lvlText w:val="•"/>
      <w:lvlJc w:val="left"/>
      <w:pPr>
        <w:ind w:left="5600" w:hanging="353"/>
      </w:pPr>
      <w:rPr>
        <w:rFonts w:hint="default"/>
        <w:lang w:val="en-US" w:eastAsia="en-US" w:bidi="ar-SA"/>
      </w:rPr>
    </w:lvl>
    <w:lvl w:ilvl="7">
      <w:start w:val="0"/>
      <w:numFmt w:val="bullet"/>
      <w:lvlText w:val="•"/>
      <w:lvlJc w:val="left"/>
      <w:pPr>
        <w:ind w:left="6360" w:hanging="353"/>
      </w:pPr>
      <w:rPr>
        <w:rFonts w:hint="default"/>
        <w:lang w:val="en-US" w:eastAsia="en-US" w:bidi="ar-SA"/>
      </w:rPr>
    </w:lvl>
    <w:lvl w:ilvl="8">
      <w:start w:val="0"/>
      <w:numFmt w:val="bullet"/>
      <w:lvlText w:val="•"/>
      <w:lvlJc w:val="left"/>
      <w:pPr>
        <w:ind w:left="7120" w:hanging="353"/>
      </w:pPr>
      <w:rPr>
        <w:rFonts w:hint="default"/>
        <w:lang w:val="en-US" w:eastAsia="en-US" w:bidi="ar-SA"/>
      </w:rPr>
    </w:lvl>
  </w:abstractNum>
  <w:abstractNum w:abstractNumId="40">
    <w:multiLevelType w:val="hybridMultilevel"/>
    <w:lvl w:ilvl="0">
      <w:start w:val="1"/>
      <w:numFmt w:val="decimal"/>
      <w:lvlText w:val="%1."/>
      <w:lvlJc w:val="left"/>
      <w:pPr>
        <w:ind w:left="1681" w:hanging="242"/>
        <w:jc w:val="left"/>
      </w:pPr>
      <w:rPr>
        <w:rFonts w:hint="default" w:ascii="Tahoma" w:hAnsi="Tahoma" w:eastAsia="Tahoma" w:cs="Tahoma"/>
        <w:b/>
        <w:bCs/>
        <w:i w:val="0"/>
        <w:iCs w:val="0"/>
        <w:spacing w:val="0"/>
        <w:w w:val="87"/>
        <w:sz w:val="23"/>
        <w:szCs w:val="23"/>
        <w:lang w:val="en-US" w:eastAsia="en-US" w:bidi="ar-SA"/>
      </w:rPr>
    </w:lvl>
    <w:lvl w:ilvl="1">
      <w:start w:val="1"/>
      <w:numFmt w:val="decimal"/>
      <w:lvlText w:val="%1.%2"/>
      <w:lvlJc w:val="left"/>
      <w:pPr>
        <w:ind w:left="1871" w:hanging="432"/>
        <w:jc w:val="left"/>
      </w:pPr>
      <w:rPr>
        <w:rFonts w:hint="default" w:ascii="Cambria" w:hAnsi="Cambria" w:eastAsia="Cambria" w:cs="Cambria"/>
        <w:b/>
        <w:bCs/>
        <w:i/>
        <w:iCs/>
        <w:spacing w:val="0"/>
        <w:w w:val="97"/>
        <w:sz w:val="22"/>
        <w:szCs w:val="22"/>
        <w:lang w:val="en-US" w:eastAsia="en-US" w:bidi="ar-SA"/>
      </w:rPr>
    </w:lvl>
    <w:lvl w:ilvl="2">
      <w:start w:val="0"/>
      <w:numFmt w:val="bullet"/>
      <w:lvlText w:val="•"/>
      <w:lvlJc w:val="left"/>
      <w:pPr>
        <w:ind w:left="2631" w:hanging="432"/>
      </w:pPr>
      <w:rPr>
        <w:rFonts w:hint="default"/>
        <w:lang w:val="en-US" w:eastAsia="en-US" w:bidi="ar-SA"/>
      </w:rPr>
    </w:lvl>
    <w:lvl w:ilvl="3">
      <w:start w:val="0"/>
      <w:numFmt w:val="bullet"/>
      <w:lvlText w:val="•"/>
      <w:lvlJc w:val="left"/>
      <w:pPr>
        <w:ind w:left="3382" w:hanging="432"/>
      </w:pPr>
      <w:rPr>
        <w:rFonts w:hint="default"/>
        <w:lang w:val="en-US" w:eastAsia="en-US" w:bidi="ar-SA"/>
      </w:rPr>
    </w:lvl>
    <w:lvl w:ilvl="4">
      <w:start w:val="0"/>
      <w:numFmt w:val="bullet"/>
      <w:lvlText w:val="•"/>
      <w:lvlJc w:val="left"/>
      <w:pPr>
        <w:ind w:left="4133" w:hanging="432"/>
      </w:pPr>
      <w:rPr>
        <w:rFonts w:hint="default"/>
        <w:lang w:val="en-US" w:eastAsia="en-US" w:bidi="ar-SA"/>
      </w:rPr>
    </w:lvl>
    <w:lvl w:ilvl="5">
      <w:start w:val="0"/>
      <w:numFmt w:val="bullet"/>
      <w:lvlText w:val="•"/>
      <w:lvlJc w:val="left"/>
      <w:pPr>
        <w:ind w:left="4884" w:hanging="432"/>
      </w:pPr>
      <w:rPr>
        <w:rFonts w:hint="default"/>
        <w:lang w:val="en-US" w:eastAsia="en-US" w:bidi="ar-SA"/>
      </w:rPr>
    </w:lvl>
    <w:lvl w:ilvl="6">
      <w:start w:val="0"/>
      <w:numFmt w:val="bullet"/>
      <w:lvlText w:val="•"/>
      <w:lvlJc w:val="left"/>
      <w:pPr>
        <w:ind w:left="5635" w:hanging="432"/>
      </w:pPr>
      <w:rPr>
        <w:rFonts w:hint="default"/>
        <w:lang w:val="en-US" w:eastAsia="en-US" w:bidi="ar-SA"/>
      </w:rPr>
    </w:lvl>
    <w:lvl w:ilvl="7">
      <w:start w:val="0"/>
      <w:numFmt w:val="bullet"/>
      <w:lvlText w:val="•"/>
      <w:lvlJc w:val="left"/>
      <w:pPr>
        <w:ind w:left="6386" w:hanging="432"/>
      </w:pPr>
      <w:rPr>
        <w:rFonts w:hint="default"/>
        <w:lang w:val="en-US" w:eastAsia="en-US" w:bidi="ar-SA"/>
      </w:rPr>
    </w:lvl>
    <w:lvl w:ilvl="8">
      <w:start w:val="0"/>
      <w:numFmt w:val="bullet"/>
      <w:lvlText w:val="•"/>
      <w:lvlJc w:val="left"/>
      <w:pPr>
        <w:ind w:left="7137" w:hanging="432"/>
      </w:pPr>
      <w:rPr>
        <w:rFonts w:hint="default"/>
        <w:lang w:val="en-US" w:eastAsia="en-US" w:bidi="ar-SA"/>
      </w:rPr>
    </w:lvl>
  </w:abstractNum>
  <w:abstractNum w:abstractNumId="38">
    <w:multiLevelType w:val="hybridMultilevel"/>
    <w:lvl w:ilvl="0">
      <w:start w:val="1"/>
      <w:numFmt w:val="decimal"/>
      <w:lvlText w:val="%1."/>
      <w:lvlJc w:val="left"/>
      <w:pPr>
        <w:ind w:left="1686" w:hanging="247"/>
        <w:jc w:val="left"/>
      </w:pPr>
      <w:rPr>
        <w:rFonts w:hint="default" w:ascii="Tahoma" w:hAnsi="Tahoma" w:eastAsia="Tahoma" w:cs="Tahoma"/>
        <w:b/>
        <w:bCs/>
        <w:i w:val="0"/>
        <w:iCs w:val="0"/>
        <w:spacing w:val="0"/>
        <w:w w:val="87"/>
        <w:sz w:val="23"/>
        <w:szCs w:val="23"/>
        <w:lang w:val="en-US" w:eastAsia="en-US" w:bidi="ar-SA"/>
      </w:rPr>
    </w:lvl>
    <w:lvl w:ilvl="1">
      <w:start w:val="0"/>
      <w:numFmt w:val="bullet"/>
      <w:lvlText w:val="•"/>
      <w:lvlJc w:val="left"/>
      <w:pPr>
        <w:ind w:left="2376" w:hanging="247"/>
      </w:pPr>
      <w:rPr>
        <w:rFonts w:hint="default"/>
        <w:lang w:val="en-US" w:eastAsia="en-US" w:bidi="ar-SA"/>
      </w:rPr>
    </w:lvl>
    <w:lvl w:ilvl="2">
      <w:start w:val="0"/>
      <w:numFmt w:val="bullet"/>
      <w:lvlText w:val="•"/>
      <w:lvlJc w:val="left"/>
      <w:pPr>
        <w:ind w:left="3072" w:hanging="247"/>
      </w:pPr>
      <w:rPr>
        <w:rFonts w:hint="default"/>
        <w:lang w:val="en-US" w:eastAsia="en-US" w:bidi="ar-SA"/>
      </w:rPr>
    </w:lvl>
    <w:lvl w:ilvl="3">
      <w:start w:val="0"/>
      <w:numFmt w:val="bullet"/>
      <w:lvlText w:val="•"/>
      <w:lvlJc w:val="left"/>
      <w:pPr>
        <w:ind w:left="3768" w:hanging="247"/>
      </w:pPr>
      <w:rPr>
        <w:rFonts w:hint="default"/>
        <w:lang w:val="en-US" w:eastAsia="en-US" w:bidi="ar-SA"/>
      </w:rPr>
    </w:lvl>
    <w:lvl w:ilvl="4">
      <w:start w:val="0"/>
      <w:numFmt w:val="bullet"/>
      <w:lvlText w:val="•"/>
      <w:lvlJc w:val="left"/>
      <w:pPr>
        <w:ind w:left="4464" w:hanging="247"/>
      </w:pPr>
      <w:rPr>
        <w:rFonts w:hint="default"/>
        <w:lang w:val="en-US" w:eastAsia="en-US" w:bidi="ar-SA"/>
      </w:rPr>
    </w:lvl>
    <w:lvl w:ilvl="5">
      <w:start w:val="0"/>
      <w:numFmt w:val="bullet"/>
      <w:lvlText w:val="•"/>
      <w:lvlJc w:val="left"/>
      <w:pPr>
        <w:ind w:left="5160" w:hanging="247"/>
      </w:pPr>
      <w:rPr>
        <w:rFonts w:hint="default"/>
        <w:lang w:val="en-US" w:eastAsia="en-US" w:bidi="ar-SA"/>
      </w:rPr>
    </w:lvl>
    <w:lvl w:ilvl="6">
      <w:start w:val="0"/>
      <w:numFmt w:val="bullet"/>
      <w:lvlText w:val="•"/>
      <w:lvlJc w:val="left"/>
      <w:pPr>
        <w:ind w:left="5856" w:hanging="247"/>
      </w:pPr>
      <w:rPr>
        <w:rFonts w:hint="default"/>
        <w:lang w:val="en-US" w:eastAsia="en-US" w:bidi="ar-SA"/>
      </w:rPr>
    </w:lvl>
    <w:lvl w:ilvl="7">
      <w:start w:val="0"/>
      <w:numFmt w:val="bullet"/>
      <w:lvlText w:val="•"/>
      <w:lvlJc w:val="left"/>
      <w:pPr>
        <w:ind w:left="6552" w:hanging="247"/>
      </w:pPr>
      <w:rPr>
        <w:rFonts w:hint="default"/>
        <w:lang w:val="en-US" w:eastAsia="en-US" w:bidi="ar-SA"/>
      </w:rPr>
    </w:lvl>
    <w:lvl w:ilvl="8">
      <w:start w:val="0"/>
      <w:numFmt w:val="bullet"/>
      <w:lvlText w:val="•"/>
      <w:lvlJc w:val="left"/>
      <w:pPr>
        <w:ind w:left="7248" w:hanging="247"/>
      </w:pPr>
      <w:rPr>
        <w:rFonts w:hint="default"/>
        <w:lang w:val="en-US" w:eastAsia="en-US" w:bidi="ar-SA"/>
      </w:rPr>
    </w:lvl>
  </w:abstractNum>
  <w:abstractNum w:abstractNumId="36">
    <w:multiLevelType w:val="hybridMultilevel"/>
    <w:lvl w:ilvl="0">
      <w:start w:val="1"/>
      <w:numFmt w:val="decimal"/>
      <w:lvlText w:val="%1."/>
      <w:lvlJc w:val="left"/>
      <w:pPr>
        <w:ind w:left="1681" w:hanging="242"/>
        <w:jc w:val="left"/>
      </w:pPr>
      <w:rPr>
        <w:rFonts w:hint="default" w:ascii="Tahoma" w:hAnsi="Tahoma" w:eastAsia="Tahoma" w:cs="Tahoma"/>
        <w:b/>
        <w:bCs/>
        <w:i w:val="0"/>
        <w:iCs w:val="0"/>
        <w:spacing w:val="0"/>
        <w:w w:val="87"/>
        <w:sz w:val="23"/>
        <w:szCs w:val="23"/>
        <w:lang w:val="en-US" w:eastAsia="en-US" w:bidi="ar-SA"/>
      </w:rPr>
    </w:lvl>
    <w:lvl w:ilvl="1">
      <w:start w:val="1"/>
      <w:numFmt w:val="decimal"/>
      <w:lvlText w:val="%1.%2"/>
      <w:lvlJc w:val="left"/>
      <w:pPr>
        <w:ind w:left="1874" w:hanging="435"/>
        <w:jc w:val="left"/>
      </w:pPr>
      <w:rPr>
        <w:rFonts w:hint="default" w:ascii="Cambria" w:hAnsi="Cambria" w:eastAsia="Cambria" w:cs="Cambria"/>
        <w:b/>
        <w:bCs/>
        <w:i/>
        <w:iCs/>
        <w:spacing w:val="0"/>
        <w:w w:val="97"/>
        <w:sz w:val="22"/>
        <w:szCs w:val="22"/>
        <w:lang w:val="en-US" w:eastAsia="en-US" w:bidi="ar-SA"/>
      </w:rPr>
    </w:lvl>
    <w:lvl w:ilvl="2">
      <w:start w:val="0"/>
      <w:numFmt w:val="bullet"/>
      <w:lvlText w:val="•"/>
      <w:lvlJc w:val="left"/>
      <w:pPr>
        <w:ind w:left="2631" w:hanging="435"/>
      </w:pPr>
      <w:rPr>
        <w:rFonts w:hint="default"/>
        <w:lang w:val="en-US" w:eastAsia="en-US" w:bidi="ar-SA"/>
      </w:rPr>
    </w:lvl>
    <w:lvl w:ilvl="3">
      <w:start w:val="0"/>
      <w:numFmt w:val="bullet"/>
      <w:lvlText w:val="•"/>
      <w:lvlJc w:val="left"/>
      <w:pPr>
        <w:ind w:left="3382" w:hanging="435"/>
      </w:pPr>
      <w:rPr>
        <w:rFonts w:hint="default"/>
        <w:lang w:val="en-US" w:eastAsia="en-US" w:bidi="ar-SA"/>
      </w:rPr>
    </w:lvl>
    <w:lvl w:ilvl="4">
      <w:start w:val="0"/>
      <w:numFmt w:val="bullet"/>
      <w:lvlText w:val="•"/>
      <w:lvlJc w:val="left"/>
      <w:pPr>
        <w:ind w:left="4133" w:hanging="435"/>
      </w:pPr>
      <w:rPr>
        <w:rFonts w:hint="default"/>
        <w:lang w:val="en-US" w:eastAsia="en-US" w:bidi="ar-SA"/>
      </w:rPr>
    </w:lvl>
    <w:lvl w:ilvl="5">
      <w:start w:val="0"/>
      <w:numFmt w:val="bullet"/>
      <w:lvlText w:val="•"/>
      <w:lvlJc w:val="left"/>
      <w:pPr>
        <w:ind w:left="4884" w:hanging="435"/>
      </w:pPr>
      <w:rPr>
        <w:rFonts w:hint="default"/>
        <w:lang w:val="en-US" w:eastAsia="en-US" w:bidi="ar-SA"/>
      </w:rPr>
    </w:lvl>
    <w:lvl w:ilvl="6">
      <w:start w:val="0"/>
      <w:numFmt w:val="bullet"/>
      <w:lvlText w:val="•"/>
      <w:lvlJc w:val="left"/>
      <w:pPr>
        <w:ind w:left="5635" w:hanging="435"/>
      </w:pPr>
      <w:rPr>
        <w:rFonts w:hint="default"/>
        <w:lang w:val="en-US" w:eastAsia="en-US" w:bidi="ar-SA"/>
      </w:rPr>
    </w:lvl>
    <w:lvl w:ilvl="7">
      <w:start w:val="0"/>
      <w:numFmt w:val="bullet"/>
      <w:lvlText w:val="•"/>
      <w:lvlJc w:val="left"/>
      <w:pPr>
        <w:ind w:left="6386" w:hanging="435"/>
      </w:pPr>
      <w:rPr>
        <w:rFonts w:hint="default"/>
        <w:lang w:val="en-US" w:eastAsia="en-US" w:bidi="ar-SA"/>
      </w:rPr>
    </w:lvl>
    <w:lvl w:ilvl="8">
      <w:start w:val="0"/>
      <w:numFmt w:val="bullet"/>
      <w:lvlText w:val="•"/>
      <w:lvlJc w:val="left"/>
      <w:pPr>
        <w:ind w:left="7137" w:hanging="435"/>
      </w:pPr>
      <w:rPr>
        <w:rFonts w:hint="default"/>
        <w:lang w:val="en-US" w:eastAsia="en-US" w:bidi="ar-SA"/>
      </w:rPr>
    </w:lvl>
  </w:abstractNum>
  <w:abstractNum w:abstractNumId="34">
    <w:multiLevelType w:val="hybridMultilevel"/>
    <w:lvl w:ilvl="0">
      <w:start w:val="1"/>
      <w:numFmt w:val="decimal"/>
      <w:lvlText w:val="%1)"/>
      <w:lvlJc w:val="left"/>
      <w:pPr>
        <w:ind w:left="2160" w:hanging="330"/>
        <w:jc w:val="right"/>
      </w:pPr>
      <w:rPr>
        <w:rFonts w:hint="default" w:ascii="Times New Roman" w:hAnsi="Times New Roman" w:eastAsia="Times New Roman" w:cs="Times New Roman"/>
        <w:b w:val="0"/>
        <w:bCs w:val="0"/>
        <w:i w:val="0"/>
        <w:iCs w:val="0"/>
        <w:spacing w:val="-6"/>
        <w:w w:val="99"/>
        <w:sz w:val="19"/>
        <w:szCs w:val="19"/>
        <w:lang w:val="en-US" w:eastAsia="en-US" w:bidi="ar-SA"/>
      </w:rPr>
    </w:lvl>
    <w:lvl w:ilvl="1">
      <w:start w:val="0"/>
      <w:numFmt w:val="bullet"/>
      <w:lvlText w:val="•"/>
      <w:lvlJc w:val="left"/>
      <w:pPr>
        <w:ind w:left="2808" w:hanging="330"/>
      </w:pPr>
      <w:rPr>
        <w:rFonts w:hint="default"/>
        <w:lang w:val="en-US" w:eastAsia="en-US" w:bidi="ar-SA"/>
      </w:rPr>
    </w:lvl>
    <w:lvl w:ilvl="2">
      <w:start w:val="0"/>
      <w:numFmt w:val="bullet"/>
      <w:lvlText w:val="•"/>
      <w:lvlJc w:val="left"/>
      <w:pPr>
        <w:ind w:left="3456" w:hanging="330"/>
      </w:pPr>
      <w:rPr>
        <w:rFonts w:hint="default"/>
        <w:lang w:val="en-US" w:eastAsia="en-US" w:bidi="ar-SA"/>
      </w:rPr>
    </w:lvl>
    <w:lvl w:ilvl="3">
      <w:start w:val="0"/>
      <w:numFmt w:val="bullet"/>
      <w:lvlText w:val="•"/>
      <w:lvlJc w:val="left"/>
      <w:pPr>
        <w:ind w:left="4104" w:hanging="330"/>
      </w:pPr>
      <w:rPr>
        <w:rFonts w:hint="default"/>
        <w:lang w:val="en-US" w:eastAsia="en-US" w:bidi="ar-SA"/>
      </w:rPr>
    </w:lvl>
    <w:lvl w:ilvl="4">
      <w:start w:val="0"/>
      <w:numFmt w:val="bullet"/>
      <w:lvlText w:val="•"/>
      <w:lvlJc w:val="left"/>
      <w:pPr>
        <w:ind w:left="4752" w:hanging="330"/>
      </w:pPr>
      <w:rPr>
        <w:rFonts w:hint="default"/>
        <w:lang w:val="en-US" w:eastAsia="en-US" w:bidi="ar-SA"/>
      </w:rPr>
    </w:lvl>
    <w:lvl w:ilvl="5">
      <w:start w:val="0"/>
      <w:numFmt w:val="bullet"/>
      <w:lvlText w:val="•"/>
      <w:lvlJc w:val="left"/>
      <w:pPr>
        <w:ind w:left="5400" w:hanging="330"/>
      </w:pPr>
      <w:rPr>
        <w:rFonts w:hint="default"/>
        <w:lang w:val="en-US" w:eastAsia="en-US" w:bidi="ar-SA"/>
      </w:rPr>
    </w:lvl>
    <w:lvl w:ilvl="6">
      <w:start w:val="0"/>
      <w:numFmt w:val="bullet"/>
      <w:lvlText w:val="•"/>
      <w:lvlJc w:val="left"/>
      <w:pPr>
        <w:ind w:left="6048" w:hanging="330"/>
      </w:pPr>
      <w:rPr>
        <w:rFonts w:hint="default"/>
        <w:lang w:val="en-US" w:eastAsia="en-US" w:bidi="ar-SA"/>
      </w:rPr>
    </w:lvl>
    <w:lvl w:ilvl="7">
      <w:start w:val="0"/>
      <w:numFmt w:val="bullet"/>
      <w:lvlText w:val="•"/>
      <w:lvlJc w:val="left"/>
      <w:pPr>
        <w:ind w:left="6696" w:hanging="330"/>
      </w:pPr>
      <w:rPr>
        <w:rFonts w:hint="default"/>
        <w:lang w:val="en-US" w:eastAsia="en-US" w:bidi="ar-SA"/>
      </w:rPr>
    </w:lvl>
    <w:lvl w:ilvl="8">
      <w:start w:val="0"/>
      <w:numFmt w:val="bullet"/>
      <w:lvlText w:val="•"/>
      <w:lvlJc w:val="left"/>
      <w:pPr>
        <w:ind w:left="7344" w:hanging="330"/>
      </w:pPr>
      <w:rPr>
        <w:rFonts w:hint="default"/>
        <w:lang w:val="en-US" w:eastAsia="en-US" w:bidi="ar-SA"/>
      </w:rPr>
    </w:lvl>
  </w:abstractNum>
  <w:abstractNum w:abstractNumId="33">
    <w:multiLevelType w:val="hybridMultilevel"/>
    <w:lvl w:ilvl="0">
      <w:start w:val="0"/>
      <w:numFmt w:val="bullet"/>
      <w:lvlText w:val="—"/>
      <w:lvlJc w:val="left"/>
      <w:pPr>
        <w:ind w:left="1440" w:hanging="26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160" w:hanging="261"/>
      </w:pPr>
      <w:rPr>
        <w:rFonts w:hint="default"/>
        <w:lang w:val="en-US" w:eastAsia="en-US" w:bidi="ar-SA"/>
      </w:rPr>
    </w:lvl>
    <w:lvl w:ilvl="2">
      <w:start w:val="0"/>
      <w:numFmt w:val="bullet"/>
      <w:lvlText w:val="•"/>
      <w:lvlJc w:val="left"/>
      <w:pPr>
        <w:ind w:left="2880" w:hanging="261"/>
      </w:pPr>
      <w:rPr>
        <w:rFonts w:hint="default"/>
        <w:lang w:val="en-US" w:eastAsia="en-US" w:bidi="ar-SA"/>
      </w:rPr>
    </w:lvl>
    <w:lvl w:ilvl="3">
      <w:start w:val="0"/>
      <w:numFmt w:val="bullet"/>
      <w:lvlText w:val="•"/>
      <w:lvlJc w:val="left"/>
      <w:pPr>
        <w:ind w:left="3600" w:hanging="261"/>
      </w:pPr>
      <w:rPr>
        <w:rFonts w:hint="default"/>
        <w:lang w:val="en-US" w:eastAsia="en-US" w:bidi="ar-SA"/>
      </w:rPr>
    </w:lvl>
    <w:lvl w:ilvl="4">
      <w:start w:val="0"/>
      <w:numFmt w:val="bullet"/>
      <w:lvlText w:val="•"/>
      <w:lvlJc w:val="left"/>
      <w:pPr>
        <w:ind w:left="4320" w:hanging="261"/>
      </w:pPr>
      <w:rPr>
        <w:rFonts w:hint="default"/>
        <w:lang w:val="en-US" w:eastAsia="en-US" w:bidi="ar-SA"/>
      </w:rPr>
    </w:lvl>
    <w:lvl w:ilvl="5">
      <w:start w:val="0"/>
      <w:numFmt w:val="bullet"/>
      <w:lvlText w:val="•"/>
      <w:lvlJc w:val="left"/>
      <w:pPr>
        <w:ind w:left="5040" w:hanging="261"/>
      </w:pPr>
      <w:rPr>
        <w:rFonts w:hint="default"/>
        <w:lang w:val="en-US" w:eastAsia="en-US" w:bidi="ar-SA"/>
      </w:rPr>
    </w:lvl>
    <w:lvl w:ilvl="6">
      <w:start w:val="0"/>
      <w:numFmt w:val="bullet"/>
      <w:lvlText w:val="•"/>
      <w:lvlJc w:val="left"/>
      <w:pPr>
        <w:ind w:left="5760" w:hanging="261"/>
      </w:pPr>
      <w:rPr>
        <w:rFonts w:hint="default"/>
        <w:lang w:val="en-US" w:eastAsia="en-US" w:bidi="ar-SA"/>
      </w:rPr>
    </w:lvl>
    <w:lvl w:ilvl="7">
      <w:start w:val="0"/>
      <w:numFmt w:val="bullet"/>
      <w:lvlText w:val="•"/>
      <w:lvlJc w:val="left"/>
      <w:pPr>
        <w:ind w:left="6480" w:hanging="261"/>
      </w:pPr>
      <w:rPr>
        <w:rFonts w:hint="default"/>
        <w:lang w:val="en-US" w:eastAsia="en-US" w:bidi="ar-SA"/>
      </w:rPr>
    </w:lvl>
    <w:lvl w:ilvl="8">
      <w:start w:val="0"/>
      <w:numFmt w:val="bullet"/>
      <w:lvlText w:val="•"/>
      <w:lvlJc w:val="left"/>
      <w:pPr>
        <w:ind w:left="7200" w:hanging="261"/>
      </w:pPr>
      <w:rPr>
        <w:rFonts w:hint="default"/>
        <w:lang w:val="en-US" w:eastAsia="en-US" w:bidi="ar-SA"/>
      </w:rPr>
    </w:lvl>
  </w:abstractNum>
  <w:abstractNum w:abstractNumId="32">
    <w:multiLevelType w:val="hybridMultilevel"/>
    <w:lvl w:ilvl="0">
      <w:start w:val="1"/>
      <w:numFmt w:val="decimal"/>
      <w:lvlText w:val="%1."/>
      <w:lvlJc w:val="left"/>
      <w:pPr>
        <w:ind w:left="1440" w:hanging="345"/>
        <w:jc w:val="left"/>
      </w:pPr>
      <w:rPr>
        <w:rFonts w:hint="default" w:ascii="Tahoma" w:hAnsi="Tahoma" w:eastAsia="Tahoma" w:cs="Tahoma"/>
        <w:b/>
        <w:bCs/>
        <w:i w:val="0"/>
        <w:iCs w:val="0"/>
        <w:spacing w:val="0"/>
        <w:w w:val="87"/>
        <w:sz w:val="23"/>
        <w:szCs w:val="23"/>
        <w:lang w:val="en-US" w:eastAsia="en-US" w:bidi="ar-SA"/>
      </w:rPr>
    </w:lvl>
    <w:lvl w:ilvl="1">
      <w:start w:val="1"/>
      <w:numFmt w:val="decimal"/>
      <w:lvlText w:val="%1.%2"/>
      <w:lvlJc w:val="left"/>
      <w:pPr>
        <w:ind w:left="1865" w:hanging="426"/>
        <w:jc w:val="left"/>
      </w:pPr>
      <w:rPr>
        <w:rFonts w:hint="default" w:ascii="Cambria" w:hAnsi="Cambria" w:eastAsia="Cambria" w:cs="Cambria"/>
        <w:b/>
        <w:bCs/>
        <w:i/>
        <w:iCs/>
        <w:spacing w:val="0"/>
        <w:w w:val="97"/>
        <w:sz w:val="22"/>
        <w:szCs w:val="22"/>
        <w:lang w:val="en-US" w:eastAsia="en-US" w:bidi="ar-SA"/>
      </w:rPr>
    </w:lvl>
    <w:lvl w:ilvl="2">
      <w:start w:val="0"/>
      <w:numFmt w:val="bullet"/>
      <w:lvlText w:val="•"/>
      <w:lvlJc w:val="left"/>
      <w:pPr>
        <w:ind w:left="2613" w:hanging="426"/>
      </w:pPr>
      <w:rPr>
        <w:rFonts w:hint="default"/>
        <w:lang w:val="en-US" w:eastAsia="en-US" w:bidi="ar-SA"/>
      </w:rPr>
    </w:lvl>
    <w:lvl w:ilvl="3">
      <w:start w:val="0"/>
      <w:numFmt w:val="bullet"/>
      <w:lvlText w:val="•"/>
      <w:lvlJc w:val="left"/>
      <w:pPr>
        <w:ind w:left="3366" w:hanging="426"/>
      </w:pPr>
      <w:rPr>
        <w:rFonts w:hint="default"/>
        <w:lang w:val="en-US" w:eastAsia="en-US" w:bidi="ar-SA"/>
      </w:rPr>
    </w:lvl>
    <w:lvl w:ilvl="4">
      <w:start w:val="0"/>
      <w:numFmt w:val="bullet"/>
      <w:lvlText w:val="•"/>
      <w:lvlJc w:val="left"/>
      <w:pPr>
        <w:ind w:left="4120" w:hanging="426"/>
      </w:pPr>
      <w:rPr>
        <w:rFonts w:hint="default"/>
        <w:lang w:val="en-US" w:eastAsia="en-US" w:bidi="ar-SA"/>
      </w:rPr>
    </w:lvl>
    <w:lvl w:ilvl="5">
      <w:start w:val="0"/>
      <w:numFmt w:val="bullet"/>
      <w:lvlText w:val="•"/>
      <w:lvlJc w:val="left"/>
      <w:pPr>
        <w:ind w:left="4873" w:hanging="426"/>
      </w:pPr>
      <w:rPr>
        <w:rFonts w:hint="default"/>
        <w:lang w:val="en-US" w:eastAsia="en-US" w:bidi="ar-SA"/>
      </w:rPr>
    </w:lvl>
    <w:lvl w:ilvl="6">
      <w:start w:val="0"/>
      <w:numFmt w:val="bullet"/>
      <w:lvlText w:val="•"/>
      <w:lvlJc w:val="left"/>
      <w:pPr>
        <w:ind w:left="5626" w:hanging="426"/>
      </w:pPr>
      <w:rPr>
        <w:rFonts w:hint="default"/>
        <w:lang w:val="en-US" w:eastAsia="en-US" w:bidi="ar-SA"/>
      </w:rPr>
    </w:lvl>
    <w:lvl w:ilvl="7">
      <w:start w:val="0"/>
      <w:numFmt w:val="bullet"/>
      <w:lvlText w:val="•"/>
      <w:lvlJc w:val="left"/>
      <w:pPr>
        <w:ind w:left="6380" w:hanging="426"/>
      </w:pPr>
      <w:rPr>
        <w:rFonts w:hint="default"/>
        <w:lang w:val="en-US" w:eastAsia="en-US" w:bidi="ar-SA"/>
      </w:rPr>
    </w:lvl>
    <w:lvl w:ilvl="8">
      <w:start w:val="0"/>
      <w:numFmt w:val="bullet"/>
      <w:lvlText w:val="•"/>
      <w:lvlJc w:val="left"/>
      <w:pPr>
        <w:ind w:left="7133" w:hanging="426"/>
      </w:pPr>
      <w:rPr>
        <w:rFonts w:hint="default"/>
        <w:lang w:val="en-US" w:eastAsia="en-US" w:bidi="ar-SA"/>
      </w:rPr>
    </w:lvl>
  </w:abstractNum>
  <w:abstractNum w:abstractNumId="31">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30">
    <w:multiLevelType w:val="hybridMultilevel"/>
    <w:lvl w:ilvl="0">
      <w:start w:val="1"/>
      <w:numFmt w:val="decimal"/>
      <w:lvlText w:val="%1."/>
      <w:lvlJc w:val="left"/>
      <w:pPr>
        <w:ind w:left="1686" w:hanging="247"/>
        <w:jc w:val="left"/>
      </w:pPr>
      <w:rPr>
        <w:rFonts w:hint="default" w:ascii="Tahoma" w:hAnsi="Tahoma" w:eastAsia="Tahoma" w:cs="Tahoma"/>
        <w:b/>
        <w:bCs/>
        <w:i w:val="0"/>
        <w:iCs w:val="0"/>
        <w:spacing w:val="0"/>
        <w:w w:val="87"/>
        <w:sz w:val="23"/>
        <w:szCs w:val="23"/>
        <w:lang w:val="en-US" w:eastAsia="en-US" w:bidi="ar-SA"/>
      </w:rPr>
    </w:lvl>
    <w:lvl w:ilvl="1">
      <w:start w:val="1"/>
      <w:numFmt w:val="decimal"/>
      <w:lvlText w:val="%1.%2"/>
      <w:lvlJc w:val="left"/>
      <w:pPr>
        <w:ind w:left="1440" w:hanging="454"/>
        <w:jc w:val="left"/>
      </w:pPr>
      <w:rPr>
        <w:rFonts w:hint="default" w:ascii="Cambria" w:hAnsi="Cambria" w:eastAsia="Cambria" w:cs="Cambria"/>
        <w:b/>
        <w:bCs/>
        <w:i/>
        <w:iCs/>
        <w:spacing w:val="0"/>
        <w:w w:val="97"/>
        <w:sz w:val="22"/>
        <w:szCs w:val="22"/>
        <w:lang w:val="en-US" w:eastAsia="en-US" w:bidi="ar-SA"/>
      </w:rPr>
    </w:lvl>
    <w:lvl w:ilvl="2">
      <w:start w:val="1"/>
      <w:numFmt w:val="decimal"/>
      <w:lvlText w:val="%1.%2.%3"/>
      <w:lvlJc w:val="left"/>
      <w:pPr>
        <w:ind w:left="2160" w:hanging="541"/>
        <w:jc w:val="left"/>
      </w:pPr>
      <w:rPr>
        <w:rFonts w:hint="default" w:ascii="Times New Roman" w:hAnsi="Times New Roman" w:eastAsia="Times New Roman" w:cs="Times New Roman"/>
        <w:b w:val="0"/>
        <w:bCs w:val="0"/>
        <w:i w:val="0"/>
        <w:iCs w:val="0"/>
        <w:spacing w:val="-10"/>
        <w:w w:val="99"/>
        <w:sz w:val="20"/>
        <w:szCs w:val="20"/>
        <w:lang w:val="en-US" w:eastAsia="en-US" w:bidi="ar-SA"/>
      </w:rPr>
    </w:lvl>
    <w:lvl w:ilvl="3">
      <w:start w:val="0"/>
      <w:numFmt w:val="bullet"/>
      <w:lvlText w:val="•"/>
      <w:lvlJc w:val="left"/>
      <w:pPr>
        <w:ind w:left="2970" w:hanging="541"/>
      </w:pPr>
      <w:rPr>
        <w:rFonts w:hint="default"/>
        <w:lang w:val="en-US" w:eastAsia="en-US" w:bidi="ar-SA"/>
      </w:rPr>
    </w:lvl>
    <w:lvl w:ilvl="4">
      <w:start w:val="0"/>
      <w:numFmt w:val="bullet"/>
      <w:lvlText w:val="•"/>
      <w:lvlJc w:val="left"/>
      <w:pPr>
        <w:ind w:left="3780" w:hanging="541"/>
      </w:pPr>
      <w:rPr>
        <w:rFonts w:hint="default"/>
        <w:lang w:val="en-US" w:eastAsia="en-US" w:bidi="ar-SA"/>
      </w:rPr>
    </w:lvl>
    <w:lvl w:ilvl="5">
      <w:start w:val="0"/>
      <w:numFmt w:val="bullet"/>
      <w:lvlText w:val="•"/>
      <w:lvlJc w:val="left"/>
      <w:pPr>
        <w:ind w:left="4590" w:hanging="541"/>
      </w:pPr>
      <w:rPr>
        <w:rFonts w:hint="default"/>
        <w:lang w:val="en-US" w:eastAsia="en-US" w:bidi="ar-SA"/>
      </w:rPr>
    </w:lvl>
    <w:lvl w:ilvl="6">
      <w:start w:val="0"/>
      <w:numFmt w:val="bullet"/>
      <w:lvlText w:val="•"/>
      <w:lvlJc w:val="left"/>
      <w:pPr>
        <w:ind w:left="5400" w:hanging="541"/>
      </w:pPr>
      <w:rPr>
        <w:rFonts w:hint="default"/>
        <w:lang w:val="en-US" w:eastAsia="en-US" w:bidi="ar-SA"/>
      </w:rPr>
    </w:lvl>
    <w:lvl w:ilvl="7">
      <w:start w:val="0"/>
      <w:numFmt w:val="bullet"/>
      <w:lvlText w:val="•"/>
      <w:lvlJc w:val="left"/>
      <w:pPr>
        <w:ind w:left="6210" w:hanging="541"/>
      </w:pPr>
      <w:rPr>
        <w:rFonts w:hint="default"/>
        <w:lang w:val="en-US" w:eastAsia="en-US" w:bidi="ar-SA"/>
      </w:rPr>
    </w:lvl>
    <w:lvl w:ilvl="8">
      <w:start w:val="0"/>
      <w:numFmt w:val="bullet"/>
      <w:lvlText w:val="•"/>
      <w:lvlJc w:val="left"/>
      <w:pPr>
        <w:ind w:left="7020" w:hanging="541"/>
      </w:pPr>
      <w:rPr>
        <w:rFonts w:hint="default"/>
        <w:lang w:val="en-US" w:eastAsia="en-US" w:bidi="ar-SA"/>
      </w:rPr>
    </w:lvl>
  </w:abstractNum>
  <w:abstractNum w:abstractNumId="29">
    <w:multiLevelType w:val="hybridMultilevel"/>
    <w:lvl w:ilvl="0">
      <w:start w:val="1"/>
      <w:numFmt w:val="decimal"/>
      <w:lvlText w:val="%1."/>
      <w:lvlJc w:val="left"/>
      <w:pPr>
        <w:ind w:left="1755" w:hanging="316"/>
        <w:jc w:val="left"/>
      </w:pPr>
      <w:rPr>
        <w:rFonts w:hint="default" w:ascii="Cambria" w:hAnsi="Cambria" w:eastAsia="Cambria" w:cs="Cambria"/>
        <w:b/>
        <w:bCs/>
        <w:i/>
        <w:iCs/>
        <w:spacing w:val="0"/>
        <w:w w:val="97"/>
        <w:sz w:val="22"/>
        <w:szCs w:val="22"/>
        <w:lang w:val="en-US" w:eastAsia="en-US" w:bidi="ar-SA"/>
      </w:rPr>
    </w:lvl>
    <w:lvl w:ilvl="1">
      <w:start w:val="1"/>
      <w:numFmt w:val="decimal"/>
      <w:lvlText w:val="%2."/>
      <w:lvlJc w:val="left"/>
      <w:pPr>
        <w:ind w:left="2159"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2">
      <w:start w:val="0"/>
      <w:numFmt w:val="bullet"/>
      <w:lvlText w:val="•"/>
      <w:lvlJc w:val="left"/>
      <w:pPr>
        <w:ind w:left="2880" w:hanging="315"/>
      </w:pPr>
      <w:rPr>
        <w:rFonts w:hint="default"/>
        <w:lang w:val="en-US" w:eastAsia="en-US" w:bidi="ar-SA"/>
      </w:rPr>
    </w:lvl>
    <w:lvl w:ilvl="3">
      <w:start w:val="0"/>
      <w:numFmt w:val="bullet"/>
      <w:lvlText w:val="•"/>
      <w:lvlJc w:val="left"/>
      <w:pPr>
        <w:ind w:left="3600" w:hanging="315"/>
      </w:pPr>
      <w:rPr>
        <w:rFonts w:hint="default"/>
        <w:lang w:val="en-US" w:eastAsia="en-US" w:bidi="ar-SA"/>
      </w:rPr>
    </w:lvl>
    <w:lvl w:ilvl="4">
      <w:start w:val="0"/>
      <w:numFmt w:val="bullet"/>
      <w:lvlText w:val="•"/>
      <w:lvlJc w:val="left"/>
      <w:pPr>
        <w:ind w:left="4320" w:hanging="315"/>
      </w:pPr>
      <w:rPr>
        <w:rFonts w:hint="default"/>
        <w:lang w:val="en-US" w:eastAsia="en-US" w:bidi="ar-SA"/>
      </w:rPr>
    </w:lvl>
    <w:lvl w:ilvl="5">
      <w:start w:val="0"/>
      <w:numFmt w:val="bullet"/>
      <w:lvlText w:val="•"/>
      <w:lvlJc w:val="left"/>
      <w:pPr>
        <w:ind w:left="5040" w:hanging="315"/>
      </w:pPr>
      <w:rPr>
        <w:rFonts w:hint="default"/>
        <w:lang w:val="en-US" w:eastAsia="en-US" w:bidi="ar-SA"/>
      </w:rPr>
    </w:lvl>
    <w:lvl w:ilvl="6">
      <w:start w:val="0"/>
      <w:numFmt w:val="bullet"/>
      <w:lvlText w:val="•"/>
      <w:lvlJc w:val="left"/>
      <w:pPr>
        <w:ind w:left="5760" w:hanging="315"/>
      </w:pPr>
      <w:rPr>
        <w:rFonts w:hint="default"/>
        <w:lang w:val="en-US" w:eastAsia="en-US" w:bidi="ar-SA"/>
      </w:rPr>
    </w:lvl>
    <w:lvl w:ilvl="7">
      <w:start w:val="0"/>
      <w:numFmt w:val="bullet"/>
      <w:lvlText w:val="•"/>
      <w:lvlJc w:val="left"/>
      <w:pPr>
        <w:ind w:left="6480" w:hanging="315"/>
      </w:pPr>
      <w:rPr>
        <w:rFonts w:hint="default"/>
        <w:lang w:val="en-US" w:eastAsia="en-US" w:bidi="ar-SA"/>
      </w:rPr>
    </w:lvl>
    <w:lvl w:ilvl="8">
      <w:start w:val="0"/>
      <w:numFmt w:val="bullet"/>
      <w:lvlText w:val="•"/>
      <w:lvlJc w:val="left"/>
      <w:pPr>
        <w:ind w:left="7200" w:hanging="315"/>
      </w:pPr>
      <w:rPr>
        <w:rFonts w:hint="default"/>
        <w:lang w:val="en-US" w:eastAsia="en-US" w:bidi="ar-SA"/>
      </w:rPr>
    </w:lvl>
  </w:abstractNum>
  <w:abstractNum w:abstractNumId="28">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26">
    <w:multiLevelType w:val="hybridMultilevel"/>
    <w:lvl w:ilvl="0">
      <w:start w:val="1"/>
      <w:numFmt w:val="decimal"/>
      <w:lvlText w:val="%1."/>
      <w:lvlJc w:val="left"/>
      <w:pPr>
        <w:ind w:left="1631" w:hanging="192"/>
        <w:jc w:val="left"/>
      </w:pPr>
      <w:rPr>
        <w:rFonts w:hint="default" w:ascii="Tahoma" w:hAnsi="Tahoma" w:eastAsia="Tahoma" w:cs="Tahoma"/>
        <w:b/>
        <w:bCs/>
        <w:i w:val="0"/>
        <w:iCs w:val="0"/>
        <w:spacing w:val="-3"/>
        <w:w w:val="85"/>
        <w:sz w:val="21"/>
        <w:szCs w:val="21"/>
        <w:lang w:val="en-US" w:eastAsia="en-US" w:bidi="ar-SA"/>
      </w:rPr>
    </w:lvl>
    <w:lvl w:ilvl="1">
      <w:start w:val="1"/>
      <w:numFmt w:val="decimal"/>
      <w:lvlText w:val="%1.%2"/>
      <w:lvlJc w:val="left"/>
      <w:pPr>
        <w:ind w:left="1440" w:hanging="490"/>
        <w:jc w:val="left"/>
      </w:pPr>
      <w:rPr>
        <w:rFonts w:hint="default" w:ascii="Cambria" w:hAnsi="Cambria" w:eastAsia="Cambria" w:cs="Cambria"/>
        <w:b/>
        <w:bCs/>
        <w:i/>
        <w:iCs/>
        <w:spacing w:val="0"/>
        <w:w w:val="97"/>
        <w:sz w:val="22"/>
        <w:szCs w:val="22"/>
        <w:lang w:val="en-US" w:eastAsia="en-US" w:bidi="ar-SA"/>
      </w:rPr>
    </w:lvl>
    <w:lvl w:ilvl="2">
      <w:start w:val="0"/>
      <w:numFmt w:val="bullet"/>
      <w:lvlText w:val="•"/>
      <w:lvlJc w:val="left"/>
      <w:pPr>
        <w:ind w:left="2417" w:hanging="490"/>
      </w:pPr>
      <w:rPr>
        <w:rFonts w:hint="default"/>
        <w:lang w:val="en-US" w:eastAsia="en-US" w:bidi="ar-SA"/>
      </w:rPr>
    </w:lvl>
    <w:lvl w:ilvl="3">
      <w:start w:val="0"/>
      <w:numFmt w:val="bullet"/>
      <w:lvlText w:val="•"/>
      <w:lvlJc w:val="left"/>
      <w:pPr>
        <w:ind w:left="3195" w:hanging="490"/>
      </w:pPr>
      <w:rPr>
        <w:rFonts w:hint="default"/>
        <w:lang w:val="en-US" w:eastAsia="en-US" w:bidi="ar-SA"/>
      </w:rPr>
    </w:lvl>
    <w:lvl w:ilvl="4">
      <w:start w:val="0"/>
      <w:numFmt w:val="bullet"/>
      <w:lvlText w:val="•"/>
      <w:lvlJc w:val="left"/>
      <w:pPr>
        <w:ind w:left="3973" w:hanging="490"/>
      </w:pPr>
      <w:rPr>
        <w:rFonts w:hint="default"/>
        <w:lang w:val="en-US" w:eastAsia="en-US" w:bidi="ar-SA"/>
      </w:rPr>
    </w:lvl>
    <w:lvl w:ilvl="5">
      <w:start w:val="0"/>
      <w:numFmt w:val="bullet"/>
      <w:lvlText w:val="•"/>
      <w:lvlJc w:val="left"/>
      <w:pPr>
        <w:ind w:left="4751" w:hanging="490"/>
      </w:pPr>
      <w:rPr>
        <w:rFonts w:hint="default"/>
        <w:lang w:val="en-US" w:eastAsia="en-US" w:bidi="ar-SA"/>
      </w:rPr>
    </w:lvl>
    <w:lvl w:ilvl="6">
      <w:start w:val="0"/>
      <w:numFmt w:val="bullet"/>
      <w:lvlText w:val="•"/>
      <w:lvlJc w:val="left"/>
      <w:pPr>
        <w:ind w:left="5528" w:hanging="490"/>
      </w:pPr>
      <w:rPr>
        <w:rFonts w:hint="default"/>
        <w:lang w:val="en-US" w:eastAsia="en-US" w:bidi="ar-SA"/>
      </w:rPr>
    </w:lvl>
    <w:lvl w:ilvl="7">
      <w:start w:val="0"/>
      <w:numFmt w:val="bullet"/>
      <w:lvlText w:val="•"/>
      <w:lvlJc w:val="left"/>
      <w:pPr>
        <w:ind w:left="6306" w:hanging="490"/>
      </w:pPr>
      <w:rPr>
        <w:rFonts w:hint="default"/>
        <w:lang w:val="en-US" w:eastAsia="en-US" w:bidi="ar-SA"/>
      </w:rPr>
    </w:lvl>
    <w:lvl w:ilvl="8">
      <w:start w:val="0"/>
      <w:numFmt w:val="bullet"/>
      <w:lvlText w:val="•"/>
      <w:lvlJc w:val="left"/>
      <w:pPr>
        <w:ind w:left="7084" w:hanging="490"/>
      </w:pPr>
      <w:rPr>
        <w:rFonts w:hint="default"/>
        <w:lang w:val="en-US" w:eastAsia="en-US" w:bidi="ar-SA"/>
      </w:rPr>
    </w:lvl>
  </w:abstractNum>
  <w:abstractNum w:abstractNumId="24">
    <w:multiLevelType w:val="hybridMultilevel"/>
    <w:lvl w:ilvl="0">
      <w:start w:val="1"/>
      <w:numFmt w:val="decimal"/>
      <w:lvlText w:val="%1."/>
      <w:lvlJc w:val="left"/>
      <w:pPr>
        <w:ind w:left="1440" w:hanging="289"/>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160" w:hanging="289"/>
      </w:pPr>
      <w:rPr>
        <w:rFonts w:hint="default"/>
        <w:lang w:val="en-US" w:eastAsia="en-US" w:bidi="ar-SA"/>
      </w:rPr>
    </w:lvl>
    <w:lvl w:ilvl="2">
      <w:start w:val="0"/>
      <w:numFmt w:val="bullet"/>
      <w:lvlText w:val="•"/>
      <w:lvlJc w:val="left"/>
      <w:pPr>
        <w:ind w:left="2880" w:hanging="289"/>
      </w:pPr>
      <w:rPr>
        <w:rFonts w:hint="default"/>
        <w:lang w:val="en-US" w:eastAsia="en-US" w:bidi="ar-SA"/>
      </w:rPr>
    </w:lvl>
    <w:lvl w:ilvl="3">
      <w:start w:val="0"/>
      <w:numFmt w:val="bullet"/>
      <w:lvlText w:val="•"/>
      <w:lvlJc w:val="left"/>
      <w:pPr>
        <w:ind w:left="3600" w:hanging="289"/>
      </w:pPr>
      <w:rPr>
        <w:rFonts w:hint="default"/>
        <w:lang w:val="en-US" w:eastAsia="en-US" w:bidi="ar-SA"/>
      </w:rPr>
    </w:lvl>
    <w:lvl w:ilvl="4">
      <w:start w:val="0"/>
      <w:numFmt w:val="bullet"/>
      <w:lvlText w:val="•"/>
      <w:lvlJc w:val="left"/>
      <w:pPr>
        <w:ind w:left="4320" w:hanging="289"/>
      </w:pPr>
      <w:rPr>
        <w:rFonts w:hint="default"/>
        <w:lang w:val="en-US" w:eastAsia="en-US" w:bidi="ar-SA"/>
      </w:rPr>
    </w:lvl>
    <w:lvl w:ilvl="5">
      <w:start w:val="0"/>
      <w:numFmt w:val="bullet"/>
      <w:lvlText w:val="•"/>
      <w:lvlJc w:val="left"/>
      <w:pPr>
        <w:ind w:left="5040" w:hanging="289"/>
      </w:pPr>
      <w:rPr>
        <w:rFonts w:hint="default"/>
        <w:lang w:val="en-US" w:eastAsia="en-US" w:bidi="ar-SA"/>
      </w:rPr>
    </w:lvl>
    <w:lvl w:ilvl="6">
      <w:start w:val="0"/>
      <w:numFmt w:val="bullet"/>
      <w:lvlText w:val="•"/>
      <w:lvlJc w:val="left"/>
      <w:pPr>
        <w:ind w:left="5760" w:hanging="289"/>
      </w:pPr>
      <w:rPr>
        <w:rFonts w:hint="default"/>
        <w:lang w:val="en-US" w:eastAsia="en-US" w:bidi="ar-SA"/>
      </w:rPr>
    </w:lvl>
    <w:lvl w:ilvl="7">
      <w:start w:val="0"/>
      <w:numFmt w:val="bullet"/>
      <w:lvlText w:val="•"/>
      <w:lvlJc w:val="left"/>
      <w:pPr>
        <w:ind w:left="6480" w:hanging="289"/>
      </w:pPr>
      <w:rPr>
        <w:rFonts w:hint="default"/>
        <w:lang w:val="en-US" w:eastAsia="en-US" w:bidi="ar-SA"/>
      </w:rPr>
    </w:lvl>
    <w:lvl w:ilvl="8">
      <w:start w:val="0"/>
      <w:numFmt w:val="bullet"/>
      <w:lvlText w:val="•"/>
      <w:lvlJc w:val="left"/>
      <w:pPr>
        <w:ind w:left="7200" w:hanging="289"/>
      </w:pPr>
      <w:rPr>
        <w:rFonts w:hint="default"/>
        <w:lang w:val="en-US" w:eastAsia="en-US" w:bidi="ar-SA"/>
      </w:rPr>
    </w:lvl>
  </w:abstractNum>
  <w:abstractNum w:abstractNumId="23">
    <w:multiLevelType w:val="hybridMultilevel"/>
    <w:lvl w:ilvl="0">
      <w:start w:val="1"/>
      <w:numFmt w:val="upperRoman"/>
      <w:lvlText w:val="%1."/>
      <w:lvlJc w:val="left"/>
      <w:pPr>
        <w:ind w:left="1626" w:hanging="187"/>
        <w:jc w:val="left"/>
      </w:pPr>
      <w:rPr>
        <w:rFonts w:hint="default" w:ascii="Tahoma" w:hAnsi="Tahoma" w:eastAsia="Tahoma" w:cs="Tahoma"/>
        <w:b/>
        <w:bCs/>
        <w:i w:val="0"/>
        <w:iCs w:val="0"/>
        <w:spacing w:val="0"/>
        <w:w w:val="57"/>
        <w:sz w:val="23"/>
        <w:szCs w:val="23"/>
        <w:lang w:val="en-US" w:eastAsia="en-US" w:bidi="ar-SA"/>
      </w:rPr>
    </w:lvl>
    <w:lvl w:ilvl="1">
      <w:start w:val="1"/>
      <w:numFmt w:val="decimal"/>
      <w:lvlText w:val="%2."/>
      <w:lvlJc w:val="left"/>
      <w:pPr>
        <w:ind w:left="2160" w:hanging="315"/>
        <w:jc w:val="left"/>
      </w:pPr>
      <w:rPr>
        <w:rFonts w:hint="default" w:ascii="Times New Roman" w:hAnsi="Times New Roman" w:eastAsia="Times New Roman" w:cs="Times New Roman"/>
        <w:b w:val="0"/>
        <w:bCs w:val="0"/>
        <w:i w:val="0"/>
        <w:iCs w:val="0"/>
        <w:spacing w:val="-8"/>
        <w:w w:val="99"/>
        <w:sz w:val="19"/>
        <w:szCs w:val="19"/>
        <w:lang w:val="en-US" w:eastAsia="en-US" w:bidi="ar-SA"/>
      </w:rPr>
    </w:lvl>
    <w:lvl w:ilvl="2">
      <w:start w:val="0"/>
      <w:numFmt w:val="bullet"/>
      <w:lvlText w:val="•"/>
      <w:lvlJc w:val="left"/>
      <w:pPr>
        <w:ind w:left="2880" w:hanging="315"/>
      </w:pPr>
      <w:rPr>
        <w:rFonts w:hint="default"/>
        <w:lang w:val="en-US" w:eastAsia="en-US" w:bidi="ar-SA"/>
      </w:rPr>
    </w:lvl>
    <w:lvl w:ilvl="3">
      <w:start w:val="0"/>
      <w:numFmt w:val="bullet"/>
      <w:lvlText w:val="•"/>
      <w:lvlJc w:val="left"/>
      <w:pPr>
        <w:ind w:left="3600" w:hanging="315"/>
      </w:pPr>
      <w:rPr>
        <w:rFonts w:hint="default"/>
        <w:lang w:val="en-US" w:eastAsia="en-US" w:bidi="ar-SA"/>
      </w:rPr>
    </w:lvl>
    <w:lvl w:ilvl="4">
      <w:start w:val="0"/>
      <w:numFmt w:val="bullet"/>
      <w:lvlText w:val="•"/>
      <w:lvlJc w:val="left"/>
      <w:pPr>
        <w:ind w:left="4320" w:hanging="315"/>
      </w:pPr>
      <w:rPr>
        <w:rFonts w:hint="default"/>
        <w:lang w:val="en-US" w:eastAsia="en-US" w:bidi="ar-SA"/>
      </w:rPr>
    </w:lvl>
    <w:lvl w:ilvl="5">
      <w:start w:val="0"/>
      <w:numFmt w:val="bullet"/>
      <w:lvlText w:val="•"/>
      <w:lvlJc w:val="left"/>
      <w:pPr>
        <w:ind w:left="5040" w:hanging="315"/>
      </w:pPr>
      <w:rPr>
        <w:rFonts w:hint="default"/>
        <w:lang w:val="en-US" w:eastAsia="en-US" w:bidi="ar-SA"/>
      </w:rPr>
    </w:lvl>
    <w:lvl w:ilvl="6">
      <w:start w:val="0"/>
      <w:numFmt w:val="bullet"/>
      <w:lvlText w:val="•"/>
      <w:lvlJc w:val="left"/>
      <w:pPr>
        <w:ind w:left="5760" w:hanging="315"/>
      </w:pPr>
      <w:rPr>
        <w:rFonts w:hint="default"/>
        <w:lang w:val="en-US" w:eastAsia="en-US" w:bidi="ar-SA"/>
      </w:rPr>
    </w:lvl>
    <w:lvl w:ilvl="7">
      <w:start w:val="0"/>
      <w:numFmt w:val="bullet"/>
      <w:lvlText w:val="•"/>
      <w:lvlJc w:val="left"/>
      <w:pPr>
        <w:ind w:left="6480" w:hanging="315"/>
      </w:pPr>
      <w:rPr>
        <w:rFonts w:hint="default"/>
        <w:lang w:val="en-US" w:eastAsia="en-US" w:bidi="ar-SA"/>
      </w:rPr>
    </w:lvl>
    <w:lvl w:ilvl="8">
      <w:start w:val="0"/>
      <w:numFmt w:val="bullet"/>
      <w:lvlText w:val="•"/>
      <w:lvlJc w:val="left"/>
      <w:pPr>
        <w:ind w:left="7200" w:hanging="315"/>
      </w:pPr>
      <w:rPr>
        <w:rFonts w:hint="default"/>
        <w:lang w:val="en-US" w:eastAsia="en-US" w:bidi="ar-SA"/>
      </w:rPr>
    </w:lvl>
  </w:abstractNum>
  <w:abstractNum w:abstractNumId="22">
    <w:multiLevelType w:val="hybridMultilevel"/>
    <w:lvl w:ilvl="0">
      <w:start w:val="1"/>
      <w:numFmt w:val="decimal"/>
      <w:lvlText w:val="%1."/>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18">
    <w:multiLevelType w:val="hybridMultilevel"/>
    <w:lvl w:ilvl="0">
      <w:start w:val="1"/>
      <w:numFmt w:val="decimal"/>
      <w:lvlText w:val="%1."/>
      <w:lvlJc w:val="left"/>
      <w:pPr>
        <w:ind w:left="2160" w:hanging="315"/>
        <w:jc w:val="left"/>
      </w:pPr>
      <w:rPr>
        <w:rFonts w:hint="default" w:ascii="Times New Roman" w:hAnsi="Times New Roman" w:eastAsia="Times New Roman" w:cs="Times New Roman"/>
        <w:b w:val="0"/>
        <w:bCs w:val="0"/>
        <w:i w:val="0"/>
        <w:iCs w:val="0"/>
        <w:spacing w:val="-16"/>
        <w:w w:val="99"/>
        <w:sz w:val="20"/>
        <w:szCs w:val="20"/>
        <w:lang w:val="en-US" w:eastAsia="en-US" w:bidi="ar-SA"/>
      </w:rPr>
    </w:lvl>
    <w:lvl w:ilvl="1">
      <w:start w:val="0"/>
      <w:numFmt w:val="bullet"/>
      <w:lvlText w:val="•"/>
      <w:lvlJc w:val="left"/>
      <w:pPr>
        <w:ind w:left="2808" w:hanging="315"/>
      </w:pPr>
      <w:rPr>
        <w:rFonts w:hint="default"/>
        <w:lang w:val="en-US" w:eastAsia="en-US" w:bidi="ar-SA"/>
      </w:rPr>
    </w:lvl>
    <w:lvl w:ilvl="2">
      <w:start w:val="0"/>
      <w:numFmt w:val="bullet"/>
      <w:lvlText w:val="•"/>
      <w:lvlJc w:val="left"/>
      <w:pPr>
        <w:ind w:left="3456" w:hanging="315"/>
      </w:pPr>
      <w:rPr>
        <w:rFonts w:hint="default"/>
        <w:lang w:val="en-US" w:eastAsia="en-US" w:bidi="ar-SA"/>
      </w:rPr>
    </w:lvl>
    <w:lvl w:ilvl="3">
      <w:start w:val="0"/>
      <w:numFmt w:val="bullet"/>
      <w:lvlText w:val="•"/>
      <w:lvlJc w:val="left"/>
      <w:pPr>
        <w:ind w:left="4104" w:hanging="315"/>
      </w:pPr>
      <w:rPr>
        <w:rFonts w:hint="default"/>
        <w:lang w:val="en-US" w:eastAsia="en-US" w:bidi="ar-SA"/>
      </w:rPr>
    </w:lvl>
    <w:lvl w:ilvl="4">
      <w:start w:val="0"/>
      <w:numFmt w:val="bullet"/>
      <w:lvlText w:val="•"/>
      <w:lvlJc w:val="left"/>
      <w:pPr>
        <w:ind w:left="4752" w:hanging="315"/>
      </w:pPr>
      <w:rPr>
        <w:rFonts w:hint="default"/>
        <w:lang w:val="en-US" w:eastAsia="en-US" w:bidi="ar-SA"/>
      </w:rPr>
    </w:lvl>
    <w:lvl w:ilvl="5">
      <w:start w:val="0"/>
      <w:numFmt w:val="bullet"/>
      <w:lvlText w:val="•"/>
      <w:lvlJc w:val="left"/>
      <w:pPr>
        <w:ind w:left="5400" w:hanging="315"/>
      </w:pPr>
      <w:rPr>
        <w:rFonts w:hint="default"/>
        <w:lang w:val="en-US" w:eastAsia="en-US" w:bidi="ar-SA"/>
      </w:rPr>
    </w:lvl>
    <w:lvl w:ilvl="6">
      <w:start w:val="0"/>
      <w:numFmt w:val="bullet"/>
      <w:lvlText w:val="•"/>
      <w:lvlJc w:val="left"/>
      <w:pPr>
        <w:ind w:left="6048" w:hanging="315"/>
      </w:pPr>
      <w:rPr>
        <w:rFonts w:hint="default"/>
        <w:lang w:val="en-US" w:eastAsia="en-US" w:bidi="ar-SA"/>
      </w:rPr>
    </w:lvl>
    <w:lvl w:ilvl="7">
      <w:start w:val="0"/>
      <w:numFmt w:val="bullet"/>
      <w:lvlText w:val="•"/>
      <w:lvlJc w:val="left"/>
      <w:pPr>
        <w:ind w:left="6696" w:hanging="315"/>
      </w:pPr>
      <w:rPr>
        <w:rFonts w:hint="default"/>
        <w:lang w:val="en-US" w:eastAsia="en-US" w:bidi="ar-SA"/>
      </w:rPr>
    </w:lvl>
    <w:lvl w:ilvl="8">
      <w:start w:val="0"/>
      <w:numFmt w:val="bullet"/>
      <w:lvlText w:val="•"/>
      <w:lvlJc w:val="left"/>
      <w:pPr>
        <w:ind w:left="7344" w:hanging="315"/>
      </w:pPr>
      <w:rPr>
        <w:rFonts w:hint="default"/>
        <w:lang w:val="en-US" w:eastAsia="en-US" w:bidi="ar-SA"/>
      </w:rPr>
    </w:lvl>
  </w:abstractNum>
  <w:abstractNum w:abstractNumId="16">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11">
    <w:multiLevelType w:val="hybridMultilevel"/>
    <w:lvl w:ilvl="0">
      <w:start w:val="1"/>
      <w:numFmt w:val="decimal"/>
      <w:lvlText w:val="%1."/>
      <w:lvlJc w:val="left"/>
      <w:pPr>
        <w:ind w:left="1757" w:hanging="318"/>
        <w:jc w:val="left"/>
      </w:pPr>
      <w:rPr>
        <w:rFonts w:hint="default" w:ascii="Cambria" w:hAnsi="Cambria" w:eastAsia="Cambria" w:cs="Cambria"/>
        <w:b/>
        <w:bCs/>
        <w:i/>
        <w:iCs/>
        <w:spacing w:val="0"/>
        <w:w w:val="97"/>
        <w:sz w:val="22"/>
        <w:szCs w:val="22"/>
        <w:lang w:val="en-US" w:eastAsia="en-US" w:bidi="ar-SA"/>
      </w:rPr>
    </w:lvl>
    <w:lvl w:ilvl="1">
      <w:start w:val="1"/>
      <w:numFmt w:val="decimal"/>
      <w:lvlText w:val="%2."/>
      <w:lvlJc w:val="left"/>
      <w:pPr>
        <w:ind w:left="2160" w:hanging="315"/>
        <w:jc w:val="right"/>
      </w:pPr>
      <w:rPr>
        <w:rFonts w:hint="default" w:ascii="Times New Roman" w:hAnsi="Times New Roman" w:eastAsia="Times New Roman" w:cs="Times New Roman"/>
        <w:b w:val="0"/>
        <w:bCs w:val="0"/>
        <w:i w:val="0"/>
        <w:iCs w:val="0"/>
        <w:spacing w:val="-8"/>
        <w:w w:val="99"/>
        <w:sz w:val="19"/>
        <w:szCs w:val="19"/>
        <w:lang w:val="en-US" w:eastAsia="en-US" w:bidi="ar-SA"/>
      </w:rPr>
    </w:lvl>
    <w:lvl w:ilvl="2">
      <w:start w:val="0"/>
      <w:numFmt w:val="bullet"/>
      <w:lvlText w:val="•"/>
      <w:lvlJc w:val="left"/>
      <w:pPr>
        <w:ind w:left="2880" w:hanging="315"/>
      </w:pPr>
      <w:rPr>
        <w:rFonts w:hint="default"/>
        <w:lang w:val="en-US" w:eastAsia="en-US" w:bidi="ar-SA"/>
      </w:rPr>
    </w:lvl>
    <w:lvl w:ilvl="3">
      <w:start w:val="0"/>
      <w:numFmt w:val="bullet"/>
      <w:lvlText w:val="•"/>
      <w:lvlJc w:val="left"/>
      <w:pPr>
        <w:ind w:left="3600" w:hanging="315"/>
      </w:pPr>
      <w:rPr>
        <w:rFonts w:hint="default"/>
        <w:lang w:val="en-US" w:eastAsia="en-US" w:bidi="ar-SA"/>
      </w:rPr>
    </w:lvl>
    <w:lvl w:ilvl="4">
      <w:start w:val="0"/>
      <w:numFmt w:val="bullet"/>
      <w:lvlText w:val="•"/>
      <w:lvlJc w:val="left"/>
      <w:pPr>
        <w:ind w:left="4320" w:hanging="315"/>
      </w:pPr>
      <w:rPr>
        <w:rFonts w:hint="default"/>
        <w:lang w:val="en-US" w:eastAsia="en-US" w:bidi="ar-SA"/>
      </w:rPr>
    </w:lvl>
    <w:lvl w:ilvl="5">
      <w:start w:val="0"/>
      <w:numFmt w:val="bullet"/>
      <w:lvlText w:val="•"/>
      <w:lvlJc w:val="left"/>
      <w:pPr>
        <w:ind w:left="5040" w:hanging="315"/>
      </w:pPr>
      <w:rPr>
        <w:rFonts w:hint="default"/>
        <w:lang w:val="en-US" w:eastAsia="en-US" w:bidi="ar-SA"/>
      </w:rPr>
    </w:lvl>
    <w:lvl w:ilvl="6">
      <w:start w:val="0"/>
      <w:numFmt w:val="bullet"/>
      <w:lvlText w:val="•"/>
      <w:lvlJc w:val="left"/>
      <w:pPr>
        <w:ind w:left="5760" w:hanging="315"/>
      </w:pPr>
      <w:rPr>
        <w:rFonts w:hint="default"/>
        <w:lang w:val="en-US" w:eastAsia="en-US" w:bidi="ar-SA"/>
      </w:rPr>
    </w:lvl>
    <w:lvl w:ilvl="7">
      <w:start w:val="0"/>
      <w:numFmt w:val="bullet"/>
      <w:lvlText w:val="•"/>
      <w:lvlJc w:val="left"/>
      <w:pPr>
        <w:ind w:left="6480" w:hanging="315"/>
      </w:pPr>
      <w:rPr>
        <w:rFonts w:hint="default"/>
        <w:lang w:val="en-US" w:eastAsia="en-US" w:bidi="ar-SA"/>
      </w:rPr>
    </w:lvl>
    <w:lvl w:ilvl="8">
      <w:start w:val="0"/>
      <w:numFmt w:val="bullet"/>
      <w:lvlText w:val="•"/>
      <w:lvlJc w:val="left"/>
      <w:pPr>
        <w:ind w:left="7200" w:hanging="315"/>
      </w:pPr>
      <w:rPr>
        <w:rFonts w:hint="default"/>
        <w:lang w:val="en-US" w:eastAsia="en-US" w:bidi="ar-SA"/>
      </w:rPr>
    </w:lvl>
  </w:abstractNum>
  <w:abstractNum w:abstractNumId="9">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8">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6">
    <w:multiLevelType w:val="hybridMultilevel"/>
    <w:lvl w:ilvl="0">
      <w:start w:val="1"/>
      <w:numFmt w:val="decimal"/>
      <w:lvlText w:val="%1."/>
      <w:lvlJc w:val="left"/>
      <w:pPr>
        <w:ind w:left="1757" w:hanging="318"/>
        <w:jc w:val="left"/>
      </w:pPr>
      <w:rPr>
        <w:rFonts w:hint="default" w:ascii="Cambria" w:hAnsi="Cambria" w:eastAsia="Cambria" w:cs="Cambria"/>
        <w:b/>
        <w:bCs/>
        <w:i/>
        <w:iCs/>
        <w:spacing w:val="0"/>
        <w:w w:val="97"/>
        <w:sz w:val="22"/>
        <w:szCs w:val="22"/>
        <w:lang w:val="en-US" w:eastAsia="en-US" w:bidi="ar-SA"/>
      </w:rPr>
    </w:lvl>
    <w:lvl w:ilvl="1">
      <w:start w:val="0"/>
      <w:numFmt w:val="bullet"/>
      <w:lvlText w:val="•"/>
      <w:lvlJc w:val="left"/>
      <w:pPr>
        <w:ind w:left="2448" w:hanging="318"/>
      </w:pPr>
      <w:rPr>
        <w:rFonts w:hint="default"/>
        <w:lang w:val="en-US" w:eastAsia="en-US" w:bidi="ar-SA"/>
      </w:rPr>
    </w:lvl>
    <w:lvl w:ilvl="2">
      <w:start w:val="0"/>
      <w:numFmt w:val="bullet"/>
      <w:lvlText w:val="•"/>
      <w:lvlJc w:val="left"/>
      <w:pPr>
        <w:ind w:left="3136" w:hanging="318"/>
      </w:pPr>
      <w:rPr>
        <w:rFonts w:hint="default"/>
        <w:lang w:val="en-US" w:eastAsia="en-US" w:bidi="ar-SA"/>
      </w:rPr>
    </w:lvl>
    <w:lvl w:ilvl="3">
      <w:start w:val="0"/>
      <w:numFmt w:val="bullet"/>
      <w:lvlText w:val="•"/>
      <w:lvlJc w:val="left"/>
      <w:pPr>
        <w:ind w:left="3824" w:hanging="318"/>
      </w:pPr>
      <w:rPr>
        <w:rFonts w:hint="default"/>
        <w:lang w:val="en-US" w:eastAsia="en-US" w:bidi="ar-SA"/>
      </w:rPr>
    </w:lvl>
    <w:lvl w:ilvl="4">
      <w:start w:val="0"/>
      <w:numFmt w:val="bullet"/>
      <w:lvlText w:val="•"/>
      <w:lvlJc w:val="left"/>
      <w:pPr>
        <w:ind w:left="4512" w:hanging="318"/>
      </w:pPr>
      <w:rPr>
        <w:rFonts w:hint="default"/>
        <w:lang w:val="en-US" w:eastAsia="en-US" w:bidi="ar-SA"/>
      </w:rPr>
    </w:lvl>
    <w:lvl w:ilvl="5">
      <w:start w:val="0"/>
      <w:numFmt w:val="bullet"/>
      <w:lvlText w:val="•"/>
      <w:lvlJc w:val="left"/>
      <w:pPr>
        <w:ind w:left="5200" w:hanging="318"/>
      </w:pPr>
      <w:rPr>
        <w:rFonts w:hint="default"/>
        <w:lang w:val="en-US" w:eastAsia="en-US" w:bidi="ar-SA"/>
      </w:rPr>
    </w:lvl>
    <w:lvl w:ilvl="6">
      <w:start w:val="0"/>
      <w:numFmt w:val="bullet"/>
      <w:lvlText w:val="•"/>
      <w:lvlJc w:val="left"/>
      <w:pPr>
        <w:ind w:left="5888" w:hanging="318"/>
      </w:pPr>
      <w:rPr>
        <w:rFonts w:hint="default"/>
        <w:lang w:val="en-US" w:eastAsia="en-US" w:bidi="ar-SA"/>
      </w:rPr>
    </w:lvl>
    <w:lvl w:ilvl="7">
      <w:start w:val="0"/>
      <w:numFmt w:val="bullet"/>
      <w:lvlText w:val="•"/>
      <w:lvlJc w:val="left"/>
      <w:pPr>
        <w:ind w:left="6576" w:hanging="318"/>
      </w:pPr>
      <w:rPr>
        <w:rFonts w:hint="default"/>
        <w:lang w:val="en-US" w:eastAsia="en-US" w:bidi="ar-SA"/>
      </w:rPr>
    </w:lvl>
    <w:lvl w:ilvl="8">
      <w:start w:val="0"/>
      <w:numFmt w:val="bullet"/>
      <w:lvlText w:val="•"/>
      <w:lvlJc w:val="left"/>
      <w:pPr>
        <w:ind w:left="7264" w:hanging="318"/>
      </w:pPr>
      <w:rPr>
        <w:rFonts w:hint="default"/>
        <w:lang w:val="en-US" w:eastAsia="en-US" w:bidi="ar-SA"/>
      </w:rPr>
    </w:lvl>
  </w:abstractNum>
  <w:abstractNum w:abstractNumId="4">
    <w:multiLevelType w:val="hybridMultilevel"/>
    <w:lvl w:ilvl="0">
      <w:start w:val="0"/>
      <w:numFmt w:val="bullet"/>
      <w:lvlText w:val="•"/>
      <w:lvlJc w:val="left"/>
      <w:pPr>
        <w:ind w:left="2160" w:hanging="241"/>
      </w:pPr>
      <w:rPr>
        <w:rFonts w:hint="default" w:ascii="Times New Roman" w:hAnsi="Times New Roman" w:eastAsia="Times New Roman" w:cs="Times New Roman"/>
        <w:b w:val="0"/>
        <w:bCs w:val="0"/>
        <w:i w:val="0"/>
        <w:iCs w:val="0"/>
        <w:spacing w:val="0"/>
        <w:w w:val="99"/>
        <w:sz w:val="19"/>
        <w:szCs w:val="19"/>
        <w:lang w:val="en-US" w:eastAsia="en-US" w:bidi="ar-SA"/>
      </w:rPr>
    </w:lvl>
    <w:lvl w:ilvl="1">
      <w:start w:val="0"/>
      <w:numFmt w:val="bullet"/>
      <w:lvlText w:val="•"/>
      <w:lvlJc w:val="left"/>
      <w:pPr>
        <w:ind w:left="2808" w:hanging="241"/>
      </w:pPr>
      <w:rPr>
        <w:rFonts w:hint="default"/>
        <w:lang w:val="en-US" w:eastAsia="en-US" w:bidi="ar-SA"/>
      </w:rPr>
    </w:lvl>
    <w:lvl w:ilvl="2">
      <w:start w:val="0"/>
      <w:numFmt w:val="bullet"/>
      <w:lvlText w:val="•"/>
      <w:lvlJc w:val="left"/>
      <w:pPr>
        <w:ind w:left="3456" w:hanging="241"/>
      </w:pPr>
      <w:rPr>
        <w:rFonts w:hint="default"/>
        <w:lang w:val="en-US" w:eastAsia="en-US" w:bidi="ar-SA"/>
      </w:rPr>
    </w:lvl>
    <w:lvl w:ilvl="3">
      <w:start w:val="0"/>
      <w:numFmt w:val="bullet"/>
      <w:lvlText w:val="•"/>
      <w:lvlJc w:val="left"/>
      <w:pPr>
        <w:ind w:left="4104" w:hanging="241"/>
      </w:pPr>
      <w:rPr>
        <w:rFonts w:hint="default"/>
        <w:lang w:val="en-US" w:eastAsia="en-US" w:bidi="ar-SA"/>
      </w:rPr>
    </w:lvl>
    <w:lvl w:ilvl="4">
      <w:start w:val="0"/>
      <w:numFmt w:val="bullet"/>
      <w:lvlText w:val="•"/>
      <w:lvlJc w:val="left"/>
      <w:pPr>
        <w:ind w:left="4752" w:hanging="241"/>
      </w:pPr>
      <w:rPr>
        <w:rFonts w:hint="default"/>
        <w:lang w:val="en-US" w:eastAsia="en-US" w:bidi="ar-SA"/>
      </w:rPr>
    </w:lvl>
    <w:lvl w:ilvl="5">
      <w:start w:val="0"/>
      <w:numFmt w:val="bullet"/>
      <w:lvlText w:val="•"/>
      <w:lvlJc w:val="left"/>
      <w:pPr>
        <w:ind w:left="5400" w:hanging="241"/>
      </w:pPr>
      <w:rPr>
        <w:rFonts w:hint="default"/>
        <w:lang w:val="en-US" w:eastAsia="en-US" w:bidi="ar-SA"/>
      </w:rPr>
    </w:lvl>
    <w:lvl w:ilvl="6">
      <w:start w:val="0"/>
      <w:numFmt w:val="bullet"/>
      <w:lvlText w:val="•"/>
      <w:lvlJc w:val="left"/>
      <w:pPr>
        <w:ind w:left="6048" w:hanging="241"/>
      </w:pPr>
      <w:rPr>
        <w:rFonts w:hint="default"/>
        <w:lang w:val="en-US" w:eastAsia="en-US" w:bidi="ar-SA"/>
      </w:rPr>
    </w:lvl>
    <w:lvl w:ilvl="7">
      <w:start w:val="0"/>
      <w:numFmt w:val="bullet"/>
      <w:lvlText w:val="•"/>
      <w:lvlJc w:val="left"/>
      <w:pPr>
        <w:ind w:left="6696" w:hanging="241"/>
      </w:pPr>
      <w:rPr>
        <w:rFonts w:hint="default"/>
        <w:lang w:val="en-US" w:eastAsia="en-US" w:bidi="ar-SA"/>
      </w:rPr>
    </w:lvl>
    <w:lvl w:ilvl="8">
      <w:start w:val="0"/>
      <w:numFmt w:val="bullet"/>
      <w:lvlText w:val="•"/>
      <w:lvlJc w:val="left"/>
      <w:pPr>
        <w:ind w:left="7344" w:hanging="241"/>
      </w:pPr>
      <w:rPr>
        <w:rFonts w:hint="default"/>
        <w:lang w:val="en-US" w:eastAsia="en-US" w:bidi="ar-SA"/>
      </w:rPr>
    </w:lvl>
  </w:abstractNum>
  <w:abstractNum w:abstractNumId="3">
    <w:multiLevelType w:val="hybridMultilevel"/>
    <w:lvl w:ilvl="0">
      <w:start w:val="41"/>
      <w:numFmt w:val="decimal"/>
      <w:lvlText w:val="%1."/>
      <w:lvlJc w:val="left"/>
      <w:pPr>
        <w:ind w:left="2025" w:hanging="519"/>
        <w:jc w:val="left"/>
      </w:pPr>
      <w:rPr>
        <w:rFonts w:hint="default" w:ascii="Cambria" w:hAnsi="Cambria" w:eastAsia="Cambria" w:cs="Cambria"/>
        <w:b w:val="0"/>
        <w:bCs w:val="0"/>
        <w:i w:val="0"/>
        <w:iCs w:val="0"/>
        <w:spacing w:val="-14"/>
        <w:w w:val="89"/>
        <w:sz w:val="20"/>
        <w:szCs w:val="20"/>
        <w:lang w:val="en-US" w:eastAsia="en-US" w:bidi="ar-SA"/>
      </w:rPr>
    </w:lvl>
    <w:lvl w:ilvl="1">
      <w:start w:val="0"/>
      <w:numFmt w:val="bullet"/>
      <w:lvlText w:val="•"/>
      <w:lvlJc w:val="left"/>
      <w:pPr>
        <w:ind w:left="2682" w:hanging="519"/>
      </w:pPr>
      <w:rPr>
        <w:rFonts w:hint="default"/>
        <w:lang w:val="en-US" w:eastAsia="en-US" w:bidi="ar-SA"/>
      </w:rPr>
    </w:lvl>
    <w:lvl w:ilvl="2">
      <w:start w:val="0"/>
      <w:numFmt w:val="bullet"/>
      <w:lvlText w:val="•"/>
      <w:lvlJc w:val="left"/>
      <w:pPr>
        <w:ind w:left="3344" w:hanging="519"/>
      </w:pPr>
      <w:rPr>
        <w:rFonts w:hint="default"/>
        <w:lang w:val="en-US" w:eastAsia="en-US" w:bidi="ar-SA"/>
      </w:rPr>
    </w:lvl>
    <w:lvl w:ilvl="3">
      <w:start w:val="0"/>
      <w:numFmt w:val="bullet"/>
      <w:lvlText w:val="•"/>
      <w:lvlJc w:val="left"/>
      <w:pPr>
        <w:ind w:left="4006" w:hanging="519"/>
      </w:pPr>
      <w:rPr>
        <w:rFonts w:hint="default"/>
        <w:lang w:val="en-US" w:eastAsia="en-US" w:bidi="ar-SA"/>
      </w:rPr>
    </w:lvl>
    <w:lvl w:ilvl="4">
      <w:start w:val="0"/>
      <w:numFmt w:val="bullet"/>
      <w:lvlText w:val="•"/>
      <w:lvlJc w:val="left"/>
      <w:pPr>
        <w:ind w:left="4668" w:hanging="519"/>
      </w:pPr>
      <w:rPr>
        <w:rFonts w:hint="default"/>
        <w:lang w:val="en-US" w:eastAsia="en-US" w:bidi="ar-SA"/>
      </w:rPr>
    </w:lvl>
    <w:lvl w:ilvl="5">
      <w:start w:val="0"/>
      <w:numFmt w:val="bullet"/>
      <w:lvlText w:val="•"/>
      <w:lvlJc w:val="left"/>
      <w:pPr>
        <w:ind w:left="5330" w:hanging="519"/>
      </w:pPr>
      <w:rPr>
        <w:rFonts w:hint="default"/>
        <w:lang w:val="en-US" w:eastAsia="en-US" w:bidi="ar-SA"/>
      </w:rPr>
    </w:lvl>
    <w:lvl w:ilvl="6">
      <w:start w:val="0"/>
      <w:numFmt w:val="bullet"/>
      <w:lvlText w:val="•"/>
      <w:lvlJc w:val="left"/>
      <w:pPr>
        <w:ind w:left="5992" w:hanging="519"/>
      </w:pPr>
      <w:rPr>
        <w:rFonts w:hint="default"/>
        <w:lang w:val="en-US" w:eastAsia="en-US" w:bidi="ar-SA"/>
      </w:rPr>
    </w:lvl>
    <w:lvl w:ilvl="7">
      <w:start w:val="0"/>
      <w:numFmt w:val="bullet"/>
      <w:lvlText w:val="•"/>
      <w:lvlJc w:val="left"/>
      <w:pPr>
        <w:ind w:left="6654" w:hanging="519"/>
      </w:pPr>
      <w:rPr>
        <w:rFonts w:hint="default"/>
        <w:lang w:val="en-US" w:eastAsia="en-US" w:bidi="ar-SA"/>
      </w:rPr>
    </w:lvl>
    <w:lvl w:ilvl="8">
      <w:start w:val="0"/>
      <w:numFmt w:val="bullet"/>
      <w:lvlText w:val="•"/>
      <w:lvlJc w:val="left"/>
      <w:pPr>
        <w:ind w:left="7316" w:hanging="519"/>
      </w:pPr>
      <w:rPr>
        <w:rFonts w:hint="default"/>
        <w:lang w:val="en-US" w:eastAsia="en-US" w:bidi="ar-SA"/>
      </w:rPr>
    </w:lvl>
  </w:abstractNum>
  <w:abstractNum w:abstractNumId="2">
    <w:multiLevelType w:val="hybridMultilevel"/>
    <w:lvl w:ilvl="0">
      <w:start w:val="27"/>
      <w:numFmt w:val="decimal"/>
      <w:lvlText w:val="%1."/>
      <w:lvlJc w:val="left"/>
      <w:pPr>
        <w:ind w:left="2025" w:hanging="519"/>
        <w:jc w:val="left"/>
      </w:pPr>
      <w:rPr>
        <w:rFonts w:hint="default" w:ascii="Cambria" w:hAnsi="Cambria" w:eastAsia="Cambria" w:cs="Cambria"/>
        <w:b w:val="0"/>
        <w:bCs w:val="0"/>
        <w:i w:val="0"/>
        <w:iCs w:val="0"/>
        <w:spacing w:val="-14"/>
        <w:w w:val="89"/>
        <w:sz w:val="20"/>
        <w:szCs w:val="20"/>
        <w:lang w:val="en-US" w:eastAsia="en-US" w:bidi="ar-SA"/>
      </w:rPr>
    </w:lvl>
    <w:lvl w:ilvl="1">
      <w:start w:val="0"/>
      <w:numFmt w:val="bullet"/>
      <w:lvlText w:val="•"/>
      <w:lvlJc w:val="left"/>
      <w:pPr>
        <w:ind w:left="2682" w:hanging="519"/>
      </w:pPr>
      <w:rPr>
        <w:rFonts w:hint="default"/>
        <w:lang w:val="en-US" w:eastAsia="en-US" w:bidi="ar-SA"/>
      </w:rPr>
    </w:lvl>
    <w:lvl w:ilvl="2">
      <w:start w:val="0"/>
      <w:numFmt w:val="bullet"/>
      <w:lvlText w:val="•"/>
      <w:lvlJc w:val="left"/>
      <w:pPr>
        <w:ind w:left="3344" w:hanging="519"/>
      </w:pPr>
      <w:rPr>
        <w:rFonts w:hint="default"/>
        <w:lang w:val="en-US" w:eastAsia="en-US" w:bidi="ar-SA"/>
      </w:rPr>
    </w:lvl>
    <w:lvl w:ilvl="3">
      <w:start w:val="0"/>
      <w:numFmt w:val="bullet"/>
      <w:lvlText w:val="•"/>
      <w:lvlJc w:val="left"/>
      <w:pPr>
        <w:ind w:left="4006" w:hanging="519"/>
      </w:pPr>
      <w:rPr>
        <w:rFonts w:hint="default"/>
        <w:lang w:val="en-US" w:eastAsia="en-US" w:bidi="ar-SA"/>
      </w:rPr>
    </w:lvl>
    <w:lvl w:ilvl="4">
      <w:start w:val="0"/>
      <w:numFmt w:val="bullet"/>
      <w:lvlText w:val="•"/>
      <w:lvlJc w:val="left"/>
      <w:pPr>
        <w:ind w:left="4668" w:hanging="519"/>
      </w:pPr>
      <w:rPr>
        <w:rFonts w:hint="default"/>
        <w:lang w:val="en-US" w:eastAsia="en-US" w:bidi="ar-SA"/>
      </w:rPr>
    </w:lvl>
    <w:lvl w:ilvl="5">
      <w:start w:val="0"/>
      <w:numFmt w:val="bullet"/>
      <w:lvlText w:val="•"/>
      <w:lvlJc w:val="left"/>
      <w:pPr>
        <w:ind w:left="5330" w:hanging="519"/>
      </w:pPr>
      <w:rPr>
        <w:rFonts w:hint="default"/>
        <w:lang w:val="en-US" w:eastAsia="en-US" w:bidi="ar-SA"/>
      </w:rPr>
    </w:lvl>
    <w:lvl w:ilvl="6">
      <w:start w:val="0"/>
      <w:numFmt w:val="bullet"/>
      <w:lvlText w:val="•"/>
      <w:lvlJc w:val="left"/>
      <w:pPr>
        <w:ind w:left="5992" w:hanging="519"/>
      </w:pPr>
      <w:rPr>
        <w:rFonts w:hint="default"/>
        <w:lang w:val="en-US" w:eastAsia="en-US" w:bidi="ar-SA"/>
      </w:rPr>
    </w:lvl>
    <w:lvl w:ilvl="7">
      <w:start w:val="0"/>
      <w:numFmt w:val="bullet"/>
      <w:lvlText w:val="•"/>
      <w:lvlJc w:val="left"/>
      <w:pPr>
        <w:ind w:left="6654" w:hanging="519"/>
      </w:pPr>
      <w:rPr>
        <w:rFonts w:hint="default"/>
        <w:lang w:val="en-US" w:eastAsia="en-US" w:bidi="ar-SA"/>
      </w:rPr>
    </w:lvl>
    <w:lvl w:ilvl="8">
      <w:start w:val="0"/>
      <w:numFmt w:val="bullet"/>
      <w:lvlText w:val="•"/>
      <w:lvlJc w:val="left"/>
      <w:pPr>
        <w:ind w:left="7316" w:hanging="519"/>
      </w:pPr>
      <w:rPr>
        <w:rFonts w:hint="default"/>
        <w:lang w:val="en-US" w:eastAsia="en-US" w:bidi="ar-SA"/>
      </w:rPr>
    </w:lvl>
  </w:abstractNum>
  <w:abstractNum w:abstractNumId="1">
    <w:multiLevelType w:val="hybridMultilevel"/>
    <w:lvl w:ilvl="0">
      <w:start w:val="12"/>
      <w:numFmt w:val="decimal"/>
      <w:lvlText w:val="%1."/>
      <w:lvlJc w:val="left"/>
      <w:pPr>
        <w:ind w:left="2025" w:hanging="519"/>
        <w:jc w:val="left"/>
      </w:pPr>
      <w:rPr>
        <w:rFonts w:hint="default" w:ascii="Cambria" w:hAnsi="Cambria" w:eastAsia="Cambria" w:cs="Cambria"/>
        <w:b w:val="0"/>
        <w:bCs w:val="0"/>
        <w:i w:val="0"/>
        <w:iCs w:val="0"/>
        <w:spacing w:val="-14"/>
        <w:w w:val="89"/>
        <w:sz w:val="20"/>
        <w:szCs w:val="20"/>
        <w:lang w:val="en-US" w:eastAsia="en-US" w:bidi="ar-SA"/>
      </w:rPr>
    </w:lvl>
    <w:lvl w:ilvl="1">
      <w:start w:val="0"/>
      <w:numFmt w:val="bullet"/>
      <w:lvlText w:val="•"/>
      <w:lvlJc w:val="left"/>
      <w:pPr>
        <w:ind w:left="2682" w:hanging="519"/>
      </w:pPr>
      <w:rPr>
        <w:rFonts w:hint="default"/>
        <w:lang w:val="en-US" w:eastAsia="en-US" w:bidi="ar-SA"/>
      </w:rPr>
    </w:lvl>
    <w:lvl w:ilvl="2">
      <w:start w:val="0"/>
      <w:numFmt w:val="bullet"/>
      <w:lvlText w:val="•"/>
      <w:lvlJc w:val="left"/>
      <w:pPr>
        <w:ind w:left="3344" w:hanging="519"/>
      </w:pPr>
      <w:rPr>
        <w:rFonts w:hint="default"/>
        <w:lang w:val="en-US" w:eastAsia="en-US" w:bidi="ar-SA"/>
      </w:rPr>
    </w:lvl>
    <w:lvl w:ilvl="3">
      <w:start w:val="0"/>
      <w:numFmt w:val="bullet"/>
      <w:lvlText w:val="•"/>
      <w:lvlJc w:val="left"/>
      <w:pPr>
        <w:ind w:left="4006" w:hanging="519"/>
      </w:pPr>
      <w:rPr>
        <w:rFonts w:hint="default"/>
        <w:lang w:val="en-US" w:eastAsia="en-US" w:bidi="ar-SA"/>
      </w:rPr>
    </w:lvl>
    <w:lvl w:ilvl="4">
      <w:start w:val="0"/>
      <w:numFmt w:val="bullet"/>
      <w:lvlText w:val="•"/>
      <w:lvlJc w:val="left"/>
      <w:pPr>
        <w:ind w:left="4668" w:hanging="519"/>
      </w:pPr>
      <w:rPr>
        <w:rFonts w:hint="default"/>
        <w:lang w:val="en-US" w:eastAsia="en-US" w:bidi="ar-SA"/>
      </w:rPr>
    </w:lvl>
    <w:lvl w:ilvl="5">
      <w:start w:val="0"/>
      <w:numFmt w:val="bullet"/>
      <w:lvlText w:val="•"/>
      <w:lvlJc w:val="left"/>
      <w:pPr>
        <w:ind w:left="5330" w:hanging="519"/>
      </w:pPr>
      <w:rPr>
        <w:rFonts w:hint="default"/>
        <w:lang w:val="en-US" w:eastAsia="en-US" w:bidi="ar-SA"/>
      </w:rPr>
    </w:lvl>
    <w:lvl w:ilvl="6">
      <w:start w:val="0"/>
      <w:numFmt w:val="bullet"/>
      <w:lvlText w:val="•"/>
      <w:lvlJc w:val="left"/>
      <w:pPr>
        <w:ind w:left="5992" w:hanging="519"/>
      </w:pPr>
      <w:rPr>
        <w:rFonts w:hint="default"/>
        <w:lang w:val="en-US" w:eastAsia="en-US" w:bidi="ar-SA"/>
      </w:rPr>
    </w:lvl>
    <w:lvl w:ilvl="7">
      <w:start w:val="0"/>
      <w:numFmt w:val="bullet"/>
      <w:lvlText w:val="•"/>
      <w:lvlJc w:val="left"/>
      <w:pPr>
        <w:ind w:left="6654" w:hanging="519"/>
      </w:pPr>
      <w:rPr>
        <w:rFonts w:hint="default"/>
        <w:lang w:val="en-US" w:eastAsia="en-US" w:bidi="ar-SA"/>
      </w:rPr>
    </w:lvl>
    <w:lvl w:ilvl="8">
      <w:start w:val="0"/>
      <w:numFmt w:val="bullet"/>
      <w:lvlText w:val="•"/>
      <w:lvlJc w:val="left"/>
      <w:pPr>
        <w:ind w:left="7316" w:hanging="519"/>
      </w:pPr>
      <w:rPr>
        <w:rFonts w:hint="default"/>
        <w:lang w:val="en-US" w:eastAsia="en-US" w:bidi="ar-SA"/>
      </w:rPr>
    </w:lvl>
  </w:abstractNum>
  <w:abstractNum w:abstractNumId="0">
    <w:multiLevelType w:val="hybridMultilevel"/>
    <w:lvl w:ilvl="0">
      <w:start w:val="1"/>
      <w:numFmt w:val="decimal"/>
      <w:lvlText w:val="%1."/>
      <w:lvlJc w:val="left"/>
      <w:pPr>
        <w:ind w:left="2025" w:hanging="428"/>
        <w:jc w:val="right"/>
      </w:pPr>
      <w:rPr>
        <w:rFonts w:hint="default" w:ascii="Cambria" w:hAnsi="Cambria" w:eastAsia="Cambria" w:cs="Cambria"/>
        <w:b w:val="0"/>
        <w:bCs w:val="0"/>
        <w:i w:val="0"/>
        <w:iCs w:val="0"/>
        <w:spacing w:val="-16"/>
        <w:w w:val="89"/>
        <w:sz w:val="20"/>
        <w:szCs w:val="20"/>
        <w:lang w:val="en-US" w:eastAsia="en-US" w:bidi="ar-SA"/>
      </w:rPr>
    </w:lvl>
    <w:lvl w:ilvl="1">
      <w:start w:val="0"/>
      <w:numFmt w:val="bullet"/>
      <w:lvlText w:val="•"/>
      <w:lvlJc w:val="left"/>
      <w:pPr>
        <w:ind w:left="2682" w:hanging="428"/>
      </w:pPr>
      <w:rPr>
        <w:rFonts w:hint="default"/>
        <w:lang w:val="en-US" w:eastAsia="en-US" w:bidi="ar-SA"/>
      </w:rPr>
    </w:lvl>
    <w:lvl w:ilvl="2">
      <w:start w:val="0"/>
      <w:numFmt w:val="bullet"/>
      <w:lvlText w:val="•"/>
      <w:lvlJc w:val="left"/>
      <w:pPr>
        <w:ind w:left="3344" w:hanging="428"/>
      </w:pPr>
      <w:rPr>
        <w:rFonts w:hint="default"/>
        <w:lang w:val="en-US" w:eastAsia="en-US" w:bidi="ar-SA"/>
      </w:rPr>
    </w:lvl>
    <w:lvl w:ilvl="3">
      <w:start w:val="0"/>
      <w:numFmt w:val="bullet"/>
      <w:lvlText w:val="•"/>
      <w:lvlJc w:val="left"/>
      <w:pPr>
        <w:ind w:left="4006" w:hanging="428"/>
      </w:pPr>
      <w:rPr>
        <w:rFonts w:hint="default"/>
        <w:lang w:val="en-US" w:eastAsia="en-US" w:bidi="ar-SA"/>
      </w:rPr>
    </w:lvl>
    <w:lvl w:ilvl="4">
      <w:start w:val="0"/>
      <w:numFmt w:val="bullet"/>
      <w:lvlText w:val="•"/>
      <w:lvlJc w:val="left"/>
      <w:pPr>
        <w:ind w:left="4668" w:hanging="428"/>
      </w:pPr>
      <w:rPr>
        <w:rFonts w:hint="default"/>
        <w:lang w:val="en-US" w:eastAsia="en-US" w:bidi="ar-SA"/>
      </w:rPr>
    </w:lvl>
    <w:lvl w:ilvl="5">
      <w:start w:val="0"/>
      <w:numFmt w:val="bullet"/>
      <w:lvlText w:val="•"/>
      <w:lvlJc w:val="left"/>
      <w:pPr>
        <w:ind w:left="5330" w:hanging="428"/>
      </w:pPr>
      <w:rPr>
        <w:rFonts w:hint="default"/>
        <w:lang w:val="en-US" w:eastAsia="en-US" w:bidi="ar-SA"/>
      </w:rPr>
    </w:lvl>
    <w:lvl w:ilvl="6">
      <w:start w:val="0"/>
      <w:numFmt w:val="bullet"/>
      <w:lvlText w:val="•"/>
      <w:lvlJc w:val="left"/>
      <w:pPr>
        <w:ind w:left="5992" w:hanging="428"/>
      </w:pPr>
      <w:rPr>
        <w:rFonts w:hint="default"/>
        <w:lang w:val="en-US" w:eastAsia="en-US" w:bidi="ar-SA"/>
      </w:rPr>
    </w:lvl>
    <w:lvl w:ilvl="7">
      <w:start w:val="0"/>
      <w:numFmt w:val="bullet"/>
      <w:lvlText w:val="•"/>
      <w:lvlJc w:val="left"/>
      <w:pPr>
        <w:ind w:left="6654" w:hanging="428"/>
      </w:pPr>
      <w:rPr>
        <w:rFonts w:hint="default"/>
        <w:lang w:val="en-US" w:eastAsia="en-US" w:bidi="ar-SA"/>
      </w:rPr>
    </w:lvl>
    <w:lvl w:ilvl="8">
      <w:start w:val="0"/>
      <w:numFmt w:val="bullet"/>
      <w:lvlText w:val="•"/>
      <w:lvlJc w:val="left"/>
      <w:pPr>
        <w:ind w:left="7316" w:hanging="428"/>
      </w:pPr>
      <w:rPr>
        <w:rFonts w:hint="default"/>
        <w:lang w:val="en-US" w:eastAsia="en-US" w:bidi="ar-SA"/>
      </w:rPr>
    </w:lvl>
  </w:abstractNum>
  <w:num w:numId="96">
    <w:abstractNumId w:val="95"/>
  </w:num>
  <w:num w:numId="95">
    <w:abstractNumId w:val="94"/>
  </w:num>
  <w:num w:numId="94">
    <w:abstractNumId w:val="93"/>
  </w:num>
  <w:num w:numId="93">
    <w:abstractNumId w:val="92"/>
  </w:num>
  <w:num w:numId="92">
    <w:abstractNumId w:val="91"/>
  </w:num>
  <w:num w:numId="90">
    <w:abstractNumId w:val="89"/>
  </w:num>
  <w:num w:numId="89">
    <w:abstractNumId w:val="88"/>
  </w:num>
  <w:num w:numId="85">
    <w:abstractNumId w:val="84"/>
  </w:num>
  <w:num w:numId="83">
    <w:abstractNumId w:val="82"/>
  </w:num>
  <w:num w:numId="80">
    <w:abstractNumId w:val="79"/>
  </w:num>
  <w:num w:numId="79">
    <w:abstractNumId w:val="78"/>
  </w:num>
  <w:num w:numId="78">
    <w:abstractNumId w:val="77"/>
  </w:num>
  <w:num w:numId="76">
    <w:abstractNumId w:val="75"/>
  </w:num>
  <w:num w:numId="75">
    <w:abstractNumId w:val="74"/>
  </w:num>
  <w:num w:numId="74">
    <w:abstractNumId w:val="73"/>
  </w:num>
  <w:num w:numId="71">
    <w:abstractNumId w:val="70"/>
  </w:num>
  <w:num w:numId="66">
    <w:abstractNumId w:val="65"/>
  </w:num>
  <w:num w:numId="65">
    <w:abstractNumId w:val="64"/>
  </w:num>
  <w:num w:numId="64">
    <w:abstractNumId w:val="63"/>
  </w:num>
  <w:num w:numId="63">
    <w:abstractNumId w:val="62"/>
  </w:num>
  <w:num w:numId="56">
    <w:abstractNumId w:val="55"/>
  </w:num>
  <w:num w:numId="51">
    <w:abstractNumId w:val="50"/>
  </w:num>
  <w:num w:numId="47">
    <w:abstractNumId w:val="46"/>
  </w:num>
  <w:num w:numId="42">
    <w:abstractNumId w:val="41"/>
  </w:num>
  <w:num w:numId="40">
    <w:abstractNumId w:val="39"/>
  </w:num>
  <w:num w:numId="38">
    <w:abstractNumId w:val="37"/>
  </w:num>
  <w:num w:numId="36">
    <w:abstractNumId w:val="35"/>
  </w:num>
  <w:num w:numId="28">
    <w:abstractNumId w:val="27"/>
  </w:num>
  <w:num w:numId="26">
    <w:abstractNumId w:val="25"/>
  </w:num>
  <w:num w:numId="22">
    <w:abstractNumId w:val="21"/>
  </w:num>
  <w:num w:numId="21">
    <w:abstractNumId w:val="20"/>
  </w:num>
  <w:num w:numId="20">
    <w:abstractNumId w:val="19"/>
  </w:num>
  <w:num w:numId="18">
    <w:abstractNumId w:val="17"/>
  </w:num>
  <w:num w:numId="16">
    <w:abstractNumId w:val="15"/>
  </w:num>
  <w:num w:numId="15">
    <w:abstractNumId w:val="14"/>
  </w:num>
  <w:num w:numId="14">
    <w:abstractNumId w:val="13"/>
  </w:num>
  <w:num w:numId="13">
    <w:abstractNumId w:val="12"/>
  </w:num>
  <w:num w:numId="11">
    <w:abstractNumId w:val="10"/>
  </w:num>
  <w:num w:numId="8">
    <w:abstractNumId w:val="7"/>
  </w:num>
  <w:num w:numId="6">
    <w:abstractNumId w:val="5"/>
  </w:num>
  <w:num w:numId="101">
    <w:abstractNumId w:val="100"/>
  </w:num>
  <w:num w:numId="100">
    <w:abstractNumId w:val="99"/>
  </w:num>
  <w:num w:numId="99">
    <w:abstractNumId w:val="98"/>
  </w:num>
  <w:num w:numId="98">
    <w:abstractNumId w:val="97"/>
  </w:num>
  <w:num w:numId="97">
    <w:abstractNumId w:val="96"/>
  </w:num>
  <w:num w:numId="91">
    <w:abstractNumId w:val="90"/>
  </w:num>
  <w:num w:numId="88">
    <w:abstractNumId w:val="87"/>
  </w:num>
  <w:num w:numId="87">
    <w:abstractNumId w:val="86"/>
  </w:num>
  <w:num w:numId="86">
    <w:abstractNumId w:val="85"/>
  </w:num>
  <w:num w:numId="84">
    <w:abstractNumId w:val="83"/>
  </w:num>
  <w:num w:numId="82">
    <w:abstractNumId w:val="81"/>
  </w:num>
  <w:num w:numId="81">
    <w:abstractNumId w:val="80"/>
  </w:num>
  <w:num w:numId="77">
    <w:abstractNumId w:val="76"/>
  </w:num>
  <w:num w:numId="73">
    <w:abstractNumId w:val="72"/>
  </w:num>
  <w:num w:numId="72">
    <w:abstractNumId w:val="71"/>
  </w:num>
  <w:num w:numId="70">
    <w:abstractNumId w:val="69"/>
  </w:num>
  <w:num w:numId="69">
    <w:abstractNumId w:val="68"/>
  </w:num>
  <w:num w:numId="68">
    <w:abstractNumId w:val="67"/>
  </w:num>
  <w:num w:numId="67">
    <w:abstractNumId w:val="66"/>
  </w:num>
  <w:num w:numId="62">
    <w:abstractNumId w:val="61"/>
  </w:num>
  <w:num w:numId="61">
    <w:abstractNumId w:val="60"/>
  </w:num>
  <w:num w:numId="59">
    <w:abstractNumId w:val="58"/>
  </w:num>
  <w:num w:numId="60">
    <w:abstractNumId w:val="59"/>
  </w:num>
  <w:num w:numId="58">
    <w:abstractNumId w:val="57"/>
  </w:num>
  <w:num w:numId="57">
    <w:abstractNumId w:val="56"/>
  </w:num>
  <w:num w:numId="55">
    <w:abstractNumId w:val="54"/>
  </w:num>
  <w:num w:numId="54">
    <w:abstractNumId w:val="53"/>
  </w:num>
  <w:num w:numId="53">
    <w:abstractNumId w:val="52"/>
  </w:num>
  <w:num w:numId="52">
    <w:abstractNumId w:val="51"/>
  </w:num>
  <w:num w:numId="50">
    <w:abstractNumId w:val="49"/>
  </w:num>
  <w:num w:numId="49">
    <w:abstractNumId w:val="48"/>
  </w:num>
  <w:num w:numId="48">
    <w:abstractNumId w:val="47"/>
  </w:num>
  <w:num w:numId="46">
    <w:abstractNumId w:val="45"/>
  </w:num>
  <w:num w:numId="45">
    <w:abstractNumId w:val="44"/>
  </w:num>
  <w:num w:numId="44">
    <w:abstractNumId w:val="43"/>
  </w:num>
  <w:num w:numId="43">
    <w:abstractNumId w:val="42"/>
  </w:num>
  <w:num w:numId="41">
    <w:abstractNumId w:val="40"/>
  </w:num>
  <w:num w:numId="39">
    <w:abstractNumId w:val="38"/>
  </w:num>
  <w:num w:numId="37">
    <w:abstractNumId w:val="36"/>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7">
    <w:abstractNumId w:val="26"/>
  </w:num>
  <w:num w:numId="25">
    <w:abstractNumId w:val="24"/>
  </w:num>
  <w:num w:numId="24">
    <w:abstractNumId w:val="23"/>
  </w:num>
  <w:num w:numId="23">
    <w:abstractNumId w:val="22"/>
  </w:num>
  <w:num w:numId="19">
    <w:abstractNumId w:val="18"/>
  </w:num>
  <w:num w:numId="17">
    <w:abstractNumId w:val="16"/>
  </w:num>
  <w:num w:numId="12">
    <w:abstractNumId w:val="11"/>
  </w:num>
  <w:num w:numId="10">
    <w:abstractNumId w:val="9"/>
  </w:num>
  <w:num w:numId="9">
    <w:abstractNumId w:val="8"/>
  </w:num>
  <w:num w:numId="7">
    <w:abstractNumId w:val="6"/>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56"/>
      <w:ind w:left="2025" w:right="1946" w:hanging="519"/>
    </w:pPr>
    <w:rPr>
      <w:rFonts w:ascii="Cambria" w:hAnsi="Cambria" w:eastAsia="Cambria" w:cs="Cambria"/>
      <w:sz w:val="20"/>
      <w:szCs w:val="20"/>
      <w:lang w:val="en-US" w:eastAsia="en-US" w:bidi="ar-SA"/>
    </w:rPr>
  </w:style>
  <w:style w:styleId="TOC2" w:type="paragraph">
    <w:name w:val="TOC 2"/>
    <w:basedOn w:val="Normal"/>
    <w:uiPriority w:val="1"/>
    <w:qFormat/>
    <w:pPr>
      <w:spacing w:before="57"/>
      <w:ind w:left="2025" w:hanging="428"/>
    </w:pPr>
    <w:rPr>
      <w:rFonts w:ascii="Cambria" w:hAnsi="Cambria" w:eastAsia="Cambria" w:cs="Cambria"/>
      <w:sz w:val="20"/>
      <w:szCs w:val="20"/>
      <w:lang w:val="en-US" w:eastAsia="en-US" w:bidi="ar-SA"/>
    </w:rPr>
  </w:style>
  <w:style w:styleId="TOC3" w:type="paragraph">
    <w:name w:val="TOC 3"/>
    <w:basedOn w:val="Normal"/>
    <w:uiPriority w:val="1"/>
    <w:qFormat/>
    <w:pPr>
      <w:spacing w:before="57"/>
      <w:ind w:left="2025" w:right="1439" w:hanging="428"/>
    </w:pPr>
    <w:rPr>
      <w:rFonts w:ascii="Cambria" w:hAnsi="Cambria" w:eastAsia="Cambria" w:cs="Cambria"/>
      <w:b/>
      <w:bCs/>
      <w:i/>
      <w:iCs/>
      <w:lang w:val="en-US" w:eastAsia="en-US" w:bidi="ar-SA"/>
    </w:rPr>
  </w:style>
  <w:style w:styleId="TOC4" w:type="paragraph">
    <w:name w:val="TOC 4"/>
    <w:basedOn w:val="Normal"/>
    <w:uiPriority w:val="1"/>
    <w:qFormat/>
    <w:pPr>
      <w:spacing w:line="230" w:lineRule="exact"/>
      <w:ind w:left="2025"/>
    </w:pPr>
    <w:rPr>
      <w:rFonts w:ascii="Times New Roman" w:hAnsi="Times New Roman" w:eastAsia="Times New Roman" w:cs="Times New Roman"/>
      <w:b/>
      <w:bCs/>
      <w:sz w:val="20"/>
      <w:szCs w:val="20"/>
      <w:lang w:val="en-US" w:eastAsia="en-US" w:bidi="ar-SA"/>
    </w:rPr>
  </w:style>
  <w:style w:styleId="TOC5" w:type="paragraph">
    <w:name w:val="TOC 5"/>
    <w:basedOn w:val="Normal"/>
    <w:uiPriority w:val="1"/>
    <w:qFormat/>
    <w:pPr>
      <w:spacing w:before="567"/>
      <w:ind w:left="2025"/>
    </w:pPr>
    <w:rPr>
      <w:rFonts w:ascii="Times New Roman" w:hAnsi="Times New Roman" w:eastAsia="Times New Roman" w:cs="Times New Roman"/>
      <w:i/>
      <w:iCs/>
      <w:sz w:val="20"/>
      <w:szCs w:val="20"/>
      <w:lang w:val="en-US" w:eastAsia="en-US" w:bidi="ar-SA"/>
    </w:rPr>
  </w:style>
  <w:style w:styleId="TOC6" w:type="paragraph">
    <w:name w:val="TOC 6"/>
    <w:basedOn w:val="Normal"/>
    <w:uiPriority w:val="1"/>
    <w:qFormat/>
    <w:pPr>
      <w:spacing w:line="230" w:lineRule="exact"/>
      <w:ind w:left="2025"/>
    </w:pPr>
    <w:rPr>
      <w:rFonts w:ascii="Times New Roman" w:hAnsi="Times New Roman" w:eastAsia="Times New Roman" w:cs="Times New Roman"/>
      <w:b/>
      <w:bCs/>
      <w:i/>
      <w:iCs/>
      <w:lang w:val="en-US" w:eastAsia="en-US" w:bidi="ar-SA"/>
    </w:rPr>
  </w:style>
  <w:style w:styleId="BodyText" w:type="paragraph">
    <w:name w:val="Body Text"/>
    <w:basedOn w:val="Normal"/>
    <w:uiPriority w:val="1"/>
    <w:qFormat/>
    <w:pPr>
      <w:ind w:left="1440"/>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jc w:val="center"/>
      <w:outlineLvl w:val="1"/>
    </w:pPr>
    <w:rPr>
      <w:rFonts w:ascii="Tahoma" w:hAnsi="Tahoma" w:eastAsia="Tahoma" w:cs="Tahoma"/>
      <w:b/>
      <w:bCs/>
      <w:sz w:val="32"/>
      <w:szCs w:val="32"/>
      <w:lang w:val="en-US" w:eastAsia="en-US" w:bidi="ar-SA"/>
    </w:rPr>
  </w:style>
  <w:style w:styleId="Heading2" w:type="paragraph">
    <w:name w:val="Heading 2"/>
    <w:basedOn w:val="Normal"/>
    <w:uiPriority w:val="1"/>
    <w:qFormat/>
    <w:pPr>
      <w:spacing w:line="347" w:lineRule="exact"/>
      <w:jc w:val="center"/>
      <w:outlineLvl w:val="2"/>
    </w:pPr>
    <w:rPr>
      <w:rFonts w:ascii="Cambria" w:hAnsi="Cambria" w:eastAsia="Cambria" w:cs="Cambria"/>
      <w:b/>
      <w:bCs/>
      <w:i/>
      <w:iCs/>
      <w:sz w:val="32"/>
      <w:szCs w:val="32"/>
      <w:u w:val="single" w:color="000000"/>
      <w:lang w:val="en-US" w:eastAsia="en-US" w:bidi="ar-SA"/>
    </w:rPr>
  </w:style>
  <w:style w:styleId="Heading3" w:type="paragraph">
    <w:name w:val="Heading 3"/>
    <w:basedOn w:val="Normal"/>
    <w:uiPriority w:val="1"/>
    <w:qFormat/>
    <w:pPr>
      <w:spacing w:before="173"/>
      <w:ind w:left="1440"/>
      <w:outlineLvl w:val="3"/>
    </w:pPr>
    <w:rPr>
      <w:rFonts w:ascii="Tahoma" w:hAnsi="Tahoma" w:eastAsia="Tahoma" w:cs="Tahoma"/>
      <w:b/>
      <w:bCs/>
      <w:sz w:val="23"/>
      <w:szCs w:val="23"/>
      <w:lang w:val="en-US" w:eastAsia="en-US" w:bidi="ar-SA"/>
    </w:rPr>
  </w:style>
  <w:style w:styleId="Heading4" w:type="paragraph">
    <w:name w:val="Heading 4"/>
    <w:basedOn w:val="Normal"/>
    <w:uiPriority w:val="1"/>
    <w:qFormat/>
    <w:pPr>
      <w:spacing w:before="93"/>
      <w:ind w:left="1440" w:right="3"/>
      <w:outlineLvl w:val="4"/>
    </w:pPr>
    <w:rPr>
      <w:rFonts w:ascii="Tahoma" w:hAnsi="Tahoma" w:eastAsia="Tahoma" w:cs="Tahoma"/>
      <w:b/>
      <w:bCs/>
      <w:sz w:val="22"/>
      <w:szCs w:val="22"/>
      <w:lang w:val="en-US" w:eastAsia="en-US" w:bidi="ar-SA"/>
    </w:rPr>
  </w:style>
  <w:style w:styleId="Heading5" w:type="paragraph">
    <w:name w:val="Heading 5"/>
    <w:basedOn w:val="Normal"/>
    <w:uiPriority w:val="1"/>
    <w:qFormat/>
    <w:pPr>
      <w:ind w:left="1440"/>
      <w:outlineLvl w:val="5"/>
    </w:pPr>
    <w:rPr>
      <w:rFonts w:ascii="Cambria" w:hAnsi="Cambria" w:eastAsia="Cambria" w:cs="Cambria"/>
      <w:b/>
      <w:bCs/>
      <w:i/>
      <w:iCs/>
      <w:sz w:val="22"/>
      <w:szCs w:val="22"/>
      <w:lang w:val="en-US" w:eastAsia="en-US" w:bidi="ar-SA"/>
    </w:rPr>
  </w:style>
  <w:style w:styleId="Heading6" w:type="paragraph">
    <w:name w:val="Heading 6"/>
    <w:basedOn w:val="Normal"/>
    <w:uiPriority w:val="1"/>
    <w:qFormat/>
    <w:pPr>
      <w:spacing w:before="70"/>
      <w:ind w:left="1872"/>
      <w:outlineLvl w:val="6"/>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spacing w:before="56"/>
      <w:ind w:left="2160" w:hanging="315"/>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68"/>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hyperlink" Target="https://doi.org/10.9734/ajl2c/2025/v8i3287" TargetMode="External"/><Relationship Id="rId81" Type="http://schemas.openxmlformats.org/officeDocument/2006/relationships/hyperlink" Target="https://doi.org/10.69760/aghel.0250020004" TargetMode="External"/><Relationship Id="rId82" Type="http://schemas.openxmlformats.org/officeDocument/2006/relationships/image" Target="media/image76.png"/><Relationship Id="rId83" Type="http://schemas.openxmlformats.org/officeDocument/2006/relationships/image" Target="media/image77.png"/><Relationship Id="rId84" Type="http://schemas.openxmlformats.org/officeDocument/2006/relationships/hyperlink" Target="http://www.lsj.org/literature/essays/shakespeare_women" TargetMode="External"/><Relationship Id="rId85" Type="http://schemas.openxmlformats.org/officeDocument/2006/relationships/image" Target="media/image78.png"/><Relationship Id="rId86" Type="http://schemas.openxmlformats.org/officeDocument/2006/relationships/image" Target="media/image79.png"/><Relationship Id="rId87" Type="http://schemas.openxmlformats.org/officeDocument/2006/relationships/hyperlink" Target="mailto:akilaa.cas@ppg.edu.in" TargetMode="External"/><Relationship Id="rId88" Type="http://schemas.openxmlformats.org/officeDocument/2006/relationships/hyperlink" Target="mailto:sudevanr.cas@ppg.edu.in" TargetMode="External"/><Relationship Id="rId89" Type="http://schemas.openxmlformats.org/officeDocument/2006/relationships/image" Target="media/image80.png"/><Relationship Id="rId90" Type="http://schemas.openxmlformats.org/officeDocument/2006/relationships/image" Target="media/image81.png"/><Relationship Id="rId91" Type="http://schemas.openxmlformats.org/officeDocument/2006/relationships/hyperlink" Target="http://www.jstor.org/stable/3206885" TargetMode="External"/><Relationship Id="rId92" Type="http://schemas.openxmlformats.org/officeDocument/2006/relationships/image" Target="media/image82.png"/><Relationship Id="rId93" Type="http://schemas.openxmlformats.org/officeDocument/2006/relationships/image" Target="media/image83.png"/><Relationship Id="rId94" Type="http://schemas.openxmlformats.org/officeDocument/2006/relationships/image" Target="media/image84.png"/><Relationship Id="rId95" Type="http://schemas.openxmlformats.org/officeDocument/2006/relationships/image" Target="media/image85.png"/><Relationship Id="rId96" Type="http://schemas.openxmlformats.org/officeDocument/2006/relationships/image" Target="media/image86.png"/><Relationship Id="rId97" Type="http://schemas.openxmlformats.org/officeDocument/2006/relationships/image" Target="media/image87.png"/><Relationship Id="rId98" Type="http://schemas.openxmlformats.org/officeDocument/2006/relationships/image" Target="media/image88.png"/><Relationship Id="rId99" Type="http://schemas.openxmlformats.org/officeDocument/2006/relationships/image" Target="media/image89.png"/><Relationship Id="rId100" Type="http://schemas.openxmlformats.org/officeDocument/2006/relationships/image" Target="media/image90.png"/><Relationship Id="rId101" Type="http://schemas.openxmlformats.org/officeDocument/2006/relationships/image" Target="media/image91.png"/><Relationship Id="rId102" Type="http://schemas.openxmlformats.org/officeDocument/2006/relationships/image" Target="media/image92.png"/><Relationship Id="rId103" Type="http://schemas.openxmlformats.org/officeDocument/2006/relationships/image" Target="media/image93.png"/><Relationship Id="rId104" Type="http://schemas.openxmlformats.org/officeDocument/2006/relationships/image" Target="media/image94.jpeg"/><Relationship Id="rId105" Type="http://schemas.openxmlformats.org/officeDocument/2006/relationships/image" Target="media/image95.png"/><Relationship Id="rId106" Type="http://schemas.openxmlformats.org/officeDocument/2006/relationships/hyperlink" Target="https://doi.org/10.2307/3207893" TargetMode="External"/><Relationship Id="rId107" Type="http://schemas.openxmlformats.org/officeDocument/2006/relationships/hyperlink" Target="https://doi.org/10.4324/" TargetMode="External"/><Relationship Id="rId108" Type="http://schemas.openxmlformats.org/officeDocument/2006/relationships/hyperlink" Target="https://doi.org/10.1086/448181" TargetMode="External"/><Relationship Id="rId109" Type="http://schemas.openxmlformats.org/officeDocument/2006/relationships/hyperlink" Target="https://doi.org/10.2307/2870310" TargetMode="External"/><Relationship Id="rId110" Type="http://schemas.openxmlformats.org/officeDocument/2006/relationships/hyperlink" Target="https://doi.org/10.7312/jard91446" TargetMode="External"/><Relationship Id="rId111" Type="http://schemas.openxmlformats.org/officeDocument/2006/relationships/hyperlink" Target="https://doi.org/10.7208/chicago/9780226306537.001.0001" TargetMode="External"/><Relationship Id="rId112" Type="http://schemas.openxmlformats.org/officeDocument/2006/relationships/hyperlink" Target="https://doi.org/10.1215/" TargetMode="External"/><Relationship Id="rId113" Type="http://schemas.openxmlformats.org/officeDocument/2006/relationships/hyperlink" Target="https://doi.org/10.4324/9780203963579" TargetMode="External"/><Relationship Id="rId114" Type="http://schemas.openxmlformats.org/officeDocument/2006/relationships/hyperlink" Target="https://doi.org/10.1086/ss.1985.10.1" TargetMode="External"/><Relationship Id="rId115" Type="http://schemas.openxmlformats.org/officeDocument/2006/relationships/hyperlink" Target="https://doi.org/10.5281/" TargetMode="External"/><Relationship Id="rId116" Type="http://schemas.openxmlformats.org/officeDocument/2006/relationships/hyperlink" Target="https://doi.org/10.36676/" TargetMode="External"/><Relationship Id="rId117" Type="http://schemas.openxmlformats.org/officeDocument/2006/relationships/hyperlink" Target="https://doi.org/10.1016/" TargetMode="External"/><Relationship Id="rId118" Type="http://schemas.openxmlformats.org/officeDocument/2006/relationships/hyperlink" Target="https://doi.org/10.1051/shsconf/" TargetMode="External"/><Relationship Id="rId119" Type="http://schemas.openxmlformats.org/officeDocument/2006/relationships/hyperlink" Target="https://doi.org/10.1729/ijrar.2017.03015" TargetMode="External"/><Relationship Id="rId120" Type="http://schemas.openxmlformats.org/officeDocument/2006/relationships/hyperlink" Target="https://doi.org/10.2307/2870901" TargetMode="External"/><Relationship Id="rId121" Type="http://schemas.openxmlformats.org/officeDocument/2006/relationships/hyperlink" Target="https://doi.org/10.1086/448303" TargetMode="External"/><Relationship Id="rId122" Type="http://schemas.openxmlformats.org/officeDocument/2006/relationships/image" Target="media/image96.png"/><Relationship Id="rId123" Type="http://schemas.openxmlformats.org/officeDocument/2006/relationships/image" Target="media/image97.png"/><Relationship Id="rId124" Type="http://schemas.openxmlformats.org/officeDocument/2006/relationships/hyperlink" Target="http://www.jstor.org/stable/25115288" TargetMode="External"/><Relationship Id="rId125" Type="http://schemas.openxmlformats.org/officeDocument/2006/relationships/image" Target="media/image98.png"/><Relationship Id="rId126" Type="http://schemas.openxmlformats.org/officeDocument/2006/relationships/image" Target="media/image99.png"/><Relationship Id="rId127" Type="http://schemas.openxmlformats.org/officeDocument/2006/relationships/image" Target="media/image100.png"/><Relationship Id="rId128" Type="http://schemas.openxmlformats.org/officeDocument/2006/relationships/image" Target="media/image101.png"/><Relationship Id="rId129" Type="http://schemas.openxmlformats.org/officeDocument/2006/relationships/image" Target="media/image102.png"/><Relationship Id="rId130" Type="http://schemas.openxmlformats.org/officeDocument/2006/relationships/image" Target="media/image103.png"/><Relationship Id="rId131" Type="http://schemas.openxmlformats.org/officeDocument/2006/relationships/image" Target="media/image104.png"/><Relationship Id="rId132" Type="http://schemas.openxmlformats.org/officeDocument/2006/relationships/image" Target="media/image105.png"/><Relationship Id="rId133" Type="http://schemas.openxmlformats.org/officeDocument/2006/relationships/image" Target="media/image106.png"/><Relationship Id="rId134" Type="http://schemas.openxmlformats.org/officeDocument/2006/relationships/image" Target="media/image107.png"/><Relationship Id="rId135" Type="http://schemas.openxmlformats.org/officeDocument/2006/relationships/image" Target="media/image108.jpeg"/><Relationship Id="rId136" Type="http://schemas.openxmlformats.org/officeDocument/2006/relationships/hyperlink" Target="https://scite.ai/reports/10.25130/jtuh.28.11.2021.23" TargetMode="External"/><Relationship Id="rId137" Type="http://schemas.openxmlformats.org/officeDocument/2006/relationships/hyperlink" Target="http://www.jstor.org/stable/2867895" TargetMode="External"/><Relationship Id="rId138" Type="http://schemas.openxmlformats.org/officeDocument/2006/relationships/hyperlink" Target="http://www.jstor.org/stable/43444750" TargetMode="External"/><Relationship Id="rId139" Type="http://schemas.openxmlformats.org/officeDocument/2006/relationships/image" Target="media/image109.png"/><Relationship Id="rId140" Type="http://schemas.openxmlformats.org/officeDocument/2006/relationships/hyperlink" Target="https://doi.org/10.1353/pew.2003.0001" TargetMode="External"/><Relationship Id="rId141" Type="http://schemas.openxmlformats.org/officeDocument/2006/relationships/hyperlink" Target="https://doi.org/10.1353/" TargetMode="External"/><Relationship Id="rId142" Type="http://schemas.openxmlformats.org/officeDocument/2006/relationships/image" Target="media/image110.png"/><Relationship Id="rId14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Sharma</dc:creator>
  <dc:title>STARTING PAGES.cdr</dc:title>
  <dcterms:created xsi:type="dcterms:W3CDTF">2026-06-10T05:24:18Z</dcterms:created>
  <dcterms:modified xsi:type="dcterms:W3CDTF">2026-06-10T05:24:18Z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2026-05-24T00:00:00Z</vt:filetime>
  </property>
  <property fmtid="{D5CDD505-2E9C-101B-9397-08002B2CF9AE}" pid="4" name="Creator">
    <vt:lpwstr>CorelDRAW X7</vt:lpwstr>
  </property>
  <property fmtid="{D5CDD505-2E9C-101B-9397-08002B2CF9AE}" pid="5" name="LastSaved">
    <vt:filetime>2026-06-10T00:00:00Z</vt:filetime>
  </property>
  <property fmtid="{D5CDD505-2E9C-101B-9397-08002B2CF9AE}" pid="6" name="Producer">
    <vt:lpwstr>Corel PDF Engine Version 17.1.0.572</vt:lpwstr>
  </property>
</Properties>
</file>